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8" w:lineRule="auto"/>
        <w:rPr>
          <w:rFonts w:ascii="Arial"/>
          <w:sz w:val="21"/>
        </w:rPr>
      </w:pPr>
      <w:bookmarkStart w:id="63" w:name="_GoBack"/>
      <w:bookmarkEnd w:id="63"/>
    </w:p>
    <w:sdt>
      <w:sdtPr>
        <w:rPr>
          <w:rFonts w:ascii="宋体" w:hAnsi="宋体" w:eastAsia="宋体" w:cs="宋体"/>
          <w:sz w:val="32"/>
          <w:szCs w:val="32"/>
        </w:rPr>
        <w:id w:val="0"/>
        <w:docPartObj>
          <w:docPartGallery w:val="Table of Contents"/>
          <w:docPartUnique/>
        </w:docPartObj>
      </w:sdtPr>
      <w:sdtEndPr>
        <w:rPr>
          <w:rFonts w:ascii="Times New Roman" w:hAnsi="Times New Roman" w:eastAsia="Times New Roman" w:cs="Times New Roman"/>
          <w:sz w:val="21"/>
          <w:szCs w:val="21"/>
        </w:rPr>
      </w:sdtEndPr>
      <w:sdtContent>
        <w:p>
          <w:pPr>
            <w:spacing w:before="105" w:line="222" w:lineRule="auto"/>
            <w:ind w:left="3774"/>
            <w:rPr>
              <w:rFonts w:ascii="宋体" w:hAnsi="宋体" w:eastAsia="宋体" w:cs="宋体"/>
              <w:sz w:val="32"/>
              <w:szCs w:val="32"/>
            </w:rPr>
          </w:pPr>
          <w:r>
            <w:rPr>
              <w:rFonts w:ascii="宋体" w:hAnsi="宋体" w:eastAsia="宋体" w:cs="宋体"/>
              <w:spacing w:val="-37"/>
              <w:sz w:val="32"/>
              <w:szCs w:val="32"/>
              <w14:textOutline w14:w="5812" w14:cap="flat" w14:cmpd="sng">
                <w14:solidFill>
                  <w14:srgbClr w14:val="000000"/>
                </w14:solidFill>
                <w14:prstDash w14:val="solid"/>
                <w14:miter w14:val="0"/>
              </w14:textOutline>
            </w:rPr>
            <w:t>目</w:t>
          </w:r>
          <w:r>
            <w:rPr>
              <w:rFonts w:ascii="宋体" w:hAnsi="宋体" w:eastAsia="宋体" w:cs="宋体"/>
              <w:spacing w:val="8"/>
              <w:sz w:val="32"/>
              <w:szCs w:val="32"/>
            </w:rPr>
            <w:t xml:space="preserve">  </w:t>
          </w:r>
          <w:r>
            <w:rPr>
              <w:rFonts w:ascii="宋体" w:hAnsi="宋体" w:eastAsia="宋体" w:cs="宋体"/>
              <w:spacing w:val="-37"/>
              <w:sz w:val="32"/>
              <w:szCs w:val="32"/>
              <w14:textOutline w14:w="5812" w14:cap="flat" w14:cmpd="sng">
                <w14:solidFill>
                  <w14:srgbClr w14:val="000000"/>
                </w14:solidFill>
                <w14:prstDash w14:val="solid"/>
                <w14:miter w14:val="0"/>
              </w14:textOutline>
            </w:rPr>
            <w:t>录</w:t>
          </w:r>
        </w:p>
        <w:p>
          <w:pPr>
            <w:pStyle w:val="2"/>
            <w:tabs>
              <w:tab w:val="right" w:leader="dot" w:pos="8330"/>
            </w:tabs>
            <w:spacing w:before="138" w:line="185" w:lineRule="auto"/>
            <w:ind w:left="40"/>
            <w:rPr>
              <w:rFonts w:ascii="Times New Roman" w:hAnsi="Times New Roman" w:eastAsia="Times New Roman" w:cs="Times New Roman"/>
            </w:rPr>
          </w:pPr>
          <w:r>
            <w:fldChar w:fldCharType="begin"/>
          </w:r>
          <w:r>
            <w:instrText xml:space="preserve"> HYPERLINK \l "bookmark1" </w:instrText>
          </w:r>
          <w:r>
            <w:fldChar w:fldCharType="separate"/>
          </w:r>
          <w:r>
            <w:rPr>
              <w:spacing w:val="-3"/>
              <w14:textOutline w14:w="3810" w14:cap="flat" w14:cmpd="sng">
                <w14:solidFill>
                  <w14:srgbClr w14:val="000000"/>
                </w14:solidFill>
                <w14:prstDash w14:val="solid"/>
                <w14:miter w14:val="0"/>
              </w14:textOutline>
            </w:rPr>
            <w:t>概述</w:t>
          </w:r>
          <w:r>
            <w:rPr>
              <w:spacing w:val="-46"/>
            </w:rPr>
            <w:t xml:space="preserve"> </w:t>
          </w:r>
          <w:r>
            <w:tab/>
          </w:r>
          <w:r>
            <w:rPr>
              <w:rFonts w:ascii="Times New Roman" w:hAnsi="Times New Roman" w:eastAsia="Times New Roman" w:cs="Times New Roman"/>
              <w:spacing w:val="17"/>
            </w:rPr>
            <w:t>1</w:t>
          </w:r>
          <w:r>
            <w:rPr>
              <w:rFonts w:ascii="Times New Roman" w:hAnsi="Times New Roman" w:eastAsia="Times New Roman" w:cs="Times New Roman"/>
              <w:spacing w:val="17"/>
            </w:rPr>
            <w:fldChar w:fldCharType="end"/>
          </w:r>
        </w:p>
        <w:p>
          <w:pPr>
            <w:pStyle w:val="2"/>
            <w:tabs>
              <w:tab w:val="right" w:leader="dot" w:pos="8325"/>
            </w:tabs>
            <w:spacing w:before="101" w:line="185" w:lineRule="auto"/>
            <w:ind w:left="457"/>
            <w:rPr>
              <w:rFonts w:ascii="Times New Roman" w:hAnsi="Times New Roman" w:eastAsia="Times New Roman" w:cs="Times New Roman"/>
            </w:rPr>
          </w:pPr>
          <w:r>
            <w:fldChar w:fldCharType="begin"/>
          </w:r>
          <w:r>
            <w:instrText xml:space="preserve"> HYPERLINK \l "bookmark2" </w:instrText>
          </w:r>
          <w:r>
            <w:fldChar w:fldCharType="separate"/>
          </w:r>
          <w:r>
            <w:rPr>
              <w:spacing w:val="-1"/>
              <w14:textOutline w14:w="3810" w14:cap="flat" w14:cmpd="sng">
                <w14:solidFill>
                  <w14:srgbClr w14:val="000000"/>
                </w14:solidFill>
                <w14:prstDash w14:val="solid"/>
                <w14:miter w14:val="0"/>
              </w14:textOutline>
            </w:rPr>
            <w:t>评价任务由来</w:t>
          </w:r>
          <w:r>
            <w:tab/>
          </w:r>
          <w:r>
            <w:rPr>
              <w:rFonts w:ascii="Times New Roman" w:hAnsi="Times New Roman" w:eastAsia="Times New Roman" w:cs="Times New Roman"/>
              <w:spacing w:val="12"/>
            </w:rPr>
            <w:t>1</w:t>
          </w:r>
          <w:r>
            <w:rPr>
              <w:rFonts w:ascii="Times New Roman" w:hAnsi="Times New Roman" w:eastAsia="Times New Roman" w:cs="Times New Roman"/>
              <w:spacing w:val="12"/>
            </w:rPr>
            <w:fldChar w:fldCharType="end"/>
          </w:r>
        </w:p>
        <w:p>
          <w:pPr>
            <w:pStyle w:val="2"/>
            <w:tabs>
              <w:tab w:val="right" w:leader="dot" w:pos="8325"/>
            </w:tabs>
            <w:spacing w:before="101" w:line="185" w:lineRule="auto"/>
            <w:ind w:left="458"/>
            <w:rPr>
              <w:rFonts w:ascii="Times New Roman" w:hAnsi="Times New Roman" w:eastAsia="Times New Roman" w:cs="Times New Roman"/>
            </w:rPr>
          </w:pPr>
          <w:r>
            <w:fldChar w:fldCharType="begin"/>
          </w:r>
          <w:r>
            <w:instrText xml:space="preserve"> HYPERLINK \l "bookmark3" </w:instrText>
          </w:r>
          <w:r>
            <w:fldChar w:fldCharType="separate"/>
          </w:r>
          <w:r>
            <w:rPr>
              <w:spacing w:val="-2"/>
              <w14:textOutline w14:w="3810" w14:cap="flat" w14:cmpd="sng">
                <w14:solidFill>
                  <w14:srgbClr w14:val="000000"/>
                </w14:solidFill>
                <w14:prstDash w14:val="solid"/>
                <w14:miter w14:val="0"/>
              </w14:textOutline>
            </w:rPr>
            <w:t>前期工作</w:t>
          </w:r>
          <w:r>
            <w:rPr>
              <w:spacing w:val="-37"/>
            </w:rPr>
            <w:t xml:space="preserve"> </w:t>
          </w:r>
          <w:r>
            <w:tab/>
          </w:r>
          <w:r>
            <w:rPr>
              <w:rFonts w:ascii="Times New Roman" w:hAnsi="Times New Roman" w:eastAsia="Times New Roman" w:cs="Times New Roman"/>
              <w:spacing w:val="12"/>
            </w:rPr>
            <w:t>2</w:t>
          </w:r>
          <w:r>
            <w:rPr>
              <w:rFonts w:ascii="Times New Roman" w:hAnsi="Times New Roman" w:eastAsia="Times New Roman" w:cs="Times New Roman"/>
              <w:spacing w:val="12"/>
            </w:rPr>
            <w:fldChar w:fldCharType="end"/>
          </w:r>
        </w:p>
        <w:p>
          <w:pPr>
            <w:pStyle w:val="2"/>
            <w:tabs>
              <w:tab w:val="right" w:leader="dot" w:pos="8325"/>
            </w:tabs>
            <w:spacing w:before="101" w:line="185" w:lineRule="auto"/>
            <w:ind w:left="457"/>
            <w:rPr>
              <w:rFonts w:ascii="Times New Roman" w:hAnsi="Times New Roman" w:eastAsia="Times New Roman" w:cs="Times New Roman"/>
            </w:rPr>
          </w:pPr>
          <w:r>
            <w:fldChar w:fldCharType="begin"/>
          </w:r>
          <w:r>
            <w:instrText xml:space="preserve"> HYPERLINK \l "bookmark4" </w:instrText>
          </w:r>
          <w:r>
            <w:fldChar w:fldCharType="separate"/>
          </w:r>
          <w:r>
            <w:rPr>
              <w:spacing w:val="-1"/>
              <w14:textOutline w14:w="3810" w14:cap="flat" w14:cmpd="sng">
                <w14:solidFill>
                  <w14:srgbClr w14:val="000000"/>
                </w14:solidFill>
                <w14:prstDash w14:val="solid"/>
                <w14:miter w14:val="0"/>
              </w14:textOutline>
            </w:rPr>
            <w:t>评价工作过程</w:t>
          </w:r>
          <w:r>
            <w:tab/>
          </w:r>
          <w:r>
            <w:rPr>
              <w:rFonts w:ascii="Times New Roman" w:hAnsi="Times New Roman" w:eastAsia="Times New Roman" w:cs="Times New Roman"/>
              <w:spacing w:val="12"/>
            </w:rPr>
            <w:t>2</w:t>
          </w:r>
          <w:r>
            <w:rPr>
              <w:rFonts w:ascii="Times New Roman" w:hAnsi="Times New Roman" w:eastAsia="Times New Roman" w:cs="Times New Roman"/>
              <w:spacing w:val="12"/>
            </w:rPr>
            <w:fldChar w:fldCharType="end"/>
          </w:r>
        </w:p>
        <w:p>
          <w:pPr>
            <w:pStyle w:val="2"/>
            <w:tabs>
              <w:tab w:val="right" w:leader="dot" w:pos="8325"/>
            </w:tabs>
            <w:spacing w:before="101" w:line="185" w:lineRule="auto"/>
            <w:ind w:left="458"/>
            <w:rPr>
              <w:rFonts w:ascii="Times New Roman" w:hAnsi="Times New Roman" w:eastAsia="Times New Roman" w:cs="Times New Roman"/>
            </w:rPr>
          </w:pPr>
          <w:r>
            <w:fldChar w:fldCharType="begin"/>
          </w:r>
          <w:r>
            <w:instrText xml:space="preserve"> HYPERLINK \l "bookmark5" </w:instrText>
          </w:r>
          <w:r>
            <w:fldChar w:fldCharType="separate"/>
          </w:r>
          <w:r>
            <w:rPr>
              <w:spacing w:val="-1"/>
              <w14:textOutline w14:w="3810" w14:cap="flat" w14:cmpd="sng">
                <w14:solidFill>
                  <w14:srgbClr w14:val="000000"/>
                </w14:solidFill>
                <w14:prstDash w14:val="solid"/>
                <w14:miter w14:val="0"/>
              </w14:textOutline>
            </w:rPr>
            <w:t>建设项目特点</w:t>
          </w:r>
          <w:r>
            <w:tab/>
          </w:r>
          <w:r>
            <w:rPr>
              <w:rFonts w:ascii="Times New Roman" w:hAnsi="Times New Roman" w:eastAsia="Times New Roman" w:cs="Times New Roman"/>
              <w:spacing w:val="12"/>
            </w:rPr>
            <w:t>3</w:t>
          </w:r>
          <w:r>
            <w:rPr>
              <w:rFonts w:ascii="Times New Roman" w:hAnsi="Times New Roman" w:eastAsia="Times New Roman" w:cs="Times New Roman"/>
              <w:spacing w:val="12"/>
            </w:rPr>
            <w:fldChar w:fldCharType="end"/>
          </w:r>
        </w:p>
        <w:p>
          <w:pPr>
            <w:pStyle w:val="2"/>
            <w:tabs>
              <w:tab w:val="right" w:leader="dot" w:pos="8325"/>
            </w:tabs>
            <w:spacing w:before="102" w:line="185" w:lineRule="auto"/>
            <w:ind w:left="458"/>
            <w:rPr>
              <w:rFonts w:ascii="Times New Roman" w:hAnsi="Times New Roman" w:eastAsia="Times New Roman" w:cs="Times New Roman"/>
            </w:rPr>
          </w:pPr>
          <w:r>
            <w:fldChar w:fldCharType="begin"/>
          </w:r>
          <w:r>
            <w:instrText xml:space="preserve"> HYPERLINK \l "bookmark6" </w:instrText>
          </w:r>
          <w:r>
            <w:fldChar w:fldCharType="separate"/>
          </w:r>
          <w:r>
            <w:rPr>
              <w:spacing w:val="-1"/>
              <w14:textOutline w14:w="3810" w14:cap="flat" w14:cmpd="sng">
                <w14:solidFill>
                  <w14:srgbClr w14:val="000000"/>
                </w14:solidFill>
                <w14:prstDash w14:val="solid"/>
                <w14:miter w14:val="0"/>
              </w14:textOutline>
            </w:rPr>
            <w:t>项目分析判定情况</w:t>
          </w:r>
          <w:r>
            <w:tab/>
          </w:r>
          <w:r>
            <w:rPr>
              <w:rFonts w:ascii="Times New Roman" w:hAnsi="Times New Roman" w:eastAsia="Times New Roman" w:cs="Times New Roman"/>
              <w:spacing w:val="12"/>
            </w:rPr>
            <w:t>3</w:t>
          </w:r>
          <w:r>
            <w:rPr>
              <w:rFonts w:ascii="Times New Roman" w:hAnsi="Times New Roman" w:eastAsia="Times New Roman" w:cs="Times New Roman"/>
              <w:spacing w:val="12"/>
            </w:rPr>
            <w:fldChar w:fldCharType="end"/>
          </w:r>
        </w:p>
        <w:p>
          <w:pPr>
            <w:pStyle w:val="2"/>
            <w:tabs>
              <w:tab w:val="right" w:leader="dot" w:pos="8325"/>
            </w:tabs>
            <w:spacing w:before="101" w:line="185" w:lineRule="auto"/>
            <w:ind w:left="466"/>
            <w:rPr>
              <w:rFonts w:ascii="Times New Roman" w:hAnsi="Times New Roman" w:eastAsia="Times New Roman" w:cs="Times New Roman"/>
            </w:rPr>
          </w:pPr>
          <w:r>
            <w:fldChar w:fldCharType="begin"/>
          </w:r>
          <w:r>
            <w:instrText xml:space="preserve"> HYPERLINK \l "bookmark7" </w:instrText>
          </w:r>
          <w:r>
            <w:fldChar w:fldCharType="separate"/>
          </w:r>
          <w:r>
            <w:rPr>
              <w:spacing w:val="-2"/>
              <w14:textOutline w14:w="3810" w14:cap="flat" w14:cmpd="sng">
                <w14:solidFill>
                  <w14:srgbClr w14:val="000000"/>
                </w14:solidFill>
                <w14:prstDash w14:val="solid"/>
                <w14:miter w14:val="0"/>
              </w14:textOutline>
            </w:rPr>
            <w:t>关注的主要环境问题</w:t>
          </w:r>
          <w:r>
            <w:tab/>
          </w:r>
          <w:r>
            <w:rPr>
              <w:rFonts w:ascii="Times New Roman" w:hAnsi="Times New Roman" w:eastAsia="Times New Roman" w:cs="Times New Roman"/>
              <w:spacing w:val="12"/>
            </w:rPr>
            <w:t>4</w:t>
          </w:r>
          <w:r>
            <w:rPr>
              <w:rFonts w:ascii="Times New Roman" w:hAnsi="Times New Roman" w:eastAsia="Times New Roman" w:cs="Times New Roman"/>
              <w:spacing w:val="12"/>
            </w:rPr>
            <w:fldChar w:fldCharType="end"/>
          </w:r>
        </w:p>
        <w:p>
          <w:pPr>
            <w:pStyle w:val="2"/>
            <w:tabs>
              <w:tab w:val="right" w:leader="dot" w:pos="8325"/>
            </w:tabs>
            <w:spacing w:before="102" w:line="185" w:lineRule="auto"/>
            <w:ind w:left="456"/>
            <w:rPr>
              <w:rFonts w:ascii="Times New Roman" w:hAnsi="Times New Roman" w:eastAsia="Times New Roman" w:cs="Times New Roman"/>
            </w:rPr>
          </w:pPr>
          <w:r>
            <w:fldChar w:fldCharType="begin"/>
          </w:r>
          <w:r>
            <w:instrText xml:space="preserve"> HYPERLINK \l "bookmark8" </w:instrText>
          </w:r>
          <w:r>
            <w:fldChar w:fldCharType="separate"/>
          </w:r>
          <w:r>
            <w:rPr>
              <w:spacing w:val="-1"/>
              <w14:textOutline w14:w="3810" w14:cap="flat" w14:cmpd="sng">
                <w14:solidFill>
                  <w14:srgbClr w14:val="000000"/>
                </w14:solidFill>
                <w14:prstDash w14:val="solid"/>
                <w14:miter w14:val="0"/>
              </w14:textOutline>
            </w:rPr>
            <w:t>报告书主要结论</w:t>
          </w:r>
          <w:r>
            <w:tab/>
          </w:r>
          <w:r>
            <w:rPr>
              <w:rFonts w:ascii="Times New Roman" w:hAnsi="Times New Roman" w:eastAsia="Times New Roman" w:cs="Times New Roman"/>
              <w:spacing w:val="12"/>
            </w:rPr>
            <w:t>5</w:t>
          </w:r>
          <w:r>
            <w:rPr>
              <w:rFonts w:ascii="Times New Roman" w:hAnsi="Times New Roman" w:eastAsia="Times New Roman" w:cs="Times New Roman"/>
              <w:spacing w:val="12"/>
            </w:rPr>
            <w:fldChar w:fldCharType="end"/>
          </w:r>
        </w:p>
        <w:p>
          <w:pPr>
            <w:pStyle w:val="2"/>
            <w:tabs>
              <w:tab w:val="right" w:leader="dot" w:pos="8330"/>
            </w:tabs>
            <w:spacing w:before="102" w:line="185" w:lineRule="auto"/>
            <w:ind w:left="48"/>
            <w:rPr>
              <w:rFonts w:ascii="Times New Roman" w:hAnsi="Times New Roman" w:eastAsia="Times New Roman" w:cs="Times New Roman"/>
            </w:rPr>
          </w:pPr>
          <w:r>
            <w:fldChar w:fldCharType="begin"/>
          </w:r>
          <w:r>
            <w:instrText xml:space="preserve"> HYPERLINK \l "bookmark9" </w:instrText>
          </w:r>
          <w:r>
            <w:fldChar w:fldCharType="separate"/>
          </w:r>
          <w:r>
            <w:rPr>
              <w:rFonts w:ascii="Times New Roman" w:hAnsi="Times New Roman" w:eastAsia="Times New Roman" w:cs="Times New Roman"/>
              <w:b/>
              <w:bCs/>
              <w:spacing w:val="-9"/>
            </w:rPr>
            <w:t>1</w:t>
          </w:r>
          <w:r>
            <w:rPr>
              <w:rFonts w:ascii="Times New Roman" w:hAnsi="Times New Roman" w:eastAsia="Times New Roman" w:cs="Times New Roman"/>
              <w:b/>
              <w:bCs/>
              <w:spacing w:val="14"/>
            </w:rPr>
            <w:t xml:space="preserve"> </w:t>
          </w:r>
          <w:r>
            <w:rPr>
              <w:spacing w:val="-9"/>
              <w14:textOutline w14:w="3810" w14:cap="flat" w14:cmpd="sng">
                <w14:solidFill>
                  <w14:srgbClr w14:val="000000"/>
                </w14:solidFill>
                <w14:prstDash w14:val="solid"/>
                <w14:miter w14:val="0"/>
              </w14:textOutline>
            </w:rPr>
            <w:t>总则</w:t>
          </w:r>
          <w:r>
            <w:rPr>
              <w:spacing w:val="-46"/>
            </w:rPr>
            <w:t xml:space="preserve"> </w:t>
          </w:r>
          <w:r>
            <w:tab/>
          </w:r>
          <w:r>
            <w:rPr>
              <w:rFonts w:ascii="Times New Roman" w:hAnsi="Times New Roman" w:eastAsia="Times New Roman" w:cs="Times New Roman"/>
              <w:spacing w:val="17"/>
            </w:rPr>
            <w:t>6</w:t>
          </w:r>
          <w:r>
            <w:rPr>
              <w:rFonts w:ascii="Times New Roman" w:hAnsi="Times New Roman" w:eastAsia="Times New Roman" w:cs="Times New Roman"/>
              <w:spacing w:val="17"/>
            </w:rPr>
            <w:fldChar w:fldCharType="end"/>
          </w:r>
        </w:p>
        <w:p>
          <w:pPr>
            <w:pStyle w:val="2"/>
            <w:tabs>
              <w:tab w:val="right" w:leader="dot" w:pos="8325"/>
            </w:tabs>
            <w:spacing w:before="101" w:line="185" w:lineRule="auto"/>
            <w:ind w:left="463"/>
            <w:rPr>
              <w:rFonts w:ascii="Times New Roman" w:hAnsi="Times New Roman" w:eastAsia="Times New Roman" w:cs="Times New Roman"/>
            </w:rPr>
          </w:pPr>
          <w:r>
            <w:fldChar w:fldCharType="begin"/>
          </w:r>
          <w:r>
            <w:instrText xml:space="preserve"> HYPERLINK \l "bookmark10" </w:instrText>
          </w:r>
          <w:r>
            <w:fldChar w:fldCharType="separate"/>
          </w:r>
          <w:r>
            <w:rPr>
              <w:rFonts w:ascii="Times New Roman" w:hAnsi="Times New Roman" w:eastAsia="Times New Roman" w:cs="Times New Roman"/>
              <w:b/>
              <w:bCs/>
              <w:spacing w:val="-1"/>
            </w:rPr>
            <w:t xml:space="preserve">1.1 </w:t>
          </w:r>
          <w:r>
            <w:rPr>
              <w:spacing w:val="-1"/>
              <w14:textOutline w14:w="3810" w14:cap="flat" w14:cmpd="sng">
                <w14:solidFill>
                  <w14:srgbClr w14:val="000000"/>
                </w14:solidFill>
                <w14:prstDash w14:val="solid"/>
                <w14:miter w14:val="0"/>
              </w14:textOutline>
            </w:rPr>
            <w:t>评价目的、原则</w:t>
          </w:r>
          <w:r>
            <w:tab/>
          </w:r>
          <w:r>
            <w:rPr>
              <w:rFonts w:ascii="Times New Roman" w:hAnsi="Times New Roman" w:eastAsia="Times New Roman" w:cs="Times New Roman"/>
              <w:spacing w:val="12"/>
            </w:rPr>
            <w:t>6</w:t>
          </w:r>
          <w:r>
            <w:rPr>
              <w:rFonts w:ascii="Times New Roman" w:hAnsi="Times New Roman" w:eastAsia="Times New Roman" w:cs="Times New Roman"/>
              <w:spacing w:val="12"/>
            </w:rPr>
            <w:fldChar w:fldCharType="end"/>
          </w:r>
        </w:p>
        <w:p>
          <w:pPr>
            <w:pStyle w:val="2"/>
            <w:tabs>
              <w:tab w:val="right" w:leader="dot" w:pos="8325"/>
            </w:tabs>
            <w:spacing w:before="102" w:line="185" w:lineRule="auto"/>
            <w:ind w:left="463"/>
            <w:rPr>
              <w:rFonts w:ascii="Times New Roman" w:hAnsi="Times New Roman" w:eastAsia="Times New Roman" w:cs="Times New Roman"/>
            </w:rPr>
          </w:pPr>
          <w:r>
            <w:fldChar w:fldCharType="begin"/>
          </w:r>
          <w:r>
            <w:instrText xml:space="preserve"> HYPERLINK \l "bookmark11" </w:instrText>
          </w:r>
          <w:r>
            <w:fldChar w:fldCharType="separate"/>
          </w:r>
          <w:r>
            <w:rPr>
              <w:rFonts w:ascii="Times New Roman" w:hAnsi="Times New Roman" w:eastAsia="Times New Roman" w:cs="Times New Roman"/>
              <w:b/>
              <w:bCs/>
              <w:spacing w:val="-2"/>
            </w:rPr>
            <w:t xml:space="preserve">1.2 </w:t>
          </w:r>
          <w:r>
            <w:rPr>
              <w:spacing w:val="-2"/>
              <w14:textOutline w14:w="3810" w14:cap="flat" w14:cmpd="sng">
                <w14:solidFill>
                  <w14:srgbClr w14:val="000000"/>
                </w14:solidFill>
                <w14:prstDash w14:val="solid"/>
                <w14:miter w14:val="0"/>
              </w14:textOutline>
            </w:rPr>
            <w:t>编制依据</w:t>
          </w:r>
          <w:r>
            <w:tab/>
          </w:r>
          <w:r>
            <w:rPr>
              <w:rFonts w:ascii="Times New Roman" w:hAnsi="Times New Roman" w:eastAsia="Times New Roman" w:cs="Times New Roman"/>
              <w:spacing w:val="12"/>
            </w:rPr>
            <w:t>7</w:t>
          </w:r>
          <w:r>
            <w:rPr>
              <w:rFonts w:ascii="Times New Roman" w:hAnsi="Times New Roman" w:eastAsia="Times New Roman" w:cs="Times New Roman"/>
              <w:spacing w:val="12"/>
            </w:rPr>
            <w:fldChar w:fldCharType="end"/>
          </w:r>
        </w:p>
        <w:p>
          <w:pPr>
            <w:pStyle w:val="2"/>
            <w:tabs>
              <w:tab w:val="right" w:leader="dot" w:pos="8325"/>
            </w:tabs>
            <w:spacing w:before="101" w:line="185" w:lineRule="auto"/>
            <w:ind w:left="463"/>
            <w:rPr>
              <w:rFonts w:ascii="Times New Roman" w:hAnsi="Times New Roman" w:eastAsia="Times New Roman" w:cs="Times New Roman"/>
            </w:rPr>
          </w:pPr>
          <w:r>
            <w:fldChar w:fldCharType="begin"/>
          </w:r>
          <w:r>
            <w:instrText xml:space="preserve"> HYPERLINK \l "bookmark12" </w:instrText>
          </w:r>
          <w:r>
            <w:fldChar w:fldCharType="separate"/>
          </w:r>
          <w:r>
            <w:rPr>
              <w:rFonts w:ascii="Times New Roman" w:hAnsi="Times New Roman" w:eastAsia="Times New Roman" w:cs="Times New Roman"/>
              <w:b/>
              <w:bCs/>
              <w:spacing w:val="-1"/>
            </w:rPr>
            <w:t xml:space="preserve">1.3 </w:t>
          </w:r>
          <w:r>
            <w:rPr>
              <w:spacing w:val="-1"/>
              <w14:textOutline w14:w="3810" w14:cap="flat" w14:cmpd="sng">
                <w14:solidFill>
                  <w14:srgbClr w14:val="000000"/>
                </w14:solidFill>
                <w14:prstDash w14:val="solid"/>
                <w14:miter w14:val="0"/>
              </w14:textOutline>
            </w:rPr>
            <w:t>环境影响识别与评价因子确定</w:t>
          </w:r>
          <w:r>
            <w:tab/>
          </w:r>
          <w:r>
            <w:rPr>
              <w:rFonts w:ascii="Times New Roman" w:hAnsi="Times New Roman" w:eastAsia="Times New Roman" w:cs="Times New Roman"/>
              <w:spacing w:val="6"/>
            </w:rPr>
            <w:t>10</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63"/>
            <w:rPr>
              <w:rFonts w:ascii="Times New Roman" w:hAnsi="Times New Roman" w:eastAsia="Times New Roman" w:cs="Times New Roman"/>
            </w:rPr>
          </w:pPr>
          <w:r>
            <w:fldChar w:fldCharType="begin"/>
          </w:r>
          <w:r>
            <w:instrText xml:space="preserve"> HYPERLINK \l "bookmark13" </w:instrText>
          </w:r>
          <w:r>
            <w:fldChar w:fldCharType="separate"/>
          </w:r>
          <w:r>
            <w:rPr>
              <w:rFonts w:ascii="Times New Roman" w:hAnsi="Times New Roman" w:eastAsia="Times New Roman" w:cs="Times New Roman"/>
              <w:b/>
              <w:bCs/>
              <w:spacing w:val="-2"/>
            </w:rPr>
            <w:t xml:space="preserve">1.4 </w:t>
          </w:r>
          <w:r>
            <w:rPr>
              <w:spacing w:val="-2"/>
              <w14:textOutline w14:w="3810" w14:cap="flat" w14:cmpd="sng">
                <w14:solidFill>
                  <w14:srgbClr w14:val="000000"/>
                </w14:solidFill>
                <w14:prstDash w14:val="solid"/>
                <w14:miter w14:val="0"/>
              </w14:textOutline>
            </w:rPr>
            <w:t>环境功能区划</w:t>
          </w:r>
          <w:r>
            <w:tab/>
          </w:r>
          <w:r>
            <w:rPr>
              <w:rFonts w:ascii="Times New Roman" w:hAnsi="Times New Roman" w:eastAsia="Times New Roman" w:cs="Times New Roman"/>
              <w:spacing w:val="6"/>
            </w:rPr>
            <w:t>11</w:t>
          </w:r>
          <w:r>
            <w:rPr>
              <w:rFonts w:ascii="Times New Roman" w:hAnsi="Times New Roman" w:eastAsia="Times New Roman" w:cs="Times New Roman"/>
              <w:spacing w:val="6"/>
            </w:rPr>
            <w:fldChar w:fldCharType="end"/>
          </w:r>
        </w:p>
        <w:p>
          <w:pPr>
            <w:pStyle w:val="2"/>
            <w:tabs>
              <w:tab w:val="right" w:leader="dot" w:pos="8325"/>
            </w:tabs>
            <w:spacing w:before="101" w:line="185" w:lineRule="auto"/>
            <w:ind w:left="463"/>
            <w:rPr>
              <w:rFonts w:ascii="Times New Roman" w:hAnsi="Times New Roman" w:eastAsia="Times New Roman" w:cs="Times New Roman"/>
            </w:rPr>
          </w:pPr>
          <w:r>
            <w:fldChar w:fldCharType="begin"/>
          </w:r>
          <w:r>
            <w:instrText xml:space="preserve"> HYPERLINK \l "bookmark14" </w:instrText>
          </w:r>
          <w:r>
            <w:fldChar w:fldCharType="separate"/>
          </w:r>
          <w:r>
            <w:rPr>
              <w:rFonts w:ascii="Times New Roman" w:hAnsi="Times New Roman" w:eastAsia="Times New Roman" w:cs="Times New Roman"/>
              <w:b/>
              <w:bCs/>
              <w:spacing w:val="-2"/>
            </w:rPr>
            <w:t xml:space="preserve">1.5 </w:t>
          </w:r>
          <w:r>
            <w:rPr>
              <w:spacing w:val="-2"/>
              <w14:textOutline w14:w="3810" w14:cap="flat" w14:cmpd="sng">
                <w14:solidFill>
                  <w14:srgbClr w14:val="000000"/>
                </w14:solidFill>
                <w14:prstDash w14:val="solid"/>
                <w14:miter w14:val="0"/>
              </w14:textOutline>
            </w:rPr>
            <w:t>评价标准</w:t>
          </w:r>
          <w:r>
            <w:tab/>
          </w:r>
          <w:r>
            <w:rPr>
              <w:rFonts w:ascii="Times New Roman" w:hAnsi="Times New Roman" w:eastAsia="Times New Roman" w:cs="Times New Roman"/>
              <w:spacing w:val="6"/>
            </w:rPr>
            <w:t>12</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63"/>
            <w:rPr>
              <w:rFonts w:ascii="Times New Roman" w:hAnsi="Times New Roman" w:eastAsia="Times New Roman" w:cs="Times New Roman"/>
            </w:rPr>
          </w:pPr>
          <w:r>
            <w:fldChar w:fldCharType="begin"/>
          </w:r>
          <w:r>
            <w:instrText xml:space="preserve"> HYPERLINK \l "bookmark15" </w:instrText>
          </w:r>
          <w:r>
            <w:fldChar w:fldCharType="separate"/>
          </w:r>
          <w:r>
            <w:rPr>
              <w:rFonts w:ascii="Times New Roman" w:hAnsi="Times New Roman" w:eastAsia="Times New Roman" w:cs="Times New Roman"/>
              <w:b/>
              <w:bCs/>
              <w:spacing w:val="-1"/>
            </w:rPr>
            <w:t xml:space="preserve">1.6 </w:t>
          </w:r>
          <w:r>
            <w:rPr>
              <w:spacing w:val="-1"/>
              <w14:textOutline w14:w="3810" w14:cap="flat" w14:cmpd="sng">
                <w14:solidFill>
                  <w14:srgbClr w14:val="000000"/>
                </w14:solidFill>
                <w14:prstDash w14:val="solid"/>
                <w14:miter w14:val="0"/>
              </w14:textOutline>
            </w:rPr>
            <w:t>评价等级和评价范围</w:t>
          </w:r>
          <w:r>
            <w:tab/>
          </w:r>
          <w:r>
            <w:rPr>
              <w:rFonts w:ascii="Times New Roman" w:hAnsi="Times New Roman" w:eastAsia="Times New Roman" w:cs="Times New Roman"/>
              <w:spacing w:val="6"/>
            </w:rPr>
            <w:t>15</w:t>
          </w:r>
          <w:r>
            <w:rPr>
              <w:rFonts w:ascii="Times New Roman" w:hAnsi="Times New Roman" w:eastAsia="Times New Roman" w:cs="Times New Roman"/>
              <w:spacing w:val="6"/>
            </w:rPr>
            <w:fldChar w:fldCharType="end"/>
          </w:r>
        </w:p>
        <w:p>
          <w:pPr>
            <w:pStyle w:val="2"/>
            <w:tabs>
              <w:tab w:val="right" w:leader="dot" w:pos="8325"/>
            </w:tabs>
            <w:spacing w:before="101" w:line="185" w:lineRule="auto"/>
            <w:ind w:left="463"/>
            <w:rPr>
              <w:rFonts w:ascii="Times New Roman" w:hAnsi="Times New Roman" w:eastAsia="Times New Roman" w:cs="Times New Roman"/>
            </w:rPr>
          </w:pPr>
          <w:r>
            <w:fldChar w:fldCharType="begin"/>
          </w:r>
          <w:r>
            <w:instrText xml:space="preserve"> HYPERLINK \l "bookmark16" </w:instrText>
          </w:r>
          <w:r>
            <w:fldChar w:fldCharType="separate"/>
          </w:r>
          <w:r>
            <w:rPr>
              <w:rFonts w:ascii="Times New Roman" w:hAnsi="Times New Roman" w:eastAsia="Times New Roman" w:cs="Times New Roman"/>
              <w:b/>
              <w:bCs/>
              <w:spacing w:val="-2"/>
            </w:rPr>
            <w:t xml:space="preserve">1.7 </w:t>
          </w:r>
          <w:r>
            <w:rPr>
              <w:spacing w:val="-2"/>
              <w14:textOutline w14:w="3810" w14:cap="flat" w14:cmpd="sng">
                <w14:solidFill>
                  <w14:srgbClr w14:val="000000"/>
                </w14:solidFill>
                <w14:prstDash w14:val="solid"/>
                <w14:miter w14:val="0"/>
              </w14:textOutline>
            </w:rPr>
            <w:t>环境保护目标</w:t>
          </w:r>
          <w:r>
            <w:tab/>
          </w:r>
          <w:r>
            <w:rPr>
              <w:rFonts w:ascii="Times New Roman" w:hAnsi="Times New Roman" w:eastAsia="Times New Roman" w:cs="Times New Roman"/>
              <w:spacing w:val="6"/>
            </w:rPr>
            <w:t>21</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63"/>
            <w:rPr>
              <w:rFonts w:ascii="Times New Roman" w:hAnsi="Times New Roman" w:eastAsia="Times New Roman" w:cs="Times New Roman"/>
            </w:rPr>
          </w:pPr>
          <w:r>
            <w:fldChar w:fldCharType="begin"/>
          </w:r>
          <w:r>
            <w:instrText xml:space="preserve"> HYPERLINK \l "bookmark17" </w:instrText>
          </w:r>
          <w:r>
            <w:fldChar w:fldCharType="separate"/>
          </w:r>
          <w:r>
            <w:rPr>
              <w:rFonts w:ascii="Times New Roman" w:hAnsi="Times New Roman" w:eastAsia="Times New Roman" w:cs="Times New Roman"/>
              <w:b/>
              <w:bCs/>
              <w:spacing w:val="-1"/>
            </w:rPr>
            <w:t xml:space="preserve">1.8 </w:t>
          </w:r>
          <w:r>
            <w:rPr>
              <w:spacing w:val="-1"/>
              <w14:textOutline w14:w="3810" w14:cap="flat" w14:cmpd="sng">
                <w14:solidFill>
                  <w14:srgbClr w14:val="000000"/>
                </w14:solidFill>
                <w14:prstDash w14:val="solid"/>
                <w14:miter w14:val="0"/>
              </w14:textOutline>
            </w:rPr>
            <w:t>评价重点及评价时段</w:t>
          </w:r>
          <w:r>
            <w:tab/>
          </w:r>
          <w:r>
            <w:rPr>
              <w:rFonts w:ascii="Times New Roman" w:hAnsi="Times New Roman" w:eastAsia="Times New Roman" w:cs="Times New Roman"/>
              <w:spacing w:val="6"/>
            </w:rPr>
            <w:t>24</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63"/>
            <w:rPr>
              <w:rFonts w:ascii="Times New Roman" w:hAnsi="Times New Roman" w:eastAsia="Times New Roman" w:cs="Times New Roman"/>
            </w:rPr>
          </w:pPr>
          <w:r>
            <w:fldChar w:fldCharType="begin"/>
          </w:r>
          <w:r>
            <w:instrText xml:space="preserve"> HYPERLINK \l "bookmark18" </w:instrText>
          </w:r>
          <w:r>
            <w:fldChar w:fldCharType="separate"/>
          </w:r>
          <w:r>
            <w:rPr>
              <w:rFonts w:ascii="Times New Roman" w:hAnsi="Times New Roman" w:eastAsia="Times New Roman" w:cs="Times New Roman"/>
              <w:b/>
              <w:bCs/>
              <w:spacing w:val="-2"/>
            </w:rPr>
            <w:t xml:space="preserve">1.9 </w:t>
          </w:r>
          <w:r>
            <w:rPr>
              <w:spacing w:val="-2"/>
              <w14:textOutline w14:w="3810" w14:cap="flat" w14:cmpd="sng">
                <w14:solidFill>
                  <w14:srgbClr w14:val="000000"/>
                </w14:solidFill>
                <w14:prstDash w14:val="solid"/>
                <w14:miter w14:val="0"/>
              </w14:textOutline>
            </w:rPr>
            <w:t>评价工作程序</w:t>
          </w:r>
          <w:r>
            <w:tab/>
          </w:r>
          <w:r>
            <w:rPr>
              <w:rFonts w:ascii="Times New Roman" w:hAnsi="Times New Roman" w:eastAsia="Times New Roman" w:cs="Times New Roman"/>
              <w:spacing w:val="6"/>
            </w:rPr>
            <w:t>24</w:t>
          </w:r>
          <w:r>
            <w:rPr>
              <w:rFonts w:ascii="Times New Roman" w:hAnsi="Times New Roman" w:eastAsia="Times New Roman" w:cs="Times New Roman"/>
              <w:spacing w:val="6"/>
            </w:rPr>
            <w:fldChar w:fldCharType="end"/>
          </w:r>
        </w:p>
        <w:p>
          <w:pPr>
            <w:pStyle w:val="2"/>
            <w:tabs>
              <w:tab w:val="right" w:leader="dot" w:pos="8330"/>
            </w:tabs>
            <w:spacing w:before="101" w:line="185" w:lineRule="auto"/>
            <w:ind w:left="39"/>
            <w:rPr>
              <w:rFonts w:ascii="Times New Roman" w:hAnsi="Times New Roman" w:eastAsia="Times New Roman" w:cs="Times New Roman"/>
            </w:rPr>
          </w:pPr>
          <w:r>
            <w:fldChar w:fldCharType="begin"/>
          </w:r>
          <w:r>
            <w:instrText xml:space="preserve"> HYPERLINK \l "bookmark19" </w:instrText>
          </w:r>
          <w:r>
            <w:fldChar w:fldCharType="separate"/>
          </w:r>
          <w:r>
            <w:rPr>
              <w:rFonts w:ascii="Times New Roman" w:hAnsi="Times New Roman" w:eastAsia="Times New Roman" w:cs="Times New Roman"/>
              <w:b/>
              <w:bCs/>
            </w:rPr>
            <w:t xml:space="preserve">2 </w:t>
          </w:r>
          <w:r>
            <w:rPr>
              <w14:textOutline w14:w="3810" w14:cap="flat" w14:cmpd="sng">
                <w14:solidFill>
                  <w14:srgbClr w14:val="000000"/>
                </w14:solidFill>
                <w14:prstDash w14:val="solid"/>
                <w14:miter w14:val="0"/>
              </w14:textOutline>
            </w:rPr>
            <w:t>工程概况及工程分析</w:t>
          </w:r>
          <w:r>
            <w:rPr>
              <w:spacing w:val="-42"/>
            </w:rPr>
            <w:t xml:space="preserve"> </w:t>
          </w:r>
          <w:r>
            <w:tab/>
          </w:r>
          <w:r>
            <w:rPr>
              <w:rFonts w:ascii="Times New Roman" w:hAnsi="Times New Roman" w:eastAsia="Times New Roman" w:cs="Times New Roman"/>
              <w:spacing w:val="8"/>
            </w:rPr>
            <w:t>26</w:t>
          </w:r>
          <w:r>
            <w:rPr>
              <w:rFonts w:ascii="Times New Roman" w:hAnsi="Times New Roman" w:eastAsia="Times New Roman" w:cs="Times New Roman"/>
              <w:spacing w:val="8"/>
            </w:rPr>
            <w:fldChar w:fldCharType="end"/>
          </w:r>
        </w:p>
        <w:p>
          <w:pPr>
            <w:pStyle w:val="2"/>
            <w:tabs>
              <w:tab w:val="right" w:leader="dot" w:pos="8325"/>
            </w:tabs>
            <w:spacing w:before="102" w:line="185" w:lineRule="auto"/>
            <w:ind w:left="455"/>
            <w:rPr>
              <w:rFonts w:ascii="Times New Roman" w:hAnsi="Times New Roman" w:eastAsia="Times New Roman" w:cs="Times New Roman"/>
            </w:rPr>
          </w:pPr>
          <w:r>
            <w:fldChar w:fldCharType="begin"/>
          </w:r>
          <w:r>
            <w:instrText xml:space="preserve"> HYPERLINK \l "bookmark20" </w:instrText>
          </w:r>
          <w:r>
            <w:fldChar w:fldCharType="separate"/>
          </w:r>
          <w:r>
            <w:rPr>
              <w:rFonts w:ascii="Times New Roman" w:hAnsi="Times New Roman" w:eastAsia="Times New Roman" w:cs="Times New Roman"/>
              <w:b/>
              <w:bCs/>
            </w:rPr>
            <w:t xml:space="preserve">2.1 </w:t>
          </w:r>
          <w:r>
            <w:rPr>
              <w14:textOutline w14:w="3810" w14:cap="flat" w14:cmpd="sng">
                <w14:solidFill>
                  <w14:srgbClr w14:val="000000"/>
                </w14:solidFill>
                <w14:prstDash w14:val="solid"/>
                <w14:miter w14:val="0"/>
              </w14:textOutline>
            </w:rPr>
            <w:t>流域规划及开发概况</w:t>
          </w:r>
          <w:r>
            <w:tab/>
          </w:r>
          <w:r>
            <w:rPr>
              <w:rFonts w:ascii="Times New Roman" w:hAnsi="Times New Roman" w:eastAsia="Times New Roman" w:cs="Times New Roman"/>
              <w:spacing w:val="6"/>
            </w:rPr>
            <w:t>26</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55"/>
            <w:rPr>
              <w:rFonts w:ascii="Times New Roman" w:hAnsi="Times New Roman" w:eastAsia="Times New Roman" w:cs="Times New Roman"/>
            </w:rPr>
          </w:pPr>
          <w:r>
            <w:fldChar w:fldCharType="begin"/>
          </w:r>
          <w:r>
            <w:instrText xml:space="preserve"> HYPERLINK \l "bookmark21" </w:instrText>
          </w:r>
          <w:r>
            <w:fldChar w:fldCharType="separate"/>
          </w:r>
          <w:r>
            <w:rPr>
              <w:rFonts w:ascii="Times New Roman" w:hAnsi="Times New Roman" w:eastAsia="Times New Roman" w:cs="Times New Roman"/>
              <w:b/>
              <w:bCs/>
              <w:spacing w:val="-1"/>
            </w:rPr>
            <w:t xml:space="preserve">2.2 </w:t>
          </w:r>
          <w:r>
            <w:rPr>
              <w:spacing w:val="-1"/>
              <w14:textOutline w14:w="3810" w14:cap="flat" w14:cmpd="sng">
                <w14:solidFill>
                  <w14:srgbClr w14:val="000000"/>
                </w14:solidFill>
                <w14:prstDash w14:val="solid"/>
                <w14:miter w14:val="0"/>
              </w14:textOutline>
            </w:rPr>
            <w:t>工程任务及规模</w:t>
          </w:r>
          <w:r>
            <w:tab/>
          </w:r>
          <w:r>
            <w:rPr>
              <w:rFonts w:ascii="Times New Roman" w:hAnsi="Times New Roman" w:eastAsia="Times New Roman" w:cs="Times New Roman"/>
              <w:spacing w:val="6"/>
            </w:rPr>
            <w:t>33</w:t>
          </w:r>
          <w:r>
            <w:rPr>
              <w:rFonts w:ascii="Times New Roman" w:hAnsi="Times New Roman" w:eastAsia="Times New Roman" w:cs="Times New Roman"/>
              <w:spacing w:val="6"/>
            </w:rPr>
            <w:fldChar w:fldCharType="end"/>
          </w:r>
        </w:p>
        <w:p>
          <w:pPr>
            <w:pStyle w:val="2"/>
            <w:tabs>
              <w:tab w:val="right" w:leader="dot" w:pos="8325"/>
            </w:tabs>
            <w:spacing w:before="101" w:line="185" w:lineRule="auto"/>
            <w:ind w:left="455"/>
            <w:rPr>
              <w:rFonts w:ascii="Times New Roman" w:hAnsi="Times New Roman" w:eastAsia="Times New Roman" w:cs="Times New Roman"/>
            </w:rPr>
          </w:pPr>
          <w:r>
            <w:fldChar w:fldCharType="begin"/>
          </w:r>
          <w:r>
            <w:instrText xml:space="preserve"> HYPERLINK \l "bookmark22" </w:instrText>
          </w:r>
          <w:r>
            <w:fldChar w:fldCharType="separate"/>
          </w:r>
          <w:r>
            <w:rPr>
              <w:rFonts w:ascii="Times New Roman" w:hAnsi="Times New Roman" w:eastAsia="Times New Roman" w:cs="Times New Roman"/>
              <w:b/>
              <w:bCs/>
              <w:spacing w:val="-1"/>
            </w:rPr>
            <w:t xml:space="preserve">2.3 </w:t>
          </w:r>
          <w:r>
            <w:rPr>
              <w:spacing w:val="-1"/>
              <w14:textOutline w14:w="3810" w14:cap="flat" w14:cmpd="sng">
                <w14:solidFill>
                  <w14:srgbClr w14:val="000000"/>
                </w14:solidFill>
                <w14:prstDash w14:val="solid"/>
                <w14:miter w14:val="0"/>
              </w14:textOutline>
            </w:rPr>
            <w:t>工程组成</w:t>
          </w:r>
          <w:r>
            <w:tab/>
          </w:r>
          <w:r>
            <w:rPr>
              <w:rFonts w:ascii="Times New Roman" w:hAnsi="Times New Roman" w:eastAsia="Times New Roman" w:cs="Times New Roman"/>
              <w:spacing w:val="6"/>
            </w:rPr>
            <w:t>40</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55"/>
            <w:rPr>
              <w:rFonts w:ascii="Times New Roman" w:hAnsi="Times New Roman" w:eastAsia="Times New Roman" w:cs="Times New Roman"/>
            </w:rPr>
          </w:pPr>
          <w:r>
            <w:fldChar w:fldCharType="begin"/>
          </w:r>
          <w:r>
            <w:instrText xml:space="preserve"> HYPERLINK \l "bookmark23" </w:instrText>
          </w:r>
          <w:r>
            <w:fldChar w:fldCharType="separate"/>
          </w:r>
          <w:r>
            <w:rPr>
              <w:rFonts w:ascii="Times New Roman" w:hAnsi="Times New Roman" w:eastAsia="Times New Roman" w:cs="Times New Roman"/>
              <w:b/>
              <w:bCs/>
              <w:spacing w:val="-1"/>
            </w:rPr>
            <w:t xml:space="preserve">2.4 </w:t>
          </w:r>
          <w:r>
            <w:rPr>
              <w:spacing w:val="-1"/>
              <w14:textOutline w14:w="3810" w14:cap="flat" w14:cmpd="sng">
                <w14:solidFill>
                  <w14:srgbClr w14:val="000000"/>
                </w14:solidFill>
                <w14:prstDash w14:val="solid"/>
                <w14:miter w14:val="0"/>
              </w14:textOutline>
            </w:rPr>
            <w:t>工程分析</w:t>
          </w:r>
          <w:r>
            <w:tab/>
          </w:r>
          <w:r>
            <w:rPr>
              <w:rFonts w:ascii="Times New Roman" w:hAnsi="Times New Roman" w:eastAsia="Times New Roman" w:cs="Times New Roman"/>
              <w:spacing w:val="6"/>
            </w:rPr>
            <w:t>79</w:t>
          </w:r>
          <w:r>
            <w:rPr>
              <w:rFonts w:ascii="Times New Roman" w:hAnsi="Times New Roman" w:eastAsia="Times New Roman" w:cs="Times New Roman"/>
              <w:spacing w:val="6"/>
            </w:rPr>
            <w:fldChar w:fldCharType="end"/>
          </w:r>
        </w:p>
        <w:p>
          <w:pPr>
            <w:pStyle w:val="2"/>
            <w:tabs>
              <w:tab w:val="right" w:leader="dot" w:pos="8330"/>
            </w:tabs>
            <w:spacing w:before="101" w:line="185" w:lineRule="auto"/>
            <w:ind w:left="38"/>
            <w:rPr>
              <w:rFonts w:ascii="Times New Roman" w:hAnsi="Times New Roman" w:eastAsia="Times New Roman" w:cs="Times New Roman"/>
            </w:rPr>
          </w:pPr>
          <w:r>
            <w:fldChar w:fldCharType="begin"/>
          </w:r>
          <w:r>
            <w:instrText xml:space="preserve"> HYPERLINK \l "bookmark24" </w:instrText>
          </w:r>
          <w:r>
            <w:fldChar w:fldCharType="separate"/>
          </w:r>
          <w:r>
            <w:rPr>
              <w:rFonts w:ascii="Times New Roman" w:hAnsi="Times New Roman" w:eastAsia="Times New Roman" w:cs="Times New Roman"/>
              <w:b/>
              <w:bCs/>
            </w:rPr>
            <w:t xml:space="preserve">3 </w:t>
          </w:r>
          <w:r>
            <w:rPr>
              <w14:textOutline w14:w="3810" w14:cap="flat" w14:cmpd="sng">
                <w14:solidFill>
                  <w14:srgbClr w14:val="000000"/>
                </w14:solidFill>
                <w14:prstDash w14:val="solid"/>
                <w14:miter w14:val="0"/>
              </w14:textOutline>
            </w:rPr>
            <w:t>环境现状调查与评价</w:t>
          </w:r>
          <w:r>
            <w:rPr>
              <w:spacing w:val="-40"/>
            </w:rPr>
            <w:t xml:space="preserve"> </w:t>
          </w:r>
          <w:r>
            <w:tab/>
          </w:r>
          <w:r>
            <w:rPr>
              <w:rFonts w:ascii="Times New Roman" w:hAnsi="Times New Roman" w:eastAsia="Times New Roman" w:cs="Times New Roman"/>
              <w:spacing w:val="8"/>
            </w:rPr>
            <w:t>98</w:t>
          </w:r>
          <w:r>
            <w:rPr>
              <w:rFonts w:ascii="Times New Roman" w:hAnsi="Times New Roman" w:eastAsia="Times New Roman" w:cs="Times New Roman"/>
              <w:spacing w:val="8"/>
            </w:rPr>
            <w:fldChar w:fldCharType="end"/>
          </w:r>
        </w:p>
        <w:p>
          <w:pPr>
            <w:pStyle w:val="2"/>
            <w:tabs>
              <w:tab w:val="right" w:leader="dot" w:pos="8325"/>
            </w:tabs>
            <w:spacing w:before="102" w:line="185" w:lineRule="auto"/>
            <w:ind w:left="453"/>
            <w:rPr>
              <w:rFonts w:ascii="Times New Roman" w:hAnsi="Times New Roman" w:eastAsia="Times New Roman" w:cs="Times New Roman"/>
            </w:rPr>
          </w:pPr>
          <w:r>
            <w:fldChar w:fldCharType="begin"/>
          </w:r>
          <w:r>
            <w:instrText xml:space="preserve"> HYPERLINK \l "bookmark25" </w:instrText>
          </w:r>
          <w:r>
            <w:fldChar w:fldCharType="separate"/>
          </w:r>
          <w:r>
            <w:rPr>
              <w:rFonts w:ascii="Times New Roman" w:hAnsi="Times New Roman" w:eastAsia="Times New Roman" w:cs="Times New Roman"/>
              <w:b/>
              <w:bCs/>
              <w:spacing w:val="-4"/>
            </w:rPr>
            <w:t>3.1</w:t>
          </w:r>
          <w:r>
            <w:rPr>
              <w:rFonts w:ascii="Times New Roman" w:hAnsi="Times New Roman" w:eastAsia="Times New Roman" w:cs="Times New Roman"/>
              <w:b/>
              <w:bCs/>
              <w:spacing w:val="35"/>
            </w:rPr>
            <w:t xml:space="preserve"> </w:t>
          </w:r>
          <w:r>
            <w:rPr>
              <w:spacing w:val="-4"/>
              <w14:textOutline w14:w="3810" w14:cap="flat" w14:cmpd="sng">
                <w14:solidFill>
                  <w14:srgbClr w14:val="000000"/>
                </w14:solidFill>
                <w14:prstDash w14:val="solid"/>
                <w14:miter w14:val="0"/>
              </w14:textOutline>
            </w:rPr>
            <w:t>自然环境概况</w:t>
          </w:r>
          <w:r>
            <w:tab/>
          </w:r>
          <w:r>
            <w:rPr>
              <w:rFonts w:ascii="Times New Roman" w:hAnsi="Times New Roman" w:eastAsia="Times New Roman" w:cs="Times New Roman"/>
              <w:spacing w:val="6"/>
            </w:rPr>
            <w:t>98</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53"/>
            <w:rPr>
              <w:rFonts w:ascii="Times New Roman" w:hAnsi="Times New Roman" w:eastAsia="Times New Roman" w:cs="Times New Roman"/>
            </w:rPr>
          </w:pPr>
          <w:r>
            <w:fldChar w:fldCharType="begin"/>
          </w:r>
          <w:r>
            <w:instrText xml:space="preserve"> HYPERLINK \l "bookmark26" </w:instrText>
          </w:r>
          <w:r>
            <w:fldChar w:fldCharType="separate"/>
          </w:r>
          <w:r>
            <w:rPr>
              <w:rFonts w:ascii="Times New Roman" w:hAnsi="Times New Roman" w:eastAsia="Times New Roman" w:cs="Times New Roman"/>
              <w:b/>
              <w:bCs/>
            </w:rPr>
            <w:t xml:space="preserve">3.2 </w:t>
          </w:r>
          <w:r>
            <w:rPr>
              <w14:textOutline w14:w="3810" w14:cap="flat" w14:cmpd="sng">
                <w14:solidFill>
                  <w14:srgbClr w14:val="000000"/>
                </w14:solidFill>
                <w14:prstDash w14:val="solid"/>
                <w14:miter w14:val="0"/>
              </w14:textOutline>
            </w:rPr>
            <w:t>环境质量现状调查与评价</w:t>
          </w:r>
          <w:r>
            <w:tab/>
          </w:r>
          <w:r>
            <w:rPr>
              <w:rFonts w:ascii="Times New Roman" w:hAnsi="Times New Roman" w:eastAsia="Times New Roman" w:cs="Times New Roman"/>
              <w:spacing w:val="4"/>
            </w:rPr>
            <w:t>104</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3"/>
            <w:rPr>
              <w:rFonts w:ascii="Times New Roman" w:hAnsi="Times New Roman" w:eastAsia="Times New Roman" w:cs="Times New Roman"/>
            </w:rPr>
          </w:pPr>
          <w:r>
            <w:fldChar w:fldCharType="begin"/>
          </w:r>
          <w:r>
            <w:instrText xml:space="preserve"> HYPERLINK \l "bookmark27" </w:instrText>
          </w:r>
          <w:r>
            <w:fldChar w:fldCharType="separate"/>
          </w:r>
          <w:r>
            <w:rPr>
              <w:rFonts w:ascii="Times New Roman" w:hAnsi="Times New Roman" w:eastAsia="Times New Roman" w:cs="Times New Roman"/>
              <w:b/>
              <w:bCs/>
            </w:rPr>
            <w:t xml:space="preserve">3.3 </w:t>
          </w:r>
          <w:r>
            <w:rPr>
              <w14:textOutline w14:w="3810" w14:cap="flat" w14:cmpd="sng">
                <w14:solidFill>
                  <w14:srgbClr w14:val="000000"/>
                </w14:solidFill>
                <w14:prstDash w14:val="solid"/>
                <w14:miter w14:val="0"/>
              </w14:textOutline>
            </w:rPr>
            <w:t>项目区现状污染源及主要环境问题</w:t>
          </w:r>
          <w:r>
            <w:tab/>
          </w:r>
          <w:r>
            <w:rPr>
              <w:rFonts w:ascii="Times New Roman" w:hAnsi="Times New Roman" w:eastAsia="Times New Roman" w:cs="Times New Roman"/>
              <w:spacing w:val="4"/>
            </w:rPr>
            <w:t>192</w:t>
          </w:r>
          <w:r>
            <w:rPr>
              <w:rFonts w:ascii="Times New Roman" w:hAnsi="Times New Roman" w:eastAsia="Times New Roman" w:cs="Times New Roman"/>
              <w:spacing w:val="4"/>
            </w:rPr>
            <w:fldChar w:fldCharType="end"/>
          </w:r>
        </w:p>
        <w:p>
          <w:pPr>
            <w:pStyle w:val="2"/>
            <w:tabs>
              <w:tab w:val="right" w:leader="dot" w:pos="8330"/>
            </w:tabs>
            <w:spacing w:before="102" w:line="185" w:lineRule="auto"/>
            <w:ind w:left="40"/>
            <w:rPr>
              <w:rFonts w:ascii="Times New Roman" w:hAnsi="Times New Roman" w:eastAsia="Times New Roman" w:cs="Times New Roman"/>
            </w:rPr>
          </w:pPr>
          <w:r>
            <w:fldChar w:fldCharType="begin"/>
          </w:r>
          <w:r>
            <w:instrText xml:space="preserve"> HYPERLINK \l "bookmark28" </w:instrText>
          </w:r>
          <w:r>
            <w:fldChar w:fldCharType="separate"/>
          </w:r>
          <w:r>
            <w:rPr>
              <w:rFonts w:ascii="Times New Roman" w:hAnsi="Times New Roman" w:eastAsia="Times New Roman" w:cs="Times New Roman"/>
              <w:b/>
              <w:bCs/>
            </w:rPr>
            <w:t xml:space="preserve">4 </w:t>
          </w:r>
          <w:r>
            <w:rPr>
              <w14:textOutline w14:w="3810" w14:cap="flat" w14:cmpd="sng">
                <w14:solidFill>
                  <w14:srgbClr w14:val="000000"/>
                </w14:solidFill>
                <w14:prstDash w14:val="solid"/>
                <w14:miter w14:val="0"/>
              </w14:textOutline>
            </w:rPr>
            <w:t>环境影响预测与评价</w:t>
          </w:r>
          <w:r>
            <w:rPr>
              <w:spacing w:val="-42"/>
            </w:rPr>
            <w:t xml:space="preserve"> </w:t>
          </w:r>
          <w:r>
            <w:tab/>
          </w:r>
          <w:r>
            <w:rPr>
              <w:rFonts w:ascii="Times New Roman" w:hAnsi="Times New Roman" w:eastAsia="Times New Roman" w:cs="Times New Roman"/>
              <w:spacing w:val="6"/>
            </w:rPr>
            <w:t>193</w:t>
          </w:r>
          <w:r>
            <w:rPr>
              <w:rFonts w:ascii="Times New Roman" w:hAnsi="Times New Roman" w:eastAsia="Times New Roman" w:cs="Times New Roman"/>
              <w:spacing w:val="6"/>
            </w:rPr>
            <w:fldChar w:fldCharType="end"/>
          </w:r>
        </w:p>
        <w:p>
          <w:pPr>
            <w:pStyle w:val="2"/>
            <w:tabs>
              <w:tab w:val="right" w:leader="dot" w:pos="8325"/>
            </w:tabs>
            <w:spacing w:before="101" w:line="185" w:lineRule="auto"/>
            <w:ind w:left="455"/>
            <w:rPr>
              <w:rFonts w:ascii="Times New Roman" w:hAnsi="Times New Roman" w:eastAsia="Times New Roman" w:cs="Times New Roman"/>
            </w:rPr>
          </w:pPr>
          <w:r>
            <w:fldChar w:fldCharType="begin"/>
          </w:r>
          <w:r>
            <w:instrText xml:space="preserve"> HYPERLINK \l "bookmark29" </w:instrText>
          </w:r>
          <w:r>
            <w:fldChar w:fldCharType="separate"/>
          </w:r>
          <w:r>
            <w:rPr>
              <w:rFonts w:ascii="Times New Roman" w:hAnsi="Times New Roman" w:eastAsia="Times New Roman" w:cs="Times New Roman"/>
              <w:b/>
              <w:bCs/>
            </w:rPr>
            <w:t xml:space="preserve">4.1 </w:t>
          </w:r>
          <w:r>
            <w:rPr>
              <w14:textOutline w14:w="3810" w14:cap="flat" w14:cmpd="sng">
                <w14:solidFill>
                  <w14:srgbClr w14:val="000000"/>
                </w14:solidFill>
                <w14:prstDash w14:val="solid"/>
                <w14:miter w14:val="0"/>
              </w14:textOutline>
            </w:rPr>
            <w:t>水资源利用影响评价</w:t>
          </w:r>
          <w:r>
            <w:tab/>
          </w:r>
          <w:r>
            <w:rPr>
              <w:rFonts w:ascii="Times New Roman" w:hAnsi="Times New Roman" w:eastAsia="Times New Roman" w:cs="Times New Roman"/>
              <w:spacing w:val="4"/>
            </w:rPr>
            <w:t>193</w:t>
          </w:r>
          <w:r>
            <w:rPr>
              <w:rFonts w:ascii="Times New Roman" w:hAnsi="Times New Roman" w:eastAsia="Times New Roman" w:cs="Times New Roman"/>
              <w:spacing w:val="4"/>
            </w:rPr>
            <w:fldChar w:fldCharType="end"/>
          </w:r>
        </w:p>
        <w:p>
          <w:pPr>
            <w:pStyle w:val="2"/>
            <w:tabs>
              <w:tab w:val="right" w:leader="dot" w:pos="8325"/>
            </w:tabs>
            <w:spacing w:before="102" w:line="185" w:lineRule="auto"/>
            <w:ind w:left="455"/>
            <w:rPr>
              <w:rFonts w:ascii="Times New Roman" w:hAnsi="Times New Roman" w:eastAsia="Times New Roman" w:cs="Times New Roman"/>
            </w:rPr>
          </w:pPr>
          <w:r>
            <w:fldChar w:fldCharType="begin"/>
          </w:r>
          <w:r>
            <w:instrText xml:space="preserve"> HYPERLINK \l "bookmark30" </w:instrText>
          </w:r>
          <w:r>
            <w:fldChar w:fldCharType="separate"/>
          </w:r>
          <w:r>
            <w:rPr>
              <w:rFonts w:ascii="Times New Roman" w:hAnsi="Times New Roman" w:eastAsia="Times New Roman" w:cs="Times New Roman"/>
              <w:b/>
              <w:bCs/>
            </w:rPr>
            <w:t xml:space="preserve">4.2 </w:t>
          </w:r>
          <w:r>
            <w:rPr>
              <w14:textOutline w14:w="3810" w14:cap="flat" w14:cmpd="sng">
                <w14:solidFill>
                  <w14:srgbClr w14:val="000000"/>
                </w14:solidFill>
                <w14:prstDash w14:val="solid"/>
                <w14:miter w14:val="0"/>
              </w14:textOutline>
            </w:rPr>
            <w:t>地表水环境影响预测与评价</w:t>
          </w:r>
          <w:r>
            <w:tab/>
          </w:r>
          <w:r>
            <w:rPr>
              <w:rFonts w:ascii="Times New Roman" w:hAnsi="Times New Roman" w:eastAsia="Times New Roman" w:cs="Times New Roman"/>
              <w:spacing w:val="4"/>
            </w:rPr>
            <w:t>193</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5"/>
            <w:rPr>
              <w:rFonts w:ascii="Times New Roman" w:hAnsi="Times New Roman" w:eastAsia="Times New Roman" w:cs="Times New Roman"/>
            </w:rPr>
          </w:pPr>
          <w:r>
            <w:fldChar w:fldCharType="begin"/>
          </w:r>
          <w:r>
            <w:instrText xml:space="preserve"> HYPERLINK \l "bookmark31" </w:instrText>
          </w:r>
          <w:r>
            <w:fldChar w:fldCharType="separate"/>
          </w:r>
          <w:r>
            <w:rPr>
              <w:rFonts w:ascii="Times New Roman" w:hAnsi="Times New Roman" w:eastAsia="Times New Roman" w:cs="Times New Roman"/>
              <w:b/>
              <w:bCs/>
            </w:rPr>
            <w:t xml:space="preserve">4.3 </w:t>
          </w:r>
          <w:r>
            <w:rPr>
              <w14:textOutline w14:w="3810" w14:cap="flat" w14:cmpd="sng">
                <w14:solidFill>
                  <w14:srgbClr w14:val="000000"/>
                </w14:solidFill>
                <w14:prstDash w14:val="solid"/>
                <w14:miter w14:val="0"/>
              </w14:textOutline>
            </w:rPr>
            <w:t>地下水环境影响预测与评价</w:t>
          </w:r>
          <w:r>
            <w:tab/>
          </w:r>
          <w:r>
            <w:rPr>
              <w:rFonts w:ascii="Times New Roman" w:hAnsi="Times New Roman" w:eastAsia="Times New Roman" w:cs="Times New Roman"/>
              <w:spacing w:val="4"/>
            </w:rPr>
            <w:t>213</w:t>
          </w:r>
          <w:r>
            <w:rPr>
              <w:rFonts w:ascii="Times New Roman" w:hAnsi="Times New Roman" w:eastAsia="Times New Roman" w:cs="Times New Roman"/>
              <w:spacing w:val="4"/>
            </w:rPr>
            <w:fldChar w:fldCharType="end"/>
          </w:r>
        </w:p>
        <w:p>
          <w:pPr>
            <w:pStyle w:val="2"/>
            <w:tabs>
              <w:tab w:val="right" w:leader="dot" w:pos="8325"/>
            </w:tabs>
            <w:spacing w:before="102" w:line="185" w:lineRule="auto"/>
            <w:ind w:left="455"/>
            <w:rPr>
              <w:rFonts w:ascii="Times New Roman" w:hAnsi="Times New Roman" w:eastAsia="Times New Roman" w:cs="Times New Roman"/>
            </w:rPr>
          </w:pPr>
          <w:r>
            <w:fldChar w:fldCharType="begin"/>
          </w:r>
          <w:r>
            <w:instrText xml:space="preserve"> HYPERLINK \l "bookmark32" </w:instrText>
          </w:r>
          <w:r>
            <w:fldChar w:fldCharType="separate"/>
          </w:r>
          <w:r>
            <w:rPr>
              <w:rFonts w:ascii="Times New Roman" w:hAnsi="Times New Roman" w:eastAsia="Times New Roman" w:cs="Times New Roman"/>
              <w:b/>
              <w:bCs/>
            </w:rPr>
            <w:t xml:space="preserve">4.4 </w:t>
          </w:r>
          <w:r>
            <w:rPr>
              <w14:textOutline w14:w="3810" w14:cap="flat" w14:cmpd="sng">
                <w14:solidFill>
                  <w14:srgbClr w14:val="000000"/>
                </w14:solidFill>
                <w14:prstDash w14:val="solid"/>
                <w14:miter w14:val="0"/>
              </w14:textOutline>
            </w:rPr>
            <w:t>生态环境影响评价</w:t>
          </w:r>
          <w:r>
            <w:tab/>
          </w:r>
          <w:r>
            <w:rPr>
              <w:rFonts w:ascii="Times New Roman" w:hAnsi="Times New Roman" w:eastAsia="Times New Roman" w:cs="Times New Roman"/>
              <w:spacing w:val="4"/>
            </w:rPr>
            <w:t>216</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5"/>
            <w:rPr>
              <w:rFonts w:ascii="Times New Roman" w:hAnsi="Times New Roman" w:eastAsia="Times New Roman" w:cs="Times New Roman"/>
            </w:rPr>
          </w:pPr>
          <w:r>
            <w:fldChar w:fldCharType="begin"/>
          </w:r>
          <w:r>
            <w:instrText xml:space="preserve"> HYPERLINK \l "bookmark33" </w:instrText>
          </w:r>
          <w:r>
            <w:fldChar w:fldCharType="separate"/>
          </w:r>
          <w:r>
            <w:rPr>
              <w:rFonts w:ascii="Times New Roman" w:hAnsi="Times New Roman" w:eastAsia="Times New Roman" w:cs="Times New Roman"/>
              <w:b/>
              <w:bCs/>
            </w:rPr>
            <w:t xml:space="preserve">4.5 </w:t>
          </w:r>
          <w:r>
            <w:rPr>
              <w14:textOutline w14:w="3810" w14:cap="flat" w14:cmpd="sng">
                <w14:solidFill>
                  <w14:srgbClr w14:val="000000"/>
                </w14:solidFill>
                <w14:prstDash w14:val="solid"/>
                <w14:miter w14:val="0"/>
              </w14:textOutline>
            </w:rPr>
            <w:t>环境空气影响评价</w:t>
          </w:r>
          <w:r>
            <w:tab/>
          </w:r>
          <w:r>
            <w:rPr>
              <w:rFonts w:ascii="Times New Roman" w:hAnsi="Times New Roman" w:eastAsia="Times New Roman" w:cs="Times New Roman"/>
              <w:spacing w:val="4"/>
            </w:rPr>
            <w:t>235</w:t>
          </w:r>
          <w:r>
            <w:rPr>
              <w:rFonts w:ascii="Times New Roman" w:hAnsi="Times New Roman" w:eastAsia="Times New Roman" w:cs="Times New Roman"/>
              <w:spacing w:val="4"/>
            </w:rPr>
            <w:fldChar w:fldCharType="end"/>
          </w:r>
        </w:p>
        <w:p>
          <w:pPr>
            <w:pStyle w:val="2"/>
            <w:tabs>
              <w:tab w:val="right" w:leader="dot" w:pos="8325"/>
            </w:tabs>
            <w:spacing w:before="102" w:line="185" w:lineRule="auto"/>
            <w:ind w:left="455"/>
            <w:rPr>
              <w:rFonts w:ascii="Times New Roman" w:hAnsi="Times New Roman" w:eastAsia="Times New Roman" w:cs="Times New Roman"/>
            </w:rPr>
          </w:pPr>
          <w:r>
            <w:fldChar w:fldCharType="begin"/>
          </w:r>
          <w:r>
            <w:instrText xml:space="preserve"> HYPERLINK \l "bookmark34" </w:instrText>
          </w:r>
          <w:r>
            <w:fldChar w:fldCharType="separate"/>
          </w:r>
          <w:r>
            <w:rPr>
              <w:rFonts w:ascii="Times New Roman" w:hAnsi="Times New Roman" w:eastAsia="Times New Roman" w:cs="Times New Roman"/>
              <w:b/>
              <w:bCs/>
              <w:spacing w:val="-1"/>
            </w:rPr>
            <w:t xml:space="preserve">4.6 </w:t>
          </w:r>
          <w:r>
            <w:rPr>
              <w:spacing w:val="-1"/>
              <w14:textOutline w14:w="3810" w14:cap="flat" w14:cmpd="sng">
                <w14:solidFill>
                  <w14:srgbClr w14:val="000000"/>
                </w14:solidFill>
                <w14:prstDash w14:val="solid"/>
                <w14:miter w14:val="0"/>
              </w14:textOutline>
            </w:rPr>
            <w:t>声环境影响评价</w:t>
          </w:r>
          <w:r>
            <w:tab/>
          </w:r>
          <w:r>
            <w:rPr>
              <w:rFonts w:ascii="Times New Roman" w:hAnsi="Times New Roman" w:eastAsia="Times New Roman" w:cs="Times New Roman"/>
              <w:spacing w:val="4"/>
            </w:rPr>
            <w:t>235</w:t>
          </w:r>
          <w:r>
            <w:rPr>
              <w:rFonts w:ascii="Times New Roman" w:hAnsi="Times New Roman" w:eastAsia="Times New Roman" w:cs="Times New Roman"/>
              <w:spacing w:val="4"/>
            </w:rPr>
            <w:fldChar w:fldCharType="end"/>
          </w:r>
        </w:p>
        <w:p>
          <w:pPr>
            <w:pStyle w:val="2"/>
            <w:tabs>
              <w:tab w:val="right" w:leader="dot" w:pos="8325"/>
            </w:tabs>
            <w:spacing w:before="102" w:line="185" w:lineRule="auto"/>
            <w:ind w:left="455"/>
            <w:rPr>
              <w:rFonts w:ascii="Times New Roman" w:hAnsi="Times New Roman" w:eastAsia="Times New Roman" w:cs="Times New Roman"/>
            </w:rPr>
          </w:pPr>
          <w:r>
            <w:fldChar w:fldCharType="begin"/>
          </w:r>
          <w:r>
            <w:instrText xml:space="preserve"> HYPERLINK \l "bookmark35" </w:instrText>
          </w:r>
          <w:r>
            <w:fldChar w:fldCharType="separate"/>
          </w:r>
          <w:r>
            <w:rPr>
              <w:rFonts w:ascii="Times New Roman" w:hAnsi="Times New Roman" w:eastAsia="Times New Roman" w:cs="Times New Roman"/>
              <w:b/>
              <w:bCs/>
              <w:spacing w:val="-2"/>
            </w:rPr>
            <w:t>4.7</w:t>
          </w:r>
          <w:r>
            <w:rPr>
              <w:rFonts w:ascii="Times New Roman" w:hAnsi="Times New Roman" w:eastAsia="Times New Roman" w:cs="Times New Roman"/>
              <w:b/>
              <w:bCs/>
              <w:spacing w:val="21"/>
              <w:w w:val="101"/>
            </w:rPr>
            <w:t xml:space="preserve"> </w:t>
          </w:r>
          <w:r>
            <w:rPr>
              <w:spacing w:val="-2"/>
              <w14:textOutline w14:w="3810" w14:cap="flat" w14:cmpd="sng">
                <w14:solidFill>
                  <w14:srgbClr w14:val="000000"/>
                </w14:solidFill>
                <w14:prstDash w14:val="solid"/>
                <w14:miter w14:val="0"/>
              </w14:textOutline>
            </w:rPr>
            <w:t>固体废物影响分析</w:t>
          </w:r>
          <w:r>
            <w:tab/>
          </w:r>
          <w:r>
            <w:rPr>
              <w:rFonts w:ascii="Times New Roman" w:hAnsi="Times New Roman" w:eastAsia="Times New Roman" w:cs="Times New Roman"/>
              <w:spacing w:val="4"/>
            </w:rPr>
            <w:t>237</w:t>
          </w:r>
          <w:r>
            <w:rPr>
              <w:rFonts w:ascii="Times New Roman" w:hAnsi="Times New Roman" w:eastAsia="Times New Roman" w:cs="Times New Roman"/>
              <w:spacing w:val="4"/>
            </w:rPr>
            <w:fldChar w:fldCharType="end"/>
          </w:r>
        </w:p>
        <w:p>
          <w:pPr>
            <w:pStyle w:val="2"/>
            <w:tabs>
              <w:tab w:val="right" w:leader="dot" w:pos="8330"/>
            </w:tabs>
            <w:spacing w:before="101" w:line="185" w:lineRule="auto"/>
            <w:ind w:left="41"/>
            <w:rPr>
              <w:rFonts w:ascii="Times New Roman" w:hAnsi="Times New Roman" w:eastAsia="Times New Roman" w:cs="Times New Roman"/>
            </w:rPr>
          </w:pPr>
          <w:r>
            <w:fldChar w:fldCharType="begin"/>
          </w:r>
          <w:r>
            <w:instrText xml:space="preserve"> HYPERLINK \l "bookmark36" </w:instrText>
          </w:r>
          <w:r>
            <w:fldChar w:fldCharType="separate"/>
          </w:r>
          <w:r>
            <w:rPr>
              <w:rFonts w:ascii="Times New Roman" w:hAnsi="Times New Roman" w:eastAsia="Times New Roman" w:cs="Times New Roman"/>
              <w:b/>
              <w:bCs/>
              <w:spacing w:val="-1"/>
            </w:rPr>
            <w:t xml:space="preserve">5 </w:t>
          </w:r>
          <w:r>
            <w:rPr>
              <w:spacing w:val="-1"/>
              <w14:textOutline w14:w="3810" w14:cap="flat" w14:cmpd="sng">
                <w14:solidFill>
                  <w14:srgbClr w14:val="000000"/>
                </w14:solidFill>
                <w14:prstDash w14:val="solid"/>
                <w14:miter w14:val="0"/>
              </w14:textOutline>
            </w:rPr>
            <w:t>环境风险评价</w:t>
          </w:r>
          <w:r>
            <w:rPr>
              <w:spacing w:val="-39"/>
            </w:rPr>
            <w:t xml:space="preserve"> </w:t>
          </w:r>
          <w:r>
            <w:tab/>
          </w:r>
          <w:r>
            <w:rPr>
              <w:rFonts w:ascii="Times New Roman" w:hAnsi="Times New Roman" w:eastAsia="Times New Roman" w:cs="Times New Roman"/>
              <w:spacing w:val="6"/>
            </w:rPr>
            <w:t>239</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57"/>
            <w:rPr>
              <w:rFonts w:ascii="Times New Roman" w:hAnsi="Times New Roman" w:eastAsia="Times New Roman" w:cs="Times New Roman"/>
            </w:rPr>
          </w:pPr>
          <w:r>
            <w:fldChar w:fldCharType="begin"/>
          </w:r>
          <w:r>
            <w:instrText xml:space="preserve"> HYPERLINK \l "bookmark37" </w:instrText>
          </w:r>
          <w:r>
            <w:fldChar w:fldCharType="separate"/>
          </w:r>
          <w:r>
            <w:rPr>
              <w:rFonts w:ascii="Times New Roman" w:hAnsi="Times New Roman" w:eastAsia="Times New Roman" w:cs="Times New Roman"/>
              <w:b/>
              <w:bCs/>
              <w:spacing w:val="-1"/>
            </w:rPr>
            <w:t xml:space="preserve">5.1 </w:t>
          </w:r>
          <w:r>
            <w:rPr>
              <w:spacing w:val="-1"/>
              <w14:textOutline w14:w="3810" w14:cap="flat" w14:cmpd="sng">
                <w14:solidFill>
                  <w14:srgbClr w14:val="000000"/>
                </w14:solidFill>
                <w14:prstDash w14:val="solid"/>
                <w14:miter w14:val="0"/>
              </w14:textOutline>
            </w:rPr>
            <w:t>施工期环境风险分析</w:t>
          </w:r>
          <w:r>
            <w:tab/>
          </w:r>
          <w:r>
            <w:rPr>
              <w:rFonts w:ascii="Times New Roman" w:hAnsi="Times New Roman" w:eastAsia="Times New Roman" w:cs="Times New Roman"/>
              <w:spacing w:val="4"/>
            </w:rPr>
            <w:t>239</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7"/>
            <w:rPr>
              <w:rFonts w:ascii="Times New Roman" w:hAnsi="Times New Roman" w:eastAsia="Times New Roman" w:cs="Times New Roman"/>
            </w:rPr>
          </w:pPr>
          <w:r>
            <w:fldChar w:fldCharType="begin"/>
          </w:r>
          <w:r>
            <w:instrText xml:space="preserve"> HYPERLINK \l "bookmark38" </w:instrText>
          </w:r>
          <w:r>
            <w:fldChar w:fldCharType="separate"/>
          </w:r>
          <w:r>
            <w:rPr>
              <w:rFonts w:ascii="Times New Roman" w:hAnsi="Times New Roman" w:eastAsia="Times New Roman" w:cs="Times New Roman"/>
              <w:b/>
              <w:bCs/>
              <w:spacing w:val="-1"/>
            </w:rPr>
            <w:t xml:space="preserve">5.2 </w:t>
          </w:r>
          <w:r>
            <w:rPr>
              <w:spacing w:val="-1"/>
              <w14:textOutline w14:w="3810" w14:cap="flat" w14:cmpd="sng">
                <w14:solidFill>
                  <w14:srgbClr w14:val="000000"/>
                </w14:solidFill>
                <w14:prstDash w14:val="solid"/>
                <w14:miter w14:val="0"/>
              </w14:textOutline>
            </w:rPr>
            <w:t>运营期环境风险分析</w:t>
          </w:r>
          <w:r>
            <w:tab/>
          </w:r>
          <w:r>
            <w:rPr>
              <w:rFonts w:ascii="Times New Roman" w:hAnsi="Times New Roman" w:eastAsia="Times New Roman" w:cs="Times New Roman"/>
              <w:spacing w:val="4"/>
            </w:rPr>
            <w:t>243</w:t>
          </w:r>
          <w:r>
            <w:rPr>
              <w:rFonts w:ascii="Times New Roman" w:hAnsi="Times New Roman" w:eastAsia="Times New Roman" w:cs="Times New Roman"/>
              <w:spacing w:val="4"/>
            </w:rPr>
            <w:fldChar w:fldCharType="end"/>
          </w:r>
        </w:p>
        <w:p>
          <w:pPr>
            <w:pStyle w:val="2"/>
            <w:tabs>
              <w:tab w:val="right" w:leader="dot" w:pos="8330"/>
            </w:tabs>
            <w:spacing w:before="102" w:line="185" w:lineRule="auto"/>
            <w:ind w:left="42"/>
            <w:rPr>
              <w:rFonts w:ascii="Times New Roman" w:hAnsi="Times New Roman" w:eastAsia="Times New Roman" w:cs="Times New Roman"/>
            </w:rPr>
          </w:pPr>
          <w:r>
            <w:fldChar w:fldCharType="begin"/>
          </w:r>
          <w:r>
            <w:instrText xml:space="preserve"> HYPERLINK \l "bookmark39" </w:instrText>
          </w:r>
          <w:r>
            <w:fldChar w:fldCharType="separate"/>
          </w:r>
          <w:r>
            <w:rPr>
              <w:rFonts w:ascii="Times New Roman" w:hAnsi="Times New Roman" w:eastAsia="Times New Roman" w:cs="Times New Roman"/>
              <w:b/>
              <w:bCs/>
              <w:spacing w:val="-1"/>
            </w:rPr>
            <w:t xml:space="preserve">6 </w:t>
          </w:r>
          <w:r>
            <w:rPr>
              <w:spacing w:val="-1"/>
              <w14:textOutline w14:w="3810" w14:cap="flat" w14:cmpd="sng">
                <w14:solidFill>
                  <w14:srgbClr w14:val="000000"/>
                </w14:solidFill>
                <w14:prstDash w14:val="solid"/>
                <w14:miter w14:val="0"/>
              </w14:textOutline>
            </w:rPr>
            <w:t>环境保护措施</w:t>
          </w:r>
          <w:r>
            <w:rPr>
              <w:spacing w:val="-40"/>
            </w:rPr>
            <w:t xml:space="preserve"> </w:t>
          </w:r>
          <w:r>
            <w:tab/>
          </w:r>
          <w:r>
            <w:rPr>
              <w:rFonts w:ascii="Times New Roman" w:hAnsi="Times New Roman" w:eastAsia="Times New Roman" w:cs="Times New Roman"/>
              <w:spacing w:val="6"/>
            </w:rPr>
            <w:t>246</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57"/>
            <w:rPr>
              <w:rFonts w:ascii="Times New Roman" w:hAnsi="Times New Roman" w:eastAsia="Times New Roman" w:cs="Times New Roman"/>
            </w:rPr>
          </w:pPr>
          <w:r>
            <w:fldChar w:fldCharType="begin"/>
          </w:r>
          <w:r>
            <w:instrText xml:space="preserve"> HYPERLINK \l "bookmark40" </w:instrText>
          </w:r>
          <w:r>
            <w:fldChar w:fldCharType="separate"/>
          </w:r>
          <w:r>
            <w:rPr>
              <w:rFonts w:ascii="Times New Roman" w:hAnsi="Times New Roman" w:eastAsia="Times New Roman" w:cs="Times New Roman"/>
              <w:b/>
              <w:bCs/>
              <w:spacing w:val="-1"/>
            </w:rPr>
            <w:t xml:space="preserve">6.1 </w:t>
          </w:r>
          <w:r>
            <w:rPr>
              <w:spacing w:val="-1"/>
              <w14:textOutline w14:w="3810" w14:cap="flat" w14:cmpd="sng">
                <w14:solidFill>
                  <w14:srgbClr w14:val="000000"/>
                </w14:solidFill>
                <w14:prstDash w14:val="solid"/>
                <w14:miter w14:val="0"/>
              </w14:textOutline>
            </w:rPr>
            <w:t>生态环境保护措施</w:t>
          </w:r>
          <w:r>
            <w:tab/>
          </w:r>
          <w:r>
            <w:rPr>
              <w:rFonts w:ascii="Times New Roman" w:hAnsi="Times New Roman" w:eastAsia="Times New Roman" w:cs="Times New Roman"/>
              <w:spacing w:val="4"/>
            </w:rPr>
            <w:t>246</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7"/>
            <w:rPr>
              <w:rFonts w:ascii="Times New Roman" w:hAnsi="Times New Roman" w:eastAsia="Times New Roman" w:cs="Times New Roman"/>
            </w:rPr>
          </w:pPr>
          <w:r>
            <w:fldChar w:fldCharType="begin"/>
          </w:r>
          <w:r>
            <w:instrText xml:space="preserve"> HYPERLINK \l "bookmark41" </w:instrText>
          </w:r>
          <w:r>
            <w:fldChar w:fldCharType="separate"/>
          </w:r>
          <w:r>
            <w:rPr>
              <w:rFonts w:ascii="Times New Roman" w:hAnsi="Times New Roman" w:eastAsia="Times New Roman" w:cs="Times New Roman"/>
              <w:b/>
              <w:bCs/>
              <w:spacing w:val="-1"/>
            </w:rPr>
            <w:t xml:space="preserve">6.2 </w:t>
          </w:r>
          <w:r>
            <w:rPr>
              <w:spacing w:val="-1"/>
              <w14:textOutline w14:w="3810" w14:cap="flat" w14:cmpd="sng">
                <w14:solidFill>
                  <w14:srgbClr w14:val="000000"/>
                </w14:solidFill>
                <w14:prstDash w14:val="solid"/>
                <w14:miter w14:val="0"/>
              </w14:textOutline>
            </w:rPr>
            <w:t>地表水环境保护措施</w:t>
          </w:r>
          <w:r>
            <w:tab/>
          </w:r>
          <w:r>
            <w:rPr>
              <w:rFonts w:ascii="Times New Roman" w:hAnsi="Times New Roman" w:eastAsia="Times New Roman" w:cs="Times New Roman"/>
              <w:spacing w:val="4"/>
            </w:rPr>
            <w:t>249</w:t>
          </w:r>
          <w:r>
            <w:rPr>
              <w:rFonts w:ascii="Times New Roman" w:hAnsi="Times New Roman" w:eastAsia="Times New Roman" w:cs="Times New Roman"/>
              <w:spacing w:val="4"/>
            </w:rPr>
            <w:fldChar w:fldCharType="end"/>
          </w:r>
        </w:p>
        <w:p>
          <w:pPr>
            <w:pStyle w:val="2"/>
            <w:tabs>
              <w:tab w:val="right" w:leader="dot" w:pos="8325"/>
            </w:tabs>
            <w:spacing w:before="102" w:line="219" w:lineRule="auto"/>
            <w:ind w:left="457"/>
            <w:rPr>
              <w:rFonts w:ascii="Times New Roman" w:hAnsi="Times New Roman" w:eastAsia="Times New Roman" w:cs="Times New Roman"/>
            </w:rPr>
          </w:pPr>
          <w:r>
            <w:fldChar w:fldCharType="begin"/>
          </w:r>
          <w:r>
            <w:instrText xml:space="preserve"> HYPERLINK \l "bookmark42" </w:instrText>
          </w:r>
          <w:r>
            <w:fldChar w:fldCharType="separate"/>
          </w:r>
          <w:r>
            <w:rPr>
              <w:rFonts w:ascii="Times New Roman" w:hAnsi="Times New Roman" w:eastAsia="Times New Roman" w:cs="Times New Roman"/>
              <w:b/>
              <w:bCs/>
              <w:spacing w:val="-1"/>
            </w:rPr>
            <w:t xml:space="preserve">6.3 </w:t>
          </w:r>
          <w:r>
            <w:rPr>
              <w:spacing w:val="-1"/>
              <w14:textOutline w14:w="3810" w14:cap="flat" w14:cmpd="sng">
                <w14:solidFill>
                  <w14:srgbClr w14:val="000000"/>
                </w14:solidFill>
                <w14:prstDash w14:val="solid"/>
                <w14:miter w14:val="0"/>
              </w14:textOutline>
            </w:rPr>
            <w:t>环境空气保护措施</w:t>
          </w:r>
          <w:r>
            <w:tab/>
          </w:r>
          <w:r>
            <w:rPr>
              <w:rFonts w:ascii="Times New Roman" w:hAnsi="Times New Roman" w:eastAsia="Times New Roman" w:cs="Times New Roman"/>
              <w:spacing w:val="4"/>
            </w:rPr>
            <w:t>252</w:t>
          </w:r>
          <w:r>
            <w:rPr>
              <w:rFonts w:ascii="Times New Roman" w:hAnsi="Times New Roman" w:eastAsia="Times New Roman" w:cs="Times New Roman"/>
              <w:spacing w:val="4"/>
            </w:rPr>
            <w:fldChar w:fldCharType="end"/>
          </w:r>
        </w:p>
      </w:sdtContent>
    </w:sdt>
    <w:p>
      <w:pPr>
        <w:spacing w:line="219" w:lineRule="auto"/>
        <w:rPr>
          <w:rFonts w:ascii="Times New Roman" w:hAnsi="Times New Roman" w:eastAsia="Times New Roman" w:cs="Times New Roman"/>
        </w:rPr>
        <w:sectPr>
          <w:headerReference r:id="rId3" w:type="default"/>
          <w:footerReference r:id="rId4" w:type="default"/>
          <w:pgSz w:w="11907" w:h="16839"/>
          <w:pgMar w:top="1156" w:right="1768" w:bottom="1174" w:left="1770" w:header="881" w:footer="946" w:gutter="0"/>
        </w:sectPr>
      </w:pPr>
    </w:p>
    <w:p>
      <w:pPr>
        <w:spacing w:line="264" w:lineRule="auto"/>
        <w:rPr>
          <w:rFonts w:ascii="Arial"/>
          <w:sz w:val="21"/>
        </w:rPr>
      </w:pPr>
    </w:p>
    <w:sdt>
      <w:sdtPr>
        <w:rPr>
          <w:rFonts w:ascii="Times New Roman" w:hAnsi="Times New Roman" w:eastAsia="Times New Roman" w:cs="Times New Roman"/>
          <w:sz w:val="21"/>
          <w:szCs w:val="21"/>
        </w:rPr>
        <w:id w:val="0"/>
        <w:docPartObj>
          <w:docPartGallery w:val="Table of Contents"/>
          <w:docPartUnique/>
        </w:docPartObj>
      </w:sdtPr>
      <w:sdtEndPr>
        <w:rPr>
          <w:rFonts w:ascii="Times New Roman" w:hAnsi="Times New Roman" w:eastAsia="Times New Roman" w:cs="Times New Roman"/>
          <w:sz w:val="21"/>
          <w:szCs w:val="21"/>
        </w:rPr>
      </w:sdtEndPr>
      <w:sdtContent>
        <w:p>
          <w:pPr>
            <w:pStyle w:val="2"/>
            <w:tabs>
              <w:tab w:val="right" w:leader="dot" w:pos="8325"/>
            </w:tabs>
            <w:spacing w:before="68" w:line="185" w:lineRule="auto"/>
            <w:ind w:left="457"/>
            <w:rPr>
              <w:rFonts w:ascii="Times New Roman" w:hAnsi="Times New Roman" w:eastAsia="Times New Roman" w:cs="Times New Roman"/>
            </w:rPr>
          </w:pPr>
          <w:r>
            <w:fldChar w:fldCharType="begin"/>
          </w:r>
          <w:r>
            <w:instrText xml:space="preserve"> HYPERLINK \l "bookmark43" </w:instrText>
          </w:r>
          <w:r>
            <w:fldChar w:fldCharType="separate"/>
          </w:r>
          <w:r>
            <w:rPr>
              <w:rFonts w:ascii="Times New Roman" w:hAnsi="Times New Roman" w:eastAsia="Times New Roman" w:cs="Times New Roman"/>
              <w:b/>
              <w:bCs/>
              <w:spacing w:val="-1"/>
            </w:rPr>
            <w:t xml:space="preserve">6.4 </w:t>
          </w:r>
          <w:r>
            <w:rPr>
              <w:spacing w:val="-1"/>
              <w14:textOutline w14:w="3810" w14:cap="flat" w14:cmpd="sng">
                <w14:solidFill>
                  <w14:srgbClr w14:val="000000"/>
                </w14:solidFill>
                <w14:prstDash w14:val="solid"/>
                <w14:miter w14:val="0"/>
              </w14:textOutline>
            </w:rPr>
            <w:t>声环境保护措施</w:t>
          </w:r>
          <w:r>
            <w:tab/>
          </w:r>
          <w:r>
            <w:rPr>
              <w:rFonts w:ascii="Times New Roman" w:hAnsi="Times New Roman" w:eastAsia="Times New Roman" w:cs="Times New Roman"/>
              <w:spacing w:val="4"/>
            </w:rPr>
            <w:t>253</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7"/>
            <w:rPr>
              <w:rFonts w:ascii="Times New Roman" w:hAnsi="Times New Roman" w:eastAsia="Times New Roman" w:cs="Times New Roman"/>
            </w:rPr>
          </w:pPr>
          <w:r>
            <w:fldChar w:fldCharType="begin"/>
          </w:r>
          <w:r>
            <w:instrText xml:space="preserve"> HYPERLINK \l "bookmark44" </w:instrText>
          </w:r>
          <w:r>
            <w:fldChar w:fldCharType="separate"/>
          </w:r>
          <w:r>
            <w:rPr>
              <w:rFonts w:ascii="Times New Roman" w:hAnsi="Times New Roman" w:eastAsia="Times New Roman" w:cs="Times New Roman"/>
              <w:b/>
              <w:bCs/>
              <w:spacing w:val="-2"/>
            </w:rPr>
            <w:t>6.5</w:t>
          </w:r>
          <w:r>
            <w:rPr>
              <w:rFonts w:ascii="Times New Roman" w:hAnsi="Times New Roman" w:eastAsia="Times New Roman" w:cs="Times New Roman"/>
              <w:b/>
              <w:bCs/>
              <w:spacing w:val="23"/>
            </w:rPr>
            <w:t xml:space="preserve"> </w:t>
          </w:r>
          <w:r>
            <w:rPr>
              <w:spacing w:val="-2"/>
              <w14:textOutline w14:w="3810" w14:cap="flat" w14:cmpd="sng">
                <w14:solidFill>
                  <w14:srgbClr w14:val="000000"/>
                </w14:solidFill>
                <w14:prstDash w14:val="solid"/>
                <w14:miter w14:val="0"/>
              </w14:textOutline>
            </w:rPr>
            <w:t>固体废物污染防治措施</w:t>
          </w:r>
          <w:r>
            <w:tab/>
          </w:r>
          <w:r>
            <w:rPr>
              <w:rFonts w:ascii="Times New Roman" w:hAnsi="Times New Roman" w:eastAsia="Times New Roman" w:cs="Times New Roman"/>
              <w:spacing w:val="4"/>
            </w:rPr>
            <w:t>253</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7"/>
            <w:rPr>
              <w:rFonts w:ascii="Times New Roman" w:hAnsi="Times New Roman" w:eastAsia="Times New Roman" w:cs="Times New Roman"/>
            </w:rPr>
          </w:pPr>
          <w:r>
            <w:fldChar w:fldCharType="begin"/>
          </w:r>
          <w:r>
            <w:instrText xml:space="preserve"> HYPERLINK \l "bookmark45" </w:instrText>
          </w:r>
          <w:r>
            <w:fldChar w:fldCharType="separate"/>
          </w:r>
          <w:r>
            <w:rPr>
              <w:rFonts w:ascii="Times New Roman" w:hAnsi="Times New Roman" w:eastAsia="Times New Roman" w:cs="Times New Roman"/>
              <w:b/>
              <w:bCs/>
              <w:spacing w:val="-1"/>
            </w:rPr>
            <w:t xml:space="preserve">6.6 </w:t>
          </w:r>
          <w:r>
            <w:rPr>
              <w:spacing w:val="-1"/>
              <w14:textOutline w14:w="3810" w14:cap="flat" w14:cmpd="sng">
                <w14:solidFill>
                  <w14:srgbClr w14:val="000000"/>
                </w14:solidFill>
                <w14:prstDash w14:val="solid"/>
                <w14:miter w14:val="0"/>
              </w14:textOutline>
            </w:rPr>
            <w:t>环境风险防范措施</w:t>
          </w:r>
          <w:r>
            <w:tab/>
          </w:r>
          <w:r>
            <w:rPr>
              <w:rFonts w:ascii="Times New Roman" w:hAnsi="Times New Roman" w:eastAsia="Times New Roman" w:cs="Times New Roman"/>
              <w:spacing w:val="4"/>
            </w:rPr>
            <w:t>254</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7"/>
            <w:rPr>
              <w:rFonts w:ascii="Times New Roman" w:hAnsi="Times New Roman" w:eastAsia="Times New Roman" w:cs="Times New Roman"/>
            </w:rPr>
          </w:pPr>
          <w:r>
            <w:fldChar w:fldCharType="begin"/>
          </w:r>
          <w:r>
            <w:instrText xml:space="preserve"> HYPERLINK \l "bookmark46" </w:instrText>
          </w:r>
          <w:r>
            <w:fldChar w:fldCharType="separate"/>
          </w:r>
          <w:r>
            <w:rPr>
              <w:rFonts w:ascii="Times New Roman" w:hAnsi="Times New Roman" w:eastAsia="Times New Roman" w:cs="Times New Roman"/>
              <w:b/>
              <w:bCs/>
              <w:spacing w:val="-1"/>
            </w:rPr>
            <w:t xml:space="preserve">6.7 </w:t>
          </w:r>
          <w:r>
            <w:rPr>
              <w:spacing w:val="-1"/>
              <w14:textOutline w14:w="3810" w14:cap="flat" w14:cmpd="sng">
                <w14:solidFill>
                  <w14:srgbClr w14:val="000000"/>
                </w14:solidFill>
                <w14:prstDash w14:val="solid"/>
                <w14:miter w14:val="0"/>
              </w14:textOutline>
            </w:rPr>
            <w:t>环境保护措施汇总</w:t>
          </w:r>
          <w:r>
            <w:tab/>
          </w:r>
          <w:r>
            <w:rPr>
              <w:rFonts w:ascii="Times New Roman" w:hAnsi="Times New Roman" w:eastAsia="Times New Roman" w:cs="Times New Roman"/>
              <w:spacing w:val="4"/>
            </w:rPr>
            <w:t>255</w:t>
          </w:r>
          <w:r>
            <w:rPr>
              <w:rFonts w:ascii="Times New Roman" w:hAnsi="Times New Roman" w:eastAsia="Times New Roman" w:cs="Times New Roman"/>
              <w:spacing w:val="4"/>
            </w:rPr>
            <w:fldChar w:fldCharType="end"/>
          </w:r>
        </w:p>
        <w:p>
          <w:pPr>
            <w:pStyle w:val="2"/>
            <w:tabs>
              <w:tab w:val="right" w:leader="dot" w:pos="8330"/>
            </w:tabs>
            <w:spacing w:before="101" w:line="185" w:lineRule="auto"/>
            <w:ind w:left="41"/>
            <w:rPr>
              <w:rFonts w:ascii="Times New Roman" w:hAnsi="Times New Roman" w:eastAsia="Times New Roman" w:cs="Times New Roman"/>
            </w:rPr>
          </w:pPr>
          <w:r>
            <w:fldChar w:fldCharType="begin"/>
          </w:r>
          <w:r>
            <w:instrText xml:space="preserve"> HYPERLINK \l "bookmark47" </w:instrText>
          </w:r>
          <w:r>
            <w:fldChar w:fldCharType="separate"/>
          </w:r>
          <w:r>
            <w:rPr>
              <w:rFonts w:ascii="Times New Roman" w:hAnsi="Times New Roman" w:eastAsia="Times New Roman" w:cs="Times New Roman"/>
              <w:b/>
              <w:bCs/>
            </w:rPr>
            <w:t xml:space="preserve">7 </w:t>
          </w:r>
          <w:r>
            <w:rPr>
              <w14:textOutline w14:w="3810" w14:cap="flat" w14:cmpd="sng">
                <w14:solidFill>
                  <w14:srgbClr w14:val="000000"/>
                </w14:solidFill>
                <w14:prstDash w14:val="solid"/>
                <w14:miter w14:val="0"/>
              </w14:textOutline>
            </w:rPr>
            <w:t>环境监测计划、环境监理与环境管理</w:t>
          </w:r>
          <w:r>
            <w:rPr>
              <w:spacing w:val="-35"/>
            </w:rPr>
            <w:t xml:space="preserve"> </w:t>
          </w:r>
          <w:r>
            <w:tab/>
          </w:r>
          <w:r>
            <w:rPr>
              <w:rFonts w:ascii="Times New Roman" w:hAnsi="Times New Roman" w:eastAsia="Times New Roman" w:cs="Times New Roman"/>
              <w:spacing w:val="6"/>
            </w:rPr>
            <w:t>263</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57"/>
            <w:rPr>
              <w:rFonts w:ascii="Times New Roman" w:hAnsi="Times New Roman" w:eastAsia="Times New Roman" w:cs="Times New Roman"/>
            </w:rPr>
          </w:pPr>
          <w:r>
            <w:fldChar w:fldCharType="begin"/>
          </w:r>
          <w:r>
            <w:instrText xml:space="preserve"> HYPERLINK \l "bookmark48" </w:instrText>
          </w:r>
          <w:r>
            <w:fldChar w:fldCharType="separate"/>
          </w:r>
          <w:r>
            <w:rPr>
              <w:rFonts w:ascii="Times New Roman" w:hAnsi="Times New Roman" w:eastAsia="Times New Roman" w:cs="Times New Roman"/>
              <w:b/>
              <w:bCs/>
              <w:spacing w:val="-1"/>
            </w:rPr>
            <w:t xml:space="preserve">7.1  </w:t>
          </w:r>
          <w:r>
            <w:rPr>
              <w:spacing w:val="-1"/>
              <w14:textOutline w14:w="3810" w14:cap="flat" w14:cmpd="sng">
                <w14:solidFill>
                  <w14:srgbClr w14:val="000000"/>
                </w14:solidFill>
                <w14:prstDash w14:val="solid"/>
                <w14:miter w14:val="0"/>
              </w14:textOutline>
            </w:rPr>
            <w:t>环境监测计划</w:t>
          </w:r>
          <w:r>
            <w:tab/>
          </w:r>
          <w:r>
            <w:rPr>
              <w:rFonts w:ascii="Times New Roman" w:hAnsi="Times New Roman" w:eastAsia="Times New Roman" w:cs="Times New Roman"/>
              <w:spacing w:val="4"/>
            </w:rPr>
            <w:t>263</w:t>
          </w:r>
          <w:r>
            <w:rPr>
              <w:rFonts w:ascii="Times New Roman" w:hAnsi="Times New Roman" w:eastAsia="Times New Roman" w:cs="Times New Roman"/>
              <w:spacing w:val="4"/>
            </w:rPr>
            <w:fldChar w:fldCharType="end"/>
          </w:r>
        </w:p>
        <w:p>
          <w:pPr>
            <w:pStyle w:val="2"/>
            <w:tabs>
              <w:tab w:val="right" w:leader="dot" w:pos="8325"/>
            </w:tabs>
            <w:spacing w:before="102" w:line="185" w:lineRule="auto"/>
            <w:ind w:left="457"/>
            <w:rPr>
              <w:rFonts w:ascii="Times New Roman" w:hAnsi="Times New Roman" w:eastAsia="Times New Roman" w:cs="Times New Roman"/>
            </w:rPr>
          </w:pPr>
          <w:r>
            <w:fldChar w:fldCharType="begin"/>
          </w:r>
          <w:r>
            <w:instrText xml:space="preserve"> HYPERLINK \l "bookmark49" </w:instrText>
          </w:r>
          <w:r>
            <w:fldChar w:fldCharType="separate"/>
          </w:r>
          <w:r>
            <w:rPr>
              <w:rFonts w:ascii="Times New Roman" w:hAnsi="Times New Roman" w:eastAsia="Times New Roman" w:cs="Times New Roman"/>
              <w:b/>
              <w:bCs/>
              <w:spacing w:val="-1"/>
            </w:rPr>
            <w:t xml:space="preserve">7.2  </w:t>
          </w:r>
          <w:r>
            <w:rPr>
              <w:spacing w:val="-1"/>
              <w14:textOutline w14:w="3810" w14:cap="flat" w14:cmpd="sng">
                <w14:solidFill>
                  <w14:srgbClr w14:val="000000"/>
                </w14:solidFill>
                <w14:prstDash w14:val="solid"/>
                <w14:miter w14:val="0"/>
              </w14:textOutline>
            </w:rPr>
            <w:t>环境监理</w:t>
          </w:r>
          <w:r>
            <w:tab/>
          </w:r>
          <w:r>
            <w:rPr>
              <w:rFonts w:ascii="Times New Roman" w:hAnsi="Times New Roman" w:eastAsia="Times New Roman" w:cs="Times New Roman"/>
              <w:spacing w:val="4"/>
            </w:rPr>
            <w:t>265</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7"/>
            <w:rPr>
              <w:rFonts w:ascii="Times New Roman" w:hAnsi="Times New Roman" w:eastAsia="Times New Roman" w:cs="Times New Roman"/>
            </w:rPr>
          </w:pPr>
          <w:r>
            <w:fldChar w:fldCharType="begin"/>
          </w:r>
          <w:r>
            <w:instrText xml:space="preserve"> HYPERLINK \l "bookmark50" </w:instrText>
          </w:r>
          <w:r>
            <w:fldChar w:fldCharType="separate"/>
          </w:r>
          <w:r>
            <w:rPr>
              <w:rFonts w:ascii="Times New Roman" w:hAnsi="Times New Roman" w:eastAsia="Times New Roman" w:cs="Times New Roman"/>
              <w:b/>
              <w:bCs/>
              <w:spacing w:val="-1"/>
            </w:rPr>
            <w:t xml:space="preserve">7.3 </w:t>
          </w:r>
          <w:r>
            <w:rPr>
              <w:spacing w:val="-1"/>
              <w14:textOutline w14:w="3810" w14:cap="flat" w14:cmpd="sng">
                <w14:solidFill>
                  <w14:srgbClr w14:val="000000"/>
                </w14:solidFill>
                <w14:prstDash w14:val="solid"/>
                <w14:miter w14:val="0"/>
              </w14:textOutline>
            </w:rPr>
            <w:t>环境管理</w:t>
          </w:r>
          <w:r>
            <w:tab/>
          </w:r>
          <w:r>
            <w:rPr>
              <w:rFonts w:ascii="Times New Roman" w:hAnsi="Times New Roman" w:eastAsia="Times New Roman" w:cs="Times New Roman"/>
              <w:spacing w:val="4"/>
            </w:rPr>
            <w:t>267</w:t>
          </w:r>
          <w:r>
            <w:rPr>
              <w:rFonts w:ascii="Times New Roman" w:hAnsi="Times New Roman" w:eastAsia="Times New Roman" w:cs="Times New Roman"/>
              <w:spacing w:val="4"/>
            </w:rPr>
            <w:fldChar w:fldCharType="end"/>
          </w:r>
        </w:p>
        <w:p>
          <w:pPr>
            <w:pStyle w:val="2"/>
            <w:tabs>
              <w:tab w:val="right" w:leader="dot" w:pos="8325"/>
            </w:tabs>
            <w:spacing w:before="102" w:line="185" w:lineRule="auto"/>
            <w:ind w:left="457"/>
            <w:rPr>
              <w:rFonts w:ascii="Times New Roman" w:hAnsi="Times New Roman" w:eastAsia="Times New Roman" w:cs="Times New Roman"/>
            </w:rPr>
          </w:pPr>
          <w:r>
            <w:fldChar w:fldCharType="begin"/>
          </w:r>
          <w:r>
            <w:instrText xml:space="preserve"> HYPERLINK \l "bookmark51" </w:instrText>
          </w:r>
          <w:r>
            <w:fldChar w:fldCharType="separate"/>
          </w:r>
          <w:r>
            <w:rPr>
              <w:rFonts w:ascii="Times New Roman" w:hAnsi="Times New Roman" w:eastAsia="Times New Roman" w:cs="Times New Roman"/>
              <w:b/>
              <w:bCs/>
              <w:spacing w:val="-1"/>
            </w:rPr>
            <w:t xml:space="preserve">7.4 </w:t>
          </w:r>
          <w:r>
            <w:rPr>
              <w:spacing w:val="-1"/>
              <w14:textOutline w14:w="3810" w14:cap="flat" w14:cmpd="sng">
                <w14:solidFill>
                  <w14:srgbClr w14:val="000000"/>
                </w14:solidFill>
                <w14:prstDash w14:val="solid"/>
                <w14:miter w14:val="0"/>
              </w14:textOutline>
            </w:rPr>
            <w:t>竣工环境保护验收</w:t>
          </w:r>
          <w:r>
            <w:tab/>
          </w:r>
          <w:r>
            <w:rPr>
              <w:rFonts w:ascii="Times New Roman" w:hAnsi="Times New Roman" w:eastAsia="Times New Roman" w:cs="Times New Roman"/>
              <w:spacing w:val="4"/>
            </w:rPr>
            <w:t>269</w:t>
          </w:r>
          <w:r>
            <w:rPr>
              <w:rFonts w:ascii="Times New Roman" w:hAnsi="Times New Roman" w:eastAsia="Times New Roman" w:cs="Times New Roman"/>
              <w:spacing w:val="4"/>
            </w:rPr>
            <w:fldChar w:fldCharType="end"/>
          </w:r>
        </w:p>
        <w:p>
          <w:pPr>
            <w:pStyle w:val="2"/>
            <w:tabs>
              <w:tab w:val="right" w:leader="dot" w:pos="8330"/>
            </w:tabs>
            <w:spacing w:before="101" w:line="185" w:lineRule="auto"/>
            <w:ind w:left="42"/>
            <w:rPr>
              <w:rFonts w:ascii="Times New Roman" w:hAnsi="Times New Roman" w:eastAsia="Times New Roman" w:cs="Times New Roman"/>
            </w:rPr>
          </w:pPr>
          <w:r>
            <w:fldChar w:fldCharType="begin"/>
          </w:r>
          <w:r>
            <w:instrText xml:space="preserve"> HYPERLINK \l "bookmark52" </w:instrText>
          </w:r>
          <w:r>
            <w:fldChar w:fldCharType="separate"/>
          </w:r>
          <w:r>
            <w:rPr>
              <w:rFonts w:ascii="Times New Roman" w:hAnsi="Times New Roman" w:eastAsia="Times New Roman" w:cs="Times New Roman"/>
              <w:b/>
              <w:bCs/>
              <w:spacing w:val="-1"/>
            </w:rPr>
            <w:t xml:space="preserve">8 </w:t>
          </w:r>
          <w:r>
            <w:rPr>
              <w:spacing w:val="-1"/>
              <w14:textOutline w14:w="3810" w14:cap="flat" w14:cmpd="sng">
                <w14:solidFill>
                  <w14:srgbClr w14:val="000000"/>
                </w14:solidFill>
                <w14:prstDash w14:val="solid"/>
                <w14:miter w14:val="0"/>
              </w14:textOutline>
            </w:rPr>
            <w:t>环境经济损益分析</w:t>
          </w:r>
          <w:r>
            <w:rPr>
              <w:spacing w:val="-35"/>
            </w:rPr>
            <w:t xml:space="preserve"> </w:t>
          </w:r>
          <w:r>
            <w:tab/>
          </w:r>
          <w:r>
            <w:rPr>
              <w:rFonts w:ascii="Times New Roman" w:hAnsi="Times New Roman" w:eastAsia="Times New Roman" w:cs="Times New Roman"/>
              <w:spacing w:val="6"/>
            </w:rPr>
            <w:t>271</w:t>
          </w:r>
          <w:r>
            <w:rPr>
              <w:rFonts w:ascii="Times New Roman" w:hAnsi="Times New Roman" w:eastAsia="Times New Roman" w:cs="Times New Roman"/>
              <w:spacing w:val="6"/>
            </w:rPr>
            <w:fldChar w:fldCharType="end"/>
          </w:r>
        </w:p>
        <w:p>
          <w:pPr>
            <w:pStyle w:val="2"/>
            <w:tabs>
              <w:tab w:val="right" w:leader="dot" w:pos="8325"/>
            </w:tabs>
            <w:spacing w:before="102" w:line="185" w:lineRule="auto"/>
            <w:ind w:left="457"/>
            <w:rPr>
              <w:rFonts w:ascii="Times New Roman" w:hAnsi="Times New Roman" w:eastAsia="Times New Roman" w:cs="Times New Roman"/>
            </w:rPr>
          </w:pPr>
          <w:r>
            <w:fldChar w:fldCharType="begin"/>
          </w:r>
          <w:r>
            <w:instrText xml:space="preserve"> HYPERLINK \l "bookmark53" </w:instrText>
          </w:r>
          <w:r>
            <w:fldChar w:fldCharType="separate"/>
          </w:r>
          <w:r>
            <w:rPr>
              <w:rFonts w:ascii="Times New Roman" w:hAnsi="Times New Roman" w:eastAsia="Times New Roman" w:cs="Times New Roman"/>
              <w:b/>
              <w:bCs/>
              <w:spacing w:val="-1"/>
            </w:rPr>
            <w:t xml:space="preserve">8.1  </w:t>
          </w:r>
          <w:r>
            <w:rPr>
              <w:spacing w:val="-1"/>
              <w14:textOutline w14:w="3810" w14:cap="flat" w14:cmpd="sng">
                <w14:solidFill>
                  <w14:srgbClr w14:val="000000"/>
                </w14:solidFill>
                <w14:prstDash w14:val="solid"/>
                <w14:miter w14:val="0"/>
              </w14:textOutline>
            </w:rPr>
            <w:t>环境保护投资</w:t>
          </w:r>
          <w:r>
            <w:tab/>
          </w:r>
          <w:r>
            <w:rPr>
              <w:rFonts w:ascii="Times New Roman" w:hAnsi="Times New Roman" w:eastAsia="Times New Roman" w:cs="Times New Roman"/>
              <w:spacing w:val="4"/>
            </w:rPr>
            <w:t>271</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7"/>
            <w:rPr>
              <w:rFonts w:ascii="Times New Roman" w:hAnsi="Times New Roman" w:eastAsia="Times New Roman" w:cs="Times New Roman"/>
            </w:rPr>
          </w:pPr>
          <w:r>
            <w:fldChar w:fldCharType="begin"/>
          </w:r>
          <w:r>
            <w:instrText xml:space="preserve"> HYPERLINK \l "bookmark54" </w:instrText>
          </w:r>
          <w:r>
            <w:fldChar w:fldCharType="separate"/>
          </w:r>
          <w:r>
            <w:rPr>
              <w:rFonts w:ascii="Times New Roman" w:hAnsi="Times New Roman" w:eastAsia="Times New Roman" w:cs="Times New Roman"/>
              <w:b/>
              <w:bCs/>
              <w:spacing w:val="-1"/>
            </w:rPr>
            <w:t xml:space="preserve">8.2 </w:t>
          </w:r>
          <w:r>
            <w:rPr>
              <w:spacing w:val="-1"/>
              <w14:textOutline w14:w="3810" w14:cap="flat" w14:cmpd="sng">
                <w14:solidFill>
                  <w14:srgbClr w14:val="000000"/>
                </w14:solidFill>
                <w14:prstDash w14:val="solid"/>
                <w14:miter w14:val="0"/>
              </w14:textOutline>
            </w:rPr>
            <w:t>工程经济效益分析</w:t>
          </w:r>
          <w:r>
            <w:tab/>
          </w:r>
          <w:r>
            <w:rPr>
              <w:rFonts w:ascii="Times New Roman" w:hAnsi="Times New Roman" w:eastAsia="Times New Roman" w:cs="Times New Roman"/>
              <w:spacing w:val="4"/>
            </w:rPr>
            <w:t>273</w:t>
          </w:r>
          <w:r>
            <w:rPr>
              <w:rFonts w:ascii="Times New Roman" w:hAnsi="Times New Roman" w:eastAsia="Times New Roman" w:cs="Times New Roman"/>
              <w:spacing w:val="4"/>
            </w:rPr>
            <w:fldChar w:fldCharType="end"/>
          </w:r>
        </w:p>
        <w:p>
          <w:pPr>
            <w:pStyle w:val="2"/>
            <w:tabs>
              <w:tab w:val="right" w:leader="dot" w:pos="8325"/>
            </w:tabs>
            <w:spacing w:before="102" w:line="185" w:lineRule="auto"/>
            <w:ind w:left="457"/>
            <w:rPr>
              <w:rFonts w:ascii="Times New Roman" w:hAnsi="Times New Roman" w:eastAsia="Times New Roman" w:cs="Times New Roman"/>
            </w:rPr>
          </w:pPr>
          <w:r>
            <w:fldChar w:fldCharType="begin"/>
          </w:r>
          <w:r>
            <w:instrText xml:space="preserve"> HYPERLINK \l "bookmark55" </w:instrText>
          </w:r>
          <w:r>
            <w:fldChar w:fldCharType="separate"/>
          </w:r>
          <w:r>
            <w:rPr>
              <w:rFonts w:ascii="Times New Roman" w:hAnsi="Times New Roman" w:eastAsia="Times New Roman" w:cs="Times New Roman"/>
              <w:b/>
              <w:bCs/>
              <w:spacing w:val="-1"/>
            </w:rPr>
            <w:t xml:space="preserve">8.3 </w:t>
          </w:r>
          <w:r>
            <w:rPr>
              <w:spacing w:val="-1"/>
              <w14:textOutline w14:w="3810" w14:cap="flat" w14:cmpd="sng">
                <w14:solidFill>
                  <w14:srgbClr w14:val="000000"/>
                </w14:solidFill>
                <w14:prstDash w14:val="solid"/>
                <w14:miter w14:val="0"/>
              </w14:textOutline>
            </w:rPr>
            <w:t>社会效益分析</w:t>
          </w:r>
          <w:r>
            <w:tab/>
          </w:r>
          <w:r>
            <w:rPr>
              <w:rFonts w:ascii="Times New Roman" w:hAnsi="Times New Roman" w:eastAsia="Times New Roman" w:cs="Times New Roman"/>
              <w:spacing w:val="4"/>
            </w:rPr>
            <w:t>273</w:t>
          </w:r>
          <w:r>
            <w:rPr>
              <w:rFonts w:ascii="Times New Roman" w:hAnsi="Times New Roman" w:eastAsia="Times New Roman" w:cs="Times New Roman"/>
              <w:spacing w:val="4"/>
            </w:rPr>
            <w:fldChar w:fldCharType="end"/>
          </w:r>
        </w:p>
        <w:p>
          <w:pPr>
            <w:pStyle w:val="2"/>
            <w:tabs>
              <w:tab w:val="right" w:leader="dot" w:pos="8330"/>
            </w:tabs>
            <w:spacing w:before="102" w:line="185" w:lineRule="auto"/>
            <w:ind w:left="41"/>
            <w:rPr>
              <w:rFonts w:ascii="Times New Roman" w:hAnsi="Times New Roman" w:eastAsia="Times New Roman" w:cs="Times New Roman"/>
            </w:rPr>
          </w:pPr>
          <w:r>
            <w:fldChar w:fldCharType="begin"/>
          </w:r>
          <w:r>
            <w:instrText xml:space="preserve"> HYPERLINK \l "bookmark56" </w:instrText>
          </w:r>
          <w:r>
            <w:fldChar w:fldCharType="separate"/>
          </w:r>
          <w:r>
            <w:rPr>
              <w:rFonts w:ascii="Times New Roman" w:hAnsi="Times New Roman" w:eastAsia="Times New Roman" w:cs="Times New Roman"/>
              <w:b/>
              <w:bCs/>
              <w:spacing w:val="-5"/>
            </w:rPr>
            <w:t>9</w:t>
          </w:r>
          <w:r>
            <w:rPr>
              <w:rFonts w:ascii="Times New Roman" w:hAnsi="Times New Roman" w:eastAsia="Times New Roman" w:cs="Times New Roman"/>
              <w:b/>
              <w:bCs/>
              <w:spacing w:val="9"/>
            </w:rPr>
            <w:t xml:space="preserve"> </w:t>
          </w:r>
          <w:r>
            <w:rPr>
              <w:spacing w:val="-5"/>
              <w14:textOutline w14:w="3810" w14:cap="flat" w14:cmpd="sng">
                <w14:solidFill>
                  <w14:srgbClr w14:val="000000"/>
                </w14:solidFill>
                <w14:prstDash w14:val="solid"/>
                <w14:miter w14:val="0"/>
              </w14:textOutline>
            </w:rPr>
            <w:t>结论</w:t>
          </w:r>
          <w:r>
            <w:rPr>
              <w:spacing w:val="-46"/>
            </w:rPr>
            <w:t xml:space="preserve"> </w:t>
          </w:r>
          <w:r>
            <w:tab/>
          </w:r>
          <w:r>
            <w:rPr>
              <w:rFonts w:ascii="Times New Roman" w:hAnsi="Times New Roman" w:eastAsia="Times New Roman" w:cs="Times New Roman"/>
              <w:spacing w:val="6"/>
            </w:rPr>
            <w:t>274</w:t>
          </w:r>
          <w:r>
            <w:rPr>
              <w:rFonts w:ascii="Times New Roman" w:hAnsi="Times New Roman" w:eastAsia="Times New Roman" w:cs="Times New Roman"/>
              <w:spacing w:val="6"/>
            </w:rPr>
            <w:fldChar w:fldCharType="end"/>
          </w:r>
        </w:p>
        <w:p>
          <w:pPr>
            <w:pStyle w:val="2"/>
            <w:tabs>
              <w:tab w:val="right" w:leader="dot" w:pos="8325"/>
            </w:tabs>
            <w:spacing w:before="101" w:line="185" w:lineRule="auto"/>
            <w:ind w:left="456"/>
            <w:rPr>
              <w:rFonts w:ascii="Times New Roman" w:hAnsi="Times New Roman" w:eastAsia="Times New Roman" w:cs="Times New Roman"/>
            </w:rPr>
          </w:pPr>
          <w:r>
            <w:fldChar w:fldCharType="begin"/>
          </w:r>
          <w:r>
            <w:instrText xml:space="preserve"> HYPERLINK \l "bookmark57" </w:instrText>
          </w:r>
          <w:r>
            <w:fldChar w:fldCharType="separate"/>
          </w:r>
          <w:r>
            <w:rPr>
              <w:rFonts w:ascii="Times New Roman" w:hAnsi="Times New Roman" w:eastAsia="Times New Roman" w:cs="Times New Roman"/>
              <w:b/>
              <w:bCs/>
              <w:spacing w:val="-1"/>
            </w:rPr>
            <w:t xml:space="preserve">9.1  </w:t>
          </w:r>
          <w:r>
            <w:rPr>
              <w:spacing w:val="-1"/>
              <w14:textOutline w14:w="3810" w14:cap="flat" w14:cmpd="sng">
                <w14:solidFill>
                  <w14:srgbClr w14:val="000000"/>
                </w14:solidFill>
                <w14:prstDash w14:val="solid"/>
                <w14:miter w14:val="0"/>
              </w14:textOutline>
            </w:rPr>
            <w:t>工程概况</w:t>
          </w:r>
          <w:r>
            <w:tab/>
          </w:r>
          <w:r>
            <w:rPr>
              <w:rFonts w:ascii="Times New Roman" w:hAnsi="Times New Roman" w:eastAsia="Times New Roman" w:cs="Times New Roman"/>
              <w:spacing w:val="4"/>
            </w:rPr>
            <w:t>274</w:t>
          </w:r>
          <w:r>
            <w:rPr>
              <w:rFonts w:ascii="Times New Roman" w:hAnsi="Times New Roman" w:eastAsia="Times New Roman" w:cs="Times New Roman"/>
              <w:spacing w:val="4"/>
            </w:rPr>
            <w:fldChar w:fldCharType="end"/>
          </w:r>
        </w:p>
        <w:p>
          <w:pPr>
            <w:pStyle w:val="2"/>
            <w:tabs>
              <w:tab w:val="right" w:leader="dot" w:pos="8325"/>
            </w:tabs>
            <w:spacing w:before="102" w:line="185" w:lineRule="auto"/>
            <w:ind w:left="456"/>
            <w:rPr>
              <w:rFonts w:ascii="Times New Roman" w:hAnsi="Times New Roman" w:eastAsia="Times New Roman" w:cs="Times New Roman"/>
            </w:rPr>
          </w:pPr>
          <w:r>
            <w:fldChar w:fldCharType="begin"/>
          </w:r>
          <w:r>
            <w:instrText xml:space="preserve"> HYPERLINK \l "bookmark58" </w:instrText>
          </w:r>
          <w:r>
            <w:fldChar w:fldCharType="separate"/>
          </w:r>
          <w:r>
            <w:rPr>
              <w:rFonts w:ascii="Times New Roman" w:hAnsi="Times New Roman" w:eastAsia="Times New Roman" w:cs="Times New Roman"/>
              <w:b/>
              <w:bCs/>
              <w:spacing w:val="-1"/>
            </w:rPr>
            <w:t xml:space="preserve">9.2 </w:t>
          </w:r>
          <w:r>
            <w:rPr>
              <w:spacing w:val="-1"/>
              <w14:textOutline w14:w="3810" w14:cap="flat" w14:cmpd="sng">
                <w14:solidFill>
                  <w14:srgbClr w14:val="000000"/>
                </w14:solidFill>
                <w14:prstDash w14:val="solid"/>
                <w14:miter w14:val="0"/>
              </w14:textOutline>
            </w:rPr>
            <w:t>产业政策及规划符合性</w:t>
          </w:r>
          <w:r>
            <w:tab/>
          </w:r>
          <w:r>
            <w:rPr>
              <w:rFonts w:ascii="Times New Roman" w:hAnsi="Times New Roman" w:eastAsia="Times New Roman" w:cs="Times New Roman"/>
              <w:spacing w:val="4"/>
            </w:rPr>
            <w:t>274</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6"/>
            <w:rPr>
              <w:rFonts w:ascii="Times New Roman" w:hAnsi="Times New Roman" w:eastAsia="Times New Roman" w:cs="Times New Roman"/>
            </w:rPr>
          </w:pPr>
          <w:r>
            <w:fldChar w:fldCharType="begin"/>
          </w:r>
          <w:r>
            <w:instrText xml:space="preserve"> HYPERLINK \l "bookmark59" </w:instrText>
          </w:r>
          <w:r>
            <w:fldChar w:fldCharType="separate"/>
          </w:r>
          <w:r>
            <w:rPr>
              <w:rFonts w:ascii="Times New Roman" w:hAnsi="Times New Roman" w:eastAsia="Times New Roman" w:cs="Times New Roman"/>
              <w:b/>
              <w:bCs/>
              <w:spacing w:val="-1"/>
            </w:rPr>
            <w:t xml:space="preserve">9.3 </w:t>
          </w:r>
          <w:r>
            <w:rPr>
              <w:spacing w:val="-1"/>
              <w14:textOutline w14:w="3810" w14:cap="flat" w14:cmpd="sng">
                <w14:solidFill>
                  <w14:srgbClr w14:val="000000"/>
                </w14:solidFill>
                <w14:prstDash w14:val="solid"/>
                <w14:miter w14:val="0"/>
              </w14:textOutline>
            </w:rPr>
            <w:t>选址合理性</w:t>
          </w:r>
          <w:r>
            <w:tab/>
          </w:r>
          <w:r>
            <w:rPr>
              <w:rFonts w:ascii="Times New Roman" w:hAnsi="Times New Roman" w:eastAsia="Times New Roman" w:cs="Times New Roman"/>
              <w:spacing w:val="4"/>
            </w:rPr>
            <w:t>274</w:t>
          </w:r>
          <w:r>
            <w:rPr>
              <w:rFonts w:ascii="Times New Roman" w:hAnsi="Times New Roman" w:eastAsia="Times New Roman" w:cs="Times New Roman"/>
              <w:spacing w:val="4"/>
            </w:rPr>
            <w:fldChar w:fldCharType="end"/>
          </w:r>
        </w:p>
        <w:p>
          <w:pPr>
            <w:pStyle w:val="2"/>
            <w:tabs>
              <w:tab w:val="right" w:leader="dot" w:pos="8325"/>
            </w:tabs>
            <w:spacing w:before="102" w:line="185" w:lineRule="auto"/>
            <w:ind w:left="456"/>
            <w:rPr>
              <w:rFonts w:ascii="Times New Roman" w:hAnsi="Times New Roman" w:eastAsia="Times New Roman" w:cs="Times New Roman"/>
            </w:rPr>
          </w:pPr>
          <w:r>
            <w:fldChar w:fldCharType="begin"/>
          </w:r>
          <w:r>
            <w:instrText xml:space="preserve"> HYPERLINK \l "bookmark60" </w:instrText>
          </w:r>
          <w:r>
            <w:fldChar w:fldCharType="separate"/>
          </w:r>
          <w:r>
            <w:rPr>
              <w:rFonts w:ascii="Times New Roman" w:hAnsi="Times New Roman" w:eastAsia="Times New Roman" w:cs="Times New Roman"/>
              <w:b/>
              <w:bCs/>
              <w:spacing w:val="-1"/>
            </w:rPr>
            <w:t xml:space="preserve">9.4 </w:t>
          </w:r>
          <w:r>
            <w:rPr>
              <w:spacing w:val="-1"/>
              <w14:textOutline w14:w="3810" w14:cap="flat" w14:cmpd="sng">
                <w14:solidFill>
                  <w14:srgbClr w14:val="000000"/>
                </w14:solidFill>
                <w14:prstDash w14:val="solid"/>
                <w14:miter w14:val="0"/>
              </w14:textOutline>
            </w:rPr>
            <w:t>环境现状评价结论</w:t>
          </w:r>
          <w:r>
            <w:tab/>
          </w:r>
          <w:r>
            <w:rPr>
              <w:rFonts w:ascii="Times New Roman" w:hAnsi="Times New Roman" w:eastAsia="Times New Roman" w:cs="Times New Roman"/>
              <w:spacing w:val="4"/>
            </w:rPr>
            <w:t>274</w:t>
          </w:r>
          <w:r>
            <w:rPr>
              <w:rFonts w:ascii="Times New Roman" w:hAnsi="Times New Roman" w:eastAsia="Times New Roman" w:cs="Times New Roman"/>
              <w:spacing w:val="4"/>
            </w:rPr>
            <w:fldChar w:fldCharType="end"/>
          </w:r>
        </w:p>
        <w:p>
          <w:pPr>
            <w:pStyle w:val="2"/>
            <w:tabs>
              <w:tab w:val="right" w:leader="dot" w:pos="8325"/>
            </w:tabs>
            <w:spacing w:before="101" w:line="185" w:lineRule="auto"/>
            <w:ind w:left="456"/>
            <w:rPr>
              <w:rFonts w:ascii="Times New Roman" w:hAnsi="Times New Roman" w:eastAsia="Times New Roman" w:cs="Times New Roman"/>
            </w:rPr>
          </w:pPr>
          <w:r>
            <w:fldChar w:fldCharType="begin"/>
          </w:r>
          <w:r>
            <w:instrText xml:space="preserve"> HYPERLINK \l "bookmark61" </w:instrText>
          </w:r>
          <w:r>
            <w:fldChar w:fldCharType="separate"/>
          </w:r>
          <w:r>
            <w:rPr>
              <w:rFonts w:ascii="Times New Roman" w:hAnsi="Times New Roman" w:eastAsia="Times New Roman" w:cs="Times New Roman"/>
              <w:b/>
              <w:bCs/>
              <w:spacing w:val="-1"/>
            </w:rPr>
            <w:t xml:space="preserve">9.5 </w:t>
          </w:r>
          <w:r>
            <w:rPr>
              <w:spacing w:val="-1"/>
              <w14:textOutline w14:w="3810" w14:cap="flat" w14:cmpd="sng">
                <w14:solidFill>
                  <w14:srgbClr w14:val="000000"/>
                </w14:solidFill>
                <w14:prstDash w14:val="solid"/>
                <w14:miter w14:val="0"/>
              </w14:textOutline>
            </w:rPr>
            <w:t>环境影响评价</w:t>
          </w:r>
          <w:r>
            <w:tab/>
          </w:r>
          <w:r>
            <w:rPr>
              <w:rFonts w:ascii="Times New Roman" w:hAnsi="Times New Roman" w:eastAsia="Times New Roman" w:cs="Times New Roman"/>
              <w:spacing w:val="4"/>
            </w:rPr>
            <w:t>276</w:t>
          </w:r>
          <w:r>
            <w:rPr>
              <w:rFonts w:ascii="Times New Roman" w:hAnsi="Times New Roman" w:eastAsia="Times New Roman" w:cs="Times New Roman"/>
              <w:spacing w:val="4"/>
            </w:rPr>
            <w:fldChar w:fldCharType="end"/>
          </w:r>
        </w:p>
        <w:p>
          <w:pPr>
            <w:pStyle w:val="2"/>
            <w:tabs>
              <w:tab w:val="right" w:leader="dot" w:pos="8325"/>
            </w:tabs>
            <w:spacing w:before="102" w:line="185" w:lineRule="auto"/>
            <w:ind w:left="456"/>
            <w:rPr>
              <w:rFonts w:ascii="Times New Roman" w:hAnsi="Times New Roman" w:eastAsia="Times New Roman" w:cs="Times New Roman"/>
            </w:rPr>
          </w:pPr>
          <w:r>
            <w:fldChar w:fldCharType="begin"/>
          </w:r>
          <w:r>
            <w:instrText xml:space="preserve"> HYPERLINK \l "bookmark62" </w:instrText>
          </w:r>
          <w:r>
            <w:fldChar w:fldCharType="separate"/>
          </w:r>
          <w:r>
            <w:rPr>
              <w:rFonts w:ascii="Times New Roman" w:hAnsi="Times New Roman" w:eastAsia="Times New Roman" w:cs="Times New Roman"/>
              <w:b/>
              <w:bCs/>
              <w:spacing w:val="-1"/>
            </w:rPr>
            <w:t xml:space="preserve">9.6  </w:t>
          </w:r>
          <w:r>
            <w:rPr>
              <w:spacing w:val="-1"/>
              <w14:textOutline w14:w="3810" w14:cap="flat" w14:cmpd="sng">
                <w14:solidFill>
                  <w14:srgbClr w14:val="000000"/>
                </w14:solidFill>
                <w14:prstDash w14:val="solid"/>
                <w14:miter w14:val="0"/>
              </w14:textOutline>
            </w:rPr>
            <w:t>主要环境保护措施</w:t>
          </w:r>
          <w:r>
            <w:tab/>
          </w:r>
          <w:r>
            <w:rPr>
              <w:rFonts w:ascii="Times New Roman" w:hAnsi="Times New Roman" w:eastAsia="Times New Roman" w:cs="Times New Roman"/>
              <w:spacing w:val="4"/>
            </w:rPr>
            <w:t>278</w:t>
          </w:r>
          <w:r>
            <w:rPr>
              <w:rFonts w:ascii="Times New Roman" w:hAnsi="Times New Roman" w:eastAsia="Times New Roman" w:cs="Times New Roman"/>
              <w:spacing w:val="4"/>
            </w:rPr>
            <w:fldChar w:fldCharType="end"/>
          </w:r>
        </w:p>
        <w:p>
          <w:pPr>
            <w:pStyle w:val="2"/>
            <w:tabs>
              <w:tab w:val="right" w:leader="dot" w:pos="8325"/>
            </w:tabs>
            <w:spacing w:before="102" w:line="223" w:lineRule="auto"/>
            <w:ind w:left="456"/>
            <w:rPr>
              <w:rFonts w:ascii="Times New Roman" w:hAnsi="Times New Roman" w:eastAsia="Times New Roman" w:cs="Times New Roman"/>
            </w:rPr>
          </w:pPr>
          <w:r>
            <w:fldChar w:fldCharType="begin"/>
          </w:r>
          <w:r>
            <w:instrText xml:space="preserve"> HYPERLINK \l "bookmark63" </w:instrText>
          </w:r>
          <w:r>
            <w:fldChar w:fldCharType="separate"/>
          </w:r>
          <w:r>
            <w:rPr>
              <w:rFonts w:ascii="Times New Roman" w:hAnsi="Times New Roman" w:eastAsia="Times New Roman" w:cs="Times New Roman"/>
              <w:b/>
              <w:bCs/>
              <w:spacing w:val="-3"/>
            </w:rPr>
            <w:t>9.7</w:t>
          </w:r>
          <w:r>
            <w:rPr>
              <w:rFonts w:ascii="Times New Roman" w:hAnsi="Times New Roman" w:eastAsia="Times New Roman" w:cs="Times New Roman"/>
              <w:b/>
              <w:bCs/>
              <w:spacing w:val="13"/>
            </w:rPr>
            <w:t xml:space="preserve"> </w:t>
          </w:r>
          <w:r>
            <w:rPr>
              <w:spacing w:val="-3"/>
              <w14:textOutline w14:w="3810" w14:cap="flat" w14:cmpd="sng">
                <w14:solidFill>
                  <w14:srgbClr w14:val="000000"/>
                </w14:solidFill>
                <w14:prstDash w14:val="solid"/>
                <w14:miter w14:val="0"/>
              </w14:textOutline>
            </w:rPr>
            <w:t>总结论</w:t>
          </w:r>
          <w:r>
            <w:tab/>
          </w:r>
          <w:r>
            <w:rPr>
              <w:rFonts w:ascii="Times New Roman" w:hAnsi="Times New Roman" w:eastAsia="Times New Roman" w:cs="Times New Roman"/>
              <w:spacing w:val="4"/>
            </w:rPr>
            <w:t>279</w:t>
          </w:r>
          <w:r>
            <w:rPr>
              <w:rFonts w:ascii="Times New Roman" w:hAnsi="Times New Roman" w:eastAsia="Times New Roman" w:cs="Times New Roman"/>
              <w:spacing w:val="4"/>
            </w:rPr>
            <w:fldChar w:fldCharType="end"/>
          </w:r>
        </w:p>
      </w:sdtContent>
    </w:sdt>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8" w:line="219" w:lineRule="auto"/>
        <w:ind w:left="58"/>
        <w:rPr>
          <w:rFonts w:ascii="宋体" w:hAnsi="宋体" w:eastAsia="宋体" w:cs="宋体"/>
          <w:sz w:val="24"/>
          <w:szCs w:val="24"/>
        </w:rPr>
      </w:pPr>
      <w:r>
        <w:rPr>
          <w:rFonts w:ascii="宋体" w:hAnsi="宋体" w:eastAsia="宋体" w:cs="宋体"/>
          <w:spacing w:val="-18"/>
          <w:sz w:val="24"/>
          <w:szCs w:val="24"/>
          <w14:textOutline w14:w="4354" w14:cap="flat" w14:cmpd="sng">
            <w14:solidFill>
              <w14:srgbClr w14:val="000000"/>
            </w14:solidFill>
            <w14:prstDash w14:val="solid"/>
            <w14:miter w14:val="0"/>
          </w14:textOutline>
        </w:rPr>
        <w:t>附件：</w:t>
      </w:r>
    </w:p>
    <w:p>
      <w:pPr>
        <w:spacing w:before="155" w:line="219" w:lineRule="auto"/>
        <w:ind w:left="58"/>
        <w:rPr>
          <w:rFonts w:ascii="宋体" w:hAnsi="宋体" w:eastAsia="宋体" w:cs="宋体"/>
          <w:sz w:val="24"/>
          <w:szCs w:val="24"/>
        </w:rPr>
      </w:pPr>
      <w:r>
        <w:rPr>
          <w:rFonts w:ascii="宋体" w:hAnsi="宋体" w:eastAsia="宋体" w:cs="宋体"/>
          <w:spacing w:val="-11"/>
          <w:sz w:val="24"/>
          <w:szCs w:val="24"/>
          <w14:textOutline w14:w="4354" w14:cap="flat" w14:cmpd="sng">
            <w14:solidFill>
              <w14:srgbClr w14:val="000000"/>
            </w14:solidFill>
            <w14:prstDash w14:val="solid"/>
            <w14:miter w14:val="0"/>
          </w14:textOutline>
        </w:rPr>
        <w:t>附件</w:t>
      </w:r>
      <w:r>
        <w:rPr>
          <w:rFonts w:ascii="宋体" w:hAnsi="宋体" w:eastAsia="宋体" w:cs="宋体"/>
          <w:spacing w:val="20"/>
          <w:sz w:val="24"/>
          <w:szCs w:val="24"/>
        </w:rPr>
        <w:t xml:space="preserve"> </w:t>
      </w:r>
      <w:r>
        <w:rPr>
          <w:rFonts w:ascii="Times New Roman" w:hAnsi="Times New Roman" w:eastAsia="Times New Roman" w:cs="Times New Roman"/>
          <w:b/>
          <w:bCs/>
          <w:spacing w:val="-11"/>
          <w:sz w:val="24"/>
          <w:szCs w:val="24"/>
        </w:rPr>
        <w:t>1</w:t>
      </w:r>
      <w:r>
        <w:rPr>
          <w:rFonts w:ascii="Times New Roman" w:hAnsi="Times New Roman" w:eastAsia="Times New Roman" w:cs="Times New Roman"/>
          <w:b/>
          <w:bCs/>
          <w:spacing w:val="-34"/>
          <w:sz w:val="24"/>
          <w:szCs w:val="24"/>
        </w:rPr>
        <w:t xml:space="preserve"> </w:t>
      </w:r>
      <w:r>
        <w:rPr>
          <w:rFonts w:ascii="宋体" w:hAnsi="宋体" w:eastAsia="宋体" w:cs="宋体"/>
          <w:spacing w:val="-11"/>
          <w:sz w:val="24"/>
          <w:szCs w:val="24"/>
          <w14:textOutline w14:w="4354" w14:cap="flat" w14:cmpd="sng">
            <w14:solidFill>
              <w14:srgbClr w14:val="000000"/>
            </w14:solidFill>
            <w14:prstDash w14:val="solid"/>
            <w14:miter w14:val="0"/>
          </w14:textOutline>
        </w:rPr>
        <w:t>、工作委托书；</w:t>
      </w:r>
    </w:p>
    <w:p>
      <w:pPr>
        <w:spacing w:line="219" w:lineRule="auto"/>
        <w:rPr>
          <w:rFonts w:ascii="宋体" w:hAnsi="宋体" w:eastAsia="宋体" w:cs="宋体"/>
          <w:sz w:val="24"/>
          <w:szCs w:val="24"/>
        </w:rPr>
        <w:sectPr>
          <w:footerReference r:id="rId5" w:type="default"/>
          <w:pgSz w:w="11907" w:h="16839"/>
          <w:pgMar w:top="1156" w:right="1768" w:bottom="1174" w:left="1770" w:header="881" w:footer="946" w:gutter="0"/>
        </w:sectPr>
      </w:pPr>
    </w:p>
    <w:p>
      <w:pPr>
        <w:spacing w:line="349" w:lineRule="auto"/>
        <w:rPr>
          <w:rFonts w:ascii="Arial"/>
          <w:sz w:val="21"/>
        </w:rPr>
      </w:pPr>
    </w:p>
    <w:p>
      <w:pPr>
        <w:spacing w:before="78" w:line="439" w:lineRule="exact"/>
        <w:ind w:left="58"/>
        <w:rPr>
          <w:rFonts w:ascii="宋体" w:hAnsi="宋体" w:eastAsia="宋体" w:cs="宋体"/>
          <w:sz w:val="24"/>
          <w:szCs w:val="24"/>
        </w:rPr>
      </w:pP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4"/>
          <w:position w:val="15"/>
          <w:sz w:val="24"/>
          <w:szCs w:val="24"/>
        </w:rPr>
        <w:t xml:space="preserve"> </w:t>
      </w:r>
      <w:r>
        <w:rPr>
          <w:rFonts w:ascii="Times New Roman" w:hAnsi="Times New Roman" w:eastAsia="Times New Roman" w:cs="Times New Roman"/>
          <w:b/>
          <w:bCs/>
          <w:spacing w:val="-4"/>
          <w:position w:val="15"/>
          <w:sz w:val="24"/>
          <w:szCs w:val="24"/>
        </w:rPr>
        <w:t>2</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、云南省水利厅《关于准予楚雄州大姚县桂花水库工程水资源论证报告书</w:t>
      </w:r>
    </w:p>
    <w:p>
      <w:pPr>
        <w:spacing w:line="218" w:lineRule="auto"/>
        <w:ind w:left="59"/>
        <w:rPr>
          <w:rFonts w:ascii="宋体" w:hAnsi="宋体" w:eastAsia="宋体" w:cs="宋体"/>
          <w:sz w:val="24"/>
          <w:szCs w:val="24"/>
        </w:rPr>
      </w:pPr>
      <w:r>
        <w:rPr>
          <w:rFonts w:ascii="宋体" w:hAnsi="宋体" w:eastAsia="宋体" w:cs="宋体"/>
          <w:spacing w:val="-9"/>
          <w:sz w:val="24"/>
          <w:szCs w:val="24"/>
          <w14:textOutline w14:w="4354" w14:cap="flat" w14:cmpd="sng">
            <w14:solidFill>
              <w14:srgbClr w14:val="000000"/>
            </w14:solidFill>
            <w14:prstDash w14:val="solid"/>
            <w14:miter w14:val="0"/>
          </w14:textOutline>
        </w:rPr>
        <w:t>的行政许可决定书》（云水资源许</w:t>
      </w:r>
      <w:r>
        <w:rPr>
          <w:rFonts w:ascii="Times New Roman" w:hAnsi="Times New Roman" w:eastAsia="Times New Roman" w:cs="Times New Roman"/>
          <w:b/>
          <w:bCs/>
          <w:spacing w:val="-9"/>
          <w:sz w:val="24"/>
          <w:szCs w:val="24"/>
        </w:rPr>
        <w:t>[201</w:t>
      </w:r>
      <w:r>
        <w:rPr>
          <w:rFonts w:ascii="Times New Roman" w:hAnsi="Times New Roman" w:eastAsia="Times New Roman" w:cs="Times New Roman"/>
          <w:b/>
          <w:bCs/>
          <w:spacing w:val="-10"/>
          <w:sz w:val="24"/>
          <w:szCs w:val="24"/>
        </w:rPr>
        <w:t>6]8</w:t>
      </w:r>
      <w:r>
        <w:rPr>
          <w:rFonts w:ascii="Times New Roman" w:hAnsi="Times New Roman" w:eastAsia="Times New Roman" w:cs="Times New Roman"/>
          <w:b/>
          <w:bCs/>
          <w:spacing w:val="16"/>
          <w:w w:val="101"/>
          <w:sz w:val="24"/>
          <w:szCs w:val="24"/>
        </w:rPr>
        <w:t xml:space="preserve"> </w:t>
      </w:r>
      <w:r>
        <w:rPr>
          <w:rFonts w:ascii="宋体" w:hAnsi="宋体" w:eastAsia="宋体" w:cs="宋体"/>
          <w:spacing w:val="-10"/>
          <w:sz w:val="24"/>
          <w:szCs w:val="24"/>
          <w14:textOutline w14:w="4354" w14:cap="flat" w14:cmpd="sng">
            <w14:solidFill>
              <w14:srgbClr w14:val="000000"/>
            </w14:solidFill>
            <w14:prstDash w14:val="solid"/>
            <w14:miter w14:val="0"/>
          </w14:textOutline>
        </w:rPr>
        <w:t>号</w:t>
      </w:r>
      <w:r>
        <w:rPr>
          <w:rFonts w:ascii="宋体" w:hAnsi="宋体" w:eastAsia="宋体" w:cs="宋体"/>
          <w:spacing w:val="-38"/>
          <w:sz w:val="24"/>
          <w:szCs w:val="24"/>
          <w14:textOutline w14:w="4354" w14:cap="flat" w14:cmpd="sng">
            <w14:solidFill>
              <w14:srgbClr w14:val="000000"/>
            </w14:solidFill>
            <w14:prstDash w14:val="solid"/>
            <w14:miter w14:val="0"/>
          </w14:textOutline>
        </w:rPr>
        <w:t>）；</w:t>
      </w:r>
    </w:p>
    <w:p>
      <w:pPr>
        <w:spacing w:before="156" w:line="441" w:lineRule="exact"/>
        <w:ind w:left="58"/>
        <w:rPr>
          <w:rFonts w:ascii="宋体" w:hAnsi="宋体" w:eastAsia="宋体" w:cs="宋体"/>
          <w:sz w:val="24"/>
          <w:szCs w:val="24"/>
        </w:rPr>
      </w:pP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4"/>
          <w:position w:val="15"/>
          <w:sz w:val="24"/>
          <w:szCs w:val="24"/>
        </w:rPr>
        <w:t xml:space="preserve"> </w:t>
      </w:r>
      <w:r>
        <w:rPr>
          <w:rFonts w:ascii="Times New Roman" w:hAnsi="Times New Roman" w:eastAsia="Times New Roman" w:cs="Times New Roman"/>
          <w:b/>
          <w:bCs/>
          <w:spacing w:val="-4"/>
          <w:position w:val="15"/>
          <w:sz w:val="24"/>
          <w:szCs w:val="24"/>
        </w:rPr>
        <w:t>3</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、云南省水利厅《关于准予楚雄州大姚县桂花水库工程取水许可申请的行</w:t>
      </w:r>
    </w:p>
    <w:p>
      <w:pPr>
        <w:spacing w:line="218" w:lineRule="auto"/>
        <w:ind w:left="38"/>
        <w:rPr>
          <w:rFonts w:ascii="宋体" w:hAnsi="宋体" w:eastAsia="宋体" w:cs="宋体"/>
          <w:sz w:val="24"/>
          <w:szCs w:val="24"/>
        </w:rPr>
      </w:pPr>
      <w:r>
        <w:rPr>
          <w:rFonts w:ascii="宋体" w:hAnsi="宋体" w:eastAsia="宋体" w:cs="宋体"/>
          <w:spacing w:val="-10"/>
          <w:sz w:val="24"/>
          <w:szCs w:val="24"/>
          <w14:textOutline w14:w="4354" w14:cap="flat" w14:cmpd="sng">
            <w14:solidFill>
              <w14:srgbClr w14:val="000000"/>
            </w14:solidFill>
            <w14:prstDash w14:val="solid"/>
            <w14:miter w14:val="0"/>
          </w14:textOutline>
        </w:rPr>
        <w:t>政许可决定书》（云水资源许</w:t>
      </w:r>
      <w:r>
        <w:rPr>
          <w:rFonts w:ascii="Times New Roman" w:hAnsi="Times New Roman" w:eastAsia="Times New Roman" w:cs="Times New Roman"/>
          <w:b/>
          <w:bCs/>
          <w:spacing w:val="-10"/>
          <w:sz w:val="24"/>
          <w:szCs w:val="24"/>
        </w:rPr>
        <w:t>[2017]11</w:t>
      </w:r>
      <w:r>
        <w:rPr>
          <w:rFonts w:ascii="Times New Roman" w:hAnsi="Times New Roman" w:eastAsia="Times New Roman" w:cs="Times New Roman"/>
          <w:b/>
          <w:bCs/>
          <w:spacing w:val="16"/>
          <w:w w:val="101"/>
          <w:sz w:val="24"/>
          <w:szCs w:val="24"/>
        </w:rPr>
        <w:t xml:space="preserve"> </w:t>
      </w:r>
      <w:r>
        <w:rPr>
          <w:rFonts w:ascii="宋体" w:hAnsi="宋体" w:eastAsia="宋体" w:cs="宋体"/>
          <w:spacing w:val="-10"/>
          <w:sz w:val="24"/>
          <w:szCs w:val="24"/>
          <w14:textOutline w14:w="4354" w14:cap="flat" w14:cmpd="sng">
            <w14:solidFill>
              <w14:srgbClr w14:val="000000"/>
            </w14:solidFill>
            <w14:prstDash w14:val="solid"/>
            <w14:miter w14:val="0"/>
          </w14:textOutline>
        </w:rPr>
        <w:t>号</w:t>
      </w:r>
      <w:r>
        <w:rPr>
          <w:rFonts w:ascii="宋体" w:hAnsi="宋体" w:eastAsia="宋体" w:cs="宋体"/>
          <w:spacing w:val="-31"/>
          <w:sz w:val="24"/>
          <w:szCs w:val="24"/>
          <w14:textOutline w14:w="4354" w14:cap="flat" w14:cmpd="sng">
            <w14:solidFill>
              <w14:srgbClr w14:val="000000"/>
            </w14:solidFill>
            <w14:prstDash w14:val="solid"/>
            <w14:miter w14:val="0"/>
          </w14:textOutline>
        </w:rPr>
        <w:t>）；</w:t>
      </w:r>
    </w:p>
    <w:p>
      <w:pPr>
        <w:spacing w:before="155" w:line="440" w:lineRule="exact"/>
        <w:ind w:left="58"/>
        <w:rPr>
          <w:rFonts w:ascii="宋体" w:hAnsi="宋体" w:eastAsia="宋体" w:cs="宋体"/>
          <w:sz w:val="24"/>
          <w:szCs w:val="24"/>
        </w:rPr>
      </w:pP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4"/>
          <w:position w:val="15"/>
          <w:sz w:val="24"/>
          <w:szCs w:val="24"/>
        </w:rPr>
        <w:t xml:space="preserve"> </w:t>
      </w:r>
      <w:r>
        <w:rPr>
          <w:rFonts w:ascii="Times New Roman" w:hAnsi="Times New Roman" w:eastAsia="Times New Roman" w:cs="Times New Roman"/>
          <w:b/>
          <w:bCs/>
          <w:spacing w:val="-4"/>
          <w:position w:val="15"/>
          <w:sz w:val="24"/>
          <w:szCs w:val="24"/>
        </w:rPr>
        <w:t>4</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、长江水利委员会《关于印发云南省楚雄州大姚县桂花水库工程审核意见</w:t>
      </w:r>
    </w:p>
    <w:p>
      <w:pPr>
        <w:spacing w:before="1" w:line="218" w:lineRule="auto"/>
        <w:ind w:left="59"/>
        <w:rPr>
          <w:rFonts w:ascii="宋体" w:hAnsi="宋体" w:eastAsia="宋体" w:cs="宋体"/>
          <w:sz w:val="24"/>
          <w:szCs w:val="24"/>
        </w:rPr>
      </w:pPr>
      <w:r>
        <w:rPr>
          <w:rFonts w:ascii="宋体" w:hAnsi="宋体" w:eastAsia="宋体" w:cs="宋体"/>
          <w:spacing w:val="-13"/>
          <w:sz w:val="24"/>
          <w:szCs w:val="24"/>
          <w14:textOutline w14:w="4354" w14:cap="flat" w14:cmpd="sng">
            <w14:solidFill>
              <w14:srgbClr w14:val="000000"/>
            </w14:solidFill>
            <w14:prstDash w14:val="solid"/>
            <w14:miter w14:val="0"/>
          </w14:textOutline>
        </w:rPr>
        <w:t>的通知》（长规计</w:t>
      </w:r>
      <w:r>
        <w:rPr>
          <w:rFonts w:ascii="Times New Roman" w:hAnsi="Times New Roman" w:eastAsia="Times New Roman" w:cs="Times New Roman"/>
          <w:b/>
          <w:bCs/>
          <w:spacing w:val="-13"/>
          <w:sz w:val="24"/>
          <w:szCs w:val="24"/>
        </w:rPr>
        <w:t>[2017]100</w:t>
      </w:r>
      <w:r>
        <w:rPr>
          <w:rFonts w:ascii="Times New Roman" w:hAnsi="Times New Roman" w:eastAsia="Times New Roman" w:cs="Times New Roman"/>
          <w:b/>
          <w:bCs/>
          <w:spacing w:val="16"/>
          <w:sz w:val="24"/>
          <w:szCs w:val="24"/>
        </w:rPr>
        <w:t xml:space="preserve"> </w:t>
      </w:r>
      <w:r>
        <w:rPr>
          <w:rFonts w:ascii="宋体" w:hAnsi="宋体" w:eastAsia="宋体" w:cs="宋体"/>
          <w:spacing w:val="-13"/>
          <w:sz w:val="24"/>
          <w:szCs w:val="24"/>
          <w14:textOutline w14:w="4354" w14:cap="flat" w14:cmpd="sng">
            <w14:solidFill>
              <w14:srgbClr w14:val="000000"/>
            </w14:solidFill>
            <w14:prstDash w14:val="solid"/>
            <w14:miter w14:val="0"/>
          </w14:textOutline>
        </w:rPr>
        <w:t>号</w:t>
      </w:r>
      <w:r>
        <w:rPr>
          <w:rFonts w:ascii="宋体" w:hAnsi="宋体" w:eastAsia="宋体" w:cs="宋体"/>
          <w:spacing w:val="-30"/>
          <w:sz w:val="24"/>
          <w:szCs w:val="24"/>
          <w14:textOutline w14:w="4354" w14:cap="flat" w14:cmpd="sng">
            <w14:solidFill>
              <w14:srgbClr w14:val="000000"/>
            </w14:solidFill>
            <w14:prstDash w14:val="solid"/>
            <w14:miter w14:val="0"/>
          </w14:textOutline>
        </w:rPr>
        <w:t>）；</w:t>
      </w:r>
    </w:p>
    <w:p>
      <w:pPr>
        <w:spacing w:before="156" w:line="440" w:lineRule="exact"/>
        <w:ind w:left="58"/>
        <w:rPr>
          <w:rFonts w:ascii="宋体" w:hAnsi="宋体" w:eastAsia="宋体" w:cs="宋体"/>
          <w:sz w:val="24"/>
          <w:szCs w:val="24"/>
        </w:rPr>
      </w:pP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4"/>
          <w:position w:val="15"/>
          <w:sz w:val="24"/>
          <w:szCs w:val="24"/>
        </w:rPr>
        <w:t xml:space="preserve"> </w:t>
      </w:r>
      <w:r>
        <w:rPr>
          <w:rFonts w:ascii="Times New Roman" w:hAnsi="Times New Roman" w:eastAsia="Times New Roman" w:cs="Times New Roman"/>
          <w:b/>
          <w:bCs/>
          <w:spacing w:val="-4"/>
          <w:position w:val="15"/>
          <w:sz w:val="24"/>
          <w:szCs w:val="24"/>
        </w:rPr>
        <w:t>5</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、云南省水利厅《关于准予大姚县桂花水库屔程水土保持方案的行政许可</w:t>
      </w:r>
    </w:p>
    <w:p>
      <w:pPr>
        <w:spacing w:line="218" w:lineRule="auto"/>
        <w:ind w:left="46"/>
        <w:rPr>
          <w:rFonts w:ascii="宋体" w:hAnsi="宋体" w:eastAsia="宋体" w:cs="宋体"/>
          <w:sz w:val="24"/>
          <w:szCs w:val="24"/>
        </w:rPr>
      </w:pPr>
      <w:r>
        <w:rPr>
          <w:rFonts w:ascii="宋体" w:hAnsi="宋体" w:eastAsia="宋体" w:cs="宋体"/>
          <w:spacing w:val="-11"/>
          <w:sz w:val="24"/>
          <w:szCs w:val="24"/>
          <w14:textOutline w14:w="4354" w14:cap="flat" w14:cmpd="sng">
            <w14:solidFill>
              <w14:srgbClr w14:val="000000"/>
            </w14:solidFill>
            <w14:prstDash w14:val="solid"/>
            <w14:miter w14:val="0"/>
          </w14:textOutline>
        </w:rPr>
        <w:t>决定书》（云水保许</w:t>
      </w:r>
      <w:r>
        <w:rPr>
          <w:rFonts w:ascii="Times New Roman" w:hAnsi="Times New Roman" w:eastAsia="Times New Roman" w:cs="Times New Roman"/>
          <w:b/>
          <w:bCs/>
          <w:spacing w:val="-11"/>
          <w:sz w:val="24"/>
          <w:szCs w:val="24"/>
        </w:rPr>
        <w:t>[2017]172</w:t>
      </w:r>
      <w:r>
        <w:rPr>
          <w:rFonts w:ascii="Times New Roman" w:hAnsi="Times New Roman" w:eastAsia="Times New Roman" w:cs="Times New Roman"/>
          <w:b/>
          <w:bCs/>
          <w:spacing w:val="17"/>
          <w:sz w:val="24"/>
          <w:szCs w:val="24"/>
        </w:rPr>
        <w:t xml:space="preserve"> </w:t>
      </w:r>
      <w:r>
        <w:rPr>
          <w:rFonts w:ascii="宋体" w:hAnsi="宋体" w:eastAsia="宋体" w:cs="宋体"/>
          <w:spacing w:val="-11"/>
          <w:sz w:val="24"/>
          <w:szCs w:val="24"/>
          <w14:textOutline w14:w="4354" w14:cap="flat" w14:cmpd="sng">
            <w14:solidFill>
              <w14:srgbClr w14:val="000000"/>
            </w14:solidFill>
            <w14:prstDash w14:val="solid"/>
            <w14:miter w14:val="0"/>
          </w14:textOutline>
        </w:rPr>
        <w:t>号</w:t>
      </w:r>
      <w:r>
        <w:rPr>
          <w:rFonts w:ascii="宋体" w:hAnsi="宋体" w:eastAsia="宋体" w:cs="宋体"/>
          <w:spacing w:val="-36"/>
          <w:sz w:val="24"/>
          <w:szCs w:val="24"/>
          <w14:textOutline w14:w="4354" w14:cap="flat" w14:cmpd="sng">
            <w14:solidFill>
              <w14:srgbClr w14:val="000000"/>
            </w14:solidFill>
            <w14:prstDash w14:val="solid"/>
            <w14:miter w14:val="0"/>
          </w14:textOutline>
        </w:rPr>
        <w:t>）；</w:t>
      </w:r>
    </w:p>
    <w:p>
      <w:pPr>
        <w:spacing w:before="157" w:line="440" w:lineRule="exact"/>
        <w:ind w:left="58"/>
        <w:rPr>
          <w:rFonts w:ascii="宋体" w:hAnsi="宋体" w:eastAsia="宋体" w:cs="宋体"/>
          <w:sz w:val="24"/>
          <w:szCs w:val="24"/>
        </w:rPr>
      </w:pPr>
      <w:r>
        <w:rPr>
          <w:rFonts w:ascii="宋体" w:hAnsi="宋体" w:eastAsia="宋体" w:cs="宋体"/>
          <w:spacing w:val="15"/>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62"/>
          <w:position w:val="15"/>
          <w:sz w:val="24"/>
          <w:szCs w:val="24"/>
        </w:rPr>
        <w:t xml:space="preserve"> </w:t>
      </w:r>
      <w:r>
        <w:rPr>
          <w:rFonts w:ascii="Times New Roman" w:hAnsi="Times New Roman" w:eastAsia="Times New Roman" w:cs="Times New Roman"/>
          <w:b/>
          <w:bCs/>
          <w:spacing w:val="15"/>
          <w:position w:val="15"/>
          <w:sz w:val="24"/>
          <w:szCs w:val="24"/>
        </w:rPr>
        <w:t>6</w:t>
      </w:r>
      <w:r>
        <w:rPr>
          <w:rFonts w:ascii="Times New Roman" w:hAnsi="Times New Roman" w:eastAsia="Times New Roman" w:cs="Times New Roman"/>
          <w:b/>
          <w:bCs/>
          <w:spacing w:val="-13"/>
          <w:position w:val="15"/>
          <w:sz w:val="24"/>
          <w:szCs w:val="24"/>
        </w:rPr>
        <w:t xml:space="preserve"> </w:t>
      </w:r>
      <w:r>
        <w:rPr>
          <w:rFonts w:ascii="宋体" w:hAnsi="宋体" w:eastAsia="宋体" w:cs="宋体"/>
          <w:spacing w:val="15"/>
          <w:position w:val="15"/>
          <w:sz w:val="24"/>
          <w:szCs w:val="24"/>
          <w14:textOutline w14:w="4354" w14:cap="flat" w14:cmpd="sng">
            <w14:solidFill>
              <w14:srgbClr w14:val="000000"/>
            </w14:solidFill>
            <w14:prstDash w14:val="solid"/>
            <w14:miter w14:val="0"/>
          </w14:textOutline>
        </w:rPr>
        <w:t>、云南省住房和城乡建设厅《建设项目选址意见书》（选字第省级</w:t>
      </w:r>
    </w:p>
    <w:p>
      <w:pPr>
        <w:spacing w:before="1" w:line="220" w:lineRule="auto"/>
        <w:ind w:left="35"/>
        <w:rPr>
          <w:rFonts w:ascii="宋体" w:hAnsi="宋体" w:eastAsia="宋体" w:cs="宋体"/>
          <w:sz w:val="24"/>
          <w:szCs w:val="24"/>
        </w:rPr>
      </w:pPr>
      <w:r>
        <w:rPr>
          <w:rFonts w:ascii="Times New Roman" w:hAnsi="Times New Roman" w:eastAsia="Times New Roman" w:cs="Times New Roman"/>
          <w:b/>
          <w:bCs/>
          <w:spacing w:val="-9"/>
          <w:sz w:val="24"/>
          <w:szCs w:val="24"/>
        </w:rPr>
        <w:t>201700062</w:t>
      </w:r>
      <w:r>
        <w:rPr>
          <w:rFonts w:ascii="Times New Roman" w:hAnsi="Times New Roman" w:eastAsia="Times New Roman" w:cs="Times New Roman"/>
          <w:b/>
          <w:bCs/>
          <w:spacing w:val="16"/>
          <w:w w:val="101"/>
          <w:sz w:val="24"/>
          <w:szCs w:val="24"/>
        </w:rPr>
        <w:t xml:space="preserve"> </w:t>
      </w:r>
      <w:r>
        <w:rPr>
          <w:rFonts w:ascii="宋体" w:hAnsi="宋体" w:eastAsia="宋体" w:cs="宋体"/>
          <w:spacing w:val="-9"/>
          <w:sz w:val="24"/>
          <w:szCs w:val="24"/>
          <w14:textOutline w14:w="4354" w14:cap="flat" w14:cmpd="sng">
            <w14:solidFill>
              <w14:srgbClr w14:val="000000"/>
            </w14:solidFill>
            <w14:prstDash w14:val="solid"/>
            <w14:miter w14:val="0"/>
          </w14:textOutline>
        </w:rPr>
        <w:t>号</w:t>
      </w:r>
      <w:r>
        <w:rPr>
          <w:rFonts w:ascii="宋体" w:hAnsi="宋体" w:eastAsia="宋体" w:cs="宋体"/>
          <w:spacing w:val="-34"/>
          <w:sz w:val="24"/>
          <w:szCs w:val="24"/>
          <w14:textOutline w14:w="4354" w14:cap="flat" w14:cmpd="sng">
            <w14:solidFill>
              <w14:srgbClr w14:val="000000"/>
            </w14:solidFill>
            <w14:prstDash w14:val="solid"/>
            <w14:miter w14:val="0"/>
          </w14:textOutline>
        </w:rPr>
        <w:t>）；</w:t>
      </w:r>
    </w:p>
    <w:p>
      <w:pPr>
        <w:spacing w:before="152" w:line="441" w:lineRule="exact"/>
        <w:jc w:val="right"/>
        <w:rPr>
          <w:rFonts w:ascii="宋体" w:hAnsi="宋体" w:eastAsia="宋体" w:cs="宋体"/>
          <w:sz w:val="24"/>
          <w:szCs w:val="24"/>
        </w:rPr>
      </w:pP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4"/>
          <w:position w:val="15"/>
          <w:sz w:val="24"/>
          <w:szCs w:val="24"/>
        </w:rPr>
        <w:t xml:space="preserve"> </w:t>
      </w:r>
      <w:r>
        <w:rPr>
          <w:rFonts w:ascii="Times New Roman" w:hAnsi="Times New Roman" w:eastAsia="Times New Roman" w:cs="Times New Roman"/>
          <w:b/>
          <w:bCs/>
          <w:spacing w:val="-4"/>
          <w:position w:val="15"/>
          <w:sz w:val="24"/>
          <w:szCs w:val="24"/>
        </w:rPr>
        <w:t>7</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、云南省国土资源厅《关于大姚县桂花水库工程建设项目的用地预审意见》</w:t>
      </w:r>
    </w:p>
    <w:p>
      <w:pPr>
        <w:spacing w:line="218" w:lineRule="auto"/>
        <w:ind w:left="45"/>
        <w:rPr>
          <w:rFonts w:ascii="宋体" w:hAnsi="宋体" w:eastAsia="宋体" w:cs="宋体"/>
          <w:sz w:val="24"/>
          <w:szCs w:val="24"/>
        </w:rPr>
      </w:pPr>
      <w:r>
        <w:rPr>
          <w:rFonts w:ascii="宋体" w:hAnsi="宋体" w:eastAsia="宋体" w:cs="宋体"/>
          <w:spacing w:val="-7"/>
          <w:sz w:val="24"/>
          <w:szCs w:val="24"/>
          <w14:textOutline w14:w="4354" w14:cap="flat" w14:cmpd="sng">
            <w14:solidFill>
              <w14:srgbClr w14:val="000000"/>
            </w14:solidFill>
            <w14:prstDash w14:val="solid"/>
            <w14:miter w14:val="0"/>
          </w14:textOutline>
        </w:rPr>
        <w:t>（云国土资预</w:t>
      </w:r>
      <w:r>
        <w:rPr>
          <w:rFonts w:ascii="Times New Roman" w:hAnsi="Times New Roman" w:eastAsia="Times New Roman" w:cs="Times New Roman"/>
          <w:b/>
          <w:bCs/>
          <w:spacing w:val="-7"/>
          <w:sz w:val="24"/>
          <w:szCs w:val="24"/>
        </w:rPr>
        <w:t>[2018]4</w:t>
      </w:r>
      <w:r>
        <w:rPr>
          <w:rFonts w:ascii="Times New Roman" w:hAnsi="Times New Roman" w:eastAsia="Times New Roman" w:cs="Times New Roman"/>
          <w:b/>
          <w:bCs/>
          <w:spacing w:val="14"/>
          <w:sz w:val="24"/>
          <w:szCs w:val="24"/>
        </w:rPr>
        <w:t xml:space="preserve"> </w:t>
      </w:r>
      <w:r>
        <w:rPr>
          <w:rFonts w:ascii="宋体" w:hAnsi="宋体" w:eastAsia="宋体" w:cs="宋体"/>
          <w:spacing w:val="-7"/>
          <w:sz w:val="24"/>
          <w:szCs w:val="24"/>
          <w14:textOutline w14:w="4354" w14:cap="flat" w14:cmpd="sng">
            <w14:solidFill>
              <w14:srgbClr w14:val="000000"/>
            </w14:solidFill>
            <w14:prstDash w14:val="solid"/>
            <w14:miter w14:val="0"/>
          </w14:textOutline>
        </w:rPr>
        <w:t>号</w:t>
      </w:r>
      <w:r>
        <w:rPr>
          <w:rFonts w:ascii="宋体" w:hAnsi="宋体" w:eastAsia="宋体" w:cs="宋体"/>
          <w:spacing w:val="-31"/>
          <w:sz w:val="24"/>
          <w:szCs w:val="24"/>
          <w14:textOutline w14:w="4354" w14:cap="flat" w14:cmpd="sng">
            <w14:solidFill>
              <w14:srgbClr w14:val="000000"/>
            </w14:solidFill>
            <w14:prstDash w14:val="solid"/>
            <w14:miter w14:val="0"/>
          </w14:textOutline>
        </w:rPr>
        <w:t>）；</w:t>
      </w:r>
    </w:p>
    <w:p>
      <w:pPr>
        <w:spacing w:before="157" w:line="439" w:lineRule="exact"/>
        <w:ind w:left="58"/>
        <w:rPr>
          <w:rFonts w:ascii="宋体" w:hAnsi="宋体" w:eastAsia="宋体" w:cs="宋体"/>
          <w:sz w:val="24"/>
          <w:szCs w:val="24"/>
        </w:rPr>
      </w:pP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3"/>
          <w:position w:val="15"/>
          <w:sz w:val="24"/>
          <w:szCs w:val="24"/>
        </w:rPr>
        <w:t xml:space="preserve"> </w:t>
      </w:r>
      <w:r>
        <w:rPr>
          <w:rFonts w:ascii="Times New Roman" w:hAnsi="Times New Roman" w:eastAsia="Times New Roman" w:cs="Times New Roman"/>
          <w:b/>
          <w:bCs/>
          <w:spacing w:val="-3"/>
          <w:position w:val="15"/>
          <w:sz w:val="24"/>
          <w:szCs w:val="24"/>
        </w:rPr>
        <w:t>8</w:t>
      </w: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、云南省发展和改革委员会《关于大姚县</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桂花水库工程可行性研究报告的</w:t>
      </w:r>
    </w:p>
    <w:p>
      <w:pPr>
        <w:spacing w:line="218" w:lineRule="auto"/>
        <w:ind w:left="38"/>
        <w:rPr>
          <w:rFonts w:ascii="宋体" w:hAnsi="宋体" w:eastAsia="宋体" w:cs="宋体"/>
          <w:sz w:val="24"/>
          <w:szCs w:val="24"/>
        </w:rPr>
      </w:pPr>
      <w:r>
        <w:rPr>
          <w:rFonts w:ascii="宋体" w:hAnsi="宋体" w:eastAsia="宋体" w:cs="宋体"/>
          <w:spacing w:val="-11"/>
          <w:sz w:val="24"/>
          <w:szCs w:val="24"/>
          <w14:textOutline w14:w="4354" w14:cap="flat" w14:cmpd="sng">
            <w14:solidFill>
              <w14:srgbClr w14:val="000000"/>
            </w14:solidFill>
            <w14:prstDash w14:val="solid"/>
            <w14:miter w14:val="0"/>
          </w14:textOutline>
        </w:rPr>
        <w:t>批复》（云发改农经</w:t>
      </w:r>
      <w:r>
        <w:rPr>
          <w:rFonts w:ascii="Times New Roman" w:hAnsi="Times New Roman" w:eastAsia="Times New Roman" w:cs="Times New Roman"/>
          <w:b/>
          <w:bCs/>
          <w:spacing w:val="-11"/>
          <w:sz w:val="24"/>
          <w:szCs w:val="24"/>
        </w:rPr>
        <w:t>[2018]249</w:t>
      </w:r>
      <w:r>
        <w:rPr>
          <w:rFonts w:ascii="Times New Roman" w:hAnsi="Times New Roman" w:eastAsia="Times New Roman" w:cs="Times New Roman"/>
          <w:b/>
          <w:bCs/>
          <w:spacing w:val="17"/>
          <w:sz w:val="24"/>
          <w:szCs w:val="24"/>
        </w:rPr>
        <w:t xml:space="preserve"> </w:t>
      </w:r>
      <w:r>
        <w:rPr>
          <w:rFonts w:ascii="宋体" w:hAnsi="宋体" w:eastAsia="宋体" w:cs="宋体"/>
          <w:spacing w:val="-11"/>
          <w:sz w:val="24"/>
          <w:szCs w:val="24"/>
          <w14:textOutline w14:w="4354" w14:cap="flat" w14:cmpd="sng">
            <w14:solidFill>
              <w14:srgbClr w14:val="000000"/>
            </w14:solidFill>
            <w14:prstDash w14:val="solid"/>
            <w14:miter w14:val="0"/>
          </w14:textOutline>
        </w:rPr>
        <w:t>号</w:t>
      </w:r>
      <w:r>
        <w:rPr>
          <w:rFonts w:ascii="宋体" w:hAnsi="宋体" w:eastAsia="宋体" w:cs="宋体"/>
          <w:spacing w:val="-32"/>
          <w:sz w:val="24"/>
          <w:szCs w:val="24"/>
          <w14:textOutline w14:w="4354" w14:cap="flat" w14:cmpd="sng">
            <w14:solidFill>
              <w14:srgbClr w14:val="000000"/>
            </w14:solidFill>
            <w14:prstDash w14:val="solid"/>
            <w14:miter w14:val="0"/>
          </w14:textOutline>
        </w:rPr>
        <w:t>）；</w:t>
      </w:r>
    </w:p>
    <w:p>
      <w:pPr>
        <w:spacing w:before="157" w:line="440" w:lineRule="exact"/>
        <w:ind w:left="58"/>
        <w:rPr>
          <w:rFonts w:ascii="宋体" w:hAnsi="宋体" w:eastAsia="宋体" w:cs="宋体"/>
          <w:sz w:val="24"/>
          <w:szCs w:val="24"/>
        </w:rPr>
      </w:pP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4"/>
          <w:position w:val="15"/>
          <w:sz w:val="24"/>
          <w:szCs w:val="24"/>
        </w:rPr>
        <w:t xml:space="preserve"> </w:t>
      </w:r>
      <w:r>
        <w:rPr>
          <w:rFonts w:ascii="Times New Roman" w:hAnsi="Times New Roman" w:eastAsia="Times New Roman" w:cs="Times New Roman"/>
          <w:b/>
          <w:bCs/>
          <w:spacing w:val="-4"/>
          <w:position w:val="15"/>
          <w:sz w:val="24"/>
          <w:szCs w:val="24"/>
        </w:rPr>
        <w:t>9</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、云南省水利厅《关于准予大姚县桂花水库工程初步设计报告的行政许可</w:t>
      </w:r>
    </w:p>
    <w:p>
      <w:pPr>
        <w:spacing w:before="1" w:line="218" w:lineRule="auto"/>
        <w:ind w:left="46"/>
        <w:rPr>
          <w:rFonts w:ascii="宋体" w:hAnsi="宋体" w:eastAsia="宋体" w:cs="宋体"/>
          <w:sz w:val="24"/>
          <w:szCs w:val="24"/>
        </w:rPr>
      </w:pPr>
      <w:r>
        <w:rPr>
          <w:rFonts w:ascii="宋体" w:hAnsi="宋体" w:eastAsia="宋体" w:cs="宋体"/>
          <w:spacing w:val="-13"/>
          <w:sz w:val="24"/>
          <w:szCs w:val="24"/>
          <w14:textOutline w14:w="4354" w14:cap="flat" w14:cmpd="sng">
            <w14:solidFill>
              <w14:srgbClr w14:val="000000"/>
            </w14:solidFill>
            <w14:prstDash w14:val="solid"/>
            <w14:miter w14:val="0"/>
          </w14:textOutline>
        </w:rPr>
        <w:t>决定书》（云水许可</w:t>
      </w:r>
      <w:r>
        <w:rPr>
          <w:rFonts w:ascii="Times New Roman" w:hAnsi="Times New Roman" w:eastAsia="Times New Roman" w:cs="Times New Roman"/>
          <w:b/>
          <w:bCs/>
          <w:spacing w:val="-13"/>
          <w:sz w:val="24"/>
          <w:szCs w:val="24"/>
        </w:rPr>
        <w:t>[2019]1</w:t>
      </w:r>
      <w:r>
        <w:rPr>
          <w:rFonts w:ascii="Times New Roman" w:hAnsi="Times New Roman" w:eastAsia="Times New Roman" w:cs="Times New Roman"/>
          <w:b/>
          <w:bCs/>
          <w:spacing w:val="16"/>
          <w:w w:val="101"/>
          <w:sz w:val="24"/>
          <w:szCs w:val="24"/>
        </w:rPr>
        <w:t xml:space="preserve"> </w:t>
      </w:r>
      <w:r>
        <w:rPr>
          <w:rFonts w:ascii="宋体" w:hAnsi="宋体" w:eastAsia="宋体" w:cs="宋体"/>
          <w:spacing w:val="-13"/>
          <w:sz w:val="24"/>
          <w:szCs w:val="24"/>
          <w14:textOutline w14:w="4354" w14:cap="flat" w14:cmpd="sng">
            <w14:solidFill>
              <w14:srgbClr w14:val="000000"/>
            </w14:solidFill>
            <w14:prstDash w14:val="solid"/>
            <w14:miter w14:val="0"/>
          </w14:textOutline>
        </w:rPr>
        <w:t>号</w:t>
      </w:r>
      <w:r>
        <w:rPr>
          <w:rFonts w:ascii="宋体" w:hAnsi="宋体" w:eastAsia="宋体" w:cs="宋体"/>
          <w:spacing w:val="-30"/>
          <w:sz w:val="24"/>
          <w:szCs w:val="24"/>
          <w14:textOutline w14:w="4354" w14:cap="flat" w14:cmpd="sng">
            <w14:solidFill>
              <w14:srgbClr w14:val="000000"/>
            </w14:solidFill>
            <w14:prstDash w14:val="solid"/>
            <w14:miter w14:val="0"/>
          </w14:textOutline>
        </w:rPr>
        <w:t>）；</w:t>
      </w:r>
    </w:p>
    <w:p>
      <w:pPr>
        <w:spacing w:before="155" w:line="339" w:lineRule="auto"/>
        <w:ind w:left="58" w:right="159"/>
        <w:rPr>
          <w:rFonts w:ascii="宋体" w:hAnsi="宋体" w:eastAsia="宋体" w:cs="宋体"/>
          <w:sz w:val="24"/>
          <w:szCs w:val="24"/>
        </w:rPr>
      </w:pPr>
      <w:r>
        <w:rPr>
          <w:rFonts w:ascii="宋体" w:hAnsi="宋体" w:eastAsia="宋体" w:cs="宋体"/>
          <w:spacing w:val="-6"/>
          <w:sz w:val="24"/>
          <w:szCs w:val="24"/>
          <w14:textOutline w14:w="4354" w14:cap="flat" w14:cmpd="sng">
            <w14:solidFill>
              <w14:srgbClr w14:val="000000"/>
            </w14:solidFill>
            <w14:prstDash w14:val="solid"/>
            <w14:miter w14:val="0"/>
          </w14:textOutline>
        </w:rPr>
        <w:t>附件</w:t>
      </w:r>
      <w:r>
        <w:rPr>
          <w:rFonts w:ascii="宋体" w:hAnsi="宋体" w:eastAsia="宋体" w:cs="宋体"/>
          <w:spacing w:val="-6"/>
          <w:sz w:val="24"/>
          <w:szCs w:val="24"/>
        </w:rPr>
        <w:t xml:space="preserve"> </w:t>
      </w:r>
      <w:r>
        <w:rPr>
          <w:rFonts w:ascii="Times New Roman" w:hAnsi="Times New Roman" w:eastAsia="Times New Roman" w:cs="Times New Roman"/>
          <w:b/>
          <w:bCs/>
          <w:spacing w:val="-6"/>
          <w:sz w:val="24"/>
          <w:szCs w:val="24"/>
        </w:rPr>
        <w:t>10</w:t>
      </w:r>
      <w:r>
        <w:rPr>
          <w:rFonts w:ascii="Times New Roman" w:hAnsi="Times New Roman" w:eastAsia="Times New Roman" w:cs="Times New Roman"/>
          <w:b/>
          <w:bCs/>
          <w:spacing w:val="-34"/>
          <w:sz w:val="24"/>
          <w:szCs w:val="24"/>
        </w:rPr>
        <w:t xml:space="preserve"> </w:t>
      </w:r>
      <w:r>
        <w:rPr>
          <w:rFonts w:ascii="宋体" w:hAnsi="宋体" w:eastAsia="宋体" w:cs="宋体"/>
          <w:spacing w:val="-6"/>
          <w:sz w:val="24"/>
          <w:szCs w:val="24"/>
          <w14:textOutline w14:w="4354" w14:cap="flat" w14:cmpd="sng">
            <w14:solidFill>
              <w14:srgbClr w14:val="000000"/>
            </w14:solidFill>
            <w14:prstDash w14:val="solid"/>
            <w14:miter w14:val="0"/>
          </w14:textOutline>
        </w:rPr>
        <w:t>、国家林业和草原局《使用林地审核同意书》（林资许准</w:t>
      </w:r>
      <w:r>
        <w:rPr>
          <w:rFonts w:ascii="Times New Roman" w:hAnsi="Times New Roman" w:eastAsia="Times New Roman" w:cs="Times New Roman"/>
          <w:b/>
          <w:bCs/>
          <w:spacing w:val="-6"/>
          <w:sz w:val="24"/>
          <w:szCs w:val="24"/>
        </w:rPr>
        <w:t>[2019]523</w:t>
      </w:r>
      <w:r>
        <w:rPr>
          <w:rFonts w:ascii="Times New Roman" w:hAnsi="Times New Roman" w:eastAsia="Times New Roman" w:cs="Times New Roman"/>
          <w:b/>
          <w:bCs/>
          <w:spacing w:val="35"/>
          <w:sz w:val="24"/>
          <w:szCs w:val="24"/>
        </w:rPr>
        <w:t xml:space="preserve"> </w:t>
      </w:r>
      <w:r>
        <w:rPr>
          <w:rFonts w:ascii="宋体" w:hAnsi="宋体" w:eastAsia="宋体" w:cs="宋体"/>
          <w:spacing w:val="-6"/>
          <w:sz w:val="24"/>
          <w:szCs w:val="24"/>
          <w14:textOutline w14:w="4354" w14:cap="flat" w14:cmpd="sng">
            <w14:solidFill>
              <w14:srgbClr w14:val="000000"/>
            </w14:solidFill>
            <w14:prstDash w14:val="solid"/>
            <w14:miter w14:val="0"/>
          </w14:textOutline>
        </w:rPr>
        <w:t>号</w:t>
      </w:r>
      <w:r>
        <w:rPr>
          <w:rFonts w:ascii="宋体" w:hAnsi="宋体" w:eastAsia="宋体" w:cs="宋体"/>
          <w:spacing w:val="-49"/>
          <w:sz w:val="24"/>
          <w:szCs w:val="24"/>
          <w14:textOutline w14:w="4354" w14:cap="flat" w14:cmpd="sng">
            <w14:solidFill>
              <w14:srgbClr w14:val="000000"/>
            </w14:solidFill>
            <w14:prstDash w14:val="solid"/>
            <w14:miter w14:val="0"/>
          </w14:textOutline>
        </w:rPr>
        <w:t>）；</w:t>
      </w:r>
      <w:r>
        <w:rPr>
          <w:rFonts w:ascii="宋体" w:hAnsi="宋体" w:eastAsia="宋体" w:cs="宋体"/>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附件</w:t>
      </w:r>
      <w:r>
        <w:rPr>
          <w:rFonts w:ascii="宋体" w:hAnsi="宋体" w:eastAsia="宋体" w:cs="宋体"/>
          <w:spacing w:val="-1"/>
          <w:sz w:val="24"/>
          <w:szCs w:val="24"/>
        </w:rPr>
        <w:t xml:space="preserve"> </w:t>
      </w:r>
      <w:r>
        <w:rPr>
          <w:rFonts w:ascii="Times New Roman" w:hAnsi="Times New Roman" w:eastAsia="Times New Roman" w:cs="Times New Roman"/>
          <w:b/>
          <w:bCs/>
          <w:spacing w:val="-1"/>
          <w:sz w:val="24"/>
          <w:szCs w:val="24"/>
        </w:rPr>
        <w:t>11</w:t>
      </w:r>
      <w:r>
        <w:rPr>
          <w:rFonts w:ascii="Times New Roman" w:hAnsi="Times New Roman" w:eastAsia="Times New Roman" w:cs="Times New Roman"/>
          <w:b/>
          <w:bCs/>
          <w:spacing w:val="-28"/>
          <w:sz w:val="24"/>
          <w:szCs w:val="24"/>
        </w:rPr>
        <w:t xml:space="preserve"> </w:t>
      </w:r>
      <w:r>
        <w:rPr>
          <w:rFonts w:ascii="宋体" w:hAnsi="宋体" w:eastAsia="宋体" w:cs="宋体"/>
          <w:spacing w:val="-1"/>
          <w:sz w:val="24"/>
          <w:szCs w:val="24"/>
          <w14:textOutline w14:w="4354" w14:cap="flat" w14:cmpd="sng">
            <w14:solidFill>
              <w14:srgbClr w14:val="000000"/>
            </w14:solidFill>
            <w14:prstDash w14:val="solid"/>
            <w14:miter w14:val="0"/>
          </w14:textOutline>
        </w:rPr>
        <w:t>、云南省林业和草原局《关于大姚县桂花水库工程临时占用林地的行政</w:t>
      </w:r>
    </w:p>
    <w:p>
      <w:pPr>
        <w:spacing w:line="218" w:lineRule="auto"/>
        <w:ind w:left="40"/>
        <w:rPr>
          <w:rFonts w:ascii="宋体" w:hAnsi="宋体" w:eastAsia="宋体" w:cs="宋体"/>
          <w:sz w:val="24"/>
          <w:szCs w:val="24"/>
        </w:rPr>
      </w:pPr>
      <w:r>
        <w:rPr>
          <w:rFonts w:ascii="宋体" w:hAnsi="宋体" w:eastAsia="宋体" w:cs="宋体"/>
          <w:spacing w:val="-10"/>
          <w:sz w:val="24"/>
          <w:szCs w:val="24"/>
          <w14:textOutline w14:w="4354" w14:cap="flat" w14:cmpd="sng">
            <w14:solidFill>
              <w14:srgbClr w14:val="000000"/>
            </w14:solidFill>
            <w14:prstDash w14:val="solid"/>
            <w14:miter w14:val="0"/>
          </w14:textOutline>
        </w:rPr>
        <w:t>许可决定》（云林审批</w:t>
      </w:r>
      <w:r>
        <w:rPr>
          <w:rFonts w:ascii="Times New Roman" w:hAnsi="Times New Roman" w:eastAsia="Times New Roman" w:cs="Times New Roman"/>
          <w:b/>
          <w:bCs/>
          <w:spacing w:val="-10"/>
          <w:sz w:val="24"/>
          <w:szCs w:val="24"/>
        </w:rPr>
        <w:t>[2019]1167</w:t>
      </w:r>
      <w:r>
        <w:rPr>
          <w:rFonts w:ascii="Times New Roman" w:hAnsi="Times New Roman" w:eastAsia="Times New Roman" w:cs="Times New Roman"/>
          <w:b/>
          <w:bCs/>
          <w:spacing w:val="15"/>
          <w:sz w:val="24"/>
          <w:szCs w:val="24"/>
        </w:rPr>
        <w:t xml:space="preserve"> </w:t>
      </w:r>
      <w:r>
        <w:rPr>
          <w:rFonts w:ascii="宋体" w:hAnsi="宋体" w:eastAsia="宋体" w:cs="宋体"/>
          <w:spacing w:val="-10"/>
          <w:sz w:val="24"/>
          <w:szCs w:val="24"/>
          <w14:textOutline w14:w="4354" w14:cap="flat" w14:cmpd="sng">
            <w14:solidFill>
              <w14:srgbClr w14:val="000000"/>
            </w14:solidFill>
            <w14:prstDash w14:val="solid"/>
            <w14:miter w14:val="0"/>
          </w14:textOutline>
        </w:rPr>
        <w:t>号</w:t>
      </w:r>
      <w:r>
        <w:rPr>
          <w:rFonts w:ascii="宋体" w:hAnsi="宋体" w:eastAsia="宋体" w:cs="宋体"/>
          <w:spacing w:val="-38"/>
          <w:sz w:val="24"/>
          <w:szCs w:val="24"/>
          <w14:textOutline w14:w="4354" w14:cap="flat" w14:cmpd="sng">
            <w14:solidFill>
              <w14:srgbClr w14:val="000000"/>
            </w14:solidFill>
            <w14:prstDash w14:val="solid"/>
            <w14:miter w14:val="0"/>
          </w14:textOutline>
        </w:rPr>
        <w:t>）；</w:t>
      </w:r>
    </w:p>
    <w:p>
      <w:pPr>
        <w:spacing w:before="156" w:line="440" w:lineRule="exact"/>
        <w:ind w:left="58"/>
        <w:rPr>
          <w:rFonts w:ascii="宋体" w:hAnsi="宋体" w:eastAsia="宋体" w:cs="宋体"/>
          <w:sz w:val="24"/>
          <w:szCs w:val="24"/>
        </w:rPr>
      </w:pPr>
      <w:r>
        <w:rPr>
          <w:rFonts w:ascii="宋体" w:hAnsi="宋体" w:eastAsia="宋体" w:cs="宋体"/>
          <w:spacing w:val="-1"/>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1"/>
          <w:position w:val="15"/>
          <w:sz w:val="24"/>
          <w:szCs w:val="24"/>
        </w:rPr>
        <w:t xml:space="preserve"> </w:t>
      </w:r>
      <w:r>
        <w:rPr>
          <w:rFonts w:ascii="Times New Roman" w:hAnsi="Times New Roman" w:eastAsia="Times New Roman" w:cs="Times New Roman"/>
          <w:b/>
          <w:bCs/>
          <w:spacing w:val="-1"/>
          <w:position w:val="15"/>
          <w:sz w:val="24"/>
          <w:szCs w:val="24"/>
        </w:rPr>
        <w:t>12</w:t>
      </w:r>
      <w:r>
        <w:rPr>
          <w:rFonts w:ascii="Times New Roman" w:hAnsi="Times New Roman" w:eastAsia="Times New Roman" w:cs="Times New Roman"/>
          <w:b/>
          <w:bCs/>
          <w:spacing w:val="-31"/>
          <w:position w:val="15"/>
          <w:sz w:val="24"/>
          <w:szCs w:val="24"/>
        </w:rPr>
        <w:t xml:space="preserve"> </w:t>
      </w:r>
      <w:r>
        <w:rPr>
          <w:rFonts w:ascii="宋体" w:hAnsi="宋体" w:eastAsia="宋体" w:cs="宋体"/>
          <w:spacing w:val="-1"/>
          <w:position w:val="15"/>
          <w:sz w:val="24"/>
          <w:szCs w:val="24"/>
          <w14:textOutline w14:w="4354" w14:cap="flat" w14:cmpd="sng">
            <w14:solidFill>
              <w14:srgbClr w14:val="000000"/>
            </w14:solidFill>
            <w14:prstDash w14:val="solid"/>
            <w14:miter w14:val="0"/>
          </w14:textOutline>
        </w:rPr>
        <w:t>、国家林业和草原局关于大姚县桂花水库项目使用林地行政许可续展的</w:t>
      </w:r>
    </w:p>
    <w:p>
      <w:pPr>
        <w:spacing w:before="1" w:line="219" w:lineRule="auto"/>
        <w:ind w:left="46"/>
        <w:rPr>
          <w:rFonts w:ascii="宋体" w:hAnsi="宋体" w:eastAsia="宋体" w:cs="宋体"/>
          <w:sz w:val="24"/>
          <w:szCs w:val="24"/>
        </w:rPr>
      </w:pPr>
      <w:r>
        <w:rPr>
          <w:rFonts w:ascii="宋体" w:hAnsi="宋体" w:eastAsia="宋体" w:cs="宋体"/>
          <w:spacing w:val="-8"/>
          <w:sz w:val="24"/>
          <w:szCs w:val="24"/>
          <w14:textOutline w14:w="4354" w14:cap="flat" w14:cmpd="sng">
            <w14:solidFill>
              <w14:srgbClr w14:val="000000"/>
            </w14:solidFill>
            <w14:prstDash w14:val="solid"/>
            <w14:miter w14:val="0"/>
          </w14:textOutline>
        </w:rPr>
        <w:t>决定（林资许续（滇）〔</w:t>
      </w:r>
      <w:r>
        <w:rPr>
          <w:rFonts w:ascii="Times New Roman" w:hAnsi="Times New Roman" w:eastAsia="Times New Roman" w:cs="Times New Roman"/>
          <w:b/>
          <w:bCs/>
          <w:spacing w:val="-8"/>
          <w:sz w:val="24"/>
          <w:szCs w:val="24"/>
        </w:rPr>
        <w:t>2021</w:t>
      </w:r>
      <w:r>
        <w:rPr>
          <w:rFonts w:ascii="宋体" w:hAnsi="宋体" w:eastAsia="宋体" w:cs="宋体"/>
          <w:spacing w:val="-8"/>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8"/>
          <w:sz w:val="24"/>
          <w:szCs w:val="24"/>
        </w:rPr>
        <w:t>14</w:t>
      </w:r>
      <w:r>
        <w:rPr>
          <w:rFonts w:ascii="Times New Roman" w:hAnsi="Times New Roman" w:eastAsia="Times New Roman" w:cs="Times New Roman"/>
          <w:b/>
          <w:bCs/>
          <w:spacing w:val="16"/>
          <w:w w:val="101"/>
          <w:sz w:val="24"/>
          <w:szCs w:val="24"/>
        </w:rPr>
        <w:t xml:space="preserve"> </w:t>
      </w:r>
      <w:r>
        <w:rPr>
          <w:rFonts w:ascii="宋体" w:hAnsi="宋体" w:eastAsia="宋体" w:cs="宋体"/>
          <w:spacing w:val="-8"/>
          <w:sz w:val="24"/>
          <w:szCs w:val="24"/>
          <w14:textOutline w14:w="4354" w14:cap="flat" w14:cmpd="sng">
            <w14:solidFill>
              <w14:srgbClr w14:val="000000"/>
            </w14:solidFill>
            <w14:prstDash w14:val="solid"/>
            <w14:miter w14:val="0"/>
          </w14:textOutline>
        </w:rPr>
        <w:t>号</w:t>
      </w:r>
      <w:r>
        <w:rPr>
          <w:rFonts w:ascii="宋体" w:hAnsi="宋体" w:eastAsia="宋体" w:cs="宋体"/>
          <w:spacing w:val="-63"/>
          <w:sz w:val="24"/>
          <w:szCs w:val="24"/>
          <w14:textOutline w14:w="4354" w14:cap="flat" w14:cmpd="sng">
            <w14:solidFill>
              <w14:srgbClr w14:val="000000"/>
            </w14:solidFill>
            <w14:prstDash w14:val="solid"/>
            <w14:miter w14:val="0"/>
          </w14:textOutline>
        </w:rPr>
        <w:t>）；</w:t>
      </w:r>
    </w:p>
    <w:p>
      <w:pPr>
        <w:spacing w:before="155" w:line="439" w:lineRule="exact"/>
        <w:ind w:left="58"/>
        <w:rPr>
          <w:rFonts w:ascii="宋体" w:hAnsi="宋体" w:eastAsia="宋体" w:cs="宋体"/>
          <w:sz w:val="24"/>
          <w:szCs w:val="24"/>
        </w:rPr>
      </w:pPr>
      <w:r>
        <w:rPr>
          <w:rFonts w:ascii="宋体" w:hAnsi="宋体" w:eastAsia="宋体" w:cs="宋体"/>
          <w:spacing w:val="-1"/>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1"/>
          <w:position w:val="15"/>
          <w:sz w:val="24"/>
          <w:szCs w:val="24"/>
        </w:rPr>
        <w:t xml:space="preserve"> </w:t>
      </w:r>
      <w:r>
        <w:rPr>
          <w:rFonts w:ascii="Times New Roman" w:hAnsi="Times New Roman" w:eastAsia="Times New Roman" w:cs="Times New Roman"/>
          <w:b/>
          <w:bCs/>
          <w:spacing w:val="-1"/>
          <w:position w:val="15"/>
          <w:sz w:val="24"/>
          <w:szCs w:val="24"/>
        </w:rPr>
        <w:t>13</w:t>
      </w:r>
      <w:r>
        <w:rPr>
          <w:rFonts w:ascii="Times New Roman" w:hAnsi="Times New Roman" w:eastAsia="Times New Roman" w:cs="Times New Roman"/>
          <w:b/>
          <w:bCs/>
          <w:spacing w:val="-26"/>
          <w:position w:val="15"/>
          <w:sz w:val="24"/>
          <w:szCs w:val="24"/>
        </w:rPr>
        <w:t xml:space="preserve"> </w:t>
      </w:r>
      <w:r>
        <w:rPr>
          <w:rFonts w:ascii="宋体" w:hAnsi="宋体" w:eastAsia="宋体" w:cs="宋体"/>
          <w:spacing w:val="-1"/>
          <w:position w:val="15"/>
          <w:sz w:val="24"/>
          <w:szCs w:val="24"/>
          <w14:textOutline w14:w="4354" w14:cap="flat" w14:cmpd="sng">
            <w14:solidFill>
              <w14:srgbClr w14:val="000000"/>
            </w14:solidFill>
            <w14:prstDash w14:val="solid"/>
            <w14:miter w14:val="0"/>
          </w14:textOutline>
        </w:rPr>
        <w:t>、大姚县桂花水库工程建设项目农用地转用及土地征收的批复（云自然</w:t>
      </w:r>
    </w:p>
    <w:p>
      <w:pPr>
        <w:spacing w:line="220" w:lineRule="auto"/>
        <w:ind w:left="49"/>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资复〔</w:t>
      </w:r>
      <w:r>
        <w:rPr>
          <w:rFonts w:ascii="Times New Roman" w:hAnsi="Times New Roman" w:eastAsia="Times New Roman" w:cs="Times New Roman"/>
          <w:b/>
          <w:bCs/>
          <w:spacing w:val="-3"/>
          <w:sz w:val="24"/>
          <w:szCs w:val="24"/>
        </w:rPr>
        <w:t>2022</w:t>
      </w:r>
      <w:r>
        <w:rPr>
          <w:rFonts w:ascii="宋体" w:hAnsi="宋体" w:eastAsia="宋体" w:cs="宋体"/>
          <w:spacing w:val="-3"/>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
          <w:sz w:val="24"/>
          <w:szCs w:val="24"/>
        </w:rPr>
        <w:t>30</w:t>
      </w:r>
      <w:r>
        <w:rPr>
          <w:rFonts w:ascii="Times New Roman" w:hAnsi="Times New Roman" w:eastAsia="Times New Roman" w:cs="Times New Roman"/>
          <w:b/>
          <w:bCs/>
          <w:spacing w:val="19"/>
          <w:w w:val="101"/>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号</w:t>
      </w:r>
      <w:r>
        <w:rPr>
          <w:rFonts w:ascii="宋体" w:hAnsi="宋体" w:eastAsia="宋体" w:cs="宋体"/>
          <w:spacing w:val="-62"/>
          <w:w w:val="97"/>
          <w:sz w:val="24"/>
          <w:szCs w:val="24"/>
          <w14:textOutline w14:w="4354" w14:cap="flat" w14:cmpd="sng">
            <w14:solidFill>
              <w14:srgbClr w14:val="000000"/>
            </w14:solidFill>
            <w14:prstDash w14:val="solid"/>
            <w14:miter w14:val="0"/>
          </w14:textOutline>
        </w:rPr>
        <w:t>）；</w:t>
      </w:r>
    </w:p>
    <w:p>
      <w:pPr>
        <w:spacing w:before="154" w:line="441" w:lineRule="exact"/>
        <w:ind w:left="58"/>
        <w:rPr>
          <w:rFonts w:ascii="宋体" w:hAnsi="宋体" w:eastAsia="宋体" w:cs="宋体"/>
          <w:sz w:val="24"/>
          <w:szCs w:val="24"/>
        </w:rPr>
      </w:pPr>
      <w:r>
        <w:rPr>
          <w:rFonts w:ascii="宋体" w:hAnsi="宋体" w:eastAsia="宋体" w:cs="宋体"/>
          <w:spacing w:val="6"/>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6"/>
          <w:position w:val="15"/>
          <w:sz w:val="24"/>
          <w:szCs w:val="24"/>
        </w:rPr>
        <w:t xml:space="preserve"> </w:t>
      </w:r>
      <w:r>
        <w:rPr>
          <w:rFonts w:ascii="Times New Roman" w:hAnsi="Times New Roman" w:eastAsia="Times New Roman" w:cs="Times New Roman"/>
          <w:b/>
          <w:bCs/>
          <w:spacing w:val="6"/>
          <w:position w:val="15"/>
          <w:sz w:val="24"/>
          <w:szCs w:val="24"/>
        </w:rPr>
        <w:t>14</w:t>
      </w:r>
      <w:r>
        <w:rPr>
          <w:rFonts w:ascii="Times New Roman" w:hAnsi="Times New Roman" w:eastAsia="Times New Roman" w:cs="Times New Roman"/>
          <w:b/>
          <w:bCs/>
          <w:spacing w:val="-27"/>
          <w:position w:val="15"/>
          <w:sz w:val="24"/>
          <w:szCs w:val="24"/>
        </w:rPr>
        <w:t xml:space="preserve"> </w:t>
      </w:r>
      <w:r>
        <w:rPr>
          <w:rFonts w:ascii="宋体" w:hAnsi="宋体" w:eastAsia="宋体" w:cs="宋体"/>
          <w:spacing w:val="6"/>
          <w:position w:val="15"/>
          <w:sz w:val="24"/>
          <w:szCs w:val="24"/>
          <w14:textOutline w14:w="4354" w14:cap="flat" w14:cmpd="sng">
            <w14:solidFill>
              <w14:srgbClr w14:val="000000"/>
            </w14:solidFill>
            <w14:prstDash w14:val="solid"/>
            <w14:miter w14:val="0"/>
          </w14:textOutline>
        </w:rPr>
        <w:t>、关于大姚县桂花水库工程建设项目划拨用地的批</w:t>
      </w:r>
      <w:r>
        <w:rPr>
          <w:rFonts w:ascii="宋体" w:hAnsi="宋体" w:eastAsia="宋体" w:cs="宋体"/>
          <w:spacing w:val="5"/>
          <w:position w:val="15"/>
          <w:sz w:val="24"/>
          <w:szCs w:val="24"/>
          <w14:textOutline w14:w="4354" w14:cap="flat" w14:cmpd="sng">
            <w14:solidFill>
              <w14:srgbClr w14:val="000000"/>
            </w14:solidFill>
            <w14:prstDash w14:val="solid"/>
            <w14:miter w14:val="0"/>
          </w14:textOutline>
        </w:rPr>
        <w:t>复（楚自然资审批</w:t>
      </w:r>
    </w:p>
    <w:p>
      <w:pPr>
        <w:spacing w:before="1" w:line="220" w:lineRule="auto"/>
        <w:ind w:left="66"/>
        <w:rPr>
          <w:rFonts w:ascii="宋体" w:hAnsi="宋体" w:eastAsia="宋体" w:cs="宋体"/>
          <w:sz w:val="24"/>
          <w:szCs w:val="24"/>
        </w:rPr>
      </w:pPr>
      <w:r>
        <w:rPr>
          <w:rFonts w:ascii="宋体" w:hAnsi="宋体" w:eastAsia="宋体" w:cs="宋体"/>
          <w:spacing w:val="-5"/>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5"/>
          <w:sz w:val="24"/>
          <w:szCs w:val="24"/>
        </w:rPr>
        <w:t>2022</w:t>
      </w:r>
      <w:r>
        <w:rPr>
          <w:rFonts w:ascii="宋体" w:hAnsi="宋体" w:eastAsia="宋体" w:cs="宋体"/>
          <w:spacing w:val="-5"/>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5"/>
          <w:sz w:val="24"/>
          <w:szCs w:val="24"/>
        </w:rPr>
        <w:t>148</w:t>
      </w:r>
      <w:r>
        <w:rPr>
          <w:rFonts w:ascii="Times New Roman" w:hAnsi="Times New Roman" w:eastAsia="Times New Roman" w:cs="Times New Roman"/>
          <w:b/>
          <w:bCs/>
          <w:spacing w:val="18"/>
          <w:w w:val="101"/>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0"/>
          </w14:textOutline>
        </w:rPr>
        <w:t>号</w:t>
      </w:r>
      <w:r>
        <w:rPr>
          <w:rFonts w:ascii="宋体" w:hAnsi="宋体" w:eastAsia="宋体" w:cs="宋体"/>
          <w:spacing w:val="-62"/>
          <w:w w:val="97"/>
          <w:sz w:val="24"/>
          <w:szCs w:val="24"/>
          <w14:textOutline w14:w="4354" w14:cap="flat" w14:cmpd="sng">
            <w14:solidFill>
              <w14:srgbClr w14:val="000000"/>
            </w14:solidFill>
            <w14:prstDash w14:val="solid"/>
            <w14:miter w14:val="0"/>
          </w14:textOutline>
        </w:rPr>
        <w:t>）；</w:t>
      </w:r>
    </w:p>
    <w:p>
      <w:pPr>
        <w:spacing w:before="152" w:line="440" w:lineRule="exact"/>
        <w:ind w:left="58"/>
        <w:rPr>
          <w:rFonts w:ascii="宋体" w:hAnsi="宋体" w:eastAsia="宋体" w:cs="宋体"/>
          <w:sz w:val="24"/>
          <w:szCs w:val="24"/>
        </w:rPr>
      </w:pPr>
      <w:r>
        <w:rPr>
          <w:rFonts w:ascii="宋体" w:hAnsi="宋体" w:eastAsia="宋体" w:cs="宋体"/>
          <w:spacing w:val="-5"/>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35"/>
          <w:position w:val="15"/>
          <w:sz w:val="24"/>
          <w:szCs w:val="24"/>
        </w:rPr>
        <w:t xml:space="preserve"> </w:t>
      </w:r>
      <w:r>
        <w:rPr>
          <w:rFonts w:ascii="Times New Roman" w:hAnsi="Times New Roman" w:eastAsia="Times New Roman" w:cs="Times New Roman"/>
          <w:b/>
          <w:bCs/>
          <w:spacing w:val="-5"/>
          <w:position w:val="15"/>
          <w:sz w:val="24"/>
          <w:szCs w:val="24"/>
        </w:rPr>
        <w:t>15</w:t>
      </w:r>
      <w:r>
        <w:rPr>
          <w:rFonts w:ascii="Times New Roman" w:hAnsi="Times New Roman" w:eastAsia="Times New Roman" w:cs="Times New Roman"/>
          <w:b/>
          <w:bCs/>
          <w:spacing w:val="-34"/>
          <w:position w:val="15"/>
          <w:sz w:val="24"/>
          <w:szCs w:val="24"/>
        </w:rPr>
        <w:t xml:space="preserve"> </w:t>
      </w:r>
      <w:r>
        <w:rPr>
          <w:rFonts w:ascii="宋体" w:hAnsi="宋体" w:eastAsia="宋体" w:cs="宋体"/>
          <w:spacing w:val="-5"/>
          <w:position w:val="15"/>
          <w:sz w:val="24"/>
          <w:szCs w:val="24"/>
          <w14:textOutline w14:w="4354" w14:cap="flat" w14:cmpd="sng">
            <w14:solidFill>
              <w14:srgbClr w14:val="000000"/>
            </w14:solidFill>
            <w14:prstDash w14:val="solid"/>
            <w14:miter w14:val="0"/>
          </w14:textOutline>
        </w:rPr>
        <w:t>、生态红线查询说明；</w:t>
      </w:r>
    </w:p>
    <w:p>
      <w:pPr>
        <w:spacing w:before="1" w:line="218" w:lineRule="auto"/>
        <w:ind w:left="58"/>
        <w:rPr>
          <w:rFonts w:ascii="宋体" w:hAnsi="宋体" w:eastAsia="宋体" w:cs="宋体"/>
          <w:sz w:val="24"/>
          <w:szCs w:val="24"/>
        </w:rPr>
      </w:pPr>
      <w:r>
        <w:rPr>
          <w:rFonts w:ascii="宋体" w:hAnsi="宋体" w:eastAsia="宋体" w:cs="宋体"/>
          <w:spacing w:val="-7"/>
          <w:sz w:val="24"/>
          <w:szCs w:val="24"/>
          <w14:textOutline w14:w="4354" w14:cap="flat" w14:cmpd="sng">
            <w14:solidFill>
              <w14:srgbClr w14:val="000000"/>
            </w14:solidFill>
            <w14:prstDash w14:val="solid"/>
            <w14:miter w14:val="0"/>
          </w14:textOutline>
        </w:rPr>
        <w:t>附件</w:t>
      </w:r>
      <w:r>
        <w:rPr>
          <w:rFonts w:ascii="宋体" w:hAnsi="宋体" w:eastAsia="宋体" w:cs="宋体"/>
          <w:spacing w:val="-42"/>
          <w:sz w:val="24"/>
          <w:szCs w:val="24"/>
        </w:rPr>
        <w:t xml:space="preserve"> </w:t>
      </w:r>
      <w:r>
        <w:rPr>
          <w:rFonts w:ascii="Times New Roman" w:hAnsi="Times New Roman" w:eastAsia="Times New Roman" w:cs="Times New Roman"/>
          <w:b/>
          <w:bCs/>
          <w:spacing w:val="-7"/>
          <w:sz w:val="24"/>
          <w:szCs w:val="24"/>
        </w:rPr>
        <w:t xml:space="preserve">16  </w:t>
      </w:r>
      <w:r>
        <w:rPr>
          <w:rFonts w:ascii="宋体" w:hAnsi="宋体" w:eastAsia="宋体" w:cs="宋体"/>
          <w:spacing w:val="-7"/>
          <w:sz w:val="24"/>
          <w:szCs w:val="24"/>
          <w14:textOutline w14:w="4354" w14:cap="flat" w14:cmpd="sng">
            <w14:solidFill>
              <w14:srgbClr w14:val="000000"/>
            </w14:solidFill>
            <w14:prstDash w14:val="solid"/>
            <w14:miter w14:val="0"/>
          </w14:textOutline>
        </w:rPr>
        <w:t>压覆矿说明；</w:t>
      </w:r>
    </w:p>
    <w:p>
      <w:pPr>
        <w:spacing w:before="156" w:line="219" w:lineRule="auto"/>
        <w:ind w:left="58"/>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附件</w:t>
      </w:r>
      <w:r>
        <w:rPr>
          <w:rFonts w:ascii="宋体" w:hAnsi="宋体" w:eastAsia="宋体" w:cs="宋体"/>
          <w:spacing w:val="-35"/>
          <w:sz w:val="24"/>
          <w:szCs w:val="24"/>
        </w:rPr>
        <w:t xml:space="preserve"> </w:t>
      </w:r>
      <w:r>
        <w:rPr>
          <w:rFonts w:ascii="Times New Roman" w:hAnsi="Times New Roman" w:eastAsia="Times New Roman" w:cs="Times New Roman"/>
          <w:b/>
          <w:bCs/>
          <w:spacing w:val="-3"/>
          <w:sz w:val="24"/>
          <w:szCs w:val="24"/>
        </w:rPr>
        <w:t xml:space="preserve">17  </w:t>
      </w:r>
      <w:r>
        <w:rPr>
          <w:rFonts w:ascii="宋体" w:hAnsi="宋体" w:eastAsia="宋体" w:cs="宋体"/>
          <w:spacing w:val="-3"/>
          <w:sz w:val="24"/>
          <w:szCs w:val="24"/>
          <w14:textOutline w14:w="4354" w14:cap="flat" w14:cmpd="sng">
            <w14:solidFill>
              <w14:srgbClr w14:val="000000"/>
            </w14:solidFill>
            <w14:prstDash w14:val="solid"/>
            <w14:miter w14:val="0"/>
          </w14:textOutline>
        </w:rPr>
        <w:t>不占用基本农田说明</w:t>
      </w:r>
    </w:p>
    <w:p>
      <w:pPr>
        <w:spacing w:before="155" w:line="441" w:lineRule="exact"/>
        <w:ind w:left="58"/>
        <w:rPr>
          <w:rFonts w:ascii="宋体" w:hAnsi="宋体" w:eastAsia="宋体" w:cs="宋体"/>
          <w:sz w:val="24"/>
          <w:szCs w:val="24"/>
        </w:rPr>
      </w:pPr>
      <w:r>
        <w:rPr>
          <w:rFonts w:ascii="宋体" w:hAnsi="宋体" w:eastAsia="宋体" w:cs="宋体"/>
          <w:spacing w:val="1"/>
          <w:position w:val="15"/>
          <w:sz w:val="24"/>
          <w:szCs w:val="24"/>
          <w14:textOutline w14:w="4354" w14:cap="flat" w14:cmpd="sng">
            <w14:solidFill>
              <w14:srgbClr w14:val="000000"/>
            </w14:solidFill>
            <w14:prstDash w14:val="solid"/>
            <w14:miter w14:val="0"/>
          </w14:textOutline>
        </w:rPr>
        <w:t>附件</w:t>
      </w:r>
      <w:r>
        <w:rPr>
          <w:rFonts w:ascii="宋体" w:hAnsi="宋体" w:eastAsia="宋体" w:cs="宋体"/>
          <w:spacing w:val="1"/>
          <w:position w:val="15"/>
          <w:sz w:val="24"/>
          <w:szCs w:val="24"/>
        </w:rPr>
        <w:t xml:space="preserve"> </w:t>
      </w:r>
      <w:r>
        <w:rPr>
          <w:rFonts w:ascii="Times New Roman" w:hAnsi="Times New Roman" w:eastAsia="Times New Roman" w:cs="Times New Roman"/>
          <w:b/>
          <w:bCs/>
          <w:spacing w:val="1"/>
          <w:position w:val="15"/>
          <w:sz w:val="24"/>
          <w:szCs w:val="24"/>
        </w:rPr>
        <w:t xml:space="preserve">18  </w:t>
      </w:r>
      <w:r>
        <w:rPr>
          <w:rFonts w:ascii="宋体" w:hAnsi="宋体" w:eastAsia="宋体" w:cs="宋体"/>
          <w:spacing w:val="1"/>
          <w:position w:val="15"/>
          <w:sz w:val="24"/>
          <w:szCs w:val="24"/>
          <w14:textOutline w14:w="4354" w14:cap="flat" w14:cmpd="sng">
            <w14:solidFill>
              <w14:srgbClr w14:val="000000"/>
            </w14:solidFill>
            <w14:prstDash w14:val="solid"/>
            <w14:miter w14:val="0"/>
          </w14:textOutline>
        </w:rPr>
        <w:t>大姚县桂花水库工程占地和水库淹没区文物古迹情况证明的函</w:t>
      </w:r>
      <w:r>
        <w:rPr>
          <w:rFonts w:ascii="Times New Roman" w:hAnsi="Times New Roman" w:eastAsia="Times New Roman" w:cs="Times New Roman"/>
          <w:b/>
          <w:bCs/>
          <w:spacing w:val="1"/>
          <w:position w:val="15"/>
          <w:sz w:val="24"/>
          <w:szCs w:val="24"/>
        </w:rPr>
        <w:t>(</w:t>
      </w:r>
      <w:r>
        <w:rPr>
          <w:rFonts w:ascii="宋体" w:hAnsi="宋体" w:eastAsia="宋体" w:cs="宋体"/>
          <w:spacing w:val="1"/>
          <w:position w:val="15"/>
          <w:sz w:val="24"/>
          <w:szCs w:val="24"/>
          <w14:textOutline w14:w="4354" w14:cap="flat" w14:cmpd="sng">
            <w14:solidFill>
              <w14:srgbClr w14:val="000000"/>
            </w14:solidFill>
            <w14:prstDash w14:val="solid"/>
            <w14:miter w14:val="0"/>
          </w14:textOutline>
        </w:rPr>
        <w:t>大姚县</w:t>
      </w:r>
    </w:p>
    <w:p>
      <w:pPr>
        <w:spacing w:line="215" w:lineRule="auto"/>
        <w:ind w:left="41"/>
        <w:rPr>
          <w:rFonts w:ascii="Times New Roman" w:hAnsi="Times New Roman" w:eastAsia="Times New Roman" w:cs="Times New Roman"/>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文体广电旅游局</w:t>
      </w:r>
      <w:r>
        <w:rPr>
          <w:rFonts w:ascii="Times New Roman" w:hAnsi="Times New Roman" w:eastAsia="Times New Roman" w:cs="Times New Roman"/>
          <w:b/>
          <w:bCs/>
          <w:spacing w:val="-1"/>
          <w:sz w:val="24"/>
          <w:szCs w:val="24"/>
        </w:rPr>
        <w:t>)</w:t>
      </w:r>
    </w:p>
    <w:p>
      <w:pPr>
        <w:spacing w:before="161" w:line="215" w:lineRule="auto"/>
        <w:ind w:left="58"/>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附件</w:t>
      </w:r>
      <w:r>
        <w:rPr>
          <w:rFonts w:ascii="宋体" w:hAnsi="宋体" w:eastAsia="宋体" w:cs="宋体"/>
          <w:spacing w:val="1"/>
          <w:sz w:val="24"/>
          <w:szCs w:val="24"/>
        </w:rPr>
        <w:t xml:space="preserve"> </w:t>
      </w:r>
      <w:r>
        <w:rPr>
          <w:rFonts w:ascii="Times New Roman" w:hAnsi="Times New Roman" w:eastAsia="Times New Roman" w:cs="Times New Roman"/>
          <w:b/>
          <w:bCs/>
          <w:spacing w:val="1"/>
          <w:sz w:val="24"/>
          <w:szCs w:val="24"/>
        </w:rPr>
        <w:t xml:space="preserve">19  </w:t>
      </w:r>
      <w:r>
        <w:rPr>
          <w:rFonts w:ascii="宋体" w:hAnsi="宋体" w:eastAsia="宋体" w:cs="宋体"/>
          <w:spacing w:val="1"/>
          <w:sz w:val="24"/>
          <w:szCs w:val="24"/>
          <w14:textOutline w14:w="4354" w14:cap="flat" w14:cmpd="sng">
            <w14:solidFill>
              <w14:srgbClr w14:val="000000"/>
            </w14:solidFill>
            <w14:prstDash w14:val="solid"/>
            <w14:miter w14:val="0"/>
          </w14:textOutline>
        </w:rPr>
        <w:t>大姚县桂花水库工程占地和水库淹没区自然保护区情况证明的函</w:t>
      </w:r>
      <w:r>
        <w:rPr>
          <w:rFonts w:ascii="Times New Roman" w:hAnsi="Times New Roman" w:eastAsia="Times New Roman" w:cs="Times New Roman"/>
          <w:b/>
          <w:bCs/>
          <w:spacing w:val="1"/>
          <w:sz w:val="24"/>
          <w:szCs w:val="24"/>
        </w:rPr>
        <w:t>(</w:t>
      </w:r>
      <w:r>
        <w:rPr>
          <w:rFonts w:ascii="宋体" w:hAnsi="宋体" w:eastAsia="宋体" w:cs="宋体"/>
          <w:spacing w:val="1"/>
          <w:sz w:val="24"/>
          <w:szCs w:val="24"/>
          <w14:textOutline w14:w="4354" w14:cap="flat" w14:cmpd="sng">
            <w14:solidFill>
              <w14:srgbClr w14:val="000000"/>
            </w14:solidFill>
            <w14:prstDash w14:val="solid"/>
            <w14:miter w14:val="0"/>
          </w14:textOutline>
        </w:rPr>
        <w:t>大姚</w:t>
      </w:r>
    </w:p>
    <w:p>
      <w:pPr>
        <w:spacing w:line="215" w:lineRule="auto"/>
        <w:rPr>
          <w:rFonts w:ascii="宋体" w:hAnsi="宋体" w:eastAsia="宋体" w:cs="宋体"/>
          <w:sz w:val="24"/>
          <w:szCs w:val="24"/>
        </w:rPr>
        <w:sectPr>
          <w:headerReference r:id="rId6" w:type="default"/>
          <w:footerReference r:id="rId7" w:type="default"/>
          <w:pgSz w:w="11907" w:h="16839"/>
          <w:pgMar w:top="1156" w:right="1574" w:bottom="1174" w:left="1770" w:header="881" w:footer="946" w:gutter="0"/>
        </w:sectPr>
      </w:pPr>
    </w:p>
    <w:p>
      <w:pPr>
        <w:spacing w:line="349" w:lineRule="auto"/>
        <w:rPr>
          <w:rFonts w:ascii="Arial"/>
          <w:sz w:val="21"/>
        </w:rPr>
      </w:pPr>
    </w:p>
    <w:p>
      <w:pPr>
        <w:spacing w:before="78" w:line="215" w:lineRule="auto"/>
        <w:ind w:left="40"/>
        <w:rPr>
          <w:rFonts w:ascii="Times New Roman" w:hAnsi="Times New Roman" w:eastAsia="Times New Roman" w:cs="Times New Roman"/>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县林业局</w:t>
      </w:r>
      <w:r>
        <w:rPr>
          <w:rFonts w:ascii="Times New Roman" w:hAnsi="Times New Roman" w:eastAsia="Times New Roman" w:cs="Times New Roman"/>
          <w:b/>
          <w:bCs/>
          <w:spacing w:val="-2"/>
          <w:sz w:val="24"/>
          <w:szCs w:val="24"/>
        </w:rPr>
        <w:t>)</w:t>
      </w:r>
    </w:p>
    <w:p>
      <w:pPr>
        <w:spacing w:before="159" w:line="219" w:lineRule="auto"/>
        <w:ind w:left="5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附件</w:t>
      </w:r>
      <w:r>
        <w:rPr>
          <w:rFonts w:ascii="宋体" w:hAnsi="宋体" w:eastAsia="宋体" w:cs="宋体"/>
          <w:spacing w:val="-50"/>
          <w:sz w:val="24"/>
          <w:szCs w:val="24"/>
        </w:rPr>
        <w:t xml:space="preserve"> </w:t>
      </w:r>
      <w:r>
        <w:rPr>
          <w:rFonts w:ascii="Times New Roman" w:hAnsi="Times New Roman" w:eastAsia="Times New Roman" w:cs="Times New Roman"/>
          <w:b/>
          <w:bCs/>
          <w:spacing w:val="-2"/>
          <w:sz w:val="24"/>
          <w:szCs w:val="24"/>
        </w:rPr>
        <w:t xml:space="preserve">20  </w:t>
      </w:r>
      <w:r>
        <w:rPr>
          <w:rFonts w:ascii="宋体" w:hAnsi="宋体" w:eastAsia="宋体" w:cs="宋体"/>
          <w:spacing w:val="-2"/>
          <w:sz w:val="24"/>
          <w:szCs w:val="24"/>
          <w14:textOutline w14:w="4354" w14:cap="flat" w14:cmpd="sng">
            <w14:solidFill>
              <w14:srgbClr w14:val="000000"/>
            </w14:solidFill>
            <w14:prstDash w14:val="solid"/>
            <w14:miter w14:val="0"/>
          </w14:textOutline>
        </w:rPr>
        <w:t>撤销行政许可的通知</w:t>
      </w:r>
    </w:p>
    <w:p>
      <w:pPr>
        <w:spacing w:line="257" w:lineRule="auto"/>
        <w:rPr>
          <w:rFonts w:ascii="Arial"/>
          <w:sz w:val="21"/>
        </w:rPr>
      </w:pPr>
    </w:p>
    <w:p>
      <w:pPr>
        <w:spacing w:line="258" w:lineRule="auto"/>
        <w:rPr>
          <w:rFonts w:ascii="Arial"/>
          <w:sz w:val="21"/>
        </w:rPr>
      </w:pPr>
    </w:p>
    <w:p>
      <w:pPr>
        <w:spacing w:before="78" w:line="219" w:lineRule="auto"/>
        <w:ind w:left="58"/>
        <w:rPr>
          <w:rFonts w:ascii="宋体" w:hAnsi="宋体" w:eastAsia="宋体" w:cs="宋体"/>
          <w:sz w:val="24"/>
          <w:szCs w:val="24"/>
        </w:rPr>
      </w:pPr>
      <w:r>
        <w:rPr>
          <w:rFonts w:ascii="宋体" w:hAnsi="宋体" w:eastAsia="宋体" w:cs="宋体"/>
          <w:spacing w:val="-18"/>
          <w:sz w:val="24"/>
          <w:szCs w:val="24"/>
          <w14:textOutline w14:w="4354" w14:cap="flat" w14:cmpd="sng">
            <w14:solidFill>
              <w14:srgbClr w14:val="000000"/>
            </w14:solidFill>
            <w14:prstDash w14:val="solid"/>
            <w14:miter w14:val="0"/>
          </w14:textOutline>
        </w:rPr>
        <w:t>附图：</w:t>
      </w:r>
    </w:p>
    <w:p>
      <w:pPr>
        <w:spacing w:before="154" w:line="219" w:lineRule="auto"/>
        <w:ind w:left="58"/>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附图</w:t>
      </w:r>
      <w:r>
        <w:rPr>
          <w:rFonts w:ascii="宋体" w:hAnsi="宋体" w:eastAsia="宋体" w:cs="宋体"/>
          <w:spacing w:val="-38"/>
          <w:sz w:val="24"/>
          <w:szCs w:val="24"/>
        </w:rPr>
        <w:t xml:space="preserve"> </w:t>
      </w:r>
      <w:r>
        <w:rPr>
          <w:rFonts w:ascii="Times New Roman" w:hAnsi="Times New Roman" w:eastAsia="Times New Roman" w:cs="Times New Roman"/>
          <w:b/>
          <w:bCs/>
          <w:spacing w:val="-3"/>
          <w:sz w:val="24"/>
          <w:szCs w:val="24"/>
        </w:rPr>
        <w:t>1</w:t>
      </w:r>
      <w:r>
        <w:rPr>
          <w:rFonts w:ascii="宋体" w:hAnsi="宋体" w:eastAsia="宋体" w:cs="宋体"/>
          <w:spacing w:val="-3"/>
          <w:sz w:val="24"/>
          <w:szCs w:val="24"/>
          <w14:textOutline w14:w="4354" w14:cap="flat" w14:cmpd="sng">
            <w14:solidFill>
              <w14:srgbClr w14:val="000000"/>
            </w14:solidFill>
            <w14:prstDash w14:val="solid"/>
            <w14:miter w14:val="0"/>
          </w14:textOutline>
        </w:rPr>
        <w:t>、项目地理位置示意图；</w:t>
      </w:r>
    </w:p>
    <w:p>
      <w:pPr>
        <w:spacing w:before="156" w:line="218" w:lineRule="auto"/>
        <w:ind w:left="58"/>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附图</w:t>
      </w:r>
      <w:r>
        <w:rPr>
          <w:rFonts w:ascii="宋体" w:hAnsi="宋体" w:eastAsia="宋体" w:cs="宋体"/>
          <w:spacing w:val="-49"/>
          <w:sz w:val="24"/>
          <w:szCs w:val="24"/>
        </w:rPr>
        <w:t xml:space="preserve"> </w:t>
      </w:r>
      <w:r>
        <w:rPr>
          <w:rFonts w:ascii="Times New Roman" w:hAnsi="Times New Roman" w:eastAsia="Times New Roman" w:cs="Times New Roman"/>
          <w:b/>
          <w:bCs/>
          <w:spacing w:val="-1"/>
          <w:sz w:val="24"/>
          <w:szCs w:val="24"/>
        </w:rPr>
        <w:t>2</w:t>
      </w:r>
      <w:r>
        <w:rPr>
          <w:rFonts w:ascii="宋体" w:hAnsi="宋体" w:eastAsia="宋体" w:cs="宋体"/>
          <w:spacing w:val="-1"/>
          <w:sz w:val="24"/>
          <w:szCs w:val="24"/>
          <w14:textOutline w14:w="4354" w14:cap="flat" w14:cmpd="sng">
            <w14:solidFill>
              <w14:srgbClr w14:val="000000"/>
            </w14:solidFill>
            <w14:prstDash w14:val="solid"/>
            <w14:miter w14:val="0"/>
          </w14:textOutline>
        </w:rPr>
        <w:t>、流域水系、地表水评价范围及监测点位图；</w:t>
      </w:r>
    </w:p>
    <w:p>
      <w:pPr>
        <w:spacing w:before="156" w:line="440" w:lineRule="exact"/>
        <w:ind w:left="58"/>
        <w:rPr>
          <w:rFonts w:ascii="宋体" w:hAnsi="宋体" w:eastAsia="宋体" w:cs="宋体"/>
          <w:sz w:val="24"/>
          <w:szCs w:val="24"/>
        </w:rPr>
      </w:pPr>
      <w:r>
        <w:rPr>
          <w:rFonts w:ascii="宋体" w:hAnsi="宋体" w:eastAsia="宋体" w:cs="宋体"/>
          <w:spacing w:val="-2"/>
          <w:position w:val="15"/>
          <w:sz w:val="24"/>
          <w:szCs w:val="24"/>
          <w14:textOutline w14:w="4354" w14:cap="flat" w14:cmpd="sng">
            <w14:solidFill>
              <w14:srgbClr w14:val="000000"/>
            </w14:solidFill>
            <w14:prstDash w14:val="solid"/>
            <w14:miter w14:val="0"/>
          </w14:textOutline>
        </w:rPr>
        <w:t>附图</w:t>
      </w:r>
      <w:r>
        <w:rPr>
          <w:rFonts w:ascii="宋体" w:hAnsi="宋体" w:eastAsia="宋体" w:cs="宋体"/>
          <w:spacing w:val="-55"/>
          <w:position w:val="15"/>
          <w:sz w:val="24"/>
          <w:szCs w:val="24"/>
        </w:rPr>
        <w:t xml:space="preserve"> </w:t>
      </w:r>
      <w:r>
        <w:rPr>
          <w:rFonts w:ascii="Times New Roman" w:hAnsi="Times New Roman" w:eastAsia="Times New Roman" w:cs="Times New Roman"/>
          <w:b/>
          <w:bCs/>
          <w:spacing w:val="-2"/>
          <w:position w:val="15"/>
          <w:sz w:val="24"/>
          <w:szCs w:val="24"/>
        </w:rPr>
        <w:t>3</w:t>
      </w:r>
      <w:r>
        <w:rPr>
          <w:rFonts w:ascii="Times New Roman" w:hAnsi="Times New Roman" w:eastAsia="Times New Roman" w:cs="Times New Roman"/>
          <w:b/>
          <w:bCs/>
          <w:spacing w:val="-34"/>
          <w:position w:val="15"/>
          <w:sz w:val="24"/>
          <w:szCs w:val="24"/>
        </w:rPr>
        <w:t xml:space="preserve"> </w:t>
      </w:r>
      <w:r>
        <w:rPr>
          <w:rFonts w:ascii="宋体" w:hAnsi="宋体" w:eastAsia="宋体" w:cs="宋体"/>
          <w:spacing w:val="-2"/>
          <w:position w:val="15"/>
          <w:sz w:val="24"/>
          <w:szCs w:val="24"/>
          <w14:textOutline w14:w="4354" w14:cap="flat" w14:cmpd="sng">
            <w14:solidFill>
              <w14:srgbClr w14:val="000000"/>
            </w14:solidFill>
            <w14:prstDash w14:val="solid"/>
            <w14:miter w14:val="0"/>
          </w14:textOutline>
        </w:rPr>
        <w:t>、大气、声环境评价范围及监测点位</w:t>
      </w: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图；</w:t>
      </w:r>
    </w:p>
    <w:p>
      <w:pPr>
        <w:spacing w:before="1" w:line="218" w:lineRule="auto"/>
        <w:ind w:left="58"/>
        <w:rPr>
          <w:rFonts w:ascii="宋体" w:hAnsi="宋体" w:eastAsia="宋体" w:cs="宋体"/>
          <w:sz w:val="24"/>
          <w:szCs w:val="24"/>
        </w:rPr>
      </w:pPr>
      <w:r>
        <w:rPr>
          <w:rFonts w:ascii="宋体" w:hAnsi="宋体" w:eastAsia="宋体" w:cs="宋体"/>
          <w:spacing w:val="-5"/>
          <w:sz w:val="24"/>
          <w:szCs w:val="24"/>
          <w14:textOutline w14:w="4354" w14:cap="flat" w14:cmpd="sng">
            <w14:solidFill>
              <w14:srgbClr w14:val="000000"/>
            </w14:solidFill>
            <w14:prstDash w14:val="solid"/>
            <w14:miter w14:val="0"/>
          </w14:textOutline>
        </w:rPr>
        <w:t>附图</w:t>
      </w:r>
      <w:r>
        <w:rPr>
          <w:rFonts w:ascii="宋体" w:hAnsi="宋体" w:eastAsia="宋体" w:cs="宋体"/>
          <w:spacing w:val="-42"/>
          <w:sz w:val="24"/>
          <w:szCs w:val="24"/>
        </w:rPr>
        <w:t xml:space="preserve"> </w:t>
      </w:r>
      <w:r>
        <w:rPr>
          <w:rFonts w:ascii="Times New Roman" w:hAnsi="Times New Roman" w:eastAsia="Times New Roman" w:cs="Times New Roman"/>
          <w:b/>
          <w:bCs/>
          <w:spacing w:val="-5"/>
          <w:sz w:val="24"/>
          <w:szCs w:val="24"/>
        </w:rPr>
        <w:t>4</w:t>
      </w:r>
      <w:r>
        <w:rPr>
          <w:rFonts w:ascii="Times New Roman" w:hAnsi="Times New Roman" w:eastAsia="Times New Roman" w:cs="Times New Roman"/>
          <w:b/>
          <w:bCs/>
          <w:spacing w:val="-34"/>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0"/>
          </w14:textOutline>
        </w:rPr>
        <w:t>、施工总平面布置图；</w:t>
      </w:r>
    </w:p>
    <w:p>
      <w:pPr>
        <w:spacing w:before="156" w:line="440" w:lineRule="exact"/>
        <w:ind w:left="58"/>
        <w:rPr>
          <w:rFonts w:ascii="宋体" w:hAnsi="宋体" w:eastAsia="宋体" w:cs="宋体"/>
          <w:sz w:val="24"/>
          <w:szCs w:val="24"/>
        </w:rPr>
      </w:pP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附图</w:t>
      </w:r>
      <w:r>
        <w:rPr>
          <w:rFonts w:ascii="宋体" w:hAnsi="宋体" w:eastAsia="宋体" w:cs="宋体"/>
          <w:spacing w:val="-45"/>
          <w:position w:val="15"/>
          <w:sz w:val="24"/>
          <w:szCs w:val="24"/>
        </w:rPr>
        <w:t xml:space="preserve"> </w:t>
      </w:r>
      <w:r>
        <w:rPr>
          <w:rFonts w:ascii="Times New Roman" w:hAnsi="Times New Roman" w:eastAsia="Times New Roman" w:cs="Times New Roman"/>
          <w:b/>
          <w:bCs/>
          <w:spacing w:val="-4"/>
          <w:position w:val="15"/>
          <w:sz w:val="24"/>
          <w:szCs w:val="24"/>
        </w:rPr>
        <w:t>5</w:t>
      </w:r>
      <w:r>
        <w:rPr>
          <w:rFonts w:ascii="Times New Roman" w:hAnsi="Times New Roman" w:eastAsia="Times New Roman" w:cs="Times New Roman"/>
          <w:b/>
          <w:bCs/>
          <w:spacing w:val="-34"/>
          <w:position w:val="15"/>
          <w:sz w:val="24"/>
          <w:szCs w:val="24"/>
        </w:rPr>
        <w:t xml:space="preserve"> </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、枢纽施工总平面布置图；</w:t>
      </w:r>
    </w:p>
    <w:p>
      <w:pPr>
        <w:spacing w:before="1" w:line="218" w:lineRule="auto"/>
        <w:ind w:left="58"/>
        <w:rPr>
          <w:rFonts w:ascii="宋体" w:hAnsi="宋体" w:eastAsia="宋体" w:cs="宋体"/>
          <w:sz w:val="24"/>
          <w:szCs w:val="24"/>
        </w:rPr>
      </w:pPr>
      <w:r>
        <w:rPr>
          <w:rFonts w:ascii="宋体" w:hAnsi="宋体" w:eastAsia="宋体" w:cs="宋体"/>
          <w:spacing w:val="-5"/>
          <w:sz w:val="24"/>
          <w:szCs w:val="24"/>
          <w14:textOutline w14:w="4354" w14:cap="flat" w14:cmpd="sng">
            <w14:solidFill>
              <w14:srgbClr w14:val="000000"/>
            </w14:solidFill>
            <w14:prstDash w14:val="solid"/>
            <w14:miter w14:val="0"/>
          </w14:textOutline>
        </w:rPr>
        <w:t>附图</w:t>
      </w:r>
      <w:r>
        <w:rPr>
          <w:rFonts w:ascii="宋体" w:hAnsi="宋体" w:eastAsia="宋体" w:cs="宋体"/>
          <w:spacing w:val="-48"/>
          <w:sz w:val="24"/>
          <w:szCs w:val="24"/>
        </w:rPr>
        <w:t xml:space="preserve"> </w:t>
      </w:r>
      <w:r>
        <w:rPr>
          <w:rFonts w:ascii="Times New Roman" w:hAnsi="Times New Roman" w:eastAsia="Times New Roman" w:cs="Times New Roman"/>
          <w:b/>
          <w:bCs/>
          <w:spacing w:val="-5"/>
          <w:sz w:val="24"/>
          <w:szCs w:val="24"/>
        </w:rPr>
        <w:t>6</w:t>
      </w:r>
      <w:r>
        <w:rPr>
          <w:rFonts w:ascii="Times New Roman" w:hAnsi="Times New Roman" w:eastAsia="Times New Roman" w:cs="Times New Roman"/>
          <w:b/>
          <w:bCs/>
          <w:spacing w:val="-34"/>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0"/>
          </w14:textOutline>
        </w:rPr>
        <w:t>、灌溉片区示意图；</w:t>
      </w:r>
    </w:p>
    <w:p>
      <w:pPr>
        <w:spacing w:before="155" w:line="440" w:lineRule="exact"/>
        <w:ind w:left="58"/>
        <w:rPr>
          <w:rFonts w:ascii="宋体" w:hAnsi="宋体" w:eastAsia="宋体" w:cs="宋体"/>
          <w:sz w:val="24"/>
          <w:szCs w:val="24"/>
        </w:rPr>
      </w:pPr>
      <w:r>
        <w:rPr>
          <w:rFonts w:ascii="宋体" w:hAnsi="宋体" w:eastAsia="宋体" w:cs="宋体"/>
          <w:spacing w:val="-5"/>
          <w:position w:val="15"/>
          <w:sz w:val="24"/>
          <w:szCs w:val="24"/>
          <w14:textOutline w14:w="4354" w14:cap="flat" w14:cmpd="sng">
            <w14:solidFill>
              <w14:srgbClr w14:val="000000"/>
            </w14:solidFill>
            <w14:prstDash w14:val="solid"/>
            <w14:miter w14:val="0"/>
          </w14:textOutline>
        </w:rPr>
        <w:t>附图</w:t>
      </w:r>
      <w:r>
        <w:rPr>
          <w:rFonts w:ascii="宋体" w:hAnsi="宋体" w:eastAsia="宋体" w:cs="宋体"/>
          <w:spacing w:val="-42"/>
          <w:position w:val="15"/>
          <w:sz w:val="24"/>
          <w:szCs w:val="24"/>
        </w:rPr>
        <w:t xml:space="preserve"> </w:t>
      </w:r>
      <w:r>
        <w:rPr>
          <w:rFonts w:ascii="Times New Roman" w:hAnsi="Times New Roman" w:eastAsia="Times New Roman" w:cs="Times New Roman"/>
          <w:b/>
          <w:bCs/>
          <w:spacing w:val="-5"/>
          <w:position w:val="15"/>
          <w:sz w:val="24"/>
          <w:szCs w:val="24"/>
        </w:rPr>
        <w:t>7</w:t>
      </w:r>
      <w:r>
        <w:rPr>
          <w:rFonts w:ascii="Times New Roman" w:hAnsi="Times New Roman" w:eastAsia="Times New Roman" w:cs="Times New Roman"/>
          <w:b/>
          <w:bCs/>
          <w:spacing w:val="-34"/>
          <w:position w:val="15"/>
          <w:sz w:val="24"/>
          <w:szCs w:val="24"/>
        </w:rPr>
        <w:t xml:space="preserve"> </w:t>
      </w:r>
      <w:r>
        <w:rPr>
          <w:rFonts w:ascii="宋体" w:hAnsi="宋体" w:eastAsia="宋体" w:cs="宋体"/>
          <w:spacing w:val="-5"/>
          <w:position w:val="15"/>
          <w:sz w:val="24"/>
          <w:szCs w:val="24"/>
          <w14:textOutline w14:w="4354" w14:cap="flat" w14:cmpd="sng">
            <w14:solidFill>
              <w14:srgbClr w14:val="000000"/>
            </w14:solidFill>
            <w14:prstDash w14:val="solid"/>
            <w14:miter w14:val="0"/>
          </w14:textOutline>
        </w:rPr>
        <w:t>、评价区卫星影像图；</w:t>
      </w:r>
    </w:p>
    <w:p>
      <w:pPr>
        <w:spacing w:line="218" w:lineRule="auto"/>
        <w:ind w:left="58"/>
        <w:rPr>
          <w:rFonts w:ascii="宋体" w:hAnsi="宋体" w:eastAsia="宋体" w:cs="宋体"/>
          <w:sz w:val="24"/>
          <w:szCs w:val="24"/>
        </w:rPr>
      </w:pPr>
      <w:r>
        <w:rPr>
          <w:rFonts w:ascii="宋体" w:hAnsi="宋体" w:eastAsia="宋体" w:cs="宋体"/>
          <w:spacing w:val="-5"/>
          <w:sz w:val="24"/>
          <w:szCs w:val="24"/>
          <w14:textOutline w14:w="4354" w14:cap="flat" w14:cmpd="sng">
            <w14:solidFill>
              <w14:srgbClr w14:val="000000"/>
            </w14:solidFill>
            <w14:prstDash w14:val="solid"/>
            <w14:miter w14:val="0"/>
          </w14:textOutline>
        </w:rPr>
        <w:t>附图</w:t>
      </w:r>
      <w:r>
        <w:rPr>
          <w:rFonts w:ascii="宋体" w:hAnsi="宋体" w:eastAsia="宋体" w:cs="宋体"/>
          <w:spacing w:val="-42"/>
          <w:sz w:val="24"/>
          <w:szCs w:val="24"/>
        </w:rPr>
        <w:t xml:space="preserve"> </w:t>
      </w:r>
      <w:r>
        <w:rPr>
          <w:rFonts w:ascii="Times New Roman" w:hAnsi="Times New Roman" w:eastAsia="Times New Roman" w:cs="Times New Roman"/>
          <w:b/>
          <w:bCs/>
          <w:spacing w:val="-5"/>
          <w:sz w:val="24"/>
          <w:szCs w:val="24"/>
        </w:rPr>
        <w:t>8</w:t>
      </w:r>
      <w:r>
        <w:rPr>
          <w:rFonts w:ascii="Times New Roman" w:hAnsi="Times New Roman" w:eastAsia="Times New Roman" w:cs="Times New Roman"/>
          <w:b/>
          <w:bCs/>
          <w:spacing w:val="-34"/>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0"/>
          </w14:textOutline>
        </w:rPr>
        <w:t>、评价区植被现状图；</w:t>
      </w:r>
    </w:p>
    <w:p>
      <w:pPr>
        <w:spacing w:before="157" w:line="439" w:lineRule="exact"/>
        <w:ind w:left="58"/>
        <w:rPr>
          <w:rFonts w:ascii="宋体" w:hAnsi="宋体" w:eastAsia="宋体" w:cs="宋体"/>
          <w:sz w:val="24"/>
          <w:szCs w:val="24"/>
        </w:rPr>
      </w:pP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附图</w:t>
      </w:r>
      <w:r>
        <w:rPr>
          <w:rFonts w:ascii="宋体" w:hAnsi="宋体" w:eastAsia="宋体" w:cs="宋体"/>
          <w:spacing w:val="-36"/>
          <w:position w:val="15"/>
          <w:sz w:val="24"/>
          <w:szCs w:val="24"/>
        </w:rPr>
        <w:t xml:space="preserve"> </w:t>
      </w:r>
      <w:r>
        <w:rPr>
          <w:rFonts w:ascii="Times New Roman" w:hAnsi="Times New Roman" w:eastAsia="Times New Roman" w:cs="Times New Roman"/>
          <w:b/>
          <w:bCs/>
          <w:spacing w:val="-4"/>
          <w:position w:val="15"/>
          <w:sz w:val="24"/>
          <w:szCs w:val="24"/>
        </w:rPr>
        <w:t>9</w:t>
      </w:r>
      <w:r>
        <w:rPr>
          <w:rFonts w:ascii="Times New Roman" w:hAnsi="Times New Roman" w:eastAsia="Times New Roman" w:cs="Times New Roman"/>
          <w:b/>
          <w:bCs/>
          <w:spacing w:val="-34"/>
          <w:position w:val="15"/>
          <w:sz w:val="24"/>
          <w:szCs w:val="24"/>
        </w:rPr>
        <w:t xml:space="preserve"> </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、植被调查样线和样方布置图；</w:t>
      </w:r>
    </w:p>
    <w:p>
      <w:pPr>
        <w:spacing w:before="1" w:line="218" w:lineRule="auto"/>
        <w:ind w:left="58"/>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附图</w:t>
      </w:r>
      <w:r>
        <w:rPr>
          <w:rFonts w:ascii="宋体" w:hAnsi="宋体" w:eastAsia="宋体" w:cs="宋体"/>
          <w:spacing w:val="-31"/>
          <w:sz w:val="24"/>
          <w:szCs w:val="24"/>
        </w:rPr>
        <w:t xml:space="preserve"> </w:t>
      </w:r>
      <w:r>
        <w:rPr>
          <w:rFonts w:ascii="Times New Roman" w:hAnsi="Times New Roman" w:eastAsia="Times New Roman" w:cs="Times New Roman"/>
          <w:b/>
          <w:bCs/>
          <w:spacing w:val="-4"/>
          <w:sz w:val="24"/>
          <w:szCs w:val="24"/>
        </w:rPr>
        <w:t>10</w:t>
      </w:r>
      <w:r>
        <w:rPr>
          <w:rFonts w:ascii="Times New Roman" w:hAnsi="Times New Roman" w:eastAsia="Times New Roman" w:cs="Times New Roman"/>
          <w:b/>
          <w:bCs/>
          <w:spacing w:val="-33"/>
          <w:sz w:val="24"/>
          <w:szCs w:val="24"/>
        </w:rPr>
        <w:t xml:space="preserve"> </w:t>
      </w:r>
      <w:r>
        <w:rPr>
          <w:rFonts w:ascii="宋体" w:hAnsi="宋体" w:eastAsia="宋体" w:cs="宋体"/>
          <w:spacing w:val="-4"/>
          <w:sz w:val="24"/>
          <w:szCs w:val="24"/>
          <w14:textOutline w14:w="4354" w14:cap="flat" w14:cmpd="sng">
            <w14:solidFill>
              <w14:srgbClr w14:val="000000"/>
            </w14:solidFill>
            <w14:prstDash w14:val="solid"/>
            <w14:miter w14:val="0"/>
          </w14:textOutline>
        </w:rPr>
        <w:t>、评价区生态系统类型分布图；</w:t>
      </w:r>
    </w:p>
    <w:p>
      <w:pPr>
        <w:spacing w:before="156" w:line="441" w:lineRule="exact"/>
        <w:ind w:left="58"/>
        <w:rPr>
          <w:rFonts w:ascii="宋体" w:hAnsi="宋体" w:eastAsia="宋体" w:cs="宋体"/>
          <w:sz w:val="24"/>
          <w:szCs w:val="24"/>
        </w:rPr>
      </w:pPr>
      <w:r>
        <w:rPr>
          <w:rFonts w:ascii="宋体" w:hAnsi="宋体" w:eastAsia="宋体" w:cs="宋体"/>
          <w:spacing w:val="-5"/>
          <w:position w:val="15"/>
          <w:sz w:val="24"/>
          <w:szCs w:val="24"/>
          <w14:textOutline w14:w="4354" w14:cap="flat" w14:cmpd="sng">
            <w14:solidFill>
              <w14:srgbClr w14:val="000000"/>
            </w14:solidFill>
            <w14:prstDash w14:val="solid"/>
            <w14:miter w14:val="0"/>
          </w14:textOutline>
        </w:rPr>
        <w:t>附图</w:t>
      </w:r>
      <w:r>
        <w:rPr>
          <w:rFonts w:ascii="宋体" w:hAnsi="宋体" w:eastAsia="宋体" w:cs="宋体"/>
          <w:spacing w:val="-39"/>
          <w:position w:val="15"/>
          <w:sz w:val="24"/>
          <w:szCs w:val="24"/>
        </w:rPr>
        <w:t xml:space="preserve"> </w:t>
      </w:r>
      <w:r>
        <w:rPr>
          <w:rFonts w:ascii="Times New Roman" w:hAnsi="Times New Roman" w:eastAsia="Times New Roman" w:cs="Times New Roman"/>
          <w:b/>
          <w:bCs/>
          <w:spacing w:val="-5"/>
          <w:position w:val="15"/>
          <w:sz w:val="24"/>
          <w:szCs w:val="24"/>
        </w:rPr>
        <w:t>11</w:t>
      </w:r>
      <w:r>
        <w:rPr>
          <w:rFonts w:ascii="Times New Roman" w:hAnsi="Times New Roman" w:eastAsia="Times New Roman" w:cs="Times New Roman"/>
          <w:b/>
          <w:bCs/>
          <w:spacing w:val="-34"/>
          <w:position w:val="15"/>
          <w:sz w:val="24"/>
          <w:szCs w:val="24"/>
        </w:rPr>
        <w:t xml:space="preserve"> </w:t>
      </w:r>
      <w:r>
        <w:rPr>
          <w:rFonts w:ascii="宋体" w:hAnsi="宋体" w:eastAsia="宋体" w:cs="宋体"/>
          <w:spacing w:val="-5"/>
          <w:position w:val="15"/>
          <w:sz w:val="24"/>
          <w:szCs w:val="24"/>
          <w14:textOutline w14:w="4354" w14:cap="flat" w14:cmpd="sng">
            <w14:solidFill>
              <w14:srgbClr w14:val="000000"/>
            </w14:solidFill>
            <w14:prstDash w14:val="solid"/>
            <w14:miter w14:val="0"/>
          </w14:textOutline>
        </w:rPr>
        <w:t>、评价区土地利用现状图；</w:t>
      </w:r>
    </w:p>
    <w:p>
      <w:pPr>
        <w:spacing w:line="218" w:lineRule="auto"/>
        <w:ind w:left="58"/>
        <w:rPr>
          <w:rFonts w:ascii="宋体" w:hAnsi="宋体" w:eastAsia="宋体" w:cs="宋体"/>
          <w:sz w:val="24"/>
          <w:szCs w:val="24"/>
        </w:rPr>
      </w:pPr>
      <w:r>
        <w:rPr>
          <w:rFonts w:ascii="宋体" w:hAnsi="宋体" w:eastAsia="宋体" w:cs="宋体"/>
          <w:spacing w:val="-5"/>
          <w:sz w:val="24"/>
          <w:szCs w:val="24"/>
          <w14:textOutline w14:w="4354" w14:cap="flat" w14:cmpd="sng">
            <w14:solidFill>
              <w14:srgbClr w14:val="000000"/>
            </w14:solidFill>
            <w14:prstDash w14:val="solid"/>
            <w14:miter w14:val="0"/>
          </w14:textOutline>
        </w:rPr>
        <w:t>附图</w:t>
      </w:r>
      <w:r>
        <w:rPr>
          <w:rFonts w:ascii="宋体" w:hAnsi="宋体" w:eastAsia="宋体" w:cs="宋体"/>
          <w:spacing w:val="-35"/>
          <w:sz w:val="24"/>
          <w:szCs w:val="24"/>
        </w:rPr>
        <w:t xml:space="preserve"> </w:t>
      </w:r>
      <w:r>
        <w:rPr>
          <w:rFonts w:ascii="Times New Roman" w:hAnsi="Times New Roman" w:eastAsia="Times New Roman" w:cs="Times New Roman"/>
          <w:b/>
          <w:bCs/>
          <w:spacing w:val="-5"/>
          <w:sz w:val="24"/>
          <w:szCs w:val="24"/>
        </w:rPr>
        <w:t>12</w:t>
      </w:r>
      <w:r>
        <w:rPr>
          <w:rFonts w:ascii="Times New Roman" w:hAnsi="Times New Roman" w:eastAsia="Times New Roman" w:cs="Times New Roman"/>
          <w:b/>
          <w:bCs/>
          <w:spacing w:val="-34"/>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0"/>
          </w14:textOutline>
        </w:rPr>
        <w:t>、评价区土壤侵蚀图；</w:t>
      </w:r>
    </w:p>
    <w:p>
      <w:pPr>
        <w:spacing w:before="156" w:line="440" w:lineRule="exact"/>
        <w:ind w:left="58"/>
        <w:rPr>
          <w:rFonts w:ascii="宋体" w:hAnsi="宋体" w:eastAsia="宋体" w:cs="宋体"/>
          <w:sz w:val="24"/>
          <w:szCs w:val="24"/>
        </w:rPr>
      </w:pP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附图</w:t>
      </w:r>
      <w:r>
        <w:rPr>
          <w:rFonts w:ascii="宋体" w:hAnsi="宋体" w:eastAsia="宋体" w:cs="宋体"/>
          <w:spacing w:val="-31"/>
          <w:position w:val="15"/>
          <w:sz w:val="24"/>
          <w:szCs w:val="24"/>
        </w:rPr>
        <w:t xml:space="preserve"> </w:t>
      </w:r>
      <w:r>
        <w:rPr>
          <w:rFonts w:ascii="Times New Roman" w:hAnsi="Times New Roman" w:eastAsia="Times New Roman" w:cs="Times New Roman"/>
          <w:b/>
          <w:bCs/>
          <w:spacing w:val="-4"/>
          <w:position w:val="15"/>
          <w:sz w:val="24"/>
          <w:szCs w:val="24"/>
        </w:rPr>
        <w:t>13</w:t>
      </w:r>
      <w:r>
        <w:rPr>
          <w:rFonts w:ascii="Times New Roman" w:hAnsi="Times New Roman" w:eastAsia="Times New Roman" w:cs="Times New Roman"/>
          <w:b/>
          <w:bCs/>
          <w:spacing w:val="-34"/>
          <w:position w:val="15"/>
          <w:sz w:val="24"/>
          <w:szCs w:val="24"/>
        </w:rPr>
        <w:t xml:space="preserve"> </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、评价区植被覆盖空间分布图；</w:t>
      </w:r>
    </w:p>
    <w:p>
      <w:pPr>
        <w:spacing w:before="1" w:line="218" w:lineRule="auto"/>
        <w:ind w:left="58"/>
        <w:rPr>
          <w:rFonts w:ascii="宋体" w:hAnsi="宋体" w:eastAsia="宋体" w:cs="宋体"/>
          <w:sz w:val="24"/>
          <w:szCs w:val="24"/>
        </w:rPr>
      </w:pPr>
      <w:r>
        <w:rPr>
          <w:rFonts w:ascii="宋体" w:hAnsi="宋体" w:eastAsia="宋体" w:cs="宋体"/>
          <w:spacing w:val="-5"/>
          <w:sz w:val="24"/>
          <w:szCs w:val="24"/>
          <w14:textOutline w14:w="4354" w14:cap="flat" w14:cmpd="sng">
            <w14:solidFill>
              <w14:srgbClr w14:val="000000"/>
            </w14:solidFill>
            <w14:prstDash w14:val="solid"/>
            <w14:miter w14:val="0"/>
          </w14:textOutline>
        </w:rPr>
        <w:t>附图</w:t>
      </w:r>
      <w:r>
        <w:rPr>
          <w:rFonts w:ascii="宋体" w:hAnsi="宋体" w:eastAsia="宋体" w:cs="宋体"/>
          <w:spacing w:val="-30"/>
          <w:sz w:val="24"/>
          <w:szCs w:val="24"/>
        </w:rPr>
        <w:t xml:space="preserve"> </w:t>
      </w:r>
      <w:r>
        <w:rPr>
          <w:rFonts w:ascii="Times New Roman" w:hAnsi="Times New Roman" w:eastAsia="Times New Roman" w:cs="Times New Roman"/>
          <w:b/>
          <w:bCs/>
          <w:spacing w:val="-5"/>
          <w:sz w:val="24"/>
          <w:szCs w:val="24"/>
        </w:rPr>
        <w:t>14</w:t>
      </w:r>
      <w:r>
        <w:rPr>
          <w:rFonts w:ascii="Times New Roman" w:hAnsi="Times New Roman" w:eastAsia="Times New Roman" w:cs="Times New Roman"/>
          <w:b/>
          <w:bCs/>
          <w:spacing w:val="-34"/>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0"/>
          </w14:textOutline>
        </w:rPr>
        <w:t>、生态保护措施示意图；</w:t>
      </w:r>
    </w:p>
    <w:p>
      <w:pPr>
        <w:spacing w:before="156" w:line="219" w:lineRule="auto"/>
        <w:ind w:left="58"/>
        <w:rPr>
          <w:rFonts w:ascii="宋体" w:hAnsi="宋体" w:eastAsia="宋体" w:cs="宋体"/>
          <w:sz w:val="24"/>
          <w:szCs w:val="24"/>
        </w:rPr>
      </w:pPr>
      <w:r>
        <w:rPr>
          <w:rFonts w:ascii="宋体" w:hAnsi="宋体" w:eastAsia="宋体" w:cs="宋体"/>
          <w:spacing w:val="-5"/>
          <w:sz w:val="24"/>
          <w:szCs w:val="24"/>
          <w14:textOutline w14:w="4354" w14:cap="flat" w14:cmpd="sng">
            <w14:solidFill>
              <w14:srgbClr w14:val="000000"/>
            </w14:solidFill>
            <w14:prstDash w14:val="solid"/>
            <w14:miter w14:val="0"/>
          </w14:textOutline>
        </w:rPr>
        <w:t>附图</w:t>
      </w:r>
      <w:r>
        <w:rPr>
          <w:rFonts w:ascii="宋体" w:hAnsi="宋体" w:eastAsia="宋体" w:cs="宋体"/>
          <w:spacing w:val="-42"/>
          <w:sz w:val="24"/>
          <w:szCs w:val="24"/>
        </w:rPr>
        <w:t xml:space="preserve"> </w:t>
      </w:r>
      <w:r>
        <w:rPr>
          <w:rFonts w:ascii="Times New Roman" w:hAnsi="Times New Roman" w:eastAsia="Times New Roman" w:cs="Times New Roman"/>
          <w:b/>
          <w:bCs/>
          <w:spacing w:val="-5"/>
          <w:sz w:val="24"/>
          <w:szCs w:val="24"/>
        </w:rPr>
        <w:t>15</w:t>
      </w:r>
      <w:r>
        <w:rPr>
          <w:rFonts w:ascii="Times New Roman" w:hAnsi="Times New Roman" w:eastAsia="Times New Roman" w:cs="Times New Roman"/>
          <w:b/>
          <w:bCs/>
          <w:spacing w:val="-34"/>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0"/>
          </w14:textOutline>
        </w:rPr>
        <w:t>、生态监测布点图；</w:t>
      </w:r>
    </w:p>
    <w:p>
      <w:pPr>
        <w:spacing w:before="155" w:line="440" w:lineRule="exact"/>
        <w:ind w:left="58"/>
        <w:rPr>
          <w:rFonts w:ascii="宋体" w:hAnsi="宋体" w:eastAsia="宋体" w:cs="宋体"/>
          <w:sz w:val="24"/>
          <w:szCs w:val="24"/>
        </w:rPr>
      </w:pP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附图</w:t>
      </w:r>
      <w:r>
        <w:rPr>
          <w:rFonts w:ascii="宋体" w:hAnsi="宋体" w:eastAsia="宋体" w:cs="宋体"/>
          <w:spacing w:val="-38"/>
          <w:position w:val="15"/>
          <w:sz w:val="24"/>
          <w:szCs w:val="24"/>
        </w:rPr>
        <w:t xml:space="preserve"> </w:t>
      </w:r>
      <w:r>
        <w:rPr>
          <w:rFonts w:ascii="Times New Roman" w:hAnsi="Times New Roman" w:eastAsia="Times New Roman" w:cs="Times New Roman"/>
          <w:b/>
          <w:bCs/>
          <w:spacing w:val="-3"/>
          <w:position w:val="15"/>
          <w:sz w:val="24"/>
          <w:szCs w:val="24"/>
        </w:rPr>
        <w:t>16</w:t>
      </w:r>
      <w:r>
        <w:rPr>
          <w:rFonts w:ascii="Times New Roman" w:hAnsi="Times New Roman" w:eastAsia="Times New Roman" w:cs="Times New Roman"/>
          <w:b/>
          <w:bCs/>
          <w:spacing w:val="-33"/>
          <w:position w:val="15"/>
          <w:sz w:val="24"/>
          <w:szCs w:val="24"/>
        </w:rPr>
        <w:t xml:space="preserve"> </w:t>
      </w: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、评价区动物调查路线和位点示意图；</w:t>
      </w:r>
    </w:p>
    <w:p>
      <w:pPr>
        <w:spacing w:line="218" w:lineRule="auto"/>
        <w:ind w:left="58"/>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附图</w:t>
      </w:r>
      <w:r>
        <w:rPr>
          <w:rFonts w:ascii="宋体" w:hAnsi="宋体" w:eastAsia="宋体" w:cs="宋体"/>
          <w:spacing w:val="-34"/>
          <w:sz w:val="24"/>
          <w:szCs w:val="24"/>
        </w:rPr>
        <w:t xml:space="preserve"> </w:t>
      </w:r>
      <w:r>
        <w:rPr>
          <w:rFonts w:ascii="Times New Roman" w:hAnsi="Times New Roman" w:eastAsia="Times New Roman" w:cs="Times New Roman"/>
          <w:b/>
          <w:bCs/>
          <w:spacing w:val="-4"/>
          <w:sz w:val="24"/>
          <w:szCs w:val="24"/>
        </w:rPr>
        <w:t>17</w:t>
      </w:r>
      <w:r>
        <w:rPr>
          <w:rFonts w:ascii="Times New Roman" w:hAnsi="Times New Roman" w:eastAsia="Times New Roman" w:cs="Times New Roman"/>
          <w:b/>
          <w:bCs/>
          <w:spacing w:val="-34"/>
          <w:sz w:val="24"/>
          <w:szCs w:val="24"/>
        </w:rPr>
        <w:t xml:space="preserve"> </w:t>
      </w:r>
      <w:r>
        <w:rPr>
          <w:rFonts w:ascii="宋体" w:hAnsi="宋体" w:eastAsia="宋体" w:cs="宋体"/>
          <w:spacing w:val="-4"/>
          <w:sz w:val="24"/>
          <w:szCs w:val="24"/>
          <w14:textOutline w14:w="4354" w14:cap="flat" w14:cmpd="sng">
            <w14:solidFill>
              <w14:srgbClr w14:val="000000"/>
            </w14:solidFill>
            <w14:prstDash w14:val="solid"/>
            <w14:miter w14:val="0"/>
          </w14:textOutline>
        </w:rPr>
        <w:t>、评价区保护动植物发现点；</w:t>
      </w:r>
    </w:p>
    <w:p>
      <w:pPr>
        <w:spacing w:before="157" w:line="440" w:lineRule="exact"/>
        <w:ind w:left="58"/>
        <w:rPr>
          <w:rFonts w:ascii="宋体" w:hAnsi="宋体" w:eastAsia="宋体" w:cs="宋体"/>
          <w:sz w:val="24"/>
          <w:szCs w:val="24"/>
        </w:rPr>
      </w:pPr>
      <w:r>
        <w:rPr>
          <w:rFonts w:ascii="宋体" w:hAnsi="宋体" w:eastAsia="宋体" w:cs="宋体"/>
          <w:spacing w:val="-3"/>
          <w:position w:val="14"/>
          <w:sz w:val="24"/>
          <w:szCs w:val="24"/>
          <w14:textOutline w14:w="4354" w14:cap="flat" w14:cmpd="sng">
            <w14:solidFill>
              <w14:srgbClr w14:val="000000"/>
            </w14:solidFill>
            <w14:prstDash w14:val="solid"/>
            <w14:miter w14:val="0"/>
          </w14:textOutline>
        </w:rPr>
        <w:t>附图</w:t>
      </w:r>
      <w:r>
        <w:rPr>
          <w:rFonts w:ascii="宋体" w:hAnsi="宋体" w:eastAsia="宋体" w:cs="宋体"/>
          <w:spacing w:val="-35"/>
          <w:position w:val="14"/>
          <w:sz w:val="24"/>
          <w:szCs w:val="24"/>
        </w:rPr>
        <w:t xml:space="preserve"> </w:t>
      </w:r>
      <w:r>
        <w:rPr>
          <w:rFonts w:ascii="Times New Roman" w:hAnsi="Times New Roman" w:eastAsia="Times New Roman" w:cs="Times New Roman"/>
          <w:b/>
          <w:bCs/>
          <w:spacing w:val="-3"/>
          <w:position w:val="14"/>
          <w:sz w:val="24"/>
          <w:szCs w:val="24"/>
        </w:rPr>
        <w:t>18</w:t>
      </w:r>
      <w:r>
        <w:rPr>
          <w:rFonts w:ascii="Times New Roman" w:hAnsi="Times New Roman" w:eastAsia="Times New Roman" w:cs="Times New Roman"/>
          <w:b/>
          <w:bCs/>
          <w:spacing w:val="-33"/>
          <w:position w:val="14"/>
          <w:sz w:val="24"/>
          <w:szCs w:val="24"/>
        </w:rPr>
        <w:t xml:space="preserve"> </w:t>
      </w:r>
      <w:r>
        <w:rPr>
          <w:rFonts w:ascii="宋体" w:hAnsi="宋体" w:eastAsia="宋体" w:cs="宋体"/>
          <w:spacing w:val="-3"/>
          <w:position w:val="14"/>
          <w:sz w:val="24"/>
          <w:szCs w:val="24"/>
          <w14:textOutline w14:w="4354" w14:cap="flat" w14:cmpd="sng">
            <w14:solidFill>
              <w14:srgbClr w14:val="000000"/>
            </w14:solidFill>
            <w14:prstDash w14:val="solid"/>
            <w14:miter w14:val="0"/>
          </w14:textOutline>
        </w:rPr>
        <w:t>、国家二级保护动物普通鵟适宜生境区；</w:t>
      </w:r>
    </w:p>
    <w:p>
      <w:pPr>
        <w:spacing w:before="1" w:line="218" w:lineRule="auto"/>
        <w:ind w:left="58"/>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附图</w:t>
      </w:r>
      <w:r>
        <w:rPr>
          <w:rFonts w:ascii="宋体" w:hAnsi="宋体" w:eastAsia="宋体" w:cs="宋体"/>
          <w:spacing w:val="-38"/>
          <w:sz w:val="24"/>
          <w:szCs w:val="24"/>
        </w:rPr>
        <w:t xml:space="preserve"> </w:t>
      </w:r>
      <w:r>
        <w:rPr>
          <w:rFonts w:ascii="Times New Roman" w:hAnsi="Times New Roman" w:eastAsia="Times New Roman" w:cs="Times New Roman"/>
          <w:b/>
          <w:bCs/>
          <w:spacing w:val="-3"/>
          <w:sz w:val="24"/>
          <w:szCs w:val="24"/>
        </w:rPr>
        <w:t>19</w:t>
      </w:r>
      <w:r>
        <w:rPr>
          <w:rFonts w:ascii="Times New Roman" w:hAnsi="Times New Roman" w:eastAsia="Times New Roman" w:cs="Times New Roman"/>
          <w:b/>
          <w:bCs/>
          <w:spacing w:val="-3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、国家二级保护动物红隼适宜生境区；</w:t>
      </w:r>
    </w:p>
    <w:p>
      <w:pPr>
        <w:spacing w:before="155" w:line="219" w:lineRule="auto"/>
        <w:ind w:left="58"/>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附图</w:t>
      </w:r>
      <w:r>
        <w:rPr>
          <w:rFonts w:ascii="宋体" w:hAnsi="宋体" w:eastAsia="宋体" w:cs="宋体"/>
          <w:spacing w:val="-38"/>
          <w:sz w:val="24"/>
          <w:szCs w:val="24"/>
        </w:rPr>
        <w:t xml:space="preserve"> </w:t>
      </w:r>
      <w:r>
        <w:rPr>
          <w:rFonts w:ascii="Times New Roman" w:hAnsi="Times New Roman" w:eastAsia="Times New Roman" w:cs="Times New Roman"/>
          <w:b/>
          <w:bCs/>
          <w:spacing w:val="-3"/>
          <w:sz w:val="24"/>
          <w:szCs w:val="24"/>
        </w:rPr>
        <w:t>20</w:t>
      </w:r>
      <w:r>
        <w:rPr>
          <w:rFonts w:ascii="Times New Roman" w:hAnsi="Times New Roman" w:eastAsia="Times New Roman" w:cs="Times New Roman"/>
          <w:b/>
          <w:bCs/>
          <w:spacing w:val="-3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、国家二级保护动物雀鹰适宜生境区；</w:t>
      </w:r>
    </w:p>
    <w:p>
      <w:pPr>
        <w:spacing w:before="156" w:line="439" w:lineRule="exact"/>
        <w:ind w:left="58"/>
        <w:rPr>
          <w:rFonts w:ascii="宋体" w:hAnsi="宋体" w:eastAsia="宋体" w:cs="宋体"/>
          <w:sz w:val="24"/>
          <w:szCs w:val="24"/>
        </w:rPr>
      </w:pP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附图</w:t>
      </w:r>
      <w:r>
        <w:rPr>
          <w:rFonts w:ascii="宋体" w:hAnsi="宋体" w:eastAsia="宋体" w:cs="宋体"/>
          <w:spacing w:val="-35"/>
          <w:position w:val="15"/>
          <w:sz w:val="24"/>
          <w:szCs w:val="24"/>
        </w:rPr>
        <w:t xml:space="preserve"> </w:t>
      </w:r>
      <w:r>
        <w:rPr>
          <w:rFonts w:ascii="Times New Roman" w:hAnsi="Times New Roman" w:eastAsia="Times New Roman" w:cs="Times New Roman"/>
          <w:b/>
          <w:bCs/>
          <w:spacing w:val="-3"/>
          <w:position w:val="15"/>
          <w:sz w:val="24"/>
          <w:szCs w:val="24"/>
        </w:rPr>
        <w:t>21</w:t>
      </w:r>
      <w:r>
        <w:rPr>
          <w:rFonts w:ascii="Times New Roman" w:hAnsi="Times New Roman" w:eastAsia="Times New Roman" w:cs="Times New Roman"/>
          <w:b/>
          <w:bCs/>
          <w:spacing w:val="-33"/>
          <w:position w:val="15"/>
          <w:sz w:val="24"/>
          <w:szCs w:val="24"/>
        </w:rPr>
        <w:t xml:space="preserve"> </w:t>
      </w: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、国家二级保护动物松雀鹰适宜生境区；</w:t>
      </w:r>
    </w:p>
    <w:p>
      <w:pPr>
        <w:spacing w:before="1" w:line="218" w:lineRule="auto"/>
        <w:ind w:left="58"/>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附图</w:t>
      </w:r>
      <w:r>
        <w:rPr>
          <w:rFonts w:ascii="宋体" w:hAnsi="宋体" w:eastAsia="宋体" w:cs="宋体"/>
          <w:spacing w:val="-38"/>
          <w:sz w:val="24"/>
          <w:szCs w:val="24"/>
        </w:rPr>
        <w:t xml:space="preserve"> </w:t>
      </w:r>
      <w:r>
        <w:rPr>
          <w:rFonts w:ascii="Times New Roman" w:hAnsi="Times New Roman" w:eastAsia="Times New Roman" w:cs="Times New Roman"/>
          <w:b/>
          <w:bCs/>
          <w:spacing w:val="-3"/>
          <w:sz w:val="24"/>
          <w:szCs w:val="24"/>
        </w:rPr>
        <w:t>22</w:t>
      </w:r>
      <w:r>
        <w:rPr>
          <w:rFonts w:ascii="Times New Roman" w:hAnsi="Times New Roman" w:eastAsia="Times New Roman" w:cs="Times New Roman"/>
          <w:b/>
          <w:bCs/>
          <w:spacing w:val="-3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、国家二级保护动物画眉适宜生境区；</w:t>
      </w:r>
    </w:p>
    <w:p>
      <w:pPr>
        <w:spacing w:before="156" w:line="441" w:lineRule="exact"/>
        <w:ind w:left="58"/>
        <w:rPr>
          <w:rFonts w:ascii="宋体" w:hAnsi="宋体" w:eastAsia="宋体" w:cs="宋体"/>
          <w:sz w:val="24"/>
          <w:szCs w:val="24"/>
        </w:rPr>
      </w:pP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附图</w:t>
      </w:r>
      <w:r>
        <w:rPr>
          <w:rFonts w:ascii="宋体" w:hAnsi="宋体" w:eastAsia="宋体" w:cs="宋体"/>
          <w:spacing w:val="-38"/>
          <w:position w:val="15"/>
          <w:sz w:val="24"/>
          <w:szCs w:val="24"/>
        </w:rPr>
        <w:t xml:space="preserve"> </w:t>
      </w:r>
      <w:r>
        <w:rPr>
          <w:rFonts w:ascii="Times New Roman" w:hAnsi="Times New Roman" w:eastAsia="Times New Roman" w:cs="Times New Roman"/>
          <w:b/>
          <w:bCs/>
          <w:spacing w:val="-3"/>
          <w:position w:val="15"/>
          <w:sz w:val="24"/>
          <w:szCs w:val="24"/>
        </w:rPr>
        <w:t>23</w:t>
      </w:r>
      <w:r>
        <w:rPr>
          <w:rFonts w:ascii="Times New Roman" w:hAnsi="Times New Roman" w:eastAsia="Times New Roman" w:cs="Times New Roman"/>
          <w:b/>
          <w:bCs/>
          <w:spacing w:val="-33"/>
          <w:position w:val="15"/>
          <w:sz w:val="24"/>
          <w:szCs w:val="24"/>
        </w:rPr>
        <w:t xml:space="preserve"> </w:t>
      </w: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、地下水评价范围及监测点位布置图；</w:t>
      </w:r>
    </w:p>
    <w:p>
      <w:pPr>
        <w:spacing w:before="1" w:line="218" w:lineRule="auto"/>
        <w:ind w:left="58"/>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附图</w:t>
      </w:r>
      <w:r>
        <w:rPr>
          <w:rFonts w:ascii="宋体" w:hAnsi="宋体" w:eastAsia="宋体" w:cs="宋体"/>
          <w:spacing w:val="-53"/>
          <w:sz w:val="24"/>
          <w:szCs w:val="24"/>
        </w:rPr>
        <w:t xml:space="preserve"> </w:t>
      </w:r>
      <w:r>
        <w:rPr>
          <w:rFonts w:ascii="Times New Roman" w:hAnsi="Times New Roman" w:eastAsia="Times New Roman" w:cs="Times New Roman"/>
          <w:b/>
          <w:bCs/>
          <w:spacing w:val="-3"/>
          <w:sz w:val="24"/>
          <w:szCs w:val="24"/>
        </w:rPr>
        <w:t>24</w:t>
      </w:r>
      <w:r>
        <w:rPr>
          <w:rFonts w:ascii="Times New Roman" w:hAnsi="Times New Roman" w:eastAsia="Times New Roman" w:cs="Times New Roman"/>
          <w:b/>
          <w:bCs/>
          <w:spacing w:val="-34"/>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、环境敏感目标位置关系图；</w:t>
      </w:r>
    </w:p>
    <w:p>
      <w:pPr>
        <w:spacing w:before="155" w:line="440" w:lineRule="exact"/>
        <w:ind w:left="58"/>
        <w:rPr>
          <w:rFonts w:ascii="宋体" w:hAnsi="宋体" w:eastAsia="宋体" w:cs="宋体"/>
          <w:sz w:val="24"/>
          <w:szCs w:val="24"/>
        </w:rPr>
      </w:pP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附图</w:t>
      </w:r>
      <w:r>
        <w:rPr>
          <w:rFonts w:ascii="宋体" w:hAnsi="宋体" w:eastAsia="宋体" w:cs="宋体"/>
          <w:spacing w:val="-35"/>
          <w:position w:val="15"/>
          <w:sz w:val="24"/>
          <w:szCs w:val="24"/>
        </w:rPr>
        <w:t xml:space="preserve"> </w:t>
      </w:r>
      <w:r>
        <w:rPr>
          <w:rFonts w:ascii="Times New Roman" w:hAnsi="Times New Roman" w:eastAsia="Times New Roman" w:cs="Times New Roman"/>
          <w:b/>
          <w:bCs/>
          <w:spacing w:val="-3"/>
          <w:position w:val="15"/>
          <w:sz w:val="24"/>
          <w:szCs w:val="24"/>
        </w:rPr>
        <w:t>25</w:t>
      </w:r>
      <w:r>
        <w:rPr>
          <w:rFonts w:ascii="Times New Roman" w:hAnsi="Times New Roman" w:eastAsia="Times New Roman" w:cs="Times New Roman"/>
          <w:b/>
          <w:bCs/>
          <w:spacing w:val="-33"/>
          <w:position w:val="15"/>
          <w:sz w:val="24"/>
          <w:szCs w:val="24"/>
        </w:rPr>
        <w:t xml:space="preserve"> </w:t>
      </w: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、建设项目与周边基本农田的位置关系；</w:t>
      </w:r>
    </w:p>
    <w:p>
      <w:pPr>
        <w:spacing w:before="1" w:line="218" w:lineRule="auto"/>
        <w:ind w:left="58"/>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附图</w:t>
      </w:r>
      <w:r>
        <w:rPr>
          <w:rFonts w:ascii="宋体" w:hAnsi="宋体" w:eastAsia="宋体" w:cs="宋体"/>
          <w:spacing w:val="-50"/>
          <w:sz w:val="24"/>
          <w:szCs w:val="24"/>
        </w:rPr>
        <w:t xml:space="preserve"> </w:t>
      </w:r>
      <w:r>
        <w:rPr>
          <w:rFonts w:ascii="Times New Roman" w:hAnsi="Times New Roman" w:eastAsia="Times New Roman" w:cs="Times New Roman"/>
          <w:b/>
          <w:bCs/>
          <w:spacing w:val="-3"/>
          <w:sz w:val="24"/>
          <w:szCs w:val="24"/>
        </w:rPr>
        <w:t>26</w:t>
      </w:r>
      <w:r>
        <w:rPr>
          <w:rFonts w:ascii="Times New Roman" w:hAnsi="Times New Roman" w:eastAsia="Times New Roman" w:cs="Times New Roman"/>
          <w:b/>
          <w:bCs/>
          <w:spacing w:val="-3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、库区与生态红线位置示意图；</w:t>
      </w:r>
    </w:p>
    <w:p>
      <w:pPr>
        <w:spacing w:before="156" w:line="219" w:lineRule="auto"/>
        <w:ind w:left="58"/>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附图</w:t>
      </w:r>
      <w:r>
        <w:rPr>
          <w:rFonts w:ascii="宋体" w:hAnsi="宋体" w:eastAsia="宋体" w:cs="宋体"/>
          <w:spacing w:val="-40"/>
          <w:sz w:val="24"/>
          <w:szCs w:val="24"/>
        </w:rPr>
        <w:t xml:space="preserve"> </w:t>
      </w:r>
      <w:r>
        <w:rPr>
          <w:rFonts w:ascii="Times New Roman" w:hAnsi="Times New Roman" w:eastAsia="Times New Roman" w:cs="Times New Roman"/>
          <w:b/>
          <w:bCs/>
          <w:spacing w:val="-2"/>
          <w:sz w:val="24"/>
          <w:szCs w:val="24"/>
        </w:rPr>
        <w:t>27</w:t>
      </w:r>
      <w:r>
        <w:rPr>
          <w:rFonts w:ascii="Times New Roman" w:hAnsi="Times New Roman" w:eastAsia="Times New Roman" w:cs="Times New Roman"/>
          <w:b/>
          <w:bCs/>
          <w:spacing w:val="-34"/>
          <w:sz w:val="24"/>
          <w:szCs w:val="24"/>
        </w:rPr>
        <w:t xml:space="preserve"> </w:t>
      </w:r>
      <w:r>
        <w:rPr>
          <w:rFonts w:ascii="宋体" w:hAnsi="宋体" w:eastAsia="宋体" w:cs="宋体"/>
          <w:spacing w:val="-2"/>
          <w:sz w:val="24"/>
          <w:szCs w:val="24"/>
          <w14:textOutline w14:w="4354" w14:cap="flat" w14:cmpd="sng">
            <w14:solidFill>
              <w14:srgbClr w14:val="000000"/>
            </w14:solidFill>
            <w14:prstDash w14:val="solid"/>
            <w14:miter w14:val="0"/>
          </w14:textOutline>
        </w:rPr>
        <w:t>、岔处地块石料场、典型渣场水保措施平面布置图；</w:t>
      </w:r>
    </w:p>
    <w:p>
      <w:pPr>
        <w:spacing w:line="219" w:lineRule="auto"/>
        <w:rPr>
          <w:rFonts w:ascii="宋体" w:hAnsi="宋体" w:eastAsia="宋体" w:cs="宋体"/>
          <w:sz w:val="24"/>
          <w:szCs w:val="24"/>
        </w:rPr>
        <w:sectPr>
          <w:headerReference r:id="rId8" w:type="default"/>
          <w:footerReference r:id="rId9" w:type="default"/>
          <w:pgSz w:w="11907" w:h="16839"/>
          <w:pgMar w:top="1156" w:right="1768" w:bottom="1174" w:left="1770" w:header="881" w:footer="946" w:gutter="0"/>
        </w:sectPr>
      </w:pPr>
    </w:p>
    <w:p>
      <w:pPr>
        <w:spacing w:line="349" w:lineRule="auto"/>
        <w:rPr>
          <w:rFonts w:ascii="Arial"/>
          <w:sz w:val="21"/>
        </w:rPr>
      </w:pPr>
    </w:p>
    <w:p>
      <w:pPr>
        <w:spacing w:before="78" w:line="219" w:lineRule="auto"/>
        <w:ind w:left="58"/>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附图</w:t>
      </w:r>
      <w:r>
        <w:rPr>
          <w:rFonts w:ascii="宋体" w:hAnsi="宋体" w:eastAsia="宋体" w:cs="宋体"/>
          <w:spacing w:val="-45"/>
          <w:sz w:val="24"/>
          <w:szCs w:val="24"/>
        </w:rPr>
        <w:t xml:space="preserve"> </w:t>
      </w:r>
      <w:r>
        <w:rPr>
          <w:rFonts w:ascii="Times New Roman" w:hAnsi="Times New Roman" w:eastAsia="Times New Roman" w:cs="Times New Roman"/>
          <w:b/>
          <w:bCs/>
          <w:spacing w:val="-4"/>
          <w:sz w:val="24"/>
          <w:szCs w:val="24"/>
        </w:rPr>
        <w:t>28</w:t>
      </w:r>
      <w:r>
        <w:rPr>
          <w:rFonts w:ascii="Times New Roman" w:hAnsi="Times New Roman" w:eastAsia="Times New Roman" w:cs="Times New Roman"/>
          <w:b/>
          <w:bCs/>
          <w:spacing w:val="-34"/>
          <w:sz w:val="24"/>
          <w:szCs w:val="24"/>
        </w:rPr>
        <w:t xml:space="preserve"> </w:t>
      </w:r>
      <w:r>
        <w:rPr>
          <w:rFonts w:ascii="宋体" w:hAnsi="宋体" w:eastAsia="宋体" w:cs="宋体"/>
          <w:spacing w:val="-4"/>
          <w:sz w:val="24"/>
          <w:szCs w:val="24"/>
          <w14:textOutline w14:w="4354" w14:cap="flat" w14:cmpd="sng">
            <w14:solidFill>
              <w14:srgbClr w14:val="000000"/>
            </w14:solidFill>
            <w14:prstDash w14:val="solid"/>
            <w14:miter w14:val="0"/>
          </w14:textOutline>
        </w:rPr>
        <w:t>、生态流量下放措施图。</w:t>
      </w:r>
    </w:p>
    <w:p>
      <w:pPr>
        <w:spacing w:line="348" w:lineRule="auto"/>
        <w:rPr>
          <w:rFonts w:ascii="Arial"/>
          <w:sz w:val="21"/>
        </w:rPr>
      </w:pPr>
    </w:p>
    <w:p>
      <w:pPr>
        <w:spacing w:line="348" w:lineRule="auto"/>
        <w:rPr>
          <w:rFonts w:ascii="Arial"/>
          <w:sz w:val="21"/>
        </w:rPr>
      </w:pPr>
    </w:p>
    <w:p>
      <w:pPr>
        <w:spacing w:before="78" w:line="219" w:lineRule="auto"/>
        <w:ind w:left="58"/>
        <w:rPr>
          <w:rFonts w:ascii="宋体" w:hAnsi="宋体" w:eastAsia="宋体" w:cs="宋体"/>
          <w:sz w:val="24"/>
          <w:szCs w:val="24"/>
        </w:rPr>
      </w:pPr>
      <w:r>
        <w:rPr>
          <w:rFonts w:ascii="宋体" w:hAnsi="宋体" w:eastAsia="宋体" w:cs="宋体"/>
          <w:spacing w:val="-9"/>
          <w:sz w:val="24"/>
          <w:szCs w:val="24"/>
          <w14:textOutline w14:w="4354" w14:cap="flat" w14:cmpd="sng">
            <w14:solidFill>
              <w14:srgbClr w14:val="000000"/>
            </w14:solidFill>
            <w14:prstDash w14:val="solid"/>
            <w14:miter w14:val="0"/>
          </w14:textOutline>
        </w:rPr>
        <w:t>附录：</w:t>
      </w:r>
    </w:p>
    <w:p>
      <w:pPr>
        <w:spacing w:before="155" w:line="441" w:lineRule="exact"/>
        <w:ind w:left="58"/>
        <w:rPr>
          <w:rFonts w:ascii="宋体" w:hAnsi="宋体" w:eastAsia="宋体" w:cs="宋体"/>
          <w:sz w:val="24"/>
          <w:szCs w:val="24"/>
        </w:rPr>
      </w:pP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附录</w:t>
      </w:r>
      <w:r>
        <w:rPr>
          <w:rFonts w:ascii="宋体" w:hAnsi="宋体" w:eastAsia="宋体" w:cs="宋体"/>
          <w:spacing w:val="-40"/>
          <w:position w:val="15"/>
          <w:sz w:val="24"/>
          <w:szCs w:val="24"/>
        </w:rPr>
        <w:t xml:space="preserve"> </w:t>
      </w:r>
      <w:r>
        <w:rPr>
          <w:rFonts w:ascii="Times New Roman" w:hAnsi="Times New Roman" w:eastAsia="Times New Roman" w:cs="Times New Roman"/>
          <w:b/>
          <w:bCs/>
          <w:spacing w:val="-4"/>
          <w:position w:val="15"/>
          <w:sz w:val="24"/>
          <w:szCs w:val="24"/>
        </w:rPr>
        <w:t>1</w:t>
      </w:r>
      <w:r>
        <w:rPr>
          <w:rFonts w:ascii="Times New Roman" w:hAnsi="Times New Roman" w:eastAsia="Times New Roman" w:cs="Times New Roman"/>
          <w:b/>
          <w:bCs/>
          <w:spacing w:val="-34"/>
          <w:position w:val="15"/>
          <w:sz w:val="24"/>
          <w:szCs w:val="24"/>
        </w:rPr>
        <w:t xml:space="preserve"> </w:t>
      </w:r>
      <w:r>
        <w:rPr>
          <w:rFonts w:ascii="宋体" w:hAnsi="宋体" w:eastAsia="宋体" w:cs="宋体"/>
          <w:spacing w:val="-4"/>
          <w:position w:val="15"/>
          <w:sz w:val="24"/>
          <w:szCs w:val="24"/>
          <w14:textOutline w14:w="4354" w14:cap="flat" w14:cmpd="sng">
            <w14:solidFill>
              <w14:srgbClr w14:val="000000"/>
            </w14:solidFill>
            <w14:prstDash w14:val="solid"/>
            <w14:miter w14:val="0"/>
          </w14:textOutline>
        </w:rPr>
        <w:t>、植物群落及现场调查照片；</w:t>
      </w:r>
    </w:p>
    <w:p>
      <w:pPr>
        <w:spacing w:before="1" w:line="218" w:lineRule="auto"/>
        <w:ind w:left="58"/>
        <w:rPr>
          <w:rFonts w:ascii="宋体" w:hAnsi="宋体" w:eastAsia="宋体" w:cs="宋体"/>
          <w:sz w:val="24"/>
          <w:szCs w:val="24"/>
        </w:rPr>
      </w:pPr>
      <w:r>
        <w:rPr>
          <w:rFonts w:ascii="宋体" w:hAnsi="宋体" w:eastAsia="宋体" w:cs="宋体"/>
          <w:spacing w:val="-5"/>
          <w:sz w:val="24"/>
          <w:szCs w:val="24"/>
          <w14:textOutline w14:w="4354" w14:cap="flat" w14:cmpd="sng">
            <w14:solidFill>
              <w14:srgbClr w14:val="000000"/>
            </w14:solidFill>
            <w14:prstDash w14:val="solid"/>
            <w14:miter w14:val="0"/>
          </w14:textOutline>
        </w:rPr>
        <w:t>附录</w:t>
      </w:r>
      <w:r>
        <w:rPr>
          <w:rFonts w:ascii="宋体" w:hAnsi="宋体" w:eastAsia="宋体" w:cs="宋体"/>
          <w:spacing w:val="-53"/>
          <w:sz w:val="24"/>
          <w:szCs w:val="24"/>
        </w:rPr>
        <w:t xml:space="preserve"> </w:t>
      </w:r>
      <w:r>
        <w:rPr>
          <w:rFonts w:ascii="Times New Roman" w:hAnsi="Times New Roman" w:eastAsia="Times New Roman" w:cs="Times New Roman"/>
          <w:b/>
          <w:bCs/>
          <w:spacing w:val="-5"/>
          <w:sz w:val="24"/>
          <w:szCs w:val="24"/>
        </w:rPr>
        <w:t>2</w:t>
      </w:r>
      <w:r>
        <w:rPr>
          <w:rFonts w:ascii="Times New Roman" w:hAnsi="Times New Roman" w:eastAsia="Times New Roman" w:cs="Times New Roman"/>
          <w:b/>
          <w:bCs/>
          <w:spacing w:val="-34"/>
          <w:sz w:val="24"/>
          <w:szCs w:val="24"/>
        </w:rPr>
        <w:t xml:space="preserve"> </w:t>
      </w:r>
      <w:r>
        <w:rPr>
          <w:rFonts w:ascii="宋体" w:hAnsi="宋体" w:eastAsia="宋体" w:cs="宋体"/>
          <w:spacing w:val="-5"/>
          <w:sz w:val="24"/>
          <w:szCs w:val="24"/>
          <w14:textOutline w14:w="4354" w14:cap="flat" w14:cmpd="sng">
            <w14:solidFill>
              <w14:srgbClr w14:val="000000"/>
            </w14:solidFill>
            <w14:prstDash w14:val="solid"/>
            <w14:miter w14:val="0"/>
          </w14:textOutline>
        </w:rPr>
        <w:t>、维管植物名录；</w:t>
      </w:r>
    </w:p>
    <w:p>
      <w:pPr>
        <w:spacing w:before="154" w:line="441" w:lineRule="exact"/>
        <w:ind w:left="58"/>
        <w:rPr>
          <w:rFonts w:ascii="宋体" w:hAnsi="宋体" w:eastAsia="宋体" w:cs="宋体"/>
          <w:sz w:val="24"/>
          <w:szCs w:val="24"/>
        </w:rPr>
      </w:pPr>
      <w:r>
        <w:rPr>
          <w:rFonts w:ascii="宋体" w:hAnsi="宋体" w:eastAsia="宋体" w:cs="宋体"/>
          <w:spacing w:val="-5"/>
          <w:position w:val="15"/>
          <w:sz w:val="24"/>
          <w:szCs w:val="24"/>
          <w14:textOutline w14:w="4354" w14:cap="flat" w14:cmpd="sng">
            <w14:solidFill>
              <w14:srgbClr w14:val="000000"/>
            </w14:solidFill>
            <w14:prstDash w14:val="solid"/>
            <w14:miter w14:val="0"/>
          </w14:textOutline>
        </w:rPr>
        <w:t>附录</w:t>
      </w:r>
      <w:r>
        <w:rPr>
          <w:rFonts w:ascii="宋体" w:hAnsi="宋体" w:eastAsia="宋体" w:cs="宋体"/>
          <w:spacing w:val="-48"/>
          <w:position w:val="15"/>
          <w:sz w:val="24"/>
          <w:szCs w:val="24"/>
        </w:rPr>
        <w:t xml:space="preserve"> </w:t>
      </w:r>
      <w:r>
        <w:rPr>
          <w:rFonts w:ascii="Times New Roman" w:hAnsi="Times New Roman" w:eastAsia="Times New Roman" w:cs="Times New Roman"/>
          <w:b/>
          <w:bCs/>
          <w:spacing w:val="-5"/>
          <w:position w:val="15"/>
          <w:sz w:val="24"/>
          <w:szCs w:val="24"/>
        </w:rPr>
        <w:t>3</w:t>
      </w:r>
      <w:r>
        <w:rPr>
          <w:rFonts w:ascii="Times New Roman" w:hAnsi="Times New Roman" w:eastAsia="Times New Roman" w:cs="Times New Roman"/>
          <w:b/>
          <w:bCs/>
          <w:spacing w:val="-34"/>
          <w:position w:val="15"/>
          <w:sz w:val="24"/>
          <w:szCs w:val="24"/>
        </w:rPr>
        <w:t xml:space="preserve"> </w:t>
      </w:r>
      <w:r>
        <w:rPr>
          <w:rFonts w:ascii="宋体" w:hAnsi="宋体" w:eastAsia="宋体" w:cs="宋体"/>
          <w:spacing w:val="-5"/>
          <w:position w:val="15"/>
          <w:sz w:val="24"/>
          <w:szCs w:val="24"/>
          <w14:textOutline w14:w="4354" w14:cap="flat" w14:cmpd="sng">
            <w14:solidFill>
              <w14:srgbClr w14:val="000000"/>
            </w14:solidFill>
            <w14:prstDash w14:val="solid"/>
            <w14:miter w14:val="0"/>
          </w14:textOutline>
        </w:rPr>
        <w:t>、群落样方调查表；</w:t>
      </w:r>
    </w:p>
    <w:p>
      <w:pPr>
        <w:spacing w:before="1" w:line="218" w:lineRule="auto"/>
        <w:ind w:left="58"/>
        <w:rPr>
          <w:rFonts w:ascii="宋体" w:hAnsi="宋体" w:eastAsia="宋体" w:cs="宋体"/>
          <w:sz w:val="24"/>
          <w:szCs w:val="24"/>
        </w:rPr>
      </w:pPr>
      <w:r>
        <w:rPr>
          <w:rFonts w:ascii="宋体" w:hAnsi="宋体" w:eastAsia="宋体" w:cs="宋体"/>
          <w:spacing w:val="-7"/>
          <w:sz w:val="24"/>
          <w:szCs w:val="24"/>
          <w14:textOutline w14:w="4354" w14:cap="flat" w14:cmpd="sng">
            <w14:solidFill>
              <w14:srgbClr w14:val="000000"/>
            </w14:solidFill>
            <w14:prstDash w14:val="solid"/>
            <w14:miter w14:val="0"/>
          </w14:textOutline>
        </w:rPr>
        <w:t>附录</w:t>
      </w:r>
      <w:r>
        <w:rPr>
          <w:rFonts w:ascii="宋体" w:hAnsi="宋体" w:eastAsia="宋体" w:cs="宋体"/>
          <w:spacing w:val="-47"/>
          <w:sz w:val="24"/>
          <w:szCs w:val="24"/>
        </w:rPr>
        <w:t xml:space="preserve"> </w:t>
      </w:r>
      <w:r>
        <w:rPr>
          <w:rFonts w:ascii="Times New Roman" w:hAnsi="Times New Roman" w:eastAsia="Times New Roman" w:cs="Times New Roman"/>
          <w:b/>
          <w:bCs/>
          <w:spacing w:val="-7"/>
          <w:sz w:val="24"/>
          <w:szCs w:val="24"/>
        </w:rPr>
        <w:t>4</w:t>
      </w:r>
      <w:r>
        <w:rPr>
          <w:rFonts w:ascii="Times New Roman" w:hAnsi="Times New Roman" w:eastAsia="Times New Roman" w:cs="Times New Roman"/>
          <w:b/>
          <w:bCs/>
          <w:spacing w:val="-34"/>
          <w:sz w:val="24"/>
          <w:szCs w:val="24"/>
        </w:rPr>
        <w:t xml:space="preserve"> </w:t>
      </w:r>
      <w:r>
        <w:rPr>
          <w:rFonts w:ascii="宋体" w:hAnsi="宋体" w:eastAsia="宋体" w:cs="宋体"/>
          <w:spacing w:val="-7"/>
          <w:sz w:val="24"/>
          <w:szCs w:val="24"/>
          <w14:textOutline w14:w="4354" w14:cap="flat" w14:cmpd="sng">
            <w14:solidFill>
              <w14:srgbClr w14:val="000000"/>
            </w14:solidFill>
            <w14:prstDash w14:val="solid"/>
            <w14:miter w14:val="0"/>
          </w14:textOutline>
        </w:rPr>
        <w:t>、动物名录；</w:t>
      </w:r>
    </w:p>
    <w:p>
      <w:pPr>
        <w:spacing w:before="155" w:line="219" w:lineRule="auto"/>
        <w:ind w:left="58"/>
        <w:rPr>
          <w:rFonts w:ascii="宋体" w:hAnsi="宋体" w:eastAsia="宋体" w:cs="宋体"/>
          <w:sz w:val="24"/>
          <w:szCs w:val="24"/>
        </w:rPr>
      </w:pPr>
      <w:r>
        <w:rPr>
          <w:rFonts w:ascii="宋体" w:hAnsi="宋体" w:eastAsia="宋体" w:cs="宋体"/>
          <w:spacing w:val="-6"/>
          <w:sz w:val="24"/>
          <w:szCs w:val="24"/>
          <w14:textOutline w14:w="4354" w14:cap="flat" w14:cmpd="sng">
            <w14:solidFill>
              <w14:srgbClr w14:val="000000"/>
            </w14:solidFill>
            <w14:prstDash w14:val="solid"/>
            <w14:miter w14:val="0"/>
          </w14:textOutline>
        </w:rPr>
        <w:t>附录</w:t>
      </w:r>
      <w:r>
        <w:rPr>
          <w:rFonts w:ascii="宋体" w:hAnsi="宋体" w:eastAsia="宋体" w:cs="宋体"/>
          <w:spacing w:val="-42"/>
          <w:sz w:val="24"/>
          <w:szCs w:val="24"/>
        </w:rPr>
        <w:t xml:space="preserve"> </w:t>
      </w:r>
      <w:r>
        <w:rPr>
          <w:rFonts w:ascii="Times New Roman" w:hAnsi="Times New Roman" w:eastAsia="Times New Roman" w:cs="Times New Roman"/>
          <w:b/>
          <w:bCs/>
          <w:spacing w:val="-6"/>
          <w:sz w:val="24"/>
          <w:szCs w:val="24"/>
        </w:rPr>
        <w:t>5</w:t>
      </w:r>
      <w:r>
        <w:rPr>
          <w:rFonts w:ascii="Times New Roman" w:hAnsi="Times New Roman" w:eastAsia="Times New Roman" w:cs="Times New Roman"/>
          <w:b/>
          <w:bCs/>
          <w:spacing w:val="-34"/>
          <w:sz w:val="24"/>
          <w:szCs w:val="24"/>
        </w:rPr>
        <w:t xml:space="preserve"> </w:t>
      </w:r>
      <w:r>
        <w:rPr>
          <w:rFonts w:ascii="宋体" w:hAnsi="宋体" w:eastAsia="宋体" w:cs="宋体"/>
          <w:spacing w:val="-6"/>
          <w:sz w:val="24"/>
          <w:szCs w:val="24"/>
          <w14:textOutline w14:w="4354" w14:cap="flat" w14:cmpd="sng">
            <w14:solidFill>
              <w14:srgbClr w14:val="000000"/>
            </w14:solidFill>
            <w14:prstDash w14:val="solid"/>
            <w14:miter w14:val="0"/>
          </w14:textOutline>
        </w:rPr>
        <w:t>、水生生物名录；</w:t>
      </w:r>
    </w:p>
    <w:p>
      <w:pPr>
        <w:spacing w:before="154" w:line="219" w:lineRule="auto"/>
        <w:ind w:left="58"/>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附录</w:t>
      </w:r>
      <w:r>
        <w:rPr>
          <w:rFonts w:ascii="宋体" w:hAnsi="宋体" w:eastAsia="宋体" w:cs="宋体"/>
          <w:spacing w:val="-40"/>
          <w:sz w:val="24"/>
          <w:szCs w:val="24"/>
        </w:rPr>
        <w:t xml:space="preserve"> </w:t>
      </w:r>
      <w:r>
        <w:rPr>
          <w:rFonts w:ascii="Times New Roman" w:hAnsi="Times New Roman" w:eastAsia="Times New Roman" w:cs="Times New Roman"/>
          <w:b/>
          <w:bCs/>
          <w:spacing w:val="-4"/>
          <w:sz w:val="24"/>
          <w:szCs w:val="24"/>
        </w:rPr>
        <w:t>6</w:t>
      </w:r>
      <w:r>
        <w:rPr>
          <w:rFonts w:ascii="Times New Roman" w:hAnsi="Times New Roman" w:eastAsia="Times New Roman" w:cs="Times New Roman"/>
          <w:b/>
          <w:bCs/>
          <w:spacing w:val="-34"/>
          <w:sz w:val="24"/>
          <w:szCs w:val="24"/>
        </w:rPr>
        <w:t xml:space="preserve"> </w:t>
      </w:r>
      <w:r>
        <w:rPr>
          <w:rFonts w:ascii="宋体" w:hAnsi="宋体" w:eastAsia="宋体" w:cs="宋体"/>
          <w:spacing w:val="-4"/>
          <w:sz w:val="24"/>
          <w:szCs w:val="24"/>
          <w14:textOutline w14:w="4354" w14:cap="flat" w14:cmpd="sng">
            <w14:solidFill>
              <w14:srgbClr w14:val="000000"/>
            </w14:solidFill>
            <w14:prstDash w14:val="solid"/>
            <w14:miter w14:val="0"/>
          </w14:textOutline>
        </w:rPr>
        <w:t>、维管植物线路调查记录表。</w:t>
      </w:r>
    </w:p>
    <w:p>
      <w:pPr>
        <w:spacing w:line="257" w:lineRule="auto"/>
        <w:rPr>
          <w:rFonts w:ascii="Arial"/>
          <w:sz w:val="21"/>
        </w:rPr>
      </w:pPr>
    </w:p>
    <w:p>
      <w:pPr>
        <w:spacing w:line="257" w:lineRule="auto"/>
        <w:rPr>
          <w:rFonts w:ascii="Arial"/>
          <w:sz w:val="21"/>
        </w:rPr>
      </w:pPr>
    </w:p>
    <w:p>
      <w:pPr>
        <w:spacing w:before="79" w:line="219" w:lineRule="auto"/>
        <w:ind w:left="58"/>
        <w:rPr>
          <w:rFonts w:ascii="宋体" w:hAnsi="宋体" w:eastAsia="宋体" w:cs="宋体"/>
          <w:sz w:val="24"/>
          <w:szCs w:val="24"/>
        </w:rPr>
      </w:pPr>
      <w:r>
        <w:rPr>
          <w:rFonts w:ascii="宋体" w:hAnsi="宋体" w:eastAsia="宋体" w:cs="宋体"/>
          <w:spacing w:val="-9"/>
          <w:sz w:val="24"/>
          <w:szCs w:val="24"/>
          <w14:textOutline w14:w="4354" w14:cap="flat" w14:cmpd="sng">
            <w14:solidFill>
              <w14:srgbClr w14:val="000000"/>
            </w14:solidFill>
            <w14:prstDash w14:val="solid"/>
            <w14:miter w14:val="0"/>
          </w14:textOutline>
        </w:rPr>
        <w:t>附表：</w:t>
      </w:r>
    </w:p>
    <w:p>
      <w:pPr>
        <w:spacing w:before="155" w:line="440" w:lineRule="exact"/>
        <w:ind w:left="58"/>
        <w:rPr>
          <w:rFonts w:ascii="宋体" w:hAnsi="宋体" w:eastAsia="宋体" w:cs="宋体"/>
          <w:sz w:val="24"/>
          <w:szCs w:val="24"/>
        </w:rPr>
      </w:pP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附表</w:t>
      </w:r>
      <w:r>
        <w:rPr>
          <w:rFonts w:ascii="宋体" w:hAnsi="宋体" w:eastAsia="宋体" w:cs="宋体"/>
          <w:spacing w:val="-41"/>
          <w:position w:val="15"/>
          <w:sz w:val="24"/>
          <w:szCs w:val="24"/>
        </w:rPr>
        <w:t xml:space="preserve"> </w:t>
      </w:r>
      <w:r>
        <w:rPr>
          <w:rFonts w:ascii="Times New Roman" w:hAnsi="Times New Roman" w:eastAsia="Times New Roman" w:cs="Times New Roman"/>
          <w:b/>
          <w:bCs/>
          <w:spacing w:val="-3"/>
          <w:position w:val="15"/>
          <w:sz w:val="24"/>
          <w:szCs w:val="24"/>
        </w:rPr>
        <w:t>1</w:t>
      </w:r>
      <w:r>
        <w:rPr>
          <w:rFonts w:ascii="Times New Roman" w:hAnsi="Times New Roman" w:eastAsia="Times New Roman" w:cs="Times New Roman"/>
          <w:b/>
          <w:bCs/>
          <w:spacing w:val="-34"/>
          <w:position w:val="15"/>
          <w:sz w:val="24"/>
          <w:szCs w:val="24"/>
        </w:rPr>
        <w:t xml:space="preserve"> </w:t>
      </w:r>
      <w:r>
        <w:rPr>
          <w:rFonts w:ascii="宋体" w:hAnsi="宋体" w:eastAsia="宋体" w:cs="宋体"/>
          <w:spacing w:val="-3"/>
          <w:position w:val="15"/>
          <w:sz w:val="24"/>
          <w:szCs w:val="24"/>
          <w14:textOutline w14:w="4354" w14:cap="flat" w14:cmpd="sng">
            <w14:solidFill>
              <w14:srgbClr w14:val="000000"/>
            </w14:solidFill>
            <w14:prstDash w14:val="solid"/>
            <w14:miter w14:val="0"/>
          </w14:textOutline>
        </w:rPr>
        <w:t>、建设项目大气环境影响评价自查表；</w:t>
      </w:r>
    </w:p>
    <w:p>
      <w:pPr>
        <w:spacing w:before="1" w:line="218" w:lineRule="auto"/>
        <w:ind w:left="58"/>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附表</w:t>
      </w:r>
      <w:r>
        <w:rPr>
          <w:rFonts w:ascii="宋体" w:hAnsi="宋体" w:eastAsia="宋体" w:cs="宋体"/>
          <w:spacing w:val="-40"/>
          <w:sz w:val="24"/>
          <w:szCs w:val="24"/>
        </w:rPr>
        <w:t xml:space="preserve"> </w:t>
      </w:r>
      <w:r>
        <w:rPr>
          <w:rFonts w:ascii="Times New Roman" w:hAnsi="Times New Roman" w:eastAsia="Times New Roman" w:cs="Times New Roman"/>
          <w:b/>
          <w:bCs/>
          <w:spacing w:val="-4"/>
          <w:sz w:val="24"/>
          <w:szCs w:val="24"/>
        </w:rPr>
        <w:t>2</w:t>
      </w:r>
      <w:r>
        <w:rPr>
          <w:rFonts w:ascii="Times New Roman" w:hAnsi="Times New Roman" w:eastAsia="Times New Roman" w:cs="Times New Roman"/>
          <w:b/>
          <w:bCs/>
          <w:spacing w:val="-34"/>
          <w:sz w:val="24"/>
          <w:szCs w:val="24"/>
        </w:rPr>
        <w:t xml:space="preserve"> </w:t>
      </w:r>
      <w:r>
        <w:rPr>
          <w:rFonts w:ascii="宋体" w:hAnsi="宋体" w:eastAsia="宋体" w:cs="宋体"/>
          <w:spacing w:val="-4"/>
          <w:sz w:val="24"/>
          <w:szCs w:val="24"/>
          <w14:textOutline w14:w="4354" w14:cap="flat" w14:cmpd="sng">
            <w14:solidFill>
              <w14:srgbClr w14:val="000000"/>
            </w14:solidFill>
            <w14:prstDash w14:val="solid"/>
            <w14:miter w14:val="0"/>
          </w14:textOutline>
        </w:rPr>
        <w:t>、环境风险简单分析内容表；</w:t>
      </w:r>
    </w:p>
    <w:p>
      <w:pPr>
        <w:spacing w:before="157" w:line="218" w:lineRule="auto"/>
        <w:ind w:left="58"/>
        <w:rPr>
          <w:rFonts w:ascii="宋体" w:hAnsi="宋体" w:eastAsia="宋体" w:cs="宋体"/>
          <w:sz w:val="24"/>
          <w:szCs w:val="24"/>
        </w:rPr>
      </w:pPr>
      <w:r>
        <w:rPr>
          <w:rFonts w:ascii="宋体" w:hAnsi="宋体" w:eastAsia="宋体" w:cs="宋体"/>
          <w:spacing w:val="-3"/>
          <w:sz w:val="24"/>
          <w:szCs w:val="24"/>
          <w14:textOutline w14:w="4354" w14:cap="flat" w14:cmpd="sng">
            <w14:solidFill>
              <w14:srgbClr w14:val="000000"/>
            </w14:solidFill>
            <w14:prstDash w14:val="solid"/>
            <w14:miter w14:val="0"/>
          </w14:textOutline>
        </w:rPr>
        <w:t>附表</w:t>
      </w:r>
      <w:r>
        <w:rPr>
          <w:rFonts w:ascii="宋体" w:hAnsi="宋体" w:eastAsia="宋体" w:cs="宋体"/>
          <w:spacing w:val="-38"/>
          <w:sz w:val="24"/>
          <w:szCs w:val="24"/>
        </w:rPr>
        <w:t xml:space="preserve"> </w:t>
      </w:r>
      <w:r>
        <w:rPr>
          <w:rFonts w:ascii="Times New Roman" w:hAnsi="Times New Roman" w:eastAsia="Times New Roman" w:cs="Times New Roman"/>
          <w:b/>
          <w:bCs/>
          <w:spacing w:val="-3"/>
          <w:sz w:val="24"/>
          <w:szCs w:val="24"/>
        </w:rPr>
        <w:t>3</w:t>
      </w:r>
      <w:r>
        <w:rPr>
          <w:rFonts w:ascii="Times New Roman" w:hAnsi="Times New Roman" w:eastAsia="Times New Roman" w:cs="Times New Roman"/>
          <w:b/>
          <w:bCs/>
          <w:spacing w:val="-33"/>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、建设项目地表水环境影响评价自查表。</w:t>
      </w:r>
    </w:p>
    <w:p>
      <w:pPr>
        <w:spacing w:line="218" w:lineRule="auto"/>
        <w:rPr>
          <w:rFonts w:ascii="宋体" w:hAnsi="宋体" w:eastAsia="宋体" w:cs="宋体"/>
          <w:sz w:val="24"/>
          <w:szCs w:val="24"/>
        </w:rPr>
        <w:sectPr>
          <w:footerReference r:id="rId10" w:type="default"/>
          <w:pgSz w:w="11907" w:h="16839"/>
          <w:pgMar w:top="1156" w:right="1768" w:bottom="1174" w:left="1770" w:header="881" w:footer="946" w:gutter="0"/>
        </w:sectPr>
      </w:pPr>
    </w:p>
    <w:p>
      <w:pPr>
        <w:spacing w:line="342" w:lineRule="auto"/>
        <w:rPr>
          <w:rFonts w:ascii="Arial"/>
          <w:sz w:val="21"/>
        </w:rPr>
      </w:pPr>
    </w:p>
    <w:p>
      <w:pPr>
        <w:pStyle w:val="2"/>
        <w:spacing w:before="97" w:line="218" w:lineRule="auto"/>
        <w:ind w:left="3890"/>
        <w:rPr>
          <w:sz w:val="30"/>
          <w:szCs w:val="30"/>
        </w:rPr>
      </w:pPr>
      <w:bookmarkStart w:id="0" w:name="bookmark2"/>
      <w:bookmarkEnd w:id="0"/>
      <w:bookmarkStart w:id="1" w:name="bookmark1"/>
      <w:bookmarkEnd w:id="1"/>
      <w:r>
        <w:rPr>
          <w:spacing w:val="-2"/>
          <w:sz w:val="30"/>
          <w:szCs w:val="30"/>
          <w14:textOutline w14:w="5442" w14:cap="flat" w14:cmpd="sng">
            <w14:solidFill>
              <w14:srgbClr w14:val="000000"/>
            </w14:solidFill>
            <w14:prstDash w14:val="solid"/>
            <w14:miter w14:val="0"/>
          </w14:textOutline>
        </w:rPr>
        <w:t>概述</w:t>
      </w:r>
    </w:p>
    <w:p>
      <w:pPr>
        <w:spacing w:line="248" w:lineRule="auto"/>
        <w:rPr>
          <w:rFonts w:ascii="Arial"/>
          <w:sz w:val="21"/>
        </w:rPr>
      </w:pPr>
    </w:p>
    <w:p>
      <w:pPr>
        <w:pStyle w:val="2"/>
        <w:spacing w:before="88" w:line="225" w:lineRule="auto"/>
        <w:ind w:left="39"/>
        <w:rPr>
          <w:sz w:val="27"/>
          <w:szCs w:val="27"/>
        </w:rPr>
      </w:pPr>
      <w:r>
        <w:rPr>
          <w:spacing w:val="8"/>
          <w:sz w:val="27"/>
          <w:szCs w:val="27"/>
          <w14:textOutline w14:w="5072" w14:cap="flat" w14:cmpd="sng">
            <w14:solidFill>
              <w14:srgbClr w14:val="000000"/>
            </w14:solidFill>
            <w14:prstDash w14:val="solid"/>
            <w14:miter w14:val="0"/>
          </w14:textOutline>
        </w:rPr>
        <w:t>评价任务由来</w:t>
      </w:r>
    </w:p>
    <w:p>
      <w:pPr>
        <w:spacing w:before="286" w:line="360" w:lineRule="auto"/>
        <w:ind w:left="37" w:right="48" w:firstLine="484"/>
        <w:rPr>
          <w:rFonts w:ascii="宋体" w:hAnsi="宋体" w:eastAsia="宋体" w:cs="宋体"/>
          <w:sz w:val="24"/>
          <w:szCs w:val="24"/>
        </w:rPr>
      </w:pPr>
      <w:r>
        <w:rPr>
          <w:rFonts w:ascii="宋体" w:hAnsi="宋体" w:eastAsia="宋体" w:cs="宋体"/>
          <w:spacing w:val="-3"/>
          <w:sz w:val="24"/>
          <w:szCs w:val="24"/>
        </w:rPr>
        <w:t>大姚县桂花水库工程位于金沙江一级支流万马河上游支流</w:t>
      </w:r>
      <w:r>
        <w:rPr>
          <w:rFonts w:ascii="宋体" w:hAnsi="宋体" w:eastAsia="宋体" w:cs="宋体"/>
          <w:spacing w:val="-4"/>
          <w:sz w:val="24"/>
          <w:szCs w:val="24"/>
        </w:rPr>
        <w:t>桂花河上，水库灌</w:t>
      </w:r>
      <w:r>
        <w:rPr>
          <w:rFonts w:ascii="宋体" w:hAnsi="宋体" w:eastAsia="宋体" w:cs="宋体"/>
          <w:sz w:val="24"/>
          <w:szCs w:val="24"/>
        </w:rPr>
        <w:t xml:space="preserve"> </w:t>
      </w:r>
      <w:r>
        <w:rPr>
          <w:rFonts w:ascii="宋体" w:hAnsi="宋体" w:eastAsia="宋体" w:cs="宋体"/>
          <w:spacing w:val="-3"/>
          <w:sz w:val="24"/>
          <w:szCs w:val="24"/>
        </w:rPr>
        <w:t>区主要涉及六苴河（含者纳么河）、蜻蛉河流域，该流域耕地集中，有耕地面积</w:t>
      </w:r>
      <w:r>
        <w:rPr>
          <w:rFonts w:ascii="宋体" w:hAnsi="宋体" w:eastAsia="宋体" w:cs="宋体"/>
          <w:spacing w:val="1"/>
          <w:sz w:val="24"/>
          <w:szCs w:val="24"/>
        </w:rPr>
        <w:t xml:space="preserve"> </w:t>
      </w:r>
      <w:r>
        <w:rPr>
          <w:rFonts w:ascii="宋体" w:hAnsi="宋体" w:eastAsia="宋体" w:cs="宋体"/>
          <w:spacing w:val="-10"/>
          <w:sz w:val="24"/>
          <w:szCs w:val="24"/>
        </w:rPr>
        <w:t>约</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13.83</w:t>
      </w:r>
      <w:r>
        <w:rPr>
          <w:rFonts w:ascii="Times New Roman" w:hAnsi="Times New Roman" w:eastAsia="Times New Roman" w:cs="Times New Roman"/>
          <w:spacing w:val="16"/>
          <w:sz w:val="24"/>
          <w:szCs w:val="24"/>
        </w:rPr>
        <w:t xml:space="preserve"> </w:t>
      </w:r>
      <w:r>
        <w:rPr>
          <w:rFonts w:ascii="宋体" w:hAnsi="宋体" w:eastAsia="宋体" w:cs="宋体"/>
          <w:spacing w:val="-10"/>
          <w:sz w:val="24"/>
          <w:szCs w:val="24"/>
        </w:rPr>
        <w:t>万亩， 六苴河流域是六苴镇楚雄</w:t>
      </w:r>
      <w:r>
        <w:rPr>
          <w:rFonts w:ascii="宋体" w:hAnsi="宋体" w:eastAsia="宋体" w:cs="宋体"/>
          <w:spacing w:val="-11"/>
          <w:sz w:val="24"/>
          <w:szCs w:val="24"/>
        </w:rPr>
        <w:t>矿冶股份有限公司所在地，</w:t>
      </w:r>
      <w:r>
        <w:rPr>
          <w:rFonts w:ascii="宋体" w:hAnsi="宋体" w:eastAsia="宋体" w:cs="宋体"/>
          <w:spacing w:val="71"/>
          <w:sz w:val="24"/>
          <w:szCs w:val="24"/>
        </w:rPr>
        <w:t xml:space="preserve"> </w:t>
      </w:r>
      <w:r>
        <w:rPr>
          <w:rFonts w:ascii="宋体" w:hAnsi="宋体" w:eastAsia="宋体" w:cs="宋体"/>
          <w:spacing w:val="-11"/>
          <w:sz w:val="24"/>
          <w:szCs w:val="24"/>
        </w:rPr>
        <w:t>以有色金属</w:t>
      </w:r>
      <w:r>
        <w:rPr>
          <w:rFonts w:ascii="宋体" w:hAnsi="宋体" w:eastAsia="宋体" w:cs="宋体"/>
          <w:sz w:val="24"/>
          <w:szCs w:val="24"/>
        </w:rPr>
        <w:t xml:space="preserve"> </w:t>
      </w:r>
      <w:r>
        <w:rPr>
          <w:rFonts w:ascii="宋体" w:hAnsi="宋体" w:eastAsia="宋体" w:cs="宋体"/>
          <w:spacing w:val="-9"/>
          <w:sz w:val="24"/>
          <w:szCs w:val="24"/>
        </w:rPr>
        <w:t>采选及加工工业为主， 是大姚县的重点龙头企业； 蜻蛉河</w:t>
      </w:r>
      <w:r>
        <w:rPr>
          <w:rFonts w:ascii="宋体" w:hAnsi="宋体" w:eastAsia="宋体" w:cs="宋体"/>
          <w:spacing w:val="-10"/>
          <w:sz w:val="24"/>
          <w:szCs w:val="24"/>
        </w:rPr>
        <w:t>流域是大姚县城的政治</w:t>
      </w:r>
      <w:r>
        <w:rPr>
          <w:rFonts w:ascii="宋体" w:hAnsi="宋体" w:eastAsia="宋体" w:cs="宋体"/>
          <w:sz w:val="24"/>
          <w:szCs w:val="24"/>
        </w:rPr>
        <w:t xml:space="preserve"> </w:t>
      </w:r>
      <w:r>
        <w:rPr>
          <w:rFonts w:ascii="宋体" w:hAnsi="宋体" w:eastAsia="宋体" w:cs="宋体"/>
          <w:spacing w:val="-1"/>
          <w:sz w:val="24"/>
          <w:szCs w:val="24"/>
        </w:rPr>
        <w:t>经济文化中心，随着社会经济发展日益加快，城镇人口不断增加，需水</w:t>
      </w:r>
      <w:r>
        <w:rPr>
          <w:rFonts w:ascii="宋体" w:hAnsi="宋体" w:eastAsia="宋体" w:cs="宋体"/>
          <w:spacing w:val="-2"/>
          <w:sz w:val="24"/>
          <w:szCs w:val="24"/>
        </w:rPr>
        <w:t>量较大，</w:t>
      </w:r>
      <w:r>
        <w:rPr>
          <w:rFonts w:ascii="宋体" w:hAnsi="宋体" w:eastAsia="宋体" w:cs="宋体"/>
          <w:sz w:val="24"/>
          <w:szCs w:val="24"/>
        </w:rPr>
        <w:t xml:space="preserve"> </w:t>
      </w:r>
      <w:r>
        <w:rPr>
          <w:rFonts w:ascii="宋体" w:hAnsi="宋体" w:eastAsia="宋体" w:cs="宋体"/>
          <w:spacing w:val="-8"/>
          <w:sz w:val="24"/>
          <w:szCs w:val="24"/>
        </w:rPr>
        <w:t>但该片水利化程度较高，</w:t>
      </w:r>
      <w:r>
        <w:rPr>
          <w:rFonts w:ascii="宋体" w:hAnsi="宋体" w:eastAsia="宋体" w:cs="宋体"/>
          <w:spacing w:val="58"/>
          <w:sz w:val="24"/>
          <w:szCs w:val="24"/>
        </w:rPr>
        <w:t xml:space="preserve"> </w:t>
      </w:r>
      <w:r>
        <w:rPr>
          <w:rFonts w:ascii="宋体" w:hAnsi="宋体" w:eastAsia="宋体" w:cs="宋体"/>
          <w:spacing w:val="-8"/>
          <w:sz w:val="24"/>
          <w:szCs w:val="24"/>
        </w:rPr>
        <w:t>已无适合新建水源工程的水量和地形条件。桂花河流域</w:t>
      </w:r>
      <w:r>
        <w:rPr>
          <w:rFonts w:ascii="宋体" w:hAnsi="宋体" w:eastAsia="宋体" w:cs="宋体"/>
          <w:sz w:val="24"/>
          <w:szCs w:val="24"/>
        </w:rPr>
        <w:t xml:space="preserve"> </w:t>
      </w:r>
      <w:r>
        <w:rPr>
          <w:rFonts w:ascii="宋体" w:hAnsi="宋体" w:eastAsia="宋体" w:cs="宋体"/>
          <w:spacing w:val="-14"/>
          <w:sz w:val="24"/>
          <w:szCs w:val="24"/>
        </w:rPr>
        <w:t>（万马河上游） 地处高山峡谷区需水量少、水资源相对丰富，</w:t>
      </w:r>
      <w:r>
        <w:rPr>
          <w:rFonts w:ascii="宋体" w:hAnsi="宋体" w:eastAsia="宋体" w:cs="宋体"/>
          <w:spacing w:val="54"/>
          <w:sz w:val="24"/>
          <w:szCs w:val="24"/>
        </w:rPr>
        <w:t xml:space="preserve"> </w:t>
      </w:r>
      <w:r>
        <w:rPr>
          <w:rFonts w:ascii="宋体" w:hAnsi="宋体" w:eastAsia="宋体" w:cs="宋体"/>
          <w:spacing w:val="-14"/>
          <w:sz w:val="24"/>
          <w:szCs w:val="24"/>
        </w:rPr>
        <w:t>位置高， 且具有建</w:t>
      </w:r>
      <w:r>
        <w:rPr>
          <w:rFonts w:ascii="宋体" w:hAnsi="宋体" w:eastAsia="宋体" w:cs="宋体"/>
          <w:sz w:val="24"/>
          <w:szCs w:val="24"/>
        </w:rPr>
        <w:t xml:space="preserve"> </w:t>
      </w:r>
      <w:r>
        <w:rPr>
          <w:rFonts w:ascii="宋体" w:hAnsi="宋体" w:eastAsia="宋体" w:cs="宋体"/>
          <w:spacing w:val="-7"/>
          <w:sz w:val="24"/>
          <w:szCs w:val="24"/>
        </w:rPr>
        <w:t>库蓄水的条件。因此，</w:t>
      </w:r>
      <w:r>
        <w:rPr>
          <w:rFonts w:ascii="宋体" w:hAnsi="宋体" w:eastAsia="宋体" w:cs="宋体"/>
          <w:spacing w:val="29"/>
          <w:sz w:val="24"/>
          <w:szCs w:val="24"/>
        </w:rPr>
        <w:t xml:space="preserve"> </w:t>
      </w:r>
      <w:r>
        <w:rPr>
          <w:rFonts w:ascii="宋体" w:hAnsi="宋体" w:eastAsia="宋体" w:cs="宋体"/>
          <w:spacing w:val="-7"/>
          <w:sz w:val="24"/>
          <w:szCs w:val="24"/>
        </w:rPr>
        <w:t>在万马河上游兴建大姚县桂花水库工程建设</w:t>
      </w:r>
      <w:r>
        <w:rPr>
          <w:rFonts w:ascii="宋体" w:hAnsi="宋体" w:eastAsia="宋体" w:cs="宋体"/>
          <w:spacing w:val="-8"/>
          <w:sz w:val="24"/>
          <w:szCs w:val="24"/>
        </w:rPr>
        <w:t>项目，跨流域</w:t>
      </w:r>
      <w:r>
        <w:rPr>
          <w:rFonts w:ascii="宋体" w:hAnsi="宋体" w:eastAsia="宋体" w:cs="宋体"/>
          <w:sz w:val="24"/>
          <w:szCs w:val="24"/>
        </w:rPr>
        <w:t xml:space="preserve"> </w:t>
      </w:r>
      <w:r>
        <w:rPr>
          <w:rFonts w:ascii="宋体" w:hAnsi="宋体" w:eastAsia="宋体" w:cs="宋体"/>
          <w:spacing w:val="-7"/>
          <w:sz w:val="24"/>
          <w:szCs w:val="24"/>
        </w:rPr>
        <w:t>引水到六苴河及蜻蛉河流域，</w:t>
      </w:r>
      <w:r>
        <w:rPr>
          <w:rFonts w:ascii="宋体" w:hAnsi="宋体" w:eastAsia="宋体" w:cs="宋体"/>
          <w:spacing w:val="29"/>
          <w:sz w:val="24"/>
          <w:szCs w:val="24"/>
        </w:rPr>
        <w:t xml:space="preserve"> </w:t>
      </w:r>
      <w:r>
        <w:rPr>
          <w:rFonts w:ascii="宋体" w:hAnsi="宋体" w:eastAsia="宋体" w:cs="宋体"/>
          <w:spacing w:val="-7"/>
          <w:sz w:val="24"/>
          <w:szCs w:val="24"/>
        </w:rPr>
        <w:t>解决桂花灌溉片区、者纳么灌溉片区</w:t>
      </w:r>
      <w:r>
        <w:rPr>
          <w:rFonts w:ascii="宋体" w:hAnsi="宋体" w:eastAsia="宋体" w:cs="宋体"/>
          <w:spacing w:val="-8"/>
          <w:sz w:val="24"/>
          <w:szCs w:val="24"/>
        </w:rPr>
        <w:t>、六苴灌溉片</w:t>
      </w:r>
      <w:r>
        <w:rPr>
          <w:rFonts w:ascii="宋体" w:hAnsi="宋体" w:eastAsia="宋体" w:cs="宋体"/>
          <w:sz w:val="24"/>
          <w:szCs w:val="24"/>
        </w:rPr>
        <w:t xml:space="preserve"> </w:t>
      </w:r>
      <w:r>
        <w:rPr>
          <w:rFonts w:ascii="宋体" w:hAnsi="宋体" w:eastAsia="宋体" w:cs="宋体"/>
          <w:spacing w:val="-5"/>
          <w:sz w:val="24"/>
          <w:szCs w:val="24"/>
        </w:rPr>
        <w:t>区、新街灌溉片区、金碧灌溉片区的居民生活用水及工农业缺水问题，</w:t>
      </w:r>
      <w:r>
        <w:rPr>
          <w:rFonts w:ascii="宋体" w:hAnsi="宋体" w:eastAsia="宋体" w:cs="宋体"/>
          <w:spacing w:val="-47"/>
          <w:sz w:val="24"/>
          <w:szCs w:val="24"/>
        </w:rPr>
        <w:t xml:space="preserve"> </w:t>
      </w:r>
      <w:r>
        <w:rPr>
          <w:rFonts w:ascii="宋体" w:hAnsi="宋体" w:eastAsia="宋体" w:cs="宋体"/>
          <w:spacing w:val="-5"/>
          <w:sz w:val="24"/>
          <w:szCs w:val="24"/>
        </w:rPr>
        <w:t>实现水资</w:t>
      </w:r>
    </w:p>
    <w:p>
      <w:pPr>
        <w:spacing w:line="219" w:lineRule="auto"/>
        <w:ind w:left="38"/>
        <w:rPr>
          <w:rFonts w:ascii="宋体" w:hAnsi="宋体" w:eastAsia="宋体" w:cs="宋体"/>
          <w:sz w:val="24"/>
          <w:szCs w:val="24"/>
        </w:rPr>
      </w:pPr>
      <w:r>
        <w:rPr>
          <w:rFonts w:ascii="宋体" w:hAnsi="宋体" w:eastAsia="宋体" w:cs="宋体"/>
          <w:sz w:val="24"/>
          <w:szCs w:val="24"/>
        </w:rPr>
        <w:t>源的优化配置，可改善当地群众的生产、生活条件，加</w:t>
      </w:r>
      <w:r>
        <w:rPr>
          <w:rFonts w:ascii="宋体" w:hAnsi="宋体" w:eastAsia="宋体" w:cs="宋体"/>
          <w:spacing w:val="-1"/>
          <w:sz w:val="24"/>
          <w:szCs w:val="24"/>
        </w:rPr>
        <w:t>快群众脱贫致富步伐。</w:t>
      </w:r>
    </w:p>
    <w:p>
      <w:pPr>
        <w:spacing w:before="183" w:line="360" w:lineRule="auto"/>
        <w:ind w:left="38" w:firstLine="483"/>
        <w:rPr>
          <w:rFonts w:ascii="宋体" w:hAnsi="宋体" w:eastAsia="宋体" w:cs="宋体"/>
          <w:sz w:val="24"/>
          <w:szCs w:val="24"/>
        </w:rPr>
      </w:pPr>
      <w:r>
        <w:rPr>
          <w:rFonts w:ascii="宋体" w:hAnsi="宋体" w:eastAsia="宋体" w:cs="宋体"/>
          <w:sz w:val="24"/>
          <w:szCs w:val="24"/>
        </w:rPr>
        <w:t>大姚县桂花水库工程属于《大姚县蜻蛉河流域及相关地区水资源配置规划》</w:t>
      </w:r>
      <w:r>
        <w:rPr>
          <w:rFonts w:ascii="宋体" w:hAnsi="宋体" w:eastAsia="宋体" w:cs="宋体"/>
          <w:spacing w:val="4"/>
          <w:sz w:val="24"/>
          <w:szCs w:val="24"/>
        </w:rPr>
        <w:t xml:space="preserve"> </w:t>
      </w:r>
      <w:r>
        <w:rPr>
          <w:rFonts w:ascii="宋体" w:hAnsi="宋体" w:eastAsia="宋体" w:cs="宋体"/>
          <w:spacing w:val="-7"/>
          <w:sz w:val="24"/>
          <w:szCs w:val="24"/>
        </w:rPr>
        <w:t>（大政复</w:t>
      </w:r>
      <w:r>
        <w:rPr>
          <w:rFonts w:ascii="Times New Roman" w:hAnsi="Times New Roman" w:eastAsia="Times New Roman" w:cs="Times New Roman"/>
          <w:spacing w:val="-7"/>
          <w:sz w:val="24"/>
          <w:szCs w:val="24"/>
        </w:rPr>
        <w:t>[2015]42</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号）中的重点水源工程</w:t>
      </w:r>
      <w:r>
        <w:rPr>
          <w:rFonts w:ascii="宋体" w:hAnsi="宋体" w:eastAsia="宋体" w:cs="宋体"/>
          <w:spacing w:val="-8"/>
          <w:sz w:val="24"/>
          <w:szCs w:val="24"/>
        </w:rPr>
        <w:t>，</w:t>
      </w:r>
      <w:r>
        <w:rPr>
          <w:rFonts w:ascii="宋体" w:hAnsi="宋体" w:eastAsia="宋体" w:cs="宋体"/>
          <w:spacing w:val="72"/>
          <w:sz w:val="24"/>
          <w:szCs w:val="24"/>
        </w:rPr>
        <w:t xml:space="preserve"> </w:t>
      </w:r>
      <w:r>
        <w:rPr>
          <w:rFonts w:ascii="宋体" w:hAnsi="宋体" w:eastAsia="宋体" w:cs="宋体"/>
          <w:spacing w:val="-8"/>
          <w:sz w:val="24"/>
          <w:szCs w:val="24"/>
        </w:rPr>
        <w:t>已被列入了《西南五省（自治区、直</w:t>
      </w:r>
      <w:r>
        <w:rPr>
          <w:rFonts w:ascii="宋体" w:hAnsi="宋体" w:eastAsia="宋体" w:cs="宋体"/>
          <w:sz w:val="24"/>
          <w:szCs w:val="24"/>
        </w:rPr>
        <w:t xml:space="preserve">  </w:t>
      </w:r>
      <w:r>
        <w:rPr>
          <w:rFonts w:ascii="宋体" w:hAnsi="宋体" w:eastAsia="宋体" w:cs="宋体"/>
          <w:spacing w:val="-17"/>
          <w:sz w:val="24"/>
          <w:szCs w:val="24"/>
        </w:rPr>
        <w:t>辖市）</w:t>
      </w:r>
      <w:r>
        <w:rPr>
          <w:rFonts w:ascii="宋体" w:hAnsi="宋体" w:eastAsia="宋体" w:cs="宋体"/>
          <w:spacing w:val="-53"/>
          <w:sz w:val="24"/>
          <w:szCs w:val="24"/>
        </w:rPr>
        <w:t xml:space="preserve"> </w:t>
      </w:r>
      <w:r>
        <w:rPr>
          <w:rFonts w:ascii="宋体" w:hAnsi="宋体" w:eastAsia="宋体" w:cs="宋体"/>
          <w:spacing w:val="-17"/>
          <w:sz w:val="24"/>
          <w:szCs w:val="24"/>
        </w:rPr>
        <w:t>重点水源工程建设规划》、《云南省百件骨干水源工程建设</w:t>
      </w:r>
      <w:r>
        <w:rPr>
          <w:rFonts w:ascii="宋体" w:hAnsi="宋体" w:eastAsia="宋体" w:cs="宋体"/>
          <w:spacing w:val="-18"/>
          <w:sz w:val="24"/>
          <w:szCs w:val="24"/>
        </w:rPr>
        <w:t>规划》、《楚雄州</w:t>
      </w:r>
    </w:p>
    <w:p>
      <w:pPr>
        <w:spacing w:before="1" w:line="219" w:lineRule="auto"/>
        <w:ind w:left="20"/>
        <w:rPr>
          <w:rFonts w:ascii="宋体" w:hAnsi="宋体" w:eastAsia="宋体" w:cs="宋体"/>
          <w:sz w:val="24"/>
          <w:szCs w:val="24"/>
        </w:rPr>
      </w:pPr>
      <w:r>
        <w:rPr>
          <w:rFonts w:ascii="宋体" w:hAnsi="宋体" w:eastAsia="宋体" w:cs="宋体"/>
          <w:spacing w:val="-10"/>
          <w:sz w:val="24"/>
          <w:szCs w:val="24"/>
        </w:rPr>
        <w:t>“十四五”水安全保障规划》、《楚雄北部片区水资源综合利用规划》。</w:t>
      </w:r>
    </w:p>
    <w:p>
      <w:pPr>
        <w:spacing w:before="183" w:line="360" w:lineRule="auto"/>
        <w:ind w:left="38" w:right="110" w:firstLine="480"/>
        <w:rPr>
          <w:rFonts w:ascii="宋体" w:hAnsi="宋体" w:eastAsia="宋体" w:cs="宋体"/>
          <w:sz w:val="24"/>
          <w:szCs w:val="24"/>
        </w:rPr>
      </w:pPr>
      <w:r>
        <w:rPr>
          <w:rFonts w:ascii="宋体" w:hAnsi="宋体" w:eastAsia="宋体" w:cs="宋体"/>
          <w:spacing w:val="-11"/>
          <w:sz w:val="24"/>
          <w:szCs w:val="24"/>
        </w:rPr>
        <w:t>根据《中华人民共和国环境影响评价法》、《建设项目环境保护管理条例》，</w:t>
      </w:r>
      <w:r>
        <w:rPr>
          <w:rFonts w:ascii="宋体" w:hAnsi="宋体" w:eastAsia="宋体" w:cs="宋体"/>
          <w:spacing w:val="13"/>
          <w:sz w:val="24"/>
          <w:szCs w:val="24"/>
        </w:rPr>
        <w:t xml:space="preserve"> </w:t>
      </w:r>
      <w:r>
        <w:rPr>
          <w:rFonts w:ascii="宋体" w:hAnsi="宋体" w:eastAsia="宋体" w:cs="宋体"/>
          <w:spacing w:val="-4"/>
          <w:sz w:val="24"/>
          <w:szCs w:val="24"/>
        </w:rPr>
        <w:t>项目开工前应开展环境影响评价工作。根据《建设项目环境影响评价分类管理名</w:t>
      </w:r>
      <w:r>
        <w:rPr>
          <w:rFonts w:ascii="宋体" w:hAnsi="宋体" w:eastAsia="宋体" w:cs="宋体"/>
          <w:spacing w:val="6"/>
          <w:sz w:val="24"/>
          <w:szCs w:val="24"/>
        </w:rPr>
        <w:t xml:space="preserve"> </w:t>
      </w:r>
      <w:r>
        <w:rPr>
          <w:rFonts w:ascii="宋体" w:hAnsi="宋体" w:eastAsia="宋体" w:cs="宋体"/>
          <w:spacing w:val="-8"/>
          <w:sz w:val="24"/>
          <w:szCs w:val="24"/>
        </w:rPr>
        <w:t>录》（</w:t>
      </w:r>
      <w:r>
        <w:rPr>
          <w:rFonts w:ascii="Times New Roman" w:hAnsi="Times New Roman" w:eastAsia="Times New Roman" w:cs="Times New Roman"/>
          <w:spacing w:val="-8"/>
          <w:sz w:val="24"/>
          <w:szCs w:val="24"/>
        </w:rPr>
        <w:t>2021</w:t>
      </w:r>
      <w:r>
        <w:rPr>
          <w:rFonts w:ascii="宋体" w:hAnsi="宋体" w:eastAsia="宋体" w:cs="宋体"/>
          <w:spacing w:val="-8"/>
          <w:sz w:val="24"/>
          <w:szCs w:val="24"/>
        </w:rPr>
        <w:t xml:space="preserve">）中“五十一、水利”，库容 </w:t>
      </w:r>
      <w:r>
        <w:rPr>
          <w:rFonts w:ascii="Times New Roman" w:hAnsi="Times New Roman" w:eastAsia="Times New Roman" w:cs="Times New Roman"/>
          <w:spacing w:val="-8"/>
          <w:sz w:val="24"/>
          <w:szCs w:val="24"/>
        </w:rPr>
        <w:t>1000</w:t>
      </w:r>
      <w:r>
        <w:rPr>
          <w:rFonts w:ascii="Times New Roman" w:hAnsi="Times New Roman" w:eastAsia="Times New Roman" w:cs="Times New Roman"/>
          <w:spacing w:val="37"/>
          <w:w w:val="101"/>
          <w:sz w:val="24"/>
          <w:szCs w:val="24"/>
        </w:rPr>
        <w:t xml:space="preserve"> </w:t>
      </w:r>
      <w:r>
        <w:rPr>
          <w:rFonts w:ascii="宋体" w:hAnsi="宋体" w:eastAsia="宋体" w:cs="宋体"/>
          <w:spacing w:val="-8"/>
          <w:sz w:val="24"/>
          <w:szCs w:val="24"/>
        </w:rPr>
        <w:t>万立方米及以上的项目应编制环境</w:t>
      </w:r>
      <w:r>
        <w:rPr>
          <w:rFonts w:ascii="宋体" w:hAnsi="宋体" w:eastAsia="宋体" w:cs="宋体"/>
          <w:sz w:val="24"/>
          <w:szCs w:val="24"/>
        </w:rPr>
        <w:t xml:space="preserve"> </w:t>
      </w:r>
      <w:r>
        <w:rPr>
          <w:rFonts w:ascii="宋体" w:hAnsi="宋体" w:eastAsia="宋体" w:cs="宋体"/>
          <w:spacing w:val="-12"/>
          <w:sz w:val="24"/>
          <w:szCs w:val="24"/>
        </w:rPr>
        <w:t>影响报告书，</w:t>
      </w:r>
      <w:r>
        <w:rPr>
          <w:rFonts w:ascii="宋体" w:hAnsi="宋体" w:eastAsia="宋体" w:cs="宋体"/>
          <w:spacing w:val="71"/>
          <w:sz w:val="24"/>
          <w:szCs w:val="24"/>
        </w:rPr>
        <w:t xml:space="preserve"> </w:t>
      </w:r>
      <w:r>
        <w:rPr>
          <w:rFonts w:ascii="宋体" w:hAnsi="宋体" w:eastAsia="宋体" w:cs="宋体"/>
          <w:spacing w:val="-12"/>
          <w:sz w:val="24"/>
          <w:szCs w:val="24"/>
        </w:rPr>
        <w:t>桂花书库总库容</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1207.6</w:t>
      </w:r>
      <w:r>
        <w:rPr>
          <w:rFonts w:ascii="Times New Roman" w:hAnsi="Times New Roman" w:eastAsia="Times New Roman" w:cs="Times New Roman"/>
          <w:spacing w:val="16"/>
          <w:sz w:val="24"/>
          <w:szCs w:val="24"/>
        </w:rPr>
        <w:t xml:space="preserve"> </w:t>
      </w:r>
      <w:r>
        <w:rPr>
          <w:rFonts w:ascii="宋体" w:hAnsi="宋体" w:eastAsia="宋体" w:cs="宋体"/>
          <w:spacing w:val="-12"/>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12"/>
          <w:sz w:val="24"/>
          <w:szCs w:val="24"/>
        </w:rPr>
        <w:t>m</w:t>
      </w:r>
      <w:r>
        <w:rPr>
          <w:rFonts w:ascii="Times New Roman" w:hAnsi="Times New Roman" w:eastAsia="Times New Roman" w:cs="Times New Roman"/>
          <w:spacing w:val="12"/>
          <w:w w:val="110"/>
          <w:position w:val="8"/>
          <w:sz w:val="15"/>
          <w:szCs w:val="15"/>
        </w:rPr>
        <w:t>3</w:t>
      </w:r>
      <w:r>
        <w:rPr>
          <w:rFonts w:ascii="Times New Roman" w:hAnsi="Times New Roman" w:eastAsia="Times New Roman" w:cs="Times New Roman"/>
          <w:spacing w:val="-10"/>
          <w:position w:val="8"/>
          <w:sz w:val="15"/>
          <w:szCs w:val="15"/>
        </w:rPr>
        <w:t xml:space="preserve"> </w:t>
      </w:r>
      <w:r>
        <w:rPr>
          <w:rFonts w:ascii="宋体" w:hAnsi="宋体" w:eastAsia="宋体" w:cs="宋体"/>
          <w:spacing w:val="-11"/>
          <w:sz w:val="24"/>
          <w:szCs w:val="24"/>
        </w:rPr>
        <w:t>，须编制环境影响报告书。</w:t>
      </w:r>
      <w:r>
        <w:rPr>
          <w:rFonts w:ascii="宋体" w:hAnsi="宋体" w:eastAsia="宋体" w:cs="宋体"/>
          <w:spacing w:val="39"/>
          <w:sz w:val="24"/>
          <w:szCs w:val="24"/>
        </w:rPr>
        <w:t xml:space="preserve"> </w:t>
      </w:r>
      <w:r>
        <w:rPr>
          <w:rFonts w:ascii="Times New Roman" w:hAnsi="Times New Roman" w:eastAsia="Times New Roman" w:cs="Times New Roman"/>
          <w:spacing w:val="-11"/>
          <w:sz w:val="24"/>
          <w:szCs w:val="24"/>
        </w:rPr>
        <w:t xml:space="preserve">2022 </w:t>
      </w:r>
      <w:r>
        <w:rPr>
          <w:rFonts w:ascii="宋体" w:hAnsi="宋体" w:eastAsia="宋体" w:cs="宋体"/>
          <w:spacing w:val="-11"/>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11"/>
          <w:sz w:val="24"/>
          <w:szCs w:val="24"/>
        </w:rPr>
        <w:t>8</w:t>
      </w:r>
      <w:r>
        <w:rPr>
          <w:rFonts w:ascii="Times New Roman" w:hAnsi="Times New Roman" w:eastAsia="Times New Roman" w:cs="Times New Roman"/>
          <w:sz w:val="24"/>
          <w:szCs w:val="24"/>
        </w:rPr>
        <w:t xml:space="preserve"> </w:t>
      </w:r>
      <w:r>
        <w:rPr>
          <w:rFonts w:ascii="宋体" w:hAnsi="宋体" w:eastAsia="宋体" w:cs="宋体"/>
          <w:spacing w:val="-13"/>
          <w:sz w:val="24"/>
          <w:szCs w:val="24"/>
        </w:rPr>
        <w:t>月，受大姚县水务局委托， 云南联创环境工程有限公司（以下简称“环评单位”）</w:t>
      </w:r>
      <w:r>
        <w:rPr>
          <w:rFonts w:ascii="宋体" w:hAnsi="宋体" w:eastAsia="宋体" w:cs="宋体"/>
          <w:spacing w:val="18"/>
          <w:sz w:val="24"/>
          <w:szCs w:val="24"/>
        </w:rPr>
        <w:t xml:space="preserve"> </w:t>
      </w:r>
      <w:r>
        <w:rPr>
          <w:rFonts w:ascii="宋体" w:hAnsi="宋体" w:eastAsia="宋体" w:cs="宋体"/>
          <w:spacing w:val="-6"/>
          <w:sz w:val="24"/>
          <w:szCs w:val="24"/>
        </w:rPr>
        <w:t>承担该项目的环境影响评价工作。接到委托后， 我单位及时组织</w:t>
      </w:r>
      <w:r>
        <w:rPr>
          <w:rFonts w:ascii="宋体" w:hAnsi="宋体" w:eastAsia="宋体" w:cs="宋体"/>
          <w:spacing w:val="-7"/>
          <w:sz w:val="24"/>
          <w:szCs w:val="24"/>
        </w:rPr>
        <w:t>技术人员进行现</w:t>
      </w:r>
      <w:r>
        <w:rPr>
          <w:rFonts w:ascii="宋体" w:hAnsi="宋体" w:eastAsia="宋体" w:cs="宋体"/>
          <w:sz w:val="24"/>
          <w:szCs w:val="24"/>
        </w:rPr>
        <w:t xml:space="preserve"> </w:t>
      </w:r>
      <w:r>
        <w:rPr>
          <w:rFonts w:ascii="宋体" w:hAnsi="宋体" w:eastAsia="宋体" w:cs="宋体"/>
          <w:spacing w:val="-10"/>
          <w:sz w:val="24"/>
          <w:szCs w:val="24"/>
        </w:rPr>
        <w:t>场踏勘和调查，</w:t>
      </w:r>
      <w:r>
        <w:rPr>
          <w:rFonts w:ascii="宋体" w:hAnsi="宋体" w:eastAsia="宋体" w:cs="宋体"/>
          <w:spacing w:val="54"/>
          <w:sz w:val="24"/>
          <w:szCs w:val="24"/>
        </w:rPr>
        <w:t xml:space="preserve"> </w:t>
      </w:r>
      <w:r>
        <w:rPr>
          <w:rFonts w:ascii="宋体" w:hAnsi="宋体" w:eastAsia="宋体" w:cs="宋体"/>
          <w:spacing w:val="-10"/>
          <w:sz w:val="24"/>
          <w:szCs w:val="24"/>
        </w:rPr>
        <w:t>并委托中博源检测（云南）</w:t>
      </w:r>
      <w:r>
        <w:rPr>
          <w:rFonts w:ascii="宋体" w:hAnsi="宋体" w:eastAsia="宋体" w:cs="宋体"/>
          <w:spacing w:val="-47"/>
          <w:sz w:val="24"/>
          <w:szCs w:val="24"/>
        </w:rPr>
        <w:t xml:space="preserve"> </w:t>
      </w:r>
      <w:r>
        <w:rPr>
          <w:rFonts w:ascii="宋体" w:hAnsi="宋体" w:eastAsia="宋体" w:cs="宋体"/>
          <w:spacing w:val="-10"/>
          <w:sz w:val="24"/>
          <w:szCs w:val="24"/>
        </w:rPr>
        <w:t>有限公司完成本次环评环境质量现状</w:t>
      </w:r>
      <w:r>
        <w:rPr>
          <w:rFonts w:ascii="宋体" w:hAnsi="宋体" w:eastAsia="宋体" w:cs="宋体"/>
          <w:sz w:val="24"/>
          <w:szCs w:val="24"/>
        </w:rPr>
        <w:t xml:space="preserve"> </w:t>
      </w:r>
      <w:r>
        <w:rPr>
          <w:rFonts w:ascii="宋体" w:hAnsi="宋体" w:eastAsia="宋体" w:cs="宋体"/>
          <w:spacing w:val="-3"/>
          <w:sz w:val="24"/>
          <w:szCs w:val="24"/>
        </w:rPr>
        <w:t>监测；委托中国科学院昆明植物研究所开展生态影响的专题研究工作。在此基础</w:t>
      </w:r>
      <w:r>
        <w:rPr>
          <w:rFonts w:ascii="宋体" w:hAnsi="宋体" w:eastAsia="宋体" w:cs="宋体"/>
          <w:spacing w:val="2"/>
          <w:sz w:val="24"/>
          <w:szCs w:val="24"/>
        </w:rPr>
        <w:t xml:space="preserve"> </w:t>
      </w:r>
      <w:r>
        <w:rPr>
          <w:rFonts w:ascii="宋体" w:hAnsi="宋体" w:eastAsia="宋体" w:cs="宋体"/>
          <w:spacing w:val="-7"/>
          <w:sz w:val="24"/>
          <w:szCs w:val="24"/>
        </w:rPr>
        <w:t>上根据国家环保法规、标准和环境影响评价技术导则，</w:t>
      </w:r>
      <w:r>
        <w:rPr>
          <w:rFonts w:ascii="宋体" w:hAnsi="宋体" w:eastAsia="宋体" w:cs="宋体"/>
          <w:spacing w:val="31"/>
          <w:sz w:val="24"/>
          <w:szCs w:val="24"/>
        </w:rPr>
        <w:t xml:space="preserve"> </w:t>
      </w:r>
      <w:r>
        <w:rPr>
          <w:rFonts w:ascii="宋体" w:hAnsi="宋体" w:eastAsia="宋体" w:cs="宋体"/>
          <w:spacing w:val="-7"/>
          <w:sz w:val="24"/>
          <w:szCs w:val="24"/>
        </w:rPr>
        <w:t>编制</w:t>
      </w:r>
      <w:r>
        <w:rPr>
          <w:rFonts w:ascii="宋体" w:hAnsi="宋体" w:eastAsia="宋体" w:cs="宋体"/>
          <w:spacing w:val="-8"/>
          <w:sz w:val="24"/>
          <w:szCs w:val="24"/>
        </w:rPr>
        <w:t>《大姚县桂花水库工</w:t>
      </w:r>
    </w:p>
    <w:p>
      <w:pPr>
        <w:spacing w:line="218" w:lineRule="auto"/>
        <w:ind w:left="38"/>
        <w:rPr>
          <w:rFonts w:ascii="宋体" w:hAnsi="宋体" w:eastAsia="宋体" w:cs="宋体"/>
          <w:sz w:val="24"/>
          <w:szCs w:val="24"/>
        </w:rPr>
      </w:pPr>
      <w:r>
        <w:rPr>
          <w:rFonts w:ascii="宋体" w:hAnsi="宋体" w:eastAsia="宋体" w:cs="宋体"/>
          <w:spacing w:val="-7"/>
          <w:sz w:val="24"/>
          <w:szCs w:val="24"/>
        </w:rPr>
        <w:t>程环境影响报告书》，供建设单位上报审批。</w:t>
      </w:r>
    </w:p>
    <w:p>
      <w:pPr>
        <w:spacing w:line="218" w:lineRule="auto"/>
        <w:rPr>
          <w:rFonts w:ascii="宋体" w:hAnsi="宋体" w:eastAsia="宋体" w:cs="宋体"/>
          <w:sz w:val="24"/>
          <w:szCs w:val="24"/>
        </w:rPr>
        <w:sectPr>
          <w:headerReference r:id="rId11" w:type="default"/>
          <w:footerReference r:id="rId12" w:type="default"/>
          <w:pgSz w:w="11907" w:h="16839"/>
          <w:pgMar w:top="1156" w:right="1688" w:bottom="1153" w:left="1770" w:header="881" w:footer="990" w:gutter="0"/>
        </w:sectPr>
      </w:pPr>
    </w:p>
    <w:p>
      <w:pPr>
        <w:spacing w:line="369" w:lineRule="auto"/>
        <w:rPr>
          <w:rFonts w:ascii="Arial"/>
          <w:sz w:val="21"/>
        </w:rPr>
      </w:pPr>
    </w:p>
    <w:p>
      <w:pPr>
        <w:pStyle w:val="2"/>
        <w:spacing w:before="88" w:line="225" w:lineRule="auto"/>
        <w:ind w:left="40"/>
        <w:rPr>
          <w:sz w:val="27"/>
          <w:szCs w:val="27"/>
        </w:rPr>
      </w:pPr>
      <w:bookmarkStart w:id="2" w:name="bookmark3"/>
      <w:bookmarkEnd w:id="2"/>
      <w:r>
        <w:rPr>
          <w:spacing w:val="7"/>
          <w:sz w:val="27"/>
          <w:szCs w:val="27"/>
          <w14:textOutline w14:w="5072" w14:cap="flat" w14:cmpd="sng">
            <w14:solidFill>
              <w14:srgbClr w14:val="000000"/>
            </w14:solidFill>
            <w14:prstDash w14:val="solid"/>
            <w14:miter w14:val="0"/>
          </w14:textOutline>
        </w:rPr>
        <w:t>前期工作</w:t>
      </w:r>
    </w:p>
    <w:p>
      <w:pPr>
        <w:spacing w:before="284" w:line="360" w:lineRule="auto"/>
        <w:ind w:left="38" w:right="110" w:firstLine="476"/>
        <w:rPr>
          <w:rFonts w:ascii="宋体" w:hAnsi="宋体" w:eastAsia="宋体" w:cs="宋体"/>
          <w:sz w:val="24"/>
          <w:szCs w:val="24"/>
        </w:rPr>
      </w:pPr>
      <w:r>
        <w:rPr>
          <w:rFonts w:ascii="Times New Roman" w:hAnsi="Times New Roman" w:eastAsia="Times New Roman" w:cs="Times New Roman"/>
          <w:spacing w:val="-4"/>
          <w:sz w:val="24"/>
          <w:szCs w:val="24"/>
        </w:rPr>
        <w:t>2016</w:t>
      </w:r>
      <w:r>
        <w:rPr>
          <w:rFonts w:ascii="Times New Roman" w:hAnsi="Times New Roman" w:eastAsia="Times New Roman" w:cs="Times New Roman"/>
          <w:spacing w:val="39"/>
          <w:sz w:val="24"/>
          <w:szCs w:val="24"/>
        </w:rPr>
        <w:t xml:space="preserve"> </w:t>
      </w:r>
      <w:r>
        <w:rPr>
          <w:rFonts w:ascii="宋体" w:hAnsi="宋体" w:eastAsia="宋体" w:cs="宋体"/>
          <w:spacing w:val="-4"/>
          <w:sz w:val="24"/>
          <w:szCs w:val="24"/>
        </w:rPr>
        <w:t xml:space="preserve">年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44"/>
          <w:sz w:val="24"/>
          <w:szCs w:val="24"/>
        </w:rPr>
        <w:t xml:space="preserve"> </w:t>
      </w:r>
      <w:r>
        <w:rPr>
          <w:rFonts w:ascii="宋体" w:hAnsi="宋体" w:eastAsia="宋体" w:cs="宋体"/>
          <w:spacing w:val="-4"/>
          <w:sz w:val="24"/>
          <w:szCs w:val="24"/>
        </w:rPr>
        <w:t>月，</w:t>
      </w:r>
      <w:r>
        <w:rPr>
          <w:rFonts w:ascii="宋体" w:hAnsi="宋体" w:eastAsia="宋体" w:cs="宋体"/>
          <w:spacing w:val="-29"/>
          <w:sz w:val="24"/>
          <w:szCs w:val="24"/>
        </w:rPr>
        <w:t xml:space="preserve"> </w:t>
      </w:r>
      <w:r>
        <w:rPr>
          <w:rFonts w:ascii="宋体" w:hAnsi="宋体" w:eastAsia="宋体" w:cs="宋体"/>
          <w:spacing w:val="-4"/>
          <w:sz w:val="24"/>
          <w:szCs w:val="24"/>
        </w:rPr>
        <w:t>项目取得云南省水利厅《关</w:t>
      </w:r>
      <w:r>
        <w:rPr>
          <w:rFonts w:ascii="宋体" w:hAnsi="宋体" w:eastAsia="宋体" w:cs="宋体"/>
          <w:spacing w:val="-5"/>
          <w:sz w:val="24"/>
          <w:szCs w:val="24"/>
        </w:rPr>
        <w:t>于准予楚雄州大姚县桂花水库工</w:t>
      </w:r>
      <w:r>
        <w:rPr>
          <w:rFonts w:ascii="宋体" w:hAnsi="宋体" w:eastAsia="宋体" w:cs="宋体"/>
          <w:sz w:val="24"/>
          <w:szCs w:val="24"/>
        </w:rPr>
        <w:t xml:space="preserve"> </w:t>
      </w:r>
      <w:r>
        <w:rPr>
          <w:rFonts w:ascii="宋体" w:hAnsi="宋体" w:eastAsia="宋体" w:cs="宋体"/>
          <w:spacing w:val="-5"/>
          <w:sz w:val="24"/>
          <w:szCs w:val="24"/>
        </w:rPr>
        <w:t>程水资源论证报告书的行政许可决定书》（云水资源许</w:t>
      </w:r>
      <w:r>
        <w:rPr>
          <w:rFonts w:ascii="Times New Roman" w:hAnsi="Times New Roman" w:eastAsia="Times New Roman" w:cs="Times New Roman"/>
          <w:spacing w:val="-5"/>
          <w:sz w:val="24"/>
          <w:szCs w:val="24"/>
        </w:rPr>
        <w:t>[2016]8</w:t>
      </w:r>
      <w:r>
        <w:rPr>
          <w:rFonts w:ascii="Times New Roman" w:hAnsi="Times New Roman" w:eastAsia="Times New Roman" w:cs="Times New Roman"/>
          <w:spacing w:val="19"/>
          <w:w w:val="101"/>
          <w:sz w:val="24"/>
          <w:szCs w:val="24"/>
        </w:rPr>
        <w:t xml:space="preserve"> </w:t>
      </w:r>
      <w:r>
        <w:rPr>
          <w:rFonts w:ascii="宋体" w:hAnsi="宋体" w:eastAsia="宋体" w:cs="宋体"/>
          <w:spacing w:val="-5"/>
          <w:sz w:val="24"/>
          <w:szCs w:val="24"/>
        </w:rPr>
        <w:t>号</w:t>
      </w:r>
      <w:r>
        <w:rPr>
          <w:rFonts w:ascii="宋体" w:hAnsi="宋体" w:eastAsia="宋体" w:cs="宋体"/>
          <w:spacing w:val="-59"/>
          <w:w w:val="94"/>
          <w:sz w:val="24"/>
          <w:szCs w:val="24"/>
        </w:rPr>
        <w:t>），</w:t>
      </w:r>
      <w:r>
        <w:rPr>
          <w:rFonts w:ascii="宋体" w:hAnsi="宋体" w:eastAsia="宋体" w:cs="宋体"/>
          <w:spacing w:val="-5"/>
          <w:sz w:val="24"/>
          <w:szCs w:val="24"/>
        </w:rPr>
        <w:t>并于</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2017 </w:t>
      </w:r>
      <w:r>
        <w:rPr>
          <w:rFonts w:ascii="宋体" w:hAnsi="宋体" w:eastAsia="宋体" w:cs="宋体"/>
          <w:spacing w:val="-5"/>
          <w:sz w:val="24"/>
          <w:szCs w:val="24"/>
        </w:rPr>
        <w:t>年</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12  </w:t>
      </w:r>
      <w:r>
        <w:rPr>
          <w:rFonts w:ascii="宋体" w:hAnsi="宋体" w:eastAsia="宋体" w:cs="宋体"/>
          <w:sz w:val="24"/>
          <w:szCs w:val="24"/>
        </w:rPr>
        <w:t>月取得云南省水利厅《关于准予楚雄州大姚县桂花水库工程取水许可申请的</w:t>
      </w:r>
    </w:p>
    <w:p>
      <w:pPr>
        <w:spacing w:line="215" w:lineRule="auto"/>
        <w:ind w:left="43"/>
        <w:rPr>
          <w:rFonts w:ascii="宋体" w:hAnsi="宋体" w:eastAsia="宋体" w:cs="宋体"/>
          <w:sz w:val="24"/>
          <w:szCs w:val="24"/>
        </w:rPr>
      </w:pPr>
      <w:r>
        <w:rPr>
          <w:rFonts w:ascii="宋体" w:hAnsi="宋体" w:eastAsia="宋体" w:cs="宋体"/>
          <w:spacing w:val="-10"/>
          <w:sz w:val="24"/>
          <w:szCs w:val="24"/>
        </w:rPr>
        <w:t>行政许可决定书》（云水资源许</w:t>
      </w:r>
      <w:r>
        <w:rPr>
          <w:rFonts w:ascii="Times New Roman" w:hAnsi="Times New Roman" w:eastAsia="Times New Roman" w:cs="Times New Roman"/>
          <w:spacing w:val="-10"/>
          <w:sz w:val="24"/>
          <w:szCs w:val="24"/>
        </w:rPr>
        <w:t>[2017]11</w:t>
      </w:r>
      <w:r>
        <w:rPr>
          <w:rFonts w:ascii="Times New Roman" w:hAnsi="Times New Roman" w:eastAsia="Times New Roman" w:cs="Times New Roman"/>
          <w:spacing w:val="20"/>
          <w:sz w:val="24"/>
          <w:szCs w:val="24"/>
        </w:rPr>
        <w:t xml:space="preserve"> </w:t>
      </w:r>
      <w:r>
        <w:rPr>
          <w:rFonts w:ascii="宋体" w:hAnsi="宋体" w:eastAsia="宋体" w:cs="宋体"/>
          <w:spacing w:val="-10"/>
          <w:sz w:val="24"/>
          <w:szCs w:val="24"/>
        </w:rPr>
        <w:t>号）。</w:t>
      </w:r>
    </w:p>
    <w:p>
      <w:pPr>
        <w:spacing w:before="187" w:line="468" w:lineRule="exact"/>
        <w:ind w:left="515"/>
        <w:rPr>
          <w:rFonts w:ascii="宋体" w:hAnsi="宋体" w:eastAsia="宋体" w:cs="宋体"/>
          <w:sz w:val="24"/>
          <w:szCs w:val="24"/>
        </w:rPr>
      </w:pPr>
      <w:r>
        <w:rPr>
          <w:rFonts w:ascii="Times New Roman" w:hAnsi="Times New Roman" w:eastAsia="Times New Roman" w:cs="Times New Roman"/>
          <w:spacing w:val="-4"/>
          <w:position w:val="17"/>
          <w:sz w:val="24"/>
          <w:szCs w:val="24"/>
        </w:rPr>
        <w:t>2017</w:t>
      </w:r>
      <w:r>
        <w:rPr>
          <w:rFonts w:ascii="Times New Roman" w:hAnsi="Times New Roman" w:eastAsia="Times New Roman" w:cs="Times New Roman"/>
          <w:spacing w:val="47"/>
          <w:position w:val="17"/>
          <w:sz w:val="24"/>
          <w:szCs w:val="24"/>
        </w:rPr>
        <w:t xml:space="preserve"> </w:t>
      </w:r>
      <w:r>
        <w:rPr>
          <w:rFonts w:ascii="宋体" w:hAnsi="宋体" w:eastAsia="宋体" w:cs="宋体"/>
          <w:spacing w:val="-4"/>
          <w:position w:val="17"/>
          <w:sz w:val="24"/>
          <w:szCs w:val="24"/>
        </w:rPr>
        <w:t>年</w:t>
      </w:r>
      <w:r>
        <w:rPr>
          <w:rFonts w:ascii="宋体" w:hAnsi="宋体" w:eastAsia="宋体" w:cs="宋体"/>
          <w:spacing w:val="-26"/>
          <w:position w:val="17"/>
          <w:sz w:val="24"/>
          <w:szCs w:val="24"/>
        </w:rPr>
        <w:t xml:space="preserve"> </w:t>
      </w:r>
      <w:r>
        <w:rPr>
          <w:rFonts w:ascii="Times New Roman" w:hAnsi="Times New Roman" w:eastAsia="Times New Roman" w:cs="Times New Roman"/>
          <w:spacing w:val="-4"/>
          <w:position w:val="17"/>
          <w:sz w:val="24"/>
          <w:szCs w:val="24"/>
        </w:rPr>
        <w:t>2</w:t>
      </w:r>
      <w:r>
        <w:rPr>
          <w:rFonts w:ascii="Times New Roman" w:hAnsi="Times New Roman" w:eastAsia="Times New Roman" w:cs="Times New Roman"/>
          <w:spacing w:val="44"/>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29"/>
          <w:position w:val="17"/>
          <w:sz w:val="24"/>
          <w:szCs w:val="24"/>
        </w:rPr>
        <w:t xml:space="preserve"> </w:t>
      </w:r>
      <w:r>
        <w:rPr>
          <w:rFonts w:ascii="宋体" w:hAnsi="宋体" w:eastAsia="宋体" w:cs="宋体"/>
          <w:spacing w:val="-4"/>
          <w:position w:val="17"/>
          <w:sz w:val="24"/>
          <w:szCs w:val="24"/>
        </w:rPr>
        <w:t>项目取得长江水利委员会《关于印发云南省楚雄州大姚县桂</w:t>
      </w:r>
    </w:p>
    <w:p>
      <w:pPr>
        <w:spacing w:before="1" w:line="215" w:lineRule="auto"/>
        <w:ind w:left="40"/>
        <w:rPr>
          <w:rFonts w:ascii="宋体" w:hAnsi="宋体" w:eastAsia="宋体" w:cs="宋体"/>
          <w:sz w:val="24"/>
          <w:szCs w:val="24"/>
        </w:rPr>
      </w:pPr>
      <w:r>
        <w:rPr>
          <w:rFonts w:ascii="宋体" w:hAnsi="宋体" w:eastAsia="宋体" w:cs="宋体"/>
          <w:spacing w:val="-8"/>
          <w:sz w:val="24"/>
          <w:szCs w:val="24"/>
        </w:rPr>
        <w:t>花水库工程审核意见的通知》（长规计</w:t>
      </w:r>
      <w:r>
        <w:rPr>
          <w:rFonts w:ascii="Times New Roman" w:hAnsi="Times New Roman" w:eastAsia="Times New Roman" w:cs="Times New Roman"/>
          <w:spacing w:val="-8"/>
          <w:sz w:val="24"/>
          <w:szCs w:val="24"/>
        </w:rPr>
        <w:t>[2017]100</w:t>
      </w:r>
      <w:r>
        <w:rPr>
          <w:rFonts w:ascii="Times New Roman" w:hAnsi="Times New Roman" w:eastAsia="Times New Roman" w:cs="Times New Roman"/>
          <w:spacing w:val="23"/>
          <w:w w:val="101"/>
          <w:sz w:val="24"/>
          <w:szCs w:val="24"/>
        </w:rPr>
        <w:t xml:space="preserve"> </w:t>
      </w:r>
      <w:r>
        <w:rPr>
          <w:rFonts w:ascii="宋体" w:hAnsi="宋体" w:eastAsia="宋体" w:cs="宋体"/>
          <w:spacing w:val="-8"/>
          <w:sz w:val="24"/>
          <w:szCs w:val="24"/>
        </w:rPr>
        <w:t>号）。</w:t>
      </w:r>
    </w:p>
    <w:p>
      <w:pPr>
        <w:spacing w:before="188" w:line="468" w:lineRule="exact"/>
        <w:ind w:left="515"/>
        <w:rPr>
          <w:rFonts w:ascii="宋体" w:hAnsi="宋体" w:eastAsia="宋体" w:cs="宋体"/>
          <w:sz w:val="24"/>
          <w:szCs w:val="24"/>
        </w:rPr>
      </w:pPr>
      <w:r>
        <w:rPr>
          <w:rFonts w:ascii="Times New Roman" w:hAnsi="Times New Roman" w:eastAsia="Times New Roman" w:cs="Times New Roman"/>
          <w:spacing w:val="-4"/>
          <w:position w:val="17"/>
          <w:sz w:val="24"/>
          <w:szCs w:val="24"/>
        </w:rPr>
        <w:t xml:space="preserve">2017 </w:t>
      </w:r>
      <w:r>
        <w:rPr>
          <w:rFonts w:ascii="宋体" w:hAnsi="宋体" w:eastAsia="宋体" w:cs="宋体"/>
          <w:spacing w:val="-4"/>
          <w:position w:val="17"/>
          <w:sz w:val="24"/>
          <w:szCs w:val="24"/>
        </w:rPr>
        <w:t>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12</w:t>
      </w:r>
      <w:r>
        <w:rPr>
          <w:rFonts w:ascii="Times New Roman" w:hAnsi="Times New Roman" w:eastAsia="Times New Roman" w:cs="Times New Roman"/>
          <w:spacing w:val="15"/>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45"/>
          <w:position w:val="17"/>
          <w:sz w:val="24"/>
          <w:szCs w:val="24"/>
        </w:rPr>
        <w:t xml:space="preserve"> </w:t>
      </w:r>
      <w:r>
        <w:rPr>
          <w:rFonts w:ascii="宋体" w:hAnsi="宋体" w:eastAsia="宋体" w:cs="宋体"/>
          <w:spacing w:val="-4"/>
          <w:position w:val="17"/>
          <w:sz w:val="24"/>
          <w:szCs w:val="24"/>
        </w:rPr>
        <w:t>项目取得云南省水利厅《关于</w:t>
      </w:r>
      <w:r>
        <w:rPr>
          <w:rFonts w:ascii="宋体" w:hAnsi="宋体" w:eastAsia="宋体" w:cs="宋体"/>
          <w:spacing w:val="-5"/>
          <w:position w:val="17"/>
          <w:sz w:val="24"/>
          <w:szCs w:val="24"/>
        </w:rPr>
        <w:t>准予大姚县桂花水库屔程水土</w:t>
      </w:r>
    </w:p>
    <w:p>
      <w:pPr>
        <w:spacing w:line="215" w:lineRule="auto"/>
        <w:ind w:left="40"/>
        <w:rPr>
          <w:rFonts w:ascii="宋体" w:hAnsi="宋体" w:eastAsia="宋体" w:cs="宋体"/>
          <w:sz w:val="24"/>
          <w:szCs w:val="24"/>
        </w:rPr>
      </w:pPr>
      <w:r>
        <w:rPr>
          <w:rFonts w:ascii="宋体" w:hAnsi="宋体" w:eastAsia="宋体" w:cs="宋体"/>
          <w:spacing w:val="-8"/>
          <w:sz w:val="24"/>
          <w:szCs w:val="24"/>
        </w:rPr>
        <w:t>保持方案的行政许可决定书》（云水保许</w:t>
      </w:r>
      <w:r>
        <w:rPr>
          <w:rFonts w:ascii="Times New Roman" w:hAnsi="Times New Roman" w:eastAsia="Times New Roman" w:cs="Times New Roman"/>
          <w:spacing w:val="-8"/>
          <w:sz w:val="24"/>
          <w:szCs w:val="24"/>
        </w:rPr>
        <w:t>[2017]172</w:t>
      </w:r>
      <w:r>
        <w:rPr>
          <w:rFonts w:ascii="Times New Roman" w:hAnsi="Times New Roman" w:eastAsia="Times New Roman" w:cs="Times New Roman"/>
          <w:spacing w:val="33"/>
          <w:sz w:val="24"/>
          <w:szCs w:val="24"/>
        </w:rPr>
        <w:t xml:space="preserve"> </w:t>
      </w:r>
      <w:r>
        <w:rPr>
          <w:rFonts w:ascii="宋体" w:hAnsi="宋体" w:eastAsia="宋体" w:cs="宋体"/>
          <w:spacing w:val="-8"/>
          <w:sz w:val="24"/>
          <w:szCs w:val="24"/>
        </w:rPr>
        <w:t>号）。</w:t>
      </w:r>
    </w:p>
    <w:p>
      <w:pPr>
        <w:spacing w:before="188" w:line="468" w:lineRule="exact"/>
        <w:jc w:val="right"/>
        <w:rPr>
          <w:rFonts w:ascii="宋体" w:hAnsi="宋体" w:eastAsia="宋体" w:cs="宋体"/>
          <w:sz w:val="24"/>
          <w:szCs w:val="24"/>
        </w:rPr>
      </w:pPr>
      <w:r>
        <w:rPr>
          <w:rFonts w:ascii="Times New Roman" w:hAnsi="Times New Roman" w:eastAsia="Times New Roman" w:cs="Times New Roman"/>
          <w:spacing w:val="-5"/>
          <w:position w:val="17"/>
          <w:sz w:val="24"/>
          <w:szCs w:val="24"/>
        </w:rPr>
        <w:t>2017</w:t>
      </w:r>
      <w:r>
        <w:rPr>
          <w:rFonts w:ascii="Times New Roman" w:hAnsi="Times New Roman" w:eastAsia="Times New Roman" w:cs="Times New Roman"/>
          <w:spacing w:val="56"/>
          <w:position w:val="17"/>
          <w:sz w:val="24"/>
          <w:szCs w:val="24"/>
        </w:rPr>
        <w:t xml:space="preserve"> </w:t>
      </w:r>
      <w:r>
        <w:rPr>
          <w:rFonts w:ascii="宋体" w:hAnsi="宋体" w:eastAsia="宋体" w:cs="宋体"/>
          <w:spacing w:val="-5"/>
          <w:position w:val="17"/>
          <w:sz w:val="24"/>
          <w:szCs w:val="24"/>
        </w:rPr>
        <w:t xml:space="preserve">年 </w:t>
      </w:r>
      <w:r>
        <w:rPr>
          <w:rFonts w:ascii="Times New Roman" w:hAnsi="Times New Roman" w:eastAsia="Times New Roman" w:cs="Times New Roman"/>
          <w:spacing w:val="-5"/>
          <w:position w:val="17"/>
          <w:sz w:val="24"/>
          <w:szCs w:val="24"/>
        </w:rPr>
        <w:t>12</w:t>
      </w:r>
      <w:r>
        <w:rPr>
          <w:rFonts w:ascii="Times New Roman" w:hAnsi="Times New Roman" w:eastAsia="Times New Roman" w:cs="Times New Roman"/>
          <w:spacing w:val="44"/>
          <w:position w:val="17"/>
          <w:sz w:val="24"/>
          <w:szCs w:val="24"/>
        </w:rPr>
        <w:t xml:space="preserve"> </w:t>
      </w:r>
      <w:r>
        <w:rPr>
          <w:rFonts w:ascii="宋体" w:hAnsi="宋体" w:eastAsia="宋体" w:cs="宋体"/>
          <w:spacing w:val="-5"/>
          <w:position w:val="17"/>
          <w:sz w:val="24"/>
          <w:szCs w:val="24"/>
        </w:rPr>
        <w:t>月，</w:t>
      </w:r>
      <w:r>
        <w:rPr>
          <w:rFonts w:ascii="宋体" w:hAnsi="宋体" w:eastAsia="宋体" w:cs="宋体"/>
          <w:spacing w:val="-29"/>
          <w:position w:val="17"/>
          <w:sz w:val="24"/>
          <w:szCs w:val="24"/>
        </w:rPr>
        <w:t xml:space="preserve"> </w:t>
      </w:r>
      <w:r>
        <w:rPr>
          <w:rFonts w:ascii="宋体" w:hAnsi="宋体" w:eastAsia="宋体" w:cs="宋体"/>
          <w:spacing w:val="-5"/>
          <w:position w:val="17"/>
          <w:sz w:val="24"/>
          <w:szCs w:val="24"/>
        </w:rPr>
        <w:t>项目取得云南省住房和城乡建设厅《建设项目选址意见书》</w:t>
      </w:r>
    </w:p>
    <w:p>
      <w:pPr>
        <w:spacing w:before="1" w:line="219" w:lineRule="auto"/>
        <w:ind w:left="45"/>
        <w:rPr>
          <w:rFonts w:ascii="宋体" w:hAnsi="宋体" w:eastAsia="宋体" w:cs="宋体"/>
          <w:sz w:val="24"/>
          <w:szCs w:val="24"/>
        </w:rPr>
      </w:pPr>
      <w:r>
        <w:rPr>
          <w:rFonts w:ascii="宋体" w:hAnsi="宋体" w:eastAsia="宋体" w:cs="宋体"/>
          <w:spacing w:val="-7"/>
          <w:sz w:val="24"/>
          <w:szCs w:val="24"/>
        </w:rPr>
        <w:t>（选字第省级</w:t>
      </w:r>
      <w:r>
        <w:rPr>
          <w:rFonts w:ascii="宋体" w:hAnsi="宋体" w:eastAsia="宋体" w:cs="宋体"/>
          <w:spacing w:val="-43"/>
          <w:sz w:val="24"/>
          <w:szCs w:val="24"/>
        </w:rPr>
        <w:t xml:space="preserve"> </w:t>
      </w:r>
      <w:r>
        <w:rPr>
          <w:rFonts w:ascii="Times New Roman" w:hAnsi="Times New Roman" w:eastAsia="Times New Roman" w:cs="Times New Roman"/>
          <w:spacing w:val="-7"/>
          <w:sz w:val="24"/>
          <w:szCs w:val="24"/>
        </w:rPr>
        <w:t>201700062</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号）。</w:t>
      </w:r>
    </w:p>
    <w:p>
      <w:pPr>
        <w:spacing w:before="182" w:line="468" w:lineRule="exact"/>
        <w:ind w:left="515"/>
        <w:rPr>
          <w:rFonts w:ascii="宋体" w:hAnsi="宋体" w:eastAsia="宋体" w:cs="宋体"/>
          <w:sz w:val="24"/>
          <w:szCs w:val="24"/>
        </w:rPr>
      </w:pPr>
      <w:r>
        <w:rPr>
          <w:rFonts w:ascii="Times New Roman" w:hAnsi="Times New Roman" w:eastAsia="Times New Roman" w:cs="Times New Roman"/>
          <w:spacing w:val="-4"/>
          <w:position w:val="17"/>
          <w:sz w:val="24"/>
          <w:szCs w:val="24"/>
        </w:rPr>
        <w:t>2018</w:t>
      </w:r>
      <w:r>
        <w:rPr>
          <w:rFonts w:ascii="Times New Roman" w:hAnsi="Times New Roman" w:eastAsia="Times New Roman" w:cs="Times New Roman"/>
          <w:spacing w:val="39"/>
          <w:position w:val="17"/>
          <w:sz w:val="24"/>
          <w:szCs w:val="24"/>
        </w:rPr>
        <w:t xml:space="preserve"> </w:t>
      </w:r>
      <w:r>
        <w:rPr>
          <w:rFonts w:ascii="宋体" w:hAnsi="宋体" w:eastAsia="宋体" w:cs="宋体"/>
          <w:spacing w:val="-4"/>
          <w:position w:val="17"/>
          <w:sz w:val="24"/>
          <w:szCs w:val="24"/>
        </w:rPr>
        <w:t xml:space="preserve">年 </w:t>
      </w:r>
      <w:r>
        <w:rPr>
          <w:rFonts w:ascii="Times New Roman" w:hAnsi="Times New Roman" w:eastAsia="Times New Roman" w:cs="Times New Roman"/>
          <w:spacing w:val="-4"/>
          <w:position w:val="17"/>
          <w:sz w:val="24"/>
          <w:szCs w:val="24"/>
        </w:rPr>
        <w:t>1</w:t>
      </w:r>
      <w:r>
        <w:rPr>
          <w:rFonts w:ascii="Times New Roman" w:hAnsi="Times New Roman" w:eastAsia="Times New Roman" w:cs="Times New Roman"/>
          <w:spacing w:val="44"/>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29"/>
          <w:position w:val="17"/>
          <w:sz w:val="24"/>
          <w:szCs w:val="24"/>
        </w:rPr>
        <w:t xml:space="preserve"> </w:t>
      </w:r>
      <w:r>
        <w:rPr>
          <w:rFonts w:ascii="宋体" w:hAnsi="宋体" w:eastAsia="宋体" w:cs="宋体"/>
          <w:spacing w:val="-4"/>
          <w:position w:val="17"/>
          <w:sz w:val="24"/>
          <w:szCs w:val="24"/>
        </w:rPr>
        <w:t>项目取得云南省国土资源厅</w:t>
      </w:r>
      <w:r>
        <w:rPr>
          <w:rFonts w:ascii="宋体" w:hAnsi="宋体" w:eastAsia="宋体" w:cs="宋体"/>
          <w:spacing w:val="-5"/>
          <w:position w:val="17"/>
          <w:sz w:val="24"/>
          <w:szCs w:val="24"/>
        </w:rPr>
        <w:t>《关于大姚县桂花水库工程建设</w:t>
      </w:r>
    </w:p>
    <w:p>
      <w:pPr>
        <w:spacing w:before="1" w:line="215" w:lineRule="auto"/>
        <w:ind w:left="43"/>
        <w:rPr>
          <w:rFonts w:ascii="宋体" w:hAnsi="宋体" w:eastAsia="宋体" w:cs="宋体"/>
          <w:sz w:val="24"/>
          <w:szCs w:val="24"/>
        </w:rPr>
      </w:pPr>
      <w:r>
        <w:rPr>
          <w:rFonts w:ascii="宋体" w:hAnsi="宋体" w:eastAsia="宋体" w:cs="宋体"/>
          <w:spacing w:val="-9"/>
          <w:sz w:val="24"/>
          <w:szCs w:val="24"/>
        </w:rPr>
        <w:t>项目的用地预审意见》（云国土资预</w:t>
      </w:r>
      <w:r>
        <w:rPr>
          <w:rFonts w:ascii="Times New Roman" w:hAnsi="Times New Roman" w:eastAsia="Times New Roman" w:cs="Times New Roman"/>
          <w:spacing w:val="-9"/>
          <w:sz w:val="24"/>
          <w:szCs w:val="24"/>
        </w:rPr>
        <w:t>[2018]4</w:t>
      </w:r>
      <w:r>
        <w:rPr>
          <w:rFonts w:ascii="Times New Roman" w:hAnsi="Times New Roman" w:eastAsia="Times New Roman" w:cs="Times New Roman"/>
          <w:spacing w:val="23"/>
          <w:sz w:val="24"/>
          <w:szCs w:val="24"/>
        </w:rPr>
        <w:t xml:space="preserve"> </w:t>
      </w:r>
      <w:r>
        <w:rPr>
          <w:rFonts w:ascii="宋体" w:hAnsi="宋体" w:eastAsia="宋体" w:cs="宋体"/>
          <w:spacing w:val="-9"/>
          <w:sz w:val="24"/>
          <w:szCs w:val="24"/>
        </w:rPr>
        <w:t>号）。</w:t>
      </w:r>
    </w:p>
    <w:p>
      <w:pPr>
        <w:spacing w:before="188" w:line="468" w:lineRule="exact"/>
        <w:ind w:left="515"/>
        <w:rPr>
          <w:rFonts w:ascii="宋体" w:hAnsi="宋体" w:eastAsia="宋体" w:cs="宋体"/>
          <w:sz w:val="24"/>
          <w:szCs w:val="24"/>
        </w:rPr>
      </w:pPr>
      <w:r>
        <w:rPr>
          <w:rFonts w:ascii="Times New Roman" w:hAnsi="Times New Roman" w:eastAsia="Times New Roman" w:cs="Times New Roman"/>
          <w:spacing w:val="-4"/>
          <w:position w:val="17"/>
          <w:sz w:val="24"/>
          <w:szCs w:val="24"/>
        </w:rPr>
        <w:t>2018</w:t>
      </w:r>
      <w:r>
        <w:rPr>
          <w:rFonts w:ascii="Times New Roman" w:hAnsi="Times New Roman" w:eastAsia="Times New Roman" w:cs="Times New Roman"/>
          <w:spacing w:val="47"/>
          <w:position w:val="17"/>
          <w:sz w:val="24"/>
          <w:szCs w:val="24"/>
        </w:rPr>
        <w:t xml:space="preserve"> </w:t>
      </w:r>
      <w:r>
        <w:rPr>
          <w:rFonts w:ascii="宋体" w:hAnsi="宋体" w:eastAsia="宋体" w:cs="宋体"/>
          <w:spacing w:val="-4"/>
          <w:position w:val="17"/>
          <w:sz w:val="24"/>
          <w:szCs w:val="24"/>
        </w:rPr>
        <w:t>年</w:t>
      </w:r>
      <w:r>
        <w:rPr>
          <w:rFonts w:ascii="宋体" w:hAnsi="宋体" w:eastAsia="宋体" w:cs="宋体"/>
          <w:spacing w:val="-26"/>
          <w:position w:val="17"/>
          <w:sz w:val="24"/>
          <w:szCs w:val="24"/>
        </w:rPr>
        <w:t xml:space="preserve"> </w:t>
      </w:r>
      <w:r>
        <w:rPr>
          <w:rFonts w:ascii="Times New Roman" w:hAnsi="Times New Roman" w:eastAsia="Times New Roman" w:cs="Times New Roman"/>
          <w:spacing w:val="-4"/>
          <w:position w:val="17"/>
          <w:sz w:val="24"/>
          <w:szCs w:val="24"/>
        </w:rPr>
        <w:t>2</w:t>
      </w:r>
      <w:r>
        <w:rPr>
          <w:rFonts w:ascii="Times New Roman" w:hAnsi="Times New Roman" w:eastAsia="Times New Roman" w:cs="Times New Roman"/>
          <w:spacing w:val="44"/>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29"/>
          <w:position w:val="17"/>
          <w:sz w:val="24"/>
          <w:szCs w:val="24"/>
        </w:rPr>
        <w:t xml:space="preserve"> </w:t>
      </w:r>
      <w:r>
        <w:rPr>
          <w:rFonts w:ascii="宋体" w:hAnsi="宋体" w:eastAsia="宋体" w:cs="宋体"/>
          <w:spacing w:val="-4"/>
          <w:position w:val="17"/>
          <w:sz w:val="24"/>
          <w:szCs w:val="24"/>
        </w:rPr>
        <w:t>项目取得云南省发展和改革委员会《关于大姚县桂花水库工</w:t>
      </w:r>
    </w:p>
    <w:p>
      <w:pPr>
        <w:spacing w:before="1" w:line="215" w:lineRule="auto"/>
        <w:ind w:left="38"/>
        <w:rPr>
          <w:rFonts w:ascii="宋体" w:hAnsi="宋体" w:eastAsia="宋体" w:cs="宋体"/>
          <w:sz w:val="24"/>
          <w:szCs w:val="24"/>
        </w:rPr>
      </w:pPr>
      <w:r>
        <w:rPr>
          <w:rFonts w:ascii="宋体" w:hAnsi="宋体" w:eastAsia="宋体" w:cs="宋体"/>
          <w:spacing w:val="-7"/>
          <w:sz w:val="24"/>
          <w:szCs w:val="24"/>
        </w:rPr>
        <w:t>程可行性研究报告的批复》（云发改农经</w:t>
      </w:r>
      <w:r>
        <w:rPr>
          <w:rFonts w:ascii="Times New Roman" w:hAnsi="Times New Roman" w:eastAsia="Times New Roman" w:cs="Times New Roman"/>
          <w:spacing w:val="-7"/>
          <w:sz w:val="24"/>
          <w:szCs w:val="24"/>
        </w:rPr>
        <w:t>[</w:t>
      </w:r>
      <w:r>
        <w:rPr>
          <w:rFonts w:ascii="Times New Roman" w:hAnsi="Times New Roman" w:eastAsia="Times New Roman" w:cs="Times New Roman"/>
          <w:spacing w:val="-8"/>
          <w:sz w:val="24"/>
          <w:szCs w:val="24"/>
        </w:rPr>
        <w:t>2018]249</w:t>
      </w:r>
      <w:r>
        <w:rPr>
          <w:rFonts w:ascii="Times New Roman" w:hAnsi="Times New Roman" w:eastAsia="Times New Roman" w:cs="Times New Roman"/>
          <w:spacing w:val="16"/>
          <w:sz w:val="24"/>
          <w:szCs w:val="24"/>
        </w:rPr>
        <w:t xml:space="preserve"> </w:t>
      </w:r>
      <w:r>
        <w:rPr>
          <w:rFonts w:ascii="宋体" w:hAnsi="宋体" w:eastAsia="宋体" w:cs="宋体"/>
          <w:spacing w:val="-8"/>
          <w:sz w:val="24"/>
          <w:szCs w:val="24"/>
        </w:rPr>
        <w:t>号）。</w:t>
      </w:r>
    </w:p>
    <w:p>
      <w:pPr>
        <w:spacing w:before="188" w:line="468" w:lineRule="exact"/>
        <w:ind w:left="515"/>
        <w:rPr>
          <w:rFonts w:ascii="宋体" w:hAnsi="宋体" w:eastAsia="宋体" w:cs="宋体"/>
          <w:sz w:val="24"/>
          <w:szCs w:val="24"/>
        </w:rPr>
      </w:pPr>
      <w:r>
        <w:rPr>
          <w:rFonts w:ascii="Times New Roman" w:hAnsi="Times New Roman" w:eastAsia="Times New Roman" w:cs="Times New Roman"/>
          <w:spacing w:val="-4"/>
          <w:position w:val="17"/>
          <w:sz w:val="24"/>
          <w:szCs w:val="24"/>
        </w:rPr>
        <w:t>2019</w:t>
      </w:r>
      <w:r>
        <w:rPr>
          <w:rFonts w:ascii="Times New Roman" w:hAnsi="Times New Roman" w:eastAsia="Times New Roman" w:cs="Times New Roman"/>
          <w:spacing w:val="39"/>
          <w:position w:val="17"/>
          <w:sz w:val="24"/>
          <w:szCs w:val="24"/>
        </w:rPr>
        <w:t xml:space="preserve"> </w:t>
      </w:r>
      <w:r>
        <w:rPr>
          <w:rFonts w:ascii="宋体" w:hAnsi="宋体" w:eastAsia="宋体" w:cs="宋体"/>
          <w:spacing w:val="-4"/>
          <w:position w:val="17"/>
          <w:sz w:val="24"/>
          <w:szCs w:val="24"/>
        </w:rPr>
        <w:t xml:space="preserve">年 </w:t>
      </w:r>
      <w:r>
        <w:rPr>
          <w:rFonts w:ascii="Times New Roman" w:hAnsi="Times New Roman" w:eastAsia="Times New Roman" w:cs="Times New Roman"/>
          <w:spacing w:val="-4"/>
          <w:position w:val="17"/>
          <w:sz w:val="24"/>
          <w:szCs w:val="24"/>
        </w:rPr>
        <w:t>1</w:t>
      </w:r>
      <w:r>
        <w:rPr>
          <w:rFonts w:ascii="Times New Roman" w:hAnsi="Times New Roman" w:eastAsia="Times New Roman" w:cs="Times New Roman"/>
          <w:spacing w:val="44"/>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29"/>
          <w:position w:val="17"/>
          <w:sz w:val="24"/>
          <w:szCs w:val="24"/>
        </w:rPr>
        <w:t xml:space="preserve"> </w:t>
      </w:r>
      <w:r>
        <w:rPr>
          <w:rFonts w:ascii="宋体" w:hAnsi="宋体" w:eastAsia="宋体" w:cs="宋体"/>
          <w:spacing w:val="-4"/>
          <w:position w:val="17"/>
          <w:sz w:val="24"/>
          <w:szCs w:val="24"/>
        </w:rPr>
        <w:t>项目取得云南省水利厅《关</w:t>
      </w:r>
      <w:r>
        <w:rPr>
          <w:rFonts w:ascii="宋体" w:hAnsi="宋体" w:eastAsia="宋体" w:cs="宋体"/>
          <w:spacing w:val="-5"/>
          <w:position w:val="17"/>
          <w:sz w:val="24"/>
          <w:szCs w:val="24"/>
        </w:rPr>
        <w:t>于准予大姚县桂花水库工程初步</w:t>
      </w:r>
    </w:p>
    <w:p>
      <w:pPr>
        <w:spacing w:line="215" w:lineRule="auto"/>
        <w:ind w:left="43"/>
        <w:rPr>
          <w:rFonts w:ascii="宋体" w:hAnsi="宋体" w:eastAsia="宋体" w:cs="宋体"/>
          <w:sz w:val="24"/>
          <w:szCs w:val="24"/>
        </w:rPr>
      </w:pPr>
      <w:r>
        <w:rPr>
          <w:rFonts w:ascii="宋体" w:hAnsi="宋体" w:eastAsia="宋体" w:cs="宋体"/>
          <w:spacing w:val="-9"/>
          <w:sz w:val="24"/>
          <w:szCs w:val="24"/>
        </w:rPr>
        <w:t>设计报告的行政许可决定书》（云水许可</w:t>
      </w:r>
      <w:r>
        <w:rPr>
          <w:rFonts w:ascii="Times New Roman" w:hAnsi="Times New Roman" w:eastAsia="Times New Roman" w:cs="Times New Roman"/>
          <w:spacing w:val="-9"/>
          <w:sz w:val="24"/>
          <w:szCs w:val="24"/>
        </w:rPr>
        <w:t>[2019]1</w:t>
      </w:r>
      <w:r>
        <w:rPr>
          <w:rFonts w:ascii="Times New Roman" w:hAnsi="Times New Roman" w:eastAsia="Times New Roman" w:cs="Times New Roman"/>
          <w:spacing w:val="32"/>
          <w:sz w:val="24"/>
          <w:szCs w:val="24"/>
        </w:rPr>
        <w:t xml:space="preserve"> </w:t>
      </w:r>
      <w:r>
        <w:rPr>
          <w:rFonts w:ascii="宋体" w:hAnsi="宋体" w:eastAsia="宋体" w:cs="宋体"/>
          <w:spacing w:val="-9"/>
          <w:sz w:val="24"/>
          <w:szCs w:val="24"/>
        </w:rPr>
        <w:t>号）。</w:t>
      </w:r>
    </w:p>
    <w:p>
      <w:pPr>
        <w:spacing w:before="188" w:line="468" w:lineRule="exact"/>
        <w:ind w:left="515"/>
        <w:rPr>
          <w:rFonts w:ascii="宋体" w:hAnsi="宋体" w:eastAsia="宋体" w:cs="宋体"/>
          <w:sz w:val="24"/>
          <w:szCs w:val="24"/>
        </w:rPr>
      </w:pPr>
      <w:r>
        <w:rPr>
          <w:rFonts w:ascii="Times New Roman" w:hAnsi="Times New Roman" w:eastAsia="Times New Roman" w:cs="Times New Roman"/>
          <w:spacing w:val="-7"/>
          <w:position w:val="17"/>
          <w:sz w:val="24"/>
          <w:szCs w:val="24"/>
        </w:rPr>
        <w:t xml:space="preserve">2019 </w:t>
      </w:r>
      <w:r>
        <w:rPr>
          <w:rFonts w:ascii="宋体" w:hAnsi="宋体" w:eastAsia="宋体" w:cs="宋体"/>
          <w:spacing w:val="-7"/>
          <w:position w:val="17"/>
          <w:sz w:val="24"/>
          <w:szCs w:val="24"/>
        </w:rPr>
        <w:t>年</w:t>
      </w:r>
      <w:r>
        <w:rPr>
          <w:rFonts w:ascii="宋体" w:hAnsi="宋体" w:eastAsia="宋体" w:cs="宋体"/>
          <w:spacing w:val="-50"/>
          <w:position w:val="17"/>
          <w:sz w:val="24"/>
          <w:szCs w:val="24"/>
        </w:rPr>
        <w:t xml:space="preserve"> </w:t>
      </w:r>
      <w:r>
        <w:rPr>
          <w:rFonts w:ascii="Times New Roman" w:hAnsi="Times New Roman" w:eastAsia="Times New Roman" w:cs="Times New Roman"/>
          <w:spacing w:val="-7"/>
          <w:position w:val="17"/>
          <w:sz w:val="24"/>
          <w:szCs w:val="24"/>
        </w:rPr>
        <w:t>9</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7"/>
          <w:position w:val="17"/>
          <w:sz w:val="24"/>
          <w:szCs w:val="24"/>
        </w:rPr>
        <w:t>月，</w:t>
      </w:r>
      <w:r>
        <w:rPr>
          <w:rFonts w:ascii="宋体" w:hAnsi="宋体" w:eastAsia="宋体" w:cs="宋体"/>
          <w:spacing w:val="-40"/>
          <w:position w:val="17"/>
          <w:sz w:val="24"/>
          <w:szCs w:val="24"/>
        </w:rPr>
        <w:t xml:space="preserve"> </w:t>
      </w:r>
      <w:r>
        <w:rPr>
          <w:rFonts w:ascii="宋体" w:hAnsi="宋体" w:eastAsia="宋体" w:cs="宋体"/>
          <w:spacing w:val="-7"/>
          <w:position w:val="17"/>
          <w:sz w:val="24"/>
          <w:szCs w:val="24"/>
        </w:rPr>
        <w:t>项目取得国家林业和草原局《使用</w:t>
      </w:r>
      <w:r>
        <w:rPr>
          <w:rFonts w:ascii="宋体" w:hAnsi="宋体" w:eastAsia="宋体" w:cs="宋体"/>
          <w:spacing w:val="-8"/>
          <w:position w:val="17"/>
          <w:sz w:val="24"/>
          <w:szCs w:val="24"/>
        </w:rPr>
        <w:t>林地审核同意书》（林资许</w:t>
      </w:r>
    </w:p>
    <w:p>
      <w:pPr>
        <w:spacing w:before="1" w:line="215" w:lineRule="auto"/>
        <w:ind w:left="41"/>
        <w:rPr>
          <w:rFonts w:ascii="宋体" w:hAnsi="宋体" w:eastAsia="宋体" w:cs="宋体"/>
          <w:sz w:val="24"/>
          <w:szCs w:val="24"/>
        </w:rPr>
      </w:pPr>
      <w:r>
        <w:rPr>
          <w:rFonts w:ascii="宋体" w:hAnsi="宋体" w:eastAsia="宋体" w:cs="宋体"/>
          <w:spacing w:val="-9"/>
          <w:sz w:val="24"/>
          <w:szCs w:val="24"/>
        </w:rPr>
        <w:t>准</w:t>
      </w:r>
      <w:r>
        <w:rPr>
          <w:rFonts w:ascii="Times New Roman" w:hAnsi="Times New Roman" w:eastAsia="Times New Roman" w:cs="Times New Roman"/>
          <w:spacing w:val="-9"/>
          <w:sz w:val="24"/>
          <w:szCs w:val="24"/>
        </w:rPr>
        <w:t>[2019]523</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号）。</w:t>
      </w:r>
    </w:p>
    <w:p>
      <w:pPr>
        <w:spacing w:before="188" w:line="468" w:lineRule="exact"/>
        <w:ind w:left="515"/>
        <w:rPr>
          <w:rFonts w:ascii="宋体" w:hAnsi="宋体" w:eastAsia="宋体" w:cs="宋体"/>
          <w:sz w:val="24"/>
          <w:szCs w:val="24"/>
        </w:rPr>
      </w:pPr>
      <w:r>
        <w:rPr>
          <w:rFonts w:ascii="Times New Roman" w:hAnsi="Times New Roman" w:eastAsia="Times New Roman" w:cs="Times New Roman"/>
          <w:spacing w:val="-4"/>
          <w:position w:val="17"/>
          <w:sz w:val="24"/>
          <w:szCs w:val="24"/>
        </w:rPr>
        <w:t xml:space="preserve">2019 </w:t>
      </w:r>
      <w:r>
        <w:rPr>
          <w:rFonts w:ascii="宋体" w:hAnsi="宋体" w:eastAsia="宋体" w:cs="宋体"/>
          <w:spacing w:val="-4"/>
          <w:position w:val="17"/>
          <w:sz w:val="24"/>
          <w:szCs w:val="24"/>
        </w:rPr>
        <w:t>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10</w:t>
      </w:r>
      <w:r>
        <w:rPr>
          <w:rFonts w:ascii="Times New Roman" w:hAnsi="Times New Roman" w:eastAsia="Times New Roman" w:cs="Times New Roman"/>
          <w:spacing w:val="16"/>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项目取得云南省林业和草原</w:t>
      </w:r>
      <w:r>
        <w:rPr>
          <w:rFonts w:ascii="宋体" w:hAnsi="宋体" w:eastAsia="宋体" w:cs="宋体"/>
          <w:spacing w:val="-5"/>
          <w:position w:val="17"/>
          <w:sz w:val="24"/>
          <w:szCs w:val="24"/>
        </w:rPr>
        <w:t>局《关于大姚县桂花水库工程临</w:t>
      </w:r>
    </w:p>
    <w:p>
      <w:pPr>
        <w:spacing w:line="215" w:lineRule="auto"/>
        <w:ind w:left="50"/>
        <w:rPr>
          <w:rFonts w:ascii="宋体" w:hAnsi="宋体" w:eastAsia="宋体" w:cs="宋体"/>
          <w:sz w:val="24"/>
          <w:szCs w:val="24"/>
        </w:rPr>
      </w:pPr>
      <w:r>
        <w:rPr>
          <w:rFonts w:ascii="宋体" w:hAnsi="宋体" w:eastAsia="宋体" w:cs="宋体"/>
          <w:spacing w:val="-8"/>
          <w:sz w:val="24"/>
          <w:szCs w:val="24"/>
        </w:rPr>
        <w:t>时占用林地的行政许可决定》（云林审批</w:t>
      </w:r>
      <w:r>
        <w:rPr>
          <w:rFonts w:ascii="Times New Roman" w:hAnsi="Times New Roman" w:eastAsia="Times New Roman" w:cs="Times New Roman"/>
          <w:spacing w:val="-8"/>
          <w:sz w:val="24"/>
          <w:szCs w:val="24"/>
        </w:rPr>
        <w:t>[2019]11</w:t>
      </w:r>
      <w:r>
        <w:rPr>
          <w:rFonts w:ascii="Times New Roman" w:hAnsi="Times New Roman" w:eastAsia="Times New Roman" w:cs="Times New Roman"/>
          <w:spacing w:val="-9"/>
          <w:sz w:val="24"/>
          <w:szCs w:val="24"/>
        </w:rPr>
        <w:t>67</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号）。</w:t>
      </w:r>
    </w:p>
    <w:p>
      <w:pPr>
        <w:spacing w:before="188" w:line="468" w:lineRule="exact"/>
        <w:ind w:left="515"/>
        <w:rPr>
          <w:rFonts w:ascii="宋体" w:hAnsi="宋体" w:eastAsia="宋体" w:cs="宋体"/>
          <w:sz w:val="24"/>
          <w:szCs w:val="24"/>
        </w:rPr>
      </w:pPr>
      <w:r>
        <w:rPr>
          <w:rFonts w:ascii="Times New Roman" w:hAnsi="Times New Roman" w:eastAsia="Times New Roman" w:cs="Times New Roman"/>
          <w:spacing w:val="-4"/>
          <w:position w:val="17"/>
          <w:sz w:val="24"/>
          <w:szCs w:val="24"/>
        </w:rPr>
        <w:t>2022</w:t>
      </w:r>
      <w:r>
        <w:rPr>
          <w:rFonts w:ascii="Times New Roman" w:hAnsi="Times New Roman" w:eastAsia="Times New Roman" w:cs="Times New Roman"/>
          <w:spacing w:val="47"/>
          <w:position w:val="17"/>
          <w:sz w:val="24"/>
          <w:szCs w:val="24"/>
        </w:rPr>
        <w:t xml:space="preserve"> </w:t>
      </w:r>
      <w:r>
        <w:rPr>
          <w:rFonts w:ascii="宋体" w:hAnsi="宋体" w:eastAsia="宋体" w:cs="宋体"/>
          <w:spacing w:val="-4"/>
          <w:position w:val="17"/>
          <w:sz w:val="24"/>
          <w:szCs w:val="24"/>
        </w:rPr>
        <w:t>年</w:t>
      </w:r>
      <w:r>
        <w:rPr>
          <w:rFonts w:ascii="宋体" w:hAnsi="宋体" w:eastAsia="宋体" w:cs="宋体"/>
          <w:spacing w:val="-26"/>
          <w:position w:val="17"/>
          <w:sz w:val="24"/>
          <w:szCs w:val="24"/>
        </w:rPr>
        <w:t xml:space="preserve"> </w:t>
      </w:r>
      <w:r>
        <w:rPr>
          <w:rFonts w:ascii="Times New Roman" w:hAnsi="Times New Roman" w:eastAsia="Times New Roman" w:cs="Times New Roman"/>
          <w:spacing w:val="-4"/>
          <w:position w:val="17"/>
          <w:sz w:val="24"/>
          <w:szCs w:val="24"/>
        </w:rPr>
        <w:t>2</w:t>
      </w:r>
      <w:r>
        <w:rPr>
          <w:rFonts w:ascii="Times New Roman" w:hAnsi="Times New Roman" w:eastAsia="Times New Roman" w:cs="Times New Roman"/>
          <w:spacing w:val="44"/>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29"/>
          <w:position w:val="17"/>
          <w:sz w:val="24"/>
          <w:szCs w:val="24"/>
        </w:rPr>
        <w:t xml:space="preserve"> </w:t>
      </w:r>
      <w:r>
        <w:rPr>
          <w:rFonts w:ascii="宋体" w:hAnsi="宋体" w:eastAsia="宋体" w:cs="宋体"/>
          <w:spacing w:val="-4"/>
          <w:position w:val="17"/>
          <w:sz w:val="24"/>
          <w:szCs w:val="24"/>
        </w:rPr>
        <w:t>项目取得云南省自然资源厅《关于大姚县桂花水库工程建设</w:t>
      </w:r>
    </w:p>
    <w:p>
      <w:pPr>
        <w:spacing w:before="1" w:line="215" w:lineRule="auto"/>
        <w:ind w:left="43"/>
        <w:rPr>
          <w:rFonts w:ascii="宋体" w:hAnsi="宋体" w:eastAsia="宋体" w:cs="宋体"/>
          <w:sz w:val="24"/>
          <w:szCs w:val="24"/>
        </w:rPr>
      </w:pPr>
      <w:r>
        <w:rPr>
          <w:rFonts w:ascii="宋体" w:hAnsi="宋体" w:eastAsia="宋体" w:cs="宋体"/>
          <w:spacing w:val="-7"/>
          <w:sz w:val="24"/>
          <w:szCs w:val="24"/>
        </w:rPr>
        <w:t>项目农用地转用及土地征收的批复》（云自然资复</w:t>
      </w:r>
      <w:r>
        <w:rPr>
          <w:rFonts w:ascii="Times New Roman" w:hAnsi="Times New Roman" w:eastAsia="Times New Roman" w:cs="Times New Roman"/>
          <w:spacing w:val="-7"/>
          <w:sz w:val="24"/>
          <w:szCs w:val="24"/>
        </w:rPr>
        <w:t>[2022]</w:t>
      </w:r>
      <w:r>
        <w:rPr>
          <w:rFonts w:ascii="Times New Roman" w:hAnsi="Times New Roman" w:eastAsia="Times New Roman" w:cs="Times New Roman"/>
          <w:spacing w:val="-8"/>
          <w:sz w:val="24"/>
          <w:szCs w:val="24"/>
        </w:rPr>
        <w:t>30</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号）。</w:t>
      </w:r>
    </w:p>
    <w:p>
      <w:pPr>
        <w:spacing w:before="188" w:line="468" w:lineRule="exact"/>
        <w:ind w:left="515"/>
        <w:rPr>
          <w:rFonts w:ascii="宋体" w:hAnsi="宋体" w:eastAsia="宋体" w:cs="宋体"/>
          <w:sz w:val="24"/>
          <w:szCs w:val="24"/>
        </w:rPr>
      </w:pPr>
      <w:r>
        <w:rPr>
          <w:rFonts w:ascii="Times New Roman" w:hAnsi="Times New Roman" w:eastAsia="Times New Roman" w:cs="Times New Roman"/>
          <w:spacing w:val="-4"/>
          <w:position w:val="17"/>
          <w:sz w:val="24"/>
          <w:szCs w:val="24"/>
        </w:rPr>
        <w:t>2022</w:t>
      </w:r>
      <w:r>
        <w:rPr>
          <w:rFonts w:ascii="Times New Roman" w:hAnsi="Times New Roman" w:eastAsia="Times New Roman" w:cs="Times New Roman"/>
          <w:spacing w:val="47"/>
          <w:position w:val="17"/>
          <w:sz w:val="24"/>
          <w:szCs w:val="24"/>
        </w:rPr>
        <w:t xml:space="preserve"> </w:t>
      </w:r>
      <w:r>
        <w:rPr>
          <w:rFonts w:ascii="宋体" w:hAnsi="宋体" w:eastAsia="宋体" w:cs="宋体"/>
          <w:spacing w:val="-4"/>
          <w:position w:val="17"/>
          <w:sz w:val="24"/>
          <w:szCs w:val="24"/>
        </w:rPr>
        <w:t>年</w:t>
      </w:r>
      <w:r>
        <w:rPr>
          <w:rFonts w:ascii="宋体" w:hAnsi="宋体" w:eastAsia="宋体" w:cs="宋体"/>
          <w:spacing w:val="-26"/>
          <w:position w:val="17"/>
          <w:sz w:val="24"/>
          <w:szCs w:val="24"/>
        </w:rPr>
        <w:t xml:space="preserve"> </w:t>
      </w:r>
      <w:r>
        <w:rPr>
          <w:rFonts w:ascii="Times New Roman" w:hAnsi="Times New Roman" w:eastAsia="Times New Roman" w:cs="Times New Roman"/>
          <w:spacing w:val="-4"/>
          <w:position w:val="17"/>
          <w:sz w:val="24"/>
          <w:szCs w:val="24"/>
        </w:rPr>
        <w:t>2</w:t>
      </w:r>
      <w:r>
        <w:rPr>
          <w:rFonts w:ascii="Times New Roman" w:hAnsi="Times New Roman" w:eastAsia="Times New Roman" w:cs="Times New Roman"/>
          <w:spacing w:val="44"/>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29"/>
          <w:position w:val="17"/>
          <w:sz w:val="24"/>
          <w:szCs w:val="24"/>
        </w:rPr>
        <w:t xml:space="preserve"> </w:t>
      </w:r>
      <w:r>
        <w:rPr>
          <w:rFonts w:ascii="宋体" w:hAnsi="宋体" w:eastAsia="宋体" w:cs="宋体"/>
          <w:spacing w:val="-4"/>
          <w:position w:val="17"/>
          <w:sz w:val="24"/>
          <w:szCs w:val="24"/>
        </w:rPr>
        <w:t>项目取得楚雄州自然资源和规划局《关于大姚县桂花水库工</w:t>
      </w:r>
    </w:p>
    <w:p>
      <w:pPr>
        <w:spacing w:line="215" w:lineRule="auto"/>
        <w:ind w:left="38"/>
        <w:rPr>
          <w:rFonts w:ascii="宋体" w:hAnsi="宋体" w:eastAsia="宋体" w:cs="宋体"/>
          <w:sz w:val="24"/>
          <w:szCs w:val="24"/>
        </w:rPr>
      </w:pPr>
      <w:r>
        <w:rPr>
          <w:rFonts w:ascii="宋体" w:hAnsi="宋体" w:eastAsia="宋体" w:cs="宋体"/>
          <w:spacing w:val="-8"/>
          <w:sz w:val="24"/>
          <w:szCs w:val="24"/>
        </w:rPr>
        <w:t>程划拨用地的批复》（楚自然资审批</w:t>
      </w:r>
      <w:r>
        <w:rPr>
          <w:rFonts w:ascii="Times New Roman" w:hAnsi="Times New Roman" w:eastAsia="Times New Roman" w:cs="Times New Roman"/>
          <w:spacing w:val="-8"/>
          <w:sz w:val="24"/>
          <w:szCs w:val="24"/>
        </w:rPr>
        <w:t>[202</w:t>
      </w:r>
      <w:r>
        <w:rPr>
          <w:rFonts w:ascii="Times New Roman" w:hAnsi="Times New Roman" w:eastAsia="Times New Roman" w:cs="Times New Roman"/>
          <w:spacing w:val="-9"/>
          <w:sz w:val="24"/>
          <w:szCs w:val="24"/>
        </w:rPr>
        <w:t>2]148</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号）。</w:t>
      </w:r>
    </w:p>
    <w:p>
      <w:pPr>
        <w:spacing w:line="316" w:lineRule="auto"/>
        <w:rPr>
          <w:rFonts w:ascii="Arial"/>
          <w:sz w:val="21"/>
        </w:rPr>
      </w:pPr>
    </w:p>
    <w:p>
      <w:pPr>
        <w:pStyle w:val="2"/>
        <w:spacing w:before="89" w:line="225" w:lineRule="auto"/>
        <w:ind w:left="39"/>
        <w:rPr>
          <w:sz w:val="27"/>
          <w:szCs w:val="27"/>
        </w:rPr>
      </w:pPr>
      <w:bookmarkStart w:id="3" w:name="bookmark4"/>
      <w:bookmarkEnd w:id="3"/>
      <w:r>
        <w:rPr>
          <w:spacing w:val="8"/>
          <w:sz w:val="27"/>
          <w:szCs w:val="27"/>
          <w14:textOutline w14:w="5072" w14:cap="flat" w14:cmpd="sng">
            <w14:solidFill>
              <w14:srgbClr w14:val="000000"/>
            </w14:solidFill>
            <w14:prstDash w14:val="solid"/>
            <w14:miter w14:val="0"/>
          </w14:textOutline>
        </w:rPr>
        <w:t>评价工作过程</w:t>
      </w:r>
    </w:p>
    <w:p>
      <w:pPr>
        <w:spacing w:before="285" w:line="468" w:lineRule="exact"/>
        <w:ind w:left="525"/>
        <w:rPr>
          <w:rFonts w:ascii="宋体" w:hAnsi="宋体" w:eastAsia="宋体" w:cs="宋体"/>
          <w:sz w:val="24"/>
          <w:szCs w:val="24"/>
        </w:rPr>
      </w:pPr>
      <w:r>
        <w:rPr>
          <w:rFonts w:ascii="宋体" w:hAnsi="宋体" w:eastAsia="宋体" w:cs="宋体"/>
          <w:spacing w:val="-12"/>
          <w:position w:val="17"/>
          <w:sz w:val="24"/>
          <w:szCs w:val="24"/>
        </w:rPr>
        <w:t>（</w:t>
      </w:r>
      <w:r>
        <w:rPr>
          <w:rFonts w:ascii="Times New Roman" w:hAnsi="Times New Roman" w:eastAsia="Times New Roman" w:cs="Times New Roman"/>
          <w:spacing w:val="-12"/>
          <w:position w:val="17"/>
          <w:sz w:val="24"/>
          <w:szCs w:val="24"/>
        </w:rPr>
        <w:t>1</w:t>
      </w:r>
      <w:r>
        <w:rPr>
          <w:rFonts w:ascii="宋体" w:hAnsi="宋体" w:eastAsia="宋体" w:cs="宋体"/>
          <w:spacing w:val="-12"/>
          <w:position w:val="17"/>
          <w:sz w:val="24"/>
          <w:szCs w:val="24"/>
        </w:rPr>
        <w:t>）</w:t>
      </w:r>
      <w:r>
        <w:rPr>
          <w:rFonts w:ascii="Times New Roman" w:hAnsi="Times New Roman" w:eastAsia="Times New Roman" w:cs="Times New Roman"/>
          <w:spacing w:val="-12"/>
          <w:position w:val="17"/>
          <w:sz w:val="24"/>
          <w:szCs w:val="24"/>
        </w:rPr>
        <w:t xml:space="preserve">2022 </w:t>
      </w:r>
      <w:r>
        <w:rPr>
          <w:rFonts w:ascii="宋体" w:hAnsi="宋体" w:eastAsia="宋体" w:cs="宋体"/>
          <w:spacing w:val="-12"/>
          <w:position w:val="17"/>
          <w:sz w:val="24"/>
          <w:szCs w:val="24"/>
        </w:rPr>
        <w:t>年</w:t>
      </w:r>
      <w:r>
        <w:rPr>
          <w:rFonts w:ascii="宋体" w:hAnsi="宋体" w:eastAsia="宋体" w:cs="宋体"/>
          <w:spacing w:val="-31"/>
          <w:position w:val="17"/>
          <w:sz w:val="24"/>
          <w:szCs w:val="24"/>
        </w:rPr>
        <w:t xml:space="preserve"> </w:t>
      </w:r>
      <w:r>
        <w:rPr>
          <w:rFonts w:ascii="Times New Roman" w:hAnsi="Times New Roman" w:eastAsia="Times New Roman" w:cs="Times New Roman"/>
          <w:spacing w:val="-12"/>
          <w:position w:val="17"/>
          <w:sz w:val="24"/>
          <w:szCs w:val="24"/>
        </w:rPr>
        <w:t>8</w:t>
      </w:r>
      <w:r>
        <w:rPr>
          <w:rFonts w:ascii="Times New Roman" w:hAnsi="Times New Roman" w:eastAsia="Times New Roman" w:cs="Times New Roman"/>
          <w:spacing w:val="15"/>
          <w:position w:val="17"/>
          <w:sz w:val="24"/>
          <w:szCs w:val="24"/>
        </w:rPr>
        <w:t xml:space="preserve"> </w:t>
      </w:r>
      <w:r>
        <w:rPr>
          <w:rFonts w:ascii="宋体" w:hAnsi="宋体" w:eastAsia="宋体" w:cs="宋体"/>
          <w:spacing w:val="-12"/>
          <w:position w:val="17"/>
          <w:sz w:val="24"/>
          <w:szCs w:val="24"/>
        </w:rPr>
        <w:t>月接到委托后，</w:t>
      </w:r>
      <w:r>
        <w:rPr>
          <w:rFonts w:ascii="宋体" w:hAnsi="宋体" w:eastAsia="宋体" w:cs="宋体"/>
          <w:spacing w:val="50"/>
          <w:position w:val="17"/>
          <w:sz w:val="24"/>
          <w:szCs w:val="24"/>
        </w:rPr>
        <w:t xml:space="preserve"> </w:t>
      </w:r>
      <w:r>
        <w:rPr>
          <w:rFonts w:ascii="宋体" w:hAnsi="宋体" w:eastAsia="宋体" w:cs="宋体"/>
          <w:spacing w:val="-12"/>
          <w:position w:val="17"/>
          <w:sz w:val="24"/>
          <w:szCs w:val="24"/>
        </w:rPr>
        <w:t>立即成立项目组，</w:t>
      </w:r>
      <w:r>
        <w:rPr>
          <w:rFonts w:ascii="宋体" w:hAnsi="宋体" w:eastAsia="宋体" w:cs="宋体"/>
          <w:spacing w:val="49"/>
          <w:position w:val="17"/>
          <w:sz w:val="24"/>
          <w:szCs w:val="24"/>
        </w:rPr>
        <w:t xml:space="preserve"> </w:t>
      </w:r>
      <w:r>
        <w:rPr>
          <w:rFonts w:ascii="宋体" w:hAnsi="宋体" w:eastAsia="宋体" w:cs="宋体"/>
          <w:spacing w:val="-12"/>
          <w:position w:val="17"/>
          <w:sz w:val="24"/>
          <w:szCs w:val="24"/>
        </w:rPr>
        <w:t>对建设单位提供的各种资</w:t>
      </w:r>
    </w:p>
    <w:p>
      <w:pPr>
        <w:spacing w:before="1" w:line="219" w:lineRule="auto"/>
        <w:ind w:left="39"/>
        <w:rPr>
          <w:rFonts w:ascii="宋体" w:hAnsi="宋体" w:eastAsia="宋体" w:cs="宋体"/>
          <w:sz w:val="24"/>
          <w:szCs w:val="24"/>
        </w:rPr>
      </w:pPr>
      <w:r>
        <w:rPr>
          <w:rFonts w:ascii="宋体" w:hAnsi="宋体" w:eastAsia="宋体" w:cs="宋体"/>
          <w:spacing w:val="-12"/>
          <w:sz w:val="24"/>
          <w:szCs w:val="24"/>
        </w:rPr>
        <w:t>料进行梳理、查阅相关资料、分析工程内容， 于</w:t>
      </w:r>
      <w:r>
        <w:rPr>
          <w:rFonts w:ascii="宋体" w:hAnsi="宋体" w:eastAsia="宋体" w:cs="宋体"/>
          <w:spacing w:val="-52"/>
          <w:sz w:val="24"/>
          <w:szCs w:val="24"/>
        </w:rPr>
        <w:t xml:space="preserve"> </w:t>
      </w:r>
      <w:r>
        <w:rPr>
          <w:rFonts w:ascii="Times New Roman" w:hAnsi="Times New Roman" w:eastAsia="Times New Roman" w:cs="Times New Roman"/>
          <w:spacing w:val="-12"/>
          <w:sz w:val="24"/>
          <w:szCs w:val="24"/>
        </w:rPr>
        <w:t xml:space="preserve">2022 </w:t>
      </w:r>
      <w:r>
        <w:rPr>
          <w:rFonts w:ascii="宋体" w:hAnsi="宋体" w:eastAsia="宋体" w:cs="宋体"/>
          <w:spacing w:val="-12"/>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12"/>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12"/>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 xml:space="preserve">1  </w:t>
      </w:r>
      <w:r>
        <w:rPr>
          <w:rFonts w:ascii="宋体" w:hAnsi="宋体" w:eastAsia="宋体" w:cs="宋体"/>
          <w:spacing w:val="-12"/>
          <w:sz w:val="24"/>
          <w:szCs w:val="24"/>
        </w:rPr>
        <w:t>日进行实地踏勘。</w:t>
      </w:r>
    </w:p>
    <w:p>
      <w:pPr>
        <w:spacing w:line="219" w:lineRule="auto"/>
        <w:rPr>
          <w:rFonts w:ascii="宋体" w:hAnsi="宋体" w:eastAsia="宋体" w:cs="宋体"/>
          <w:sz w:val="24"/>
          <w:szCs w:val="24"/>
        </w:rPr>
        <w:sectPr>
          <w:footerReference r:id="rId13" w:type="default"/>
          <w:pgSz w:w="11907" w:h="16839"/>
          <w:pgMar w:top="1156" w:right="1688" w:bottom="1154" w:left="1770" w:header="881" w:footer="990" w:gutter="0"/>
        </w:sectPr>
      </w:pPr>
    </w:p>
    <w:p>
      <w:pPr>
        <w:spacing w:line="316" w:lineRule="auto"/>
        <w:rPr>
          <w:rFonts w:ascii="Arial"/>
          <w:sz w:val="21"/>
        </w:rPr>
      </w:pPr>
    </w:p>
    <w:p>
      <w:pPr>
        <w:spacing w:before="78" w:line="340" w:lineRule="auto"/>
        <w:ind w:left="31" w:right="70" w:firstLine="494"/>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2022 </w:t>
      </w:r>
      <w:r>
        <w:rPr>
          <w:rFonts w:ascii="宋体" w:hAnsi="宋体" w:eastAsia="宋体" w:cs="宋体"/>
          <w:spacing w:val="-5"/>
          <w:sz w:val="24"/>
          <w:szCs w:val="24"/>
        </w:rPr>
        <w:t>年</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8"/>
          <w:sz w:val="24"/>
          <w:szCs w:val="24"/>
        </w:rPr>
        <w:t xml:space="preserve"> </w:t>
      </w:r>
      <w:r>
        <w:rPr>
          <w:rFonts w:ascii="宋体" w:hAnsi="宋体" w:eastAsia="宋体" w:cs="宋体"/>
          <w:spacing w:val="-5"/>
          <w:sz w:val="24"/>
          <w:szCs w:val="24"/>
        </w:rPr>
        <w:t>月</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日</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8"/>
          <w:sz w:val="24"/>
          <w:szCs w:val="24"/>
        </w:rPr>
        <w:t xml:space="preserve"> </w:t>
      </w:r>
      <w:r>
        <w:rPr>
          <w:rFonts w:ascii="宋体" w:hAnsi="宋体" w:eastAsia="宋体" w:cs="宋体"/>
          <w:spacing w:val="-5"/>
          <w:sz w:val="24"/>
          <w:szCs w:val="24"/>
        </w:rPr>
        <w:t>月</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 xml:space="preserve">17  </w:t>
      </w:r>
      <w:r>
        <w:rPr>
          <w:rFonts w:ascii="宋体" w:hAnsi="宋体" w:eastAsia="宋体" w:cs="宋体"/>
          <w:spacing w:val="-5"/>
          <w:sz w:val="24"/>
          <w:szCs w:val="24"/>
        </w:rPr>
        <w:t>日，建</w:t>
      </w:r>
      <w:r>
        <w:rPr>
          <w:rFonts w:ascii="宋体" w:hAnsi="宋体" w:eastAsia="宋体" w:cs="宋体"/>
          <w:spacing w:val="-6"/>
          <w:sz w:val="24"/>
          <w:szCs w:val="24"/>
        </w:rPr>
        <w:t>设单位按《环境影响评价公众参与暂</w:t>
      </w:r>
      <w:r>
        <w:rPr>
          <w:rFonts w:ascii="宋体" w:hAnsi="宋体" w:eastAsia="宋体" w:cs="宋体"/>
          <w:sz w:val="24"/>
          <w:szCs w:val="24"/>
        </w:rPr>
        <w:t xml:space="preserve"> </w:t>
      </w:r>
      <w:r>
        <w:rPr>
          <w:rFonts w:ascii="宋体" w:hAnsi="宋体" w:eastAsia="宋体" w:cs="宋体"/>
          <w:spacing w:val="-11"/>
          <w:sz w:val="24"/>
          <w:szCs w:val="24"/>
        </w:rPr>
        <w:t>行   办   法</w:t>
      </w:r>
      <w:r>
        <w:rPr>
          <w:rFonts w:ascii="宋体" w:hAnsi="宋体" w:eastAsia="宋体" w:cs="宋体"/>
          <w:spacing w:val="5"/>
          <w:sz w:val="24"/>
          <w:szCs w:val="24"/>
        </w:rPr>
        <w:t xml:space="preserve">   </w:t>
      </w:r>
      <w:r>
        <w:rPr>
          <w:rFonts w:ascii="宋体" w:hAnsi="宋体" w:eastAsia="宋体" w:cs="宋体"/>
          <w:spacing w:val="-11"/>
          <w:sz w:val="24"/>
          <w:szCs w:val="24"/>
        </w:rPr>
        <w:t>》</w:t>
      </w:r>
      <w:r>
        <w:rPr>
          <w:rFonts w:ascii="宋体" w:hAnsi="宋体" w:eastAsia="宋体" w:cs="宋体"/>
          <w:spacing w:val="5"/>
          <w:sz w:val="24"/>
          <w:szCs w:val="24"/>
        </w:rPr>
        <w:t xml:space="preserve">  </w:t>
      </w:r>
      <w:r>
        <w:rPr>
          <w:rFonts w:ascii="宋体" w:hAnsi="宋体" w:eastAsia="宋体" w:cs="宋体"/>
          <w:spacing w:val="-11"/>
          <w:sz w:val="24"/>
          <w:szCs w:val="24"/>
        </w:rPr>
        <w:t>，</w:t>
      </w:r>
      <w:r>
        <w:rPr>
          <w:rFonts w:ascii="宋体" w:hAnsi="宋体" w:eastAsia="宋体" w:cs="宋体"/>
          <w:spacing w:val="56"/>
          <w:sz w:val="24"/>
          <w:szCs w:val="24"/>
        </w:rPr>
        <w:t xml:space="preserve">  </w:t>
      </w:r>
      <w:r>
        <w:rPr>
          <w:rFonts w:ascii="宋体" w:hAnsi="宋体" w:eastAsia="宋体" w:cs="宋体"/>
          <w:spacing w:val="-11"/>
          <w:sz w:val="24"/>
          <w:szCs w:val="24"/>
        </w:rPr>
        <w:t>在</w:t>
      </w:r>
      <w:r>
        <w:rPr>
          <w:rFonts w:ascii="宋体" w:hAnsi="宋体" w:eastAsia="宋体" w:cs="宋体"/>
          <w:spacing w:val="59"/>
          <w:sz w:val="24"/>
          <w:szCs w:val="24"/>
        </w:rPr>
        <w:t xml:space="preserve">  </w:t>
      </w:r>
      <w:r>
        <w:rPr>
          <w:rFonts w:ascii="宋体" w:hAnsi="宋体" w:eastAsia="宋体" w:cs="宋体"/>
          <w:spacing w:val="-11"/>
          <w:sz w:val="24"/>
          <w:szCs w:val="24"/>
        </w:rPr>
        <w:t>大</w:t>
      </w:r>
      <w:r>
        <w:rPr>
          <w:rFonts w:ascii="宋体" w:hAnsi="宋体" w:eastAsia="宋体" w:cs="宋体"/>
          <w:spacing w:val="57"/>
          <w:sz w:val="24"/>
          <w:szCs w:val="24"/>
        </w:rPr>
        <w:t xml:space="preserve">  </w:t>
      </w:r>
      <w:r>
        <w:rPr>
          <w:rFonts w:ascii="宋体" w:hAnsi="宋体" w:eastAsia="宋体" w:cs="宋体"/>
          <w:spacing w:val="-11"/>
          <w:sz w:val="24"/>
          <w:szCs w:val="24"/>
        </w:rPr>
        <w:t>姚</w:t>
      </w:r>
      <w:r>
        <w:rPr>
          <w:rFonts w:ascii="宋体" w:hAnsi="宋体" w:eastAsia="宋体" w:cs="宋体"/>
          <w:spacing w:val="57"/>
          <w:sz w:val="24"/>
          <w:szCs w:val="24"/>
        </w:rPr>
        <w:t xml:space="preserve">  </w:t>
      </w:r>
      <w:r>
        <w:rPr>
          <w:rFonts w:ascii="宋体" w:hAnsi="宋体" w:eastAsia="宋体" w:cs="宋体"/>
          <w:spacing w:val="-11"/>
          <w:sz w:val="24"/>
          <w:szCs w:val="24"/>
        </w:rPr>
        <w:t>县</w:t>
      </w:r>
      <w:r>
        <w:rPr>
          <w:rFonts w:ascii="宋体" w:hAnsi="宋体" w:eastAsia="宋体" w:cs="宋体"/>
          <w:spacing w:val="58"/>
          <w:sz w:val="24"/>
          <w:szCs w:val="24"/>
        </w:rPr>
        <w:t xml:space="preserve">  </w:t>
      </w:r>
      <w:r>
        <w:rPr>
          <w:rFonts w:ascii="宋体" w:hAnsi="宋体" w:eastAsia="宋体" w:cs="宋体"/>
          <w:spacing w:val="-11"/>
          <w:sz w:val="24"/>
          <w:szCs w:val="24"/>
        </w:rPr>
        <w:t>人</w:t>
      </w:r>
      <w:r>
        <w:rPr>
          <w:rFonts w:ascii="宋体" w:hAnsi="宋体" w:eastAsia="宋体" w:cs="宋体"/>
          <w:spacing w:val="5"/>
          <w:sz w:val="24"/>
          <w:szCs w:val="24"/>
        </w:rPr>
        <w:t xml:space="preserve">   </w:t>
      </w:r>
      <w:r>
        <w:rPr>
          <w:rFonts w:ascii="宋体" w:hAnsi="宋体" w:eastAsia="宋体" w:cs="宋体"/>
          <w:spacing w:val="-11"/>
          <w:sz w:val="24"/>
          <w:szCs w:val="24"/>
        </w:rPr>
        <w:t>民</w:t>
      </w:r>
      <w:r>
        <w:rPr>
          <w:rFonts w:ascii="宋体" w:hAnsi="宋体" w:eastAsia="宋体" w:cs="宋体"/>
          <w:spacing w:val="57"/>
          <w:sz w:val="24"/>
          <w:szCs w:val="24"/>
        </w:rPr>
        <w:t xml:space="preserve">  </w:t>
      </w:r>
      <w:r>
        <w:rPr>
          <w:rFonts w:ascii="宋体" w:hAnsi="宋体" w:eastAsia="宋体" w:cs="宋体"/>
          <w:spacing w:val="-11"/>
          <w:sz w:val="24"/>
          <w:szCs w:val="24"/>
        </w:rPr>
        <w:t>政</w:t>
      </w:r>
      <w:r>
        <w:rPr>
          <w:rFonts w:ascii="宋体" w:hAnsi="宋体" w:eastAsia="宋体" w:cs="宋体"/>
          <w:spacing w:val="57"/>
          <w:sz w:val="24"/>
          <w:szCs w:val="24"/>
        </w:rPr>
        <w:t xml:space="preserve">  </w:t>
      </w:r>
      <w:r>
        <w:rPr>
          <w:rFonts w:ascii="宋体" w:hAnsi="宋体" w:eastAsia="宋体" w:cs="宋体"/>
          <w:spacing w:val="-11"/>
          <w:sz w:val="24"/>
          <w:szCs w:val="24"/>
        </w:rPr>
        <w:t>府</w:t>
      </w:r>
      <w:r>
        <w:rPr>
          <w:rFonts w:ascii="宋体" w:hAnsi="宋体" w:eastAsia="宋体" w:cs="宋体"/>
          <w:spacing w:val="4"/>
          <w:sz w:val="24"/>
          <w:szCs w:val="24"/>
        </w:rPr>
        <w:t xml:space="preserve">   </w:t>
      </w:r>
      <w:r>
        <w:rPr>
          <w:rFonts w:ascii="宋体" w:hAnsi="宋体" w:eastAsia="宋体" w:cs="宋体"/>
          <w:spacing w:val="-11"/>
          <w:sz w:val="24"/>
          <w:szCs w:val="24"/>
        </w:rPr>
        <w:t>网</w:t>
      </w:r>
      <w:r>
        <w:rPr>
          <w:rFonts w:ascii="宋体" w:hAnsi="宋体" w:eastAsia="宋体" w:cs="宋体"/>
          <w:spacing w:val="59"/>
          <w:sz w:val="24"/>
          <w:szCs w:val="24"/>
        </w:rPr>
        <w:t xml:space="preserve">  </w:t>
      </w:r>
      <w:r>
        <w:rPr>
          <w:rFonts w:ascii="宋体" w:hAnsi="宋体" w:eastAsia="宋体" w:cs="宋体"/>
          <w:spacing w:val="-11"/>
          <w:sz w:val="24"/>
          <w:szCs w:val="24"/>
        </w:rPr>
        <w:t>站</w:t>
      </w:r>
      <w:r>
        <w:rPr>
          <w:rFonts w:ascii="宋体" w:hAnsi="宋体" w:eastAsia="宋体" w:cs="宋体"/>
          <w:sz w:val="24"/>
          <w:szCs w:val="24"/>
        </w:rPr>
        <w:t xml:space="preserve"> </w:t>
      </w:r>
      <w:r>
        <w:fldChar w:fldCharType="begin"/>
      </w:r>
      <w:r>
        <w:instrText xml:space="preserve"> HYPERLINK "http://www.dayao.gov.cn/info/egovinfo/1007/overt_centent/dyx016-/2022-0804001.htm" </w:instrText>
      </w:r>
      <w:r>
        <w:fldChar w:fldCharType="separate"/>
      </w:r>
      <w:r>
        <w:rPr>
          <w:rFonts w:ascii="Times New Roman" w:hAnsi="Times New Roman" w:eastAsia="Times New Roman" w:cs="Times New Roman"/>
          <w:spacing w:val="-1"/>
          <w:sz w:val="24"/>
          <w:szCs w:val="24"/>
          <w:u w:val="single" w:color="auto"/>
        </w:rPr>
        <w:t>http://www.dayao.gov.cn/info/egovinfo/1007/overt_centent/dyx016-/2022-</w:t>
      </w:r>
      <w:r>
        <w:rPr>
          <w:rFonts w:ascii="Times New Roman" w:hAnsi="Times New Roman" w:eastAsia="Times New Roman" w:cs="Times New Roman"/>
          <w:spacing w:val="-1"/>
          <w:sz w:val="24"/>
          <w:szCs w:val="24"/>
          <w:u w:val="single" w:color="auto"/>
        </w:rPr>
        <w:fldChar w:fldCharType="end"/>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pacing w:val="-2"/>
          <w:sz w:val="24"/>
          <w:szCs w:val="24"/>
        </w:rPr>
        <w:t xml:space="preserve">      </w:t>
      </w:r>
      <w:r>
        <w:fldChar w:fldCharType="begin"/>
      </w:r>
      <w:r>
        <w:instrText xml:space="preserve"> HYPERLINK "http://www.dayao.gov.cn/info/egovinfo/1007/overt_centent/dyx016-/2022-0804001.htm" </w:instrText>
      </w:r>
      <w:r>
        <w:fldChar w:fldCharType="separate"/>
      </w:r>
      <w:r>
        <w:rPr>
          <w:rFonts w:ascii="Times New Roman" w:hAnsi="Times New Roman" w:eastAsia="Times New Roman" w:cs="Times New Roman"/>
          <w:spacing w:val="-3"/>
          <w:sz w:val="24"/>
          <w:szCs w:val="24"/>
          <w:u w:val="single" w:color="auto"/>
        </w:rPr>
        <w:t>0804001.htm</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宋体" w:hAnsi="宋体" w:eastAsia="宋体" w:cs="宋体"/>
          <w:spacing w:val="-3"/>
          <w:sz w:val="24"/>
          <w:szCs w:val="24"/>
        </w:rPr>
        <w:fldChar w:fldCharType="end"/>
      </w:r>
      <w:r>
        <w:rPr>
          <w:rFonts w:ascii="宋体" w:hAnsi="宋体" w:eastAsia="宋体" w:cs="宋体"/>
          <w:spacing w:val="-3"/>
          <w:sz w:val="24"/>
          <w:szCs w:val="24"/>
        </w:rPr>
        <w:t>大姚县桂花镇马茨村委会、</w:t>
      </w:r>
      <w:r>
        <w:rPr>
          <w:rFonts w:ascii="宋体" w:hAnsi="宋体" w:eastAsia="宋体" w:cs="宋体"/>
          <w:spacing w:val="50"/>
          <w:sz w:val="24"/>
          <w:szCs w:val="24"/>
        </w:rPr>
        <w:t xml:space="preserve"> </w:t>
      </w:r>
      <w:r>
        <w:rPr>
          <w:rFonts w:ascii="宋体" w:hAnsi="宋体" w:eastAsia="宋体" w:cs="宋体"/>
          <w:spacing w:val="-3"/>
          <w:sz w:val="24"/>
          <w:szCs w:val="24"/>
        </w:rPr>
        <w:t>大姚县桂花镇</w:t>
      </w:r>
      <w:r>
        <w:rPr>
          <w:rFonts w:ascii="宋体" w:hAnsi="宋体" w:eastAsia="宋体" w:cs="宋体"/>
          <w:spacing w:val="-4"/>
          <w:sz w:val="24"/>
          <w:szCs w:val="24"/>
        </w:rPr>
        <w:t>皮左黑村委会进行第一</w:t>
      </w:r>
      <w:r>
        <w:rPr>
          <w:rFonts w:ascii="宋体" w:hAnsi="宋体" w:eastAsia="宋体" w:cs="宋体"/>
          <w:sz w:val="24"/>
          <w:szCs w:val="24"/>
        </w:rPr>
        <w:t xml:space="preserve"> </w:t>
      </w:r>
      <w:r>
        <w:rPr>
          <w:rFonts w:ascii="宋体" w:hAnsi="宋体" w:eastAsia="宋体" w:cs="宋体"/>
          <w:spacing w:val="-7"/>
          <w:sz w:val="24"/>
          <w:szCs w:val="24"/>
        </w:rPr>
        <w:t>次公示。</w:t>
      </w:r>
    </w:p>
    <w:p>
      <w:pPr>
        <w:spacing w:before="182" w:line="468" w:lineRule="exact"/>
        <w:ind w:right="69"/>
        <w:jc w:val="right"/>
        <w:rPr>
          <w:rFonts w:ascii="宋体" w:hAnsi="宋体" w:eastAsia="宋体" w:cs="宋体"/>
          <w:sz w:val="24"/>
          <w:szCs w:val="24"/>
        </w:rPr>
      </w:pPr>
      <w:r>
        <w:rPr>
          <w:rFonts w:ascii="宋体" w:hAnsi="宋体" w:eastAsia="宋体" w:cs="宋体"/>
          <w:spacing w:val="-9"/>
          <w:position w:val="16"/>
          <w:sz w:val="24"/>
          <w:szCs w:val="24"/>
        </w:rPr>
        <w:t>（</w:t>
      </w:r>
      <w:r>
        <w:rPr>
          <w:rFonts w:ascii="Times New Roman" w:hAnsi="Times New Roman" w:eastAsia="Times New Roman" w:cs="Times New Roman"/>
          <w:spacing w:val="-9"/>
          <w:position w:val="16"/>
          <w:sz w:val="24"/>
          <w:szCs w:val="24"/>
        </w:rPr>
        <w:t>3</w:t>
      </w:r>
      <w:r>
        <w:rPr>
          <w:rFonts w:ascii="宋体" w:hAnsi="宋体" w:eastAsia="宋体" w:cs="宋体"/>
          <w:spacing w:val="-9"/>
          <w:position w:val="16"/>
          <w:sz w:val="24"/>
          <w:szCs w:val="24"/>
        </w:rPr>
        <w:t>）</w:t>
      </w:r>
      <w:r>
        <w:rPr>
          <w:rFonts w:ascii="Times New Roman" w:hAnsi="Times New Roman" w:eastAsia="Times New Roman" w:cs="Times New Roman"/>
          <w:spacing w:val="-9"/>
          <w:position w:val="16"/>
          <w:sz w:val="24"/>
          <w:szCs w:val="24"/>
        </w:rPr>
        <w:t xml:space="preserve">2023 </w:t>
      </w:r>
      <w:r>
        <w:rPr>
          <w:rFonts w:ascii="宋体" w:hAnsi="宋体" w:eastAsia="宋体" w:cs="宋体"/>
          <w:spacing w:val="-9"/>
          <w:position w:val="16"/>
          <w:sz w:val="24"/>
          <w:szCs w:val="24"/>
        </w:rPr>
        <w:t>年</w:t>
      </w:r>
      <w:r>
        <w:rPr>
          <w:rFonts w:ascii="宋体" w:hAnsi="宋体" w:eastAsia="宋体" w:cs="宋体"/>
          <w:spacing w:val="-56"/>
          <w:position w:val="16"/>
          <w:sz w:val="24"/>
          <w:szCs w:val="24"/>
        </w:rPr>
        <w:t xml:space="preserve"> </w:t>
      </w:r>
      <w:r>
        <w:rPr>
          <w:rFonts w:ascii="Times New Roman" w:hAnsi="Times New Roman" w:eastAsia="Times New Roman" w:cs="Times New Roman"/>
          <w:spacing w:val="-9"/>
          <w:position w:val="16"/>
          <w:sz w:val="24"/>
          <w:szCs w:val="24"/>
        </w:rPr>
        <w:t>4</w:t>
      </w:r>
      <w:r>
        <w:rPr>
          <w:rFonts w:ascii="Times New Roman" w:hAnsi="Times New Roman" w:eastAsia="Times New Roman" w:cs="Times New Roman"/>
          <w:spacing w:val="15"/>
          <w:w w:val="101"/>
          <w:position w:val="16"/>
          <w:sz w:val="24"/>
          <w:szCs w:val="24"/>
        </w:rPr>
        <w:t xml:space="preserve"> </w:t>
      </w:r>
      <w:r>
        <w:rPr>
          <w:rFonts w:ascii="宋体" w:hAnsi="宋体" w:eastAsia="宋体" w:cs="宋体"/>
          <w:spacing w:val="-9"/>
          <w:position w:val="16"/>
          <w:sz w:val="24"/>
          <w:szCs w:val="24"/>
        </w:rPr>
        <w:t>月</w:t>
      </w:r>
      <w:r>
        <w:rPr>
          <w:rFonts w:ascii="宋体" w:hAnsi="宋体" w:eastAsia="宋体" w:cs="宋体"/>
          <w:spacing w:val="-52"/>
          <w:position w:val="16"/>
          <w:sz w:val="24"/>
          <w:szCs w:val="24"/>
        </w:rPr>
        <w:t xml:space="preserve"> </w:t>
      </w:r>
      <w:r>
        <w:rPr>
          <w:rFonts w:ascii="Times New Roman" w:hAnsi="Times New Roman" w:eastAsia="Times New Roman" w:cs="Times New Roman"/>
          <w:spacing w:val="-9"/>
          <w:position w:val="16"/>
          <w:sz w:val="24"/>
          <w:szCs w:val="24"/>
        </w:rPr>
        <w:t xml:space="preserve">01  </w:t>
      </w:r>
      <w:r>
        <w:rPr>
          <w:rFonts w:ascii="宋体" w:hAnsi="宋体" w:eastAsia="宋体" w:cs="宋体"/>
          <w:spacing w:val="-9"/>
          <w:position w:val="16"/>
          <w:sz w:val="24"/>
          <w:szCs w:val="24"/>
        </w:rPr>
        <w:t>日</w:t>
      </w:r>
      <w:r>
        <w:rPr>
          <w:rFonts w:ascii="Times New Roman" w:hAnsi="Times New Roman" w:eastAsia="Times New Roman" w:cs="Times New Roman"/>
          <w:spacing w:val="-9"/>
          <w:position w:val="16"/>
          <w:sz w:val="24"/>
          <w:szCs w:val="24"/>
        </w:rPr>
        <w:t>~4</w:t>
      </w:r>
      <w:r>
        <w:rPr>
          <w:rFonts w:ascii="Times New Roman" w:hAnsi="Times New Roman" w:eastAsia="Times New Roman" w:cs="Times New Roman"/>
          <w:spacing w:val="16"/>
          <w:position w:val="16"/>
          <w:sz w:val="24"/>
          <w:szCs w:val="24"/>
        </w:rPr>
        <w:t xml:space="preserve"> </w:t>
      </w:r>
      <w:r>
        <w:rPr>
          <w:rFonts w:ascii="宋体" w:hAnsi="宋体" w:eastAsia="宋体" w:cs="宋体"/>
          <w:spacing w:val="-9"/>
          <w:position w:val="16"/>
          <w:sz w:val="24"/>
          <w:szCs w:val="24"/>
        </w:rPr>
        <w:t>月</w:t>
      </w:r>
      <w:r>
        <w:rPr>
          <w:rFonts w:ascii="宋体" w:hAnsi="宋体" w:eastAsia="宋体" w:cs="宋体"/>
          <w:spacing w:val="-32"/>
          <w:position w:val="16"/>
          <w:sz w:val="24"/>
          <w:szCs w:val="24"/>
        </w:rPr>
        <w:t xml:space="preserve"> </w:t>
      </w:r>
      <w:r>
        <w:rPr>
          <w:rFonts w:ascii="Times New Roman" w:hAnsi="Times New Roman" w:eastAsia="Times New Roman" w:cs="Times New Roman"/>
          <w:spacing w:val="-9"/>
          <w:position w:val="16"/>
          <w:sz w:val="24"/>
          <w:szCs w:val="24"/>
        </w:rPr>
        <w:t xml:space="preserve">13  </w:t>
      </w:r>
      <w:r>
        <w:rPr>
          <w:rFonts w:ascii="宋体" w:hAnsi="宋体" w:eastAsia="宋体" w:cs="宋体"/>
          <w:spacing w:val="-9"/>
          <w:position w:val="16"/>
          <w:sz w:val="24"/>
          <w:szCs w:val="24"/>
        </w:rPr>
        <w:t>日，委托中</w:t>
      </w:r>
      <w:r>
        <w:rPr>
          <w:rFonts w:ascii="宋体" w:hAnsi="宋体" w:eastAsia="宋体" w:cs="宋体"/>
          <w:spacing w:val="-10"/>
          <w:position w:val="16"/>
          <w:sz w:val="24"/>
          <w:szCs w:val="24"/>
        </w:rPr>
        <w:t>博源检测（云南）</w:t>
      </w:r>
      <w:r>
        <w:rPr>
          <w:rFonts w:ascii="宋体" w:hAnsi="宋体" w:eastAsia="宋体" w:cs="宋体"/>
          <w:spacing w:val="-41"/>
          <w:position w:val="16"/>
          <w:sz w:val="24"/>
          <w:szCs w:val="24"/>
        </w:rPr>
        <w:t xml:space="preserve"> </w:t>
      </w:r>
      <w:r>
        <w:rPr>
          <w:rFonts w:ascii="宋体" w:hAnsi="宋体" w:eastAsia="宋体" w:cs="宋体"/>
          <w:spacing w:val="-10"/>
          <w:position w:val="16"/>
          <w:sz w:val="24"/>
          <w:szCs w:val="24"/>
        </w:rPr>
        <w:t>有限公司对项</w:t>
      </w:r>
    </w:p>
    <w:p>
      <w:pPr>
        <w:spacing w:line="219" w:lineRule="auto"/>
        <w:ind w:left="85"/>
        <w:rPr>
          <w:rFonts w:ascii="宋体" w:hAnsi="宋体" w:eastAsia="宋体" w:cs="宋体"/>
          <w:sz w:val="24"/>
          <w:szCs w:val="24"/>
        </w:rPr>
      </w:pPr>
      <w:r>
        <w:rPr>
          <w:rFonts w:ascii="宋体" w:hAnsi="宋体" w:eastAsia="宋体" w:cs="宋体"/>
          <w:spacing w:val="-8"/>
          <w:sz w:val="24"/>
          <w:szCs w:val="24"/>
        </w:rPr>
        <w:t>目区域地表水、地下水、环境空气、</w:t>
      </w:r>
      <w:r>
        <w:rPr>
          <w:rFonts w:ascii="宋体" w:hAnsi="宋体" w:eastAsia="宋体" w:cs="宋体"/>
          <w:spacing w:val="57"/>
          <w:sz w:val="24"/>
          <w:szCs w:val="24"/>
        </w:rPr>
        <w:t xml:space="preserve"> </w:t>
      </w:r>
      <w:r>
        <w:rPr>
          <w:rFonts w:ascii="宋体" w:hAnsi="宋体" w:eastAsia="宋体" w:cs="宋体"/>
          <w:spacing w:val="-8"/>
          <w:sz w:val="24"/>
          <w:szCs w:val="24"/>
        </w:rPr>
        <w:t>声环境、土壤环境质量现状进行监测。</w:t>
      </w:r>
    </w:p>
    <w:p>
      <w:pPr>
        <w:spacing w:before="182" w:line="360" w:lineRule="auto"/>
        <w:ind w:left="39" w:right="68" w:firstLine="486"/>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4</w:t>
      </w:r>
      <w:r>
        <w:rPr>
          <w:rFonts w:ascii="宋体" w:hAnsi="宋体" w:eastAsia="宋体" w:cs="宋体"/>
          <w:spacing w:val="-11"/>
          <w:sz w:val="24"/>
          <w:szCs w:val="24"/>
        </w:rPr>
        <w:t>）</w:t>
      </w:r>
      <w:r>
        <w:rPr>
          <w:rFonts w:ascii="Times New Roman" w:hAnsi="Times New Roman" w:eastAsia="Times New Roman" w:cs="Times New Roman"/>
          <w:spacing w:val="-11"/>
          <w:sz w:val="24"/>
          <w:szCs w:val="24"/>
        </w:rPr>
        <w:t xml:space="preserve">2023 </w:t>
      </w:r>
      <w:r>
        <w:rPr>
          <w:rFonts w:ascii="宋体" w:hAnsi="宋体" w:eastAsia="宋体" w:cs="宋体"/>
          <w:spacing w:val="-11"/>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11"/>
          <w:sz w:val="24"/>
          <w:szCs w:val="24"/>
        </w:rPr>
        <w:t>4</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 xml:space="preserve">20  </w:t>
      </w:r>
      <w:r>
        <w:rPr>
          <w:rFonts w:ascii="宋体" w:hAnsi="宋体" w:eastAsia="宋体" w:cs="宋体"/>
          <w:spacing w:val="-11"/>
          <w:sz w:val="24"/>
          <w:szCs w:val="24"/>
        </w:rPr>
        <w:t>日～</w:t>
      </w:r>
      <w:r>
        <w:rPr>
          <w:rFonts w:ascii="Times New Roman" w:hAnsi="Times New Roman" w:eastAsia="Times New Roman" w:cs="Times New Roman"/>
          <w:spacing w:val="-11"/>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 xml:space="preserve">6  </w:t>
      </w:r>
      <w:r>
        <w:rPr>
          <w:rFonts w:ascii="宋体" w:hAnsi="宋体" w:eastAsia="宋体" w:cs="宋体"/>
          <w:spacing w:val="-11"/>
          <w:sz w:val="24"/>
          <w:szCs w:val="24"/>
        </w:rPr>
        <w:t>日，报告书初稿完成后，</w:t>
      </w:r>
      <w:r>
        <w:rPr>
          <w:rFonts w:ascii="宋体" w:hAnsi="宋体" w:eastAsia="宋体" w:cs="宋体"/>
          <w:spacing w:val="40"/>
          <w:sz w:val="24"/>
          <w:szCs w:val="24"/>
        </w:rPr>
        <w:t xml:space="preserve"> </w:t>
      </w:r>
      <w:r>
        <w:rPr>
          <w:rFonts w:ascii="宋体" w:hAnsi="宋体" w:eastAsia="宋体" w:cs="宋体"/>
          <w:spacing w:val="-11"/>
          <w:sz w:val="24"/>
          <w:szCs w:val="24"/>
        </w:rPr>
        <w:t>建设单位按《环境</w:t>
      </w:r>
      <w:r>
        <w:rPr>
          <w:rFonts w:ascii="宋体" w:hAnsi="宋体" w:eastAsia="宋体" w:cs="宋体"/>
          <w:sz w:val="24"/>
          <w:szCs w:val="24"/>
        </w:rPr>
        <w:t xml:space="preserve"> </w:t>
      </w:r>
      <w:r>
        <w:rPr>
          <w:rFonts w:ascii="宋体" w:hAnsi="宋体" w:eastAsia="宋体" w:cs="宋体"/>
          <w:spacing w:val="-3"/>
          <w:sz w:val="24"/>
          <w:szCs w:val="24"/>
        </w:rPr>
        <w:t>影响评价公众参与办法》大姚县人民政府网站、楚雄日报、当地村委会进行征求</w:t>
      </w:r>
    </w:p>
    <w:p>
      <w:pPr>
        <w:spacing w:line="219" w:lineRule="auto"/>
        <w:ind w:left="45"/>
        <w:rPr>
          <w:rFonts w:ascii="宋体" w:hAnsi="宋体" w:eastAsia="宋体" w:cs="宋体"/>
          <w:sz w:val="24"/>
          <w:szCs w:val="24"/>
        </w:rPr>
      </w:pPr>
      <w:r>
        <w:rPr>
          <w:rFonts w:ascii="宋体" w:hAnsi="宋体" w:eastAsia="宋体" w:cs="宋体"/>
          <w:spacing w:val="-3"/>
          <w:sz w:val="24"/>
          <w:szCs w:val="24"/>
        </w:rPr>
        <w:t>意见稿公示。</w:t>
      </w:r>
    </w:p>
    <w:p>
      <w:pPr>
        <w:spacing w:before="183" w:line="218"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）将公众参与结论纳入环评报告中，完成环境影</w:t>
      </w:r>
      <w:r>
        <w:rPr>
          <w:rFonts w:ascii="宋体" w:hAnsi="宋体" w:eastAsia="宋体" w:cs="宋体"/>
          <w:spacing w:val="-2"/>
          <w:sz w:val="24"/>
          <w:szCs w:val="24"/>
        </w:rPr>
        <w:t>响报告书。</w:t>
      </w:r>
    </w:p>
    <w:p>
      <w:pPr>
        <w:spacing w:line="313" w:lineRule="auto"/>
        <w:rPr>
          <w:rFonts w:ascii="Arial"/>
          <w:sz w:val="21"/>
        </w:rPr>
      </w:pPr>
    </w:p>
    <w:p>
      <w:pPr>
        <w:pStyle w:val="2"/>
        <w:spacing w:before="88" w:line="225" w:lineRule="auto"/>
        <w:ind w:left="40"/>
        <w:rPr>
          <w:sz w:val="27"/>
          <w:szCs w:val="27"/>
        </w:rPr>
      </w:pPr>
      <w:bookmarkStart w:id="4" w:name="bookmark5"/>
      <w:bookmarkEnd w:id="4"/>
      <w:r>
        <w:rPr>
          <w:spacing w:val="8"/>
          <w:sz w:val="27"/>
          <w:szCs w:val="27"/>
          <w14:textOutline w14:w="5072" w14:cap="flat" w14:cmpd="sng">
            <w14:solidFill>
              <w14:srgbClr w14:val="000000"/>
            </w14:solidFill>
            <w14:prstDash w14:val="solid"/>
            <w14:miter w14:val="0"/>
          </w14:textOutline>
        </w:rPr>
        <w:t>建设项目特点</w:t>
      </w:r>
    </w:p>
    <w:p>
      <w:pPr>
        <w:spacing w:before="208" w:line="359" w:lineRule="auto"/>
        <w:ind w:left="40" w:right="67" w:firstLine="481"/>
        <w:jc w:val="both"/>
        <w:rPr>
          <w:rFonts w:ascii="宋体" w:hAnsi="宋体" w:eastAsia="宋体" w:cs="宋体"/>
          <w:sz w:val="24"/>
          <w:szCs w:val="24"/>
        </w:rPr>
      </w:pPr>
      <w:r>
        <w:rPr>
          <w:rFonts w:ascii="宋体" w:hAnsi="宋体" w:eastAsia="宋体" w:cs="宋体"/>
          <w:spacing w:val="-3"/>
          <w:sz w:val="24"/>
          <w:szCs w:val="24"/>
        </w:rPr>
        <w:t>大姚县桂花水库工程位于金沙江一级支流万马河上游支流</w:t>
      </w:r>
      <w:r>
        <w:rPr>
          <w:rFonts w:ascii="宋体" w:hAnsi="宋体" w:eastAsia="宋体" w:cs="宋体"/>
          <w:spacing w:val="-4"/>
          <w:sz w:val="24"/>
          <w:szCs w:val="24"/>
        </w:rPr>
        <w:t>桂花河上。水库坝</w:t>
      </w:r>
      <w:r>
        <w:rPr>
          <w:rFonts w:ascii="宋体" w:hAnsi="宋体" w:eastAsia="宋体" w:cs="宋体"/>
          <w:sz w:val="24"/>
          <w:szCs w:val="24"/>
        </w:rPr>
        <w:t xml:space="preserve"> </w:t>
      </w:r>
      <w:r>
        <w:rPr>
          <w:rFonts w:ascii="宋体" w:hAnsi="宋体" w:eastAsia="宋体" w:cs="宋体"/>
          <w:spacing w:val="-10"/>
          <w:sz w:val="24"/>
          <w:szCs w:val="24"/>
        </w:rPr>
        <w:t xml:space="preserve">址位于东经 </w:t>
      </w:r>
      <w:r>
        <w:rPr>
          <w:rFonts w:ascii="Times New Roman" w:hAnsi="Times New Roman" w:eastAsia="Times New Roman" w:cs="Times New Roman"/>
          <w:spacing w:val="-10"/>
          <w:sz w:val="24"/>
          <w:szCs w:val="24"/>
        </w:rPr>
        <w:t>101</w:t>
      </w:r>
      <w:r>
        <w:rPr>
          <w:rFonts w:ascii="Times New Roman" w:hAnsi="Times New Roman" w:eastAsia="Times New Roman" w:cs="Times New Roman"/>
          <w:spacing w:val="-29"/>
          <w:sz w:val="24"/>
          <w:szCs w:val="24"/>
        </w:rPr>
        <w:t xml:space="preserve"> </w:t>
      </w:r>
      <w:r>
        <w:rPr>
          <w:rFonts w:ascii="宋体" w:hAnsi="宋体" w:eastAsia="宋体" w:cs="宋体"/>
          <w:spacing w:val="-10"/>
          <w:sz w:val="24"/>
          <w:szCs w:val="24"/>
        </w:rPr>
        <w:t>°</w:t>
      </w:r>
      <w:r>
        <w:rPr>
          <w:rFonts w:ascii="宋体" w:hAnsi="宋体" w:eastAsia="宋体" w:cs="宋体"/>
          <w:spacing w:val="-92"/>
          <w:sz w:val="24"/>
          <w:szCs w:val="24"/>
        </w:rPr>
        <w:t xml:space="preserve"> </w:t>
      </w:r>
      <w:r>
        <w:rPr>
          <w:rFonts w:ascii="Times New Roman" w:hAnsi="Times New Roman" w:eastAsia="Times New Roman" w:cs="Times New Roman"/>
          <w:spacing w:val="-10"/>
          <w:sz w:val="24"/>
          <w:szCs w:val="24"/>
        </w:rPr>
        <w:t>16</w:t>
      </w:r>
      <w:r>
        <w:rPr>
          <w:rFonts w:ascii="Times New Roman" w:hAnsi="Times New Roman" w:eastAsia="Times New Roman" w:cs="Times New Roman"/>
          <w:spacing w:val="-17"/>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2.98</w:t>
      </w:r>
      <w:r>
        <w:rPr>
          <w:rFonts w:ascii="Times New Roman" w:hAnsi="Times New Roman" w:eastAsia="Times New Roman" w:cs="Times New Roman"/>
          <w:spacing w:val="-16"/>
          <w:sz w:val="24"/>
          <w:szCs w:val="24"/>
        </w:rPr>
        <w:t xml:space="preserve"> </w:t>
      </w:r>
      <w:r>
        <w:rPr>
          <w:rFonts w:ascii="宋体" w:hAnsi="宋体" w:eastAsia="宋体" w:cs="宋体"/>
          <w:spacing w:val="-10"/>
          <w:sz w:val="24"/>
          <w:szCs w:val="24"/>
        </w:rPr>
        <w:t>″</w:t>
      </w:r>
      <w:r>
        <w:rPr>
          <w:rFonts w:ascii="宋体" w:hAnsi="宋体" w:eastAsia="宋体" w:cs="宋体"/>
          <w:spacing w:val="-94"/>
          <w:sz w:val="24"/>
          <w:szCs w:val="24"/>
        </w:rPr>
        <w:t xml:space="preserve"> </w:t>
      </w:r>
      <w:r>
        <w:rPr>
          <w:rFonts w:ascii="宋体" w:hAnsi="宋体" w:eastAsia="宋体" w:cs="宋体"/>
          <w:spacing w:val="-10"/>
          <w:sz w:val="24"/>
          <w:szCs w:val="24"/>
        </w:rPr>
        <w:t xml:space="preserve">，北纬 </w:t>
      </w:r>
      <w:r>
        <w:rPr>
          <w:rFonts w:ascii="Times New Roman" w:hAnsi="Times New Roman" w:eastAsia="Times New Roman" w:cs="Times New Roman"/>
          <w:spacing w:val="-10"/>
          <w:sz w:val="24"/>
          <w:szCs w:val="24"/>
        </w:rPr>
        <w:t>26</w:t>
      </w:r>
      <w:r>
        <w:rPr>
          <w:rFonts w:ascii="Times New Roman" w:hAnsi="Times New Roman" w:eastAsia="Times New Roman" w:cs="Times New Roman"/>
          <w:spacing w:val="-29"/>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pacing w:val="-10"/>
          <w:sz w:val="24"/>
          <w:szCs w:val="24"/>
        </w:rPr>
        <w:t>′</w:t>
      </w:r>
      <w:r>
        <w:rPr>
          <w:rFonts w:ascii="宋体" w:hAnsi="宋体" w:eastAsia="宋体" w:cs="宋体"/>
          <w:spacing w:val="-91"/>
          <w:sz w:val="24"/>
          <w:szCs w:val="24"/>
        </w:rPr>
        <w:t xml:space="preserve"> </w:t>
      </w:r>
      <w:r>
        <w:rPr>
          <w:rFonts w:ascii="Times New Roman" w:hAnsi="Times New Roman" w:eastAsia="Times New Roman" w:cs="Times New Roman"/>
          <w:spacing w:val="-10"/>
          <w:sz w:val="24"/>
          <w:szCs w:val="24"/>
        </w:rPr>
        <w:t>11.27</w:t>
      </w:r>
      <w:r>
        <w:rPr>
          <w:rFonts w:ascii="Times New Roman" w:hAnsi="Times New Roman" w:eastAsia="Times New Roman" w:cs="Times New Roman"/>
          <w:spacing w:val="-16"/>
          <w:sz w:val="24"/>
          <w:szCs w:val="24"/>
        </w:rPr>
        <w:t xml:space="preserve"> </w:t>
      </w:r>
      <w:r>
        <w:rPr>
          <w:rFonts w:ascii="宋体" w:hAnsi="宋体" w:eastAsia="宋体" w:cs="宋体"/>
          <w:spacing w:val="-10"/>
          <w:sz w:val="24"/>
          <w:szCs w:val="24"/>
        </w:rPr>
        <w:t>″</w:t>
      </w:r>
      <w:r>
        <w:rPr>
          <w:rFonts w:ascii="宋体" w:hAnsi="宋体" w:eastAsia="宋体" w:cs="宋体"/>
          <w:spacing w:val="-87"/>
          <w:sz w:val="24"/>
          <w:szCs w:val="24"/>
        </w:rPr>
        <w:t xml:space="preserve"> </w:t>
      </w:r>
      <w:r>
        <w:rPr>
          <w:rFonts w:ascii="宋体" w:hAnsi="宋体" w:eastAsia="宋体" w:cs="宋体"/>
          <w:spacing w:val="-10"/>
          <w:sz w:val="24"/>
          <w:szCs w:val="24"/>
        </w:rPr>
        <w:t>。大姚县桂花水</w:t>
      </w:r>
      <w:r>
        <w:rPr>
          <w:rFonts w:ascii="宋体" w:hAnsi="宋体" w:eastAsia="宋体" w:cs="宋体"/>
          <w:spacing w:val="-11"/>
          <w:sz w:val="24"/>
          <w:szCs w:val="24"/>
        </w:rPr>
        <w:t>库工程规模</w:t>
      </w:r>
      <w:r>
        <w:rPr>
          <w:rFonts w:ascii="宋体" w:hAnsi="宋体" w:eastAsia="宋体" w:cs="宋体"/>
          <w:sz w:val="24"/>
          <w:szCs w:val="24"/>
        </w:rPr>
        <w:t xml:space="preserve"> </w:t>
      </w:r>
      <w:r>
        <w:rPr>
          <w:rFonts w:ascii="宋体" w:hAnsi="宋体" w:eastAsia="宋体" w:cs="宋体"/>
          <w:spacing w:val="-3"/>
          <w:sz w:val="24"/>
          <w:szCs w:val="24"/>
        </w:rPr>
        <w:t xml:space="preserve">为中型，工程等别为Ⅲ等，为完全年调节水库。水库总库容 </w:t>
      </w:r>
      <w:r>
        <w:rPr>
          <w:rFonts w:ascii="Times New Roman" w:hAnsi="Times New Roman" w:eastAsia="Times New Roman" w:cs="Times New Roman"/>
          <w:spacing w:val="-3"/>
          <w:sz w:val="24"/>
          <w:szCs w:val="24"/>
        </w:rPr>
        <w:t>1192.7</w:t>
      </w:r>
      <w:r>
        <w:rPr>
          <w:rFonts w:ascii="Times New Roman" w:hAnsi="Times New Roman" w:eastAsia="Times New Roman" w:cs="Times New Roman"/>
          <w:spacing w:val="18"/>
          <w:w w:val="101"/>
          <w:sz w:val="24"/>
          <w:szCs w:val="24"/>
        </w:rPr>
        <w:t xml:space="preserve"> </w:t>
      </w:r>
      <w:r>
        <w:rPr>
          <w:rFonts w:ascii="宋体" w:hAnsi="宋体" w:eastAsia="宋体" w:cs="宋体"/>
          <w:spacing w:val="-3"/>
          <w:sz w:val="24"/>
          <w:szCs w:val="24"/>
        </w:rPr>
        <w:t>万</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，兴利</w:t>
      </w:r>
      <w:r>
        <w:rPr>
          <w:rFonts w:ascii="宋体" w:hAnsi="宋体" w:eastAsia="宋体" w:cs="宋体"/>
          <w:sz w:val="24"/>
          <w:szCs w:val="24"/>
        </w:rPr>
        <w:t xml:space="preserve"> </w:t>
      </w:r>
      <w:r>
        <w:rPr>
          <w:rFonts w:ascii="宋体" w:hAnsi="宋体" w:eastAsia="宋体" w:cs="宋体"/>
          <w:spacing w:val="-4"/>
          <w:sz w:val="24"/>
          <w:szCs w:val="24"/>
        </w:rPr>
        <w:t>库容</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914.5</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万</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，正常蓄水位</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2094.2m</w:t>
      </w:r>
      <w:r>
        <w:rPr>
          <w:rFonts w:ascii="宋体" w:hAnsi="宋体" w:eastAsia="宋体" w:cs="宋体"/>
          <w:spacing w:val="-4"/>
          <w:sz w:val="24"/>
          <w:szCs w:val="24"/>
        </w:rPr>
        <w:t xml:space="preserve">，水库年供水量为 </w:t>
      </w:r>
      <w:r>
        <w:rPr>
          <w:rFonts w:ascii="Times New Roman" w:hAnsi="Times New Roman" w:eastAsia="Times New Roman" w:cs="Times New Roman"/>
          <w:spacing w:val="-4"/>
          <w:sz w:val="24"/>
          <w:szCs w:val="24"/>
        </w:rPr>
        <w:t>1362.9</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万</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4"/>
          <w:szCs w:val="24"/>
        </w:rPr>
        <w:t>。工程建</w:t>
      </w:r>
      <w:r>
        <w:rPr>
          <w:rFonts w:ascii="宋体" w:hAnsi="宋体" w:eastAsia="宋体" w:cs="宋体"/>
          <w:sz w:val="24"/>
          <w:szCs w:val="24"/>
        </w:rPr>
        <w:t xml:space="preserve"> </w:t>
      </w:r>
      <w:r>
        <w:rPr>
          <w:rFonts w:ascii="宋体" w:hAnsi="宋体" w:eastAsia="宋体" w:cs="宋体"/>
          <w:spacing w:val="-3"/>
          <w:sz w:val="24"/>
          <w:szCs w:val="24"/>
        </w:rPr>
        <w:t>设任务是城镇和集镇生活供水、农村人畜生活供水、农业灌溉、工业供水，水库</w:t>
      </w:r>
    </w:p>
    <w:p>
      <w:pPr>
        <w:spacing w:before="1" w:line="219" w:lineRule="auto"/>
        <w:ind w:left="42"/>
        <w:rPr>
          <w:rFonts w:ascii="宋体" w:hAnsi="宋体" w:eastAsia="宋体" w:cs="宋体"/>
          <w:sz w:val="24"/>
          <w:szCs w:val="24"/>
        </w:rPr>
      </w:pPr>
      <w:r>
        <w:rPr>
          <w:rFonts w:ascii="宋体" w:hAnsi="宋体" w:eastAsia="宋体" w:cs="宋体"/>
          <w:spacing w:val="-1"/>
          <w:sz w:val="24"/>
          <w:szCs w:val="24"/>
        </w:rPr>
        <w:t>建成后与现有水利工程联合调度。</w:t>
      </w:r>
    </w:p>
    <w:p>
      <w:pPr>
        <w:spacing w:before="182" w:line="359" w:lineRule="auto"/>
        <w:ind w:left="39" w:firstLine="482"/>
        <w:jc w:val="both"/>
        <w:rPr>
          <w:rFonts w:ascii="宋体" w:hAnsi="宋体" w:eastAsia="宋体" w:cs="宋体"/>
          <w:sz w:val="24"/>
          <w:szCs w:val="24"/>
        </w:rPr>
      </w:pPr>
      <w:r>
        <w:rPr>
          <w:rFonts w:ascii="宋体" w:hAnsi="宋体" w:eastAsia="宋体" w:cs="宋体"/>
          <w:spacing w:val="-3"/>
          <w:sz w:val="24"/>
          <w:szCs w:val="24"/>
        </w:rPr>
        <w:t>大姚县桂花水库工程由引水工程、枢纽工程、引洪工程和</w:t>
      </w:r>
      <w:r>
        <w:rPr>
          <w:rFonts w:ascii="宋体" w:hAnsi="宋体" w:eastAsia="宋体" w:cs="宋体"/>
          <w:spacing w:val="-4"/>
          <w:sz w:val="24"/>
          <w:szCs w:val="24"/>
        </w:rPr>
        <w:t>输水工程组成。枢</w:t>
      </w:r>
      <w:r>
        <w:rPr>
          <w:rFonts w:ascii="宋体" w:hAnsi="宋体" w:eastAsia="宋体" w:cs="宋体"/>
          <w:sz w:val="24"/>
          <w:szCs w:val="24"/>
        </w:rPr>
        <w:t xml:space="preserve"> </w:t>
      </w:r>
      <w:r>
        <w:rPr>
          <w:rFonts w:ascii="宋体" w:hAnsi="宋体" w:eastAsia="宋体" w:cs="宋体"/>
          <w:spacing w:val="-10"/>
          <w:sz w:val="24"/>
          <w:szCs w:val="24"/>
        </w:rPr>
        <w:t>纽工程由大坝、溢洪道、导流输水放空隧洞组成，</w:t>
      </w:r>
      <w:r>
        <w:rPr>
          <w:rFonts w:ascii="宋体" w:hAnsi="宋体" w:eastAsia="宋体" w:cs="宋体"/>
          <w:spacing w:val="-36"/>
          <w:sz w:val="24"/>
          <w:szCs w:val="24"/>
        </w:rPr>
        <w:t xml:space="preserve"> </w:t>
      </w:r>
      <w:r>
        <w:rPr>
          <w:rFonts w:ascii="宋体" w:hAnsi="宋体" w:eastAsia="宋体" w:cs="宋体"/>
          <w:spacing w:val="-10"/>
          <w:sz w:val="24"/>
          <w:szCs w:val="24"/>
        </w:rPr>
        <w:t>大坝为粘土心墙风化料坝，</w:t>
      </w:r>
      <w:r>
        <w:rPr>
          <w:rFonts w:ascii="宋体" w:hAnsi="宋体" w:eastAsia="宋体" w:cs="宋体"/>
          <w:spacing w:val="41"/>
          <w:sz w:val="24"/>
          <w:szCs w:val="24"/>
        </w:rPr>
        <w:t xml:space="preserve"> </w:t>
      </w:r>
      <w:r>
        <w:rPr>
          <w:rFonts w:ascii="宋体" w:hAnsi="宋体" w:eastAsia="宋体" w:cs="宋体"/>
          <w:spacing w:val="-10"/>
          <w:sz w:val="24"/>
          <w:szCs w:val="24"/>
        </w:rPr>
        <w:t>最</w:t>
      </w:r>
      <w:r>
        <w:rPr>
          <w:rFonts w:ascii="宋体" w:hAnsi="宋体" w:eastAsia="宋体" w:cs="宋体"/>
          <w:sz w:val="24"/>
          <w:szCs w:val="24"/>
        </w:rPr>
        <w:t xml:space="preserve"> </w:t>
      </w:r>
      <w:r>
        <w:rPr>
          <w:rFonts w:ascii="宋体" w:hAnsi="宋体" w:eastAsia="宋体" w:cs="宋体"/>
          <w:spacing w:val="-2"/>
          <w:sz w:val="24"/>
          <w:szCs w:val="24"/>
        </w:rPr>
        <w:t>大坝高</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93.1m</w:t>
      </w:r>
      <w:r>
        <w:rPr>
          <w:rFonts w:ascii="宋体" w:hAnsi="宋体" w:eastAsia="宋体" w:cs="宋体"/>
          <w:spacing w:val="-2"/>
          <w:sz w:val="24"/>
          <w:szCs w:val="24"/>
        </w:rPr>
        <w:t>；引水工程由取水坝、引水渠道（</w:t>
      </w:r>
      <w:r>
        <w:rPr>
          <w:rFonts w:ascii="Times New Roman" w:hAnsi="Times New Roman" w:eastAsia="Times New Roman" w:cs="Times New Roman"/>
          <w:spacing w:val="-2"/>
          <w:sz w:val="24"/>
          <w:szCs w:val="24"/>
        </w:rPr>
        <w:t>4.6km</w:t>
      </w:r>
      <w:r>
        <w:rPr>
          <w:rFonts w:ascii="宋体" w:hAnsi="宋体" w:eastAsia="宋体" w:cs="宋体"/>
          <w:spacing w:val="-2"/>
          <w:sz w:val="24"/>
          <w:szCs w:val="24"/>
        </w:rPr>
        <w:t>）和引洪隧洞（</w:t>
      </w:r>
      <w:r>
        <w:rPr>
          <w:rFonts w:ascii="Times New Roman" w:hAnsi="Times New Roman" w:eastAsia="Times New Roman" w:cs="Times New Roman"/>
          <w:spacing w:val="-2"/>
          <w:sz w:val="24"/>
          <w:szCs w:val="24"/>
        </w:rPr>
        <w:t>0.2km</w:t>
      </w:r>
      <w:r>
        <w:rPr>
          <w:rFonts w:ascii="宋体" w:hAnsi="宋体" w:eastAsia="宋体" w:cs="宋体"/>
          <w:spacing w:val="-2"/>
          <w:sz w:val="24"/>
          <w:szCs w:val="24"/>
        </w:rPr>
        <w:t>）组</w:t>
      </w:r>
      <w:r>
        <w:rPr>
          <w:rFonts w:ascii="宋体" w:hAnsi="宋体" w:eastAsia="宋体" w:cs="宋体"/>
          <w:sz w:val="24"/>
          <w:szCs w:val="24"/>
        </w:rPr>
        <w:t xml:space="preserve"> </w:t>
      </w:r>
      <w:r>
        <w:rPr>
          <w:rFonts w:ascii="宋体" w:hAnsi="宋体" w:eastAsia="宋体" w:cs="宋体"/>
          <w:spacing w:val="-6"/>
          <w:sz w:val="24"/>
          <w:szCs w:val="24"/>
        </w:rPr>
        <w:t>成；引洪工程由</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个取水坝、</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条引洪沟（</w:t>
      </w:r>
      <w:r>
        <w:rPr>
          <w:rFonts w:ascii="Times New Roman" w:hAnsi="Times New Roman" w:eastAsia="Times New Roman" w:cs="Times New Roman"/>
          <w:spacing w:val="-6"/>
          <w:sz w:val="24"/>
          <w:szCs w:val="24"/>
        </w:rPr>
        <w:t>1.215</w:t>
      </w:r>
      <w:r>
        <w:rPr>
          <w:rFonts w:ascii="Times New Roman" w:hAnsi="Times New Roman" w:eastAsia="Times New Roman" w:cs="Times New Roman"/>
          <w:spacing w:val="-7"/>
          <w:sz w:val="24"/>
          <w:szCs w:val="24"/>
        </w:rPr>
        <w:t>km</w:t>
      </w:r>
      <w:r>
        <w:rPr>
          <w:rFonts w:ascii="宋体" w:hAnsi="宋体" w:eastAsia="宋体" w:cs="宋体"/>
          <w:spacing w:val="-7"/>
          <w:sz w:val="24"/>
          <w:szCs w:val="24"/>
        </w:rPr>
        <w:t>）组成，</w:t>
      </w:r>
      <w:r>
        <w:rPr>
          <w:rFonts w:ascii="宋体" w:hAnsi="宋体" w:eastAsia="宋体" w:cs="宋体"/>
          <w:spacing w:val="-35"/>
          <w:sz w:val="24"/>
          <w:szCs w:val="24"/>
        </w:rPr>
        <w:t xml:space="preserve"> </w:t>
      </w:r>
      <w:r>
        <w:rPr>
          <w:rFonts w:ascii="宋体" w:hAnsi="宋体" w:eastAsia="宋体" w:cs="宋体"/>
          <w:spacing w:val="-7"/>
          <w:sz w:val="24"/>
          <w:szCs w:val="24"/>
        </w:rPr>
        <w:t>将汛期洪水引入输水</w:t>
      </w:r>
      <w:r>
        <w:rPr>
          <w:rFonts w:ascii="宋体" w:hAnsi="宋体" w:eastAsia="宋体" w:cs="宋体"/>
          <w:sz w:val="24"/>
          <w:szCs w:val="24"/>
        </w:rPr>
        <w:t xml:space="preserve"> </w:t>
      </w:r>
      <w:r>
        <w:rPr>
          <w:rFonts w:ascii="宋体" w:hAnsi="宋体" w:eastAsia="宋体" w:cs="宋体"/>
          <w:spacing w:val="-1"/>
          <w:sz w:val="24"/>
          <w:szCs w:val="24"/>
        </w:rPr>
        <w:t>工程，输水至碧么水库、大罗古水库调蓄；输水工程连接桂花水库和碧么水库，</w:t>
      </w:r>
      <w:r>
        <w:rPr>
          <w:rFonts w:ascii="宋体" w:hAnsi="宋体" w:eastAsia="宋体" w:cs="宋体"/>
          <w:sz w:val="24"/>
          <w:szCs w:val="24"/>
        </w:rPr>
        <w:t xml:space="preserve"> </w:t>
      </w:r>
      <w:r>
        <w:rPr>
          <w:rFonts w:ascii="宋体" w:hAnsi="宋体" w:eastAsia="宋体" w:cs="宋体"/>
          <w:spacing w:val="-5"/>
          <w:sz w:val="24"/>
          <w:szCs w:val="24"/>
        </w:rPr>
        <w:t>全长</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26.944km</w:t>
      </w:r>
      <w:r>
        <w:rPr>
          <w:rFonts w:ascii="宋体" w:hAnsi="宋体" w:eastAsia="宋体" w:cs="宋体"/>
          <w:spacing w:val="-5"/>
          <w:sz w:val="24"/>
          <w:szCs w:val="24"/>
        </w:rPr>
        <w:t xml:space="preserve">，其中管道长 </w:t>
      </w:r>
      <w:r>
        <w:rPr>
          <w:rFonts w:ascii="Times New Roman" w:hAnsi="Times New Roman" w:eastAsia="Times New Roman" w:cs="Times New Roman"/>
          <w:spacing w:val="-5"/>
          <w:sz w:val="24"/>
          <w:szCs w:val="24"/>
        </w:rPr>
        <w:t>1.435km</w:t>
      </w:r>
      <w:r>
        <w:rPr>
          <w:rFonts w:ascii="宋体" w:hAnsi="宋体" w:eastAsia="宋体" w:cs="宋体"/>
          <w:spacing w:val="-5"/>
          <w:sz w:val="24"/>
          <w:szCs w:val="24"/>
        </w:rPr>
        <w:t xml:space="preserve">，渠道长 </w:t>
      </w:r>
      <w:r>
        <w:rPr>
          <w:rFonts w:ascii="Times New Roman" w:hAnsi="Times New Roman" w:eastAsia="Times New Roman" w:cs="Times New Roman"/>
          <w:spacing w:val="-6"/>
          <w:sz w:val="24"/>
          <w:szCs w:val="24"/>
        </w:rPr>
        <w:t>8.975km</w:t>
      </w:r>
      <w:r>
        <w:rPr>
          <w:rFonts w:ascii="宋体" w:hAnsi="宋体" w:eastAsia="宋体" w:cs="宋体"/>
          <w:spacing w:val="-6"/>
          <w:sz w:val="24"/>
          <w:szCs w:val="24"/>
        </w:rPr>
        <w:t>（暗渠</w:t>
      </w:r>
      <w:r>
        <w:rPr>
          <w:rFonts w:ascii="宋体" w:hAnsi="宋体" w:eastAsia="宋体" w:cs="宋体"/>
          <w:spacing w:val="-17"/>
          <w:sz w:val="24"/>
          <w:szCs w:val="24"/>
        </w:rPr>
        <w:t>），</w:t>
      </w:r>
      <w:r>
        <w:rPr>
          <w:rFonts w:ascii="宋体" w:hAnsi="宋体" w:eastAsia="宋体" w:cs="宋体"/>
          <w:spacing w:val="-6"/>
          <w:sz w:val="24"/>
          <w:szCs w:val="24"/>
        </w:rPr>
        <w:t xml:space="preserve">隧洞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24"/>
          <w:w w:val="101"/>
          <w:sz w:val="24"/>
          <w:szCs w:val="24"/>
        </w:rPr>
        <w:t xml:space="preserve"> </w:t>
      </w:r>
      <w:r>
        <w:rPr>
          <w:rFonts w:ascii="宋体" w:hAnsi="宋体" w:eastAsia="宋体" w:cs="宋体"/>
          <w:spacing w:val="-6"/>
          <w:sz w:val="24"/>
          <w:szCs w:val="24"/>
        </w:rPr>
        <w:t>条总长</w:t>
      </w:r>
    </w:p>
    <w:p>
      <w:pPr>
        <w:spacing w:before="1" w:line="219" w:lineRule="auto"/>
        <w:ind w:left="58"/>
        <w:rPr>
          <w:rFonts w:ascii="宋体" w:hAnsi="宋体" w:eastAsia="宋体" w:cs="宋体"/>
          <w:sz w:val="24"/>
          <w:szCs w:val="24"/>
        </w:rPr>
      </w:pPr>
      <w:r>
        <w:rPr>
          <w:rFonts w:ascii="Times New Roman" w:hAnsi="Times New Roman" w:eastAsia="Times New Roman" w:cs="Times New Roman"/>
          <w:spacing w:val="-3"/>
          <w:sz w:val="24"/>
          <w:szCs w:val="24"/>
        </w:rPr>
        <w:t>15.084km</w:t>
      </w:r>
      <w:r>
        <w:rPr>
          <w:rFonts w:ascii="宋体" w:hAnsi="宋体" w:eastAsia="宋体" w:cs="宋体"/>
          <w:spacing w:val="-3"/>
          <w:sz w:val="24"/>
          <w:szCs w:val="24"/>
        </w:rPr>
        <w:t>，倒虹吸</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 xml:space="preserve">8 </w:t>
      </w:r>
      <w:r>
        <w:rPr>
          <w:rFonts w:ascii="宋体" w:hAnsi="宋体" w:eastAsia="宋体" w:cs="宋体"/>
          <w:spacing w:val="-3"/>
          <w:sz w:val="24"/>
          <w:szCs w:val="24"/>
        </w:rPr>
        <w:t>座总长</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1.382km</w:t>
      </w:r>
      <w:r>
        <w:rPr>
          <w:rFonts w:ascii="宋体" w:hAnsi="宋体" w:eastAsia="宋体" w:cs="宋体"/>
          <w:spacing w:val="-3"/>
          <w:sz w:val="24"/>
          <w:szCs w:val="24"/>
        </w:rPr>
        <w:t>，渡槽</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座总长</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68m</w:t>
      </w:r>
      <w:r>
        <w:rPr>
          <w:rFonts w:ascii="宋体" w:hAnsi="宋体" w:eastAsia="宋体" w:cs="宋体"/>
          <w:spacing w:val="-3"/>
          <w:sz w:val="24"/>
          <w:szCs w:val="24"/>
        </w:rPr>
        <w:t>。</w:t>
      </w:r>
    </w:p>
    <w:p>
      <w:pPr>
        <w:spacing w:before="181" w:line="220" w:lineRule="auto"/>
        <w:ind w:left="522"/>
        <w:rPr>
          <w:rFonts w:ascii="宋体" w:hAnsi="宋体" w:eastAsia="宋体" w:cs="宋体"/>
          <w:sz w:val="24"/>
          <w:szCs w:val="24"/>
        </w:rPr>
      </w:pPr>
      <w:r>
        <w:rPr>
          <w:rFonts w:ascii="宋体" w:hAnsi="宋体" w:eastAsia="宋体" w:cs="宋体"/>
          <w:spacing w:val="-3"/>
          <w:sz w:val="24"/>
          <w:szCs w:val="24"/>
        </w:rPr>
        <w:t>工程总投资</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72820.08</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万元，计划总工期</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54 </w:t>
      </w:r>
      <w:r>
        <w:rPr>
          <w:rFonts w:ascii="宋体" w:hAnsi="宋体" w:eastAsia="宋体" w:cs="宋体"/>
          <w:spacing w:val="-3"/>
          <w:sz w:val="24"/>
          <w:szCs w:val="24"/>
        </w:rPr>
        <w:t>个月。</w:t>
      </w:r>
    </w:p>
    <w:p>
      <w:pPr>
        <w:spacing w:line="388" w:lineRule="auto"/>
        <w:rPr>
          <w:rFonts w:ascii="Arial"/>
          <w:sz w:val="21"/>
        </w:rPr>
      </w:pPr>
    </w:p>
    <w:p>
      <w:pPr>
        <w:pStyle w:val="2"/>
        <w:spacing w:before="87" w:line="225" w:lineRule="auto"/>
        <w:ind w:left="40"/>
        <w:rPr>
          <w:sz w:val="27"/>
          <w:szCs w:val="27"/>
        </w:rPr>
      </w:pPr>
      <w:bookmarkStart w:id="5" w:name="bookmark6"/>
      <w:bookmarkEnd w:id="5"/>
      <w:r>
        <w:rPr>
          <w:spacing w:val="9"/>
          <w:sz w:val="27"/>
          <w:szCs w:val="27"/>
          <w14:textOutline w14:w="5072" w14:cap="flat" w14:cmpd="sng">
            <w14:solidFill>
              <w14:srgbClr w14:val="000000"/>
            </w14:solidFill>
            <w14:prstDash w14:val="solid"/>
            <w14:miter w14:val="0"/>
          </w14:textOutline>
        </w:rPr>
        <w:t>项目分析判定情况</w:t>
      </w:r>
    </w:p>
    <w:p>
      <w:pPr>
        <w:spacing w:before="284" w:line="219" w:lineRule="auto"/>
        <w:ind w:left="525"/>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1</w:t>
      </w:r>
      <w:r>
        <w:rPr>
          <w:rFonts w:ascii="宋体" w:hAnsi="宋体" w:eastAsia="宋体" w:cs="宋体"/>
          <w:spacing w:val="-11"/>
          <w:sz w:val="24"/>
          <w:szCs w:val="24"/>
        </w:rPr>
        <w:t>）根据《产业结构调整指导目录（</w:t>
      </w:r>
      <w:r>
        <w:rPr>
          <w:rFonts w:ascii="Times New Roman" w:hAnsi="Times New Roman" w:eastAsia="Times New Roman" w:cs="Times New Roman"/>
          <w:spacing w:val="-11"/>
          <w:sz w:val="24"/>
          <w:szCs w:val="24"/>
        </w:rPr>
        <w:t xml:space="preserve">2019 </w:t>
      </w:r>
      <w:r>
        <w:rPr>
          <w:rFonts w:ascii="宋体" w:hAnsi="宋体" w:eastAsia="宋体" w:cs="宋体"/>
          <w:spacing w:val="-11"/>
          <w:sz w:val="24"/>
          <w:szCs w:val="24"/>
        </w:rPr>
        <w:t>年本）》，项目属于第一类 鼓励中</w:t>
      </w:r>
    </w:p>
    <w:p>
      <w:pPr>
        <w:spacing w:line="219" w:lineRule="auto"/>
        <w:rPr>
          <w:rFonts w:ascii="宋体" w:hAnsi="宋体" w:eastAsia="宋体" w:cs="宋体"/>
          <w:sz w:val="24"/>
          <w:szCs w:val="24"/>
        </w:rPr>
        <w:sectPr>
          <w:headerReference r:id="rId14" w:type="default"/>
          <w:footerReference r:id="rId15" w:type="default"/>
          <w:pgSz w:w="11907" w:h="16839"/>
          <w:pgMar w:top="1156" w:right="1730" w:bottom="1154" w:left="1770" w:header="881" w:footer="991" w:gutter="0"/>
        </w:sectPr>
      </w:pPr>
    </w:p>
    <w:p>
      <w:pPr>
        <w:spacing w:line="317" w:lineRule="auto"/>
        <w:rPr>
          <w:rFonts w:ascii="Arial"/>
          <w:sz w:val="21"/>
        </w:rPr>
      </w:pPr>
    </w:p>
    <w:p>
      <w:pPr>
        <w:spacing w:before="78" w:line="468" w:lineRule="exact"/>
        <w:ind w:left="20"/>
        <w:rPr>
          <w:rFonts w:ascii="宋体" w:hAnsi="宋体" w:eastAsia="宋体" w:cs="宋体"/>
          <w:sz w:val="24"/>
          <w:szCs w:val="24"/>
        </w:rPr>
      </w:pPr>
      <w:r>
        <w:rPr>
          <w:rFonts w:ascii="宋体" w:hAnsi="宋体" w:eastAsia="宋体" w:cs="宋体"/>
          <w:spacing w:val="-5"/>
          <w:position w:val="17"/>
          <w:sz w:val="24"/>
          <w:szCs w:val="24"/>
        </w:rPr>
        <w:t>“二、水利</w:t>
      </w:r>
      <w:r>
        <w:rPr>
          <w:rFonts w:ascii="宋体" w:hAnsi="宋体" w:eastAsia="宋体" w:cs="宋体"/>
          <w:spacing w:val="-37"/>
          <w:position w:val="17"/>
          <w:sz w:val="24"/>
          <w:szCs w:val="24"/>
        </w:rPr>
        <w:t xml:space="preserve"> </w:t>
      </w:r>
      <w:r>
        <w:rPr>
          <w:rFonts w:ascii="Times New Roman" w:hAnsi="Times New Roman" w:eastAsia="Times New Roman" w:cs="Times New Roman"/>
          <w:spacing w:val="-5"/>
          <w:position w:val="17"/>
          <w:sz w:val="24"/>
          <w:szCs w:val="24"/>
        </w:rPr>
        <w:t>2</w:t>
      </w:r>
      <w:r>
        <w:rPr>
          <w:rFonts w:ascii="宋体" w:hAnsi="宋体" w:eastAsia="宋体" w:cs="宋体"/>
          <w:spacing w:val="-5"/>
          <w:position w:val="17"/>
          <w:sz w:val="24"/>
          <w:szCs w:val="24"/>
        </w:rPr>
        <w:t>、跨流域调水工程和</w:t>
      </w:r>
      <w:r>
        <w:rPr>
          <w:rFonts w:ascii="宋体" w:hAnsi="宋体" w:eastAsia="宋体" w:cs="宋体"/>
          <w:spacing w:val="-50"/>
          <w:position w:val="17"/>
          <w:sz w:val="24"/>
          <w:szCs w:val="24"/>
        </w:rPr>
        <w:t xml:space="preserve"> </w:t>
      </w:r>
      <w:r>
        <w:rPr>
          <w:rFonts w:ascii="Times New Roman" w:hAnsi="Times New Roman" w:eastAsia="Times New Roman" w:cs="Times New Roman"/>
          <w:spacing w:val="-5"/>
          <w:position w:val="17"/>
          <w:sz w:val="24"/>
          <w:szCs w:val="24"/>
        </w:rPr>
        <w:t>3</w:t>
      </w:r>
      <w:r>
        <w:rPr>
          <w:rFonts w:ascii="宋体" w:hAnsi="宋体" w:eastAsia="宋体" w:cs="宋体"/>
          <w:spacing w:val="-5"/>
          <w:position w:val="17"/>
          <w:sz w:val="24"/>
          <w:szCs w:val="24"/>
        </w:rPr>
        <w:t>、城乡供水水源工程以及</w:t>
      </w:r>
      <w:r>
        <w:rPr>
          <w:rFonts w:ascii="宋体" w:hAnsi="宋体" w:eastAsia="宋体" w:cs="宋体"/>
          <w:spacing w:val="-57"/>
          <w:position w:val="17"/>
          <w:sz w:val="24"/>
          <w:szCs w:val="24"/>
        </w:rPr>
        <w:t xml:space="preserve"> </w:t>
      </w:r>
      <w:r>
        <w:rPr>
          <w:rFonts w:ascii="Times New Roman" w:hAnsi="Times New Roman" w:eastAsia="Times New Roman" w:cs="Times New Roman"/>
          <w:spacing w:val="-5"/>
          <w:position w:val="17"/>
          <w:sz w:val="24"/>
          <w:szCs w:val="24"/>
        </w:rPr>
        <w:t>4</w:t>
      </w:r>
      <w:r>
        <w:rPr>
          <w:rFonts w:ascii="宋体" w:hAnsi="宋体" w:eastAsia="宋体" w:cs="宋体"/>
          <w:spacing w:val="-5"/>
          <w:position w:val="17"/>
          <w:sz w:val="24"/>
          <w:szCs w:val="24"/>
        </w:rPr>
        <w:t>、农村饮水安全工</w:t>
      </w:r>
    </w:p>
    <w:p>
      <w:pPr>
        <w:spacing w:line="219" w:lineRule="auto"/>
        <w:ind w:left="38"/>
        <w:rPr>
          <w:rFonts w:ascii="宋体" w:hAnsi="宋体" w:eastAsia="宋体" w:cs="宋体"/>
          <w:sz w:val="24"/>
          <w:szCs w:val="24"/>
        </w:rPr>
      </w:pPr>
      <w:r>
        <w:rPr>
          <w:rFonts w:ascii="宋体" w:hAnsi="宋体" w:eastAsia="宋体" w:cs="宋体"/>
          <w:spacing w:val="-15"/>
          <w:sz w:val="24"/>
          <w:szCs w:val="24"/>
        </w:rPr>
        <w:t>程</w:t>
      </w:r>
      <w:r>
        <w:rPr>
          <w:rFonts w:ascii="宋体" w:hAnsi="宋体" w:eastAsia="宋体" w:cs="宋体"/>
          <w:spacing w:val="-88"/>
          <w:sz w:val="24"/>
          <w:szCs w:val="24"/>
        </w:rPr>
        <w:t xml:space="preserve"> </w:t>
      </w:r>
      <w:r>
        <w:rPr>
          <w:rFonts w:ascii="宋体" w:hAnsi="宋体" w:eastAsia="宋体" w:cs="宋体"/>
          <w:spacing w:val="-15"/>
          <w:sz w:val="24"/>
          <w:szCs w:val="24"/>
        </w:rPr>
        <w:t>”，符合国家产业政策。</w:t>
      </w:r>
    </w:p>
    <w:p>
      <w:pPr>
        <w:spacing w:before="183" w:line="360" w:lineRule="auto"/>
        <w:ind w:left="42" w:right="30" w:firstLine="483"/>
        <w:jc w:val="both"/>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）项目建设符合《大姚县蜻蛉河流域及相关地区水资源配置规划》、《云</w:t>
      </w:r>
      <w:r>
        <w:rPr>
          <w:rFonts w:ascii="宋体" w:hAnsi="宋体" w:eastAsia="宋体" w:cs="宋体"/>
          <w:spacing w:val="8"/>
          <w:sz w:val="24"/>
          <w:szCs w:val="24"/>
        </w:rPr>
        <w:t xml:space="preserve"> </w:t>
      </w:r>
      <w:r>
        <w:rPr>
          <w:rFonts w:ascii="宋体" w:hAnsi="宋体" w:eastAsia="宋体" w:cs="宋体"/>
          <w:spacing w:val="-16"/>
          <w:sz w:val="24"/>
          <w:szCs w:val="24"/>
        </w:rPr>
        <w:t>南省百件骨干水源工程建设规划》、《楚雄州“十四五”水安全保障规划</w:t>
      </w:r>
      <w:r>
        <w:rPr>
          <w:rFonts w:ascii="宋体" w:hAnsi="宋体" w:eastAsia="宋体" w:cs="宋体"/>
          <w:spacing w:val="-17"/>
          <w:sz w:val="24"/>
          <w:szCs w:val="24"/>
        </w:rPr>
        <w:t>》、《楚雄</w:t>
      </w:r>
    </w:p>
    <w:p>
      <w:pPr>
        <w:spacing w:line="219" w:lineRule="auto"/>
        <w:ind w:left="43"/>
        <w:rPr>
          <w:rFonts w:ascii="宋体" w:hAnsi="宋体" w:eastAsia="宋体" w:cs="宋体"/>
          <w:sz w:val="24"/>
          <w:szCs w:val="24"/>
        </w:rPr>
      </w:pPr>
      <w:r>
        <w:rPr>
          <w:rFonts w:ascii="宋体" w:hAnsi="宋体" w:eastAsia="宋体" w:cs="宋体"/>
          <w:spacing w:val="-7"/>
          <w:sz w:val="24"/>
          <w:szCs w:val="24"/>
        </w:rPr>
        <w:t>北部片区水资源综合利用规划》。</w:t>
      </w:r>
    </w:p>
    <w:p>
      <w:pPr>
        <w:spacing w:before="182" w:line="360" w:lineRule="auto"/>
        <w:ind w:left="40" w:right="29" w:firstLine="485"/>
        <w:jc w:val="both"/>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）项目属于《云南省主体功能区划》中的省级重点生态功能区，项目属</w:t>
      </w:r>
      <w:r>
        <w:rPr>
          <w:rFonts w:ascii="宋体" w:hAnsi="宋体" w:eastAsia="宋体" w:cs="宋体"/>
          <w:spacing w:val="10"/>
          <w:sz w:val="24"/>
          <w:szCs w:val="24"/>
        </w:rPr>
        <w:t xml:space="preserve"> </w:t>
      </w:r>
      <w:r>
        <w:rPr>
          <w:rFonts w:ascii="宋体" w:hAnsi="宋体" w:eastAsia="宋体" w:cs="宋体"/>
          <w:spacing w:val="-8"/>
          <w:sz w:val="24"/>
          <w:szCs w:val="24"/>
        </w:rPr>
        <w:t>于基础设施建设， 水库的开发任务是提供人</w:t>
      </w:r>
      <w:r>
        <w:rPr>
          <w:rFonts w:ascii="宋体" w:hAnsi="宋体" w:eastAsia="宋体" w:cs="宋体"/>
          <w:spacing w:val="-9"/>
          <w:sz w:val="24"/>
          <w:szCs w:val="24"/>
        </w:rPr>
        <w:t>畜生活用水以及农田灌溉用水，</w:t>
      </w:r>
      <w:r>
        <w:rPr>
          <w:rFonts w:ascii="宋体" w:hAnsi="宋体" w:eastAsia="宋体" w:cs="宋体"/>
          <w:spacing w:val="-41"/>
          <w:sz w:val="24"/>
          <w:szCs w:val="24"/>
        </w:rPr>
        <w:t xml:space="preserve"> </w:t>
      </w:r>
      <w:r>
        <w:rPr>
          <w:rFonts w:ascii="宋体" w:hAnsi="宋体" w:eastAsia="宋体" w:cs="宋体"/>
          <w:spacing w:val="-9"/>
          <w:sz w:val="24"/>
          <w:szCs w:val="24"/>
        </w:rPr>
        <w:t>可以</w:t>
      </w:r>
      <w:r>
        <w:rPr>
          <w:rFonts w:ascii="宋体" w:hAnsi="宋体" w:eastAsia="宋体" w:cs="宋体"/>
          <w:sz w:val="24"/>
          <w:szCs w:val="24"/>
        </w:rPr>
        <w:t xml:space="preserve"> </w:t>
      </w:r>
      <w:r>
        <w:rPr>
          <w:rFonts w:ascii="宋体" w:hAnsi="宋体" w:eastAsia="宋体" w:cs="宋体"/>
          <w:spacing w:val="-3"/>
          <w:sz w:val="24"/>
          <w:szCs w:val="24"/>
        </w:rPr>
        <w:t>保证当地农业用水，促进农业发展。项目符合《云南省主体功能区划》重点生态</w:t>
      </w:r>
    </w:p>
    <w:p>
      <w:pPr>
        <w:spacing w:line="220" w:lineRule="auto"/>
        <w:ind w:left="43"/>
        <w:rPr>
          <w:rFonts w:ascii="宋体" w:hAnsi="宋体" w:eastAsia="宋体" w:cs="宋体"/>
          <w:sz w:val="24"/>
          <w:szCs w:val="24"/>
        </w:rPr>
      </w:pPr>
      <w:r>
        <w:rPr>
          <w:rFonts w:ascii="宋体" w:hAnsi="宋体" w:eastAsia="宋体" w:cs="宋体"/>
          <w:spacing w:val="-2"/>
          <w:sz w:val="24"/>
          <w:szCs w:val="24"/>
        </w:rPr>
        <w:t>功能区的定位与发展。</w:t>
      </w:r>
    </w:p>
    <w:p>
      <w:pPr>
        <w:spacing w:before="182" w:line="360" w:lineRule="auto"/>
        <w:ind w:left="40" w:right="30" w:firstLine="485"/>
        <w:jc w:val="both"/>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）项目属于《云南省生态功能区划》中的Ⅲ</w:t>
      </w:r>
      <w:r>
        <w:rPr>
          <w:rFonts w:ascii="Times New Roman" w:hAnsi="Times New Roman" w:eastAsia="Times New Roman" w:cs="Times New Roman"/>
          <w:spacing w:val="-4"/>
          <w:sz w:val="24"/>
          <w:szCs w:val="24"/>
        </w:rPr>
        <w:t xml:space="preserve">2-4 </w:t>
      </w:r>
      <w:r>
        <w:rPr>
          <w:rFonts w:ascii="宋体" w:hAnsi="宋体" w:eastAsia="宋体" w:cs="宋体"/>
          <w:spacing w:val="-4"/>
          <w:sz w:val="24"/>
          <w:szCs w:val="24"/>
        </w:rPr>
        <w:t>元谋龙川江干热河谷农业</w:t>
      </w:r>
      <w:r>
        <w:rPr>
          <w:rFonts w:ascii="宋体" w:hAnsi="宋体" w:eastAsia="宋体" w:cs="宋体"/>
          <w:spacing w:val="12"/>
          <w:sz w:val="24"/>
          <w:szCs w:val="24"/>
        </w:rPr>
        <w:t xml:space="preserve"> </w:t>
      </w:r>
      <w:r>
        <w:rPr>
          <w:rFonts w:ascii="宋体" w:hAnsi="宋体" w:eastAsia="宋体" w:cs="宋体"/>
          <w:spacing w:val="-3"/>
          <w:sz w:val="24"/>
          <w:szCs w:val="24"/>
        </w:rPr>
        <w:t>生态功能区，保护措施与发展方向为调整产业结构、增加沿江河谷面山的森林覆</w:t>
      </w:r>
      <w:r>
        <w:rPr>
          <w:rFonts w:ascii="宋体" w:hAnsi="宋体" w:eastAsia="宋体" w:cs="宋体"/>
          <w:sz w:val="24"/>
          <w:szCs w:val="24"/>
        </w:rPr>
        <w:t xml:space="preserve"> </w:t>
      </w:r>
      <w:r>
        <w:rPr>
          <w:rFonts w:ascii="宋体" w:hAnsi="宋体" w:eastAsia="宋体" w:cs="宋体"/>
          <w:spacing w:val="-20"/>
          <w:sz w:val="24"/>
          <w:szCs w:val="24"/>
        </w:rPr>
        <w:t>盖率， 发展热带经济林木，</w:t>
      </w:r>
      <w:r>
        <w:rPr>
          <w:rFonts w:ascii="宋体" w:hAnsi="宋体" w:eastAsia="宋体" w:cs="宋体"/>
          <w:spacing w:val="45"/>
          <w:sz w:val="24"/>
          <w:szCs w:val="24"/>
        </w:rPr>
        <w:t xml:space="preserve"> </w:t>
      </w:r>
      <w:r>
        <w:rPr>
          <w:rFonts w:ascii="宋体" w:hAnsi="宋体" w:eastAsia="宋体" w:cs="宋体"/>
          <w:spacing w:val="-20"/>
          <w:sz w:val="24"/>
          <w:szCs w:val="24"/>
        </w:rPr>
        <w:t>改善区域的水环境条件，</w:t>
      </w:r>
      <w:r>
        <w:rPr>
          <w:rFonts w:ascii="宋体" w:hAnsi="宋体" w:eastAsia="宋体" w:cs="宋体"/>
          <w:spacing w:val="41"/>
          <w:sz w:val="24"/>
          <w:szCs w:val="24"/>
        </w:rPr>
        <w:t xml:space="preserve"> </w:t>
      </w:r>
      <w:r>
        <w:rPr>
          <w:rFonts w:ascii="宋体" w:hAnsi="宋体" w:eastAsia="宋体" w:cs="宋体"/>
          <w:spacing w:val="-20"/>
          <w:sz w:val="24"/>
          <w:szCs w:val="24"/>
        </w:rPr>
        <w:t>发展庭院经济，</w:t>
      </w:r>
      <w:r>
        <w:rPr>
          <w:rFonts w:ascii="宋体" w:hAnsi="宋体" w:eastAsia="宋体" w:cs="宋体"/>
          <w:spacing w:val="52"/>
          <w:sz w:val="24"/>
          <w:szCs w:val="24"/>
        </w:rPr>
        <w:t xml:space="preserve"> </w:t>
      </w:r>
      <w:r>
        <w:rPr>
          <w:rFonts w:ascii="宋体" w:hAnsi="宋体" w:eastAsia="宋体" w:cs="宋体"/>
          <w:spacing w:val="-21"/>
          <w:sz w:val="24"/>
          <w:szCs w:val="24"/>
        </w:rPr>
        <w:t>防止生态环</w:t>
      </w:r>
      <w:r>
        <w:rPr>
          <w:rFonts w:ascii="宋体" w:hAnsi="宋体" w:eastAsia="宋体" w:cs="宋体"/>
          <w:sz w:val="24"/>
          <w:szCs w:val="24"/>
        </w:rPr>
        <w:t xml:space="preserve"> </w:t>
      </w:r>
      <w:r>
        <w:rPr>
          <w:rFonts w:ascii="宋体" w:hAnsi="宋体" w:eastAsia="宋体" w:cs="宋体"/>
          <w:spacing w:val="-6"/>
          <w:sz w:val="24"/>
          <w:szCs w:val="24"/>
        </w:rPr>
        <w:t>境荒漠化。项目建设对自然植被破坏小， 不属于所在区域生</w:t>
      </w:r>
      <w:r>
        <w:rPr>
          <w:rFonts w:ascii="宋体" w:hAnsi="宋体" w:eastAsia="宋体" w:cs="宋体"/>
          <w:spacing w:val="-7"/>
          <w:sz w:val="24"/>
          <w:szCs w:val="24"/>
        </w:rPr>
        <w:t>态功能区中需要禁止</w:t>
      </w:r>
      <w:r>
        <w:rPr>
          <w:rFonts w:ascii="宋体" w:hAnsi="宋体" w:eastAsia="宋体" w:cs="宋体"/>
          <w:sz w:val="24"/>
          <w:szCs w:val="24"/>
        </w:rPr>
        <w:t xml:space="preserve"> </w:t>
      </w:r>
      <w:r>
        <w:rPr>
          <w:rFonts w:ascii="宋体" w:hAnsi="宋体" w:eastAsia="宋体" w:cs="宋体"/>
          <w:spacing w:val="-3"/>
          <w:sz w:val="24"/>
          <w:szCs w:val="24"/>
        </w:rPr>
        <w:t>建设的项目，工程建成后有利于调整灌区种植结构、保护农田生态环境及改善灌</w:t>
      </w:r>
    </w:p>
    <w:p>
      <w:pPr>
        <w:spacing w:line="218" w:lineRule="auto"/>
        <w:ind w:left="57"/>
        <w:rPr>
          <w:rFonts w:ascii="宋体" w:hAnsi="宋体" w:eastAsia="宋体" w:cs="宋体"/>
          <w:sz w:val="24"/>
          <w:szCs w:val="24"/>
        </w:rPr>
      </w:pPr>
      <w:r>
        <w:rPr>
          <w:rFonts w:ascii="宋体" w:hAnsi="宋体" w:eastAsia="宋体" w:cs="宋体"/>
          <w:spacing w:val="-1"/>
          <w:sz w:val="24"/>
          <w:szCs w:val="24"/>
        </w:rPr>
        <w:t>区森林覆盖率。因此不违反《云南省生态功能区划报告》的相关规定。</w:t>
      </w:r>
    </w:p>
    <w:p>
      <w:pPr>
        <w:spacing w:before="185" w:line="468" w:lineRule="exact"/>
        <w:ind w:right="33"/>
        <w:jc w:val="right"/>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5</w:t>
      </w:r>
      <w:r>
        <w:rPr>
          <w:rFonts w:ascii="宋体" w:hAnsi="宋体" w:eastAsia="宋体" w:cs="宋体"/>
          <w:position w:val="17"/>
          <w:sz w:val="24"/>
          <w:szCs w:val="24"/>
        </w:rPr>
        <w:t>）项目区域环境质量满足功能区划要求，项目建设不会改变区域环境功</w:t>
      </w:r>
    </w:p>
    <w:p>
      <w:pPr>
        <w:spacing w:before="1" w:line="220" w:lineRule="auto"/>
        <w:ind w:left="48"/>
        <w:rPr>
          <w:rFonts w:ascii="宋体" w:hAnsi="宋体" w:eastAsia="宋体" w:cs="宋体"/>
          <w:sz w:val="24"/>
          <w:szCs w:val="24"/>
        </w:rPr>
      </w:pPr>
      <w:r>
        <w:rPr>
          <w:rFonts w:ascii="宋体" w:hAnsi="宋体" w:eastAsia="宋体" w:cs="宋体"/>
          <w:spacing w:val="-10"/>
          <w:sz w:val="24"/>
          <w:szCs w:val="24"/>
        </w:rPr>
        <w:t>能。</w:t>
      </w:r>
    </w:p>
    <w:p>
      <w:pPr>
        <w:spacing w:line="309" w:lineRule="auto"/>
        <w:rPr>
          <w:rFonts w:ascii="Arial"/>
          <w:sz w:val="21"/>
        </w:rPr>
      </w:pPr>
    </w:p>
    <w:p>
      <w:pPr>
        <w:pStyle w:val="2"/>
        <w:spacing w:before="89" w:line="225" w:lineRule="auto"/>
        <w:ind w:left="51"/>
        <w:rPr>
          <w:sz w:val="27"/>
          <w:szCs w:val="27"/>
        </w:rPr>
      </w:pPr>
      <w:bookmarkStart w:id="6" w:name="bookmark7"/>
      <w:bookmarkEnd w:id="6"/>
      <w:r>
        <w:rPr>
          <w:spacing w:val="8"/>
          <w:sz w:val="27"/>
          <w:szCs w:val="27"/>
          <w14:textOutline w14:w="5072" w14:cap="flat" w14:cmpd="sng">
            <w14:solidFill>
              <w14:srgbClr w14:val="000000"/>
            </w14:solidFill>
            <w14:prstDash w14:val="solid"/>
            <w14:miter w14:val="0"/>
          </w14:textOutline>
        </w:rPr>
        <w:t>关注的主要环境问题</w:t>
      </w:r>
    </w:p>
    <w:p>
      <w:pPr>
        <w:spacing w:before="206" w:line="466" w:lineRule="exact"/>
        <w:ind w:right="29"/>
        <w:jc w:val="right"/>
        <w:rPr>
          <w:rFonts w:ascii="宋体" w:hAnsi="宋体" w:eastAsia="宋体" w:cs="宋体"/>
          <w:sz w:val="24"/>
          <w:szCs w:val="24"/>
        </w:rPr>
      </w:pPr>
      <w:r>
        <w:rPr>
          <w:rFonts w:ascii="宋体" w:hAnsi="宋体" w:eastAsia="宋体" w:cs="宋体"/>
          <w:spacing w:val="-6"/>
          <w:position w:val="17"/>
          <w:sz w:val="24"/>
          <w:szCs w:val="24"/>
        </w:rPr>
        <w:t>结合水库项目特点及项目所处区域环境的敏感程度，</w:t>
      </w:r>
      <w:r>
        <w:rPr>
          <w:rFonts w:ascii="宋体" w:hAnsi="宋体" w:eastAsia="宋体" w:cs="宋体"/>
          <w:spacing w:val="-31"/>
          <w:position w:val="17"/>
          <w:sz w:val="24"/>
          <w:szCs w:val="24"/>
        </w:rPr>
        <w:t xml:space="preserve"> </w:t>
      </w:r>
      <w:r>
        <w:rPr>
          <w:rFonts w:ascii="宋体" w:hAnsi="宋体" w:eastAsia="宋体" w:cs="宋体"/>
          <w:spacing w:val="-6"/>
          <w:position w:val="17"/>
          <w:sz w:val="24"/>
          <w:szCs w:val="24"/>
        </w:rPr>
        <w:t>给出项目的主要环境问</w:t>
      </w:r>
    </w:p>
    <w:p>
      <w:pPr>
        <w:spacing w:before="1" w:line="221" w:lineRule="auto"/>
        <w:ind w:left="39"/>
        <w:rPr>
          <w:rFonts w:ascii="宋体" w:hAnsi="宋体" w:eastAsia="宋体" w:cs="宋体"/>
          <w:sz w:val="24"/>
          <w:szCs w:val="24"/>
        </w:rPr>
      </w:pPr>
      <w:r>
        <w:rPr>
          <w:rFonts w:ascii="宋体" w:hAnsi="宋体" w:eastAsia="宋体" w:cs="宋体"/>
          <w:spacing w:val="-11"/>
          <w:sz w:val="24"/>
          <w:szCs w:val="24"/>
        </w:rPr>
        <w:t>题。</w:t>
      </w:r>
    </w:p>
    <w:p>
      <w:pPr>
        <w:spacing w:before="179" w:line="467" w:lineRule="exact"/>
        <w:ind w:left="525"/>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1</w:t>
      </w:r>
      <w:r>
        <w:rPr>
          <w:rFonts w:ascii="宋体" w:hAnsi="宋体" w:eastAsia="宋体" w:cs="宋体"/>
          <w:spacing w:val="-3"/>
          <w:position w:val="17"/>
          <w:sz w:val="24"/>
          <w:szCs w:val="24"/>
        </w:rPr>
        <w:t>）项目产业政策、相关规划、法律法规分析其符合性；</w:t>
      </w:r>
    </w:p>
    <w:p>
      <w:pPr>
        <w:spacing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）项目选址的环境合理性分析；</w:t>
      </w:r>
    </w:p>
    <w:p>
      <w:pPr>
        <w:spacing w:before="181" w:line="218"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）施工期“三废”及噪声的排放对评价</w:t>
      </w:r>
      <w:r>
        <w:rPr>
          <w:rFonts w:ascii="宋体" w:hAnsi="宋体" w:eastAsia="宋体" w:cs="宋体"/>
          <w:spacing w:val="-3"/>
          <w:sz w:val="24"/>
          <w:szCs w:val="24"/>
        </w:rPr>
        <w:t>区环境造成的不利影响；</w:t>
      </w:r>
    </w:p>
    <w:p>
      <w:pPr>
        <w:spacing w:before="184" w:line="359" w:lineRule="auto"/>
        <w:ind w:left="39" w:right="30"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）初期蓄水及运行造成拦河坝后段发生减水，对河道水生生态环境造成</w:t>
      </w:r>
      <w:r>
        <w:rPr>
          <w:rFonts w:ascii="宋体" w:hAnsi="宋体" w:eastAsia="宋体" w:cs="宋体"/>
          <w:spacing w:val="8"/>
          <w:sz w:val="24"/>
          <w:szCs w:val="24"/>
        </w:rPr>
        <w:t xml:space="preserve"> </w:t>
      </w:r>
      <w:r>
        <w:rPr>
          <w:rFonts w:ascii="宋体" w:hAnsi="宋体" w:eastAsia="宋体" w:cs="宋体"/>
          <w:spacing w:val="-3"/>
          <w:sz w:val="24"/>
          <w:szCs w:val="24"/>
        </w:rPr>
        <w:t>影响；库区淹没及施工占地将造成评价区一定量的植被及植物个体资源的损失等</w:t>
      </w:r>
    </w:p>
    <w:p>
      <w:pPr>
        <w:spacing w:before="1" w:line="220" w:lineRule="auto"/>
        <w:ind w:left="59"/>
        <w:rPr>
          <w:rFonts w:ascii="宋体" w:hAnsi="宋体" w:eastAsia="宋体" w:cs="宋体"/>
          <w:sz w:val="24"/>
          <w:szCs w:val="24"/>
        </w:rPr>
      </w:pPr>
      <w:r>
        <w:rPr>
          <w:rFonts w:ascii="宋体" w:hAnsi="宋体" w:eastAsia="宋体" w:cs="宋体"/>
          <w:spacing w:val="-8"/>
          <w:sz w:val="24"/>
          <w:szCs w:val="24"/>
        </w:rPr>
        <w:t>的陆生生态环境影响；</w:t>
      </w:r>
    </w:p>
    <w:p>
      <w:pPr>
        <w:spacing w:before="180"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）灌溉回归水对地表水水质的影响。</w:t>
      </w:r>
    </w:p>
    <w:p>
      <w:pPr>
        <w:spacing w:line="220" w:lineRule="auto"/>
        <w:rPr>
          <w:rFonts w:ascii="宋体" w:hAnsi="宋体" w:eastAsia="宋体" w:cs="宋体"/>
          <w:sz w:val="24"/>
          <w:szCs w:val="24"/>
        </w:rPr>
        <w:sectPr>
          <w:headerReference r:id="rId16" w:type="default"/>
          <w:footerReference r:id="rId17" w:type="default"/>
          <w:pgSz w:w="11907" w:h="16839"/>
          <w:pgMar w:top="1156" w:right="1768" w:bottom="1153" w:left="1770" w:header="881" w:footer="991" w:gutter="0"/>
        </w:sectPr>
      </w:pPr>
    </w:p>
    <w:p>
      <w:pPr>
        <w:spacing w:line="369" w:lineRule="auto"/>
        <w:rPr>
          <w:rFonts w:ascii="Arial"/>
          <w:sz w:val="21"/>
        </w:rPr>
      </w:pPr>
    </w:p>
    <w:p>
      <w:pPr>
        <w:pStyle w:val="2"/>
        <w:spacing w:before="88" w:line="226" w:lineRule="auto"/>
        <w:ind w:left="38"/>
        <w:rPr>
          <w:sz w:val="27"/>
          <w:szCs w:val="27"/>
        </w:rPr>
      </w:pPr>
      <w:bookmarkStart w:id="7" w:name="bookmark8"/>
      <w:bookmarkEnd w:id="7"/>
      <w:r>
        <w:rPr>
          <w:spacing w:val="9"/>
          <w:sz w:val="27"/>
          <w:szCs w:val="27"/>
          <w14:textOutline w14:w="5072" w14:cap="flat" w14:cmpd="sng">
            <w14:solidFill>
              <w14:srgbClr w14:val="000000"/>
            </w14:solidFill>
            <w14:prstDash w14:val="solid"/>
            <w14:miter w14:val="0"/>
          </w14:textOutline>
        </w:rPr>
        <w:t>报告书主要结论</w:t>
      </w:r>
    </w:p>
    <w:p>
      <w:pPr>
        <w:spacing w:before="204" w:line="468" w:lineRule="exact"/>
        <w:ind w:left="522"/>
        <w:rPr>
          <w:rFonts w:ascii="宋体" w:hAnsi="宋体" w:eastAsia="宋体" w:cs="宋体"/>
          <w:sz w:val="24"/>
          <w:szCs w:val="24"/>
        </w:rPr>
      </w:pPr>
      <w:r>
        <w:rPr>
          <w:rFonts w:ascii="宋体" w:hAnsi="宋体" w:eastAsia="宋体" w:cs="宋体"/>
          <w:spacing w:val="-7"/>
          <w:position w:val="17"/>
          <w:sz w:val="24"/>
          <w:szCs w:val="24"/>
        </w:rPr>
        <w:t>大姚县桂花水库工程的建设符合国家产业政策， 项目的建设不违反《云南省</w:t>
      </w:r>
    </w:p>
    <w:p>
      <w:pPr>
        <w:spacing w:line="219" w:lineRule="auto"/>
        <w:ind w:left="41"/>
        <w:rPr>
          <w:rFonts w:ascii="宋体" w:hAnsi="宋体" w:eastAsia="宋体" w:cs="宋体"/>
          <w:sz w:val="24"/>
          <w:szCs w:val="24"/>
        </w:rPr>
      </w:pPr>
      <w:r>
        <w:rPr>
          <w:rFonts w:ascii="宋体" w:hAnsi="宋体" w:eastAsia="宋体" w:cs="宋体"/>
          <w:spacing w:val="-9"/>
          <w:sz w:val="24"/>
          <w:szCs w:val="24"/>
        </w:rPr>
        <w:t>主体功能区规划》、《云南省生态功能区划》等相关法</w:t>
      </w:r>
      <w:r>
        <w:rPr>
          <w:rFonts w:ascii="宋体" w:hAnsi="宋体" w:eastAsia="宋体" w:cs="宋体"/>
          <w:spacing w:val="-10"/>
          <w:sz w:val="24"/>
          <w:szCs w:val="24"/>
        </w:rPr>
        <w:t>律法规和规划。</w:t>
      </w:r>
    </w:p>
    <w:p>
      <w:pPr>
        <w:spacing w:before="183" w:line="359" w:lineRule="auto"/>
        <w:ind w:left="38" w:firstLine="483"/>
        <w:rPr>
          <w:rFonts w:ascii="宋体" w:hAnsi="宋体" w:eastAsia="宋体" w:cs="宋体"/>
          <w:sz w:val="24"/>
          <w:szCs w:val="24"/>
        </w:rPr>
      </w:pPr>
      <w:r>
        <w:rPr>
          <w:rFonts w:ascii="宋体" w:hAnsi="宋体" w:eastAsia="宋体" w:cs="宋体"/>
          <w:spacing w:val="-7"/>
          <w:sz w:val="24"/>
          <w:szCs w:val="24"/>
        </w:rPr>
        <w:t>工程建设将对区域环境产生一定的不利影响，</w:t>
      </w:r>
      <w:r>
        <w:rPr>
          <w:rFonts w:ascii="宋体" w:hAnsi="宋体" w:eastAsia="宋体" w:cs="宋体"/>
          <w:spacing w:val="-14"/>
          <w:sz w:val="24"/>
          <w:szCs w:val="24"/>
        </w:rPr>
        <w:t xml:space="preserve"> </w:t>
      </w:r>
      <w:r>
        <w:rPr>
          <w:rFonts w:ascii="宋体" w:hAnsi="宋体" w:eastAsia="宋体" w:cs="宋体"/>
          <w:spacing w:val="-7"/>
          <w:sz w:val="24"/>
          <w:szCs w:val="24"/>
        </w:rPr>
        <w:t xml:space="preserve">主要表现在淹没和施工占地对  </w:t>
      </w:r>
      <w:r>
        <w:rPr>
          <w:rFonts w:ascii="宋体" w:hAnsi="宋体" w:eastAsia="宋体" w:cs="宋体"/>
          <w:spacing w:val="-10"/>
          <w:sz w:val="24"/>
          <w:szCs w:val="24"/>
        </w:rPr>
        <w:t xml:space="preserve">陆生动植物资源的影响， 筑坝阻隔引起水环境的变化； 水库取水改变下游河段的  </w:t>
      </w:r>
      <w:r>
        <w:rPr>
          <w:rFonts w:ascii="宋体" w:hAnsi="宋体" w:eastAsia="宋体" w:cs="宋体"/>
          <w:spacing w:val="-8"/>
          <w:sz w:val="24"/>
          <w:szCs w:val="24"/>
        </w:rPr>
        <w:t>水文情势对下游水资源综合利用和生态环境的影响；</w:t>
      </w:r>
      <w:r>
        <w:rPr>
          <w:rFonts w:ascii="宋体" w:hAnsi="宋体" w:eastAsia="宋体" w:cs="宋体"/>
          <w:spacing w:val="41"/>
          <w:sz w:val="24"/>
          <w:szCs w:val="24"/>
        </w:rPr>
        <w:t xml:space="preserve"> </w:t>
      </w:r>
      <w:r>
        <w:rPr>
          <w:rFonts w:ascii="宋体" w:hAnsi="宋体" w:eastAsia="宋体" w:cs="宋体"/>
          <w:spacing w:val="-8"/>
          <w:sz w:val="24"/>
          <w:szCs w:val="24"/>
        </w:rPr>
        <w:t xml:space="preserve">施工“三废”对周围环境的  </w:t>
      </w:r>
      <w:r>
        <w:rPr>
          <w:rFonts w:ascii="宋体" w:hAnsi="宋体" w:eastAsia="宋体" w:cs="宋体"/>
          <w:spacing w:val="-10"/>
          <w:sz w:val="24"/>
          <w:szCs w:val="24"/>
        </w:rPr>
        <w:t xml:space="preserve">污染影响； 工程施工和弃渣造成水土流失对当地生态环境的影响； 工程占地对社  </w:t>
      </w:r>
      <w:r>
        <w:rPr>
          <w:rFonts w:ascii="宋体" w:hAnsi="宋体" w:eastAsia="宋体" w:cs="宋体"/>
          <w:spacing w:val="-4"/>
          <w:sz w:val="24"/>
          <w:szCs w:val="24"/>
        </w:rPr>
        <w:t>会环境的影响等。本环评已针对各环境要素提出了减缓境</w:t>
      </w:r>
      <w:r>
        <w:rPr>
          <w:rFonts w:ascii="宋体" w:hAnsi="宋体" w:eastAsia="宋体" w:cs="宋体"/>
          <w:spacing w:val="-5"/>
          <w:sz w:val="24"/>
          <w:szCs w:val="24"/>
        </w:rPr>
        <w:t>影响的环保措施及投资，</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在采取相应的环境保护措施后，项目建设的各种不利环境影响</w:t>
      </w:r>
      <w:r>
        <w:rPr>
          <w:rFonts w:ascii="宋体" w:hAnsi="宋体" w:eastAsia="宋体" w:cs="宋体"/>
          <w:spacing w:val="-2"/>
          <w:sz w:val="24"/>
          <w:szCs w:val="24"/>
        </w:rPr>
        <w:t>可以得到减小。</w:t>
      </w:r>
    </w:p>
    <w:p>
      <w:pPr>
        <w:spacing w:before="182" w:line="219" w:lineRule="auto"/>
        <w:ind w:left="522"/>
        <w:rPr>
          <w:rFonts w:ascii="宋体" w:hAnsi="宋体" w:eastAsia="宋体" w:cs="宋体"/>
          <w:sz w:val="24"/>
          <w:szCs w:val="24"/>
        </w:rPr>
      </w:pPr>
      <w:r>
        <w:rPr>
          <w:rFonts w:ascii="宋体" w:hAnsi="宋体" w:eastAsia="宋体" w:cs="宋体"/>
          <w:spacing w:val="-8"/>
          <w:sz w:val="24"/>
          <w:szCs w:val="24"/>
        </w:rPr>
        <w:t>从环境影响的角度分析，</w:t>
      </w:r>
      <w:r>
        <w:rPr>
          <w:rFonts w:ascii="宋体" w:hAnsi="宋体" w:eastAsia="宋体" w:cs="宋体"/>
          <w:spacing w:val="83"/>
          <w:sz w:val="24"/>
          <w:szCs w:val="24"/>
        </w:rPr>
        <w:t xml:space="preserve"> </w:t>
      </w:r>
      <w:r>
        <w:rPr>
          <w:rFonts w:ascii="宋体" w:hAnsi="宋体" w:eastAsia="宋体" w:cs="宋体"/>
          <w:spacing w:val="-8"/>
          <w:sz w:val="24"/>
          <w:szCs w:val="24"/>
        </w:rPr>
        <w:t>大姚县桂花水库工程建设是可行的。</w:t>
      </w:r>
    </w:p>
    <w:p>
      <w:pPr>
        <w:spacing w:line="219" w:lineRule="auto"/>
        <w:rPr>
          <w:rFonts w:ascii="宋体" w:hAnsi="宋体" w:eastAsia="宋体" w:cs="宋体"/>
          <w:sz w:val="24"/>
          <w:szCs w:val="24"/>
        </w:rPr>
        <w:sectPr>
          <w:headerReference r:id="rId18" w:type="default"/>
          <w:footerReference r:id="rId19" w:type="default"/>
          <w:pgSz w:w="11907" w:h="16839"/>
          <w:pgMar w:top="1156" w:right="1611" w:bottom="1152" w:left="1770" w:header="881" w:footer="991" w:gutter="0"/>
        </w:sectPr>
      </w:pPr>
    </w:p>
    <w:p>
      <w:pPr>
        <w:spacing w:line="248" w:lineRule="auto"/>
        <w:rPr>
          <w:rFonts w:ascii="Arial"/>
          <w:sz w:val="21"/>
        </w:rPr>
      </w:pPr>
    </w:p>
    <w:p>
      <w:pPr>
        <w:spacing w:line="249" w:lineRule="auto"/>
        <w:rPr>
          <w:rFonts w:ascii="Arial"/>
          <w:sz w:val="21"/>
        </w:rPr>
      </w:pPr>
    </w:p>
    <w:p>
      <w:pPr>
        <w:pStyle w:val="2"/>
        <w:spacing w:before="97" w:line="219" w:lineRule="auto"/>
        <w:ind w:left="3789"/>
        <w:rPr>
          <w:sz w:val="30"/>
          <w:szCs w:val="30"/>
        </w:rPr>
      </w:pPr>
      <w:bookmarkStart w:id="8" w:name="bookmark9"/>
      <w:bookmarkEnd w:id="8"/>
      <w:bookmarkStart w:id="9" w:name="bookmark10"/>
      <w:bookmarkEnd w:id="9"/>
      <w:r>
        <w:rPr>
          <w:rFonts w:ascii="Times New Roman" w:hAnsi="Times New Roman" w:eastAsia="Times New Roman" w:cs="Times New Roman"/>
          <w:b/>
          <w:bCs/>
          <w:spacing w:val="-10"/>
          <w:sz w:val="30"/>
          <w:szCs w:val="30"/>
        </w:rPr>
        <w:t>1</w:t>
      </w:r>
      <w:r>
        <w:rPr>
          <w:rFonts w:ascii="Times New Roman" w:hAnsi="Times New Roman" w:eastAsia="Times New Roman" w:cs="Times New Roman"/>
          <w:b/>
          <w:bCs/>
          <w:spacing w:val="19"/>
          <w:sz w:val="30"/>
          <w:szCs w:val="30"/>
        </w:rPr>
        <w:t xml:space="preserve"> </w:t>
      </w:r>
      <w:r>
        <w:rPr>
          <w:spacing w:val="-10"/>
          <w:sz w:val="30"/>
          <w:szCs w:val="30"/>
          <w14:textOutline w14:w="5442" w14:cap="flat" w14:cmpd="sng">
            <w14:solidFill>
              <w14:srgbClr w14:val="000000"/>
            </w14:solidFill>
            <w14:prstDash w14:val="solid"/>
            <w14:miter w14:val="0"/>
          </w14:textOutline>
        </w:rPr>
        <w:t>总则</w:t>
      </w:r>
    </w:p>
    <w:p>
      <w:pPr>
        <w:spacing w:line="248" w:lineRule="auto"/>
        <w:rPr>
          <w:rFonts w:ascii="Arial"/>
          <w:sz w:val="21"/>
        </w:rPr>
      </w:pPr>
    </w:p>
    <w:p>
      <w:pPr>
        <w:pStyle w:val="2"/>
        <w:spacing w:before="88" w:line="225" w:lineRule="auto"/>
        <w:ind w:left="48"/>
        <w:outlineLvl w:val="0"/>
        <w:rPr>
          <w:sz w:val="27"/>
          <w:szCs w:val="27"/>
        </w:rPr>
      </w:pPr>
      <w:r>
        <w:rPr>
          <w:rFonts w:ascii="Times New Roman" w:hAnsi="Times New Roman" w:eastAsia="Times New Roman" w:cs="Times New Roman"/>
          <w:b/>
          <w:bCs/>
          <w:spacing w:val="6"/>
          <w:sz w:val="27"/>
          <w:szCs w:val="27"/>
        </w:rPr>
        <w:t xml:space="preserve">1.1 </w:t>
      </w:r>
      <w:r>
        <w:rPr>
          <w:spacing w:val="6"/>
          <w:sz w:val="27"/>
          <w:szCs w:val="27"/>
          <w14:textOutline w14:w="5072" w14:cap="flat" w14:cmpd="sng">
            <w14:solidFill>
              <w14:srgbClr w14:val="000000"/>
            </w14:solidFill>
            <w14:prstDash w14:val="solid"/>
            <w14:miter w14:val="0"/>
          </w14:textOutline>
        </w:rPr>
        <w:t>评价目的、原则</w:t>
      </w:r>
    </w:p>
    <w:p>
      <w:pPr>
        <w:spacing w:line="301" w:lineRule="auto"/>
        <w:rPr>
          <w:rFonts w:ascii="Arial"/>
          <w:sz w:val="21"/>
        </w:rPr>
      </w:pPr>
    </w:p>
    <w:p>
      <w:pPr>
        <w:pStyle w:val="2"/>
        <w:spacing w:before="78" w:line="219" w:lineRule="auto"/>
        <w:ind w:left="45"/>
        <w:outlineLvl w:val="1"/>
        <w:rPr>
          <w:sz w:val="24"/>
          <w:szCs w:val="24"/>
        </w:rPr>
      </w:pPr>
      <w:r>
        <w:rPr>
          <w:rFonts w:ascii="Times New Roman" w:hAnsi="Times New Roman" w:eastAsia="Times New Roman" w:cs="Times New Roman"/>
          <w:b/>
          <w:bCs/>
          <w:spacing w:val="-2"/>
          <w:sz w:val="24"/>
          <w:szCs w:val="24"/>
        </w:rPr>
        <w:t xml:space="preserve">1.1.1 </w:t>
      </w:r>
      <w:r>
        <w:rPr>
          <w:spacing w:val="-2"/>
          <w:sz w:val="24"/>
          <w:szCs w:val="24"/>
          <w14:textOutline w14:w="4354" w14:cap="flat" w14:cmpd="sng">
            <w14:solidFill>
              <w14:srgbClr w14:val="000000"/>
            </w14:solidFill>
            <w14:prstDash w14:val="solid"/>
            <w14:miter w14:val="0"/>
          </w14:textOutline>
        </w:rPr>
        <w:t>评价目的</w:t>
      </w:r>
    </w:p>
    <w:p>
      <w:pPr>
        <w:spacing w:before="295" w:line="468" w:lineRule="exact"/>
        <w:ind w:left="519"/>
        <w:rPr>
          <w:rFonts w:ascii="宋体" w:hAnsi="宋体" w:eastAsia="宋体" w:cs="宋体"/>
          <w:sz w:val="24"/>
          <w:szCs w:val="24"/>
        </w:rPr>
      </w:pPr>
      <w:r>
        <w:rPr>
          <w:rFonts w:ascii="宋体" w:hAnsi="宋体" w:eastAsia="宋体" w:cs="宋体"/>
          <w:spacing w:val="-9"/>
          <w:position w:val="17"/>
          <w:sz w:val="24"/>
          <w:szCs w:val="24"/>
        </w:rPr>
        <w:t>根据大姚县桂花水库工程特性，</w:t>
      </w:r>
      <w:r>
        <w:rPr>
          <w:rFonts w:ascii="宋体" w:hAnsi="宋体" w:eastAsia="宋体" w:cs="宋体"/>
          <w:spacing w:val="-35"/>
          <w:position w:val="17"/>
          <w:sz w:val="24"/>
          <w:szCs w:val="24"/>
        </w:rPr>
        <w:t xml:space="preserve"> </w:t>
      </w:r>
      <w:r>
        <w:rPr>
          <w:rFonts w:ascii="宋体" w:hAnsi="宋体" w:eastAsia="宋体" w:cs="宋体"/>
          <w:spacing w:val="-9"/>
          <w:position w:val="17"/>
          <w:sz w:val="24"/>
          <w:szCs w:val="24"/>
        </w:rPr>
        <w:t>结合项目所在区域环境背景特征， 依据国家</w:t>
      </w:r>
    </w:p>
    <w:p>
      <w:pPr>
        <w:spacing w:line="218" w:lineRule="auto"/>
        <w:ind w:left="41"/>
        <w:rPr>
          <w:rFonts w:ascii="宋体" w:hAnsi="宋体" w:eastAsia="宋体" w:cs="宋体"/>
          <w:sz w:val="24"/>
          <w:szCs w:val="24"/>
        </w:rPr>
      </w:pPr>
      <w:r>
        <w:rPr>
          <w:rFonts w:ascii="宋体" w:hAnsi="宋体" w:eastAsia="宋体" w:cs="宋体"/>
          <w:spacing w:val="-3"/>
          <w:sz w:val="24"/>
          <w:szCs w:val="24"/>
        </w:rPr>
        <w:t>现行相关法律法规要求，编制本工程环境影响报告书，旨在：</w:t>
      </w:r>
    </w:p>
    <w:p>
      <w:pPr>
        <w:spacing w:before="184" w:line="360" w:lineRule="auto"/>
        <w:ind w:left="41" w:right="81"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）通过实地踏勘、生态与环境质量现状监测与观测、背景资料的收集与</w:t>
      </w:r>
      <w:r>
        <w:rPr>
          <w:rFonts w:ascii="宋体" w:hAnsi="宋体" w:eastAsia="宋体" w:cs="宋体"/>
          <w:spacing w:val="5"/>
          <w:sz w:val="24"/>
          <w:szCs w:val="24"/>
        </w:rPr>
        <w:t xml:space="preserve"> </w:t>
      </w:r>
      <w:r>
        <w:rPr>
          <w:rFonts w:ascii="宋体" w:hAnsi="宋体" w:eastAsia="宋体" w:cs="宋体"/>
          <w:spacing w:val="-6"/>
          <w:sz w:val="24"/>
          <w:szCs w:val="24"/>
        </w:rPr>
        <w:t>调查， 分析评价工程涉及区水文水资源、水环境、环境</w:t>
      </w:r>
      <w:r>
        <w:rPr>
          <w:rFonts w:ascii="宋体" w:hAnsi="宋体" w:eastAsia="宋体" w:cs="宋体"/>
          <w:spacing w:val="-7"/>
          <w:sz w:val="24"/>
          <w:szCs w:val="24"/>
        </w:rPr>
        <w:t>空气、声环境和生态环境</w:t>
      </w:r>
    </w:p>
    <w:p>
      <w:pPr>
        <w:spacing w:before="1" w:line="219" w:lineRule="auto"/>
        <w:jc w:val="right"/>
        <w:rPr>
          <w:rFonts w:ascii="宋体" w:hAnsi="宋体" w:eastAsia="宋体" w:cs="宋体"/>
          <w:sz w:val="24"/>
          <w:szCs w:val="24"/>
        </w:rPr>
      </w:pPr>
      <w:r>
        <w:rPr>
          <w:rFonts w:ascii="宋体" w:hAnsi="宋体" w:eastAsia="宋体" w:cs="宋体"/>
          <w:spacing w:val="-1"/>
          <w:sz w:val="24"/>
          <w:szCs w:val="24"/>
        </w:rPr>
        <w:t>现状，识别区域环境功能要求、生态环境敏感目标及区域存在的主要环境问题。</w:t>
      </w:r>
    </w:p>
    <w:p>
      <w:pPr>
        <w:spacing w:before="182" w:line="468" w:lineRule="exact"/>
        <w:ind w:left="525"/>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2</w:t>
      </w:r>
      <w:r>
        <w:rPr>
          <w:rFonts w:ascii="宋体" w:hAnsi="宋体" w:eastAsia="宋体" w:cs="宋体"/>
          <w:position w:val="17"/>
          <w:sz w:val="24"/>
          <w:szCs w:val="24"/>
        </w:rPr>
        <w:t>）根据工程施工工艺、方法，工程性质、工程运行特点，预测和评价工</w:t>
      </w:r>
    </w:p>
    <w:p>
      <w:pPr>
        <w:spacing w:before="1" w:line="219" w:lineRule="auto"/>
        <w:ind w:left="38"/>
        <w:rPr>
          <w:rFonts w:ascii="宋体" w:hAnsi="宋体" w:eastAsia="宋体" w:cs="宋体"/>
          <w:sz w:val="24"/>
          <w:szCs w:val="24"/>
        </w:rPr>
      </w:pPr>
      <w:r>
        <w:rPr>
          <w:rFonts w:ascii="宋体" w:hAnsi="宋体" w:eastAsia="宋体" w:cs="宋体"/>
          <w:spacing w:val="-9"/>
          <w:sz w:val="24"/>
          <w:szCs w:val="24"/>
        </w:rPr>
        <w:t>程建设、运行对坝区、灌区、</w:t>
      </w:r>
      <w:r>
        <w:rPr>
          <w:rFonts w:ascii="宋体" w:hAnsi="宋体" w:eastAsia="宋体" w:cs="宋体"/>
          <w:spacing w:val="57"/>
          <w:sz w:val="24"/>
          <w:szCs w:val="24"/>
        </w:rPr>
        <w:t xml:space="preserve"> </w:t>
      </w:r>
      <w:r>
        <w:rPr>
          <w:rFonts w:ascii="宋体" w:hAnsi="宋体" w:eastAsia="宋体" w:cs="宋体"/>
          <w:spacing w:val="-9"/>
          <w:sz w:val="24"/>
          <w:szCs w:val="24"/>
        </w:rPr>
        <w:t>桂花河生态环境的影响。</w:t>
      </w:r>
    </w:p>
    <w:p>
      <w:pPr>
        <w:spacing w:before="183" w:line="360" w:lineRule="auto"/>
        <w:ind w:left="39" w:right="80" w:firstLine="48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）根据环境影响预测评价结论， 提出减免</w:t>
      </w:r>
      <w:r>
        <w:rPr>
          <w:rFonts w:ascii="宋体" w:hAnsi="宋体" w:eastAsia="宋体" w:cs="宋体"/>
          <w:spacing w:val="-4"/>
          <w:sz w:val="24"/>
          <w:szCs w:val="24"/>
        </w:rPr>
        <w:t>不利影响的对策措施，使区域</w:t>
      </w:r>
      <w:r>
        <w:rPr>
          <w:rFonts w:ascii="宋体" w:hAnsi="宋体" w:eastAsia="宋体" w:cs="宋体"/>
          <w:sz w:val="24"/>
          <w:szCs w:val="24"/>
        </w:rPr>
        <w:t xml:space="preserve"> </w:t>
      </w:r>
      <w:r>
        <w:rPr>
          <w:rFonts w:ascii="宋体" w:hAnsi="宋体" w:eastAsia="宋体" w:cs="宋体"/>
          <w:spacing w:val="-12"/>
          <w:sz w:val="24"/>
          <w:szCs w:val="24"/>
        </w:rPr>
        <w:t>环境质量不因工程建设和运行下降，</w:t>
      </w:r>
      <w:r>
        <w:rPr>
          <w:rFonts w:ascii="宋体" w:hAnsi="宋体" w:eastAsia="宋体" w:cs="宋体"/>
          <w:spacing w:val="43"/>
          <w:sz w:val="24"/>
          <w:szCs w:val="24"/>
        </w:rPr>
        <w:t xml:space="preserve"> </w:t>
      </w:r>
      <w:r>
        <w:rPr>
          <w:rFonts w:ascii="宋体" w:hAnsi="宋体" w:eastAsia="宋体" w:cs="宋体"/>
          <w:spacing w:val="-12"/>
          <w:sz w:val="24"/>
          <w:szCs w:val="24"/>
        </w:rPr>
        <w:t>生态系统、生物多样性得到有效保护，</w:t>
      </w:r>
      <w:r>
        <w:rPr>
          <w:rFonts w:ascii="宋体" w:hAnsi="宋体" w:eastAsia="宋体" w:cs="宋体"/>
          <w:spacing w:val="33"/>
          <w:sz w:val="24"/>
          <w:szCs w:val="24"/>
        </w:rPr>
        <w:t xml:space="preserve"> </w:t>
      </w:r>
      <w:r>
        <w:rPr>
          <w:rFonts w:ascii="宋体" w:hAnsi="宋体" w:eastAsia="宋体" w:cs="宋体"/>
          <w:spacing w:val="-12"/>
          <w:sz w:val="24"/>
          <w:szCs w:val="24"/>
        </w:rPr>
        <w:t>充分</w:t>
      </w:r>
      <w:r>
        <w:rPr>
          <w:rFonts w:ascii="宋体" w:hAnsi="宋体" w:eastAsia="宋体" w:cs="宋体"/>
          <w:sz w:val="24"/>
          <w:szCs w:val="24"/>
        </w:rPr>
        <w:t xml:space="preserve"> </w:t>
      </w:r>
      <w:r>
        <w:rPr>
          <w:rFonts w:ascii="宋体" w:hAnsi="宋体" w:eastAsia="宋体" w:cs="宋体"/>
          <w:spacing w:val="-8"/>
          <w:sz w:val="24"/>
          <w:szCs w:val="24"/>
        </w:rPr>
        <w:t>发挥工程经济效益、社会效益和环境效益，</w:t>
      </w:r>
      <w:r>
        <w:rPr>
          <w:rFonts w:ascii="宋体" w:hAnsi="宋体" w:eastAsia="宋体" w:cs="宋体"/>
          <w:spacing w:val="53"/>
          <w:sz w:val="24"/>
          <w:szCs w:val="24"/>
        </w:rPr>
        <w:t xml:space="preserve"> </w:t>
      </w:r>
      <w:r>
        <w:rPr>
          <w:rFonts w:ascii="宋体" w:hAnsi="宋体" w:eastAsia="宋体" w:cs="宋体"/>
          <w:spacing w:val="-8"/>
          <w:sz w:val="24"/>
          <w:szCs w:val="24"/>
        </w:rPr>
        <w:t>促进工程区域经济、社会、资源、环</w:t>
      </w:r>
    </w:p>
    <w:p>
      <w:pPr>
        <w:spacing w:before="1" w:line="219" w:lineRule="auto"/>
        <w:ind w:left="40"/>
        <w:rPr>
          <w:rFonts w:ascii="宋体" w:hAnsi="宋体" w:eastAsia="宋体" w:cs="宋体"/>
          <w:sz w:val="24"/>
          <w:szCs w:val="24"/>
        </w:rPr>
      </w:pPr>
      <w:r>
        <w:rPr>
          <w:rFonts w:ascii="宋体" w:hAnsi="宋体" w:eastAsia="宋体" w:cs="宋体"/>
          <w:spacing w:val="-2"/>
          <w:sz w:val="24"/>
          <w:szCs w:val="24"/>
        </w:rPr>
        <w:t>境可持续发展。</w:t>
      </w:r>
    </w:p>
    <w:p>
      <w:pPr>
        <w:spacing w:before="182" w:line="468" w:lineRule="exact"/>
        <w:ind w:left="525"/>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4</w:t>
      </w:r>
      <w:r>
        <w:rPr>
          <w:rFonts w:ascii="宋体" w:hAnsi="宋体" w:eastAsia="宋体" w:cs="宋体"/>
          <w:spacing w:val="-3"/>
          <w:position w:val="17"/>
          <w:sz w:val="24"/>
          <w:szCs w:val="24"/>
        </w:rPr>
        <w:t>）制定工程施工期和运行期环境监测计</w:t>
      </w:r>
      <w:r>
        <w:rPr>
          <w:rFonts w:ascii="宋体" w:hAnsi="宋体" w:eastAsia="宋体" w:cs="宋体"/>
          <w:spacing w:val="-4"/>
          <w:position w:val="17"/>
          <w:sz w:val="24"/>
          <w:szCs w:val="24"/>
        </w:rPr>
        <w:t>划， 便于及时掌握工程对环境的</w:t>
      </w:r>
    </w:p>
    <w:p>
      <w:pPr>
        <w:spacing w:before="1" w:line="218" w:lineRule="auto"/>
        <w:ind w:left="45"/>
        <w:rPr>
          <w:rFonts w:ascii="宋体" w:hAnsi="宋体" w:eastAsia="宋体" w:cs="宋体"/>
          <w:sz w:val="24"/>
          <w:szCs w:val="24"/>
        </w:rPr>
      </w:pPr>
      <w:r>
        <w:rPr>
          <w:rFonts w:ascii="宋体" w:hAnsi="宋体" w:eastAsia="宋体" w:cs="宋体"/>
          <w:spacing w:val="-2"/>
          <w:sz w:val="24"/>
          <w:szCs w:val="24"/>
        </w:rPr>
        <w:t>实际影响程度，为工程环境管理提供科学依据。</w:t>
      </w:r>
    </w:p>
    <w:p>
      <w:pPr>
        <w:spacing w:before="184" w:line="360" w:lineRule="auto"/>
        <w:ind w:left="40" w:right="80"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）分析工程区及周边地区生态与环境整体变化趋势，论证工程兴建的环</w:t>
      </w:r>
      <w:r>
        <w:rPr>
          <w:rFonts w:ascii="宋体" w:hAnsi="宋体" w:eastAsia="宋体" w:cs="宋体"/>
          <w:spacing w:val="5"/>
          <w:sz w:val="24"/>
          <w:szCs w:val="24"/>
        </w:rPr>
        <w:t xml:space="preserve"> </w:t>
      </w:r>
      <w:r>
        <w:rPr>
          <w:rFonts w:ascii="宋体" w:hAnsi="宋体" w:eastAsia="宋体" w:cs="宋体"/>
          <w:spacing w:val="-9"/>
          <w:sz w:val="24"/>
          <w:szCs w:val="24"/>
        </w:rPr>
        <w:t>境可行性，</w:t>
      </w:r>
      <w:r>
        <w:rPr>
          <w:rFonts w:ascii="宋体" w:hAnsi="宋体" w:eastAsia="宋体" w:cs="宋体"/>
          <w:spacing w:val="-53"/>
          <w:sz w:val="24"/>
          <w:szCs w:val="24"/>
        </w:rPr>
        <w:t xml:space="preserve"> </w:t>
      </w:r>
      <w:r>
        <w:rPr>
          <w:rFonts w:ascii="宋体" w:hAnsi="宋体" w:eastAsia="宋体" w:cs="宋体"/>
          <w:spacing w:val="-9"/>
          <w:sz w:val="24"/>
          <w:szCs w:val="24"/>
        </w:rPr>
        <w:t>为工程方案论证、可行性研究和主管部门决策</w:t>
      </w:r>
      <w:r>
        <w:rPr>
          <w:rFonts w:ascii="宋体" w:hAnsi="宋体" w:eastAsia="宋体" w:cs="宋体"/>
          <w:spacing w:val="-10"/>
          <w:sz w:val="24"/>
          <w:szCs w:val="24"/>
        </w:rPr>
        <w:t>提供科学依据，</w:t>
      </w:r>
      <w:r>
        <w:rPr>
          <w:rFonts w:ascii="宋体" w:hAnsi="宋体" w:eastAsia="宋体" w:cs="宋体"/>
          <w:spacing w:val="33"/>
          <w:sz w:val="24"/>
          <w:szCs w:val="24"/>
        </w:rPr>
        <w:t xml:space="preserve"> </w:t>
      </w:r>
      <w:r>
        <w:rPr>
          <w:rFonts w:ascii="宋体" w:hAnsi="宋体" w:eastAsia="宋体" w:cs="宋体"/>
          <w:spacing w:val="-10"/>
          <w:sz w:val="24"/>
          <w:szCs w:val="24"/>
        </w:rPr>
        <w:t>为工程</w:t>
      </w:r>
    </w:p>
    <w:p>
      <w:pPr>
        <w:spacing w:before="1" w:line="218" w:lineRule="auto"/>
        <w:ind w:left="39"/>
        <w:rPr>
          <w:rFonts w:ascii="宋体" w:hAnsi="宋体" w:eastAsia="宋体" w:cs="宋体"/>
          <w:sz w:val="24"/>
          <w:szCs w:val="24"/>
        </w:rPr>
      </w:pPr>
      <w:r>
        <w:rPr>
          <w:rFonts w:ascii="宋体" w:hAnsi="宋体" w:eastAsia="宋体" w:cs="宋体"/>
          <w:spacing w:val="-3"/>
          <w:sz w:val="24"/>
          <w:szCs w:val="24"/>
        </w:rPr>
        <w:t>环境保护设计和工程建设环境管理提供依据。</w:t>
      </w:r>
    </w:p>
    <w:p>
      <w:pPr>
        <w:spacing w:line="355" w:lineRule="auto"/>
        <w:rPr>
          <w:rFonts w:ascii="Arial"/>
          <w:sz w:val="21"/>
        </w:rPr>
      </w:pPr>
    </w:p>
    <w:p>
      <w:pPr>
        <w:pStyle w:val="2"/>
        <w:spacing w:before="78" w:line="219" w:lineRule="auto"/>
        <w:ind w:left="45"/>
        <w:outlineLvl w:val="1"/>
        <w:rPr>
          <w:sz w:val="24"/>
          <w:szCs w:val="24"/>
        </w:rPr>
      </w:pPr>
      <w:r>
        <w:rPr>
          <w:rFonts w:ascii="Times New Roman" w:hAnsi="Times New Roman" w:eastAsia="Times New Roman" w:cs="Times New Roman"/>
          <w:b/>
          <w:bCs/>
          <w:spacing w:val="-2"/>
          <w:sz w:val="24"/>
          <w:szCs w:val="24"/>
        </w:rPr>
        <w:t xml:space="preserve">1.1.2 </w:t>
      </w:r>
      <w:r>
        <w:rPr>
          <w:spacing w:val="-2"/>
          <w:sz w:val="24"/>
          <w:szCs w:val="24"/>
          <w14:textOutline w14:w="4354" w14:cap="flat" w14:cmpd="sng">
            <w14:solidFill>
              <w14:srgbClr w14:val="000000"/>
            </w14:solidFill>
            <w14:prstDash w14:val="solid"/>
            <w14:miter w14:val="0"/>
          </w14:textOutline>
        </w:rPr>
        <w:t>评价原则</w:t>
      </w:r>
    </w:p>
    <w:p>
      <w:pPr>
        <w:spacing w:before="295" w:line="468" w:lineRule="exact"/>
        <w:ind w:left="526"/>
        <w:rPr>
          <w:rFonts w:ascii="宋体" w:hAnsi="宋体" w:eastAsia="宋体" w:cs="宋体"/>
          <w:sz w:val="24"/>
          <w:szCs w:val="24"/>
        </w:rPr>
      </w:pPr>
      <w:r>
        <w:rPr>
          <w:rFonts w:ascii="宋体" w:hAnsi="宋体" w:eastAsia="宋体" w:cs="宋体"/>
          <w:spacing w:val="-2"/>
          <w:position w:val="17"/>
          <w:sz w:val="24"/>
          <w:szCs w:val="24"/>
        </w:rPr>
        <w:t>突出环境影响评价的源头预防作用，坚持保护和改善环境质量。</w:t>
      </w:r>
    </w:p>
    <w:p>
      <w:pPr>
        <w:spacing w:line="218"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）依法评价</w:t>
      </w:r>
    </w:p>
    <w:p>
      <w:pPr>
        <w:spacing w:before="185" w:line="468" w:lineRule="exact"/>
        <w:ind w:left="525"/>
        <w:rPr>
          <w:rFonts w:ascii="宋体" w:hAnsi="宋体" w:eastAsia="宋体" w:cs="宋体"/>
          <w:sz w:val="24"/>
          <w:szCs w:val="24"/>
        </w:rPr>
      </w:pPr>
      <w:r>
        <w:rPr>
          <w:rFonts w:ascii="宋体" w:hAnsi="宋体" w:eastAsia="宋体" w:cs="宋体"/>
          <w:spacing w:val="-14"/>
          <w:position w:val="17"/>
          <w:sz w:val="24"/>
          <w:szCs w:val="24"/>
        </w:rPr>
        <w:t>贯彻执行我国环境保护相关法律法规、标准、政策和规划等，</w:t>
      </w:r>
      <w:r>
        <w:rPr>
          <w:rFonts w:ascii="宋体" w:hAnsi="宋体" w:eastAsia="宋体" w:cs="宋体"/>
          <w:spacing w:val="-38"/>
          <w:position w:val="17"/>
          <w:sz w:val="24"/>
          <w:szCs w:val="24"/>
        </w:rPr>
        <w:t xml:space="preserve"> </w:t>
      </w:r>
      <w:r>
        <w:rPr>
          <w:rFonts w:ascii="宋体" w:hAnsi="宋体" w:eastAsia="宋体" w:cs="宋体"/>
          <w:spacing w:val="-14"/>
          <w:position w:val="17"/>
          <w:sz w:val="24"/>
          <w:szCs w:val="24"/>
        </w:rPr>
        <w:t>优化项目建设，</w:t>
      </w:r>
    </w:p>
    <w:p>
      <w:pPr>
        <w:spacing w:line="219" w:lineRule="auto"/>
        <w:ind w:left="39"/>
        <w:rPr>
          <w:rFonts w:ascii="宋体" w:hAnsi="宋体" w:eastAsia="宋体" w:cs="宋体"/>
          <w:sz w:val="24"/>
          <w:szCs w:val="24"/>
        </w:rPr>
      </w:pPr>
      <w:r>
        <w:rPr>
          <w:rFonts w:ascii="宋体" w:hAnsi="宋体" w:eastAsia="宋体" w:cs="宋体"/>
          <w:spacing w:val="-6"/>
          <w:sz w:val="24"/>
          <w:szCs w:val="24"/>
        </w:rPr>
        <w:t>服务环境管理。</w:t>
      </w:r>
    </w:p>
    <w:p>
      <w:pPr>
        <w:spacing w:before="183" w:line="218"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）科学评价</w:t>
      </w:r>
    </w:p>
    <w:p>
      <w:pPr>
        <w:spacing w:before="185" w:line="468" w:lineRule="exact"/>
        <w:ind w:left="518"/>
        <w:rPr>
          <w:rFonts w:ascii="宋体" w:hAnsi="宋体" w:eastAsia="宋体" w:cs="宋体"/>
          <w:sz w:val="24"/>
          <w:szCs w:val="24"/>
        </w:rPr>
      </w:pPr>
      <w:r>
        <w:rPr>
          <w:rFonts w:ascii="宋体" w:hAnsi="宋体" w:eastAsia="宋体" w:cs="宋体"/>
          <w:spacing w:val="-1"/>
          <w:position w:val="17"/>
          <w:sz w:val="24"/>
          <w:szCs w:val="24"/>
        </w:rPr>
        <w:t>采用规范的环境影响评价方法，科学分析项目</w:t>
      </w:r>
      <w:r>
        <w:rPr>
          <w:rFonts w:ascii="宋体" w:hAnsi="宋体" w:eastAsia="宋体" w:cs="宋体"/>
          <w:spacing w:val="-2"/>
          <w:position w:val="17"/>
          <w:sz w:val="24"/>
          <w:szCs w:val="24"/>
        </w:rPr>
        <w:t>建设对环境质量的影响。</w:t>
      </w:r>
    </w:p>
    <w:p>
      <w:pPr>
        <w:spacing w:line="223"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）突出重点</w:t>
      </w:r>
    </w:p>
    <w:p>
      <w:pPr>
        <w:spacing w:line="223" w:lineRule="auto"/>
        <w:rPr>
          <w:rFonts w:ascii="宋体" w:hAnsi="宋体" w:eastAsia="宋体" w:cs="宋体"/>
          <w:sz w:val="24"/>
          <w:szCs w:val="24"/>
        </w:rPr>
        <w:sectPr>
          <w:headerReference r:id="rId20" w:type="default"/>
          <w:footerReference r:id="rId21" w:type="default"/>
          <w:pgSz w:w="11907" w:h="16839"/>
          <w:pgMar w:top="1156" w:right="1718" w:bottom="1154" w:left="1770" w:header="881" w:footer="991" w:gutter="0"/>
        </w:sectPr>
      </w:pPr>
    </w:p>
    <w:p>
      <w:pPr>
        <w:spacing w:line="317" w:lineRule="auto"/>
        <w:rPr>
          <w:rFonts w:ascii="Arial"/>
          <w:sz w:val="21"/>
        </w:rPr>
      </w:pPr>
    </w:p>
    <w:p>
      <w:pPr>
        <w:spacing w:before="78" w:line="360" w:lineRule="auto"/>
        <w:ind w:left="42" w:right="30" w:firstLine="477"/>
        <w:jc w:val="both"/>
        <w:rPr>
          <w:rFonts w:ascii="宋体" w:hAnsi="宋体" w:eastAsia="宋体" w:cs="宋体"/>
          <w:sz w:val="24"/>
          <w:szCs w:val="24"/>
        </w:rPr>
      </w:pPr>
      <w:r>
        <w:rPr>
          <w:rFonts w:ascii="宋体" w:hAnsi="宋体" w:eastAsia="宋体" w:cs="宋体"/>
          <w:spacing w:val="-11"/>
          <w:sz w:val="24"/>
          <w:szCs w:val="24"/>
        </w:rPr>
        <w:t>根据建设项目的工程内容及其特点，</w:t>
      </w:r>
      <w:r>
        <w:rPr>
          <w:rFonts w:ascii="宋体" w:hAnsi="宋体" w:eastAsia="宋体" w:cs="宋体"/>
          <w:spacing w:val="37"/>
          <w:sz w:val="24"/>
          <w:szCs w:val="24"/>
        </w:rPr>
        <w:t xml:space="preserve"> </w:t>
      </w:r>
      <w:r>
        <w:rPr>
          <w:rFonts w:ascii="宋体" w:hAnsi="宋体" w:eastAsia="宋体" w:cs="宋体"/>
          <w:spacing w:val="-11"/>
          <w:sz w:val="24"/>
          <w:szCs w:val="24"/>
        </w:rPr>
        <w:t>明确与环境要素间的作用</w:t>
      </w:r>
      <w:r>
        <w:rPr>
          <w:rFonts w:ascii="宋体" w:hAnsi="宋体" w:eastAsia="宋体" w:cs="宋体"/>
          <w:spacing w:val="-12"/>
          <w:sz w:val="24"/>
          <w:szCs w:val="24"/>
        </w:rPr>
        <w:t>效应关系， 充</w:t>
      </w:r>
      <w:r>
        <w:rPr>
          <w:rFonts w:ascii="宋体" w:hAnsi="宋体" w:eastAsia="宋体" w:cs="宋体"/>
          <w:sz w:val="24"/>
          <w:szCs w:val="24"/>
        </w:rPr>
        <w:t xml:space="preserve"> </w:t>
      </w:r>
      <w:r>
        <w:rPr>
          <w:rFonts w:ascii="宋体" w:hAnsi="宋体" w:eastAsia="宋体" w:cs="宋体"/>
          <w:spacing w:val="-6"/>
          <w:sz w:val="24"/>
          <w:szCs w:val="24"/>
        </w:rPr>
        <w:t>分利用符合时效的数据资料及成果，</w:t>
      </w:r>
      <w:r>
        <w:rPr>
          <w:rFonts w:ascii="宋体" w:hAnsi="宋体" w:eastAsia="宋体" w:cs="宋体"/>
          <w:spacing w:val="-17"/>
          <w:sz w:val="24"/>
          <w:szCs w:val="24"/>
        </w:rPr>
        <w:t xml:space="preserve"> </w:t>
      </w:r>
      <w:r>
        <w:rPr>
          <w:rFonts w:ascii="宋体" w:hAnsi="宋体" w:eastAsia="宋体" w:cs="宋体"/>
          <w:spacing w:val="-6"/>
          <w:sz w:val="24"/>
          <w:szCs w:val="24"/>
        </w:rPr>
        <w:t>对建设项目主要环境影响予以重点分析和评</w:t>
      </w:r>
    </w:p>
    <w:p>
      <w:pPr>
        <w:spacing w:line="218" w:lineRule="auto"/>
        <w:ind w:left="40"/>
        <w:rPr>
          <w:rFonts w:ascii="宋体" w:hAnsi="宋体" w:eastAsia="宋体" w:cs="宋体"/>
          <w:sz w:val="24"/>
          <w:szCs w:val="24"/>
        </w:rPr>
      </w:pPr>
      <w:r>
        <w:rPr>
          <w:rFonts w:ascii="宋体" w:hAnsi="宋体" w:eastAsia="宋体" w:cs="宋体"/>
          <w:spacing w:val="-6"/>
          <w:sz w:val="24"/>
          <w:szCs w:val="24"/>
        </w:rPr>
        <w:t>价。</w:t>
      </w:r>
    </w:p>
    <w:p>
      <w:pPr>
        <w:spacing w:line="313" w:lineRule="auto"/>
        <w:rPr>
          <w:rFonts w:ascii="Arial"/>
          <w:sz w:val="21"/>
        </w:rPr>
      </w:pPr>
    </w:p>
    <w:p>
      <w:pPr>
        <w:pStyle w:val="2"/>
        <w:spacing w:before="87" w:line="239" w:lineRule="auto"/>
        <w:ind w:left="48"/>
        <w:outlineLvl w:val="0"/>
        <w:rPr>
          <w:sz w:val="27"/>
          <w:szCs w:val="27"/>
        </w:rPr>
      </w:pPr>
      <w:bookmarkStart w:id="10" w:name="bookmark11"/>
      <w:bookmarkEnd w:id="10"/>
      <w:r>
        <w:rPr>
          <w:rFonts w:ascii="Times New Roman" w:hAnsi="Times New Roman" w:eastAsia="Times New Roman" w:cs="Times New Roman"/>
          <w:b/>
          <w:bCs/>
          <w:spacing w:val="4"/>
          <w:sz w:val="27"/>
          <w:szCs w:val="27"/>
        </w:rPr>
        <w:t xml:space="preserve">1.2 </w:t>
      </w:r>
      <w:r>
        <w:rPr>
          <w:spacing w:val="4"/>
          <w:sz w:val="27"/>
          <w:szCs w:val="27"/>
          <w14:textOutline w14:w="5072" w14:cap="flat" w14:cmpd="sng">
            <w14:solidFill>
              <w14:srgbClr w14:val="000000"/>
            </w14:solidFill>
            <w14:prstDash w14:val="solid"/>
            <w14:miter w14:val="0"/>
          </w14:textOutline>
        </w:rPr>
        <w:t>编制依据</w:t>
      </w:r>
    </w:p>
    <w:p>
      <w:pPr>
        <w:spacing w:line="280"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4"/>
          <w:sz w:val="24"/>
          <w:szCs w:val="24"/>
        </w:rPr>
        <w:t>1.2.1</w:t>
      </w:r>
      <w:r>
        <w:rPr>
          <w:rFonts w:ascii="Times New Roman" w:hAnsi="Times New Roman" w:eastAsia="Times New Roman" w:cs="Times New Roman"/>
          <w:b/>
          <w:bCs/>
          <w:spacing w:val="12"/>
          <w:sz w:val="24"/>
          <w:szCs w:val="24"/>
        </w:rPr>
        <w:t xml:space="preserve"> </w:t>
      </w:r>
      <w:r>
        <w:rPr>
          <w:spacing w:val="-4"/>
          <w:sz w:val="24"/>
          <w:szCs w:val="24"/>
          <w14:textOutline w14:w="4354" w14:cap="flat" w14:cmpd="sng">
            <w14:solidFill>
              <w14:srgbClr w14:val="000000"/>
            </w14:solidFill>
            <w14:prstDash w14:val="solid"/>
            <w14:miter w14:val="0"/>
          </w14:textOutline>
        </w:rPr>
        <w:t>法律</w:t>
      </w:r>
    </w:p>
    <w:p>
      <w:pPr>
        <w:spacing w:before="277" w:line="220" w:lineRule="auto"/>
        <w:ind w:left="516"/>
        <w:rPr>
          <w:rFonts w:ascii="宋体" w:hAnsi="宋体" w:eastAsia="宋体" w:cs="宋体"/>
          <w:sz w:val="24"/>
          <w:szCs w:val="24"/>
        </w:rPr>
      </w:pPr>
      <w:r>
        <w:rPr>
          <w:rFonts w:ascii="宋体" w:hAnsi="宋体" w:eastAsia="宋体" w:cs="宋体"/>
          <w:spacing w:val="-17"/>
          <w:sz w:val="24"/>
          <w:szCs w:val="24"/>
        </w:rPr>
        <w:t>（</w:t>
      </w:r>
      <w:r>
        <w:rPr>
          <w:rFonts w:ascii="Times New Roman" w:hAnsi="Times New Roman" w:eastAsia="Times New Roman" w:cs="Times New Roman"/>
          <w:spacing w:val="-17"/>
          <w:sz w:val="24"/>
          <w:szCs w:val="24"/>
        </w:rPr>
        <w:t>1</w:t>
      </w:r>
      <w:r>
        <w:rPr>
          <w:rFonts w:ascii="宋体" w:hAnsi="宋体" w:eastAsia="宋体" w:cs="宋体"/>
          <w:spacing w:val="-17"/>
          <w:sz w:val="24"/>
          <w:szCs w:val="24"/>
        </w:rPr>
        <w:t>）《中华人民共和国环境保护法》（</w:t>
      </w:r>
      <w:r>
        <w:rPr>
          <w:rFonts w:ascii="Times New Roman" w:hAnsi="Times New Roman" w:eastAsia="Times New Roman" w:cs="Times New Roman"/>
          <w:spacing w:val="-17"/>
          <w:sz w:val="24"/>
          <w:szCs w:val="24"/>
        </w:rPr>
        <w:t>2015</w:t>
      </w:r>
      <w:r>
        <w:rPr>
          <w:rFonts w:ascii="Times New Roman" w:hAnsi="Times New Roman" w:eastAsia="Times New Roman" w:cs="Times New Roman"/>
          <w:spacing w:val="10"/>
          <w:sz w:val="24"/>
          <w:szCs w:val="24"/>
        </w:rPr>
        <w:t xml:space="preserve"> </w:t>
      </w:r>
      <w:r>
        <w:rPr>
          <w:rFonts w:ascii="宋体" w:hAnsi="宋体" w:eastAsia="宋体" w:cs="宋体"/>
          <w:spacing w:val="-1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7"/>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17"/>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7"/>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17"/>
          <w:sz w:val="24"/>
          <w:szCs w:val="24"/>
        </w:rPr>
        <w:t>日施行</w:t>
      </w:r>
      <w:r>
        <w:rPr>
          <w:rFonts w:ascii="宋体" w:hAnsi="宋体" w:eastAsia="宋体" w:cs="宋体"/>
          <w:spacing w:val="-16"/>
          <w:sz w:val="24"/>
          <w:szCs w:val="24"/>
        </w:rPr>
        <w:t>）；</w:t>
      </w:r>
    </w:p>
    <w:p>
      <w:pPr>
        <w:spacing w:before="182" w:line="468" w:lineRule="exact"/>
        <w:ind w:left="516"/>
        <w:rPr>
          <w:rFonts w:ascii="宋体" w:hAnsi="宋体" w:eastAsia="宋体" w:cs="宋体"/>
          <w:sz w:val="24"/>
          <w:szCs w:val="24"/>
        </w:rPr>
      </w:pPr>
      <w:r>
        <w:rPr>
          <w:rFonts w:ascii="宋体" w:hAnsi="宋体" w:eastAsia="宋体" w:cs="宋体"/>
          <w:spacing w:val="-12"/>
          <w:position w:val="17"/>
          <w:sz w:val="24"/>
          <w:szCs w:val="24"/>
        </w:rPr>
        <w:t>（</w:t>
      </w:r>
      <w:r>
        <w:rPr>
          <w:rFonts w:ascii="Times New Roman" w:hAnsi="Times New Roman" w:eastAsia="Times New Roman" w:cs="Times New Roman"/>
          <w:spacing w:val="-12"/>
          <w:position w:val="17"/>
          <w:sz w:val="24"/>
          <w:szCs w:val="24"/>
        </w:rPr>
        <w:t>2</w:t>
      </w:r>
      <w:r>
        <w:rPr>
          <w:rFonts w:ascii="宋体" w:hAnsi="宋体" w:eastAsia="宋体" w:cs="宋体"/>
          <w:spacing w:val="-12"/>
          <w:position w:val="17"/>
          <w:sz w:val="24"/>
          <w:szCs w:val="24"/>
        </w:rPr>
        <w:t>）《中华人民共和国环境影响评价法》（</w:t>
      </w:r>
      <w:r>
        <w:rPr>
          <w:rFonts w:ascii="Times New Roman" w:hAnsi="Times New Roman" w:eastAsia="Times New Roman" w:cs="Times New Roman"/>
          <w:spacing w:val="-12"/>
          <w:position w:val="17"/>
          <w:sz w:val="24"/>
          <w:szCs w:val="24"/>
        </w:rPr>
        <w:t>2018</w:t>
      </w:r>
      <w:r>
        <w:rPr>
          <w:rFonts w:ascii="Times New Roman" w:hAnsi="Times New Roman" w:eastAsia="Times New Roman" w:cs="Times New Roman"/>
          <w:spacing w:val="-13"/>
          <w:position w:val="17"/>
          <w:sz w:val="24"/>
          <w:szCs w:val="24"/>
        </w:rPr>
        <w:t xml:space="preserve"> </w:t>
      </w:r>
      <w:r>
        <w:rPr>
          <w:rFonts w:ascii="宋体" w:hAnsi="宋体" w:eastAsia="宋体" w:cs="宋体"/>
          <w:spacing w:val="-13"/>
          <w:position w:val="17"/>
          <w:sz w:val="24"/>
          <w:szCs w:val="24"/>
        </w:rPr>
        <w:t>年</w:t>
      </w:r>
      <w:r>
        <w:rPr>
          <w:rFonts w:ascii="宋体" w:hAnsi="宋体" w:eastAsia="宋体" w:cs="宋体"/>
          <w:spacing w:val="-31"/>
          <w:position w:val="17"/>
          <w:sz w:val="24"/>
          <w:szCs w:val="24"/>
        </w:rPr>
        <w:t xml:space="preserve"> </w:t>
      </w:r>
      <w:r>
        <w:rPr>
          <w:rFonts w:ascii="Times New Roman" w:hAnsi="Times New Roman" w:eastAsia="Times New Roman" w:cs="Times New Roman"/>
          <w:spacing w:val="-13"/>
          <w:position w:val="17"/>
          <w:sz w:val="24"/>
          <w:szCs w:val="24"/>
        </w:rPr>
        <w:t>12</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13"/>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13"/>
          <w:position w:val="17"/>
          <w:sz w:val="24"/>
          <w:szCs w:val="24"/>
        </w:rPr>
        <w:t xml:space="preserve">29  </w:t>
      </w:r>
      <w:r>
        <w:rPr>
          <w:rFonts w:ascii="宋体" w:hAnsi="宋体" w:eastAsia="宋体" w:cs="宋体"/>
          <w:spacing w:val="-13"/>
          <w:position w:val="17"/>
          <w:sz w:val="24"/>
          <w:szCs w:val="24"/>
        </w:rPr>
        <w:t>日修订施行</w:t>
      </w:r>
      <w:r>
        <w:rPr>
          <w:rFonts w:ascii="宋体" w:hAnsi="宋体" w:eastAsia="宋体" w:cs="宋体"/>
          <w:spacing w:val="-16"/>
          <w:position w:val="17"/>
          <w:sz w:val="24"/>
          <w:szCs w:val="24"/>
        </w:rPr>
        <w:t>）；</w:t>
      </w:r>
    </w:p>
    <w:p>
      <w:pPr>
        <w:spacing w:before="1" w:line="219" w:lineRule="auto"/>
        <w:ind w:left="516"/>
        <w:rPr>
          <w:rFonts w:ascii="宋体" w:hAnsi="宋体" w:eastAsia="宋体" w:cs="宋体"/>
          <w:sz w:val="24"/>
          <w:szCs w:val="24"/>
        </w:rPr>
      </w:pPr>
      <w:r>
        <w:rPr>
          <w:rFonts w:ascii="宋体" w:hAnsi="宋体" w:eastAsia="宋体" w:cs="宋体"/>
          <w:spacing w:val="-16"/>
          <w:sz w:val="24"/>
          <w:szCs w:val="24"/>
        </w:rPr>
        <w:t>（</w:t>
      </w:r>
      <w:r>
        <w:rPr>
          <w:rFonts w:ascii="Times New Roman" w:hAnsi="Times New Roman" w:eastAsia="Times New Roman" w:cs="Times New Roman"/>
          <w:spacing w:val="-16"/>
          <w:sz w:val="24"/>
          <w:szCs w:val="24"/>
        </w:rPr>
        <w:t>3</w:t>
      </w:r>
      <w:r>
        <w:rPr>
          <w:rFonts w:ascii="宋体" w:hAnsi="宋体" w:eastAsia="宋体" w:cs="宋体"/>
          <w:spacing w:val="-16"/>
          <w:sz w:val="24"/>
          <w:szCs w:val="24"/>
        </w:rPr>
        <w:t>）《中华人民共和国水法》（</w:t>
      </w:r>
      <w:r>
        <w:rPr>
          <w:rFonts w:ascii="Times New Roman" w:hAnsi="Times New Roman" w:eastAsia="Times New Roman" w:cs="Times New Roman"/>
          <w:spacing w:val="-16"/>
          <w:sz w:val="24"/>
          <w:szCs w:val="24"/>
        </w:rPr>
        <w:t>2016</w:t>
      </w:r>
      <w:r>
        <w:rPr>
          <w:rFonts w:ascii="Times New Roman" w:hAnsi="Times New Roman" w:eastAsia="Times New Roman" w:cs="Times New Roman"/>
          <w:spacing w:val="10"/>
          <w:sz w:val="24"/>
          <w:szCs w:val="24"/>
        </w:rPr>
        <w:t xml:space="preserve"> </w:t>
      </w:r>
      <w:r>
        <w:rPr>
          <w:rFonts w:ascii="宋体" w:hAnsi="宋体" w:eastAsia="宋体" w:cs="宋体"/>
          <w:spacing w:val="-16"/>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16"/>
          <w:sz w:val="24"/>
          <w:szCs w:val="24"/>
        </w:rPr>
        <w:t>7</w:t>
      </w:r>
      <w:r>
        <w:rPr>
          <w:rFonts w:ascii="Times New Roman" w:hAnsi="Times New Roman" w:eastAsia="Times New Roman" w:cs="Times New Roman"/>
          <w:spacing w:val="15"/>
          <w:w w:val="101"/>
          <w:sz w:val="24"/>
          <w:szCs w:val="24"/>
        </w:rPr>
        <w:t xml:space="preserve"> </w:t>
      </w:r>
      <w:r>
        <w:rPr>
          <w:rFonts w:ascii="宋体" w:hAnsi="宋体" w:eastAsia="宋体" w:cs="宋体"/>
          <w:spacing w:val="-16"/>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6"/>
          <w:sz w:val="24"/>
          <w:szCs w:val="24"/>
        </w:rPr>
        <w:t xml:space="preserve">2  </w:t>
      </w:r>
      <w:r>
        <w:rPr>
          <w:rFonts w:ascii="宋体" w:hAnsi="宋体" w:eastAsia="宋体" w:cs="宋体"/>
          <w:spacing w:val="-16"/>
          <w:sz w:val="24"/>
          <w:szCs w:val="24"/>
        </w:rPr>
        <w:t>日修订</w:t>
      </w:r>
      <w:r>
        <w:rPr>
          <w:rFonts w:ascii="宋体" w:hAnsi="宋体" w:eastAsia="宋体" w:cs="宋体"/>
          <w:spacing w:val="-22"/>
          <w:sz w:val="24"/>
          <w:szCs w:val="24"/>
        </w:rPr>
        <w:t>）；</w:t>
      </w:r>
    </w:p>
    <w:p>
      <w:pPr>
        <w:spacing w:before="183" w:line="360" w:lineRule="auto"/>
        <w:ind w:left="516" w:right="1261"/>
        <w:jc w:val="both"/>
        <w:rPr>
          <w:rFonts w:ascii="宋体" w:hAnsi="宋体" w:eastAsia="宋体" w:cs="宋体"/>
          <w:sz w:val="24"/>
          <w:szCs w:val="24"/>
        </w:rPr>
      </w:pPr>
      <w:r>
        <w:rPr>
          <w:rFonts w:ascii="宋体" w:hAnsi="宋体" w:eastAsia="宋体" w:cs="宋体"/>
          <w:spacing w:val="-15"/>
          <w:sz w:val="24"/>
          <w:szCs w:val="24"/>
        </w:rPr>
        <w:t>（</w:t>
      </w:r>
      <w:r>
        <w:rPr>
          <w:rFonts w:ascii="Times New Roman" w:hAnsi="Times New Roman" w:eastAsia="Times New Roman" w:cs="Times New Roman"/>
          <w:spacing w:val="-15"/>
          <w:sz w:val="24"/>
          <w:szCs w:val="24"/>
        </w:rPr>
        <w:t>4</w:t>
      </w:r>
      <w:r>
        <w:rPr>
          <w:rFonts w:ascii="宋体" w:hAnsi="宋体" w:eastAsia="宋体" w:cs="宋体"/>
          <w:spacing w:val="-15"/>
          <w:sz w:val="24"/>
          <w:szCs w:val="24"/>
        </w:rPr>
        <w:t>）《中华人民共和国土地管理法》（</w:t>
      </w:r>
      <w:r>
        <w:rPr>
          <w:rFonts w:ascii="Times New Roman" w:hAnsi="Times New Roman" w:eastAsia="Times New Roman" w:cs="Times New Roman"/>
          <w:spacing w:val="-15"/>
          <w:sz w:val="24"/>
          <w:szCs w:val="24"/>
        </w:rPr>
        <w:t>2019</w:t>
      </w:r>
      <w:r>
        <w:rPr>
          <w:rFonts w:ascii="Times New Roman" w:hAnsi="Times New Roman" w:eastAsia="Times New Roman" w:cs="Times New Roman"/>
          <w:spacing w:val="10"/>
          <w:sz w:val="24"/>
          <w:szCs w:val="24"/>
        </w:rPr>
        <w:t xml:space="preserve"> </w:t>
      </w:r>
      <w:r>
        <w:rPr>
          <w:rFonts w:ascii="宋体" w:hAnsi="宋体" w:eastAsia="宋体" w:cs="宋体"/>
          <w:spacing w:val="-15"/>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15"/>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1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5"/>
          <w:sz w:val="24"/>
          <w:szCs w:val="24"/>
        </w:rPr>
        <w:t>26</w:t>
      </w:r>
      <w:r>
        <w:rPr>
          <w:rFonts w:ascii="Times New Roman" w:hAnsi="Times New Roman" w:eastAsia="Times New Roman" w:cs="Times New Roman"/>
          <w:spacing w:val="50"/>
          <w:w w:val="101"/>
          <w:sz w:val="24"/>
          <w:szCs w:val="24"/>
        </w:rPr>
        <w:t xml:space="preserve"> </w:t>
      </w:r>
      <w:r>
        <w:rPr>
          <w:rFonts w:ascii="宋体" w:hAnsi="宋体" w:eastAsia="宋体" w:cs="宋体"/>
          <w:spacing w:val="-15"/>
          <w:sz w:val="24"/>
          <w:szCs w:val="24"/>
        </w:rPr>
        <w:t>日修正</w:t>
      </w:r>
      <w:r>
        <w:rPr>
          <w:rFonts w:ascii="宋体" w:hAnsi="宋体" w:eastAsia="宋体" w:cs="宋体"/>
          <w:spacing w:val="-39"/>
          <w:sz w:val="24"/>
          <w:szCs w:val="24"/>
        </w:rPr>
        <w:t>）；</w:t>
      </w:r>
      <w:r>
        <w:rPr>
          <w:rFonts w:ascii="宋体" w:hAnsi="宋体" w:eastAsia="宋体" w:cs="宋体"/>
          <w:sz w:val="24"/>
          <w:szCs w:val="24"/>
        </w:rPr>
        <w:t xml:space="preserve"> </w:t>
      </w:r>
      <w:r>
        <w:rPr>
          <w:rFonts w:ascii="宋体" w:hAnsi="宋体" w:eastAsia="宋体" w:cs="宋体"/>
          <w:spacing w:val="-15"/>
          <w:sz w:val="24"/>
          <w:szCs w:val="24"/>
        </w:rPr>
        <w:t>（</w:t>
      </w:r>
      <w:r>
        <w:rPr>
          <w:rFonts w:ascii="Times New Roman" w:hAnsi="Times New Roman" w:eastAsia="Times New Roman" w:cs="Times New Roman"/>
          <w:spacing w:val="-15"/>
          <w:sz w:val="24"/>
          <w:szCs w:val="24"/>
        </w:rPr>
        <w:t>5</w:t>
      </w:r>
      <w:r>
        <w:rPr>
          <w:rFonts w:ascii="宋体" w:hAnsi="宋体" w:eastAsia="宋体" w:cs="宋体"/>
          <w:spacing w:val="-15"/>
          <w:sz w:val="24"/>
          <w:szCs w:val="24"/>
        </w:rPr>
        <w:t>）《中华人民共和国矿产资源法》（</w:t>
      </w:r>
      <w:r>
        <w:rPr>
          <w:rFonts w:ascii="Times New Roman" w:hAnsi="Times New Roman" w:eastAsia="Times New Roman" w:cs="Times New Roman"/>
          <w:spacing w:val="-15"/>
          <w:sz w:val="24"/>
          <w:szCs w:val="24"/>
        </w:rPr>
        <w:t>2009</w:t>
      </w:r>
      <w:r>
        <w:rPr>
          <w:rFonts w:ascii="Times New Roman" w:hAnsi="Times New Roman" w:eastAsia="Times New Roman" w:cs="Times New Roman"/>
          <w:spacing w:val="10"/>
          <w:sz w:val="24"/>
          <w:szCs w:val="24"/>
        </w:rPr>
        <w:t xml:space="preserve"> </w:t>
      </w:r>
      <w:r>
        <w:rPr>
          <w:rFonts w:ascii="宋体" w:hAnsi="宋体" w:eastAsia="宋体" w:cs="宋体"/>
          <w:spacing w:val="-15"/>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15"/>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1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5"/>
          <w:sz w:val="24"/>
          <w:szCs w:val="24"/>
        </w:rPr>
        <w:t>27</w:t>
      </w:r>
      <w:r>
        <w:rPr>
          <w:rFonts w:ascii="Times New Roman" w:hAnsi="Times New Roman" w:eastAsia="Times New Roman" w:cs="Times New Roman"/>
          <w:spacing w:val="50"/>
          <w:w w:val="101"/>
          <w:sz w:val="24"/>
          <w:szCs w:val="24"/>
        </w:rPr>
        <w:t xml:space="preserve"> </w:t>
      </w:r>
      <w:r>
        <w:rPr>
          <w:rFonts w:ascii="宋体" w:hAnsi="宋体" w:eastAsia="宋体" w:cs="宋体"/>
          <w:spacing w:val="-15"/>
          <w:sz w:val="24"/>
          <w:szCs w:val="24"/>
        </w:rPr>
        <w:t>日修正</w:t>
      </w:r>
      <w:r>
        <w:rPr>
          <w:rFonts w:ascii="宋体" w:hAnsi="宋体" w:eastAsia="宋体" w:cs="宋体"/>
          <w:spacing w:val="-39"/>
          <w:sz w:val="24"/>
          <w:szCs w:val="24"/>
        </w:rPr>
        <w:t>）；</w:t>
      </w:r>
    </w:p>
    <w:p>
      <w:pPr>
        <w:spacing w:line="219" w:lineRule="auto"/>
        <w:ind w:left="516"/>
        <w:rPr>
          <w:rFonts w:ascii="宋体" w:hAnsi="宋体" w:eastAsia="宋体" w:cs="宋体"/>
          <w:sz w:val="24"/>
          <w:szCs w:val="24"/>
        </w:rPr>
      </w:pPr>
      <w:r>
        <w:rPr>
          <w:rFonts w:ascii="宋体" w:hAnsi="宋体" w:eastAsia="宋体" w:cs="宋体"/>
          <w:spacing w:val="-16"/>
          <w:sz w:val="24"/>
          <w:szCs w:val="24"/>
        </w:rPr>
        <w:t>（</w:t>
      </w:r>
      <w:r>
        <w:rPr>
          <w:rFonts w:ascii="Times New Roman" w:hAnsi="Times New Roman" w:eastAsia="Times New Roman" w:cs="Times New Roman"/>
          <w:spacing w:val="-16"/>
          <w:sz w:val="24"/>
          <w:szCs w:val="24"/>
        </w:rPr>
        <w:t>6</w:t>
      </w:r>
      <w:r>
        <w:rPr>
          <w:rFonts w:ascii="宋体" w:hAnsi="宋体" w:eastAsia="宋体" w:cs="宋体"/>
          <w:spacing w:val="-16"/>
          <w:sz w:val="24"/>
          <w:szCs w:val="24"/>
        </w:rPr>
        <w:t>）《中华人民共和国森林法》（</w:t>
      </w:r>
      <w:r>
        <w:rPr>
          <w:rFonts w:ascii="Times New Roman" w:hAnsi="Times New Roman" w:eastAsia="Times New Roman" w:cs="Times New Roman"/>
          <w:spacing w:val="-16"/>
          <w:sz w:val="24"/>
          <w:szCs w:val="24"/>
        </w:rPr>
        <w:t>2009</w:t>
      </w:r>
      <w:r>
        <w:rPr>
          <w:rFonts w:ascii="Times New Roman" w:hAnsi="Times New Roman" w:eastAsia="Times New Roman" w:cs="Times New Roman"/>
          <w:spacing w:val="12"/>
          <w:sz w:val="24"/>
          <w:szCs w:val="24"/>
        </w:rPr>
        <w:t xml:space="preserve"> </w:t>
      </w:r>
      <w:r>
        <w:rPr>
          <w:rFonts w:ascii="宋体" w:hAnsi="宋体" w:eastAsia="宋体" w:cs="宋体"/>
          <w:spacing w:val="-16"/>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16"/>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16"/>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6"/>
          <w:sz w:val="24"/>
          <w:szCs w:val="24"/>
        </w:rPr>
        <w:t>27</w:t>
      </w:r>
      <w:r>
        <w:rPr>
          <w:rFonts w:ascii="Times New Roman" w:hAnsi="Times New Roman" w:eastAsia="Times New Roman" w:cs="Times New Roman"/>
          <w:spacing w:val="50"/>
          <w:w w:val="101"/>
          <w:sz w:val="24"/>
          <w:szCs w:val="24"/>
        </w:rPr>
        <w:t xml:space="preserve"> </w:t>
      </w:r>
      <w:r>
        <w:rPr>
          <w:rFonts w:ascii="宋体" w:hAnsi="宋体" w:eastAsia="宋体" w:cs="宋体"/>
          <w:spacing w:val="-16"/>
          <w:sz w:val="24"/>
          <w:szCs w:val="24"/>
        </w:rPr>
        <w:t>日修改</w:t>
      </w:r>
      <w:r>
        <w:rPr>
          <w:rFonts w:ascii="宋体" w:hAnsi="宋体" w:eastAsia="宋体" w:cs="宋体"/>
          <w:spacing w:val="-21"/>
          <w:sz w:val="24"/>
          <w:szCs w:val="24"/>
        </w:rPr>
        <w:t>）；</w:t>
      </w:r>
    </w:p>
    <w:p>
      <w:pPr>
        <w:spacing w:before="183" w:line="468" w:lineRule="exact"/>
        <w:ind w:right="3"/>
        <w:jc w:val="right"/>
        <w:rPr>
          <w:rFonts w:ascii="Times New Roman" w:hAnsi="Times New Roman" w:eastAsia="Times New Roman" w:cs="Times New Roman"/>
          <w:sz w:val="24"/>
          <w:szCs w:val="24"/>
        </w:rPr>
      </w:pPr>
      <w:r>
        <w:rPr>
          <w:rFonts w:ascii="宋体" w:hAnsi="宋体" w:eastAsia="宋体" w:cs="宋体"/>
          <w:spacing w:val="-12"/>
          <w:position w:val="17"/>
          <w:sz w:val="24"/>
          <w:szCs w:val="24"/>
        </w:rPr>
        <w:t>（</w:t>
      </w:r>
      <w:r>
        <w:rPr>
          <w:rFonts w:ascii="Times New Roman" w:hAnsi="Times New Roman" w:eastAsia="Times New Roman" w:cs="Times New Roman"/>
          <w:spacing w:val="-12"/>
          <w:position w:val="17"/>
          <w:sz w:val="24"/>
          <w:szCs w:val="24"/>
        </w:rPr>
        <w:t>7</w:t>
      </w:r>
      <w:r>
        <w:rPr>
          <w:rFonts w:ascii="宋体" w:hAnsi="宋体" w:eastAsia="宋体" w:cs="宋体"/>
          <w:spacing w:val="-12"/>
          <w:position w:val="17"/>
          <w:sz w:val="24"/>
          <w:szCs w:val="24"/>
        </w:rPr>
        <w:t>）《中华人民共和国水污染防治法》（</w:t>
      </w:r>
      <w:r>
        <w:rPr>
          <w:rFonts w:ascii="Times New Roman" w:hAnsi="Times New Roman" w:eastAsia="Times New Roman" w:cs="Times New Roman"/>
          <w:spacing w:val="-12"/>
          <w:position w:val="17"/>
          <w:sz w:val="24"/>
          <w:szCs w:val="24"/>
        </w:rPr>
        <w:t>2017</w:t>
      </w:r>
      <w:r>
        <w:rPr>
          <w:rFonts w:ascii="Times New Roman" w:hAnsi="Times New Roman" w:eastAsia="Times New Roman" w:cs="Times New Roman"/>
          <w:spacing w:val="37"/>
          <w:position w:val="17"/>
          <w:sz w:val="24"/>
          <w:szCs w:val="24"/>
        </w:rPr>
        <w:t xml:space="preserve"> </w:t>
      </w:r>
      <w:r>
        <w:rPr>
          <w:rFonts w:ascii="宋体" w:hAnsi="宋体" w:eastAsia="宋体" w:cs="宋体"/>
          <w:spacing w:val="-12"/>
          <w:position w:val="17"/>
          <w:sz w:val="24"/>
          <w:szCs w:val="24"/>
        </w:rPr>
        <w:t>年</w:t>
      </w:r>
      <w:r>
        <w:rPr>
          <w:rFonts w:ascii="宋体" w:hAnsi="宋体" w:eastAsia="宋体" w:cs="宋体"/>
          <w:spacing w:val="-37"/>
          <w:position w:val="17"/>
          <w:sz w:val="24"/>
          <w:szCs w:val="24"/>
        </w:rPr>
        <w:t xml:space="preserve"> </w:t>
      </w:r>
      <w:r>
        <w:rPr>
          <w:rFonts w:ascii="Times New Roman" w:hAnsi="Times New Roman" w:eastAsia="Times New Roman" w:cs="Times New Roman"/>
          <w:spacing w:val="-12"/>
          <w:position w:val="17"/>
          <w:sz w:val="24"/>
          <w:szCs w:val="24"/>
        </w:rPr>
        <w:t>6</w:t>
      </w:r>
      <w:r>
        <w:rPr>
          <w:rFonts w:ascii="Times New Roman" w:hAnsi="Times New Roman" w:eastAsia="Times New Roman" w:cs="Times New Roman"/>
          <w:spacing w:val="29"/>
          <w:position w:val="17"/>
          <w:sz w:val="24"/>
          <w:szCs w:val="24"/>
        </w:rPr>
        <w:t xml:space="preserve"> </w:t>
      </w:r>
      <w:r>
        <w:rPr>
          <w:rFonts w:ascii="宋体" w:hAnsi="宋体" w:eastAsia="宋体" w:cs="宋体"/>
          <w:spacing w:val="-12"/>
          <w:position w:val="17"/>
          <w:sz w:val="24"/>
          <w:szCs w:val="24"/>
        </w:rPr>
        <w:t>月</w:t>
      </w:r>
      <w:r>
        <w:rPr>
          <w:rFonts w:ascii="宋体" w:hAnsi="宋体" w:eastAsia="宋体" w:cs="宋体"/>
          <w:spacing w:val="-42"/>
          <w:position w:val="17"/>
          <w:sz w:val="24"/>
          <w:szCs w:val="24"/>
        </w:rPr>
        <w:t xml:space="preserve"> </w:t>
      </w:r>
      <w:r>
        <w:rPr>
          <w:rFonts w:ascii="Times New Roman" w:hAnsi="Times New Roman" w:eastAsia="Times New Roman" w:cs="Times New Roman"/>
          <w:spacing w:val="-12"/>
          <w:position w:val="17"/>
          <w:sz w:val="24"/>
          <w:szCs w:val="24"/>
        </w:rPr>
        <w:t xml:space="preserve">27  </w:t>
      </w:r>
      <w:r>
        <w:rPr>
          <w:rFonts w:ascii="宋体" w:hAnsi="宋体" w:eastAsia="宋体" w:cs="宋体"/>
          <w:spacing w:val="-12"/>
          <w:position w:val="17"/>
          <w:sz w:val="24"/>
          <w:szCs w:val="24"/>
        </w:rPr>
        <w:t xml:space="preserve">日修订， </w:t>
      </w:r>
      <w:r>
        <w:rPr>
          <w:rFonts w:ascii="Times New Roman" w:hAnsi="Times New Roman" w:eastAsia="Times New Roman" w:cs="Times New Roman"/>
          <w:spacing w:val="-12"/>
          <w:position w:val="17"/>
          <w:sz w:val="24"/>
          <w:szCs w:val="24"/>
        </w:rPr>
        <w:t>2018</w:t>
      </w:r>
      <w:r>
        <w:rPr>
          <w:rFonts w:ascii="Times New Roman" w:hAnsi="Times New Roman" w:eastAsia="Times New Roman" w:cs="Times New Roman"/>
          <w:spacing w:val="23"/>
          <w:w w:val="101"/>
          <w:position w:val="17"/>
          <w:sz w:val="24"/>
          <w:szCs w:val="24"/>
        </w:rPr>
        <w:t xml:space="preserve"> </w:t>
      </w:r>
      <w:r>
        <w:rPr>
          <w:rFonts w:ascii="宋体" w:hAnsi="宋体" w:eastAsia="宋体" w:cs="宋体"/>
          <w:spacing w:val="-12"/>
          <w:position w:val="17"/>
          <w:sz w:val="24"/>
          <w:szCs w:val="24"/>
        </w:rPr>
        <w:t xml:space="preserve">年 </w:t>
      </w:r>
      <w:r>
        <w:rPr>
          <w:rFonts w:ascii="Times New Roman" w:hAnsi="Times New Roman" w:eastAsia="Times New Roman" w:cs="Times New Roman"/>
          <w:spacing w:val="-12"/>
          <w:position w:val="17"/>
          <w:sz w:val="24"/>
          <w:szCs w:val="24"/>
        </w:rPr>
        <w:t>1</w:t>
      </w:r>
    </w:p>
    <w:p>
      <w:pPr>
        <w:spacing w:before="1" w:line="219" w:lineRule="auto"/>
        <w:ind w:left="45"/>
        <w:rPr>
          <w:rFonts w:ascii="宋体" w:hAnsi="宋体" w:eastAsia="宋体" w:cs="宋体"/>
          <w:sz w:val="24"/>
          <w:szCs w:val="24"/>
        </w:rPr>
      </w:pPr>
      <w:r>
        <w:rPr>
          <w:rFonts w:ascii="宋体" w:hAnsi="宋体" w:eastAsia="宋体" w:cs="宋体"/>
          <w:spacing w:val="-25"/>
          <w:sz w:val="24"/>
          <w:szCs w:val="24"/>
        </w:rPr>
        <w:t>月</w:t>
      </w:r>
      <w:r>
        <w:rPr>
          <w:rFonts w:ascii="宋体" w:hAnsi="宋体" w:eastAsia="宋体" w:cs="宋体"/>
          <w:spacing w:val="-31"/>
          <w:sz w:val="24"/>
          <w:szCs w:val="24"/>
        </w:rPr>
        <w:t xml:space="preserve"> </w:t>
      </w:r>
      <w:r>
        <w:rPr>
          <w:rFonts w:ascii="Times New Roman" w:hAnsi="Times New Roman" w:eastAsia="Times New Roman" w:cs="Times New Roman"/>
          <w:spacing w:val="-25"/>
          <w:sz w:val="24"/>
          <w:szCs w:val="24"/>
        </w:rPr>
        <w:t xml:space="preserve">1  </w:t>
      </w:r>
      <w:r>
        <w:rPr>
          <w:rFonts w:ascii="宋体" w:hAnsi="宋体" w:eastAsia="宋体" w:cs="宋体"/>
          <w:spacing w:val="-25"/>
          <w:sz w:val="24"/>
          <w:szCs w:val="24"/>
        </w:rPr>
        <w:t>日实施</w:t>
      </w:r>
      <w:r>
        <w:rPr>
          <w:rFonts w:ascii="宋体" w:hAnsi="宋体" w:eastAsia="宋体" w:cs="宋体"/>
          <w:spacing w:val="-33"/>
          <w:sz w:val="24"/>
          <w:szCs w:val="24"/>
        </w:rPr>
        <w:t>）；</w:t>
      </w:r>
    </w:p>
    <w:p>
      <w:pPr>
        <w:spacing w:before="182" w:line="220" w:lineRule="auto"/>
        <w:ind w:left="516"/>
        <w:rPr>
          <w:rFonts w:ascii="宋体" w:hAnsi="宋体" w:eastAsia="宋体" w:cs="宋体"/>
          <w:sz w:val="24"/>
          <w:szCs w:val="24"/>
        </w:rPr>
      </w:pPr>
      <w:r>
        <w:rPr>
          <w:rFonts w:ascii="宋体" w:hAnsi="宋体" w:eastAsia="宋体" w:cs="宋体"/>
          <w:spacing w:val="-12"/>
          <w:sz w:val="24"/>
          <w:szCs w:val="24"/>
        </w:rPr>
        <w:t>（</w:t>
      </w:r>
      <w:r>
        <w:rPr>
          <w:rFonts w:ascii="Times New Roman" w:hAnsi="Times New Roman" w:eastAsia="Times New Roman" w:cs="Times New Roman"/>
          <w:spacing w:val="-12"/>
          <w:sz w:val="24"/>
          <w:szCs w:val="24"/>
        </w:rPr>
        <w:t>8</w:t>
      </w:r>
      <w:r>
        <w:rPr>
          <w:rFonts w:ascii="宋体" w:hAnsi="宋体" w:eastAsia="宋体" w:cs="宋体"/>
          <w:spacing w:val="-12"/>
          <w:sz w:val="24"/>
          <w:szCs w:val="24"/>
        </w:rPr>
        <w:t>）《中华人民共和国大气污染防治法》（</w:t>
      </w:r>
      <w:r>
        <w:rPr>
          <w:rFonts w:ascii="Times New Roman" w:hAnsi="Times New Roman" w:eastAsia="Times New Roman" w:cs="Times New Roman"/>
          <w:spacing w:val="-12"/>
          <w:sz w:val="24"/>
          <w:szCs w:val="24"/>
        </w:rPr>
        <w:t>2018</w:t>
      </w:r>
      <w:r>
        <w:rPr>
          <w:rFonts w:ascii="Times New Roman" w:hAnsi="Times New Roman" w:eastAsia="Times New Roman" w:cs="Times New Roman"/>
          <w:spacing w:val="-13"/>
          <w:sz w:val="24"/>
          <w:szCs w:val="24"/>
        </w:rPr>
        <w:t xml:space="preserve"> </w:t>
      </w:r>
      <w:r>
        <w:rPr>
          <w:rFonts w:ascii="宋体" w:hAnsi="宋体" w:eastAsia="宋体" w:cs="宋体"/>
          <w:spacing w:val="-13"/>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13"/>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1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3"/>
          <w:sz w:val="24"/>
          <w:szCs w:val="24"/>
        </w:rPr>
        <w:t xml:space="preserve">26  </w:t>
      </w:r>
      <w:r>
        <w:rPr>
          <w:rFonts w:ascii="宋体" w:hAnsi="宋体" w:eastAsia="宋体" w:cs="宋体"/>
          <w:spacing w:val="-13"/>
          <w:sz w:val="24"/>
          <w:szCs w:val="24"/>
        </w:rPr>
        <w:t>日修订施行</w:t>
      </w:r>
      <w:r>
        <w:rPr>
          <w:rFonts w:ascii="宋体" w:hAnsi="宋体" w:eastAsia="宋体" w:cs="宋体"/>
          <w:spacing w:val="-16"/>
          <w:sz w:val="24"/>
          <w:szCs w:val="24"/>
        </w:rPr>
        <w:t>）；</w:t>
      </w:r>
    </w:p>
    <w:p>
      <w:pPr>
        <w:spacing w:before="183" w:line="468" w:lineRule="exact"/>
        <w:ind w:right="17"/>
        <w:jc w:val="right"/>
        <w:rPr>
          <w:rFonts w:ascii="宋体" w:hAnsi="宋体" w:eastAsia="宋体" w:cs="宋体"/>
          <w:sz w:val="24"/>
          <w:szCs w:val="24"/>
        </w:rPr>
      </w:pPr>
      <w:r>
        <w:rPr>
          <w:rFonts w:ascii="宋体" w:hAnsi="宋体" w:eastAsia="宋体" w:cs="宋体"/>
          <w:spacing w:val="-9"/>
          <w:position w:val="17"/>
          <w:sz w:val="24"/>
          <w:szCs w:val="24"/>
        </w:rPr>
        <w:t>（</w:t>
      </w:r>
      <w:r>
        <w:rPr>
          <w:rFonts w:ascii="Times New Roman" w:hAnsi="Times New Roman" w:eastAsia="Times New Roman" w:cs="Times New Roman"/>
          <w:spacing w:val="-9"/>
          <w:position w:val="17"/>
          <w:sz w:val="24"/>
          <w:szCs w:val="24"/>
        </w:rPr>
        <w:t>9</w:t>
      </w:r>
      <w:r>
        <w:rPr>
          <w:rFonts w:ascii="宋体" w:hAnsi="宋体" w:eastAsia="宋体" w:cs="宋体"/>
          <w:spacing w:val="-9"/>
          <w:position w:val="17"/>
          <w:sz w:val="24"/>
          <w:szCs w:val="24"/>
        </w:rPr>
        <w:t>）《中华人民共和国环境噪声污染防治法》（</w:t>
      </w:r>
      <w:r>
        <w:rPr>
          <w:rFonts w:ascii="Times New Roman" w:hAnsi="Times New Roman" w:eastAsia="Times New Roman" w:cs="Times New Roman"/>
          <w:spacing w:val="-9"/>
          <w:position w:val="17"/>
          <w:sz w:val="24"/>
          <w:szCs w:val="24"/>
        </w:rPr>
        <w:t>2018</w:t>
      </w:r>
      <w:r>
        <w:rPr>
          <w:rFonts w:ascii="Times New Roman" w:hAnsi="Times New Roman" w:eastAsia="Times New Roman" w:cs="Times New Roman"/>
          <w:spacing w:val="58"/>
          <w:w w:val="101"/>
          <w:position w:val="17"/>
          <w:sz w:val="24"/>
          <w:szCs w:val="24"/>
        </w:rPr>
        <w:t xml:space="preserve"> </w:t>
      </w:r>
      <w:r>
        <w:rPr>
          <w:rFonts w:ascii="宋体" w:hAnsi="宋体" w:eastAsia="宋体" w:cs="宋体"/>
          <w:spacing w:val="-9"/>
          <w:position w:val="17"/>
          <w:sz w:val="24"/>
          <w:szCs w:val="24"/>
        </w:rPr>
        <w:t xml:space="preserve">年 </w:t>
      </w:r>
      <w:r>
        <w:rPr>
          <w:rFonts w:ascii="Times New Roman" w:hAnsi="Times New Roman" w:eastAsia="Times New Roman" w:cs="Times New Roman"/>
          <w:spacing w:val="-9"/>
          <w:position w:val="17"/>
          <w:sz w:val="24"/>
          <w:szCs w:val="24"/>
        </w:rPr>
        <w:t xml:space="preserve">12  </w:t>
      </w:r>
      <w:r>
        <w:rPr>
          <w:rFonts w:ascii="宋体" w:hAnsi="宋体" w:eastAsia="宋体" w:cs="宋体"/>
          <w:spacing w:val="-9"/>
          <w:position w:val="17"/>
          <w:sz w:val="24"/>
          <w:szCs w:val="24"/>
        </w:rPr>
        <w:t xml:space="preserve">月 </w:t>
      </w:r>
      <w:r>
        <w:rPr>
          <w:rFonts w:ascii="Times New Roman" w:hAnsi="Times New Roman" w:eastAsia="Times New Roman" w:cs="Times New Roman"/>
          <w:spacing w:val="-9"/>
          <w:position w:val="17"/>
          <w:sz w:val="24"/>
          <w:szCs w:val="24"/>
        </w:rPr>
        <w:t>29</w:t>
      </w:r>
      <w:r>
        <w:rPr>
          <w:rFonts w:ascii="Times New Roman" w:hAnsi="Times New Roman" w:eastAsia="Times New Roman" w:cs="Times New Roman"/>
          <w:spacing w:val="17"/>
          <w:position w:val="17"/>
          <w:sz w:val="24"/>
          <w:szCs w:val="24"/>
        </w:rPr>
        <w:t xml:space="preserve">  </w:t>
      </w:r>
      <w:r>
        <w:rPr>
          <w:rFonts w:ascii="宋体" w:hAnsi="宋体" w:eastAsia="宋体" w:cs="宋体"/>
          <w:spacing w:val="-9"/>
          <w:position w:val="17"/>
          <w:sz w:val="24"/>
          <w:szCs w:val="24"/>
        </w:rPr>
        <w:t>日修订施</w:t>
      </w:r>
    </w:p>
    <w:p>
      <w:pPr>
        <w:spacing w:line="220" w:lineRule="auto"/>
        <w:ind w:left="43"/>
        <w:rPr>
          <w:rFonts w:ascii="宋体" w:hAnsi="宋体" w:eastAsia="宋体" w:cs="宋体"/>
          <w:sz w:val="24"/>
          <w:szCs w:val="24"/>
        </w:rPr>
      </w:pPr>
      <w:r>
        <w:rPr>
          <w:rFonts w:ascii="宋体" w:hAnsi="宋体" w:eastAsia="宋体" w:cs="宋体"/>
          <w:spacing w:val="-18"/>
          <w:w w:val="76"/>
          <w:sz w:val="24"/>
          <w:szCs w:val="24"/>
        </w:rPr>
        <w:t>行</w:t>
      </w:r>
      <w:r>
        <w:rPr>
          <w:rFonts w:ascii="宋体" w:hAnsi="宋体" w:eastAsia="宋体" w:cs="宋体"/>
          <w:spacing w:val="-38"/>
          <w:sz w:val="24"/>
          <w:szCs w:val="24"/>
        </w:rPr>
        <w:t>）；</w:t>
      </w:r>
    </w:p>
    <w:p>
      <w:pPr>
        <w:spacing w:before="182" w:line="468" w:lineRule="exact"/>
        <w:ind w:left="516"/>
        <w:rPr>
          <w:rFonts w:ascii="宋体" w:hAnsi="宋体" w:eastAsia="宋体" w:cs="宋体"/>
          <w:sz w:val="24"/>
          <w:szCs w:val="24"/>
        </w:rPr>
      </w:pPr>
      <w:r>
        <w:rPr>
          <w:rFonts w:ascii="宋体" w:hAnsi="宋体" w:eastAsia="宋体" w:cs="宋体"/>
          <w:spacing w:val="-13"/>
          <w:position w:val="17"/>
          <w:sz w:val="24"/>
          <w:szCs w:val="24"/>
        </w:rPr>
        <w:t>（</w:t>
      </w:r>
      <w:r>
        <w:rPr>
          <w:rFonts w:ascii="Times New Roman" w:hAnsi="Times New Roman" w:eastAsia="Times New Roman" w:cs="Times New Roman"/>
          <w:spacing w:val="-13"/>
          <w:position w:val="17"/>
          <w:sz w:val="24"/>
          <w:szCs w:val="24"/>
        </w:rPr>
        <w:t>10</w:t>
      </w:r>
      <w:r>
        <w:rPr>
          <w:rFonts w:ascii="宋体" w:hAnsi="宋体" w:eastAsia="宋体" w:cs="宋体"/>
          <w:spacing w:val="-13"/>
          <w:position w:val="17"/>
          <w:sz w:val="24"/>
          <w:szCs w:val="24"/>
        </w:rPr>
        <w:t>）《中华人民共和国野生动物保护法》（</w:t>
      </w:r>
      <w:r>
        <w:rPr>
          <w:rFonts w:ascii="Times New Roman" w:hAnsi="Times New Roman" w:eastAsia="Times New Roman" w:cs="Times New Roman"/>
          <w:spacing w:val="-14"/>
          <w:position w:val="17"/>
          <w:sz w:val="24"/>
          <w:szCs w:val="24"/>
        </w:rPr>
        <w:t>2018</w:t>
      </w:r>
      <w:r>
        <w:rPr>
          <w:rFonts w:ascii="Times New Roman" w:hAnsi="Times New Roman" w:eastAsia="Times New Roman" w:cs="Times New Roman"/>
          <w:spacing w:val="11"/>
          <w:position w:val="17"/>
          <w:sz w:val="24"/>
          <w:szCs w:val="24"/>
        </w:rPr>
        <w:t xml:space="preserve"> </w:t>
      </w:r>
      <w:r>
        <w:rPr>
          <w:rFonts w:ascii="宋体" w:hAnsi="宋体" w:eastAsia="宋体" w:cs="宋体"/>
          <w:spacing w:val="-14"/>
          <w:position w:val="17"/>
          <w:sz w:val="24"/>
          <w:szCs w:val="24"/>
        </w:rPr>
        <w:t>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14"/>
          <w:position w:val="17"/>
          <w:sz w:val="24"/>
          <w:szCs w:val="24"/>
        </w:rPr>
        <w:t>10</w:t>
      </w:r>
      <w:r>
        <w:rPr>
          <w:rFonts w:ascii="Times New Roman" w:hAnsi="Times New Roman" w:eastAsia="Times New Roman" w:cs="Times New Roman"/>
          <w:spacing w:val="16"/>
          <w:position w:val="17"/>
          <w:sz w:val="24"/>
          <w:szCs w:val="24"/>
        </w:rPr>
        <w:t xml:space="preserve"> </w:t>
      </w:r>
      <w:r>
        <w:rPr>
          <w:rFonts w:ascii="宋体" w:hAnsi="宋体" w:eastAsia="宋体" w:cs="宋体"/>
          <w:spacing w:val="-14"/>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14"/>
          <w:position w:val="17"/>
          <w:sz w:val="24"/>
          <w:szCs w:val="24"/>
        </w:rPr>
        <w:t>26</w:t>
      </w:r>
      <w:r>
        <w:rPr>
          <w:rFonts w:ascii="Times New Roman" w:hAnsi="Times New Roman" w:eastAsia="Times New Roman" w:cs="Times New Roman"/>
          <w:spacing w:val="51"/>
          <w:position w:val="17"/>
          <w:sz w:val="24"/>
          <w:szCs w:val="24"/>
        </w:rPr>
        <w:t xml:space="preserve"> </w:t>
      </w:r>
      <w:r>
        <w:rPr>
          <w:rFonts w:ascii="宋体" w:hAnsi="宋体" w:eastAsia="宋体" w:cs="宋体"/>
          <w:spacing w:val="-14"/>
          <w:position w:val="17"/>
          <w:sz w:val="24"/>
          <w:szCs w:val="24"/>
        </w:rPr>
        <w:t>日修改</w:t>
      </w:r>
      <w:r>
        <w:rPr>
          <w:rFonts w:ascii="宋体" w:hAnsi="宋体" w:eastAsia="宋体" w:cs="宋体"/>
          <w:spacing w:val="-24"/>
          <w:position w:val="17"/>
          <w:sz w:val="24"/>
          <w:szCs w:val="24"/>
        </w:rPr>
        <w:t>）；</w:t>
      </w:r>
    </w:p>
    <w:p>
      <w:pPr>
        <w:spacing w:line="219" w:lineRule="auto"/>
        <w:ind w:left="516"/>
        <w:rPr>
          <w:rFonts w:ascii="宋体" w:hAnsi="宋体" w:eastAsia="宋体" w:cs="宋体"/>
          <w:sz w:val="24"/>
          <w:szCs w:val="24"/>
        </w:rPr>
      </w:pPr>
      <w:r>
        <w:rPr>
          <w:rFonts w:ascii="宋体" w:hAnsi="宋体" w:eastAsia="宋体" w:cs="宋体"/>
          <w:spacing w:val="-15"/>
          <w:sz w:val="24"/>
          <w:szCs w:val="24"/>
        </w:rPr>
        <w:t>（</w:t>
      </w:r>
      <w:r>
        <w:rPr>
          <w:rFonts w:ascii="Times New Roman" w:hAnsi="Times New Roman" w:eastAsia="Times New Roman" w:cs="Times New Roman"/>
          <w:spacing w:val="-15"/>
          <w:sz w:val="24"/>
          <w:szCs w:val="24"/>
        </w:rPr>
        <w:t>11</w:t>
      </w:r>
      <w:r>
        <w:rPr>
          <w:rFonts w:ascii="宋体" w:hAnsi="宋体" w:eastAsia="宋体" w:cs="宋体"/>
          <w:spacing w:val="-15"/>
          <w:sz w:val="24"/>
          <w:szCs w:val="24"/>
        </w:rPr>
        <w:t>）《中华人民共和国土壤污染防治法》（</w:t>
      </w:r>
      <w:r>
        <w:rPr>
          <w:rFonts w:ascii="Times New Roman" w:hAnsi="Times New Roman" w:eastAsia="Times New Roman" w:cs="Times New Roman"/>
          <w:spacing w:val="-15"/>
          <w:sz w:val="24"/>
          <w:szCs w:val="24"/>
        </w:rPr>
        <w:t>2019</w:t>
      </w:r>
      <w:r>
        <w:rPr>
          <w:rFonts w:ascii="Times New Roman" w:hAnsi="Times New Roman" w:eastAsia="Times New Roman" w:cs="Times New Roman"/>
          <w:spacing w:val="10"/>
          <w:sz w:val="24"/>
          <w:szCs w:val="24"/>
        </w:rPr>
        <w:t xml:space="preserve"> </w:t>
      </w:r>
      <w:r>
        <w:rPr>
          <w:rFonts w:ascii="宋体" w:hAnsi="宋体" w:eastAsia="宋体" w:cs="宋体"/>
          <w:spacing w:val="-1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5"/>
          <w:sz w:val="24"/>
          <w:szCs w:val="24"/>
        </w:rPr>
        <w:t>月</w:t>
      </w:r>
      <w:r>
        <w:rPr>
          <w:rFonts w:ascii="宋体" w:hAnsi="宋体" w:eastAsia="宋体" w:cs="宋体"/>
          <w:spacing w:val="-31"/>
          <w:sz w:val="24"/>
          <w:szCs w:val="24"/>
        </w:rPr>
        <w:t xml:space="preserve"> </w:t>
      </w:r>
      <w:r>
        <w:rPr>
          <w:rFonts w:ascii="Times New Roman" w:hAnsi="Times New Roman" w:eastAsia="Times New Roman" w:cs="Times New Roman"/>
          <w:spacing w:val="-15"/>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15"/>
          <w:sz w:val="24"/>
          <w:szCs w:val="24"/>
        </w:rPr>
        <w:t>日起施行</w:t>
      </w:r>
      <w:r>
        <w:rPr>
          <w:rFonts w:ascii="宋体" w:hAnsi="宋体" w:eastAsia="宋体" w:cs="宋体"/>
          <w:spacing w:val="-19"/>
          <w:sz w:val="24"/>
          <w:szCs w:val="24"/>
        </w:rPr>
        <w:t>）；</w:t>
      </w:r>
    </w:p>
    <w:p>
      <w:pPr>
        <w:spacing w:before="183" w:line="468" w:lineRule="exact"/>
        <w:ind w:right="26"/>
        <w:jc w:val="right"/>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12</w:t>
      </w:r>
      <w:r>
        <w:rPr>
          <w:rFonts w:ascii="宋体" w:hAnsi="宋体" w:eastAsia="宋体" w:cs="宋体"/>
          <w:spacing w:val="-8"/>
          <w:position w:val="17"/>
          <w:sz w:val="24"/>
          <w:szCs w:val="24"/>
        </w:rPr>
        <w:t>）《中华人民共和国固体废物污染环境防治法》（</w:t>
      </w:r>
      <w:r>
        <w:rPr>
          <w:rFonts w:ascii="Times New Roman" w:hAnsi="Times New Roman" w:eastAsia="Times New Roman" w:cs="Times New Roman"/>
          <w:spacing w:val="-8"/>
          <w:position w:val="17"/>
          <w:sz w:val="24"/>
          <w:szCs w:val="24"/>
        </w:rPr>
        <w:t xml:space="preserve">2020 </w:t>
      </w:r>
      <w:r>
        <w:rPr>
          <w:rFonts w:ascii="宋体" w:hAnsi="宋体" w:eastAsia="宋体" w:cs="宋体"/>
          <w:spacing w:val="-8"/>
          <w:position w:val="17"/>
          <w:sz w:val="24"/>
          <w:szCs w:val="24"/>
        </w:rPr>
        <w:t>年</w:t>
      </w:r>
      <w:r>
        <w:rPr>
          <w:rFonts w:ascii="宋体" w:hAnsi="宋体" w:eastAsia="宋体" w:cs="宋体"/>
          <w:spacing w:val="-46"/>
          <w:position w:val="17"/>
          <w:sz w:val="24"/>
          <w:szCs w:val="24"/>
        </w:rPr>
        <w:t xml:space="preserve"> </w:t>
      </w:r>
      <w:r>
        <w:rPr>
          <w:rFonts w:ascii="Times New Roman" w:hAnsi="Times New Roman" w:eastAsia="Times New Roman" w:cs="Times New Roman"/>
          <w:spacing w:val="-8"/>
          <w:position w:val="17"/>
          <w:sz w:val="24"/>
          <w:szCs w:val="24"/>
        </w:rPr>
        <w:t>4</w:t>
      </w:r>
      <w:r>
        <w:rPr>
          <w:rFonts w:ascii="Times New Roman" w:hAnsi="Times New Roman" w:eastAsia="Times New Roman" w:cs="Times New Roman"/>
          <w:spacing w:val="16"/>
          <w:position w:val="17"/>
          <w:sz w:val="24"/>
          <w:szCs w:val="24"/>
        </w:rPr>
        <w:t xml:space="preserve"> </w:t>
      </w:r>
      <w:r>
        <w:rPr>
          <w:rFonts w:ascii="宋体" w:hAnsi="宋体" w:eastAsia="宋体" w:cs="宋体"/>
          <w:spacing w:val="-8"/>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8"/>
          <w:position w:val="17"/>
          <w:sz w:val="24"/>
          <w:szCs w:val="24"/>
        </w:rPr>
        <w:t xml:space="preserve">29 </w:t>
      </w:r>
      <w:r>
        <w:rPr>
          <w:rFonts w:ascii="宋体" w:hAnsi="宋体" w:eastAsia="宋体" w:cs="宋体"/>
          <w:spacing w:val="-8"/>
          <w:position w:val="17"/>
          <w:sz w:val="24"/>
          <w:szCs w:val="24"/>
        </w:rPr>
        <w:t>第二次</w:t>
      </w:r>
    </w:p>
    <w:p>
      <w:pPr>
        <w:spacing w:line="221" w:lineRule="auto"/>
        <w:ind w:left="39"/>
        <w:rPr>
          <w:rFonts w:ascii="Times New Roman" w:hAnsi="Times New Roman" w:eastAsia="Times New Roman" w:cs="Times New Roman"/>
          <w:sz w:val="24"/>
          <w:szCs w:val="24"/>
        </w:rPr>
      </w:pPr>
      <w:r>
        <w:rPr>
          <w:rFonts w:ascii="宋体" w:hAnsi="宋体" w:eastAsia="宋体" w:cs="宋体"/>
          <w:spacing w:val="-17"/>
          <w:sz w:val="24"/>
          <w:szCs w:val="24"/>
        </w:rPr>
        <w:t xml:space="preserve">修订， </w:t>
      </w:r>
      <w:r>
        <w:rPr>
          <w:rFonts w:ascii="Times New Roman" w:hAnsi="Times New Roman" w:eastAsia="Times New Roman" w:cs="Times New Roman"/>
          <w:spacing w:val="-17"/>
          <w:sz w:val="24"/>
          <w:szCs w:val="24"/>
        </w:rPr>
        <w:t>2020</w:t>
      </w:r>
      <w:r>
        <w:rPr>
          <w:rFonts w:ascii="Times New Roman" w:hAnsi="Times New Roman" w:eastAsia="Times New Roman" w:cs="Times New Roman"/>
          <w:spacing w:val="10"/>
          <w:sz w:val="24"/>
          <w:szCs w:val="24"/>
        </w:rPr>
        <w:t xml:space="preserve"> </w:t>
      </w:r>
      <w:r>
        <w:rPr>
          <w:rFonts w:ascii="宋体" w:hAnsi="宋体" w:eastAsia="宋体" w:cs="宋体"/>
          <w:spacing w:val="-17"/>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17"/>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17"/>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7"/>
          <w:sz w:val="24"/>
          <w:szCs w:val="24"/>
        </w:rPr>
        <w:t xml:space="preserve">1  </w:t>
      </w:r>
      <w:r>
        <w:rPr>
          <w:rFonts w:ascii="宋体" w:hAnsi="宋体" w:eastAsia="宋体" w:cs="宋体"/>
          <w:spacing w:val="-17"/>
          <w:sz w:val="24"/>
          <w:szCs w:val="24"/>
        </w:rPr>
        <w:t xml:space="preserve">日起施行） </w:t>
      </w:r>
      <w:r>
        <w:rPr>
          <w:rFonts w:ascii="Times New Roman" w:hAnsi="Times New Roman" w:eastAsia="Times New Roman" w:cs="Times New Roman"/>
          <w:spacing w:val="-17"/>
          <w:sz w:val="24"/>
          <w:szCs w:val="24"/>
        </w:rPr>
        <w:t>;</w:t>
      </w:r>
    </w:p>
    <w:p>
      <w:pPr>
        <w:spacing w:before="180" w:line="220" w:lineRule="auto"/>
        <w:ind w:left="516"/>
        <w:rPr>
          <w:rFonts w:ascii="宋体" w:hAnsi="宋体" w:eastAsia="宋体" w:cs="宋体"/>
          <w:sz w:val="24"/>
          <w:szCs w:val="24"/>
        </w:rPr>
      </w:pPr>
      <w:r>
        <w:rPr>
          <w:rFonts w:ascii="宋体" w:hAnsi="宋体" w:eastAsia="宋体" w:cs="宋体"/>
          <w:spacing w:val="-14"/>
          <w:sz w:val="24"/>
          <w:szCs w:val="24"/>
        </w:rPr>
        <w:t>（</w:t>
      </w:r>
      <w:r>
        <w:rPr>
          <w:rFonts w:ascii="Times New Roman" w:hAnsi="Times New Roman" w:eastAsia="Times New Roman" w:cs="Times New Roman"/>
          <w:spacing w:val="-14"/>
          <w:sz w:val="24"/>
          <w:szCs w:val="24"/>
        </w:rPr>
        <w:t>13</w:t>
      </w:r>
      <w:r>
        <w:rPr>
          <w:rFonts w:ascii="宋体" w:hAnsi="宋体" w:eastAsia="宋体" w:cs="宋体"/>
          <w:spacing w:val="-14"/>
          <w:sz w:val="24"/>
          <w:szCs w:val="24"/>
        </w:rPr>
        <w:t>）《中华人民共和国环境保护税法》（</w:t>
      </w:r>
      <w:r>
        <w:rPr>
          <w:rFonts w:ascii="Times New Roman" w:hAnsi="Times New Roman" w:eastAsia="Times New Roman" w:cs="Times New Roman"/>
          <w:spacing w:val="-14"/>
          <w:sz w:val="24"/>
          <w:szCs w:val="24"/>
        </w:rPr>
        <w:t>2018</w:t>
      </w:r>
      <w:r>
        <w:rPr>
          <w:rFonts w:ascii="Times New Roman" w:hAnsi="Times New Roman" w:eastAsia="Times New Roman" w:cs="Times New Roman"/>
          <w:spacing w:val="10"/>
          <w:sz w:val="24"/>
          <w:szCs w:val="24"/>
        </w:rPr>
        <w:t xml:space="preserve"> </w:t>
      </w:r>
      <w:r>
        <w:rPr>
          <w:rFonts w:ascii="宋体" w:hAnsi="宋体" w:eastAsia="宋体" w:cs="宋体"/>
          <w:spacing w:val="-14"/>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14"/>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1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4"/>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14"/>
          <w:sz w:val="24"/>
          <w:szCs w:val="24"/>
        </w:rPr>
        <w:t>日起施行）。</w:t>
      </w:r>
    </w:p>
    <w:p>
      <w:pPr>
        <w:spacing w:line="353" w:lineRule="auto"/>
        <w:rPr>
          <w:rFonts w:ascii="Arial"/>
          <w:sz w:val="21"/>
        </w:rPr>
      </w:pPr>
    </w:p>
    <w:p>
      <w:pPr>
        <w:pStyle w:val="2"/>
        <w:spacing w:before="79" w:line="233" w:lineRule="auto"/>
        <w:ind w:left="45"/>
        <w:outlineLvl w:val="1"/>
        <w:rPr>
          <w:sz w:val="24"/>
          <w:szCs w:val="24"/>
        </w:rPr>
      </w:pPr>
      <w:r>
        <w:rPr>
          <w:rFonts w:ascii="Times New Roman" w:hAnsi="Times New Roman" w:eastAsia="Times New Roman" w:cs="Times New Roman"/>
          <w:b/>
          <w:bCs/>
          <w:spacing w:val="-1"/>
          <w:sz w:val="24"/>
          <w:szCs w:val="24"/>
        </w:rPr>
        <w:t xml:space="preserve">1.2.2 </w:t>
      </w:r>
      <w:r>
        <w:rPr>
          <w:spacing w:val="-1"/>
          <w:sz w:val="24"/>
          <w:szCs w:val="24"/>
          <w14:textOutline w14:w="4354" w14:cap="flat" w14:cmpd="sng">
            <w14:solidFill>
              <w14:srgbClr w14:val="000000"/>
            </w14:solidFill>
            <w14:prstDash w14:val="solid"/>
            <w14:miter w14:val="0"/>
          </w14:textOutline>
        </w:rPr>
        <w:t>行政法规及部门规章</w:t>
      </w:r>
    </w:p>
    <w:p>
      <w:pPr>
        <w:spacing w:before="277" w:line="468" w:lineRule="exact"/>
        <w:ind w:right="48"/>
        <w:jc w:val="right"/>
        <w:rPr>
          <w:rFonts w:ascii="宋体" w:hAnsi="宋体" w:eastAsia="宋体" w:cs="宋体"/>
          <w:sz w:val="24"/>
          <w:szCs w:val="24"/>
        </w:rPr>
      </w:pPr>
      <w:r>
        <w:rPr>
          <w:rFonts w:ascii="宋体" w:hAnsi="宋体" w:eastAsia="宋体" w:cs="宋体"/>
          <w:spacing w:val="-9"/>
          <w:position w:val="17"/>
          <w:sz w:val="24"/>
          <w:szCs w:val="24"/>
        </w:rPr>
        <w:t>（</w:t>
      </w:r>
      <w:r>
        <w:rPr>
          <w:rFonts w:ascii="Times New Roman" w:hAnsi="Times New Roman" w:eastAsia="Times New Roman" w:cs="Times New Roman"/>
          <w:spacing w:val="-9"/>
          <w:position w:val="17"/>
          <w:sz w:val="24"/>
          <w:szCs w:val="24"/>
        </w:rPr>
        <w:t>1</w:t>
      </w:r>
      <w:r>
        <w:rPr>
          <w:rFonts w:ascii="宋体" w:hAnsi="宋体" w:eastAsia="宋体" w:cs="宋体"/>
          <w:spacing w:val="-9"/>
          <w:position w:val="17"/>
          <w:sz w:val="24"/>
          <w:szCs w:val="24"/>
        </w:rPr>
        <w:t>）《建设项目环境保护管理条例》，中华人民共和国国务院</w:t>
      </w:r>
      <w:r>
        <w:rPr>
          <w:rFonts w:ascii="宋体" w:hAnsi="宋体" w:eastAsia="宋体" w:cs="宋体"/>
          <w:spacing w:val="-10"/>
          <w:position w:val="17"/>
          <w:sz w:val="24"/>
          <w:szCs w:val="24"/>
        </w:rPr>
        <w:t xml:space="preserve">令第 </w:t>
      </w:r>
      <w:r>
        <w:rPr>
          <w:rFonts w:ascii="Times New Roman" w:hAnsi="Times New Roman" w:eastAsia="Times New Roman" w:cs="Times New Roman"/>
          <w:spacing w:val="-10"/>
          <w:position w:val="17"/>
          <w:sz w:val="24"/>
          <w:szCs w:val="24"/>
        </w:rPr>
        <w:t>682</w:t>
      </w:r>
      <w:r>
        <w:rPr>
          <w:rFonts w:ascii="Times New Roman" w:hAnsi="Times New Roman" w:eastAsia="Times New Roman" w:cs="Times New Roman"/>
          <w:spacing w:val="33"/>
          <w:w w:val="101"/>
          <w:position w:val="17"/>
          <w:sz w:val="24"/>
          <w:szCs w:val="24"/>
        </w:rPr>
        <w:t xml:space="preserve"> </w:t>
      </w:r>
      <w:r>
        <w:rPr>
          <w:rFonts w:ascii="宋体" w:hAnsi="宋体" w:eastAsia="宋体" w:cs="宋体"/>
          <w:spacing w:val="-10"/>
          <w:position w:val="17"/>
          <w:sz w:val="24"/>
          <w:szCs w:val="24"/>
        </w:rPr>
        <w:t>号，</w:t>
      </w:r>
    </w:p>
    <w:p>
      <w:pPr>
        <w:spacing w:before="1" w:line="219" w:lineRule="auto"/>
        <w:ind w:left="35"/>
        <w:rPr>
          <w:rFonts w:ascii="宋体" w:hAnsi="宋体" w:eastAsia="宋体" w:cs="宋体"/>
          <w:sz w:val="24"/>
          <w:szCs w:val="24"/>
        </w:rPr>
      </w:pPr>
      <w:r>
        <w:rPr>
          <w:rFonts w:ascii="Times New Roman" w:hAnsi="Times New Roman" w:eastAsia="Times New Roman" w:cs="Times New Roman"/>
          <w:spacing w:val="-5"/>
          <w:sz w:val="24"/>
          <w:szCs w:val="24"/>
        </w:rPr>
        <w:t xml:space="preserve">2017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p>
    <w:p>
      <w:pPr>
        <w:spacing w:before="183" w:line="218" w:lineRule="auto"/>
        <w:ind w:left="516"/>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宋体" w:hAnsi="宋体" w:eastAsia="宋体" w:cs="宋体"/>
          <w:spacing w:val="-10"/>
          <w:sz w:val="24"/>
          <w:szCs w:val="24"/>
        </w:rPr>
        <w:t>）《建设项目环境影响评价分类管理名录》（</w:t>
      </w:r>
      <w:r>
        <w:rPr>
          <w:rFonts w:ascii="Times New Roman" w:hAnsi="Times New Roman" w:eastAsia="Times New Roman" w:cs="Times New Roman"/>
          <w:spacing w:val="-10"/>
          <w:sz w:val="24"/>
          <w:szCs w:val="24"/>
        </w:rPr>
        <w:t>2021</w:t>
      </w:r>
      <w:r>
        <w:rPr>
          <w:rFonts w:ascii="宋体" w:hAnsi="宋体" w:eastAsia="宋体" w:cs="宋体"/>
          <w:spacing w:val="-63"/>
          <w:w w:val="98"/>
          <w:sz w:val="24"/>
          <w:szCs w:val="24"/>
        </w:rPr>
        <w:t>）；</w:t>
      </w:r>
    </w:p>
    <w:p>
      <w:pPr>
        <w:spacing w:before="184" w:line="468" w:lineRule="exact"/>
        <w:ind w:right="23"/>
        <w:jc w:val="right"/>
        <w:rPr>
          <w:rFonts w:ascii="Times New Roman" w:hAnsi="Times New Roman" w:eastAsia="Times New Roman" w:cs="Times New Roman"/>
          <w:sz w:val="24"/>
          <w:szCs w:val="24"/>
        </w:rPr>
      </w:pPr>
      <w:r>
        <w:rPr>
          <w:rFonts w:ascii="宋体" w:hAnsi="宋体" w:eastAsia="宋体" w:cs="宋体"/>
          <w:spacing w:val="-6"/>
          <w:position w:val="17"/>
          <w:sz w:val="24"/>
          <w:szCs w:val="24"/>
        </w:rPr>
        <w:t>（</w:t>
      </w:r>
      <w:r>
        <w:rPr>
          <w:rFonts w:ascii="Times New Roman" w:hAnsi="Times New Roman" w:eastAsia="Times New Roman" w:cs="Times New Roman"/>
          <w:spacing w:val="-6"/>
          <w:position w:val="17"/>
          <w:sz w:val="24"/>
          <w:szCs w:val="24"/>
        </w:rPr>
        <w:t>3</w:t>
      </w:r>
      <w:r>
        <w:rPr>
          <w:rFonts w:ascii="宋体" w:hAnsi="宋体" w:eastAsia="宋体" w:cs="宋体"/>
          <w:spacing w:val="-6"/>
          <w:position w:val="17"/>
          <w:sz w:val="24"/>
          <w:szCs w:val="24"/>
        </w:rPr>
        <w:t>）《国务院关于落实科学发展观加强环境保护的决定》，国发［</w:t>
      </w:r>
      <w:r>
        <w:rPr>
          <w:rFonts w:ascii="Times New Roman" w:hAnsi="Times New Roman" w:eastAsia="Times New Roman" w:cs="Times New Roman"/>
          <w:spacing w:val="-6"/>
          <w:position w:val="17"/>
          <w:sz w:val="24"/>
          <w:szCs w:val="24"/>
        </w:rPr>
        <w:t>2005</w:t>
      </w:r>
      <w:r>
        <w:rPr>
          <w:rFonts w:ascii="宋体" w:hAnsi="宋体" w:eastAsia="宋体" w:cs="宋体"/>
          <w:spacing w:val="-6"/>
          <w:position w:val="17"/>
          <w:sz w:val="24"/>
          <w:szCs w:val="24"/>
        </w:rPr>
        <w:t>］</w:t>
      </w:r>
      <w:r>
        <w:rPr>
          <w:rFonts w:ascii="Times New Roman" w:hAnsi="Times New Roman" w:eastAsia="Times New Roman" w:cs="Times New Roman"/>
          <w:spacing w:val="-6"/>
          <w:position w:val="17"/>
          <w:sz w:val="24"/>
          <w:szCs w:val="24"/>
        </w:rPr>
        <w:t>39</w:t>
      </w:r>
    </w:p>
    <w:p>
      <w:pPr>
        <w:spacing w:before="1" w:line="219" w:lineRule="auto"/>
        <w:ind w:left="45"/>
        <w:rPr>
          <w:rFonts w:ascii="宋体" w:hAnsi="宋体" w:eastAsia="宋体" w:cs="宋体"/>
          <w:sz w:val="24"/>
          <w:szCs w:val="24"/>
        </w:rPr>
      </w:pPr>
      <w:r>
        <w:rPr>
          <w:rFonts w:ascii="宋体" w:hAnsi="宋体" w:eastAsia="宋体" w:cs="宋体"/>
          <w:spacing w:val="-16"/>
          <w:sz w:val="24"/>
          <w:szCs w:val="24"/>
        </w:rPr>
        <w:t>号，</w:t>
      </w:r>
      <w:r>
        <w:rPr>
          <w:rFonts w:ascii="宋体" w:hAnsi="宋体" w:eastAsia="宋体" w:cs="宋体"/>
          <w:spacing w:val="-34"/>
          <w:sz w:val="24"/>
          <w:szCs w:val="24"/>
        </w:rPr>
        <w:t xml:space="preserve"> </w:t>
      </w:r>
      <w:r>
        <w:rPr>
          <w:rFonts w:ascii="Times New Roman" w:hAnsi="Times New Roman" w:eastAsia="Times New Roman" w:cs="Times New Roman"/>
          <w:spacing w:val="-16"/>
          <w:sz w:val="24"/>
          <w:szCs w:val="24"/>
        </w:rPr>
        <w:t>2005</w:t>
      </w:r>
      <w:r>
        <w:rPr>
          <w:rFonts w:ascii="Times New Roman" w:hAnsi="Times New Roman" w:eastAsia="Times New Roman" w:cs="Times New Roman"/>
          <w:spacing w:val="10"/>
          <w:sz w:val="24"/>
          <w:szCs w:val="24"/>
        </w:rPr>
        <w:t xml:space="preserve"> </w:t>
      </w:r>
      <w:r>
        <w:rPr>
          <w:rFonts w:ascii="宋体" w:hAnsi="宋体" w:eastAsia="宋体" w:cs="宋体"/>
          <w:spacing w:val="-16"/>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6"/>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16"/>
          <w:sz w:val="24"/>
          <w:szCs w:val="24"/>
        </w:rPr>
        <w:t>月；</w:t>
      </w:r>
    </w:p>
    <w:p>
      <w:pPr>
        <w:spacing w:line="219" w:lineRule="auto"/>
        <w:rPr>
          <w:rFonts w:ascii="宋体" w:hAnsi="宋体" w:eastAsia="宋体" w:cs="宋体"/>
          <w:sz w:val="24"/>
          <w:szCs w:val="24"/>
        </w:rPr>
        <w:sectPr>
          <w:headerReference r:id="rId22" w:type="default"/>
          <w:footerReference r:id="rId23" w:type="default"/>
          <w:pgSz w:w="11907" w:h="16839"/>
          <w:pgMar w:top="1156" w:right="1768" w:bottom="1152" w:left="1770" w:header="881" w:footer="991" w:gutter="0"/>
        </w:sectPr>
      </w:pPr>
    </w:p>
    <w:p>
      <w:pPr>
        <w:spacing w:line="317" w:lineRule="auto"/>
        <w:rPr>
          <w:rFonts w:ascii="Arial"/>
          <w:sz w:val="21"/>
        </w:rPr>
      </w:pPr>
    </w:p>
    <w:p>
      <w:pPr>
        <w:spacing w:before="78" w:line="468" w:lineRule="exact"/>
        <w:ind w:left="516"/>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4</w:t>
      </w:r>
      <w:r>
        <w:rPr>
          <w:rFonts w:ascii="宋体" w:hAnsi="宋体" w:eastAsia="宋体" w:cs="宋体"/>
          <w:position w:val="17"/>
          <w:sz w:val="24"/>
          <w:szCs w:val="24"/>
        </w:rPr>
        <w:t>）关于印发《建设项目环境影响评价信息公开机制方案》的通知，环发</w:t>
      </w:r>
    </w:p>
    <w:p>
      <w:pPr>
        <w:spacing w:line="215" w:lineRule="auto"/>
        <w:ind w:left="49"/>
        <w:rPr>
          <w:rFonts w:ascii="宋体" w:hAnsi="宋体" w:eastAsia="宋体" w:cs="宋体"/>
          <w:sz w:val="24"/>
          <w:szCs w:val="24"/>
        </w:rPr>
      </w:pPr>
      <w:r>
        <w:rPr>
          <w:rFonts w:ascii="Times New Roman" w:hAnsi="Times New Roman" w:eastAsia="Times New Roman" w:cs="Times New Roman"/>
          <w:spacing w:val="-9"/>
          <w:sz w:val="24"/>
          <w:szCs w:val="24"/>
        </w:rPr>
        <w:t>[2015]162</w:t>
      </w:r>
      <w:r>
        <w:rPr>
          <w:rFonts w:ascii="Times New Roman" w:hAnsi="Times New Roman" w:eastAsia="Times New Roman" w:cs="Times New Roman"/>
          <w:spacing w:val="21"/>
          <w:sz w:val="24"/>
          <w:szCs w:val="24"/>
        </w:rPr>
        <w:t xml:space="preserve"> </w:t>
      </w:r>
      <w:r>
        <w:rPr>
          <w:rFonts w:ascii="宋体" w:hAnsi="宋体" w:eastAsia="宋体" w:cs="宋体"/>
          <w:spacing w:val="-9"/>
          <w:sz w:val="24"/>
          <w:szCs w:val="24"/>
        </w:rPr>
        <w:t>号，</w:t>
      </w:r>
      <w:r>
        <w:rPr>
          <w:rFonts w:ascii="宋体" w:hAnsi="宋体" w:eastAsia="宋体" w:cs="宋体"/>
          <w:spacing w:val="-37"/>
          <w:sz w:val="24"/>
          <w:szCs w:val="24"/>
        </w:rPr>
        <w:t xml:space="preserve"> </w:t>
      </w:r>
      <w:r>
        <w:rPr>
          <w:rFonts w:ascii="Times New Roman" w:hAnsi="Times New Roman" w:eastAsia="Times New Roman" w:cs="Times New Roman"/>
          <w:spacing w:val="-9"/>
          <w:sz w:val="24"/>
          <w:szCs w:val="24"/>
        </w:rPr>
        <w:t xml:space="preserve">2015 </w:t>
      </w:r>
      <w:r>
        <w:rPr>
          <w:rFonts w:ascii="宋体" w:hAnsi="宋体" w:eastAsia="宋体" w:cs="宋体"/>
          <w:spacing w:val="-9"/>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12</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月；</w:t>
      </w:r>
    </w:p>
    <w:p>
      <w:pPr>
        <w:spacing w:before="187" w:line="469" w:lineRule="exact"/>
        <w:ind w:left="516"/>
        <w:rPr>
          <w:rFonts w:ascii="宋体" w:hAnsi="宋体" w:eastAsia="宋体" w:cs="宋体"/>
          <w:sz w:val="24"/>
          <w:szCs w:val="24"/>
        </w:rPr>
      </w:pPr>
      <w:r>
        <w:rPr>
          <w:rFonts w:ascii="宋体" w:hAnsi="宋体" w:eastAsia="宋体" w:cs="宋体"/>
          <w:spacing w:val="-15"/>
          <w:position w:val="17"/>
          <w:sz w:val="24"/>
          <w:szCs w:val="24"/>
        </w:rPr>
        <w:t>（</w:t>
      </w:r>
      <w:r>
        <w:rPr>
          <w:rFonts w:ascii="Times New Roman" w:hAnsi="Times New Roman" w:eastAsia="Times New Roman" w:cs="Times New Roman"/>
          <w:spacing w:val="-15"/>
          <w:position w:val="17"/>
          <w:sz w:val="24"/>
          <w:szCs w:val="24"/>
        </w:rPr>
        <w:t>5</w:t>
      </w:r>
      <w:r>
        <w:rPr>
          <w:rFonts w:ascii="宋体" w:hAnsi="宋体" w:eastAsia="宋体" w:cs="宋体"/>
          <w:spacing w:val="-15"/>
          <w:position w:val="17"/>
          <w:sz w:val="24"/>
          <w:szCs w:val="24"/>
        </w:rPr>
        <w:t>）关于印发《建设项目环境影响评价政府信息公开指南（试行）》的通知，</w:t>
      </w:r>
    </w:p>
    <w:p>
      <w:pPr>
        <w:spacing w:line="215" w:lineRule="auto"/>
        <w:ind w:left="39"/>
        <w:rPr>
          <w:rFonts w:ascii="宋体" w:hAnsi="宋体" w:eastAsia="宋体" w:cs="宋体"/>
          <w:sz w:val="24"/>
          <w:szCs w:val="24"/>
        </w:rPr>
      </w:pPr>
      <w:r>
        <w:rPr>
          <w:rFonts w:ascii="宋体" w:hAnsi="宋体" w:eastAsia="宋体" w:cs="宋体"/>
          <w:spacing w:val="-8"/>
          <w:sz w:val="24"/>
          <w:szCs w:val="24"/>
        </w:rPr>
        <w:t>环办</w:t>
      </w:r>
      <w:r>
        <w:rPr>
          <w:rFonts w:ascii="Times New Roman" w:hAnsi="Times New Roman" w:eastAsia="Times New Roman" w:cs="Times New Roman"/>
          <w:spacing w:val="-8"/>
          <w:sz w:val="24"/>
          <w:szCs w:val="24"/>
        </w:rPr>
        <w:t>[2013]103</w:t>
      </w:r>
      <w:r>
        <w:rPr>
          <w:rFonts w:ascii="Times New Roman" w:hAnsi="Times New Roman" w:eastAsia="Times New Roman" w:cs="Times New Roman"/>
          <w:spacing w:val="18"/>
          <w:w w:val="101"/>
          <w:sz w:val="24"/>
          <w:szCs w:val="24"/>
        </w:rPr>
        <w:t xml:space="preserve"> </w:t>
      </w:r>
      <w:r>
        <w:rPr>
          <w:rFonts w:ascii="宋体" w:hAnsi="宋体" w:eastAsia="宋体" w:cs="宋体"/>
          <w:spacing w:val="-8"/>
          <w:sz w:val="24"/>
          <w:szCs w:val="24"/>
        </w:rPr>
        <w:t>号，</w:t>
      </w:r>
      <w:r>
        <w:rPr>
          <w:rFonts w:ascii="宋体" w:hAnsi="宋体" w:eastAsia="宋体" w:cs="宋体"/>
          <w:spacing w:val="-37"/>
          <w:sz w:val="24"/>
          <w:szCs w:val="24"/>
        </w:rPr>
        <w:t xml:space="preserve"> </w:t>
      </w:r>
      <w:r>
        <w:rPr>
          <w:rFonts w:ascii="Times New Roman" w:hAnsi="Times New Roman" w:eastAsia="Times New Roman" w:cs="Times New Roman"/>
          <w:spacing w:val="-8"/>
          <w:sz w:val="24"/>
          <w:szCs w:val="24"/>
        </w:rPr>
        <w:t xml:space="preserve">2014 </w:t>
      </w:r>
      <w:r>
        <w:rPr>
          <w:rFonts w:ascii="宋体" w:hAnsi="宋体" w:eastAsia="宋体" w:cs="宋体"/>
          <w:spacing w:val="-8"/>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8"/>
          <w:sz w:val="24"/>
          <w:szCs w:val="24"/>
        </w:rPr>
        <w:t>月；</w:t>
      </w:r>
    </w:p>
    <w:p>
      <w:pPr>
        <w:spacing w:before="187" w:line="219" w:lineRule="auto"/>
        <w:ind w:left="516"/>
        <w:rPr>
          <w:rFonts w:ascii="宋体" w:hAnsi="宋体" w:eastAsia="宋体" w:cs="宋体"/>
          <w:sz w:val="24"/>
          <w:szCs w:val="24"/>
        </w:rPr>
      </w:pPr>
      <w:r>
        <w:rPr>
          <w:rFonts w:ascii="宋体" w:hAnsi="宋体" w:eastAsia="宋体" w:cs="宋体"/>
          <w:spacing w:val="-17"/>
          <w:sz w:val="24"/>
          <w:szCs w:val="24"/>
        </w:rPr>
        <w:t>（</w:t>
      </w:r>
      <w:r>
        <w:rPr>
          <w:rFonts w:ascii="Times New Roman" w:hAnsi="Times New Roman" w:eastAsia="Times New Roman" w:cs="Times New Roman"/>
          <w:spacing w:val="-17"/>
          <w:sz w:val="24"/>
          <w:szCs w:val="24"/>
        </w:rPr>
        <w:t>6</w:t>
      </w:r>
      <w:r>
        <w:rPr>
          <w:rFonts w:ascii="宋体" w:hAnsi="宋体" w:eastAsia="宋体" w:cs="宋体"/>
          <w:spacing w:val="-17"/>
          <w:sz w:val="24"/>
          <w:szCs w:val="24"/>
        </w:rPr>
        <w:t>）《产业结构调整指导目录（</w:t>
      </w:r>
      <w:r>
        <w:rPr>
          <w:rFonts w:ascii="Times New Roman" w:hAnsi="Times New Roman" w:eastAsia="Times New Roman" w:cs="Times New Roman"/>
          <w:spacing w:val="-17"/>
          <w:sz w:val="24"/>
          <w:szCs w:val="24"/>
        </w:rPr>
        <w:t>2019</w:t>
      </w:r>
      <w:r>
        <w:rPr>
          <w:rFonts w:ascii="Times New Roman" w:hAnsi="Times New Roman" w:eastAsia="Times New Roman" w:cs="Times New Roman"/>
          <w:spacing w:val="22"/>
          <w:sz w:val="24"/>
          <w:szCs w:val="24"/>
        </w:rPr>
        <w:t xml:space="preserve"> </w:t>
      </w:r>
      <w:r>
        <w:rPr>
          <w:rFonts w:ascii="宋体" w:hAnsi="宋体" w:eastAsia="宋体" w:cs="宋体"/>
          <w:spacing w:val="-17"/>
          <w:sz w:val="24"/>
          <w:szCs w:val="24"/>
        </w:rPr>
        <w:t>年本）》；</w:t>
      </w:r>
    </w:p>
    <w:p>
      <w:pPr>
        <w:spacing w:before="184" w:line="218" w:lineRule="auto"/>
        <w:jc w:val="right"/>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7</w:t>
      </w:r>
      <w:r>
        <w:rPr>
          <w:rFonts w:ascii="宋体" w:hAnsi="宋体" w:eastAsia="宋体" w:cs="宋体"/>
          <w:spacing w:val="-13"/>
          <w:sz w:val="24"/>
          <w:szCs w:val="24"/>
        </w:rPr>
        <w:t>）《环境影响评价公众参与办法》，生态环境部令第</w:t>
      </w:r>
      <w:r>
        <w:rPr>
          <w:rFonts w:ascii="宋体" w:hAnsi="宋体" w:eastAsia="宋体" w:cs="宋体"/>
          <w:spacing w:val="-37"/>
          <w:sz w:val="24"/>
          <w:szCs w:val="24"/>
        </w:rPr>
        <w:t xml:space="preserve"> </w:t>
      </w:r>
      <w:r>
        <w:rPr>
          <w:rFonts w:ascii="Times New Roman" w:hAnsi="Times New Roman" w:eastAsia="Times New Roman" w:cs="Times New Roman"/>
          <w:spacing w:val="-13"/>
          <w:sz w:val="24"/>
          <w:szCs w:val="24"/>
        </w:rPr>
        <w:t>4</w:t>
      </w:r>
      <w:r>
        <w:rPr>
          <w:rFonts w:ascii="Times New Roman" w:hAnsi="Times New Roman" w:eastAsia="Times New Roman" w:cs="Times New Roman"/>
          <w:spacing w:val="35"/>
          <w:w w:val="101"/>
          <w:sz w:val="24"/>
          <w:szCs w:val="24"/>
        </w:rPr>
        <w:t xml:space="preserve"> </w:t>
      </w:r>
      <w:r>
        <w:rPr>
          <w:rFonts w:ascii="宋体" w:hAnsi="宋体" w:eastAsia="宋体" w:cs="宋体"/>
          <w:spacing w:val="-13"/>
          <w:sz w:val="24"/>
          <w:szCs w:val="24"/>
        </w:rPr>
        <w:t>号，</w:t>
      </w:r>
      <w:r>
        <w:rPr>
          <w:rFonts w:ascii="宋体" w:hAnsi="宋体" w:eastAsia="宋体" w:cs="宋体"/>
          <w:spacing w:val="-37"/>
          <w:sz w:val="24"/>
          <w:szCs w:val="24"/>
        </w:rPr>
        <w:t xml:space="preserve"> </w:t>
      </w:r>
      <w:r>
        <w:rPr>
          <w:rFonts w:ascii="Times New Roman" w:hAnsi="Times New Roman" w:eastAsia="Times New Roman" w:cs="Times New Roman"/>
          <w:spacing w:val="-13"/>
          <w:sz w:val="24"/>
          <w:szCs w:val="24"/>
        </w:rPr>
        <w:t>2019</w:t>
      </w:r>
      <w:r>
        <w:rPr>
          <w:rFonts w:ascii="Times New Roman" w:hAnsi="Times New Roman" w:eastAsia="Times New Roman" w:cs="Times New Roman"/>
          <w:spacing w:val="29"/>
          <w:w w:val="101"/>
          <w:sz w:val="24"/>
          <w:szCs w:val="24"/>
        </w:rPr>
        <w:t xml:space="preserve"> </w:t>
      </w:r>
      <w:r>
        <w:rPr>
          <w:rFonts w:ascii="宋体" w:hAnsi="宋体" w:eastAsia="宋体" w:cs="宋体"/>
          <w:spacing w:val="-13"/>
          <w:sz w:val="24"/>
          <w:szCs w:val="24"/>
        </w:rPr>
        <w:t xml:space="preserve">年 </w:t>
      </w:r>
      <w:r>
        <w:rPr>
          <w:rFonts w:ascii="Times New Roman" w:hAnsi="Times New Roman" w:eastAsia="Times New Roman" w:cs="Times New Roman"/>
          <w:spacing w:val="-13"/>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13"/>
          <w:sz w:val="24"/>
          <w:szCs w:val="24"/>
        </w:rPr>
        <w:t>月；</w:t>
      </w:r>
    </w:p>
    <w:p>
      <w:pPr>
        <w:spacing w:before="184" w:line="219" w:lineRule="auto"/>
        <w:ind w:left="525"/>
        <w:rPr>
          <w:rFonts w:ascii="宋体" w:hAnsi="宋体" w:eastAsia="宋体" w:cs="宋体"/>
          <w:sz w:val="24"/>
          <w:szCs w:val="24"/>
        </w:rPr>
      </w:pPr>
      <w:r>
        <w:rPr>
          <w:rFonts w:ascii="宋体" w:hAnsi="宋体" w:eastAsia="宋体" w:cs="宋体"/>
          <w:spacing w:val="-12"/>
          <w:sz w:val="24"/>
          <w:szCs w:val="24"/>
        </w:rPr>
        <w:t>（</w:t>
      </w:r>
      <w:r>
        <w:rPr>
          <w:rFonts w:ascii="Times New Roman" w:hAnsi="Times New Roman" w:eastAsia="Times New Roman" w:cs="Times New Roman"/>
          <w:spacing w:val="-12"/>
          <w:sz w:val="24"/>
          <w:szCs w:val="24"/>
        </w:rPr>
        <w:t>8</w:t>
      </w:r>
      <w:r>
        <w:rPr>
          <w:rFonts w:ascii="宋体" w:hAnsi="宋体" w:eastAsia="宋体" w:cs="宋体"/>
          <w:spacing w:val="-12"/>
          <w:sz w:val="24"/>
          <w:szCs w:val="24"/>
        </w:rPr>
        <w:t>）《基本农田保护条例》，</w:t>
      </w:r>
      <w:r>
        <w:rPr>
          <w:rFonts w:ascii="Times New Roman" w:hAnsi="Times New Roman" w:eastAsia="Times New Roman" w:cs="Times New Roman"/>
          <w:spacing w:val="-12"/>
          <w:sz w:val="24"/>
          <w:szCs w:val="24"/>
        </w:rPr>
        <w:t>2011</w:t>
      </w:r>
      <w:r>
        <w:rPr>
          <w:rFonts w:ascii="宋体" w:hAnsi="宋体" w:eastAsia="宋体" w:cs="宋体"/>
          <w:spacing w:val="-12"/>
          <w:sz w:val="24"/>
          <w:szCs w:val="24"/>
        </w:rPr>
        <w:t>年</w:t>
      </w:r>
      <w:r>
        <w:rPr>
          <w:rFonts w:ascii="Times New Roman" w:hAnsi="Times New Roman" w:eastAsia="Times New Roman" w:cs="Times New Roman"/>
          <w:spacing w:val="-13"/>
          <w:sz w:val="24"/>
          <w:szCs w:val="24"/>
        </w:rPr>
        <w:t>1</w:t>
      </w:r>
      <w:r>
        <w:rPr>
          <w:rFonts w:ascii="宋体" w:hAnsi="宋体" w:eastAsia="宋体" w:cs="宋体"/>
          <w:spacing w:val="-13"/>
          <w:sz w:val="24"/>
          <w:szCs w:val="24"/>
        </w:rPr>
        <w:t>月</w:t>
      </w:r>
      <w:r>
        <w:rPr>
          <w:rFonts w:ascii="Times New Roman" w:hAnsi="Times New Roman" w:eastAsia="Times New Roman" w:cs="Times New Roman"/>
          <w:spacing w:val="-13"/>
          <w:sz w:val="24"/>
          <w:szCs w:val="24"/>
        </w:rPr>
        <w:t>8</w:t>
      </w:r>
      <w:r>
        <w:rPr>
          <w:rFonts w:ascii="宋体" w:hAnsi="宋体" w:eastAsia="宋体" w:cs="宋体"/>
          <w:spacing w:val="-13"/>
          <w:sz w:val="24"/>
          <w:szCs w:val="24"/>
        </w:rPr>
        <w:t>日；</w:t>
      </w:r>
    </w:p>
    <w:p>
      <w:pPr>
        <w:spacing w:before="183" w:line="220" w:lineRule="auto"/>
        <w:ind w:left="525"/>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9</w:t>
      </w:r>
      <w:r>
        <w:rPr>
          <w:rFonts w:ascii="宋体" w:hAnsi="宋体" w:eastAsia="宋体" w:cs="宋体"/>
          <w:spacing w:val="-9"/>
          <w:sz w:val="24"/>
          <w:szCs w:val="24"/>
        </w:rPr>
        <w:t>）《中华人民共和国河道管理条例》，</w:t>
      </w:r>
      <w:r>
        <w:rPr>
          <w:rFonts w:ascii="Times New Roman" w:hAnsi="Times New Roman" w:eastAsia="Times New Roman" w:cs="Times New Roman"/>
          <w:spacing w:val="-9"/>
          <w:sz w:val="24"/>
          <w:szCs w:val="24"/>
        </w:rPr>
        <w:t>2017</w:t>
      </w:r>
      <w:r>
        <w:rPr>
          <w:rFonts w:ascii="宋体" w:hAnsi="宋体" w:eastAsia="宋体" w:cs="宋体"/>
          <w:spacing w:val="-10"/>
          <w:sz w:val="24"/>
          <w:szCs w:val="24"/>
        </w:rPr>
        <w:t>年</w:t>
      </w:r>
      <w:r>
        <w:rPr>
          <w:rFonts w:ascii="Times New Roman" w:hAnsi="Times New Roman" w:eastAsia="Times New Roman" w:cs="Times New Roman"/>
          <w:spacing w:val="-10"/>
          <w:sz w:val="24"/>
          <w:szCs w:val="24"/>
        </w:rPr>
        <w:t>10</w:t>
      </w:r>
      <w:r>
        <w:rPr>
          <w:rFonts w:ascii="宋体" w:hAnsi="宋体" w:eastAsia="宋体" w:cs="宋体"/>
          <w:spacing w:val="-10"/>
          <w:sz w:val="24"/>
          <w:szCs w:val="24"/>
        </w:rPr>
        <w:t>月；</w:t>
      </w:r>
    </w:p>
    <w:p>
      <w:pPr>
        <w:spacing w:before="183" w:line="468" w:lineRule="exact"/>
        <w:ind w:left="525"/>
        <w:rPr>
          <w:rFonts w:ascii="Times New Roman" w:hAnsi="Times New Roman" w:eastAsia="Times New Roman" w:cs="Times New Roman"/>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10</w:t>
      </w:r>
      <w:r>
        <w:rPr>
          <w:rFonts w:ascii="宋体" w:hAnsi="宋体" w:eastAsia="宋体" w:cs="宋体"/>
          <w:position w:val="17"/>
          <w:sz w:val="24"/>
          <w:szCs w:val="24"/>
        </w:rPr>
        <w:t>）国务院关于印发《全国生态环境保护纲</w:t>
      </w:r>
      <w:r>
        <w:rPr>
          <w:rFonts w:ascii="宋体" w:hAnsi="宋体" w:eastAsia="宋体" w:cs="宋体"/>
          <w:spacing w:val="-1"/>
          <w:position w:val="17"/>
          <w:sz w:val="24"/>
          <w:szCs w:val="24"/>
        </w:rPr>
        <w:t>要》的通知，国发</w:t>
      </w:r>
      <w:r>
        <w:rPr>
          <w:rFonts w:ascii="Times New Roman" w:hAnsi="Times New Roman" w:eastAsia="Times New Roman" w:cs="Times New Roman"/>
          <w:spacing w:val="-1"/>
          <w:position w:val="17"/>
          <w:sz w:val="24"/>
          <w:szCs w:val="24"/>
        </w:rPr>
        <w:t>[2000]38</w:t>
      </w:r>
    </w:p>
    <w:p>
      <w:pPr>
        <w:spacing w:line="219" w:lineRule="auto"/>
        <w:ind w:left="45"/>
        <w:rPr>
          <w:rFonts w:ascii="宋体" w:hAnsi="宋体" w:eastAsia="宋体" w:cs="宋体"/>
          <w:sz w:val="24"/>
          <w:szCs w:val="24"/>
        </w:rPr>
      </w:pPr>
      <w:r>
        <w:rPr>
          <w:rFonts w:ascii="宋体" w:hAnsi="宋体" w:eastAsia="宋体" w:cs="宋体"/>
          <w:spacing w:val="-14"/>
          <w:sz w:val="24"/>
          <w:szCs w:val="24"/>
        </w:rPr>
        <w:t>号，</w:t>
      </w:r>
      <w:r>
        <w:rPr>
          <w:rFonts w:ascii="宋体" w:hAnsi="宋体" w:eastAsia="宋体" w:cs="宋体"/>
          <w:spacing w:val="-29"/>
          <w:sz w:val="24"/>
          <w:szCs w:val="24"/>
        </w:rPr>
        <w:t xml:space="preserve"> </w:t>
      </w:r>
      <w:r>
        <w:rPr>
          <w:rFonts w:ascii="Times New Roman" w:hAnsi="Times New Roman" w:eastAsia="Times New Roman" w:cs="Times New Roman"/>
          <w:spacing w:val="-14"/>
          <w:sz w:val="24"/>
          <w:szCs w:val="24"/>
        </w:rPr>
        <w:t>2000</w:t>
      </w:r>
      <w:r>
        <w:rPr>
          <w:rFonts w:ascii="Times New Roman" w:hAnsi="Times New Roman" w:eastAsia="Times New Roman" w:cs="Times New Roman"/>
          <w:spacing w:val="5"/>
          <w:sz w:val="24"/>
          <w:szCs w:val="24"/>
        </w:rPr>
        <w:t xml:space="preserve">  </w:t>
      </w:r>
      <w:r>
        <w:rPr>
          <w:rFonts w:ascii="宋体" w:hAnsi="宋体" w:eastAsia="宋体" w:cs="宋体"/>
          <w:spacing w:val="-14"/>
          <w:sz w:val="24"/>
          <w:szCs w:val="24"/>
        </w:rPr>
        <w:t>年</w:t>
      </w:r>
      <w:r>
        <w:rPr>
          <w:rFonts w:ascii="Times New Roman" w:hAnsi="Times New Roman" w:eastAsia="Times New Roman" w:cs="Times New Roman"/>
          <w:spacing w:val="-14"/>
          <w:sz w:val="24"/>
          <w:szCs w:val="24"/>
        </w:rPr>
        <w:t>11</w:t>
      </w:r>
      <w:r>
        <w:rPr>
          <w:rFonts w:ascii="宋体" w:hAnsi="宋体" w:eastAsia="宋体" w:cs="宋体"/>
          <w:spacing w:val="-14"/>
          <w:sz w:val="24"/>
          <w:szCs w:val="24"/>
        </w:rPr>
        <w:t>月；</w:t>
      </w:r>
    </w:p>
    <w:p>
      <w:pPr>
        <w:spacing w:before="182" w:line="220" w:lineRule="auto"/>
        <w:ind w:left="525"/>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11</w:t>
      </w:r>
      <w:r>
        <w:rPr>
          <w:rFonts w:ascii="宋体" w:hAnsi="宋体" w:eastAsia="宋体" w:cs="宋体"/>
          <w:spacing w:val="-9"/>
          <w:sz w:val="24"/>
          <w:szCs w:val="24"/>
        </w:rPr>
        <w:t>）《中华人民共和国陆生野生动物保护实施条例》，</w:t>
      </w:r>
      <w:r>
        <w:rPr>
          <w:rFonts w:ascii="Times New Roman" w:hAnsi="Times New Roman" w:eastAsia="Times New Roman" w:cs="Times New Roman"/>
          <w:spacing w:val="-9"/>
          <w:sz w:val="24"/>
          <w:szCs w:val="24"/>
        </w:rPr>
        <w:t>2016</w:t>
      </w:r>
      <w:r>
        <w:rPr>
          <w:rFonts w:ascii="宋体" w:hAnsi="宋体" w:eastAsia="宋体" w:cs="宋体"/>
          <w:spacing w:val="-9"/>
          <w:sz w:val="24"/>
          <w:szCs w:val="24"/>
        </w:rPr>
        <w:t>年</w:t>
      </w:r>
      <w:r>
        <w:rPr>
          <w:rFonts w:ascii="Times New Roman" w:hAnsi="Times New Roman" w:eastAsia="Times New Roman" w:cs="Times New Roman"/>
          <w:spacing w:val="-9"/>
          <w:sz w:val="24"/>
          <w:szCs w:val="24"/>
        </w:rPr>
        <w:t>2</w:t>
      </w:r>
      <w:r>
        <w:rPr>
          <w:rFonts w:ascii="宋体" w:hAnsi="宋体" w:eastAsia="宋体" w:cs="宋体"/>
          <w:spacing w:val="-9"/>
          <w:sz w:val="24"/>
          <w:szCs w:val="24"/>
        </w:rPr>
        <w:t>月修订；</w:t>
      </w:r>
    </w:p>
    <w:p>
      <w:pPr>
        <w:spacing w:before="182" w:line="220" w:lineRule="auto"/>
        <w:ind w:left="525"/>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12</w:t>
      </w:r>
      <w:r>
        <w:rPr>
          <w:rFonts w:ascii="宋体" w:hAnsi="宋体" w:eastAsia="宋体" w:cs="宋体"/>
          <w:spacing w:val="-8"/>
          <w:sz w:val="24"/>
          <w:szCs w:val="24"/>
        </w:rPr>
        <w:t>）《中华人民共和国水生野生动物保护实施条例》，</w:t>
      </w:r>
      <w:r>
        <w:rPr>
          <w:rFonts w:ascii="Times New Roman" w:hAnsi="Times New Roman" w:eastAsia="Times New Roman" w:cs="Times New Roman"/>
          <w:spacing w:val="-8"/>
          <w:sz w:val="24"/>
          <w:szCs w:val="24"/>
        </w:rPr>
        <w:t>2013</w:t>
      </w:r>
      <w:r>
        <w:rPr>
          <w:rFonts w:ascii="宋体" w:hAnsi="宋体" w:eastAsia="宋体" w:cs="宋体"/>
          <w:spacing w:val="-8"/>
          <w:sz w:val="24"/>
          <w:szCs w:val="24"/>
        </w:rPr>
        <w:t>年</w:t>
      </w:r>
      <w:r>
        <w:rPr>
          <w:rFonts w:ascii="Times New Roman" w:hAnsi="Times New Roman" w:eastAsia="Times New Roman" w:cs="Times New Roman"/>
          <w:spacing w:val="-8"/>
          <w:sz w:val="24"/>
          <w:szCs w:val="24"/>
        </w:rPr>
        <w:t>12</w:t>
      </w:r>
      <w:r>
        <w:rPr>
          <w:rFonts w:ascii="宋体" w:hAnsi="宋体" w:eastAsia="宋体" w:cs="宋体"/>
          <w:spacing w:val="-8"/>
          <w:sz w:val="24"/>
          <w:szCs w:val="24"/>
        </w:rPr>
        <w:t>月修</w:t>
      </w:r>
      <w:r>
        <w:rPr>
          <w:rFonts w:ascii="宋体" w:hAnsi="宋体" w:eastAsia="宋体" w:cs="宋体"/>
          <w:spacing w:val="-9"/>
          <w:sz w:val="24"/>
          <w:szCs w:val="24"/>
        </w:rPr>
        <w:t>订；</w:t>
      </w:r>
    </w:p>
    <w:p>
      <w:pPr>
        <w:spacing w:before="183" w:line="468" w:lineRule="exact"/>
        <w:ind w:left="525"/>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14</w:t>
      </w:r>
      <w:r>
        <w:rPr>
          <w:rFonts w:ascii="宋体" w:hAnsi="宋体" w:eastAsia="宋体" w:cs="宋体"/>
          <w:spacing w:val="-8"/>
          <w:position w:val="17"/>
          <w:sz w:val="24"/>
          <w:szCs w:val="24"/>
        </w:rPr>
        <w:t>）《国家重点保护野生植物名录》，国家林业和草原局 农业农村部公</w:t>
      </w:r>
    </w:p>
    <w:p>
      <w:pPr>
        <w:spacing w:line="218" w:lineRule="auto"/>
        <w:ind w:left="45"/>
        <w:rPr>
          <w:rFonts w:ascii="宋体" w:hAnsi="宋体" w:eastAsia="宋体" w:cs="宋体"/>
          <w:sz w:val="24"/>
          <w:szCs w:val="24"/>
        </w:rPr>
      </w:pPr>
      <w:r>
        <w:rPr>
          <w:rFonts w:ascii="宋体" w:hAnsi="宋体" w:eastAsia="宋体" w:cs="宋体"/>
          <w:spacing w:val="-2"/>
          <w:sz w:val="24"/>
          <w:szCs w:val="24"/>
        </w:rPr>
        <w:t>告，</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年第</w:t>
      </w:r>
      <w:r>
        <w:rPr>
          <w:rFonts w:ascii="Times New Roman" w:hAnsi="Times New Roman" w:eastAsia="Times New Roman" w:cs="Times New Roman"/>
          <w:spacing w:val="-2"/>
          <w:sz w:val="24"/>
          <w:szCs w:val="24"/>
        </w:rPr>
        <w:t>15</w:t>
      </w:r>
      <w:r>
        <w:rPr>
          <w:rFonts w:ascii="宋体" w:hAnsi="宋体" w:eastAsia="宋体" w:cs="宋体"/>
          <w:spacing w:val="-2"/>
          <w:sz w:val="24"/>
          <w:szCs w:val="24"/>
        </w:rPr>
        <w:t>号；</w:t>
      </w:r>
    </w:p>
    <w:p>
      <w:pPr>
        <w:spacing w:before="184" w:line="469" w:lineRule="exact"/>
        <w:ind w:left="525"/>
        <w:rPr>
          <w:rFonts w:ascii="宋体" w:hAnsi="宋体" w:eastAsia="宋体" w:cs="宋体"/>
          <w:sz w:val="24"/>
          <w:szCs w:val="24"/>
        </w:rPr>
      </w:pPr>
      <w:r>
        <w:rPr>
          <w:rFonts w:ascii="宋体" w:hAnsi="宋体" w:eastAsia="宋体" w:cs="宋体"/>
          <w:spacing w:val="-9"/>
          <w:position w:val="17"/>
          <w:sz w:val="24"/>
          <w:szCs w:val="24"/>
        </w:rPr>
        <w:t>（</w:t>
      </w:r>
      <w:r>
        <w:rPr>
          <w:rFonts w:ascii="Times New Roman" w:hAnsi="Times New Roman" w:eastAsia="Times New Roman" w:cs="Times New Roman"/>
          <w:spacing w:val="-9"/>
          <w:position w:val="17"/>
          <w:sz w:val="24"/>
          <w:szCs w:val="24"/>
        </w:rPr>
        <w:t>15</w:t>
      </w:r>
      <w:r>
        <w:rPr>
          <w:rFonts w:ascii="宋体" w:hAnsi="宋体" w:eastAsia="宋体" w:cs="宋体"/>
          <w:spacing w:val="-9"/>
          <w:position w:val="17"/>
          <w:sz w:val="24"/>
          <w:szCs w:val="24"/>
        </w:rPr>
        <w:t>）《国家重点保护野生动物名录》，</w:t>
      </w:r>
      <w:r>
        <w:rPr>
          <w:rFonts w:ascii="宋体" w:hAnsi="宋体" w:eastAsia="宋体" w:cs="宋体"/>
          <w:spacing w:val="-61"/>
          <w:position w:val="17"/>
          <w:sz w:val="24"/>
          <w:szCs w:val="24"/>
        </w:rPr>
        <w:t xml:space="preserve"> </w:t>
      </w:r>
      <w:r>
        <w:rPr>
          <w:rFonts w:ascii="宋体" w:hAnsi="宋体" w:eastAsia="宋体" w:cs="宋体"/>
          <w:spacing w:val="-9"/>
          <w:position w:val="17"/>
          <w:sz w:val="24"/>
          <w:szCs w:val="24"/>
        </w:rPr>
        <w:t>国家林业和草原</w:t>
      </w:r>
      <w:r>
        <w:rPr>
          <w:rFonts w:ascii="宋体" w:hAnsi="宋体" w:eastAsia="宋体" w:cs="宋体"/>
          <w:spacing w:val="-10"/>
          <w:position w:val="17"/>
          <w:sz w:val="24"/>
          <w:szCs w:val="24"/>
        </w:rPr>
        <w:t>局 农业农村部公</w:t>
      </w:r>
    </w:p>
    <w:p>
      <w:pPr>
        <w:spacing w:line="218" w:lineRule="auto"/>
        <w:ind w:left="45"/>
        <w:rPr>
          <w:rFonts w:ascii="宋体" w:hAnsi="宋体" w:eastAsia="宋体" w:cs="宋体"/>
          <w:sz w:val="24"/>
          <w:szCs w:val="24"/>
        </w:rPr>
      </w:pPr>
      <w:r>
        <w:rPr>
          <w:rFonts w:ascii="宋体" w:hAnsi="宋体" w:eastAsia="宋体" w:cs="宋体"/>
          <w:spacing w:val="-2"/>
          <w:sz w:val="24"/>
          <w:szCs w:val="24"/>
        </w:rPr>
        <w:t>告，</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年第</w:t>
      </w:r>
      <w:r>
        <w:rPr>
          <w:rFonts w:ascii="Times New Roman" w:hAnsi="Times New Roman" w:eastAsia="Times New Roman" w:cs="Times New Roman"/>
          <w:spacing w:val="-2"/>
          <w:sz w:val="24"/>
          <w:szCs w:val="24"/>
        </w:rPr>
        <w:t>3</w:t>
      </w:r>
      <w:r>
        <w:rPr>
          <w:rFonts w:ascii="宋体" w:hAnsi="宋体" w:eastAsia="宋体" w:cs="宋体"/>
          <w:spacing w:val="-2"/>
          <w:sz w:val="24"/>
          <w:szCs w:val="24"/>
        </w:rPr>
        <w:t>号；</w:t>
      </w:r>
    </w:p>
    <w:p>
      <w:pPr>
        <w:spacing w:before="184" w:line="468" w:lineRule="exact"/>
        <w:ind w:left="525"/>
        <w:rPr>
          <w:rFonts w:ascii="宋体" w:hAnsi="宋体" w:eastAsia="宋体" w:cs="宋体"/>
          <w:sz w:val="24"/>
          <w:szCs w:val="24"/>
        </w:rPr>
      </w:pP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16</w:t>
      </w:r>
      <w:r>
        <w:rPr>
          <w:rFonts w:ascii="宋体" w:hAnsi="宋体" w:eastAsia="宋体" w:cs="宋体"/>
          <w:spacing w:val="4"/>
          <w:position w:val="17"/>
          <w:sz w:val="24"/>
          <w:szCs w:val="24"/>
        </w:rPr>
        <w:t>）《关于进一步加强环境影响评价管理防范</w:t>
      </w:r>
      <w:r>
        <w:rPr>
          <w:rFonts w:ascii="宋体" w:hAnsi="宋体" w:eastAsia="宋体" w:cs="宋体"/>
          <w:spacing w:val="3"/>
          <w:position w:val="17"/>
          <w:sz w:val="24"/>
          <w:szCs w:val="24"/>
        </w:rPr>
        <w:t>环境风险的通知》，环发</w:t>
      </w:r>
    </w:p>
    <w:p>
      <w:pPr>
        <w:spacing w:before="1" w:line="215" w:lineRule="auto"/>
        <w:ind w:left="49"/>
        <w:rPr>
          <w:rFonts w:ascii="宋体" w:hAnsi="宋体" w:eastAsia="宋体" w:cs="宋体"/>
          <w:sz w:val="24"/>
          <w:szCs w:val="24"/>
        </w:rPr>
      </w:pPr>
      <w:r>
        <w:rPr>
          <w:rFonts w:ascii="Times New Roman" w:hAnsi="Times New Roman" w:eastAsia="Times New Roman" w:cs="Times New Roman"/>
          <w:spacing w:val="-9"/>
          <w:sz w:val="24"/>
          <w:szCs w:val="24"/>
        </w:rPr>
        <w:t>[2012]77</w:t>
      </w:r>
      <w:r>
        <w:rPr>
          <w:rFonts w:ascii="Times New Roman" w:hAnsi="Times New Roman" w:eastAsia="Times New Roman" w:cs="Times New Roman"/>
          <w:spacing w:val="23"/>
          <w:sz w:val="24"/>
          <w:szCs w:val="24"/>
        </w:rPr>
        <w:t xml:space="preserve"> </w:t>
      </w:r>
      <w:r>
        <w:rPr>
          <w:rFonts w:ascii="宋体" w:hAnsi="宋体" w:eastAsia="宋体" w:cs="宋体"/>
          <w:spacing w:val="-9"/>
          <w:sz w:val="24"/>
          <w:szCs w:val="24"/>
        </w:rPr>
        <w:t>号，</w:t>
      </w:r>
      <w:r>
        <w:rPr>
          <w:rFonts w:ascii="宋体" w:hAnsi="宋体" w:eastAsia="宋体" w:cs="宋体"/>
          <w:spacing w:val="-37"/>
          <w:sz w:val="24"/>
          <w:szCs w:val="24"/>
        </w:rPr>
        <w:t xml:space="preserve"> </w:t>
      </w:r>
      <w:r>
        <w:rPr>
          <w:rFonts w:ascii="Times New Roman" w:hAnsi="Times New Roman" w:eastAsia="Times New Roman" w:cs="Times New Roman"/>
          <w:spacing w:val="-9"/>
          <w:sz w:val="24"/>
          <w:szCs w:val="24"/>
        </w:rPr>
        <w:t xml:space="preserve">2012 </w:t>
      </w:r>
      <w:r>
        <w:rPr>
          <w:rFonts w:ascii="宋体" w:hAnsi="宋体" w:eastAsia="宋体" w:cs="宋体"/>
          <w:spacing w:val="-9"/>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9"/>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月；</w:t>
      </w:r>
    </w:p>
    <w:p>
      <w:pPr>
        <w:spacing w:before="188" w:line="468" w:lineRule="exact"/>
        <w:ind w:left="525"/>
        <w:rPr>
          <w:rFonts w:ascii="宋体" w:hAnsi="宋体" w:eastAsia="宋体" w:cs="宋体"/>
          <w:sz w:val="24"/>
          <w:szCs w:val="24"/>
        </w:rPr>
      </w:pPr>
      <w:r>
        <w:rPr>
          <w:rFonts w:ascii="宋体" w:hAnsi="宋体" w:eastAsia="宋体" w:cs="宋体"/>
          <w:spacing w:val="9"/>
          <w:position w:val="17"/>
          <w:sz w:val="24"/>
          <w:szCs w:val="24"/>
        </w:rPr>
        <w:t>（</w:t>
      </w:r>
      <w:r>
        <w:rPr>
          <w:rFonts w:ascii="Times New Roman" w:hAnsi="Times New Roman" w:eastAsia="Times New Roman" w:cs="Times New Roman"/>
          <w:spacing w:val="9"/>
          <w:position w:val="17"/>
          <w:sz w:val="24"/>
          <w:szCs w:val="24"/>
        </w:rPr>
        <w:t>17</w:t>
      </w:r>
      <w:r>
        <w:rPr>
          <w:rFonts w:ascii="宋体" w:hAnsi="宋体" w:eastAsia="宋体" w:cs="宋体"/>
          <w:spacing w:val="9"/>
          <w:position w:val="17"/>
          <w:sz w:val="24"/>
          <w:szCs w:val="24"/>
        </w:rPr>
        <w:t>）《关于切实加强风险防范严格环境影响评价管理的通知》，</w:t>
      </w:r>
      <w:r>
        <w:rPr>
          <w:rFonts w:ascii="宋体" w:hAnsi="宋体" w:eastAsia="宋体" w:cs="宋体"/>
          <w:spacing w:val="-54"/>
          <w:position w:val="17"/>
          <w:sz w:val="24"/>
          <w:szCs w:val="24"/>
        </w:rPr>
        <w:t xml:space="preserve"> </w:t>
      </w:r>
      <w:r>
        <w:rPr>
          <w:rFonts w:ascii="宋体" w:hAnsi="宋体" w:eastAsia="宋体" w:cs="宋体"/>
          <w:spacing w:val="9"/>
          <w:position w:val="17"/>
          <w:sz w:val="24"/>
          <w:szCs w:val="24"/>
        </w:rPr>
        <w:t>环发</w:t>
      </w:r>
    </w:p>
    <w:p>
      <w:pPr>
        <w:spacing w:before="1" w:line="215" w:lineRule="auto"/>
        <w:ind w:left="49"/>
        <w:rPr>
          <w:rFonts w:ascii="宋体" w:hAnsi="宋体" w:eastAsia="宋体" w:cs="宋体"/>
          <w:sz w:val="24"/>
          <w:szCs w:val="24"/>
        </w:rPr>
      </w:pPr>
      <w:r>
        <w:rPr>
          <w:rFonts w:ascii="Times New Roman" w:hAnsi="Times New Roman" w:eastAsia="Times New Roman" w:cs="Times New Roman"/>
          <w:spacing w:val="-8"/>
          <w:sz w:val="24"/>
          <w:szCs w:val="24"/>
        </w:rPr>
        <w:t>[2012]98</w:t>
      </w:r>
      <w:r>
        <w:rPr>
          <w:rFonts w:ascii="Times New Roman" w:hAnsi="Times New Roman" w:eastAsia="Times New Roman" w:cs="Times New Roman"/>
          <w:spacing w:val="18"/>
          <w:w w:val="101"/>
          <w:sz w:val="24"/>
          <w:szCs w:val="24"/>
        </w:rPr>
        <w:t xml:space="preserve"> </w:t>
      </w:r>
      <w:r>
        <w:rPr>
          <w:rFonts w:ascii="宋体" w:hAnsi="宋体" w:eastAsia="宋体" w:cs="宋体"/>
          <w:spacing w:val="-8"/>
          <w:sz w:val="24"/>
          <w:szCs w:val="24"/>
        </w:rPr>
        <w:t>号，</w:t>
      </w:r>
      <w:r>
        <w:rPr>
          <w:rFonts w:ascii="宋体" w:hAnsi="宋体" w:eastAsia="宋体" w:cs="宋体"/>
          <w:spacing w:val="-38"/>
          <w:sz w:val="24"/>
          <w:szCs w:val="24"/>
        </w:rPr>
        <w:t xml:space="preserve"> </w:t>
      </w:r>
      <w:r>
        <w:rPr>
          <w:rFonts w:ascii="Times New Roman" w:hAnsi="Times New Roman" w:eastAsia="Times New Roman" w:cs="Times New Roman"/>
          <w:spacing w:val="-8"/>
          <w:sz w:val="24"/>
          <w:szCs w:val="24"/>
        </w:rPr>
        <w:t xml:space="preserve">2012 </w:t>
      </w:r>
      <w:r>
        <w:rPr>
          <w:rFonts w:ascii="宋体" w:hAnsi="宋体" w:eastAsia="宋体" w:cs="宋体"/>
          <w:spacing w:val="-8"/>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8"/>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p>
    <w:p>
      <w:pPr>
        <w:spacing w:before="187" w:line="220" w:lineRule="auto"/>
        <w:ind w:left="525"/>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18</w:t>
      </w:r>
      <w:r>
        <w:rPr>
          <w:rFonts w:ascii="宋体" w:hAnsi="宋体" w:eastAsia="宋体" w:cs="宋体"/>
          <w:spacing w:val="-11"/>
          <w:sz w:val="24"/>
          <w:szCs w:val="24"/>
        </w:rPr>
        <w:t>）国家林业局，</w:t>
      </w:r>
      <w:r>
        <w:rPr>
          <w:rFonts w:ascii="宋体" w:hAnsi="宋体" w:eastAsia="宋体" w:cs="宋体"/>
          <w:spacing w:val="26"/>
          <w:sz w:val="24"/>
          <w:szCs w:val="24"/>
        </w:rPr>
        <w:t xml:space="preserve"> </w:t>
      </w:r>
      <w:r>
        <w:rPr>
          <w:rFonts w:ascii="宋体" w:hAnsi="宋体" w:eastAsia="宋体" w:cs="宋体"/>
          <w:spacing w:val="-11"/>
          <w:sz w:val="24"/>
          <w:szCs w:val="24"/>
        </w:rPr>
        <w:t>财政部，《国家级公益林管理办法》</w:t>
      </w:r>
      <w:r>
        <w:rPr>
          <w:rFonts w:ascii="Times New Roman" w:hAnsi="Times New Roman" w:eastAsia="Times New Roman" w:cs="Times New Roman"/>
          <w:spacing w:val="-11"/>
          <w:sz w:val="24"/>
          <w:szCs w:val="24"/>
        </w:rPr>
        <w:t xml:space="preserve">2017  </w:t>
      </w:r>
      <w:r>
        <w:rPr>
          <w:rFonts w:ascii="宋体" w:hAnsi="宋体" w:eastAsia="宋体" w:cs="宋体"/>
          <w:spacing w:val="-11"/>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11"/>
          <w:sz w:val="24"/>
          <w:szCs w:val="24"/>
        </w:rPr>
        <w:t xml:space="preserve">4  </w:t>
      </w:r>
      <w:r>
        <w:rPr>
          <w:rFonts w:ascii="宋体" w:hAnsi="宋体" w:eastAsia="宋体" w:cs="宋体"/>
          <w:spacing w:val="-11"/>
          <w:sz w:val="24"/>
          <w:szCs w:val="24"/>
        </w:rPr>
        <w:t>月修正；</w:t>
      </w:r>
    </w:p>
    <w:p>
      <w:pPr>
        <w:spacing w:before="182" w:line="220" w:lineRule="auto"/>
        <w:ind w:left="525"/>
        <w:rPr>
          <w:rFonts w:ascii="宋体" w:hAnsi="宋体" w:eastAsia="宋体" w:cs="宋体"/>
          <w:sz w:val="24"/>
          <w:szCs w:val="24"/>
        </w:rPr>
      </w:pPr>
      <w:r>
        <w:rPr>
          <w:rFonts w:ascii="宋体" w:hAnsi="宋体" w:eastAsia="宋体" w:cs="宋体"/>
          <w:spacing w:val="-16"/>
          <w:sz w:val="24"/>
          <w:szCs w:val="24"/>
        </w:rPr>
        <w:t>（</w:t>
      </w:r>
      <w:r>
        <w:rPr>
          <w:rFonts w:ascii="Times New Roman" w:hAnsi="Times New Roman" w:eastAsia="Times New Roman" w:cs="Times New Roman"/>
          <w:spacing w:val="-16"/>
          <w:sz w:val="24"/>
          <w:szCs w:val="24"/>
        </w:rPr>
        <w:t>19</w:t>
      </w:r>
      <w:r>
        <w:rPr>
          <w:rFonts w:ascii="宋体" w:hAnsi="宋体" w:eastAsia="宋体" w:cs="宋体"/>
          <w:spacing w:val="-16"/>
          <w:sz w:val="24"/>
          <w:szCs w:val="24"/>
        </w:rPr>
        <w:t>）《土地复垦条例》，于</w:t>
      </w:r>
      <w:r>
        <w:rPr>
          <w:rFonts w:ascii="宋体" w:hAnsi="宋体" w:eastAsia="宋体" w:cs="宋体"/>
          <w:spacing w:val="-30"/>
          <w:sz w:val="24"/>
          <w:szCs w:val="24"/>
        </w:rPr>
        <w:t xml:space="preserve"> </w:t>
      </w:r>
      <w:r>
        <w:rPr>
          <w:rFonts w:ascii="Times New Roman" w:hAnsi="Times New Roman" w:eastAsia="Times New Roman" w:cs="Times New Roman"/>
          <w:spacing w:val="-16"/>
          <w:sz w:val="24"/>
          <w:szCs w:val="24"/>
        </w:rPr>
        <w:t>2011</w:t>
      </w:r>
      <w:r>
        <w:rPr>
          <w:rFonts w:ascii="Times New Roman" w:hAnsi="Times New Roman" w:eastAsia="Times New Roman" w:cs="Times New Roman"/>
          <w:spacing w:val="10"/>
          <w:sz w:val="24"/>
          <w:szCs w:val="24"/>
        </w:rPr>
        <w:t xml:space="preserve"> </w:t>
      </w:r>
      <w:r>
        <w:rPr>
          <w:rFonts w:ascii="宋体" w:hAnsi="宋体" w:eastAsia="宋体" w:cs="宋体"/>
          <w:spacing w:val="-16"/>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16"/>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16"/>
          <w:sz w:val="24"/>
          <w:szCs w:val="24"/>
        </w:rPr>
        <w:t>月</w:t>
      </w:r>
      <w:r>
        <w:rPr>
          <w:rFonts w:ascii="宋体" w:hAnsi="宋体" w:eastAsia="宋体" w:cs="宋体"/>
          <w:spacing w:val="-49"/>
          <w:sz w:val="24"/>
          <w:szCs w:val="24"/>
        </w:rPr>
        <w:t xml:space="preserve"> </w:t>
      </w:r>
      <w:r>
        <w:rPr>
          <w:rFonts w:ascii="Times New Roman" w:hAnsi="Times New Roman" w:eastAsia="Times New Roman" w:cs="Times New Roman"/>
          <w:spacing w:val="-16"/>
          <w:sz w:val="24"/>
          <w:szCs w:val="24"/>
        </w:rPr>
        <w:t>5</w:t>
      </w:r>
      <w:r>
        <w:rPr>
          <w:rFonts w:ascii="Times New Roman" w:hAnsi="Times New Roman" w:eastAsia="Times New Roman" w:cs="Times New Roman"/>
          <w:spacing w:val="51"/>
          <w:sz w:val="24"/>
          <w:szCs w:val="24"/>
        </w:rPr>
        <w:t xml:space="preserve"> </w:t>
      </w:r>
      <w:r>
        <w:rPr>
          <w:rFonts w:ascii="宋体" w:hAnsi="宋体" w:eastAsia="宋体" w:cs="宋体"/>
          <w:spacing w:val="-16"/>
          <w:sz w:val="24"/>
          <w:szCs w:val="24"/>
        </w:rPr>
        <w:t>日。</w:t>
      </w:r>
    </w:p>
    <w:p>
      <w:pPr>
        <w:spacing w:before="182" w:line="468" w:lineRule="exact"/>
        <w:ind w:right="64"/>
        <w:jc w:val="right"/>
        <w:rPr>
          <w:rFonts w:ascii="宋体" w:hAnsi="宋体" w:eastAsia="宋体" w:cs="宋体"/>
          <w:sz w:val="24"/>
          <w:szCs w:val="24"/>
        </w:rPr>
      </w:pPr>
      <w:r>
        <w:rPr>
          <w:rFonts w:ascii="宋体" w:hAnsi="宋体" w:eastAsia="宋体" w:cs="宋体"/>
          <w:spacing w:val="-9"/>
          <w:position w:val="17"/>
          <w:sz w:val="24"/>
          <w:szCs w:val="24"/>
        </w:rPr>
        <w:t>（</w:t>
      </w:r>
      <w:r>
        <w:rPr>
          <w:rFonts w:ascii="Times New Roman" w:hAnsi="Times New Roman" w:eastAsia="Times New Roman" w:cs="Times New Roman"/>
          <w:spacing w:val="-9"/>
          <w:position w:val="17"/>
          <w:sz w:val="24"/>
          <w:szCs w:val="24"/>
        </w:rPr>
        <w:t>20</w:t>
      </w:r>
      <w:r>
        <w:rPr>
          <w:rFonts w:ascii="宋体" w:hAnsi="宋体" w:eastAsia="宋体" w:cs="宋体"/>
          <w:spacing w:val="-9"/>
          <w:position w:val="17"/>
          <w:sz w:val="24"/>
          <w:szCs w:val="24"/>
        </w:rPr>
        <w:t>）《建设项目使用林地审核审批办法》</w:t>
      </w:r>
      <w:r>
        <w:rPr>
          <w:rFonts w:ascii="宋体" w:hAnsi="宋体" w:eastAsia="宋体" w:cs="宋体"/>
          <w:spacing w:val="-10"/>
          <w:position w:val="17"/>
          <w:sz w:val="24"/>
          <w:szCs w:val="24"/>
        </w:rPr>
        <w:t>（</w:t>
      </w:r>
      <w:r>
        <w:rPr>
          <w:rFonts w:ascii="Times New Roman" w:hAnsi="Times New Roman" w:eastAsia="Times New Roman" w:cs="Times New Roman"/>
          <w:spacing w:val="-10"/>
          <w:position w:val="17"/>
          <w:sz w:val="24"/>
          <w:szCs w:val="24"/>
        </w:rPr>
        <w:t xml:space="preserve">2016 </w:t>
      </w:r>
      <w:r>
        <w:rPr>
          <w:rFonts w:ascii="宋体" w:hAnsi="宋体" w:eastAsia="宋体" w:cs="宋体"/>
          <w:spacing w:val="-10"/>
          <w:position w:val="17"/>
          <w:sz w:val="24"/>
          <w:szCs w:val="24"/>
        </w:rPr>
        <w:t>年</w:t>
      </w:r>
      <w:r>
        <w:rPr>
          <w:rFonts w:ascii="宋体" w:hAnsi="宋体" w:eastAsia="宋体" w:cs="宋体"/>
          <w:spacing w:val="-51"/>
          <w:position w:val="17"/>
          <w:sz w:val="24"/>
          <w:szCs w:val="24"/>
        </w:rPr>
        <w:t xml:space="preserve"> </w:t>
      </w:r>
      <w:r>
        <w:rPr>
          <w:rFonts w:ascii="Times New Roman" w:hAnsi="Times New Roman" w:eastAsia="Times New Roman" w:cs="Times New Roman"/>
          <w:spacing w:val="-10"/>
          <w:position w:val="17"/>
          <w:sz w:val="24"/>
          <w:szCs w:val="24"/>
        </w:rPr>
        <w:t>9</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10"/>
          <w:position w:val="17"/>
          <w:sz w:val="24"/>
          <w:szCs w:val="24"/>
        </w:rPr>
        <w:t>月</w:t>
      </w:r>
      <w:r>
        <w:rPr>
          <w:rFonts w:ascii="宋体" w:hAnsi="宋体" w:eastAsia="宋体" w:cs="宋体"/>
          <w:spacing w:val="-55"/>
          <w:position w:val="17"/>
          <w:sz w:val="24"/>
          <w:szCs w:val="24"/>
        </w:rPr>
        <w:t xml:space="preserve"> </w:t>
      </w:r>
      <w:r>
        <w:rPr>
          <w:rFonts w:ascii="Times New Roman" w:hAnsi="Times New Roman" w:eastAsia="Times New Roman" w:cs="Times New Roman"/>
          <w:spacing w:val="-10"/>
          <w:position w:val="17"/>
          <w:sz w:val="24"/>
          <w:szCs w:val="24"/>
        </w:rPr>
        <w:t xml:space="preserve">22  </w:t>
      </w:r>
      <w:r>
        <w:rPr>
          <w:rFonts w:ascii="宋体" w:hAnsi="宋体" w:eastAsia="宋体" w:cs="宋体"/>
          <w:spacing w:val="-10"/>
          <w:position w:val="17"/>
          <w:sz w:val="24"/>
          <w:szCs w:val="24"/>
        </w:rPr>
        <w:t>日国家林业局令</w:t>
      </w:r>
    </w:p>
    <w:p>
      <w:pPr>
        <w:spacing w:before="1" w:line="219" w:lineRule="auto"/>
        <w:ind w:left="39"/>
        <w:rPr>
          <w:rFonts w:ascii="Times New Roman" w:hAnsi="Times New Roman" w:eastAsia="Times New Roman" w:cs="Times New Roman"/>
          <w:sz w:val="24"/>
          <w:szCs w:val="24"/>
        </w:rPr>
      </w:pPr>
      <w:r>
        <w:rPr>
          <w:rFonts w:ascii="宋体" w:hAnsi="宋体" w:eastAsia="宋体" w:cs="宋体"/>
          <w:spacing w:val="-15"/>
          <w:sz w:val="24"/>
          <w:szCs w:val="24"/>
        </w:rPr>
        <w:t>第</w:t>
      </w:r>
      <w:r>
        <w:rPr>
          <w:rFonts w:ascii="宋体" w:hAnsi="宋体" w:eastAsia="宋体" w:cs="宋体"/>
          <w:spacing w:val="-54"/>
          <w:sz w:val="24"/>
          <w:szCs w:val="24"/>
        </w:rPr>
        <w:t xml:space="preserve"> </w:t>
      </w:r>
      <w:r>
        <w:rPr>
          <w:rFonts w:ascii="Times New Roman" w:hAnsi="Times New Roman" w:eastAsia="Times New Roman" w:cs="Times New Roman"/>
          <w:spacing w:val="-15"/>
          <w:sz w:val="24"/>
          <w:szCs w:val="24"/>
        </w:rPr>
        <w:t>42</w:t>
      </w:r>
      <w:r>
        <w:rPr>
          <w:rFonts w:ascii="Times New Roman" w:hAnsi="Times New Roman" w:eastAsia="Times New Roman" w:cs="Times New Roman"/>
          <w:spacing w:val="15"/>
          <w:w w:val="101"/>
          <w:sz w:val="24"/>
          <w:szCs w:val="24"/>
        </w:rPr>
        <w:t xml:space="preserve"> </w:t>
      </w:r>
      <w:r>
        <w:rPr>
          <w:rFonts w:ascii="宋体" w:hAnsi="宋体" w:eastAsia="宋体" w:cs="宋体"/>
          <w:spacing w:val="-15"/>
          <w:sz w:val="24"/>
          <w:szCs w:val="24"/>
        </w:rPr>
        <w:t xml:space="preserve">号修改） </w:t>
      </w:r>
      <w:r>
        <w:rPr>
          <w:rFonts w:ascii="Times New Roman" w:hAnsi="Times New Roman" w:eastAsia="Times New Roman" w:cs="Times New Roman"/>
          <w:spacing w:val="-15"/>
          <w:sz w:val="24"/>
          <w:szCs w:val="24"/>
        </w:rPr>
        <w:t>.</w:t>
      </w:r>
    </w:p>
    <w:p>
      <w:pPr>
        <w:spacing w:line="354" w:lineRule="auto"/>
        <w:rPr>
          <w:rFonts w:ascii="Arial"/>
          <w:sz w:val="21"/>
        </w:rPr>
      </w:pPr>
    </w:p>
    <w:p>
      <w:pPr>
        <w:pStyle w:val="2"/>
        <w:spacing w:before="79" w:line="232" w:lineRule="auto"/>
        <w:ind w:left="45"/>
        <w:outlineLvl w:val="1"/>
        <w:rPr>
          <w:sz w:val="24"/>
          <w:szCs w:val="24"/>
        </w:rPr>
      </w:pPr>
      <w:r>
        <w:rPr>
          <w:rFonts w:ascii="Times New Roman" w:hAnsi="Times New Roman" w:eastAsia="Times New Roman" w:cs="Times New Roman"/>
          <w:b/>
          <w:bCs/>
          <w:spacing w:val="-1"/>
          <w:sz w:val="24"/>
          <w:szCs w:val="24"/>
        </w:rPr>
        <w:t xml:space="preserve">1.2.4 </w:t>
      </w:r>
      <w:r>
        <w:rPr>
          <w:spacing w:val="-1"/>
          <w:sz w:val="24"/>
          <w:szCs w:val="24"/>
          <w14:textOutline w14:w="4354" w14:cap="flat" w14:cmpd="sng">
            <w14:solidFill>
              <w14:srgbClr w14:val="000000"/>
            </w14:solidFill>
            <w14:prstDash w14:val="solid"/>
            <w14:miter w14:val="0"/>
          </w14:textOutline>
        </w:rPr>
        <w:t>地方性法律、法规</w:t>
      </w:r>
    </w:p>
    <w:p>
      <w:pPr>
        <w:spacing w:before="199" w:line="220" w:lineRule="auto"/>
        <w:ind w:left="525"/>
        <w:rPr>
          <w:rFonts w:ascii="宋体" w:hAnsi="宋体" w:eastAsia="宋体" w:cs="宋体"/>
          <w:sz w:val="24"/>
          <w:szCs w:val="24"/>
        </w:rPr>
      </w:pPr>
      <w:r>
        <w:rPr>
          <w:rFonts w:ascii="宋体" w:hAnsi="宋体" w:eastAsia="宋体" w:cs="宋体"/>
          <w:spacing w:val="-14"/>
          <w:sz w:val="24"/>
          <w:szCs w:val="24"/>
        </w:rPr>
        <w:t>（</w:t>
      </w:r>
      <w:r>
        <w:rPr>
          <w:rFonts w:ascii="Times New Roman" w:hAnsi="Times New Roman" w:eastAsia="Times New Roman" w:cs="Times New Roman"/>
          <w:spacing w:val="-14"/>
          <w:sz w:val="24"/>
          <w:szCs w:val="24"/>
        </w:rPr>
        <w:t>1</w:t>
      </w:r>
      <w:r>
        <w:rPr>
          <w:rFonts w:ascii="宋体" w:hAnsi="宋体" w:eastAsia="宋体" w:cs="宋体"/>
          <w:spacing w:val="-14"/>
          <w:sz w:val="24"/>
          <w:szCs w:val="24"/>
        </w:rPr>
        <w:t>）《云南省建设项目环境保护规定》；</w:t>
      </w:r>
    </w:p>
    <w:p>
      <w:pPr>
        <w:spacing w:before="181" w:line="220" w:lineRule="auto"/>
        <w:ind w:left="525"/>
        <w:rPr>
          <w:rFonts w:ascii="宋体" w:hAnsi="宋体" w:eastAsia="宋体" w:cs="宋体"/>
          <w:sz w:val="24"/>
          <w:szCs w:val="24"/>
        </w:rPr>
      </w:pPr>
      <w:r>
        <w:rPr>
          <w:rFonts w:ascii="宋体" w:hAnsi="宋体" w:eastAsia="宋体" w:cs="宋体"/>
          <w:spacing w:val="-18"/>
          <w:sz w:val="24"/>
          <w:szCs w:val="24"/>
        </w:rPr>
        <w:t>（</w:t>
      </w:r>
      <w:r>
        <w:rPr>
          <w:rFonts w:ascii="Times New Roman" w:hAnsi="Times New Roman" w:eastAsia="Times New Roman" w:cs="Times New Roman"/>
          <w:spacing w:val="-18"/>
          <w:sz w:val="24"/>
          <w:szCs w:val="24"/>
        </w:rPr>
        <w:t>2</w:t>
      </w:r>
      <w:r>
        <w:rPr>
          <w:rFonts w:ascii="宋体" w:hAnsi="宋体" w:eastAsia="宋体" w:cs="宋体"/>
          <w:spacing w:val="-18"/>
          <w:sz w:val="24"/>
          <w:szCs w:val="24"/>
        </w:rPr>
        <w:t>）《云南省水功能区划（</w:t>
      </w:r>
      <w:r>
        <w:rPr>
          <w:rFonts w:ascii="Times New Roman" w:hAnsi="Times New Roman" w:eastAsia="Times New Roman" w:cs="Times New Roman"/>
          <w:spacing w:val="-18"/>
          <w:sz w:val="24"/>
          <w:szCs w:val="24"/>
        </w:rPr>
        <w:t>2014</w:t>
      </w:r>
      <w:r>
        <w:rPr>
          <w:rFonts w:ascii="Times New Roman" w:hAnsi="Times New Roman" w:eastAsia="Times New Roman" w:cs="Times New Roman"/>
          <w:spacing w:val="28"/>
          <w:sz w:val="24"/>
          <w:szCs w:val="24"/>
        </w:rPr>
        <w:t xml:space="preserve"> </w:t>
      </w:r>
      <w:r>
        <w:rPr>
          <w:rFonts w:ascii="宋体" w:hAnsi="宋体" w:eastAsia="宋体" w:cs="宋体"/>
          <w:spacing w:val="-18"/>
          <w:sz w:val="24"/>
          <w:szCs w:val="24"/>
        </w:rPr>
        <w:t>年修订）》；</w:t>
      </w:r>
    </w:p>
    <w:p>
      <w:pPr>
        <w:spacing w:before="182" w:line="466" w:lineRule="exact"/>
        <w:jc w:val="right"/>
        <w:rPr>
          <w:rFonts w:ascii="宋体" w:hAnsi="宋体" w:eastAsia="宋体" w:cs="宋体"/>
          <w:sz w:val="24"/>
          <w:szCs w:val="24"/>
        </w:rPr>
      </w:pPr>
      <w:r>
        <w:rPr>
          <w:rFonts w:ascii="宋体" w:hAnsi="宋体" w:eastAsia="宋体" w:cs="宋体"/>
          <w:spacing w:val="-11"/>
          <w:position w:val="17"/>
          <w:sz w:val="24"/>
          <w:szCs w:val="24"/>
        </w:rPr>
        <w:t>（</w:t>
      </w:r>
      <w:r>
        <w:rPr>
          <w:rFonts w:ascii="Times New Roman" w:hAnsi="Times New Roman" w:eastAsia="Times New Roman" w:cs="Times New Roman"/>
          <w:spacing w:val="-11"/>
          <w:position w:val="17"/>
          <w:sz w:val="24"/>
          <w:szCs w:val="24"/>
        </w:rPr>
        <w:t>3</w:t>
      </w:r>
      <w:r>
        <w:rPr>
          <w:rFonts w:ascii="宋体" w:hAnsi="宋体" w:eastAsia="宋体" w:cs="宋体"/>
          <w:spacing w:val="-11"/>
          <w:position w:val="17"/>
          <w:sz w:val="24"/>
          <w:szCs w:val="24"/>
        </w:rPr>
        <w:t xml:space="preserve">）《云南省建设项目环境保护管理规定》（云南省人民政府令第 </w:t>
      </w:r>
      <w:r>
        <w:rPr>
          <w:rFonts w:ascii="Times New Roman" w:hAnsi="Times New Roman" w:eastAsia="Times New Roman" w:cs="Times New Roman"/>
          <w:spacing w:val="-11"/>
          <w:position w:val="17"/>
          <w:sz w:val="24"/>
          <w:szCs w:val="24"/>
        </w:rPr>
        <w:t>105</w:t>
      </w:r>
      <w:r>
        <w:rPr>
          <w:rFonts w:ascii="Times New Roman" w:hAnsi="Times New Roman" w:eastAsia="Times New Roman" w:cs="Times New Roman"/>
          <w:spacing w:val="30"/>
          <w:position w:val="17"/>
          <w:sz w:val="24"/>
          <w:szCs w:val="24"/>
        </w:rPr>
        <w:t xml:space="preserve"> </w:t>
      </w:r>
      <w:r>
        <w:rPr>
          <w:rFonts w:ascii="宋体" w:hAnsi="宋体" w:eastAsia="宋体" w:cs="宋体"/>
          <w:spacing w:val="-11"/>
          <w:position w:val="17"/>
          <w:sz w:val="24"/>
          <w:szCs w:val="24"/>
        </w:rPr>
        <w:t>号</w:t>
      </w:r>
      <w:r>
        <w:rPr>
          <w:rFonts w:ascii="宋体" w:hAnsi="宋体" w:eastAsia="宋体" w:cs="宋体"/>
          <w:spacing w:val="-55"/>
          <w:position w:val="17"/>
          <w:sz w:val="24"/>
          <w:szCs w:val="24"/>
        </w:rPr>
        <w:t>）；</w:t>
      </w:r>
    </w:p>
    <w:p>
      <w:pPr>
        <w:spacing w:before="1" w:line="219" w:lineRule="auto"/>
        <w:ind w:left="525"/>
        <w:rPr>
          <w:rFonts w:ascii="宋体" w:hAnsi="宋体" w:eastAsia="宋体" w:cs="宋体"/>
          <w:sz w:val="24"/>
          <w:szCs w:val="24"/>
        </w:rPr>
      </w:pPr>
      <w:r>
        <w:rPr>
          <w:rFonts w:ascii="宋体" w:hAnsi="宋体" w:eastAsia="宋体" w:cs="宋体"/>
          <w:spacing w:val="-15"/>
          <w:sz w:val="24"/>
          <w:szCs w:val="24"/>
        </w:rPr>
        <w:t>（</w:t>
      </w:r>
      <w:r>
        <w:rPr>
          <w:rFonts w:ascii="Times New Roman" w:hAnsi="Times New Roman" w:eastAsia="Times New Roman" w:cs="Times New Roman"/>
          <w:spacing w:val="-15"/>
          <w:sz w:val="24"/>
          <w:szCs w:val="24"/>
        </w:rPr>
        <w:t>4</w:t>
      </w:r>
      <w:r>
        <w:rPr>
          <w:rFonts w:ascii="宋体" w:hAnsi="宋体" w:eastAsia="宋体" w:cs="宋体"/>
          <w:spacing w:val="-15"/>
          <w:sz w:val="24"/>
          <w:szCs w:val="24"/>
        </w:rPr>
        <w:t>）《云南省珍稀保护动物名录》（</w:t>
      </w:r>
      <w:r>
        <w:rPr>
          <w:rFonts w:ascii="Times New Roman" w:hAnsi="Times New Roman" w:eastAsia="Times New Roman" w:cs="Times New Roman"/>
          <w:spacing w:val="-15"/>
          <w:sz w:val="24"/>
          <w:szCs w:val="24"/>
        </w:rPr>
        <w:t>1989</w:t>
      </w:r>
      <w:r>
        <w:rPr>
          <w:rFonts w:ascii="Times New Roman" w:hAnsi="Times New Roman" w:eastAsia="Times New Roman" w:cs="Times New Roman"/>
          <w:spacing w:val="11"/>
          <w:sz w:val="24"/>
          <w:szCs w:val="24"/>
        </w:rPr>
        <w:t xml:space="preserve"> </w:t>
      </w:r>
      <w:r>
        <w:rPr>
          <w:rFonts w:ascii="宋体" w:hAnsi="宋体" w:eastAsia="宋体" w:cs="宋体"/>
          <w:spacing w:val="-15"/>
          <w:sz w:val="24"/>
          <w:szCs w:val="24"/>
        </w:rPr>
        <w:t>年</w:t>
      </w:r>
      <w:r>
        <w:rPr>
          <w:rFonts w:ascii="宋体" w:hAnsi="宋体" w:eastAsia="宋体" w:cs="宋体"/>
          <w:spacing w:val="-37"/>
          <w:sz w:val="24"/>
          <w:szCs w:val="24"/>
        </w:rPr>
        <w:t>）；</w:t>
      </w:r>
    </w:p>
    <w:p>
      <w:pPr>
        <w:spacing w:line="219" w:lineRule="auto"/>
        <w:rPr>
          <w:rFonts w:ascii="宋体" w:hAnsi="宋体" w:eastAsia="宋体" w:cs="宋体"/>
          <w:sz w:val="24"/>
          <w:szCs w:val="24"/>
        </w:rPr>
        <w:sectPr>
          <w:headerReference r:id="rId24" w:type="default"/>
          <w:footerReference r:id="rId25" w:type="default"/>
          <w:pgSz w:w="11907" w:h="16839"/>
          <w:pgMar w:top="1156" w:right="1734" w:bottom="1154" w:left="1770" w:header="881" w:footer="991" w:gutter="0"/>
        </w:sectPr>
      </w:pPr>
    </w:p>
    <w:p>
      <w:pPr>
        <w:rPr>
          <w:rFonts w:ascii="Arial"/>
          <w:sz w:val="21"/>
        </w:rPr>
      </w:pPr>
    </w:p>
    <w:p>
      <w:pPr>
        <w:spacing w:before="78" w:line="215" w:lineRule="auto"/>
        <w:ind w:left="525"/>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5</w:t>
      </w:r>
      <w:r>
        <w:rPr>
          <w:rFonts w:ascii="宋体" w:hAnsi="宋体" w:eastAsia="宋体" w:cs="宋体"/>
          <w:spacing w:val="-9"/>
          <w:sz w:val="24"/>
          <w:szCs w:val="24"/>
        </w:rPr>
        <w:t>）《云南省第一批省级重点保护野生植物名录》（云政发</w:t>
      </w:r>
      <w:r>
        <w:rPr>
          <w:rFonts w:ascii="Times New Roman" w:hAnsi="Times New Roman" w:eastAsia="Times New Roman" w:cs="Times New Roman"/>
          <w:spacing w:val="-9"/>
          <w:sz w:val="24"/>
          <w:szCs w:val="24"/>
        </w:rPr>
        <w:t>[1</w:t>
      </w:r>
      <w:r>
        <w:rPr>
          <w:rFonts w:ascii="Times New Roman" w:hAnsi="Times New Roman" w:eastAsia="Times New Roman" w:cs="Times New Roman"/>
          <w:spacing w:val="-10"/>
          <w:sz w:val="24"/>
          <w:szCs w:val="24"/>
        </w:rPr>
        <w:t>989]110</w:t>
      </w:r>
      <w:r>
        <w:rPr>
          <w:rFonts w:ascii="Times New Roman" w:hAnsi="Times New Roman" w:eastAsia="Times New Roman" w:cs="Times New Roman"/>
          <w:spacing w:val="16"/>
          <w:sz w:val="24"/>
          <w:szCs w:val="24"/>
        </w:rPr>
        <w:t xml:space="preserve"> </w:t>
      </w:r>
      <w:r>
        <w:rPr>
          <w:rFonts w:ascii="宋体" w:hAnsi="宋体" w:eastAsia="宋体" w:cs="宋体"/>
          <w:spacing w:val="-10"/>
          <w:sz w:val="24"/>
          <w:szCs w:val="24"/>
        </w:rPr>
        <w:t>号</w:t>
      </w:r>
      <w:r>
        <w:rPr>
          <w:rFonts w:ascii="宋体" w:hAnsi="宋体" w:eastAsia="宋体" w:cs="宋体"/>
          <w:spacing w:val="-38"/>
          <w:sz w:val="24"/>
          <w:szCs w:val="24"/>
        </w:rPr>
        <w:t>）；</w:t>
      </w:r>
    </w:p>
    <w:p>
      <w:pPr>
        <w:spacing w:before="186" w:line="467" w:lineRule="exact"/>
        <w:ind w:left="525"/>
        <w:rPr>
          <w:rFonts w:ascii="宋体" w:hAnsi="宋体" w:eastAsia="宋体" w:cs="宋体"/>
          <w:sz w:val="24"/>
          <w:szCs w:val="24"/>
        </w:rPr>
      </w:pPr>
      <w:r>
        <w:rPr>
          <w:rFonts w:ascii="宋体" w:hAnsi="宋体" w:eastAsia="宋体" w:cs="宋体"/>
          <w:spacing w:val="-14"/>
          <w:position w:val="17"/>
          <w:sz w:val="24"/>
          <w:szCs w:val="24"/>
        </w:rPr>
        <w:t>（</w:t>
      </w:r>
      <w:r>
        <w:rPr>
          <w:rFonts w:ascii="Times New Roman" w:hAnsi="Times New Roman" w:eastAsia="Times New Roman" w:cs="Times New Roman"/>
          <w:spacing w:val="-14"/>
          <w:position w:val="17"/>
          <w:sz w:val="24"/>
          <w:szCs w:val="24"/>
        </w:rPr>
        <w:t>6</w:t>
      </w:r>
      <w:r>
        <w:rPr>
          <w:rFonts w:ascii="宋体" w:hAnsi="宋体" w:eastAsia="宋体" w:cs="宋体"/>
          <w:spacing w:val="-14"/>
          <w:position w:val="17"/>
          <w:sz w:val="24"/>
          <w:szCs w:val="24"/>
        </w:rPr>
        <w:t>）《云南省主体功能区规划》，</w:t>
      </w:r>
      <w:r>
        <w:rPr>
          <w:rFonts w:ascii="Times New Roman" w:hAnsi="Times New Roman" w:eastAsia="Times New Roman" w:cs="Times New Roman"/>
          <w:spacing w:val="-14"/>
          <w:position w:val="17"/>
          <w:sz w:val="24"/>
          <w:szCs w:val="24"/>
        </w:rPr>
        <w:t>2014</w:t>
      </w:r>
      <w:r>
        <w:rPr>
          <w:rFonts w:ascii="Times New Roman" w:hAnsi="Times New Roman" w:eastAsia="Times New Roman" w:cs="Times New Roman"/>
          <w:spacing w:val="16"/>
          <w:position w:val="17"/>
          <w:sz w:val="24"/>
          <w:szCs w:val="24"/>
        </w:rPr>
        <w:t xml:space="preserve"> </w:t>
      </w:r>
      <w:r>
        <w:rPr>
          <w:rFonts w:ascii="宋体" w:hAnsi="宋体" w:eastAsia="宋体" w:cs="宋体"/>
          <w:spacing w:val="-14"/>
          <w:position w:val="17"/>
          <w:sz w:val="24"/>
          <w:szCs w:val="24"/>
        </w:rPr>
        <w:t>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14"/>
          <w:position w:val="17"/>
          <w:sz w:val="24"/>
          <w:szCs w:val="24"/>
        </w:rPr>
        <w:t>1</w:t>
      </w:r>
      <w:r>
        <w:rPr>
          <w:rFonts w:ascii="Times New Roman" w:hAnsi="Times New Roman" w:eastAsia="Times New Roman" w:cs="Times New Roman"/>
          <w:spacing w:val="15"/>
          <w:position w:val="17"/>
          <w:sz w:val="24"/>
          <w:szCs w:val="24"/>
        </w:rPr>
        <w:t xml:space="preserve"> </w:t>
      </w:r>
      <w:r>
        <w:rPr>
          <w:rFonts w:ascii="宋体" w:hAnsi="宋体" w:eastAsia="宋体" w:cs="宋体"/>
          <w:spacing w:val="-14"/>
          <w:position w:val="17"/>
          <w:sz w:val="24"/>
          <w:szCs w:val="24"/>
        </w:rPr>
        <w:t>月；</w:t>
      </w:r>
    </w:p>
    <w:p>
      <w:pPr>
        <w:spacing w:line="219" w:lineRule="auto"/>
        <w:ind w:left="525"/>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7</w:t>
      </w:r>
      <w:r>
        <w:rPr>
          <w:rFonts w:ascii="宋体" w:hAnsi="宋体" w:eastAsia="宋体" w:cs="宋体"/>
          <w:spacing w:val="-13"/>
          <w:sz w:val="24"/>
          <w:szCs w:val="24"/>
        </w:rPr>
        <w:t>）《云南省生态功能区划》，</w:t>
      </w:r>
      <w:r>
        <w:rPr>
          <w:rFonts w:ascii="Times New Roman" w:hAnsi="Times New Roman" w:eastAsia="Times New Roman" w:cs="Times New Roman"/>
          <w:spacing w:val="-13"/>
          <w:sz w:val="24"/>
          <w:szCs w:val="24"/>
        </w:rPr>
        <w:t xml:space="preserve">2009 </w:t>
      </w:r>
      <w:r>
        <w:rPr>
          <w:rFonts w:ascii="宋体" w:hAnsi="宋体" w:eastAsia="宋体" w:cs="宋体"/>
          <w:spacing w:val="-13"/>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13"/>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13"/>
          <w:sz w:val="24"/>
          <w:szCs w:val="24"/>
        </w:rPr>
        <w:t>月；</w:t>
      </w:r>
    </w:p>
    <w:p>
      <w:pPr>
        <w:spacing w:before="181" w:line="467" w:lineRule="exact"/>
        <w:ind w:right="47"/>
        <w:jc w:val="right"/>
        <w:rPr>
          <w:rFonts w:ascii="宋体" w:hAnsi="宋体" w:eastAsia="宋体" w:cs="宋体"/>
          <w:sz w:val="24"/>
          <w:szCs w:val="24"/>
        </w:rPr>
      </w:pPr>
      <w:r>
        <w:rPr>
          <w:rFonts w:ascii="宋体" w:hAnsi="宋体" w:eastAsia="宋体" w:cs="宋体"/>
          <w:spacing w:val="-13"/>
          <w:position w:val="17"/>
          <w:sz w:val="24"/>
          <w:szCs w:val="24"/>
        </w:rPr>
        <w:t>（</w:t>
      </w:r>
      <w:r>
        <w:rPr>
          <w:rFonts w:ascii="Times New Roman" w:hAnsi="Times New Roman" w:eastAsia="Times New Roman" w:cs="Times New Roman"/>
          <w:spacing w:val="-13"/>
          <w:position w:val="17"/>
          <w:sz w:val="24"/>
          <w:szCs w:val="24"/>
        </w:rPr>
        <w:t>8</w:t>
      </w:r>
      <w:r>
        <w:rPr>
          <w:rFonts w:ascii="宋体" w:hAnsi="宋体" w:eastAsia="宋体" w:cs="宋体"/>
          <w:spacing w:val="-13"/>
          <w:position w:val="17"/>
          <w:sz w:val="24"/>
          <w:szCs w:val="24"/>
        </w:rPr>
        <w:t>）《关于印发云南省古树名木名录的通知》（云林保护字</w:t>
      </w:r>
      <w:r>
        <w:rPr>
          <w:rFonts w:ascii="Times New Roman" w:hAnsi="Times New Roman" w:eastAsia="Times New Roman" w:cs="Times New Roman"/>
          <w:spacing w:val="-13"/>
          <w:position w:val="17"/>
          <w:sz w:val="24"/>
          <w:szCs w:val="24"/>
        </w:rPr>
        <w:t>[1996]</w:t>
      </w:r>
      <w:r>
        <w:rPr>
          <w:rFonts w:ascii="宋体" w:hAnsi="宋体" w:eastAsia="宋体" w:cs="宋体"/>
          <w:spacing w:val="-13"/>
          <w:position w:val="17"/>
          <w:sz w:val="24"/>
          <w:szCs w:val="24"/>
        </w:rPr>
        <w:t>第</w:t>
      </w:r>
      <w:r>
        <w:rPr>
          <w:rFonts w:ascii="宋体" w:hAnsi="宋体" w:eastAsia="宋体" w:cs="宋体"/>
          <w:spacing w:val="-51"/>
          <w:position w:val="17"/>
          <w:sz w:val="24"/>
          <w:szCs w:val="24"/>
        </w:rPr>
        <w:t xml:space="preserve"> </w:t>
      </w:r>
      <w:r>
        <w:rPr>
          <w:rFonts w:ascii="Times New Roman" w:hAnsi="Times New Roman" w:eastAsia="Times New Roman" w:cs="Times New Roman"/>
          <w:spacing w:val="-13"/>
          <w:position w:val="17"/>
          <w:sz w:val="24"/>
          <w:szCs w:val="24"/>
        </w:rPr>
        <w:t>65</w:t>
      </w:r>
      <w:r>
        <w:rPr>
          <w:rFonts w:ascii="Times New Roman" w:hAnsi="Times New Roman" w:eastAsia="Times New Roman" w:cs="Times New Roman"/>
          <w:spacing w:val="15"/>
          <w:position w:val="17"/>
          <w:sz w:val="24"/>
          <w:szCs w:val="24"/>
        </w:rPr>
        <w:t xml:space="preserve"> </w:t>
      </w:r>
      <w:r>
        <w:rPr>
          <w:rFonts w:ascii="宋体" w:hAnsi="宋体" w:eastAsia="宋体" w:cs="宋体"/>
          <w:spacing w:val="-13"/>
          <w:position w:val="17"/>
          <w:sz w:val="24"/>
          <w:szCs w:val="24"/>
        </w:rPr>
        <w:t>号</w:t>
      </w:r>
      <w:r>
        <w:rPr>
          <w:rFonts w:ascii="宋体" w:hAnsi="宋体" w:eastAsia="宋体" w:cs="宋体"/>
          <w:spacing w:val="-35"/>
          <w:position w:val="17"/>
          <w:sz w:val="24"/>
          <w:szCs w:val="24"/>
        </w:rPr>
        <w:t>）；</w:t>
      </w:r>
    </w:p>
    <w:p>
      <w:pPr>
        <w:spacing w:line="215" w:lineRule="auto"/>
        <w:ind w:left="525"/>
        <w:rPr>
          <w:rFonts w:ascii="宋体" w:hAnsi="宋体" w:eastAsia="宋体" w:cs="宋体"/>
          <w:sz w:val="24"/>
          <w:szCs w:val="24"/>
        </w:rPr>
      </w:pPr>
      <w:r>
        <w:rPr>
          <w:rFonts w:ascii="宋体" w:hAnsi="宋体" w:eastAsia="宋体" w:cs="宋体"/>
          <w:spacing w:val="-12"/>
          <w:sz w:val="24"/>
          <w:szCs w:val="24"/>
        </w:rPr>
        <w:t>（</w:t>
      </w:r>
      <w:r>
        <w:rPr>
          <w:rFonts w:ascii="Times New Roman" w:hAnsi="Times New Roman" w:eastAsia="Times New Roman" w:cs="Times New Roman"/>
          <w:spacing w:val="-12"/>
          <w:sz w:val="24"/>
          <w:szCs w:val="24"/>
        </w:rPr>
        <w:t>9</w:t>
      </w:r>
      <w:r>
        <w:rPr>
          <w:rFonts w:ascii="宋体" w:hAnsi="宋体" w:eastAsia="宋体" w:cs="宋体"/>
          <w:spacing w:val="-12"/>
          <w:sz w:val="24"/>
          <w:szCs w:val="24"/>
        </w:rPr>
        <w:t>）《云南省公益林管理办法》（云林规</w:t>
      </w:r>
      <w:r>
        <w:rPr>
          <w:rFonts w:ascii="Times New Roman" w:hAnsi="Times New Roman" w:eastAsia="Times New Roman" w:cs="Times New Roman"/>
          <w:spacing w:val="-13"/>
          <w:sz w:val="24"/>
          <w:szCs w:val="24"/>
        </w:rPr>
        <w:t>[2019]2</w:t>
      </w:r>
      <w:r>
        <w:rPr>
          <w:rFonts w:ascii="Times New Roman" w:hAnsi="Times New Roman" w:eastAsia="Times New Roman" w:cs="Times New Roman"/>
          <w:spacing w:val="16"/>
          <w:w w:val="101"/>
          <w:sz w:val="24"/>
          <w:szCs w:val="24"/>
        </w:rPr>
        <w:t xml:space="preserve"> </w:t>
      </w:r>
      <w:r>
        <w:rPr>
          <w:rFonts w:ascii="宋体" w:hAnsi="宋体" w:eastAsia="宋体" w:cs="宋体"/>
          <w:spacing w:val="-13"/>
          <w:sz w:val="24"/>
          <w:szCs w:val="24"/>
        </w:rPr>
        <w:t>号</w:t>
      </w:r>
      <w:r>
        <w:rPr>
          <w:rFonts w:ascii="宋体" w:hAnsi="宋体" w:eastAsia="宋体" w:cs="宋体"/>
          <w:spacing w:val="-38"/>
          <w:sz w:val="24"/>
          <w:szCs w:val="24"/>
        </w:rPr>
        <w:t>）；</w:t>
      </w:r>
    </w:p>
    <w:p>
      <w:pPr>
        <w:spacing w:before="187" w:line="467" w:lineRule="exact"/>
        <w:ind w:right="30"/>
        <w:jc w:val="right"/>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10</w:t>
      </w:r>
      <w:r>
        <w:rPr>
          <w:rFonts w:ascii="宋体" w:hAnsi="宋体" w:eastAsia="宋体" w:cs="宋体"/>
          <w:spacing w:val="-8"/>
          <w:position w:val="17"/>
          <w:sz w:val="24"/>
          <w:szCs w:val="24"/>
        </w:rPr>
        <w:t>）《云南省生物多样性保护战略与行动计划（</w:t>
      </w:r>
      <w:r>
        <w:rPr>
          <w:rFonts w:ascii="Times New Roman" w:hAnsi="Times New Roman" w:eastAsia="Times New Roman" w:cs="Times New Roman"/>
          <w:spacing w:val="-8"/>
          <w:position w:val="17"/>
          <w:sz w:val="24"/>
          <w:szCs w:val="24"/>
        </w:rPr>
        <w:t xml:space="preserve">2012-2030  </w:t>
      </w:r>
      <w:r>
        <w:rPr>
          <w:rFonts w:ascii="宋体" w:hAnsi="宋体" w:eastAsia="宋体" w:cs="宋体"/>
          <w:spacing w:val="-8"/>
          <w:position w:val="17"/>
          <w:sz w:val="24"/>
          <w:szCs w:val="24"/>
        </w:rPr>
        <w:t>年）》，云环通</w:t>
      </w:r>
    </w:p>
    <w:p>
      <w:pPr>
        <w:spacing w:before="1" w:line="215" w:lineRule="auto"/>
        <w:ind w:left="49"/>
        <w:rPr>
          <w:rFonts w:ascii="宋体" w:hAnsi="宋体" w:eastAsia="宋体" w:cs="宋体"/>
          <w:sz w:val="24"/>
          <w:szCs w:val="24"/>
        </w:rPr>
      </w:pPr>
      <w:r>
        <w:rPr>
          <w:rFonts w:ascii="Times New Roman" w:hAnsi="Times New Roman" w:eastAsia="Times New Roman" w:cs="Times New Roman"/>
          <w:spacing w:val="-4"/>
          <w:sz w:val="24"/>
          <w:szCs w:val="24"/>
        </w:rPr>
        <w:t>[2013]23</w:t>
      </w:r>
      <w:r>
        <w:rPr>
          <w:rFonts w:ascii="Times New Roman" w:hAnsi="Times New Roman" w:eastAsia="Times New Roman" w:cs="Times New Roman"/>
          <w:spacing w:val="9"/>
          <w:sz w:val="24"/>
          <w:szCs w:val="24"/>
        </w:rPr>
        <w:t xml:space="preserve">  </w:t>
      </w:r>
      <w:r>
        <w:rPr>
          <w:rFonts w:ascii="宋体" w:hAnsi="宋体" w:eastAsia="宋体" w:cs="宋体"/>
          <w:spacing w:val="-4"/>
          <w:sz w:val="24"/>
          <w:szCs w:val="24"/>
        </w:rPr>
        <w:t>号；</w:t>
      </w:r>
    </w:p>
    <w:p>
      <w:pPr>
        <w:spacing w:before="186" w:line="219" w:lineRule="auto"/>
        <w:ind w:right="8"/>
        <w:jc w:val="right"/>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11</w:t>
      </w:r>
      <w:r>
        <w:rPr>
          <w:rFonts w:ascii="宋体" w:hAnsi="宋体" w:eastAsia="宋体" w:cs="宋体"/>
          <w:spacing w:val="-9"/>
          <w:sz w:val="24"/>
          <w:szCs w:val="24"/>
        </w:rPr>
        <w:t>）云南省人民政府《关于进一步加强自然保</w:t>
      </w:r>
      <w:r>
        <w:rPr>
          <w:rFonts w:ascii="宋体" w:hAnsi="宋体" w:eastAsia="宋体" w:cs="宋体"/>
          <w:spacing w:val="-10"/>
          <w:sz w:val="24"/>
          <w:szCs w:val="24"/>
        </w:rPr>
        <w:t>护区建设和管理的意见》（云</w:t>
      </w:r>
    </w:p>
    <w:p>
      <w:pPr>
        <w:spacing w:before="184" w:line="466" w:lineRule="exact"/>
        <w:ind w:right="48"/>
        <w:jc w:val="right"/>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12</w:t>
      </w:r>
      <w:r>
        <w:rPr>
          <w:rFonts w:ascii="宋体" w:hAnsi="宋体" w:eastAsia="宋体" w:cs="宋体"/>
          <w:spacing w:val="3"/>
          <w:position w:val="17"/>
          <w:sz w:val="24"/>
          <w:szCs w:val="24"/>
        </w:rPr>
        <w:t>）《云南省人民政府关于发布云南省生态保护红线的通知》（云政发</w:t>
      </w:r>
    </w:p>
    <w:p>
      <w:pPr>
        <w:spacing w:before="1" w:line="215" w:lineRule="auto"/>
        <w:ind w:left="49"/>
        <w:rPr>
          <w:rFonts w:ascii="宋体" w:hAnsi="宋体" w:eastAsia="宋体" w:cs="宋体"/>
          <w:sz w:val="24"/>
          <w:szCs w:val="24"/>
        </w:rPr>
      </w:pPr>
      <w:r>
        <w:rPr>
          <w:rFonts w:ascii="Times New Roman" w:hAnsi="Times New Roman" w:eastAsia="Times New Roman" w:cs="Times New Roman"/>
          <w:spacing w:val="-4"/>
          <w:sz w:val="24"/>
          <w:szCs w:val="24"/>
        </w:rPr>
        <w:t>[2018]32</w:t>
      </w:r>
      <w:r>
        <w:rPr>
          <w:rFonts w:ascii="Times New Roman" w:hAnsi="Times New Roman" w:eastAsia="Times New Roman" w:cs="Times New Roman"/>
          <w:spacing w:val="20"/>
          <w:sz w:val="24"/>
          <w:szCs w:val="24"/>
        </w:rPr>
        <w:t xml:space="preserve"> </w:t>
      </w:r>
      <w:r>
        <w:rPr>
          <w:rFonts w:ascii="宋体" w:hAnsi="宋体" w:eastAsia="宋体" w:cs="宋体"/>
          <w:spacing w:val="-4"/>
          <w:sz w:val="24"/>
          <w:szCs w:val="24"/>
        </w:rPr>
        <w:t>号。</w:t>
      </w:r>
    </w:p>
    <w:p>
      <w:pPr>
        <w:spacing w:before="186" w:line="220" w:lineRule="auto"/>
        <w:ind w:left="525"/>
        <w:rPr>
          <w:rFonts w:ascii="宋体" w:hAnsi="宋体" w:eastAsia="宋体" w:cs="宋体"/>
          <w:sz w:val="24"/>
          <w:szCs w:val="24"/>
        </w:rPr>
      </w:pPr>
      <w:r>
        <w:rPr>
          <w:rFonts w:ascii="宋体" w:hAnsi="宋体" w:eastAsia="宋体" w:cs="宋体"/>
          <w:spacing w:val="-16"/>
          <w:sz w:val="24"/>
          <w:szCs w:val="24"/>
        </w:rPr>
        <w:t>（</w:t>
      </w:r>
      <w:r>
        <w:rPr>
          <w:rFonts w:ascii="Times New Roman" w:hAnsi="Times New Roman" w:eastAsia="Times New Roman" w:cs="Times New Roman"/>
          <w:spacing w:val="-16"/>
          <w:sz w:val="24"/>
          <w:szCs w:val="24"/>
        </w:rPr>
        <w:t>13</w:t>
      </w:r>
      <w:r>
        <w:rPr>
          <w:rFonts w:ascii="宋体" w:hAnsi="宋体" w:eastAsia="宋体" w:cs="宋体"/>
          <w:spacing w:val="-16"/>
          <w:sz w:val="24"/>
          <w:szCs w:val="24"/>
        </w:rPr>
        <w:t>）《云南省生物多样性保护条例》（</w:t>
      </w:r>
      <w:r>
        <w:rPr>
          <w:rFonts w:ascii="Times New Roman" w:hAnsi="Times New Roman" w:eastAsia="Times New Roman" w:cs="Times New Roman"/>
          <w:spacing w:val="-16"/>
          <w:sz w:val="24"/>
          <w:szCs w:val="24"/>
        </w:rPr>
        <w:t>2019</w:t>
      </w:r>
      <w:r>
        <w:rPr>
          <w:rFonts w:ascii="Times New Roman" w:hAnsi="Times New Roman" w:eastAsia="Times New Roman" w:cs="Times New Roman"/>
          <w:spacing w:val="13"/>
          <w:sz w:val="24"/>
          <w:szCs w:val="24"/>
        </w:rPr>
        <w:t xml:space="preserve"> </w:t>
      </w:r>
      <w:r>
        <w:rPr>
          <w:rFonts w:ascii="宋体" w:hAnsi="宋体" w:eastAsia="宋体" w:cs="宋体"/>
          <w:spacing w:val="-16"/>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6"/>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16"/>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6"/>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16"/>
          <w:sz w:val="24"/>
          <w:szCs w:val="24"/>
        </w:rPr>
        <w:t>日起施行）。</w:t>
      </w:r>
    </w:p>
    <w:p>
      <w:pPr>
        <w:spacing w:line="431"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2"/>
          <w:sz w:val="24"/>
          <w:szCs w:val="24"/>
        </w:rPr>
        <w:t xml:space="preserve">1.2.5 </w:t>
      </w:r>
      <w:r>
        <w:rPr>
          <w:spacing w:val="-2"/>
          <w:sz w:val="24"/>
          <w:szCs w:val="24"/>
          <w14:textOutline w14:w="4354" w14:cap="flat" w14:cmpd="sng">
            <w14:solidFill>
              <w14:srgbClr w14:val="000000"/>
            </w14:solidFill>
            <w14:prstDash w14:val="solid"/>
            <w14:miter w14:val="0"/>
          </w14:textOutline>
        </w:rPr>
        <w:t>技术规范</w:t>
      </w:r>
    </w:p>
    <w:p>
      <w:pPr>
        <w:spacing w:before="199" w:line="466" w:lineRule="exact"/>
        <w:ind w:left="525"/>
        <w:rPr>
          <w:rFonts w:ascii="宋体" w:hAnsi="宋体" w:eastAsia="宋体" w:cs="宋体"/>
          <w:sz w:val="24"/>
          <w:szCs w:val="24"/>
        </w:rPr>
      </w:pPr>
      <w:r>
        <w:rPr>
          <w:rFonts w:ascii="宋体" w:hAnsi="宋体" w:eastAsia="宋体" w:cs="宋体"/>
          <w:spacing w:val="-8"/>
          <w:position w:val="16"/>
          <w:sz w:val="24"/>
          <w:szCs w:val="24"/>
        </w:rPr>
        <w:t>（</w:t>
      </w:r>
      <w:r>
        <w:rPr>
          <w:rFonts w:ascii="Times New Roman" w:hAnsi="Times New Roman" w:eastAsia="Times New Roman" w:cs="Times New Roman"/>
          <w:spacing w:val="-8"/>
          <w:position w:val="16"/>
          <w:sz w:val="24"/>
          <w:szCs w:val="24"/>
        </w:rPr>
        <w:t>1</w:t>
      </w:r>
      <w:r>
        <w:rPr>
          <w:rFonts w:ascii="宋体" w:hAnsi="宋体" w:eastAsia="宋体" w:cs="宋体"/>
          <w:spacing w:val="-8"/>
          <w:position w:val="16"/>
          <w:sz w:val="24"/>
          <w:szCs w:val="24"/>
        </w:rPr>
        <w:t>）《建设项目环境影响评价技术导则</w:t>
      </w:r>
      <w:r>
        <w:rPr>
          <w:rFonts w:ascii="Times New Roman" w:hAnsi="Times New Roman" w:eastAsia="Times New Roman" w:cs="Times New Roman"/>
          <w:spacing w:val="-8"/>
          <w:position w:val="16"/>
          <w:sz w:val="24"/>
          <w:szCs w:val="24"/>
        </w:rPr>
        <w:t>-</w:t>
      </w:r>
      <w:r>
        <w:rPr>
          <w:rFonts w:ascii="宋体" w:hAnsi="宋体" w:eastAsia="宋体" w:cs="宋体"/>
          <w:spacing w:val="-8"/>
          <w:position w:val="16"/>
          <w:sz w:val="24"/>
          <w:szCs w:val="24"/>
        </w:rPr>
        <w:t>总纲》（</w:t>
      </w:r>
      <w:r>
        <w:rPr>
          <w:rFonts w:ascii="Times New Roman" w:hAnsi="Times New Roman" w:eastAsia="Times New Roman" w:cs="Times New Roman"/>
          <w:spacing w:val="-8"/>
          <w:position w:val="16"/>
          <w:sz w:val="24"/>
          <w:szCs w:val="24"/>
        </w:rPr>
        <w:t>HJ2.l-2016</w:t>
      </w:r>
      <w:r>
        <w:rPr>
          <w:rFonts w:ascii="宋体" w:hAnsi="宋体" w:eastAsia="宋体" w:cs="宋体"/>
          <w:spacing w:val="-40"/>
          <w:position w:val="16"/>
          <w:sz w:val="24"/>
          <w:szCs w:val="24"/>
        </w:rPr>
        <w:t>）；</w:t>
      </w:r>
    </w:p>
    <w:p>
      <w:pPr>
        <w:spacing w:line="218" w:lineRule="auto"/>
        <w:ind w:left="525"/>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）《环境影响评价技术导则</w:t>
      </w:r>
      <w:r>
        <w:rPr>
          <w:rFonts w:ascii="Times New Roman" w:hAnsi="Times New Roman" w:eastAsia="Times New Roman" w:cs="Times New Roman"/>
          <w:spacing w:val="-8"/>
          <w:sz w:val="24"/>
          <w:szCs w:val="24"/>
        </w:rPr>
        <w:t>-</w:t>
      </w:r>
      <w:r>
        <w:rPr>
          <w:rFonts w:ascii="宋体" w:hAnsi="宋体" w:eastAsia="宋体" w:cs="宋体"/>
          <w:spacing w:val="-8"/>
          <w:sz w:val="24"/>
          <w:szCs w:val="24"/>
        </w:rPr>
        <w:t>大气环境》（</w:t>
      </w:r>
      <w:r>
        <w:rPr>
          <w:rFonts w:ascii="Times New Roman" w:hAnsi="Times New Roman" w:eastAsia="Times New Roman" w:cs="Times New Roman"/>
          <w:spacing w:val="-8"/>
          <w:sz w:val="24"/>
          <w:szCs w:val="24"/>
        </w:rPr>
        <w:t>HJ</w:t>
      </w:r>
      <w:r>
        <w:rPr>
          <w:rFonts w:ascii="Times New Roman" w:hAnsi="Times New Roman" w:eastAsia="Times New Roman" w:cs="Times New Roman"/>
          <w:spacing w:val="-9"/>
          <w:sz w:val="24"/>
          <w:szCs w:val="24"/>
        </w:rPr>
        <w:t>2.2-2018</w:t>
      </w:r>
      <w:r>
        <w:rPr>
          <w:rFonts w:ascii="宋体" w:hAnsi="宋体" w:eastAsia="宋体" w:cs="宋体"/>
          <w:spacing w:val="-44"/>
          <w:sz w:val="24"/>
          <w:szCs w:val="24"/>
        </w:rPr>
        <w:t>）；</w:t>
      </w:r>
    </w:p>
    <w:p>
      <w:pPr>
        <w:spacing w:before="184" w:line="467" w:lineRule="exact"/>
        <w:ind w:left="525"/>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3</w:t>
      </w:r>
      <w:r>
        <w:rPr>
          <w:rFonts w:ascii="宋体" w:hAnsi="宋体" w:eastAsia="宋体" w:cs="宋体"/>
          <w:spacing w:val="-8"/>
          <w:position w:val="17"/>
          <w:sz w:val="24"/>
          <w:szCs w:val="24"/>
        </w:rPr>
        <w:t>）《环境影响评价技术导则</w:t>
      </w:r>
      <w:r>
        <w:rPr>
          <w:rFonts w:ascii="Times New Roman" w:hAnsi="Times New Roman" w:eastAsia="Times New Roman" w:cs="Times New Roman"/>
          <w:spacing w:val="-8"/>
          <w:position w:val="17"/>
          <w:sz w:val="24"/>
          <w:szCs w:val="24"/>
        </w:rPr>
        <w:t>-</w:t>
      </w:r>
      <w:r>
        <w:rPr>
          <w:rFonts w:ascii="宋体" w:hAnsi="宋体" w:eastAsia="宋体" w:cs="宋体"/>
          <w:spacing w:val="-8"/>
          <w:position w:val="17"/>
          <w:sz w:val="24"/>
          <w:szCs w:val="24"/>
        </w:rPr>
        <w:t>地表水环境》（</w:t>
      </w:r>
      <w:r>
        <w:rPr>
          <w:rFonts w:ascii="Times New Roman" w:hAnsi="Times New Roman" w:eastAsia="Times New Roman" w:cs="Times New Roman"/>
          <w:spacing w:val="-8"/>
          <w:position w:val="17"/>
          <w:sz w:val="24"/>
          <w:szCs w:val="24"/>
        </w:rPr>
        <w:t>HJ2.3-2018</w:t>
      </w:r>
      <w:r>
        <w:rPr>
          <w:rFonts w:ascii="宋体" w:hAnsi="宋体" w:eastAsia="宋体" w:cs="宋体"/>
          <w:spacing w:val="-44"/>
          <w:position w:val="17"/>
          <w:sz w:val="24"/>
          <w:szCs w:val="24"/>
        </w:rPr>
        <w:t>）；</w:t>
      </w:r>
    </w:p>
    <w:p>
      <w:pPr>
        <w:spacing w:line="218" w:lineRule="auto"/>
        <w:ind w:left="525"/>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4</w:t>
      </w:r>
      <w:r>
        <w:rPr>
          <w:rFonts w:ascii="宋体" w:hAnsi="宋体" w:eastAsia="宋体" w:cs="宋体"/>
          <w:spacing w:val="-8"/>
          <w:sz w:val="24"/>
          <w:szCs w:val="24"/>
        </w:rPr>
        <w:t>）《环境影响评价技术导则</w:t>
      </w:r>
      <w:r>
        <w:rPr>
          <w:rFonts w:ascii="Times New Roman" w:hAnsi="Times New Roman" w:eastAsia="Times New Roman" w:cs="Times New Roman"/>
          <w:spacing w:val="-8"/>
          <w:sz w:val="24"/>
          <w:szCs w:val="24"/>
        </w:rPr>
        <w:t>-</w:t>
      </w:r>
      <w:r>
        <w:rPr>
          <w:rFonts w:ascii="宋体" w:hAnsi="宋体" w:eastAsia="宋体" w:cs="宋体"/>
          <w:spacing w:val="-8"/>
          <w:sz w:val="24"/>
          <w:szCs w:val="24"/>
        </w:rPr>
        <w:t>地下水环境》（</w:t>
      </w:r>
      <w:r>
        <w:rPr>
          <w:rFonts w:ascii="Times New Roman" w:hAnsi="Times New Roman" w:eastAsia="Times New Roman" w:cs="Times New Roman"/>
          <w:spacing w:val="-8"/>
          <w:sz w:val="24"/>
          <w:szCs w:val="24"/>
        </w:rPr>
        <w:t>HJ610-2016</w:t>
      </w:r>
      <w:r>
        <w:rPr>
          <w:rFonts w:ascii="宋体" w:hAnsi="宋体" w:eastAsia="宋体" w:cs="宋体"/>
          <w:spacing w:val="-44"/>
          <w:sz w:val="24"/>
          <w:szCs w:val="24"/>
        </w:rPr>
        <w:t>）；</w:t>
      </w:r>
    </w:p>
    <w:p>
      <w:pPr>
        <w:spacing w:before="183" w:line="218" w:lineRule="auto"/>
        <w:ind w:left="525"/>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5</w:t>
      </w:r>
      <w:r>
        <w:rPr>
          <w:rFonts w:ascii="宋体" w:hAnsi="宋体" w:eastAsia="宋体" w:cs="宋体"/>
          <w:spacing w:val="-9"/>
          <w:sz w:val="24"/>
          <w:szCs w:val="24"/>
        </w:rPr>
        <w:t>）《环境影响评价技术导则</w:t>
      </w:r>
      <w:r>
        <w:rPr>
          <w:rFonts w:ascii="Times New Roman" w:hAnsi="Times New Roman" w:eastAsia="Times New Roman" w:cs="Times New Roman"/>
          <w:spacing w:val="-9"/>
          <w:sz w:val="24"/>
          <w:szCs w:val="24"/>
        </w:rPr>
        <w:t>-</w:t>
      </w:r>
      <w:r>
        <w:rPr>
          <w:rFonts w:ascii="宋体" w:hAnsi="宋体" w:eastAsia="宋体" w:cs="宋体"/>
          <w:spacing w:val="-9"/>
          <w:sz w:val="24"/>
          <w:szCs w:val="24"/>
        </w:rPr>
        <w:t>声环境》（</w:t>
      </w:r>
      <w:r>
        <w:rPr>
          <w:rFonts w:ascii="Times New Roman" w:hAnsi="Times New Roman" w:eastAsia="Times New Roman" w:cs="Times New Roman"/>
          <w:spacing w:val="-9"/>
          <w:sz w:val="24"/>
          <w:szCs w:val="24"/>
        </w:rPr>
        <w:t>HJ2.4-2021</w:t>
      </w:r>
      <w:r>
        <w:rPr>
          <w:rFonts w:ascii="宋体" w:hAnsi="宋体" w:eastAsia="宋体" w:cs="宋体"/>
          <w:spacing w:val="-37"/>
          <w:sz w:val="24"/>
          <w:szCs w:val="24"/>
        </w:rPr>
        <w:t>）；</w:t>
      </w:r>
    </w:p>
    <w:p>
      <w:pPr>
        <w:spacing w:before="184" w:line="467" w:lineRule="exact"/>
        <w:ind w:left="525"/>
        <w:rPr>
          <w:rFonts w:ascii="宋体" w:hAnsi="宋体" w:eastAsia="宋体" w:cs="宋体"/>
          <w:sz w:val="24"/>
          <w:szCs w:val="24"/>
        </w:rPr>
      </w:pPr>
      <w:r>
        <w:rPr>
          <w:rFonts w:ascii="宋体" w:hAnsi="宋体" w:eastAsia="宋体" w:cs="宋体"/>
          <w:spacing w:val="-9"/>
          <w:position w:val="17"/>
          <w:sz w:val="24"/>
          <w:szCs w:val="24"/>
        </w:rPr>
        <w:t>（</w:t>
      </w:r>
      <w:r>
        <w:rPr>
          <w:rFonts w:ascii="Times New Roman" w:hAnsi="Times New Roman" w:eastAsia="Times New Roman" w:cs="Times New Roman"/>
          <w:spacing w:val="-9"/>
          <w:position w:val="17"/>
          <w:sz w:val="24"/>
          <w:szCs w:val="24"/>
        </w:rPr>
        <w:t>6</w:t>
      </w:r>
      <w:r>
        <w:rPr>
          <w:rFonts w:ascii="宋体" w:hAnsi="宋体" w:eastAsia="宋体" w:cs="宋体"/>
          <w:spacing w:val="-9"/>
          <w:position w:val="17"/>
          <w:sz w:val="24"/>
          <w:szCs w:val="24"/>
        </w:rPr>
        <w:t>）《环境影响评价技术导则</w:t>
      </w:r>
      <w:r>
        <w:rPr>
          <w:rFonts w:ascii="Times New Roman" w:hAnsi="Times New Roman" w:eastAsia="Times New Roman" w:cs="Times New Roman"/>
          <w:spacing w:val="-9"/>
          <w:position w:val="17"/>
          <w:sz w:val="24"/>
          <w:szCs w:val="24"/>
        </w:rPr>
        <w:t>-</w:t>
      </w:r>
      <w:r>
        <w:rPr>
          <w:rFonts w:ascii="宋体" w:hAnsi="宋体" w:eastAsia="宋体" w:cs="宋体"/>
          <w:spacing w:val="-9"/>
          <w:position w:val="17"/>
          <w:sz w:val="24"/>
          <w:szCs w:val="24"/>
        </w:rPr>
        <w:t>生态影响》（</w:t>
      </w:r>
      <w:r>
        <w:rPr>
          <w:rFonts w:ascii="Times New Roman" w:hAnsi="Times New Roman" w:eastAsia="Times New Roman" w:cs="Times New Roman"/>
          <w:spacing w:val="-9"/>
          <w:position w:val="17"/>
          <w:sz w:val="24"/>
          <w:szCs w:val="24"/>
        </w:rPr>
        <w:t>HJ19-2012</w:t>
      </w:r>
      <w:r>
        <w:rPr>
          <w:rFonts w:ascii="宋体" w:hAnsi="宋体" w:eastAsia="宋体" w:cs="宋体"/>
          <w:spacing w:val="-37"/>
          <w:position w:val="17"/>
          <w:sz w:val="24"/>
          <w:szCs w:val="24"/>
        </w:rPr>
        <w:t>）；</w:t>
      </w:r>
    </w:p>
    <w:p>
      <w:pPr>
        <w:spacing w:line="218" w:lineRule="auto"/>
        <w:ind w:left="525"/>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7</w:t>
      </w:r>
      <w:r>
        <w:rPr>
          <w:rFonts w:ascii="宋体" w:hAnsi="宋体" w:eastAsia="宋体" w:cs="宋体"/>
          <w:spacing w:val="-10"/>
          <w:sz w:val="24"/>
          <w:szCs w:val="24"/>
        </w:rPr>
        <w:t>）《建设项目环境风险评价技术导则》（</w:t>
      </w:r>
      <w:r>
        <w:rPr>
          <w:rFonts w:ascii="Times New Roman" w:hAnsi="Times New Roman" w:eastAsia="Times New Roman" w:cs="Times New Roman"/>
          <w:spacing w:val="-10"/>
          <w:sz w:val="24"/>
          <w:szCs w:val="24"/>
        </w:rPr>
        <w:t>HJ</w:t>
      </w:r>
      <w:r>
        <w:rPr>
          <w:rFonts w:ascii="Times New Roman" w:hAnsi="Times New Roman" w:eastAsia="Times New Roman" w:cs="Times New Roman"/>
          <w:spacing w:val="29"/>
          <w:w w:val="101"/>
          <w:sz w:val="24"/>
          <w:szCs w:val="24"/>
        </w:rPr>
        <w:t xml:space="preserve"> </w:t>
      </w:r>
      <w:r>
        <w:rPr>
          <w:rFonts w:ascii="Times New Roman" w:hAnsi="Times New Roman" w:eastAsia="Times New Roman" w:cs="Times New Roman"/>
          <w:spacing w:val="-10"/>
          <w:sz w:val="24"/>
          <w:szCs w:val="24"/>
        </w:rPr>
        <w:t>169-2018</w:t>
      </w:r>
      <w:r>
        <w:rPr>
          <w:rFonts w:ascii="宋体" w:hAnsi="宋体" w:eastAsia="宋体" w:cs="宋体"/>
          <w:spacing w:val="-61"/>
          <w:sz w:val="24"/>
          <w:szCs w:val="24"/>
        </w:rPr>
        <w:t>）；</w:t>
      </w:r>
    </w:p>
    <w:p>
      <w:pPr>
        <w:spacing w:before="183" w:line="468" w:lineRule="exact"/>
        <w:ind w:left="525"/>
        <w:rPr>
          <w:rFonts w:ascii="宋体" w:hAnsi="宋体" w:eastAsia="宋体" w:cs="宋体"/>
          <w:sz w:val="24"/>
          <w:szCs w:val="24"/>
        </w:rPr>
      </w:pPr>
      <w:r>
        <w:rPr>
          <w:rFonts w:ascii="宋体" w:hAnsi="宋体" w:eastAsia="宋体" w:cs="宋体"/>
          <w:spacing w:val="-10"/>
          <w:position w:val="17"/>
          <w:sz w:val="24"/>
          <w:szCs w:val="24"/>
        </w:rPr>
        <w:t>（</w:t>
      </w:r>
      <w:r>
        <w:rPr>
          <w:rFonts w:ascii="Times New Roman" w:hAnsi="Times New Roman" w:eastAsia="Times New Roman" w:cs="Times New Roman"/>
          <w:spacing w:val="-10"/>
          <w:position w:val="17"/>
          <w:sz w:val="24"/>
          <w:szCs w:val="24"/>
        </w:rPr>
        <w:t>8</w:t>
      </w:r>
      <w:r>
        <w:rPr>
          <w:rFonts w:ascii="宋体" w:hAnsi="宋体" w:eastAsia="宋体" w:cs="宋体"/>
          <w:spacing w:val="-10"/>
          <w:position w:val="17"/>
          <w:sz w:val="24"/>
          <w:szCs w:val="24"/>
        </w:rPr>
        <w:t>）《环境影响评价技术导则</w:t>
      </w:r>
      <w:r>
        <w:rPr>
          <w:rFonts w:ascii="Times New Roman" w:hAnsi="Times New Roman" w:eastAsia="Times New Roman" w:cs="Times New Roman"/>
          <w:spacing w:val="-10"/>
          <w:position w:val="17"/>
          <w:sz w:val="24"/>
          <w:szCs w:val="24"/>
        </w:rPr>
        <w:t>-</w:t>
      </w:r>
      <w:r>
        <w:rPr>
          <w:rFonts w:ascii="宋体" w:hAnsi="宋体" w:eastAsia="宋体" w:cs="宋体"/>
          <w:spacing w:val="-10"/>
          <w:position w:val="17"/>
          <w:sz w:val="24"/>
          <w:szCs w:val="24"/>
        </w:rPr>
        <w:t>土壤环境（</w:t>
      </w:r>
      <w:r>
        <w:rPr>
          <w:rFonts w:ascii="宋体" w:hAnsi="宋体" w:eastAsia="宋体" w:cs="宋体"/>
          <w:spacing w:val="-11"/>
          <w:position w:val="17"/>
          <w:sz w:val="24"/>
          <w:szCs w:val="24"/>
        </w:rPr>
        <w:t>试行）》（</w:t>
      </w:r>
      <w:r>
        <w:rPr>
          <w:rFonts w:ascii="Times New Roman" w:hAnsi="Times New Roman" w:eastAsia="Times New Roman" w:cs="Times New Roman"/>
          <w:spacing w:val="-11"/>
          <w:position w:val="17"/>
          <w:sz w:val="24"/>
          <w:szCs w:val="24"/>
        </w:rPr>
        <w:t>HJ 964-2018</w:t>
      </w:r>
      <w:r>
        <w:rPr>
          <w:rFonts w:ascii="宋体" w:hAnsi="宋体" w:eastAsia="宋体" w:cs="宋体"/>
          <w:spacing w:val="-44"/>
          <w:position w:val="17"/>
          <w:sz w:val="24"/>
          <w:szCs w:val="24"/>
        </w:rPr>
        <w:t>）；</w:t>
      </w:r>
    </w:p>
    <w:p>
      <w:pPr>
        <w:spacing w:line="218" w:lineRule="auto"/>
        <w:ind w:left="525"/>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9</w:t>
      </w:r>
      <w:r>
        <w:rPr>
          <w:rFonts w:ascii="宋体" w:hAnsi="宋体" w:eastAsia="宋体" w:cs="宋体"/>
          <w:spacing w:val="-9"/>
          <w:sz w:val="24"/>
          <w:szCs w:val="24"/>
        </w:rPr>
        <w:t>）《环境影响评价技术导则</w:t>
      </w:r>
      <w:r>
        <w:rPr>
          <w:rFonts w:ascii="宋体" w:hAnsi="宋体" w:eastAsia="宋体" w:cs="宋体"/>
          <w:spacing w:val="36"/>
          <w:sz w:val="24"/>
          <w:szCs w:val="24"/>
        </w:rPr>
        <w:t xml:space="preserve"> </w:t>
      </w:r>
      <w:r>
        <w:rPr>
          <w:rFonts w:ascii="宋体" w:hAnsi="宋体" w:eastAsia="宋体" w:cs="宋体"/>
          <w:spacing w:val="-9"/>
          <w:sz w:val="24"/>
          <w:szCs w:val="24"/>
        </w:rPr>
        <w:t>水利水电工程》（</w:t>
      </w:r>
      <w:r>
        <w:rPr>
          <w:rFonts w:ascii="Times New Roman" w:hAnsi="Times New Roman" w:eastAsia="Times New Roman" w:cs="Times New Roman"/>
          <w:spacing w:val="-9"/>
          <w:sz w:val="24"/>
          <w:szCs w:val="24"/>
        </w:rPr>
        <w:t>HJ/T 88-2003</w:t>
      </w:r>
      <w:r>
        <w:rPr>
          <w:rFonts w:ascii="宋体" w:hAnsi="宋体" w:eastAsia="宋体" w:cs="宋体"/>
          <w:spacing w:val="-39"/>
          <w:sz w:val="24"/>
          <w:szCs w:val="24"/>
        </w:rPr>
        <w:t>）；</w:t>
      </w:r>
    </w:p>
    <w:p>
      <w:pPr>
        <w:spacing w:before="183" w:line="218" w:lineRule="auto"/>
        <w:ind w:left="525"/>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10</w:t>
      </w:r>
      <w:r>
        <w:rPr>
          <w:rFonts w:ascii="宋体" w:hAnsi="宋体" w:eastAsia="宋体" w:cs="宋体"/>
          <w:spacing w:val="-9"/>
          <w:sz w:val="24"/>
          <w:szCs w:val="24"/>
        </w:rPr>
        <w:t>）《生态环境状况评价技术规范》（</w:t>
      </w:r>
      <w:r>
        <w:rPr>
          <w:rFonts w:ascii="Times New Roman" w:hAnsi="Times New Roman" w:eastAsia="Times New Roman" w:cs="Times New Roman"/>
          <w:spacing w:val="-9"/>
          <w:sz w:val="24"/>
          <w:szCs w:val="24"/>
        </w:rPr>
        <w:t>HJ192-2015</w:t>
      </w:r>
      <w:r>
        <w:rPr>
          <w:rFonts w:ascii="宋体" w:hAnsi="宋体" w:eastAsia="宋体" w:cs="宋体"/>
          <w:spacing w:val="-42"/>
          <w:sz w:val="24"/>
          <w:szCs w:val="24"/>
        </w:rPr>
        <w:t>）；</w:t>
      </w:r>
    </w:p>
    <w:p>
      <w:pPr>
        <w:spacing w:before="183" w:line="220" w:lineRule="auto"/>
        <w:ind w:left="525"/>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11</w:t>
      </w:r>
      <w:r>
        <w:rPr>
          <w:rFonts w:ascii="宋体" w:hAnsi="宋体" w:eastAsia="宋体" w:cs="宋体"/>
          <w:spacing w:val="-9"/>
          <w:sz w:val="24"/>
          <w:szCs w:val="24"/>
        </w:rPr>
        <w:t>）《地表水和污水监测技术规范》（</w:t>
      </w:r>
      <w:r>
        <w:rPr>
          <w:rFonts w:ascii="Times New Roman" w:hAnsi="Times New Roman" w:eastAsia="Times New Roman" w:cs="Times New Roman"/>
          <w:spacing w:val="-9"/>
          <w:sz w:val="24"/>
          <w:szCs w:val="24"/>
        </w:rPr>
        <w:t>HJ/T91-2002</w:t>
      </w:r>
      <w:r>
        <w:rPr>
          <w:rFonts w:ascii="宋体" w:hAnsi="宋体" w:eastAsia="宋体" w:cs="宋体"/>
          <w:spacing w:val="-41"/>
          <w:sz w:val="24"/>
          <w:szCs w:val="24"/>
        </w:rPr>
        <w:t>）；</w:t>
      </w:r>
    </w:p>
    <w:p>
      <w:pPr>
        <w:spacing w:before="182" w:line="466" w:lineRule="exact"/>
        <w:ind w:left="525"/>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12</w:t>
      </w:r>
      <w:r>
        <w:rPr>
          <w:rFonts w:ascii="宋体" w:hAnsi="宋体" w:eastAsia="宋体" w:cs="宋体"/>
          <w:spacing w:val="-8"/>
          <w:position w:val="17"/>
          <w:sz w:val="24"/>
          <w:szCs w:val="24"/>
        </w:rPr>
        <w:t>）《饮用水水源保护区划分技术规范》（</w:t>
      </w:r>
      <w:r>
        <w:rPr>
          <w:rFonts w:ascii="Times New Roman" w:hAnsi="Times New Roman" w:eastAsia="Times New Roman" w:cs="Times New Roman"/>
          <w:spacing w:val="-8"/>
          <w:position w:val="17"/>
          <w:sz w:val="24"/>
          <w:szCs w:val="24"/>
        </w:rPr>
        <w:t>H</w:t>
      </w:r>
      <w:r>
        <w:rPr>
          <w:rFonts w:ascii="Times New Roman" w:hAnsi="Times New Roman" w:eastAsia="Times New Roman" w:cs="Times New Roman"/>
          <w:spacing w:val="-9"/>
          <w:position w:val="17"/>
          <w:sz w:val="24"/>
          <w:szCs w:val="24"/>
        </w:rPr>
        <w:t>J338-2018</w:t>
      </w:r>
      <w:r>
        <w:rPr>
          <w:rFonts w:ascii="宋体" w:hAnsi="宋体" w:eastAsia="宋体" w:cs="宋体"/>
          <w:spacing w:val="-44"/>
          <w:position w:val="17"/>
          <w:sz w:val="24"/>
          <w:szCs w:val="24"/>
        </w:rPr>
        <w:t>）；</w:t>
      </w:r>
    </w:p>
    <w:p>
      <w:pPr>
        <w:spacing w:before="1" w:line="219" w:lineRule="auto"/>
        <w:ind w:left="525"/>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13</w:t>
      </w:r>
      <w:r>
        <w:rPr>
          <w:rFonts w:ascii="宋体" w:hAnsi="宋体" w:eastAsia="宋体" w:cs="宋体"/>
          <w:spacing w:val="-8"/>
          <w:sz w:val="24"/>
          <w:szCs w:val="24"/>
        </w:rPr>
        <w:t>）《声环境功能区划分技术规范》（</w:t>
      </w:r>
      <w:r>
        <w:rPr>
          <w:rFonts w:ascii="Times New Roman" w:hAnsi="Times New Roman" w:eastAsia="Times New Roman" w:cs="Times New Roman"/>
          <w:spacing w:val="-8"/>
          <w:sz w:val="24"/>
          <w:szCs w:val="24"/>
        </w:rPr>
        <w:t>GB/T15190-2014</w:t>
      </w:r>
      <w:r>
        <w:rPr>
          <w:rFonts w:ascii="宋体" w:hAnsi="宋体" w:eastAsia="宋体" w:cs="宋体"/>
          <w:spacing w:val="-64"/>
          <w:sz w:val="24"/>
          <w:szCs w:val="24"/>
        </w:rPr>
        <w:t>）；</w:t>
      </w:r>
    </w:p>
    <w:p>
      <w:pPr>
        <w:spacing w:before="181" w:line="468" w:lineRule="exact"/>
        <w:ind w:right="37"/>
        <w:jc w:val="right"/>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14</w:t>
      </w:r>
      <w:r>
        <w:rPr>
          <w:rFonts w:ascii="宋体" w:hAnsi="宋体" w:eastAsia="宋体" w:cs="宋体"/>
          <w:spacing w:val="-3"/>
          <w:position w:val="17"/>
          <w:sz w:val="24"/>
          <w:szCs w:val="24"/>
        </w:rPr>
        <w:t>）《水电水利建设项目河道生态用水</w:t>
      </w:r>
      <w:r>
        <w:rPr>
          <w:rFonts w:ascii="宋体" w:hAnsi="宋体" w:eastAsia="宋体" w:cs="宋体"/>
          <w:spacing w:val="-4"/>
          <w:position w:val="17"/>
          <w:sz w:val="24"/>
          <w:szCs w:val="24"/>
        </w:rPr>
        <w:t>、低温水和过鱼设施环境影响评价</w:t>
      </w:r>
    </w:p>
    <w:p>
      <w:pPr>
        <w:spacing w:line="215" w:lineRule="auto"/>
        <w:ind w:left="40"/>
        <w:rPr>
          <w:rFonts w:ascii="宋体" w:hAnsi="宋体" w:eastAsia="宋体" w:cs="宋体"/>
          <w:sz w:val="24"/>
          <w:szCs w:val="24"/>
        </w:rPr>
      </w:pPr>
      <w:r>
        <w:rPr>
          <w:rFonts w:ascii="宋体" w:hAnsi="宋体" w:eastAsia="宋体" w:cs="宋体"/>
          <w:spacing w:val="-14"/>
          <w:sz w:val="24"/>
          <w:szCs w:val="24"/>
        </w:rPr>
        <w:t>技术指南（试行）》（环评函</w:t>
      </w:r>
      <w:r>
        <w:rPr>
          <w:rFonts w:ascii="Times New Roman" w:hAnsi="Times New Roman" w:eastAsia="Times New Roman" w:cs="Times New Roman"/>
          <w:spacing w:val="-14"/>
          <w:sz w:val="24"/>
          <w:szCs w:val="24"/>
        </w:rPr>
        <w:t xml:space="preserve">[2006]4  </w:t>
      </w:r>
      <w:r>
        <w:rPr>
          <w:rFonts w:ascii="宋体" w:hAnsi="宋体" w:eastAsia="宋体" w:cs="宋体"/>
          <w:spacing w:val="-14"/>
          <w:sz w:val="24"/>
          <w:szCs w:val="24"/>
        </w:rPr>
        <w:t>号</w:t>
      </w:r>
      <w:r>
        <w:rPr>
          <w:rFonts w:ascii="宋体" w:hAnsi="宋体" w:eastAsia="宋体" w:cs="宋体"/>
          <w:spacing w:val="-33"/>
          <w:sz w:val="24"/>
          <w:szCs w:val="24"/>
        </w:rPr>
        <w:t>）；</w:t>
      </w:r>
    </w:p>
    <w:p>
      <w:pPr>
        <w:spacing w:before="187" w:line="467" w:lineRule="exact"/>
        <w:ind w:left="525"/>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15</w:t>
      </w:r>
      <w:r>
        <w:rPr>
          <w:rFonts w:ascii="宋体" w:hAnsi="宋体" w:eastAsia="宋体" w:cs="宋体"/>
          <w:spacing w:val="-8"/>
          <w:position w:val="17"/>
          <w:sz w:val="24"/>
          <w:szCs w:val="24"/>
        </w:rPr>
        <w:t>）《水利水电工程环境保护概估算编制规程》（</w:t>
      </w:r>
      <w:r>
        <w:rPr>
          <w:rFonts w:ascii="Times New Roman" w:hAnsi="Times New Roman" w:eastAsia="Times New Roman" w:cs="Times New Roman"/>
          <w:spacing w:val="-8"/>
          <w:position w:val="17"/>
          <w:sz w:val="24"/>
          <w:szCs w:val="24"/>
        </w:rPr>
        <w:t>SL359-2006</w:t>
      </w:r>
      <w:r>
        <w:rPr>
          <w:rFonts w:ascii="宋体" w:hAnsi="宋体" w:eastAsia="宋体" w:cs="宋体"/>
          <w:spacing w:val="-60"/>
          <w:position w:val="17"/>
          <w:sz w:val="24"/>
          <w:szCs w:val="24"/>
        </w:rPr>
        <w:t>）；</w:t>
      </w:r>
    </w:p>
    <w:p>
      <w:pPr>
        <w:spacing w:line="219" w:lineRule="auto"/>
        <w:ind w:left="525"/>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16</w:t>
      </w:r>
      <w:r>
        <w:rPr>
          <w:rFonts w:ascii="宋体" w:hAnsi="宋体" w:eastAsia="宋体" w:cs="宋体"/>
          <w:spacing w:val="-10"/>
          <w:sz w:val="24"/>
          <w:szCs w:val="24"/>
        </w:rPr>
        <w:t>）《世界自然保护联盟（</w:t>
      </w:r>
      <w:r>
        <w:rPr>
          <w:rFonts w:ascii="Times New Roman" w:hAnsi="Times New Roman" w:eastAsia="Times New Roman" w:cs="Times New Roman"/>
          <w:spacing w:val="-10"/>
          <w:sz w:val="24"/>
          <w:szCs w:val="24"/>
        </w:rPr>
        <w:t>IUCN</w:t>
      </w:r>
      <w:r>
        <w:rPr>
          <w:rFonts w:ascii="宋体" w:hAnsi="宋体" w:eastAsia="宋体" w:cs="宋体"/>
          <w:spacing w:val="-10"/>
          <w:sz w:val="24"/>
          <w:szCs w:val="24"/>
        </w:rPr>
        <w:t>）红色名录》（</w:t>
      </w:r>
      <w:r>
        <w:rPr>
          <w:rFonts w:ascii="Times New Roman" w:hAnsi="Times New Roman" w:eastAsia="Times New Roman" w:cs="Times New Roman"/>
          <w:spacing w:val="-10"/>
          <w:sz w:val="24"/>
          <w:szCs w:val="24"/>
        </w:rPr>
        <w:t>2007</w:t>
      </w:r>
      <w:r>
        <w:rPr>
          <w:rFonts w:ascii="Times New Roman" w:hAnsi="Times New Roman" w:eastAsia="Times New Roman" w:cs="Times New Roman"/>
          <w:spacing w:val="-34"/>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 xml:space="preserve">2011 </w:t>
      </w:r>
      <w:r>
        <w:rPr>
          <w:rFonts w:ascii="宋体" w:hAnsi="宋体" w:eastAsia="宋体" w:cs="宋体"/>
          <w:spacing w:val="-10"/>
          <w:sz w:val="24"/>
          <w:szCs w:val="24"/>
        </w:rPr>
        <w:t>年</w:t>
      </w:r>
      <w:r>
        <w:rPr>
          <w:rFonts w:ascii="宋体" w:hAnsi="宋体" w:eastAsia="宋体" w:cs="宋体"/>
          <w:spacing w:val="-34"/>
          <w:sz w:val="24"/>
          <w:szCs w:val="24"/>
        </w:rPr>
        <w:t>）；</w:t>
      </w:r>
    </w:p>
    <w:p>
      <w:pPr>
        <w:spacing w:line="219" w:lineRule="auto"/>
        <w:rPr>
          <w:rFonts w:ascii="宋体" w:hAnsi="宋体" w:eastAsia="宋体" w:cs="宋体"/>
          <w:sz w:val="24"/>
          <w:szCs w:val="24"/>
        </w:rPr>
        <w:sectPr>
          <w:headerReference r:id="rId26" w:type="default"/>
          <w:footerReference r:id="rId27" w:type="default"/>
          <w:pgSz w:w="11907" w:h="16839"/>
          <w:pgMar w:top="1156" w:right="1768" w:bottom="1154" w:left="1770" w:header="881" w:footer="991" w:gutter="0"/>
        </w:sectPr>
      </w:pPr>
    </w:p>
    <w:p>
      <w:pPr>
        <w:spacing w:before="319" w:line="219" w:lineRule="auto"/>
        <w:ind w:left="525"/>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17</w:t>
      </w:r>
      <w:r>
        <w:rPr>
          <w:rFonts w:ascii="宋体" w:hAnsi="宋体" w:eastAsia="宋体" w:cs="宋体"/>
          <w:spacing w:val="-10"/>
          <w:sz w:val="24"/>
          <w:szCs w:val="24"/>
        </w:rPr>
        <w:t>）《濒危野生动植物种国际贸易公约附录物种名录》（</w:t>
      </w:r>
      <w:r>
        <w:rPr>
          <w:rFonts w:ascii="Times New Roman" w:hAnsi="Times New Roman" w:eastAsia="Times New Roman" w:cs="Times New Roman"/>
          <w:spacing w:val="-10"/>
          <w:sz w:val="24"/>
          <w:szCs w:val="24"/>
        </w:rPr>
        <w:t xml:space="preserve">2013 </w:t>
      </w:r>
      <w:r>
        <w:rPr>
          <w:rFonts w:ascii="宋体" w:hAnsi="宋体" w:eastAsia="宋体" w:cs="宋体"/>
          <w:spacing w:val="-10"/>
          <w:sz w:val="24"/>
          <w:szCs w:val="24"/>
        </w:rPr>
        <w:t>年）。</w:t>
      </w:r>
    </w:p>
    <w:p>
      <w:pPr>
        <w:spacing w:line="431"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1"/>
          <w:sz w:val="24"/>
          <w:szCs w:val="24"/>
        </w:rPr>
        <w:t xml:space="preserve">1.2.6 </w:t>
      </w:r>
      <w:r>
        <w:rPr>
          <w:spacing w:val="-1"/>
          <w:sz w:val="24"/>
          <w:szCs w:val="24"/>
          <w14:textOutline w14:w="4354" w14:cap="flat" w14:cmpd="sng">
            <w14:solidFill>
              <w14:srgbClr w14:val="000000"/>
            </w14:solidFill>
            <w14:prstDash w14:val="solid"/>
            <w14:miter w14:val="0"/>
          </w14:textOutline>
        </w:rPr>
        <w:t>项目相关技术资料及文件</w:t>
      </w:r>
    </w:p>
    <w:p>
      <w:pPr>
        <w:spacing w:before="199" w:line="219" w:lineRule="auto"/>
        <w:ind w:left="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）环评工作委托书；</w:t>
      </w:r>
    </w:p>
    <w:p>
      <w:pPr>
        <w:spacing w:before="182" w:line="218" w:lineRule="auto"/>
        <w:ind w:left="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）《大姚县桂花水库工程可行性研究报告》及批复；</w:t>
      </w:r>
    </w:p>
    <w:p>
      <w:pPr>
        <w:spacing w:before="262" w:line="218" w:lineRule="auto"/>
        <w:ind w:left="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）《大姚县桂花水库工程初步设计报告》及批复；</w:t>
      </w:r>
    </w:p>
    <w:p>
      <w:pPr>
        <w:spacing w:before="184" w:line="218"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）《大姚县桂花水库工程水资源论证报</w:t>
      </w:r>
      <w:r>
        <w:rPr>
          <w:rFonts w:ascii="宋体" w:hAnsi="宋体" w:eastAsia="宋体" w:cs="宋体"/>
          <w:spacing w:val="-6"/>
          <w:sz w:val="24"/>
          <w:szCs w:val="24"/>
        </w:rPr>
        <w:t>告书》及许可；</w:t>
      </w:r>
    </w:p>
    <w:p>
      <w:pPr>
        <w:spacing w:before="184" w:line="218"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）《大姚县桂花水库工程水土保持方案报告书》及批</w:t>
      </w:r>
      <w:r>
        <w:rPr>
          <w:rFonts w:ascii="宋体" w:hAnsi="宋体" w:eastAsia="宋体" w:cs="宋体"/>
          <w:spacing w:val="-6"/>
          <w:sz w:val="24"/>
          <w:szCs w:val="24"/>
        </w:rPr>
        <w:t>复；</w:t>
      </w:r>
    </w:p>
    <w:p>
      <w:pPr>
        <w:spacing w:before="185" w:line="467" w:lineRule="exact"/>
        <w:ind w:left="525"/>
        <w:rPr>
          <w:rFonts w:ascii="宋体" w:hAnsi="宋体" w:eastAsia="宋体" w:cs="宋体"/>
          <w:sz w:val="24"/>
          <w:szCs w:val="24"/>
        </w:rPr>
      </w:pPr>
      <w:r>
        <w:rPr>
          <w:rFonts w:ascii="宋体" w:hAnsi="宋体" w:eastAsia="宋体" w:cs="宋体"/>
          <w:spacing w:val="-10"/>
          <w:position w:val="17"/>
          <w:sz w:val="24"/>
          <w:szCs w:val="24"/>
        </w:rPr>
        <w:t>（</w:t>
      </w:r>
      <w:r>
        <w:rPr>
          <w:rFonts w:ascii="Times New Roman" w:hAnsi="Times New Roman" w:eastAsia="Times New Roman" w:cs="Times New Roman"/>
          <w:spacing w:val="-10"/>
          <w:position w:val="17"/>
          <w:sz w:val="24"/>
          <w:szCs w:val="24"/>
        </w:rPr>
        <w:t>6</w:t>
      </w:r>
      <w:r>
        <w:rPr>
          <w:rFonts w:ascii="宋体" w:hAnsi="宋体" w:eastAsia="宋体" w:cs="宋体"/>
          <w:spacing w:val="-10"/>
          <w:position w:val="17"/>
          <w:sz w:val="24"/>
          <w:szCs w:val="24"/>
        </w:rPr>
        <w:t>）《大姚县桂花水库工程使用林地可行性报告》；</w:t>
      </w:r>
    </w:p>
    <w:p>
      <w:pPr>
        <w:spacing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7</w:t>
      </w:r>
      <w:r>
        <w:rPr>
          <w:rFonts w:ascii="宋体" w:hAnsi="宋体" w:eastAsia="宋体" w:cs="宋体"/>
          <w:spacing w:val="-5"/>
          <w:sz w:val="24"/>
          <w:szCs w:val="24"/>
        </w:rPr>
        <w:t>）其它相关的资料。</w:t>
      </w:r>
    </w:p>
    <w:p>
      <w:pPr>
        <w:spacing w:line="309" w:lineRule="auto"/>
        <w:rPr>
          <w:rFonts w:ascii="Arial"/>
          <w:sz w:val="21"/>
        </w:rPr>
      </w:pPr>
    </w:p>
    <w:p>
      <w:pPr>
        <w:pStyle w:val="2"/>
        <w:spacing w:before="88"/>
        <w:ind w:left="48"/>
        <w:outlineLvl w:val="0"/>
        <w:rPr>
          <w:sz w:val="27"/>
          <w:szCs w:val="27"/>
        </w:rPr>
      </w:pPr>
      <w:bookmarkStart w:id="11" w:name="bookmark12"/>
      <w:bookmarkEnd w:id="11"/>
      <w:r>
        <w:rPr>
          <w:rFonts w:ascii="Times New Roman" w:hAnsi="Times New Roman" w:eastAsia="Times New Roman" w:cs="Times New Roman"/>
          <w:b/>
          <w:bCs/>
          <w:spacing w:val="8"/>
          <w:sz w:val="27"/>
          <w:szCs w:val="27"/>
        </w:rPr>
        <w:t xml:space="preserve">1.3 </w:t>
      </w:r>
      <w:r>
        <w:rPr>
          <w:spacing w:val="8"/>
          <w:sz w:val="27"/>
          <w:szCs w:val="27"/>
          <w14:textOutline w14:w="5072" w14:cap="flat" w14:cmpd="sng">
            <w14:solidFill>
              <w14:srgbClr w14:val="000000"/>
            </w14:solidFill>
            <w14:prstDash w14:val="solid"/>
            <w14:miter w14:val="0"/>
          </w14:textOutline>
        </w:rPr>
        <w:t>环境影响识别与评价因子确定</w:t>
      </w:r>
    </w:p>
    <w:p>
      <w:pPr>
        <w:spacing w:line="280"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1"/>
          <w:sz w:val="24"/>
          <w:szCs w:val="24"/>
        </w:rPr>
        <w:t xml:space="preserve">1.3.1 </w:t>
      </w:r>
      <w:r>
        <w:rPr>
          <w:spacing w:val="-1"/>
          <w:sz w:val="24"/>
          <w:szCs w:val="24"/>
          <w14:textOutline w14:w="4354" w14:cap="flat" w14:cmpd="sng">
            <w14:solidFill>
              <w14:srgbClr w14:val="000000"/>
            </w14:solidFill>
            <w14:prstDash w14:val="solid"/>
            <w14:miter w14:val="0"/>
          </w14:textOutline>
        </w:rPr>
        <w:t>环境影响识别</w:t>
      </w:r>
    </w:p>
    <w:p>
      <w:pPr>
        <w:spacing w:before="199" w:line="219" w:lineRule="auto"/>
        <w:ind w:left="519"/>
        <w:rPr>
          <w:rFonts w:ascii="宋体" w:hAnsi="宋体" w:eastAsia="宋体" w:cs="宋体"/>
          <w:sz w:val="24"/>
          <w:szCs w:val="24"/>
        </w:rPr>
      </w:pPr>
      <w:r>
        <w:rPr>
          <w:rFonts w:ascii="宋体" w:hAnsi="宋体" w:eastAsia="宋体" w:cs="宋体"/>
          <w:spacing w:val="-3"/>
          <w:sz w:val="24"/>
          <w:szCs w:val="24"/>
        </w:rPr>
        <w:t>环境影响识别采用矩阵法进行识别，详见表</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line="248" w:lineRule="auto"/>
        <w:rPr>
          <w:rFonts w:ascii="Arial"/>
          <w:sz w:val="21"/>
        </w:rPr>
      </w:pPr>
    </w:p>
    <w:p>
      <w:pPr>
        <w:pStyle w:val="2"/>
        <w:spacing w:before="69" w:line="219" w:lineRule="auto"/>
        <w:ind w:left="2685"/>
      </w:pPr>
      <w:r>
        <w:rPr>
          <w:spacing w:val="-1"/>
          <w14:textOutline w14:w="3810" w14:cap="flat" w14:cmpd="sng">
            <w14:solidFill>
              <w14:srgbClr w14:val="000000"/>
            </w14:solidFill>
            <w14:prstDash w14:val="solid"/>
            <w14:miter w14:val="0"/>
          </w14:textOutline>
        </w:rPr>
        <w:t>表</w:t>
      </w:r>
      <w:r>
        <w:rPr>
          <w:spacing w:val="-34"/>
        </w:rPr>
        <w:t xml:space="preserve"> </w:t>
      </w:r>
      <w:r>
        <w:rPr>
          <w:rFonts w:ascii="Times New Roman" w:hAnsi="Times New Roman" w:eastAsia="Times New Roman" w:cs="Times New Roman"/>
          <w:b/>
          <w:bCs/>
          <w:spacing w:val="-1"/>
        </w:rPr>
        <w:t xml:space="preserve">1.3-1    </w:t>
      </w:r>
      <w:r>
        <w:rPr>
          <w:spacing w:val="-1"/>
          <w14:textOutline w14:w="3810" w14:cap="flat" w14:cmpd="sng">
            <w14:solidFill>
              <w14:srgbClr w14:val="000000"/>
            </w14:solidFill>
            <w14:prstDash w14:val="solid"/>
            <w14:miter w14:val="0"/>
          </w14:textOutline>
        </w:rPr>
        <w:t>主要环境影响因子识别矩阵</w:t>
      </w:r>
    </w:p>
    <w:p>
      <w:pPr>
        <w:spacing w:line="20"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8"/>
        <w:gridCol w:w="2987"/>
        <w:gridCol w:w="1199"/>
        <w:gridCol w:w="1194"/>
        <w:gridCol w:w="11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restart"/>
            <w:tcBorders>
              <w:top w:val="single" w:color="000000" w:sz="12" w:space="0"/>
              <w:left w:val="nil"/>
              <w:bottom w:val="nil"/>
            </w:tcBorders>
            <w:vAlign w:val="top"/>
          </w:tcPr>
          <w:p>
            <w:pPr>
              <w:spacing w:before="212" w:line="218" w:lineRule="auto"/>
              <w:ind w:left="47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环境要素</w:t>
            </w:r>
          </w:p>
        </w:tc>
        <w:tc>
          <w:tcPr>
            <w:tcW w:w="2987" w:type="dxa"/>
            <w:vMerge w:val="restart"/>
            <w:tcBorders>
              <w:top w:val="single" w:color="000000" w:sz="12" w:space="0"/>
              <w:bottom w:val="nil"/>
            </w:tcBorders>
            <w:vAlign w:val="top"/>
          </w:tcPr>
          <w:p>
            <w:pPr>
              <w:spacing w:before="212" w:line="218" w:lineRule="auto"/>
              <w:ind w:left="87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主要环境因子</w:t>
            </w:r>
          </w:p>
        </w:tc>
        <w:tc>
          <w:tcPr>
            <w:tcW w:w="2393" w:type="dxa"/>
            <w:gridSpan w:val="2"/>
            <w:tcBorders>
              <w:top w:val="single" w:color="000000" w:sz="12" w:space="0"/>
            </w:tcBorders>
            <w:vAlign w:val="top"/>
          </w:tcPr>
          <w:p>
            <w:pPr>
              <w:spacing w:before="52" w:line="219" w:lineRule="auto"/>
              <w:ind w:left="79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工程活动</w:t>
            </w:r>
          </w:p>
        </w:tc>
        <w:tc>
          <w:tcPr>
            <w:tcW w:w="1193" w:type="dxa"/>
            <w:vMerge w:val="restart"/>
            <w:tcBorders>
              <w:top w:val="single" w:color="000000" w:sz="12" w:space="0"/>
              <w:bottom w:val="nil"/>
              <w:right w:val="nil"/>
            </w:tcBorders>
            <w:vAlign w:val="top"/>
          </w:tcPr>
          <w:p>
            <w:pPr>
              <w:spacing w:before="211" w:line="216" w:lineRule="auto"/>
              <w:ind w:left="306"/>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累积性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continue"/>
            <w:tcBorders>
              <w:top w:val="nil"/>
              <w:left w:val="nil"/>
            </w:tcBorders>
            <w:vAlign w:val="top"/>
          </w:tcPr>
          <w:p>
            <w:pPr>
              <w:rPr>
                <w:rFonts w:ascii="Arial"/>
                <w:sz w:val="21"/>
              </w:rPr>
            </w:pPr>
          </w:p>
        </w:tc>
        <w:tc>
          <w:tcPr>
            <w:tcW w:w="2987" w:type="dxa"/>
            <w:vMerge w:val="continue"/>
            <w:tcBorders>
              <w:top w:val="nil"/>
            </w:tcBorders>
            <w:vAlign w:val="top"/>
          </w:tcPr>
          <w:p>
            <w:pPr>
              <w:rPr>
                <w:rFonts w:ascii="Arial"/>
                <w:sz w:val="21"/>
              </w:rPr>
            </w:pPr>
          </w:p>
        </w:tc>
        <w:tc>
          <w:tcPr>
            <w:tcW w:w="1199" w:type="dxa"/>
            <w:vAlign w:val="top"/>
          </w:tcPr>
          <w:p>
            <w:pPr>
              <w:spacing w:before="53" w:line="219" w:lineRule="auto"/>
              <w:ind w:left="19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工程施工</w:t>
            </w:r>
          </w:p>
        </w:tc>
        <w:tc>
          <w:tcPr>
            <w:tcW w:w="1194" w:type="dxa"/>
            <w:vAlign w:val="top"/>
          </w:tcPr>
          <w:p>
            <w:pPr>
              <w:spacing w:before="53" w:line="217" w:lineRule="auto"/>
              <w:ind w:left="19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工程运行</w:t>
            </w:r>
          </w:p>
        </w:tc>
        <w:tc>
          <w:tcPr>
            <w:tcW w:w="1193"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48" w:type="dxa"/>
            <w:vMerge w:val="restart"/>
            <w:tcBorders>
              <w:left w:val="nil"/>
              <w:bottom w:val="nil"/>
            </w:tcBorders>
            <w:vAlign w:val="top"/>
          </w:tcPr>
          <w:p>
            <w:pPr>
              <w:spacing w:line="307" w:lineRule="auto"/>
              <w:rPr>
                <w:rFonts w:ascii="Arial"/>
                <w:sz w:val="21"/>
              </w:rPr>
            </w:pPr>
          </w:p>
          <w:p>
            <w:pPr>
              <w:spacing w:before="68" w:line="218" w:lineRule="auto"/>
              <w:ind w:left="368"/>
              <w:rPr>
                <w:rFonts w:ascii="仿宋" w:hAnsi="仿宋" w:eastAsia="仿宋" w:cs="仿宋"/>
                <w:sz w:val="21"/>
                <w:szCs w:val="21"/>
              </w:rPr>
            </w:pPr>
            <w:r>
              <w:rPr>
                <w:rFonts w:ascii="仿宋" w:hAnsi="仿宋" w:eastAsia="仿宋" w:cs="仿宋"/>
                <w:spacing w:val="-3"/>
                <w:sz w:val="21"/>
                <w:szCs w:val="21"/>
              </w:rPr>
              <w:t>地表水环境</w:t>
            </w:r>
          </w:p>
        </w:tc>
        <w:tc>
          <w:tcPr>
            <w:tcW w:w="2987" w:type="dxa"/>
            <w:vAlign w:val="top"/>
          </w:tcPr>
          <w:p>
            <w:pPr>
              <w:spacing w:before="56" w:line="218" w:lineRule="auto"/>
              <w:ind w:left="1086"/>
              <w:rPr>
                <w:rFonts w:ascii="仿宋" w:hAnsi="仿宋" w:eastAsia="仿宋" w:cs="仿宋"/>
                <w:sz w:val="21"/>
                <w:szCs w:val="21"/>
              </w:rPr>
            </w:pPr>
            <w:r>
              <w:rPr>
                <w:rFonts w:ascii="仿宋" w:hAnsi="仿宋" w:eastAsia="仿宋" w:cs="仿宋"/>
                <w:spacing w:val="-4"/>
                <w:sz w:val="21"/>
                <w:szCs w:val="21"/>
              </w:rPr>
              <w:t>水文情势</w:t>
            </w:r>
          </w:p>
        </w:tc>
        <w:tc>
          <w:tcPr>
            <w:tcW w:w="1199" w:type="dxa"/>
            <w:vAlign w:val="top"/>
          </w:tcPr>
          <w:p>
            <w:pPr>
              <w:pStyle w:val="6"/>
              <w:spacing w:before="97" w:line="188" w:lineRule="auto"/>
              <w:ind w:left="455"/>
            </w:pPr>
            <w:r>
              <w:t>-1L</w:t>
            </w:r>
          </w:p>
        </w:tc>
        <w:tc>
          <w:tcPr>
            <w:tcW w:w="1194" w:type="dxa"/>
            <w:vAlign w:val="top"/>
          </w:tcPr>
          <w:p>
            <w:pPr>
              <w:pStyle w:val="6"/>
              <w:spacing w:before="92" w:line="188" w:lineRule="auto"/>
              <w:ind w:left="450"/>
            </w:pPr>
            <w:r>
              <w:rPr>
                <w:spacing w:val="-4"/>
              </w:rPr>
              <w:t>-2L</w:t>
            </w:r>
          </w:p>
        </w:tc>
        <w:tc>
          <w:tcPr>
            <w:tcW w:w="1193" w:type="dxa"/>
            <w:tcBorders>
              <w:right w:val="nil"/>
            </w:tcBorders>
            <w:vAlign w:val="top"/>
          </w:tcPr>
          <w:p>
            <w:pPr>
              <w:pStyle w:val="6"/>
              <w:spacing w:before="100" w:line="235"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continue"/>
            <w:tcBorders>
              <w:top w:val="nil"/>
              <w:left w:val="nil"/>
              <w:bottom w:val="nil"/>
            </w:tcBorders>
            <w:vAlign w:val="top"/>
          </w:tcPr>
          <w:p>
            <w:pPr>
              <w:rPr>
                <w:rFonts w:ascii="Arial"/>
                <w:sz w:val="21"/>
              </w:rPr>
            </w:pPr>
          </w:p>
        </w:tc>
        <w:tc>
          <w:tcPr>
            <w:tcW w:w="2987" w:type="dxa"/>
            <w:vAlign w:val="top"/>
          </w:tcPr>
          <w:p>
            <w:pPr>
              <w:spacing w:before="57" w:line="218" w:lineRule="auto"/>
              <w:ind w:left="1293"/>
              <w:rPr>
                <w:rFonts w:ascii="仿宋" w:hAnsi="仿宋" w:eastAsia="仿宋" w:cs="仿宋"/>
                <w:sz w:val="21"/>
                <w:szCs w:val="21"/>
              </w:rPr>
            </w:pPr>
            <w:r>
              <w:rPr>
                <w:rFonts w:ascii="仿宋" w:hAnsi="仿宋" w:eastAsia="仿宋" w:cs="仿宋"/>
                <w:spacing w:val="-4"/>
                <w:sz w:val="21"/>
                <w:szCs w:val="21"/>
              </w:rPr>
              <w:t>水质</w:t>
            </w:r>
          </w:p>
        </w:tc>
        <w:tc>
          <w:tcPr>
            <w:tcW w:w="1199" w:type="dxa"/>
            <w:vAlign w:val="top"/>
          </w:tcPr>
          <w:p>
            <w:pPr>
              <w:pStyle w:val="6"/>
              <w:spacing w:before="92" w:line="188" w:lineRule="auto"/>
              <w:ind w:left="449"/>
            </w:pPr>
            <w:r>
              <w:rPr>
                <w:spacing w:val="-4"/>
              </w:rPr>
              <w:t>-2R</w:t>
            </w:r>
          </w:p>
        </w:tc>
        <w:tc>
          <w:tcPr>
            <w:tcW w:w="1194" w:type="dxa"/>
            <w:vAlign w:val="top"/>
          </w:tcPr>
          <w:p>
            <w:pPr>
              <w:pStyle w:val="6"/>
              <w:spacing w:before="97" w:line="188" w:lineRule="auto"/>
              <w:ind w:left="447"/>
            </w:pPr>
            <w:r>
              <w:t>-1R</w:t>
            </w:r>
          </w:p>
        </w:tc>
        <w:tc>
          <w:tcPr>
            <w:tcW w:w="1193" w:type="dxa"/>
            <w:tcBorders>
              <w:right w:val="nil"/>
            </w:tcBorders>
            <w:vAlign w:val="top"/>
          </w:tcPr>
          <w:p>
            <w:pPr>
              <w:pStyle w:val="6"/>
              <w:spacing w:before="100" w:line="235"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continue"/>
            <w:tcBorders>
              <w:top w:val="nil"/>
              <w:left w:val="nil"/>
            </w:tcBorders>
            <w:vAlign w:val="top"/>
          </w:tcPr>
          <w:p>
            <w:pPr>
              <w:rPr>
                <w:rFonts w:ascii="Arial"/>
                <w:sz w:val="21"/>
              </w:rPr>
            </w:pPr>
          </w:p>
        </w:tc>
        <w:tc>
          <w:tcPr>
            <w:tcW w:w="2987" w:type="dxa"/>
            <w:vAlign w:val="top"/>
          </w:tcPr>
          <w:p>
            <w:pPr>
              <w:spacing w:before="59" w:line="216" w:lineRule="auto"/>
              <w:ind w:left="1293"/>
              <w:rPr>
                <w:rFonts w:ascii="仿宋" w:hAnsi="仿宋" w:eastAsia="仿宋" w:cs="仿宋"/>
                <w:sz w:val="21"/>
                <w:szCs w:val="21"/>
              </w:rPr>
            </w:pPr>
            <w:r>
              <w:rPr>
                <w:rFonts w:ascii="仿宋" w:hAnsi="仿宋" w:eastAsia="仿宋" w:cs="仿宋"/>
                <w:spacing w:val="-4"/>
                <w:sz w:val="21"/>
                <w:szCs w:val="21"/>
              </w:rPr>
              <w:t>水温</w:t>
            </w:r>
          </w:p>
        </w:tc>
        <w:tc>
          <w:tcPr>
            <w:tcW w:w="1199" w:type="dxa"/>
            <w:vAlign w:val="top"/>
          </w:tcPr>
          <w:p>
            <w:pPr>
              <w:pStyle w:val="6"/>
              <w:spacing w:before="92" w:line="211" w:lineRule="auto"/>
              <w:ind w:left="567"/>
            </w:pPr>
            <w:r>
              <w:t>/</w:t>
            </w:r>
          </w:p>
        </w:tc>
        <w:tc>
          <w:tcPr>
            <w:tcW w:w="1194" w:type="dxa"/>
            <w:vAlign w:val="top"/>
          </w:tcPr>
          <w:p>
            <w:pPr>
              <w:pStyle w:val="6"/>
              <w:spacing w:before="99" w:line="188" w:lineRule="auto"/>
              <w:ind w:left="453"/>
            </w:pPr>
            <w:r>
              <w:rPr>
                <w:spacing w:val="-4"/>
              </w:rPr>
              <w:t>-2L</w:t>
            </w:r>
          </w:p>
        </w:tc>
        <w:tc>
          <w:tcPr>
            <w:tcW w:w="1193" w:type="dxa"/>
            <w:tcBorders>
              <w:right w:val="nil"/>
            </w:tcBorders>
            <w:vAlign w:val="top"/>
          </w:tcPr>
          <w:p>
            <w:pPr>
              <w:pStyle w:val="6"/>
              <w:spacing w:before="102" w:line="235"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48" w:type="dxa"/>
            <w:vMerge w:val="restart"/>
            <w:tcBorders>
              <w:left w:val="nil"/>
              <w:bottom w:val="nil"/>
            </w:tcBorders>
            <w:vAlign w:val="top"/>
          </w:tcPr>
          <w:p>
            <w:pPr>
              <w:spacing w:before="221" w:line="218" w:lineRule="auto"/>
              <w:ind w:left="368"/>
              <w:rPr>
                <w:rFonts w:ascii="仿宋" w:hAnsi="仿宋" w:eastAsia="仿宋" w:cs="仿宋"/>
                <w:sz w:val="21"/>
                <w:szCs w:val="21"/>
              </w:rPr>
            </w:pPr>
            <w:r>
              <w:rPr>
                <w:rFonts w:ascii="仿宋" w:hAnsi="仿宋" w:eastAsia="仿宋" w:cs="仿宋"/>
                <w:spacing w:val="-3"/>
                <w:sz w:val="21"/>
                <w:szCs w:val="21"/>
              </w:rPr>
              <w:t>地下水环境</w:t>
            </w:r>
          </w:p>
        </w:tc>
        <w:tc>
          <w:tcPr>
            <w:tcW w:w="2987" w:type="dxa"/>
            <w:vAlign w:val="top"/>
          </w:tcPr>
          <w:p>
            <w:pPr>
              <w:spacing w:before="61" w:line="215" w:lineRule="auto"/>
              <w:ind w:left="1293"/>
              <w:rPr>
                <w:rFonts w:ascii="仿宋" w:hAnsi="仿宋" w:eastAsia="仿宋" w:cs="仿宋"/>
                <w:sz w:val="21"/>
                <w:szCs w:val="21"/>
              </w:rPr>
            </w:pPr>
            <w:r>
              <w:rPr>
                <w:rFonts w:ascii="仿宋" w:hAnsi="仿宋" w:eastAsia="仿宋" w:cs="仿宋"/>
                <w:spacing w:val="-4"/>
                <w:sz w:val="21"/>
                <w:szCs w:val="21"/>
              </w:rPr>
              <w:t>水质</w:t>
            </w:r>
          </w:p>
        </w:tc>
        <w:tc>
          <w:tcPr>
            <w:tcW w:w="1199" w:type="dxa"/>
            <w:vAlign w:val="top"/>
          </w:tcPr>
          <w:p>
            <w:pPr>
              <w:pStyle w:val="6"/>
              <w:spacing w:before="102" w:line="188" w:lineRule="auto"/>
              <w:ind w:left="449"/>
            </w:pPr>
            <w:r>
              <w:t>-1R</w:t>
            </w:r>
          </w:p>
        </w:tc>
        <w:tc>
          <w:tcPr>
            <w:tcW w:w="1194" w:type="dxa"/>
            <w:vAlign w:val="top"/>
          </w:tcPr>
          <w:p>
            <w:pPr>
              <w:pStyle w:val="6"/>
              <w:spacing w:before="95" w:line="209" w:lineRule="auto"/>
              <w:ind w:left="567"/>
            </w:pPr>
            <w:r>
              <w:t>/</w:t>
            </w:r>
          </w:p>
        </w:tc>
        <w:tc>
          <w:tcPr>
            <w:tcW w:w="1193" w:type="dxa"/>
            <w:tcBorders>
              <w:right w:val="nil"/>
            </w:tcBorders>
            <w:vAlign w:val="top"/>
          </w:tcPr>
          <w:p>
            <w:pPr>
              <w:pStyle w:val="6"/>
              <w:spacing w:before="105" w:line="233"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continue"/>
            <w:tcBorders>
              <w:top w:val="nil"/>
              <w:left w:val="nil"/>
            </w:tcBorders>
            <w:vAlign w:val="top"/>
          </w:tcPr>
          <w:p>
            <w:pPr>
              <w:rPr>
                <w:rFonts w:ascii="Arial"/>
                <w:sz w:val="21"/>
              </w:rPr>
            </w:pPr>
          </w:p>
        </w:tc>
        <w:tc>
          <w:tcPr>
            <w:tcW w:w="2987" w:type="dxa"/>
            <w:vAlign w:val="top"/>
          </w:tcPr>
          <w:p>
            <w:pPr>
              <w:spacing w:before="62" w:line="213" w:lineRule="auto"/>
              <w:ind w:left="1293"/>
              <w:rPr>
                <w:rFonts w:ascii="仿宋" w:hAnsi="仿宋" w:eastAsia="仿宋" w:cs="仿宋"/>
                <w:sz w:val="21"/>
                <w:szCs w:val="21"/>
              </w:rPr>
            </w:pPr>
            <w:r>
              <w:rPr>
                <w:rFonts w:ascii="仿宋" w:hAnsi="仿宋" w:eastAsia="仿宋" w:cs="仿宋"/>
                <w:spacing w:val="-4"/>
                <w:sz w:val="21"/>
                <w:szCs w:val="21"/>
              </w:rPr>
              <w:t>水位</w:t>
            </w:r>
          </w:p>
        </w:tc>
        <w:tc>
          <w:tcPr>
            <w:tcW w:w="1199" w:type="dxa"/>
            <w:vAlign w:val="top"/>
          </w:tcPr>
          <w:p>
            <w:pPr>
              <w:pStyle w:val="6"/>
              <w:spacing w:before="102" w:line="188" w:lineRule="auto"/>
              <w:ind w:left="455"/>
            </w:pPr>
            <w:r>
              <w:rPr>
                <w:spacing w:val="-4"/>
              </w:rPr>
              <w:t>-1L</w:t>
            </w:r>
          </w:p>
        </w:tc>
        <w:tc>
          <w:tcPr>
            <w:tcW w:w="1194" w:type="dxa"/>
            <w:vAlign w:val="top"/>
          </w:tcPr>
          <w:p>
            <w:pPr>
              <w:pStyle w:val="6"/>
              <w:spacing w:before="102" w:line="188" w:lineRule="auto"/>
              <w:ind w:left="453"/>
            </w:pPr>
            <w:r>
              <w:rPr>
                <w:spacing w:val="-4"/>
              </w:rPr>
              <w:t>-1L</w:t>
            </w:r>
          </w:p>
        </w:tc>
        <w:tc>
          <w:tcPr>
            <w:tcW w:w="1193" w:type="dxa"/>
            <w:tcBorders>
              <w:right w:val="nil"/>
            </w:tcBorders>
            <w:vAlign w:val="top"/>
          </w:tcPr>
          <w:p>
            <w:pPr>
              <w:pStyle w:val="6"/>
              <w:spacing w:before="105" w:line="231"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tcBorders>
              <w:left w:val="nil"/>
            </w:tcBorders>
            <w:vAlign w:val="top"/>
          </w:tcPr>
          <w:p>
            <w:pPr>
              <w:spacing w:before="63" w:line="212" w:lineRule="auto"/>
              <w:ind w:left="474"/>
              <w:rPr>
                <w:rFonts w:ascii="仿宋" w:hAnsi="仿宋" w:eastAsia="仿宋" w:cs="仿宋"/>
                <w:sz w:val="21"/>
                <w:szCs w:val="21"/>
              </w:rPr>
            </w:pPr>
            <w:r>
              <w:rPr>
                <w:rFonts w:ascii="仿宋" w:hAnsi="仿宋" w:eastAsia="仿宋" w:cs="仿宋"/>
                <w:spacing w:val="-4"/>
                <w:sz w:val="21"/>
                <w:szCs w:val="21"/>
              </w:rPr>
              <w:t>环境空气</w:t>
            </w:r>
          </w:p>
        </w:tc>
        <w:tc>
          <w:tcPr>
            <w:tcW w:w="2987" w:type="dxa"/>
            <w:vAlign w:val="top"/>
          </w:tcPr>
          <w:p>
            <w:pPr>
              <w:pStyle w:val="6"/>
              <w:spacing w:before="59" w:line="216" w:lineRule="auto"/>
              <w:ind w:left="697"/>
              <w:rPr>
                <w:rFonts w:ascii="仿宋" w:hAnsi="仿宋" w:eastAsia="仿宋" w:cs="仿宋"/>
              </w:rPr>
            </w:pPr>
            <w:r>
              <w:rPr>
                <w:spacing w:val="-4"/>
              </w:rPr>
              <w:t>TSP</w:t>
            </w:r>
            <w:r>
              <w:rPr>
                <w:rFonts w:ascii="仿宋" w:hAnsi="仿宋" w:eastAsia="仿宋" w:cs="仿宋"/>
                <w:spacing w:val="-4"/>
              </w:rPr>
              <w:t>、</w:t>
            </w:r>
            <w:r>
              <w:rPr>
                <w:spacing w:val="-4"/>
              </w:rPr>
              <w:t>NO</w:t>
            </w:r>
            <w:r>
              <w:rPr>
                <w:spacing w:val="-4"/>
                <w:position w:val="-3"/>
                <w:sz w:val="14"/>
                <w:szCs w:val="14"/>
              </w:rPr>
              <w:t>2</w:t>
            </w:r>
            <w:r>
              <w:rPr>
                <w:spacing w:val="26"/>
                <w:position w:val="-3"/>
                <w:sz w:val="14"/>
                <w:szCs w:val="14"/>
              </w:rPr>
              <w:t xml:space="preserve"> </w:t>
            </w:r>
            <w:r>
              <w:rPr>
                <w:rFonts w:ascii="仿宋" w:hAnsi="仿宋" w:eastAsia="仿宋" w:cs="仿宋"/>
                <w:spacing w:val="-4"/>
              </w:rPr>
              <w:t>等废气</w:t>
            </w:r>
          </w:p>
        </w:tc>
        <w:tc>
          <w:tcPr>
            <w:tcW w:w="1199" w:type="dxa"/>
            <w:vAlign w:val="top"/>
          </w:tcPr>
          <w:p>
            <w:pPr>
              <w:pStyle w:val="6"/>
              <w:spacing w:before="99" w:line="188" w:lineRule="auto"/>
              <w:ind w:left="453"/>
            </w:pPr>
            <w:r>
              <w:t>-1L</w:t>
            </w:r>
          </w:p>
        </w:tc>
        <w:tc>
          <w:tcPr>
            <w:tcW w:w="1194" w:type="dxa"/>
            <w:vAlign w:val="top"/>
          </w:tcPr>
          <w:p>
            <w:pPr>
              <w:pStyle w:val="6"/>
              <w:spacing w:before="97" w:line="206" w:lineRule="auto"/>
              <w:ind w:left="566"/>
            </w:pPr>
            <w:r>
              <w:t>/</w:t>
            </w:r>
          </w:p>
        </w:tc>
        <w:tc>
          <w:tcPr>
            <w:tcW w:w="1193" w:type="dxa"/>
            <w:tcBorders>
              <w:right w:val="nil"/>
            </w:tcBorders>
            <w:vAlign w:val="top"/>
          </w:tcPr>
          <w:p>
            <w:pPr>
              <w:spacing w:before="93"/>
              <w:ind w:left="544"/>
              <w:rPr>
                <w:rFonts w:ascii="Cambria Math" w:hAnsi="Cambria Math" w:eastAsia="Cambria Math" w:cs="Cambria Math"/>
                <w:sz w:val="18"/>
                <w:szCs w:val="18"/>
              </w:rPr>
            </w:pPr>
            <w:r>
              <w:rPr>
                <w:rFonts w:ascii="Cambria Math" w:hAnsi="Cambria Math" w:eastAsia="Cambria Math" w:cs="Cambria Math"/>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48" w:type="dxa"/>
            <w:tcBorders>
              <w:left w:val="nil"/>
            </w:tcBorders>
            <w:vAlign w:val="top"/>
          </w:tcPr>
          <w:p>
            <w:pPr>
              <w:spacing w:before="67" w:line="210" w:lineRule="auto"/>
              <w:ind w:left="577"/>
              <w:rPr>
                <w:rFonts w:ascii="仿宋" w:hAnsi="仿宋" w:eastAsia="仿宋" w:cs="仿宋"/>
                <w:sz w:val="21"/>
                <w:szCs w:val="21"/>
              </w:rPr>
            </w:pPr>
            <w:r>
              <w:rPr>
                <w:rFonts w:ascii="仿宋" w:hAnsi="仿宋" w:eastAsia="仿宋" w:cs="仿宋"/>
                <w:spacing w:val="-3"/>
                <w:sz w:val="21"/>
                <w:szCs w:val="21"/>
              </w:rPr>
              <w:t>声环境</w:t>
            </w:r>
          </w:p>
        </w:tc>
        <w:tc>
          <w:tcPr>
            <w:tcW w:w="2987" w:type="dxa"/>
            <w:vAlign w:val="top"/>
          </w:tcPr>
          <w:p>
            <w:pPr>
              <w:spacing w:before="67" w:line="210" w:lineRule="auto"/>
              <w:ind w:left="773"/>
              <w:rPr>
                <w:rFonts w:ascii="仿宋" w:hAnsi="仿宋" w:eastAsia="仿宋" w:cs="仿宋"/>
                <w:sz w:val="21"/>
                <w:szCs w:val="21"/>
              </w:rPr>
            </w:pPr>
            <w:r>
              <w:rPr>
                <w:rFonts w:ascii="仿宋" w:hAnsi="仿宋" w:eastAsia="仿宋" w:cs="仿宋"/>
                <w:spacing w:val="-3"/>
                <w:sz w:val="21"/>
                <w:szCs w:val="21"/>
              </w:rPr>
              <w:t>施工或交通噪声</w:t>
            </w:r>
          </w:p>
        </w:tc>
        <w:tc>
          <w:tcPr>
            <w:tcW w:w="1199" w:type="dxa"/>
            <w:vAlign w:val="top"/>
          </w:tcPr>
          <w:p>
            <w:pPr>
              <w:pStyle w:val="6"/>
              <w:spacing w:before="102" w:line="188" w:lineRule="auto"/>
              <w:ind w:left="453"/>
            </w:pPr>
            <w:r>
              <w:t>-1L</w:t>
            </w:r>
          </w:p>
        </w:tc>
        <w:tc>
          <w:tcPr>
            <w:tcW w:w="1194" w:type="dxa"/>
            <w:vAlign w:val="top"/>
          </w:tcPr>
          <w:p>
            <w:pPr>
              <w:pStyle w:val="6"/>
              <w:spacing w:before="100" w:line="204" w:lineRule="auto"/>
              <w:ind w:left="566"/>
            </w:pPr>
            <w:r>
              <w:t>/</w:t>
            </w:r>
          </w:p>
        </w:tc>
        <w:tc>
          <w:tcPr>
            <w:tcW w:w="1193" w:type="dxa"/>
            <w:tcBorders>
              <w:right w:val="nil"/>
            </w:tcBorders>
            <w:vAlign w:val="top"/>
          </w:tcPr>
          <w:p>
            <w:pPr>
              <w:spacing w:before="96" w:line="238" w:lineRule="auto"/>
              <w:ind w:left="544"/>
              <w:rPr>
                <w:rFonts w:ascii="Cambria Math" w:hAnsi="Cambria Math" w:eastAsia="Cambria Math" w:cs="Cambria Math"/>
                <w:sz w:val="18"/>
                <w:szCs w:val="18"/>
              </w:rPr>
            </w:pPr>
            <w:r>
              <w:rPr>
                <w:rFonts w:ascii="Cambria Math" w:hAnsi="Cambria Math" w:eastAsia="Cambria Math" w:cs="Cambria Math"/>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restart"/>
            <w:tcBorders>
              <w:left w:val="nil"/>
              <w:bottom w:val="nil"/>
            </w:tcBorders>
            <w:vAlign w:val="top"/>
          </w:tcPr>
          <w:p>
            <w:pPr>
              <w:spacing w:before="226" w:line="217" w:lineRule="auto"/>
              <w:ind w:left="496"/>
              <w:rPr>
                <w:rFonts w:ascii="仿宋" w:hAnsi="仿宋" w:eastAsia="仿宋" w:cs="仿宋"/>
                <w:sz w:val="21"/>
                <w:szCs w:val="21"/>
              </w:rPr>
            </w:pPr>
            <w:r>
              <w:rPr>
                <w:rFonts w:ascii="仿宋" w:hAnsi="仿宋" w:eastAsia="仿宋" w:cs="仿宋"/>
                <w:spacing w:val="-10"/>
                <w:sz w:val="21"/>
                <w:szCs w:val="21"/>
              </w:rPr>
              <w:t>固体废物</w:t>
            </w:r>
          </w:p>
        </w:tc>
        <w:tc>
          <w:tcPr>
            <w:tcW w:w="2987" w:type="dxa"/>
            <w:vAlign w:val="top"/>
          </w:tcPr>
          <w:p>
            <w:pPr>
              <w:spacing w:before="67" w:line="209" w:lineRule="auto"/>
              <w:ind w:left="1099"/>
              <w:rPr>
                <w:rFonts w:ascii="仿宋" w:hAnsi="仿宋" w:eastAsia="仿宋" w:cs="仿宋"/>
                <w:sz w:val="21"/>
                <w:szCs w:val="21"/>
              </w:rPr>
            </w:pPr>
            <w:r>
              <w:rPr>
                <w:rFonts w:ascii="仿宋" w:hAnsi="仿宋" w:eastAsia="仿宋" w:cs="仿宋"/>
                <w:spacing w:val="-7"/>
                <w:sz w:val="21"/>
                <w:szCs w:val="21"/>
              </w:rPr>
              <w:t>生活垃圾</w:t>
            </w:r>
          </w:p>
        </w:tc>
        <w:tc>
          <w:tcPr>
            <w:tcW w:w="1199" w:type="dxa"/>
            <w:vAlign w:val="top"/>
          </w:tcPr>
          <w:p>
            <w:pPr>
              <w:pStyle w:val="6"/>
              <w:spacing w:before="102" w:line="188" w:lineRule="auto"/>
              <w:ind w:left="453"/>
            </w:pPr>
            <w:r>
              <w:t>-1L</w:t>
            </w:r>
          </w:p>
        </w:tc>
        <w:tc>
          <w:tcPr>
            <w:tcW w:w="1194" w:type="dxa"/>
            <w:vAlign w:val="top"/>
          </w:tcPr>
          <w:p>
            <w:pPr>
              <w:pStyle w:val="6"/>
              <w:spacing w:before="102" w:line="188" w:lineRule="auto"/>
              <w:ind w:left="450"/>
            </w:pPr>
            <w:r>
              <w:t>-1L</w:t>
            </w:r>
          </w:p>
        </w:tc>
        <w:tc>
          <w:tcPr>
            <w:tcW w:w="1193" w:type="dxa"/>
            <w:tcBorders>
              <w:right w:val="nil"/>
            </w:tcBorders>
            <w:vAlign w:val="top"/>
          </w:tcPr>
          <w:p>
            <w:pPr>
              <w:pStyle w:val="6"/>
              <w:spacing w:before="110" w:line="225"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continue"/>
            <w:tcBorders>
              <w:top w:val="nil"/>
              <w:left w:val="nil"/>
            </w:tcBorders>
            <w:vAlign w:val="top"/>
          </w:tcPr>
          <w:p>
            <w:pPr>
              <w:rPr>
                <w:rFonts w:ascii="Arial"/>
                <w:sz w:val="21"/>
              </w:rPr>
            </w:pPr>
          </w:p>
        </w:tc>
        <w:tc>
          <w:tcPr>
            <w:tcW w:w="2987" w:type="dxa"/>
            <w:vAlign w:val="top"/>
          </w:tcPr>
          <w:p>
            <w:pPr>
              <w:spacing w:before="69" w:line="207" w:lineRule="auto"/>
              <w:ind w:left="1091"/>
              <w:rPr>
                <w:rFonts w:ascii="仿宋" w:hAnsi="仿宋" w:eastAsia="仿宋" w:cs="仿宋"/>
                <w:sz w:val="21"/>
                <w:szCs w:val="21"/>
              </w:rPr>
            </w:pPr>
            <w:r>
              <w:rPr>
                <w:rFonts w:ascii="仿宋" w:hAnsi="仿宋" w:eastAsia="仿宋" w:cs="仿宋"/>
                <w:spacing w:val="-5"/>
                <w:sz w:val="21"/>
                <w:szCs w:val="21"/>
              </w:rPr>
              <w:t>工程弃渣</w:t>
            </w:r>
          </w:p>
        </w:tc>
        <w:tc>
          <w:tcPr>
            <w:tcW w:w="1199" w:type="dxa"/>
            <w:vAlign w:val="top"/>
          </w:tcPr>
          <w:p>
            <w:pPr>
              <w:pStyle w:val="6"/>
              <w:spacing w:before="104" w:line="188" w:lineRule="auto"/>
              <w:ind w:left="453"/>
            </w:pPr>
            <w:r>
              <w:rPr>
                <w:spacing w:val="-4"/>
              </w:rPr>
              <w:t>-2L</w:t>
            </w:r>
          </w:p>
        </w:tc>
        <w:tc>
          <w:tcPr>
            <w:tcW w:w="1194" w:type="dxa"/>
            <w:vAlign w:val="top"/>
          </w:tcPr>
          <w:p>
            <w:pPr>
              <w:pStyle w:val="6"/>
              <w:spacing w:before="102" w:line="201" w:lineRule="auto"/>
              <w:ind w:left="566"/>
            </w:pPr>
            <w:r>
              <w:t>/</w:t>
            </w:r>
          </w:p>
        </w:tc>
        <w:tc>
          <w:tcPr>
            <w:tcW w:w="1193" w:type="dxa"/>
            <w:tcBorders>
              <w:right w:val="nil"/>
            </w:tcBorders>
            <w:vAlign w:val="top"/>
          </w:tcPr>
          <w:p>
            <w:pPr>
              <w:spacing w:before="98" w:line="235" w:lineRule="auto"/>
              <w:ind w:left="544"/>
              <w:rPr>
                <w:rFonts w:ascii="Cambria Math" w:hAnsi="Cambria Math" w:eastAsia="Cambria Math" w:cs="Cambria Math"/>
                <w:sz w:val="18"/>
                <w:szCs w:val="18"/>
              </w:rPr>
            </w:pPr>
            <w:r>
              <w:rPr>
                <w:rFonts w:ascii="Cambria Math" w:hAnsi="Cambria Math" w:eastAsia="Cambria Math" w:cs="Cambria Math"/>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48" w:type="dxa"/>
            <w:vMerge w:val="restart"/>
            <w:tcBorders>
              <w:left w:val="nil"/>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8" w:line="218" w:lineRule="auto"/>
              <w:ind w:left="487"/>
              <w:rPr>
                <w:rFonts w:ascii="仿宋" w:hAnsi="仿宋" w:eastAsia="仿宋" w:cs="仿宋"/>
                <w:sz w:val="21"/>
                <w:szCs w:val="21"/>
              </w:rPr>
            </w:pPr>
            <w:r>
              <w:rPr>
                <w:rFonts w:ascii="仿宋" w:hAnsi="仿宋" w:eastAsia="仿宋" w:cs="仿宋"/>
                <w:spacing w:val="-7"/>
                <w:sz w:val="21"/>
                <w:szCs w:val="21"/>
              </w:rPr>
              <w:t>生态环境</w:t>
            </w:r>
          </w:p>
        </w:tc>
        <w:tc>
          <w:tcPr>
            <w:tcW w:w="2987" w:type="dxa"/>
            <w:vAlign w:val="top"/>
          </w:tcPr>
          <w:p>
            <w:pPr>
              <w:spacing w:before="71" w:line="206" w:lineRule="auto"/>
              <w:ind w:left="773"/>
              <w:rPr>
                <w:rFonts w:ascii="仿宋" w:hAnsi="仿宋" w:eastAsia="仿宋" w:cs="仿宋"/>
                <w:sz w:val="21"/>
                <w:szCs w:val="21"/>
              </w:rPr>
            </w:pPr>
            <w:r>
              <w:rPr>
                <w:rFonts w:ascii="仿宋" w:hAnsi="仿宋" w:eastAsia="仿宋" w:cs="仿宋"/>
                <w:spacing w:val="-3"/>
                <w:sz w:val="21"/>
                <w:szCs w:val="21"/>
              </w:rPr>
              <w:t>植被与陆生植物</w:t>
            </w:r>
          </w:p>
        </w:tc>
        <w:tc>
          <w:tcPr>
            <w:tcW w:w="1199" w:type="dxa"/>
            <w:vAlign w:val="top"/>
          </w:tcPr>
          <w:p>
            <w:pPr>
              <w:pStyle w:val="6"/>
              <w:spacing w:before="107" w:line="188" w:lineRule="auto"/>
              <w:ind w:left="453"/>
            </w:pPr>
            <w:r>
              <w:rPr>
                <w:spacing w:val="-4"/>
              </w:rPr>
              <w:t>-2L</w:t>
            </w:r>
          </w:p>
        </w:tc>
        <w:tc>
          <w:tcPr>
            <w:tcW w:w="1194" w:type="dxa"/>
            <w:vAlign w:val="top"/>
          </w:tcPr>
          <w:p>
            <w:pPr>
              <w:pStyle w:val="6"/>
              <w:spacing w:before="105" w:line="199" w:lineRule="auto"/>
              <w:ind w:left="566"/>
            </w:pPr>
            <w:r>
              <w:t>/</w:t>
            </w:r>
          </w:p>
        </w:tc>
        <w:tc>
          <w:tcPr>
            <w:tcW w:w="1193" w:type="dxa"/>
            <w:tcBorders>
              <w:right w:val="nil"/>
            </w:tcBorders>
            <w:vAlign w:val="top"/>
          </w:tcPr>
          <w:p>
            <w:pPr>
              <w:pStyle w:val="6"/>
              <w:spacing w:before="115" w:line="221"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continue"/>
            <w:tcBorders>
              <w:top w:val="nil"/>
              <w:left w:val="nil"/>
              <w:bottom w:val="nil"/>
            </w:tcBorders>
            <w:vAlign w:val="top"/>
          </w:tcPr>
          <w:p>
            <w:pPr>
              <w:rPr>
                <w:rFonts w:ascii="Arial"/>
                <w:sz w:val="21"/>
              </w:rPr>
            </w:pPr>
          </w:p>
        </w:tc>
        <w:tc>
          <w:tcPr>
            <w:tcW w:w="2987" w:type="dxa"/>
            <w:vAlign w:val="top"/>
          </w:tcPr>
          <w:p>
            <w:pPr>
              <w:spacing w:before="72" w:line="204" w:lineRule="auto"/>
              <w:ind w:left="1102"/>
              <w:rPr>
                <w:rFonts w:ascii="仿宋" w:hAnsi="仿宋" w:eastAsia="仿宋" w:cs="仿宋"/>
                <w:sz w:val="21"/>
                <w:szCs w:val="21"/>
              </w:rPr>
            </w:pPr>
            <w:r>
              <w:rPr>
                <w:rFonts w:ascii="仿宋" w:hAnsi="仿宋" w:eastAsia="仿宋" w:cs="仿宋"/>
                <w:spacing w:val="-8"/>
                <w:sz w:val="21"/>
                <w:szCs w:val="21"/>
              </w:rPr>
              <w:t>陆生动物</w:t>
            </w:r>
          </w:p>
        </w:tc>
        <w:tc>
          <w:tcPr>
            <w:tcW w:w="1199" w:type="dxa"/>
            <w:vAlign w:val="top"/>
          </w:tcPr>
          <w:p>
            <w:pPr>
              <w:pStyle w:val="6"/>
              <w:spacing w:before="107" w:line="188" w:lineRule="auto"/>
              <w:ind w:left="453"/>
            </w:pPr>
            <w:r>
              <w:t>-1L</w:t>
            </w:r>
          </w:p>
        </w:tc>
        <w:tc>
          <w:tcPr>
            <w:tcW w:w="1194" w:type="dxa"/>
            <w:vAlign w:val="top"/>
          </w:tcPr>
          <w:p>
            <w:pPr>
              <w:pStyle w:val="6"/>
              <w:spacing w:before="107" w:line="188" w:lineRule="auto"/>
              <w:ind w:left="450"/>
            </w:pPr>
            <w:r>
              <w:rPr>
                <w:spacing w:val="-4"/>
              </w:rPr>
              <w:t>-1L</w:t>
            </w:r>
          </w:p>
        </w:tc>
        <w:tc>
          <w:tcPr>
            <w:tcW w:w="1193" w:type="dxa"/>
            <w:tcBorders>
              <w:right w:val="nil"/>
            </w:tcBorders>
            <w:vAlign w:val="top"/>
          </w:tcPr>
          <w:p>
            <w:pPr>
              <w:pStyle w:val="6"/>
              <w:spacing w:before="116" w:line="219"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continue"/>
            <w:tcBorders>
              <w:top w:val="nil"/>
              <w:left w:val="nil"/>
              <w:bottom w:val="nil"/>
            </w:tcBorders>
            <w:vAlign w:val="top"/>
          </w:tcPr>
          <w:p>
            <w:pPr>
              <w:rPr>
                <w:rFonts w:ascii="Arial"/>
                <w:sz w:val="21"/>
              </w:rPr>
            </w:pPr>
          </w:p>
        </w:tc>
        <w:tc>
          <w:tcPr>
            <w:tcW w:w="2987" w:type="dxa"/>
            <w:vAlign w:val="top"/>
          </w:tcPr>
          <w:p>
            <w:pPr>
              <w:spacing w:before="74" w:line="203" w:lineRule="auto"/>
              <w:ind w:left="1086"/>
              <w:rPr>
                <w:rFonts w:ascii="仿宋" w:hAnsi="仿宋" w:eastAsia="仿宋" w:cs="仿宋"/>
                <w:sz w:val="21"/>
                <w:szCs w:val="21"/>
              </w:rPr>
            </w:pPr>
            <w:r>
              <w:rPr>
                <w:rFonts w:ascii="仿宋" w:hAnsi="仿宋" w:eastAsia="仿宋" w:cs="仿宋"/>
                <w:spacing w:val="-4"/>
                <w:sz w:val="21"/>
                <w:szCs w:val="21"/>
              </w:rPr>
              <w:t>水生生物</w:t>
            </w:r>
          </w:p>
        </w:tc>
        <w:tc>
          <w:tcPr>
            <w:tcW w:w="1199" w:type="dxa"/>
            <w:vAlign w:val="top"/>
          </w:tcPr>
          <w:p>
            <w:pPr>
              <w:pStyle w:val="6"/>
              <w:spacing w:before="109" w:line="188" w:lineRule="auto"/>
              <w:ind w:left="453"/>
            </w:pPr>
            <w:r>
              <w:t>-1L</w:t>
            </w:r>
          </w:p>
        </w:tc>
        <w:tc>
          <w:tcPr>
            <w:tcW w:w="1194" w:type="dxa"/>
            <w:vAlign w:val="top"/>
          </w:tcPr>
          <w:p>
            <w:pPr>
              <w:pStyle w:val="6"/>
              <w:spacing w:before="109" w:line="188" w:lineRule="auto"/>
              <w:ind w:left="450"/>
            </w:pPr>
            <w:r>
              <w:rPr>
                <w:spacing w:val="-4"/>
              </w:rPr>
              <w:t>-2L</w:t>
            </w:r>
          </w:p>
        </w:tc>
        <w:tc>
          <w:tcPr>
            <w:tcW w:w="1193" w:type="dxa"/>
            <w:tcBorders>
              <w:right w:val="nil"/>
            </w:tcBorders>
            <w:vAlign w:val="top"/>
          </w:tcPr>
          <w:p>
            <w:pPr>
              <w:pStyle w:val="6"/>
              <w:spacing w:before="117" w:line="217"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48" w:type="dxa"/>
            <w:vMerge w:val="continue"/>
            <w:tcBorders>
              <w:top w:val="nil"/>
              <w:left w:val="nil"/>
              <w:bottom w:val="nil"/>
            </w:tcBorders>
            <w:vAlign w:val="top"/>
          </w:tcPr>
          <w:p>
            <w:pPr>
              <w:rPr>
                <w:rFonts w:ascii="Arial"/>
                <w:sz w:val="21"/>
              </w:rPr>
            </w:pPr>
          </w:p>
        </w:tc>
        <w:tc>
          <w:tcPr>
            <w:tcW w:w="2987" w:type="dxa"/>
            <w:vAlign w:val="top"/>
          </w:tcPr>
          <w:p>
            <w:pPr>
              <w:spacing w:before="77" w:line="201" w:lineRule="auto"/>
              <w:ind w:left="1086"/>
              <w:rPr>
                <w:rFonts w:ascii="仿宋" w:hAnsi="仿宋" w:eastAsia="仿宋" w:cs="仿宋"/>
                <w:sz w:val="21"/>
                <w:szCs w:val="21"/>
              </w:rPr>
            </w:pPr>
            <w:r>
              <w:rPr>
                <w:rFonts w:ascii="仿宋" w:hAnsi="仿宋" w:eastAsia="仿宋" w:cs="仿宋"/>
                <w:spacing w:val="-4"/>
                <w:sz w:val="21"/>
                <w:szCs w:val="21"/>
              </w:rPr>
              <w:t>水土流失</w:t>
            </w:r>
          </w:p>
        </w:tc>
        <w:tc>
          <w:tcPr>
            <w:tcW w:w="1199" w:type="dxa"/>
            <w:vAlign w:val="top"/>
          </w:tcPr>
          <w:p>
            <w:pPr>
              <w:pStyle w:val="6"/>
              <w:spacing w:before="112" w:line="188" w:lineRule="auto"/>
              <w:ind w:left="453"/>
            </w:pPr>
            <w:r>
              <w:rPr>
                <w:spacing w:val="-4"/>
              </w:rPr>
              <w:t>-3L</w:t>
            </w:r>
          </w:p>
        </w:tc>
        <w:tc>
          <w:tcPr>
            <w:tcW w:w="1194" w:type="dxa"/>
            <w:vAlign w:val="top"/>
          </w:tcPr>
          <w:p>
            <w:pPr>
              <w:pStyle w:val="6"/>
              <w:spacing w:before="112" w:line="188" w:lineRule="auto"/>
              <w:ind w:left="450"/>
            </w:pPr>
            <w:r>
              <w:rPr>
                <w:spacing w:val="-4"/>
              </w:rPr>
              <w:t>-2L</w:t>
            </w:r>
          </w:p>
        </w:tc>
        <w:tc>
          <w:tcPr>
            <w:tcW w:w="1193" w:type="dxa"/>
            <w:tcBorders>
              <w:right w:val="nil"/>
            </w:tcBorders>
            <w:vAlign w:val="top"/>
          </w:tcPr>
          <w:p>
            <w:pPr>
              <w:pStyle w:val="6"/>
              <w:spacing w:before="120" w:line="215"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continue"/>
            <w:tcBorders>
              <w:top w:val="nil"/>
              <w:left w:val="nil"/>
              <w:bottom w:val="nil"/>
            </w:tcBorders>
            <w:vAlign w:val="top"/>
          </w:tcPr>
          <w:p>
            <w:pPr>
              <w:rPr>
                <w:rFonts w:ascii="Arial"/>
                <w:sz w:val="21"/>
              </w:rPr>
            </w:pPr>
          </w:p>
        </w:tc>
        <w:tc>
          <w:tcPr>
            <w:tcW w:w="2987" w:type="dxa"/>
            <w:vAlign w:val="top"/>
          </w:tcPr>
          <w:p>
            <w:pPr>
              <w:spacing w:before="77" w:line="200" w:lineRule="auto"/>
              <w:ind w:left="993"/>
              <w:rPr>
                <w:rFonts w:ascii="仿宋" w:hAnsi="仿宋" w:eastAsia="仿宋" w:cs="仿宋"/>
                <w:sz w:val="21"/>
                <w:szCs w:val="21"/>
              </w:rPr>
            </w:pPr>
            <w:r>
              <w:rPr>
                <w:rFonts w:ascii="仿宋" w:hAnsi="仿宋" w:eastAsia="仿宋" w:cs="仿宋"/>
                <w:spacing w:val="-6"/>
                <w:sz w:val="21"/>
                <w:szCs w:val="21"/>
              </w:rPr>
              <w:t>生物多样性</w:t>
            </w:r>
          </w:p>
        </w:tc>
        <w:tc>
          <w:tcPr>
            <w:tcW w:w="1199" w:type="dxa"/>
            <w:vAlign w:val="top"/>
          </w:tcPr>
          <w:p>
            <w:pPr>
              <w:pStyle w:val="6"/>
              <w:spacing w:before="112" w:line="188" w:lineRule="auto"/>
              <w:ind w:left="453"/>
            </w:pPr>
            <w:r>
              <w:t>-1L</w:t>
            </w:r>
          </w:p>
        </w:tc>
        <w:tc>
          <w:tcPr>
            <w:tcW w:w="1194" w:type="dxa"/>
            <w:vAlign w:val="top"/>
          </w:tcPr>
          <w:p>
            <w:pPr>
              <w:pStyle w:val="6"/>
              <w:spacing w:before="112" w:line="188" w:lineRule="auto"/>
              <w:ind w:left="450"/>
            </w:pPr>
            <w:r>
              <w:rPr>
                <w:spacing w:val="-4"/>
              </w:rPr>
              <w:t>-2L</w:t>
            </w:r>
          </w:p>
        </w:tc>
        <w:tc>
          <w:tcPr>
            <w:tcW w:w="1193" w:type="dxa"/>
            <w:tcBorders>
              <w:right w:val="nil"/>
            </w:tcBorders>
            <w:vAlign w:val="top"/>
          </w:tcPr>
          <w:p>
            <w:pPr>
              <w:pStyle w:val="6"/>
              <w:spacing w:before="121" w:line="213"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48" w:type="dxa"/>
            <w:vMerge w:val="continue"/>
            <w:tcBorders>
              <w:top w:val="nil"/>
              <w:left w:val="nil"/>
            </w:tcBorders>
            <w:vAlign w:val="top"/>
          </w:tcPr>
          <w:p>
            <w:pPr>
              <w:rPr>
                <w:rFonts w:ascii="Arial"/>
                <w:sz w:val="21"/>
              </w:rPr>
            </w:pPr>
          </w:p>
        </w:tc>
        <w:tc>
          <w:tcPr>
            <w:tcW w:w="2987" w:type="dxa"/>
            <w:vAlign w:val="top"/>
          </w:tcPr>
          <w:p>
            <w:pPr>
              <w:spacing w:before="78" w:line="199" w:lineRule="auto"/>
              <w:ind w:left="993"/>
              <w:rPr>
                <w:rFonts w:ascii="仿宋" w:hAnsi="仿宋" w:eastAsia="仿宋" w:cs="仿宋"/>
                <w:sz w:val="21"/>
                <w:szCs w:val="21"/>
              </w:rPr>
            </w:pPr>
            <w:r>
              <w:rPr>
                <w:rFonts w:ascii="仿宋" w:hAnsi="仿宋" w:eastAsia="仿宋" w:cs="仿宋"/>
                <w:spacing w:val="-6"/>
                <w:sz w:val="21"/>
                <w:szCs w:val="21"/>
              </w:rPr>
              <w:t>生态完整性</w:t>
            </w:r>
          </w:p>
        </w:tc>
        <w:tc>
          <w:tcPr>
            <w:tcW w:w="1199" w:type="dxa"/>
            <w:vAlign w:val="top"/>
          </w:tcPr>
          <w:p>
            <w:pPr>
              <w:pStyle w:val="6"/>
              <w:spacing w:before="114" w:line="188" w:lineRule="auto"/>
              <w:ind w:left="453"/>
            </w:pPr>
            <w:r>
              <w:t>-1L</w:t>
            </w:r>
          </w:p>
        </w:tc>
        <w:tc>
          <w:tcPr>
            <w:tcW w:w="1194" w:type="dxa"/>
            <w:vAlign w:val="top"/>
          </w:tcPr>
          <w:p>
            <w:pPr>
              <w:pStyle w:val="6"/>
              <w:spacing w:before="114" w:line="188" w:lineRule="auto"/>
              <w:ind w:left="450"/>
            </w:pPr>
            <w:r>
              <w:rPr>
                <w:spacing w:val="-4"/>
              </w:rPr>
              <w:t>-2L</w:t>
            </w:r>
          </w:p>
        </w:tc>
        <w:tc>
          <w:tcPr>
            <w:tcW w:w="1193" w:type="dxa"/>
            <w:tcBorders>
              <w:right w:val="nil"/>
            </w:tcBorders>
            <w:vAlign w:val="top"/>
          </w:tcPr>
          <w:p>
            <w:pPr>
              <w:pStyle w:val="6"/>
              <w:spacing w:before="123" w:line="211" w:lineRule="auto"/>
              <w:ind w:left="534"/>
              <w:rPr>
                <w:sz w:val="18"/>
                <w:szCs w:val="18"/>
              </w:rPr>
            </w:pPr>
            <w:r>
              <w:rPr>
                <w:sz w:val="18"/>
                <w:szCs w:val="1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trPr>
        <w:tc>
          <w:tcPr>
            <w:tcW w:w="1748" w:type="dxa"/>
            <w:tcBorders>
              <w:left w:val="nil"/>
              <w:bottom w:val="single" w:color="000000" w:sz="12" w:space="0"/>
            </w:tcBorders>
            <w:vAlign w:val="top"/>
          </w:tcPr>
          <w:p>
            <w:pPr>
              <w:spacing w:before="81" w:line="218" w:lineRule="auto"/>
              <w:ind w:left="474"/>
              <w:rPr>
                <w:rFonts w:ascii="仿宋" w:hAnsi="仿宋" w:eastAsia="仿宋" w:cs="仿宋"/>
                <w:sz w:val="21"/>
                <w:szCs w:val="21"/>
              </w:rPr>
            </w:pPr>
            <w:r>
              <w:rPr>
                <w:rFonts w:ascii="仿宋" w:hAnsi="仿宋" w:eastAsia="仿宋" w:cs="仿宋"/>
                <w:spacing w:val="-4"/>
                <w:sz w:val="21"/>
                <w:szCs w:val="21"/>
              </w:rPr>
              <w:t>土壤环境</w:t>
            </w:r>
          </w:p>
        </w:tc>
        <w:tc>
          <w:tcPr>
            <w:tcW w:w="2987" w:type="dxa"/>
            <w:tcBorders>
              <w:bottom w:val="single" w:color="000000" w:sz="12" w:space="0"/>
            </w:tcBorders>
            <w:vAlign w:val="top"/>
          </w:tcPr>
          <w:p>
            <w:pPr>
              <w:spacing w:before="82" w:line="218" w:lineRule="auto"/>
              <w:ind w:left="1087"/>
              <w:rPr>
                <w:rFonts w:ascii="仿宋" w:hAnsi="仿宋" w:eastAsia="仿宋" w:cs="仿宋"/>
                <w:sz w:val="21"/>
                <w:szCs w:val="21"/>
              </w:rPr>
            </w:pPr>
            <w:r>
              <w:rPr>
                <w:rFonts w:ascii="仿宋" w:hAnsi="仿宋" w:eastAsia="仿宋" w:cs="仿宋"/>
                <w:spacing w:val="-4"/>
                <w:sz w:val="21"/>
                <w:szCs w:val="21"/>
              </w:rPr>
              <w:t>土壤盐化</w:t>
            </w:r>
          </w:p>
        </w:tc>
        <w:tc>
          <w:tcPr>
            <w:tcW w:w="1199" w:type="dxa"/>
            <w:tcBorders>
              <w:bottom w:val="single" w:color="000000" w:sz="12" w:space="0"/>
            </w:tcBorders>
            <w:vAlign w:val="top"/>
          </w:tcPr>
          <w:p>
            <w:pPr>
              <w:pStyle w:val="6"/>
              <w:spacing w:before="115" w:line="214" w:lineRule="auto"/>
              <w:ind w:left="567"/>
            </w:pPr>
            <w:r>
              <w:t>/</w:t>
            </w:r>
          </w:p>
        </w:tc>
        <w:tc>
          <w:tcPr>
            <w:tcW w:w="1194" w:type="dxa"/>
            <w:tcBorders>
              <w:bottom w:val="single" w:color="000000" w:sz="12" w:space="0"/>
            </w:tcBorders>
            <w:vAlign w:val="top"/>
          </w:tcPr>
          <w:p>
            <w:pPr>
              <w:pStyle w:val="6"/>
              <w:spacing w:before="117" w:line="188" w:lineRule="auto"/>
              <w:ind w:left="456"/>
            </w:pPr>
            <w:r>
              <w:rPr>
                <w:spacing w:val="-1"/>
              </w:rPr>
              <w:t>-1L</w:t>
            </w:r>
          </w:p>
        </w:tc>
        <w:tc>
          <w:tcPr>
            <w:tcW w:w="1193" w:type="dxa"/>
            <w:tcBorders>
              <w:bottom w:val="single" w:color="000000" w:sz="12" w:space="0"/>
              <w:right w:val="nil"/>
            </w:tcBorders>
            <w:vAlign w:val="top"/>
          </w:tcPr>
          <w:p>
            <w:pPr>
              <w:pStyle w:val="6"/>
              <w:spacing w:before="125" w:line="235" w:lineRule="auto"/>
              <w:ind w:left="534"/>
              <w:rPr>
                <w:sz w:val="18"/>
                <w:szCs w:val="18"/>
              </w:rPr>
            </w:pPr>
            <w:r>
              <w:rPr>
                <w:sz w:val="18"/>
                <w:szCs w:val="18"/>
              </w:rPr>
              <w:t>▲</w:t>
            </w:r>
          </w:p>
        </w:tc>
      </w:tr>
    </w:tbl>
    <w:p>
      <w:pPr>
        <w:spacing w:before="197" w:line="440" w:lineRule="exact"/>
        <w:ind w:left="37"/>
        <w:rPr>
          <w:rFonts w:ascii="宋体" w:hAnsi="宋体" w:eastAsia="宋体" w:cs="宋体"/>
          <w:sz w:val="18"/>
          <w:szCs w:val="18"/>
        </w:rPr>
      </w:pPr>
      <w:r>
        <w:rPr>
          <w:rFonts w:ascii="宋体" w:hAnsi="宋体" w:eastAsia="宋体" w:cs="宋体"/>
          <w:spacing w:val="-10"/>
          <w:position w:val="19"/>
          <w:sz w:val="18"/>
          <w:szCs w:val="18"/>
          <w14:textOutline w14:w="3265" w14:cap="flat" w14:cmpd="sng">
            <w14:solidFill>
              <w14:srgbClr w14:val="000000"/>
            </w14:solidFill>
            <w14:prstDash w14:val="solid"/>
            <w14:miter w14:val="0"/>
          </w14:textOutline>
        </w:rPr>
        <w:t>注：表中</w:t>
      </w:r>
      <w:r>
        <w:rPr>
          <w:rFonts w:ascii="宋体" w:hAnsi="宋体" w:eastAsia="宋体" w:cs="宋体"/>
          <w:spacing w:val="-10"/>
          <w:position w:val="19"/>
          <w:sz w:val="18"/>
          <w:szCs w:val="18"/>
        </w:rPr>
        <w:t xml:space="preserve"> </w:t>
      </w:r>
      <w:r>
        <w:rPr>
          <w:rFonts w:ascii="Times New Roman" w:hAnsi="Times New Roman" w:eastAsia="Times New Roman" w:cs="Times New Roman"/>
          <w:b/>
          <w:bCs/>
          <w:spacing w:val="-10"/>
          <w:position w:val="19"/>
          <w:sz w:val="18"/>
          <w:szCs w:val="18"/>
        </w:rPr>
        <w:t>1</w:t>
      </w:r>
      <w:r>
        <w:rPr>
          <w:rFonts w:ascii="宋体" w:hAnsi="宋体" w:eastAsia="宋体" w:cs="宋体"/>
          <w:spacing w:val="-10"/>
          <w:position w:val="19"/>
          <w:sz w:val="18"/>
          <w:szCs w:val="18"/>
          <w14:textOutline w14:w="3265" w14:cap="flat" w14:cmpd="sng">
            <w14:solidFill>
              <w14:srgbClr w14:val="000000"/>
            </w14:solidFill>
            <w14:prstDash w14:val="solid"/>
            <w14:miter w14:val="0"/>
          </w14:textOutline>
        </w:rPr>
        <w:t>、</w:t>
      </w:r>
      <w:r>
        <w:rPr>
          <w:rFonts w:ascii="Times New Roman" w:hAnsi="Times New Roman" w:eastAsia="Times New Roman" w:cs="Times New Roman"/>
          <w:b/>
          <w:bCs/>
          <w:spacing w:val="-10"/>
          <w:position w:val="19"/>
          <w:sz w:val="18"/>
          <w:szCs w:val="18"/>
        </w:rPr>
        <w:t>2</w:t>
      </w:r>
      <w:r>
        <w:rPr>
          <w:rFonts w:ascii="宋体" w:hAnsi="宋体" w:eastAsia="宋体" w:cs="宋体"/>
          <w:spacing w:val="-10"/>
          <w:position w:val="19"/>
          <w:sz w:val="18"/>
          <w:szCs w:val="18"/>
          <w14:textOutline w14:w="3265" w14:cap="flat" w14:cmpd="sng">
            <w14:solidFill>
              <w14:srgbClr w14:val="000000"/>
            </w14:solidFill>
            <w14:prstDash w14:val="solid"/>
            <w14:miter w14:val="0"/>
          </w14:textOutline>
        </w:rPr>
        <w:t>、</w:t>
      </w:r>
      <w:r>
        <w:rPr>
          <w:rFonts w:ascii="Times New Roman" w:hAnsi="Times New Roman" w:eastAsia="Times New Roman" w:cs="Times New Roman"/>
          <w:b/>
          <w:bCs/>
          <w:spacing w:val="-10"/>
          <w:position w:val="19"/>
          <w:sz w:val="18"/>
          <w:szCs w:val="18"/>
        </w:rPr>
        <w:t xml:space="preserve">3  </w:t>
      </w:r>
      <w:r>
        <w:rPr>
          <w:rFonts w:ascii="宋体" w:hAnsi="宋体" w:eastAsia="宋体" w:cs="宋体"/>
          <w:spacing w:val="-10"/>
          <w:position w:val="19"/>
          <w:sz w:val="18"/>
          <w:szCs w:val="18"/>
          <w14:textOutline w14:w="3265" w14:cap="flat" w14:cmpd="sng">
            <w14:solidFill>
              <w14:srgbClr w14:val="000000"/>
            </w14:solidFill>
            <w14:prstDash w14:val="solid"/>
            <w14:miter w14:val="0"/>
          </w14:textOutline>
        </w:rPr>
        <w:t>分别表示影响程度为小、</w:t>
      </w:r>
      <w:r>
        <w:rPr>
          <w:rFonts w:ascii="宋体" w:hAnsi="宋体" w:eastAsia="宋体" w:cs="宋体"/>
          <w:spacing w:val="-10"/>
          <w:position w:val="19"/>
          <w:sz w:val="18"/>
          <w:szCs w:val="18"/>
        </w:rPr>
        <w:t xml:space="preserve"> </w:t>
      </w:r>
      <w:r>
        <w:rPr>
          <w:rFonts w:ascii="宋体" w:hAnsi="宋体" w:eastAsia="宋体" w:cs="宋体"/>
          <w:spacing w:val="-10"/>
          <w:position w:val="19"/>
          <w:sz w:val="18"/>
          <w:szCs w:val="18"/>
          <w14:textOutline w14:w="3265" w14:cap="flat" w14:cmpd="sng">
            <w14:solidFill>
              <w14:srgbClr w14:val="000000"/>
            </w14:solidFill>
            <w14:prstDash w14:val="solid"/>
            <w14:miter w14:val="0"/>
          </w14:textOutline>
        </w:rPr>
        <w:t>中、大；“</w:t>
      </w:r>
      <w:r>
        <w:rPr>
          <w:rFonts w:ascii="Times New Roman" w:hAnsi="Times New Roman" w:eastAsia="Times New Roman" w:cs="Times New Roman"/>
          <w:b/>
          <w:bCs/>
          <w:spacing w:val="-10"/>
          <w:position w:val="19"/>
          <w:sz w:val="18"/>
          <w:szCs w:val="18"/>
        </w:rPr>
        <w:t>+</w:t>
      </w:r>
      <w:r>
        <w:rPr>
          <w:rFonts w:ascii="宋体" w:hAnsi="宋体" w:eastAsia="宋体" w:cs="宋体"/>
          <w:spacing w:val="-10"/>
          <w:position w:val="19"/>
          <w:sz w:val="18"/>
          <w:szCs w:val="18"/>
          <w14:textOutline w14:w="3265" w14:cap="flat" w14:cmpd="sng">
            <w14:solidFill>
              <w14:srgbClr w14:val="000000"/>
            </w14:solidFill>
            <w14:prstDash w14:val="solid"/>
            <w14:miter w14:val="0"/>
          </w14:textOutline>
        </w:rPr>
        <w:t>”、“</w:t>
      </w:r>
      <w:r>
        <w:rPr>
          <w:rFonts w:ascii="Times New Roman" w:hAnsi="Times New Roman" w:eastAsia="Times New Roman" w:cs="Times New Roman"/>
          <w:b/>
          <w:bCs/>
          <w:spacing w:val="-10"/>
          <w:position w:val="19"/>
          <w:sz w:val="18"/>
          <w:szCs w:val="18"/>
        </w:rPr>
        <w:t>-</w:t>
      </w:r>
      <w:r>
        <w:rPr>
          <w:rFonts w:ascii="Times New Roman" w:hAnsi="Times New Roman" w:eastAsia="Times New Roman" w:cs="Times New Roman"/>
          <w:b/>
          <w:bCs/>
          <w:spacing w:val="-14"/>
          <w:position w:val="19"/>
          <w:sz w:val="18"/>
          <w:szCs w:val="18"/>
        </w:rPr>
        <w:t xml:space="preserve"> </w:t>
      </w:r>
      <w:r>
        <w:rPr>
          <w:rFonts w:ascii="宋体" w:hAnsi="宋体" w:eastAsia="宋体" w:cs="宋体"/>
          <w:spacing w:val="-10"/>
          <w:position w:val="19"/>
          <w:sz w:val="18"/>
          <w:szCs w:val="18"/>
          <w14:textOutline w14:w="3265" w14:cap="flat" w14:cmpd="sng">
            <w14:solidFill>
              <w14:srgbClr w14:val="000000"/>
            </w14:solidFill>
            <w14:prstDash w14:val="solid"/>
            <w14:miter w14:val="0"/>
          </w14:textOutline>
        </w:rPr>
        <w:t>”分别代表影响性质为有利影响和不利影响；</w:t>
      </w:r>
    </w:p>
    <w:p>
      <w:pPr>
        <w:spacing w:before="1" w:line="218" w:lineRule="auto"/>
        <w:ind w:left="33"/>
        <w:rPr>
          <w:rFonts w:ascii="宋体" w:hAnsi="宋体" w:eastAsia="宋体" w:cs="宋体"/>
          <w:sz w:val="18"/>
          <w:szCs w:val="18"/>
        </w:rPr>
      </w:pPr>
      <w:r>
        <w:rPr>
          <w:rFonts w:ascii="Times New Roman" w:hAnsi="Times New Roman" w:eastAsia="Times New Roman" w:cs="Times New Roman"/>
          <w:b/>
          <w:bCs/>
          <w:spacing w:val="1"/>
          <w:sz w:val="18"/>
          <w:szCs w:val="18"/>
        </w:rPr>
        <w:t>R</w:t>
      </w:r>
      <w:r>
        <w:rPr>
          <w:rFonts w:ascii="宋体" w:hAnsi="宋体" w:eastAsia="宋体" w:cs="宋体"/>
          <w:spacing w:val="1"/>
          <w:sz w:val="18"/>
          <w:szCs w:val="18"/>
          <w14:textOutline w14:w="3265" w14:cap="flat" w14:cmpd="sng">
            <w14:solidFill>
              <w14:srgbClr w14:val="000000"/>
            </w14:solidFill>
            <w14:prstDash w14:val="solid"/>
            <w14:miter w14:val="0"/>
          </w14:textOutline>
        </w:rPr>
        <w:t>、</w:t>
      </w:r>
      <w:r>
        <w:rPr>
          <w:rFonts w:ascii="Times New Roman" w:hAnsi="Times New Roman" w:eastAsia="Times New Roman" w:cs="Times New Roman"/>
          <w:b/>
          <w:bCs/>
          <w:spacing w:val="1"/>
          <w:sz w:val="18"/>
          <w:szCs w:val="18"/>
        </w:rPr>
        <w:t xml:space="preserve">L  </w:t>
      </w:r>
      <w:r>
        <w:rPr>
          <w:rFonts w:ascii="宋体" w:hAnsi="宋体" w:eastAsia="宋体" w:cs="宋体"/>
          <w:spacing w:val="1"/>
          <w:sz w:val="18"/>
          <w:szCs w:val="18"/>
          <w14:textOutline w14:w="3265" w14:cap="flat" w14:cmpd="sng">
            <w14:solidFill>
              <w14:srgbClr w14:val="000000"/>
            </w14:solidFill>
            <w14:prstDash w14:val="solid"/>
            <w14:miter w14:val="0"/>
          </w14:textOutline>
        </w:rPr>
        <w:t>分别表示影响类型为可逆和不可逆影响；△表示本因子影响无累积性，▲表示本</w:t>
      </w:r>
      <w:r>
        <w:rPr>
          <w:rFonts w:ascii="宋体" w:hAnsi="宋体" w:eastAsia="宋体" w:cs="宋体"/>
          <w:sz w:val="18"/>
          <w:szCs w:val="18"/>
          <w14:textOutline w14:w="3265" w14:cap="flat" w14:cmpd="sng">
            <w14:solidFill>
              <w14:srgbClr w14:val="000000"/>
            </w14:solidFill>
            <w14:prstDash w14:val="solid"/>
            <w14:miter w14:val="0"/>
          </w14:textOutline>
        </w:rPr>
        <w:t>因子影响具有累积</w:t>
      </w:r>
    </w:p>
    <w:p>
      <w:pPr>
        <w:spacing w:line="218" w:lineRule="auto"/>
        <w:rPr>
          <w:rFonts w:ascii="宋体" w:hAnsi="宋体" w:eastAsia="宋体" w:cs="宋体"/>
          <w:sz w:val="18"/>
          <w:szCs w:val="18"/>
        </w:rPr>
        <w:sectPr>
          <w:footerReference r:id="rId28" w:type="default"/>
          <w:pgSz w:w="11907" w:h="16839"/>
          <w:pgMar w:top="1156" w:right="1768" w:bottom="1154" w:left="1770" w:header="881" w:footer="991" w:gutter="0"/>
        </w:sectPr>
      </w:pPr>
    </w:p>
    <w:p>
      <w:pPr>
        <w:spacing w:line="420" w:lineRule="auto"/>
        <w:rPr>
          <w:rFonts w:ascii="Arial"/>
          <w:sz w:val="21"/>
        </w:rPr>
      </w:pPr>
    </w:p>
    <w:p>
      <w:pPr>
        <w:spacing w:before="58" w:line="221" w:lineRule="auto"/>
        <w:ind w:left="37"/>
        <w:rPr>
          <w:rFonts w:ascii="宋体" w:hAnsi="宋体" w:eastAsia="宋体" w:cs="宋体"/>
          <w:sz w:val="18"/>
          <w:szCs w:val="18"/>
        </w:rPr>
      </w:pPr>
      <w:r>
        <w:rPr>
          <w:rFonts w:ascii="宋体" w:hAnsi="宋体" w:eastAsia="宋体" w:cs="宋体"/>
          <w:sz w:val="18"/>
          <w:szCs w:val="18"/>
          <w14:textOutline w14:w="3265" w14:cap="flat" w14:cmpd="sng">
            <w14:solidFill>
              <w14:srgbClr w14:val="000000"/>
            </w14:solidFill>
            <w14:prstDash w14:val="solid"/>
            <w14:miter w14:val="0"/>
          </w14:textOutline>
        </w:rPr>
        <w:t>性</w:t>
      </w:r>
    </w:p>
    <w:p>
      <w:pPr>
        <w:spacing w:line="312"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1"/>
          <w:sz w:val="24"/>
          <w:szCs w:val="24"/>
        </w:rPr>
        <w:t xml:space="preserve">1.3.2 </w:t>
      </w:r>
      <w:r>
        <w:rPr>
          <w:spacing w:val="-1"/>
          <w:sz w:val="24"/>
          <w:szCs w:val="24"/>
          <w14:textOutline w14:w="4354" w14:cap="flat" w14:cmpd="sng">
            <w14:solidFill>
              <w14:srgbClr w14:val="000000"/>
            </w14:solidFill>
            <w14:prstDash w14:val="solid"/>
            <w14:miter w14:val="0"/>
          </w14:textOutline>
        </w:rPr>
        <w:t>评价因子确定</w:t>
      </w:r>
    </w:p>
    <w:p>
      <w:pPr>
        <w:spacing w:before="277" w:line="468" w:lineRule="exact"/>
        <w:ind w:left="476"/>
        <w:rPr>
          <w:rFonts w:ascii="宋体" w:hAnsi="宋体" w:eastAsia="宋体" w:cs="宋体"/>
          <w:sz w:val="24"/>
          <w:szCs w:val="24"/>
        </w:rPr>
      </w:pPr>
      <w:r>
        <w:rPr>
          <w:rFonts w:ascii="宋体" w:hAnsi="宋体" w:eastAsia="宋体" w:cs="宋体"/>
          <w:spacing w:val="-7"/>
          <w:position w:val="17"/>
          <w:sz w:val="24"/>
          <w:szCs w:val="24"/>
        </w:rPr>
        <w:t>根据项目污染物排放特征、环境因子的影响程度和环境现状功能要求，</w:t>
      </w:r>
      <w:r>
        <w:rPr>
          <w:rFonts w:ascii="宋体" w:hAnsi="宋体" w:eastAsia="宋体" w:cs="宋体"/>
          <w:spacing w:val="56"/>
          <w:position w:val="17"/>
          <w:sz w:val="24"/>
          <w:szCs w:val="24"/>
        </w:rPr>
        <w:t xml:space="preserve"> </w:t>
      </w:r>
      <w:r>
        <w:rPr>
          <w:rFonts w:ascii="宋体" w:hAnsi="宋体" w:eastAsia="宋体" w:cs="宋体"/>
          <w:spacing w:val="-7"/>
          <w:position w:val="17"/>
          <w:sz w:val="24"/>
          <w:szCs w:val="24"/>
        </w:rPr>
        <w:t>经分</w:t>
      </w:r>
    </w:p>
    <w:p>
      <w:pPr>
        <w:spacing w:line="218" w:lineRule="auto"/>
        <w:ind w:left="41"/>
        <w:rPr>
          <w:rFonts w:ascii="宋体" w:hAnsi="宋体" w:eastAsia="宋体" w:cs="宋体"/>
          <w:sz w:val="24"/>
          <w:szCs w:val="24"/>
        </w:rPr>
      </w:pPr>
      <w:r>
        <w:rPr>
          <w:rFonts w:ascii="宋体" w:hAnsi="宋体" w:eastAsia="宋体" w:cs="宋体"/>
          <w:spacing w:val="-4"/>
          <w:sz w:val="24"/>
          <w:szCs w:val="24"/>
        </w:rPr>
        <w:t xml:space="preserve">析筛选，确定的评价因子见表 </w:t>
      </w:r>
      <w:r>
        <w:rPr>
          <w:rFonts w:ascii="Times New Roman" w:hAnsi="Times New Roman" w:eastAsia="Times New Roman" w:cs="Times New Roman"/>
          <w:spacing w:val="-4"/>
          <w:sz w:val="24"/>
          <w:szCs w:val="24"/>
        </w:rPr>
        <w:t>1.3-2</w:t>
      </w:r>
      <w:r>
        <w:rPr>
          <w:rFonts w:ascii="宋体" w:hAnsi="宋体" w:eastAsia="宋体" w:cs="宋体"/>
          <w:spacing w:val="-4"/>
          <w:sz w:val="24"/>
          <w:szCs w:val="24"/>
        </w:rPr>
        <w:t>。</w:t>
      </w:r>
    </w:p>
    <w:p>
      <w:pPr>
        <w:pStyle w:val="2"/>
        <w:spacing w:before="242" w:line="219" w:lineRule="auto"/>
        <w:ind w:left="3107"/>
      </w:pPr>
      <w:r>
        <w:rPr>
          <w:spacing w:val="-2"/>
          <w14:textOutline w14:w="3810" w14:cap="flat" w14:cmpd="sng">
            <w14:solidFill>
              <w14:srgbClr w14:val="000000"/>
            </w14:solidFill>
            <w14:prstDash w14:val="solid"/>
            <w14:miter w14:val="0"/>
          </w14:textOutline>
        </w:rPr>
        <w:t>表</w:t>
      </w:r>
      <w:r>
        <w:rPr>
          <w:spacing w:val="-23"/>
        </w:rPr>
        <w:t xml:space="preserve"> </w:t>
      </w:r>
      <w:r>
        <w:rPr>
          <w:rFonts w:ascii="Times New Roman" w:hAnsi="Times New Roman" w:eastAsia="Times New Roman" w:cs="Times New Roman"/>
          <w:b/>
          <w:bCs/>
          <w:spacing w:val="-2"/>
        </w:rPr>
        <w:t xml:space="preserve">1.3-2    </w:t>
      </w:r>
      <w:r>
        <w:rPr>
          <w:spacing w:val="-2"/>
          <w14:textOutline w14:w="3810" w14:cap="flat" w14:cmpd="sng">
            <w14:solidFill>
              <w14:srgbClr w14:val="000000"/>
            </w14:solidFill>
            <w14:prstDash w14:val="solid"/>
            <w14:miter w14:val="0"/>
          </w14:textOutline>
        </w:rPr>
        <w:t>评价因子筛选结果</w:t>
      </w:r>
    </w:p>
    <w:p>
      <w:pPr>
        <w:spacing w:line="19" w:lineRule="exact"/>
      </w:pPr>
    </w:p>
    <w:tbl>
      <w:tblPr>
        <w:tblStyle w:val="5"/>
        <w:tblW w:w="8322"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90"/>
        <w:gridCol w:w="1701"/>
        <w:gridCol w:w="53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991" w:type="dxa"/>
            <w:gridSpan w:val="2"/>
            <w:tcBorders>
              <w:top w:val="single" w:color="000000" w:sz="12" w:space="0"/>
              <w:left w:val="nil"/>
            </w:tcBorders>
            <w:vAlign w:val="top"/>
          </w:tcPr>
          <w:p>
            <w:pPr>
              <w:spacing w:before="52" w:line="218" w:lineRule="auto"/>
              <w:ind w:left="1092"/>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环境要素</w:t>
            </w:r>
          </w:p>
        </w:tc>
        <w:tc>
          <w:tcPr>
            <w:tcW w:w="5331" w:type="dxa"/>
            <w:tcBorders>
              <w:top w:val="single" w:color="000000" w:sz="12" w:space="0"/>
              <w:right w:val="nil"/>
            </w:tcBorders>
            <w:vAlign w:val="top"/>
          </w:tcPr>
          <w:p>
            <w:pPr>
              <w:spacing w:before="52" w:line="218" w:lineRule="auto"/>
              <w:ind w:left="2257"/>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环境因子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290" w:type="dxa"/>
            <w:vMerge w:val="restart"/>
            <w:tcBorders>
              <w:left w:val="nil"/>
              <w:bottom w:val="nil"/>
            </w:tcBorders>
            <w:vAlign w:val="top"/>
          </w:tcPr>
          <w:p>
            <w:pPr>
              <w:spacing w:line="464" w:lineRule="auto"/>
              <w:rPr>
                <w:rFonts w:ascii="Arial"/>
                <w:sz w:val="21"/>
              </w:rPr>
            </w:pPr>
          </w:p>
          <w:p>
            <w:pPr>
              <w:spacing w:before="68" w:line="218" w:lineRule="auto"/>
              <w:ind w:left="257"/>
              <w:rPr>
                <w:rFonts w:ascii="仿宋" w:hAnsi="仿宋" w:eastAsia="仿宋" w:cs="仿宋"/>
                <w:sz w:val="21"/>
                <w:szCs w:val="21"/>
              </w:rPr>
            </w:pPr>
            <w:r>
              <w:rPr>
                <w:rFonts w:ascii="仿宋" w:hAnsi="仿宋" w:eastAsia="仿宋" w:cs="仿宋"/>
                <w:spacing w:val="-7"/>
                <w:sz w:val="21"/>
                <w:szCs w:val="21"/>
              </w:rPr>
              <w:t>生态环境</w:t>
            </w:r>
          </w:p>
        </w:tc>
        <w:tc>
          <w:tcPr>
            <w:tcW w:w="1701" w:type="dxa"/>
            <w:vAlign w:val="top"/>
          </w:tcPr>
          <w:p>
            <w:pPr>
              <w:spacing w:before="54" w:line="218" w:lineRule="auto"/>
              <w:ind w:left="651"/>
              <w:rPr>
                <w:rFonts w:ascii="仿宋" w:hAnsi="仿宋" w:eastAsia="仿宋" w:cs="仿宋"/>
                <w:sz w:val="21"/>
                <w:szCs w:val="21"/>
              </w:rPr>
            </w:pPr>
            <w:r>
              <w:rPr>
                <w:rFonts w:ascii="仿宋" w:hAnsi="仿宋" w:eastAsia="仿宋" w:cs="仿宋"/>
                <w:spacing w:val="-4"/>
                <w:sz w:val="21"/>
                <w:szCs w:val="21"/>
              </w:rPr>
              <w:t>植被</w:t>
            </w:r>
          </w:p>
        </w:tc>
        <w:tc>
          <w:tcPr>
            <w:tcW w:w="5331" w:type="dxa"/>
            <w:tcBorders>
              <w:right w:val="nil"/>
            </w:tcBorders>
            <w:vAlign w:val="top"/>
          </w:tcPr>
          <w:p>
            <w:pPr>
              <w:spacing w:before="54" w:line="218" w:lineRule="auto"/>
              <w:ind w:left="1779"/>
              <w:rPr>
                <w:rFonts w:ascii="仿宋" w:hAnsi="仿宋" w:eastAsia="仿宋" w:cs="仿宋"/>
                <w:sz w:val="21"/>
                <w:szCs w:val="21"/>
              </w:rPr>
            </w:pPr>
            <w:r>
              <w:rPr>
                <w:rFonts w:ascii="仿宋" w:hAnsi="仿宋" w:eastAsia="仿宋" w:cs="仿宋"/>
                <w:spacing w:val="-8"/>
                <w:sz w:val="21"/>
                <w:szCs w:val="21"/>
              </w:rPr>
              <w:t>自然植被和人工植被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290" w:type="dxa"/>
            <w:vMerge w:val="continue"/>
            <w:tcBorders>
              <w:top w:val="nil"/>
              <w:left w:val="nil"/>
              <w:bottom w:val="nil"/>
            </w:tcBorders>
            <w:vAlign w:val="top"/>
          </w:tcPr>
          <w:p>
            <w:pPr>
              <w:rPr>
                <w:rFonts w:ascii="Arial"/>
                <w:sz w:val="21"/>
              </w:rPr>
            </w:pPr>
          </w:p>
        </w:tc>
        <w:tc>
          <w:tcPr>
            <w:tcW w:w="1701" w:type="dxa"/>
            <w:vAlign w:val="top"/>
          </w:tcPr>
          <w:p>
            <w:pPr>
              <w:spacing w:before="55" w:line="217" w:lineRule="auto"/>
              <w:ind w:left="147"/>
              <w:rPr>
                <w:rFonts w:ascii="仿宋" w:hAnsi="仿宋" w:eastAsia="仿宋" w:cs="仿宋"/>
                <w:sz w:val="21"/>
                <w:szCs w:val="21"/>
              </w:rPr>
            </w:pPr>
            <w:r>
              <w:rPr>
                <w:rFonts w:ascii="仿宋" w:hAnsi="仿宋" w:eastAsia="仿宋" w:cs="仿宋"/>
                <w:spacing w:val="-6"/>
                <w:sz w:val="21"/>
                <w:szCs w:val="21"/>
              </w:rPr>
              <w:t>陆生动植物资源</w:t>
            </w:r>
          </w:p>
        </w:tc>
        <w:tc>
          <w:tcPr>
            <w:tcW w:w="5331" w:type="dxa"/>
            <w:tcBorders>
              <w:right w:val="nil"/>
            </w:tcBorders>
            <w:vAlign w:val="top"/>
          </w:tcPr>
          <w:p>
            <w:pPr>
              <w:spacing w:before="55" w:line="217" w:lineRule="auto"/>
              <w:ind w:left="1947"/>
              <w:rPr>
                <w:rFonts w:ascii="仿宋" w:hAnsi="仿宋" w:eastAsia="仿宋" w:cs="仿宋"/>
                <w:sz w:val="21"/>
                <w:szCs w:val="21"/>
              </w:rPr>
            </w:pPr>
            <w:r>
              <w:rPr>
                <w:rFonts w:ascii="仿宋" w:hAnsi="仿宋" w:eastAsia="仿宋" w:cs="仿宋"/>
                <w:spacing w:val="-3"/>
                <w:sz w:val="21"/>
                <w:szCs w:val="21"/>
              </w:rPr>
              <w:t>野生陆生动植物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290" w:type="dxa"/>
            <w:vMerge w:val="continue"/>
            <w:tcBorders>
              <w:top w:val="nil"/>
              <w:left w:val="nil"/>
              <w:bottom w:val="nil"/>
            </w:tcBorders>
            <w:vAlign w:val="top"/>
          </w:tcPr>
          <w:p>
            <w:pPr>
              <w:rPr>
                <w:rFonts w:ascii="Arial"/>
                <w:sz w:val="21"/>
              </w:rPr>
            </w:pPr>
          </w:p>
        </w:tc>
        <w:tc>
          <w:tcPr>
            <w:tcW w:w="1701" w:type="dxa"/>
            <w:vAlign w:val="top"/>
          </w:tcPr>
          <w:p>
            <w:pPr>
              <w:spacing w:before="57" w:line="217" w:lineRule="auto"/>
              <w:ind w:left="443"/>
              <w:rPr>
                <w:rFonts w:ascii="仿宋" w:hAnsi="仿宋" w:eastAsia="仿宋" w:cs="仿宋"/>
                <w:sz w:val="21"/>
                <w:szCs w:val="21"/>
              </w:rPr>
            </w:pPr>
            <w:r>
              <w:rPr>
                <w:rFonts w:ascii="仿宋" w:hAnsi="仿宋" w:eastAsia="仿宋" w:cs="仿宋"/>
                <w:spacing w:val="-4"/>
                <w:sz w:val="21"/>
                <w:szCs w:val="21"/>
              </w:rPr>
              <w:t>水生生物</w:t>
            </w:r>
          </w:p>
        </w:tc>
        <w:tc>
          <w:tcPr>
            <w:tcW w:w="5331" w:type="dxa"/>
            <w:tcBorders>
              <w:right w:val="nil"/>
            </w:tcBorders>
            <w:vAlign w:val="top"/>
          </w:tcPr>
          <w:p>
            <w:pPr>
              <w:spacing w:before="58" w:line="218" w:lineRule="auto"/>
              <w:ind w:left="2476"/>
              <w:rPr>
                <w:rFonts w:ascii="仿宋" w:hAnsi="仿宋" w:eastAsia="仿宋" w:cs="仿宋"/>
                <w:sz w:val="21"/>
                <w:szCs w:val="21"/>
              </w:rPr>
            </w:pPr>
            <w:r>
              <w:rPr>
                <w:rFonts w:ascii="仿宋" w:hAnsi="仿宋" w:eastAsia="仿宋" w:cs="仿宋"/>
                <w:spacing w:val="-6"/>
                <w:sz w:val="21"/>
                <w:szCs w:val="21"/>
              </w:rPr>
              <w:t>鱼类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290" w:type="dxa"/>
            <w:vMerge w:val="continue"/>
            <w:tcBorders>
              <w:top w:val="nil"/>
              <w:left w:val="nil"/>
            </w:tcBorders>
            <w:vAlign w:val="top"/>
          </w:tcPr>
          <w:p>
            <w:pPr>
              <w:rPr>
                <w:rFonts w:ascii="Arial"/>
                <w:sz w:val="21"/>
              </w:rPr>
            </w:pPr>
          </w:p>
        </w:tc>
        <w:tc>
          <w:tcPr>
            <w:tcW w:w="1701" w:type="dxa"/>
            <w:vAlign w:val="top"/>
          </w:tcPr>
          <w:p>
            <w:pPr>
              <w:spacing w:before="59" w:line="216" w:lineRule="auto"/>
              <w:ind w:left="449"/>
              <w:rPr>
                <w:rFonts w:ascii="仿宋" w:hAnsi="仿宋" w:eastAsia="仿宋" w:cs="仿宋"/>
                <w:sz w:val="21"/>
                <w:szCs w:val="21"/>
              </w:rPr>
            </w:pPr>
            <w:r>
              <w:rPr>
                <w:rFonts w:ascii="仿宋" w:hAnsi="仿宋" w:eastAsia="仿宋" w:cs="仿宋"/>
                <w:spacing w:val="-5"/>
                <w:sz w:val="21"/>
                <w:szCs w:val="21"/>
              </w:rPr>
              <w:t>土地资源</w:t>
            </w:r>
          </w:p>
        </w:tc>
        <w:tc>
          <w:tcPr>
            <w:tcW w:w="5331" w:type="dxa"/>
            <w:tcBorders>
              <w:right w:val="nil"/>
            </w:tcBorders>
            <w:vAlign w:val="top"/>
          </w:tcPr>
          <w:p>
            <w:pPr>
              <w:spacing w:before="59" w:line="216" w:lineRule="auto"/>
              <w:ind w:left="1742"/>
              <w:rPr>
                <w:rFonts w:ascii="仿宋" w:hAnsi="仿宋" w:eastAsia="仿宋" w:cs="仿宋"/>
                <w:sz w:val="21"/>
                <w:szCs w:val="21"/>
              </w:rPr>
            </w:pPr>
            <w:r>
              <w:rPr>
                <w:rFonts w:ascii="仿宋" w:hAnsi="仿宋" w:eastAsia="仿宋" w:cs="仿宋"/>
                <w:spacing w:val="-4"/>
                <w:sz w:val="21"/>
                <w:szCs w:val="21"/>
              </w:rPr>
              <w:t>土地利用面积和结构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290" w:type="dxa"/>
            <w:vMerge w:val="restart"/>
            <w:tcBorders>
              <w:left w:val="nil"/>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9" w:line="218" w:lineRule="auto"/>
              <w:ind w:left="139"/>
              <w:rPr>
                <w:rFonts w:ascii="仿宋" w:hAnsi="仿宋" w:eastAsia="仿宋" w:cs="仿宋"/>
                <w:sz w:val="21"/>
                <w:szCs w:val="21"/>
              </w:rPr>
            </w:pPr>
            <w:r>
              <w:rPr>
                <w:rFonts w:ascii="仿宋" w:hAnsi="仿宋" w:eastAsia="仿宋" w:cs="仿宋"/>
                <w:spacing w:val="-3"/>
                <w:sz w:val="21"/>
                <w:szCs w:val="21"/>
              </w:rPr>
              <w:t>地表水环境</w:t>
            </w:r>
          </w:p>
        </w:tc>
        <w:tc>
          <w:tcPr>
            <w:tcW w:w="1701" w:type="dxa"/>
            <w:vAlign w:val="top"/>
          </w:tcPr>
          <w:p>
            <w:pPr>
              <w:spacing w:before="60" w:line="215" w:lineRule="auto"/>
              <w:ind w:left="443"/>
              <w:rPr>
                <w:rFonts w:ascii="仿宋" w:hAnsi="仿宋" w:eastAsia="仿宋" w:cs="仿宋"/>
                <w:sz w:val="21"/>
                <w:szCs w:val="21"/>
              </w:rPr>
            </w:pPr>
            <w:r>
              <w:rPr>
                <w:rFonts w:ascii="仿宋" w:hAnsi="仿宋" w:eastAsia="仿宋" w:cs="仿宋"/>
                <w:spacing w:val="-4"/>
                <w:sz w:val="21"/>
                <w:szCs w:val="21"/>
              </w:rPr>
              <w:t>水文情势</w:t>
            </w:r>
          </w:p>
        </w:tc>
        <w:tc>
          <w:tcPr>
            <w:tcW w:w="5331" w:type="dxa"/>
            <w:tcBorders>
              <w:right w:val="nil"/>
            </w:tcBorders>
            <w:vAlign w:val="top"/>
          </w:tcPr>
          <w:p>
            <w:pPr>
              <w:spacing w:before="60" w:line="215" w:lineRule="auto"/>
              <w:ind w:left="2052"/>
              <w:rPr>
                <w:rFonts w:ascii="仿宋" w:hAnsi="仿宋" w:eastAsia="仿宋" w:cs="仿宋"/>
                <w:sz w:val="21"/>
                <w:szCs w:val="21"/>
              </w:rPr>
            </w:pPr>
            <w:r>
              <w:rPr>
                <w:rFonts w:ascii="仿宋" w:hAnsi="仿宋" w:eastAsia="仿宋" w:cs="仿宋"/>
                <w:spacing w:val="-4"/>
                <w:sz w:val="21"/>
                <w:szCs w:val="21"/>
              </w:rPr>
              <w:t>水量、流速等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59" w:hRule="atLeast"/>
        </w:trPr>
        <w:tc>
          <w:tcPr>
            <w:tcW w:w="1290" w:type="dxa"/>
            <w:vMerge w:val="continue"/>
            <w:tcBorders>
              <w:top w:val="nil"/>
              <w:left w:val="nil"/>
              <w:bottom w:val="nil"/>
            </w:tcBorders>
            <w:vAlign w:val="top"/>
          </w:tcPr>
          <w:p>
            <w:pPr>
              <w:rPr>
                <w:rFonts w:ascii="Arial"/>
                <w:sz w:val="21"/>
              </w:rPr>
            </w:pPr>
          </w:p>
        </w:tc>
        <w:tc>
          <w:tcPr>
            <w:tcW w:w="1701" w:type="dxa"/>
            <w:vAlign w:val="top"/>
          </w:tcPr>
          <w:p>
            <w:pPr>
              <w:spacing w:line="307" w:lineRule="auto"/>
              <w:rPr>
                <w:rFonts w:ascii="Arial"/>
                <w:sz w:val="21"/>
              </w:rPr>
            </w:pPr>
          </w:p>
          <w:p>
            <w:pPr>
              <w:spacing w:line="308" w:lineRule="auto"/>
              <w:rPr>
                <w:rFonts w:ascii="Arial"/>
                <w:sz w:val="21"/>
              </w:rPr>
            </w:pPr>
          </w:p>
          <w:p>
            <w:pPr>
              <w:spacing w:before="68" w:line="219" w:lineRule="auto"/>
              <w:ind w:left="651"/>
              <w:rPr>
                <w:rFonts w:ascii="仿宋" w:hAnsi="仿宋" w:eastAsia="仿宋" w:cs="仿宋"/>
                <w:sz w:val="21"/>
                <w:szCs w:val="21"/>
              </w:rPr>
            </w:pPr>
            <w:r>
              <w:rPr>
                <w:rFonts w:ascii="仿宋" w:hAnsi="仿宋" w:eastAsia="仿宋" w:cs="仿宋"/>
                <w:spacing w:val="-4"/>
                <w:sz w:val="21"/>
                <w:szCs w:val="21"/>
              </w:rPr>
              <w:t>水质</w:t>
            </w:r>
          </w:p>
        </w:tc>
        <w:tc>
          <w:tcPr>
            <w:tcW w:w="5331" w:type="dxa"/>
            <w:tcBorders>
              <w:right w:val="nil"/>
            </w:tcBorders>
            <w:vAlign w:val="top"/>
          </w:tcPr>
          <w:p>
            <w:pPr>
              <w:pStyle w:val="6"/>
              <w:spacing w:before="62" w:line="213" w:lineRule="auto"/>
              <w:ind w:left="15"/>
              <w:rPr>
                <w:rFonts w:ascii="仿宋" w:hAnsi="仿宋" w:eastAsia="仿宋" w:cs="仿宋"/>
              </w:rPr>
            </w:pPr>
            <w:r>
              <w:rPr>
                <w:spacing w:val="-1"/>
              </w:rPr>
              <w:t>pH</w:t>
            </w:r>
            <w:r>
              <w:rPr>
                <w:rFonts w:ascii="仿宋" w:hAnsi="仿宋" w:eastAsia="仿宋" w:cs="仿宋"/>
                <w:spacing w:val="-1"/>
              </w:rPr>
              <w:t>、溶解氧、水温、石油类、化学需氧量、五日生化需氧</w:t>
            </w:r>
          </w:p>
          <w:p>
            <w:pPr>
              <w:spacing w:before="70" w:line="216" w:lineRule="auto"/>
              <w:ind w:left="57"/>
              <w:rPr>
                <w:rFonts w:ascii="仿宋" w:hAnsi="仿宋" w:eastAsia="仿宋" w:cs="仿宋"/>
                <w:sz w:val="21"/>
                <w:szCs w:val="21"/>
              </w:rPr>
            </w:pPr>
            <w:r>
              <w:rPr>
                <w:rFonts w:ascii="仿宋" w:hAnsi="仿宋" w:eastAsia="仿宋" w:cs="仿宋"/>
                <w:spacing w:val="-2"/>
                <w:sz w:val="21"/>
                <w:szCs w:val="21"/>
              </w:rPr>
              <w:t>量、阴离子表面活性剂、氯化物、铜、铅、锌、镉、硒、</w:t>
            </w:r>
          </w:p>
          <w:p>
            <w:pPr>
              <w:spacing w:before="66" w:line="216" w:lineRule="auto"/>
              <w:ind w:left="159"/>
              <w:rPr>
                <w:rFonts w:ascii="仿宋" w:hAnsi="仿宋" w:eastAsia="仿宋" w:cs="仿宋"/>
                <w:sz w:val="21"/>
                <w:szCs w:val="21"/>
              </w:rPr>
            </w:pPr>
            <w:r>
              <w:rPr>
                <w:rFonts w:ascii="仿宋" w:hAnsi="仿宋" w:eastAsia="仿宋" w:cs="仿宋"/>
                <w:spacing w:val="-1"/>
                <w:sz w:val="21"/>
                <w:szCs w:val="21"/>
              </w:rPr>
              <w:t>汞、砷、粪大肠杆菌、六价铬、氟化物、铁、锰、氰化</w:t>
            </w:r>
          </w:p>
          <w:p>
            <w:pPr>
              <w:spacing w:before="66" w:line="215" w:lineRule="auto"/>
              <w:ind w:left="159"/>
              <w:rPr>
                <w:rFonts w:ascii="仿宋" w:hAnsi="仿宋" w:eastAsia="仿宋" w:cs="仿宋"/>
                <w:sz w:val="21"/>
                <w:szCs w:val="21"/>
              </w:rPr>
            </w:pPr>
            <w:r>
              <w:rPr>
                <w:rFonts w:ascii="仿宋" w:hAnsi="仿宋" w:eastAsia="仿宋" w:cs="仿宋"/>
                <w:spacing w:val="-11"/>
                <w:sz w:val="21"/>
                <w:szCs w:val="21"/>
              </w:rPr>
              <w:t>物、挥发酚、氨氮、总磷、高锰酸钾指数、</w:t>
            </w:r>
            <w:r>
              <w:rPr>
                <w:rFonts w:ascii="仿宋" w:hAnsi="仿宋" w:eastAsia="仿宋" w:cs="仿宋"/>
                <w:spacing w:val="56"/>
                <w:sz w:val="21"/>
                <w:szCs w:val="21"/>
              </w:rPr>
              <w:t xml:space="preserve"> </w:t>
            </w:r>
            <w:r>
              <w:rPr>
                <w:rFonts w:ascii="仿宋" w:hAnsi="仿宋" w:eastAsia="仿宋" w:cs="仿宋"/>
                <w:spacing w:val="-11"/>
                <w:sz w:val="21"/>
                <w:szCs w:val="21"/>
              </w:rPr>
              <w:t>总氮、 硝酸</w:t>
            </w:r>
          </w:p>
          <w:p>
            <w:pPr>
              <w:pStyle w:val="6"/>
              <w:spacing w:before="67" w:line="209" w:lineRule="auto"/>
              <w:ind w:left="1261"/>
              <w:rPr>
                <w:rFonts w:ascii="仿宋" w:hAnsi="仿宋" w:eastAsia="仿宋" w:cs="仿宋"/>
              </w:rPr>
            </w:pPr>
            <w:r>
              <w:rPr>
                <w:rFonts w:ascii="仿宋" w:hAnsi="仿宋" w:eastAsia="仿宋" w:cs="仿宋"/>
                <w:spacing w:val="-3"/>
              </w:rPr>
              <w:t>盐、硫酸盐、硫化物，共</w:t>
            </w:r>
            <w:r>
              <w:rPr>
                <w:rFonts w:ascii="仿宋" w:hAnsi="仿宋" w:eastAsia="仿宋" w:cs="仿宋"/>
                <w:spacing w:val="-26"/>
              </w:rPr>
              <w:t xml:space="preserve"> </w:t>
            </w:r>
            <w:r>
              <w:rPr>
                <w:spacing w:val="-3"/>
              </w:rPr>
              <w:t>29</w:t>
            </w:r>
            <w:r>
              <w:rPr>
                <w:spacing w:val="16"/>
              </w:rPr>
              <w:t xml:space="preserve"> </w:t>
            </w:r>
            <w:r>
              <w:rPr>
                <w:rFonts w:ascii="仿宋" w:hAnsi="仿宋" w:eastAsia="仿宋" w:cs="仿宋"/>
                <w:spacing w:val="-3"/>
              </w:rPr>
              <w:t>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4" w:hRule="atLeast"/>
        </w:trPr>
        <w:tc>
          <w:tcPr>
            <w:tcW w:w="1290" w:type="dxa"/>
            <w:vMerge w:val="continue"/>
            <w:tcBorders>
              <w:top w:val="nil"/>
              <w:left w:val="nil"/>
              <w:bottom w:val="nil"/>
            </w:tcBorders>
            <w:vAlign w:val="top"/>
          </w:tcPr>
          <w:p>
            <w:pPr>
              <w:rPr>
                <w:rFonts w:ascii="Arial"/>
                <w:sz w:val="21"/>
              </w:rPr>
            </w:pPr>
          </w:p>
        </w:tc>
        <w:tc>
          <w:tcPr>
            <w:tcW w:w="1701" w:type="dxa"/>
            <w:vAlign w:val="top"/>
          </w:tcPr>
          <w:p>
            <w:pPr>
              <w:spacing w:before="73" w:line="211" w:lineRule="auto"/>
              <w:ind w:left="651"/>
              <w:rPr>
                <w:rFonts w:ascii="仿宋" w:hAnsi="仿宋" w:eastAsia="仿宋" w:cs="仿宋"/>
                <w:sz w:val="21"/>
                <w:szCs w:val="21"/>
              </w:rPr>
            </w:pPr>
            <w:r>
              <w:rPr>
                <w:rFonts w:ascii="仿宋" w:hAnsi="仿宋" w:eastAsia="仿宋" w:cs="仿宋"/>
                <w:spacing w:val="-4"/>
                <w:sz w:val="21"/>
                <w:szCs w:val="21"/>
              </w:rPr>
              <w:t>水温</w:t>
            </w:r>
          </w:p>
        </w:tc>
        <w:tc>
          <w:tcPr>
            <w:tcW w:w="5331" w:type="dxa"/>
            <w:tcBorders>
              <w:right w:val="nil"/>
            </w:tcBorders>
            <w:vAlign w:val="top"/>
          </w:tcPr>
          <w:p>
            <w:pPr>
              <w:spacing w:before="73" w:line="211" w:lineRule="auto"/>
              <w:ind w:left="2468"/>
              <w:rPr>
                <w:rFonts w:ascii="仿宋" w:hAnsi="仿宋" w:eastAsia="仿宋" w:cs="仿宋"/>
                <w:sz w:val="21"/>
                <w:szCs w:val="21"/>
              </w:rPr>
            </w:pPr>
            <w:r>
              <w:rPr>
                <w:rFonts w:ascii="仿宋" w:hAnsi="仿宋" w:eastAsia="仿宋" w:cs="仿宋"/>
                <w:spacing w:val="-4"/>
                <w:sz w:val="21"/>
                <w:szCs w:val="21"/>
              </w:rPr>
              <w:t>水温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290" w:type="dxa"/>
            <w:vMerge w:val="continue"/>
            <w:tcBorders>
              <w:top w:val="nil"/>
              <w:left w:val="nil"/>
            </w:tcBorders>
            <w:vAlign w:val="top"/>
          </w:tcPr>
          <w:p>
            <w:pPr>
              <w:rPr>
                <w:rFonts w:ascii="Arial"/>
                <w:sz w:val="21"/>
              </w:rPr>
            </w:pPr>
          </w:p>
        </w:tc>
        <w:tc>
          <w:tcPr>
            <w:tcW w:w="1701" w:type="dxa"/>
            <w:vAlign w:val="top"/>
          </w:tcPr>
          <w:p>
            <w:pPr>
              <w:spacing w:before="71" w:line="207" w:lineRule="auto"/>
              <w:ind w:left="337"/>
              <w:rPr>
                <w:rFonts w:ascii="仿宋" w:hAnsi="仿宋" w:eastAsia="仿宋" w:cs="仿宋"/>
                <w:sz w:val="21"/>
                <w:szCs w:val="21"/>
              </w:rPr>
            </w:pPr>
            <w:r>
              <w:rPr>
                <w:rFonts w:ascii="仿宋" w:hAnsi="仿宋" w:eastAsia="仿宋" w:cs="仿宋"/>
                <w:spacing w:val="-3"/>
                <w:sz w:val="21"/>
                <w:szCs w:val="21"/>
              </w:rPr>
              <w:t>水资源利用</w:t>
            </w:r>
          </w:p>
        </w:tc>
        <w:tc>
          <w:tcPr>
            <w:tcW w:w="5331" w:type="dxa"/>
            <w:tcBorders>
              <w:right w:val="nil"/>
            </w:tcBorders>
            <w:vAlign w:val="top"/>
          </w:tcPr>
          <w:p>
            <w:pPr>
              <w:spacing w:before="71" w:line="207" w:lineRule="auto"/>
              <w:ind w:left="2153"/>
              <w:rPr>
                <w:rFonts w:ascii="仿宋" w:hAnsi="仿宋" w:eastAsia="仿宋" w:cs="仿宋"/>
                <w:sz w:val="21"/>
                <w:szCs w:val="21"/>
              </w:rPr>
            </w:pPr>
            <w:r>
              <w:rPr>
                <w:rFonts w:ascii="仿宋" w:hAnsi="仿宋" w:eastAsia="仿宋" w:cs="仿宋"/>
                <w:spacing w:val="-3"/>
                <w:sz w:val="21"/>
                <w:szCs w:val="21"/>
              </w:rPr>
              <w:t>水资源利用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8" w:hRule="atLeast"/>
        </w:trPr>
        <w:tc>
          <w:tcPr>
            <w:tcW w:w="1290" w:type="dxa"/>
            <w:vMerge w:val="restart"/>
            <w:tcBorders>
              <w:left w:val="nil"/>
              <w:bottom w:val="nil"/>
            </w:tcBorders>
            <w:vAlign w:val="top"/>
          </w:tcPr>
          <w:p>
            <w:pPr>
              <w:spacing w:line="313" w:lineRule="auto"/>
              <w:rPr>
                <w:rFonts w:ascii="Arial"/>
                <w:sz w:val="21"/>
              </w:rPr>
            </w:pPr>
          </w:p>
          <w:p>
            <w:pPr>
              <w:spacing w:line="313" w:lineRule="auto"/>
              <w:rPr>
                <w:rFonts w:ascii="Arial"/>
                <w:sz w:val="21"/>
              </w:rPr>
            </w:pPr>
          </w:p>
          <w:p>
            <w:pPr>
              <w:spacing w:before="69" w:line="218" w:lineRule="auto"/>
              <w:ind w:left="139"/>
              <w:rPr>
                <w:rFonts w:ascii="仿宋" w:hAnsi="仿宋" w:eastAsia="仿宋" w:cs="仿宋"/>
                <w:sz w:val="21"/>
                <w:szCs w:val="21"/>
              </w:rPr>
            </w:pPr>
            <w:r>
              <w:rPr>
                <w:rFonts w:ascii="仿宋" w:hAnsi="仿宋" w:eastAsia="仿宋" w:cs="仿宋"/>
                <w:spacing w:val="-3"/>
                <w:sz w:val="21"/>
                <w:szCs w:val="21"/>
              </w:rPr>
              <w:t>地下水环境</w:t>
            </w:r>
          </w:p>
        </w:tc>
        <w:tc>
          <w:tcPr>
            <w:tcW w:w="1701" w:type="dxa"/>
            <w:vAlign w:val="top"/>
          </w:tcPr>
          <w:p>
            <w:pPr>
              <w:spacing w:line="467" w:lineRule="auto"/>
              <w:rPr>
                <w:rFonts w:ascii="Arial"/>
                <w:sz w:val="21"/>
              </w:rPr>
            </w:pPr>
          </w:p>
          <w:p>
            <w:pPr>
              <w:spacing w:before="69" w:line="219" w:lineRule="auto"/>
              <w:ind w:left="651"/>
              <w:rPr>
                <w:rFonts w:ascii="仿宋" w:hAnsi="仿宋" w:eastAsia="仿宋" w:cs="仿宋"/>
                <w:sz w:val="21"/>
                <w:szCs w:val="21"/>
              </w:rPr>
            </w:pPr>
            <w:r>
              <w:rPr>
                <w:rFonts w:ascii="仿宋" w:hAnsi="仿宋" w:eastAsia="仿宋" w:cs="仿宋"/>
                <w:spacing w:val="-4"/>
                <w:sz w:val="21"/>
                <w:szCs w:val="21"/>
              </w:rPr>
              <w:t>水质</w:t>
            </w:r>
          </w:p>
        </w:tc>
        <w:tc>
          <w:tcPr>
            <w:tcW w:w="5331" w:type="dxa"/>
            <w:tcBorders>
              <w:right w:val="nil"/>
            </w:tcBorders>
            <w:vAlign w:val="top"/>
          </w:tcPr>
          <w:p>
            <w:pPr>
              <w:pStyle w:val="6"/>
              <w:spacing w:before="71" w:line="255" w:lineRule="auto"/>
              <w:ind w:left="19" w:firstLine="47"/>
              <w:rPr>
                <w:rFonts w:ascii="仿宋" w:hAnsi="仿宋" w:eastAsia="仿宋" w:cs="仿宋"/>
              </w:rPr>
            </w:pPr>
            <w:r>
              <w:rPr>
                <w:spacing w:val="-4"/>
              </w:rPr>
              <w:t>pH</w:t>
            </w:r>
            <w:r>
              <w:rPr>
                <w:rFonts w:ascii="仿宋" w:hAnsi="仿宋" w:eastAsia="仿宋" w:cs="仿宋"/>
                <w:spacing w:val="-4"/>
              </w:rPr>
              <w:t>、氨氮、硝酸盐、亚硝酸盐、挥发性酚、氰化物、砷、</w:t>
            </w:r>
            <w:r>
              <w:rPr>
                <w:rFonts w:ascii="仿宋" w:hAnsi="仿宋" w:eastAsia="仿宋" w:cs="仿宋"/>
                <w:spacing w:val="10"/>
              </w:rPr>
              <w:t xml:space="preserve"> </w:t>
            </w:r>
            <w:r>
              <w:rPr>
                <w:rFonts w:ascii="仿宋" w:hAnsi="仿宋" w:eastAsia="仿宋" w:cs="仿宋"/>
                <w:spacing w:val="-8"/>
              </w:rPr>
              <w:t>汞、铬</w:t>
            </w:r>
            <w:r>
              <w:rPr>
                <w:spacing w:val="-8"/>
              </w:rPr>
              <w:t>(</w:t>
            </w:r>
            <w:r>
              <w:rPr>
                <w:rFonts w:ascii="仿宋" w:hAnsi="仿宋" w:eastAsia="仿宋" w:cs="仿宋"/>
                <w:spacing w:val="-8"/>
              </w:rPr>
              <w:t>六价）、总硬度、铅、氟、镉、铁、</w:t>
            </w:r>
            <w:r>
              <w:rPr>
                <w:rFonts w:ascii="仿宋" w:hAnsi="仿宋" w:eastAsia="仿宋" w:cs="仿宋"/>
                <w:spacing w:val="-9"/>
              </w:rPr>
              <w:t>锰、溶解性总固</w:t>
            </w:r>
            <w:r>
              <w:rPr>
                <w:rFonts w:ascii="仿宋" w:hAnsi="仿宋" w:eastAsia="仿宋" w:cs="仿宋"/>
              </w:rPr>
              <w:t xml:space="preserve"> </w:t>
            </w:r>
            <w:r>
              <w:rPr>
                <w:rFonts w:ascii="仿宋" w:hAnsi="仿宋" w:eastAsia="仿宋" w:cs="仿宋"/>
                <w:spacing w:val="-1"/>
              </w:rPr>
              <w:t>体、高锰酸盐指数、硫酸盐、氯化物、总大肠菌群、细菌</w:t>
            </w:r>
          </w:p>
          <w:p>
            <w:pPr>
              <w:spacing w:before="65" w:line="203" w:lineRule="auto"/>
              <w:ind w:left="2482"/>
              <w:rPr>
                <w:rFonts w:ascii="仿宋" w:hAnsi="仿宋" w:eastAsia="仿宋" w:cs="仿宋"/>
                <w:sz w:val="21"/>
                <w:szCs w:val="21"/>
              </w:rPr>
            </w:pPr>
            <w:r>
              <w:rPr>
                <w:rFonts w:ascii="仿宋" w:hAnsi="仿宋" w:eastAsia="仿宋" w:cs="仿宋"/>
                <w:spacing w:val="-7"/>
                <w:sz w:val="21"/>
                <w:szCs w:val="21"/>
              </w:rPr>
              <w:t>总数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290" w:type="dxa"/>
            <w:vMerge w:val="continue"/>
            <w:tcBorders>
              <w:top w:val="nil"/>
              <w:left w:val="nil"/>
            </w:tcBorders>
            <w:vAlign w:val="top"/>
          </w:tcPr>
          <w:p>
            <w:pPr>
              <w:rPr>
                <w:rFonts w:ascii="Arial"/>
                <w:sz w:val="21"/>
              </w:rPr>
            </w:pPr>
          </w:p>
        </w:tc>
        <w:tc>
          <w:tcPr>
            <w:tcW w:w="1701" w:type="dxa"/>
            <w:vAlign w:val="top"/>
          </w:tcPr>
          <w:p>
            <w:pPr>
              <w:spacing w:before="76" w:line="201" w:lineRule="auto"/>
              <w:ind w:left="651"/>
              <w:rPr>
                <w:rFonts w:ascii="仿宋" w:hAnsi="仿宋" w:eastAsia="仿宋" w:cs="仿宋"/>
                <w:sz w:val="21"/>
                <w:szCs w:val="21"/>
              </w:rPr>
            </w:pPr>
            <w:r>
              <w:rPr>
                <w:rFonts w:ascii="仿宋" w:hAnsi="仿宋" w:eastAsia="仿宋" w:cs="仿宋"/>
                <w:spacing w:val="-4"/>
                <w:sz w:val="21"/>
                <w:szCs w:val="21"/>
              </w:rPr>
              <w:t>水位</w:t>
            </w:r>
          </w:p>
        </w:tc>
        <w:tc>
          <w:tcPr>
            <w:tcW w:w="5331" w:type="dxa"/>
            <w:tcBorders>
              <w:right w:val="nil"/>
            </w:tcBorders>
            <w:vAlign w:val="top"/>
          </w:tcPr>
          <w:p>
            <w:pPr>
              <w:spacing w:before="76" w:line="201" w:lineRule="auto"/>
              <w:ind w:left="2468"/>
              <w:rPr>
                <w:rFonts w:ascii="仿宋" w:hAnsi="仿宋" w:eastAsia="仿宋" w:cs="仿宋"/>
                <w:sz w:val="21"/>
                <w:szCs w:val="21"/>
              </w:rPr>
            </w:pPr>
            <w:r>
              <w:rPr>
                <w:rFonts w:ascii="仿宋" w:hAnsi="仿宋" w:eastAsia="仿宋" w:cs="仿宋"/>
                <w:spacing w:val="-4"/>
                <w:sz w:val="21"/>
                <w:szCs w:val="21"/>
              </w:rPr>
              <w:t>水位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991" w:type="dxa"/>
            <w:gridSpan w:val="2"/>
            <w:tcBorders>
              <w:left w:val="nil"/>
            </w:tcBorders>
            <w:vAlign w:val="top"/>
          </w:tcPr>
          <w:p>
            <w:pPr>
              <w:spacing w:before="78" w:line="200" w:lineRule="auto"/>
              <w:ind w:left="1198"/>
              <w:rPr>
                <w:rFonts w:ascii="仿宋" w:hAnsi="仿宋" w:eastAsia="仿宋" w:cs="仿宋"/>
                <w:sz w:val="21"/>
                <w:szCs w:val="21"/>
              </w:rPr>
            </w:pPr>
            <w:r>
              <w:rPr>
                <w:rFonts w:ascii="仿宋" w:hAnsi="仿宋" w:eastAsia="仿宋" w:cs="仿宋"/>
                <w:spacing w:val="-3"/>
                <w:sz w:val="21"/>
                <w:szCs w:val="21"/>
              </w:rPr>
              <w:t>声环境</w:t>
            </w:r>
          </w:p>
        </w:tc>
        <w:tc>
          <w:tcPr>
            <w:tcW w:w="5331" w:type="dxa"/>
            <w:tcBorders>
              <w:right w:val="nil"/>
            </w:tcBorders>
            <w:vAlign w:val="top"/>
          </w:tcPr>
          <w:p>
            <w:pPr>
              <w:pStyle w:val="6"/>
              <w:spacing w:before="77" w:line="201" w:lineRule="auto"/>
              <w:ind w:left="2266"/>
              <w:rPr>
                <w:rFonts w:ascii="仿宋" w:hAnsi="仿宋" w:eastAsia="仿宋" w:cs="仿宋"/>
              </w:rPr>
            </w:pPr>
            <w:r>
              <w:rPr>
                <w:spacing w:val="-2"/>
              </w:rPr>
              <w:t>dB</w:t>
            </w:r>
            <w:r>
              <w:rPr>
                <w:rFonts w:ascii="仿宋" w:hAnsi="仿宋" w:eastAsia="仿宋" w:cs="仿宋"/>
                <w:spacing w:val="-2"/>
              </w:rPr>
              <w:t>（</w:t>
            </w:r>
            <w:r>
              <w:rPr>
                <w:spacing w:val="-2"/>
              </w:rPr>
              <w:t>A</w:t>
            </w:r>
            <w:r>
              <w:rPr>
                <w:rFonts w:ascii="仿宋" w:hAnsi="仿宋" w:eastAsia="仿宋" w:cs="仿宋"/>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991" w:type="dxa"/>
            <w:gridSpan w:val="2"/>
            <w:tcBorders>
              <w:left w:val="nil"/>
            </w:tcBorders>
            <w:vAlign w:val="top"/>
          </w:tcPr>
          <w:p>
            <w:pPr>
              <w:spacing w:before="79" w:line="198" w:lineRule="auto"/>
              <w:ind w:left="1098"/>
              <w:rPr>
                <w:rFonts w:ascii="仿宋" w:hAnsi="仿宋" w:eastAsia="仿宋" w:cs="仿宋"/>
                <w:sz w:val="21"/>
                <w:szCs w:val="21"/>
              </w:rPr>
            </w:pPr>
            <w:r>
              <w:rPr>
                <w:rFonts w:ascii="仿宋" w:hAnsi="仿宋" w:eastAsia="仿宋" w:cs="仿宋"/>
                <w:spacing w:val="-5"/>
                <w:sz w:val="21"/>
                <w:szCs w:val="21"/>
              </w:rPr>
              <w:t>大气环境</w:t>
            </w:r>
          </w:p>
        </w:tc>
        <w:tc>
          <w:tcPr>
            <w:tcW w:w="5331" w:type="dxa"/>
            <w:tcBorders>
              <w:right w:val="nil"/>
            </w:tcBorders>
            <w:vAlign w:val="top"/>
          </w:tcPr>
          <w:p>
            <w:pPr>
              <w:pStyle w:val="6"/>
              <w:spacing w:before="114" w:line="188" w:lineRule="auto"/>
              <w:ind w:left="2491"/>
            </w:pPr>
            <w:r>
              <w:rPr>
                <w:spacing w:val="-3"/>
              </w:rPr>
              <w:t>TSP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2991" w:type="dxa"/>
            <w:gridSpan w:val="2"/>
            <w:tcBorders>
              <w:left w:val="nil"/>
              <w:bottom w:val="single" w:color="000000" w:sz="12" w:space="0"/>
            </w:tcBorders>
            <w:vAlign w:val="top"/>
          </w:tcPr>
          <w:p>
            <w:pPr>
              <w:spacing w:before="80" w:line="217" w:lineRule="auto"/>
              <w:ind w:left="1118"/>
              <w:rPr>
                <w:rFonts w:ascii="仿宋" w:hAnsi="仿宋" w:eastAsia="仿宋" w:cs="仿宋"/>
                <w:sz w:val="21"/>
                <w:szCs w:val="21"/>
              </w:rPr>
            </w:pPr>
            <w:r>
              <w:rPr>
                <w:rFonts w:ascii="仿宋" w:hAnsi="仿宋" w:eastAsia="仿宋" w:cs="仿宋"/>
                <w:spacing w:val="-10"/>
                <w:sz w:val="21"/>
                <w:szCs w:val="21"/>
              </w:rPr>
              <w:t>固体废物</w:t>
            </w:r>
          </w:p>
        </w:tc>
        <w:tc>
          <w:tcPr>
            <w:tcW w:w="5331" w:type="dxa"/>
            <w:tcBorders>
              <w:bottom w:val="single" w:color="000000" w:sz="12" w:space="0"/>
              <w:right w:val="nil"/>
            </w:tcBorders>
            <w:vAlign w:val="top"/>
          </w:tcPr>
          <w:p>
            <w:pPr>
              <w:spacing w:before="80" w:line="219" w:lineRule="auto"/>
              <w:ind w:left="1745"/>
              <w:rPr>
                <w:rFonts w:ascii="仿宋" w:hAnsi="仿宋" w:eastAsia="仿宋" w:cs="仿宋"/>
                <w:sz w:val="21"/>
                <w:szCs w:val="21"/>
              </w:rPr>
            </w:pPr>
            <w:r>
              <w:rPr>
                <w:rFonts w:ascii="仿宋" w:hAnsi="仿宋" w:eastAsia="仿宋" w:cs="仿宋"/>
                <w:spacing w:val="-4"/>
                <w:sz w:val="21"/>
                <w:szCs w:val="21"/>
              </w:rPr>
              <w:t>工程弃渣、生活垃圾</w:t>
            </w:r>
          </w:p>
        </w:tc>
      </w:tr>
    </w:tbl>
    <w:p>
      <w:pPr>
        <w:spacing w:line="242" w:lineRule="auto"/>
        <w:rPr>
          <w:rFonts w:ascii="Arial"/>
          <w:sz w:val="21"/>
        </w:rPr>
      </w:pPr>
    </w:p>
    <w:p>
      <w:pPr>
        <w:pStyle w:val="2"/>
        <w:spacing w:before="88"/>
        <w:ind w:left="48"/>
        <w:outlineLvl w:val="0"/>
        <w:rPr>
          <w:sz w:val="27"/>
          <w:szCs w:val="27"/>
        </w:rPr>
      </w:pPr>
      <w:bookmarkStart w:id="12" w:name="bookmark13"/>
      <w:bookmarkEnd w:id="12"/>
      <w:r>
        <w:rPr>
          <w:rFonts w:ascii="Times New Roman" w:hAnsi="Times New Roman" w:eastAsia="Times New Roman" w:cs="Times New Roman"/>
          <w:b/>
          <w:bCs/>
          <w:spacing w:val="6"/>
          <w:sz w:val="27"/>
          <w:szCs w:val="27"/>
        </w:rPr>
        <w:t xml:space="preserve">1.4 </w:t>
      </w:r>
      <w:r>
        <w:rPr>
          <w:spacing w:val="6"/>
          <w:sz w:val="27"/>
          <w:szCs w:val="27"/>
          <w14:textOutline w14:w="5072" w14:cap="flat" w14:cmpd="sng">
            <w14:solidFill>
              <w14:srgbClr w14:val="000000"/>
            </w14:solidFill>
            <w14:prstDash w14:val="solid"/>
            <w14:miter w14:val="0"/>
          </w14:textOutline>
        </w:rPr>
        <w:t>环境功能区划</w:t>
      </w:r>
    </w:p>
    <w:p>
      <w:pPr>
        <w:spacing w:before="265" w:line="360" w:lineRule="auto"/>
        <w:ind w:left="40" w:right="187" w:firstLine="482"/>
        <w:jc w:val="both"/>
        <w:rPr>
          <w:rFonts w:ascii="宋体" w:hAnsi="宋体" w:eastAsia="宋体" w:cs="宋体"/>
          <w:sz w:val="24"/>
          <w:szCs w:val="24"/>
        </w:rPr>
      </w:pPr>
      <w:r>
        <w:rPr>
          <w:rFonts w:ascii="宋体" w:hAnsi="宋体" w:eastAsia="宋体" w:cs="宋体"/>
          <w:spacing w:val="-3"/>
          <w:sz w:val="24"/>
          <w:szCs w:val="24"/>
        </w:rPr>
        <w:t>项目区域地表水主要为万马河流域（桂花河、罗子左河、</w:t>
      </w:r>
      <w:r>
        <w:rPr>
          <w:rFonts w:ascii="宋体" w:hAnsi="宋体" w:eastAsia="宋体" w:cs="宋体"/>
          <w:spacing w:val="-4"/>
          <w:sz w:val="24"/>
          <w:szCs w:val="24"/>
        </w:rPr>
        <w:t>马茨河）、蜻蛉河</w:t>
      </w:r>
      <w:r>
        <w:rPr>
          <w:rFonts w:ascii="宋体" w:hAnsi="宋体" w:eastAsia="宋体" w:cs="宋体"/>
          <w:sz w:val="24"/>
          <w:szCs w:val="24"/>
        </w:rPr>
        <w:t xml:space="preserve"> </w:t>
      </w:r>
      <w:r>
        <w:rPr>
          <w:rFonts w:ascii="宋体" w:hAnsi="宋体" w:eastAsia="宋体" w:cs="宋体"/>
          <w:spacing w:val="1"/>
          <w:sz w:val="24"/>
          <w:szCs w:val="24"/>
        </w:rPr>
        <w:t>流域（者纳么河、六苴河、碧么水库、六姑乍箐、昔木乍箐、见簸</w:t>
      </w:r>
      <w:r>
        <w:rPr>
          <w:rFonts w:ascii="宋体" w:hAnsi="宋体" w:eastAsia="宋体" w:cs="宋体"/>
          <w:sz w:val="24"/>
          <w:szCs w:val="24"/>
        </w:rPr>
        <w:t>箐</w:t>
      </w:r>
      <w:r>
        <w:rPr>
          <w:rFonts w:ascii="宋体" w:hAnsi="宋体" w:eastAsia="宋体" w:cs="宋体"/>
          <w:spacing w:val="-61"/>
          <w:w w:val="97"/>
          <w:sz w:val="24"/>
          <w:szCs w:val="24"/>
        </w:rPr>
        <w:t>），</w:t>
      </w:r>
      <w:r>
        <w:rPr>
          <w:rFonts w:ascii="宋体" w:hAnsi="宋体" w:eastAsia="宋体" w:cs="宋体"/>
          <w:sz w:val="24"/>
          <w:szCs w:val="24"/>
        </w:rPr>
        <w:t>属于金</w:t>
      </w:r>
    </w:p>
    <w:p>
      <w:pPr>
        <w:spacing w:line="220" w:lineRule="auto"/>
        <w:ind w:left="41"/>
        <w:rPr>
          <w:rFonts w:ascii="宋体" w:hAnsi="宋体" w:eastAsia="宋体" w:cs="宋体"/>
          <w:sz w:val="24"/>
          <w:szCs w:val="24"/>
        </w:rPr>
      </w:pPr>
      <w:r>
        <w:rPr>
          <w:rFonts w:ascii="宋体" w:hAnsi="宋体" w:eastAsia="宋体" w:cs="宋体"/>
          <w:spacing w:val="-1"/>
          <w:sz w:val="24"/>
          <w:szCs w:val="24"/>
        </w:rPr>
        <w:t>沙江一级支流万马河上游支流。</w:t>
      </w:r>
    </w:p>
    <w:p>
      <w:pPr>
        <w:spacing w:before="182" w:line="360" w:lineRule="auto"/>
        <w:ind w:left="40" w:right="186" w:firstLine="479"/>
        <w:jc w:val="both"/>
        <w:rPr>
          <w:rFonts w:ascii="宋体" w:hAnsi="宋体" w:eastAsia="宋体" w:cs="宋体"/>
          <w:sz w:val="24"/>
          <w:szCs w:val="24"/>
        </w:rPr>
      </w:pPr>
      <w:r>
        <w:rPr>
          <w:rFonts w:ascii="宋体" w:hAnsi="宋体" w:eastAsia="宋体" w:cs="宋体"/>
          <w:spacing w:val="-10"/>
          <w:sz w:val="24"/>
          <w:szCs w:val="24"/>
        </w:rPr>
        <w:t>根据《云南省水功能区划》（</w:t>
      </w:r>
      <w:r>
        <w:rPr>
          <w:rFonts w:ascii="Times New Roman" w:hAnsi="Times New Roman" w:eastAsia="Times New Roman" w:cs="Times New Roman"/>
          <w:spacing w:val="-10"/>
          <w:sz w:val="24"/>
          <w:szCs w:val="24"/>
        </w:rPr>
        <w:t xml:space="preserve">2014 </w:t>
      </w:r>
      <w:r>
        <w:rPr>
          <w:rFonts w:ascii="宋体" w:hAnsi="宋体" w:eastAsia="宋体" w:cs="宋体"/>
          <w:spacing w:val="-10"/>
          <w:sz w:val="24"/>
          <w:szCs w:val="24"/>
        </w:rPr>
        <w:t>年修订</w:t>
      </w:r>
      <w:r>
        <w:rPr>
          <w:rFonts w:ascii="宋体" w:hAnsi="宋体" w:eastAsia="宋体" w:cs="宋体"/>
          <w:spacing w:val="-28"/>
          <w:sz w:val="24"/>
          <w:szCs w:val="24"/>
        </w:rPr>
        <w:t>），</w:t>
      </w:r>
      <w:r>
        <w:rPr>
          <w:rFonts w:ascii="宋体" w:hAnsi="宋体" w:eastAsia="宋体" w:cs="宋体"/>
          <w:spacing w:val="-10"/>
          <w:sz w:val="24"/>
          <w:szCs w:val="24"/>
        </w:rPr>
        <w:t>项目涉及蜻蛉河流域属蜻蛉河大</w:t>
      </w:r>
      <w:r>
        <w:rPr>
          <w:rFonts w:ascii="宋体" w:hAnsi="宋体" w:eastAsia="宋体" w:cs="宋体"/>
          <w:spacing w:val="1"/>
          <w:sz w:val="24"/>
          <w:szCs w:val="24"/>
        </w:rPr>
        <w:t xml:space="preserve"> </w:t>
      </w:r>
      <w:r>
        <w:rPr>
          <w:rFonts w:ascii="宋体" w:hAnsi="宋体" w:eastAsia="宋体" w:cs="宋体"/>
          <w:spacing w:val="-11"/>
          <w:sz w:val="24"/>
          <w:szCs w:val="24"/>
        </w:rPr>
        <w:t>姚</w:t>
      </w:r>
      <w:r>
        <w:rPr>
          <w:rFonts w:ascii="Times New Roman" w:hAnsi="Times New Roman" w:eastAsia="Times New Roman" w:cs="Times New Roman"/>
          <w:spacing w:val="-11"/>
          <w:sz w:val="24"/>
          <w:szCs w:val="24"/>
        </w:rPr>
        <w:t>-</w:t>
      </w:r>
      <w:r>
        <w:rPr>
          <w:rFonts w:ascii="宋体" w:hAnsi="宋体" w:eastAsia="宋体" w:cs="宋体"/>
          <w:spacing w:val="-11"/>
          <w:sz w:val="24"/>
          <w:szCs w:val="24"/>
        </w:rPr>
        <w:t>元谋保留区，现状水质为Ⅱ类， 规划水平年水质目标为Ⅱ类。因此</w:t>
      </w:r>
      <w:r>
        <w:rPr>
          <w:rFonts w:ascii="宋体" w:hAnsi="宋体" w:eastAsia="宋体" w:cs="宋体"/>
          <w:spacing w:val="-12"/>
          <w:sz w:val="24"/>
          <w:szCs w:val="24"/>
        </w:rPr>
        <w:t>， 蜻蛉河支</w:t>
      </w:r>
      <w:r>
        <w:rPr>
          <w:rFonts w:ascii="宋体" w:hAnsi="宋体" w:eastAsia="宋体" w:cs="宋体"/>
          <w:sz w:val="24"/>
          <w:szCs w:val="24"/>
        </w:rPr>
        <w:t xml:space="preserve"> </w:t>
      </w:r>
      <w:r>
        <w:rPr>
          <w:rFonts w:ascii="宋体" w:hAnsi="宋体" w:eastAsia="宋体" w:cs="宋体"/>
          <w:spacing w:val="-3"/>
          <w:sz w:val="24"/>
          <w:szCs w:val="24"/>
        </w:rPr>
        <w:t>流者纳么河上游者纳么河、六苴河、碧么水库、六姑乍箐、昔木乍箐、见簸箐参</w:t>
      </w:r>
    </w:p>
    <w:p>
      <w:pPr>
        <w:spacing w:before="1" w:line="219" w:lineRule="auto"/>
        <w:ind w:left="40"/>
        <w:rPr>
          <w:rFonts w:ascii="宋体" w:hAnsi="宋体" w:eastAsia="宋体" w:cs="宋体"/>
          <w:sz w:val="24"/>
          <w:szCs w:val="24"/>
        </w:rPr>
      </w:pPr>
      <w:r>
        <w:rPr>
          <w:rFonts w:ascii="宋体" w:hAnsi="宋体" w:eastAsia="宋体" w:cs="宋体"/>
          <w:spacing w:val="-4"/>
          <w:sz w:val="24"/>
          <w:szCs w:val="24"/>
        </w:rPr>
        <w:t>照执行《地表水环境质量标准》（</w:t>
      </w:r>
      <w:r>
        <w:rPr>
          <w:rFonts w:ascii="Times New Roman" w:hAnsi="Times New Roman" w:eastAsia="Times New Roman" w:cs="Times New Roman"/>
          <w:spacing w:val="-4"/>
          <w:sz w:val="24"/>
          <w:szCs w:val="24"/>
        </w:rPr>
        <w:t>GB38</w:t>
      </w:r>
      <w:r>
        <w:rPr>
          <w:rFonts w:ascii="Times New Roman" w:hAnsi="Times New Roman" w:eastAsia="Times New Roman" w:cs="Times New Roman"/>
          <w:spacing w:val="-5"/>
          <w:sz w:val="24"/>
          <w:szCs w:val="24"/>
        </w:rPr>
        <w:t>38-2002</w:t>
      </w:r>
      <w:r>
        <w:rPr>
          <w:rFonts w:ascii="宋体" w:hAnsi="宋体" w:eastAsia="宋体" w:cs="宋体"/>
          <w:spacing w:val="-5"/>
          <w:sz w:val="24"/>
          <w:szCs w:val="24"/>
        </w:rPr>
        <w:t>）中Ⅱ类标。</w:t>
      </w:r>
    </w:p>
    <w:p>
      <w:pPr>
        <w:spacing w:before="182" w:line="219" w:lineRule="auto"/>
        <w:jc w:val="right"/>
        <w:rPr>
          <w:rFonts w:ascii="宋体" w:hAnsi="宋体" w:eastAsia="宋体" w:cs="宋体"/>
          <w:sz w:val="24"/>
          <w:szCs w:val="24"/>
        </w:rPr>
      </w:pPr>
      <w:r>
        <w:rPr>
          <w:rFonts w:ascii="宋体" w:hAnsi="宋体" w:eastAsia="宋体" w:cs="宋体"/>
          <w:spacing w:val="-21"/>
          <w:sz w:val="24"/>
          <w:szCs w:val="24"/>
        </w:rPr>
        <w:t>根据《楚雄州水功能区划（第二版）》，万马河河源至大姚县桂花，</w:t>
      </w:r>
      <w:r>
        <w:rPr>
          <w:rFonts w:ascii="宋体" w:hAnsi="宋体" w:eastAsia="宋体" w:cs="宋体"/>
          <w:spacing w:val="-31"/>
          <w:sz w:val="24"/>
          <w:szCs w:val="24"/>
        </w:rPr>
        <w:t xml:space="preserve"> </w:t>
      </w:r>
      <w:r>
        <w:rPr>
          <w:rFonts w:ascii="宋体" w:hAnsi="宋体" w:eastAsia="宋体" w:cs="宋体"/>
          <w:spacing w:val="-21"/>
          <w:sz w:val="24"/>
          <w:szCs w:val="24"/>
        </w:rPr>
        <w:t>全长</w:t>
      </w:r>
      <w:r>
        <w:rPr>
          <w:rFonts w:ascii="宋体" w:hAnsi="宋体" w:eastAsia="宋体" w:cs="宋体"/>
          <w:spacing w:val="-33"/>
          <w:sz w:val="24"/>
          <w:szCs w:val="24"/>
        </w:rPr>
        <w:t xml:space="preserve"> </w:t>
      </w:r>
      <w:r>
        <w:rPr>
          <w:rFonts w:ascii="Times New Roman" w:hAnsi="Times New Roman" w:eastAsia="Times New Roman" w:cs="Times New Roman"/>
          <w:spacing w:val="-21"/>
          <w:sz w:val="24"/>
          <w:szCs w:val="24"/>
        </w:rPr>
        <w:t>15.7km</w:t>
      </w:r>
      <w:r>
        <w:rPr>
          <w:rFonts w:ascii="宋体" w:hAnsi="宋体" w:eastAsia="宋体" w:cs="宋体"/>
          <w:spacing w:val="-21"/>
          <w:sz w:val="24"/>
          <w:szCs w:val="24"/>
        </w:rPr>
        <w:t>，</w:t>
      </w:r>
    </w:p>
    <w:p>
      <w:pPr>
        <w:spacing w:line="219" w:lineRule="auto"/>
        <w:rPr>
          <w:rFonts w:ascii="宋体" w:hAnsi="宋体" w:eastAsia="宋体" w:cs="宋体"/>
          <w:sz w:val="24"/>
          <w:szCs w:val="24"/>
        </w:rPr>
        <w:sectPr>
          <w:headerReference r:id="rId29" w:type="default"/>
          <w:footerReference r:id="rId30" w:type="default"/>
          <w:pgSz w:w="11907" w:h="16839"/>
          <w:pgMar w:top="1156" w:right="1611" w:bottom="1153" w:left="1770" w:header="881" w:footer="990" w:gutter="0"/>
        </w:sectPr>
      </w:pPr>
    </w:p>
    <w:p>
      <w:pPr>
        <w:spacing w:line="317" w:lineRule="auto"/>
        <w:rPr>
          <w:rFonts w:ascii="Arial"/>
          <w:sz w:val="21"/>
        </w:rPr>
      </w:pPr>
    </w:p>
    <w:p>
      <w:pPr>
        <w:spacing w:before="78" w:line="468" w:lineRule="exact"/>
        <w:ind w:left="40"/>
        <w:rPr>
          <w:rFonts w:ascii="宋体" w:hAnsi="宋体" w:eastAsia="宋体" w:cs="宋体"/>
          <w:sz w:val="24"/>
          <w:szCs w:val="24"/>
        </w:rPr>
      </w:pPr>
      <w:r>
        <w:rPr>
          <w:rFonts w:ascii="宋体" w:hAnsi="宋体" w:eastAsia="宋体" w:cs="宋体"/>
          <w:spacing w:val="-3"/>
          <w:position w:val="17"/>
          <w:sz w:val="24"/>
          <w:szCs w:val="24"/>
        </w:rPr>
        <w:t>规划水平年水质目标为Ⅱ类。桂花河、罗子左河、马茨</w:t>
      </w:r>
      <w:r>
        <w:rPr>
          <w:rFonts w:ascii="宋体" w:hAnsi="宋体" w:eastAsia="宋体" w:cs="宋体"/>
          <w:spacing w:val="-4"/>
          <w:position w:val="17"/>
          <w:sz w:val="24"/>
          <w:szCs w:val="24"/>
        </w:rPr>
        <w:t>河参照执行《地表水环境</w:t>
      </w:r>
    </w:p>
    <w:p>
      <w:pPr>
        <w:spacing w:line="219" w:lineRule="auto"/>
        <w:ind w:left="40"/>
        <w:rPr>
          <w:rFonts w:ascii="宋体" w:hAnsi="宋体" w:eastAsia="宋体" w:cs="宋体"/>
          <w:sz w:val="24"/>
          <w:szCs w:val="24"/>
        </w:rPr>
      </w:pPr>
      <w:r>
        <w:rPr>
          <w:rFonts w:ascii="宋体" w:hAnsi="宋体" w:eastAsia="宋体" w:cs="宋体"/>
          <w:spacing w:val="-6"/>
          <w:sz w:val="24"/>
          <w:szCs w:val="24"/>
        </w:rPr>
        <w:t>质量标准》（</w:t>
      </w:r>
      <w:r>
        <w:rPr>
          <w:rFonts w:ascii="Times New Roman" w:hAnsi="Times New Roman" w:eastAsia="Times New Roman" w:cs="Times New Roman"/>
          <w:spacing w:val="-6"/>
          <w:sz w:val="24"/>
          <w:szCs w:val="24"/>
        </w:rPr>
        <w:t>GB3838-2002</w:t>
      </w:r>
      <w:r>
        <w:rPr>
          <w:rFonts w:ascii="宋体" w:hAnsi="宋体" w:eastAsia="宋体" w:cs="宋体"/>
          <w:spacing w:val="-6"/>
          <w:sz w:val="24"/>
          <w:szCs w:val="24"/>
        </w:rPr>
        <w:t>）中</w:t>
      </w:r>
      <w:r>
        <w:rPr>
          <w:rFonts w:ascii="宋体" w:hAnsi="宋体" w:eastAsia="宋体" w:cs="宋体"/>
          <w:spacing w:val="-7"/>
          <w:sz w:val="24"/>
          <w:szCs w:val="24"/>
        </w:rPr>
        <w:t>Ⅱ类标。</w:t>
      </w:r>
    </w:p>
    <w:p>
      <w:pPr>
        <w:spacing w:before="183" w:line="360" w:lineRule="auto"/>
        <w:ind w:left="45" w:right="30" w:firstLine="478"/>
        <w:rPr>
          <w:rFonts w:ascii="宋体" w:hAnsi="宋体" w:eastAsia="宋体" w:cs="宋体"/>
          <w:sz w:val="24"/>
          <w:szCs w:val="24"/>
        </w:rPr>
      </w:pPr>
      <w:r>
        <w:rPr>
          <w:rFonts w:ascii="宋体" w:hAnsi="宋体" w:eastAsia="宋体" w:cs="宋体"/>
          <w:spacing w:val="-3"/>
          <w:sz w:val="24"/>
          <w:szCs w:val="24"/>
        </w:rPr>
        <w:t>项目区未进行声环境、大气环境功能区划。根据《声环</w:t>
      </w:r>
      <w:r>
        <w:rPr>
          <w:rFonts w:ascii="宋体" w:hAnsi="宋体" w:eastAsia="宋体" w:cs="宋体"/>
          <w:spacing w:val="-4"/>
          <w:sz w:val="24"/>
          <w:szCs w:val="24"/>
        </w:rPr>
        <w:t>境功能区划分技术规</w:t>
      </w:r>
      <w:r>
        <w:rPr>
          <w:rFonts w:ascii="宋体" w:hAnsi="宋体" w:eastAsia="宋体" w:cs="宋体"/>
          <w:sz w:val="24"/>
          <w:szCs w:val="24"/>
        </w:rPr>
        <w:t xml:space="preserve"> </w:t>
      </w:r>
      <w:r>
        <w:rPr>
          <w:rFonts w:ascii="宋体" w:hAnsi="宋体" w:eastAsia="宋体" w:cs="宋体"/>
          <w:spacing w:val="-5"/>
          <w:sz w:val="24"/>
          <w:szCs w:val="24"/>
        </w:rPr>
        <w:t>范》（</w:t>
      </w:r>
      <w:r>
        <w:rPr>
          <w:rFonts w:ascii="Times New Roman" w:hAnsi="Times New Roman" w:eastAsia="Times New Roman" w:cs="Times New Roman"/>
          <w:spacing w:val="-5"/>
          <w:sz w:val="24"/>
          <w:szCs w:val="24"/>
        </w:rPr>
        <w:t>GB/T</w:t>
      </w:r>
      <w:r>
        <w:rPr>
          <w:rFonts w:ascii="Times New Roman" w:hAnsi="Times New Roman" w:eastAsia="Times New Roman" w:cs="Times New Roman"/>
          <w:spacing w:val="55"/>
          <w:w w:val="101"/>
          <w:sz w:val="24"/>
          <w:szCs w:val="24"/>
        </w:rPr>
        <w:t xml:space="preserve"> </w:t>
      </w:r>
      <w:r>
        <w:rPr>
          <w:rFonts w:ascii="Times New Roman" w:hAnsi="Times New Roman" w:eastAsia="Times New Roman" w:cs="Times New Roman"/>
          <w:spacing w:val="-5"/>
          <w:sz w:val="24"/>
          <w:szCs w:val="24"/>
        </w:rPr>
        <w:t>15190-2014</w:t>
      </w:r>
      <w:r>
        <w:rPr>
          <w:rFonts w:ascii="宋体" w:hAnsi="宋体" w:eastAsia="宋体" w:cs="宋体"/>
          <w:spacing w:val="-61"/>
          <w:w w:val="97"/>
          <w:sz w:val="24"/>
          <w:szCs w:val="24"/>
        </w:rPr>
        <w:t>），</w:t>
      </w:r>
      <w:r>
        <w:rPr>
          <w:rFonts w:ascii="宋体" w:hAnsi="宋体" w:eastAsia="宋体" w:cs="宋体"/>
          <w:spacing w:val="-5"/>
          <w:sz w:val="24"/>
          <w:szCs w:val="24"/>
        </w:rPr>
        <w:t xml:space="preserve">项目区声环境功能为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6"/>
          <w:sz w:val="24"/>
          <w:szCs w:val="24"/>
        </w:rPr>
        <w:t xml:space="preserve"> </w:t>
      </w:r>
      <w:r>
        <w:rPr>
          <w:rFonts w:ascii="宋体" w:hAnsi="宋体" w:eastAsia="宋体" w:cs="宋体"/>
          <w:spacing w:val="-5"/>
          <w:sz w:val="24"/>
          <w:szCs w:val="24"/>
        </w:rPr>
        <w:t>类，执行《声环</w:t>
      </w:r>
      <w:r>
        <w:rPr>
          <w:rFonts w:ascii="宋体" w:hAnsi="宋体" w:eastAsia="宋体" w:cs="宋体"/>
          <w:spacing w:val="-6"/>
          <w:sz w:val="24"/>
          <w:szCs w:val="24"/>
        </w:rPr>
        <w:t>境质量标准》</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GB3096-2008</w:t>
      </w: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46"/>
          <w:sz w:val="24"/>
          <w:szCs w:val="24"/>
        </w:rPr>
        <w:t xml:space="preserve"> </w:t>
      </w:r>
      <w:r>
        <w:rPr>
          <w:rFonts w:ascii="宋体" w:hAnsi="宋体" w:eastAsia="宋体" w:cs="宋体"/>
          <w:spacing w:val="-1"/>
          <w:sz w:val="24"/>
          <w:szCs w:val="24"/>
        </w:rPr>
        <w:t>类标准。根据《环境空气质量功能区划分原则与技术方法》</w:t>
      </w:r>
      <w:r>
        <w:rPr>
          <w:rFonts w:ascii="宋体" w:hAnsi="宋体" w:eastAsia="宋体" w:cs="宋体"/>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HJ14-</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7"/>
          <w:sz w:val="24"/>
          <w:szCs w:val="24"/>
        </w:rPr>
        <w:t>1996</w:t>
      </w:r>
      <w:r>
        <w:rPr>
          <w:rFonts w:ascii="宋体" w:hAnsi="宋体" w:eastAsia="宋体" w:cs="宋体"/>
          <w:spacing w:val="-56"/>
          <w:sz w:val="24"/>
          <w:szCs w:val="24"/>
        </w:rPr>
        <w:t>），</w:t>
      </w:r>
      <w:r>
        <w:rPr>
          <w:rFonts w:ascii="宋体" w:hAnsi="宋体" w:eastAsia="宋体" w:cs="宋体"/>
          <w:spacing w:val="-7"/>
          <w:sz w:val="24"/>
          <w:szCs w:val="24"/>
        </w:rPr>
        <w:t>区域环境空气执行《环境空气质量标准》（</w:t>
      </w:r>
      <w:r>
        <w:rPr>
          <w:rFonts w:ascii="Times New Roman" w:hAnsi="Times New Roman" w:eastAsia="Times New Roman" w:cs="Times New Roman"/>
          <w:spacing w:val="-7"/>
          <w:sz w:val="24"/>
          <w:szCs w:val="24"/>
        </w:rPr>
        <w:t>GB3095-2012</w:t>
      </w:r>
      <w:r>
        <w:rPr>
          <w:rFonts w:ascii="宋体" w:hAnsi="宋体" w:eastAsia="宋体" w:cs="宋体"/>
          <w:spacing w:val="-7"/>
          <w:sz w:val="24"/>
          <w:szCs w:val="24"/>
        </w:rPr>
        <w:t>）二级标</w:t>
      </w:r>
    </w:p>
    <w:p>
      <w:pPr>
        <w:spacing w:before="1" w:line="220" w:lineRule="auto"/>
        <w:ind w:left="41"/>
        <w:rPr>
          <w:rFonts w:ascii="宋体" w:hAnsi="宋体" w:eastAsia="宋体" w:cs="宋体"/>
          <w:sz w:val="24"/>
          <w:szCs w:val="24"/>
        </w:rPr>
      </w:pPr>
      <w:r>
        <w:rPr>
          <w:rFonts w:ascii="宋体" w:hAnsi="宋体" w:eastAsia="宋体" w:cs="宋体"/>
          <w:spacing w:val="-12"/>
          <w:sz w:val="24"/>
          <w:szCs w:val="24"/>
        </w:rPr>
        <w:t>准。</w:t>
      </w:r>
    </w:p>
    <w:p>
      <w:pPr>
        <w:spacing w:line="308" w:lineRule="auto"/>
        <w:rPr>
          <w:rFonts w:ascii="Arial"/>
          <w:sz w:val="21"/>
        </w:rPr>
      </w:pPr>
    </w:p>
    <w:p>
      <w:pPr>
        <w:pStyle w:val="2"/>
        <w:spacing w:before="88"/>
        <w:ind w:left="48"/>
        <w:outlineLvl w:val="0"/>
        <w:rPr>
          <w:sz w:val="27"/>
          <w:szCs w:val="27"/>
        </w:rPr>
      </w:pPr>
      <w:bookmarkStart w:id="13" w:name="bookmark14"/>
      <w:bookmarkEnd w:id="13"/>
      <w:r>
        <w:rPr>
          <w:rFonts w:ascii="Times New Roman" w:hAnsi="Times New Roman" w:eastAsia="Times New Roman" w:cs="Times New Roman"/>
          <w:b/>
          <w:bCs/>
          <w:spacing w:val="4"/>
          <w:sz w:val="27"/>
          <w:szCs w:val="27"/>
        </w:rPr>
        <w:t xml:space="preserve">1.5 </w:t>
      </w:r>
      <w:r>
        <w:rPr>
          <w:spacing w:val="4"/>
          <w:sz w:val="27"/>
          <w:szCs w:val="27"/>
          <w14:textOutline w14:w="5072" w14:cap="flat" w14:cmpd="sng">
            <w14:solidFill>
              <w14:srgbClr w14:val="000000"/>
            </w14:solidFill>
            <w14:prstDash w14:val="solid"/>
            <w14:miter w14:val="0"/>
          </w14:textOutline>
        </w:rPr>
        <w:t>评价标准</w:t>
      </w:r>
    </w:p>
    <w:p>
      <w:pPr>
        <w:spacing w:before="263" w:line="218" w:lineRule="auto"/>
        <w:ind w:left="519"/>
        <w:rPr>
          <w:rFonts w:ascii="宋体" w:hAnsi="宋体" w:eastAsia="宋体" w:cs="宋体"/>
          <w:sz w:val="24"/>
          <w:szCs w:val="24"/>
        </w:rPr>
      </w:pPr>
      <w:r>
        <w:rPr>
          <w:rFonts w:ascii="宋体" w:hAnsi="宋体" w:eastAsia="宋体" w:cs="宋体"/>
          <w:spacing w:val="-3"/>
          <w:sz w:val="24"/>
          <w:szCs w:val="24"/>
        </w:rPr>
        <w:t>根据建设项目特点，本项目执行的评价标准如下：</w:t>
      </w:r>
    </w:p>
    <w:p>
      <w:pPr>
        <w:spacing w:line="355"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1"/>
          <w:sz w:val="24"/>
          <w:szCs w:val="24"/>
        </w:rPr>
        <w:t xml:space="preserve">1.5.1 </w:t>
      </w:r>
      <w:r>
        <w:rPr>
          <w:spacing w:val="-1"/>
          <w:sz w:val="24"/>
          <w:szCs w:val="24"/>
          <w14:textOutline w14:w="4354" w14:cap="flat" w14:cmpd="sng">
            <w14:solidFill>
              <w14:srgbClr w14:val="000000"/>
            </w14:solidFill>
            <w14:prstDash w14:val="solid"/>
            <w14:miter w14:val="0"/>
          </w14:textOutline>
        </w:rPr>
        <w:t>环境质量标准</w:t>
      </w:r>
    </w:p>
    <w:p>
      <w:pPr>
        <w:spacing w:before="201"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）环境空气</w:t>
      </w:r>
    </w:p>
    <w:p>
      <w:pPr>
        <w:spacing w:before="180" w:line="467" w:lineRule="exact"/>
        <w:ind w:right="31"/>
        <w:jc w:val="right"/>
        <w:rPr>
          <w:rFonts w:ascii="宋体" w:hAnsi="宋体" w:eastAsia="宋体" w:cs="宋体"/>
          <w:sz w:val="24"/>
          <w:szCs w:val="24"/>
        </w:rPr>
      </w:pPr>
      <w:r>
        <w:rPr>
          <w:rFonts w:ascii="宋体" w:hAnsi="宋体" w:eastAsia="宋体" w:cs="宋体"/>
          <w:spacing w:val="-7"/>
          <w:position w:val="17"/>
          <w:sz w:val="24"/>
          <w:szCs w:val="24"/>
        </w:rPr>
        <w:t>项目属于《环境空气质量标准》（</w:t>
      </w:r>
      <w:r>
        <w:rPr>
          <w:rFonts w:ascii="Times New Roman" w:hAnsi="Times New Roman" w:eastAsia="Times New Roman" w:cs="Times New Roman"/>
          <w:spacing w:val="-7"/>
          <w:position w:val="17"/>
          <w:sz w:val="24"/>
          <w:szCs w:val="24"/>
        </w:rPr>
        <w:t>GB3095-2012</w:t>
      </w:r>
      <w:r>
        <w:rPr>
          <w:rFonts w:ascii="宋体" w:hAnsi="宋体" w:eastAsia="宋体" w:cs="宋体"/>
          <w:spacing w:val="-7"/>
          <w:position w:val="17"/>
          <w:sz w:val="24"/>
          <w:szCs w:val="24"/>
        </w:rPr>
        <w:t>）环境空</w:t>
      </w:r>
      <w:r>
        <w:rPr>
          <w:rFonts w:ascii="宋体" w:hAnsi="宋体" w:eastAsia="宋体" w:cs="宋体"/>
          <w:spacing w:val="-8"/>
          <w:position w:val="17"/>
          <w:sz w:val="24"/>
          <w:szCs w:val="24"/>
        </w:rPr>
        <w:t>气质量功能区的二类</w:t>
      </w:r>
    </w:p>
    <w:p>
      <w:pPr>
        <w:spacing w:before="1" w:line="219" w:lineRule="auto"/>
        <w:ind w:left="57"/>
        <w:rPr>
          <w:rFonts w:ascii="宋体" w:hAnsi="宋体" w:eastAsia="宋体" w:cs="宋体"/>
          <w:sz w:val="24"/>
          <w:szCs w:val="24"/>
        </w:rPr>
      </w:pPr>
      <w:r>
        <w:rPr>
          <w:rFonts w:ascii="宋体" w:hAnsi="宋体" w:eastAsia="宋体" w:cs="宋体"/>
          <w:spacing w:val="-11"/>
          <w:sz w:val="24"/>
          <w:szCs w:val="24"/>
        </w:rPr>
        <w:t>区，</w:t>
      </w:r>
      <w:r>
        <w:rPr>
          <w:rFonts w:ascii="宋体" w:hAnsi="宋体" w:eastAsia="宋体" w:cs="宋体"/>
          <w:spacing w:val="-38"/>
          <w:sz w:val="24"/>
          <w:szCs w:val="24"/>
        </w:rPr>
        <w:t xml:space="preserve"> </w:t>
      </w:r>
      <w:r>
        <w:rPr>
          <w:rFonts w:ascii="宋体" w:hAnsi="宋体" w:eastAsia="宋体" w:cs="宋体"/>
          <w:spacing w:val="-11"/>
          <w:sz w:val="24"/>
          <w:szCs w:val="24"/>
        </w:rPr>
        <w:t>执行《环境空气质量标准》（</w:t>
      </w:r>
      <w:r>
        <w:rPr>
          <w:rFonts w:ascii="Times New Roman" w:hAnsi="Times New Roman" w:eastAsia="Times New Roman" w:cs="Times New Roman"/>
          <w:spacing w:val="-11"/>
          <w:sz w:val="24"/>
          <w:szCs w:val="24"/>
        </w:rPr>
        <w:t>GB3095-2012</w:t>
      </w:r>
      <w:r>
        <w:rPr>
          <w:rFonts w:ascii="宋体" w:hAnsi="宋体" w:eastAsia="宋体" w:cs="宋体"/>
          <w:spacing w:val="-12"/>
          <w:sz w:val="24"/>
          <w:szCs w:val="24"/>
        </w:rPr>
        <w:t>）二级标准。</w:t>
      </w:r>
      <w:r>
        <w:rPr>
          <w:rFonts w:ascii="宋体" w:hAnsi="宋体" w:eastAsia="宋体" w:cs="宋体"/>
          <w:spacing w:val="47"/>
          <w:sz w:val="24"/>
          <w:szCs w:val="24"/>
        </w:rPr>
        <w:t xml:space="preserve"> </w:t>
      </w:r>
      <w:r>
        <w:rPr>
          <w:rFonts w:ascii="宋体" w:hAnsi="宋体" w:eastAsia="宋体" w:cs="宋体"/>
          <w:spacing w:val="-12"/>
          <w:sz w:val="24"/>
          <w:szCs w:val="24"/>
        </w:rPr>
        <w:t>见表</w:t>
      </w:r>
      <w:r>
        <w:rPr>
          <w:rFonts w:ascii="宋体" w:hAnsi="宋体" w:eastAsia="宋体" w:cs="宋体"/>
          <w:spacing w:val="-31"/>
          <w:sz w:val="24"/>
          <w:szCs w:val="24"/>
        </w:rPr>
        <w:t xml:space="preserve"> </w:t>
      </w:r>
      <w:r>
        <w:rPr>
          <w:rFonts w:ascii="Times New Roman" w:hAnsi="Times New Roman" w:eastAsia="Times New Roman" w:cs="Times New Roman"/>
          <w:spacing w:val="-12"/>
          <w:sz w:val="24"/>
          <w:szCs w:val="24"/>
        </w:rPr>
        <w:t>1.5-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2"/>
          <w:sz w:val="24"/>
          <w:szCs w:val="24"/>
        </w:rPr>
        <w:t>1</w:t>
      </w:r>
      <w:r>
        <w:rPr>
          <w:rFonts w:ascii="宋体" w:hAnsi="宋体" w:eastAsia="宋体" w:cs="宋体"/>
          <w:spacing w:val="-12"/>
          <w:sz w:val="24"/>
          <w:szCs w:val="24"/>
        </w:rPr>
        <w:t>。</w:t>
      </w:r>
    </w:p>
    <w:p>
      <w:pPr>
        <w:spacing w:line="247" w:lineRule="auto"/>
        <w:rPr>
          <w:rFonts w:ascii="Arial"/>
          <w:sz w:val="21"/>
        </w:rPr>
      </w:pPr>
    </w:p>
    <w:p>
      <w:pPr>
        <w:pStyle w:val="2"/>
        <w:spacing w:before="69" w:line="212" w:lineRule="auto"/>
        <w:ind w:left="1366"/>
        <w:rPr>
          <w:rFonts w:ascii="Times New Roman" w:hAnsi="Times New Roman" w:eastAsia="Times New Roman" w:cs="Times New Roman"/>
          <w:sz w:val="14"/>
          <w:szCs w:val="14"/>
        </w:rPr>
      </w:pPr>
      <w:r>
        <w:rPr>
          <w:spacing w:val="-3"/>
          <w14:textOutline w14:w="3810" w14:cap="flat" w14:cmpd="sng">
            <w14:solidFill>
              <w14:srgbClr w14:val="000000"/>
            </w14:solidFill>
            <w14:prstDash w14:val="solid"/>
            <w14:miter w14:val="0"/>
          </w14:textOutline>
        </w:rPr>
        <w:t>表</w:t>
      </w:r>
      <w:r>
        <w:rPr>
          <w:spacing w:val="-38"/>
        </w:rPr>
        <w:t xml:space="preserve"> </w:t>
      </w:r>
      <w:r>
        <w:rPr>
          <w:rFonts w:ascii="Times New Roman" w:hAnsi="Times New Roman" w:eastAsia="Times New Roman" w:cs="Times New Roman"/>
          <w:b/>
          <w:bCs/>
          <w:spacing w:val="-3"/>
        </w:rPr>
        <w:t xml:space="preserve">1.5-1    </w:t>
      </w:r>
      <w:r>
        <w:rPr>
          <w:spacing w:val="-3"/>
          <w14:textOutline w14:w="3810" w14:cap="flat" w14:cmpd="sng">
            <w14:solidFill>
              <w14:srgbClr w14:val="000000"/>
            </w14:solidFill>
            <w14:prstDash w14:val="solid"/>
            <w14:miter w14:val="0"/>
          </w14:textOutline>
        </w:rPr>
        <w:t>环境空气污染物浓度限值（摘录）</w:t>
      </w:r>
      <w:r>
        <w:rPr>
          <w:spacing w:val="-3"/>
        </w:rPr>
        <w:t xml:space="preserve">    </w:t>
      </w:r>
      <w:r>
        <w:rPr>
          <w:spacing w:val="-3"/>
          <w14:textOutline w14:w="3810" w14:cap="flat" w14:cmpd="sng">
            <w14:solidFill>
              <w14:srgbClr w14:val="000000"/>
            </w14:solidFill>
            <w14:prstDash w14:val="solid"/>
            <w14:miter w14:val="0"/>
          </w14:textOutline>
        </w:rPr>
        <w:t>单位：</w:t>
      </w:r>
      <w:r>
        <w:rPr>
          <w:spacing w:val="-3"/>
        </w:rPr>
        <w:t xml:space="preserve"> </w:t>
      </w:r>
      <w:r>
        <w:rPr>
          <w:rFonts w:ascii="Times New Roman" w:hAnsi="Times New Roman" w:eastAsia="Times New Roman" w:cs="Times New Roman"/>
          <w:b/>
          <w:bCs/>
          <w:spacing w:val="-3"/>
        </w:rPr>
        <w:t>µg/m</w:t>
      </w:r>
      <w:r>
        <w:rPr>
          <w:rFonts w:ascii="Times New Roman" w:hAnsi="Times New Roman" w:eastAsia="Times New Roman" w:cs="Times New Roman"/>
          <w:b/>
          <w:bCs/>
          <w:spacing w:val="-3"/>
          <w:position w:val="6"/>
          <w:sz w:val="14"/>
          <w:szCs w:val="14"/>
        </w:rPr>
        <w:t>3</w:t>
      </w:r>
    </w:p>
    <w:p>
      <w:pPr>
        <w:spacing w:line="26" w:lineRule="exact"/>
      </w:pPr>
    </w:p>
    <w:tbl>
      <w:tblPr>
        <w:tblStyle w:val="5"/>
        <w:tblW w:w="8307"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04"/>
        <w:gridCol w:w="2790"/>
        <w:gridCol w:w="25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 w:hRule="atLeast"/>
        </w:trPr>
        <w:tc>
          <w:tcPr>
            <w:tcW w:w="3004" w:type="dxa"/>
            <w:tcBorders>
              <w:top w:val="single" w:color="000000" w:sz="12" w:space="0"/>
              <w:left w:val="nil"/>
            </w:tcBorders>
            <w:vAlign w:val="top"/>
          </w:tcPr>
          <w:p>
            <w:pPr>
              <w:spacing w:before="53" w:line="217" w:lineRule="auto"/>
              <w:ind w:left="99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污染物名称</w:t>
            </w:r>
          </w:p>
        </w:tc>
        <w:tc>
          <w:tcPr>
            <w:tcW w:w="2790" w:type="dxa"/>
            <w:tcBorders>
              <w:top w:val="single" w:color="000000" w:sz="12" w:space="0"/>
            </w:tcBorders>
            <w:vAlign w:val="top"/>
          </w:tcPr>
          <w:p>
            <w:pPr>
              <w:spacing w:before="53" w:line="219" w:lineRule="auto"/>
              <w:ind w:left="983"/>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平均时间</w:t>
            </w:r>
          </w:p>
        </w:tc>
        <w:tc>
          <w:tcPr>
            <w:tcW w:w="2513" w:type="dxa"/>
            <w:tcBorders>
              <w:top w:val="single" w:color="000000" w:sz="12" w:space="0"/>
              <w:right w:val="nil"/>
            </w:tcBorders>
            <w:vAlign w:val="top"/>
          </w:tcPr>
          <w:p>
            <w:pPr>
              <w:spacing w:before="53" w:line="218" w:lineRule="auto"/>
              <w:ind w:left="84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3004" w:type="dxa"/>
            <w:vMerge w:val="restart"/>
            <w:tcBorders>
              <w:left w:val="nil"/>
              <w:bottom w:val="nil"/>
            </w:tcBorders>
            <w:vAlign w:val="top"/>
          </w:tcPr>
          <w:p>
            <w:pPr>
              <w:pStyle w:val="6"/>
              <w:spacing w:before="280" w:line="186" w:lineRule="auto"/>
              <w:ind w:left="1326"/>
            </w:pPr>
            <w:r>
              <w:rPr>
                <w:spacing w:val="-2"/>
              </w:rPr>
              <w:t>TSP</w:t>
            </w:r>
          </w:p>
        </w:tc>
        <w:tc>
          <w:tcPr>
            <w:tcW w:w="2790" w:type="dxa"/>
            <w:vAlign w:val="top"/>
          </w:tcPr>
          <w:p>
            <w:pPr>
              <w:spacing w:before="66" w:line="218" w:lineRule="auto"/>
              <w:ind w:left="109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年平均</w:t>
            </w:r>
          </w:p>
        </w:tc>
        <w:tc>
          <w:tcPr>
            <w:tcW w:w="2513" w:type="dxa"/>
            <w:tcBorders>
              <w:right w:val="nil"/>
            </w:tcBorders>
            <w:vAlign w:val="top"/>
          </w:tcPr>
          <w:p>
            <w:pPr>
              <w:pStyle w:val="6"/>
              <w:spacing w:before="103" w:line="188" w:lineRule="auto"/>
              <w:ind w:left="1100"/>
            </w:pPr>
            <w:r>
              <w:rPr>
                <w:spacing w:val="-1"/>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2" w:hRule="atLeast"/>
        </w:trPr>
        <w:tc>
          <w:tcPr>
            <w:tcW w:w="3004" w:type="dxa"/>
            <w:vMerge w:val="continue"/>
            <w:tcBorders>
              <w:top w:val="nil"/>
              <w:left w:val="nil"/>
            </w:tcBorders>
            <w:vAlign w:val="top"/>
          </w:tcPr>
          <w:p>
            <w:pPr>
              <w:rPr>
                <w:rFonts w:ascii="Arial"/>
                <w:sz w:val="21"/>
              </w:rPr>
            </w:pPr>
          </w:p>
        </w:tc>
        <w:tc>
          <w:tcPr>
            <w:tcW w:w="2790" w:type="dxa"/>
            <w:vAlign w:val="top"/>
          </w:tcPr>
          <w:p>
            <w:pPr>
              <w:pStyle w:val="6"/>
              <w:spacing w:before="67" w:line="219" w:lineRule="auto"/>
              <w:ind w:left="843"/>
              <w:rPr>
                <w:rFonts w:ascii="仿宋" w:hAnsi="仿宋" w:eastAsia="仿宋" w:cs="仿宋"/>
              </w:rPr>
            </w:pPr>
            <w:r>
              <w:rPr>
                <w:b/>
                <w:bCs/>
                <w:spacing w:val="-3"/>
              </w:rPr>
              <w:t>24</w:t>
            </w:r>
            <w:r>
              <w:rPr>
                <w:b/>
                <w:bCs/>
                <w:spacing w:val="15"/>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小时平均</w:t>
            </w:r>
          </w:p>
        </w:tc>
        <w:tc>
          <w:tcPr>
            <w:tcW w:w="2513" w:type="dxa"/>
            <w:tcBorders>
              <w:right w:val="nil"/>
            </w:tcBorders>
            <w:vAlign w:val="top"/>
          </w:tcPr>
          <w:p>
            <w:pPr>
              <w:pStyle w:val="6"/>
              <w:spacing w:before="106" w:line="186" w:lineRule="auto"/>
              <w:ind w:left="1104"/>
            </w:pPr>
            <w:r>
              <w:rPr>
                <w:spacing w:val="-2"/>
              </w:rPr>
              <w:t>300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3004" w:type="dxa"/>
            <w:vMerge w:val="restart"/>
            <w:tcBorders>
              <w:left w:val="nil"/>
              <w:bottom w:val="nil"/>
            </w:tcBorders>
            <w:vAlign w:val="top"/>
          </w:tcPr>
          <w:p>
            <w:pPr>
              <w:pStyle w:val="6"/>
              <w:spacing w:before="286" w:line="194" w:lineRule="auto"/>
              <w:ind w:left="1282"/>
              <w:rPr>
                <w:sz w:val="14"/>
                <w:szCs w:val="14"/>
              </w:rPr>
            </w:pPr>
            <w:r>
              <w:t>PM</w:t>
            </w:r>
            <w:r>
              <w:rPr>
                <w:spacing w:val="2"/>
                <w:position w:val="-1"/>
                <w:sz w:val="14"/>
                <w:szCs w:val="14"/>
              </w:rPr>
              <w:t>10</w:t>
            </w:r>
          </w:p>
        </w:tc>
        <w:tc>
          <w:tcPr>
            <w:tcW w:w="2790" w:type="dxa"/>
            <w:vAlign w:val="top"/>
          </w:tcPr>
          <w:p>
            <w:pPr>
              <w:spacing w:before="70" w:line="218" w:lineRule="auto"/>
              <w:ind w:left="109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年平均</w:t>
            </w:r>
          </w:p>
        </w:tc>
        <w:tc>
          <w:tcPr>
            <w:tcW w:w="2513" w:type="dxa"/>
            <w:tcBorders>
              <w:right w:val="nil"/>
            </w:tcBorders>
            <w:vAlign w:val="top"/>
          </w:tcPr>
          <w:p>
            <w:pPr>
              <w:pStyle w:val="6"/>
              <w:spacing w:before="106" w:line="188" w:lineRule="auto"/>
              <w:ind w:left="1156"/>
            </w:pPr>
            <w:r>
              <w:rPr>
                <w:spacing w:val="-2"/>
              </w:rPr>
              <w:t>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3004" w:type="dxa"/>
            <w:vMerge w:val="continue"/>
            <w:tcBorders>
              <w:top w:val="nil"/>
              <w:left w:val="nil"/>
            </w:tcBorders>
            <w:vAlign w:val="top"/>
          </w:tcPr>
          <w:p>
            <w:pPr>
              <w:rPr>
                <w:rFonts w:ascii="Arial"/>
                <w:sz w:val="21"/>
              </w:rPr>
            </w:pPr>
          </w:p>
        </w:tc>
        <w:tc>
          <w:tcPr>
            <w:tcW w:w="2790" w:type="dxa"/>
            <w:vAlign w:val="top"/>
          </w:tcPr>
          <w:p>
            <w:pPr>
              <w:pStyle w:val="6"/>
              <w:spacing w:before="71" w:line="219" w:lineRule="auto"/>
              <w:ind w:left="843"/>
              <w:rPr>
                <w:rFonts w:ascii="仿宋" w:hAnsi="仿宋" w:eastAsia="仿宋" w:cs="仿宋"/>
              </w:rPr>
            </w:pPr>
            <w:r>
              <w:rPr>
                <w:b/>
                <w:bCs/>
                <w:spacing w:val="-3"/>
              </w:rPr>
              <w:t>24</w:t>
            </w:r>
            <w:r>
              <w:rPr>
                <w:b/>
                <w:bCs/>
                <w:spacing w:val="15"/>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小时平均</w:t>
            </w:r>
          </w:p>
        </w:tc>
        <w:tc>
          <w:tcPr>
            <w:tcW w:w="2513" w:type="dxa"/>
            <w:tcBorders>
              <w:right w:val="nil"/>
            </w:tcBorders>
            <w:vAlign w:val="top"/>
          </w:tcPr>
          <w:p>
            <w:pPr>
              <w:pStyle w:val="6"/>
              <w:spacing w:before="110" w:line="186" w:lineRule="auto"/>
              <w:ind w:left="1120"/>
            </w:pPr>
            <w:r>
              <w:rPr>
                <w:spacing w:val="-6"/>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2" w:hRule="atLeast"/>
        </w:trPr>
        <w:tc>
          <w:tcPr>
            <w:tcW w:w="3004" w:type="dxa"/>
            <w:vMerge w:val="restart"/>
            <w:tcBorders>
              <w:left w:val="nil"/>
              <w:bottom w:val="nil"/>
            </w:tcBorders>
            <w:vAlign w:val="top"/>
          </w:tcPr>
          <w:p>
            <w:pPr>
              <w:pStyle w:val="6"/>
              <w:spacing w:before="288" w:line="194" w:lineRule="auto"/>
              <w:ind w:left="1265"/>
              <w:rPr>
                <w:sz w:val="14"/>
                <w:szCs w:val="14"/>
              </w:rPr>
            </w:pPr>
            <w:r>
              <w:rPr>
                <w:spacing w:val="-1"/>
              </w:rPr>
              <w:t>PM</w:t>
            </w:r>
            <w:r>
              <w:rPr>
                <w:spacing w:val="-1"/>
                <w:position w:val="-1"/>
                <w:sz w:val="14"/>
                <w:szCs w:val="14"/>
              </w:rPr>
              <w:t>2.5</w:t>
            </w:r>
          </w:p>
        </w:tc>
        <w:tc>
          <w:tcPr>
            <w:tcW w:w="2790" w:type="dxa"/>
            <w:vAlign w:val="top"/>
          </w:tcPr>
          <w:p>
            <w:pPr>
              <w:spacing w:before="73" w:line="218" w:lineRule="auto"/>
              <w:ind w:left="109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年平均</w:t>
            </w:r>
          </w:p>
        </w:tc>
        <w:tc>
          <w:tcPr>
            <w:tcW w:w="2513" w:type="dxa"/>
            <w:tcBorders>
              <w:right w:val="nil"/>
            </w:tcBorders>
            <w:vAlign w:val="top"/>
          </w:tcPr>
          <w:p>
            <w:pPr>
              <w:pStyle w:val="6"/>
              <w:spacing w:before="111" w:line="186" w:lineRule="auto"/>
              <w:ind w:left="1157"/>
            </w:pPr>
            <w:r>
              <w:rPr>
                <w:spacing w:val="-3"/>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3004" w:type="dxa"/>
            <w:vMerge w:val="continue"/>
            <w:tcBorders>
              <w:top w:val="nil"/>
              <w:left w:val="nil"/>
            </w:tcBorders>
            <w:vAlign w:val="top"/>
          </w:tcPr>
          <w:p>
            <w:pPr>
              <w:rPr>
                <w:rFonts w:ascii="Arial"/>
                <w:sz w:val="21"/>
              </w:rPr>
            </w:pPr>
          </w:p>
        </w:tc>
        <w:tc>
          <w:tcPr>
            <w:tcW w:w="2790" w:type="dxa"/>
            <w:vAlign w:val="top"/>
          </w:tcPr>
          <w:p>
            <w:pPr>
              <w:pStyle w:val="6"/>
              <w:spacing w:before="75" w:line="219" w:lineRule="auto"/>
              <w:ind w:left="843"/>
              <w:rPr>
                <w:rFonts w:ascii="仿宋" w:hAnsi="仿宋" w:eastAsia="仿宋" w:cs="仿宋"/>
              </w:rPr>
            </w:pPr>
            <w:r>
              <w:rPr>
                <w:b/>
                <w:bCs/>
                <w:spacing w:val="-3"/>
              </w:rPr>
              <w:t>24</w:t>
            </w:r>
            <w:r>
              <w:rPr>
                <w:b/>
                <w:bCs/>
                <w:spacing w:val="15"/>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小时平均</w:t>
            </w:r>
          </w:p>
        </w:tc>
        <w:tc>
          <w:tcPr>
            <w:tcW w:w="2513" w:type="dxa"/>
            <w:tcBorders>
              <w:right w:val="nil"/>
            </w:tcBorders>
            <w:vAlign w:val="top"/>
          </w:tcPr>
          <w:p>
            <w:pPr>
              <w:pStyle w:val="6"/>
              <w:spacing w:before="116" w:line="183" w:lineRule="auto"/>
              <w:ind w:left="1156"/>
            </w:pPr>
            <w:r>
              <w:rPr>
                <w:spacing w:val="-2"/>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3004" w:type="dxa"/>
            <w:vMerge w:val="restart"/>
            <w:tcBorders>
              <w:left w:val="nil"/>
              <w:bottom w:val="nil"/>
            </w:tcBorders>
            <w:vAlign w:val="top"/>
          </w:tcPr>
          <w:p>
            <w:pPr>
              <w:spacing w:line="402" w:lineRule="auto"/>
              <w:rPr>
                <w:rFonts w:ascii="Arial"/>
                <w:sz w:val="21"/>
              </w:rPr>
            </w:pPr>
          </w:p>
          <w:p>
            <w:pPr>
              <w:pStyle w:val="6"/>
              <w:spacing w:before="60" w:line="197" w:lineRule="auto"/>
              <w:ind w:left="1345"/>
              <w:rPr>
                <w:sz w:val="14"/>
                <w:szCs w:val="14"/>
              </w:rPr>
            </w:pPr>
            <w:r>
              <w:rPr>
                <w:spacing w:val="-5"/>
              </w:rPr>
              <w:t>SO</w:t>
            </w:r>
            <w:r>
              <w:rPr>
                <w:spacing w:val="-5"/>
                <w:position w:val="-1"/>
                <w:sz w:val="14"/>
                <w:szCs w:val="14"/>
              </w:rPr>
              <w:t>2</w:t>
            </w:r>
          </w:p>
        </w:tc>
        <w:tc>
          <w:tcPr>
            <w:tcW w:w="2790" w:type="dxa"/>
            <w:vAlign w:val="top"/>
          </w:tcPr>
          <w:p>
            <w:pPr>
              <w:spacing w:before="76" w:line="218" w:lineRule="auto"/>
              <w:ind w:left="109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年平均</w:t>
            </w:r>
          </w:p>
        </w:tc>
        <w:tc>
          <w:tcPr>
            <w:tcW w:w="2513" w:type="dxa"/>
            <w:tcBorders>
              <w:right w:val="nil"/>
            </w:tcBorders>
            <w:vAlign w:val="top"/>
          </w:tcPr>
          <w:p>
            <w:pPr>
              <w:pStyle w:val="6"/>
              <w:spacing w:before="115" w:line="186" w:lineRule="auto"/>
              <w:ind w:left="1157"/>
            </w:pPr>
            <w:r>
              <w:rPr>
                <w:spacing w:val="-3"/>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2" w:hRule="atLeast"/>
        </w:trPr>
        <w:tc>
          <w:tcPr>
            <w:tcW w:w="3004" w:type="dxa"/>
            <w:vMerge w:val="continue"/>
            <w:tcBorders>
              <w:top w:val="nil"/>
              <w:left w:val="nil"/>
              <w:bottom w:val="nil"/>
            </w:tcBorders>
            <w:vAlign w:val="top"/>
          </w:tcPr>
          <w:p>
            <w:pPr>
              <w:rPr>
                <w:rFonts w:ascii="Arial"/>
                <w:sz w:val="21"/>
              </w:rPr>
            </w:pPr>
          </w:p>
        </w:tc>
        <w:tc>
          <w:tcPr>
            <w:tcW w:w="2790" w:type="dxa"/>
            <w:vAlign w:val="top"/>
          </w:tcPr>
          <w:p>
            <w:pPr>
              <w:pStyle w:val="6"/>
              <w:spacing w:before="77" w:line="219" w:lineRule="auto"/>
              <w:ind w:left="843"/>
              <w:rPr>
                <w:rFonts w:ascii="仿宋" w:hAnsi="仿宋" w:eastAsia="仿宋" w:cs="仿宋"/>
              </w:rPr>
            </w:pPr>
            <w:r>
              <w:rPr>
                <w:b/>
                <w:bCs/>
                <w:spacing w:val="-3"/>
              </w:rPr>
              <w:t>24</w:t>
            </w:r>
            <w:r>
              <w:rPr>
                <w:b/>
                <w:bCs/>
                <w:spacing w:val="15"/>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小时平均</w:t>
            </w:r>
          </w:p>
        </w:tc>
        <w:tc>
          <w:tcPr>
            <w:tcW w:w="2513" w:type="dxa"/>
            <w:tcBorders>
              <w:right w:val="nil"/>
            </w:tcBorders>
            <w:vAlign w:val="top"/>
          </w:tcPr>
          <w:p>
            <w:pPr>
              <w:pStyle w:val="6"/>
              <w:spacing w:before="116" w:line="186" w:lineRule="auto"/>
              <w:ind w:left="1120"/>
            </w:pPr>
            <w:r>
              <w:rPr>
                <w:spacing w:val="-9"/>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3" w:hRule="atLeast"/>
        </w:trPr>
        <w:tc>
          <w:tcPr>
            <w:tcW w:w="3004" w:type="dxa"/>
            <w:vMerge w:val="continue"/>
            <w:tcBorders>
              <w:top w:val="nil"/>
              <w:left w:val="nil"/>
            </w:tcBorders>
            <w:vAlign w:val="top"/>
          </w:tcPr>
          <w:p>
            <w:pPr>
              <w:rPr>
                <w:rFonts w:ascii="Arial"/>
                <w:sz w:val="21"/>
              </w:rPr>
            </w:pPr>
          </w:p>
        </w:tc>
        <w:tc>
          <w:tcPr>
            <w:tcW w:w="2790" w:type="dxa"/>
            <w:vAlign w:val="top"/>
          </w:tcPr>
          <w:p>
            <w:pPr>
              <w:pStyle w:val="6"/>
              <w:spacing w:before="80" w:line="219" w:lineRule="auto"/>
              <w:ind w:left="905"/>
              <w:rPr>
                <w:rFonts w:ascii="仿宋" w:hAnsi="仿宋" w:eastAsia="仿宋" w:cs="仿宋"/>
              </w:rPr>
            </w:pPr>
            <w:r>
              <w:rPr>
                <w:b/>
                <w:bCs/>
                <w:spacing w:val="-6"/>
              </w:rPr>
              <w:t>1</w:t>
            </w:r>
            <w:r>
              <w:rPr>
                <w:b/>
                <w:bCs/>
                <w:spacing w:val="18"/>
              </w:rPr>
              <w:t xml:space="preserve"> </w:t>
            </w:r>
            <w:r>
              <w:rPr>
                <w:rFonts w:ascii="仿宋" w:hAnsi="仿宋" w:eastAsia="仿宋" w:cs="仿宋"/>
                <w:spacing w:val="-6"/>
                <w14:textOutline w14:w="3810" w14:cap="flat" w14:cmpd="sng">
                  <w14:solidFill>
                    <w14:srgbClr w14:val="000000"/>
                  </w14:solidFill>
                  <w14:prstDash w14:val="solid"/>
                  <w14:miter w14:val="0"/>
                </w14:textOutline>
              </w:rPr>
              <w:t>小时平均</w:t>
            </w:r>
          </w:p>
        </w:tc>
        <w:tc>
          <w:tcPr>
            <w:tcW w:w="2513" w:type="dxa"/>
            <w:tcBorders>
              <w:right w:val="nil"/>
            </w:tcBorders>
            <w:vAlign w:val="top"/>
          </w:tcPr>
          <w:p>
            <w:pPr>
              <w:pStyle w:val="6"/>
              <w:spacing w:before="118" w:line="186" w:lineRule="auto"/>
              <w:ind w:left="1105"/>
            </w:pPr>
            <w:r>
              <w:rPr>
                <w:spacing w:val="-3"/>
              </w:rPr>
              <w:t>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3004" w:type="dxa"/>
            <w:vMerge w:val="restart"/>
            <w:tcBorders>
              <w:left w:val="nil"/>
              <w:bottom w:val="nil"/>
            </w:tcBorders>
            <w:vAlign w:val="top"/>
          </w:tcPr>
          <w:p>
            <w:pPr>
              <w:spacing w:line="408" w:lineRule="auto"/>
              <w:rPr>
                <w:rFonts w:ascii="Arial"/>
                <w:sz w:val="21"/>
              </w:rPr>
            </w:pPr>
          </w:p>
          <w:p>
            <w:pPr>
              <w:pStyle w:val="6"/>
              <w:spacing w:before="60" w:line="197" w:lineRule="auto"/>
              <w:ind w:left="1312"/>
              <w:rPr>
                <w:sz w:val="14"/>
                <w:szCs w:val="14"/>
              </w:rPr>
            </w:pPr>
            <w:r>
              <w:t>NO</w:t>
            </w:r>
            <w:r>
              <w:rPr>
                <w:spacing w:val="2"/>
                <w:position w:val="-1"/>
                <w:sz w:val="14"/>
                <w:szCs w:val="14"/>
              </w:rPr>
              <w:t>2</w:t>
            </w:r>
          </w:p>
        </w:tc>
        <w:tc>
          <w:tcPr>
            <w:tcW w:w="2790" w:type="dxa"/>
            <w:vAlign w:val="top"/>
          </w:tcPr>
          <w:p>
            <w:pPr>
              <w:spacing w:before="82" w:line="218" w:lineRule="auto"/>
              <w:ind w:left="109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年平均</w:t>
            </w:r>
          </w:p>
        </w:tc>
        <w:tc>
          <w:tcPr>
            <w:tcW w:w="2513" w:type="dxa"/>
            <w:tcBorders>
              <w:right w:val="nil"/>
            </w:tcBorders>
            <w:vAlign w:val="top"/>
          </w:tcPr>
          <w:p>
            <w:pPr>
              <w:pStyle w:val="6"/>
              <w:spacing w:before="121" w:line="186" w:lineRule="auto"/>
              <w:ind w:left="1052"/>
            </w:pPr>
            <w:r>
              <w:rPr>
                <w:spacing w:val="-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2" w:hRule="atLeast"/>
        </w:trPr>
        <w:tc>
          <w:tcPr>
            <w:tcW w:w="3004" w:type="dxa"/>
            <w:vMerge w:val="continue"/>
            <w:tcBorders>
              <w:top w:val="nil"/>
              <w:left w:val="nil"/>
              <w:bottom w:val="nil"/>
            </w:tcBorders>
            <w:vAlign w:val="top"/>
          </w:tcPr>
          <w:p>
            <w:pPr>
              <w:rPr>
                <w:rFonts w:ascii="Arial"/>
                <w:sz w:val="21"/>
              </w:rPr>
            </w:pPr>
          </w:p>
        </w:tc>
        <w:tc>
          <w:tcPr>
            <w:tcW w:w="2790" w:type="dxa"/>
            <w:vAlign w:val="top"/>
          </w:tcPr>
          <w:p>
            <w:pPr>
              <w:pStyle w:val="6"/>
              <w:spacing w:before="84" w:line="218" w:lineRule="auto"/>
              <w:ind w:left="843"/>
              <w:rPr>
                <w:rFonts w:ascii="仿宋" w:hAnsi="仿宋" w:eastAsia="仿宋" w:cs="仿宋"/>
              </w:rPr>
            </w:pPr>
            <w:r>
              <w:rPr>
                <w:b/>
                <w:bCs/>
                <w:spacing w:val="-3"/>
              </w:rPr>
              <w:t>24</w:t>
            </w:r>
            <w:r>
              <w:rPr>
                <w:b/>
                <w:bCs/>
                <w:spacing w:val="15"/>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小时平均</w:t>
            </w:r>
          </w:p>
        </w:tc>
        <w:tc>
          <w:tcPr>
            <w:tcW w:w="2513" w:type="dxa"/>
            <w:tcBorders>
              <w:right w:val="nil"/>
            </w:tcBorders>
            <w:vAlign w:val="top"/>
          </w:tcPr>
          <w:p>
            <w:pPr>
              <w:pStyle w:val="6"/>
              <w:spacing w:before="122" w:line="186" w:lineRule="auto"/>
              <w:ind w:left="1061"/>
            </w:pPr>
            <w:r>
              <w:rPr>
                <w:spacing w:val="-4"/>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3" w:hRule="atLeast"/>
        </w:trPr>
        <w:tc>
          <w:tcPr>
            <w:tcW w:w="3004" w:type="dxa"/>
            <w:vMerge w:val="continue"/>
            <w:tcBorders>
              <w:top w:val="nil"/>
              <w:left w:val="nil"/>
            </w:tcBorders>
            <w:vAlign w:val="top"/>
          </w:tcPr>
          <w:p>
            <w:pPr>
              <w:rPr>
                <w:rFonts w:ascii="Arial"/>
                <w:sz w:val="21"/>
              </w:rPr>
            </w:pPr>
          </w:p>
        </w:tc>
        <w:tc>
          <w:tcPr>
            <w:tcW w:w="2790" w:type="dxa"/>
            <w:vAlign w:val="top"/>
          </w:tcPr>
          <w:p>
            <w:pPr>
              <w:pStyle w:val="6"/>
              <w:spacing w:before="86" w:line="217" w:lineRule="auto"/>
              <w:ind w:left="905"/>
              <w:rPr>
                <w:rFonts w:ascii="仿宋" w:hAnsi="仿宋" w:eastAsia="仿宋" w:cs="仿宋"/>
              </w:rPr>
            </w:pPr>
            <w:r>
              <w:rPr>
                <w:b/>
                <w:bCs/>
                <w:spacing w:val="-6"/>
              </w:rPr>
              <w:t>1</w:t>
            </w:r>
            <w:r>
              <w:rPr>
                <w:b/>
                <w:bCs/>
                <w:spacing w:val="18"/>
              </w:rPr>
              <w:t xml:space="preserve"> </w:t>
            </w:r>
            <w:r>
              <w:rPr>
                <w:rFonts w:ascii="仿宋" w:hAnsi="仿宋" w:eastAsia="仿宋" w:cs="仿宋"/>
                <w:spacing w:val="-6"/>
                <w14:textOutline w14:w="3810" w14:cap="flat" w14:cmpd="sng">
                  <w14:solidFill>
                    <w14:srgbClr w14:val="000000"/>
                  </w14:solidFill>
                  <w14:prstDash w14:val="solid"/>
                  <w14:miter w14:val="0"/>
                </w14:textOutline>
              </w:rPr>
              <w:t>小时平均</w:t>
            </w:r>
          </w:p>
        </w:tc>
        <w:tc>
          <w:tcPr>
            <w:tcW w:w="2513" w:type="dxa"/>
            <w:tcBorders>
              <w:right w:val="nil"/>
            </w:tcBorders>
            <w:vAlign w:val="top"/>
          </w:tcPr>
          <w:p>
            <w:pPr>
              <w:pStyle w:val="6"/>
              <w:spacing w:before="124" w:line="186" w:lineRule="auto"/>
              <w:ind w:left="1000"/>
            </w:pPr>
            <w:r>
              <w:rPr>
                <w:spacing w:val="-1"/>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3004" w:type="dxa"/>
            <w:vMerge w:val="restart"/>
            <w:tcBorders>
              <w:left w:val="nil"/>
              <w:bottom w:val="nil"/>
            </w:tcBorders>
            <w:vAlign w:val="top"/>
          </w:tcPr>
          <w:p>
            <w:pPr>
              <w:rPr>
                <w:rFonts w:ascii="Arial"/>
                <w:sz w:val="21"/>
              </w:rPr>
            </w:pPr>
          </w:p>
          <w:p>
            <w:pPr>
              <w:pStyle w:val="6"/>
              <w:spacing w:before="60" w:line="186" w:lineRule="auto"/>
              <w:ind w:left="1363"/>
            </w:pPr>
            <w:r>
              <w:rPr>
                <w:spacing w:val="-2"/>
              </w:rPr>
              <w:t>CO</w:t>
            </w:r>
          </w:p>
        </w:tc>
        <w:tc>
          <w:tcPr>
            <w:tcW w:w="2790" w:type="dxa"/>
            <w:vAlign w:val="top"/>
          </w:tcPr>
          <w:p>
            <w:pPr>
              <w:pStyle w:val="6"/>
              <w:spacing w:before="88" w:line="216" w:lineRule="auto"/>
              <w:ind w:left="843"/>
              <w:rPr>
                <w:rFonts w:ascii="仿宋" w:hAnsi="仿宋" w:eastAsia="仿宋" w:cs="仿宋"/>
              </w:rPr>
            </w:pPr>
            <w:r>
              <w:rPr>
                <w:b/>
                <w:bCs/>
                <w:spacing w:val="-3"/>
              </w:rPr>
              <w:t>24</w:t>
            </w:r>
            <w:r>
              <w:rPr>
                <w:b/>
                <w:bCs/>
                <w:spacing w:val="15"/>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小时平均</w:t>
            </w:r>
          </w:p>
        </w:tc>
        <w:tc>
          <w:tcPr>
            <w:tcW w:w="2513" w:type="dxa"/>
            <w:tcBorders>
              <w:right w:val="nil"/>
            </w:tcBorders>
            <w:vAlign w:val="top"/>
          </w:tcPr>
          <w:p>
            <w:pPr>
              <w:pStyle w:val="6"/>
              <w:spacing w:before="127" w:line="186" w:lineRule="auto"/>
              <w:ind w:left="946"/>
            </w:pPr>
            <w:r>
              <w:rPr>
                <w:spacing w:val="-1"/>
              </w:rPr>
              <w:t>4000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2" w:hRule="atLeast"/>
        </w:trPr>
        <w:tc>
          <w:tcPr>
            <w:tcW w:w="3004" w:type="dxa"/>
            <w:vMerge w:val="continue"/>
            <w:tcBorders>
              <w:top w:val="nil"/>
              <w:left w:val="nil"/>
            </w:tcBorders>
            <w:vAlign w:val="top"/>
          </w:tcPr>
          <w:p>
            <w:pPr>
              <w:rPr>
                <w:rFonts w:ascii="Arial"/>
                <w:sz w:val="21"/>
              </w:rPr>
            </w:pPr>
          </w:p>
        </w:tc>
        <w:tc>
          <w:tcPr>
            <w:tcW w:w="2790" w:type="dxa"/>
            <w:vAlign w:val="top"/>
          </w:tcPr>
          <w:p>
            <w:pPr>
              <w:pStyle w:val="6"/>
              <w:spacing w:before="89" w:line="213" w:lineRule="auto"/>
              <w:ind w:left="905"/>
              <w:rPr>
                <w:rFonts w:ascii="仿宋" w:hAnsi="仿宋" w:eastAsia="仿宋" w:cs="仿宋"/>
              </w:rPr>
            </w:pPr>
            <w:r>
              <w:rPr>
                <w:b/>
                <w:bCs/>
                <w:spacing w:val="-6"/>
              </w:rPr>
              <w:t>1</w:t>
            </w:r>
            <w:r>
              <w:rPr>
                <w:b/>
                <w:bCs/>
                <w:spacing w:val="18"/>
              </w:rPr>
              <w:t xml:space="preserve"> </w:t>
            </w:r>
            <w:r>
              <w:rPr>
                <w:rFonts w:ascii="仿宋" w:hAnsi="仿宋" w:eastAsia="仿宋" w:cs="仿宋"/>
                <w:spacing w:val="-6"/>
                <w14:textOutline w14:w="3810" w14:cap="flat" w14:cmpd="sng">
                  <w14:solidFill>
                    <w14:srgbClr w14:val="000000"/>
                  </w14:solidFill>
                  <w14:prstDash w14:val="solid"/>
                  <w14:miter w14:val="0"/>
                </w14:textOutline>
              </w:rPr>
              <w:t>小时平均</w:t>
            </w:r>
          </w:p>
        </w:tc>
        <w:tc>
          <w:tcPr>
            <w:tcW w:w="2513" w:type="dxa"/>
            <w:tcBorders>
              <w:right w:val="nil"/>
            </w:tcBorders>
            <w:vAlign w:val="top"/>
          </w:tcPr>
          <w:p>
            <w:pPr>
              <w:pStyle w:val="6"/>
              <w:spacing w:before="128" w:line="186" w:lineRule="auto"/>
              <w:ind w:left="916"/>
            </w:pPr>
            <w:r>
              <w:rPr>
                <w:spacing w:val="-4"/>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 w:hRule="atLeast"/>
        </w:trPr>
        <w:tc>
          <w:tcPr>
            <w:tcW w:w="3004" w:type="dxa"/>
            <w:vMerge w:val="restart"/>
            <w:tcBorders>
              <w:left w:val="nil"/>
              <w:bottom w:val="nil"/>
            </w:tcBorders>
            <w:vAlign w:val="top"/>
          </w:tcPr>
          <w:p>
            <w:pPr>
              <w:spacing w:line="244" w:lineRule="auto"/>
              <w:rPr>
                <w:rFonts w:ascii="Arial"/>
                <w:sz w:val="21"/>
              </w:rPr>
            </w:pPr>
          </w:p>
          <w:p>
            <w:pPr>
              <w:pStyle w:val="6"/>
              <w:spacing w:before="60" w:line="197" w:lineRule="auto"/>
              <w:ind w:left="1398"/>
              <w:rPr>
                <w:sz w:val="14"/>
                <w:szCs w:val="14"/>
              </w:rPr>
            </w:pPr>
            <w:r>
              <w:rPr>
                <w:spacing w:val="-4"/>
              </w:rPr>
              <w:t>O</w:t>
            </w:r>
            <w:r>
              <w:rPr>
                <w:spacing w:val="-4"/>
                <w:position w:val="-1"/>
                <w:sz w:val="14"/>
                <w:szCs w:val="14"/>
              </w:rPr>
              <w:t>3</w:t>
            </w:r>
          </w:p>
        </w:tc>
        <w:tc>
          <w:tcPr>
            <w:tcW w:w="2790" w:type="dxa"/>
            <w:vAlign w:val="top"/>
          </w:tcPr>
          <w:p>
            <w:pPr>
              <w:pStyle w:val="6"/>
              <w:spacing w:before="92" w:line="212" w:lineRule="auto"/>
              <w:ind w:left="606"/>
              <w:rPr>
                <w:rFonts w:ascii="仿宋" w:hAnsi="仿宋" w:eastAsia="仿宋" w:cs="仿宋"/>
              </w:rPr>
            </w:pPr>
            <w:r>
              <w:rPr>
                <w:rFonts w:ascii="仿宋" w:hAnsi="仿宋" w:eastAsia="仿宋" w:cs="仿宋"/>
                <w:spacing w:val="-10"/>
                <w14:textOutline w14:w="3810" w14:cap="flat" w14:cmpd="sng">
                  <w14:solidFill>
                    <w14:srgbClr w14:val="000000"/>
                  </w14:solidFill>
                  <w14:prstDash w14:val="solid"/>
                  <w14:miter w14:val="0"/>
                </w14:textOutline>
              </w:rPr>
              <w:t>日最大</w:t>
            </w:r>
            <w:r>
              <w:rPr>
                <w:rFonts w:ascii="仿宋" w:hAnsi="仿宋" w:eastAsia="仿宋" w:cs="仿宋"/>
                <w:spacing w:val="-41"/>
              </w:rPr>
              <w:t xml:space="preserve"> </w:t>
            </w:r>
            <w:r>
              <w:rPr>
                <w:b/>
                <w:bCs/>
                <w:spacing w:val="-10"/>
              </w:rPr>
              <w:t>8</w:t>
            </w:r>
            <w:r>
              <w:rPr>
                <w:b/>
                <w:bCs/>
                <w:spacing w:val="15"/>
              </w:rPr>
              <w:t xml:space="preserve"> </w:t>
            </w:r>
            <w:r>
              <w:rPr>
                <w:rFonts w:ascii="仿宋" w:hAnsi="仿宋" w:eastAsia="仿宋" w:cs="仿宋"/>
                <w:spacing w:val="-10"/>
                <w14:textOutline w14:w="3810" w14:cap="flat" w14:cmpd="sng">
                  <w14:solidFill>
                    <w14:srgbClr w14:val="000000"/>
                  </w14:solidFill>
                  <w14:prstDash w14:val="solid"/>
                  <w14:miter w14:val="0"/>
                </w14:textOutline>
              </w:rPr>
              <w:t>小时平均</w:t>
            </w:r>
          </w:p>
        </w:tc>
        <w:tc>
          <w:tcPr>
            <w:tcW w:w="2513" w:type="dxa"/>
            <w:tcBorders>
              <w:right w:val="nil"/>
            </w:tcBorders>
            <w:vAlign w:val="top"/>
          </w:tcPr>
          <w:p>
            <w:pPr>
              <w:pStyle w:val="6"/>
              <w:spacing w:before="131" w:line="186" w:lineRule="auto"/>
              <w:ind w:left="1020"/>
            </w:pPr>
            <w:r>
              <w:rPr>
                <w:spacing w:val="-6"/>
              </w:rPr>
              <w:t>160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9" w:hRule="atLeast"/>
        </w:trPr>
        <w:tc>
          <w:tcPr>
            <w:tcW w:w="3004" w:type="dxa"/>
            <w:vMerge w:val="continue"/>
            <w:tcBorders>
              <w:top w:val="nil"/>
              <w:left w:val="nil"/>
              <w:bottom w:val="single" w:color="000000" w:sz="12" w:space="0"/>
            </w:tcBorders>
            <w:vAlign w:val="top"/>
          </w:tcPr>
          <w:p>
            <w:pPr>
              <w:rPr>
                <w:rFonts w:ascii="Arial"/>
                <w:sz w:val="21"/>
              </w:rPr>
            </w:pPr>
          </w:p>
        </w:tc>
        <w:tc>
          <w:tcPr>
            <w:tcW w:w="2790" w:type="dxa"/>
            <w:tcBorders>
              <w:bottom w:val="single" w:color="000000" w:sz="12" w:space="0"/>
            </w:tcBorders>
            <w:vAlign w:val="top"/>
          </w:tcPr>
          <w:p>
            <w:pPr>
              <w:pStyle w:val="6"/>
              <w:spacing w:before="93" w:line="219" w:lineRule="auto"/>
              <w:ind w:left="905"/>
              <w:rPr>
                <w:rFonts w:ascii="仿宋" w:hAnsi="仿宋" w:eastAsia="仿宋" w:cs="仿宋"/>
              </w:rPr>
            </w:pPr>
            <w:r>
              <w:rPr>
                <w:b/>
                <w:bCs/>
                <w:spacing w:val="-6"/>
              </w:rPr>
              <w:t>1</w:t>
            </w:r>
            <w:r>
              <w:rPr>
                <w:b/>
                <w:bCs/>
                <w:spacing w:val="18"/>
              </w:rPr>
              <w:t xml:space="preserve"> </w:t>
            </w:r>
            <w:r>
              <w:rPr>
                <w:rFonts w:ascii="仿宋" w:hAnsi="仿宋" w:eastAsia="仿宋" w:cs="仿宋"/>
                <w:spacing w:val="-6"/>
                <w14:textOutline w14:w="3810" w14:cap="flat" w14:cmpd="sng">
                  <w14:solidFill>
                    <w14:srgbClr w14:val="000000"/>
                  </w14:solidFill>
                  <w14:prstDash w14:val="solid"/>
                  <w14:miter w14:val="0"/>
                </w14:textOutline>
              </w:rPr>
              <w:t>小时平均</w:t>
            </w:r>
          </w:p>
        </w:tc>
        <w:tc>
          <w:tcPr>
            <w:tcW w:w="2513" w:type="dxa"/>
            <w:tcBorders>
              <w:bottom w:val="single" w:color="000000" w:sz="12" w:space="0"/>
              <w:right w:val="nil"/>
            </w:tcBorders>
            <w:vAlign w:val="top"/>
          </w:tcPr>
          <w:p>
            <w:pPr>
              <w:pStyle w:val="6"/>
              <w:spacing w:before="132" w:line="186" w:lineRule="auto"/>
              <w:ind w:left="1000"/>
            </w:pPr>
            <w:r>
              <w:rPr>
                <w:spacing w:val="-1"/>
              </w:rPr>
              <w:t>200</w:t>
            </w:r>
          </w:p>
        </w:tc>
      </w:tr>
    </w:tbl>
    <w:p>
      <w:pPr>
        <w:spacing w:before="36"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）地表水环境</w:t>
      </w:r>
    </w:p>
    <w:p>
      <w:pPr>
        <w:spacing w:line="220" w:lineRule="auto"/>
        <w:rPr>
          <w:rFonts w:ascii="宋体" w:hAnsi="宋体" w:eastAsia="宋体" w:cs="宋体"/>
          <w:sz w:val="24"/>
          <w:szCs w:val="24"/>
        </w:rPr>
        <w:sectPr>
          <w:headerReference r:id="rId31" w:type="default"/>
          <w:footerReference r:id="rId32" w:type="default"/>
          <w:pgSz w:w="11907" w:h="16839"/>
          <w:pgMar w:top="1156" w:right="1768" w:bottom="1154" w:left="1770" w:header="881" w:footer="990" w:gutter="0"/>
        </w:sectPr>
      </w:pPr>
    </w:p>
    <w:p>
      <w:pPr>
        <w:spacing w:line="317" w:lineRule="auto"/>
        <w:rPr>
          <w:rFonts w:ascii="Arial"/>
          <w:sz w:val="21"/>
        </w:rPr>
      </w:pPr>
    </w:p>
    <w:p>
      <w:pPr>
        <w:spacing w:before="78" w:line="360" w:lineRule="auto"/>
        <w:ind w:left="69" w:right="186" w:firstLine="479"/>
        <w:jc w:val="both"/>
        <w:rPr>
          <w:rFonts w:ascii="宋体" w:hAnsi="宋体" w:eastAsia="宋体" w:cs="宋体"/>
          <w:sz w:val="24"/>
          <w:szCs w:val="24"/>
        </w:rPr>
      </w:pPr>
      <w:r>
        <w:rPr>
          <w:rFonts w:ascii="宋体" w:hAnsi="宋体" w:eastAsia="宋体" w:cs="宋体"/>
          <w:spacing w:val="-10"/>
          <w:sz w:val="24"/>
          <w:szCs w:val="24"/>
        </w:rPr>
        <w:t>根据《云南省水功能区划》（</w:t>
      </w:r>
      <w:r>
        <w:rPr>
          <w:rFonts w:ascii="Times New Roman" w:hAnsi="Times New Roman" w:eastAsia="Times New Roman" w:cs="Times New Roman"/>
          <w:spacing w:val="-10"/>
          <w:sz w:val="24"/>
          <w:szCs w:val="24"/>
        </w:rPr>
        <w:t xml:space="preserve">2014 </w:t>
      </w:r>
      <w:r>
        <w:rPr>
          <w:rFonts w:ascii="宋体" w:hAnsi="宋体" w:eastAsia="宋体" w:cs="宋体"/>
          <w:spacing w:val="-10"/>
          <w:sz w:val="24"/>
          <w:szCs w:val="24"/>
        </w:rPr>
        <w:t>年修订</w:t>
      </w:r>
      <w:r>
        <w:rPr>
          <w:rFonts w:ascii="宋体" w:hAnsi="宋体" w:eastAsia="宋体" w:cs="宋体"/>
          <w:spacing w:val="-28"/>
          <w:sz w:val="24"/>
          <w:szCs w:val="24"/>
        </w:rPr>
        <w:t>），</w:t>
      </w:r>
      <w:r>
        <w:rPr>
          <w:rFonts w:ascii="宋体" w:hAnsi="宋体" w:eastAsia="宋体" w:cs="宋体"/>
          <w:spacing w:val="-10"/>
          <w:sz w:val="24"/>
          <w:szCs w:val="24"/>
        </w:rPr>
        <w:t>项目涉及蜻蛉河流域属蜻蛉河大</w:t>
      </w:r>
      <w:r>
        <w:rPr>
          <w:rFonts w:ascii="宋体" w:hAnsi="宋体" w:eastAsia="宋体" w:cs="宋体"/>
          <w:spacing w:val="1"/>
          <w:sz w:val="24"/>
          <w:szCs w:val="24"/>
        </w:rPr>
        <w:t xml:space="preserve"> </w:t>
      </w:r>
      <w:r>
        <w:rPr>
          <w:rFonts w:ascii="宋体" w:hAnsi="宋体" w:eastAsia="宋体" w:cs="宋体"/>
          <w:spacing w:val="-11"/>
          <w:sz w:val="24"/>
          <w:szCs w:val="24"/>
        </w:rPr>
        <w:t>姚</w:t>
      </w:r>
      <w:r>
        <w:rPr>
          <w:rFonts w:ascii="Times New Roman" w:hAnsi="Times New Roman" w:eastAsia="Times New Roman" w:cs="Times New Roman"/>
          <w:spacing w:val="-11"/>
          <w:sz w:val="24"/>
          <w:szCs w:val="24"/>
        </w:rPr>
        <w:t>-</w:t>
      </w:r>
      <w:r>
        <w:rPr>
          <w:rFonts w:ascii="宋体" w:hAnsi="宋体" w:eastAsia="宋体" w:cs="宋体"/>
          <w:spacing w:val="-11"/>
          <w:sz w:val="24"/>
          <w:szCs w:val="24"/>
        </w:rPr>
        <w:t>元谋保留区，现状水质为Ⅱ类， 规划水平年水质目标为Ⅱ类。因此</w:t>
      </w:r>
      <w:r>
        <w:rPr>
          <w:rFonts w:ascii="宋体" w:hAnsi="宋体" w:eastAsia="宋体" w:cs="宋体"/>
          <w:spacing w:val="-12"/>
          <w:sz w:val="24"/>
          <w:szCs w:val="24"/>
        </w:rPr>
        <w:t>， 蜻蛉河支</w:t>
      </w:r>
      <w:r>
        <w:rPr>
          <w:rFonts w:ascii="宋体" w:hAnsi="宋体" w:eastAsia="宋体" w:cs="宋体"/>
          <w:sz w:val="24"/>
          <w:szCs w:val="24"/>
        </w:rPr>
        <w:t xml:space="preserve"> </w:t>
      </w:r>
      <w:r>
        <w:rPr>
          <w:rFonts w:ascii="宋体" w:hAnsi="宋体" w:eastAsia="宋体" w:cs="宋体"/>
          <w:spacing w:val="-3"/>
          <w:sz w:val="24"/>
          <w:szCs w:val="24"/>
        </w:rPr>
        <w:t>流者纳么河上游者纳么河、六苴河、碧么水库、六姑乍箐、昔木乍箐、见簸箐参</w:t>
      </w:r>
    </w:p>
    <w:p>
      <w:pPr>
        <w:spacing w:line="219" w:lineRule="auto"/>
        <w:ind w:left="69"/>
        <w:rPr>
          <w:rFonts w:ascii="宋体" w:hAnsi="宋体" w:eastAsia="宋体" w:cs="宋体"/>
          <w:sz w:val="24"/>
          <w:szCs w:val="24"/>
        </w:rPr>
      </w:pPr>
      <w:r>
        <w:rPr>
          <w:rFonts w:ascii="宋体" w:hAnsi="宋体" w:eastAsia="宋体" w:cs="宋体"/>
          <w:spacing w:val="-4"/>
          <w:sz w:val="24"/>
          <w:szCs w:val="24"/>
        </w:rPr>
        <w:t>照执行《地表水环境质量标准》（</w:t>
      </w:r>
      <w:r>
        <w:rPr>
          <w:rFonts w:ascii="Times New Roman" w:hAnsi="Times New Roman" w:eastAsia="Times New Roman" w:cs="Times New Roman"/>
          <w:spacing w:val="-4"/>
          <w:sz w:val="24"/>
          <w:szCs w:val="24"/>
        </w:rPr>
        <w:t>GB38</w:t>
      </w:r>
      <w:r>
        <w:rPr>
          <w:rFonts w:ascii="Times New Roman" w:hAnsi="Times New Roman" w:eastAsia="Times New Roman" w:cs="Times New Roman"/>
          <w:spacing w:val="-5"/>
          <w:sz w:val="24"/>
          <w:szCs w:val="24"/>
        </w:rPr>
        <w:t>38-2002</w:t>
      </w:r>
      <w:r>
        <w:rPr>
          <w:rFonts w:ascii="宋体" w:hAnsi="宋体" w:eastAsia="宋体" w:cs="宋体"/>
          <w:spacing w:val="-5"/>
          <w:sz w:val="24"/>
          <w:szCs w:val="24"/>
        </w:rPr>
        <w:t>）中Ⅱ类标。</w:t>
      </w:r>
    </w:p>
    <w:p>
      <w:pPr>
        <w:spacing w:before="182" w:line="360" w:lineRule="auto"/>
        <w:ind w:left="69" w:firstLine="479"/>
        <w:jc w:val="both"/>
        <w:rPr>
          <w:rFonts w:ascii="宋体" w:hAnsi="宋体" w:eastAsia="宋体" w:cs="宋体"/>
          <w:sz w:val="24"/>
          <w:szCs w:val="24"/>
        </w:rPr>
      </w:pPr>
      <w:r>
        <w:rPr>
          <w:rFonts w:ascii="宋体" w:hAnsi="宋体" w:eastAsia="宋体" w:cs="宋体"/>
          <w:spacing w:val="-21"/>
          <w:sz w:val="24"/>
          <w:szCs w:val="24"/>
        </w:rPr>
        <w:t>根据《楚雄州水功能区划（第二版）》，万马河河源至大姚县桂花，</w:t>
      </w:r>
      <w:r>
        <w:rPr>
          <w:rFonts w:ascii="宋体" w:hAnsi="宋体" w:eastAsia="宋体" w:cs="宋体"/>
          <w:spacing w:val="-31"/>
          <w:sz w:val="24"/>
          <w:szCs w:val="24"/>
        </w:rPr>
        <w:t xml:space="preserve"> </w:t>
      </w:r>
      <w:r>
        <w:rPr>
          <w:rFonts w:ascii="宋体" w:hAnsi="宋体" w:eastAsia="宋体" w:cs="宋体"/>
          <w:spacing w:val="-21"/>
          <w:sz w:val="24"/>
          <w:szCs w:val="24"/>
        </w:rPr>
        <w:t>全长</w:t>
      </w:r>
      <w:r>
        <w:rPr>
          <w:rFonts w:ascii="宋体" w:hAnsi="宋体" w:eastAsia="宋体" w:cs="宋体"/>
          <w:spacing w:val="-33"/>
          <w:sz w:val="24"/>
          <w:szCs w:val="24"/>
        </w:rPr>
        <w:t xml:space="preserve"> </w:t>
      </w:r>
      <w:r>
        <w:rPr>
          <w:rFonts w:ascii="Times New Roman" w:hAnsi="Times New Roman" w:eastAsia="Times New Roman" w:cs="Times New Roman"/>
          <w:spacing w:val="-21"/>
          <w:sz w:val="24"/>
          <w:szCs w:val="24"/>
        </w:rPr>
        <w:t>15.7km</w:t>
      </w:r>
      <w:r>
        <w:rPr>
          <w:rFonts w:ascii="宋体" w:hAnsi="宋体" w:eastAsia="宋体" w:cs="宋体"/>
          <w:spacing w:val="-21"/>
          <w:sz w:val="24"/>
          <w:szCs w:val="24"/>
        </w:rPr>
        <w:t>，</w:t>
      </w:r>
      <w:r>
        <w:rPr>
          <w:rFonts w:ascii="宋体" w:hAnsi="宋体" w:eastAsia="宋体" w:cs="宋体"/>
          <w:sz w:val="24"/>
          <w:szCs w:val="24"/>
        </w:rPr>
        <w:t xml:space="preserve"> </w:t>
      </w:r>
      <w:r>
        <w:rPr>
          <w:rFonts w:ascii="宋体" w:hAnsi="宋体" w:eastAsia="宋体" w:cs="宋体"/>
          <w:spacing w:val="-7"/>
          <w:sz w:val="24"/>
          <w:szCs w:val="24"/>
        </w:rPr>
        <w:t>规划水平年水质目标为Ⅱ类。桂花河、罗子左河、</w:t>
      </w:r>
      <w:r>
        <w:rPr>
          <w:rFonts w:ascii="宋体" w:hAnsi="宋体" w:eastAsia="宋体" w:cs="宋体"/>
          <w:spacing w:val="28"/>
          <w:sz w:val="24"/>
          <w:szCs w:val="24"/>
        </w:rPr>
        <w:t xml:space="preserve"> </w:t>
      </w:r>
      <w:r>
        <w:rPr>
          <w:rFonts w:ascii="宋体" w:hAnsi="宋体" w:eastAsia="宋体" w:cs="宋体"/>
          <w:spacing w:val="-7"/>
          <w:sz w:val="24"/>
          <w:szCs w:val="24"/>
        </w:rPr>
        <w:t>马茨河参</w:t>
      </w:r>
      <w:r>
        <w:rPr>
          <w:rFonts w:ascii="宋体" w:hAnsi="宋体" w:eastAsia="宋体" w:cs="宋体"/>
          <w:spacing w:val="-8"/>
          <w:sz w:val="24"/>
          <w:szCs w:val="24"/>
        </w:rPr>
        <w:t>照执行《地表水环境</w:t>
      </w:r>
    </w:p>
    <w:p>
      <w:pPr>
        <w:spacing w:line="219" w:lineRule="auto"/>
        <w:ind w:left="69"/>
        <w:rPr>
          <w:rFonts w:ascii="宋体" w:hAnsi="宋体" w:eastAsia="宋体" w:cs="宋体"/>
          <w:sz w:val="24"/>
          <w:szCs w:val="24"/>
        </w:rPr>
      </w:pPr>
      <w:r>
        <w:rPr>
          <w:rFonts w:ascii="宋体" w:hAnsi="宋体" w:eastAsia="宋体" w:cs="宋体"/>
          <w:spacing w:val="-6"/>
          <w:sz w:val="24"/>
          <w:szCs w:val="24"/>
        </w:rPr>
        <w:t>质量标准》（</w:t>
      </w:r>
      <w:r>
        <w:rPr>
          <w:rFonts w:ascii="Times New Roman" w:hAnsi="Times New Roman" w:eastAsia="Times New Roman" w:cs="Times New Roman"/>
          <w:spacing w:val="-6"/>
          <w:sz w:val="24"/>
          <w:szCs w:val="24"/>
        </w:rPr>
        <w:t>GB3838-2002</w:t>
      </w:r>
      <w:r>
        <w:rPr>
          <w:rFonts w:ascii="宋体" w:hAnsi="宋体" w:eastAsia="宋体" w:cs="宋体"/>
          <w:spacing w:val="-6"/>
          <w:sz w:val="24"/>
          <w:szCs w:val="24"/>
        </w:rPr>
        <w:t>）中Ⅱ类标。</w:t>
      </w:r>
    </w:p>
    <w:p>
      <w:pPr>
        <w:spacing w:before="104" w:line="220" w:lineRule="auto"/>
        <w:ind w:left="548"/>
        <w:rPr>
          <w:rFonts w:ascii="宋体" w:hAnsi="宋体" w:eastAsia="宋体" w:cs="宋体"/>
          <w:sz w:val="24"/>
          <w:szCs w:val="24"/>
        </w:rPr>
      </w:pPr>
      <w:r>
        <w:rPr>
          <w:rFonts w:ascii="宋体" w:hAnsi="宋体" w:eastAsia="宋体" w:cs="宋体"/>
          <w:spacing w:val="-2"/>
          <w:sz w:val="24"/>
          <w:szCs w:val="24"/>
        </w:rPr>
        <w:t>相应的标准限值见表</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1.5-2~1.5-3</w:t>
      </w:r>
      <w:r>
        <w:rPr>
          <w:rFonts w:ascii="宋体" w:hAnsi="宋体" w:eastAsia="宋体" w:cs="宋体"/>
          <w:spacing w:val="-2"/>
          <w:sz w:val="24"/>
          <w:szCs w:val="24"/>
        </w:rPr>
        <w:t>。</w:t>
      </w:r>
    </w:p>
    <w:p>
      <w:pPr>
        <w:spacing w:line="247" w:lineRule="auto"/>
        <w:rPr>
          <w:rFonts w:ascii="Arial"/>
          <w:sz w:val="21"/>
        </w:rPr>
      </w:pPr>
    </w:p>
    <w:p>
      <w:pPr>
        <w:pStyle w:val="2"/>
        <w:spacing w:before="70" w:line="212" w:lineRule="auto"/>
        <w:ind w:left="1315"/>
        <w:rPr>
          <w:rFonts w:ascii="Times New Roman" w:hAnsi="Times New Roman" w:eastAsia="Times New Roman" w:cs="Times New Roman"/>
        </w:rPr>
      </w:pPr>
      <w:r>
        <w:rPr>
          <w:spacing w:val="-3"/>
          <w14:textOutline w14:w="3810" w14:cap="flat" w14:cmpd="sng">
            <w14:solidFill>
              <w14:srgbClr w14:val="000000"/>
            </w14:solidFill>
            <w14:prstDash w14:val="solid"/>
            <w14:miter w14:val="0"/>
          </w14:textOutline>
        </w:rPr>
        <w:t>表</w:t>
      </w:r>
      <w:r>
        <w:rPr>
          <w:spacing w:val="-35"/>
        </w:rPr>
        <w:t xml:space="preserve"> </w:t>
      </w:r>
      <w:r>
        <w:rPr>
          <w:rFonts w:ascii="Times New Roman" w:hAnsi="Times New Roman" w:eastAsia="Times New Roman" w:cs="Times New Roman"/>
          <w:b/>
          <w:bCs/>
          <w:spacing w:val="-3"/>
        </w:rPr>
        <w:t xml:space="preserve">1.5-2    </w:t>
      </w:r>
      <w:r>
        <w:rPr>
          <w:spacing w:val="-3"/>
          <w14:textOutline w14:w="3810" w14:cap="flat" w14:cmpd="sng">
            <w14:solidFill>
              <w14:srgbClr w14:val="000000"/>
            </w14:solidFill>
            <w14:prstDash w14:val="solid"/>
            <w14:miter w14:val="0"/>
          </w14:textOutline>
        </w:rPr>
        <w:t>地表水环境质量标准限值（摘录）</w:t>
      </w:r>
      <w:r>
        <w:rPr>
          <w:spacing w:val="-3"/>
        </w:rPr>
        <w:t xml:space="preserve">     </w:t>
      </w:r>
      <w:r>
        <w:rPr>
          <w:spacing w:val="-3"/>
          <w14:textOutline w14:w="3810" w14:cap="flat" w14:cmpd="sng">
            <w14:solidFill>
              <w14:srgbClr w14:val="000000"/>
            </w14:solidFill>
            <w14:prstDash w14:val="solid"/>
            <w14:miter w14:val="0"/>
          </w14:textOutline>
        </w:rPr>
        <w:t>单位：</w:t>
      </w:r>
      <w:r>
        <w:rPr>
          <w:spacing w:val="-3"/>
        </w:rPr>
        <w:t xml:space="preserve">  </w:t>
      </w:r>
      <w:r>
        <w:rPr>
          <w:rFonts w:ascii="Times New Roman" w:hAnsi="Times New Roman" w:eastAsia="Times New Roman" w:cs="Times New Roman"/>
          <w:b/>
          <w:bCs/>
          <w:spacing w:val="-3"/>
        </w:rPr>
        <w:t>mg/L</w:t>
      </w:r>
    </w:p>
    <w:p>
      <w:pPr>
        <w:spacing w:line="26" w:lineRule="exact"/>
      </w:pPr>
    </w:p>
    <w:tbl>
      <w:tblPr>
        <w:tblStyle w:val="5"/>
        <w:tblW w:w="8321" w:type="dxa"/>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1188"/>
        <w:gridCol w:w="1188"/>
        <w:gridCol w:w="1188"/>
        <w:gridCol w:w="1187"/>
        <w:gridCol w:w="1186"/>
        <w:gridCol w:w="11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13" w:hRule="atLeast"/>
        </w:trPr>
        <w:tc>
          <w:tcPr>
            <w:tcW w:w="1201" w:type="dxa"/>
            <w:tcBorders>
              <w:top w:val="single" w:color="000000" w:sz="12" w:space="0"/>
              <w:left w:val="nil"/>
            </w:tcBorders>
            <w:vAlign w:val="top"/>
          </w:tcPr>
          <w:p>
            <w:pPr>
              <w:spacing w:before="52" w:line="219" w:lineRule="auto"/>
              <w:ind w:left="411"/>
              <w:rPr>
                <w:rFonts w:ascii="仿宋" w:hAnsi="仿宋" w:eastAsia="仿宋" w:cs="仿宋"/>
                <w:sz w:val="21"/>
                <w:szCs w:val="21"/>
              </w:rPr>
            </w:pPr>
            <w:r>
              <w:rPr>
                <w:rFonts w:ascii="仿宋" w:hAnsi="仿宋" w:eastAsia="仿宋" w:cs="仿宋"/>
                <w:spacing w:val="-5"/>
                <w:sz w:val="21"/>
                <w:szCs w:val="21"/>
              </w:rPr>
              <w:t>类别</w:t>
            </w:r>
          </w:p>
        </w:tc>
        <w:tc>
          <w:tcPr>
            <w:tcW w:w="1188" w:type="dxa"/>
            <w:tcBorders>
              <w:top w:val="single" w:color="000000" w:sz="12" w:space="0"/>
            </w:tcBorders>
            <w:vAlign w:val="top"/>
          </w:tcPr>
          <w:p>
            <w:pPr>
              <w:pStyle w:val="6"/>
              <w:spacing w:before="50" w:line="213" w:lineRule="auto"/>
              <w:ind w:left="305"/>
              <w:rPr>
                <w:rFonts w:ascii="仿宋" w:hAnsi="仿宋" w:eastAsia="仿宋" w:cs="仿宋"/>
              </w:rPr>
            </w:pPr>
            <w:r>
              <w:t>pH</w:t>
            </w:r>
            <w:r>
              <w:rPr>
                <w:spacing w:val="5"/>
              </w:rPr>
              <w:t xml:space="preserve">  </w:t>
            </w:r>
            <w:r>
              <w:rPr>
                <w:rFonts w:ascii="仿宋" w:hAnsi="仿宋" w:eastAsia="仿宋" w:cs="仿宋"/>
              </w:rPr>
              <w:t>值</w:t>
            </w:r>
          </w:p>
        </w:tc>
        <w:tc>
          <w:tcPr>
            <w:tcW w:w="1188" w:type="dxa"/>
            <w:tcBorders>
              <w:top w:val="single" w:color="000000" w:sz="12" w:space="0"/>
            </w:tcBorders>
            <w:vAlign w:val="top"/>
          </w:tcPr>
          <w:p>
            <w:pPr>
              <w:spacing w:before="52" w:line="218" w:lineRule="auto"/>
              <w:ind w:left="289"/>
              <w:rPr>
                <w:rFonts w:ascii="仿宋" w:hAnsi="仿宋" w:eastAsia="仿宋" w:cs="仿宋"/>
                <w:sz w:val="21"/>
                <w:szCs w:val="21"/>
              </w:rPr>
            </w:pPr>
            <w:r>
              <w:rPr>
                <w:rFonts w:ascii="仿宋" w:hAnsi="仿宋" w:eastAsia="仿宋" w:cs="仿宋"/>
                <w:spacing w:val="-3"/>
                <w:sz w:val="21"/>
                <w:szCs w:val="21"/>
              </w:rPr>
              <w:t>溶解氧</w:t>
            </w:r>
          </w:p>
        </w:tc>
        <w:tc>
          <w:tcPr>
            <w:tcW w:w="1188" w:type="dxa"/>
            <w:tcBorders>
              <w:top w:val="single" w:color="000000" w:sz="12" w:space="0"/>
            </w:tcBorders>
            <w:vAlign w:val="top"/>
          </w:tcPr>
          <w:p>
            <w:pPr>
              <w:pStyle w:val="6"/>
              <w:spacing w:before="87" w:line="188" w:lineRule="auto"/>
              <w:ind w:left="377"/>
            </w:pPr>
            <w:r>
              <w:rPr>
                <w:spacing w:val="-3"/>
              </w:rPr>
              <w:t>COD</w:t>
            </w:r>
          </w:p>
        </w:tc>
        <w:tc>
          <w:tcPr>
            <w:tcW w:w="1187" w:type="dxa"/>
            <w:tcBorders>
              <w:top w:val="single" w:color="000000" w:sz="12" w:space="0"/>
            </w:tcBorders>
            <w:vAlign w:val="top"/>
          </w:tcPr>
          <w:p>
            <w:pPr>
              <w:pStyle w:val="6"/>
              <w:spacing w:before="80" w:line="198" w:lineRule="auto"/>
              <w:ind w:left="337"/>
              <w:rPr>
                <w:sz w:val="14"/>
                <w:szCs w:val="14"/>
              </w:rPr>
            </w:pPr>
            <w:r>
              <w:rPr>
                <w:spacing w:val="-1"/>
              </w:rPr>
              <w:t>BOD</w:t>
            </w:r>
            <w:r>
              <w:rPr>
                <w:spacing w:val="-1"/>
                <w:position w:val="-2"/>
                <w:sz w:val="14"/>
                <w:szCs w:val="14"/>
              </w:rPr>
              <w:t>5</w:t>
            </w:r>
          </w:p>
        </w:tc>
        <w:tc>
          <w:tcPr>
            <w:tcW w:w="1186" w:type="dxa"/>
            <w:tcBorders>
              <w:top w:val="single" w:color="000000" w:sz="12" w:space="0"/>
            </w:tcBorders>
            <w:vAlign w:val="top"/>
          </w:tcPr>
          <w:p>
            <w:pPr>
              <w:spacing w:before="51" w:line="220" w:lineRule="auto"/>
              <w:ind w:left="402"/>
              <w:rPr>
                <w:rFonts w:ascii="仿宋" w:hAnsi="仿宋" w:eastAsia="仿宋" w:cs="仿宋"/>
                <w:sz w:val="21"/>
                <w:szCs w:val="21"/>
              </w:rPr>
            </w:pPr>
            <w:r>
              <w:rPr>
                <w:rFonts w:ascii="仿宋" w:hAnsi="仿宋" w:eastAsia="仿宋" w:cs="仿宋"/>
                <w:spacing w:val="-6"/>
                <w:sz w:val="21"/>
                <w:szCs w:val="21"/>
              </w:rPr>
              <w:t>氨氮</w:t>
            </w:r>
          </w:p>
        </w:tc>
        <w:tc>
          <w:tcPr>
            <w:tcW w:w="1183" w:type="dxa"/>
            <w:tcBorders>
              <w:top w:val="single" w:color="000000" w:sz="12" w:space="0"/>
              <w:right w:val="nil"/>
            </w:tcBorders>
            <w:vAlign w:val="top"/>
          </w:tcPr>
          <w:p>
            <w:pPr>
              <w:spacing w:before="51" w:line="217" w:lineRule="auto"/>
              <w:ind w:left="404"/>
              <w:rPr>
                <w:rFonts w:ascii="仿宋" w:hAnsi="仿宋" w:eastAsia="仿宋" w:cs="仿宋"/>
                <w:sz w:val="21"/>
                <w:szCs w:val="21"/>
              </w:rPr>
            </w:pPr>
            <w:r>
              <w:rPr>
                <w:rFonts w:ascii="仿宋" w:hAnsi="仿宋" w:eastAsia="仿宋" w:cs="仿宋"/>
                <w:spacing w:val="-6"/>
                <w:sz w:val="21"/>
                <w:szCs w:val="21"/>
              </w:rPr>
              <w:t>总磷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3" w:hRule="atLeast"/>
        </w:trPr>
        <w:tc>
          <w:tcPr>
            <w:tcW w:w="1201" w:type="dxa"/>
            <w:tcBorders>
              <w:left w:val="nil"/>
            </w:tcBorders>
            <w:vAlign w:val="top"/>
          </w:tcPr>
          <w:p>
            <w:pPr>
              <w:spacing w:before="55" w:line="218" w:lineRule="auto"/>
              <w:ind w:left="507"/>
              <w:rPr>
                <w:rFonts w:ascii="宋体" w:hAnsi="宋体" w:eastAsia="宋体" w:cs="宋体"/>
                <w:sz w:val="21"/>
                <w:szCs w:val="21"/>
              </w:rPr>
            </w:pPr>
            <w:r>
              <w:rPr>
                <w:rFonts w:ascii="宋体" w:hAnsi="宋体" w:eastAsia="宋体" w:cs="宋体"/>
                <w:sz w:val="21"/>
                <w:szCs w:val="21"/>
              </w:rPr>
              <w:t>Ⅲ</w:t>
            </w:r>
          </w:p>
        </w:tc>
        <w:tc>
          <w:tcPr>
            <w:tcW w:w="1188" w:type="dxa"/>
            <w:vAlign w:val="top"/>
          </w:tcPr>
          <w:p>
            <w:pPr>
              <w:pStyle w:val="6"/>
              <w:spacing w:before="89" w:line="212" w:lineRule="auto"/>
              <w:ind w:left="437"/>
            </w:pPr>
            <w:r>
              <w:rPr>
                <w:spacing w:val="-3"/>
              </w:rPr>
              <w:t>6~9</w:t>
            </w:r>
          </w:p>
        </w:tc>
        <w:tc>
          <w:tcPr>
            <w:tcW w:w="1188" w:type="dxa"/>
            <w:vAlign w:val="top"/>
          </w:tcPr>
          <w:p>
            <w:pPr>
              <w:pStyle w:val="6"/>
              <w:spacing w:before="89" w:line="212" w:lineRule="auto"/>
              <w:ind w:left="483"/>
            </w:pPr>
            <w:r>
              <w:rPr>
                <w:spacing w:val="-2"/>
              </w:rPr>
              <w:t>≥5</w:t>
            </w:r>
          </w:p>
        </w:tc>
        <w:tc>
          <w:tcPr>
            <w:tcW w:w="1188" w:type="dxa"/>
            <w:vAlign w:val="top"/>
          </w:tcPr>
          <w:p>
            <w:pPr>
              <w:pStyle w:val="6"/>
              <w:spacing w:before="89" w:line="212" w:lineRule="auto"/>
              <w:ind w:left="432"/>
            </w:pPr>
            <w:r>
              <w:rPr>
                <w:spacing w:val="-1"/>
              </w:rPr>
              <w:t>≤20</w:t>
            </w:r>
          </w:p>
        </w:tc>
        <w:tc>
          <w:tcPr>
            <w:tcW w:w="1187" w:type="dxa"/>
            <w:vAlign w:val="top"/>
          </w:tcPr>
          <w:p>
            <w:pPr>
              <w:pStyle w:val="6"/>
              <w:spacing w:before="89" w:line="212" w:lineRule="auto"/>
              <w:ind w:left="483"/>
            </w:pPr>
            <w:r>
              <w:rPr>
                <w:spacing w:val="-2"/>
              </w:rPr>
              <w:t>≤4</w:t>
            </w:r>
          </w:p>
        </w:tc>
        <w:tc>
          <w:tcPr>
            <w:tcW w:w="1186" w:type="dxa"/>
            <w:vAlign w:val="top"/>
          </w:tcPr>
          <w:p>
            <w:pPr>
              <w:pStyle w:val="6"/>
              <w:spacing w:before="89" w:line="212" w:lineRule="auto"/>
              <w:ind w:left="405"/>
            </w:pPr>
            <w:r>
              <w:rPr>
                <w:spacing w:val="-1"/>
              </w:rPr>
              <w:t>≤1.0</w:t>
            </w:r>
          </w:p>
        </w:tc>
        <w:tc>
          <w:tcPr>
            <w:tcW w:w="1183" w:type="dxa"/>
            <w:tcBorders>
              <w:right w:val="nil"/>
            </w:tcBorders>
            <w:vAlign w:val="top"/>
          </w:tcPr>
          <w:p>
            <w:pPr>
              <w:pStyle w:val="6"/>
              <w:spacing w:before="89" w:line="212" w:lineRule="auto"/>
              <w:ind w:left="406"/>
            </w:pPr>
            <w:r>
              <w:rPr>
                <w:spacing w:val="-1"/>
              </w:rPr>
              <w:t>≤0.2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3" w:hRule="atLeast"/>
        </w:trPr>
        <w:tc>
          <w:tcPr>
            <w:tcW w:w="1201" w:type="dxa"/>
            <w:tcBorders>
              <w:left w:val="nil"/>
            </w:tcBorders>
            <w:vAlign w:val="top"/>
          </w:tcPr>
          <w:p>
            <w:pPr>
              <w:spacing w:before="59" w:line="214" w:lineRule="auto"/>
              <w:ind w:left="411"/>
              <w:rPr>
                <w:rFonts w:ascii="仿宋" w:hAnsi="仿宋" w:eastAsia="仿宋" w:cs="仿宋"/>
                <w:sz w:val="21"/>
                <w:szCs w:val="21"/>
              </w:rPr>
            </w:pPr>
            <w:r>
              <w:rPr>
                <w:rFonts w:ascii="仿宋" w:hAnsi="仿宋" w:eastAsia="仿宋" w:cs="仿宋"/>
                <w:spacing w:val="-5"/>
                <w:sz w:val="21"/>
                <w:szCs w:val="21"/>
              </w:rPr>
              <w:t>类别</w:t>
            </w:r>
          </w:p>
        </w:tc>
        <w:tc>
          <w:tcPr>
            <w:tcW w:w="1188" w:type="dxa"/>
            <w:vAlign w:val="top"/>
          </w:tcPr>
          <w:p>
            <w:pPr>
              <w:spacing w:before="59" w:line="214" w:lineRule="auto"/>
              <w:ind w:left="404"/>
              <w:rPr>
                <w:rFonts w:ascii="仿宋" w:hAnsi="仿宋" w:eastAsia="仿宋" w:cs="仿宋"/>
                <w:sz w:val="21"/>
                <w:szCs w:val="21"/>
              </w:rPr>
            </w:pPr>
            <w:r>
              <w:rPr>
                <w:rFonts w:ascii="仿宋" w:hAnsi="仿宋" w:eastAsia="仿宋" w:cs="仿宋"/>
                <w:spacing w:val="-6"/>
                <w:sz w:val="21"/>
                <w:szCs w:val="21"/>
              </w:rPr>
              <w:t>总氮</w:t>
            </w:r>
          </w:p>
        </w:tc>
        <w:tc>
          <w:tcPr>
            <w:tcW w:w="1188" w:type="dxa"/>
            <w:vAlign w:val="top"/>
          </w:tcPr>
          <w:p>
            <w:pPr>
              <w:spacing w:before="59" w:line="214" w:lineRule="auto"/>
              <w:ind w:left="501"/>
              <w:rPr>
                <w:rFonts w:ascii="仿宋" w:hAnsi="仿宋" w:eastAsia="仿宋" w:cs="仿宋"/>
                <w:sz w:val="21"/>
                <w:szCs w:val="21"/>
              </w:rPr>
            </w:pPr>
            <w:r>
              <w:rPr>
                <w:rFonts w:ascii="仿宋" w:hAnsi="仿宋" w:eastAsia="仿宋" w:cs="仿宋"/>
                <w:sz w:val="21"/>
                <w:szCs w:val="21"/>
              </w:rPr>
              <w:t>铜</w:t>
            </w:r>
          </w:p>
        </w:tc>
        <w:tc>
          <w:tcPr>
            <w:tcW w:w="1188" w:type="dxa"/>
            <w:vAlign w:val="top"/>
          </w:tcPr>
          <w:p>
            <w:pPr>
              <w:spacing w:before="59" w:line="214" w:lineRule="auto"/>
              <w:ind w:left="500"/>
              <w:rPr>
                <w:rFonts w:ascii="仿宋" w:hAnsi="仿宋" w:eastAsia="仿宋" w:cs="仿宋"/>
                <w:sz w:val="21"/>
                <w:szCs w:val="21"/>
              </w:rPr>
            </w:pPr>
            <w:r>
              <w:rPr>
                <w:rFonts w:ascii="仿宋" w:hAnsi="仿宋" w:eastAsia="仿宋" w:cs="仿宋"/>
                <w:sz w:val="21"/>
                <w:szCs w:val="21"/>
              </w:rPr>
              <w:t>锌</w:t>
            </w:r>
          </w:p>
        </w:tc>
        <w:tc>
          <w:tcPr>
            <w:tcW w:w="1187" w:type="dxa"/>
            <w:vAlign w:val="top"/>
          </w:tcPr>
          <w:p>
            <w:pPr>
              <w:spacing w:before="59" w:line="214" w:lineRule="auto"/>
              <w:ind w:left="295"/>
              <w:rPr>
                <w:rFonts w:ascii="仿宋" w:hAnsi="仿宋" w:eastAsia="仿宋" w:cs="仿宋"/>
                <w:sz w:val="21"/>
                <w:szCs w:val="21"/>
              </w:rPr>
            </w:pPr>
            <w:r>
              <w:rPr>
                <w:rFonts w:ascii="仿宋" w:hAnsi="仿宋" w:eastAsia="仿宋" w:cs="仿宋"/>
                <w:spacing w:val="-5"/>
                <w:sz w:val="21"/>
                <w:szCs w:val="21"/>
              </w:rPr>
              <w:t>氟化物</w:t>
            </w:r>
          </w:p>
        </w:tc>
        <w:tc>
          <w:tcPr>
            <w:tcW w:w="1186" w:type="dxa"/>
            <w:vAlign w:val="top"/>
          </w:tcPr>
          <w:p>
            <w:pPr>
              <w:spacing w:before="59" w:line="214" w:lineRule="auto"/>
              <w:ind w:left="498"/>
              <w:rPr>
                <w:rFonts w:ascii="仿宋" w:hAnsi="仿宋" w:eastAsia="仿宋" w:cs="仿宋"/>
                <w:sz w:val="21"/>
                <w:szCs w:val="21"/>
              </w:rPr>
            </w:pPr>
            <w:r>
              <w:rPr>
                <w:rFonts w:ascii="仿宋" w:hAnsi="仿宋" w:eastAsia="仿宋" w:cs="仿宋"/>
                <w:sz w:val="21"/>
                <w:szCs w:val="21"/>
              </w:rPr>
              <w:t>硒</w:t>
            </w:r>
          </w:p>
        </w:tc>
        <w:tc>
          <w:tcPr>
            <w:tcW w:w="1183" w:type="dxa"/>
            <w:tcBorders>
              <w:right w:val="nil"/>
            </w:tcBorders>
            <w:vAlign w:val="top"/>
          </w:tcPr>
          <w:p>
            <w:pPr>
              <w:spacing w:before="59" w:line="214" w:lineRule="auto"/>
              <w:ind w:left="500"/>
              <w:rPr>
                <w:rFonts w:ascii="仿宋" w:hAnsi="仿宋" w:eastAsia="仿宋" w:cs="仿宋"/>
                <w:sz w:val="21"/>
                <w:szCs w:val="21"/>
              </w:rPr>
            </w:pPr>
            <w:r>
              <w:rPr>
                <w:rFonts w:ascii="仿宋" w:hAnsi="仿宋" w:eastAsia="仿宋" w:cs="仿宋"/>
                <w:sz w:val="21"/>
                <w:szCs w:val="21"/>
              </w:rPr>
              <w:t>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201" w:type="dxa"/>
            <w:tcBorders>
              <w:left w:val="nil"/>
            </w:tcBorders>
            <w:vAlign w:val="top"/>
          </w:tcPr>
          <w:p>
            <w:pPr>
              <w:spacing w:before="62" w:line="213" w:lineRule="auto"/>
              <w:ind w:left="507"/>
              <w:rPr>
                <w:rFonts w:ascii="宋体" w:hAnsi="宋体" w:eastAsia="宋体" w:cs="宋体"/>
                <w:sz w:val="21"/>
                <w:szCs w:val="21"/>
              </w:rPr>
            </w:pPr>
            <w:r>
              <w:rPr>
                <w:rFonts w:ascii="宋体" w:hAnsi="宋体" w:eastAsia="宋体" w:cs="宋体"/>
                <w:sz w:val="21"/>
                <w:szCs w:val="21"/>
              </w:rPr>
              <w:t>Ⅲ</w:t>
            </w:r>
          </w:p>
        </w:tc>
        <w:tc>
          <w:tcPr>
            <w:tcW w:w="1188" w:type="dxa"/>
            <w:vAlign w:val="top"/>
          </w:tcPr>
          <w:p>
            <w:pPr>
              <w:pStyle w:val="6"/>
              <w:spacing w:before="97" w:line="206" w:lineRule="auto"/>
              <w:ind w:left="405"/>
            </w:pPr>
            <w:r>
              <w:rPr>
                <w:spacing w:val="-1"/>
              </w:rPr>
              <w:t>≤1.0</w:t>
            </w:r>
          </w:p>
        </w:tc>
        <w:tc>
          <w:tcPr>
            <w:tcW w:w="1188" w:type="dxa"/>
            <w:vAlign w:val="top"/>
          </w:tcPr>
          <w:p>
            <w:pPr>
              <w:pStyle w:val="6"/>
              <w:spacing w:before="97" w:line="206" w:lineRule="auto"/>
              <w:ind w:left="405"/>
            </w:pPr>
            <w:r>
              <w:rPr>
                <w:spacing w:val="-1"/>
              </w:rPr>
              <w:t>≤1.0</w:t>
            </w:r>
          </w:p>
        </w:tc>
        <w:tc>
          <w:tcPr>
            <w:tcW w:w="1188" w:type="dxa"/>
            <w:vAlign w:val="top"/>
          </w:tcPr>
          <w:p>
            <w:pPr>
              <w:pStyle w:val="6"/>
              <w:spacing w:before="97" w:line="206" w:lineRule="auto"/>
              <w:ind w:left="406"/>
            </w:pPr>
            <w:r>
              <w:rPr>
                <w:spacing w:val="-1"/>
              </w:rPr>
              <w:t>≤1.0</w:t>
            </w:r>
          </w:p>
        </w:tc>
        <w:tc>
          <w:tcPr>
            <w:tcW w:w="1187" w:type="dxa"/>
            <w:vAlign w:val="top"/>
          </w:tcPr>
          <w:p>
            <w:pPr>
              <w:pStyle w:val="6"/>
              <w:spacing w:before="97" w:line="206" w:lineRule="auto"/>
              <w:ind w:left="405"/>
            </w:pPr>
            <w:r>
              <w:rPr>
                <w:spacing w:val="-1"/>
              </w:rPr>
              <w:t>≤1.0</w:t>
            </w:r>
          </w:p>
        </w:tc>
        <w:tc>
          <w:tcPr>
            <w:tcW w:w="1186" w:type="dxa"/>
            <w:vAlign w:val="top"/>
          </w:tcPr>
          <w:p>
            <w:pPr>
              <w:pStyle w:val="6"/>
              <w:spacing w:before="97" w:line="206" w:lineRule="auto"/>
              <w:ind w:left="352"/>
            </w:pPr>
            <w:r>
              <w:rPr>
                <w:spacing w:val="-1"/>
              </w:rPr>
              <w:t>≤0.01</w:t>
            </w:r>
          </w:p>
        </w:tc>
        <w:tc>
          <w:tcPr>
            <w:tcW w:w="1183" w:type="dxa"/>
            <w:tcBorders>
              <w:right w:val="nil"/>
            </w:tcBorders>
            <w:vAlign w:val="top"/>
          </w:tcPr>
          <w:p>
            <w:pPr>
              <w:pStyle w:val="6"/>
              <w:spacing w:before="97" w:line="206" w:lineRule="auto"/>
              <w:ind w:left="353"/>
            </w:pPr>
            <w:r>
              <w:rPr>
                <w:spacing w:val="-1"/>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3" w:hRule="atLeast"/>
        </w:trPr>
        <w:tc>
          <w:tcPr>
            <w:tcW w:w="1201" w:type="dxa"/>
            <w:tcBorders>
              <w:left w:val="nil"/>
            </w:tcBorders>
            <w:vAlign w:val="top"/>
          </w:tcPr>
          <w:p>
            <w:pPr>
              <w:spacing w:before="66" w:line="208" w:lineRule="auto"/>
              <w:ind w:left="411"/>
              <w:rPr>
                <w:rFonts w:ascii="仿宋" w:hAnsi="仿宋" w:eastAsia="仿宋" w:cs="仿宋"/>
                <w:sz w:val="21"/>
                <w:szCs w:val="21"/>
              </w:rPr>
            </w:pPr>
            <w:r>
              <w:rPr>
                <w:rFonts w:ascii="仿宋" w:hAnsi="仿宋" w:eastAsia="仿宋" w:cs="仿宋"/>
                <w:spacing w:val="-5"/>
                <w:sz w:val="21"/>
                <w:szCs w:val="21"/>
              </w:rPr>
              <w:t>类别</w:t>
            </w:r>
          </w:p>
        </w:tc>
        <w:tc>
          <w:tcPr>
            <w:tcW w:w="1188" w:type="dxa"/>
            <w:vAlign w:val="top"/>
          </w:tcPr>
          <w:p>
            <w:pPr>
              <w:spacing w:before="66" w:line="208" w:lineRule="auto"/>
              <w:ind w:left="500"/>
              <w:rPr>
                <w:rFonts w:ascii="仿宋" w:hAnsi="仿宋" w:eastAsia="仿宋" w:cs="仿宋"/>
                <w:sz w:val="21"/>
                <w:szCs w:val="21"/>
              </w:rPr>
            </w:pPr>
            <w:r>
              <w:rPr>
                <w:rFonts w:ascii="仿宋" w:hAnsi="仿宋" w:eastAsia="仿宋" w:cs="仿宋"/>
                <w:sz w:val="21"/>
                <w:szCs w:val="21"/>
              </w:rPr>
              <w:t>汞</w:t>
            </w:r>
          </w:p>
        </w:tc>
        <w:tc>
          <w:tcPr>
            <w:tcW w:w="1188" w:type="dxa"/>
            <w:vAlign w:val="top"/>
          </w:tcPr>
          <w:p>
            <w:pPr>
              <w:spacing w:before="66" w:line="208" w:lineRule="auto"/>
              <w:ind w:left="500"/>
              <w:rPr>
                <w:rFonts w:ascii="仿宋" w:hAnsi="仿宋" w:eastAsia="仿宋" w:cs="仿宋"/>
                <w:sz w:val="21"/>
                <w:szCs w:val="21"/>
              </w:rPr>
            </w:pPr>
            <w:r>
              <w:rPr>
                <w:rFonts w:ascii="仿宋" w:hAnsi="仿宋" w:eastAsia="仿宋" w:cs="仿宋"/>
                <w:sz w:val="21"/>
                <w:szCs w:val="21"/>
              </w:rPr>
              <w:t>镉</w:t>
            </w:r>
          </w:p>
        </w:tc>
        <w:tc>
          <w:tcPr>
            <w:tcW w:w="1188" w:type="dxa"/>
            <w:vAlign w:val="top"/>
          </w:tcPr>
          <w:p>
            <w:pPr>
              <w:spacing w:before="66" w:line="208" w:lineRule="auto"/>
              <w:ind w:left="83"/>
              <w:rPr>
                <w:rFonts w:ascii="仿宋" w:hAnsi="仿宋" w:eastAsia="仿宋" w:cs="仿宋"/>
                <w:sz w:val="21"/>
                <w:szCs w:val="21"/>
              </w:rPr>
            </w:pPr>
            <w:r>
              <w:rPr>
                <w:rFonts w:ascii="仿宋" w:hAnsi="仿宋" w:eastAsia="仿宋" w:cs="仿宋"/>
                <w:spacing w:val="-5"/>
                <w:sz w:val="21"/>
                <w:szCs w:val="21"/>
              </w:rPr>
              <w:t>铬（六价）</w:t>
            </w:r>
          </w:p>
        </w:tc>
        <w:tc>
          <w:tcPr>
            <w:tcW w:w="1187" w:type="dxa"/>
            <w:vAlign w:val="top"/>
          </w:tcPr>
          <w:p>
            <w:pPr>
              <w:spacing w:before="66" w:line="208" w:lineRule="auto"/>
              <w:ind w:left="498"/>
              <w:rPr>
                <w:rFonts w:ascii="仿宋" w:hAnsi="仿宋" w:eastAsia="仿宋" w:cs="仿宋"/>
                <w:sz w:val="21"/>
                <w:szCs w:val="21"/>
              </w:rPr>
            </w:pPr>
            <w:r>
              <w:rPr>
                <w:rFonts w:ascii="仿宋" w:hAnsi="仿宋" w:eastAsia="仿宋" w:cs="仿宋"/>
                <w:sz w:val="21"/>
                <w:szCs w:val="21"/>
              </w:rPr>
              <w:t>铅</w:t>
            </w:r>
          </w:p>
        </w:tc>
        <w:tc>
          <w:tcPr>
            <w:tcW w:w="1186" w:type="dxa"/>
            <w:vAlign w:val="top"/>
          </w:tcPr>
          <w:p>
            <w:pPr>
              <w:spacing w:before="66" w:line="208" w:lineRule="auto"/>
              <w:ind w:left="298"/>
              <w:rPr>
                <w:rFonts w:ascii="仿宋" w:hAnsi="仿宋" w:eastAsia="仿宋" w:cs="仿宋"/>
                <w:sz w:val="21"/>
                <w:szCs w:val="21"/>
              </w:rPr>
            </w:pPr>
            <w:r>
              <w:rPr>
                <w:rFonts w:ascii="仿宋" w:hAnsi="仿宋" w:eastAsia="仿宋" w:cs="仿宋"/>
                <w:spacing w:val="-6"/>
                <w:sz w:val="21"/>
                <w:szCs w:val="21"/>
              </w:rPr>
              <w:t>氰化物</w:t>
            </w:r>
          </w:p>
        </w:tc>
        <w:tc>
          <w:tcPr>
            <w:tcW w:w="1183" w:type="dxa"/>
            <w:tcBorders>
              <w:right w:val="nil"/>
            </w:tcBorders>
            <w:vAlign w:val="top"/>
          </w:tcPr>
          <w:p>
            <w:pPr>
              <w:spacing w:before="66" w:line="208" w:lineRule="auto"/>
              <w:ind w:left="291"/>
              <w:rPr>
                <w:rFonts w:ascii="仿宋" w:hAnsi="仿宋" w:eastAsia="仿宋" w:cs="仿宋"/>
                <w:sz w:val="21"/>
                <w:szCs w:val="21"/>
              </w:rPr>
            </w:pPr>
            <w:r>
              <w:rPr>
                <w:rFonts w:ascii="仿宋" w:hAnsi="仿宋" w:eastAsia="仿宋" w:cs="仿宋"/>
                <w:spacing w:val="-4"/>
                <w:sz w:val="21"/>
                <w:szCs w:val="21"/>
              </w:rPr>
              <w:t>挥发酚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3" w:hRule="atLeast"/>
        </w:trPr>
        <w:tc>
          <w:tcPr>
            <w:tcW w:w="1201" w:type="dxa"/>
            <w:tcBorders>
              <w:left w:val="nil"/>
            </w:tcBorders>
            <w:vAlign w:val="top"/>
          </w:tcPr>
          <w:p>
            <w:pPr>
              <w:spacing w:before="68" w:line="206" w:lineRule="auto"/>
              <w:ind w:left="507"/>
              <w:rPr>
                <w:rFonts w:ascii="宋体" w:hAnsi="宋体" w:eastAsia="宋体" w:cs="宋体"/>
                <w:sz w:val="21"/>
                <w:szCs w:val="21"/>
              </w:rPr>
            </w:pPr>
            <w:r>
              <w:rPr>
                <w:rFonts w:ascii="宋体" w:hAnsi="宋体" w:eastAsia="宋体" w:cs="宋体"/>
                <w:sz w:val="21"/>
                <w:szCs w:val="21"/>
              </w:rPr>
              <w:t>Ⅲ</w:t>
            </w:r>
          </w:p>
        </w:tc>
        <w:tc>
          <w:tcPr>
            <w:tcW w:w="1188" w:type="dxa"/>
            <w:vAlign w:val="top"/>
          </w:tcPr>
          <w:p>
            <w:pPr>
              <w:pStyle w:val="6"/>
              <w:spacing w:before="102" w:line="199" w:lineRule="auto"/>
              <w:ind w:left="248"/>
            </w:pPr>
            <w:r>
              <w:rPr>
                <w:spacing w:val="-1"/>
              </w:rPr>
              <w:t>≤0.0001</w:t>
            </w:r>
          </w:p>
        </w:tc>
        <w:tc>
          <w:tcPr>
            <w:tcW w:w="1188" w:type="dxa"/>
            <w:vAlign w:val="top"/>
          </w:tcPr>
          <w:p>
            <w:pPr>
              <w:pStyle w:val="6"/>
              <w:spacing w:before="102" w:line="199" w:lineRule="auto"/>
              <w:ind w:left="300"/>
            </w:pPr>
            <w:r>
              <w:rPr>
                <w:spacing w:val="-1"/>
              </w:rPr>
              <w:t>≤0.005</w:t>
            </w:r>
          </w:p>
        </w:tc>
        <w:tc>
          <w:tcPr>
            <w:tcW w:w="1188" w:type="dxa"/>
            <w:vAlign w:val="top"/>
          </w:tcPr>
          <w:p>
            <w:pPr>
              <w:pStyle w:val="6"/>
              <w:spacing w:before="102" w:line="199" w:lineRule="auto"/>
              <w:ind w:left="353"/>
            </w:pPr>
            <w:r>
              <w:rPr>
                <w:spacing w:val="-1"/>
              </w:rPr>
              <w:t>≤0.05</w:t>
            </w:r>
          </w:p>
        </w:tc>
        <w:tc>
          <w:tcPr>
            <w:tcW w:w="1187" w:type="dxa"/>
            <w:vAlign w:val="top"/>
          </w:tcPr>
          <w:p>
            <w:pPr>
              <w:pStyle w:val="6"/>
              <w:spacing w:before="102" w:line="199" w:lineRule="auto"/>
              <w:ind w:left="352"/>
            </w:pPr>
            <w:r>
              <w:rPr>
                <w:spacing w:val="-1"/>
              </w:rPr>
              <w:t>≤0.05</w:t>
            </w:r>
          </w:p>
        </w:tc>
        <w:tc>
          <w:tcPr>
            <w:tcW w:w="1186" w:type="dxa"/>
            <w:vAlign w:val="top"/>
          </w:tcPr>
          <w:p>
            <w:pPr>
              <w:pStyle w:val="6"/>
              <w:spacing w:before="102" w:line="199" w:lineRule="auto"/>
              <w:ind w:left="405"/>
            </w:pPr>
            <w:r>
              <w:rPr>
                <w:spacing w:val="-1"/>
              </w:rPr>
              <w:t>≤0.2</w:t>
            </w:r>
          </w:p>
        </w:tc>
        <w:tc>
          <w:tcPr>
            <w:tcW w:w="1183" w:type="dxa"/>
            <w:tcBorders>
              <w:right w:val="nil"/>
            </w:tcBorders>
            <w:vAlign w:val="top"/>
          </w:tcPr>
          <w:p>
            <w:pPr>
              <w:pStyle w:val="6"/>
              <w:spacing w:before="102" w:line="199" w:lineRule="auto"/>
              <w:ind w:left="300"/>
            </w:pPr>
            <w:r>
              <w:rPr>
                <w:spacing w:val="-1"/>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1201" w:type="dxa"/>
            <w:tcBorders>
              <w:left w:val="nil"/>
            </w:tcBorders>
            <w:vAlign w:val="top"/>
          </w:tcPr>
          <w:p>
            <w:pPr>
              <w:spacing w:before="228" w:line="219" w:lineRule="auto"/>
              <w:ind w:left="411"/>
              <w:rPr>
                <w:rFonts w:ascii="仿宋" w:hAnsi="仿宋" w:eastAsia="仿宋" w:cs="仿宋"/>
                <w:sz w:val="21"/>
                <w:szCs w:val="21"/>
              </w:rPr>
            </w:pPr>
            <w:r>
              <w:rPr>
                <w:rFonts w:ascii="仿宋" w:hAnsi="仿宋" w:eastAsia="仿宋" w:cs="仿宋"/>
                <w:spacing w:val="-5"/>
                <w:sz w:val="21"/>
                <w:szCs w:val="21"/>
              </w:rPr>
              <w:t>类别</w:t>
            </w:r>
          </w:p>
        </w:tc>
        <w:tc>
          <w:tcPr>
            <w:tcW w:w="1188" w:type="dxa"/>
            <w:vAlign w:val="top"/>
          </w:tcPr>
          <w:p>
            <w:pPr>
              <w:spacing w:before="229" w:line="220" w:lineRule="auto"/>
              <w:ind w:left="289"/>
              <w:rPr>
                <w:rFonts w:ascii="仿宋" w:hAnsi="仿宋" w:eastAsia="仿宋" w:cs="仿宋"/>
                <w:sz w:val="21"/>
                <w:szCs w:val="21"/>
              </w:rPr>
            </w:pPr>
            <w:r>
              <w:rPr>
                <w:rFonts w:ascii="仿宋" w:hAnsi="仿宋" w:eastAsia="仿宋" w:cs="仿宋"/>
                <w:spacing w:val="-5"/>
                <w:sz w:val="21"/>
                <w:szCs w:val="21"/>
              </w:rPr>
              <w:t>石油类</w:t>
            </w:r>
          </w:p>
        </w:tc>
        <w:tc>
          <w:tcPr>
            <w:tcW w:w="1188" w:type="dxa"/>
            <w:vAlign w:val="top"/>
          </w:tcPr>
          <w:p>
            <w:pPr>
              <w:spacing w:before="228" w:line="217" w:lineRule="auto"/>
              <w:ind w:left="289"/>
              <w:rPr>
                <w:rFonts w:ascii="仿宋" w:hAnsi="仿宋" w:eastAsia="仿宋" w:cs="仿宋"/>
                <w:sz w:val="21"/>
                <w:szCs w:val="21"/>
              </w:rPr>
            </w:pPr>
            <w:r>
              <w:rPr>
                <w:rFonts w:ascii="仿宋" w:hAnsi="仿宋" w:eastAsia="仿宋" w:cs="仿宋"/>
                <w:spacing w:val="-3"/>
                <w:sz w:val="21"/>
                <w:szCs w:val="21"/>
              </w:rPr>
              <w:t>硫化物</w:t>
            </w:r>
          </w:p>
        </w:tc>
        <w:tc>
          <w:tcPr>
            <w:tcW w:w="1188" w:type="dxa"/>
            <w:vAlign w:val="top"/>
          </w:tcPr>
          <w:p>
            <w:pPr>
              <w:spacing w:before="74" w:line="237" w:lineRule="auto"/>
              <w:ind w:left="499" w:right="68" w:hanging="410"/>
              <w:rPr>
                <w:rFonts w:ascii="仿宋" w:hAnsi="仿宋" w:eastAsia="仿宋" w:cs="仿宋"/>
                <w:sz w:val="21"/>
                <w:szCs w:val="21"/>
              </w:rPr>
            </w:pPr>
            <w:r>
              <w:rPr>
                <w:rFonts w:ascii="仿宋" w:hAnsi="仿宋" w:eastAsia="仿宋" w:cs="仿宋"/>
                <w:spacing w:val="-6"/>
                <w:sz w:val="21"/>
                <w:szCs w:val="21"/>
              </w:rPr>
              <w:t>高锰酸盐指</w:t>
            </w:r>
            <w:r>
              <w:rPr>
                <w:rFonts w:ascii="仿宋" w:hAnsi="仿宋" w:eastAsia="仿宋" w:cs="仿宋"/>
                <w:spacing w:val="3"/>
                <w:sz w:val="21"/>
                <w:szCs w:val="21"/>
              </w:rPr>
              <w:t xml:space="preserve"> </w:t>
            </w:r>
            <w:r>
              <w:rPr>
                <w:rFonts w:ascii="仿宋" w:hAnsi="仿宋" w:eastAsia="仿宋" w:cs="仿宋"/>
                <w:sz w:val="21"/>
                <w:szCs w:val="21"/>
              </w:rPr>
              <w:t>数</w:t>
            </w:r>
          </w:p>
        </w:tc>
        <w:tc>
          <w:tcPr>
            <w:tcW w:w="1187" w:type="dxa"/>
            <w:vAlign w:val="top"/>
          </w:tcPr>
          <w:p>
            <w:pPr>
              <w:spacing w:before="74" w:line="237" w:lineRule="auto"/>
              <w:ind w:left="294" w:right="69" w:hanging="199"/>
              <w:rPr>
                <w:rFonts w:ascii="仿宋" w:hAnsi="仿宋" w:eastAsia="仿宋" w:cs="仿宋"/>
                <w:sz w:val="21"/>
                <w:szCs w:val="21"/>
              </w:rPr>
            </w:pPr>
            <w:r>
              <w:rPr>
                <w:rFonts w:ascii="仿宋" w:hAnsi="仿宋" w:eastAsia="仿宋" w:cs="仿宋"/>
                <w:spacing w:val="-7"/>
                <w:sz w:val="21"/>
                <w:szCs w:val="21"/>
              </w:rPr>
              <w:t>阴离子表面</w:t>
            </w:r>
            <w:r>
              <w:rPr>
                <w:rFonts w:ascii="仿宋" w:hAnsi="仿宋" w:eastAsia="仿宋" w:cs="仿宋"/>
                <w:spacing w:val="1"/>
                <w:sz w:val="21"/>
                <w:szCs w:val="21"/>
              </w:rPr>
              <w:t xml:space="preserve"> </w:t>
            </w:r>
            <w:r>
              <w:rPr>
                <w:rFonts w:ascii="仿宋" w:hAnsi="仿宋" w:eastAsia="仿宋" w:cs="仿宋"/>
                <w:spacing w:val="-5"/>
                <w:sz w:val="21"/>
                <w:szCs w:val="21"/>
              </w:rPr>
              <w:t>活性剂</w:t>
            </w:r>
          </w:p>
        </w:tc>
        <w:tc>
          <w:tcPr>
            <w:tcW w:w="1186" w:type="dxa"/>
            <w:vAlign w:val="top"/>
          </w:tcPr>
          <w:p>
            <w:pPr>
              <w:pStyle w:val="6"/>
              <w:spacing w:before="74" w:line="237" w:lineRule="auto"/>
              <w:ind w:left="198" w:right="67" w:hanging="111"/>
              <w:rPr>
                <w:rFonts w:ascii="仿宋" w:hAnsi="仿宋" w:eastAsia="仿宋" w:cs="仿宋"/>
              </w:rPr>
            </w:pPr>
            <w:r>
              <w:rPr>
                <w:rFonts w:ascii="仿宋" w:hAnsi="仿宋" w:eastAsia="仿宋" w:cs="仿宋"/>
                <w:spacing w:val="-5"/>
              </w:rPr>
              <w:t>粪大肠杆菌</w:t>
            </w:r>
            <w:r>
              <w:rPr>
                <w:rFonts w:ascii="仿宋" w:hAnsi="仿宋" w:eastAsia="仿宋" w:cs="仿宋"/>
              </w:rPr>
              <w:t xml:space="preserve"> </w:t>
            </w:r>
            <w:r>
              <w:rPr>
                <w:rFonts w:ascii="仿宋" w:hAnsi="仿宋" w:eastAsia="仿宋" w:cs="仿宋"/>
                <w:spacing w:val="-3"/>
              </w:rPr>
              <w:t>（个</w:t>
            </w:r>
            <w:r>
              <w:rPr>
                <w:spacing w:val="-3"/>
              </w:rPr>
              <w:t>/L</w:t>
            </w:r>
            <w:r>
              <w:rPr>
                <w:rFonts w:ascii="仿宋" w:hAnsi="仿宋" w:eastAsia="仿宋" w:cs="仿宋"/>
                <w:spacing w:val="-3"/>
              </w:rPr>
              <w:t>）</w:t>
            </w:r>
          </w:p>
        </w:tc>
        <w:tc>
          <w:tcPr>
            <w:tcW w:w="1183" w:type="dxa"/>
            <w:tcBorders>
              <w:right w:val="nil"/>
            </w:tcBorders>
            <w:vAlign w:val="top"/>
          </w:tcPr>
          <w:p>
            <w:pPr>
              <w:pStyle w:val="6"/>
              <w:spacing w:before="264" w:line="232" w:lineRule="auto"/>
              <w:ind w:left="562"/>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1201" w:type="dxa"/>
            <w:tcBorders>
              <w:left w:val="nil"/>
              <w:bottom w:val="single" w:color="000000" w:sz="12" w:space="0"/>
            </w:tcBorders>
            <w:vAlign w:val="top"/>
          </w:tcPr>
          <w:p>
            <w:pPr>
              <w:spacing w:before="78" w:line="220" w:lineRule="auto"/>
              <w:ind w:left="507"/>
              <w:rPr>
                <w:rFonts w:ascii="宋体" w:hAnsi="宋体" w:eastAsia="宋体" w:cs="宋体"/>
                <w:sz w:val="21"/>
                <w:szCs w:val="21"/>
              </w:rPr>
            </w:pPr>
            <w:r>
              <w:rPr>
                <w:rFonts w:ascii="宋体" w:hAnsi="宋体" w:eastAsia="宋体" w:cs="宋体"/>
                <w:sz w:val="21"/>
                <w:szCs w:val="21"/>
              </w:rPr>
              <w:t>Ⅲ</w:t>
            </w:r>
          </w:p>
        </w:tc>
        <w:tc>
          <w:tcPr>
            <w:tcW w:w="1188" w:type="dxa"/>
            <w:tcBorders>
              <w:bottom w:val="single" w:color="000000" w:sz="12" w:space="0"/>
            </w:tcBorders>
            <w:vAlign w:val="top"/>
          </w:tcPr>
          <w:p>
            <w:pPr>
              <w:pStyle w:val="6"/>
              <w:spacing w:before="112" w:line="215" w:lineRule="auto"/>
              <w:ind w:left="541"/>
            </w:pPr>
            <w:r>
              <w:rPr>
                <w:spacing w:val="-1"/>
              </w:rPr>
              <w:t>≤0.05</w:t>
            </w:r>
          </w:p>
        </w:tc>
        <w:tc>
          <w:tcPr>
            <w:tcW w:w="1188" w:type="dxa"/>
            <w:tcBorders>
              <w:bottom w:val="single" w:color="000000" w:sz="12" w:space="0"/>
            </w:tcBorders>
            <w:vAlign w:val="top"/>
          </w:tcPr>
          <w:p>
            <w:pPr>
              <w:pStyle w:val="6"/>
              <w:spacing w:before="112" w:line="215" w:lineRule="auto"/>
              <w:ind w:left="414"/>
            </w:pPr>
            <w:r>
              <w:rPr>
                <w:spacing w:val="-1"/>
              </w:rPr>
              <w:t>≤0.2</w:t>
            </w:r>
          </w:p>
        </w:tc>
        <w:tc>
          <w:tcPr>
            <w:tcW w:w="1188" w:type="dxa"/>
            <w:tcBorders>
              <w:bottom w:val="single" w:color="000000" w:sz="12" w:space="0"/>
            </w:tcBorders>
            <w:vAlign w:val="top"/>
          </w:tcPr>
          <w:p>
            <w:pPr>
              <w:pStyle w:val="6"/>
              <w:spacing w:before="112" w:line="215" w:lineRule="auto"/>
              <w:ind w:left="491"/>
            </w:pPr>
            <w:r>
              <w:rPr>
                <w:spacing w:val="-1"/>
              </w:rPr>
              <w:t>≤6</w:t>
            </w:r>
          </w:p>
        </w:tc>
        <w:tc>
          <w:tcPr>
            <w:tcW w:w="1187" w:type="dxa"/>
            <w:tcBorders>
              <w:bottom w:val="single" w:color="000000" w:sz="12" w:space="0"/>
            </w:tcBorders>
            <w:vAlign w:val="top"/>
          </w:tcPr>
          <w:p>
            <w:pPr>
              <w:pStyle w:val="6"/>
              <w:spacing w:before="112" w:line="215" w:lineRule="auto"/>
              <w:ind w:left="413"/>
            </w:pPr>
            <w:r>
              <w:rPr>
                <w:spacing w:val="-1"/>
              </w:rPr>
              <w:t>≤0.2</w:t>
            </w:r>
          </w:p>
        </w:tc>
        <w:tc>
          <w:tcPr>
            <w:tcW w:w="1186" w:type="dxa"/>
            <w:tcBorders>
              <w:bottom w:val="single" w:color="000000" w:sz="12" w:space="0"/>
            </w:tcBorders>
            <w:vAlign w:val="top"/>
          </w:tcPr>
          <w:p>
            <w:pPr>
              <w:pStyle w:val="6"/>
              <w:spacing w:before="112" w:line="215" w:lineRule="auto"/>
              <w:ind w:left="422"/>
            </w:pPr>
            <w:r>
              <w:rPr>
                <w:spacing w:val="-1"/>
              </w:rPr>
              <w:t>≤10000</w:t>
            </w:r>
          </w:p>
        </w:tc>
        <w:tc>
          <w:tcPr>
            <w:tcW w:w="1183" w:type="dxa"/>
            <w:tcBorders>
              <w:bottom w:val="single" w:color="000000" w:sz="12" w:space="0"/>
              <w:right w:val="nil"/>
            </w:tcBorders>
            <w:vAlign w:val="top"/>
          </w:tcPr>
          <w:p>
            <w:pPr>
              <w:pStyle w:val="6"/>
              <w:spacing w:before="112" w:line="215" w:lineRule="auto"/>
              <w:ind w:left="596"/>
            </w:pPr>
            <w:r>
              <w:t>/</w:t>
            </w:r>
          </w:p>
        </w:tc>
      </w:tr>
    </w:tbl>
    <w:p>
      <w:pPr>
        <w:pStyle w:val="2"/>
        <w:spacing w:before="173" w:line="212" w:lineRule="auto"/>
        <w:ind w:left="492"/>
        <w:rPr>
          <w:rFonts w:ascii="Times New Roman" w:hAnsi="Times New Roman" w:eastAsia="Times New Roman" w:cs="Times New Roman"/>
        </w:rPr>
      </w:pPr>
      <w:r>
        <w:rPr>
          <w:spacing w:val="-6"/>
          <w14:textOutline w14:w="3810" w14:cap="flat" w14:cmpd="sng">
            <w14:solidFill>
              <w14:srgbClr w14:val="000000"/>
            </w14:solidFill>
            <w14:prstDash w14:val="solid"/>
            <w14:miter w14:val="0"/>
          </w14:textOutline>
        </w:rPr>
        <w:t>表</w:t>
      </w:r>
      <w:r>
        <w:rPr>
          <w:spacing w:val="-22"/>
        </w:rPr>
        <w:t xml:space="preserve"> </w:t>
      </w:r>
      <w:r>
        <w:rPr>
          <w:rFonts w:ascii="Times New Roman" w:hAnsi="Times New Roman" w:eastAsia="Times New Roman" w:cs="Times New Roman"/>
          <w:b/>
          <w:bCs/>
          <w:spacing w:val="-6"/>
        </w:rPr>
        <w:t xml:space="preserve">1.5-3    </w:t>
      </w:r>
      <w:r>
        <w:rPr>
          <w:spacing w:val="-6"/>
          <w14:textOutline w14:w="3810" w14:cap="flat" w14:cmpd="sng">
            <w14:solidFill>
              <w14:srgbClr w14:val="000000"/>
            </w14:solidFill>
            <w14:prstDash w14:val="solid"/>
            <w14:miter w14:val="0"/>
          </w14:textOutline>
        </w:rPr>
        <w:t>集中式生活饮用水地表水源地补充项目标准限值</w:t>
      </w:r>
      <w:r>
        <w:rPr>
          <w:spacing w:val="-38"/>
        </w:rPr>
        <w:t xml:space="preserve"> </w:t>
      </w:r>
      <w:r>
        <w:rPr>
          <w:spacing w:val="-6"/>
          <w14:textOutline w14:w="3810" w14:cap="flat" w14:cmpd="sng">
            <w14:solidFill>
              <w14:srgbClr w14:val="000000"/>
            </w14:solidFill>
            <w14:prstDash w14:val="solid"/>
            <w14:miter w14:val="0"/>
          </w14:textOutline>
        </w:rPr>
        <w:t>（摘录）</w:t>
      </w:r>
      <w:r>
        <w:rPr>
          <w:spacing w:val="-6"/>
        </w:rPr>
        <w:t xml:space="preserve">      </w:t>
      </w:r>
      <w:r>
        <w:rPr>
          <w:spacing w:val="-6"/>
          <w14:textOutline w14:w="3810" w14:cap="flat" w14:cmpd="sng">
            <w14:solidFill>
              <w14:srgbClr w14:val="000000"/>
            </w14:solidFill>
            <w14:prstDash w14:val="solid"/>
            <w14:miter w14:val="0"/>
          </w14:textOutline>
        </w:rPr>
        <w:t>单位：</w:t>
      </w:r>
      <w:r>
        <w:rPr>
          <w:spacing w:val="-6"/>
        </w:rPr>
        <w:t xml:space="preserve"> </w:t>
      </w:r>
      <w:r>
        <w:rPr>
          <w:rFonts w:ascii="Times New Roman" w:hAnsi="Times New Roman" w:eastAsia="Times New Roman" w:cs="Times New Roman"/>
          <w:b/>
          <w:bCs/>
          <w:spacing w:val="-6"/>
        </w:rPr>
        <w:t>mg/L</w:t>
      </w:r>
    </w:p>
    <w:p>
      <w:pPr>
        <w:spacing w:line="27" w:lineRule="exact"/>
      </w:pPr>
    </w:p>
    <w:tbl>
      <w:tblPr>
        <w:tblStyle w:val="5"/>
        <w:tblW w:w="8321" w:type="dxa"/>
        <w:tblInd w:w="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0"/>
        <w:gridCol w:w="2127"/>
        <w:gridCol w:w="1700"/>
        <w:gridCol w:w="1417"/>
        <w:gridCol w:w="852"/>
        <w:gridCol w:w="10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9" w:hRule="atLeast"/>
        </w:trPr>
        <w:tc>
          <w:tcPr>
            <w:tcW w:w="1150" w:type="dxa"/>
            <w:tcBorders>
              <w:top w:val="single" w:color="000000" w:sz="12" w:space="0"/>
              <w:left w:val="nil"/>
            </w:tcBorders>
            <w:vAlign w:val="top"/>
          </w:tcPr>
          <w:p>
            <w:pPr>
              <w:spacing w:before="207" w:line="220" w:lineRule="auto"/>
              <w:ind w:left="38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2127" w:type="dxa"/>
            <w:tcBorders>
              <w:top w:val="single" w:color="000000" w:sz="12" w:space="0"/>
            </w:tcBorders>
            <w:vAlign w:val="top"/>
          </w:tcPr>
          <w:p>
            <w:pPr>
              <w:spacing w:before="50" w:line="220" w:lineRule="auto"/>
              <w:ind w:left="756"/>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硫酸盐</w:t>
            </w:r>
          </w:p>
          <w:p>
            <w:pPr>
              <w:pStyle w:val="6"/>
              <w:spacing w:before="62" w:line="207" w:lineRule="auto"/>
              <w:ind w:left="364"/>
              <w:rPr>
                <w:rFonts w:ascii="仿宋" w:hAnsi="仿宋" w:eastAsia="仿宋" w:cs="仿宋"/>
              </w:rPr>
            </w:pPr>
            <w:r>
              <w:rPr>
                <w:rFonts w:ascii="仿宋" w:hAnsi="仿宋" w:eastAsia="仿宋" w:cs="仿宋"/>
                <w:spacing w:val="-6"/>
                <w14:textOutline w14:w="3810" w14:cap="flat" w14:cmpd="sng">
                  <w14:solidFill>
                    <w14:srgbClr w14:val="000000"/>
                  </w14:solidFill>
                  <w14:prstDash w14:val="solid"/>
                  <w14:miter w14:val="0"/>
                </w14:textOutline>
              </w:rPr>
              <w:t>（以</w:t>
            </w:r>
            <w:r>
              <w:rPr>
                <w:rFonts w:ascii="仿宋" w:hAnsi="仿宋" w:eastAsia="仿宋" w:cs="仿宋"/>
                <w:spacing w:val="42"/>
              </w:rPr>
              <w:t xml:space="preserve"> </w:t>
            </w:r>
            <w:r>
              <w:rPr>
                <w:b/>
                <w:bCs/>
                <w:spacing w:val="-6"/>
              </w:rPr>
              <w:t>SO</w:t>
            </w:r>
            <w:r>
              <w:rPr>
                <w:b/>
                <w:bCs/>
                <w:spacing w:val="-6"/>
                <w:position w:val="-2"/>
                <w:sz w:val="14"/>
                <w:szCs w:val="14"/>
              </w:rPr>
              <w:t>4</w:t>
            </w:r>
            <w:r>
              <w:rPr>
                <w:b/>
                <w:bCs/>
                <w:spacing w:val="-6"/>
                <w:position w:val="6"/>
                <w:sz w:val="14"/>
                <w:szCs w:val="14"/>
              </w:rPr>
              <w:t>2-</w:t>
            </w:r>
            <w:r>
              <w:rPr>
                <w:rFonts w:ascii="仿宋" w:hAnsi="仿宋" w:eastAsia="仿宋" w:cs="仿宋"/>
                <w:spacing w:val="-6"/>
                <w14:textOutline w14:w="3810" w14:cap="flat" w14:cmpd="sng">
                  <w14:solidFill>
                    <w14:srgbClr w14:val="000000"/>
                  </w14:solidFill>
                  <w14:prstDash w14:val="solid"/>
                  <w14:miter w14:val="0"/>
                </w14:textOutline>
              </w:rPr>
              <w:t>计）</w:t>
            </w:r>
          </w:p>
        </w:tc>
        <w:tc>
          <w:tcPr>
            <w:tcW w:w="1700" w:type="dxa"/>
            <w:tcBorders>
              <w:top w:val="single" w:color="000000" w:sz="12" w:space="0"/>
            </w:tcBorders>
            <w:vAlign w:val="top"/>
          </w:tcPr>
          <w:p>
            <w:pPr>
              <w:pStyle w:val="6"/>
              <w:spacing w:before="53"/>
              <w:ind w:left="257" w:right="259" w:firstLine="291"/>
              <w:rPr>
                <w:rFonts w:ascii="仿宋" w:hAnsi="仿宋" w:eastAsia="仿宋" w:cs="仿宋"/>
              </w:rPr>
            </w:pPr>
            <w:r>
              <w:rPr>
                <w:rFonts w:ascii="仿宋" w:hAnsi="仿宋" w:eastAsia="仿宋" w:cs="仿宋"/>
                <w:spacing w:val="-6"/>
                <w14:textOutline w14:w="3810" w14:cap="flat" w14:cmpd="sng">
                  <w14:solidFill>
                    <w14:srgbClr w14:val="000000"/>
                  </w14:solidFill>
                  <w14:prstDash w14:val="solid"/>
                  <w14:miter w14:val="0"/>
                </w14:textOutline>
              </w:rPr>
              <w:t>氯化物</w:t>
            </w:r>
            <w:r>
              <w:rPr>
                <w:rFonts w:ascii="仿宋" w:hAnsi="仿宋" w:eastAsia="仿宋" w:cs="仿宋"/>
              </w:rPr>
              <w:t xml:space="preserve">   </w:t>
            </w:r>
            <w:r>
              <w:rPr>
                <w:rFonts w:ascii="仿宋" w:hAnsi="仿宋" w:eastAsia="仿宋" w:cs="仿宋"/>
                <w:spacing w:val="-9"/>
                <w14:textOutline w14:w="3810" w14:cap="flat" w14:cmpd="sng">
                  <w14:solidFill>
                    <w14:srgbClr w14:val="000000"/>
                  </w14:solidFill>
                  <w14:prstDash w14:val="solid"/>
                  <w14:miter w14:val="0"/>
                </w14:textOutline>
              </w:rPr>
              <w:t>（以</w:t>
            </w:r>
            <w:r>
              <w:rPr>
                <w:rFonts w:ascii="仿宋" w:hAnsi="仿宋" w:eastAsia="仿宋" w:cs="仿宋"/>
                <w:spacing w:val="37"/>
              </w:rPr>
              <w:t xml:space="preserve"> </w:t>
            </w:r>
            <w:r>
              <w:rPr>
                <w:b/>
                <w:bCs/>
                <w:spacing w:val="-9"/>
              </w:rPr>
              <w:t>Cl</w:t>
            </w:r>
            <w:r>
              <w:rPr>
                <w:b/>
                <w:bCs/>
                <w:spacing w:val="-9"/>
                <w:position w:val="7"/>
                <w:sz w:val="14"/>
                <w:szCs w:val="14"/>
              </w:rPr>
              <w:t>-</w:t>
            </w:r>
            <w:r>
              <w:rPr>
                <w:rFonts w:ascii="仿宋" w:hAnsi="仿宋" w:eastAsia="仿宋" w:cs="仿宋"/>
                <w:spacing w:val="-9"/>
                <w14:textOutline w14:w="3810" w14:cap="flat" w14:cmpd="sng">
                  <w14:solidFill>
                    <w14:srgbClr w14:val="000000"/>
                  </w14:solidFill>
                  <w14:prstDash w14:val="solid"/>
                  <w14:miter w14:val="0"/>
                </w14:textOutline>
              </w:rPr>
              <w:t>计）</w:t>
            </w:r>
          </w:p>
        </w:tc>
        <w:tc>
          <w:tcPr>
            <w:tcW w:w="1417" w:type="dxa"/>
            <w:tcBorders>
              <w:top w:val="single" w:color="000000" w:sz="12" w:space="0"/>
            </w:tcBorders>
            <w:vAlign w:val="top"/>
          </w:tcPr>
          <w:p>
            <w:pPr>
              <w:pStyle w:val="6"/>
              <w:spacing w:before="50" w:line="241" w:lineRule="auto"/>
              <w:ind w:left="116" w:right="116" w:firstLine="286"/>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硝酸盐</w:t>
            </w:r>
            <w:r>
              <w:rPr>
                <w:rFonts w:ascii="仿宋" w:hAnsi="仿宋" w:eastAsia="仿宋" w:cs="仿宋"/>
              </w:rPr>
              <w:t xml:space="preserve">   </w:t>
            </w:r>
            <w:r>
              <w:rPr>
                <w:rFonts w:ascii="仿宋" w:hAnsi="仿宋" w:eastAsia="仿宋" w:cs="仿宋"/>
                <w:spacing w:val="-14"/>
                <w14:textOutline w14:w="3810" w14:cap="flat" w14:cmpd="sng">
                  <w14:solidFill>
                    <w14:srgbClr w14:val="000000"/>
                  </w14:solidFill>
                  <w14:prstDash w14:val="solid"/>
                  <w14:miter w14:val="0"/>
                </w14:textOutline>
              </w:rPr>
              <w:t>（以</w:t>
            </w:r>
            <w:r>
              <w:rPr>
                <w:rFonts w:ascii="仿宋" w:hAnsi="仿宋" w:eastAsia="仿宋" w:cs="仿宋"/>
                <w:spacing w:val="31"/>
              </w:rPr>
              <w:t xml:space="preserve"> </w:t>
            </w:r>
            <w:r>
              <w:rPr>
                <w:b/>
                <w:bCs/>
                <w:spacing w:val="-14"/>
              </w:rPr>
              <w:t>N</w:t>
            </w:r>
            <w:r>
              <w:rPr>
                <w:b/>
                <w:bCs/>
                <w:spacing w:val="7"/>
              </w:rPr>
              <w:t xml:space="preserve">  </w:t>
            </w:r>
            <w:r>
              <w:rPr>
                <w:rFonts w:ascii="仿宋" w:hAnsi="仿宋" w:eastAsia="仿宋" w:cs="仿宋"/>
                <w:spacing w:val="-14"/>
                <w14:textOutline w14:w="3810" w14:cap="flat" w14:cmpd="sng">
                  <w14:solidFill>
                    <w14:srgbClr w14:val="000000"/>
                  </w14:solidFill>
                  <w14:prstDash w14:val="solid"/>
                  <w14:miter w14:val="0"/>
                </w14:textOutline>
              </w:rPr>
              <w:t>计）</w:t>
            </w:r>
          </w:p>
        </w:tc>
        <w:tc>
          <w:tcPr>
            <w:tcW w:w="852" w:type="dxa"/>
            <w:tcBorders>
              <w:top w:val="single" w:color="000000" w:sz="12" w:space="0"/>
            </w:tcBorders>
            <w:vAlign w:val="top"/>
          </w:tcPr>
          <w:p>
            <w:pPr>
              <w:spacing w:before="206" w:line="220" w:lineRule="auto"/>
              <w:ind w:left="334"/>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铁</w:t>
            </w:r>
          </w:p>
        </w:tc>
        <w:tc>
          <w:tcPr>
            <w:tcW w:w="1075" w:type="dxa"/>
            <w:tcBorders>
              <w:top w:val="single" w:color="000000" w:sz="12" w:space="0"/>
              <w:right w:val="nil"/>
            </w:tcBorders>
            <w:vAlign w:val="top"/>
          </w:tcPr>
          <w:p>
            <w:pPr>
              <w:spacing w:before="206" w:line="227" w:lineRule="auto"/>
              <w:ind w:left="446"/>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1" w:hRule="atLeast"/>
        </w:trPr>
        <w:tc>
          <w:tcPr>
            <w:tcW w:w="1150" w:type="dxa"/>
            <w:tcBorders>
              <w:left w:val="nil"/>
              <w:bottom w:val="single" w:color="000000" w:sz="12" w:space="0"/>
            </w:tcBorders>
            <w:vAlign w:val="top"/>
          </w:tcPr>
          <w:p>
            <w:pPr>
              <w:spacing w:before="70" w:line="218" w:lineRule="auto"/>
              <w:ind w:left="277"/>
              <w:rPr>
                <w:rFonts w:ascii="仿宋" w:hAnsi="仿宋" w:eastAsia="仿宋" w:cs="仿宋"/>
                <w:sz w:val="21"/>
                <w:szCs w:val="21"/>
              </w:rPr>
            </w:pPr>
            <w:r>
              <w:rPr>
                <w:rFonts w:ascii="仿宋" w:hAnsi="仿宋" w:eastAsia="仿宋" w:cs="仿宋"/>
                <w:spacing w:val="-3"/>
                <w:sz w:val="21"/>
                <w:szCs w:val="21"/>
              </w:rPr>
              <w:t>标准值</w:t>
            </w:r>
          </w:p>
        </w:tc>
        <w:tc>
          <w:tcPr>
            <w:tcW w:w="2127" w:type="dxa"/>
            <w:tcBorders>
              <w:bottom w:val="single" w:color="000000" w:sz="12" w:space="0"/>
            </w:tcBorders>
            <w:vAlign w:val="top"/>
          </w:tcPr>
          <w:p>
            <w:pPr>
              <w:pStyle w:val="6"/>
              <w:spacing w:before="96" w:line="223" w:lineRule="auto"/>
              <w:ind w:left="846"/>
            </w:pPr>
            <w:r>
              <w:rPr>
                <w:spacing w:val="-1"/>
              </w:rPr>
              <w:t>≤250</w:t>
            </w:r>
          </w:p>
        </w:tc>
        <w:tc>
          <w:tcPr>
            <w:tcW w:w="1700" w:type="dxa"/>
            <w:tcBorders>
              <w:bottom w:val="single" w:color="000000" w:sz="12" w:space="0"/>
            </w:tcBorders>
            <w:vAlign w:val="top"/>
          </w:tcPr>
          <w:p>
            <w:pPr>
              <w:pStyle w:val="6"/>
              <w:spacing w:before="105" w:line="214" w:lineRule="auto"/>
              <w:ind w:left="634"/>
            </w:pPr>
            <w:r>
              <w:rPr>
                <w:spacing w:val="-1"/>
              </w:rPr>
              <w:t>≤250</w:t>
            </w:r>
          </w:p>
        </w:tc>
        <w:tc>
          <w:tcPr>
            <w:tcW w:w="1417" w:type="dxa"/>
            <w:tcBorders>
              <w:bottom w:val="single" w:color="000000" w:sz="12" w:space="0"/>
            </w:tcBorders>
            <w:vAlign w:val="top"/>
          </w:tcPr>
          <w:p>
            <w:pPr>
              <w:pStyle w:val="6"/>
              <w:spacing w:before="105" w:line="214" w:lineRule="auto"/>
              <w:ind w:left="545"/>
            </w:pPr>
            <w:r>
              <w:rPr>
                <w:spacing w:val="-1"/>
              </w:rPr>
              <w:t>≤10</w:t>
            </w:r>
          </w:p>
        </w:tc>
        <w:tc>
          <w:tcPr>
            <w:tcW w:w="852" w:type="dxa"/>
            <w:tcBorders>
              <w:bottom w:val="single" w:color="000000" w:sz="12" w:space="0"/>
            </w:tcBorders>
            <w:vAlign w:val="top"/>
          </w:tcPr>
          <w:p>
            <w:pPr>
              <w:pStyle w:val="6"/>
              <w:spacing w:before="105" w:line="214" w:lineRule="auto"/>
              <w:ind w:left="238"/>
            </w:pPr>
            <w:r>
              <w:rPr>
                <w:spacing w:val="-1"/>
              </w:rPr>
              <w:t>≤0.3</w:t>
            </w:r>
          </w:p>
        </w:tc>
        <w:tc>
          <w:tcPr>
            <w:tcW w:w="1075" w:type="dxa"/>
            <w:tcBorders>
              <w:bottom w:val="single" w:color="000000" w:sz="12" w:space="0"/>
              <w:right w:val="nil"/>
            </w:tcBorders>
            <w:vAlign w:val="top"/>
          </w:tcPr>
          <w:p>
            <w:pPr>
              <w:pStyle w:val="6"/>
              <w:spacing w:before="105" w:line="214" w:lineRule="auto"/>
              <w:ind w:left="352"/>
            </w:pPr>
            <w:r>
              <w:rPr>
                <w:spacing w:val="-1"/>
              </w:rPr>
              <w:t>≤1.0</w:t>
            </w:r>
          </w:p>
        </w:tc>
      </w:tr>
    </w:tbl>
    <w:p>
      <w:pPr>
        <w:spacing w:before="35" w:line="220" w:lineRule="auto"/>
        <w:ind w:left="554"/>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）地下水环境</w:t>
      </w:r>
    </w:p>
    <w:p>
      <w:pPr>
        <w:spacing w:before="182" w:line="508" w:lineRule="exact"/>
        <w:ind w:left="548"/>
        <w:rPr>
          <w:rFonts w:ascii="Times New Roman" w:hAnsi="Times New Roman" w:eastAsia="Times New Roman" w:cs="Times New Roman"/>
          <w:sz w:val="24"/>
          <w:szCs w:val="24"/>
        </w:rPr>
      </w:pPr>
      <w:r>
        <w:rPr>
          <w:rFonts w:ascii="宋体" w:hAnsi="宋体" w:eastAsia="宋体" w:cs="宋体"/>
          <w:spacing w:val="-3"/>
          <w:position w:val="20"/>
          <w:sz w:val="24"/>
          <w:szCs w:val="24"/>
        </w:rPr>
        <w:t>执行《地下水质量标准》（</w:t>
      </w:r>
      <w:r>
        <w:rPr>
          <w:rFonts w:ascii="Times New Roman" w:hAnsi="Times New Roman" w:eastAsia="Times New Roman" w:cs="Times New Roman"/>
          <w:spacing w:val="-3"/>
          <w:position w:val="20"/>
          <w:sz w:val="24"/>
          <w:szCs w:val="24"/>
        </w:rPr>
        <w:t>GB/T14848-2017</w:t>
      </w:r>
      <w:r>
        <w:rPr>
          <w:rFonts w:ascii="宋体" w:hAnsi="宋体" w:eastAsia="宋体" w:cs="宋体"/>
          <w:spacing w:val="-3"/>
          <w:position w:val="20"/>
          <w:sz w:val="24"/>
          <w:szCs w:val="24"/>
        </w:rPr>
        <w:t>）Ⅲ类标准。</w:t>
      </w:r>
      <w:r>
        <w:rPr>
          <w:rFonts w:ascii="宋体" w:hAnsi="宋体" w:eastAsia="宋体" w:cs="宋体"/>
          <w:spacing w:val="-4"/>
          <w:position w:val="20"/>
          <w:sz w:val="24"/>
          <w:szCs w:val="24"/>
        </w:rPr>
        <w:t xml:space="preserve">标准限值详见 </w:t>
      </w:r>
      <w:r>
        <w:rPr>
          <w:rFonts w:ascii="Times New Roman" w:hAnsi="Times New Roman" w:eastAsia="Times New Roman" w:cs="Times New Roman"/>
          <w:spacing w:val="-4"/>
          <w:position w:val="20"/>
          <w:sz w:val="24"/>
          <w:szCs w:val="24"/>
        </w:rPr>
        <w:t>1.5-</w:t>
      </w:r>
    </w:p>
    <w:p>
      <w:pPr>
        <w:spacing w:line="180" w:lineRule="auto"/>
        <w:ind w:left="62"/>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w:t>
      </w:r>
    </w:p>
    <w:p>
      <w:pPr>
        <w:pStyle w:val="2"/>
        <w:spacing w:before="206" w:line="212" w:lineRule="auto"/>
        <w:ind w:left="1575"/>
        <w:rPr>
          <w:rFonts w:ascii="Times New Roman" w:hAnsi="Times New Roman" w:eastAsia="Times New Roman" w:cs="Times New Roman"/>
        </w:rPr>
      </w:pPr>
      <w:r>
        <w:rPr>
          <w:rFonts w:ascii="宋体" w:hAnsi="宋体" w:eastAsia="宋体" w:cs="宋体"/>
          <w:spacing w:val="-6"/>
          <w14:textOutline w14:w="3810" w14:cap="flat" w14:cmpd="sng">
            <w14:solidFill>
              <w14:srgbClr w14:val="000000"/>
            </w14:solidFill>
            <w14:prstDash w14:val="solid"/>
            <w14:miter w14:val="0"/>
          </w14:textOutline>
        </w:rPr>
        <w:t>表</w:t>
      </w:r>
      <w:r>
        <w:rPr>
          <w:rFonts w:ascii="宋体" w:hAnsi="宋体" w:eastAsia="宋体" w:cs="宋体"/>
          <w:spacing w:val="-37"/>
        </w:rPr>
        <w:t xml:space="preserve"> </w:t>
      </w:r>
      <w:r>
        <w:rPr>
          <w:rFonts w:ascii="Times New Roman" w:hAnsi="Times New Roman" w:eastAsia="Times New Roman" w:cs="Times New Roman"/>
          <w:b/>
          <w:bCs/>
          <w:spacing w:val="-6"/>
        </w:rPr>
        <w:t xml:space="preserve">1.5-4    </w:t>
      </w:r>
      <w:r>
        <w:rPr>
          <w:rFonts w:ascii="宋体" w:hAnsi="宋体" w:eastAsia="宋体" w:cs="宋体"/>
          <w:spacing w:val="-6"/>
          <w14:textOutline w14:w="3810" w14:cap="flat" w14:cmpd="sng">
            <w14:solidFill>
              <w14:srgbClr w14:val="000000"/>
            </w14:solidFill>
            <w14:prstDash w14:val="solid"/>
            <w14:miter w14:val="0"/>
          </w14:textOutline>
        </w:rPr>
        <w:t>地下水质量标准</w:t>
      </w:r>
      <w:r>
        <w:rPr>
          <w:spacing w:val="-6"/>
          <w14:textOutline w14:w="3810" w14:cap="flat" w14:cmpd="sng">
            <w14:solidFill>
              <w14:srgbClr w14:val="000000"/>
            </w14:solidFill>
            <w14:prstDash w14:val="solid"/>
            <w14:miter w14:val="0"/>
          </w14:textOutline>
        </w:rPr>
        <w:t>（摘录）</w:t>
      </w:r>
      <w:r>
        <w:rPr>
          <w:spacing w:val="-6"/>
        </w:rPr>
        <w:t xml:space="preserve">    </w:t>
      </w:r>
      <w:r>
        <w:rPr>
          <w:spacing w:val="-7"/>
        </w:rPr>
        <w:t xml:space="preserve"> </w:t>
      </w:r>
      <w:r>
        <w:rPr>
          <w:rFonts w:ascii="宋体" w:hAnsi="宋体" w:eastAsia="宋体" w:cs="宋体"/>
          <w:spacing w:val="-7"/>
          <w14:textOutline w14:w="3810" w14:cap="flat" w14:cmpd="sng">
            <w14:solidFill>
              <w14:srgbClr w14:val="000000"/>
            </w14:solidFill>
            <w14:prstDash w14:val="solid"/>
            <w14:miter w14:val="0"/>
          </w14:textOutline>
        </w:rPr>
        <w:t>单位：</w:t>
      </w:r>
      <w:r>
        <w:rPr>
          <w:rFonts w:ascii="宋体" w:hAnsi="宋体" w:eastAsia="宋体" w:cs="宋体"/>
          <w:spacing w:val="-7"/>
        </w:rPr>
        <w:t xml:space="preserve">  </w:t>
      </w:r>
      <w:r>
        <w:rPr>
          <w:rFonts w:ascii="Times New Roman" w:hAnsi="Times New Roman" w:eastAsia="Times New Roman" w:cs="Times New Roman"/>
          <w:b/>
          <w:bCs/>
          <w:spacing w:val="-7"/>
        </w:rPr>
        <w:t>mg/L</w:t>
      </w:r>
    </w:p>
    <w:p>
      <w:pPr>
        <w:spacing w:line="20" w:lineRule="exact"/>
      </w:pPr>
    </w:p>
    <w:tbl>
      <w:tblPr>
        <w:tblStyle w:val="5"/>
        <w:tblW w:w="84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3"/>
        <w:gridCol w:w="3525"/>
        <w:gridCol w:w="3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1273" w:type="dxa"/>
            <w:tcBorders>
              <w:top w:val="single" w:color="000000" w:sz="12" w:space="0"/>
              <w:left w:val="nil"/>
            </w:tcBorders>
            <w:vAlign w:val="top"/>
          </w:tcPr>
          <w:p>
            <w:pPr>
              <w:spacing w:before="51" w:line="218" w:lineRule="auto"/>
              <w:ind w:left="44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3525" w:type="dxa"/>
            <w:tcBorders>
              <w:top w:val="single" w:color="000000" w:sz="12" w:space="0"/>
            </w:tcBorders>
            <w:vAlign w:val="top"/>
          </w:tcPr>
          <w:p>
            <w:pPr>
              <w:spacing w:before="50" w:line="220" w:lineRule="auto"/>
              <w:ind w:left="156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3611" w:type="dxa"/>
            <w:tcBorders>
              <w:top w:val="single" w:color="000000" w:sz="12" w:space="0"/>
              <w:right w:val="nil"/>
            </w:tcBorders>
            <w:vAlign w:val="top"/>
          </w:tcPr>
          <w:p>
            <w:pPr>
              <w:spacing w:before="51" w:line="220" w:lineRule="auto"/>
              <w:ind w:left="1597"/>
              <w:rPr>
                <w:rFonts w:ascii="仿宋" w:hAnsi="仿宋" w:eastAsia="仿宋" w:cs="仿宋"/>
                <w:sz w:val="21"/>
                <w:szCs w:val="21"/>
              </w:rPr>
            </w:pPr>
            <w:r>
              <w:rPr>
                <w:rFonts w:ascii="宋体" w:hAnsi="宋体" w:eastAsia="宋体" w:cs="宋体"/>
                <w:spacing w:val="-4"/>
                <w:sz w:val="21"/>
                <w:szCs w:val="21"/>
                <w14:textOutline w14:w="3810" w14:cap="flat" w14:cmpd="sng">
                  <w14:solidFill>
                    <w14:srgbClr w14:val="000000"/>
                  </w14:solidFill>
                  <w14:prstDash w14:val="solid"/>
                  <w14:miter w14:val="0"/>
                </w14:textOutline>
              </w:rPr>
              <w:t>Ⅲ</w:t>
            </w:r>
            <w:r>
              <w:rPr>
                <w:rFonts w:ascii="仿宋" w:hAnsi="仿宋" w:eastAsia="仿宋" w:cs="仿宋"/>
                <w:spacing w:val="-4"/>
                <w:sz w:val="21"/>
                <w:szCs w:val="21"/>
                <w14:textOutline w14:w="3810" w14:cap="flat" w14:cmpd="sng">
                  <w14:solidFill>
                    <w14:srgbClr w14:val="000000"/>
                  </w14:solidFill>
                  <w14:prstDash w14:val="solid"/>
                  <w14:miter w14:val="0"/>
                </w14:textOutline>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1273" w:type="dxa"/>
            <w:tcBorders>
              <w:left w:val="nil"/>
            </w:tcBorders>
            <w:vAlign w:val="top"/>
          </w:tcPr>
          <w:p>
            <w:pPr>
              <w:pStyle w:val="6"/>
              <w:spacing w:before="87" w:line="188" w:lineRule="auto"/>
              <w:ind w:left="616"/>
            </w:pPr>
            <w:r>
              <w:t>1</w:t>
            </w:r>
          </w:p>
        </w:tc>
        <w:tc>
          <w:tcPr>
            <w:tcW w:w="3525" w:type="dxa"/>
            <w:vAlign w:val="top"/>
          </w:tcPr>
          <w:p>
            <w:pPr>
              <w:pStyle w:val="6"/>
              <w:spacing w:before="50" w:line="213" w:lineRule="auto"/>
              <w:ind w:left="1104"/>
              <w:rPr>
                <w:rFonts w:ascii="仿宋" w:hAnsi="仿宋" w:eastAsia="仿宋" w:cs="仿宋"/>
              </w:rPr>
            </w:pPr>
            <w:r>
              <w:rPr>
                <w:spacing w:val="-2"/>
              </w:rPr>
              <w:t>pH</w:t>
            </w:r>
            <w:r>
              <w:rPr>
                <w:rFonts w:ascii="仿宋" w:hAnsi="仿宋" w:eastAsia="仿宋" w:cs="仿宋"/>
                <w:spacing w:val="-2"/>
              </w:rPr>
              <w:t>（无量纲）</w:t>
            </w:r>
          </w:p>
        </w:tc>
        <w:tc>
          <w:tcPr>
            <w:tcW w:w="3611" w:type="dxa"/>
            <w:tcBorders>
              <w:right w:val="nil"/>
            </w:tcBorders>
            <w:vAlign w:val="top"/>
          </w:tcPr>
          <w:p>
            <w:pPr>
              <w:pStyle w:val="6"/>
              <w:spacing w:before="51" w:line="225" w:lineRule="auto"/>
              <w:ind w:left="1441"/>
            </w:pPr>
            <w:r>
              <w:rPr>
                <w:spacing w:val="-2"/>
              </w:rPr>
              <w:t>6.5</w:t>
            </w:r>
            <w:r>
              <w:rPr>
                <w:rFonts w:ascii="仿宋" w:hAnsi="仿宋" w:eastAsia="仿宋" w:cs="仿宋"/>
                <w:spacing w:val="-2"/>
              </w:rPr>
              <w:t>～</w:t>
            </w:r>
            <w:r>
              <w:rPr>
                <w:spacing w:val="-2"/>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273" w:type="dxa"/>
            <w:tcBorders>
              <w:left w:val="nil"/>
            </w:tcBorders>
            <w:vAlign w:val="top"/>
          </w:tcPr>
          <w:p>
            <w:pPr>
              <w:pStyle w:val="6"/>
              <w:spacing w:before="86" w:line="188" w:lineRule="auto"/>
              <w:ind w:left="596"/>
            </w:pPr>
            <w:r>
              <w:t>2</w:t>
            </w:r>
          </w:p>
        </w:tc>
        <w:tc>
          <w:tcPr>
            <w:tcW w:w="3525" w:type="dxa"/>
            <w:vAlign w:val="top"/>
          </w:tcPr>
          <w:p>
            <w:pPr>
              <w:spacing w:before="49" w:line="220" w:lineRule="auto"/>
              <w:ind w:left="1569"/>
              <w:rPr>
                <w:rFonts w:ascii="仿宋" w:hAnsi="仿宋" w:eastAsia="仿宋" w:cs="仿宋"/>
                <w:sz w:val="21"/>
                <w:szCs w:val="21"/>
              </w:rPr>
            </w:pPr>
            <w:r>
              <w:rPr>
                <w:rFonts w:ascii="仿宋" w:hAnsi="仿宋" w:eastAsia="仿宋" w:cs="仿宋"/>
                <w:spacing w:val="-6"/>
                <w:sz w:val="21"/>
                <w:szCs w:val="21"/>
              </w:rPr>
              <w:t>氨氮</w:t>
            </w:r>
          </w:p>
        </w:tc>
        <w:tc>
          <w:tcPr>
            <w:tcW w:w="3611" w:type="dxa"/>
            <w:tcBorders>
              <w:right w:val="nil"/>
            </w:tcBorders>
            <w:vAlign w:val="top"/>
          </w:tcPr>
          <w:p>
            <w:pPr>
              <w:pStyle w:val="6"/>
              <w:spacing w:before="86" w:line="188" w:lineRule="auto"/>
              <w:ind w:left="1676"/>
            </w:pPr>
            <w:r>
              <w:rPr>
                <w:spacing w:val="-3"/>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273" w:type="dxa"/>
            <w:tcBorders>
              <w:left w:val="nil"/>
            </w:tcBorders>
            <w:vAlign w:val="top"/>
          </w:tcPr>
          <w:p>
            <w:pPr>
              <w:pStyle w:val="6"/>
              <w:spacing w:before="89" w:line="188" w:lineRule="auto"/>
              <w:ind w:left="600"/>
            </w:pPr>
            <w:r>
              <w:t>3</w:t>
            </w:r>
          </w:p>
        </w:tc>
        <w:tc>
          <w:tcPr>
            <w:tcW w:w="3525" w:type="dxa"/>
            <w:vAlign w:val="top"/>
          </w:tcPr>
          <w:p>
            <w:pPr>
              <w:pStyle w:val="6"/>
              <w:spacing w:before="52" w:line="223" w:lineRule="auto"/>
              <w:ind w:left="851"/>
            </w:pPr>
            <w:r>
              <w:rPr>
                <w:rFonts w:ascii="仿宋" w:hAnsi="仿宋" w:eastAsia="仿宋" w:cs="仿宋"/>
                <w:spacing w:val="-9"/>
              </w:rPr>
              <w:t>硝酸盐（以</w:t>
            </w:r>
            <w:r>
              <w:rPr>
                <w:rFonts w:ascii="仿宋" w:hAnsi="仿宋" w:eastAsia="仿宋" w:cs="仿宋"/>
                <w:spacing w:val="-53"/>
              </w:rPr>
              <w:t xml:space="preserve"> </w:t>
            </w:r>
            <w:r>
              <w:rPr>
                <w:spacing w:val="-9"/>
              </w:rPr>
              <w:t>N</w:t>
            </w:r>
            <w:r>
              <w:rPr>
                <w:spacing w:val="14"/>
                <w:w w:val="101"/>
              </w:rPr>
              <w:t xml:space="preserve"> </w:t>
            </w:r>
            <w:r>
              <w:rPr>
                <w:rFonts w:ascii="仿宋" w:hAnsi="仿宋" w:eastAsia="仿宋" w:cs="仿宋"/>
                <w:spacing w:val="-9"/>
              </w:rPr>
              <w:t>计）</w:t>
            </w:r>
            <w:r>
              <w:rPr>
                <w:rFonts w:ascii="仿宋" w:hAnsi="仿宋" w:eastAsia="仿宋" w:cs="仿宋"/>
                <w:spacing w:val="-50"/>
              </w:rPr>
              <w:t xml:space="preserve"> </w:t>
            </w:r>
            <w:r>
              <w:rPr>
                <w:spacing w:val="-9"/>
              </w:rPr>
              <w:t>≤</w:t>
            </w:r>
          </w:p>
        </w:tc>
        <w:tc>
          <w:tcPr>
            <w:tcW w:w="3611" w:type="dxa"/>
            <w:tcBorders>
              <w:right w:val="nil"/>
            </w:tcBorders>
            <w:vAlign w:val="top"/>
          </w:tcPr>
          <w:p>
            <w:pPr>
              <w:pStyle w:val="6"/>
              <w:spacing w:before="89" w:line="188" w:lineRule="auto"/>
              <w:ind w:left="1700"/>
            </w:pPr>
            <w:r>
              <w:rPr>
                <w:spacing w:val="-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273" w:type="dxa"/>
            <w:tcBorders>
              <w:left w:val="nil"/>
            </w:tcBorders>
            <w:vAlign w:val="top"/>
          </w:tcPr>
          <w:p>
            <w:pPr>
              <w:pStyle w:val="6"/>
              <w:spacing w:before="89" w:line="188" w:lineRule="auto"/>
              <w:ind w:left="594"/>
            </w:pPr>
            <w:r>
              <w:t>4</w:t>
            </w:r>
          </w:p>
        </w:tc>
        <w:tc>
          <w:tcPr>
            <w:tcW w:w="3525" w:type="dxa"/>
            <w:vAlign w:val="top"/>
          </w:tcPr>
          <w:p>
            <w:pPr>
              <w:pStyle w:val="6"/>
              <w:spacing w:before="53" w:line="221" w:lineRule="auto"/>
              <w:ind w:left="749"/>
            </w:pPr>
            <w:r>
              <w:rPr>
                <w:rFonts w:ascii="仿宋" w:hAnsi="仿宋" w:eastAsia="仿宋" w:cs="仿宋"/>
                <w:spacing w:val="-9"/>
              </w:rPr>
              <w:t>亚硝酸盐（以</w:t>
            </w:r>
            <w:r>
              <w:rPr>
                <w:rFonts w:ascii="仿宋" w:hAnsi="仿宋" w:eastAsia="仿宋" w:cs="仿宋"/>
                <w:spacing w:val="-47"/>
              </w:rPr>
              <w:t xml:space="preserve"> </w:t>
            </w:r>
            <w:r>
              <w:rPr>
                <w:spacing w:val="-9"/>
              </w:rPr>
              <w:t>N</w:t>
            </w:r>
            <w:r>
              <w:rPr>
                <w:spacing w:val="14"/>
              </w:rPr>
              <w:t xml:space="preserve"> </w:t>
            </w:r>
            <w:r>
              <w:rPr>
                <w:rFonts w:ascii="仿宋" w:hAnsi="仿宋" w:eastAsia="仿宋" w:cs="仿宋"/>
                <w:spacing w:val="-9"/>
              </w:rPr>
              <w:t>计）</w:t>
            </w:r>
            <w:r>
              <w:rPr>
                <w:rFonts w:ascii="仿宋" w:hAnsi="仿宋" w:eastAsia="仿宋" w:cs="仿宋"/>
                <w:spacing w:val="-50"/>
              </w:rPr>
              <w:t xml:space="preserve"> </w:t>
            </w:r>
            <w:r>
              <w:rPr>
                <w:spacing w:val="-9"/>
              </w:rPr>
              <w:t>≤</w:t>
            </w:r>
          </w:p>
        </w:tc>
        <w:tc>
          <w:tcPr>
            <w:tcW w:w="3611" w:type="dxa"/>
            <w:tcBorders>
              <w:right w:val="nil"/>
            </w:tcBorders>
            <w:vAlign w:val="top"/>
          </w:tcPr>
          <w:p>
            <w:pPr>
              <w:pStyle w:val="6"/>
              <w:spacing w:before="89" w:line="188" w:lineRule="auto"/>
              <w:ind w:left="1693"/>
            </w:pPr>
            <w:r>
              <w:rPr>
                <w:spacing w:val="-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1273" w:type="dxa"/>
            <w:tcBorders>
              <w:left w:val="nil"/>
            </w:tcBorders>
            <w:vAlign w:val="top"/>
          </w:tcPr>
          <w:p>
            <w:pPr>
              <w:pStyle w:val="6"/>
              <w:spacing w:before="95" w:line="185" w:lineRule="auto"/>
              <w:ind w:left="601"/>
            </w:pPr>
            <w:r>
              <w:t>5</w:t>
            </w:r>
          </w:p>
        </w:tc>
        <w:tc>
          <w:tcPr>
            <w:tcW w:w="3525" w:type="dxa"/>
            <w:vAlign w:val="top"/>
          </w:tcPr>
          <w:p>
            <w:pPr>
              <w:pStyle w:val="6"/>
              <w:spacing w:before="55" w:line="221" w:lineRule="auto"/>
              <w:ind w:left="1609"/>
            </w:pPr>
            <w:r>
              <w:rPr>
                <w:rFonts w:ascii="仿宋" w:hAnsi="仿宋" w:eastAsia="仿宋" w:cs="仿宋"/>
                <w:spacing w:val="-7"/>
              </w:rPr>
              <w:t>砷</w:t>
            </w:r>
            <w:r>
              <w:rPr>
                <w:spacing w:val="-7"/>
              </w:rPr>
              <w:t>≤</w:t>
            </w:r>
          </w:p>
        </w:tc>
        <w:tc>
          <w:tcPr>
            <w:tcW w:w="3611" w:type="dxa"/>
            <w:tcBorders>
              <w:right w:val="nil"/>
            </w:tcBorders>
            <w:vAlign w:val="top"/>
          </w:tcPr>
          <w:p>
            <w:pPr>
              <w:pStyle w:val="6"/>
              <w:spacing w:before="92" w:line="188" w:lineRule="auto"/>
              <w:ind w:left="1624"/>
            </w:pPr>
            <w:r>
              <w:rPr>
                <w:spacing w:val="-2"/>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273" w:type="dxa"/>
            <w:tcBorders>
              <w:left w:val="nil"/>
            </w:tcBorders>
            <w:vAlign w:val="top"/>
          </w:tcPr>
          <w:p>
            <w:pPr>
              <w:pStyle w:val="6"/>
              <w:spacing w:before="91" w:line="188" w:lineRule="auto"/>
              <w:ind w:left="600"/>
            </w:pPr>
            <w:r>
              <w:t>6</w:t>
            </w:r>
          </w:p>
        </w:tc>
        <w:tc>
          <w:tcPr>
            <w:tcW w:w="3525" w:type="dxa"/>
            <w:vAlign w:val="top"/>
          </w:tcPr>
          <w:p>
            <w:pPr>
              <w:pStyle w:val="6"/>
              <w:spacing w:before="55" w:line="220" w:lineRule="auto"/>
              <w:ind w:left="1610"/>
            </w:pPr>
            <w:r>
              <w:rPr>
                <w:rFonts w:ascii="仿宋" w:hAnsi="仿宋" w:eastAsia="仿宋" w:cs="仿宋"/>
                <w:spacing w:val="-8"/>
              </w:rPr>
              <w:t>汞</w:t>
            </w:r>
            <w:r>
              <w:rPr>
                <w:spacing w:val="-8"/>
              </w:rPr>
              <w:t>≤</w:t>
            </w:r>
          </w:p>
        </w:tc>
        <w:tc>
          <w:tcPr>
            <w:tcW w:w="3611" w:type="dxa"/>
            <w:tcBorders>
              <w:right w:val="nil"/>
            </w:tcBorders>
            <w:vAlign w:val="top"/>
          </w:tcPr>
          <w:p>
            <w:pPr>
              <w:pStyle w:val="6"/>
              <w:spacing w:before="91" w:line="188" w:lineRule="auto"/>
              <w:ind w:left="1570"/>
            </w:pPr>
            <w:r>
              <w:rPr>
                <w:spacing w:val="-2"/>
              </w:rPr>
              <w:t>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1273" w:type="dxa"/>
            <w:tcBorders>
              <w:left w:val="nil"/>
            </w:tcBorders>
            <w:vAlign w:val="top"/>
          </w:tcPr>
          <w:p>
            <w:pPr>
              <w:pStyle w:val="6"/>
              <w:spacing w:before="96" w:line="185" w:lineRule="auto"/>
              <w:ind w:left="599"/>
            </w:pPr>
            <w:r>
              <w:t>7</w:t>
            </w:r>
          </w:p>
        </w:tc>
        <w:tc>
          <w:tcPr>
            <w:tcW w:w="3525" w:type="dxa"/>
            <w:vAlign w:val="top"/>
          </w:tcPr>
          <w:p>
            <w:pPr>
              <w:pStyle w:val="6"/>
              <w:spacing w:before="56" w:line="220" w:lineRule="auto"/>
              <w:ind w:left="1609"/>
            </w:pPr>
            <w:r>
              <w:rPr>
                <w:rFonts w:ascii="仿宋" w:hAnsi="仿宋" w:eastAsia="仿宋" w:cs="仿宋"/>
                <w:spacing w:val="-7"/>
              </w:rPr>
              <w:t>铅</w:t>
            </w:r>
            <w:r>
              <w:rPr>
                <w:spacing w:val="-7"/>
              </w:rPr>
              <w:t>≤</w:t>
            </w:r>
          </w:p>
        </w:tc>
        <w:tc>
          <w:tcPr>
            <w:tcW w:w="3611" w:type="dxa"/>
            <w:tcBorders>
              <w:right w:val="nil"/>
            </w:tcBorders>
            <w:vAlign w:val="top"/>
          </w:tcPr>
          <w:p>
            <w:pPr>
              <w:pStyle w:val="6"/>
              <w:spacing w:before="93" w:line="188" w:lineRule="auto"/>
              <w:ind w:left="1624"/>
            </w:pPr>
            <w:r>
              <w:rPr>
                <w:spacing w:val="-2"/>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273" w:type="dxa"/>
            <w:tcBorders>
              <w:left w:val="nil"/>
            </w:tcBorders>
            <w:vAlign w:val="top"/>
          </w:tcPr>
          <w:p>
            <w:pPr>
              <w:pStyle w:val="6"/>
              <w:spacing w:before="93" w:line="188" w:lineRule="auto"/>
              <w:ind w:left="604"/>
            </w:pPr>
            <w:r>
              <w:t>8</w:t>
            </w:r>
          </w:p>
        </w:tc>
        <w:tc>
          <w:tcPr>
            <w:tcW w:w="3525" w:type="dxa"/>
            <w:vAlign w:val="top"/>
          </w:tcPr>
          <w:p>
            <w:pPr>
              <w:pStyle w:val="6"/>
              <w:spacing w:before="57" w:line="218" w:lineRule="auto"/>
              <w:ind w:left="1610"/>
            </w:pPr>
            <w:r>
              <w:rPr>
                <w:rFonts w:ascii="仿宋" w:hAnsi="仿宋" w:eastAsia="仿宋" w:cs="仿宋"/>
                <w:spacing w:val="-8"/>
              </w:rPr>
              <w:t>镉</w:t>
            </w:r>
            <w:r>
              <w:rPr>
                <w:spacing w:val="-8"/>
              </w:rPr>
              <w:t>≤</w:t>
            </w:r>
          </w:p>
        </w:tc>
        <w:tc>
          <w:tcPr>
            <w:tcW w:w="3611" w:type="dxa"/>
            <w:tcBorders>
              <w:right w:val="nil"/>
            </w:tcBorders>
            <w:vAlign w:val="top"/>
          </w:tcPr>
          <w:p>
            <w:pPr>
              <w:pStyle w:val="6"/>
              <w:spacing w:before="93" w:line="188" w:lineRule="auto"/>
              <w:ind w:left="1570"/>
            </w:pPr>
            <w:r>
              <w:rPr>
                <w:spacing w:val="-2"/>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1273" w:type="dxa"/>
            <w:tcBorders>
              <w:left w:val="nil"/>
            </w:tcBorders>
            <w:vAlign w:val="top"/>
          </w:tcPr>
          <w:p>
            <w:pPr>
              <w:pStyle w:val="6"/>
              <w:spacing w:before="95" w:line="188" w:lineRule="auto"/>
              <w:ind w:left="599"/>
            </w:pPr>
            <w:r>
              <w:t>9</w:t>
            </w:r>
          </w:p>
        </w:tc>
        <w:tc>
          <w:tcPr>
            <w:tcW w:w="3525" w:type="dxa"/>
            <w:vAlign w:val="top"/>
          </w:tcPr>
          <w:p>
            <w:pPr>
              <w:pStyle w:val="6"/>
              <w:spacing w:before="59" w:line="218" w:lineRule="auto"/>
              <w:ind w:left="1190"/>
            </w:pPr>
            <w:r>
              <w:rPr>
                <w:rFonts w:ascii="仿宋" w:hAnsi="仿宋" w:eastAsia="仿宋" w:cs="仿宋"/>
                <w:spacing w:val="-23"/>
              </w:rPr>
              <w:t>铬（六价）</w:t>
            </w:r>
            <w:r>
              <w:rPr>
                <w:rFonts w:ascii="仿宋" w:hAnsi="仿宋" w:eastAsia="仿宋" w:cs="仿宋"/>
                <w:spacing w:val="20"/>
              </w:rPr>
              <w:t xml:space="preserve"> </w:t>
            </w:r>
            <w:r>
              <w:rPr>
                <w:spacing w:val="-23"/>
              </w:rPr>
              <w:t>≤</w:t>
            </w:r>
          </w:p>
        </w:tc>
        <w:tc>
          <w:tcPr>
            <w:tcW w:w="3611" w:type="dxa"/>
            <w:tcBorders>
              <w:right w:val="nil"/>
            </w:tcBorders>
            <w:vAlign w:val="top"/>
          </w:tcPr>
          <w:p>
            <w:pPr>
              <w:pStyle w:val="6"/>
              <w:spacing w:before="95" w:line="188" w:lineRule="auto"/>
              <w:ind w:left="1570"/>
            </w:pPr>
            <w:r>
              <w:rPr>
                <w:spacing w:val="-2"/>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4" w:hRule="atLeast"/>
        </w:trPr>
        <w:tc>
          <w:tcPr>
            <w:tcW w:w="1273" w:type="dxa"/>
            <w:tcBorders>
              <w:left w:val="nil"/>
            </w:tcBorders>
            <w:vAlign w:val="top"/>
          </w:tcPr>
          <w:p>
            <w:pPr>
              <w:pStyle w:val="6"/>
              <w:spacing w:before="95" w:line="188" w:lineRule="auto"/>
              <w:ind w:left="563"/>
            </w:pPr>
            <w:r>
              <w:rPr>
                <w:spacing w:val="-6"/>
              </w:rPr>
              <w:t>10</w:t>
            </w:r>
          </w:p>
        </w:tc>
        <w:tc>
          <w:tcPr>
            <w:tcW w:w="3525" w:type="dxa"/>
            <w:vAlign w:val="top"/>
          </w:tcPr>
          <w:p>
            <w:pPr>
              <w:pStyle w:val="6"/>
              <w:spacing w:before="58" w:line="225" w:lineRule="auto"/>
              <w:ind w:left="1408"/>
            </w:pPr>
            <w:r>
              <w:rPr>
                <w:rFonts w:ascii="仿宋" w:hAnsi="仿宋" w:eastAsia="仿宋" w:cs="仿宋"/>
                <w:spacing w:val="-6"/>
              </w:rPr>
              <w:t>总硬度</w:t>
            </w:r>
            <w:r>
              <w:rPr>
                <w:spacing w:val="-6"/>
              </w:rPr>
              <w:t>≤</w:t>
            </w:r>
          </w:p>
        </w:tc>
        <w:tc>
          <w:tcPr>
            <w:tcW w:w="3611" w:type="dxa"/>
            <w:tcBorders>
              <w:right w:val="nil"/>
            </w:tcBorders>
            <w:vAlign w:val="top"/>
          </w:tcPr>
          <w:p>
            <w:pPr>
              <w:pStyle w:val="6"/>
              <w:spacing w:before="95" w:line="188" w:lineRule="auto"/>
              <w:ind w:left="1646"/>
            </w:pPr>
            <w:r>
              <w:rPr>
                <w:spacing w:val="-1"/>
              </w:rPr>
              <w:t>450</w:t>
            </w:r>
          </w:p>
        </w:tc>
      </w:tr>
    </w:tbl>
    <w:p>
      <w:pPr>
        <w:rPr>
          <w:rFonts w:ascii="Arial"/>
          <w:sz w:val="21"/>
        </w:rPr>
      </w:pPr>
    </w:p>
    <w:p>
      <w:pPr>
        <w:rPr>
          <w:rFonts w:ascii="Arial" w:hAnsi="Arial" w:eastAsia="Arial" w:cs="Arial"/>
          <w:sz w:val="21"/>
          <w:szCs w:val="21"/>
        </w:rPr>
        <w:sectPr>
          <w:headerReference r:id="rId33" w:type="default"/>
          <w:footerReference r:id="rId34" w:type="default"/>
          <w:pgSz w:w="11907" w:h="16839"/>
          <w:pgMar w:top="1156" w:right="1611" w:bottom="1154" w:left="1741" w:header="881" w:footer="991" w:gutter="0"/>
        </w:sectPr>
      </w:pPr>
    </w:p>
    <w:p>
      <w:pPr>
        <w:spacing w:before="41"/>
      </w:pPr>
    </w:p>
    <w:tbl>
      <w:tblPr>
        <w:tblStyle w:val="5"/>
        <w:tblW w:w="8409" w:type="dxa"/>
        <w:tblInd w:w="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3"/>
        <w:gridCol w:w="3525"/>
        <w:gridCol w:w="36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1273" w:type="dxa"/>
            <w:tcBorders>
              <w:top w:val="single" w:color="000000" w:sz="12" w:space="0"/>
              <w:left w:val="nil"/>
            </w:tcBorders>
            <w:vAlign w:val="top"/>
          </w:tcPr>
          <w:p>
            <w:pPr>
              <w:spacing w:before="51" w:line="218" w:lineRule="auto"/>
              <w:ind w:left="44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3525" w:type="dxa"/>
            <w:tcBorders>
              <w:top w:val="single" w:color="000000" w:sz="12" w:space="0"/>
            </w:tcBorders>
            <w:vAlign w:val="top"/>
          </w:tcPr>
          <w:p>
            <w:pPr>
              <w:spacing w:before="50" w:line="220" w:lineRule="auto"/>
              <w:ind w:left="156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3611" w:type="dxa"/>
            <w:tcBorders>
              <w:top w:val="single" w:color="000000" w:sz="12" w:space="0"/>
              <w:right w:val="nil"/>
            </w:tcBorders>
            <w:vAlign w:val="top"/>
          </w:tcPr>
          <w:p>
            <w:pPr>
              <w:spacing w:before="51" w:line="220" w:lineRule="auto"/>
              <w:ind w:left="1597"/>
              <w:rPr>
                <w:rFonts w:ascii="仿宋" w:hAnsi="仿宋" w:eastAsia="仿宋" w:cs="仿宋"/>
                <w:sz w:val="21"/>
                <w:szCs w:val="21"/>
              </w:rPr>
            </w:pPr>
            <w:r>
              <w:rPr>
                <w:rFonts w:ascii="宋体" w:hAnsi="宋体" w:eastAsia="宋体" w:cs="宋体"/>
                <w:spacing w:val="-4"/>
                <w:sz w:val="21"/>
                <w:szCs w:val="21"/>
                <w14:textOutline w14:w="3810" w14:cap="flat" w14:cmpd="sng">
                  <w14:solidFill>
                    <w14:srgbClr w14:val="000000"/>
                  </w14:solidFill>
                  <w14:prstDash w14:val="solid"/>
                  <w14:miter w14:val="0"/>
                </w14:textOutline>
              </w:rPr>
              <w:t>Ⅲ</w:t>
            </w:r>
            <w:r>
              <w:rPr>
                <w:rFonts w:ascii="仿宋" w:hAnsi="仿宋" w:eastAsia="仿宋" w:cs="仿宋"/>
                <w:spacing w:val="-4"/>
                <w:sz w:val="21"/>
                <w:szCs w:val="21"/>
                <w14:textOutline w14:w="3810" w14:cap="flat" w14:cmpd="sng">
                  <w14:solidFill>
                    <w14:srgbClr w14:val="000000"/>
                  </w14:solidFill>
                  <w14:prstDash w14:val="solid"/>
                  <w14:miter w14:val="0"/>
                </w14:textOutline>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273" w:type="dxa"/>
            <w:tcBorders>
              <w:left w:val="nil"/>
            </w:tcBorders>
            <w:vAlign w:val="top"/>
          </w:tcPr>
          <w:p>
            <w:pPr>
              <w:pStyle w:val="6"/>
              <w:spacing w:before="86" w:line="188" w:lineRule="auto"/>
              <w:ind w:left="566"/>
            </w:pPr>
            <w:r>
              <w:rPr>
                <w:spacing w:val="-9"/>
              </w:rPr>
              <w:t>11</w:t>
            </w:r>
          </w:p>
        </w:tc>
        <w:tc>
          <w:tcPr>
            <w:tcW w:w="3525" w:type="dxa"/>
            <w:vAlign w:val="top"/>
          </w:tcPr>
          <w:p>
            <w:pPr>
              <w:pStyle w:val="6"/>
              <w:spacing w:before="49" w:line="225" w:lineRule="auto"/>
              <w:ind w:left="1404"/>
            </w:pPr>
            <w:r>
              <w:rPr>
                <w:rFonts w:ascii="仿宋" w:hAnsi="仿宋" w:eastAsia="仿宋" w:cs="仿宋"/>
                <w:spacing w:val="-5"/>
              </w:rPr>
              <w:t>氯化物</w:t>
            </w:r>
            <w:r>
              <w:rPr>
                <w:spacing w:val="-5"/>
              </w:rPr>
              <w:t>≤</w:t>
            </w:r>
          </w:p>
        </w:tc>
        <w:tc>
          <w:tcPr>
            <w:tcW w:w="3611" w:type="dxa"/>
            <w:tcBorders>
              <w:right w:val="nil"/>
            </w:tcBorders>
            <w:vAlign w:val="top"/>
          </w:tcPr>
          <w:p>
            <w:pPr>
              <w:pStyle w:val="6"/>
              <w:spacing w:before="86" w:line="188" w:lineRule="auto"/>
              <w:ind w:left="1647"/>
            </w:pPr>
            <w:r>
              <w:rPr>
                <w:spacing w:val="-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273" w:type="dxa"/>
            <w:tcBorders>
              <w:left w:val="nil"/>
            </w:tcBorders>
            <w:vAlign w:val="top"/>
          </w:tcPr>
          <w:p>
            <w:pPr>
              <w:pStyle w:val="6"/>
              <w:spacing w:before="88" w:line="188" w:lineRule="auto"/>
              <w:ind w:left="563"/>
            </w:pPr>
            <w:r>
              <w:rPr>
                <w:spacing w:val="-6"/>
              </w:rPr>
              <w:t>12</w:t>
            </w:r>
          </w:p>
        </w:tc>
        <w:tc>
          <w:tcPr>
            <w:tcW w:w="3525" w:type="dxa"/>
            <w:vAlign w:val="top"/>
          </w:tcPr>
          <w:p>
            <w:pPr>
              <w:pStyle w:val="6"/>
              <w:spacing w:before="52" w:line="223" w:lineRule="auto"/>
              <w:ind w:left="1083"/>
            </w:pPr>
            <w:r>
              <w:rPr>
                <w:rFonts w:ascii="仿宋" w:hAnsi="仿宋" w:eastAsia="仿宋" w:cs="仿宋"/>
                <w:spacing w:val="-2"/>
              </w:rPr>
              <w:t>溶解性总固体</w:t>
            </w:r>
            <w:r>
              <w:rPr>
                <w:spacing w:val="-2"/>
              </w:rPr>
              <w:t>≤</w:t>
            </w:r>
          </w:p>
        </w:tc>
        <w:tc>
          <w:tcPr>
            <w:tcW w:w="3611" w:type="dxa"/>
            <w:tcBorders>
              <w:right w:val="nil"/>
            </w:tcBorders>
            <w:vAlign w:val="top"/>
          </w:tcPr>
          <w:p>
            <w:pPr>
              <w:pStyle w:val="6"/>
              <w:spacing w:before="88" w:line="188" w:lineRule="auto"/>
              <w:ind w:left="1614"/>
            </w:pPr>
            <w:r>
              <w:rPr>
                <w:spacing w:val="-5"/>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273" w:type="dxa"/>
            <w:tcBorders>
              <w:left w:val="nil"/>
            </w:tcBorders>
            <w:vAlign w:val="top"/>
          </w:tcPr>
          <w:p>
            <w:pPr>
              <w:pStyle w:val="6"/>
              <w:spacing w:before="89" w:line="188" w:lineRule="auto"/>
              <w:ind w:left="563"/>
            </w:pPr>
            <w:r>
              <w:rPr>
                <w:spacing w:val="-6"/>
              </w:rPr>
              <w:t>13</w:t>
            </w:r>
          </w:p>
        </w:tc>
        <w:tc>
          <w:tcPr>
            <w:tcW w:w="3525" w:type="dxa"/>
            <w:vAlign w:val="top"/>
          </w:tcPr>
          <w:p>
            <w:pPr>
              <w:pStyle w:val="6"/>
              <w:spacing w:before="52" w:line="222" w:lineRule="auto"/>
              <w:ind w:left="1400"/>
            </w:pPr>
            <w:r>
              <w:rPr>
                <w:rFonts w:ascii="仿宋" w:hAnsi="仿宋" w:eastAsia="仿宋" w:cs="仿宋"/>
                <w:spacing w:val="-4"/>
              </w:rPr>
              <w:t>耗氧量</w:t>
            </w:r>
            <w:r>
              <w:rPr>
                <w:spacing w:val="-4"/>
              </w:rPr>
              <w:t>≤</w:t>
            </w:r>
          </w:p>
        </w:tc>
        <w:tc>
          <w:tcPr>
            <w:tcW w:w="3611" w:type="dxa"/>
            <w:tcBorders>
              <w:right w:val="nil"/>
            </w:tcBorders>
            <w:vAlign w:val="top"/>
          </w:tcPr>
          <w:p>
            <w:pPr>
              <w:pStyle w:val="6"/>
              <w:spacing w:before="89" w:line="188" w:lineRule="auto"/>
              <w:ind w:left="1678"/>
            </w:pPr>
            <w:r>
              <w:rPr>
                <w:spacing w:val="-3"/>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273" w:type="dxa"/>
            <w:tcBorders>
              <w:left w:val="nil"/>
            </w:tcBorders>
            <w:vAlign w:val="top"/>
          </w:tcPr>
          <w:p>
            <w:pPr>
              <w:pStyle w:val="6"/>
              <w:spacing w:before="92" w:line="188" w:lineRule="auto"/>
              <w:ind w:left="563"/>
            </w:pPr>
            <w:r>
              <w:rPr>
                <w:spacing w:val="-6"/>
              </w:rPr>
              <w:t>14</w:t>
            </w:r>
          </w:p>
        </w:tc>
        <w:tc>
          <w:tcPr>
            <w:tcW w:w="3525" w:type="dxa"/>
            <w:vAlign w:val="top"/>
          </w:tcPr>
          <w:p>
            <w:pPr>
              <w:pStyle w:val="6"/>
              <w:spacing w:before="55" w:line="220" w:lineRule="auto"/>
              <w:ind w:left="1399"/>
            </w:pPr>
            <w:r>
              <w:rPr>
                <w:rFonts w:ascii="仿宋" w:hAnsi="仿宋" w:eastAsia="仿宋" w:cs="仿宋"/>
                <w:spacing w:val="-4"/>
              </w:rPr>
              <w:t>硫酸盐</w:t>
            </w:r>
            <w:r>
              <w:rPr>
                <w:spacing w:val="-4"/>
              </w:rPr>
              <w:t>≤</w:t>
            </w:r>
          </w:p>
        </w:tc>
        <w:tc>
          <w:tcPr>
            <w:tcW w:w="3611" w:type="dxa"/>
            <w:tcBorders>
              <w:right w:val="nil"/>
            </w:tcBorders>
            <w:vAlign w:val="top"/>
          </w:tcPr>
          <w:p>
            <w:pPr>
              <w:pStyle w:val="6"/>
              <w:spacing w:before="92" w:line="188" w:lineRule="auto"/>
              <w:ind w:left="1647"/>
            </w:pPr>
            <w:r>
              <w:rPr>
                <w:spacing w:val="-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273" w:type="dxa"/>
            <w:tcBorders>
              <w:left w:val="nil"/>
            </w:tcBorders>
            <w:vAlign w:val="top"/>
          </w:tcPr>
          <w:p>
            <w:pPr>
              <w:pStyle w:val="6"/>
              <w:spacing w:before="92" w:line="188" w:lineRule="auto"/>
              <w:ind w:left="563"/>
            </w:pPr>
            <w:r>
              <w:rPr>
                <w:spacing w:val="-6"/>
              </w:rPr>
              <w:t>15</w:t>
            </w:r>
          </w:p>
        </w:tc>
        <w:tc>
          <w:tcPr>
            <w:tcW w:w="3525" w:type="dxa"/>
            <w:vAlign w:val="top"/>
          </w:tcPr>
          <w:p>
            <w:pPr>
              <w:pStyle w:val="6"/>
              <w:spacing w:before="55" w:line="219" w:lineRule="auto"/>
              <w:ind w:left="1198"/>
            </w:pPr>
            <w:r>
              <w:rPr>
                <w:rFonts w:ascii="仿宋" w:hAnsi="仿宋" w:eastAsia="仿宋" w:cs="仿宋"/>
                <w:spacing w:val="-4"/>
              </w:rPr>
              <w:t>总大肠菌群</w:t>
            </w:r>
            <w:r>
              <w:rPr>
                <w:spacing w:val="-4"/>
              </w:rPr>
              <w:t>≤</w:t>
            </w:r>
          </w:p>
        </w:tc>
        <w:tc>
          <w:tcPr>
            <w:tcW w:w="3611" w:type="dxa"/>
            <w:tcBorders>
              <w:right w:val="nil"/>
            </w:tcBorders>
            <w:vAlign w:val="top"/>
          </w:tcPr>
          <w:p>
            <w:pPr>
              <w:pStyle w:val="6"/>
              <w:spacing w:before="92" w:line="188" w:lineRule="auto"/>
              <w:ind w:left="1678"/>
            </w:pPr>
            <w:r>
              <w:rPr>
                <w:spacing w:val="-3"/>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3" w:hRule="atLeast"/>
        </w:trPr>
        <w:tc>
          <w:tcPr>
            <w:tcW w:w="1273" w:type="dxa"/>
            <w:tcBorders>
              <w:left w:val="nil"/>
            </w:tcBorders>
            <w:vAlign w:val="top"/>
          </w:tcPr>
          <w:p>
            <w:pPr>
              <w:pStyle w:val="6"/>
              <w:spacing w:before="95" w:line="188" w:lineRule="auto"/>
              <w:ind w:left="563"/>
            </w:pPr>
            <w:r>
              <w:rPr>
                <w:spacing w:val="-6"/>
              </w:rPr>
              <w:t>16</w:t>
            </w:r>
          </w:p>
        </w:tc>
        <w:tc>
          <w:tcPr>
            <w:tcW w:w="3525" w:type="dxa"/>
            <w:vAlign w:val="top"/>
          </w:tcPr>
          <w:p>
            <w:pPr>
              <w:pStyle w:val="6"/>
              <w:spacing w:before="58" w:line="224" w:lineRule="auto"/>
              <w:ind w:left="1298"/>
            </w:pPr>
            <w:r>
              <w:rPr>
                <w:rFonts w:ascii="仿宋" w:hAnsi="仿宋" w:eastAsia="仿宋" w:cs="仿宋"/>
                <w:spacing w:val="-4"/>
              </w:rPr>
              <w:t>菌落总数</w:t>
            </w:r>
            <w:r>
              <w:rPr>
                <w:spacing w:val="-4"/>
              </w:rPr>
              <w:t>≤</w:t>
            </w:r>
          </w:p>
        </w:tc>
        <w:tc>
          <w:tcPr>
            <w:tcW w:w="3611" w:type="dxa"/>
            <w:tcBorders>
              <w:right w:val="nil"/>
            </w:tcBorders>
            <w:vAlign w:val="top"/>
          </w:tcPr>
          <w:p>
            <w:pPr>
              <w:pStyle w:val="6"/>
              <w:spacing w:before="95" w:line="188" w:lineRule="auto"/>
              <w:ind w:left="1667"/>
            </w:pPr>
            <w:r>
              <w:rPr>
                <w:spacing w:val="-6"/>
              </w:rPr>
              <w:t>100</w:t>
            </w:r>
          </w:p>
        </w:tc>
      </w:tr>
    </w:tbl>
    <w:p>
      <w:pPr>
        <w:spacing w:before="36" w:line="220" w:lineRule="auto"/>
        <w:ind w:left="60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）声环境</w:t>
      </w:r>
    </w:p>
    <w:p>
      <w:pPr>
        <w:spacing w:before="181" w:line="467" w:lineRule="exact"/>
        <w:ind w:left="605"/>
        <w:rPr>
          <w:rFonts w:ascii="Times New Roman" w:hAnsi="Times New Roman" w:eastAsia="Times New Roman" w:cs="Times New Roman"/>
          <w:sz w:val="24"/>
          <w:szCs w:val="24"/>
        </w:rPr>
      </w:pPr>
      <w:r>
        <w:rPr>
          <w:rFonts w:ascii="宋体" w:hAnsi="宋体" w:eastAsia="宋体" w:cs="宋体"/>
          <w:spacing w:val="-4"/>
          <w:position w:val="17"/>
          <w:sz w:val="24"/>
          <w:szCs w:val="24"/>
        </w:rPr>
        <w:t xml:space="preserve">项目所在区域属于 </w:t>
      </w:r>
      <w:r>
        <w:rPr>
          <w:rFonts w:ascii="Times New Roman" w:hAnsi="Times New Roman" w:eastAsia="Times New Roman" w:cs="Times New Roman"/>
          <w:spacing w:val="-4"/>
          <w:position w:val="17"/>
          <w:sz w:val="24"/>
          <w:szCs w:val="24"/>
        </w:rPr>
        <w:t xml:space="preserve">1  </w:t>
      </w:r>
      <w:r>
        <w:rPr>
          <w:rFonts w:ascii="宋体" w:hAnsi="宋体" w:eastAsia="宋体" w:cs="宋体"/>
          <w:spacing w:val="-4"/>
          <w:position w:val="17"/>
          <w:sz w:val="24"/>
          <w:szCs w:val="24"/>
        </w:rPr>
        <w:t>类声环境功能区，执行《声环境质量标准》（</w:t>
      </w:r>
      <w:r>
        <w:rPr>
          <w:rFonts w:ascii="Times New Roman" w:hAnsi="Times New Roman" w:eastAsia="Times New Roman" w:cs="Times New Roman"/>
          <w:spacing w:val="-4"/>
          <w:position w:val="17"/>
          <w:sz w:val="24"/>
          <w:szCs w:val="24"/>
        </w:rPr>
        <w:t>GB3096-</w:t>
      </w:r>
    </w:p>
    <w:p>
      <w:pPr>
        <w:spacing w:line="219" w:lineRule="auto"/>
        <w:ind w:left="117"/>
        <w:rPr>
          <w:rFonts w:ascii="宋体" w:hAnsi="宋体" w:eastAsia="宋体" w:cs="宋体"/>
          <w:sz w:val="24"/>
          <w:szCs w:val="24"/>
        </w:rPr>
      </w:pPr>
      <w:r>
        <w:rPr>
          <w:rFonts w:ascii="Times New Roman" w:hAnsi="Times New Roman" w:eastAsia="Times New Roman" w:cs="Times New Roman"/>
          <w:spacing w:val="-2"/>
          <w:sz w:val="24"/>
          <w:szCs w:val="24"/>
        </w:rPr>
        <w:t>2008</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类标准，标准限值如表</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1.5-5</w:t>
      </w:r>
      <w:r>
        <w:rPr>
          <w:rFonts w:ascii="宋体" w:hAnsi="宋体" w:eastAsia="宋体" w:cs="宋体"/>
          <w:spacing w:val="-2"/>
          <w:sz w:val="24"/>
          <w:szCs w:val="24"/>
        </w:rPr>
        <w:t>。</w:t>
      </w:r>
    </w:p>
    <w:p>
      <w:pPr>
        <w:spacing w:line="246" w:lineRule="auto"/>
        <w:rPr>
          <w:rFonts w:ascii="Arial"/>
          <w:sz w:val="21"/>
        </w:rPr>
      </w:pPr>
    </w:p>
    <w:p>
      <w:pPr>
        <w:pStyle w:val="2"/>
        <w:spacing w:before="69" w:line="219" w:lineRule="auto"/>
        <w:ind w:left="1773"/>
      </w:pPr>
      <w:r>
        <w:rPr>
          <w:spacing w:val="-5"/>
          <w14:textOutline w14:w="3810" w14:cap="flat" w14:cmpd="sng">
            <w14:solidFill>
              <w14:srgbClr w14:val="000000"/>
            </w14:solidFill>
            <w14:prstDash w14:val="solid"/>
            <w14:miter w14:val="0"/>
          </w14:textOutline>
        </w:rPr>
        <w:t>表</w:t>
      </w:r>
      <w:r>
        <w:rPr>
          <w:spacing w:val="-29"/>
        </w:rPr>
        <w:t xml:space="preserve"> </w:t>
      </w:r>
      <w:r>
        <w:rPr>
          <w:rFonts w:ascii="Times New Roman" w:hAnsi="Times New Roman" w:eastAsia="Times New Roman" w:cs="Times New Roman"/>
          <w:b/>
          <w:bCs/>
          <w:spacing w:val="-5"/>
        </w:rPr>
        <w:t xml:space="preserve">1.5-5    </w:t>
      </w:r>
      <w:r>
        <w:rPr>
          <w:spacing w:val="-5"/>
          <w14:textOutline w14:w="3810" w14:cap="flat" w14:cmpd="sng">
            <w14:solidFill>
              <w14:srgbClr w14:val="000000"/>
            </w14:solidFill>
            <w14:prstDash w14:val="solid"/>
            <w14:miter w14:val="0"/>
          </w14:textOutline>
        </w:rPr>
        <w:t>环境噪声限值（摘录）</w:t>
      </w:r>
      <w:r>
        <w:rPr>
          <w:spacing w:val="3"/>
        </w:rPr>
        <w:t xml:space="preserve">     </w:t>
      </w:r>
      <w:r>
        <w:rPr>
          <w:spacing w:val="-5"/>
          <w14:textOutline w14:w="3810" w14:cap="flat" w14:cmpd="sng">
            <w14:solidFill>
              <w14:srgbClr w14:val="000000"/>
            </w14:solidFill>
            <w14:prstDash w14:val="solid"/>
            <w14:miter w14:val="0"/>
          </w14:textOutline>
        </w:rPr>
        <w:t>单位：</w:t>
      </w:r>
      <w:r>
        <w:rPr>
          <w:spacing w:val="-5"/>
        </w:rPr>
        <w:t xml:space="preserve"> </w:t>
      </w:r>
      <w:r>
        <w:rPr>
          <w:rFonts w:ascii="Times New Roman" w:hAnsi="Times New Roman" w:eastAsia="Times New Roman" w:cs="Times New Roman"/>
          <w:b/>
          <w:bCs/>
          <w:spacing w:val="-5"/>
        </w:rPr>
        <w:t>dB</w:t>
      </w:r>
      <w:r>
        <w:rPr>
          <w:spacing w:val="-5"/>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5"/>
        </w:rPr>
        <w:t>A</w:t>
      </w:r>
      <w:r>
        <w:rPr>
          <w:spacing w:val="-5"/>
          <w14:textOutline w14:w="3810" w14:cap="flat" w14:cmpd="sng">
            <w14:solidFill>
              <w14:srgbClr w14:val="000000"/>
            </w14:solidFill>
            <w14:prstDash w14:val="solid"/>
            <w14:miter w14:val="0"/>
          </w14:textOutline>
        </w:rPr>
        <w:t>）</w:t>
      </w:r>
    </w:p>
    <w:p>
      <w:pPr>
        <w:spacing w:line="19" w:lineRule="exact"/>
      </w:pPr>
    </w:p>
    <w:tbl>
      <w:tblPr>
        <w:tblStyle w:val="5"/>
        <w:tblW w:w="8250" w:type="dxa"/>
        <w:tblInd w:w="13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4"/>
        <w:gridCol w:w="3400"/>
        <w:gridCol w:w="1482"/>
        <w:gridCol w:w="14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54" w:hRule="atLeast"/>
        </w:trPr>
        <w:tc>
          <w:tcPr>
            <w:tcW w:w="1964" w:type="dxa"/>
            <w:vMerge w:val="restart"/>
            <w:tcBorders>
              <w:top w:val="single" w:color="000000" w:sz="12" w:space="0"/>
              <w:left w:val="nil"/>
              <w:bottom w:val="nil"/>
            </w:tcBorders>
            <w:vAlign w:val="top"/>
          </w:tcPr>
          <w:p>
            <w:pPr>
              <w:spacing w:before="279" w:line="217" w:lineRule="auto"/>
              <w:ind w:left="26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声环境功能区划</w:t>
            </w:r>
          </w:p>
        </w:tc>
        <w:tc>
          <w:tcPr>
            <w:tcW w:w="3400" w:type="dxa"/>
            <w:vMerge w:val="restart"/>
            <w:tcBorders>
              <w:top w:val="single" w:color="000000" w:sz="12" w:space="0"/>
              <w:bottom w:val="nil"/>
            </w:tcBorders>
            <w:vAlign w:val="top"/>
          </w:tcPr>
          <w:p>
            <w:pPr>
              <w:spacing w:before="278" w:line="220" w:lineRule="auto"/>
              <w:ind w:left="1288"/>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适用区域</w:t>
            </w:r>
          </w:p>
        </w:tc>
        <w:tc>
          <w:tcPr>
            <w:tcW w:w="2886" w:type="dxa"/>
            <w:gridSpan w:val="2"/>
            <w:tcBorders>
              <w:top w:val="single" w:color="000000" w:sz="12" w:space="0"/>
              <w:right w:val="nil"/>
            </w:tcBorders>
            <w:vAlign w:val="top"/>
          </w:tcPr>
          <w:p>
            <w:pPr>
              <w:pStyle w:val="6"/>
              <w:spacing w:before="93" w:line="213" w:lineRule="auto"/>
              <w:ind w:left="838"/>
            </w:pPr>
            <w:r>
              <w:rPr>
                <w:rFonts w:ascii="仿宋" w:hAnsi="仿宋" w:eastAsia="仿宋" w:cs="仿宋"/>
                <w:spacing w:val="-4"/>
                <w14:textOutline w14:w="3810" w14:cap="flat" w14:cmpd="sng">
                  <w14:solidFill>
                    <w14:srgbClr w14:val="000000"/>
                  </w14:solidFill>
                  <w14:prstDash w14:val="solid"/>
                  <w14:miter w14:val="0"/>
                </w14:textOutline>
              </w:rPr>
              <w:t>等效声级</w:t>
            </w:r>
            <w:r>
              <w:rPr>
                <w:rFonts w:ascii="仿宋" w:hAnsi="仿宋" w:eastAsia="仿宋" w:cs="仿宋"/>
                <w:spacing w:val="-43"/>
              </w:rPr>
              <w:t xml:space="preserve"> </w:t>
            </w:r>
            <w:r>
              <w:rPr>
                <w:b/>
                <w:bCs/>
                <w:spacing w:val="-4"/>
              </w:rPr>
              <w:t>Leq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56" w:hRule="atLeast"/>
        </w:trPr>
        <w:tc>
          <w:tcPr>
            <w:tcW w:w="1964" w:type="dxa"/>
            <w:vMerge w:val="continue"/>
            <w:tcBorders>
              <w:top w:val="nil"/>
              <w:left w:val="nil"/>
            </w:tcBorders>
            <w:vAlign w:val="top"/>
          </w:tcPr>
          <w:p>
            <w:pPr>
              <w:rPr>
                <w:rFonts w:ascii="Arial"/>
                <w:sz w:val="21"/>
              </w:rPr>
            </w:pPr>
          </w:p>
        </w:tc>
        <w:tc>
          <w:tcPr>
            <w:tcW w:w="3400" w:type="dxa"/>
            <w:vMerge w:val="continue"/>
            <w:tcBorders>
              <w:top w:val="nil"/>
            </w:tcBorders>
            <w:vAlign w:val="top"/>
          </w:tcPr>
          <w:p>
            <w:pPr>
              <w:rPr>
                <w:rFonts w:ascii="Arial"/>
                <w:sz w:val="21"/>
              </w:rPr>
            </w:pPr>
          </w:p>
        </w:tc>
        <w:tc>
          <w:tcPr>
            <w:tcW w:w="1482" w:type="dxa"/>
            <w:vAlign w:val="top"/>
          </w:tcPr>
          <w:p>
            <w:pPr>
              <w:spacing w:before="104" w:line="212" w:lineRule="auto"/>
              <w:ind w:left="54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昼间</w:t>
            </w:r>
          </w:p>
        </w:tc>
        <w:tc>
          <w:tcPr>
            <w:tcW w:w="1404" w:type="dxa"/>
            <w:tcBorders>
              <w:right w:val="nil"/>
            </w:tcBorders>
            <w:vAlign w:val="top"/>
          </w:tcPr>
          <w:p>
            <w:pPr>
              <w:spacing w:before="104" w:line="212" w:lineRule="auto"/>
              <w:ind w:left="50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0" w:hRule="atLeast"/>
        </w:trPr>
        <w:tc>
          <w:tcPr>
            <w:tcW w:w="1964" w:type="dxa"/>
            <w:tcBorders>
              <w:left w:val="nil"/>
              <w:bottom w:val="single" w:color="000000" w:sz="12" w:space="0"/>
            </w:tcBorders>
            <w:vAlign w:val="top"/>
          </w:tcPr>
          <w:p>
            <w:pPr>
              <w:pStyle w:val="6"/>
              <w:spacing w:before="115" w:line="220" w:lineRule="auto"/>
              <w:ind w:left="829"/>
              <w:rPr>
                <w:rFonts w:ascii="仿宋" w:hAnsi="仿宋" w:eastAsia="仿宋" w:cs="仿宋"/>
              </w:rPr>
            </w:pPr>
            <w:r>
              <w:rPr>
                <w:spacing w:val="-13"/>
              </w:rPr>
              <w:t>1</w:t>
            </w:r>
            <w:r>
              <w:rPr>
                <w:spacing w:val="17"/>
                <w:w w:val="101"/>
              </w:rPr>
              <w:t xml:space="preserve"> </w:t>
            </w:r>
            <w:r>
              <w:rPr>
                <w:rFonts w:ascii="仿宋" w:hAnsi="仿宋" w:eastAsia="仿宋" w:cs="仿宋"/>
                <w:spacing w:val="-13"/>
              </w:rPr>
              <w:t>类</w:t>
            </w:r>
          </w:p>
        </w:tc>
        <w:tc>
          <w:tcPr>
            <w:tcW w:w="3400" w:type="dxa"/>
            <w:tcBorders>
              <w:bottom w:val="single" w:color="000000" w:sz="12" w:space="0"/>
            </w:tcBorders>
            <w:vAlign w:val="top"/>
          </w:tcPr>
          <w:p>
            <w:pPr>
              <w:spacing w:before="115" w:line="217" w:lineRule="auto"/>
              <w:ind w:left="1395"/>
              <w:rPr>
                <w:rFonts w:ascii="仿宋" w:hAnsi="仿宋" w:eastAsia="仿宋" w:cs="仿宋"/>
                <w:sz w:val="21"/>
                <w:szCs w:val="21"/>
              </w:rPr>
            </w:pPr>
            <w:r>
              <w:rPr>
                <w:rFonts w:ascii="仿宋" w:hAnsi="仿宋" w:eastAsia="仿宋" w:cs="仿宋"/>
                <w:spacing w:val="-4"/>
                <w:sz w:val="21"/>
                <w:szCs w:val="21"/>
              </w:rPr>
              <w:t>居住区</w:t>
            </w:r>
          </w:p>
        </w:tc>
        <w:tc>
          <w:tcPr>
            <w:tcW w:w="1482" w:type="dxa"/>
            <w:tcBorders>
              <w:bottom w:val="single" w:color="000000" w:sz="12" w:space="0"/>
            </w:tcBorders>
            <w:vAlign w:val="top"/>
          </w:tcPr>
          <w:p>
            <w:pPr>
              <w:pStyle w:val="6"/>
              <w:spacing w:before="156" w:line="183" w:lineRule="auto"/>
              <w:ind w:left="642"/>
            </w:pPr>
            <w:r>
              <w:rPr>
                <w:spacing w:val="-3"/>
              </w:rPr>
              <w:t>55</w:t>
            </w:r>
          </w:p>
        </w:tc>
        <w:tc>
          <w:tcPr>
            <w:tcW w:w="1404" w:type="dxa"/>
            <w:tcBorders>
              <w:bottom w:val="single" w:color="000000" w:sz="12" w:space="0"/>
              <w:right w:val="nil"/>
            </w:tcBorders>
            <w:vAlign w:val="top"/>
          </w:tcPr>
          <w:p>
            <w:pPr>
              <w:pStyle w:val="6"/>
              <w:spacing w:before="153" w:line="186" w:lineRule="auto"/>
              <w:ind w:left="598"/>
            </w:pPr>
            <w:r>
              <w:rPr>
                <w:spacing w:val="-1"/>
              </w:rPr>
              <w:t>45</w:t>
            </w:r>
          </w:p>
        </w:tc>
      </w:tr>
    </w:tbl>
    <w:p>
      <w:pPr>
        <w:spacing w:before="36" w:line="220" w:lineRule="auto"/>
        <w:ind w:left="60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）突土壤环境</w:t>
      </w:r>
    </w:p>
    <w:p>
      <w:pPr>
        <w:spacing w:before="181" w:line="359" w:lineRule="auto"/>
        <w:ind w:left="125" w:right="100" w:firstLine="480"/>
        <w:jc w:val="both"/>
        <w:rPr>
          <w:rFonts w:ascii="宋体" w:hAnsi="宋体" w:eastAsia="宋体" w:cs="宋体"/>
          <w:sz w:val="24"/>
          <w:szCs w:val="24"/>
        </w:rPr>
      </w:pPr>
      <w:r>
        <w:rPr>
          <w:rFonts w:ascii="宋体" w:hAnsi="宋体" w:eastAsia="宋体" w:cs="宋体"/>
          <w:spacing w:val="-13"/>
          <w:sz w:val="24"/>
          <w:szCs w:val="24"/>
        </w:rPr>
        <w:t>项目所在区域及周边土壤主要为林地、耕地，</w:t>
      </w:r>
      <w:r>
        <w:rPr>
          <w:rFonts w:ascii="宋体" w:hAnsi="宋体" w:eastAsia="宋体" w:cs="宋体"/>
          <w:spacing w:val="50"/>
          <w:sz w:val="24"/>
          <w:szCs w:val="24"/>
        </w:rPr>
        <w:t xml:space="preserve"> </w:t>
      </w:r>
      <w:r>
        <w:rPr>
          <w:rFonts w:ascii="宋体" w:hAnsi="宋体" w:eastAsia="宋体" w:cs="宋体"/>
          <w:spacing w:val="-13"/>
          <w:sz w:val="24"/>
          <w:szCs w:val="24"/>
        </w:rPr>
        <w:t>现状属于农用地，</w:t>
      </w:r>
      <w:r>
        <w:rPr>
          <w:rFonts w:ascii="宋体" w:hAnsi="宋体" w:eastAsia="宋体" w:cs="宋体"/>
          <w:spacing w:val="31"/>
          <w:sz w:val="24"/>
          <w:szCs w:val="24"/>
        </w:rPr>
        <w:t xml:space="preserve"> </w:t>
      </w:r>
      <w:r>
        <w:rPr>
          <w:rFonts w:ascii="宋体" w:hAnsi="宋体" w:eastAsia="宋体" w:cs="宋体"/>
          <w:spacing w:val="-13"/>
          <w:sz w:val="24"/>
          <w:szCs w:val="24"/>
        </w:rPr>
        <w:t>本工程建设</w:t>
      </w:r>
      <w:r>
        <w:rPr>
          <w:rFonts w:ascii="宋体" w:hAnsi="宋体" w:eastAsia="宋体" w:cs="宋体"/>
          <w:sz w:val="24"/>
          <w:szCs w:val="24"/>
        </w:rPr>
        <w:t xml:space="preserve"> </w:t>
      </w:r>
      <w:r>
        <w:rPr>
          <w:rFonts w:ascii="宋体" w:hAnsi="宋体" w:eastAsia="宋体" w:cs="宋体"/>
          <w:spacing w:val="-7"/>
          <w:sz w:val="24"/>
          <w:szCs w:val="24"/>
        </w:rPr>
        <w:t>征地范围内土壤环境质量执行《土壤环境质量 农用地土壤污染风险管控标准（试</w:t>
      </w:r>
    </w:p>
    <w:p>
      <w:pPr>
        <w:spacing w:before="1" w:line="218" w:lineRule="auto"/>
        <w:ind w:left="125"/>
        <w:rPr>
          <w:rFonts w:ascii="宋体" w:hAnsi="宋体" w:eastAsia="宋体" w:cs="宋体"/>
          <w:sz w:val="24"/>
          <w:szCs w:val="24"/>
        </w:rPr>
      </w:pPr>
      <w:r>
        <w:rPr>
          <w:rFonts w:ascii="宋体" w:hAnsi="宋体" w:eastAsia="宋体" w:cs="宋体"/>
          <w:spacing w:val="-7"/>
          <w:sz w:val="24"/>
          <w:szCs w:val="24"/>
        </w:rPr>
        <w:t>行）》（</w:t>
      </w:r>
      <w:r>
        <w:rPr>
          <w:rFonts w:ascii="Times New Roman" w:hAnsi="Times New Roman" w:eastAsia="Times New Roman" w:cs="Times New Roman"/>
          <w:spacing w:val="-7"/>
          <w:sz w:val="24"/>
          <w:szCs w:val="24"/>
        </w:rPr>
        <w:t>GB</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7"/>
          <w:sz w:val="24"/>
          <w:szCs w:val="24"/>
        </w:rPr>
        <w:t>15618-2018</w:t>
      </w:r>
      <w:r>
        <w:rPr>
          <w:rFonts w:ascii="宋体" w:hAnsi="宋体" w:eastAsia="宋体" w:cs="宋体"/>
          <w:spacing w:val="-7"/>
          <w:sz w:val="24"/>
          <w:szCs w:val="24"/>
        </w:rPr>
        <w:t>）中的</w:t>
      </w:r>
      <w:r>
        <w:rPr>
          <w:rFonts w:ascii="宋体" w:hAnsi="宋体" w:eastAsia="宋体" w:cs="宋体"/>
          <w:spacing w:val="-8"/>
          <w:sz w:val="24"/>
          <w:szCs w:val="24"/>
        </w:rPr>
        <w:t>基本项目风险筛选值，标准限值如表</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1.5-6</w:t>
      </w:r>
      <w:r>
        <w:rPr>
          <w:rFonts w:ascii="宋体" w:hAnsi="宋体" w:eastAsia="宋体" w:cs="宋体"/>
          <w:spacing w:val="-8"/>
          <w:sz w:val="24"/>
          <w:szCs w:val="24"/>
        </w:rPr>
        <w:t>。</w:t>
      </w:r>
    </w:p>
    <w:p>
      <w:pPr>
        <w:spacing w:line="249" w:lineRule="auto"/>
        <w:rPr>
          <w:rFonts w:ascii="Arial"/>
          <w:sz w:val="21"/>
        </w:rPr>
      </w:pPr>
    </w:p>
    <w:p>
      <w:pPr>
        <w:pStyle w:val="2"/>
        <w:spacing w:before="68" w:line="212" w:lineRule="auto"/>
        <w:ind w:left="1065"/>
        <w:rPr>
          <w:rFonts w:ascii="Times New Roman" w:hAnsi="Times New Roman" w:eastAsia="Times New Roman" w:cs="Times New Roman"/>
        </w:rPr>
      </w:pPr>
      <w:r>
        <w:rPr>
          <w14:textOutline w14:w="3810" w14:cap="flat" w14:cmpd="sng">
            <w14:solidFill>
              <w14:srgbClr w14:val="000000"/>
            </w14:solidFill>
            <w14:prstDash w14:val="solid"/>
            <w14:miter w14:val="0"/>
          </w14:textOutline>
        </w:rPr>
        <w:t>表</w:t>
      </w:r>
      <w:r>
        <w:rPr>
          <w:spacing w:val="-37"/>
        </w:rPr>
        <w:t xml:space="preserve"> </w:t>
      </w:r>
      <w:r>
        <w:rPr>
          <w:rFonts w:ascii="Times New Roman" w:hAnsi="Times New Roman" w:eastAsia="Times New Roman" w:cs="Times New Roman"/>
          <w:b/>
          <w:bCs/>
        </w:rPr>
        <w:t xml:space="preserve">1.5-5    </w:t>
      </w:r>
      <w:r>
        <w:rPr>
          <w14:textOutline w14:w="3810" w14:cap="flat" w14:cmpd="sng">
            <w14:solidFill>
              <w14:srgbClr w14:val="000000"/>
            </w14:solidFill>
            <w14:prstDash w14:val="solid"/>
            <w14:miter w14:val="0"/>
          </w14:textOutline>
        </w:rPr>
        <w:t>农用地土壤污染风险筛选值（基本项目）</w:t>
      </w:r>
      <w:r>
        <w:t xml:space="preserve">     </w:t>
      </w:r>
      <w:r>
        <w:rPr>
          <w14:textOutline w14:w="3810" w14:cap="flat" w14:cmpd="sng">
            <w14:solidFill>
              <w14:srgbClr w14:val="000000"/>
            </w14:solidFill>
            <w14:prstDash w14:val="solid"/>
            <w14:miter w14:val="0"/>
          </w14:textOutline>
        </w:rPr>
        <w:t>单</w:t>
      </w:r>
      <w:r>
        <w:rPr>
          <w:spacing w:val="-1"/>
          <w14:textOutline w14:w="3810" w14:cap="flat" w14:cmpd="sng">
            <w14:solidFill>
              <w14:srgbClr w14:val="000000"/>
            </w14:solidFill>
            <w14:prstDash w14:val="solid"/>
            <w14:miter w14:val="0"/>
          </w14:textOutline>
        </w:rPr>
        <w:t>位：</w:t>
      </w:r>
      <w:r>
        <w:rPr>
          <w:rFonts w:ascii="Times New Roman" w:hAnsi="Times New Roman" w:eastAsia="Times New Roman" w:cs="Times New Roman"/>
          <w:b/>
          <w:bCs/>
          <w:spacing w:val="-1"/>
        </w:rPr>
        <w:t>mg/kg</w:t>
      </w:r>
    </w:p>
    <w:p>
      <w:pPr>
        <w:spacing w:line="27" w:lineRule="exact"/>
      </w:pPr>
    </w:p>
    <w:tbl>
      <w:tblPr>
        <w:tblStyle w:val="5"/>
        <w:tblW w:w="8505"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6"/>
        <w:gridCol w:w="982"/>
        <w:gridCol w:w="1022"/>
        <w:gridCol w:w="1296"/>
        <w:gridCol w:w="1800"/>
        <w:gridCol w:w="1559"/>
        <w:gridCol w:w="12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636" w:type="dxa"/>
            <w:vMerge w:val="restart"/>
            <w:tcBorders>
              <w:top w:val="single" w:color="000000" w:sz="12" w:space="0"/>
              <w:left w:val="nil"/>
              <w:bottom w:val="nil"/>
            </w:tcBorders>
            <w:textDirection w:val="tbRlV"/>
            <w:vAlign w:val="top"/>
          </w:tcPr>
          <w:p>
            <w:pPr>
              <w:spacing w:before="211" w:line="202" w:lineRule="auto"/>
              <w:ind w:left="48"/>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序</w:t>
            </w:r>
            <w:r>
              <w:rPr>
                <w:rFonts w:ascii="仿宋" w:hAnsi="仿宋" w:eastAsia="仿宋" w:cs="仿宋"/>
                <w:spacing w:val="-36"/>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号</w:t>
            </w:r>
          </w:p>
        </w:tc>
        <w:tc>
          <w:tcPr>
            <w:tcW w:w="2004" w:type="dxa"/>
            <w:gridSpan w:val="2"/>
            <w:vMerge w:val="restart"/>
            <w:tcBorders>
              <w:top w:val="single" w:color="000000" w:sz="12" w:space="0"/>
              <w:bottom w:val="nil"/>
            </w:tcBorders>
            <w:vAlign w:val="top"/>
          </w:tcPr>
          <w:p>
            <w:pPr>
              <w:spacing w:before="188" w:line="217" w:lineRule="auto"/>
              <w:ind w:left="49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污染物项目</w:t>
            </w:r>
          </w:p>
        </w:tc>
        <w:tc>
          <w:tcPr>
            <w:tcW w:w="5865" w:type="dxa"/>
            <w:gridSpan w:val="4"/>
            <w:tcBorders>
              <w:top w:val="single" w:color="000000" w:sz="12" w:space="0"/>
              <w:right w:val="nil"/>
            </w:tcBorders>
            <w:vAlign w:val="top"/>
          </w:tcPr>
          <w:p>
            <w:pPr>
              <w:spacing w:before="44" w:line="202" w:lineRule="auto"/>
              <w:ind w:left="241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风险筛选值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636" w:type="dxa"/>
            <w:vMerge w:val="continue"/>
            <w:tcBorders>
              <w:top w:val="nil"/>
              <w:left w:val="nil"/>
            </w:tcBorders>
            <w:textDirection w:val="tbRlV"/>
            <w:vAlign w:val="top"/>
          </w:tcPr>
          <w:p>
            <w:pPr>
              <w:rPr>
                <w:rFonts w:ascii="Arial"/>
                <w:sz w:val="21"/>
              </w:rPr>
            </w:pPr>
          </w:p>
        </w:tc>
        <w:tc>
          <w:tcPr>
            <w:tcW w:w="2004" w:type="dxa"/>
            <w:gridSpan w:val="2"/>
            <w:vMerge w:val="continue"/>
            <w:tcBorders>
              <w:top w:val="nil"/>
            </w:tcBorders>
            <w:vAlign w:val="top"/>
          </w:tcPr>
          <w:p>
            <w:pPr>
              <w:rPr>
                <w:rFonts w:ascii="Arial"/>
                <w:sz w:val="21"/>
              </w:rPr>
            </w:pPr>
          </w:p>
        </w:tc>
        <w:tc>
          <w:tcPr>
            <w:tcW w:w="1296" w:type="dxa"/>
            <w:vAlign w:val="top"/>
          </w:tcPr>
          <w:p>
            <w:pPr>
              <w:pStyle w:val="6"/>
              <w:spacing w:before="83" w:line="187" w:lineRule="auto"/>
              <w:ind w:left="319"/>
            </w:pPr>
            <w:r>
              <w:rPr>
                <w:b/>
                <w:bCs/>
                <w:spacing w:val="-1"/>
              </w:rPr>
              <w:t>pH≤5.5</w:t>
            </w:r>
          </w:p>
        </w:tc>
        <w:tc>
          <w:tcPr>
            <w:tcW w:w="1800" w:type="dxa"/>
            <w:vAlign w:val="top"/>
          </w:tcPr>
          <w:p>
            <w:pPr>
              <w:pStyle w:val="6"/>
              <w:spacing w:before="45" w:line="202" w:lineRule="auto"/>
              <w:ind w:left="338"/>
            </w:pPr>
            <w:r>
              <w:rPr>
                <w:b/>
                <w:bCs/>
                <w:spacing w:val="-1"/>
              </w:rPr>
              <w:t>5.5</w:t>
            </w:r>
            <w:r>
              <w:rPr>
                <w:rFonts w:ascii="仿宋" w:hAnsi="仿宋" w:eastAsia="仿宋" w:cs="仿宋"/>
                <w:spacing w:val="-1"/>
                <w14:textOutline w14:w="3810" w14:cap="flat" w14:cmpd="sng">
                  <w14:solidFill>
                    <w14:srgbClr w14:val="000000"/>
                  </w14:solidFill>
                  <w14:prstDash w14:val="solid"/>
                  <w14:miter w14:val="0"/>
                </w14:textOutline>
              </w:rPr>
              <w:t>＜</w:t>
            </w:r>
            <w:r>
              <w:rPr>
                <w:b/>
                <w:bCs/>
                <w:spacing w:val="-1"/>
              </w:rPr>
              <w:t>pH≤6.5</w:t>
            </w:r>
          </w:p>
        </w:tc>
        <w:tc>
          <w:tcPr>
            <w:tcW w:w="1559" w:type="dxa"/>
            <w:vAlign w:val="top"/>
          </w:tcPr>
          <w:p>
            <w:pPr>
              <w:pStyle w:val="6"/>
              <w:spacing w:before="45" w:line="202" w:lineRule="auto"/>
              <w:ind w:left="219"/>
            </w:pPr>
            <w:r>
              <w:rPr>
                <w:b/>
                <w:bCs/>
                <w:spacing w:val="-1"/>
              </w:rPr>
              <w:t>6.5</w:t>
            </w:r>
            <w:r>
              <w:rPr>
                <w:rFonts w:ascii="仿宋" w:hAnsi="仿宋" w:eastAsia="仿宋" w:cs="仿宋"/>
                <w:spacing w:val="-1"/>
                <w14:textOutline w14:w="3810" w14:cap="flat" w14:cmpd="sng">
                  <w14:solidFill>
                    <w14:srgbClr w14:val="000000"/>
                  </w14:solidFill>
                  <w14:prstDash w14:val="solid"/>
                  <w14:miter w14:val="0"/>
                </w14:textOutline>
              </w:rPr>
              <w:t>＜</w:t>
            </w:r>
            <w:r>
              <w:rPr>
                <w:b/>
                <w:bCs/>
                <w:spacing w:val="-1"/>
              </w:rPr>
              <w:t>pH≤7.5</w:t>
            </w:r>
          </w:p>
        </w:tc>
        <w:tc>
          <w:tcPr>
            <w:tcW w:w="1210" w:type="dxa"/>
            <w:tcBorders>
              <w:right w:val="nil"/>
            </w:tcBorders>
            <w:vAlign w:val="top"/>
          </w:tcPr>
          <w:p>
            <w:pPr>
              <w:pStyle w:val="6"/>
              <w:spacing w:before="45" w:line="202" w:lineRule="auto"/>
              <w:ind w:left="228"/>
            </w:pPr>
            <w:r>
              <w:rPr>
                <w:b/>
                <w:bCs/>
                <w:spacing w:val="-1"/>
              </w:rPr>
              <w:t>pH</w:t>
            </w:r>
            <w:r>
              <w:rPr>
                <w:rFonts w:ascii="仿宋" w:hAnsi="仿宋" w:eastAsia="仿宋" w:cs="仿宋"/>
                <w:spacing w:val="-1"/>
                <w14:textOutline w14:w="3810" w14:cap="flat" w14:cmpd="sng">
                  <w14:solidFill>
                    <w14:srgbClr w14:val="000000"/>
                  </w14:solidFill>
                  <w14:prstDash w14:val="solid"/>
                  <w14:miter w14:val="0"/>
                </w14:textOutline>
              </w:rPr>
              <w:t>＞</w:t>
            </w:r>
            <w:r>
              <w:rPr>
                <w:b/>
                <w:bCs/>
                <w:spacing w:val="-1"/>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636" w:type="dxa"/>
            <w:vMerge w:val="restart"/>
            <w:tcBorders>
              <w:left w:val="nil"/>
              <w:bottom w:val="nil"/>
            </w:tcBorders>
            <w:vAlign w:val="top"/>
          </w:tcPr>
          <w:p>
            <w:pPr>
              <w:pStyle w:val="6"/>
              <w:spacing w:before="228" w:line="186" w:lineRule="auto"/>
              <w:ind w:left="288"/>
            </w:pPr>
            <w:r>
              <w:t>1</w:t>
            </w:r>
          </w:p>
        </w:tc>
        <w:tc>
          <w:tcPr>
            <w:tcW w:w="982" w:type="dxa"/>
            <w:vMerge w:val="restart"/>
            <w:tcBorders>
              <w:bottom w:val="nil"/>
            </w:tcBorders>
            <w:vAlign w:val="top"/>
          </w:tcPr>
          <w:p>
            <w:pPr>
              <w:spacing w:before="189" w:line="220" w:lineRule="auto"/>
              <w:ind w:left="397"/>
              <w:rPr>
                <w:rFonts w:ascii="仿宋" w:hAnsi="仿宋" w:eastAsia="仿宋" w:cs="仿宋"/>
                <w:sz w:val="21"/>
                <w:szCs w:val="21"/>
              </w:rPr>
            </w:pPr>
            <w:r>
              <w:rPr>
                <w:rFonts w:ascii="仿宋" w:hAnsi="仿宋" w:eastAsia="仿宋" w:cs="仿宋"/>
                <w:sz w:val="21"/>
                <w:szCs w:val="21"/>
              </w:rPr>
              <w:t>镉</w:t>
            </w:r>
          </w:p>
        </w:tc>
        <w:tc>
          <w:tcPr>
            <w:tcW w:w="1022" w:type="dxa"/>
            <w:vAlign w:val="top"/>
          </w:tcPr>
          <w:p>
            <w:pPr>
              <w:spacing w:before="44" w:line="203" w:lineRule="auto"/>
              <w:ind w:left="311"/>
              <w:rPr>
                <w:rFonts w:ascii="仿宋" w:hAnsi="仿宋" w:eastAsia="仿宋" w:cs="仿宋"/>
                <w:sz w:val="21"/>
                <w:szCs w:val="21"/>
              </w:rPr>
            </w:pPr>
            <w:r>
              <w:rPr>
                <w:rFonts w:ascii="仿宋" w:hAnsi="仿宋" w:eastAsia="仿宋" w:cs="仿宋"/>
                <w:spacing w:val="-4"/>
                <w:sz w:val="21"/>
                <w:szCs w:val="21"/>
              </w:rPr>
              <w:t>水田</w:t>
            </w:r>
          </w:p>
        </w:tc>
        <w:tc>
          <w:tcPr>
            <w:tcW w:w="1296" w:type="dxa"/>
            <w:vAlign w:val="top"/>
          </w:tcPr>
          <w:p>
            <w:pPr>
              <w:pStyle w:val="6"/>
              <w:spacing w:before="83" w:line="186" w:lineRule="auto"/>
              <w:ind w:left="519"/>
            </w:pPr>
            <w:r>
              <w:rPr>
                <w:spacing w:val="-3"/>
              </w:rPr>
              <w:t>0.3</w:t>
            </w:r>
          </w:p>
        </w:tc>
        <w:tc>
          <w:tcPr>
            <w:tcW w:w="1800" w:type="dxa"/>
            <w:vAlign w:val="top"/>
          </w:tcPr>
          <w:p>
            <w:pPr>
              <w:pStyle w:val="6"/>
              <w:spacing w:before="83" w:line="186" w:lineRule="auto"/>
              <w:ind w:left="773"/>
            </w:pPr>
            <w:r>
              <w:rPr>
                <w:spacing w:val="-3"/>
              </w:rPr>
              <w:t>0.4</w:t>
            </w:r>
          </w:p>
        </w:tc>
        <w:tc>
          <w:tcPr>
            <w:tcW w:w="1559" w:type="dxa"/>
            <w:vAlign w:val="top"/>
          </w:tcPr>
          <w:p>
            <w:pPr>
              <w:pStyle w:val="6"/>
              <w:spacing w:before="83" w:line="186" w:lineRule="auto"/>
              <w:ind w:left="653"/>
            </w:pPr>
            <w:r>
              <w:rPr>
                <w:spacing w:val="-3"/>
              </w:rPr>
              <w:t>0.6</w:t>
            </w:r>
          </w:p>
        </w:tc>
        <w:tc>
          <w:tcPr>
            <w:tcW w:w="1210" w:type="dxa"/>
            <w:tcBorders>
              <w:right w:val="nil"/>
            </w:tcBorders>
            <w:vAlign w:val="top"/>
          </w:tcPr>
          <w:p>
            <w:pPr>
              <w:pStyle w:val="6"/>
              <w:spacing w:before="83" w:line="186" w:lineRule="auto"/>
              <w:ind w:left="478"/>
            </w:pPr>
            <w:r>
              <w:rPr>
                <w:spacing w:val="-3"/>
              </w:rPr>
              <w:t>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636" w:type="dxa"/>
            <w:vMerge w:val="continue"/>
            <w:tcBorders>
              <w:top w:val="nil"/>
              <w:left w:val="nil"/>
            </w:tcBorders>
            <w:vAlign w:val="top"/>
          </w:tcPr>
          <w:p>
            <w:pPr>
              <w:rPr>
                <w:rFonts w:ascii="Arial"/>
                <w:sz w:val="21"/>
              </w:rPr>
            </w:pPr>
          </w:p>
        </w:tc>
        <w:tc>
          <w:tcPr>
            <w:tcW w:w="982" w:type="dxa"/>
            <w:vMerge w:val="continue"/>
            <w:tcBorders>
              <w:top w:val="nil"/>
            </w:tcBorders>
            <w:vAlign w:val="top"/>
          </w:tcPr>
          <w:p>
            <w:pPr>
              <w:rPr>
                <w:rFonts w:ascii="Arial"/>
                <w:sz w:val="21"/>
              </w:rPr>
            </w:pPr>
          </w:p>
        </w:tc>
        <w:tc>
          <w:tcPr>
            <w:tcW w:w="1022" w:type="dxa"/>
            <w:vAlign w:val="top"/>
          </w:tcPr>
          <w:p>
            <w:pPr>
              <w:spacing w:before="45" w:line="201" w:lineRule="auto"/>
              <w:ind w:left="313"/>
              <w:rPr>
                <w:rFonts w:ascii="仿宋" w:hAnsi="仿宋" w:eastAsia="仿宋" w:cs="仿宋"/>
                <w:sz w:val="21"/>
                <w:szCs w:val="21"/>
              </w:rPr>
            </w:pPr>
            <w:r>
              <w:rPr>
                <w:rFonts w:ascii="仿宋" w:hAnsi="仿宋" w:eastAsia="仿宋" w:cs="仿宋"/>
                <w:spacing w:val="-4"/>
                <w:sz w:val="21"/>
                <w:szCs w:val="21"/>
              </w:rPr>
              <w:t>其他</w:t>
            </w:r>
          </w:p>
        </w:tc>
        <w:tc>
          <w:tcPr>
            <w:tcW w:w="1296" w:type="dxa"/>
            <w:vAlign w:val="top"/>
          </w:tcPr>
          <w:p>
            <w:pPr>
              <w:pStyle w:val="6"/>
              <w:spacing w:before="83" w:line="186" w:lineRule="auto"/>
              <w:ind w:left="519"/>
            </w:pPr>
            <w:r>
              <w:rPr>
                <w:spacing w:val="-3"/>
              </w:rPr>
              <w:t>0.3</w:t>
            </w:r>
          </w:p>
        </w:tc>
        <w:tc>
          <w:tcPr>
            <w:tcW w:w="1800" w:type="dxa"/>
            <w:vAlign w:val="top"/>
          </w:tcPr>
          <w:p>
            <w:pPr>
              <w:pStyle w:val="6"/>
              <w:spacing w:before="83" w:line="186" w:lineRule="auto"/>
              <w:ind w:left="773"/>
            </w:pPr>
            <w:r>
              <w:rPr>
                <w:spacing w:val="-3"/>
              </w:rPr>
              <w:t>0.3</w:t>
            </w:r>
          </w:p>
        </w:tc>
        <w:tc>
          <w:tcPr>
            <w:tcW w:w="1559" w:type="dxa"/>
            <w:vAlign w:val="top"/>
          </w:tcPr>
          <w:p>
            <w:pPr>
              <w:pStyle w:val="6"/>
              <w:spacing w:before="83" w:line="186" w:lineRule="auto"/>
              <w:ind w:left="653"/>
            </w:pPr>
            <w:r>
              <w:rPr>
                <w:spacing w:val="-3"/>
              </w:rPr>
              <w:t>0.3</w:t>
            </w:r>
          </w:p>
        </w:tc>
        <w:tc>
          <w:tcPr>
            <w:tcW w:w="1210" w:type="dxa"/>
            <w:tcBorders>
              <w:right w:val="nil"/>
            </w:tcBorders>
            <w:vAlign w:val="top"/>
          </w:tcPr>
          <w:p>
            <w:pPr>
              <w:pStyle w:val="6"/>
              <w:spacing w:before="83" w:line="186" w:lineRule="auto"/>
              <w:ind w:left="478"/>
            </w:pPr>
            <w:r>
              <w:rPr>
                <w:spacing w:val="-3"/>
              </w:rPr>
              <w:t>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636" w:type="dxa"/>
            <w:vMerge w:val="restart"/>
            <w:tcBorders>
              <w:left w:val="nil"/>
              <w:bottom w:val="nil"/>
            </w:tcBorders>
            <w:vAlign w:val="top"/>
          </w:tcPr>
          <w:p>
            <w:pPr>
              <w:pStyle w:val="6"/>
              <w:spacing w:before="229" w:line="186" w:lineRule="auto"/>
              <w:ind w:left="268"/>
            </w:pPr>
            <w:r>
              <w:t>2</w:t>
            </w:r>
          </w:p>
        </w:tc>
        <w:tc>
          <w:tcPr>
            <w:tcW w:w="982" w:type="dxa"/>
            <w:vMerge w:val="restart"/>
            <w:tcBorders>
              <w:bottom w:val="nil"/>
            </w:tcBorders>
            <w:vAlign w:val="top"/>
          </w:tcPr>
          <w:p>
            <w:pPr>
              <w:spacing w:before="189" w:line="220" w:lineRule="auto"/>
              <w:ind w:left="397"/>
              <w:rPr>
                <w:rFonts w:ascii="仿宋" w:hAnsi="仿宋" w:eastAsia="仿宋" w:cs="仿宋"/>
                <w:sz w:val="21"/>
                <w:szCs w:val="21"/>
              </w:rPr>
            </w:pPr>
            <w:r>
              <w:rPr>
                <w:rFonts w:ascii="仿宋" w:hAnsi="仿宋" w:eastAsia="仿宋" w:cs="仿宋"/>
                <w:sz w:val="21"/>
                <w:szCs w:val="21"/>
              </w:rPr>
              <w:t>汞</w:t>
            </w:r>
          </w:p>
        </w:tc>
        <w:tc>
          <w:tcPr>
            <w:tcW w:w="1022" w:type="dxa"/>
            <w:vAlign w:val="top"/>
          </w:tcPr>
          <w:p>
            <w:pPr>
              <w:spacing w:before="46" w:line="201" w:lineRule="auto"/>
              <w:ind w:left="311"/>
              <w:rPr>
                <w:rFonts w:ascii="仿宋" w:hAnsi="仿宋" w:eastAsia="仿宋" w:cs="仿宋"/>
                <w:sz w:val="21"/>
                <w:szCs w:val="21"/>
              </w:rPr>
            </w:pPr>
            <w:r>
              <w:rPr>
                <w:rFonts w:ascii="仿宋" w:hAnsi="仿宋" w:eastAsia="仿宋" w:cs="仿宋"/>
                <w:spacing w:val="-4"/>
                <w:sz w:val="21"/>
                <w:szCs w:val="21"/>
              </w:rPr>
              <w:t>水田</w:t>
            </w:r>
          </w:p>
        </w:tc>
        <w:tc>
          <w:tcPr>
            <w:tcW w:w="1296" w:type="dxa"/>
            <w:vAlign w:val="top"/>
          </w:tcPr>
          <w:p>
            <w:pPr>
              <w:pStyle w:val="6"/>
              <w:spacing w:before="84" w:line="186" w:lineRule="auto"/>
              <w:ind w:left="519"/>
            </w:pPr>
            <w:r>
              <w:rPr>
                <w:spacing w:val="-3"/>
              </w:rPr>
              <w:t>0.5</w:t>
            </w:r>
          </w:p>
        </w:tc>
        <w:tc>
          <w:tcPr>
            <w:tcW w:w="1800" w:type="dxa"/>
            <w:vAlign w:val="top"/>
          </w:tcPr>
          <w:p>
            <w:pPr>
              <w:pStyle w:val="6"/>
              <w:spacing w:before="84" w:line="186" w:lineRule="auto"/>
              <w:ind w:left="773"/>
            </w:pPr>
            <w:r>
              <w:rPr>
                <w:spacing w:val="-3"/>
              </w:rPr>
              <w:t>0.5</w:t>
            </w:r>
          </w:p>
        </w:tc>
        <w:tc>
          <w:tcPr>
            <w:tcW w:w="1559" w:type="dxa"/>
            <w:vAlign w:val="top"/>
          </w:tcPr>
          <w:p>
            <w:pPr>
              <w:pStyle w:val="6"/>
              <w:spacing w:before="84" w:line="186" w:lineRule="auto"/>
              <w:ind w:left="653"/>
            </w:pPr>
            <w:r>
              <w:rPr>
                <w:spacing w:val="-3"/>
              </w:rPr>
              <w:t>0.6</w:t>
            </w:r>
          </w:p>
        </w:tc>
        <w:tc>
          <w:tcPr>
            <w:tcW w:w="1210" w:type="dxa"/>
            <w:tcBorders>
              <w:right w:val="nil"/>
            </w:tcBorders>
            <w:vAlign w:val="top"/>
          </w:tcPr>
          <w:p>
            <w:pPr>
              <w:pStyle w:val="6"/>
              <w:spacing w:before="84" w:line="186" w:lineRule="auto"/>
              <w:ind w:left="495"/>
            </w:pPr>
            <w:r>
              <w:rPr>
                <w:spacing w:val="-8"/>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636" w:type="dxa"/>
            <w:vMerge w:val="continue"/>
            <w:tcBorders>
              <w:top w:val="nil"/>
              <w:left w:val="nil"/>
            </w:tcBorders>
            <w:vAlign w:val="top"/>
          </w:tcPr>
          <w:p>
            <w:pPr>
              <w:rPr>
                <w:rFonts w:ascii="Arial"/>
                <w:sz w:val="21"/>
              </w:rPr>
            </w:pPr>
          </w:p>
        </w:tc>
        <w:tc>
          <w:tcPr>
            <w:tcW w:w="982" w:type="dxa"/>
            <w:vMerge w:val="continue"/>
            <w:tcBorders>
              <w:top w:val="nil"/>
            </w:tcBorders>
            <w:vAlign w:val="top"/>
          </w:tcPr>
          <w:p>
            <w:pPr>
              <w:rPr>
                <w:rFonts w:ascii="Arial"/>
                <w:sz w:val="21"/>
              </w:rPr>
            </w:pPr>
          </w:p>
        </w:tc>
        <w:tc>
          <w:tcPr>
            <w:tcW w:w="1022" w:type="dxa"/>
            <w:vAlign w:val="top"/>
          </w:tcPr>
          <w:p>
            <w:pPr>
              <w:spacing w:before="45" w:line="202" w:lineRule="auto"/>
              <w:ind w:left="313"/>
              <w:rPr>
                <w:rFonts w:ascii="仿宋" w:hAnsi="仿宋" w:eastAsia="仿宋" w:cs="仿宋"/>
                <w:sz w:val="21"/>
                <w:szCs w:val="21"/>
              </w:rPr>
            </w:pPr>
            <w:r>
              <w:rPr>
                <w:rFonts w:ascii="仿宋" w:hAnsi="仿宋" w:eastAsia="仿宋" w:cs="仿宋"/>
                <w:spacing w:val="-4"/>
                <w:sz w:val="21"/>
                <w:szCs w:val="21"/>
              </w:rPr>
              <w:t>其他</w:t>
            </w:r>
          </w:p>
        </w:tc>
        <w:tc>
          <w:tcPr>
            <w:tcW w:w="1296" w:type="dxa"/>
            <w:vAlign w:val="top"/>
          </w:tcPr>
          <w:p>
            <w:pPr>
              <w:pStyle w:val="6"/>
              <w:spacing w:before="84" w:line="186" w:lineRule="auto"/>
              <w:ind w:left="536"/>
            </w:pPr>
            <w:r>
              <w:rPr>
                <w:spacing w:val="-8"/>
              </w:rPr>
              <w:t>1.3</w:t>
            </w:r>
          </w:p>
        </w:tc>
        <w:tc>
          <w:tcPr>
            <w:tcW w:w="1800" w:type="dxa"/>
            <w:vAlign w:val="top"/>
          </w:tcPr>
          <w:p>
            <w:pPr>
              <w:pStyle w:val="6"/>
              <w:spacing w:before="84" w:line="186" w:lineRule="auto"/>
              <w:ind w:left="790"/>
            </w:pPr>
            <w:r>
              <w:rPr>
                <w:spacing w:val="-8"/>
              </w:rPr>
              <w:t>1.8</w:t>
            </w:r>
          </w:p>
        </w:tc>
        <w:tc>
          <w:tcPr>
            <w:tcW w:w="1559" w:type="dxa"/>
            <w:vAlign w:val="top"/>
          </w:tcPr>
          <w:p>
            <w:pPr>
              <w:pStyle w:val="6"/>
              <w:spacing w:before="84" w:line="186" w:lineRule="auto"/>
              <w:ind w:left="650"/>
            </w:pPr>
            <w:r>
              <w:rPr>
                <w:spacing w:val="-2"/>
              </w:rPr>
              <w:t>2.4</w:t>
            </w:r>
          </w:p>
        </w:tc>
        <w:tc>
          <w:tcPr>
            <w:tcW w:w="1210" w:type="dxa"/>
            <w:tcBorders>
              <w:right w:val="nil"/>
            </w:tcBorders>
            <w:vAlign w:val="top"/>
          </w:tcPr>
          <w:p>
            <w:pPr>
              <w:pStyle w:val="6"/>
              <w:spacing w:before="84" w:line="186" w:lineRule="auto"/>
              <w:ind w:left="479"/>
            </w:pPr>
            <w:r>
              <w:rPr>
                <w:spacing w:val="-3"/>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636" w:type="dxa"/>
            <w:vMerge w:val="restart"/>
            <w:tcBorders>
              <w:left w:val="nil"/>
              <w:bottom w:val="nil"/>
            </w:tcBorders>
            <w:vAlign w:val="top"/>
          </w:tcPr>
          <w:p>
            <w:pPr>
              <w:pStyle w:val="6"/>
              <w:spacing w:before="229" w:line="186" w:lineRule="auto"/>
              <w:ind w:left="272"/>
            </w:pPr>
            <w:r>
              <w:t>3</w:t>
            </w:r>
          </w:p>
        </w:tc>
        <w:tc>
          <w:tcPr>
            <w:tcW w:w="982" w:type="dxa"/>
            <w:vMerge w:val="restart"/>
            <w:tcBorders>
              <w:bottom w:val="nil"/>
            </w:tcBorders>
            <w:vAlign w:val="top"/>
          </w:tcPr>
          <w:p>
            <w:pPr>
              <w:spacing w:before="191" w:line="216" w:lineRule="auto"/>
              <w:ind w:left="396"/>
              <w:rPr>
                <w:rFonts w:ascii="仿宋" w:hAnsi="仿宋" w:eastAsia="仿宋" w:cs="仿宋"/>
                <w:sz w:val="21"/>
                <w:szCs w:val="21"/>
              </w:rPr>
            </w:pPr>
            <w:r>
              <w:rPr>
                <w:rFonts w:ascii="仿宋" w:hAnsi="仿宋" w:eastAsia="仿宋" w:cs="仿宋"/>
                <w:sz w:val="21"/>
                <w:szCs w:val="21"/>
              </w:rPr>
              <w:t>砷</w:t>
            </w:r>
          </w:p>
        </w:tc>
        <w:tc>
          <w:tcPr>
            <w:tcW w:w="1022" w:type="dxa"/>
            <w:vAlign w:val="top"/>
          </w:tcPr>
          <w:p>
            <w:pPr>
              <w:spacing w:before="46" w:line="200" w:lineRule="auto"/>
              <w:ind w:left="311"/>
              <w:rPr>
                <w:rFonts w:ascii="仿宋" w:hAnsi="仿宋" w:eastAsia="仿宋" w:cs="仿宋"/>
                <w:sz w:val="21"/>
                <w:szCs w:val="21"/>
              </w:rPr>
            </w:pPr>
            <w:r>
              <w:rPr>
                <w:rFonts w:ascii="仿宋" w:hAnsi="仿宋" w:eastAsia="仿宋" w:cs="仿宋"/>
                <w:spacing w:val="-4"/>
                <w:sz w:val="21"/>
                <w:szCs w:val="21"/>
              </w:rPr>
              <w:t>水田</w:t>
            </w:r>
          </w:p>
        </w:tc>
        <w:tc>
          <w:tcPr>
            <w:tcW w:w="1296" w:type="dxa"/>
            <w:vAlign w:val="top"/>
          </w:tcPr>
          <w:p>
            <w:pPr>
              <w:pStyle w:val="6"/>
              <w:spacing w:before="84" w:line="186" w:lineRule="auto"/>
              <w:ind w:left="547"/>
            </w:pPr>
            <w:r>
              <w:rPr>
                <w:spacing w:val="-3"/>
              </w:rPr>
              <w:t>30</w:t>
            </w:r>
          </w:p>
        </w:tc>
        <w:tc>
          <w:tcPr>
            <w:tcW w:w="1800" w:type="dxa"/>
            <w:vAlign w:val="top"/>
          </w:tcPr>
          <w:p>
            <w:pPr>
              <w:pStyle w:val="6"/>
              <w:spacing w:before="84" w:line="186" w:lineRule="auto"/>
              <w:ind w:left="800"/>
            </w:pPr>
            <w:r>
              <w:rPr>
                <w:spacing w:val="-3"/>
              </w:rPr>
              <w:t>30</w:t>
            </w:r>
          </w:p>
        </w:tc>
        <w:tc>
          <w:tcPr>
            <w:tcW w:w="1559" w:type="dxa"/>
            <w:vAlign w:val="top"/>
          </w:tcPr>
          <w:p>
            <w:pPr>
              <w:pStyle w:val="6"/>
              <w:spacing w:before="84" w:line="186" w:lineRule="auto"/>
              <w:ind w:left="676"/>
            </w:pPr>
            <w:r>
              <w:rPr>
                <w:spacing w:val="-1"/>
              </w:rPr>
              <w:t>25</w:t>
            </w:r>
          </w:p>
        </w:tc>
        <w:tc>
          <w:tcPr>
            <w:tcW w:w="1210" w:type="dxa"/>
            <w:tcBorders>
              <w:right w:val="nil"/>
            </w:tcBorders>
            <w:vAlign w:val="top"/>
          </w:tcPr>
          <w:p>
            <w:pPr>
              <w:pStyle w:val="6"/>
              <w:spacing w:before="84" w:line="186" w:lineRule="auto"/>
              <w:ind w:left="501"/>
            </w:pPr>
            <w:r>
              <w:rPr>
                <w:spacing w:val="-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636" w:type="dxa"/>
            <w:vMerge w:val="continue"/>
            <w:tcBorders>
              <w:top w:val="nil"/>
              <w:left w:val="nil"/>
            </w:tcBorders>
            <w:vAlign w:val="top"/>
          </w:tcPr>
          <w:p>
            <w:pPr>
              <w:rPr>
                <w:rFonts w:ascii="Arial"/>
                <w:sz w:val="21"/>
              </w:rPr>
            </w:pPr>
          </w:p>
        </w:tc>
        <w:tc>
          <w:tcPr>
            <w:tcW w:w="982" w:type="dxa"/>
            <w:vMerge w:val="continue"/>
            <w:tcBorders>
              <w:top w:val="nil"/>
            </w:tcBorders>
            <w:vAlign w:val="top"/>
          </w:tcPr>
          <w:p>
            <w:pPr>
              <w:rPr>
                <w:rFonts w:ascii="Arial"/>
                <w:sz w:val="21"/>
              </w:rPr>
            </w:pPr>
          </w:p>
        </w:tc>
        <w:tc>
          <w:tcPr>
            <w:tcW w:w="1022" w:type="dxa"/>
            <w:vAlign w:val="top"/>
          </w:tcPr>
          <w:p>
            <w:pPr>
              <w:spacing w:before="47" w:line="200" w:lineRule="auto"/>
              <w:ind w:left="313"/>
              <w:rPr>
                <w:rFonts w:ascii="仿宋" w:hAnsi="仿宋" w:eastAsia="仿宋" w:cs="仿宋"/>
                <w:sz w:val="21"/>
                <w:szCs w:val="21"/>
              </w:rPr>
            </w:pPr>
            <w:r>
              <w:rPr>
                <w:rFonts w:ascii="仿宋" w:hAnsi="仿宋" w:eastAsia="仿宋" w:cs="仿宋"/>
                <w:spacing w:val="-4"/>
                <w:sz w:val="21"/>
                <w:szCs w:val="21"/>
              </w:rPr>
              <w:t>其他</w:t>
            </w:r>
          </w:p>
        </w:tc>
        <w:tc>
          <w:tcPr>
            <w:tcW w:w="1296" w:type="dxa"/>
            <w:vAlign w:val="top"/>
          </w:tcPr>
          <w:p>
            <w:pPr>
              <w:pStyle w:val="6"/>
              <w:spacing w:before="85" w:line="186" w:lineRule="auto"/>
              <w:ind w:left="542"/>
            </w:pPr>
            <w:r>
              <w:rPr>
                <w:spacing w:val="-1"/>
              </w:rPr>
              <w:t>40</w:t>
            </w:r>
          </w:p>
        </w:tc>
        <w:tc>
          <w:tcPr>
            <w:tcW w:w="1800" w:type="dxa"/>
            <w:vAlign w:val="top"/>
          </w:tcPr>
          <w:p>
            <w:pPr>
              <w:pStyle w:val="6"/>
              <w:spacing w:before="85" w:line="186" w:lineRule="auto"/>
              <w:ind w:left="795"/>
            </w:pPr>
            <w:r>
              <w:rPr>
                <w:spacing w:val="-1"/>
              </w:rPr>
              <w:t>40</w:t>
            </w:r>
          </w:p>
        </w:tc>
        <w:tc>
          <w:tcPr>
            <w:tcW w:w="1559" w:type="dxa"/>
            <w:vAlign w:val="top"/>
          </w:tcPr>
          <w:p>
            <w:pPr>
              <w:pStyle w:val="6"/>
              <w:spacing w:before="85" w:line="186" w:lineRule="auto"/>
              <w:ind w:left="680"/>
            </w:pPr>
            <w:r>
              <w:rPr>
                <w:spacing w:val="-3"/>
              </w:rPr>
              <w:t>30</w:t>
            </w:r>
          </w:p>
        </w:tc>
        <w:tc>
          <w:tcPr>
            <w:tcW w:w="1210" w:type="dxa"/>
            <w:tcBorders>
              <w:right w:val="nil"/>
            </w:tcBorders>
            <w:vAlign w:val="top"/>
          </w:tcPr>
          <w:p>
            <w:pPr>
              <w:pStyle w:val="6"/>
              <w:spacing w:before="85" w:line="186" w:lineRule="auto"/>
              <w:ind w:left="501"/>
            </w:pPr>
            <w:r>
              <w:rPr>
                <w:spacing w:val="-1"/>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636" w:type="dxa"/>
            <w:vMerge w:val="restart"/>
            <w:tcBorders>
              <w:left w:val="nil"/>
              <w:bottom w:val="nil"/>
            </w:tcBorders>
            <w:vAlign w:val="top"/>
          </w:tcPr>
          <w:p>
            <w:pPr>
              <w:pStyle w:val="6"/>
              <w:spacing w:before="230" w:line="186" w:lineRule="auto"/>
              <w:ind w:left="267"/>
            </w:pPr>
            <w:r>
              <w:t>4</w:t>
            </w:r>
          </w:p>
        </w:tc>
        <w:tc>
          <w:tcPr>
            <w:tcW w:w="982" w:type="dxa"/>
            <w:vMerge w:val="restart"/>
            <w:tcBorders>
              <w:bottom w:val="nil"/>
            </w:tcBorders>
            <w:vAlign w:val="top"/>
          </w:tcPr>
          <w:p>
            <w:pPr>
              <w:spacing w:before="191" w:line="218" w:lineRule="auto"/>
              <w:ind w:left="395"/>
              <w:rPr>
                <w:rFonts w:ascii="仿宋" w:hAnsi="仿宋" w:eastAsia="仿宋" w:cs="仿宋"/>
                <w:sz w:val="21"/>
                <w:szCs w:val="21"/>
              </w:rPr>
            </w:pPr>
            <w:r>
              <w:rPr>
                <w:rFonts w:ascii="仿宋" w:hAnsi="仿宋" w:eastAsia="仿宋" w:cs="仿宋"/>
                <w:sz w:val="21"/>
                <w:szCs w:val="21"/>
              </w:rPr>
              <w:t>铅</w:t>
            </w:r>
          </w:p>
        </w:tc>
        <w:tc>
          <w:tcPr>
            <w:tcW w:w="1022" w:type="dxa"/>
            <w:vAlign w:val="top"/>
          </w:tcPr>
          <w:p>
            <w:pPr>
              <w:spacing w:before="46" w:line="201" w:lineRule="auto"/>
              <w:ind w:left="311"/>
              <w:rPr>
                <w:rFonts w:ascii="仿宋" w:hAnsi="仿宋" w:eastAsia="仿宋" w:cs="仿宋"/>
                <w:sz w:val="21"/>
                <w:szCs w:val="21"/>
              </w:rPr>
            </w:pPr>
            <w:r>
              <w:rPr>
                <w:rFonts w:ascii="仿宋" w:hAnsi="仿宋" w:eastAsia="仿宋" w:cs="仿宋"/>
                <w:spacing w:val="-7"/>
                <w:sz w:val="21"/>
                <w:szCs w:val="21"/>
              </w:rPr>
              <w:t>水田</w:t>
            </w:r>
          </w:p>
        </w:tc>
        <w:tc>
          <w:tcPr>
            <w:tcW w:w="1296" w:type="dxa"/>
            <w:vAlign w:val="top"/>
          </w:tcPr>
          <w:p>
            <w:pPr>
              <w:pStyle w:val="6"/>
              <w:spacing w:before="85" w:line="186" w:lineRule="auto"/>
              <w:ind w:left="551"/>
            </w:pPr>
            <w:r>
              <w:rPr>
                <w:spacing w:val="-4"/>
              </w:rPr>
              <w:t>80</w:t>
            </w:r>
          </w:p>
        </w:tc>
        <w:tc>
          <w:tcPr>
            <w:tcW w:w="1800" w:type="dxa"/>
            <w:vAlign w:val="top"/>
          </w:tcPr>
          <w:p>
            <w:pPr>
              <w:pStyle w:val="6"/>
              <w:spacing w:before="85" w:line="186" w:lineRule="auto"/>
              <w:ind w:left="765"/>
            </w:pPr>
            <w:r>
              <w:rPr>
                <w:spacing w:val="-6"/>
              </w:rPr>
              <w:t>100</w:t>
            </w:r>
          </w:p>
        </w:tc>
        <w:tc>
          <w:tcPr>
            <w:tcW w:w="1559" w:type="dxa"/>
            <w:vAlign w:val="top"/>
          </w:tcPr>
          <w:p>
            <w:pPr>
              <w:pStyle w:val="6"/>
              <w:spacing w:before="85" w:line="186" w:lineRule="auto"/>
              <w:ind w:left="644"/>
            </w:pPr>
            <w:r>
              <w:rPr>
                <w:spacing w:val="-6"/>
              </w:rPr>
              <w:t>140</w:t>
            </w:r>
          </w:p>
        </w:tc>
        <w:tc>
          <w:tcPr>
            <w:tcW w:w="1210" w:type="dxa"/>
            <w:tcBorders>
              <w:right w:val="nil"/>
            </w:tcBorders>
            <w:vAlign w:val="top"/>
          </w:tcPr>
          <w:p>
            <w:pPr>
              <w:pStyle w:val="6"/>
              <w:spacing w:before="85" w:line="186" w:lineRule="auto"/>
              <w:ind w:left="448"/>
            </w:pPr>
            <w:r>
              <w:rPr>
                <w:spacing w:val="-1"/>
              </w:rPr>
              <w:t>240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636" w:type="dxa"/>
            <w:vMerge w:val="continue"/>
            <w:tcBorders>
              <w:top w:val="nil"/>
              <w:left w:val="nil"/>
            </w:tcBorders>
            <w:vAlign w:val="top"/>
          </w:tcPr>
          <w:p>
            <w:pPr>
              <w:rPr>
                <w:rFonts w:ascii="Arial"/>
                <w:sz w:val="21"/>
              </w:rPr>
            </w:pPr>
          </w:p>
        </w:tc>
        <w:tc>
          <w:tcPr>
            <w:tcW w:w="982" w:type="dxa"/>
            <w:vMerge w:val="continue"/>
            <w:tcBorders>
              <w:top w:val="nil"/>
            </w:tcBorders>
            <w:vAlign w:val="top"/>
          </w:tcPr>
          <w:p>
            <w:pPr>
              <w:rPr>
                <w:rFonts w:ascii="Arial"/>
                <w:sz w:val="21"/>
              </w:rPr>
            </w:pPr>
          </w:p>
        </w:tc>
        <w:tc>
          <w:tcPr>
            <w:tcW w:w="1022" w:type="dxa"/>
            <w:vAlign w:val="top"/>
          </w:tcPr>
          <w:p>
            <w:pPr>
              <w:spacing w:before="46" w:line="200" w:lineRule="auto"/>
              <w:ind w:left="313"/>
              <w:rPr>
                <w:rFonts w:ascii="仿宋" w:hAnsi="仿宋" w:eastAsia="仿宋" w:cs="仿宋"/>
                <w:sz w:val="21"/>
                <w:szCs w:val="21"/>
              </w:rPr>
            </w:pPr>
            <w:r>
              <w:rPr>
                <w:rFonts w:ascii="仿宋" w:hAnsi="仿宋" w:eastAsia="仿宋" w:cs="仿宋"/>
                <w:spacing w:val="-4"/>
                <w:sz w:val="21"/>
                <w:szCs w:val="21"/>
              </w:rPr>
              <w:t>其他</w:t>
            </w:r>
          </w:p>
        </w:tc>
        <w:tc>
          <w:tcPr>
            <w:tcW w:w="1296" w:type="dxa"/>
            <w:vAlign w:val="top"/>
          </w:tcPr>
          <w:p>
            <w:pPr>
              <w:pStyle w:val="6"/>
              <w:spacing w:before="85" w:line="186" w:lineRule="auto"/>
              <w:ind w:left="546"/>
            </w:pPr>
            <w:r>
              <w:rPr>
                <w:spacing w:val="-2"/>
              </w:rPr>
              <w:t>70</w:t>
            </w:r>
          </w:p>
        </w:tc>
        <w:tc>
          <w:tcPr>
            <w:tcW w:w="1800" w:type="dxa"/>
            <w:vAlign w:val="top"/>
          </w:tcPr>
          <w:p>
            <w:pPr>
              <w:pStyle w:val="6"/>
              <w:spacing w:before="85" w:line="186" w:lineRule="auto"/>
              <w:ind w:left="800"/>
            </w:pPr>
            <w:r>
              <w:rPr>
                <w:spacing w:val="-2"/>
              </w:rPr>
              <w:t>90</w:t>
            </w:r>
          </w:p>
        </w:tc>
        <w:tc>
          <w:tcPr>
            <w:tcW w:w="1559" w:type="dxa"/>
            <w:vAlign w:val="top"/>
          </w:tcPr>
          <w:p>
            <w:pPr>
              <w:pStyle w:val="6"/>
              <w:spacing w:before="85" w:line="186" w:lineRule="auto"/>
              <w:ind w:left="644"/>
            </w:pPr>
            <w:r>
              <w:rPr>
                <w:spacing w:val="-6"/>
              </w:rPr>
              <w:t>120</w:t>
            </w:r>
          </w:p>
        </w:tc>
        <w:tc>
          <w:tcPr>
            <w:tcW w:w="1210" w:type="dxa"/>
            <w:tcBorders>
              <w:right w:val="nil"/>
            </w:tcBorders>
            <w:vAlign w:val="top"/>
          </w:tcPr>
          <w:p>
            <w:pPr>
              <w:pStyle w:val="6"/>
              <w:spacing w:before="85" w:line="186" w:lineRule="auto"/>
              <w:ind w:left="469"/>
            </w:pPr>
            <w:r>
              <w:rPr>
                <w:spacing w:val="-6"/>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636" w:type="dxa"/>
            <w:vMerge w:val="restart"/>
            <w:tcBorders>
              <w:left w:val="nil"/>
              <w:bottom w:val="nil"/>
            </w:tcBorders>
            <w:vAlign w:val="top"/>
          </w:tcPr>
          <w:p>
            <w:pPr>
              <w:pStyle w:val="6"/>
              <w:spacing w:before="233" w:line="183" w:lineRule="auto"/>
              <w:ind w:left="274"/>
            </w:pPr>
            <w:r>
              <w:t>5</w:t>
            </w:r>
          </w:p>
        </w:tc>
        <w:tc>
          <w:tcPr>
            <w:tcW w:w="982" w:type="dxa"/>
            <w:vMerge w:val="restart"/>
            <w:tcBorders>
              <w:bottom w:val="nil"/>
            </w:tcBorders>
            <w:vAlign w:val="top"/>
          </w:tcPr>
          <w:p>
            <w:pPr>
              <w:spacing w:before="192" w:line="217" w:lineRule="auto"/>
              <w:ind w:left="397"/>
              <w:rPr>
                <w:rFonts w:ascii="仿宋" w:hAnsi="仿宋" w:eastAsia="仿宋" w:cs="仿宋"/>
                <w:sz w:val="21"/>
                <w:szCs w:val="21"/>
              </w:rPr>
            </w:pPr>
            <w:r>
              <w:rPr>
                <w:rFonts w:ascii="仿宋" w:hAnsi="仿宋" w:eastAsia="仿宋" w:cs="仿宋"/>
                <w:sz w:val="21"/>
                <w:szCs w:val="21"/>
              </w:rPr>
              <w:t>铬</w:t>
            </w:r>
          </w:p>
        </w:tc>
        <w:tc>
          <w:tcPr>
            <w:tcW w:w="1022" w:type="dxa"/>
            <w:vAlign w:val="top"/>
          </w:tcPr>
          <w:p>
            <w:pPr>
              <w:spacing w:before="48" w:line="199" w:lineRule="auto"/>
              <w:ind w:left="311"/>
              <w:rPr>
                <w:rFonts w:ascii="仿宋" w:hAnsi="仿宋" w:eastAsia="仿宋" w:cs="仿宋"/>
                <w:sz w:val="21"/>
                <w:szCs w:val="21"/>
              </w:rPr>
            </w:pPr>
            <w:r>
              <w:rPr>
                <w:rFonts w:ascii="仿宋" w:hAnsi="仿宋" w:eastAsia="仿宋" w:cs="仿宋"/>
                <w:spacing w:val="-4"/>
                <w:sz w:val="21"/>
                <w:szCs w:val="21"/>
              </w:rPr>
              <w:t>水田</w:t>
            </w:r>
          </w:p>
        </w:tc>
        <w:tc>
          <w:tcPr>
            <w:tcW w:w="1296" w:type="dxa"/>
            <w:vAlign w:val="top"/>
          </w:tcPr>
          <w:p>
            <w:pPr>
              <w:pStyle w:val="6"/>
              <w:spacing w:before="86" w:line="186" w:lineRule="auto"/>
              <w:ind w:left="491"/>
            </w:pPr>
            <w:r>
              <w:rPr>
                <w:spacing w:val="-1"/>
              </w:rPr>
              <w:t>250</w:t>
            </w:r>
          </w:p>
        </w:tc>
        <w:tc>
          <w:tcPr>
            <w:tcW w:w="1800" w:type="dxa"/>
            <w:vAlign w:val="top"/>
          </w:tcPr>
          <w:p>
            <w:pPr>
              <w:pStyle w:val="6"/>
              <w:spacing w:before="86" w:line="186" w:lineRule="auto"/>
              <w:ind w:left="745"/>
            </w:pPr>
            <w:r>
              <w:rPr>
                <w:spacing w:val="-1"/>
              </w:rPr>
              <w:t>250</w:t>
            </w:r>
          </w:p>
        </w:tc>
        <w:tc>
          <w:tcPr>
            <w:tcW w:w="1559" w:type="dxa"/>
            <w:vAlign w:val="top"/>
          </w:tcPr>
          <w:p>
            <w:pPr>
              <w:pStyle w:val="6"/>
              <w:spacing w:before="86" w:line="186" w:lineRule="auto"/>
              <w:ind w:left="628"/>
            </w:pPr>
            <w:r>
              <w:rPr>
                <w:spacing w:val="-2"/>
              </w:rPr>
              <w:t>300</w:t>
            </w:r>
          </w:p>
        </w:tc>
        <w:tc>
          <w:tcPr>
            <w:tcW w:w="1210" w:type="dxa"/>
            <w:tcBorders>
              <w:right w:val="nil"/>
            </w:tcBorders>
            <w:vAlign w:val="top"/>
          </w:tcPr>
          <w:p>
            <w:pPr>
              <w:pStyle w:val="6"/>
              <w:spacing w:before="86" w:line="186" w:lineRule="auto"/>
              <w:ind w:left="453"/>
            </w:pPr>
            <w:r>
              <w:rPr>
                <w:spacing w:val="-2"/>
              </w:rPr>
              <w:t>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636" w:type="dxa"/>
            <w:vMerge w:val="continue"/>
            <w:tcBorders>
              <w:top w:val="nil"/>
              <w:left w:val="nil"/>
            </w:tcBorders>
            <w:vAlign w:val="top"/>
          </w:tcPr>
          <w:p>
            <w:pPr>
              <w:rPr>
                <w:rFonts w:ascii="Arial"/>
                <w:sz w:val="21"/>
              </w:rPr>
            </w:pPr>
          </w:p>
        </w:tc>
        <w:tc>
          <w:tcPr>
            <w:tcW w:w="982" w:type="dxa"/>
            <w:vMerge w:val="continue"/>
            <w:tcBorders>
              <w:top w:val="nil"/>
            </w:tcBorders>
            <w:vAlign w:val="top"/>
          </w:tcPr>
          <w:p>
            <w:pPr>
              <w:rPr>
                <w:rFonts w:ascii="Arial"/>
                <w:sz w:val="21"/>
              </w:rPr>
            </w:pPr>
          </w:p>
        </w:tc>
        <w:tc>
          <w:tcPr>
            <w:tcW w:w="1022" w:type="dxa"/>
            <w:vAlign w:val="top"/>
          </w:tcPr>
          <w:p>
            <w:pPr>
              <w:spacing w:before="47" w:line="200" w:lineRule="auto"/>
              <w:ind w:left="313"/>
              <w:rPr>
                <w:rFonts w:ascii="仿宋" w:hAnsi="仿宋" w:eastAsia="仿宋" w:cs="仿宋"/>
                <w:sz w:val="21"/>
                <w:szCs w:val="21"/>
              </w:rPr>
            </w:pPr>
            <w:r>
              <w:rPr>
                <w:rFonts w:ascii="仿宋" w:hAnsi="仿宋" w:eastAsia="仿宋" w:cs="仿宋"/>
                <w:spacing w:val="-4"/>
                <w:sz w:val="21"/>
                <w:szCs w:val="21"/>
              </w:rPr>
              <w:t>其他</w:t>
            </w:r>
          </w:p>
        </w:tc>
        <w:tc>
          <w:tcPr>
            <w:tcW w:w="1296" w:type="dxa"/>
            <w:vAlign w:val="top"/>
          </w:tcPr>
          <w:p>
            <w:pPr>
              <w:pStyle w:val="6"/>
              <w:spacing w:before="86" w:line="186" w:lineRule="auto"/>
              <w:ind w:left="511"/>
            </w:pPr>
            <w:r>
              <w:rPr>
                <w:spacing w:val="-6"/>
              </w:rPr>
              <w:t>150</w:t>
            </w:r>
          </w:p>
        </w:tc>
        <w:tc>
          <w:tcPr>
            <w:tcW w:w="1800" w:type="dxa"/>
            <w:vAlign w:val="top"/>
          </w:tcPr>
          <w:p>
            <w:pPr>
              <w:pStyle w:val="6"/>
              <w:spacing w:before="86" w:line="186" w:lineRule="auto"/>
              <w:ind w:left="765"/>
            </w:pPr>
            <w:r>
              <w:rPr>
                <w:spacing w:val="-6"/>
              </w:rPr>
              <w:t>150</w:t>
            </w:r>
          </w:p>
        </w:tc>
        <w:tc>
          <w:tcPr>
            <w:tcW w:w="1559" w:type="dxa"/>
            <w:vAlign w:val="top"/>
          </w:tcPr>
          <w:p>
            <w:pPr>
              <w:pStyle w:val="6"/>
              <w:spacing w:before="86" w:line="186" w:lineRule="auto"/>
              <w:ind w:left="623"/>
            </w:pPr>
            <w:r>
              <w:rPr>
                <w:spacing w:val="-1"/>
              </w:rPr>
              <w:t>200</w:t>
            </w:r>
          </w:p>
        </w:tc>
        <w:tc>
          <w:tcPr>
            <w:tcW w:w="1210" w:type="dxa"/>
            <w:tcBorders>
              <w:right w:val="nil"/>
            </w:tcBorders>
            <w:vAlign w:val="top"/>
          </w:tcPr>
          <w:p>
            <w:pPr>
              <w:pStyle w:val="6"/>
              <w:spacing w:before="86" w:line="186" w:lineRule="auto"/>
              <w:ind w:left="448"/>
            </w:pPr>
            <w:r>
              <w:rPr>
                <w:spacing w:val="-1"/>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636" w:type="dxa"/>
            <w:vMerge w:val="restart"/>
            <w:tcBorders>
              <w:left w:val="nil"/>
              <w:bottom w:val="nil"/>
            </w:tcBorders>
            <w:vAlign w:val="top"/>
          </w:tcPr>
          <w:p>
            <w:pPr>
              <w:pStyle w:val="6"/>
              <w:spacing w:before="231" w:line="186" w:lineRule="auto"/>
              <w:ind w:left="273"/>
            </w:pPr>
            <w:r>
              <w:t>6</w:t>
            </w:r>
          </w:p>
        </w:tc>
        <w:tc>
          <w:tcPr>
            <w:tcW w:w="982" w:type="dxa"/>
            <w:vMerge w:val="restart"/>
            <w:tcBorders>
              <w:bottom w:val="nil"/>
            </w:tcBorders>
            <w:vAlign w:val="top"/>
          </w:tcPr>
          <w:p>
            <w:pPr>
              <w:spacing w:before="192" w:line="219" w:lineRule="auto"/>
              <w:ind w:left="398"/>
              <w:rPr>
                <w:rFonts w:ascii="仿宋" w:hAnsi="仿宋" w:eastAsia="仿宋" w:cs="仿宋"/>
                <w:sz w:val="21"/>
                <w:szCs w:val="21"/>
              </w:rPr>
            </w:pPr>
            <w:r>
              <w:rPr>
                <w:rFonts w:ascii="仿宋" w:hAnsi="仿宋" w:eastAsia="仿宋" w:cs="仿宋"/>
                <w:sz w:val="21"/>
                <w:szCs w:val="21"/>
              </w:rPr>
              <w:t>铜</w:t>
            </w:r>
          </w:p>
        </w:tc>
        <w:tc>
          <w:tcPr>
            <w:tcW w:w="1022" w:type="dxa"/>
            <w:vAlign w:val="top"/>
          </w:tcPr>
          <w:p>
            <w:pPr>
              <w:spacing w:before="47" w:line="199" w:lineRule="auto"/>
              <w:ind w:left="313"/>
              <w:rPr>
                <w:rFonts w:ascii="仿宋" w:hAnsi="仿宋" w:eastAsia="仿宋" w:cs="仿宋"/>
                <w:sz w:val="21"/>
                <w:szCs w:val="21"/>
              </w:rPr>
            </w:pPr>
            <w:r>
              <w:rPr>
                <w:rFonts w:ascii="仿宋" w:hAnsi="仿宋" w:eastAsia="仿宋" w:cs="仿宋"/>
                <w:spacing w:val="-4"/>
                <w:sz w:val="21"/>
                <w:szCs w:val="21"/>
              </w:rPr>
              <w:t>果园</w:t>
            </w:r>
          </w:p>
        </w:tc>
        <w:tc>
          <w:tcPr>
            <w:tcW w:w="1296" w:type="dxa"/>
            <w:vAlign w:val="top"/>
          </w:tcPr>
          <w:p>
            <w:pPr>
              <w:pStyle w:val="6"/>
              <w:spacing w:before="86" w:line="186" w:lineRule="auto"/>
              <w:ind w:left="511"/>
            </w:pPr>
            <w:r>
              <w:rPr>
                <w:spacing w:val="-6"/>
              </w:rPr>
              <w:t>150</w:t>
            </w:r>
          </w:p>
        </w:tc>
        <w:tc>
          <w:tcPr>
            <w:tcW w:w="1800" w:type="dxa"/>
            <w:vAlign w:val="top"/>
          </w:tcPr>
          <w:p>
            <w:pPr>
              <w:pStyle w:val="6"/>
              <w:spacing w:before="86" w:line="186" w:lineRule="auto"/>
              <w:ind w:left="765"/>
            </w:pPr>
            <w:r>
              <w:rPr>
                <w:spacing w:val="-6"/>
              </w:rPr>
              <w:t>150</w:t>
            </w:r>
          </w:p>
        </w:tc>
        <w:tc>
          <w:tcPr>
            <w:tcW w:w="1559" w:type="dxa"/>
            <w:vAlign w:val="top"/>
          </w:tcPr>
          <w:p>
            <w:pPr>
              <w:pStyle w:val="6"/>
              <w:spacing w:before="86" w:line="186" w:lineRule="auto"/>
              <w:ind w:left="623"/>
            </w:pPr>
            <w:r>
              <w:rPr>
                <w:spacing w:val="-1"/>
              </w:rPr>
              <w:t>200</w:t>
            </w:r>
          </w:p>
        </w:tc>
        <w:tc>
          <w:tcPr>
            <w:tcW w:w="1210" w:type="dxa"/>
            <w:tcBorders>
              <w:right w:val="nil"/>
            </w:tcBorders>
            <w:vAlign w:val="top"/>
          </w:tcPr>
          <w:p>
            <w:pPr>
              <w:pStyle w:val="6"/>
              <w:spacing w:before="86" w:line="186" w:lineRule="auto"/>
              <w:ind w:left="448"/>
            </w:pPr>
            <w:r>
              <w:rPr>
                <w:spacing w:val="-1"/>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636" w:type="dxa"/>
            <w:vMerge w:val="continue"/>
            <w:tcBorders>
              <w:top w:val="nil"/>
              <w:left w:val="nil"/>
            </w:tcBorders>
            <w:vAlign w:val="top"/>
          </w:tcPr>
          <w:p>
            <w:pPr>
              <w:rPr>
                <w:rFonts w:ascii="Arial"/>
                <w:sz w:val="21"/>
              </w:rPr>
            </w:pPr>
          </w:p>
        </w:tc>
        <w:tc>
          <w:tcPr>
            <w:tcW w:w="982" w:type="dxa"/>
            <w:vMerge w:val="continue"/>
            <w:tcBorders>
              <w:top w:val="nil"/>
            </w:tcBorders>
            <w:vAlign w:val="top"/>
          </w:tcPr>
          <w:p>
            <w:pPr>
              <w:rPr>
                <w:rFonts w:ascii="Arial"/>
                <w:sz w:val="21"/>
              </w:rPr>
            </w:pPr>
          </w:p>
        </w:tc>
        <w:tc>
          <w:tcPr>
            <w:tcW w:w="1022" w:type="dxa"/>
            <w:vAlign w:val="top"/>
          </w:tcPr>
          <w:p>
            <w:pPr>
              <w:spacing w:before="49" w:line="198" w:lineRule="auto"/>
              <w:ind w:left="313"/>
              <w:rPr>
                <w:rFonts w:ascii="仿宋" w:hAnsi="仿宋" w:eastAsia="仿宋" w:cs="仿宋"/>
                <w:sz w:val="21"/>
                <w:szCs w:val="21"/>
              </w:rPr>
            </w:pPr>
            <w:r>
              <w:rPr>
                <w:rFonts w:ascii="仿宋" w:hAnsi="仿宋" w:eastAsia="仿宋" w:cs="仿宋"/>
                <w:spacing w:val="-4"/>
                <w:sz w:val="21"/>
                <w:szCs w:val="21"/>
              </w:rPr>
              <w:t>其他</w:t>
            </w:r>
          </w:p>
        </w:tc>
        <w:tc>
          <w:tcPr>
            <w:tcW w:w="1296" w:type="dxa"/>
            <w:vAlign w:val="top"/>
          </w:tcPr>
          <w:p>
            <w:pPr>
              <w:pStyle w:val="6"/>
              <w:spacing w:before="87" w:line="186" w:lineRule="auto"/>
              <w:ind w:left="549"/>
            </w:pPr>
            <w:r>
              <w:rPr>
                <w:spacing w:val="-3"/>
              </w:rPr>
              <w:t>50</w:t>
            </w:r>
          </w:p>
        </w:tc>
        <w:tc>
          <w:tcPr>
            <w:tcW w:w="1800" w:type="dxa"/>
            <w:vAlign w:val="top"/>
          </w:tcPr>
          <w:p>
            <w:pPr>
              <w:pStyle w:val="6"/>
              <w:spacing w:before="87" w:line="186" w:lineRule="auto"/>
              <w:ind w:left="802"/>
            </w:pPr>
            <w:r>
              <w:rPr>
                <w:spacing w:val="-3"/>
              </w:rPr>
              <w:t>50</w:t>
            </w:r>
          </w:p>
        </w:tc>
        <w:tc>
          <w:tcPr>
            <w:tcW w:w="1559" w:type="dxa"/>
            <w:vAlign w:val="top"/>
          </w:tcPr>
          <w:p>
            <w:pPr>
              <w:pStyle w:val="6"/>
              <w:spacing w:before="87" w:line="186" w:lineRule="auto"/>
              <w:ind w:left="644"/>
            </w:pPr>
            <w:r>
              <w:rPr>
                <w:spacing w:val="-6"/>
              </w:rPr>
              <w:t>100</w:t>
            </w:r>
          </w:p>
        </w:tc>
        <w:tc>
          <w:tcPr>
            <w:tcW w:w="1210" w:type="dxa"/>
            <w:tcBorders>
              <w:right w:val="nil"/>
            </w:tcBorders>
            <w:vAlign w:val="top"/>
          </w:tcPr>
          <w:p>
            <w:pPr>
              <w:pStyle w:val="6"/>
              <w:spacing w:before="87" w:line="186" w:lineRule="auto"/>
              <w:ind w:left="469"/>
            </w:pPr>
            <w:r>
              <w:rPr>
                <w:spacing w:val="-6"/>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636" w:type="dxa"/>
            <w:tcBorders>
              <w:left w:val="nil"/>
            </w:tcBorders>
            <w:vAlign w:val="top"/>
          </w:tcPr>
          <w:p>
            <w:pPr>
              <w:pStyle w:val="6"/>
              <w:spacing w:before="90" w:line="183" w:lineRule="auto"/>
              <w:ind w:left="271"/>
            </w:pPr>
            <w:r>
              <w:t>7</w:t>
            </w:r>
          </w:p>
        </w:tc>
        <w:tc>
          <w:tcPr>
            <w:tcW w:w="2004" w:type="dxa"/>
            <w:gridSpan w:val="2"/>
            <w:vAlign w:val="top"/>
          </w:tcPr>
          <w:p>
            <w:pPr>
              <w:spacing w:before="48" w:line="199" w:lineRule="auto"/>
              <w:ind w:left="909"/>
              <w:rPr>
                <w:rFonts w:ascii="仿宋" w:hAnsi="仿宋" w:eastAsia="仿宋" w:cs="仿宋"/>
                <w:sz w:val="21"/>
                <w:szCs w:val="21"/>
              </w:rPr>
            </w:pPr>
            <w:r>
              <w:rPr>
                <w:rFonts w:ascii="仿宋" w:hAnsi="仿宋" w:eastAsia="仿宋" w:cs="仿宋"/>
                <w:sz w:val="21"/>
                <w:szCs w:val="21"/>
              </w:rPr>
              <w:t>镍</w:t>
            </w:r>
          </w:p>
        </w:tc>
        <w:tc>
          <w:tcPr>
            <w:tcW w:w="1296" w:type="dxa"/>
            <w:vAlign w:val="top"/>
          </w:tcPr>
          <w:p>
            <w:pPr>
              <w:pStyle w:val="6"/>
              <w:spacing w:before="87" w:line="186" w:lineRule="auto"/>
              <w:ind w:left="548"/>
            </w:pPr>
            <w:r>
              <w:rPr>
                <w:spacing w:val="-3"/>
              </w:rPr>
              <w:t>60</w:t>
            </w:r>
          </w:p>
        </w:tc>
        <w:tc>
          <w:tcPr>
            <w:tcW w:w="1800" w:type="dxa"/>
            <w:vAlign w:val="top"/>
          </w:tcPr>
          <w:p>
            <w:pPr>
              <w:pStyle w:val="6"/>
              <w:spacing w:before="87" w:line="186" w:lineRule="auto"/>
              <w:ind w:left="800"/>
            </w:pPr>
            <w:r>
              <w:rPr>
                <w:spacing w:val="-2"/>
              </w:rPr>
              <w:t>70</w:t>
            </w:r>
          </w:p>
        </w:tc>
        <w:tc>
          <w:tcPr>
            <w:tcW w:w="1559" w:type="dxa"/>
            <w:vAlign w:val="top"/>
          </w:tcPr>
          <w:p>
            <w:pPr>
              <w:pStyle w:val="6"/>
              <w:spacing w:before="87" w:line="186" w:lineRule="auto"/>
              <w:ind w:left="644"/>
            </w:pPr>
            <w:r>
              <w:rPr>
                <w:spacing w:val="-6"/>
              </w:rPr>
              <w:t>100</w:t>
            </w:r>
          </w:p>
        </w:tc>
        <w:tc>
          <w:tcPr>
            <w:tcW w:w="1210" w:type="dxa"/>
            <w:tcBorders>
              <w:right w:val="nil"/>
            </w:tcBorders>
            <w:vAlign w:val="top"/>
          </w:tcPr>
          <w:p>
            <w:pPr>
              <w:pStyle w:val="6"/>
              <w:spacing w:before="87" w:line="186" w:lineRule="auto"/>
              <w:ind w:left="469"/>
            </w:pPr>
            <w:r>
              <w:rPr>
                <w:spacing w:val="-6"/>
              </w:rPr>
              <w:t>190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9" w:hRule="atLeast"/>
        </w:trPr>
        <w:tc>
          <w:tcPr>
            <w:tcW w:w="636" w:type="dxa"/>
            <w:tcBorders>
              <w:left w:val="nil"/>
            </w:tcBorders>
            <w:vAlign w:val="top"/>
          </w:tcPr>
          <w:p>
            <w:pPr>
              <w:pStyle w:val="6"/>
              <w:spacing w:before="87" w:line="186" w:lineRule="auto"/>
              <w:ind w:left="276"/>
            </w:pPr>
            <w:r>
              <w:t>8</w:t>
            </w:r>
          </w:p>
        </w:tc>
        <w:tc>
          <w:tcPr>
            <w:tcW w:w="2004" w:type="dxa"/>
            <w:gridSpan w:val="2"/>
            <w:vAlign w:val="top"/>
          </w:tcPr>
          <w:p>
            <w:pPr>
              <w:spacing w:before="49" w:line="202" w:lineRule="auto"/>
              <w:ind w:left="907"/>
              <w:rPr>
                <w:rFonts w:ascii="仿宋" w:hAnsi="仿宋" w:eastAsia="仿宋" w:cs="仿宋"/>
                <w:sz w:val="21"/>
                <w:szCs w:val="21"/>
              </w:rPr>
            </w:pPr>
            <w:r>
              <w:rPr>
                <w:rFonts w:ascii="仿宋" w:hAnsi="仿宋" w:eastAsia="仿宋" w:cs="仿宋"/>
                <w:sz w:val="21"/>
                <w:szCs w:val="21"/>
              </w:rPr>
              <w:t>锌</w:t>
            </w:r>
          </w:p>
        </w:tc>
        <w:tc>
          <w:tcPr>
            <w:tcW w:w="1296" w:type="dxa"/>
            <w:vAlign w:val="top"/>
          </w:tcPr>
          <w:p>
            <w:pPr>
              <w:pStyle w:val="6"/>
              <w:spacing w:before="87" w:line="186" w:lineRule="auto"/>
              <w:ind w:left="491"/>
            </w:pPr>
            <w:r>
              <w:rPr>
                <w:spacing w:val="-1"/>
              </w:rPr>
              <w:t>200</w:t>
            </w:r>
          </w:p>
        </w:tc>
        <w:tc>
          <w:tcPr>
            <w:tcW w:w="1800" w:type="dxa"/>
            <w:vAlign w:val="top"/>
          </w:tcPr>
          <w:p>
            <w:pPr>
              <w:pStyle w:val="6"/>
              <w:spacing w:before="87" w:line="186" w:lineRule="auto"/>
              <w:ind w:left="745"/>
            </w:pPr>
            <w:r>
              <w:rPr>
                <w:spacing w:val="-1"/>
              </w:rPr>
              <w:t>200</w:t>
            </w:r>
          </w:p>
        </w:tc>
        <w:tc>
          <w:tcPr>
            <w:tcW w:w="1559" w:type="dxa"/>
            <w:vAlign w:val="top"/>
          </w:tcPr>
          <w:p>
            <w:pPr>
              <w:pStyle w:val="6"/>
              <w:spacing w:before="87" w:line="186" w:lineRule="auto"/>
              <w:ind w:left="623"/>
            </w:pPr>
            <w:r>
              <w:rPr>
                <w:spacing w:val="-1"/>
              </w:rPr>
              <w:t>250</w:t>
            </w:r>
          </w:p>
        </w:tc>
        <w:tc>
          <w:tcPr>
            <w:tcW w:w="1210" w:type="dxa"/>
            <w:tcBorders>
              <w:right w:val="nil"/>
            </w:tcBorders>
            <w:vAlign w:val="top"/>
          </w:tcPr>
          <w:p>
            <w:pPr>
              <w:pStyle w:val="6"/>
              <w:spacing w:before="87" w:line="186" w:lineRule="auto"/>
              <w:ind w:left="453"/>
            </w:pPr>
            <w:r>
              <w:rPr>
                <w:spacing w:val="-2"/>
              </w:rPr>
              <w:t>300</w:t>
            </w:r>
          </w:p>
        </w:tc>
      </w:tr>
    </w:tbl>
    <w:p>
      <w:pPr>
        <w:tabs>
          <w:tab w:val="left" w:pos="140"/>
        </w:tabs>
        <w:spacing w:before="46" w:line="215" w:lineRule="auto"/>
        <w:rPr>
          <w:rFonts w:ascii="仿宋" w:hAnsi="仿宋" w:eastAsia="仿宋" w:cs="仿宋"/>
          <w:sz w:val="21"/>
          <w:szCs w:val="21"/>
        </w:rPr>
      </w:pPr>
      <w:r>
        <w:rPr>
          <w:rFonts w:ascii="仿宋" w:hAnsi="仿宋" w:eastAsia="仿宋" w:cs="仿宋"/>
          <w:sz w:val="21"/>
          <w:szCs w:val="21"/>
          <w:u w:val="single" w:color="auto"/>
        </w:rPr>
        <w:tab/>
      </w:r>
      <w:r>
        <w:rPr>
          <w:rFonts w:ascii="仿宋" w:hAnsi="仿宋" w:eastAsia="仿宋" w:cs="仿宋"/>
          <w:spacing w:val="-14"/>
          <w:sz w:val="21"/>
          <w:szCs w:val="21"/>
          <w:u w:val="single" w:color="auto"/>
        </w:rPr>
        <w:t>注： 重金属和类金属砷均按元素总量计；</w:t>
      </w:r>
      <w:r>
        <w:rPr>
          <w:rFonts w:ascii="仿宋" w:hAnsi="仿宋" w:eastAsia="仿宋" w:cs="仿宋"/>
          <w:spacing w:val="59"/>
          <w:sz w:val="21"/>
          <w:szCs w:val="21"/>
          <w:u w:val="single" w:color="auto"/>
        </w:rPr>
        <w:t xml:space="preserve"> </w:t>
      </w:r>
      <w:r>
        <w:rPr>
          <w:rFonts w:ascii="仿宋" w:hAnsi="仿宋" w:eastAsia="仿宋" w:cs="仿宋"/>
          <w:spacing w:val="-14"/>
          <w:sz w:val="21"/>
          <w:szCs w:val="21"/>
          <w:u w:val="single" w:color="auto"/>
        </w:rPr>
        <w:t>对于水旱轮</w:t>
      </w:r>
      <w:r>
        <w:rPr>
          <w:rFonts w:ascii="仿宋" w:hAnsi="仿宋" w:eastAsia="仿宋" w:cs="仿宋"/>
          <w:spacing w:val="-15"/>
          <w:sz w:val="21"/>
          <w:szCs w:val="21"/>
          <w:u w:val="single" w:color="auto"/>
        </w:rPr>
        <w:t>作地，</w:t>
      </w:r>
      <w:r>
        <w:rPr>
          <w:rFonts w:ascii="仿宋" w:hAnsi="仿宋" w:eastAsia="仿宋" w:cs="仿宋"/>
          <w:spacing w:val="57"/>
          <w:sz w:val="21"/>
          <w:szCs w:val="21"/>
          <w:u w:val="single" w:color="auto"/>
        </w:rPr>
        <w:t xml:space="preserve"> </w:t>
      </w:r>
      <w:r>
        <w:rPr>
          <w:rFonts w:ascii="仿宋" w:hAnsi="仿宋" w:eastAsia="仿宋" w:cs="仿宋"/>
          <w:spacing w:val="-15"/>
          <w:sz w:val="21"/>
          <w:szCs w:val="21"/>
          <w:u w:val="single" w:color="auto"/>
        </w:rPr>
        <w:t>采用其中较严格的风险筛选值。</w:t>
      </w:r>
      <w:r>
        <w:rPr>
          <w:rFonts w:ascii="仿宋" w:hAnsi="仿宋" w:eastAsia="仿宋" w:cs="仿宋"/>
          <w:sz w:val="21"/>
          <w:szCs w:val="21"/>
          <w:u w:val="single" w:color="auto"/>
        </w:rPr>
        <w:t xml:space="preserve">  </w:t>
      </w:r>
    </w:p>
    <w:p>
      <w:pPr>
        <w:spacing w:line="308" w:lineRule="auto"/>
        <w:rPr>
          <w:rFonts w:ascii="Arial"/>
          <w:sz w:val="21"/>
        </w:rPr>
      </w:pPr>
    </w:p>
    <w:p>
      <w:pPr>
        <w:pStyle w:val="2"/>
        <w:spacing w:before="78" w:line="233" w:lineRule="auto"/>
        <w:ind w:left="128"/>
        <w:outlineLvl w:val="1"/>
        <w:rPr>
          <w:sz w:val="24"/>
          <w:szCs w:val="24"/>
        </w:rPr>
      </w:pPr>
      <w:r>
        <w:rPr>
          <w:rFonts w:ascii="Times New Roman" w:hAnsi="Times New Roman" w:eastAsia="Times New Roman" w:cs="Times New Roman"/>
          <w:b/>
          <w:bCs/>
          <w:spacing w:val="-2"/>
          <w:sz w:val="24"/>
          <w:szCs w:val="24"/>
        </w:rPr>
        <w:t xml:space="preserve">1.5.2 </w:t>
      </w:r>
      <w:r>
        <w:rPr>
          <w:spacing w:val="-2"/>
          <w:sz w:val="24"/>
          <w:szCs w:val="24"/>
          <w14:textOutline w14:w="4354" w14:cap="flat" w14:cmpd="sng">
            <w14:solidFill>
              <w14:srgbClr w14:val="000000"/>
            </w14:solidFill>
            <w14:prstDash w14:val="solid"/>
            <w14:miter w14:val="0"/>
          </w14:textOutline>
        </w:rPr>
        <w:t>排放标准</w:t>
      </w:r>
    </w:p>
    <w:p>
      <w:pPr>
        <w:spacing w:before="198" w:line="220" w:lineRule="auto"/>
        <w:ind w:left="608"/>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）废气</w:t>
      </w:r>
    </w:p>
    <w:p>
      <w:pPr>
        <w:spacing w:line="220" w:lineRule="auto"/>
        <w:rPr>
          <w:rFonts w:ascii="宋体" w:hAnsi="宋体" w:eastAsia="宋体" w:cs="宋体"/>
          <w:sz w:val="24"/>
          <w:szCs w:val="24"/>
        </w:rPr>
        <w:sectPr>
          <w:headerReference r:id="rId35" w:type="default"/>
          <w:footerReference r:id="rId36" w:type="default"/>
          <w:pgSz w:w="11907" w:h="16839"/>
          <w:pgMar w:top="1156" w:right="1699" w:bottom="1153" w:left="1687" w:header="881" w:footer="991" w:gutter="0"/>
        </w:sectPr>
      </w:pPr>
    </w:p>
    <w:p>
      <w:pPr>
        <w:spacing w:line="317" w:lineRule="auto"/>
        <w:rPr>
          <w:rFonts w:ascii="Arial"/>
          <w:sz w:val="21"/>
        </w:rPr>
      </w:pPr>
    </w:p>
    <w:p>
      <w:pPr>
        <w:spacing w:before="78" w:line="468" w:lineRule="exact"/>
        <w:ind w:left="518"/>
        <w:rPr>
          <w:rFonts w:ascii="Times New Roman" w:hAnsi="Times New Roman" w:eastAsia="Times New Roman" w:cs="Times New Roman"/>
          <w:sz w:val="24"/>
          <w:szCs w:val="24"/>
        </w:rPr>
      </w:pPr>
      <w:r>
        <w:rPr>
          <w:rFonts w:ascii="宋体" w:hAnsi="宋体" w:eastAsia="宋体" w:cs="宋体"/>
          <w:spacing w:val="-4"/>
          <w:position w:val="17"/>
          <w:sz w:val="24"/>
          <w:szCs w:val="24"/>
        </w:rPr>
        <w:t>施工期无组织粉尘执行《大气污染物综合排放</w:t>
      </w:r>
      <w:r>
        <w:rPr>
          <w:rFonts w:ascii="宋体" w:hAnsi="宋体" w:eastAsia="宋体" w:cs="宋体"/>
          <w:spacing w:val="-5"/>
          <w:position w:val="17"/>
          <w:sz w:val="24"/>
          <w:szCs w:val="24"/>
        </w:rPr>
        <w:t>标准》（</w:t>
      </w:r>
      <w:r>
        <w:rPr>
          <w:rFonts w:ascii="Times New Roman" w:hAnsi="Times New Roman" w:eastAsia="Times New Roman" w:cs="Times New Roman"/>
          <w:spacing w:val="-5"/>
          <w:position w:val="17"/>
          <w:sz w:val="24"/>
          <w:szCs w:val="24"/>
        </w:rPr>
        <w:t>GB16297-</w:t>
      </w:r>
      <w:r>
        <w:rPr>
          <w:rFonts w:ascii="Times New Roman" w:hAnsi="Times New Roman" w:eastAsia="Times New Roman" w:cs="Times New Roman"/>
          <w:spacing w:val="-31"/>
          <w:position w:val="17"/>
          <w:sz w:val="24"/>
          <w:szCs w:val="24"/>
        </w:rPr>
        <w:t xml:space="preserve"> </w:t>
      </w:r>
      <w:r>
        <w:rPr>
          <w:rFonts w:ascii="Times New Roman" w:hAnsi="Times New Roman" w:eastAsia="Times New Roman" w:cs="Times New Roman"/>
          <w:spacing w:val="-5"/>
          <w:position w:val="17"/>
          <w:sz w:val="24"/>
          <w:szCs w:val="24"/>
        </w:rPr>
        <w:t>1996</w:t>
      </w:r>
      <w:r>
        <w:rPr>
          <w:rFonts w:ascii="宋体" w:hAnsi="宋体" w:eastAsia="宋体" w:cs="宋体"/>
          <w:spacing w:val="-5"/>
          <w:position w:val="17"/>
          <w:sz w:val="24"/>
          <w:szCs w:val="24"/>
        </w:rPr>
        <w:t xml:space="preserve">）表 </w:t>
      </w:r>
      <w:r>
        <w:rPr>
          <w:rFonts w:ascii="Times New Roman" w:hAnsi="Times New Roman" w:eastAsia="Times New Roman" w:cs="Times New Roman"/>
          <w:spacing w:val="-5"/>
          <w:position w:val="17"/>
          <w:sz w:val="24"/>
          <w:szCs w:val="24"/>
        </w:rPr>
        <w:t>2</w:t>
      </w:r>
    </w:p>
    <w:p>
      <w:pPr>
        <w:spacing w:line="219" w:lineRule="auto"/>
        <w:ind w:left="39"/>
        <w:rPr>
          <w:rFonts w:ascii="宋体" w:hAnsi="宋体" w:eastAsia="宋体" w:cs="宋体"/>
          <w:sz w:val="24"/>
          <w:szCs w:val="24"/>
        </w:rPr>
      </w:pPr>
      <w:r>
        <w:rPr>
          <w:rFonts w:ascii="宋体" w:hAnsi="宋体" w:eastAsia="宋体" w:cs="宋体"/>
          <w:spacing w:val="-3"/>
          <w:sz w:val="24"/>
          <w:szCs w:val="24"/>
        </w:rPr>
        <w:t>相关标准。详见表</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1.5-7</w:t>
      </w:r>
      <w:r>
        <w:rPr>
          <w:rFonts w:ascii="宋体" w:hAnsi="宋体" w:eastAsia="宋体" w:cs="宋体"/>
          <w:spacing w:val="-3"/>
          <w:sz w:val="24"/>
          <w:szCs w:val="24"/>
        </w:rPr>
        <w:t>。</w:t>
      </w:r>
    </w:p>
    <w:p>
      <w:pPr>
        <w:pStyle w:val="2"/>
        <w:spacing w:before="240" w:line="212" w:lineRule="auto"/>
        <w:ind w:left="1339"/>
        <w:rPr>
          <w:rFonts w:ascii="Times New Roman" w:hAnsi="Times New Roman" w:eastAsia="Times New Roman" w:cs="Times New Roman"/>
          <w:sz w:val="14"/>
          <w:szCs w:val="14"/>
        </w:rPr>
      </w:pPr>
      <w:r>
        <w:rPr>
          <w:spacing w:val="-3"/>
          <w14:textOutline w14:w="3810" w14:cap="flat" w14:cmpd="sng">
            <w14:solidFill>
              <w14:srgbClr w14:val="000000"/>
            </w14:solidFill>
            <w14:prstDash w14:val="solid"/>
            <w14:miter w14:val="0"/>
          </w14:textOutline>
        </w:rPr>
        <w:t>表</w:t>
      </w:r>
      <w:r>
        <w:rPr>
          <w:spacing w:val="-37"/>
        </w:rPr>
        <w:t xml:space="preserve"> </w:t>
      </w:r>
      <w:r>
        <w:rPr>
          <w:rFonts w:ascii="Times New Roman" w:hAnsi="Times New Roman" w:eastAsia="Times New Roman" w:cs="Times New Roman"/>
          <w:b/>
          <w:bCs/>
          <w:spacing w:val="-3"/>
        </w:rPr>
        <w:t xml:space="preserve">1.5-7    </w:t>
      </w:r>
      <w:r>
        <w:rPr>
          <w:spacing w:val="-3"/>
          <w14:textOutline w14:w="3810" w14:cap="flat" w14:cmpd="sng">
            <w14:solidFill>
              <w14:srgbClr w14:val="000000"/>
            </w14:solidFill>
            <w14:prstDash w14:val="solid"/>
            <w14:miter w14:val="0"/>
          </w14:textOutline>
        </w:rPr>
        <w:t>大气污染物综合排放标准（摘录）</w:t>
      </w:r>
      <w:r>
        <w:rPr>
          <w:spacing w:val="-3"/>
        </w:rPr>
        <w:t xml:space="preserve">    </w:t>
      </w:r>
      <w:r>
        <w:rPr>
          <w:spacing w:val="-3"/>
          <w14:textOutline w14:w="3810" w14:cap="flat" w14:cmpd="sng">
            <w14:solidFill>
              <w14:srgbClr w14:val="000000"/>
            </w14:solidFill>
            <w14:prstDash w14:val="solid"/>
            <w14:miter w14:val="0"/>
          </w14:textOutline>
        </w:rPr>
        <w:t>单位：</w:t>
      </w:r>
      <w:r>
        <w:rPr>
          <w:spacing w:val="-3"/>
        </w:rPr>
        <w:t xml:space="preserve"> </w:t>
      </w:r>
      <w:r>
        <w:rPr>
          <w:rFonts w:ascii="Times New Roman" w:hAnsi="Times New Roman" w:eastAsia="Times New Roman" w:cs="Times New Roman"/>
          <w:b/>
          <w:bCs/>
          <w:spacing w:val="-3"/>
        </w:rPr>
        <w:t>mg/</w:t>
      </w:r>
      <w:r>
        <w:rPr>
          <w:rFonts w:ascii="Times New Roman" w:hAnsi="Times New Roman" w:eastAsia="Times New Roman" w:cs="Times New Roman"/>
          <w:b/>
          <w:bCs/>
          <w:spacing w:val="-4"/>
        </w:rPr>
        <w:t>m</w:t>
      </w:r>
      <w:r>
        <w:rPr>
          <w:rFonts w:ascii="Times New Roman" w:hAnsi="Times New Roman" w:eastAsia="Times New Roman" w:cs="Times New Roman"/>
          <w:b/>
          <w:bCs/>
          <w:spacing w:val="-4"/>
          <w:position w:val="6"/>
          <w:sz w:val="14"/>
          <w:szCs w:val="14"/>
        </w:rPr>
        <w:t>3</w:t>
      </w:r>
    </w:p>
    <w:p>
      <w:pPr>
        <w:spacing w:line="27" w:lineRule="exact"/>
      </w:pPr>
    </w:p>
    <w:tbl>
      <w:tblPr>
        <w:tblStyle w:val="5"/>
        <w:tblW w:w="8537"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24"/>
        <w:gridCol w:w="4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4" w:hRule="atLeast"/>
        </w:trPr>
        <w:tc>
          <w:tcPr>
            <w:tcW w:w="3624" w:type="dxa"/>
            <w:tcBorders>
              <w:top w:val="single" w:color="000000" w:sz="12" w:space="0"/>
              <w:left w:val="nil"/>
            </w:tcBorders>
            <w:vAlign w:val="top"/>
          </w:tcPr>
          <w:p>
            <w:pPr>
              <w:spacing w:before="51" w:line="213" w:lineRule="auto"/>
              <w:ind w:left="152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污染物</w:t>
            </w:r>
          </w:p>
        </w:tc>
        <w:tc>
          <w:tcPr>
            <w:tcW w:w="4913" w:type="dxa"/>
            <w:tcBorders>
              <w:top w:val="single" w:color="000000" w:sz="12" w:space="0"/>
              <w:right w:val="nil"/>
            </w:tcBorders>
            <w:vAlign w:val="top"/>
          </w:tcPr>
          <w:p>
            <w:pPr>
              <w:spacing w:before="51" w:line="213" w:lineRule="auto"/>
              <w:ind w:left="1518"/>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无组织排放浓度限值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4" w:hRule="atLeast"/>
        </w:trPr>
        <w:tc>
          <w:tcPr>
            <w:tcW w:w="3624" w:type="dxa"/>
            <w:tcBorders>
              <w:left w:val="nil"/>
              <w:bottom w:val="single" w:color="000000" w:sz="12" w:space="0"/>
            </w:tcBorders>
            <w:vAlign w:val="top"/>
          </w:tcPr>
          <w:p>
            <w:pPr>
              <w:spacing w:before="63" w:line="217" w:lineRule="auto"/>
              <w:ind w:left="1518"/>
              <w:rPr>
                <w:rFonts w:ascii="仿宋" w:hAnsi="仿宋" w:eastAsia="仿宋" w:cs="仿宋"/>
                <w:sz w:val="21"/>
                <w:szCs w:val="21"/>
              </w:rPr>
            </w:pPr>
            <w:r>
              <w:rPr>
                <w:rFonts w:ascii="仿宋" w:hAnsi="仿宋" w:eastAsia="仿宋" w:cs="仿宋"/>
                <w:spacing w:val="-4"/>
                <w:sz w:val="21"/>
                <w:szCs w:val="21"/>
              </w:rPr>
              <w:t>颗粒物</w:t>
            </w:r>
          </w:p>
        </w:tc>
        <w:tc>
          <w:tcPr>
            <w:tcW w:w="4913" w:type="dxa"/>
            <w:tcBorders>
              <w:bottom w:val="single" w:color="000000" w:sz="12" w:space="0"/>
              <w:right w:val="nil"/>
            </w:tcBorders>
            <w:vAlign w:val="top"/>
          </w:tcPr>
          <w:p>
            <w:pPr>
              <w:pStyle w:val="6"/>
              <w:spacing w:before="100" w:line="188" w:lineRule="auto"/>
              <w:ind w:left="2344"/>
            </w:pPr>
            <w:r>
              <w:rPr>
                <w:spacing w:val="-8"/>
              </w:rPr>
              <w:t>1.0</w:t>
            </w:r>
          </w:p>
        </w:tc>
      </w:tr>
    </w:tbl>
    <w:p>
      <w:pPr>
        <w:spacing w:before="35"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）废水</w:t>
      </w:r>
    </w:p>
    <w:p>
      <w:pPr>
        <w:spacing w:before="260" w:line="360" w:lineRule="auto"/>
        <w:ind w:left="43" w:right="216" w:firstLine="475"/>
        <w:rPr>
          <w:rFonts w:ascii="宋体" w:hAnsi="宋体" w:eastAsia="宋体" w:cs="宋体"/>
          <w:sz w:val="24"/>
          <w:szCs w:val="24"/>
        </w:rPr>
      </w:pPr>
      <w:r>
        <w:rPr>
          <w:rFonts w:ascii="宋体" w:hAnsi="宋体" w:eastAsia="宋体" w:cs="宋体"/>
          <w:spacing w:val="-9"/>
          <w:sz w:val="24"/>
          <w:szCs w:val="24"/>
        </w:rPr>
        <w:t>施工期生产废水经沉淀处理后全部回用于洒水降尘或工程回用</w:t>
      </w:r>
      <w:r>
        <w:rPr>
          <w:rFonts w:ascii="宋体" w:hAnsi="宋体" w:eastAsia="宋体" w:cs="宋体"/>
          <w:spacing w:val="-10"/>
          <w:sz w:val="24"/>
          <w:szCs w:val="24"/>
        </w:rPr>
        <w:t>， 不外排，</w:t>
      </w:r>
      <w:r>
        <w:rPr>
          <w:rFonts w:ascii="宋体" w:hAnsi="宋体" w:eastAsia="宋体" w:cs="宋体"/>
          <w:spacing w:val="-31"/>
          <w:sz w:val="24"/>
          <w:szCs w:val="24"/>
        </w:rPr>
        <w:t xml:space="preserve"> </w:t>
      </w:r>
      <w:r>
        <w:rPr>
          <w:rFonts w:ascii="宋体" w:hAnsi="宋体" w:eastAsia="宋体" w:cs="宋体"/>
          <w:spacing w:val="-10"/>
          <w:sz w:val="24"/>
          <w:szCs w:val="24"/>
        </w:rPr>
        <w:t>生</w:t>
      </w:r>
      <w:r>
        <w:rPr>
          <w:rFonts w:ascii="宋体" w:hAnsi="宋体" w:eastAsia="宋体" w:cs="宋体"/>
          <w:sz w:val="24"/>
          <w:szCs w:val="24"/>
        </w:rPr>
        <w:t xml:space="preserve"> </w:t>
      </w:r>
      <w:r>
        <w:rPr>
          <w:rFonts w:ascii="宋体" w:hAnsi="宋体" w:eastAsia="宋体" w:cs="宋体"/>
          <w:spacing w:val="-10"/>
          <w:sz w:val="24"/>
          <w:szCs w:val="24"/>
        </w:rPr>
        <w:t>活污水经隔油池、化粪池处理后委托当地村民定期清运，沤熟后用作农业肥料，不</w:t>
      </w:r>
    </w:p>
    <w:p>
      <w:pPr>
        <w:spacing w:before="1" w:line="218" w:lineRule="auto"/>
        <w:ind w:left="44"/>
        <w:rPr>
          <w:rFonts w:ascii="宋体" w:hAnsi="宋体" w:eastAsia="宋体" w:cs="宋体"/>
          <w:sz w:val="24"/>
          <w:szCs w:val="24"/>
        </w:rPr>
      </w:pPr>
      <w:r>
        <w:rPr>
          <w:rFonts w:ascii="宋体" w:hAnsi="宋体" w:eastAsia="宋体" w:cs="宋体"/>
          <w:spacing w:val="-1"/>
          <w:sz w:val="24"/>
          <w:szCs w:val="24"/>
        </w:rPr>
        <w:t>外排；运营期库区管理用房生活污水经化粪池处理后用于农肥。</w:t>
      </w:r>
    </w:p>
    <w:p>
      <w:pPr>
        <w:spacing w:before="184" w:line="220" w:lineRule="auto"/>
        <w:ind w:left="525"/>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3</w:t>
      </w:r>
      <w:r>
        <w:rPr>
          <w:rFonts w:ascii="宋体" w:hAnsi="宋体" w:eastAsia="宋体" w:cs="宋体"/>
          <w:spacing w:val="-6"/>
          <w:sz w:val="24"/>
          <w:szCs w:val="24"/>
        </w:rPr>
        <w:t>）噪声</w:t>
      </w:r>
    </w:p>
    <w:p>
      <w:pPr>
        <w:spacing w:before="181" w:line="468" w:lineRule="exact"/>
        <w:ind w:left="518"/>
        <w:rPr>
          <w:rFonts w:ascii="宋体" w:hAnsi="宋体" w:eastAsia="宋体" w:cs="宋体"/>
          <w:sz w:val="24"/>
          <w:szCs w:val="24"/>
        </w:rPr>
      </w:pPr>
      <w:r>
        <w:rPr>
          <w:rFonts w:ascii="宋体" w:hAnsi="宋体" w:eastAsia="宋体" w:cs="宋体"/>
          <w:spacing w:val="-1"/>
          <w:position w:val="17"/>
          <w:sz w:val="24"/>
          <w:szCs w:val="24"/>
        </w:rPr>
        <w:t>施工期建筑噪声执行《建筑施工场界环境噪声排放标准》（</w:t>
      </w:r>
      <w:r>
        <w:rPr>
          <w:rFonts w:ascii="Times New Roman" w:hAnsi="Times New Roman" w:eastAsia="Times New Roman" w:cs="Times New Roman"/>
          <w:spacing w:val="-1"/>
          <w:position w:val="17"/>
          <w:sz w:val="24"/>
          <w:szCs w:val="24"/>
        </w:rPr>
        <w:t>GB12523-2011</w:t>
      </w:r>
      <w:r>
        <w:rPr>
          <w:rFonts w:ascii="宋体" w:hAnsi="宋体" w:eastAsia="宋体" w:cs="宋体"/>
          <w:spacing w:val="-1"/>
          <w:position w:val="17"/>
          <w:sz w:val="24"/>
          <w:szCs w:val="24"/>
        </w:rPr>
        <w:t>）</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标准，具体标准值见表</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1.5-8</w:t>
      </w:r>
      <w:r>
        <w:rPr>
          <w:rFonts w:ascii="宋体" w:hAnsi="宋体" w:eastAsia="宋体" w:cs="宋体"/>
          <w:spacing w:val="-3"/>
          <w:sz w:val="24"/>
          <w:szCs w:val="24"/>
        </w:rPr>
        <w:t>。</w:t>
      </w:r>
    </w:p>
    <w:p>
      <w:pPr>
        <w:pStyle w:val="2"/>
        <w:spacing w:before="241" w:line="232" w:lineRule="auto"/>
        <w:ind w:left="1427"/>
      </w:pPr>
      <w:r>
        <w:rPr>
          <w14:textOutline w14:w="3810" w14:cap="flat" w14:cmpd="sng">
            <w14:solidFill>
              <w14:srgbClr w14:val="000000"/>
            </w14:solidFill>
            <w14:prstDash w14:val="solid"/>
            <w14:miter w14:val="0"/>
          </w14:textOutline>
        </w:rPr>
        <w:t>表</w:t>
      </w:r>
      <w:r>
        <w:rPr>
          <w:spacing w:val="-37"/>
        </w:rPr>
        <w:t xml:space="preserve"> </w:t>
      </w:r>
      <w:r>
        <w:rPr>
          <w:rFonts w:ascii="Times New Roman" w:hAnsi="Times New Roman" w:eastAsia="Times New Roman" w:cs="Times New Roman"/>
          <w:b/>
          <w:bCs/>
        </w:rPr>
        <w:t xml:space="preserve">1.5-8    </w:t>
      </w:r>
      <w:r>
        <w:rPr>
          <w14:textOutline w14:w="3810" w14:cap="flat" w14:cmpd="sng">
            <w14:solidFill>
              <w14:srgbClr w14:val="000000"/>
            </w14:solidFill>
            <w14:prstDash w14:val="solid"/>
            <w14:miter w14:val="0"/>
          </w14:textOutline>
        </w:rPr>
        <w:t>施工场界环境噪声排放标准</w:t>
      </w:r>
      <w:r>
        <w:t xml:space="preserve">   </w:t>
      </w:r>
      <w:r>
        <w:rPr>
          <w:spacing w:val="-1"/>
        </w:rPr>
        <w:t xml:space="preserve">   </w:t>
      </w:r>
      <w:r>
        <w:rPr>
          <w:spacing w:val="-1"/>
          <w14:textOutline w14:w="3810" w14:cap="flat" w14:cmpd="sng">
            <w14:solidFill>
              <w14:srgbClr w14:val="000000"/>
            </w14:solidFill>
            <w14:prstDash w14:val="solid"/>
            <w14:miter w14:val="0"/>
          </w14:textOutline>
        </w:rPr>
        <w:t>单位：</w:t>
      </w:r>
      <w:r>
        <w:rPr>
          <w:rFonts w:ascii="Times New Roman" w:hAnsi="Times New Roman" w:eastAsia="Times New Roman" w:cs="Times New Roman"/>
          <w:b/>
          <w:bCs/>
          <w:spacing w:val="-1"/>
        </w:rPr>
        <w:t>dB</w:t>
      </w:r>
      <w:r>
        <w:rPr>
          <w:spacing w:val="-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1"/>
        </w:rPr>
        <w:t>A</w:t>
      </w:r>
      <w:r>
        <w:rPr>
          <w:spacing w:val="-1"/>
          <w14:textOutline w14:w="3810" w14:cap="flat" w14:cmpd="sng">
            <w14:solidFill>
              <w14:srgbClr w14:val="000000"/>
            </w14:solidFill>
            <w14:prstDash w14:val="solid"/>
            <w14:miter w14:val="0"/>
          </w14:textOutline>
        </w:rPr>
        <w:t>）</w:t>
      </w:r>
    </w:p>
    <w:p>
      <w:pPr>
        <w:spacing w:line="45" w:lineRule="auto"/>
        <w:rPr>
          <w:rFonts w:ascii="Arial"/>
          <w:sz w:val="2"/>
        </w:rPr>
      </w:pPr>
    </w:p>
    <w:tbl>
      <w:tblPr>
        <w:tblStyle w:val="5"/>
        <w:tblW w:w="8537"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82"/>
        <w:gridCol w:w="2328"/>
        <w:gridCol w:w="23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4" w:hRule="atLeast"/>
        </w:trPr>
        <w:tc>
          <w:tcPr>
            <w:tcW w:w="3882" w:type="dxa"/>
            <w:tcBorders>
              <w:top w:val="single" w:color="000000" w:sz="12" w:space="0"/>
              <w:left w:val="nil"/>
            </w:tcBorders>
            <w:vAlign w:val="top"/>
          </w:tcPr>
          <w:p>
            <w:pPr>
              <w:rPr>
                <w:rFonts w:ascii="Arial"/>
                <w:sz w:val="21"/>
              </w:rPr>
            </w:pPr>
          </w:p>
        </w:tc>
        <w:tc>
          <w:tcPr>
            <w:tcW w:w="2328" w:type="dxa"/>
            <w:tcBorders>
              <w:top w:val="single" w:color="000000" w:sz="12" w:space="0"/>
            </w:tcBorders>
            <w:vAlign w:val="top"/>
          </w:tcPr>
          <w:p>
            <w:pPr>
              <w:spacing w:before="51" w:line="213" w:lineRule="auto"/>
              <w:ind w:left="96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昼间</w:t>
            </w:r>
          </w:p>
        </w:tc>
        <w:tc>
          <w:tcPr>
            <w:tcW w:w="2327" w:type="dxa"/>
            <w:tcBorders>
              <w:top w:val="single" w:color="000000" w:sz="12" w:space="0"/>
              <w:right w:val="nil"/>
            </w:tcBorders>
            <w:vAlign w:val="top"/>
          </w:tcPr>
          <w:p>
            <w:pPr>
              <w:spacing w:before="51" w:line="213" w:lineRule="auto"/>
              <w:ind w:left="96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4" w:hRule="atLeast"/>
        </w:trPr>
        <w:tc>
          <w:tcPr>
            <w:tcW w:w="3882" w:type="dxa"/>
            <w:tcBorders>
              <w:left w:val="nil"/>
              <w:bottom w:val="single" w:color="000000" w:sz="12" w:space="0"/>
            </w:tcBorders>
            <w:vAlign w:val="top"/>
          </w:tcPr>
          <w:p>
            <w:pPr>
              <w:spacing w:before="63" w:line="218" w:lineRule="auto"/>
              <w:ind w:left="1550"/>
              <w:rPr>
                <w:rFonts w:ascii="仿宋" w:hAnsi="仿宋" w:eastAsia="仿宋" w:cs="仿宋"/>
                <w:sz w:val="21"/>
                <w:szCs w:val="21"/>
              </w:rPr>
            </w:pPr>
            <w:r>
              <w:rPr>
                <w:rFonts w:ascii="仿宋" w:hAnsi="仿宋" w:eastAsia="仿宋" w:cs="仿宋"/>
                <w:spacing w:val="-5"/>
                <w:sz w:val="21"/>
                <w:szCs w:val="21"/>
              </w:rPr>
              <w:t>噪声限值</w:t>
            </w:r>
          </w:p>
        </w:tc>
        <w:tc>
          <w:tcPr>
            <w:tcW w:w="2328" w:type="dxa"/>
            <w:tcBorders>
              <w:bottom w:val="single" w:color="000000" w:sz="12" w:space="0"/>
            </w:tcBorders>
            <w:vAlign w:val="top"/>
          </w:tcPr>
          <w:p>
            <w:pPr>
              <w:pStyle w:val="6"/>
              <w:spacing w:before="102" w:line="186" w:lineRule="auto"/>
              <w:ind w:left="1061"/>
            </w:pPr>
            <w:r>
              <w:rPr>
                <w:spacing w:val="-2"/>
              </w:rPr>
              <w:t>70</w:t>
            </w:r>
          </w:p>
        </w:tc>
        <w:tc>
          <w:tcPr>
            <w:tcW w:w="2327" w:type="dxa"/>
            <w:tcBorders>
              <w:bottom w:val="single" w:color="000000" w:sz="12" w:space="0"/>
              <w:right w:val="nil"/>
            </w:tcBorders>
            <w:vAlign w:val="top"/>
          </w:tcPr>
          <w:p>
            <w:pPr>
              <w:pStyle w:val="6"/>
              <w:spacing w:before="105" w:line="183" w:lineRule="auto"/>
              <w:ind w:left="1064"/>
            </w:pPr>
            <w:r>
              <w:rPr>
                <w:spacing w:val="-3"/>
              </w:rPr>
              <w:t>55</w:t>
            </w:r>
          </w:p>
        </w:tc>
      </w:tr>
    </w:tbl>
    <w:p>
      <w:pPr>
        <w:spacing w:before="114"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）固体废物</w:t>
      </w:r>
    </w:p>
    <w:p>
      <w:pPr>
        <w:spacing w:before="182" w:line="468" w:lineRule="exact"/>
        <w:ind w:left="523"/>
        <w:rPr>
          <w:rFonts w:ascii="宋体" w:hAnsi="宋体" w:eastAsia="宋体" w:cs="宋体"/>
          <w:sz w:val="24"/>
          <w:szCs w:val="24"/>
        </w:rPr>
      </w:pPr>
      <w:r>
        <w:rPr>
          <w:rFonts w:ascii="宋体" w:hAnsi="宋体" w:eastAsia="宋体" w:cs="宋体"/>
          <w:spacing w:val="-1"/>
          <w:position w:val="17"/>
          <w:sz w:val="24"/>
          <w:szCs w:val="24"/>
        </w:rPr>
        <w:t>弃渣执行《一般工业固体废物贮存和填埋污染控制标准》（</w:t>
      </w:r>
      <w:r>
        <w:rPr>
          <w:rFonts w:ascii="Times New Roman" w:hAnsi="Times New Roman" w:eastAsia="Times New Roman" w:cs="Times New Roman"/>
          <w:spacing w:val="-1"/>
          <w:position w:val="17"/>
          <w:sz w:val="24"/>
          <w:szCs w:val="24"/>
        </w:rPr>
        <w:t>GB1859</w:t>
      </w:r>
      <w:r>
        <w:rPr>
          <w:rFonts w:ascii="Times New Roman" w:hAnsi="Times New Roman" w:eastAsia="Times New Roman" w:cs="Times New Roman"/>
          <w:spacing w:val="-2"/>
          <w:position w:val="17"/>
          <w:sz w:val="24"/>
          <w:szCs w:val="24"/>
        </w:rPr>
        <w:t>9-2020</w:t>
      </w:r>
      <w:r>
        <w:rPr>
          <w:rFonts w:ascii="宋体" w:hAnsi="宋体" w:eastAsia="宋体" w:cs="宋体"/>
          <w:spacing w:val="-2"/>
          <w:position w:val="17"/>
          <w:sz w:val="24"/>
          <w:szCs w:val="24"/>
        </w:rPr>
        <w:t>）</w:t>
      </w:r>
    </w:p>
    <w:p>
      <w:pPr>
        <w:spacing w:before="1" w:line="220" w:lineRule="auto"/>
        <w:ind w:left="40"/>
        <w:rPr>
          <w:rFonts w:ascii="宋体" w:hAnsi="宋体" w:eastAsia="宋体" w:cs="宋体"/>
          <w:sz w:val="24"/>
          <w:szCs w:val="24"/>
        </w:rPr>
      </w:pPr>
      <w:r>
        <w:rPr>
          <w:rFonts w:ascii="宋体" w:hAnsi="宋体" w:eastAsia="宋体" w:cs="宋体"/>
          <w:spacing w:val="-4"/>
          <w:sz w:val="24"/>
          <w:szCs w:val="24"/>
        </w:rPr>
        <w:t>标准。</w:t>
      </w:r>
    </w:p>
    <w:p>
      <w:pPr>
        <w:spacing w:line="309" w:lineRule="auto"/>
        <w:rPr>
          <w:rFonts w:ascii="Arial"/>
          <w:sz w:val="21"/>
        </w:rPr>
      </w:pPr>
    </w:p>
    <w:p>
      <w:pPr>
        <w:pStyle w:val="2"/>
        <w:spacing w:before="88" w:line="239" w:lineRule="auto"/>
        <w:ind w:left="48"/>
        <w:outlineLvl w:val="0"/>
        <w:rPr>
          <w:sz w:val="27"/>
          <w:szCs w:val="27"/>
        </w:rPr>
      </w:pPr>
      <w:bookmarkStart w:id="14" w:name="bookmark15"/>
      <w:bookmarkEnd w:id="14"/>
      <w:r>
        <w:rPr>
          <w:rFonts w:ascii="Times New Roman" w:hAnsi="Times New Roman" w:eastAsia="Times New Roman" w:cs="Times New Roman"/>
          <w:b/>
          <w:bCs/>
          <w:spacing w:val="7"/>
          <w:sz w:val="27"/>
          <w:szCs w:val="27"/>
        </w:rPr>
        <w:t xml:space="preserve">1.6 </w:t>
      </w:r>
      <w:r>
        <w:rPr>
          <w:spacing w:val="7"/>
          <w:sz w:val="27"/>
          <w:szCs w:val="27"/>
          <w14:textOutline w14:w="5072" w14:cap="flat" w14:cmpd="sng">
            <w14:solidFill>
              <w14:srgbClr w14:val="000000"/>
            </w14:solidFill>
            <w14:prstDash w14:val="solid"/>
            <w14:miter w14:val="0"/>
          </w14:textOutline>
        </w:rPr>
        <w:t>评价等级和评价范围</w:t>
      </w:r>
    </w:p>
    <w:p>
      <w:pPr>
        <w:spacing w:line="281"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2"/>
          <w:sz w:val="24"/>
          <w:szCs w:val="24"/>
        </w:rPr>
        <w:t xml:space="preserve">1.6.1 </w:t>
      </w:r>
      <w:r>
        <w:rPr>
          <w:spacing w:val="-2"/>
          <w:sz w:val="24"/>
          <w:szCs w:val="24"/>
          <w14:textOutline w14:w="4354" w14:cap="flat" w14:cmpd="sng">
            <w14:solidFill>
              <w14:srgbClr w14:val="000000"/>
            </w14:solidFill>
            <w14:prstDash w14:val="solid"/>
            <w14:miter w14:val="0"/>
          </w14:textOutline>
        </w:rPr>
        <w:t>环境空气</w:t>
      </w:r>
    </w:p>
    <w:p>
      <w:pPr>
        <w:spacing w:before="200" w:line="218"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）评价等级</w:t>
      </w:r>
    </w:p>
    <w:p>
      <w:pPr>
        <w:spacing w:before="183" w:line="359" w:lineRule="auto"/>
        <w:ind w:left="40" w:right="214" w:firstLine="482"/>
        <w:jc w:val="both"/>
        <w:rPr>
          <w:rFonts w:ascii="宋体" w:hAnsi="宋体" w:eastAsia="宋体" w:cs="宋体"/>
          <w:sz w:val="24"/>
          <w:szCs w:val="24"/>
        </w:rPr>
      </w:pPr>
      <w:r>
        <w:rPr>
          <w:rFonts w:ascii="宋体" w:hAnsi="宋体" w:eastAsia="宋体" w:cs="宋体"/>
          <w:spacing w:val="-7"/>
          <w:sz w:val="24"/>
          <w:szCs w:val="24"/>
        </w:rPr>
        <w:t>项目运营期无大气污染源，</w:t>
      </w:r>
      <w:r>
        <w:rPr>
          <w:rFonts w:ascii="宋体" w:hAnsi="宋体" w:eastAsia="宋体" w:cs="宋体"/>
          <w:spacing w:val="56"/>
          <w:sz w:val="24"/>
          <w:szCs w:val="24"/>
        </w:rPr>
        <w:t xml:space="preserve"> </w:t>
      </w:r>
      <w:r>
        <w:rPr>
          <w:rFonts w:ascii="宋体" w:hAnsi="宋体" w:eastAsia="宋体" w:cs="宋体"/>
          <w:spacing w:val="-7"/>
          <w:sz w:val="24"/>
          <w:szCs w:val="24"/>
        </w:rPr>
        <w:t>大气污染物占标率视为</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0</w:t>
      </w:r>
      <w:r>
        <w:rPr>
          <w:rFonts w:ascii="宋体" w:hAnsi="宋体" w:eastAsia="宋体" w:cs="宋体"/>
          <w:spacing w:val="-7"/>
          <w:sz w:val="24"/>
          <w:szCs w:val="24"/>
        </w:rPr>
        <w:t>，根据《环境影响评价</w:t>
      </w:r>
      <w:r>
        <w:rPr>
          <w:rFonts w:ascii="宋体" w:hAnsi="宋体" w:eastAsia="宋体" w:cs="宋体"/>
          <w:sz w:val="24"/>
          <w:szCs w:val="24"/>
        </w:rPr>
        <w:t xml:space="preserve"> </w:t>
      </w:r>
      <w:r>
        <w:rPr>
          <w:rFonts w:ascii="宋体" w:hAnsi="宋体" w:eastAsia="宋体" w:cs="宋体"/>
          <w:spacing w:val="-8"/>
          <w:sz w:val="24"/>
          <w:szCs w:val="24"/>
        </w:rPr>
        <w:t>技术导则 大气环境》（</w:t>
      </w:r>
      <w:r>
        <w:rPr>
          <w:rFonts w:ascii="Times New Roman" w:hAnsi="Times New Roman" w:eastAsia="Times New Roman" w:cs="Times New Roman"/>
          <w:spacing w:val="-8"/>
          <w:sz w:val="24"/>
          <w:szCs w:val="24"/>
        </w:rPr>
        <w:t>HJ2.2-2018</w:t>
      </w:r>
      <w:r>
        <w:rPr>
          <w:rFonts w:ascii="宋体" w:hAnsi="宋体" w:eastAsia="宋体" w:cs="宋体"/>
          <w:spacing w:val="-8"/>
          <w:sz w:val="24"/>
          <w:szCs w:val="24"/>
        </w:rPr>
        <w:t>）评价等级判定依据，</w:t>
      </w:r>
      <w:r>
        <w:rPr>
          <w:rFonts w:ascii="宋体" w:hAnsi="宋体" w:eastAsia="宋体" w:cs="宋体"/>
          <w:spacing w:val="58"/>
          <w:sz w:val="24"/>
          <w:szCs w:val="24"/>
        </w:rPr>
        <w:t xml:space="preserve"> </w:t>
      </w:r>
      <w:r>
        <w:rPr>
          <w:rFonts w:ascii="宋体" w:hAnsi="宋体" w:eastAsia="宋体" w:cs="宋体"/>
          <w:spacing w:val="-8"/>
          <w:sz w:val="24"/>
          <w:szCs w:val="24"/>
        </w:rPr>
        <w:t>项目大气环境影响</w:t>
      </w:r>
      <w:r>
        <w:rPr>
          <w:rFonts w:ascii="宋体" w:hAnsi="宋体" w:eastAsia="宋体" w:cs="宋体"/>
          <w:spacing w:val="-9"/>
          <w:sz w:val="24"/>
          <w:szCs w:val="24"/>
        </w:rPr>
        <w:t>评价</w:t>
      </w:r>
    </w:p>
    <w:p>
      <w:pPr>
        <w:spacing w:before="1" w:line="219" w:lineRule="auto"/>
        <w:ind w:left="41"/>
        <w:rPr>
          <w:rFonts w:ascii="宋体" w:hAnsi="宋体" w:eastAsia="宋体" w:cs="宋体"/>
          <w:sz w:val="24"/>
          <w:szCs w:val="24"/>
        </w:rPr>
      </w:pPr>
      <w:r>
        <w:rPr>
          <w:rFonts w:ascii="宋体" w:hAnsi="宋体" w:eastAsia="宋体" w:cs="宋体"/>
          <w:spacing w:val="-7"/>
          <w:sz w:val="24"/>
          <w:szCs w:val="24"/>
        </w:rPr>
        <w:t>等级为三级。</w:t>
      </w:r>
    </w:p>
    <w:p>
      <w:pPr>
        <w:spacing w:before="181" w:line="218"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）评价范围</w:t>
      </w:r>
    </w:p>
    <w:p>
      <w:pPr>
        <w:spacing w:before="262" w:line="468" w:lineRule="exact"/>
        <w:ind w:left="519"/>
        <w:rPr>
          <w:rFonts w:ascii="宋体" w:hAnsi="宋体" w:eastAsia="宋体" w:cs="宋体"/>
          <w:sz w:val="24"/>
          <w:szCs w:val="24"/>
        </w:rPr>
      </w:pPr>
      <w:r>
        <w:rPr>
          <w:rFonts w:ascii="宋体" w:hAnsi="宋体" w:eastAsia="宋体" w:cs="宋体"/>
          <w:spacing w:val="-4"/>
          <w:position w:val="17"/>
          <w:sz w:val="24"/>
          <w:szCs w:val="24"/>
        </w:rPr>
        <w:t>根据《环境影响评价技术导则 大气环境》（</w:t>
      </w:r>
      <w:r>
        <w:rPr>
          <w:rFonts w:ascii="Times New Roman" w:hAnsi="Times New Roman" w:eastAsia="Times New Roman" w:cs="Times New Roman"/>
          <w:spacing w:val="-4"/>
          <w:position w:val="17"/>
          <w:sz w:val="24"/>
          <w:szCs w:val="24"/>
        </w:rPr>
        <w:t>HJ2.2-2018</w:t>
      </w:r>
      <w:r>
        <w:rPr>
          <w:rFonts w:ascii="宋体" w:hAnsi="宋体" w:eastAsia="宋体" w:cs="宋体"/>
          <w:spacing w:val="-51"/>
          <w:position w:val="17"/>
          <w:sz w:val="24"/>
          <w:szCs w:val="24"/>
        </w:rPr>
        <w:t>），</w:t>
      </w:r>
      <w:r>
        <w:rPr>
          <w:rFonts w:ascii="宋体" w:hAnsi="宋体" w:eastAsia="宋体" w:cs="宋体"/>
          <w:spacing w:val="-4"/>
          <w:position w:val="17"/>
          <w:sz w:val="24"/>
          <w:szCs w:val="24"/>
        </w:rPr>
        <w:t>三级评价不需设</w:t>
      </w:r>
    </w:p>
    <w:p>
      <w:pPr>
        <w:spacing w:line="218" w:lineRule="auto"/>
        <w:ind w:left="37"/>
        <w:rPr>
          <w:rFonts w:ascii="宋体" w:hAnsi="宋体" w:eastAsia="宋体" w:cs="宋体"/>
          <w:sz w:val="24"/>
          <w:szCs w:val="24"/>
        </w:rPr>
      </w:pPr>
      <w:r>
        <w:rPr>
          <w:rFonts w:ascii="宋体" w:hAnsi="宋体" w:eastAsia="宋体" w:cs="宋体"/>
          <w:spacing w:val="-6"/>
          <w:sz w:val="24"/>
          <w:szCs w:val="24"/>
        </w:rPr>
        <w:t>置大气环境影响评价范围，</w:t>
      </w:r>
      <w:r>
        <w:rPr>
          <w:rFonts w:ascii="宋体" w:hAnsi="宋体" w:eastAsia="宋体" w:cs="宋体"/>
          <w:spacing w:val="70"/>
          <w:sz w:val="24"/>
          <w:szCs w:val="24"/>
        </w:rPr>
        <w:t xml:space="preserve"> </w:t>
      </w:r>
      <w:r>
        <w:rPr>
          <w:rFonts w:ascii="宋体" w:hAnsi="宋体" w:eastAsia="宋体" w:cs="宋体"/>
          <w:spacing w:val="-6"/>
          <w:sz w:val="24"/>
          <w:szCs w:val="24"/>
        </w:rPr>
        <w:t>施工期环境空气保护目标调查范围以项目用地外</w:t>
      </w:r>
    </w:p>
    <w:p>
      <w:pPr>
        <w:spacing w:before="185" w:line="220" w:lineRule="auto"/>
        <w:ind w:left="35"/>
        <w:rPr>
          <w:rFonts w:ascii="宋体" w:hAnsi="宋体" w:eastAsia="宋体" w:cs="宋体"/>
          <w:sz w:val="24"/>
          <w:szCs w:val="24"/>
        </w:rPr>
      </w:pPr>
      <w:r>
        <w:rPr>
          <w:rFonts w:ascii="Times New Roman" w:hAnsi="Times New Roman" w:eastAsia="Times New Roman" w:cs="Times New Roman"/>
          <w:spacing w:val="-3"/>
          <w:sz w:val="24"/>
          <w:szCs w:val="24"/>
        </w:rPr>
        <w:t>200m</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范围计。</w:t>
      </w:r>
    </w:p>
    <w:p>
      <w:pPr>
        <w:spacing w:line="220" w:lineRule="auto"/>
        <w:rPr>
          <w:rFonts w:ascii="宋体" w:hAnsi="宋体" w:eastAsia="宋体" w:cs="宋体"/>
          <w:sz w:val="24"/>
          <w:szCs w:val="24"/>
        </w:rPr>
        <w:sectPr>
          <w:headerReference r:id="rId37" w:type="default"/>
          <w:footerReference r:id="rId38" w:type="default"/>
          <w:pgSz w:w="11907" w:h="16839"/>
          <w:pgMar w:top="1156" w:right="1582" w:bottom="1153" w:left="1770" w:header="881" w:footer="991" w:gutter="0"/>
        </w:sectPr>
      </w:pPr>
    </w:p>
    <w:p>
      <w:pPr>
        <w:spacing w:line="412"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1"/>
          <w:sz w:val="24"/>
          <w:szCs w:val="24"/>
        </w:rPr>
        <w:t xml:space="preserve">1.6.2 </w:t>
      </w:r>
      <w:r>
        <w:rPr>
          <w:spacing w:val="-1"/>
          <w:sz w:val="24"/>
          <w:szCs w:val="24"/>
          <w14:textOutline w14:w="4354" w14:cap="flat" w14:cmpd="sng">
            <w14:solidFill>
              <w14:srgbClr w14:val="000000"/>
            </w14:solidFill>
            <w14:prstDash w14:val="solid"/>
            <w14:miter w14:val="0"/>
          </w14:textOutline>
        </w:rPr>
        <w:t>地表水环境</w:t>
      </w:r>
    </w:p>
    <w:p>
      <w:pPr>
        <w:spacing w:before="277" w:line="218"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）评价等级</w:t>
      </w:r>
    </w:p>
    <w:p>
      <w:pPr>
        <w:spacing w:before="107" w:line="359" w:lineRule="auto"/>
        <w:ind w:left="45" w:right="40" w:firstLine="477"/>
        <w:jc w:val="both"/>
        <w:rPr>
          <w:rFonts w:ascii="宋体" w:hAnsi="宋体" w:eastAsia="宋体" w:cs="宋体"/>
          <w:sz w:val="24"/>
          <w:szCs w:val="24"/>
        </w:rPr>
      </w:pPr>
      <w:r>
        <w:rPr>
          <w:rFonts w:ascii="宋体" w:hAnsi="宋体" w:eastAsia="宋体" w:cs="宋体"/>
          <w:spacing w:val="-8"/>
          <w:sz w:val="24"/>
          <w:szCs w:val="24"/>
        </w:rPr>
        <w:t>项目为水库建设，</w:t>
      </w:r>
      <w:r>
        <w:rPr>
          <w:rFonts w:ascii="宋体" w:hAnsi="宋体" w:eastAsia="宋体" w:cs="宋体"/>
          <w:spacing w:val="31"/>
          <w:sz w:val="24"/>
          <w:szCs w:val="24"/>
        </w:rPr>
        <w:t xml:space="preserve"> </w:t>
      </w:r>
      <w:r>
        <w:rPr>
          <w:rFonts w:ascii="宋体" w:hAnsi="宋体" w:eastAsia="宋体" w:cs="宋体"/>
          <w:spacing w:val="-8"/>
          <w:sz w:val="24"/>
          <w:szCs w:val="24"/>
        </w:rPr>
        <w:t>属于水文要素影响型建设项目。根据《环</w:t>
      </w:r>
      <w:r>
        <w:rPr>
          <w:rFonts w:ascii="宋体" w:hAnsi="宋体" w:eastAsia="宋体" w:cs="宋体"/>
          <w:spacing w:val="-9"/>
          <w:sz w:val="24"/>
          <w:szCs w:val="24"/>
        </w:rPr>
        <w:t>境影响评价技术</w:t>
      </w:r>
      <w:r>
        <w:rPr>
          <w:rFonts w:ascii="宋体" w:hAnsi="宋体" w:eastAsia="宋体" w:cs="宋体"/>
          <w:sz w:val="24"/>
          <w:szCs w:val="24"/>
        </w:rPr>
        <w:t xml:space="preserve"> </w:t>
      </w:r>
      <w:r>
        <w:rPr>
          <w:rFonts w:ascii="宋体" w:hAnsi="宋体" w:eastAsia="宋体" w:cs="宋体"/>
          <w:spacing w:val="-4"/>
          <w:sz w:val="24"/>
          <w:szCs w:val="24"/>
        </w:rPr>
        <w:t>导则地表水环境》（</w:t>
      </w:r>
      <w:r>
        <w:rPr>
          <w:rFonts w:ascii="Times New Roman" w:hAnsi="Times New Roman" w:eastAsia="Times New Roman" w:cs="Times New Roman"/>
          <w:spacing w:val="-4"/>
          <w:sz w:val="24"/>
          <w:szCs w:val="24"/>
        </w:rPr>
        <w:t>HJ2.3-2018</w:t>
      </w:r>
      <w:r>
        <w:rPr>
          <w:rFonts w:ascii="宋体" w:hAnsi="宋体" w:eastAsia="宋体" w:cs="宋体"/>
          <w:spacing w:val="-58"/>
          <w:sz w:val="24"/>
          <w:szCs w:val="24"/>
        </w:rPr>
        <w:t>），</w:t>
      </w:r>
      <w:r>
        <w:rPr>
          <w:rFonts w:ascii="宋体" w:hAnsi="宋体" w:eastAsia="宋体" w:cs="宋体"/>
          <w:spacing w:val="-4"/>
          <w:sz w:val="24"/>
          <w:szCs w:val="24"/>
        </w:rPr>
        <w:t>本项目由</w:t>
      </w:r>
      <w:r>
        <w:rPr>
          <w:rFonts w:ascii="宋体" w:hAnsi="宋体" w:eastAsia="宋体" w:cs="宋体"/>
          <w:spacing w:val="-5"/>
          <w:sz w:val="24"/>
          <w:szCs w:val="24"/>
        </w:rPr>
        <w:t>水温、径流、受影响地表水域进行评</w:t>
      </w:r>
    </w:p>
    <w:p>
      <w:pPr>
        <w:spacing w:line="218" w:lineRule="auto"/>
        <w:ind w:left="40"/>
        <w:rPr>
          <w:rFonts w:ascii="宋体" w:hAnsi="宋体" w:eastAsia="宋体" w:cs="宋体"/>
          <w:sz w:val="24"/>
          <w:szCs w:val="24"/>
        </w:rPr>
      </w:pPr>
      <w:r>
        <w:rPr>
          <w:rFonts w:ascii="宋体" w:hAnsi="宋体" w:eastAsia="宋体" w:cs="宋体"/>
          <w:spacing w:val="-6"/>
          <w:sz w:val="24"/>
          <w:szCs w:val="24"/>
        </w:rPr>
        <w:t>价等级判定。</w:t>
      </w:r>
    </w:p>
    <w:p>
      <w:pPr>
        <w:spacing w:before="184" w:line="359" w:lineRule="auto"/>
        <w:ind w:left="42" w:right="30" w:firstLine="480"/>
        <w:jc w:val="both"/>
        <w:rPr>
          <w:rFonts w:ascii="宋体" w:hAnsi="宋体" w:eastAsia="宋体" w:cs="宋体"/>
          <w:sz w:val="24"/>
          <w:szCs w:val="24"/>
        </w:rPr>
      </w:pPr>
      <w:r>
        <w:rPr>
          <w:rFonts w:ascii="宋体" w:hAnsi="宋体" w:eastAsia="宋体" w:cs="宋体"/>
          <w:spacing w:val="-4"/>
          <w:sz w:val="24"/>
          <w:szCs w:val="24"/>
        </w:rPr>
        <w:t>项目年径流量与总库容百分比(α)为</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2.71</w:t>
      </w:r>
      <w:r>
        <w:rPr>
          <w:rFonts w:ascii="宋体" w:hAnsi="宋体" w:eastAsia="宋体" w:cs="宋体"/>
          <w:spacing w:val="-4"/>
          <w:sz w:val="24"/>
          <w:szCs w:val="24"/>
        </w:rPr>
        <w:t>；兴利库容与年径流量百分比(β)</w:t>
      </w:r>
      <w:r>
        <w:rPr>
          <w:rFonts w:ascii="宋体" w:hAnsi="宋体" w:eastAsia="宋体" w:cs="宋体"/>
          <w:sz w:val="24"/>
          <w:szCs w:val="24"/>
        </w:rPr>
        <w:t xml:space="preserve"> </w:t>
      </w:r>
      <w:r>
        <w:rPr>
          <w:rFonts w:ascii="宋体" w:hAnsi="宋体" w:eastAsia="宋体" w:cs="宋体"/>
          <w:spacing w:val="2"/>
          <w:sz w:val="24"/>
          <w:szCs w:val="24"/>
        </w:rPr>
        <w:t>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28.3%</w:t>
      </w:r>
      <w:r>
        <w:rPr>
          <w:rFonts w:ascii="宋体" w:hAnsi="宋体" w:eastAsia="宋体" w:cs="宋体"/>
          <w:spacing w:val="2"/>
          <w:sz w:val="24"/>
          <w:szCs w:val="24"/>
        </w:rPr>
        <w:t>；取水量占多年平均径流量百分比(γ) 为</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42.2%</w:t>
      </w:r>
      <w:r>
        <w:rPr>
          <w:rFonts w:ascii="宋体" w:hAnsi="宋体" w:eastAsia="宋体" w:cs="宋体"/>
          <w:spacing w:val="2"/>
          <w:sz w:val="24"/>
          <w:szCs w:val="24"/>
        </w:rPr>
        <w:t>；因此本项目进行一</w:t>
      </w:r>
    </w:p>
    <w:p>
      <w:pPr>
        <w:spacing w:line="218" w:lineRule="auto"/>
        <w:ind w:left="43"/>
        <w:rPr>
          <w:rFonts w:ascii="宋体" w:hAnsi="宋体" w:eastAsia="宋体" w:cs="宋体"/>
          <w:sz w:val="24"/>
          <w:szCs w:val="24"/>
        </w:rPr>
      </w:pPr>
      <w:r>
        <w:rPr>
          <w:rFonts w:ascii="宋体" w:hAnsi="宋体" w:eastAsia="宋体" w:cs="宋体"/>
          <w:spacing w:val="-8"/>
          <w:sz w:val="24"/>
          <w:szCs w:val="24"/>
        </w:rPr>
        <w:t>级评价。</w:t>
      </w:r>
    </w:p>
    <w:p>
      <w:pPr>
        <w:spacing w:before="261" w:line="218"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）评价范围</w:t>
      </w:r>
    </w:p>
    <w:p>
      <w:pPr>
        <w:spacing w:before="184" w:line="360" w:lineRule="auto"/>
        <w:ind w:left="41" w:right="41" w:firstLine="480"/>
        <w:rPr>
          <w:rFonts w:ascii="宋体" w:hAnsi="宋体" w:eastAsia="宋体" w:cs="宋体"/>
          <w:sz w:val="24"/>
          <w:szCs w:val="24"/>
        </w:rPr>
      </w:pPr>
      <w:r>
        <w:rPr>
          <w:rFonts w:ascii="宋体" w:hAnsi="宋体" w:eastAsia="宋体" w:cs="宋体"/>
          <w:sz w:val="24"/>
          <w:szCs w:val="24"/>
        </w:rPr>
        <w:t>桂花河大坝回水区、坝址至下游汇入万马河处</w:t>
      </w:r>
      <w:r>
        <w:rPr>
          <w:rFonts w:ascii="宋体" w:hAnsi="宋体" w:eastAsia="宋体" w:cs="宋体"/>
          <w:spacing w:val="-1"/>
          <w:sz w:val="24"/>
          <w:szCs w:val="24"/>
        </w:rPr>
        <w:t>（中和镇</w:t>
      </w:r>
      <w:r>
        <w:rPr>
          <w:rFonts w:ascii="宋体" w:hAnsi="宋体" w:eastAsia="宋体" w:cs="宋体"/>
          <w:spacing w:val="-61"/>
          <w:w w:val="97"/>
          <w:sz w:val="24"/>
          <w:szCs w:val="24"/>
        </w:rPr>
        <w:t>），</w:t>
      </w:r>
      <w:r>
        <w:rPr>
          <w:rFonts w:ascii="宋体" w:hAnsi="宋体" w:eastAsia="宋体" w:cs="宋体"/>
          <w:spacing w:val="-1"/>
          <w:sz w:val="24"/>
          <w:szCs w:val="24"/>
        </w:rPr>
        <w:t>全长</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27.78km</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
          <w:sz w:val="24"/>
          <w:szCs w:val="24"/>
        </w:rPr>
        <w:t>罗子左河取水坝至下游汇入桂花河处，长度</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2.83k</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。马茨河取水坝至下游汇入</w:t>
      </w:r>
      <w:r>
        <w:rPr>
          <w:rFonts w:ascii="宋体" w:hAnsi="宋体" w:eastAsia="宋体" w:cs="宋体"/>
          <w:sz w:val="24"/>
          <w:szCs w:val="24"/>
        </w:rPr>
        <w:t xml:space="preserve"> </w:t>
      </w:r>
      <w:r>
        <w:rPr>
          <w:rFonts w:ascii="宋体" w:hAnsi="宋体" w:eastAsia="宋体" w:cs="宋体"/>
          <w:spacing w:val="-2"/>
          <w:sz w:val="24"/>
          <w:szCs w:val="24"/>
        </w:rPr>
        <w:t>桂花河处，长度</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3.78km</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。马茨河取水坝至下</w:t>
      </w:r>
      <w:r>
        <w:rPr>
          <w:rFonts w:ascii="宋体" w:hAnsi="宋体" w:eastAsia="宋体" w:cs="宋体"/>
          <w:spacing w:val="-3"/>
          <w:sz w:val="24"/>
          <w:szCs w:val="24"/>
        </w:rPr>
        <w:t>游汇入桂花河处，长度</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3.78km</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。六</w:t>
      </w:r>
    </w:p>
    <w:p>
      <w:pPr>
        <w:spacing w:before="1" w:line="219" w:lineRule="auto"/>
        <w:ind w:left="39"/>
        <w:rPr>
          <w:rFonts w:ascii="宋体" w:hAnsi="宋体" w:eastAsia="宋体" w:cs="宋体"/>
          <w:sz w:val="24"/>
          <w:szCs w:val="24"/>
        </w:rPr>
      </w:pPr>
      <w:r>
        <w:rPr>
          <w:rFonts w:ascii="宋体" w:hAnsi="宋体" w:eastAsia="宋体" w:cs="宋体"/>
          <w:sz w:val="24"/>
          <w:szCs w:val="24"/>
        </w:rPr>
        <w:t>姑乍箐、昔木乍箐、见簸箐取水坝至下游与打厂箐、</w:t>
      </w:r>
      <w:r>
        <w:rPr>
          <w:rFonts w:ascii="宋体" w:hAnsi="宋体" w:eastAsia="宋体" w:cs="宋体"/>
          <w:spacing w:val="-1"/>
          <w:sz w:val="24"/>
          <w:szCs w:val="24"/>
        </w:rPr>
        <w:t>咪渣史箐汇合处，长度</w:t>
      </w:r>
    </w:p>
    <w:p>
      <w:pPr>
        <w:spacing w:before="222" w:line="219" w:lineRule="auto"/>
        <w:ind w:left="58"/>
        <w:rPr>
          <w:rFonts w:ascii="宋体" w:hAnsi="宋体" w:eastAsia="宋体" w:cs="宋体"/>
          <w:sz w:val="24"/>
          <w:szCs w:val="24"/>
        </w:rPr>
      </w:pPr>
      <w:r>
        <w:rPr>
          <w:rFonts w:ascii="Times New Roman" w:hAnsi="Times New Roman" w:eastAsia="Times New Roman" w:cs="Times New Roman"/>
          <w:spacing w:val="-5"/>
          <w:sz w:val="24"/>
          <w:szCs w:val="24"/>
        </w:rPr>
        <w:t>11.43km</w:t>
      </w:r>
      <w:r>
        <w:rPr>
          <w:rFonts w:ascii="宋体" w:hAnsi="宋体" w:eastAsia="宋体" w:cs="宋体"/>
          <w:spacing w:val="-5"/>
          <w:sz w:val="24"/>
          <w:szCs w:val="24"/>
        </w:rPr>
        <w:t>。</w:t>
      </w:r>
    </w:p>
    <w:p>
      <w:pPr>
        <w:spacing w:before="143" w:line="220" w:lineRule="auto"/>
        <w:ind w:left="522"/>
        <w:rPr>
          <w:rFonts w:ascii="宋体" w:hAnsi="宋体" w:eastAsia="宋体" w:cs="宋体"/>
          <w:sz w:val="24"/>
          <w:szCs w:val="24"/>
        </w:rPr>
      </w:pPr>
      <w:r>
        <w:rPr>
          <w:rFonts w:ascii="宋体" w:hAnsi="宋体" w:eastAsia="宋体" w:cs="宋体"/>
          <w:spacing w:val="-6"/>
          <w:sz w:val="24"/>
          <w:szCs w:val="24"/>
        </w:rPr>
        <w:t>水库运营期退水主要有农业灌溉回归水，</w:t>
      </w:r>
      <w:r>
        <w:rPr>
          <w:rFonts w:ascii="宋体" w:hAnsi="宋体" w:eastAsia="宋体" w:cs="宋体"/>
          <w:spacing w:val="62"/>
          <w:sz w:val="24"/>
          <w:szCs w:val="24"/>
        </w:rPr>
        <w:t xml:space="preserve"> </w:t>
      </w:r>
      <w:r>
        <w:rPr>
          <w:rFonts w:ascii="宋体" w:hAnsi="宋体" w:eastAsia="宋体" w:cs="宋体"/>
          <w:spacing w:val="-6"/>
          <w:sz w:val="24"/>
          <w:szCs w:val="24"/>
        </w:rPr>
        <w:t>规划水库</w:t>
      </w:r>
      <w:r>
        <w:rPr>
          <w:rFonts w:ascii="宋体" w:hAnsi="宋体" w:eastAsia="宋体" w:cs="宋体"/>
          <w:spacing w:val="-7"/>
          <w:sz w:val="24"/>
          <w:szCs w:val="24"/>
        </w:rPr>
        <w:t>灌区分为桂花灌溉片</w:t>
      </w:r>
    </w:p>
    <w:p>
      <w:pPr>
        <w:spacing w:before="182" w:line="220" w:lineRule="auto"/>
        <w:ind w:left="57"/>
        <w:rPr>
          <w:rFonts w:ascii="宋体" w:hAnsi="宋体" w:eastAsia="宋体" w:cs="宋体"/>
          <w:sz w:val="24"/>
          <w:szCs w:val="24"/>
        </w:rPr>
      </w:pPr>
      <w:r>
        <w:rPr>
          <w:rFonts w:ascii="宋体" w:hAnsi="宋体" w:eastAsia="宋体" w:cs="宋体"/>
          <w:spacing w:val="-1"/>
          <w:sz w:val="24"/>
          <w:szCs w:val="24"/>
        </w:rPr>
        <w:t>区、者纳么灌溉片区、六苴灌溉片区、新街灌溉片区、金碧灌溉片区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个片</w:t>
      </w:r>
    </w:p>
    <w:p>
      <w:pPr>
        <w:spacing w:before="183" w:line="219" w:lineRule="auto"/>
        <w:ind w:left="57"/>
        <w:rPr>
          <w:rFonts w:ascii="宋体" w:hAnsi="宋体" w:eastAsia="宋体" w:cs="宋体"/>
          <w:sz w:val="24"/>
          <w:szCs w:val="24"/>
        </w:rPr>
      </w:pPr>
      <w:r>
        <w:rPr>
          <w:rFonts w:ascii="宋体" w:hAnsi="宋体" w:eastAsia="宋体" w:cs="宋体"/>
          <w:spacing w:val="-1"/>
          <w:sz w:val="24"/>
          <w:szCs w:val="24"/>
        </w:rPr>
        <w:t>区，其中桂花灌溉片区、者纳么灌溉片区、六苴灌溉片区由桂花水库直接供</w:t>
      </w:r>
    </w:p>
    <w:p>
      <w:pPr>
        <w:spacing w:before="183" w:line="360" w:lineRule="auto"/>
        <w:ind w:left="38" w:right="56" w:firstLine="3"/>
        <w:rPr>
          <w:rFonts w:ascii="宋体" w:hAnsi="宋体" w:eastAsia="宋体" w:cs="宋体"/>
          <w:sz w:val="24"/>
          <w:szCs w:val="24"/>
        </w:rPr>
      </w:pPr>
      <w:r>
        <w:rPr>
          <w:rFonts w:ascii="宋体" w:hAnsi="宋体" w:eastAsia="宋体" w:cs="宋体"/>
          <w:spacing w:val="-4"/>
          <w:sz w:val="24"/>
          <w:szCs w:val="24"/>
        </w:rPr>
        <w:t>水，新街灌溉片区、金碧灌溉片区由碧么水库、大罗古水库供水， 因此本次评</w:t>
      </w:r>
      <w:r>
        <w:rPr>
          <w:rFonts w:ascii="宋体" w:hAnsi="宋体" w:eastAsia="宋体" w:cs="宋体"/>
          <w:spacing w:val="3"/>
          <w:sz w:val="24"/>
          <w:szCs w:val="24"/>
        </w:rPr>
        <w:t xml:space="preserve">  </w:t>
      </w:r>
      <w:r>
        <w:rPr>
          <w:rFonts w:ascii="宋体" w:hAnsi="宋体" w:eastAsia="宋体" w:cs="宋体"/>
          <w:spacing w:val="-5"/>
          <w:sz w:val="24"/>
          <w:szCs w:val="24"/>
        </w:rPr>
        <w:t>价不把新街灌溉片区、金碧灌溉片区纳入地表水评价范围。</w:t>
      </w:r>
      <w:r>
        <w:rPr>
          <w:rFonts w:ascii="宋体" w:hAnsi="宋体" w:eastAsia="宋体" w:cs="宋体"/>
          <w:spacing w:val="45"/>
          <w:sz w:val="24"/>
          <w:szCs w:val="24"/>
        </w:rPr>
        <w:t xml:space="preserve"> </w:t>
      </w:r>
      <w:r>
        <w:rPr>
          <w:rFonts w:ascii="宋体" w:hAnsi="宋体" w:eastAsia="宋体" w:cs="宋体"/>
          <w:spacing w:val="-5"/>
          <w:sz w:val="24"/>
          <w:szCs w:val="24"/>
        </w:rPr>
        <w:t>桂花灌溉</w:t>
      </w:r>
      <w:r>
        <w:rPr>
          <w:rFonts w:ascii="宋体" w:hAnsi="宋体" w:eastAsia="宋体" w:cs="宋体"/>
          <w:spacing w:val="-6"/>
          <w:sz w:val="24"/>
          <w:szCs w:val="24"/>
        </w:rPr>
        <w:t>片区回归</w:t>
      </w:r>
      <w:r>
        <w:rPr>
          <w:rFonts w:ascii="宋体" w:hAnsi="宋体" w:eastAsia="宋体" w:cs="宋体"/>
          <w:sz w:val="24"/>
          <w:szCs w:val="24"/>
        </w:rPr>
        <w:t xml:space="preserve">  </w:t>
      </w:r>
      <w:r>
        <w:rPr>
          <w:rFonts w:ascii="宋体" w:hAnsi="宋体" w:eastAsia="宋体" w:cs="宋体"/>
          <w:spacing w:val="-4"/>
          <w:sz w:val="24"/>
          <w:szCs w:val="24"/>
        </w:rPr>
        <w:t>水受纳水体为桂花河，</w:t>
      </w:r>
      <w:r>
        <w:rPr>
          <w:rFonts w:ascii="宋体" w:hAnsi="宋体" w:eastAsia="宋体" w:cs="宋体"/>
          <w:spacing w:val="-9"/>
          <w:sz w:val="24"/>
          <w:szCs w:val="24"/>
        </w:rPr>
        <w:t xml:space="preserve"> </w:t>
      </w:r>
      <w:r>
        <w:rPr>
          <w:rFonts w:ascii="宋体" w:hAnsi="宋体" w:eastAsia="宋体" w:cs="宋体"/>
          <w:spacing w:val="-4"/>
          <w:sz w:val="24"/>
          <w:szCs w:val="24"/>
        </w:rPr>
        <w:t>影响河段长度为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12.56km</w:t>
      </w:r>
      <w:r>
        <w:rPr>
          <w:rFonts w:ascii="宋体" w:hAnsi="宋体" w:eastAsia="宋体" w:cs="宋体"/>
          <w:spacing w:val="-4"/>
          <w:sz w:val="24"/>
          <w:szCs w:val="24"/>
        </w:rPr>
        <w:t>（灌区起点至桂花河汇入万马</w:t>
      </w:r>
      <w:r>
        <w:rPr>
          <w:rFonts w:ascii="宋体" w:hAnsi="宋体" w:eastAsia="宋体" w:cs="宋体"/>
          <w:sz w:val="24"/>
          <w:szCs w:val="24"/>
        </w:rPr>
        <w:t xml:space="preserve">  </w:t>
      </w:r>
      <w:r>
        <w:rPr>
          <w:rFonts w:ascii="宋体" w:hAnsi="宋体" w:eastAsia="宋体" w:cs="宋体"/>
          <w:spacing w:val="-4"/>
          <w:sz w:val="24"/>
          <w:szCs w:val="24"/>
        </w:rPr>
        <w:t>河处</w:t>
      </w:r>
      <w:r>
        <w:rPr>
          <w:rFonts w:ascii="宋体" w:hAnsi="宋体" w:eastAsia="宋体" w:cs="宋体"/>
          <w:spacing w:val="-55"/>
          <w:sz w:val="24"/>
          <w:szCs w:val="24"/>
        </w:rPr>
        <w:t>），</w:t>
      </w:r>
      <w:r>
        <w:rPr>
          <w:rFonts w:ascii="宋体" w:hAnsi="宋体" w:eastAsia="宋体" w:cs="宋体"/>
          <w:spacing w:val="-4"/>
          <w:sz w:val="24"/>
          <w:szCs w:val="24"/>
        </w:rPr>
        <w:t>者纳么灌溉片区回归水受纳水体为者纳么河，</w:t>
      </w:r>
      <w:r>
        <w:rPr>
          <w:rFonts w:ascii="宋体" w:hAnsi="宋体" w:eastAsia="宋体" w:cs="宋体"/>
          <w:spacing w:val="-24"/>
          <w:sz w:val="24"/>
          <w:szCs w:val="24"/>
        </w:rPr>
        <w:t xml:space="preserve"> </w:t>
      </w:r>
      <w:r>
        <w:rPr>
          <w:rFonts w:ascii="宋体" w:hAnsi="宋体" w:eastAsia="宋体" w:cs="宋体"/>
          <w:spacing w:val="-4"/>
          <w:sz w:val="24"/>
          <w:szCs w:val="24"/>
        </w:rPr>
        <w:t>影响河段长度</w:t>
      </w:r>
      <w:r>
        <w:rPr>
          <w:rFonts w:ascii="宋体" w:hAnsi="宋体" w:eastAsia="宋体" w:cs="宋体"/>
          <w:spacing w:val="-5"/>
          <w:sz w:val="24"/>
          <w:szCs w:val="24"/>
        </w:rPr>
        <w:t>为</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12.11km</w:t>
      </w:r>
      <w:r>
        <w:rPr>
          <w:rFonts w:ascii="Times New Roman" w:hAnsi="Times New Roman" w:eastAsia="Times New Roman" w:cs="Times New Roman"/>
          <w:sz w:val="24"/>
          <w:szCs w:val="24"/>
        </w:rPr>
        <w:t xml:space="preserve">  </w:t>
      </w:r>
      <w:r>
        <w:rPr>
          <w:rFonts w:ascii="宋体" w:hAnsi="宋体" w:eastAsia="宋体" w:cs="宋体"/>
          <w:spacing w:val="-1"/>
          <w:sz w:val="24"/>
          <w:szCs w:val="24"/>
        </w:rPr>
        <w:t>（下灌区起点至汇入者纳么村附近大水箐汇入处</w:t>
      </w:r>
      <w:r>
        <w:rPr>
          <w:rFonts w:ascii="宋体" w:hAnsi="宋体" w:eastAsia="宋体" w:cs="宋体"/>
          <w:spacing w:val="-48"/>
          <w:sz w:val="24"/>
          <w:szCs w:val="24"/>
        </w:rPr>
        <w:t>），</w:t>
      </w:r>
      <w:r>
        <w:rPr>
          <w:rFonts w:ascii="宋体" w:hAnsi="宋体" w:eastAsia="宋体" w:cs="宋体"/>
          <w:spacing w:val="-1"/>
          <w:sz w:val="24"/>
          <w:szCs w:val="24"/>
        </w:rPr>
        <w:t>六苴灌溉片区回归水受纳水</w:t>
      </w:r>
      <w:r>
        <w:rPr>
          <w:rFonts w:ascii="宋体" w:hAnsi="宋体" w:eastAsia="宋体" w:cs="宋体"/>
          <w:sz w:val="24"/>
          <w:szCs w:val="24"/>
        </w:rPr>
        <w:t xml:space="preserve"> </w:t>
      </w:r>
      <w:r>
        <w:rPr>
          <w:rFonts w:ascii="宋体" w:hAnsi="宋体" w:eastAsia="宋体" w:cs="宋体"/>
          <w:spacing w:val="-3"/>
          <w:sz w:val="24"/>
          <w:szCs w:val="24"/>
        </w:rPr>
        <w:t>体为六苴河，</w:t>
      </w:r>
      <w:r>
        <w:rPr>
          <w:rFonts w:ascii="宋体" w:hAnsi="宋体" w:eastAsia="宋体" w:cs="宋体"/>
          <w:spacing w:val="-25"/>
          <w:sz w:val="24"/>
          <w:szCs w:val="24"/>
        </w:rPr>
        <w:t xml:space="preserve"> </w:t>
      </w:r>
      <w:r>
        <w:rPr>
          <w:rFonts w:ascii="宋体" w:hAnsi="宋体" w:eastAsia="宋体" w:cs="宋体"/>
          <w:spacing w:val="-3"/>
          <w:sz w:val="24"/>
          <w:szCs w:val="24"/>
        </w:rPr>
        <w:t>影响河段长度为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3.38km</w:t>
      </w:r>
      <w:r>
        <w:rPr>
          <w:rFonts w:ascii="宋体" w:hAnsi="宋体" w:eastAsia="宋体" w:cs="宋体"/>
          <w:spacing w:val="-3"/>
          <w:sz w:val="24"/>
          <w:szCs w:val="24"/>
        </w:rPr>
        <w:t>（灌区起点至汇入者纳么村附近大</w:t>
      </w:r>
      <w:r>
        <w:rPr>
          <w:rFonts w:ascii="宋体" w:hAnsi="宋体" w:eastAsia="宋体" w:cs="宋体"/>
          <w:spacing w:val="-4"/>
          <w:sz w:val="24"/>
          <w:szCs w:val="24"/>
        </w:rPr>
        <w:t>水箐汇</w:t>
      </w:r>
    </w:p>
    <w:p>
      <w:pPr>
        <w:spacing w:before="2" w:line="223" w:lineRule="auto"/>
        <w:ind w:left="38"/>
        <w:rPr>
          <w:rFonts w:ascii="宋体" w:hAnsi="宋体" w:eastAsia="宋体" w:cs="宋体"/>
          <w:sz w:val="24"/>
          <w:szCs w:val="24"/>
        </w:rPr>
      </w:pPr>
      <w:r>
        <w:rPr>
          <w:rFonts w:ascii="宋体" w:hAnsi="宋体" w:eastAsia="宋体" w:cs="宋体"/>
          <w:spacing w:val="-24"/>
          <w:sz w:val="24"/>
          <w:szCs w:val="24"/>
        </w:rPr>
        <w:t>入处）。</w:t>
      </w:r>
    </w:p>
    <w:p>
      <w:pPr>
        <w:spacing w:line="348"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1"/>
          <w:sz w:val="24"/>
          <w:szCs w:val="24"/>
        </w:rPr>
        <w:t xml:space="preserve">1.6.3 </w:t>
      </w:r>
      <w:r>
        <w:rPr>
          <w:spacing w:val="-1"/>
          <w:sz w:val="24"/>
          <w:szCs w:val="24"/>
          <w14:textOutline w14:w="4354" w14:cap="flat" w14:cmpd="sng">
            <w14:solidFill>
              <w14:srgbClr w14:val="000000"/>
            </w14:solidFill>
            <w14:prstDash w14:val="solid"/>
            <w14:miter w14:val="0"/>
          </w14:textOutline>
        </w:rPr>
        <w:t>地下水环境</w:t>
      </w:r>
    </w:p>
    <w:p>
      <w:pPr>
        <w:spacing w:before="199" w:line="218" w:lineRule="auto"/>
        <w:ind w:left="64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）评价等级</w:t>
      </w:r>
    </w:p>
    <w:p>
      <w:pPr>
        <w:spacing w:before="184" w:line="467" w:lineRule="exact"/>
        <w:ind w:right="27"/>
        <w:jc w:val="right"/>
        <w:rPr>
          <w:rFonts w:ascii="宋体" w:hAnsi="宋体" w:eastAsia="宋体" w:cs="宋体"/>
          <w:sz w:val="24"/>
          <w:szCs w:val="24"/>
        </w:rPr>
      </w:pPr>
      <w:r>
        <w:rPr>
          <w:rFonts w:ascii="宋体" w:hAnsi="宋体" w:eastAsia="宋体" w:cs="宋体"/>
          <w:spacing w:val="-8"/>
          <w:position w:val="17"/>
          <w:sz w:val="24"/>
          <w:szCs w:val="24"/>
        </w:rPr>
        <w:t>根据《环境影响评价技术导则</w:t>
      </w:r>
      <w:r>
        <w:rPr>
          <w:rFonts w:ascii="宋体" w:hAnsi="宋体" w:eastAsia="宋体" w:cs="宋体"/>
          <w:spacing w:val="49"/>
          <w:position w:val="17"/>
          <w:sz w:val="24"/>
          <w:szCs w:val="24"/>
        </w:rPr>
        <w:t xml:space="preserve"> </w:t>
      </w:r>
      <w:r>
        <w:rPr>
          <w:rFonts w:ascii="宋体" w:hAnsi="宋体" w:eastAsia="宋体" w:cs="宋体"/>
          <w:spacing w:val="-8"/>
          <w:position w:val="17"/>
          <w:sz w:val="24"/>
          <w:szCs w:val="24"/>
        </w:rPr>
        <w:t>地下水环境》（</w:t>
      </w:r>
      <w:r>
        <w:rPr>
          <w:rFonts w:ascii="Times New Roman" w:hAnsi="Times New Roman" w:eastAsia="Times New Roman" w:cs="Times New Roman"/>
          <w:spacing w:val="-8"/>
          <w:position w:val="17"/>
          <w:sz w:val="24"/>
          <w:szCs w:val="24"/>
        </w:rPr>
        <w:t>HJ610-2016</w:t>
      </w:r>
      <w:r>
        <w:rPr>
          <w:rFonts w:ascii="宋体" w:hAnsi="宋体" w:eastAsia="宋体" w:cs="宋体"/>
          <w:spacing w:val="-8"/>
          <w:position w:val="17"/>
          <w:sz w:val="24"/>
          <w:szCs w:val="24"/>
        </w:rPr>
        <w:t>）附录</w:t>
      </w:r>
      <w:r>
        <w:rPr>
          <w:rFonts w:ascii="宋体" w:hAnsi="宋体" w:eastAsia="宋体" w:cs="宋体"/>
          <w:spacing w:val="-58"/>
          <w:position w:val="17"/>
          <w:sz w:val="24"/>
          <w:szCs w:val="24"/>
        </w:rPr>
        <w:t xml:space="preserve"> </w:t>
      </w:r>
      <w:r>
        <w:rPr>
          <w:rFonts w:ascii="Times New Roman" w:hAnsi="Times New Roman" w:eastAsia="Times New Roman" w:cs="Times New Roman"/>
          <w:spacing w:val="-8"/>
          <w:position w:val="17"/>
          <w:sz w:val="24"/>
          <w:szCs w:val="24"/>
        </w:rPr>
        <w:t xml:space="preserve">A </w:t>
      </w:r>
      <w:r>
        <w:rPr>
          <w:rFonts w:ascii="宋体" w:hAnsi="宋体" w:eastAsia="宋体" w:cs="宋体"/>
          <w:spacing w:val="-8"/>
          <w:position w:val="17"/>
          <w:sz w:val="24"/>
          <w:szCs w:val="24"/>
        </w:rPr>
        <w:t>地下水环</w:t>
      </w:r>
    </w:p>
    <w:p>
      <w:pPr>
        <w:spacing w:line="218" w:lineRule="auto"/>
        <w:ind w:left="40"/>
        <w:rPr>
          <w:rFonts w:ascii="宋体" w:hAnsi="宋体" w:eastAsia="宋体" w:cs="宋体"/>
          <w:sz w:val="24"/>
          <w:szCs w:val="24"/>
        </w:rPr>
      </w:pPr>
      <w:r>
        <w:rPr>
          <w:rFonts w:ascii="宋体" w:hAnsi="宋体" w:eastAsia="宋体" w:cs="宋体"/>
          <w:spacing w:val="-10"/>
          <w:sz w:val="24"/>
          <w:szCs w:val="24"/>
        </w:rPr>
        <w:t>境影响评价行业分类表， 库区枢纽工程属于Ⅲ类建设项目，</w:t>
      </w:r>
      <w:r>
        <w:rPr>
          <w:rFonts w:ascii="宋体" w:hAnsi="宋体" w:eastAsia="宋体" w:cs="宋体"/>
          <w:spacing w:val="25"/>
          <w:sz w:val="24"/>
          <w:szCs w:val="24"/>
        </w:rPr>
        <w:t xml:space="preserve"> </w:t>
      </w:r>
      <w:r>
        <w:rPr>
          <w:rFonts w:ascii="宋体" w:hAnsi="宋体" w:eastAsia="宋体" w:cs="宋体"/>
          <w:spacing w:val="-10"/>
          <w:sz w:val="24"/>
          <w:szCs w:val="24"/>
        </w:rPr>
        <w:t>需</w:t>
      </w:r>
      <w:r>
        <w:rPr>
          <w:rFonts w:ascii="宋体" w:hAnsi="宋体" w:eastAsia="宋体" w:cs="宋体"/>
          <w:spacing w:val="-11"/>
          <w:sz w:val="24"/>
          <w:szCs w:val="24"/>
        </w:rPr>
        <w:t>开展地下水环境影</w:t>
      </w:r>
    </w:p>
    <w:p>
      <w:pPr>
        <w:spacing w:line="218" w:lineRule="auto"/>
        <w:rPr>
          <w:rFonts w:ascii="宋体" w:hAnsi="宋体" w:eastAsia="宋体" w:cs="宋体"/>
          <w:sz w:val="24"/>
          <w:szCs w:val="24"/>
        </w:rPr>
        <w:sectPr>
          <w:headerReference r:id="rId39" w:type="default"/>
          <w:footerReference r:id="rId40" w:type="default"/>
          <w:pgSz w:w="11907" w:h="16839"/>
          <w:pgMar w:top="1156" w:right="1768" w:bottom="1154" w:left="1770" w:header="881" w:footer="991" w:gutter="0"/>
        </w:sectPr>
      </w:pPr>
    </w:p>
    <w:p>
      <w:pPr>
        <w:rPr>
          <w:rFonts w:ascii="Arial"/>
          <w:sz w:val="21"/>
        </w:rPr>
      </w:pPr>
    </w:p>
    <w:p>
      <w:pPr>
        <w:spacing w:before="78" w:line="218" w:lineRule="auto"/>
        <w:ind w:left="190"/>
        <w:rPr>
          <w:rFonts w:ascii="宋体" w:hAnsi="宋体" w:eastAsia="宋体" w:cs="宋体"/>
          <w:sz w:val="24"/>
          <w:szCs w:val="24"/>
        </w:rPr>
      </w:pPr>
      <w:r>
        <w:rPr>
          <w:rFonts w:ascii="宋体" w:hAnsi="宋体" w:eastAsia="宋体" w:cs="宋体"/>
          <w:spacing w:val="-2"/>
          <w:sz w:val="24"/>
          <w:szCs w:val="24"/>
        </w:rPr>
        <w:t>响评价；配套管道工程属于Ⅳ类建设项目，不开展地下水环境影响评价。</w:t>
      </w:r>
    </w:p>
    <w:p>
      <w:pPr>
        <w:spacing w:before="183" w:line="359" w:lineRule="auto"/>
        <w:ind w:left="178" w:right="215" w:firstLine="480"/>
        <w:jc w:val="both"/>
        <w:rPr>
          <w:rFonts w:ascii="宋体" w:hAnsi="宋体" w:eastAsia="宋体" w:cs="宋体"/>
          <w:sz w:val="24"/>
          <w:szCs w:val="24"/>
        </w:rPr>
      </w:pPr>
      <w:r>
        <w:rPr>
          <w:rFonts w:ascii="宋体" w:hAnsi="宋体" w:eastAsia="宋体" w:cs="宋体"/>
          <w:spacing w:val="4"/>
          <w:sz w:val="24"/>
          <w:szCs w:val="24"/>
        </w:rPr>
        <w:t>本工程所在区域无集中式饮用水水源保护区以及国家或地方政府设定的与</w:t>
      </w:r>
      <w:r>
        <w:rPr>
          <w:rFonts w:ascii="宋体" w:hAnsi="宋体" w:eastAsia="宋体" w:cs="宋体"/>
          <w:spacing w:val="8"/>
          <w:sz w:val="24"/>
          <w:szCs w:val="24"/>
        </w:rPr>
        <w:t xml:space="preserve"> </w:t>
      </w:r>
      <w:r>
        <w:rPr>
          <w:rFonts w:ascii="宋体" w:hAnsi="宋体" w:eastAsia="宋体" w:cs="宋体"/>
          <w:spacing w:val="-10"/>
          <w:sz w:val="24"/>
          <w:szCs w:val="24"/>
        </w:rPr>
        <w:t>地下水环境相关的其他保护区，</w:t>
      </w:r>
      <w:r>
        <w:rPr>
          <w:rFonts w:ascii="宋体" w:hAnsi="宋体" w:eastAsia="宋体" w:cs="宋体"/>
          <w:spacing w:val="32"/>
          <w:sz w:val="24"/>
          <w:szCs w:val="24"/>
        </w:rPr>
        <w:t xml:space="preserve"> </w:t>
      </w:r>
      <w:r>
        <w:rPr>
          <w:rFonts w:ascii="宋体" w:hAnsi="宋体" w:eastAsia="宋体" w:cs="宋体"/>
          <w:spacing w:val="-10"/>
          <w:sz w:val="24"/>
          <w:szCs w:val="24"/>
        </w:rPr>
        <w:t>区域居民饮用</w:t>
      </w:r>
      <w:r>
        <w:rPr>
          <w:rFonts w:ascii="宋体" w:hAnsi="宋体" w:eastAsia="宋体" w:cs="宋体"/>
          <w:spacing w:val="-11"/>
          <w:sz w:val="24"/>
          <w:szCs w:val="24"/>
        </w:rPr>
        <w:t>水为地表水， 工程所在区域地下水</w:t>
      </w:r>
    </w:p>
    <w:p>
      <w:pPr>
        <w:spacing w:line="218" w:lineRule="auto"/>
        <w:ind w:left="179"/>
        <w:rPr>
          <w:rFonts w:ascii="宋体" w:hAnsi="宋体" w:eastAsia="宋体" w:cs="宋体"/>
          <w:sz w:val="24"/>
          <w:szCs w:val="24"/>
        </w:rPr>
      </w:pPr>
      <w:r>
        <w:rPr>
          <w:rFonts w:ascii="宋体" w:hAnsi="宋体" w:eastAsia="宋体" w:cs="宋体"/>
          <w:spacing w:val="-1"/>
          <w:sz w:val="24"/>
          <w:szCs w:val="24"/>
        </w:rPr>
        <w:t>敏感程度为不敏感，因此，本工程地下水环</w:t>
      </w:r>
      <w:r>
        <w:rPr>
          <w:rFonts w:ascii="宋体" w:hAnsi="宋体" w:eastAsia="宋体" w:cs="宋体"/>
          <w:spacing w:val="-2"/>
          <w:sz w:val="24"/>
          <w:szCs w:val="24"/>
        </w:rPr>
        <w:t>境影响评价工作等级为三级。</w:t>
      </w:r>
    </w:p>
    <w:p>
      <w:pPr>
        <w:spacing w:before="183" w:line="218" w:lineRule="auto"/>
        <w:ind w:left="78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）评价范围</w:t>
      </w:r>
    </w:p>
    <w:p>
      <w:pPr>
        <w:spacing w:before="183" w:line="218" w:lineRule="auto"/>
        <w:ind w:left="657"/>
        <w:rPr>
          <w:rFonts w:ascii="宋体" w:hAnsi="宋体" w:eastAsia="宋体" w:cs="宋体"/>
          <w:sz w:val="24"/>
          <w:szCs w:val="24"/>
        </w:rPr>
      </w:pPr>
      <w:r>
        <w:rPr>
          <w:rFonts w:ascii="宋体" w:hAnsi="宋体" w:eastAsia="宋体" w:cs="宋体"/>
          <w:spacing w:val="-1"/>
          <w:sz w:val="24"/>
          <w:szCs w:val="24"/>
        </w:rPr>
        <w:t>评价范围主要为库区所在水文地质单元。</w:t>
      </w:r>
    </w:p>
    <w:p>
      <w:pPr>
        <w:spacing w:line="432" w:lineRule="auto"/>
        <w:rPr>
          <w:rFonts w:ascii="Arial"/>
          <w:sz w:val="21"/>
        </w:rPr>
      </w:pPr>
    </w:p>
    <w:p>
      <w:pPr>
        <w:pStyle w:val="2"/>
        <w:spacing w:before="78" w:line="233" w:lineRule="auto"/>
        <w:ind w:left="185"/>
        <w:outlineLvl w:val="1"/>
        <w:rPr>
          <w:sz w:val="24"/>
          <w:szCs w:val="24"/>
        </w:rPr>
      </w:pPr>
      <w:r>
        <w:rPr>
          <w:rFonts w:ascii="Times New Roman" w:hAnsi="Times New Roman" w:eastAsia="Times New Roman" w:cs="Times New Roman"/>
          <w:b/>
          <w:bCs/>
          <w:spacing w:val="-2"/>
          <w:sz w:val="24"/>
          <w:szCs w:val="24"/>
        </w:rPr>
        <w:t xml:space="preserve">1.6.4 </w:t>
      </w:r>
      <w:r>
        <w:rPr>
          <w:spacing w:val="-2"/>
          <w:sz w:val="24"/>
          <w:szCs w:val="24"/>
          <w14:textOutline w14:w="4354" w14:cap="flat" w14:cmpd="sng">
            <w14:solidFill>
              <w14:srgbClr w14:val="000000"/>
            </w14:solidFill>
            <w14:prstDash w14:val="solid"/>
            <w14:miter w14:val="0"/>
          </w14:textOutline>
        </w:rPr>
        <w:t>声环境</w:t>
      </w:r>
    </w:p>
    <w:p>
      <w:pPr>
        <w:spacing w:before="200" w:line="218" w:lineRule="auto"/>
        <w:ind w:left="78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）评价等级</w:t>
      </w:r>
    </w:p>
    <w:p>
      <w:pPr>
        <w:spacing w:before="183" w:line="219" w:lineRule="auto"/>
        <w:ind w:left="782"/>
        <w:rPr>
          <w:rFonts w:ascii="宋体" w:hAnsi="宋体" w:eastAsia="宋体" w:cs="宋体"/>
          <w:sz w:val="24"/>
          <w:szCs w:val="24"/>
        </w:rPr>
      </w:pPr>
      <w:r>
        <w:rPr>
          <w:rFonts w:ascii="宋体" w:hAnsi="宋体" w:eastAsia="宋体" w:cs="宋体"/>
          <w:spacing w:val="-4"/>
          <w:sz w:val="24"/>
          <w:szCs w:val="24"/>
        </w:rPr>
        <w:t>项目声环境等级划分依据详见表</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1.6-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pPr>
        <w:spacing w:line="342" w:lineRule="auto"/>
        <w:rPr>
          <w:rFonts w:ascii="Arial"/>
          <w:sz w:val="21"/>
        </w:rPr>
      </w:pPr>
    </w:p>
    <w:p>
      <w:pPr>
        <w:spacing w:line="343" w:lineRule="auto"/>
        <w:rPr>
          <w:rFonts w:ascii="Arial"/>
          <w:sz w:val="21"/>
        </w:rPr>
      </w:pPr>
    </w:p>
    <w:p>
      <w:pPr>
        <w:pStyle w:val="2"/>
        <w:spacing w:before="69" w:line="218" w:lineRule="auto"/>
        <w:ind w:left="2403"/>
      </w:pPr>
      <w:r>
        <w:rPr>
          <w:spacing w:val="-1"/>
          <w14:textOutline w14:w="3810" w14:cap="flat" w14:cmpd="sng">
            <w14:solidFill>
              <w14:srgbClr w14:val="000000"/>
            </w14:solidFill>
            <w14:prstDash w14:val="solid"/>
            <w14:miter w14:val="0"/>
          </w14:textOutline>
        </w:rPr>
        <w:t>表</w:t>
      </w:r>
      <w:r>
        <w:rPr>
          <w:spacing w:val="-31"/>
        </w:rPr>
        <w:t xml:space="preserve"> </w:t>
      </w:r>
      <w:r>
        <w:rPr>
          <w:rFonts w:ascii="Times New Roman" w:hAnsi="Times New Roman" w:eastAsia="Times New Roman" w:cs="Times New Roman"/>
          <w:b/>
          <w:bCs/>
          <w:spacing w:val="-1"/>
        </w:rPr>
        <w:t xml:space="preserve">1.6-1    </w:t>
      </w:r>
      <w:r>
        <w:rPr>
          <w:spacing w:val="-1"/>
          <w14:textOutline w14:w="3810" w14:cap="flat" w14:cmpd="sng">
            <w14:solidFill>
              <w14:srgbClr w14:val="000000"/>
            </w14:solidFill>
            <w14:prstDash w14:val="solid"/>
            <w14:miter w14:val="0"/>
          </w14:textOutline>
        </w:rPr>
        <w:t>声环境影响评价工作等级划分表</w:t>
      </w:r>
    </w:p>
    <w:p>
      <w:pPr>
        <w:spacing w:line="20" w:lineRule="exact"/>
      </w:pPr>
    </w:p>
    <w:tbl>
      <w:tblPr>
        <w:tblStyle w:val="5"/>
        <w:tblW w:w="8537" w:type="dxa"/>
        <w:tblInd w:w="1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4"/>
        <w:gridCol w:w="2132"/>
        <w:gridCol w:w="1802"/>
        <w:gridCol w:w="24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144" w:type="dxa"/>
            <w:tcBorders>
              <w:top w:val="single" w:color="000000" w:sz="12" w:space="0"/>
              <w:left w:val="nil"/>
            </w:tcBorders>
            <w:vAlign w:val="top"/>
          </w:tcPr>
          <w:p>
            <w:pPr>
              <w:spacing w:before="76" w:line="205" w:lineRule="auto"/>
              <w:ind w:left="67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项目类别</w:t>
            </w:r>
          </w:p>
        </w:tc>
        <w:tc>
          <w:tcPr>
            <w:tcW w:w="2132" w:type="dxa"/>
            <w:tcBorders>
              <w:top w:val="single" w:color="000000" w:sz="12" w:space="0"/>
            </w:tcBorders>
            <w:vAlign w:val="top"/>
          </w:tcPr>
          <w:p>
            <w:pPr>
              <w:spacing w:before="76" w:line="205" w:lineRule="auto"/>
              <w:ind w:left="869"/>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一级</w:t>
            </w:r>
          </w:p>
        </w:tc>
        <w:tc>
          <w:tcPr>
            <w:tcW w:w="1802" w:type="dxa"/>
            <w:tcBorders>
              <w:top w:val="single" w:color="000000" w:sz="12" w:space="0"/>
            </w:tcBorders>
            <w:vAlign w:val="top"/>
          </w:tcPr>
          <w:p>
            <w:pPr>
              <w:spacing w:before="76" w:line="205" w:lineRule="auto"/>
              <w:ind w:left="708"/>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二级</w:t>
            </w:r>
          </w:p>
        </w:tc>
        <w:tc>
          <w:tcPr>
            <w:tcW w:w="2459" w:type="dxa"/>
            <w:tcBorders>
              <w:top w:val="single" w:color="000000" w:sz="12" w:space="0"/>
              <w:right w:val="nil"/>
            </w:tcBorders>
            <w:vAlign w:val="top"/>
          </w:tcPr>
          <w:p>
            <w:pPr>
              <w:spacing w:before="76" w:line="205" w:lineRule="auto"/>
              <w:ind w:left="103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144" w:type="dxa"/>
            <w:vMerge w:val="restart"/>
            <w:tcBorders>
              <w:left w:val="nil"/>
              <w:bottom w:val="nil"/>
            </w:tcBorders>
            <w:vAlign w:val="top"/>
          </w:tcPr>
          <w:p>
            <w:pPr>
              <w:spacing w:line="336" w:lineRule="auto"/>
              <w:rPr>
                <w:rFonts w:ascii="Arial"/>
                <w:sz w:val="21"/>
              </w:rPr>
            </w:pPr>
          </w:p>
          <w:p>
            <w:pPr>
              <w:spacing w:before="68" w:line="218" w:lineRule="auto"/>
              <w:ind w:left="672"/>
              <w:rPr>
                <w:rFonts w:ascii="仿宋" w:hAnsi="仿宋" w:eastAsia="仿宋" w:cs="仿宋"/>
                <w:sz w:val="21"/>
                <w:szCs w:val="21"/>
              </w:rPr>
            </w:pPr>
            <w:r>
              <w:rPr>
                <w:rFonts w:ascii="仿宋" w:hAnsi="仿宋" w:eastAsia="仿宋" w:cs="仿宋"/>
                <w:spacing w:val="-3"/>
                <w:sz w:val="21"/>
                <w:szCs w:val="21"/>
              </w:rPr>
              <w:t>适用标准</w:t>
            </w:r>
          </w:p>
        </w:tc>
        <w:tc>
          <w:tcPr>
            <w:tcW w:w="2132" w:type="dxa"/>
            <w:vAlign w:val="top"/>
          </w:tcPr>
          <w:p>
            <w:pPr>
              <w:pStyle w:val="6"/>
              <w:spacing w:before="81" w:line="201" w:lineRule="auto"/>
              <w:ind w:left="128"/>
              <w:rPr>
                <w:rFonts w:ascii="仿宋" w:hAnsi="仿宋" w:eastAsia="仿宋" w:cs="仿宋"/>
              </w:rPr>
            </w:pPr>
            <w:r>
              <w:rPr>
                <w:spacing w:val="-4"/>
              </w:rPr>
              <w:t>GB3096-2008</w:t>
            </w:r>
            <w:r>
              <w:rPr>
                <w:spacing w:val="41"/>
                <w:w w:val="101"/>
              </w:rPr>
              <w:t xml:space="preserve"> </w:t>
            </w:r>
            <w:r>
              <w:rPr>
                <w:rFonts w:ascii="仿宋" w:hAnsi="仿宋" w:eastAsia="仿宋" w:cs="仿宋"/>
                <w:spacing w:val="-4"/>
              </w:rPr>
              <w:t>中</w:t>
            </w:r>
            <w:r>
              <w:rPr>
                <w:rFonts w:ascii="仿宋" w:hAnsi="仿宋" w:eastAsia="仿宋" w:cs="仿宋"/>
                <w:spacing w:val="-46"/>
              </w:rPr>
              <w:t xml:space="preserve"> </w:t>
            </w:r>
            <w:r>
              <w:rPr>
                <w:spacing w:val="-4"/>
              </w:rPr>
              <w:t>0</w:t>
            </w:r>
            <w:r>
              <w:rPr>
                <w:spacing w:val="17"/>
              </w:rPr>
              <w:t xml:space="preserve"> </w:t>
            </w:r>
            <w:r>
              <w:rPr>
                <w:rFonts w:ascii="仿宋" w:hAnsi="仿宋" w:eastAsia="仿宋" w:cs="仿宋"/>
                <w:spacing w:val="-4"/>
              </w:rPr>
              <w:t>类</w:t>
            </w:r>
          </w:p>
        </w:tc>
        <w:tc>
          <w:tcPr>
            <w:tcW w:w="1802" w:type="dxa"/>
            <w:vMerge w:val="restart"/>
            <w:tcBorders>
              <w:bottom w:val="nil"/>
            </w:tcBorders>
            <w:vAlign w:val="top"/>
          </w:tcPr>
          <w:p>
            <w:pPr>
              <w:pStyle w:val="6"/>
              <w:spacing w:before="245" w:line="251" w:lineRule="auto"/>
              <w:ind w:left="371" w:right="165" w:hanging="197"/>
              <w:rPr>
                <w:rFonts w:ascii="仿宋" w:hAnsi="仿宋" w:eastAsia="仿宋" w:cs="仿宋"/>
              </w:rPr>
            </w:pPr>
            <w:r>
              <w:rPr>
                <w:spacing w:val="-4"/>
              </w:rPr>
              <w:t>GB3096-2008</w:t>
            </w:r>
            <w:r>
              <w:rPr>
                <w:spacing w:val="41"/>
              </w:rPr>
              <w:t xml:space="preserve"> </w:t>
            </w:r>
            <w:r>
              <w:rPr>
                <w:rFonts w:ascii="仿宋" w:hAnsi="仿宋" w:eastAsia="仿宋" w:cs="仿宋"/>
                <w:spacing w:val="-4"/>
              </w:rPr>
              <w:t>中</w:t>
            </w:r>
            <w:r>
              <w:rPr>
                <w:rFonts w:ascii="仿宋" w:hAnsi="仿宋" w:eastAsia="仿宋" w:cs="仿宋"/>
              </w:rPr>
              <w:t xml:space="preserve"> </w:t>
            </w:r>
            <w:r>
              <w:rPr>
                <w:spacing w:val="-11"/>
              </w:rPr>
              <w:t>1</w:t>
            </w:r>
            <w:r>
              <w:rPr>
                <w:spacing w:val="-23"/>
              </w:rPr>
              <w:t xml:space="preserve"> </w:t>
            </w:r>
            <w:r>
              <w:rPr>
                <w:rFonts w:ascii="仿宋" w:hAnsi="仿宋" w:eastAsia="仿宋" w:cs="仿宋"/>
                <w:spacing w:val="-11"/>
              </w:rPr>
              <w:t>、</w:t>
            </w:r>
            <w:r>
              <w:rPr>
                <w:spacing w:val="-11"/>
              </w:rPr>
              <w:t>2</w:t>
            </w:r>
            <w:r>
              <w:rPr>
                <w:spacing w:val="17"/>
                <w:w w:val="101"/>
              </w:rPr>
              <w:t xml:space="preserve"> </w:t>
            </w:r>
            <w:r>
              <w:rPr>
                <w:rFonts w:ascii="仿宋" w:hAnsi="仿宋" w:eastAsia="仿宋" w:cs="仿宋"/>
                <w:spacing w:val="-11"/>
              </w:rPr>
              <w:t>类地区</w:t>
            </w:r>
          </w:p>
        </w:tc>
        <w:tc>
          <w:tcPr>
            <w:tcW w:w="2459" w:type="dxa"/>
            <w:vMerge w:val="restart"/>
            <w:tcBorders>
              <w:bottom w:val="nil"/>
              <w:right w:val="nil"/>
            </w:tcBorders>
            <w:vAlign w:val="top"/>
          </w:tcPr>
          <w:p>
            <w:pPr>
              <w:pStyle w:val="6"/>
              <w:spacing w:before="244" w:line="255" w:lineRule="auto"/>
              <w:ind w:left="1029" w:right="129" w:hanging="896"/>
              <w:rPr>
                <w:rFonts w:ascii="仿宋" w:hAnsi="仿宋" w:eastAsia="仿宋" w:cs="仿宋"/>
              </w:rPr>
            </w:pPr>
            <w:r>
              <w:rPr>
                <w:spacing w:val="-7"/>
              </w:rPr>
              <w:t>GB3096-2008</w:t>
            </w:r>
            <w:r>
              <w:rPr>
                <w:spacing w:val="50"/>
              </w:rPr>
              <w:t xml:space="preserve"> </w:t>
            </w:r>
            <w:r>
              <w:rPr>
                <w:rFonts w:ascii="仿宋" w:hAnsi="仿宋" w:eastAsia="仿宋" w:cs="仿宋"/>
                <w:spacing w:val="-7"/>
              </w:rPr>
              <w:t>中</w:t>
            </w:r>
            <w:r>
              <w:rPr>
                <w:rFonts w:ascii="仿宋" w:hAnsi="仿宋" w:eastAsia="仿宋" w:cs="仿宋"/>
                <w:spacing w:val="-45"/>
              </w:rPr>
              <w:t xml:space="preserve"> </w:t>
            </w:r>
            <w:r>
              <w:rPr>
                <w:spacing w:val="-7"/>
              </w:rPr>
              <w:t>3</w:t>
            </w:r>
            <w:r>
              <w:rPr>
                <w:spacing w:val="-22"/>
              </w:rPr>
              <w:t xml:space="preserve"> </w:t>
            </w:r>
            <w:r>
              <w:rPr>
                <w:rFonts w:ascii="仿宋" w:hAnsi="仿宋" w:eastAsia="仿宋" w:cs="仿宋"/>
                <w:spacing w:val="-7"/>
              </w:rPr>
              <w:t>、</w:t>
            </w:r>
            <w:r>
              <w:rPr>
                <w:spacing w:val="-7"/>
              </w:rPr>
              <w:t>4</w:t>
            </w:r>
            <w:r>
              <w:rPr>
                <w:spacing w:val="17"/>
                <w:w w:val="101"/>
              </w:rPr>
              <w:t xml:space="preserve"> </w:t>
            </w:r>
            <w:r>
              <w:rPr>
                <w:rFonts w:ascii="仿宋" w:hAnsi="仿宋" w:eastAsia="仿宋" w:cs="仿宋"/>
                <w:spacing w:val="-7"/>
              </w:rPr>
              <w:t>类</w:t>
            </w:r>
            <w:r>
              <w:rPr>
                <w:rFonts w:ascii="仿宋" w:hAnsi="仿宋" w:eastAsia="仿宋" w:cs="仿宋"/>
              </w:rPr>
              <w:t xml:space="preserve"> </w:t>
            </w:r>
            <w:r>
              <w:rPr>
                <w:rFonts w:ascii="仿宋" w:hAnsi="仿宋" w:eastAsia="仿宋" w:cs="仿宋"/>
                <w:spacing w:val="-4"/>
              </w:rPr>
              <w:t>地区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6" w:hRule="atLeast"/>
        </w:trPr>
        <w:tc>
          <w:tcPr>
            <w:tcW w:w="2144" w:type="dxa"/>
            <w:vMerge w:val="continue"/>
            <w:tcBorders>
              <w:top w:val="nil"/>
              <w:left w:val="nil"/>
            </w:tcBorders>
            <w:vAlign w:val="top"/>
          </w:tcPr>
          <w:p>
            <w:pPr>
              <w:rPr>
                <w:rFonts w:ascii="Arial"/>
                <w:sz w:val="21"/>
              </w:rPr>
            </w:pPr>
          </w:p>
        </w:tc>
        <w:tc>
          <w:tcPr>
            <w:tcW w:w="2132" w:type="dxa"/>
            <w:vAlign w:val="top"/>
          </w:tcPr>
          <w:p>
            <w:pPr>
              <w:spacing w:before="86" w:line="237" w:lineRule="auto"/>
              <w:ind w:left="340" w:right="119" w:hanging="211"/>
              <w:rPr>
                <w:rFonts w:ascii="仿宋" w:hAnsi="仿宋" w:eastAsia="仿宋" w:cs="仿宋"/>
                <w:sz w:val="21"/>
                <w:szCs w:val="21"/>
              </w:rPr>
            </w:pPr>
            <w:r>
              <w:rPr>
                <w:rFonts w:ascii="仿宋" w:hAnsi="仿宋" w:eastAsia="仿宋" w:cs="仿宋"/>
                <w:spacing w:val="-2"/>
                <w:sz w:val="21"/>
                <w:szCs w:val="21"/>
              </w:rPr>
              <w:t>有特别限制要求的保</w:t>
            </w:r>
            <w:r>
              <w:rPr>
                <w:rFonts w:ascii="仿宋" w:hAnsi="仿宋" w:eastAsia="仿宋" w:cs="仿宋"/>
                <w:spacing w:val="5"/>
                <w:sz w:val="21"/>
                <w:szCs w:val="21"/>
              </w:rPr>
              <w:t xml:space="preserve"> </w:t>
            </w:r>
            <w:r>
              <w:rPr>
                <w:rFonts w:ascii="仿宋" w:hAnsi="仿宋" w:eastAsia="仿宋" w:cs="仿宋"/>
                <w:spacing w:val="-2"/>
                <w:sz w:val="21"/>
                <w:szCs w:val="21"/>
              </w:rPr>
              <w:t>护区等敏感目标</w:t>
            </w:r>
          </w:p>
        </w:tc>
        <w:tc>
          <w:tcPr>
            <w:tcW w:w="1802" w:type="dxa"/>
            <w:vMerge w:val="continue"/>
            <w:tcBorders>
              <w:top w:val="nil"/>
            </w:tcBorders>
            <w:vAlign w:val="top"/>
          </w:tcPr>
          <w:p>
            <w:pPr>
              <w:rPr>
                <w:rFonts w:ascii="Arial"/>
                <w:sz w:val="21"/>
              </w:rPr>
            </w:pPr>
          </w:p>
        </w:tc>
        <w:tc>
          <w:tcPr>
            <w:tcW w:w="2459"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144" w:type="dxa"/>
            <w:tcBorders>
              <w:left w:val="nil"/>
            </w:tcBorders>
            <w:vAlign w:val="top"/>
          </w:tcPr>
          <w:p>
            <w:pPr>
              <w:spacing w:before="96" w:line="188" w:lineRule="auto"/>
              <w:ind w:left="252"/>
              <w:rPr>
                <w:rFonts w:ascii="仿宋" w:hAnsi="仿宋" w:eastAsia="仿宋" w:cs="仿宋"/>
                <w:sz w:val="21"/>
                <w:szCs w:val="21"/>
              </w:rPr>
            </w:pPr>
            <w:r>
              <w:rPr>
                <w:rFonts w:ascii="仿宋" w:hAnsi="仿宋" w:eastAsia="仿宋" w:cs="仿宋"/>
                <w:spacing w:val="-2"/>
                <w:sz w:val="21"/>
                <w:szCs w:val="21"/>
              </w:rPr>
              <w:t>建设后噪声增加值</w:t>
            </w:r>
          </w:p>
        </w:tc>
        <w:tc>
          <w:tcPr>
            <w:tcW w:w="2132" w:type="dxa"/>
            <w:vAlign w:val="top"/>
          </w:tcPr>
          <w:p>
            <w:pPr>
              <w:pStyle w:val="6"/>
              <w:spacing w:before="96" w:line="188" w:lineRule="auto"/>
              <w:ind w:left="664"/>
            </w:pPr>
            <w:r>
              <w:rPr>
                <w:rFonts w:ascii="仿宋" w:hAnsi="仿宋" w:eastAsia="仿宋" w:cs="仿宋"/>
                <w:spacing w:val="15"/>
              </w:rPr>
              <w:t>&gt;</w:t>
            </w:r>
            <w:r>
              <w:rPr>
                <w:spacing w:val="15"/>
              </w:rPr>
              <w:t>5</w:t>
            </w:r>
            <w:r>
              <w:t>dB</w:t>
            </w:r>
            <w:r>
              <w:rPr>
                <w:spacing w:val="15"/>
              </w:rPr>
              <w:t>(A)</w:t>
            </w:r>
          </w:p>
        </w:tc>
        <w:tc>
          <w:tcPr>
            <w:tcW w:w="1802" w:type="dxa"/>
            <w:vAlign w:val="top"/>
          </w:tcPr>
          <w:p>
            <w:pPr>
              <w:pStyle w:val="6"/>
              <w:spacing w:before="128" w:line="180" w:lineRule="auto"/>
              <w:ind w:left="499"/>
            </w:pPr>
            <w:r>
              <w:rPr>
                <w:spacing w:val="-1"/>
              </w:rPr>
              <w:t>3-5dB(A)</w:t>
            </w:r>
          </w:p>
        </w:tc>
        <w:tc>
          <w:tcPr>
            <w:tcW w:w="2459" w:type="dxa"/>
            <w:tcBorders>
              <w:right w:val="nil"/>
            </w:tcBorders>
            <w:vAlign w:val="top"/>
          </w:tcPr>
          <w:p>
            <w:pPr>
              <w:pStyle w:val="6"/>
              <w:spacing w:before="96" w:line="188" w:lineRule="auto"/>
              <w:ind w:left="823"/>
            </w:pPr>
            <w:r>
              <w:rPr>
                <w:rFonts w:ascii="仿宋" w:hAnsi="仿宋" w:eastAsia="仿宋" w:cs="仿宋"/>
                <w:spacing w:val="-4"/>
              </w:rPr>
              <w:t>＜</w:t>
            </w:r>
            <w:r>
              <w:rPr>
                <w:spacing w:val="-4"/>
              </w:rPr>
              <w:t>3dB(A)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144" w:type="dxa"/>
            <w:tcBorders>
              <w:left w:val="nil"/>
              <w:bottom w:val="single" w:color="000000" w:sz="12" w:space="0"/>
            </w:tcBorders>
            <w:vAlign w:val="top"/>
          </w:tcPr>
          <w:p>
            <w:pPr>
              <w:spacing w:before="100" w:line="206" w:lineRule="auto"/>
              <w:ind w:left="578"/>
              <w:rPr>
                <w:rFonts w:ascii="仿宋" w:hAnsi="仿宋" w:eastAsia="仿宋" w:cs="仿宋"/>
                <w:sz w:val="21"/>
                <w:szCs w:val="21"/>
              </w:rPr>
            </w:pPr>
            <w:r>
              <w:rPr>
                <w:rFonts w:ascii="仿宋" w:hAnsi="仿宋" w:eastAsia="仿宋" w:cs="仿宋"/>
                <w:spacing w:val="-4"/>
                <w:sz w:val="21"/>
                <w:szCs w:val="21"/>
              </w:rPr>
              <w:t>受影响人口</w:t>
            </w:r>
          </w:p>
        </w:tc>
        <w:tc>
          <w:tcPr>
            <w:tcW w:w="2132" w:type="dxa"/>
            <w:tcBorders>
              <w:bottom w:val="single" w:color="000000" w:sz="12" w:space="0"/>
            </w:tcBorders>
            <w:vAlign w:val="top"/>
          </w:tcPr>
          <w:p>
            <w:pPr>
              <w:spacing w:before="100" w:line="206" w:lineRule="auto"/>
              <w:ind w:left="664"/>
              <w:rPr>
                <w:rFonts w:ascii="仿宋" w:hAnsi="仿宋" w:eastAsia="仿宋" w:cs="仿宋"/>
                <w:sz w:val="21"/>
                <w:szCs w:val="21"/>
              </w:rPr>
            </w:pPr>
            <w:r>
              <w:rPr>
                <w:rFonts w:ascii="仿宋" w:hAnsi="仿宋" w:eastAsia="仿宋" w:cs="仿宋"/>
                <w:spacing w:val="-4"/>
                <w:sz w:val="21"/>
                <w:szCs w:val="21"/>
              </w:rPr>
              <w:t>显著增多</w:t>
            </w:r>
          </w:p>
        </w:tc>
        <w:tc>
          <w:tcPr>
            <w:tcW w:w="1802" w:type="dxa"/>
            <w:tcBorders>
              <w:bottom w:val="single" w:color="000000" w:sz="12" w:space="0"/>
            </w:tcBorders>
            <w:vAlign w:val="top"/>
          </w:tcPr>
          <w:p>
            <w:pPr>
              <w:spacing w:before="100" w:line="206" w:lineRule="auto"/>
              <w:ind w:left="492"/>
              <w:rPr>
                <w:rFonts w:ascii="仿宋" w:hAnsi="仿宋" w:eastAsia="仿宋" w:cs="仿宋"/>
                <w:sz w:val="21"/>
                <w:szCs w:val="21"/>
              </w:rPr>
            </w:pPr>
            <w:r>
              <w:rPr>
                <w:rFonts w:ascii="仿宋" w:hAnsi="仿宋" w:eastAsia="仿宋" w:cs="仿宋"/>
                <w:spacing w:val="-3"/>
                <w:sz w:val="21"/>
                <w:szCs w:val="21"/>
              </w:rPr>
              <w:t>增加较多</w:t>
            </w:r>
          </w:p>
        </w:tc>
        <w:tc>
          <w:tcPr>
            <w:tcW w:w="2459" w:type="dxa"/>
            <w:tcBorders>
              <w:bottom w:val="single" w:color="000000" w:sz="12" w:space="0"/>
              <w:right w:val="nil"/>
            </w:tcBorders>
            <w:vAlign w:val="top"/>
          </w:tcPr>
          <w:p>
            <w:pPr>
              <w:spacing w:before="100" w:line="206" w:lineRule="auto"/>
              <w:ind w:left="826"/>
              <w:rPr>
                <w:rFonts w:ascii="仿宋" w:hAnsi="仿宋" w:eastAsia="仿宋" w:cs="仿宋"/>
                <w:sz w:val="21"/>
                <w:szCs w:val="21"/>
              </w:rPr>
            </w:pPr>
            <w:r>
              <w:rPr>
                <w:rFonts w:ascii="仿宋" w:hAnsi="仿宋" w:eastAsia="仿宋" w:cs="仿宋"/>
                <w:spacing w:val="-4"/>
                <w:sz w:val="21"/>
                <w:szCs w:val="21"/>
              </w:rPr>
              <w:t>变化不大</w:t>
            </w:r>
          </w:p>
        </w:tc>
      </w:tr>
    </w:tbl>
    <w:p>
      <w:pPr>
        <w:spacing w:before="35" w:line="220" w:lineRule="auto"/>
        <w:ind w:left="662"/>
        <w:rPr>
          <w:rFonts w:ascii="宋体" w:hAnsi="宋体" w:eastAsia="宋体" w:cs="宋体"/>
          <w:sz w:val="24"/>
          <w:szCs w:val="24"/>
        </w:rPr>
      </w:pPr>
      <w:r>
        <w:rPr>
          <w:rFonts w:ascii="宋体" w:hAnsi="宋体" w:eastAsia="宋体" w:cs="宋体"/>
          <w:spacing w:val="-7"/>
          <w:sz w:val="24"/>
          <w:szCs w:val="24"/>
        </w:rPr>
        <w:t>项目所在地属于声环境</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类功能区， 建设后噪声增加值＜</w:t>
      </w:r>
      <w:r>
        <w:rPr>
          <w:rFonts w:ascii="Times New Roman" w:hAnsi="Times New Roman" w:eastAsia="Times New Roman" w:cs="Times New Roman"/>
          <w:spacing w:val="-7"/>
          <w:sz w:val="24"/>
          <w:szCs w:val="24"/>
        </w:rPr>
        <w:t>3dB</w:t>
      </w:r>
      <w:r>
        <w:rPr>
          <w:rFonts w:ascii="宋体" w:hAnsi="宋体" w:eastAsia="宋体" w:cs="宋体"/>
          <w:spacing w:val="-7"/>
          <w:sz w:val="24"/>
          <w:szCs w:val="24"/>
        </w:rPr>
        <w:t>（</w:t>
      </w:r>
      <w:r>
        <w:rPr>
          <w:rFonts w:ascii="Times New Roman" w:hAnsi="Times New Roman" w:eastAsia="Times New Roman" w:cs="Times New Roman"/>
          <w:spacing w:val="-7"/>
          <w:sz w:val="24"/>
          <w:szCs w:val="24"/>
        </w:rPr>
        <w:t>A</w:t>
      </w:r>
      <w:r>
        <w:rPr>
          <w:rFonts w:ascii="宋体" w:hAnsi="宋体" w:eastAsia="宋体" w:cs="宋体"/>
          <w:spacing w:val="-57"/>
          <w:sz w:val="24"/>
          <w:szCs w:val="24"/>
        </w:rPr>
        <w:t>），</w:t>
      </w:r>
      <w:r>
        <w:rPr>
          <w:rFonts w:ascii="宋体" w:hAnsi="宋体" w:eastAsia="宋体" w:cs="宋体"/>
          <w:spacing w:val="-7"/>
          <w:sz w:val="24"/>
          <w:szCs w:val="24"/>
        </w:rPr>
        <w:t>受影响</w:t>
      </w:r>
    </w:p>
    <w:p>
      <w:pPr>
        <w:spacing w:before="182" w:line="466" w:lineRule="exact"/>
        <w:ind w:left="180"/>
        <w:rPr>
          <w:rFonts w:ascii="宋体" w:hAnsi="宋体" w:eastAsia="宋体" w:cs="宋体"/>
          <w:sz w:val="24"/>
          <w:szCs w:val="24"/>
        </w:rPr>
      </w:pPr>
      <w:r>
        <w:rPr>
          <w:rFonts w:ascii="宋体" w:hAnsi="宋体" w:eastAsia="宋体" w:cs="宋体"/>
          <w:spacing w:val="-3"/>
          <w:position w:val="17"/>
          <w:sz w:val="24"/>
          <w:szCs w:val="24"/>
        </w:rPr>
        <w:t>人口变化不大，根据《环境影响评价技术导则</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声环境》（</w:t>
      </w:r>
      <w:r>
        <w:rPr>
          <w:rFonts w:ascii="Times New Roman" w:hAnsi="Times New Roman" w:eastAsia="Times New Roman" w:cs="Times New Roman"/>
          <w:spacing w:val="-3"/>
          <w:position w:val="17"/>
          <w:sz w:val="24"/>
          <w:szCs w:val="24"/>
        </w:rPr>
        <w:t>HJ2.4-2009</w:t>
      </w:r>
      <w:r>
        <w:rPr>
          <w:rFonts w:ascii="宋体" w:hAnsi="宋体" w:eastAsia="宋体" w:cs="宋体"/>
          <w:spacing w:val="-3"/>
          <w:position w:val="17"/>
          <w:sz w:val="24"/>
          <w:szCs w:val="24"/>
        </w:rPr>
        <w:t>）确定本次</w:t>
      </w:r>
    </w:p>
    <w:p>
      <w:pPr>
        <w:spacing w:before="1" w:line="218" w:lineRule="auto"/>
        <w:ind w:left="183"/>
        <w:rPr>
          <w:rFonts w:ascii="宋体" w:hAnsi="宋体" w:eastAsia="宋体" w:cs="宋体"/>
          <w:sz w:val="24"/>
          <w:szCs w:val="24"/>
        </w:rPr>
      </w:pPr>
      <w:r>
        <w:rPr>
          <w:rFonts w:ascii="宋体" w:hAnsi="宋体" w:eastAsia="宋体" w:cs="宋体"/>
          <w:spacing w:val="-3"/>
          <w:sz w:val="24"/>
          <w:szCs w:val="24"/>
        </w:rPr>
        <w:t>声环境影响评价工作等级为二级。</w:t>
      </w:r>
    </w:p>
    <w:p>
      <w:pPr>
        <w:spacing w:before="183" w:line="218" w:lineRule="auto"/>
        <w:ind w:left="66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）评价范围</w:t>
      </w:r>
    </w:p>
    <w:p>
      <w:pPr>
        <w:spacing w:before="183" w:line="467" w:lineRule="exact"/>
        <w:ind w:left="657"/>
        <w:rPr>
          <w:rFonts w:ascii="宋体" w:hAnsi="宋体" w:eastAsia="宋体" w:cs="宋体"/>
          <w:sz w:val="24"/>
          <w:szCs w:val="24"/>
        </w:rPr>
      </w:pPr>
      <w:r>
        <w:rPr>
          <w:rFonts w:ascii="宋体" w:hAnsi="宋体" w:eastAsia="宋体" w:cs="宋体"/>
          <w:spacing w:val="12"/>
          <w:position w:val="17"/>
          <w:sz w:val="24"/>
          <w:szCs w:val="24"/>
        </w:rPr>
        <w:t>评价范围包括枢纽工程区、施工场地和场内外交通公路中心线两侧外延</w:t>
      </w:r>
    </w:p>
    <w:p>
      <w:pPr>
        <w:spacing w:line="220" w:lineRule="auto"/>
        <w:ind w:left="174"/>
        <w:rPr>
          <w:rFonts w:ascii="宋体" w:hAnsi="宋体" w:eastAsia="宋体" w:cs="宋体"/>
          <w:sz w:val="24"/>
          <w:szCs w:val="24"/>
        </w:rPr>
      </w:pPr>
      <w:r>
        <w:rPr>
          <w:rFonts w:ascii="Times New Roman" w:hAnsi="Times New Roman" w:eastAsia="Times New Roman" w:cs="Times New Roman"/>
          <w:spacing w:val="-5"/>
          <w:sz w:val="24"/>
          <w:szCs w:val="24"/>
        </w:rPr>
        <w:t>200m</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的范围。</w:t>
      </w:r>
    </w:p>
    <w:p>
      <w:pPr>
        <w:spacing w:line="429" w:lineRule="auto"/>
        <w:rPr>
          <w:rFonts w:ascii="Arial"/>
          <w:sz w:val="21"/>
        </w:rPr>
      </w:pPr>
    </w:p>
    <w:p>
      <w:pPr>
        <w:pStyle w:val="2"/>
        <w:spacing w:before="79" w:line="233" w:lineRule="auto"/>
        <w:ind w:left="185"/>
        <w:outlineLvl w:val="1"/>
        <w:rPr>
          <w:sz w:val="24"/>
          <w:szCs w:val="24"/>
        </w:rPr>
      </w:pPr>
      <w:r>
        <w:rPr>
          <w:rFonts w:ascii="Times New Roman" w:hAnsi="Times New Roman" w:eastAsia="Times New Roman" w:cs="Times New Roman"/>
          <w:b/>
          <w:bCs/>
          <w:spacing w:val="-2"/>
          <w:sz w:val="24"/>
          <w:szCs w:val="24"/>
        </w:rPr>
        <w:t xml:space="preserve">1.6.5 </w:t>
      </w:r>
      <w:r>
        <w:rPr>
          <w:spacing w:val="-2"/>
          <w:sz w:val="24"/>
          <w:szCs w:val="24"/>
          <w14:textOutline w14:w="4354" w14:cap="flat" w14:cmpd="sng">
            <w14:solidFill>
              <w14:srgbClr w14:val="000000"/>
            </w14:solidFill>
            <w14:prstDash w14:val="solid"/>
            <w14:miter w14:val="0"/>
          </w14:textOutline>
        </w:rPr>
        <w:t>生态环境</w:t>
      </w:r>
    </w:p>
    <w:p>
      <w:pPr>
        <w:spacing w:before="199" w:line="218" w:lineRule="auto"/>
        <w:ind w:left="78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）评价等级</w:t>
      </w:r>
    </w:p>
    <w:p>
      <w:pPr>
        <w:spacing w:before="183" w:line="467" w:lineRule="exact"/>
        <w:ind w:left="778"/>
        <w:rPr>
          <w:rFonts w:ascii="宋体" w:hAnsi="宋体" w:eastAsia="宋体" w:cs="宋体"/>
          <w:sz w:val="24"/>
          <w:szCs w:val="24"/>
        </w:rPr>
      </w:pPr>
      <w:r>
        <w:rPr>
          <w:rFonts w:ascii="宋体" w:hAnsi="宋体" w:eastAsia="宋体" w:cs="宋体"/>
          <w:spacing w:val="-4"/>
          <w:position w:val="17"/>
          <w:sz w:val="24"/>
          <w:szCs w:val="24"/>
        </w:rPr>
        <w:t>根据《环境影响评价技术导则生态影响》（</w:t>
      </w:r>
      <w:r>
        <w:rPr>
          <w:rFonts w:ascii="Times New Roman" w:hAnsi="Times New Roman" w:eastAsia="Times New Roman" w:cs="Times New Roman"/>
          <w:spacing w:val="-4"/>
          <w:position w:val="17"/>
          <w:sz w:val="24"/>
          <w:szCs w:val="24"/>
        </w:rPr>
        <w:t>HJ19-2022</w:t>
      </w:r>
      <w:r>
        <w:rPr>
          <w:rFonts w:ascii="宋体" w:hAnsi="宋体" w:eastAsia="宋体" w:cs="宋体"/>
          <w:spacing w:val="-4"/>
          <w:position w:val="17"/>
          <w:sz w:val="24"/>
          <w:szCs w:val="24"/>
        </w:rPr>
        <w:t xml:space="preserve">）中 </w:t>
      </w:r>
      <w:r>
        <w:rPr>
          <w:rFonts w:ascii="Times New Roman" w:hAnsi="Times New Roman" w:eastAsia="Times New Roman" w:cs="Times New Roman"/>
          <w:spacing w:val="-4"/>
          <w:position w:val="17"/>
          <w:sz w:val="24"/>
          <w:szCs w:val="24"/>
        </w:rPr>
        <w:t xml:space="preserve">6.1  </w:t>
      </w:r>
      <w:r>
        <w:rPr>
          <w:rFonts w:ascii="宋体" w:hAnsi="宋体" w:eastAsia="宋体" w:cs="宋体"/>
          <w:spacing w:val="-4"/>
          <w:position w:val="17"/>
          <w:sz w:val="24"/>
          <w:szCs w:val="24"/>
        </w:rPr>
        <w:t>评价等级判</w:t>
      </w:r>
    </w:p>
    <w:p>
      <w:pPr>
        <w:spacing w:line="218" w:lineRule="auto"/>
        <w:ind w:left="184"/>
        <w:rPr>
          <w:rFonts w:ascii="宋体" w:hAnsi="宋体" w:eastAsia="宋体" w:cs="宋体"/>
          <w:sz w:val="24"/>
          <w:szCs w:val="24"/>
        </w:rPr>
      </w:pPr>
      <w:r>
        <w:rPr>
          <w:rFonts w:ascii="宋体" w:hAnsi="宋体" w:eastAsia="宋体" w:cs="宋体"/>
          <w:spacing w:val="-2"/>
          <w:sz w:val="24"/>
          <w:szCs w:val="24"/>
        </w:rPr>
        <w:t>定，项目生态环境影响评价等级判定见表</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1.6-2</w:t>
      </w:r>
      <w:r>
        <w:rPr>
          <w:rFonts w:ascii="宋体" w:hAnsi="宋体" w:eastAsia="宋体" w:cs="宋体"/>
          <w:spacing w:val="-2"/>
          <w:sz w:val="24"/>
          <w:szCs w:val="24"/>
        </w:rPr>
        <w:t>。</w:t>
      </w:r>
    </w:p>
    <w:p>
      <w:pPr>
        <w:spacing w:line="250" w:lineRule="auto"/>
        <w:rPr>
          <w:rFonts w:ascii="Arial"/>
          <w:sz w:val="21"/>
        </w:rPr>
      </w:pPr>
    </w:p>
    <w:p>
      <w:pPr>
        <w:pStyle w:val="2"/>
        <w:spacing w:before="69" w:line="218" w:lineRule="auto"/>
        <w:ind w:left="2508"/>
      </w:pPr>
      <w:r>
        <w:rPr>
          <w:spacing w:val="-1"/>
          <w14:textOutline w14:w="3810" w14:cap="flat" w14:cmpd="sng">
            <w14:solidFill>
              <w14:srgbClr w14:val="000000"/>
            </w14:solidFill>
            <w14:prstDash w14:val="solid"/>
            <w14:miter w14:val="0"/>
          </w14:textOutline>
        </w:rPr>
        <w:t>表</w:t>
      </w:r>
      <w:r>
        <w:rPr>
          <w:spacing w:val="-33"/>
        </w:rPr>
        <w:t xml:space="preserve"> </w:t>
      </w:r>
      <w:r>
        <w:rPr>
          <w:rFonts w:ascii="Times New Roman" w:hAnsi="Times New Roman" w:eastAsia="Times New Roman" w:cs="Times New Roman"/>
          <w:b/>
          <w:bCs/>
          <w:spacing w:val="-1"/>
        </w:rPr>
        <w:t xml:space="preserve">1.6-2    </w:t>
      </w:r>
      <w:r>
        <w:rPr>
          <w:spacing w:val="-1"/>
          <w14:textOutline w14:w="3810" w14:cap="flat" w14:cmpd="sng">
            <w14:solidFill>
              <w14:srgbClr w14:val="000000"/>
            </w14:solidFill>
            <w14:prstDash w14:val="solid"/>
            <w14:miter w14:val="0"/>
          </w14:textOutline>
        </w:rPr>
        <w:t>生态影响评价工作等级划分表</w:t>
      </w:r>
    </w:p>
    <w:p>
      <w:pPr>
        <w:spacing w:line="20" w:lineRule="exact"/>
      </w:pPr>
    </w:p>
    <w:tbl>
      <w:tblPr>
        <w:tblStyle w:val="5"/>
        <w:tblW w:w="86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01"/>
        <w:gridCol w:w="2408"/>
        <w:gridCol w:w="22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4" w:hRule="atLeast"/>
        </w:trPr>
        <w:tc>
          <w:tcPr>
            <w:tcW w:w="4001" w:type="dxa"/>
            <w:tcBorders>
              <w:top w:val="single" w:color="000000" w:sz="12" w:space="0"/>
              <w:left w:val="nil"/>
            </w:tcBorders>
            <w:vAlign w:val="top"/>
          </w:tcPr>
          <w:p>
            <w:pPr>
              <w:spacing w:before="91" w:line="196" w:lineRule="auto"/>
              <w:ind w:left="160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判别依据</w:t>
            </w:r>
          </w:p>
        </w:tc>
        <w:tc>
          <w:tcPr>
            <w:tcW w:w="2408" w:type="dxa"/>
            <w:tcBorders>
              <w:top w:val="single" w:color="000000" w:sz="12" w:space="0"/>
            </w:tcBorders>
            <w:vAlign w:val="top"/>
          </w:tcPr>
          <w:p>
            <w:pPr>
              <w:spacing w:before="91" w:line="196" w:lineRule="auto"/>
              <w:ind w:left="79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评价等级</w:t>
            </w:r>
          </w:p>
        </w:tc>
        <w:tc>
          <w:tcPr>
            <w:tcW w:w="2222" w:type="dxa"/>
            <w:tcBorders>
              <w:top w:val="single" w:color="000000" w:sz="12" w:space="0"/>
              <w:right w:val="nil"/>
            </w:tcBorders>
            <w:vAlign w:val="top"/>
          </w:tcPr>
          <w:p>
            <w:pPr>
              <w:spacing w:before="91" w:line="196" w:lineRule="auto"/>
              <w:ind w:left="70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项目情况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1" w:hRule="atLeast"/>
        </w:trPr>
        <w:tc>
          <w:tcPr>
            <w:tcW w:w="4001" w:type="dxa"/>
            <w:tcBorders>
              <w:left w:val="nil"/>
              <w:bottom w:val="single" w:color="000000" w:sz="12" w:space="0"/>
            </w:tcBorders>
            <w:vAlign w:val="top"/>
          </w:tcPr>
          <w:p>
            <w:pPr>
              <w:spacing w:before="107" w:line="205" w:lineRule="auto"/>
              <w:ind w:left="132"/>
              <w:rPr>
                <w:rFonts w:ascii="仿宋" w:hAnsi="仿宋" w:eastAsia="仿宋" w:cs="仿宋"/>
                <w:sz w:val="21"/>
                <w:szCs w:val="21"/>
              </w:rPr>
            </w:pPr>
            <w:r>
              <w:rPr>
                <w:rFonts w:ascii="仿宋" w:hAnsi="仿宋" w:eastAsia="仿宋" w:cs="仿宋"/>
                <w:spacing w:val="-1"/>
                <w:sz w:val="21"/>
                <w:szCs w:val="21"/>
              </w:rPr>
              <w:t>涉及国家公园、自然保护区、世界自然遗</w:t>
            </w:r>
          </w:p>
        </w:tc>
        <w:tc>
          <w:tcPr>
            <w:tcW w:w="2408" w:type="dxa"/>
            <w:tcBorders>
              <w:bottom w:val="single" w:color="000000" w:sz="12" w:space="0"/>
            </w:tcBorders>
            <w:vAlign w:val="top"/>
          </w:tcPr>
          <w:p>
            <w:pPr>
              <w:spacing w:before="107" w:line="205" w:lineRule="auto"/>
              <w:ind w:left="1008"/>
              <w:rPr>
                <w:rFonts w:ascii="仿宋" w:hAnsi="仿宋" w:eastAsia="仿宋" w:cs="仿宋"/>
                <w:sz w:val="21"/>
                <w:szCs w:val="21"/>
              </w:rPr>
            </w:pPr>
            <w:r>
              <w:rPr>
                <w:rFonts w:ascii="仿宋" w:hAnsi="仿宋" w:eastAsia="仿宋" w:cs="仿宋"/>
                <w:spacing w:val="-9"/>
                <w:sz w:val="21"/>
                <w:szCs w:val="21"/>
              </w:rPr>
              <w:t>一级</w:t>
            </w:r>
          </w:p>
        </w:tc>
        <w:tc>
          <w:tcPr>
            <w:tcW w:w="2222" w:type="dxa"/>
            <w:tcBorders>
              <w:bottom w:val="single" w:color="000000" w:sz="12" w:space="0"/>
              <w:right w:val="nil"/>
            </w:tcBorders>
            <w:vAlign w:val="top"/>
          </w:tcPr>
          <w:p>
            <w:pPr>
              <w:spacing w:before="107" w:line="205" w:lineRule="auto"/>
              <w:ind w:left="815"/>
              <w:rPr>
                <w:rFonts w:ascii="仿宋" w:hAnsi="仿宋" w:eastAsia="仿宋" w:cs="仿宋"/>
                <w:sz w:val="21"/>
                <w:szCs w:val="21"/>
              </w:rPr>
            </w:pPr>
            <w:r>
              <w:rPr>
                <w:rFonts w:ascii="仿宋" w:hAnsi="仿宋" w:eastAsia="仿宋" w:cs="仿宋"/>
                <w:spacing w:val="-5"/>
                <w:sz w:val="21"/>
                <w:szCs w:val="21"/>
              </w:rPr>
              <w:t>不涉及</w:t>
            </w:r>
          </w:p>
        </w:tc>
      </w:tr>
    </w:tbl>
    <w:p>
      <w:pPr>
        <w:rPr>
          <w:rFonts w:ascii="Arial"/>
          <w:sz w:val="21"/>
        </w:rPr>
      </w:pPr>
    </w:p>
    <w:p>
      <w:pPr>
        <w:rPr>
          <w:rFonts w:ascii="Arial" w:hAnsi="Arial" w:eastAsia="Arial" w:cs="Arial"/>
          <w:sz w:val="21"/>
          <w:szCs w:val="21"/>
        </w:rPr>
        <w:sectPr>
          <w:headerReference r:id="rId41" w:type="default"/>
          <w:footerReference r:id="rId42" w:type="default"/>
          <w:pgSz w:w="11907" w:h="16839"/>
          <w:pgMar w:top="1156" w:right="1582" w:bottom="1153" w:left="1631" w:header="881" w:footer="991" w:gutter="0"/>
        </w:sectPr>
      </w:pPr>
    </w:p>
    <w:p>
      <w:pPr>
        <w:spacing w:before="41"/>
      </w:pPr>
    </w:p>
    <w:tbl>
      <w:tblPr>
        <w:tblStyle w:val="5"/>
        <w:tblW w:w="8616"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87"/>
        <w:gridCol w:w="2408"/>
        <w:gridCol w:w="22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3987" w:type="dxa"/>
            <w:tcBorders>
              <w:top w:val="single" w:color="000000" w:sz="12" w:space="0"/>
              <w:left w:val="nil"/>
            </w:tcBorders>
            <w:vAlign w:val="top"/>
          </w:tcPr>
          <w:p>
            <w:pPr>
              <w:spacing w:before="91" w:line="209" w:lineRule="auto"/>
              <w:ind w:left="1273"/>
              <w:rPr>
                <w:rFonts w:ascii="仿宋" w:hAnsi="仿宋" w:eastAsia="仿宋" w:cs="仿宋"/>
                <w:sz w:val="21"/>
                <w:szCs w:val="21"/>
              </w:rPr>
            </w:pPr>
            <w:r>
              <w:rPr>
                <w:rFonts w:ascii="仿宋" w:hAnsi="仿宋" w:eastAsia="仿宋" w:cs="仿宋"/>
                <w:spacing w:val="-2"/>
                <w:sz w:val="21"/>
                <w:szCs w:val="21"/>
              </w:rPr>
              <w:t>产、重要生境时</w:t>
            </w:r>
          </w:p>
        </w:tc>
        <w:tc>
          <w:tcPr>
            <w:tcW w:w="2408" w:type="dxa"/>
            <w:tcBorders>
              <w:top w:val="single" w:color="000000" w:sz="12" w:space="0"/>
            </w:tcBorders>
            <w:vAlign w:val="top"/>
          </w:tcPr>
          <w:p>
            <w:pPr>
              <w:rPr>
                <w:rFonts w:ascii="Arial"/>
                <w:sz w:val="21"/>
              </w:rPr>
            </w:pPr>
          </w:p>
        </w:tc>
        <w:tc>
          <w:tcPr>
            <w:tcW w:w="2221" w:type="dxa"/>
            <w:tcBorders>
              <w:top w:val="single" w:color="000000" w:sz="1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3987" w:type="dxa"/>
            <w:tcBorders>
              <w:left w:val="nil"/>
            </w:tcBorders>
            <w:vAlign w:val="top"/>
          </w:tcPr>
          <w:p>
            <w:pPr>
              <w:spacing w:before="92" w:line="209" w:lineRule="auto"/>
              <w:ind w:left="1378"/>
              <w:rPr>
                <w:rFonts w:ascii="仿宋" w:hAnsi="仿宋" w:eastAsia="仿宋" w:cs="仿宋"/>
                <w:sz w:val="21"/>
                <w:szCs w:val="21"/>
              </w:rPr>
            </w:pPr>
            <w:r>
              <w:rPr>
                <w:rFonts w:ascii="仿宋" w:hAnsi="仿宋" w:eastAsia="仿宋" w:cs="仿宋"/>
                <w:spacing w:val="-3"/>
                <w:sz w:val="21"/>
                <w:szCs w:val="21"/>
              </w:rPr>
              <w:t>涉及自然公园</w:t>
            </w:r>
          </w:p>
        </w:tc>
        <w:tc>
          <w:tcPr>
            <w:tcW w:w="2408" w:type="dxa"/>
            <w:vAlign w:val="top"/>
          </w:tcPr>
          <w:p>
            <w:pPr>
              <w:spacing w:before="92" w:line="209" w:lineRule="auto"/>
              <w:ind w:left="1011"/>
              <w:rPr>
                <w:rFonts w:ascii="仿宋" w:hAnsi="仿宋" w:eastAsia="仿宋" w:cs="仿宋"/>
                <w:sz w:val="21"/>
                <w:szCs w:val="21"/>
              </w:rPr>
            </w:pPr>
            <w:r>
              <w:rPr>
                <w:rFonts w:ascii="仿宋" w:hAnsi="仿宋" w:eastAsia="仿宋" w:cs="仿宋"/>
                <w:spacing w:val="-6"/>
                <w:sz w:val="21"/>
                <w:szCs w:val="21"/>
              </w:rPr>
              <w:t>二级</w:t>
            </w:r>
          </w:p>
        </w:tc>
        <w:tc>
          <w:tcPr>
            <w:tcW w:w="2221" w:type="dxa"/>
            <w:tcBorders>
              <w:right w:val="nil"/>
            </w:tcBorders>
            <w:vAlign w:val="top"/>
          </w:tcPr>
          <w:p>
            <w:pPr>
              <w:spacing w:before="92" w:line="209" w:lineRule="auto"/>
              <w:ind w:left="815"/>
              <w:rPr>
                <w:rFonts w:ascii="仿宋" w:hAnsi="仿宋" w:eastAsia="仿宋" w:cs="仿宋"/>
                <w:sz w:val="21"/>
                <w:szCs w:val="21"/>
              </w:rPr>
            </w:pPr>
            <w:r>
              <w:rPr>
                <w:rFonts w:ascii="仿宋" w:hAnsi="仿宋" w:eastAsia="仿宋" w:cs="仿宋"/>
                <w:spacing w:val="-5"/>
                <w:sz w:val="21"/>
                <w:szCs w:val="21"/>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3987" w:type="dxa"/>
            <w:tcBorders>
              <w:left w:val="nil"/>
            </w:tcBorders>
            <w:vAlign w:val="top"/>
          </w:tcPr>
          <w:p>
            <w:pPr>
              <w:spacing w:before="91" w:line="209" w:lineRule="auto"/>
              <w:ind w:left="1063"/>
              <w:rPr>
                <w:rFonts w:ascii="仿宋" w:hAnsi="仿宋" w:eastAsia="仿宋" w:cs="仿宋"/>
                <w:sz w:val="21"/>
                <w:szCs w:val="21"/>
              </w:rPr>
            </w:pPr>
            <w:r>
              <w:rPr>
                <w:rFonts w:ascii="仿宋" w:hAnsi="仿宋" w:eastAsia="仿宋" w:cs="仿宋"/>
                <w:spacing w:val="-2"/>
                <w:sz w:val="21"/>
                <w:szCs w:val="21"/>
              </w:rPr>
              <w:t>涉及生态保护红线时</w:t>
            </w:r>
          </w:p>
        </w:tc>
        <w:tc>
          <w:tcPr>
            <w:tcW w:w="2408" w:type="dxa"/>
            <w:vAlign w:val="top"/>
          </w:tcPr>
          <w:p>
            <w:pPr>
              <w:spacing w:before="91" w:line="209" w:lineRule="auto"/>
              <w:ind w:left="694"/>
              <w:rPr>
                <w:rFonts w:ascii="仿宋" w:hAnsi="仿宋" w:eastAsia="仿宋" w:cs="仿宋"/>
                <w:sz w:val="21"/>
                <w:szCs w:val="21"/>
              </w:rPr>
            </w:pPr>
            <w:r>
              <w:rPr>
                <w:rFonts w:ascii="仿宋" w:hAnsi="仿宋" w:eastAsia="仿宋" w:cs="仿宋"/>
                <w:spacing w:val="-4"/>
                <w:sz w:val="21"/>
                <w:szCs w:val="21"/>
              </w:rPr>
              <w:t>不低于二级</w:t>
            </w:r>
          </w:p>
        </w:tc>
        <w:tc>
          <w:tcPr>
            <w:tcW w:w="2221" w:type="dxa"/>
            <w:tcBorders>
              <w:right w:val="nil"/>
            </w:tcBorders>
            <w:vAlign w:val="top"/>
          </w:tcPr>
          <w:p>
            <w:pPr>
              <w:spacing w:before="91" w:line="209" w:lineRule="auto"/>
              <w:ind w:left="916"/>
              <w:rPr>
                <w:rFonts w:ascii="仿宋" w:hAnsi="仿宋" w:eastAsia="仿宋" w:cs="仿宋"/>
                <w:sz w:val="21"/>
                <w:szCs w:val="21"/>
              </w:rPr>
            </w:pPr>
            <w:r>
              <w:rPr>
                <w:rFonts w:ascii="仿宋" w:hAnsi="仿宋" w:eastAsia="仿宋" w:cs="仿宋"/>
                <w:spacing w:val="-5"/>
                <w:sz w:val="21"/>
                <w:szCs w:val="21"/>
              </w:rPr>
              <w:t>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79" w:hRule="atLeast"/>
        </w:trPr>
        <w:tc>
          <w:tcPr>
            <w:tcW w:w="3987" w:type="dxa"/>
            <w:tcBorders>
              <w:left w:val="nil"/>
            </w:tcBorders>
            <w:vAlign w:val="top"/>
          </w:tcPr>
          <w:p>
            <w:pPr>
              <w:spacing w:before="253" w:line="250" w:lineRule="auto"/>
              <w:ind w:left="1060" w:right="102" w:hanging="945"/>
              <w:rPr>
                <w:rFonts w:ascii="仿宋" w:hAnsi="仿宋" w:eastAsia="仿宋" w:cs="仿宋"/>
                <w:sz w:val="21"/>
                <w:szCs w:val="21"/>
              </w:rPr>
            </w:pPr>
            <w:r>
              <w:rPr>
                <w:rFonts w:ascii="仿宋" w:hAnsi="仿宋" w:eastAsia="仿宋" w:cs="仿宋"/>
                <w:spacing w:val="-1"/>
                <w:sz w:val="21"/>
                <w:szCs w:val="21"/>
              </w:rPr>
              <w:t>属于水文要素影响型且地表水评价等级不</w:t>
            </w:r>
            <w:r>
              <w:rPr>
                <w:rFonts w:ascii="仿宋" w:hAnsi="仿宋" w:eastAsia="仿宋" w:cs="仿宋"/>
                <w:spacing w:val="3"/>
                <w:sz w:val="21"/>
                <w:szCs w:val="21"/>
              </w:rPr>
              <w:t xml:space="preserve"> </w:t>
            </w:r>
            <w:r>
              <w:rPr>
                <w:rFonts w:ascii="仿宋" w:hAnsi="仿宋" w:eastAsia="仿宋" w:cs="仿宋"/>
                <w:spacing w:val="-2"/>
                <w:sz w:val="21"/>
                <w:szCs w:val="21"/>
              </w:rPr>
              <w:t>低于二级的建设项目</w:t>
            </w:r>
          </w:p>
        </w:tc>
        <w:tc>
          <w:tcPr>
            <w:tcW w:w="2408" w:type="dxa"/>
            <w:vAlign w:val="top"/>
          </w:tcPr>
          <w:p>
            <w:pPr>
              <w:spacing w:line="342" w:lineRule="auto"/>
              <w:rPr>
                <w:rFonts w:ascii="Arial"/>
                <w:sz w:val="21"/>
              </w:rPr>
            </w:pPr>
          </w:p>
          <w:p>
            <w:pPr>
              <w:spacing w:before="68" w:line="219" w:lineRule="auto"/>
              <w:ind w:left="694"/>
              <w:rPr>
                <w:rFonts w:ascii="仿宋" w:hAnsi="仿宋" w:eastAsia="仿宋" w:cs="仿宋"/>
                <w:sz w:val="21"/>
                <w:szCs w:val="21"/>
              </w:rPr>
            </w:pPr>
            <w:r>
              <w:rPr>
                <w:rFonts w:ascii="仿宋" w:hAnsi="仿宋" w:eastAsia="仿宋" w:cs="仿宋"/>
                <w:spacing w:val="-4"/>
                <w:sz w:val="21"/>
                <w:szCs w:val="21"/>
              </w:rPr>
              <w:t>不低于二级</w:t>
            </w:r>
          </w:p>
        </w:tc>
        <w:tc>
          <w:tcPr>
            <w:tcW w:w="2221" w:type="dxa"/>
            <w:tcBorders>
              <w:right w:val="nil"/>
            </w:tcBorders>
            <w:vAlign w:val="top"/>
          </w:tcPr>
          <w:p>
            <w:pPr>
              <w:spacing w:before="93" w:line="219" w:lineRule="auto"/>
              <w:ind w:left="74"/>
              <w:rPr>
                <w:rFonts w:ascii="仿宋" w:hAnsi="仿宋" w:eastAsia="仿宋" w:cs="仿宋"/>
                <w:sz w:val="21"/>
                <w:szCs w:val="21"/>
              </w:rPr>
            </w:pPr>
            <w:r>
              <w:rPr>
                <w:rFonts w:ascii="仿宋" w:hAnsi="仿宋" w:eastAsia="仿宋" w:cs="仿宋"/>
                <w:spacing w:val="-2"/>
                <w:sz w:val="21"/>
                <w:szCs w:val="21"/>
              </w:rPr>
              <w:t>项目属于属于水文要素</w:t>
            </w:r>
          </w:p>
          <w:p>
            <w:pPr>
              <w:spacing w:before="70" w:line="218" w:lineRule="auto"/>
              <w:ind w:left="76"/>
              <w:rPr>
                <w:rFonts w:ascii="仿宋" w:hAnsi="仿宋" w:eastAsia="仿宋" w:cs="仿宋"/>
                <w:sz w:val="21"/>
                <w:szCs w:val="21"/>
              </w:rPr>
            </w:pPr>
            <w:r>
              <w:rPr>
                <w:rFonts w:ascii="仿宋" w:hAnsi="仿宋" w:eastAsia="仿宋" w:cs="仿宋"/>
                <w:spacing w:val="-4"/>
                <w:sz w:val="21"/>
                <w:szCs w:val="21"/>
              </w:rPr>
              <w:t>影响型，地表水评价等</w:t>
            </w:r>
          </w:p>
          <w:p>
            <w:pPr>
              <w:spacing w:before="72" w:line="207" w:lineRule="auto"/>
              <w:ind w:left="706"/>
              <w:rPr>
                <w:rFonts w:ascii="仿宋" w:hAnsi="仿宋" w:eastAsia="仿宋" w:cs="仿宋"/>
                <w:sz w:val="21"/>
                <w:szCs w:val="21"/>
              </w:rPr>
            </w:pPr>
            <w:r>
              <w:rPr>
                <w:rFonts w:ascii="仿宋" w:hAnsi="仿宋" w:eastAsia="仿宋" w:cs="仿宋"/>
                <w:spacing w:val="-5"/>
                <w:sz w:val="21"/>
                <w:szCs w:val="21"/>
              </w:rPr>
              <w:t>级为一级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79" w:hRule="atLeast"/>
        </w:trPr>
        <w:tc>
          <w:tcPr>
            <w:tcW w:w="3987" w:type="dxa"/>
            <w:tcBorders>
              <w:left w:val="nil"/>
            </w:tcBorders>
            <w:vAlign w:val="top"/>
          </w:tcPr>
          <w:p>
            <w:pPr>
              <w:spacing w:before="94" w:line="216" w:lineRule="auto"/>
              <w:ind w:left="116"/>
              <w:rPr>
                <w:rFonts w:ascii="仿宋" w:hAnsi="仿宋" w:eastAsia="仿宋" w:cs="仿宋"/>
                <w:sz w:val="21"/>
                <w:szCs w:val="21"/>
              </w:rPr>
            </w:pPr>
            <w:r>
              <w:rPr>
                <w:rFonts w:ascii="仿宋" w:hAnsi="仿宋" w:eastAsia="仿宋" w:cs="仿宋"/>
                <w:spacing w:val="-1"/>
                <w:sz w:val="21"/>
                <w:szCs w:val="21"/>
              </w:rPr>
              <w:t>地下水水位或土壤影响范围内分布有天然</w:t>
            </w:r>
          </w:p>
          <w:p>
            <w:pPr>
              <w:spacing w:before="73" w:line="217" w:lineRule="auto"/>
              <w:ind w:left="115"/>
              <w:rPr>
                <w:rFonts w:ascii="仿宋" w:hAnsi="仿宋" w:eastAsia="仿宋" w:cs="仿宋"/>
                <w:sz w:val="21"/>
                <w:szCs w:val="21"/>
              </w:rPr>
            </w:pPr>
            <w:r>
              <w:rPr>
                <w:rFonts w:ascii="仿宋" w:hAnsi="仿宋" w:eastAsia="仿宋" w:cs="仿宋"/>
                <w:spacing w:val="-10"/>
                <w:sz w:val="21"/>
                <w:szCs w:val="21"/>
              </w:rPr>
              <w:t>林、公益林、</w:t>
            </w:r>
            <w:r>
              <w:rPr>
                <w:rFonts w:ascii="仿宋" w:hAnsi="仿宋" w:eastAsia="仿宋" w:cs="仿宋"/>
                <w:spacing w:val="61"/>
                <w:sz w:val="21"/>
                <w:szCs w:val="21"/>
              </w:rPr>
              <w:t xml:space="preserve"> </w:t>
            </w:r>
            <w:r>
              <w:rPr>
                <w:rFonts w:ascii="仿宋" w:hAnsi="仿宋" w:eastAsia="仿宋" w:cs="仿宋"/>
                <w:spacing w:val="-10"/>
                <w:sz w:val="21"/>
                <w:szCs w:val="21"/>
              </w:rPr>
              <w:t>湿地等生态保护目标的建设</w:t>
            </w:r>
          </w:p>
          <w:p>
            <w:pPr>
              <w:spacing w:before="74" w:line="206" w:lineRule="auto"/>
              <w:ind w:left="1796"/>
              <w:rPr>
                <w:rFonts w:ascii="仿宋" w:hAnsi="仿宋" w:eastAsia="仿宋" w:cs="仿宋"/>
                <w:sz w:val="21"/>
                <w:szCs w:val="21"/>
              </w:rPr>
            </w:pPr>
            <w:r>
              <w:rPr>
                <w:rFonts w:ascii="仿宋" w:hAnsi="仿宋" w:eastAsia="仿宋" w:cs="仿宋"/>
                <w:spacing w:val="-4"/>
                <w:sz w:val="21"/>
                <w:szCs w:val="21"/>
              </w:rPr>
              <w:t>项目</w:t>
            </w:r>
          </w:p>
        </w:tc>
        <w:tc>
          <w:tcPr>
            <w:tcW w:w="2408" w:type="dxa"/>
            <w:vAlign w:val="top"/>
          </w:tcPr>
          <w:p>
            <w:pPr>
              <w:spacing w:line="343" w:lineRule="auto"/>
              <w:rPr>
                <w:rFonts w:ascii="Arial"/>
                <w:sz w:val="21"/>
              </w:rPr>
            </w:pPr>
          </w:p>
          <w:p>
            <w:pPr>
              <w:spacing w:before="68" w:line="219" w:lineRule="auto"/>
              <w:ind w:left="694"/>
              <w:rPr>
                <w:rFonts w:ascii="仿宋" w:hAnsi="仿宋" w:eastAsia="仿宋" w:cs="仿宋"/>
                <w:sz w:val="21"/>
                <w:szCs w:val="21"/>
              </w:rPr>
            </w:pPr>
            <w:r>
              <w:rPr>
                <w:rFonts w:ascii="仿宋" w:hAnsi="仿宋" w:eastAsia="仿宋" w:cs="仿宋"/>
                <w:spacing w:val="-4"/>
                <w:sz w:val="21"/>
                <w:szCs w:val="21"/>
              </w:rPr>
              <w:t>不低于二级</w:t>
            </w:r>
          </w:p>
        </w:tc>
        <w:tc>
          <w:tcPr>
            <w:tcW w:w="2221" w:type="dxa"/>
            <w:tcBorders>
              <w:right w:val="nil"/>
            </w:tcBorders>
            <w:vAlign w:val="top"/>
          </w:tcPr>
          <w:p>
            <w:pPr>
              <w:spacing w:line="343" w:lineRule="auto"/>
              <w:rPr>
                <w:rFonts w:ascii="Arial"/>
                <w:sz w:val="21"/>
              </w:rPr>
            </w:pPr>
          </w:p>
          <w:p>
            <w:pPr>
              <w:spacing w:before="68" w:line="219" w:lineRule="auto"/>
              <w:ind w:left="815"/>
              <w:rPr>
                <w:rFonts w:ascii="仿宋" w:hAnsi="仿宋" w:eastAsia="仿宋" w:cs="仿宋"/>
                <w:sz w:val="21"/>
                <w:szCs w:val="21"/>
              </w:rPr>
            </w:pPr>
            <w:r>
              <w:rPr>
                <w:rFonts w:ascii="仿宋" w:hAnsi="仿宋" w:eastAsia="仿宋" w:cs="仿宋"/>
                <w:spacing w:val="-5"/>
                <w:sz w:val="21"/>
                <w:szCs w:val="21"/>
              </w:rPr>
              <w:t>不涉及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84" w:hRule="atLeast"/>
        </w:trPr>
        <w:tc>
          <w:tcPr>
            <w:tcW w:w="3987" w:type="dxa"/>
            <w:tcBorders>
              <w:left w:val="nil"/>
            </w:tcBorders>
            <w:vAlign w:val="top"/>
          </w:tcPr>
          <w:p>
            <w:pPr>
              <w:pStyle w:val="6"/>
              <w:spacing w:before="255" w:line="250" w:lineRule="auto"/>
              <w:ind w:left="850" w:right="98" w:hanging="715"/>
              <w:rPr>
                <w:rFonts w:ascii="仿宋" w:hAnsi="仿宋" w:eastAsia="仿宋" w:cs="仿宋"/>
              </w:rPr>
            </w:pPr>
            <w:r>
              <w:rPr>
                <w:rFonts w:ascii="仿宋" w:hAnsi="仿宋" w:eastAsia="仿宋" w:cs="仿宋"/>
                <w:spacing w:val="-4"/>
              </w:rPr>
              <w:t>当工程占地规模大于</w:t>
            </w:r>
            <w:r>
              <w:rPr>
                <w:rFonts w:ascii="仿宋" w:hAnsi="仿宋" w:eastAsia="仿宋" w:cs="仿宋"/>
                <w:spacing w:val="-39"/>
              </w:rPr>
              <w:t xml:space="preserve"> </w:t>
            </w:r>
            <w:r>
              <w:rPr>
                <w:spacing w:val="-4"/>
              </w:rPr>
              <w:t>20km</w:t>
            </w:r>
            <w:r>
              <w:rPr>
                <w:spacing w:val="-4"/>
                <w:position w:val="7"/>
                <w:sz w:val="14"/>
                <w:szCs w:val="14"/>
              </w:rPr>
              <w:t>2</w:t>
            </w:r>
            <w:r>
              <w:rPr>
                <w:spacing w:val="29"/>
                <w:w w:val="101"/>
                <w:position w:val="7"/>
                <w:sz w:val="14"/>
                <w:szCs w:val="14"/>
              </w:rPr>
              <w:t xml:space="preserve"> </w:t>
            </w:r>
            <w:r>
              <w:rPr>
                <w:rFonts w:ascii="仿宋" w:hAnsi="仿宋" w:eastAsia="仿宋" w:cs="仿宋"/>
                <w:spacing w:val="-4"/>
              </w:rPr>
              <w:t>时（包括永久</w:t>
            </w:r>
            <w:r>
              <w:rPr>
                <w:rFonts w:ascii="仿宋" w:hAnsi="仿宋" w:eastAsia="仿宋" w:cs="仿宋"/>
              </w:rPr>
              <w:t xml:space="preserve"> </w:t>
            </w:r>
            <w:r>
              <w:rPr>
                <w:rFonts w:ascii="仿宋" w:hAnsi="仿宋" w:eastAsia="仿宋" w:cs="仿宋"/>
                <w:spacing w:val="-3"/>
              </w:rPr>
              <w:t>和临时占用陆域和水域）</w:t>
            </w:r>
          </w:p>
        </w:tc>
        <w:tc>
          <w:tcPr>
            <w:tcW w:w="2408" w:type="dxa"/>
            <w:vAlign w:val="top"/>
          </w:tcPr>
          <w:p>
            <w:pPr>
              <w:spacing w:line="344" w:lineRule="auto"/>
              <w:rPr>
                <w:rFonts w:ascii="Arial"/>
                <w:sz w:val="21"/>
              </w:rPr>
            </w:pPr>
          </w:p>
          <w:p>
            <w:pPr>
              <w:spacing w:before="69" w:line="219" w:lineRule="auto"/>
              <w:ind w:left="694"/>
              <w:rPr>
                <w:rFonts w:ascii="仿宋" w:hAnsi="仿宋" w:eastAsia="仿宋" w:cs="仿宋"/>
                <w:sz w:val="21"/>
                <w:szCs w:val="21"/>
              </w:rPr>
            </w:pPr>
            <w:r>
              <w:rPr>
                <w:rFonts w:ascii="仿宋" w:hAnsi="仿宋" w:eastAsia="仿宋" w:cs="仿宋"/>
                <w:spacing w:val="-4"/>
                <w:sz w:val="21"/>
                <w:szCs w:val="21"/>
              </w:rPr>
              <w:t>不低于二级</w:t>
            </w:r>
          </w:p>
        </w:tc>
        <w:tc>
          <w:tcPr>
            <w:tcW w:w="2221" w:type="dxa"/>
            <w:tcBorders>
              <w:right w:val="nil"/>
            </w:tcBorders>
            <w:vAlign w:val="top"/>
          </w:tcPr>
          <w:p>
            <w:pPr>
              <w:spacing w:before="94" w:line="219" w:lineRule="auto"/>
              <w:ind w:left="495"/>
              <w:rPr>
                <w:rFonts w:ascii="仿宋" w:hAnsi="仿宋" w:eastAsia="仿宋" w:cs="仿宋"/>
                <w:sz w:val="21"/>
                <w:szCs w:val="21"/>
              </w:rPr>
            </w:pPr>
            <w:r>
              <w:rPr>
                <w:rFonts w:ascii="仿宋" w:hAnsi="仿宋" w:eastAsia="仿宋" w:cs="仿宋"/>
                <w:spacing w:val="-3"/>
                <w:sz w:val="21"/>
                <w:szCs w:val="21"/>
              </w:rPr>
              <w:t>项目占地面积</w:t>
            </w:r>
          </w:p>
          <w:p>
            <w:pPr>
              <w:pStyle w:val="6"/>
              <w:spacing w:before="71" w:line="234" w:lineRule="auto"/>
              <w:ind w:left="108"/>
            </w:pPr>
            <w:r>
              <w:rPr>
                <w:spacing w:val="-4"/>
              </w:rPr>
              <w:t>0.499818km</w:t>
            </w:r>
            <w:r>
              <w:rPr>
                <w:spacing w:val="-4"/>
                <w:position w:val="7"/>
                <w:sz w:val="14"/>
                <w:szCs w:val="14"/>
              </w:rPr>
              <w:t>2</w:t>
            </w:r>
            <w:r>
              <w:rPr>
                <w:position w:val="7"/>
                <w:sz w:val="14"/>
                <w:szCs w:val="14"/>
              </w:rPr>
              <w:t xml:space="preserve"> </w:t>
            </w:r>
            <w:r>
              <w:rPr>
                <w:rFonts w:ascii="仿宋" w:hAnsi="仿宋" w:eastAsia="仿宋" w:cs="仿宋"/>
                <w:spacing w:val="-4"/>
              </w:rPr>
              <w:t>，小于</w:t>
            </w:r>
            <w:r>
              <w:rPr>
                <w:rFonts w:ascii="仿宋" w:hAnsi="仿宋" w:eastAsia="仿宋" w:cs="仿宋"/>
                <w:spacing w:val="-30"/>
              </w:rPr>
              <w:t xml:space="preserve"> </w:t>
            </w:r>
            <w:r>
              <w:rPr>
                <w:spacing w:val="-4"/>
              </w:rPr>
              <w:t>20</w:t>
            </w:r>
          </w:p>
          <w:p>
            <w:pPr>
              <w:pStyle w:val="6"/>
              <w:spacing w:before="58" w:line="228" w:lineRule="auto"/>
              <w:ind w:left="942"/>
              <w:rPr>
                <w:sz w:val="14"/>
                <w:szCs w:val="14"/>
              </w:rPr>
            </w:pPr>
            <w:r>
              <w:rPr>
                <w:spacing w:val="-1"/>
              </w:rPr>
              <w:t>km</w:t>
            </w:r>
            <w:r>
              <w:rPr>
                <w:spacing w:val="-1"/>
                <w:position w:val="7"/>
                <w:sz w:val="14"/>
                <w:szCs w:val="14"/>
              </w:rPr>
              <w:t>2</w:t>
            </w:r>
          </w:p>
        </w:tc>
      </w:tr>
    </w:tbl>
    <w:p>
      <w:pPr>
        <w:spacing w:before="92" w:line="266" w:lineRule="auto"/>
        <w:ind w:left="123" w:right="62" w:hanging="28"/>
        <w:jc w:val="both"/>
        <w:rPr>
          <w:rFonts w:ascii="仿宋" w:hAnsi="仿宋" w:eastAsia="仿宋" w:cs="仿宋"/>
          <w:sz w:val="21"/>
          <w:szCs w:val="21"/>
        </w:rPr>
      </w:pPr>
      <w:r>
        <w:rPr>
          <w:rFonts w:ascii="仿宋" w:hAnsi="仿宋" w:eastAsia="仿宋" w:cs="仿宋"/>
          <w:spacing w:val="-7"/>
          <w:sz w:val="21"/>
          <w:szCs w:val="21"/>
        </w:rPr>
        <w:t>注：</w:t>
      </w:r>
      <w:r>
        <w:rPr>
          <w:rFonts w:ascii="仿宋" w:hAnsi="仿宋" w:eastAsia="仿宋" w:cs="仿宋"/>
          <w:spacing w:val="-13"/>
          <w:sz w:val="21"/>
          <w:szCs w:val="21"/>
        </w:rPr>
        <w:t xml:space="preserve"> </w:t>
      </w:r>
      <w:r>
        <w:rPr>
          <w:rFonts w:ascii="Times New Roman" w:hAnsi="Times New Roman" w:eastAsia="Times New Roman" w:cs="Times New Roman"/>
          <w:spacing w:val="-7"/>
          <w:sz w:val="21"/>
          <w:szCs w:val="21"/>
        </w:rPr>
        <w:t>a.</w:t>
      </w:r>
      <w:r>
        <w:rPr>
          <w:rFonts w:ascii="Times New Roman" w:hAnsi="Times New Roman" w:eastAsia="Times New Roman" w:cs="Times New Roman"/>
          <w:spacing w:val="-16"/>
          <w:sz w:val="21"/>
          <w:szCs w:val="21"/>
        </w:rPr>
        <w:t xml:space="preserve"> </w:t>
      </w:r>
      <w:r>
        <w:rPr>
          <w:rFonts w:ascii="仿宋" w:hAnsi="仿宋" w:eastAsia="仿宋" w:cs="仿宋"/>
          <w:spacing w:val="-7"/>
          <w:sz w:val="21"/>
          <w:szCs w:val="21"/>
        </w:rPr>
        <w:t>当评价等级判定同时符合上述多种情况时，应采用其中最高的评价等级；</w:t>
      </w:r>
      <w:r>
        <w:rPr>
          <w:rFonts w:ascii="仿宋" w:hAnsi="仿宋" w:eastAsia="仿宋" w:cs="仿宋"/>
          <w:spacing w:val="46"/>
          <w:sz w:val="21"/>
          <w:szCs w:val="21"/>
        </w:rPr>
        <w:t xml:space="preserve"> </w:t>
      </w:r>
      <w:r>
        <w:rPr>
          <w:rFonts w:ascii="Times New Roman" w:hAnsi="Times New Roman" w:eastAsia="Times New Roman" w:cs="Times New Roman"/>
          <w:spacing w:val="-7"/>
          <w:sz w:val="21"/>
          <w:szCs w:val="21"/>
        </w:rPr>
        <w:t>b.</w:t>
      </w:r>
      <w:r>
        <w:rPr>
          <w:rFonts w:ascii="仿宋" w:hAnsi="仿宋" w:eastAsia="仿宋" w:cs="仿宋"/>
          <w:spacing w:val="-7"/>
          <w:sz w:val="21"/>
          <w:szCs w:val="21"/>
        </w:rPr>
        <w:t>在矿山开采</w:t>
      </w:r>
      <w:r>
        <w:rPr>
          <w:rFonts w:ascii="仿宋" w:hAnsi="仿宋" w:eastAsia="仿宋" w:cs="仿宋"/>
          <w:sz w:val="21"/>
          <w:szCs w:val="21"/>
        </w:rPr>
        <w:t xml:space="preserve"> 可能导致矿区土地利用类型明显改变，或</w:t>
      </w:r>
      <w:r>
        <w:rPr>
          <w:rFonts w:ascii="仿宋" w:hAnsi="仿宋" w:eastAsia="仿宋" w:cs="仿宋"/>
          <w:sz w:val="21"/>
          <w:szCs w:val="21"/>
          <w14:textOutline w14:w="3810" w14:cap="flat" w14:cmpd="sng">
            <w14:solidFill>
              <w14:srgbClr w14:val="000000"/>
            </w14:solidFill>
            <w14:prstDash w14:val="solid"/>
            <w14:miter w14:val="0"/>
          </w14:textOutline>
        </w:rPr>
        <w:t>拦河闸坝建设可能明显改</w:t>
      </w:r>
      <w:r>
        <w:rPr>
          <w:rFonts w:ascii="仿宋" w:hAnsi="仿宋" w:eastAsia="仿宋" w:cs="仿宋"/>
          <w:spacing w:val="-1"/>
          <w:sz w:val="21"/>
          <w:szCs w:val="21"/>
          <w14:textOutline w14:w="3810" w14:cap="flat" w14:cmpd="sng">
            <w14:solidFill>
              <w14:srgbClr w14:val="000000"/>
            </w14:solidFill>
            <w14:prstDash w14:val="solid"/>
            <w14:miter w14:val="0"/>
          </w14:textOutline>
        </w:rPr>
        <w:t>变水文情势等情况下，评</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价等级应上调一级</w:t>
      </w:r>
      <w:r>
        <w:rPr>
          <w:rFonts w:ascii="Times New Roman" w:hAnsi="Times New Roman" w:eastAsia="Times New Roman" w:cs="Times New Roman"/>
          <w:sz w:val="21"/>
          <w:szCs w:val="21"/>
        </w:rPr>
        <w:t>;c.</w:t>
      </w:r>
      <w:r>
        <w:rPr>
          <w:rFonts w:ascii="仿宋" w:hAnsi="仿宋" w:eastAsia="仿宋" w:cs="仿宋"/>
          <w:sz w:val="21"/>
          <w:szCs w:val="21"/>
        </w:rPr>
        <w:t>线性工程可分段确定评价等级。线性工程地下穿越或地表跨越生态敏感</w:t>
      </w:r>
      <w:r>
        <w:rPr>
          <w:rFonts w:ascii="仿宋" w:hAnsi="仿宋" w:eastAsia="仿宋" w:cs="仿宋"/>
          <w:spacing w:val="2"/>
          <w:sz w:val="21"/>
          <w:szCs w:val="21"/>
        </w:rPr>
        <w:t xml:space="preserve"> </w:t>
      </w:r>
      <w:r>
        <w:rPr>
          <w:rFonts w:ascii="仿宋" w:hAnsi="仿宋" w:eastAsia="仿宋" w:cs="仿宋"/>
          <w:spacing w:val="-2"/>
          <w:sz w:val="21"/>
          <w:szCs w:val="21"/>
        </w:rPr>
        <w:t>区，</w:t>
      </w:r>
      <w:r>
        <w:rPr>
          <w:rFonts w:ascii="仿宋" w:hAnsi="仿宋" w:eastAsia="仿宋" w:cs="仿宋"/>
          <w:spacing w:val="-31"/>
          <w:sz w:val="21"/>
          <w:szCs w:val="21"/>
        </w:rPr>
        <w:t xml:space="preserve"> </w:t>
      </w:r>
      <w:r>
        <w:rPr>
          <w:rFonts w:ascii="仿宋" w:hAnsi="仿宋" w:eastAsia="仿宋" w:cs="仿宋"/>
          <w:spacing w:val="-2"/>
          <w:sz w:val="21"/>
          <w:szCs w:val="21"/>
        </w:rPr>
        <w:t>在生态敏感区范围内无永久、临时占地时，评</w:t>
      </w:r>
      <w:r>
        <w:rPr>
          <w:rFonts w:ascii="仿宋" w:hAnsi="仿宋" w:eastAsia="仿宋" w:cs="仿宋"/>
          <w:spacing w:val="-3"/>
          <w:sz w:val="21"/>
          <w:szCs w:val="21"/>
        </w:rPr>
        <w:t>价等级可下调一级</w:t>
      </w:r>
      <w:r>
        <w:rPr>
          <w:rFonts w:ascii="Times New Roman" w:hAnsi="Times New Roman" w:eastAsia="Times New Roman" w:cs="Times New Roman"/>
          <w:spacing w:val="-3"/>
          <w:sz w:val="21"/>
          <w:szCs w:val="21"/>
        </w:rPr>
        <w:t>; d.</w:t>
      </w:r>
      <w:r>
        <w:rPr>
          <w:rFonts w:ascii="仿宋" w:hAnsi="仿宋" w:eastAsia="仿宋" w:cs="仿宋"/>
          <w:spacing w:val="-3"/>
          <w:sz w:val="21"/>
          <w:szCs w:val="21"/>
        </w:rPr>
        <w:t>建设项目涉及经论证</w:t>
      </w:r>
    </w:p>
    <w:p>
      <w:pPr>
        <w:spacing w:before="69" w:line="221" w:lineRule="auto"/>
        <w:ind w:left="140"/>
        <w:rPr>
          <w:rFonts w:ascii="仿宋" w:hAnsi="仿宋" w:eastAsia="仿宋" w:cs="仿宋"/>
          <w:sz w:val="21"/>
          <w:szCs w:val="21"/>
        </w:rPr>
      </w:pPr>
      <w:r>
        <w:rPr>
          <w:rFonts w:ascii="仿宋" w:hAnsi="仿宋" w:eastAsia="仿宋" w:cs="仿宋"/>
          <w:spacing w:val="-1"/>
          <w:sz w:val="21"/>
          <w:szCs w:val="21"/>
        </w:rPr>
        <w:t>对保护生物多样性具有重要意义的区域时，可适当上调评价等级</w:t>
      </w:r>
      <w:r>
        <w:rPr>
          <w:rFonts w:ascii="Times New Roman" w:hAnsi="Times New Roman" w:eastAsia="Times New Roman" w:cs="Times New Roman"/>
          <w:spacing w:val="-1"/>
          <w:sz w:val="21"/>
          <w:szCs w:val="21"/>
        </w:rPr>
        <w:t>;e.</w:t>
      </w:r>
      <w:r>
        <w:rPr>
          <w:rFonts w:ascii="仿宋" w:hAnsi="仿宋" w:eastAsia="仿宋" w:cs="仿宋"/>
          <w:spacing w:val="-1"/>
          <w:sz w:val="21"/>
          <w:szCs w:val="21"/>
        </w:rPr>
        <w:t>建设项目同时</w:t>
      </w:r>
      <w:r>
        <w:rPr>
          <w:rFonts w:ascii="仿宋" w:hAnsi="仿宋" w:eastAsia="仿宋" w:cs="仿宋"/>
          <w:spacing w:val="-2"/>
          <w:sz w:val="21"/>
          <w:szCs w:val="21"/>
        </w:rPr>
        <w:t>涉及陆生、</w:t>
      </w:r>
    </w:p>
    <w:p>
      <w:pPr>
        <w:tabs>
          <w:tab w:val="left" w:pos="1290"/>
        </w:tabs>
        <w:spacing w:before="69" w:line="216" w:lineRule="auto"/>
        <w:rPr>
          <w:rFonts w:ascii="仿宋" w:hAnsi="仿宋" w:eastAsia="仿宋" w:cs="仿宋"/>
          <w:sz w:val="21"/>
          <w:szCs w:val="21"/>
        </w:rPr>
      </w:pPr>
      <w:r>
        <w:rPr>
          <w:rFonts w:ascii="仿宋" w:hAnsi="仿宋" w:eastAsia="仿宋" w:cs="仿宋"/>
          <w:sz w:val="21"/>
          <w:szCs w:val="21"/>
          <w:u w:val="single" w:color="auto"/>
        </w:rPr>
        <w:tab/>
      </w:r>
      <w:r>
        <w:rPr>
          <w:rFonts w:ascii="仿宋" w:hAnsi="仿宋" w:eastAsia="仿宋" w:cs="仿宋"/>
          <w:spacing w:val="-5"/>
          <w:sz w:val="21"/>
          <w:szCs w:val="21"/>
          <w:u w:val="single" w:color="auto"/>
        </w:rPr>
        <w:t xml:space="preserve">水生生态影响时，可针对陆生生态、水生生态分别判定评价等级。         </w:t>
      </w:r>
      <w:r>
        <w:rPr>
          <w:rFonts w:ascii="仿宋" w:hAnsi="仿宋" w:eastAsia="仿宋" w:cs="仿宋"/>
          <w:spacing w:val="-6"/>
          <w:sz w:val="21"/>
          <w:szCs w:val="21"/>
          <w:u w:val="single" w:color="auto"/>
        </w:rPr>
        <w:t xml:space="preserve">     </w:t>
      </w:r>
    </w:p>
    <w:p>
      <w:pPr>
        <w:spacing w:before="64" w:line="359" w:lineRule="auto"/>
        <w:ind w:left="179" w:right="154" w:firstLine="479"/>
        <w:jc w:val="both"/>
        <w:rPr>
          <w:rFonts w:ascii="宋体" w:hAnsi="宋体" w:eastAsia="宋体" w:cs="宋体"/>
          <w:sz w:val="24"/>
          <w:szCs w:val="24"/>
        </w:rPr>
      </w:pPr>
      <w:r>
        <w:rPr>
          <w:rFonts w:ascii="宋体" w:hAnsi="宋体" w:eastAsia="宋体" w:cs="宋体"/>
          <w:spacing w:val="-1"/>
          <w:sz w:val="24"/>
          <w:szCs w:val="24"/>
        </w:rPr>
        <w:t xml:space="preserve">根据表 </w:t>
      </w:r>
      <w:r>
        <w:rPr>
          <w:rFonts w:ascii="Times New Roman" w:hAnsi="Times New Roman" w:eastAsia="Times New Roman" w:cs="Times New Roman"/>
          <w:spacing w:val="-1"/>
          <w:sz w:val="24"/>
          <w:szCs w:val="24"/>
        </w:rPr>
        <w:t>1.6-2</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，项目属于水文要素影响型，地表水评价等级为一级，生态环</w:t>
      </w:r>
      <w:r>
        <w:rPr>
          <w:rFonts w:ascii="宋体" w:hAnsi="宋体" w:eastAsia="宋体" w:cs="宋体"/>
          <w:sz w:val="24"/>
          <w:szCs w:val="24"/>
        </w:rPr>
        <w:t xml:space="preserve"> </w:t>
      </w:r>
      <w:r>
        <w:rPr>
          <w:rFonts w:ascii="宋体" w:hAnsi="宋体" w:eastAsia="宋体" w:cs="宋体"/>
          <w:spacing w:val="-9"/>
          <w:sz w:val="24"/>
          <w:szCs w:val="24"/>
        </w:rPr>
        <w:t>境影响评价等级不低于二级， 河闸坝建设可能明显改变</w:t>
      </w:r>
      <w:r>
        <w:rPr>
          <w:rFonts w:ascii="宋体" w:hAnsi="宋体" w:eastAsia="宋体" w:cs="宋体"/>
          <w:spacing w:val="-10"/>
          <w:sz w:val="24"/>
          <w:szCs w:val="24"/>
        </w:rPr>
        <w:t>水文情势等情况下， 评价</w:t>
      </w:r>
    </w:p>
    <w:p>
      <w:pPr>
        <w:spacing w:line="218" w:lineRule="auto"/>
        <w:ind w:left="180"/>
        <w:rPr>
          <w:rFonts w:ascii="宋体" w:hAnsi="宋体" w:eastAsia="宋体" w:cs="宋体"/>
          <w:sz w:val="24"/>
          <w:szCs w:val="24"/>
        </w:rPr>
      </w:pPr>
      <w:r>
        <w:rPr>
          <w:rFonts w:ascii="宋体" w:hAnsi="宋体" w:eastAsia="宋体" w:cs="宋体"/>
          <w:spacing w:val="-1"/>
          <w:sz w:val="24"/>
          <w:szCs w:val="24"/>
        </w:rPr>
        <w:t>等级应上调一级，确定项目生态环境影响评价等级为一级。</w:t>
      </w:r>
    </w:p>
    <w:p>
      <w:pPr>
        <w:spacing w:before="261" w:line="468" w:lineRule="exact"/>
        <w:ind w:left="665"/>
        <w:rPr>
          <w:rFonts w:ascii="宋体" w:hAnsi="宋体" w:eastAsia="宋体" w:cs="宋体"/>
          <w:sz w:val="24"/>
          <w:szCs w:val="24"/>
        </w:rPr>
      </w:pP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2</w:t>
      </w:r>
      <w:r>
        <w:rPr>
          <w:rFonts w:ascii="宋体" w:hAnsi="宋体" w:eastAsia="宋体" w:cs="宋体"/>
          <w:spacing w:val="-5"/>
          <w:position w:val="17"/>
          <w:sz w:val="24"/>
          <w:szCs w:val="24"/>
        </w:rPr>
        <w:t>）评价范围</w:t>
      </w:r>
    </w:p>
    <w:p>
      <w:pPr>
        <w:spacing w:line="217" w:lineRule="auto"/>
        <w:ind w:left="657"/>
        <w:rPr>
          <w:rFonts w:ascii="宋体" w:hAnsi="宋体" w:eastAsia="宋体" w:cs="宋体"/>
          <w:sz w:val="24"/>
          <w:szCs w:val="24"/>
        </w:rPr>
      </w:pPr>
      <w:r>
        <w:rPr>
          <w:rFonts w:ascii="宋体" w:hAnsi="宋体" w:eastAsia="宋体" w:cs="宋体"/>
          <w:spacing w:val="-2"/>
          <w:sz w:val="24"/>
          <w:szCs w:val="24"/>
        </w:rPr>
        <w:t>①陆生生态</w:t>
      </w:r>
    </w:p>
    <w:p>
      <w:pPr>
        <w:spacing w:before="186" w:line="468" w:lineRule="exact"/>
        <w:ind w:left="660"/>
        <w:rPr>
          <w:rFonts w:ascii="宋体" w:hAnsi="宋体" w:eastAsia="宋体" w:cs="宋体"/>
          <w:sz w:val="24"/>
          <w:szCs w:val="24"/>
        </w:rPr>
      </w:pPr>
      <w:r>
        <w:rPr>
          <w:rFonts w:ascii="宋体" w:hAnsi="宋体" w:eastAsia="宋体" w:cs="宋体"/>
          <w:spacing w:val="-1"/>
          <w:position w:val="17"/>
          <w:sz w:val="24"/>
          <w:szCs w:val="24"/>
        </w:rPr>
        <w:t>桂花水库工程评价范围：按照淹没范围外扩</w:t>
      </w:r>
      <w:r>
        <w:rPr>
          <w:rFonts w:ascii="宋体" w:hAnsi="宋体" w:eastAsia="宋体" w:cs="宋体"/>
          <w:spacing w:val="-37"/>
          <w:position w:val="17"/>
          <w:sz w:val="24"/>
          <w:szCs w:val="24"/>
        </w:rPr>
        <w:t xml:space="preserve"> </w:t>
      </w:r>
      <w:r>
        <w:rPr>
          <w:rFonts w:ascii="Times New Roman" w:hAnsi="Times New Roman" w:eastAsia="Times New Roman" w:cs="Times New Roman"/>
          <w:spacing w:val="-1"/>
          <w:position w:val="17"/>
          <w:sz w:val="24"/>
          <w:szCs w:val="24"/>
        </w:rPr>
        <w:t xml:space="preserve">300m </w:t>
      </w:r>
      <w:r>
        <w:rPr>
          <w:rFonts w:ascii="宋体" w:hAnsi="宋体" w:eastAsia="宋体" w:cs="宋体"/>
          <w:spacing w:val="-1"/>
          <w:position w:val="17"/>
          <w:sz w:val="24"/>
          <w:szCs w:val="24"/>
        </w:rPr>
        <w:t>作为重点评价区的评价</w:t>
      </w:r>
    </w:p>
    <w:p>
      <w:pPr>
        <w:spacing w:line="218" w:lineRule="auto"/>
        <w:ind w:left="184"/>
        <w:rPr>
          <w:rFonts w:ascii="宋体" w:hAnsi="宋体" w:eastAsia="宋体" w:cs="宋体"/>
          <w:sz w:val="24"/>
          <w:szCs w:val="24"/>
        </w:rPr>
      </w:pPr>
      <w:r>
        <w:rPr>
          <w:rFonts w:ascii="宋体" w:hAnsi="宋体" w:eastAsia="宋体" w:cs="宋体"/>
          <w:spacing w:val="-1"/>
          <w:sz w:val="24"/>
          <w:szCs w:val="24"/>
        </w:rPr>
        <w:t>范围，该重点评价区面积为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250.6hm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w:t>
      </w:r>
    </w:p>
    <w:p>
      <w:pPr>
        <w:spacing w:before="184" w:line="468" w:lineRule="exact"/>
        <w:ind w:left="659"/>
        <w:rPr>
          <w:rFonts w:ascii="宋体" w:hAnsi="宋体" w:eastAsia="宋体" w:cs="宋体"/>
          <w:sz w:val="24"/>
          <w:szCs w:val="24"/>
        </w:rPr>
      </w:pPr>
      <w:r>
        <w:rPr>
          <w:rFonts w:ascii="宋体" w:hAnsi="宋体" w:eastAsia="宋体" w:cs="宋体"/>
          <w:position w:val="17"/>
          <w:sz w:val="24"/>
          <w:szCs w:val="24"/>
        </w:rPr>
        <w:t>其他生态评价范围：引水区、枢纽区、引洪区</w:t>
      </w:r>
      <w:r>
        <w:rPr>
          <w:rFonts w:ascii="宋体" w:hAnsi="宋体" w:eastAsia="宋体" w:cs="宋体"/>
          <w:spacing w:val="-1"/>
          <w:position w:val="17"/>
          <w:sz w:val="24"/>
          <w:szCs w:val="24"/>
        </w:rPr>
        <w:t>、输水管道、施工三场、施</w:t>
      </w:r>
    </w:p>
    <w:p>
      <w:pPr>
        <w:spacing w:before="1" w:line="219" w:lineRule="auto"/>
        <w:ind w:left="181"/>
        <w:rPr>
          <w:rFonts w:ascii="宋体" w:hAnsi="宋体" w:eastAsia="宋体" w:cs="宋体"/>
          <w:sz w:val="24"/>
          <w:szCs w:val="24"/>
        </w:rPr>
      </w:pPr>
      <w:r>
        <w:rPr>
          <w:rFonts w:ascii="宋体" w:hAnsi="宋体" w:eastAsia="宋体" w:cs="宋体"/>
          <w:spacing w:val="-2"/>
          <w:sz w:val="24"/>
          <w:szCs w:val="24"/>
        </w:rPr>
        <w:t>工道路等征占地边界外延</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300m</w:t>
      </w:r>
      <w:r>
        <w:rPr>
          <w:rFonts w:ascii="宋体" w:hAnsi="宋体" w:eastAsia="宋体" w:cs="宋体"/>
          <w:spacing w:val="-2"/>
          <w:sz w:val="24"/>
          <w:szCs w:val="24"/>
        </w:rPr>
        <w:t>。</w:t>
      </w:r>
    </w:p>
    <w:p>
      <w:pPr>
        <w:spacing w:before="183" w:line="220" w:lineRule="auto"/>
        <w:ind w:left="661"/>
        <w:rPr>
          <w:rFonts w:ascii="宋体" w:hAnsi="宋体" w:eastAsia="宋体" w:cs="宋体"/>
          <w:sz w:val="24"/>
          <w:szCs w:val="24"/>
        </w:rPr>
      </w:pPr>
      <w:r>
        <w:rPr>
          <w:rFonts w:ascii="宋体" w:hAnsi="宋体" w:eastAsia="宋体" w:cs="宋体"/>
          <w:spacing w:val="-2"/>
          <w:sz w:val="24"/>
          <w:szCs w:val="24"/>
        </w:rPr>
        <w:t>详细调查总面积约</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820.5hm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w:t>
      </w:r>
    </w:p>
    <w:p>
      <w:pPr>
        <w:spacing w:before="182" w:line="217" w:lineRule="auto"/>
        <w:ind w:left="656"/>
        <w:rPr>
          <w:rFonts w:ascii="宋体" w:hAnsi="宋体" w:eastAsia="宋体" w:cs="宋体"/>
          <w:sz w:val="24"/>
          <w:szCs w:val="24"/>
        </w:rPr>
      </w:pPr>
      <w:r>
        <w:rPr>
          <w:rFonts w:ascii="宋体" w:hAnsi="宋体" w:eastAsia="宋体" w:cs="宋体"/>
          <w:spacing w:val="-2"/>
          <w:sz w:val="24"/>
          <w:szCs w:val="24"/>
        </w:rPr>
        <w:t>②水生生态</w:t>
      </w:r>
    </w:p>
    <w:p>
      <w:pPr>
        <w:spacing w:before="185" w:line="220" w:lineRule="auto"/>
        <w:ind w:left="660"/>
        <w:rPr>
          <w:rFonts w:ascii="宋体" w:hAnsi="宋体" w:eastAsia="宋体" w:cs="宋体"/>
          <w:sz w:val="24"/>
          <w:szCs w:val="24"/>
        </w:rPr>
      </w:pPr>
      <w:r>
        <w:rPr>
          <w:rFonts w:ascii="宋体" w:hAnsi="宋体" w:eastAsia="宋体" w:cs="宋体"/>
          <w:spacing w:val="-1"/>
          <w:sz w:val="24"/>
          <w:szCs w:val="24"/>
        </w:rPr>
        <w:t>桂花水库淹没区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37.425hm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w:t>
      </w:r>
    </w:p>
    <w:p>
      <w:pPr>
        <w:spacing w:before="182" w:line="217" w:lineRule="auto"/>
        <w:ind w:left="659"/>
        <w:rPr>
          <w:rFonts w:ascii="宋体" w:hAnsi="宋体" w:eastAsia="宋体" w:cs="宋体"/>
          <w:sz w:val="24"/>
          <w:szCs w:val="24"/>
        </w:rPr>
      </w:pPr>
      <w:r>
        <w:rPr>
          <w:rFonts w:ascii="宋体" w:hAnsi="宋体" w:eastAsia="宋体" w:cs="宋体"/>
          <w:spacing w:val="2"/>
          <w:sz w:val="24"/>
          <w:szCs w:val="24"/>
        </w:rPr>
        <w:t>库区影响河段：上游桂花河流域，流域面积</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55.6</w:t>
      </w:r>
      <w:r>
        <w:rPr>
          <w:rFonts w:ascii="Times New Roman" w:hAnsi="Times New Roman" w:eastAsia="Times New Roman" w:cs="Times New Roman"/>
          <w:sz w:val="24"/>
          <w:szCs w:val="24"/>
        </w:rPr>
        <w:t>km</w:t>
      </w:r>
      <w:r>
        <w:rPr>
          <w:rFonts w:ascii="宋体" w:hAnsi="宋体" w:eastAsia="宋体" w:cs="宋体"/>
          <w:spacing w:val="2"/>
          <w:sz w:val="24"/>
          <w:szCs w:val="24"/>
        </w:rPr>
        <w:t>²,主河</w:t>
      </w:r>
      <w:r>
        <w:rPr>
          <w:rFonts w:ascii="宋体" w:hAnsi="宋体" w:eastAsia="宋体" w:cs="宋体"/>
          <w:spacing w:val="1"/>
          <w:sz w:val="24"/>
          <w:szCs w:val="24"/>
        </w:rPr>
        <w:t>道长</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11.9</w:t>
      </w:r>
      <w:r>
        <w:rPr>
          <w:rFonts w:ascii="Times New Roman" w:hAnsi="Times New Roman" w:eastAsia="Times New Roman" w:cs="Times New Roman"/>
          <w:sz w:val="24"/>
          <w:szCs w:val="24"/>
        </w:rPr>
        <w:t>km</w:t>
      </w:r>
      <w:r>
        <w:rPr>
          <w:rFonts w:ascii="宋体" w:hAnsi="宋体" w:eastAsia="宋体" w:cs="宋体"/>
          <w:spacing w:val="1"/>
          <w:sz w:val="24"/>
          <w:szCs w:val="24"/>
        </w:rPr>
        <w:t>。</w:t>
      </w:r>
    </w:p>
    <w:p>
      <w:pPr>
        <w:spacing w:before="186" w:line="469" w:lineRule="exact"/>
        <w:ind w:left="676"/>
        <w:rPr>
          <w:rFonts w:ascii="宋体" w:hAnsi="宋体" w:eastAsia="宋体" w:cs="宋体"/>
          <w:sz w:val="24"/>
          <w:szCs w:val="24"/>
        </w:rPr>
      </w:pPr>
      <w:r>
        <w:rPr>
          <w:rFonts w:ascii="宋体" w:hAnsi="宋体" w:eastAsia="宋体" w:cs="宋体"/>
          <w:spacing w:val="2"/>
          <w:position w:val="17"/>
          <w:sz w:val="24"/>
          <w:szCs w:val="24"/>
        </w:rPr>
        <w:t>引水影响河段：左岸邻近的桂花河支流罗子左河，流域面积</w:t>
      </w:r>
      <w:r>
        <w:rPr>
          <w:rFonts w:ascii="宋体" w:hAnsi="宋体" w:eastAsia="宋体" w:cs="宋体"/>
          <w:spacing w:val="-33"/>
          <w:position w:val="17"/>
          <w:sz w:val="24"/>
          <w:szCs w:val="24"/>
        </w:rPr>
        <w:t xml:space="preserve"> </w:t>
      </w:r>
      <w:r>
        <w:rPr>
          <w:rFonts w:ascii="Times New Roman" w:hAnsi="Times New Roman" w:eastAsia="Times New Roman" w:cs="Times New Roman"/>
          <w:spacing w:val="2"/>
          <w:position w:val="17"/>
          <w:sz w:val="24"/>
          <w:szCs w:val="24"/>
        </w:rPr>
        <w:t>20.5</w:t>
      </w:r>
      <w:r>
        <w:rPr>
          <w:rFonts w:ascii="Times New Roman" w:hAnsi="Times New Roman" w:eastAsia="Times New Roman" w:cs="Times New Roman"/>
          <w:position w:val="17"/>
          <w:sz w:val="24"/>
          <w:szCs w:val="24"/>
        </w:rPr>
        <w:t>km</w:t>
      </w:r>
      <w:r>
        <w:rPr>
          <w:rFonts w:ascii="宋体" w:hAnsi="宋体" w:eastAsia="宋体" w:cs="宋体"/>
          <w:spacing w:val="2"/>
          <w:position w:val="17"/>
          <w:sz w:val="24"/>
          <w:szCs w:val="24"/>
        </w:rPr>
        <w:t>²,主</w:t>
      </w:r>
    </w:p>
    <w:p>
      <w:pPr>
        <w:spacing w:line="235" w:lineRule="auto"/>
        <w:ind w:left="177"/>
        <w:rPr>
          <w:rFonts w:ascii="宋体" w:hAnsi="宋体" w:eastAsia="宋体" w:cs="宋体"/>
          <w:sz w:val="24"/>
          <w:szCs w:val="24"/>
        </w:rPr>
      </w:pPr>
      <w:r>
        <w:rPr>
          <w:rFonts w:ascii="宋体" w:hAnsi="宋体" w:eastAsia="宋体" w:cs="宋体"/>
          <w:spacing w:val="-5"/>
          <w:sz w:val="24"/>
          <w:szCs w:val="24"/>
        </w:rPr>
        <w:t>河长</w:t>
      </w:r>
      <w:r>
        <w:rPr>
          <w:rFonts w:ascii="宋体" w:hAnsi="宋体" w:eastAsia="宋体" w:cs="宋体"/>
          <w:spacing w:val="-25"/>
          <w:sz w:val="24"/>
          <w:szCs w:val="24"/>
        </w:rPr>
        <w:t xml:space="preserve"> </w:t>
      </w:r>
      <w:r>
        <w:rPr>
          <w:rFonts w:ascii="Times New Roman" w:hAnsi="Times New Roman" w:eastAsia="Times New Roman" w:cs="Times New Roman"/>
          <w:spacing w:val="-5"/>
          <w:sz w:val="24"/>
          <w:szCs w:val="24"/>
        </w:rPr>
        <w:t>10.1km</w:t>
      </w:r>
      <w:r>
        <w:rPr>
          <w:rFonts w:ascii="宋体" w:hAnsi="宋体" w:eastAsia="宋体" w:cs="宋体"/>
          <w:spacing w:val="-5"/>
          <w:sz w:val="24"/>
          <w:szCs w:val="24"/>
        </w:rPr>
        <w:t>。</w:t>
      </w:r>
    </w:p>
    <w:p>
      <w:pPr>
        <w:spacing w:before="162" w:line="468" w:lineRule="exact"/>
        <w:ind w:left="676"/>
        <w:rPr>
          <w:rFonts w:ascii="宋体" w:hAnsi="宋体" w:eastAsia="宋体" w:cs="宋体"/>
          <w:sz w:val="24"/>
          <w:szCs w:val="24"/>
        </w:rPr>
      </w:pPr>
      <w:r>
        <w:rPr>
          <w:rFonts w:ascii="宋体" w:hAnsi="宋体" w:eastAsia="宋体" w:cs="宋体"/>
          <w:spacing w:val="-1"/>
          <w:position w:val="17"/>
          <w:sz w:val="24"/>
          <w:szCs w:val="24"/>
        </w:rPr>
        <w:t>引洪影响河段：桂花河支流马茨河，蜻蛉河支流者纳么河上游支流六姑乍</w:t>
      </w:r>
    </w:p>
    <w:p>
      <w:pPr>
        <w:spacing w:before="1" w:line="219" w:lineRule="auto"/>
        <w:ind w:left="183"/>
        <w:rPr>
          <w:rFonts w:ascii="宋体" w:hAnsi="宋体" w:eastAsia="宋体" w:cs="宋体"/>
          <w:sz w:val="24"/>
          <w:szCs w:val="24"/>
        </w:rPr>
      </w:pPr>
      <w:r>
        <w:rPr>
          <w:rFonts w:ascii="宋体" w:hAnsi="宋体" w:eastAsia="宋体" w:cs="宋体"/>
          <w:spacing w:val="-1"/>
          <w:sz w:val="24"/>
          <w:szCs w:val="24"/>
        </w:rPr>
        <w:t>箐、昔木乍箐及见簸箐上，总影响范围</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40.2km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1"/>
          <w:sz w:val="24"/>
          <w:szCs w:val="24"/>
        </w:rPr>
        <w:t>，影响主河段总长</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2"/>
          <w:sz w:val="24"/>
          <w:szCs w:val="24"/>
        </w:rPr>
        <w:t>.88km</w:t>
      </w:r>
      <w:r>
        <w:rPr>
          <w:rFonts w:ascii="宋体" w:hAnsi="宋体" w:eastAsia="宋体" w:cs="宋体"/>
          <w:spacing w:val="-2"/>
          <w:sz w:val="24"/>
          <w:szCs w:val="24"/>
        </w:rPr>
        <w:t>。</w:t>
      </w:r>
    </w:p>
    <w:p>
      <w:pPr>
        <w:spacing w:line="219" w:lineRule="auto"/>
        <w:rPr>
          <w:rFonts w:ascii="宋体" w:hAnsi="宋体" w:eastAsia="宋体" w:cs="宋体"/>
          <w:sz w:val="24"/>
          <w:szCs w:val="24"/>
        </w:rPr>
        <w:sectPr>
          <w:headerReference r:id="rId43" w:type="default"/>
          <w:footerReference r:id="rId44" w:type="default"/>
          <w:pgSz w:w="11907" w:h="16839"/>
          <w:pgMar w:top="1156" w:right="1644" w:bottom="1154" w:left="1631" w:header="881" w:footer="991" w:gutter="0"/>
        </w:sectPr>
      </w:pPr>
    </w:p>
    <w:p>
      <w:pPr>
        <w:spacing w:line="316" w:lineRule="auto"/>
        <w:rPr>
          <w:rFonts w:ascii="Arial"/>
          <w:sz w:val="21"/>
        </w:rPr>
      </w:pPr>
    </w:p>
    <w:p>
      <w:pPr>
        <w:spacing w:before="78" w:line="220" w:lineRule="auto"/>
        <w:ind w:left="522"/>
        <w:rPr>
          <w:rFonts w:ascii="宋体" w:hAnsi="宋体" w:eastAsia="宋体" w:cs="宋体"/>
          <w:sz w:val="24"/>
          <w:szCs w:val="24"/>
        </w:rPr>
      </w:pPr>
      <w:r>
        <w:rPr>
          <w:rFonts w:ascii="宋体" w:hAnsi="宋体" w:eastAsia="宋体" w:cs="宋体"/>
          <w:spacing w:val="-5"/>
          <w:sz w:val="24"/>
          <w:szCs w:val="24"/>
        </w:rPr>
        <w:t>碧么水库灌区范围。</w:t>
      </w:r>
    </w:p>
    <w:p>
      <w:pPr>
        <w:spacing w:line="353"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2"/>
          <w:sz w:val="24"/>
          <w:szCs w:val="24"/>
        </w:rPr>
        <w:t xml:space="preserve">1.6.6 </w:t>
      </w:r>
      <w:r>
        <w:rPr>
          <w:spacing w:val="-2"/>
          <w:sz w:val="24"/>
          <w:szCs w:val="24"/>
          <w14:textOutline w14:w="4354" w14:cap="flat" w14:cmpd="sng">
            <w14:solidFill>
              <w14:srgbClr w14:val="000000"/>
            </w14:solidFill>
            <w14:prstDash w14:val="solid"/>
            <w14:miter w14:val="0"/>
          </w14:textOutline>
        </w:rPr>
        <w:t>土壤环境</w:t>
      </w:r>
    </w:p>
    <w:p>
      <w:pPr>
        <w:spacing w:before="201" w:line="359" w:lineRule="auto"/>
        <w:ind w:left="42" w:right="426" w:firstLine="600"/>
        <w:jc w:val="both"/>
        <w:rPr>
          <w:rFonts w:ascii="宋体" w:hAnsi="宋体" w:eastAsia="宋体" w:cs="宋体"/>
          <w:sz w:val="24"/>
          <w:szCs w:val="24"/>
        </w:rPr>
      </w:pPr>
      <w:r>
        <w:rPr>
          <w:rFonts w:ascii="宋体" w:hAnsi="宋体" w:eastAsia="宋体" w:cs="宋体"/>
          <w:spacing w:val="-15"/>
          <w:sz w:val="24"/>
          <w:szCs w:val="24"/>
        </w:rPr>
        <w:t>工程属生态类影响型项目，</w:t>
      </w:r>
      <w:r>
        <w:rPr>
          <w:rFonts w:ascii="宋体" w:hAnsi="宋体" w:eastAsia="宋体" w:cs="宋体"/>
          <w:spacing w:val="-31"/>
          <w:sz w:val="24"/>
          <w:szCs w:val="24"/>
        </w:rPr>
        <w:t xml:space="preserve"> </w:t>
      </w:r>
      <w:r>
        <w:rPr>
          <w:rFonts w:ascii="宋体" w:hAnsi="宋体" w:eastAsia="宋体" w:cs="宋体"/>
          <w:spacing w:val="-15"/>
          <w:sz w:val="24"/>
          <w:szCs w:val="24"/>
        </w:rPr>
        <w:t>根据《环境影响评价技术导则</w:t>
      </w:r>
      <w:r>
        <w:rPr>
          <w:rFonts w:ascii="Times New Roman" w:hAnsi="Times New Roman" w:eastAsia="Times New Roman" w:cs="Times New Roman"/>
          <w:spacing w:val="-15"/>
          <w:sz w:val="24"/>
          <w:szCs w:val="24"/>
        </w:rPr>
        <w:t>-</w:t>
      </w:r>
      <w:r>
        <w:rPr>
          <w:rFonts w:ascii="宋体" w:hAnsi="宋体" w:eastAsia="宋体" w:cs="宋体"/>
          <w:spacing w:val="-15"/>
          <w:sz w:val="24"/>
          <w:szCs w:val="24"/>
        </w:rPr>
        <w:t>土壤环境（试行）》</w:t>
      </w:r>
      <w:r>
        <w:rPr>
          <w:rFonts w:ascii="宋体" w:hAnsi="宋体" w:eastAsia="宋体" w:cs="宋体"/>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HJ964-2018</w:t>
      </w:r>
      <w:r>
        <w:rPr>
          <w:rFonts w:ascii="宋体" w:hAnsi="宋体" w:eastAsia="宋体" w:cs="宋体"/>
          <w:spacing w:val="-1"/>
          <w:sz w:val="24"/>
          <w:szCs w:val="24"/>
        </w:rPr>
        <w:t xml:space="preserve">）附录 </w:t>
      </w:r>
      <w:r>
        <w:rPr>
          <w:rFonts w:ascii="Times New Roman" w:hAnsi="Times New Roman" w:eastAsia="Times New Roman" w:cs="Times New Roman"/>
          <w:spacing w:val="-1"/>
          <w:sz w:val="24"/>
          <w:szCs w:val="24"/>
        </w:rPr>
        <w:t>A</w:t>
      </w:r>
      <w:r>
        <w:rPr>
          <w:rFonts w:ascii="宋体" w:hAnsi="宋体" w:eastAsia="宋体" w:cs="宋体"/>
          <w:spacing w:val="-1"/>
          <w:sz w:val="24"/>
          <w:szCs w:val="24"/>
        </w:rPr>
        <w:t>，项目属于Ⅲ类项目。根据土壤监测结果，</w:t>
      </w:r>
      <w:r>
        <w:rPr>
          <w:rFonts w:ascii="宋体" w:hAnsi="宋体" w:eastAsia="宋体" w:cs="宋体"/>
          <w:spacing w:val="-2"/>
          <w:sz w:val="24"/>
          <w:szCs w:val="24"/>
        </w:rPr>
        <w:t>区域土壤</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pH</w:t>
      </w:r>
      <w:r>
        <w:rPr>
          <w:rFonts w:ascii="Times New Roman" w:hAnsi="Times New Roman" w:eastAsia="Times New Roman" w:cs="Times New Roman"/>
          <w:sz w:val="24"/>
          <w:szCs w:val="24"/>
        </w:rPr>
        <w:t xml:space="preserve">   </w:t>
      </w:r>
      <w:r>
        <w:rPr>
          <w:rFonts w:ascii="宋体" w:hAnsi="宋体" w:eastAsia="宋体" w:cs="宋体"/>
          <w:spacing w:val="-3"/>
          <w:sz w:val="24"/>
          <w:szCs w:val="24"/>
        </w:rPr>
        <w:t>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6.32~7.28</w:t>
      </w:r>
      <w:r>
        <w:rPr>
          <w:rFonts w:ascii="宋体" w:hAnsi="宋体" w:eastAsia="宋体" w:cs="宋体"/>
          <w:spacing w:val="-3"/>
          <w:sz w:val="24"/>
          <w:szCs w:val="24"/>
        </w:rPr>
        <w:t>，不属于酸化或碱化土壤，土壤含盐量为</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0.3g/</w:t>
      </w:r>
      <w:r>
        <w:rPr>
          <w:rFonts w:ascii="Times New Roman" w:hAnsi="Times New Roman" w:eastAsia="Times New Roman" w:cs="Times New Roman"/>
          <w:spacing w:val="-4"/>
          <w:sz w:val="24"/>
          <w:szCs w:val="24"/>
        </w:rPr>
        <w:t>kg~1.1g/kg</w:t>
      </w:r>
      <w:r>
        <w:rPr>
          <w:rFonts w:ascii="宋体" w:hAnsi="宋体" w:eastAsia="宋体" w:cs="宋体"/>
          <w:spacing w:val="-4"/>
          <w:sz w:val="24"/>
          <w:szCs w:val="24"/>
        </w:rPr>
        <w:t>，盐化程度</w:t>
      </w:r>
    </w:p>
    <w:p>
      <w:pPr>
        <w:spacing w:line="219" w:lineRule="auto"/>
        <w:ind w:left="43"/>
        <w:rPr>
          <w:rFonts w:ascii="宋体" w:hAnsi="宋体" w:eastAsia="宋体" w:cs="宋体"/>
          <w:sz w:val="24"/>
          <w:szCs w:val="24"/>
        </w:rPr>
      </w:pPr>
      <w:r>
        <w:rPr>
          <w:rFonts w:ascii="宋体" w:hAnsi="宋体" w:eastAsia="宋体" w:cs="宋体"/>
          <w:spacing w:val="-7"/>
          <w:sz w:val="24"/>
          <w:szCs w:val="24"/>
        </w:rPr>
        <w:t>不敏感， 项目建设所在地土壤环境敏感程度为不敏感。</w:t>
      </w:r>
    </w:p>
    <w:p>
      <w:pPr>
        <w:spacing w:before="182" w:line="466" w:lineRule="exact"/>
        <w:ind w:left="640"/>
        <w:rPr>
          <w:rFonts w:ascii="宋体" w:hAnsi="宋体" w:eastAsia="宋体" w:cs="宋体"/>
          <w:sz w:val="24"/>
          <w:szCs w:val="24"/>
        </w:rPr>
      </w:pPr>
      <w:r>
        <w:rPr>
          <w:rFonts w:ascii="宋体" w:hAnsi="宋体" w:eastAsia="宋体" w:cs="宋体"/>
          <w:spacing w:val="-10"/>
          <w:position w:val="17"/>
          <w:sz w:val="24"/>
          <w:szCs w:val="24"/>
        </w:rPr>
        <w:t>《环境影响评价技术导则</w:t>
      </w:r>
      <w:r>
        <w:rPr>
          <w:rFonts w:ascii="Times New Roman" w:hAnsi="Times New Roman" w:eastAsia="Times New Roman" w:cs="Times New Roman"/>
          <w:spacing w:val="-10"/>
          <w:position w:val="17"/>
          <w:sz w:val="24"/>
          <w:szCs w:val="24"/>
        </w:rPr>
        <w:t>-</w:t>
      </w:r>
      <w:r>
        <w:rPr>
          <w:rFonts w:ascii="宋体" w:hAnsi="宋体" w:eastAsia="宋体" w:cs="宋体"/>
          <w:spacing w:val="-10"/>
          <w:position w:val="17"/>
          <w:sz w:val="24"/>
          <w:szCs w:val="24"/>
        </w:rPr>
        <w:t>土壤环境（试行）》（</w:t>
      </w:r>
      <w:r>
        <w:rPr>
          <w:rFonts w:ascii="Times New Roman" w:hAnsi="Times New Roman" w:eastAsia="Times New Roman" w:cs="Times New Roman"/>
          <w:spacing w:val="-10"/>
          <w:position w:val="17"/>
          <w:sz w:val="24"/>
          <w:szCs w:val="24"/>
        </w:rPr>
        <w:t>HJ964-2018</w:t>
      </w:r>
      <w:r>
        <w:rPr>
          <w:rFonts w:ascii="宋体" w:hAnsi="宋体" w:eastAsia="宋体" w:cs="宋体"/>
          <w:spacing w:val="-58"/>
          <w:w w:val="92"/>
          <w:position w:val="17"/>
          <w:sz w:val="24"/>
          <w:szCs w:val="24"/>
        </w:rPr>
        <w:t>），</w:t>
      </w:r>
      <w:r>
        <w:rPr>
          <w:rFonts w:ascii="宋体" w:hAnsi="宋体" w:eastAsia="宋体" w:cs="宋体"/>
          <w:spacing w:val="-10"/>
          <w:position w:val="17"/>
          <w:sz w:val="24"/>
          <w:szCs w:val="24"/>
        </w:rPr>
        <w:t>生态影响型项</w:t>
      </w:r>
    </w:p>
    <w:p>
      <w:pPr>
        <w:spacing w:line="218" w:lineRule="auto"/>
        <w:ind w:left="85"/>
        <w:rPr>
          <w:rFonts w:ascii="宋体" w:hAnsi="宋体" w:eastAsia="宋体" w:cs="宋体"/>
          <w:sz w:val="24"/>
          <w:szCs w:val="24"/>
        </w:rPr>
      </w:pPr>
      <w:r>
        <w:rPr>
          <w:rFonts w:ascii="宋体" w:hAnsi="宋体" w:eastAsia="宋体" w:cs="宋体"/>
          <w:spacing w:val="-5"/>
          <w:sz w:val="24"/>
          <w:szCs w:val="24"/>
        </w:rPr>
        <w:t>目土壤评价等级划分依据详见表</w:t>
      </w:r>
      <w:r>
        <w:rPr>
          <w:rFonts w:ascii="宋体" w:hAnsi="宋体" w:eastAsia="宋体" w:cs="宋体"/>
          <w:spacing w:val="-16"/>
          <w:sz w:val="24"/>
          <w:szCs w:val="24"/>
        </w:rPr>
        <w:t xml:space="preserve"> </w:t>
      </w:r>
      <w:r>
        <w:rPr>
          <w:rFonts w:ascii="Times New Roman" w:hAnsi="Times New Roman" w:eastAsia="Times New Roman" w:cs="Times New Roman"/>
          <w:spacing w:val="-5"/>
          <w:sz w:val="24"/>
          <w:szCs w:val="24"/>
        </w:rPr>
        <w:t>1.6-3</w:t>
      </w:r>
      <w:r>
        <w:rPr>
          <w:rFonts w:ascii="宋体" w:hAnsi="宋体" w:eastAsia="宋体" w:cs="宋体"/>
          <w:spacing w:val="-5"/>
          <w:sz w:val="24"/>
          <w:szCs w:val="24"/>
        </w:rPr>
        <w:t>。</w:t>
      </w:r>
    </w:p>
    <w:p>
      <w:pPr>
        <w:spacing w:line="343" w:lineRule="auto"/>
        <w:rPr>
          <w:rFonts w:ascii="Arial"/>
          <w:sz w:val="21"/>
        </w:rPr>
      </w:pPr>
    </w:p>
    <w:p>
      <w:pPr>
        <w:spacing w:line="343" w:lineRule="auto"/>
        <w:rPr>
          <w:rFonts w:ascii="Arial"/>
          <w:sz w:val="21"/>
        </w:rPr>
      </w:pPr>
    </w:p>
    <w:p>
      <w:pPr>
        <w:pStyle w:val="2"/>
        <w:spacing w:before="69" w:line="218" w:lineRule="auto"/>
        <w:ind w:left="2263"/>
      </w:pPr>
      <w:r>
        <w:rPr>
          <w:spacing w:val="-1"/>
          <w14:textOutline w14:w="3810" w14:cap="flat" w14:cmpd="sng">
            <w14:solidFill>
              <w14:srgbClr w14:val="000000"/>
            </w14:solidFill>
            <w14:prstDash w14:val="solid"/>
            <w14:miter w14:val="0"/>
          </w14:textOutline>
        </w:rPr>
        <w:t>表</w:t>
      </w:r>
      <w:r>
        <w:rPr>
          <w:spacing w:val="-30"/>
        </w:rPr>
        <w:t xml:space="preserve"> </w:t>
      </w:r>
      <w:r>
        <w:rPr>
          <w:rFonts w:ascii="Times New Roman" w:hAnsi="Times New Roman" w:eastAsia="Times New Roman" w:cs="Times New Roman"/>
          <w:b/>
          <w:bCs/>
          <w:spacing w:val="-1"/>
        </w:rPr>
        <w:t xml:space="preserve">1.6-3    </w:t>
      </w:r>
      <w:r>
        <w:rPr>
          <w:spacing w:val="-1"/>
          <w14:textOutline w14:w="3810" w14:cap="flat" w14:cmpd="sng">
            <w14:solidFill>
              <w14:srgbClr w14:val="000000"/>
            </w14:solidFill>
            <w14:prstDash w14:val="solid"/>
            <w14:miter w14:val="0"/>
          </w14:textOutline>
        </w:rPr>
        <w:t>生态影响型评价工作等级划分表</w:t>
      </w:r>
    </w:p>
    <w:p>
      <w:pPr>
        <w:spacing w:line="20" w:lineRule="exact"/>
      </w:pPr>
    </w:p>
    <w:tbl>
      <w:tblPr>
        <w:tblStyle w:val="5"/>
        <w:tblW w:w="8523"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0"/>
        <w:gridCol w:w="2231"/>
        <w:gridCol w:w="2127"/>
        <w:gridCol w:w="20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62" w:hRule="atLeast"/>
        </w:trPr>
        <w:tc>
          <w:tcPr>
            <w:tcW w:w="2130" w:type="dxa"/>
            <w:tcBorders>
              <w:top w:val="single" w:color="000000" w:sz="12" w:space="0"/>
              <w:left w:val="nil"/>
            </w:tcBorders>
            <w:vAlign w:val="top"/>
          </w:tcPr>
          <w:p>
            <w:pPr>
              <w:rPr>
                <w:rFonts w:ascii="Arial"/>
                <w:sz w:val="21"/>
              </w:rPr>
            </w:pPr>
          </w:p>
        </w:tc>
        <w:tc>
          <w:tcPr>
            <w:tcW w:w="2231" w:type="dxa"/>
            <w:tcBorders>
              <w:top w:val="single" w:color="000000" w:sz="12" w:space="0"/>
            </w:tcBorders>
            <w:vAlign w:val="top"/>
          </w:tcPr>
          <w:p>
            <w:pPr>
              <w:spacing w:before="73" w:line="235" w:lineRule="auto"/>
              <w:ind w:left="1083"/>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Ⅰ</w:t>
            </w:r>
          </w:p>
        </w:tc>
        <w:tc>
          <w:tcPr>
            <w:tcW w:w="2127" w:type="dxa"/>
            <w:tcBorders>
              <w:top w:val="single" w:color="000000" w:sz="12" w:space="0"/>
            </w:tcBorders>
            <w:vAlign w:val="top"/>
          </w:tcPr>
          <w:p>
            <w:pPr>
              <w:spacing w:before="74" w:line="235" w:lineRule="auto"/>
              <w:ind w:left="999"/>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Ⅱ</w:t>
            </w:r>
          </w:p>
        </w:tc>
        <w:tc>
          <w:tcPr>
            <w:tcW w:w="2035" w:type="dxa"/>
            <w:tcBorders>
              <w:top w:val="single" w:color="000000" w:sz="12" w:space="0"/>
              <w:right w:val="nil"/>
            </w:tcBorders>
            <w:vAlign w:val="top"/>
          </w:tcPr>
          <w:p>
            <w:pPr>
              <w:spacing w:before="74" w:line="235" w:lineRule="auto"/>
              <w:ind w:left="916"/>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62" w:hRule="atLeast"/>
        </w:trPr>
        <w:tc>
          <w:tcPr>
            <w:tcW w:w="2130" w:type="dxa"/>
            <w:tcBorders>
              <w:left w:val="nil"/>
            </w:tcBorders>
            <w:vAlign w:val="top"/>
          </w:tcPr>
          <w:p>
            <w:pPr>
              <w:spacing w:before="75" w:line="219" w:lineRule="auto"/>
              <w:ind w:left="868"/>
              <w:rPr>
                <w:rFonts w:ascii="仿宋" w:hAnsi="仿宋" w:eastAsia="仿宋" w:cs="仿宋"/>
                <w:sz w:val="21"/>
                <w:szCs w:val="21"/>
              </w:rPr>
            </w:pPr>
            <w:r>
              <w:rPr>
                <w:rFonts w:ascii="仿宋" w:hAnsi="仿宋" w:eastAsia="仿宋" w:cs="仿宋"/>
                <w:spacing w:val="-4"/>
                <w:sz w:val="21"/>
                <w:szCs w:val="21"/>
              </w:rPr>
              <w:t>敏感</w:t>
            </w:r>
          </w:p>
        </w:tc>
        <w:tc>
          <w:tcPr>
            <w:tcW w:w="2231" w:type="dxa"/>
            <w:vAlign w:val="top"/>
          </w:tcPr>
          <w:p>
            <w:pPr>
              <w:spacing w:before="74" w:line="220" w:lineRule="auto"/>
              <w:ind w:left="919"/>
              <w:rPr>
                <w:rFonts w:ascii="仿宋" w:hAnsi="仿宋" w:eastAsia="仿宋" w:cs="仿宋"/>
                <w:sz w:val="21"/>
                <w:szCs w:val="21"/>
              </w:rPr>
            </w:pPr>
            <w:r>
              <w:rPr>
                <w:rFonts w:ascii="仿宋" w:hAnsi="仿宋" w:eastAsia="仿宋" w:cs="仿宋"/>
                <w:spacing w:val="-9"/>
                <w:sz w:val="21"/>
                <w:szCs w:val="21"/>
              </w:rPr>
              <w:t>一级</w:t>
            </w:r>
          </w:p>
        </w:tc>
        <w:tc>
          <w:tcPr>
            <w:tcW w:w="2127" w:type="dxa"/>
            <w:vAlign w:val="top"/>
          </w:tcPr>
          <w:p>
            <w:pPr>
              <w:spacing w:before="74" w:line="220" w:lineRule="auto"/>
              <w:ind w:left="871"/>
              <w:rPr>
                <w:rFonts w:ascii="仿宋" w:hAnsi="仿宋" w:eastAsia="仿宋" w:cs="仿宋"/>
                <w:sz w:val="21"/>
                <w:szCs w:val="21"/>
              </w:rPr>
            </w:pPr>
            <w:r>
              <w:rPr>
                <w:rFonts w:ascii="仿宋" w:hAnsi="仿宋" w:eastAsia="仿宋" w:cs="仿宋"/>
                <w:spacing w:val="-6"/>
                <w:sz w:val="21"/>
                <w:szCs w:val="21"/>
              </w:rPr>
              <w:t>二级</w:t>
            </w:r>
          </w:p>
        </w:tc>
        <w:tc>
          <w:tcPr>
            <w:tcW w:w="2035" w:type="dxa"/>
            <w:tcBorders>
              <w:right w:val="nil"/>
            </w:tcBorders>
            <w:vAlign w:val="top"/>
          </w:tcPr>
          <w:p>
            <w:pPr>
              <w:spacing w:before="74" w:line="220" w:lineRule="auto"/>
              <w:ind w:left="824"/>
              <w:rPr>
                <w:rFonts w:ascii="仿宋" w:hAnsi="仿宋" w:eastAsia="仿宋" w:cs="仿宋"/>
                <w:sz w:val="21"/>
                <w:szCs w:val="21"/>
              </w:rPr>
            </w:pPr>
            <w:r>
              <w:rPr>
                <w:rFonts w:ascii="仿宋" w:hAnsi="仿宋" w:eastAsia="仿宋" w:cs="仿宋"/>
                <w:spacing w:val="-5"/>
                <w:sz w:val="21"/>
                <w:szCs w:val="21"/>
              </w:rPr>
              <w:t>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3" w:hRule="atLeast"/>
        </w:trPr>
        <w:tc>
          <w:tcPr>
            <w:tcW w:w="2130" w:type="dxa"/>
            <w:tcBorders>
              <w:left w:val="nil"/>
            </w:tcBorders>
            <w:vAlign w:val="top"/>
          </w:tcPr>
          <w:p>
            <w:pPr>
              <w:spacing w:before="78" w:line="217" w:lineRule="auto"/>
              <w:ind w:left="764"/>
              <w:rPr>
                <w:rFonts w:ascii="仿宋" w:hAnsi="仿宋" w:eastAsia="仿宋" w:cs="仿宋"/>
                <w:sz w:val="21"/>
                <w:szCs w:val="21"/>
              </w:rPr>
            </w:pPr>
            <w:r>
              <w:rPr>
                <w:rFonts w:ascii="仿宋" w:hAnsi="仿宋" w:eastAsia="仿宋" w:cs="仿宋"/>
                <w:spacing w:val="-5"/>
                <w:sz w:val="21"/>
                <w:szCs w:val="21"/>
              </w:rPr>
              <w:t>较敏感</w:t>
            </w:r>
          </w:p>
        </w:tc>
        <w:tc>
          <w:tcPr>
            <w:tcW w:w="2231" w:type="dxa"/>
            <w:vAlign w:val="top"/>
          </w:tcPr>
          <w:p>
            <w:pPr>
              <w:spacing w:before="77" w:line="220" w:lineRule="auto"/>
              <w:ind w:left="922"/>
              <w:rPr>
                <w:rFonts w:ascii="仿宋" w:hAnsi="仿宋" w:eastAsia="仿宋" w:cs="仿宋"/>
                <w:sz w:val="21"/>
                <w:szCs w:val="21"/>
              </w:rPr>
            </w:pPr>
            <w:r>
              <w:rPr>
                <w:rFonts w:ascii="仿宋" w:hAnsi="仿宋" w:eastAsia="仿宋" w:cs="仿宋"/>
                <w:spacing w:val="-6"/>
                <w:sz w:val="21"/>
                <w:szCs w:val="21"/>
              </w:rPr>
              <w:t>二级</w:t>
            </w:r>
          </w:p>
        </w:tc>
        <w:tc>
          <w:tcPr>
            <w:tcW w:w="2127" w:type="dxa"/>
            <w:vAlign w:val="top"/>
          </w:tcPr>
          <w:p>
            <w:pPr>
              <w:spacing w:before="77" w:line="220" w:lineRule="auto"/>
              <w:ind w:left="871"/>
              <w:rPr>
                <w:rFonts w:ascii="仿宋" w:hAnsi="仿宋" w:eastAsia="仿宋" w:cs="仿宋"/>
                <w:sz w:val="21"/>
                <w:szCs w:val="21"/>
              </w:rPr>
            </w:pPr>
            <w:r>
              <w:rPr>
                <w:rFonts w:ascii="仿宋" w:hAnsi="仿宋" w:eastAsia="仿宋" w:cs="仿宋"/>
                <w:spacing w:val="-6"/>
                <w:sz w:val="21"/>
                <w:szCs w:val="21"/>
              </w:rPr>
              <w:t>二级</w:t>
            </w:r>
          </w:p>
        </w:tc>
        <w:tc>
          <w:tcPr>
            <w:tcW w:w="2035" w:type="dxa"/>
            <w:tcBorders>
              <w:right w:val="nil"/>
            </w:tcBorders>
            <w:vAlign w:val="top"/>
          </w:tcPr>
          <w:p>
            <w:pPr>
              <w:spacing w:before="77" w:line="220" w:lineRule="auto"/>
              <w:ind w:left="824"/>
              <w:rPr>
                <w:rFonts w:ascii="仿宋" w:hAnsi="仿宋" w:eastAsia="仿宋" w:cs="仿宋"/>
                <w:sz w:val="21"/>
                <w:szCs w:val="21"/>
              </w:rPr>
            </w:pPr>
            <w:r>
              <w:rPr>
                <w:rFonts w:ascii="仿宋" w:hAnsi="仿宋" w:eastAsia="仿宋" w:cs="仿宋"/>
                <w:spacing w:val="-5"/>
                <w:sz w:val="21"/>
                <w:szCs w:val="21"/>
              </w:rPr>
              <w:t>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7" w:hRule="atLeast"/>
        </w:trPr>
        <w:tc>
          <w:tcPr>
            <w:tcW w:w="2130" w:type="dxa"/>
            <w:tcBorders>
              <w:left w:val="nil"/>
            </w:tcBorders>
            <w:vAlign w:val="top"/>
          </w:tcPr>
          <w:p>
            <w:pPr>
              <w:spacing w:before="78" w:line="219" w:lineRule="auto"/>
              <w:ind w:left="768"/>
              <w:rPr>
                <w:rFonts w:ascii="仿宋" w:hAnsi="仿宋" w:eastAsia="仿宋" w:cs="仿宋"/>
                <w:sz w:val="21"/>
                <w:szCs w:val="21"/>
              </w:rPr>
            </w:pPr>
            <w:r>
              <w:rPr>
                <w:rFonts w:ascii="仿宋" w:hAnsi="仿宋" w:eastAsia="仿宋" w:cs="仿宋"/>
                <w:spacing w:val="-5"/>
                <w:sz w:val="21"/>
                <w:szCs w:val="21"/>
              </w:rPr>
              <w:t>不敏感</w:t>
            </w:r>
          </w:p>
        </w:tc>
        <w:tc>
          <w:tcPr>
            <w:tcW w:w="2231" w:type="dxa"/>
            <w:vAlign w:val="top"/>
          </w:tcPr>
          <w:p>
            <w:pPr>
              <w:spacing w:before="77" w:line="220" w:lineRule="auto"/>
              <w:ind w:left="922"/>
              <w:rPr>
                <w:rFonts w:ascii="仿宋" w:hAnsi="仿宋" w:eastAsia="仿宋" w:cs="仿宋"/>
                <w:sz w:val="21"/>
                <w:szCs w:val="21"/>
              </w:rPr>
            </w:pPr>
            <w:r>
              <w:rPr>
                <w:rFonts w:ascii="仿宋" w:hAnsi="仿宋" w:eastAsia="仿宋" w:cs="仿宋"/>
                <w:spacing w:val="-6"/>
                <w:sz w:val="21"/>
                <w:szCs w:val="21"/>
              </w:rPr>
              <w:t>二级</w:t>
            </w:r>
          </w:p>
        </w:tc>
        <w:tc>
          <w:tcPr>
            <w:tcW w:w="2127" w:type="dxa"/>
            <w:vAlign w:val="top"/>
          </w:tcPr>
          <w:p>
            <w:pPr>
              <w:spacing w:before="77" w:line="220" w:lineRule="auto"/>
              <w:ind w:left="870"/>
              <w:rPr>
                <w:rFonts w:ascii="仿宋" w:hAnsi="仿宋" w:eastAsia="仿宋" w:cs="仿宋"/>
                <w:sz w:val="21"/>
                <w:szCs w:val="21"/>
              </w:rPr>
            </w:pPr>
            <w:r>
              <w:rPr>
                <w:rFonts w:ascii="仿宋" w:hAnsi="仿宋" w:eastAsia="仿宋" w:cs="仿宋"/>
                <w:spacing w:val="-5"/>
                <w:sz w:val="21"/>
                <w:szCs w:val="21"/>
              </w:rPr>
              <w:t>三级</w:t>
            </w:r>
          </w:p>
        </w:tc>
        <w:tc>
          <w:tcPr>
            <w:tcW w:w="2035" w:type="dxa"/>
            <w:tcBorders>
              <w:right w:val="nil"/>
            </w:tcBorders>
            <w:vAlign w:val="top"/>
          </w:tcPr>
          <w:p>
            <w:pPr>
              <w:pStyle w:val="6"/>
              <w:spacing w:before="203" w:line="101" w:lineRule="exact"/>
              <w:ind w:left="988"/>
            </w:pPr>
            <w:r>
              <w:rPr>
                <w:position w:val="-2"/>
              </w:rPr>
              <w:t>-</w:t>
            </w:r>
          </w:p>
        </w:tc>
      </w:tr>
    </w:tbl>
    <w:p>
      <w:pPr>
        <w:spacing w:before="74" w:line="216" w:lineRule="auto"/>
        <w:ind w:left="157"/>
        <w:rPr>
          <w:rFonts w:ascii="仿宋" w:hAnsi="仿宋" w:eastAsia="仿宋" w:cs="仿宋"/>
          <w:sz w:val="21"/>
          <w:szCs w:val="21"/>
        </w:rPr>
      </w:pPr>
      <w:r>
        <w:rPr>
          <w:rFonts w:ascii="仿宋" w:hAnsi="仿宋" w:eastAsia="仿宋" w:cs="仿宋"/>
          <w:spacing w:val="-8"/>
          <w:sz w:val="21"/>
          <w:szCs w:val="21"/>
        </w:rPr>
        <w:t>注：“</w:t>
      </w:r>
      <w:r>
        <w:rPr>
          <w:rFonts w:ascii="Times New Roman" w:hAnsi="Times New Roman" w:eastAsia="Times New Roman" w:cs="Times New Roman"/>
          <w:spacing w:val="-8"/>
          <w:sz w:val="21"/>
          <w:szCs w:val="21"/>
        </w:rPr>
        <w:t>-</w:t>
      </w:r>
      <w:r>
        <w:rPr>
          <w:rFonts w:ascii="Times New Roman" w:hAnsi="Times New Roman" w:eastAsia="Times New Roman" w:cs="Times New Roman"/>
          <w:spacing w:val="-25"/>
          <w:sz w:val="21"/>
          <w:szCs w:val="21"/>
        </w:rPr>
        <w:t xml:space="preserve"> </w:t>
      </w:r>
      <w:r>
        <w:rPr>
          <w:rFonts w:ascii="仿宋" w:hAnsi="仿宋" w:eastAsia="仿宋" w:cs="仿宋"/>
          <w:spacing w:val="-8"/>
          <w:sz w:val="21"/>
          <w:szCs w:val="21"/>
        </w:rPr>
        <w:t>”表示可不开展土壤环境影响评价工</w:t>
      </w:r>
      <w:r>
        <w:rPr>
          <w:rFonts w:ascii="仿宋" w:hAnsi="仿宋" w:eastAsia="仿宋" w:cs="仿宋"/>
          <w:spacing w:val="-9"/>
          <w:sz w:val="21"/>
          <w:szCs w:val="21"/>
        </w:rPr>
        <w:t>作。</w:t>
      </w:r>
    </w:p>
    <w:p>
      <w:pPr>
        <w:spacing w:before="39" w:line="30" w:lineRule="exact"/>
        <w:ind w:firstLine="15"/>
      </w:pPr>
      <w:r>
        <w:pict>
          <v:shape id="_x0000_s1026" o:spid="_x0000_s1026" style="height:1.5pt;width:426.9pt;" fillcolor="#000000" filled="t" stroked="f" coordsize="8537,30" path="m0,30l8537,30,8537,0,0,0,0,30xe">
            <v:path/>
            <v:fill on="t" focussize="0,0"/>
            <v:stroke on="f"/>
            <v:imagedata o:title=""/>
            <o:lock v:ext="edit"/>
            <w10:wrap type="none"/>
            <w10:anchorlock/>
          </v:shape>
        </w:pict>
      </w:r>
    </w:p>
    <w:p>
      <w:pPr>
        <w:spacing w:before="37" w:line="466" w:lineRule="exact"/>
        <w:ind w:left="643"/>
        <w:rPr>
          <w:rFonts w:ascii="宋体" w:hAnsi="宋体" w:eastAsia="宋体" w:cs="宋体"/>
          <w:sz w:val="24"/>
          <w:szCs w:val="24"/>
        </w:rPr>
      </w:pPr>
      <w:r>
        <w:rPr>
          <w:rFonts w:ascii="宋体" w:hAnsi="宋体" w:eastAsia="宋体" w:cs="宋体"/>
          <w:position w:val="17"/>
          <w:sz w:val="24"/>
          <w:szCs w:val="24"/>
        </w:rPr>
        <w:t>项目属于Ⅲ类项目，建设所在地土壤环境敏感程度为不敏感。项目可不开</w:t>
      </w:r>
    </w:p>
    <w:p>
      <w:pPr>
        <w:spacing w:before="1" w:line="218" w:lineRule="auto"/>
        <w:ind w:left="41"/>
        <w:rPr>
          <w:rFonts w:ascii="宋体" w:hAnsi="宋体" w:eastAsia="宋体" w:cs="宋体"/>
          <w:sz w:val="24"/>
          <w:szCs w:val="24"/>
        </w:rPr>
      </w:pPr>
      <w:r>
        <w:rPr>
          <w:rFonts w:ascii="宋体" w:hAnsi="宋体" w:eastAsia="宋体" w:cs="宋体"/>
          <w:spacing w:val="-1"/>
          <w:sz w:val="24"/>
          <w:szCs w:val="24"/>
        </w:rPr>
        <w:t>展土壤环境影响评价工作。</w:t>
      </w:r>
    </w:p>
    <w:p>
      <w:pPr>
        <w:spacing w:line="432"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2"/>
          <w:sz w:val="24"/>
          <w:szCs w:val="24"/>
        </w:rPr>
        <w:t xml:space="preserve">1.6.7 </w:t>
      </w:r>
      <w:r>
        <w:rPr>
          <w:spacing w:val="-2"/>
          <w:sz w:val="24"/>
          <w:szCs w:val="24"/>
          <w14:textOutline w14:w="4354" w14:cap="flat" w14:cmpd="sng">
            <w14:solidFill>
              <w14:srgbClr w14:val="000000"/>
            </w14:solidFill>
            <w14:prstDash w14:val="solid"/>
            <w14:miter w14:val="0"/>
          </w14:textOutline>
        </w:rPr>
        <w:t>环境风险</w:t>
      </w:r>
    </w:p>
    <w:p>
      <w:pPr>
        <w:spacing w:before="200" w:line="359" w:lineRule="auto"/>
        <w:ind w:left="39" w:right="537" w:firstLine="483"/>
        <w:jc w:val="both"/>
        <w:rPr>
          <w:rFonts w:ascii="宋体" w:hAnsi="宋体" w:eastAsia="宋体" w:cs="宋体"/>
          <w:sz w:val="24"/>
          <w:szCs w:val="24"/>
        </w:rPr>
      </w:pPr>
      <w:r>
        <w:rPr>
          <w:rFonts w:ascii="宋体" w:hAnsi="宋体" w:eastAsia="宋体" w:cs="宋体"/>
          <w:spacing w:val="-9"/>
          <w:sz w:val="24"/>
          <w:szCs w:val="24"/>
        </w:rPr>
        <w:t>项目风险物质为柴油。项目施工区设置</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座柴油库（</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个油罐</w:t>
      </w:r>
      <w:r>
        <w:rPr>
          <w:rFonts w:ascii="宋体" w:hAnsi="宋体" w:eastAsia="宋体" w:cs="宋体"/>
          <w:spacing w:val="-42"/>
          <w:sz w:val="24"/>
          <w:szCs w:val="24"/>
        </w:rPr>
        <w:t>），</w:t>
      </w:r>
      <w:r>
        <w:rPr>
          <w:rFonts w:ascii="宋体" w:hAnsi="宋体" w:eastAsia="宋体" w:cs="宋体"/>
          <w:spacing w:val="-9"/>
          <w:sz w:val="24"/>
          <w:szCs w:val="24"/>
        </w:rPr>
        <w:t>储油量</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30m</w:t>
      </w:r>
      <w:r>
        <w:rPr>
          <w:rFonts w:ascii="Times New Roman" w:hAnsi="Times New Roman" w:eastAsia="Times New Roman" w:cs="Times New Roman"/>
          <w:spacing w:val="-9"/>
          <w:position w:val="8"/>
          <w:sz w:val="15"/>
          <w:szCs w:val="15"/>
        </w:rPr>
        <w:t>3</w:t>
      </w:r>
      <w:r>
        <w:rPr>
          <w:rFonts w:ascii="Times New Roman" w:hAnsi="Times New Roman" w:eastAsia="Times New Roman" w:cs="Times New Roman"/>
          <w:position w:val="8"/>
          <w:sz w:val="15"/>
          <w:szCs w:val="15"/>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26t</w:t>
      </w:r>
      <w:r>
        <w:rPr>
          <w:rFonts w:ascii="宋体" w:hAnsi="宋体" w:eastAsia="宋体" w:cs="宋体"/>
          <w:spacing w:val="-7"/>
          <w:sz w:val="24"/>
          <w:szCs w:val="24"/>
        </w:rPr>
        <w:t>）。根据《建设项目环境风险评价技术导则》</w:t>
      </w:r>
      <w:r>
        <w:rPr>
          <w:rFonts w:ascii="Times New Roman" w:hAnsi="Times New Roman" w:eastAsia="Times New Roman" w:cs="Times New Roman"/>
          <w:spacing w:val="-7"/>
          <w:sz w:val="24"/>
          <w:szCs w:val="24"/>
        </w:rPr>
        <w:t>(HJ169-2018)</w:t>
      </w:r>
      <w:r>
        <w:rPr>
          <w:rFonts w:ascii="宋体" w:hAnsi="宋体" w:eastAsia="宋体" w:cs="宋体"/>
          <w:spacing w:val="-7"/>
          <w:sz w:val="24"/>
          <w:szCs w:val="24"/>
        </w:rPr>
        <w:t>附录</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B</w:t>
      </w:r>
      <w:r>
        <w:rPr>
          <w:rFonts w:ascii="宋体" w:hAnsi="宋体" w:eastAsia="宋体" w:cs="宋体"/>
          <w:spacing w:val="-7"/>
          <w:sz w:val="24"/>
          <w:szCs w:val="24"/>
        </w:rPr>
        <w:t>，柴油临界</w:t>
      </w:r>
      <w:r>
        <w:rPr>
          <w:rFonts w:ascii="宋体" w:hAnsi="宋体" w:eastAsia="宋体" w:cs="宋体"/>
          <w:sz w:val="24"/>
          <w:szCs w:val="24"/>
        </w:rPr>
        <w:t xml:space="preserve"> </w:t>
      </w:r>
      <w:r>
        <w:rPr>
          <w:rFonts w:ascii="宋体" w:hAnsi="宋体" w:eastAsia="宋体" w:cs="宋体"/>
          <w:spacing w:val="-8"/>
          <w:sz w:val="24"/>
          <w:szCs w:val="24"/>
        </w:rPr>
        <w:t>量为</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2500t</w:t>
      </w:r>
      <w:r>
        <w:rPr>
          <w:rFonts w:ascii="宋体" w:hAnsi="宋体" w:eastAsia="宋体" w:cs="宋体"/>
          <w:spacing w:val="-8"/>
          <w:sz w:val="24"/>
          <w:szCs w:val="24"/>
        </w:rPr>
        <w:t>。因此，</w:t>
      </w:r>
      <w:r>
        <w:rPr>
          <w:rFonts w:ascii="宋体" w:hAnsi="宋体" w:eastAsia="宋体" w:cs="宋体"/>
          <w:spacing w:val="40"/>
          <w:sz w:val="24"/>
          <w:szCs w:val="24"/>
        </w:rPr>
        <w:t xml:space="preserve"> </w:t>
      </w:r>
      <w:r>
        <w:rPr>
          <w:rFonts w:ascii="宋体" w:hAnsi="宋体" w:eastAsia="宋体" w:cs="宋体"/>
          <w:spacing w:val="-8"/>
          <w:sz w:val="24"/>
          <w:szCs w:val="24"/>
        </w:rPr>
        <w:t>项目危险物质数量</w:t>
      </w:r>
      <w:r>
        <w:rPr>
          <w:rFonts w:ascii="宋体" w:hAnsi="宋体" w:eastAsia="宋体" w:cs="宋体"/>
          <w:spacing w:val="-9"/>
          <w:sz w:val="24"/>
          <w:szCs w:val="24"/>
        </w:rPr>
        <w:t>与临界量比值值（</w:t>
      </w:r>
      <w:r>
        <w:rPr>
          <w:rFonts w:ascii="Times New Roman" w:hAnsi="Times New Roman" w:eastAsia="Times New Roman" w:cs="Times New Roman"/>
          <w:spacing w:val="-9"/>
          <w:sz w:val="24"/>
          <w:szCs w:val="24"/>
        </w:rPr>
        <w:t>Q</w:t>
      </w:r>
      <w:r>
        <w:rPr>
          <w:rFonts w:ascii="宋体" w:hAnsi="宋体" w:eastAsia="宋体" w:cs="宋体"/>
          <w:spacing w:val="-9"/>
          <w:sz w:val="24"/>
          <w:szCs w:val="24"/>
        </w:rPr>
        <w:t>）为</w:t>
      </w:r>
      <w:r>
        <w:rPr>
          <w:rFonts w:ascii="宋体" w:hAnsi="宋体" w:eastAsia="宋体" w:cs="宋体"/>
          <w:spacing w:val="-39"/>
          <w:sz w:val="24"/>
          <w:szCs w:val="24"/>
        </w:rPr>
        <w:t xml:space="preserve"> </w:t>
      </w:r>
      <w:r>
        <w:rPr>
          <w:rFonts w:ascii="Times New Roman" w:hAnsi="Times New Roman" w:eastAsia="Times New Roman" w:cs="Times New Roman"/>
          <w:spacing w:val="-9"/>
          <w:sz w:val="24"/>
          <w:szCs w:val="24"/>
        </w:rPr>
        <w:t>0.0104</w:t>
      </w:r>
      <w:r>
        <w:rPr>
          <w:rFonts w:ascii="宋体" w:hAnsi="宋体" w:eastAsia="宋体" w:cs="宋体"/>
          <w:spacing w:val="-9"/>
          <w:sz w:val="24"/>
          <w:szCs w:val="24"/>
        </w:rPr>
        <w:t>。根据《建</w:t>
      </w:r>
      <w:r>
        <w:rPr>
          <w:rFonts w:ascii="宋体" w:hAnsi="宋体" w:eastAsia="宋体" w:cs="宋体"/>
          <w:sz w:val="24"/>
          <w:szCs w:val="24"/>
        </w:rPr>
        <w:t xml:space="preserve"> </w:t>
      </w:r>
      <w:r>
        <w:rPr>
          <w:rFonts w:ascii="宋体" w:hAnsi="宋体" w:eastAsia="宋体" w:cs="宋体"/>
          <w:spacing w:val="-10"/>
          <w:sz w:val="24"/>
          <w:szCs w:val="24"/>
        </w:rPr>
        <w:t>设项目环境风险评价技术导则》（</w:t>
      </w:r>
      <w:r>
        <w:rPr>
          <w:rFonts w:ascii="Times New Roman" w:hAnsi="Times New Roman" w:eastAsia="Times New Roman" w:cs="Times New Roman"/>
          <w:spacing w:val="-10"/>
          <w:sz w:val="24"/>
          <w:szCs w:val="24"/>
        </w:rPr>
        <w:t>HJ169-2018</w:t>
      </w:r>
      <w:r>
        <w:rPr>
          <w:rFonts w:ascii="宋体" w:hAnsi="宋体" w:eastAsia="宋体" w:cs="宋体"/>
          <w:spacing w:val="-10"/>
          <w:sz w:val="24"/>
          <w:szCs w:val="24"/>
        </w:rPr>
        <w:t xml:space="preserve">）中规定， </w:t>
      </w:r>
      <w:r>
        <w:rPr>
          <w:rFonts w:ascii="Times New Roman" w:hAnsi="Times New Roman" w:eastAsia="Times New Roman" w:cs="Times New Roman"/>
          <w:spacing w:val="-10"/>
          <w:sz w:val="24"/>
          <w:szCs w:val="24"/>
        </w:rPr>
        <w:t>Q</w:t>
      </w: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6"/>
          <w:sz w:val="24"/>
          <w:szCs w:val="24"/>
        </w:rPr>
        <w:t xml:space="preserve"> </w:t>
      </w:r>
      <w:r>
        <w:rPr>
          <w:rFonts w:ascii="宋体" w:hAnsi="宋体" w:eastAsia="宋体" w:cs="宋体"/>
          <w:spacing w:val="-10"/>
          <w:sz w:val="24"/>
          <w:szCs w:val="24"/>
        </w:rPr>
        <w:t>时，</w:t>
      </w:r>
      <w:r>
        <w:rPr>
          <w:rFonts w:ascii="宋体" w:hAnsi="宋体" w:eastAsia="宋体" w:cs="宋体"/>
          <w:spacing w:val="-50"/>
          <w:sz w:val="24"/>
          <w:szCs w:val="24"/>
        </w:rPr>
        <w:t xml:space="preserve"> </w:t>
      </w:r>
      <w:r>
        <w:rPr>
          <w:rFonts w:ascii="宋体" w:hAnsi="宋体" w:eastAsia="宋体" w:cs="宋体"/>
          <w:spacing w:val="-10"/>
          <w:sz w:val="24"/>
          <w:szCs w:val="24"/>
        </w:rPr>
        <w:t>项目环境风险</w:t>
      </w:r>
    </w:p>
    <w:p>
      <w:pPr>
        <w:spacing w:before="1" w:line="219" w:lineRule="auto"/>
        <w:ind w:left="38"/>
        <w:rPr>
          <w:rFonts w:ascii="宋体" w:hAnsi="宋体" w:eastAsia="宋体" w:cs="宋体"/>
          <w:sz w:val="24"/>
          <w:szCs w:val="24"/>
        </w:rPr>
      </w:pPr>
      <w:r>
        <w:rPr>
          <w:rFonts w:ascii="宋体" w:hAnsi="宋体" w:eastAsia="宋体" w:cs="宋体"/>
          <w:spacing w:val="-7"/>
          <w:sz w:val="24"/>
          <w:szCs w:val="24"/>
        </w:rPr>
        <w:t>潜势为Ⅰ。</w:t>
      </w:r>
    </w:p>
    <w:p>
      <w:pPr>
        <w:spacing w:before="292" w:line="218" w:lineRule="auto"/>
        <w:ind w:left="519"/>
        <w:rPr>
          <w:rFonts w:ascii="宋体" w:hAnsi="宋体" w:eastAsia="宋体" w:cs="宋体"/>
          <w:sz w:val="24"/>
          <w:szCs w:val="24"/>
        </w:rPr>
      </w:pPr>
      <w:r>
        <w:rPr>
          <w:rFonts w:ascii="宋体" w:hAnsi="宋体" w:eastAsia="宋体" w:cs="宋体"/>
          <w:spacing w:val="-3"/>
          <w:sz w:val="24"/>
          <w:szCs w:val="24"/>
        </w:rPr>
        <w:t>根据《建设项目环境风险评价技术导则》（</w:t>
      </w:r>
      <w:r>
        <w:rPr>
          <w:rFonts w:ascii="Times New Roman" w:hAnsi="Times New Roman" w:eastAsia="Times New Roman" w:cs="Times New Roman"/>
          <w:spacing w:val="-3"/>
          <w:sz w:val="24"/>
          <w:szCs w:val="24"/>
        </w:rPr>
        <w:t>HJ169-2018</w:t>
      </w:r>
      <w:r>
        <w:rPr>
          <w:rFonts w:ascii="宋体" w:hAnsi="宋体" w:eastAsia="宋体" w:cs="宋体"/>
          <w:spacing w:val="-3"/>
          <w:sz w:val="24"/>
          <w:szCs w:val="24"/>
        </w:rPr>
        <w:t>）中规定，评价工作</w:t>
      </w:r>
    </w:p>
    <w:p>
      <w:pPr>
        <w:spacing w:before="155" w:line="220" w:lineRule="auto"/>
        <w:ind w:left="41"/>
        <w:rPr>
          <w:rFonts w:ascii="宋体" w:hAnsi="宋体" w:eastAsia="宋体" w:cs="宋体"/>
          <w:sz w:val="24"/>
          <w:szCs w:val="24"/>
        </w:rPr>
      </w:pPr>
      <w:r>
        <w:rPr>
          <w:rFonts w:ascii="宋体" w:hAnsi="宋体" w:eastAsia="宋体" w:cs="宋体"/>
          <w:spacing w:val="-9"/>
          <w:sz w:val="24"/>
          <w:szCs w:val="24"/>
        </w:rPr>
        <w:t>等级划分如下：</w:t>
      </w:r>
    </w:p>
    <w:p>
      <w:pPr>
        <w:spacing w:before="40" w:line="212" w:lineRule="auto"/>
        <w:ind w:left="3181"/>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Times New Roman" w:hAnsi="Times New Roman" w:eastAsia="Times New Roman" w:cs="Times New Roman"/>
          <w:b/>
          <w:bCs/>
          <w:spacing w:val="-1"/>
          <w:sz w:val="21"/>
          <w:szCs w:val="21"/>
        </w:rPr>
        <w:t xml:space="preserve">1.6-4  </w:t>
      </w:r>
      <w:r>
        <w:rPr>
          <w:rFonts w:ascii="宋体" w:hAnsi="宋体" w:eastAsia="宋体" w:cs="宋体"/>
          <w:spacing w:val="-1"/>
          <w:sz w:val="21"/>
          <w:szCs w:val="21"/>
          <w14:textOutline w14:w="3810" w14:cap="flat" w14:cmpd="sng">
            <w14:solidFill>
              <w14:srgbClr w14:val="000000"/>
            </w14:solidFill>
            <w14:prstDash w14:val="solid"/>
            <w14:miter w14:val="0"/>
          </w14:textOutline>
        </w:rPr>
        <w:t>评价工作等级划分</w:t>
      </w:r>
    </w:p>
    <w:tbl>
      <w:tblPr>
        <w:tblStyle w:val="5"/>
        <w:tblW w:w="8859"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6"/>
        <w:gridCol w:w="1769"/>
        <w:gridCol w:w="1768"/>
        <w:gridCol w:w="1768"/>
        <w:gridCol w:w="17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2" w:hRule="atLeast"/>
        </w:trPr>
        <w:tc>
          <w:tcPr>
            <w:tcW w:w="1786" w:type="dxa"/>
            <w:tcBorders>
              <w:top w:val="single" w:color="000000" w:sz="12" w:space="0"/>
              <w:left w:val="nil"/>
            </w:tcBorders>
            <w:vAlign w:val="top"/>
          </w:tcPr>
          <w:p>
            <w:pPr>
              <w:spacing w:before="31" w:line="194" w:lineRule="auto"/>
              <w:ind w:left="281"/>
              <w:rPr>
                <w:rFonts w:ascii="仿宋" w:hAnsi="仿宋" w:eastAsia="仿宋" w:cs="仿宋"/>
                <w:sz w:val="21"/>
                <w:szCs w:val="21"/>
              </w:rPr>
            </w:pPr>
            <w:r>
              <w:rPr>
                <w:rFonts w:ascii="仿宋" w:hAnsi="仿宋" w:eastAsia="仿宋" w:cs="仿宋"/>
                <w:spacing w:val="-2"/>
                <w:sz w:val="21"/>
                <w:szCs w:val="21"/>
              </w:rPr>
              <w:t>环境风险潜势</w:t>
            </w:r>
          </w:p>
        </w:tc>
        <w:tc>
          <w:tcPr>
            <w:tcW w:w="1769" w:type="dxa"/>
            <w:tcBorders>
              <w:top w:val="single" w:color="000000" w:sz="12" w:space="0"/>
            </w:tcBorders>
            <w:vAlign w:val="top"/>
          </w:tcPr>
          <w:p>
            <w:pPr>
              <w:pStyle w:val="6"/>
              <w:spacing w:before="33" w:line="192" w:lineRule="auto"/>
              <w:ind w:left="517"/>
              <w:rPr>
                <w:sz w:val="14"/>
                <w:szCs w:val="14"/>
              </w:rPr>
            </w:pPr>
            <w:r>
              <w:rPr>
                <w:spacing w:val="-6"/>
                <w:position w:val="-1"/>
              </w:rPr>
              <w:t>IV</w:t>
            </w:r>
            <w:r>
              <w:rPr>
                <w:spacing w:val="-24"/>
                <w:position w:val="-1"/>
              </w:rPr>
              <w:t xml:space="preserve"> </w:t>
            </w:r>
            <w:r>
              <w:rPr>
                <w:rFonts w:ascii="仿宋" w:hAnsi="仿宋" w:eastAsia="仿宋" w:cs="仿宋"/>
                <w:spacing w:val="-6"/>
                <w:position w:val="-1"/>
              </w:rPr>
              <w:t>、</w:t>
            </w:r>
            <w:r>
              <w:rPr>
                <w:spacing w:val="-6"/>
                <w:position w:val="-1"/>
              </w:rPr>
              <w:t>IV</w:t>
            </w:r>
            <w:r>
              <w:rPr>
                <w:spacing w:val="-6"/>
                <w:position w:val="6"/>
                <w:sz w:val="14"/>
                <w:szCs w:val="14"/>
              </w:rPr>
              <w:t>+</w:t>
            </w:r>
          </w:p>
        </w:tc>
        <w:tc>
          <w:tcPr>
            <w:tcW w:w="1768" w:type="dxa"/>
            <w:tcBorders>
              <w:top w:val="single" w:color="000000" w:sz="12" w:space="0"/>
            </w:tcBorders>
            <w:vAlign w:val="top"/>
          </w:tcPr>
          <w:p>
            <w:pPr>
              <w:pStyle w:val="6"/>
              <w:spacing w:before="71" w:line="179" w:lineRule="auto"/>
              <w:ind w:left="778"/>
            </w:pPr>
            <w:r>
              <w:rPr>
                <w:spacing w:val="-2"/>
              </w:rPr>
              <w:t>III</w:t>
            </w:r>
          </w:p>
        </w:tc>
        <w:tc>
          <w:tcPr>
            <w:tcW w:w="1768" w:type="dxa"/>
            <w:tcBorders>
              <w:top w:val="single" w:color="000000" w:sz="12" w:space="0"/>
            </w:tcBorders>
            <w:vAlign w:val="top"/>
          </w:tcPr>
          <w:p>
            <w:pPr>
              <w:pStyle w:val="6"/>
              <w:spacing w:before="71" w:line="179" w:lineRule="auto"/>
              <w:ind w:left="814"/>
            </w:pPr>
            <w:r>
              <w:rPr>
                <w:spacing w:val="-2"/>
              </w:rPr>
              <w:t>II</w:t>
            </w:r>
          </w:p>
        </w:tc>
        <w:tc>
          <w:tcPr>
            <w:tcW w:w="1768" w:type="dxa"/>
            <w:tcBorders>
              <w:top w:val="single" w:color="000000" w:sz="12" w:space="0"/>
              <w:right w:val="nil"/>
            </w:tcBorders>
            <w:vAlign w:val="top"/>
          </w:tcPr>
          <w:p>
            <w:pPr>
              <w:pStyle w:val="6"/>
              <w:spacing w:before="71" w:line="179" w:lineRule="auto"/>
              <w:ind w:left="851"/>
            </w:pPr>
            <w: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9" w:hRule="atLeast"/>
        </w:trPr>
        <w:tc>
          <w:tcPr>
            <w:tcW w:w="1786" w:type="dxa"/>
            <w:tcBorders>
              <w:left w:val="nil"/>
              <w:bottom w:val="single" w:color="000000" w:sz="12" w:space="0"/>
            </w:tcBorders>
            <w:vAlign w:val="top"/>
          </w:tcPr>
          <w:p>
            <w:pPr>
              <w:spacing w:before="46" w:line="204" w:lineRule="auto"/>
              <w:ind w:left="282"/>
              <w:rPr>
                <w:rFonts w:ascii="仿宋" w:hAnsi="仿宋" w:eastAsia="仿宋" w:cs="仿宋"/>
                <w:sz w:val="21"/>
                <w:szCs w:val="21"/>
              </w:rPr>
            </w:pPr>
            <w:r>
              <w:rPr>
                <w:rFonts w:ascii="仿宋" w:hAnsi="仿宋" w:eastAsia="仿宋" w:cs="仿宋"/>
                <w:spacing w:val="-3"/>
                <w:sz w:val="21"/>
                <w:szCs w:val="21"/>
              </w:rPr>
              <w:t>评价工作等级</w:t>
            </w:r>
          </w:p>
        </w:tc>
        <w:tc>
          <w:tcPr>
            <w:tcW w:w="1769" w:type="dxa"/>
            <w:tcBorders>
              <w:bottom w:val="single" w:color="000000" w:sz="12" w:space="0"/>
            </w:tcBorders>
            <w:vAlign w:val="top"/>
          </w:tcPr>
          <w:p>
            <w:pPr>
              <w:spacing w:before="132" w:line="146" w:lineRule="exact"/>
              <w:ind w:left="789"/>
              <w:rPr>
                <w:rFonts w:ascii="仿宋" w:hAnsi="仿宋" w:eastAsia="仿宋" w:cs="仿宋"/>
                <w:sz w:val="21"/>
                <w:szCs w:val="21"/>
              </w:rPr>
            </w:pPr>
            <w:r>
              <w:rPr>
                <w:rFonts w:ascii="仿宋" w:hAnsi="仿宋" w:eastAsia="仿宋" w:cs="仿宋"/>
                <w:position w:val="-4"/>
                <w:sz w:val="21"/>
                <w:szCs w:val="21"/>
              </w:rPr>
              <w:t>一</w:t>
            </w:r>
          </w:p>
        </w:tc>
        <w:tc>
          <w:tcPr>
            <w:tcW w:w="1768" w:type="dxa"/>
            <w:tcBorders>
              <w:bottom w:val="single" w:color="000000" w:sz="12" w:space="0"/>
            </w:tcBorders>
            <w:vAlign w:val="top"/>
          </w:tcPr>
          <w:p>
            <w:pPr>
              <w:spacing w:before="90" w:line="166" w:lineRule="auto"/>
              <w:ind w:left="794"/>
              <w:rPr>
                <w:rFonts w:ascii="仿宋" w:hAnsi="仿宋" w:eastAsia="仿宋" w:cs="仿宋"/>
                <w:sz w:val="21"/>
                <w:szCs w:val="21"/>
              </w:rPr>
            </w:pPr>
            <w:r>
              <w:rPr>
                <w:rFonts w:ascii="仿宋" w:hAnsi="仿宋" w:eastAsia="仿宋" w:cs="仿宋"/>
                <w:sz w:val="21"/>
                <w:szCs w:val="21"/>
              </w:rPr>
              <w:t>二</w:t>
            </w:r>
          </w:p>
        </w:tc>
        <w:tc>
          <w:tcPr>
            <w:tcW w:w="1768" w:type="dxa"/>
            <w:tcBorders>
              <w:bottom w:val="single" w:color="000000" w:sz="12" w:space="0"/>
            </w:tcBorders>
            <w:vAlign w:val="top"/>
          </w:tcPr>
          <w:p>
            <w:pPr>
              <w:spacing w:before="46" w:line="204" w:lineRule="auto"/>
              <w:ind w:left="794"/>
              <w:rPr>
                <w:rFonts w:ascii="仿宋" w:hAnsi="仿宋" w:eastAsia="仿宋" w:cs="仿宋"/>
                <w:sz w:val="21"/>
                <w:szCs w:val="21"/>
              </w:rPr>
            </w:pPr>
            <w:r>
              <w:rPr>
                <w:rFonts w:ascii="仿宋" w:hAnsi="仿宋" w:eastAsia="仿宋" w:cs="仿宋"/>
                <w:sz w:val="21"/>
                <w:szCs w:val="21"/>
              </w:rPr>
              <w:t>三</w:t>
            </w:r>
          </w:p>
        </w:tc>
        <w:tc>
          <w:tcPr>
            <w:tcW w:w="1768" w:type="dxa"/>
            <w:tcBorders>
              <w:bottom w:val="single" w:color="000000" w:sz="12" w:space="0"/>
              <w:right w:val="nil"/>
            </w:tcBorders>
            <w:vAlign w:val="top"/>
          </w:tcPr>
          <w:p>
            <w:pPr>
              <w:spacing w:before="46" w:line="204" w:lineRule="auto"/>
              <w:ind w:left="486"/>
              <w:rPr>
                <w:rFonts w:ascii="仿宋" w:hAnsi="仿宋" w:eastAsia="仿宋" w:cs="仿宋"/>
                <w:sz w:val="21"/>
                <w:szCs w:val="21"/>
              </w:rPr>
            </w:pPr>
            <w:r>
              <w:rPr>
                <w:rFonts w:ascii="仿宋" w:hAnsi="仿宋" w:eastAsia="仿宋" w:cs="仿宋"/>
                <w:spacing w:val="-5"/>
                <w:sz w:val="21"/>
                <w:szCs w:val="21"/>
              </w:rPr>
              <w:t>简单分析</w:t>
            </w:r>
          </w:p>
        </w:tc>
      </w:tr>
    </w:tbl>
    <w:p>
      <w:pPr>
        <w:spacing w:before="145" w:line="218" w:lineRule="auto"/>
        <w:ind w:left="519"/>
        <w:rPr>
          <w:rFonts w:ascii="宋体" w:hAnsi="宋体" w:eastAsia="宋体" w:cs="宋体"/>
          <w:sz w:val="24"/>
          <w:szCs w:val="24"/>
        </w:rPr>
      </w:pPr>
      <w:r>
        <w:rPr>
          <w:rFonts w:ascii="宋体" w:hAnsi="宋体" w:eastAsia="宋体" w:cs="宋体"/>
          <w:spacing w:val="-4"/>
          <w:sz w:val="24"/>
          <w:szCs w:val="24"/>
        </w:rPr>
        <w:t>根据《建设项目环境风险评价技术导则》 （</w:t>
      </w:r>
      <w:r>
        <w:rPr>
          <w:rFonts w:ascii="Times New Roman" w:hAnsi="Times New Roman" w:eastAsia="Times New Roman" w:cs="Times New Roman"/>
          <w:spacing w:val="-4"/>
          <w:sz w:val="24"/>
          <w:szCs w:val="24"/>
        </w:rPr>
        <w:t>HJ16</w:t>
      </w:r>
      <w:r>
        <w:rPr>
          <w:rFonts w:ascii="Times New Roman" w:hAnsi="Times New Roman" w:eastAsia="Times New Roman" w:cs="Times New Roman"/>
          <w:spacing w:val="-5"/>
          <w:sz w:val="24"/>
          <w:szCs w:val="24"/>
        </w:rPr>
        <w:t>9-2018</w:t>
      </w:r>
      <w:r>
        <w:rPr>
          <w:rFonts w:ascii="宋体" w:hAnsi="宋体" w:eastAsia="宋体" w:cs="宋体"/>
          <w:spacing w:val="10"/>
          <w:sz w:val="24"/>
          <w:szCs w:val="24"/>
        </w:rPr>
        <w:t>），</w:t>
      </w:r>
      <w:r>
        <w:rPr>
          <w:rFonts w:ascii="宋体" w:hAnsi="宋体" w:eastAsia="宋体" w:cs="宋体"/>
          <w:spacing w:val="-5"/>
          <w:sz w:val="24"/>
          <w:szCs w:val="24"/>
        </w:rPr>
        <w:t>项目环境风险</w:t>
      </w:r>
    </w:p>
    <w:p>
      <w:pPr>
        <w:spacing w:before="157" w:line="217" w:lineRule="auto"/>
        <w:ind w:left="38"/>
        <w:rPr>
          <w:rFonts w:ascii="宋体" w:hAnsi="宋体" w:eastAsia="宋体" w:cs="宋体"/>
          <w:sz w:val="24"/>
          <w:szCs w:val="24"/>
        </w:rPr>
      </w:pPr>
      <w:r>
        <w:rPr>
          <w:rFonts w:ascii="宋体" w:hAnsi="宋体" w:eastAsia="宋体" w:cs="宋体"/>
          <w:spacing w:val="5"/>
          <w:sz w:val="24"/>
          <w:szCs w:val="24"/>
        </w:rPr>
        <w:t>潜势为Ⅰ,可开展简单分析。</w:t>
      </w:r>
    </w:p>
    <w:p>
      <w:pPr>
        <w:spacing w:before="48" w:line="218" w:lineRule="auto"/>
        <w:ind w:left="518"/>
        <w:rPr>
          <w:rFonts w:ascii="宋体" w:hAnsi="宋体" w:eastAsia="宋体" w:cs="宋体"/>
          <w:sz w:val="24"/>
          <w:szCs w:val="24"/>
        </w:rPr>
      </w:pPr>
      <w:r>
        <w:rPr>
          <w:rFonts w:ascii="宋体" w:hAnsi="宋体" w:eastAsia="宋体" w:cs="宋体"/>
          <w:spacing w:val="-1"/>
          <w:sz w:val="24"/>
          <w:szCs w:val="24"/>
        </w:rPr>
        <w:t>据以上分析确定项目环境影响评价工作等级判定情况详表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1.6-4</w:t>
      </w:r>
      <w:r>
        <w:rPr>
          <w:rFonts w:ascii="宋体" w:hAnsi="宋体" w:eastAsia="宋体" w:cs="宋体"/>
          <w:spacing w:val="-2"/>
          <w:sz w:val="24"/>
          <w:szCs w:val="24"/>
        </w:rPr>
        <w:t>。</w:t>
      </w:r>
    </w:p>
    <w:p>
      <w:pPr>
        <w:spacing w:line="218" w:lineRule="auto"/>
        <w:rPr>
          <w:rFonts w:ascii="宋体" w:hAnsi="宋体" w:eastAsia="宋体" w:cs="宋体"/>
          <w:sz w:val="24"/>
          <w:szCs w:val="24"/>
        </w:rPr>
        <w:sectPr>
          <w:headerReference r:id="rId45" w:type="default"/>
          <w:footerReference r:id="rId46" w:type="default"/>
          <w:pgSz w:w="11907" w:h="16839"/>
          <w:pgMar w:top="1156" w:right="1261" w:bottom="1154" w:left="1770" w:header="881" w:footer="991" w:gutter="0"/>
        </w:sectPr>
      </w:pPr>
    </w:p>
    <w:p>
      <w:pPr>
        <w:spacing w:line="384" w:lineRule="auto"/>
        <w:rPr>
          <w:rFonts w:ascii="Arial"/>
          <w:sz w:val="21"/>
        </w:rPr>
      </w:pPr>
    </w:p>
    <w:p>
      <w:pPr>
        <w:pStyle w:val="2"/>
        <w:spacing w:before="69" w:line="232" w:lineRule="auto"/>
        <w:ind w:left="2052"/>
      </w:pPr>
      <w:r>
        <w:rPr>
          <w:spacing w:val="-1"/>
          <w14:textOutline w14:w="3810" w14:cap="flat" w14:cmpd="sng">
            <w14:solidFill>
              <w14:srgbClr w14:val="000000"/>
            </w14:solidFill>
            <w14:prstDash w14:val="solid"/>
            <w14:miter w14:val="0"/>
          </w14:textOutline>
        </w:rPr>
        <w:t>表</w:t>
      </w:r>
      <w:r>
        <w:rPr>
          <w:spacing w:val="-28"/>
        </w:rPr>
        <w:t xml:space="preserve"> </w:t>
      </w:r>
      <w:r>
        <w:rPr>
          <w:rFonts w:ascii="Times New Roman" w:hAnsi="Times New Roman" w:eastAsia="Times New Roman" w:cs="Times New Roman"/>
          <w:b/>
          <w:bCs/>
          <w:spacing w:val="-1"/>
        </w:rPr>
        <w:t xml:space="preserve">1.6-4    </w:t>
      </w:r>
      <w:r>
        <w:rPr>
          <w:spacing w:val="-1"/>
          <w14:textOutline w14:w="3810" w14:cap="flat" w14:cmpd="sng">
            <w14:solidFill>
              <w14:srgbClr w14:val="000000"/>
            </w14:solidFill>
            <w14:prstDash w14:val="solid"/>
            <w14:miter w14:val="0"/>
          </w14:textOutline>
        </w:rPr>
        <w:t>建设项目评价工作等级、范围一览表</w:t>
      </w:r>
    </w:p>
    <w:p>
      <w:pPr>
        <w:spacing w:line="43" w:lineRule="auto"/>
        <w:rPr>
          <w:rFonts w:ascii="Arial"/>
          <w:sz w:val="2"/>
        </w:rPr>
      </w:pPr>
    </w:p>
    <w:tbl>
      <w:tblPr>
        <w:tblStyle w:val="5"/>
        <w:tblW w:w="8523"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758"/>
        <w:gridCol w:w="1559"/>
        <w:gridCol w:w="4255"/>
        <w:gridCol w:w="11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4" w:hRule="atLeast"/>
        </w:trPr>
        <w:tc>
          <w:tcPr>
            <w:tcW w:w="1526" w:type="dxa"/>
            <w:gridSpan w:val="2"/>
            <w:tcBorders>
              <w:top w:val="single" w:color="000000" w:sz="12" w:space="0"/>
              <w:left w:val="nil"/>
            </w:tcBorders>
            <w:vAlign w:val="top"/>
          </w:tcPr>
          <w:p>
            <w:pPr>
              <w:spacing w:before="107" w:line="217" w:lineRule="auto"/>
              <w:ind w:left="35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评价内容</w:t>
            </w:r>
          </w:p>
        </w:tc>
        <w:tc>
          <w:tcPr>
            <w:tcW w:w="1559" w:type="dxa"/>
            <w:tcBorders>
              <w:top w:val="single" w:color="000000" w:sz="12" w:space="0"/>
            </w:tcBorders>
            <w:vAlign w:val="top"/>
          </w:tcPr>
          <w:p>
            <w:pPr>
              <w:spacing w:before="107" w:line="217" w:lineRule="auto"/>
              <w:ind w:left="37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评价等级</w:t>
            </w:r>
          </w:p>
        </w:tc>
        <w:tc>
          <w:tcPr>
            <w:tcW w:w="4255" w:type="dxa"/>
            <w:tcBorders>
              <w:top w:val="single" w:color="000000" w:sz="12" w:space="0"/>
            </w:tcBorders>
            <w:vAlign w:val="top"/>
          </w:tcPr>
          <w:p>
            <w:pPr>
              <w:spacing w:before="107" w:line="217" w:lineRule="auto"/>
              <w:ind w:left="171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评价范围</w:t>
            </w:r>
          </w:p>
        </w:tc>
        <w:tc>
          <w:tcPr>
            <w:tcW w:w="1183" w:type="dxa"/>
            <w:tcBorders>
              <w:top w:val="single" w:color="000000" w:sz="12" w:space="0"/>
              <w:right w:val="nil"/>
            </w:tcBorders>
            <w:vAlign w:val="top"/>
          </w:tcPr>
          <w:p>
            <w:pPr>
              <w:spacing w:before="107" w:line="217" w:lineRule="auto"/>
              <w:ind w:left="18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评价时段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19" w:hRule="atLeast"/>
        </w:trPr>
        <w:tc>
          <w:tcPr>
            <w:tcW w:w="768" w:type="dxa"/>
            <w:vMerge w:val="restart"/>
            <w:tcBorders>
              <w:left w:val="nil"/>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8" w:line="360" w:lineRule="exact"/>
              <w:ind w:left="200"/>
              <w:rPr>
                <w:rFonts w:ascii="仿宋" w:hAnsi="仿宋" w:eastAsia="仿宋" w:cs="仿宋"/>
                <w:sz w:val="21"/>
                <w:szCs w:val="21"/>
              </w:rPr>
            </w:pPr>
            <w:r>
              <w:rPr>
                <w:rFonts w:ascii="仿宋" w:hAnsi="仿宋" w:eastAsia="仿宋" w:cs="仿宋"/>
                <w:spacing w:val="-7"/>
                <w:position w:val="11"/>
                <w:sz w:val="21"/>
                <w:szCs w:val="21"/>
              </w:rPr>
              <w:t>生态</w:t>
            </w:r>
          </w:p>
          <w:p>
            <w:pPr>
              <w:spacing w:line="218" w:lineRule="auto"/>
              <w:ind w:left="187"/>
              <w:rPr>
                <w:rFonts w:ascii="仿宋" w:hAnsi="仿宋" w:eastAsia="仿宋" w:cs="仿宋"/>
                <w:sz w:val="21"/>
                <w:szCs w:val="21"/>
              </w:rPr>
            </w:pPr>
            <w:r>
              <w:rPr>
                <w:rFonts w:ascii="仿宋" w:hAnsi="仿宋" w:eastAsia="仿宋" w:cs="仿宋"/>
                <w:spacing w:val="-4"/>
                <w:sz w:val="21"/>
                <w:szCs w:val="21"/>
              </w:rPr>
              <w:t>环境</w:t>
            </w:r>
          </w:p>
        </w:tc>
        <w:tc>
          <w:tcPr>
            <w:tcW w:w="758" w:type="dxa"/>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spacing w:before="68" w:line="360" w:lineRule="exact"/>
              <w:ind w:left="196"/>
              <w:rPr>
                <w:rFonts w:ascii="仿宋" w:hAnsi="仿宋" w:eastAsia="仿宋" w:cs="仿宋"/>
                <w:sz w:val="21"/>
                <w:szCs w:val="21"/>
              </w:rPr>
            </w:pPr>
            <w:r>
              <w:rPr>
                <w:rFonts w:ascii="仿宋" w:hAnsi="仿宋" w:eastAsia="仿宋" w:cs="仿宋"/>
                <w:spacing w:val="-8"/>
                <w:position w:val="11"/>
                <w:sz w:val="21"/>
                <w:szCs w:val="21"/>
              </w:rPr>
              <w:t>陆生</w:t>
            </w:r>
          </w:p>
          <w:p>
            <w:pPr>
              <w:spacing w:line="221" w:lineRule="auto"/>
              <w:ind w:left="192"/>
              <w:rPr>
                <w:rFonts w:ascii="仿宋" w:hAnsi="仿宋" w:eastAsia="仿宋" w:cs="仿宋"/>
                <w:sz w:val="21"/>
                <w:szCs w:val="21"/>
              </w:rPr>
            </w:pPr>
            <w:r>
              <w:rPr>
                <w:rFonts w:ascii="仿宋" w:hAnsi="仿宋" w:eastAsia="仿宋" w:cs="仿宋"/>
                <w:spacing w:val="-7"/>
                <w:sz w:val="21"/>
                <w:szCs w:val="21"/>
              </w:rPr>
              <w:t>生态</w:t>
            </w:r>
          </w:p>
        </w:tc>
        <w:tc>
          <w:tcPr>
            <w:tcW w:w="1559"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68" w:line="220" w:lineRule="auto"/>
              <w:ind w:left="583"/>
              <w:rPr>
                <w:rFonts w:ascii="仿宋" w:hAnsi="仿宋" w:eastAsia="仿宋" w:cs="仿宋"/>
                <w:sz w:val="21"/>
                <w:szCs w:val="21"/>
              </w:rPr>
            </w:pPr>
            <w:r>
              <w:rPr>
                <w:rFonts w:ascii="仿宋" w:hAnsi="仿宋" w:eastAsia="仿宋" w:cs="仿宋"/>
                <w:spacing w:val="-9"/>
                <w:sz w:val="21"/>
                <w:szCs w:val="21"/>
              </w:rPr>
              <w:t>一级</w:t>
            </w:r>
          </w:p>
        </w:tc>
        <w:tc>
          <w:tcPr>
            <w:tcW w:w="4255" w:type="dxa"/>
            <w:vAlign w:val="top"/>
          </w:tcPr>
          <w:p>
            <w:pPr>
              <w:pStyle w:val="6"/>
              <w:spacing w:before="107" w:line="284" w:lineRule="auto"/>
              <w:ind w:left="114" w:right="153" w:firstLine="5"/>
              <w:rPr>
                <w:rFonts w:ascii="仿宋" w:hAnsi="仿宋" w:eastAsia="仿宋" w:cs="仿宋"/>
              </w:rPr>
            </w:pPr>
            <w:r>
              <w:rPr>
                <w:rFonts w:ascii="仿宋" w:hAnsi="仿宋" w:eastAsia="仿宋" w:cs="仿宋"/>
                <w:spacing w:val="-1"/>
              </w:rPr>
              <w:t>桂花水库工程评价范围：按照淹没范围外扩</w:t>
            </w:r>
            <w:r>
              <w:rPr>
                <w:rFonts w:ascii="仿宋" w:hAnsi="仿宋" w:eastAsia="仿宋" w:cs="仿宋"/>
                <w:spacing w:val="4"/>
              </w:rPr>
              <w:t xml:space="preserve"> </w:t>
            </w:r>
            <w:r>
              <w:rPr>
                <w:spacing w:val="-2"/>
              </w:rPr>
              <w:t>300m</w:t>
            </w:r>
            <w:r>
              <w:rPr>
                <w:spacing w:val="29"/>
                <w:w w:val="101"/>
              </w:rPr>
              <w:t xml:space="preserve"> </w:t>
            </w:r>
            <w:r>
              <w:rPr>
                <w:rFonts w:ascii="仿宋" w:hAnsi="仿宋" w:eastAsia="仿宋" w:cs="仿宋"/>
                <w:spacing w:val="-2"/>
              </w:rPr>
              <w:t>作为重点评价区的评价范围，该重点</w:t>
            </w:r>
            <w:r>
              <w:rPr>
                <w:rFonts w:ascii="仿宋" w:hAnsi="仿宋" w:eastAsia="仿宋" w:cs="仿宋"/>
              </w:rPr>
              <w:t xml:space="preserve">  </w:t>
            </w:r>
            <w:r>
              <w:rPr>
                <w:rFonts w:ascii="仿宋" w:hAnsi="仿宋" w:eastAsia="仿宋" w:cs="仿宋"/>
                <w:spacing w:val="-1"/>
              </w:rPr>
              <w:t>评价区面积为</w:t>
            </w:r>
            <w:r>
              <w:rPr>
                <w:rFonts w:ascii="仿宋" w:hAnsi="仿宋" w:eastAsia="仿宋" w:cs="仿宋"/>
                <w:spacing w:val="-48"/>
              </w:rPr>
              <w:t xml:space="preserve"> </w:t>
            </w:r>
            <w:r>
              <w:rPr>
                <w:spacing w:val="-1"/>
              </w:rPr>
              <w:t>250.6hm</w:t>
            </w:r>
            <w:r>
              <w:rPr>
                <w:spacing w:val="-1"/>
                <w:position w:val="7"/>
                <w:sz w:val="14"/>
                <w:szCs w:val="14"/>
              </w:rPr>
              <w:t>2</w:t>
            </w:r>
            <w:r>
              <w:rPr>
                <w:rFonts w:ascii="仿宋" w:hAnsi="仿宋" w:eastAsia="仿宋" w:cs="仿宋"/>
                <w:spacing w:val="-1"/>
              </w:rPr>
              <w:t>。</w:t>
            </w:r>
          </w:p>
          <w:p>
            <w:pPr>
              <w:pStyle w:val="6"/>
              <w:spacing w:before="111" w:line="284" w:lineRule="auto"/>
              <w:ind w:left="120" w:right="153"/>
              <w:rPr>
                <w:rFonts w:ascii="仿宋" w:hAnsi="仿宋" w:eastAsia="仿宋" w:cs="仿宋"/>
              </w:rPr>
            </w:pPr>
            <w:r>
              <w:rPr>
                <w:rFonts w:ascii="仿宋" w:hAnsi="仿宋" w:eastAsia="仿宋" w:cs="仿宋"/>
                <w:spacing w:val="-1"/>
              </w:rPr>
              <w:t>其他生态评价范围：引水区、枢纽区、引洪</w:t>
            </w:r>
            <w:r>
              <w:rPr>
                <w:rFonts w:ascii="仿宋" w:hAnsi="仿宋" w:eastAsia="仿宋" w:cs="仿宋"/>
                <w:spacing w:val="2"/>
              </w:rPr>
              <w:t xml:space="preserve"> </w:t>
            </w:r>
            <w:r>
              <w:rPr>
                <w:rFonts w:ascii="仿宋" w:hAnsi="仿宋" w:eastAsia="仿宋" w:cs="仿宋"/>
                <w:spacing w:val="-1"/>
              </w:rPr>
              <w:t>区、输水管道、施工三场、施工道路等征占</w:t>
            </w:r>
            <w:r>
              <w:rPr>
                <w:rFonts w:ascii="仿宋" w:hAnsi="仿宋" w:eastAsia="仿宋" w:cs="仿宋"/>
                <w:spacing w:val="3"/>
              </w:rPr>
              <w:t xml:space="preserve"> </w:t>
            </w:r>
            <w:r>
              <w:rPr>
                <w:rFonts w:ascii="仿宋" w:hAnsi="仿宋" w:eastAsia="仿宋" w:cs="仿宋"/>
                <w:spacing w:val="-3"/>
              </w:rPr>
              <w:t>地边界外延</w:t>
            </w:r>
            <w:r>
              <w:rPr>
                <w:rFonts w:ascii="仿宋" w:hAnsi="仿宋" w:eastAsia="仿宋" w:cs="仿宋"/>
                <w:spacing w:val="-38"/>
              </w:rPr>
              <w:t xml:space="preserve"> </w:t>
            </w:r>
            <w:r>
              <w:rPr>
                <w:spacing w:val="-3"/>
              </w:rPr>
              <w:t>300m</w:t>
            </w:r>
            <w:r>
              <w:rPr>
                <w:rFonts w:ascii="仿宋" w:hAnsi="仿宋" w:eastAsia="仿宋" w:cs="仿宋"/>
                <w:spacing w:val="-3"/>
              </w:rPr>
              <w:t>。</w:t>
            </w:r>
          </w:p>
          <w:p>
            <w:pPr>
              <w:pStyle w:val="6"/>
              <w:spacing w:before="111" w:line="211" w:lineRule="auto"/>
              <w:ind w:left="120"/>
              <w:rPr>
                <w:rFonts w:ascii="仿宋" w:hAnsi="仿宋" w:eastAsia="仿宋" w:cs="仿宋"/>
              </w:rPr>
            </w:pPr>
            <w:r>
              <w:rPr>
                <w:rFonts w:ascii="仿宋" w:hAnsi="仿宋" w:eastAsia="仿宋" w:cs="仿宋"/>
                <w:spacing w:val="-2"/>
              </w:rPr>
              <w:t>详细调查总面积约</w:t>
            </w:r>
            <w:r>
              <w:rPr>
                <w:rFonts w:ascii="仿宋" w:hAnsi="仿宋" w:eastAsia="仿宋" w:cs="仿宋"/>
                <w:spacing w:val="-35"/>
              </w:rPr>
              <w:t xml:space="preserve"> </w:t>
            </w:r>
            <w:r>
              <w:rPr>
                <w:spacing w:val="-2"/>
              </w:rPr>
              <w:t>820.5hm</w:t>
            </w:r>
            <w:r>
              <w:rPr>
                <w:spacing w:val="-2"/>
                <w:position w:val="7"/>
                <w:sz w:val="14"/>
                <w:szCs w:val="14"/>
              </w:rPr>
              <w:t>2</w:t>
            </w:r>
            <w:r>
              <w:rPr>
                <w:rFonts w:ascii="仿宋" w:hAnsi="仿宋" w:eastAsia="仿宋" w:cs="仿宋"/>
                <w:spacing w:val="-2"/>
              </w:rPr>
              <w:t>。</w:t>
            </w:r>
          </w:p>
        </w:tc>
        <w:tc>
          <w:tcPr>
            <w:tcW w:w="1183" w:type="dxa"/>
            <w:vMerge w:val="restart"/>
            <w:tcBorders>
              <w:bottom w:val="nil"/>
              <w:right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8" w:line="360" w:lineRule="exact"/>
              <w:ind w:left="286"/>
              <w:rPr>
                <w:rFonts w:ascii="仿宋" w:hAnsi="仿宋" w:eastAsia="仿宋" w:cs="仿宋"/>
                <w:sz w:val="21"/>
                <w:szCs w:val="21"/>
              </w:rPr>
            </w:pPr>
            <w:r>
              <w:rPr>
                <w:rFonts w:ascii="仿宋" w:hAnsi="仿宋" w:eastAsia="仿宋" w:cs="仿宋"/>
                <w:spacing w:val="-3"/>
                <w:position w:val="11"/>
                <w:sz w:val="21"/>
                <w:szCs w:val="21"/>
              </w:rPr>
              <w:t>施工期</w:t>
            </w:r>
          </w:p>
          <w:p>
            <w:pPr>
              <w:spacing w:line="218" w:lineRule="auto"/>
              <w:ind w:left="289"/>
              <w:rPr>
                <w:rFonts w:ascii="仿宋" w:hAnsi="仿宋" w:eastAsia="仿宋" w:cs="仿宋"/>
                <w:sz w:val="21"/>
                <w:szCs w:val="21"/>
              </w:rPr>
            </w:pPr>
            <w:r>
              <w:rPr>
                <w:rFonts w:ascii="仿宋" w:hAnsi="仿宋" w:eastAsia="仿宋" w:cs="仿宋"/>
                <w:spacing w:val="-4"/>
                <w:sz w:val="21"/>
                <w:szCs w:val="21"/>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97" w:hRule="atLeast"/>
        </w:trPr>
        <w:tc>
          <w:tcPr>
            <w:tcW w:w="768" w:type="dxa"/>
            <w:vMerge w:val="continue"/>
            <w:tcBorders>
              <w:top w:val="nil"/>
              <w:left w:val="nil"/>
              <w:bottom w:val="single" w:color="000000" w:sz="4" w:space="0"/>
            </w:tcBorders>
            <w:vAlign w:val="top"/>
          </w:tcPr>
          <w:p>
            <w:pPr>
              <w:rPr>
                <w:rFonts w:ascii="Arial"/>
                <w:sz w:val="21"/>
              </w:rPr>
            </w:pPr>
          </w:p>
        </w:tc>
        <w:tc>
          <w:tcPr>
            <w:tcW w:w="758" w:type="dxa"/>
            <w:tcBorders>
              <w:bottom w:val="single" w:color="000000" w:sz="4"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69" w:line="360" w:lineRule="exact"/>
              <w:ind w:left="179"/>
              <w:rPr>
                <w:rFonts w:ascii="仿宋" w:hAnsi="仿宋" w:eastAsia="仿宋" w:cs="仿宋"/>
                <w:sz w:val="21"/>
                <w:szCs w:val="21"/>
              </w:rPr>
            </w:pPr>
            <w:r>
              <w:rPr>
                <w:rFonts w:ascii="仿宋" w:hAnsi="仿宋" w:eastAsia="仿宋" w:cs="仿宋"/>
                <w:spacing w:val="-4"/>
                <w:position w:val="11"/>
                <w:sz w:val="21"/>
                <w:szCs w:val="21"/>
              </w:rPr>
              <w:t>水生</w:t>
            </w:r>
          </w:p>
          <w:p>
            <w:pPr>
              <w:spacing w:line="221" w:lineRule="auto"/>
              <w:ind w:left="192"/>
              <w:rPr>
                <w:rFonts w:ascii="仿宋" w:hAnsi="仿宋" w:eastAsia="仿宋" w:cs="仿宋"/>
                <w:sz w:val="21"/>
                <w:szCs w:val="21"/>
              </w:rPr>
            </w:pPr>
            <w:r>
              <w:rPr>
                <w:rFonts w:ascii="仿宋" w:hAnsi="仿宋" w:eastAsia="仿宋" w:cs="仿宋"/>
                <w:spacing w:val="-7"/>
                <w:sz w:val="21"/>
                <w:szCs w:val="21"/>
              </w:rPr>
              <w:t>生态</w:t>
            </w:r>
          </w:p>
        </w:tc>
        <w:tc>
          <w:tcPr>
            <w:tcW w:w="1559" w:type="dxa"/>
            <w:vMerge w:val="continue"/>
            <w:tcBorders>
              <w:top w:val="nil"/>
              <w:bottom w:val="single" w:color="000000" w:sz="4" w:space="0"/>
            </w:tcBorders>
            <w:vAlign w:val="top"/>
          </w:tcPr>
          <w:p>
            <w:pPr>
              <w:rPr>
                <w:rFonts w:ascii="Arial"/>
                <w:sz w:val="21"/>
              </w:rPr>
            </w:pPr>
          </w:p>
        </w:tc>
        <w:tc>
          <w:tcPr>
            <w:tcW w:w="4255" w:type="dxa"/>
            <w:tcBorders>
              <w:bottom w:val="single" w:color="000000" w:sz="4" w:space="0"/>
            </w:tcBorders>
            <w:vAlign w:val="top"/>
          </w:tcPr>
          <w:p>
            <w:pPr>
              <w:pStyle w:val="6"/>
              <w:spacing w:before="114" w:line="216" w:lineRule="auto"/>
              <w:ind w:left="814"/>
              <w:rPr>
                <w:rFonts w:ascii="仿宋" w:hAnsi="仿宋" w:eastAsia="仿宋" w:cs="仿宋"/>
              </w:rPr>
            </w:pPr>
            <w:r>
              <w:rPr>
                <w:rFonts w:ascii="仿宋" w:hAnsi="仿宋" w:eastAsia="仿宋" w:cs="仿宋"/>
                <w:spacing w:val="-2"/>
              </w:rPr>
              <w:t>桂花水库淹没区</w:t>
            </w:r>
            <w:r>
              <w:rPr>
                <w:rFonts w:ascii="仿宋" w:hAnsi="仿宋" w:eastAsia="仿宋" w:cs="仿宋"/>
                <w:spacing w:val="-34"/>
              </w:rPr>
              <w:t xml:space="preserve"> </w:t>
            </w:r>
            <w:r>
              <w:rPr>
                <w:spacing w:val="-2"/>
              </w:rPr>
              <w:t>37.425hm</w:t>
            </w:r>
            <w:r>
              <w:rPr>
                <w:spacing w:val="-2"/>
                <w:position w:val="7"/>
                <w:sz w:val="14"/>
                <w:szCs w:val="14"/>
              </w:rPr>
              <w:t>2</w:t>
            </w:r>
            <w:r>
              <w:rPr>
                <w:rFonts w:ascii="仿宋" w:hAnsi="仿宋" w:eastAsia="仿宋" w:cs="仿宋"/>
                <w:spacing w:val="-2"/>
              </w:rPr>
              <w:t>。</w:t>
            </w:r>
          </w:p>
          <w:p>
            <w:pPr>
              <w:pStyle w:val="6"/>
              <w:spacing w:before="113" w:line="268" w:lineRule="auto"/>
              <w:ind w:left="116" w:right="153" w:firstLine="7"/>
              <w:rPr>
                <w:rFonts w:ascii="仿宋" w:hAnsi="仿宋" w:eastAsia="仿宋" w:cs="仿宋"/>
              </w:rPr>
            </w:pPr>
            <w:r>
              <w:rPr>
                <w:rFonts w:ascii="仿宋" w:hAnsi="仿宋" w:eastAsia="仿宋" w:cs="仿宋"/>
                <w:spacing w:val="-1"/>
              </w:rPr>
              <w:t>库区影响河段：上游桂花河流域，流域面积</w:t>
            </w:r>
            <w:r>
              <w:rPr>
                <w:rFonts w:ascii="仿宋" w:hAnsi="仿宋" w:eastAsia="仿宋" w:cs="仿宋"/>
              </w:rPr>
              <w:t xml:space="preserve"> </w:t>
            </w:r>
            <w:r>
              <w:rPr>
                <w:spacing w:val="4"/>
              </w:rPr>
              <w:t>55.6</w:t>
            </w:r>
            <w:r>
              <w:t>km</w:t>
            </w:r>
            <w:r>
              <w:rPr>
                <w:rFonts w:ascii="Calibri" w:hAnsi="Calibri" w:eastAsia="Calibri" w:cs="Calibri"/>
                <w:spacing w:val="4"/>
              </w:rPr>
              <w:t>²</w:t>
            </w:r>
            <w:r>
              <w:rPr>
                <w:rFonts w:ascii="仿宋" w:hAnsi="仿宋" w:eastAsia="仿宋" w:cs="仿宋"/>
                <w:spacing w:val="4"/>
              </w:rPr>
              <w:t>,主河道长</w:t>
            </w:r>
            <w:r>
              <w:rPr>
                <w:rFonts w:ascii="仿宋" w:hAnsi="仿宋" w:eastAsia="仿宋" w:cs="仿宋"/>
                <w:spacing w:val="-19"/>
              </w:rPr>
              <w:t xml:space="preserve"> </w:t>
            </w:r>
            <w:r>
              <w:rPr>
                <w:spacing w:val="4"/>
              </w:rPr>
              <w:t>11.9</w:t>
            </w:r>
            <w:r>
              <w:t>km</w:t>
            </w:r>
            <w:r>
              <w:rPr>
                <w:rFonts w:ascii="仿宋" w:hAnsi="仿宋" w:eastAsia="仿宋" w:cs="仿宋"/>
                <w:spacing w:val="4"/>
              </w:rPr>
              <w:t>。</w:t>
            </w:r>
          </w:p>
          <w:p>
            <w:pPr>
              <w:pStyle w:val="6"/>
              <w:spacing w:before="112" w:line="300" w:lineRule="auto"/>
              <w:ind w:left="119" w:right="153" w:firstLine="7"/>
              <w:rPr>
                <w:rFonts w:ascii="仿宋" w:hAnsi="仿宋" w:eastAsia="仿宋" w:cs="仿宋"/>
              </w:rPr>
            </w:pPr>
            <w:r>
              <w:rPr>
                <w:rFonts w:ascii="仿宋" w:hAnsi="仿宋" w:eastAsia="仿宋" w:cs="仿宋"/>
                <w:spacing w:val="-2"/>
              </w:rPr>
              <w:t>引水影响河段：左岸邻近的桂花河支流罗子</w:t>
            </w:r>
            <w:r>
              <w:rPr>
                <w:rFonts w:ascii="仿宋" w:hAnsi="仿宋" w:eastAsia="仿宋" w:cs="仿宋"/>
                <w:spacing w:val="1"/>
              </w:rPr>
              <w:t xml:space="preserve"> 左河，流域面积</w:t>
            </w:r>
            <w:r>
              <w:rPr>
                <w:rFonts w:ascii="仿宋" w:hAnsi="仿宋" w:eastAsia="仿宋" w:cs="仿宋"/>
                <w:spacing w:val="-45"/>
              </w:rPr>
              <w:t xml:space="preserve"> </w:t>
            </w:r>
            <w:r>
              <w:rPr>
                <w:spacing w:val="1"/>
              </w:rPr>
              <w:t>20.5</w:t>
            </w:r>
            <w:r>
              <w:t>km</w:t>
            </w:r>
            <w:r>
              <w:rPr>
                <w:rFonts w:ascii="Calibri" w:hAnsi="Calibri" w:eastAsia="Calibri" w:cs="Calibri"/>
                <w:spacing w:val="1"/>
              </w:rPr>
              <w:t>²</w:t>
            </w:r>
            <w:r>
              <w:rPr>
                <w:rFonts w:ascii="仿宋" w:hAnsi="仿宋" w:eastAsia="仿宋" w:cs="仿宋"/>
                <w:spacing w:val="1"/>
              </w:rPr>
              <w:t xml:space="preserve">,主河长 </w:t>
            </w:r>
            <w:r>
              <w:rPr>
                <w:spacing w:val="1"/>
              </w:rPr>
              <w:t>10.1</w:t>
            </w:r>
            <w:r>
              <w:t>km</w:t>
            </w:r>
            <w:r>
              <w:rPr>
                <w:spacing w:val="-22"/>
              </w:rPr>
              <w:t xml:space="preserve"> </w:t>
            </w:r>
            <w:r>
              <w:rPr>
                <w:rFonts w:ascii="仿宋" w:hAnsi="仿宋" w:eastAsia="仿宋" w:cs="仿宋"/>
                <w:spacing w:val="1"/>
              </w:rPr>
              <w:t>。</w:t>
            </w:r>
            <w:r>
              <w:rPr>
                <w:rFonts w:ascii="仿宋" w:hAnsi="仿宋" w:eastAsia="仿宋" w:cs="仿宋"/>
              </w:rPr>
              <w:t xml:space="preserve"> </w:t>
            </w:r>
            <w:r>
              <w:rPr>
                <w:rFonts w:ascii="仿宋" w:hAnsi="仿宋" w:eastAsia="仿宋" w:cs="仿宋"/>
                <w:spacing w:val="-1"/>
              </w:rPr>
              <w:t>引洪影响河段：桂花河支流马茨河，蜻蛉河</w:t>
            </w:r>
            <w:r>
              <w:rPr>
                <w:rFonts w:ascii="仿宋" w:hAnsi="仿宋" w:eastAsia="仿宋" w:cs="仿宋"/>
                <w:spacing w:val="4"/>
              </w:rPr>
              <w:t xml:space="preserve"> </w:t>
            </w:r>
            <w:r>
              <w:rPr>
                <w:rFonts w:ascii="仿宋" w:hAnsi="仿宋" w:eastAsia="仿宋" w:cs="仿宋"/>
                <w:spacing w:val="-1"/>
              </w:rPr>
              <w:t>支流者纳么河上游支流六姑乍箐、昔木乍箐</w:t>
            </w:r>
            <w:r>
              <w:rPr>
                <w:rFonts w:ascii="仿宋" w:hAnsi="仿宋" w:eastAsia="仿宋" w:cs="仿宋"/>
                <w:spacing w:val="4"/>
              </w:rPr>
              <w:t xml:space="preserve"> </w:t>
            </w:r>
            <w:r>
              <w:rPr>
                <w:rFonts w:ascii="仿宋" w:hAnsi="仿宋" w:eastAsia="仿宋" w:cs="仿宋"/>
                <w:spacing w:val="-3"/>
              </w:rPr>
              <w:t>及见簸箐上，总影响范围</w:t>
            </w:r>
            <w:r>
              <w:rPr>
                <w:rFonts w:ascii="仿宋" w:hAnsi="仿宋" w:eastAsia="仿宋" w:cs="仿宋"/>
                <w:spacing w:val="-34"/>
              </w:rPr>
              <w:t xml:space="preserve"> </w:t>
            </w:r>
            <w:r>
              <w:rPr>
                <w:spacing w:val="-3"/>
              </w:rPr>
              <w:t>40.2km</w:t>
            </w:r>
            <w:r>
              <w:rPr>
                <w:spacing w:val="-3"/>
                <w:position w:val="7"/>
                <w:sz w:val="14"/>
                <w:szCs w:val="14"/>
              </w:rPr>
              <w:t xml:space="preserve">2 </w:t>
            </w:r>
            <w:r>
              <w:rPr>
                <w:rFonts w:ascii="仿宋" w:hAnsi="仿宋" w:eastAsia="仿宋" w:cs="仿宋"/>
                <w:spacing w:val="-3"/>
              </w:rPr>
              <w:t xml:space="preserve">，影响主 </w:t>
            </w:r>
            <w:r>
              <w:rPr>
                <w:rFonts w:ascii="仿宋" w:hAnsi="仿宋" w:eastAsia="仿宋" w:cs="仿宋"/>
                <w:spacing w:val="-2"/>
              </w:rPr>
              <w:t>河段总长</w:t>
            </w:r>
            <w:r>
              <w:rPr>
                <w:rFonts w:ascii="仿宋" w:hAnsi="仿宋" w:eastAsia="仿宋" w:cs="仿宋"/>
                <w:spacing w:val="-44"/>
              </w:rPr>
              <w:t xml:space="preserve"> </w:t>
            </w:r>
            <w:r>
              <w:rPr>
                <w:spacing w:val="-2"/>
              </w:rPr>
              <w:t>20.88km</w:t>
            </w:r>
            <w:r>
              <w:rPr>
                <w:rFonts w:ascii="仿宋" w:hAnsi="仿宋" w:eastAsia="仿宋" w:cs="仿宋"/>
                <w:spacing w:val="-2"/>
              </w:rPr>
              <w:t>。</w:t>
            </w:r>
          </w:p>
          <w:p>
            <w:pPr>
              <w:spacing w:before="110" w:line="205" w:lineRule="auto"/>
              <w:ind w:left="128"/>
              <w:rPr>
                <w:rFonts w:ascii="仿宋" w:hAnsi="仿宋" w:eastAsia="仿宋" w:cs="仿宋"/>
                <w:sz w:val="21"/>
                <w:szCs w:val="21"/>
              </w:rPr>
            </w:pPr>
            <w:r>
              <w:rPr>
                <w:rFonts w:ascii="仿宋" w:hAnsi="仿宋" w:eastAsia="仿宋" w:cs="仿宋"/>
                <w:spacing w:val="-5"/>
                <w:sz w:val="21"/>
                <w:szCs w:val="21"/>
              </w:rPr>
              <w:t>碧么水库灌区范围。</w:t>
            </w:r>
          </w:p>
        </w:tc>
        <w:tc>
          <w:tcPr>
            <w:tcW w:w="1183" w:type="dxa"/>
            <w:vMerge w:val="continue"/>
            <w:tcBorders>
              <w:top w:val="nil"/>
              <w:bottom w:val="single" w:color="000000"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952" w:hRule="atLeast"/>
        </w:trPr>
        <w:tc>
          <w:tcPr>
            <w:tcW w:w="1526" w:type="dxa"/>
            <w:gridSpan w:val="2"/>
            <w:vMerge w:val="restart"/>
            <w:tcBorders>
              <w:top w:val="single" w:color="000000" w:sz="4" w:space="0"/>
              <w:left w:val="nil"/>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9" w:line="218" w:lineRule="auto"/>
              <w:ind w:left="252"/>
              <w:rPr>
                <w:rFonts w:ascii="仿宋" w:hAnsi="仿宋" w:eastAsia="仿宋" w:cs="仿宋"/>
                <w:sz w:val="21"/>
                <w:szCs w:val="21"/>
              </w:rPr>
            </w:pPr>
            <w:r>
              <w:rPr>
                <w:rFonts w:ascii="仿宋" w:hAnsi="仿宋" w:eastAsia="仿宋" w:cs="仿宋"/>
                <w:spacing w:val="-3"/>
                <w:sz w:val="21"/>
                <w:szCs w:val="21"/>
              </w:rPr>
              <w:t>地表水环境</w:t>
            </w:r>
          </w:p>
        </w:tc>
        <w:tc>
          <w:tcPr>
            <w:tcW w:w="1559" w:type="dxa"/>
            <w:vMerge w:val="restart"/>
            <w:tcBorders>
              <w:top w:val="single" w:color="000000" w:sz="4" w:space="0"/>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8" w:line="220" w:lineRule="auto"/>
              <w:ind w:left="583"/>
              <w:rPr>
                <w:rFonts w:ascii="仿宋" w:hAnsi="仿宋" w:eastAsia="仿宋" w:cs="仿宋"/>
                <w:sz w:val="21"/>
                <w:szCs w:val="21"/>
              </w:rPr>
            </w:pPr>
            <w:r>
              <w:rPr>
                <w:rFonts w:ascii="仿宋" w:hAnsi="仿宋" w:eastAsia="仿宋" w:cs="仿宋"/>
                <w:spacing w:val="-9"/>
                <w:sz w:val="21"/>
                <w:szCs w:val="21"/>
              </w:rPr>
              <w:t>一级</w:t>
            </w:r>
          </w:p>
        </w:tc>
        <w:tc>
          <w:tcPr>
            <w:tcW w:w="4255" w:type="dxa"/>
            <w:tcBorders>
              <w:top w:val="single" w:color="000000" w:sz="4" w:space="0"/>
            </w:tcBorders>
            <w:vAlign w:val="top"/>
          </w:tcPr>
          <w:p>
            <w:pPr>
              <w:pStyle w:val="6"/>
              <w:spacing w:before="120" w:line="304" w:lineRule="auto"/>
              <w:ind w:left="110" w:right="105" w:firstLine="8"/>
              <w:rPr>
                <w:rFonts w:ascii="仿宋" w:hAnsi="仿宋" w:eastAsia="仿宋" w:cs="仿宋"/>
              </w:rPr>
            </w:pPr>
            <w:r>
              <w:rPr>
                <w:rFonts w:ascii="仿宋" w:hAnsi="仿宋" w:eastAsia="仿宋" w:cs="仿宋"/>
                <w:spacing w:val="1"/>
                <w14:textOutline w14:w="3810" w14:cap="flat" w14:cmpd="sng">
                  <w14:solidFill>
                    <w14:srgbClr w14:val="000000"/>
                  </w14:solidFill>
                  <w14:prstDash w14:val="solid"/>
                  <w14:miter w14:val="0"/>
                </w14:textOutline>
              </w:rPr>
              <w:t>水文情势与泥沙淤积：</w:t>
            </w:r>
            <w:r>
              <w:rPr>
                <w:rFonts w:ascii="仿宋" w:hAnsi="仿宋" w:eastAsia="仿宋" w:cs="仿宋"/>
                <w:spacing w:val="1"/>
              </w:rPr>
              <w:t>桂花河大坝回水区、</w:t>
            </w:r>
            <w:r>
              <w:rPr>
                <w:rFonts w:ascii="仿宋" w:hAnsi="仿宋" w:eastAsia="仿宋" w:cs="仿宋"/>
                <w:spacing w:val="11"/>
              </w:rPr>
              <w:t xml:space="preserve"> </w:t>
            </w:r>
            <w:r>
              <w:rPr>
                <w:rFonts w:ascii="仿宋" w:hAnsi="仿宋" w:eastAsia="仿宋" w:cs="仿宋"/>
              </w:rPr>
              <w:t>坝址至下游汇入万马河处（中和镇</w:t>
            </w:r>
            <w:r>
              <w:rPr>
                <w:rFonts w:ascii="仿宋" w:hAnsi="仿宋" w:eastAsia="仿宋" w:cs="仿宋"/>
                <w:spacing w:val="11"/>
              </w:rPr>
              <w:t>），</w:t>
            </w:r>
            <w:r>
              <w:rPr>
                <w:rFonts w:ascii="仿宋" w:hAnsi="仿宋" w:eastAsia="仿宋" w:cs="仿宋"/>
              </w:rPr>
              <w:t xml:space="preserve">全长 </w:t>
            </w:r>
            <w:r>
              <w:rPr>
                <w:spacing w:val="-3"/>
              </w:rPr>
              <w:t>27.78km</w:t>
            </w:r>
            <w:r>
              <w:rPr>
                <w:rFonts w:ascii="仿宋" w:hAnsi="仿宋" w:eastAsia="仿宋" w:cs="仿宋"/>
                <w:spacing w:val="-3"/>
              </w:rPr>
              <w:t>。罗子左河取水坝至下游汇入桂花河</w:t>
            </w:r>
            <w:r>
              <w:rPr>
                <w:rFonts w:ascii="仿宋" w:hAnsi="仿宋" w:eastAsia="仿宋" w:cs="仿宋"/>
              </w:rPr>
              <w:t xml:space="preserve"> </w:t>
            </w:r>
            <w:r>
              <w:rPr>
                <w:rFonts w:ascii="仿宋" w:hAnsi="仿宋" w:eastAsia="仿宋" w:cs="仿宋"/>
                <w:spacing w:val="-5"/>
              </w:rPr>
              <w:t>处，</w:t>
            </w:r>
            <w:r>
              <w:rPr>
                <w:rFonts w:ascii="仿宋" w:hAnsi="仿宋" w:eastAsia="仿宋" w:cs="仿宋"/>
                <w:spacing w:val="-16"/>
              </w:rPr>
              <w:t xml:space="preserve"> </w:t>
            </w:r>
            <w:r>
              <w:rPr>
                <w:rFonts w:ascii="仿宋" w:hAnsi="仿宋" w:eastAsia="仿宋" w:cs="仿宋"/>
                <w:spacing w:val="-5"/>
              </w:rPr>
              <w:t>长度</w:t>
            </w:r>
            <w:r>
              <w:rPr>
                <w:rFonts w:ascii="仿宋" w:hAnsi="仿宋" w:eastAsia="仿宋" w:cs="仿宋"/>
                <w:spacing w:val="-47"/>
              </w:rPr>
              <w:t xml:space="preserve"> </w:t>
            </w:r>
            <w:r>
              <w:rPr>
                <w:spacing w:val="-5"/>
              </w:rPr>
              <w:t>2.83km</w:t>
            </w:r>
            <w:r>
              <w:rPr>
                <w:rFonts w:ascii="仿宋" w:hAnsi="仿宋" w:eastAsia="仿宋" w:cs="仿宋"/>
                <w:spacing w:val="-5"/>
              </w:rPr>
              <w:t>。马茨河取水坝至下游汇入</w:t>
            </w:r>
            <w:r>
              <w:rPr>
                <w:rFonts w:ascii="仿宋" w:hAnsi="仿宋" w:eastAsia="仿宋" w:cs="仿宋"/>
              </w:rPr>
              <w:t xml:space="preserve"> </w:t>
            </w:r>
            <w:r>
              <w:rPr>
                <w:rFonts w:ascii="仿宋" w:hAnsi="仿宋" w:eastAsia="仿宋" w:cs="仿宋"/>
                <w:spacing w:val="-9"/>
              </w:rPr>
              <w:t>桂花河处，</w:t>
            </w:r>
            <w:r>
              <w:rPr>
                <w:rFonts w:ascii="仿宋" w:hAnsi="仿宋" w:eastAsia="仿宋" w:cs="仿宋"/>
                <w:spacing w:val="68"/>
              </w:rPr>
              <w:t xml:space="preserve"> </w:t>
            </w:r>
            <w:r>
              <w:rPr>
                <w:rFonts w:ascii="仿宋" w:hAnsi="仿宋" w:eastAsia="仿宋" w:cs="仿宋"/>
                <w:spacing w:val="-9"/>
              </w:rPr>
              <w:t>长度</w:t>
            </w:r>
            <w:r>
              <w:rPr>
                <w:rFonts w:ascii="仿宋" w:hAnsi="仿宋" w:eastAsia="仿宋" w:cs="仿宋"/>
                <w:spacing w:val="-43"/>
              </w:rPr>
              <w:t xml:space="preserve"> </w:t>
            </w:r>
            <w:r>
              <w:rPr>
                <w:spacing w:val="-9"/>
              </w:rPr>
              <w:t>3.78km</w:t>
            </w:r>
            <w:r>
              <w:rPr>
                <w:rFonts w:ascii="仿宋" w:hAnsi="仿宋" w:eastAsia="仿宋" w:cs="仿宋"/>
                <w:spacing w:val="-9"/>
              </w:rPr>
              <w:t>。马茨河取水坝至下</w:t>
            </w:r>
            <w:r>
              <w:rPr>
                <w:rFonts w:ascii="仿宋" w:hAnsi="仿宋" w:eastAsia="仿宋" w:cs="仿宋"/>
              </w:rPr>
              <w:t xml:space="preserve"> </w:t>
            </w:r>
            <w:r>
              <w:rPr>
                <w:rFonts w:ascii="仿宋" w:hAnsi="仿宋" w:eastAsia="仿宋" w:cs="仿宋"/>
                <w:spacing w:val="-3"/>
              </w:rPr>
              <w:t>游汇入桂花河处，长度</w:t>
            </w:r>
            <w:r>
              <w:rPr>
                <w:rFonts w:ascii="仿宋" w:hAnsi="仿宋" w:eastAsia="仿宋" w:cs="仿宋"/>
                <w:spacing w:val="-27"/>
              </w:rPr>
              <w:t xml:space="preserve"> </w:t>
            </w:r>
            <w:r>
              <w:rPr>
                <w:spacing w:val="-3"/>
              </w:rPr>
              <w:t>3.78km</w:t>
            </w:r>
            <w:r>
              <w:rPr>
                <w:rFonts w:ascii="仿宋" w:hAnsi="仿宋" w:eastAsia="仿宋" w:cs="仿宋"/>
                <w:spacing w:val="-3"/>
              </w:rPr>
              <w:t>。六姑乍箐、</w:t>
            </w:r>
            <w:r>
              <w:rPr>
                <w:rFonts w:ascii="仿宋" w:hAnsi="仿宋" w:eastAsia="仿宋" w:cs="仿宋"/>
              </w:rPr>
              <w:t xml:space="preserve"> </w:t>
            </w:r>
            <w:r>
              <w:rPr>
                <w:rFonts w:ascii="仿宋" w:hAnsi="仿宋" w:eastAsia="仿宋" w:cs="仿宋"/>
                <w:spacing w:val="-9"/>
              </w:rPr>
              <w:t>昔木乍箐、见簸箐取水坝至下游与打厂箐、咪</w:t>
            </w:r>
            <w:r>
              <w:rPr>
                <w:rFonts w:ascii="仿宋" w:hAnsi="仿宋" w:eastAsia="仿宋" w:cs="仿宋"/>
                <w:spacing w:val="12"/>
              </w:rPr>
              <w:t xml:space="preserve"> </w:t>
            </w:r>
            <w:r>
              <w:rPr>
                <w:rFonts w:ascii="仿宋" w:hAnsi="仿宋" w:eastAsia="仿宋" w:cs="仿宋"/>
                <w:spacing w:val="-4"/>
              </w:rPr>
              <w:t xml:space="preserve">渣史箐汇合处，长度 </w:t>
            </w:r>
            <w:r>
              <w:rPr>
                <w:spacing w:val="-4"/>
              </w:rPr>
              <w:t>11.43km</w:t>
            </w:r>
            <w:r>
              <w:rPr>
                <w:rFonts w:ascii="仿宋" w:hAnsi="仿宋" w:eastAsia="仿宋" w:cs="仿宋"/>
                <w:spacing w:val="-4"/>
              </w:rPr>
              <w:t>。</w:t>
            </w:r>
          </w:p>
          <w:p>
            <w:pPr>
              <w:pStyle w:val="6"/>
              <w:spacing w:before="109" w:line="277" w:lineRule="auto"/>
              <w:ind w:left="123" w:right="105" w:hanging="4"/>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水温：</w:t>
            </w:r>
            <w:r>
              <w:rPr>
                <w:rFonts w:ascii="仿宋" w:hAnsi="仿宋" w:eastAsia="仿宋" w:cs="仿宋"/>
                <w:spacing w:val="-4"/>
              </w:rPr>
              <w:t xml:space="preserve"> 低温水影响范围为库区、桂花河坝址</w:t>
            </w:r>
            <w:r>
              <w:rPr>
                <w:rFonts w:ascii="仿宋" w:hAnsi="仿宋" w:eastAsia="仿宋" w:cs="仿宋"/>
                <w:spacing w:val="9"/>
              </w:rPr>
              <w:t xml:space="preserve"> </w:t>
            </w:r>
            <w:r>
              <w:rPr>
                <w:rFonts w:ascii="仿宋" w:hAnsi="仿宋" w:eastAsia="仿宋" w:cs="仿宋"/>
                <w:spacing w:val="-11"/>
              </w:rPr>
              <w:t>至金沙江段以及灌区，</w:t>
            </w:r>
            <w:r>
              <w:rPr>
                <w:rFonts w:ascii="仿宋" w:hAnsi="仿宋" w:eastAsia="仿宋" w:cs="仿宋"/>
                <w:spacing w:val="36"/>
              </w:rPr>
              <w:t xml:space="preserve"> </w:t>
            </w:r>
            <w:r>
              <w:rPr>
                <w:rFonts w:ascii="仿宋" w:hAnsi="仿宋" w:eastAsia="仿宋" w:cs="仿宋"/>
                <w:spacing w:val="-11"/>
              </w:rPr>
              <w:t>库区</w:t>
            </w:r>
            <w:r>
              <w:rPr>
                <w:rFonts w:ascii="仿宋" w:hAnsi="仿宋" w:eastAsia="仿宋" w:cs="仿宋"/>
                <w:spacing w:val="-45"/>
              </w:rPr>
              <w:t xml:space="preserve"> </w:t>
            </w:r>
            <w:r>
              <w:rPr>
                <w:spacing w:val="-11"/>
              </w:rPr>
              <w:t>700m</w:t>
            </w:r>
            <w:r>
              <w:rPr>
                <w:rFonts w:ascii="仿宋" w:hAnsi="仿宋" w:eastAsia="仿宋" w:cs="仿宋"/>
                <w:spacing w:val="-11"/>
              </w:rPr>
              <w:t>，桂花河坝</w:t>
            </w:r>
            <w:r>
              <w:rPr>
                <w:rFonts w:ascii="仿宋" w:hAnsi="仿宋" w:eastAsia="仿宋" w:cs="仿宋"/>
              </w:rPr>
              <w:t xml:space="preserve"> </w:t>
            </w:r>
            <w:r>
              <w:rPr>
                <w:rFonts w:ascii="仿宋" w:hAnsi="仿宋" w:eastAsia="仿宋" w:cs="仿宋"/>
                <w:spacing w:val="-2"/>
              </w:rPr>
              <w:t>址至金沙江段长</w:t>
            </w:r>
            <w:r>
              <w:rPr>
                <w:rFonts w:ascii="仿宋" w:hAnsi="仿宋" w:eastAsia="仿宋" w:cs="仿宋"/>
                <w:spacing w:val="-34"/>
              </w:rPr>
              <w:t xml:space="preserve"> </w:t>
            </w:r>
            <w:r>
              <w:rPr>
                <w:spacing w:val="-2"/>
              </w:rPr>
              <w:t>9.5km</w:t>
            </w:r>
            <w:r>
              <w:rPr>
                <w:rFonts w:ascii="仿宋" w:hAnsi="仿宋" w:eastAsia="仿宋" w:cs="仿宋"/>
                <w:spacing w:val="-2"/>
              </w:rPr>
              <w:t>，灌区面积</w:t>
            </w:r>
            <w:r>
              <w:rPr>
                <w:rFonts w:ascii="仿宋" w:hAnsi="仿宋" w:eastAsia="仿宋" w:cs="仿宋"/>
                <w:spacing w:val="-42"/>
              </w:rPr>
              <w:t xml:space="preserve"> </w:t>
            </w:r>
            <w:r>
              <w:rPr>
                <w:spacing w:val="-2"/>
              </w:rPr>
              <w:t>500hm</w:t>
            </w:r>
            <w:r>
              <w:rPr>
                <w:spacing w:val="-2"/>
                <w:position w:val="7"/>
                <w:sz w:val="14"/>
                <w:szCs w:val="14"/>
              </w:rPr>
              <w:t>2</w:t>
            </w:r>
            <w:r>
              <w:rPr>
                <w:rFonts w:ascii="仿宋" w:hAnsi="仿宋" w:eastAsia="仿宋" w:cs="仿宋"/>
                <w:spacing w:val="-2"/>
              </w:rPr>
              <w:t>。</w:t>
            </w:r>
          </w:p>
        </w:tc>
        <w:tc>
          <w:tcPr>
            <w:tcW w:w="1183" w:type="dxa"/>
            <w:vMerge w:val="restart"/>
            <w:tcBorders>
              <w:top w:val="single" w:color="000000" w:sz="4" w:space="0"/>
              <w:bottom w:val="nil"/>
              <w:right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8" w:line="369" w:lineRule="exact"/>
              <w:ind w:left="289"/>
              <w:rPr>
                <w:rFonts w:ascii="仿宋" w:hAnsi="仿宋" w:eastAsia="仿宋" w:cs="仿宋"/>
                <w:sz w:val="21"/>
                <w:szCs w:val="21"/>
              </w:rPr>
            </w:pPr>
            <w:r>
              <w:rPr>
                <w:rFonts w:ascii="仿宋" w:hAnsi="仿宋" w:eastAsia="仿宋" w:cs="仿宋"/>
                <w:spacing w:val="-4"/>
                <w:position w:val="11"/>
                <w:sz w:val="21"/>
                <w:szCs w:val="21"/>
              </w:rPr>
              <w:t>运营期</w:t>
            </w:r>
          </w:p>
          <w:p>
            <w:pPr>
              <w:spacing w:line="218" w:lineRule="auto"/>
              <w:ind w:left="286"/>
              <w:rPr>
                <w:rFonts w:ascii="仿宋" w:hAnsi="仿宋" w:eastAsia="仿宋" w:cs="仿宋"/>
                <w:sz w:val="21"/>
                <w:szCs w:val="21"/>
              </w:rPr>
            </w:pPr>
            <w:r>
              <w:rPr>
                <w:rFonts w:ascii="仿宋" w:hAnsi="仿宋" w:eastAsia="仿宋" w:cs="仿宋"/>
                <w:spacing w:val="-3"/>
                <w:sz w:val="21"/>
                <w:szCs w:val="21"/>
              </w:rPr>
              <w:t>施工期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03" w:hRule="atLeast"/>
        </w:trPr>
        <w:tc>
          <w:tcPr>
            <w:tcW w:w="1526" w:type="dxa"/>
            <w:gridSpan w:val="2"/>
            <w:vMerge w:val="continue"/>
            <w:tcBorders>
              <w:top w:val="nil"/>
              <w:left w:val="nil"/>
              <w:bottom w:val="single" w:color="000000" w:sz="12" w:space="0"/>
            </w:tcBorders>
            <w:vAlign w:val="top"/>
          </w:tcPr>
          <w:p>
            <w:pPr>
              <w:rPr>
                <w:rFonts w:ascii="Arial"/>
                <w:sz w:val="21"/>
              </w:rPr>
            </w:pPr>
          </w:p>
        </w:tc>
        <w:tc>
          <w:tcPr>
            <w:tcW w:w="1559" w:type="dxa"/>
            <w:vMerge w:val="continue"/>
            <w:tcBorders>
              <w:top w:val="nil"/>
              <w:bottom w:val="single" w:color="000000" w:sz="12" w:space="0"/>
            </w:tcBorders>
            <w:vAlign w:val="top"/>
          </w:tcPr>
          <w:p>
            <w:pPr>
              <w:rPr>
                <w:rFonts w:ascii="Arial"/>
                <w:sz w:val="21"/>
              </w:rPr>
            </w:pPr>
          </w:p>
        </w:tc>
        <w:tc>
          <w:tcPr>
            <w:tcW w:w="4255" w:type="dxa"/>
            <w:tcBorders>
              <w:bottom w:val="single" w:color="000000" w:sz="12" w:space="0"/>
            </w:tcBorders>
            <w:vAlign w:val="top"/>
          </w:tcPr>
          <w:p>
            <w:pPr>
              <w:pStyle w:val="6"/>
              <w:spacing w:before="126" w:line="304" w:lineRule="auto"/>
              <w:ind w:left="114" w:right="27" w:firstLine="4"/>
              <w:jc w:val="both"/>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水质：</w:t>
            </w:r>
            <w:r>
              <w:rPr>
                <w:rFonts w:ascii="仿宋" w:hAnsi="仿宋" w:eastAsia="仿宋" w:cs="仿宋"/>
                <w:spacing w:val="-4"/>
              </w:rPr>
              <w:t xml:space="preserve"> 桂花河大坝回水区、坝址至下游汇入 </w:t>
            </w:r>
            <w:r>
              <w:rPr>
                <w:rFonts w:ascii="仿宋" w:hAnsi="仿宋" w:eastAsia="仿宋" w:cs="仿宋"/>
                <w:spacing w:val="-7"/>
              </w:rPr>
              <w:t>万马河处（中和镇</w:t>
            </w:r>
            <w:r>
              <w:rPr>
                <w:rFonts w:ascii="仿宋" w:hAnsi="仿宋" w:eastAsia="仿宋" w:cs="仿宋"/>
                <w:spacing w:val="8"/>
              </w:rPr>
              <w:t>），</w:t>
            </w:r>
            <w:r>
              <w:rPr>
                <w:rFonts w:ascii="仿宋" w:hAnsi="仿宋" w:eastAsia="仿宋" w:cs="仿宋"/>
                <w:spacing w:val="-7"/>
              </w:rPr>
              <w:t>全长</w:t>
            </w:r>
            <w:r>
              <w:rPr>
                <w:rFonts w:ascii="仿宋" w:hAnsi="仿宋" w:eastAsia="仿宋" w:cs="仿宋"/>
                <w:spacing w:val="-47"/>
              </w:rPr>
              <w:t xml:space="preserve"> </w:t>
            </w:r>
            <w:r>
              <w:rPr>
                <w:spacing w:val="-7"/>
              </w:rPr>
              <w:t>27.78km</w:t>
            </w:r>
            <w:r>
              <w:rPr>
                <w:rFonts w:ascii="仿宋" w:hAnsi="仿宋" w:eastAsia="仿宋" w:cs="仿宋"/>
                <w:spacing w:val="-7"/>
              </w:rPr>
              <w:t>。罗子左 河取水坝至下游汇入桂花河处，长度</w:t>
            </w:r>
            <w:r>
              <w:rPr>
                <w:rFonts w:ascii="仿宋" w:hAnsi="仿宋" w:eastAsia="仿宋" w:cs="仿宋"/>
                <w:spacing w:val="-44"/>
              </w:rPr>
              <w:t xml:space="preserve"> </w:t>
            </w:r>
            <w:r>
              <w:rPr>
                <w:spacing w:val="-7"/>
              </w:rPr>
              <w:t>2.83km</w:t>
            </w:r>
            <w:r>
              <w:rPr>
                <w:rFonts w:ascii="仿宋" w:hAnsi="仿宋" w:eastAsia="仿宋" w:cs="仿宋"/>
                <w:spacing w:val="-7"/>
              </w:rPr>
              <w:t>。</w:t>
            </w:r>
            <w:r>
              <w:rPr>
                <w:rFonts w:ascii="仿宋" w:hAnsi="仿宋" w:eastAsia="仿宋" w:cs="仿宋"/>
              </w:rPr>
              <w:t xml:space="preserve"> </w:t>
            </w:r>
            <w:r>
              <w:rPr>
                <w:rFonts w:ascii="仿宋" w:hAnsi="仿宋" w:eastAsia="仿宋" w:cs="仿宋"/>
                <w:spacing w:val="10"/>
              </w:rPr>
              <w:t>马茨河取水坝至下游汇入桂花河处，</w:t>
            </w:r>
            <w:r>
              <w:rPr>
                <w:rFonts w:ascii="仿宋" w:hAnsi="仿宋" w:eastAsia="仿宋" w:cs="仿宋"/>
                <w:spacing w:val="-54"/>
              </w:rPr>
              <w:t xml:space="preserve"> </w:t>
            </w:r>
            <w:r>
              <w:rPr>
                <w:rFonts w:ascii="仿宋" w:hAnsi="仿宋" w:eastAsia="仿宋" w:cs="仿宋"/>
                <w:spacing w:val="10"/>
              </w:rPr>
              <w:t xml:space="preserve">长度 </w:t>
            </w:r>
            <w:r>
              <w:rPr>
                <w:spacing w:val="-5"/>
              </w:rPr>
              <w:t>3.78km</w:t>
            </w:r>
            <w:r>
              <w:rPr>
                <w:rFonts w:ascii="仿宋" w:hAnsi="仿宋" w:eastAsia="仿宋" w:cs="仿宋"/>
                <w:spacing w:val="-5"/>
              </w:rPr>
              <w:t>。马茨河取水坝至下游汇入桂花河</w:t>
            </w:r>
            <w:r>
              <w:rPr>
                <w:rFonts w:ascii="仿宋" w:hAnsi="仿宋" w:eastAsia="仿宋" w:cs="仿宋"/>
                <w:spacing w:val="-6"/>
              </w:rPr>
              <w:t>处，</w:t>
            </w:r>
            <w:r>
              <w:rPr>
                <w:rFonts w:ascii="仿宋" w:hAnsi="仿宋" w:eastAsia="仿宋" w:cs="仿宋"/>
              </w:rPr>
              <w:t xml:space="preserve"> </w:t>
            </w:r>
            <w:r>
              <w:rPr>
                <w:rFonts w:ascii="仿宋" w:hAnsi="仿宋" w:eastAsia="仿宋" w:cs="仿宋"/>
                <w:spacing w:val="-2"/>
              </w:rPr>
              <w:t>长度</w:t>
            </w:r>
            <w:r>
              <w:rPr>
                <w:rFonts w:ascii="仿宋" w:hAnsi="仿宋" w:eastAsia="仿宋" w:cs="仿宋"/>
                <w:spacing w:val="-34"/>
              </w:rPr>
              <w:t xml:space="preserve"> </w:t>
            </w:r>
            <w:r>
              <w:rPr>
                <w:spacing w:val="-2"/>
              </w:rPr>
              <w:t>3.78km</w:t>
            </w:r>
            <w:r>
              <w:rPr>
                <w:rFonts w:ascii="仿宋" w:hAnsi="仿宋" w:eastAsia="仿宋" w:cs="仿宋"/>
                <w:spacing w:val="-2"/>
              </w:rPr>
              <w:t xml:space="preserve">。六姑乍箐、昔木乍箐、见簸箐 </w:t>
            </w:r>
            <w:r>
              <w:rPr>
                <w:rFonts w:ascii="仿宋" w:hAnsi="仿宋" w:eastAsia="仿宋" w:cs="仿宋"/>
                <w:spacing w:val="-13"/>
              </w:rPr>
              <w:t xml:space="preserve">取水坝至下游与打厂箐、咪渣史箐汇合处， 长 </w:t>
            </w:r>
            <w:r>
              <w:rPr>
                <w:rFonts w:ascii="仿宋" w:hAnsi="仿宋" w:eastAsia="仿宋" w:cs="仿宋"/>
                <w:spacing w:val="-5"/>
              </w:rPr>
              <w:t>度</w:t>
            </w:r>
            <w:r>
              <w:rPr>
                <w:rFonts w:ascii="仿宋" w:hAnsi="仿宋" w:eastAsia="仿宋" w:cs="仿宋"/>
                <w:spacing w:val="-21"/>
              </w:rPr>
              <w:t xml:space="preserve"> </w:t>
            </w:r>
            <w:r>
              <w:rPr>
                <w:spacing w:val="-5"/>
              </w:rPr>
              <w:t>11.43km</w:t>
            </w:r>
            <w:r>
              <w:rPr>
                <w:spacing w:val="-23"/>
              </w:rPr>
              <w:t xml:space="preserve"> </w:t>
            </w:r>
            <w:r>
              <w:rPr>
                <w:rFonts w:ascii="仿宋" w:hAnsi="仿宋" w:eastAsia="仿宋" w:cs="仿宋"/>
                <w:spacing w:val="-5"/>
              </w:rPr>
              <w:t>。回归水受纳水体金沙江。</w:t>
            </w:r>
          </w:p>
        </w:tc>
        <w:tc>
          <w:tcPr>
            <w:tcW w:w="1183" w:type="dxa"/>
            <w:vMerge w:val="continue"/>
            <w:tcBorders>
              <w:top w:val="nil"/>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headerReference r:id="rId47" w:type="default"/>
          <w:footerReference r:id="rId48" w:type="default"/>
          <w:pgSz w:w="11907" w:h="16839"/>
          <w:pgMar w:top="1156" w:right="1582" w:bottom="1154" w:left="1770" w:header="881" w:footer="991" w:gutter="0"/>
        </w:sectPr>
      </w:pPr>
    </w:p>
    <w:p>
      <w:pPr>
        <w:spacing w:before="41"/>
      </w:pPr>
    </w:p>
    <w:tbl>
      <w:tblPr>
        <w:tblStyle w:val="5"/>
        <w:tblW w:w="853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1"/>
        <w:gridCol w:w="1559"/>
        <w:gridCol w:w="4254"/>
        <w:gridCol w:w="11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6" w:hRule="atLeast"/>
        </w:trPr>
        <w:tc>
          <w:tcPr>
            <w:tcW w:w="1541" w:type="dxa"/>
            <w:tcBorders>
              <w:top w:val="single" w:color="000000" w:sz="12" w:space="0"/>
              <w:left w:val="nil"/>
            </w:tcBorders>
            <w:vAlign w:val="top"/>
          </w:tcPr>
          <w:p>
            <w:pPr>
              <w:spacing w:before="287" w:line="218" w:lineRule="auto"/>
              <w:ind w:left="266"/>
              <w:rPr>
                <w:rFonts w:ascii="仿宋" w:hAnsi="仿宋" w:eastAsia="仿宋" w:cs="仿宋"/>
                <w:sz w:val="21"/>
                <w:szCs w:val="21"/>
              </w:rPr>
            </w:pPr>
            <w:r>
              <w:rPr>
                <w:rFonts w:ascii="仿宋" w:hAnsi="仿宋" w:eastAsia="仿宋" w:cs="仿宋"/>
                <w:spacing w:val="-3"/>
                <w:sz w:val="21"/>
                <w:szCs w:val="21"/>
              </w:rPr>
              <w:t>地下水环境</w:t>
            </w:r>
          </w:p>
        </w:tc>
        <w:tc>
          <w:tcPr>
            <w:tcW w:w="1559" w:type="dxa"/>
            <w:tcBorders>
              <w:top w:val="single" w:color="000000" w:sz="12" w:space="0"/>
            </w:tcBorders>
            <w:vAlign w:val="top"/>
          </w:tcPr>
          <w:p>
            <w:pPr>
              <w:spacing w:before="287" w:line="220" w:lineRule="auto"/>
              <w:ind w:left="585"/>
              <w:rPr>
                <w:rFonts w:ascii="仿宋" w:hAnsi="仿宋" w:eastAsia="仿宋" w:cs="仿宋"/>
                <w:sz w:val="21"/>
                <w:szCs w:val="21"/>
              </w:rPr>
            </w:pPr>
            <w:r>
              <w:rPr>
                <w:rFonts w:ascii="仿宋" w:hAnsi="仿宋" w:eastAsia="仿宋" w:cs="仿宋"/>
                <w:spacing w:val="-10"/>
                <w:sz w:val="21"/>
                <w:szCs w:val="21"/>
              </w:rPr>
              <w:t>三级</w:t>
            </w:r>
          </w:p>
        </w:tc>
        <w:tc>
          <w:tcPr>
            <w:tcW w:w="4254" w:type="dxa"/>
            <w:tcBorders>
              <w:top w:val="single" w:color="000000" w:sz="12" w:space="0"/>
            </w:tcBorders>
            <w:vAlign w:val="top"/>
          </w:tcPr>
          <w:p>
            <w:pPr>
              <w:spacing w:before="287" w:line="215" w:lineRule="auto"/>
              <w:ind w:left="986"/>
              <w:rPr>
                <w:rFonts w:ascii="仿宋" w:hAnsi="仿宋" w:eastAsia="仿宋" w:cs="仿宋"/>
                <w:sz w:val="21"/>
                <w:szCs w:val="21"/>
              </w:rPr>
            </w:pPr>
            <w:r>
              <w:rPr>
                <w:rFonts w:ascii="仿宋" w:hAnsi="仿宋" w:eastAsia="仿宋" w:cs="仿宋"/>
                <w:spacing w:val="-2"/>
                <w:sz w:val="21"/>
                <w:szCs w:val="21"/>
              </w:rPr>
              <w:t>库区所在水文地质单元。</w:t>
            </w:r>
          </w:p>
        </w:tc>
        <w:tc>
          <w:tcPr>
            <w:tcW w:w="1183" w:type="dxa"/>
            <w:tcBorders>
              <w:right w:val="nil"/>
            </w:tcBorders>
            <w:vAlign w:val="top"/>
          </w:tcPr>
          <w:p>
            <w:pPr>
              <w:spacing w:before="107" w:line="360" w:lineRule="exact"/>
              <w:ind w:left="287"/>
              <w:rPr>
                <w:rFonts w:ascii="仿宋" w:hAnsi="仿宋" w:eastAsia="仿宋" w:cs="仿宋"/>
                <w:sz w:val="21"/>
                <w:szCs w:val="21"/>
              </w:rPr>
            </w:pPr>
            <w:r>
              <w:rPr>
                <w:rFonts w:ascii="仿宋" w:hAnsi="仿宋" w:eastAsia="仿宋" w:cs="仿宋"/>
                <w:spacing w:val="-3"/>
                <w:position w:val="11"/>
                <w:sz w:val="21"/>
                <w:szCs w:val="21"/>
              </w:rPr>
              <w:t>施工期</w:t>
            </w:r>
          </w:p>
          <w:p>
            <w:pPr>
              <w:spacing w:line="209" w:lineRule="auto"/>
              <w:ind w:left="289"/>
              <w:rPr>
                <w:rFonts w:ascii="仿宋" w:hAnsi="仿宋" w:eastAsia="仿宋" w:cs="仿宋"/>
                <w:sz w:val="21"/>
                <w:szCs w:val="21"/>
              </w:rPr>
            </w:pPr>
            <w:r>
              <w:rPr>
                <w:rFonts w:ascii="仿宋" w:hAnsi="仿宋" w:eastAsia="仿宋" w:cs="仿宋"/>
                <w:spacing w:val="-4"/>
                <w:sz w:val="21"/>
                <w:szCs w:val="21"/>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7" w:hRule="atLeast"/>
        </w:trPr>
        <w:tc>
          <w:tcPr>
            <w:tcW w:w="1541" w:type="dxa"/>
            <w:tcBorders>
              <w:left w:val="nil"/>
            </w:tcBorders>
            <w:vAlign w:val="top"/>
          </w:tcPr>
          <w:p>
            <w:pPr>
              <w:spacing w:before="296" w:line="218" w:lineRule="auto"/>
              <w:ind w:left="371"/>
              <w:rPr>
                <w:rFonts w:ascii="仿宋" w:hAnsi="仿宋" w:eastAsia="仿宋" w:cs="仿宋"/>
                <w:sz w:val="21"/>
                <w:szCs w:val="21"/>
              </w:rPr>
            </w:pPr>
            <w:r>
              <w:rPr>
                <w:rFonts w:ascii="仿宋" w:hAnsi="仿宋" w:eastAsia="仿宋" w:cs="仿宋"/>
                <w:spacing w:val="-3"/>
                <w:sz w:val="21"/>
                <w:szCs w:val="21"/>
              </w:rPr>
              <w:t>环境空气</w:t>
            </w:r>
          </w:p>
        </w:tc>
        <w:tc>
          <w:tcPr>
            <w:tcW w:w="1559" w:type="dxa"/>
            <w:vAlign w:val="top"/>
          </w:tcPr>
          <w:p>
            <w:pPr>
              <w:spacing w:before="295" w:line="220" w:lineRule="auto"/>
              <w:ind w:left="586"/>
              <w:rPr>
                <w:rFonts w:ascii="仿宋" w:hAnsi="仿宋" w:eastAsia="仿宋" w:cs="仿宋"/>
                <w:sz w:val="21"/>
                <w:szCs w:val="21"/>
              </w:rPr>
            </w:pPr>
            <w:r>
              <w:rPr>
                <w:rFonts w:ascii="仿宋" w:hAnsi="仿宋" w:eastAsia="仿宋" w:cs="仿宋"/>
                <w:spacing w:val="-3"/>
                <w:sz w:val="21"/>
                <w:szCs w:val="21"/>
              </w:rPr>
              <w:t>二级</w:t>
            </w:r>
          </w:p>
        </w:tc>
        <w:tc>
          <w:tcPr>
            <w:tcW w:w="4254" w:type="dxa"/>
            <w:vAlign w:val="top"/>
          </w:tcPr>
          <w:p>
            <w:pPr>
              <w:pStyle w:val="6"/>
              <w:spacing w:before="115" w:line="260" w:lineRule="auto"/>
              <w:ind w:left="1948" w:right="204" w:hanging="1708"/>
              <w:rPr>
                <w:rFonts w:ascii="仿宋" w:hAnsi="仿宋" w:eastAsia="仿宋" w:cs="仿宋"/>
              </w:rPr>
            </w:pPr>
            <w:r>
              <w:rPr>
                <w:rFonts w:ascii="仿宋" w:hAnsi="仿宋" w:eastAsia="仿宋" w:cs="仿宋"/>
                <w:spacing w:val="-4"/>
              </w:rPr>
              <w:t>以砂石料加工区为中心，边长为</w:t>
            </w:r>
            <w:r>
              <w:rPr>
                <w:rFonts w:ascii="仿宋" w:hAnsi="仿宋" w:eastAsia="仿宋" w:cs="仿宋"/>
                <w:spacing w:val="-39"/>
              </w:rPr>
              <w:t xml:space="preserve"> </w:t>
            </w:r>
            <w:r>
              <w:rPr>
                <w:spacing w:val="-4"/>
              </w:rPr>
              <w:t>5km</w:t>
            </w:r>
            <w:r>
              <w:rPr>
                <w:spacing w:val="27"/>
              </w:rPr>
              <w:t xml:space="preserve"> </w:t>
            </w:r>
            <w:r>
              <w:rPr>
                <w:rFonts w:ascii="仿宋" w:hAnsi="仿宋" w:eastAsia="仿宋" w:cs="仿宋"/>
                <w:spacing w:val="-4"/>
              </w:rPr>
              <w:t>的范</w:t>
            </w:r>
            <w:r>
              <w:rPr>
                <w:rFonts w:ascii="仿宋" w:hAnsi="仿宋" w:eastAsia="仿宋" w:cs="仿宋"/>
              </w:rPr>
              <w:t xml:space="preserve"> </w:t>
            </w:r>
            <w:r>
              <w:rPr>
                <w:rFonts w:ascii="仿宋" w:hAnsi="仿宋" w:eastAsia="仿宋" w:cs="仿宋"/>
                <w:spacing w:val="-18"/>
              </w:rPr>
              <w:t>围。</w:t>
            </w:r>
          </w:p>
        </w:tc>
        <w:tc>
          <w:tcPr>
            <w:tcW w:w="1183" w:type="dxa"/>
            <w:tcBorders>
              <w:right w:val="nil"/>
            </w:tcBorders>
            <w:vAlign w:val="top"/>
          </w:tcPr>
          <w:p>
            <w:pPr>
              <w:spacing w:before="295" w:line="219" w:lineRule="auto"/>
              <w:ind w:left="287"/>
              <w:rPr>
                <w:rFonts w:ascii="仿宋" w:hAnsi="仿宋" w:eastAsia="仿宋" w:cs="仿宋"/>
                <w:sz w:val="21"/>
                <w:szCs w:val="21"/>
              </w:rPr>
            </w:pPr>
            <w:r>
              <w:rPr>
                <w:rFonts w:ascii="仿宋" w:hAnsi="仿宋" w:eastAsia="仿宋" w:cs="仿宋"/>
                <w:spacing w:val="-3"/>
                <w:sz w:val="21"/>
                <w:szCs w:val="21"/>
              </w:rPr>
              <w:t>施工期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7" w:hRule="atLeast"/>
        </w:trPr>
        <w:tc>
          <w:tcPr>
            <w:tcW w:w="1541" w:type="dxa"/>
            <w:tcBorders>
              <w:left w:val="nil"/>
            </w:tcBorders>
            <w:vAlign w:val="top"/>
          </w:tcPr>
          <w:p>
            <w:pPr>
              <w:spacing w:before="305" w:line="218" w:lineRule="auto"/>
              <w:ind w:left="371"/>
              <w:rPr>
                <w:rFonts w:ascii="仿宋" w:hAnsi="仿宋" w:eastAsia="仿宋" w:cs="仿宋"/>
                <w:sz w:val="21"/>
                <w:szCs w:val="21"/>
              </w:rPr>
            </w:pPr>
            <w:r>
              <w:rPr>
                <w:rFonts w:ascii="仿宋" w:hAnsi="仿宋" w:eastAsia="仿宋" w:cs="仿宋"/>
                <w:spacing w:val="-3"/>
                <w:sz w:val="21"/>
                <w:szCs w:val="21"/>
              </w:rPr>
              <w:t>环境噪声</w:t>
            </w:r>
          </w:p>
        </w:tc>
        <w:tc>
          <w:tcPr>
            <w:tcW w:w="1559" w:type="dxa"/>
            <w:vAlign w:val="top"/>
          </w:tcPr>
          <w:p>
            <w:pPr>
              <w:spacing w:before="304" w:line="220" w:lineRule="auto"/>
              <w:ind w:left="586"/>
              <w:rPr>
                <w:rFonts w:ascii="仿宋" w:hAnsi="仿宋" w:eastAsia="仿宋" w:cs="仿宋"/>
                <w:sz w:val="21"/>
                <w:szCs w:val="21"/>
              </w:rPr>
            </w:pPr>
            <w:r>
              <w:rPr>
                <w:rFonts w:ascii="仿宋" w:hAnsi="仿宋" w:eastAsia="仿宋" w:cs="仿宋"/>
                <w:spacing w:val="-3"/>
                <w:sz w:val="21"/>
                <w:szCs w:val="21"/>
              </w:rPr>
              <w:t>二级</w:t>
            </w:r>
          </w:p>
        </w:tc>
        <w:tc>
          <w:tcPr>
            <w:tcW w:w="4254" w:type="dxa"/>
            <w:vAlign w:val="top"/>
          </w:tcPr>
          <w:p>
            <w:pPr>
              <w:pStyle w:val="6"/>
              <w:spacing w:before="124" w:line="256" w:lineRule="auto"/>
              <w:ind w:left="799" w:right="129" w:hanging="657"/>
              <w:rPr>
                <w:rFonts w:ascii="仿宋" w:hAnsi="仿宋" w:eastAsia="仿宋" w:cs="仿宋"/>
              </w:rPr>
            </w:pPr>
            <w:r>
              <w:rPr>
                <w:rFonts w:ascii="仿宋" w:hAnsi="仿宋" w:eastAsia="仿宋" w:cs="仿宋"/>
                <w:spacing w:val="-1"/>
              </w:rPr>
              <w:t>枢纽工程区、施工场地和场内外交通公路中</w:t>
            </w:r>
            <w:r>
              <w:rPr>
                <w:rFonts w:ascii="仿宋" w:hAnsi="仿宋" w:eastAsia="仿宋" w:cs="仿宋"/>
                <w:spacing w:val="4"/>
              </w:rPr>
              <w:t xml:space="preserve"> </w:t>
            </w:r>
            <w:r>
              <w:rPr>
                <w:rFonts w:ascii="仿宋" w:hAnsi="仿宋" w:eastAsia="仿宋" w:cs="仿宋"/>
                <w:spacing w:val="-5"/>
              </w:rPr>
              <w:t>心线两侧外延</w:t>
            </w:r>
            <w:r>
              <w:rPr>
                <w:rFonts w:ascii="仿宋" w:hAnsi="仿宋" w:eastAsia="仿宋" w:cs="仿宋"/>
                <w:spacing w:val="-43"/>
              </w:rPr>
              <w:t xml:space="preserve"> </w:t>
            </w:r>
            <w:r>
              <w:rPr>
                <w:spacing w:val="-5"/>
              </w:rPr>
              <w:t>200m</w:t>
            </w:r>
            <w:r>
              <w:rPr>
                <w:spacing w:val="27"/>
                <w:w w:val="101"/>
              </w:rPr>
              <w:t xml:space="preserve"> </w:t>
            </w:r>
            <w:r>
              <w:rPr>
                <w:rFonts w:ascii="仿宋" w:hAnsi="仿宋" w:eastAsia="仿宋" w:cs="仿宋"/>
                <w:spacing w:val="-5"/>
              </w:rPr>
              <w:t>的范围。</w:t>
            </w:r>
          </w:p>
        </w:tc>
        <w:tc>
          <w:tcPr>
            <w:tcW w:w="1183" w:type="dxa"/>
            <w:tcBorders>
              <w:right w:val="nil"/>
            </w:tcBorders>
            <w:vAlign w:val="top"/>
          </w:tcPr>
          <w:p>
            <w:pPr>
              <w:spacing w:before="305" w:line="219" w:lineRule="auto"/>
              <w:ind w:left="287"/>
              <w:rPr>
                <w:rFonts w:ascii="仿宋" w:hAnsi="仿宋" w:eastAsia="仿宋" w:cs="仿宋"/>
                <w:sz w:val="21"/>
                <w:szCs w:val="21"/>
              </w:rPr>
            </w:pPr>
            <w:r>
              <w:rPr>
                <w:rFonts w:ascii="仿宋" w:hAnsi="仿宋" w:eastAsia="仿宋" w:cs="仿宋"/>
                <w:spacing w:val="-3"/>
                <w:sz w:val="21"/>
                <w:szCs w:val="21"/>
              </w:rPr>
              <w:t>施工期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5" w:hRule="atLeast"/>
        </w:trPr>
        <w:tc>
          <w:tcPr>
            <w:tcW w:w="1541" w:type="dxa"/>
            <w:tcBorders>
              <w:left w:val="nil"/>
              <w:bottom w:val="single" w:color="000000" w:sz="12" w:space="0"/>
            </w:tcBorders>
            <w:vAlign w:val="top"/>
          </w:tcPr>
          <w:p>
            <w:pPr>
              <w:spacing w:before="132" w:line="213" w:lineRule="auto"/>
              <w:ind w:left="371"/>
              <w:rPr>
                <w:rFonts w:ascii="仿宋" w:hAnsi="仿宋" w:eastAsia="仿宋" w:cs="仿宋"/>
                <w:sz w:val="21"/>
                <w:szCs w:val="21"/>
              </w:rPr>
            </w:pPr>
            <w:r>
              <w:rPr>
                <w:rFonts w:ascii="仿宋" w:hAnsi="仿宋" w:eastAsia="仿宋" w:cs="仿宋"/>
                <w:spacing w:val="-3"/>
                <w:sz w:val="21"/>
                <w:szCs w:val="21"/>
              </w:rPr>
              <w:t>环境风险</w:t>
            </w:r>
          </w:p>
        </w:tc>
        <w:tc>
          <w:tcPr>
            <w:tcW w:w="1559" w:type="dxa"/>
            <w:tcBorders>
              <w:bottom w:val="single" w:color="000000" w:sz="12" w:space="0"/>
            </w:tcBorders>
            <w:vAlign w:val="top"/>
          </w:tcPr>
          <w:p>
            <w:pPr>
              <w:spacing w:before="132" w:line="213" w:lineRule="auto"/>
              <w:ind w:left="381"/>
              <w:rPr>
                <w:rFonts w:ascii="仿宋" w:hAnsi="仿宋" w:eastAsia="仿宋" w:cs="仿宋"/>
                <w:sz w:val="21"/>
                <w:szCs w:val="21"/>
              </w:rPr>
            </w:pPr>
            <w:r>
              <w:rPr>
                <w:rFonts w:ascii="仿宋" w:hAnsi="仿宋" w:eastAsia="仿宋" w:cs="仿宋"/>
                <w:spacing w:val="-5"/>
                <w:sz w:val="21"/>
                <w:szCs w:val="21"/>
              </w:rPr>
              <w:t>简单分析</w:t>
            </w:r>
          </w:p>
        </w:tc>
        <w:tc>
          <w:tcPr>
            <w:tcW w:w="4254" w:type="dxa"/>
            <w:tcBorders>
              <w:bottom w:val="single" w:color="000000" w:sz="12" w:space="0"/>
            </w:tcBorders>
            <w:vAlign w:val="top"/>
          </w:tcPr>
          <w:p>
            <w:pPr>
              <w:pStyle w:val="6"/>
              <w:spacing w:before="167" w:line="206" w:lineRule="auto"/>
              <w:ind w:left="2095"/>
            </w:pPr>
            <w:r>
              <w:t>/</w:t>
            </w:r>
          </w:p>
        </w:tc>
        <w:tc>
          <w:tcPr>
            <w:tcW w:w="1183" w:type="dxa"/>
            <w:tcBorders>
              <w:bottom w:val="single" w:color="000000" w:sz="12" w:space="0"/>
              <w:right w:val="nil"/>
            </w:tcBorders>
            <w:vAlign w:val="top"/>
          </w:tcPr>
          <w:p>
            <w:pPr>
              <w:spacing w:before="132" w:line="213" w:lineRule="auto"/>
              <w:ind w:left="287"/>
              <w:rPr>
                <w:rFonts w:ascii="仿宋" w:hAnsi="仿宋" w:eastAsia="仿宋" w:cs="仿宋"/>
                <w:sz w:val="21"/>
                <w:szCs w:val="21"/>
              </w:rPr>
            </w:pPr>
            <w:r>
              <w:rPr>
                <w:rFonts w:ascii="仿宋" w:hAnsi="仿宋" w:eastAsia="仿宋" w:cs="仿宋"/>
                <w:spacing w:val="-3"/>
                <w:sz w:val="21"/>
                <w:szCs w:val="21"/>
              </w:rPr>
              <w:t>施工期</w:t>
            </w:r>
          </w:p>
        </w:tc>
      </w:tr>
    </w:tbl>
    <w:p>
      <w:pPr>
        <w:spacing w:line="242" w:lineRule="auto"/>
        <w:rPr>
          <w:rFonts w:ascii="Arial"/>
          <w:sz w:val="21"/>
        </w:rPr>
      </w:pPr>
    </w:p>
    <w:p>
      <w:pPr>
        <w:pStyle w:val="2"/>
        <w:spacing w:before="88"/>
        <w:ind w:left="48"/>
        <w:outlineLvl w:val="0"/>
        <w:rPr>
          <w:sz w:val="27"/>
          <w:szCs w:val="27"/>
        </w:rPr>
      </w:pPr>
      <w:bookmarkStart w:id="15" w:name="bookmark16"/>
      <w:bookmarkEnd w:id="15"/>
      <w:r>
        <w:rPr>
          <w:rFonts w:ascii="Times New Roman" w:hAnsi="Times New Roman" w:eastAsia="Times New Roman" w:cs="Times New Roman"/>
          <w:b/>
          <w:bCs/>
          <w:spacing w:val="6"/>
          <w:sz w:val="27"/>
          <w:szCs w:val="27"/>
        </w:rPr>
        <w:t xml:space="preserve">1.7 </w:t>
      </w:r>
      <w:r>
        <w:rPr>
          <w:spacing w:val="6"/>
          <w:sz w:val="27"/>
          <w:szCs w:val="27"/>
          <w14:textOutline w14:w="5072" w14:cap="flat" w14:cmpd="sng">
            <w14:solidFill>
              <w14:srgbClr w14:val="000000"/>
            </w14:solidFill>
            <w14:prstDash w14:val="solid"/>
            <w14:miter w14:val="0"/>
          </w14:textOutline>
        </w:rPr>
        <w:t>环境保护目标</w:t>
      </w:r>
    </w:p>
    <w:p>
      <w:pPr>
        <w:spacing w:line="278" w:lineRule="auto"/>
        <w:rPr>
          <w:rFonts w:ascii="Arial"/>
          <w:sz w:val="21"/>
        </w:rPr>
      </w:pPr>
    </w:p>
    <w:p>
      <w:pPr>
        <w:pStyle w:val="2"/>
        <w:spacing w:before="78" w:line="233" w:lineRule="auto"/>
        <w:ind w:left="45"/>
        <w:outlineLvl w:val="1"/>
        <w:rPr>
          <w:sz w:val="24"/>
          <w:szCs w:val="24"/>
        </w:rPr>
      </w:pPr>
      <w:r>
        <w:rPr>
          <w:rFonts w:ascii="Times New Roman" w:hAnsi="Times New Roman" w:eastAsia="Times New Roman" w:cs="Times New Roman"/>
          <w:b/>
          <w:bCs/>
          <w:spacing w:val="-1"/>
          <w:sz w:val="24"/>
          <w:szCs w:val="24"/>
        </w:rPr>
        <w:t xml:space="preserve">1.7.1 </w:t>
      </w:r>
      <w:r>
        <w:rPr>
          <w:spacing w:val="-1"/>
          <w:sz w:val="24"/>
          <w:szCs w:val="24"/>
          <w14:textOutline w14:w="4354" w14:cap="flat" w14:cmpd="sng">
            <w14:solidFill>
              <w14:srgbClr w14:val="000000"/>
            </w14:solidFill>
            <w14:prstDash w14:val="solid"/>
            <w14:miter w14:val="0"/>
          </w14:textOutline>
        </w:rPr>
        <w:t>环境敏感区</w:t>
      </w:r>
    </w:p>
    <w:p>
      <w:pPr>
        <w:spacing w:before="278" w:line="360" w:lineRule="auto"/>
        <w:ind w:left="38" w:right="131" w:firstLine="484"/>
        <w:rPr>
          <w:rFonts w:ascii="宋体" w:hAnsi="宋体" w:eastAsia="宋体" w:cs="宋体"/>
          <w:sz w:val="24"/>
          <w:szCs w:val="24"/>
        </w:rPr>
      </w:pPr>
      <w:r>
        <w:rPr>
          <w:rFonts w:ascii="宋体" w:hAnsi="宋体" w:eastAsia="宋体" w:cs="宋体"/>
          <w:spacing w:val="-1"/>
          <w:sz w:val="24"/>
          <w:szCs w:val="24"/>
        </w:rPr>
        <w:t>项目不涉及国家公园、自然保护区、风景名胜区、世界文化和自然遗产地、</w:t>
      </w:r>
      <w:r>
        <w:rPr>
          <w:rFonts w:ascii="宋体" w:hAnsi="宋体" w:eastAsia="宋体" w:cs="宋体"/>
          <w:spacing w:val="10"/>
          <w:sz w:val="24"/>
          <w:szCs w:val="24"/>
        </w:rPr>
        <w:t xml:space="preserve"> </w:t>
      </w:r>
      <w:r>
        <w:rPr>
          <w:rFonts w:ascii="宋体" w:hAnsi="宋体" w:eastAsia="宋体" w:cs="宋体"/>
          <w:spacing w:val="-5"/>
          <w:sz w:val="24"/>
          <w:szCs w:val="24"/>
        </w:rPr>
        <w:t>海洋特别保护区、饮用水水源保护区，</w:t>
      </w:r>
      <w:r>
        <w:rPr>
          <w:rFonts w:ascii="宋体" w:hAnsi="宋体" w:eastAsia="宋体" w:cs="宋体"/>
          <w:spacing w:val="-45"/>
          <w:sz w:val="24"/>
          <w:szCs w:val="24"/>
        </w:rPr>
        <w:t xml:space="preserve"> </w:t>
      </w:r>
      <w:r>
        <w:rPr>
          <w:rFonts w:ascii="宋体" w:hAnsi="宋体" w:eastAsia="宋体" w:cs="宋体"/>
          <w:spacing w:val="-5"/>
          <w:sz w:val="24"/>
          <w:szCs w:val="24"/>
        </w:rPr>
        <w:t>不涉及永久基</w:t>
      </w:r>
      <w:r>
        <w:rPr>
          <w:rFonts w:ascii="宋体" w:hAnsi="宋体" w:eastAsia="宋体" w:cs="宋体"/>
          <w:spacing w:val="-6"/>
          <w:sz w:val="24"/>
          <w:szCs w:val="24"/>
        </w:rPr>
        <w:t xml:space="preserve">本农田、基本草原、自然公 </w:t>
      </w:r>
      <w:r>
        <w:rPr>
          <w:rFonts w:ascii="宋体" w:hAnsi="宋体" w:eastAsia="宋体" w:cs="宋体"/>
          <w:spacing w:val="-3"/>
          <w:sz w:val="24"/>
          <w:szCs w:val="24"/>
        </w:rPr>
        <w:t>园（森林公园、地质公园、海洋公园等）、重要湿地、天然</w:t>
      </w:r>
      <w:r>
        <w:rPr>
          <w:rFonts w:ascii="宋体" w:hAnsi="宋体" w:eastAsia="宋体" w:cs="宋体"/>
          <w:spacing w:val="-4"/>
          <w:sz w:val="24"/>
          <w:szCs w:val="24"/>
        </w:rPr>
        <w:t xml:space="preserve">林，重点保护野生动 </w:t>
      </w:r>
      <w:r>
        <w:rPr>
          <w:rFonts w:ascii="宋体" w:hAnsi="宋体" w:eastAsia="宋体" w:cs="宋体"/>
          <w:spacing w:val="-12"/>
          <w:sz w:val="24"/>
          <w:szCs w:val="24"/>
        </w:rPr>
        <w:t>物栖息地，</w:t>
      </w:r>
      <w:r>
        <w:rPr>
          <w:rFonts w:ascii="宋体" w:hAnsi="宋体" w:eastAsia="宋体" w:cs="宋体"/>
          <w:spacing w:val="-50"/>
          <w:sz w:val="24"/>
          <w:szCs w:val="24"/>
        </w:rPr>
        <w:t xml:space="preserve"> </w:t>
      </w:r>
      <w:r>
        <w:rPr>
          <w:rFonts w:ascii="宋体" w:hAnsi="宋体" w:eastAsia="宋体" w:cs="宋体"/>
          <w:spacing w:val="-12"/>
          <w:sz w:val="24"/>
          <w:szCs w:val="24"/>
        </w:rPr>
        <w:t>重点保护野生植物生长繁殖地，</w:t>
      </w:r>
      <w:r>
        <w:rPr>
          <w:rFonts w:ascii="宋体" w:hAnsi="宋体" w:eastAsia="宋体" w:cs="宋体"/>
          <w:spacing w:val="-13"/>
          <w:sz w:val="24"/>
          <w:szCs w:val="24"/>
        </w:rPr>
        <w:t>重要水生生物的自然产卵场、索饵场、</w:t>
      </w:r>
    </w:p>
    <w:p>
      <w:pPr>
        <w:spacing w:line="220" w:lineRule="auto"/>
        <w:ind w:left="38"/>
        <w:rPr>
          <w:rFonts w:ascii="宋体" w:hAnsi="宋体" w:eastAsia="宋体" w:cs="宋体"/>
          <w:sz w:val="24"/>
          <w:szCs w:val="24"/>
        </w:rPr>
      </w:pPr>
      <w:r>
        <w:rPr>
          <w:rFonts w:ascii="宋体" w:hAnsi="宋体" w:eastAsia="宋体" w:cs="宋体"/>
          <w:spacing w:val="-14"/>
          <w:sz w:val="24"/>
          <w:szCs w:val="24"/>
        </w:rPr>
        <w:t>越冬场和洄游通道，</w:t>
      </w:r>
      <w:r>
        <w:rPr>
          <w:rFonts w:ascii="宋体" w:hAnsi="宋体" w:eastAsia="宋体" w:cs="宋体"/>
          <w:spacing w:val="66"/>
          <w:sz w:val="24"/>
          <w:szCs w:val="24"/>
        </w:rPr>
        <w:t xml:space="preserve"> </w:t>
      </w:r>
      <w:r>
        <w:rPr>
          <w:rFonts w:ascii="宋体" w:hAnsi="宋体" w:eastAsia="宋体" w:cs="宋体"/>
          <w:spacing w:val="-14"/>
          <w:sz w:val="24"/>
          <w:szCs w:val="24"/>
        </w:rPr>
        <w:t>天然渔场。</w:t>
      </w:r>
    </w:p>
    <w:p>
      <w:pPr>
        <w:spacing w:before="182" w:line="360" w:lineRule="auto"/>
        <w:ind w:left="38" w:right="26" w:firstLine="484"/>
        <w:rPr>
          <w:rFonts w:ascii="宋体" w:hAnsi="宋体" w:eastAsia="宋体" w:cs="宋体"/>
          <w:sz w:val="24"/>
          <w:szCs w:val="24"/>
        </w:rPr>
      </w:pPr>
      <w:r>
        <w:rPr>
          <w:rFonts w:ascii="宋体" w:hAnsi="宋体" w:eastAsia="宋体" w:cs="宋体"/>
          <w:spacing w:val="-6"/>
          <w:sz w:val="24"/>
          <w:szCs w:val="24"/>
        </w:rPr>
        <w:t>项目库区枢纽工程征地范围内涉及大姚县生态保护红线（公开版）</w:t>
      </w:r>
      <w:r>
        <w:rPr>
          <w:rFonts w:ascii="Times New Roman" w:hAnsi="Times New Roman" w:eastAsia="Times New Roman" w:cs="Times New Roman"/>
          <w:spacing w:val="-6"/>
          <w:sz w:val="24"/>
          <w:szCs w:val="24"/>
        </w:rPr>
        <w:t>8.59</w:t>
      </w:r>
      <w:r>
        <w:rPr>
          <w:rFonts w:ascii="Times New Roman" w:hAnsi="Times New Roman" w:eastAsia="Times New Roman" w:cs="Times New Roman"/>
          <w:spacing w:val="-7"/>
          <w:sz w:val="24"/>
          <w:szCs w:val="24"/>
        </w:rPr>
        <w:t>29hm</w:t>
      </w:r>
      <w:r>
        <w:rPr>
          <w:rFonts w:ascii="Times New Roman" w:hAnsi="Times New Roman" w:eastAsia="Times New Roman" w:cs="Times New Roman"/>
          <w:spacing w:val="-7"/>
          <w:position w:val="8"/>
          <w:sz w:val="15"/>
          <w:szCs w:val="15"/>
        </w:rPr>
        <w:t>2</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4"/>
          <w:sz w:val="24"/>
          <w:szCs w:val="24"/>
        </w:rPr>
        <w:t xml:space="preserve">输水工程、引水工程、弃渣场、料场不涉及大姚县生态保护红线。目前生态红线  </w:t>
      </w:r>
      <w:r>
        <w:rPr>
          <w:rFonts w:ascii="宋体" w:hAnsi="宋体" w:eastAsia="宋体" w:cs="宋体"/>
          <w:spacing w:val="-3"/>
          <w:sz w:val="24"/>
          <w:szCs w:val="24"/>
        </w:rPr>
        <w:t>最终调整版已将库区枢纽工程征地范围内涉及的生态保护红线调出，项目已不涉</w:t>
      </w:r>
    </w:p>
    <w:p>
      <w:pPr>
        <w:spacing w:line="220" w:lineRule="auto"/>
        <w:ind w:left="38"/>
        <w:rPr>
          <w:rFonts w:ascii="宋体" w:hAnsi="宋体" w:eastAsia="宋体" w:cs="宋体"/>
          <w:sz w:val="24"/>
          <w:szCs w:val="24"/>
        </w:rPr>
      </w:pPr>
      <w:r>
        <w:rPr>
          <w:rFonts w:ascii="宋体" w:hAnsi="宋体" w:eastAsia="宋体" w:cs="宋体"/>
          <w:spacing w:val="-5"/>
          <w:sz w:val="24"/>
          <w:szCs w:val="24"/>
        </w:rPr>
        <w:t>及生态保护红线。</w:t>
      </w:r>
    </w:p>
    <w:p>
      <w:pPr>
        <w:spacing w:line="353" w:lineRule="auto"/>
        <w:rPr>
          <w:rFonts w:ascii="Arial"/>
          <w:sz w:val="21"/>
        </w:rPr>
      </w:pPr>
    </w:p>
    <w:p>
      <w:pPr>
        <w:pStyle w:val="2"/>
        <w:spacing w:before="79" w:line="233" w:lineRule="auto"/>
        <w:ind w:left="45"/>
        <w:outlineLvl w:val="1"/>
        <w:rPr>
          <w:sz w:val="24"/>
          <w:szCs w:val="24"/>
        </w:rPr>
      </w:pPr>
      <w:r>
        <w:rPr>
          <w:rFonts w:ascii="Times New Roman" w:hAnsi="Times New Roman" w:eastAsia="Times New Roman" w:cs="Times New Roman"/>
          <w:b/>
          <w:bCs/>
          <w:spacing w:val="-1"/>
          <w:sz w:val="24"/>
          <w:szCs w:val="24"/>
        </w:rPr>
        <w:t xml:space="preserve">1.7.2 </w:t>
      </w:r>
      <w:r>
        <w:rPr>
          <w:spacing w:val="-1"/>
          <w:sz w:val="24"/>
          <w:szCs w:val="24"/>
          <w14:textOutline w14:w="4354" w14:cap="flat" w14:cmpd="sng">
            <w14:solidFill>
              <w14:srgbClr w14:val="000000"/>
            </w14:solidFill>
            <w14:prstDash w14:val="solid"/>
            <w14:miter w14:val="0"/>
          </w14:textOutline>
        </w:rPr>
        <w:t>环境敏感目标</w:t>
      </w:r>
    </w:p>
    <w:p>
      <w:pPr>
        <w:spacing w:before="199" w:line="508" w:lineRule="exact"/>
        <w:ind w:left="639"/>
        <w:rPr>
          <w:rFonts w:ascii="宋体" w:hAnsi="宋体" w:eastAsia="宋体" w:cs="宋体"/>
          <w:sz w:val="24"/>
          <w:szCs w:val="24"/>
        </w:rPr>
      </w:pPr>
      <w:r>
        <w:rPr>
          <w:rFonts w:ascii="宋体" w:hAnsi="宋体" w:eastAsia="宋体" w:cs="宋体"/>
          <w:spacing w:val="8"/>
          <w:position w:val="20"/>
          <w:sz w:val="24"/>
          <w:szCs w:val="24"/>
        </w:rPr>
        <w:t>根据工程设计资料及现场实地踏勘和调查，评价区环境保护目标详见表</w:t>
      </w:r>
    </w:p>
    <w:p>
      <w:pPr>
        <w:spacing w:line="180" w:lineRule="auto"/>
        <w:ind w:left="58"/>
        <w:rPr>
          <w:rFonts w:ascii="宋体" w:hAnsi="宋体" w:eastAsia="宋体" w:cs="宋体"/>
          <w:sz w:val="24"/>
          <w:szCs w:val="24"/>
        </w:rPr>
      </w:pPr>
      <w:r>
        <w:rPr>
          <w:rFonts w:ascii="Times New Roman" w:hAnsi="Times New Roman" w:eastAsia="Times New Roman" w:cs="Times New Roman"/>
          <w:spacing w:val="-10"/>
          <w:sz w:val="24"/>
          <w:szCs w:val="24"/>
        </w:rPr>
        <w:t>1.7-</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0"/>
          <w:sz w:val="24"/>
          <w:szCs w:val="24"/>
        </w:rPr>
        <w:t>1</w:t>
      </w:r>
      <w:r>
        <w:rPr>
          <w:rFonts w:ascii="宋体" w:hAnsi="宋体" w:eastAsia="宋体" w:cs="宋体"/>
          <w:spacing w:val="-10"/>
          <w:sz w:val="24"/>
          <w:szCs w:val="24"/>
        </w:rPr>
        <w:t>。</w:t>
      </w:r>
    </w:p>
    <w:p>
      <w:pPr>
        <w:spacing w:line="180" w:lineRule="auto"/>
        <w:rPr>
          <w:rFonts w:ascii="宋体" w:hAnsi="宋体" w:eastAsia="宋体" w:cs="宋体"/>
          <w:sz w:val="24"/>
          <w:szCs w:val="24"/>
        </w:rPr>
        <w:sectPr>
          <w:footerReference r:id="rId49" w:type="default"/>
          <w:pgSz w:w="11907" w:h="16839"/>
          <w:pgMar w:top="1156" w:right="1582" w:bottom="1154" w:left="1770" w:header="881" w:footer="990" w:gutter="0"/>
        </w:sect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2"/>
        <w:spacing w:before="69" w:line="233" w:lineRule="auto"/>
        <w:ind w:left="5090"/>
      </w:pPr>
      <w:r>
        <w:rPr>
          <w:spacing w:val="-1"/>
          <w14:textOutline w14:w="3810" w14:cap="flat" w14:cmpd="sng">
            <w14:solidFill>
              <w14:srgbClr w14:val="000000"/>
            </w14:solidFill>
            <w14:prstDash w14:val="solid"/>
            <w14:miter w14:val="0"/>
          </w14:textOutline>
        </w:rPr>
        <w:t>表</w:t>
      </w:r>
      <w:r>
        <w:rPr>
          <w:spacing w:val="-29"/>
        </w:rPr>
        <w:t xml:space="preserve"> </w:t>
      </w:r>
      <w:r>
        <w:rPr>
          <w:rFonts w:ascii="Times New Roman" w:hAnsi="Times New Roman" w:eastAsia="Times New Roman" w:cs="Times New Roman"/>
          <w:b/>
          <w:bCs/>
          <w:spacing w:val="-1"/>
        </w:rPr>
        <w:t xml:space="preserve">1.7-1    </w:t>
      </w:r>
      <w:r>
        <w:rPr>
          <w:spacing w:val="-1"/>
          <w14:textOutline w14:w="3810" w14:cap="flat" w14:cmpd="sng">
            <w14:solidFill>
              <w14:srgbClr w14:val="000000"/>
            </w14:solidFill>
            <w14:prstDash w14:val="solid"/>
            <w14:miter w14:val="0"/>
          </w14:textOutline>
        </w:rPr>
        <w:t>环境保护目标及保护要求一览表</w:t>
      </w:r>
    </w:p>
    <w:p>
      <w:pPr>
        <w:spacing w:line="35" w:lineRule="auto"/>
        <w:rPr>
          <w:rFonts w:ascii="Arial"/>
          <w:sz w:val="2"/>
        </w:rPr>
      </w:pPr>
    </w:p>
    <w:tbl>
      <w:tblPr>
        <w:tblStyle w:val="5"/>
        <w:tblW w:w="13959"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1386"/>
        <w:gridCol w:w="1583"/>
        <w:gridCol w:w="1802"/>
        <w:gridCol w:w="2374"/>
        <w:gridCol w:w="1300"/>
        <w:gridCol w:w="1530"/>
        <w:gridCol w:w="30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5" w:hRule="atLeast"/>
        </w:trPr>
        <w:tc>
          <w:tcPr>
            <w:tcW w:w="979" w:type="dxa"/>
            <w:tcBorders>
              <w:top w:val="single" w:color="000000" w:sz="12" w:space="0"/>
              <w:left w:val="nil"/>
            </w:tcBorders>
            <w:vAlign w:val="top"/>
          </w:tcPr>
          <w:p>
            <w:pPr>
              <w:spacing w:before="150" w:line="230" w:lineRule="auto"/>
              <w:ind w:left="408" w:right="171" w:hanging="22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环境要</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素</w:t>
            </w:r>
          </w:p>
        </w:tc>
        <w:tc>
          <w:tcPr>
            <w:tcW w:w="1386" w:type="dxa"/>
            <w:tcBorders>
              <w:top w:val="single" w:color="000000" w:sz="12" w:space="0"/>
            </w:tcBorders>
            <w:vAlign w:val="top"/>
          </w:tcPr>
          <w:p>
            <w:pPr>
              <w:spacing w:before="285" w:line="217" w:lineRule="auto"/>
              <w:ind w:left="28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保护对象</w:t>
            </w:r>
          </w:p>
        </w:tc>
        <w:tc>
          <w:tcPr>
            <w:tcW w:w="1583" w:type="dxa"/>
            <w:tcBorders>
              <w:top w:val="single" w:color="000000" w:sz="12" w:space="0"/>
            </w:tcBorders>
            <w:vAlign w:val="top"/>
          </w:tcPr>
          <w:p>
            <w:pPr>
              <w:spacing w:before="286" w:line="218" w:lineRule="auto"/>
              <w:ind w:left="597"/>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坐标</w:t>
            </w:r>
          </w:p>
        </w:tc>
        <w:tc>
          <w:tcPr>
            <w:tcW w:w="1802" w:type="dxa"/>
            <w:tcBorders>
              <w:top w:val="single" w:color="000000" w:sz="12" w:space="0"/>
            </w:tcBorders>
            <w:vAlign w:val="top"/>
          </w:tcPr>
          <w:p>
            <w:pPr>
              <w:spacing w:before="285" w:line="217" w:lineRule="auto"/>
              <w:ind w:left="28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保护对象特征</w:t>
            </w:r>
          </w:p>
        </w:tc>
        <w:tc>
          <w:tcPr>
            <w:tcW w:w="2374" w:type="dxa"/>
            <w:tcBorders>
              <w:top w:val="single" w:color="000000" w:sz="12" w:space="0"/>
            </w:tcBorders>
            <w:vAlign w:val="top"/>
          </w:tcPr>
          <w:p>
            <w:pPr>
              <w:spacing w:before="150" w:line="217" w:lineRule="auto"/>
              <w:ind w:left="67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相对位置及</w:t>
            </w:r>
          </w:p>
          <w:p>
            <w:pPr>
              <w:spacing w:before="25" w:line="218" w:lineRule="auto"/>
              <w:ind w:left="78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最近距离</w:t>
            </w:r>
          </w:p>
        </w:tc>
        <w:tc>
          <w:tcPr>
            <w:tcW w:w="1300" w:type="dxa"/>
            <w:tcBorders>
              <w:top w:val="single" w:color="000000" w:sz="12" w:space="0"/>
            </w:tcBorders>
            <w:vAlign w:val="top"/>
          </w:tcPr>
          <w:p>
            <w:pPr>
              <w:spacing w:before="150" w:line="239" w:lineRule="auto"/>
              <w:ind w:left="45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保护</w:t>
            </w:r>
          </w:p>
          <w:p>
            <w:pPr>
              <w:spacing w:line="218" w:lineRule="auto"/>
              <w:ind w:left="466"/>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时段</w:t>
            </w:r>
          </w:p>
        </w:tc>
        <w:tc>
          <w:tcPr>
            <w:tcW w:w="1530" w:type="dxa"/>
            <w:tcBorders>
              <w:top w:val="single" w:color="000000" w:sz="12" w:space="0"/>
            </w:tcBorders>
            <w:vAlign w:val="top"/>
          </w:tcPr>
          <w:p>
            <w:pPr>
              <w:spacing w:before="286" w:line="219" w:lineRule="auto"/>
              <w:ind w:left="46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影响源</w:t>
            </w:r>
          </w:p>
        </w:tc>
        <w:tc>
          <w:tcPr>
            <w:tcW w:w="3005" w:type="dxa"/>
            <w:tcBorders>
              <w:top w:val="single" w:color="000000" w:sz="12" w:space="0"/>
              <w:right w:val="nil"/>
            </w:tcBorders>
            <w:vAlign w:val="top"/>
          </w:tcPr>
          <w:p>
            <w:pPr>
              <w:spacing w:before="285" w:line="217" w:lineRule="auto"/>
              <w:ind w:left="109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保护要求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979" w:type="dxa"/>
            <w:vMerge w:val="restart"/>
            <w:tcBorders>
              <w:left w:val="nil"/>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8" w:line="218" w:lineRule="auto"/>
              <w:ind w:left="187"/>
              <w:rPr>
                <w:rFonts w:ascii="仿宋" w:hAnsi="仿宋" w:eastAsia="仿宋" w:cs="仿宋"/>
                <w:sz w:val="21"/>
                <w:szCs w:val="21"/>
              </w:rPr>
            </w:pPr>
            <w:r>
              <w:rPr>
                <w:rFonts w:ascii="仿宋" w:hAnsi="仿宋" w:eastAsia="仿宋" w:cs="仿宋"/>
                <w:spacing w:val="-3"/>
                <w:sz w:val="21"/>
                <w:szCs w:val="21"/>
              </w:rPr>
              <w:t>声环境</w:t>
            </w:r>
          </w:p>
          <w:p>
            <w:pPr>
              <w:spacing w:before="24" w:line="218" w:lineRule="auto"/>
              <w:ind w:left="190"/>
              <w:rPr>
                <w:rFonts w:ascii="仿宋" w:hAnsi="仿宋" w:eastAsia="仿宋" w:cs="仿宋"/>
                <w:sz w:val="21"/>
                <w:szCs w:val="21"/>
              </w:rPr>
            </w:pPr>
            <w:r>
              <w:rPr>
                <w:rFonts w:ascii="仿宋" w:hAnsi="仿宋" w:eastAsia="仿宋" w:cs="仿宋"/>
                <w:spacing w:val="-4"/>
                <w:sz w:val="21"/>
                <w:szCs w:val="21"/>
              </w:rPr>
              <w:t>及环境</w:t>
            </w:r>
          </w:p>
          <w:p>
            <w:pPr>
              <w:spacing w:before="23" w:line="220" w:lineRule="auto"/>
              <w:ind w:left="305"/>
              <w:rPr>
                <w:rFonts w:ascii="仿宋" w:hAnsi="仿宋" w:eastAsia="仿宋" w:cs="仿宋"/>
                <w:sz w:val="21"/>
                <w:szCs w:val="21"/>
              </w:rPr>
            </w:pPr>
            <w:r>
              <w:rPr>
                <w:rFonts w:ascii="仿宋" w:hAnsi="仿宋" w:eastAsia="仿宋" w:cs="仿宋"/>
                <w:spacing w:val="-7"/>
                <w:sz w:val="21"/>
                <w:szCs w:val="21"/>
              </w:rPr>
              <w:t>空气</w:t>
            </w:r>
          </w:p>
        </w:tc>
        <w:tc>
          <w:tcPr>
            <w:tcW w:w="1386" w:type="dxa"/>
            <w:vAlign w:val="top"/>
          </w:tcPr>
          <w:p>
            <w:pPr>
              <w:spacing w:before="171" w:line="217" w:lineRule="auto"/>
              <w:ind w:left="293"/>
              <w:rPr>
                <w:rFonts w:ascii="仿宋" w:hAnsi="仿宋" w:eastAsia="仿宋" w:cs="仿宋"/>
                <w:sz w:val="21"/>
                <w:szCs w:val="21"/>
              </w:rPr>
            </w:pPr>
            <w:r>
              <w:rPr>
                <w:rFonts w:ascii="仿宋" w:hAnsi="仿宋" w:eastAsia="仿宋" w:cs="仿宋"/>
                <w:spacing w:val="-6"/>
                <w:sz w:val="21"/>
                <w:szCs w:val="21"/>
              </w:rPr>
              <w:t>皮左黑村</w:t>
            </w:r>
          </w:p>
        </w:tc>
        <w:tc>
          <w:tcPr>
            <w:tcW w:w="1583" w:type="dxa"/>
            <w:vAlign w:val="top"/>
          </w:tcPr>
          <w:p>
            <w:pPr>
              <w:pStyle w:val="6"/>
              <w:spacing w:before="85" w:line="214" w:lineRule="auto"/>
              <w:ind w:left="226" w:right="105" w:hanging="123"/>
            </w:pPr>
            <w:r>
              <w:t>N101°15′12.19″</w:t>
            </w:r>
            <w:r>
              <w:rPr>
                <w:spacing w:val="1"/>
              </w:rPr>
              <w:t xml:space="preserve"> </w:t>
            </w:r>
            <w:r>
              <w:rPr>
                <w:spacing w:val="-1"/>
              </w:rPr>
              <w:t>E26°1′46.01″</w:t>
            </w:r>
          </w:p>
        </w:tc>
        <w:tc>
          <w:tcPr>
            <w:tcW w:w="1802" w:type="dxa"/>
            <w:vAlign w:val="top"/>
          </w:tcPr>
          <w:p>
            <w:pPr>
              <w:pStyle w:val="6"/>
              <w:spacing w:before="170" w:line="219" w:lineRule="auto"/>
              <w:ind w:left="382"/>
              <w:rPr>
                <w:rFonts w:ascii="仿宋" w:hAnsi="仿宋" w:eastAsia="仿宋" w:cs="仿宋"/>
              </w:rPr>
            </w:pPr>
            <w:r>
              <w:rPr>
                <w:spacing w:val="-16"/>
              </w:rPr>
              <w:t>6</w:t>
            </w:r>
            <w:r>
              <w:rPr>
                <w:spacing w:val="14"/>
                <w:w w:val="101"/>
              </w:rPr>
              <w:t xml:space="preserve"> </w:t>
            </w:r>
            <w:r>
              <w:rPr>
                <w:rFonts w:ascii="仿宋" w:hAnsi="仿宋" w:eastAsia="仿宋" w:cs="仿宋"/>
                <w:spacing w:val="-16"/>
              </w:rPr>
              <w:t>户，</w:t>
            </w:r>
            <w:r>
              <w:rPr>
                <w:rFonts w:ascii="仿宋" w:hAnsi="仿宋" w:eastAsia="仿宋" w:cs="仿宋"/>
                <w:spacing w:val="-34"/>
              </w:rPr>
              <w:t xml:space="preserve"> </w:t>
            </w:r>
            <w:r>
              <w:rPr>
                <w:spacing w:val="-16"/>
              </w:rPr>
              <w:t>20</w:t>
            </w:r>
            <w:r>
              <w:rPr>
                <w:spacing w:val="18"/>
                <w:w w:val="101"/>
              </w:rPr>
              <w:t xml:space="preserve"> </w:t>
            </w:r>
            <w:r>
              <w:rPr>
                <w:rFonts w:ascii="仿宋" w:hAnsi="仿宋" w:eastAsia="仿宋" w:cs="仿宋"/>
                <w:spacing w:val="-16"/>
              </w:rPr>
              <w:t>人</w:t>
            </w:r>
          </w:p>
        </w:tc>
        <w:tc>
          <w:tcPr>
            <w:tcW w:w="2374" w:type="dxa"/>
            <w:vAlign w:val="top"/>
          </w:tcPr>
          <w:p>
            <w:pPr>
              <w:pStyle w:val="6"/>
              <w:spacing w:before="34" w:line="221" w:lineRule="auto"/>
              <w:ind w:left="492" w:right="142" w:hanging="346"/>
            </w:pPr>
            <w:r>
              <w:rPr>
                <w:rFonts w:ascii="仿宋" w:hAnsi="仿宋" w:eastAsia="仿宋" w:cs="仿宋"/>
                <w:spacing w:val="-4"/>
              </w:rPr>
              <w:t>粘土料场西侧</w:t>
            </w:r>
            <w:r>
              <w:rPr>
                <w:rFonts w:ascii="仿宋" w:hAnsi="仿宋" w:eastAsia="仿宋" w:cs="仿宋"/>
                <w:spacing w:val="-36"/>
              </w:rPr>
              <w:t xml:space="preserve"> </w:t>
            </w:r>
            <w:r>
              <w:rPr>
                <w:spacing w:val="-4"/>
              </w:rPr>
              <w:t>60m</w:t>
            </w:r>
            <w:r>
              <w:rPr>
                <w:rFonts w:ascii="仿宋" w:hAnsi="仿宋" w:eastAsia="仿宋" w:cs="仿宋"/>
                <w:spacing w:val="-4"/>
              </w:rPr>
              <w:t>，距</w:t>
            </w:r>
            <w:r>
              <w:rPr>
                <w:rFonts w:ascii="仿宋" w:hAnsi="仿宋" w:eastAsia="仿宋" w:cs="仿宋"/>
              </w:rPr>
              <w:t xml:space="preserve"> </w:t>
            </w:r>
            <w:r>
              <w:rPr>
                <w:rFonts w:ascii="仿宋" w:hAnsi="仿宋" w:eastAsia="仿宋" w:cs="仿宋"/>
                <w:spacing w:val="-5"/>
              </w:rPr>
              <w:t>离枢纽区</w:t>
            </w:r>
            <w:r>
              <w:rPr>
                <w:rFonts w:ascii="仿宋" w:hAnsi="仿宋" w:eastAsia="仿宋" w:cs="仿宋"/>
                <w:spacing w:val="-27"/>
              </w:rPr>
              <w:t xml:space="preserve"> </w:t>
            </w:r>
            <w:r>
              <w:rPr>
                <w:spacing w:val="-5"/>
              </w:rPr>
              <w:t>1.3km</w:t>
            </w:r>
          </w:p>
        </w:tc>
        <w:tc>
          <w:tcPr>
            <w:tcW w:w="130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8" w:line="219" w:lineRule="auto"/>
              <w:ind w:left="346"/>
              <w:rPr>
                <w:rFonts w:ascii="仿宋" w:hAnsi="仿宋" w:eastAsia="仿宋" w:cs="仿宋"/>
                <w:sz w:val="21"/>
                <w:szCs w:val="21"/>
              </w:rPr>
            </w:pPr>
            <w:r>
              <w:rPr>
                <w:rFonts w:ascii="仿宋" w:hAnsi="仿宋" w:eastAsia="仿宋" w:cs="仿宋"/>
                <w:spacing w:val="-3"/>
                <w:sz w:val="21"/>
                <w:szCs w:val="21"/>
              </w:rPr>
              <w:t>施工期</w:t>
            </w:r>
          </w:p>
        </w:tc>
        <w:tc>
          <w:tcPr>
            <w:tcW w:w="1530"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9" w:line="239" w:lineRule="auto"/>
              <w:ind w:left="355"/>
              <w:rPr>
                <w:rFonts w:ascii="仿宋" w:hAnsi="仿宋" w:eastAsia="仿宋" w:cs="仿宋"/>
                <w:sz w:val="21"/>
                <w:szCs w:val="21"/>
              </w:rPr>
            </w:pPr>
            <w:r>
              <w:rPr>
                <w:rFonts w:ascii="仿宋" w:hAnsi="仿宋" w:eastAsia="仿宋" w:cs="仿宋"/>
                <w:spacing w:val="-3"/>
                <w:sz w:val="21"/>
                <w:szCs w:val="21"/>
              </w:rPr>
              <w:t>施工噪声</w:t>
            </w:r>
          </w:p>
          <w:p>
            <w:pPr>
              <w:spacing w:line="220" w:lineRule="auto"/>
              <w:ind w:left="355"/>
              <w:rPr>
                <w:rFonts w:ascii="仿宋" w:hAnsi="仿宋" w:eastAsia="仿宋" w:cs="仿宋"/>
                <w:sz w:val="21"/>
                <w:szCs w:val="21"/>
              </w:rPr>
            </w:pPr>
            <w:r>
              <w:rPr>
                <w:rFonts w:ascii="仿宋" w:hAnsi="仿宋" w:eastAsia="仿宋" w:cs="仿宋"/>
                <w:spacing w:val="-3"/>
                <w:sz w:val="21"/>
                <w:szCs w:val="21"/>
              </w:rPr>
              <w:t>施工扬尘</w:t>
            </w:r>
          </w:p>
        </w:tc>
        <w:tc>
          <w:tcPr>
            <w:tcW w:w="3005" w:type="dxa"/>
            <w:vMerge w:val="restart"/>
            <w:tcBorders>
              <w:bottom w:val="nil"/>
              <w:right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9" w:line="218" w:lineRule="auto"/>
              <w:ind w:left="119"/>
            </w:pPr>
            <w:r>
              <w:rPr>
                <w:rFonts w:ascii="仿宋" w:hAnsi="仿宋" w:eastAsia="仿宋" w:cs="仿宋"/>
                <w:spacing w:val="-7"/>
              </w:rPr>
              <w:t>《声环境质量标准》（</w:t>
            </w:r>
            <w:r>
              <w:rPr>
                <w:spacing w:val="-7"/>
              </w:rPr>
              <w:t>GB3096-</w:t>
            </w:r>
          </w:p>
          <w:p>
            <w:pPr>
              <w:pStyle w:val="6"/>
              <w:spacing w:before="24" w:line="218" w:lineRule="auto"/>
              <w:ind w:left="795"/>
              <w:rPr>
                <w:rFonts w:ascii="仿宋" w:hAnsi="仿宋" w:eastAsia="仿宋" w:cs="仿宋"/>
              </w:rPr>
            </w:pPr>
            <w:r>
              <w:rPr>
                <w:spacing w:val="-3"/>
              </w:rPr>
              <w:t>2008</w:t>
            </w:r>
            <w:r>
              <w:rPr>
                <w:rFonts w:ascii="仿宋" w:hAnsi="仿宋" w:eastAsia="仿宋" w:cs="仿宋"/>
                <w:spacing w:val="-3"/>
              </w:rPr>
              <w:t>）</w:t>
            </w:r>
            <w:r>
              <w:rPr>
                <w:spacing w:val="-3"/>
              </w:rPr>
              <w:t>1</w:t>
            </w:r>
            <w:r>
              <w:rPr>
                <w:spacing w:val="22"/>
              </w:rPr>
              <w:t xml:space="preserve"> </w:t>
            </w:r>
            <w:r>
              <w:rPr>
                <w:rFonts w:ascii="仿宋" w:hAnsi="仿宋" w:eastAsia="仿宋" w:cs="仿宋"/>
                <w:spacing w:val="-3"/>
              </w:rPr>
              <w:t>类标准</w:t>
            </w:r>
          </w:p>
          <w:p>
            <w:pPr>
              <w:spacing w:before="24" w:line="218" w:lineRule="auto"/>
              <w:ind w:left="458"/>
              <w:rPr>
                <w:rFonts w:ascii="仿宋" w:hAnsi="仿宋" w:eastAsia="仿宋" w:cs="仿宋"/>
                <w:sz w:val="21"/>
                <w:szCs w:val="21"/>
              </w:rPr>
            </w:pPr>
            <w:r>
              <w:rPr>
                <w:rFonts w:ascii="仿宋" w:hAnsi="仿宋" w:eastAsia="仿宋" w:cs="仿宋"/>
                <w:spacing w:val="-2"/>
                <w:sz w:val="21"/>
                <w:szCs w:val="21"/>
              </w:rPr>
              <w:t>《环境空气质量标准》</w:t>
            </w:r>
          </w:p>
          <w:p>
            <w:pPr>
              <w:pStyle w:val="6"/>
              <w:spacing w:before="24" w:line="218" w:lineRule="auto"/>
              <w:ind w:left="282"/>
              <w:rPr>
                <w:rFonts w:ascii="仿宋" w:hAnsi="仿宋" w:eastAsia="仿宋" w:cs="仿宋"/>
              </w:rPr>
            </w:pPr>
            <w:r>
              <w:rPr>
                <w:rFonts w:ascii="仿宋" w:hAnsi="仿宋" w:eastAsia="仿宋" w:cs="仿宋"/>
                <w:spacing w:val="-2"/>
              </w:rPr>
              <w:t>（</w:t>
            </w:r>
            <w:r>
              <w:rPr>
                <w:spacing w:val="-2"/>
              </w:rPr>
              <w:t>GB3095-2012</w:t>
            </w:r>
            <w:r>
              <w:rPr>
                <w:rFonts w:ascii="仿宋" w:hAnsi="仿宋" w:eastAsia="仿宋" w:cs="仿宋"/>
                <w:spacing w:val="-2"/>
              </w:rPr>
              <w:t>）二级标准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7" w:hRule="atLeast"/>
        </w:trPr>
        <w:tc>
          <w:tcPr>
            <w:tcW w:w="979" w:type="dxa"/>
            <w:vMerge w:val="continue"/>
            <w:tcBorders>
              <w:top w:val="nil"/>
              <w:left w:val="nil"/>
              <w:bottom w:val="nil"/>
            </w:tcBorders>
            <w:vAlign w:val="top"/>
          </w:tcPr>
          <w:p>
            <w:pPr>
              <w:rPr>
                <w:rFonts w:ascii="Arial"/>
                <w:sz w:val="21"/>
              </w:rPr>
            </w:pPr>
          </w:p>
        </w:tc>
        <w:tc>
          <w:tcPr>
            <w:tcW w:w="1386" w:type="dxa"/>
            <w:vAlign w:val="top"/>
          </w:tcPr>
          <w:p>
            <w:pPr>
              <w:spacing w:before="158" w:line="217" w:lineRule="auto"/>
              <w:ind w:left="289"/>
              <w:rPr>
                <w:rFonts w:ascii="仿宋" w:hAnsi="仿宋" w:eastAsia="仿宋" w:cs="仿宋"/>
                <w:sz w:val="21"/>
                <w:szCs w:val="21"/>
              </w:rPr>
            </w:pPr>
            <w:r>
              <w:rPr>
                <w:rFonts w:ascii="仿宋" w:hAnsi="仿宋" w:eastAsia="仿宋" w:cs="仿宋"/>
                <w:spacing w:val="-5"/>
                <w:sz w:val="21"/>
                <w:szCs w:val="21"/>
              </w:rPr>
              <w:t>李子地村</w:t>
            </w:r>
          </w:p>
        </w:tc>
        <w:tc>
          <w:tcPr>
            <w:tcW w:w="1583" w:type="dxa"/>
            <w:vAlign w:val="top"/>
          </w:tcPr>
          <w:p>
            <w:pPr>
              <w:pStyle w:val="6"/>
              <w:spacing w:before="71" w:line="215" w:lineRule="auto"/>
              <w:ind w:left="226" w:right="105" w:hanging="123"/>
            </w:pPr>
            <w:r>
              <w:t>N101°15′52.27″</w:t>
            </w:r>
            <w:r>
              <w:rPr>
                <w:spacing w:val="1"/>
              </w:rPr>
              <w:t xml:space="preserve"> </w:t>
            </w:r>
            <w:r>
              <w:rPr>
                <w:spacing w:val="-1"/>
              </w:rPr>
              <w:t>E26°2′21.33″</w:t>
            </w:r>
          </w:p>
        </w:tc>
        <w:tc>
          <w:tcPr>
            <w:tcW w:w="1802" w:type="dxa"/>
            <w:vAlign w:val="top"/>
          </w:tcPr>
          <w:p>
            <w:pPr>
              <w:pStyle w:val="6"/>
              <w:spacing w:before="157" w:line="219" w:lineRule="auto"/>
              <w:ind w:left="326"/>
              <w:rPr>
                <w:rFonts w:ascii="仿宋" w:hAnsi="仿宋" w:eastAsia="仿宋" w:cs="仿宋"/>
              </w:rPr>
            </w:pPr>
            <w:r>
              <w:rPr>
                <w:spacing w:val="-14"/>
              </w:rPr>
              <w:t>27</w:t>
            </w:r>
            <w:r>
              <w:rPr>
                <w:spacing w:val="17"/>
                <w:w w:val="101"/>
              </w:rPr>
              <w:t xml:space="preserve"> </w:t>
            </w:r>
            <w:r>
              <w:rPr>
                <w:rFonts w:ascii="仿宋" w:hAnsi="仿宋" w:eastAsia="仿宋" w:cs="仿宋"/>
                <w:spacing w:val="-14"/>
              </w:rPr>
              <w:t>户，</w:t>
            </w:r>
            <w:r>
              <w:rPr>
                <w:rFonts w:ascii="仿宋" w:hAnsi="仿宋" w:eastAsia="仿宋" w:cs="仿宋"/>
                <w:spacing w:val="-31"/>
              </w:rPr>
              <w:t xml:space="preserve"> </w:t>
            </w:r>
            <w:r>
              <w:rPr>
                <w:spacing w:val="-14"/>
              </w:rPr>
              <w:t>95</w:t>
            </w:r>
            <w:r>
              <w:rPr>
                <w:spacing w:val="18"/>
                <w:w w:val="101"/>
              </w:rPr>
              <w:t xml:space="preserve"> </w:t>
            </w:r>
            <w:r>
              <w:rPr>
                <w:rFonts w:ascii="仿宋" w:hAnsi="仿宋" w:eastAsia="仿宋" w:cs="仿宋"/>
                <w:spacing w:val="-14"/>
              </w:rPr>
              <w:t>人</w:t>
            </w:r>
          </w:p>
        </w:tc>
        <w:tc>
          <w:tcPr>
            <w:tcW w:w="2374" w:type="dxa"/>
            <w:vAlign w:val="top"/>
          </w:tcPr>
          <w:p>
            <w:pPr>
              <w:pStyle w:val="6"/>
              <w:spacing w:before="37" w:line="219" w:lineRule="auto"/>
              <w:ind w:left="1005" w:right="239" w:hanging="749"/>
            </w:pPr>
            <w:r>
              <w:rPr>
                <w:rFonts w:ascii="仿宋" w:hAnsi="仿宋" w:eastAsia="仿宋" w:cs="仿宋"/>
                <w:spacing w:val="-2"/>
              </w:rPr>
              <w:t>库区枢纽工程西北侧</w:t>
            </w:r>
            <w:r>
              <w:rPr>
                <w:rFonts w:ascii="仿宋" w:hAnsi="仿宋" w:eastAsia="仿宋" w:cs="仿宋"/>
              </w:rPr>
              <w:t xml:space="preserve"> </w:t>
            </w:r>
            <w:r>
              <w:rPr>
                <w:spacing w:val="-3"/>
              </w:rPr>
              <w:t>90m</w:t>
            </w:r>
          </w:p>
        </w:tc>
        <w:tc>
          <w:tcPr>
            <w:tcW w:w="1300" w:type="dxa"/>
            <w:vMerge w:val="continue"/>
            <w:tcBorders>
              <w:top w:val="nil"/>
              <w:bottom w:val="nil"/>
            </w:tcBorders>
            <w:vAlign w:val="top"/>
          </w:tcPr>
          <w:p>
            <w:pPr>
              <w:rPr>
                <w:rFonts w:ascii="Arial"/>
                <w:sz w:val="21"/>
              </w:rPr>
            </w:pPr>
          </w:p>
        </w:tc>
        <w:tc>
          <w:tcPr>
            <w:tcW w:w="1530" w:type="dxa"/>
            <w:vMerge w:val="continue"/>
            <w:tcBorders>
              <w:top w:val="nil"/>
              <w:bottom w:val="nil"/>
            </w:tcBorders>
            <w:vAlign w:val="top"/>
          </w:tcPr>
          <w:p>
            <w:pPr>
              <w:rPr>
                <w:rFonts w:ascii="Arial"/>
                <w:sz w:val="21"/>
              </w:rPr>
            </w:pPr>
          </w:p>
        </w:tc>
        <w:tc>
          <w:tcPr>
            <w:tcW w:w="3005"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6" w:hRule="atLeast"/>
        </w:trPr>
        <w:tc>
          <w:tcPr>
            <w:tcW w:w="979" w:type="dxa"/>
            <w:vMerge w:val="continue"/>
            <w:tcBorders>
              <w:top w:val="nil"/>
              <w:left w:val="nil"/>
              <w:bottom w:val="nil"/>
            </w:tcBorders>
            <w:vAlign w:val="top"/>
          </w:tcPr>
          <w:p>
            <w:pPr>
              <w:rPr>
                <w:rFonts w:ascii="Arial"/>
                <w:sz w:val="21"/>
              </w:rPr>
            </w:pPr>
          </w:p>
        </w:tc>
        <w:tc>
          <w:tcPr>
            <w:tcW w:w="1386" w:type="dxa"/>
            <w:vAlign w:val="top"/>
          </w:tcPr>
          <w:p>
            <w:pPr>
              <w:spacing w:before="144" w:line="217" w:lineRule="auto"/>
              <w:ind w:left="289"/>
              <w:rPr>
                <w:rFonts w:ascii="仿宋" w:hAnsi="仿宋" w:eastAsia="仿宋" w:cs="仿宋"/>
                <w:sz w:val="21"/>
                <w:szCs w:val="21"/>
              </w:rPr>
            </w:pPr>
            <w:r>
              <w:rPr>
                <w:rFonts w:ascii="仿宋" w:hAnsi="仿宋" w:eastAsia="仿宋" w:cs="仿宋"/>
                <w:spacing w:val="-5"/>
                <w:sz w:val="21"/>
                <w:szCs w:val="21"/>
              </w:rPr>
              <w:t>罗子左村</w:t>
            </w:r>
          </w:p>
        </w:tc>
        <w:tc>
          <w:tcPr>
            <w:tcW w:w="1583" w:type="dxa"/>
            <w:vAlign w:val="top"/>
          </w:tcPr>
          <w:p>
            <w:pPr>
              <w:pStyle w:val="6"/>
              <w:spacing w:before="59" w:line="207" w:lineRule="auto"/>
              <w:ind w:left="226" w:right="105" w:hanging="123"/>
            </w:pPr>
            <w:r>
              <w:t>N101°14′59.36″</w:t>
            </w:r>
            <w:r>
              <w:rPr>
                <w:spacing w:val="1"/>
              </w:rPr>
              <w:t xml:space="preserve"> </w:t>
            </w:r>
            <w:r>
              <w:rPr>
                <w:spacing w:val="-1"/>
              </w:rPr>
              <w:t>E26°3′30.25″</w:t>
            </w:r>
          </w:p>
        </w:tc>
        <w:tc>
          <w:tcPr>
            <w:tcW w:w="1802" w:type="dxa"/>
            <w:vAlign w:val="top"/>
          </w:tcPr>
          <w:p>
            <w:pPr>
              <w:pStyle w:val="6"/>
              <w:spacing w:before="144" w:line="219" w:lineRule="auto"/>
              <w:ind w:left="346"/>
              <w:rPr>
                <w:rFonts w:ascii="仿宋" w:hAnsi="仿宋" w:eastAsia="仿宋" w:cs="仿宋"/>
              </w:rPr>
            </w:pPr>
            <w:r>
              <w:rPr>
                <w:spacing w:val="-16"/>
              </w:rPr>
              <w:t>13</w:t>
            </w:r>
            <w:r>
              <w:rPr>
                <w:spacing w:val="16"/>
                <w:w w:val="101"/>
              </w:rPr>
              <w:t xml:space="preserve"> </w:t>
            </w:r>
            <w:r>
              <w:rPr>
                <w:rFonts w:ascii="仿宋" w:hAnsi="仿宋" w:eastAsia="仿宋" w:cs="仿宋"/>
                <w:spacing w:val="-16"/>
              </w:rPr>
              <w:t>户，</w:t>
            </w:r>
            <w:r>
              <w:rPr>
                <w:rFonts w:ascii="仿宋" w:hAnsi="仿宋" w:eastAsia="仿宋" w:cs="仿宋"/>
                <w:spacing w:val="-36"/>
              </w:rPr>
              <w:t xml:space="preserve"> </w:t>
            </w:r>
            <w:r>
              <w:rPr>
                <w:spacing w:val="-16"/>
              </w:rPr>
              <w:t>46</w:t>
            </w:r>
            <w:r>
              <w:rPr>
                <w:spacing w:val="18"/>
                <w:w w:val="101"/>
              </w:rPr>
              <w:t xml:space="preserve"> </w:t>
            </w:r>
            <w:r>
              <w:rPr>
                <w:rFonts w:ascii="仿宋" w:hAnsi="仿宋" w:eastAsia="仿宋" w:cs="仿宋"/>
                <w:spacing w:val="-16"/>
              </w:rPr>
              <w:t>人</w:t>
            </w:r>
          </w:p>
        </w:tc>
        <w:tc>
          <w:tcPr>
            <w:tcW w:w="2374" w:type="dxa"/>
            <w:vAlign w:val="top"/>
          </w:tcPr>
          <w:p>
            <w:pPr>
              <w:pStyle w:val="6"/>
              <w:spacing w:before="144" w:line="218" w:lineRule="auto"/>
              <w:ind w:left="208"/>
            </w:pPr>
            <w:r>
              <w:rPr>
                <w:spacing w:val="-3"/>
              </w:rPr>
              <w:t>17#</w:t>
            </w:r>
            <w:r>
              <w:rPr>
                <w:rFonts w:ascii="仿宋" w:hAnsi="仿宋" w:eastAsia="仿宋" w:cs="仿宋"/>
                <w:spacing w:val="-3"/>
              </w:rPr>
              <w:t>弃渣场西北侧</w:t>
            </w:r>
            <w:r>
              <w:rPr>
                <w:rFonts w:ascii="仿宋" w:hAnsi="仿宋" w:eastAsia="仿宋" w:cs="仿宋"/>
                <w:spacing w:val="-41"/>
              </w:rPr>
              <w:t xml:space="preserve"> </w:t>
            </w:r>
            <w:r>
              <w:rPr>
                <w:spacing w:val="-3"/>
              </w:rPr>
              <w:t>96m</w:t>
            </w:r>
          </w:p>
        </w:tc>
        <w:tc>
          <w:tcPr>
            <w:tcW w:w="1300" w:type="dxa"/>
            <w:vMerge w:val="continue"/>
            <w:tcBorders>
              <w:top w:val="nil"/>
              <w:bottom w:val="nil"/>
            </w:tcBorders>
            <w:vAlign w:val="top"/>
          </w:tcPr>
          <w:p>
            <w:pPr>
              <w:rPr>
                <w:rFonts w:ascii="Arial"/>
                <w:sz w:val="21"/>
              </w:rPr>
            </w:pPr>
          </w:p>
        </w:tc>
        <w:tc>
          <w:tcPr>
            <w:tcW w:w="1530" w:type="dxa"/>
            <w:vMerge w:val="continue"/>
            <w:tcBorders>
              <w:top w:val="nil"/>
              <w:bottom w:val="nil"/>
            </w:tcBorders>
            <w:vAlign w:val="top"/>
          </w:tcPr>
          <w:p>
            <w:pPr>
              <w:rPr>
                <w:rFonts w:ascii="Arial"/>
                <w:sz w:val="21"/>
              </w:rPr>
            </w:pPr>
          </w:p>
        </w:tc>
        <w:tc>
          <w:tcPr>
            <w:tcW w:w="3005"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6" w:hRule="atLeast"/>
        </w:trPr>
        <w:tc>
          <w:tcPr>
            <w:tcW w:w="979" w:type="dxa"/>
            <w:vMerge w:val="continue"/>
            <w:tcBorders>
              <w:top w:val="nil"/>
              <w:left w:val="nil"/>
              <w:bottom w:val="nil"/>
            </w:tcBorders>
            <w:vAlign w:val="top"/>
          </w:tcPr>
          <w:p>
            <w:pPr>
              <w:rPr>
                <w:rFonts w:ascii="Arial"/>
                <w:sz w:val="21"/>
              </w:rPr>
            </w:pPr>
          </w:p>
        </w:tc>
        <w:tc>
          <w:tcPr>
            <w:tcW w:w="1386" w:type="dxa"/>
            <w:vAlign w:val="top"/>
          </w:tcPr>
          <w:p>
            <w:pPr>
              <w:spacing w:before="147" w:line="217" w:lineRule="auto"/>
              <w:ind w:left="203"/>
              <w:rPr>
                <w:rFonts w:ascii="仿宋" w:hAnsi="仿宋" w:eastAsia="仿宋" w:cs="仿宋"/>
                <w:sz w:val="21"/>
                <w:szCs w:val="21"/>
              </w:rPr>
            </w:pPr>
            <w:r>
              <w:rPr>
                <w:rFonts w:ascii="仿宋" w:hAnsi="仿宋" w:eastAsia="仿宋" w:cs="仿宋"/>
                <w:spacing w:val="-8"/>
                <w:sz w:val="21"/>
                <w:szCs w:val="21"/>
              </w:rPr>
              <w:t>比高的么村</w:t>
            </w:r>
          </w:p>
        </w:tc>
        <w:tc>
          <w:tcPr>
            <w:tcW w:w="1583" w:type="dxa"/>
            <w:vAlign w:val="top"/>
          </w:tcPr>
          <w:p>
            <w:pPr>
              <w:pStyle w:val="6"/>
              <w:spacing w:before="61" w:line="206" w:lineRule="auto"/>
              <w:ind w:left="226" w:right="105" w:hanging="123"/>
            </w:pPr>
            <w:r>
              <w:t>N101°15′42.26″</w:t>
            </w:r>
            <w:r>
              <w:rPr>
                <w:spacing w:val="1"/>
              </w:rPr>
              <w:t xml:space="preserve"> </w:t>
            </w:r>
            <w:r>
              <w:rPr>
                <w:spacing w:val="-1"/>
              </w:rPr>
              <w:t>E26°3′25.96″</w:t>
            </w:r>
          </w:p>
        </w:tc>
        <w:tc>
          <w:tcPr>
            <w:tcW w:w="1802" w:type="dxa"/>
            <w:vAlign w:val="top"/>
          </w:tcPr>
          <w:p>
            <w:pPr>
              <w:pStyle w:val="6"/>
              <w:spacing w:before="146" w:line="219" w:lineRule="auto"/>
              <w:ind w:left="382"/>
              <w:rPr>
                <w:rFonts w:ascii="仿宋" w:hAnsi="仿宋" w:eastAsia="仿宋" w:cs="仿宋"/>
              </w:rPr>
            </w:pPr>
            <w:r>
              <w:rPr>
                <w:spacing w:val="-16"/>
              </w:rPr>
              <w:t>6</w:t>
            </w:r>
            <w:r>
              <w:rPr>
                <w:spacing w:val="14"/>
                <w:w w:val="101"/>
              </w:rPr>
              <w:t xml:space="preserve"> </w:t>
            </w:r>
            <w:r>
              <w:rPr>
                <w:rFonts w:ascii="仿宋" w:hAnsi="仿宋" w:eastAsia="仿宋" w:cs="仿宋"/>
                <w:spacing w:val="-16"/>
              </w:rPr>
              <w:t>户，</w:t>
            </w:r>
            <w:r>
              <w:rPr>
                <w:rFonts w:ascii="仿宋" w:hAnsi="仿宋" w:eastAsia="仿宋" w:cs="仿宋"/>
                <w:spacing w:val="-34"/>
              </w:rPr>
              <w:t xml:space="preserve"> </w:t>
            </w:r>
            <w:r>
              <w:rPr>
                <w:spacing w:val="-16"/>
              </w:rPr>
              <w:t>21</w:t>
            </w:r>
            <w:r>
              <w:rPr>
                <w:spacing w:val="18"/>
                <w:w w:val="101"/>
              </w:rPr>
              <w:t xml:space="preserve"> </w:t>
            </w:r>
            <w:r>
              <w:rPr>
                <w:rFonts w:ascii="仿宋" w:hAnsi="仿宋" w:eastAsia="仿宋" w:cs="仿宋"/>
                <w:spacing w:val="-16"/>
              </w:rPr>
              <w:t>人</w:t>
            </w:r>
          </w:p>
        </w:tc>
        <w:tc>
          <w:tcPr>
            <w:tcW w:w="2374" w:type="dxa"/>
            <w:vAlign w:val="top"/>
          </w:tcPr>
          <w:p>
            <w:pPr>
              <w:pStyle w:val="6"/>
              <w:spacing w:before="146" w:line="233" w:lineRule="auto"/>
              <w:ind w:left="241"/>
            </w:pPr>
            <w:r>
              <w:rPr>
                <w:spacing w:val="-2"/>
              </w:rPr>
              <w:t>2#</w:t>
            </w:r>
            <w:r>
              <w:rPr>
                <w:rFonts w:ascii="仿宋" w:hAnsi="仿宋" w:eastAsia="仿宋" w:cs="仿宋"/>
                <w:spacing w:val="-2"/>
              </w:rPr>
              <w:t>弃渣场西南侧</w:t>
            </w:r>
            <w:r>
              <w:rPr>
                <w:rFonts w:ascii="仿宋" w:hAnsi="仿宋" w:eastAsia="仿宋" w:cs="仿宋"/>
                <w:spacing w:val="-34"/>
              </w:rPr>
              <w:t xml:space="preserve"> </w:t>
            </w:r>
            <w:r>
              <w:rPr>
                <w:spacing w:val="-2"/>
              </w:rPr>
              <w:t>68m</w:t>
            </w:r>
          </w:p>
        </w:tc>
        <w:tc>
          <w:tcPr>
            <w:tcW w:w="1300" w:type="dxa"/>
            <w:vMerge w:val="continue"/>
            <w:tcBorders>
              <w:top w:val="nil"/>
              <w:bottom w:val="nil"/>
            </w:tcBorders>
            <w:vAlign w:val="top"/>
          </w:tcPr>
          <w:p>
            <w:pPr>
              <w:rPr>
                <w:rFonts w:ascii="Arial"/>
                <w:sz w:val="21"/>
              </w:rPr>
            </w:pPr>
          </w:p>
        </w:tc>
        <w:tc>
          <w:tcPr>
            <w:tcW w:w="1530" w:type="dxa"/>
            <w:vMerge w:val="continue"/>
            <w:tcBorders>
              <w:top w:val="nil"/>
              <w:bottom w:val="nil"/>
            </w:tcBorders>
            <w:vAlign w:val="top"/>
          </w:tcPr>
          <w:p>
            <w:pPr>
              <w:rPr>
                <w:rFonts w:ascii="Arial"/>
                <w:sz w:val="21"/>
              </w:rPr>
            </w:pPr>
          </w:p>
        </w:tc>
        <w:tc>
          <w:tcPr>
            <w:tcW w:w="3005"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6" w:hRule="atLeast"/>
        </w:trPr>
        <w:tc>
          <w:tcPr>
            <w:tcW w:w="979" w:type="dxa"/>
            <w:vMerge w:val="continue"/>
            <w:tcBorders>
              <w:top w:val="nil"/>
              <w:left w:val="nil"/>
              <w:bottom w:val="nil"/>
            </w:tcBorders>
            <w:vAlign w:val="top"/>
          </w:tcPr>
          <w:p>
            <w:pPr>
              <w:rPr>
                <w:rFonts w:ascii="Arial"/>
                <w:sz w:val="21"/>
              </w:rPr>
            </w:pPr>
          </w:p>
        </w:tc>
        <w:tc>
          <w:tcPr>
            <w:tcW w:w="1386" w:type="dxa"/>
            <w:vAlign w:val="top"/>
          </w:tcPr>
          <w:p>
            <w:pPr>
              <w:spacing w:before="147" w:line="217" w:lineRule="auto"/>
              <w:ind w:left="285"/>
              <w:rPr>
                <w:rFonts w:ascii="仿宋" w:hAnsi="仿宋" w:eastAsia="仿宋" w:cs="仿宋"/>
                <w:sz w:val="21"/>
                <w:szCs w:val="21"/>
              </w:rPr>
            </w:pPr>
            <w:r>
              <w:rPr>
                <w:rFonts w:ascii="仿宋" w:hAnsi="仿宋" w:eastAsia="仿宋" w:cs="仿宋"/>
                <w:spacing w:val="-4"/>
                <w:sz w:val="21"/>
                <w:szCs w:val="21"/>
              </w:rPr>
              <w:t>博血乍村</w:t>
            </w:r>
          </w:p>
        </w:tc>
        <w:tc>
          <w:tcPr>
            <w:tcW w:w="1583" w:type="dxa"/>
            <w:vAlign w:val="top"/>
          </w:tcPr>
          <w:p>
            <w:pPr>
              <w:pStyle w:val="6"/>
              <w:spacing w:before="63" w:line="205" w:lineRule="auto"/>
              <w:ind w:left="226" w:right="157" w:hanging="70"/>
            </w:pPr>
            <w:r>
              <w:t>N101°17′9.39″</w:t>
            </w:r>
            <w:r>
              <w:rPr>
                <w:spacing w:val="1"/>
              </w:rPr>
              <w:t xml:space="preserve"> </w:t>
            </w:r>
            <w:r>
              <w:rPr>
                <w:spacing w:val="-1"/>
              </w:rPr>
              <w:t>E26°3′27.62″</w:t>
            </w:r>
          </w:p>
        </w:tc>
        <w:tc>
          <w:tcPr>
            <w:tcW w:w="1802" w:type="dxa"/>
            <w:vAlign w:val="top"/>
          </w:tcPr>
          <w:p>
            <w:pPr>
              <w:pStyle w:val="6"/>
              <w:spacing w:before="147" w:line="219" w:lineRule="auto"/>
              <w:ind w:left="346"/>
              <w:rPr>
                <w:rFonts w:ascii="仿宋" w:hAnsi="仿宋" w:eastAsia="仿宋" w:cs="仿宋"/>
              </w:rPr>
            </w:pPr>
            <w:r>
              <w:rPr>
                <w:spacing w:val="-17"/>
              </w:rPr>
              <w:t>19</w:t>
            </w:r>
            <w:r>
              <w:rPr>
                <w:spacing w:val="17"/>
                <w:w w:val="101"/>
              </w:rPr>
              <w:t xml:space="preserve"> </w:t>
            </w:r>
            <w:r>
              <w:rPr>
                <w:rFonts w:ascii="仿宋" w:hAnsi="仿宋" w:eastAsia="仿宋" w:cs="仿宋"/>
                <w:spacing w:val="-17"/>
              </w:rPr>
              <w:t>户，</w:t>
            </w:r>
            <w:r>
              <w:rPr>
                <w:rFonts w:ascii="仿宋" w:hAnsi="仿宋" w:eastAsia="仿宋" w:cs="仿宋"/>
                <w:spacing w:val="-30"/>
              </w:rPr>
              <w:t xml:space="preserve"> </w:t>
            </w:r>
            <w:r>
              <w:rPr>
                <w:spacing w:val="-17"/>
              </w:rPr>
              <w:t>68</w:t>
            </w:r>
            <w:r>
              <w:rPr>
                <w:spacing w:val="18"/>
                <w:w w:val="101"/>
              </w:rPr>
              <w:t xml:space="preserve"> </w:t>
            </w:r>
            <w:r>
              <w:rPr>
                <w:rFonts w:ascii="仿宋" w:hAnsi="仿宋" w:eastAsia="仿宋" w:cs="仿宋"/>
                <w:spacing w:val="-17"/>
              </w:rPr>
              <w:t>人</w:t>
            </w:r>
          </w:p>
        </w:tc>
        <w:tc>
          <w:tcPr>
            <w:tcW w:w="2374" w:type="dxa"/>
            <w:vAlign w:val="top"/>
          </w:tcPr>
          <w:p>
            <w:pPr>
              <w:pStyle w:val="6"/>
              <w:spacing w:before="147" w:line="232" w:lineRule="auto"/>
              <w:ind w:left="314"/>
            </w:pPr>
            <w:r>
              <w:rPr>
                <w:spacing w:val="-5"/>
              </w:rPr>
              <w:t>1#</w:t>
            </w:r>
            <w:r>
              <w:rPr>
                <w:rFonts w:ascii="仿宋" w:hAnsi="仿宋" w:eastAsia="仿宋" w:cs="仿宋"/>
                <w:spacing w:val="-5"/>
              </w:rPr>
              <w:t>弃渣场东北</w:t>
            </w:r>
            <w:r>
              <w:rPr>
                <w:rFonts w:ascii="仿宋" w:hAnsi="仿宋" w:eastAsia="仿宋" w:cs="仿宋"/>
                <w:spacing w:val="-22"/>
              </w:rPr>
              <w:t xml:space="preserve"> </w:t>
            </w:r>
            <w:r>
              <w:rPr>
                <w:spacing w:val="-5"/>
              </w:rPr>
              <w:t>180m</w:t>
            </w:r>
          </w:p>
        </w:tc>
        <w:tc>
          <w:tcPr>
            <w:tcW w:w="1300" w:type="dxa"/>
            <w:vMerge w:val="continue"/>
            <w:tcBorders>
              <w:top w:val="nil"/>
              <w:bottom w:val="nil"/>
            </w:tcBorders>
            <w:vAlign w:val="top"/>
          </w:tcPr>
          <w:p>
            <w:pPr>
              <w:rPr>
                <w:rFonts w:ascii="Arial"/>
                <w:sz w:val="21"/>
              </w:rPr>
            </w:pPr>
          </w:p>
        </w:tc>
        <w:tc>
          <w:tcPr>
            <w:tcW w:w="1530" w:type="dxa"/>
            <w:vMerge w:val="continue"/>
            <w:tcBorders>
              <w:top w:val="nil"/>
              <w:bottom w:val="nil"/>
            </w:tcBorders>
            <w:vAlign w:val="top"/>
          </w:tcPr>
          <w:p>
            <w:pPr>
              <w:rPr>
                <w:rFonts w:ascii="Arial"/>
                <w:sz w:val="21"/>
              </w:rPr>
            </w:pPr>
          </w:p>
        </w:tc>
        <w:tc>
          <w:tcPr>
            <w:tcW w:w="3005"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6" w:hRule="atLeast"/>
        </w:trPr>
        <w:tc>
          <w:tcPr>
            <w:tcW w:w="979" w:type="dxa"/>
            <w:vMerge w:val="continue"/>
            <w:tcBorders>
              <w:top w:val="nil"/>
              <w:left w:val="nil"/>
              <w:bottom w:val="nil"/>
            </w:tcBorders>
            <w:vAlign w:val="top"/>
          </w:tcPr>
          <w:p>
            <w:pPr>
              <w:rPr>
                <w:rFonts w:ascii="Arial"/>
                <w:sz w:val="21"/>
              </w:rPr>
            </w:pPr>
          </w:p>
        </w:tc>
        <w:tc>
          <w:tcPr>
            <w:tcW w:w="1386" w:type="dxa"/>
            <w:vAlign w:val="top"/>
          </w:tcPr>
          <w:p>
            <w:pPr>
              <w:spacing w:before="150" w:line="217" w:lineRule="auto"/>
              <w:ind w:left="287"/>
              <w:rPr>
                <w:rFonts w:ascii="仿宋" w:hAnsi="仿宋" w:eastAsia="仿宋" w:cs="仿宋"/>
                <w:sz w:val="21"/>
                <w:szCs w:val="21"/>
              </w:rPr>
            </w:pPr>
            <w:r>
              <w:rPr>
                <w:rFonts w:ascii="仿宋" w:hAnsi="仿宋" w:eastAsia="仿宋" w:cs="仿宋"/>
                <w:spacing w:val="-5"/>
                <w:sz w:val="21"/>
                <w:szCs w:val="21"/>
              </w:rPr>
              <w:t>岔处地村</w:t>
            </w:r>
          </w:p>
        </w:tc>
        <w:tc>
          <w:tcPr>
            <w:tcW w:w="1583" w:type="dxa"/>
            <w:vAlign w:val="top"/>
          </w:tcPr>
          <w:p>
            <w:pPr>
              <w:pStyle w:val="6"/>
              <w:spacing w:before="65" w:line="204" w:lineRule="auto"/>
              <w:ind w:left="226" w:right="105" w:hanging="123"/>
            </w:pPr>
            <w:r>
              <w:t>N101°18′17.20″</w:t>
            </w:r>
            <w:r>
              <w:rPr>
                <w:spacing w:val="1"/>
              </w:rPr>
              <w:t xml:space="preserve"> </w:t>
            </w:r>
            <w:r>
              <w:rPr>
                <w:spacing w:val="-1"/>
              </w:rPr>
              <w:t>E26°4′58.94″</w:t>
            </w:r>
          </w:p>
        </w:tc>
        <w:tc>
          <w:tcPr>
            <w:tcW w:w="1802" w:type="dxa"/>
            <w:vAlign w:val="top"/>
          </w:tcPr>
          <w:p>
            <w:pPr>
              <w:pStyle w:val="6"/>
              <w:spacing w:before="149" w:line="219" w:lineRule="auto"/>
              <w:ind w:left="277"/>
              <w:rPr>
                <w:rFonts w:ascii="仿宋" w:hAnsi="仿宋" w:eastAsia="仿宋" w:cs="仿宋"/>
              </w:rPr>
            </w:pPr>
            <w:r>
              <w:rPr>
                <w:spacing w:val="-12"/>
              </w:rPr>
              <w:t>35</w:t>
            </w:r>
            <w:r>
              <w:rPr>
                <w:spacing w:val="16"/>
              </w:rPr>
              <w:t xml:space="preserve"> </w:t>
            </w:r>
            <w:r>
              <w:rPr>
                <w:rFonts w:ascii="仿宋" w:hAnsi="仿宋" w:eastAsia="仿宋" w:cs="仿宋"/>
                <w:spacing w:val="-12"/>
              </w:rPr>
              <w:t>户，</w:t>
            </w:r>
            <w:r>
              <w:rPr>
                <w:rFonts w:ascii="仿宋" w:hAnsi="仿宋" w:eastAsia="仿宋" w:cs="仿宋"/>
                <w:spacing w:val="-35"/>
              </w:rPr>
              <w:t xml:space="preserve"> </w:t>
            </w:r>
            <w:r>
              <w:rPr>
                <w:spacing w:val="-12"/>
              </w:rPr>
              <w:t>243</w:t>
            </w:r>
            <w:r>
              <w:rPr>
                <w:spacing w:val="17"/>
                <w:w w:val="101"/>
              </w:rPr>
              <w:t xml:space="preserve"> </w:t>
            </w:r>
            <w:r>
              <w:rPr>
                <w:rFonts w:ascii="仿宋" w:hAnsi="仿宋" w:eastAsia="仿宋" w:cs="仿宋"/>
                <w:spacing w:val="-12"/>
              </w:rPr>
              <w:t>人</w:t>
            </w:r>
          </w:p>
        </w:tc>
        <w:tc>
          <w:tcPr>
            <w:tcW w:w="2374" w:type="dxa"/>
            <w:vAlign w:val="top"/>
          </w:tcPr>
          <w:p>
            <w:pPr>
              <w:pStyle w:val="6"/>
              <w:spacing w:before="150" w:line="216" w:lineRule="auto"/>
              <w:ind w:left="144"/>
            </w:pPr>
            <w:r>
              <w:rPr>
                <w:rFonts w:ascii="仿宋" w:hAnsi="仿宋" w:eastAsia="仿宋" w:cs="仿宋"/>
                <w:spacing w:val="-3"/>
              </w:rPr>
              <w:t>砂石料加工厂西侧</w:t>
            </w:r>
            <w:r>
              <w:rPr>
                <w:rFonts w:ascii="仿宋" w:hAnsi="仿宋" w:eastAsia="仿宋" w:cs="仿宋"/>
                <w:spacing w:val="-32"/>
              </w:rPr>
              <w:t xml:space="preserve"> </w:t>
            </w:r>
            <w:r>
              <w:rPr>
                <w:spacing w:val="-3"/>
              </w:rPr>
              <w:t>80m</w:t>
            </w:r>
          </w:p>
        </w:tc>
        <w:tc>
          <w:tcPr>
            <w:tcW w:w="1300" w:type="dxa"/>
            <w:vMerge w:val="continue"/>
            <w:tcBorders>
              <w:top w:val="nil"/>
              <w:bottom w:val="nil"/>
            </w:tcBorders>
            <w:vAlign w:val="top"/>
          </w:tcPr>
          <w:p>
            <w:pPr>
              <w:rPr>
                <w:rFonts w:ascii="Arial"/>
                <w:sz w:val="21"/>
              </w:rPr>
            </w:pPr>
          </w:p>
        </w:tc>
        <w:tc>
          <w:tcPr>
            <w:tcW w:w="1530" w:type="dxa"/>
            <w:vMerge w:val="continue"/>
            <w:tcBorders>
              <w:top w:val="nil"/>
              <w:bottom w:val="nil"/>
            </w:tcBorders>
            <w:vAlign w:val="top"/>
          </w:tcPr>
          <w:p>
            <w:pPr>
              <w:rPr>
                <w:rFonts w:ascii="Arial"/>
                <w:sz w:val="21"/>
              </w:rPr>
            </w:pPr>
          </w:p>
        </w:tc>
        <w:tc>
          <w:tcPr>
            <w:tcW w:w="3005"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6" w:hRule="atLeast"/>
        </w:trPr>
        <w:tc>
          <w:tcPr>
            <w:tcW w:w="979" w:type="dxa"/>
            <w:vMerge w:val="continue"/>
            <w:tcBorders>
              <w:top w:val="nil"/>
              <w:left w:val="nil"/>
              <w:bottom w:val="nil"/>
            </w:tcBorders>
            <w:vAlign w:val="top"/>
          </w:tcPr>
          <w:p>
            <w:pPr>
              <w:rPr>
                <w:rFonts w:ascii="Arial"/>
                <w:sz w:val="21"/>
              </w:rPr>
            </w:pPr>
          </w:p>
        </w:tc>
        <w:tc>
          <w:tcPr>
            <w:tcW w:w="1386" w:type="dxa"/>
            <w:vAlign w:val="top"/>
          </w:tcPr>
          <w:p>
            <w:pPr>
              <w:spacing w:before="152" w:line="217" w:lineRule="auto"/>
              <w:ind w:left="283"/>
              <w:rPr>
                <w:rFonts w:ascii="仿宋" w:hAnsi="仿宋" w:eastAsia="仿宋" w:cs="仿宋"/>
                <w:sz w:val="21"/>
                <w:szCs w:val="21"/>
              </w:rPr>
            </w:pPr>
            <w:r>
              <w:rPr>
                <w:rFonts w:ascii="仿宋" w:hAnsi="仿宋" w:eastAsia="仿宋" w:cs="仿宋"/>
                <w:spacing w:val="-4"/>
                <w:sz w:val="21"/>
                <w:szCs w:val="21"/>
              </w:rPr>
              <w:t>耳子地村</w:t>
            </w:r>
          </w:p>
        </w:tc>
        <w:tc>
          <w:tcPr>
            <w:tcW w:w="1583" w:type="dxa"/>
            <w:vAlign w:val="top"/>
          </w:tcPr>
          <w:p>
            <w:pPr>
              <w:pStyle w:val="6"/>
              <w:spacing w:before="67" w:line="203" w:lineRule="auto"/>
              <w:ind w:left="279" w:right="105" w:hanging="176"/>
            </w:pPr>
            <w:r>
              <w:t>N101°17′19.68″</w:t>
            </w:r>
            <w:r>
              <w:rPr>
                <w:spacing w:val="1"/>
              </w:rPr>
              <w:t xml:space="preserve"> </w:t>
            </w:r>
            <w:r>
              <w:rPr>
                <w:spacing w:val="-1"/>
              </w:rPr>
              <w:t>E26°1′7.99″</w:t>
            </w:r>
          </w:p>
        </w:tc>
        <w:tc>
          <w:tcPr>
            <w:tcW w:w="1802" w:type="dxa"/>
            <w:vAlign w:val="top"/>
          </w:tcPr>
          <w:p>
            <w:pPr>
              <w:pStyle w:val="6"/>
              <w:spacing w:before="152" w:line="219" w:lineRule="auto"/>
              <w:ind w:left="346"/>
              <w:rPr>
                <w:rFonts w:ascii="仿宋" w:hAnsi="仿宋" w:eastAsia="仿宋" w:cs="仿宋"/>
              </w:rPr>
            </w:pPr>
            <w:r>
              <w:rPr>
                <w:spacing w:val="-17"/>
              </w:rPr>
              <w:t>10</w:t>
            </w:r>
            <w:r>
              <w:rPr>
                <w:spacing w:val="18"/>
              </w:rPr>
              <w:t xml:space="preserve"> </w:t>
            </w:r>
            <w:r>
              <w:rPr>
                <w:rFonts w:ascii="仿宋" w:hAnsi="仿宋" w:eastAsia="仿宋" w:cs="仿宋"/>
                <w:spacing w:val="-17"/>
              </w:rPr>
              <w:t>户，</w:t>
            </w:r>
            <w:r>
              <w:rPr>
                <w:rFonts w:ascii="仿宋" w:hAnsi="仿宋" w:eastAsia="仿宋" w:cs="仿宋"/>
                <w:spacing w:val="-30"/>
              </w:rPr>
              <w:t xml:space="preserve"> </w:t>
            </w:r>
            <w:r>
              <w:rPr>
                <w:spacing w:val="-17"/>
              </w:rPr>
              <w:t>36</w:t>
            </w:r>
            <w:r>
              <w:rPr>
                <w:spacing w:val="18"/>
              </w:rPr>
              <w:t xml:space="preserve"> </w:t>
            </w:r>
            <w:r>
              <w:rPr>
                <w:rFonts w:ascii="仿宋" w:hAnsi="仿宋" w:eastAsia="仿宋" w:cs="仿宋"/>
                <w:spacing w:val="-17"/>
              </w:rPr>
              <w:t>人</w:t>
            </w:r>
          </w:p>
        </w:tc>
        <w:tc>
          <w:tcPr>
            <w:tcW w:w="2374" w:type="dxa"/>
            <w:vAlign w:val="top"/>
          </w:tcPr>
          <w:p>
            <w:pPr>
              <w:pStyle w:val="6"/>
              <w:spacing w:before="152" w:line="233" w:lineRule="auto"/>
              <w:ind w:left="293"/>
            </w:pPr>
            <w:r>
              <w:rPr>
                <w:spacing w:val="-3"/>
              </w:rPr>
              <w:t>4#</w:t>
            </w:r>
            <w:r>
              <w:rPr>
                <w:rFonts w:ascii="仿宋" w:hAnsi="仿宋" w:eastAsia="仿宋" w:cs="仿宋"/>
                <w:spacing w:val="-3"/>
              </w:rPr>
              <w:t>弃渣场东侧</w:t>
            </w:r>
            <w:r>
              <w:rPr>
                <w:rFonts w:ascii="仿宋" w:hAnsi="仿宋" w:eastAsia="仿宋" w:cs="仿宋"/>
                <w:spacing w:val="-23"/>
              </w:rPr>
              <w:t xml:space="preserve"> </w:t>
            </w:r>
            <w:r>
              <w:rPr>
                <w:spacing w:val="-3"/>
              </w:rPr>
              <w:t>175m</w:t>
            </w:r>
          </w:p>
        </w:tc>
        <w:tc>
          <w:tcPr>
            <w:tcW w:w="1300" w:type="dxa"/>
            <w:vMerge w:val="continue"/>
            <w:tcBorders>
              <w:top w:val="nil"/>
              <w:bottom w:val="nil"/>
            </w:tcBorders>
            <w:vAlign w:val="top"/>
          </w:tcPr>
          <w:p>
            <w:pPr>
              <w:rPr>
                <w:rFonts w:ascii="Arial"/>
                <w:sz w:val="21"/>
              </w:rPr>
            </w:pPr>
          </w:p>
        </w:tc>
        <w:tc>
          <w:tcPr>
            <w:tcW w:w="1530" w:type="dxa"/>
            <w:vMerge w:val="continue"/>
            <w:tcBorders>
              <w:top w:val="nil"/>
              <w:bottom w:val="nil"/>
            </w:tcBorders>
            <w:vAlign w:val="top"/>
          </w:tcPr>
          <w:p>
            <w:pPr>
              <w:rPr>
                <w:rFonts w:ascii="Arial"/>
                <w:sz w:val="21"/>
              </w:rPr>
            </w:pPr>
          </w:p>
        </w:tc>
        <w:tc>
          <w:tcPr>
            <w:tcW w:w="3005"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6" w:hRule="atLeast"/>
        </w:trPr>
        <w:tc>
          <w:tcPr>
            <w:tcW w:w="979" w:type="dxa"/>
            <w:vMerge w:val="continue"/>
            <w:tcBorders>
              <w:top w:val="nil"/>
              <w:left w:val="nil"/>
              <w:bottom w:val="nil"/>
            </w:tcBorders>
            <w:vAlign w:val="top"/>
          </w:tcPr>
          <w:p>
            <w:pPr>
              <w:rPr>
                <w:rFonts w:ascii="Arial"/>
                <w:sz w:val="21"/>
              </w:rPr>
            </w:pPr>
          </w:p>
        </w:tc>
        <w:tc>
          <w:tcPr>
            <w:tcW w:w="1386" w:type="dxa"/>
            <w:vAlign w:val="top"/>
          </w:tcPr>
          <w:p>
            <w:pPr>
              <w:spacing w:before="154" w:line="217" w:lineRule="auto"/>
              <w:ind w:left="181"/>
              <w:rPr>
                <w:rFonts w:ascii="仿宋" w:hAnsi="仿宋" w:eastAsia="仿宋" w:cs="仿宋"/>
                <w:sz w:val="21"/>
                <w:szCs w:val="21"/>
              </w:rPr>
            </w:pPr>
            <w:r>
              <w:rPr>
                <w:rFonts w:ascii="仿宋" w:hAnsi="仿宋" w:eastAsia="仿宋" w:cs="仿宋"/>
                <w:spacing w:val="-4"/>
                <w:sz w:val="21"/>
                <w:szCs w:val="21"/>
              </w:rPr>
              <w:t>六姑乍下村</w:t>
            </w:r>
          </w:p>
        </w:tc>
        <w:tc>
          <w:tcPr>
            <w:tcW w:w="1583" w:type="dxa"/>
            <w:vAlign w:val="top"/>
          </w:tcPr>
          <w:p>
            <w:pPr>
              <w:pStyle w:val="6"/>
              <w:spacing w:before="69" w:line="202" w:lineRule="auto"/>
              <w:ind w:left="173" w:right="105" w:hanging="70"/>
            </w:pPr>
            <w:r>
              <w:t>N101°18′48.66″</w:t>
            </w:r>
            <w:r>
              <w:rPr>
                <w:spacing w:val="1"/>
              </w:rPr>
              <w:t xml:space="preserve"> </w:t>
            </w:r>
            <w:r>
              <w:rPr>
                <w:spacing w:val="-1"/>
              </w:rPr>
              <w:t>E25°57′37.51″</w:t>
            </w:r>
          </w:p>
        </w:tc>
        <w:tc>
          <w:tcPr>
            <w:tcW w:w="1802" w:type="dxa"/>
            <w:vAlign w:val="top"/>
          </w:tcPr>
          <w:p>
            <w:pPr>
              <w:pStyle w:val="6"/>
              <w:spacing w:before="154" w:line="219" w:lineRule="auto"/>
              <w:ind w:left="381"/>
              <w:rPr>
                <w:rFonts w:ascii="仿宋" w:hAnsi="仿宋" w:eastAsia="仿宋" w:cs="仿宋"/>
              </w:rPr>
            </w:pPr>
            <w:r>
              <w:rPr>
                <w:spacing w:val="-17"/>
              </w:rPr>
              <w:t>9</w:t>
            </w:r>
            <w:r>
              <w:rPr>
                <w:spacing w:val="16"/>
                <w:w w:val="101"/>
              </w:rPr>
              <w:t xml:space="preserve"> </w:t>
            </w:r>
            <w:r>
              <w:rPr>
                <w:rFonts w:ascii="仿宋" w:hAnsi="仿宋" w:eastAsia="仿宋" w:cs="仿宋"/>
                <w:spacing w:val="-17"/>
              </w:rPr>
              <w:t>户，</w:t>
            </w:r>
            <w:r>
              <w:rPr>
                <w:rFonts w:ascii="仿宋" w:hAnsi="仿宋" w:eastAsia="仿宋" w:cs="仿宋"/>
                <w:spacing w:val="-29"/>
              </w:rPr>
              <w:t xml:space="preserve"> </w:t>
            </w:r>
            <w:r>
              <w:rPr>
                <w:spacing w:val="-17"/>
              </w:rPr>
              <w:t>31</w:t>
            </w:r>
            <w:r>
              <w:rPr>
                <w:spacing w:val="18"/>
              </w:rPr>
              <w:t xml:space="preserve"> </w:t>
            </w:r>
            <w:r>
              <w:rPr>
                <w:rFonts w:ascii="仿宋" w:hAnsi="仿宋" w:eastAsia="仿宋" w:cs="仿宋"/>
                <w:spacing w:val="-17"/>
              </w:rPr>
              <w:t>人</w:t>
            </w:r>
          </w:p>
        </w:tc>
        <w:tc>
          <w:tcPr>
            <w:tcW w:w="2374" w:type="dxa"/>
            <w:vAlign w:val="top"/>
          </w:tcPr>
          <w:p>
            <w:pPr>
              <w:pStyle w:val="6"/>
              <w:spacing w:before="154" w:line="233" w:lineRule="auto"/>
              <w:ind w:left="297"/>
            </w:pPr>
            <w:r>
              <w:rPr>
                <w:spacing w:val="-3"/>
              </w:rPr>
              <w:t>7#</w:t>
            </w:r>
            <w:r>
              <w:rPr>
                <w:rFonts w:ascii="仿宋" w:hAnsi="仿宋" w:eastAsia="仿宋" w:cs="仿宋"/>
                <w:spacing w:val="-3"/>
              </w:rPr>
              <w:t>弃渣场东侧</w:t>
            </w:r>
            <w:r>
              <w:rPr>
                <w:rFonts w:ascii="仿宋" w:hAnsi="仿宋" w:eastAsia="仿宋" w:cs="仿宋"/>
                <w:spacing w:val="-27"/>
              </w:rPr>
              <w:t xml:space="preserve"> </w:t>
            </w:r>
            <w:r>
              <w:rPr>
                <w:spacing w:val="-3"/>
              </w:rPr>
              <w:t>175m</w:t>
            </w:r>
          </w:p>
        </w:tc>
        <w:tc>
          <w:tcPr>
            <w:tcW w:w="1300" w:type="dxa"/>
            <w:vMerge w:val="continue"/>
            <w:tcBorders>
              <w:top w:val="nil"/>
              <w:bottom w:val="nil"/>
            </w:tcBorders>
            <w:vAlign w:val="top"/>
          </w:tcPr>
          <w:p>
            <w:pPr>
              <w:rPr>
                <w:rFonts w:ascii="Arial"/>
                <w:sz w:val="21"/>
              </w:rPr>
            </w:pPr>
          </w:p>
        </w:tc>
        <w:tc>
          <w:tcPr>
            <w:tcW w:w="1530" w:type="dxa"/>
            <w:vMerge w:val="continue"/>
            <w:tcBorders>
              <w:top w:val="nil"/>
              <w:bottom w:val="nil"/>
            </w:tcBorders>
            <w:vAlign w:val="top"/>
          </w:tcPr>
          <w:p>
            <w:pPr>
              <w:rPr>
                <w:rFonts w:ascii="Arial"/>
                <w:sz w:val="21"/>
              </w:rPr>
            </w:pPr>
          </w:p>
        </w:tc>
        <w:tc>
          <w:tcPr>
            <w:tcW w:w="3005"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979" w:type="dxa"/>
            <w:vMerge w:val="continue"/>
            <w:tcBorders>
              <w:top w:val="nil"/>
              <w:left w:val="nil"/>
            </w:tcBorders>
            <w:vAlign w:val="top"/>
          </w:tcPr>
          <w:p>
            <w:pPr>
              <w:rPr>
                <w:rFonts w:ascii="Arial"/>
                <w:sz w:val="21"/>
              </w:rPr>
            </w:pPr>
          </w:p>
        </w:tc>
        <w:tc>
          <w:tcPr>
            <w:tcW w:w="1386" w:type="dxa"/>
            <w:vAlign w:val="top"/>
          </w:tcPr>
          <w:p>
            <w:pPr>
              <w:spacing w:before="187" w:line="217" w:lineRule="auto"/>
              <w:ind w:left="178"/>
              <w:rPr>
                <w:rFonts w:ascii="仿宋" w:hAnsi="仿宋" w:eastAsia="仿宋" w:cs="仿宋"/>
                <w:sz w:val="21"/>
                <w:szCs w:val="21"/>
              </w:rPr>
            </w:pPr>
            <w:r>
              <w:rPr>
                <w:rFonts w:ascii="仿宋" w:hAnsi="仿宋" w:eastAsia="仿宋" w:cs="仿宋"/>
                <w:spacing w:val="-3"/>
                <w:sz w:val="21"/>
                <w:szCs w:val="21"/>
              </w:rPr>
              <w:t>谢老屋基村</w:t>
            </w:r>
          </w:p>
        </w:tc>
        <w:tc>
          <w:tcPr>
            <w:tcW w:w="1583" w:type="dxa"/>
            <w:vAlign w:val="top"/>
          </w:tcPr>
          <w:p>
            <w:pPr>
              <w:pStyle w:val="6"/>
              <w:spacing w:before="103" w:line="214" w:lineRule="auto"/>
              <w:ind w:left="173" w:right="105" w:hanging="70"/>
            </w:pPr>
            <w:r>
              <w:t>N101°17′18.93″</w:t>
            </w:r>
            <w:r>
              <w:rPr>
                <w:spacing w:val="1"/>
              </w:rPr>
              <w:t xml:space="preserve"> </w:t>
            </w:r>
            <w:r>
              <w:rPr>
                <w:spacing w:val="-1"/>
              </w:rPr>
              <w:t>E25°54′42.95″</w:t>
            </w:r>
          </w:p>
        </w:tc>
        <w:tc>
          <w:tcPr>
            <w:tcW w:w="1802" w:type="dxa"/>
            <w:vAlign w:val="top"/>
          </w:tcPr>
          <w:p>
            <w:pPr>
              <w:pStyle w:val="6"/>
              <w:spacing w:before="186" w:line="219" w:lineRule="auto"/>
              <w:ind w:left="381"/>
              <w:rPr>
                <w:rFonts w:ascii="仿宋" w:hAnsi="仿宋" w:eastAsia="仿宋" w:cs="仿宋"/>
              </w:rPr>
            </w:pPr>
            <w:r>
              <w:rPr>
                <w:spacing w:val="-16"/>
              </w:rPr>
              <w:t>7</w:t>
            </w:r>
            <w:r>
              <w:rPr>
                <w:spacing w:val="15"/>
                <w:w w:val="101"/>
              </w:rPr>
              <w:t xml:space="preserve"> </w:t>
            </w:r>
            <w:r>
              <w:rPr>
                <w:rFonts w:ascii="仿宋" w:hAnsi="仿宋" w:eastAsia="仿宋" w:cs="仿宋"/>
                <w:spacing w:val="-16"/>
              </w:rPr>
              <w:t>户，</w:t>
            </w:r>
            <w:r>
              <w:rPr>
                <w:rFonts w:ascii="仿宋" w:hAnsi="仿宋" w:eastAsia="仿宋" w:cs="仿宋"/>
                <w:spacing w:val="-33"/>
              </w:rPr>
              <w:t xml:space="preserve"> </w:t>
            </w:r>
            <w:r>
              <w:rPr>
                <w:spacing w:val="-16"/>
              </w:rPr>
              <w:t>25</w:t>
            </w:r>
            <w:r>
              <w:rPr>
                <w:spacing w:val="18"/>
              </w:rPr>
              <w:t xml:space="preserve"> </w:t>
            </w:r>
            <w:r>
              <w:rPr>
                <w:rFonts w:ascii="仿宋" w:hAnsi="仿宋" w:eastAsia="仿宋" w:cs="仿宋"/>
                <w:spacing w:val="-16"/>
              </w:rPr>
              <w:t>人</w:t>
            </w:r>
          </w:p>
        </w:tc>
        <w:tc>
          <w:tcPr>
            <w:tcW w:w="2374" w:type="dxa"/>
            <w:vAlign w:val="top"/>
          </w:tcPr>
          <w:p>
            <w:pPr>
              <w:pStyle w:val="6"/>
              <w:spacing w:before="50" w:line="214" w:lineRule="auto"/>
              <w:ind w:left="565" w:right="133" w:hanging="417"/>
            </w:pPr>
            <w:r>
              <w:rPr>
                <w:rFonts w:ascii="仿宋" w:hAnsi="仿宋" w:eastAsia="仿宋" w:cs="仿宋"/>
                <w:spacing w:val="-2"/>
              </w:rPr>
              <w:t>独格里排隧洞出口施工</w:t>
            </w:r>
            <w:r>
              <w:rPr>
                <w:rFonts w:ascii="仿宋" w:hAnsi="仿宋" w:eastAsia="仿宋" w:cs="仿宋"/>
                <w:spacing w:val="5"/>
              </w:rPr>
              <w:t xml:space="preserve"> </w:t>
            </w:r>
            <w:r>
              <w:rPr>
                <w:rFonts w:ascii="仿宋" w:hAnsi="仿宋" w:eastAsia="仿宋" w:cs="仿宋"/>
                <w:spacing w:val="-4"/>
              </w:rPr>
              <w:t>场地东侧</w:t>
            </w:r>
            <w:r>
              <w:rPr>
                <w:rFonts w:ascii="仿宋" w:hAnsi="仿宋" w:eastAsia="仿宋" w:cs="仿宋"/>
                <w:spacing w:val="-39"/>
              </w:rPr>
              <w:t xml:space="preserve"> </w:t>
            </w:r>
            <w:r>
              <w:rPr>
                <w:spacing w:val="-4"/>
              </w:rPr>
              <w:t>95m</w:t>
            </w:r>
          </w:p>
        </w:tc>
        <w:tc>
          <w:tcPr>
            <w:tcW w:w="1300" w:type="dxa"/>
            <w:vMerge w:val="continue"/>
            <w:tcBorders>
              <w:top w:val="nil"/>
            </w:tcBorders>
            <w:vAlign w:val="top"/>
          </w:tcPr>
          <w:p>
            <w:pPr>
              <w:rPr>
                <w:rFonts w:ascii="Arial"/>
                <w:sz w:val="21"/>
              </w:rPr>
            </w:pPr>
          </w:p>
        </w:tc>
        <w:tc>
          <w:tcPr>
            <w:tcW w:w="1530" w:type="dxa"/>
            <w:vMerge w:val="continue"/>
            <w:tcBorders>
              <w:top w:val="nil"/>
            </w:tcBorders>
            <w:vAlign w:val="top"/>
          </w:tcPr>
          <w:p>
            <w:pPr>
              <w:rPr>
                <w:rFonts w:ascii="Arial"/>
                <w:sz w:val="21"/>
              </w:rPr>
            </w:pPr>
          </w:p>
        </w:tc>
        <w:tc>
          <w:tcPr>
            <w:tcW w:w="3005"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 w:hRule="atLeast"/>
        </w:trPr>
        <w:tc>
          <w:tcPr>
            <w:tcW w:w="979" w:type="dxa"/>
            <w:vMerge w:val="restart"/>
            <w:tcBorders>
              <w:left w:val="nil"/>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68" w:line="219" w:lineRule="auto"/>
              <w:ind w:left="188"/>
              <w:rPr>
                <w:rFonts w:ascii="仿宋" w:hAnsi="仿宋" w:eastAsia="仿宋" w:cs="仿宋"/>
                <w:sz w:val="21"/>
                <w:szCs w:val="21"/>
              </w:rPr>
            </w:pPr>
            <w:r>
              <w:rPr>
                <w:rFonts w:ascii="仿宋" w:hAnsi="仿宋" w:eastAsia="仿宋" w:cs="仿宋"/>
                <w:spacing w:val="-4"/>
                <w:sz w:val="21"/>
                <w:szCs w:val="21"/>
              </w:rPr>
              <w:t>地表水</w:t>
            </w:r>
          </w:p>
        </w:tc>
        <w:tc>
          <w:tcPr>
            <w:tcW w:w="1386" w:type="dxa"/>
            <w:vAlign w:val="top"/>
          </w:tcPr>
          <w:p>
            <w:pPr>
              <w:spacing w:line="316" w:lineRule="auto"/>
              <w:rPr>
                <w:rFonts w:ascii="Arial"/>
                <w:sz w:val="21"/>
              </w:rPr>
            </w:pPr>
          </w:p>
          <w:p>
            <w:pPr>
              <w:spacing w:before="68" w:line="216" w:lineRule="auto"/>
              <w:ind w:left="389"/>
              <w:rPr>
                <w:rFonts w:ascii="仿宋" w:hAnsi="仿宋" w:eastAsia="仿宋" w:cs="仿宋"/>
                <w:sz w:val="21"/>
                <w:szCs w:val="21"/>
              </w:rPr>
            </w:pPr>
            <w:r>
              <w:rPr>
                <w:rFonts w:ascii="仿宋" w:hAnsi="仿宋" w:eastAsia="仿宋" w:cs="仿宋"/>
                <w:spacing w:val="-5"/>
                <w:sz w:val="21"/>
                <w:szCs w:val="21"/>
              </w:rPr>
              <w:t>桂花河</w:t>
            </w:r>
          </w:p>
        </w:tc>
        <w:tc>
          <w:tcPr>
            <w:tcW w:w="3385" w:type="dxa"/>
            <w:gridSpan w:val="2"/>
            <w:vAlign w:val="top"/>
          </w:tcPr>
          <w:p>
            <w:pPr>
              <w:spacing w:line="358" w:lineRule="auto"/>
              <w:rPr>
                <w:rFonts w:ascii="Arial"/>
                <w:sz w:val="21"/>
              </w:rPr>
            </w:pPr>
          </w:p>
          <w:p>
            <w:pPr>
              <w:pStyle w:val="6"/>
              <w:spacing w:before="61" w:line="232" w:lineRule="auto"/>
              <w:ind w:left="1661"/>
            </w:pPr>
            <w:r>
              <w:t>/</w:t>
            </w:r>
          </w:p>
        </w:tc>
        <w:tc>
          <w:tcPr>
            <w:tcW w:w="2374" w:type="dxa"/>
            <w:vAlign w:val="top"/>
          </w:tcPr>
          <w:p>
            <w:pPr>
              <w:spacing w:line="316" w:lineRule="auto"/>
              <w:rPr>
                <w:rFonts w:ascii="Arial"/>
                <w:sz w:val="21"/>
              </w:rPr>
            </w:pPr>
          </w:p>
          <w:p>
            <w:pPr>
              <w:spacing w:before="68" w:line="216" w:lineRule="auto"/>
              <w:ind w:left="358"/>
              <w:rPr>
                <w:rFonts w:ascii="仿宋" w:hAnsi="仿宋" w:eastAsia="仿宋" w:cs="仿宋"/>
                <w:sz w:val="21"/>
                <w:szCs w:val="21"/>
              </w:rPr>
            </w:pPr>
            <w:r>
              <w:rPr>
                <w:rFonts w:ascii="仿宋" w:hAnsi="仿宋" w:eastAsia="仿宋" w:cs="仿宋"/>
                <w:spacing w:val="-2"/>
                <w:sz w:val="21"/>
                <w:szCs w:val="21"/>
              </w:rPr>
              <w:t>桂花河上建设大坝</w:t>
            </w:r>
          </w:p>
        </w:tc>
        <w:tc>
          <w:tcPr>
            <w:tcW w:w="1300" w:type="dxa"/>
            <w:vMerge w:val="restart"/>
            <w:tcBorders>
              <w:bottom w:val="nil"/>
            </w:tcBorders>
            <w:vAlign w:val="top"/>
          </w:tcPr>
          <w:p>
            <w:pPr>
              <w:spacing w:line="348" w:lineRule="auto"/>
              <w:rPr>
                <w:rFonts w:ascii="Arial"/>
                <w:sz w:val="21"/>
              </w:rPr>
            </w:pPr>
          </w:p>
          <w:p>
            <w:pPr>
              <w:spacing w:line="348" w:lineRule="auto"/>
              <w:rPr>
                <w:rFonts w:ascii="Arial"/>
                <w:sz w:val="21"/>
              </w:rPr>
            </w:pPr>
          </w:p>
          <w:p>
            <w:pPr>
              <w:spacing w:before="68" w:line="293" w:lineRule="exact"/>
              <w:ind w:left="346"/>
              <w:rPr>
                <w:rFonts w:ascii="仿宋" w:hAnsi="仿宋" w:eastAsia="仿宋" w:cs="仿宋"/>
                <w:sz w:val="21"/>
                <w:szCs w:val="21"/>
              </w:rPr>
            </w:pPr>
            <w:r>
              <w:rPr>
                <w:rFonts w:ascii="仿宋" w:hAnsi="仿宋" w:eastAsia="仿宋" w:cs="仿宋"/>
                <w:spacing w:val="-5"/>
                <w:position w:val="5"/>
                <w:sz w:val="21"/>
                <w:szCs w:val="21"/>
              </w:rPr>
              <w:t>施工期</w:t>
            </w:r>
          </w:p>
          <w:p>
            <w:pPr>
              <w:spacing w:line="218" w:lineRule="auto"/>
              <w:ind w:left="348"/>
              <w:rPr>
                <w:rFonts w:ascii="仿宋" w:hAnsi="仿宋" w:eastAsia="仿宋" w:cs="仿宋"/>
                <w:sz w:val="21"/>
                <w:szCs w:val="21"/>
              </w:rPr>
            </w:pPr>
            <w:r>
              <w:rPr>
                <w:rFonts w:ascii="仿宋" w:hAnsi="仿宋" w:eastAsia="仿宋" w:cs="仿宋"/>
                <w:spacing w:val="-4"/>
                <w:sz w:val="21"/>
                <w:szCs w:val="21"/>
              </w:rPr>
              <w:t>运营期</w:t>
            </w:r>
          </w:p>
        </w:tc>
        <w:tc>
          <w:tcPr>
            <w:tcW w:w="1530" w:type="dxa"/>
            <w:vAlign w:val="top"/>
          </w:tcPr>
          <w:p>
            <w:pPr>
              <w:spacing w:before="73" w:line="250" w:lineRule="auto"/>
              <w:ind w:left="145" w:right="132"/>
              <w:jc w:val="both"/>
              <w:rPr>
                <w:rFonts w:ascii="仿宋" w:hAnsi="仿宋" w:eastAsia="仿宋" w:cs="仿宋"/>
                <w:sz w:val="21"/>
                <w:szCs w:val="21"/>
              </w:rPr>
            </w:pPr>
            <w:r>
              <w:rPr>
                <w:rFonts w:ascii="仿宋" w:hAnsi="仿宋" w:eastAsia="仿宋" w:cs="仿宋"/>
                <w:spacing w:val="-3"/>
                <w:sz w:val="21"/>
                <w:szCs w:val="21"/>
              </w:rPr>
              <w:t>水库蓄水、施</w:t>
            </w:r>
            <w:r>
              <w:rPr>
                <w:rFonts w:ascii="仿宋" w:hAnsi="仿宋" w:eastAsia="仿宋" w:cs="仿宋"/>
                <w:spacing w:val="3"/>
                <w:sz w:val="21"/>
                <w:szCs w:val="21"/>
              </w:rPr>
              <w:t xml:space="preserve"> </w:t>
            </w:r>
            <w:r>
              <w:rPr>
                <w:rFonts w:ascii="仿宋" w:hAnsi="仿宋" w:eastAsia="仿宋" w:cs="仿宋"/>
                <w:spacing w:val="-3"/>
                <w:sz w:val="21"/>
                <w:szCs w:val="21"/>
              </w:rPr>
              <w:t>工废水、运营</w:t>
            </w:r>
            <w:r>
              <w:rPr>
                <w:rFonts w:ascii="仿宋" w:hAnsi="仿宋" w:eastAsia="仿宋" w:cs="仿宋"/>
                <w:spacing w:val="3"/>
                <w:sz w:val="21"/>
                <w:szCs w:val="21"/>
              </w:rPr>
              <w:t xml:space="preserve"> </w:t>
            </w:r>
            <w:r>
              <w:rPr>
                <w:rFonts w:ascii="仿宋" w:hAnsi="仿宋" w:eastAsia="仿宋" w:cs="仿宋"/>
                <w:spacing w:val="-3"/>
                <w:sz w:val="21"/>
                <w:szCs w:val="21"/>
              </w:rPr>
              <w:t>期灌溉回归水</w:t>
            </w:r>
          </w:p>
        </w:tc>
        <w:tc>
          <w:tcPr>
            <w:tcW w:w="3005" w:type="dxa"/>
            <w:vMerge w:val="restart"/>
            <w:tcBorders>
              <w:bottom w:val="nil"/>
              <w:right w:val="nil"/>
            </w:tcBorders>
            <w:vAlign w:val="top"/>
          </w:tcPr>
          <w:p>
            <w:pPr>
              <w:spacing w:line="348" w:lineRule="auto"/>
              <w:rPr>
                <w:rFonts w:ascii="Arial"/>
                <w:sz w:val="21"/>
              </w:rPr>
            </w:pPr>
          </w:p>
          <w:p>
            <w:pPr>
              <w:spacing w:line="348" w:lineRule="auto"/>
              <w:rPr>
                <w:rFonts w:ascii="Arial"/>
                <w:sz w:val="21"/>
              </w:rPr>
            </w:pPr>
          </w:p>
          <w:p>
            <w:pPr>
              <w:spacing w:before="69" w:line="218" w:lineRule="auto"/>
              <w:ind w:left="353"/>
              <w:rPr>
                <w:rFonts w:ascii="仿宋" w:hAnsi="仿宋" w:eastAsia="仿宋" w:cs="仿宋"/>
                <w:sz w:val="21"/>
                <w:szCs w:val="21"/>
              </w:rPr>
            </w:pPr>
            <w:r>
              <w:rPr>
                <w:rFonts w:ascii="仿宋" w:hAnsi="仿宋" w:eastAsia="仿宋" w:cs="仿宋"/>
                <w:spacing w:val="-2"/>
                <w:sz w:val="21"/>
                <w:szCs w:val="21"/>
              </w:rPr>
              <w:t>《地表水环境质量标准》</w:t>
            </w:r>
          </w:p>
          <w:p>
            <w:pPr>
              <w:pStyle w:val="6"/>
              <w:spacing w:before="64" w:line="218" w:lineRule="auto"/>
              <w:ind w:left="282"/>
              <w:rPr>
                <w:rFonts w:ascii="仿宋" w:hAnsi="仿宋" w:eastAsia="仿宋" w:cs="仿宋"/>
              </w:rPr>
            </w:pPr>
            <w:r>
              <w:rPr>
                <w:rFonts w:ascii="仿宋" w:hAnsi="仿宋" w:eastAsia="仿宋" w:cs="仿宋"/>
                <w:spacing w:val="-4"/>
              </w:rPr>
              <w:t>（</w:t>
            </w:r>
            <w:r>
              <w:rPr>
                <w:spacing w:val="-4"/>
              </w:rPr>
              <w:t>GB3838-2002</w:t>
            </w:r>
            <w:r>
              <w:rPr>
                <w:rFonts w:ascii="仿宋" w:hAnsi="仿宋" w:eastAsia="仿宋" w:cs="仿宋"/>
                <w:spacing w:val="-4"/>
              </w:rPr>
              <w:t>）</w:t>
            </w:r>
            <w:r>
              <w:rPr>
                <w:rFonts w:ascii="仿宋" w:hAnsi="仿宋" w:eastAsia="仿宋" w:cs="仿宋"/>
                <w:spacing w:val="-51"/>
              </w:rPr>
              <w:t xml:space="preserve"> </w:t>
            </w:r>
            <w:r>
              <w:rPr>
                <w:rFonts w:ascii="宋体" w:hAnsi="宋体" w:eastAsia="宋体" w:cs="宋体"/>
                <w:spacing w:val="-4"/>
              </w:rPr>
              <w:t>Ⅱ</w:t>
            </w:r>
            <w:r>
              <w:rPr>
                <w:rFonts w:ascii="仿宋" w:hAnsi="仿宋" w:eastAsia="仿宋" w:cs="仿宋"/>
                <w:spacing w:val="-4"/>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979" w:type="dxa"/>
            <w:vMerge w:val="continue"/>
            <w:tcBorders>
              <w:top w:val="nil"/>
              <w:left w:val="nil"/>
              <w:bottom w:val="nil"/>
            </w:tcBorders>
            <w:vAlign w:val="top"/>
          </w:tcPr>
          <w:p>
            <w:pPr>
              <w:rPr>
                <w:rFonts w:ascii="Arial"/>
                <w:sz w:val="21"/>
              </w:rPr>
            </w:pPr>
          </w:p>
        </w:tc>
        <w:tc>
          <w:tcPr>
            <w:tcW w:w="1386" w:type="dxa"/>
            <w:vAlign w:val="top"/>
          </w:tcPr>
          <w:p>
            <w:pPr>
              <w:spacing w:before="233" w:line="219" w:lineRule="auto"/>
              <w:ind w:left="289"/>
              <w:rPr>
                <w:rFonts w:ascii="仿宋" w:hAnsi="仿宋" w:eastAsia="仿宋" w:cs="仿宋"/>
                <w:sz w:val="21"/>
                <w:szCs w:val="21"/>
              </w:rPr>
            </w:pPr>
            <w:r>
              <w:rPr>
                <w:rFonts w:ascii="仿宋" w:hAnsi="仿宋" w:eastAsia="仿宋" w:cs="仿宋"/>
                <w:spacing w:val="-4"/>
                <w:sz w:val="21"/>
                <w:szCs w:val="21"/>
              </w:rPr>
              <w:t>罗子左河</w:t>
            </w:r>
          </w:p>
        </w:tc>
        <w:tc>
          <w:tcPr>
            <w:tcW w:w="3385" w:type="dxa"/>
            <w:gridSpan w:val="2"/>
            <w:vAlign w:val="top"/>
          </w:tcPr>
          <w:p>
            <w:pPr>
              <w:pStyle w:val="6"/>
              <w:spacing w:before="268" w:line="232" w:lineRule="auto"/>
              <w:ind w:left="1661"/>
            </w:pPr>
            <w:r>
              <w:t>/</w:t>
            </w:r>
          </w:p>
        </w:tc>
        <w:tc>
          <w:tcPr>
            <w:tcW w:w="2374" w:type="dxa"/>
            <w:vAlign w:val="top"/>
          </w:tcPr>
          <w:p>
            <w:pPr>
              <w:spacing w:before="96" w:line="228" w:lineRule="auto"/>
              <w:ind w:left="884" w:right="133" w:hanging="736"/>
              <w:rPr>
                <w:rFonts w:ascii="仿宋" w:hAnsi="仿宋" w:eastAsia="仿宋" w:cs="仿宋"/>
                <w:sz w:val="21"/>
                <w:szCs w:val="21"/>
              </w:rPr>
            </w:pPr>
            <w:r>
              <w:rPr>
                <w:rFonts w:ascii="仿宋" w:hAnsi="仿宋" w:eastAsia="仿宋" w:cs="仿宋"/>
                <w:spacing w:val="-2"/>
                <w:sz w:val="21"/>
                <w:szCs w:val="21"/>
              </w:rPr>
              <w:t>建设取水坝，引水至桂</w:t>
            </w:r>
            <w:r>
              <w:rPr>
                <w:rFonts w:ascii="仿宋" w:hAnsi="仿宋" w:eastAsia="仿宋" w:cs="仿宋"/>
                <w:spacing w:val="5"/>
                <w:sz w:val="21"/>
                <w:szCs w:val="21"/>
              </w:rPr>
              <w:t xml:space="preserve"> </w:t>
            </w:r>
            <w:r>
              <w:rPr>
                <w:rFonts w:ascii="仿宋" w:hAnsi="仿宋" w:eastAsia="仿宋" w:cs="仿宋"/>
                <w:spacing w:val="-4"/>
                <w:sz w:val="21"/>
                <w:szCs w:val="21"/>
              </w:rPr>
              <w:t>花水库</w:t>
            </w:r>
          </w:p>
        </w:tc>
        <w:tc>
          <w:tcPr>
            <w:tcW w:w="1300" w:type="dxa"/>
            <w:vMerge w:val="continue"/>
            <w:tcBorders>
              <w:top w:val="nil"/>
              <w:bottom w:val="nil"/>
            </w:tcBorders>
            <w:vAlign w:val="top"/>
          </w:tcPr>
          <w:p>
            <w:pPr>
              <w:rPr>
                <w:rFonts w:ascii="Arial"/>
                <w:sz w:val="21"/>
              </w:rPr>
            </w:pPr>
          </w:p>
        </w:tc>
        <w:tc>
          <w:tcPr>
            <w:tcW w:w="1530" w:type="dxa"/>
            <w:vAlign w:val="top"/>
          </w:tcPr>
          <w:p>
            <w:pPr>
              <w:spacing w:before="79" w:line="236" w:lineRule="auto"/>
              <w:ind w:left="466" w:right="132" w:hanging="321"/>
              <w:rPr>
                <w:rFonts w:ascii="仿宋" w:hAnsi="仿宋" w:eastAsia="仿宋" w:cs="仿宋"/>
                <w:sz w:val="21"/>
                <w:szCs w:val="21"/>
              </w:rPr>
            </w:pPr>
            <w:r>
              <w:rPr>
                <w:rFonts w:ascii="仿宋" w:hAnsi="仿宋" w:eastAsia="仿宋" w:cs="仿宋"/>
                <w:spacing w:val="-3"/>
                <w:sz w:val="21"/>
                <w:szCs w:val="21"/>
              </w:rPr>
              <w:t>水库蓄水、施</w:t>
            </w:r>
            <w:r>
              <w:rPr>
                <w:rFonts w:ascii="仿宋" w:hAnsi="仿宋" w:eastAsia="仿宋" w:cs="仿宋"/>
                <w:spacing w:val="3"/>
                <w:sz w:val="21"/>
                <w:szCs w:val="21"/>
              </w:rPr>
              <w:t xml:space="preserve"> </w:t>
            </w:r>
            <w:r>
              <w:rPr>
                <w:rFonts w:ascii="仿宋" w:hAnsi="仿宋" w:eastAsia="仿宋" w:cs="仿宋"/>
                <w:spacing w:val="-5"/>
                <w:sz w:val="21"/>
                <w:szCs w:val="21"/>
              </w:rPr>
              <w:t>工废水</w:t>
            </w:r>
          </w:p>
        </w:tc>
        <w:tc>
          <w:tcPr>
            <w:tcW w:w="3005"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3" w:hRule="atLeast"/>
        </w:trPr>
        <w:tc>
          <w:tcPr>
            <w:tcW w:w="979" w:type="dxa"/>
            <w:vMerge w:val="continue"/>
            <w:tcBorders>
              <w:top w:val="nil"/>
              <w:left w:val="nil"/>
              <w:bottom w:val="single" w:color="000000" w:sz="12" w:space="0"/>
            </w:tcBorders>
            <w:vAlign w:val="top"/>
          </w:tcPr>
          <w:p>
            <w:pPr>
              <w:rPr>
                <w:rFonts w:ascii="Arial"/>
                <w:sz w:val="21"/>
              </w:rPr>
            </w:pPr>
          </w:p>
        </w:tc>
        <w:tc>
          <w:tcPr>
            <w:tcW w:w="1386" w:type="dxa"/>
            <w:tcBorders>
              <w:bottom w:val="single" w:color="000000" w:sz="12" w:space="0"/>
            </w:tcBorders>
            <w:vAlign w:val="top"/>
          </w:tcPr>
          <w:p>
            <w:pPr>
              <w:spacing w:before="141" w:line="219" w:lineRule="auto"/>
              <w:ind w:left="393"/>
              <w:rPr>
                <w:rFonts w:ascii="仿宋" w:hAnsi="仿宋" w:eastAsia="仿宋" w:cs="仿宋"/>
                <w:sz w:val="21"/>
                <w:szCs w:val="21"/>
              </w:rPr>
            </w:pPr>
            <w:r>
              <w:rPr>
                <w:rFonts w:ascii="仿宋" w:hAnsi="仿宋" w:eastAsia="仿宋" w:cs="仿宋"/>
                <w:spacing w:val="-5"/>
                <w:sz w:val="21"/>
                <w:szCs w:val="21"/>
              </w:rPr>
              <w:t>马茨河</w:t>
            </w:r>
          </w:p>
        </w:tc>
        <w:tc>
          <w:tcPr>
            <w:tcW w:w="3385" w:type="dxa"/>
            <w:gridSpan w:val="2"/>
            <w:tcBorders>
              <w:bottom w:val="single" w:color="000000" w:sz="12" w:space="0"/>
            </w:tcBorders>
            <w:vAlign w:val="top"/>
          </w:tcPr>
          <w:p>
            <w:pPr>
              <w:pStyle w:val="6"/>
              <w:spacing w:before="176" w:line="232" w:lineRule="auto"/>
              <w:ind w:left="1661"/>
            </w:pPr>
            <w:r>
              <w:t>/</w:t>
            </w:r>
          </w:p>
        </w:tc>
        <w:tc>
          <w:tcPr>
            <w:tcW w:w="2374" w:type="dxa"/>
            <w:tcBorders>
              <w:bottom w:val="single" w:color="000000" w:sz="12" w:space="0"/>
            </w:tcBorders>
            <w:vAlign w:val="top"/>
          </w:tcPr>
          <w:p>
            <w:pPr>
              <w:spacing w:before="141" w:line="218" w:lineRule="auto"/>
              <w:ind w:left="148"/>
              <w:rPr>
                <w:rFonts w:ascii="仿宋" w:hAnsi="仿宋" w:eastAsia="仿宋" w:cs="仿宋"/>
                <w:sz w:val="21"/>
                <w:szCs w:val="21"/>
              </w:rPr>
            </w:pPr>
            <w:r>
              <w:rPr>
                <w:rFonts w:ascii="仿宋" w:hAnsi="仿宋" w:eastAsia="仿宋" w:cs="仿宋"/>
                <w:spacing w:val="-18"/>
                <w:sz w:val="21"/>
                <w:szCs w:val="21"/>
              </w:rPr>
              <w:t>建设取水坝，</w:t>
            </w:r>
            <w:r>
              <w:rPr>
                <w:rFonts w:ascii="仿宋" w:hAnsi="仿宋" w:eastAsia="仿宋" w:cs="仿宋"/>
                <w:spacing w:val="60"/>
                <w:sz w:val="21"/>
                <w:szCs w:val="21"/>
              </w:rPr>
              <w:t xml:space="preserve"> </w:t>
            </w:r>
            <w:r>
              <w:rPr>
                <w:rFonts w:ascii="仿宋" w:hAnsi="仿宋" w:eastAsia="仿宋" w:cs="仿宋"/>
                <w:spacing w:val="-18"/>
                <w:sz w:val="21"/>
                <w:szCs w:val="21"/>
              </w:rPr>
              <w:t>汛期通过</w:t>
            </w:r>
          </w:p>
        </w:tc>
        <w:tc>
          <w:tcPr>
            <w:tcW w:w="1300" w:type="dxa"/>
            <w:vMerge w:val="continue"/>
            <w:tcBorders>
              <w:top w:val="nil"/>
              <w:bottom w:val="single" w:color="000000" w:sz="12" w:space="0"/>
            </w:tcBorders>
            <w:vAlign w:val="top"/>
          </w:tcPr>
          <w:p>
            <w:pPr>
              <w:rPr>
                <w:rFonts w:ascii="Arial"/>
                <w:sz w:val="21"/>
              </w:rPr>
            </w:pPr>
          </w:p>
        </w:tc>
        <w:tc>
          <w:tcPr>
            <w:tcW w:w="1530" w:type="dxa"/>
            <w:tcBorders>
              <w:bottom w:val="single" w:color="000000" w:sz="12" w:space="0"/>
            </w:tcBorders>
            <w:vAlign w:val="top"/>
          </w:tcPr>
          <w:p>
            <w:pPr>
              <w:spacing w:before="143" w:line="218" w:lineRule="auto"/>
              <w:ind w:left="153"/>
              <w:rPr>
                <w:rFonts w:ascii="仿宋" w:hAnsi="仿宋" w:eastAsia="仿宋" w:cs="仿宋"/>
                <w:sz w:val="21"/>
                <w:szCs w:val="21"/>
              </w:rPr>
            </w:pPr>
            <w:r>
              <w:rPr>
                <w:rFonts w:ascii="仿宋" w:hAnsi="仿宋" w:eastAsia="仿宋" w:cs="仿宋"/>
                <w:spacing w:val="-3"/>
                <w:sz w:val="21"/>
                <w:szCs w:val="21"/>
              </w:rPr>
              <w:t>引水、施工废</w:t>
            </w:r>
          </w:p>
        </w:tc>
        <w:tc>
          <w:tcPr>
            <w:tcW w:w="3005" w:type="dxa"/>
            <w:vMerge w:val="continue"/>
            <w:tcBorders>
              <w:top w:val="nil"/>
              <w:bottom w:val="single" w:color="000000" w:sz="12"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headerReference r:id="rId50" w:type="default"/>
          <w:footerReference r:id="rId51" w:type="default"/>
          <w:pgSz w:w="16839" w:h="11907"/>
          <w:pgMar w:top="1156" w:right="1408" w:bottom="1154" w:left="1410" w:header="881" w:footer="990" w:gutter="0"/>
        </w:sectPr>
      </w:pPr>
    </w:p>
    <w:p>
      <w:pPr>
        <w:spacing w:before="80"/>
      </w:pPr>
    </w:p>
    <w:p>
      <w:pPr>
        <w:spacing w:before="80"/>
      </w:pPr>
    </w:p>
    <w:tbl>
      <w:tblPr>
        <w:tblStyle w:val="5"/>
        <w:tblW w:w="13959"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1386"/>
        <w:gridCol w:w="1583"/>
        <w:gridCol w:w="1802"/>
        <w:gridCol w:w="2374"/>
        <w:gridCol w:w="1300"/>
        <w:gridCol w:w="1530"/>
        <w:gridCol w:w="30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85" w:hRule="atLeast"/>
        </w:trPr>
        <w:tc>
          <w:tcPr>
            <w:tcW w:w="979" w:type="dxa"/>
            <w:tcBorders>
              <w:top w:val="single" w:color="000000" w:sz="12" w:space="0"/>
              <w:left w:val="nil"/>
            </w:tcBorders>
            <w:vAlign w:val="top"/>
          </w:tcPr>
          <w:p>
            <w:pPr>
              <w:spacing w:before="151" w:line="230" w:lineRule="auto"/>
              <w:ind w:left="408" w:right="171" w:hanging="22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环境要</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素</w:t>
            </w:r>
          </w:p>
        </w:tc>
        <w:tc>
          <w:tcPr>
            <w:tcW w:w="1386" w:type="dxa"/>
            <w:tcBorders>
              <w:top w:val="single" w:color="000000" w:sz="12" w:space="0"/>
            </w:tcBorders>
            <w:vAlign w:val="top"/>
          </w:tcPr>
          <w:p>
            <w:pPr>
              <w:spacing w:before="285" w:line="217" w:lineRule="auto"/>
              <w:ind w:left="28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保护对象</w:t>
            </w:r>
          </w:p>
        </w:tc>
        <w:tc>
          <w:tcPr>
            <w:tcW w:w="1583" w:type="dxa"/>
            <w:tcBorders>
              <w:top w:val="single" w:color="000000" w:sz="12" w:space="0"/>
            </w:tcBorders>
            <w:vAlign w:val="top"/>
          </w:tcPr>
          <w:p>
            <w:pPr>
              <w:spacing w:before="286" w:line="218" w:lineRule="auto"/>
              <w:ind w:left="597"/>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坐标</w:t>
            </w:r>
          </w:p>
        </w:tc>
        <w:tc>
          <w:tcPr>
            <w:tcW w:w="1802" w:type="dxa"/>
            <w:tcBorders>
              <w:top w:val="single" w:color="000000" w:sz="12" w:space="0"/>
            </w:tcBorders>
            <w:vAlign w:val="top"/>
          </w:tcPr>
          <w:p>
            <w:pPr>
              <w:spacing w:before="285" w:line="217" w:lineRule="auto"/>
              <w:ind w:left="28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保护对象特征</w:t>
            </w:r>
          </w:p>
        </w:tc>
        <w:tc>
          <w:tcPr>
            <w:tcW w:w="2374" w:type="dxa"/>
            <w:tcBorders>
              <w:top w:val="single" w:color="000000" w:sz="12" w:space="0"/>
            </w:tcBorders>
            <w:vAlign w:val="top"/>
          </w:tcPr>
          <w:p>
            <w:pPr>
              <w:spacing w:before="151" w:line="217" w:lineRule="auto"/>
              <w:ind w:left="67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相对位置及</w:t>
            </w:r>
          </w:p>
          <w:p>
            <w:pPr>
              <w:spacing w:before="25" w:line="218" w:lineRule="auto"/>
              <w:ind w:left="78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最近距离</w:t>
            </w:r>
          </w:p>
        </w:tc>
        <w:tc>
          <w:tcPr>
            <w:tcW w:w="1300" w:type="dxa"/>
            <w:tcBorders>
              <w:top w:val="single" w:color="000000" w:sz="12" w:space="0"/>
            </w:tcBorders>
            <w:vAlign w:val="top"/>
          </w:tcPr>
          <w:p>
            <w:pPr>
              <w:spacing w:before="151" w:line="239" w:lineRule="auto"/>
              <w:ind w:left="45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保护</w:t>
            </w:r>
          </w:p>
          <w:p>
            <w:pPr>
              <w:spacing w:line="218" w:lineRule="auto"/>
              <w:ind w:left="466"/>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时段</w:t>
            </w:r>
          </w:p>
        </w:tc>
        <w:tc>
          <w:tcPr>
            <w:tcW w:w="1530" w:type="dxa"/>
            <w:tcBorders>
              <w:top w:val="single" w:color="000000" w:sz="12" w:space="0"/>
            </w:tcBorders>
            <w:vAlign w:val="top"/>
          </w:tcPr>
          <w:p>
            <w:pPr>
              <w:spacing w:before="286" w:line="219" w:lineRule="auto"/>
              <w:ind w:left="46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影响源</w:t>
            </w:r>
          </w:p>
        </w:tc>
        <w:tc>
          <w:tcPr>
            <w:tcW w:w="3005" w:type="dxa"/>
            <w:tcBorders>
              <w:top w:val="single" w:color="000000" w:sz="12" w:space="0"/>
              <w:right w:val="nil"/>
            </w:tcBorders>
            <w:vAlign w:val="top"/>
          </w:tcPr>
          <w:p>
            <w:pPr>
              <w:spacing w:before="285" w:line="217" w:lineRule="auto"/>
              <w:ind w:left="109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保护要求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1" w:hRule="atLeast"/>
        </w:trPr>
        <w:tc>
          <w:tcPr>
            <w:tcW w:w="979" w:type="dxa"/>
            <w:vMerge w:val="restart"/>
            <w:tcBorders>
              <w:left w:val="nil"/>
              <w:bottom w:val="nil"/>
            </w:tcBorders>
            <w:vAlign w:val="top"/>
          </w:tcPr>
          <w:p>
            <w:pPr>
              <w:rPr>
                <w:rFonts w:ascii="Arial"/>
                <w:sz w:val="21"/>
              </w:rPr>
            </w:pPr>
          </w:p>
        </w:tc>
        <w:tc>
          <w:tcPr>
            <w:tcW w:w="1386" w:type="dxa"/>
            <w:vAlign w:val="top"/>
          </w:tcPr>
          <w:p>
            <w:pPr>
              <w:spacing w:before="34" w:line="232" w:lineRule="auto"/>
              <w:ind w:left="179" w:right="165" w:firstLine="107"/>
              <w:rPr>
                <w:rFonts w:ascii="仿宋" w:hAnsi="仿宋" w:eastAsia="仿宋" w:cs="仿宋"/>
                <w:sz w:val="21"/>
                <w:szCs w:val="21"/>
              </w:rPr>
            </w:pPr>
            <w:r>
              <w:rPr>
                <w:rFonts w:ascii="仿宋" w:hAnsi="仿宋" w:eastAsia="仿宋" w:cs="仿宋"/>
                <w:spacing w:val="-5"/>
                <w:sz w:val="21"/>
                <w:szCs w:val="21"/>
              </w:rPr>
              <w:t>者纳么河</w:t>
            </w:r>
            <w:r>
              <w:rPr>
                <w:rFonts w:ascii="仿宋" w:hAnsi="仿宋" w:eastAsia="仿宋" w:cs="仿宋"/>
                <w:sz w:val="21"/>
                <w:szCs w:val="21"/>
              </w:rPr>
              <w:t xml:space="preserve">  </w:t>
            </w:r>
            <w:r>
              <w:rPr>
                <w:rFonts w:ascii="仿宋" w:hAnsi="仿宋" w:eastAsia="仿宋" w:cs="仿宋"/>
                <w:spacing w:val="22"/>
                <w:sz w:val="21"/>
                <w:szCs w:val="21"/>
              </w:rPr>
              <w:t>（六姑乍</w:t>
            </w:r>
            <w:r>
              <w:rPr>
                <w:rFonts w:ascii="仿宋" w:hAnsi="仿宋" w:eastAsia="仿宋" w:cs="仿宋"/>
                <w:sz w:val="21"/>
                <w:szCs w:val="21"/>
              </w:rPr>
              <w:t xml:space="preserve">  </w:t>
            </w:r>
            <w:r>
              <w:rPr>
                <w:rFonts w:ascii="仿宋" w:hAnsi="仿宋" w:eastAsia="仿宋" w:cs="仿宋"/>
                <w:spacing w:val="-3"/>
                <w:sz w:val="21"/>
                <w:szCs w:val="21"/>
              </w:rPr>
              <w:t>箐、昔木乍</w:t>
            </w:r>
          </w:p>
          <w:p>
            <w:pPr>
              <w:spacing w:before="24" w:line="220" w:lineRule="auto"/>
              <w:ind w:left="493" w:right="270" w:hanging="210"/>
              <w:rPr>
                <w:rFonts w:ascii="仿宋" w:hAnsi="仿宋" w:eastAsia="仿宋" w:cs="仿宋"/>
                <w:sz w:val="21"/>
                <w:szCs w:val="21"/>
              </w:rPr>
            </w:pPr>
            <w:r>
              <w:rPr>
                <w:rFonts w:ascii="仿宋" w:hAnsi="仿宋" w:eastAsia="仿宋" w:cs="仿宋"/>
                <w:spacing w:val="-4"/>
                <w:sz w:val="21"/>
                <w:szCs w:val="21"/>
              </w:rPr>
              <w:t>箐、见簸</w:t>
            </w:r>
            <w:r>
              <w:rPr>
                <w:rFonts w:ascii="仿宋" w:hAnsi="仿宋" w:eastAsia="仿宋" w:cs="仿宋"/>
                <w:spacing w:val="1"/>
                <w:sz w:val="21"/>
                <w:szCs w:val="21"/>
              </w:rPr>
              <w:t xml:space="preserve"> </w:t>
            </w:r>
            <w:r>
              <w:rPr>
                <w:rFonts w:ascii="仿宋" w:hAnsi="仿宋" w:eastAsia="仿宋" w:cs="仿宋"/>
                <w:spacing w:val="-7"/>
                <w:sz w:val="21"/>
                <w:szCs w:val="21"/>
              </w:rPr>
              <w:t>箐）</w:t>
            </w:r>
          </w:p>
        </w:tc>
        <w:tc>
          <w:tcPr>
            <w:tcW w:w="3385" w:type="dxa"/>
            <w:gridSpan w:val="2"/>
            <w:vAlign w:val="top"/>
          </w:tcPr>
          <w:p>
            <w:pPr>
              <w:spacing w:line="274" w:lineRule="auto"/>
              <w:rPr>
                <w:rFonts w:ascii="Arial"/>
                <w:sz w:val="21"/>
              </w:rPr>
            </w:pPr>
          </w:p>
          <w:p>
            <w:pPr>
              <w:spacing w:line="275" w:lineRule="auto"/>
              <w:rPr>
                <w:rFonts w:ascii="Arial"/>
                <w:sz w:val="21"/>
              </w:rPr>
            </w:pPr>
          </w:p>
          <w:p>
            <w:pPr>
              <w:pStyle w:val="6"/>
              <w:spacing w:before="61" w:line="232" w:lineRule="auto"/>
              <w:ind w:left="1661"/>
            </w:pPr>
            <w:r>
              <w:t>/</w:t>
            </w:r>
          </w:p>
        </w:tc>
        <w:tc>
          <w:tcPr>
            <w:tcW w:w="2374" w:type="dxa"/>
            <w:vMerge w:val="restart"/>
            <w:tcBorders>
              <w:bottom w:val="nil"/>
            </w:tcBorders>
            <w:vAlign w:val="top"/>
          </w:tcPr>
          <w:p>
            <w:pPr>
              <w:spacing w:before="34" w:line="229" w:lineRule="auto"/>
              <w:ind w:left="1096" w:right="133" w:hanging="946"/>
              <w:rPr>
                <w:rFonts w:ascii="仿宋" w:hAnsi="仿宋" w:eastAsia="仿宋" w:cs="仿宋"/>
                <w:sz w:val="21"/>
                <w:szCs w:val="21"/>
              </w:rPr>
            </w:pPr>
            <w:r>
              <w:rPr>
                <w:rFonts w:ascii="仿宋" w:hAnsi="仿宋" w:eastAsia="仿宋" w:cs="仿宋"/>
                <w:spacing w:val="-2"/>
                <w:sz w:val="21"/>
                <w:szCs w:val="21"/>
              </w:rPr>
              <w:t>输水工程引水至碧么水</w:t>
            </w:r>
            <w:r>
              <w:rPr>
                <w:rFonts w:ascii="仿宋" w:hAnsi="仿宋" w:eastAsia="仿宋" w:cs="仿宋"/>
                <w:spacing w:val="3"/>
                <w:sz w:val="21"/>
                <w:szCs w:val="21"/>
              </w:rPr>
              <w:t xml:space="preserve"> </w:t>
            </w:r>
            <w:r>
              <w:rPr>
                <w:rFonts w:ascii="仿宋" w:hAnsi="仿宋" w:eastAsia="仿宋" w:cs="仿宋"/>
                <w:sz w:val="21"/>
                <w:szCs w:val="21"/>
              </w:rPr>
              <w:t>库</w:t>
            </w:r>
          </w:p>
        </w:tc>
        <w:tc>
          <w:tcPr>
            <w:tcW w:w="1300" w:type="dxa"/>
            <w:vMerge w:val="restart"/>
            <w:tcBorders>
              <w:bottom w:val="nil"/>
            </w:tcBorders>
            <w:vAlign w:val="top"/>
          </w:tcPr>
          <w:p>
            <w:pPr>
              <w:rPr>
                <w:rFonts w:ascii="Arial"/>
                <w:sz w:val="21"/>
              </w:rPr>
            </w:pPr>
          </w:p>
        </w:tc>
        <w:tc>
          <w:tcPr>
            <w:tcW w:w="1530" w:type="dxa"/>
            <w:vMerge w:val="restart"/>
            <w:tcBorders>
              <w:bottom w:val="nil"/>
            </w:tcBorders>
            <w:vAlign w:val="top"/>
          </w:tcPr>
          <w:p>
            <w:pPr>
              <w:spacing w:before="54" w:line="247" w:lineRule="auto"/>
              <w:ind w:left="357" w:right="132" w:hanging="212"/>
              <w:rPr>
                <w:rFonts w:ascii="仿宋" w:hAnsi="仿宋" w:eastAsia="仿宋" w:cs="仿宋"/>
                <w:sz w:val="21"/>
                <w:szCs w:val="21"/>
              </w:rPr>
            </w:pPr>
            <w:r>
              <w:rPr>
                <w:rFonts w:ascii="仿宋" w:hAnsi="仿宋" w:eastAsia="仿宋" w:cs="仿宋"/>
                <w:spacing w:val="-3"/>
                <w:sz w:val="21"/>
                <w:szCs w:val="21"/>
              </w:rPr>
              <w:t>水、运营期灌</w:t>
            </w:r>
            <w:r>
              <w:rPr>
                <w:rFonts w:ascii="仿宋" w:hAnsi="仿宋" w:eastAsia="仿宋" w:cs="仿宋"/>
                <w:spacing w:val="3"/>
                <w:sz w:val="21"/>
                <w:szCs w:val="21"/>
              </w:rPr>
              <w:t xml:space="preserve"> </w:t>
            </w:r>
            <w:r>
              <w:rPr>
                <w:rFonts w:ascii="仿宋" w:hAnsi="仿宋" w:eastAsia="仿宋" w:cs="仿宋"/>
                <w:spacing w:val="-4"/>
                <w:sz w:val="21"/>
                <w:szCs w:val="21"/>
              </w:rPr>
              <w:t>溉回归水</w:t>
            </w:r>
          </w:p>
        </w:tc>
        <w:tc>
          <w:tcPr>
            <w:tcW w:w="3005" w:type="dxa"/>
            <w:vMerge w:val="restart"/>
            <w:tcBorders>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7" w:hRule="atLeast"/>
        </w:trPr>
        <w:tc>
          <w:tcPr>
            <w:tcW w:w="979" w:type="dxa"/>
            <w:vMerge w:val="continue"/>
            <w:tcBorders>
              <w:top w:val="nil"/>
              <w:left w:val="nil"/>
            </w:tcBorders>
            <w:vAlign w:val="top"/>
          </w:tcPr>
          <w:p>
            <w:pPr>
              <w:rPr>
                <w:rFonts w:ascii="Arial"/>
                <w:sz w:val="21"/>
              </w:rPr>
            </w:pPr>
          </w:p>
        </w:tc>
        <w:tc>
          <w:tcPr>
            <w:tcW w:w="1386" w:type="dxa"/>
            <w:vAlign w:val="top"/>
          </w:tcPr>
          <w:p>
            <w:pPr>
              <w:spacing w:before="120" w:line="219" w:lineRule="auto"/>
              <w:ind w:left="391"/>
              <w:rPr>
                <w:rFonts w:ascii="仿宋" w:hAnsi="仿宋" w:eastAsia="仿宋" w:cs="仿宋"/>
                <w:sz w:val="21"/>
                <w:szCs w:val="21"/>
              </w:rPr>
            </w:pPr>
            <w:r>
              <w:rPr>
                <w:rFonts w:ascii="仿宋" w:hAnsi="仿宋" w:eastAsia="仿宋" w:cs="仿宋"/>
                <w:spacing w:val="-4"/>
                <w:sz w:val="21"/>
                <w:szCs w:val="21"/>
              </w:rPr>
              <w:t>六苴河</w:t>
            </w:r>
          </w:p>
        </w:tc>
        <w:tc>
          <w:tcPr>
            <w:tcW w:w="3385" w:type="dxa"/>
            <w:gridSpan w:val="2"/>
            <w:vAlign w:val="top"/>
          </w:tcPr>
          <w:p>
            <w:pPr>
              <w:pStyle w:val="6"/>
              <w:spacing w:before="156" w:line="232" w:lineRule="auto"/>
              <w:ind w:left="1661"/>
            </w:pPr>
            <w:r>
              <w:t>/</w:t>
            </w:r>
          </w:p>
        </w:tc>
        <w:tc>
          <w:tcPr>
            <w:tcW w:w="2374" w:type="dxa"/>
            <w:vMerge w:val="continue"/>
            <w:tcBorders>
              <w:top w:val="nil"/>
            </w:tcBorders>
            <w:vAlign w:val="top"/>
          </w:tcPr>
          <w:p>
            <w:pPr>
              <w:rPr>
                <w:rFonts w:ascii="Arial"/>
                <w:sz w:val="21"/>
              </w:rPr>
            </w:pPr>
          </w:p>
        </w:tc>
        <w:tc>
          <w:tcPr>
            <w:tcW w:w="1300" w:type="dxa"/>
            <w:vMerge w:val="continue"/>
            <w:tcBorders>
              <w:top w:val="nil"/>
            </w:tcBorders>
            <w:vAlign w:val="top"/>
          </w:tcPr>
          <w:p>
            <w:pPr>
              <w:rPr>
                <w:rFonts w:ascii="Arial"/>
                <w:sz w:val="21"/>
              </w:rPr>
            </w:pPr>
          </w:p>
        </w:tc>
        <w:tc>
          <w:tcPr>
            <w:tcW w:w="1530" w:type="dxa"/>
            <w:vMerge w:val="continue"/>
            <w:tcBorders>
              <w:top w:val="nil"/>
            </w:tcBorders>
            <w:vAlign w:val="top"/>
          </w:tcPr>
          <w:p>
            <w:pPr>
              <w:rPr>
                <w:rFonts w:ascii="Arial"/>
                <w:sz w:val="21"/>
              </w:rPr>
            </w:pPr>
          </w:p>
        </w:tc>
        <w:tc>
          <w:tcPr>
            <w:tcW w:w="3005"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979" w:type="dxa"/>
            <w:tcBorders>
              <w:left w:val="nil"/>
            </w:tcBorders>
            <w:vAlign w:val="top"/>
          </w:tcPr>
          <w:p>
            <w:pPr>
              <w:spacing w:before="218" w:line="218" w:lineRule="auto"/>
              <w:ind w:left="188"/>
              <w:rPr>
                <w:rFonts w:ascii="仿宋" w:hAnsi="仿宋" w:eastAsia="仿宋" w:cs="仿宋"/>
                <w:sz w:val="21"/>
                <w:szCs w:val="21"/>
              </w:rPr>
            </w:pPr>
            <w:r>
              <w:rPr>
                <w:rFonts w:ascii="仿宋" w:hAnsi="仿宋" w:eastAsia="仿宋" w:cs="仿宋"/>
                <w:spacing w:val="-4"/>
                <w:sz w:val="21"/>
                <w:szCs w:val="21"/>
              </w:rPr>
              <w:t>地下水</w:t>
            </w:r>
          </w:p>
        </w:tc>
        <w:tc>
          <w:tcPr>
            <w:tcW w:w="1386" w:type="dxa"/>
            <w:vAlign w:val="top"/>
          </w:tcPr>
          <w:p>
            <w:pPr>
              <w:spacing w:before="218" w:line="217" w:lineRule="auto"/>
              <w:ind w:left="178"/>
              <w:rPr>
                <w:rFonts w:ascii="仿宋" w:hAnsi="仿宋" w:eastAsia="仿宋" w:cs="仿宋"/>
                <w:sz w:val="21"/>
                <w:szCs w:val="21"/>
              </w:rPr>
            </w:pPr>
            <w:r>
              <w:rPr>
                <w:rFonts w:ascii="仿宋" w:hAnsi="仿宋" w:eastAsia="仿宋" w:cs="仿宋"/>
                <w:spacing w:val="-3"/>
                <w:sz w:val="21"/>
                <w:szCs w:val="21"/>
              </w:rPr>
              <w:t>水质、水位</w:t>
            </w:r>
          </w:p>
        </w:tc>
        <w:tc>
          <w:tcPr>
            <w:tcW w:w="3385" w:type="dxa"/>
            <w:gridSpan w:val="2"/>
            <w:vAlign w:val="top"/>
          </w:tcPr>
          <w:p>
            <w:pPr>
              <w:spacing w:before="218" w:line="218" w:lineRule="auto"/>
              <w:ind w:left="1182"/>
              <w:rPr>
                <w:rFonts w:ascii="仿宋" w:hAnsi="仿宋" w:eastAsia="仿宋" w:cs="仿宋"/>
                <w:sz w:val="21"/>
                <w:szCs w:val="21"/>
              </w:rPr>
            </w:pPr>
            <w:r>
              <w:rPr>
                <w:rFonts w:ascii="仿宋" w:hAnsi="仿宋" w:eastAsia="仿宋" w:cs="仿宋"/>
                <w:spacing w:val="-3"/>
                <w:sz w:val="21"/>
                <w:szCs w:val="21"/>
              </w:rPr>
              <w:t>库区地下水</w:t>
            </w:r>
          </w:p>
        </w:tc>
        <w:tc>
          <w:tcPr>
            <w:tcW w:w="2374" w:type="dxa"/>
            <w:vAlign w:val="top"/>
          </w:tcPr>
          <w:p>
            <w:pPr>
              <w:spacing w:before="218" w:line="218" w:lineRule="auto"/>
              <w:ind w:left="992"/>
              <w:rPr>
                <w:rFonts w:ascii="仿宋" w:hAnsi="仿宋" w:eastAsia="仿宋" w:cs="仿宋"/>
                <w:sz w:val="21"/>
                <w:szCs w:val="21"/>
              </w:rPr>
            </w:pPr>
            <w:r>
              <w:rPr>
                <w:rFonts w:ascii="仿宋" w:hAnsi="仿宋" w:eastAsia="仿宋" w:cs="仿宋"/>
                <w:spacing w:val="-5"/>
                <w:sz w:val="21"/>
                <w:szCs w:val="21"/>
              </w:rPr>
              <w:t>库区</w:t>
            </w:r>
          </w:p>
        </w:tc>
        <w:tc>
          <w:tcPr>
            <w:tcW w:w="1300" w:type="dxa"/>
            <w:vAlign w:val="top"/>
          </w:tcPr>
          <w:p>
            <w:pPr>
              <w:spacing w:before="217" w:line="219" w:lineRule="auto"/>
              <w:ind w:left="348"/>
              <w:rPr>
                <w:rFonts w:ascii="仿宋" w:hAnsi="仿宋" w:eastAsia="仿宋" w:cs="仿宋"/>
                <w:sz w:val="21"/>
                <w:szCs w:val="21"/>
              </w:rPr>
            </w:pPr>
            <w:r>
              <w:rPr>
                <w:rFonts w:ascii="仿宋" w:hAnsi="仿宋" w:eastAsia="仿宋" w:cs="仿宋"/>
                <w:spacing w:val="-4"/>
                <w:sz w:val="21"/>
                <w:szCs w:val="21"/>
              </w:rPr>
              <w:t>运营期</w:t>
            </w:r>
          </w:p>
        </w:tc>
        <w:tc>
          <w:tcPr>
            <w:tcW w:w="1530" w:type="dxa"/>
            <w:vAlign w:val="top"/>
          </w:tcPr>
          <w:p>
            <w:pPr>
              <w:spacing w:before="219" w:line="218" w:lineRule="auto"/>
              <w:ind w:left="355"/>
              <w:rPr>
                <w:rFonts w:ascii="仿宋" w:hAnsi="仿宋" w:eastAsia="仿宋" w:cs="仿宋"/>
                <w:sz w:val="21"/>
                <w:szCs w:val="21"/>
              </w:rPr>
            </w:pPr>
            <w:r>
              <w:rPr>
                <w:rFonts w:ascii="仿宋" w:hAnsi="仿宋" w:eastAsia="仿宋" w:cs="仿宋"/>
                <w:spacing w:val="-3"/>
                <w:sz w:val="21"/>
                <w:szCs w:val="21"/>
              </w:rPr>
              <w:t>水库蓄水</w:t>
            </w:r>
          </w:p>
        </w:tc>
        <w:tc>
          <w:tcPr>
            <w:tcW w:w="3005" w:type="dxa"/>
            <w:tcBorders>
              <w:right w:val="nil"/>
            </w:tcBorders>
            <w:vAlign w:val="top"/>
          </w:tcPr>
          <w:p>
            <w:pPr>
              <w:spacing w:before="63" w:line="218" w:lineRule="auto"/>
              <w:ind w:left="563"/>
              <w:rPr>
                <w:rFonts w:ascii="仿宋" w:hAnsi="仿宋" w:eastAsia="仿宋" w:cs="仿宋"/>
                <w:sz w:val="21"/>
                <w:szCs w:val="21"/>
              </w:rPr>
            </w:pPr>
            <w:r>
              <w:rPr>
                <w:rFonts w:ascii="仿宋" w:hAnsi="仿宋" w:eastAsia="仿宋" w:cs="仿宋"/>
                <w:spacing w:val="-2"/>
                <w:sz w:val="21"/>
                <w:szCs w:val="21"/>
              </w:rPr>
              <w:t>《地下水质量标准》</w:t>
            </w:r>
          </w:p>
          <w:p>
            <w:pPr>
              <w:pStyle w:val="6"/>
              <w:spacing w:before="64" w:line="213" w:lineRule="auto"/>
              <w:ind w:left="136"/>
              <w:rPr>
                <w:rFonts w:ascii="仿宋" w:hAnsi="仿宋" w:eastAsia="仿宋" w:cs="仿宋"/>
              </w:rPr>
            </w:pPr>
            <w:r>
              <w:rPr>
                <w:rFonts w:ascii="仿宋" w:hAnsi="仿宋" w:eastAsia="仿宋" w:cs="仿宋"/>
                <w:spacing w:val="-2"/>
              </w:rPr>
              <w:t>（</w:t>
            </w:r>
            <w:r>
              <w:rPr>
                <w:spacing w:val="-2"/>
              </w:rPr>
              <w:t>GB/T14848-2017</w:t>
            </w:r>
            <w:r>
              <w:rPr>
                <w:rFonts w:ascii="仿宋" w:hAnsi="仿宋" w:eastAsia="仿宋" w:cs="仿宋"/>
                <w:spacing w:val="-2"/>
              </w:rPr>
              <w:t>）Ⅲ类标准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2" w:hRule="atLeast"/>
        </w:trPr>
        <w:tc>
          <w:tcPr>
            <w:tcW w:w="979" w:type="dxa"/>
            <w:vMerge w:val="restart"/>
            <w:tcBorders>
              <w:left w:val="nil"/>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8" w:line="229" w:lineRule="auto"/>
              <w:ind w:left="400" w:right="172" w:hanging="200"/>
              <w:rPr>
                <w:rFonts w:ascii="仿宋" w:hAnsi="仿宋" w:eastAsia="仿宋" w:cs="仿宋"/>
                <w:sz w:val="21"/>
                <w:szCs w:val="21"/>
              </w:rPr>
            </w:pPr>
            <w:r>
              <w:rPr>
                <w:rFonts w:ascii="仿宋" w:hAnsi="仿宋" w:eastAsia="仿宋" w:cs="仿宋"/>
                <w:spacing w:val="-9"/>
                <w:sz w:val="21"/>
                <w:szCs w:val="21"/>
              </w:rPr>
              <w:t>生态环</w:t>
            </w:r>
            <w:r>
              <w:rPr>
                <w:rFonts w:ascii="仿宋" w:hAnsi="仿宋" w:eastAsia="仿宋" w:cs="仿宋"/>
                <w:sz w:val="21"/>
                <w:szCs w:val="21"/>
              </w:rPr>
              <w:t xml:space="preserve"> 境</w:t>
            </w:r>
          </w:p>
        </w:tc>
        <w:tc>
          <w:tcPr>
            <w:tcW w:w="1386" w:type="dxa"/>
            <w:vAlign w:val="top"/>
          </w:tcPr>
          <w:p>
            <w:pPr>
              <w:spacing w:line="258" w:lineRule="auto"/>
              <w:rPr>
                <w:rFonts w:ascii="Arial"/>
                <w:sz w:val="21"/>
              </w:rPr>
            </w:pPr>
          </w:p>
          <w:p>
            <w:pPr>
              <w:spacing w:line="258" w:lineRule="auto"/>
              <w:rPr>
                <w:rFonts w:ascii="Arial"/>
                <w:sz w:val="21"/>
              </w:rPr>
            </w:pPr>
          </w:p>
          <w:p>
            <w:pPr>
              <w:spacing w:before="69" w:line="217" w:lineRule="auto"/>
              <w:ind w:left="178"/>
              <w:rPr>
                <w:rFonts w:ascii="仿宋" w:hAnsi="仿宋" w:eastAsia="仿宋" w:cs="仿宋"/>
                <w:sz w:val="21"/>
                <w:szCs w:val="21"/>
              </w:rPr>
            </w:pPr>
            <w:r>
              <w:rPr>
                <w:rFonts w:ascii="仿宋" w:hAnsi="仿宋" w:eastAsia="仿宋" w:cs="仿宋"/>
                <w:spacing w:val="-3"/>
                <w:sz w:val="21"/>
                <w:szCs w:val="21"/>
              </w:rPr>
              <w:t>植被及植物</w:t>
            </w:r>
          </w:p>
        </w:tc>
        <w:tc>
          <w:tcPr>
            <w:tcW w:w="3385" w:type="dxa"/>
            <w:gridSpan w:val="2"/>
            <w:vAlign w:val="top"/>
          </w:tcPr>
          <w:p>
            <w:pPr>
              <w:spacing w:before="43" w:line="217" w:lineRule="auto"/>
              <w:ind w:left="130"/>
              <w:rPr>
                <w:rFonts w:ascii="仿宋" w:hAnsi="仿宋" w:eastAsia="仿宋" w:cs="仿宋"/>
                <w:sz w:val="21"/>
                <w:szCs w:val="21"/>
              </w:rPr>
            </w:pPr>
            <w:r>
              <w:rPr>
                <w:rFonts w:ascii="仿宋" w:hAnsi="仿宋" w:eastAsia="仿宋" w:cs="仿宋"/>
                <w:spacing w:val="-2"/>
                <w:sz w:val="21"/>
                <w:szCs w:val="21"/>
              </w:rPr>
              <w:t>半湿润常绿阔叶林、干热河谷硬叶</w:t>
            </w:r>
          </w:p>
          <w:p>
            <w:pPr>
              <w:spacing w:before="25" w:line="216" w:lineRule="auto"/>
              <w:ind w:left="141"/>
              <w:rPr>
                <w:rFonts w:ascii="仿宋" w:hAnsi="仿宋" w:eastAsia="仿宋" w:cs="仿宋"/>
                <w:sz w:val="21"/>
                <w:szCs w:val="21"/>
              </w:rPr>
            </w:pPr>
            <w:r>
              <w:rPr>
                <w:rFonts w:ascii="仿宋" w:hAnsi="仿宋" w:eastAsia="仿宋" w:cs="仿宋"/>
                <w:spacing w:val="-2"/>
                <w:sz w:val="21"/>
                <w:szCs w:val="21"/>
              </w:rPr>
              <w:t>常绿栎类林、落叶阔叶林、暖温性</w:t>
            </w:r>
          </w:p>
          <w:p>
            <w:pPr>
              <w:spacing w:before="26" w:line="216" w:lineRule="auto"/>
              <w:ind w:left="128"/>
              <w:rPr>
                <w:rFonts w:ascii="仿宋" w:hAnsi="仿宋" w:eastAsia="仿宋" w:cs="仿宋"/>
                <w:sz w:val="21"/>
                <w:szCs w:val="21"/>
              </w:rPr>
            </w:pPr>
            <w:r>
              <w:rPr>
                <w:rFonts w:ascii="仿宋" w:hAnsi="仿宋" w:eastAsia="仿宋" w:cs="仿宋"/>
                <w:spacing w:val="-1"/>
                <w:sz w:val="21"/>
                <w:szCs w:val="21"/>
              </w:rPr>
              <w:t>针叶林、干热性稀树灌木草丛、暖</w:t>
            </w:r>
          </w:p>
          <w:p>
            <w:pPr>
              <w:spacing w:before="26" w:line="216" w:lineRule="auto"/>
              <w:ind w:left="132"/>
              <w:rPr>
                <w:rFonts w:ascii="仿宋" w:hAnsi="仿宋" w:eastAsia="仿宋" w:cs="仿宋"/>
                <w:sz w:val="21"/>
                <w:szCs w:val="21"/>
              </w:rPr>
            </w:pPr>
            <w:r>
              <w:rPr>
                <w:rFonts w:ascii="仿宋" w:hAnsi="仿宋" w:eastAsia="仿宋" w:cs="仿宋"/>
                <w:spacing w:val="-2"/>
                <w:sz w:val="21"/>
                <w:szCs w:val="21"/>
              </w:rPr>
              <w:t>温性稀树灌木草丛、暖性石灰岩灌</w:t>
            </w:r>
          </w:p>
          <w:p>
            <w:pPr>
              <w:spacing w:before="27" w:line="192" w:lineRule="auto"/>
              <w:ind w:left="1601"/>
              <w:rPr>
                <w:rFonts w:ascii="仿宋" w:hAnsi="仿宋" w:eastAsia="仿宋" w:cs="仿宋"/>
                <w:sz w:val="21"/>
                <w:szCs w:val="21"/>
              </w:rPr>
            </w:pPr>
            <w:r>
              <w:rPr>
                <w:rFonts w:ascii="仿宋" w:hAnsi="仿宋" w:eastAsia="仿宋" w:cs="仿宋"/>
                <w:sz w:val="21"/>
                <w:szCs w:val="21"/>
              </w:rPr>
              <w:t>丛</w:t>
            </w:r>
          </w:p>
        </w:tc>
        <w:tc>
          <w:tcPr>
            <w:tcW w:w="2374" w:type="dxa"/>
            <w:vAlign w:val="top"/>
          </w:tcPr>
          <w:p>
            <w:pPr>
              <w:spacing w:line="258" w:lineRule="auto"/>
              <w:rPr>
                <w:rFonts w:ascii="Arial"/>
                <w:sz w:val="21"/>
              </w:rPr>
            </w:pPr>
          </w:p>
          <w:p>
            <w:pPr>
              <w:spacing w:line="258" w:lineRule="auto"/>
              <w:rPr>
                <w:rFonts w:ascii="Arial"/>
                <w:sz w:val="21"/>
              </w:rPr>
            </w:pPr>
          </w:p>
          <w:p>
            <w:pPr>
              <w:spacing w:before="69" w:line="219" w:lineRule="auto"/>
              <w:ind w:left="465"/>
              <w:rPr>
                <w:rFonts w:ascii="仿宋" w:hAnsi="仿宋" w:eastAsia="仿宋" w:cs="仿宋"/>
                <w:sz w:val="21"/>
                <w:szCs w:val="21"/>
              </w:rPr>
            </w:pPr>
            <w:r>
              <w:rPr>
                <w:rFonts w:ascii="仿宋" w:hAnsi="仿宋" w:eastAsia="仿宋" w:cs="仿宋"/>
                <w:spacing w:val="-2"/>
                <w:sz w:val="21"/>
                <w:szCs w:val="21"/>
              </w:rPr>
              <w:t>淹没区、施工区</w:t>
            </w:r>
          </w:p>
        </w:tc>
        <w:tc>
          <w:tcPr>
            <w:tcW w:w="1300" w:type="dxa"/>
            <w:vAlign w:val="top"/>
          </w:tcPr>
          <w:p>
            <w:pPr>
              <w:spacing w:line="258" w:lineRule="auto"/>
              <w:rPr>
                <w:rFonts w:ascii="Arial"/>
                <w:sz w:val="21"/>
              </w:rPr>
            </w:pPr>
          </w:p>
          <w:p>
            <w:pPr>
              <w:spacing w:line="258" w:lineRule="auto"/>
              <w:rPr>
                <w:rFonts w:ascii="Arial"/>
                <w:sz w:val="21"/>
              </w:rPr>
            </w:pPr>
          </w:p>
          <w:p>
            <w:pPr>
              <w:spacing w:before="69" w:line="219" w:lineRule="auto"/>
              <w:ind w:left="346"/>
              <w:rPr>
                <w:rFonts w:ascii="仿宋" w:hAnsi="仿宋" w:eastAsia="仿宋" w:cs="仿宋"/>
                <w:sz w:val="21"/>
                <w:szCs w:val="21"/>
              </w:rPr>
            </w:pPr>
            <w:r>
              <w:rPr>
                <w:rFonts w:ascii="仿宋" w:hAnsi="仿宋" w:eastAsia="仿宋" w:cs="仿宋"/>
                <w:spacing w:val="-3"/>
                <w:sz w:val="21"/>
                <w:szCs w:val="21"/>
              </w:rPr>
              <w:t>施工期</w:t>
            </w:r>
          </w:p>
        </w:tc>
        <w:tc>
          <w:tcPr>
            <w:tcW w:w="1530" w:type="dxa"/>
            <w:vAlign w:val="top"/>
          </w:tcPr>
          <w:p>
            <w:pPr>
              <w:spacing w:line="258" w:lineRule="auto"/>
              <w:rPr>
                <w:rFonts w:ascii="Arial"/>
                <w:sz w:val="21"/>
              </w:rPr>
            </w:pPr>
          </w:p>
          <w:p>
            <w:pPr>
              <w:spacing w:line="259" w:lineRule="auto"/>
              <w:rPr>
                <w:rFonts w:ascii="Arial"/>
                <w:sz w:val="21"/>
              </w:rPr>
            </w:pPr>
          </w:p>
          <w:p>
            <w:pPr>
              <w:spacing w:before="68" w:line="220" w:lineRule="auto"/>
              <w:ind w:left="355"/>
              <w:rPr>
                <w:rFonts w:ascii="仿宋" w:hAnsi="仿宋" w:eastAsia="仿宋" w:cs="仿宋"/>
                <w:sz w:val="21"/>
                <w:szCs w:val="21"/>
              </w:rPr>
            </w:pPr>
            <w:r>
              <w:rPr>
                <w:rFonts w:ascii="仿宋" w:hAnsi="仿宋" w:eastAsia="仿宋" w:cs="仿宋"/>
                <w:spacing w:val="-4"/>
                <w:sz w:val="21"/>
                <w:szCs w:val="21"/>
              </w:rPr>
              <w:t>施工占地</w:t>
            </w:r>
          </w:p>
        </w:tc>
        <w:tc>
          <w:tcPr>
            <w:tcW w:w="3005" w:type="dxa"/>
            <w:tcBorders>
              <w:right w:val="nil"/>
            </w:tcBorders>
            <w:vAlign w:val="top"/>
          </w:tcPr>
          <w:p>
            <w:pPr>
              <w:spacing w:line="361" w:lineRule="auto"/>
              <w:rPr>
                <w:rFonts w:ascii="Arial"/>
                <w:sz w:val="21"/>
              </w:rPr>
            </w:pPr>
          </w:p>
          <w:p>
            <w:pPr>
              <w:spacing w:before="68" w:line="247" w:lineRule="auto"/>
              <w:ind w:left="1415" w:right="137" w:hanging="1265"/>
              <w:rPr>
                <w:rFonts w:ascii="仿宋" w:hAnsi="仿宋" w:eastAsia="仿宋" w:cs="仿宋"/>
                <w:sz w:val="21"/>
                <w:szCs w:val="21"/>
              </w:rPr>
            </w:pPr>
            <w:r>
              <w:rPr>
                <w:rFonts w:ascii="仿宋" w:hAnsi="仿宋" w:eastAsia="仿宋" w:cs="仿宋"/>
                <w:spacing w:val="-2"/>
                <w:sz w:val="21"/>
                <w:szCs w:val="21"/>
              </w:rPr>
              <w:t>减少工程施、占地对植被的影</w:t>
            </w:r>
            <w:r>
              <w:rPr>
                <w:rFonts w:ascii="仿宋" w:hAnsi="仿宋" w:eastAsia="仿宋" w:cs="仿宋"/>
                <w:spacing w:val="9"/>
                <w:sz w:val="21"/>
                <w:szCs w:val="21"/>
              </w:rPr>
              <w:t xml:space="preserve"> </w:t>
            </w:r>
            <w:r>
              <w:rPr>
                <w:rFonts w:ascii="仿宋" w:hAnsi="仿宋" w:eastAsia="仿宋" w:cs="仿宋"/>
                <w:sz w:val="21"/>
                <w:szCs w:val="21"/>
              </w:rPr>
              <w:t>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176" w:hRule="atLeast"/>
        </w:trPr>
        <w:tc>
          <w:tcPr>
            <w:tcW w:w="979" w:type="dxa"/>
            <w:vMerge w:val="continue"/>
            <w:tcBorders>
              <w:top w:val="nil"/>
              <w:left w:val="nil"/>
              <w:bottom w:val="nil"/>
            </w:tcBorders>
            <w:vAlign w:val="top"/>
          </w:tcPr>
          <w:p>
            <w:pPr>
              <w:rPr>
                <w:rFonts w:ascii="Arial"/>
                <w:sz w:val="21"/>
              </w:rPr>
            </w:pPr>
          </w:p>
        </w:tc>
        <w:tc>
          <w:tcPr>
            <w:tcW w:w="1386" w:type="dxa"/>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spacing w:before="69" w:line="217" w:lineRule="auto"/>
              <w:ind w:left="496"/>
              <w:rPr>
                <w:rFonts w:ascii="仿宋" w:hAnsi="仿宋" w:eastAsia="仿宋" w:cs="仿宋"/>
                <w:sz w:val="21"/>
                <w:szCs w:val="21"/>
              </w:rPr>
            </w:pPr>
            <w:r>
              <w:rPr>
                <w:rFonts w:ascii="仿宋" w:hAnsi="仿宋" w:eastAsia="仿宋" w:cs="仿宋"/>
                <w:spacing w:val="-5"/>
                <w:sz w:val="21"/>
                <w:szCs w:val="21"/>
              </w:rPr>
              <w:t>动物</w:t>
            </w:r>
          </w:p>
        </w:tc>
        <w:tc>
          <w:tcPr>
            <w:tcW w:w="3385" w:type="dxa"/>
            <w:gridSpan w:val="2"/>
            <w:vAlign w:val="top"/>
          </w:tcPr>
          <w:p>
            <w:pPr>
              <w:pStyle w:val="6"/>
              <w:spacing w:before="47" w:line="217" w:lineRule="auto"/>
              <w:ind w:left="153"/>
              <w:rPr>
                <w:rFonts w:ascii="仿宋" w:hAnsi="仿宋" w:eastAsia="仿宋" w:cs="仿宋"/>
              </w:rPr>
            </w:pPr>
            <w:r>
              <w:rPr>
                <w:rFonts w:ascii="仿宋" w:hAnsi="仿宋" w:eastAsia="仿宋" w:cs="仿宋"/>
                <w:spacing w:val="-5"/>
              </w:rPr>
              <w:t>国家Ⅱ级重点保护鸟类有</w:t>
            </w:r>
            <w:r>
              <w:rPr>
                <w:rFonts w:ascii="仿宋" w:hAnsi="仿宋" w:eastAsia="仿宋" w:cs="仿宋"/>
                <w:spacing w:val="-32"/>
              </w:rPr>
              <w:t xml:space="preserve"> </w:t>
            </w:r>
            <w:r>
              <w:rPr>
                <w:spacing w:val="-5"/>
              </w:rPr>
              <w:t>5</w:t>
            </w:r>
            <w:r>
              <w:rPr>
                <w:spacing w:val="16"/>
                <w:w w:val="101"/>
              </w:rPr>
              <w:t xml:space="preserve"> </w:t>
            </w:r>
            <w:r>
              <w:rPr>
                <w:rFonts w:ascii="仿宋" w:hAnsi="仿宋" w:eastAsia="仿宋" w:cs="仿宋"/>
                <w:spacing w:val="-5"/>
              </w:rPr>
              <w:t>种（普</w:t>
            </w:r>
          </w:p>
          <w:p>
            <w:pPr>
              <w:spacing w:before="26" w:line="218" w:lineRule="auto"/>
              <w:ind w:left="238"/>
              <w:rPr>
                <w:rFonts w:ascii="仿宋" w:hAnsi="仿宋" w:eastAsia="仿宋" w:cs="仿宋"/>
                <w:sz w:val="21"/>
                <w:szCs w:val="21"/>
              </w:rPr>
            </w:pPr>
            <w:r>
              <w:rPr>
                <w:rFonts w:ascii="仿宋" w:hAnsi="仿宋" w:eastAsia="仿宋" w:cs="仿宋"/>
                <w:spacing w:val="-2"/>
                <w:sz w:val="21"/>
                <w:szCs w:val="21"/>
              </w:rPr>
              <w:t>通鵟、雀鷹、松雀鹰、红隼和画</w:t>
            </w:r>
          </w:p>
          <w:p>
            <w:pPr>
              <w:spacing w:before="24" w:line="215" w:lineRule="auto"/>
              <w:ind w:left="132"/>
              <w:rPr>
                <w:rFonts w:ascii="仿宋" w:hAnsi="仿宋" w:eastAsia="仿宋" w:cs="仿宋"/>
                <w:sz w:val="21"/>
                <w:szCs w:val="21"/>
              </w:rPr>
            </w:pPr>
            <w:r>
              <w:rPr>
                <w:rFonts w:ascii="仿宋" w:hAnsi="仿宋" w:eastAsia="仿宋" w:cs="仿宋"/>
                <w:spacing w:val="-14"/>
                <w:sz w:val="21"/>
                <w:szCs w:val="21"/>
              </w:rPr>
              <w:t>眉）。《中国生物多样性红色名录—</w:t>
            </w:r>
          </w:p>
          <w:p>
            <w:pPr>
              <w:pStyle w:val="6"/>
              <w:spacing w:before="27" w:line="217" w:lineRule="auto"/>
              <w:ind w:left="155"/>
              <w:rPr>
                <w:rFonts w:ascii="仿宋" w:hAnsi="仿宋" w:eastAsia="仿宋" w:cs="仿宋"/>
              </w:rPr>
            </w:pPr>
            <w:r>
              <w:rPr>
                <w:rFonts w:ascii="仿宋" w:hAnsi="仿宋" w:eastAsia="仿宋" w:cs="仿宋"/>
                <w:spacing w:val="-13"/>
              </w:rPr>
              <w:t>脊椎动物卷》（</w:t>
            </w:r>
            <w:r>
              <w:rPr>
                <w:spacing w:val="-13"/>
              </w:rPr>
              <w:t>2015</w:t>
            </w:r>
            <w:r>
              <w:rPr>
                <w:spacing w:val="19"/>
                <w:w w:val="101"/>
              </w:rPr>
              <w:t xml:space="preserve"> </w:t>
            </w:r>
            <w:r>
              <w:rPr>
                <w:rFonts w:ascii="仿宋" w:hAnsi="仿宋" w:eastAsia="仿宋" w:cs="仿宋"/>
                <w:spacing w:val="-13"/>
              </w:rPr>
              <w:t>年） 中濒危物</w:t>
            </w:r>
          </w:p>
          <w:p>
            <w:pPr>
              <w:spacing w:before="25" w:line="217" w:lineRule="auto"/>
              <w:ind w:left="184"/>
              <w:rPr>
                <w:rFonts w:ascii="仿宋" w:hAnsi="仿宋" w:eastAsia="仿宋" w:cs="仿宋"/>
                <w:sz w:val="21"/>
                <w:szCs w:val="21"/>
              </w:rPr>
            </w:pPr>
            <w:r>
              <w:rPr>
                <w:rFonts w:ascii="仿宋" w:hAnsi="仿宋" w:eastAsia="仿宋" w:cs="仿宋"/>
                <w:spacing w:val="-4"/>
                <w:sz w:val="21"/>
                <w:szCs w:val="21"/>
              </w:rPr>
              <w:t>种仅一种（细脆蛇蜥</w:t>
            </w:r>
            <w:r>
              <w:rPr>
                <w:rFonts w:ascii="仿宋" w:hAnsi="仿宋" w:eastAsia="仿宋" w:cs="仿宋"/>
                <w:spacing w:val="-42"/>
                <w:sz w:val="21"/>
                <w:szCs w:val="21"/>
              </w:rPr>
              <w:t>）；</w:t>
            </w:r>
            <w:r>
              <w:rPr>
                <w:rFonts w:ascii="仿宋" w:hAnsi="仿宋" w:eastAsia="仿宋" w:cs="仿宋"/>
                <w:spacing w:val="-4"/>
                <w:sz w:val="21"/>
                <w:szCs w:val="21"/>
              </w:rPr>
              <w:t>易危物种</w:t>
            </w:r>
          </w:p>
          <w:p>
            <w:pPr>
              <w:pStyle w:val="6"/>
              <w:spacing w:before="26" w:line="216" w:lineRule="auto"/>
              <w:ind w:left="127"/>
              <w:rPr>
                <w:rFonts w:ascii="仿宋" w:hAnsi="仿宋" w:eastAsia="仿宋" w:cs="仿宋"/>
              </w:rPr>
            </w:pPr>
            <w:r>
              <w:rPr>
                <w:rFonts w:ascii="仿宋" w:hAnsi="仿宋" w:eastAsia="仿宋" w:cs="仿宋"/>
                <w:spacing w:val="-4"/>
              </w:rPr>
              <w:t>有</w:t>
            </w:r>
            <w:r>
              <w:rPr>
                <w:rFonts w:ascii="仿宋" w:hAnsi="仿宋" w:eastAsia="仿宋" w:cs="仿宋"/>
                <w:spacing w:val="-35"/>
              </w:rPr>
              <w:t xml:space="preserve"> </w:t>
            </w:r>
            <w:r>
              <w:rPr>
                <w:spacing w:val="-4"/>
              </w:rPr>
              <w:t>3</w:t>
            </w:r>
            <w:r>
              <w:rPr>
                <w:spacing w:val="16"/>
                <w:w w:val="101"/>
              </w:rPr>
              <w:t xml:space="preserve"> </w:t>
            </w:r>
            <w:r>
              <w:rPr>
                <w:rFonts w:ascii="仿宋" w:hAnsi="仿宋" w:eastAsia="仿宋" w:cs="仿宋"/>
                <w:spacing w:val="-4"/>
              </w:rPr>
              <w:t>种（乌梢蛇、棘胸蛙、棕点湍</w:t>
            </w:r>
          </w:p>
          <w:p>
            <w:pPr>
              <w:pStyle w:val="6"/>
              <w:spacing w:before="27" w:line="212" w:lineRule="auto"/>
              <w:ind w:left="286" w:right="227" w:hanging="80"/>
              <w:rPr>
                <w:rFonts w:ascii="仿宋" w:hAnsi="仿宋" w:eastAsia="仿宋" w:cs="仿宋"/>
              </w:rPr>
            </w:pPr>
            <w:r>
              <w:rPr>
                <w:rFonts w:ascii="仿宋" w:hAnsi="仿宋" w:eastAsia="仿宋" w:cs="仿宋"/>
                <w:spacing w:val="-12"/>
              </w:rPr>
              <w:t>蛙）。</w:t>
            </w:r>
            <w:r>
              <w:rPr>
                <w:spacing w:val="-12"/>
              </w:rPr>
              <w:t>4</w:t>
            </w:r>
            <w:r>
              <w:rPr>
                <w:spacing w:val="28"/>
              </w:rPr>
              <w:t xml:space="preserve"> </w:t>
            </w:r>
            <w:r>
              <w:rPr>
                <w:rFonts w:ascii="仿宋" w:hAnsi="仿宋" w:eastAsia="仿宋" w:cs="仿宋"/>
                <w:spacing w:val="-12"/>
              </w:rPr>
              <w:t>种中国特有种（棘胸蛙、</w:t>
            </w:r>
            <w:r>
              <w:rPr>
                <w:rFonts w:ascii="仿宋" w:hAnsi="仿宋" w:eastAsia="仿宋" w:cs="仿宋"/>
              </w:rPr>
              <w:t xml:space="preserve"> </w:t>
            </w:r>
            <w:r>
              <w:rPr>
                <w:rFonts w:ascii="仿宋" w:hAnsi="仿宋" w:eastAsia="仿宋" w:cs="仿宋"/>
                <w:spacing w:val="-7"/>
              </w:rPr>
              <w:t>棕点湍蛙、滇蛙、昭觉林蛙）。</w:t>
            </w:r>
          </w:p>
        </w:tc>
        <w:tc>
          <w:tcPr>
            <w:tcW w:w="2374" w:type="dxa"/>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8" w:line="219" w:lineRule="auto"/>
              <w:ind w:left="465"/>
              <w:rPr>
                <w:rFonts w:ascii="仿宋" w:hAnsi="仿宋" w:eastAsia="仿宋" w:cs="仿宋"/>
                <w:sz w:val="21"/>
                <w:szCs w:val="21"/>
              </w:rPr>
            </w:pPr>
            <w:r>
              <w:rPr>
                <w:rFonts w:ascii="仿宋" w:hAnsi="仿宋" w:eastAsia="仿宋" w:cs="仿宋"/>
                <w:spacing w:val="-2"/>
                <w:sz w:val="21"/>
                <w:szCs w:val="21"/>
              </w:rPr>
              <w:t>淹没区、施工区</w:t>
            </w:r>
          </w:p>
        </w:tc>
        <w:tc>
          <w:tcPr>
            <w:tcW w:w="1300" w:type="dxa"/>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68" w:line="219" w:lineRule="auto"/>
              <w:ind w:left="346"/>
              <w:rPr>
                <w:rFonts w:ascii="仿宋" w:hAnsi="仿宋" w:eastAsia="仿宋" w:cs="仿宋"/>
                <w:sz w:val="21"/>
                <w:szCs w:val="21"/>
              </w:rPr>
            </w:pPr>
            <w:r>
              <w:rPr>
                <w:rFonts w:ascii="仿宋" w:hAnsi="仿宋" w:eastAsia="仿宋" w:cs="仿宋"/>
                <w:spacing w:val="-3"/>
                <w:sz w:val="21"/>
                <w:szCs w:val="21"/>
              </w:rPr>
              <w:t>施工期</w:t>
            </w:r>
          </w:p>
        </w:tc>
        <w:tc>
          <w:tcPr>
            <w:tcW w:w="1530" w:type="dxa"/>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spacing w:before="68" w:line="220" w:lineRule="auto"/>
              <w:ind w:left="251"/>
              <w:rPr>
                <w:rFonts w:ascii="仿宋" w:hAnsi="仿宋" w:eastAsia="仿宋" w:cs="仿宋"/>
                <w:sz w:val="21"/>
                <w:szCs w:val="21"/>
              </w:rPr>
            </w:pPr>
            <w:r>
              <w:rPr>
                <w:rFonts w:ascii="仿宋" w:hAnsi="仿宋" w:eastAsia="仿宋" w:cs="仿宋"/>
                <w:spacing w:val="-3"/>
                <w:sz w:val="21"/>
                <w:szCs w:val="21"/>
              </w:rPr>
              <w:t>施工、占地</w:t>
            </w:r>
          </w:p>
        </w:tc>
        <w:tc>
          <w:tcPr>
            <w:tcW w:w="3005" w:type="dxa"/>
            <w:tcBorders>
              <w:right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1" w:line="232" w:lineRule="auto"/>
              <w:ind w:left="1470"/>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15" w:hRule="atLeast"/>
        </w:trPr>
        <w:tc>
          <w:tcPr>
            <w:tcW w:w="979" w:type="dxa"/>
            <w:vMerge w:val="continue"/>
            <w:tcBorders>
              <w:top w:val="nil"/>
              <w:left w:val="nil"/>
              <w:bottom w:val="single" w:color="000000" w:sz="12" w:space="0"/>
            </w:tcBorders>
            <w:vAlign w:val="top"/>
          </w:tcPr>
          <w:p>
            <w:pPr>
              <w:rPr>
                <w:rFonts w:ascii="Arial"/>
                <w:sz w:val="21"/>
              </w:rPr>
            </w:pPr>
          </w:p>
        </w:tc>
        <w:tc>
          <w:tcPr>
            <w:tcW w:w="1386" w:type="dxa"/>
            <w:tcBorders>
              <w:bottom w:val="single" w:color="000000" w:sz="12" w:space="0"/>
            </w:tcBorders>
            <w:vAlign w:val="top"/>
          </w:tcPr>
          <w:p>
            <w:pPr>
              <w:spacing w:line="395" w:lineRule="auto"/>
              <w:rPr>
                <w:rFonts w:ascii="Arial"/>
                <w:sz w:val="21"/>
              </w:rPr>
            </w:pPr>
          </w:p>
          <w:p>
            <w:pPr>
              <w:spacing w:before="68" w:line="220" w:lineRule="auto"/>
              <w:ind w:left="501"/>
              <w:rPr>
                <w:rFonts w:ascii="仿宋" w:hAnsi="仿宋" w:eastAsia="仿宋" w:cs="仿宋"/>
                <w:sz w:val="21"/>
                <w:szCs w:val="21"/>
              </w:rPr>
            </w:pPr>
            <w:r>
              <w:rPr>
                <w:rFonts w:ascii="仿宋" w:hAnsi="仿宋" w:eastAsia="仿宋" w:cs="仿宋"/>
                <w:spacing w:val="-6"/>
                <w:sz w:val="21"/>
                <w:szCs w:val="21"/>
              </w:rPr>
              <w:t>鱼类</w:t>
            </w:r>
          </w:p>
        </w:tc>
        <w:tc>
          <w:tcPr>
            <w:tcW w:w="3385" w:type="dxa"/>
            <w:gridSpan w:val="2"/>
            <w:tcBorders>
              <w:bottom w:val="single" w:color="000000" w:sz="12" w:space="0"/>
            </w:tcBorders>
            <w:vAlign w:val="top"/>
          </w:tcPr>
          <w:p>
            <w:pPr>
              <w:spacing w:before="56" w:line="217" w:lineRule="auto"/>
              <w:ind w:left="132"/>
              <w:rPr>
                <w:rFonts w:ascii="仿宋" w:hAnsi="仿宋" w:eastAsia="仿宋" w:cs="仿宋"/>
                <w:sz w:val="21"/>
                <w:szCs w:val="21"/>
              </w:rPr>
            </w:pPr>
            <w:r>
              <w:rPr>
                <w:rFonts w:ascii="仿宋" w:hAnsi="仿宋" w:eastAsia="仿宋" w:cs="仿宋"/>
                <w:spacing w:val="-2"/>
                <w:sz w:val="21"/>
                <w:szCs w:val="21"/>
              </w:rPr>
              <w:t>无国家级、云南省级保护鱼类，无</w:t>
            </w:r>
          </w:p>
          <w:p>
            <w:pPr>
              <w:pStyle w:val="6"/>
              <w:spacing w:before="25" w:line="219" w:lineRule="auto"/>
              <w:ind w:left="159"/>
              <w:rPr>
                <w:rFonts w:ascii="仿宋" w:hAnsi="仿宋" w:eastAsia="仿宋" w:cs="仿宋"/>
              </w:rPr>
            </w:pPr>
            <w:r>
              <w:rPr>
                <w:rFonts w:ascii="仿宋" w:hAnsi="仿宋" w:eastAsia="仿宋" w:cs="仿宋"/>
                <w:spacing w:val="-10"/>
              </w:rPr>
              <w:t>鱼类“三场”，无列入</w:t>
            </w:r>
            <w:r>
              <w:rPr>
                <w:rFonts w:ascii="仿宋" w:hAnsi="仿宋" w:eastAsia="仿宋" w:cs="仿宋"/>
                <w:spacing w:val="-22"/>
              </w:rPr>
              <w:t xml:space="preserve"> </w:t>
            </w:r>
            <w:r>
              <w:rPr>
                <w:spacing w:val="-10"/>
              </w:rPr>
              <w:t>CITES</w:t>
            </w:r>
            <w:r>
              <w:rPr>
                <w:spacing w:val="23"/>
              </w:rPr>
              <w:t xml:space="preserve"> </w:t>
            </w:r>
            <w:r>
              <w:rPr>
                <w:rFonts w:ascii="仿宋" w:hAnsi="仿宋" w:eastAsia="仿宋" w:cs="仿宋"/>
                <w:spacing w:val="-10"/>
              </w:rPr>
              <w:t>附录</w:t>
            </w:r>
          </w:p>
          <w:p>
            <w:pPr>
              <w:pStyle w:val="6"/>
              <w:spacing w:before="23" w:line="217" w:lineRule="auto"/>
              <w:ind w:left="138"/>
              <w:rPr>
                <w:rFonts w:ascii="仿宋" w:hAnsi="仿宋" w:eastAsia="仿宋" w:cs="仿宋"/>
              </w:rPr>
            </w:pPr>
            <w:r>
              <w:rPr>
                <w:rFonts w:ascii="仿宋" w:hAnsi="仿宋" w:eastAsia="仿宋" w:cs="仿宋"/>
                <w:spacing w:val="-3"/>
              </w:rPr>
              <w:t>动物及</w:t>
            </w:r>
            <w:r>
              <w:rPr>
                <w:rFonts w:ascii="仿宋" w:hAnsi="仿宋" w:eastAsia="仿宋" w:cs="仿宋"/>
                <w:spacing w:val="-36"/>
              </w:rPr>
              <w:t xml:space="preserve"> </w:t>
            </w:r>
            <w:r>
              <w:rPr>
                <w:spacing w:val="-3"/>
              </w:rPr>
              <w:t>IUCN</w:t>
            </w:r>
            <w:r>
              <w:rPr>
                <w:spacing w:val="15"/>
              </w:rPr>
              <w:t xml:space="preserve"> </w:t>
            </w:r>
            <w:r>
              <w:rPr>
                <w:rFonts w:ascii="仿宋" w:hAnsi="仿宋" w:eastAsia="仿宋" w:cs="仿宋"/>
                <w:spacing w:val="-3"/>
              </w:rPr>
              <w:t>红色名录物种，无特</w:t>
            </w:r>
          </w:p>
          <w:p>
            <w:pPr>
              <w:spacing w:before="26" w:line="203" w:lineRule="auto"/>
              <w:ind w:left="1387"/>
              <w:rPr>
                <w:rFonts w:ascii="仿宋" w:hAnsi="仿宋" w:eastAsia="仿宋" w:cs="仿宋"/>
                <w:sz w:val="21"/>
                <w:szCs w:val="21"/>
              </w:rPr>
            </w:pPr>
            <w:r>
              <w:rPr>
                <w:rFonts w:ascii="仿宋" w:hAnsi="仿宋" w:eastAsia="仿宋" w:cs="仿宋"/>
                <w:spacing w:val="-3"/>
                <w:sz w:val="21"/>
                <w:szCs w:val="21"/>
              </w:rPr>
              <w:t>有物种</w:t>
            </w:r>
          </w:p>
        </w:tc>
        <w:tc>
          <w:tcPr>
            <w:tcW w:w="2374" w:type="dxa"/>
            <w:tcBorders>
              <w:bottom w:val="single" w:color="000000" w:sz="12" w:space="0"/>
            </w:tcBorders>
            <w:vAlign w:val="top"/>
          </w:tcPr>
          <w:p>
            <w:pPr>
              <w:spacing w:line="395" w:lineRule="auto"/>
              <w:rPr>
                <w:rFonts w:ascii="Arial"/>
                <w:sz w:val="21"/>
              </w:rPr>
            </w:pPr>
          </w:p>
          <w:p>
            <w:pPr>
              <w:spacing w:before="68" w:line="216" w:lineRule="auto"/>
              <w:ind w:left="883"/>
              <w:rPr>
                <w:rFonts w:ascii="仿宋" w:hAnsi="仿宋" w:eastAsia="仿宋" w:cs="仿宋"/>
                <w:sz w:val="21"/>
                <w:szCs w:val="21"/>
              </w:rPr>
            </w:pPr>
            <w:r>
              <w:rPr>
                <w:rFonts w:ascii="仿宋" w:hAnsi="仿宋" w:eastAsia="仿宋" w:cs="仿宋"/>
                <w:spacing w:val="-4"/>
                <w:sz w:val="21"/>
                <w:szCs w:val="21"/>
              </w:rPr>
              <w:t>桂花河</w:t>
            </w:r>
          </w:p>
        </w:tc>
        <w:tc>
          <w:tcPr>
            <w:tcW w:w="1300" w:type="dxa"/>
            <w:tcBorders>
              <w:bottom w:val="single" w:color="000000" w:sz="12" w:space="0"/>
            </w:tcBorders>
            <w:vAlign w:val="top"/>
          </w:tcPr>
          <w:p>
            <w:pPr>
              <w:spacing w:line="259" w:lineRule="auto"/>
              <w:rPr>
                <w:rFonts w:ascii="Arial"/>
                <w:sz w:val="21"/>
              </w:rPr>
            </w:pPr>
          </w:p>
          <w:p>
            <w:pPr>
              <w:spacing w:before="68" w:line="239" w:lineRule="auto"/>
              <w:ind w:left="346"/>
              <w:rPr>
                <w:rFonts w:ascii="仿宋" w:hAnsi="仿宋" w:eastAsia="仿宋" w:cs="仿宋"/>
                <w:sz w:val="21"/>
                <w:szCs w:val="21"/>
              </w:rPr>
            </w:pPr>
            <w:r>
              <w:rPr>
                <w:rFonts w:ascii="仿宋" w:hAnsi="仿宋" w:eastAsia="仿宋" w:cs="仿宋"/>
                <w:spacing w:val="-3"/>
                <w:sz w:val="21"/>
                <w:szCs w:val="21"/>
              </w:rPr>
              <w:t>施工期</w:t>
            </w:r>
          </w:p>
          <w:p>
            <w:pPr>
              <w:spacing w:line="218" w:lineRule="auto"/>
              <w:ind w:left="348"/>
              <w:rPr>
                <w:rFonts w:ascii="仿宋" w:hAnsi="仿宋" w:eastAsia="仿宋" w:cs="仿宋"/>
                <w:sz w:val="21"/>
                <w:szCs w:val="21"/>
              </w:rPr>
            </w:pPr>
            <w:r>
              <w:rPr>
                <w:rFonts w:ascii="仿宋" w:hAnsi="仿宋" w:eastAsia="仿宋" w:cs="仿宋"/>
                <w:spacing w:val="-6"/>
                <w:sz w:val="21"/>
                <w:szCs w:val="21"/>
              </w:rPr>
              <w:t>运营期</w:t>
            </w:r>
          </w:p>
        </w:tc>
        <w:tc>
          <w:tcPr>
            <w:tcW w:w="1530" w:type="dxa"/>
            <w:tcBorders>
              <w:bottom w:val="single" w:color="000000" w:sz="12" w:space="0"/>
            </w:tcBorders>
            <w:vAlign w:val="top"/>
          </w:tcPr>
          <w:p>
            <w:pPr>
              <w:rPr>
                <w:rFonts w:ascii="Arial"/>
                <w:sz w:val="21"/>
              </w:rPr>
            </w:pPr>
          </w:p>
          <w:p>
            <w:pPr>
              <w:spacing w:before="68" w:line="246" w:lineRule="auto"/>
              <w:ind w:left="251" w:right="132" w:hanging="103"/>
              <w:rPr>
                <w:rFonts w:ascii="仿宋" w:hAnsi="仿宋" w:eastAsia="仿宋" w:cs="仿宋"/>
                <w:sz w:val="21"/>
                <w:szCs w:val="21"/>
              </w:rPr>
            </w:pPr>
            <w:r>
              <w:rPr>
                <w:rFonts w:ascii="仿宋" w:hAnsi="仿宋" w:eastAsia="仿宋" w:cs="仿宋"/>
                <w:spacing w:val="-3"/>
                <w:sz w:val="21"/>
                <w:szCs w:val="21"/>
              </w:rPr>
              <w:t>大坝阻隔及水</w:t>
            </w:r>
            <w:r>
              <w:rPr>
                <w:rFonts w:ascii="仿宋" w:hAnsi="仿宋" w:eastAsia="仿宋" w:cs="仿宋"/>
                <w:sz w:val="21"/>
                <w:szCs w:val="21"/>
              </w:rPr>
              <w:t xml:space="preserve"> </w:t>
            </w:r>
            <w:r>
              <w:rPr>
                <w:rFonts w:ascii="仿宋" w:hAnsi="仿宋" w:eastAsia="仿宋" w:cs="仿宋"/>
                <w:spacing w:val="-3"/>
                <w:sz w:val="21"/>
                <w:szCs w:val="21"/>
              </w:rPr>
              <w:t>文情势变化</w:t>
            </w:r>
          </w:p>
        </w:tc>
        <w:tc>
          <w:tcPr>
            <w:tcW w:w="3005" w:type="dxa"/>
            <w:tcBorders>
              <w:bottom w:val="single" w:color="000000" w:sz="12" w:space="0"/>
              <w:right w:val="nil"/>
            </w:tcBorders>
            <w:vAlign w:val="top"/>
          </w:tcPr>
          <w:p>
            <w:pPr>
              <w:spacing w:line="437" w:lineRule="auto"/>
              <w:rPr>
                <w:rFonts w:ascii="Arial"/>
                <w:sz w:val="21"/>
              </w:rPr>
            </w:pPr>
          </w:p>
          <w:p>
            <w:pPr>
              <w:pStyle w:val="6"/>
              <w:spacing w:before="60" w:line="232" w:lineRule="auto"/>
              <w:ind w:left="1470"/>
            </w:pPr>
            <w:r>
              <w:t>/</w:t>
            </w:r>
          </w:p>
        </w:tc>
      </w:tr>
    </w:tbl>
    <w:p>
      <w:pPr>
        <w:rPr>
          <w:rFonts w:ascii="Arial"/>
          <w:sz w:val="21"/>
        </w:rPr>
      </w:pPr>
    </w:p>
    <w:p>
      <w:pPr>
        <w:rPr>
          <w:rFonts w:ascii="Arial" w:hAnsi="Arial" w:eastAsia="Arial" w:cs="Arial"/>
          <w:sz w:val="21"/>
          <w:szCs w:val="21"/>
        </w:rPr>
        <w:sectPr>
          <w:footerReference r:id="rId52" w:type="default"/>
          <w:pgSz w:w="16839" w:h="11907"/>
          <w:pgMar w:top="1156" w:right="1408" w:bottom="1154" w:left="1410" w:header="881" w:footer="991" w:gutter="0"/>
        </w:sectPr>
      </w:pPr>
    </w:p>
    <w:p>
      <w:pPr>
        <w:spacing w:line="262" w:lineRule="auto"/>
        <w:rPr>
          <w:rFonts w:ascii="Arial"/>
          <w:sz w:val="21"/>
        </w:rPr>
      </w:pPr>
    </w:p>
    <w:p>
      <w:pPr>
        <w:spacing w:line="262" w:lineRule="auto"/>
        <w:rPr>
          <w:rFonts w:ascii="Arial"/>
          <w:sz w:val="21"/>
        </w:rPr>
      </w:pPr>
    </w:p>
    <w:p>
      <w:pPr>
        <w:pStyle w:val="2"/>
        <w:spacing w:before="88" w:line="225" w:lineRule="auto"/>
        <w:ind w:left="48"/>
        <w:outlineLvl w:val="1"/>
        <w:rPr>
          <w:sz w:val="27"/>
          <w:szCs w:val="27"/>
        </w:rPr>
      </w:pPr>
      <w:bookmarkStart w:id="16" w:name="bookmark17"/>
      <w:bookmarkEnd w:id="16"/>
      <w:r>
        <w:rPr>
          <w:rFonts w:ascii="Times New Roman" w:hAnsi="Times New Roman" w:eastAsia="Times New Roman" w:cs="Times New Roman"/>
          <w:b/>
          <w:bCs/>
          <w:spacing w:val="7"/>
          <w:sz w:val="27"/>
          <w:szCs w:val="27"/>
        </w:rPr>
        <w:t xml:space="preserve">1.8 </w:t>
      </w:r>
      <w:r>
        <w:rPr>
          <w:spacing w:val="7"/>
          <w:sz w:val="27"/>
          <w:szCs w:val="27"/>
          <w14:textOutline w14:w="5072" w14:cap="flat" w14:cmpd="sng">
            <w14:solidFill>
              <w14:srgbClr w14:val="000000"/>
            </w14:solidFill>
            <w14:prstDash w14:val="solid"/>
            <w14:miter w14:val="0"/>
          </w14:textOutline>
        </w:rPr>
        <w:t>评价重点及评价时段</w:t>
      </w:r>
    </w:p>
    <w:p>
      <w:pPr>
        <w:spacing w:line="299" w:lineRule="auto"/>
        <w:rPr>
          <w:rFonts w:ascii="Arial"/>
          <w:sz w:val="21"/>
        </w:rPr>
      </w:pPr>
    </w:p>
    <w:p>
      <w:pPr>
        <w:pStyle w:val="2"/>
        <w:spacing w:before="78" w:line="219" w:lineRule="auto"/>
        <w:ind w:left="45"/>
        <w:outlineLvl w:val="2"/>
        <w:rPr>
          <w:sz w:val="24"/>
          <w:szCs w:val="24"/>
        </w:rPr>
      </w:pPr>
      <w:r>
        <w:rPr>
          <w:rFonts w:ascii="Times New Roman" w:hAnsi="Times New Roman" w:eastAsia="Times New Roman" w:cs="Times New Roman"/>
          <w:b/>
          <w:bCs/>
          <w:spacing w:val="-2"/>
          <w:sz w:val="24"/>
          <w:szCs w:val="24"/>
        </w:rPr>
        <w:t xml:space="preserve">1.8.1 </w:t>
      </w:r>
      <w:r>
        <w:rPr>
          <w:spacing w:val="-2"/>
          <w:sz w:val="24"/>
          <w:szCs w:val="24"/>
          <w14:textOutline w14:w="4354" w14:cap="flat" w14:cmpd="sng">
            <w14:solidFill>
              <w14:srgbClr w14:val="000000"/>
            </w14:solidFill>
            <w14:prstDash w14:val="solid"/>
            <w14:miter w14:val="0"/>
          </w14:textOutline>
        </w:rPr>
        <w:t>评价重点</w:t>
      </w:r>
    </w:p>
    <w:p>
      <w:pPr>
        <w:spacing w:before="296" w:line="468" w:lineRule="exact"/>
        <w:ind w:left="520"/>
        <w:rPr>
          <w:rFonts w:ascii="宋体" w:hAnsi="宋体" w:eastAsia="宋体" w:cs="宋体"/>
          <w:sz w:val="24"/>
          <w:szCs w:val="24"/>
        </w:rPr>
      </w:pPr>
      <w:r>
        <w:rPr>
          <w:rFonts w:ascii="宋体" w:hAnsi="宋体" w:eastAsia="宋体" w:cs="宋体"/>
          <w:spacing w:val="-2"/>
          <w:position w:val="17"/>
          <w:sz w:val="24"/>
          <w:szCs w:val="24"/>
        </w:rPr>
        <w:t>本项目为新建项目，本项目环境影响评价工作的重点包括以下几个方面：</w:t>
      </w:r>
    </w:p>
    <w:p>
      <w:pPr>
        <w:spacing w:before="1" w:line="218"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）选址环境合理性及工程布置环境合理</w:t>
      </w:r>
      <w:r>
        <w:rPr>
          <w:rFonts w:ascii="宋体" w:hAnsi="宋体" w:eastAsia="宋体" w:cs="宋体"/>
          <w:spacing w:val="-3"/>
          <w:sz w:val="24"/>
          <w:szCs w:val="24"/>
        </w:rPr>
        <w:t>性分析。</w:t>
      </w:r>
    </w:p>
    <w:p>
      <w:pPr>
        <w:spacing w:before="184" w:line="468" w:lineRule="exact"/>
        <w:ind w:right="30"/>
        <w:jc w:val="right"/>
        <w:rPr>
          <w:rFonts w:ascii="宋体" w:hAnsi="宋体" w:eastAsia="宋体" w:cs="宋体"/>
          <w:sz w:val="24"/>
          <w:szCs w:val="24"/>
        </w:rPr>
      </w:pPr>
      <w:r>
        <w:rPr>
          <w:rFonts w:ascii="宋体" w:hAnsi="宋体" w:eastAsia="宋体" w:cs="宋体"/>
          <w:spacing w:val="-6"/>
          <w:position w:val="17"/>
          <w:sz w:val="24"/>
          <w:szCs w:val="24"/>
        </w:rPr>
        <w:t>（</w:t>
      </w:r>
      <w:r>
        <w:rPr>
          <w:rFonts w:ascii="Times New Roman" w:hAnsi="Times New Roman" w:eastAsia="Times New Roman" w:cs="Times New Roman"/>
          <w:spacing w:val="-6"/>
          <w:position w:val="17"/>
          <w:sz w:val="24"/>
          <w:szCs w:val="24"/>
        </w:rPr>
        <w:t>2</w:t>
      </w:r>
      <w:r>
        <w:rPr>
          <w:rFonts w:ascii="宋体" w:hAnsi="宋体" w:eastAsia="宋体" w:cs="宋体"/>
          <w:spacing w:val="-6"/>
          <w:position w:val="17"/>
          <w:sz w:val="24"/>
          <w:szCs w:val="24"/>
        </w:rPr>
        <w:t>）生态环境影响：包括自然植被、珍稀濒危动植物、</w:t>
      </w:r>
      <w:r>
        <w:rPr>
          <w:rFonts w:ascii="宋体" w:hAnsi="宋体" w:eastAsia="宋体" w:cs="宋体"/>
          <w:spacing w:val="-25"/>
          <w:position w:val="17"/>
          <w:sz w:val="24"/>
          <w:szCs w:val="24"/>
        </w:rPr>
        <w:t xml:space="preserve"> </w:t>
      </w:r>
      <w:r>
        <w:rPr>
          <w:rFonts w:ascii="宋体" w:hAnsi="宋体" w:eastAsia="宋体" w:cs="宋体"/>
          <w:spacing w:val="-6"/>
          <w:position w:val="17"/>
          <w:sz w:val="24"/>
          <w:szCs w:val="24"/>
        </w:rPr>
        <w:t>鱼类、 公益林</w:t>
      </w:r>
      <w:r>
        <w:rPr>
          <w:rFonts w:ascii="宋体" w:hAnsi="宋体" w:eastAsia="宋体" w:cs="宋体"/>
          <w:spacing w:val="-7"/>
          <w:position w:val="17"/>
          <w:sz w:val="24"/>
          <w:szCs w:val="24"/>
        </w:rPr>
        <w:t>、土</w:t>
      </w:r>
    </w:p>
    <w:p>
      <w:pPr>
        <w:spacing w:before="1" w:line="220" w:lineRule="auto"/>
        <w:ind w:left="39"/>
        <w:rPr>
          <w:rFonts w:ascii="宋体" w:hAnsi="宋体" w:eastAsia="宋体" w:cs="宋体"/>
          <w:sz w:val="24"/>
          <w:szCs w:val="24"/>
        </w:rPr>
      </w:pPr>
      <w:r>
        <w:rPr>
          <w:rFonts w:ascii="宋体" w:hAnsi="宋体" w:eastAsia="宋体" w:cs="宋体"/>
          <w:spacing w:val="-3"/>
          <w:sz w:val="24"/>
          <w:szCs w:val="24"/>
        </w:rPr>
        <w:t>地利用。</w:t>
      </w:r>
    </w:p>
    <w:p>
      <w:pPr>
        <w:spacing w:before="181" w:line="360" w:lineRule="auto"/>
        <w:ind w:left="42" w:right="31" w:firstLine="483"/>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3</w:t>
      </w:r>
      <w:r>
        <w:rPr>
          <w:rFonts w:ascii="宋体" w:hAnsi="宋体" w:eastAsia="宋体" w:cs="宋体"/>
          <w:spacing w:val="-10"/>
          <w:sz w:val="24"/>
          <w:szCs w:val="24"/>
        </w:rPr>
        <w:t>）水环境及水资源利用影响：</w:t>
      </w:r>
      <w:r>
        <w:rPr>
          <w:rFonts w:ascii="宋体" w:hAnsi="宋体" w:eastAsia="宋体" w:cs="宋体"/>
          <w:spacing w:val="-40"/>
          <w:sz w:val="24"/>
          <w:szCs w:val="24"/>
        </w:rPr>
        <w:t xml:space="preserve"> </w:t>
      </w:r>
      <w:r>
        <w:rPr>
          <w:rFonts w:ascii="宋体" w:hAnsi="宋体" w:eastAsia="宋体" w:cs="宋体"/>
          <w:spacing w:val="-10"/>
          <w:sz w:val="24"/>
          <w:szCs w:val="24"/>
        </w:rPr>
        <w:t>主要是施工期和运行期对桂花河</w:t>
      </w:r>
      <w:r>
        <w:rPr>
          <w:rFonts w:ascii="宋体" w:hAnsi="宋体" w:eastAsia="宋体" w:cs="宋体"/>
          <w:spacing w:val="-11"/>
          <w:sz w:val="24"/>
          <w:szCs w:val="24"/>
        </w:rPr>
        <w:t>水文情势、</w:t>
      </w:r>
      <w:r>
        <w:rPr>
          <w:rFonts w:ascii="宋体" w:hAnsi="宋体" w:eastAsia="宋体" w:cs="宋体"/>
          <w:sz w:val="24"/>
          <w:szCs w:val="24"/>
        </w:rPr>
        <w:t xml:space="preserve"> </w:t>
      </w:r>
      <w:r>
        <w:rPr>
          <w:rFonts w:ascii="宋体" w:hAnsi="宋体" w:eastAsia="宋体" w:cs="宋体"/>
          <w:spacing w:val="-12"/>
          <w:sz w:val="24"/>
          <w:szCs w:val="24"/>
        </w:rPr>
        <w:t>水温、水质的影响；</w:t>
      </w:r>
      <w:r>
        <w:rPr>
          <w:rFonts w:ascii="宋体" w:hAnsi="宋体" w:eastAsia="宋体" w:cs="宋体"/>
          <w:spacing w:val="43"/>
          <w:sz w:val="24"/>
          <w:szCs w:val="24"/>
        </w:rPr>
        <w:t xml:space="preserve"> </w:t>
      </w:r>
      <w:r>
        <w:rPr>
          <w:rFonts w:ascii="宋体" w:hAnsi="宋体" w:eastAsia="宋体" w:cs="宋体"/>
          <w:spacing w:val="-12"/>
          <w:sz w:val="24"/>
          <w:szCs w:val="24"/>
        </w:rPr>
        <w:t>水库水质保障、上游水</w:t>
      </w:r>
      <w:r>
        <w:rPr>
          <w:rFonts w:ascii="宋体" w:hAnsi="宋体" w:eastAsia="宋体" w:cs="宋体"/>
          <w:spacing w:val="-13"/>
          <w:sz w:val="24"/>
          <w:szCs w:val="24"/>
        </w:rPr>
        <w:t>土流失控制及水污染防治；</w:t>
      </w:r>
      <w:r>
        <w:rPr>
          <w:rFonts w:ascii="宋体" w:hAnsi="宋体" w:eastAsia="宋体" w:cs="宋体"/>
          <w:spacing w:val="45"/>
          <w:sz w:val="24"/>
          <w:szCs w:val="24"/>
        </w:rPr>
        <w:t xml:space="preserve"> </w:t>
      </w:r>
      <w:r>
        <w:rPr>
          <w:rFonts w:ascii="宋体" w:hAnsi="宋体" w:eastAsia="宋体" w:cs="宋体"/>
          <w:spacing w:val="-13"/>
          <w:sz w:val="24"/>
          <w:szCs w:val="24"/>
        </w:rPr>
        <w:t>项目建成</w:t>
      </w:r>
    </w:p>
    <w:p>
      <w:pPr>
        <w:spacing w:line="219" w:lineRule="auto"/>
        <w:ind w:left="41"/>
        <w:rPr>
          <w:rFonts w:ascii="宋体" w:hAnsi="宋体" w:eastAsia="宋体" w:cs="宋体"/>
          <w:sz w:val="24"/>
          <w:szCs w:val="24"/>
        </w:rPr>
      </w:pPr>
      <w:r>
        <w:rPr>
          <w:rFonts w:ascii="宋体" w:hAnsi="宋体" w:eastAsia="宋体" w:cs="宋体"/>
          <w:sz w:val="24"/>
          <w:szCs w:val="24"/>
        </w:rPr>
        <w:t>后水库蓄水区的影响、蓄水后对坝址至桂花</w:t>
      </w:r>
      <w:r>
        <w:rPr>
          <w:rFonts w:ascii="宋体" w:hAnsi="宋体" w:eastAsia="宋体" w:cs="宋体"/>
          <w:spacing w:val="-1"/>
          <w:sz w:val="24"/>
          <w:szCs w:val="24"/>
        </w:rPr>
        <w:t>河入金沙江口河段的影响。</w:t>
      </w:r>
    </w:p>
    <w:p>
      <w:pPr>
        <w:spacing w:line="354" w:lineRule="auto"/>
        <w:rPr>
          <w:rFonts w:ascii="Arial"/>
          <w:sz w:val="21"/>
        </w:rPr>
      </w:pPr>
    </w:p>
    <w:p>
      <w:pPr>
        <w:pStyle w:val="2"/>
        <w:spacing w:before="78" w:line="219" w:lineRule="auto"/>
        <w:ind w:left="45"/>
        <w:outlineLvl w:val="2"/>
        <w:rPr>
          <w:sz w:val="24"/>
          <w:szCs w:val="24"/>
        </w:rPr>
      </w:pPr>
      <w:r>
        <w:rPr>
          <w:rFonts w:ascii="Times New Roman" w:hAnsi="Times New Roman" w:eastAsia="Times New Roman" w:cs="Times New Roman"/>
          <w:b/>
          <w:bCs/>
          <w:spacing w:val="-2"/>
          <w:sz w:val="24"/>
          <w:szCs w:val="24"/>
        </w:rPr>
        <w:t xml:space="preserve">1.8.2 </w:t>
      </w:r>
      <w:r>
        <w:rPr>
          <w:spacing w:val="-2"/>
          <w:sz w:val="24"/>
          <w:szCs w:val="24"/>
          <w14:textOutline w14:w="4354" w14:cap="flat" w14:cmpd="sng">
            <w14:solidFill>
              <w14:srgbClr w14:val="000000"/>
            </w14:solidFill>
            <w14:prstDash w14:val="solid"/>
            <w14:miter w14:val="0"/>
          </w14:textOutline>
        </w:rPr>
        <w:t>评价时段</w:t>
      </w:r>
    </w:p>
    <w:p>
      <w:pPr>
        <w:spacing w:before="296" w:line="218" w:lineRule="auto"/>
        <w:ind w:left="518"/>
        <w:rPr>
          <w:rFonts w:ascii="宋体" w:hAnsi="宋体" w:eastAsia="宋体" w:cs="宋体"/>
          <w:sz w:val="24"/>
          <w:szCs w:val="24"/>
        </w:rPr>
      </w:pPr>
      <w:r>
        <w:rPr>
          <w:rFonts w:ascii="宋体" w:hAnsi="宋体" w:eastAsia="宋体" w:cs="宋体"/>
          <w:spacing w:val="-3"/>
          <w:sz w:val="24"/>
          <w:szCs w:val="24"/>
        </w:rPr>
        <w:t>评价时段为施工期和运营期。</w:t>
      </w:r>
    </w:p>
    <w:p>
      <w:pPr>
        <w:spacing w:line="313" w:lineRule="auto"/>
        <w:rPr>
          <w:rFonts w:ascii="Arial"/>
          <w:sz w:val="21"/>
        </w:rPr>
      </w:pPr>
    </w:p>
    <w:p>
      <w:pPr>
        <w:pStyle w:val="2"/>
        <w:spacing w:before="88" w:line="225" w:lineRule="auto"/>
        <w:ind w:left="48"/>
        <w:outlineLvl w:val="1"/>
        <w:rPr>
          <w:sz w:val="27"/>
          <w:szCs w:val="27"/>
        </w:rPr>
      </w:pPr>
      <w:bookmarkStart w:id="17" w:name="bookmark18"/>
      <w:bookmarkEnd w:id="17"/>
      <w:r>
        <w:rPr>
          <w:rFonts w:ascii="Times New Roman" w:hAnsi="Times New Roman" w:eastAsia="Times New Roman" w:cs="Times New Roman"/>
          <w:b/>
          <w:bCs/>
          <w:spacing w:val="6"/>
          <w:sz w:val="27"/>
          <w:szCs w:val="27"/>
        </w:rPr>
        <w:t xml:space="preserve">1.9 </w:t>
      </w:r>
      <w:r>
        <w:rPr>
          <w:spacing w:val="6"/>
          <w:sz w:val="27"/>
          <w:szCs w:val="27"/>
          <w14:textOutline w14:w="5072" w14:cap="flat" w14:cmpd="sng">
            <w14:solidFill>
              <w14:srgbClr w14:val="000000"/>
            </w14:solidFill>
            <w14:prstDash w14:val="solid"/>
            <w14:miter w14:val="0"/>
          </w14:textOutline>
        </w:rPr>
        <w:t>评价工作程序</w:t>
      </w:r>
    </w:p>
    <w:p>
      <w:pPr>
        <w:spacing w:before="284" w:line="218" w:lineRule="auto"/>
        <w:ind w:left="518"/>
        <w:rPr>
          <w:rFonts w:ascii="宋体" w:hAnsi="宋体" w:eastAsia="宋体" w:cs="宋体"/>
          <w:sz w:val="24"/>
          <w:szCs w:val="24"/>
        </w:rPr>
      </w:pPr>
      <w:r>
        <w:rPr>
          <w:rFonts w:ascii="宋体" w:hAnsi="宋体" w:eastAsia="宋体" w:cs="宋体"/>
          <w:spacing w:val="-5"/>
          <w:sz w:val="24"/>
          <w:szCs w:val="24"/>
        </w:rPr>
        <w:t>评价工作程序见图</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1.9-</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w:t>
      </w:r>
      <w:r>
        <w:rPr>
          <w:rFonts w:ascii="宋体" w:hAnsi="宋体" w:eastAsia="宋体" w:cs="宋体"/>
          <w:spacing w:val="-5"/>
          <w:sz w:val="24"/>
          <w:szCs w:val="24"/>
        </w:rPr>
        <w:t>。</w:t>
      </w:r>
    </w:p>
    <w:p>
      <w:pPr>
        <w:spacing w:line="218" w:lineRule="auto"/>
        <w:rPr>
          <w:rFonts w:ascii="宋体" w:hAnsi="宋体" w:eastAsia="宋体" w:cs="宋体"/>
          <w:sz w:val="24"/>
          <w:szCs w:val="24"/>
        </w:rPr>
        <w:sectPr>
          <w:headerReference r:id="rId53" w:type="default"/>
          <w:footerReference r:id="rId54" w:type="default"/>
          <w:pgSz w:w="11907" w:h="16839"/>
          <w:pgMar w:top="1156" w:right="1768" w:bottom="1154" w:left="1770" w:header="881" w:footer="991" w:gutter="0"/>
        </w:sectPr>
      </w:pPr>
    </w:p>
    <w:p>
      <w:pPr>
        <w:spacing w:line="412" w:lineRule="auto"/>
        <w:rPr>
          <w:rFonts w:ascii="Arial"/>
          <w:sz w:val="21"/>
        </w:rPr>
      </w:pPr>
    </w:p>
    <w:p>
      <w:pPr>
        <w:spacing w:line="8160" w:lineRule="exact"/>
        <w:ind w:firstLine="629"/>
      </w:pPr>
      <w:r>
        <w:rPr>
          <w:position w:val="-163"/>
        </w:rPr>
        <w:drawing>
          <wp:inline distT="0" distB="0" distL="0" distR="0">
            <wp:extent cx="5400675" cy="51809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93"/>
                    <a:stretch>
                      <a:fillRect/>
                    </a:stretch>
                  </pic:blipFill>
                  <pic:spPr>
                    <a:xfrm>
                      <a:off x="0" y="0"/>
                      <a:ext cx="5400675" cy="5181599"/>
                    </a:xfrm>
                    <a:prstGeom prst="rect">
                      <a:avLst/>
                    </a:prstGeom>
                  </pic:spPr>
                </pic:pic>
              </a:graphicData>
            </a:graphic>
          </wp:inline>
        </w:drawing>
      </w:r>
    </w:p>
    <w:p>
      <w:pPr>
        <w:spacing w:before="305" w:line="232" w:lineRule="auto"/>
        <w:ind w:left="2175"/>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图</w:t>
      </w:r>
      <w:r>
        <w:rPr>
          <w:rFonts w:ascii="宋体" w:hAnsi="宋体" w:eastAsia="宋体" w:cs="宋体"/>
          <w:spacing w:val="-21"/>
          <w:sz w:val="21"/>
          <w:szCs w:val="21"/>
        </w:rPr>
        <w:t xml:space="preserve"> </w:t>
      </w:r>
      <w:r>
        <w:rPr>
          <w:rFonts w:ascii="Times New Roman" w:hAnsi="Times New Roman" w:eastAsia="Times New Roman" w:cs="Times New Roman"/>
          <w:b/>
          <w:bCs/>
          <w:spacing w:val="-2"/>
          <w:sz w:val="21"/>
          <w:szCs w:val="21"/>
        </w:rPr>
        <w:t xml:space="preserve">1.9-1    </w:t>
      </w:r>
      <w:r>
        <w:rPr>
          <w:rFonts w:ascii="宋体" w:hAnsi="宋体" w:eastAsia="宋体" w:cs="宋体"/>
          <w:spacing w:val="-2"/>
          <w:sz w:val="21"/>
          <w:szCs w:val="21"/>
          <w14:textOutline w14:w="3810" w14:cap="flat" w14:cmpd="sng">
            <w14:solidFill>
              <w14:srgbClr w14:val="000000"/>
            </w14:solidFill>
            <w14:prstDash w14:val="solid"/>
            <w14:miter w14:val="0"/>
          </w14:textOutline>
        </w:rPr>
        <w:t>建设项目环境影响评价工作程序图</w:t>
      </w:r>
    </w:p>
    <w:p>
      <w:pPr>
        <w:spacing w:line="232" w:lineRule="auto"/>
        <w:rPr>
          <w:rFonts w:ascii="宋体" w:hAnsi="宋体" w:eastAsia="宋体" w:cs="宋体"/>
          <w:sz w:val="21"/>
          <w:szCs w:val="21"/>
        </w:rPr>
        <w:sectPr>
          <w:headerReference r:id="rId55" w:type="default"/>
          <w:footerReference r:id="rId56" w:type="default"/>
          <w:pgSz w:w="11907" w:h="16839"/>
          <w:pgMar w:top="1156" w:right="1001" w:bottom="1154" w:left="1770" w:header="881" w:footer="991" w:gutter="0"/>
        </w:sectPr>
      </w:pPr>
    </w:p>
    <w:p>
      <w:pPr>
        <w:spacing w:line="299" w:lineRule="auto"/>
        <w:rPr>
          <w:rFonts w:ascii="Arial"/>
          <w:sz w:val="21"/>
        </w:rPr>
      </w:pPr>
    </w:p>
    <w:p>
      <w:pPr>
        <w:pStyle w:val="2"/>
        <w:spacing w:before="97" w:line="657" w:lineRule="exact"/>
        <w:ind w:left="3047"/>
        <w:rPr>
          <w:sz w:val="30"/>
          <w:szCs w:val="30"/>
        </w:rPr>
      </w:pPr>
      <w:bookmarkStart w:id="18" w:name="bookmark19"/>
      <w:bookmarkEnd w:id="18"/>
      <w:bookmarkStart w:id="19" w:name="bookmark20"/>
      <w:bookmarkEnd w:id="19"/>
      <w:r>
        <w:rPr>
          <w:rFonts w:ascii="Times New Roman" w:hAnsi="Times New Roman" w:eastAsia="Times New Roman" w:cs="Times New Roman"/>
          <w:b/>
          <w:bCs/>
          <w:position w:val="27"/>
          <w:sz w:val="30"/>
          <w:szCs w:val="30"/>
        </w:rPr>
        <w:t xml:space="preserve">2 </w:t>
      </w:r>
      <w:r>
        <w:rPr>
          <w:position w:val="27"/>
          <w:sz w:val="30"/>
          <w:szCs w:val="30"/>
          <w14:textOutline w14:w="5442" w14:cap="flat" w14:cmpd="sng">
            <w14:solidFill>
              <w14:srgbClr w14:val="000000"/>
            </w14:solidFill>
            <w14:prstDash w14:val="solid"/>
            <w14:miter w14:val="0"/>
          </w14:textOutline>
        </w:rPr>
        <w:t>工程概况及工程分析</w:t>
      </w:r>
    </w:p>
    <w:p>
      <w:pPr>
        <w:pStyle w:val="2"/>
        <w:spacing w:line="224" w:lineRule="auto"/>
        <w:ind w:left="36"/>
        <w:rPr>
          <w:sz w:val="27"/>
          <w:szCs w:val="27"/>
        </w:rPr>
      </w:pPr>
      <w:r>
        <w:rPr>
          <w:rFonts w:ascii="Times New Roman" w:hAnsi="Times New Roman" w:eastAsia="Times New Roman" w:cs="Times New Roman"/>
          <w:b/>
          <w:bCs/>
          <w:spacing w:val="8"/>
          <w:sz w:val="27"/>
          <w:szCs w:val="27"/>
        </w:rPr>
        <w:t xml:space="preserve">2.1 </w:t>
      </w:r>
      <w:r>
        <w:rPr>
          <w:spacing w:val="8"/>
          <w:sz w:val="27"/>
          <w:szCs w:val="27"/>
          <w14:textOutline w14:w="5072" w14:cap="flat" w14:cmpd="sng">
            <w14:solidFill>
              <w14:srgbClr w14:val="000000"/>
            </w14:solidFill>
            <w14:prstDash w14:val="solid"/>
            <w14:miter w14:val="0"/>
          </w14:textOutline>
        </w:rPr>
        <w:t>流域规划及开发概况</w:t>
      </w:r>
    </w:p>
    <w:p>
      <w:pPr>
        <w:spacing w:line="265" w:lineRule="auto"/>
        <w:rPr>
          <w:rFonts w:ascii="Arial"/>
          <w:sz w:val="21"/>
        </w:rPr>
      </w:pPr>
    </w:p>
    <w:p>
      <w:pPr>
        <w:pStyle w:val="2"/>
        <w:spacing w:before="78" w:line="232" w:lineRule="auto"/>
        <w:ind w:left="35"/>
        <w:outlineLvl w:val="1"/>
        <w:rPr>
          <w:sz w:val="24"/>
          <w:szCs w:val="24"/>
        </w:rPr>
      </w:pPr>
      <w:r>
        <w:rPr>
          <w:rFonts w:ascii="Times New Roman" w:hAnsi="Times New Roman" w:eastAsia="Times New Roman" w:cs="Times New Roman"/>
          <w:b/>
          <w:bCs/>
          <w:sz w:val="24"/>
          <w:szCs w:val="24"/>
        </w:rPr>
        <w:t xml:space="preserve">2.1.1 </w:t>
      </w:r>
      <w:r>
        <w:rPr>
          <w:sz w:val="24"/>
          <w:szCs w:val="24"/>
          <w14:textOutline w14:w="4354" w14:cap="flat" w14:cmpd="sng">
            <w14:solidFill>
              <w14:srgbClr w14:val="000000"/>
            </w14:solidFill>
            <w14:prstDash w14:val="solid"/>
            <w14:miter w14:val="0"/>
          </w14:textOutline>
        </w:rPr>
        <w:t>流域概况</w:t>
      </w:r>
    </w:p>
    <w:p>
      <w:pPr>
        <w:spacing w:before="165" w:line="467" w:lineRule="exact"/>
        <w:ind w:right="26"/>
        <w:jc w:val="right"/>
        <w:rPr>
          <w:rFonts w:ascii="宋体" w:hAnsi="宋体" w:eastAsia="宋体" w:cs="宋体"/>
          <w:sz w:val="24"/>
          <w:szCs w:val="24"/>
        </w:rPr>
      </w:pPr>
      <w:r>
        <w:rPr>
          <w:rFonts w:ascii="宋体" w:hAnsi="宋体" w:eastAsia="宋体" w:cs="宋体"/>
          <w:spacing w:val="-8"/>
          <w:position w:val="17"/>
          <w:sz w:val="24"/>
          <w:szCs w:val="24"/>
        </w:rPr>
        <w:t>桂花水库取水影响涉及万马河流域、六苴河流域、大姚县蜻蛉河干流流域， 整个分</w:t>
      </w:r>
    </w:p>
    <w:p>
      <w:pPr>
        <w:spacing w:before="1" w:line="220" w:lineRule="auto"/>
        <w:ind w:left="41"/>
        <w:rPr>
          <w:rFonts w:ascii="宋体" w:hAnsi="宋体" w:eastAsia="宋体" w:cs="宋体"/>
          <w:sz w:val="24"/>
          <w:szCs w:val="24"/>
        </w:rPr>
      </w:pPr>
      <w:r>
        <w:rPr>
          <w:rFonts w:ascii="宋体" w:hAnsi="宋体" w:eastAsia="宋体" w:cs="宋体"/>
          <w:spacing w:val="-1"/>
          <w:sz w:val="24"/>
          <w:szCs w:val="24"/>
        </w:rPr>
        <w:t>析范围流域面积为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2395.5km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w:t>
      </w:r>
    </w:p>
    <w:p>
      <w:pPr>
        <w:spacing w:before="179"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）万马河流域概况</w:t>
      </w:r>
    </w:p>
    <w:p>
      <w:pPr>
        <w:spacing w:before="181" w:line="361" w:lineRule="auto"/>
        <w:ind w:left="38" w:right="30" w:firstLine="487"/>
        <w:rPr>
          <w:rFonts w:ascii="宋体" w:hAnsi="宋体" w:eastAsia="宋体" w:cs="宋体"/>
          <w:sz w:val="24"/>
          <w:szCs w:val="24"/>
        </w:rPr>
      </w:pPr>
      <w:r>
        <w:rPr>
          <w:rFonts w:ascii="宋体" w:hAnsi="宋体" w:eastAsia="宋体" w:cs="宋体"/>
          <w:spacing w:val="-8"/>
          <w:sz w:val="24"/>
          <w:szCs w:val="24"/>
        </w:rPr>
        <w:t>万马河位于境内西北部，发源于大姚县昙华山， 河源海拔</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3118m</w:t>
      </w:r>
      <w:r>
        <w:rPr>
          <w:rFonts w:ascii="宋体" w:hAnsi="宋体" w:eastAsia="宋体" w:cs="宋体"/>
          <w:spacing w:val="-8"/>
          <w:sz w:val="24"/>
          <w:szCs w:val="24"/>
        </w:rPr>
        <w:t>，左支</w:t>
      </w:r>
      <w:r>
        <w:rPr>
          <w:rFonts w:ascii="宋体" w:hAnsi="宋体" w:eastAsia="宋体" w:cs="宋体"/>
          <w:spacing w:val="-9"/>
          <w:sz w:val="24"/>
          <w:szCs w:val="24"/>
        </w:rPr>
        <w:t>流经大姚县</w:t>
      </w:r>
      <w:r>
        <w:rPr>
          <w:rFonts w:ascii="宋体" w:hAnsi="宋体" w:eastAsia="宋体" w:cs="宋体"/>
          <w:sz w:val="24"/>
          <w:szCs w:val="24"/>
        </w:rPr>
        <w:t xml:space="preserve"> </w:t>
      </w:r>
      <w:r>
        <w:rPr>
          <w:rFonts w:ascii="宋体" w:hAnsi="宋体" w:eastAsia="宋体" w:cs="宋体"/>
          <w:spacing w:val="-18"/>
          <w:sz w:val="24"/>
          <w:szCs w:val="24"/>
        </w:rPr>
        <w:t>桂花乡， 右支流经大姚县桂花村，</w:t>
      </w:r>
      <w:r>
        <w:rPr>
          <w:rFonts w:ascii="宋体" w:hAnsi="宋体" w:eastAsia="宋体" w:cs="宋体"/>
          <w:spacing w:val="24"/>
          <w:sz w:val="24"/>
          <w:szCs w:val="24"/>
        </w:rPr>
        <w:t xml:space="preserve"> </w:t>
      </w:r>
      <w:r>
        <w:rPr>
          <w:rFonts w:ascii="宋体" w:hAnsi="宋体" w:eastAsia="宋体" w:cs="宋体"/>
          <w:spacing w:val="-18"/>
          <w:sz w:val="24"/>
          <w:szCs w:val="24"/>
        </w:rPr>
        <w:t>于中和街</w:t>
      </w:r>
      <w:r>
        <w:rPr>
          <w:rFonts w:ascii="宋体" w:hAnsi="宋体" w:eastAsia="宋体" w:cs="宋体"/>
          <w:spacing w:val="-19"/>
          <w:sz w:val="24"/>
          <w:szCs w:val="24"/>
        </w:rPr>
        <w:t>汇合后，</w:t>
      </w:r>
      <w:r>
        <w:rPr>
          <w:rFonts w:ascii="宋体" w:hAnsi="宋体" w:eastAsia="宋体" w:cs="宋体"/>
          <w:spacing w:val="22"/>
          <w:sz w:val="24"/>
          <w:szCs w:val="24"/>
        </w:rPr>
        <w:t xml:space="preserve"> </w:t>
      </w:r>
      <w:r>
        <w:rPr>
          <w:rFonts w:ascii="宋体" w:hAnsi="宋体" w:eastAsia="宋体" w:cs="宋体"/>
          <w:spacing w:val="-19"/>
          <w:sz w:val="24"/>
          <w:szCs w:val="24"/>
        </w:rPr>
        <w:t>经万马乡至河门口汇入金沙江，</w:t>
      </w:r>
      <w:r>
        <w:rPr>
          <w:rFonts w:ascii="宋体" w:hAnsi="宋体" w:eastAsia="宋体" w:cs="宋体"/>
          <w:spacing w:val="22"/>
          <w:sz w:val="24"/>
          <w:szCs w:val="24"/>
        </w:rPr>
        <w:t xml:space="preserve"> </w:t>
      </w:r>
      <w:r>
        <w:rPr>
          <w:rFonts w:ascii="宋体" w:hAnsi="宋体" w:eastAsia="宋体" w:cs="宋体"/>
          <w:spacing w:val="-19"/>
          <w:sz w:val="24"/>
          <w:szCs w:val="24"/>
        </w:rPr>
        <w:t>主</w:t>
      </w:r>
      <w:r>
        <w:rPr>
          <w:rFonts w:ascii="宋体" w:hAnsi="宋体" w:eastAsia="宋体" w:cs="宋体"/>
          <w:sz w:val="24"/>
          <w:szCs w:val="24"/>
        </w:rPr>
        <w:t xml:space="preserve"> </w:t>
      </w:r>
      <w:r>
        <w:rPr>
          <w:rFonts w:ascii="宋体" w:hAnsi="宋体" w:eastAsia="宋体" w:cs="宋体"/>
          <w:spacing w:val="3"/>
          <w:sz w:val="24"/>
          <w:szCs w:val="24"/>
        </w:rPr>
        <w:t xml:space="preserve">河道长 </w:t>
      </w:r>
      <w:r>
        <w:rPr>
          <w:rFonts w:ascii="Times New Roman" w:hAnsi="Times New Roman" w:eastAsia="Times New Roman" w:cs="Times New Roman"/>
          <w:spacing w:val="3"/>
          <w:sz w:val="24"/>
          <w:szCs w:val="24"/>
        </w:rPr>
        <w:t>73</w:t>
      </w:r>
      <w:r>
        <w:rPr>
          <w:rFonts w:ascii="Times New Roman" w:hAnsi="Times New Roman" w:eastAsia="Times New Roman" w:cs="Times New Roman"/>
          <w:sz w:val="24"/>
          <w:szCs w:val="24"/>
        </w:rPr>
        <w:t>km</w:t>
      </w:r>
      <w:r>
        <w:rPr>
          <w:rFonts w:ascii="宋体" w:hAnsi="宋体" w:eastAsia="宋体" w:cs="宋体"/>
          <w:spacing w:val="3"/>
          <w:sz w:val="24"/>
          <w:szCs w:val="24"/>
        </w:rPr>
        <w:t>，全河流域面积为</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1097</w:t>
      </w:r>
      <w:r>
        <w:rPr>
          <w:rFonts w:ascii="Times New Roman" w:hAnsi="Times New Roman" w:eastAsia="Times New Roman" w:cs="Times New Roman"/>
          <w:sz w:val="24"/>
          <w:szCs w:val="24"/>
        </w:rPr>
        <w:t>km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4"/>
          <w:szCs w:val="24"/>
        </w:rPr>
        <w:t>，其中大姚县境内</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402.1</w:t>
      </w:r>
      <w:r>
        <w:rPr>
          <w:rFonts w:ascii="Times New Roman" w:hAnsi="Times New Roman" w:eastAsia="Times New Roman" w:cs="Times New Roman"/>
          <w:sz w:val="24"/>
          <w:szCs w:val="24"/>
        </w:rPr>
        <w:t>km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4"/>
          <w:szCs w:val="24"/>
        </w:rPr>
        <w:t>，永仁县境内</w:t>
      </w:r>
    </w:p>
    <w:p>
      <w:pPr>
        <w:spacing w:line="318" w:lineRule="exact"/>
        <w:ind w:left="40"/>
        <w:rPr>
          <w:rFonts w:ascii="宋体" w:hAnsi="宋体" w:eastAsia="宋体" w:cs="宋体"/>
          <w:sz w:val="24"/>
          <w:szCs w:val="24"/>
        </w:rPr>
      </w:pPr>
      <w:r>
        <w:rPr>
          <w:rFonts w:ascii="Times New Roman" w:hAnsi="Times New Roman" w:eastAsia="Times New Roman" w:cs="Times New Roman"/>
          <w:spacing w:val="-1"/>
          <w:position w:val="1"/>
          <w:sz w:val="24"/>
          <w:szCs w:val="24"/>
        </w:rPr>
        <w:t>694.9km</w:t>
      </w:r>
      <w:r>
        <w:rPr>
          <w:rFonts w:ascii="Times New Roman" w:hAnsi="Times New Roman" w:eastAsia="Times New Roman" w:cs="Times New Roman"/>
          <w:spacing w:val="-1"/>
          <w:position w:val="9"/>
          <w:sz w:val="15"/>
          <w:szCs w:val="15"/>
        </w:rPr>
        <w:t>2</w:t>
      </w:r>
      <w:r>
        <w:rPr>
          <w:rFonts w:ascii="宋体" w:hAnsi="宋体" w:eastAsia="宋体" w:cs="宋体"/>
          <w:spacing w:val="-1"/>
          <w:position w:val="1"/>
          <w:sz w:val="24"/>
          <w:szCs w:val="24"/>
        </w:rPr>
        <w:t>。</w:t>
      </w:r>
    </w:p>
    <w:p>
      <w:pPr>
        <w:spacing w:before="142"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）六苴河流域概况</w:t>
      </w:r>
    </w:p>
    <w:p>
      <w:pPr>
        <w:spacing w:before="181" w:line="359" w:lineRule="auto"/>
        <w:ind w:left="58" w:right="30" w:firstLine="463"/>
        <w:rPr>
          <w:rFonts w:ascii="宋体" w:hAnsi="宋体" w:eastAsia="宋体" w:cs="宋体"/>
          <w:sz w:val="24"/>
          <w:szCs w:val="24"/>
        </w:rPr>
      </w:pPr>
      <w:r>
        <w:rPr>
          <w:rFonts w:ascii="宋体" w:hAnsi="宋体" w:eastAsia="宋体" w:cs="宋体"/>
          <w:spacing w:val="-16"/>
          <w:sz w:val="24"/>
          <w:szCs w:val="24"/>
        </w:rPr>
        <w:t>六苴河发源于昙华山东麓，</w:t>
      </w:r>
      <w:r>
        <w:rPr>
          <w:rFonts w:ascii="宋体" w:hAnsi="宋体" w:eastAsia="宋体" w:cs="宋体"/>
          <w:spacing w:val="22"/>
          <w:sz w:val="24"/>
          <w:szCs w:val="24"/>
        </w:rPr>
        <w:t xml:space="preserve"> </w:t>
      </w:r>
      <w:r>
        <w:rPr>
          <w:rFonts w:ascii="宋体" w:hAnsi="宋体" w:eastAsia="宋体" w:cs="宋体"/>
          <w:spacing w:val="-16"/>
          <w:sz w:val="24"/>
          <w:szCs w:val="24"/>
        </w:rPr>
        <w:t>属山中峡谷河流，</w:t>
      </w:r>
      <w:r>
        <w:rPr>
          <w:rFonts w:ascii="宋体" w:hAnsi="宋体" w:eastAsia="宋体" w:cs="宋体"/>
          <w:spacing w:val="49"/>
          <w:sz w:val="24"/>
          <w:szCs w:val="24"/>
        </w:rPr>
        <w:t xml:space="preserve"> </w:t>
      </w:r>
      <w:r>
        <w:rPr>
          <w:rFonts w:ascii="宋体" w:hAnsi="宋体" w:eastAsia="宋体" w:cs="宋体"/>
          <w:spacing w:val="-16"/>
          <w:sz w:val="24"/>
          <w:szCs w:val="24"/>
        </w:rPr>
        <w:t>由西</w:t>
      </w:r>
      <w:r>
        <w:rPr>
          <w:rFonts w:ascii="宋体" w:hAnsi="宋体" w:eastAsia="宋体" w:cs="宋体"/>
          <w:spacing w:val="-17"/>
          <w:sz w:val="24"/>
          <w:szCs w:val="24"/>
        </w:rPr>
        <w:t>向东， 经外期地、六苴镇至双河</w:t>
      </w:r>
      <w:r>
        <w:rPr>
          <w:rFonts w:ascii="宋体" w:hAnsi="宋体" w:eastAsia="宋体" w:cs="宋体"/>
          <w:sz w:val="24"/>
          <w:szCs w:val="24"/>
        </w:rPr>
        <w:t xml:space="preserve"> </w:t>
      </w:r>
      <w:r>
        <w:rPr>
          <w:rFonts w:ascii="宋体" w:hAnsi="宋体" w:eastAsia="宋体" w:cs="宋体"/>
          <w:spacing w:val="-18"/>
          <w:sz w:val="24"/>
          <w:szCs w:val="24"/>
        </w:rPr>
        <w:t>附近汇入蜻蛉河， 属山中峡谷河流， 主要支流有石房河、木卡拉河、簸箕河、者纳么河，</w:t>
      </w:r>
    </w:p>
    <w:p>
      <w:pPr>
        <w:spacing w:before="1" w:line="233" w:lineRule="auto"/>
        <w:ind w:left="39"/>
        <w:rPr>
          <w:rFonts w:ascii="宋体" w:hAnsi="宋体" w:eastAsia="宋体" w:cs="宋体"/>
          <w:sz w:val="24"/>
          <w:szCs w:val="24"/>
        </w:rPr>
      </w:pPr>
      <w:r>
        <w:rPr>
          <w:rFonts w:ascii="宋体" w:hAnsi="宋体" w:eastAsia="宋体" w:cs="宋体"/>
          <w:spacing w:val="-1"/>
          <w:sz w:val="24"/>
          <w:szCs w:val="24"/>
        </w:rPr>
        <w:t>全流域径流面积</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464.9km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w:t>
      </w:r>
    </w:p>
    <w:p>
      <w:pPr>
        <w:spacing w:before="163"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）蜻蛉河流域概况</w:t>
      </w:r>
    </w:p>
    <w:p>
      <w:pPr>
        <w:spacing w:before="184" w:line="359" w:lineRule="auto"/>
        <w:ind w:left="35" w:right="28" w:firstLine="484"/>
        <w:rPr>
          <w:rFonts w:ascii="宋体" w:hAnsi="宋体" w:eastAsia="宋体" w:cs="宋体"/>
          <w:sz w:val="24"/>
          <w:szCs w:val="24"/>
        </w:rPr>
      </w:pPr>
      <w:r>
        <w:rPr>
          <w:rFonts w:ascii="宋体" w:hAnsi="宋体" w:eastAsia="宋体" w:cs="宋体"/>
          <w:spacing w:val="8"/>
          <w:sz w:val="24"/>
          <w:szCs w:val="24"/>
        </w:rPr>
        <w:t>蜻蛉河属金沙江水系龙川江一级支流，流域介于东径</w:t>
      </w:r>
      <w:r>
        <w:rPr>
          <w:rFonts w:ascii="宋体" w:hAnsi="宋体" w:eastAsia="宋体" w:cs="宋体"/>
          <w:spacing w:val="41"/>
          <w:sz w:val="24"/>
          <w:szCs w:val="24"/>
        </w:rPr>
        <w:t xml:space="preserve"> </w:t>
      </w:r>
      <w:r>
        <w:rPr>
          <w:rFonts w:ascii="Times New Roman" w:hAnsi="Times New Roman" w:eastAsia="Times New Roman" w:cs="Times New Roman"/>
          <w:spacing w:val="8"/>
          <w:sz w:val="24"/>
          <w:szCs w:val="24"/>
        </w:rPr>
        <w:t>101°05′</w:t>
      </w:r>
      <w:r>
        <w:rPr>
          <w:rFonts w:ascii="宋体" w:hAnsi="宋体" w:eastAsia="宋体" w:cs="宋体"/>
          <w:spacing w:val="8"/>
          <w:sz w:val="24"/>
          <w:szCs w:val="24"/>
        </w:rPr>
        <w:t>～</w:t>
      </w:r>
      <w:r>
        <w:rPr>
          <w:rFonts w:ascii="Times New Roman" w:hAnsi="Times New Roman" w:eastAsia="Times New Roman" w:cs="Times New Roman"/>
          <w:spacing w:val="8"/>
          <w:sz w:val="24"/>
          <w:szCs w:val="24"/>
        </w:rPr>
        <w:t>101°50′</w:t>
      </w:r>
      <w:r>
        <w:rPr>
          <w:rFonts w:ascii="宋体" w:hAnsi="宋体" w:eastAsia="宋体" w:cs="宋体"/>
          <w:spacing w:val="8"/>
          <w:sz w:val="24"/>
          <w:szCs w:val="24"/>
        </w:rPr>
        <w:t>，北纬</w:t>
      </w:r>
      <w:r>
        <w:rPr>
          <w:rFonts w:ascii="宋体" w:hAnsi="宋体" w:eastAsia="宋体" w:cs="宋体"/>
          <w:sz w:val="24"/>
          <w:szCs w:val="24"/>
        </w:rPr>
        <w:t xml:space="preserve"> </w:t>
      </w:r>
      <w:r>
        <w:rPr>
          <w:rFonts w:ascii="Times New Roman" w:hAnsi="Times New Roman" w:eastAsia="Times New Roman" w:cs="Times New Roman"/>
          <w:sz w:val="24"/>
          <w:szCs w:val="24"/>
        </w:rPr>
        <w:t>25°25′</w:t>
      </w:r>
      <w:r>
        <w:rPr>
          <w:rFonts w:ascii="宋体" w:hAnsi="宋体" w:eastAsia="宋体" w:cs="宋体"/>
          <w:sz w:val="24"/>
          <w:szCs w:val="24"/>
        </w:rPr>
        <w:t>～</w:t>
      </w:r>
      <w:r>
        <w:rPr>
          <w:rFonts w:ascii="Times New Roman" w:hAnsi="Times New Roman" w:eastAsia="Times New Roman" w:cs="Times New Roman"/>
          <w:sz w:val="24"/>
          <w:szCs w:val="24"/>
        </w:rPr>
        <w:t>26°10′</w:t>
      </w:r>
      <w:r>
        <w:rPr>
          <w:rFonts w:ascii="宋体" w:hAnsi="宋体" w:eastAsia="宋体" w:cs="宋体"/>
          <w:sz w:val="24"/>
          <w:szCs w:val="24"/>
        </w:rPr>
        <w:t>之间，分布于楚雄州的姚安、大姚、永仁县的大部及元谋县的一小部分</w:t>
      </w:r>
      <w:r>
        <w:rPr>
          <w:rFonts w:ascii="宋体" w:hAnsi="宋体" w:eastAsia="宋体" w:cs="宋体"/>
          <w:spacing w:val="11"/>
          <w:sz w:val="24"/>
          <w:szCs w:val="24"/>
        </w:rPr>
        <w:t xml:space="preserve"> </w:t>
      </w:r>
      <w:r>
        <w:rPr>
          <w:rFonts w:ascii="宋体" w:hAnsi="宋体" w:eastAsia="宋体" w:cs="宋体"/>
          <w:spacing w:val="-7"/>
          <w:sz w:val="24"/>
          <w:szCs w:val="24"/>
        </w:rPr>
        <w:t>地区。与龙川江交汇口以上，</w:t>
      </w:r>
      <w:r>
        <w:rPr>
          <w:rFonts w:ascii="宋体" w:hAnsi="宋体" w:eastAsia="宋体" w:cs="宋体"/>
          <w:spacing w:val="47"/>
          <w:sz w:val="24"/>
          <w:szCs w:val="24"/>
        </w:rPr>
        <w:t xml:space="preserve"> </w:t>
      </w:r>
      <w:r>
        <w:rPr>
          <w:rFonts w:ascii="宋体" w:hAnsi="宋体" w:eastAsia="宋体" w:cs="宋体"/>
          <w:spacing w:val="-7"/>
          <w:sz w:val="24"/>
          <w:szCs w:val="24"/>
        </w:rPr>
        <w:t>蜻蛉河流域面积为</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3585km</w:t>
      </w:r>
      <w:r>
        <w:rPr>
          <w:rFonts w:ascii="Times New Roman" w:hAnsi="Times New Roman" w:eastAsia="Times New Roman" w:cs="Times New Roman"/>
          <w:spacing w:val="-7"/>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7"/>
          <w:sz w:val="24"/>
          <w:szCs w:val="24"/>
        </w:rPr>
        <w:t>，主河长</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160.6km</w:t>
      </w:r>
      <w:r>
        <w:rPr>
          <w:rFonts w:ascii="宋体" w:hAnsi="宋体" w:eastAsia="宋体" w:cs="宋体"/>
          <w:spacing w:val="-7"/>
          <w:sz w:val="24"/>
          <w:szCs w:val="24"/>
        </w:rPr>
        <w:t>，河道平均</w:t>
      </w:r>
      <w:r>
        <w:rPr>
          <w:rFonts w:ascii="宋体" w:hAnsi="宋体" w:eastAsia="宋体" w:cs="宋体"/>
          <w:sz w:val="24"/>
          <w:szCs w:val="24"/>
        </w:rPr>
        <w:t xml:space="preserve"> </w:t>
      </w:r>
      <w:r>
        <w:rPr>
          <w:rFonts w:ascii="宋体" w:hAnsi="宋体" w:eastAsia="宋体" w:cs="宋体"/>
          <w:spacing w:val="-2"/>
          <w:sz w:val="24"/>
          <w:szCs w:val="24"/>
        </w:rPr>
        <w:t xml:space="preserve">坡降为 </w:t>
      </w:r>
      <w:r>
        <w:rPr>
          <w:rFonts w:ascii="Times New Roman" w:hAnsi="Times New Roman" w:eastAsia="Times New Roman" w:cs="Times New Roman"/>
          <w:spacing w:val="-2"/>
          <w:sz w:val="24"/>
          <w:szCs w:val="24"/>
        </w:rPr>
        <w:t>8.25‰</w:t>
      </w:r>
      <w:r>
        <w:rPr>
          <w:rFonts w:ascii="宋体" w:hAnsi="宋体" w:eastAsia="宋体" w:cs="宋体"/>
          <w:spacing w:val="-2"/>
          <w:sz w:val="24"/>
          <w:szCs w:val="24"/>
        </w:rPr>
        <w:t xml:space="preserve">，流域平均高程为 </w:t>
      </w:r>
      <w:r>
        <w:rPr>
          <w:rFonts w:ascii="Times New Roman" w:hAnsi="Times New Roman" w:eastAsia="Times New Roman" w:cs="Times New Roman"/>
          <w:spacing w:val="-2"/>
          <w:sz w:val="24"/>
          <w:szCs w:val="24"/>
        </w:rPr>
        <w:t>2085m</w:t>
      </w:r>
      <w:r>
        <w:rPr>
          <w:rFonts w:ascii="宋体" w:hAnsi="宋体" w:eastAsia="宋体" w:cs="宋体"/>
          <w:spacing w:val="-2"/>
          <w:sz w:val="24"/>
          <w:szCs w:val="24"/>
        </w:rPr>
        <w:t>。蜻蛉河发源于楚雄州姚安、南华县交界的照</w:t>
      </w:r>
      <w:r>
        <w:rPr>
          <w:rFonts w:ascii="宋体" w:hAnsi="宋体" w:eastAsia="宋体" w:cs="宋体"/>
          <w:spacing w:val="14"/>
          <w:sz w:val="24"/>
          <w:szCs w:val="24"/>
        </w:rPr>
        <w:t xml:space="preserve"> </w:t>
      </w:r>
      <w:r>
        <w:rPr>
          <w:rFonts w:ascii="宋体" w:hAnsi="宋体" w:eastAsia="宋体" w:cs="宋体"/>
          <w:spacing w:val="-12"/>
          <w:sz w:val="24"/>
          <w:szCs w:val="24"/>
        </w:rPr>
        <w:t>壁山以北（高程为</w:t>
      </w:r>
      <w:r>
        <w:rPr>
          <w:rFonts w:ascii="宋体" w:hAnsi="宋体" w:eastAsia="宋体" w:cs="宋体"/>
          <w:spacing w:val="-39"/>
          <w:sz w:val="24"/>
          <w:szCs w:val="24"/>
        </w:rPr>
        <w:t xml:space="preserve"> </w:t>
      </w:r>
      <w:r>
        <w:rPr>
          <w:rFonts w:ascii="Times New Roman" w:hAnsi="Times New Roman" w:eastAsia="Times New Roman" w:cs="Times New Roman"/>
          <w:spacing w:val="-12"/>
          <w:sz w:val="24"/>
          <w:szCs w:val="24"/>
        </w:rPr>
        <w:t>2440m</w:t>
      </w:r>
      <w:r>
        <w:rPr>
          <w:rFonts w:ascii="宋体" w:hAnsi="宋体" w:eastAsia="宋体" w:cs="宋体"/>
          <w:spacing w:val="-62"/>
          <w:w w:val="98"/>
          <w:sz w:val="24"/>
          <w:szCs w:val="24"/>
        </w:rPr>
        <w:t>），</w:t>
      </w:r>
      <w:r>
        <w:rPr>
          <w:rFonts w:ascii="宋体" w:hAnsi="宋体" w:eastAsia="宋体" w:cs="宋体"/>
          <w:spacing w:val="-67"/>
          <w:sz w:val="24"/>
          <w:szCs w:val="24"/>
        </w:rPr>
        <w:t xml:space="preserve"> </w:t>
      </w:r>
      <w:r>
        <w:rPr>
          <w:rFonts w:ascii="宋体" w:hAnsi="宋体" w:eastAsia="宋体" w:cs="宋体"/>
          <w:spacing w:val="-12"/>
          <w:sz w:val="24"/>
          <w:szCs w:val="24"/>
        </w:rPr>
        <w:t>自南向北经姚安坝，</w:t>
      </w:r>
      <w:r>
        <w:rPr>
          <w:rFonts w:ascii="宋体" w:hAnsi="宋体" w:eastAsia="宋体" w:cs="宋体"/>
          <w:spacing w:val="53"/>
          <w:sz w:val="24"/>
          <w:szCs w:val="24"/>
        </w:rPr>
        <w:t xml:space="preserve"> </w:t>
      </w:r>
      <w:r>
        <w:rPr>
          <w:rFonts w:ascii="宋体" w:hAnsi="宋体" w:eastAsia="宋体" w:cs="宋体"/>
          <w:spacing w:val="-12"/>
          <w:sz w:val="24"/>
          <w:szCs w:val="24"/>
        </w:rPr>
        <w:t>于席坝附近转向东经大姚坝子，</w:t>
      </w:r>
      <w:r>
        <w:rPr>
          <w:rFonts w:ascii="宋体" w:hAnsi="宋体" w:eastAsia="宋体" w:cs="宋体"/>
          <w:spacing w:val="48"/>
          <w:sz w:val="24"/>
          <w:szCs w:val="24"/>
        </w:rPr>
        <w:t xml:space="preserve"> </w:t>
      </w:r>
      <w:r>
        <w:rPr>
          <w:rFonts w:ascii="宋体" w:hAnsi="宋体" w:eastAsia="宋体" w:cs="宋体"/>
          <w:spacing w:val="-12"/>
          <w:sz w:val="24"/>
          <w:szCs w:val="24"/>
        </w:rPr>
        <w:t>坝区</w:t>
      </w:r>
      <w:r>
        <w:rPr>
          <w:rFonts w:ascii="宋体" w:hAnsi="宋体" w:eastAsia="宋体" w:cs="宋体"/>
          <w:sz w:val="24"/>
          <w:szCs w:val="24"/>
        </w:rPr>
        <w:t xml:space="preserve"> </w:t>
      </w:r>
      <w:r>
        <w:rPr>
          <w:rFonts w:ascii="宋体" w:hAnsi="宋体" w:eastAsia="宋体" w:cs="宋体"/>
          <w:spacing w:val="-15"/>
          <w:sz w:val="24"/>
          <w:szCs w:val="24"/>
        </w:rPr>
        <w:t>内河道平均比降仅为</w:t>
      </w:r>
      <w:r>
        <w:rPr>
          <w:rFonts w:ascii="宋体" w:hAnsi="宋体" w:eastAsia="宋体" w:cs="宋体"/>
          <w:spacing w:val="-48"/>
          <w:sz w:val="24"/>
          <w:szCs w:val="24"/>
        </w:rPr>
        <w:t xml:space="preserve"> </w:t>
      </w:r>
      <w:r>
        <w:rPr>
          <w:rFonts w:ascii="Times New Roman" w:hAnsi="Times New Roman" w:eastAsia="Times New Roman" w:cs="Times New Roman"/>
          <w:spacing w:val="-15"/>
          <w:sz w:val="24"/>
          <w:szCs w:val="24"/>
        </w:rPr>
        <w:t>2.04‰</w:t>
      </w:r>
      <w:r>
        <w:rPr>
          <w:rFonts w:ascii="宋体" w:hAnsi="宋体" w:eastAsia="宋体" w:cs="宋体"/>
          <w:spacing w:val="-15"/>
          <w:sz w:val="24"/>
          <w:szCs w:val="24"/>
        </w:rPr>
        <w:t>，河道宽浅， 水流缓慢， 河床不稳， 冲淤相间， 河道渲泄能</w:t>
      </w:r>
      <w:r>
        <w:rPr>
          <w:rFonts w:ascii="宋体" w:hAnsi="宋体" w:eastAsia="宋体" w:cs="宋体"/>
          <w:sz w:val="24"/>
          <w:szCs w:val="24"/>
        </w:rPr>
        <w:t xml:space="preserve"> </w:t>
      </w:r>
      <w:r>
        <w:rPr>
          <w:rFonts w:ascii="宋体" w:hAnsi="宋体" w:eastAsia="宋体" w:cs="宋体"/>
          <w:spacing w:val="9"/>
          <w:sz w:val="24"/>
          <w:szCs w:val="24"/>
        </w:rPr>
        <w:t>力较弱。行至苏海冲附近后，河流转向东北偏东向</w:t>
      </w:r>
      <w:r>
        <w:rPr>
          <w:rFonts w:ascii="宋体" w:hAnsi="宋体" w:eastAsia="宋体" w:cs="宋体"/>
          <w:spacing w:val="8"/>
          <w:sz w:val="24"/>
          <w:szCs w:val="24"/>
        </w:rPr>
        <w:t>复入山谷，河道平均坡降增大至</w:t>
      </w:r>
      <w:r>
        <w:rPr>
          <w:rFonts w:ascii="宋体" w:hAnsi="宋体" w:eastAsia="宋体" w:cs="宋体"/>
          <w:sz w:val="24"/>
          <w:szCs w:val="24"/>
        </w:rPr>
        <w:t xml:space="preserve"> </w:t>
      </w:r>
      <w:r>
        <w:rPr>
          <w:rFonts w:ascii="Times New Roman" w:hAnsi="Times New Roman" w:eastAsia="Times New Roman" w:cs="Times New Roman"/>
          <w:spacing w:val="-14"/>
          <w:sz w:val="24"/>
          <w:szCs w:val="24"/>
        </w:rPr>
        <w:t>11.8‰</w:t>
      </w:r>
      <w:r>
        <w:rPr>
          <w:rFonts w:ascii="宋体" w:hAnsi="宋体" w:eastAsia="宋体" w:cs="宋体"/>
          <w:spacing w:val="-14"/>
          <w:sz w:val="24"/>
          <w:szCs w:val="24"/>
        </w:rPr>
        <w:t>，河道束窄， 水流湍急，</w:t>
      </w:r>
      <w:r>
        <w:rPr>
          <w:rFonts w:ascii="宋体" w:hAnsi="宋体" w:eastAsia="宋体" w:cs="宋体"/>
          <w:spacing w:val="-54"/>
          <w:sz w:val="24"/>
          <w:szCs w:val="24"/>
        </w:rPr>
        <w:t xml:space="preserve"> </w:t>
      </w:r>
      <w:r>
        <w:rPr>
          <w:rFonts w:ascii="宋体" w:hAnsi="宋体" w:eastAsia="宋体" w:cs="宋体"/>
          <w:spacing w:val="-14"/>
          <w:sz w:val="24"/>
          <w:szCs w:val="24"/>
        </w:rPr>
        <w:t>过水能力加大。蜻蛉河于元谋县大树村附近汇入龙川江，</w:t>
      </w:r>
      <w:r>
        <w:rPr>
          <w:rFonts w:ascii="宋体" w:hAnsi="宋体" w:eastAsia="宋体" w:cs="宋体"/>
          <w:sz w:val="24"/>
          <w:szCs w:val="24"/>
        </w:rPr>
        <w:t xml:space="preserve"> </w:t>
      </w:r>
      <w:r>
        <w:rPr>
          <w:rFonts w:ascii="宋体" w:hAnsi="宋体" w:eastAsia="宋体" w:cs="宋体"/>
          <w:spacing w:val="-10"/>
          <w:sz w:val="24"/>
          <w:szCs w:val="24"/>
        </w:rPr>
        <w:t>龙川也于元谋县江边乡汇入金沙江。蜻蛉河域水系发育， 多呈羽状分布，</w:t>
      </w:r>
      <w:r>
        <w:rPr>
          <w:rFonts w:ascii="宋体" w:hAnsi="宋体" w:eastAsia="宋体" w:cs="宋体"/>
          <w:spacing w:val="-11"/>
          <w:sz w:val="24"/>
          <w:szCs w:val="24"/>
        </w:rPr>
        <w:t xml:space="preserve"> 其中较大支流</w:t>
      </w:r>
      <w:r>
        <w:rPr>
          <w:rFonts w:ascii="宋体" w:hAnsi="宋体" w:eastAsia="宋体" w:cs="宋体"/>
          <w:sz w:val="24"/>
          <w:szCs w:val="24"/>
        </w:rPr>
        <w:t xml:space="preserve"> </w:t>
      </w:r>
      <w:r>
        <w:rPr>
          <w:rFonts w:ascii="宋体" w:hAnsi="宋体" w:eastAsia="宋体" w:cs="宋体"/>
          <w:spacing w:val="-9"/>
          <w:sz w:val="24"/>
          <w:szCs w:val="24"/>
        </w:rPr>
        <w:t>左岸有七街河、西河、江底河、羊蹄江、永定河等；</w:t>
      </w:r>
      <w:r>
        <w:rPr>
          <w:rFonts w:ascii="宋体" w:hAnsi="宋体" w:eastAsia="宋体" w:cs="宋体"/>
          <w:spacing w:val="53"/>
          <w:sz w:val="24"/>
          <w:szCs w:val="24"/>
        </w:rPr>
        <w:t xml:space="preserve"> </w:t>
      </w:r>
      <w:r>
        <w:rPr>
          <w:rFonts w:ascii="宋体" w:hAnsi="宋体" w:eastAsia="宋体" w:cs="宋体"/>
          <w:spacing w:val="-9"/>
          <w:sz w:val="24"/>
          <w:szCs w:val="24"/>
        </w:rPr>
        <w:t>右岸主要有龙街河、上庄河等。流</w:t>
      </w:r>
      <w:r>
        <w:rPr>
          <w:rFonts w:ascii="宋体" w:hAnsi="宋体" w:eastAsia="宋体" w:cs="宋体"/>
          <w:sz w:val="24"/>
          <w:szCs w:val="24"/>
        </w:rPr>
        <w:t xml:space="preserve"> </w:t>
      </w:r>
      <w:r>
        <w:rPr>
          <w:rFonts w:ascii="宋体" w:hAnsi="宋体" w:eastAsia="宋体" w:cs="宋体"/>
          <w:spacing w:val="2"/>
          <w:sz w:val="24"/>
          <w:szCs w:val="24"/>
        </w:rPr>
        <w:t>域地势自西南向东北呈阶梯状倾斜。本次桂花水库受水区大姚县境内蜻蛉河干流流域</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径流面积</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833.6km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w:t>
      </w:r>
    </w:p>
    <w:p>
      <w:pPr>
        <w:spacing w:before="180"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）桂花河流域</w:t>
      </w:r>
    </w:p>
    <w:p>
      <w:pPr>
        <w:spacing w:line="220" w:lineRule="auto"/>
        <w:rPr>
          <w:rFonts w:ascii="宋体" w:hAnsi="宋体" w:eastAsia="宋体" w:cs="宋体"/>
          <w:sz w:val="24"/>
          <w:szCs w:val="24"/>
        </w:rPr>
        <w:sectPr>
          <w:headerReference r:id="rId57" w:type="default"/>
          <w:footerReference r:id="rId58" w:type="default"/>
          <w:pgSz w:w="11907" w:h="16839"/>
          <w:pgMar w:top="1298" w:right="1387" w:bottom="1374" w:left="1501" w:header="1023" w:footer="1210" w:gutter="0"/>
        </w:sectPr>
      </w:pPr>
    </w:p>
    <w:p>
      <w:pPr>
        <w:spacing w:before="157" w:line="359" w:lineRule="auto"/>
        <w:ind w:left="40" w:right="65" w:firstLine="481"/>
        <w:rPr>
          <w:rFonts w:ascii="宋体" w:hAnsi="宋体" w:eastAsia="宋体" w:cs="宋体"/>
          <w:sz w:val="24"/>
          <w:szCs w:val="24"/>
        </w:rPr>
      </w:pPr>
      <w:r>
        <w:rPr>
          <w:rFonts w:ascii="宋体" w:hAnsi="宋体" w:eastAsia="宋体" w:cs="宋体"/>
          <w:spacing w:val="2"/>
          <w:sz w:val="24"/>
          <w:szCs w:val="24"/>
        </w:rPr>
        <w:t>桂花水库位于大姚县桂花乡皮左黑村委会皮左</w:t>
      </w:r>
      <w:r>
        <w:rPr>
          <w:rFonts w:ascii="宋体" w:hAnsi="宋体" w:eastAsia="宋体" w:cs="宋体"/>
          <w:spacing w:val="1"/>
          <w:sz w:val="24"/>
          <w:szCs w:val="24"/>
        </w:rPr>
        <w:t>黑村下方的桂花河上，属金沙江一</w:t>
      </w:r>
      <w:r>
        <w:rPr>
          <w:rFonts w:ascii="宋体" w:hAnsi="宋体" w:eastAsia="宋体" w:cs="宋体"/>
          <w:sz w:val="24"/>
          <w:szCs w:val="24"/>
        </w:rPr>
        <w:t xml:space="preserve"> </w:t>
      </w:r>
      <w:r>
        <w:rPr>
          <w:rFonts w:ascii="宋体" w:hAnsi="宋体" w:eastAsia="宋体" w:cs="宋体"/>
          <w:spacing w:val="2"/>
          <w:sz w:val="24"/>
          <w:szCs w:val="24"/>
        </w:rPr>
        <w:t>级支流万马河上游右支流。桂花河流域水资源丰富，发源于大姚县昙</w:t>
      </w:r>
      <w:r>
        <w:rPr>
          <w:rFonts w:ascii="宋体" w:hAnsi="宋体" w:eastAsia="宋体" w:cs="宋体"/>
          <w:spacing w:val="1"/>
          <w:sz w:val="24"/>
          <w:szCs w:val="24"/>
        </w:rPr>
        <w:t>华山麓子米地和</w:t>
      </w:r>
      <w:r>
        <w:rPr>
          <w:rFonts w:ascii="宋体" w:hAnsi="宋体" w:eastAsia="宋体" w:cs="宋体"/>
          <w:sz w:val="24"/>
          <w:szCs w:val="24"/>
        </w:rPr>
        <w:t xml:space="preserve"> </w:t>
      </w:r>
      <w:r>
        <w:rPr>
          <w:rFonts w:ascii="宋体" w:hAnsi="宋体" w:eastAsia="宋体" w:cs="宋体"/>
          <w:spacing w:val="-9"/>
          <w:sz w:val="24"/>
          <w:szCs w:val="24"/>
        </w:rPr>
        <w:t>百草岭水系， 由南向北经大村至依博拉出入姚县境入永仁县万马河，</w:t>
      </w:r>
      <w:r>
        <w:rPr>
          <w:rFonts w:ascii="宋体" w:hAnsi="宋体" w:eastAsia="宋体" w:cs="宋体"/>
          <w:spacing w:val="49"/>
          <w:sz w:val="24"/>
          <w:szCs w:val="24"/>
        </w:rPr>
        <w:t xml:space="preserve"> </w:t>
      </w:r>
      <w:r>
        <w:rPr>
          <w:rFonts w:ascii="宋体" w:hAnsi="宋体" w:eastAsia="宋体" w:cs="宋体"/>
          <w:spacing w:val="-9"/>
          <w:sz w:val="24"/>
          <w:szCs w:val="24"/>
        </w:rPr>
        <w:t>全长</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95km</w:t>
      </w:r>
      <w:r>
        <w:rPr>
          <w:rFonts w:ascii="宋体" w:hAnsi="宋体" w:eastAsia="宋体" w:cs="宋体"/>
          <w:spacing w:val="-9"/>
          <w:sz w:val="24"/>
          <w:szCs w:val="24"/>
        </w:rPr>
        <w:t>，流域</w:t>
      </w:r>
      <w:r>
        <w:rPr>
          <w:rFonts w:ascii="宋体" w:hAnsi="宋体" w:eastAsia="宋体" w:cs="宋体"/>
          <w:sz w:val="24"/>
          <w:szCs w:val="24"/>
        </w:rPr>
        <w:t xml:space="preserve"> </w:t>
      </w:r>
      <w:r>
        <w:rPr>
          <w:rFonts w:ascii="宋体" w:hAnsi="宋体" w:eastAsia="宋体" w:cs="宋体"/>
          <w:spacing w:val="-6"/>
          <w:sz w:val="24"/>
          <w:szCs w:val="24"/>
        </w:rPr>
        <w:t>面积</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 xml:space="preserve">1097k </w:t>
      </w:r>
      <w:r>
        <w:rPr>
          <w:rFonts w:ascii="宋体" w:hAnsi="宋体" w:eastAsia="宋体" w:cs="宋体"/>
          <w:spacing w:val="-6"/>
          <w:sz w:val="24"/>
          <w:szCs w:val="24"/>
        </w:rPr>
        <w:t>㎡。大姚县境内总长</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31.5kln</w:t>
      </w:r>
      <w:r>
        <w:rPr>
          <w:rFonts w:ascii="宋体" w:hAnsi="宋体" w:eastAsia="宋体" w:cs="宋体"/>
          <w:spacing w:val="-6"/>
          <w:sz w:val="24"/>
          <w:szCs w:val="24"/>
        </w:rPr>
        <w:t xml:space="preserve">，流域面积： </w:t>
      </w:r>
      <w:r>
        <w:rPr>
          <w:rFonts w:ascii="Times New Roman" w:hAnsi="Times New Roman" w:eastAsia="Times New Roman" w:cs="Times New Roman"/>
          <w:spacing w:val="-6"/>
          <w:sz w:val="24"/>
          <w:szCs w:val="24"/>
        </w:rPr>
        <w:t xml:space="preserve">320k </w:t>
      </w:r>
      <w:r>
        <w:rPr>
          <w:rFonts w:ascii="宋体" w:hAnsi="宋体" w:eastAsia="宋体" w:cs="宋体"/>
          <w:spacing w:val="-6"/>
          <w:sz w:val="24"/>
          <w:szCs w:val="24"/>
        </w:rPr>
        <w:t>㎡，</w:t>
      </w:r>
      <w:r>
        <w:rPr>
          <w:rFonts w:ascii="宋体" w:hAnsi="宋体" w:eastAsia="宋体" w:cs="宋体"/>
          <w:spacing w:val="-39"/>
          <w:sz w:val="24"/>
          <w:szCs w:val="24"/>
        </w:rPr>
        <w:t xml:space="preserve"> </w:t>
      </w:r>
      <w:r>
        <w:rPr>
          <w:rFonts w:ascii="宋体" w:hAnsi="宋体" w:eastAsia="宋体" w:cs="宋体"/>
          <w:spacing w:val="-6"/>
          <w:sz w:val="24"/>
          <w:szCs w:val="24"/>
        </w:rPr>
        <w:t>流域内</w:t>
      </w:r>
      <w:r>
        <w:rPr>
          <w:rFonts w:ascii="宋体" w:hAnsi="宋体" w:eastAsia="宋体" w:cs="宋体"/>
          <w:spacing w:val="-7"/>
          <w:sz w:val="24"/>
          <w:szCs w:val="24"/>
        </w:rPr>
        <w:t>山高谷深，沟谷</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密布，水流湍急，是桂花乡内主要河流。</w:t>
      </w:r>
    </w:p>
    <w:p>
      <w:pPr>
        <w:spacing w:before="182" w:line="359" w:lineRule="auto"/>
        <w:ind w:left="39" w:firstLine="482"/>
        <w:rPr>
          <w:rFonts w:ascii="宋体" w:hAnsi="宋体" w:eastAsia="宋体" w:cs="宋体"/>
          <w:sz w:val="24"/>
          <w:szCs w:val="24"/>
        </w:rPr>
      </w:pPr>
      <w:r>
        <w:rPr>
          <w:rFonts w:ascii="宋体" w:hAnsi="宋体" w:eastAsia="宋体" w:cs="宋体"/>
          <w:spacing w:val="-2"/>
          <w:sz w:val="24"/>
          <w:szCs w:val="24"/>
        </w:rPr>
        <w:t xml:space="preserve">桂花水库坝址地理坐标为东经 </w:t>
      </w:r>
      <w:r>
        <w:rPr>
          <w:rFonts w:ascii="Times New Roman" w:hAnsi="Times New Roman" w:eastAsia="Times New Roman" w:cs="Times New Roman"/>
          <w:spacing w:val="-2"/>
          <w:sz w:val="24"/>
          <w:szCs w:val="24"/>
        </w:rPr>
        <w:t>101°15′57″</w:t>
      </w:r>
      <w:r>
        <w:rPr>
          <w:rFonts w:ascii="宋体" w:hAnsi="宋体" w:eastAsia="宋体" w:cs="宋体"/>
          <w:spacing w:val="-2"/>
          <w:sz w:val="24"/>
          <w:szCs w:val="24"/>
        </w:rPr>
        <w:t xml:space="preserve">，北纬 </w:t>
      </w:r>
      <w:r>
        <w:rPr>
          <w:rFonts w:ascii="Times New Roman" w:hAnsi="Times New Roman" w:eastAsia="Times New Roman" w:cs="Times New Roman"/>
          <w:spacing w:val="-2"/>
          <w:sz w:val="24"/>
          <w:szCs w:val="24"/>
        </w:rPr>
        <w:t>26°02′22″</w:t>
      </w:r>
      <w:r>
        <w:rPr>
          <w:rFonts w:ascii="宋体" w:hAnsi="宋体" w:eastAsia="宋体" w:cs="宋体"/>
          <w:spacing w:val="-2"/>
          <w:sz w:val="24"/>
          <w:szCs w:val="24"/>
        </w:rPr>
        <w:t>，水库本区坝址以上流</w:t>
      </w:r>
      <w:r>
        <w:rPr>
          <w:rFonts w:ascii="宋体" w:hAnsi="宋体" w:eastAsia="宋体" w:cs="宋体"/>
          <w:spacing w:val="11"/>
          <w:sz w:val="24"/>
          <w:szCs w:val="24"/>
        </w:rPr>
        <w:t xml:space="preserve"> </w:t>
      </w:r>
      <w:r>
        <w:rPr>
          <w:rFonts w:ascii="宋体" w:hAnsi="宋体" w:eastAsia="宋体" w:cs="宋体"/>
          <w:spacing w:val="-3"/>
          <w:sz w:val="24"/>
          <w:szCs w:val="24"/>
        </w:rPr>
        <w:t>域面积</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55.6k</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 xml:space="preserve">㎡，主河长 </w:t>
      </w:r>
      <w:r>
        <w:rPr>
          <w:rFonts w:ascii="Times New Roman" w:hAnsi="Times New Roman" w:eastAsia="Times New Roman" w:cs="Times New Roman"/>
          <w:spacing w:val="-3"/>
          <w:sz w:val="24"/>
          <w:szCs w:val="24"/>
        </w:rPr>
        <w:t>11.9km</w:t>
      </w:r>
      <w:r>
        <w:rPr>
          <w:rFonts w:ascii="宋体" w:hAnsi="宋体" w:eastAsia="宋体" w:cs="宋体"/>
          <w:spacing w:val="-3"/>
          <w:sz w:val="24"/>
          <w:szCs w:val="24"/>
        </w:rPr>
        <w:t>，河道平均坡降</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48.34‰</w:t>
      </w:r>
      <w:r>
        <w:rPr>
          <w:rFonts w:ascii="宋体" w:hAnsi="宋体" w:eastAsia="宋体" w:cs="宋体"/>
          <w:spacing w:val="-4"/>
          <w:sz w:val="24"/>
          <w:szCs w:val="24"/>
        </w:rPr>
        <w:t>，水库流域水系呈扇形分布，</w:t>
      </w:r>
      <w:r>
        <w:rPr>
          <w:rFonts w:ascii="宋体" w:hAnsi="宋体" w:eastAsia="宋体" w:cs="宋体"/>
          <w:sz w:val="24"/>
          <w:szCs w:val="24"/>
        </w:rPr>
        <w:t xml:space="preserve"> </w:t>
      </w:r>
      <w:r>
        <w:rPr>
          <w:rFonts w:ascii="宋体" w:hAnsi="宋体" w:eastAsia="宋体" w:cs="宋体"/>
          <w:spacing w:val="-1"/>
          <w:sz w:val="24"/>
          <w:szCs w:val="24"/>
        </w:rPr>
        <w:t xml:space="preserve">径流区南北最长 </w:t>
      </w:r>
      <w:r>
        <w:rPr>
          <w:rFonts w:ascii="Times New Roman" w:hAnsi="Times New Roman" w:eastAsia="Times New Roman" w:cs="Times New Roman"/>
          <w:spacing w:val="-1"/>
          <w:sz w:val="24"/>
          <w:szCs w:val="24"/>
        </w:rPr>
        <w:t>10.2km</w:t>
      </w:r>
      <w:r>
        <w:rPr>
          <w:rFonts w:ascii="宋体" w:hAnsi="宋体" w:eastAsia="宋体" w:cs="宋体"/>
          <w:spacing w:val="-1"/>
          <w:sz w:val="24"/>
          <w:szCs w:val="24"/>
        </w:rPr>
        <w:t xml:space="preserve">，东两最宽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2"/>
          <w:sz w:val="24"/>
          <w:szCs w:val="24"/>
        </w:rPr>
        <w:t>0km</w:t>
      </w:r>
      <w:r>
        <w:rPr>
          <w:rFonts w:ascii="宋体" w:hAnsi="宋体" w:eastAsia="宋体" w:cs="宋体"/>
          <w:spacing w:val="-2"/>
          <w:sz w:val="24"/>
          <w:szCs w:val="24"/>
        </w:rPr>
        <w:t>；水库流域最高点昙华山麓子米地，海拔高</w:t>
      </w:r>
    </w:p>
    <w:p>
      <w:pPr>
        <w:spacing w:line="233" w:lineRule="auto"/>
        <w:ind w:left="38"/>
        <w:rPr>
          <w:rFonts w:ascii="宋体" w:hAnsi="宋体" w:eastAsia="宋体" w:cs="宋体"/>
          <w:sz w:val="24"/>
          <w:szCs w:val="24"/>
        </w:rPr>
      </w:pPr>
      <w:r>
        <w:rPr>
          <w:rFonts w:ascii="宋体" w:hAnsi="宋体" w:eastAsia="宋体" w:cs="宋体"/>
          <w:spacing w:val="-5"/>
          <w:sz w:val="24"/>
          <w:szCs w:val="24"/>
        </w:rPr>
        <w:t>程</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3118m</w:t>
      </w:r>
      <w:r>
        <w:rPr>
          <w:rFonts w:ascii="宋体" w:hAnsi="宋体" w:eastAsia="宋体" w:cs="宋体"/>
          <w:spacing w:val="-5"/>
          <w:sz w:val="24"/>
          <w:szCs w:val="24"/>
        </w:rPr>
        <w:t>，最低点为水库坝址，</w:t>
      </w:r>
      <w:r>
        <w:rPr>
          <w:rFonts w:ascii="宋体" w:hAnsi="宋体" w:eastAsia="宋体" w:cs="宋体"/>
          <w:spacing w:val="61"/>
          <w:sz w:val="24"/>
          <w:szCs w:val="24"/>
        </w:rPr>
        <w:t xml:space="preserve"> </w:t>
      </w:r>
      <w:r>
        <w:rPr>
          <w:rFonts w:ascii="宋体" w:hAnsi="宋体" w:eastAsia="宋体" w:cs="宋体"/>
          <w:spacing w:val="-5"/>
          <w:sz w:val="24"/>
          <w:szCs w:val="24"/>
        </w:rPr>
        <w:t>海拔高程</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2014m</w:t>
      </w:r>
      <w:r>
        <w:rPr>
          <w:rFonts w:ascii="宋体" w:hAnsi="宋体" w:eastAsia="宋体" w:cs="宋体"/>
          <w:spacing w:val="-5"/>
          <w:sz w:val="24"/>
          <w:szCs w:val="24"/>
        </w:rPr>
        <w:t>，水库</w:t>
      </w:r>
      <w:r>
        <w:rPr>
          <w:rFonts w:ascii="宋体" w:hAnsi="宋体" w:eastAsia="宋体" w:cs="宋体"/>
          <w:spacing w:val="-6"/>
          <w:sz w:val="24"/>
          <w:szCs w:val="24"/>
        </w:rPr>
        <w:t>流域平均高程为</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2596m</w:t>
      </w:r>
      <w:r>
        <w:rPr>
          <w:rFonts w:ascii="宋体" w:hAnsi="宋体" w:eastAsia="宋体" w:cs="宋体"/>
          <w:spacing w:val="-6"/>
          <w:sz w:val="24"/>
          <w:szCs w:val="24"/>
        </w:rPr>
        <w:t>。</w:t>
      </w:r>
    </w:p>
    <w:p>
      <w:pPr>
        <w:spacing w:before="163" w:line="359" w:lineRule="auto"/>
        <w:ind w:left="39" w:right="76" w:firstLine="482"/>
        <w:rPr>
          <w:rFonts w:ascii="宋体" w:hAnsi="宋体" w:eastAsia="宋体" w:cs="宋体"/>
          <w:sz w:val="24"/>
          <w:szCs w:val="24"/>
        </w:rPr>
      </w:pPr>
      <w:r>
        <w:rPr>
          <w:rFonts w:ascii="宋体" w:hAnsi="宋体" w:eastAsia="宋体" w:cs="宋体"/>
          <w:spacing w:val="2"/>
          <w:sz w:val="24"/>
          <w:szCs w:val="24"/>
        </w:rPr>
        <w:t>桂花水库有一引水区，位于左岸邻近的桂花河</w:t>
      </w:r>
      <w:r>
        <w:rPr>
          <w:rFonts w:ascii="宋体" w:hAnsi="宋体" w:eastAsia="宋体" w:cs="宋体"/>
          <w:spacing w:val="1"/>
          <w:sz w:val="24"/>
          <w:szCs w:val="24"/>
        </w:rPr>
        <w:t>支流罗子河上，引水区控制流域面</w:t>
      </w:r>
      <w:r>
        <w:rPr>
          <w:rFonts w:ascii="宋体" w:hAnsi="宋体" w:eastAsia="宋体" w:cs="宋体"/>
          <w:sz w:val="24"/>
          <w:szCs w:val="24"/>
        </w:rPr>
        <w:t xml:space="preserve"> </w:t>
      </w:r>
      <w:r>
        <w:rPr>
          <w:rFonts w:ascii="宋体" w:hAnsi="宋体" w:eastAsia="宋体" w:cs="宋体"/>
          <w:spacing w:val="-3"/>
          <w:sz w:val="24"/>
          <w:szCs w:val="24"/>
        </w:rPr>
        <w:t>积</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20.5km²</w:t>
      </w:r>
      <w:r>
        <w:rPr>
          <w:rFonts w:ascii="宋体" w:hAnsi="宋体" w:eastAsia="宋体" w:cs="宋体"/>
          <w:spacing w:val="-3"/>
          <w:sz w:val="24"/>
          <w:szCs w:val="24"/>
        </w:rPr>
        <w:t>,</w:t>
      </w:r>
      <w:r>
        <w:rPr>
          <w:rFonts w:ascii="宋体" w:hAnsi="宋体" w:eastAsia="宋体" w:cs="宋体"/>
          <w:spacing w:val="59"/>
          <w:sz w:val="24"/>
          <w:szCs w:val="24"/>
        </w:rPr>
        <w:t xml:space="preserve"> </w:t>
      </w:r>
      <w:r>
        <w:rPr>
          <w:rFonts w:ascii="宋体" w:hAnsi="宋体" w:eastAsia="宋体" w:cs="宋体"/>
          <w:spacing w:val="-3"/>
          <w:sz w:val="24"/>
          <w:szCs w:val="24"/>
        </w:rPr>
        <w:t>主河长</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10.1km</w:t>
      </w:r>
      <w:r>
        <w:rPr>
          <w:rFonts w:ascii="宋体" w:hAnsi="宋体" w:eastAsia="宋体" w:cs="宋体"/>
          <w:spacing w:val="-3"/>
          <w:sz w:val="24"/>
          <w:szCs w:val="24"/>
        </w:rPr>
        <w:t>，河道平均坡降</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55.97‰</w:t>
      </w:r>
      <w:r>
        <w:rPr>
          <w:rFonts w:ascii="宋体" w:hAnsi="宋体" w:eastAsia="宋体" w:cs="宋体"/>
          <w:spacing w:val="-3"/>
          <w:sz w:val="24"/>
          <w:szCs w:val="24"/>
        </w:rPr>
        <w:t>，流域平均高程</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2635m</w:t>
      </w:r>
      <w:r>
        <w:rPr>
          <w:rFonts w:ascii="宋体" w:hAnsi="宋体" w:eastAsia="宋体" w:cs="宋体"/>
          <w:spacing w:val="-3"/>
          <w:sz w:val="24"/>
          <w:szCs w:val="24"/>
        </w:rPr>
        <w:t>。桂花水库</w:t>
      </w:r>
    </w:p>
    <w:p>
      <w:pPr>
        <w:spacing w:line="216" w:lineRule="auto"/>
        <w:ind w:left="38"/>
        <w:rPr>
          <w:rFonts w:ascii="宋体" w:hAnsi="宋体" w:eastAsia="宋体" w:cs="宋体"/>
          <w:sz w:val="24"/>
          <w:szCs w:val="24"/>
        </w:rPr>
      </w:pPr>
      <w:r>
        <w:rPr>
          <w:rFonts w:ascii="宋体" w:hAnsi="宋体" w:eastAsia="宋体" w:cs="宋体"/>
          <w:spacing w:val="3"/>
          <w:sz w:val="24"/>
          <w:szCs w:val="24"/>
        </w:rPr>
        <w:t>坝址以上流域面积</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55.6</w:t>
      </w:r>
      <w:r>
        <w:rPr>
          <w:rFonts w:ascii="Times New Roman" w:hAnsi="Times New Roman" w:eastAsia="Times New Roman" w:cs="Times New Roman"/>
          <w:sz w:val="24"/>
          <w:szCs w:val="24"/>
        </w:rPr>
        <w:t>km</w:t>
      </w:r>
      <w:r>
        <w:rPr>
          <w:rFonts w:ascii="Times New Roman" w:hAnsi="Times New Roman" w:eastAsia="Times New Roman" w:cs="Times New Roman"/>
          <w:spacing w:val="3"/>
          <w:sz w:val="24"/>
          <w:szCs w:val="24"/>
        </w:rPr>
        <w:t>²</w:t>
      </w:r>
      <w:r>
        <w:rPr>
          <w:rFonts w:ascii="宋体" w:hAnsi="宋体" w:eastAsia="宋体" w:cs="宋体"/>
          <w:spacing w:val="3"/>
          <w:sz w:val="24"/>
          <w:szCs w:val="24"/>
        </w:rPr>
        <w:t>,罗子左引水区河控制流域面积</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20.5</w:t>
      </w:r>
      <w:r>
        <w:rPr>
          <w:rFonts w:ascii="Times New Roman" w:hAnsi="Times New Roman" w:eastAsia="Times New Roman" w:cs="Times New Roman"/>
          <w:sz w:val="24"/>
          <w:szCs w:val="24"/>
        </w:rPr>
        <w:t>km</w:t>
      </w:r>
      <w:r>
        <w:rPr>
          <w:rFonts w:ascii="Times New Roman" w:hAnsi="Times New Roman" w:eastAsia="Times New Roman" w:cs="Times New Roman"/>
          <w:spacing w:val="2"/>
          <w:sz w:val="24"/>
          <w:szCs w:val="24"/>
        </w:rPr>
        <w:t>²</w:t>
      </w:r>
      <w:r>
        <w:rPr>
          <w:rFonts w:ascii="宋体" w:hAnsi="宋体" w:eastAsia="宋体" w:cs="宋体"/>
          <w:spacing w:val="2"/>
          <w:sz w:val="24"/>
          <w:szCs w:val="24"/>
        </w:rPr>
        <w:t>。</w:t>
      </w:r>
    </w:p>
    <w:p>
      <w:pPr>
        <w:spacing w:before="187" w:line="359" w:lineRule="auto"/>
        <w:ind w:left="41" w:right="66" w:firstLine="477"/>
        <w:rPr>
          <w:rFonts w:ascii="宋体" w:hAnsi="宋体" w:eastAsia="宋体" w:cs="宋体"/>
          <w:sz w:val="24"/>
          <w:szCs w:val="24"/>
        </w:rPr>
      </w:pPr>
      <w:r>
        <w:rPr>
          <w:rFonts w:ascii="宋体" w:hAnsi="宋体" w:eastAsia="宋体" w:cs="宋体"/>
          <w:spacing w:val="-1"/>
          <w:sz w:val="24"/>
          <w:szCs w:val="24"/>
        </w:rPr>
        <w:t xml:space="preserve">输水干渠沿途有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47"/>
          <w:w w:val="101"/>
          <w:sz w:val="24"/>
          <w:szCs w:val="24"/>
        </w:rPr>
        <w:t xml:space="preserve"> </w:t>
      </w:r>
      <w:r>
        <w:rPr>
          <w:rFonts w:ascii="宋体" w:hAnsi="宋体" w:eastAsia="宋体" w:cs="宋体"/>
          <w:spacing w:val="-1"/>
          <w:sz w:val="24"/>
          <w:szCs w:val="24"/>
        </w:rPr>
        <w:t>个取水坝，分别位于桂花河支流马茨河，蜻蛉河支流</w:t>
      </w:r>
      <w:r>
        <w:rPr>
          <w:rFonts w:ascii="宋体" w:hAnsi="宋体" w:eastAsia="宋体" w:cs="宋体"/>
          <w:spacing w:val="-2"/>
          <w:sz w:val="24"/>
          <w:szCs w:val="24"/>
        </w:rPr>
        <w:t>者纳么河</w:t>
      </w:r>
      <w:r>
        <w:rPr>
          <w:rFonts w:ascii="宋体" w:hAnsi="宋体" w:eastAsia="宋体" w:cs="宋体"/>
          <w:sz w:val="24"/>
          <w:szCs w:val="24"/>
        </w:rPr>
        <w:t xml:space="preserve"> </w:t>
      </w:r>
      <w:r>
        <w:rPr>
          <w:rFonts w:ascii="宋体" w:hAnsi="宋体" w:eastAsia="宋体" w:cs="宋体"/>
          <w:spacing w:val="-8"/>
          <w:sz w:val="24"/>
          <w:szCs w:val="24"/>
        </w:rPr>
        <w:t>上游支流六姑乍箐、昔木乍箐及见簸箐上，</w:t>
      </w:r>
      <w:r>
        <w:rPr>
          <w:rFonts w:ascii="宋体" w:hAnsi="宋体" w:eastAsia="宋体" w:cs="宋体"/>
          <w:spacing w:val="63"/>
          <w:sz w:val="24"/>
          <w:szCs w:val="24"/>
        </w:rPr>
        <w:t xml:space="preserve"> </w:t>
      </w:r>
      <w:r>
        <w:rPr>
          <w:rFonts w:ascii="宋体" w:hAnsi="宋体" w:eastAsia="宋体" w:cs="宋体"/>
          <w:spacing w:val="-8"/>
          <w:sz w:val="24"/>
          <w:szCs w:val="24"/>
        </w:rPr>
        <w:t>马茨河取水坝控制流域面积</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13.7km²</w:t>
      </w:r>
      <w:r>
        <w:rPr>
          <w:rFonts w:ascii="宋体" w:hAnsi="宋体" w:eastAsia="宋体" w:cs="宋体"/>
          <w:spacing w:val="-8"/>
          <w:sz w:val="24"/>
          <w:szCs w:val="24"/>
        </w:rPr>
        <w:t>,</w:t>
      </w:r>
      <w:r>
        <w:rPr>
          <w:rFonts w:ascii="宋体" w:hAnsi="宋体" w:eastAsia="宋体" w:cs="宋体"/>
          <w:spacing w:val="43"/>
          <w:sz w:val="24"/>
          <w:szCs w:val="24"/>
        </w:rPr>
        <w:t xml:space="preserve"> </w:t>
      </w:r>
      <w:r>
        <w:rPr>
          <w:rFonts w:ascii="宋体" w:hAnsi="宋体" w:eastAsia="宋体" w:cs="宋体"/>
          <w:spacing w:val="-8"/>
          <w:sz w:val="24"/>
          <w:szCs w:val="24"/>
        </w:rPr>
        <w:t>六姑</w:t>
      </w:r>
      <w:r>
        <w:rPr>
          <w:rFonts w:ascii="宋体" w:hAnsi="宋体" w:eastAsia="宋体" w:cs="宋体"/>
          <w:sz w:val="24"/>
          <w:szCs w:val="24"/>
        </w:rPr>
        <w:t xml:space="preserve"> </w:t>
      </w:r>
      <w:r>
        <w:rPr>
          <w:rFonts w:ascii="宋体" w:hAnsi="宋体" w:eastAsia="宋体" w:cs="宋体"/>
          <w:spacing w:val="-4"/>
          <w:sz w:val="24"/>
          <w:szCs w:val="24"/>
        </w:rPr>
        <w:t>乍箐取水坝流域面积</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7.4km²</w:t>
      </w:r>
      <w:r>
        <w:rPr>
          <w:rFonts w:ascii="宋体" w:hAnsi="宋体" w:eastAsia="宋体" w:cs="宋体"/>
          <w:spacing w:val="-4"/>
          <w:sz w:val="24"/>
          <w:szCs w:val="24"/>
        </w:rPr>
        <w:t>,</w:t>
      </w:r>
      <w:r>
        <w:rPr>
          <w:rFonts w:ascii="宋体" w:hAnsi="宋体" w:eastAsia="宋体" w:cs="宋体"/>
          <w:spacing w:val="60"/>
          <w:sz w:val="24"/>
          <w:szCs w:val="24"/>
        </w:rPr>
        <w:t xml:space="preserve"> </w:t>
      </w:r>
      <w:r>
        <w:rPr>
          <w:rFonts w:ascii="宋体" w:hAnsi="宋体" w:eastAsia="宋体" w:cs="宋体"/>
          <w:spacing w:val="-4"/>
          <w:sz w:val="24"/>
          <w:szCs w:val="24"/>
        </w:rPr>
        <w:t>昔木乍箐取水坝流域面积</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5.2km</w:t>
      </w:r>
      <w:r>
        <w:rPr>
          <w:rFonts w:ascii="宋体" w:hAnsi="宋体" w:eastAsia="宋体" w:cs="宋体"/>
          <w:spacing w:val="-5"/>
          <w:sz w:val="24"/>
          <w:szCs w:val="24"/>
        </w:rPr>
        <w:t>²</w:t>
      </w:r>
      <w:r>
        <w:rPr>
          <w:rFonts w:ascii="宋体" w:hAnsi="宋体" w:eastAsia="宋体" w:cs="宋体"/>
          <w:spacing w:val="-94"/>
          <w:sz w:val="24"/>
          <w:szCs w:val="24"/>
        </w:rPr>
        <w:t xml:space="preserve"> </w:t>
      </w:r>
      <w:r>
        <w:rPr>
          <w:rFonts w:ascii="宋体" w:hAnsi="宋体" w:eastAsia="宋体" w:cs="宋体"/>
          <w:spacing w:val="-5"/>
          <w:sz w:val="24"/>
          <w:szCs w:val="24"/>
        </w:rPr>
        <w:t>,</w:t>
      </w:r>
      <w:r>
        <w:rPr>
          <w:rFonts w:ascii="宋体" w:hAnsi="宋体" w:eastAsia="宋体" w:cs="宋体"/>
          <w:spacing w:val="61"/>
          <w:sz w:val="24"/>
          <w:szCs w:val="24"/>
        </w:rPr>
        <w:t xml:space="preserve"> </w:t>
      </w:r>
      <w:r>
        <w:rPr>
          <w:rFonts w:ascii="宋体" w:hAnsi="宋体" w:eastAsia="宋体" w:cs="宋体"/>
          <w:spacing w:val="-5"/>
          <w:sz w:val="24"/>
          <w:szCs w:val="24"/>
        </w:rPr>
        <w:t>见簸箐取水坝流域面</w:t>
      </w:r>
    </w:p>
    <w:p>
      <w:pPr>
        <w:spacing w:before="1" w:line="220" w:lineRule="auto"/>
        <w:ind w:left="39"/>
        <w:rPr>
          <w:rFonts w:ascii="宋体" w:hAnsi="宋体" w:eastAsia="宋体" w:cs="宋体"/>
          <w:sz w:val="24"/>
          <w:szCs w:val="24"/>
        </w:rPr>
      </w:pPr>
      <w:r>
        <w:rPr>
          <w:rFonts w:ascii="宋体" w:hAnsi="宋体" w:eastAsia="宋体" w:cs="宋体"/>
          <w:spacing w:val="-5"/>
          <w:sz w:val="24"/>
          <w:szCs w:val="24"/>
        </w:rPr>
        <w:t>积</w:t>
      </w:r>
      <w:r>
        <w:rPr>
          <w:rFonts w:ascii="宋体" w:hAnsi="宋体" w:eastAsia="宋体" w:cs="宋体"/>
          <w:spacing w:val="-25"/>
          <w:sz w:val="24"/>
          <w:szCs w:val="24"/>
        </w:rPr>
        <w:t xml:space="preserve"> </w:t>
      </w:r>
      <w:r>
        <w:rPr>
          <w:rFonts w:ascii="Times New Roman" w:hAnsi="Times New Roman" w:eastAsia="Times New Roman" w:cs="Times New Roman"/>
          <w:spacing w:val="-5"/>
          <w:sz w:val="24"/>
          <w:szCs w:val="24"/>
        </w:rPr>
        <w:t>13.9km</w:t>
      </w:r>
      <w:r>
        <w:rPr>
          <w:rFonts w:ascii="宋体" w:hAnsi="宋体" w:eastAsia="宋体" w:cs="宋体"/>
          <w:spacing w:val="-5"/>
          <w:sz w:val="24"/>
          <w:szCs w:val="24"/>
        </w:rPr>
        <w:t>²。</w:t>
      </w:r>
    </w:p>
    <w:p>
      <w:pPr>
        <w:spacing w:before="181" w:line="217" w:lineRule="auto"/>
        <w:ind w:left="518"/>
        <w:rPr>
          <w:rFonts w:ascii="宋体" w:hAnsi="宋体" w:eastAsia="宋体" w:cs="宋体"/>
          <w:sz w:val="24"/>
          <w:szCs w:val="24"/>
        </w:rPr>
      </w:pPr>
      <w:r>
        <w:rPr>
          <w:rFonts w:ascii="宋体" w:hAnsi="宋体" w:eastAsia="宋体" w:cs="宋体"/>
          <w:spacing w:val="-3"/>
          <w:sz w:val="24"/>
          <w:szCs w:val="24"/>
        </w:rPr>
        <w:t>①降雨量</w:t>
      </w:r>
    </w:p>
    <w:p>
      <w:pPr>
        <w:spacing w:before="184" w:line="359" w:lineRule="auto"/>
        <w:ind w:left="39" w:right="65" w:firstLine="482"/>
        <w:rPr>
          <w:rFonts w:ascii="Times New Roman" w:hAnsi="Times New Roman" w:eastAsia="Times New Roman" w:cs="Times New Roman"/>
          <w:sz w:val="24"/>
          <w:szCs w:val="24"/>
        </w:rPr>
      </w:pPr>
      <w:r>
        <w:rPr>
          <w:rFonts w:ascii="宋体" w:hAnsi="宋体" w:eastAsia="宋体" w:cs="宋体"/>
          <w:spacing w:val="-3"/>
          <w:sz w:val="24"/>
          <w:szCs w:val="24"/>
        </w:rPr>
        <w:t>桂花河流域多年平均降水量</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929.9mm</w:t>
      </w:r>
      <w:r>
        <w:rPr>
          <w:rFonts w:ascii="宋体" w:hAnsi="宋体" w:eastAsia="宋体" w:cs="宋体"/>
          <w:spacing w:val="-3"/>
          <w:sz w:val="24"/>
          <w:szCs w:val="24"/>
        </w:rPr>
        <w:t>，最大年降水量为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1257.2mm</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1986 </w:t>
      </w:r>
      <w:r>
        <w:rPr>
          <w:rFonts w:ascii="宋体" w:hAnsi="宋体" w:eastAsia="宋体" w:cs="宋体"/>
          <w:spacing w:val="-4"/>
          <w:sz w:val="24"/>
          <w:szCs w:val="24"/>
        </w:rPr>
        <w:t>年</w:t>
      </w:r>
      <w:r>
        <w:rPr>
          <w:rFonts w:ascii="宋体" w:hAnsi="宋体" w:eastAsia="宋体" w:cs="宋体"/>
          <w:spacing w:val="-25"/>
          <w:sz w:val="24"/>
          <w:szCs w:val="24"/>
        </w:rPr>
        <w:t>），</w:t>
      </w:r>
      <w:r>
        <w:rPr>
          <w:rFonts w:ascii="宋体" w:hAnsi="宋体" w:eastAsia="宋体" w:cs="宋体"/>
          <w:spacing w:val="-4"/>
          <w:sz w:val="24"/>
          <w:szCs w:val="24"/>
        </w:rPr>
        <w:t>最</w:t>
      </w:r>
      <w:r>
        <w:rPr>
          <w:rFonts w:ascii="宋体" w:hAnsi="宋体" w:eastAsia="宋体" w:cs="宋体"/>
          <w:sz w:val="24"/>
          <w:szCs w:val="24"/>
        </w:rPr>
        <w:t xml:space="preserve"> </w:t>
      </w:r>
      <w:r>
        <w:rPr>
          <w:rFonts w:ascii="宋体" w:hAnsi="宋体" w:eastAsia="宋体" w:cs="宋体"/>
          <w:spacing w:val="-8"/>
          <w:sz w:val="24"/>
          <w:szCs w:val="24"/>
        </w:rPr>
        <w:t>小年降水量为</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593.5mm</w:t>
      </w:r>
      <w:r>
        <w:rPr>
          <w:rFonts w:ascii="宋体" w:hAnsi="宋体" w:eastAsia="宋体" w:cs="宋体"/>
          <w:spacing w:val="-8"/>
          <w:sz w:val="24"/>
          <w:szCs w:val="24"/>
        </w:rPr>
        <w:t>（</w:t>
      </w:r>
      <w:r>
        <w:rPr>
          <w:rFonts w:ascii="Times New Roman" w:hAnsi="Times New Roman" w:eastAsia="Times New Roman" w:cs="Times New Roman"/>
          <w:spacing w:val="-8"/>
          <w:sz w:val="24"/>
          <w:szCs w:val="24"/>
        </w:rPr>
        <w:t xml:space="preserve">2011 </w:t>
      </w:r>
      <w:r>
        <w:rPr>
          <w:rFonts w:ascii="宋体" w:hAnsi="宋体" w:eastAsia="宋体" w:cs="宋体"/>
          <w:spacing w:val="-8"/>
          <w:sz w:val="24"/>
          <w:szCs w:val="24"/>
        </w:rPr>
        <w:t>年</w:t>
      </w:r>
      <w:r>
        <w:rPr>
          <w:rFonts w:ascii="宋体" w:hAnsi="宋体" w:eastAsia="宋体" w:cs="宋体"/>
          <w:spacing w:val="-41"/>
          <w:sz w:val="24"/>
          <w:szCs w:val="24"/>
        </w:rPr>
        <w:t>）；</w:t>
      </w:r>
      <w:r>
        <w:rPr>
          <w:rFonts w:ascii="宋体" w:hAnsi="宋体" w:eastAsia="宋体" w:cs="宋体"/>
          <w:spacing w:val="-8"/>
          <w:sz w:val="24"/>
          <w:szCs w:val="24"/>
        </w:rPr>
        <w:t>年内分配也极不均匀，</w:t>
      </w:r>
      <w:r>
        <w:rPr>
          <w:rFonts w:ascii="宋体" w:hAnsi="宋体" w:eastAsia="宋体" w:cs="宋体"/>
          <w:spacing w:val="35"/>
          <w:sz w:val="24"/>
          <w:szCs w:val="24"/>
        </w:rPr>
        <w:t xml:space="preserve"> </w:t>
      </w:r>
      <w:r>
        <w:rPr>
          <w:rFonts w:ascii="宋体" w:hAnsi="宋体" w:eastAsia="宋体" w:cs="宋体"/>
          <w:spacing w:val="-9"/>
          <w:sz w:val="24"/>
          <w:szCs w:val="24"/>
        </w:rPr>
        <w:t>雨季</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5</w:t>
      </w:r>
      <w:r>
        <w:rPr>
          <w:rFonts w:ascii="宋体" w:hAnsi="宋体" w:eastAsia="宋体" w:cs="宋体"/>
          <w:spacing w:val="-9"/>
          <w:sz w:val="24"/>
          <w:szCs w:val="24"/>
        </w:rPr>
        <w:t>～</w:t>
      </w:r>
      <w:r>
        <w:rPr>
          <w:rFonts w:ascii="Times New Roman" w:hAnsi="Times New Roman" w:eastAsia="Times New Roman" w:cs="Times New Roman"/>
          <w:spacing w:val="-9"/>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月降水量约占年</w:t>
      </w:r>
      <w:r>
        <w:rPr>
          <w:rFonts w:ascii="宋体" w:hAnsi="宋体" w:eastAsia="宋体" w:cs="宋体"/>
          <w:sz w:val="24"/>
          <w:szCs w:val="24"/>
        </w:rPr>
        <w:t xml:space="preserve"> </w:t>
      </w:r>
      <w:r>
        <w:rPr>
          <w:rFonts w:ascii="宋体" w:hAnsi="宋体" w:eastAsia="宋体" w:cs="宋体"/>
          <w:spacing w:val="-3"/>
          <w:sz w:val="24"/>
          <w:szCs w:val="24"/>
        </w:rPr>
        <w:t>降水量的</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94%</w:t>
      </w:r>
      <w:r>
        <w:rPr>
          <w:rFonts w:ascii="宋体" w:hAnsi="宋体" w:eastAsia="宋体" w:cs="宋体"/>
          <w:spacing w:val="-3"/>
          <w:sz w:val="24"/>
          <w:szCs w:val="24"/>
        </w:rPr>
        <w:t xml:space="preserve">，而干季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月至次年</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23"/>
          <w:sz w:val="24"/>
          <w:szCs w:val="24"/>
        </w:rPr>
        <w:t xml:space="preserve"> </w:t>
      </w:r>
      <w:r>
        <w:rPr>
          <w:rFonts w:ascii="宋体" w:hAnsi="宋体" w:eastAsia="宋体" w:cs="宋体"/>
          <w:spacing w:val="-3"/>
          <w:sz w:val="24"/>
          <w:szCs w:val="24"/>
        </w:rPr>
        <w:t>月仅占</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6%</w:t>
      </w:r>
      <w:r>
        <w:rPr>
          <w:rFonts w:ascii="宋体" w:hAnsi="宋体" w:eastAsia="宋体" w:cs="宋体"/>
          <w:spacing w:val="-3"/>
          <w:sz w:val="24"/>
          <w:szCs w:val="24"/>
        </w:rPr>
        <w:t>左右；与降水相应，径流的</w:t>
      </w:r>
      <w:r>
        <w:rPr>
          <w:rFonts w:ascii="宋体" w:hAnsi="宋体" w:eastAsia="宋体" w:cs="宋体"/>
          <w:spacing w:val="-4"/>
          <w:sz w:val="24"/>
          <w:szCs w:val="24"/>
        </w:rPr>
        <w:t>年内丰枯</w:t>
      </w:r>
      <w:r>
        <w:rPr>
          <w:rFonts w:ascii="宋体" w:hAnsi="宋体" w:eastAsia="宋体" w:cs="宋体"/>
          <w:sz w:val="24"/>
          <w:szCs w:val="24"/>
        </w:rPr>
        <w:t xml:space="preserve"> </w:t>
      </w:r>
      <w:r>
        <w:rPr>
          <w:rFonts w:ascii="宋体" w:hAnsi="宋体" w:eastAsia="宋体" w:cs="宋体"/>
          <w:spacing w:val="-6"/>
          <w:sz w:val="24"/>
          <w:szCs w:val="24"/>
        </w:rPr>
        <w:t xml:space="preserve">变化悬殊大， </w:t>
      </w:r>
      <w:r>
        <w:rPr>
          <w:rFonts w:ascii="Times New Roman" w:hAnsi="Times New Roman" w:eastAsia="Times New Roman" w:cs="Times New Roman"/>
          <w:spacing w:val="-6"/>
          <w:sz w:val="24"/>
          <w:szCs w:val="24"/>
        </w:rPr>
        <w:t>6</w:t>
      </w:r>
      <w:r>
        <w:rPr>
          <w:rFonts w:ascii="宋体" w:hAnsi="宋体" w:eastAsia="宋体" w:cs="宋体"/>
          <w:spacing w:val="-6"/>
          <w:sz w:val="24"/>
          <w:szCs w:val="24"/>
        </w:rPr>
        <w:t>～</w:t>
      </w:r>
      <w:r>
        <w:rPr>
          <w:rFonts w:ascii="Times New Roman" w:hAnsi="Times New Roman" w:eastAsia="Times New Roman" w:cs="Times New Roman"/>
          <w:spacing w:val="-6"/>
          <w:sz w:val="24"/>
          <w:szCs w:val="24"/>
        </w:rPr>
        <w:t>11</w:t>
      </w:r>
      <w:r>
        <w:rPr>
          <w:rFonts w:ascii="Times New Roman" w:hAnsi="Times New Roman" w:eastAsia="Times New Roman" w:cs="Times New Roman"/>
          <w:spacing w:val="32"/>
          <w:w w:val="101"/>
          <w:sz w:val="24"/>
          <w:szCs w:val="24"/>
        </w:rPr>
        <w:t xml:space="preserve"> </w:t>
      </w:r>
      <w:r>
        <w:rPr>
          <w:rFonts w:ascii="宋体" w:hAnsi="宋体" w:eastAsia="宋体" w:cs="宋体"/>
          <w:spacing w:val="-6"/>
          <w:sz w:val="24"/>
          <w:szCs w:val="24"/>
        </w:rPr>
        <w:t>月</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20"/>
          <w:sz w:val="24"/>
          <w:szCs w:val="24"/>
        </w:rPr>
        <w:t xml:space="preserve"> </w:t>
      </w:r>
      <w:r>
        <w:rPr>
          <w:rFonts w:ascii="宋体" w:hAnsi="宋体" w:eastAsia="宋体" w:cs="宋体"/>
          <w:spacing w:val="-6"/>
          <w:sz w:val="24"/>
          <w:szCs w:val="24"/>
        </w:rPr>
        <w:t>个月径流量占年径流量的</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80.3%</w:t>
      </w:r>
      <w:r>
        <w:rPr>
          <w:rFonts w:ascii="宋体" w:hAnsi="宋体" w:eastAsia="宋体" w:cs="宋体"/>
          <w:spacing w:val="-6"/>
          <w:sz w:val="24"/>
          <w:szCs w:val="24"/>
        </w:rPr>
        <w:t xml:space="preserve">，其中最丰的 </w:t>
      </w:r>
      <w:r>
        <w:rPr>
          <w:rFonts w:ascii="Times New Roman" w:hAnsi="Times New Roman" w:eastAsia="Times New Roman" w:cs="Times New Roman"/>
          <w:spacing w:val="-6"/>
          <w:sz w:val="24"/>
          <w:szCs w:val="24"/>
        </w:rPr>
        <w:t>7</w:t>
      </w:r>
      <w:r>
        <w:rPr>
          <w:rFonts w:ascii="宋体" w:hAnsi="宋体" w:eastAsia="宋体" w:cs="宋体"/>
          <w:spacing w:val="-6"/>
          <w:sz w:val="24"/>
          <w:szCs w:val="24"/>
        </w:rPr>
        <w:t>～</w:t>
      </w:r>
      <w:r>
        <w:rPr>
          <w:rFonts w:ascii="Times New Roman" w:hAnsi="Times New Roman" w:eastAsia="Times New Roman" w:cs="Times New Roman"/>
          <w:spacing w:val="-6"/>
          <w:sz w:val="24"/>
          <w:szCs w:val="24"/>
        </w:rPr>
        <w:t>9</w:t>
      </w:r>
      <w:r>
        <w:rPr>
          <w:rFonts w:ascii="Times New Roman" w:hAnsi="Times New Roman" w:eastAsia="Times New Roman" w:cs="Times New Roman"/>
          <w:spacing w:val="26"/>
          <w:sz w:val="24"/>
          <w:szCs w:val="24"/>
        </w:rPr>
        <w:t xml:space="preserve"> </w:t>
      </w:r>
      <w:r>
        <w:rPr>
          <w:rFonts w:ascii="宋体" w:hAnsi="宋体" w:eastAsia="宋体" w:cs="宋体"/>
          <w:spacing w:val="-6"/>
          <w:sz w:val="24"/>
          <w:szCs w:val="24"/>
        </w:rPr>
        <w:t>月三个月</w:t>
      </w:r>
      <w:r>
        <w:rPr>
          <w:rFonts w:ascii="宋体" w:hAnsi="宋体" w:eastAsia="宋体" w:cs="宋体"/>
          <w:sz w:val="24"/>
          <w:szCs w:val="24"/>
        </w:rPr>
        <w:t xml:space="preserve"> 径流量约占年径流量的 </w:t>
      </w:r>
      <w:r>
        <w:rPr>
          <w:rFonts w:ascii="Times New Roman" w:hAnsi="Times New Roman" w:eastAsia="Times New Roman" w:cs="Times New Roman"/>
          <w:sz w:val="24"/>
          <w:szCs w:val="24"/>
        </w:rPr>
        <w:t>54.7%</w:t>
      </w:r>
      <w:r>
        <w:rPr>
          <w:rFonts w:ascii="宋体" w:hAnsi="宋体" w:eastAsia="宋体" w:cs="宋体"/>
          <w:sz w:val="24"/>
          <w:szCs w:val="24"/>
        </w:rPr>
        <w:t>；</w:t>
      </w:r>
      <w:r>
        <w:rPr>
          <w:rFonts w:ascii="Times New Roman" w:hAnsi="Times New Roman" w:eastAsia="Times New Roman" w:cs="Times New Roman"/>
          <w:sz w:val="24"/>
          <w:szCs w:val="24"/>
        </w:rPr>
        <w:t>12</w:t>
      </w:r>
      <w:r>
        <w:rPr>
          <w:rFonts w:ascii="宋体" w:hAnsi="宋体" w:eastAsia="宋体" w:cs="宋体"/>
          <w:sz w:val="24"/>
          <w:szCs w:val="24"/>
        </w:rPr>
        <w:t>～</w:t>
      </w:r>
      <w:r>
        <w:rPr>
          <w:rFonts w:ascii="Times New Roman" w:hAnsi="Times New Roman" w:eastAsia="Times New Roman" w:cs="Times New Roman"/>
          <w:sz w:val="24"/>
          <w:szCs w:val="24"/>
        </w:rPr>
        <w:t xml:space="preserve">5  </w:t>
      </w:r>
      <w:r>
        <w:rPr>
          <w:rFonts w:ascii="宋体" w:hAnsi="宋体" w:eastAsia="宋体" w:cs="宋体"/>
          <w:sz w:val="24"/>
          <w:szCs w:val="24"/>
        </w:rPr>
        <w:t xml:space="preserve">月径流量小，占年径流量的 </w:t>
      </w:r>
      <w:r>
        <w:rPr>
          <w:rFonts w:ascii="Times New Roman" w:hAnsi="Times New Roman" w:eastAsia="Times New Roman" w:cs="Times New Roman"/>
          <w:sz w:val="24"/>
          <w:szCs w:val="24"/>
        </w:rPr>
        <w:t>19.7%</w:t>
      </w:r>
      <w:r>
        <w:rPr>
          <w:rFonts w:ascii="宋体" w:hAnsi="宋体" w:eastAsia="宋体" w:cs="宋体"/>
          <w:sz w:val="24"/>
          <w:szCs w:val="24"/>
        </w:rPr>
        <w:t>，最</w:t>
      </w:r>
      <w:r>
        <w:rPr>
          <w:rFonts w:ascii="宋体" w:hAnsi="宋体" w:eastAsia="宋体" w:cs="宋体"/>
          <w:spacing w:val="-1"/>
          <w:sz w:val="24"/>
          <w:szCs w:val="24"/>
        </w:rPr>
        <w:t>枯的</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5</w:t>
      </w:r>
    </w:p>
    <w:p>
      <w:pPr>
        <w:spacing w:before="1" w:line="219" w:lineRule="auto"/>
        <w:ind w:left="45"/>
        <w:rPr>
          <w:rFonts w:ascii="宋体" w:hAnsi="宋体" w:eastAsia="宋体" w:cs="宋体"/>
          <w:sz w:val="24"/>
          <w:szCs w:val="24"/>
        </w:rPr>
      </w:pPr>
      <w:r>
        <w:rPr>
          <w:rFonts w:ascii="宋体" w:hAnsi="宋体" w:eastAsia="宋体" w:cs="宋体"/>
          <w:spacing w:val="-2"/>
          <w:sz w:val="24"/>
          <w:szCs w:val="24"/>
        </w:rPr>
        <w:t>月份径流量仅占年径流量的</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2.4%</w:t>
      </w:r>
      <w:r>
        <w:rPr>
          <w:rFonts w:ascii="宋体" w:hAnsi="宋体" w:eastAsia="宋体" w:cs="宋体"/>
          <w:spacing w:val="-2"/>
          <w:sz w:val="24"/>
          <w:szCs w:val="24"/>
        </w:rPr>
        <w:t>。</w:t>
      </w:r>
    </w:p>
    <w:p>
      <w:pPr>
        <w:spacing w:before="182" w:line="217" w:lineRule="auto"/>
        <w:ind w:left="517"/>
        <w:rPr>
          <w:rFonts w:ascii="宋体" w:hAnsi="宋体" w:eastAsia="宋体" w:cs="宋体"/>
          <w:sz w:val="24"/>
          <w:szCs w:val="24"/>
        </w:rPr>
      </w:pPr>
      <w:r>
        <w:rPr>
          <w:rFonts w:ascii="宋体" w:hAnsi="宋体" w:eastAsia="宋体" w:cs="宋体"/>
          <w:spacing w:val="-2"/>
          <w:sz w:val="24"/>
          <w:szCs w:val="24"/>
        </w:rPr>
        <w:t>②洪水量</w:t>
      </w:r>
    </w:p>
    <w:p>
      <w:pPr>
        <w:spacing w:before="184" w:line="467" w:lineRule="exact"/>
        <w:ind w:right="66"/>
        <w:jc w:val="right"/>
        <w:rPr>
          <w:rFonts w:ascii="宋体" w:hAnsi="宋体" w:eastAsia="宋体" w:cs="宋体"/>
          <w:sz w:val="24"/>
          <w:szCs w:val="24"/>
        </w:rPr>
      </w:pPr>
      <w:r>
        <w:rPr>
          <w:rFonts w:ascii="宋体" w:hAnsi="宋体" w:eastAsia="宋体" w:cs="宋体"/>
          <w:spacing w:val="-2"/>
          <w:position w:val="16"/>
          <w:sz w:val="24"/>
          <w:szCs w:val="24"/>
        </w:rPr>
        <w:t>桂花水库坝址校核标准</w:t>
      </w:r>
      <w:r>
        <w:rPr>
          <w:rFonts w:ascii="宋体" w:hAnsi="宋体" w:eastAsia="宋体" w:cs="宋体"/>
          <w:spacing w:val="-32"/>
          <w:position w:val="16"/>
          <w:sz w:val="24"/>
          <w:szCs w:val="24"/>
        </w:rPr>
        <w:t xml:space="preserve"> </w:t>
      </w:r>
      <w:r>
        <w:rPr>
          <w:rFonts w:ascii="Times New Roman" w:hAnsi="Times New Roman" w:eastAsia="Times New Roman" w:cs="Times New Roman"/>
          <w:spacing w:val="-2"/>
          <w:position w:val="16"/>
          <w:sz w:val="24"/>
          <w:szCs w:val="24"/>
        </w:rPr>
        <w:t xml:space="preserve">1000 </w:t>
      </w:r>
      <w:r>
        <w:rPr>
          <w:rFonts w:ascii="宋体" w:hAnsi="宋体" w:eastAsia="宋体" w:cs="宋体"/>
          <w:spacing w:val="-2"/>
          <w:position w:val="16"/>
          <w:sz w:val="24"/>
          <w:szCs w:val="24"/>
        </w:rPr>
        <w:t>年一遇（</w:t>
      </w:r>
      <w:r>
        <w:rPr>
          <w:rFonts w:ascii="Times New Roman" w:hAnsi="Times New Roman" w:eastAsia="Times New Roman" w:cs="Times New Roman"/>
          <w:spacing w:val="-2"/>
          <w:position w:val="16"/>
          <w:sz w:val="24"/>
          <w:szCs w:val="24"/>
        </w:rPr>
        <w:t>P=0.1%</w:t>
      </w:r>
      <w:r>
        <w:rPr>
          <w:rFonts w:ascii="宋体" w:hAnsi="宋体" w:eastAsia="宋体" w:cs="宋体"/>
          <w:spacing w:val="-2"/>
          <w:position w:val="16"/>
          <w:sz w:val="24"/>
          <w:szCs w:val="24"/>
        </w:rPr>
        <w:t>）洪峰流量为</w:t>
      </w:r>
      <w:r>
        <w:rPr>
          <w:rFonts w:ascii="宋体" w:hAnsi="宋体" w:eastAsia="宋体" w:cs="宋体"/>
          <w:spacing w:val="-50"/>
          <w:position w:val="16"/>
          <w:sz w:val="24"/>
          <w:szCs w:val="24"/>
        </w:rPr>
        <w:t xml:space="preserve"> </w:t>
      </w:r>
      <w:r>
        <w:rPr>
          <w:rFonts w:ascii="Times New Roman" w:hAnsi="Times New Roman" w:eastAsia="Times New Roman" w:cs="Times New Roman"/>
          <w:spacing w:val="-2"/>
          <w:position w:val="16"/>
          <w:sz w:val="24"/>
          <w:szCs w:val="24"/>
        </w:rPr>
        <w:t>369m</w:t>
      </w:r>
      <w:r>
        <w:rPr>
          <w:rFonts w:ascii="宋体" w:hAnsi="宋体" w:eastAsia="宋体" w:cs="宋体"/>
          <w:spacing w:val="-2"/>
          <w:position w:val="16"/>
          <w:sz w:val="24"/>
          <w:szCs w:val="24"/>
        </w:rPr>
        <w:t>³</w:t>
      </w:r>
      <w:r>
        <w:rPr>
          <w:rFonts w:ascii="Times New Roman" w:hAnsi="Times New Roman" w:eastAsia="Times New Roman" w:cs="Times New Roman"/>
          <w:spacing w:val="-2"/>
          <w:position w:val="16"/>
          <w:sz w:val="24"/>
          <w:szCs w:val="24"/>
        </w:rPr>
        <w:t>/</w:t>
      </w:r>
      <w:r>
        <w:rPr>
          <w:rFonts w:ascii="Times New Roman" w:hAnsi="Times New Roman" w:eastAsia="Times New Roman" w:cs="Times New Roman"/>
          <w:spacing w:val="-3"/>
          <w:position w:val="16"/>
          <w:sz w:val="24"/>
          <w:szCs w:val="24"/>
        </w:rPr>
        <w:t>s</w:t>
      </w:r>
      <w:r>
        <w:rPr>
          <w:rFonts w:ascii="Times New Roman" w:hAnsi="Times New Roman" w:eastAsia="Times New Roman" w:cs="Times New Roman"/>
          <w:spacing w:val="-33"/>
          <w:position w:val="16"/>
          <w:sz w:val="24"/>
          <w:szCs w:val="24"/>
        </w:rPr>
        <w:t xml:space="preserve"> </w:t>
      </w:r>
      <w:r>
        <w:rPr>
          <w:rFonts w:ascii="宋体" w:hAnsi="宋体" w:eastAsia="宋体" w:cs="宋体"/>
          <w:spacing w:val="-3"/>
          <w:position w:val="16"/>
          <w:sz w:val="24"/>
          <w:szCs w:val="24"/>
        </w:rPr>
        <w:t>，一日洪量为</w:t>
      </w:r>
    </w:p>
    <w:p>
      <w:pPr>
        <w:spacing w:line="233" w:lineRule="auto"/>
        <w:ind w:left="3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981</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万</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³;设计标准</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50</w:t>
      </w:r>
      <w:r>
        <w:rPr>
          <w:rFonts w:ascii="Times New Roman" w:hAnsi="Times New Roman" w:eastAsia="Times New Roman" w:cs="Times New Roman"/>
          <w:spacing w:val="21"/>
          <w:w w:val="101"/>
          <w:sz w:val="24"/>
          <w:szCs w:val="24"/>
        </w:rPr>
        <w:t xml:space="preserve"> </w:t>
      </w:r>
      <w:r>
        <w:rPr>
          <w:rFonts w:ascii="宋体" w:hAnsi="宋体" w:eastAsia="宋体" w:cs="宋体"/>
          <w:spacing w:val="-1"/>
          <w:sz w:val="24"/>
          <w:szCs w:val="24"/>
        </w:rPr>
        <w:t>年一遇（</w:t>
      </w:r>
      <w:r>
        <w:rPr>
          <w:rFonts w:ascii="Times New Roman" w:hAnsi="Times New Roman" w:eastAsia="Times New Roman" w:cs="Times New Roman"/>
          <w:spacing w:val="-1"/>
          <w:sz w:val="24"/>
          <w:szCs w:val="24"/>
        </w:rPr>
        <w:t>P=2%</w:t>
      </w:r>
      <w:r>
        <w:rPr>
          <w:rFonts w:ascii="宋体" w:hAnsi="宋体" w:eastAsia="宋体" w:cs="宋体"/>
          <w:spacing w:val="-1"/>
          <w:sz w:val="24"/>
          <w:szCs w:val="24"/>
        </w:rPr>
        <w:t>）洪峰流量为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223m</w:t>
      </w:r>
      <w:r>
        <w:rPr>
          <w:rFonts w:ascii="宋体" w:hAnsi="宋体" w:eastAsia="宋体" w:cs="宋体"/>
          <w:spacing w:val="-1"/>
          <w:sz w:val="24"/>
          <w:szCs w:val="24"/>
        </w:rPr>
        <w:t>³</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，一</w:t>
      </w:r>
      <w:r>
        <w:rPr>
          <w:rFonts w:ascii="宋体" w:hAnsi="宋体" w:eastAsia="宋体" w:cs="宋体"/>
          <w:spacing w:val="-69"/>
          <w:sz w:val="24"/>
          <w:szCs w:val="24"/>
        </w:rPr>
        <w:t xml:space="preserve"> </w:t>
      </w:r>
      <w:r>
        <w:rPr>
          <w:rFonts w:ascii="宋体" w:hAnsi="宋体" w:eastAsia="宋体" w:cs="宋体"/>
          <w:spacing w:val="-1"/>
          <w:sz w:val="24"/>
          <w:szCs w:val="24"/>
        </w:rPr>
        <w:t>日洪量为</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59</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26"/>
          <w:w w:val="101"/>
          <w:sz w:val="24"/>
          <w:szCs w:val="24"/>
        </w:rPr>
        <w:t xml:space="preserve"> </w:t>
      </w:r>
      <w:r>
        <w:rPr>
          <w:rFonts w:ascii="宋体" w:hAnsi="宋体" w:eastAsia="宋体" w:cs="宋体"/>
          <w:spacing w:val="-2"/>
          <w:sz w:val="24"/>
          <w:szCs w:val="24"/>
        </w:rPr>
        <w:t>万</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m</w:t>
      </w:r>
    </w:p>
    <w:p>
      <w:pPr>
        <w:spacing w:before="187" w:line="130" w:lineRule="exact"/>
        <w:ind w:left="35"/>
        <w:rPr>
          <w:rFonts w:ascii="宋体" w:hAnsi="宋体" w:eastAsia="宋体" w:cs="宋体"/>
          <w:sz w:val="24"/>
          <w:szCs w:val="24"/>
        </w:rPr>
      </w:pPr>
      <w:r>
        <w:rPr>
          <w:rFonts w:ascii="宋体" w:hAnsi="宋体" w:eastAsia="宋体" w:cs="宋体"/>
          <w:position w:val="-10"/>
          <w:sz w:val="24"/>
          <w:szCs w:val="24"/>
        </w:rPr>
        <w:t>³</w:t>
      </w:r>
    </w:p>
    <w:p>
      <w:pPr>
        <w:spacing w:line="122" w:lineRule="exact"/>
        <w:ind w:left="183"/>
        <w:rPr>
          <w:rFonts w:ascii="宋体" w:hAnsi="宋体" w:eastAsia="宋体" w:cs="宋体"/>
          <w:sz w:val="24"/>
          <w:szCs w:val="24"/>
        </w:rPr>
      </w:pPr>
      <w:r>
        <w:rPr>
          <w:rFonts w:ascii="宋体" w:hAnsi="宋体" w:eastAsia="宋体" w:cs="宋体"/>
          <w:position w:val="1"/>
          <w:sz w:val="24"/>
          <w:szCs w:val="24"/>
        </w:rPr>
        <w:t>。</w:t>
      </w:r>
    </w:p>
    <w:p>
      <w:pPr>
        <w:spacing w:before="192" w:line="217" w:lineRule="auto"/>
        <w:ind w:left="517"/>
        <w:rPr>
          <w:rFonts w:ascii="宋体" w:hAnsi="宋体" w:eastAsia="宋体" w:cs="宋体"/>
          <w:sz w:val="24"/>
          <w:szCs w:val="24"/>
        </w:rPr>
      </w:pPr>
      <w:r>
        <w:rPr>
          <w:rFonts w:ascii="宋体" w:hAnsi="宋体" w:eastAsia="宋体" w:cs="宋体"/>
          <w:spacing w:val="-3"/>
          <w:sz w:val="24"/>
          <w:szCs w:val="24"/>
        </w:rPr>
        <w:t>③泥沙</w:t>
      </w:r>
    </w:p>
    <w:p>
      <w:pPr>
        <w:spacing w:before="184" w:line="220" w:lineRule="auto"/>
        <w:ind w:left="519"/>
        <w:rPr>
          <w:rFonts w:ascii="宋体" w:hAnsi="宋体" w:eastAsia="宋体" w:cs="宋体"/>
          <w:sz w:val="24"/>
          <w:szCs w:val="24"/>
        </w:rPr>
      </w:pPr>
      <w:r>
        <w:rPr>
          <w:rFonts w:ascii="宋体" w:hAnsi="宋体" w:eastAsia="宋体" w:cs="宋体"/>
          <w:spacing w:val="-7"/>
          <w:sz w:val="24"/>
          <w:szCs w:val="24"/>
        </w:rPr>
        <w:t>根据可研，</w:t>
      </w:r>
      <w:r>
        <w:rPr>
          <w:rFonts w:ascii="宋体" w:hAnsi="宋体" w:eastAsia="宋体" w:cs="宋体"/>
          <w:spacing w:val="27"/>
          <w:sz w:val="24"/>
          <w:szCs w:val="24"/>
        </w:rPr>
        <w:t xml:space="preserve"> </w:t>
      </w:r>
      <w:r>
        <w:rPr>
          <w:rFonts w:ascii="宋体" w:hAnsi="宋体" w:eastAsia="宋体" w:cs="宋体"/>
          <w:spacing w:val="-7"/>
          <w:sz w:val="24"/>
          <w:szCs w:val="24"/>
        </w:rPr>
        <w:t>桂花水库坝址处多年平均来沙量见表</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2.1-</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8"/>
          <w:sz w:val="24"/>
          <w:szCs w:val="24"/>
        </w:rPr>
        <w:t>1</w:t>
      </w:r>
      <w:r>
        <w:rPr>
          <w:rFonts w:ascii="宋体" w:hAnsi="宋体" w:eastAsia="宋体" w:cs="宋体"/>
          <w:spacing w:val="-8"/>
          <w:sz w:val="24"/>
          <w:szCs w:val="24"/>
        </w:rPr>
        <w:t>。</w:t>
      </w:r>
    </w:p>
    <w:p>
      <w:pPr>
        <w:spacing w:line="220" w:lineRule="auto"/>
        <w:rPr>
          <w:rFonts w:ascii="宋体" w:hAnsi="宋体" w:eastAsia="宋体" w:cs="宋体"/>
          <w:sz w:val="24"/>
          <w:szCs w:val="24"/>
        </w:rPr>
        <w:sectPr>
          <w:headerReference r:id="rId59" w:type="default"/>
          <w:footerReference r:id="rId60" w:type="default"/>
          <w:pgSz w:w="11907" w:h="16839"/>
          <w:pgMar w:top="1298" w:right="1350" w:bottom="1374" w:left="1501" w:header="1023" w:footer="1210" w:gutter="0"/>
        </w:sectPr>
      </w:pPr>
    </w:p>
    <w:p>
      <w:pPr>
        <w:spacing w:line="442" w:lineRule="auto"/>
        <w:rPr>
          <w:rFonts w:ascii="Arial"/>
          <w:sz w:val="21"/>
        </w:rPr>
      </w:pPr>
    </w:p>
    <w:p>
      <w:pPr>
        <w:spacing w:before="68" w:line="233" w:lineRule="auto"/>
        <w:ind w:left="2902"/>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27"/>
          <w:sz w:val="21"/>
          <w:szCs w:val="21"/>
        </w:rPr>
        <w:t xml:space="preserve"> </w:t>
      </w:r>
      <w:r>
        <w:rPr>
          <w:rFonts w:ascii="Times New Roman" w:hAnsi="Times New Roman" w:eastAsia="Times New Roman" w:cs="Times New Roman"/>
          <w:b/>
          <w:bCs/>
          <w:spacing w:val="-1"/>
          <w:sz w:val="21"/>
          <w:szCs w:val="21"/>
        </w:rPr>
        <w:t xml:space="preserve">2.1-1    </w:t>
      </w:r>
      <w:r>
        <w:rPr>
          <w:rFonts w:ascii="宋体" w:hAnsi="宋体" w:eastAsia="宋体" w:cs="宋体"/>
          <w:spacing w:val="-1"/>
          <w:sz w:val="21"/>
          <w:szCs w:val="21"/>
          <w14:textOutline w14:w="3810" w14:cap="flat" w14:cmpd="sng">
            <w14:solidFill>
              <w14:srgbClr w14:val="000000"/>
            </w14:solidFill>
            <w14:prstDash w14:val="solid"/>
            <w14:miter w14:val="0"/>
          </w14:textOutline>
        </w:rPr>
        <w:t>桂花水库坝址多年平均来沙量</w:t>
      </w:r>
    </w:p>
    <w:p>
      <w:pPr>
        <w:spacing w:line="111" w:lineRule="exact"/>
      </w:pPr>
    </w:p>
    <w:tbl>
      <w:tblPr>
        <w:tblStyle w:val="5"/>
        <w:tblW w:w="8972"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56"/>
        <w:gridCol w:w="3213"/>
        <w:gridCol w:w="30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 w:hRule="atLeast"/>
        </w:trPr>
        <w:tc>
          <w:tcPr>
            <w:tcW w:w="2756" w:type="dxa"/>
            <w:vMerge w:val="restart"/>
            <w:tcBorders>
              <w:top w:val="single" w:color="000000" w:sz="12" w:space="0"/>
              <w:left w:val="nil"/>
              <w:bottom w:val="nil"/>
            </w:tcBorders>
            <w:vAlign w:val="top"/>
          </w:tcPr>
          <w:p>
            <w:pPr>
              <w:spacing w:before="171" w:line="220" w:lineRule="auto"/>
              <w:ind w:left="118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6216" w:type="dxa"/>
            <w:gridSpan w:val="2"/>
            <w:tcBorders>
              <w:top w:val="single" w:color="000000" w:sz="12" w:space="0"/>
              <w:right w:val="nil"/>
            </w:tcBorders>
            <w:vAlign w:val="top"/>
          </w:tcPr>
          <w:p>
            <w:pPr>
              <w:spacing w:before="31" w:line="202" w:lineRule="auto"/>
              <w:ind w:left="239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多年平均淤积量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 w:hRule="atLeast"/>
        </w:trPr>
        <w:tc>
          <w:tcPr>
            <w:tcW w:w="2756" w:type="dxa"/>
            <w:vMerge w:val="continue"/>
            <w:tcBorders>
              <w:top w:val="nil"/>
              <w:left w:val="nil"/>
            </w:tcBorders>
            <w:vAlign w:val="top"/>
          </w:tcPr>
          <w:p>
            <w:pPr>
              <w:rPr>
                <w:rFonts w:ascii="Arial"/>
                <w:sz w:val="21"/>
              </w:rPr>
            </w:pPr>
          </w:p>
        </w:tc>
        <w:tc>
          <w:tcPr>
            <w:tcW w:w="3213" w:type="dxa"/>
            <w:vAlign w:val="top"/>
          </w:tcPr>
          <w:p>
            <w:pPr>
              <w:pStyle w:val="6"/>
              <w:spacing w:before="36" w:line="197" w:lineRule="auto"/>
              <w:ind w:left="1044"/>
              <w:rPr>
                <w:rFonts w:ascii="仿宋" w:hAnsi="仿宋" w:eastAsia="仿宋" w:cs="仿宋"/>
              </w:rPr>
            </w:pPr>
            <w:r>
              <w:rPr>
                <w:rFonts w:ascii="仿宋" w:hAnsi="仿宋" w:eastAsia="仿宋" w:cs="仿宋"/>
                <w:spacing w:val="-4"/>
              </w:rPr>
              <w:t>重量（万</w:t>
            </w:r>
            <w:r>
              <w:rPr>
                <w:rFonts w:ascii="仿宋" w:hAnsi="仿宋" w:eastAsia="仿宋" w:cs="仿宋"/>
                <w:spacing w:val="-50"/>
              </w:rPr>
              <w:t xml:space="preserve"> </w:t>
            </w:r>
            <w:r>
              <w:rPr>
                <w:spacing w:val="-4"/>
              </w:rPr>
              <w:t>t</w:t>
            </w:r>
            <w:r>
              <w:rPr>
                <w:rFonts w:ascii="仿宋" w:hAnsi="仿宋" w:eastAsia="仿宋" w:cs="仿宋"/>
                <w:spacing w:val="-4"/>
              </w:rPr>
              <w:t>）</w:t>
            </w:r>
          </w:p>
        </w:tc>
        <w:tc>
          <w:tcPr>
            <w:tcW w:w="3003" w:type="dxa"/>
            <w:tcBorders>
              <w:right w:val="nil"/>
            </w:tcBorders>
            <w:vAlign w:val="top"/>
          </w:tcPr>
          <w:p>
            <w:pPr>
              <w:pStyle w:val="6"/>
              <w:spacing w:before="36" w:line="197" w:lineRule="auto"/>
              <w:ind w:left="832"/>
              <w:rPr>
                <w:rFonts w:ascii="仿宋" w:hAnsi="仿宋" w:eastAsia="仿宋" w:cs="仿宋"/>
              </w:rPr>
            </w:pPr>
            <w:r>
              <w:rPr>
                <w:rFonts w:ascii="仿宋" w:hAnsi="仿宋" w:eastAsia="仿宋" w:cs="仿宋"/>
                <w:spacing w:val="-4"/>
              </w:rPr>
              <w:t>体积（万</w:t>
            </w:r>
            <w:r>
              <w:rPr>
                <w:rFonts w:ascii="仿宋" w:hAnsi="仿宋" w:eastAsia="仿宋" w:cs="仿宋"/>
                <w:spacing w:val="-46"/>
              </w:rPr>
              <w:t xml:space="preserve"> </w:t>
            </w:r>
            <w:r>
              <w:rPr>
                <w:spacing w:val="-4"/>
              </w:rPr>
              <w:t>m</w:t>
            </w:r>
            <w:r>
              <w:rPr>
                <w:spacing w:val="-12"/>
              </w:rPr>
              <w:t xml:space="preserve"> </w:t>
            </w:r>
            <w:r>
              <w:rPr>
                <w:spacing w:val="-4"/>
                <w:position w:val="7"/>
                <w:sz w:val="14"/>
                <w:szCs w:val="14"/>
              </w:rPr>
              <w:t>3</w:t>
            </w:r>
            <w:r>
              <w:rPr>
                <w:rFonts w:ascii="仿宋" w:hAnsi="仿宋" w:eastAsia="仿宋" w:cs="仿宋"/>
                <w:spacing w:val="-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2756" w:type="dxa"/>
            <w:tcBorders>
              <w:left w:val="nil"/>
            </w:tcBorders>
            <w:vAlign w:val="top"/>
          </w:tcPr>
          <w:p>
            <w:pPr>
              <w:spacing w:before="44" w:line="191" w:lineRule="auto"/>
              <w:ind w:left="1082"/>
              <w:rPr>
                <w:rFonts w:ascii="仿宋" w:hAnsi="仿宋" w:eastAsia="仿宋" w:cs="仿宋"/>
                <w:sz w:val="21"/>
                <w:szCs w:val="21"/>
              </w:rPr>
            </w:pPr>
            <w:r>
              <w:rPr>
                <w:rFonts w:ascii="仿宋" w:hAnsi="仿宋" w:eastAsia="仿宋" w:cs="仿宋"/>
                <w:spacing w:val="-4"/>
                <w:sz w:val="21"/>
                <w:szCs w:val="21"/>
              </w:rPr>
              <w:t>推移质</w:t>
            </w:r>
          </w:p>
        </w:tc>
        <w:tc>
          <w:tcPr>
            <w:tcW w:w="3213" w:type="dxa"/>
            <w:vAlign w:val="top"/>
          </w:tcPr>
          <w:p>
            <w:pPr>
              <w:pStyle w:val="6"/>
              <w:spacing w:before="79" w:line="181" w:lineRule="auto"/>
              <w:ind w:left="1445"/>
            </w:pPr>
            <w:r>
              <w:rPr>
                <w:spacing w:val="-6"/>
              </w:rPr>
              <w:t>1.83</w:t>
            </w:r>
          </w:p>
        </w:tc>
        <w:tc>
          <w:tcPr>
            <w:tcW w:w="3003" w:type="dxa"/>
            <w:tcBorders>
              <w:right w:val="nil"/>
            </w:tcBorders>
            <w:vAlign w:val="top"/>
          </w:tcPr>
          <w:p>
            <w:pPr>
              <w:pStyle w:val="6"/>
              <w:spacing w:before="79" w:line="181" w:lineRule="auto"/>
              <w:ind w:left="1344"/>
            </w:pPr>
            <w:r>
              <w:rPr>
                <w:spacing w:val="-6"/>
              </w:rPr>
              <w:t>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2756" w:type="dxa"/>
            <w:tcBorders>
              <w:left w:val="nil"/>
            </w:tcBorders>
            <w:vAlign w:val="top"/>
          </w:tcPr>
          <w:p>
            <w:pPr>
              <w:spacing w:before="50" w:line="186" w:lineRule="auto"/>
              <w:ind w:left="1087"/>
              <w:rPr>
                <w:rFonts w:ascii="仿宋" w:hAnsi="仿宋" w:eastAsia="仿宋" w:cs="仿宋"/>
                <w:sz w:val="21"/>
                <w:szCs w:val="21"/>
              </w:rPr>
            </w:pPr>
            <w:r>
              <w:rPr>
                <w:rFonts w:ascii="仿宋" w:hAnsi="仿宋" w:eastAsia="仿宋" w:cs="仿宋"/>
                <w:spacing w:val="-5"/>
                <w:sz w:val="21"/>
                <w:szCs w:val="21"/>
              </w:rPr>
              <w:t>悬移质</w:t>
            </w:r>
          </w:p>
        </w:tc>
        <w:tc>
          <w:tcPr>
            <w:tcW w:w="3213" w:type="dxa"/>
            <w:vAlign w:val="top"/>
          </w:tcPr>
          <w:p>
            <w:pPr>
              <w:pStyle w:val="6"/>
              <w:spacing w:before="85" w:line="175" w:lineRule="auto"/>
              <w:ind w:left="1429"/>
            </w:pPr>
            <w:r>
              <w:rPr>
                <w:spacing w:val="-2"/>
              </w:rPr>
              <w:t>9.12</w:t>
            </w:r>
          </w:p>
        </w:tc>
        <w:tc>
          <w:tcPr>
            <w:tcW w:w="3003" w:type="dxa"/>
            <w:tcBorders>
              <w:right w:val="nil"/>
            </w:tcBorders>
            <w:vAlign w:val="top"/>
          </w:tcPr>
          <w:p>
            <w:pPr>
              <w:pStyle w:val="6"/>
              <w:spacing w:before="85" w:line="175" w:lineRule="auto"/>
              <w:ind w:left="1328"/>
            </w:pPr>
            <w:r>
              <w:rPr>
                <w:spacing w:val="-3"/>
              </w:rPr>
              <w:t>6.74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6" w:hRule="atLeast"/>
        </w:trPr>
        <w:tc>
          <w:tcPr>
            <w:tcW w:w="2756" w:type="dxa"/>
            <w:tcBorders>
              <w:left w:val="nil"/>
              <w:bottom w:val="single" w:color="000000" w:sz="12" w:space="0"/>
            </w:tcBorders>
            <w:vAlign w:val="top"/>
          </w:tcPr>
          <w:p>
            <w:pPr>
              <w:spacing w:before="55" w:line="203" w:lineRule="auto"/>
              <w:ind w:left="1186"/>
              <w:rPr>
                <w:rFonts w:ascii="仿宋" w:hAnsi="仿宋" w:eastAsia="仿宋" w:cs="仿宋"/>
                <w:sz w:val="21"/>
                <w:szCs w:val="21"/>
              </w:rPr>
            </w:pPr>
            <w:r>
              <w:rPr>
                <w:rFonts w:ascii="仿宋" w:hAnsi="仿宋" w:eastAsia="仿宋" w:cs="仿宋"/>
                <w:spacing w:val="-4"/>
                <w:sz w:val="21"/>
                <w:szCs w:val="21"/>
              </w:rPr>
              <w:t>泥沙</w:t>
            </w:r>
          </w:p>
        </w:tc>
        <w:tc>
          <w:tcPr>
            <w:tcW w:w="3213" w:type="dxa"/>
            <w:tcBorders>
              <w:bottom w:val="single" w:color="000000" w:sz="12" w:space="0"/>
            </w:tcBorders>
            <w:vAlign w:val="top"/>
          </w:tcPr>
          <w:p>
            <w:pPr>
              <w:pStyle w:val="6"/>
              <w:spacing w:before="90" w:line="188" w:lineRule="auto"/>
              <w:ind w:left="1392"/>
            </w:pPr>
            <w:r>
              <w:rPr>
                <w:spacing w:val="-5"/>
              </w:rPr>
              <w:t>10.95</w:t>
            </w:r>
          </w:p>
        </w:tc>
        <w:tc>
          <w:tcPr>
            <w:tcW w:w="3003" w:type="dxa"/>
            <w:tcBorders>
              <w:bottom w:val="single" w:color="000000" w:sz="12" w:space="0"/>
              <w:right w:val="nil"/>
            </w:tcBorders>
            <w:vAlign w:val="top"/>
          </w:tcPr>
          <w:p>
            <w:pPr>
              <w:pStyle w:val="6"/>
              <w:spacing w:before="90" w:line="188" w:lineRule="auto"/>
              <w:ind w:left="1332"/>
            </w:pPr>
            <w:r>
              <w:rPr>
                <w:spacing w:val="-3"/>
              </w:rPr>
              <w:t>8.09</w:t>
            </w:r>
          </w:p>
        </w:tc>
      </w:tr>
    </w:tbl>
    <w:p>
      <w:pPr>
        <w:spacing w:before="36" w:line="217" w:lineRule="auto"/>
        <w:ind w:left="517"/>
        <w:rPr>
          <w:rFonts w:ascii="宋体" w:hAnsi="宋体" w:eastAsia="宋体" w:cs="宋体"/>
          <w:sz w:val="24"/>
          <w:szCs w:val="24"/>
        </w:rPr>
      </w:pPr>
      <w:r>
        <w:rPr>
          <w:rFonts w:ascii="宋体" w:hAnsi="宋体" w:eastAsia="宋体" w:cs="宋体"/>
          <w:spacing w:val="-3"/>
          <w:sz w:val="24"/>
          <w:szCs w:val="24"/>
        </w:rPr>
        <w:t>④水文</w:t>
      </w:r>
    </w:p>
    <w:p>
      <w:pPr>
        <w:spacing w:before="184" w:line="467" w:lineRule="exact"/>
        <w:ind w:right="28"/>
        <w:jc w:val="right"/>
        <w:rPr>
          <w:rFonts w:ascii="宋体" w:hAnsi="宋体" w:eastAsia="宋体" w:cs="宋体"/>
          <w:sz w:val="24"/>
          <w:szCs w:val="24"/>
        </w:rPr>
      </w:pPr>
      <w:r>
        <w:rPr>
          <w:rFonts w:ascii="宋体" w:hAnsi="宋体" w:eastAsia="宋体" w:cs="宋体"/>
          <w:spacing w:val="-10"/>
          <w:position w:val="16"/>
          <w:sz w:val="24"/>
          <w:szCs w:val="24"/>
        </w:rPr>
        <w:t>根据可研， 区域</w:t>
      </w:r>
      <w:r>
        <w:rPr>
          <w:rFonts w:ascii="宋体" w:hAnsi="宋体" w:eastAsia="宋体" w:cs="宋体"/>
          <w:spacing w:val="-36"/>
          <w:position w:val="16"/>
          <w:sz w:val="24"/>
          <w:szCs w:val="24"/>
        </w:rPr>
        <w:t xml:space="preserve"> </w:t>
      </w:r>
      <w:r>
        <w:rPr>
          <w:rFonts w:ascii="Times New Roman" w:hAnsi="Times New Roman" w:eastAsia="Times New Roman" w:cs="Times New Roman"/>
          <w:spacing w:val="-10"/>
          <w:position w:val="16"/>
          <w:sz w:val="24"/>
          <w:szCs w:val="24"/>
        </w:rPr>
        <w:t>6</w:t>
      </w:r>
      <w:r>
        <w:rPr>
          <w:rFonts w:ascii="Times New Roman" w:hAnsi="Times New Roman" w:eastAsia="Times New Roman" w:cs="Times New Roman"/>
          <w:spacing w:val="15"/>
          <w:position w:val="16"/>
          <w:sz w:val="24"/>
          <w:szCs w:val="24"/>
        </w:rPr>
        <w:t xml:space="preserve"> </w:t>
      </w:r>
      <w:r>
        <w:rPr>
          <w:rFonts w:ascii="宋体" w:hAnsi="宋体" w:eastAsia="宋体" w:cs="宋体"/>
          <w:spacing w:val="-10"/>
          <w:position w:val="16"/>
          <w:sz w:val="24"/>
          <w:szCs w:val="24"/>
        </w:rPr>
        <w:t>月</w:t>
      </w:r>
      <w:r>
        <w:rPr>
          <w:rFonts w:ascii="Times New Roman" w:hAnsi="Times New Roman" w:eastAsia="Times New Roman" w:cs="Times New Roman"/>
          <w:spacing w:val="-10"/>
          <w:position w:val="16"/>
          <w:sz w:val="24"/>
          <w:szCs w:val="24"/>
        </w:rPr>
        <w:t>~10</w:t>
      </w:r>
      <w:r>
        <w:rPr>
          <w:rFonts w:ascii="Times New Roman" w:hAnsi="Times New Roman" w:eastAsia="Times New Roman" w:cs="Times New Roman"/>
          <w:spacing w:val="15"/>
          <w:w w:val="101"/>
          <w:position w:val="16"/>
          <w:sz w:val="24"/>
          <w:szCs w:val="24"/>
        </w:rPr>
        <w:t xml:space="preserve"> </w:t>
      </w:r>
      <w:r>
        <w:rPr>
          <w:rFonts w:ascii="宋体" w:hAnsi="宋体" w:eastAsia="宋体" w:cs="宋体"/>
          <w:spacing w:val="-10"/>
          <w:position w:val="16"/>
          <w:sz w:val="24"/>
          <w:szCs w:val="24"/>
        </w:rPr>
        <w:t xml:space="preserve">月为汛期， </w:t>
      </w:r>
      <w:r>
        <w:rPr>
          <w:rFonts w:ascii="Times New Roman" w:hAnsi="Times New Roman" w:eastAsia="Times New Roman" w:cs="Times New Roman"/>
          <w:spacing w:val="-10"/>
          <w:position w:val="16"/>
          <w:sz w:val="24"/>
          <w:szCs w:val="24"/>
        </w:rPr>
        <w:t>12</w:t>
      </w:r>
      <w:r>
        <w:rPr>
          <w:rFonts w:ascii="Times New Roman" w:hAnsi="Times New Roman" w:eastAsia="Times New Roman" w:cs="Times New Roman"/>
          <w:spacing w:val="15"/>
          <w:position w:val="16"/>
          <w:sz w:val="24"/>
          <w:szCs w:val="24"/>
        </w:rPr>
        <w:t xml:space="preserve"> </w:t>
      </w:r>
      <w:r>
        <w:rPr>
          <w:rFonts w:ascii="宋体" w:hAnsi="宋体" w:eastAsia="宋体" w:cs="宋体"/>
          <w:spacing w:val="-10"/>
          <w:position w:val="16"/>
          <w:sz w:val="24"/>
          <w:szCs w:val="24"/>
        </w:rPr>
        <w:t>月</w:t>
      </w:r>
      <w:r>
        <w:rPr>
          <w:rFonts w:ascii="Times New Roman" w:hAnsi="Times New Roman" w:eastAsia="Times New Roman" w:cs="Times New Roman"/>
          <w:spacing w:val="-10"/>
          <w:position w:val="16"/>
          <w:sz w:val="24"/>
          <w:szCs w:val="24"/>
        </w:rPr>
        <w:t>~</w:t>
      </w:r>
      <w:r>
        <w:rPr>
          <w:rFonts w:ascii="宋体" w:hAnsi="宋体" w:eastAsia="宋体" w:cs="宋体"/>
          <w:spacing w:val="-10"/>
          <w:position w:val="16"/>
          <w:sz w:val="24"/>
          <w:szCs w:val="24"/>
        </w:rPr>
        <w:t>次年</w:t>
      </w:r>
      <w:r>
        <w:rPr>
          <w:rFonts w:ascii="宋体" w:hAnsi="宋体" w:eastAsia="宋体" w:cs="宋体"/>
          <w:spacing w:val="-56"/>
          <w:position w:val="16"/>
          <w:sz w:val="24"/>
          <w:szCs w:val="24"/>
        </w:rPr>
        <w:t xml:space="preserve"> </w:t>
      </w:r>
      <w:r>
        <w:rPr>
          <w:rFonts w:ascii="Times New Roman" w:hAnsi="Times New Roman" w:eastAsia="Times New Roman" w:cs="Times New Roman"/>
          <w:spacing w:val="-10"/>
          <w:position w:val="16"/>
          <w:sz w:val="24"/>
          <w:szCs w:val="24"/>
        </w:rPr>
        <w:t>4</w:t>
      </w:r>
      <w:r>
        <w:rPr>
          <w:rFonts w:ascii="Times New Roman" w:hAnsi="Times New Roman" w:eastAsia="Times New Roman" w:cs="Times New Roman"/>
          <w:spacing w:val="15"/>
          <w:position w:val="16"/>
          <w:sz w:val="24"/>
          <w:szCs w:val="24"/>
        </w:rPr>
        <w:t xml:space="preserve"> </w:t>
      </w:r>
      <w:r>
        <w:rPr>
          <w:rFonts w:ascii="宋体" w:hAnsi="宋体" w:eastAsia="宋体" w:cs="宋体"/>
          <w:spacing w:val="-10"/>
          <w:position w:val="16"/>
          <w:sz w:val="24"/>
          <w:szCs w:val="24"/>
        </w:rPr>
        <w:t>月为枯水期。桂花水库坝址及各</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取水坝年均径流量见表</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2.1-2</w:t>
      </w:r>
      <w:r>
        <w:rPr>
          <w:rFonts w:ascii="宋体" w:hAnsi="宋体" w:eastAsia="宋体" w:cs="宋体"/>
          <w:spacing w:val="-2"/>
          <w:sz w:val="24"/>
          <w:szCs w:val="24"/>
        </w:rPr>
        <w:t>。</w:t>
      </w:r>
    </w:p>
    <w:p>
      <w:pPr>
        <w:spacing w:before="176" w:line="233" w:lineRule="auto"/>
        <w:ind w:left="3217"/>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3"/>
          <w:sz w:val="21"/>
          <w:szCs w:val="21"/>
        </w:rPr>
        <w:t xml:space="preserve"> </w:t>
      </w:r>
      <w:r>
        <w:rPr>
          <w:rFonts w:ascii="Times New Roman" w:hAnsi="Times New Roman" w:eastAsia="Times New Roman" w:cs="Times New Roman"/>
          <w:b/>
          <w:bCs/>
          <w:spacing w:val="-1"/>
          <w:sz w:val="21"/>
          <w:szCs w:val="21"/>
        </w:rPr>
        <w:t xml:space="preserve">2.1-2    </w:t>
      </w:r>
      <w:r>
        <w:rPr>
          <w:rFonts w:ascii="宋体" w:hAnsi="宋体" w:eastAsia="宋体" w:cs="宋体"/>
          <w:spacing w:val="-1"/>
          <w:sz w:val="21"/>
          <w:szCs w:val="21"/>
          <w14:textOutline w14:w="3810" w14:cap="flat" w14:cmpd="sng">
            <w14:solidFill>
              <w14:srgbClr w14:val="000000"/>
            </w14:solidFill>
            <w14:prstDash w14:val="solid"/>
            <w14:miter w14:val="0"/>
          </w14:textOutline>
        </w:rPr>
        <w:t>水库坝址设计年径流量</w:t>
      </w:r>
    </w:p>
    <w:p>
      <w:pPr>
        <w:spacing w:line="113" w:lineRule="exact"/>
      </w:pPr>
    </w:p>
    <w:tbl>
      <w:tblPr>
        <w:tblStyle w:val="5"/>
        <w:tblW w:w="8972"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6"/>
        <w:gridCol w:w="992"/>
        <w:gridCol w:w="1272"/>
        <w:gridCol w:w="720"/>
        <w:gridCol w:w="992"/>
        <w:gridCol w:w="996"/>
        <w:gridCol w:w="997"/>
        <w:gridCol w:w="996"/>
        <w:gridCol w:w="9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74" w:hRule="atLeast"/>
        </w:trPr>
        <w:tc>
          <w:tcPr>
            <w:tcW w:w="1016" w:type="dxa"/>
            <w:tcBorders>
              <w:top w:val="single" w:color="000000" w:sz="12" w:space="0"/>
              <w:left w:val="nil"/>
            </w:tcBorders>
            <w:vAlign w:val="top"/>
          </w:tcPr>
          <w:p>
            <w:pPr>
              <w:spacing w:before="30" w:line="205" w:lineRule="auto"/>
              <w:ind w:left="21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径流区</w:t>
            </w:r>
          </w:p>
        </w:tc>
        <w:tc>
          <w:tcPr>
            <w:tcW w:w="992" w:type="dxa"/>
            <w:tcBorders>
              <w:top w:val="single" w:color="000000" w:sz="12" w:space="0"/>
            </w:tcBorders>
            <w:vAlign w:val="top"/>
          </w:tcPr>
          <w:p>
            <w:pPr>
              <w:spacing w:before="30" w:line="205" w:lineRule="auto"/>
              <w:ind w:left="8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径流面积</w:t>
            </w:r>
          </w:p>
        </w:tc>
        <w:tc>
          <w:tcPr>
            <w:tcW w:w="1272" w:type="dxa"/>
            <w:tcBorders>
              <w:top w:val="single" w:color="000000" w:sz="12" w:space="0"/>
            </w:tcBorders>
            <w:vAlign w:val="top"/>
          </w:tcPr>
          <w:p>
            <w:pPr>
              <w:spacing w:before="30" w:line="205" w:lineRule="auto"/>
              <w:ind w:left="117"/>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年均径流量</w:t>
            </w:r>
          </w:p>
        </w:tc>
        <w:tc>
          <w:tcPr>
            <w:tcW w:w="720" w:type="dxa"/>
            <w:tcBorders>
              <w:top w:val="single" w:color="000000" w:sz="12" w:space="0"/>
            </w:tcBorders>
            <w:vAlign w:val="top"/>
          </w:tcPr>
          <w:p>
            <w:pPr>
              <w:pStyle w:val="6"/>
              <w:spacing w:before="66" w:line="196" w:lineRule="auto"/>
              <w:ind w:left="235"/>
            </w:pPr>
            <w:r>
              <w:rPr>
                <w:b/>
                <w:bCs/>
                <w:spacing w:val="-4"/>
              </w:rPr>
              <w:t>Cv</w:t>
            </w:r>
          </w:p>
        </w:tc>
        <w:tc>
          <w:tcPr>
            <w:tcW w:w="992" w:type="dxa"/>
            <w:tcBorders>
              <w:top w:val="single" w:color="000000" w:sz="12" w:space="0"/>
            </w:tcBorders>
            <w:vAlign w:val="top"/>
          </w:tcPr>
          <w:p>
            <w:pPr>
              <w:pStyle w:val="6"/>
              <w:spacing w:before="66" w:line="196" w:lineRule="auto"/>
              <w:ind w:left="225"/>
            </w:pPr>
            <w:r>
              <w:rPr>
                <w:b/>
                <w:bCs/>
                <w:spacing w:val="-2"/>
              </w:rPr>
              <w:t>Cs/Cv</w:t>
            </w:r>
          </w:p>
        </w:tc>
        <w:tc>
          <w:tcPr>
            <w:tcW w:w="996" w:type="dxa"/>
            <w:tcBorders>
              <w:top w:val="single" w:color="000000" w:sz="12" w:space="0"/>
            </w:tcBorders>
            <w:vAlign w:val="top"/>
          </w:tcPr>
          <w:p>
            <w:pPr>
              <w:pStyle w:val="6"/>
              <w:spacing w:before="62" w:line="195" w:lineRule="auto"/>
              <w:ind w:left="252"/>
              <w:rPr>
                <w:sz w:val="14"/>
                <w:szCs w:val="14"/>
              </w:rPr>
            </w:pPr>
            <w:r>
              <w:rPr>
                <w:b/>
                <w:bCs/>
                <w:spacing w:val="-1"/>
                <w:position w:val="1"/>
              </w:rPr>
              <w:t>W</w:t>
            </w:r>
            <w:r>
              <w:rPr>
                <w:b/>
                <w:bCs/>
                <w:spacing w:val="-1"/>
                <w:position w:val="-1"/>
                <w:sz w:val="14"/>
                <w:szCs w:val="14"/>
              </w:rPr>
              <w:t>25%</w:t>
            </w:r>
          </w:p>
        </w:tc>
        <w:tc>
          <w:tcPr>
            <w:tcW w:w="997" w:type="dxa"/>
            <w:tcBorders>
              <w:top w:val="single" w:color="000000" w:sz="12" w:space="0"/>
            </w:tcBorders>
            <w:vAlign w:val="top"/>
          </w:tcPr>
          <w:p>
            <w:pPr>
              <w:pStyle w:val="6"/>
              <w:spacing w:before="62" w:line="195" w:lineRule="auto"/>
              <w:ind w:left="252"/>
              <w:rPr>
                <w:sz w:val="14"/>
                <w:szCs w:val="14"/>
              </w:rPr>
            </w:pPr>
            <w:r>
              <w:rPr>
                <w:b/>
                <w:bCs/>
                <w:spacing w:val="-1"/>
                <w:position w:val="1"/>
              </w:rPr>
              <w:t>W</w:t>
            </w:r>
            <w:r>
              <w:rPr>
                <w:b/>
                <w:bCs/>
                <w:spacing w:val="-1"/>
                <w:position w:val="-1"/>
                <w:sz w:val="14"/>
                <w:szCs w:val="14"/>
              </w:rPr>
              <w:t>50%</w:t>
            </w:r>
          </w:p>
        </w:tc>
        <w:tc>
          <w:tcPr>
            <w:tcW w:w="996" w:type="dxa"/>
            <w:tcBorders>
              <w:top w:val="single" w:color="000000" w:sz="12" w:space="0"/>
            </w:tcBorders>
            <w:vAlign w:val="top"/>
          </w:tcPr>
          <w:p>
            <w:pPr>
              <w:pStyle w:val="6"/>
              <w:spacing w:before="62" w:line="195" w:lineRule="auto"/>
              <w:ind w:left="252"/>
              <w:rPr>
                <w:sz w:val="14"/>
                <w:szCs w:val="14"/>
              </w:rPr>
            </w:pPr>
            <w:r>
              <w:rPr>
                <w:b/>
                <w:bCs/>
                <w:spacing w:val="-1"/>
                <w:position w:val="1"/>
              </w:rPr>
              <w:t>W</w:t>
            </w:r>
            <w:r>
              <w:rPr>
                <w:b/>
                <w:bCs/>
                <w:spacing w:val="-1"/>
                <w:position w:val="-1"/>
                <w:sz w:val="14"/>
                <w:szCs w:val="14"/>
              </w:rPr>
              <w:t>75%</w:t>
            </w:r>
          </w:p>
        </w:tc>
        <w:tc>
          <w:tcPr>
            <w:tcW w:w="991" w:type="dxa"/>
            <w:tcBorders>
              <w:top w:val="single" w:color="000000" w:sz="12" w:space="0"/>
              <w:right w:val="nil"/>
            </w:tcBorders>
            <w:vAlign w:val="top"/>
          </w:tcPr>
          <w:p>
            <w:pPr>
              <w:pStyle w:val="6"/>
              <w:spacing w:before="62" w:line="195" w:lineRule="auto"/>
              <w:ind w:left="252"/>
              <w:rPr>
                <w:sz w:val="14"/>
                <w:szCs w:val="14"/>
              </w:rPr>
            </w:pPr>
            <w:r>
              <w:rPr>
                <w:b/>
                <w:bCs/>
                <w:spacing w:val="-1"/>
                <w:position w:val="1"/>
              </w:rPr>
              <w:t>W</w:t>
            </w:r>
            <w:r>
              <w:rPr>
                <w:b/>
                <w:bCs/>
                <w:spacing w:val="-1"/>
                <w:position w:val="-1"/>
                <w:sz w:val="14"/>
                <w:szCs w:val="14"/>
              </w:rPr>
              <w:t>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016" w:type="dxa"/>
            <w:tcBorders>
              <w:left w:val="nil"/>
            </w:tcBorders>
            <w:vAlign w:val="top"/>
          </w:tcPr>
          <w:p>
            <w:pPr>
              <w:spacing w:before="34" w:line="220" w:lineRule="auto"/>
              <w:ind w:left="320" w:right="81" w:hanging="215"/>
              <w:rPr>
                <w:rFonts w:ascii="仿宋" w:hAnsi="仿宋" w:eastAsia="仿宋" w:cs="仿宋"/>
                <w:sz w:val="21"/>
                <w:szCs w:val="21"/>
              </w:rPr>
            </w:pPr>
            <w:r>
              <w:rPr>
                <w:rFonts w:ascii="仿宋" w:hAnsi="仿宋" w:eastAsia="仿宋" w:cs="仿宋"/>
                <w:spacing w:val="-4"/>
                <w:sz w:val="21"/>
                <w:szCs w:val="21"/>
              </w:rPr>
              <w:t>桂花水库</w:t>
            </w:r>
            <w:r>
              <w:rPr>
                <w:rFonts w:ascii="仿宋" w:hAnsi="仿宋" w:eastAsia="仿宋" w:cs="仿宋"/>
                <w:spacing w:val="1"/>
                <w:sz w:val="21"/>
                <w:szCs w:val="21"/>
              </w:rPr>
              <w:t xml:space="preserve"> </w:t>
            </w:r>
            <w:r>
              <w:rPr>
                <w:rFonts w:ascii="仿宋" w:hAnsi="仿宋" w:eastAsia="仿宋" w:cs="仿宋"/>
                <w:spacing w:val="-5"/>
                <w:sz w:val="21"/>
                <w:szCs w:val="21"/>
              </w:rPr>
              <w:t>坝址</w:t>
            </w:r>
          </w:p>
        </w:tc>
        <w:tc>
          <w:tcPr>
            <w:tcW w:w="992" w:type="dxa"/>
            <w:vAlign w:val="top"/>
          </w:tcPr>
          <w:p>
            <w:pPr>
              <w:pStyle w:val="6"/>
              <w:spacing w:before="173" w:line="264" w:lineRule="exact"/>
              <w:ind w:left="148"/>
              <w:rPr>
                <w:sz w:val="14"/>
                <w:szCs w:val="14"/>
              </w:rPr>
            </w:pPr>
            <w:r>
              <w:rPr>
                <w:spacing w:val="-2"/>
              </w:rPr>
              <w:t>55.6km</w:t>
            </w:r>
            <w:r>
              <w:rPr>
                <w:spacing w:val="-2"/>
                <w:position w:val="7"/>
                <w:sz w:val="14"/>
                <w:szCs w:val="14"/>
              </w:rPr>
              <w:t>2</w:t>
            </w:r>
          </w:p>
        </w:tc>
        <w:tc>
          <w:tcPr>
            <w:tcW w:w="1272" w:type="dxa"/>
            <w:vAlign w:val="top"/>
          </w:tcPr>
          <w:p>
            <w:pPr>
              <w:pStyle w:val="6"/>
              <w:spacing w:before="168" w:line="236" w:lineRule="auto"/>
              <w:ind w:left="135"/>
              <w:rPr>
                <w:sz w:val="14"/>
                <w:szCs w:val="14"/>
              </w:rPr>
            </w:pPr>
            <w:r>
              <w:rPr>
                <w:spacing w:val="-3"/>
              </w:rPr>
              <w:t>2357</w:t>
            </w:r>
            <w:r>
              <w:rPr>
                <w:spacing w:val="15"/>
              </w:rPr>
              <w:t xml:space="preserve"> </w:t>
            </w:r>
            <w:r>
              <w:rPr>
                <w:rFonts w:ascii="仿宋" w:hAnsi="仿宋" w:eastAsia="仿宋" w:cs="仿宋"/>
                <w:spacing w:val="-3"/>
              </w:rPr>
              <w:t>万</w:t>
            </w:r>
            <w:r>
              <w:rPr>
                <w:rFonts w:ascii="仿宋" w:hAnsi="仿宋" w:eastAsia="仿宋" w:cs="仿宋"/>
                <w:spacing w:val="-51"/>
              </w:rPr>
              <w:t xml:space="preserve"> </w:t>
            </w:r>
            <w:r>
              <w:rPr>
                <w:spacing w:val="-3"/>
              </w:rPr>
              <w:t>m</w:t>
            </w:r>
            <w:r>
              <w:rPr>
                <w:spacing w:val="-13"/>
              </w:rPr>
              <w:t xml:space="preserve"> </w:t>
            </w:r>
            <w:r>
              <w:rPr>
                <w:spacing w:val="-3"/>
                <w:position w:val="7"/>
                <w:sz w:val="14"/>
                <w:szCs w:val="14"/>
              </w:rPr>
              <w:t>3</w:t>
            </w:r>
          </w:p>
        </w:tc>
        <w:tc>
          <w:tcPr>
            <w:tcW w:w="720" w:type="dxa"/>
            <w:vAlign w:val="top"/>
          </w:tcPr>
          <w:p>
            <w:pPr>
              <w:pStyle w:val="6"/>
              <w:spacing w:before="205" w:line="188" w:lineRule="auto"/>
              <w:ind w:left="232"/>
            </w:pPr>
            <w:r>
              <w:rPr>
                <w:spacing w:val="-3"/>
              </w:rPr>
              <w:t>0.4</w:t>
            </w:r>
          </w:p>
        </w:tc>
        <w:tc>
          <w:tcPr>
            <w:tcW w:w="992" w:type="dxa"/>
            <w:vAlign w:val="top"/>
          </w:tcPr>
          <w:p>
            <w:pPr>
              <w:pStyle w:val="6"/>
              <w:spacing w:before="206" w:line="188" w:lineRule="auto"/>
              <w:ind w:left="443"/>
            </w:pPr>
            <w:r>
              <w:t>2</w:t>
            </w:r>
          </w:p>
        </w:tc>
        <w:tc>
          <w:tcPr>
            <w:tcW w:w="996" w:type="dxa"/>
            <w:vAlign w:val="top"/>
          </w:tcPr>
          <w:p>
            <w:pPr>
              <w:pStyle w:val="6"/>
              <w:spacing w:before="207" w:line="186" w:lineRule="auto"/>
              <w:ind w:left="289"/>
            </w:pPr>
            <w:r>
              <w:rPr>
                <w:spacing w:val="-1"/>
              </w:rPr>
              <w:t>2906</w:t>
            </w:r>
          </w:p>
        </w:tc>
        <w:tc>
          <w:tcPr>
            <w:tcW w:w="997" w:type="dxa"/>
            <w:vAlign w:val="top"/>
          </w:tcPr>
          <w:p>
            <w:pPr>
              <w:pStyle w:val="6"/>
              <w:spacing w:before="207" w:line="186" w:lineRule="auto"/>
              <w:ind w:left="289"/>
            </w:pPr>
            <w:r>
              <w:rPr>
                <w:spacing w:val="-1"/>
              </w:rPr>
              <w:t>2232</w:t>
            </w:r>
          </w:p>
        </w:tc>
        <w:tc>
          <w:tcPr>
            <w:tcW w:w="996" w:type="dxa"/>
            <w:vAlign w:val="top"/>
          </w:tcPr>
          <w:p>
            <w:pPr>
              <w:pStyle w:val="6"/>
              <w:spacing w:before="207" w:line="186" w:lineRule="auto"/>
              <w:ind w:left="310"/>
            </w:pPr>
            <w:r>
              <w:rPr>
                <w:spacing w:val="-5"/>
              </w:rPr>
              <w:t>1672</w:t>
            </w:r>
          </w:p>
        </w:tc>
        <w:tc>
          <w:tcPr>
            <w:tcW w:w="991" w:type="dxa"/>
            <w:tcBorders>
              <w:right w:val="nil"/>
            </w:tcBorders>
            <w:vAlign w:val="top"/>
          </w:tcPr>
          <w:p>
            <w:pPr>
              <w:pStyle w:val="6"/>
              <w:spacing w:before="207" w:line="186" w:lineRule="auto"/>
              <w:ind w:left="310"/>
            </w:pPr>
            <w:r>
              <w:rPr>
                <w:spacing w:val="-5"/>
              </w:rPr>
              <w:t>1048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016" w:type="dxa"/>
            <w:tcBorders>
              <w:left w:val="nil"/>
            </w:tcBorders>
            <w:vAlign w:val="top"/>
          </w:tcPr>
          <w:p>
            <w:pPr>
              <w:spacing w:before="39" w:line="218" w:lineRule="auto"/>
              <w:ind w:left="319" w:right="82" w:hanging="209"/>
              <w:rPr>
                <w:rFonts w:ascii="仿宋" w:hAnsi="仿宋" w:eastAsia="仿宋" w:cs="仿宋"/>
                <w:sz w:val="21"/>
                <w:szCs w:val="21"/>
              </w:rPr>
            </w:pPr>
            <w:r>
              <w:rPr>
                <w:rFonts w:ascii="仿宋" w:hAnsi="仿宋" w:eastAsia="仿宋" w:cs="仿宋"/>
                <w:spacing w:val="-5"/>
                <w:sz w:val="21"/>
                <w:szCs w:val="21"/>
              </w:rPr>
              <w:t>罗子左河</w:t>
            </w:r>
            <w:r>
              <w:rPr>
                <w:rFonts w:ascii="仿宋" w:hAnsi="仿宋" w:eastAsia="仿宋" w:cs="仿宋"/>
                <w:sz w:val="21"/>
                <w:szCs w:val="21"/>
              </w:rPr>
              <w:t xml:space="preserve"> </w:t>
            </w:r>
            <w:r>
              <w:rPr>
                <w:rFonts w:ascii="仿宋" w:hAnsi="仿宋" w:eastAsia="仿宋" w:cs="仿宋"/>
                <w:spacing w:val="-5"/>
                <w:sz w:val="21"/>
                <w:szCs w:val="21"/>
              </w:rPr>
              <w:t>坝址</w:t>
            </w:r>
          </w:p>
        </w:tc>
        <w:tc>
          <w:tcPr>
            <w:tcW w:w="992" w:type="dxa"/>
            <w:vAlign w:val="top"/>
          </w:tcPr>
          <w:p>
            <w:pPr>
              <w:pStyle w:val="6"/>
              <w:spacing w:before="178" w:line="265" w:lineRule="exact"/>
              <w:ind w:left="143"/>
              <w:rPr>
                <w:sz w:val="14"/>
                <w:szCs w:val="14"/>
              </w:rPr>
            </w:pPr>
            <w:r>
              <w:rPr>
                <w:spacing w:val="-1"/>
              </w:rPr>
              <w:t>20.5km</w:t>
            </w:r>
            <w:r>
              <w:rPr>
                <w:spacing w:val="-1"/>
                <w:position w:val="7"/>
                <w:sz w:val="14"/>
                <w:szCs w:val="14"/>
              </w:rPr>
              <w:t>2</w:t>
            </w:r>
          </w:p>
        </w:tc>
        <w:tc>
          <w:tcPr>
            <w:tcW w:w="1272" w:type="dxa"/>
            <w:vAlign w:val="top"/>
          </w:tcPr>
          <w:p>
            <w:pPr>
              <w:pStyle w:val="6"/>
              <w:spacing w:before="174" w:line="236" w:lineRule="auto"/>
              <w:ind w:left="117"/>
              <w:rPr>
                <w:sz w:val="14"/>
                <w:szCs w:val="14"/>
              </w:rPr>
            </w:pPr>
            <w:r>
              <w:rPr>
                <w:spacing w:val="-4"/>
              </w:rPr>
              <w:t>875.9</w:t>
            </w:r>
            <w:r>
              <w:rPr>
                <w:spacing w:val="17"/>
              </w:rPr>
              <w:t xml:space="preserve"> </w:t>
            </w:r>
            <w:r>
              <w:rPr>
                <w:rFonts w:ascii="仿宋" w:hAnsi="仿宋" w:eastAsia="仿宋" w:cs="仿宋"/>
                <w:spacing w:val="-4"/>
              </w:rPr>
              <w:t>万</w:t>
            </w:r>
            <w:r>
              <w:rPr>
                <w:rFonts w:ascii="仿宋" w:hAnsi="仿宋" w:eastAsia="仿宋" w:cs="仿宋"/>
                <w:spacing w:val="-51"/>
              </w:rPr>
              <w:t xml:space="preserve"> </w:t>
            </w:r>
            <w:r>
              <w:rPr>
                <w:spacing w:val="-4"/>
              </w:rPr>
              <w:t>m</w:t>
            </w:r>
            <w:r>
              <w:rPr>
                <w:spacing w:val="-12"/>
              </w:rPr>
              <w:t xml:space="preserve"> </w:t>
            </w:r>
            <w:r>
              <w:rPr>
                <w:spacing w:val="-4"/>
                <w:position w:val="7"/>
                <w:sz w:val="14"/>
                <w:szCs w:val="14"/>
              </w:rPr>
              <w:t>3</w:t>
            </w:r>
          </w:p>
        </w:tc>
        <w:tc>
          <w:tcPr>
            <w:tcW w:w="720" w:type="dxa"/>
            <w:vAlign w:val="top"/>
          </w:tcPr>
          <w:p>
            <w:pPr>
              <w:pStyle w:val="6"/>
              <w:spacing w:before="211" w:line="188" w:lineRule="auto"/>
              <w:ind w:left="232"/>
            </w:pPr>
            <w:r>
              <w:rPr>
                <w:spacing w:val="-3"/>
              </w:rPr>
              <w:t>0.4</w:t>
            </w:r>
          </w:p>
        </w:tc>
        <w:tc>
          <w:tcPr>
            <w:tcW w:w="992" w:type="dxa"/>
            <w:vAlign w:val="top"/>
          </w:tcPr>
          <w:p>
            <w:pPr>
              <w:pStyle w:val="6"/>
              <w:spacing w:before="211" w:line="188" w:lineRule="auto"/>
              <w:ind w:left="443"/>
            </w:pPr>
            <w:r>
              <w:t>2</w:t>
            </w:r>
          </w:p>
        </w:tc>
        <w:tc>
          <w:tcPr>
            <w:tcW w:w="996" w:type="dxa"/>
            <w:vAlign w:val="top"/>
          </w:tcPr>
          <w:p>
            <w:pPr>
              <w:pStyle w:val="6"/>
              <w:spacing w:before="213" w:line="186" w:lineRule="auto"/>
              <w:ind w:left="309"/>
            </w:pPr>
            <w:r>
              <w:rPr>
                <w:spacing w:val="-5"/>
              </w:rPr>
              <w:t>1080</w:t>
            </w:r>
          </w:p>
        </w:tc>
        <w:tc>
          <w:tcPr>
            <w:tcW w:w="997" w:type="dxa"/>
            <w:vAlign w:val="top"/>
          </w:tcPr>
          <w:p>
            <w:pPr>
              <w:pStyle w:val="6"/>
              <w:spacing w:before="213" w:line="186" w:lineRule="auto"/>
              <w:ind w:left="271"/>
            </w:pPr>
            <w:r>
              <w:rPr>
                <w:spacing w:val="-3"/>
              </w:rPr>
              <w:t>829.6</w:t>
            </w:r>
          </w:p>
        </w:tc>
        <w:tc>
          <w:tcPr>
            <w:tcW w:w="996" w:type="dxa"/>
            <w:vAlign w:val="top"/>
          </w:tcPr>
          <w:p>
            <w:pPr>
              <w:pStyle w:val="6"/>
              <w:spacing w:before="213" w:line="186" w:lineRule="auto"/>
              <w:ind w:left="268"/>
            </w:pPr>
            <w:r>
              <w:rPr>
                <w:spacing w:val="-2"/>
              </w:rPr>
              <w:t>621.4</w:t>
            </w:r>
          </w:p>
        </w:tc>
        <w:tc>
          <w:tcPr>
            <w:tcW w:w="991" w:type="dxa"/>
            <w:tcBorders>
              <w:right w:val="nil"/>
            </w:tcBorders>
            <w:vAlign w:val="top"/>
          </w:tcPr>
          <w:p>
            <w:pPr>
              <w:pStyle w:val="6"/>
              <w:spacing w:before="213" w:line="186" w:lineRule="auto"/>
              <w:ind w:left="267"/>
            </w:pPr>
            <w:r>
              <w:rPr>
                <w:spacing w:val="-2"/>
              </w:rPr>
              <w:t>389.4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016" w:type="dxa"/>
            <w:tcBorders>
              <w:left w:val="nil"/>
            </w:tcBorders>
            <w:vAlign w:val="top"/>
          </w:tcPr>
          <w:p>
            <w:pPr>
              <w:spacing w:before="43" w:line="216" w:lineRule="auto"/>
              <w:ind w:left="314" w:right="81" w:hanging="205"/>
              <w:rPr>
                <w:rFonts w:ascii="仿宋" w:hAnsi="仿宋" w:eastAsia="仿宋" w:cs="仿宋"/>
                <w:sz w:val="21"/>
                <w:szCs w:val="21"/>
              </w:rPr>
            </w:pPr>
            <w:r>
              <w:rPr>
                <w:rFonts w:ascii="仿宋" w:hAnsi="仿宋" w:eastAsia="仿宋" w:cs="仿宋"/>
                <w:spacing w:val="-5"/>
                <w:sz w:val="21"/>
                <w:szCs w:val="21"/>
              </w:rPr>
              <w:t>马茨河取</w:t>
            </w:r>
            <w:r>
              <w:rPr>
                <w:rFonts w:ascii="仿宋" w:hAnsi="仿宋" w:eastAsia="仿宋" w:cs="仿宋"/>
                <w:spacing w:val="1"/>
                <w:sz w:val="21"/>
                <w:szCs w:val="21"/>
              </w:rPr>
              <w:t xml:space="preserve"> </w:t>
            </w:r>
            <w:r>
              <w:rPr>
                <w:rFonts w:ascii="仿宋" w:hAnsi="仿宋" w:eastAsia="仿宋" w:cs="仿宋"/>
                <w:spacing w:val="-4"/>
                <w:sz w:val="21"/>
                <w:szCs w:val="21"/>
              </w:rPr>
              <w:t>水坝</w:t>
            </w:r>
          </w:p>
        </w:tc>
        <w:tc>
          <w:tcPr>
            <w:tcW w:w="992" w:type="dxa"/>
            <w:vAlign w:val="top"/>
          </w:tcPr>
          <w:p>
            <w:pPr>
              <w:pStyle w:val="6"/>
              <w:spacing w:before="183" w:line="264" w:lineRule="exact"/>
              <w:ind w:left="163"/>
              <w:rPr>
                <w:sz w:val="14"/>
                <w:szCs w:val="14"/>
              </w:rPr>
            </w:pPr>
            <w:r>
              <w:rPr>
                <w:spacing w:val="-4"/>
              </w:rPr>
              <w:t>13.7km</w:t>
            </w:r>
            <w:r>
              <w:rPr>
                <w:spacing w:val="-4"/>
                <w:position w:val="7"/>
                <w:sz w:val="14"/>
                <w:szCs w:val="14"/>
              </w:rPr>
              <w:t>2</w:t>
            </w:r>
          </w:p>
        </w:tc>
        <w:tc>
          <w:tcPr>
            <w:tcW w:w="1272" w:type="dxa"/>
            <w:vAlign w:val="top"/>
          </w:tcPr>
          <w:p>
            <w:pPr>
              <w:pStyle w:val="6"/>
              <w:spacing w:before="178" w:line="236" w:lineRule="auto"/>
              <w:ind w:left="114"/>
              <w:rPr>
                <w:sz w:val="14"/>
                <w:szCs w:val="14"/>
              </w:rPr>
            </w:pPr>
            <w:r>
              <w:rPr>
                <w:spacing w:val="-4"/>
              </w:rPr>
              <w:t>556.1</w:t>
            </w:r>
            <w:r>
              <w:rPr>
                <w:spacing w:val="19"/>
                <w:w w:val="101"/>
              </w:rPr>
              <w:t xml:space="preserve"> </w:t>
            </w:r>
            <w:r>
              <w:rPr>
                <w:rFonts w:ascii="仿宋" w:hAnsi="仿宋" w:eastAsia="仿宋" w:cs="仿宋"/>
                <w:spacing w:val="-4"/>
              </w:rPr>
              <w:t>万</w:t>
            </w:r>
            <w:r>
              <w:rPr>
                <w:rFonts w:ascii="仿宋" w:hAnsi="仿宋" w:eastAsia="仿宋" w:cs="仿宋"/>
                <w:spacing w:val="-51"/>
              </w:rPr>
              <w:t xml:space="preserve"> </w:t>
            </w:r>
            <w:r>
              <w:rPr>
                <w:spacing w:val="-4"/>
              </w:rPr>
              <w:t>m</w:t>
            </w:r>
            <w:r>
              <w:rPr>
                <w:spacing w:val="-12"/>
              </w:rPr>
              <w:t xml:space="preserve"> </w:t>
            </w:r>
            <w:r>
              <w:rPr>
                <w:spacing w:val="-4"/>
                <w:position w:val="7"/>
                <w:sz w:val="14"/>
                <w:szCs w:val="14"/>
              </w:rPr>
              <w:t>3</w:t>
            </w:r>
          </w:p>
        </w:tc>
        <w:tc>
          <w:tcPr>
            <w:tcW w:w="720" w:type="dxa"/>
            <w:vAlign w:val="top"/>
          </w:tcPr>
          <w:p>
            <w:pPr>
              <w:pStyle w:val="6"/>
              <w:spacing w:before="215" w:line="188" w:lineRule="auto"/>
              <w:ind w:left="232"/>
            </w:pPr>
            <w:r>
              <w:rPr>
                <w:spacing w:val="-3"/>
              </w:rPr>
              <w:t>0.4</w:t>
            </w:r>
          </w:p>
        </w:tc>
        <w:tc>
          <w:tcPr>
            <w:tcW w:w="992" w:type="dxa"/>
            <w:vAlign w:val="top"/>
          </w:tcPr>
          <w:p>
            <w:pPr>
              <w:pStyle w:val="6"/>
              <w:spacing w:before="216" w:line="188" w:lineRule="auto"/>
              <w:ind w:left="443"/>
            </w:pPr>
            <w:r>
              <w:t>2</w:t>
            </w:r>
          </w:p>
        </w:tc>
        <w:tc>
          <w:tcPr>
            <w:tcW w:w="996" w:type="dxa"/>
            <w:vAlign w:val="top"/>
          </w:tcPr>
          <w:p>
            <w:pPr>
              <w:pStyle w:val="6"/>
              <w:spacing w:before="217" w:line="186" w:lineRule="auto"/>
              <w:ind w:left="346"/>
            </w:pPr>
            <w:r>
              <w:rPr>
                <w:spacing w:val="-3"/>
              </w:rPr>
              <w:t>691</w:t>
            </w:r>
          </w:p>
        </w:tc>
        <w:tc>
          <w:tcPr>
            <w:tcW w:w="997" w:type="dxa"/>
            <w:vAlign w:val="top"/>
          </w:tcPr>
          <w:p>
            <w:pPr>
              <w:pStyle w:val="6"/>
              <w:spacing w:before="217" w:line="186" w:lineRule="auto"/>
              <w:ind w:left="268"/>
            </w:pPr>
            <w:r>
              <w:rPr>
                <w:spacing w:val="-2"/>
              </w:rPr>
              <w:t>523.7</w:t>
            </w:r>
          </w:p>
        </w:tc>
        <w:tc>
          <w:tcPr>
            <w:tcW w:w="996" w:type="dxa"/>
            <w:vAlign w:val="top"/>
          </w:tcPr>
          <w:p>
            <w:pPr>
              <w:pStyle w:val="6"/>
              <w:spacing w:before="217" w:line="186" w:lineRule="auto"/>
              <w:ind w:left="267"/>
            </w:pPr>
            <w:r>
              <w:rPr>
                <w:spacing w:val="-2"/>
              </w:rPr>
              <w:t>386.1</w:t>
            </w:r>
          </w:p>
        </w:tc>
        <w:tc>
          <w:tcPr>
            <w:tcW w:w="991" w:type="dxa"/>
            <w:tcBorders>
              <w:right w:val="nil"/>
            </w:tcBorders>
            <w:vAlign w:val="top"/>
          </w:tcPr>
          <w:p>
            <w:pPr>
              <w:pStyle w:val="6"/>
              <w:spacing w:before="217" w:line="186" w:lineRule="auto"/>
              <w:ind w:left="263"/>
            </w:pPr>
            <w:r>
              <w:rPr>
                <w:spacing w:val="-1"/>
              </w:rPr>
              <w:t>235.1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1016" w:type="dxa"/>
            <w:tcBorders>
              <w:left w:val="nil"/>
            </w:tcBorders>
            <w:vAlign w:val="top"/>
          </w:tcPr>
          <w:p>
            <w:pPr>
              <w:spacing w:before="48" w:line="217" w:lineRule="auto"/>
              <w:ind w:left="106"/>
              <w:rPr>
                <w:rFonts w:ascii="仿宋" w:hAnsi="仿宋" w:eastAsia="仿宋" w:cs="仿宋"/>
                <w:sz w:val="21"/>
                <w:szCs w:val="21"/>
              </w:rPr>
            </w:pPr>
            <w:r>
              <w:rPr>
                <w:rFonts w:ascii="仿宋" w:hAnsi="仿宋" w:eastAsia="仿宋" w:cs="仿宋"/>
                <w:spacing w:val="-3"/>
                <w:sz w:val="21"/>
                <w:szCs w:val="21"/>
              </w:rPr>
              <w:t>六姑乍箐</w:t>
            </w:r>
          </w:p>
          <w:p>
            <w:pPr>
              <w:spacing w:before="26" w:line="188" w:lineRule="auto"/>
              <w:ind w:left="211"/>
              <w:rPr>
                <w:rFonts w:ascii="仿宋" w:hAnsi="仿宋" w:eastAsia="仿宋" w:cs="仿宋"/>
                <w:sz w:val="21"/>
                <w:szCs w:val="21"/>
              </w:rPr>
            </w:pPr>
            <w:r>
              <w:rPr>
                <w:rFonts w:ascii="仿宋" w:hAnsi="仿宋" w:eastAsia="仿宋" w:cs="仿宋"/>
                <w:spacing w:val="-4"/>
                <w:sz w:val="21"/>
                <w:szCs w:val="21"/>
              </w:rPr>
              <w:t>取水坝</w:t>
            </w:r>
          </w:p>
        </w:tc>
        <w:tc>
          <w:tcPr>
            <w:tcW w:w="992" w:type="dxa"/>
            <w:vAlign w:val="top"/>
          </w:tcPr>
          <w:p>
            <w:pPr>
              <w:pStyle w:val="6"/>
              <w:spacing w:before="187" w:line="265" w:lineRule="exact"/>
              <w:ind w:left="198"/>
              <w:rPr>
                <w:sz w:val="14"/>
                <w:szCs w:val="14"/>
              </w:rPr>
            </w:pPr>
            <w:r>
              <w:rPr>
                <w:spacing w:val="-2"/>
              </w:rPr>
              <w:t>7.4km</w:t>
            </w:r>
            <w:r>
              <w:rPr>
                <w:spacing w:val="-2"/>
                <w:position w:val="7"/>
                <w:sz w:val="14"/>
                <w:szCs w:val="14"/>
              </w:rPr>
              <w:t>2</w:t>
            </w:r>
          </w:p>
        </w:tc>
        <w:tc>
          <w:tcPr>
            <w:tcW w:w="1272" w:type="dxa"/>
            <w:vAlign w:val="top"/>
          </w:tcPr>
          <w:p>
            <w:pPr>
              <w:pStyle w:val="6"/>
              <w:spacing w:before="183" w:line="236" w:lineRule="auto"/>
              <w:ind w:left="190"/>
              <w:rPr>
                <w:sz w:val="14"/>
                <w:szCs w:val="14"/>
              </w:rPr>
            </w:pPr>
            <w:r>
              <w:rPr>
                <w:spacing w:val="-5"/>
              </w:rPr>
              <w:t>301</w:t>
            </w:r>
            <w:r>
              <w:rPr>
                <w:spacing w:val="19"/>
                <w:w w:val="101"/>
              </w:rPr>
              <w:t xml:space="preserve"> </w:t>
            </w:r>
            <w:r>
              <w:rPr>
                <w:rFonts w:ascii="仿宋" w:hAnsi="仿宋" w:eastAsia="仿宋" w:cs="仿宋"/>
                <w:spacing w:val="-5"/>
              </w:rPr>
              <w:t>万</w:t>
            </w:r>
            <w:r>
              <w:rPr>
                <w:rFonts w:ascii="仿宋" w:hAnsi="仿宋" w:eastAsia="仿宋" w:cs="仿宋"/>
                <w:spacing w:val="-51"/>
              </w:rPr>
              <w:t xml:space="preserve"> </w:t>
            </w:r>
            <w:r>
              <w:rPr>
                <w:spacing w:val="-5"/>
              </w:rPr>
              <w:t>m</w:t>
            </w:r>
            <w:r>
              <w:rPr>
                <w:spacing w:val="-12"/>
              </w:rPr>
              <w:t xml:space="preserve"> </w:t>
            </w:r>
            <w:r>
              <w:rPr>
                <w:spacing w:val="-5"/>
                <w:position w:val="7"/>
                <w:sz w:val="14"/>
                <w:szCs w:val="14"/>
              </w:rPr>
              <w:t>3</w:t>
            </w:r>
          </w:p>
        </w:tc>
        <w:tc>
          <w:tcPr>
            <w:tcW w:w="720" w:type="dxa"/>
            <w:vAlign w:val="top"/>
          </w:tcPr>
          <w:p>
            <w:pPr>
              <w:pStyle w:val="6"/>
              <w:spacing w:before="220" w:line="188" w:lineRule="auto"/>
              <w:ind w:left="232"/>
            </w:pPr>
            <w:r>
              <w:rPr>
                <w:spacing w:val="-3"/>
              </w:rPr>
              <w:t>0.4</w:t>
            </w:r>
          </w:p>
        </w:tc>
        <w:tc>
          <w:tcPr>
            <w:tcW w:w="992" w:type="dxa"/>
            <w:vAlign w:val="top"/>
          </w:tcPr>
          <w:p>
            <w:pPr>
              <w:pStyle w:val="6"/>
              <w:spacing w:before="220" w:line="188" w:lineRule="auto"/>
              <w:ind w:left="443"/>
            </w:pPr>
            <w:r>
              <w:t>2</w:t>
            </w:r>
          </w:p>
        </w:tc>
        <w:tc>
          <w:tcPr>
            <w:tcW w:w="996" w:type="dxa"/>
            <w:vAlign w:val="top"/>
          </w:tcPr>
          <w:p>
            <w:pPr>
              <w:pStyle w:val="6"/>
              <w:spacing w:before="222" w:line="186" w:lineRule="auto"/>
              <w:ind w:left="267"/>
            </w:pPr>
            <w:r>
              <w:rPr>
                <w:spacing w:val="-2"/>
              </w:rPr>
              <w:t>374.1</w:t>
            </w:r>
          </w:p>
        </w:tc>
        <w:tc>
          <w:tcPr>
            <w:tcW w:w="997" w:type="dxa"/>
            <w:vAlign w:val="top"/>
          </w:tcPr>
          <w:p>
            <w:pPr>
              <w:pStyle w:val="6"/>
              <w:spacing w:before="222" w:line="186" w:lineRule="auto"/>
              <w:ind w:left="263"/>
            </w:pPr>
            <w:r>
              <w:rPr>
                <w:spacing w:val="-1"/>
              </w:rPr>
              <w:t>283.5</w:t>
            </w:r>
          </w:p>
        </w:tc>
        <w:tc>
          <w:tcPr>
            <w:tcW w:w="996" w:type="dxa"/>
            <w:vAlign w:val="top"/>
          </w:tcPr>
          <w:p>
            <w:pPr>
              <w:pStyle w:val="6"/>
              <w:spacing w:before="222" w:line="186" w:lineRule="auto"/>
              <w:ind w:left="342"/>
            </w:pPr>
            <w:r>
              <w:rPr>
                <w:spacing w:val="-1"/>
              </w:rPr>
              <w:t>209</w:t>
            </w:r>
          </w:p>
        </w:tc>
        <w:tc>
          <w:tcPr>
            <w:tcW w:w="991" w:type="dxa"/>
            <w:tcBorders>
              <w:right w:val="nil"/>
            </w:tcBorders>
            <w:vAlign w:val="top"/>
          </w:tcPr>
          <w:p>
            <w:pPr>
              <w:pStyle w:val="6"/>
              <w:spacing w:before="222" w:line="186" w:lineRule="auto"/>
              <w:ind w:left="283"/>
            </w:pPr>
            <w:r>
              <w:rPr>
                <w:spacing w:val="-5"/>
              </w:rPr>
              <w:t>127.3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5" w:hRule="atLeast"/>
        </w:trPr>
        <w:tc>
          <w:tcPr>
            <w:tcW w:w="1016" w:type="dxa"/>
            <w:tcBorders>
              <w:left w:val="nil"/>
            </w:tcBorders>
            <w:vAlign w:val="top"/>
          </w:tcPr>
          <w:p>
            <w:pPr>
              <w:spacing w:before="52" w:line="217" w:lineRule="auto"/>
              <w:ind w:left="105"/>
              <w:rPr>
                <w:rFonts w:ascii="仿宋" w:hAnsi="仿宋" w:eastAsia="仿宋" w:cs="仿宋"/>
                <w:sz w:val="21"/>
                <w:szCs w:val="21"/>
              </w:rPr>
            </w:pPr>
            <w:r>
              <w:rPr>
                <w:rFonts w:ascii="仿宋" w:hAnsi="仿宋" w:eastAsia="仿宋" w:cs="仿宋"/>
                <w:spacing w:val="-3"/>
                <w:sz w:val="21"/>
                <w:szCs w:val="21"/>
              </w:rPr>
              <w:t>昔木乍箐</w:t>
            </w:r>
          </w:p>
          <w:p>
            <w:pPr>
              <w:spacing w:before="26" w:line="184" w:lineRule="auto"/>
              <w:ind w:left="211"/>
              <w:rPr>
                <w:rFonts w:ascii="仿宋" w:hAnsi="仿宋" w:eastAsia="仿宋" w:cs="仿宋"/>
                <w:sz w:val="21"/>
                <w:szCs w:val="21"/>
              </w:rPr>
            </w:pPr>
            <w:r>
              <w:rPr>
                <w:rFonts w:ascii="仿宋" w:hAnsi="仿宋" w:eastAsia="仿宋" w:cs="仿宋"/>
                <w:spacing w:val="-4"/>
                <w:sz w:val="21"/>
                <w:szCs w:val="21"/>
              </w:rPr>
              <w:t>取水坝</w:t>
            </w:r>
          </w:p>
        </w:tc>
        <w:tc>
          <w:tcPr>
            <w:tcW w:w="992" w:type="dxa"/>
            <w:vAlign w:val="top"/>
          </w:tcPr>
          <w:p>
            <w:pPr>
              <w:pStyle w:val="6"/>
              <w:spacing w:before="190" w:line="265" w:lineRule="exact"/>
              <w:ind w:left="200"/>
              <w:rPr>
                <w:sz w:val="14"/>
                <w:szCs w:val="14"/>
              </w:rPr>
            </w:pPr>
            <w:r>
              <w:rPr>
                <w:spacing w:val="-2"/>
              </w:rPr>
              <w:t>5.2km</w:t>
            </w:r>
            <w:r>
              <w:rPr>
                <w:spacing w:val="-2"/>
                <w:position w:val="7"/>
                <w:sz w:val="14"/>
                <w:szCs w:val="14"/>
              </w:rPr>
              <w:t>2</w:t>
            </w:r>
          </w:p>
        </w:tc>
        <w:tc>
          <w:tcPr>
            <w:tcW w:w="1272" w:type="dxa"/>
            <w:vAlign w:val="top"/>
          </w:tcPr>
          <w:p>
            <w:pPr>
              <w:pStyle w:val="6"/>
              <w:spacing w:before="186" w:line="236" w:lineRule="auto"/>
              <w:ind w:left="112"/>
              <w:rPr>
                <w:sz w:val="14"/>
                <w:szCs w:val="14"/>
              </w:rPr>
            </w:pPr>
            <w:r>
              <w:rPr>
                <w:spacing w:val="-4"/>
              </w:rPr>
              <w:t>211.6</w:t>
            </w:r>
            <w:r>
              <w:rPr>
                <w:spacing w:val="18"/>
              </w:rPr>
              <w:t xml:space="preserve"> </w:t>
            </w:r>
            <w:r>
              <w:rPr>
                <w:rFonts w:ascii="仿宋" w:hAnsi="仿宋" w:eastAsia="仿宋" w:cs="仿宋"/>
                <w:spacing w:val="-4"/>
              </w:rPr>
              <w:t>万</w:t>
            </w:r>
            <w:r>
              <w:rPr>
                <w:rFonts w:ascii="仿宋" w:hAnsi="仿宋" w:eastAsia="仿宋" w:cs="仿宋"/>
                <w:spacing w:val="-51"/>
              </w:rPr>
              <w:t xml:space="preserve"> </w:t>
            </w:r>
            <w:r>
              <w:rPr>
                <w:spacing w:val="-4"/>
              </w:rPr>
              <w:t>m</w:t>
            </w:r>
            <w:r>
              <w:rPr>
                <w:spacing w:val="-13"/>
              </w:rPr>
              <w:t xml:space="preserve"> </w:t>
            </w:r>
            <w:r>
              <w:rPr>
                <w:spacing w:val="-4"/>
                <w:position w:val="7"/>
                <w:sz w:val="14"/>
                <w:szCs w:val="14"/>
              </w:rPr>
              <w:t>3</w:t>
            </w:r>
          </w:p>
        </w:tc>
        <w:tc>
          <w:tcPr>
            <w:tcW w:w="720" w:type="dxa"/>
            <w:vAlign w:val="top"/>
          </w:tcPr>
          <w:p>
            <w:pPr>
              <w:pStyle w:val="6"/>
              <w:spacing w:before="223" w:line="188" w:lineRule="auto"/>
              <w:ind w:left="232"/>
            </w:pPr>
            <w:r>
              <w:rPr>
                <w:spacing w:val="-3"/>
              </w:rPr>
              <w:t>0.4</w:t>
            </w:r>
          </w:p>
        </w:tc>
        <w:tc>
          <w:tcPr>
            <w:tcW w:w="992" w:type="dxa"/>
            <w:vAlign w:val="top"/>
          </w:tcPr>
          <w:p>
            <w:pPr>
              <w:pStyle w:val="6"/>
              <w:spacing w:before="223" w:line="188" w:lineRule="auto"/>
              <w:ind w:left="443"/>
            </w:pPr>
            <w:r>
              <w:t>2</w:t>
            </w:r>
          </w:p>
        </w:tc>
        <w:tc>
          <w:tcPr>
            <w:tcW w:w="996" w:type="dxa"/>
            <w:vAlign w:val="top"/>
          </w:tcPr>
          <w:p>
            <w:pPr>
              <w:pStyle w:val="6"/>
              <w:spacing w:before="225" w:line="186" w:lineRule="auto"/>
              <w:ind w:left="342"/>
            </w:pPr>
            <w:r>
              <w:rPr>
                <w:spacing w:val="-1"/>
              </w:rPr>
              <w:t>263</w:t>
            </w:r>
          </w:p>
        </w:tc>
        <w:tc>
          <w:tcPr>
            <w:tcW w:w="997" w:type="dxa"/>
            <w:vAlign w:val="top"/>
          </w:tcPr>
          <w:p>
            <w:pPr>
              <w:pStyle w:val="6"/>
              <w:spacing w:before="225" w:line="186" w:lineRule="auto"/>
              <w:ind w:left="283"/>
            </w:pPr>
            <w:r>
              <w:rPr>
                <w:spacing w:val="-5"/>
              </w:rPr>
              <w:t>199.3</w:t>
            </w:r>
          </w:p>
        </w:tc>
        <w:tc>
          <w:tcPr>
            <w:tcW w:w="996" w:type="dxa"/>
            <w:vAlign w:val="top"/>
          </w:tcPr>
          <w:p>
            <w:pPr>
              <w:pStyle w:val="6"/>
              <w:spacing w:before="225" w:line="186" w:lineRule="auto"/>
              <w:ind w:left="283"/>
            </w:pPr>
            <w:r>
              <w:rPr>
                <w:spacing w:val="-5"/>
              </w:rPr>
              <w:t>146.9</w:t>
            </w:r>
          </w:p>
        </w:tc>
        <w:tc>
          <w:tcPr>
            <w:tcW w:w="991" w:type="dxa"/>
            <w:tcBorders>
              <w:right w:val="nil"/>
            </w:tcBorders>
            <w:vAlign w:val="top"/>
          </w:tcPr>
          <w:p>
            <w:pPr>
              <w:pStyle w:val="6"/>
              <w:spacing w:before="225" w:line="186" w:lineRule="auto"/>
              <w:ind w:left="324"/>
            </w:pPr>
            <w:r>
              <w:rPr>
                <w:spacing w:val="-3"/>
              </w:rPr>
              <w:t>89.5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0" w:hRule="atLeast"/>
        </w:trPr>
        <w:tc>
          <w:tcPr>
            <w:tcW w:w="1016" w:type="dxa"/>
            <w:tcBorders>
              <w:left w:val="nil"/>
              <w:bottom w:val="single" w:color="000000" w:sz="12" w:space="0"/>
            </w:tcBorders>
            <w:vAlign w:val="top"/>
          </w:tcPr>
          <w:p>
            <w:pPr>
              <w:spacing w:before="57" w:line="221" w:lineRule="auto"/>
              <w:ind w:left="314" w:right="82" w:hanging="208"/>
              <w:rPr>
                <w:rFonts w:ascii="仿宋" w:hAnsi="仿宋" w:eastAsia="仿宋" w:cs="仿宋"/>
                <w:sz w:val="21"/>
                <w:szCs w:val="21"/>
              </w:rPr>
            </w:pPr>
            <w:r>
              <w:rPr>
                <w:rFonts w:ascii="仿宋" w:hAnsi="仿宋" w:eastAsia="仿宋" w:cs="仿宋"/>
                <w:spacing w:val="-4"/>
                <w:sz w:val="21"/>
                <w:szCs w:val="21"/>
              </w:rPr>
              <w:t>见簸箐取</w:t>
            </w:r>
            <w:r>
              <w:rPr>
                <w:rFonts w:ascii="仿宋" w:hAnsi="仿宋" w:eastAsia="仿宋" w:cs="仿宋"/>
                <w:sz w:val="21"/>
                <w:szCs w:val="21"/>
              </w:rPr>
              <w:t xml:space="preserve"> </w:t>
            </w:r>
            <w:r>
              <w:rPr>
                <w:rFonts w:ascii="仿宋" w:hAnsi="仿宋" w:eastAsia="仿宋" w:cs="仿宋"/>
                <w:spacing w:val="-4"/>
                <w:sz w:val="21"/>
                <w:szCs w:val="21"/>
              </w:rPr>
              <w:t>水坝</w:t>
            </w:r>
          </w:p>
        </w:tc>
        <w:tc>
          <w:tcPr>
            <w:tcW w:w="992" w:type="dxa"/>
            <w:tcBorders>
              <w:bottom w:val="single" w:color="000000" w:sz="12" w:space="0"/>
            </w:tcBorders>
            <w:vAlign w:val="top"/>
          </w:tcPr>
          <w:p>
            <w:pPr>
              <w:pStyle w:val="6"/>
              <w:spacing w:before="195" w:line="265" w:lineRule="exact"/>
              <w:ind w:left="163"/>
              <w:rPr>
                <w:sz w:val="14"/>
                <w:szCs w:val="14"/>
              </w:rPr>
            </w:pPr>
            <w:r>
              <w:rPr>
                <w:spacing w:val="-4"/>
              </w:rPr>
              <w:t>13.9km</w:t>
            </w:r>
            <w:r>
              <w:rPr>
                <w:spacing w:val="-4"/>
                <w:position w:val="7"/>
                <w:sz w:val="14"/>
                <w:szCs w:val="14"/>
              </w:rPr>
              <w:t>2</w:t>
            </w:r>
          </w:p>
        </w:tc>
        <w:tc>
          <w:tcPr>
            <w:tcW w:w="1272" w:type="dxa"/>
            <w:tcBorders>
              <w:bottom w:val="single" w:color="000000" w:sz="12" w:space="0"/>
            </w:tcBorders>
            <w:vAlign w:val="top"/>
          </w:tcPr>
          <w:p>
            <w:pPr>
              <w:pStyle w:val="6"/>
              <w:spacing w:before="192" w:line="236" w:lineRule="auto"/>
              <w:ind w:left="192"/>
              <w:rPr>
                <w:sz w:val="14"/>
                <w:szCs w:val="14"/>
              </w:rPr>
            </w:pPr>
            <w:r>
              <w:rPr>
                <w:spacing w:val="-5"/>
              </w:rPr>
              <w:t>567</w:t>
            </w:r>
            <w:r>
              <w:rPr>
                <w:spacing w:val="18"/>
              </w:rPr>
              <w:t xml:space="preserve"> </w:t>
            </w:r>
            <w:r>
              <w:rPr>
                <w:rFonts w:ascii="仿宋" w:hAnsi="仿宋" w:eastAsia="仿宋" w:cs="仿宋"/>
                <w:spacing w:val="-5"/>
              </w:rPr>
              <w:t>万</w:t>
            </w:r>
            <w:r>
              <w:rPr>
                <w:rFonts w:ascii="仿宋" w:hAnsi="仿宋" w:eastAsia="仿宋" w:cs="仿宋"/>
                <w:spacing w:val="-51"/>
              </w:rPr>
              <w:t xml:space="preserve"> </w:t>
            </w:r>
            <w:r>
              <w:rPr>
                <w:spacing w:val="-5"/>
              </w:rPr>
              <w:t>m</w:t>
            </w:r>
            <w:r>
              <w:rPr>
                <w:spacing w:val="-12"/>
              </w:rPr>
              <w:t xml:space="preserve"> </w:t>
            </w:r>
            <w:r>
              <w:rPr>
                <w:spacing w:val="-5"/>
                <w:position w:val="7"/>
                <w:sz w:val="14"/>
                <w:szCs w:val="14"/>
              </w:rPr>
              <w:t>3</w:t>
            </w:r>
          </w:p>
        </w:tc>
        <w:tc>
          <w:tcPr>
            <w:tcW w:w="720" w:type="dxa"/>
            <w:tcBorders>
              <w:bottom w:val="single" w:color="000000" w:sz="12" w:space="0"/>
            </w:tcBorders>
            <w:vAlign w:val="top"/>
          </w:tcPr>
          <w:p>
            <w:pPr>
              <w:pStyle w:val="6"/>
              <w:spacing w:before="228" w:line="188" w:lineRule="auto"/>
              <w:ind w:left="232"/>
            </w:pPr>
            <w:r>
              <w:rPr>
                <w:spacing w:val="-3"/>
              </w:rPr>
              <w:t>0.4</w:t>
            </w:r>
          </w:p>
        </w:tc>
        <w:tc>
          <w:tcPr>
            <w:tcW w:w="992" w:type="dxa"/>
            <w:tcBorders>
              <w:bottom w:val="single" w:color="000000" w:sz="12" w:space="0"/>
            </w:tcBorders>
            <w:vAlign w:val="top"/>
          </w:tcPr>
          <w:p>
            <w:pPr>
              <w:pStyle w:val="6"/>
              <w:spacing w:before="228" w:line="188" w:lineRule="auto"/>
              <w:ind w:left="443"/>
            </w:pPr>
            <w:r>
              <w:t>2</w:t>
            </w:r>
          </w:p>
        </w:tc>
        <w:tc>
          <w:tcPr>
            <w:tcW w:w="996" w:type="dxa"/>
            <w:tcBorders>
              <w:bottom w:val="single" w:color="000000" w:sz="12" w:space="0"/>
            </w:tcBorders>
            <w:vAlign w:val="top"/>
          </w:tcPr>
          <w:p>
            <w:pPr>
              <w:pStyle w:val="6"/>
              <w:spacing w:before="230" w:line="186" w:lineRule="auto"/>
              <w:ind w:left="266"/>
            </w:pPr>
            <w:r>
              <w:rPr>
                <w:spacing w:val="-2"/>
              </w:rPr>
              <w:t>704.5</w:t>
            </w:r>
          </w:p>
        </w:tc>
        <w:tc>
          <w:tcPr>
            <w:tcW w:w="997" w:type="dxa"/>
            <w:tcBorders>
              <w:bottom w:val="single" w:color="000000" w:sz="12" w:space="0"/>
            </w:tcBorders>
            <w:vAlign w:val="top"/>
          </w:tcPr>
          <w:p>
            <w:pPr>
              <w:pStyle w:val="6"/>
              <w:spacing w:before="230" w:line="186" w:lineRule="auto"/>
              <w:ind w:left="347"/>
            </w:pPr>
            <w:r>
              <w:rPr>
                <w:spacing w:val="-3"/>
              </w:rPr>
              <w:t>534</w:t>
            </w:r>
          </w:p>
        </w:tc>
        <w:tc>
          <w:tcPr>
            <w:tcW w:w="996" w:type="dxa"/>
            <w:tcBorders>
              <w:bottom w:val="single" w:color="000000" w:sz="12" w:space="0"/>
            </w:tcBorders>
            <w:vAlign w:val="top"/>
          </w:tcPr>
          <w:p>
            <w:pPr>
              <w:pStyle w:val="6"/>
              <w:spacing w:before="230" w:line="186" w:lineRule="auto"/>
              <w:ind w:left="267"/>
            </w:pPr>
            <w:r>
              <w:rPr>
                <w:spacing w:val="-2"/>
              </w:rPr>
              <w:t>393.7</w:t>
            </w:r>
          </w:p>
        </w:tc>
        <w:tc>
          <w:tcPr>
            <w:tcW w:w="991" w:type="dxa"/>
            <w:tcBorders>
              <w:bottom w:val="single" w:color="000000" w:sz="12" w:space="0"/>
              <w:right w:val="nil"/>
            </w:tcBorders>
            <w:vAlign w:val="top"/>
          </w:tcPr>
          <w:p>
            <w:pPr>
              <w:pStyle w:val="6"/>
              <w:spacing w:before="230" w:line="186" w:lineRule="auto"/>
              <w:ind w:left="263"/>
            </w:pPr>
            <w:r>
              <w:rPr>
                <w:spacing w:val="-1"/>
              </w:rPr>
              <w:t>239.7</w:t>
            </w:r>
          </w:p>
        </w:tc>
      </w:tr>
    </w:tbl>
    <w:p>
      <w:pPr>
        <w:spacing w:before="36" w:line="220" w:lineRule="auto"/>
        <w:ind w:right="31"/>
        <w:jc w:val="right"/>
        <w:rPr>
          <w:rFonts w:ascii="宋体" w:hAnsi="宋体" w:eastAsia="宋体" w:cs="宋体"/>
          <w:sz w:val="24"/>
          <w:szCs w:val="24"/>
        </w:rPr>
      </w:pPr>
      <w:r>
        <w:rPr>
          <w:rFonts w:ascii="宋体" w:hAnsi="宋体" w:eastAsia="宋体" w:cs="宋体"/>
          <w:spacing w:val="-3"/>
          <w:sz w:val="24"/>
          <w:szCs w:val="24"/>
        </w:rPr>
        <w:t>根据可研，</w:t>
      </w:r>
      <w:r>
        <w:rPr>
          <w:rFonts w:ascii="宋体" w:hAnsi="宋体" w:eastAsia="宋体" w:cs="宋体"/>
          <w:spacing w:val="64"/>
          <w:sz w:val="24"/>
          <w:szCs w:val="24"/>
        </w:rPr>
        <w:t xml:space="preserve"> </w:t>
      </w:r>
      <w:r>
        <w:rPr>
          <w:rFonts w:ascii="宋体" w:hAnsi="宋体" w:eastAsia="宋体" w:cs="宋体"/>
          <w:spacing w:val="-3"/>
          <w:sz w:val="24"/>
          <w:szCs w:val="24"/>
        </w:rPr>
        <w:t>桂花水库坝址、罗子左河坝址及引洪</w:t>
      </w:r>
      <w:r>
        <w:rPr>
          <w:rFonts w:ascii="宋体" w:hAnsi="宋体" w:eastAsia="宋体" w:cs="宋体"/>
          <w:spacing w:val="-4"/>
          <w:sz w:val="24"/>
          <w:szCs w:val="24"/>
        </w:rPr>
        <w:t>工程坝址典型年逐月径流量计算</w:t>
      </w:r>
    </w:p>
    <w:p>
      <w:pPr>
        <w:spacing w:before="180" w:line="220" w:lineRule="auto"/>
        <w:ind w:left="41"/>
        <w:rPr>
          <w:rFonts w:ascii="宋体" w:hAnsi="宋体" w:eastAsia="宋体" w:cs="宋体"/>
          <w:sz w:val="24"/>
          <w:szCs w:val="24"/>
        </w:rPr>
      </w:pPr>
      <w:r>
        <w:rPr>
          <w:rFonts w:ascii="宋体" w:hAnsi="宋体" w:eastAsia="宋体" w:cs="宋体"/>
          <w:spacing w:val="-2"/>
          <w:sz w:val="24"/>
          <w:szCs w:val="24"/>
        </w:rPr>
        <w:t>成果详见表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2.1-3</w:t>
      </w:r>
      <w:r>
        <w:rPr>
          <w:rFonts w:ascii="宋体" w:hAnsi="宋体" w:eastAsia="宋体" w:cs="宋体"/>
          <w:spacing w:val="-2"/>
          <w:sz w:val="24"/>
          <w:szCs w:val="24"/>
        </w:rPr>
        <w:t>。</w:t>
      </w:r>
    </w:p>
    <w:p>
      <w:pPr>
        <w:spacing w:before="177" w:line="233" w:lineRule="auto"/>
        <w:ind w:left="2647"/>
        <w:rPr>
          <w:rFonts w:ascii="Times New Roman" w:hAnsi="Times New Roman" w:eastAsia="Times New Roman" w:cs="Times New Roman"/>
          <w:sz w:val="14"/>
          <w:szCs w:val="14"/>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0"/>
          <w:sz w:val="21"/>
          <w:szCs w:val="21"/>
        </w:rPr>
        <w:t xml:space="preserve"> </w:t>
      </w:r>
      <w:r>
        <w:rPr>
          <w:rFonts w:ascii="Times New Roman" w:hAnsi="Times New Roman" w:eastAsia="Times New Roman" w:cs="Times New Roman"/>
          <w:b/>
          <w:bCs/>
          <w:spacing w:val="-1"/>
          <w:sz w:val="21"/>
          <w:szCs w:val="21"/>
        </w:rPr>
        <w:t xml:space="preserve">2.1-3    </w:t>
      </w:r>
      <w:r>
        <w:rPr>
          <w:rFonts w:ascii="宋体" w:hAnsi="宋体" w:eastAsia="宋体" w:cs="宋体"/>
          <w:spacing w:val="-1"/>
          <w:sz w:val="21"/>
          <w:szCs w:val="21"/>
          <w14:textOutline w14:w="3810" w14:cap="flat" w14:cmpd="sng">
            <w14:solidFill>
              <w14:srgbClr w14:val="000000"/>
            </w14:solidFill>
            <w14:prstDash w14:val="solid"/>
            <w14:miter w14:val="0"/>
          </w14:textOutline>
        </w:rPr>
        <w:t>逐月径流量计算成果</w:t>
      </w:r>
      <w:r>
        <w:rPr>
          <w:rFonts w:ascii="宋体" w:hAnsi="宋体" w:eastAsia="宋体" w:cs="宋体"/>
          <w:spacing w:val="-1"/>
          <w:sz w:val="21"/>
          <w:szCs w:val="21"/>
        </w:rPr>
        <w:t xml:space="preserve">  </w:t>
      </w:r>
      <w:r>
        <w:rPr>
          <w:rFonts w:ascii="宋体" w:hAnsi="宋体" w:eastAsia="宋体" w:cs="宋体"/>
          <w:spacing w:val="-1"/>
          <w:sz w:val="21"/>
          <w:szCs w:val="21"/>
          <w14:textOutline w14:w="3810" w14:cap="flat" w14:cmpd="sng">
            <w14:solidFill>
              <w14:srgbClr w14:val="000000"/>
            </w14:solidFill>
            <w14:prstDash w14:val="solid"/>
            <w14:miter w14:val="0"/>
          </w14:textOutline>
        </w:rPr>
        <w:t>单位：万</w:t>
      </w:r>
      <w:r>
        <w:rPr>
          <w:rFonts w:ascii="宋体" w:hAnsi="宋体" w:eastAsia="宋体" w:cs="宋体"/>
          <w:spacing w:val="-43"/>
          <w:sz w:val="21"/>
          <w:szCs w:val="21"/>
        </w:rPr>
        <w:t xml:space="preserve"> </w:t>
      </w:r>
      <w:r>
        <w:rPr>
          <w:rFonts w:ascii="Times New Roman" w:hAnsi="Times New Roman" w:eastAsia="Times New Roman" w:cs="Times New Roman"/>
          <w:b/>
          <w:bCs/>
          <w:spacing w:val="-1"/>
          <w:sz w:val="21"/>
          <w:szCs w:val="21"/>
        </w:rPr>
        <w:t>m</w:t>
      </w:r>
      <w:r>
        <w:rPr>
          <w:rFonts w:ascii="Times New Roman" w:hAnsi="Times New Roman" w:eastAsia="Times New Roman" w:cs="Times New Roman"/>
          <w:b/>
          <w:bCs/>
          <w:spacing w:val="-1"/>
          <w:position w:val="6"/>
          <w:sz w:val="14"/>
          <w:szCs w:val="14"/>
        </w:rPr>
        <w:t>3</w:t>
      </w:r>
    </w:p>
    <w:p>
      <w:pPr>
        <w:spacing w:line="113" w:lineRule="exact"/>
      </w:pPr>
    </w:p>
    <w:tbl>
      <w:tblPr>
        <w:tblStyle w:val="5"/>
        <w:tblW w:w="8958"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552"/>
        <w:gridCol w:w="622"/>
        <w:gridCol w:w="702"/>
        <w:gridCol w:w="674"/>
        <w:gridCol w:w="677"/>
        <w:gridCol w:w="665"/>
        <w:gridCol w:w="650"/>
        <w:gridCol w:w="662"/>
        <w:gridCol w:w="623"/>
        <w:gridCol w:w="674"/>
        <w:gridCol w:w="623"/>
        <w:gridCol w:w="622"/>
        <w:gridCol w:w="6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597" w:type="dxa"/>
            <w:tcBorders>
              <w:top w:val="single" w:color="000000" w:sz="6" w:space="0"/>
              <w:left w:val="nil"/>
            </w:tcBorders>
            <w:vAlign w:val="top"/>
          </w:tcPr>
          <w:p>
            <w:pPr>
              <w:rPr>
                <w:rFonts w:ascii="Arial"/>
                <w:sz w:val="21"/>
              </w:rPr>
            </w:pPr>
          </w:p>
        </w:tc>
        <w:tc>
          <w:tcPr>
            <w:tcW w:w="552" w:type="dxa"/>
            <w:tcBorders>
              <w:top w:val="single" w:color="000000" w:sz="6" w:space="0"/>
            </w:tcBorders>
            <w:vAlign w:val="top"/>
          </w:tcPr>
          <w:p>
            <w:pPr>
              <w:pStyle w:val="6"/>
              <w:spacing w:before="74" w:line="185" w:lineRule="auto"/>
              <w:ind w:left="213"/>
            </w:pPr>
            <w:r>
              <w:rPr>
                <w:b/>
                <w:bCs/>
              </w:rPr>
              <w:t>P</w:t>
            </w:r>
          </w:p>
        </w:tc>
        <w:tc>
          <w:tcPr>
            <w:tcW w:w="622" w:type="dxa"/>
            <w:tcBorders>
              <w:top w:val="single" w:color="000000" w:sz="6" w:space="0"/>
            </w:tcBorders>
            <w:vAlign w:val="top"/>
          </w:tcPr>
          <w:p>
            <w:pPr>
              <w:pStyle w:val="6"/>
              <w:spacing w:before="35" w:line="207" w:lineRule="auto"/>
              <w:ind w:left="157"/>
              <w:rPr>
                <w:rFonts w:ascii="仿宋" w:hAnsi="仿宋" w:eastAsia="仿宋" w:cs="仿宋"/>
              </w:rPr>
            </w:pPr>
            <w:r>
              <w:rPr>
                <w:b/>
                <w:bCs/>
                <w:spacing w:val="-4"/>
              </w:rPr>
              <w:t>6</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702" w:type="dxa"/>
            <w:tcBorders>
              <w:top w:val="single" w:color="000000" w:sz="6" w:space="0"/>
            </w:tcBorders>
            <w:vAlign w:val="top"/>
          </w:tcPr>
          <w:p>
            <w:pPr>
              <w:pStyle w:val="6"/>
              <w:spacing w:before="35" w:line="207" w:lineRule="auto"/>
              <w:ind w:left="197"/>
              <w:rPr>
                <w:rFonts w:ascii="仿宋" w:hAnsi="仿宋" w:eastAsia="仿宋" w:cs="仿宋"/>
              </w:rPr>
            </w:pPr>
            <w:r>
              <w:rPr>
                <w:b/>
                <w:bCs/>
                <w:spacing w:val="-4"/>
              </w:rPr>
              <w:t>7</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674" w:type="dxa"/>
            <w:tcBorders>
              <w:top w:val="single" w:color="000000" w:sz="6" w:space="0"/>
            </w:tcBorders>
            <w:vAlign w:val="top"/>
          </w:tcPr>
          <w:p>
            <w:pPr>
              <w:pStyle w:val="6"/>
              <w:spacing w:before="35" w:line="207" w:lineRule="auto"/>
              <w:ind w:left="183"/>
              <w:rPr>
                <w:rFonts w:ascii="仿宋" w:hAnsi="仿宋" w:eastAsia="仿宋" w:cs="仿宋"/>
              </w:rPr>
            </w:pPr>
            <w:r>
              <w:rPr>
                <w:b/>
                <w:bCs/>
                <w:spacing w:val="-4"/>
              </w:rPr>
              <w:t>8</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677" w:type="dxa"/>
            <w:tcBorders>
              <w:top w:val="single" w:color="000000" w:sz="6" w:space="0"/>
            </w:tcBorders>
            <w:vAlign w:val="top"/>
          </w:tcPr>
          <w:p>
            <w:pPr>
              <w:pStyle w:val="6"/>
              <w:spacing w:before="35" w:line="207" w:lineRule="auto"/>
              <w:ind w:left="183"/>
              <w:rPr>
                <w:rFonts w:ascii="仿宋" w:hAnsi="仿宋" w:eastAsia="仿宋" w:cs="仿宋"/>
              </w:rPr>
            </w:pPr>
            <w:r>
              <w:rPr>
                <w:b/>
                <w:bCs/>
                <w:spacing w:val="-3"/>
              </w:rPr>
              <w:t>9</w:t>
            </w:r>
            <w:r>
              <w:rPr>
                <w:rFonts w:ascii="仿宋" w:hAnsi="仿宋" w:eastAsia="仿宋" w:cs="仿宋"/>
                <w:spacing w:val="-3"/>
                <w14:textOutline w14:w="3810" w14:cap="flat" w14:cmpd="sng">
                  <w14:solidFill>
                    <w14:srgbClr w14:val="000000"/>
                  </w14:solidFill>
                  <w14:prstDash w14:val="solid"/>
                  <w14:miter w14:val="0"/>
                </w14:textOutline>
              </w:rPr>
              <w:t>月</w:t>
            </w:r>
          </w:p>
        </w:tc>
        <w:tc>
          <w:tcPr>
            <w:tcW w:w="665" w:type="dxa"/>
            <w:tcBorders>
              <w:top w:val="single" w:color="000000" w:sz="6" w:space="0"/>
            </w:tcBorders>
            <w:vAlign w:val="top"/>
          </w:tcPr>
          <w:p>
            <w:pPr>
              <w:pStyle w:val="6"/>
              <w:spacing w:before="35" w:line="207" w:lineRule="auto"/>
              <w:ind w:left="132"/>
              <w:rPr>
                <w:rFonts w:ascii="仿宋" w:hAnsi="仿宋" w:eastAsia="仿宋" w:cs="仿宋"/>
              </w:rPr>
            </w:pPr>
            <w:r>
              <w:rPr>
                <w:b/>
                <w:bCs/>
                <w:spacing w:val="-5"/>
              </w:rPr>
              <w:t>10</w:t>
            </w:r>
            <w:r>
              <w:rPr>
                <w:rFonts w:ascii="仿宋" w:hAnsi="仿宋" w:eastAsia="仿宋" w:cs="仿宋"/>
                <w:spacing w:val="-5"/>
                <w14:textOutline w14:w="3810" w14:cap="flat" w14:cmpd="sng">
                  <w14:solidFill>
                    <w14:srgbClr w14:val="000000"/>
                  </w14:solidFill>
                  <w14:prstDash w14:val="solid"/>
                  <w14:miter w14:val="0"/>
                </w14:textOutline>
              </w:rPr>
              <w:t>月</w:t>
            </w:r>
          </w:p>
        </w:tc>
        <w:tc>
          <w:tcPr>
            <w:tcW w:w="650" w:type="dxa"/>
            <w:tcBorders>
              <w:top w:val="single" w:color="000000" w:sz="6" w:space="0"/>
            </w:tcBorders>
            <w:vAlign w:val="top"/>
          </w:tcPr>
          <w:p>
            <w:pPr>
              <w:pStyle w:val="6"/>
              <w:spacing w:before="35" w:line="207" w:lineRule="auto"/>
              <w:ind w:left="131"/>
              <w:rPr>
                <w:rFonts w:ascii="仿宋" w:hAnsi="仿宋" w:eastAsia="仿宋" w:cs="仿宋"/>
              </w:rPr>
            </w:pPr>
            <w:r>
              <w:rPr>
                <w:b/>
                <w:bCs/>
                <w:spacing w:val="-9"/>
              </w:rPr>
              <w:t>11</w:t>
            </w:r>
            <w:r>
              <w:rPr>
                <w:rFonts w:ascii="仿宋" w:hAnsi="仿宋" w:eastAsia="仿宋" w:cs="仿宋"/>
                <w:spacing w:val="-9"/>
                <w14:textOutline w14:w="3810" w14:cap="flat" w14:cmpd="sng">
                  <w14:solidFill>
                    <w14:srgbClr w14:val="000000"/>
                  </w14:solidFill>
                  <w14:prstDash w14:val="solid"/>
                  <w14:miter w14:val="0"/>
                </w14:textOutline>
              </w:rPr>
              <w:t>月</w:t>
            </w:r>
          </w:p>
        </w:tc>
        <w:tc>
          <w:tcPr>
            <w:tcW w:w="662" w:type="dxa"/>
            <w:tcBorders>
              <w:top w:val="single" w:color="000000" w:sz="6" w:space="0"/>
            </w:tcBorders>
            <w:vAlign w:val="top"/>
          </w:tcPr>
          <w:p>
            <w:pPr>
              <w:pStyle w:val="6"/>
              <w:spacing w:before="35" w:line="207" w:lineRule="auto"/>
              <w:ind w:left="131"/>
              <w:rPr>
                <w:rFonts w:ascii="仿宋" w:hAnsi="仿宋" w:eastAsia="仿宋" w:cs="仿宋"/>
              </w:rPr>
            </w:pPr>
            <w:r>
              <w:rPr>
                <w:b/>
                <w:bCs/>
                <w:spacing w:val="-5"/>
              </w:rPr>
              <w:t>12</w:t>
            </w:r>
            <w:r>
              <w:rPr>
                <w:rFonts w:ascii="仿宋" w:hAnsi="仿宋" w:eastAsia="仿宋" w:cs="仿宋"/>
                <w:spacing w:val="-5"/>
                <w14:textOutline w14:w="3810" w14:cap="flat" w14:cmpd="sng">
                  <w14:solidFill>
                    <w14:srgbClr w14:val="000000"/>
                  </w14:solidFill>
                  <w14:prstDash w14:val="solid"/>
                  <w14:miter w14:val="0"/>
                </w14:textOutline>
              </w:rPr>
              <w:t>月</w:t>
            </w:r>
          </w:p>
        </w:tc>
        <w:tc>
          <w:tcPr>
            <w:tcW w:w="623" w:type="dxa"/>
            <w:tcBorders>
              <w:top w:val="single" w:color="000000" w:sz="6" w:space="0"/>
            </w:tcBorders>
            <w:vAlign w:val="top"/>
          </w:tcPr>
          <w:p>
            <w:pPr>
              <w:pStyle w:val="6"/>
              <w:spacing w:before="35" w:line="207" w:lineRule="auto"/>
              <w:ind w:left="164"/>
              <w:rPr>
                <w:rFonts w:ascii="仿宋" w:hAnsi="仿宋" w:eastAsia="仿宋" w:cs="仿宋"/>
              </w:rPr>
            </w:pPr>
            <w:r>
              <w:rPr>
                <w:b/>
                <w:bCs/>
                <w:spacing w:val="-7"/>
              </w:rPr>
              <w:t>1</w:t>
            </w:r>
            <w:r>
              <w:rPr>
                <w:rFonts w:ascii="仿宋" w:hAnsi="仿宋" w:eastAsia="仿宋" w:cs="仿宋"/>
                <w:spacing w:val="-7"/>
                <w14:textOutline w14:w="3810" w14:cap="flat" w14:cmpd="sng">
                  <w14:solidFill>
                    <w14:srgbClr w14:val="000000"/>
                  </w14:solidFill>
                  <w14:prstDash w14:val="solid"/>
                  <w14:miter w14:val="0"/>
                </w14:textOutline>
              </w:rPr>
              <w:t>月</w:t>
            </w:r>
          </w:p>
        </w:tc>
        <w:tc>
          <w:tcPr>
            <w:tcW w:w="674" w:type="dxa"/>
            <w:tcBorders>
              <w:top w:val="single" w:color="000000" w:sz="6" w:space="0"/>
            </w:tcBorders>
            <w:vAlign w:val="top"/>
          </w:tcPr>
          <w:p>
            <w:pPr>
              <w:pStyle w:val="6"/>
              <w:spacing w:before="35" w:line="207" w:lineRule="auto"/>
              <w:ind w:left="180"/>
              <w:rPr>
                <w:rFonts w:ascii="仿宋" w:hAnsi="仿宋" w:eastAsia="仿宋" w:cs="仿宋"/>
              </w:rPr>
            </w:pPr>
            <w:r>
              <w:rPr>
                <w:b/>
                <w:bCs/>
                <w:spacing w:val="-3"/>
              </w:rPr>
              <w:t>2</w:t>
            </w:r>
            <w:r>
              <w:rPr>
                <w:rFonts w:ascii="仿宋" w:hAnsi="仿宋" w:eastAsia="仿宋" w:cs="仿宋"/>
                <w:spacing w:val="-3"/>
                <w14:textOutline w14:w="3810" w14:cap="flat" w14:cmpd="sng">
                  <w14:solidFill>
                    <w14:srgbClr w14:val="000000"/>
                  </w14:solidFill>
                  <w14:prstDash w14:val="solid"/>
                  <w14:miter w14:val="0"/>
                </w14:textOutline>
              </w:rPr>
              <w:t>月</w:t>
            </w:r>
          </w:p>
        </w:tc>
        <w:tc>
          <w:tcPr>
            <w:tcW w:w="623" w:type="dxa"/>
            <w:tcBorders>
              <w:top w:val="single" w:color="000000" w:sz="6" w:space="0"/>
            </w:tcBorders>
            <w:vAlign w:val="top"/>
          </w:tcPr>
          <w:p>
            <w:pPr>
              <w:pStyle w:val="6"/>
              <w:spacing w:before="35" w:line="207" w:lineRule="auto"/>
              <w:ind w:left="153"/>
              <w:rPr>
                <w:rFonts w:ascii="仿宋" w:hAnsi="仿宋" w:eastAsia="仿宋" w:cs="仿宋"/>
              </w:rPr>
            </w:pPr>
            <w:r>
              <w:rPr>
                <w:b/>
                <w:bCs/>
                <w:spacing w:val="-2"/>
              </w:rPr>
              <w:t>3</w:t>
            </w:r>
            <w:r>
              <w:rPr>
                <w:rFonts w:ascii="仿宋" w:hAnsi="仿宋" w:eastAsia="仿宋" w:cs="仿宋"/>
                <w:spacing w:val="-2"/>
                <w14:textOutline w14:w="3810" w14:cap="flat" w14:cmpd="sng">
                  <w14:solidFill>
                    <w14:srgbClr w14:val="000000"/>
                  </w14:solidFill>
                  <w14:prstDash w14:val="solid"/>
                  <w14:miter w14:val="0"/>
                </w14:textOutline>
              </w:rPr>
              <w:t>月</w:t>
            </w:r>
          </w:p>
        </w:tc>
        <w:tc>
          <w:tcPr>
            <w:tcW w:w="622" w:type="dxa"/>
            <w:tcBorders>
              <w:top w:val="single" w:color="000000" w:sz="6" w:space="0"/>
            </w:tcBorders>
            <w:vAlign w:val="top"/>
          </w:tcPr>
          <w:p>
            <w:pPr>
              <w:pStyle w:val="6"/>
              <w:spacing w:before="35" w:line="207" w:lineRule="auto"/>
              <w:ind w:left="154"/>
              <w:rPr>
                <w:rFonts w:ascii="仿宋" w:hAnsi="仿宋" w:eastAsia="仿宋" w:cs="仿宋"/>
              </w:rPr>
            </w:pPr>
            <w:r>
              <w:rPr>
                <w:b/>
                <w:bCs/>
                <w:spacing w:val="-3"/>
              </w:rPr>
              <w:t>4</w:t>
            </w:r>
            <w:r>
              <w:rPr>
                <w:rFonts w:ascii="仿宋" w:hAnsi="仿宋" w:eastAsia="仿宋" w:cs="仿宋"/>
                <w:spacing w:val="-3"/>
                <w14:textOutline w14:w="3810" w14:cap="flat" w14:cmpd="sng">
                  <w14:solidFill>
                    <w14:srgbClr w14:val="000000"/>
                  </w14:solidFill>
                  <w14:prstDash w14:val="solid"/>
                  <w14:miter w14:val="0"/>
                </w14:textOutline>
              </w:rPr>
              <w:t>月</w:t>
            </w:r>
          </w:p>
        </w:tc>
        <w:tc>
          <w:tcPr>
            <w:tcW w:w="615" w:type="dxa"/>
            <w:tcBorders>
              <w:top w:val="single" w:color="000000" w:sz="6" w:space="0"/>
              <w:right w:val="nil"/>
            </w:tcBorders>
            <w:vAlign w:val="top"/>
          </w:tcPr>
          <w:p>
            <w:pPr>
              <w:pStyle w:val="6"/>
              <w:spacing w:before="35" w:line="207" w:lineRule="auto"/>
              <w:ind w:left="156"/>
              <w:rPr>
                <w:rFonts w:ascii="仿宋" w:hAnsi="仿宋" w:eastAsia="仿宋" w:cs="仿宋"/>
              </w:rPr>
            </w:pPr>
            <w:r>
              <w:rPr>
                <w:b/>
                <w:bCs/>
                <w:spacing w:val="-4"/>
              </w:rPr>
              <w:t>5</w:t>
            </w:r>
            <w:r>
              <w:rPr>
                <w:rFonts w:ascii="仿宋" w:hAnsi="仿宋" w:eastAsia="仿宋" w:cs="仿宋"/>
                <w:spacing w:val="-4"/>
                <w14:textOutline w14:w="3810" w14:cap="flat" w14:cmpd="sng">
                  <w14:solidFill>
                    <w14:srgbClr w14:val="000000"/>
                  </w14:solidFill>
                  <w14:prstDash w14:val="solid"/>
                  <w14:miter w14:val="0"/>
                </w14:textOutli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 w:hRule="atLeast"/>
        </w:trPr>
        <w:tc>
          <w:tcPr>
            <w:tcW w:w="597" w:type="dxa"/>
            <w:vMerge w:val="restart"/>
            <w:tcBorders>
              <w:left w:val="nil"/>
              <w:bottom w:val="nil"/>
            </w:tcBorders>
            <w:vAlign w:val="top"/>
          </w:tcPr>
          <w:p>
            <w:pPr>
              <w:spacing w:before="120" w:line="233" w:lineRule="auto"/>
              <w:ind w:left="98" w:right="88"/>
              <w:jc w:val="both"/>
              <w:rPr>
                <w:rFonts w:ascii="仿宋" w:hAnsi="仿宋" w:eastAsia="仿宋" w:cs="仿宋"/>
                <w:sz w:val="21"/>
                <w:szCs w:val="21"/>
              </w:rPr>
            </w:pPr>
            <w:r>
              <w:rPr>
                <w:rFonts w:ascii="仿宋" w:hAnsi="仿宋" w:eastAsia="仿宋" w:cs="仿宋"/>
                <w:spacing w:val="-7"/>
                <w:sz w:val="21"/>
                <w:szCs w:val="21"/>
              </w:rPr>
              <w:t>桂花</w:t>
            </w:r>
            <w:r>
              <w:rPr>
                <w:rFonts w:ascii="仿宋" w:hAnsi="仿宋" w:eastAsia="仿宋" w:cs="仿宋"/>
                <w:sz w:val="21"/>
                <w:szCs w:val="21"/>
              </w:rPr>
              <w:t xml:space="preserve"> </w:t>
            </w:r>
            <w:r>
              <w:rPr>
                <w:rFonts w:ascii="仿宋" w:hAnsi="仿宋" w:eastAsia="仿宋" w:cs="仿宋"/>
                <w:spacing w:val="-7"/>
                <w:sz w:val="21"/>
                <w:szCs w:val="21"/>
              </w:rPr>
              <w:t>水库</w:t>
            </w:r>
            <w:r>
              <w:rPr>
                <w:rFonts w:ascii="仿宋" w:hAnsi="仿宋" w:eastAsia="仿宋" w:cs="仿宋"/>
                <w:sz w:val="21"/>
                <w:szCs w:val="21"/>
              </w:rPr>
              <w:t xml:space="preserve"> </w:t>
            </w:r>
            <w:r>
              <w:rPr>
                <w:rFonts w:ascii="仿宋" w:hAnsi="仿宋" w:eastAsia="仿宋" w:cs="仿宋"/>
                <w:spacing w:val="-7"/>
                <w:sz w:val="21"/>
                <w:szCs w:val="21"/>
              </w:rPr>
              <w:t>坝址</w:t>
            </w:r>
          </w:p>
        </w:tc>
        <w:tc>
          <w:tcPr>
            <w:tcW w:w="552" w:type="dxa"/>
            <w:vAlign w:val="top"/>
          </w:tcPr>
          <w:p>
            <w:pPr>
              <w:pStyle w:val="6"/>
              <w:spacing w:before="52" w:line="182" w:lineRule="auto"/>
              <w:ind w:left="84"/>
            </w:pPr>
            <w:r>
              <w:rPr>
                <w:spacing w:val="-1"/>
              </w:rPr>
              <w:t>25%</w:t>
            </w:r>
          </w:p>
        </w:tc>
        <w:tc>
          <w:tcPr>
            <w:tcW w:w="622" w:type="dxa"/>
            <w:vAlign w:val="top"/>
          </w:tcPr>
          <w:p>
            <w:pPr>
              <w:pStyle w:val="6"/>
              <w:spacing w:before="52" w:line="182" w:lineRule="auto"/>
              <w:ind w:left="76"/>
            </w:pPr>
            <w:r>
              <w:rPr>
                <w:spacing w:val="-1"/>
              </w:rPr>
              <w:t>224.1</w:t>
            </w:r>
          </w:p>
        </w:tc>
        <w:tc>
          <w:tcPr>
            <w:tcW w:w="702" w:type="dxa"/>
            <w:vAlign w:val="top"/>
          </w:tcPr>
          <w:p>
            <w:pPr>
              <w:pStyle w:val="6"/>
              <w:spacing w:before="52" w:line="182" w:lineRule="auto"/>
              <w:ind w:left="114"/>
            </w:pPr>
            <w:r>
              <w:rPr>
                <w:spacing w:val="-1"/>
              </w:rPr>
              <w:t>437.0</w:t>
            </w:r>
          </w:p>
        </w:tc>
        <w:tc>
          <w:tcPr>
            <w:tcW w:w="674" w:type="dxa"/>
            <w:vAlign w:val="top"/>
          </w:tcPr>
          <w:p>
            <w:pPr>
              <w:pStyle w:val="6"/>
              <w:spacing w:before="52" w:line="182" w:lineRule="auto"/>
              <w:ind w:left="99"/>
            </w:pPr>
            <w:r>
              <w:rPr>
                <w:spacing w:val="-1"/>
              </w:rPr>
              <w:t>44.93</w:t>
            </w:r>
          </w:p>
        </w:tc>
        <w:tc>
          <w:tcPr>
            <w:tcW w:w="677" w:type="dxa"/>
            <w:vAlign w:val="top"/>
          </w:tcPr>
          <w:p>
            <w:pPr>
              <w:pStyle w:val="6"/>
              <w:spacing w:before="52" w:line="182" w:lineRule="auto"/>
              <w:ind w:left="107"/>
            </w:pPr>
            <w:r>
              <w:rPr>
                <w:spacing w:val="-2"/>
              </w:rPr>
              <w:t>384.9</w:t>
            </w:r>
          </w:p>
        </w:tc>
        <w:tc>
          <w:tcPr>
            <w:tcW w:w="665" w:type="dxa"/>
            <w:vAlign w:val="top"/>
          </w:tcPr>
          <w:p>
            <w:pPr>
              <w:pStyle w:val="6"/>
              <w:spacing w:before="52" w:line="182" w:lineRule="auto"/>
              <w:ind w:left="102"/>
            </w:pPr>
            <w:r>
              <w:rPr>
                <w:spacing w:val="-2"/>
              </w:rPr>
              <w:t>310.8</w:t>
            </w:r>
          </w:p>
        </w:tc>
        <w:tc>
          <w:tcPr>
            <w:tcW w:w="650" w:type="dxa"/>
            <w:vAlign w:val="top"/>
          </w:tcPr>
          <w:p>
            <w:pPr>
              <w:pStyle w:val="6"/>
              <w:spacing w:before="52" w:line="182" w:lineRule="auto"/>
              <w:ind w:left="89"/>
            </w:pPr>
            <w:r>
              <w:rPr>
                <w:spacing w:val="-1"/>
              </w:rPr>
              <w:t>250.9</w:t>
            </w:r>
          </w:p>
        </w:tc>
        <w:tc>
          <w:tcPr>
            <w:tcW w:w="662" w:type="dxa"/>
            <w:vAlign w:val="top"/>
          </w:tcPr>
          <w:p>
            <w:pPr>
              <w:pStyle w:val="6"/>
              <w:spacing w:before="52" w:line="182" w:lineRule="auto"/>
              <w:ind w:left="117"/>
            </w:pPr>
            <w:r>
              <w:rPr>
                <w:spacing w:val="-5"/>
              </w:rPr>
              <w:t>194.7</w:t>
            </w:r>
          </w:p>
        </w:tc>
        <w:tc>
          <w:tcPr>
            <w:tcW w:w="623" w:type="dxa"/>
            <w:vAlign w:val="top"/>
          </w:tcPr>
          <w:p>
            <w:pPr>
              <w:pStyle w:val="6"/>
              <w:spacing w:before="52" w:line="182" w:lineRule="auto"/>
              <w:ind w:left="97"/>
            </w:pPr>
            <w:r>
              <w:rPr>
                <w:spacing w:val="-5"/>
              </w:rPr>
              <w:t>154.6</w:t>
            </w:r>
          </w:p>
        </w:tc>
        <w:tc>
          <w:tcPr>
            <w:tcW w:w="674" w:type="dxa"/>
            <w:vAlign w:val="top"/>
          </w:tcPr>
          <w:p>
            <w:pPr>
              <w:pStyle w:val="6"/>
              <w:spacing w:before="52" w:line="182" w:lineRule="auto"/>
              <w:ind w:left="120"/>
            </w:pPr>
            <w:r>
              <w:rPr>
                <w:spacing w:val="-5"/>
              </w:rPr>
              <w:t>128.1</w:t>
            </w:r>
          </w:p>
        </w:tc>
        <w:tc>
          <w:tcPr>
            <w:tcW w:w="623" w:type="dxa"/>
            <w:vAlign w:val="top"/>
          </w:tcPr>
          <w:p>
            <w:pPr>
              <w:pStyle w:val="6"/>
              <w:spacing w:before="52" w:line="182" w:lineRule="auto"/>
              <w:ind w:left="96"/>
            </w:pPr>
            <w:r>
              <w:rPr>
                <w:spacing w:val="-5"/>
              </w:rPr>
              <w:t>1362.</w:t>
            </w:r>
          </w:p>
        </w:tc>
        <w:tc>
          <w:tcPr>
            <w:tcW w:w="622" w:type="dxa"/>
            <w:vAlign w:val="top"/>
          </w:tcPr>
          <w:p>
            <w:pPr>
              <w:pStyle w:val="6"/>
              <w:spacing w:before="52" w:line="182" w:lineRule="auto"/>
              <w:ind w:left="96"/>
            </w:pPr>
            <w:r>
              <w:rPr>
                <w:spacing w:val="-5"/>
              </w:rPr>
              <w:t>109.5</w:t>
            </w:r>
          </w:p>
        </w:tc>
        <w:tc>
          <w:tcPr>
            <w:tcW w:w="615" w:type="dxa"/>
            <w:tcBorders>
              <w:right w:val="nil"/>
            </w:tcBorders>
            <w:vAlign w:val="top"/>
          </w:tcPr>
          <w:p>
            <w:pPr>
              <w:pStyle w:val="6"/>
              <w:spacing w:before="52" w:line="182" w:lineRule="auto"/>
              <w:ind w:left="94"/>
            </w:pPr>
            <w:r>
              <w:rPr>
                <w:spacing w:val="-5"/>
              </w:rPr>
              <w:t>126.2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 w:hRule="atLeast"/>
        </w:trPr>
        <w:tc>
          <w:tcPr>
            <w:tcW w:w="597" w:type="dxa"/>
            <w:vMerge w:val="continue"/>
            <w:tcBorders>
              <w:top w:val="nil"/>
              <w:left w:val="nil"/>
              <w:bottom w:val="nil"/>
            </w:tcBorders>
            <w:vAlign w:val="top"/>
          </w:tcPr>
          <w:p>
            <w:pPr>
              <w:rPr>
                <w:rFonts w:ascii="Arial"/>
                <w:sz w:val="21"/>
              </w:rPr>
            </w:pPr>
          </w:p>
        </w:tc>
        <w:tc>
          <w:tcPr>
            <w:tcW w:w="552" w:type="dxa"/>
            <w:vAlign w:val="top"/>
          </w:tcPr>
          <w:p>
            <w:pPr>
              <w:pStyle w:val="6"/>
              <w:spacing w:before="52" w:line="181" w:lineRule="auto"/>
              <w:ind w:left="90"/>
            </w:pPr>
            <w:r>
              <w:rPr>
                <w:spacing w:val="-2"/>
              </w:rPr>
              <w:t>50%</w:t>
            </w:r>
          </w:p>
        </w:tc>
        <w:tc>
          <w:tcPr>
            <w:tcW w:w="622" w:type="dxa"/>
            <w:vAlign w:val="top"/>
          </w:tcPr>
          <w:p>
            <w:pPr>
              <w:pStyle w:val="6"/>
              <w:spacing w:before="52" w:line="181" w:lineRule="auto"/>
              <w:ind w:left="96"/>
            </w:pPr>
            <w:r>
              <w:rPr>
                <w:spacing w:val="-5"/>
              </w:rPr>
              <w:t>163.0</w:t>
            </w:r>
          </w:p>
        </w:tc>
        <w:tc>
          <w:tcPr>
            <w:tcW w:w="702" w:type="dxa"/>
            <w:vAlign w:val="top"/>
          </w:tcPr>
          <w:p>
            <w:pPr>
              <w:pStyle w:val="6"/>
              <w:spacing w:before="52" w:line="181" w:lineRule="auto"/>
              <w:ind w:left="114"/>
            </w:pPr>
            <w:r>
              <w:rPr>
                <w:spacing w:val="-1"/>
              </w:rPr>
              <w:t>429.2</w:t>
            </w:r>
          </w:p>
        </w:tc>
        <w:tc>
          <w:tcPr>
            <w:tcW w:w="674" w:type="dxa"/>
            <w:vAlign w:val="top"/>
          </w:tcPr>
          <w:p>
            <w:pPr>
              <w:pStyle w:val="6"/>
              <w:spacing w:before="52" w:line="181" w:lineRule="auto"/>
              <w:ind w:left="99"/>
            </w:pPr>
            <w:r>
              <w:rPr>
                <w:spacing w:val="-1"/>
              </w:rPr>
              <w:t>422.1</w:t>
            </w:r>
          </w:p>
        </w:tc>
        <w:tc>
          <w:tcPr>
            <w:tcW w:w="677" w:type="dxa"/>
            <w:vAlign w:val="top"/>
          </w:tcPr>
          <w:p>
            <w:pPr>
              <w:pStyle w:val="6"/>
              <w:spacing w:before="52" w:line="181" w:lineRule="auto"/>
              <w:ind w:left="102"/>
            </w:pPr>
            <w:r>
              <w:rPr>
                <w:spacing w:val="-1"/>
              </w:rPr>
              <w:t>458.5</w:t>
            </w:r>
          </w:p>
        </w:tc>
        <w:tc>
          <w:tcPr>
            <w:tcW w:w="665" w:type="dxa"/>
            <w:vAlign w:val="top"/>
          </w:tcPr>
          <w:p>
            <w:pPr>
              <w:pStyle w:val="6"/>
              <w:spacing w:before="52" w:line="181" w:lineRule="auto"/>
              <w:ind w:left="118"/>
            </w:pPr>
            <w:r>
              <w:rPr>
                <w:spacing w:val="-5"/>
              </w:rPr>
              <w:t>160.6</w:t>
            </w:r>
          </w:p>
        </w:tc>
        <w:tc>
          <w:tcPr>
            <w:tcW w:w="650" w:type="dxa"/>
            <w:vAlign w:val="top"/>
          </w:tcPr>
          <w:p>
            <w:pPr>
              <w:pStyle w:val="6"/>
              <w:spacing w:before="52" w:line="181" w:lineRule="auto"/>
              <w:ind w:left="109"/>
            </w:pPr>
            <w:r>
              <w:rPr>
                <w:spacing w:val="-5"/>
              </w:rPr>
              <w:t>104.4</w:t>
            </w:r>
          </w:p>
        </w:tc>
        <w:tc>
          <w:tcPr>
            <w:tcW w:w="662" w:type="dxa"/>
            <w:vAlign w:val="top"/>
          </w:tcPr>
          <w:p>
            <w:pPr>
              <w:pStyle w:val="6"/>
              <w:spacing w:before="52" w:line="181" w:lineRule="auto"/>
              <w:ind w:left="117"/>
            </w:pPr>
            <w:r>
              <w:rPr>
                <w:spacing w:val="-5"/>
              </w:rPr>
              <w:t>107.9</w:t>
            </w:r>
          </w:p>
        </w:tc>
        <w:tc>
          <w:tcPr>
            <w:tcW w:w="623" w:type="dxa"/>
            <w:vAlign w:val="top"/>
          </w:tcPr>
          <w:p>
            <w:pPr>
              <w:pStyle w:val="6"/>
              <w:spacing w:before="52" w:line="181" w:lineRule="auto"/>
              <w:ind w:left="97"/>
            </w:pPr>
            <w:r>
              <w:rPr>
                <w:spacing w:val="-5"/>
              </w:rPr>
              <w:t>101.1</w:t>
            </w:r>
          </w:p>
        </w:tc>
        <w:tc>
          <w:tcPr>
            <w:tcW w:w="674" w:type="dxa"/>
            <w:vAlign w:val="top"/>
          </w:tcPr>
          <w:p>
            <w:pPr>
              <w:pStyle w:val="6"/>
              <w:spacing w:before="52" w:line="181" w:lineRule="auto"/>
              <w:ind w:left="156"/>
            </w:pPr>
            <w:r>
              <w:rPr>
                <w:spacing w:val="-2"/>
              </w:rPr>
              <w:t>76.3</w:t>
            </w:r>
          </w:p>
        </w:tc>
        <w:tc>
          <w:tcPr>
            <w:tcW w:w="623" w:type="dxa"/>
            <w:vAlign w:val="top"/>
          </w:tcPr>
          <w:p>
            <w:pPr>
              <w:pStyle w:val="6"/>
              <w:spacing w:before="52" w:line="181" w:lineRule="auto"/>
              <w:ind w:left="132"/>
            </w:pPr>
            <w:r>
              <w:rPr>
                <w:spacing w:val="-2"/>
              </w:rPr>
              <w:t>70.4</w:t>
            </w:r>
          </w:p>
        </w:tc>
        <w:tc>
          <w:tcPr>
            <w:tcW w:w="622" w:type="dxa"/>
            <w:vAlign w:val="top"/>
          </w:tcPr>
          <w:p>
            <w:pPr>
              <w:pStyle w:val="6"/>
              <w:spacing w:before="52" w:line="181" w:lineRule="auto"/>
              <w:ind w:left="133"/>
            </w:pPr>
            <w:r>
              <w:rPr>
                <w:spacing w:val="-3"/>
              </w:rPr>
              <w:t>67.9</w:t>
            </w:r>
          </w:p>
        </w:tc>
        <w:tc>
          <w:tcPr>
            <w:tcW w:w="615" w:type="dxa"/>
            <w:tcBorders>
              <w:right w:val="nil"/>
            </w:tcBorders>
            <w:vAlign w:val="top"/>
          </w:tcPr>
          <w:p>
            <w:pPr>
              <w:pStyle w:val="6"/>
              <w:spacing w:before="52" w:line="181" w:lineRule="auto"/>
              <w:ind w:left="130"/>
            </w:pPr>
            <w:r>
              <w:rPr>
                <w:spacing w:val="-2"/>
              </w:rPr>
              <w:t>71.1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 w:hRule="atLeast"/>
        </w:trPr>
        <w:tc>
          <w:tcPr>
            <w:tcW w:w="597" w:type="dxa"/>
            <w:vMerge w:val="continue"/>
            <w:tcBorders>
              <w:top w:val="nil"/>
              <w:left w:val="nil"/>
              <w:bottom w:val="nil"/>
            </w:tcBorders>
            <w:vAlign w:val="top"/>
          </w:tcPr>
          <w:p>
            <w:pPr>
              <w:rPr>
                <w:rFonts w:ascii="Arial"/>
                <w:sz w:val="21"/>
              </w:rPr>
            </w:pPr>
          </w:p>
        </w:tc>
        <w:tc>
          <w:tcPr>
            <w:tcW w:w="552" w:type="dxa"/>
            <w:vAlign w:val="top"/>
          </w:tcPr>
          <w:p>
            <w:pPr>
              <w:pStyle w:val="6"/>
              <w:spacing w:before="52" w:line="182" w:lineRule="auto"/>
              <w:ind w:left="87"/>
            </w:pPr>
            <w:r>
              <w:rPr>
                <w:spacing w:val="-3"/>
              </w:rPr>
              <w:t>75%</w:t>
            </w:r>
          </w:p>
        </w:tc>
        <w:tc>
          <w:tcPr>
            <w:tcW w:w="622" w:type="dxa"/>
            <w:vAlign w:val="top"/>
          </w:tcPr>
          <w:p>
            <w:pPr>
              <w:pStyle w:val="6"/>
              <w:spacing w:before="54" w:line="180" w:lineRule="auto"/>
              <w:ind w:left="132"/>
            </w:pPr>
            <w:r>
              <w:rPr>
                <w:spacing w:val="-2"/>
              </w:rPr>
              <w:t>79.7</w:t>
            </w:r>
          </w:p>
        </w:tc>
        <w:tc>
          <w:tcPr>
            <w:tcW w:w="702" w:type="dxa"/>
            <w:vAlign w:val="top"/>
          </w:tcPr>
          <w:p>
            <w:pPr>
              <w:pStyle w:val="6"/>
              <w:spacing w:before="54" w:line="180" w:lineRule="auto"/>
              <w:ind w:left="115"/>
            </w:pPr>
            <w:r>
              <w:rPr>
                <w:spacing w:val="-1"/>
              </w:rPr>
              <w:t>237.4</w:t>
            </w:r>
          </w:p>
        </w:tc>
        <w:tc>
          <w:tcPr>
            <w:tcW w:w="674" w:type="dxa"/>
            <w:vAlign w:val="top"/>
          </w:tcPr>
          <w:p>
            <w:pPr>
              <w:pStyle w:val="6"/>
              <w:spacing w:before="54" w:line="180" w:lineRule="auto"/>
              <w:ind w:left="111"/>
            </w:pPr>
            <w:r>
              <w:rPr>
                <w:spacing w:val="-3"/>
              </w:rPr>
              <w:t>511.4</w:t>
            </w:r>
          </w:p>
        </w:tc>
        <w:tc>
          <w:tcPr>
            <w:tcW w:w="677" w:type="dxa"/>
            <w:vAlign w:val="top"/>
          </w:tcPr>
          <w:p>
            <w:pPr>
              <w:pStyle w:val="6"/>
              <w:spacing w:before="54" w:line="180" w:lineRule="auto"/>
              <w:ind w:left="103"/>
            </w:pPr>
            <w:r>
              <w:rPr>
                <w:spacing w:val="-1"/>
              </w:rPr>
              <w:t>218.9</w:t>
            </w:r>
          </w:p>
        </w:tc>
        <w:tc>
          <w:tcPr>
            <w:tcW w:w="665" w:type="dxa"/>
            <w:vAlign w:val="top"/>
          </w:tcPr>
          <w:p>
            <w:pPr>
              <w:pStyle w:val="6"/>
              <w:spacing w:before="54" w:line="180" w:lineRule="auto"/>
              <w:ind w:left="118"/>
            </w:pPr>
            <w:r>
              <w:rPr>
                <w:spacing w:val="-5"/>
              </w:rPr>
              <w:t>173.4</w:t>
            </w:r>
          </w:p>
        </w:tc>
        <w:tc>
          <w:tcPr>
            <w:tcW w:w="650" w:type="dxa"/>
            <w:vAlign w:val="top"/>
          </w:tcPr>
          <w:p>
            <w:pPr>
              <w:pStyle w:val="6"/>
              <w:spacing w:before="54" w:line="180" w:lineRule="auto"/>
              <w:ind w:left="146"/>
            </w:pPr>
            <w:r>
              <w:rPr>
                <w:spacing w:val="-2"/>
              </w:rPr>
              <w:t>91.0</w:t>
            </w:r>
          </w:p>
        </w:tc>
        <w:tc>
          <w:tcPr>
            <w:tcW w:w="662" w:type="dxa"/>
            <w:vAlign w:val="top"/>
          </w:tcPr>
          <w:p>
            <w:pPr>
              <w:pStyle w:val="6"/>
              <w:spacing w:before="54" w:line="180" w:lineRule="auto"/>
              <w:ind w:left="154"/>
            </w:pPr>
            <w:r>
              <w:rPr>
                <w:spacing w:val="-3"/>
              </w:rPr>
              <w:t>68.1</w:t>
            </w:r>
          </w:p>
        </w:tc>
        <w:tc>
          <w:tcPr>
            <w:tcW w:w="623" w:type="dxa"/>
            <w:vAlign w:val="top"/>
          </w:tcPr>
          <w:p>
            <w:pPr>
              <w:pStyle w:val="6"/>
              <w:spacing w:before="54" w:line="180" w:lineRule="auto"/>
              <w:ind w:left="134"/>
            </w:pPr>
            <w:r>
              <w:rPr>
                <w:spacing w:val="-3"/>
              </w:rPr>
              <w:t>67.3</w:t>
            </w:r>
          </w:p>
        </w:tc>
        <w:tc>
          <w:tcPr>
            <w:tcW w:w="674" w:type="dxa"/>
            <w:vAlign w:val="top"/>
          </w:tcPr>
          <w:p>
            <w:pPr>
              <w:pStyle w:val="6"/>
              <w:spacing w:before="54" w:line="180" w:lineRule="auto"/>
              <w:ind w:left="159"/>
            </w:pPr>
            <w:r>
              <w:rPr>
                <w:spacing w:val="-3"/>
              </w:rPr>
              <w:t>54.3</w:t>
            </w:r>
          </w:p>
        </w:tc>
        <w:tc>
          <w:tcPr>
            <w:tcW w:w="623" w:type="dxa"/>
            <w:vAlign w:val="top"/>
          </w:tcPr>
          <w:p>
            <w:pPr>
              <w:pStyle w:val="6"/>
              <w:spacing w:before="54" w:line="180" w:lineRule="auto"/>
              <w:ind w:left="134"/>
            </w:pPr>
            <w:r>
              <w:rPr>
                <w:spacing w:val="-3"/>
              </w:rPr>
              <w:t>59.6</w:t>
            </w:r>
          </w:p>
        </w:tc>
        <w:tc>
          <w:tcPr>
            <w:tcW w:w="622" w:type="dxa"/>
            <w:vAlign w:val="top"/>
          </w:tcPr>
          <w:p>
            <w:pPr>
              <w:pStyle w:val="6"/>
              <w:spacing w:before="54" w:line="180" w:lineRule="auto"/>
              <w:ind w:left="134"/>
            </w:pPr>
            <w:r>
              <w:rPr>
                <w:spacing w:val="-3"/>
              </w:rPr>
              <w:t>52.9</w:t>
            </w:r>
          </w:p>
        </w:tc>
        <w:tc>
          <w:tcPr>
            <w:tcW w:w="615" w:type="dxa"/>
            <w:tcBorders>
              <w:right w:val="nil"/>
            </w:tcBorders>
            <w:vAlign w:val="top"/>
          </w:tcPr>
          <w:p>
            <w:pPr>
              <w:pStyle w:val="6"/>
              <w:spacing w:before="54" w:line="180" w:lineRule="auto"/>
              <w:ind w:left="132"/>
            </w:pPr>
            <w:r>
              <w:rPr>
                <w:spacing w:val="-3"/>
              </w:rPr>
              <w:t>58.0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 w:hRule="atLeast"/>
        </w:trPr>
        <w:tc>
          <w:tcPr>
            <w:tcW w:w="597" w:type="dxa"/>
            <w:vMerge w:val="continue"/>
            <w:tcBorders>
              <w:top w:val="nil"/>
              <w:left w:val="nil"/>
            </w:tcBorders>
            <w:vAlign w:val="top"/>
          </w:tcPr>
          <w:p>
            <w:pPr>
              <w:rPr>
                <w:rFonts w:ascii="Arial"/>
                <w:sz w:val="21"/>
              </w:rPr>
            </w:pPr>
          </w:p>
        </w:tc>
        <w:tc>
          <w:tcPr>
            <w:tcW w:w="552" w:type="dxa"/>
            <w:vAlign w:val="top"/>
          </w:tcPr>
          <w:p>
            <w:pPr>
              <w:pStyle w:val="6"/>
              <w:spacing w:before="53" w:line="180" w:lineRule="auto"/>
              <w:ind w:left="88"/>
            </w:pPr>
            <w:r>
              <w:rPr>
                <w:spacing w:val="-2"/>
              </w:rPr>
              <w:t>95%</w:t>
            </w:r>
          </w:p>
        </w:tc>
        <w:tc>
          <w:tcPr>
            <w:tcW w:w="622" w:type="dxa"/>
            <w:vAlign w:val="top"/>
          </w:tcPr>
          <w:p>
            <w:pPr>
              <w:pStyle w:val="6"/>
              <w:spacing w:before="54" w:line="179" w:lineRule="auto"/>
              <w:ind w:left="127"/>
            </w:pPr>
            <w:r>
              <w:rPr>
                <w:spacing w:val="-1"/>
              </w:rPr>
              <w:t>49.9</w:t>
            </w:r>
          </w:p>
        </w:tc>
        <w:tc>
          <w:tcPr>
            <w:tcW w:w="702" w:type="dxa"/>
            <w:vAlign w:val="top"/>
          </w:tcPr>
          <w:p>
            <w:pPr>
              <w:pStyle w:val="6"/>
              <w:spacing w:before="54" w:line="179" w:lineRule="auto"/>
              <w:ind w:left="135"/>
            </w:pPr>
            <w:r>
              <w:rPr>
                <w:spacing w:val="-5"/>
              </w:rPr>
              <w:t>148.8</w:t>
            </w:r>
          </w:p>
        </w:tc>
        <w:tc>
          <w:tcPr>
            <w:tcW w:w="674" w:type="dxa"/>
            <w:vAlign w:val="top"/>
          </w:tcPr>
          <w:p>
            <w:pPr>
              <w:pStyle w:val="6"/>
              <w:spacing w:before="54" w:line="179" w:lineRule="auto"/>
              <w:ind w:left="105"/>
            </w:pPr>
            <w:r>
              <w:rPr>
                <w:spacing w:val="-2"/>
              </w:rPr>
              <w:t>320.5</w:t>
            </w:r>
          </w:p>
        </w:tc>
        <w:tc>
          <w:tcPr>
            <w:tcW w:w="677" w:type="dxa"/>
            <w:vAlign w:val="top"/>
          </w:tcPr>
          <w:p>
            <w:pPr>
              <w:pStyle w:val="6"/>
              <w:spacing w:before="54" w:line="179" w:lineRule="auto"/>
              <w:ind w:left="123"/>
            </w:pPr>
            <w:r>
              <w:rPr>
                <w:spacing w:val="-5"/>
              </w:rPr>
              <w:t>137.2</w:t>
            </w:r>
          </w:p>
        </w:tc>
        <w:tc>
          <w:tcPr>
            <w:tcW w:w="665" w:type="dxa"/>
            <w:vAlign w:val="top"/>
          </w:tcPr>
          <w:p>
            <w:pPr>
              <w:pStyle w:val="6"/>
              <w:spacing w:before="54" w:line="179" w:lineRule="auto"/>
              <w:ind w:left="118"/>
            </w:pPr>
            <w:r>
              <w:rPr>
                <w:spacing w:val="-5"/>
              </w:rPr>
              <w:t>108.7</w:t>
            </w:r>
          </w:p>
        </w:tc>
        <w:tc>
          <w:tcPr>
            <w:tcW w:w="650" w:type="dxa"/>
            <w:vAlign w:val="top"/>
          </w:tcPr>
          <w:p>
            <w:pPr>
              <w:pStyle w:val="6"/>
              <w:spacing w:before="54" w:line="179" w:lineRule="auto"/>
              <w:ind w:left="147"/>
            </w:pPr>
            <w:r>
              <w:rPr>
                <w:spacing w:val="-3"/>
              </w:rPr>
              <w:t>57.1</w:t>
            </w:r>
          </w:p>
        </w:tc>
        <w:tc>
          <w:tcPr>
            <w:tcW w:w="662" w:type="dxa"/>
            <w:vAlign w:val="top"/>
          </w:tcPr>
          <w:p>
            <w:pPr>
              <w:pStyle w:val="6"/>
              <w:spacing w:before="54" w:line="179" w:lineRule="auto"/>
              <w:ind w:left="148"/>
            </w:pPr>
            <w:r>
              <w:rPr>
                <w:spacing w:val="-1"/>
              </w:rPr>
              <w:t>42.7</w:t>
            </w:r>
          </w:p>
        </w:tc>
        <w:tc>
          <w:tcPr>
            <w:tcW w:w="623" w:type="dxa"/>
            <w:vAlign w:val="top"/>
          </w:tcPr>
          <w:p>
            <w:pPr>
              <w:pStyle w:val="6"/>
              <w:spacing w:before="54" w:line="179" w:lineRule="auto"/>
              <w:ind w:left="128"/>
            </w:pPr>
            <w:r>
              <w:rPr>
                <w:spacing w:val="-1"/>
              </w:rPr>
              <w:t>42.2</w:t>
            </w:r>
          </w:p>
        </w:tc>
        <w:tc>
          <w:tcPr>
            <w:tcW w:w="674" w:type="dxa"/>
            <w:vAlign w:val="top"/>
          </w:tcPr>
          <w:p>
            <w:pPr>
              <w:pStyle w:val="6"/>
              <w:spacing w:before="54" w:line="179" w:lineRule="auto"/>
              <w:ind w:left="157"/>
            </w:pPr>
            <w:r>
              <w:rPr>
                <w:spacing w:val="-2"/>
              </w:rPr>
              <w:t>34.1</w:t>
            </w:r>
          </w:p>
        </w:tc>
        <w:tc>
          <w:tcPr>
            <w:tcW w:w="623" w:type="dxa"/>
            <w:vAlign w:val="top"/>
          </w:tcPr>
          <w:p>
            <w:pPr>
              <w:pStyle w:val="6"/>
              <w:spacing w:before="54" w:line="179" w:lineRule="auto"/>
              <w:ind w:left="133"/>
            </w:pPr>
            <w:r>
              <w:rPr>
                <w:spacing w:val="-3"/>
              </w:rPr>
              <w:t>37.4</w:t>
            </w:r>
          </w:p>
        </w:tc>
        <w:tc>
          <w:tcPr>
            <w:tcW w:w="622" w:type="dxa"/>
            <w:vAlign w:val="top"/>
          </w:tcPr>
          <w:p>
            <w:pPr>
              <w:pStyle w:val="6"/>
              <w:spacing w:before="54" w:line="179" w:lineRule="auto"/>
              <w:ind w:left="133"/>
            </w:pPr>
            <w:r>
              <w:rPr>
                <w:spacing w:val="-3"/>
              </w:rPr>
              <w:t>33.2</w:t>
            </w:r>
          </w:p>
        </w:tc>
        <w:tc>
          <w:tcPr>
            <w:tcW w:w="615" w:type="dxa"/>
            <w:tcBorders>
              <w:right w:val="nil"/>
            </w:tcBorders>
            <w:vAlign w:val="top"/>
          </w:tcPr>
          <w:p>
            <w:pPr>
              <w:pStyle w:val="6"/>
              <w:spacing w:before="54" w:line="179" w:lineRule="auto"/>
              <w:ind w:left="131"/>
            </w:pPr>
            <w:r>
              <w:rPr>
                <w:spacing w:val="-3"/>
              </w:rPr>
              <w:t>36.3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 w:hRule="atLeast"/>
        </w:trPr>
        <w:tc>
          <w:tcPr>
            <w:tcW w:w="597" w:type="dxa"/>
            <w:vMerge w:val="restart"/>
            <w:tcBorders>
              <w:left w:val="nil"/>
              <w:bottom w:val="nil"/>
            </w:tcBorders>
            <w:vAlign w:val="top"/>
          </w:tcPr>
          <w:p>
            <w:pPr>
              <w:spacing w:before="124" w:line="233" w:lineRule="auto"/>
              <w:ind w:left="101" w:right="89" w:firstLine="3"/>
              <w:jc w:val="both"/>
              <w:rPr>
                <w:rFonts w:ascii="仿宋" w:hAnsi="仿宋" w:eastAsia="仿宋" w:cs="仿宋"/>
                <w:sz w:val="21"/>
                <w:szCs w:val="21"/>
              </w:rPr>
            </w:pPr>
            <w:r>
              <w:rPr>
                <w:rFonts w:ascii="仿宋" w:hAnsi="仿宋" w:eastAsia="仿宋" w:cs="仿宋"/>
                <w:spacing w:val="-10"/>
                <w:sz w:val="21"/>
                <w:szCs w:val="21"/>
              </w:rPr>
              <w:t>罗子</w:t>
            </w:r>
            <w:r>
              <w:rPr>
                <w:rFonts w:ascii="仿宋" w:hAnsi="仿宋" w:eastAsia="仿宋" w:cs="仿宋"/>
                <w:sz w:val="21"/>
                <w:szCs w:val="21"/>
              </w:rPr>
              <w:t xml:space="preserve"> </w:t>
            </w:r>
            <w:r>
              <w:rPr>
                <w:rFonts w:ascii="仿宋" w:hAnsi="仿宋" w:eastAsia="仿宋" w:cs="仿宋"/>
                <w:spacing w:val="-9"/>
                <w:sz w:val="21"/>
                <w:szCs w:val="21"/>
              </w:rPr>
              <w:t>左河</w:t>
            </w:r>
            <w:r>
              <w:rPr>
                <w:rFonts w:ascii="仿宋" w:hAnsi="仿宋" w:eastAsia="仿宋" w:cs="仿宋"/>
                <w:sz w:val="21"/>
                <w:szCs w:val="21"/>
              </w:rPr>
              <w:t xml:space="preserve"> </w:t>
            </w:r>
            <w:r>
              <w:rPr>
                <w:rFonts w:ascii="仿宋" w:hAnsi="仿宋" w:eastAsia="仿宋" w:cs="仿宋"/>
                <w:spacing w:val="-9"/>
                <w:sz w:val="21"/>
                <w:szCs w:val="21"/>
              </w:rPr>
              <w:t>坝址</w:t>
            </w:r>
          </w:p>
        </w:tc>
        <w:tc>
          <w:tcPr>
            <w:tcW w:w="552" w:type="dxa"/>
            <w:vAlign w:val="top"/>
          </w:tcPr>
          <w:p>
            <w:pPr>
              <w:pStyle w:val="6"/>
              <w:spacing w:before="55" w:line="179" w:lineRule="auto"/>
              <w:ind w:left="84"/>
            </w:pPr>
            <w:r>
              <w:rPr>
                <w:spacing w:val="-1"/>
              </w:rPr>
              <w:t>25%</w:t>
            </w:r>
          </w:p>
        </w:tc>
        <w:tc>
          <w:tcPr>
            <w:tcW w:w="622" w:type="dxa"/>
            <w:vAlign w:val="top"/>
          </w:tcPr>
          <w:p>
            <w:pPr>
              <w:pStyle w:val="6"/>
              <w:spacing w:before="56" w:line="178" w:lineRule="auto"/>
              <w:ind w:left="137"/>
            </w:pPr>
            <w:r>
              <w:rPr>
                <w:spacing w:val="-3"/>
              </w:rPr>
              <w:t>83.3</w:t>
            </w:r>
          </w:p>
        </w:tc>
        <w:tc>
          <w:tcPr>
            <w:tcW w:w="702" w:type="dxa"/>
            <w:vAlign w:val="top"/>
          </w:tcPr>
          <w:p>
            <w:pPr>
              <w:pStyle w:val="6"/>
              <w:spacing w:before="56" w:line="178" w:lineRule="auto"/>
              <w:ind w:left="135"/>
            </w:pPr>
            <w:r>
              <w:rPr>
                <w:spacing w:val="-5"/>
              </w:rPr>
              <w:t>162.4</w:t>
            </w:r>
          </w:p>
        </w:tc>
        <w:tc>
          <w:tcPr>
            <w:tcW w:w="674" w:type="dxa"/>
            <w:vAlign w:val="top"/>
          </w:tcPr>
          <w:p>
            <w:pPr>
              <w:pStyle w:val="6"/>
              <w:spacing w:before="56" w:line="178" w:lineRule="auto"/>
              <w:ind w:left="121"/>
            </w:pPr>
            <w:r>
              <w:rPr>
                <w:spacing w:val="-5"/>
              </w:rPr>
              <w:t>167.0</w:t>
            </w:r>
          </w:p>
        </w:tc>
        <w:tc>
          <w:tcPr>
            <w:tcW w:w="677" w:type="dxa"/>
            <w:vAlign w:val="top"/>
          </w:tcPr>
          <w:p>
            <w:pPr>
              <w:pStyle w:val="6"/>
              <w:spacing w:before="56" w:line="178" w:lineRule="auto"/>
              <w:ind w:left="123"/>
            </w:pPr>
            <w:r>
              <w:rPr>
                <w:spacing w:val="-5"/>
              </w:rPr>
              <w:t>143.1</w:t>
            </w:r>
          </w:p>
        </w:tc>
        <w:tc>
          <w:tcPr>
            <w:tcW w:w="665" w:type="dxa"/>
            <w:vAlign w:val="top"/>
          </w:tcPr>
          <w:p>
            <w:pPr>
              <w:pStyle w:val="6"/>
              <w:spacing w:before="56" w:line="178" w:lineRule="auto"/>
              <w:ind w:left="121"/>
            </w:pPr>
            <w:r>
              <w:rPr>
                <w:spacing w:val="-7"/>
              </w:rPr>
              <w:t>115.5</w:t>
            </w:r>
          </w:p>
        </w:tc>
        <w:tc>
          <w:tcPr>
            <w:tcW w:w="650" w:type="dxa"/>
            <w:vAlign w:val="top"/>
          </w:tcPr>
          <w:p>
            <w:pPr>
              <w:pStyle w:val="6"/>
              <w:spacing w:before="56" w:line="178" w:lineRule="auto"/>
              <w:ind w:left="146"/>
            </w:pPr>
            <w:r>
              <w:rPr>
                <w:spacing w:val="-2"/>
              </w:rPr>
              <w:t>93.3</w:t>
            </w:r>
          </w:p>
        </w:tc>
        <w:tc>
          <w:tcPr>
            <w:tcW w:w="662" w:type="dxa"/>
            <w:vAlign w:val="top"/>
          </w:tcPr>
          <w:p>
            <w:pPr>
              <w:pStyle w:val="6"/>
              <w:spacing w:before="56" w:line="178" w:lineRule="auto"/>
              <w:ind w:left="153"/>
            </w:pPr>
            <w:r>
              <w:rPr>
                <w:spacing w:val="-2"/>
              </w:rPr>
              <w:t>72.3</w:t>
            </w:r>
          </w:p>
        </w:tc>
        <w:tc>
          <w:tcPr>
            <w:tcW w:w="623" w:type="dxa"/>
            <w:vAlign w:val="top"/>
          </w:tcPr>
          <w:p>
            <w:pPr>
              <w:pStyle w:val="6"/>
              <w:spacing w:before="59" w:line="175" w:lineRule="auto"/>
              <w:ind w:left="135"/>
            </w:pPr>
            <w:r>
              <w:rPr>
                <w:spacing w:val="-3"/>
              </w:rPr>
              <w:t>57.5</w:t>
            </w:r>
          </w:p>
        </w:tc>
        <w:tc>
          <w:tcPr>
            <w:tcW w:w="674" w:type="dxa"/>
            <w:vAlign w:val="top"/>
          </w:tcPr>
          <w:p>
            <w:pPr>
              <w:pStyle w:val="6"/>
              <w:spacing w:before="56" w:line="178" w:lineRule="auto"/>
              <w:ind w:left="152"/>
            </w:pPr>
            <w:r>
              <w:rPr>
                <w:spacing w:val="-1"/>
              </w:rPr>
              <w:t>47.6</w:t>
            </w:r>
          </w:p>
        </w:tc>
        <w:tc>
          <w:tcPr>
            <w:tcW w:w="623" w:type="dxa"/>
            <w:vAlign w:val="top"/>
          </w:tcPr>
          <w:p>
            <w:pPr>
              <w:pStyle w:val="6"/>
              <w:spacing w:before="56" w:line="178" w:lineRule="auto"/>
              <w:ind w:left="134"/>
            </w:pPr>
            <w:r>
              <w:rPr>
                <w:spacing w:val="-3"/>
              </w:rPr>
              <w:t>50.6</w:t>
            </w:r>
          </w:p>
        </w:tc>
        <w:tc>
          <w:tcPr>
            <w:tcW w:w="622" w:type="dxa"/>
            <w:vAlign w:val="top"/>
          </w:tcPr>
          <w:p>
            <w:pPr>
              <w:pStyle w:val="6"/>
              <w:spacing w:before="56" w:line="178" w:lineRule="auto"/>
              <w:ind w:left="127"/>
            </w:pPr>
            <w:r>
              <w:rPr>
                <w:spacing w:val="-1"/>
              </w:rPr>
              <w:t>40.7</w:t>
            </w:r>
          </w:p>
        </w:tc>
        <w:tc>
          <w:tcPr>
            <w:tcW w:w="615" w:type="dxa"/>
            <w:tcBorders>
              <w:right w:val="nil"/>
            </w:tcBorders>
            <w:vAlign w:val="top"/>
          </w:tcPr>
          <w:p>
            <w:pPr>
              <w:pStyle w:val="6"/>
              <w:spacing w:before="56" w:line="178" w:lineRule="auto"/>
              <w:ind w:left="126"/>
            </w:pPr>
            <w:r>
              <w:rPr>
                <w:spacing w:val="-1"/>
              </w:rPr>
              <w:t>46.9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 w:hRule="atLeast"/>
        </w:trPr>
        <w:tc>
          <w:tcPr>
            <w:tcW w:w="597" w:type="dxa"/>
            <w:vMerge w:val="continue"/>
            <w:tcBorders>
              <w:top w:val="nil"/>
              <w:left w:val="nil"/>
              <w:bottom w:val="nil"/>
            </w:tcBorders>
            <w:vAlign w:val="top"/>
          </w:tcPr>
          <w:p>
            <w:pPr>
              <w:rPr>
                <w:rFonts w:ascii="Arial"/>
                <w:sz w:val="21"/>
              </w:rPr>
            </w:pPr>
          </w:p>
        </w:tc>
        <w:tc>
          <w:tcPr>
            <w:tcW w:w="552" w:type="dxa"/>
            <w:vAlign w:val="top"/>
          </w:tcPr>
          <w:p>
            <w:pPr>
              <w:pStyle w:val="6"/>
              <w:spacing w:before="55" w:line="179" w:lineRule="auto"/>
              <w:ind w:left="90"/>
            </w:pPr>
            <w:r>
              <w:rPr>
                <w:spacing w:val="-2"/>
              </w:rPr>
              <w:t>50%</w:t>
            </w:r>
          </w:p>
        </w:tc>
        <w:tc>
          <w:tcPr>
            <w:tcW w:w="622" w:type="dxa"/>
            <w:vAlign w:val="top"/>
          </w:tcPr>
          <w:p>
            <w:pPr>
              <w:pStyle w:val="6"/>
              <w:spacing w:before="55" w:line="179" w:lineRule="auto"/>
              <w:ind w:left="133"/>
            </w:pPr>
            <w:r>
              <w:rPr>
                <w:spacing w:val="-2"/>
              </w:rPr>
              <w:t>60.6</w:t>
            </w:r>
          </w:p>
        </w:tc>
        <w:tc>
          <w:tcPr>
            <w:tcW w:w="702" w:type="dxa"/>
            <w:vAlign w:val="top"/>
          </w:tcPr>
          <w:p>
            <w:pPr>
              <w:pStyle w:val="6"/>
              <w:spacing w:before="55" w:line="179" w:lineRule="auto"/>
              <w:ind w:left="135"/>
            </w:pPr>
            <w:r>
              <w:rPr>
                <w:spacing w:val="-5"/>
              </w:rPr>
              <w:t>159.5</w:t>
            </w:r>
          </w:p>
        </w:tc>
        <w:tc>
          <w:tcPr>
            <w:tcW w:w="674" w:type="dxa"/>
            <w:vAlign w:val="top"/>
          </w:tcPr>
          <w:p>
            <w:pPr>
              <w:pStyle w:val="6"/>
              <w:spacing w:before="55" w:line="179" w:lineRule="auto"/>
              <w:ind w:left="121"/>
            </w:pPr>
            <w:r>
              <w:rPr>
                <w:spacing w:val="-5"/>
              </w:rPr>
              <w:t>156.9</w:t>
            </w:r>
          </w:p>
        </w:tc>
        <w:tc>
          <w:tcPr>
            <w:tcW w:w="677" w:type="dxa"/>
            <w:vAlign w:val="top"/>
          </w:tcPr>
          <w:p>
            <w:pPr>
              <w:pStyle w:val="6"/>
              <w:spacing w:before="55" w:line="179" w:lineRule="auto"/>
              <w:ind w:left="123"/>
            </w:pPr>
            <w:r>
              <w:rPr>
                <w:spacing w:val="-5"/>
              </w:rPr>
              <w:t>170.4</w:t>
            </w:r>
          </w:p>
        </w:tc>
        <w:tc>
          <w:tcPr>
            <w:tcW w:w="665" w:type="dxa"/>
            <w:vAlign w:val="top"/>
          </w:tcPr>
          <w:p>
            <w:pPr>
              <w:pStyle w:val="6"/>
              <w:spacing w:before="55" w:line="179" w:lineRule="auto"/>
              <w:ind w:left="156"/>
            </w:pPr>
            <w:r>
              <w:rPr>
                <w:spacing w:val="-3"/>
              </w:rPr>
              <w:t>59.7</w:t>
            </w:r>
          </w:p>
        </w:tc>
        <w:tc>
          <w:tcPr>
            <w:tcW w:w="650" w:type="dxa"/>
            <w:vAlign w:val="top"/>
          </w:tcPr>
          <w:p>
            <w:pPr>
              <w:pStyle w:val="6"/>
              <w:spacing w:before="55" w:line="179" w:lineRule="auto"/>
              <w:ind w:left="146"/>
            </w:pPr>
            <w:r>
              <w:rPr>
                <w:spacing w:val="-2"/>
              </w:rPr>
              <w:t>38.8</w:t>
            </w:r>
          </w:p>
        </w:tc>
        <w:tc>
          <w:tcPr>
            <w:tcW w:w="662" w:type="dxa"/>
            <w:vAlign w:val="top"/>
          </w:tcPr>
          <w:p>
            <w:pPr>
              <w:pStyle w:val="6"/>
              <w:spacing w:before="55" w:line="179" w:lineRule="auto"/>
              <w:ind w:left="148"/>
            </w:pPr>
            <w:r>
              <w:rPr>
                <w:spacing w:val="-1"/>
              </w:rPr>
              <w:t>40.1</w:t>
            </w:r>
          </w:p>
        </w:tc>
        <w:tc>
          <w:tcPr>
            <w:tcW w:w="623" w:type="dxa"/>
            <w:vAlign w:val="top"/>
          </w:tcPr>
          <w:p>
            <w:pPr>
              <w:pStyle w:val="6"/>
              <w:spacing w:before="55" w:line="179" w:lineRule="auto"/>
              <w:ind w:left="133"/>
            </w:pPr>
            <w:r>
              <w:rPr>
                <w:spacing w:val="-2"/>
              </w:rPr>
              <w:t>37.6</w:t>
            </w:r>
          </w:p>
        </w:tc>
        <w:tc>
          <w:tcPr>
            <w:tcW w:w="674" w:type="dxa"/>
            <w:vAlign w:val="top"/>
          </w:tcPr>
          <w:p>
            <w:pPr>
              <w:pStyle w:val="6"/>
              <w:spacing w:before="55" w:line="179" w:lineRule="auto"/>
              <w:ind w:left="153"/>
            </w:pPr>
            <w:r>
              <w:rPr>
                <w:spacing w:val="-1"/>
              </w:rPr>
              <w:t>28.3</w:t>
            </w:r>
          </w:p>
        </w:tc>
        <w:tc>
          <w:tcPr>
            <w:tcW w:w="623" w:type="dxa"/>
            <w:vAlign w:val="top"/>
          </w:tcPr>
          <w:p>
            <w:pPr>
              <w:pStyle w:val="6"/>
              <w:spacing w:before="55" w:line="179" w:lineRule="auto"/>
              <w:ind w:left="129"/>
            </w:pPr>
            <w:r>
              <w:rPr>
                <w:spacing w:val="-1"/>
              </w:rPr>
              <w:t>26.1</w:t>
            </w:r>
          </w:p>
        </w:tc>
        <w:tc>
          <w:tcPr>
            <w:tcW w:w="622" w:type="dxa"/>
            <w:vAlign w:val="top"/>
          </w:tcPr>
          <w:p>
            <w:pPr>
              <w:pStyle w:val="6"/>
              <w:spacing w:before="55" w:line="179" w:lineRule="auto"/>
              <w:ind w:left="128"/>
            </w:pPr>
            <w:r>
              <w:rPr>
                <w:spacing w:val="-1"/>
              </w:rPr>
              <w:t>25.2</w:t>
            </w:r>
          </w:p>
        </w:tc>
        <w:tc>
          <w:tcPr>
            <w:tcW w:w="615" w:type="dxa"/>
            <w:tcBorders>
              <w:right w:val="nil"/>
            </w:tcBorders>
            <w:vAlign w:val="top"/>
          </w:tcPr>
          <w:p>
            <w:pPr>
              <w:pStyle w:val="6"/>
              <w:spacing w:before="55" w:line="179" w:lineRule="auto"/>
              <w:ind w:left="127"/>
            </w:pPr>
            <w:r>
              <w:rPr>
                <w:spacing w:val="-1"/>
              </w:rPr>
              <w:t>26.4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 w:hRule="atLeast"/>
        </w:trPr>
        <w:tc>
          <w:tcPr>
            <w:tcW w:w="597" w:type="dxa"/>
            <w:vMerge w:val="continue"/>
            <w:tcBorders>
              <w:top w:val="nil"/>
              <w:left w:val="nil"/>
              <w:bottom w:val="nil"/>
            </w:tcBorders>
            <w:vAlign w:val="top"/>
          </w:tcPr>
          <w:p>
            <w:pPr>
              <w:rPr>
                <w:rFonts w:ascii="Arial"/>
                <w:sz w:val="21"/>
              </w:rPr>
            </w:pPr>
          </w:p>
        </w:tc>
        <w:tc>
          <w:tcPr>
            <w:tcW w:w="552" w:type="dxa"/>
            <w:vAlign w:val="top"/>
          </w:tcPr>
          <w:p>
            <w:pPr>
              <w:pStyle w:val="6"/>
              <w:spacing w:before="55" w:line="178" w:lineRule="auto"/>
              <w:ind w:left="87"/>
            </w:pPr>
            <w:r>
              <w:rPr>
                <w:spacing w:val="-3"/>
              </w:rPr>
              <w:t>75%</w:t>
            </w:r>
          </w:p>
        </w:tc>
        <w:tc>
          <w:tcPr>
            <w:tcW w:w="622" w:type="dxa"/>
            <w:vAlign w:val="top"/>
          </w:tcPr>
          <w:p>
            <w:pPr>
              <w:pStyle w:val="6"/>
              <w:spacing w:before="56" w:line="177" w:lineRule="auto"/>
              <w:ind w:left="128"/>
            </w:pPr>
            <w:r>
              <w:rPr>
                <w:spacing w:val="-1"/>
              </w:rPr>
              <w:t>29.6</w:t>
            </w:r>
          </w:p>
        </w:tc>
        <w:tc>
          <w:tcPr>
            <w:tcW w:w="702" w:type="dxa"/>
            <w:vAlign w:val="top"/>
          </w:tcPr>
          <w:p>
            <w:pPr>
              <w:pStyle w:val="6"/>
              <w:spacing w:before="56" w:line="177" w:lineRule="auto"/>
              <w:ind w:left="176"/>
            </w:pPr>
            <w:r>
              <w:rPr>
                <w:spacing w:val="-3"/>
              </w:rPr>
              <w:t>88.2</w:t>
            </w:r>
          </w:p>
        </w:tc>
        <w:tc>
          <w:tcPr>
            <w:tcW w:w="674" w:type="dxa"/>
            <w:vAlign w:val="top"/>
          </w:tcPr>
          <w:p>
            <w:pPr>
              <w:pStyle w:val="6"/>
              <w:spacing w:before="56" w:line="177" w:lineRule="auto"/>
              <w:ind w:left="121"/>
            </w:pPr>
            <w:r>
              <w:rPr>
                <w:spacing w:val="-5"/>
              </w:rPr>
              <w:t>190.1</w:t>
            </w:r>
          </w:p>
        </w:tc>
        <w:tc>
          <w:tcPr>
            <w:tcW w:w="677" w:type="dxa"/>
            <w:vAlign w:val="top"/>
          </w:tcPr>
          <w:p>
            <w:pPr>
              <w:pStyle w:val="6"/>
              <w:spacing w:before="56" w:line="177" w:lineRule="auto"/>
              <w:ind w:left="164"/>
            </w:pPr>
            <w:r>
              <w:rPr>
                <w:spacing w:val="-3"/>
              </w:rPr>
              <w:t>81.3</w:t>
            </w:r>
          </w:p>
        </w:tc>
        <w:tc>
          <w:tcPr>
            <w:tcW w:w="665" w:type="dxa"/>
            <w:vAlign w:val="top"/>
          </w:tcPr>
          <w:p>
            <w:pPr>
              <w:pStyle w:val="6"/>
              <w:spacing w:before="56" w:line="177" w:lineRule="auto"/>
              <w:ind w:left="155"/>
            </w:pPr>
            <w:r>
              <w:rPr>
                <w:spacing w:val="-2"/>
              </w:rPr>
              <w:t>64.4</w:t>
            </w:r>
          </w:p>
        </w:tc>
        <w:tc>
          <w:tcPr>
            <w:tcW w:w="650" w:type="dxa"/>
            <w:vAlign w:val="top"/>
          </w:tcPr>
          <w:p>
            <w:pPr>
              <w:pStyle w:val="6"/>
              <w:spacing w:before="56" w:line="177" w:lineRule="auto"/>
              <w:ind w:left="146"/>
            </w:pPr>
            <w:r>
              <w:rPr>
                <w:spacing w:val="-2"/>
              </w:rPr>
              <w:t>33.8</w:t>
            </w:r>
          </w:p>
        </w:tc>
        <w:tc>
          <w:tcPr>
            <w:tcW w:w="662" w:type="dxa"/>
            <w:vAlign w:val="top"/>
          </w:tcPr>
          <w:p>
            <w:pPr>
              <w:pStyle w:val="6"/>
              <w:spacing w:before="56" w:line="177" w:lineRule="auto"/>
              <w:ind w:left="149"/>
            </w:pPr>
            <w:r>
              <w:rPr>
                <w:spacing w:val="-1"/>
              </w:rPr>
              <w:t>25.3</w:t>
            </w:r>
          </w:p>
        </w:tc>
        <w:tc>
          <w:tcPr>
            <w:tcW w:w="623" w:type="dxa"/>
            <w:vAlign w:val="top"/>
          </w:tcPr>
          <w:p>
            <w:pPr>
              <w:pStyle w:val="6"/>
              <w:spacing w:before="56" w:line="177" w:lineRule="auto"/>
              <w:ind w:left="129"/>
            </w:pPr>
            <w:r>
              <w:rPr>
                <w:spacing w:val="-1"/>
              </w:rPr>
              <w:t>25.0</w:t>
            </w:r>
          </w:p>
        </w:tc>
        <w:tc>
          <w:tcPr>
            <w:tcW w:w="674" w:type="dxa"/>
            <w:vAlign w:val="top"/>
          </w:tcPr>
          <w:p>
            <w:pPr>
              <w:pStyle w:val="6"/>
              <w:spacing w:before="56" w:line="177" w:lineRule="auto"/>
              <w:ind w:left="153"/>
            </w:pPr>
            <w:r>
              <w:rPr>
                <w:spacing w:val="-1"/>
              </w:rPr>
              <w:t>20.2</w:t>
            </w:r>
          </w:p>
        </w:tc>
        <w:tc>
          <w:tcPr>
            <w:tcW w:w="623" w:type="dxa"/>
            <w:vAlign w:val="top"/>
          </w:tcPr>
          <w:p>
            <w:pPr>
              <w:pStyle w:val="6"/>
              <w:spacing w:before="56" w:line="177" w:lineRule="auto"/>
              <w:ind w:left="129"/>
            </w:pPr>
            <w:r>
              <w:rPr>
                <w:spacing w:val="-1"/>
              </w:rPr>
              <w:t>22.2</w:t>
            </w:r>
          </w:p>
        </w:tc>
        <w:tc>
          <w:tcPr>
            <w:tcW w:w="622" w:type="dxa"/>
            <w:vAlign w:val="top"/>
          </w:tcPr>
          <w:p>
            <w:pPr>
              <w:pStyle w:val="6"/>
              <w:spacing w:before="56" w:line="177" w:lineRule="auto"/>
              <w:ind w:left="149"/>
            </w:pPr>
            <w:r>
              <w:rPr>
                <w:spacing w:val="-6"/>
              </w:rPr>
              <w:t>19.7</w:t>
            </w:r>
          </w:p>
        </w:tc>
        <w:tc>
          <w:tcPr>
            <w:tcW w:w="615" w:type="dxa"/>
            <w:tcBorders>
              <w:right w:val="nil"/>
            </w:tcBorders>
            <w:vAlign w:val="top"/>
          </w:tcPr>
          <w:p>
            <w:pPr>
              <w:pStyle w:val="6"/>
              <w:spacing w:before="56" w:line="177" w:lineRule="auto"/>
              <w:ind w:left="127"/>
            </w:pPr>
            <w:r>
              <w:rPr>
                <w:spacing w:val="-1"/>
              </w:rPr>
              <w:t>21.5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 w:hRule="atLeast"/>
        </w:trPr>
        <w:tc>
          <w:tcPr>
            <w:tcW w:w="597" w:type="dxa"/>
            <w:vMerge w:val="continue"/>
            <w:tcBorders>
              <w:top w:val="nil"/>
              <w:left w:val="nil"/>
            </w:tcBorders>
            <w:vAlign w:val="top"/>
          </w:tcPr>
          <w:p>
            <w:pPr>
              <w:rPr>
                <w:rFonts w:ascii="Arial"/>
                <w:sz w:val="21"/>
              </w:rPr>
            </w:pPr>
          </w:p>
        </w:tc>
        <w:tc>
          <w:tcPr>
            <w:tcW w:w="552" w:type="dxa"/>
            <w:vAlign w:val="top"/>
          </w:tcPr>
          <w:p>
            <w:pPr>
              <w:pStyle w:val="6"/>
              <w:spacing w:before="57" w:line="177" w:lineRule="auto"/>
              <w:ind w:left="88"/>
            </w:pPr>
            <w:r>
              <w:rPr>
                <w:spacing w:val="-3"/>
              </w:rPr>
              <w:t>95%</w:t>
            </w:r>
          </w:p>
        </w:tc>
        <w:tc>
          <w:tcPr>
            <w:tcW w:w="622" w:type="dxa"/>
            <w:vAlign w:val="top"/>
          </w:tcPr>
          <w:p>
            <w:pPr>
              <w:pStyle w:val="6"/>
              <w:spacing w:before="58" w:line="176" w:lineRule="auto"/>
              <w:ind w:left="149"/>
            </w:pPr>
            <w:r>
              <w:rPr>
                <w:spacing w:val="-6"/>
              </w:rPr>
              <w:t>18.6</w:t>
            </w:r>
          </w:p>
        </w:tc>
        <w:tc>
          <w:tcPr>
            <w:tcW w:w="702" w:type="dxa"/>
            <w:vAlign w:val="top"/>
          </w:tcPr>
          <w:p>
            <w:pPr>
              <w:pStyle w:val="6"/>
              <w:spacing w:before="58" w:line="176" w:lineRule="auto"/>
              <w:ind w:left="173"/>
            </w:pPr>
            <w:r>
              <w:rPr>
                <w:spacing w:val="-3"/>
              </w:rPr>
              <w:t>55.3</w:t>
            </w:r>
          </w:p>
        </w:tc>
        <w:tc>
          <w:tcPr>
            <w:tcW w:w="674" w:type="dxa"/>
            <w:vAlign w:val="top"/>
          </w:tcPr>
          <w:p>
            <w:pPr>
              <w:pStyle w:val="6"/>
              <w:spacing w:before="58" w:line="176" w:lineRule="auto"/>
              <w:ind w:left="125"/>
            </w:pPr>
            <w:r>
              <w:rPr>
                <w:spacing w:val="-7"/>
              </w:rPr>
              <w:t>119.1</w:t>
            </w:r>
          </w:p>
        </w:tc>
        <w:tc>
          <w:tcPr>
            <w:tcW w:w="677" w:type="dxa"/>
            <w:vAlign w:val="top"/>
          </w:tcPr>
          <w:p>
            <w:pPr>
              <w:pStyle w:val="6"/>
              <w:spacing w:before="58" w:line="176" w:lineRule="auto"/>
              <w:ind w:left="162"/>
            </w:pPr>
            <w:r>
              <w:rPr>
                <w:spacing w:val="-3"/>
              </w:rPr>
              <w:t>51.0</w:t>
            </w:r>
          </w:p>
        </w:tc>
        <w:tc>
          <w:tcPr>
            <w:tcW w:w="665" w:type="dxa"/>
            <w:vAlign w:val="top"/>
          </w:tcPr>
          <w:p>
            <w:pPr>
              <w:pStyle w:val="6"/>
              <w:spacing w:before="58" w:line="176" w:lineRule="auto"/>
              <w:ind w:left="149"/>
            </w:pPr>
            <w:r>
              <w:rPr>
                <w:spacing w:val="-1"/>
              </w:rPr>
              <w:t>40.4</w:t>
            </w:r>
          </w:p>
        </w:tc>
        <w:tc>
          <w:tcPr>
            <w:tcW w:w="650" w:type="dxa"/>
            <w:vAlign w:val="top"/>
          </w:tcPr>
          <w:p>
            <w:pPr>
              <w:pStyle w:val="6"/>
              <w:spacing w:before="58" w:line="176" w:lineRule="auto"/>
              <w:ind w:left="142"/>
            </w:pPr>
            <w:r>
              <w:rPr>
                <w:spacing w:val="-1"/>
              </w:rPr>
              <w:t>21.2</w:t>
            </w:r>
          </w:p>
        </w:tc>
        <w:tc>
          <w:tcPr>
            <w:tcW w:w="662" w:type="dxa"/>
            <w:vAlign w:val="top"/>
          </w:tcPr>
          <w:p>
            <w:pPr>
              <w:pStyle w:val="6"/>
              <w:spacing w:before="58" w:line="176" w:lineRule="auto"/>
              <w:ind w:left="169"/>
            </w:pPr>
            <w:r>
              <w:rPr>
                <w:spacing w:val="-6"/>
              </w:rPr>
              <w:t>15.9</w:t>
            </w:r>
          </w:p>
        </w:tc>
        <w:tc>
          <w:tcPr>
            <w:tcW w:w="623" w:type="dxa"/>
            <w:vAlign w:val="top"/>
          </w:tcPr>
          <w:p>
            <w:pPr>
              <w:pStyle w:val="6"/>
              <w:spacing w:before="58" w:line="176" w:lineRule="auto"/>
              <w:ind w:left="149"/>
            </w:pPr>
            <w:r>
              <w:rPr>
                <w:spacing w:val="-6"/>
              </w:rPr>
              <w:t>15.7</w:t>
            </w:r>
          </w:p>
        </w:tc>
        <w:tc>
          <w:tcPr>
            <w:tcW w:w="674" w:type="dxa"/>
            <w:vAlign w:val="top"/>
          </w:tcPr>
          <w:p>
            <w:pPr>
              <w:pStyle w:val="6"/>
              <w:spacing w:before="58" w:line="176" w:lineRule="auto"/>
              <w:ind w:left="173"/>
            </w:pPr>
            <w:r>
              <w:rPr>
                <w:spacing w:val="-6"/>
              </w:rPr>
              <w:t>12.7</w:t>
            </w:r>
          </w:p>
        </w:tc>
        <w:tc>
          <w:tcPr>
            <w:tcW w:w="623" w:type="dxa"/>
            <w:vAlign w:val="top"/>
          </w:tcPr>
          <w:p>
            <w:pPr>
              <w:pStyle w:val="6"/>
              <w:spacing w:before="58" w:line="176" w:lineRule="auto"/>
              <w:ind w:left="149"/>
            </w:pPr>
            <w:r>
              <w:rPr>
                <w:spacing w:val="-6"/>
              </w:rPr>
              <w:t>13.9</w:t>
            </w:r>
          </w:p>
        </w:tc>
        <w:tc>
          <w:tcPr>
            <w:tcW w:w="622" w:type="dxa"/>
            <w:vAlign w:val="top"/>
          </w:tcPr>
          <w:p>
            <w:pPr>
              <w:pStyle w:val="6"/>
              <w:spacing w:before="58" w:line="176" w:lineRule="auto"/>
              <w:ind w:left="149"/>
            </w:pPr>
            <w:r>
              <w:rPr>
                <w:spacing w:val="-6"/>
              </w:rPr>
              <w:t>12.3</w:t>
            </w:r>
          </w:p>
        </w:tc>
        <w:tc>
          <w:tcPr>
            <w:tcW w:w="615" w:type="dxa"/>
            <w:tcBorders>
              <w:right w:val="nil"/>
            </w:tcBorders>
            <w:vAlign w:val="top"/>
          </w:tcPr>
          <w:p>
            <w:pPr>
              <w:pStyle w:val="6"/>
              <w:spacing w:before="58" w:line="176" w:lineRule="auto"/>
              <w:ind w:left="147"/>
            </w:pPr>
            <w:r>
              <w:rPr>
                <w:spacing w:val="-6"/>
              </w:rPr>
              <w:t>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 w:hRule="atLeast"/>
        </w:trPr>
        <w:tc>
          <w:tcPr>
            <w:tcW w:w="597" w:type="dxa"/>
            <w:vMerge w:val="restart"/>
            <w:tcBorders>
              <w:left w:val="nil"/>
              <w:bottom w:val="nil"/>
            </w:tcBorders>
            <w:vAlign w:val="top"/>
          </w:tcPr>
          <w:p>
            <w:pPr>
              <w:spacing w:before="129" w:line="232" w:lineRule="auto"/>
              <w:ind w:left="98" w:right="89" w:firstLine="4"/>
              <w:jc w:val="both"/>
              <w:rPr>
                <w:rFonts w:ascii="仿宋" w:hAnsi="仿宋" w:eastAsia="仿宋" w:cs="仿宋"/>
                <w:sz w:val="21"/>
                <w:szCs w:val="21"/>
              </w:rPr>
            </w:pPr>
            <w:r>
              <w:rPr>
                <w:rFonts w:ascii="仿宋" w:hAnsi="仿宋" w:eastAsia="仿宋" w:cs="仿宋"/>
                <w:spacing w:val="-10"/>
                <w:sz w:val="21"/>
                <w:szCs w:val="21"/>
              </w:rPr>
              <w:t>马茨</w:t>
            </w:r>
            <w:r>
              <w:rPr>
                <w:rFonts w:ascii="仿宋" w:hAnsi="仿宋" w:eastAsia="仿宋" w:cs="仿宋"/>
                <w:sz w:val="21"/>
                <w:szCs w:val="21"/>
              </w:rPr>
              <w:t xml:space="preserve"> </w:t>
            </w:r>
            <w:r>
              <w:rPr>
                <w:rFonts w:ascii="仿宋" w:hAnsi="仿宋" w:eastAsia="仿宋" w:cs="仿宋"/>
                <w:spacing w:val="-7"/>
                <w:sz w:val="21"/>
                <w:szCs w:val="21"/>
              </w:rPr>
              <w:t>河取</w:t>
            </w:r>
            <w:r>
              <w:rPr>
                <w:rFonts w:ascii="仿宋" w:hAnsi="仿宋" w:eastAsia="仿宋" w:cs="仿宋"/>
                <w:sz w:val="21"/>
                <w:szCs w:val="21"/>
              </w:rPr>
              <w:t xml:space="preserve"> </w:t>
            </w:r>
            <w:r>
              <w:rPr>
                <w:rFonts w:ascii="仿宋" w:hAnsi="仿宋" w:eastAsia="仿宋" w:cs="仿宋"/>
                <w:spacing w:val="-7"/>
                <w:sz w:val="21"/>
                <w:szCs w:val="21"/>
              </w:rPr>
              <w:t>水坝</w:t>
            </w:r>
          </w:p>
        </w:tc>
        <w:tc>
          <w:tcPr>
            <w:tcW w:w="552" w:type="dxa"/>
            <w:vAlign w:val="top"/>
          </w:tcPr>
          <w:p>
            <w:pPr>
              <w:pStyle w:val="6"/>
              <w:spacing w:before="58" w:line="175" w:lineRule="auto"/>
              <w:ind w:left="84"/>
            </w:pPr>
            <w:r>
              <w:rPr>
                <w:spacing w:val="-1"/>
              </w:rPr>
              <w:t>25%</w:t>
            </w:r>
          </w:p>
        </w:tc>
        <w:tc>
          <w:tcPr>
            <w:tcW w:w="622" w:type="dxa"/>
            <w:vAlign w:val="top"/>
          </w:tcPr>
          <w:p>
            <w:pPr>
              <w:pStyle w:val="6"/>
              <w:spacing w:before="58" w:line="175" w:lineRule="auto"/>
              <w:ind w:left="81"/>
            </w:pPr>
            <w:r>
              <w:rPr>
                <w:spacing w:val="-2"/>
              </w:rPr>
              <w:t>53.28</w:t>
            </w:r>
          </w:p>
        </w:tc>
        <w:tc>
          <w:tcPr>
            <w:tcW w:w="702" w:type="dxa"/>
            <w:vAlign w:val="top"/>
          </w:tcPr>
          <w:p>
            <w:pPr>
              <w:pStyle w:val="6"/>
              <w:spacing w:before="58" w:line="175" w:lineRule="auto"/>
              <w:ind w:left="83"/>
            </w:pPr>
            <w:r>
              <w:rPr>
                <w:spacing w:val="-4"/>
              </w:rPr>
              <w:t>103.90</w:t>
            </w:r>
          </w:p>
        </w:tc>
        <w:tc>
          <w:tcPr>
            <w:tcW w:w="674" w:type="dxa"/>
            <w:vAlign w:val="top"/>
          </w:tcPr>
          <w:p>
            <w:pPr>
              <w:pStyle w:val="6"/>
              <w:spacing w:before="58" w:line="175" w:lineRule="auto"/>
              <w:ind w:left="69"/>
            </w:pPr>
            <w:r>
              <w:rPr>
                <w:spacing w:val="-4"/>
              </w:rPr>
              <w:t>106.82</w:t>
            </w:r>
          </w:p>
        </w:tc>
        <w:tc>
          <w:tcPr>
            <w:tcW w:w="677" w:type="dxa"/>
            <w:vAlign w:val="top"/>
          </w:tcPr>
          <w:p>
            <w:pPr>
              <w:pStyle w:val="6"/>
              <w:spacing w:before="58" w:line="175" w:lineRule="auto"/>
              <w:ind w:left="107"/>
            </w:pPr>
            <w:r>
              <w:rPr>
                <w:spacing w:val="-2"/>
              </w:rPr>
              <w:t>91.52</w:t>
            </w:r>
          </w:p>
        </w:tc>
        <w:tc>
          <w:tcPr>
            <w:tcW w:w="665" w:type="dxa"/>
            <w:vAlign w:val="top"/>
          </w:tcPr>
          <w:p>
            <w:pPr>
              <w:pStyle w:val="6"/>
              <w:spacing w:before="58" w:line="175" w:lineRule="auto"/>
              <w:ind w:left="101"/>
            </w:pPr>
            <w:r>
              <w:rPr>
                <w:spacing w:val="-2"/>
              </w:rPr>
              <w:t>73.90</w:t>
            </w:r>
          </w:p>
        </w:tc>
        <w:tc>
          <w:tcPr>
            <w:tcW w:w="650" w:type="dxa"/>
            <w:vAlign w:val="top"/>
          </w:tcPr>
          <w:p>
            <w:pPr>
              <w:pStyle w:val="6"/>
              <w:spacing w:before="58" w:line="175" w:lineRule="auto"/>
              <w:ind w:left="94"/>
            </w:pPr>
            <w:r>
              <w:rPr>
                <w:spacing w:val="-2"/>
              </w:rPr>
              <w:t>59.66</w:t>
            </w:r>
          </w:p>
        </w:tc>
        <w:tc>
          <w:tcPr>
            <w:tcW w:w="662" w:type="dxa"/>
            <w:vAlign w:val="top"/>
          </w:tcPr>
          <w:p>
            <w:pPr>
              <w:pStyle w:val="6"/>
              <w:spacing w:before="58" w:line="175" w:lineRule="auto"/>
              <w:ind w:left="95"/>
            </w:pPr>
            <w:r>
              <w:rPr>
                <w:spacing w:val="-1"/>
              </w:rPr>
              <w:t>46.28</w:t>
            </w:r>
          </w:p>
        </w:tc>
        <w:tc>
          <w:tcPr>
            <w:tcW w:w="623" w:type="dxa"/>
            <w:vAlign w:val="top"/>
          </w:tcPr>
          <w:p>
            <w:pPr>
              <w:pStyle w:val="6"/>
              <w:spacing w:before="58" w:line="175" w:lineRule="auto"/>
              <w:ind w:left="81"/>
            </w:pPr>
            <w:r>
              <w:rPr>
                <w:spacing w:val="-2"/>
              </w:rPr>
              <w:t>36.77</w:t>
            </w:r>
          </w:p>
        </w:tc>
        <w:tc>
          <w:tcPr>
            <w:tcW w:w="674" w:type="dxa"/>
            <w:vAlign w:val="top"/>
          </w:tcPr>
          <w:p>
            <w:pPr>
              <w:pStyle w:val="6"/>
              <w:spacing w:before="58" w:line="175" w:lineRule="auto"/>
              <w:ind w:left="104"/>
            </w:pPr>
            <w:r>
              <w:rPr>
                <w:spacing w:val="-2"/>
              </w:rPr>
              <w:t>30.46</w:t>
            </w:r>
          </w:p>
        </w:tc>
        <w:tc>
          <w:tcPr>
            <w:tcW w:w="623" w:type="dxa"/>
            <w:vAlign w:val="top"/>
          </w:tcPr>
          <w:p>
            <w:pPr>
              <w:pStyle w:val="6"/>
              <w:spacing w:before="58" w:line="175" w:lineRule="auto"/>
              <w:ind w:left="80"/>
            </w:pPr>
            <w:r>
              <w:rPr>
                <w:spacing w:val="-2"/>
              </w:rPr>
              <w:t>32.38</w:t>
            </w:r>
          </w:p>
        </w:tc>
        <w:tc>
          <w:tcPr>
            <w:tcW w:w="622" w:type="dxa"/>
            <w:vAlign w:val="top"/>
          </w:tcPr>
          <w:p>
            <w:pPr>
              <w:pStyle w:val="6"/>
              <w:spacing w:before="58" w:line="175" w:lineRule="auto"/>
              <w:ind w:left="76"/>
            </w:pPr>
            <w:r>
              <w:rPr>
                <w:spacing w:val="-1"/>
              </w:rPr>
              <w:t>26.02</w:t>
            </w:r>
          </w:p>
        </w:tc>
        <w:tc>
          <w:tcPr>
            <w:tcW w:w="615" w:type="dxa"/>
            <w:tcBorders>
              <w:right w:val="nil"/>
            </w:tcBorders>
            <w:vAlign w:val="top"/>
          </w:tcPr>
          <w:p>
            <w:pPr>
              <w:pStyle w:val="6"/>
              <w:spacing w:before="58" w:line="175" w:lineRule="auto"/>
              <w:ind w:left="78"/>
            </w:pPr>
            <w:r>
              <w:rPr>
                <w:spacing w:val="-2"/>
              </w:rPr>
              <w:t>30.00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 w:hRule="atLeast"/>
        </w:trPr>
        <w:tc>
          <w:tcPr>
            <w:tcW w:w="597" w:type="dxa"/>
            <w:vMerge w:val="continue"/>
            <w:tcBorders>
              <w:top w:val="nil"/>
              <w:left w:val="nil"/>
              <w:bottom w:val="nil"/>
            </w:tcBorders>
            <w:vAlign w:val="top"/>
          </w:tcPr>
          <w:p>
            <w:pPr>
              <w:rPr>
                <w:rFonts w:ascii="Arial"/>
                <w:sz w:val="21"/>
              </w:rPr>
            </w:pPr>
          </w:p>
        </w:tc>
        <w:tc>
          <w:tcPr>
            <w:tcW w:w="552" w:type="dxa"/>
            <w:vAlign w:val="top"/>
          </w:tcPr>
          <w:p>
            <w:pPr>
              <w:pStyle w:val="6"/>
              <w:spacing w:before="60" w:line="174" w:lineRule="auto"/>
              <w:ind w:left="90"/>
            </w:pPr>
            <w:r>
              <w:rPr>
                <w:spacing w:val="-2"/>
              </w:rPr>
              <w:t>50%</w:t>
            </w:r>
          </w:p>
        </w:tc>
        <w:tc>
          <w:tcPr>
            <w:tcW w:w="622" w:type="dxa"/>
            <w:vAlign w:val="top"/>
          </w:tcPr>
          <w:p>
            <w:pPr>
              <w:pStyle w:val="6"/>
              <w:spacing w:before="60" w:line="174" w:lineRule="auto"/>
              <w:ind w:left="80"/>
            </w:pPr>
            <w:r>
              <w:rPr>
                <w:spacing w:val="-2"/>
              </w:rPr>
              <w:t>38.23</w:t>
            </w:r>
          </w:p>
        </w:tc>
        <w:tc>
          <w:tcPr>
            <w:tcW w:w="702" w:type="dxa"/>
            <w:vAlign w:val="top"/>
          </w:tcPr>
          <w:p>
            <w:pPr>
              <w:pStyle w:val="6"/>
              <w:spacing w:before="60" w:line="174" w:lineRule="auto"/>
              <w:ind w:left="83"/>
            </w:pPr>
            <w:r>
              <w:rPr>
                <w:spacing w:val="-4"/>
              </w:rPr>
              <w:t>100.70</w:t>
            </w:r>
          </w:p>
        </w:tc>
        <w:tc>
          <w:tcPr>
            <w:tcW w:w="674" w:type="dxa"/>
            <w:vAlign w:val="top"/>
          </w:tcPr>
          <w:p>
            <w:pPr>
              <w:pStyle w:val="6"/>
              <w:spacing w:before="60" w:line="174" w:lineRule="auto"/>
              <w:ind w:left="104"/>
            </w:pPr>
            <w:r>
              <w:rPr>
                <w:spacing w:val="-2"/>
              </w:rPr>
              <w:t>99.05</w:t>
            </w:r>
          </w:p>
        </w:tc>
        <w:tc>
          <w:tcPr>
            <w:tcW w:w="677" w:type="dxa"/>
            <w:vAlign w:val="top"/>
          </w:tcPr>
          <w:p>
            <w:pPr>
              <w:pStyle w:val="6"/>
              <w:spacing w:before="60" w:line="174" w:lineRule="auto"/>
              <w:ind w:left="71"/>
            </w:pPr>
            <w:r>
              <w:rPr>
                <w:spacing w:val="-4"/>
              </w:rPr>
              <w:t>107.57</w:t>
            </w:r>
          </w:p>
        </w:tc>
        <w:tc>
          <w:tcPr>
            <w:tcW w:w="665" w:type="dxa"/>
            <w:vAlign w:val="top"/>
          </w:tcPr>
          <w:p>
            <w:pPr>
              <w:pStyle w:val="6"/>
              <w:spacing w:before="60" w:line="174" w:lineRule="auto"/>
              <w:ind w:left="102"/>
            </w:pPr>
            <w:r>
              <w:rPr>
                <w:spacing w:val="-2"/>
              </w:rPr>
              <w:t>37.69</w:t>
            </w:r>
          </w:p>
        </w:tc>
        <w:tc>
          <w:tcPr>
            <w:tcW w:w="650" w:type="dxa"/>
            <w:vAlign w:val="top"/>
          </w:tcPr>
          <w:p>
            <w:pPr>
              <w:pStyle w:val="6"/>
              <w:spacing w:before="60" w:line="174" w:lineRule="auto"/>
              <w:ind w:left="89"/>
            </w:pPr>
            <w:r>
              <w:rPr>
                <w:spacing w:val="-1"/>
              </w:rPr>
              <w:t>24.50</w:t>
            </w:r>
          </w:p>
        </w:tc>
        <w:tc>
          <w:tcPr>
            <w:tcW w:w="662" w:type="dxa"/>
            <w:vAlign w:val="top"/>
          </w:tcPr>
          <w:p>
            <w:pPr>
              <w:pStyle w:val="6"/>
              <w:spacing w:before="60" w:line="174" w:lineRule="auto"/>
              <w:ind w:left="96"/>
            </w:pPr>
            <w:r>
              <w:rPr>
                <w:spacing w:val="-1"/>
              </w:rPr>
              <w:t>25.31</w:t>
            </w:r>
          </w:p>
        </w:tc>
        <w:tc>
          <w:tcPr>
            <w:tcW w:w="623" w:type="dxa"/>
            <w:vAlign w:val="top"/>
          </w:tcPr>
          <w:p>
            <w:pPr>
              <w:pStyle w:val="6"/>
              <w:spacing w:before="60" w:line="174" w:lineRule="auto"/>
              <w:ind w:left="76"/>
            </w:pPr>
            <w:r>
              <w:rPr>
                <w:spacing w:val="-1"/>
              </w:rPr>
              <w:t>23.72</w:t>
            </w:r>
          </w:p>
        </w:tc>
        <w:tc>
          <w:tcPr>
            <w:tcW w:w="674" w:type="dxa"/>
            <w:vAlign w:val="top"/>
          </w:tcPr>
          <w:p>
            <w:pPr>
              <w:pStyle w:val="6"/>
              <w:spacing w:before="60" w:line="174" w:lineRule="auto"/>
              <w:ind w:left="120"/>
            </w:pPr>
            <w:r>
              <w:rPr>
                <w:spacing w:val="-5"/>
              </w:rPr>
              <w:t>17.89</w:t>
            </w:r>
          </w:p>
        </w:tc>
        <w:tc>
          <w:tcPr>
            <w:tcW w:w="623" w:type="dxa"/>
            <w:vAlign w:val="top"/>
          </w:tcPr>
          <w:p>
            <w:pPr>
              <w:pStyle w:val="6"/>
              <w:spacing w:before="60" w:line="174" w:lineRule="auto"/>
              <w:ind w:left="96"/>
            </w:pPr>
            <w:r>
              <w:rPr>
                <w:spacing w:val="-5"/>
              </w:rPr>
              <w:t>16.51</w:t>
            </w:r>
          </w:p>
        </w:tc>
        <w:tc>
          <w:tcPr>
            <w:tcW w:w="622" w:type="dxa"/>
            <w:vAlign w:val="top"/>
          </w:tcPr>
          <w:p>
            <w:pPr>
              <w:pStyle w:val="6"/>
              <w:spacing w:before="60" w:line="174" w:lineRule="auto"/>
              <w:ind w:left="96"/>
            </w:pPr>
            <w:r>
              <w:rPr>
                <w:spacing w:val="-5"/>
              </w:rPr>
              <w:t>15.92</w:t>
            </w:r>
          </w:p>
        </w:tc>
        <w:tc>
          <w:tcPr>
            <w:tcW w:w="615" w:type="dxa"/>
            <w:tcBorders>
              <w:right w:val="nil"/>
            </w:tcBorders>
            <w:vAlign w:val="top"/>
          </w:tcPr>
          <w:p>
            <w:pPr>
              <w:pStyle w:val="6"/>
              <w:spacing w:before="60" w:line="174" w:lineRule="auto"/>
              <w:ind w:left="94"/>
            </w:pPr>
            <w:r>
              <w:rPr>
                <w:spacing w:val="-5"/>
              </w:rPr>
              <w:t>16.67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 w:hRule="atLeast"/>
        </w:trPr>
        <w:tc>
          <w:tcPr>
            <w:tcW w:w="597" w:type="dxa"/>
            <w:vMerge w:val="continue"/>
            <w:tcBorders>
              <w:top w:val="nil"/>
              <w:left w:val="nil"/>
              <w:bottom w:val="nil"/>
            </w:tcBorders>
            <w:vAlign w:val="top"/>
          </w:tcPr>
          <w:p>
            <w:pPr>
              <w:rPr>
                <w:rFonts w:ascii="Arial"/>
                <w:sz w:val="21"/>
              </w:rPr>
            </w:pPr>
          </w:p>
        </w:tc>
        <w:tc>
          <w:tcPr>
            <w:tcW w:w="552" w:type="dxa"/>
            <w:vAlign w:val="top"/>
          </w:tcPr>
          <w:p>
            <w:pPr>
              <w:pStyle w:val="6"/>
              <w:spacing w:before="59" w:line="174" w:lineRule="auto"/>
              <w:ind w:left="87"/>
            </w:pPr>
            <w:r>
              <w:rPr>
                <w:spacing w:val="-3"/>
              </w:rPr>
              <w:t>75%</w:t>
            </w:r>
          </w:p>
        </w:tc>
        <w:tc>
          <w:tcPr>
            <w:tcW w:w="622" w:type="dxa"/>
            <w:vAlign w:val="top"/>
          </w:tcPr>
          <w:p>
            <w:pPr>
              <w:pStyle w:val="6"/>
              <w:spacing w:before="60" w:line="173" w:lineRule="auto"/>
              <w:ind w:left="96"/>
            </w:pPr>
            <w:r>
              <w:rPr>
                <w:spacing w:val="-5"/>
              </w:rPr>
              <w:t>18.40</w:t>
            </w:r>
          </w:p>
        </w:tc>
        <w:tc>
          <w:tcPr>
            <w:tcW w:w="702" w:type="dxa"/>
            <w:vAlign w:val="top"/>
          </w:tcPr>
          <w:p>
            <w:pPr>
              <w:pStyle w:val="6"/>
              <w:spacing w:before="60" w:line="173" w:lineRule="auto"/>
              <w:ind w:left="120"/>
            </w:pPr>
            <w:r>
              <w:rPr>
                <w:spacing w:val="-2"/>
              </w:rPr>
              <w:t>54.82</w:t>
            </w:r>
          </w:p>
        </w:tc>
        <w:tc>
          <w:tcPr>
            <w:tcW w:w="674" w:type="dxa"/>
            <w:vAlign w:val="top"/>
          </w:tcPr>
          <w:p>
            <w:pPr>
              <w:pStyle w:val="6"/>
              <w:spacing w:before="60" w:line="173" w:lineRule="auto"/>
              <w:ind w:left="73"/>
            </w:pPr>
            <w:r>
              <w:rPr>
                <w:spacing w:val="-6"/>
              </w:rPr>
              <w:t>118.09</w:t>
            </w:r>
          </w:p>
        </w:tc>
        <w:tc>
          <w:tcPr>
            <w:tcW w:w="677" w:type="dxa"/>
            <w:vAlign w:val="top"/>
          </w:tcPr>
          <w:p>
            <w:pPr>
              <w:pStyle w:val="6"/>
              <w:spacing w:before="60" w:line="173" w:lineRule="auto"/>
              <w:ind w:left="109"/>
            </w:pPr>
            <w:r>
              <w:rPr>
                <w:spacing w:val="-2"/>
              </w:rPr>
              <w:t>50.54</w:t>
            </w:r>
          </w:p>
        </w:tc>
        <w:tc>
          <w:tcPr>
            <w:tcW w:w="665" w:type="dxa"/>
            <w:vAlign w:val="top"/>
          </w:tcPr>
          <w:p>
            <w:pPr>
              <w:pStyle w:val="6"/>
              <w:spacing w:before="60" w:line="173" w:lineRule="auto"/>
              <w:ind w:left="96"/>
            </w:pPr>
            <w:r>
              <w:rPr>
                <w:spacing w:val="-1"/>
              </w:rPr>
              <w:t>40.04</w:t>
            </w:r>
          </w:p>
        </w:tc>
        <w:tc>
          <w:tcPr>
            <w:tcW w:w="650" w:type="dxa"/>
            <w:vAlign w:val="top"/>
          </w:tcPr>
          <w:p>
            <w:pPr>
              <w:pStyle w:val="6"/>
              <w:spacing w:before="60" w:line="173" w:lineRule="auto"/>
              <w:ind w:left="89"/>
            </w:pPr>
            <w:r>
              <w:rPr>
                <w:spacing w:val="-1"/>
              </w:rPr>
              <w:t>21.02</w:t>
            </w:r>
          </w:p>
        </w:tc>
        <w:tc>
          <w:tcPr>
            <w:tcW w:w="662" w:type="dxa"/>
            <w:vAlign w:val="top"/>
          </w:tcPr>
          <w:p>
            <w:pPr>
              <w:pStyle w:val="6"/>
              <w:spacing w:before="60" w:line="173" w:lineRule="auto"/>
              <w:ind w:left="117"/>
            </w:pPr>
            <w:r>
              <w:rPr>
                <w:spacing w:val="-5"/>
              </w:rPr>
              <w:t>15.72</w:t>
            </w:r>
          </w:p>
        </w:tc>
        <w:tc>
          <w:tcPr>
            <w:tcW w:w="623" w:type="dxa"/>
            <w:vAlign w:val="top"/>
          </w:tcPr>
          <w:p>
            <w:pPr>
              <w:pStyle w:val="6"/>
              <w:spacing w:before="60" w:line="173" w:lineRule="auto"/>
              <w:ind w:left="97"/>
            </w:pPr>
            <w:r>
              <w:rPr>
                <w:spacing w:val="-5"/>
              </w:rPr>
              <w:t>15.54</w:t>
            </w:r>
          </w:p>
        </w:tc>
        <w:tc>
          <w:tcPr>
            <w:tcW w:w="674" w:type="dxa"/>
            <w:vAlign w:val="top"/>
          </w:tcPr>
          <w:p>
            <w:pPr>
              <w:pStyle w:val="6"/>
              <w:spacing w:before="60" w:line="173" w:lineRule="auto"/>
              <w:ind w:left="120"/>
            </w:pPr>
            <w:r>
              <w:rPr>
                <w:spacing w:val="-5"/>
              </w:rPr>
              <w:t>12.55</w:t>
            </w:r>
          </w:p>
        </w:tc>
        <w:tc>
          <w:tcPr>
            <w:tcW w:w="623" w:type="dxa"/>
            <w:vAlign w:val="top"/>
          </w:tcPr>
          <w:p>
            <w:pPr>
              <w:pStyle w:val="6"/>
              <w:spacing w:before="60" w:line="173" w:lineRule="auto"/>
              <w:ind w:left="96"/>
            </w:pPr>
            <w:r>
              <w:rPr>
                <w:spacing w:val="-5"/>
              </w:rPr>
              <w:t>13.77</w:t>
            </w:r>
          </w:p>
        </w:tc>
        <w:tc>
          <w:tcPr>
            <w:tcW w:w="622" w:type="dxa"/>
            <w:vAlign w:val="top"/>
          </w:tcPr>
          <w:p>
            <w:pPr>
              <w:pStyle w:val="6"/>
              <w:spacing w:before="60" w:line="173" w:lineRule="auto"/>
              <w:ind w:left="96"/>
            </w:pPr>
            <w:r>
              <w:rPr>
                <w:spacing w:val="-5"/>
              </w:rPr>
              <w:t>12.22</w:t>
            </w:r>
          </w:p>
        </w:tc>
        <w:tc>
          <w:tcPr>
            <w:tcW w:w="615" w:type="dxa"/>
            <w:tcBorders>
              <w:right w:val="nil"/>
            </w:tcBorders>
            <w:vAlign w:val="top"/>
          </w:tcPr>
          <w:p>
            <w:pPr>
              <w:pStyle w:val="6"/>
              <w:spacing w:before="60" w:line="173" w:lineRule="auto"/>
              <w:ind w:left="94"/>
            </w:pPr>
            <w:r>
              <w:rPr>
                <w:spacing w:val="-5"/>
              </w:rPr>
              <w:t>13.39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 w:hRule="atLeast"/>
        </w:trPr>
        <w:tc>
          <w:tcPr>
            <w:tcW w:w="597" w:type="dxa"/>
            <w:vMerge w:val="continue"/>
            <w:tcBorders>
              <w:top w:val="nil"/>
              <w:left w:val="nil"/>
            </w:tcBorders>
            <w:vAlign w:val="top"/>
          </w:tcPr>
          <w:p>
            <w:pPr>
              <w:rPr>
                <w:rFonts w:ascii="Arial"/>
                <w:sz w:val="21"/>
              </w:rPr>
            </w:pPr>
          </w:p>
        </w:tc>
        <w:tc>
          <w:tcPr>
            <w:tcW w:w="552" w:type="dxa"/>
            <w:vAlign w:val="top"/>
          </w:tcPr>
          <w:p>
            <w:pPr>
              <w:pStyle w:val="6"/>
              <w:spacing w:before="62" w:line="172" w:lineRule="auto"/>
              <w:ind w:left="88"/>
            </w:pPr>
            <w:r>
              <w:rPr>
                <w:spacing w:val="-2"/>
              </w:rPr>
              <w:t>95%</w:t>
            </w:r>
          </w:p>
        </w:tc>
        <w:tc>
          <w:tcPr>
            <w:tcW w:w="622" w:type="dxa"/>
            <w:vAlign w:val="top"/>
          </w:tcPr>
          <w:p>
            <w:pPr>
              <w:pStyle w:val="6"/>
              <w:spacing w:before="62" w:line="172" w:lineRule="auto"/>
              <w:ind w:left="99"/>
            </w:pPr>
            <w:r>
              <w:rPr>
                <w:spacing w:val="-7"/>
              </w:rPr>
              <w:t>11.20</w:t>
            </w:r>
          </w:p>
        </w:tc>
        <w:tc>
          <w:tcPr>
            <w:tcW w:w="702" w:type="dxa"/>
            <w:vAlign w:val="top"/>
          </w:tcPr>
          <w:p>
            <w:pPr>
              <w:pStyle w:val="6"/>
              <w:spacing w:before="62" w:line="172" w:lineRule="auto"/>
              <w:ind w:left="119"/>
            </w:pPr>
            <w:r>
              <w:rPr>
                <w:spacing w:val="-2"/>
              </w:rPr>
              <w:t>33.38</w:t>
            </w:r>
          </w:p>
        </w:tc>
        <w:tc>
          <w:tcPr>
            <w:tcW w:w="674" w:type="dxa"/>
            <w:vAlign w:val="top"/>
          </w:tcPr>
          <w:p>
            <w:pPr>
              <w:pStyle w:val="6"/>
              <w:spacing w:before="62" w:line="172" w:lineRule="auto"/>
              <w:ind w:left="104"/>
            </w:pPr>
            <w:r>
              <w:rPr>
                <w:spacing w:val="-2"/>
              </w:rPr>
              <w:t>71.90</w:t>
            </w:r>
          </w:p>
        </w:tc>
        <w:tc>
          <w:tcPr>
            <w:tcW w:w="677" w:type="dxa"/>
            <w:vAlign w:val="top"/>
          </w:tcPr>
          <w:p>
            <w:pPr>
              <w:pStyle w:val="6"/>
              <w:spacing w:before="62" w:line="172" w:lineRule="auto"/>
              <w:ind w:left="107"/>
            </w:pPr>
            <w:r>
              <w:rPr>
                <w:spacing w:val="-2"/>
              </w:rPr>
              <w:t>30.77</w:t>
            </w:r>
          </w:p>
        </w:tc>
        <w:tc>
          <w:tcPr>
            <w:tcW w:w="665" w:type="dxa"/>
            <w:vAlign w:val="top"/>
          </w:tcPr>
          <w:p>
            <w:pPr>
              <w:pStyle w:val="6"/>
              <w:spacing w:before="62" w:line="172" w:lineRule="auto"/>
              <w:ind w:left="97"/>
            </w:pPr>
            <w:r>
              <w:rPr>
                <w:spacing w:val="-1"/>
              </w:rPr>
              <w:t>24.38</w:t>
            </w:r>
          </w:p>
        </w:tc>
        <w:tc>
          <w:tcPr>
            <w:tcW w:w="650" w:type="dxa"/>
            <w:vAlign w:val="top"/>
          </w:tcPr>
          <w:p>
            <w:pPr>
              <w:pStyle w:val="6"/>
              <w:spacing w:before="62" w:line="172" w:lineRule="auto"/>
              <w:ind w:left="109"/>
            </w:pPr>
            <w:r>
              <w:rPr>
                <w:spacing w:val="-5"/>
              </w:rPr>
              <w:t>12.80</w:t>
            </w:r>
          </w:p>
        </w:tc>
        <w:tc>
          <w:tcPr>
            <w:tcW w:w="662" w:type="dxa"/>
            <w:vAlign w:val="top"/>
          </w:tcPr>
          <w:p>
            <w:pPr>
              <w:pStyle w:val="6"/>
              <w:spacing w:before="62" w:line="172" w:lineRule="auto"/>
              <w:ind w:left="153"/>
            </w:pPr>
            <w:r>
              <w:rPr>
                <w:spacing w:val="-2"/>
              </w:rPr>
              <w:t>9.57</w:t>
            </w:r>
          </w:p>
        </w:tc>
        <w:tc>
          <w:tcPr>
            <w:tcW w:w="623" w:type="dxa"/>
            <w:vAlign w:val="top"/>
          </w:tcPr>
          <w:p>
            <w:pPr>
              <w:pStyle w:val="6"/>
              <w:spacing w:before="62" w:line="172" w:lineRule="auto"/>
              <w:ind w:left="133"/>
            </w:pPr>
            <w:r>
              <w:rPr>
                <w:spacing w:val="-2"/>
              </w:rPr>
              <w:t>9.46</w:t>
            </w:r>
          </w:p>
        </w:tc>
        <w:tc>
          <w:tcPr>
            <w:tcW w:w="674" w:type="dxa"/>
            <w:vAlign w:val="top"/>
          </w:tcPr>
          <w:p>
            <w:pPr>
              <w:pStyle w:val="6"/>
              <w:spacing w:before="62" w:line="172" w:lineRule="auto"/>
              <w:ind w:left="156"/>
            </w:pPr>
            <w:r>
              <w:rPr>
                <w:spacing w:val="-2"/>
              </w:rPr>
              <w:t>7.64</w:t>
            </w:r>
          </w:p>
        </w:tc>
        <w:tc>
          <w:tcPr>
            <w:tcW w:w="623" w:type="dxa"/>
            <w:vAlign w:val="top"/>
          </w:tcPr>
          <w:p>
            <w:pPr>
              <w:pStyle w:val="6"/>
              <w:spacing w:before="62" w:line="172" w:lineRule="auto"/>
              <w:ind w:left="137"/>
            </w:pPr>
            <w:r>
              <w:rPr>
                <w:spacing w:val="-4"/>
              </w:rPr>
              <w:t>8.38</w:t>
            </w:r>
          </w:p>
        </w:tc>
        <w:tc>
          <w:tcPr>
            <w:tcW w:w="622" w:type="dxa"/>
            <w:vAlign w:val="top"/>
          </w:tcPr>
          <w:p>
            <w:pPr>
              <w:pStyle w:val="6"/>
              <w:spacing w:before="62" w:line="172" w:lineRule="auto"/>
              <w:ind w:left="132"/>
            </w:pPr>
            <w:r>
              <w:rPr>
                <w:spacing w:val="-2"/>
              </w:rPr>
              <w:t>7.44</w:t>
            </w:r>
          </w:p>
        </w:tc>
        <w:tc>
          <w:tcPr>
            <w:tcW w:w="615" w:type="dxa"/>
            <w:tcBorders>
              <w:right w:val="nil"/>
            </w:tcBorders>
            <w:vAlign w:val="top"/>
          </w:tcPr>
          <w:p>
            <w:pPr>
              <w:pStyle w:val="6"/>
              <w:spacing w:before="62" w:line="172" w:lineRule="auto"/>
              <w:ind w:left="135"/>
            </w:pPr>
            <w:r>
              <w:rPr>
                <w:spacing w:val="-4"/>
              </w:rPr>
              <w:t>8.15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7" w:hRule="atLeast"/>
        </w:trPr>
        <w:tc>
          <w:tcPr>
            <w:tcW w:w="597" w:type="dxa"/>
            <w:vMerge w:val="restart"/>
            <w:tcBorders>
              <w:left w:val="nil"/>
              <w:bottom w:val="nil"/>
            </w:tcBorders>
            <w:vAlign w:val="top"/>
          </w:tcPr>
          <w:p>
            <w:pPr>
              <w:spacing w:before="41" w:line="219" w:lineRule="auto"/>
              <w:ind w:left="100"/>
              <w:rPr>
                <w:rFonts w:ascii="仿宋" w:hAnsi="仿宋" w:eastAsia="仿宋" w:cs="仿宋"/>
                <w:sz w:val="21"/>
                <w:szCs w:val="21"/>
              </w:rPr>
            </w:pPr>
            <w:r>
              <w:rPr>
                <w:rFonts w:ascii="仿宋" w:hAnsi="仿宋" w:eastAsia="仿宋" w:cs="仿宋"/>
                <w:spacing w:val="-4"/>
                <w:sz w:val="21"/>
                <w:szCs w:val="21"/>
              </w:rPr>
              <w:t>六姑</w:t>
            </w:r>
          </w:p>
          <w:p>
            <w:pPr>
              <w:spacing w:before="23" w:line="217" w:lineRule="auto"/>
              <w:ind w:left="106"/>
              <w:rPr>
                <w:rFonts w:ascii="仿宋" w:hAnsi="仿宋" w:eastAsia="仿宋" w:cs="仿宋"/>
                <w:sz w:val="21"/>
                <w:szCs w:val="21"/>
              </w:rPr>
            </w:pPr>
            <w:r>
              <w:rPr>
                <w:rFonts w:ascii="仿宋" w:hAnsi="仿宋" w:eastAsia="仿宋" w:cs="仿宋"/>
                <w:spacing w:val="-6"/>
                <w:sz w:val="21"/>
                <w:szCs w:val="21"/>
              </w:rPr>
              <w:t>乍箐</w:t>
            </w:r>
          </w:p>
          <w:p>
            <w:pPr>
              <w:spacing w:before="26" w:line="218" w:lineRule="auto"/>
              <w:ind w:left="99"/>
              <w:rPr>
                <w:rFonts w:ascii="仿宋" w:hAnsi="仿宋" w:eastAsia="仿宋" w:cs="仿宋"/>
                <w:sz w:val="21"/>
                <w:szCs w:val="21"/>
              </w:rPr>
            </w:pPr>
            <w:r>
              <w:rPr>
                <w:rFonts w:ascii="仿宋" w:hAnsi="仿宋" w:eastAsia="仿宋" w:cs="仿宋"/>
                <w:spacing w:val="-4"/>
                <w:sz w:val="21"/>
                <w:szCs w:val="21"/>
              </w:rPr>
              <w:t>取水</w:t>
            </w:r>
          </w:p>
          <w:p>
            <w:pPr>
              <w:spacing w:before="23" w:line="196" w:lineRule="auto"/>
              <w:ind w:left="210"/>
              <w:rPr>
                <w:rFonts w:ascii="仿宋" w:hAnsi="仿宋" w:eastAsia="仿宋" w:cs="仿宋"/>
                <w:sz w:val="21"/>
                <w:szCs w:val="21"/>
              </w:rPr>
            </w:pPr>
            <w:r>
              <w:rPr>
                <w:rFonts w:ascii="仿宋" w:hAnsi="仿宋" w:eastAsia="仿宋" w:cs="仿宋"/>
                <w:sz w:val="21"/>
                <w:szCs w:val="21"/>
              </w:rPr>
              <w:t>坝</w:t>
            </w:r>
          </w:p>
        </w:tc>
        <w:tc>
          <w:tcPr>
            <w:tcW w:w="552" w:type="dxa"/>
            <w:vAlign w:val="top"/>
          </w:tcPr>
          <w:p>
            <w:pPr>
              <w:pStyle w:val="6"/>
              <w:spacing w:before="62" w:line="173" w:lineRule="auto"/>
              <w:ind w:left="84"/>
            </w:pPr>
            <w:r>
              <w:rPr>
                <w:spacing w:val="-1"/>
              </w:rPr>
              <w:t>25%</w:t>
            </w:r>
          </w:p>
        </w:tc>
        <w:tc>
          <w:tcPr>
            <w:tcW w:w="622" w:type="dxa"/>
            <w:vAlign w:val="top"/>
          </w:tcPr>
          <w:p>
            <w:pPr>
              <w:pStyle w:val="6"/>
              <w:spacing w:before="62" w:line="173" w:lineRule="auto"/>
              <w:ind w:left="76"/>
            </w:pPr>
            <w:r>
              <w:rPr>
                <w:spacing w:val="-1"/>
              </w:rPr>
              <w:t>28.85</w:t>
            </w:r>
          </w:p>
        </w:tc>
        <w:tc>
          <w:tcPr>
            <w:tcW w:w="702" w:type="dxa"/>
            <w:vAlign w:val="top"/>
          </w:tcPr>
          <w:p>
            <w:pPr>
              <w:pStyle w:val="6"/>
              <w:spacing w:before="62" w:line="173" w:lineRule="auto"/>
              <w:ind w:left="120"/>
            </w:pPr>
            <w:r>
              <w:rPr>
                <w:spacing w:val="-2"/>
              </w:rPr>
              <w:t>56.25</w:t>
            </w:r>
          </w:p>
        </w:tc>
        <w:tc>
          <w:tcPr>
            <w:tcW w:w="674" w:type="dxa"/>
            <w:vAlign w:val="top"/>
          </w:tcPr>
          <w:p>
            <w:pPr>
              <w:pStyle w:val="6"/>
              <w:spacing w:before="62" w:line="173" w:lineRule="auto"/>
              <w:ind w:left="106"/>
            </w:pPr>
            <w:r>
              <w:rPr>
                <w:spacing w:val="-2"/>
              </w:rPr>
              <w:t>57.83</w:t>
            </w:r>
          </w:p>
        </w:tc>
        <w:tc>
          <w:tcPr>
            <w:tcW w:w="677" w:type="dxa"/>
            <w:vAlign w:val="top"/>
          </w:tcPr>
          <w:p>
            <w:pPr>
              <w:pStyle w:val="6"/>
              <w:spacing w:before="62" w:line="173" w:lineRule="auto"/>
              <w:ind w:left="102"/>
            </w:pPr>
            <w:r>
              <w:rPr>
                <w:spacing w:val="-1"/>
              </w:rPr>
              <w:t>49.54</w:t>
            </w:r>
          </w:p>
        </w:tc>
        <w:tc>
          <w:tcPr>
            <w:tcW w:w="665" w:type="dxa"/>
            <w:vAlign w:val="top"/>
          </w:tcPr>
          <w:p>
            <w:pPr>
              <w:pStyle w:val="6"/>
              <w:spacing w:before="62" w:line="173" w:lineRule="auto"/>
              <w:ind w:left="96"/>
            </w:pPr>
            <w:r>
              <w:rPr>
                <w:spacing w:val="-1"/>
              </w:rPr>
              <w:t>40.01</w:t>
            </w:r>
          </w:p>
        </w:tc>
        <w:tc>
          <w:tcPr>
            <w:tcW w:w="650" w:type="dxa"/>
            <w:vAlign w:val="top"/>
          </w:tcPr>
          <w:p>
            <w:pPr>
              <w:pStyle w:val="6"/>
              <w:spacing w:before="62" w:line="173" w:lineRule="auto"/>
              <w:ind w:left="93"/>
            </w:pPr>
            <w:r>
              <w:rPr>
                <w:spacing w:val="-2"/>
              </w:rPr>
              <w:t>32.30</w:t>
            </w:r>
          </w:p>
        </w:tc>
        <w:tc>
          <w:tcPr>
            <w:tcW w:w="662" w:type="dxa"/>
            <w:vAlign w:val="top"/>
          </w:tcPr>
          <w:p>
            <w:pPr>
              <w:pStyle w:val="6"/>
              <w:spacing w:before="62" w:line="173" w:lineRule="auto"/>
              <w:ind w:left="96"/>
            </w:pPr>
            <w:r>
              <w:rPr>
                <w:spacing w:val="-1"/>
              </w:rPr>
              <w:t>25.05</w:t>
            </w:r>
          </w:p>
        </w:tc>
        <w:tc>
          <w:tcPr>
            <w:tcW w:w="623" w:type="dxa"/>
            <w:vAlign w:val="top"/>
          </w:tcPr>
          <w:p>
            <w:pPr>
              <w:pStyle w:val="6"/>
              <w:spacing w:before="62" w:line="173" w:lineRule="auto"/>
              <w:ind w:left="97"/>
            </w:pPr>
            <w:r>
              <w:rPr>
                <w:spacing w:val="-5"/>
              </w:rPr>
              <w:t>19.90</w:t>
            </w:r>
          </w:p>
        </w:tc>
        <w:tc>
          <w:tcPr>
            <w:tcW w:w="674" w:type="dxa"/>
            <w:vAlign w:val="top"/>
          </w:tcPr>
          <w:p>
            <w:pPr>
              <w:pStyle w:val="6"/>
              <w:spacing w:before="62" w:line="173" w:lineRule="auto"/>
              <w:ind w:left="120"/>
            </w:pPr>
            <w:r>
              <w:rPr>
                <w:spacing w:val="-5"/>
              </w:rPr>
              <w:t>16.49</w:t>
            </w:r>
          </w:p>
        </w:tc>
        <w:tc>
          <w:tcPr>
            <w:tcW w:w="623" w:type="dxa"/>
            <w:vAlign w:val="top"/>
          </w:tcPr>
          <w:p>
            <w:pPr>
              <w:pStyle w:val="6"/>
              <w:spacing w:before="62" w:line="173" w:lineRule="auto"/>
              <w:ind w:left="96"/>
            </w:pPr>
            <w:r>
              <w:rPr>
                <w:spacing w:val="-5"/>
              </w:rPr>
              <w:t>17.53</w:t>
            </w:r>
          </w:p>
        </w:tc>
        <w:tc>
          <w:tcPr>
            <w:tcW w:w="622" w:type="dxa"/>
            <w:vAlign w:val="top"/>
          </w:tcPr>
          <w:p>
            <w:pPr>
              <w:pStyle w:val="6"/>
              <w:spacing w:before="62" w:line="173" w:lineRule="auto"/>
              <w:ind w:left="96"/>
            </w:pPr>
            <w:r>
              <w:rPr>
                <w:spacing w:val="-5"/>
              </w:rPr>
              <w:t>14.09</w:t>
            </w:r>
          </w:p>
        </w:tc>
        <w:tc>
          <w:tcPr>
            <w:tcW w:w="615" w:type="dxa"/>
            <w:tcBorders>
              <w:right w:val="nil"/>
            </w:tcBorders>
            <w:vAlign w:val="top"/>
          </w:tcPr>
          <w:p>
            <w:pPr>
              <w:pStyle w:val="6"/>
              <w:spacing w:before="62" w:line="173" w:lineRule="auto"/>
              <w:ind w:left="94"/>
            </w:pPr>
            <w:r>
              <w:rPr>
                <w:spacing w:val="-5"/>
              </w:rPr>
              <w:t>16.24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 w:hRule="atLeast"/>
        </w:trPr>
        <w:tc>
          <w:tcPr>
            <w:tcW w:w="597" w:type="dxa"/>
            <w:vMerge w:val="continue"/>
            <w:tcBorders>
              <w:top w:val="nil"/>
              <w:left w:val="nil"/>
              <w:bottom w:val="nil"/>
            </w:tcBorders>
            <w:vAlign w:val="top"/>
          </w:tcPr>
          <w:p>
            <w:pPr>
              <w:rPr>
                <w:rFonts w:ascii="Arial"/>
                <w:sz w:val="21"/>
              </w:rPr>
            </w:pPr>
          </w:p>
        </w:tc>
        <w:tc>
          <w:tcPr>
            <w:tcW w:w="552" w:type="dxa"/>
            <w:vAlign w:val="top"/>
          </w:tcPr>
          <w:p>
            <w:pPr>
              <w:pStyle w:val="6"/>
              <w:spacing w:before="62" w:line="171" w:lineRule="auto"/>
              <w:ind w:left="90"/>
            </w:pPr>
            <w:r>
              <w:rPr>
                <w:spacing w:val="-2"/>
              </w:rPr>
              <w:t>50%</w:t>
            </w:r>
          </w:p>
        </w:tc>
        <w:tc>
          <w:tcPr>
            <w:tcW w:w="622" w:type="dxa"/>
            <w:vAlign w:val="top"/>
          </w:tcPr>
          <w:p>
            <w:pPr>
              <w:pStyle w:val="6"/>
              <w:spacing w:before="62" w:line="171" w:lineRule="auto"/>
              <w:ind w:left="76"/>
            </w:pPr>
            <w:r>
              <w:rPr>
                <w:spacing w:val="-1"/>
              </w:rPr>
              <w:t>20.70</w:t>
            </w:r>
          </w:p>
        </w:tc>
        <w:tc>
          <w:tcPr>
            <w:tcW w:w="702" w:type="dxa"/>
            <w:vAlign w:val="top"/>
          </w:tcPr>
          <w:p>
            <w:pPr>
              <w:pStyle w:val="6"/>
              <w:spacing w:before="62" w:line="171" w:lineRule="auto"/>
              <w:ind w:left="120"/>
            </w:pPr>
            <w:r>
              <w:rPr>
                <w:spacing w:val="-2"/>
              </w:rPr>
              <w:t>54.51</w:t>
            </w:r>
          </w:p>
        </w:tc>
        <w:tc>
          <w:tcPr>
            <w:tcW w:w="674" w:type="dxa"/>
            <w:vAlign w:val="top"/>
          </w:tcPr>
          <w:p>
            <w:pPr>
              <w:pStyle w:val="6"/>
              <w:spacing w:before="62" w:line="171" w:lineRule="auto"/>
              <w:ind w:left="106"/>
            </w:pPr>
            <w:r>
              <w:rPr>
                <w:spacing w:val="-2"/>
              </w:rPr>
              <w:t>53.62</w:t>
            </w:r>
          </w:p>
        </w:tc>
        <w:tc>
          <w:tcPr>
            <w:tcW w:w="677" w:type="dxa"/>
            <w:vAlign w:val="top"/>
          </w:tcPr>
          <w:p>
            <w:pPr>
              <w:pStyle w:val="6"/>
              <w:spacing w:before="62" w:line="171" w:lineRule="auto"/>
              <w:ind w:left="109"/>
            </w:pPr>
            <w:r>
              <w:rPr>
                <w:spacing w:val="-2"/>
              </w:rPr>
              <w:t>58.23</w:t>
            </w:r>
          </w:p>
        </w:tc>
        <w:tc>
          <w:tcPr>
            <w:tcW w:w="665" w:type="dxa"/>
            <w:vAlign w:val="top"/>
          </w:tcPr>
          <w:p>
            <w:pPr>
              <w:pStyle w:val="6"/>
              <w:spacing w:before="62" w:line="171" w:lineRule="auto"/>
              <w:ind w:left="97"/>
            </w:pPr>
            <w:r>
              <w:rPr>
                <w:spacing w:val="-1"/>
              </w:rPr>
              <w:t>20.41</w:t>
            </w:r>
          </w:p>
        </w:tc>
        <w:tc>
          <w:tcPr>
            <w:tcW w:w="650" w:type="dxa"/>
            <w:vAlign w:val="top"/>
          </w:tcPr>
          <w:p>
            <w:pPr>
              <w:pStyle w:val="6"/>
              <w:spacing w:before="62" w:line="171" w:lineRule="auto"/>
              <w:ind w:left="109"/>
            </w:pPr>
            <w:r>
              <w:rPr>
                <w:spacing w:val="-5"/>
              </w:rPr>
              <w:t>13.26</w:t>
            </w:r>
          </w:p>
        </w:tc>
        <w:tc>
          <w:tcPr>
            <w:tcW w:w="662" w:type="dxa"/>
            <w:vAlign w:val="top"/>
          </w:tcPr>
          <w:p>
            <w:pPr>
              <w:pStyle w:val="6"/>
              <w:spacing w:before="62" w:line="171" w:lineRule="auto"/>
              <w:ind w:left="117"/>
            </w:pPr>
            <w:r>
              <w:rPr>
                <w:spacing w:val="-5"/>
              </w:rPr>
              <w:t>13.70</w:t>
            </w:r>
          </w:p>
        </w:tc>
        <w:tc>
          <w:tcPr>
            <w:tcW w:w="623" w:type="dxa"/>
            <w:vAlign w:val="top"/>
          </w:tcPr>
          <w:p>
            <w:pPr>
              <w:pStyle w:val="6"/>
              <w:spacing w:before="62" w:line="171" w:lineRule="auto"/>
              <w:ind w:left="97"/>
            </w:pPr>
            <w:r>
              <w:rPr>
                <w:spacing w:val="-5"/>
              </w:rPr>
              <w:t>12.84</w:t>
            </w:r>
          </w:p>
        </w:tc>
        <w:tc>
          <w:tcPr>
            <w:tcW w:w="674" w:type="dxa"/>
            <w:vAlign w:val="top"/>
          </w:tcPr>
          <w:p>
            <w:pPr>
              <w:pStyle w:val="6"/>
              <w:spacing w:before="62" w:line="171" w:lineRule="auto"/>
              <w:ind w:left="157"/>
            </w:pPr>
            <w:r>
              <w:rPr>
                <w:spacing w:val="-2"/>
              </w:rPr>
              <w:t>9.69</w:t>
            </w:r>
          </w:p>
        </w:tc>
        <w:tc>
          <w:tcPr>
            <w:tcW w:w="623" w:type="dxa"/>
            <w:vAlign w:val="top"/>
          </w:tcPr>
          <w:p>
            <w:pPr>
              <w:pStyle w:val="6"/>
              <w:spacing w:before="62" w:line="171" w:lineRule="auto"/>
              <w:ind w:left="137"/>
            </w:pPr>
            <w:r>
              <w:rPr>
                <w:spacing w:val="-4"/>
              </w:rPr>
              <w:t>8.94</w:t>
            </w:r>
          </w:p>
        </w:tc>
        <w:tc>
          <w:tcPr>
            <w:tcW w:w="622" w:type="dxa"/>
            <w:vAlign w:val="top"/>
          </w:tcPr>
          <w:p>
            <w:pPr>
              <w:pStyle w:val="6"/>
              <w:spacing w:before="62" w:line="171" w:lineRule="auto"/>
              <w:ind w:left="137"/>
            </w:pPr>
            <w:r>
              <w:rPr>
                <w:spacing w:val="-4"/>
              </w:rPr>
              <w:t>8.62</w:t>
            </w:r>
          </w:p>
        </w:tc>
        <w:tc>
          <w:tcPr>
            <w:tcW w:w="615" w:type="dxa"/>
            <w:tcBorders>
              <w:right w:val="nil"/>
            </w:tcBorders>
            <w:vAlign w:val="top"/>
          </w:tcPr>
          <w:p>
            <w:pPr>
              <w:pStyle w:val="6"/>
              <w:spacing w:before="62" w:line="171" w:lineRule="auto"/>
              <w:ind w:left="131"/>
            </w:pPr>
            <w:r>
              <w:rPr>
                <w:spacing w:val="-2"/>
              </w:rPr>
              <w:t>9.03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 w:hRule="atLeast"/>
        </w:trPr>
        <w:tc>
          <w:tcPr>
            <w:tcW w:w="597" w:type="dxa"/>
            <w:vMerge w:val="continue"/>
            <w:tcBorders>
              <w:top w:val="nil"/>
              <w:left w:val="nil"/>
              <w:bottom w:val="nil"/>
            </w:tcBorders>
            <w:vAlign w:val="top"/>
          </w:tcPr>
          <w:p>
            <w:pPr>
              <w:rPr>
                <w:rFonts w:ascii="Arial"/>
                <w:sz w:val="21"/>
              </w:rPr>
            </w:pPr>
          </w:p>
        </w:tc>
        <w:tc>
          <w:tcPr>
            <w:tcW w:w="552" w:type="dxa"/>
            <w:vAlign w:val="top"/>
          </w:tcPr>
          <w:p>
            <w:pPr>
              <w:pStyle w:val="6"/>
              <w:spacing w:before="62" w:line="172" w:lineRule="auto"/>
              <w:ind w:left="87"/>
            </w:pPr>
            <w:r>
              <w:rPr>
                <w:spacing w:val="-3"/>
              </w:rPr>
              <w:t>75%</w:t>
            </w:r>
          </w:p>
        </w:tc>
        <w:tc>
          <w:tcPr>
            <w:tcW w:w="622" w:type="dxa"/>
            <w:vAlign w:val="top"/>
          </w:tcPr>
          <w:p>
            <w:pPr>
              <w:pStyle w:val="6"/>
              <w:spacing w:before="63" w:line="171" w:lineRule="auto"/>
              <w:ind w:left="132"/>
            </w:pPr>
            <w:r>
              <w:rPr>
                <w:spacing w:val="-2"/>
              </w:rPr>
              <w:t>9.96</w:t>
            </w:r>
          </w:p>
        </w:tc>
        <w:tc>
          <w:tcPr>
            <w:tcW w:w="702" w:type="dxa"/>
            <w:vAlign w:val="top"/>
          </w:tcPr>
          <w:p>
            <w:pPr>
              <w:pStyle w:val="6"/>
              <w:spacing w:before="63" w:line="171" w:lineRule="auto"/>
              <w:ind w:left="115"/>
            </w:pPr>
            <w:r>
              <w:rPr>
                <w:spacing w:val="-1"/>
              </w:rPr>
              <w:t>29.68</w:t>
            </w:r>
          </w:p>
        </w:tc>
        <w:tc>
          <w:tcPr>
            <w:tcW w:w="674" w:type="dxa"/>
            <w:vAlign w:val="top"/>
          </w:tcPr>
          <w:p>
            <w:pPr>
              <w:pStyle w:val="6"/>
              <w:spacing w:before="63" w:line="171" w:lineRule="auto"/>
              <w:ind w:left="105"/>
            </w:pPr>
            <w:r>
              <w:rPr>
                <w:spacing w:val="-2"/>
              </w:rPr>
              <w:t>63.93</w:t>
            </w:r>
          </w:p>
        </w:tc>
        <w:tc>
          <w:tcPr>
            <w:tcW w:w="677" w:type="dxa"/>
            <w:vAlign w:val="top"/>
          </w:tcPr>
          <w:p>
            <w:pPr>
              <w:pStyle w:val="6"/>
              <w:spacing w:before="63" w:line="171" w:lineRule="auto"/>
              <w:ind w:left="103"/>
            </w:pPr>
            <w:r>
              <w:rPr>
                <w:spacing w:val="-1"/>
              </w:rPr>
              <w:t>27.36</w:t>
            </w:r>
          </w:p>
        </w:tc>
        <w:tc>
          <w:tcPr>
            <w:tcW w:w="665" w:type="dxa"/>
            <w:vAlign w:val="top"/>
          </w:tcPr>
          <w:p>
            <w:pPr>
              <w:pStyle w:val="6"/>
              <w:spacing w:before="63" w:line="171" w:lineRule="auto"/>
              <w:ind w:left="97"/>
            </w:pPr>
            <w:r>
              <w:rPr>
                <w:spacing w:val="-1"/>
              </w:rPr>
              <w:t>21.68</w:t>
            </w:r>
          </w:p>
        </w:tc>
        <w:tc>
          <w:tcPr>
            <w:tcW w:w="650" w:type="dxa"/>
            <w:vAlign w:val="top"/>
          </w:tcPr>
          <w:p>
            <w:pPr>
              <w:pStyle w:val="6"/>
              <w:spacing w:before="63" w:line="171" w:lineRule="auto"/>
              <w:ind w:left="114"/>
            </w:pPr>
            <w:r>
              <w:rPr>
                <w:spacing w:val="-7"/>
              </w:rPr>
              <w:t>11.38</w:t>
            </w:r>
          </w:p>
        </w:tc>
        <w:tc>
          <w:tcPr>
            <w:tcW w:w="662" w:type="dxa"/>
            <w:vAlign w:val="top"/>
          </w:tcPr>
          <w:p>
            <w:pPr>
              <w:pStyle w:val="6"/>
              <w:spacing w:before="63" w:line="171" w:lineRule="auto"/>
              <w:ind w:left="158"/>
            </w:pPr>
            <w:r>
              <w:rPr>
                <w:spacing w:val="-4"/>
              </w:rPr>
              <w:t>8.51</w:t>
            </w:r>
          </w:p>
        </w:tc>
        <w:tc>
          <w:tcPr>
            <w:tcW w:w="623" w:type="dxa"/>
            <w:vAlign w:val="top"/>
          </w:tcPr>
          <w:p>
            <w:pPr>
              <w:pStyle w:val="6"/>
              <w:spacing w:before="63" w:line="171" w:lineRule="auto"/>
              <w:ind w:left="138"/>
            </w:pPr>
            <w:r>
              <w:rPr>
                <w:spacing w:val="-4"/>
              </w:rPr>
              <w:t>8.41</w:t>
            </w:r>
          </w:p>
        </w:tc>
        <w:tc>
          <w:tcPr>
            <w:tcW w:w="674" w:type="dxa"/>
            <w:vAlign w:val="top"/>
          </w:tcPr>
          <w:p>
            <w:pPr>
              <w:pStyle w:val="6"/>
              <w:spacing w:before="63" w:line="171" w:lineRule="auto"/>
              <w:ind w:left="158"/>
            </w:pPr>
            <w:r>
              <w:rPr>
                <w:spacing w:val="-3"/>
              </w:rPr>
              <w:t>6.79</w:t>
            </w:r>
          </w:p>
        </w:tc>
        <w:tc>
          <w:tcPr>
            <w:tcW w:w="623" w:type="dxa"/>
            <w:vAlign w:val="top"/>
          </w:tcPr>
          <w:p>
            <w:pPr>
              <w:pStyle w:val="6"/>
              <w:spacing w:before="63" w:line="171" w:lineRule="auto"/>
              <w:ind w:left="132"/>
            </w:pPr>
            <w:r>
              <w:rPr>
                <w:spacing w:val="-2"/>
              </w:rPr>
              <w:t>7.45</w:t>
            </w:r>
          </w:p>
        </w:tc>
        <w:tc>
          <w:tcPr>
            <w:tcW w:w="622" w:type="dxa"/>
            <w:vAlign w:val="top"/>
          </w:tcPr>
          <w:p>
            <w:pPr>
              <w:pStyle w:val="6"/>
              <w:spacing w:before="63" w:line="171" w:lineRule="auto"/>
              <w:ind w:left="133"/>
            </w:pPr>
            <w:r>
              <w:rPr>
                <w:spacing w:val="-3"/>
              </w:rPr>
              <w:t>6.62</w:t>
            </w:r>
          </w:p>
        </w:tc>
        <w:tc>
          <w:tcPr>
            <w:tcW w:w="615" w:type="dxa"/>
            <w:tcBorders>
              <w:right w:val="nil"/>
            </w:tcBorders>
            <w:vAlign w:val="top"/>
          </w:tcPr>
          <w:p>
            <w:pPr>
              <w:pStyle w:val="6"/>
              <w:spacing w:before="63" w:line="171" w:lineRule="auto"/>
              <w:ind w:left="130"/>
            </w:pPr>
            <w:r>
              <w:rPr>
                <w:spacing w:val="-2"/>
              </w:rPr>
              <w:t>7.25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597" w:type="dxa"/>
            <w:vMerge w:val="continue"/>
            <w:tcBorders>
              <w:top w:val="nil"/>
              <w:left w:val="nil"/>
            </w:tcBorders>
            <w:vAlign w:val="top"/>
          </w:tcPr>
          <w:p>
            <w:pPr>
              <w:rPr>
                <w:rFonts w:ascii="Arial"/>
                <w:sz w:val="21"/>
              </w:rPr>
            </w:pPr>
          </w:p>
        </w:tc>
        <w:tc>
          <w:tcPr>
            <w:tcW w:w="552" w:type="dxa"/>
            <w:vAlign w:val="top"/>
          </w:tcPr>
          <w:p>
            <w:pPr>
              <w:pStyle w:val="6"/>
              <w:spacing w:before="111" w:line="188" w:lineRule="auto"/>
              <w:ind w:left="88"/>
            </w:pPr>
            <w:r>
              <w:rPr>
                <w:spacing w:val="-2"/>
              </w:rPr>
              <w:t>95%</w:t>
            </w:r>
          </w:p>
        </w:tc>
        <w:tc>
          <w:tcPr>
            <w:tcW w:w="622" w:type="dxa"/>
            <w:vAlign w:val="top"/>
          </w:tcPr>
          <w:p>
            <w:pPr>
              <w:pStyle w:val="6"/>
              <w:spacing w:before="111" w:line="188" w:lineRule="auto"/>
              <w:ind w:left="133"/>
            </w:pPr>
            <w:r>
              <w:rPr>
                <w:spacing w:val="-3"/>
              </w:rPr>
              <w:t>6.06</w:t>
            </w:r>
          </w:p>
        </w:tc>
        <w:tc>
          <w:tcPr>
            <w:tcW w:w="702" w:type="dxa"/>
            <w:vAlign w:val="top"/>
          </w:tcPr>
          <w:p>
            <w:pPr>
              <w:pStyle w:val="6"/>
              <w:spacing w:before="111" w:line="188" w:lineRule="auto"/>
              <w:ind w:left="135"/>
            </w:pPr>
            <w:r>
              <w:rPr>
                <w:spacing w:val="-5"/>
              </w:rPr>
              <w:t>18.07</w:t>
            </w:r>
          </w:p>
        </w:tc>
        <w:tc>
          <w:tcPr>
            <w:tcW w:w="674" w:type="dxa"/>
            <w:vAlign w:val="top"/>
          </w:tcPr>
          <w:p>
            <w:pPr>
              <w:pStyle w:val="6"/>
              <w:spacing w:before="111" w:line="188" w:lineRule="auto"/>
              <w:ind w:left="105"/>
            </w:pPr>
            <w:r>
              <w:rPr>
                <w:spacing w:val="-2"/>
              </w:rPr>
              <w:t>38.93</w:t>
            </w:r>
          </w:p>
        </w:tc>
        <w:tc>
          <w:tcPr>
            <w:tcW w:w="677" w:type="dxa"/>
            <w:vAlign w:val="top"/>
          </w:tcPr>
          <w:p>
            <w:pPr>
              <w:pStyle w:val="6"/>
              <w:spacing w:before="111" w:line="188" w:lineRule="auto"/>
              <w:ind w:left="123"/>
            </w:pPr>
            <w:r>
              <w:rPr>
                <w:spacing w:val="-5"/>
              </w:rPr>
              <w:t>16.66</w:t>
            </w:r>
          </w:p>
        </w:tc>
        <w:tc>
          <w:tcPr>
            <w:tcW w:w="665" w:type="dxa"/>
            <w:vAlign w:val="top"/>
          </w:tcPr>
          <w:p>
            <w:pPr>
              <w:pStyle w:val="6"/>
              <w:spacing w:before="111" w:line="188" w:lineRule="auto"/>
              <w:ind w:left="118"/>
            </w:pPr>
            <w:r>
              <w:rPr>
                <w:spacing w:val="-5"/>
              </w:rPr>
              <w:t>13.20</w:t>
            </w:r>
          </w:p>
        </w:tc>
        <w:tc>
          <w:tcPr>
            <w:tcW w:w="650" w:type="dxa"/>
            <w:vAlign w:val="top"/>
          </w:tcPr>
          <w:p>
            <w:pPr>
              <w:pStyle w:val="6"/>
              <w:spacing w:before="111" w:line="188" w:lineRule="auto"/>
              <w:ind w:left="146"/>
            </w:pPr>
            <w:r>
              <w:rPr>
                <w:spacing w:val="-3"/>
              </w:rPr>
              <w:t>6.93</w:t>
            </w:r>
          </w:p>
        </w:tc>
        <w:tc>
          <w:tcPr>
            <w:tcW w:w="662" w:type="dxa"/>
            <w:vAlign w:val="top"/>
          </w:tcPr>
          <w:p>
            <w:pPr>
              <w:pStyle w:val="6"/>
              <w:spacing w:before="111" w:line="188" w:lineRule="auto"/>
              <w:ind w:left="155"/>
            </w:pPr>
            <w:r>
              <w:rPr>
                <w:spacing w:val="-3"/>
              </w:rPr>
              <w:t>5.18</w:t>
            </w:r>
          </w:p>
        </w:tc>
        <w:tc>
          <w:tcPr>
            <w:tcW w:w="623" w:type="dxa"/>
            <w:vAlign w:val="top"/>
          </w:tcPr>
          <w:p>
            <w:pPr>
              <w:pStyle w:val="6"/>
              <w:spacing w:before="111" w:line="188" w:lineRule="auto"/>
              <w:ind w:left="135"/>
            </w:pPr>
            <w:r>
              <w:rPr>
                <w:spacing w:val="-3"/>
              </w:rPr>
              <w:t>5.12</w:t>
            </w:r>
          </w:p>
        </w:tc>
        <w:tc>
          <w:tcPr>
            <w:tcW w:w="674" w:type="dxa"/>
            <w:vAlign w:val="top"/>
          </w:tcPr>
          <w:p>
            <w:pPr>
              <w:pStyle w:val="6"/>
              <w:spacing w:before="111" w:line="188" w:lineRule="auto"/>
              <w:ind w:left="152"/>
            </w:pPr>
            <w:r>
              <w:rPr>
                <w:spacing w:val="-1"/>
              </w:rPr>
              <w:t>4.14</w:t>
            </w:r>
          </w:p>
        </w:tc>
        <w:tc>
          <w:tcPr>
            <w:tcW w:w="623" w:type="dxa"/>
            <w:vAlign w:val="top"/>
          </w:tcPr>
          <w:p>
            <w:pPr>
              <w:pStyle w:val="6"/>
              <w:spacing w:before="111" w:line="188" w:lineRule="auto"/>
              <w:ind w:left="128"/>
            </w:pPr>
            <w:r>
              <w:rPr>
                <w:spacing w:val="-1"/>
              </w:rPr>
              <w:t>4.54</w:t>
            </w:r>
          </w:p>
        </w:tc>
        <w:tc>
          <w:tcPr>
            <w:tcW w:w="622" w:type="dxa"/>
            <w:vAlign w:val="top"/>
          </w:tcPr>
          <w:p>
            <w:pPr>
              <w:pStyle w:val="6"/>
              <w:spacing w:before="111" w:line="188" w:lineRule="auto"/>
              <w:ind w:left="127"/>
            </w:pPr>
            <w:r>
              <w:rPr>
                <w:spacing w:val="-1"/>
              </w:rPr>
              <w:t>4.03</w:t>
            </w:r>
          </w:p>
        </w:tc>
        <w:tc>
          <w:tcPr>
            <w:tcW w:w="615" w:type="dxa"/>
            <w:tcBorders>
              <w:right w:val="nil"/>
            </w:tcBorders>
            <w:vAlign w:val="top"/>
          </w:tcPr>
          <w:p>
            <w:pPr>
              <w:pStyle w:val="6"/>
              <w:spacing w:before="111" w:line="188" w:lineRule="auto"/>
              <w:ind w:left="126"/>
            </w:pPr>
            <w:r>
              <w:rPr>
                <w:spacing w:val="-1"/>
              </w:rPr>
              <w:t>4.41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 w:hRule="atLeast"/>
        </w:trPr>
        <w:tc>
          <w:tcPr>
            <w:tcW w:w="597" w:type="dxa"/>
            <w:vMerge w:val="restart"/>
            <w:tcBorders>
              <w:left w:val="nil"/>
              <w:bottom w:val="nil"/>
            </w:tcBorders>
            <w:vAlign w:val="top"/>
          </w:tcPr>
          <w:p>
            <w:pPr>
              <w:spacing w:before="155" w:line="217" w:lineRule="auto"/>
              <w:ind w:left="99"/>
              <w:rPr>
                <w:rFonts w:ascii="仿宋" w:hAnsi="仿宋" w:eastAsia="仿宋" w:cs="仿宋"/>
                <w:sz w:val="21"/>
                <w:szCs w:val="21"/>
              </w:rPr>
            </w:pPr>
            <w:r>
              <w:rPr>
                <w:rFonts w:ascii="仿宋" w:hAnsi="仿宋" w:eastAsia="仿宋" w:cs="仿宋"/>
                <w:spacing w:val="-4"/>
                <w:sz w:val="21"/>
                <w:szCs w:val="21"/>
              </w:rPr>
              <w:t>昔木</w:t>
            </w:r>
          </w:p>
        </w:tc>
        <w:tc>
          <w:tcPr>
            <w:tcW w:w="552" w:type="dxa"/>
            <w:vAlign w:val="top"/>
          </w:tcPr>
          <w:p>
            <w:pPr>
              <w:pStyle w:val="6"/>
              <w:spacing w:before="65" w:line="169" w:lineRule="auto"/>
              <w:ind w:left="84"/>
            </w:pPr>
            <w:r>
              <w:rPr>
                <w:spacing w:val="-1"/>
              </w:rPr>
              <w:t>25%</w:t>
            </w:r>
          </w:p>
        </w:tc>
        <w:tc>
          <w:tcPr>
            <w:tcW w:w="622" w:type="dxa"/>
            <w:vAlign w:val="top"/>
          </w:tcPr>
          <w:p>
            <w:pPr>
              <w:pStyle w:val="6"/>
              <w:spacing w:before="66" w:line="168" w:lineRule="auto"/>
              <w:ind w:left="76"/>
            </w:pPr>
            <w:r>
              <w:rPr>
                <w:spacing w:val="-1"/>
              </w:rPr>
              <w:t>20.28</w:t>
            </w:r>
          </w:p>
        </w:tc>
        <w:tc>
          <w:tcPr>
            <w:tcW w:w="702" w:type="dxa"/>
            <w:vAlign w:val="top"/>
          </w:tcPr>
          <w:p>
            <w:pPr>
              <w:pStyle w:val="6"/>
              <w:spacing w:before="66" w:line="168" w:lineRule="auto"/>
              <w:ind w:left="119"/>
            </w:pPr>
            <w:r>
              <w:rPr>
                <w:spacing w:val="-2"/>
              </w:rPr>
              <w:t>39.54</w:t>
            </w:r>
          </w:p>
        </w:tc>
        <w:tc>
          <w:tcPr>
            <w:tcW w:w="674" w:type="dxa"/>
            <w:vAlign w:val="top"/>
          </w:tcPr>
          <w:p>
            <w:pPr>
              <w:pStyle w:val="6"/>
              <w:spacing w:before="66" w:line="168" w:lineRule="auto"/>
              <w:ind w:left="99"/>
            </w:pPr>
            <w:r>
              <w:rPr>
                <w:spacing w:val="-1"/>
              </w:rPr>
              <w:t>40.66</w:t>
            </w:r>
          </w:p>
        </w:tc>
        <w:tc>
          <w:tcPr>
            <w:tcW w:w="677" w:type="dxa"/>
            <w:vAlign w:val="top"/>
          </w:tcPr>
          <w:p>
            <w:pPr>
              <w:pStyle w:val="6"/>
              <w:spacing w:before="66" w:line="168" w:lineRule="auto"/>
              <w:ind w:left="107"/>
            </w:pPr>
            <w:r>
              <w:rPr>
                <w:spacing w:val="-2"/>
              </w:rPr>
              <w:t>34.83</w:t>
            </w:r>
          </w:p>
        </w:tc>
        <w:tc>
          <w:tcPr>
            <w:tcW w:w="665" w:type="dxa"/>
            <w:vAlign w:val="top"/>
          </w:tcPr>
          <w:p>
            <w:pPr>
              <w:pStyle w:val="6"/>
              <w:spacing w:before="66" w:line="168" w:lineRule="auto"/>
              <w:ind w:left="97"/>
            </w:pPr>
            <w:r>
              <w:rPr>
                <w:spacing w:val="-1"/>
              </w:rPr>
              <w:t>28.13</w:t>
            </w:r>
          </w:p>
        </w:tc>
        <w:tc>
          <w:tcPr>
            <w:tcW w:w="650" w:type="dxa"/>
            <w:vAlign w:val="top"/>
          </w:tcPr>
          <w:p>
            <w:pPr>
              <w:pStyle w:val="6"/>
              <w:spacing w:before="66" w:line="168" w:lineRule="auto"/>
              <w:ind w:left="89"/>
            </w:pPr>
            <w:r>
              <w:rPr>
                <w:spacing w:val="-1"/>
              </w:rPr>
              <w:t>22.70</w:t>
            </w:r>
          </w:p>
        </w:tc>
        <w:tc>
          <w:tcPr>
            <w:tcW w:w="662" w:type="dxa"/>
            <w:vAlign w:val="top"/>
          </w:tcPr>
          <w:p>
            <w:pPr>
              <w:pStyle w:val="6"/>
              <w:spacing w:before="66" w:line="168" w:lineRule="auto"/>
              <w:ind w:left="117"/>
            </w:pPr>
            <w:r>
              <w:rPr>
                <w:spacing w:val="-5"/>
              </w:rPr>
              <w:t>17.61</w:t>
            </w:r>
          </w:p>
        </w:tc>
        <w:tc>
          <w:tcPr>
            <w:tcW w:w="623" w:type="dxa"/>
            <w:vAlign w:val="top"/>
          </w:tcPr>
          <w:p>
            <w:pPr>
              <w:pStyle w:val="6"/>
              <w:spacing w:before="66" w:line="168" w:lineRule="auto"/>
              <w:ind w:left="97"/>
            </w:pPr>
            <w:r>
              <w:rPr>
                <w:spacing w:val="-5"/>
              </w:rPr>
              <w:t>13.99</w:t>
            </w:r>
          </w:p>
        </w:tc>
        <w:tc>
          <w:tcPr>
            <w:tcW w:w="674" w:type="dxa"/>
            <w:vAlign w:val="top"/>
          </w:tcPr>
          <w:p>
            <w:pPr>
              <w:pStyle w:val="6"/>
              <w:spacing w:before="66" w:line="168" w:lineRule="auto"/>
              <w:ind w:left="125"/>
            </w:pPr>
            <w:r>
              <w:rPr>
                <w:spacing w:val="-7"/>
              </w:rPr>
              <w:t>11.59</w:t>
            </w:r>
          </w:p>
        </w:tc>
        <w:tc>
          <w:tcPr>
            <w:tcW w:w="623" w:type="dxa"/>
            <w:vAlign w:val="top"/>
          </w:tcPr>
          <w:p>
            <w:pPr>
              <w:pStyle w:val="6"/>
              <w:spacing w:before="66" w:line="168" w:lineRule="auto"/>
              <w:ind w:left="96"/>
            </w:pPr>
            <w:r>
              <w:rPr>
                <w:spacing w:val="-5"/>
              </w:rPr>
              <w:t>12.32</w:t>
            </w:r>
          </w:p>
        </w:tc>
        <w:tc>
          <w:tcPr>
            <w:tcW w:w="622" w:type="dxa"/>
            <w:vAlign w:val="top"/>
          </w:tcPr>
          <w:p>
            <w:pPr>
              <w:pStyle w:val="6"/>
              <w:spacing w:before="66" w:line="168" w:lineRule="auto"/>
              <w:ind w:left="132"/>
            </w:pPr>
            <w:r>
              <w:rPr>
                <w:spacing w:val="-2"/>
              </w:rPr>
              <w:t>9.90</w:t>
            </w:r>
          </w:p>
        </w:tc>
        <w:tc>
          <w:tcPr>
            <w:tcW w:w="615" w:type="dxa"/>
            <w:tcBorders>
              <w:right w:val="nil"/>
            </w:tcBorders>
            <w:vAlign w:val="top"/>
          </w:tcPr>
          <w:p>
            <w:pPr>
              <w:pStyle w:val="6"/>
              <w:spacing w:before="66" w:line="168" w:lineRule="auto"/>
              <w:ind w:left="99"/>
            </w:pPr>
            <w:r>
              <w:rPr>
                <w:spacing w:val="-7"/>
              </w:rPr>
              <w:t>11.42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1" w:hRule="atLeast"/>
        </w:trPr>
        <w:tc>
          <w:tcPr>
            <w:tcW w:w="597" w:type="dxa"/>
            <w:vMerge w:val="continue"/>
            <w:tcBorders>
              <w:top w:val="nil"/>
              <w:left w:val="nil"/>
              <w:bottom w:val="single" w:color="000000" w:sz="6" w:space="0"/>
            </w:tcBorders>
            <w:vAlign w:val="top"/>
          </w:tcPr>
          <w:p>
            <w:pPr>
              <w:rPr>
                <w:rFonts w:ascii="Arial"/>
                <w:sz w:val="21"/>
              </w:rPr>
            </w:pPr>
          </w:p>
        </w:tc>
        <w:tc>
          <w:tcPr>
            <w:tcW w:w="552" w:type="dxa"/>
            <w:tcBorders>
              <w:bottom w:val="single" w:color="000000" w:sz="6" w:space="0"/>
            </w:tcBorders>
            <w:vAlign w:val="top"/>
          </w:tcPr>
          <w:p>
            <w:pPr>
              <w:pStyle w:val="6"/>
              <w:spacing w:before="65" w:line="184" w:lineRule="auto"/>
              <w:ind w:left="90"/>
            </w:pPr>
            <w:r>
              <w:rPr>
                <w:spacing w:val="-2"/>
              </w:rPr>
              <w:t>50%</w:t>
            </w:r>
          </w:p>
        </w:tc>
        <w:tc>
          <w:tcPr>
            <w:tcW w:w="622" w:type="dxa"/>
            <w:tcBorders>
              <w:bottom w:val="single" w:color="000000" w:sz="6" w:space="0"/>
            </w:tcBorders>
            <w:vAlign w:val="top"/>
          </w:tcPr>
          <w:p>
            <w:pPr>
              <w:pStyle w:val="6"/>
              <w:spacing w:before="65" w:line="184" w:lineRule="auto"/>
              <w:ind w:left="96"/>
            </w:pPr>
            <w:r>
              <w:rPr>
                <w:spacing w:val="-5"/>
              </w:rPr>
              <w:t>14.55</w:t>
            </w:r>
          </w:p>
        </w:tc>
        <w:tc>
          <w:tcPr>
            <w:tcW w:w="702" w:type="dxa"/>
            <w:tcBorders>
              <w:bottom w:val="single" w:color="000000" w:sz="6" w:space="0"/>
            </w:tcBorders>
            <w:vAlign w:val="top"/>
          </w:tcPr>
          <w:p>
            <w:pPr>
              <w:pStyle w:val="6"/>
              <w:spacing w:before="65" w:line="184" w:lineRule="auto"/>
              <w:ind w:left="119"/>
            </w:pPr>
            <w:r>
              <w:rPr>
                <w:spacing w:val="-2"/>
              </w:rPr>
              <w:t>38.32</w:t>
            </w:r>
          </w:p>
        </w:tc>
        <w:tc>
          <w:tcPr>
            <w:tcW w:w="674" w:type="dxa"/>
            <w:tcBorders>
              <w:bottom w:val="single" w:color="000000" w:sz="6" w:space="0"/>
            </w:tcBorders>
            <w:vAlign w:val="top"/>
          </w:tcPr>
          <w:p>
            <w:pPr>
              <w:pStyle w:val="6"/>
              <w:spacing w:before="65" w:line="184" w:lineRule="auto"/>
              <w:ind w:left="105"/>
            </w:pPr>
            <w:r>
              <w:rPr>
                <w:spacing w:val="-2"/>
              </w:rPr>
              <w:t>37.70</w:t>
            </w:r>
          </w:p>
        </w:tc>
        <w:tc>
          <w:tcPr>
            <w:tcW w:w="677" w:type="dxa"/>
            <w:tcBorders>
              <w:bottom w:val="single" w:color="000000" w:sz="6" w:space="0"/>
            </w:tcBorders>
            <w:vAlign w:val="top"/>
          </w:tcPr>
          <w:p>
            <w:pPr>
              <w:pStyle w:val="6"/>
              <w:spacing w:before="65" w:line="184" w:lineRule="auto"/>
              <w:ind w:left="102"/>
            </w:pPr>
            <w:r>
              <w:rPr>
                <w:spacing w:val="-1"/>
              </w:rPr>
              <w:t>40.94</w:t>
            </w:r>
          </w:p>
        </w:tc>
        <w:tc>
          <w:tcPr>
            <w:tcW w:w="665" w:type="dxa"/>
            <w:tcBorders>
              <w:bottom w:val="single" w:color="000000" w:sz="6" w:space="0"/>
            </w:tcBorders>
            <w:vAlign w:val="top"/>
          </w:tcPr>
          <w:p>
            <w:pPr>
              <w:pStyle w:val="6"/>
              <w:spacing w:before="65" w:line="184" w:lineRule="auto"/>
              <w:ind w:left="118"/>
            </w:pPr>
            <w:r>
              <w:rPr>
                <w:spacing w:val="-5"/>
              </w:rPr>
              <w:t>14.35</w:t>
            </w:r>
          </w:p>
        </w:tc>
        <w:tc>
          <w:tcPr>
            <w:tcW w:w="650" w:type="dxa"/>
            <w:tcBorders>
              <w:bottom w:val="single" w:color="000000" w:sz="6" w:space="0"/>
            </w:tcBorders>
            <w:vAlign w:val="top"/>
          </w:tcPr>
          <w:p>
            <w:pPr>
              <w:pStyle w:val="6"/>
              <w:spacing w:before="65" w:line="184" w:lineRule="auto"/>
              <w:ind w:left="146"/>
            </w:pPr>
            <w:r>
              <w:rPr>
                <w:spacing w:val="-2"/>
              </w:rPr>
              <w:t>9.32</w:t>
            </w:r>
          </w:p>
        </w:tc>
        <w:tc>
          <w:tcPr>
            <w:tcW w:w="662" w:type="dxa"/>
            <w:tcBorders>
              <w:bottom w:val="single" w:color="000000" w:sz="6" w:space="0"/>
            </w:tcBorders>
            <w:vAlign w:val="top"/>
          </w:tcPr>
          <w:p>
            <w:pPr>
              <w:pStyle w:val="6"/>
              <w:spacing w:before="65" w:line="184" w:lineRule="auto"/>
              <w:ind w:left="153"/>
            </w:pPr>
            <w:r>
              <w:rPr>
                <w:spacing w:val="-2"/>
              </w:rPr>
              <w:t>9.63</w:t>
            </w:r>
          </w:p>
        </w:tc>
        <w:tc>
          <w:tcPr>
            <w:tcW w:w="623" w:type="dxa"/>
            <w:tcBorders>
              <w:bottom w:val="single" w:color="000000" w:sz="6" w:space="0"/>
            </w:tcBorders>
            <w:vAlign w:val="top"/>
          </w:tcPr>
          <w:p>
            <w:pPr>
              <w:pStyle w:val="6"/>
              <w:spacing w:before="65" w:line="184" w:lineRule="auto"/>
              <w:ind w:left="133"/>
            </w:pPr>
            <w:r>
              <w:rPr>
                <w:spacing w:val="-2"/>
              </w:rPr>
              <w:t>9.03</w:t>
            </w:r>
          </w:p>
        </w:tc>
        <w:tc>
          <w:tcPr>
            <w:tcW w:w="674" w:type="dxa"/>
            <w:tcBorders>
              <w:bottom w:val="single" w:color="000000" w:sz="6" w:space="0"/>
            </w:tcBorders>
            <w:vAlign w:val="top"/>
          </w:tcPr>
          <w:p>
            <w:pPr>
              <w:pStyle w:val="6"/>
              <w:spacing w:before="65" w:line="184" w:lineRule="auto"/>
              <w:ind w:left="158"/>
            </w:pPr>
            <w:r>
              <w:rPr>
                <w:spacing w:val="-3"/>
              </w:rPr>
              <w:t>6.81</w:t>
            </w:r>
          </w:p>
        </w:tc>
        <w:tc>
          <w:tcPr>
            <w:tcW w:w="623" w:type="dxa"/>
            <w:tcBorders>
              <w:bottom w:val="single" w:color="000000" w:sz="6" w:space="0"/>
            </w:tcBorders>
            <w:vAlign w:val="top"/>
          </w:tcPr>
          <w:p>
            <w:pPr>
              <w:pStyle w:val="6"/>
              <w:spacing w:before="65" w:line="184" w:lineRule="auto"/>
              <w:ind w:left="133"/>
            </w:pPr>
            <w:r>
              <w:rPr>
                <w:spacing w:val="-3"/>
              </w:rPr>
              <w:t>6.28</w:t>
            </w:r>
          </w:p>
        </w:tc>
        <w:tc>
          <w:tcPr>
            <w:tcW w:w="622" w:type="dxa"/>
            <w:tcBorders>
              <w:bottom w:val="single" w:color="000000" w:sz="6" w:space="0"/>
            </w:tcBorders>
            <w:vAlign w:val="top"/>
          </w:tcPr>
          <w:p>
            <w:pPr>
              <w:pStyle w:val="6"/>
              <w:spacing w:before="65" w:line="184" w:lineRule="auto"/>
              <w:ind w:left="133"/>
            </w:pPr>
            <w:r>
              <w:rPr>
                <w:spacing w:val="-3"/>
              </w:rPr>
              <w:t>6.06</w:t>
            </w:r>
          </w:p>
        </w:tc>
        <w:tc>
          <w:tcPr>
            <w:tcW w:w="615" w:type="dxa"/>
            <w:tcBorders>
              <w:bottom w:val="single" w:color="000000" w:sz="6" w:space="0"/>
              <w:right w:val="nil"/>
            </w:tcBorders>
            <w:vAlign w:val="top"/>
          </w:tcPr>
          <w:p>
            <w:pPr>
              <w:pStyle w:val="6"/>
              <w:spacing w:before="65" w:line="184" w:lineRule="auto"/>
              <w:ind w:left="131"/>
            </w:pPr>
            <w:r>
              <w:rPr>
                <w:spacing w:val="-3"/>
              </w:rPr>
              <w:t>6.35</w:t>
            </w:r>
          </w:p>
        </w:tc>
      </w:tr>
    </w:tbl>
    <w:p>
      <w:pPr>
        <w:spacing w:line="58" w:lineRule="exact"/>
        <w:rPr>
          <w:rFonts w:ascii="Arial"/>
          <w:sz w:val="5"/>
        </w:rPr>
      </w:pPr>
    </w:p>
    <w:p>
      <w:pPr>
        <w:spacing w:line="58" w:lineRule="exact"/>
        <w:rPr>
          <w:rFonts w:ascii="Arial" w:hAnsi="Arial" w:eastAsia="Arial" w:cs="Arial"/>
          <w:sz w:val="5"/>
          <w:szCs w:val="5"/>
        </w:rPr>
        <w:sectPr>
          <w:headerReference r:id="rId61" w:type="default"/>
          <w:footerReference r:id="rId62" w:type="default"/>
          <w:pgSz w:w="11907" w:h="16839"/>
          <w:pgMar w:top="1298" w:right="1387" w:bottom="1374" w:left="1501" w:header="1023" w:footer="1210" w:gutter="0"/>
        </w:sectPr>
      </w:pPr>
    </w:p>
    <w:p>
      <w:pPr>
        <w:spacing w:line="120" w:lineRule="exact"/>
      </w:pPr>
    </w:p>
    <w:tbl>
      <w:tblPr>
        <w:tblStyle w:val="5"/>
        <w:tblW w:w="8958"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7"/>
        <w:gridCol w:w="552"/>
        <w:gridCol w:w="622"/>
        <w:gridCol w:w="702"/>
        <w:gridCol w:w="674"/>
        <w:gridCol w:w="677"/>
        <w:gridCol w:w="665"/>
        <w:gridCol w:w="650"/>
        <w:gridCol w:w="662"/>
        <w:gridCol w:w="623"/>
        <w:gridCol w:w="674"/>
        <w:gridCol w:w="623"/>
        <w:gridCol w:w="622"/>
        <w:gridCol w:w="6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9" w:hRule="atLeast"/>
        </w:trPr>
        <w:tc>
          <w:tcPr>
            <w:tcW w:w="597" w:type="dxa"/>
            <w:vMerge w:val="restart"/>
            <w:tcBorders>
              <w:top w:val="single" w:color="000000" w:sz="6" w:space="0"/>
              <w:left w:val="nil"/>
              <w:bottom w:val="nil"/>
            </w:tcBorders>
            <w:vAlign w:val="top"/>
          </w:tcPr>
          <w:p>
            <w:pPr>
              <w:spacing w:before="34" w:line="217" w:lineRule="auto"/>
              <w:ind w:left="106"/>
              <w:rPr>
                <w:rFonts w:ascii="仿宋" w:hAnsi="仿宋" w:eastAsia="仿宋" w:cs="仿宋"/>
                <w:sz w:val="21"/>
                <w:szCs w:val="21"/>
              </w:rPr>
            </w:pPr>
            <w:r>
              <w:rPr>
                <w:rFonts w:ascii="仿宋" w:hAnsi="仿宋" w:eastAsia="仿宋" w:cs="仿宋"/>
                <w:spacing w:val="-6"/>
                <w:sz w:val="21"/>
                <w:szCs w:val="21"/>
              </w:rPr>
              <w:t>乍箐</w:t>
            </w:r>
          </w:p>
          <w:p>
            <w:pPr>
              <w:spacing w:before="26" w:line="218" w:lineRule="auto"/>
              <w:ind w:left="99"/>
              <w:rPr>
                <w:rFonts w:ascii="仿宋" w:hAnsi="仿宋" w:eastAsia="仿宋" w:cs="仿宋"/>
                <w:sz w:val="21"/>
                <w:szCs w:val="21"/>
              </w:rPr>
            </w:pPr>
            <w:r>
              <w:rPr>
                <w:rFonts w:ascii="仿宋" w:hAnsi="仿宋" w:eastAsia="仿宋" w:cs="仿宋"/>
                <w:spacing w:val="-4"/>
                <w:sz w:val="21"/>
                <w:szCs w:val="21"/>
              </w:rPr>
              <w:t>取水</w:t>
            </w:r>
          </w:p>
          <w:p>
            <w:pPr>
              <w:spacing w:before="24" w:line="201" w:lineRule="auto"/>
              <w:ind w:left="210"/>
              <w:rPr>
                <w:rFonts w:ascii="仿宋" w:hAnsi="仿宋" w:eastAsia="仿宋" w:cs="仿宋"/>
                <w:sz w:val="21"/>
                <w:szCs w:val="21"/>
              </w:rPr>
            </w:pPr>
            <w:r>
              <w:rPr>
                <w:rFonts w:ascii="仿宋" w:hAnsi="仿宋" w:eastAsia="仿宋" w:cs="仿宋"/>
                <w:sz w:val="21"/>
                <w:szCs w:val="21"/>
              </w:rPr>
              <w:t>坝</w:t>
            </w:r>
          </w:p>
        </w:tc>
        <w:tc>
          <w:tcPr>
            <w:tcW w:w="552" w:type="dxa"/>
            <w:tcBorders>
              <w:top w:val="single" w:color="000000" w:sz="6" w:space="0"/>
            </w:tcBorders>
            <w:vAlign w:val="top"/>
          </w:tcPr>
          <w:p>
            <w:pPr>
              <w:pStyle w:val="6"/>
              <w:spacing w:before="53" w:line="184" w:lineRule="auto"/>
              <w:ind w:left="87"/>
            </w:pPr>
            <w:r>
              <w:rPr>
                <w:spacing w:val="-3"/>
              </w:rPr>
              <w:t>75%</w:t>
            </w:r>
          </w:p>
        </w:tc>
        <w:tc>
          <w:tcPr>
            <w:tcW w:w="622" w:type="dxa"/>
            <w:tcBorders>
              <w:top w:val="single" w:color="000000" w:sz="6" w:space="0"/>
            </w:tcBorders>
            <w:vAlign w:val="top"/>
          </w:tcPr>
          <w:p>
            <w:pPr>
              <w:pStyle w:val="6"/>
              <w:spacing w:before="55" w:line="182" w:lineRule="auto"/>
              <w:ind w:left="132"/>
            </w:pPr>
            <w:r>
              <w:rPr>
                <w:spacing w:val="-2"/>
              </w:rPr>
              <w:t>7.00</w:t>
            </w:r>
          </w:p>
        </w:tc>
        <w:tc>
          <w:tcPr>
            <w:tcW w:w="702" w:type="dxa"/>
            <w:tcBorders>
              <w:top w:val="single" w:color="000000" w:sz="6" w:space="0"/>
            </w:tcBorders>
            <w:vAlign w:val="top"/>
          </w:tcPr>
          <w:p>
            <w:pPr>
              <w:pStyle w:val="6"/>
              <w:spacing w:before="55" w:line="182" w:lineRule="auto"/>
              <w:ind w:left="115"/>
            </w:pPr>
            <w:r>
              <w:rPr>
                <w:spacing w:val="-1"/>
              </w:rPr>
              <w:t>20.86</w:t>
            </w:r>
          </w:p>
        </w:tc>
        <w:tc>
          <w:tcPr>
            <w:tcW w:w="674" w:type="dxa"/>
            <w:tcBorders>
              <w:top w:val="single" w:color="000000" w:sz="6" w:space="0"/>
            </w:tcBorders>
            <w:vAlign w:val="top"/>
          </w:tcPr>
          <w:p>
            <w:pPr>
              <w:pStyle w:val="6"/>
              <w:spacing w:before="55" w:line="182" w:lineRule="auto"/>
              <w:ind w:left="99"/>
            </w:pPr>
            <w:r>
              <w:rPr>
                <w:spacing w:val="-1"/>
              </w:rPr>
              <w:t>44.95</w:t>
            </w:r>
          </w:p>
        </w:tc>
        <w:tc>
          <w:tcPr>
            <w:tcW w:w="677" w:type="dxa"/>
            <w:tcBorders>
              <w:top w:val="single" w:color="000000" w:sz="6" w:space="0"/>
            </w:tcBorders>
            <w:vAlign w:val="top"/>
          </w:tcPr>
          <w:p>
            <w:pPr>
              <w:pStyle w:val="6"/>
              <w:spacing w:before="55" w:line="182" w:lineRule="auto"/>
              <w:ind w:left="123"/>
            </w:pPr>
            <w:r>
              <w:rPr>
                <w:spacing w:val="-5"/>
              </w:rPr>
              <w:t>19.24</w:t>
            </w:r>
          </w:p>
        </w:tc>
        <w:tc>
          <w:tcPr>
            <w:tcW w:w="665" w:type="dxa"/>
            <w:tcBorders>
              <w:top w:val="single" w:color="000000" w:sz="6" w:space="0"/>
            </w:tcBorders>
            <w:vAlign w:val="top"/>
          </w:tcPr>
          <w:p>
            <w:pPr>
              <w:pStyle w:val="6"/>
              <w:spacing w:before="55" w:line="182" w:lineRule="auto"/>
              <w:ind w:left="118"/>
            </w:pPr>
            <w:r>
              <w:rPr>
                <w:spacing w:val="-5"/>
              </w:rPr>
              <w:t>15.24</w:t>
            </w:r>
          </w:p>
        </w:tc>
        <w:tc>
          <w:tcPr>
            <w:tcW w:w="650" w:type="dxa"/>
            <w:tcBorders>
              <w:top w:val="single" w:color="000000" w:sz="6" w:space="0"/>
            </w:tcBorders>
            <w:vAlign w:val="top"/>
          </w:tcPr>
          <w:p>
            <w:pPr>
              <w:pStyle w:val="6"/>
              <w:spacing w:before="55" w:line="182" w:lineRule="auto"/>
              <w:ind w:left="150"/>
            </w:pPr>
            <w:r>
              <w:rPr>
                <w:spacing w:val="-4"/>
              </w:rPr>
              <w:t>8.00</w:t>
            </w:r>
          </w:p>
        </w:tc>
        <w:tc>
          <w:tcPr>
            <w:tcW w:w="662" w:type="dxa"/>
            <w:tcBorders>
              <w:top w:val="single" w:color="000000" w:sz="6" w:space="0"/>
            </w:tcBorders>
            <w:vAlign w:val="top"/>
          </w:tcPr>
          <w:p>
            <w:pPr>
              <w:pStyle w:val="6"/>
              <w:spacing w:before="55" w:line="182" w:lineRule="auto"/>
              <w:ind w:left="155"/>
            </w:pPr>
            <w:r>
              <w:rPr>
                <w:spacing w:val="-3"/>
              </w:rPr>
              <w:t>5.98</w:t>
            </w:r>
          </w:p>
        </w:tc>
        <w:tc>
          <w:tcPr>
            <w:tcW w:w="623" w:type="dxa"/>
            <w:tcBorders>
              <w:top w:val="single" w:color="000000" w:sz="6" w:space="0"/>
            </w:tcBorders>
            <w:vAlign w:val="top"/>
          </w:tcPr>
          <w:p>
            <w:pPr>
              <w:pStyle w:val="6"/>
              <w:spacing w:before="55" w:line="182" w:lineRule="auto"/>
              <w:ind w:left="135"/>
            </w:pPr>
            <w:r>
              <w:rPr>
                <w:spacing w:val="-3"/>
              </w:rPr>
              <w:t>5.91</w:t>
            </w:r>
          </w:p>
        </w:tc>
        <w:tc>
          <w:tcPr>
            <w:tcW w:w="674" w:type="dxa"/>
            <w:tcBorders>
              <w:top w:val="single" w:color="000000" w:sz="6" w:space="0"/>
            </w:tcBorders>
            <w:vAlign w:val="top"/>
          </w:tcPr>
          <w:p>
            <w:pPr>
              <w:pStyle w:val="6"/>
              <w:spacing w:before="55" w:line="182" w:lineRule="auto"/>
              <w:ind w:left="152"/>
            </w:pPr>
            <w:r>
              <w:rPr>
                <w:spacing w:val="-1"/>
              </w:rPr>
              <w:t>4.78</w:t>
            </w:r>
          </w:p>
        </w:tc>
        <w:tc>
          <w:tcPr>
            <w:tcW w:w="623" w:type="dxa"/>
            <w:tcBorders>
              <w:top w:val="single" w:color="000000" w:sz="6" w:space="0"/>
            </w:tcBorders>
            <w:vAlign w:val="top"/>
          </w:tcPr>
          <w:p>
            <w:pPr>
              <w:pStyle w:val="6"/>
              <w:spacing w:before="55" w:line="182" w:lineRule="auto"/>
              <w:ind w:left="134"/>
            </w:pPr>
            <w:r>
              <w:rPr>
                <w:spacing w:val="-3"/>
              </w:rPr>
              <w:t>5.24</w:t>
            </w:r>
          </w:p>
        </w:tc>
        <w:tc>
          <w:tcPr>
            <w:tcW w:w="622" w:type="dxa"/>
            <w:tcBorders>
              <w:top w:val="single" w:color="000000" w:sz="6" w:space="0"/>
            </w:tcBorders>
            <w:vAlign w:val="top"/>
          </w:tcPr>
          <w:p>
            <w:pPr>
              <w:pStyle w:val="6"/>
              <w:spacing w:before="55" w:line="182" w:lineRule="auto"/>
              <w:ind w:left="127"/>
            </w:pPr>
            <w:r>
              <w:rPr>
                <w:spacing w:val="-1"/>
              </w:rPr>
              <w:t>4.65</w:t>
            </w:r>
          </w:p>
        </w:tc>
        <w:tc>
          <w:tcPr>
            <w:tcW w:w="615" w:type="dxa"/>
            <w:tcBorders>
              <w:top w:val="single" w:color="000000" w:sz="6" w:space="0"/>
              <w:right w:val="nil"/>
            </w:tcBorders>
            <w:vAlign w:val="top"/>
          </w:tcPr>
          <w:p>
            <w:pPr>
              <w:pStyle w:val="6"/>
              <w:spacing w:before="55" w:line="182" w:lineRule="auto"/>
              <w:ind w:left="132"/>
            </w:pPr>
            <w:r>
              <w:rPr>
                <w:spacing w:val="-3"/>
              </w:rPr>
              <w:t>5.10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5" w:hRule="atLeast"/>
        </w:trPr>
        <w:tc>
          <w:tcPr>
            <w:tcW w:w="597" w:type="dxa"/>
            <w:vMerge w:val="continue"/>
            <w:tcBorders>
              <w:top w:val="nil"/>
              <w:left w:val="nil"/>
            </w:tcBorders>
            <w:vAlign w:val="top"/>
          </w:tcPr>
          <w:p>
            <w:pPr>
              <w:rPr>
                <w:rFonts w:ascii="Arial"/>
                <w:sz w:val="21"/>
              </w:rPr>
            </w:pPr>
          </w:p>
        </w:tc>
        <w:tc>
          <w:tcPr>
            <w:tcW w:w="552" w:type="dxa"/>
            <w:vAlign w:val="top"/>
          </w:tcPr>
          <w:p>
            <w:pPr>
              <w:pStyle w:val="6"/>
              <w:spacing w:before="215" w:line="188" w:lineRule="auto"/>
              <w:ind w:left="88"/>
            </w:pPr>
            <w:r>
              <w:rPr>
                <w:spacing w:val="-2"/>
              </w:rPr>
              <w:t>95%</w:t>
            </w:r>
          </w:p>
        </w:tc>
        <w:tc>
          <w:tcPr>
            <w:tcW w:w="622" w:type="dxa"/>
            <w:vAlign w:val="top"/>
          </w:tcPr>
          <w:p>
            <w:pPr>
              <w:pStyle w:val="6"/>
              <w:spacing w:before="215" w:line="188" w:lineRule="auto"/>
              <w:ind w:left="5"/>
            </w:pPr>
            <w:r>
              <w:rPr>
                <w:spacing w:val="-1"/>
              </w:rPr>
              <w:t>4.26</w:t>
            </w:r>
          </w:p>
        </w:tc>
        <w:tc>
          <w:tcPr>
            <w:tcW w:w="702" w:type="dxa"/>
            <w:vAlign w:val="top"/>
          </w:tcPr>
          <w:p>
            <w:pPr>
              <w:pStyle w:val="6"/>
              <w:spacing w:before="215" w:line="188" w:lineRule="auto"/>
              <w:ind w:left="26"/>
            </w:pPr>
            <w:r>
              <w:rPr>
                <w:spacing w:val="-5"/>
              </w:rPr>
              <w:t>12.70</w:t>
            </w:r>
          </w:p>
        </w:tc>
        <w:tc>
          <w:tcPr>
            <w:tcW w:w="674" w:type="dxa"/>
            <w:vAlign w:val="top"/>
          </w:tcPr>
          <w:p>
            <w:pPr>
              <w:pStyle w:val="6"/>
              <w:spacing w:before="215" w:line="188" w:lineRule="auto"/>
              <w:ind w:left="6"/>
            </w:pPr>
            <w:r>
              <w:rPr>
                <w:spacing w:val="-1"/>
              </w:rPr>
              <w:t>27.37</w:t>
            </w:r>
          </w:p>
        </w:tc>
        <w:tc>
          <w:tcPr>
            <w:tcW w:w="677" w:type="dxa"/>
            <w:vAlign w:val="top"/>
          </w:tcPr>
          <w:p>
            <w:pPr>
              <w:pStyle w:val="6"/>
              <w:spacing w:before="215" w:line="188" w:lineRule="auto"/>
              <w:ind w:left="26"/>
            </w:pPr>
            <w:r>
              <w:rPr>
                <w:spacing w:val="-7"/>
              </w:rPr>
              <w:t>11.71</w:t>
            </w:r>
          </w:p>
        </w:tc>
        <w:tc>
          <w:tcPr>
            <w:tcW w:w="665" w:type="dxa"/>
            <w:vAlign w:val="top"/>
          </w:tcPr>
          <w:p>
            <w:pPr>
              <w:pStyle w:val="6"/>
              <w:spacing w:before="215" w:line="188" w:lineRule="auto"/>
              <w:ind w:left="10"/>
            </w:pPr>
            <w:r>
              <w:rPr>
                <w:spacing w:val="-2"/>
              </w:rPr>
              <w:t>9.28</w:t>
            </w:r>
          </w:p>
        </w:tc>
        <w:tc>
          <w:tcPr>
            <w:tcW w:w="650" w:type="dxa"/>
            <w:vAlign w:val="top"/>
          </w:tcPr>
          <w:p>
            <w:pPr>
              <w:pStyle w:val="6"/>
              <w:spacing w:before="215" w:line="188" w:lineRule="auto"/>
              <w:ind w:left="5"/>
            </w:pPr>
            <w:r>
              <w:rPr>
                <w:spacing w:val="-1"/>
              </w:rPr>
              <w:t>4.87</w:t>
            </w:r>
          </w:p>
        </w:tc>
        <w:tc>
          <w:tcPr>
            <w:tcW w:w="662" w:type="dxa"/>
            <w:vAlign w:val="top"/>
          </w:tcPr>
          <w:p>
            <w:pPr>
              <w:pStyle w:val="6"/>
              <w:spacing w:before="215" w:line="188" w:lineRule="auto"/>
              <w:ind w:left="11"/>
            </w:pPr>
            <w:r>
              <w:rPr>
                <w:spacing w:val="-2"/>
              </w:rPr>
              <w:t>3.64</w:t>
            </w:r>
          </w:p>
        </w:tc>
        <w:tc>
          <w:tcPr>
            <w:tcW w:w="623" w:type="dxa"/>
            <w:vAlign w:val="top"/>
          </w:tcPr>
          <w:p>
            <w:pPr>
              <w:pStyle w:val="6"/>
              <w:spacing w:before="215" w:line="188" w:lineRule="auto"/>
              <w:ind w:left="11"/>
            </w:pPr>
            <w:r>
              <w:rPr>
                <w:spacing w:val="-2"/>
              </w:rPr>
              <w:t>3.60</w:t>
            </w:r>
          </w:p>
        </w:tc>
        <w:tc>
          <w:tcPr>
            <w:tcW w:w="674" w:type="dxa"/>
            <w:vAlign w:val="top"/>
          </w:tcPr>
          <w:p>
            <w:pPr>
              <w:pStyle w:val="6"/>
              <w:spacing w:before="215" w:line="188" w:lineRule="auto"/>
              <w:ind w:left="5"/>
            </w:pPr>
            <w:r>
              <w:rPr>
                <w:spacing w:val="-1"/>
              </w:rPr>
              <w:t>2.91</w:t>
            </w:r>
          </w:p>
        </w:tc>
        <w:tc>
          <w:tcPr>
            <w:tcW w:w="623" w:type="dxa"/>
            <w:vAlign w:val="top"/>
          </w:tcPr>
          <w:p>
            <w:pPr>
              <w:pStyle w:val="6"/>
              <w:spacing w:before="215" w:line="188" w:lineRule="auto"/>
              <w:ind w:left="10"/>
            </w:pPr>
            <w:r>
              <w:rPr>
                <w:spacing w:val="-2"/>
              </w:rPr>
              <w:t>3.19</w:t>
            </w:r>
          </w:p>
        </w:tc>
        <w:tc>
          <w:tcPr>
            <w:tcW w:w="622" w:type="dxa"/>
            <w:vAlign w:val="top"/>
          </w:tcPr>
          <w:p>
            <w:pPr>
              <w:pStyle w:val="6"/>
              <w:spacing w:before="215" w:line="188" w:lineRule="auto"/>
              <w:ind w:left="6"/>
            </w:pPr>
            <w:r>
              <w:rPr>
                <w:spacing w:val="-1"/>
              </w:rPr>
              <w:t>2.83</w:t>
            </w:r>
          </w:p>
        </w:tc>
        <w:tc>
          <w:tcPr>
            <w:tcW w:w="615" w:type="dxa"/>
            <w:tcBorders>
              <w:right w:val="nil"/>
            </w:tcBorders>
            <w:vAlign w:val="top"/>
          </w:tcPr>
          <w:p>
            <w:pPr>
              <w:pStyle w:val="6"/>
              <w:spacing w:before="215" w:line="188" w:lineRule="auto"/>
              <w:ind w:left="10"/>
            </w:pPr>
            <w:r>
              <w:rPr>
                <w:spacing w:val="-2"/>
              </w:rPr>
              <w:t>3.10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 w:hRule="atLeast"/>
        </w:trPr>
        <w:tc>
          <w:tcPr>
            <w:tcW w:w="597" w:type="dxa"/>
            <w:vMerge w:val="restart"/>
            <w:tcBorders>
              <w:left w:val="nil"/>
              <w:bottom w:val="nil"/>
            </w:tcBorders>
            <w:vAlign w:val="top"/>
          </w:tcPr>
          <w:p>
            <w:pPr>
              <w:spacing w:before="126" w:line="233" w:lineRule="auto"/>
              <w:ind w:left="98" w:right="89" w:firstLine="2"/>
              <w:jc w:val="both"/>
              <w:rPr>
                <w:rFonts w:ascii="仿宋" w:hAnsi="仿宋" w:eastAsia="仿宋" w:cs="仿宋"/>
                <w:sz w:val="21"/>
                <w:szCs w:val="21"/>
              </w:rPr>
            </w:pPr>
            <w:r>
              <w:rPr>
                <w:rFonts w:ascii="仿宋" w:hAnsi="仿宋" w:eastAsia="仿宋" w:cs="仿宋"/>
                <w:spacing w:val="-8"/>
                <w:sz w:val="21"/>
                <w:szCs w:val="21"/>
              </w:rPr>
              <w:t>见簸</w:t>
            </w:r>
            <w:r>
              <w:rPr>
                <w:rFonts w:ascii="仿宋" w:hAnsi="仿宋" w:eastAsia="仿宋" w:cs="仿宋"/>
                <w:sz w:val="21"/>
                <w:szCs w:val="21"/>
              </w:rPr>
              <w:t xml:space="preserve"> </w:t>
            </w:r>
            <w:r>
              <w:rPr>
                <w:rFonts w:ascii="仿宋" w:hAnsi="仿宋" w:eastAsia="仿宋" w:cs="仿宋"/>
                <w:spacing w:val="-7"/>
                <w:sz w:val="21"/>
                <w:szCs w:val="21"/>
              </w:rPr>
              <w:t>箐取</w:t>
            </w:r>
            <w:r>
              <w:rPr>
                <w:rFonts w:ascii="仿宋" w:hAnsi="仿宋" w:eastAsia="仿宋" w:cs="仿宋"/>
                <w:sz w:val="21"/>
                <w:szCs w:val="21"/>
              </w:rPr>
              <w:t xml:space="preserve"> </w:t>
            </w:r>
            <w:r>
              <w:rPr>
                <w:rFonts w:ascii="仿宋" w:hAnsi="仿宋" w:eastAsia="仿宋" w:cs="仿宋"/>
                <w:spacing w:val="-7"/>
                <w:sz w:val="21"/>
                <w:szCs w:val="21"/>
              </w:rPr>
              <w:t>水坝</w:t>
            </w:r>
          </w:p>
        </w:tc>
        <w:tc>
          <w:tcPr>
            <w:tcW w:w="552" w:type="dxa"/>
            <w:vAlign w:val="top"/>
          </w:tcPr>
          <w:p>
            <w:pPr>
              <w:pStyle w:val="6"/>
              <w:spacing w:before="59" w:line="174" w:lineRule="auto"/>
              <w:ind w:left="84"/>
            </w:pPr>
            <w:r>
              <w:rPr>
                <w:spacing w:val="-1"/>
              </w:rPr>
              <w:t>25%</w:t>
            </w:r>
          </w:p>
        </w:tc>
        <w:tc>
          <w:tcPr>
            <w:tcW w:w="622" w:type="dxa"/>
            <w:vAlign w:val="top"/>
          </w:tcPr>
          <w:p>
            <w:pPr>
              <w:pStyle w:val="6"/>
              <w:spacing w:before="59" w:line="174" w:lineRule="auto"/>
              <w:ind w:left="81"/>
            </w:pPr>
            <w:r>
              <w:rPr>
                <w:spacing w:val="-2"/>
              </w:rPr>
              <w:t>54.33</w:t>
            </w:r>
          </w:p>
        </w:tc>
        <w:tc>
          <w:tcPr>
            <w:tcW w:w="702" w:type="dxa"/>
            <w:vAlign w:val="top"/>
          </w:tcPr>
          <w:p>
            <w:pPr>
              <w:pStyle w:val="6"/>
              <w:spacing w:before="59" w:line="174" w:lineRule="auto"/>
              <w:ind w:left="83"/>
            </w:pPr>
            <w:r>
              <w:rPr>
                <w:spacing w:val="-4"/>
              </w:rPr>
              <w:t>105.94</w:t>
            </w:r>
          </w:p>
        </w:tc>
        <w:tc>
          <w:tcPr>
            <w:tcW w:w="674" w:type="dxa"/>
            <w:vAlign w:val="top"/>
          </w:tcPr>
          <w:p>
            <w:pPr>
              <w:pStyle w:val="6"/>
              <w:spacing w:before="59" w:line="174" w:lineRule="auto"/>
              <w:ind w:left="69"/>
            </w:pPr>
            <w:r>
              <w:rPr>
                <w:spacing w:val="-4"/>
              </w:rPr>
              <w:t>108.92</w:t>
            </w:r>
          </w:p>
        </w:tc>
        <w:tc>
          <w:tcPr>
            <w:tcW w:w="677" w:type="dxa"/>
            <w:vAlign w:val="top"/>
          </w:tcPr>
          <w:p>
            <w:pPr>
              <w:pStyle w:val="6"/>
              <w:spacing w:before="59" w:line="174" w:lineRule="auto"/>
              <w:ind w:left="107"/>
            </w:pPr>
            <w:r>
              <w:rPr>
                <w:spacing w:val="-2"/>
              </w:rPr>
              <w:t>93.31</w:t>
            </w:r>
          </w:p>
        </w:tc>
        <w:tc>
          <w:tcPr>
            <w:tcW w:w="665" w:type="dxa"/>
            <w:vAlign w:val="top"/>
          </w:tcPr>
          <w:p>
            <w:pPr>
              <w:pStyle w:val="6"/>
              <w:spacing w:before="59" w:line="174" w:lineRule="auto"/>
              <w:ind w:left="101"/>
            </w:pPr>
            <w:r>
              <w:rPr>
                <w:spacing w:val="-2"/>
              </w:rPr>
              <w:t>75.35</w:t>
            </w:r>
          </w:p>
        </w:tc>
        <w:tc>
          <w:tcPr>
            <w:tcW w:w="650" w:type="dxa"/>
            <w:vAlign w:val="top"/>
          </w:tcPr>
          <w:p>
            <w:pPr>
              <w:pStyle w:val="6"/>
              <w:spacing w:before="59" w:line="174" w:lineRule="auto"/>
              <w:ind w:left="93"/>
            </w:pPr>
            <w:r>
              <w:rPr>
                <w:spacing w:val="-2"/>
              </w:rPr>
              <w:t>60.83</w:t>
            </w:r>
          </w:p>
        </w:tc>
        <w:tc>
          <w:tcPr>
            <w:tcW w:w="662" w:type="dxa"/>
            <w:vAlign w:val="top"/>
          </w:tcPr>
          <w:p>
            <w:pPr>
              <w:pStyle w:val="6"/>
              <w:spacing w:before="59" w:line="174" w:lineRule="auto"/>
              <w:ind w:left="95"/>
            </w:pPr>
            <w:r>
              <w:rPr>
                <w:spacing w:val="-1"/>
              </w:rPr>
              <w:t>47.19</w:t>
            </w:r>
          </w:p>
        </w:tc>
        <w:tc>
          <w:tcPr>
            <w:tcW w:w="623" w:type="dxa"/>
            <w:vAlign w:val="top"/>
          </w:tcPr>
          <w:p>
            <w:pPr>
              <w:pStyle w:val="6"/>
              <w:spacing w:before="59" w:line="174" w:lineRule="auto"/>
              <w:ind w:left="81"/>
            </w:pPr>
            <w:r>
              <w:rPr>
                <w:spacing w:val="-2"/>
              </w:rPr>
              <w:t>37.49</w:t>
            </w:r>
          </w:p>
        </w:tc>
        <w:tc>
          <w:tcPr>
            <w:tcW w:w="674" w:type="dxa"/>
            <w:vAlign w:val="top"/>
          </w:tcPr>
          <w:p>
            <w:pPr>
              <w:pStyle w:val="6"/>
              <w:spacing w:before="59" w:line="174" w:lineRule="auto"/>
              <w:ind w:left="104"/>
            </w:pPr>
            <w:r>
              <w:rPr>
                <w:spacing w:val="-2"/>
              </w:rPr>
              <w:t>31.06</w:t>
            </w:r>
          </w:p>
        </w:tc>
        <w:tc>
          <w:tcPr>
            <w:tcW w:w="623" w:type="dxa"/>
            <w:vAlign w:val="top"/>
          </w:tcPr>
          <w:p>
            <w:pPr>
              <w:pStyle w:val="6"/>
              <w:spacing w:before="59" w:line="174" w:lineRule="auto"/>
              <w:ind w:left="80"/>
            </w:pPr>
            <w:r>
              <w:rPr>
                <w:spacing w:val="-2"/>
              </w:rPr>
              <w:t>33.01</w:t>
            </w:r>
          </w:p>
        </w:tc>
        <w:tc>
          <w:tcPr>
            <w:tcW w:w="622" w:type="dxa"/>
            <w:vAlign w:val="top"/>
          </w:tcPr>
          <w:p>
            <w:pPr>
              <w:pStyle w:val="6"/>
              <w:spacing w:before="59" w:line="174" w:lineRule="auto"/>
              <w:ind w:left="76"/>
            </w:pPr>
            <w:r>
              <w:rPr>
                <w:spacing w:val="-1"/>
              </w:rPr>
              <w:t>26.53</w:t>
            </w:r>
          </w:p>
        </w:tc>
        <w:tc>
          <w:tcPr>
            <w:tcW w:w="615" w:type="dxa"/>
            <w:tcBorders>
              <w:right w:val="nil"/>
            </w:tcBorders>
            <w:vAlign w:val="top"/>
          </w:tcPr>
          <w:p>
            <w:pPr>
              <w:pStyle w:val="6"/>
              <w:spacing w:before="59" w:line="174" w:lineRule="auto"/>
              <w:ind w:left="78"/>
            </w:pPr>
            <w:r>
              <w:rPr>
                <w:spacing w:val="-2"/>
              </w:rPr>
              <w:t>30.59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4" w:hRule="atLeast"/>
        </w:trPr>
        <w:tc>
          <w:tcPr>
            <w:tcW w:w="597" w:type="dxa"/>
            <w:vMerge w:val="continue"/>
            <w:tcBorders>
              <w:top w:val="nil"/>
              <w:left w:val="nil"/>
              <w:bottom w:val="nil"/>
            </w:tcBorders>
            <w:vAlign w:val="top"/>
          </w:tcPr>
          <w:p>
            <w:pPr>
              <w:rPr>
                <w:rFonts w:ascii="Arial"/>
                <w:sz w:val="21"/>
              </w:rPr>
            </w:pPr>
          </w:p>
        </w:tc>
        <w:tc>
          <w:tcPr>
            <w:tcW w:w="552" w:type="dxa"/>
            <w:vAlign w:val="top"/>
          </w:tcPr>
          <w:p>
            <w:pPr>
              <w:pStyle w:val="6"/>
              <w:spacing w:before="59" w:line="173" w:lineRule="auto"/>
              <w:ind w:left="90"/>
            </w:pPr>
            <w:r>
              <w:rPr>
                <w:spacing w:val="-2"/>
              </w:rPr>
              <w:t>50%</w:t>
            </w:r>
          </w:p>
        </w:tc>
        <w:tc>
          <w:tcPr>
            <w:tcW w:w="622" w:type="dxa"/>
            <w:vAlign w:val="top"/>
          </w:tcPr>
          <w:p>
            <w:pPr>
              <w:pStyle w:val="6"/>
              <w:spacing w:before="60" w:line="172" w:lineRule="auto"/>
              <w:ind w:left="80"/>
            </w:pPr>
            <w:r>
              <w:rPr>
                <w:spacing w:val="-2"/>
              </w:rPr>
              <w:t>38.98</w:t>
            </w:r>
          </w:p>
        </w:tc>
        <w:tc>
          <w:tcPr>
            <w:tcW w:w="702" w:type="dxa"/>
            <w:vAlign w:val="top"/>
          </w:tcPr>
          <w:p>
            <w:pPr>
              <w:pStyle w:val="6"/>
              <w:spacing w:before="60" w:line="172" w:lineRule="auto"/>
              <w:ind w:left="83"/>
            </w:pPr>
            <w:r>
              <w:rPr>
                <w:spacing w:val="-4"/>
              </w:rPr>
              <w:t>102.67</w:t>
            </w:r>
          </w:p>
        </w:tc>
        <w:tc>
          <w:tcPr>
            <w:tcW w:w="674" w:type="dxa"/>
            <w:vAlign w:val="top"/>
          </w:tcPr>
          <w:p>
            <w:pPr>
              <w:pStyle w:val="6"/>
              <w:spacing w:before="60" w:line="172" w:lineRule="auto"/>
              <w:ind w:left="69"/>
            </w:pPr>
            <w:r>
              <w:rPr>
                <w:spacing w:val="-4"/>
              </w:rPr>
              <w:t>100.99</w:t>
            </w:r>
          </w:p>
        </w:tc>
        <w:tc>
          <w:tcPr>
            <w:tcW w:w="677" w:type="dxa"/>
            <w:vAlign w:val="top"/>
          </w:tcPr>
          <w:p>
            <w:pPr>
              <w:pStyle w:val="6"/>
              <w:spacing w:before="60" w:line="172" w:lineRule="auto"/>
              <w:ind w:left="71"/>
            </w:pPr>
            <w:r>
              <w:rPr>
                <w:spacing w:val="-4"/>
              </w:rPr>
              <w:t>109.68</w:t>
            </w:r>
          </w:p>
        </w:tc>
        <w:tc>
          <w:tcPr>
            <w:tcW w:w="665" w:type="dxa"/>
            <w:vAlign w:val="top"/>
          </w:tcPr>
          <w:p>
            <w:pPr>
              <w:pStyle w:val="6"/>
              <w:spacing w:before="60" w:line="172" w:lineRule="auto"/>
              <w:ind w:left="102"/>
            </w:pPr>
            <w:r>
              <w:rPr>
                <w:spacing w:val="-2"/>
              </w:rPr>
              <w:t>38.43</w:t>
            </w:r>
          </w:p>
        </w:tc>
        <w:tc>
          <w:tcPr>
            <w:tcW w:w="650" w:type="dxa"/>
            <w:vAlign w:val="top"/>
          </w:tcPr>
          <w:p>
            <w:pPr>
              <w:pStyle w:val="6"/>
              <w:spacing w:before="60" w:line="172" w:lineRule="auto"/>
              <w:ind w:left="89"/>
            </w:pPr>
            <w:r>
              <w:rPr>
                <w:spacing w:val="-1"/>
              </w:rPr>
              <w:t>24.98</w:t>
            </w:r>
          </w:p>
        </w:tc>
        <w:tc>
          <w:tcPr>
            <w:tcW w:w="662" w:type="dxa"/>
            <w:vAlign w:val="top"/>
          </w:tcPr>
          <w:p>
            <w:pPr>
              <w:pStyle w:val="6"/>
              <w:spacing w:before="60" w:line="172" w:lineRule="auto"/>
              <w:ind w:left="96"/>
            </w:pPr>
            <w:r>
              <w:rPr>
                <w:spacing w:val="-1"/>
              </w:rPr>
              <w:t>25.81</w:t>
            </w:r>
          </w:p>
        </w:tc>
        <w:tc>
          <w:tcPr>
            <w:tcW w:w="623" w:type="dxa"/>
            <w:vAlign w:val="top"/>
          </w:tcPr>
          <w:p>
            <w:pPr>
              <w:pStyle w:val="6"/>
              <w:spacing w:before="60" w:line="172" w:lineRule="auto"/>
              <w:ind w:left="76"/>
            </w:pPr>
            <w:r>
              <w:rPr>
                <w:spacing w:val="-1"/>
              </w:rPr>
              <w:t>24.18</w:t>
            </w:r>
          </w:p>
        </w:tc>
        <w:tc>
          <w:tcPr>
            <w:tcW w:w="674" w:type="dxa"/>
            <w:vAlign w:val="top"/>
          </w:tcPr>
          <w:p>
            <w:pPr>
              <w:pStyle w:val="6"/>
              <w:spacing w:before="60" w:line="172" w:lineRule="auto"/>
              <w:ind w:left="120"/>
            </w:pPr>
            <w:r>
              <w:rPr>
                <w:spacing w:val="-5"/>
              </w:rPr>
              <w:t>18.24</w:t>
            </w:r>
          </w:p>
        </w:tc>
        <w:tc>
          <w:tcPr>
            <w:tcW w:w="623" w:type="dxa"/>
            <w:vAlign w:val="top"/>
          </w:tcPr>
          <w:p>
            <w:pPr>
              <w:pStyle w:val="6"/>
              <w:spacing w:before="60" w:line="172" w:lineRule="auto"/>
              <w:ind w:left="96"/>
            </w:pPr>
            <w:r>
              <w:rPr>
                <w:spacing w:val="-5"/>
              </w:rPr>
              <w:t>16.83</w:t>
            </w:r>
          </w:p>
        </w:tc>
        <w:tc>
          <w:tcPr>
            <w:tcW w:w="622" w:type="dxa"/>
            <w:vAlign w:val="top"/>
          </w:tcPr>
          <w:p>
            <w:pPr>
              <w:pStyle w:val="6"/>
              <w:spacing w:before="60" w:line="172" w:lineRule="auto"/>
              <w:ind w:left="96"/>
            </w:pPr>
            <w:r>
              <w:rPr>
                <w:spacing w:val="-5"/>
              </w:rPr>
              <w:t>16.23</w:t>
            </w:r>
          </w:p>
        </w:tc>
        <w:tc>
          <w:tcPr>
            <w:tcW w:w="615" w:type="dxa"/>
            <w:tcBorders>
              <w:right w:val="nil"/>
            </w:tcBorders>
            <w:vAlign w:val="top"/>
          </w:tcPr>
          <w:p>
            <w:pPr>
              <w:pStyle w:val="6"/>
              <w:spacing w:before="60" w:line="172" w:lineRule="auto"/>
              <w:ind w:left="94"/>
            </w:pPr>
            <w:r>
              <w:rPr>
                <w:spacing w:val="-5"/>
              </w:rPr>
              <w:t>17.00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 w:hRule="atLeast"/>
        </w:trPr>
        <w:tc>
          <w:tcPr>
            <w:tcW w:w="597" w:type="dxa"/>
            <w:vMerge w:val="continue"/>
            <w:tcBorders>
              <w:top w:val="nil"/>
              <w:left w:val="nil"/>
              <w:bottom w:val="nil"/>
            </w:tcBorders>
            <w:vAlign w:val="top"/>
          </w:tcPr>
          <w:p>
            <w:pPr>
              <w:rPr>
                <w:rFonts w:ascii="Arial"/>
                <w:sz w:val="21"/>
              </w:rPr>
            </w:pPr>
          </w:p>
        </w:tc>
        <w:tc>
          <w:tcPr>
            <w:tcW w:w="552" w:type="dxa"/>
            <w:vAlign w:val="top"/>
          </w:tcPr>
          <w:p>
            <w:pPr>
              <w:pStyle w:val="6"/>
              <w:spacing w:before="62" w:line="171" w:lineRule="auto"/>
              <w:ind w:left="87"/>
            </w:pPr>
            <w:r>
              <w:rPr>
                <w:spacing w:val="-3"/>
              </w:rPr>
              <w:t>75%</w:t>
            </w:r>
          </w:p>
        </w:tc>
        <w:tc>
          <w:tcPr>
            <w:tcW w:w="622" w:type="dxa"/>
            <w:vAlign w:val="top"/>
          </w:tcPr>
          <w:p>
            <w:pPr>
              <w:pStyle w:val="6"/>
              <w:spacing w:before="63" w:line="170" w:lineRule="auto"/>
              <w:ind w:left="96"/>
            </w:pPr>
            <w:r>
              <w:rPr>
                <w:spacing w:val="-5"/>
              </w:rPr>
              <w:t>18.76</w:t>
            </w:r>
          </w:p>
        </w:tc>
        <w:tc>
          <w:tcPr>
            <w:tcW w:w="702" w:type="dxa"/>
            <w:vAlign w:val="top"/>
          </w:tcPr>
          <w:p>
            <w:pPr>
              <w:pStyle w:val="6"/>
              <w:spacing w:before="63" w:line="170" w:lineRule="auto"/>
              <w:ind w:left="120"/>
            </w:pPr>
            <w:r>
              <w:rPr>
                <w:spacing w:val="-2"/>
              </w:rPr>
              <w:t>55.89</w:t>
            </w:r>
          </w:p>
        </w:tc>
        <w:tc>
          <w:tcPr>
            <w:tcW w:w="674" w:type="dxa"/>
            <w:vAlign w:val="top"/>
          </w:tcPr>
          <w:p>
            <w:pPr>
              <w:pStyle w:val="6"/>
              <w:spacing w:before="63" w:line="170" w:lineRule="auto"/>
              <w:ind w:left="69"/>
            </w:pPr>
            <w:r>
              <w:rPr>
                <w:spacing w:val="-4"/>
              </w:rPr>
              <w:t>120.41</w:t>
            </w:r>
          </w:p>
        </w:tc>
        <w:tc>
          <w:tcPr>
            <w:tcW w:w="677" w:type="dxa"/>
            <w:vAlign w:val="top"/>
          </w:tcPr>
          <w:p>
            <w:pPr>
              <w:pStyle w:val="6"/>
              <w:spacing w:before="63" w:line="170" w:lineRule="auto"/>
              <w:ind w:left="109"/>
            </w:pPr>
            <w:r>
              <w:rPr>
                <w:spacing w:val="-2"/>
              </w:rPr>
              <w:t>51.53</w:t>
            </w:r>
          </w:p>
        </w:tc>
        <w:tc>
          <w:tcPr>
            <w:tcW w:w="665" w:type="dxa"/>
            <w:vAlign w:val="top"/>
          </w:tcPr>
          <w:p>
            <w:pPr>
              <w:pStyle w:val="6"/>
              <w:spacing w:before="63" w:line="170" w:lineRule="auto"/>
              <w:ind w:left="96"/>
            </w:pPr>
            <w:r>
              <w:rPr>
                <w:spacing w:val="-1"/>
              </w:rPr>
              <w:t>40.82</w:t>
            </w:r>
          </w:p>
        </w:tc>
        <w:tc>
          <w:tcPr>
            <w:tcW w:w="650" w:type="dxa"/>
            <w:vAlign w:val="top"/>
          </w:tcPr>
          <w:p>
            <w:pPr>
              <w:pStyle w:val="6"/>
              <w:spacing w:before="63" w:line="170" w:lineRule="auto"/>
              <w:ind w:left="89"/>
            </w:pPr>
            <w:r>
              <w:rPr>
                <w:spacing w:val="-1"/>
              </w:rPr>
              <w:t>21.44</w:t>
            </w:r>
          </w:p>
        </w:tc>
        <w:tc>
          <w:tcPr>
            <w:tcW w:w="662" w:type="dxa"/>
            <w:vAlign w:val="top"/>
          </w:tcPr>
          <w:p>
            <w:pPr>
              <w:pStyle w:val="6"/>
              <w:spacing w:before="63" w:line="170" w:lineRule="auto"/>
              <w:ind w:left="117"/>
            </w:pPr>
            <w:r>
              <w:rPr>
                <w:spacing w:val="-5"/>
              </w:rPr>
              <w:t>16.03</w:t>
            </w:r>
          </w:p>
        </w:tc>
        <w:tc>
          <w:tcPr>
            <w:tcW w:w="623" w:type="dxa"/>
            <w:vAlign w:val="top"/>
          </w:tcPr>
          <w:p>
            <w:pPr>
              <w:pStyle w:val="6"/>
              <w:spacing w:before="63" w:line="170" w:lineRule="auto"/>
              <w:ind w:left="97"/>
            </w:pPr>
            <w:r>
              <w:rPr>
                <w:spacing w:val="-5"/>
              </w:rPr>
              <w:t>15.84</w:t>
            </w:r>
          </w:p>
        </w:tc>
        <w:tc>
          <w:tcPr>
            <w:tcW w:w="674" w:type="dxa"/>
            <w:vAlign w:val="top"/>
          </w:tcPr>
          <w:p>
            <w:pPr>
              <w:pStyle w:val="6"/>
              <w:spacing w:before="63" w:line="170" w:lineRule="auto"/>
              <w:ind w:left="120"/>
            </w:pPr>
            <w:r>
              <w:rPr>
                <w:spacing w:val="-5"/>
              </w:rPr>
              <w:t>12.80</w:t>
            </w:r>
          </w:p>
        </w:tc>
        <w:tc>
          <w:tcPr>
            <w:tcW w:w="623" w:type="dxa"/>
            <w:vAlign w:val="top"/>
          </w:tcPr>
          <w:p>
            <w:pPr>
              <w:pStyle w:val="6"/>
              <w:spacing w:before="63" w:line="170" w:lineRule="auto"/>
              <w:ind w:left="96"/>
            </w:pPr>
            <w:r>
              <w:rPr>
                <w:spacing w:val="-5"/>
              </w:rPr>
              <w:t>14.04</w:t>
            </w:r>
          </w:p>
        </w:tc>
        <w:tc>
          <w:tcPr>
            <w:tcW w:w="622" w:type="dxa"/>
            <w:vAlign w:val="top"/>
          </w:tcPr>
          <w:p>
            <w:pPr>
              <w:pStyle w:val="6"/>
              <w:spacing w:before="63" w:line="170" w:lineRule="auto"/>
              <w:ind w:left="96"/>
            </w:pPr>
            <w:r>
              <w:rPr>
                <w:spacing w:val="-5"/>
              </w:rPr>
              <w:t>12.46</w:t>
            </w:r>
          </w:p>
        </w:tc>
        <w:tc>
          <w:tcPr>
            <w:tcW w:w="615" w:type="dxa"/>
            <w:tcBorders>
              <w:right w:val="nil"/>
            </w:tcBorders>
            <w:vAlign w:val="top"/>
          </w:tcPr>
          <w:p>
            <w:pPr>
              <w:pStyle w:val="6"/>
              <w:spacing w:before="63" w:line="170" w:lineRule="auto"/>
              <w:ind w:left="94"/>
            </w:pPr>
            <w:r>
              <w:rPr>
                <w:spacing w:val="-5"/>
              </w:rPr>
              <w:t>13.65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9" w:hRule="atLeast"/>
        </w:trPr>
        <w:tc>
          <w:tcPr>
            <w:tcW w:w="597" w:type="dxa"/>
            <w:vMerge w:val="continue"/>
            <w:tcBorders>
              <w:top w:val="nil"/>
              <w:left w:val="nil"/>
              <w:bottom w:val="single" w:color="000000" w:sz="6" w:space="0"/>
            </w:tcBorders>
            <w:vAlign w:val="top"/>
          </w:tcPr>
          <w:p>
            <w:pPr>
              <w:rPr>
                <w:rFonts w:ascii="Arial"/>
                <w:sz w:val="21"/>
              </w:rPr>
            </w:pPr>
          </w:p>
        </w:tc>
        <w:tc>
          <w:tcPr>
            <w:tcW w:w="552" w:type="dxa"/>
            <w:tcBorders>
              <w:bottom w:val="single" w:color="000000" w:sz="6" w:space="0"/>
            </w:tcBorders>
            <w:vAlign w:val="top"/>
          </w:tcPr>
          <w:p>
            <w:pPr>
              <w:pStyle w:val="6"/>
              <w:spacing w:before="64" w:line="183" w:lineRule="auto"/>
              <w:ind w:left="88"/>
            </w:pPr>
            <w:r>
              <w:rPr>
                <w:spacing w:val="-2"/>
              </w:rPr>
              <w:t>95%</w:t>
            </w:r>
          </w:p>
        </w:tc>
        <w:tc>
          <w:tcPr>
            <w:tcW w:w="622" w:type="dxa"/>
            <w:tcBorders>
              <w:bottom w:val="single" w:color="000000" w:sz="6" w:space="0"/>
            </w:tcBorders>
            <w:vAlign w:val="top"/>
          </w:tcPr>
          <w:p>
            <w:pPr>
              <w:pStyle w:val="6"/>
              <w:spacing w:before="64" w:line="183" w:lineRule="auto"/>
              <w:ind w:left="99"/>
            </w:pPr>
            <w:r>
              <w:rPr>
                <w:spacing w:val="-7"/>
              </w:rPr>
              <w:t>11.42</w:t>
            </w:r>
          </w:p>
        </w:tc>
        <w:tc>
          <w:tcPr>
            <w:tcW w:w="702" w:type="dxa"/>
            <w:tcBorders>
              <w:bottom w:val="single" w:color="000000" w:sz="6" w:space="0"/>
            </w:tcBorders>
            <w:vAlign w:val="top"/>
          </w:tcPr>
          <w:p>
            <w:pPr>
              <w:pStyle w:val="6"/>
              <w:spacing w:before="64" w:line="183" w:lineRule="auto"/>
              <w:ind w:left="119"/>
            </w:pPr>
            <w:r>
              <w:rPr>
                <w:spacing w:val="-2"/>
              </w:rPr>
              <w:t>34.03</w:t>
            </w:r>
          </w:p>
        </w:tc>
        <w:tc>
          <w:tcPr>
            <w:tcW w:w="674" w:type="dxa"/>
            <w:tcBorders>
              <w:bottom w:val="single" w:color="000000" w:sz="6" w:space="0"/>
            </w:tcBorders>
            <w:vAlign w:val="top"/>
          </w:tcPr>
          <w:p>
            <w:pPr>
              <w:pStyle w:val="6"/>
              <w:spacing w:before="64" w:line="183" w:lineRule="auto"/>
              <w:ind w:left="104"/>
            </w:pPr>
            <w:r>
              <w:rPr>
                <w:spacing w:val="-2"/>
              </w:rPr>
              <w:t>73.32</w:t>
            </w:r>
          </w:p>
        </w:tc>
        <w:tc>
          <w:tcPr>
            <w:tcW w:w="677" w:type="dxa"/>
            <w:tcBorders>
              <w:bottom w:val="single" w:color="000000" w:sz="6" w:space="0"/>
            </w:tcBorders>
            <w:vAlign w:val="top"/>
          </w:tcPr>
          <w:p>
            <w:pPr>
              <w:pStyle w:val="6"/>
              <w:spacing w:before="64" w:line="183" w:lineRule="auto"/>
              <w:ind w:left="107"/>
            </w:pPr>
            <w:r>
              <w:rPr>
                <w:spacing w:val="-2"/>
              </w:rPr>
              <w:t>31.38</w:t>
            </w:r>
          </w:p>
        </w:tc>
        <w:tc>
          <w:tcPr>
            <w:tcW w:w="665" w:type="dxa"/>
            <w:tcBorders>
              <w:bottom w:val="single" w:color="000000" w:sz="6" w:space="0"/>
            </w:tcBorders>
            <w:vAlign w:val="top"/>
          </w:tcPr>
          <w:p>
            <w:pPr>
              <w:pStyle w:val="6"/>
              <w:spacing w:before="64" w:line="183" w:lineRule="auto"/>
              <w:ind w:left="97"/>
            </w:pPr>
            <w:r>
              <w:rPr>
                <w:spacing w:val="-1"/>
              </w:rPr>
              <w:t>24.86</w:t>
            </w:r>
          </w:p>
        </w:tc>
        <w:tc>
          <w:tcPr>
            <w:tcW w:w="650" w:type="dxa"/>
            <w:tcBorders>
              <w:bottom w:val="single" w:color="000000" w:sz="6" w:space="0"/>
            </w:tcBorders>
            <w:vAlign w:val="top"/>
          </w:tcPr>
          <w:p>
            <w:pPr>
              <w:pStyle w:val="6"/>
              <w:spacing w:before="64" w:line="183" w:lineRule="auto"/>
              <w:ind w:left="109"/>
            </w:pPr>
            <w:r>
              <w:rPr>
                <w:spacing w:val="-5"/>
              </w:rPr>
              <w:t>13.05</w:t>
            </w:r>
          </w:p>
        </w:tc>
        <w:tc>
          <w:tcPr>
            <w:tcW w:w="662" w:type="dxa"/>
            <w:tcBorders>
              <w:bottom w:val="single" w:color="000000" w:sz="6" w:space="0"/>
            </w:tcBorders>
            <w:vAlign w:val="top"/>
          </w:tcPr>
          <w:p>
            <w:pPr>
              <w:pStyle w:val="6"/>
              <w:spacing w:before="64" w:line="183" w:lineRule="auto"/>
              <w:ind w:left="153"/>
            </w:pPr>
            <w:r>
              <w:rPr>
                <w:spacing w:val="-2"/>
              </w:rPr>
              <w:t>9.76</w:t>
            </w:r>
          </w:p>
        </w:tc>
        <w:tc>
          <w:tcPr>
            <w:tcW w:w="623" w:type="dxa"/>
            <w:tcBorders>
              <w:bottom w:val="single" w:color="000000" w:sz="6" w:space="0"/>
            </w:tcBorders>
            <w:vAlign w:val="top"/>
          </w:tcPr>
          <w:p>
            <w:pPr>
              <w:pStyle w:val="6"/>
              <w:spacing w:before="64" w:line="183" w:lineRule="auto"/>
              <w:ind w:left="133"/>
            </w:pPr>
            <w:r>
              <w:rPr>
                <w:spacing w:val="-2"/>
              </w:rPr>
              <w:t>9.64</w:t>
            </w:r>
          </w:p>
        </w:tc>
        <w:tc>
          <w:tcPr>
            <w:tcW w:w="674" w:type="dxa"/>
            <w:tcBorders>
              <w:bottom w:val="single" w:color="000000" w:sz="6" w:space="0"/>
            </w:tcBorders>
            <w:vAlign w:val="top"/>
          </w:tcPr>
          <w:p>
            <w:pPr>
              <w:pStyle w:val="6"/>
              <w:spacing w:before="64" w:line="183" w:lineRule="auto"/>
              <w:ind w:left="156"/>
            </w:pPr>
            <w:r>
              <w:rPr>
                <w:spacing w:val="-2"/>
              </w:rPr>
              <w:t>7.79</w:t>
            </w:r>
          </w:p>
        </w:tc>
        <w:tc>
          <w:tcPr>
            <w:tcW w:w="623" w:type="dxa"/>
            <w:tcBorders>
              <w:bottom w:val="single" w:color="000000" w:sz="6" w:space="0"/>
            </w:tcBorders>
            <w:vAlign w:val="top"/>
          </w:tcPr>
          <w:p>
            <w:pPr>
              <w:pStyle w:val="6"/>
              <w:spacing w:before="64" w:line="183" w:lineRule="auto"/>
              <w:ind w:left="137"/>
            </w:pPr>
            <w:r>
              <w:rPr>
                <w:spacing w:val="-4"/>
              </w:rPr>
              <w:t>8.55</w:t>
            </w:r>
          </w:p>
        </w:tc>
        <w:tc>
          <w:tcPr>
            <w:tcW w:w="622" w:type="dxa"/>
            <w:tcBorders>
              <w:bottom w:val="single" w:color="000000" w:sz="6" w:space="0"/>
            </w:tcBorders>
            <w:vAlign w:val="top"/>
          </w:tcPr>
          <w:p>
            <w:pPr>
              <w:pStyle w:val="6"/>
              <w:spacing w:before="64" w:line="183" w:lineRule="auto"/>
              <w:ind w:left="132"/>
            </w:pPr>
            <w:r>
              <w:rPr>
                <w:spacing w:val="-2"/>
              </w:rPr>
              <w:t>7.59</w:t>
            </w:r>
          </w:p>
        </w:tc>
        <w:tc>
          <w:tcPr>
            <w:tcW w:w="615" w:type="dxa"/>
            <w:tcBorders>
              <w:bottom w:val="single" w:color="000000" w:sz="6" w:space="0"/>
              <w:right w:val="nil"/>
            </w:tcBorders>
            <w:vAlign w:val="top"/>
          </w:tcPr>
          <w:p>
            <w:pPr>
              <w:pStyle w:val="6"/>
              <w:spacing w:before="64" w:line="183" w:lineRule="auto"/>
              <w:ind w:left="135"/>
            </w:pPr>
            <w:r>
              <w:rPr>
                <w:spacing w:val="-4"/>
              </w:rPr>
              <w:t>8.31</w:t>
            </w:r>
          </w:p>
        </w:tc>
      </w:tr>
    </w:tbl>
    <w:p>
      <w:pPr>
        <w:spacing w:line="250" w:lineRule="auto"/>
        <w:rPr>
          <w:rFonts w:ascii="Arial"/>
          <w:sz w:val="21"/>
        </w:rPr>
      </w:pPr>
    </w:p>
    <w:p>
      <w:pPr>
        <w:pStyle w:val="2"/>
        <w:spacing w:before="78" w:line="232" w:lineRule="auto"/>
        <w:ind w:left="35"/>
        <w:outlineLvl w:val="1"/>
        <w:rPr>
          <w:sz w:val="24"/>
          <w:szCs w:val="24"/>
        </w:rPr>
      </w:pPr>
      <w:r>
        <w:rPr>
          <w:rFonts w:ascii="Times New Roman" w:hAnsi="Times New Roman" w:eastAsia="Times New Roman" w:cs="Times New Roman"/>
          <w:b/>
          <w:bCs/>
          <w:spacing w:val="-1"/>
          <w:sz w:val="24"/>
          <w:szCs w:val="24"/>
        </w:rPr>
        <w:t xml:space="preserve">2.1.2 </w:t>
      </w:r>
      <w:r>
        <w:rPr>
          <w:spacing w:val="-1"/>
          <w:sz w:val="24"/>
          <w:szCs w:val="24"/>
          <w14:textOutline w14:w="4354" w14:cap="flat" w14:cmpd="sng">
            <w14:solidFill>
              <w14:srgbClr w14:val="000000"/>
            </w14:solidFill>
            <w14:prstDash w14:val="solid"/>
            <w14:miter w14:val="0"/>
          </w14:textOutline>
        </w:rPr>
        <w:t>灌区概况</w:t>
      </w:r>
    </w:p>
    <w:p>
      <w:pPr>
        <w:spacing w:before="162" w:line="360" w:lineRule="auto"/>
        <w:ind w:left="57" w:right="66" w:firstLine="462"/>
        <w:rPr>
          <w:rFonts w:ascii="宋体" w:hAnsi="宋体" w:eastAsia="宋体" w:cs="宋体"/>
          <w:sz w:val="24"/>
          <w:szCs w:val="24"/>
        </w:rPr>
      </w:pPr>
      <w:r>
        <w:rPr>
          <w:rFonts w:ascii="宋体" w:hAnsi="宋体" w:eastAsia="宋体" w:cs="宋体"/>
          <w:spacing w:val="2"/>
          <w:sz w:val="24"/>
          <w:szCs w:val="24"/>
        </w:rPr>
        <w:t>根据灌区地形、水系及现有水利设施的分布情况，将整个灌区划分为</w:t>
      </w:r>
      <w:r>
        <w:rPr>
          <w:rFonts w:ascii="宋体" w:hAnsi="宋体" w:eastAsia="宋体" w:cs="宋体"/>
          <w:spacing w:val="1"/>
          <w:sz w:val="24"/>
          <w:szCs w:val="24"/>
        </w:rPr>
        <w:t>五个灌溉片</w:t>
      </w:r>
      <w:r>
        <w:rPr>
          <w:rFonts w:ascii="宋体" w:hAnsi="宋体" w:eastAsia="宋体" w:cs="宋体"/>
          <w:sz w:val="24"/>
          <w:szCs w:val="24"/>
        </w:rPr>
        <w:t xml:space="preserve"> </w:t>
      </w:r>
      <w:r>
        <w:rPr>
          <w:rFonts w:ascii="宋体" w:hAnsi="宋体" w:eastAsia="宋体" w:cs="宋体"/>
          <w:spacing w:val="-5"/>
          <w:sz w:val="24"/>
          <w:szCs w:val="24"/>
        </w:rPr>
        <w:t>区：桂花河流域桂花灌溉片区、者纳么河流域者纳么灌溉片区、六苴河流域六苴灌溉片</w:t>
      </w:r>
    </w:p>
    <w:p>
      <w:pPr>
        <w:spacing w:line="219" w:lineRule="auto"/>
        <w:ind w:left="57"/>
        <w:rPr>
          <w:rFonts w:ascii="宋体" w:hAnsi="宋体" w:eastAsia="宋体" w:cs="宋体"/>
          <w:sz w:val="24"/>
          <w:szCs w:val="24"/>
        </w:rPr>
      </w:pPr>
      <w:r>
        <w:rPr>
          <w:rFonts w:ascii="宋体" w:hAnsi="宋体" w:eastAsia="宋体" w:cs="宋体"/>
          <w:spacing w:val="-1"/>
          <w:sz w:val="24"/>
          <w:szCs w:val="24"/>
        </w:rPr>
        <w:t>区以及西河支流新街灌溉片区、西河大姚县城所在的金碧灌溉片区。</w:t>
      </w:r>
    </w:p>
    <w:p>
      <w:pPr>
        <w:spacing w:before="181" w:line="467" w:lineRule="exact"/>
        <w:ind w:right="66"/>
        <w:jc w:val="right"/>
        <w:rPr>
          <w:rFonts w:ascii="宋体" w:hAnsi="宋体" w:eastAsia="宋体" w:cs="宋体"/>
          <w:sz w:val="24"/>
          <w:szCs w:val="24"/>
        </w:rPr>
      </w:pPr>
      <w:r>
        <w:rPr>
          <w:rFonts w:ascii="宋体" w:hAnsi="宋体" w:eastAsia="宋体" w:cs="宋体"/>
          <w:spacing w:val="-5"/>
          <w:position w:val="17"/>
          <w:sz w:val="24"/>
          <w:szCs w:val="24"/>
        </w:rPr>
        <w:t>桂花水库直接灌溉区域为桂花灌溉片区、纳么灌溉片区、六苴灌溉片区，新街灌溉</w:t>
      </w:r>
    </w:p>
    <w:p>
      <w:pPr>
        <w:spacing w:before="1" w:line="218" w:lineRule="auto"/>
        <w:ind w:left="45"/>
        <w:rPr>
          <w:rFonts w:ascii="宋体" w:hAnsi="宋体" w:eastAsia="宋体" w:cs="宋体"/>
          <w:sz w:val="24"/>
          <w:szCs w:val="24"/>
        </w:rPr>
      </w:pPr>
      <w:r>
        <w:rPr>
          <w:rFonts w:ascii="宋体" w:hAnsi="宋体" w:eastAsia="宋体" w:cs="宋体"/>
          <w:spacing w:val="-1"/>
          <w:sz w:val="24"/>
          <w:szCs w:val="24"/>
        </w:rPr>
        <w:t>片区、金碧灌溉片区</w:t>
      </w:r>
      <w:r>
        <w:rPr>
          <w:rFonts w:hint="eastAsia" w:ascii="宋体" w:hAnsi="宋体" w:eastAsia="宋体" w:cs="宋体"/>
          <w:spacing w:val="-1"/>
          <w:sz w:val="24"/>
          <w:szCs w:val="24"/>
          <w:lang w:eastAsia="zh-CN"/>
        </w:rPr>
        <w:t>由</w:t>
      </w:r>
      <w:r>
        <w:rPr>
          <w:rFonts w:ascii="宋体" w:hAnsi="宋体" w:eastAsia="宋体" w:cs="宋体"/>
          <w:spacing w:val="-1"/>
          <w:sz w:val="24"/>
          <w:szCs w:val="24"/>
        </w:rPr>
        <w:t>碧么水库、大罗古水库供水。</w:t>
      </w:r>
    </w:p>
    <w:p>
      <w:pPr>
        <w:spacing w:before="182"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）桂花灌溉片区</w:t>
      </w:r>
    </w:p>
    <w:p>
      <w:pPr>
        <w:spacing w:before="182" w:line="359" w:lineRule="auto"/>
        <w:ind w:left="38" w:right="66" w:firstLine="483"/>
        <w:rPr>
          <w:rFonts w:ascii="宋体" w:hAnsi="宋体" w:eastAsia="宋体" w:cs="宋体"/>
          <w:sz w:val="24"/>
          <w:szCs w:val="24"/>
        </w:rPr>
      </w:pPr>
      <w:r>
        <w:rPr>
          <w:rFonts w:ascii="宋体" w:hAnsi="宋体" w:eastAsia="宋体" w:cs="宋体"/>
          <w:spacing w:val="1"/>
          <w:sz w:val="24"/>
          <w:szCs w:val="24"/>
        </w:rPr>
        <w:t>桂花灌溉片区位于大姚县城北部万马河支流大村河两岸，地形以山区坡地为主，</w:t>
      </w:r>
      <w:r>
        <w:rPr>
          <w:rFonts w:ascii="宋体" w:hAnsi="宋体" w:eastAsia="宋体" w:cs="宋体"/>
          <w:spacing w:val="18"/>
          <w:sz w:val="24"/>
          <w:szCs w:val="24"/>
        </w:rPr>
        <w:t xml:space="preserve"> </w:t>
      </w:r>
      <w:r>
        <w:rPr>
          <w:rFonts w:ascii="宋体" w:hAnsi="宋体" w:eastAsia="宋体" w:cs="宋体"/>
          <w:spacing w:val="-13"/>
          <w:sz w:val="24"/>
          <w:szCs w:val="24"/>
        </w:rPr>
        <w:t>现状主要由一些小型引水渠道引水灌溉， 灌溉保证率较低， 干旱现象严重； 灌区沿桂花</w:t>
      </w:r>
      <w:r>
        <w:rPr>
          <w:rFonts w:ascii="宋体" w:hAnsi="宋体" w:eastAsia="宋体" w:cs="宋体"/>
          <w:spacing w:val="2"/>
          <w:sz w:val="24"/>
          <w:szCs w:val="24"/>
        </w:rPr>
        <w:t xml:space="preserve"> </w:t>
      </w:r>
      <w:r>
        <w:rPr>
          <w:rFonts w:ascii="宋体" w:hAnsi="宋体" w:eastAsia="宋体" w:cs="宋体"/>
          <w:spacing w:val="-12"/>
          <w:sz w:val="24"/>
          <w:szCs w:val="24"/>
        </w:rPr>
        <w:t>河两岸沿河分布，</w:t>
      </w:r>
      <w:r>
        <w:rPr>
          <w:rFonts w:ascii="宋体" w:hAnsi="宋体" w:eastAsia="宋体" w:cs="宋体"/>
          <w:spacing w:val="-49"/>
          <w:sz w:val="24"/>
          <w:szCs w:val="24"/>
        </w:rPr>
        <w:t xml:space="preserve"> </w:t>
      </w:r>
      <w:r>
        <w:rPr>
          <w:rFonts w:ascii="宋体" w:hAnsi="宋体" w:eastAsia="宋体" w:cs="宋体"/>
          <w:spacing w:val="-12"/>
          <w:sz w:val="24"/>
          <w:szCs w:val="24"/>
        </w:rPr>
        <w:t>上至皮左黑村委会的皮左黑村， 下至大村村委会的依博拉自然村，</w:t>
      </w:r>
      <w:r>
        <w:rPr>
          <w:rFonts w:ascii="宋体" w:hAnsi="宋体" w:eastAsia="宋体" w:cs="宋体"/>
          <w:spacing w:val="-13"/>
          <w:sz w:val="24"/>
          <w:szCs w:val="24"/>
        </w:rPr>
        <w:t xml:space="preserve"> 灌</w:t>
      </w:r>
      <w:r>
        <w:rPr>
          <w:rFonts w:ascii="宋体" w:hAnsi="宋体" w:eastAsia="宋体" w:cs="宋体"/>
          <w:sz w:val="24"/>
          <w:szCs w:val="24"/>
        </w:rPr>
        <w:t xml:space="preserve"> </w:t>
      </w:r>
      <w:r>
        <w:rPr>
          <w:rFonts w:ascii="宋体" w:hAnsi="宋体" w:eastAsia="宋体" w:cs="宋体"/>
          <w:spacing w:val="-5"/>
          <w:sz w:val="24"/>
          <w:szCs w:val="24"/>
        </w:rPr>
        <w:t>溉片区涉及桂花镇大村、</w:t>
      </w:r>
      <w:r>
        <w:rPr>
          <w:rFonts w:ascii="宋体" w:hAnsi="宋体" w:eastAsia="宋体" w:cs="宋体"/>
          <w:spacing w:val="48"/>
          <w:sz w:val="24"/>
          <w:szCs w:val="24"/>
        </w:rPr>
        <w:t xml:space="preserve"> </w:t>
      </w:r>
      <w:r>
        <w:rPr>
          <w:rFonts w:ascii="宋体" w:hAnsi="宋体" w:eastAsia="宋体" w:cs="宋体"/>
          <w:spacing w:val="-5"/>
          <w:sz w:val="24"/>
          <w:szCs w:val="24"/>
        </w:rPr>
        <w:t xml:space="preserve">皮左黑、大河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55"/>
          <w:w w:val="101"/>
          <w:sz w:val="24"/>
          <w:szCs w:val="24"/>
        </w:rPr>
        <w:t xml:space="preserve"> </w:t>
      </w:r>
      <w:r>
        <w:rPr>
          <w:rFonts w:ascii="宋体" w:hAnsi="宋体" w:eastAsia="宋体" w:cs="宋体"/>
          <w:spacing w:val="-5"/>
          <w:sz w:val="24"/>
          <w:szCs w:val="24"/>
        </w:rPr>
        <w:t xml:space="preserve">个村委会 </w:t>
      </w:r>
      <w:r>
        <w:rPr>
          <w:rFonts w:ascii="Times New Roman" w:hAnsi="Times New Roman" w:eastAsia="Times New Roman" w:cs="Times New Roman"/>
          <w:spacing w:val="-5"/>
          <w:sz w:val="24"/>
          <w:szCs w:val="24"/>
        </w:rPr>
        <w:t xml:space="preserve">23  </w:t>
      </w:r>
      <w:r>
        <w:rPr>
          <w:rFonts w:ascii="宋体" w:hAnsi="宋体" w:eastAsia="宋体" w:cs="宋体"/>
          <w:spacing w:val="-5"/>
          <w:sz w:val="24"/>
          <w:szCs w:val="24"/>
        </w:rPr>
        <w:t>个自然</w:t>
      </w:r>
      <w:r>
        <w:rPr>
          <w:rFonts w:ascii="宋体" w:hAnsi="宋体" w:eastAsia="宋体" w:cs="宋体"/>
          <w:spacing w:val="-6"/>
          <w:sz w:val="24"/>
          <w:szCs w:val="24"/>
        </w:rPr>
        <w:t>村的耕地，海拔高程在</w:t>
      </w:r>
    </w:p>
    <w:p>
      <w:pPr>
        <w:spacing w:before="1" w:line="219" w:lineRule="auto"/>
        <w:ind w:left="58"/>
        <w:rPr>
          <w:rFonts w:ascii="宋体" w:hAnsi="宋体" w:eastAsia="宋体" w:cs="宋体"/>
          <w:sz w:val="24"/>
          <w:szCs w:val="24"/>
        </w:rPr>
      </w:pPr>
      <w:r>
        <w:rPr>
          <w:rFonts w:ascii="Times New Roman" w:hAnsi="Times New Roman" w:eastAsia="Times New Roman" w:cs="Times New Roman"/>
          <w:spacing w:val="-2"/>
          <w:sz w:val="24"/>
          <w:szCs w:val="24"/>
        </w:rPr>
        <w:t>1840</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2000m </w:t>
      </w:r>
      <w:r>
        <w:rPr>
          <w:rFonts w:ascii="宋体" w:hAnsi="宋体" w:eastAsia="宋体" w:cs="宋体"/>
          <w:spacing w:val="-2"/>
          <w:sz w:val="24"/>
          <w:szCs w:val="24"/>
        </w:rPr>
        <w:t>之间，灌溉面积</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0.75</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w:t>
      </w:r>
      <w:r>
        <w:rPr>
          <w:rFonts w:ascii="宋体" w:hAnsi="宋体" w:eastAsia="宋体" w:cs="宋体"/>
          <w:spacing w:val="-3"/>
          <w:sz w:val="24"/>
          <w:szCs w:val="24"/>
        </w:rPr>
        <w:t>亩。</w:t>
      </w:r>
    </w:p>
    <w:p>
      <w:pPr>
        <w:spacing w:before="180"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）者纳么灌溉片区</w:t>
      </w:r>
    </w:p>
    <w:p>
      <w:pPr>
        <w:spacing w:before="182" w:line="359" w:lineRule="auto"/>
        <w:ind w:left="41" w:firstLine="480"/>
        <w:rPr>
          <w:rFonts w:ascii="宋体" w:hAnsi="宋体" w:eastAsia="宋体" w:cs="宋体"/>
          <w:sz w:val="24"/>
          <w:szCs w:val="24"/>
        </w:rPr>
      </w:pPr>
      <w:r>
        <w:rPr>
          <w:rFonts w:ascii="宋体" w:hAnsi="宋体" w:eastAsia="宋体" w:cs="宋体"/>
          <w:spacing w:val="-6"/>
          <w:sz w:val="24"/>
          <w:szCs w:val="24"/>
        </w:rPr>
        <w:t>者纳么灌溉片区位于大姚县城北部岔河支流者纳么河两岸， 地形以山</w:t>
      </w:r>
      <w:r>
        <w:rPr>
          <w:rFonts w:ascii="宋体" w:hAnsi="宋体" w:eastAsia="宋体" w:cs="宋体"/>
          <w:spacing w:val="-7"/>
          <w:sz w:val="24"/>
          <w:szCs w:val="24"/>
        </w:rPr>
        <w:t>区坡地为主，</w:t>
      </w:r>
      <w:r>
        <w:rPr>
          <w:rFonts w:ascii="宋体" w:hAnsi="宋体" w:eastAsia="宋体" w:cs="宋体"/>
          <w:sz w:val="24"/>
          <w:szCs w:val="24"/>
        </w:rPr>
        <w:t xml:space="preserve"> </w:t>
      </w:r>
      <w:r>
        <w:rPr>
          <w:rFonts w:ascii="宋体" w:hAnsi="宋体" w:eastAsia="宋体" w:cs="宋体"/>
          <w:spacing w:val="-12"/>
          <w:sz w:val="24"/>
          <w:szCs w:val="24"/>
        </w:rPr>
        <w:t>现状主要由河道水量和一些小型引水渠道引水灌溉， 灌溉保证率较低， 干旱现象严重；</w:t>
      </w:r>
      <w:r>
        <w:rPr>
          <w:rFonts w:ascii="宋体" w:hAnsi="宋体" w:eastAsia="宋体" w:cs="宋体"/>
          <w:spacing w:val="4"/>
          <w:sz w:val="24"/>
          <w:szCs w:val="24"/>
        </w:rPr>
        <w:t xml:space="preserve">  </w:t>
      </w:r>
      <w:r>
        <w:rPr>
          <w:rFonts w:ascii="宋体" w:hAnsi="宋体" w:eastAsia="宋体" w:cs="宋体"/>
          <w:spacing w:val="2"/>
          <w:sz w:val="24"/>
          <w:szCs w:val="24"/>
        </w:rPr>
        <w:t>灌区沿者纳么河两岸沿河分布，上至者纳么村</w:t>
      </w:r>
      <w:r>
        <w:rPr>
          <w:rFonts w:ascii="宋体" w:hAnsi="宋体" w:eastAsia="宋体" w:cs="宋体"/>
          <w:spacing w:val="1"/>
          <w:sz w:val="24"/>
          <w:szCs w:val="24"/>
        </w:rPr>
        <w:t>委会的古底村，下至者纳么村委会的迤</w:t>
      </w:r>
      <w:r>
        <w:rPr>
          <w:rFonts w:ascii="宋体" w:hAnsi="宋体" w:eastAsia="宋体" w:cs="宋体"/>
          <w:sz w:val="24"/>
          <w:szCs w:val="24"/>
        </w:rPr>
        <w:t xml:space="preserve"> </w:t>
      </w:r>
      <w:r>
        <w:rPr>
          <w:rFonts w:ascii="宋体" w:hAnsi="宋体" w:eastAsia="宋体" w:cs="宋体"/>
          <w:spacing w:val="1"/>
          <w:sz w:val="24"/>
          <w:szCs w:val="24"/>
        </w:rPr>
        <w:t>西拉乍自然村，灌溉片区涉及六苴镇者纳么村委会</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 xml:space="preserve">13  </w:t>
      </w:r>
      <w:r>
        <w:rPr>
          <w:rFonts w:ascii="宋体" w:hAnsi="宋体" w:eastAsia="宋体" w:cs="宋体"/>
          <w:spacing w:val="1"/>
          <w:sz w:val="24"/>
          <w:szCs w:val="24"/>
        </w:rPr>
        <w:t>个自然村</w:t>
      </w:r>
      <w:r>
        <w:rPr>
          <w:rFonts w:ascii="宋体" w:hAnsi="宋体" w:eastAsia="宋体" w:cs="宋体"/>
          <w:sz w:val="24"/>
          <w:szCs w:val="24"/>
        </w:rPr>
        <w:t>的耕地，海拔高程在</w:t>
      </w:r>
    </w:p>
    <w:p>
      <w:pPr>
        <w:spacing w:before="1" w:line="219" w:lineRule="auto"/>
        <w:ind w:left="58"/>
        <w:rPr>
          <w:rFonts w:ascii="宋体" w:hAnsi="宋体" w:eastAsia="宋体" w:cs="宋体"/>
          <w:sz w:val="24"/>
          <w:szCs w:val="24"/>
        </w:rPr>
      </w:pPr>
      <w:r>
        <w:rPr>
          <w:rFonts w:ascii="Times New Roman" w:hAnsi="Times New Roman" w:eastAsia="Times New Roman" w:cs="Times New Roman"/>
          <w:spacing w:val="-3"/>
          <w:sz w:val="24"/>
          <w:szCs w:val="24"/>
        </w:rPr>
        <w:t>1680</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2020m </w:t>
      </w:r>
      <w:r>
        <w:rPr>
          <w:rFonts w:ascii="宋体" w:hAnsi="宋体" w:eastAsia="宋体" w:cs="宋体"/>
          <w:spacing w:val="-3"/>
          <w:sz w:val="24"/>
          <w:szCs w:val="24"/>
        </w:rPr>
        <w:t>之间，灌溉面积</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0.40</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万亩。</w:t>
      </w:r>
    </w:p>
    <w:p>
      <w:pPr>
        <w:spacing w:before="182"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）六苴灌溉片区</w:t>
      </w:r>
    </w:p>
    <w:p>
      <w:pPr>
        <w:spacing w:before="182" w:line="359" w:lineRule="auto"/>
        <w:ind w:left="40" w:firstLine="481"/>
        <w:rPr>
          <w:rFonts w:ascii="宋体" w:hAnsi="宋体" w:eastAsia="宋体" w:cs="宋体"/>
          <w:sz w:val="24"/>
          <w:szCs w:val="24"/>
        </w:rPr>
      </w:pPr>
      <w:r>
        <w:rPr>
          <w:rFonts w:ascii="宋体" w:hAnsi="宋体" w:eastAsia="宋体" w:cs="宋体"/>
          <w:spacing w:val="-6"/>
          <w:sz w:val="24"/>
          <w:szCs w:val="24"/>
        </w:rPr>
        <w:t>六苴灌溉片区位于大姚县城北部岔河支流六苴河两岸， 地形以山区丘</w:t>
      </w:r>
      <w:r>
        <w:rPr>
          <w:rFonts w:ascii="宋体" w:hAnsi="宋体" w:eastAsia="宋体" w:cs="宋体"/>
          <w:spacing w:val="-7"/>
          <w:sz w:val="24"/>
          <w:szCs w:val="24"/>
        </w:rPr>
        <w:t>陵坡地为主，</w:t>
      </w:r>
      <w:r>
        <w:rPr>
          <w:rFonts w:ascii="宋体" w:hAnsi="宋体" w:eastAsia="宋体" w:cs="宋体"/>
          <w:sz w:val="24"/>
          <w:szCs w:val="24"/>
        </w:rPr>
        <w:t xml:space="preserve"> </w:t>
      </w:r>
      <w:r>
        <w:rPr>
          <w:rFonts w:ascii="宋体" w:hAnsi="宋体" w:eastAsia="宋体" w:cs="宋体"/>
          <w:spacing w:val="2"/>
          <w:sz w:val="24"/>
          <w:szCs w:val="24"/>
        </w:rPr>
        <w:t>现状主要由一些提水工程及引水渠道引水灌溉，灌溉保证率较低；</w:t>
      </w:r>
      <w:r>
        <w:rPr>
          <w:rFonts w:ascii="宋体" w:hAnsi="宋体" w:eastAsia="宋体" w:cs="宋体"/>
          <w:spacing w:val="1"/>
          <w:sz w:val="24"/>
          <w:szCs w:val="24"/>
        </w:rPr>
        <w:t>灌区沿六苴河两岸</w:t>
      </w:r>
      <w:r>
        <w:rPr>
          <w:rFonts w:ascii="宋体" w:hAnsi="宋体" w:eastAsia="宋体" w:cs="宋体"/>
          <w:sz w:val="24"/>
          <w:szCs w:val="24"/>
        </w:rPr>
        <w:t xml:space="preserve"> </w:t>
      </w:r>
      <w:r>
        <w:rPr>
          <w:rFonts w:ascii="宋体" w:hAnsi="宋体" w:eastAsia="宋体" w:cs="宋体"/>
          <w:spacing w:val="-12"/>
          <w:sz w:val="24"/>
          <w:szCs w:val="24"/>
        </w:rPr>
        <w:t>沿河分布，</w:t>
      </w:r>
      <w:r>
        <w:rPr>
          <w:rFonts w:ascii="宋体" w:hAnsi="宋体" w:eastAsia="宋体" w:cs="宋体"/>
          <w:spacing w:val="-33"/>
          <w:sz w:val="24"/>
          <w:szCs w:val="24"/>
        </w:rPr>
        <w:t xml:space="preserve"> </w:t>
      </w:r>
      <w:r>
        <w:rPr>
          <w:rFonts w:ascii="宋体" w:hAnsi="宋体" w:eastAsia="宋体" w:cs="宋体"/>
          <w:spacing w:val="-12"/>
          <w:sz w:val="24"/>
          <w:szCs w:val="24"/>
        </w:rPr>
        <w:t>上至外期地村委会的外期地自然村</w:t>
      </w:r>
      <w:r>
        <w:rPr>
          <w:rFonts w:ascii="宋体" w:hAnsi="宋体" w:eastAsia="宋体" w:cs="宋体"/>
          <w:spacing w:val="-13"/>
          <w:sz w:val="24"/>
          <w:szCs w:val="24"/>
        </w:rPr>
        <w:t>， 下至六苴村委会的烂泥田自然村， 海拔</w:t>
      </w:r>
      <w:r>
        <w:rPr>
          <w:rFonts w:ascii="宋体" w:hAnsi="宋体" w:eastAsia="宋体" w:cs="宋体"/>
          <w:sz w:val="24"/>
          <w:szCs w:val="24"/>
        </w:rPr>
        <w:t xml:space="preserve"> </w:t>
      </w:r>
      <w:r>
        <w:rPr>
          <w:rFonts w:ascii="宋体" w:hAnsi="宋体" w:eastAsia="宋体" w:cs="宋体"/>
          <w:spacing w:val="-4"/>
          <w:sz w:val="24"/>
          <w:szCs w:val="24"/>
        </w:rPr>
        <w:t xml:space="preserve">高程在 </w:t>
      </w:r>
      <w:r>
        <w:rPr>
          <w:rFonts w:ascii="Times New Roman" w:hAnsi="Times New Roman" w:eastAsia="Times New Roman" w:cs="Times New Roman"/>
          <w:spacing w:val="-4"/>
          <w:sz w:val="24"/>
          <w:szCs w:val="24"/>
        </w:rPr>
        <w:t>1780</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1950m  </w:t>
      </w:r>
      <w:r>
        <w:rPr>
          <w:rFonts w:ascii="宋体" w:hAnsi="宋体" w:eastAsia="宋体" w:cs="宋体"/>
          <w:spacing w:val="-4"/>
          <w:sz w:val="24"/>
          <w:szCs w:val="24"/>
        </w:rPr>
        <w:t xml:space="preserve">之间， </w:t>
      </w:r>
      <w:r>
        <w:rPr>
          <w:rFonts w:ascii="宋体" w:hAnsi="宋体" w:eastAsia="宋体" w:cs="宋体"/>
          <w:spacing w:val="-5"/>
          <w:sz w:val="24"/>
          <w:szCs w:val="24"/>
        </w:rPr>
        <w:t>灌溉片区涉及六苴镇的外期地、六苴</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2"/>
          <w:w w:val="101"/>
          <w:sz w:val="24"/>
          <w:szCs w:val="24"/>
        </w:rPr>
        <w:t xml:space="preserve"> </w:t>
      </w:r>
      <w:r>
        <w:rPr>
          <w:rFonts w:ascii="宋体" w:hAnsi="宋体" w:eastAsia="宋体" w:cs="宋体"/>
          <w:spacing w:val="-5"/>
          <w:sz w:val="24"/>
          <w:szCs w:val="24"/>
        </w:rPr>
        <w:t>个村委会</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32</w:t>
      </w:r>
      <w:r>
        <w:rPr>
          <w:rFonts w:ascii="Times New Roman" w:hAnsi="Times New Roman" w:eastAsia="Times New Roman" w:cs="Times New Roman"/>
          <w:spacing w:val="24"/>
          <w:sz w:val="24"/>
          <w:szCs w:val="24"/>
        </w:rPr>
        <w:t xml:space="preserve"> </w:t>
      </w:r>
      <w:r>
        <w:rPr>
          <w:rFonts w:ascii="宋体" w:hAnsi="宋体" w:eastAsia="宋体" w:cs="宋体"/>
          <w:spacing w:val="-5"/>
          <w:sz w:val="24"/>
          <w:szCs w:val="24"/>
        </w:rPr>
        <w:t>个自</w:t>
      </w:r>
    </w:p>
    <w:p>
      <w:pPr>
        <w:spacing w:before="1" w:line="218" w:lineRule="auto"/>
        <w:ind w:left="40"/>
        <w:rPr>
          <w:rFonts w:ascii="宋体" w:hAnsi="宋体" w:eastAsia="宋体" w:cs="宋体"/>
          <w:sz w:val="24"/>
          <w:szCs w:val="24"/>
        </w:rPr>
      </w:pPr>
      <w:r>
        <w:rPr>
          <w:rFonts w:ascii="宋体" w:hAnsi="宋体" w:eastAsia="宋体" w:cs="宋体"/>
          <w:spacing w:val="-13"/>
          <w:sz w:val="24"/>
          <w:szCs w:val="24"/>
        </w:rPr>
        <w:t>然村的耕地，</w:t>
      </w:r>
      <w:r>
        <w:rPr>
          <w:rFonts w:ascii="宋体" w:hAnsi="宋体" w:eastAsia="宋体" w:cs="宋体"/>
          <w:spacing w:val="66"/>
          <w:sz w:val="24"/>
          <w:szCs w:val="24"/>
        </w:rPr>
        <w:t xml:space="preserve"> </w:t>
      </w:r>
      <w:r>
        <w:rPr>
          <w:rFonts w:ascii="宋体" w:hAnsi="宋体" w:eastAsia="宋体" w:cs="宋体"/>
          <w:spacing w:val="-13"/>
          <w:sz w:val="24"/>
          <w:szCs w:val="24"/>
        </w:rPr>
        <w:t>灌溉面积</w:t>
      </w:r>
      <w:r>
        <w:rPr>
          <w:rFonts w:ascii="宋体" w:hAnsi="宋体" w:eastAsia="宋体" w:cs="宋体"/>
          <w:spacing w:val="-52"/>
          <w:sz w:val="24"/>
          <w:szCs w:val="24"/>
        </w:rPr>
        <w:t xml:space="preserve"> </w:t>
      </w:r>
      <w:r>
        <w:rPr>
          <w:rFonts w:ascii="Times New Roman" w:hAnsi="Times New Roman" w:eastAsia="Times New Roman" w:cs="Times New Roman"/>
          <w:spacing w:val="-13"/>
          <w:sz w:val="24"/>
          <w:szCs w:val="24"/>
        </w:rPr>
        <w:t>0.54</w:t>
      </w:r>
      <w:r>
        <w:rPr>
          <w:rFonts w:ascii="Times New Roman" w:hAnsi="Times New Roman" w:eastAsia="Times New Roman" w:cs="Times New Roman"/>
          <w:spacing w:val="16"/>
          <w:sz w:val="24"/>
          <w:szCs w:val="24"/>
        </w:rPr>
        <w:t xml:space="preserve"> </w:t>
      </w:r>
      <w:r>
        <w:rPr>
          <w:rFonts w:ascii="宋体" w:hAnsi="宋体" w:eastAsia="宋体" w:cs="宋体"/>
          <w:spacing w:val="-13"/>
          <w:sz w:val="24"/>
          <w:szCs w:val="24"/>
        </w:rPr>
        <w:t>万亩。</w:t>
      </w:r>
    </w:p>
    <w:p>
      <w:pPr>
        <w:spacing w:before="182" w:line="220" w:lineRule="auto"/>
        <w:ind w:left="52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4</w:t>
      </w:r>
      <w:r>
        <w:rPr>
          <w:rFonts w:ascii="宋体" w:hAnsi="宋体" w:eastAsia="宋体" w:cs="宋体"/>
          <w:spacing w:val="-5"/>
          <w:sz w:val="24"/>
          <w:szCs w:val="24"/>
        </w:rPr>
        <w:t>）新街灌片</w:t>
      </w:r>
    </w:p>
    <w:p>
      <w:pPr>
        <w:spacing w:line="220" w:lineRule="auto"/>
        <w:rPr>
          <w:rFonts w:ascii="宋体" w:hAnsi="宋体" w:eastAsia="宋体" w:cs="宋体"/>
          <w:sz w:val="24"/>
          <w:szCs w:val="24"/>
        </w:rPr>
        <w:sectPr>
          <w:headerReference r:id="rId63" w:type="default"/>
          <w:footerReference r:id="rId64" w:type="default"/>
          <w:pgSz w:w="11907" w:h="16839"/>
          <w:pgMar w:top="1298" w:right="1349" w:bottom="1374" w:left="1501" w:header="1023" w:footer="1210" w:gutter="0"/>
        </w:sectPr>
      </w:pPr>
    </w:p>
    <w:p>
      <w:pPr>
        <w:spacing w:before="156" w:line="359" w:lineRule="auto"/>
        <w:ind w:left="38" w:right="28" w:firstLine="482"/>
        <w:rPr>
          <w:rFonts w:ascii="宋体" w:hAnsi="宋体" w:eastAsia="宋体" w:cs="宋体"/>
          <w:sz w:val="24"/>
          <w:szCs w:val="24"/>
        </w:rPr>
      </w:pPr>
      <w:r>
        <w:rPr>
          <w:rFonts w:ascii="宋体" w:hAnsi="宋体" w:eastAsia="宋体" w:cs="宋体"/>
          <w:spacing w:val="2"/>
          <w:sz w:val="24"/>
          <w:szCs w:val="24"/>
        </w:rPr>
        <w:t>新街灌片位于大姚县城西北部西河上游两岸，整</w:t>
      </w:r>
      <w:r>
        <w:rPr>
          <w:rFonts w:ascii="宋体" w:hAnsi="宋体" w:eastAsia="宋体" w:cs="宋体"/>
          <w:spacing w:val="1"/>
          <w:sz w:val="24"/>
          <w:szCs w:val="24"/>
        </w:rPr>
        <w:t>个新街镇地形以山区丘陵坡地为</w:t>
      </w:r>
      <w:r>
        <w:rPr>
          <w:rFonts w:ascii="宋体" w:hAnsi="宋体" w:eastAsia="宋体" w:cs="宋体"/>
          <w:sz w:val="24"/>
          <w:szCs w:val="24"/>
        </w:rPr>
        <w:t xml:space="preserve"> </w:t>
      </w:r>
      <w:r>
        <w:rPr>
          <w:rFonts w:ascii="宋体" w:hAnsi="宋体" w:eastAsia="宋体" w:cs="宋体"/>
          <w:spacing w:val="-1"/>
          <w:sz w:val="24"/>
          <w:szCs w:val="24"/>
        </w:rPr>
        <w:t>主。</w:t>
      </w:r>
      <w:r>
        <w:rPr>
          <w:rFonts w:ascii="宋体" w:hAnsi="宋体" w:eastAsia="宋体" w:cs="宋体"/>
          <w:spacing w:val="-23"/>
          <w:sz w:val="24"/>
          <w:szCs w:val="24"/>
        </w:rPr>
        <w:t xml:space="preserve"> </w:t>
      </w:r>
      <w:r>
        <w:rPr>
          <w:rFonts w:ascii="宋体" w:hAnsi="宋体" w:eastAsia="宋体" w:cs="宋体"/>
          <w:spacing w:val="-1"/>
          <w:sz w:val="24"/>
          <w:szCs w:val="24"/>
        </w:rPr>
        <w:t>西河沿河灌区属蜻蛉河大型灌区工农水库～碧么水库～大罗古水库～永丰水库灌</w:t>
      </w:r>
      <w:r>
        <w:rPr>
          <w:rFonts w:ascii="宋体" w:hAnsi="宋体" w:eastAsia="宋体" w:cs="宋体"/>
          <w:sz w:val="24"/>
          <w:szCs w:val="24"/>
        </w:rPr>
        <w:t xml:space="preserve"> </w:t>
      </w:r>
      <w:r>
        <w:rPr>
          <w:rFonts w:ascii="宋体" w:hAnsi="宋体" w:eastAsia="宋体" w:cs="宋体"/>
          <w:spacing w:val="-4"/>
          <w:sz w:val="24"/>
          <w:szCs w:val="24"/>
        </w:rPr>
        <w:t>溉体系的一部分， 现状主要水利工程由工农、碧么、大罗古、大古衙、赵家</w:t>
      </w:r>
      <w:r>
        <w:rPr>
          <w:rFonts w:ascii="宋体" w:hAnsi="宋体" w:eastAsia="宋体" w:cs="宋体"/>
          <w:spacing w:val="-5"/>
          <w:sz w:val="24"/>
          <w:szCs w:val="24"/>
        </w:rPr>
        <w:t xml:space="preserve">龙潭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件</w:t>
      </w:r>
    </w:p>
    <w:p>
      <w:pPr>
        <w:spacing w:line="219" w:lineRule="auto"/>
        <w:ind w:left="45"/>
        <w:rPr>
          <w:rFonts w:ascii="宋体" w:hAnsi="宋体" w:eastAsia="宋体" w:cs="宋体"/>
          <w:sz w:val="24"/>
          <w:szCs w:val="24"/>
        </w:rPr>
      </w:pPr>
      <w:r>
        <w:rPr>
          <w:rFonts w:ascii="宋体" w:hAnsi="宋体" w:eastAsia="宋体" w:cs="宋体"/>
          <w:spacing w:val="-4"/>
          <w:sz w:val="24"/>
          <w:szCs w:val="24"/>
        </w:rPr>
        <w:t>小（</w:t>
      </w:r>
      <w:r>
        <w:rPr>
          <w:rFonts w:ascii="Times New Roman" w:hAnsi="Times New Roman" w:eastAsia="Times New Roman" w:cs="Times New Roman"/>
          <w:spacing w:val="-4"/>
          <w:sz w:val="24"/>
          <w:szCs w:val="24"/>
        </w:rPr>
        <w:t>1</w:t>
      </w:r>
      <w:r>
        <w:rPr>
          <w:rFonts w:ascii="宋体" w:hAnsi="宋体" w:eastAsia="宋体" w:cs="宋体"/>
          <w:spacing w:val="-4"/>
          <w:sz w:val="24"/>
          <w:szCs w:val="24"/>
        </w:rPr>
        <w:t>）型水库及提水工程灌溉。</w:t>
      </w:r>
    </w:p>
    <w:p>
      <w:pPr>
        <w:spacing w:before="180" w:line="220" w:lineRule="auto"/>
        <w:ind w:left="52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）金碧灌片</w:t>
      </w:r>
    </w:p>
    <w:p>
      <w:pPr>
        <w:spacing w:before="182" w:line="359" w:lineRule="auto"/>
        <w:ind w:left="39" w:right="29" w:firstLine="482"/>
        <w:rPr>
          <w:rFonts w:ascii="宋体" w:hAnsi="宋体" w:eastAsia="宋体" w:cs="宋体"/>
          <w:sz w:val="24"/>
          <w:szCs w:val="24"/>
        </w:rPr>
      </w:pPr>
      <w:r>
        <w:rPr>
          <w:rFonts w:ascii="宋体" w:hAnsi="宋体" w:eastAsia="宋体" w:cs="宋体"/>
          <w:spacing w:val="-11"/>
          <w:sz w:val="24"/>
          <w:szCs w:val="24"/>
        </w:rPr>
        <w:t>金碧镇坝区地形以丘陵、平坝为主， 坝区地形较平坦， 是大姚县经济社会最发达的</w:t>
      </w:r>
      <w:r>
        <w:rPr>
          <w:rFonts w:ascii="宋体" w:hAnsi="宋体" w:eastAsia="宋体" w:cs="宋体"/>
          <w:spacing w:val="3"/>
          <w:sz w:val="24"/>
          <w:szCs w:val="24"/>
        </w:rPr>
        <w:t xml:space="preserve"> </w:t>
      </w:r>
      <w:r>
        <w:rPr>
          <w:rFonts w:ascii="宋体" w:hAnsi="宋体" w:eastAsia="宋体" w:cs="宋体"/>
          <w:spacing w:val="4"/>
          <w:sz w:val="24"/>
          <w:szCs w:val="24"/>
        </w:rPr>
        <w:t>地区。灌区耕地覆盖了属蜻蛉河大型灌区的部分工农水库～碧么水库～大罗古水库~</w:t>
      </w:r>
    </w:p>
    <w:p>
      <w:pPr>
        <w:spacing w:line="219" w:lineRule="auto"/>
        <w:ind w:left="41"/>
        <w:rPr>
          <w:rFonts w:ascii="宋体" w:hAnsi="宋体" w:eastAsia="宋体" w:cs="宋体"/>
          <w:sz w:val="24"/>
          <w:szCs w:val="24"/>
        </w:rPr>
      </w:pPr>
      <w:r>
        <w:rPr>
          <w:rFonts w:ascii="宋体" w:hAnsi="宋体" w:eastAsia="宋体" w:cs="宋体"/>
          <w:spacing w:val="-2"/>
          <w:sz w:val="24"/>
          <w:szCs w:val="24"/>
        </w:rPr>
        <w:t>永丰水库灌溉体系、整个白鹤水库～妙峰水库灌溉体系。</w:t>
      </w:r>
    </w:p>
    <w:p>
      <w:pPr>
        <w:spacing w:line="394" w:lineRule="auto"/>
        <w:rPr>
          <w:rFonts w:ascii="Arial"/>
          <w:sz w:val="21"/>
        </w:rPr>
      </w:pPr>
    </w:p>
    <w:p>
      <w:pPr>
        <w:pStyle w:val="2"/>
        <w:spacing w:before="79" w:line="232" w:lineRule="auto"/>
        <w:ind w:left="35"/>
        <w:outlineLvl w:val="1"/>
        <w:rPr>
          <w:sz w:val="24"/>
          <w:szCs w:val="24"/>
        </w:rPr>
      </w:pPr>
      <w:r>
        <w:rPr>
          <w:rFonts w:ascii="Times New Roman" w:hAnsi="Times New Roman" w:eastAsia="Times New Roman" w:cs="Times New Roman"/>
          <w:b/>
          <w:bCs/>
          <w:sz w:val="24"/>
          <w:szCs w:val="24"/>
        </w:rPr>
        <w:t xml:space="preserve">2.1.3 </w:t>
      </w:r>
      <w:r>
        <w:rPr>
          <w:sz w:val="24"/>
          <w:szCs w:val="24"/>
          <w14:textOutline w14:w="4354" w14:cap="flat" w14:cmpd="sng">
            <w14:solidFill>
              <w14:srgbClr w14:val="000000"/>
            </w14:solidFill>
            <w14:prstDash w14:val="solid"/>
            <w14:miter w14:val="0"/>
          </w14:textOutline>
        </w:rPr>
        <w:t>流域规划概况</w:t>
      </w:r>
    </w:p>
    <w:p>
      <w:pPr>
        <w:spacing w:before="166" w:line="359" w:lineRule="auto"/>
        <w:ind w:left="38" w:right="28" w:firstLine="481"/>
        <w:rPr>
          <w:rFonts w:ascii="宋体" w:hAnsi="宋体" w:eastAsia="宋体" w:cs="宋体"/>
          <w:sz w:val="24"/>
          <w:szCs w:val="24"/>
        </w:rPr>
      </w:pPr>
      <w:r>
        <w:rPr>
          <w:rFonts w:ascii="宋体" w:hAnsi="宋体" w:eastAsia="宋体" w:cs="宋体"/>
          <w:spacing w:val="-7"/>
          <w:sz w:val="24"/>
          <w:szCs w:val="24"/>
        </w:rPr>
        <w:t>根据《楚雄北部片区水资源综合利用规划》，提出蓄水工</w:t>
      </w:r>
      <w:r>
        <w:rPr>
          <w:rFonts w:ascii="宋体" w:hAnsi="宋体" w:eastAsia="宋体" w:cs="宋体"/>
          <w:spacing w:val="-8"/>
          <w:sz w:val="24"/>
          <w:szCs w:val="24"/>
        </w:rPr>
        <w:t>程</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148 </w:t>
      </w:r>
      <w:r>
        <w:rPr>
          <w:rFonts w:ascii="宋体" w:hAnsi="宋体" w:eastAsia="宋体" w:cs="宋体"/>
          <w:spacing w:val="-8"/>
          <w:sz w:val="24"/>
          <w:szCs w:val="24"/>
        </w:rPr>
        <w:t>件，</w:t>
      </w:r>
      <w:r>
        <w:rPr>
          <w:rFonts w:ascii="宋体" w:hAnsi="宋体" w:eastAsia="宋体" w:cs="宋体"/>
          <w:spacing w:val="-42"/>
          <w:sz w:val="24"/>
          <w:szCs w:val="24"/>
        </w:rPr>
        <w:t xml:space="preserve"> </w:t>
      </w:r>
      <w:r>
        <w:rPr>
          <w:rFonts w:ascii="宋体" w:hAnsi="宋体" w:eastAsia="宋体" w:cs="宋体"/>
          <w:spacing w:val="-8"/>
          <w:sz w:val="24"/>
          <w:szCs w:val="24"/>
        </w:rPr>
        <w:t>重点对其中小</w:t>
      </w:r>
      <w:r>
        <w:rPr>
          <w:rFonts w:ascii="宋体" w:hAnsi="宋体" w:eastAsia="宋体" w:cs="宋体"/>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 xml:space="preserve">）型以上的 </w:t>
      </w:r>
      <w:r>
        <w:rPr>
          <w:rFonts w:ascii="Times New Roman" w:hAnsi="Times New Roman" w:eastAsia="Times New Roman" w:cs="Times New Roman"/>
          <w:spacing w:val="-3"/>
          <w:sz w:val="24"/>
          <w:szCs w:val="24"/>
        </w:rPr>
        <w:t>43</w:t>
      </w:r>
      <w:r>
        <w:rPr>
          <w:rFonts w:ascii="Times New Roman" w:hAnsi="Times New Roman" w:eastAsia="Times New Roman" w:cs="Times New Roman"/>
          <w:spacing w:val="39"/>
          <w:w w:val="101"/>
          <w:sz w:val="24"/>
          <w:szCs w:val="24"/>
        </w:rPr>
        <w:t xml:space="preserve"> </w:t>
      </w:r>
      <w:r>
        <w:rPr>
          <w:rFonts w:ascii="宋体" w:hAnsi="宋体" w:eastAsia="宋体" w:cs="宋体"/>
          <w:spacing w:val="-3"/>
          <w:sz w:val="24"/>
          <w:szCs w:val="24"/>
        </w:rPr>
        <w:t>件水利工程进行规划设计，其中大（</w:t>
      </w:r>
      <w:r>
        <w:rPr>
          <w:rFonts w:ascii="Times New Roman" w:hAnsi="Times New Roman" w:eastAsia="Times New Roman" w:cs="Times New Roman"/>
          <w:spacing w:val="-3"/>
          <w:sz w:val="24"/>
          <w:szCs w:val="24"/>
        </w:rPr>
        <w:t>2</w:t>
      </w:r>
      <w:r>
        <w:rPr>
          <w:rFonts w:ascii="宋体" w:hAnsi="宋体" w:eastAsia="宋体" w:cs="宋体"/>
          <w:spacing w:val="-3"/>
          <w:sz w:val="24"/>
          <w:szCs w:val="24"/>
        </w:rPr>
        <w:t xml:space="preserve">）型水库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6"/>
          <w:sz w:val="24"/>
          <w:szCs w:val="24"/>
        </w:rPr>
        <w:t xml:space="preserve"> </w:t>
      </w:r>
      <w:r>
        <w:rPr>
          <w:rFonts w:ascii="宋体" w:hAnsi="宋体" w:eastAsia="宋体" w:cs="宋体"/>
          <w:spacing w:val="-3"/>
          <w:sz w:val="24"/>
          <w:szCs w:val="24"/>
        </w:rPr>
        <w:t xml:space="preserve">件，中型水库 </w:t>
      </w:r>
      <w:r>
        <w:rPr>
          <w:rFonts w:ascii="Times New Roman" w:hAnsi="Times New Roman" w:eastAsia="Times New Roman" w:cs="Times New Roman"/>
          <w:spacing w:val="-3"/>
          <w:sz w:val="24"/>
          <w:szCs w:val="24"/>
        </w:rPr>
        <w:t>14</w:t>
      </w:r>
      <w:r>
        <w:rPr>
          <w:rFonts w:ascii="Times New Roman" w:hAnsi="Times New Roman" w:eastAsia="Times New Roman" w:cs="Times New Roman"/>
          <w:sz w:val="24"/>
          <w:szCs w:val="24"/>
        </w:rPr>
        <w:t xml:space="preserve"> </w:t>
      </w:r>
      <w:r>
        <w:rPr>
          <w:rFonts w:ascii="宋体" w:hAnsi="宋体" w:eastAsia="宋体" w:cs="宋体"/>
          <w:spacing w:val="-8"/>
          <w:sz w:val="24"/>
          <w:szCs w:val="24"/>
        </w:rPr>
        <w:t>件，小（</w:t>
      </w:r>
      <w:r>
        <w:rPr>
          <w:rFonts w:ascii="Times New Roman" w:hAnsi="Times New Roman" w:eastAsia="Times New Roman" w:cs="Times New Roman"/>
          <w:spacing w:val="-8"/>
          <w:sz w:val="24"/>
          <w:szCs w:val="24"/>
        </w:rPr>
        <w:t>1</w:t>
      </w:r>
      <w:r>
        <w:rPr>
          <w:rFonts w:ascii="宋体" w:hAnsi="宋体" w:eastAsia="宋体" w:cs="宋体"/>
          <w:spacing w:val="-8"/>
          <w:sz w:val="24"/>
          <w:szCs w:val="24"/>
        </w:rPr>
        <w:t>）型水库</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27 </w:t>
      </w:r>
      <w:r>
        <w:rPr>
          <w:rFonts w:ascii="宋体" w:hAnsi="宋体" w:eastAsia="宋体" w:cs="宋体"/>
          <w:spacing w:val="-8"/>
          <w:sz w:val="24"/>
          <w:szCs w:val="24"/>
        </w:rPr>
        <w:t>件。大姚县到</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2020 </w:t>
      </w:r>
      <w:r>
        <w:rPr>
          <w:rFonts w:ascii="宋体" w:hAnsi="宋体" w:eastAsia="宋体" w:cs="宋体"/>
          <w:spacing w:val="-8"/>
          <w:sz w:val="24"/>
          <w:szCs w:val="24"/>
        </w:rPr>
        <w:t>年规划兴建红豆树中型</w:t>
      </w:r>
      <w:r>
        <w:rPr>
          <w:rFonts w:ascii="宋体" w:hAnsi="宋体" w:eastAsia="宋体" w:cs="宋体"/>
          <w:spacing w:val="-9"/>
          <w:sz w:val="24"/>
          <w:szCs w:val="24"/>
        </w:rPr>
        <w:t>水库和桂花中型水库，</w:t>
      </w:r>
      <w:r>
        <w:rPr>
          <w:rFonts w:ascii="宋体" w:hAnsi="宋体" w:eastAsia="宋体" w:cs="宋体"/>
          <w:sz w:val="24"/>
          <w:szCs w:val="24"/>
        </w:rPr>
        <w:t xml:space="preserve"> </w:t>
      </w:r>
      <w:r>
        <w:rPr>
          <w:rFonts w:ascii="宋体" w:hAnsi="宋体" w:eastAsia="宋体" w:cs="宋体"/>
          <w:spacing w:val="-7"/>
          <w:sz w:val="24"/>
          <w:szCs w:val="24"/>
        </w:rPr>
        <w:t>以及大坡、河底、木卡拉、扩建小村小（</w:t>
      </w:r>
      <w:r>
        <w:rPr>
          <w:rFonts w:ascii="Times New Roman" w:hAnsi="Times New Roman" w:eastAsia="Times New Roman" w:cs="Times New Roman"/>
          <w:spacing w:val="-7"/>
          <w:sz w:val="24"/>
          <w:szCs w:val="24"/>
        </w:rPr>
        <w:t>2</w:t>
      </w:r>
      <w:r>
        <w:rPr>
          <w:rFonts w:ascii="宋体" w:hAnsi="宋体" w:eastAsia="宋体" w:cs="宋体"/>
          <w:spacing w:val="-7"/>
          <w:sz w:val="24"/>
          <w:szCs w:val="24"/>
        </w:rPr>
        <w:t>）型水库为小</w:t>
      </w:r>
      <w:r>
        <w:rPr>
          <w:rFonts w:ascii="宋体" w:hAnsi="宋体" w:eastAsia="宋体" w:cs="宋体"/>
          <w:spacing w:val="-8"/>
          <w:sz w:val="24"/>
          <w:szCs w:val="24"/>
        </w:rPr>
        <w:t>（</w:t>
      </w:r>
      <w:r>
        <w:rPr>
          <w:rFonts w:ascii="Times New Roman" w:hAnsi="Times New Roman" w:eastAsia="Times New Roman" w:cs="Times New Roman"/>
          <w:spacing w:val="-8"/>
          <w:sz w:val="24"/>
          <w:szCs w:val="24"/>
        </w:rPr>
        <w:t>1</w:t>
      </w:r>
      <w:r>
        <w:rPr>
          <w:rFonts w:ascii="宋体" w:hAnsi="宋体" w:eastAsia="宋体" w:cs="宋体"/>
          <w:spacing w:val="-8"/>
          <w:sz w:val="24"/>
          <w:szCs w:val="24"/>
        </w:rPr>
        <w:t>）型水库等</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 xml:space="preserve">3 </w:t>
      </w:r>
      <w:r>
        <w:rPr>
          <w:rFonts w:ascii="宋体" w:hAnsi="宋体" w:eastAsia="宋体" w:cs="宋体"/>
          <w:spacing w:val="-8"/>
          <w:sz w:val="24"/>
          <w:szCs w:val="24"/>
        </w:rPr>
        <w:t>件重点小（</w:t>
      </w:r>
      <w:r>
        <w:rPr>
          <w:rFonts w:ascii="Times New Roman" w:hAnsi="Times New Roman" w:eastAsia="Times New Roman" w:cs="Times New Roman"/>
          <w:spacing w:val="-8"/>
          <w:sz w:val="24"/>
          <w:szCs w:val="24"/>
        </w:rPr>
        <w:t>1</w:t>
      </w:r>
      <w:r>
        <w:rPr>
          <w:rFonts w:ascii="宋体" w:hAnsi="宋体" w:eastAsia="宋体" w:cs="宋体"/>
          <w:spacing w:val="-8"/>
          <w:sz w:val="24"/>
          <w:szCs w:val="24"/>
        </w:rPr>
        <w:t>）</w:t>
      </w:r>
    </w:p>
    <w:p>
      <w:pPr>
        <w:spacing w:line="219" w:lineRule="auto"/>
        <w:ind w:left="46"/>
        <w:rPr>
          <w:rFonts w:ascii="宋体" w:hAnsi="宋体" w:eastAsia="宋体" w:cs="宋体"/>
          <w:sz w:val="24"/>
          <w:szCs w:val="24"/>
        </w:rPr>
      </w:pPr>
      <w:r>
        <w:rPr>
          <w:rFonts w:ascii="宋体" w:hAnsi="宋体" w:eastAsia="宋体" w:cs="宋体"/>
          <w:spacing w:val="-2"/>
          <w:sz w:val="24"/>
          <w:szCs w:val="24"/>
        </w:rPr>
        <w:t>型水库；并辅以其它小（</w:t>
      </w:r>
      <w:r>
        <w:rPr>
          <w:rFonts w:ascii="Times New Roman" w:hAnsi="Times New Roman" w:eastAsia="Times New Roman" w:cs="Times New Roman"/>
          <w:spacing w:val="-2"/>
          <w:sz w:val="24"/>
          <w:szCs w:val="24"/>
        </w:rPr>
        <w:t>2</w:t>
      </w:r>
      <w:r>
        <w:rPr>
          <w:rFonts w:ascii="宋体" w:hAnsi="宋体" w:eastAsia="宋体" w:cs="宋体"/>
          <w:spacing w:val="-2"/>
          <w:sz w:val="24"/>
          <w:szCs w:val="24"/>
        </w:rPr>
        <w:t>）型水库和五小水利工程的建设。</w:t>
      </w:r>
    </w:p>
    <w:p>
      <w:pPr>
        <w:spacing w:before="183" w:line="359" w:lineRule="auto"/>
        <w:ind w:left="42" w:right="30" w:firstLine="477"/>
        <w:rPr>
          <w:rFonts w:ascii="宋体" w:hAnsi="宋体" w:eastAsia="宋体" w:cs="宋体"/>
          <w:sz w:val="24"/>
          <w:szCs w:val="24"/>
        </w:rPr>
      </w:pPr>
      <w:r>
        <w:rPr>
          <w:rFonts w:ascii="宋体" w:hAnsi="宋体" w:eastAsia="宋体" w:cs="宋体"/>
          <w:spacing w:val="-12"/>
          <w:sz w:val="24"/>
          <w:szCs w:val="24"/>
        </w:rPr>
        <w:t>根据《大姚县蜻蛉河流域及相关地区水资源配置规划》，提出建设桂花水库（中型）</w:t>
      </w:r>
      <w:r>
        <w:rPr>
          <w:rFonts w:ascii="宋体" w:hAnsi="宋体" w:eastAsia="宋体" w:cs="宋体"/>
          <w:spacing w:val="14"/>
          <w:sz w:val="24"/>
          <w:szCs w:val="24"/>
        </w:rPr>
        <w:t xml:space="preserve"> </w:t>
      </w:r>
      <w:r>
        <w:rPr>
          <w:rFonts w:ascii="宋体" w:hAnsi="宋体" w:eastAsia="宋体" w:cs="宋体"/>
          <w:spacing w:val="-6"/>
          <w:sz w:val="24"/>
          <w:szCs w:val="24"/>
        </w:rPr>
        <w:t>以及小村小（</w:t>
      </w:r>
      <w:r>
        <w:rPr>
          <w:rFonts w:ascii="Times New Roman" w:hAnsi="Times New Roman" w:eastAsia="Times New Roman" w:cs="Times New Roman"/>
          <w:spacing w:val="-6"/>
          <w:sz w:val="24"/>
          <w:szCs w:val="24"/>
        </w:rPr>
        <w:t>1</w:t>
      </w:r>
      <w:r>
        <w:rPr>
          <w:rFonts w:ascii="宋体" w:hAnsi="宋体" w:eastAsia="宋体" w:cs="宋体"/>
          <w:spacing w:val="-6"/>
          <w:sz w:val="24"/>
          <w:szCs w:val="24"/>
        </w:rPr>
        <w:t>）型水库。桂花水库与大罗古水库</w:t>
      </w:r>
      <w:r>
        <w:rPr>
          <w:rFonts w:ascii="宋体" w:hAnsi="宋体" w:eastAsia="宋体" w:cs="宋体"/>
          <w:spacing w:val="-7"/>
          <w:sz w:val="24"/>
          <w:szCs w:val="24"/>
        </w:rPr>
        <w:t>联合调度供水，</w:t>
      </w:r>
      <w:r>
        <w:rPr>
          <w:rFonts w:ascii="宋体" w:hAnsi="宋体" w:eastAsia="宋体" w:cs="宋体"/>
          <w:spacing w:val="68"/>
          <w:sz w:val="24"/>
          <w:szCs w:val="24"/>
        </w:rPr>
        <w:t xml:space="preserve"> </w:t>
      </w:r>
      <w:r>
        <w:rPr>
          <w:rFonts w:ascii="宋体" w:hAnsi="宋体" w:eastAsia="宋体" w:cs="宋体"/>
          <w:spacing w:val="-7"/>
          <w:sz w:val="24"/>
          <w:szCs w:val="24"/>
        </w:rPr>
        <w:t>引水工程引水至规划</w:t>
      </w:r>
      <w:r>
        <w:rPr>
          <w:rFonts w:ascii="宋体" w:hAnsi="宋体" w:eastAsia="宋体" w:cs="宋体"/>
          <w:sz w:val="24"/>
          <w:szCs w:val="24"/>
        </w:rPr>
        <w:t xml:space="preserve"> </w:t>
      </w:r>
      <w:r>
        <w:rPr>
          <w:rFonts w:ascii="宋体" w:hAnsi="宋体" w:eastAsia="宋体" w:cs="宋体"/>
          <w:spacing w:val="-1"/>
          <w:sz w:val="24"/>
          <w:szCs w:val="24"/>
        </w:rPr>
        <w:t xml:space="preserve">水库调蓄；为充分发挥大罗古水库效益，沿途引入引洪工程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48"/>
          <w:sz w:val="24"/>
          <w:szCs w:val="24"/>
        </w:rPr>
        <w:t xml:space="preserve"> </w:t>
      </w:r>
      <w:r>
        <w:rPr>
          <w:rFonts w:ascii="宋体" w:hAnsi="宋体" w:eastAsia="宋体" w:cs="宋体"/>
          <w:spacing w:val="-1"/>
          <w:sz w:val="24"/>
          <w:szCs w:val="24"/>
        </w:rPr>
        <w:t>个取水坝</w:t>
      </w:r>
      <w:r>
        <w:rPr>
          <w:rFonts w:ascii="宋体" w:hAnsi="宋体" w:eastAsia="宋体" w:cs="宋体"/>
          <w:spacing w:val="-2"/>
          <w:sz w:val="24"/>
          <w:szCs w:val="24"/>
        </w:rPr>
        <w:t>洪量，并从桂</w:t>
      </w:r>
    </w:p>
    <w:p>
      <w:pPr>
        <w:spacing w:line="219" w:lineRule="auto"/>
        <w:ind w:left="40"/>
        <w:rPr>
          <w:rFonts w:ascii="宋体" w:hAnsi="宋体" w:eastAsia="宋体" w:cs="宋体"/>
          <w:sz w:val="24"/>
          <w:szCs w:val="24"/>
        </w:rPr>
      </w:pPr>
      <w:r>
        <w:rPr>
          <w:rFonts w:ascii="宋体" w:hAnsi="宋体" w:eastAsia="宋体" w:cs="宋体"/>
          <w:spacing w:val="-3"/>
          <w:sz w:val="24"/>
          <w:szCs w:val="24"/>
        </w:rPr>
        <w:t>花水库汛期均匀补水至大罗古水库使之蓄满。</w:t>
      </w:r>
    </w:p>
    <w:p>
      <w:pPr>
        <w:spacing w:before="182" w:line="359" w:lineRule="auto"/>
        <w:ind w:left="74" w:right="30" w:firstLine="445"/>
        <w:rPr>
          <w:rFonts w:ascii="宋体" w:hAnsi="宋体" w:eastAsia="宋体" w:cs="宋体"/>
          <w:sz w:val="24"/>
          <w:szCs w:val="24"/>
        </w:rPr>
      </w:pPr>
      <w:r>
        <w:rPr>
          <w:rFonts w:ascii="宋体" w:hAnsi="宋体" w:eastAsia="宋体" w:cs="宋体"/>
          <w:spacing w:val="-5"/>
          <w:sz w:val="24"/>
          <w:szCs w:val="24"/>
        </w:rPr>
        <w:t>根据《楚雄州“十四五”水安全保障规划》，新开工大姚桂花、南华小箐河、楚雄</w:t>
      </w:r>
      <w:r>
        <w:rPr>
          <w:rFonts w:ascii="宋体" w:hAnsi="宋体" w:eastAsia="宋体" w:cs="宋体"/>
          <w:spacing w:val="7"/>
          <w:sz w:val="24"/>
          <w:szCs w:val="24"/>
        </w:rPr>
        <w:t xml:space="preserve"> </w:t>
      </w:r>
      <w:r>
        <w:rPr>
          <w:rFonts w:ascii="宋体" w:hAnsi="宋体" w:eastAsia="宋体" w:cs="宋体"/>
          <w:spacing w:val="-3"/>
          <w:sz w:val="24"/>
          <w:szCs w:val="24"/>
        </w:rPr>
        <w:t>白衣河、双柏白水河、元谋麻柳扩建</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30"/>
          <w:w w:val="101"/>
          <w:sz w:val="24"/>
          <w:szCs w:val="24"/>
        </w:rPr>
        <w:t xml:space="preserve"> </w:t>
      </w:r>
      <w:r>
        <w:rPr>
          <w:rFonts w:ascii="宋体" w:hAnsi="宋体" w:eastAsia="宋体" w:cs="宋体"/>
          <w:spacing w:val="-3"/>
          <w:sz w:val="24"/>
          <w:szCs w:val="24"/>
        </w:rPr>
        <w:t>座中型水库，楚雄响水箐等</w:t>
      </w:r>
      <w:r>
        <w:rPr>
          <w:rFonts w:ascii="宋体" w:hAnsi="宋体" w:eastAsia="宋体" w:cs="宋体"/>
          <w:spacing w:val="-4"/>
          <w:sz w:val="24"/>
          <w:szCs w:val="24"/>
        </w:rPr>
        <w:t xml:space="preserve"> </w:t>
      </w:r>
      <w:r>
        <w:rPr>
          <w:rFonts w:ascii="Times New Roman" w:hAnsi="Times New Roman" w:eastAsia="Times New Roman" w:cs="Times New Roman"/>
          <w:spacing w:val="-4"/>
          <w:sz w:val="24"/>
          <w:szCs w:val="24"/>
        </w:rPr>
        <w:t>14</w:t>
      </w:r>
      <w:r>
        <w:rPr>
          <w:rFonts w:ascii="Times New Roman" w:hAnsi="Times New Roman" w:eastAsia="Times New Roman" w:cs="Times New Roman"/>
          <w:spacing w:val="30"/>
          <w:w w:val="101"/>
          <w:sz w:val="24"/>
          <w:szCs w:val="24"/>
        </w:rPr>
        <w:t xml:space="preserve"> </w:t>
      </w:r>
      <w:r>
        <w:rPr>
          <w:rFonts w:ascii="宋体" w:hAnsi="宋体" w:eastAsia="宋体" w:cs="宋体"/>
          <w:spacing w:val="-4"/>
          <w:sz w:val="24"/>
          <w:szCs w:val="24"/>
        </w:rPr>
        <w:t>座小（</w:t>
      </w:r>
      <w:r>
        <w:rPr>
          <w:rFonts w:ascii="Times New Roman" w:hAnsi="Times New Roman" w:eastAsia="Times New Roman" w:cs="Times New Roman"/>
          <w:spacing w:val="-4"/>
          <w:sz w:val="24"/>
          <w:szCs w:val="24"/>
        </w:rPr>
        <w:t>1</w:t>
      </w:r>
      <w:r>
        <w:rPr>
          <w:rFonts w:ascii="宋体" w:hAnsi="宋体" w:eastAsia="宋体" w:cs="宋体"/>
          <w:spacing w:val="-4"/>
          <w:sz w:val="24"/>
          <w:szCs w:val="24"/>
        </w:rPr>
        <w:t>）型水</w:t>
      </w:r>
    </w:p>
    <w:p>
      <w:pPr>
        <w:spacing w:before="1" w:line="219" w:lineRule="auto"/>
        <w:ind w:left="40"/>
        <w:rPr>
          <w:rFonts w:ascii="宋体" w:hAnsi="宋体" w:eastAsia="宋体" w:cs="宋体"/>
          <w:sz w:val="24"/>
          <w:szCs w:val="24"/>
        </w:rPr>
      </w:pPr>
      <w:r>
        <w:rPr>
          <w:rFonts w:ascii="宋体" w:hAnsi="宋体" w:eastAsia="宋体" w:cs="宋体"/>
          <w:spacing w:val="-12"/>
          <w:sz w:val="24"/>
          <w:szCs w:val="24"/>
        </w:rPr>
        <w:t>库。</w:t>
      </w:r>
    </w:p>
    <w:p>
      <w:pPr>
        <w:spacing w:before="181" w:line="359" w:lineRule="auto"/>
        <w:ind w:left="42" w:right="30" w:firstLine="477"/>
        <w:rPr>
          <w:rFonts w:ascii="宋体" w:hAnsi="宋体" w:eastAsia="宋体" w:cs="宋体"/>
          <w:sz w:val="24"/>
          <w:szCs w:val="24"/>
        </w:rPr>
      </w:pPr>
      <w:r>
        <w:rPr>
          <w:rFonts w:ascii="宋体" w:hAnsi="宋体" w:eastAsia="宋体" w:cs="宋体"/>
          <w:spacing w:val="-5"/>
          <w:sz w:val="24"/>
          <w:szCs w:val="24"/>
        </w:rPr>
        <w:t>根据《云南省百件骨干水源工程建设规划》，列入本次规划的重点水源工程包括大</w:t>
      </w:r>
      <w:r>
        <w:rPr>
          <w:rFonts w:ascii="宋体" w:hAnsi="宋体" w:eastAsia="宋体" w:cs="宋体"/>
          <w:spacing w:val="6"/>
          <w:sz w:val="24"/>
          <w:szCs w:val="24"/>
        </w:rPr>
        <w:t xml:space="preserve"> </w:t>
      </w:r>
      <w:r>
        <w:rPr>
          <w:rFonts w:ascii="宋体" w:hAnsi="宋体" w:eastAsia="宋体" w:cs="宋体"/>
          <w:spacing w:val="-1"/>
          <w:sz w:val="24"/>
          <w:szCs w:val="24"/>
        </w:rPr>
        <w:t>型水库、中型水库、小（</w:t>
      </w:r>
      <w:r>
        <w:rPr>
          <w:rFonts w:ascii="Times New Roman" w:hAnsi="Times New Roman" w:eastAsia="Times New Roman" w:cs="Times New Roman"/>
          <w:spacing w:val="-1"/>
          <w:sz w:val="24"/>
          <w:szCs w:val="24"/>
        </w:rPr>
        <w:t>1</w:t>
      </w:r>
      <w:r>
        <w:rPr>
          <w:rFonts w:ascii="宋体" w:hAnsi="宋体" w:eastAsia="宋体" w:cs="宋体"/>
          <w:spacing w:val="-1"/>
          <w:sz w:val="24"/>
          <w:szCs w:val="24"/>
        </w:rPr>
        <w:t>）型水库、引提</w:t>
      </w:r>
      <w:r>
        <w:rPr>
          <w:rFonts w:ascii="宋体" w:hAnsi="宋体" w:eastAsia="宋体" w:cs="宋体"/>
          <w:spacing w:val="-2"/>
          <w:sz w:val="24"/>
          <w:szCs w:val="24"/>
        </w:rPr>
        <w:t>水工程、连通工程和具有一定规模的集中供</w:t>
      </w:r>
      <w:r>
        <w:rPr>
          <w:rFonts w:ascii="宋体" w:hAnsi="宋体" w:eastAsia="宋体" w:cs="宋体"/>
          <w:sz w:val="24"/>
          <w:szCs w:val="24"/>
        </w:rPr>
        <w:t xml:space="preserve"> </w:t>
      </w:r>
      <w:r>
        <w:rPr>
          <w:rFonts w:ascii="宋体" w:hAnsi="宋体" w:eastAsia="宋体" w:cs="宋体"/>
          <w:spacing w:val="-11"/>
          <w:sz w:val="24"/>
          <w:szCs w:val="24"/>
        </w:rPr>
        <w:t>水的水井工程。其中：</w:t>
      </w:r>
      <w:r>
        <w:rPr>
          <w:rFonts w:ascii="宋体" w:hAnsi="宋体" w:eastAsia="宋体" w:cs="宋体"/>
          <w:spacing w:val="60"/>
          <w:sz w:val="24"/>
          <w:szCs w:val="24"/>
        </w:rPr>
        <w:t xml:space="preserve"> </w:t>
      </w:r>
      <w:r>
        <w:rPr>
          <w:rFonts w:ascii="宋体" w:hAnsi="宋体" w:eastAsia="宋体" w:cs="宋体"/>
          <w:spacing w:val="-11"/>
          <w:sz w:val="24"/>
          <w:szCs w:val="24"/>
        </w:rPr>
        <w:t>大型水库</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 xml:space="preserve">7 </w:t>
      </w:r>
      <w:r>
        <w:rPr>
          <w:rFonts w:ascii="宋体" w:hAnsi="宋体" w:eastAsia="宋体" w:cs="宋体"/>
          <w:spacing w:val="-11"/>
          <w:sz w:val="24"/>
          <w:szCs w:val="24"/>
        </w:rPr>
        <w:t>件，中型水库</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 xml:space="preserve">138 </w:t>
      </w:r>
      <w:r>
        <w:rPr>
          <w:rFonts w:ascii="宋体" w:hAnsi="宋体" w:eastAsia="宋体" w:cs="宋体"/>
          <w:spacing w:val="-11"/>
          <w:sz w:val="24"/>
          <w:szCs w:val="24"/>
        </w:rPr>
        <w:t>件，</w:t>
      </w:r>
      <w:r>
        <w:rPr>
          <w:rFonts w:ascii="宋体" w:hAnsi="宋体" w:eastAsia="宋体" w:cs="宋体"/>
          <w:spacing w:val="-12"/>
          <w:sz w:val="24"/>
          <w:szCs w:val="24"/>
        </w:rPr>
        <w:t xml:space="preserve"> 引、提水工程</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 xml:space="preserve">48 </w:t>
      </w:r>
      <w:r>
        <w:rPr>
          <w:rFonts w:ascii="宋体" w:hAnsi="宋体" w:eastAsia="宋体" w:cs="宋体"/>
          <w:spacing w:val="-12"/>
          <w:sz w:val="24"/>
          <w:szCs w:val="24"/>
        </w:rPr>
        <w:t>件，</w:t>
      </w:r>
      <w:r>
        <w:rPr>
          <w:rFonts w:ascii="宋体" w:hAnsi="宋体" w:eastAsia="宋体" w:cs="宋体"/>
          <w:spacing w:val="-30"/>
          <w:sz w:val="24"/>
          <w:szCs w:val="24"/>
        </w:rPr>
        <w:t xml:space="preserve"> </w:t>
      </w:r>
      <w:r>
        <w:rPr>
          <w:rFonts w:ascii="宋体" w:hAnsi="宋体" w:eastAsia="宋体" w:cs="宋体"/>
          <w:spacing w:val="-12"/>
          <w:sz w:val="24"/>
          <w:szCs w:val="24"/>
        </w:rPr>
        <w:t>小型水</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库</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331 </w:t>
      </w:r>
      <w:r>
        <w:rPr>
          <w:rFonts w:ascii="宋体" w:hAnsi="宋体" w:eastAsia="宋体" w:cs="宋体"/>
          <w:spacing w:val="-2"/>
          <w:sz w:val="24"/>
          <w:szCs w:val="24"/>
        </w:rPr>
        <w:t>件，联通工程</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533km</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。大姚县桂花水库为本规划中的位于的中型水库。</w:t>
      </w:r>
    </w:p>
    <w:p>
      <w:pPr>
        <w:spacing w:before="182" w:line="219" w:lineRule="auto"/>
        <w:ind w:left="521"/>
        <w:rPr>
          <w:rFonts w:ascii="宋体" w:hAnsi="宋体" w:eastAsia="宋体" w:cs="宋体"/>
          <w:sz w:val="24"/>
          <w:szCs w:val="24"/>
        </w:rPr>
      </w:pPr>
      <w:r>
        <w:rPr>
          <w:rFonts w:ascii="宋体" w:hAnsi="宋体" w:eastAsia="宋体" w:cs="宋体"/>
          <w:spacing w:val="-2"/>
          <w:sz w:val="24"/>
          <w:szCs w:val="24"/>
        </w:rPr>
        <w:t>桂花水库所在桂花河干流流域未规划其他水利工程。</w:t>
      </w:r>
    </w:p>
    <w:p>
      <w:pPr>
        <w:spacing w:line="397" w:lineRule="auto"/>
        <w:rPr>
          <w:rFonts w:ascii="Arial"/>
          <w:sz w:val="21"/>
        </w:rPr>
      </w:pPr>
    </w:p>
    <w:p>
      <w:pPr>
        <w:pStyle w:val="2"/>
        <w:spacing w:before="79" w:line="232" w:lineRule="auto"/>
        <w:ind w:left="35"/>
        <w:outlineLvl w:val="1"/>
        <w:rPr>
          <w:sz w:val="24"/>
          <w:szCs w:val="24"/>
        </w:rPr>
      </w:pPr>
      <w:r>
        <w:rPr>
          <w:rFonts w:ascii="Times New Roman" w:hAnsi="Times New Roman" w:eastAsia="Times New Roman" w:cs="Times New Roman"/>
          <w:b/>
          <w:bCs/>
          <w:sz w:val="24"/>
          <w:szCs w:val="24"/>
        </w:rPr>
        <w:t xml:space="preserve">2.1.3 </w:t>
      </w:r>
      <w:r>
        <w:rPr>
          <w:sz w:val="24"/>
          <w:szCs w:val="24"/>
          <w14:textOutline w14:w="4354" w14:cap="flat" w14:cmpd="sng">
            <w14:solidFill>
              <w14:srgbClr w14:val="000000"/>
            </w14:solidFill>
            <w14:prstDash w14:val="solid"/>
            <w14:miter w14:val="0"/>
          </w14:textOutline>
        </w:rPr>
        <w:t>水资源论证结论</w:t>
      </w:r>
    </w:p>
    <w:p>
      <w:pPr>
        <w:spacing w:before="164" w:line="467" w:lineRule="exact"/>
        <w:ind w:right="30"/>
        <w:jc w:val="right"/>
        <w:rPr>
          <w:rFonts w:ascii="宋体" w:hAnsi="宋体" w:eastAsia="宋体" w:cs="宋体"/>
          <w:sz w:val="24"/>
          <w:szCs w:val="24"/>
        </w:rPr>
      </w:pPr>
      <w:r>
        <w:rPr>
          <w:rFonts w:ascii="Times New Roman" w:hAnsi="Times New Roman" w:eastAsia="Times New Roman" w:cs="Times New Roman"/>
          <w:spacing w:val="-4"/>
          <w:position w:val="17"/>
          <w:sz w:val="24"/>
          <w:szCs w:val="24"/>
        </w:rPr>
        <w:t>2016</w:t>
      </w:r>
      <w:r>
        <w:rPr>
          <w:rFonts w:ascii="Times New Roman" w:hAnsi="Times New Roman" w:eastAsia="Times New Roman" w:cs="Times New Roman"/>
          <w:spacing w:val="27"/>
          <w:position w:val="17"/>
          <w:sz w:val="24"/>
          <w:szCs w:val="24"/>
        </w:rPr>
        <w:t xml:space="preserve"> </w:t>
      </w:r>
      <w:r>
        <w:rPr>
          <w:rFonts w:ascii="宋体" w:hAnsi="宋体" w:eastAsia="宋体" w:cs="宋体"/>
          <w:spacing w:val="-4"/>
          <w:position w:val="17"/>
          <w:sz w:val="24"/>
          <w:szCs w:val="24"/>
        </w:rPr>
        <w:t>年</w:t>
      </w:r>
      <w:r>
        <w:rPr>
          <w:rFonts w:ascii="宋体" w:hAnsi="宋体" w:eastAsia="宋体" w:cs="宋体"/>
          <w:spacing w:val="-43"/>
          <w:position w:val="17"/>
          <w:sz w:val="24"/>
          <w:szCs w:val="24"/>
        </w:rPr>
        <w:t xml:space="preserve"> </w:t>
      </w:r>
      <w:r>
        <w:rPr>
          <w:rFonts w:ascii="Times New Roman" w:hAnsi="Times New Roman" w:eastAsia="Times New Roman" w:cs="Times New Roman"/>
          <w:spacing w:val="-4"/>
          <w:position w:val="17"/>
          <w:sz w:val="24"/>
          <w:szCs w:val="24"/>
        </w:rPr>
        <w:t>5</w:t>
      </w:r>
      <w:r>
        <w:rPr>
          <w:rFonts w:ascii="Times New Roman" w:hAnsi="Times New Roman" w:eastAsia="Times New Roman" w:cs="Times New Roman"/>
          <w:spacing w:val="20"/>
          <w:position w:val="17"/>
          <w:sz w:val="24"/>
          <w:szCs w:val="24"/>
        </w:rPr>
        <w:t xml:space="preserve"> </w:t>
      </w:r>
      <w:r>
        <w:rPr>
          <w:rFonts w:ascii="宋体" w:hAnsi="宋体" w:eastAsia="宋体" w:cs="宋体"/>
          <w:spacing w:val="-4"/>
          <w:position w:val="17"/>
          <w:sz w:val="24"/>
          <w:szCs w:val="24"/>
        </w:rPr>
        <w:t>月，</w:t>
      </w:r>
      <w:r>
        <w:rPr>
          <w:rFonts w:ascii="宋体" w:hAnsi="宋体" w:eastAsia="宋体" w:cs="宋体"/>
          <w:spacing w:val="-25"/>
          <w:position w:val="17"/>
          <w:sz w:val="24"/>
          <w:szCs w:val="24"/>
        </w:rPr>
        <w:t xml:space="preserve"> </w:t>
      </w:r>
      <w:r>
        <w:rPr>
          <w:rFonts w:ascii="宋体" w:hAnsi="宋体" w:eastAsia="宋体" w:cs="宋体"/>
          <w:spacing w:val="-4"/>
          <w:position w:val="17"/>
          <w:sz w:val="24"/>
          <w:szCs w:val="24"/>
        </w:rPr>
        <w:t>楚雄欣源水利电力勘察设计有限责任公司编制了《大姚县桂花水库</w:t>
      </w:r>
    </w:p>
    <w:p>
      <w:pPr>
        <w:spacing w:line="218" w:lineRule="auto"/>
        <w:ind w:left="42"/>
        <w:rPr>
          <w:rFonts w:ascii="宋体" w:hAnsi="宋体" w:eastAsia="宋体" w:cs="宋体"/>
          <w:sz w:val="24"/>
          <w:szCs w:val="24"/>
        </w:rPr>
      </w:pPr>
      <w:r>
        <w:rPr>
          <w:rFonts w:ascii="宋体" w:hAnsi="宋体" w:eastAsia="宋体" w:cs="宋体"/>
          <w:spacing w:val="-7"/>
          <w:sz w:val="24"/>
          <w:szCs w:val="24"/>
        </w:rPr>
        <w:t>工程水资源论证报告》。</w:t>
      </w:r>
      <w:r>
        <w:rPr>
          <w:rFonts w:ascii="宋体" w:hAnsi="宋体" w:eastAsia="宋体" w:cs="宋体"/>
          <w:spacing w:val="-29"/>
          <w:sz w:val="24"/>
          <w:szCs w:val="24"/>
        </w:rPr>
        <w:t xml:space="preserve"> </w:t>
      </w:r>
      <w:r>
        <w:rPr>
          <w:rFonts w:ascii="Times New Roman" w:hAnsi="Times New Roman" w:eastAsia="Times New Roman" w:cs="Times New Roman"/>
          <w:spacing w:val="-7"/>
          <w:sz w:val="24"/>
          <w:szCs w:val="24"/>
        </w:rPr>
        <w:t xml:space="preserve">2016 </w:t>
      </w:r>
      <w:r>
        <w:rPr>
          <w:rFonts w:ascii="宋体" w:hAnsi="宋体" w:eastAsia="宋体" w:cs="宋体"/>
          <w:spacing w:val="-7"/>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16 </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日云南省水利厅《关于准予楚雄州大姚县桂花</w:t>
      </w:r>
    </w:p>
    <w:p>
      <w:pPr>
        <w:spacing w:line="218" w:lineRule="auto"/>
        <w:rPr>
          <w:rFonts w:ascii="宋体" w:hAnsi="宋体" w:eastAsia="宋体" w:cs="宋体"/>
          <w:sz w:val="24"/>
          <w:szCs w:val="24"/>
        </w:rPr>
        <w:sectPr>
          <w:headerReference r:id="rId65" w:type="default"/>
          <w:footerReference r:id="rId66" w:type="default"/>
          <w:pgSz w:w="11907" w:h="16839"/>
          <w:pgMar w:top="1298" w:right="1387" w:bottom="1374" w:left="1501" w:header="1023" w:footer="1210" w:gutter="0"/>
        </w:sectPr>
      </w:pPr>
    </w:p>
    <w:p>
      <w:pPr>
        <w:spacing w:before="156" w:line="359" w:lineRule="auto"/>
        <w:ind w:left="42" w:right="67"/>
        <w:jc w:val="both"/>
        <w:rPr>
          <w:rFonts w:ascii="宋体" w:hAnsi="宋体" w:eastAsia="宋体" w:cs="宋体"/>
          <w:sz w:val="24"/>
          <w:szCs w:val="24"/>
        </w:rPr>
      </w:pPr>
      <w:r>
        <w:rPr>
          <w:rFonts w:ascii="宋体" w:hAnsi="宋体" w:eastAsia="宋体" w:cs="宋体"/>
          <w:spacing w:val="-6"/>
          <w:sz w:val="24"/>
          <w:szCs w:val="24"/>
        </w:rPr>
        <w:t>水库工程水资源论证报告书的行政许可决定书》（云水资源许</w:t>
      </w:r>
      <w:r>
        <w:rPr>
          <w:rFonts w:ascii="Times New Roman" w:hAnsi="Times New Roman" w:eastAsia="Times New Roman" w:cs="Times New Roman"/>
          <w:spacing w:val="-6"/>
          <w:sz w:val="24"/>
          <w:szCs w:val="24"/>
        </w:rPr>
        <w:t>[2016]8</w:t>
      </w:r>
      <w:r>
        <w:rPr>
          <w:rFonts w:ascii="Times New Roman" w:hAnsi="Times New Roman" w:eastAsia="Times New Roman" w:cs="Times New Roman"/>
          <w:spacing w:val="18"/>
          <w:w w:val="101"/>
          <w:sz w:val="24"/>
          <w:szCs w:val="24"/>
        </w:rPr>
        <w:t xml:space="preserve"> </w:t>
      </w:r>
      <w:r>
        <w:rPr>
          <w:rFonts w:ascii="宋体" w:hAnsi="宋体" w:eastAsia="宋体" w:cs="宋体"/>
          <w:spacing w:val="-6"/>
          <w:sz w:val="24"/>
          <w:szCs w:val="24"/>
        </w:rPr>
        <w:t>号</w:t>
      </w:r>
      <w:r>
        <w:rPr>
          <w:rFonts w:ascii="宋体" w:hAnsi="宋体" w:eastAsia="宋体" w:cs="宋体"/>
          <w:spacing w:val="-57"/>
          <w:w w:val="90"/>
          <w:sz w:val="24"/>
          <w:szCs w:val="24"/>
        </w:rPr>
        <w:t>），</w:t>
      </w:r>
      <w:r>
        <w:rPr>
          <w:rFonts w:ascii="宋体" w:hAnsi="宋体" w:eastAsia="宋体" w:cs="宋体"/>
          <w:spacing w:val="-6"/>
          <w:sz w:val="24"/>
          <w:szCs w:val="24"/>
        </w:rPr>
        <w:t>并于</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2017 </w:t>
      </w:r>
      <w:r>
        <w:rPr>
          <w:rFonts w:ascii="宋体" w:hAnsi="宋体" w:eastAsia="宋体" w:cs="宋体"/>
          <w:spacing w:val="-6"/>
          <w:sz w:val="24"/>
          <w:szCs w:val="24"/>
        </w:rPr>
        <w:t>年</w:t>
      </w:r>
      <w:r>
        <w:rPr>
          <w:rFonts w:ascii="宋体" w:hAnsi="宋体" w:eastAsia="宋体" w:cs="宋体"/>
          <w:sz w:val="24"/>
          <w:szCs w:val="24"/>
        </w:rPr>
        <w:t xml:space="preserve"> </w:t>
      </w:r>
      <w:r>
        <w:rPr>
          <w:rFonts w:ascii="Times New Roman" w:hAnsi="Times New Roman" w:eastAsia="Times New Roman" w:cs="Times New Roman"/>
          <w:spacing w:val="-2"/>
          <w:sz w:val="24"/>
          <w:szCs w:val="24"/>
        </w:rPr>
        <w:t xml:space="preserve">12  </w:t>
      </w:r>
      <w:r>
        <w:rPr>
          <w:rFonts w:ascii="宋体" w:hAnsi="宋体" w:eastAsia="宋体" w:cs="宋体"/>
          <w:spacing w:val="-2"/>
          <w:sz w:val="24"/>
          <w:szCs w:val="24"/>
        </w:rPr>
        <w:t xml:space="preserve">月 </w:t>
      </w:r>
      <w:r>
        <w:rPr>
          <w:rFonts w:ascii="Times New Roman" w:hAnsi="Times New Roman" w:eastAsia="Times New Roman" w:cs="Times New Roman"/>
          <w:spacing w:val="-2"/>
          <w:sz w:val="24"/>
          <w:szCs w:val="24"/>
        </w:rPr>
        <w:t>18</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日取得云南省水利厅《关于准予楚雄州大姚县桂花</w:t>
      </w:r>
      <w:r>
        <w:rPr>
          <w:rFonts w:ascii="宋体" w:hAnsi="宋体" w:eastAsia="宋体" w:cs="宋体"/>
          <w:spacing w:val="-3"/>
          <w:sz w:val="24"/>
          <w:szCs w:val="24"/>
        </w:rPr>
        <w:t>水库工程取水许可申请的</w:t>
      </w:r>
      <w:r>
        <w:rPr>
          <w:rFonts w:ascii="宋体" w:hAnsi="宋体" w:eastAsia="宋体" w:cs="宋体"/>
          <w:sz w:val="24"/>
          <w:szCs w:val="24"/>
        </w:rPr>
        <w:t xml:space="preserve"> </w:t>
      </w:r>
      <w:r>
        <w:rPr>
          <w:rFonts w:ascii="宋体" w:hAnsi="宋体" w:eastAsia="宋体" w:cs="宋体"/>
          <w:spacing w:val="-9"/>
          <w:sz w:val="24"/>
          <w:szCs w:val="24"/>
        </w:rPr>
        <w:t>行政许可决定书》（云水资源许</w:t>
      </w:r>
      <w:r>
        <w:rPr>
          <w:rFonts w:ascii="Times New Roman" w:hAnsi="Times New Roman" w:eastAsia="Times New Roman" w:cs="Times New Roman"/>
          <w:spacing w:val="-9"/>
          <w:sz w:val="24"/>
          <w:szCs w:val="24"/>
        </w:rPr>
        <w:t>[2017]11</w:t>
      </w:r>
      <w:r>
        <w:rPr>
          <w:rFonts w:ascii="Times New Roman" w:hAnsi="Times New Roman" w:eastAsia="Times New Roman" w:cs="Times New Roman"/>
          <w:spacing w:val="15"/>
          <w:w w:val="101"/>
          <w:sz w:val="24"/>
          <w:szCs w:val="24"/>
        </w:rPr>
        <w:t xml:space="preserve"> </w:t>
      </w:r>
      <w:r>
        <w:rPr>
          <w:rFonts w:ascii="宋体" w:hAnsi="宋体" w:eastAsia="宋体" w:cs="宋体"/>
          <w:spacing w:val="-9"/>
          <w:sz w:val="24"/>
          <w:szCs w:val="24"/>
        </w:rPr>
        <w:t>号</w:t>
      </w:r>
      <w:r>
        <w:rPr>
          <w:rFonts w:ascii="宋体" w:hAnsi="宋体" w:eastAsia="宋体" w:cs="宋体"/>
          <w:spacing w:val="-61"/>
          <w:sz w:val="24"/>
          <w:szCs w:val="24"/>
        </w:rPr>
        <w:t>），</w:t>
      </w:r>
      <w:r>
        <w:rPr>
          <w:rFonts w:ascii="宋体" w:hAnsi="宋体" w:eastAsia="宋体" w:cs="宋体"/>
          <w:spacing w:val="-9"/>
          <w:sz w:val="24"/>
          <w:szCs w:val="24"/>
        </w:rPr>
        <w:t>同意大姚县桂花水库工程取水，</w:t>
      </w:r>
      <w:r>
        <w:rPr>
          <w:rFonts w:ascii="宋体" w:hAnsi="宋体" w:eastAsia="宋体" w:cs="宋体"/>
          <w:spacing w:val="-40"/>
          <w:sz w:val="24"/>
          <w:szCs w:val="24"/>
        </w:rPr>
        <w:t xml:space="preserve"> </w:t>
      </w:r>
      <w:r>
        <w:rPr>
          <w:rFonts w:ascii="宋体" w:hAnsi="宋体" w:eastAsia="宋体" w:cs="宋体"/>
          <w:spacing w:val="-9"/>
          <w:sz w:val="24"/>
          <w:szCs w:val="24"/>
        </w:rPr>
        <w:t>本次评价</w:t>
      </w:r>
    </w:p>
    <w:p>
      <w:pPr>
        <w:spacing w:line="218" w:lineRule="auto"/>
        <w:ind w:left="57"/>
        <w:rPr>
          <w:rFonts w:ascii="宋体" w:hAnsi="宋体" w:eastAsia="宋体" w:cs="宋体"/>
          <w:sz w:val="24"/>
          <w:szCs w:val="24"/>
        </w:rPr>
      </w:pPr>
      <w:r>
        <w:rPr>
          <w:rFonts w:ascii="宋体" w:hAnsi="宋体" w:eastAsia="宋体" w:cs="宋体"/>
          <w:spacing w:val="-1"/>
          <w:sz w:val="24"/>
          <w:szCs w:val="24"/>
        </w:rPr>
        <w:t>引用《大姚县桂花水库工程水资源论证报告书》结论如</w:t>
      </w:r>
      <w:r>
        <w:rPr>
          <w:rFonts w:ascii="宋体" w:hAnsi="宋体" w:eastAsia="宋体" w:cs="宋体"/>
          <w:spacing w:val="-2"/>
          <w:sz w:val="24"/>
          <w:szCs w:val="24"/>
        </w:rPr>
        <w:t>下：</w:t>
      </w:r>
    </w:p>
    <w:p>
      <w:pPr>
        <w:spacing w:before="182"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）取用水的合理性</w:t>
      </w:r>
    </w:p>
    <w:p>
      <w:pPr>
        <w:spacing w:before="182" w:line="359" w:lineRule="auto"/>
        <w:ind w:left="38" w:right="67" w:firstLine="483"/>
        <w:rPr>
          <w:rFonts w:ascii="宋体" w:hAnsi="宋体" w:eastAsia="宋体" w:cs="宋体"/>
          <w:sz w:val="24"/>
          <w:szCs w:val="24"/>
        </w:rPr>
      </w:pPr>
      <w:r>
        <w:rPr>
          <w:rFonts w:ascii="宋体" w:hAnsi="宋体" w:eastAsia="宋体" w:cs="宋体"/>
          <w:spacing w:val="-8"/>
          <w:sz w:val="24"/>
          <w:szCs w:val="24"/>
        </w:rPr>
        <w:t>桂花水库的建设符合国家西部大开发的战略， 符合《产业结构调整指导目录（</w:t>
      </w:r>
      <w:r>
        <w:rPr>
          <w:rFonts w:ascii="Times New Roman" w:hAnsi="Times New Roman" w:eastAsia="Times New Roman" w:cs="Times New Roman"/>
          <w:spacing w:val="-8"/>
          <w:sz w:val="24"/>
          <w:szCs w:val="24"/>
        </w:rPr>
        <w:t>2019</w:t>
      </w:r>
      <w:r>
        <w:rPr>
          <w:rFonts w:ascii="Times New Roman" w:hAnsi="Times New Roman" w:eastAsia="Times New Roman" w:cs="Times New Roman"/>
          <w:spacing w:val="18"/>
          <w:sz w:val="24"/>
          <w:szCs w:val="24"/>
        </w:rPr>
        <w:t xml:space="preserve"> </w:t>
      </w:r>
      <w:r>
        <w:rPr>
          <w:rFonts w:ascii="宋体" w:hAnsi="宋体" w:eastAsia="宋体" w:cs="宋体"/>
          <w:spacing w:val="-17"/>
          <w:sz w:val="24"/>
          <w:szCs w:val="24"/>
        </w:rPr>
        <w:t>年本）》的要求， 符合《西南五省（自治区、直辖市）</w:t>
      </w:r>
      <w:r>
        <w:rPr>
          <w:rFonts w:ascii="宋体" w:hAnsi="宋体" w:eastAsia="宋体" w:cs="宋体"/>
          <w:spacing w:val="20"/>
          <w:sz w:val="24"/>
          <w:szCs w:val="24"/>
        </w:rPr>
        <w:t xml:space="preserve"> </w:t>
      </w:r>
      <w:r>
        <w:rPr>
          <w:rFonts w:ascii="宋体" w:hAnsi="宋体" w:eastAsia="宋体" w:cs="宋体"/>
          <w:spacing w:val="-17"/>
          <w:sz w:val="24"/>
          <w:szCs w:val="24"/>
        </w:rPr>
        <w:t>重点水源工程建设规划》、《楚雄</w:t>
      </w:r>
      <w:r>
        <w:rPr>
          <w:rFonts w:ascii="宋体" w:hAnsi="宋体" w:eastAsia="宋体" w:cs="宋体"/>
          <w:sz w:val="24"/>
          <w:szCs w:val="24"/>
        </w:rPr>
        <w:t xml:space="preserve"> </w:t>
      </w:r>
      <w:r>
        <w:rPr>
          <w:rFonts w:ascii="宋体" w:hAnsi="宋体" w:eastAsia="宋体" w:cs="宋体"/>
          <w:spacing w:val="-11"/>
          <w:sz w:val="24"/>
          <w:szCs w:val="24"/>
        </w:rPr>
        <w:t>北部片区水资源综合利用规划》、《云南省百件骨干水源工程建设规划》、《云南省大姚</w:t>
      </w:r>
      <w:r>
        <w:rPr>
          <w:rFonts w:ascii="宋体" w:hAnsi="宋体" w:eastAsia="宋体" w:cs="宋体"/>
          <w:spacing w:val="15"/>
          <w:sz w:val="24"/>
          <w:szCs w:val="24"/>
        </w:rPr>
        <w:t xml:space="preserve"> </w:t>
      </w:r>
      <w:r>
        <w:rPr>
          <w:rFonts w:ascii="宋体" w:hAnsi="宋体" w:eastAsia="宋体" w:cs="宋体"/>
          <w:spacing w:val="-9"/>
          <w:sz w:val="24"/>
          <w:szCs w:val="24"/>
        </w:rPr>
        <w:t>县城总体规划修编（</w:t>
      </w:r>
      <w:r>
        <w:rPr>
          <w:rFonts w:ascii="Times New Roman" w:hAnsi="Times New Roman" w:eastAsia="Times New Roman" w:cs="Times New Roman"/>
          <w:spacing w:val="-9"/>
          <w:sz w:val="24"/>
          <w:szCs w:val="24"/>
        </w:rPr>
        <w:t>2015</w:t>
      </w:r>
      <w:r>
        <w:rPr>
          <w:rFonts w:ascii="宋体" w:hAnsi="宋体" w:eastAsia="宋体" w:cs="宋体"/>
          <w:spacing w:val="-9"/>
          <w:sz w:val="24"/>
          <w:szCs w:val="24"/>
        </w:rPr>
        <w:t>～</w:t>
      </w:r>
      <w:r>
        <w:rPr>
          <w:rFonts w:ascii="Times New Roman" w:hAnsi="Times New Roman" w:eastAsia="Times New Roman" w:cs="Times New Roman"/>
          <w:spacing w:val="-9"/>
          <w:sz w:val="24"/>
          <w:szCs w:val="24"/>
        </w:rPr>
        <w:t>2030</w:t>
      </w:r>
      <w:r>
        <w:rPr>
          <w:rFonts w:ascii="宋体" w:hAnsi="宋体" w:eastAsia="宋体" w:cs="宋体"/>
          <w:spacing w:val="-9"/>
          <w:sz w:val="24"/>
          <w:szCs w:val="24"/>
        </w:rPr>
        <w:t>）</w:t>
      </w:r>
      <w:r>
        <w:rPr>
          <w:rFonts w:ascii="宋体" w:hAnsi="宋体" w:eastAsia="宋体" w:cs="宋体"/>
          <w:spacing w:val="-10"/>
          <w:sz w:val="24"/>
          <w:szCs w:val="24"/>
        </w:rPr>
        <w:t>》，项目的建设符合国家产业政策。大姚县桂花水库工</w:t>
      </w:r>
      <w:r>
        <w:rPr>
          <w:rFonts w:ascii="宋体" w:hAnsi="宋体" w:eastAsia="宋体" w:cs="宋体"/>
          <w:sz w:val="24"/>
          <w:szCs w:val="24"/>
        </w:rPr>
        <w:t xml:space="preserve"> </w:t>
      </w:r>
      <w:r>
        <w:rPr>
          <w:rFonts w:ascii="宋体" w:hAnsi="宋体" w:eastAsia="宋体" w:cs="宋体"/>
          <w:spacing w:val="2"/>
          <w:sz w:val="24"/>
          <w:szCs w:val="24"/>
        </w:rPr>
        <w:t>程从万马河上游支流桂花河上取水考虑了河道生态</w:t>
      </w:r>
      <w:r>
        <w:rPr>
          <w:rFonts w:ascii="宋体" w:hAnsi="宋体" w:eastAsia="宋体" w:cs="宋体"/>
          <w:spacing w:val="1"/>
          <w:sz w:val="24"/>
          <w:szCs w:val="24"/>
        </w:rPr>
        <w:t>环境用水、下游工业用水和农业灌</w:t>
      </w:r>
      <w:r>
        <w:rPr>
          <w:rFonts w:ascii="宋体" w:hAnsi="宋体" w:eastAsia="宋体" w:cs="宋体"/>
          <w:sz w:val="24"/>
          <w:szCs w:val="24"/>
        </w:rPr>
        <w:t xml:space="preserve"> </w:t>
      </w:r>
      <w:r>
        <w:rPr>
          <w:rFonts w:ascii="宋体" w:hAnsi="宋体" w:eastAsia="宋体" w:cs="宋体"/>
          <w:spacing w:val="-13"/>
          <w:sz w:val="24"/>
          <w:szCs w:val="24"/>
        </w:rPr>
        <w:t>溉用水的需求， 再充分考虑各用水户的用水需求， 优化配置水资源， 把区域水资源的优</w:t>
      </w:r>
      <w:r>
        <w:rPr>
          <w:rFonts w:ascii="宋体" w:hAnsi="宋体" w:eastAsia="宋体" w:cs="宋体"/>
          <w:spacing w:val="1"/>
          <w:sz w:val="24"/>
          <w:szCs w:val="24"/>
        </w:rPr>
        <w:t xml:space="preserve"> </w:t>
      </w:r>
      <w:r>
        <w:rPr>
          <w:rFonts w:ascii="宋体" w:hAnsi="宋体" w:eastAsia="宋体" w:cs="宋体"/>
          <w:spacing w:val="-13"/>
          <w:sz w:val="24"/>
          <w:szCs w:val="24"/>
        </w:rPr>
        <w:t>势转化为经济优势， 促进了区域水资源的优化配置， 符合区域水资源配置要求， 取水是</w:t>
      </w:r>
    </w:p>
    <w:p>
      <w:pPr>
        <w:spacing w:line="222" w:lineRule="auto"/>
        <w:ind w:left="40"/>
        <w:rPr>
          <w:rFonts w:ascii="宋体" w:hAnsi="宋体" w:eastAsia="宋体" w:cs="宋体"/>
          <w:sz w:val="24"/>
          <w:szCs w:val="24"/>
        </w:rPr>
      </w:pPr>
      <w:r>
        <w:rPr>
          <w:rFonts w:ascii="宋体" w:hAnsi="宋体" w:eastAsia="宋体" w:cs="宋体"/>
          <w:spacing w:val="-3"/>
          <w:sz w:val="24"/>
          <w:szCs w:val="24"/>
        </w:rPr>
        <w:t>合理的。</w:t>
      </w:r>
    </w:p>
    <w:p>
      <w:pPr>
        <w:spacing w:before="177"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）用水合理性</w:t>
      </w:r>
    </w:p>
    <w:p>
      <w:pPr>
        <w:spacing w:before="183" w:line="359" w:lineRule="auto"/>
        <w:ind w:left="35" w:firstLine="486"/>
        <w:rPr>
          <w:rFonts w:ascii="宋体" w:hAnsi="宋体" w:eastAsia="宋体" w:cs="宋体"/>
          <w:sz w:val="24"/>
          <w:szCs w:val="24"/>
        </w:rPr>
      </w:pPr>
      <w:r>
        <w:rPr>
          <w:rFonts w:ascii="宋体" w:hAnsi="宋体" w:eastAsia="宋体" w:cs="宋体"/>
          <w:spacing w:val="2"/>
          <w:sz w:val="24"/>
          <w:szCs w:val="24"/>
        </w:rPr>
        <w:t>桂花水库工程主要建设任务是解决农村人畜生活供水</w:t>
      </w:r>
      <w:r>
        <w:rPr>
          <w:rFonts w:ascii="宋体" w:hAnsi="宋体" w:eastAsia="宋体" w:cs="宋体"/>
          <w:spacing w:val="1"/>
          <w:sz w:val="24"/>
          <w:szCs w:val="24"/>
        </w:rPr>
        <w:t>、农业灌溉和工业供水。规</w:t>
      </w:r>
      <w:r>
        <w:rPr>
          <w:rFonts w:ascii="宋体" w:hAnsi="宋体" w:eastAsia="宋体" w:cs="宋体"/>
          <w:sz w:val="24"/>
          <w:szCs w:val="24"/>
        </w:rPr>
        <w:t xml:space="preserve"> </w:t>
      </w:r>
      <w:r>
        <w:rPr>
          <w:rFonts w:ascii="宋体" w:hAnsi="宋体" w:eastAsia="宋体" w:cs="宋体"/>
          <w:spacing w:val="5"/>
          <w:sz w:val="24"/>
          <w:szCs w:val="24"/>
        </w:rPr>
        <w:t>划区的预测的各行业用水指标基本符合《云南省地方标准用水定额》（</w:t>
      </w:r>
      <w:r>
        <w:rPr>
          <w:rFonts w:ascii="Times New Roman" w:hAnsi="Times New Roman" w:eastAsia="Times New Roman" w:cs="Times New Roman"/>
          <w:sz w:val="24"/>
          <w:szCs w:val="24"/>
        </w:rPr>
        <w:t>DB</w:t>
      </w:r>
      <w:r>
        <w:rPr>
          <w:rFonts w:ascii="Times New Roman" w:hAnsi="Times New Roman" w:eastAsia="Times New Roman" w:cs="Times New Roman"/>
          <w:spacing w:val="5"/>
          <w:sz w:val="24"/>
          <w:szCs w:val="24"/>
        </w:rPr>
        <w:t>53/T168</w:t>
      </w:r>
      <w:r>
        <w:rPr>
          <w:rFonts w:ascii="宋体" w:hAnsi="宋体" w:eastAsia="宋体" w:cs="宋体"/>
          <w:spacing w:val="5"/>
          <w:sz w:val="24"/>
          <w:szCs w:val="24"/>
        </w:rPr>
        <w:t xml:space="preserve">- </w:t>
      </w:r>
      <w:r>
        <w:rPr>
          <w:rFonts w:ascii="Times New Roman" w:hAnsi="Times New Roman" w:eastAsia="Times New Roman" w:cs="Times New Roman"/>
          <w:spacing w:val="-12"/>
          <w:sz w:val="24"/>
          <w:szCs w:val="24"/>
        </w:rPr>
        <w:t>2013</w:t>
      </w:r>
      <w:r>
        <w:rPr>
          <w:rFonts w:ascii="宋体" w:hAnsi="宋体" w:eastAsia="宋体" w:cs="宋体"/>
          <w:spacing w:val="-12"/>
          <w:sz w:val="24"/>
          <w:szCs w:val="24"/>
        </w:rPr>
        <w:t>）、《云南省楚雄州水资源管理“三条红线”控制指标分解报告》（</w:t>
      </w:r>
      <w:r>
        <w:rPr>
          <w:rFonts w:ascii="Times New Roman" w:hAnsi="Times New Roman" w:eastAsia="Times New Roman" w:cs="Times New Roman"/>
          <w:spacing w:val="-12"/>
          <w:sz w:val="24"/>
          <w:szCs w:val="24"/>
        </w:rPr>
        <w:t>2013</w:t>
      </w:r>
      <w:r>
        <w:rPr>
          <w:rFonts w:ascii="Times New Roman" w:hAnsi="Times New Roman" w:eastAsia="Times New Roman" w:cs="Times New Roman"/>
          <w:spacing w:val="18"/>
          <w:w w:val="101"/>
          <w:sz w:val="24"/>
          <w:szCs w:val="24"/>
        </w:rPr>
        <w:t xml:space="preserve"> </w:t>
      </w:r>
      <w:r>
        <w:rPr>
          <w:rFonts w:ascii="宋体" w:hAnsi="宋体" w:eastAsia="宋体" w:cs="宋体"/>
          <w:spacing w:val="-12"/>
          <w:sz w:val="24"/>
          <w:szCs w:val="24"/>
        </w:rPr>
        <w:t xml:space="preserve">年 </w:t>
      </w:r>
      <w:r>
        <w:rPr>
          <w:rFonts w:ascii="Times New Roman" w:hAnsi="Times New Roman" w:eastAsia="Times New Roman" w:cs="Times New Roman"/>
          <w:spacing w:val="-12"/>
          <w:sz w:val="24"/>
          <w:szCs w:val="24"/>
        </w:rPr>
        <w:t>11</w:t>
      </w:r>
      <w:r>
        <w:rPr>
          <w:rFonts w:ascii="Times New Roman" w:hAnsi="Times New Roman" w:eastAsia="Times New Roman" w:cs="Times New Roman"/>
          <w:spacing w:val="23"/>
          <w:w w:val="101"/>
          <w:sz w:val="24"/>
          <w:szCs w:val="24"/>
        </w:rPr>
        <w:t xml:space="preserve"> </w:t>
      </w:r>
      <w:r>
        <w:rPr>
          <w:rFonts w:ascii="宋体" w:hAnsi="宋体" w:eastAsia="宋体" w:cs="宋体"/>
          <w:spacing w:val="-12"/>
          <w:sz w:val="24"/>
          <w:szCs w:val="24"/>
        </w:rPr>
        <w:t>月</w:t>
      </w:r>
      <w:r>
        <w:rPr>
          <w:rFonts w:ascii="宋体" w:hAnsi="宋体" w:eastAsia="宋体" w:cs="宋体"/>
          <w:spacing w:val="-53"/>
          <w:sz w:val="24"/>
          <w:szCs w:val="24"/>
        </w:rPr>
        <w:t>），</w:t>
      </w:r>
    </w:p>
    <w:p>
      <w:pPr>
        <w:spacing w:before="1" w:line="218" w:lineRule="auto"/>
        <w:ind w:left="45"/>
        <w:rPr>
          <w:rFonts w:ascii="宋体" w:hAnsi="宋体" w:eastAsia="宋体" w:cs="宋体"/>
          <w:sz w:val="24"/>
          <w:szCs w:val="24"/>
        </w:rPr>
      </w:pPr>
      <w:r>
        <w:rPr>
          <w:rFonts w:ascii="宋体" w:hAnsi="宋体" w:eastAsia="宋体" w:cs="宋体"/>
          <w:spacing w:val="-1"/>
          <w:sz w:val="24"/>
          <w:szCs w:val="24"/>
        </w:rPr>
        <w:t>并且考虑了节水措施设施，用水过程是合理的。</w:t>
      </w:r>
    </w:p>
    <w:p>
      <w:pPr>
        <w:spacing w:before="182" w:line="220" w:lineRule="auto"/>
        <w:ind w:left="52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）取水水源的可靠性</w:t>
      </w:r>
    </w:p>
    <w:p>
      <w:pPr>
        <w:spacing w:before="182" w:line="359" w:lineRule="auto"/>
        <w:ind w:left="39" w:right="67" w:firstLine="482"/>
        <w:rPr>
          <w:rFonts w:ascii="宋体" w:hAnsi="宋体" w:eastAsia="宋体" w:cs="宋体"/>
          <w:sz w:val="24"/>
          <w:szCs w:val="24"/>
        </w:rPr>
      </w:pPr>
      <w:r>
        <w:rPr>
          <w:rFonts w:ascii="宋体" w:hAnsi="宋体" w:eastAsia="宋体" w:cs="宋体"/>
          <w:spacing w:val="2"/>
          <w:sz w:val="24"/>
          <w:szCs w:val="24"/>
        </w:rPr>
        <w:t>桂花水库坝址径流以中和街水文站实测资料作</w:t>
      </w:r>
      <w:r>
        <w:rPr>
          <w:rFonts w:ascii="宋体" w:hAnsi="宋体" w:eastAsia="宋体" w:cs="宋体"/>
          <w:spacing w:val="1"/>
          <w:sz w:val="24"/>
          <w:szCs w:val="24"/>
        </w:rPr>
        <w:t>为参考，采用径流相关分析法、水</w:t>
      </w:r>
      <w:r>
        <w:rPr>
          <w:rFonts w:ascii="宋体" w:hAnsi="宋体" w:eastAsia="宋体" w:cs="宋体"/>
          <w:sz w:val="24"/>
          <w:szCs w:val="24"/>
        </w:rPr>
        <w:t xml:space="preserve"> </w:t>
      </w:r>
      <w:r>
        <w:rPr>
          <w:rFonts w:ascii="宋体" w:hAnsi="宋体" w:eastAsia="宋体" w:cs="宋体"/>
          <w:spacing w:val="-10"/>
          <w:sz w:val="24"/>
          <w:szCs w:val="24"/>
        </w:rPr>
        <w:t xml:space="preserve">文比拟法、水量平衡法和查等值线图法四种方法来分析计算， </w:t>
      </w:r>
      <w:r>
        <w:rPr>
          <w:rFonts w:ascii="宋体" w:hAnsi="宋体" w:eastAsia="宋体" w:cs="宋体"/>
          <w:spacing w:val="-11"/>
          <w:sz w:val="24"/>
          <w:szCs w:val="24"/>
        </w:rPr>
        <w:t>经分析比较， 本区确定采</w:t>
      </w:r>
      <w:r>
        <w:rPr>
          <w:rFonts w:ascii="宋体" w:hAnsi="宋体" w:eastAsia="宋体" w:cs="宋体"/>
          <w:sz w:val="24"/>
          <w:szCs w:val="24"/>
        </w:rPr>
        <w:t xml:space="preserve"> </w:t>
      </w:r>
      <w:r>
        <w:rPr>
          <w:rFonts w:ascii="宋体" w:hAnsi="宋体" w:eastAsia="宋体" w:cs="宋体"/>
          <w:spacing w:val="2"/>
          <w:sz w:val="24"/>
          <w:szCs w:val="24"/>
        </w:rPr>
        <w:t>用以相关分析法成果计算的成果，引水工程引水区和引洪工程引水区以</w:t>
      </w:r>
      <w:r>
        <w:rPr>
          <w:rFonts w:ascii="宋体" w:hAnsi="宋体" w:eastAsia="宋体" w:cs="宋体"/>
          <w:spacing w:val="1"/>
          <w:sz w:val="24"/>
          <w:szCs w:val="24"/>
        </w:rPr>
        <w:t>水库本区为参</w:t>
      </w:r>
      <w:r>
        <w:rPr>
          <w:rFonts w:ascii="宋体" w:hAnsi="宋体" w:eastAsia="宋体" w:cs="宋体"/>
          <w:sz w:val="24"/>
          <w:szCs w:val="24"/>
        </w:rPr>
        <w:t xml:space="preserve"> </w:t>
      </w:r>
      <w:r>
        <w:rPr>
          <w:rFonts w:ascii="宋体" w:hAnsi="宋体" w:eastAsia="宋体" w:cs="宋体"/>
          <w:spacing w:val="-3"/>
          <w:sz w:val="24"/>
          <w:szCs w:val="24"/>
        </w:rPr>
        <w:t>证站，</w:t>
      </w:r>
      <w:r>
        <w:rPr>
          <w:rFonts w:ascii="宋体" w:hAnsi="宋体" w:eastAsia="宋体" w:cs="宋体"/>
          <w:spacing w:val="51"/>
          <w:sz w:val="24"/>
          <w:szCs w:val="24"/>
        </w:rPr>
        <w:t xml:space="preserve"> </w:t>
      </w:r>
      <w:r>
        <w:rPr>
          <w:rFonts w:ascii="宋体" w:hAnsi="宋体" w:eastAsia="宋体" w:cs="宋体"/>
          <w:spacing w:val="-3"/>
          <w:sz w:val="24"/>
          <w:szCs w:val="24"/>
        </w:rPr>
        <w:t>以本区径流成果按面积比加降水修正计算取水坝年径流成果，由此计算的来水</w:t>
      </w:r>
      <w:r>
        <w:rPr>
          <w:rFonts w:ascii="宋体" w:hAnsi="宋体" w:eastAsia="宋体" w:cs="宋体"/>
          <w:sz w:val="24"/>
          <w:szCs w:val="24"/>
        </w:rPr>
        <w:t xml:space="preserve"> </w:t>
      </w:r>
      <w:r>
        <w:rPr>
          <w:rFonts w:ascii="宋体" w:hAnsi="宋体" w:eastAsia="宋体" w:cs="宋体"/>
          <w:spacing w:val="-3"/>
          <w:sz w:val="24"/>
          <w:szCs w:val="24"/>
        </w:rPr>
        <w:t>量成果可靠。桂花水库本区控制径流面积</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55.6km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，多年平均径流量</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2357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7"/>
          <w:position w:val="8"/>
          <w:sz w:val="15"/>
          <w:szCs w:val="15"/>
        </w:rPr>
        <w:t xml:space="preserve"> </w:t>
      </w:r>
      <w:r>
        <w:rPr>
          <w:rFonts w:ascii="宋体" w:hAnsi="宋体" w:eastAsia="宋体" w:cs="宋体"/>
          <w:spacing w:val="-3"/>
          <w:sz w:val="24"/>
          <w:szCs w:val="24"/>
        </w:rPr>
        <w:t>；引水</w:t>
      </w:r>
      <w:r>
        <w:rPr>
          <w:rFonts w:ascii="宋体" w:hAnsi="宋体" w:eastAsia="宋体" w:cs="宋体"/>
          <w:sz w:val="24"/>
          <w:szCs w:val="24"/>
        </w:rPr>
        <w:t xml:space="preserve"> </w:t>
      </w:r>
      <w:r>
        <w:rPr>
          <w:rFonts w:ascii="宋体" w:hAnsi="宋体" w:eastAsia="宋体" w:cs="宋体"/>
          <w:spacing w:val="-3"/>
          <w:sz w:val="24"/>
          <w:szCs w:val="24"/>
        </w:rPr>
        <w:t>工程引水区即罗子左引水区控制径流面积</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20.5km</w:t>
      </w:r>
      <w:r>
        <w:rPr>
          <w:rFonts w:ascii="Times New Roman" w:hAnsi="Times New Roman" w:eastAsia="Times New Roman" w:cs="Times New Roman"/>
          <w:spacing w:val="-3"/>
          <w:position w:val="8"/>
          <w:sz w:val="15"/>
          <w:szCs w:val="15"/>
        </w:rPr>
        <w:t>2</w:t>
      </w:r>
      <w:r>
        <w:rPr>
          <w:rFonts w:ascii="宋体" w:hAnsi="宋体" w:eastAsia="宋体" w:cs="宋体"/>
          <w:spacing w:val="-3"/>
          <w:sz w:val="24"/>
          <w:szCs w:val="24"/>
        </w:rPr>
        <w:t>，多年平均径流量</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875.9</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；引洪</w:t>
      </w:r>
    </w:p>
    <w:p>
      <w:pPr>
        <w:spacing w:before="1" w:line="233" w:lineRule="auto"/>
        <w:ind w:left="42"/>
        <w:rPr>
          <w:rFonts w:ascii="宋体" w:hAnsi="宋体" w:eastAsia="宋体" w:cs="宋体"/>
          <w:sz w:val="24"/>
          <w:szCs w:val="24"/>
        </w:rPr>
      </w:pPr>
      <w:r>
        <w:rPr>
          <w:rFonts w:ascii="宋体" w:hAnsi="宋体" w:eastAsia="宋体" w:cs="宋体"/>
          <w:spacing w:val="-2"/>
          <w:sz w:val="24"/>
          <w:szCs w:val="24"/>
        </w:rPr>
        <w:t>工程引水区控制径流面积</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40.2km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2"/>
          <w:sz w:val="24"/>
          <w:szCs w:val="24"/>
        </w:rPr>
        <w:t>，多年</w:t>
      </w:r>
      <w:r>
        <w:rPr>
          <w:rFonts w:ascii="宋体" w:hAnsi="宋体" w:eastAsia="宋体" w:cs="宋体"/>
          <w:spacing w:val="-3"/>
          <w:sz w:val="24"/>
          <w:szCs w:val="24"/>
        </w:rPr>
        <w:t>平均径流量</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1635.7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w:t>
      </w:r>
    </w:p>
    <w:p>
      <w:pPr>
        <w:spacing w:before="164" w:line="359" w:lineRule="auto"/>
        <w:ind w:left="40" w:right="77" w:firstLine="481"/>
        <w:rPr>
          <w:rFonts w:ascii="宋体" w:hAnsi="宋体" w:eastAsia="宋体" w:cs="宋体"/>
          <w:sz w:val="24"/>
          <w:szCs w:val="24"/>
        </w:rPr>
      </w:pPr>
      <w:r>
        <w:rPr>
          <w:rFonts w:ascii="宋体" w:hAnsi="宋体" w:eastAsia="宋体" w:cs="宋体"/>
          <w:spacing w:val="2"/>
          <w:sz w:val="24"/>
          <w:szCs w:val="24"/>
        </w:rPr>
        <w:t>桂花水库兴利调节方式为完全年调节，与大罗</w:t>
      </w:r>
      <w:r>
        <w:rPr>
          <w:rFonts w:ascii="宋体" w:hAnsi="宋体" w:eastAsia="宋体" w:cs="宋体"/>
          <w:spacing w:val="1"/>
          <w:sz w:val="24"/>
          <w:szCs w:val="24"/>
        </w:rPr>
        <w:t>古水库联合调度供水，项目总的可</w:t>
      </w:r>
      <w:r>
        <w:rPr>
          <w:rFonts w:ascii="宋体" w:hAnsi="宋体" w:eastAsia="宋体" w:cs="宋体"/>
          <w:sz w:val="24"/>
          <w:szCs w:val="24"/>
        </w:rPr>
        <w:t xml:space="preserve"> </w:t>
      </w:r>
      <w:r>
        <w:rPr>
          <w:rFonts w:ascii="宋体" w:hAnsi="宋体" w:eastAsia="宋体" w:cs="宋体"/>
          <w:spacing w:val="-7"/>
          <w:sz w:val="24"/>
          <w:szCs w:val="24"/>
        </w:rPr>
        <w:t>新增供水量</w:t>
      </w:r>
      <w:r>
        <w:rPr>
          <w:rFonts w:ascii="宋体" w:hAnsi="宋体" w:eastAsia="宋体" w:cs="宋体"/>
          <w:spacing w:val="-21"/>
          <w:sz w:val="24"/>
          <w:szCs w:val="24"/>
        </w:rPr>
        <w:t xml:space="preserve"> </w:t>
      </w:r>
      <w:r>
        <w:rPr>
          <w:rFonts w:ascii="Times New Roman" w:hAnsi="Times New Roman" w:eastAsia="Times New Roman" w:cs="Times New Roman"/>
          <w:spacing w:val="-7"/>
          <w:sz w:val="24"/>
          <w:szCs w:val="24"/>
        </w:rPr>
        <w:t>1989.4</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8"/>
          <w:sz w:val="15"/>
          <w:szCs w:val="15"/>
        </w:rPr>
        <w:t>3</w:t>
      </w:r>
      <w:r>
        <w:rPr>
          <w:rFonts w:ascii="宋体" w:hAnsi="宋体" w:eastAsia="宋体" w:cs="宋体"/>
          <w:spacing w:val="-7"/>
          <w:sz w:val="24"/>
          <w:szCs w:val="24"/>
        </w:rPr>
        <w:t>。取水口断面来水量丰富，</w:t>
      </w:r>
      <w:r>
        <w:rPr>
          <w:rFonts w:ascii="宋体" w:hAnsi="宋体" w:eastAsia="宋体" w:cs="宋体"/>
          <w:spacing w:val="26"/>
          <w:sz w:val="24"/>
          <w:szCs w:val="24"/>
        </w:rPr>
        <w:t xml:space="preserve"> </w:t>
      </w:r>
      <w:r>
        <w:rPr>
          <w:rFonts w:ascii="宋体" w:hAnsi="宋体" w:eastAsia="宋体" w:cs="宋体"/>
          <w:spacing w:val="-7"/>
          <w:sz w:val="24"/>
          <w:szCs w:val="24"/>
        </w:rPr>
        <w:t>拟定的水库规模可满足供水设计保</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证率和用水量要求，供水水质满足用水户要求，取水可靠性高。</w:t>
      </w:r>
    </w:p>
    <w:p>
      <w:pPr>
        <w:spacing w:before="181" w:line="220" w:lineRule="auto"/>
        <w:ind w:left="52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）取水影响</w:t>
      </w:r>
    </w:p>
    <w:p>
      <w:pPr>
        <w:spacing w:line="220" w:lineRule="auto"/>
        <w:rPr>
          <w:rFonts w:ascii="宋体" w:hAnsi="宋体" w:eastAsia="宋体" w:cs="宋体"/>
          <w:sz w:val="24"/>
          <w:szCs w:val="24"/>
        </w:rPr>
        <w:sectPr>
          <w:headerReference r:id="rId67" w:type="default"/>
          <w:footerReference r:id="rId68" w:type="default"/>
          <w:pgSz w:w="11907" w:h="16839"/>
          <w:pgMar w:top="1298" w:right="1348" w:bottom="1374" w:left="1501" w:header="1023" w:footer="1210" w:gutter="0"/>
        </w:sectPr>
      </w:pPr>
    </w:p>
    <w:p>
      <w:pPr>
        <w:spacing w:before="156" w:line="359" w:lineRule="auto"/>
        <w:ind w:left="40" w:right="86" w:firstLine="482"/>
        <w:rPr>
          <w:rFonts w:ascii="宋体" w:hAnsi="宋体" w:eastAsia="宋体" w:cs="宋体"/>
          <w:sz w:val="24"/>
          <w:szCs w:val="24"/>
        </w:rPr>
      </w:pPr>
      <w:r>
        <w:rPr>
          <w:rFonts w:ascii="宋体" w:hAnsi="宋体" w:eastAsia="宋体" w:cs="宋体"/>
          <w:spacing w:val="1"/>
          <w:sz w:val="24"/>
          <w:szCs w:val="24"/>
        </w:rPr>
        <w:t>水库取水将对上游用户产生影响，主要是工程</w:t>
      </w:r>
      <w:r>
        <w:rPr>
          <w:rFonts w:ascii="宋体" w:hAnsi="宋体" w:eastAsia="宋体" w:cs="宋体"/>
          <w:sz w:val="24"/>
          <w:szCs w:val="24"/>
        </w:rPr>
        <w:t xml:space="preserve">建设征地对居民生活造成的影响。 </w:t>
      </w:r>
      <w:r>
        <w:rPr>
          <w:rFonts w:ascii="宋体" w:hAnsi="宋体" w:eastAsia="宋体" w:cs="宋体"/>
          <w:spacing w:val="1"/>
          <w:sz w:val="24"/>
          <w:szCs w:val="24"/>
        </w:rPr>
        <w:t>建议地方政府根据工程建设征地情况及安置规划，及</w:t>
      </w:r>
      <w:r>
        <w:rPr>
          <w:rFonts w:ascii="宋体" w:hAnsi="宋体" w:eastAsia="宋体" w:cs="宋体"/>
          <w:sz w:val="24"/>
          <w:szCs w:val="24"/>
        </w:rPr>
        <w:t xml:space="preserve">时落实移民安置所需补偿费用、 </w:t>
      </w:r>
      <w:r>
        <w:rPr>
          <w:rFonts w:ascii="宋体" w:hAnsi="宋体" w:eastAsia="宋体" w:cs="宋体"/>
          <w:spacing w:val="-20"/>
          <w:sz w:val="24"/>
          <w:szCs w:val="24"/>
        </w:rPr>
        <w:t>土地的划拨，</w:t>
      </w:r>
      <w:r>
        <w:rPr>
          <w:rFonts w:ascii="宋体" w:hAnsi="宋体" w:eastAsia="宋体" w:cs="宋体"/>
          <w:spacing w:val="33"/>
          <w:sz w:val="24"/>
          <w:szCs w:val="24"/>
        </w:rPr>
        <w:t xml:space="preserve"> </w:t>
      </w:r>
      <w:r>
        <w:rPr>
          <w:rFonts w:ascii="宋体" w:hAnsi="宋体" w:eastAsia="宋体" w:cs="宋体"/>
          <w:spacing w:val="-20"/>
          <w:sz w:val="24"/>
          <w:szCs w:val="24"/>
        </w:rPr>
        <w:t>按照扶持规划，</w:t>
      </w:r>
      <w:r>
        <w:rPr>
          <w:rFonts w:ascii="宋体" w:hAnsi="宋体" w:eastAsia="宋体" w:cs="宋体"/>
          <w:spacing w:val="23"/>
          <w:sz w:val="24"/>
          <w:szCs w:val="24"/>
        </w:rPr>
        <w:t xml:space="preserve"> </w:t>
      </w:r>
      <w:r>
        <w:rPr>
          <w:rFonts w:ascii="宋体" w:hAnsi="宋体" w:eastAsia="宋体" w:cs="宋体"/>
          <w:spacing w:val="-20"/>
          <w:sz w:val="24"/>
          <w:szCs w:val="24"/>
        </w:rPr>
        <w:t>为移民制定相应的优惠政策，</w:t>
      </w:r>
      <w:r>
        <w:rPr>
          <w:rFonts w:ascii="宋体" w:hAnsi="宋体" w:eastAsia="宋体" w:cs="宋体"/>
          <w:spacing w:val="26"/>
          <w:sz w:val="24"/>
          <w:szCs w:val="24"/>
        </w:rPr>
        <w:t xml:space="preserve"> </w:t>
      </w:r>
      <w:r>
        <w:rPr>
          <w:rFonts w:ascii="宋体" w:hAnsi="宋体" w:eastAsia="宋体" w:cs="宋体"/>
          <w:spacing w:val="-20"/>
          <w:sz w:val="24"/>
          <w:szCs w:val="24"/>
        </w:rPr>
        <w:t>并积极开拓思想，</w:t>
      </w:r>
      <w:r>
        <w:rPr>
          <w:rFonts w:ascii="宋体" w:hAnsi="宋体" w:eastAsia="宋体" w:cs="宋体"/>
          <w:spacing w:val="23"/>
          <w:sz w:val="24"/>
          <w:szCs w:val="24"/>
        </w:rPr>
        <w:t xml:space="preserve"> </w:t>
      </w:r>
      <w:r>
        <w:rPr>
          <w:rFonts w:ascii="宋体" w:hAnsi="宋体" w:eastAsia="宋体" w:cs="宋体"/>
          <w:spacing w:val="-20"/>
          <w:sz w:val="24"/>
          <w:szCs w:val="24"/>
        </w:rPr>
        <w:t>拓展移民</w:t>
      </w:r>
    </w:p>
    <w:p>
      <w:pPr>
        <w:spacing w:line="219" w:lineRule="auto"/>
        <w:ind w:left="44"/>
        <w:rPr>
          <w:rFonts w:ascii="宋体" w:hAnsi="宋体" w:eastAsia="宋体" w:cs="宋体"/>
          <w:sz w:val="24"/>
          <w:szCs w:val="24"/>
        </w:rPr>
      </w:pPr>
      <w:r>
        <w:rPr>
          <w:rFonts w:ascii="宋体" w:hAnsi="宋体" w:eastAsia="宋体" w:cs="宋体"/>
          <w:spacing w:val="-2"/>
          <w:sz w:val="24"/>
          <w:szCs w:val="24"/>
        </w:rPr>
        <w:t>安置途径，对移民生活进行长期跟踪，确保移民生产、生活水平不断提高。</w:t>
      </w:r>
    </w:p>
    <w:p>
      <w:pPr>
        <w:spacing w:before="181" w:line="359" w:lineRule="auto"/>
        <w:ind w:left="42" w:right="84" w:firstLine="479"/>
        <w:rPr>
          <w:rFonts w:ascii="宋体" w:hAnsi="宋体" w:eastAsia="宋体" w:cs="宋体"/>
          <w:sz w:val="24"/>
          <w:szCs w:val="24"/>
        </w:rPr>
      </w:pPr>
      <w:r>
        <w:rPr>
          <w:rFonts w:ascii="宋体" w:hAnsi="宋体" w:eastAsia="宋体" w:cs="宋体"/>
          <w:spacing w:val="2"/>
          <w:sz w:val="24"/>
          <w:szCs w:val="24"/>
        </w:rPr>
        <w:t>桂花水库下游工农业生产下泄流量蓄水初期采</w:t>
      </w:r>
      <w:r>
        <w:rPr>
          <w:rFonts w:ascii="宋体" w:hAnsi="宋体" w:eastAsia="宋体" w:cs="宋体"/>
          <w:spacing w:val="1"/>
          <w:sz w:val="24"/>
          <w:szCs w:val="24"/>
        </w:rPr>
        <w:t>取导流放空隧洞下放，运行期由输</w:t>
      </w:r>
      <w:r>
        <w:rPr>
          <w:rFonts w:ascii="宋体" w:hAnsi="宋体" w:eastAsia="宋体" w:cs="宋体"/>
          <w:sz w:val="24"/>
          <w:szCs w:val="24"/>
        </w:rPr>
        <w:t xml:space="preserve"> </w:t>
      </w:r>
      <w:r>
        <w:rPr>
          <w:rFonts w:ascii="宋体" w:hAnsi="宋体" w:eastAsia="宋体" w:cs="宋体"/>
          <w:spacing w:val="-1"/>
          <w:sz w:val="24"/>
          <w:szCs w:val="24"/>
        </w:rPr>
        <w:t>水隧洞下放。生态流量通过导流放空隧洞预埋的</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DN325 </w:t>
      </w:r>
      <w:r>
        <w:rPr>
          <w:rFonts w:ascii="宋体" w:hAnsi="宋体" w:eastAsia="宋体" w:cs="宋体"/>
          <w:spacing w:val="-1"/>
          <w:sz w:val="24"/>
          <w:szCs w:val="24"/>
        </w:rPr>
        <w:t>钢管向下游河道</w:t>
      </w:r>
      <w:r>
        <w:rPr>
          <w:rFonts w:ascii="宋体" w:hAnsi="宋体" w:eastAsia="宋体" w:cs="宋体"/>
          <w:spacing w:val="-2"/>
          <w:sz w:val="24"/>
          <w:szCs w:val="24"/>
        </w:rPr>
        <w:t>供水。桂花水</w:t>
      </w:r>
    </w:p>
    <w:p>
      <w:pPr>
        <w:spacing w:before="1" w:line="218" w:lineRule="auto"/>
        <w:ind w:left="40"/>
        <w:rPr>
          <w:rFonts w:ascii="宋体" w:hAnsi="宋体" w:eastAsia="宋体" w:cs="宋体"/>
          <w:sz w:val="24"/>
          <w:szCs w:val="24"/>
        </w:rPr>
      </w:pPr>
      <w:r>
        <w:rPr>
          <w:rFonts w:ascii="宋体" w:hAnsi="宋体" w:eastAsia="宋体" w:cs="宋体"/>
          <w:spacing w:val="-1"/>
          <w:sz w:val="24"/>
          <w:szCs w:val="24"/>
        </w:rPr>
        <w:t>库取水考虑了下游生活、生产用水及生态下泄水量</w:t>
      </w:r>
      <w:r>
        <w:rPr>
          <w:rFonts w:ascii="宋体" w:hAnsi="宋体" w:eastAsia="宋体" w:cs="宋体"/>
          <w:spacing w:val="-2"/>
          <w:sz w:val="24"/>
          <w:szCs w:val="24"/>
        </w:rPr>
        <w:t>，对下游不产生影响。</w:t>
      </w:r>
    </w:p>
    <w:p>
      <w:pPr>
        <w:spacing w:before="182" w:line="359" w:lineRule="auto"/>
        <w:ind w:left="40" w:right="17" w:firstLine="497"/>
        <w:rPr>
          <w:rFonts w:ascii="宋体" w:hAnsi="宋体" w:eastAsia="宋体" w:cs="宋体"/>
          <w:sz w:val="24"/>
          <w:szCs w:val="24"/>
        </w:rPr>
      </w:pPr>
      <w:r>
        <w:rPr>
          <w:rFonts w:ascii="宋体" w:hAnsi="宋体" w:eastAsia="宋体" w:cs="宋体"/>
          <w:spacing w:val="-6"/>
          <w:sz w:val="24"/>
          <w:szCs w:val="24"/>
        </w:rPr>
        <w:t>引水工程引水区即罗子左引水区以及引洪工程引水</w:t>
      </w:r>
      <w:r>
        <w:rPr>
          <w:rFonts w:ascii="宋体" w:hAnsi="宋体" w:eastAsia="宋体" w:cs="宋体"/>
          <w:spacing w:val="-7"/>
          <w:sz w:val="24"/>
          <w:szCs w:val="24"/>
        </w:rPr>
        <w:t>区汛期引水， 引水系数为</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0.60</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0"/>
          <w:sz w:val="24"/>
          <w:szCs w:val="24"/>
        </w:rPr>
        <w:t>其余季节不引水，引水系数为</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0</w:t>
      </w:r>
      <w:r>
        <w:rPr>
          <w:rFonts w:ascii="宋体" w:hAnsi="宋体" w:eastAsia="宋体" w:cs="宋体"/>
          <w:spacing w:val="-10"/>
          <w:sz w:val="24"/>
          <w:szCs w:val="24"/>
        </w:rPr>
        <w:t>。经分析，</w:t>
      </w:r>
      <w:r>
        <w:rPr>
          <w:rFonts w:ascii="宋体" w:hAnsi="宋体" w:eastAsia="宋体" w:cs="宋体"/>
          <w:spacing w:val="-11"/>
          <w:sz w:val="24"/>
          <w:szCs w:val="24"/>
        </w:rPr>
        <w:t>引水后剩余水量满足下游生态下泄水量要求，</w:t>
      </w:r>
    </w:p>
    <w:p>
      <w:pPr>
        <w:spacing w:before="1" w:line="218" w:lineRule="auto"/>
        <w:ind w:left="38"/>
        <w:rPr>
          <w:rFonts w:ascii="宋体" w:hAnsi="宋体" w:eastAsia="宋体" w:cs="宋体"/>
          <w:sz w:val="24"/>
          <w:szCs w:val="24"/>
        </w:rPr>
      </w:pPr>
      <w:r>
        <w:rPr>
          <w:rFonts w:ascii="宋体" w:hAnsi="宋体" w:eastAsia="宋体" w:cs="宋体"/>
          <w:spacing w:val="-4"/>
          <w:sz w:val="24"/>
          <w:szCs w:val="24"/>
        </w:rPr>
        <w:t>对下游基本不产生影响。</w:t>
      </w:r>
    </w:p>
    <w:p>
      <w:pPr>
        <w:spacing w:before="182" w:line="220" w:lineRule="auto"/>
        <w:ind w:left="52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）退水影响</w:t>
      </w:r>
    </w:p>
    <w:p>
      <w:pPr>
        <w:spacing w:before="182" w:line="466" w:lineRule="exact"/>
        <w:jc w:val="right"/>
        <w:rPr>
          <w:rFonts w:ascii="宋体" w:hAnsi="宋体" w:eastAsia="宋体" w:cs="宋体"/>
          <w:sz w:val="24"/>
          <w:szCs w:val="24"/>
        </w:rPr>
      </w:pPr>
      <w:r>
        <w:rPr>
          <w:rFonts w:ascii="宋体" w:hAnsi="宋体" w:eastAsia="宋体" w:cs="宋体"/>
          <w:spacing w:val="-6"/>
          <w:position w:val="17"/>
          <w:sz w:val="24"/>
          <w:szCs w:val="24"/>
        </w:rPr>
        <w:t>项目施工废水经处理后回用， 生活污水经化粪池处理后由周边村民清掏用于农肥。</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施工期退水不会对水功能区造成不利影响。</w:t>
      </w:r>
    </w:p>
    <w:p>
      <w:pPr>
        <w:spacing w:before="185" w:line="359" w:lineRule="auto"/>
        <w:ind w:left="39" w:right="18" w:firstLine="493"/>
        <w:rPr>
          <w:rFonts w:ascii="宋体" w:hAnsi="宋体" w:eastAsia="宋体" w:cs="宋体"/>
          <w:sz w:val="24"/>
          <w:szCs w:val="24"/>
        </w:rPr>
      </w:pPr>
      <w:r>
        <w:rPr>
          <w:rFonts w:ascii="宋体" w:hAnsi="宋体" w:eastAsia="宋体" w:cs="宋体"/>
          <w:spacing w:val="1"/>
          <w:sz w:val="24"/>
          <w:szCs w:val="24"/>
        </w:rPr>
        <w:t>随着灌区农业生产的最展，农业结构调整和复种指数的增高，农田施用的化肥及</w:t>
      </w:r>
      <w:r>
        <w:rPr>
          <w:rFonts w:ascii="宋体" w:hAnsi="宋体" w:eastAsia="宋体" w:cs="宋体"/>
          <w:spacing w:val="17"/>
          <w:sz w:val="24"/>
          <w:szCs w:val="24"/>
        </w:rPr>
        <w:t xml:space="preserve"> </w:t>
      </w:r>
      <w:r>
        <w:rPr>
          <w:rFonts w:ascii="宋体" w:hAnsi="宋体" w:eastAsia="宋体" w:cs="宋体"/>
          <w:spacing w:val="-9"/>
          <w:sz w:val="24"/>
          <w:szCs w:val="24"/>
        </w:rPr>
        <w:t>农药施用可能导致农田灌溉退水污染，</w:t>
      </w:r>
      <w:r>
        <w:rPr>
          <w:rFonts w:ascii="宋体" w:hAnsi="宋体" w:eastAsia="宋体" w:cs="宋体"/>
          <w:spacing w:val="-22"/>
          <w:sz w:val="24"/>
          <w:szCs w:val="24"/>
        </w:rPr>
        <w:t xml:space="preserve"> </w:t>
      </w:r>
      <w:r>
        <w:rPr>
          <w:rFonts w:ascii="宋体" w:hAnsi="宋体" w:eastAsia="宋体" w:cs="宋体"/>
          <w:spacing w:val="-9"/>
          <w:sz w:val="24"/>
          <w:szCs w:val="24"/>
        </w:rPr>
        <w:t>灌溉退水中的主要污染物为氨氮、总磷</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 xml:space="preserve">COD </w:t>
      </w:r>
      <w:r>
        <w:rPr>
          <w:rFonts w:ascii="宋体" w:hAnsi="宋体" w:eastAsia="宋体" w:cs="宋体"/>
          <w:spacing w:val="-9"/>
          <w:sz w:val="24"/>
          <w:szCs w:val="24"/>
        </w:rPr>
        <w:t>等，</w:t>
      </w:r>
      <w:r>
        <w:rPr>
          <w:rFonts w:ascii="宋体" w:hAnsi="宋体" w:eastAsia="宋体" w:cs="宋体"/>
          <w:sz w:val="24"/>
          <w:szCs w:val="24"/>
        </w:rPr>
        <w:t xml:space="preserve"> </w:t>
      </w:r>
      <w:r>
        <w:rPr>
          <w:rFonts w:ascii="宋体" w:hAnsi="宋体" w:eastAsia="宋体" w:cs="宋体"/>
          <w:spacing w:val="2"/>
          <w:sz w:val="24"/>
          <w:szCs w:val="24"/>
        </w:rPr>
        <w:t>灌概退水会引起灌区内地表水水体污染物浓度增高。项目运行期</w:t>
      </w:r>
      <w:r>
        <w:rPr>
          <w:rFonts w:ascii="宋体" w:hAnsi="宋体" w:eastAsia="宋体" w:cs="宋体"/>
          <w:spacing w:val="1"/>
          <w:sz w:val="24"/>
          <w:szCs w:val="24"/>
        </w:rPr>
        <w:t>退水主要来自灌溉回</w:t>
      </w:r>
      <w:r>
        <w:rPr>
          <w:rFonts w:ascii="宋体" w:hAnsi="宋体" w:eastAsia="宋体" w:cs="宋体"/>
          <w:sz w:val="24"/>
          <w:szCs w:val="24"/>
        </w:rPr>
        <w:t xml:space="preserve"> 归水，本项目农业灌溉回归水</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68.5</w:t>
      </w:r>
      <w:r>
        <w:rPr>
          <w:rFonts w:ascii="Times New Roman" w:hAnsi="Times New Roman" w:eastAsia="Times New Roman" w:cs="Times New Roman"/>
          <w:spacing w:val="32"/>
          <w:sz w:val="24"/>
          <w:szCs w:val="24"/>
        </w:rPr>
        <w:t xml:space="preserve"> </w:t>
      </w:r>
      <w:r>
        <w:rPr>
          <w:rFonts w:ascii="宋体" w:hAnsi="宋体" w:eastAsia="宋体" w:cs="宋体"/>
          <w:sz w:val="24"/>
          <w:szCs w:val="24"/>
        </w:rPr>
        <w:t>万</w:t>
      </w:r>
      <w:r>
        <w:rPr>
          <w:rFonts w:ascii="宋体" w:hAnsi="宋体" w:eastAsia="宋体" w:cs="宋体"/>
          <w:spacing w:val="-41"/>
          <w:sz w:val="24"/>
          <w:szCs w:val="24"/>
        </w:rPr>
        <w:t xml:space="preserve"> </w:t>
      </w:r>
      <w:r>
        <w:rPr>
          <w:rFonts w:ascii="Times New Roman" w:hAnsi="Times New Roman" w:eastAsia="Times New Roman" w:cs="Times New Roman"/>
          <w:sz w:val="24"/>
          <w:szCs w:val="24"/>
        </w:rPr>
        <w:t>m</w:t>
      </w:r>
      <w:r>
        <w:rPr>
          <w:rFonts w:ascii="Times New Roman" w:hAnsi="Times New Roman" w:eastAsia="Times New Roman" w:cs="Times New Roman"/>
          <w:position w:val="8"/>
          <w:sz w:val="15"/>
          <w:szCs w:val="15"/>
        </w:rPr>
        <w:t>3</w:t>
      </w:r>
      <w:r>
        <w:rPr>
          <w:rFonts w:ascii="宋体" w:hAnsi="宋体" w:eastAsia="宋体" w:cs="宋体"/>
          <w:sz w:val="24"/>
          <w:szCs w:val="24"/>
        </w:rPr>
        <w:t>（不含新</w:t>
      </w:r>
      <w:r>
        <w:rPr>
          <w:rFonts w:ascii="宋体" w:hAnsi="宋体" w:eastAsia="宋体" w:cs="宋体"/>
          <w:spacing w:val="-1"/>
          <w:sz w:val="24"/>
          <w:szCs w:val="24"/>
        </w:rPr>
        <w:t>街、金碧片区</w:t>
      </w:r>
      <w:r>
        <w:rPr>
          <w:rFonts w:ascii="宋体" w:hAnsi="宋体" w:eastAsia="宋体" w:cs="宋体"/>
          <w:spacing w:val="-60"/>
          <w:w w:val="96"/>
          <w:sz w:val="24"/>
          <w:szCs w:val="24"/>
        </w:rPr>
        <w:t>），</w:t>
      </w:r>
      <w:r>
        <w:rPr>
          <w:rFonts w:ascii="宋体" w:hAnsi="宋体" w:eastAsia="宋体" w:cs="宋体"/>
          <w:spacing w:val="-1"/>
          <w:sz w:val="24"/>
          <w:szCs w:val="24"/>
        </w:rPr>
        <w:t>其中万马河流域的</w:t>
      </w:r>
      <w:r>
        <w:rPr>
          <w:rFonts w:ascii="宋体" w:hAnsi="宋体" w:eastAsia="宋体" w:cs="宋体"/>
          <w:sz w:val="24"/>
          <w:szCs w:val="24"/>
        </w:rPr>
        <w:t xml:space="preserve"> </w:t>
      </w:r>
      <w:r>
        <w:rPr>
          <w:rFonts w:ascii="宋体" w:hAnsi="宋体" w:eastAsia="宋体" w:cs="宋体"/>
          <w:spacing w:val="-6"/>
          <w:sz w:val="24"/>
          <w:szCs w:val="24"/>
        </w:rPr>
        <w:t>灌溉回归水量为</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37.4</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宋体" w:hAnsi="宋体" w:eastAsia="宋体" w:cs="宋体"/>
          <w:spacing w:val="-6"/>
          <w:sz w:val="24"/>
          <w:szCs w:val="24"/>
        </w:rPr>
        <w:t>，六苴河流域（含者纳么河）的灌溉回</w:t>
      </w:r>
      <w:r>
        <w:rPr>
          <w:rFonts w:ascii="宋体" w:hAnsi="宋体" w:eastAsia="宋体" w:cs="宋体"/>
          <w:spacing w:val="-7"/>
          <w:sz w:val="24"/>
          <w:szCs w:val="24"/>
        </w:rPr>
        <w:t>归水量为</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31.1</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
          <w:sz w:val="24"/>
          <w:szCs w:val="24"/>
        </w:rPr>
        <w:t>万马河流域灌溉回归水量占全流域水资源量的</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0.1%</w:t>
      </w:r>
      <w:r>
        <w:rPr>
          <w:rFonts w:ascii="宋体" w:hAnsi="宋体" w:eastAsia="宋体" w:cs="宋体"/>
          <w:spacing w:val="-1"/>
          <w:sz w:val="24"/>
          <w:szCs w:val="24"/>
        </w:rPr>
        <w:t>，六苴河流域（含者纳么河）回归</w:t>
      </w:r>
      <w:r>
        <w:rPr>
          <w:rFonts w:ascii="宋体" w:hAnsi="宋体" w:eastAsia="宋体" w:cs="宋体"/>
          <w:sz w:val="24"/>
          <w:szCs w:val="24"/>
        </w:rPr>
        <w:t xml:space="preserve"> </w:t>
      </w:r>
      <w:r>
        <w:rPr>
          <w:rFonts w:ascii="宋体" w:hAnsi="宋体" w:eastAsia="宋体" w:cs="宋体"/>
          <w:spacing w:val="-7"/>
          <w:sz w:val="24"/>
          <w:szCs w:val="24"/>
        </w:rPr>
        <w:t>水量占全流域水资源量的</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0.2%</w:t>
      </w:r>
      <w:r>
        <w:rPr>
          <w:rFonts w:ascii="宋体" w:hAnsi="宋体" w:eastAsia="宋体" w:cs="宋体"/>
          <w:spacing w:val="-7"/>
          <w:sz w:val="24"/>
          <w:szCs w:val="24"/>
        </w:rPr>
        <w:t>，由于灌区退水量小，并</w:t>
      </w:r>
      <w:r>
        <w:rPr>
          <w:rFonts w:ascii="宋体" w:hAnsi="宋体" w:eastAsia="宋体" w:cs="宋体"/>
          <w:spacing w:val="-8"/>
          <w:sz w:val="24"/>
          <w:szCs w:val="24"/>
        </w:rPr>
        <w:t>以面源的方式分散排入桂花河、</w:t>
      </w:r>
      <w:r>
        <w:rPr>
          <w:rFonts w:ascii="宋体" w:hAnsi="宋体" w:eastAsia="宋体" w:cs="宋体"/>
          <w:sz w:val="24"/>
          <w:szCs w:val="24"/>
        </w:rPr>
        <w:t xml:space="preserve">  </w:t>
      </w:r>
      <w:r>
        <w:rPr>
          <w:rFonts w:ascii="宋体" w:hAnsi="宋体" w:eastAsia="宋体" w:cs="宋体"/>
          <w:spacing w:val="-5"/>
          <w:sz w:val="24"/>
          <w:szCs w:val="24"/>
        </w:rPr>
        <w:t>六苴河、者纳么河，沿程还有其他支流汇入，河流来水丰富，水</w:t>
      </w:r>
      <w:r>
        <w:rPr>
          <w:rFonts w:ascii="宋体" w:hAnsi="宋体" w:eastAsia="宋体" w:cs="宋体"/>
          <w:spacing w:val="-6"/>
          <w:sz w:val="24"/>
          <w:szCs w:val="24"/>
        </w:rPr>
        <w:t>体自净能力相对较强。</w:t>
      </w:r>
    </w:p>
    <w:p>
      <w:pPr>
        <w:spacing w:before="1" w:line="219" w:lineRule="auto"/>
        <w:ind w:left="58"/>
        <w:rPr>
          <w:rFonts w:ascii="宋体" w:hAnsi="宋体" w:eastAsia="宋体" w:cs="宋体"/>
          <w:sz w:val="24"/>
          <w:szCs w:val="24"/>
        </w:rPr>
      </w:pPr>
      <w:r>
        <w:rPr>
          <w:rFonts w:ascii="宋体" w:hAnsi="宋体" w:eastAsia="宋体" w:cs="宋体"/>
          <w:spacing w:val="-8"/>
          <w:sz w:val="24"/>
          <w:szCs w:val="24"/>
        </w:rPr>
        <w:t>因此， 灌溉退水水环境功能区的整体水质影响较小。</w:t>
      </w:r>
    </w:p>
    <w:p>
      <w:pPr>
        <w:spacing w:before="181"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）水资源保护措施</w:t>
      </w:r>
    </w:p>
    <w:p>
      <w:pPr>
        <w:spacing w:before="181" w:line="467" w:lineRule="exact"/>
        <w:ind w:left="518"/>
        <w:rPr>
          <w:rFonts w:ascii="宋体" w:hAnsi="宋体" w:eastAsia="宋体" w:cs="宋体"/>
          <w:sz w:val="24"/>
          <w:szCs w:val="24"/>
        </w:rPr>
      </w:pPr>
      <w:r>
        <w:rPr>
          <w:rFonts w:ascii="宋体" w:hAnsi="宋体" w:eastAsia="宋体" w:cs="宋体"/>
          <w:spacing w:val="-5"/>
          <w:position w:val="17"/>
          <w:sz w:val="24"/>
          <w:szCs w:val="24"/>
        </w:rPr>
        <w:t>①水库施工期间，应加强对施工产生的生产废水、生活污水</w:t>
      </w:r>
      <w:r>
        <w:rPr>
          <w:rFonts w:ascii="宋体" w:hAnsi="宋体" w:eastAsia="宋体" w:cs="宋体"/>
          <w:spacing w:val="-6"/>
          <w:position w:val="17"/>
          <w:sz w:val="24"/>
          <w:szCs w:val="24"/>
        </w:rPr>
        <w:t>和弃渣、生活垃圾等的</w:t>
      </w:r>
    </w:p>
    <w:p>
      <w:pPr>
        <w:spacing w:before="1" w:line="219" w:lineRule="auto"/>
        <w:ind w:left="44"/>
        <w:rPr>
          <w:rFonts w:ascii="宋体" w:hAnsi="宋体" w:eastAsia="宋体" w:cs="宋体"/>
          <w:sz w:val="24"/>
          <w:szCs w:val="24"/>
        </w:rPr>
      </w:pPr>
      <w:r>
        <w:rPr>
          <w:rFonts w:ascii="宋体" w:hAnsi="宋体" w:eastAsia="宋体" w:cs="宋体"/>
          <w:spacing w:val="-1"/>
          <w:sz w:val="24"/>
          <w:szCs w:val="24"/>
        </w:rPr>
        <w:t>处理，尽可能的降低施工期废污水排放和固废</w:t>
      </w:r>
      <w:r>
        <w:rPr>
          <w:rFonts w:ascii="宋体" w:hAnsi="宋体" w:eastAsia="宋体" w:cs="宋体"/>
          <w:spacing w:val="-2"/>
          <w:sz w:val="24"/>
          <w:szCs w:val="24"/>
        </w:rPr>
        <w:t>流失对下游河道水质的影响。</w:t>
      </w:r>
    </w:p>
    <w:p>
      <w:pPr>
        <w:spacing w:before="182" w:line="359" w:lineRule="auto"/>
        <w:ind w:left="41" w:right="86" w:firstLine="476"/>
        <w:rPr>
          <w:rFonts w:ascii="宋体" w:hAnsi="宋体" w:eastAsia="宋体" w:cs="宋体"/>
          <w:sz w:val="24"/>
          <w:szCs w:val="24"/>
        </w:rPr>
      </w:pPr>
      <w:r>
        <w:rPr>
          <w:rFonts w:ascii="宋体" w:hAnsi="宋体" w:eastAsia="宋体" w:cs="宋体"/>
          <w:spacing w:val="2"/>
          <w:sz w:val="24"/>
          <w:szCs w:val="24"/>
        </w:rPr>
        <w:t>②在水库蓄水前，应按有关技术要求对库底进行必要的卫生清理工作，在</w:t>
      </w:r>
      <w:r>
        <w:rPr>
          <w:rFonts w:ascii="宋体" w:hAnsi="宋体" w:eastAsia="宋体" w:cs="宋体"/>
          <w:spacing w:val="1"/>
          <w:sz w:val="24"/>
          <w:szCs w:val="24"/>
        </w:rPr>
        <w:t>淹没区</w:t>
      </w:r>
      <w:r>
        <w:rPr>
          <w:rFonts w:ascii="宋体" w:hAnsi="宋体" w:eastAsia="宋体" w:cs="宋体"/>
          <w:sz w:val="24"/>
          <w:szCs w:val="24"/>
        </w:rPr>
        <w:t xml:space="preserve"> </w:t>
      </w:r>
      <w:r>
        <w:rPr>
          <w:rFonts w:ascii="宋体" w:hAnsi="宋体" w:eastAsia="宋体" w:cs="宋体"/>
          <w:spacing w:val="-18"/>
          <w:sz w:val="24"/>
          <w:szCs w:val="24"/>
        </w:rPr>
        <w:t>内的树木、杂物，</w:t>
      </w:r>
      <w:r>
        <w:rPr>
          <w:rFonts w:ascii="宋体" w:hAnsi="宋体" w:eastAsia="宋体" w:cs="宋体"/>
          <w:spacing w:val="23"/>
          <w:sz w:val="24"/>
          <w:szCs w:val="24"/>
        </w:rPr>
        <w:t xml:space="preserve"> </w:t>
      </w:r>
      <w:r>
        <w:rPr>
          <w:rFonts w:ascii="宋体" w:hAnsi="宋体" w:eastAsia="宋体" w:cs="宋体"/>
          <w:spacing w:val="-18"/>
          <w:sz w:val="24"/>
          <w:szCs w:val="24"/>
        </w:rPr>
        <w:t>应进行认真的清理和消毒，</w:t>
      </w:r>
      <w:r>
        <w:rPr>
          <w:rFonts w:ascii="宋体" w:hAnsi="宋体" w:eastAsia="宋体" w:cs="宋体"/>
          <w:spacing w:val="48"/>
          <w:sz w:val="24"/>
          <w:szCs w:val="24"/>
        </w:rPr>
        <w:t xml:space="preserve"> </w:t>
      </w:r>
      <w:r>
        <w:rPr>
          <w:rFonts w:ascii="宋体" w:hAnsi="宋体" w:eastAsia="宋体" w:cs="宋体"/>
          <w:spacing w:val="-18"/>
          <w:sz w:val="24"/>
          <w:szCs w:val="24"/>
        </w:rPr>
        <w:t>以保证水库水质；</w:t>
      </w:r>
      <w:r>
        <w:rPr>
          <w:rFonts w:ascii="宋体" w:hAnsi="宋体" w:eastAsia="宋体" w:cs="宋体"/>
          <w:spacing w:val="23"/>
          <w:sz w:val="24"/>
          <w:szCs w:val="24"/>
        </w:rPr>
        <w:t xml:space="preserve"> </w:t>
      </w:r>
      <w:r>
        <w:rPr>
          <w:rFonts w:ascii="宋体" w:hAnsi="宋体" w:eastAsia="宋体" w:cs="宋体"/>
          <w:spacing w:val="-18"/>
          <w:sz w:val="24"/>
          <w:szCs w:val="24"/>
        </w:rPr>
        <w:t>划定饮用水源保护区；</w:t>
      </w:r>
      <w:r>
        <w:rPr>
          <w:rFonts w:ascii="宋体" w:hAnsi="宋体" w:eastAsia="宋体" w:cs="宋体"/>
          <w:sz w:val="24"/>
          <w:szCs w:val="24"/>
        </w:rPr>
        <w:t xml:space="preserve"> </w:t>
      </w:r>
      <w:r>
        <w:rPr>
          <w:rFonts w:ascii="宋体" w:hAnsi="宋体" w:eastAsia="宋体" w:cs="宋体"/>
          <w:spacing w:val="-19"/>
          <w:sz w:val="24"/>
          <w:szCs w:val="24"/>
        </w:rPr>
        <w:t>调整库区上游产业结构，</w:t>
      </w:r>
      <w:r>
        <w:rPr>
          <w:rFonts w:ascii="宋体" w:hAnsi="宋体" w:eastAsia="宋体" w:cs="宋体"/>
          <w:spacing w:val="21"/>
          <w:sz w:val="24"/>
          <w:szCs w:val="24"/>
        </w:rPr>
        <w:t xml:space="preserve"> </w:t>
      </w:r>
      <w:r>
        <w:rPr>
          <w:rFonts w:ascii="宋体" w:hAnsi="宋体" w:eastAsia="宋体" w:cs="宋体"/>
          <w:spacing w:val="-19"/>
          <w:sz w:val="24"/>
          <w:szCs w:val="24"/>
        </w:rPr>
        <w:t>尽量使用有机肥，</w:t>
      </w:r>
      <w:r>
        <w:rPr>
          <w:rFonts w:ascii="宋体" w:hAnsi="宋体" w:eastAsia="宋体" w:cs="宋体"/>
          <w:spacing w:val="19"/>
          <w:sz w:val="24"/>
          <w:szCs w:val="24"/>
        </w:rPr>
        <w:t xml:space="preserve"> </w:t>
      </w:r>
      <w:r>
        <w:rPr>
          <w:rFonts w:ascii="宋体" w:hAnsi="宋体" w:eastAsia="宋体" w:cs="宋体"/>
          <w:spacing w:val="-19"/>
          <w:sz w:val="24"/>
          <w:szCs w:val="24"/>
        </w:rPr>
        <w:t>控制</w:t>
      </w:r>
      <w:r>
        <w:rPr>
          <w:rFonts w:ascii="宋体" w:hAnsi="宋体" w:eastAsia="宋体" w:cs="宋体"/>
          <w:spacing w:val="-20"/>
          <w:sz w:val="24"/>
          <w:szCs w:val="24"/>
        </w:rPr>
        <w:t>化肥和农药使用量，</w:t>
      </w:r>
      <w:r>
        <w:rPr>
          <w:rFonts w:ascii="宋体" w:hAnsi="宋体" w:eastAsia="宋体" w:cs="宋体"/>
          <w:spacing w:val="20"/>
          <w:sz w:val="24"/>
          <w:szCs w:val="24"/>
        </w:rPr>
        <w:t xml:space="preserve"> </w:t>
      </w:r>
      <w:r>
        <w:rPr>
          <w:rFonts w:ascii="宋体" w:hAnsi="宋体" w:eastAsia="宋体" w:cs="宋体"/>
          <w:spacing w:val="-20"/>
          <w:sz w:val="24"/>
          <w:szCs w:val="24"/>
        </w:rPr>
        <w:t>减少面源污染，</w:t>
      </w:r>
      <w:r>
        <w:rPr>
          <w:rFonts w:ascii="宋体" w:hAnsi="宋体" w:eastAsia="宋体" w:cs="宋体"/>
          <w:spacing w:val="23"/>
          <w:sz w:val="24"/>
          <w:szCs w:val="24"/>
        </w:rPr>
        <w:t xml:space="preserve"> </w:t>
      </w:r>
      <w:r>
        <w:rPr>
          <w:rFonts w:ascii="宋体" w:hAnsi="宋体" w:eastAsia="宋体" w:cs="宋体"/>
          <w:spacing w:val="-20"/>
          <w:sz w:val="24"/>
          <w:szCs w:val="24"/>
        </w:rPr>
        <w:t>水</w:t>
      </w:r>
    </w:p>
    <w:p>
      <w:pPr>
        <w:spacing w:line="219" w:lineRule="auto"/>
        <w:ind w:left="40"/>
        <w:rPr>
          <w:rFonts w:ascii="宋体" w:hAnsi="宋体" w:eastAsia="宋体" w:cs="宋体"/>
          <w:sz w:val="24"/>
          <w:szCs w:val="24"/>
        </w:rPr>
      </w:pPr>
      <w:r>
        <w:rPr>
          <w:rFonts w:ascii="宋体" w:hAnsi="宋体" w:eastAsia="宋体" w:cs="宋体"/>
          <w:spacing w:val="-3"/>
          <w:sz w:val="24"/>
          <w:szCs w:val="24"/>
        </w:rPr>
        <w:t>库内禁止投饵式网箱养鱼及规模化水禽养殖。</w:t>
      </w:r>
    </w:p>
    <w:p>
      <w:pPr>
        <w:spacing w:before="182" w:line="217" w:lineRule="auto"/>
        <w:ind w:left="517"/>
        <w:rPr>
          <w:rFonts w:ascii="宋体" w:hAnsi="宋体" w:eastAsia="宋体" w:cs="宋体"/>
          <w:sz w:val="24"/>
          <w:szCs w:val="24"/>
        </w:rPr>
      </w:pPr>
      <w:r>
        <w:rPr>
          <w:rFonts w:ascii="宋体" w:hAnsi="宋体" w:eastAsia="宋体" w:cs="宋体"/>
          <w:spacing w:val="-10"/>
          <w:sz w:val="24"/>
          <w:szCs w:val="24"/>
        </w:rPr>
        <w:t>③水库径流区要加强水土保持工作，</w:t>
      </w:r>
      <w:r>
        <w:rPr>
          <w:rFonts w:ascii="宋体" w:hAnsi="宋体" w:eastAsia="宋体" w:cs="宋体"/>
          <w:spacing w:val="-39"/>
          <w:sz w:val="24"/>
          <w:szCs w:val="24"/>
        </w:rPr>
        <w:t xml:space="preserve"> </w:t>
      </w:r>
      <w:r>
        <w:rPr>
          <w:rFonts w:ascii="宋体" w:hAnsi="宋体" w:eastAsia="宋体" w:cs="宋体"/>
          <w:spacing w:val="-10"/>
          <w:sz w:val="24"/>
          <w:szCs w:val="24"/>
        </w:rPr>
        <w:t>改善生态环境、涵养水源， 起到保护水质的作</w:t>
      </w:r>
    </w:p>
    <w:p>
      <w:pPr>
        <w:spacing w:line="217" w:lineRule="auto"/>
        <w:rPr>
          <w:rFonts w:ascii="宋体" w:hAnsi="宋体" w:eastAsia="宋体" w:cs="宋体"/>
          <w:sz w:val="24"/>
          <w:szCs w:val="24"/>
        </w:rPr>
        <w:sectPr>
          <w:headerReference r:id="rId69" w:type="default"/>
          <w:footerReference r:id="rId70" w:type="default"/>
          <w:pgSz w:w="11907" w:h="16839"/>
          <w:pgMar w:top="1298" w:right="1331" w:bottom="1374" w:left="1501" w:header="1023" w:footer="1210" w:gutter="0"/>
        </w:sectPr>
      </w:pPr>
    </w:p>
    <w:p>
      <w:pPr>
        <w:spacing w:before="156" w:line="467" w:lineRule="exact"/>
        <w:ind w:left="41"/>
        <w:rPr>
          <w:rFonts w:ascii="宋体" w:hAnsi="宋体" w:eastAsia="宋体" w:cs="宋体"/>
          <w:sz w:val="24"/>
          <w:szCs w:val="24"/>
        </w:rPr>
      </w:pPr>
      <w:r>
        <w:rPr>
          <w:rFonts w:ascii="宋体" w:hAnsi="宋体" w:eastAsia="宋体" w:cs="宋体"/>
          <w:spacing w:val="2"/>
          <w:position w:val="17"/>
          <w:sz w:val="24"/>
          <w:szCs w:val="24"/>
        </w:rPr>
        <w:t>用；水库施工过程中，必须按项目水土保持方案认真实施</w:t>
      </w:r>
      <w:r>
        <w:rPr>
          <w:rFonts w:ascii="宋体" w:hAnsi="宋体" w:eastAsia="宋体" w:cs="宋体"/>
          <w:spacing w:val="1"/>
          <w:position w:val="17"/>
          <w:sz w:val="24"/>
          <w:szCs w:val="24"/>
        </w:rPr>
        <w:t>，做好工程区的水土保持工</w:t>
      </w:r>
    </w:p>
    <w:p>
      <w:pPr>
        <w:spacing w:line="220" w:lineRule="auto"/>
        <w:ind w:left="40"/>
        <w:rPr>
          <w:rFonts w:ascii="宋体" w:hAnsi="宋体" w:eastAsia="宋体" w:cs="宋体"/>
          <w:sz w:val="24"/>
          <w:szCs w:val="24"/>
        </w:rPr>
      </w:pPr>
      <w:r>
        <w:rPr>
          <w:rFonts w:ascii="宋体" w:hAnsi="宋体" w:eastAsia="宋体" w:cs="宋体"/>
          <w:spacing w:val="-6"/>
          <w:sz w:val="24"/>
          <w:szCs w:val="24"/>
        </w:rPr>
        <w:t>作。</w:t>
      </w:r>
    </w:p>
    <w:p>
      <w:pPr>
        <w:spacing w:before="180" w:line="467" w:lineRule="exact"/>
        <w:ind w:right="32"/>
        <w:jc w:val="right"/>
        <w:rPr>
          <w:rFonts w:ascii="宋体" w:hAnsi="宋体" w:eastAsia="宋体" w:cs="宋体"/>
          <w:sz w:val="24"/>
          <w:szCs w:val="24"/>
        </w:rPr>
      </w:pPr>
      <w:r>
        <w:rPr>
          <w:rFonts w:ascii="宋体" w:hAnsi="宋体" w:eastAsia="宋体" w:cs="宋体"/>
          <w:spacing w:val="2"/>
          <w:position w:val="17"/>
          <w:sz w:val="24"/>
          <w:szCs w:val="24"/>
        </w:rPr>
        <w:t>④做好水质监测工作，加大水资源保护等法律法规的宣传力度，加强水</w:t>
      </w:r>
      <w:r>
        <w:rPr>
          <w:rFonts w:ascii="宋体" w:hAnsi="宋体" w:eastAsia="宋体" w:cs="宋体"/>
          <w:spacing w:val="1"/>
          <w:position w:val="17"/>
          <w:sz w:val="24"/>
          <w:szCs w:val="24"/>
        </w:rPr>
        <w:t>资源的保</w:t>
      </w:r>
    </w:p>
    <w:p>
      <w:pPr>
        <w:spacing w:line="219" w:lineRule="auto"/>
        <w:ind w:left="40"/>
        <w:rPr>
          <w:rFonts w:ascii="宋体" w:hAnsi="宋体" w:eastAsia="宋体" w:cs="宋体"/>
          <w:sz w:val="24"/>
          <w:szCs w:val="24"/>
        </w:rPr>
      </w:pPr>
      <w:r>
        <w:rPr>
          <w:rFonts w:ascii="宋体" w:hAnsi="宋体" w:eastAsia="宋体" w:cs="宋体"/>
          <w:spacing w:val="-2"/>
          <w:sz w:val="24"/>
          <w:szCs w:val="24"/>
        </w:rPr>
        <w:t>护管理工作、节水措施的推广和对用水户污水排放的管理。</w:t>
      </w:r>
    </w:p>
    <w:p>
      <w:pPr>
        <w:spacing w:line="351" w:lineRule="auto"/>
        <w:rPr>
          <w:rFonts w:ascii="Arial"/>
          <w:sz w:val="21"/>
        </w:rPr>
      </w:pPr>
    </w:p>
    <w:p>
      <w:pPr>
        <w:pStyle w:val="2"/>
        <w:spacing w:before="88" w:line="239" w:lineRule="auto"/>
        <w:ind w:left="36"/>
        <w:outlineLvl w:val="1"/>
        <w:rPr>
          <w:sz w:val="27"/>
          <w:szCs w:val="27"/>
        </w:rPr>
      </w:pPr>
      <w:bookmarkStart w:id="20" w:name="bookmark21"/>
      <w:bookmarkEnd w:id="20"/>
      <w:r>
        <w:rPr>
          <w:rFonts w:ascii="Times New Roman" w:hAnsi="Times New Roman" w:eastAsia="Times New Roman" w:cs="Times New Roman"/>
          <w:b/>
          <w:bCs/>
          <w:spacing w:val="7"/>
          <w:sz w:val="27"/>
          <w:szCs w:val="27"/>
        </w:rPr>
        <w:t xml:space="preserve">2.2 </w:t>
      </w:r>
      <w:r>
        <w:rPr>
          <w:spacing w:val="7"/>
          <w:sz w:val="27"/>
          <w:szCs w:val="27"/>
          <w14:textOutline w14:w="5072" w14:cap="flat" w14:cmpd="sng">
            <w14:solidFill>
              <w14:srgbClr w14:val="000000"/>
            </w14:solidFill>
            <w14:prstDash w14:val="solid"/>
            <w14:miter w14:val="0"/>
          </w14:textOutline>
        </w:rPr>
        <w:t>工程任务及规模</w:t>
      </w:r>
    </w:p>
    <w:p>
      <w:pPr>
        <w:spacing w:line="244" w:lineRule="auto"/>
        <w:rPr>
          <w:rFonts w:ascii="Arial"/>
          <w:sz w:val="21"/>
        </w:rPr>
      </w:pPr>
    </w:p>
    <w:p>
      <w:pPr>
        <w:pStyle w:val="2"/>
        <w:spacing w:before="78" w:line="234" w:lineRule="auto"/>
        <w:ind w:left="35"/>
        <w:outlineLvl w:val="2"/>
        <w:rPr>
          <w:sz w:val="24"/>
          <w:szCs w:val="24"/>
        </w:rPr>
      </w:pPr>
      <w:r>
        <w:rPr>
          <w:rFonts w:ascii="Times New Roman" w:hAnsi="Times New Roman" w:eastAsia="Times New Roman" w:cs="Times New Roman"/>
          <w:b/>
          <w:bCs/>
          <w:spacing w:val="-1"/>
          <w:sz w:val="24"/>
          <w:szCs w:val="24"/>
        </w:rPr>
        <w:t xml:space="preserve">2.2.1 </w:t>
      </w:r>
      <w:r>
        <w:rPr>
          <w:spacing w:val="-1"/>
          <w:sz w:val="24"/>
          <w:szCs w:val="24"/>
          <w14:textOutline w14:w="4354" w14:cap="flat" w14:cmpd="sng">
            <w14:solidFill>
              <w14:srgbClr w14:val="000000"/>
            </w14:solidFill>
            <w14:prstDash w14:val="solid"/>
            <w14:miter w14:val="0"/>
          </w14:textOutline>
        </w:rPr>
        <w:t>基本情况</w:t>
      </w:r>
    </w:p>
    <w:p>
      <w:pPr>
        <w:spacing w:before="162" w:line="220" w:lineRule="auto"/>
        <w:ind w:left="523"/>
        <w:rPr>
          <w:rFonts w:ascii="宋体" w:hAnsi="宋体" w:eastAsia="宋体" w:cs="宋体"/>
          <w:sz w:val="24"/>
          <w:szCs w:val="24"/>
        </w:rPr>
      </w:pPr>
      <w:r>
        <w:rPr>
          <w:rFonts w:ascii="宋体" w:hAnsi="宋体" w:eastAsia="宋体" w:cs="宋体"/>
          <w:spacing w:val="-12"/>
          <w:sz w:val="24"/>
          <w:szCs w:val="24"/>
        </w:rPr>
        <w:t>项目名称：</w:t>
      </w:r>
      <w:r>
        <w:rPr>
          <w:rFonts w:ascii="宋体" w:hAnsi="宋体" w:eastAsia="宋体" w:cs="宋体"/>
          <w:spacing w:val="35"/>
          <w:sz w:val="24"/>
          <w:szCs w:val="24"/>
        </w:rPr>
        <w:t xml:space="preserve"> </w:t>
      </w:r>
      <w:r>
        <w:rPr>
          <w:rFonts w:ascii="宋体" w:hAnsi="宋体" w:eastAsia="宋体" w:cs="宋体"/>
          <w:spacing w:val="-12"/>
          <w:sz w:val="24"/>
          <w:szCs w:val="24"/>
        </w:rPr>
        <w:t>大姚县桂花水库工程</w:t>
      </w:r>
    </w:p>
    <w:p>
      <w:pPr>
        <w:spacing w:before="181" w:line="219" w:lineRule="auto"/>
        <w:ind w:left="522"/>
        <w:rPr>
          <w:rFonts w:ascii="宋体" w:hAnsi="宋体" w:eastAsia="宋体" w:cs="宋体"/>
          <w:sz w:val="24"/>
          <w:szCs w:val="24"/>
        </w:rPr>
      </w:pPr>
      <w:r>
        <w:rPr>
          <w:rFonts w:ascii="宋体" w:hAnsi="宋体" w:eastAsia="宋体" w:cs="宋体"/>
          <w:spacing w:val="-6"/>
          <w:sz w:val="24"/>
          <w:szCs w:val="24"/>
        </w:rPr>
        <w:t>建设地点：</w:t>
      </w:r>
      <w:r>
        <w:rPr>
          <w:rFonts w:ascii="宋体" w:hAnsi="宋体" w:eastAsia="宋体" w:cs="宋体"/>
          <w:spacing w:val="35"/>
          <w:sz w:val="24"/>
          <w:szCs w:val="24"/>
        </w:rPr>
        <w:t xml:space="preserve"> </w:t>
      </w:r>
      <w:r>
        <w:rPr>
          <w:rFonts w:ascii="宋体" w:hAnsi="宋体" w:eastAsia="宋体" w:cs="宋体"/>
          <w:spacing w:val="-6"/>
          <w:sz w:val="24"/>
          <w:szCs w:val="24"/>
        </w:rPr>
        <w:t>大姚县桂花乡皮左黑村委会皮左黑村下方的桂花河上</w:t>
      </w:r>
    </w:p>
    <w:p>
      <w:pPr>
        <w:spacing w:before="182" w:line="220" w:lineRule="auto"/>
        <w:ind w:left="522"/>
        <w:rPr>
          <w:rFonts w:ascii="宋体" w:hAnsi="宋体" w:eastAsia="宋体" w:cs="宋体"/>
          <w:sz w:val="24"/>
          <w:szCs w:val="24"/>
        </w:rPr>
      </w:pPr>
      <w:r>
        <w:rPr>
          <w:rFonts w:ascii="宋体" w:hAnsi="宋体" w:eastAsia="宋体" w:cs="宋体"/>
          <w:spacing w:val="-15"/>
          <w:sz w:val="24"/>
          <w:szCs w:val="24"/>
        </w:rPr>
        <w:t>建设单位：</w:t>
      </w:r>
      <w:r>
        <w:rPr>
          <w:rFonts w:ascii="宋体" w:hAnsi="宋体" w:eastAsia="宋体" w:cs="宋体"/>
          <w:spacing w:val="31"/>
          <w:sz w:val="24"/>
          <w:szCs w:val="24"/>
        </w:rPr>
        <w:t xml:space="preserve"> </w:t>
      </w:r>
      <w:r>
        <w:rPr>
          <w:rFonts w:ascii="宋体" w:hAnsi="宋体" w:eastAsia="宋体" w:cs="宋体"/>
          <w:spacing w:val="-15"/>
          <w:sz w:val="24"/>
          <w:szCs w:val="24"/>
        </w:rPr>
        <w:t>大姚县水务局</w:t>
      </w:r>
    </w:p>
    <w:p>
      <w:pPr>
        <w:spacing w:before="182" w:line="220" w:lineRule="auto"/>
        <w:ind w:left="522"/>
        <w:rPr>
          <w:rFonts w:ascii="宋体" w:hAnsi="宋体" w:eastAsia="宋体" w:cs="宋体"/>
          <w:sz w:val="24"/>
          <w:szCs w:val="24"/>
        </w:rPr>
      </w:pPr>
      <w:r>
        <w:rPr>
          <w:rFonts w:ascii="宋体" w:hAnsi="宋体" w:eastAsia="宋体" w:cs="宋体"/>
          <w:spacing w:val="-2"/>
          <w:sz w:val="24"/>
          <w:szCs w:val="24"/>
        </w:rPr>
        <w:t>建设性质：新建</w:t>
      </w:r>
    </w:p>
    <w:p>
      <w:pPr>
        <w:spacing w:before="180" w:line="220" w:lineRule="auto"/>
        <w:ind w:left="522"/>
        <w:rPr>
          <w:rFonts w:ascii="宋体" w:hAnsi="宋体" w:eastAsia="宋体" w:cs="宋体"/>
          <w:sz w:val="24"/>
          <w:szCs w:val="24"/>
        </w:rPr>
      </w:pPr>
      <w:r>
        <w:rPr>
          <w:rFonts w:ascii="宋体" w:hAnsi="宋体" w:eastAsia="宋体" w:cs="宋体"/>
          <w:spacing w:val="-13"/>
          <w:sz w:val="24"/>
          <w:szCs w:val="24"/>
        </w:rPr>
        <w:t>工程规模：</w:t>
      </w:r>
      <w:r>
        <w:rPr>
          <w:rFonts w:ascii="宋体" w:hAnsi="宋体" w:eastAsia="宋体" w:cs="宋体"/>
          <w:spacing w:val="51"/>
          <w:sz w:val="24"/>
          <w:szCs w:val="24"/>
        </w:rPr>
        <w:t xml:space="preserve"> </w:t>
      </w:r>
      <w:r>
        <w:rPr>
          <w:rFonts w:ascii="宋体" w:hAnsi="宋体" w:eastAsia="宋体" w:cs="宋体"/>
          <w:spacing w:val="-13"/>
          <w:sz w:val="24"/>
          <w:szCs w:val="24"/>
        </w:rPr>
        <w:t>中型库，完全年调节</w:t>
      </w:r>
    </w:p>
    <w:p>
      <w:pPr>
        <w:spacing w:before="180" w:line="220" w:lineRule="auto"/>
        <w:ind w:left="522"/>
        <w:rPr>
          <w:rFonts w:ascii="宋体" w:hAnsi="宋体" w:eastAsia="宋体" w:cs="宋体"/>
          <w:sz w:val="24"/>
          <w:szCs w:val="24"/>
        </w:rPr>
      </w:pPr>
      <w:r>
        <w:rPr>
          <w:rFonts w:ascii="宋体" w:hAnsi="宋体" w:eastAsia="宋体" w:cs="宋体"/>
          <w:spacing w:val="-2"/>
          <w:sz w:val="24"/>
          <w:szCs w:val="24"/>
        </w:rPr>
        <w:t>工程任务：灌溉、人畜饮用、工业</w:t>
      </w:r>
    </w:p>
    <w:p>
      <w:pPr>
        <w:spacing w:before="181" w:line="220" w:lineRule="auto"/>
        <w:ind w:left="519"/>
        <w:rPr>
          <w:rFonts w:ascii="宋体" w:hAnsi="宋体" w:eastAsia="宋体" w:cs="宋体"/>
          <w:sz w:val="24"/>
          <w:szCs w:val="24"/>
        </w:rPr>
      </w:pPr>
      <w:r>
        <w:rPr>
          <w:rFonts w:ascii="宋体" w:hAnsi="宋体" w:eastAsia="宋体" w:cs="宋体"/>
          <w:spacing w:val="-2"/>
          <w:sz w:val="24"/>
          <w:szCs w:val="24"/>
        </w:rPr>
        <w:t>计划工期：建设期</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54 </w:t>
      </w:r>
      <w:r>
        <w:rPr>
          <w:rFonts w:ascii="宋体" w:hAnsi="宋体" w:eastAsia="宋体" w:cs="宋体"/>
          <w:spacing w:val="-2"/>
          <w:sz w:val="24"/>
          <w:szCs w:val="24"/>
        </w:rPr>
        <w:t>个月</w:t>
      </w:r>
    </w:p>
    <w:p>
      <w:pPr>
        <w:spacing w:before="182" w:line="220" w:lineRule="auto"/>
        <w:ind w:left="523"/>
        <w:rPr>
          <w:rFonts w:ascii="宋体" w:hAnsi="宋体" w:eastAsia="宋体" w:cs="宋体"/>
          <w:sz w:val="24"/>
          <w:szCs w:val="24"/>
        </w:rPr>
      </w:pPr>
      <w:r>
        <w:rPr>
          <w:rFonts w:ascii="宋体" w:hAnsi="宋体" w:eastAsia="宋体" w:cs="宋体"/>
          <w:spacing w:val="-13"/>
          <w:sz w:val="24"/>
          <w:szCs w:val="24"/>
        </w:rPr>
        <w:t>项目总投资：</w:t>
      </w:r>
      <w:r>
        <w:rPr>
          <w:rFonts w:ascii="宋体" w:hAnsi="宋体" w:eastAsia="宋体" w:cs="宋体"/>
          <w:spacing w:val="66"/>
          <w:sz w:val="24"/>
          <w:szCs w:val="24"/>
        </w:rPr>
        <w:t xml:space="preserve"> </w:t>
      </w:r>
      <w:r>
        <w:rPr>
          <w:rFonts w:ascii="Times New Roman" w:hAnsi="Times New Roman" w:eastAsia="Times New Roman" w:cs="Times New Roman"/>
          <w:spacing w:val="-13"/>
          <w:sz w:val="24"/>
          <w:szCs w:val="24"/>
        </w:rPr>
        <w:t>72820.08</w:t>
      </w:r>
      <w:r>
        <w:rPr>
          <w:rFonts w:ascii="Times New Roman" w:hAnsi="Times New Roman" w:eastAsia="Times New Roman" w:cs="Times New Roman"/>
          <w:spacing w:val="15"/>
          <w:sz w:val="24"/>
          <w:szCs w:val="24"/>
        </w:rPr>
        <w:t xml:space="preserve"> </w:t>
      </w:r>
      <w:r>
        <w:rPr>
          <w:rFonts w:ascii="宋体" w:hAnsi="宋体" w:eastAsia="宋体" w:cs="宋体"/>
          <w:spacing w:val="-13"/>
          <w:sz w:val="24"/>
          <w:szCs w:val="24"/>
        </w:rPr>
        <w:t>万元</w:t>
      </w:r>
    </w:p>
    <w:p>
      <w:pPr>
        <w:spacing w:line="394" w:lineRule="auto"/>
        <w:rPr>
          <w:rFonts w:ascii="Arial"/>
          <w:sz w:val="21"/>
        </w:rPr>
      </w:pPr>
    </w:p>
    <w:p>
      <w:pPr>
        <w:pStyle w:val="2"/>
        <w:spacing w:before="79" w:line="233" w:lineRule="auto"/>
        <w:ind w:left="35"/>
        <w:outlineLvl w:val="2"/>
        <w:rPr>
          <w:sz w:val="24"/>
          <w:szCs w:val="24"/>
        </w:rPr>
      </w:pPr>
      <w:r>
        <w:rPr>
          <w:rFonts w:ascii="Times New Roman" w:hAnsi="Times New Roman" w:eastAsia="Times New Roman" w:cs="Times New Roman"/>
          <w:b/>
          <w:bCs/>
          <w:spacing w:val="-1"/>
          <w:sz w:val="24"/>
          <w:szCs w:val="24"/>
        </w:rPr>
        <w:t xml:space="preserve">2.2.2 </w:t>
      </w:r>
      <w:r>
        <w:rPr>
          <w:spacing w:val="-1"/>
          <w:sz w:val="24"/>
          <w:szCs w:val="24"/>
          <w14:textOutline w14:w="4354" w14:cap="flat" w14:cmpd="sng">
            <w14:solidFill>
              <w14:srgbClr w14:val="000000"/>
            </w14:solidFill>
            <w14:prstDash w14:val="solid"/>
            <w14:miter w14:val="0"/>
          </w14:textOutline>
        </w:rPr>
        <w:t>地理位置</w:t>
      </w:r>
    </w:p>
    <w:p>
      <w:pPr>
        <w:spacing w:before="162" w:line="467" w:lineRule="exact"/>
        <w:ind w:right="35"/>
        <w:jc w:val="right"/>
        <w:rPr>
          <w:rFonts w:ascii="宋体" w:hAnsi="宋体" w:eastAsia="宋体" w:cs="宋体"/>
          <w:sz w:val="24"/>
          <w:szCs w:val="24"/>
        </w:rPr>
      </w:pPr>
      <w:r>
        <w:rPr>
          <w:rFonts w:ascii="宋体" w:hAnsi="宋体" w:eastAsia="宋体" w:cs="宋体"/>
          <w:spacing w:val="2"/>
          <w:position w:val="17"/>
          <w:sz w:val="24"/>
          <w:szCs w:val="24"/>
        </w:rPr>
        <w:t>大姚县桂花水库工程位于金沙江一级支流万马河上游</w:t>
      </w:r>
      <w:r>
        <w:rPr>
          <w:rFonts w:ascii="宋体" w:hAnsi="宋体" w:eastAsia="宋体" w:cs="宋体"/>
          <w:spacing w:val="1"/>
          <w:position w:val="17"/>
          <w:sz w:val="24"/>
          <w:szCs w:val="24"/>
        </w:rPr>
        <w:t>支流桂花河上。水库坝址位</w:t>
      </w:r>
    </w:p>
    <w:p>
      <w:pPr>
        <w:spacing w:line="219" w:lineRule="auto"/>
        <w:ind w:left="43"/>
        <w:rPr>
          <w:rFonts w:ascii="宋体" w:hAnsi="宋体" w:eastAsia="宋体" w:cs="宋体"/>
          <w:sz w:val="24"/>
          <w:szCs w:val="24"/>
        </w:rPr>
      </w:pPr>
      <w:r>
        <w:rPr>
          <w:rFonts w:ascii="宋体" w:hAnsi="宋体" w:eastAsia="宋体" w:cs="宋体"/>
          <w:spacing w:val="-3"/>
          <w:sz w:val="24"/>
          <w:szCs w:val="24"/>
        </w:rPr>
        <w:t>于东经</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101°16′2.98″</w:t>
      </w:r>
      <w:r>
        <w:rPr>
          <w:rFonts w:ascii="宋体" w:hAnsi="宋体" w:eastAsia="宋体" w:cs="宋体"/>
          <w:spacing w:val="-3"/>
          <w:sz w:val="24"/>
          <w:szCs w:val="24"/>
        </w:rPr>
        <w:t>，北纬</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26°2′11.27″</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。水库距离大姚县城</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74km</w:t>
      </w:r>
      <w:r>
        <w:rPr>
          <w:rFonts w:ascii="宋体" w:hAnsi="宋体" w:eastAsia="宋体" w:cs="宋体"/>
          <w:spacing w:val="-3"/>
          <w:sz w:val="24"/>
          <w:szCs w:val="24"/>
        </w:rPr>
        <w:t>。</w:t>
      </w:r>
    </w:p>
    <w:p>
      <w:pPr>
        <w:spacing w:before="183" w:line="359" w:lineRule="auto"/>
        <w:ind w:left="38" w:right="30" w:firstLine="483"/>
        <w:rPr>
          <w:rFonts w:ascii="宋体" w:hAnsi="宋体" w:eastAsia="宋体" w:cs="宋体"/>
          <w:sz w:val="24"/>
          <w:szCs w:val="24"/>
        </w:rPr>
      </w:pPr>
      <w:r>
        <w:rPr>
          <w:rFonts w:ascii="宋体" w:hAnsi="宋体" w:eastAsia="宋体" w:cs="宋体"/>
          <w:spacing w:val="2"/>
          <w:sz w:val="24"/>
          <w:szCs w:val="24"/>
        </w:rPr>
        <w:t>桂花水库在北部万马河支流桂花河上建库，并</w:t>
      </w:r>
      <w:r>
        <w:rPr>
          <w:rFonts w:ascii="宋体" w:hAnsi="宋体" w:eastAsia="宋体" w:cs="宋体"/>
          <w:spacing w:val="1"/>
          <w:sz w:val="24"/>
          <w:szCs w:val="24"/>
        </w:rPr>
        <w:t>从水库下游临近左岸罗子左河引水</w:t>
      </w:r>
      <w:r>
        <w:rPr>
          <w:rFonts w:ascii="宋体" w:hAnsi="宋体" w:eastAsia="宋体" w:cs="宋体"/>
          <w:sz w:val="24"/>
          <w:szCs w:val="24"/>
        </w:rPr>
        <w:t xml:space="preserve"> </w:t>
      </w:r>
      <w:r>
        <w:rPr>
          <w:rFonts w:ascii="宋体" w:hAnsi="宋体" w:eastAsia="宋体" w:cs="宋体"/>
          <w:spacing w:val="-7"/>
          <w:sz w:val="24"/>
          <w:szCs w:val="24"/>
        </w:rPr>
        <w:t>入库， 引洪工程在桂花水库下游输水工程</w:t>
      </w:r>
      <w:r>
        <w:rPr>
          <w:rFonts w:ascii="宋体" w:hAnsi="宋体" w:eastAsia="宋体" w:cs="宋体"/>
          <w:spacing w:val="-8"/>
          <w:sz w:val="24"/>
          <w:szCs w:val="24"/>
        </w:rPr>
        <w:t>沿途经过的马茨河、六姑乍箐、昔木乍箐、见</w:t>
      </w:r>
    </w:p>
    <w:p>
      <w:pPr>
        <w:spacing w:before="1" w:line="219" w:lineRule="auto"/>
        <w:ind w:left="40"/>
        <w:rPr>
          <w:rFonts w:ascii="宋体" w:hAnsi="宋体" w:eastAsia="宋体" w:cs="宋体"/>
          <w:sz w:val="24"/>
          <w:szCs w:val="24"/>
        </w:rPr>
      </w:pPr>
      <w:r>
        <w:rPr>
          <w:rFonts w:ascii="宋体" w:hAnsi="宋体" w:eastAsia="宋体" w:cs="宋体"/>
          <w:spacing w:val="-1"/>
          <w:sz w:val="24"/>
          <w:szCs w:val="24"/>
        </w:rPr>
        <w:t>簸箐建坝引洪。输水工程起始于桂花水库终至碧么水库。</w:t>
      </w:r>
    </w:p>
    <w:p>
      <w:pPr>
        <w:spacing w:before="181" w:line="467" w:lineRule="exact"/>
        <w:ind w:right="29"/>
        <w:jc w:val="right"/>
        <w:rPr>
          <w:rFonts w:ascii="宋体" w:hAnsi="宋体" w:eastAsia="宋体" w:cs="宋体"/>
          <w:sz w:val="24"/>
          <w:szCs w:val="24"/>
        </w:rPr>
      </w:pPr>
      <w:r>
        <w:rPr>
          <w:rFonts w:ascii="宋体" w:hAnsi="宋体" w:eastAsia="宋体" w:cs="宋体"/>
          <w:spacing w:val="-5"/>
          <w:position w:val="17"/>
          <w:sz w:val="24"/>
          <w:szCs w:val="24"/>
        </w:rPr>
        <w:t>桂花水库通过输水工程与万马河支流马茨河、蜻蛉河上的者纳么河（六姑乍箐、昔</w:t>
      </w:r>
    </w:p>
    <w:p>
      <w:pPr>
        <w:spacing w:before="1" w:line="219" w:lineRule="auto"/>
        <w:ind w:left="40"/>
        <w:rPr>
          <w:rFonts w:ascii="宋体" w:hAnsi="宋体" w:eastAsia="宋体" w:cs="宋体"/>
          <w:sz w:val="24"/>
          <w:szCs w:val="24"/>
        </w:rPr>
      </w:pPr>
      <w:r>
        <w:rPr>
          <w:rFonts w:ascii="宋体" w:hAnsi="宋体" w:eastAsia="宋体" w:cs="宋体"/>
          <w:spacing w:val="-10"/>
          <w:sz w:val="24"/>
          <w:szCs w:val="24"/>
        </w:rPr>
        <w:t>木乍箐、见簸箐）</w:t>
      </w:r>
      <w:r>
        <w:rPr>
          <w:rFonts w:ascii="宋体" w:hAnsi="宋体" w:eastAsia="宋体" w:cs="宋体"/>
          <w:spacing w:val="29"/>
          <w:sz w:val="24"/>
          <w:szCs w:val="24"/>
        </w:rPr>
        <w:t xml:space="preserve"> </w:t>
      </w:r>
      <w:r>
        <w:rPr>
          <w:rFonts w:ascii="宋体" w:hAnsi="宋体" w:eastAsia="宋体" w:cs="宋体"/>
          <w:spacing w:val="-10"/>
          <w:sz w:val="24"/>
          <w:szCs w:val="24"/>
        </w:rPr>
        <w:t>连通， 与已建碧么、大罗古水库联合调度。</w:t>
      </w:r>
    </w:p>
    <w:p>
      <w:pPr>
        <w:spacing w:line="394" w:lineRule="auto"/>
        <w:rPr>
          <w:rFonts w:ascii="Arial"/>
          <w:sz w:val="21"/>
        </w:rPr>
      </w:pPr>
    </w:p>
    <w:p>
      <w:pPr>
        <w:pStyle w:val="2"/>
        <w:spacing w:before="79" w:line="232" w:lineRule="auto"/>
        <w:ind w:left="35"/>
        <w:outlineLvl w:val="2"/>
        <w:rPr>
          <w:sz w:val="24"/>
          <w:szCs w:val="24"/>
        </w:rPr>
      </w:pPr>
      <w:r>
        <w:rPr>
          <w:rFonts w:ascii="Times New Roman" w:hAnsi="Times New Roman" w:eastAsia="Times New Roman" w:cs="Times New Roman"/>
          <w:b/>
          <w:bCs/>
          <w:spacing w:val="-1"/>
          <w:sz w:val="24"/>
          <w:szCs w:val="24"/>
        </w:rPr>
        <w:t xml:space="preserve">2.2.3 </w:t>
      </w:r>
      <w:r>
        <w:rPr>
          <w:spacing w:val="-1"/>
          <w:sz w:val="24"/>
          <w:szCs w:val="24"/>
          <w14:textOutline w14:w="4354" w14:cap="flat" w14:cmpd="sng">
            <w14:solidFill>
              <w14:srgbClr w14:val="000000"/>
            </w14:solidFill>
            <w14:prstDash w14:val="solid"/>
            <w14:miter w14:val="0"/>
          </w14:textOutline>
        </w:rPr>
        <w:t>工程任务</w:t>
      </w:r>
    </w:p>
    <w:p>
      <w:pPr>
        <w:spacing w:before="164" w:line="219" w:lineRule="auto"/>
        <w:ind w:left="521"/>
        <w:rPr>
          <w:rFonts w:ascii="宋体" w:hAnsi="宋体" w:eastAsia="宋体" w:cs="宋体"/>
          <w:sz w:val="24"/>
          <w:szCs w:val="24"/>
        </w:rPr>
      </w:pPr>
      <w:r>
        <w:rPr>
          <w:rFonts w:ascii="宋体" w:hAnsi="宋体" w:eastAsia="宋体" w:cs="宋体"/>
          <w:spacing w:val="-1"/>
          <w:sz w:val="24"/>
          <w:szCs w:val="24"/>
        </w:rPr>
        <w:t>桂花水库的开发任务是：集镇、农村人畜生活供水</w:t>
      </w:r>
      <w:r>
        <w:rPr>
          <w:rFonts w:ascii="宋体" w:hAnsi="宋体" w:eastAsia="宋体" w:cs="宋体"/>
          <w:spacing w:val="-2"/>
          <w:sz w:val="24"/>
          <w:szCs w:val="24"/>
        </w:rPr>
        <w:t>、农业灌溉和工业供水。</w:t>
      </w:r>
    </w:p>
    <w:p>
      <w:pPr>
        <w:spacing w:before="183" w:line="230" w:lineRule="auto"/>
        <w:ind w:left="522"/>
        <w:rPr>
          <w:rFonts w:ascii="宋体" w:hAnsi="宋体" w:eastAsia="宋体" w:cs="宋体"/>
          <w:sz w:val="24"/>
          <w:szCs w:val="24"/>
        </w:rPr>
      </w:pPr>
      <w:r>
        <w:rPr>
          <w:rFonts w:ascii="宋体" w:hAnsi="宋体" w:eastAsia="宋体" w:cs="宋体"/>
          <w:spacing w:val="-3"/>
          <w:sz w:val="24"/>
          <w:szCs w:val="24"/>
        </w:rPr>
        <w:t>工程建成后，项目新增供水量</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1941.2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宋体" w:hAnsi="宋体" w:eastAsia="宋体" w:cs="宋体"/>
          <w:spacing w:val="-3"/>
          <w:sz w:val="24"/>
          <w:szCs w:val="24"/>
        </w:rPr>
        <w:t>³。其中集镇生活供水</w:t>
      </w:r>
      <w:r>
        <w:rPr>
          <w:rFonts w:ascii="宋体" w:hAnsi="宋体" w:eastAsia="宋体" w:cs="宋体"/>
          <w:spacing w:val="-4"/>
          <w:sz w:val="24"/>
          <w:szCs w:val="24"/>
        </w:rPr>
        <w:t>量</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10.3</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4"/>
          <w:sz w:val="24"/>
          <w:szCs w:val="24"/>
        </w:rPr>
        <w:t>m</w:t>
      </w:r>
      <w:r>
        <w:rPr>
          <w:rFonts w:ascii="宋体" w:hAnsi="宋体" w:eastAsia="宋体" w:cs="宋体"/>
          <w:spacing w:val="-4"/>
          <w:sz w:val="24"/>
          <w:szCs w:val="24"/>
        </w:rPr>
        <w:t>³,</w:t>
      </w:r>
    </w:p>
    <w:p>
      <w:pPr>
        <w:spacing w:before="167" w:line="359" w:lineRule="auto"/>
        <w:ind w:left="44" w:right="99" w:hanging="6"/>
        <w:rPr>
          <w:rFonts w:ascii="宋体" w:hAnsi="宋体" w:eastAsia="宋体" w:cs="宋体"/>
          <w:sz w:val="24"/>
          <w:szCs w:val="24"/>
        </w:rPr>
      </w:pPr>
      <w:r>
        <w:rPr>
          <w:rFonts w:ascii="宋体" w:hAnsi="宋体" w:eastAsia="宋体" w:cs="宋体"/>
          <w:spacing w:val="1"/>
          <w:sz w:val="24"/>
          <w:szCs w:val="24"/>
        </w:rPr>
        <w:t>解决集镇人口</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0.20 </w:t>
      </w:r>
      <w:r>
        <w:rPr>
          <w:rFonts w:ascii="宋体" w:hAnsi="宋体" w:eastAsia="宋体" w:cs="宋体"/>
          <w:spacing w:val="1"/>
          <w:sz w:val="24"/>
          <w:szCs w:val="24"/>
        </w:rPr>
        <w:t>万人的饮水问题；农村生活供水量</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81.3 </w:t>
      </w:r>
      <w:r>
        <w:rPr>
          <w:rFonts w:ascii="宋体" w:hAnsi="宋体" w:eastAsia="宋体" w:cs="宋体"/>
          <w:spacing w:val="1"/>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³,解决农村人口</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1.40</w:t>
      </w:r>
      <w:r>
        <w:rPr>
          <w:rFonts w:ascii="Times New Roman" w:hAnsi="Times New Roman" w:eastAsia="Times New Roman" w:cs="Times New Roman"/>
          <w:sz w:val="24"/>
          <w:szCs w:val="24"/>
        </w:rPr>
        <w:t xml:space="preserve"> </w:t>
      </w:r>
      <w:r>
        <w:rPr>
          <w:rFonts w:ascii="宋体" w:hAnsi="宋体" w:eastAsia="宋体" w:cs="宋体"/>
          <w:spacing w:val="-5"/>
          <w:sz w:val="24"/>
          <w:szCs w:val="24"/>
        </w:rPr>
        <w:t>万人、大小牲畜</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2.58</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万头的饮水问题；工业供水量</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57.7</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m</w:t>
      </w:r>
      <w:r>
        <w:rPr>
          <w:rFonts w:ascii="宋体" w:hAnsi="宋体" w:eastAsia="宋体" w:cs="宋体"/>
          <w:spacing w:val="-5"/>
          <w:sz w:val="24"/>
          <w:szCs w:val="24"/>
        </w:rPr>
        <w:t>³（桂花灌片</w:t>
      </w:r>
      <w:r>
        <w:rPr>
          <w:rFonts w:ascii="宋体" w:hAnsi="宋体" w:eastAsia="宋体" w:cs="宋体"/>
          <w:spacing w:val="-2"/>
          <w:sz w:val="24"/>
          <w:szCs w:val="24"/>
        </w:rPr>
        <w:t>）；</w:t>
      </w:r>
      <w:r>
        <w:rPr>
          <w:rFonts w:ascii="宋体" w:hAnsi="宋体" w:eastAsia="宋体" w:cs="宋体"/>
          <w:spacing w:val="-5"/>
          <w:sz w:val="24"/>
          <w:szCs w:val="24"/>
        </w:rPr>
        <w:t>农业灌</w:t>
      </w:r>
    </w:p>
    <w:p>
      <w:pPr>
        <w:spacing w:before="1" w:line="230" w:lineRule="auto"/>
        <w:ind w:left="38"/>
        <w:rPr>
          <w:rFonts w:ascii="宋体" w:hAnsi="宋体" w:eastAsia="宋体" w:cs="宋体"/>
          <w:sz w:val="24"/>
          <w:szCs w:val="24"/>
        </w:rPr>
      </w:pPr>
      <w:r>
        <w:rPr>
          <w:rFonts w:ascii="宋体" w:hAnsi="宋体" w:eastAsia="宋体" w:cs="宋体"/>
          <w:spacing w:val="1"/>
          <w:sz w:val="24"/>
          <w:szCs w:val="24"/>
        </w:rPr>
        <w:t>溉供水量</w:t>
      </w:r>
      <w:r>
        <w:rPr>
          <w:rFonts w:ascii="宋体" w:hAnsi="宋体" w:eastAsia="宋体" w:cs="宋体"/>
          <w:spacing w:val="-13"/>
          <w:sz w:val="24"/>
          <w:szCs w:val="24"/>
        </w:rPr>
        <w:t xml:space="preserve"> </w:t>
      </w:r>
      <w:r>
        <w:rPr>
          <w:rFonts w:ascii="Times New Roman" w:hAnsi="Times New Roman" w:eastAsia="Times New Roman" w:cs="Times New Roman"/>
          <w:spacing w:val="1"/>
          <w:sz w:val="24"/>
          <w:szCs w:val="24"/>
        </w:rPr>
        <w:t xml:space="preserve">1791.9 </w:t>
      </w:r>
      <w:r>
        <w:rPr>
          <w:rFonts w:ascii="宋体" w:hAnsi="宋体" w:eastAsia="宋体" w:cs="宋体"/>
          <w:spacing w:val="1"/>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³,设计灌溉面积</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3.83 </w:t>
      </w:r>
      <w:r>
        <w:rPr>
          <w:rFonts w:ascii="宋体" w:hAnsi="宋体" w:eastAsia="宋体" w:cs="宋体"/>
          <w:spacing w:val="1"/>
          <w:sz w:val="24"/>
          <w:szCs w:val="24"/>
        </w:rPr>
        <w:t>万亩（桂花灌片</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0.35 </w:t>
      </w:r>
      <w:r>
        <w:rPr>
          <w:rFonts w:ascii="宋体" w:hAnsi="宋体" w:eastAsia="宋体" w:cs="宋体"/>
          <w:spacing w:val="1"/>
          <w:sz w:val="24"/>
          <w:szCs w:val="24"/>
        </w:rPr>
        <w:t>万亩，者纳么灌片</w:t>
      </w:r>
    </w:p>
    <w:p>
      <w:pPr>
        <w:spacing w:line="230" w:lineRule="auto"/>
        <w:rPr>
          <w:rFonts w:ascii="宋体" w:hAnsi="宋体" w:eastAsia="宋体" w:cs="宋体"/>
          <w:sz w:val="24"/>
          <w:szCs w:val="24"/>
        </w:rPr>
        <w:sectPr>
          <w:headerReference r:id="rId71" w:type="default"/>
          <w:footerReference r:id="rId72" w:type="default"/>
          <w:pgSz w:w="11907" w:h="16839"/>
          <w:pgMar w:top="1298" w:right="1387" w:bottom="1374" w:left="1501" w:header="1023" w:footer="1210" w:gutter="0"/>
        </w:sectPr>
      </w:pPr>
    </w:p>
    <w:p>
      <w:pPr>
        <w:spacing w:before="156" w:line="359" w:lineRule="auto"/>
        <w:ind w:left="41" w:right="66" w:hanging="3"/>
        <w:jc w:val="both"/>
        <w:rPr>
          <w:rFonts w:ascii="宋体" w:hAnsi="宋体" w:eastAsia="宋体" w:cs="宋体"/>
          <w:sz w:val="24"/>
          <w:szCs w:val="24"/>
        </w:rPr>
      </w:pPr>
      <w:r>
        <w:rPr>
          <w:rFonts w:ascii="Times New Roman" w:hAnsi="Times New Roman" w:eastAsia="Times New Roman" w:cs="Times New Roman"/>
          <w:spacing w:val="-5"/>
          <w:sz w:val="24"/>
          <w:szCs w:val="24"/>
        </w:rPr>
        <w:t>0.21</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万亩，六苴灌片</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0.46</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万亩，新街灌片</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0.58</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万亩，金碧灌片</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2.23</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万亩</w:t>
      </w:r>
      <w:r>
        <w:rPr>
          <w:rFonts w:ascii="宋体" w:hAnsi="宋体" w:eastAsia="宋体" w:cs="宋体"/>
          <w:spacing w:val="-18"/>
          <w:sz w:val="24"/>
          <w:szCs w:val="24"/>
        </w:rPr>
        <w:t>），</w:t>
      </w:r>
      <w:r>
        <w:rPr>
          <w:rFonts w:ascii="宋体" w:hAnsi="宋体" w:eastAsia="宋体" w:cs="宋体"/>
          <w:spacing w:val="-5"/>
          <w:sz w:val="24"/>
          <w:szCs w:val="24"/>
        </w:rPr>
        <w:t>其中新增</w:t>
      </w:r>
      <w:r>
        <w:rPr>
          <w:rFonts w:ascii="宋体" w:hAnsi="宋体" w:eastAsia="宋体" w:cs="宋体"/>
          <w:sz w:val="24"/>
          <w:szCs w:val="24"/>
        </w:rPr>
        <w:t xml:space="preserve"> </w:t>
      </w:r>
      <w:r>
        <w:rPr>
          <w:rFonts w:ascii="宋体" w:hAnsi="宋体" w:eastAsia="宋体" w:cs="宋体"/>
          <w:spacing w:val="-4"/>
          <w:sz w:val="24"/>
          <w:szCs w:val="24"/>
        </w:rPr>
        <w:t>灌溉面积</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3.16</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万亩（桂花灌片、新街灌片、金碧灌</w:t>
      </w:r>
      <w:r>
        <w:rPr>
          <w:rFonts w:ascii="宋体" w:hAnsi="宋体" w:eastAsia="宋体" w:cs="宋体"/>
          <w:spacing w:val="-5"/>
          <w:sz w:val="24"/>
          <w:szCs w:val="24"/>
        </w:rPr>
        <w:t>片</w:t>
      </w:r>
      <w:r>
        <w:rPr>
          <w:rFonts w:ascii="宋体" w:hAnsi="宋体" w:eastAsia="宋体" w:cs="宋体"/>
          <w:spacing w:val="-4"/>
          <w:sz w:val="24"/>
          <w:szCs w:val="24"/>
        </w:rPr>
        <w:t>），</w:t>
      </w:r>
      <w:r>
        <w:rPr>
          <w:rFonts w:ascii="宋体" w:hAnsi="宋体" w:eastAsia="宋体" w:cs="宋体"/>
          <w:spacing w:val="-5"/>
          <w:sz w:val="24"/>
          <w:szCs w:val="24"/>
        </w:rPr>
        <w:t>改善灌溉面积</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0.67</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万亩（输</w:t>
      </w:r>
    </w:p>
    <w:p>
      <w:pPr>
        <w:spacing w:line="219" w:lineRule="auto"/>
        <w:ind w:left="42"/>
        <w:rPr>
          <w:rFonts w:ascii="宋体" w:hAnsi="宋体" w:eastAsia="宋体" w:cs="宋体"/>
          <w:sz w:val="24"/>
          <w:szCs w:val="24"/>
        </w:rPr>
      </w:pPr>
      <w:r>
        <w:rPr>
          <w:rFonts w:ascii="宋体" w:hAnsi="宋体" w:eastAsia="宋体" w:cs="宋体"/>
          <w:spacing w:val="-9"/>
          <w:sz w:val="24"/>
          <w:szCs w:val="24"/>
        </w:rPr>
        <w:t>水工程沿途的者纳么灌片和六苴灌片）。</w:t>
      </w:r>
    </w:p>
    <w:p>
      <w:pPr>
        <w:spacing w:before="181" w:line="220" w:lineRule="auto"/>
        <w:ind w:left="523"/>
        <w:rPr>
          <w:rFonts w:ascii="宋体" w:hAnsi="宋体" w:eastAsia="宋体" w:cs="宋体"/>
          <w:sz w:val="24"/>
          <w:szCs w:val="24"/>
        </w:rPr>
      </w:pPr>
      <w:r>
        <w:rPr>
          <w:rFonts w:ascii="宋体" w:hAnsi="宋体" w:eastAsia="宋体" w:cs="宋体"/>
          <w:spacing w:val="-7"/>
          <w:sz w:val="24"/>
          <w:szCs w:val="24"/>
        </w:rPr>
        <w:t>设计保证率：</w:t>
      </w:r>
    </w:p>
    <w:p>
      <w:pPr>
        <w:spacing w:before="181" w:line="359" w:lineRule="auto"/>
        <w:ind w:left="41" w:right="196" w:firstLine="478"/>
        <w:rPr>
          <w:rFonts w:ascii="宋体" w:hAnsi="宋体" w:eastAsia="宋体" w:cs="宋体"/>
          <w:sz w:val="24"/>
          <w:szCs w:val="24"/>
        </w:rPr>
      </w:pPr>
      <w:r>
        <w:rPr>
          <w:rFonts w:ascii="宋体" w:hAnsi="宋体" w:eastAsia="宋体" w:cs="宋体"/>
          <w:spacing w:val="-4"/>
          <w:sz w:val="24"/>
          <w:szCs w:val="24"/>
        </w:rPr>
        <w:t>根据《灌溉与排水工程设计规范》（</w:t>
      </w:r>
      <w:r>
        <w:rPr>
          <w:rFonts w:ascii="Times New Roman" w:hAnsi="Times New Roman" w:eastAsia="Times New Roman" w:cs="Times New Roman"/>
          <w:spacing w:val="-4"/>
          <w:sz w:val="24"/>
          <w:szCs w:val="24"/>
        </w:rPr>
        <w:t>GB50288-99</w:t>
      </w:r>
      <w:r>
        <w:rPr>
          <w:rFonts w:ascii="宋体" w:hAnsi="宋体" w:eastAsia="宋体" w:cs="宋体"/>
          <w:spacing w:val="-4"/>
          <w:sz w:val="24"/>
          <w:szCs w:val="24"/>
        </w:rPr>
        <w:t>）规定，工程所在地属</w:t>
      </w:r>
      <w:r>
        <w:rPr>
          <w:rFonts w:ascii="宋体" w:hAnsi="宋体" w:eastAsia="宋体" w:cs="宋体"/>
          <w:spacing w:val="-5"/>
          <w:sz w:val="24"/>
          <w:szCs w:val="24"/>
        </w:rPr>
        <w:t>半干旱、</w:t>
      </w:r>
      <w:r>
        <w:rPr>
          <w:rFonts w:ascii="宋体" w:hAnsi="宋体" w:eastAsia="宋体" w:cs="宋体"/>
          <w:sz w:val="24"/>
          <w:szCs w:val="24"/>
        </w:rPr>
        <w:t xml:space="preserve"> </w:t>
      </w:r>
      <w:r>
        <w:rPr>
          <w:rFonts w:ascii="宋体" w:hAnsi="宋体" w:eastAsia="宋体" w:cs="宋体"/>
          <w:spacing w:val="-1"/>
          <w:sz w:val="24"/>
          <w:szCs w:val="24"/>
        </w:rPr>
        <w:t>半湿润地区，灌区作物以旱作物为主，灌溉设计保证率为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70~80%</w:t>
      </w:r>
      <w:r>
        <w:rPr>
          <w:rFonts w:ascii="宋体" w:hAnsi="宋体" w:eastAsia="宋体" w:cs="宋体"/>
          <w:spacing w:val="-1"/>
          <w:sz w:val="24"/>
          <w:szCs w:val="24"/>
        </w:rPr>
        <w:t>，结合灌区实际情</w:t>
      </w:r>
      <w:r>
        <w:rPr>
          <w:rFonts w:ascii="宋体" w:hAnsi="宋体" w:eastAsia="宋体" w:cs="宋体"/>
          <w:sz w:val="24"/>
          <w:szCs w:val="24"/>
        </w:rPr>
        <w:t xml:space="preserve"> </w:t>
      </w:r>
      <w:r>
        <w:rPr>
          <w:rFonts w:ascii="宋体" w:hAnsi="宋体" w:eastAsia="宋体" w:cs="宋体"/>
          <w:spacing w:val="-4"/>
          <w:sz w:val="24"/>
          <w:szCs w:val="24"/>
        </w:rPr>
        <w:t xml:space="preserve">况，灌溉设计保证率取 </w:t>
      </w:r>
      <w:r>
        <w:rPr>
          <w:rFonts w:ascii="Times New Roman" w:hAnsi="Times New Roman" w:eastAsia="Times New Roman" w:cs="Times New Roman"/>
          <w:spacing w:val="-4"/>
          <w:sz w:val="24"/>
          <w:szCs w:val="24"/>
        </w:rPr>
        <w:t>P=75%</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。根据《室外给水设计划范》  （</w:t>
      </w:r>
      <w:r>
        <w:rPr>
          <w:rFonts w:ascii="Times New Roman" w:hAnsi="Times New Roman" w:eastAsia="Times New Roman" w:cs="Times New Roman"/>
          <w:spacing w:val="-4"/>
          <w:sz w:val="24"/>
          <w:szCs w:val="24"/>
        </w:rPr>
        <w:t>GB50013-2006</w:t>
      </w:r>
      <w:r>
        <w:rPr>
          <w:rFonts w:ascii="宋体" w:hAnsi="宋体" w:eastAsia="宋体" w:cs="宋体"/>
          <w:spacing w:val="-4"/>
          <w:sz w:val="24"/>
          <w:szCs w:val="24"/>
        </w:rPr>
        <w:t>）和</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《村镇供水工程设计规范》（</w:t>
      </w:r>
      <w:r>
        <w:rPr>
          <w:rFonts w:ascii="Times New Roman" w:hAnsi="Times New Roman" w:eastAsia="Times New Roman" w:cs="Times New Roman"/>
          <w:spacing w:val="-3"/>
          <w:sz w:val="24"/>
          <w:szCs w:val="24"/>
        </w:rPr>
        <w:t>SL687-2014</w:t>
      </w:r>
      <w:r>
        <w:rPr>
          <w:rFonts w:ascii="宋体" w:hAnsi="宋体" w:eastAsia="宋体" w:cs="宋体"/>
          <w:spacing w:val="-61"/>
          <w:w w:val="97"/>
          <w:sz w:val="24"/>
          <w:szCs w:val="24"/>
        </w:rPr>
        <w:t>），</w:t>
      </w:r>
      <w:r>
        <w:rPr>
          <w:rFonts w:ascii="宋体" w:hAnsi="宋体" w:eastAsia="宋体" w:cs="宋体"/>
          <w:spacing w:val="-3"/>
          <w:sz w:val="24"/>
          <w:szCs w:val="24"/>
        </w:rPr>
        <w:t>人畜饮水、工业用水供水保证</w:t>
      </w:r>
      <w:r>
        <w:rPr>
          <w:rFonts w:ascii="宋体" w:hAnsi="宋体" w:eastAsia="宋体" w:cs="宋体"/>
          <w:spacing w:val="-4"/>
          <w:sz w:val="24"/>
          <w:szCs w:val="24"/>
        </w:rPr>
        <w:t>率取</w:t>
      </w:r>
    </w:p>
    <w:p>
      <w:pPr>
        <w:spacing w:before="224" w:line="180" w:lineRule="auto"/>
        <w:ind w:left="34"/>
        <w:rPr>
          <w:rFonts w:ascii="宋体" w:hAnsi="宋体" w:eastAsia="宋体" w:cs="宋体"/>
          <w:sz w:val="24"/>
          <w:szCs w:val="24"/>
        </w:rPr>
      </w:pPr>
      <w:r>
        <w:rPr>
          <w:rFonts w:ascii="Times New Roman" w:hAnsi="Times New Roman" w:eastAsia="Times New Roman" w:cs="Times New Roman"/>
          <w:spacing w:val="-1"/>
          <w:sz w:val="24"/>
          <w:szCs w:val="24"/>
        </w:rPr>
        <w:t>P=95%</w:t>
      </w:r>
      <w:r>
        <w:rPr>
          <w:rFonts w:ascii="宋体" w:hAnsi="宋体" w:eastAsia="宋体" w:cs="宋体"/>
          <w:spacing w:val="-1"/>
          <w:sz w:val="24"/>
          <w:szCs w:val="24"/>
        </w:rPr>
        <w:t>。</w:t>
      </w:r>
    </w:p>
    <w:p>
      <w:pPr>
        <w:spacing w:line="404" w:lineRule="auto"/>
        <w:rPr>
          <w:rFonts w:ascii="Arial"/>
          <w:sz w:val="21"/>
        </w:rPr>
      </w:pPr>
    </w:p>
    <w:p>
      <w:pPr>
        <w:pStyle w:val="2"/>
        <w:spacing w:before="78" w:line="233" w:lineRule="auto"/>
        <w:ind w:left="35"/>
        <w:outlineLvl w:val="2"/>
        <w:rPr>
          <w:sz w:val="24"/>
          <w:szCs w:val="24"/>
        </w:rPr>
      </w:pPr>
      <w:r>
        <w:rPr>
          <w:rFonts w:ascii="Times New Roman" w:hAnsi="Times New Roman" w:eastAsia="Times New Roman" w:cs="Times New Roman"/>
          <w:b/>
          <w:bCs/>
          <w:spacing w:val="-1"/>
          <w:sz w:val="24"/>
          <w:szCs w:val="24"/>
        </w:rPr>
        <w:t xml:space="preserve">2.2.4 </w:t>
      </w:r>
      <w:r>
        <w:rPr>
          <w:spacing w:val="-1"/>
          <w:sz w:val="24"/>
          <w:szCs w:val="24"/>
          <w14:textOutline w14:w="4354" w14:cap="flat" w14:cmpd="sng">
            <w14:solidFill>
              <w14:srgbClr w14:val="000000"/>
            </w14:solidFill>
            <w14:prstDash w14:val="solid"/>
            <w14:miter w14:val="0"/>
          </w14:textOutline>
        </w:rPr>
        <w:t>工程规模</w:t>
      </w:r>
    </w:p>
    <w:p>
      <w:pPr>
        <w:spacing w:before="164" w:line="220" w:lineRule="auto"/>
        <w:ind w:left="52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）枢纽工程规模</w:t>
      </w:r>
    </w:p>
    <w:p>
      <w:pPr>
        <w:spacing w:before="181" w:line="359" w:lineRule="auto"/>
        <w:ind w:left="38" w:right="106" w:firstLine="483"/>
        <w:rPr>
          <w:rFonts w:ascii="宋体" w:hAnsi="宋体" w:eastAsia="宋体" w:cs="宋体"/>
          <w:sz w:val="24"/>
          <w:szCs w:val="24"/>
        </w:rPr>
      </w:pPr>
      <w:r>
        <w:rPr>
          <w:rFonts w:ascii="宋体" w:hAnsi="宋体" w:eastAsia="宋体" w:cs="宋体"/>
          <w:spacing w:val="-9"/>
          <w:sz w:val="24"/>
          <w:szCs w:val="24"/>
        </w:rPr>
        <w:t>桂花水库程为中型水库， 工程等别为Ⅲ等。</w:t>
      </w:r>
      <w:r>
        <w:rPr>
          <w:rFonts w:ascii="宋体" w:hAnsi="宋体" w:eastAsia="宋体" w:cs="宋体"/>
          <w:spacing w:val="-35"/>
          <w:sz w:val="24"/>
          <w:szCs w:val="24"/>
        </w:rPr>
        <w:t xml:space="preserve"> </w:t>
      </w:r>
      <w:r>
        <w:rPr>
          <w:rFonts w:ascii="宋体" w:hAnsi="宋体" w:eastAsia="宋体" w:cs="宋体"/>
          <w:spacing w:val="-9"/>
          <w:sz w:val="24"/>
          <w:szCs w:val="24"/>
        </w:rPr>
        <w:t>枢纽工程由挡水建筑物、 泄</w:t>
      </w:r>
      <w:r>
        <w:rPr>
          <w:rFonts w:ascii="宋体" w:hAnsi="宋体" w:eastAsia="宋体" w:cs="宋体"/>
          <w:spacing w:val="-10"/>
          <w:sz w:val="24"/>
          <w:szCs w:val="24"/>
        </w:rPr>
        <w:t>水建筑物</w:t>
      </w:r>
      <w:r>
        <w:rPr>
          <w:rFonts w:ascii="宋体" w:hAnsi="宋体" w:eastAsia="宋体" w:cs="宋体"/>
          <w:sz w:val="24"/>
          <w:szCs w:val="24"/>
        </w:rPr>
        <w:t xml:space="preserve"> </w:t>
      </w:r>
      <w:r>
        <w:rPr>
          <w:rFonts w:ascii="宋体" w:hAnsi="宋体" w:eastAsia="宋体" w:cs="宋体"/>
          <w:spacing w:val="-1"/>
          <w:sz w:val="24"/>
          <w:szCs w:val="24"/>
        </w:rPr>
        <w:t>及输水建筑物组成。挡水建筑物大坝为粘土心墙风化料坝，坝高</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93.1m</w:t>
      </w:r>
      <w:r>
        <w:rPr>
          <w:rFonts w:ascii="宋体" w:hAnsi="宋体" w:eastAsia="宋体" w:cs="宋体"/>
          <w:spacing w:val="-1"/>
          <w:sz w:val="24"/>
          <w:szCs w:val="24"/>
        </w:rPr>
        <w:t>。溢洪道为侧</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槽开敞式布置于左岸，全长</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352m</w:t>
      </w:r>
      <w:r>
        <w:rPr>
          <w:rFonts w:ascii="宋体" w:hAnsi="宋体" w:eastAsia="宋体" w:cs="宋体"/>
          <w:spacing w:val="-2"/>
          <w:sz w:val="24"/>
          <w:szCs w:val="24"/>
        </w:rPr>
        <w:t>，采用底流消能。导流输水放空隧洞布置于右岸，</w:t>
      </w:r>
    </w:p>
    <w:p>
      <w:pPr>
        <w:spacing w:before="183" w:line="219" w:lineRule="auto"/>
        <w:ind w:left="66"/>
        <w:rPr>
          <w:rFonts w:ascii="宋体" w:hAnsi="宋体" w:eastAsia="宋体" w:cs="宋体"/>
          <w:sz w:val="24"/>
          <w:szCs w:val="24"/>
        </w:rPr>
      </w:pPr>
      <w:r>
        <w:rPr>
          <w:rFonts w:ascii="宋体" w:hAnsi="宋体" w:eastAsia="宋体" w:cs="宋体"/>
          <w:spacing w:val="-1"/>
          <w:sz w:val="24"/>
          <w:szCs w:val="24"/>
        </w:rPr>
        <w:t>以“龙抬头”型式改造成输水放空隧洞，输水放空隧洞进口底板高程</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2055.</w:t>
      </w:r>
      <w:r>
        <w:rPr>
          <w:rFonts w:ascii="Times New Roman" w:hAnsi="Times New Roman" w:eastAsia="Times New Roman" w:cs="Times New Roman"/>
          <w:spacing w:val="-2"/>
          <w:sz w:val="24"/>
          <w:szCs w:val="24"/>
        </w:rPr>
        <w:t>00m</w:t>
      </w:r>
      <w:r>
        <w:rPr>
          <w:rFonts w:ascii="宋体" w:hAnsi="宋体" w:eastAsia="宋体" w:cs="宋体"/>
          <w:spacing w:val="-2"/>
          <w:sz w:val="24"/>
          <w:szCs w:val="24"/>
        </w:rPr>
        <w:t>。</w:t>
      </w:r>
    </w:p>
    <w:p>
      <w:pPr>
        <w:spacing w:before="183" w:line="233" w:lineRule="auto"/>
        <w:ind w:left="521"/>
        <w:rPr>
          <w:rFonts w:ascii="宋体" w:hAnsi="宋体" w:eastAsia="宋体" w:cs="宋体"/>
          <w:sz w:val="24"/>
          <w:szCs w:val="24"/>
        </w:rPr>
      </w:pPr>
      <w:r>
        <w:rPr>
          <w:rFonts w:ascii="宋体" w:hAnsi="宋体" w:eastAsia="宋体" w:cs="宋体"/>
          <w:spacing w:val="-2"/>
          <w:sz w:val="24"/>
          <w:szCs w:val="24"/>
        </w:rPr>
        <w:t>桂花水库正常蓄水位为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2094.15m</w:t>
      </w:r>
      <w:r>
        <w:rPr>
          <w:rFonts w:ascii="宋体" w:hAnsi="宋体" w:eastAsia="宋体" w:cs="宋体"/>
          <w:spacing w:val="-2"/>
          <w:sz w:val="24"/>
          <w:szCs w:val="24"/>
        </w:rPr>
        <w:t>，水库死水位为</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2058.80m</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，总</w:t>
      </w:r>
      <w:r>
        <w:rPr>
          <w:rFonts w:ascii="宋体" w:hAnsi="宋体" w:eastAsia="宋体" w:cs="宋体"/>
          <w:spacing w:val="-3"/>
          <w:sz w:val="24"/>
          <w:szCs w:val="24"/>
        </w:rPr>
        <w:t>库容</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1192.7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p>
    <w:p>
      <w:pPr>
        <w:spacing w:before="163" w:line="359" w:lineRule="auto"/>
        <w:ind w:left="38" w:right="147" w:hanging="7"/>
        <w:rPr>
          <w:rFonts w:ascii="宋体" w:hAnsi="宋体" w:eastAsia="宋体" w:cs="宋体"/>
          <w:sz w:val="24"/>
          <w:szCs w:val="24"/>
        </w:rPr>
      </w:pP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，兴利库容</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914.5</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，死库容</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4"/>
          <w:sz w:val="24"/>
          <w:szCs w:val="24"/>
        </w:rPr>
        <w:t>2.7</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4"/>
          <w:szCs w:val="24"/>
        </w:rPr>
        <w:t>。设计洪水标准为</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 xml:space="preserve">50 </w:t>
      </w:r>
      <w:r>
        <w:rPr>
          <w:rFonts w:ascii="宋体" w:hAnsi="宋体" w:eastAsia="宋体" w:cs="宋体"/>
          <w:spacing w:val="-4"/>
          <w:sz w:val="24"/>
          <w:szCs w:val="24"/>
        </w:rPr>
        <w:t>年一遇洪水，校</w:t>
      </w:r>
      <w:r>
        <w:rPr>
          <w:rFonts w:ascii="宋体" w:hAnsi="宋体" w:eastAsia="宋体" w:cs="宋体"/>
          <w:sz w:val="24"/>
          <w:szCs w:val="24"/>
        </w:rPr>
        <w:t xml:space="preserve"> </w:t>
      </w:r>
      <w:r>
        <w:rPr>
          <w:rFonts w:ascii="宋体" w:hAnsi="宋体" w:eastAsia="宋体" w:cs="宋体"/>
          <w:spacing w:val="-5"/>
          <w:sz w:val="24"/>
          <w:szCs w:val="24"/>
        </w:rPr>
        <w:t>核洪水标准为</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 xml:space="preserve">1000 </w:t>
      </w:r>
      <w:r>
        <w:rPr>
          <w:rFonts w:ascii="宋体" w:hAnsi="宋体" w:eastAsia="宋体" w:cs="宋体"/>
          <w:spacing w:val="-5"/>
          <w:sz w:val="24"/>
          <w:szCs w:val="24"/>
        </w:rPr>
        <w:t>年一遇洪水，工程下游无防洪要求。</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 xml:space="preserve">50 </w:t>
      </w:r>
      <w:r>
        <w:rPr>
          <w:rFonts w:ascii="宋体" w:hAnsi="宋体" w:eastAsia="宋体" w:cs="宋体"/>
          <w:spacing w:val="-5"/>
          <w:sz w:val="24"/>
          <w:szCs w:val="24"/>
        </w:rPr>
        <w:t>年一遇设计洪水最高洪水</w:t>
      </w:r>
      <w:r>
        <w:rPr>
          <w:rFonts w:ascii="宋体" w:hAnsi="宋体" w:eastAsia="宋体" w:cs="宋体"/>
          <w:sz w:val="24"/>
          <w:szCs w:val="24"/>
        </w:rPr>
        <w:t xml:space="preserve"> </w:t>
      </w:r>
      <w:r>
        <w:rPr>
          <w:rFonts w:ascii="宋体" w:hAnsi="宋体" w:eastAsia="宋体" w:cs="宋体"/>
          <w:spacing w:val="-1"/>
          <w:sz w:val="24"/>
          <w:szCs w:val="24"/>
        </w:rPr>
        <w:t>位</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2096.21m </w:t>
      </w:r>
      <w:r>
        <w:rPr>
          <w:rFonts w:ascii="宋体" w:hAnsi="宋体" w:eastAsia="宋体" w:cs="宋体"/>
          <w:spacing w:val="-1"/>
          <w:sz w:val="24"/>
          <w:szCs w:val="24"/>
        </w:rPr>
        <w:t>洪峰流量</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223m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1000 </w:t>
      </w:r>
      <w:r>
        <w:rPr>
          <w:rFonts w:ascii="宋体" w:hAnsi="宋体" w:eastAsia="宋体" w:cs="宋体"/>
          <w:spacing w:val="-1"/>
          <w:sz w:val="24"/>
          <w:szCs w:val="24"/>
        </w:rPr>
        <w:t>年一遇校核洪水最高洪水位</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2097.09m</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，洪峰流</w:t>
      </w:r>
    </w:p>
    <w:p>
      <w:pPr>
        <w:spacing w:line="239" w:lineRule="auto"/>
        <w:ind w:left="39"/>
        <w:rPr>
          <w:rFonts w:ascii="宋体" w:hAnsi="宋体" w:eastAsia="宋体" w:cs="宋体"/>
          <w:sz w:val="24"/>
          <w:szCs w:val="24"/>
        </w:rPr>
      </w:pPr>
      <w:r>
        <w:rPr>
          <w:rFonts w:ascii="宋体" w:hAnsi="宋体" w:eastAsia="宋体" w:cs="宋体"/>
          <w:spacing w:val="-2"/>
          <w:sz w:val="24"/>
          <w:szCs w:val="24"/>
        </w:rPr>
        <w:t>量</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981m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p>
    <w:p>
      <w:pPr>
        <w:spacing w:before="156"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）引水工程规模</w:t>
      </w:r>
    </w:p>
    <w:p>
      <w:pPr>
        <w:spacing w:before="181" w:line="467" w:lineRule="exact"/>
        <w:ind w:left="521"/>
        <w:rPr>
          <w:rFonts w:ascii="宋体" w:hAnsi="宋体" w:eastAsia="宋体" w:cs="宋体"/>
          <w:sz w:val="24"/>
          <w:szCs w:val="24"/>
        </w:rPr>
      </w:pPr>
      <w:r>
        <w:rPr>
          <w:rFonts w:ascii="宋体" w:hAnsi="宋体" w:eastAsia="宋体" w:cs="宋体"/>
          <w:position w:val="17"/>
          <w:sz w:val="24"/>
          <w:szCs w:val="24"/>
        </w:rPr>
        <w:t>桂花水库引水区罗子左河取水坝位于桂花河支流罗子</w:t>
      </w:r>
      <w:r>
        <w:rPr>
          <w:rFonts w:ascii="宋体" w:hAnsi="宋体" w:eastAsia="宋体" w:cs="宋体"/>
          <w:spacing w:val="-1"/>
          <w:position w:val="17"/>
          <w:sz w:val="24"/>
          <w:szCs w:val="24"/>
        </w:rPr>
        <w:t>左河上，引水工程由取水坝</w:t>
      </w:r>
    </w:p>
    <w:p>
      <w:pPr>
        <w:spacing w:before="1" w:line="219" w:lineRule="auto"/>
        <w:ind w:left="40"/>
        <w:rPr>
          <w:rFonts w:ascii="宋体" w:hAnsi="宋体" w:eastAsia="宋体" w:cs="宋体"/>
          <w:sz w:val="24"/>
          <w:szCs w:val="24"/>
        </w:rPr>
      </w:pPr>
      <w:r>
        <w:rPr>
          <w:rFonts w:ascii="宋体" w:hAnsi="宋体" w:eastAsia="宋体" w:cs="宋体"/>
          <w:spacing w:val="-6"/>
          <w:sz w:val="24"/>
          <w:szCs w:val="24"/>
        </w:rPr>
        <w:t>和引水渠组成。</w:t>
      </w:r>
    </w:p>
    <w:p>
      <w:pPr>
        <w:spacing w:before="181" w:line="359" w:lineRule="auto"/>
        <w:ind w:left="42" w:right="79" w:firstLine="479"/>
        <w:rPr>
          <w:rFonts w:ascii="宋体" w:hAnsi="宋体" w:eastAsia="宋体" w:cs="宋体"/>
          <w:sz w:val="24"/>
          <w:szCs w:val="24"/>
        </w:rPr>
      </w:pPr>
      <w:r>
        <w:rPr>
          <w:rFonts w:ascii="宋体" w:hAnsi="宋体" w:eastAsia="宋体" w:cs="宋体"/>
          <w:spacing w:val="-1"/>
          <w:sz w:val="24"/>
          <w:szCs w:val="24"/>
        </w:rPr>
        <w:t>罗子左河取水坝为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C20 </w:t>
      </w:r>
      <w:r>
        <w:rPr>
          <w:rFonts w:ascii="宋体" w:hAnsi="宋体" w:eastAsia="宋体" w:cs="宋体"/>
          <w:spacing w:val="-1"/>
          <w:sz w:val="24"/>
          <w:szCs w:val="24"/>
        </w:rPr>
        <w:t>埋石混凝土重力坝，由溢流坝、冲砂闸及取水闸组成，最</w:t>
      </w:r>
      <w:r>
        <w:rPr>
          <w:rFonts w:ascii="宋体" w:hAnsi="宋体" w:eastAsia="宋体" w:cs="宋体"/>
          <w:sz w:val="24"/>
          <w:szCs w:val="24"/>
        </w:rPr>
        <w:t xml:space="preserve"> </w:t>
      </w:r>
      <w:r>
        <w:rPr>
          <w:rFonts w:ascii="宋体" w:hAnsi="宋体" w:eastAsia="宋体" w:cs="宋体"/>
          <w:spacing w:val="-3"/>
          <w:sz w:val="24"/>
          <w:szCs w:val="24"/>
        </w:rPr>
        <w:t>大坝高</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5.82m</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。引水渠总长</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4.8km</w:t>
      </w:r>
      <w:r>
        <w:rPr>
          <w:rFonts w:ascii="宋体" w:hAnsi="宋体" w:eastAsia="宋体" w:cs="宋体"/>
          <w:spacing w:val="-3"/>
          <w:sz w:val="24"/>
          <w:szCs w:val="24"/>
        </w:rPr>
        <w:t>（其中渠道长</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4.6km</w:t>
      </w:r>
      <w:r>
        <w:rPr>
          <w:rFonts w:ascii="宋体" w:hAnsi="宋体" w:eastAsia="宋体" w:cs="宋体"/>
          <w:spacing w:val="-3"/>
          <w:sz w:val="24"/>
          <w:szCs w:val="24"/>
        </w:rPr>
        <w:t xml:space="preserve">，引洪隧洞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条长</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0.2</w:t>
      </w:r>
      <w:r>
        <w:rPr>
          <w:rFonts w:ascii="Times New Roman" w:hAnsi="Times New Roman" w:eastAsia="Times New Roman" w:cs="Times New Roman"/>
          <w:spacing w:val="-4"/>
          <w:sz w:val="24"/>
          <w:szCs w:val="24"/>
        </w:rPr>
        <w:t>m</w:t>
      </w:r>
      <w:r>
        <w:rPr>
          <w:rFonts w:ascii="宋体" w:hAnsi="宋体" w:eastAsia="宋体" w:cs="宋体"/>
          <w:spacing w:val="-61"/>
          <w:w w:val="97"/>
          <w:sz w:val="24"/>
          <w:szCs w:val="24"/>
        </w:rPr>
        <w:t>），</w:t>
      </w:r>
      <w:r>
        <w:rPr>
          <w:rFonts w:ascii="宋体" w:hAnsi="宋体" w:eastAsia="宋体" w:cs="宋体"/>
          <w:spacing w:val="-4"/>
          <w:sz w:val="24"/>
          <w:szCs w:val="24"/>
        </w:rPr>
        <w:t>引水</w:t>
      </w:r>
    </w:p>
    <w:p>
      <w:pPr>
        <w:spacing w:before="1" w:line="234" w:lineRule="auto"/>
        <w:ind w:left="43"/>
        <w:rPr>
          <w:rFonts w:ascii="宋体" w:hAnsi="宋体" w:eastAsia="宋体" w:cs="宋体"/>
          <w:sz w:val="24"/>
          <w:szCs w:val="24"/>
        </w:rPr>
      </w:pPr>
      <w:r>
        <w:rPr>
          <w:rFonts w:ascii="宋体" w:hAnsi="宋体" w:eastAsia="宋体" w:cs="宋体"/>
          <w:spacing w:val="-1"/>
          <w:sz w:val="24"/>
          <w:szCs w:val="24"/>
        </w:rPr>
        <w:t>设计流量</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pPr>
        <w:spacing w:before="163"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）引洪工程规模</w:t>
      </w:r>
    </w:p>
    <w:p>
      <w:pPr>
        <w:spacing w:before="181" w:line="467" w:lineRule="exact"/>
        <w:ind w:left="518"/>
        <w:rPr>
          <w:rFonts w:ascii="宋体" w:hAnsi="宋体" w:eastAsia="宋体" w:cs="宋体"/>
          <w:sz w:val="24"/>
          <w:szCs w:val="24"/>
        </w:rPr>
      </w:pPr>
      <w:r>
        <w:rPr>
          <w:rFonts w:ascii="宋体" w:hAnsi="宋体" w:eastAsia="宋体" w:cs="宋体"/>
          <w:position w:val="17"/>
          <w:sz w:val="24"/>
          <w:szCs w:val="24"/>
        </w:rPr>
        <w:t>输水工程沿线的桂花河支流马茨河和者纳么河支流的六姑乍</w:t>
      </w:r>
      <w:r>
        <w:rPr>
          <w:rFonts w:ascii="宋体" w:hAnsi="宋体" w:eastAsia="宋体" w:cs="宋体"/>
          <w:spacing w:val="-1"/>
          <w:position w:val="17"/>
          <w:sz w:val="24"/>
          <w:szCs w:val="24"/>
        </w:rPr>
        <w:t>箐、昔木乍箐、见簸</w:t>
      </w:r>
    </w:p>
    <w:p>
      <w:pPr>
        <w:spacing w:before="1" w:line="219" w:lineRule="auto"/>
        <w:ind w:left="44"/>
        <w:rPr>
          <w:rFonts w:ascii="宋体" w:hAnsi="宋体" w:eastAsia="宋体" w:cs="宋体"/>
          <w:sz w:val="24"/>
          <w:szCs w:val="24"/>
        </w:rPr>
      </w:pPr>
      <w:r>
        <w:rPr>
          <w:rFonts w:ascii="宋体" w:hAnsi="宋体" w:eastAsia="宋体" w:cs="宋体"/>
          <w:spacing w:val="-1"/>
          <w:sz w:val="24"/>
          <w:szCs w:val="24"/>
        </w:rPr>
        <w:t>箐建坝，并分别通过</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条引洪沟将洪水引入输水工程。由</w:t>
      </w:r>
      <w:r>
        <w:rPr>
          <w:rFonts w:ascii="宋体" w:hAnsi="宋体" w:eastAsia="宋体" w:cs="宋体"/>
          <w:spacing w:val="-2"/>
          <w:sz w:val="24"/>
          <w:szCs w:val="24"/>
        </w:rPr>
        <w:t>输水工程输水至碧么水库、</w:t>
      </w:r>
    </w:p>
    <w:p>
      <w:pPr>
        <w:spacing w:line="219" w:lineRule="auto"/>
        <w:rPr>
          <w:rFonts w:ascii="宋体" w:hAnsi="宋体" w:eastAsia="宋体" w:cs="宋体"/>
          <w:sz w:val="24"/>
          <w:szCs w:val="24"/>
        </w:rPr>
        <w:sectPr>
          <w:footerReference r:id="rId73" w:type="default"/>
          <w:pgSz w:w="11907" w:h="16839"/>
          <w:pgMar w:top="1298" w:right="1387" w:bottom="1374" w:left="1501" w:header="1023" w:footer="1210" w:gutter="0"/>
        </w:sectPr>
      </w:pPr>
    </w:p>
    <w:p>
      <w:pPr>
        <w:spacing w:before="155" w:line="220" w:lineRule="auto"/>
        <w:ind w:left="42"/>
        <w:rPr>
          <w:rFonts w:ascii="宋体" w:hAnsi="宋体" w:eastAsia="宋体" w:cs="宋体"/>
          <w:sz w:val="24"/>
          <w:szCs w:val="24"/>
        </w:rPr>
      </w:pPr>
      <w:r>
        <w:rPr>
          <w:rFonts w:ascii="宋体" w:hAnsi="宋体" w:eastAsia="宋体" w:cs="宋体"/>
          <w:spacing w:val="-6"/>
          <w:sz w:val="24"/>
          <w:szCs w:val="24"/>
        </w:rPr>
        <w:t>大罗古水库调蓄。</w:t>
      </w:r>
    </w:p>
    <w:p>
      <w:pPr>
        <w:spacing w:before="181" w:line="467" w:lineRule="exact"/>
        <w:ind w:left="514"/>
        <w:rPr>
          <w:rFonts w:ascii="宋体" w:hAnsi="宋体" w:eastAsia="宋体" w:cs="宋体"/>
          <w:sz w:val="24"/>
          <w:szCs w:val="24"/>
        </w:rPr>
      </w:pPr>
      <w:r>
        <w:rPr>
          <w:rFonts w:ascii="Times New Roman" w:hAnsi="Times New Roman" w:eastAsia="Times New Roman" w:cs="Times New Roman"/>
          <w:spacing w:val="-1"/>
          <w:position w:val="17"/>
          <w:sz w:val="24"/>
          <w:szCs w:val="24"/>
        </w:rPr>
        <w:t xml:space="preserve">4 </w:t>
      </w:r>
      <w:r>
        <w:rPr>
          <w:rFonts w:ascii="宋体" w:hAnsi="宋体" w:eastAsia="宋体" w:cs="宋体"/>
          <w:spacing w:val="-1"/>
          <w:position w:val="17"/>
          <w:sz w:val="24"/>
          <w:szCs w:val="24"/>
        </w:rPr>
        <w:t>座取水坝坝型为</w:t>
      </w:r>
      <w:r>
        <w:rPr>
          <w:rFonts w:ascii="宋体" w:hAnsi="宋体" w:eastAsia="宋体" w:cs="宋体"/>
          <w:spacing w:val="-35"/>
          <w:position w:val="17"/>
          <w:sz w:val="24"/>
          <w:szCs w:val="24"/>
        </w:rPr>
        <w:t xml:space="preserve"> </w:t>
      </w:r>
      <w:r>
        <w:rPr>
          <w:rFonts w:ascii="Times New Roman" w:hAnsi="Times New Roman" w:eastAsia="Times New Roman" w:cs="Times New Roman"/>
          <w:spacing w:val="-1"/>
          <w:position w:val="17"/>
          <w:sz w:val="24"/>
          <w:szCs w:val="24"/>
        </w:rPr>
        <w:t xml:space="preserve">C20 </w:t>
      </w:r>
      <w:r>
        <w:rPr>
          <w:rFonts w:ascii="宋体" w:hAnsi="宋体" w:eastAsia="宋体" w:cs="宋体"/>
          <w:spacing w:val="-1"/>
          <w:position w:val="17"/>
          <w:sz w:val="24"/>
          <w:szCs w:val="24"/>
        </w:rPr>
        <w:t>埋石混凝土重力坝，由溢流坝、冲砂闸及取水闸组成，均</w:t>
      </w:r>
    </w:p>
    <w:p>
      <w:pPr>
        <w:spacing w:before="1" w:line="218" w:lineRule="auto"/>
        <w:ind w:left="38"/>
        <w:rPr>
          <w:rFonts w:ascii="宋体" w:hAnsi="宋体" w:eastAsia="宋体" w:cs="宋体"/>
          <w:sz w:val="24"/>
          <w:szCs w:val="24"/>
        </w:rPr>
      </w:pPr>
      <w:r>
        <w:rPr>
          <w:rFonts w:ascii="宋体" w:hAnsi="宋体" w:eastAsia="宋体" w:cs="宋体"/>
          <w:spacing w:val="-3"/>
          <w:sz w:val="24"/>
          <w:szCs w:val="24"/>
        </w:rPr>
        <w:t>采用折线实用堰，最大坝高分别为</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6.1m</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5.5m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5.7m</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7.0m</w:t>
      </w:r>
      <w:r>
        <w:rPr>
          <w:rFonts w:ascii="宋体" w:hAnsi="宋体" w:eastAsia="宋体" w:cs="宋体"/>
          <w:spacing w:val="-3"/>
          <w:sz w:val="24"/>
          <w:szCs w:val="24"/>
        </w:rPr>
        <w:t>。</w:t>
      </w:r>
    </w:p>
    <w:p>
      <w:pPr>
        <w:spacing w:before="182" w:line="509" w:lineRule="exact"/>
        <w:ind w:left="527"/>
        <w:rPr>
          <w:rFonts w:ascii="宋体" w:hAnsi="宋体" w:eastAsia="宋体" w:cs="宋体"/>
          <w:sz w:val="24"/>
          <w:szCs w:val="24"/>
        </w:rPr>
      </w:pPr>
      <w:r>
        <w:rPr>
          <w:rFonts w:ascii="宋体" w:hAnsi="宋体" w:eastAsia="宋体" w:cs="宋体"/>
          <w:spacing w:val="-1"/>
          <w:position w:val="20"/>
          <w:sz w:val="24"/>
          <w:szCs w:val="24"/>
        </w:rPr>
        <w:t>马茨河、六姑乍箐、昔木乍箐、见簸箐</w:t>
      </w:r>
      <w:r>
        <w:rPr>
          <w:rFonts w:ascii="宋体" w:hAnsi="宋体" w:eastAsia="宋体" w:cs="宋体"/>
          <w:spacing w:val="-44"/>
          <w:position w:val="20"/>
          <w:sz w:val="24"/>
          <w:szCs w:val="24"/>
        </w:rPr>
        <w:t xml:space="preserve"> </w:t>
      </w:r>
      <w:r>
        <w:rPr>
          <w:rFonts w:ascii="Times New Roman" w:hAnsi="Times New Roman" w:eastAsia="Times New Roman" w:cs="Times New Roman"/>
          <w:spacing w:val="-1"/>
          <w:position w:val="20"/>
          <w:sz w:val="24"/>
          <w:szCs w:val="24"/>
        </w:rPr>
        <w:t xml:space="preserve">4 </w:t>
      </w:r>
      <w:r>
        <w:rPr>
          <w:rFonts w:ascii="宋体" w:hAnsi="宋体" w:eastAsia="宋体" w:cs="宋体"/>
          <w:spacing w:val="-1"/>
          <w:position w:val="20"/>
          <w:sz w:val="24"/>
          <w:szCs w:val="24"/>
        </w:rPr>
        <w:t>条引洪沟均为暗渠，长度分别为</w:t>
      </w:r>
    </w:p>
    <w:p>
      <w:pPr>
        <w:spacing w:line="183" w:lineRule="auto"/>
        <w:ind w:left="39"/>
        <w:rPr>
          <w:rFonts w:ascii="宋体" w:hAnsi="宋体" w:eastAsia="宋体" w:cs="宋体"/>
          <w:sz w:val="24"/>
          <w:szCs w:val="24"/>
        </w:rPr>
      </w:pPr>
      <w:r>
        <w:rPr>
          <w:rFonts w:ascii="Times New Roman" w:hAnsi="Times New Roman" w:eastAsia="Times New Roman" w:cs="Times New Roman"/>
          <w:spacing w:val="-5"/>
          <w:sz w:val="24"/>
          <w:szCs w:val="24"/>
        </w:rPr>
        <w:t>310m</w:t>
      </w:r>
      <w:r>
        <w:rPr>
          <w:rFonts w:ascii="Times New Roman" w:hAnsi="Times New Roman" w:eastAsia="Times New Roman" w:cs="Times New Roman"/>
          <w:spacing w:val="-2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180m</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210m</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515m</w:t>
      </w:r>
      <w:r>
        <w:rPr>
          <w:rFonts w:ascii="宋体" w:hAnsi="宋体" w:eastAsia="宋体" w:cs="宋体"/>
          <w:spacing w:val="-5"/>
          <w:sz w:val="24"/>
          <w:szCs w:val="24"/>
        </w:rPr>
        <w:t>。</w:t>
      </w:r>
    </w:p>
    <w:p>
      <w:pPr>
        <w:spacing w:before="186" w:line="467" w:lineRule="exact"/>
        <w:ind w:left="527"/>
        <w:rPr>
          <w:rFonts w:ascii="宋体" w:hAnsi="宋体" w:eastAsia="宋体" w:cs="宋体"/>
          <w:sz w:val="24"/>
          <w:szCs w:val="24"/>
        </w:rPr>
      </w:pPr>
      <w:r>
        <w:rPr>
          <w:rFonts w:ascii="宋体" w:hAnsi="宋体" w:eastAsia="宋体" w:cs="宋体"/>
          <w:spacing w:val="-2"/>
          <w:position w:val="16"/>
          <w:sz w:val="24"/>
          <w:szCs w:val="24"/>
        </w:rPr>
        <w:t>马茨河引洪区引洪设计流量</w:t>
      </w:r>
      <w:r>
        <w:rPr>
          <w:rFonts w:ascii="宋体" w:hAnsi="宋体" w:eastAsia="宋体" w:cs="宋体"/>
          <w:spacing w:val="-26"/>
          <w:position w:val="16"/>
          <w:sz w:val="24"/>
          <w:szCs w:val="24"/>
        </w:rPr>
        <w:t xml:space="preserve"> </w:t>
      </w:r>
      <w:r>
        <w:rPr>
          <w:rFonts w:ascii="Times New Roman" w:hAnsi="Times New Roman" w:eastAsia="Times New Roman" w:cs="Times New Roman"/>
          <w:spacing w:val="-2"/>
          <w:position w:val="16"/>
          <w:sz w:val="24"/>
          <w:szCs w:val="24"/>
        </w:rPr>
        <w:t>1.6m</w:t>
      </w:r>
      <w:r>
        <w:rPr>
          <w:rFonts w:ascii="Times New Roman" w:hAnsi="Times New Roman" w:eastAsia="Times New Roman" w:cs="Times New Roman"/>
          <w:spacing w:val="-2"/>
          <w:position w:val="24"/>
          <w:sz w:val="15"/>
          <w:szCs w:val="15"/>
        </w:rPr>
        <w:t>3</w:t>
      </w:r>
      <w:r>
        <w:rPr>
          <w:rFonts w:ascii="Times New Roman" w:hAnsi="Times New Roman" w:eastAsia="Times New Roman" w:cs="Times New Roman"/>
          <w:spacing w:val="-2"/>
          <w:position w:val="16"/>
          <w:sz w:val="24"/>
          <w:szCs w:val="24"/>
        </w:rPr>
        <w:t>/s</w:t>
      </w:r>
      <w:r>
        <w:rPr>
          <w:rFonts w:ascii="宋体" w:hAnsi="宋体" w:eastAsia="宋体" w:cs="宋体"/>
          <w:spacing w:val="-2"/>
          <w:position w:val="16"/>
          <w:sz w:val="24"/>
          <w:szCs w:val="24"/>
        </w:rPr>
        <w:t>，六姑乍箐引洪区引洪设计流量</w:t>
      </w:r>
      <w:r>
        <w:rPr>
          <w:rFonts w:ascii="宋体" w:hAnsi="宋体" w:eastAsia="宋体" w:cs="宋体"/>
          <w:spacing w:val="-22"/>
          <w:position w:val="16"/>
          <w:sz w:val="24"/>
          <w:szCs w:val="24"/>
        </w:rPr>
        <w:t xml:space="preserve"> </w:t>
      </w:r>
      <w:r>
        <w:rPr>
          <w:rFonts w:ascii="Times New Roman" w:hAnsi="Times New Roman" w:eastAsia="Times New Roman" w:cs="Times New Roman"/>
          <w:spacing w:val="-2"/>
          <w:position w:val="16"/>
          <w:sz w:val="24"/>
          <w:szCs w:val="24"/>
        </w:rPr>
        <w:t>1.1m</w:t>
      </w:r>
      <w:r>
        <w:rPr>
          <w:rFonts w:ascii="Times New Roman" w:hAnsi="Times New Roman" w:eastAsia="Times New Roman" w:cs="Times New Roman"/>
          <w:spacing w:val="-2"/>
          <w:position w:val="24"/>
          <w:sz w:val="15"/>
          <w:szCs w:val="15"/>
        </w:rPr>
        <w:t>3</w:t>
      </w:r>
      <w:r>
        <w:rPr>
          <w:rFonts w:ascii="Times New Roman" w:hAnsi="Times New Roman" w:eastAsia="Times New Roman" w:cs="Times New Roman"/>
          <w:spacing w:val="-2"/>
          <w:position w:val="16"/>
          <w:sz w:val="24"/>
          <w:szCs w:val="24"/>
        </w:rPr>
        <w:t>/s</w:t>
      </w:r>
      <w:r>
        <w:rPr>
          <w:rFonts w:ascii="宋体" w:hAnsi="宋体" w:eastAsia="宋体" w:cs="宋体"/>
          <w:spacing w:val="-2"/>
          <w:position w:val="16"/>
          <w:sz w:val="24"/>
          <w:szCs w:val="24"/>
        </w:rPr>
        <w:t>，昔</w:t>
      </w:r>
    </w:p>
    <w:p>
      <w:pPr>
        <w:spacing w:line="233" w:lineRule="auto"/>
        <w:ind w:left="40"/>
        <w:rPr>
          <w:rFonts w:ascii="宋体" w:hAnsi="宋体" w:eastAsia="宋体" w:cs="宋体"/>
          <w:sz w:val="24"/>
          <w:szCs w:val="24"/>
        </w:rPr>
      </w:pPr>
      <w:r>
        <w:rPr>
          <w:rFonts w:ascii="宋体" w:hAnsi="宋体" w:eastAsia="宋体" w:cs="宋体"/>
          <w:spacing w:val="-1"/>
          <w:sz w:val="24"/>
          <w:szCs w:val="24"/>
        </w:rPr>
        <w:t>木乍箐引洪区引洪设计流量</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0.8m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，见簸箐引洪区引洪设计流量</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1.7</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p>
    <w:p>
      <w:pPr>
        <w:spacing w:before="163"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）输水工程规模</w:t>
      </w:r>
    </w:p>
    <w:p>
      <w:pPr>
        <w:spacing w:before="181" w:line="467" w:lineRule="exact"/>
        <w:ind w:left="518"/>
        <w:rPr>
          <w:rFonts w:ascii="宋体" w:hAnsi="宋体" w:eastAsia="宋体" w:cs="宋体"/>
          <w:sz w:val="24"/>
          <w:szCs w:val="24"/>
        </w:rPr>
      </w:pPr>
      <w:r>
        <w:rPr>
          <w:rFonts w:ascii="宋体" w:hAnsi="宋体" w:eastAsia="宋体" w:cs="宋体"/>
          <w:spacing w:val="-4"/>
          <w:position w:val="17"/>
          <w:sz w:val="24"/>
          <w:szCs w:val="24"/>
        </w:rPr>
        <w:t>输水工程全长</w:t>
      </w:r>
      <w:r>
        <w:rPr>
          <w:rFonts w:ascii="宋体" w:hAnsi="宋体" w:eastAsia="宋体" w:cs="宋体"/>
          <w:spacing w:val="-54"/>
          <w:position w:val="17"/>
          <w:sz w:val="24"/>
          <w:szCs w:val="24"/>
        </w:rPr>
        <w:t xml:space="preserve"> </w:t>
      </w:r>
      <w:r>
        <w:rPr>
          <w:rFonts w:ascii="Times New Roman" w:hAnsi="Times New Roman" w:eastAsia="Times New Roman" w:cs="Times New Roman"/>
          <w:spacing w:val="-4"/>
          <w:position w:val="17"/>
          <w:sz w:val="24"/>
          <w:szCs w:val="24"/>
        </w:rPr>
        <w:t>26.944km</w:t>
      </w:r>
      <w:r>
        <w:rPr>
          <w:rFonts w:ascii="宋体" w:hAnsi="宋体" w:eastAsia="宋体" w:cs="宋体"/>
          <w:spacing w:val="-4"/>
          <w:position w:val="17"/>
          <w:sz w:val="24"/>
          <w:szCs w:val="24"/>
        </w:rPr>
        <w:t xml:space="preserve">，其中：管道长 </w:t>
      </w:r>
      <w:r>
        <w:rPr>
          <w:rFonts w:ascii="Times New Roman" w:hAnsi="Times New Roman" w:eastAsia="Times New Roman" w:cs="Times New Roman"/>
          <w:spacing w:val="-4"/>
          <w:position w:val="17"/>
          <w:sz w:val="24"/>
          <w:szCs w:val="24"/>
        </w:rPr>
        <w:t>1</w:t>
      </w:r>
      <w:r>
        <w:rPr>
          <w:rFonts w:ascii="Times New Roman" w:hAnsi="Times New Roman" w:eastAsia="Times New Roman" w:cs="Times New Roman"/>
          <w:spacing w:val="-5"/>
          <w:position w:val="17"/>
          <w:sz w:val="24"/>
          <w:szCs w:val="24"/>
        </w:rPr>
        <w:t>.435km</w:t>
      </w:r>
      <w:r>
        <w:rPr>
          <w:rFonts w:ascii="宋体" w:hAnsi="宋体" w:eastAsia="宋体" w:cs="宋体"/>
          <w:spacing w:val="-5"/>
          <w:position w:val="17"/>
          <w:sz w:val="24"/>
          <w:szCs w:val="24"/>
        </w:rPr>
        <w:t>，渠道长</w:t>
      </w:r>
      <w:r>
        <w:rPr>
          <w:rFonts w:ascii="宋体" w:hAnsi="宋体" w:eastAsia="宋体" w:cs="宋体"/>
          <w:spacing w:val="-34"/>
          <w:position w:val="17"/>
          <w:sz w:val="24"/>
          <w:szCs w:val="24"/>
        </w:rPr>
        <w:t xml:space="preserve"> </w:t>
      </w:r>
      <w:r>
        <w:rPr>
          <w:rFonts w:ascii="Times New Roman" w:hAnsi="Times New Roman" w:eastAsia="Times New Roman" w:cs="Times New Roman"/>
          <w:spacing w:val="-5"/>
          <w:position w:val="17"/>
          <w:sz w:val="24"/>
          <w:szCs w:val="24"/>
        </w:rPr>
        <w:t>8.975km</w:t>
      </w:r>
      <w:r>
        <w:rPr>
          <w:rFonts w:ascii="宋体" w:hAnsi="宋体" w:eastAsia="宋体" w:cs="宋体"/>
          <w:spacing w:val="-5"/>
          <w:position w:val="17"/>
          <w:sz w:val="24"/>
          <w:szCs w:val="24"/>
        </w:rPr>
        <w:t>（暗渠</w:t>
      </w:r>
      <w:r>
        <w:rPr>
          <w:rFonts w:ascii="宋体" w:hAnsi="宋体" w:eastAsia="宋体" w:cs="宋体"/>
          <w:spacing w:val="-16"/>
          <w:position w:val="17"/>
          <w:sz w:val="24"/>
          <w:szCs w:val="24"/>
        </w:rPr>
        <w:t>），</w:t>
      </w:r>
      <w:r>
        <w:rPr>
          <w:rFonts w:ascii="宋体" w:hAnsi="宋体" w:eastAsia="宋体" w:cs="宋体"/>
          <w:spacing w:val="-5"/>
          <w:position w:val="17"/>
          <w:sz w:val="24"/>
          <w:szCs w:val="24"/>
        </w:rPr>
        <w:t>隧</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洞</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条总长</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15.084km</w:t>
      </w:r>
      <w:r>
        <w:rPr>
          <w:rFonts w:ascii="宋体" w:hAnsi="宋体" w:eastAsia="宋体" w:cs="宋体"/>
          <w:spacing w:val="-3"/>
          <w:sz w:val="24"/>
          <w:szCs w:val="24"/>
        </w:rPr>
        <w:t>，倒虹吸</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8 </w:t>
      </w:r>
      <w:r>
        <w:rPr>
          <w:rFonts w:ascii="宋体" w:hAnsi="宋体" w:eastAsia="宋体" w:cs="宋体"/>
          <w:spacing w:val="-3"/>
          <w:sz w:val="24"/>
          <w:szCs w:val="24"/>
        </w:rPr>
        <w:t>座总长</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1.382km</w:t>
      </w:r>
      <w:r>
        <w:rPr>
          <w:rFonts w:ascii="宋体" w:hAnsi="宋体" w:eastAsia="宋体" w:cs="宋体"/>
          <w:spacing w:val="-3"/>
          <w:sz w:val="24"/>
          <w:szCs w:val="24"/>
        </w:rPr>
        <w:t>，渡槽</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座总长</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68m</w:t>
      </w:r>
      <w:r>
        <w:rPr>
          <w:rFonts w:ascii="宋体" w:hAnsi="宋体" w:eastAsia="宋体" w:cs="宋体"/>
          <w:spacing w:val="-3"/>
          <w:sz w:val="24"/>
          <w:szCs w:val="24"/>
        </w:rPr>
        <w:t>。</w:t>
      </w:r>
    </w:p>
    <w:p>
      <w:pPr>
        <w:spacing w:before="183" w:line="359" w:lineRule="auto"/>
        <w:ind w:left="37" w:right="187" w:firstLine="487"/>
        <w:rPr>
          <w:rFonts w:ascii="宋体" w:hAnsi="宋体" w:eastAsia="宋体" w:cs="宋体"/>
          <w:sz w:val="24"/>
          <w:szCs w:val="24"/>
        </w:rPr>
      </w:pPr>
      <w:r>
        <w:rPr>
          <w:rFonts w:ascii="宋体" w:hAnsi="宋体" w:eastAsia="宋体" w:cs="宋体"/>
          <w:spacing w:val="-1"/>
          <w:sz w:val="24"/>
          <w:szCs w:val="24"/>
        </w:rPr>
        <w:t>管道为有压管道，设计流量为</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1.2m</w:t>
      </w:r>
      <w:r>
        <w:rPr>
          <w:rFonts w:ascii="宋体" w:hAnsi="宋体" w:eastAsia="宋体" w:cs="宋体"/>
          <w:spacing w:val="-1"/>
          <w:sz w:val="24"/>
          <w:szCs w:val="24"/>
        </w:rPr>
        <w:t>³</w:t>
      </w:r>
      <w:r>
        <w:rPr>
          <w:rFonts w:ascii="Times New Roman" w:hAnsi="Times New Roman" w:eastAsia="Times New Roman" w:cs="Times New Roman"/>
          <w:spacing w:val="-1"/>
          <w:sz w:val="24"/>
          <w:szCs w:val="24"/>
        </w:rPr>
        <w:t>/s</w:t>
      </w:r>
      <w:r>
        <w:rPr>
          <w:rFonts w:ascii="宋体" w:hAnsi="宋体" w:eastAsia="宋体" w:cs="宋体"/>
          <w:spacing w:val="-1"/>
          <w:sz w:val="24"/>
          <w:szCs w:val="24"/>
        </w:rPr>
        <w:t>，管材材质为螺旋钢管，</w:t>
      </w:r>
      <w:r>
        <w:rPr>
          <w:rFonts w:ascii="宋体" w:hAnsi="宋体" w:eastAsia="宋体" w:cs="宋体"/>
          <w:spacing w:val="-2"/>
          <w:sz w:val="24"/>
          <w:szCs w:val="24"/>
        </w:rPr>
        <w:t>管径为</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DN1000</w:t>
      </w:r>
      <w:r>
        <w:rPr>
          <w:rFonts w:ascii="Times New Roman" w:hAnsi="Times New Roman" w:eastAsia="Times New Roman" w:cs="Times New Roman"/>
          <w:sz w:val="24"/>
          <w:szCs w:val="24"/>
        </w:rPr>
        <w:t xml:space="preserve">   </w:t>
      </w:r>
      <w:r>
        <w:rPr>
          <w:rFonts w:ascii="宋体" w:hAnsi="宋体" w:eastAsia="宋体" w:cs="宋体"/>
          <w:spacing w:val="-1"/>
          <w:sz w:val="24"/>
          <w:szCs w:val="24"/>
        </w:rPr>
        <w:t>渠道设计流量</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1.2</w:t>
      </w:r>
      <w:r>
        <w:rPr>
          <w:rFonts w:ascii="宋体" w:hAnsi="宋体" w:eastAsia="宋体" w:cs="宋体"/>
          <w:spacing w:val="-1"/>
          <w:sz w:val="24"/>
          <w:szCs w:val="24"/>
        </w:rPr>
        <w:t>～</w:t>
      </w:r>
      <w:r>
        <w:rPr>
          <w:rFonts w:ascii="Times New Roman" w:hAnsi="Times New Roman" w:eastAsia="Times New Roman" w:cs="Times New Roman"/>
          <w:spacing w:val="-1"/>
          <w:sz w:val="24"/>
          <w:szCs w:val="24"/>
        </w:rPr>
        <w:t>5.32m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，边墙、底板采用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C20 </w:t>
      </w:r>
      <w:r>
        <w:rPr>
          <w:rFonts w:ascii="宋体" w:hAnsi="宋体" w:eastAsia="宋体" w:cs="宋体"/>
          <w:spacing w:val="-1"/>
          <w:sz w:val="24"/>
          <w:szCs w:val="24"/>
        </w:rPr>
        <w:t>混凝土衬砌，顶板采用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C25</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钢筋</w:t>
      </w:r>
      <w:r>
        <w:rPr>
          <w:rFonts w:ascii="宋体" w:hAnsi="宋体" w:eastAsia="宋体" w:cs="宋体"/>
          <w:sz w:val="24"/>
          <w:szCs w:val="24"/>
        </w:rPr>
        <w:t xml:space="preserve"> </w:t>
      </w:r>
      <w:r>
        <w:rPr>
          <w:rFonts w:ascii="宋体" w:hAnsi="宋体" w:eastAsia="宋体" w:cs="宋体"/>
          <w:spacing w:val="-8"/>
          <w:sz w:val="24"/>
          <w:szCs w:val="24"/>
        </w:rPr>
        <w:t>混凝土盖板。</w:t>
      </w:r>
      <w:r>
        <w:rPr>
          <w:rFonts w:ascii="宋体" w:hAnsi="宋体" w:eastAsia="宋体" w:cs="宋体"/>
          <w:spacing w:val="44"/>
          <w:sz w:val="24"/>
          <w:szCs w:val="24"/>
        </w:rPr>
        <w:t xml:space="preserve"> </w:t>
      </w:r>
      <w:r>
        <w:rPr>
          <w:rFonts w:ascii="Times New Roman" w:hAnsi="Times New Roman" w:eastAsia="Times New Roman" w:cs="Times New Roman"/>
          <w:spacing w:val="-8"/>
          <w:sz w:val="24"/>
          <w:szCs w:val="24"/>
        </w:rPr>
        <w:t xml:space="preserve">6 </w:t>
      </w:r>
      <w:r>
        <w:rPr>
          <w:rFonts w:ascii="宋体" w:hAnsi="宋体" w:eastAsia="宋体" w:cs="宋体"/>
          <w:spacing w:val="-8"/>
          <w:sz w:val="24"/>
          <w:szCs w:val="24"/>
        </w:rPr>
        <w:t>条隧洞均采用</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 xml:space="preserve">C25 </w:t>
      </w:r>
      <w:r>
        <w:rPr>
          <w:rFonts w:ascii="宋体" w:hAnsi="宋体" w:eastAsia="宋体" w:cs="宋体"/>
          <w:spacing w:val="-8"/>
          <w:sz w:val="24"/>
          <w:szCs w:val="24"/>
        </w:rPr>
        <w:t>钢</w:t>
      </w:r>
      <w:r>
        <w:rPr>
          <w:rFonts w:ascii="宋体" w:hAnsi="宋体" w:eastAsia="宋体" w:cs="宋体"/>
          <w:spacing w:val="-9"/>
          <w:sz w:val="24"/>
          <w:szCs w:val="24"/>
        </w:rPr>
        <w:t>筋混凝土衬砌。</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 xml:space="preserve">8 </w:t>
      </w:r>
      <w:r>
        <w:rPr>
          <w:rFonts w:ascii="宋体" w:hAnsi="宋体" w:eastAsia="宋体" w:cs="宋体"/>
          <w:spacing w:val="-9"/>
          <w:sz w:val="24"/>
          <w:szCs w:val="24"/>
        </w:rPr>
        <w:t>座倒虹吸为单管布设，进口设</w:t>
      </w:r>
      <w:r>
        <w:rPr>
          <w:rFonts w:ascii="宋体" w:hAnsi="宋体" w:eastAsia="宋体" w:cs="宋体"/>
          <w:sz w:val="24"/>
          <w:szCs w:val="24"/>
        </w:rPr>
        <w:t xml:space="preserve"> </w:t>
      </w:r>
      <w:r>
        <w:rPr>
          <w:rFonts w:ascii="宋体" w:hAnsi="宋体" w:eastAsia="宋体" w:cs="宋体"/>
          <w:spacing w:val="-1"/>
          <w:sz w:val="24"/>
          <w:szCs w:val="24"/>
        </w:rPr>
        <w:t>置进水前池，闸门，出口设置出水池，低处设置排空阀，倒虹吸跨沟箐除</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倒虹吸 （马茨河）采用混凝土埋管外，其余均采用管桥通过，</w:t>
      </w:r>
      <w:r>
        <w:rPr>
          <w:rFonts w:ascii="宋体" w:hAnsi="宋体" w:eastAsia="宋体" w:cs="宋体"/>
          <w:spacing w:val="-2"/>
          <w:sz w:val="24"/>
          <w:szCs w:val="24"/>
        </w:rPr>
        <w:t>设计流量为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1.2</w:t>
      </w:r>
      <w:r>
        <w:rPr>
          <w:rFonts w:ascii="宋体" w:hAnsi="宋体" w:eastAsia="宋体" w:cs="宋体"/>
          <w:spacing w:val="-2"/>
          <w:sz w:val="24"/>
          <w:szCs w:val="24"/>
        </w:rPr>
        <w:t>～</w:t>
      </w:r>
      <w:r>
        <w:rPr>
          <w:rFonts w:ascii="Times New Roman" w:hAnsi="Times New Roman" w:eastAsia="Times New Roman" w:cs="Times New Roman"/>
          <w:spacing w:val="-2"/>
          <w:sz w:val="24"/>
          <w:szCs w:val="24"/>
        </w:rPr>
        <w:t>5.32m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8 </w:t>
      </w:r>
      <w:r>
        <w:rPr>
          <w:rFonts w:ascii="宋体" w:hAnsi="宋体" w:eastAsia="宋体" w:cs="宋体"/>
          <w:spacing w:val="-4"/>
          <w:sz w:val="24"/>
          <w:szCs w:val="24"/>
        </w:rPr>
        <w:t>座倒虹吸长分别为</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78m</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120m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190m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195m</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220m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163m</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5"/>
          <w:sz w:val="24"/>
          <w:szCs w:val="24"/>
        </w:rPr>
        <w:t>325m</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91m</w:t>
      </w:r>
      <w:r>
        <w:rPr>
          <w:rFonts w:ascii="宋体" w:hAnsi="宋体" w:eastAsia="宋体" w:cs="宋体"/>
          <w:spacing w:val="-5"/>
          <w:sz w:val="24"/>
          <w:szCs w:val="24"/>
        </w:rPr>
        <w:t>，管径分</w:t>
      </w:r>
    </w:p>
    <w:p>
      <w:pPr>
        <w:spacing w:before="1" w:line="220" w:lineRule="auto"/>
        <w:ind w:left="42"/>
        <w:rPr>
          <w:rFonts w:ascii="宋体" w:hAnsi="宋体" w:eastAsia="宋体" w:cs="宋体"/>
          <w:sz w:val="24"/>
          <w:szCs w:val="24"/>
        </w:rPr>
      </w:pPr>
      <w:r>
        <w:rPr>
          <w:rFonts w:ascii="宋体" w:hAnsi="宋体" w:eastAsia="宋体" w:cs="宋体"/>
          <w:spacing w:val="-4"/>
          <w:sz w:val="24"/>
          <w:szCs w:val="24"/>
        </w:rPr>
        <w:t>别为</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1000mm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1200mm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1600mm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1600mm</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1600mm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1600mm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1600mm</w:t>
      </w:r>
      <w:r>
        <w:rPr>
          <w:rFonts w:ascii="宋体" w:hAnsi="宋体" w:eastAsia="宋体" w:cs="宋体"/>
          <w:spacing w:val="-4"/>
          <w:sz w:val="24"/>
          <w:szCs w:val="24"/>
        </w:rPr>
        <w:t>、</w:t>
      </w:r>
    </w:p>
    <w:p>
      <w:pPr>
        <w:spacing w:before="180" w:line="467" w:lineRule="exact"/>
        <w:ind w:left="58"/>
        <w:rPr>
          <w:rFonts w:ascii="宋体" w:hAnsi="宋体" w:eastAsia="宋体" w:cs="宋体"/>
          <w:sz w:val="24"/>
          <w:szCs w:val="24"/>
        </w:rPr>
      </w:pPr>
      <w:r>
        <w:rPr>
          <w:rFonts w:ascii="Times New Roman" w:hAnsi="Times New Roman" w:eastAsia="Times New Roman" w:cs="Times New Roman"/>
          <w:spacing w:val="-3"/>
          <w:position w:val="16"/>
          <w:sz w:val="24"/>
          <w:szCs w:val="24"/>
        </w:rPr>
        <w:t>1600mm</w:t>
      </w:r>
      <w:r>
        <w:rPr>
          <w:rFonts w:ascii="Times New Roman" w:hAnsi="Times New Roman" w:eastAsia="Times New Roman" w:cs="Times New Roman"/>
          <w:spacing w:val="-26"/>
          <w:position w:val="16"/>
          <w:sz w:val="24"/>
          <w:szCs w:val="24"/>
        </w:rPr>
        <w:t xml:space="preserve"> </w:t>
      </w:r>
      <w:r>
        <w:rPr>
          <w:rFonts w:ascii="宋体" w:hAnsi="宋体" w:eastAsia="宋体" w:cs="宋体"/>
          <w:spacing w:val="-3"/>
          <w:position w:val="16"/>
          <w:sz w:val="24"/>
          <w:szCs w:val="24"/>
        </w:rPr>
        <w:t>。</w:t>
      </w:r>
      <w:r>
        <w:rPr>
          <w:rFonts w:ascii="Times New Roman" w:hAnsi="Times New Roman" w:eastAsia="Times New Roman" w:cs="Times New Roman"/>
          <w:spacing w:val="-3"/>
          <w:position w:val="16"/>
          <w:sz w:val="24"/>
          <w:szCs w:val="24"/>
        </w:rPr>
        <w:t xml:space="preserve">2 </w:t>
      </w:r>
      <w:r>
        <w:rPr>
          <w:rFonts w:ascii="宋体" w:hAnsi="宋体" w:eastAsia="宋体" w:cs="宋体"/>
          <w:spacing w:val="-3"/>
          <w:position w:val="16"/>
          <w:sz w:val="24"/>
          <w:szCs w:val="24"/>
        </w:rPr>
        <w:t>座渡槽长分别为</w:t>
      </w:r>
      <w:r>
        <w:rPr>
          <w:rFonts w:ascii="宋体" w:hAnsi="宋体" w:eastAsia="宋体" w:cs="宋体"/>
          <w:spacing w:val="-56"/>
          <w:position w:val="16"/>
          <w:sz w:val="24"/>
          <w:szCs w:val="24"/>
        </w:rPr>
        <w:t xml:space="preserve"> </w:t>
      </w:r>
      <w:r>
        <w:rPr>
          <w:rFonts w:ascii="Times New Roman" w:hAnsi="Times New Roman" w:eastAsia="Times New Roman" w:cs="Times New Roman"/>
          <w:spacing w:val="-3"/>
          <w:position w:val="16"/>
          <w:sz w:val="24"/>
          <w:szCs w:val="24"/>
        </w:rPr>
        <w:t>43m</w:t>
      </w:r>
      <w:r>
        <w:rPr>
          <w:rFonts w:ascii="Times New Roman" w:hAnsi="Times New Roman" w:eastAsia="Times New Roman" w:cs="Times New Roman"/>
          <w:spacing w:val="-33"/>
          <w:position w:val="16"/>
          <w:sz w:val="24"/>
          <w:szCs w:val="24"/>
        </w:rPr>
        <w:t xml:space="preserve"> </w:t>
      </w:r>
      <w:r>
        <w:rPr>
          <w:rFonts w:ascii="宋体" w:hAnsi="宋体" w:eastAsia="宋体" w:cs="宋体"/>
          <w:spacing w:val="-3"/>
          <w:position w:val="16"/>
          <w:sz w:val="24"/>
          <w:szCs w:val="24"/>
        </w:rPr>
        <w:t>、</w:t>
      </w:r>
      <w:r>
        <w:rPr>
          <w:rFonts w:ascii="Times New Roman" w:hAnsi="Times New Roman" w:eastAsia="Times New Roman" w:cs="Times New Roman"/>
          <w:spacing w:val="-3"/>
          <w:position w:val="16"/>
          <w:sz w:val="24"/>
          <w:szCs w:val="24"/>
        </w:rPr>
        <w:t>25m</w:t>
      </w:r>
      <w:r>
        <w:rPr>
          <w:rFonts w:ascii="宋体" w:hAnsi="宋体" w:eastAsia="宋体" w:cs="宋体"/>
          <w:spacing w:val="-3"/>
          <w:position w:val="16"/>
          <w:sz w:val="24"/>
          <w:szCs w:val="24"/>
        </w:rPr>
        <w:t xml:space="preserve">，采用简支梁渡槽，设计流量为 </w:t>
      </w:r>
      <w:r>
        <w:rPr>
          <w:rFonts w:ascii="Times New Roman" w:hAnsi="Times New Roman" w:eastAsia="Times New Roman" w:cs="Times New Roman"/>
          <w:spacing w:val="-3"/>
          <w:position w:val="16"/>
          <w:sz w:val="24"/>
          <w:szCs w:val="24"/>
        </w:rPr>
        <w:t>1.7</w:t>
      </w:r>
      <w:r>
        <w:rPr>
          <w:rFonts w:ascii="Times New Roman" w:hAnsi="Times New Roman" w:eastAsia="Times New Roman" w:cs="Times New Roman"/>
          <w:spacing w:val="-4"/>
          <w:position w:val="16"/>
          <w:sz w:val="24"/>
          <w:szCs w:val="24"/>
        </w:rPr>
        <w:t>2m</w:t>
      </w:r>
      <w:r>
        <w:rPr>
          <w:rFonts w:ascii="Times New Roman" w:hAnsi="Times New Roman" w:eastAsia="Times New Roman" w:cs="Times New Roman"/>
          <w:spacing w:val="-4"/>
          <w:position w:val="24"/>
          <w:sz w:val="15"/>
          <w:szCs w:val="15"/>
        </w:rPr>
        <w:t>3</w:t>
      </w:r>
      <w:r>
        <w:rPr>
          <w:rFonts w:ascii="Times New Roman" w:hAnsi="Times New Roman" w:eastAsia="Times New Roman" w:cs="Times New Roman"/>
          <w:spacing w:val="-4"/>
          <w:position w:val="16"/>
          <w:sz w:val="24"/>
          <w:szCs w:val="24"/>
        </w:rPr>
        <w:t>/s</w:t>
      </w:r>
      <w:r>
        <w:rPr>
          <w:rFonts w:ascii="宋体" w:hAnsi="宋体" w:eastAsia="宋体" w:cs="宋体"/>
          <w:spacing w:val="-4"/>
          <w:position w:val="16"/>
          <w:sz w:val="24"/>
          <w:szCs w:val="24"/>
        </w:rPr>
        <w:t>、</w:t>
      </w:r>
    </w:p>
    <w:p>
      <w:pPr>
        <w:spacing w:before="1" w:line="232" w:lineRule="auto"/>
        <w:ind w:left="35"/>
        <w:rPr>
          <w:rFonts w:ascii="宋体" w:hAnsi="宋体" w:eastAsia="宋体" w:cs="宋体"/>
          <w:sz w:val="24"/>
          <w:szCs w:val="24"/>
        </w:rPr>
      </w:pPr>
      <w:r>
        <w:rPr>
          <w:rFonts w:ascii="Times New Roman" w:hAnsi="Times New Roman" w:eastAsia="Times New Roman" w:cs="Times New Roman"/>
          <w:spacing w:val="-2"/>
          <w:sz w:val="24"/>
          <w:szCs w:val="24"/>
        </w:rPr>
        <w:t>2.82m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/s</w:t>
      </w:r>
      <w:r>
        <w:rPr>
          <w:rFonts w:ascii="宋体" w:hAnsi="宋体" w:eastAsia="宋体" w:cs="宋体"/>
          <w:spacing w:val="-2"/>
          <w:sz w:val="24"/>
          <w:szCs w:val="24"/>
        </w:rPr>
        <w:t>，采用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C25 </w:t>
      </w:r>
      <w:r>
        <w:rPr>
          <w:rFonts w:ascii="宋体" w:hAnsi="宋体" w:eastAsia="宋体" w:cs="宋体"/>
          <w:spacing w:val="-2"/>
          <w:sz w:val="24"/>
          <w:szCs w:val="24"/>
        </w:rPr>
        <w:t>钢筋混凝土衬砌。</w:t>
      </w:r>
    </w:p>
    <w:p>
      <w:pPr>
        <w:spacing w:before="164" w:line="220" w:lineRule="auto"/>
        <w:ind w:left="522"/>
        <w:rPr>
          <w:rFonts w:ascii="宋体" w:hAnsi="宋体" w:eastAsia="宋体" w:cs="宋体"/>
          <w:sz w:val="24"/>
          <w:szCs w:val="24"/>
        </w:rPr>
      </w:pPr>
      <w:r>
        <w:rPr>
          <w:rFonts w:ascii="宋体" w:hAnsi="宋体" w:eastAsia="宋体" w:cs="宋体"/>
          <w:spacing w:val="-4"/>
          <w:sz w:val="24"/>
          <w:szCs w:val="24"/>
        </w:rPr>
        <w:t>工程特性见表</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2.2-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pPr>
        <w:spacing w:before="176" w:line="233" w:lineRule="auto"/>
        <w:ind w:left="3112"/>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4"/>
          <w:sz w:val="21"/>
          <w:szCs w:val="21"/>
        </w:rPr>
        <w:t xml:space="preserve"> </w:t>
      </w:r>
      <w:r>
        <w:rPr>
          <w:rFonts w:ascii="Times New Roman" w:hAnsi="Times New Roman" w:eastAsia="Times New Roman" w:cs="Times New Roman"/>
          <w:b/>
          <w:bCs/>
          <w:spacing w:val="-1"/>
          <w:sz w:val="21"/>
          <w:szCs w:val="21"/>
        </w:rPr>
        <w:t xml:space="preserve">2.2-1    </w:t>
      </w:r>
      <w:r>
        <w:rPr>
          <w:rFonts w:ascii="宋体" w:hAnsi="宋体" w:eastAsia="宋体" w:cs="宋体"/>
          <w:spacing w:val="-1"/>
          <w:sz w:val="21"/>
          <w:szCs w:val="21"/>
          <w14:textOutline w14:w="3810" w14:cap="flat" w14:cmpd="sng">
            <w14:solidFill>
              <w14:srgbClr w14:val="000000"/>
            </w14:solidFill>
            <w14:prstDash w14:val="solid"/>
            <w14:miter w14:val="0"/>
          </w14:textOutline>
        </w:rPr>
        <w:t>桂花水库工程特性表</w:t>
      </w:r>
    </w:p>
    <w:p>
      <w:pPr>
        <w:spacing w:line="112" w:lineRule="exact"/>
      </w:pPr>
    </w:p>
    <w:tbl>
      <w:tblPr>
        <w:tblStyle w:val="5"/>
        <w:tblW w:w="8958"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2686"/>
        <w:gridCol w:w="702"/>
        <w:gridCol w:w="1451"/>
        <w:gridCol w:w="3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29" w:type="dxa"/>
            <w:tcBorders>
              <w:top w:val="single" w:color="000000" w:sz="12" w:space="0"/>
              <w:left w:val="nil"/>
            </w:tcBorders>
            <w:textDirection w:val="tbRlV"/>
            <w:vAlign w:val="top"/>
          </w:tcPr>
          <w:p>
            <w:pPr>
              <w:spacing w:before="206" w:line="202" w:lineRule="auto"/>
              <w:ind w:left="30"/>
              <w:rPr>
                <w:rFonts w:ascii="仿宋" w:hAnsi="仿宋" w:eastAsia="仿宋" w:cs="仿宋"/>
                <w:sz w:val="21"/>
                <w:szCs w:val="21"/>
              </w:rPr>
            </w:pPr>
            <w:r>
              <w:rPr>
                <w:rFonts w:ascii="仿宋" w:hAnsi="仿宋" w:eastAsia="仿宋" w:cs="仿宋"/>
                <w:spacing w:val="31"/>
                <w:sz w:val="21"/>
                <w:szCs w:val="21"/>
                <w14:textOutline w14:w="3810" w14:cap="flat" w14:cmpd="sng">
                  <w14:solidFill>
                    <w14:srgbClr w14:val="000000"/>
                  </w14:solidFill>
                  <w14:prstDash w14:val="solid"/>
                  <w14:miter w14:val="0"/>
                </w14:textOutline>
              </w:rPr>
              <w:t>序号</w:t>
            </w:r>
          </w:p>
        </w:tc>
        <w:tc>
          <w:tcPr>
            <w:tcW w:w="2686" w:type="dxa"/>
            <w:tcBorders>
              <w:top w:val="single" w:color="000000" w:sz="12" w:space="0"/>
            </w:tcBorders>
            <w:vAlign w:val="top"/>
          </w:tcPr>
          <w:p>
            <w:pPr>
              <w:spacing w:before="167" w:line="217" w:lineRule="auto"/>
              <w:ind w:left="114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702" w:type="dxa"/>
            <w:tcBorders>
              <w:top w:val="single" w:color="000000" w:sz="12" w:space="0"/>
            </w:tcBorders>
            <w:vAlign w:val="top"/>
          </w:tcPr>
          <w:p>
            <w:pPr>
              <w:spacing w:before="167" w:line="217" w:lineRule="auto"/>
              <w:ind w:left="154"/>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单位</w:t>
            </w:r>
          </w:p>
        </w:tc>
        <w:tc>
          <w:tcPr>
            <w:tcW w:w="1451" w:type="dxa"/>
            <w:tcBorders>
              <w:top w:val="single" w:color="000000" w:sz="12" w:space="0"/>
            </w:tcBorders>
            <w:vAlign w:val="top"/>
          </w:tcPr>
          <w:p>
            <w:pPr>
              <w:spacing w:before="167" w:line="220" w:lineRule="auto"/>
              <w:ind w:left="52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3490" w:type="dxa"/>
            <w:tcBorders>
              <w:top w:val="single" w:color="000000" w:sz="12" w:space="0"/>
              <w:right w:val="nil"/>
            </w:tcBorders>
            <w:vAlign w:val="top"/>
          </w:tcPr>
          <w:p>
            <w:pPr>
              <w:spacing w:before="167" w:line="220" w:lineRule="auto"/>
              <w:ind w:left="154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bl>
    <w:p>
      <w:pPr>
        <w:spacing w:before="32" w:line="212" w:lineRule="auto"/>
        <w:ind w:left="155"/>
        <w:outlineLvl w:val="3"/>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一、水文</w:t>
      </w:r>
    </w:p>
    <w:tbl>
      <w:tblPr>
        <w:tblStyle w:val="5"/>
        <w:tblW w:w="8972"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2685"/>
        <w:gridCol w:w="702"/>
        <w:gridCol w:w="1451"/>
        <w:gridCol w:w="3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9" w:hRule="atLeast"/>
        </w:trPr>
        <w:tc>
          <w:tcPr>
            <w:tcW w:w="644" w:type="dxa"/>
            <w:tcBorders>
              <w:left w:val="nil"/>
            </w:tcBorders>
            <w:vAlign w:val="top"/>
          </w:tcPr>
          <w:p>
            <w:pPr>
              <w:pStyle w:val="6"/>
              <w:spacing w:before="71" w:line="188" w:lineRule="auto"/>
              <w:ind w:left="221"/>
            </w:pPr>
            <w:r>
              <w:rPr>
                <w:spacing w:val="-8"/>
              </w:rPr>
              <w:t>1.1</w:t>
            </w:r>
          </w:p>
        </w:tc>
        <w:tc>
          <w:tcPr>
            <w:tcW w:w="2685" w:type="dxa"/>
            <w:vAlign w:val="top"/>
          </w:tcPr>
          <w:p>
            <w:pPr>
              <w:spacing w:before="35" w:line="205" w:lineRule="auto"/>
              <w:ind w:left="118"/>
              <w:rPr>
                <w:rFonts w:ascii="仿宋" w:hAnsi="仿宋" w:eastAsia="仿宋" w:cs="仿宋"/>
                <w:sz w:val="21"/>
                <w:szCs w:val="21"/>
              </w:rPr>
            </w:pPr>
            <w:r>
              <w:rPr>
                <w:rFonts w:ascii="仿宋" w:hAnsi="仿宋" w:eastAsia="仿宋" w:cs="仿宋"/>
                <w:spacing w:val="-3"/>
                <w:sz w:val="21"/>
                <w:szCs w:val="21"/>
              </w:rPr>
              <w:t>流域面积</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644" w:type="dxa"/>
            <w:tcBorders>
              <w:left w:val="nil"/>
            </w:tcBorders>
            <w:vAlign w:val="top"/>
          </w:tcPr>
          <w:p>
            <w:pPr>
              <w:rPr>
                <w:rFonts w:ascii="Arial"/>
                <w:sz w:val="21"/>
              </w:rPr>
            </w:pPr>
          </w:p>
        </w:tc>
        <w:tc>
          <w:tcPr>
            <w:tcW w:w="2685" w:type="dxa"/>
            <w:vAlign w:val="top"/>
          </w:tcPr>
          <w:p>
            <w:pPr>
              <w:spacing w:before="33" w:line="203" w:lineRule="auto"/>
              <w:ind w:left="118"/>
              <w:rPr>
                <w:rFonts w:ascii="仿宋" w:hAnsi="仿宋" w:eastAsia="仿宋" w:cs="仿宋"/>
                <w:sz w:val="21"/>
                <w:szCs w:val="21"/>
              </w:rPr>
            </w:pPr>
            <w:r>
              <w:rPr>
                <w:rFonts w:ascii="仿宋" w:hAnsi="仿宋" w:eastAsia="仿宋" w:cs="仿宋"/>
                <w:spacing w:val="-2"/>
                <w:sz w:val="21"/>
                <w:szCs w:val="21"/>
              </w:rPr>
              <w:t>枢纽坝址以上流域面积</w:t>
            </w:r>
          </w:p>
        </w:tc>
        <w:tc>
          <w:tcPr>
            <w:tcW w:w="702" w:type="dxa"/>
            <w:vAlign w:val="top"/>
          </w:tcPr>
          <w:p>
            <w:pPr>
              <w:pStyle w:val="6"/>
              <w:spacing w:before="36" w:line="221" w:lineRule="auto"/>
              <w:ind w:left="179"/>
              <w:rPr>
                <w:sz w:val="14"/>
                <w:szCs w:val="14"/>
              </w:rPr>
            </w:pPr>
            <w:r>
              <w:rPr>
                <w:spacing w:val="-1"/>
              </w:rPr>
              <w:t>km</w:t>
            </w:r>
            <w:r>
              <w:rPr>
                <w:spacing w:val="-1"/>
                <w:position w:val="7"/>
                <w:sz w:val="14"/>
                <w:szCs w:val="14"/>
              </w:rPr>
              <w:t>2</w:t>
            </w:r>
          </w:p>
        </w:tc>
        <w:tc>
          <w:tcPr>
            <w:tcW w:w="1451" w:type="dxa"/>
            <w:vAlign w:val="top"/>
          </w:tcPr>
          <w:p>
            <w:pPr>
              <w:pStyle w:val="6"/>
              <w:spacing w:before="69" w:line="188" w:lineRule="auto"/>
              <w:ind w:left="547"/>
            </w:pPr>
            <w:r>
              <w:rPr>
                <w:spacing w:val="-2"/>
              </w:rPr>
              <w:t>76.1</w:t>
            </w:r>
          </w:p>
        </w:tc>
        <w:tc>
          <w:tcPr>
            <w:tcW w:w="3490" w:type="dxa"/>
            <w:tcBorders>
              <w:right w:val="nil"/>
            </w:tcBorders>
            <w:vAlign w:val="top"/>
          </w:tcPr>
          <w:p>
            <w:pPr>
              <w:pStyle w:val="6"/>
              <w:spacing w:before="33" w:line="203" w:lineRule="auto"/>
              <w:ind w:left="120"/>
            </w:pPr>
            <w:r>
              <w:rPr>
                <w:rFonts w:ascii="仿宋" w:hAnsi="仿宋" w:eastAsia="仿宋" w:cs="仿宋"/>
                <w:spacing w:val="1"/>
              </w:rPr>
              <w:t>本区</w:t>
            </w:r>
            <w:r>
              <w:rPr>
                <w:rFonts w:ascii="仿宋" w:hAnsi="仿宋" w:eastAsia="仿宋" w:cs="仿宋"/>
                <w:spacing w:val="-32"/>
              </w:rPr>
              <w:t xml:space="preserve"> </w:t>
            </w:r>
            <w:r>
              <w:rPr>
                <w:spacing w:val="1"/>
              </w:rPr>
              <w:t>55.6</w:t>
            </w:r>
            <w:r>
              <w:t>km</w:t>
            </w:r>
            <w:r>
              <w:rPr>
                <w:spacing w:val="1"/>
              </w:rPr>
              <w:t>²</w:t>
            </w:r>
            <w:r>
              <w:rPr>
                <w:spacing w:val="-25"/>
              </w:rPr>
              <w:t xml:space="preserve"> </w:t>
            </w:r>
            <w:r>
              <w:rPr>
                <w:rFonts w:ascii="仿宋" w:hAnsi="仿宋" w:eastAsia="仿宋" w:cs="仿宋"/>
                <w:spacing w:val="1"/>
              </w:rPr>
              <w:t>,引水区</w:t>
            </w:r>
            <w:r>
              <w:rPr>
                <w:rFonts w:ascii="仿宋" w:hAnsi="仿宋" w:eastAsia="仿宋" w:cs="仿宋"/>
                <w:spacing w:val="-27"/>
              </w:rPr>
              <w:t xml:space="preserve"> </w:t>
            </w:r>
            <w:r>
              <w:rPr>
                <w:spacing w:val="1"/>
              </w:rPr>
              <w:t>20.5</w:t>
            </w:r>
            <w:r>
              <w:t>km</w:t>
            </w:r>
            <w:r>
              <w:rPr>
                <w:spacing w:val="1"/>
              </w:rPr>
              <w:t>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4" w:hRule="atLeast"/>
        </w:trPr>
        <w:tc>
          <w:tcPr>
            <w:tcW w:w="644" w:type="dxa"/>
            <w:tcBorders>
              <w:left w:val="nil"/>
            </w:tcBorders>
            <w:vAlign w:val="top"/>
          </w:tcPr>
          <w:p>
            <w:pPr>
              <w:rPr>
                <w:rFonts w:ascii="Arial"/>
                <w:sz w:val="21"/>
              </w:rPr>
            </w:pPr>
          </w:p>
        </w:tc>
        <w:tc>
          <w:tcPr>
            <w:tcW w:w="2685" w:type="dxa"/>
            <w:vAlign w:val="top"/>
          </w:tcPr>
          <w:p>
            <w:pPr>
              <w:spacing w:before="35" w:line="219" w:lineRule="auto"/>
              <w:ind w:left="120" w:right="264" w:firstLine="5"/>
              <w:rPr>
                <w:rFonts w:ascii="仿宋" w:hAnsi="仿宋" w:eastAsia="仿宋" w:cs="仿宋"/>
                <w:sz w:val="21"/>
                <w:szCs w:val="21"/>
              </w:rPr>
            </w:pPr>
            <w:r>
              <w:rPr>
                <w:rFonts w:ascii="仿宋" w:hAnsi="仿宋" w:eastAsia="仿宋" w:cs="仿宋"/>
                <w:spacing w:val="-2"/>
                <w:sz w:val="21"/>
                <w:szCs w:val="21"/>
              </w:rPr>
              <w:t>引洪工程坝址以上流域面</w:t>
            </w:r>
            <w:r>
              <w:rPr>
                <w:rFonts w:ascii="仿宋" w:hAnsi="仿宋" w:eastAsia="仿宋" w:cs="仿宋"/>
                <w:sz w:val="21"/>
                <w:szCs w:val="21"/>
              </w:rPr>
              <w:t xml:space="preserve"> 积</w:t>
            </w:r>
          </w:p>
        </w:tc>
        <w:tc>
          <w:tcPr>
            <w:tcW w:w="702" w:type="dxa"/>
            <w:vAlign w:val="top"/>
          </w:tcPr>
          <w:p>
            <w:pPr>
              <w:pStyle w:val="6"/>
              <w:spacing w:before="176" w:line="268" w:lineRule="exact"/>
              <w:ind w:left="179"/>
              <w:rPr>
                <w:sz w:val="14"/>
                <w:szCs w:val="14"/>
              </w:rPr>
            </w:pPr>
            <w:r>
              <w:rPr>
                <w:spacing w:val="-1"/>
              </w:rPr>
              <w:t>km</w:t>
            </w:r>
            <w:r>
              <w:rPr>
                <w:spacing w:val="-1"/>
                <w:position w:val="7"/>
                <w:sz w:val="14"/>
                <w:szCs w:val="14"/>
              </w:rPr>
              <w:t>2</w:t>
            </w:r>
          </w:p>
        </w:tc>
        <w:tc>
          <w:tcPr>
            <w:tcW w:w="1451" w:type="dxa"/>
            <w:vAlign w:val="top"/>
          </w:tcPr>
          <w:p>
            <w:pPr>
              <w:pStyle w:val="6"/>
              <w:spacing w:before="209" w:line="188" w:lineRule="auto"/>
              <w:ind w:left="542"/>
            </w:pPr>
            <w:r>
              <w:rPr>
                <w:spacing w:val="-1"/>
              </w:rPr>
              <w:t>40.2</w:t>
            </w:r>
          </w:p>
        </w:tc>
        <w:tc>
          <w:tcPr>
            <w:tcW w:w="3490" w:type="dxa"/>
            <w:tcBorders>
              <w:right w:val="nil"/>
            </w:tcBorders>
            <w:vAlign w:val="top"/>
          </w:tcPr>
          <w:p>
            <w:pPr>
              <w:spacing w:before="35" w:line="219" w:lineRule="auto"/>
              <w:ind w:left="119" w:right="231" w:firstLine="2"/>
              <w:rPr>
                <w:rFonts w:ascii="仿宋" w:hAnsi="仿宋" w:eastAsia="仿宋" w:cs="仿宋"/>
                <w:sz w:val="21"/>
                <w:szCs w:val="21"/>
              </w:rPr>
            </w:pPr>
            <w:r>
              <w:rPr>
                <w:rFonts w:ascii="仿宋" w:hAnsi="仿宋" w:eastAsia="仿宋" w:cs="仿宋"/>
                <w:spacing w:val="-2"/>
                <w:sz w:val="21"/>
                <w:szCs w:val="21"/>
              </w:rPr>
              <w:t>分别为马茨河、六姑乍箐、昔木乍</w:t>
            </w:r>
            <w:r>
              <w:rPr>
                <w:rFonts w:ascii="仿宋" w:hAnsi="仿宋" w:eastAsia="仿宋" w:cs="仿宋"/>
                <w:spacing w:val="12"/>
                <w:sz w:val="21"/>
                <w:szCs w:val="21"/>
              </w:rPr>
              <w:t xml:space="preserve"> </w:t>
            </w:r>
            <w:r>
              <w:rPr>
                <w:rFonts w:ascii="仿宋" w:hAnsi="仿宋" w:eastAsia="仿宋" w:cs="仿宋"/>
                <w:spacing w:val="-2"/>
                <w:sz w:val="21"/>
                <w:szCs w:val="21"/>
              </w:rPr>
              <w:t>箐、见簸箐引水区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pStyle w:val="6"/>
              <w:spacing w:before="78" w:line="186" w:lineRule="auto"/>
              <w:ind w:left="221"/>
            </w:pPr>
            <w:r>
              <w:rPr>
                <w:spacing w:val="-8"/>
              </w:rPr>
              <w:t>1.2</w:t>
            </w:r>
          </w:p>
        </w:tc>
        <w:tc>
          <w:tcPr>
            <w:tcW w:w="2685" w:type="dxa"/>
            <w:vAlign w:val="top"/>
          </w:tcPr>
          <w:p>
            <w:pPr>
              <w:spacing w:before="43" w:line="196" w:lineRule="auto"/>
              <w:ind w:left="131"/>
              <w:rPr>
                <w:rFonts w:ascii="仿宋" w:hAnsi="仿宋" w:eastAsia="仿宋" w:cs="仿宋"/>
                <w:sz w:val="21"/>
                <w:szCs w:val="21"/>
              </w:rPr>
            </w:pPr>
            <w:r>
              <w:rPr>
                <w:rFonts w:ascii="仿宋" w:hAnsi="仿宋" w:eastAsia="仿宋" w:cs="仿宋"/>
                <w:spacing w:val="-3"/>
                <w:sz w:val="21"/>
                <w:szCs w:val="21"/>
              </w:rPr>
              <w:t>多年平均年径流量</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4" w:hRule="atLeast"/>
        </w:trPr>
        <w:tc>
          <w:tcPr>
            <w:tcW w:w="644" w:type="dxa"/>
            <w:tcBorders>
              <w:left w:val="nil"/>
            </w:tcBorders>
            <w:vAlign w:val="top"/>
          </w:tcPr>
          <w:p>
            <w:pPr>
              <w:rPr>
                <w:rFonts w:ascii="Arial"/>
                <w:sz w:val="21"/>
              </w:rPr>
            </w:pPr>
          </w:p>
        </w:tc>
        <w:tc>
          <w:tcPr>
            <w:tcW w:w="2685" w:type="dxa"/>
            <w:vAlign w:val="top"/>
          </w:tcPr>
          <w:p>
            <w:pPr>
              <w:spacing w:before="44" w:line="215" w:lineRule="auto"/>
              <w:ind w:left="121" w:right="264" w:hanging="3"/>
              <w:rPr>
                <w:rFonts w:ascii="仿宋" w:hAnsi="仿宋" w:eastAsia="仿宋" w:cs="仿宋"/>
                <w:sz w:val="21"/>
                <w:szCs w:val="21"/>
              </w:rPr>
            </w:pPr>
            <w:r>
              <w:rPr>
                <w:rFonts w:ascii="仿宋" w:hAnsi="仿宋" w:eastAsia="仿宋" w:cs="仿宋"/>
                <w:spacing w:val="-2"/>
                <w:sz w:val="21"/>
                <w:szCs w:val="21"/>
              </w:rPr>
              <w:t>枢纽工程多年平均年径流</w:t>
            </w:r>
            <w:r>
              <w:rPr>
                <w:rFonts w:ascii="仿宋" w:hAnsi="仿宋" w:eastAsia="仿宋" w:cs="仿宋"/>
                <w:spacing w:val="7"/>
                <w:sz w:val="21"/>
                <w:szCs w:val="21"/>
              </w:rPr>
              <w:t xml:space="preserve"> </w:t>
            </w:r>
            <w:r>
              <w:rPr>
                <w:rFonts w:ascii="仿宋" w:hAnsi="仿宋" w:eastAsia="仿宋" w:cs="仿宋"/>
                <w:sz w:val="21"/>
                <w:szCs w:val="21"/>
              </w:rPr>
              <w:t>量</w:t>
            </w:r>
          </w:p>
        </w:tc>
        <w:tc>
          <w:tcPr>
            <w:tcW w:w="702" w:type="dxa"/>
            <w:vAlign w:val="top"/>
          </w:tcPr>
          <w:p>
            <w:pPr>
              <w:spacing w:before="59" w:line="287" w:lineRule="exact"/>
              <w:ind w:left="258"/>
              <w:rPr>
                <w:rFonts w:ascii="仿宋" w:hAnsi="仿宋" w:eastAsia="仿宋" w:cs="仿宋"/>
                <w:sz w:val="21"/>
                <w:szCs w:val="21"/>
              </w:rPr>
            </w:pPr>
            <w:r>
              <w:rPr>
                <w:rFonts w:ascii="仿宋" w:hAnsi="仿宋" w:eastAsia="仿宋" w:cs="仿宋"/>
                <w:position w:val="6"/>
                <w:sz w:val="21"/>
                <w:szCs w:val="21"/>
              </w:rPr>
              <w:t>万</w:t>
            </w:r>
          </w:p>
          <w:p>
            <w:pPr>
              <w:pStyle w:val="6"/>
              <w:spacing w:line="186" w:lineRule="auto"/>
              <w:ind w:left="236"/>
            </w:pPr>
            <w:r>
              <w:rPr>
                <w:spacing w:val="-1"/>
              </w:rPr>
              <w:t>m³</w:t>
            </w:r>
          </w:p>
        </w:tc>
        <w:tc>
          <w:tcPr>
            <w:tcW w:w="1451" w:type="dxa"/>
            <w:vAlign w:val="top"/>
          </w:tcPr>
          <w:p>
            <w:pPr>
              <w:pStyle w:val="6"/>
              <w:spacing w:before="216" w:line="188" w:lineRule="auto"/>
              <w:ind w:left="521"/>
            </w:pPr>
            <w:r>
              <w:rPr>
                <w:spacing w:val="-3"/>
              </w:rPr>
              <w:t>3233</w:t>
            </w:r>
          </w:p>
        </w:tc>
        <w:tc>
          <w:tcPr>
            <w:tcW w:w="3490" w:type="dxa"/>
            <w:tcBorders>
              <w:right w:val="nil"/>
            </w:tcBorders>
            <w:vAlign w:val="top"/>
          </w:tcPr>
          <w:p>
            <w:pPr>
              <w:pStyle w:val="6"/>
              <w:spacing w:before="60" w:line="221" w:lineRule="auto"/>
              <w:ind w:left="107" w:right="318" w:firstLine="13"/>
            </w:pPr>
            <w:r>
              <w:rPr>
                <w:rFonts w:ascii="仿宋" w:hAnsi="仿宋" w:eastAsia="仿宋" w:cs="仿宋"/>
                <w:spacing w:val="-1"/>
              </w:rPr>
              <w:t>本区</w:t>
            </w:r>
            <w:r>
              <w:rPr>
                <w:rFonts w:ascii="仿宋" w:hAnsi="仿宋" w:eastAsia="仿宋" w:cs="仿宋"/>
                <w:spacing w:val="-39"/>
              </w:rPr>
              <w:t xml:space="preserve"> </w:t>
            </w:r>
            <w:r>
              <w:rPr>
                <w:spacing w:val="-1"/>
              </w:rPr>
              <w:t>2357</w:t>
            </w:r>
            <w:r>
              <w:rPr>
                <w:spacing w:val="16"/>
                <w:w w:val="101"/>
              </w:rPr>
              <w:t xml:space="preserve"> </w:t>
            </w:r>
            <w:r>
              <w:rPr>
                <w:rFonts w:ascii="仿宋" w:hAnsi="仿宋" w:eastAsia="仿宋" w:cs="仿宋"/>
                <w:spacing w:val="-1"/>
              </w:rPr>
              <w:t>万</w:t>
            </w:r>
            <w:r>
              <w:rPr>
                <w:rFonts w:ascii="仿宋" w:hAnsi="仿宋" w:eastAsia="仿宋" w:cs="仿宋"/>
                <w:spacing w:val="-51"/>
              </w:rPr>
              <w:t xml:space="preserve"> </w:t>
            </w:r>
            <w:r>
              <w:rPr>
                <w:spacing w:val="-1"/>
              </w:rPr>
              <w:t>m³</w:t>
            </w:r>
            <w:r>
              <w:rPr>
                <w:spacing w:val="-25"/>
              </w:rPr>
              <w:t xml:space="preserve"> </w:t>
            </w:r>
            <w:r>
              <w:rPr>
                <w:rFonts w:ascii="仿宋" w:hAnsi="仿宋" w:eastAsia="仿宋" w:cs="仿宋"/>
                <w:spacing w:val="-1"/>
              </w:rPr>
              <w:t>,引水区</w:t>
            </w:r>
            <w:r>
              <w:rPr>
                <w:rFonts w:ascii="仿宋" w:hAnsi="仿宋" w:eastAsia="仿宋" w:cs="仿宋"/>
                <w:spacing w:val="-19"/>
              </w:rPr>
              <w:t xml:space="preserve"> </w:t>
            </w:r>
            <w:r>
              <w:rPr>
                <w:spacing w:val="-1"/>
              </w:rPr>
              <w:t>875.9</w:t>
            </w:r>
            <w:r>
              <w:rPr>
                <w:spacing w:val="17"/>
              </w:rPr>
              <w:t xml:space="preserve"> </w:t>
            </w:r>
            <w:r>
              <w:rPr>
                <w:rFonts w:ascii="仿宋" w:hAnsi="仿宋" w:eastAsia="仿宋" w:cs="仿宋"/>
                <w:spacing w:val="-1"/>
              </w:rPr>
              <w:t>万</w:t>
            </w:r>
            <w:r>
              <w:rPr>
                <w:rFonts w:ascii="仿宋" w:hAnsi="仿宋" w:eastAsia="仿宋" w:cs="仿宋"/>
              </w:rPr>
              <w:t xml:space="preserve"> </w:t>
            </w:r>
            <w:r>
              <w:rPr>
                <w:spacing w:val="-1"/>
              </w:rPr>
              <w:t>m³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4" w:hRule="atLeast"/>
        </w:trPr>
        <w:tc>
          <w:tcPr>
            <w:tcW w:w="644" w:type="dxa"/>
            <w:tcBorders>
              <w:left w:val="nil"/>
            </w:tcBorders>
            <w:vAlign w:val="top"/>
          </w:tcPr>
          <w:p>
            <w:pPr>
              <w:rPr>
                <w:rFonts w:ascii="Arial"/>
                <w:sz w:val="21"/>
              </w:rPr>
            </w:pPr>
          </w:p>
        </w:tc>
        <w:tc>
          <w:tcPr>
            <w:tcW w:w="2685" w:type="dxa"/>
            <w:vAlign w:val="top"/>
          </w:tcPr>
          <w:p>
            <w:pPr>
              <w:pStyle w:val="6"/>
              <w:spacing w:before="171" w:line="218" w:lineRule="auto"/>
              <w:ind w:left="118"/>
              <w:rPr>
                <w:rFonts w:ascii="仿宋" w:hAnsi="仿宋" w:eastAsia="仿宋" w:cs="仿宋"/>
              </w:rPr>
            </w:pPr>
            <w:r>
              <w:rPr>
                <w:rFonts w:ascii="仿宋" w:hAnsi="仿宋" w:eastAsia="仿宋" w:cs="仿宋"/>
                <w:spacing w:val="-2"/>
              </w:rPr>
              <w:t>枢纽工程</w:t>
            </w:r>
            <w:r>
              <w:rPr>
                <w:rFonts w:ascii="仿宋" w:hAnsi="仿宋" w:eastAsia="仿宋" w:cs="仿宋"/>
                <w:spacing w:val="-39"/>
              </w:rPr>
              <w:t xml:space="preserve"> </w:t>
            </w:r>
            <w:r>
              <w:rPr>
                <w:spacing w:val="-2"/>
              </w:rPr>
              <w:t>P=75%</w:t>
            </w:r>
            <w:r>
              <w:rPr>
                <w:rFonts w:ascii="仿宋" w:hAnsi="仿宋" w:eastAsia="仿宋" w:cs="仿宋"/>
                <w:spacing w:val="-2"/>
              </w:rPr>
              <w:t>入库水量</w:t>
            </w:r>
          </w:p>
        </w:tc>
        <w:tc>
          <w:tcPr>
            <w:tcW w:w="702" w:type="dxa"/>
            <w:vAlign w:val="top"/>
          </w:tcPr>
          <w:p>
            <w:pPr>
              <w:spacing w:before="50" w:line="241" w:lineRule="auto"/>
              <w:ind w:left="258"/>
              <w:rPr>
                <w:rFonts w:ascii="仿宋" w:hAnsi="仿宋" w:eastAsia="仿宋" w:cs="仿宋"/>
                <w:sz w:val="21"/>
                <w:szCs w:val="21"/>
              </w:rPr>
            </w:pPr>
            <w:r>
              <w:rPr>
                <w:rFonts w:ascii="仿宋" w:hAnsi="仿宋" w:eastAsia="仿宋" w:cs="仿宋"/>
                <w:sz w:val="21"/>
                <w:szCs w:val="21"/>
              </w:rPr>
              <w:t>万</w:t>
            </w:r>
          </w:p>
          <w:p>
            <w:pPr>
              <w:pStyle w:val="6"/>
              <w:spacing w:line="178" w:lineRule="auto"/>
              <w:ind w:left="236"/>
            </w:pPr>
            <w:r>
              <w:rPr>
                <w:spacing w:val="-1"/>
              </w:rPr>
              <w:t>m³</w:t>
            </w:r>
          </w:p>
        </w:tc>
        <w:tc>
          <w:tcPr>
            <w:tcW w:w="1451" w:type="dxa"/>
            <w:vAlign w:val="top"/>
          </w:tcPr>
          <w:p>
            <w:pPr>
              <w:pStyle w:val="6"/>
              <w:spacing w:before="207" w:line="188" w:lineRule="auto"/>
              <w:ind w:left="537"/>
            </w:pPr>
            <w:r>
              <w:rPr>
                <w:spacing w:val="-5"/>
              </w:rPr>
              <w:t>1981</w:t>
            </w:r>
          </w:p>
        </w:tc>
        <w:tc>
          <w:tcPr>
            <w:tcW w:w="3490" w:type="dxa"/>
            <w:tcBorders>
              <w:right w:val="nil"/>
            </w:tcBorders>
            <w:vAlign w:val="top"/>
          </w:tcPr>
          <w:p>
            <w:pPr>
              <w:pStyle w:val="6"/>
              <w:spacing w:before="49" w:line="212" w:lineRule="auto"/>
              <w:ind w:left="107" w:right="318" w:firstLine="13"/>
            </w:pPr>
            <w:r>
              <w:rPr>
                <w:rFonts w:ascii="仿宋" w:hAnsi="仿宋" w:eastAsia="仿宋" w:cs="仿宋"/>
                <w:spacing w:val="-2"/>
              </w:rPr>
              <w:t>本区</w:t>
            </w:r>
            <w:r>
              <w:rPr>
                <w:rFonts w:ascii="仿宋" w:hAnsi="仿宋" w:eastAsia="仿宋" w:cs="仿宋"/>
                <w:spacing w:val="-16"/>
              </w:rPr>
              <w:t xml:space="preserve"> </w:t>
            </w:r>
            <w:r>
              <w:rPr>
                <w:spacing w:val="-2"/>
              </w:rPr>
              <w:t>1672</w:t>
            </w:r>
            <w:r>
              <w:rPr>
                <w:spacing w:val="17"/>
              </w:rPr>
              <w:t xml:space="preserve"> </w:t>
            </w:r>
            <w:r>
              <w:rPr>
                <w:rFonts w:ascii="仿宋" w:hAnsi="仿宋" w:eastAsia="仿宋" w:cs="仿宋"/>
                <w:spacing w:val="-2"/>
              </w:rPr>
              <w:t>万</w:t>
            </w:r>
            <w:r>
              <w:rPr>
                <w:rFonts w:ascii="仿宋" w:hAnsi="仿宋" w:eastAsia="仿宋" w:cs="仿宋"/>
                <w:spacing w:val="-52"/>
              </w:rPr>
              <w:t xml:space="preserve"> </w:t>
            </w:r>
            <w:r>
              <w:rPr>
                <w:spacing w:val="-2"/>
              </w:rPr>
              <w:t>m³</w:t>
            </w:r>
            <w:r>
              <w:rPr>
                <w:spacing w:val="-24"/>
              </w:rPr>
              <w:t xml:space="preserve"> </w:t>
            </w:r>
            <w:r>
              <w:rPr>
                <w:rFonts w:ascii="仿宋" w:hAnsi="仿宋" w:eastAsia="仿宋" w:cs="仿宋"/>
                <w:spacing w:val="-2"/>
              </w:rPr>
              <w:t>,引水区</w:t>
            </w:r>
            <w:r>
              <w:rPr>
                <w:rFonts w:ascii="仿宋" w:hAnsi="仿宋" w:eastAsia="仿宋" w:cs="仿宋"/>
                <w:spacing w:val="-23"/>
              </w:rPr>
              <w:t xml:space="preserve"> </w:t>
            </w:r>
            <w:r>
              <w:rPr>
                <w:spacing w:val="-2"/>
              </w:rPr>
              <w:t>309.1</w:t>
            </w:r>
            <w:r>
              <w:rPr>
                <w:spacing w:val="16"/>
                <w:w w:val="101"/>
              </w:rPr>
              <w:t xml:space="preserve"> </w:t>
            </w:r>
            <w:r>
              <w:rPr>
                <w:rFonts w:ascii="仿宋" w:hAnsi="仿宋" w:eastAsia="仿宋" w:cs="仿宋"/>
                <w:spacing w:val="-2"/>
              </w:rPr>
              <w:t>万</w:t>
            </w:r>
            <w:r>
              <w:rPr>
                <w:rFonts w:ascii="仿宋" w:hAnsi="仿宋" w:eastAsia="仿宋" w:cs="仿宋"/>
              </w:rPr>
              <w:t xml:space="preserve"> </w:t>
            </w:r>
            <w:r>
              <w:rPr>
                <w:spacing w:val="-1"/>
              </w:rPr>
              <w:t>m³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5" w:hRule="atLeast"/>
        </w:trPr>
        <w:tc>
          <w:tcPr>
            <w:tcW w:w="644" w:type="dxa"/>
            <w:tcBorders>
              <w:left w:val="nil"/>
            </w:tcBorders>
            <w:vAlign w:val="top"/>
          </w:tcPr>
          <w:p>
            <w:pPr>
              <w:rPr>
                <w:rFonts w:ascii="Arial"/>
                <w:sz w:val="21"/>
              </w:rPr>
            </w:pPr>
          </w:p>
        </w:tc>
        <w:tc>
          <w:tcPr>
            <w:tcW w:w="2685" w:type="dxa"/>
            <w:vAlign w:val="top"/>
          </w:tcPr>
          <w:p>
            <w:pPr>
              <w:spacing w:before="175" w:line="218" w:lineRule="auto"/>
              <w:ind w:left="126"/>
              <w:rPr>
                <w:rFonts w:ascii="仿宋" w:hAnsi="仿宋" w:eastAsia="仿宋" w:cs="仿宋"/>
                <w:sz w:val="21"/>
                <w:szCs w:val="21"/>
              </w:rPr>
            </w:pPr>
            <w:r>
              <w:rPr>
                <w:rFonts w:ascii="仿宋" w:hAnsi="仿宋" w:eastAsia="仿宋" w:cs="仿宋"/>
                <w:spacing w:val="-2"/>
                <w:sz w:val="21"/>
                <w:szCs w:val="21"/>
              </w:rPr>
              <w:t>引洪工程多年平均径流量</w:t>
            </w:r>
          </w:p>
        </w:tc>
        <w:tc>
          <w:tcPr>
            <w:tcW w:w="702" w:type="dxa"/>
            <w:vAlign w:val="top"/>
          </w:tcPr>
          <w:p>
            <w:pPr>
              <w:spacing w:before="55" w:line="239" w:lineRule="auto"/>
              <w:ind w:left="258"/>
              <w:rPr>
                <w:rFonts w:ascii="仿宋" w:hAnsi="仿宋" w:eastAsia="仿宋" w:cs="仿宋"/>
                <w:sz w:val="21"/>
                <w:szCs w:val="21"/>
              </w:rPr>
            </w:pPr>
            <w:r>
              <w:rPr>
                <w:rFonts w:ascii="仿宋" w:hAnsi="仿宋" w:eastAsia="仿宋" w:cs="仿宋"/>
                <w:sz w:val="21"/>
                <w:szCs w:val="21"/>
              </w:rPr>
              <w:t>万</w:t>
            </w:r>
          </w:p>
          <w:p>
            <w:pPr>
              <w:pStyle w:val="6"/>
              <w:spacing w:line="176" w:lineRule="auto"/>
              <w:ind w:left="236"/>
            </w:pPr>
            <w:r>
              <w:rPr>
                <w:spacing w:val="-1"/>
              </w:rPr>
              <w:t>m³</w:t>
            </w:r>
          </w:p>
        </w:tc>
        <w:tc>
          <w:tcPr>
            <w:tcW w:w="1451" w:type="dxa"/>
            <w:vAlign w:val="top"/>
          </w:tcPr>
          <w:p>
            <w:pPr>
              <w:pStyle w:val="6"/>
              <w:spacing w:before="211" w:line="188" w:lineRule="auto"/>
              <w:ind w:left="537"/>
            </w:pPr>
            <w:r>
              <w:rPr>
                <w:spacing w:val="-6"/>
              </w:rPr>
              <w:t>1636</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 w:hRule="atLeast"/>
        </w:trPr>
        <w:tc>
          <w:tcPr>
            <w:tcW w:w="644" w:type="dxa"/>
            <w:tcBorders>
              <w:left w:val="nil"/>
              <w:bottom w:val="single" w:color="000000" w:sz="12" w:space="0"/>
            </w:tcBorders>
            <w:vAlign w:val="top"/>
          </w:tcPr>
          <w:p>
            <w:pPr>
              <w:rPr>
                <w:rFonts w:ascii="Arial"/>
                <w:sz w:val="21"/>
              </w:rPr>
            </w:pPr>
          </w:p>
        </w:tc>
        <w:tc>
          <w:tcPr>
            <w:tcW w:w="2685" w:type="dxa"/>
            <w:tcBorders>
              <w:bottom w:val="single" w:color="000000" w:sz="12" w:space="0"/>
            </w:tcBorders>
            <w:vAlign w:val="top"/>
          </w:tcPr>
          <w:p>
            <w:pPr>
              <w:pStyle w:val="6"/>
              <w:spacing w:before="58" w:line="203" w:lineRule="auto"/>
              <w:ind w:left="126"/>
              <w:rPr>
                <w:rFonts w:ascii="仿宋" w:hAnsi="仿宋" w:eastAsia="仿宋" w:cs="仿宋"/>
              </w:rPr>
            </w:pPr>
            <w:r>
              <w:rPr>
                <w:rFonts w:ascii="仿宋" w:hAnsi="仿宋" w:eastAsia="仿宋" w:cs="仿宋"/>
                <w:spacing w:val="-2"/>
              </w:rPr>
              <w:t>引洪工程</w:t>
            </w:r>
            <w:r>
              <w:rPr>
                <w:rFonts w:ascii="仿宋" w:hAnsi="仿宋" w:eastAsia="仿宋" w:cs="仿宋"/>
                <w:spacing w:val="-49"/>
              </w:rPr>
              <w:t xml:space="preserve"> </w:t>
            </w:r>
            <w:r>
              <w:rPr>
                <w:spacing w:val="-2"/>
              </w:rPr>
              <w:t>P=75%</w:t>
            </w:r>
            <w:r>
              <w:rPr>
                <w:rFonts w:ascii="仿宋" w:hAnsi="仿宋" w:eastAsia="仿宋" w:cs="仿宋"/>
                <w:spacing w:val="-2"/>
              </w:rPr>
              <w:t>径流量</w:t>
            </w:r>
          </w:p>
        </w:tc>
        <w:tc>
          <w:tcPr>
            <w:tcW w:w="702" w:type="dxa"/>
            <w:tcBorders>
              <w:bottom w:val="single" w:color="000000" w:sz="12" w:space="0"/>
            </w:tcBorders>
            <w:vAlign w:val="top"/>
          </w:tcPr>
          <w:p>
            <w:pPr>
              <w:spacing w:before="58" w:line="203" w:lineRule="auto"/>
              <w:ind w:left="258"/>
              <w:rPr>
                <w:rFonts w:ascii="仿宋" w:hAnsi="仿宋" w:eastAsia="仿宋" w:cs="仿宋"/>
                <w:sz w:val="21"/>
                <w:szCs w:val="21"/>
              </w:rPr>
            </w:pPr>
            <w:r>
              <w:rPr>
                <w:rFonts w:ascii="仿宋" w:hAnsi="仿宋" w:eastAsia="仿宋" w:cs="仿宋"/>
                <w:sz w:val="21"/>
                <w:szCs w:val="21"/>
              </w:rPr>
              <w:t>万</w:t>
            </w:r>
          </w:p>
        </w:tc>
        <w:tc>
          <w:tcPr>
            <w:tcW w:w="1451" w:type="dxa"/>
            <w:tcBorders>
              <w:bottom w:val="single" w:color="000000" w:sz="12" w:space="0"/>
            </w:tcBorders>
            <w:vAlign w:val="top"/>
          </w:tcPr>
          <w:p>
            <w:pPr>
              <w:pStyle w:val="6"/>
              <w:spacing w:before="94" w:line="188" w:lineRule="auto"/>
              <w:ind w:left="542"/>
            </w:pPr>
            <w:r>
              <w:rPr>
                <w:spacing w:val="-9"/>
              </w:rPr>
              <w:t>1136</w:t>
            </w:r>
          </w:p>
        </w:tc>
        <w:tc>
          <w:tcPr>
            <w:tcW w:w="3490" w:type="dxa"/>
            <w:tcBorders>
              <w:bottom w:val="single" w:color="000000" w:sz="12" w:space="0"/>
              <w:right w:val="nil"/>
            </w:tcBorders>
            <w:vAlign w:val="top"/>
          </w:tcPr>
          <w:p>
            <w:pPr>
              <w:rPr>
                <w:rFonts w:ascii="Arial"/>
                <w:sz w:val="21"/>
              </w:rPr>
            </w:pPr>
          </w:p>
        </w:tc>
      </w:tr>
    </w:tbl>
    <w:p>
      <w:pPr>
        <w:spacing w:line="116" w:lineRule="exact"/>
        <w:rPr>
          <w:rFonts w:ascii="Arial"/>
          <w:sz w:val="10"/>
        </w:rPr>
      </w:pPr>
    </w:p>
    <w:p>
      <w:pPr>
        <w:spacing w:line="116" w:lineRule="exact"/>
        <w:rPr>
          <w:rFonts w:ascii="Arial" w:hAnsi="Arial" w:eastAsia="Arial" w:cs="Arial"/>
          <w:sz w:val="10"/>
          <w:szCs w:val="10"/>
        </w:rPr>
        <w:sectPr>
          <w:footerReference r:id="rId74" w:type="default"/>
          <w:pgSz w:w="11907" w:h="16839"/>
          <w:pgMar w:top="1298" w:right="1387" w:bottom="1374" w:left="1501" w:header="1023" w:footer="1210" w:gutter="0"/>
        </w:sectPr>
      </w:pPr>
    </w:p>
    <w:p>
      <w:pPr>
        <w:spacing w:line="120" w:lineRule="exact"/>
      </w:pPr>
    </w:p>
    <w:tbl>
      <w:tblPr>
        <w:tblStyle w:val="5"/>
        <w:tblW w:w="8958"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2686"/>
        <w:gridCol w:w="702"/>
        <w:gridCol w:w="1451"/>
        <w:gridCol w:w="3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29" w:type="dxa"/>
            <w:tcBorders>
              <w:top w:val="single" w:color="000000" w:sz="12" w:space="0"/>
              <w:left w:val="nil"/>
            </w:tcBorders>
            <w:textDirection w:val="tbRlV"/>
            <w:vAlign w:val="top"/>
          </w:tcPr>
          <w:p>
            <w:pPr>
              <w:spacing w:before="206" w:line="202" w:lineRule="auto"/>
              <w:ind w:left="30"/>
              <w:rPr>
                <w:rFonts w:ascii="仿宋" w:hAnsi="仿宋" w:eastAsia="仿宋" w:cs="仿宋"/>
                <w:sz w:val="21"/>
                <w:szCs w:val="21"/>
              </w:rPr>
            </w:pPr>
            <w:r>
              <w:rPr>
                <w:rFonts w:ascii="仿宋" w:hAnsi="仿宋" w:eastAsia="仿宋" w:cs="仿宋"/>
                <w:spacing w:val="31"/>
                <w:sz w:val="21"/>
                <w:szCs w:val="21"/>
                <w14:textOutline w14:w="3810" w14:cap="flat" w14:cmpd="sng">
                  <w14:solidFill>
                    <w14:srgbClr w14:val="000000"/>
                  </w14:solidFill>
                  <w14:prstDash w14:val="solid"/>
                  <w14:miter w14:val="0"/>
                </w14:textOutline>
              </w:rPr>
              <w:t>序号</w:t>
            </w:r>
          </w:p>
        </w:tc>
        <w:tc>
          <w:tcPr>
            <w:tcW w:w="2686" w:type="dxa"/>
            <w:tcBorders>
              <w:top w:val="single" w:color="000000" w:sz="12" w:space="0"/>
            </w:tcBorders>
            <w:vAlign w:val="top"/>
          </w:tcPr>
          <w:p>
            <w:pPr>
              <w:spacing w:before="165" w:line="217" w:lineRule="auto"/>
              <w:ind w:left="114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702" w:type="dxa"/>
            <w:tcBorders>
              <w:top w:val="single" w:color="000000" w:sz="12" w:space="0"/>
            </w:tcBorders>
            <w:vAlign w:val="top"/>
          </w:tcPr>
          <w:p>
            <w:pPr>
              <w:spacing w:before="165" w:line="217" w:lineRule="auto"/>
              <w:ind w:left="154"/>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单位</w:t>
            </w:r>
          </w:p>
        </w:tc>
        <w:tc>
          <w:tcPr>
            <w:tcW w:w="1451" w:type="dxa"/>
            <w:tcBorders>
              <w:top w:val="single" w:color="000000" w:sz="12" w:space="0"/>
            </w:tcBorders>
            <w:vAlign w:val="top"/>
          </w:tcPr>
          <w:p>
            <w:pPr>
              <w:spacing w:before="165" w:line="220" w:lineRule="auto"/>
              <w:ind w:left="52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3490" w:type="dxa"/>
            <w:tcBorders>
              <w:top w:val="single" w:color="000000" w:sz="12" w:space="0"/>
              <w:right w:val="nil"/>
            </w:tcBorders>
            <w:vAlign w:val="top"/>
          </w:tcPr>
          <w:p>
            <w:pPr>
              <w:spacing w:before="166" w:line="220" w:lineRule="auto"/>
              <w:ind w:left="154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 w:hRule="atLeast"/>
        </w:trPr>
        <w:tc>
          <w:tcPr>
            <w:tcW w:w="629" w:type="dxa"/>
            <w:tcBorders>
              <w:left w:val="nil"/>
            </w:tcBorders>
            <w:vAlign w:val="top"/>
          </w:tcPr>
          <w:p>
            <w:pPr>
              <w:rPr>
                <w:rFonts w:ascii="Arial"/>
                <w:sz w:val="21"/>
              </w:rPr>
            </w:pPr>
          </w:p>
        </w:tc>
        <w:tc>
          <w:tcPr>
            <w:tcW w:w="2686" w:type="dxa"/>
            <w:vAlign w:val="top"/>
          </w:tcPr>
          <w:p>
            <w:pPr>
              <w:rPr>
                <w:rFonts w:ascii="Arial"/>
                <w:sz w:val="21"/>
              </w:rPr>
            </w:pPr>
          </w:p>
        </w:tc>
        <w:tc>
          <w:tcPr>
            <w:tcW w:w="702" w:type="dxa"/>
            <w:vAlign w:val="top"/>
          </w:tcPr>
          <w:p>
            <w:pPr>
              <w:pStyle w:val="6"/>
              <w:spacing w:before="70" w:line="184" w:lineRule="auto"/>
              <w:ind w:left="235"/>
            </w:pPr>
            <w:r>
              <w:rPr>
                <w:spacing w:val="-1"/>
              </w:rPr>
              <w:t>m³</w:t>
            </w: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29" w:type="dxa"/>
            <w:tcBorders>
              <w:left w:val="nil"/>
            </w:tcBorders>
            <w:vAlign w:val="top"/>
          </w:tcPr>
          <w:p>
            <w:pPr>
              <w:pStyle w:val="6"/>
              <w:spacing w:before="67" w:line="188" w:lineRule="auto"/>
              <w:ind w:left="207"/>
            </w:pPr>
            <w:r>
              <w:rPr>
                <w:spacing w:val="-8"/>
              </w:rPr>
              <w:t>1.3</w:t>
            </w:r>
          </w:p>
        </w:tc>
        <w:tc>
          <w:tcPr>
            <w:tcW w:w="2686" w:type="dxa"/>
            <w:vAlign w:val="top"/>
          </w:tcPr>
          <w:p>
            <w:pPr>
              <w:spacing w:before="31" w:line="207" w:lineRule="auto"/>
              <w:ind w:left="123"/>
              <w:rPr>
                <w:rFonts w:ascii="仿宋" w:hAnsi="仿宋" w:eastAsia="仿宋" w:cs="仿宋"/>
                <w:sz w:val="21"/>
                <w:szCs w:val="21"/>
              </w:rPr>
            </w:pPr>
            <w:r>
              <w:rPr>
                <w:rFonts w:ascii="仿宋" w:hAnsi="仿宋" w:eastAsia="仿宋" w:cs="仿宋"/>
                <w:spacing w:val="-3"/>
                <w:sz w:val="21"/>
                <w:szCs w:val="21"/>
              </w:rPr>
              <w:t>代表性流量</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29" w:type="dxa"/>
            <w:tcBorders>
              <w:left w:val="nil"/>
            </w:tcBorders>
            <w:vAlign w:val="top"/>
          </w:tcPr>
          <w:p>
            <w:pPr>
              <w:rPr>
                <w:rFonts w:ascii="Arial"/>
                <w:sz w:val="21"/>
              </w:rPr>
            </w:pPr>
          </w:p>
        </w:tc>
        <w:tc>
          <w:tcPr>
            <w:tcW w:w="2686" w:type="dxa"/>
            <w:vAlign w:val="top"/>
          </w:tcPr>
          <w:p>
            <w:pPr>
              <w:spacing w:before="31" w:line="223" w:lineRule="auto"/>
              <w:ind w:left="122" w:right="265"/>
              <w:rPr>
                <w:rFonts w:ascii="仿宋" w:hAnsi="仿宋" w:eastAsia="仿宋" w:cs="仿宋"/>
                <w:sz w:val="21"/>
                <w:szCs w:val="21"/>
              </w:rPr>
            </w:pPr>
            <w:r>
              <w:rPr>
                <w:rFonts w:ascii="仿宋" w:hAnsi="仿宋" w:eastAsia="仿宋" w:cs="仿宋"/>
                <w:spacing w:val="-2"/>
                <w:sz w:val="21"/>
                <w:szCs w:val="21"/>
              </w:rPr>
              <w:t>正常运用（设计）洪峰流</w:t>
            </w:r>
            <w:r>
              <w:rPr>
                <w:rFonts w:ascii="仿宋" w:hAnsi="仿宋" w:eastAsia="仿宋" w:cs="仿宋"/>
                <w:spacing w:val="4"/>
                <w:sz w:val="21"/>
                <w:szCs w:val="21"/>
              </w:rPr>
              <w:t xml:space="preserve"> </w:t>
            </w:r>
            <w:r>
              <w:rPr>
                <w:rFonts w:ascii="仿宋" w:hAnsi="仿宋" w:eastAsia="仿宋" w:cs="仿宋"/>
                <w:sz w:val="21"/>
                <w:szCs w:val="21"/>
              </w:rPr>
              <w:t>量</w:t>
            </w:r>
          </w:p>
        </w:tc>
        <w:tc>
          <w:tcPr>
            <w:tcW w:w="702" w:type="dxa"/>
            <w:vAlign w:val="top"/>
          </w:tcPr>
          <w:p>
            <w:pPr>
              <w:pStyle w:val="6"/>
              <w:spacing w:before="203" w:line="232" w:lineRule="auto"/>
              <w:ind w:left="166"/>
            </w:pPr>
            <w:r>
              <w:rPr>
                <w:spacing w:val="-1"/>
              </w:rPr>
              <w:t>m³/s</w:t>
            </w:r>
          </w:p>
        </w:tc>
        <w:tc>
          <w:tcPr>
            <w:tcW w:w="1451" w:type="dxa"/>
            <w:vAlign w:val="top"/>
          </w:tcPr>
          <w:p>
            <w:pPr>
              <w:pStyle w:val="6"/>
              <w:spacing w:before="205" w:line="188" w:lineRule="auto"/>
              <w:ind w:left="569"/>
            </w:pPr>
            <w:r>
              <w:rPr>
                <w:spacing w:val="-1"/>
              </w:rPr>
              <w:t>223</w:t>
            </w:r>
          </w:p>
        </w:tc>
        <w:tc>
          <w:tcPr>
            <w:tcW w:w="3490" w:type="dxa"/>
            <w:tcBorders>
              <w:right w:val="nil"/>
            </w:tcBorders>
            <w:vAlign w:val="top"/>
          </w:tcPr>
          <w:p>
            <w:pPr>
              <w:pStyle w:val="6"/>
              <w:spacing w:before="168" w:line="218" w:lineRule="auto"/>
              <w:ind w:left="121"/>
            </w:pPr>
            <w:r>
              <w:rPr>
                <w:rFonts w:ascii="仿宋" w:hAnsi="仿宋" w:eastAsia="仿宋" w:cs="仿宋"/>
                <w:spacing w:val="-3"/>
              </w:rPr>
              <w:t>洪水标准</w:t>
            </w:r>
            <w:r>
              <w:rPr>
                <w:rFonts w:ascii="仿宋" w:hAnsi="仿宋" w:eastAsia="仿宋" w:cs="仿宋"/>
                <w:spacing w:val="-45"/>
              </w:rPr>
              <w:t xml:space="preserve"> </w:t>
            </w:r>
            <w:r>
              <w:rPr>
                <w:spacing w:val="-3"/>
              </w:rPr>
              <w:t>P=2%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629" w:type="dxa"/>
            <w:tcBorders>
              <w:left w:val="nil"/>
            </w:tcBorders>
            <w:vAlign w:val="top"/>
          </w:tcPr>
          <w:p>
            <w:pPr>
              <w:rPr>
                <w:rFonts w:ascii="Arial"/>
                <w:sz w:val="21"/>
              </w:rPr>
            </w:pPr>
          </w:p>
        </w:tc>
        <w:tc>
          <w:tcPr>
            <w:tcW w:w="2686" w:type="dxa"/>
            <w:vAlign w:val="top"/>
          </w:tcPr>
          <w:p>
            <w:pPr>
              <w:spacing w:before="32" w:line="223" w:lineRule="auto"/>
              <w:ind w:left="122" w:right="265" w:firstLine="3"/>
              <w:rPr>
                <w:rFonts w:ascii="仿宋" w:hAnsi="仿宋" w:eastAsia="仿宋" w:cs="仿宋"/>
                <w:sz w:val="21"/>
                <w:szCs w:val="21"/>
              </w:rPr>
            </w:pPr>
            <w:r>
              <w:rPr>
                <w:rFonts w:ascii="仿宋" w:hAnsi="仿宋" w:eastAsia="仿宋" w:cs="仿宋"/>
                <w:spacing w:val="-2"/>
                <w:sz w:val="21"/>
                <w:szCs w:val="21"/>
              </w:rPr>
              <w:t>非常运用（校核）洪峰流</w:t>
            </w:r>
            <w:r>
              <w:rPr>
                <w:rFonts w:ascii="仿宋" w:hAnsi="仿宋" w:eastAsia="仿宋" w:cs="仿宋"/>
                <w:sz w:val="21"/>
                <w:szCs w:val="21"/>
              </w:rPr>
              <w:t xml:space="preserve"> 量</w:t>
            </w:r>
          </w:p>
        </w:tc>
        <w:tc>
          <w:tcPr>
            <w:tcW w:w="702" w:type="dxa"/>
            <w:vAlign w:val="top"/>
          </w:tcPr>
          <w:p>
            <w:pPr>
              <w:pStyle w:val="6"/>
              <w:spacing w:before="203" w:line="232" w:lineRule="auto"/>
              <w:ind w:left="166"/>
            </w:pPr>
            <w:r>
              <w:rPr>
                <w:spacing w:val="-1"/>
              </w:rPr>
              <w:t>m³/s</w:t>
            </w:r>
          </w:p>
        </w:tc>
        <w:tc>
          <w:tcPr>
            <w:tcW w:w="1451" w:type="dxa"/>
            <w:vAlign w:val="top"/>
          </w:tcPr>
          <w:p>
            <w:pPr>
              <w:pStyle w:val="6"/>
              <w:spacing w:before="205" w:line="188" w:lineRule="auto"/>
              <w:ind w:left="573"/>
            </w:pPr>
            <w:r>
              <w:rPr>
                <w:spacing w:val="-2"/>
              </w:rPr>
              <w:t>369</w:t>
            </w:r>
          </w:p>
        </w:tc>
        <w:tc>
          <w:tcPr>
            <w:tcW w:w="3490" w:type="dxa"/>
            <w:tcBorders>
              <w:right w:val="nil"/>
            </w:tcBorders>
            <w:vAlign w:val="top"/>
          </w:tcPr>
          <w:p>
            <w:pPr>
              <w:pStyle w:val="6"/>
              <w:spacing w:before="169" w:line="218" w:lineRule="auto"/>
              <w:ind w:left="121"/>
            </w:pPr>
            <w:r>
              <w:rPr>
                <w:rFonts w:ascii="仿宋" w:hAnsi="仿宋" w:eastAsia="仿宋" w:cs="仿宋"/>
                <w:spacing w:val="-2"/>
              </w:rPr>
              <w:t>洪水标准</w:t>
            </w:r>
            <w:r>
              <w:rPr>
                <w:rFonts w:ascii="仿宋" w:hAnsi="仿宋" w:eastAsia="仿宋" w:cs="仿宋"/>
                <w:spacing w:val="-49"/>
              </w:rPr>
              <w:t xml:space="preserve"> </w:t>
            </w:r>
            <w:r>
              <w:rPr>
                <w:spacing w:val="-2"/>
              </w:rPr>
              <w:t>P=0.1%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29" w:type="dxa"/>
            <w:tcBorders>
              <w:left w:val="nil"/>
            </w:tcBorders>
            <w:vAlign w:val="top"/>
          </w:tcPr>
          <w:p>
            <w:pPr>
              <w:rPr>
                <w:rFonts w:ascii="Arial"/>
                <w:sz w:val="21"/>
              </w:rPr>
            </w:pPr>
          </w:p>
        </w:tc>
        <w:tc>
          <w:tcPr>
            <w:tcW w:w="2686" w:type="dxa"/>
            <w:vAlign w:val="top"/>
          </w:tcPr>
          <w:p>
            <w:pPr>
              <w:spacing w:before="32" w:line="206" w:lineRule="auto"/>
              <w:ind w:left="118"/>
              <w:rPr>
                <w:rFonts w:ascii="仿宋" w:hAnsi="仿宋" w:eastAsia="仿宋" w:cs="仿宋"/>
                <w:sz w:val="21"/>
                <w:szCs w:val="21"/>
              </w:rPr>
            </w:pPr>
            <w:r>
              <w:rPr>
                <w:rFonts w:ascii="仿宋" w:hAnsi="仿宋" w:eastAsia="仿宋" w:cs="仿宋"/>
                <w:spacing w:val="-2"/>
                <w:sz w:val="21"/>
                <w:szCs w:val="21"/>
              </w:rPr>
              <w:t>施工枯期导流洪峰流量</w:t>
            </w:r>
          </w:p>
        </w:tc>
        <w:tc>
          <w:tcPr>
            <w:tcW w:w="702" w:type="dxa"/>
            <w:vAlign w:val="top"/>
          </w:tcPr>
          <w:p>
            <w:pPr>
              <w:pStyle w:val="6"/>
              <w:spacing w:before="67" w:line="198" w:lineRule="auto"/>
              <w:ind w:left="166"/>
            </w:pPr>
            <w:r>
              <w:rPr>
                <w:spacing w:val="-1"/>
              </w:rPr>
              <w:t>m³/s</w:t>
            </w:r>
          </w:p>
        </w:tc>
        <w:tc>
          <w:tcPr>
            <w:tcW w:w="1451" w:type="dxa"/>
            <w:vAlign w:val="top"/>
          </w:tcPr>
          <w:p>
            <w:pPr>
              <w:pStyle w:val="6"/>
              <w:spacing w:before="69" w:line="188" w:lineRule="auto"/>
              <w:ind w:left="547"/>
            </w:pPr>
            <w:r>
              <w:rPr>
                <w:spacing w:val="-2"/>
              </w:rPr>
              <w:t>9.98</w:t>
            </w:r>
          </w:p>
        </w:tc>
        <w:tc>
          <w:tcPr>
            <w:tcW w:w="3490" w:type="dxa"/>
            <w:tcBorders>
              <w:right w:val="nil"/>
            </w:tcBorders>
            <w:vAlign w:val="top"/>
          </w:tcPr>
          <w:p>
            <w:pPr>
              <w:pStyle w:val="6"/>
              <w:spacing w:before="32" w:line="206" w:lineRule="auto"/>
              <w:ind w:left="121"/>
            </w:pPr>
            <w:r>
              <w:rPr>
                <w:rFonts w:ascii="仿宋" w:hAnsi="仿宋" w:eastAsia="仿宋" w:cs="仿宋"/>
                <w:spacing w:val="-3"/>
              </w:rPr>
              <w:t>洪水标准</w:t>
            </w:r>
            <w:r>
              <w:rPr>
                <w:rFonts w:ascii="仿宋" w:hAnsi="仿宋" w:eastAsia="仿宋" w:cs="仿宋"/>
                <w:spacing w:val="-42"/>
              </w:rPr>
              <w:t xml:space="preserve"> </w:t>
            </w:r>
            <w:r>
              <w:rPr>
                <w:spacing w:val="-3"/>
              </w:rPr>
              <w:t>P=10%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29" w:type="dxa"/>
            <w:tcBorders>
              <w:left w:val="nil"/>
            </w:tcBorders>
            <w:vAlign w:val="top"/>
          </w:tcPr>
          <w:p>
            <w:pPr>
              <w:pStyle w:val="6"/>
              <w:spacing w:before="69" w:line="188" w:lineRule="auto"/>
              <w:ind w:left="207"/>
            </w:pPr>
            <w:r>
              <w:rPr>
                <w:spacing w:val="-8"/>
              </w:rPr>
              <w:t>1.4</w:t>
            </w:r>
          </w:p>
        </w:tc>
        <w:tc>
          <w:tcPr>
            <w:tcW w:w="2686" w:type="dxa"/>
            <w:vAlign w:val="top"/>
          </w:tcPr>
          <w:p>
            <w:pPr>
              <w:spacing w:before="32" w:line="206" w:lineRule="auto"/>
              <w:ind w:left="122"/>
              <w:rPr>
                <w:rFonts w:ascii="仿宋" w:hAnsi="仿宋" w:eastAsia="仿宋" w:cs="仿宋"/>
                <w:sz w:val="21"/>
                <w:szCs w:val="21"/>
              </w:rPr>
            </w:pPr>
            <w:r>
              <w:rPr>
                <w:rFonts w:ascii="仿宋" w:hAnsi="仿宋" w:eastAsia="仿宋" w:cs="仿宋"/>
                <w:spacing w:val="-5"/>
                <w:sz w:val="21"/>
                <w:szCs w:val="21"/>
              </w:rPr>
              <w:t>洪量</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29" w:type="dxa"/>
            <w:tcBorders>
              <w:left w:val="nil"/>
            </w:tcBorders>
            <w:vAlign w:val="top"/>
          </w:tcPr>
          <w:p>
            <w:pPr>
              <w:rPr>
                <w:rFonts w:ascii="Arial"/>
                <w:sz w:val="21"/>
              </w:rPr>
            </w:pPr>
          </w:p>
        </w:tc>
        <w:tc>
          <w:tcPr>
            <w:tcW w:w="2686" w:type="dxa"/>
            <w:vAlign w:val="top"/>
          </w:tcPr>
          <w:p>
            <w:pPr>
              <w:spacing w:before="31" w:line="223" w:lineRule="auto"/>
              <w:ind w:left="122" w:right="265"/>
              <w:rPr>
                <w:rFonts w:ascii="仿宋" w:hAnsi="仿宋" w:eastAsia="仿宋" w:cs="仿宋"/>
                <w:sz w:val="21"/>
                <w:szCs w:val="21"/>
              </w:rPr>
            </w:pPr>
            <w:r>
              <w:rPr>
                <w:rFonts w:ascii="仿宋" w:hAnsi="仿宋" w:eastAsia="仿宋" w:cs="仿宋"/>
                <w:spacing w:val="-14"/>
                <w:sz w:val="21"/>
                <w:szCs w:val="21"/>
              </w:rPr>
              <w:t>正常运用（设计）</w:t>
            </w:r>
            <w:r>
              <w:rPr>
                <w:rFonts w:ascii="仿宋" w:hAnsi="仿宋" w:eastAsia="仿宋" w:cs="仿宋"/>
                <w:spacing w:val="31"/>
                <w:sz w:val="21"/>
                <w:szCs w:val="21"/>
              </w:rPr>
              <w:t xml:space="preserve"> </w:t>
            </w:r>
            <w:r>
              <w:rPr>
                <w:rFonts w:ascii="仿宋" w:hAnsi="仿宋" w:eastAsia="仿宋" w:cs="仿宋"/>
                <w:spacing w:val="-14"/>
                <w:sz w:val="21"/>
                <w:szCs w:val="21"/>
              </w:rPr>
              <w:t>一日洪</w:t>
            </w:r>
            <w:r>
              <w:rPr>
                <w:rFonts w:ascii="仿宋" w:hAnsi="仿宋" w:eastAsia="仿宋" w:cs="仿宋"/>
                <w:sz w:val="21"/>
                <w:szCs w:val="21"/>
              </w:rPr>
              <w:t xml:space="preserve"> 量</w:t>
            </w:r>
          </w:p>
        </w:tc>
        <w:tc>
          <w:tcPr>
            <w:tcW w:w="702" w:type="dxa"/>
            <w:vAlign w:val="top"/>
          </w:tcPr>
          <w:p>
            <w:pPr>
              <w:spacing w:before="48" w:line="292" w:lineRule="exact"/>
              <w:ind w:left="258"/>
              <w:rPr>
                <w:rFonts w:ascii="仿宋" w:hAnsi="仿宋" w:eastAsia="仿宋" w:cs="仿宋"/>
                <w:sz w:val="21"/>
                <w:szCs w:val="21"/>
              </w:rPr>
            </w:pPr>
            <w:r>
              <w:rPr>
                <w:rFonts w:ascii="仿宋" w:hAnsi="仿宋" w:eastAsia="仿宋" w:cs="仿宋"/>
                <w:position w:val="6"/>
                <w:sz w:val="21"/>
                <w:szCs w:val="21"/>
              </w:rPr>
              <w:t>万</w:t>
            </w:r>
          </w:p>
          <w:p>
            <w:pPr>
              <w:pStyle w:val="6"/>
              <w:spacing w:line="197" w:lineRule="auto"/>
              <w:ind w:left="235"/>
            </w:pPr>
            <w:r>
              <w:rPr>
                <w:spacing w:val="-1"/>
              </w:rPr>
              <w:t>m³</w:t>
            </w:r>
          </w:p>
        </w:tc>
        <w:tc>
          <w:tcPr>
            <w:tcW w:w="1451" w:type="dxa"/>
            <w:vAlign w:val="top"/>
          </w:tcPr>
          <w:p>
            <w:pPr>
              <w:pStyle w:val="6"/>
              <w:spacing w:before="206" w:line="188" w:lineRule="auto"/>
              <w:ind w:left="575"/>
            </w:pPr>
            <w:r>
              <w:rPr>
                <w:spacing w:val="-4"/>
              </w:rPr>
              <w:t>594</w:t>
            </w:r>
          </w:p>
        </w:tc>
        <w:tc>
          <w:tcPr>
            <w:tcW w:w="3490" w:type="dxa"/>
            <w:tcBorders>
              <w:right w:val="nil"/>
            </w:tcBorders>
            <w:vAlign w:val="top"/>
          </w:tcPr>
          <w:p>
            <w:pPr>
              <w:pStyle w:val="6"/>
              <w:spacing w:before="169" w:line="218" w:lineRule="auto"/>
              <w:ind w:left="121"/>
            </w:pPr>
            <w:r>
              <w:rPr>
                <w:rFonts w:ascii="仿宋" w:hAnsi="仿宋" w:eastAsia="仿宋" w:cs="仿宋"/>
                <w:spacing w:val="-3"/>
              </w:rPr>
              <w:t>洪水标准</w:t>
            </w:r>
            <w:r>
              <w:rPr>
                <w:rFonts w:ascii="仿宋" w:hAnsi="仿宋" w:eastAsia="仿宋" w:cs="仿宋"/>
                <w:spacing w:val="-45"/>
              </w:rPr>
              <w:t xml:space="preserve"> </w:t>
            </w:r>
            <w:r>
              <w:rPr>
                <w:spacing w:val="-3"/>
              </w:rPr>
              <w:t>P=2%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629" w:type="dxa"/>
            <w:tcBorders>
              <w:left w:val="nil"/>
            </w:tcBorders>
            <w:vAlign w:val="top"/>
          </w:tcPr>
          <w:p>
            <w:pPr>
              <w:rPr>
                <w:rFonts w:ascii="Arial"/>
                <w:sz w:val="21"/>
              </w:rPr>
            </w:pPr>
          </w:p>
        </w:tc>
        <w:tc>
          <w:tcPr>
            <w:tcW w:w="2686" w:type="dxa"/>
            <w:vAlign w:val="top"/>
          </w:tcPr>
          <w:p>
            <w:pPr>
              <w:spacing w:before="34" w:line="222" w:lineRule="auto"/>
              <w:ind w:left="122" w:right="265" w:firstLine="3"/>
              <w:rPr>
                <w:rFonts w:ascii="仿宋" w:hAnsi="仿宋" w:eastAsia="仿宋" w:cs="仿宋"/>
                <w:sz w:val="21"/>
                <w:szCs w:val="21"/>
              </w:rPr>
            </w:pPr>
            <w:r>
              <w:rPr>
                <w:rFonts w:ascii="仿宋" w:hAnsi="仿宋" w:eastAsia="仿宋" w:cs="仿宋"/>
                <w:spacing w:val="-15"/>
                <w:sz w:val="21"/>
                <w:szCs w:val="21"/>
              </w:rPr>
              <w:t>非常运用（校核）</w:t>
            </w:r>
            <w:r>
              <w:rPr>
                <w:rFonts w:ascii="仿宋" w:hAnsi="仿宋" w:eastAsia="仿宋" w:cs="仿宋"/>
                <w:spacing w:val="38"/>
                <w:sz w:val="21"/>
                <w:szCs w:val="21"/>
              </w:rPr>
              <w:t xml:space="preserve"> </w:t>
            </w:r>
            <w:r>
              <w:rPr>
                <w:rFonts w:ascii="仿宋" w:hAnsi="仿宋" w:eastAsia="仿宋" w:cs="仿宋"/>
                <w:spacing w:val="-15"/>
                <w:sz w:val="21"/>
                <w:szCs w:val="21"/>
              </w:rPr>
              <w:t>一日洪</w:t>
            </w:r>
            <w:r>
              <w:rPr>
                <w:rFonts w:ascii="仿宋" w:hAnsi="仿宋" w:eastAsia="仿宋" w:cs="仿宋"/>
                <w:sz w:val="21"/>
                <w:szCs w:val="21"/>
              </w:rPr>
              <w:t xml:space="preserve"> 量</w:t>
            </w:r>
          </w:p>
        </w:tc>
        <w:tc>
          <w:tcPr>
            <w:tcW w:w="702" w:type="dxa"/>
            <w:vAlign w:val="top"/>
          </w:tcPr>
          <w:p>
            <w:pPr>
              <w:spacing w:before="50" w:line="291" w:lineRule="exact"/>
              <w:ind w:left="258"/>
              <w:rPr>
                <w:rFonts w:ascii="仿宋" w:hAnsi="仿宋" w:eastAsia="仿宋" w:cs="仿宋"/>
                <w:sz w:val="21"/>
                <w:szCs w:val="21"/>
              </w:rPr>
            </w:pPr>
            <w:r>
              <w:rPr>
                <w:rFonts w:ascii="仿宋" w:hAnsi="仿宋" w:eastAsia="仿宋" w:cs="仿宋"/>
                <w:position w:val="6"/>
                <w:sz w:val="21"/>
                <w:szCs w:val="21"/>
              </w:rPr>
              <w:t>万</w:t>
            </w:r>
          </w:p>
          <w:p>
            <w:pPr>
              <w:pStyle w:val="6"/>
              <w:spacing w:line="197" w:lineRule="auto"/>
              <w:ind w:left="235"/>
            </w:pPr>
            <w:r>
              <w:rPr>
                <w:spacing w:val="-1"/>
              </w:rPr>
              <w:t>m³</w:t>
            </w:r>
          </w:p>
        </w:tc>
        <w:tc>
          <w:tcPr>
            <w:tcW w:w="1451" w:type="dxa"/>
            <w:vAlign w:val="top"/>
          </w:tcPr>
          <w:p>
            <w:pPr>
              <w:pStyle w:val="6"/>
              <w:spacing w:before="206" w:line="188" w:lineRule="auto"/>
              <w:ind w:left="573"/>
            </w:pPr>
            <w:r>
              <w:rPr>
                <w:spacing w:val="-2"/>
              </w:rPr>
              <w:t>981</w:t>
            </w:r>
          </w:p>
        </w:tc>
        <w:tc>
          <w:tcPr>
            <w:tcW w:w="3490" w:type="dxa"/>
            <w:tcBorders>
              <w:right w:val="nil"/>
            </w:tcBorders>
            <w:vAlign w:val="top"/>
          </w:tcPr>
          <w:p>
            <w:pPr>
              <w:pStyle w:val="6"/>
              <w:spacing w:before="170" w:line="218" w:lineRule="auto"/>
              <w:ind w:left="121"/>
            </w:pPr>
            <w:r>
              <w:rPr>
                <w:rFonts w:ascii="仿宋" w:hAnsi="仿宋" w:eastAsia="仿宋" w:cs="仿宋"/>
                <w:spacing w:val="-2"/>
              </w:rPr>
              <w:t>洪水标准</w:t>
            </w:r>
            <w:r>
              <w:rPr>
                <w:rFonts w:ascii="仿宋" w:hAnsi="仿宋" w:eastAsia="仿宋" w:cs="仿宋"/>
                <w:spacing w:val="-49"/>
              </w:rPr>
              <w:t xml:space="preserve"> </w:t>
            </w:r>
            <w:r>
              <w:rPr>
                <w:spacing w:val="-2"/>
              </w:rPr>
              <w:t>P=0.1%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7" w:hRule="atLeast"/>
        </w:trPr>
        <w:tc>
          <w:tcPr>
            <w:tcW w:w="629" w:type="dxa"/>
            <w:tcBorders>
              <w:left w:val="nil"/>
            </w:tcBorders>
            <w:vAlign w:val="top"/>
          </w:tcPr>
          <w:p>
            <w:pPr>
              <w:rPr>
                <w:rFonts w:ascii="Arial"/>
                <w:sz w:val="21"/>
              </w:rPr>
            </w:pPr>
          </w:p>
        </w:tc>
        <w:tc>
          <w:tcPr>
            <w:tcW w:w="2686" w:type="dxa"/>
            <w:vAlign w:val="top"/>
          </w:tcPr>
          <w:p>
            <w:pPr>
              <w:spacing w:before="155" w:line="218" w:lineRule="auto"/>
              <w:ind w:left="118"/>
              <w:rPr>
                <w:rFonts w:ascii="仿宋" w:hAnsi="仿宋" w:eastAsia="仿宋" w:cs="仿宋"/>
                <w:sz w:val="21"/>
                <w:szCs w:val="21"/>
              </w:rPr>
            </w:pPr>
            <w:r>
              <w:rPr>
                <w:rFonts w:ascii="仿宋" w:hAnsi="仿宋" w:eastAsia="仿宋" w:cs="仿宋"/>
                <w:spacing w:val="-2"/>
                <w:sz w:val="21"/>
                <w:szCs w:val="21"/>
              </w:rPr>
              <w:t>施工枯期导流一日洪量</w:t>
            </w:r>
          </w:p>
        </w:tc>
        <w:tc>
          <w:tcPr>
            <w:tcW w:w="702" w:type="dxa"/>
            <w:vAlign w:val="top"/>
          </w:tcPr>
          <w:p>
            <w:pPr>
              <w:spacing w:before="33" w:line="286" w:lineRule="exact"/>
              <w:ind w:left="258"/>
              <w:rPr>
                <w:rFonts w:ascii="仿宋" w:hAnsi="仿宋" w:eastAsia="仿宋" w:cs="仿宋"/>
                <w:sz w:val="21"/>
                <w:szCs w:val="21"/>
              </w:rPr>
            </w:pPr>
            <w:r>
              <w:rPr>
                <w:rFonts w:ascii="仿宋" w:hAnsi="仿宋" w:eastAsia="仿宋" w:cs="仿宋"/>
                <w:position w:val="6"/>
                <w:sz w:val="21"/>
                <w:szCs w:val="21"/>
              </w:rPr>
              <w:t>万</w:t>
            </w:r>
          </w:p>
          <w:p>
            <w:pPr>
              <w:pStyle w:val="6"/>
              <w:spacing w:line="186" w:lineRule="auto"/>
              <w:ind w:left="235"/>
            </w:pPr>
            <w:r>
              <w:rPr>
                <w:spacing w:val="-1"/>
              </w:rPr>
              <w:t>m³</w:t>
            </w:r>
          </w:p>
        </w:tc>
        <w:tc>
          <w:tcPr>
            <w:tcW w:w="1451" w:type="dxa"/>
            <w:vAlign w:val="top"/>
          </w:tcPr>
          <w:p>
            <w:pPr>
              <w:pStyle w:val="6"/>
              <w:spacing w:before="190" w:line="188" w:lineRule="auto"/>
              <w:ind w:left="543"/>
            </w:pPr>
            <w:r>
              <w:rPr>
                <w:spacing w:val="-1"/>
              </w:rPr>
              <w:t>27.2</w:t>
            </w:r>
          </w:p>
        </w:tc>
        <w:tc>
          <w:tcPr>
            <w:tcW w:w="3490" w:type="dxa"/>
            <w:tcBorders>
              <w:right w:val="nil"/>
            </w:tcBorders>
            <w:vAlign w:val="top"/>
          </w:tcPr>
          <w:p>
            <w:pPr>
              <w:pStyle w:val="6"/>
              <w:spacing w:before="155" w:line="218" w:lineRule="auto"/>
              <w:ind w:left="121"/>
            </w:pPr>
            <w:r>
              <w:rPr>
                <w:rFonts w:ascii="仿宋" w:hAnsi="仿宋" w:eastAsia="仿宋" w:cs="仿宋"/>
                <w:spacing w:val="-3"/>
              </w:rPr>
              <w:t>洪水标准</w:t>
            </w:r>
            <w:r>
              <w:rPr>
                <w:rFonts w:ascii="仿宋" w:hAnsi="仿宋" w:eastAsia="仿宋" w:cs="仿宋"/>
                <w:spacing w:val="-42"/>
              </w:rPr>
              <w:t xml:space="preserve"> </w:t>
            </w:r>
            <w:r>
              <w:rPr>
                <w:spacing w:val="-3"/>
              </w:rPr>
              <w:t>P=10%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29" w:type="dxa"/>
            <w:tcBorders>
              <w:left w:val="nil"/>
            </w:tcBorders>
            <w:vAlign w:val="top"/>
          </w:tcPr>
          <w:p>
            <w:pPr>
              <w:pStyle w:val="6"/>
              <w:spacing w:before="71" w:line="188" w:lineRule="auto"/>
              <w:ind w:left="207"/>
            </w:pPr>
            <w:r>
              <w:rPr>
                <w:spacing w:val="-8"/>
              </w:rPr>
              <w:t>1.5</w:t>
            </w:r>
          </w:p>
        </w:tc>
        <w:tc>
          <w:tcPr>
            <w:tcW w:w="2686" w:type="dxa"/>
            <w:vAlign w:val="top"/>
          </w:tcPr>
          <w:p>
            <w:pPr>
              <w:spacing w:before="34" w:line="204" w:lineRule="auto"/>
              <w:ind w:left="118"/>
              <w:rPr>
                <w:rFonts w:ascii="仿宋" w:hAnsi="仿宋" w:eastAsia="仿宋" w:cs="仿宋"/>
                <w:sz w:val="21"/>
                <w:szCs w:val="21"/>
              </w:rPr>
            </w:pPr>
            <w:r>
              <w:rPr>
                <w:rFonts w:ascii="仿宋" w:hAnsi="仿宋" w:eastAsia="仿宋" w:cs="仿宋"/>
                <w:spacing w:val="-4"/>
                <w:sz w:val="21"/>
                <w:szCs w:val="21"/>
              </w:rPr>
              <w:t>泥沙</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629" w:type="dxa"/>
            <w:tcBorders>
              <w:left w:val="nil"/>
            </w:tcBorders>
            <w:vAlign w:val="top"/>
          </w:tcPr>
          <w:p>
            <w:pPr>
              <w:rPr>
                <w:rFonts w:ascii="Arial"/>
                <w:sz w:val="21"/>
              </w:rPr>
            </w:pPr>
          </w:p>
        </w:tc>
        <w:tc>
          <w:tcPr>
            <w:tcW w:w="2686" w:type="dxa"/>
            <w:vAlign w:val="top"/>
          </w:tcPr>
          <w:p>
            <w:pPr>
              <w:spacing w:before="35" w:line="204" w:lineRule="auto"/>
              <w:ind w:left="131"/>
              <w:rPr>
                <w:rFonts w:ascii="仿宋" w:hAnsi="仿宋" w:eastAsia="仿宋" w:cs="仿宋"/>
                <w:sz w:val="21"/>
                <w:szCs w:val="21"/>
              </w:rPr>
            </w:pPr>
            <w:r>
              <w:rPr>
                <w:rFonts w:ascii="仿宋" w:hAnsi="仿宋" w:eastAsia="仿宋" w:cs="仿宋"/>
                <w:spacing w:val="-3"/>
                <w:sz w:val="21"/>
                <w:szCs w:val="21"/>
              </w:rPr>
              <w:t>多年平均悬移质年输沙量</w:t>
            </w:r>
          </w:p>
        </w:tc>
        <w:tc>
          <w:tcPr>
            <w:tcW w:w="702" w:type="dxa"/>
            <w:vAlign w:val="top"/>
          </w:tcPr>
          <w:p>
            <w:pPr>
              <w:pStyle w:val="6"/>
              <w:spacing w:before="35" w:line="204" w:lineRule="auto"/>
              <w:ind w:left="202"/>
            </w:pPr>
            <w:r>
              <w:rPr>
                <w:rFonts w:ascii="仿宋" w:hAnsi="仿宋" w:eastAsia="仿宋" w:cs="仿宋"/>
                <w:spacing w:val="-8"/>
              </w:rPr>
              <w:t>万</w:t>
            </w:r>
            <w:r>
              <w:rPr>
                <w:rFonts w:ascii="仿宋" w:hAnsi="仿宋" w:eastAsia="仿宋" w:cs="仿宋"/>
                <w:spacing w:val="-51"/>
              </w:rPr>
              <w:t xml:space="preserve"> </w:t>
            </w:r>
            <w:r>
              <w:rPr>
                <w:spacing w:val="-8"/>
              </w:rPr>
              <w:t>t</w:t>
            </w:r>
          </w:p>
        </w:tc>
        <w:tc>
          <w:tcPr>
            <w:tcW w:w="1451" w:type="dxa"/>
            <w:vAlign w:val="top"/>
          </w:tcPr>
          <w:p>
            <w:pPr>
              <w:pStyle w:val="6"/>
              <w:spacing w:before="72" w:line="188" w:lineRule="auto"/>
              <w:ind w:left="547"/>
            </w:pPr>
            <w:r>
              <w:rPr>
                <w:spacing w:val="-2"/>
              </w:rPr>
              <w:t>9.12</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629" w:type="dxa"/>
            <w:tcBorders>
              <w:left w:val="nil"/>
            </w:tcBorders>
            <w:vAlign w:val="top"/>
          </w:tcPr>
          <w:p>
            <w:pPr>
              <w:rPr>
                <w:rFonts w:ascii="Arial"/>
                <w:sz w:val="21"/>
              </w:rPr>
            </w:pPr>
          </w:p>
        </w:tc>
        <w:tc>
          <w:tcPr>
            <w:tcW w:w="2686" w:type="dxa"/>
            <w:vAlign w:val="top"/>
          </w:tcPr>
          <w:p>
            <w:pPr>
              <w:spacing w:before="35" w:line="207" w:lineRule="auto"/>
              <w:ind w:left="131"/>
              <w:rPr>
                <w:rFonts w:ascii="仿宋" w:hAnsi="仿宋" w:eastAsia="仿宋" w:cs="仿宋"/>
                <w:sz w:val="21"/>
                <w:szCs w:val="21"/>
              </w:rPr>
            </w:pPr>
            <w:r>
              <w:rPr>
                <w:rFonts w:ascii="仿宋" w:hAnsi="仿宋" w:eastAsia="仿宋" w:cs="仿宋"/>
                <w:spacing w:val="-3"/>
                <w:sz w:val="21"/>
                <w:szCs w:val="21"/>
              </w:rPr>
              <w:t>多年平均推移质年输沙量</w:t>
            </w:r>
          </w:p>
        </w:tc>
        <w:tc>
          <w:tcPr>
            <w:tcW w:w="702" w:type="dxa"/>
            <w:vAlign w:val="top"/>
          </w:tcPr>
          <w:p>
            <w:pPr>
              <w:pStyle w:val="6"/>
              <w:spacing w:before="35" w:line="207" w:lineRule="auto"/>
              <w:ind w:left="202"/>
            </w:pPr>
            <w:r>
              <w:rPr>
                <w:rFonts w:ascii="仿宋" w:hAnsi="仿宋" w:eastAsia="仿宋" w:cs="仿宋"/>
                <w:spacing w:val="-8"/>
              </w:rPr>
              <w:t>万</w:t>
            </w:r>
            <w:r>
              <w:rPr>
                <w:rFonts w:ascii="仿宋" w:hAnsi="仿宋" w:eastAsia="仿宋" w:cs="仿宋"/>
                <w:spacing w:val="-51"/>
              </w:rPr>
              <w:t xml:space="preserve"> </w:t>
            </w:r>
            <w:r>
              <w:rPr>
                <w:spacing w:val="-8"/>
              </w:rPr>
              <w:t>t</w:t>
            </w:r>
          </w:p>
        </w:tc>
        <w:tc>
          <w:tcPr>
            <w:tcW w:w="1451" w:type="dxa"/>
            <w:vAlign w:val="top"/>
          </w:tcPr>
          <w:p>
            <w:pPr>
              <w:pStyle w:val="6"/>
              <w:spacing w:before="71" w:line="188" w:lineRule="auto"/>
              <w:ind w:left="563"/>
            </w:pPr>
            <w:r>
              <w:rPr>
                <w:spacing w:val="-6"/>
              </w:rPr>
              <w:t>1.83</w:t>
            </w:r>
          </w:p>
        </w:tc>
        <w:tc>
          <w:tcPr>
            <w:tcW w:w="3490" w:type="dxa"/>
            <w:tcBorders>
              <w:right w:val="nil"/>
            </w:tcBorders>
            <w:vAlign w:val="top"/>
          </w:tcPr>
          <w:p>
            <w:pPr>
              <w:rPr>
                <w:rFonts w:ascii="Arial"/>
                <w:sz w:val="21"/>
              </w:rPr>
            </w:pPr>
          </w:p>
        </w:tc>
      </w:tr>
    </w:tbl>
    <w:p>
      <w:pPr>
        <w:spacing w:before="31" w:line="212" w:lineRule="auto"/>
        <w:ind w:left="158"/>
        <w:outlineLvl w:val="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二、工程规模</w:t>
      </w:r>
    </w:p>
    <w:tbl>
      <w:tblPr>
        <w:tblStyle w:val="5"/>
        <w:tblW w:w="8972"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2686"/>
        <w:gridCol w:w="702"/>
        <w:gridCol w:w="1451"/>
        <w:gridCol w:w="3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2" w:hRule="atLeast"/>
        </w:trPr>
        <w:tc>
          <w:tcPr>
            <w:tcW w:w="643" w:type="dxa"/>
            <w:tcBorders>
              <w:left w:val="nil"/>
            </w:tcBorders>
            <w:vAlign w:val="top"/>
          </w:tcPr>
          <w:p>
            <w:pPr>
              <w:pStyle w:val="6"/>
              <w:spacing w:before="71" w:line="188" w:lineRule="auto"/>
              <w:ind w:left="201"/>
            </w:pPr>
            <w:r>
              <w:rPr>
                <w:spacing w:val="-2"/>
              </w:rPr>
              <w:t>2.1</w:t>
            </w:r>
          </w:p>
        </w:tc>
        <w:tc>
          <w:tcPr>
            <w:tcW w:w="2686" w:type="dxa"/>
            <w:vAlign w:val="top"/>
          </w:tcPr>
          <w:p>
            <w:pPr>
              <w:spacing w:before="36" w:line="207" w:lineRule="auto"/>
              <w:ind w:left="119"/>
              <w:rPr>
                <w:rFonts w:ascii="仿宋" w:hAnsi="仿宋" w:eastAsia="仿宋" w:cs="仿宋"/>
                <w:sz w:val="21"/>
                <w:szCs w:val="21"/>
              </w:rPr>
            </w:pPr>
            <w:r>
              <w:rPr>
                <w:rFonts w:ascii="仿宋" w:hAnsi="仿宋" w:eastAsia="仿宋" w:cs="仿宋"/>
                <w:spacing w:val="-3"/>
                <w:sz w:val="21"/>
                <w:szCs w:val="21"/>
              </w:rPr>
              <w:t>水库水位</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3" w:type="dxa"/>
            <w:tcBorders>
              <w:left w:val="nil"/>
            </w:tcBorders>
            <w:vAlign w:val="top"/>
          </w:tcPr>
          <w:p>
            <w:pPr>
              <w:rPr>
                <w:rFonts w:ascii="Arial"/>
                <w:sz w:val="21"/>
              </w:rPr>
            </w:pPr>
          </w:p>
        </w:tc>
        <w:tc>
          <w:tcPr>
            <w:tcW w:w="2686" w:type="dxa"/>
            <w:vAlign w:val="top"/>
          </w:tcPr>
          <w:p>
            <w:pPr>
              <w:spacing w:before="31" w:line="206" w:lineRule="auto"/>
              <w:ind w:left="119"/>
              <w:rPr>
                <w:rFonts w:ascii="仿宋" w:hAnsi="仿宋" w:eastAsia="仿宋" w:cs="仿宋"/>
                <w:sz w:val="21"/>
                <w:szCs w:val="21"/>
              </w:rPr>
            </w:pPr>
            <w:r>
              <w:rPr>
                <w:rFonts w:ascii="仿宋" w:hAnsi="仿宋" w:eastAsia="仿宋" w:cs="仿宋"/>
                <w:spacing w:val="-3"/>
                <w:sz w:val="21"/>
                <w:szCs w:val="21"/>
              </w:rPr>
              <w:t>校核洪水位</w:t>
            </w:r>
          </w:p>
        </w:tc>
        <w:tc>
          <w:tcPr>
            <w:tcW w:w="702" w:type="dxa"/>
            <w:vAlign w:val="top"/>
          </w:tcPr>
          <w:p>
            <w:pPr>
              <w:pStyle w:val="6"/>
              <w:spacing w:before="66" w:line="198" w:lineRule="auto"/>
              <w:ind w:left="267"/>
            </w:pPr>
            <w:r>
              <w:t>m</w:t>
            </w:r>
          </w:p>
        </w:tc>
        <w:tc>
          <w:tcPr>
            <w:tcW w:w="1451" w:type="dxa"/>
            <w:vAlign w:val="top"/>
          </w:tcPr>
          <w:p>
            <w:pPr>
              <w:pStyle w:val="6"/>
              <w:spacing w:before="68" w:line="188" w:lineRule="auto"/>
              <w:ind w:left="386"/>
            </w:pPr>
            <w:r>
              <w:rPr>
                <w:spacing w:val="-1"/>
              </w:rPr>
              <w:t>2097.09</w:t>
            </w:r>
          </w:p>
        </w:tc>
        <w:tc>
          <w:tcPr>
            <w:tcW w:w="3490" w:type="dxa"/>
            <w:tcBorders>
              <w:right w:val="nil"/>
            </w:tcBorders>
            <w:vAlign w:val="top"/>
          </w:tcPr>
          <w:p>
            <w:pPr>
              <w:pStyle w:val="6"/>
              <w:spacing w:before="67" w:line="188" w:lineRule="auto"/>
              <w:ind w:left="109"/>
            </w:pPr>
            <w:r>
              <w:rPr>
                <w:spacing w:val="-1"/>
              </w:rPr>
              <w:t>P=0.1%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3" w:type="dxa"/>
            <w:tcBorders>
              <w:left w:val="nil"/>
            </w:tcBorders>
            <w:vAlign w:val="top"/>
          </w:tcPr>
          <w:p>
            <w:pPr>
              <w:rPr>
                <w:rFonts w:ascii="Arial"/>
                <w:sz w:val="21"/>
              </w:rPr>
            </w:pPr>
          </w:p>
        </w:tc>
        <w:tc>
          <w:tcPr>
            <w:tcW w:w="2686" w:type="dxa"/>
            <w:vAlign w:val="top"/>
          </w:tcPr>
          <w:p>
            <w:pPr>
              <w:spacing w:before="32" w:line="205" w:lineRule="auto"/>
              <w:ind w:left="119"/>
              <w:rPr>
                <w:rFonts w:ascii="仿宋" w:hAnsi="仿宋" w:eastAsia="仿宋" w:cs="仿宋"/>
                <w:sz w:val="21"/>
                <w:szCs w:val="21"/>
              </w:rPr>
            </w:pPr>
            <w:r>
              <w:rPr>
                <w:rFonts w:ascii="仿宋" w:hAnsi="仿宋" w:eastAsia="仿宋" w:cs="仿宋"/>
                <w:spacing w:val="-3"/>
                <w:sz w:val="21"/>
                <w:szCs w:val="21"/>
              </w:rPr>
              <w:t>设计洪水位</w:t>
            </w:r>
          </w:p>
        </w:tc>
        <w:tc>
          <w:tcPr>
            <w:tcW w:w="702" w:type="dxa"/>
            <w:vAlign w:val="top"/>
          </w:tcPr>
          <w:p>
            <w:pPr>
              <w:pStyle w:val="6"/>
              <w:spacing w:before="67" w:line="197" w:lineRule="auto"/>
              <w:ind w:left="267"/>
            </w:pPr>
            <w:r>
              <w:t>m</w:t>
            </w:r>
          </w:p>
        </w:tc>
        <w:tc>
          <w:tcPr>
            <w:tcW w:w="1451" w:type="dxa"/>
            <w:vAlign w:val="top"/>
          </w:tcPr>
          <w:p>
            <w:pPr>
              <w:pStyle w:val="6"/>
              <w:spacing w:before="69" w:line="188" w:lineRule="auto"/>
              <w:ind w:left="386"/>
            </w:pPr>
            <w:r>
              <w:rPr>
                <w:spacing w:val="-1"/>
              </w:rPr>
              <w:t>2096.21</w:t>
            </w:r>
          </w:p>
        </w:tc>
        <w:tc>
          <w:tcPr>
            <w:tcW w:w="3490" w:type="dxa"/>
            <w:tcBorders>
              <w:right w:val="nil"/>
            </w:tcBorders>
            <w:vAlign w:val="top"/>
          </w:tcPr>
          <w:p>
            <w:pPr>
              <w:pStyle w:val="6"/>
              <w:spacing w:before="68" w:line="188" w:lineRule="auto"/>
              <w:ind w:left="109"/>
            </w:pPr>
            <w:r>
              <w:rPr>
                <w:spacing w:val="-1"/>
              </w:rPr>
              <w:t>P=2%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3" w:type="dxa"/>
            <w:tcBorders>
              <w:left w:val="nil"/>
            </w:tcBorders>
            <w:vAlign w:val="top"/>
          </w:tcPr>
          <w:p>
            <w:pPr>
              <w:rPr>
                <w:rFonts w:ascii="Arial"/>
                <w:sz w:val="21"/>
              </w:rPr>
            </w:pPr>
          </w:p>
        </w:tc>
        <w:tc>
          <w:tcPr>
            <w:tcW w:w="2686" w:type="dxa"/>
            <w:vAlign w:val="top"/>
          </w:tcPr>
          <w:p>
            <w:pPr>
              <w:spacing w:before="33" w:line="204" w:lineRule="auto"/>
              <w:ind w:left="122"/>
              <w:rPr>
                <w:rFonts w:ascii="仿宋" w:hAnsi="仿宋" w:eastAsia="仿宋" w:cs="仿宋"/>
                <w:sz w:val="21"/>
                <w:szCs w:val="21"/>
              </w:rPr>
            </w:pPr>
            <w:r>
              <w:rPr>
                <w:rFonts w:ascii="仿宋" w:hAnsi="仿宋" w:eastAsia="仿宋" w:cs="仿宋"/>
                <w:spacing w:val="-3"/>
                <w:sz w:val="21"/>
                <w:szCs w:val="21"/>
              </w:rPr>
              <w:t>正常蓄水位</w:t>
            </w:r>
          </w:p>
        </w:tc>
        <w:tc>
          <w:tcPr>
            <w:tcW w:w="702" w:type="dxa"/>
            <w:vAlign w:val="top"/>
          </w:tcPr>
          <w:p>
            <w:pPr>
              <w:pStyle w:val="6"/>
              <w:spacing w:before="68" w:line="196" w:lineRule="auto"/>
              <w:ind w:left="267"/>
            </w:pPr>
            <w:r>
              <w:t>m</w:t>
            </w:r>
          </w:p>
        </w:tc>
        <w:tc>
          <w:tcPr>
            <w:tcW w:w="1451" w:type="dxa"/>
            <w:vAlign w:val="top"/>
          </w:tcPr>
          <w:p>
            <w:pPr>
              <w:pStyle w:val="6"/>
              <w:spacing w:before="70" w:line="188" w:lineRule="auto"/>
              <w:ind w:left="386"/>
            </w:pPr>
            <w:r>
              <w:rPr>
                <w:spacing w:val="-1"/>
              </w:rPr>
              <w:t>2094.15</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43" w:type="dxa"/>
            <w:tcBorders>
              <w:left w:val="nil"/>
            </w:tcBorders>
            <w:vAlign w:val="top"/>
          </w:tcPr>
          <w:p>
            <w:pPr>
              <w:rPr>
                <w:rFonts w:ascii="Arial"/>
                <w:sz w:val="21"/>
              </w:rPr>
            </w:pPr>
          </w:p>
        </w:tc>
        <w:tc>
          <w:tcPr>
            <w:tcW w:w="2686" w:type="dxa"/>
            <w:vAlign w:val="top"/>
          </w:tcPr>
          <w:p>
            <w:pPr>
              <w:spacing w:before="36" w:line="203" w:lineRule="auto"/>
              <w:ind w:left="122"/>
              <w:rPr>
                <w:rFonts w:ascii="仿宋" w:hAnsi="仿宋" w:eastAsia="仿宋" w:cs="仿宋"/>
                <w:sz w:val="21"/>
                <w:szCs w:val="21"/>
              </w:rPr>
            </w:pPr>
            <w:r>
              <w:rPr>
                <w:rFonts w:ascii="仿宋" w:hAnsi="仿宋" w:eastAsia="仿宋" w:cs="仿宋"/>
                <w:spacing w:val="-4"/>
                <w:sz w:val="21"/>
                <w:szCs w:val="21"/>
              </w:rPr>
              <w:t>死水位</w:t>
            </w:r>
          </w:p>
        </w:tc>
        <w:tc>
          <w:tcPr>
            <w:tcW w:w="702" w:type="dxa"/>
            <w:vAlign w:val="top"/>
          </w:tcPr>
          <w:p>
            <w:pPr>
              <w:pStyle w:val="6"/>
              <w:spacing w:before="70" w:line="195" w:lineRule="auto"/>
              <w:ind w:left="267"/>
            </w:pPr>
            <w:r>
              <w:t>m</w:t>
            </w:r>
          </w:p>
        </w:tc>
        <w:tc>
          <w:tcPr>
            <w:tcW w:w="1451" w:type="dxa"/>
            <w:vAlign w:val="top"/>
          </w:tcPr>
          <w:p>
            <w:pPr>
              <w:pStyle w:val="6"/>
              <w:spacing w:before="72" w:line="188" w:lineRule="auto"/>
              <w:ind w:left="386"/>
            </w:pPr>
            <w:r>
              <w:rPr>
                <w:spacing w:val="-1"/>
              </w:rPr>
              <w:t>2058.80</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7" w:hRule="atLeast"/>
        </w:trPr>
        <w:tc>
          <w:tcPr>
            <w:tcW w:w="643" w:type="dxa"/>
            <w:tcBorders>
              <w:left w:val="nil"/>
            </w:tcBorders>
            <w:vAlign w:val="top"/>
          </w:tcPr>
          <w:p>
            <w:pPr>
              <w:pStyle w:val="6"/>
              <w:spacing w:before="193" w:line="188" w:lineRule="auto"/>
              <w:ind w:left="201"/>
            </w:pPr>
            <w:r>
              <w:rPr>
                <w:spacing w:val="-2"/>
              </w:rPr>
              <w:t>2.2</w:t>
            </w:r>
          </w:p>
        </w:tc>
        <w:tc>
          <w:tcPr>
            <w:tcW w:w="2686" w:type="dxa"/>
            <w:vAlign w:val="top"/>
          </w:tcPr>
          <w:p>
            <w:pPr>
              <w:spacing w:before="157" w:line="217" w:lineRule="auto"/>
              <w:ind w:left="122"/>
              <w:rPr>
                <w:rFonts w:ascii="仿宋" w:hAnsi="仿宋" w:eastAsia="仿宋" w:cs="仿宋"/>
                <w:sz w:val="21"/>
                <w:szCs w:val="21"/>
              </w:rPr>
            </w:pPr>
            <w:r>
              <w:rPr>
                <w:rFonts w:ascii="仿宋" w:hAnsi="仿宋" w:eastAsia="仿宋" w:cs="仿宋"/>
                <w:spacing w:val="-2"/>
                <w:sz w:val="21"/>
                <w:szCs w:val="21"/>
              </w:rPr>
              <w:t>正常蓄水位时水库面积</w:t>
            </w:r>
          </w:p>
        </w:tc>
        <w:tc>
          <w:tcPr>
            <w:tcW w:w="702" w:type="dxa"/>
            <w:vAlign w:val="top"/>
          </w:tcPr>
          <w:p>
            <w:pPr>
              <w:spacing w:before="36" w:line="223" w:lineRule="auto"/>
              <w:ind w:left="258"/>
              <w:rPr>
                <w:rFonts w:ascii="仿宋" w:hAnsi="仿宋" w:eastAsia="仿宋" w:cs="仿宋"/>
                <w:sz w:val="21"/>
                <w:szCs w:val="21"/>
              </w:rPr>
            </w:pPr>
            <w:r>
              <w:rPr>
                <w:rFonts w:ascii="仿宋" w:hAnsi="仿宋" w:eastAsia="仿宋" w:cs="仿宋"/>
                <w:sz w:val="21"/>
                <w:szCs w:val="21"/>
              </w:rPr>
              <w:t>万</w:t>
            </w:r>
          </w:p>
          <w:p>
            <w:pPr>
              <w:pStyle w:val="6"/>
              <w:spacing w:line="210" w:lineRule="auto"/>
              <w:ind w:left="232"/>
              <w:rPr>
                <w:sz w:val="14"/>
                <w:szCs w:val="14"/>
              </w:rPr>
            </w:pPr>
            <w:r>
              <w:rPr>
                <w:spacing w:val="-1"/>
                <w:position w:val="-1"/>
              </w:rPr>
              <w:t>m</w:t>
            </w:r>
            <w:r>
              <w:rPr>
                <w:spacing w:val="-1"/>
                <w:position w:val="6"/>
                <w:sz w:val="14"/>
                <w:szCs w:val="14"/>
              </w:rPr>
              <w:t>2</w:t>
            </w:r>
          </w:p>
        </w:tc>
        <w:tc>
          <w:tcPr>
            <w:tcW w:w="1451" w:type="dxa"/>
            <w:vAlign w:val="top"/>
          </w:tcPr>
          <w:p>
            <w:pPr>
              <w:pStyle w:val="6"/>
              <w:spacing w:before="193" w:line="188" w:lineRule="auto"/>
              <w:ind w:left="489"/>
            </w:pPr>
            <w:r>
              <w:rPr>
                <w:spacing w:val="-1"/>
              </w:rPr>
              <w:t>41.36</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43" w:type="dxa"/>
            <w:tcBorders>
              <w:left w:val="nil"/>
            </w:tcBorders>
            <w:vAlign w:val="top"/>
          </w:tcPr>
          <w:p>
            <w:pPr>
              <w:pStyle w:val="6"/>
              <w:spacing w:before="73" w:line="188" w:lineRule="auto"/>
              <w:ind w:left="201"/>
            </w:pPr>
            <w:r>
              <w:rPr>
                <w:spacing w:val="-2"/>
              </w:rPr>
              <w:t>2.3</w:t>
            </w:r>
          </w:p>
        </w:tc>
        <w:tc>
          <w:tcPr>
            <w:tcW w:w="2686" w:type="dxa"/>
            <w:vAlign w:val="top"/>
          </w:tcPr>
          <w:p>
            <w:pPr>
              <w:spacing w:before="38" w:line="201" w:lineRule="auto"/>
              <w:ind w:left="119"/>
              <w:rPr>
                <w:rFonts w:ascii="仿宋" w:hAnsi="仿宋" w:eastAsia="仿宋" w:cs="仿宋"/>
                <w:sz w:val="21"/>
                <w:szCs w:val="21"/>
              </w:rPr>
            </w:pPr>
            <w:r>
              <w:rPr>
                <w:rFonts w:ascii="仿宋" w:hAnsi="仿宋" w:eastAsia="仿宋" w:cs="仿宋"/>
                <w:spacing w:val="-3"/>
                <w:sz w:val="21"/>
                <w:szCs w:val="21"/>
              </w:rPr>
              <w:t>水库容积</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6" w:hRule="atLeast"/>
        </w:trPr>
        <w:tc>
          <w:tcPr>
            <w:tcW w:w="643" w:type="dxa"/>
            <w:tcBorders>
              <w:left w:val="nil"/>
            </w:tcBorders>
            <w:vAlign w:val="top"/>
          </w:tcPr>
          <w:p>
            <w:pPr>
              <w:rPr>
                <w:rFonts w:ascii="Arial"/>
                <w:sz w:val="21"/>
              </w:rPr>
            </w:pPr>
          </w:p>
        </w:tc>
        <w:tc>
          <w:tcPr>
            <w:tcW w:w="2686" w:type="dxa"/>
            <w:vAlign w:val="top"/>
          </w:tcPr>
          <w:p>
            <w:pPr>
              <w:spacing w:before="158" w:line="218" w:lineRule="auto"/>
              <w:ind w:left="128"/>
              <w:rPr>
                <w:rFonts w:ascii="仿宋" w:hAnsi="仿宋" w:eastAsia="仿宋" w:cs="仿宋"/>
                <w:sz w:val="21"/>
                <w:szCs w:val="21"/>
              </w:rPr>
            </w:pPr>
            <w:r>
              <w:rPr>
                <w:rFonts w:ascii="仿宋" w:hAnsi="仿宋" w:eastAsia="仿宋" w:cs="仿宋"/>
                <w:spacing w:val="-6"/>
                <w:sz w:val="21"/>
                <w:szCs w:val="21"/>
              </w:rPr>
              <w:t>总库容</w:t>
            </w:r>
          </w:p>
        </w:tc>
        <w:tc>
          <w:tcPr>
            <w:tcW w:w="702" w:type="dxa"/>
            <w:vAlign w:val="top"/>
          </w:tcPr>
          <w:p>
            <w:pPr>
              <w:spacing w:before="38" w:line="283" w:lineRule="exact"/>
              <w:ind w:left="258"/>
              <w:rPr>
                <w:rFonts w:ascii="仿宋" w:hAnsi="仿宋" w:eastAsia="仿宋" w:cs="仿宋"/>
                <w:sz w:val="21"/>
                <w:szCs w:val="21"/>
              </w:rPr>
            </w:pPr>
            <w:r>
              <w:rPr>
                <w:rFonts w:ascii="仿宋" w:hAnsi="仿宋" w:eastAsia="仿宋" w:cs="仿宋"/>
                <w:position w:val="5"/>
                <w:sz w:val="21"/>
                <w:szCs w:val="21"/>
              </w:rPr>
              <w:t>万</w:t>
            </w:r>
          </w:p>
          <w:p>
            <w:pPr>
              <w:pStyle w:val="6"/>
              <w:spacing w:line="183" w:lineRule="auto"/>
              <w:ind w:left="236"/>
            </w:pPr>
            <w:r>
              <w:rPr>
                <w:spacing w:val="-1"/>
              </w:rPr>
              <w:t>m³</w:t>
            </w:r>
          </w:p>
        </w:tc>
        <w:tc>
          <w:tcPr>
            <w:tcW w:w="1451" w:type="dxa"/>
            <w:vAlign w:val="top"/>
          </w:tcPr>
          <w:p>
            <w:pPr>
              <w:pStyle w:val="6"/>
              <w:spacing w:before="195" w:line="188" w:lineRule="auto"/>
              <w:ind w:left="410"/>
            </w:pPr>
            <w:r>
              <w:rPr>
                <w:spacing w:val="-5"/>
              </w:rPr>
              <w:t>1192.70</w:t>
            </w:r>
          </w:p>
        </w:tc>
        <w:tc>
          <w:tcPr>
            <w:tcW w:w="3490" w:type="dxa"/>
            <w:tcBorders>
              <w:right w:val="nil"/>
            </w:tcBorders>
            <w:vAlign w:val="top"/>
          </w:tcPr>
          <w:p>
            <w:pPr>
              <w:spacing w:before="159" w:line="217" w:lineRule="auto"/>
              <w:ind w:left="119"/>
              <w:rPr>
                <w:rFonts w:ascii="仿宋" w:hAnsi="仿宋" w:eastAsia="仿宋" w:cs="仿宋"/>
                <w:sz w:val="21"/>
                <w:szCs w:val="21"/>
              </w:rPr>
            </w:pPr>
            <w:r>
              <w:rPr>
                <w:rFonts w:ascii="仿宋" w:hAnsi="仿宋" w:eastAsia="仿宋" w:cs="仿宋"/>
                <w:spacing w:val="-2"/>
                <w:sz w:val="21"/>
                <w:szCs w:val="21"/>
              </w:rPr>
              <w:t>校核洪水位以下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7" w:hRule="atLeast"/>
        </w:trPr>
        <w:tc>
          <w:tcPr>
            <w:tcW w:w="643" w:type="dxa"/>
            <w:tcBorders>
              <w:left w:val="nil"/>
            </w:tcBorders>
            <w:vAlign w:val="top"/>
          </w:tcPr>
          <w:p>
            <w:pPr>
              <w:rPr>
                <w:rFonts w:ascii="Arial"/>
                <w:sz w:val="21"/>
              </w:rPr>
            </w:pPr>
          </w:p>
        </w:tc>
        <w:tc>
          <w:tcPr>
            <w:tcW w:w="2686" w:type="dxa"/>
            <w:vAlign w:val="top"/>
          </w:tcPr>
          <w:p>
            <w:pPr>
              <w:spacing w:before="162" w:line="218" w:lineRule="auto"/>
              <w:ind w:left="122"/>
              <w:rPr>
                <w:rFonts w:ascii="仿宋" w:hAnsi="仿宋" w:eastAsia="仿宋" w:cs="仿宋"/>
                <w:sz w:val="21"/>
                <w:szCs w:val="21"/>
              </w:rPr>
            </w:pPr>
            <w:r>
              <w:rPr>
                <w:rFonts w:ascii="仿宋" w:hAnsi="仿宋" w:eastAsia="仿宋" w:cs="仿宋"/>
                <w:spacing w:val="-4"/>
                <w:sz w:val="21"/>
                <w:szCs w:val="21"/>
              </w:rPr>
              <w:t>正常库容</w:t>
            </w:r>
          </w:p>
        </w:tc>
        <w:tc>
          <w:tcPr>
            <w:tcW w:w="702" w:type="dxa"/>
            <w:vAlign w:val="top"/>
          </w:tcPr>
          <w:p>
            <w:pPr>
              <w:spacing w:before="40" w:line="282" w:lineRule="exact"/>
              <w:ind w:left="258"/>
              <w:rPr>
                <w:rFonts w:ascii="仿宋" w:hAnsi="仿宋" w:eastAsia="仿宋" w:cs="仿宋"/>
                <w:sz w:val="21"/>
                <w:szCs w:val="21"/>
              </w:rPr>
            </w:pPr>
            <w:r>
              <w:rPr>
                <w:rFonts w:ascii="仿宋" w:hAnsi="仿宋" w:eastAsia="仿宋" w:cs="仿宋"/>
                <w:position w:val="5"/>
                <w:sz w:val="21"/>
                <w:szCs w:val="21"/>
              </w:rPr>
              <w:t>万</w:t>
            </w:r>
          </w:p>
          <w:p>
            <w:pPr>
              <w:pStyle w:val="6"/>
              <w:spacing w:line="183" w:lineRule="auto"/>
              <w:ind w:left="236"/>
            </w:pPr>
            <w:r>
              <w:rPr>
                <w:spacing w:val="-1"/>
              </w:rPr>
              <w:t>m³</w:t>
            </w:r>
          </w:p>
        </w:tc>
        <w:tc>
          <w:tcPr>
            <w:tcW w:w="1451" w:type="dxa"/>
            <w:vAlign w:val="top"/>
          </w:tcPr>
          <w:p>
            <w:pPr>
              <w:pStyle w:val="6"/>
              <w:spacing w:before="198" w:line="188" w:lineRule="auto"/>
              <w:ind w:left="406"/>
            </w:pPr>
            <w:r>
              <w:rPr>
                <w:spacing w:val="-4"/>
              </w:rPr>
              <w:t>1067.20</w:t>
            </w:r>
          </w:p>
        </w:tc>
        <w:tc>
          <w:tcPr>
            <w:tcW w:w="3490" w:type="dxa"/>
            <w:tcBorders>
              <w:right w:val="nil"/>
            </w:tcBorders>
            <w:vAlign w:val="top"/>
          </w:tcPr>
          <w:p>
            <w:pPr>
              <w:spacing w:before="162" w:line="217" w:lineRule="auto"/>
              <w:ind w:left="122"/>
              <w:rPr>
                <w:rFonts w:ascii="仿宋" w:hAnsi="仿宋" w:eastAsia="仿宋" w:cs="仿宋"/>
                <w:sz w:val="21"/>
                <w:szCs w:val="21"/>
              </w:rPr>
            </w:pPr>
            <w:r>
              <w:rPr>
                <w:rFonts w:ascii="仿宋" w:hAnsi="仿宋" w:eastAsia="仿宋" w:cs="仿宋"/>
                <w:spacing w:val="-3"/>
                <w:sz w:val="21"/>
                <w:szCs w:val="21"/>
              </w:rPr>
              <w:t>正常蓄水位以下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6" w:hRule="atLeast"/>
        </w:trPr>
        <w:tc>
          <w:tcPr>
            <w:tcW w:w="643" w:type="dxa"/>
            <w:tcBorders>
              <w:left w:val="nil"/>
            </w:tcBorders>
            <w:vAlign w:val="top"/>
          </w:tcPr>
          <w:p>
            <w:pPr>
              <w:rPr>
                <w:rFonts w:ascii="Arial"/>
                <w:sz w:val="21"/>
              </w:rPr>
            </w:pPr>
          </w:p>
        </w:tc>
        <w:tc>
          <w:tcPr>
            <w:tcW w:w="2686" w:type="dxa"/>
            <w:vAlign w:val="top"/>
          </w:tcPr>
          <w:p>
            <w:pPr>
              <w:spacing w:before="163" w:line="218" w:lineRule="auto"/>
              <w:ind w:left="119"/>
              <w:rPr>
                <w:rFonts w:ascii="仿宋" w:hAnsi="仿宋" w:eastAsia="仿宋" w:cs="仿宋"/>
                <w:sz w:val="21"/>
                <w:szCs w:val="21"/>
              </w:rPr>
            </w:pPr>
            <w:r>
              <w:rPr>
                <w:rFonts w:ascii="仿宋" w:hAnsi="仿宋" w:eastAsia="仿宋" w:cs="仿宋"/>
                <w:spacing w:val="-3"/>
                <w:sz w:val="21"/>
                <w:szCs w:val="21"/>
              </w:rPr>
              <w:t>调洪库容</w:t>
            </w:r>
          </w:p>
        </w:tc>
        <w:tc>
          <w:tcPr>
            <w:tcW w:w="702" w:type="dxa"/>
            <w:vAlign w:val="top"/>
          </w:tcPr>
          <w:p>
            <w:pPr>
              <w:spacing w:before="43" w:line="279" w:lineRule="exact"/>
              <w:ind w:left="258"/>
              <w:rPr>
                <w:rFonts w:ascii="仿宋" w:hAnsi="仿宋" w:eastAsia="仿宋" w:cs="仿宋"/>
                <w:sz w:val="21"/>
                <w:szCs w:val="21"/>
              </w:rPr>
            </w:pPr>
            <w:r>
              <w:rPr>
                <w:rFonts w:ascii="仿宋" w:hAnsi="仿宋" w:eastAsia="仿宋" w:cs="仿宋"/>
                <w:position w:val="5"/>
                <w:sz w:val="21"/>
                <w:szCs w:val="21"/>
              </w:rPr>
              <w:t>万</w:t>
            </w:r>
          </w:p>
          <w:p>
            <w:pPr>
              <w:pStyle w:val="6"/>
              <w:spacing w:line="181" w:lineRule="auto"/>
              <w:ind w:left="236"/>
            </w:pPr>
            <w:r>
              <w:rPr>
                <w:spacing w:val="-1"/>
              </w:rPr>
              <w:t>m³</w:t>
            </w:r>
          </w:p>
        </w:tc>
        <w:tc>
          <w:tcPr>
            <w:tcW w:w="1451" w:type="dxa"/>
            <w:vAlign w:val="top"/>
          </w:tcPr>
          <w:p>
            <w:pPr>
              <w:pStyle w:val="6"/>
              <w:spacing w:before="199" w:line="188" w:lineRule="auto"/>
              <w:ind w:left="459"/>
            </w:pPr>
            <w:r>
              <w:rPr>
                <w:spacing w:val="-4"/>
              </w:rPr>
              <w:t>125.50</w:t>
            </w:r>
          </w:p>
        </w:tc>
        <w:tc>
          <w:tcPr>
            <w:tcW w:w="3490" w:type="dxa"/>
            <w:tcBorders>
              <w:right w:val="nil"/>
            </w:tcBorders>
            <w:vAlign w:val="top"/>
          </w:tcPr>
          <w:p>
            <w:pPr>
              <w:pStyle w:val="6"/>
              <w:spacing w:before="163" w:line="218" w:lineRule="auto"/>
              <w:ind w:left="109"/>
              <w:rPr>
                <w:rFonts w:ascii="仿宋" w:hAnsi="仿宋" w:eastAsia="仿宋" w:cs="仿宋"/>
              </w:rPr>
            </w:pPr>
            <w:r>
              <w:rPr>
                <w:spacing w:val="-6"/>
              </w:rPr>
              <w:t>H</w:t>
            </w:r>
            <w:r>
              <w:rPr>
                <w:spacing w:val="11"/>
              </w:rPr>
              <w:t xml:space="preserve"> </w:t>
            </w:r>
            <w:r>
              <w:rPr>
                <w:rFonts w:ascii="仿宋" w:hAnsi="仿宋" w:eastAsia="仿宋" w:cs="仿宋"/>
                <w:spacing w:val="-6"/>
                <w:sz w:val="11"/>
                <w:szCs w:val="11"/>
              </w:rPr>
              <w:t>校</w:t>
            </w:r>
            <w:r>
              <w:rPr>
                <w:rFonts w:ascii="仿宋" w:hAnsi="仿宋" w:eastAsia="仿宋" w:cs="仿宋"/>
                <w:spacing w:val="-2"/>
              </w:rPr>
              <w:t>～</w:t>
            </w:r>
            <w:r>
              <w:rPr>
                <w:spacing w:val="-2"/>
              </w:rPr>
              <w:t>H</w:t>
            </w:r>
            <w:r>
              <w:rPr>
                <w:spacing w:val="15"/>
              </w:rPr>
              <w:t xml:space="preserve"> </w:t>
            </w:r>
            <w:r>
              <w:rPr>
                <w:rFonts w:ascii="仿宋" w:hAnsi="仿宋" w:eastAsia="仿宋" w:cs="仿宋"/>
                <w:spacing w:val="-2"/>
                <w:sz w:val="11"/>
                <w:szCs w:val="11"/>
              </w:rPr>
              <w:t>限</w:t>
            </w:r>
            <w:r>
              <w:rPr>
                <w:rFonts w:ascii="仿宋" w:hAnsi="仿宋" w:eastAsia="仿宋" w:cs="仿宋"/>
                <w:spacing w:val="-2"/>
              </w:rPr>
              <w:t>之间库容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643" w:type="dxa"/>
            <w:tcBorders>
              <w:left w:val="nil"/>
            </w:tcBorders>
            <w:vAlign w:val="top"/>
          </w:tcPr>
          <w:p>
            <w:pPr>
              <w:rPr>
                <w:rFonts w:ascii="Arial"/>
                <w:sz w:val="21"/>
              </w:rPr>
            </w:pPr>
          </w:p>
        </w:tc>
        <w:tc>
          <w:tcPr>
            <w:tcW w:w="2686" w:type="dxa"/>
            <w:vAlign w:val="top"/>
          </w:tcPr>
          <w:p>
            <w:pPr>
              <w:spacing w:before="166" w:line="218" w:lineRule="auto"/>
              <w:ind w:left="124"/>
              <w:rPr>
                <w:rFonts w:ascii="仿宋" w:hAnsi="仿宋" w:eastAsia="仿宋" w:cs="仿宋"/>
                <w:sz w:val="21"/>
                <w:szCs w:val="21"/>
              </w:rPr>
            </w:pPr>
            <w:r>
              <w:rPr>
                <w:rFonts w:ascii="仿宋" w:hAnsi="仿宋" w:eastAsia="仿宋" w:cs="仿宋"/>
                <w:spacing w:val="-5"/>
                <w:sz w:val="21"/>
                <w:szCs w:val="21"/>
              </w:rPr>
              <w:t>兴利库容</w:t>
            </w:r>
          </w:p>
        </w:tc>
        <w:tc>
          <w:tcPr>
            <w:tcW w:w="702" w:type="dxa"/>
            <w:vAlign w:val="top"/>
          </w:tcPr>
          <w:p>
            <w:pPr>
              <w:spacing w:before="45" w:line="280" w:lineRule="exact"/>
              <w:ind w:left="258"/>
              <w:rPr>
                <w:rFonts w:ascii="仿宋" w:hAnsi="仿宋" w:eastAsia="仿宋" w:cs="仿宋"/>
                <w:sz w:val="21"/>
                <w:szCs w:val="21"/>
              </w:rPr>
            </w:pPr>
            <w:r>
              <w:rPr>
                <w:rFonts w:ascii="仿宋" w:hAnsi="仿宋" w:eastAsia="仿宋" w:cs="仿宋"/>
                <w:position w:val="5"/>
                <w:sz w:val="21"/>
                <w:szCs w:val="21"/>
              </w:rPr>
              <w:t>万</w:t>
            </w:r>
          </w:p>
          <w:p>
            <w:pPr>
              <w:pStyle w:val="6"/>
              <w:spacing w:line="181" w:lineRule="auto"/>
              <w:ind w:left="236"/>
            </w:pPr>
            <w:r>
              <w:rPr>
                <w:spacing w:val="-1"/>
              </w:rPr>
              <w:t>m³</w:t>
            </w:r>
          </w:p>
        </w:tc>
        <w:tc>
          <w:tcPr>
            <w:tcW w:w="1451" w:type="dxa"/>
            <w:vAlign w:val="top"/>
          </w:tcPr>
          <w:p>
            <w:pPr>
              <w:pStyle w:val="6"/>
              <w:spacing w:before="203" w:line="188" w:lineRule="auto"/>
              <w:ind w:left="443"/>
            </w:pPr>
            <w:r>
              <w:rPr>
                <w:spacing w:val="-2"/>
              </w:rPr>
              <w:t>914.50</w:t>
            </w:r>
          </w:p>
        </w:tc>
        <w:tc>
          <w:tcPr>
            <w:tcW w:w="3490" w:type="dxa"/>
            <w:tcBorders>
              <w:right w:val="nil"/>
            </w:tcBorders>
            <w:vAlign w:val="top"/>
          </w:tcPr>
          <w:p>
            <w:pPr>
              <w:pStyle w:val="6"/>
              <w:spacing w:before="166" w:line="218" w:lineRule="auto"/>
              <w:ind w:left="109"/>
              <w:rPr>
                <w:rFonts w:ascii="仿宋" w:hAnsi="仿宋" w:eastAsia="仿宋" w:cs="仿宋"/>
              </w:rPr>
            </w:pPr>
            <w:r>
              <w:rPr>
                <w:spacing w:val="-6"/>
              </w:rPr>
              <w:t>H</w:t>
            </w:r>
            <w:r>
              <w:rPr>
                <w:spacing w:val="12"/>
              </w:rPr>
              <w:t xml:space="preserve"> </w:t>
            </w:r>
            <w:r>
              <w:rPr>
                <w:rFonts w:ascii="仿宋" w:hAnsi="仿宋" w:eastAsia="仿宋" w:cs="仿宋"/>
                <w:spacing w:val="-6"/>
                <w:sz w:val="11"/>
                <w:szCs w:val="11"/>
              </w:rPr>
              <w:t>正</w:t>
            </w:r>
            <w:r>
              <w:rPr>
                <w:rFonts w:ascii="仿宋" w:hAnsi="仿宋" w:eastAsia="仿宋" w:cs="仿宋"/>
              </w:rPr>
              <w:t>～</w:t>
            </w:r>
            <w:r>
              <w:t xml:space="preserve">H </w:t>
            </w:r>
            <w:r>
              <w:rPr>
                <w:rFonts w:ascii="仿宋" w:hAnsi="仿宋" w:eastAsia="仿宋" w:cs="仿宋"/>
                <w:sz w:val="11"/>
                <w:szCs w:val="11"/>
              </w:rPr>
              <w:t>死</w:t>
            </w:r>
            <w:r>
              <w:rPr>
                <w:rFonts w:ascii="仿宋" w:hAnsi="仿宋" w:eastAsia="仿宋" w:cs="仿宋"/>
              </w:rPr>
              <w:t>之间库容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6" w:hRule="atLeast"/>
        </w:trPr>
        <w:tc>
          <w:tcPr>
            <w:tcW w:w="643" w:type="dxa"/>
            <w:tcBorders>
              <w:left w:val="nil"/>
            </w:tcBorders>
            <w:vAlign w:val="top"/>
          </w:tcPr>
          <w:p>
            <w:pPr>
              <w:rPr>
                <w:rFonts w:ascii="Arial"/>
                <w:sz w:val="21"/>
              </w:rPr>
            </w:pPr>
          </w:p>
        </w:tc>
        <w:tc>
          <w:tcPr>
            <w:tcW w:w="2686" w:type="dxa"/>
            <w:vAlign w:val="top"/>
          </w:tcPr>
          <w:p>
            <w:pPr>
              <w:spacing w:before="168" w:line="218" w:lineRule="auto"/>
              <w:ind w:left="122"/>
              <w:rPr>
                <w:rFonts w:ascii="仿宋" w:hAnsi="仿宋" w:eastAsia="仿宋" w:cs="仿宋"/>
                <w:sz w:val="21"/>
                <w:szCs w:val="21"/>
              </w:rPr>
            </w:pPr>
            <w:r>
              <w:rPr>
                <w:rFonts w:ascii="仿宋" w:hAnsi="仿宋" w:eastAsia="仿宋" w:cs="仿宋"/>
                <w:spacing w:val="-4"/>
                <w:sz w:val="21"/>
                <w:szCs w:val="21"/>
              </w:rPr>
              <w:t>死库容</w:t>
            </w:r>
          </w:p>
        </w:tc>
        <w:tc>
          <w:tcPr>
            <w:tcW w:w="702" w:type="dxa"/>
            <w:vAlign w:val="top"/>
          </w:tcPr>
          <w:p>
            <w:pPr>
              <w:spacing w:before="46" w:line="278" w:lineRule="exact"/>
              <w:ind w:left="258"/>
              <w:rPr>
                <w:rFonts w:ascii="仿宋" w:hAnsi="仿宋" w:eastAsia="仿宋" w:cs="仿宋"/>
                <w:sz w:val="21"/>
                <w:szCs w:val="21"/>
              </w:rPr>
            </w:pPr>
            <w:r>
              <w:rPr>
                <w:rFonts w:ascii="仿宋" w:hAnsi="仿宋" w:eastAsia="仿宋" w:cs="仿宋"/>
                <w:position w:val="5"/>
                <w:sz w:val="21"/>
                <w:szCs w:val="21"/>
              </w:rPr>
              <w:t>万</w:t>
            </w:r>
          </w:p>
          <w:p>
            <w:pPr>
              <w:pStyle w:val="6"/>
              <w:spacing w:line="180" w:lineRule="auto"/>
              <w:ind w:left="236"/>
            </w:pPr>
            <w:r>
              <w:rPr>
                <w:spacing w:val="-1"/>
              </w:rPr>
              <w:t>m³</w:t>
            </w:r>
          </w:p>
        </w:tc>
        <w:tc>
          <w:tcPr>
            <w:tcW w:w="1451" w:type="dxa"/>
            <w:vAlign w:val="top"/>
          </w:tcPr>
          <w:p>
            <w:pPr>
              <w:pStyle w:val="6"/>
              <w:spacing w:before="203" w:line="188" w:lineRule="auto"/>
              <w:ind w:left="459"/>
            </w:pPr>
            <w:r>
              <w:rPr>
                <w:spacing w:val="-4"/>
              </w:rPr>
              <w:t>152.70</w:t>
            </w:r>
          </w:p>
        </w:tc>
        <w:tc>
          <w:tcPr>
            <w:tcW w:w="3490" w:type="dxa"/>
            <w:tcBorders>
              <w:right w:val="nil"/>
            </w:tcBorders>
            <w:vAlign w:val="top"/>
          </w:tcPr>
          <w:p>
            <w:pPr>
              <w:spacing w:before="168" w:line="217" w:lineRule="auto"/>
              <w:ind w:left="122"/>
              <w:rPr>
                <w:rFonts w:ascii="仿宋" w:hAnsi="仿宋" w:eastAsia="仿宋" w:cs="仿宋"/>
                <w:sz w:val="21"/>
                <w:szCs w:val="21"/>
              </w:rPr>
            </w:pPr>
            <w:r>
              <w:rPr>
                <w:rFonts w:ascii="仿宋" w:hAnsi="仿宋" w:eastAsia="仿宋" w:cs="仿宋"/>
                <w:spacing w:val="-3"/>
                <w:sz w:val="21"/>
                <w:szCs w:val="21"/>
              </w:rPr>
              <w:t>死水位以下库容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3" w:type="dxa"/>
            <w:tcBorders>
              <w:left w:val="nil"/>
            </w:tcBorders>
            <w:vAlign w:val="top"/>
          </w:tcPr>
          <w:p>
            <w:pPr>
              <w:pStyle w:val="6"/>
              <w:spacing w:before="84" w:line="180" w:lineRule="auto"/>
              <w:ind w:left="201"/>
            </w:pPr>
            <w:r>
              <w:rPr>
                <w:spacing w:val="-2"/>
              </w:rPr>
              <w:t>2.4</w:t>
            </w:r>
          </w:p>
        </w:tc>
        <w:tc>
          <w:tcPr>
            <w:tcW w:w="2686" w:type="dxa"/>
            <w:vAlign w:val="top"/>
          </w:tcPr>
          <w:p>
            <w:pPr>
              <w:spacing w:before="48" w:line="191" w:lineRule="auto"/>
              <w:ind w:left="123"/>
              <w:rPr>
                <w:rFonts w:ascii="仿宋" w:hAnsi="仿宋" w:eastAsia="仿宋" w:cs="仿宋"/>
                <w:sz w:val="21"/>
                <w:szCs w:val="21"/>
              </w:rPr>
            </w:pPr>
            <w:r>
              <w:rPr>
                <w:rFonts w:ascii="仿宋" w:hAnsi="仿宋" w:eastAsia="仿宋" w:cs="仿宋"/>
                <w:spacing w:val="-4"/>
                <w:sz w:val="21"/>
                <w:szCs w:val="21"/>
              </w:rPr>
              <w:t>库容系数</w:t>
            </w:r>
          </w:p>
        </w:tc>
        <w:tc>
          <w:tcPr>
            <w:tcW w:w="702" w:type="dxa"/>
            <w:vAlign w:val="top"/>
          </w:tcPr>
          <w:p>
            <w:pPr>
              <w:rPr>
                <w:rFonts w:ascii="Arial"/>
                <w:sz w:val="21"/>
              </w:rPr>
            </w:pPr>
          </w:p>
        </w:tc>
        <w:tc>
          <w:tcPr>
            <w:tcW w:w="1451" w:type="dxa"/>
            <w:vAlign w:val="top"/>
          </w:tcPr>
          <w:p>
            <w:pPr>
              <w:pStyle w:val="6"/>
              <w:spacing w:before="84" w:line="180" w:lineRule="auto"/>
              <w:ind w:left="546"/>
            </w:pPr>
            <w:r>
              <w:rPr>
                <w:spacing w:val="-2"/>
              </w:rPr>
              <w:t>0.28</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43" w:type="dxa"/>
            <w:tcBorders>
              <w:left w:val="nil"/>
            </w:tcBorders>
            <w:vAlign w:val="top"/>
          </w:tcPr>
          <w:p>
            <w:pPr>
              <w:rPr>
                <w:rFonts w:ascii="Arial"/>
                <w:sz w:val="21"/>
              </w:rPr>
            </w:pPr>
          </w:p>
        </w:tc>
        <w:tc>
          <w:tcPr>
            <w:tcW w:w="2686" w:type="dxa"/>
            <w:vAlign w:val="top"/>
          </w:tcPr>
          <w:p>
            <w:pPr>
              <w:spacing w:before="50" w:line="190" w:lineRule="auto"/>
              <w:ind w:left="119"/>
              <w:rPr>
                <w:rFonts w:ascii="仿宋" w:hAnsi="仿宋" w:eastAsia="仿宋" w:cs="仿宋"/>
                <w:sz w:val="21"/>
                <w:szCs w:val="21"/>
              </w:rPr>
            </w:pPr>
            <w:r>
              <w:rPr>
                <w:rFonts w:ascii="仿宋" w:hAnsi="仿宋" w:eastAsia="仿宋" w:cs="仿宋"/>
                <w:spacing w:val="-3"/>
                <w:sz w:val="21"/>
                <w:szCs w:val="21"/>
              </w:rPr>
              <w:t>调节特性</w:t>
            </w:r>
          </w:p>
        </w:tc>
        <w:tc>
          <w:tcPr>
            <w:tcW w:w="702" w:type="dxa"/>
            <w:vAlign w:val="top"/>
          </w:tcPr>
          <w:p>
            <w:pPr>
              <w:rPr>
                <w:rFonts w:ascii="Arial"/>
                <w:sz w:val="21"/>
              </w:rPr>
            </w:pPr>
          </w:p>
        </w:tc>
        <w:tc>
          <w:tcPr>
            <w:tcW w:w="1451" w:type="dxa"/>
            <w:vAlign w:val="top"/>
          </w:tcPr>
          <w:p>
            <w:pPr>
              <w:spacing w:before="50" w:line="190" w:lineRule="auto"/>
              <w:ind w:left="216"/>
              <w:rPr>
                <w:rFonts w:ascii="仿宋" w:hAnsi="仿宋" w:eastAsia="仿宋" w:cs="仿宋"/>
                <w:sz w:val="21"/>
                <w:szCs w:val="21"/>
              </w:rPr>
            </w:pPr>
            <w:r>
              <w:rPr>
                <w:rFonts w:ascii="仿宋" w:hAnsi="仿宋" w:eastAsia="仿宋" w:cs="仿宋"/>
                <w:spacing w:val="-3"/>
                <w:sz w:val="21"/>
                <w:szCs w:val="21"/>
              </w:rPr>
              <w:t>完全年调节</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3" w:type="dxa"/>
            <w:tcBorders>
              <w:left w:val="nil"/>
            </w:tcBorders>
            <w:vAlign w:val="top"/>
          </w:tcPr>
          <w:p>
            <w:pPr>
              <w:pStyle w:val="6"/>
              <w:spacing w:before="87" w:line="177" w:lineRule="auto"/>
              <w:ind w:left="201"/>
            </w:pPr>
            <w:r>
              <w:rPr>
                <w:spacing w:val="-2"/>
              </w:rPr>
              <w:t>2.5</w:t>
            </w:r>
          </w:p>
        </w:tc>
        <w:tc>
          <w:tcPr>
            <w:tcW w:w="2686" w:type="dxa"/>
            <w:vAlign w:val="top"/>
          </w:tcPr>
          <w:p>
            <w:pPr>
              <w:spacing w:before="51" w:line="189" w:lineRule="auto"/>
              <w:ind w:left="124"/>
              <w:rPr>
                <w:rFonts w:ascii="仿宋" w:hAnsi="仿宋" w:eastAsia="仿宋" w:cs="仿宋"/>
                <w:sz w:val="21"/>
                <w:szCs w:val="21"/>
              </w:rPr>
            </w:pPr>
            <w:r>
              <w:rPr>
                <w:rFonts w:ascii="仿宋" w:hAnsi="仿宋" w:eastAsia="仿宋" w:cs="仿宋"/>
                <w:spacing w:val="-3"/>
                <w:sz w:val="21"/>
                <w:szCs w:val="21"/>
              </w:rPr>
              <w:t>工程效益指标</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643" w:type="dxa"/>
            <w:tcBorders>
              <w:left w:val="nil"/>
            </w:tcBorders>
            <w:vAlign w:val="top"/>
          </w:tcPr>
          <w:p>
            <w:pPr>
              <w:rPr>
                <w:rFonts w:ascii="Arial"/>
                <w:sz w:val="21"/>
              </w:rPr>
            </w:pPr>
          </w:p>
        </w:tc>
        <w:tc>
          <w:tcPr>
            <w:tcW w:w="2686" w:type="dxa"/>
            <w:vAlign w:val="top"/>
          </w:tcPr>
          <w:p>
            <w:pPr>
              <w:spacing w:before="173" w:line="219" w:lineRule="auto"/>
              <w:ind w:left="128"/>
              <w:rPr>
                <w:rFonts w:ascii="仿宋" w:hAnsi="仿宋" w:eastAsia="仿宋" w:cs="仿宋"/>
                <w:sz w:val="21"/>
                <w:szCs w:val="21"/>
              </w:rPr>
            </w:pPr>
            <w:r>
              <w:rPr>
                <w:rFonts w:ascii="仿宋" w:hAnsi="仿宋" w:eastAsia="仿宋" w:cs="仿宋"/>
                <w:spacing w:val="-5"/>
                <w:sz w:val="21"/>
                <w:szCs w:val="21"/>
              </w:rPr>
              <w:t>总供水量</w:t>
            </w:r>
          </w:p>
        </w:tc>
        <w:tc>
          <w:tcPr>
            <w:tcW w:w="702" w:type="dxa"/>
            <w:vAlign w:val="top"/>
          </w:tcPr>
          <w:p>
            <w:pPr>
              <w:spacing w:before="52" w:line="242" w:lineRule="auto"/>
              <w:ind w:left="258"/>
              <w:rPr>
                <w:rFonts w:ascii="仿宋" w:hAnsi="仿宋" w:eastAsia="仿宋" w:cs="仿宋"/>
                <w:sz w:val="21"/>
                <w:szCs w:val="21"/>
              </w:rPr>
            </w:pPr>
            <w:r>
              <w:rPr>
                <w:rFonts w:ascii="仿宋" w:hAnsi="仿宋" w:eastAsia="仿宋" w:cs="仿宋"/>
                <w:sz w:val="21"/>
                <w:szCs w:val="21"/>
              </w:rPr>
              <w:t>万</w:t>
            </w:r>
          </w:p>
          <w:p>
            <w:pPr>
              <w:pStyle w:val="6"/>
              <w:spacing w:line="179" w:lineRule="auto"/>
              <w:ind w:left="236"/>
            </w:pPr>
            <w:r>
              <w:rPr>
                <w:spacing w:val="-1"/>
              </w:rPr>
              <w:t>m³</w:t>
            </w:r>
          </w:p>
        </w:tc>
        <w:tc>
          <w:tcPr>
            <w:tcW w:w="1451" w:type="dxa"/>
            <w:vAlign w:val="top"/>
          </w:tcPr>
          <w:p>
            <w:pPr>
              <w:pStyle w:val="6"/>
              <w:spacing w:before="209" w:line="188" w:lineRule="auto"/>
              <w:ind w:left="406"/>
            </w:pPr>
            <w:r>
              <w:rPr>
                <w:spacing w:val="-4"/>
              </w:rPr>
              <w:t>1941.20</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6" w:hRule="atLeast"/>
        </w:trPr>
        <w:tc>
          <w:tcPr>
            <w:tcW w:w="643" w:type="dxa"/>
            <w:tcBorders>
              <w:left w:val="nil"/>
            </w:tcBorders>
            <w:vAlign w:val="top"/>
          </w:tcPr>
          <w:p>
            <w:pPr>
              <w:rPr>
                <w:rFonts w:ascii="Arial"/>
                <w:sz w:val="21"/>
              </w:rPr>
            </w:pPr>
          </w:p>
        </w:tc>
        <w:tc>
          <w:tcPr>
            <w:tcW w:w="2686" w:type="dxa"/>
            <w:vAlign w:val="top"/>
          </w:tcPr>
          <w:p>
            <w:pPr>
              <w:spacing w:before="173" w:line="219" w:lineRule="auto"/>
              <w:ind w:left="124"/>
              <w:rPr>
                <w:rFonts w:ascii="仿宋" w:hAnsi="仿宋" w:eastAsia="仿宋" w:cs="仿宋"/>
                <w:sz w:val="21"/>
                <w:szCs w:val="21"/>
              </w:rPr>
            </w:pPr>
            <w:r>
              <w:rPr>
                <w:rFonts w:ascii="仿宋" w:hAnsi="仿宋" w:eastAsia="仿宋" w:cs="仿宋"/>
                <w:spacing w:val="-4"/>
                <w:sz w:val="21"/>
                <w:szCs w:val="21"/>
              </w:rPr>
              <w:t>工业供水量</w:t>
            </w:r>
          </w:p>
        </w:tc>
        <w:tc>
          <w:tcPr>
            <w:tcW w:w="702" w:type="dxa"/>
            <w:vAlign w:val="top"/>
          </w:tcPr>
          <w:p>
            <w:pPr>
              <w:spacing w:before="54"/>
              <w:ind w:left="258"/>
              <w:rPr>
                <w:rFonts w:ascii="仿宋" w:hAnsi="仿宋" w:eastAsia="仿宋" w:cs="仿宋"/>
                <w:sz w:val="21"/>
                <w:szCs w:val="21"/>
              </w:rPr>
            </w:pPr>
            <w:r>
              <w:rPr>
                <w:rFonts w:ascii="仿宋" w:hAnsi="仿宋" w:eastAsia="仿宋" w:cs="仿宋"/>
                <w:sz w:val="21"/>
                <w:szCs w:val="21"/>
              </w:rPr>
              <w:t>万</w:t>
            </w:r>
          </w:p>
          <w:p>
            <w:pPr>
              <w:pStyle w:val="6"/>
              <w:spacing w:line="177" w:lineRule="auto"/>
              <w:ind w:left="236"/>
            </w:pPr>
            <w:r>
              <w:rPr>
                <w:spacing w:val="-1"/>
              </w:rPr>
              <w:t>m³</w:t>
            </w:r>
          </w:p>
        </w:tc>
        <w:tc>
          <w:tcPr>
            <w:tcW w:w="1451" w:type="dxa"/>
            <w:vAlign w:val="top"/>
          </w:tcPr>
          <w:p>
            <w:pPr>
              <w:pStyle w:val="6"/>
              <w:spacing w:before="210" w:line="188" w:lineRule="auto"/>
              <w:ind w:left="496"/>
            </w:pPr>
            <w:r>
              <w:rPr>
                <w:spacing w:val="-2"/>
              </w:rPr>
              <w:t>57.70</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8" w:hRule="atLeast"/>
        </w:trPr>
        <w:tc>
          <w:tcPr>
            <w:tcW w:w="643" w:type="dxa"/>
            <w:tcBorders>
              <w:left w:val="nil"/>
            </w:tcBorders>
            <w:vAlign w:val="top"/>
          </w:tcPr>
          <w:p>
            <w:pPr>
              <w:rPr>
                <w:rFonts w:ascii="Arial"/>
                <w:sz w:val="21"/>
              </w:rPr>
            </w:pPr>
          </w:p>
        </w:tc>
        <w:tc>
          <w:tcPr>
            <w:tcW w:w="2686" w:type="dxa"/>
            <w:vAlign w:val="top"/>
          </w:tcPr>
          <w:p>
            <w:pPr>
              <w:spacing w:before="177" w:line="218" w:lineRule="auto"/>
              <w:ind w:left="123"/>
              <w:rPr>
                <w:rFonts w:ascii="仿宋" w:hAnsi="仿宋" w:eastAsia="仿宋" w:cs="仿宋"/>
                <w:sz w:val="21"/>
                <w:szCs w:val="21"/>
              </w:rPr>
            </w:pPr>
            <w:r>
              <w:rPr>
                <w:rFonts w:ascii="仿宋" w:hAnsi="仿宋" w:eastAsia="仿宋" w:cs="仿宋"/>
                <w:spacing w:val="-3"/>
                <w:sz w:val="21"/>
                <w:szCs w:val="21"/>
              </w:rPr>
              <w:t>灌溉供水量</w:t>
            </w:r>
          </w:p>
        </w:tc>
        <w:tc>
          <w:tcPr>
            <w:tcW w:w="702" w:type="dxa"/>
            <w:vAlign w:val="top"/>
          </w:tcPr>
          <w:p>
            <w:pPr>
              <w:spacing w:before="56"/>
              <w:ind w:left="258"/>
              <w:rPr>
                <w:rFonts w:ascii="仿宋" w:hAnsi="仿宋" w:eastAsia="仿宋" w:cs="仿宋"/>
                <w:sz w:val="21"/>
                <w:szCs w:val="21"/>
              </w:rPr>
            </w:pPr>
            <w:r>
              <w:rPr>
                <w:rFonts w:ascii="仿宋" w:hAnsi="仿宋" w:eastAsia="仿宋" w:cs="仿宋"/>
                <w:sz w:val="21"/>
                <w:szCs w:val="21"/>
              </w:rPr>
              <w:t>万</w:t>
            </w:r>
          </w:p>
          <w:p>
            <w:pPr>
              <w:pStyle w:val="6"/>
              <w:spacing w:line="177" w:lineRule="auto"/>
              <w:ind w:left="236"/>
            </w:pPr>
            <w:r>
              <w:rPr>
                <w:spacing w:val="-1"/>
              </w:rPr>
              <w:t>m³</w:t>
            </w:r>
          </w:p>
        </w:tc>
        <w:tc>
          <w:tcPr>
            <w:tcW w:w="1451" w:type="dxa"/>
            <w:vAlign w:val="top"/>
          </w:tcPr>
          <w:p>
            <w:pPr>
              <w:pStyle w:val="6"/>
              <w:spacing w:before="213" w:line="188" w:lineRule="auto"/>
              <w:ind w:left="406"/>
            </w:pPr>
            <w:r>
              <w:rPr>
                <w:spacing w:val="-4"/>
              </w:rPr>
              <w:t>1791.90</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3" w:type="dxa"/>
            <w:tcBorders>
              <w:left w:val="nil"/>
            </w:tcBorders>
            <w:vAlign w:val="top"/>
          </w:tcPr>
          <w:p>
            <w:pPr>
              <w:rPr>
                <w:rFonts w:ascii="Arial"/>
                <w:sz w:val="21"/>
              </w:rPr>
            </w:pPr>
          </w:p>
        </w:tc>
        <w:tc>
          <w:tcPr>
            <w:tcW w:w="2686" w:type="dxa"/>
            <w:vAlign w:val="top"/>
          </w:tcPr>
          <w:p>
            <w:pPr>
              <w:spacing w:before="57" w:line="183" w:lineRule="auto"/>
              <w:ind w:left="119"/>
              <w:rPr>
                <w:rFonts w:ascii="仿宋" w:hAnsi="仿宋" w:eastAsia="仿宋" w:cs="仿宋"/>
                <w:sz w:val="21"/>
                <w:szCs w:val="21"/>
              </w:rPr>
            </w:pPr>
            <w:r>
              <w:rPr>
                <w:rFonts w:ascii="仿宋" w:hAnsi="仿宋" w:eastAsia="仿宋" w:cs="仿宋"/>
                <w:spacing w:val="-2"/>
                <w:sz w:val="21"/>
                <w:szCs w:val="21"/>
              </w:rPr>
              <w:t>设计灌溉面积</w:t>
            </w:r>
          </w:p>
        </w:tc>
        <w:tc>
          <w:tcPr>
            <w:tcW w:w="702" w:type="dxa"/>
            <w:vAlign w:val="top"/>
          </w:tcPr>
          <w:p>
            <w:pPr>
              <w:spacing w:before="57" w:line="183" w:lineRule="auto"/>
              <w:ind w:left="152"/>
              <w:rPr>
                <w:rFonts w:ascii="仿宋" w:hAnsi="仿宋" w:eastAsia="仿宋" w:cs="仿宋"/>
                <w:sz w:val="21"/>
                <w:szCs w:val="21"/>
              </w:rPr>
            </w:pPr>
            <w:r>
              <w:rPr>
                <w:rFonts w:ascii="仿宋" w:hAnsi="仿宋" w:eastAsia="仿宋" w:cs="仿宋"/>
                <w:spacing w:val="-4"/>
                <w:sz w:val="21"/>
                <w:szCs w:val="21"/>
              </w:rPr>
              <w:t>万亩</w:t>
            </w:r>
          </w:p>
        </w:tc>
        <w:tc>
          <w:tcPr>
            <w:tcW w:w="1451" w:type="dxa"/>
            <w:vAlign w:val="top"/>
          </w:tcPr>
          <w:p>
            <w:pPr>
              <w:pStyle w:val="6"/>
              <w:spacing w:before="93" w:line="171" w:lineRule="auto"/>
              <w:ind w:left="547"/>
            </w:pPr>
            <w:r>
              <w:rPr>
                <w:spacing w:val="-2"/>
              </w:rPr>
              <w:t>3.83</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3" w:type="dxa"/>
            <w:tcBorders>
              <w:left w:val="nil"/>
            </w:tcBorders>
            <w:vAlign w:val="top"/>
          </w:tcPr>
          <w:p>
            <w:pPr>
              <w:rPr>
                <w:rFonts w:ascii="Arial"/>
                <w:sz w:val="21"/>
              </w:rPr>
            </w:pPr>
          </w:p>
        </w:tc>
        <w:tc>
          <w:tcPr>
            <w:tcW w:w="2686" w:type="dxa"/>
            <w:vAlign w:val="top"/>
          </w:tcPr>
          <w:p>
            <w:pPr>
              <w:spacing w:before="58" w:line="182" w:lineRule="auto"/>
              <w:ind w:left="123"/>
              <w:rPr>
                <w:rFonts w:ascii="仿宋" w:hAnsi="仿宋" w:eastAsia="仿宋" w:cs="仿宋"/>
                <w:sz w:val="21"/>
                <w:szCs w:val="21"/>
              </w:rPr>
            </w:pPr>
            <w:r>
              <w:rPr>
                <w:rFonts w:ascii="仿宋" w:hAnsi="仿宋" w:eastAsia="仿宋" w:cs="仿宋"/>
                <w:spacing w:val="-3"/>
                <w:sz w:val="21"/>
                <w:szCs w:val="21"/>
              </w:rPr>
              <w:t>灌溉保证率</w:t>
            </w:r>
          </w:p>
        </w:tc>
        <w:tc>
          <w:tcPr>
            <w:tcW w:w="702" w:type="dxa"/>
            <w:vAlign w:val="top"/>
          </w:tcPr>
          <w:p>
            <w:pPr>
              <w:pStyle w:val="6"/>
              <w:spacing w:before="93" w:line="171" w:lineRule="auto"/>
              <w:ind w:left="267"/>
            </w:pPr>
            <w:r>
              <w:t>%</w:t>
            </w:r>
          </w:p>
        </w:tc>
        <w:tc>
          <w:tcPr>
            <w:tcW w:w="1451" w:type="dxa"/>
            <w:vAlign w:val="top"/>
          </w:tcPr>
          <w:p>
            <w:pPr>
              <w:pStyle w:val="6"/>
              <w:spacing w:before="94" w:line="170" w:lineRule="auto"/>
              <w:ind w:left="494"/>
            </w:pPr>
            <w:r>
              <w:rPr>
                <w:spacing w:val="-2"/>
              </w:rPr>
              <w:t>75.00</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3" w:hRule="atLeast"/>
        </w:trPr>
        <w:tc>
          <w:tcPr>
            <w:tcW w:w="643" w:type="dxa"/>
            <w:tcBorders>
              <w:left w:val="nil"/>
              <w:bottom w:val="single" w:color="000000" w:sz="12" w:space="0"/>
            </w:tcBorders>
            <w:vAlign w:val="top"/>
          </w:tcPr>
          <w:p>
            <w:pPr>
              <w:rPr>
                <w:rFonts w:ascii="Arial"/>
                <w:sz w:val="21"/>
              </w:rPr>
            </w:pPr>
          </w:p>
        </w:tc>
        <w:tc>
          <w:tcPr>
            <w:tcW w:w="2686" w:type="dxa"/>
            <w:tcBorders>
              <w:bottom w:val="single" w:color="000000" w:sz="12" w:space="0"/>
            </w:tcBorders>
            <w:vAlign w:val="top"/>
          </w:tcPr>
          <w:p>
            <w:pPr>
              <w:spacing w:before="181" w:line="217" w:lineRule="auto"/>
              <w:ind w:left="120"/>
              <w:rPr>
                <w:rFonts w:ascii="仿宋" w:hAnsi="仿宋" w:eastAsia="仿宋" w:cs="仿宋"/>
                <w:sz w:val="21"/>
                <w:szCs w:val="21"/>
              </w:rPr>
            </w:pPr>
            <w:r>
              <w:rPr>
                <w:rFonts w:ascii="仿宋" w:hAnsi="仿宋" w:eastAsia="仿宋" w:cs="仿宋"/>
                <w:spacing w:val="-2"/>
                <w:sz w:val="21"/>
                <w:szCs w:val="21"/>
              </w:rPr>
              <w:t>农村生活供水量</w:t>
            </w:r>
          </w:p>
        </w:tc>
        <w:tc>
          <w:tcPr>
            <w:tcW w:w="702" w:type="dxa"/>
            <w:tcBorders>
              <w:bottom w:val="single" w:color="000000" w:sz="12" w:space="0"/>
            </w:tcBorders>
            <w:vAlign w:val="top"/>
          </w:tcPr>
          <w:p>
            <w:pPr>
              <w:spacing w:before="59" w:line="286" w:lineRule="exact"/>
              <w:ind w:left="258"/>
              <w:rPr>
                <w:rFonts w:ascii="仿宋" w:hAnsi="仿宋" w:eastAsia="仿宋" w:cs="仿宋"/>
                <w:sz w:val="21"/>
                <w:szCs w:val="21"/>
              </w:rPr>
            </w:pPr>
            <w:r>
              <w:rPr>
                <w:rFonts w:ascii="仿宋" w:hAnsi="仿宋" w:eastAsia="仿宋" w:cs="仿宋"/>
                <w:position w:val="6"/>
                <w:sz w:val="21"/>
                <w:szCs w:val="21"/>
              </w:rPr>
              <w:t>万</w:t>
            </w:r>
          </w:p>
          <w:p>
            <w:pPr>
              <w:pStyle w:val="6"/>
              <w:spacing w:line="186" w:lineRule="auto"/>
              <w:ind w:left="236"/>
            </w:pPr>
            <w:r>
              <w:rPr>
                <w:spacing w:val="-1"/>
              </w:rPr>
              <w:t>m³</w:t>
            </w:r>
          </w:p>
        </w:tc>
        <w:tc>
          <w:tcPr>
            <w:tcW w:w="1451" w:type="dxa"/>
            <w:tcBorders>
              <w:bottom w:val="single" w:color="000000" w:sz="12" w:space="0"/>
            </w:tcBorders>
            <w:vAlign w:val="top"/>
          </w:tcPr>
          <w:p>
            <w:pPr>
              <w:pStyle w:val="6"/>
              <w:spacing w:before="217" w:line="188" w:lineRule="auto"/>
              <w:ind w:left="552"/>
            </w:pPr>
            <w:r>
              <w:rPr>
                <w:spacing w:val="-3"/>
              </w:rPr>
              <w:t>81.3</w:t>
            </w:r>
          </w:p>
        </w:tc>
        <w:tc>
          <w:tcPr>
            <w:tcW w:w="3490" w:type="dxa"/>
            <w:tcBorders>
              <w:bottom w:val="single" w:color="000000" w:sz="12" w:space="0"/>
              <w:right w:val="nil"/>
            </w:tcBorders>
            <w:vAlign w:val="top"/>
          </w:tcPr>
          <w:p>
            <w:pPr>
              <w:rPr>
                <w:rFonts w:ascii="Arial"/>
                <w:sz w:val="21"/>
              </w:rPr>
            </w:pPr>
          </w:p>
        </w:tc>
      </w:tr>
    </w:tbl>
    <w:p>
      <w:pPr>
        <w:spacing w:line="95" w:lineRule="exact"/>
        <w:rPr>
          <w:rFonts w:ascii="Arial"/>
          <w:sz w:val="8"/>
        </w:rPr>
      </w:pPr>
    </w:p>
    <w:p>
      <w:pPr>
        <w:spacing w:line="95" w:lineRule="exact"/>
        <w:rPr>
          <w:rFonts w:ascii="Arial" w:hAnsi="Arial" w:eastAsia="Arial" w:cs="Arial"/>
          <w:sz w:val="8"/>
          <w:szCs w:val="8"/>
        </w:rPr>
        <w:sectPr>
          <w:footerReference r:id="rId75" w:type="default"/>
          <w:pgSz w:w="11907" w:h="16839"/>
          <w:pgMar w:top="1298" w:right="1387" w:bottom="1374" w:left="1501" w:header="1023" w:footer="1210" w:gutter="0"/>
        </w:sectPr>
      </w:pPr>
    </w:p>
    <w:p>
      <w:pPr>
        <w:spacing w:line="120" w:lineRule="exact"/>
      </w:pPr>
    </w:p>
    <w:tbl>
      <w:tblPr>
        <w:tblStyle w:val="5"/>
        <w:tblW w:w="8958"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2686"/>
        <w:gridCol w:w="702"/>
        <w:gridCol w:w="1451"/>
        <w:gridCol w:w="3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629" w:type="dxa"/>
            <w:tcBorders>
              <w:top w:val="single" w:color="000000" w:sz="12" w:space="0"/>
              <w:left w:val="nil"/>
            </w:tcBorders>
            <w:textDirection w:val="tbRlV"/>
            <w:vAlign w:val="top"/>
          </w:tcPr>
          <w:p>
            <w:pPr>
              <w:spacing w:before="206" w:line="202" w:lineRule="auto"/>
              <w:ind w:left="30"/>
              <w:rPr>
                <w:rFonts w:ascii="仿宋" w:hAnsi="仿宋" w:eastAsia="仿宋" w:cs="仿宋"/>
                <w:sz w:val="21"/>
                <w:szCs w:val="21"/>
              </w:rPr>
            </w:pPr>
            <w:r>
              <w:rPr>
                <w:rFonts w:ascii="仿宋" w:hAnsi="仿宋" w:eastAsia="仿宋" w:cs="仿宋"/>
                <w:spacing w:val="31"/>
                <w:sz w:val="21"/>
                <w:szCs w:val="21"/>
                <w14:textOutline w14:w="3810" w14:cap="flat" w14:cmpd="sng">
                  <w14:solidFill>
                    <w14:srgbClr w14:val="000000"/>
                  </w14:solidFill>
                  <w14:prstDash w14:val="solid"/>
                  <w14:miter w14:val="0"/>
                </w14:textOutline>
              </w:rPr>
              <w:t>序号</w:t>
            </w:r>
          </w:p>
        </w:tc>
        <w:tc>
          <w:tcPr>
            <w:tcW w:w="2686" w:type="dxa"/>
            <w:tcBorders>
              <w:top w:val="single" w:color="000000" w:sz="12" w:space="0"/>
            </w:tcBorders>
            <w:vAlign w:val="top"/>
          </w:tcPr>
          <w:p>
            <w:pPr>
              <w:spacing w:before="165" w:line="217" w:lineRule="auto"/>
              <w:ind w:left="114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702" w:type="dxa"/>
            <w:tcBorders>
              <w:top w:val="single" w:color="000000" w:sz="12" w:space="0"/>
            </w:tcBorders>
            <w:vAlign w:val="top"/>
          </w:tcPr>
          <w:p>
            <w:pPr>
              <w:spacing w:before="165" w:line="217" w:lineRule="auto"/>
              <w:ind w:left="154"/>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单位</w:t>
            </w:r>
          </w:p>
        </w:tc>
        <w:tc>
          <w:tcPr>
            <w:tcW w:w="1451" w:type="dxa"/>
            <w:tcBorders>
              <w:top w:val="single" w:color="000000" w:sz="12" w:space="0"/>
            </w:tcBorders>
            <w:vAlign w:val="top"/>
          </w:tcPr>
          <w:p>
            <w:pPr>
              <w:spacing w:before="165" w:line="220" w:lineRule="auto"/>
              <w:ind w:left="52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3490" w:type="dxa"/>
            <w:tcBorders>
              <w:top w:val="single" w:color="000000" w:sz="12" w:space="0"/>
              <w:right w:val="nil"/>
            </w:tcBorders>
            <w:vAlign w:val="top"/>
          </w:tcPr>
          <w:p>
            <w:pPr>
              <w:spacing w:before="166" w:line="220" w:lineRule="auto"/>
              <w:ind w:left="154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0" w:hRule="atLeast"/>
        </w:trPr>
        <w:tc>
          <w:tcPr>
            <w:tcW w:w="629" w:type="dxa"/>
            <w:tcBorders>
              <w:left w:val="nil"/>
            </w:tcBorders>
            <w:vAlign w:val="top"/>
          </w:tcPr>
          <w:p>
            <w:pPr>
              <w:rPr>
                <w:rFonts w:ascii="Arial"/>
                <w:sz w:val="21"/>
              </w:rPr>
            </w:pPr>
          </w:p>
        </w:tc>
        <w:tc>
          <w:tcPr>
            <w:tcW w:w="2686" w:type="dxa"/>
            <w:vAlign w:val="top"/>
          </w:tcPr>
          <w:p>
            <w:pPr>
              <w:spacing w:before="153" w:line="217" w:lineRule="auto"/>
              <w:ind w:left="120"/>
              <w:rPr>
                <w:rFonts w:ascii="仿宋" w:hAnsi="仿宋" w:eastAsia="仿宋" w:cs="仿宋"/>
                <w:sz w:val="21"/>
                <w:szCs w:val="21"/>
              </w:rPr>
            </w:pPr>
            <w:r>
              <w:rPr>
                <w:rFonts w:ascii="仿宋" w:hAnsi="仿宋" w:eastAsia="仿宋" w:cs="仿宋"/>
                <w:spacing w:val="-2"/>
                <w:sz w:val="21"/>
                <w:szCs w:val="21"/>
              </w:rPr>
              <w:t>集镇生活供水量</w:t>
            </w:r>
          </w:p>
        </w:tc>
        <w:tc>
          <w:tcPr>
            <w:tcW w:w="702" w:type="dxa"/>
            <w:vAlign w:val="top"/>
          </w:tcPr>
          <w:p>
            <w:pPr>
              <w:spacing w:before="33" w:line="288" w:lineRule="exact"/>
              <w:ind w:left="258"/>
              <w:rPr>
                <w:rFonts w:ascii="仿宋" w:hAnsi="仿宋" w:eastAsia="仿宋" w:cs="仿宋"/>
                <w:sz w:val="21"/>
                <w:szCs w:val="21"/>
              </w:rPr>
            </w:pPr>
            <w:r>
              <w:rPr>
                <w:rFonts w:ascii="仿宋" w:hAnsi="仿宋" w:eastAsia="仿宋" w:cs="仿宋"/>
                <w:position w:val="6"/>
                <w:sz w:val="21"/>
                <w:szCs w:val="21"/>
              </w:rPr>
              <w:t>万</w:t>
            </w:r>
          </w:p>
          <w:p>
            <w:pPr>
              <w:pStyle w:val="6"/>
              <w:spacing w:line="187" w:lineRule="auto"/>
              <w:ind w:left="235"/>
            </w:pPr>
            <w:r>
              <w:rPr>
                <w:spacing w:val="-1"/>
              </w:rPr>
              <w:t>m³</w:t>
            </w:r>
          </w:p>
        </w:tc>
        <w:tc>
          <w:tcPr>
            <w:tcW w:w="1451" w:type="dxa"/>
            <w:vAlign w:val="top"/>
          </w:tcPr>
          <w:p>
            <w:pPr>
              <w:pStyle w:val="6"/>
              <w:spacing w:before="189" w:line="188" w:lineRule="auto"/>
              <w:ind w:left="563"/>
            </w:pPr>
            <w:r>
              <w:rPr>
                <w:spacing w:val="-6"/>
              </w:rPr>
              <w:t>10.3</w:t>
            </w:r>
          </w:p>
        </w:tc>
        <w:tc>
          <w:tcPr>
            <w:tcW w:w="3490" w:type="dxa"/>
            <w:tcBorders>
              <w:right w:val="nil"/>
            </w:tcBorders>
            <w:vAlign w:val="top"/>
          </w:tcPr>
          <w:p>
            <w:pPr>
              <w:rPr>
                <w:rFonts w:ascii="Arial"/>
                <w:sz w:val="21"/>
              </w:rPr>
            </w:pPr>
          </w:p>
        </w:tc>
      </w:tr>
    </w:tbl>
    <w:p>
      <w:pPr>
        <w:spacing w:before="31" w:line="212" w:lineRule="auto"/>
        <w:ind w:left="158"/>
        <w:outlineLvl w:val="3"/>
        <w:rPr>
          <w:rFonts w:ascii="仿宋" w:hAnsi="仿宋" w:eastAsia="仿宋" w:cs="仿宋"/>
          <w:sz w:val="21"/>
          <w:szCs w:val="21"/>
        </w:rPr>
      </w:pPr>
      <w:r>
        <w:rPr>
          <w:rFonts w:ascii="仿宋" w:hAnsi="仿宋" w:eastAsia="仿宋" w:cs="仿宋"/>
          <w:spacing w:val="-1"/>
          <w:sz w:val="21"/>
          <w:szCs w:val="21"/>
          <w14:textOutline w14:w="3810" w14:cap="flat" w14:cmpd="sng">
            <w14:solidFill>
              <w14:srgbClr w14:val="000000"/>
            </w14:solidFill>
            <w14:prstDash w14:val="solid"/>
            <w14:miter w14:val="0"/>
          </w14:textOutline>
        </w:rPr>
        <w:t>三、工程建设征地与移民安置</w:t>
      </w:r>
    </w:p>
    <w:tbl>
      <w:tblPr>
        <w:tblStyle w:val="5"/>
        <w:tblW w:w="8958"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2686"/>
        <w:gridCol w:w="702"/>
        <w:gridCol w:w="1451"/>
        <w:gridCol w:w="3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629" w:type="dxa"/>
            <w:tcBorders>
              <w:top w:val="single" w:color="000000" w:sz="4" w:space="0"/>
              <w:left w:val="nil"/>
            </w:tcBorders>
            <w:vAlign w:val="top"/>
          </w:tcPr>
          <w:p>
            <w:pPr>
              <w:pStyle w:val="6"/>
              <w:spacing w:before="68" w:line="188" w:lineRule="auto"/>
              <w:ind w:left="191"/>
            </w:pPr>
            <w:r>
              <w:rPr>
                <w:spacing w:val="-3"/>
              </w:rPr>
              <w:t>3.1</w:t>
            </w:r>
          </w:p>
        </w:tc>
        <w:tc>
          <w:tcPr>
            <w:tcW w:w="2686" w:type="dxa"/>
            <w:tcBorders>
              <w:top w:val="single" w:color="000000" w:sz="4" w:space="0"/>
            </w:tcBorders>
            <w:vAlign w:val="top"/>
          </w:tcPr>
          <w:p>
            <w:pPr>
              <w:spacing w:before="32" w:line="207" w:lineRule="auto"/>
              <w:ind w:left="118"/>
              <w:rPr>
                <w:rFonts w:ascii="仿宋" w:hAnsi="仿宋" w:eastAsia="仿宋" w:cs="仿宋"/>
                <w:sz w:val="21"/>
                <w:szCs w:val="21"/>
              </w:rPr>
            </w:pPr>
            <w:r>
              <w:rPr>
                <w:rFonts w:ascii="仿宋" w:hAnsi="仿宋" w:eastAsia="仿宋" w:cs="仿宋"/>
                <w:spacing w:val="-3"/>
                <w:sz w:val="21"/>
                <w:szCs w:val="21"/>
              </w:rPr>
              <w:t>水库淹没土地</w:t>
            </w:r>
          </w:p>
        </w:tc>
        <w:tc>
          <w:tcPr>
            <w:tcW w:w="702" w:type="dxa"/>
            <w:tcBorders>
              <w:top w:val="single" w:color="000000" w:sz="4" w:space="0"/>
            </w:tcBorders>
            <w:vAlign w:val="top"/>
          </w:tcPr>
          <w:p>
            <w:pPr>
              <w:spacing w:before="32" w:line="207" w:lineRule="auto"/>
              <w:ind w:left="261"/>
              <w:rPr>
                <w:rFonts w:ascii="仿宋" w:hAnsi="仿宋" w:eastAsia="仿宋" w:cs="仿宋"/>
                <w:sz w:val="21"/>
                <w:szCs w:val="21"/>
              </w:rPr>
            </w:pPr>
            <w:r>
              <w:rPr>
                <w:rFonts w:ascii="仿宋" w:hAnsi="仿宋" w:eastAsia="仿宋" w:cs="仿宋"/>
                <w:sz w:val="21"/>
                <w:szCs w:val="21"/>
              </w:rPr>
              <w:t>亩</w:t>
            </w:r>
          </w:p>
        </w:tc>
        <w:tc>
          <w:tcPr>
            <w:tcW w:w="1451" w:type="dxa"/>
            <w:tcBorders>
              <w:top w:val="single" w:color="000000" w:sz="4" w:space="0"/>
            </w:tcBorders>
            <w:vAlign w:val="top"/>
          </w:tcPr>
          <w:p>
            <w:pPr>
              <w:pStyle w:val="6"/>
              <w:spacing w:before="68" w:line="188" w:lineRule="auto"/>
              <w:ind w:left="444"/>
            </w:pPr>
            <w:r>
              <w:rPr>
                <w:spacing w:val="-2"/>
              </w:rPr>
              <w:t>561.37</w:t>
            </w:r>
          </w:p>
        </w:tc>
        <w:tc>
          <w:tcPr>
            <w:tcW w:w="3490" w:type="dxa"/>
            <w:tcBorders>
              <w:top w:val="single" w:color="000000"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29" w:type="dxa"/>
            <w:tcBorders>
              <w:left w:val="nil"/>
            </w:tcBorders>
            <w:vAlign w:val="top"/>
          </w:tcPr>
          <w:p>
            <w:pPr>
              <w:pStyle w:val="6"/>
              <w:spacing w:before="67" w:line="188" w:lineRule="auto"/>
              <w:ind w:left="191"/>
            </w:pPr>
            <w:r>
              <w:rPr>
                <w:spacing w:val="-3"/>
              </w:rPr>
              <w:t>3.2</w:t>
            </w:r>
          </w:p>
        </w:tc>
        <w:tc>
          <w:tcPr>
            <w:tcW w:w="2686" w:type="dxa"/>
            <w:vAlign w:val="top"/>
          </w:tcPr>
          <w:p>
            <w:pPr>
              <w:spacing w:before="30" w:line="207" w:lineRule="auto"/>
              <w:ind w:left="120"/>
              <w:rPr>
                <w:rFonts w:ascii="仿宋" w:hAnsi="仿宋" w:eastAsia="仿宋" w:cs="仿宋"/>
                <w:sz w:val="21"/>
                <w:szCs w:val="21"/>
              </w:rPr>
            </w:pPr>
            <w:r>
              <w:rPr>
                <w:rFonts w:ascii="仿宋" w:hAnsi="仿宋" w:eastAsia="仿宋" w:cs="仿宋"/>
                <w:spacing w:val="-3"/>
                <w:sz w:val="21"/>
                <w:szCs w:val="21"/>
              </w:rPr>
              <w:t>征地区房屋</w:t>
            </w:r>
          </w:p>
        </w:tc>
        <w:tc>
          <w:tcPr>
            <w:tcW w:w="702" w:type="dxa"/>
            <w:vAlign w:val="top"/>
          </w:tcPr>
          <w:p>
            <w:pPr>
              <w:pStyle w:val="6"/>
              <w:spacing w:before="34" w:line="225" w:lineRule="auto"/>
              <w:ind w:left="232"/>
              <w:rPr>
                <w:sz w:val="14"/>
                <w:szCs w:val="14"/>
              </w:rPr>
            </w:pPr>
            <w:r>
              <w:rPr>
                <w:spacing w:val="-1"/>
                <w:position w:val="-1"/>
              </w:rPr>
              <w:t>m</w:t>
            </w:r>
            <w:r>
              <w:rPr>
                <w:spacing w:val="-1"/>
                <w:position w:val="6"/>
                <w:sz w:val="14"/>
                <w:szCs w:val="14"/>
              </w:rPr>
              <w:t>2</w:t>
            </w:r>
          </w:p>
        </w:tc>
        <w:tc>
          <w:tcPr>
            <w:tcW w:w="1451" w:type="dxa"/>
            <w:vAlign w:val="top"/>
          </w:tcPr>
          <w:p>
            <w:pPr>
              <w:pStyle w:val="6"/>
              <w:spacing w:before="67" w:line="188" w:lineRule="auto"/>
              <w:ind w:left="510"/>
            </w:pPr>
            <w:r>
              <w:rPr>
                <w:spacing w:val="-5"/>
              </w:rPr>
              <w:t>185.5</w:t>
            </w:r>
          </w:p>
        </w:tc>
        <w:tc>
          <w:tcPr>
            <w:tcW w:w="3490" w:type="dxa"/>
            <w:tcBorders>
              <w:right w:val="nil"/>
            </w:tcBorders>
            <w:vAlign w:val="top"/>
          </w:tcPr>
          <w:p>
            <w:pPr>
              <w:spacing w:before="30" w:line="207" w:lineRule="auto"/>
              <w:ind w:left="121"/>
              <w:rPr>
                <w:rFonts w:ascii="仿宋" w:hAnsi="仿宋" w:eastAsia="仿宋" w:cs="仿宋"/>
                <w:sz w:val="21"/>
                <w:szCs w:val="21"/>
              </w:rPr>
            </w:pPr>
            <w:r>
              <w:rPr>
                <w:rFonts w:ascii="仿宋" w:hAnsi="仿宋" w:eastAsia="仿宋" w:cs="仿宋"/>
                <w:spacing w:val="-3"/>
                <w:sz w:val="21"/>
                <w:szCs w:val="21"/>
              </w:rPr>
              <w:t>杂房（不涉及搬迁人口）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29" w:type="dxa"/>
            <w:tcBorders>
              <w:left w:val="nil"/>
            </w:tcBorders>
            <w:vAlign w:val="top"/>
          </w:tcPr>
          <w:p>
            <w:pPr>
              <w:pStyle w:val="6"/>
              <w:spacing w:before="68" w:line="188" w:lineRule="auto"/>
              <w:ind w:left="191"/>
            </w:pPr>
            <w:r>
              <w:rPr>
                <w:spacing w:val="-3"/>
              </w:rPr>
              <w:t>3.3</w:t>
            </w:r>
          </w:p>
        </w:tc>
        <w:tc>
          <w:tcPr>
            <w:tcW w:w="2686" w:type="dxa"/>
            <w:vAlign w:val="top"/>
          </w:tcPr>
          <w:p>
            <w:pPr>
              <w:spacing w:before="31" w:line="206" w:lineRule="auto"/>
              <w:ind w:left="124"/>
              <w:rPr>
                <w:rFonts w:ascii="仿宋" w:hAnsi="仿宋" w:eastAsia="仿宋" w:cs="仿宋"/>
                <w:sz w:val="21"/>
                <w:szCs w:val="21"/>
              </w:rPr>
            </w:pPr>
            <w:r>
              <w:rPr>
                <w:rFonts w:ascii="仿宋" w:hAnsi="仿宋" w:eastAsia="仿宋" w:cs="仿宋"/>
                <w:spacing w:val="-2"/>
                <w:sz w:val="21"/>
                <w:szCs w:val="21"/>
              </w:rPr>
              <w:t>工程建设区征（占）地</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29" w:type="dxa"/>
            <w:tcBorders>
              <w:left w:val="nil"/>
            </w:tcBorders>
            <w:vAlign w:val="top"/>
          </w:tcPr>
          <w:p>
            <w:pPr>
              <w:rPr>
                <w:rFonts w:ascii="Arial"/>
                <w:sz w:val="21"/>
              </w:rPr>
            </w:pPr>
          </w:p>
        </w:tc>
        <w:tc>
          <w:tcPr>
            <w:tcW w:w="2686" w:type="dxa"/>
            <w:vAlign w:val="top"/>
          </w:tcPr>
          <w:p>
            <w:pPr>
              <w:spacing w:before="33" w:line="205" w:lineRule="auto"/>
              <w:ind w:left="122"/>
              <w:rPr>
                <w:rFonts w:ascii="仿宋" w:hAnsi="仿宋" w:eastAsia="仿宋" w:cs="仿宋"/>
                <w:sz w:val="21"/>
                <w:szCs w:val="21"/>
              </w:rPr>
            </w:pPr>
            <w:r>
              <w:rPr>
                <w:rFonts w:ascii="仿宋" w:hAnsi="仿宋" w:eastAsia="仿宋" w:cs="仿宋"/>
                <w:spacing w:val="-4"/>
                <w:sz w:val="21"/>
                <w:szCs w:val="21"/>
              </w:rPr>
              <w:t>永久征地</w:t>
            </w:r>
          </w:p>
        </w:tc>
        <w:tc>
          <w:tcPr>
            <w:tcW w:w="702" w:type="dxa"/>
            <w:vAlign w:val="top"/>
          </w:tcPr>
          <w:p>
            <w:pPr>
              <w:pStyle w:val="6"/>
              <w:spacing w:before="36" w:line="224" w:lineRule="auto"/>
              <w:ind w:left="178"/>
              <w:rPr>
                <w:sz w:val="14"/>
                <w:szCs w:val="14"/>
              </w:rPr>
            </w:pPr>
            <w:r>
              <w:rPr>
                <w:spacing w:val="-1"/>
              </w:rPr>
              <w:t>hm</w:t>
            </w:r>
            <w:r>
              <w:rPr>
                <w:spacing w:val="-1"/>
                <w:position w:val="7"/>
                <w:sz w:val="14"/>
                <w:szCs w:val="14"/>
              </w:rPr>
              <w:t>2</w:t>
            </w:r>
          </w:p>
        </w:tc>
        <w:tc>
          <w:tcPr>
            <w:tcW w:w="1451" w:type="dxa"/>
            <w:vAlign w:val="top"/>
          </w:tcPr>
          <w:p>
            <w:pPr>
              <w:pStyle w:val="6"/>
              <w:spacing w:before="69" w:line="188" w:lineRule="auto"/>
              <w:ind w:left="385"/>
            </w:pPr>
            <w:r>
              <w:rPr>
                <w:spacing w:val="-1"/>
              </w:rPr>
              <w:t>49.9818</w:t>
            </w:r>
          </w:p>
        </w:tc>
        <w:tc>
          <w:tcPr>
            <w:tcW w:w="3490" w:type="dxa"/>
            <w:tcBorders>
              <w:right w:val="nil"/>
            </w:tcBorders>
            <w:vAlign w:val="top"/>
          </w:tcPr>
          <w:p>
            <w:pPr>
              <w:spacing w:before="33" w:line="205" w:lineRule="auto"/>
              <w:ind w:left="121"/>
              <w:rPr>
                <w:rFonts w:ascii="仿宋" w:hAnsi="仿宋" w:eastAsia="仿宋" w:cs="仿宋"/>
                <w:sz w:val="21"/>
                <w:szCs w:val="21"/>
              </w:rPr>
            </w:pPr>
            <w:r>
              <w:rPr>
                <w:rFonts w:ascii="仿宋" w:hAnsi="仿宋" w:eastAsia="仿宋" w:cs="仿宋"/>
                <w:spacing w:val="-1"/>
                <w:sz w:val="21"/>
                <w:szCs w:val="21"/>
              </w:rPr>
              <w:t>含枢纽、引水、引洪、输水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29" w:type="dxa"/>
            <w:tcBorders>
              <w:left w:val="nil"/>
            </w:tcBorders>
            <w:vAlign w:val="top"/>
          </w:tcPr>
          <w:p>
            <w:pPr>
              <w:rPr>
                <w:rFonts w:ascii="Arial"/>
                <w:sz w:val="21"/>
              </w:rPr>
            </w:pPr>
          </w:p>
        </w:tc>
        <w:tc>
          <w:tcPr>
            <w:tcW w:w="2686" w:type="dxa"/>
            <w:vAlign w:val="top"/>
          </w:tcPr>
          <w:p>
            <w:pPr>
              <w:spacing w:before="33" w:line="204" w:lineRule="auto"/>
              <w:ind w:left="121"/>
              <w:rPr>
                <w:rFonts w:ascii="仿宋" w:hAnsi="仿宋" w:eastAsia="仿宋" w:cs="仿宋"/>
                <w:sz w:val="21"/>
                <w:szCs w:val="21"/>
              </w:rPr>
            </w:pPr>
            <w:r>
              <w:rPr>
                <w:rFonts w:ascii="仿宋" w:hAnsi="仿宋" w:eastAsia="仿宋" w:cs="仿宋"/>
                <w:spacing w:val="-3"/>
                <w:sz w:val="21"/>
                <w:szCs w:val="21"/>
              </w:rPr>
              <w:t>其中：耕地</w:t>
            </w:r>
          </w:p>
        </w:tc>
        <w:tc>
          <w:tcPr>
            <w:tcW w:w="702" w:type="dxa"/>
            <w:vAlign w:val="top"/>
          </w:tcPr>
          <w:p>
            <w:pPr>
              <w:spacing w:before="33" w:line="204" w:lineRule="auto"/>
              <w:ind w:left="261"/>
              <w:rPr>
                <w:rFonts w:ascii="仿宋" w:hAnsi="仿宋" w:eastAsia="仿宋" w:cs="仿宋"/>
                <w:sz w:val="21"/>
                <w:szCs w:val="21"/>
              </w:rPr>
            </w:pPr>
            <w:r>
              <w:rPr>
                <w:rFonts w:ascii="仿宋" w:hAnsi="仿宋" w:eastAsia="仿宋" w:cs="仿宋"/>
                <w:sz w:val="21"/>
                <w:szCs w:val="21"/>
              </w:rPr>
              <w:t>亩</w:t>
            </w:r>
          </w:p>
        </w:tc>
        <w:tc>
          <w:tcPr>
            <w:tcW w:w="1451" w:type="dxa"/>
            <w:vAlign w:val="top"/>
          </w:tcPr>
          <w:p>
            <w:pPr>
              <w:pStyle w:val="6"/>
              <w:spacing w:before="70" w:line="188" w:lineRule="auto"/>
              <w:ind w:left="515"/>
            </w:pPr>
            <w:r>
              <w:rPr>
                <w:spacing w:val="-7"/>
              </w:rPr>
              <w:t>11.75</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629" w:type="dxa"/>
            <w:tcBorders>
              <w:left w:val="nil"/>
            </w:tcBorders>
            <w:vAlign w:val="top"/>
          </w:tcPr>
          <w:p>
            <w:pPr>
              <w:rPr>
                <w:rFonts w:ascii="Arial"/>
                <w:sz w:val="21"/>
              </w:rPr>
            </w:pPr>
          </w:p>
        </w:tc>
        <w:tc>
          <w:tcPr>
            <w:tcW w:w="2686" w:type="dxa"/>
            <w:vAlign w:val="top"/>
          </w:tcPr>
          <w:p>
            <w:pPr>
              <w:spacing w:before="35" w:line="207" w:lineRule="auto"/>
              <w:ind w:left="131"/>
              <w:rPr>
                <w:rFonts w:ascii="仿宋" w:hAnsi="仿宋" w:eastAsia="仿宋" w:cs="仿宋"/>
                <w:sz w:val="21"/>
                <w:szCs w:val="21"/>
              </w:rPr>
            </w:pPr>
            <w:r>
              <w:rPr>
                <w:rFonts w:ascii="仿宋" w:hAnsi="仿宋" w:eastAsia="仿宋" w:cs="仿宋"/>
                <w:spacing w:val="-5"/>
                <w:sz w:val="21"/>
                <w:szCs w:val="21"/>
              </w:rPr>
              <w:t>临时占地</w:t>
            </w:r>
          </w:p>
        </w:tc>
        <w:tc>
          <w:tcPr>
            <w:tcW w:w="702" w:type="dxa"/>
            <w:vAlign w:val="top"/>
          </w:tcPr>
          <w:p>
            <w:pPr>
              <w:pStyle w:val="6"/>
              <w:spacing w:before="38" w:line="226" w:lineRule="auto"/>
              <w:ind w:left="178"/>
              <w:rPr>
                <w:sz w:val="14"/>
                <w:szCs w:val="14"/>
              </w:rPr>
            </w:pPr>
            <w:r>
              <w:rPr>
                <w:spacing w:val="-1"/>
              </w:rPr>
              <w:t>hm</w:t>
            </w:r>
            <w:r>
              <w:rPr>
                <w:spacing w:val="-1"/>
                <w:position w:val="7"/>
                <w:sz w:val="14"/>
                <w:szCs w:val="14"/>
              </w:rPr>
              <w:t>2</w:t>
            </w:r>
          </w:p>
        </w:tc>
        <w:tc>
          <w:tcPr>
            <w:tcW w:w="1451" w:type="dxa"/>
            <w:vAlign w:val="top"/>
          </w:tcPr>
          <w:p>
            <w:pPr>
              <w:pStyle w:val="6"/>
              <w:spacing w:before="71" w:line="188" w:lineRule="auto"/>
              <w:ind w:left="493"/>
            </w:pPr>
            <w:r>
              <w:rPr>
                <w:spacing w:val="-2"/>
              </w:rPr>
              <w:t>71.86</w:t>
            </w:r>
          </w:p>
        </w:tc>
        <w:tc>
          <w:tcPr>
            <w:tcW w:w="3490" w:type="dxa"/>
            <w:tcBorders>
              <w:right w:val="nil"/>
            </w:tcBorders>
            <w:vAlign w:val="top"/>
          </w:tcPr>
          <w:p>
            <w:pPr>
              <w:rPr>
                <w:rFonts w:ascii="Arial"/>
                <w:sz w:val="21"/>
              </w:rPr>
            </w:pPr>
          </w:p>
        </w:tc>
      </w:tr>
    </w:tbl>
    <w:p>
      <w:pPr>
        <w:spacing w:before="31" w:line="212" w:lineRule="auto"/>
        <w:ind w:left="177"/>
        <w:rPr>
          <w:rFonts w:ascii="仿宋" w:hAnsi="仿宋" w:eastAsia="仿宋" w:cs="仿宋"/>
          <w:sz w:val="21"/>
          <w:szCs w:val="21"/>
        </w:rPr>
      </w:pPr>
      <w:r>
        <w:rPr>
          <w:rFonts w:ascii="仿宋" w:hAnsi="仿宋" w:eastAsia="仿宋" w:cs="仿宋"/>
          <w:spacing w:val="-4"/>
          <w:sz w:val="21"/>
          <w:szCs w:val="21"/>
        </w:rPr>
        <w:t>四、主要建筑及设备</w:t>
      </w:r>
    </w:p>
    <w:tbl>
      <w:tblPr>
        <w:tblStyle w:val="5"/>
        <w:tblW w:w="8972"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2685"/>
        <w:gridCol w:w="702"/>
        <w:gridCol w:w="1451"/>
        <w:gridCol w:w="3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2" w:hRule="atLeast"/>
        </w:trPr>
        <w:tc>
          <w:tcPr>
            <w:tcW w:w="644" w:type="dxa"/>
            <w:tcBorders>
              <w:left w:val="nil"/>
            </w:tcBorders>
            <w:vAlign w:val="top"/>
          </w:tcPr>
          <w:p>
            <w:pPr>
              <w:pStyle w:val="6"/>
              <w:spacing w:before="73" w:line="188" w:lineRule="auto"/>
              <w:ind w:left="200"/>
            </w:pPr>
            <w:r>
              <w:rPr>
                <w:spacing w:val="-1"/>
              </w:rPr>
              <w:t>4.1</w:t>
            </w:r>
          </w:p>
        </w:tc>
        <w:tc>
          <w:tcPr>
            <w:tcW w:w="2685" w:type="dxa"/>
            <w:vAlign w:val="top"/>
          </w:tcPr>
          <w:p>
            <w:pPr>
              <w:spacing w:before="36" w:line="207" w:lineRule="auto"/>
              <w:ind w:left="118"/>
              <w:rPr>
                <w:rFonts w:ascii="仿宋" w:hAnsi="仿宋" w:eastAsia="仿宋" w:cs="仿宋"/>
                <w:sz w:val="21"/>
                <w:szCs w:val="21"/>
              </w:rPr>
            </w:pPr>
            <w:r>
              <w:rPr>
                <w:rFonts w:ascii="仿宋" w:hAnsi="仿宋" w:eastAsia="仿宋" w:cs="仿宋"/>
                <w:spacing w:val="-3"/>
                <w:sz w:val="21"/>
                <w:szCs w:val="21"/>
              </w:rPr>
              <w:t>挡水建筑物</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44" w:type="dxa"/>
            <w:tcBorders>
              <w:left w:val="nil"/>
            </w:tcBorders>
            <w:vAlign w:val="top"/>
          </w:tcPr>
          <w:p>
            <w:pPr>
              <w:rPr>
                <w:rFonts w:ascii="Arial"/>
                <w:sz w:val="21"/>
              </w:rPr>
            </w:pPr>
          </w:p>
        </w:tc>
        <w:tc>
          <w:tcPr>
            <w:tcW w:w="2685" w:type="dxa"/>
            <w:vAlign w:val="top"/>
          </w:tcPr>
          <w:p>
            <w:pPr>
              <w:spacing w:before="166" w:line="219" w:lineRule="auto"/>
              <w:ind w:left="128"/>
              <w:rPr>
                <w:rFonts w:ascii="仿宋" w:hAnsi="仿宋" w:eastAsia="仿宋" w:cs="仿宋"/>
                <w:sz w:val="21"/>
                <w:szCs w:val="21"/>
              </w:rPr>
            </w:pPr>
            <w:r>
              <w:rPr>
                <w:rFonts w:ascii="仿宋" w:hAnsi="仿宋" w:eastAsia="仿宋" w:cs="仿宋"/>
                <w:spacing w:val="-6"/>
                <w:sz w:val="21"/>
                <w:szCs w:val="21"/>
              </w:rPr>
              <w:t>型式</w:t>
            </w:r>
          </w:p>
        </w:tc>
        <w:tc>
          <w:tcPr>
            <w:tcW w:w="702" w:type="dxa"/>
            <w:vAlign w:val="top"/>
          </w:tcPr>
          <w:p>
            <w:pPr>
              <w:rPr>
                <w:rFonts w:ascii="Arial"/>
                <w:sz w:val="21"/>
              </w:rPr>
            </w:pPr>
          </w:p>
        </w:tc>
        <w:tc>
          <w:tcPr>
            <w:tcW w:w="1451" w:type="dxa"/>
            <w:vAlign w:val="top"/>
          </w:tcPr>
          <w:p>
            <w:pPr>
              <w:spacing w:before="32" w:line="239" w:lineRule="auto"/>
              <w:ind w:left="317"/>
              <w:rPr>
                <w:rFonts w:ascii="仿宋" w:hAnsi="仿宋" w:eastAsia="仿宋" w:cs="仿宋"/>
                <w:sz w:val="21"/>
                <w:szCs w:val="21"/>
              </w:rPr>
            </w:pPr>
            <w:r>
              <w:rPr>
                <w:rFonts w:ascii="仿宋" w:hAnsi="仿宋" w:eastAsia="仿宋" w:cs="仿宋"/>
                <w:spacing w:val="-3"/>
                <w:sz w:val="21"/>
                <w:szCs w:val="21"/>
              </w:rPr>
              <w:t>粘土心墙</w:t>
            </w:r>
          </w:p>
          <w:p>
            <w:pPr>
              <w:spacing w:line="205" w:lineRule="auto"/>
              <w:ind w:left="318"/>
              <w:rPr>
                <w:rFonts w:ascii="仿宋" w:hAnsi="仿宋" w:eastAsia="仿宋" w:cs="仿宋"/>
                <w:sz w:val="21"/>
                <w:szCs w:val="21"/>
              </w:rPr>
            </w:pPr>
            <w:r>
              <w:rPr>
                <w:rFonts w:ascii="仿宋" w:hAnsi="仿宋" w:eastAsia="仿宋" w:cs="仿宋"/>
                <w:spacing w:val="-3"/>
                <w:sz w:val="21"/>
                <w:szCs w:val="21"/>
              </w:rPr>
              <w:t>风化料坝</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32" w:line="205" w:lineRule="auto"/>
              <w:ind w:left="123"/>
              <w:rPr>
                <w:rFonts w:ascii="仿宋" w:hAnsi="仿宋" w:eastAsia="仿宋" w:cs="仿宋"/>
                <w:sz w:val="21"/>
                <w:szCs w:val="21"/>
              </w:rPr>
            </w:pPr>
            <w:r>
              <w:rPr>
                <w:rFonts w:ascii="仿宋" w:hAnsi="仿宋" w:eastAsia="仿宋" w:cs="仿宋"/>
                <w:spacing w:val="-4"/>
                <w:sz w:val="21"/>
                <w:szCs w:val="21"/>
              </w:rPr>
              <w:t>坝顶高程</w:t>
            </w:r>
          </w:p>
        </w:tc>
        <w:tc>
          <w:tcPr>
            <w:tcW w:w="702" w:type="dxa"/>
            <w:vAlign w:val="top"/>
          </w:tcPr>
          <w:p>
            <w:pPr>
              <w:pStyle w:val="6"/>
              <w:spacing w:before="67" w:line="197" w:lineRule="auto"/>
              <w:ind w:left="267"/>
            </w:pPr>
            <w:r>
              <w:t>m</w:t>
            </w:r>
          </w:p>
        </w:tc>
        <w:tc>
          <w:tcPr>
            <w:tcW w:w="1451" w:type="dxa"/>
            <w:vAlign w:val="top"/>
          </w:tcPr>
          <w:p>
            <w:pPr>
              <w:pStyle w:val="6"/>
              <w:spacing w:before="69" w:line="188" w:lineRule="auto"/>
              <w:ind w:left="439"/>
            </w:pPr>
            <w:r>
              <w:rPr>
                <w:spacing w:val="-1"/>
              </w:rPr>
              <w:t>2098.1</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33" w:line="204" w:lineRule="auto"/>
              <w:ind w:left="123"/>
              <w:rPr>
                <w:rFonts w:ascii="仿宋" w:hAnsi="仿宋" w:eastAsia="仿宋" w:cs="仿宋"/>
                <w:sz w:val="21"/>
                <w:szCs w:val="21"/>
              </w:rPr>
            </w:pPr>
            <w:r>
              <w:rPr>
                <w:rFonts w:ascii="仿宋" w:hAnsi="仿宋" w:eastAsia="仿宋" w:cs="仿宋"/>
                <w:spacing w:val="-5"/>
                <w:sz w:val="21"/>
                <w:szCs w:val="21"/>
              </w:rPr>
              <w:t>坝顶宽</w:t>
            </w:r>
          </w:p>
        </w:tc>
        <w:tc>
          <w:tcPr>
            <w:tcW w:w="702" w:type="dxa"/>
            <w:vAlign w:val="top"/>
          </w:tcPr>
          <w:p>
            <w:pPr>
              <w:pStyle w:val="6"/>
              <w:spacing w:before="68" w:line="196" w:lineRule="auto"/>
              <w:ind w:left="267"/>
            </w:pPr>
            <w:r>
              <w:t>m</w:t>
            </w:r>
          </w:p>
        </w:tc>
        <w:tc>
          <w:tcPr>
            <w:tcW w:w="1451" w:type="dxa"/>
            <w:vAlign w:val="top"/>
          </w:tcPr>
          <w:p>
            <w:pPr>
              <w:pStyle w:val="6"/>
              <w:spacing w:before="70" w:line="188" w:lineRule="auto"/>
              <w:ind w:left="563"/>
            </w:pPr>
            <w:r>
              <w:rPr>
                <w:spacing w:val="-6"/>
              </w:rPr>
              <w:t>10.0</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44" w:type="dxa"/>
            <w:tcBorders>
              <w:left w:val="nil"/>
            </w:tcBorders>
            <w:vAlign w:val="top"/>
          </w:tcPr>
          <w:p>
            <w:pPr>
              <w:rPr>
                <w:rFonts w:ascii="Arial"/>
                <w:sz w:val="21"/>
              </w:rPr>
            </w:pPr>
          </w:p>
        </w:tc>
        <w:tc>
          <w:tcPr>
            <w:tcW w:w="2685" w:type="dxa"/>
            <w:vAlign w:val="top"/>
          </w:tcPr>
          <w:p>
            <w:pPr>
              <w:spacing w:before="36" w:line="203" w:lineRule="auto"/>
              <w:ind w:left="124"/>
              <w:rPr>
                <w:rFonts w:ascii="仿宋" w:hAnsi="仿宋" w:eastAsia="仿宋" w:cs="仿宋"/>
                <w:sz w:val="21"/>
                <w:szCs w:val="21"/>
              </w:rPr>
            </w:pPr>
            <w:r>
              <w:rPr>
                <w:rFonts w:ascii="仿宋" w:hAnsi="仿宋" w:eastAsia="仿宋" w:cs="仿宋"/>
                <w:spacing w:val="-4"/>
                <w:sz w:val="21"/>
                <w:szCs w:val="21"/>
              </w:rPr>
              <w:t>最大坝高</w:t>
            </w:r>
          </w:p>
        </w:tc>
        <w:tc>
          <w:tcPr>
            <w:tcW w:w="702" w:type="dxa"/>
            <w:vAlign w:val="top"/>
          </w:tcPr>
          <w:p>
            <w:pPr>
              <w:pStyle w:val="6"/>
              <w:spacing w:before="70" w:line="195" w:lineRule="auto"/>
              <w:ind w:left="267"/>
            </w:pPr>
            <w:r>
              <w:t>m</w:t>
            </w:r>
          </w:p>
        </w:tc>
        <w:tc>
          <w:tcPr>
            <w:tcW w:w="1451" w:type="dxa"/>
            <w:vAlign w:val="top"/>
          </w:tcPr>
          <w:p>
            <w:pPr>
              <w:pStyle w:val="6"/>
              <w:spacing w:before="72" w:line="188" w:lineRule="auto"/>
              <w:ind w:left="547"/>
            </w:pPr>
            <w:r>
              <w:rPr>
                <w:spacing w:val="-2"/>
              </w:rPr>
              <w:t>93.1</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36" w:line="202" w:lineRule="auto"/>
              <w:ind w:left="123"/>
              <w:rPr>
                <w:rFonts w:ascii="仿宋" w:hAnsi="仿宋" w:eastAsia="仿宋" w:cs="仿宋"/>
                <w:sz w:val="21"/>
                <w:szCs w:val="21"/>
              </w:rPr>
            </w:pPr>
            <w:r>
              <w:rPr>
                <w:rFonts w:ascii="仿宋" w:hAnsi="仿宋" w:eastAsia="仿宋" w:cs="仿宋"/>
                <w:spacing w:val="-4"/>
                <w:sz w:val="21"/>
                <w:szCs w:val="21"/>
              </w:rPr>
              <w:t>坝顶长度</w:t>
            </w:r>
          </w:p>
        </w:tc>
        <w:tc>
          <w:tcPr>
            <w:tcW w:w="702" w:type="dxa"/>
            <w:vAlign w:val="top"/>
          </w:tcPr>
          <w:p>
            <w:pPr>
              <w:pStyle w:val="6"/>
              <w:spacing w:before="70" w:line="194" w:lineRule="auto"/>
              <w:ind w:left="267"/>
            </w:pPr>
            <w:r>
              <w:t>m</w:t>
            </w:r>
          </w:p>
        </w:tc>
        <w:tc>
          <w:tcPr>
            <w:tcW w:w="1451" w:type="dxa"/>
            <w:vAlign w:val="top"/>
          </w:tcPr>
          <w:p>
            <w:pPr>
              <w:pStyle w:val="6"/>
              <w:spacing w:before="72" w:line="188" w:lineRule="auto"/>
              <w:ind w:left="490"/>
            </w:pPr>
            <w:r>
              <w:rPr>
                <w:spacing w:val="-1"/>
              </w:rPr>
              <w:t>261.5</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pStyle w:val="6"/>
              <w:spacing w:before="73" w:line="188" w:lineRule="auto"/>
              <w:ind w:left="200"/>
            </w:pPr>
            <w:r>
              <w:rPr>
                <w:spacing w:val="-1"/>
              </w:rPr>
              <w:t>4.2</w:t>
            </w:r>
          </w:p>
        </w:tc>
        <w:tc>
          <w:tcPr>
            <w:tcW w:w="2685" w:type="dxa"/>
            <w:vAlign w:val="top"/>
          </w:tcPr>
          <w:p>
            <w:pPr>
              <w:spacing w:before="37" w:line="201" w:lineRule="auto"/>
              <w:ind w:left="120"/>
              <w:rPr>
                <w:rFonts w:ascii="仿宋" w:hAnsi="仿宋" w:eastAsia="仿宋" w:cs="仿宋"/>
                <w:sz w:val="21"/>
                <w:szCs w:val="21"/>
              </w:rPr>
            </w:pPr>
            <w:r>
              <w:rPr>
                <w:rFonts w:ascii="仿宋" w:hAnsi="仿宋" w:eastAsia="仿宋" w:cs="仿宋"/>
                <w:spacing w:val="-3"/>
                <w:sz w:val="21"/>
                <w:szCs w:val="21"/>
              </w:rPr>
              <w:t>输水放空隧洞</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644" w:type="dxa"/>
            <w:tcBorders>
              <w:left w:val="nil"/>
            </w:tcBorders>
            <w:vAlign w:val="top"/>
          </w:tcPr>
          <w:p>
            <w:pPr>
              <w:rPr>
                <w:rFonts w:ascii="Arial"/>
                <w:sz w:val="21"/>
              </w:rPr>
            </w:pPr>
          </w:p>
        </w:tc>
        <w:tc>
          <w:tcPr>
            <w:tcW w:w="2685" w:type="dxa"/>
            <w:vAlign w:val="top"/>
          </w:tcPr>
          <w:p>
            <w:pPr>
              <w:spacing w:before="39" w:line="201" w:lineRule="auto"/>
              <w:ind w:left="128"/>
              <w:rPr>
                <w:rFonts w:ascii="仿宋" w:hAnsi="仿宋" w:eastAsia="仿宋" w:cs="仿宋"/>
                <w:sz w:val="21"/>
                <w:szCs w:val="21"/>
              </w:rPr>
            </w:pPr>
            <w:r>
              <w:rPr>
                <w:rFonts w:ascii="仿宋" w:hAnsi="仿宋" w:eastAsia="仿宋" w:cs="仿宋"/>
                <w:spacing w:val="-6"/>
                <w:sz w:val="21"/>
                <w:szCs w:val="21"/>
              </w:rPr>
              <w:t>型式</w:t>
            </w:r>
          </w:p>
        </w:tc>
        <w:tc>
          <w:tcPr>
            <w:tcW w:w="702" w:type="dxa"/>
            <w:vAlign w:val="top"/>
          </w:tcPr>
          <w:p>
            <w:pPr>
              <w:rPr>
                <w:rFonts w:ascii="Arial"/>
                <w:sz w:val="21"/>
              </w:rPr>
            </w:pPr>
          </w:p>
        </w:tc>
        <w:tc>
          <w:tcPr>
            <w:tcW w:w="1451" w:type="dxa"/>
            <w:vAlign w:val="top"/>
          </w:tcPr>
          <w:p>
            <w:pPr>
              <w:spacing w:before="39" w:line="201" w:lineRule="auto"/>
              <w:ind w:left="420"/>
              <w:rPr>
                <w:rFonts w:ascii="仿宋" w:hAnsi="仿宋" w:eastAsia="仿宋" w:cs="仿宋"/>
                <w:sz w:val="21"/>
                <w:szCs w:val="21"/>
              </w:rPr>
            </w:pPr>
            <w:r>
              <w:rPr>
                <w:rFonts w:ascii="仿宋" w:hAnsi="仿宋" w:eastAsia="仿宋" w:cs="仿宋"/>
                <w:spacing w:val="-3"/>
                <w:sz w:val="21"/>
                <w:szCs w:val="21"/>
              </w:rPr>
              <w:t>有压洞</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44" w:type="dxa"/>
            <w:tcBorders>
              <w:left w:val="nil"/>
            </w:tcBorders>
            <w:vAlign w:val="top"/>
          </w:tcPr>
          <w:p>
            <w:pPr>
              <w:rPr>
                <w:rFonts w:ascii="Arial"/>
                <w:sz w:val="21"/>
              </w:rPr>
            </w:pPr>
          </w:p>
        </w:tc>
        <w:tc>
          <w:tcPr>
            <w:tcW w:w="2685" w:type="dxa"/>
            <w:vAlign w:val="top"/>
          </w:tcPr>
          <w:p>
            <w:pPr>
              <w:spacing w:before="38" w:line="239" w:lineRule="auto"/>
              <w:ind w:left="120"/>
              <w:rPr>
                <w:rFonts w:ascii="仿宋" w:hAnsi="仿宋" w:eastAsia="仿宋" w:cs="仿宋"/>
                <w:sz w:val="21"/>
                <w:szCs w:val="21"/>
              </w:rPr>
            </w:pPr>
            <w:r>
              <w:rPr>
                <w:rFonts w:ascii="仿宋" w:hAnsi="仿宋" w:eastAsia="仿宋" w:cs="仿宋"/>
                <w:spacing w:val="-3"/>
                <w:sz w:val="21"/>
                <w:szCs w:val="21"/>
              </w:rPr>
              <w:t>检修闸门型式</w:t>
            </w:r>
          </w:p>
          <w:p>
            <w:pPr>
              <w:pStyle w:val="6"/>
              <w:spacing w:line="199" w:lineRule="auto"/>
              <w:ind w:left="118"/>
              <w:rPr>
                <w:rFonts w:ascii="仿宋" w:hAnsi="仿宋" w:eastAsia="仿宋" w:cs="仿宋"/>
              </w:rPr>
            </w:pPr>
            <w:r>
              <w:rPr>
                <w:rFonts w:ascii="仿宋" w:hAnsi="仿宋" w:eastAsia="仿宋" w:cs="仿宋"/>
                <w:spacing w:val="-3"/>
              </w:rPr>
              <w:t>尺寸</w:t>
            </w:r>
            <w:r>
              <w:rPr>
                <w:spacing w:val="-3"/>
              </w:rPr>
              <w:t>/</w:t>
            </w:r>
            <w:r>
              <w:rPr>
                <w:rFonts w:ascii="仿宋" w:hAnsi="仿宋" w:eastAsia="仿宋" w:cs="仿宋"/>
                <w:spacing w:val="-3"/>
              </w:rPr>
              <w:t>数量</w:t>
            </w:r>
          </w:p>
        </w:tc>
        <w:tc>
          <w:tcPr>
            <w:tcW w:w="702" w:type="dxa"/>
            <w:vAlign w:val="top"/>
          </w:tcPr>
          <w:p>
            <w:pPr>
              <w:rPr>
                <w:rFonts w:ascii="Arial"/>
                <w:sz w:val="21"/>
              </w:rPr>
            </w:pPr>
          </w:p>
        </w:tc>
        <w:tc>
          <w:tcPr>
            <w:tcW w:w="1451" w:type="dxa"/>
            <w:vAlign w:val="top"/>
          </w:tcPr>
          <w:p>
            <w:pPr>
              <w:pStyle w:val="6"/>
              <w:spacing w:before="37" w:line="220" w:lineRule="auto"/>
              <w:ind w:left="135" w:right="109" w:firstLine="76"/>
            </w:pPr>
            <w:r>
              <w:rPr>
                <w:rFonts w:ascii="仿宋" w:hAnsi="仿宋" w:eastAsia="仿宋" w:cs="仿宋"/>
                <w:spacing w:val="-3"/>
              </w:rPr>
              <w:t>平板钢闸门</w:t>
            </w:r>
            <w:r>
              <w:rPr>
                <w:rFonts w:ascii="仿宋" w:hAnsi="仿宋" w:eastAsia="仿宋" w:cs="仿宋"/>
              </w:rPr>
              <w:t xml:space="preserve">  </w:t>
            </w:r>
            <w:r>
              <w:rPr>
                <w:spacing w:val="-3"/>
              </w:rPr>
              <w:t>1.8m</w:t>
            </w:r>
            <w:r>
              <w:rPr>
                <w:rFonts w:ascii="仿宋" w:hAnsi="仿宋" w:eastAsia="仿宋" w:cs="仿宋"/>
                <w:spacing w:val="-3"/>
              </w:rPr>
              <w:t>×</w:t>
            </w:r>
            <w:r>
              <w:rPr>
                <w:spacing w:val="-3"/>
              </w:rPr>
              <w:t>1.8m/1</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44" w:type="dxa"/>
            <w:tcBorders>
              <w:left w:val="nil"/>
            </w:tcBorders>
            <w:vAlign w:val="top"/>
          </w:tcPr>
          <w:p>
            <w:pPr>
              <w:rPr>
                <w:rFonts w:ascii="Arial"/>
                <w:sz w:val="21"/>
              </w:rPr>
            </w:pPr>
          </w:p>
        </w:tc>
        <w:tc>
          <w:tcPr>
            <w:tcW w:w="2685" w:type="dxa"/>
            <w:vAlign w:val="top"/>
          </w:tcPr>
          <w:p>
            <w:pPr>
              <w:spacing w:before="39" w:line="219" w:lineRule="auto"/>
              <w:ind w:left="120" w:right="264"/>
              <w:rPr>
                <w:rFonts w:ascii="仿宋" w:hAnsi="仿宋" w:eastAsia="仿宋" w:cs="仿宋"/>
                <w:sz w:val="21"/>
                <w:szCs w:val="21"/>
              </w:rPr>
            </w:pPr>
            <w:r>
              <w:rPr>
                <w:rFonts w:ascii="仿宋" w:hAnsi="仿宋" w:eastAsia="仿宋" w:cs="仿宋"/>
                <w:spacing w:val="-2"/>
                <w:sz w:val="21"/>
                <w:szCs w:val="21"/>
              </w:rPr>
              <w:t>输水放空隧洞进口底板高</w:t>
            </w:r>
            <w:r>
              <w:rPr>
                <w:rFonts w:ascii="仿宋" w:hAnsi="仿宋" w:eastAsia="仿宋" w:cs="仿宋"/>
                <w:spacing w:val="5"/>
                <w:sz w:val="21"/>
                <w:szCs w:val="21"/>
              </w:rPr>
              <w:t xml:space="preserve"> </w:t>
            </w:r>
            <w:r>
              <w:rPr>
                <w:rFonts w:ascii="仿宋" w:hAnsi="仿宋" w:eastAsia="仿宋" w:cs="仿宋"/>
                <w:sz w:val="21"/>
                <w:szCs w:val="21"/>
              </w:rPr>
              <w:t>程</w:t>
            </w:r>
          </w:p>
        </w:tc>
        <w:tc>
          <w:tcPr>
            <w:tcW w:w="702" w:type="dxa"/>
            <w:vAlign w:val="top"/>
          </w:tcPr>
          <w:p>
            <w:pPr>
              <w:pStyle w:val="6"/>
              <w:spacing w:before="211" w:line="235" w:lineRule="auto"/>
              <w:ind w:left="267"/>
            </w:pPr>
            <w:r>
              <w:t>m</w:t>
            </w:r>
          </w:p>
        </w:tc>
        <w:tc>
          <w:tcPr>
            <w:tcW w:w="1451" w:type="dxa"/>
            <w:vAlign w:val="top"/>
          </w:tcPr>
          <w:p>
            <w:pPr>
              <w:pStyle w:val="6"/>
              <w:spacing w:before="213" w:line="188" w:lineRule="auto"/>
              <w:ind w:left="386"/>
            </w:pPr>
            <w:r>
              <w:rPr>
                <w:spacing w:val="-1"/>
              </w:rPr>
              <w:t>2055.00</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41" w:line="197" w:lineRule="auto"/>
              <w:ind w:left="120"/>
              <w:rPr>
                <w:rFonts w:ascii="仿宋" w:hAnsi="仿宋" w:eastAsia="仿宋" w:cs="仿宋"/>
                <w:sz w:val="21"/>
                <w:szCs w:val="21"/>
              </w:rPr>
            </w:pPr>
            <w:r>
              <w:rPr>
                <w:rFonts w:ascii="仿宋" w:hAnsi="仿宋" w:eastAsia="仿宋" w:cs="仿宋"/>
                <w:spacing w:val="-2"/>
                <w:sz w:val="21"/>
                <w:szCs w:val="21"/>
              </w:rPr>
              <w:t>输水放空隧洞全长</w:t>
            </w:r>
          </w:p>
        </w:tc>
        <w:tc>
          <w:tcPr>
            <w:tcW w:w="702" w:type="dxa"/>
            <w:vAlign w:val="top"/>
          </w:tcPr>
          <w:p>
            <w:pPr>
              <w:pStyle w:val="6"/>
              <w:spacing w:before="76" w:line="188" w:lineRule="auto"/>
              <w:ind w:left="267"/>
            </w:pPr>
            <w:r>
              <w:t>m</w:t>
            </w:r>
          </w:p>
        </w:tc>
        <w:tc>
          <w:tcPr>
            <w:tcW w:w="1451" w:type="dxa"/>
            <w:vAlign w:val="top"/>
          </w:tcPr>
          <w:p>
            <w:pPr>
              <w:pStyle w:val="6"/>
              <w:spacing w:before="77" w:line="187" w:lineRule="auto"/>
              <w:ind w:left="444"/>
            </w:pPr>
            <w:r>
              <w:rPr>
                <w:spacing w:val="-2"/>
              </w:rPr>
              <w:t>533.00</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644" w:type="dxa"/>
            <w:tcBorders>
              <w:left w:val="nil"/>
            </w:tcBorders>
            <w:vAlign w:val="top"/>
          </w:tcPr>
          <w:p>
            <w:pPr>
              <w:rPr>
                <w:rFonts w:ascii="Arial"/>
                <w:sz w:val="21"/>
              </w:rPr>
            </w:pPr>
          </w:p>
        </w:tc>
        <w:tc>
          <w:tcPr>
            <w:tcW w:w="2685" w:type="dxa"/>
            <w:vAlign w:val="top"/>
          </w:tcPr>
          <w:p>
            <w:pPr>
              <w:spacing w:before="43" w:line="197" w:lineRule="auto"/>
              <w:ind w:left="120"/>
              <w:rPr>
                <w:rFonts w:ascii="仿宋" w:hAnsi="仿宋" w:eastAsia="仿宋" w:cs="仿宋"/>
                <w:sz w:val="21"/>
                <w:szCs w:val="21"/>
              </w:rPr>
            </w:pPr>
            <w:r>
              <w:rPr>
                <w:rFonts w:ascii="仿宋" w:hAnsi="仿宋" w:eastAsia="仿宋" w:cs="仿宋"/>
                <w:spacing w:val="-2"/>
                <w:sz w:val="21"/>
                <w:szCs w:val="21"/>
              </w:rPr>
              <w:t>输水设计最大流量</w:t>
            </w:r>
          </w:p>
        </w:tc>
        <w:tc>
          <w:tcPr>
            <w:tcW w:w="702" w:type="dxa"/>
            <w:vAlign w:val="top"/>
          </w:tcPr>
          <w:p>
            <w:pPr>
              <w:pStyle w:val="6"/>
              <w:spacing w:before="78" w:line="188" w:lineRule="auto"/>
              <w:ind w:left="166"/>
            </w:pPr>
            <w:r>
              <w:rPr>
                <w:spacing w:val="-1"/>
              </w:rPr>
              <w:t>m³/s</w:t>
            </w:r>
          </w:p>
        </w:tc>
        <w:tc>
          <w:tcPr>
            <w:tcW w:w="1451" w:type="dxa"/>
            <w:vAlign w:val="top"/>
          </w:tcPr>
          <w:p>
            <w:pPr>
              <w:pStyle w:val="6"/>
              <w:spacing w:before="79" w:line="187" w:lineRule="auto"/>
              <w:ind w:left="563"/>
            </w:pPr>
            <w:r>
              <w:rPr>
                <w:spacing w:val="-6"/>
              </w:rPr>
              <w:t>1.49</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43" w:line="196" w:lineRule="auto"/>
              <w:ind w:left="119"/>
              <w:rPr>
                <w:rFonts w:ascii="仿宋" w:hAnsi="仿宋" w:eastAsia="仿宋" w:cs="仿宋"/>
                <w:sz w:val="21"/>
                <w:szCs w:val="21"/>
              </w:rPr>
            </w:pPr>
            <w:r>
              <w:rPr>
                <w:rFonts w:ascii="仿宋" w:hAnsi="仿宋" w:eastAsia="仿宋" w:cs="仿宋"/>
                <w:spacing w:val="-2"/>
                <w:sz w:val="21"/>
                <w:szCs w:val="21"/>
              </w:rPr>
              <w:t>放空最大下泄流量</w:t>
            </w:r>
          </w:p>
        </w:tc>
        <w:tc>
          <w:tcPr>
            <w:tcW w:w="702" w:type="dxa"/>
            <w:vAlign w:val="top"/>
          </w:tcPr>
          <w:p>
            <w:pPr>
              <w:pStyle w:val="6"/>
              <w:spacing w:before="77" w:line="187" w:lineRule="auto"/>
              <w:ind w:left="166"/>
            </w:pPr>
            <w:r>
              <w:rPr>
                <w:spacing w:val="-1"/>
              </w:rPr>
              <w:t>m³/s</w:t>
            </w:r>
          </w:p>
        </w:tc>
        <w:tc>
          <w:tcPr>
            <w:tcW w:w="1451" w:type="dxa"/>
            <w:vAlign w:val="top"/>
          </w:tcPr>
          <w:p>
            <w:pPr>
              <w:pStyle w:val="6"/>
              <w:spacing w:before="78" w:line="186" w:lineRule="auto"/>
              <w:ind w:left="511"/>
            </w:pPr>
            <w:r>
              <w:rPr>
                <w:spacing w:val="-5"/>
              </w:rPr>
              <w:t>19.57</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pStyle w:val="6"/>
              <w:spacing w:before="79" w:line="185" w:lineRule="auto"/>
              <w:ind w:left="200"/>
            </w:pPr>
            <w:r>
              <w:rPr>
                <w:spacing w:val="-1"/>
              </w:rPr>
              <w:t>4.3</w:t>
            </w:r>
          </w:p>
        </w:tc>
        <w:tc>
          <w:tcPr>
            <w:tcW w:w="2685" w:type="dxa"/>
            <w:vAlign w:val="top"/>
          </w:tcPr>
          <w:p>
            <w:pPr>
              <w:spacing w:before="44" w:line="195" w:lineRule="auto"/>
              <w:ind w:left="123"/>
              <w:rPr>
                <w:rFonts w:ascii="仿宋" w:hAnsi="仿宋" w:eastAsia="仿宋" w:cs="仿宋"/>
                <w:sz w:val="21"/>
                <w:szCs w:val="21"/>
              </w:rPr>
            </w:pPr>
            <w:r>
              <w:rPr>
                <w:rFonts w:ascii="仿宋" w:hAnsi="仿宋" w:eastAsia="仿宋" w:cs="仿宋"/>
                <w:spacing w:val="-5"/>
                <w:sz w:val="21"/>
                <w:szCs w:val="21"/>
              </w:rPr>
              <w:t>溢洪道</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644" w:type="dxa"/>
            <w:tcBorders>
              <w:left w:val="nil"/>
            </w:tcBorders>
            <w:vAlign w:val="top"/>
          </w:tcPr>
          <w:p>
            <w:pPr>
              <w:rPr>
                <w:rFonts w:ascii="Arial"/>
                <w:sz w:val="21"/>
              </w:rPr>
            </w:pPr>
          </w:p>
        </w:tc>
        <w:tc>
          <w:tcPr>
            <w:tcW w:w="2685" w:type="dxa"/>
            <w:vAlign w:val="top"/>
          </w:tcPr>
          <w:p>
            <w:pPr>
              <w:spacing w:before="46" w:line="195" w:lineRule="auto"/>
              <w:ind w:left="128"/>
              <w:rPr>
                <w:rFonts w:ascii="仿宋" w:hAnsi="仿宋" w:eastAsia="仿宋" w:cs="仿宋"/>
                <w:sz w:val="21"/>
                <w:szCs w:val="21"/>
              </w:rPr>
            </w:pPr>
            <w:r>
              <w:rPr>
                <w:rFonts w:ascii="仿宋" w:hAnsi="仿宋" w:eastAsia="仿宋" w:cs="仿宋"/>
                <w:spacing w:val="-6"/>
                <w:sz w:val="21"/>
                <w:szCs w:val="21"/>
              </w:rPr>
              <w:t>型式</w:t>
            </w:r>
          </w:p>
        </w:tc>
        <w:tc>
          <w:tcPr>
            <w:tcW w:w="702" w:type="dxa"/>
            <w:vAlign w:val="top"/>
          </w:tcPr>
          <w:p>
            <w:pPr>
              <w:rPr>
                <w:rFonts w:ascii="Arial"/>
                <w:sz w:val="21"/>
              </w:rPr>
            </w:pPr>
          </w:p>
        </w:tc>
        <w:tc>
          <w:tcPr>
            <w:tcW w:w="1451" w:type="dxa"/>
            <w:vAlign w:val="top"/>
          </w:tcPr>
          <w:p>
            <w:pPr>
              <w:spacing w:before="46" w:line="195" w:lineRule="auto"/>
              <w:ind w:left="212"/>
              <w:rPr>
                <w:rFonts w:ascii="仿宋" w:hAnsi="仿宋" w:eastAsia="仿宋" w:cs="仿宋"/>
                <w:sz w:val="21"/>
                <w:szCs w:val="21"/>
              </w:rPr>
            </w:pPr>
            <w:r>
              <w:rPr>
                <w:rFonts w:ascii="仿宋" w:hAnsi="仿宋" w:eastAsia="仿宋" w:cs="仿宋"/>
                <w:spacing w:val="-3"/>
                <w:sz w:val="21"/>
                <w:szCs w:val="21"/>
              </w:rPr>
              <w:t>开敞式侧槽</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45" w:line="194" w:lineRule="auto"/>
              <w:ind w:left="119"/>
              <w:rPr>
                <w:rFonts w:ascii="仿宋" w:hAnsi="仿宋" w:eastAsia="仿宋" w:cs="仿宋"/>
                <w:sz w:val="21"/>
                <w:szCs w:val="21"/>
              </w:rPr>
            </w:pPr>
            <w:r>
              <w:rPr>
                <w:rFonts w:ascii="仿宋" w:hAnsi="仿宋" w:eastAsia="仿宋" w:cs="仿宋"/>
                <w:spacing w:val="-4"/>
                <w:sz w:val="21"/>
                <w:szCs w:val="21"/>
              </w:rPr>
              <w:t>堰型</w:t>
            </w:r>
          </w:p>
        </w:tc>
        <w:tc>
          <w:tcPr>
            <w:tcW w:w="702" w:type="dxa"/>
            <w:vAlign w:val="top"/>
          </w:tcPr>
          <w:p>
            <w:pPr>
              <w:rPr>
                <w:rFonts w:ascii="Arial"/>
                <w:sz w:val="21"/>
              </w:rPr>
            </w:pPr>
          </w:p>
        </w:tc>
        <w:tc>
          <w:tcPr>
            <w:tcW w:w="1451" w:type="dxa"/>
            <w:vAlign w:val="top"/>
          </w:tcPr>
          <w:p>
            <w:pPr>
              <w:spacing w:before="45" w:line="194" w:lineRule="auto"/>
              <w:ind w:left="426"/>
              <w:rPr>
                <w:rFonts w:ascii="仿宋" w:hAnsi="仿宋" w:eastAsia="仿宋" w:cs="仿宋"/>
                <w:sz w:val="21"/>
                <w:szCs w:val="21"/>
              </w:rPr>
            </w:pPr>
            <w:r>
              <w:rPr>
                <w:rFonts w:ascii="仿宋" w:hAnsi="仿宋" w:eastAsia="仿宋" w:cs="仿宋"/>
                <w:spacing w:val="-5"/>
                <w:sz w:val="21"/>
                <w:szCs w:val="21"/>
              </w:rPr>
              <w:t>实用堰</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46" w:line="193" w:lineRule="auto"/>
              <w:ind w:left="119"/>
              <w:rPr>
                <w:rFonts w:ascii="仿宋" w:hAnsi="仿宋" w:eastAsia="仿宋" w:cs="仿宋"/>
                <w:sz w:val="21"/>
                <w:szCs w:val="21"/>
              </w:rPr>
            </w:pPr>
            <w:r>
              <w:rPr>
                <w:rFonts w:ascii="仿宋" w:hAnsi="仿宋" w:eastAsia="仿宋" w:cs="仿宋"/>
                <w:spacing w:val="-3"/>
                <w:sz w:val="21"/>
                <w:szCs w:val="21"/>
              </w:rPr>
              <w:t>堰顶高程</w:t>
            </w:r>
          </w:p>
        </w:tc>
        <w:tc>
          <w:tcPr>
            <w:tcW w:w="702" w:type="dxa"/>
            <w:vAlign w:val="top"/>
          </w:tcPr>
          <w:p>
            <w:pPr>
              <w:pStyle w:val="6"/>
              <w:spacing w:before="80" w:line="184" w:lineRule="auto"/>
              <w:ind w:left="267"/>
            </w:pPr>
            <w:r>
              <w:t>m</w:t>
            </w:r>
          </w:p>
        </w:tc>
        <w:tc>
          <w:tcPr>
            <w:tcW w:w="1451" w:type="dxa"/>
            <w:vAlign w:val="top"/>
          </w:tcPr>
          <w:p>
            <w:pPr>
              <w:pStyle w:val="6"/>
              <w:spacing w:before="81" w:line="183" w:lineRule="auto"/>
              <w:ind w:left="386"/>
            </w:pPr>
            <w:r>
              <w:rPr>
                <w:spacing w:val="-1"/>
              </w:rPr>
              <w:t>2094.15</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46" w:line="193" w:lineRule="auto"/>
              <w:ind w:left="119"/>
              <w:rPr>
                <w:rFonts w:ascii="仿宋" w:hAnsi="仿宋" w:eastAsia="仿宋" w:cs="仿宋"/>
                <w:sz w:val="21"/>
                <w:szCs w:val="21"/>
              </w:rPr>
            </w:pPr>
            <w:r>
              <w:rPr>
                <w:rFonts w:ascii="仿宋" w:hAnsi="仿宋" w:eastAsia="仿宋" w:cs="仿宋"/>
                <w:spacing w:val="-3"/>
                <w:sz w:val="21"/>
                <w:szCs w:val="21"/>
              </w:rPr>
              <w:t>控制段宽度</w:t>
            </w:r>
          </w:p>
        </w:tc>
        <w:tc>
          <w:tcPr>
            <w:tcW w:w="702" w:type="dxa"/>
            <w:vAlign w:val="top"/>
          </w:tcPr>
          <w:p>
            <w:pPr>
              <w:pStyle w:val="6"/>
              <w:spacing w:before="81" w:line="183" w:lineRule="auto"/>
              <w:ind w:left="267"/>
            </w:pPr>
            <w:r>
              <w:t>m</w:t>
            </w:r>
          </w:p>
        </w:tc>
        <w:tc>
          <w:tcPr>
            <w:tcW w:w="1451" w:type="dxa"/>
            <w:vAlign w:val="top"/>
          </w:tcPr>
          <w:p>
            <w:pPr>
              <w:pStyle w:val="6"/>
              <w:spacing w:before="82" w:line="182" w:lineRule="auto"/>
              <w:ind w:left="489"/>
            </w:pPr>
            <w:r>
              <w:rPr>
                <w:spacing w:val="-1"/>
              </w:rPr>
              <w:t>40.00</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44" w:type="dxa"/>
            <w:tcBorders>
              <w:left w:val="nil"/>
            </w:tcBorders>
            <w:vAlign w:val="top"/>
          </w:tcPr>
          <w:p>
            <w:pPr>
              <w:rPr>
                <w:rFonts w:ascii="Arial"/>
                <w:sz w:val="21"/>
              </w:rPr>
            </w:pPr>
          </w:p>
        </w:tc>
        <w:tc>
          <w:tcPr>
            <w:tcW w:w="2685" w:type="dxa"/>
            <w:vAlign w:val="top"/>
          </w:tcPr>
          <w:p>
            <w:pPr>
              <w:spacing w:before="49" w:line="191" w:lineRule="auto"/>
              <w:ind w:left="123"/>
              <w:rPr>
                <w:rFonts w:ascii="仿宋" w:hAnsi="仿宋" w:eastAsia="仿宋" w:cs="仿宋"/>
                <w:sz w:val="21"/>
                <w:szCs w:val="21"/>
              </w:rPr>
            </w:pPr>
            <w:r>
              <w:rPr>
                <w:rFonts w:ascii="仿宋" w:hAnsi="仿宋" w:eastAsia="仿宋" w:cs="仿宋"/>
                <w:spacing w:val="-4"/>
                <w:sz w:val="21"/>
                <w:szCs w:val="21"/>
              </w:rPr>
              <w:t>溢洪道长度</w:t>
            </w:r>
          </w:p>
        </w:tc>
        <w:tc>
          <w:tcPr>
            <w:tcW w:w="702" w:type="dxa"/>
            <w:vAlign w:val="top"/>
          </w:tcPr>
          <w:p>
            <w:pPr>
              <w:pStyle w:val="6"/>
              <w:spacing w:before="83" w:line="182" w:lineRule="auto"/>
              <w:ind w:left="267"/>
            </w:pPr>
            <w:r>
              <w:t>m</w:t>
            </w:r>
          </w:p>
        </w:tc>
        <w:tc>
          <w:tcPr>
            <w:tcW w:w="1451" w:type="dxa"/>
            <w:vAlign w:val="top"/>
          </w:tcPr>
          <w:p>
            <w:pPr>
              <w:pStyle w:val="6"/>
              <w:spacing w:before="85" w:line="180" w:lineRule="auto"/>
              <w:ind w:left="443"/>
            </w:pPr>
            <w:r>
              <w:rPr>
                <w:spacing w:val="-2"/>
              </w:rPr>
              <w:t>352.00</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48" w:line="191" w:lineRule="auto"/>
              <w:ind w:left="123"/>
              <w:rPr>
                <w:rFonts w:ascii="仿宋" w:hAnsi="仿宋" w:eastAsia="仿宋" w:cs="仿宋"/>
                <w:sz w:val="21"/>
                <w:szCs w:val="21"/>
              </w:rPr>
            </w:pPr>
            <w:r>
              <w:rPr>
                <w:rFonts w:ascii="仿宋" w:hAnsi="仿宋" w:eastAsia="仿宋" w:cs="仿宋"/>
                <w:spacing w:val="-4"/>
                <w:sz w:val="21"/>
                <w:szCs w:val="21"/>
              </w:rPr>
              <w:t>消能方式</w:t>
            </w:r>
          </w:p>
        </w:tc>
        <w:tc>
          <w:tcPr>
            <w:tcW w:w="702" w:type="dxa"/>
            <w:vAlign w:val="top"/>
          </w:tcPr>
          <w:p>
            <w:pPr>
              <w:rPr>
                <w:rFonts w:ascii="Arial"/>
                <w:sz w:val="21"/>
              </w:rPr>
            </w:pPr>
          </w:p>
        </w:tc>
        <w:tc>
          <w:tcPr>
            <w:tcW w:w="1451" w:type="dxa"/>
            <w:vAlign w:val="top"/>
          </w:tcPr>
          <w:p>
            <w:pPr>
              <w:spacing w:before="48" w:line="191" w:lineRule="auto"/>
              <w:ind w:left="319"/>
              <w:rPr>
                <w:rFonts w:ascii="仿宋" w:hAnsi="仿宋" w:eastAsia="仿宋" w:cs="仿宋"/>
                <w:sz w:val="21"/>
                <w:szCs w:val="21"/>
              </w:rPr>
            </w:pPr>
            <w:r>
              <w:rPr>
                <w:rFonts w:ascii="仿宋" w:hAnsi="仿宋" w:eastAsia="仿宋" w:cs="仿宋"/>
                <w:spacing w:val="-4"/>
                <w:sz w:val="21"/>
                <w:szCs w:val="21"/>
              </w:rPr>
              <w:t>底流消能</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49" w:line="190" w:lineRule="auto"/>
              <w:ind w:left="118"/>
              <w:rPr>
                <w:rFonts w:ascii="仿宋" w:hAnsi="仿宋" w:eastAsia="仿宋" w:cs="仿宋"/>
                <w:sz w:val="21"/>
                <w:szCs w:val="21"/>
              </w:rPr>
            </w:pPr>
            <w:r>
              <w:rPr>
                <w:rFonts w:ascii="仿宋" w:hAnsi="仿宋" w:eastAsia="仿宋" w:cs="仿宋"/>
                <w:spacing w:val="-2"/>
                <w:sz w:val="21"/>
                <w:szCs w:val="21"/>
              </w:rPr>
              <w:t>设计下泄流量</w:t>
            </w:r>
          </w:p>
        </w:tc>
        <w:tc>
          <w:tcPr>
            <w:tcW w:w="702" w:type="dxa"/>
            <w:vAlign w:val="top"/>
          </w:tcPr>
          <w:p>
            <w:pPr>
              <w:pStyle w:val="6"/>
              <w:spacing w:before="84" w:line="180" w:lineRule="auto"/>
              <w:ind w:left="166"/>
            </w:pPr>
            <w:r>
              <w:rPr>
                <w:spacing w:val="-1"/>
              </w:rPr>
              <w:t>m³/s</w:t>
            </w:r>
          </w:p>
        </w:tc>
        <w:tc>
          <w:tcPr>
            <w:tcW w:w="1451" w:type="dxa"/>
            <w:vAlign w:val="top"/>
          </w:tcPr>
          <w:p>
            <w:pPr>
              <w:pStyle w:val="6"/>
              <w:spacing w:before="86" w:line="178" w:lineRule="auto"/>
              <w:ind w:left="459"/>
            </w:pPr>
            <w:r>
              <w:rPr>
                <w:spacing w:val="-5"/>
              </w:rPr>
              <w:t>198.60</w:t>
            </w:r>
          </w:p>
        </w:tc>
        <w:tc>
          <w:tcPr>
            <w:tcW w:w="3490" w:type="dxa"/>
            <w:tcBorders>
              <w:right w:val="nil"/>
            </w:tcBorders>
            <w:vAlign w:val="top"/>
          </w:tcPr>
          <w:p>
            <w:pPr>
              <w:pStyle w:val="6"/>
              <w:spacing w:before="85" w:line="179" w:lineRule="auto"/>
              <w:ind w:left="109"/>
            </w:pPr>
            <w:r>
              <w:rPr>
                <w:spacing w:val="-1"/>
              </w:rPr>
              <w:t>P=2%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644" w:type="dxa"/>
            <w:tcBorders>
              <w:left w:val="nil"/>
            </w:tcBorders>
            <w:vAlign w:val="top"/>
          </w:tcPr>
          <w:p>
            <w:pPr>
              <w:rPr>
                <w:rFonts w:ascii="Arial"/>
                <w:sz w:val="21"/>
              </w:rPr>
            </w:pPr>
          </w:p>
        </w:tc>
        <w:tc>
          <w:tcPr>
            <w:tcW w:w="2685" w:type="dxa"/>
            <w:vAlign w:val="top"/>
          </w:tcPr>
          <w:p>
            <w:pPr>
              <w:spacing w:before="51" w:line="190" w:lineRule="auto"/>
              <w:ind w:left="118"/>
              <w:rPr>
                <w:rFonts w:ascii="仿宋" w:hAnsi="仿宋" w:eastAsia="仿宋" w:cs="仿宋"/>
                <w:sz w:val="21"/>
                <w:szCs w:val="21"/>
              </w:rPr>
            </w:pPr>
            <w:r>
              <w:rPr>
                <w:rFonts w:ascii="仿宋" w:hAnsi="仿宋" w:eastAsia="仿宋" w:cs="仿宋"/>
                <w:spacing w:val="-2"/>
                <w:sz w:val="21"/>
                <w:szCs w:val="21"/>
              </w:rPr>
              <w:t>校核下泄流量</w:t>
            </w:r>
          </w:p>
        </w:tc>
        <w:tc>
          <w:tcPr>
            <w:tcW w:w="702" w:type="dxa"/>
            <w:vAlign w:val="top"/>
          </w:tcPr>
          <w:p>
            <w:pPr>
              <w:pStyle w:val="6"/>
              <w:spacing w:before="85" w:line="181" w:lineRule="auto"/>
              <w:ind w:left="166"/>
            </w:pPr>
            <w:r>
              <w:rPr>
                <w:spacing w:val="-1"/>
              </w:rPr>
              <w:t>m³/s</w:t>
            </w:r>
          </w:p>
        </w:tc>
        <w:tc>
          <w:tcPr>
            <w:tcW w:w="1451" w:type="dxa"/>
            <w:vAlign w:val="top"/>
          </w:tcPr>
          <w:p>
            <w:pPr>
              <w:pStyle w:val="6"/>
              <w:spacing w:before="87" w:line="179" w:lineRule="auto"/>
              <w:ind w:left="443"/>
            </w:pPr>
            <w:r>
              <w:rPr>
                <w:spacing w:val="-2"/>
              </w:rPr>
              <w:t>338.69</w:t>
            </w:r>
          </w:p>
        </w:tc>
        <w:tc>
          <w:tcPr>
            <w:tcW w:w="3490" w:type="dxa"/>
            <w:tcBorders>
              <w:right w:val="nil"/>
            </w:tcBorders>
            <w:vAlign w:val="top"/>
          </w:tcPr>
          <w:p>
            <w:pPr>
              <w:pStyle w:val="6"/>
              <w:spacing w:before="86" w:line="180" w:lineRule="auto"/>
              <w:ind w:left="109"/>
            </w:pPr>
            <w:r>
              <w:rPr>
                <w:spacing w:val="-1"/>
              </w:rPr>
              <w:t>P=0.1%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51" w:line="189" w:lineRule="auto"/>
              <w:ind w:left="123"/>
              <w:rPr>
                <w:rFonts w:ascii="仿宋" w:hAnsi="仿宋" w:eastAsia="仿宋" w:cs="仿宋"/>
                <w:sz w:val="21"/>
                <w:szCs w:val="21"/>
              </w:rPr>
            </w:pPr>
            <w:r>
              <w:rPr>
                <w:rFonts w:ascii="仿宋" w:hAnsi="仿宋" w:eastAsia="仿宋" w:cs="仿宋"/>
                <w:spacing w:val="-3"/>
                <w:sz w:val="21"/>
                <w:szCs w:val="21"/>
              </w:rPr>
              <w:t>消能防冲设计流量</w:t>
            </w:r>
          </w:p>
        </w:tc>
        <w:tc>
          <w:tcPr>
            <w:tcW w:w="702" w:type="dxa"/>
            <w:vAlign w:val="top"/>
          </w:tcPr>
          <w:p>
            <w:pPr>
              <w:pStyle w:val="6"/>
              <w:spacing w:before="85" w:line="179" w:lineRule="auto"/>
              <w:ind w:left="166"/>
            </w:pPr>
            <w:r>
              <w:rPr>
                <w:spacing w:val="-1"/>
              </w:rPr>
              <w:t>m³/s</w:t>
            </w:r>
          </w:p>
        </w:tc>
        <w:tc>
          <w:tcPr>
            <w:tcW w:w="1451" w:type="dxa"/>
            <w:vAlign w:val="top"/>
          </w:tcPr>
          <w:p>
            <w:pPr>
              <w:pStyle w:val="6"/>
              <w:spacing w:before="87" w:line="177" w:lineRule="auto"/>
              <w:ind w:left="459"/>
            </w:pPr>
            <w:r>
              <w:rPr>
                <w:spacing w:val="-5"/>
              </w:rPr>
              <w:t>174.19</w:t>
            </w:r>
          </w:p>
        </w:tc>
        <w:tc>
          <w:tcPr>
            <w:tcW w:w="3490" w:type="dxa"/>
            <w:tcBorders>
              <w:right w:val="nil"/>
            </w:tcBorders>
            <w:vAlign w:val="top"/>
          </w:tcPr>
          <w:p>
            <w:pPr>
              <w:pStyle w:val="6"/>
              <w:spacing w:before="87" w:line="177" w:lineRule="auto"/>
              <w:ind w:left="109"/>
            </w:pPr>
            <w:r>
              <w:rPr>
                <w:spacing w:val="-1"/>
              </w:rPr>
              <w:t>P=3.33%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pStyle w:val="6"/>
              <w:spacing w:before="88" w:line="176" w:lineRule="auto"/>
              <w:ind w:left="200"/>
            </w:pPr>
            <w:r>
              <w:rPr>
                <w:spacing w:val="-1"/>
              </w:rPr>
              <w:t>4.4</w:t>
            </w:r>
          </w:p>
        </w:tc>
        <w:tc>
          <w:tcPr>
            <w:tcW w:w="2685" w:type="dxa"/>
            <w:vAlign w:val="top"/>
          </w:tcPr>
          <w:p>
            <w:pPr>
              <w:spacing w:before="52" w:line="188" w:lineRule="auto"/>
              <w:ind w:left="126"/>
              <w:rPr>
                <w:rFonts w:ascii="仿宋" w:hAnsi="仿宋" w:eastAsia="仿宋" w:cs="仿宋"/>
                <w:sz w:val="21"/>
                <w:szCs w:val="21"/>
              </w:rPr>
            </w:pPr>
            <w:r>
              <w:rPr>
                <w:rFonts w:ascii="仿宋" w:hAnsi="仿宋" w:eastAsia="仿宋" w:cs="仿宋"/>
                <w:spacing w:val="-5"/>
                <w:sz w:val="21"/>
                <w:szCs w:val="21"/>
              </w:rPr>
              <w:t>引水工程</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53" w:line="187" w:lineRule="auto"/>
              <w:ind w:left="126"/>
              <w:rPr>
                <w:rFonts w:ascii="仿宋" w:hAnsi="仿宋" w:eastAsia="仿宋" w:cs="仿宋"/>
                <w:sz w:val="21"/>
                <w:szCs w:val="21"/>
              </w:rPr>
            </w:pPr>
            <w:r>
              <w:rPr>
                <w:rFonts w:ascii="仿宋" w:hAnsi="仿宋" w:eastAsia="仿宋" w:cs="仿宋"/>
                <w:spacing w:val="-5"/>
                <w:sz w:val="21"/>
                <w:szCs w:val="21"/>
              </w:rPr>
              <w:t>引水流量</w:t>
            </w:r>
          </w:p>
        </w:tc>
        <w:tc>
          <w:tcPr>
            <w:tcW w:w="702" w:type="dxa"/>
            <w:vAlign w:val="top"/>
          </w:tcPr>
          <w:p>
            <w:pPr>
              <w:pStyle w:val="6"/>
              <w:spacing w:before="87" w:line="177" w:lineRule="auto"/>
              <w:ind w:left="166"/>
            </w:pPr>
            <w:r>
              <w:rPr>
                <w:spacing w:val="-1"/>
              </w:rPr>
              <w:t>m³/s</w:t>
            </w:r>
          </w:p>
        </w:tc>
        <w:tc>
          <w:tcPr>
            <w:tcW w:w="1451" w:type="dxa"/>
            <w:vAlign w:val="top"/>
          </w:tcPr>
          <w:p>
            <w:pPr>
              <w:pStyle w:val="6"/>
              <w:spacing w:before="89" w:line="175" w:lineRule="auto"/>
              <w:ind w:left="675"/>
            </w:pPr>
            <w:r>
              <w:t>2</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644" w:type="dxa"/>
            <w:tcBorders>
              <w:left w:val="nil"/>
            </w:tcBorders>
            <w:vAlign w:val="top"/>
          </w:tcPr>
          <w:p>
            <w:pPr>
              <w:rPr>
                <w:rFonts w:ascii="Arial"/>
                <w:sz w:val="21"/>
              </w:rPr>
            </w:pPr>
          </w:p>
        </w:tc>
        <w:tc>
          <w:tcPr>
            <w:tcW w:w="2685" w:type="dxa"/>
            <w:vAlign w:val="top"/>
          </w:tcPr>
          <w:p>
            <w:pPr>
              <w:spacing w:before="55" w:line="187" w:lineRule="auto"/>
              <w:ind w:left="126"/>
              <w:rPr>
                <w:rFonts w:ascii="仿宋" w:hAnsi="仿宋" w:eastAsia="仿宋" w:cs="仿宋"/>
                <w:sz w:val="21"/>
                <w:szCs w:val="21"/>
              </w:rPr>
            </w:pPr>
            <w:r>
              <w:rPr>
                <w:rFonts w:ascii="仿宋" w:hAnsi="仿宋" w:eastAsia="仿宋" w:cs="仿宋"/>
                <w:spacing w:val="-5"/>
                <w:sz w:val="21"/>
                <w:szCs w:val="21"/>
              </w:rPr>
              <w:t>引水沟长</w:t>
            </w:r>
          </w:p>
        </w:tc>
        <w:tc>
          <w:tcPr>
            <w:tcW w:w="702" w:type="dxa"/>
            <w:vAlign w:val="top"/>
          </w:tcPr>
          <w:p>
            <w:pPr>
              <w:pStyle w:val="6"/>
              <w:spacing w:before="90" w:line="176" w:lineRule="auto"/>
              <w:ind w:left="214"/>
            </w:pPr>
            <w:r>
              <w:rPr>
                <w:spacing w:val="-1"/>
              </w:rPr>
              <w:t>km</w:t>
            </w:r>
          </w:p>
        </w:tc>
        <w:tc>
          <w:tcPr>
            <w:tcW w:w="1451" w:type="dxa"/>
            <w:vAlign w:val="top"/>
          </w:tcPr>
          <w:p>
            <w:pPr>
              <w:pStyle w:val="6"/>
              <w:spacing w:before="91" w:line="175" w:lineRule="auto"/>
              <w:ind w:left="595"/>
            </w:pPr>
            <w:r>
              <w:rPr>
                <w:spacing w:val="-1"/>
              </w:rPr>
              <w:t>4.8</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pStyle w:val="6"/>
              <w:spacing w:before="90" w:line="174" w:lineRule="auto"/>
              <w:ind w:left="200"/>
            </w:pPr>
            <w:r>
              <w:rPr>
                <w:spacing w:val="-1"/>
              </w:rPr>
              <w:t>4.5</w:t>
            </w:r>
          </w:p>
        </w:tc>
        <w:tc>
          <w:tcPr>
            <w:tcW w:w="2685" w:type="dxa"/>
            <w:vAlign w:val="top"/>
          </w:tcPr>
          <w:p>
            <w:pPr>
              <w:spacing w:before="54" w:line="186" w:lineRule="auto"/>
              <w:ind w:left="120"/>
              <w:rPr>
                <w:rFonts w:ascii="仿宋" w:hAnsi="仿宋" w:eastAsia="仿宋" w:cs="仿宋"/>
                <w:sz w:val="21"/>
                <w:szCs w:val="21"/>
              </w:rPr>
            </w:pPr>
            <w:r>
              <w:rPr>
                <w:rFonts w:ascii="仿宋" w:hAnsi="仿宋" w:eastAsia="仿宋" w:cs="仿宋"/>
                <w:spacing w:val="-3"/>
                <w:sz w:val="21"/>
                <w:szCs w:val="21"/>
              </w:rPr>
              <w:t>输水工程</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87" w:hRule="atLeast"/>
        </w:trPr>
        <w:tc>
          <w:tcPr>
            <w:tcW w:w="644" w:type="dxa"/>
            <w:tcBorders>
              <w:left w:val="nil"/>
            </w:tcBorders>
            <w:vAlign w:val="top"/>
          </w:tcPr>
          <w:p>
            <w:pPr>
              <w:rPr>
                <w:rFonts w:ascii="Arial"/>
                <w:sz w:val="21"/>
              </w:rPr>
            </w:pPr>
          </w:p>
        </w:tc>
        <w:tc>
          <w:tcPr>
            <w:tcW w:w="2685" w:type="dxa"/>
            <w:vAlign w:val="top"/>
          </w:tcPr>
          <w:p>
            <w:pPr>
              <w:spacing w:before="161" w:line="218" w:lineRule="auto"/>
              <w:ind w:left="118"/>
              <w:rPr>
                <w:rFonts w:ascii="仿宋" w:hAnsi="仿宋" w:eastAsia="仿宋" w:cs="仿宋"/>
                <w:sz w:val="21"/>
                <w:szCs w:val="21"/>
              </w:rPr>
            </w:pPr>
            <w:r>
              <w:rPr>
                <w:rFonts w:ascii="仿宋" w:hAnsi="仿宋" w:eastAsia="仿宋" w:cs="仿宋"/>
                <w:spacing w:val="-3"/>
                <w:sz w:val="21"/>
                <w:szCs w:val="21"/>
              </w:rPr>
              <w:t>设计流量</w:t>
            </w:r>
          </w:p>
        </w:tc>
        <w:tc>
          <w:tcPr>
            <w:tcW w:w="702" w:type="dxa"/>
            <w:vAlign w:val="top"/>
          </w:tcPr>
          <w:p>
            <w:pPr>
              <w:pStyle w:val="6"/>
              <w:spacing w:before="196" w:line="232" w:lineRule="auto"/>
              <w:ind w:left="166"/>
            </w:pPr>
            <w:r>
              <w:rPr>
                <w:spacing w:val="-1"/>
              </w:rPr>
              <w:t>m³/s</w:t>
            </w:r>
          </w:p>
        </w:tc>
        <w:tc>
          <w:tcPr>
            <w:tcW w:w="1451" w:type="dxa"/>
            <w:vAlign w:val="top"/>
          </w:tcPr>
          <w:p>
            <w:pPr>
              <w:pStyle w:val="6"/>
              <w:spacing w:before="72" w:line="201" w:lineRule="auto"/>
              <w:ind w:left="296" w:right="165" w:hanging="106"/>
            </w:pPr>
            <w:r>
              <w:rPr>
                <w:spacing w:val="-2"/>
              </w:rPr>
              <w:t>1.2/1.72/2.82</w:t>
            </w:r>
            <w:r>
              <w:t xml:space="preserve"> /3.62/5.32</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56" w:line="184" w:lineRule="auto"/>
              <w:ind w:left="120"/>
              <w:rPr>
                <w:rFonts w:ascii="仿宋" w:hAnsi="仿宋" w:eastAsia="仿宋" w:cs="仿宋"/>
                <w:sz w:val="21"/>
                <w:szCs w:val="21"/>
              </w:rPr>
            </w:pPr>
            <w:r>
              <w:rPr>
                <w:rFonts w:ascii="仿宋" w:hAnsi="仿宋" w:eastAsia="仿宋" w:cs="仿宋"/>
                <w:spacing w:val="-3"/>
                <w:sz w:val="21"/>
                <w:szCs w:val="21"/>
              </w:rPr>
              <w:t>输水渠道</w:t>
            </w:r>
          </w:p>
        </w:tc>
        <w:tc>
          <w:tcPr>
            <w:tcW w:w="702" w:type="dxa"/>
            <w:vAlign w:val="top"/>
          </w:tcPr>
          <w:p>
            <w:pPr>
              <w:pStyle w:val="6"/>
              <w:spacing w:before="91" w:line="173" w:lineRule="auto"/>
              <w:ind w:left="214"/>
            </w:pPr>
            <w:r>
              <w:rPr>
                <w:spacing w:val="-1"/>
              </w:rPr>
              <w:t>km</w:t>
            </w:r>
          </w:p>
        </w:tc>
        <w:tc>
          <w:tcPr>
            <w:tcW w:w="1451" w:type="dxa"/>
            <w:vAlign w:val="top"/>
          </w:tcPr>
          <w:p>
            <w:pPr>
              <w:pStyle w:val="6"/>
              <w:spacing w:before="92" w:line="172" w:lineRule="auto"/>
              <w:ind w:left="439"/>
            </w:pPr>
            <w:r>
              <w:rPr>
                <w:spacing w:val="-1"/>
              </w:rPr>
              <w:t>26.944</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44" w:type="dxa"/>
            <w:tcBorders>
              <w:left w:val="nil"/>
            </w:tcBorders>
            <w:vAlign w:val="top"/>
          </w:tcPr>
          <w:p>
            <w:pPr>
              <w:pStyle w:val="6"/>
              <w:spacing w:before="94" w:line="171" w:lineRule="auto"/>
              <w:ind w:left="200"/>
            </w:pPr>
            <w:r>
              <w:rPr>
                <w:spacing w:val="-1"/>
              </w:rPr>
              <w:t>4.6</w:t>
            </w:r>
          </w:p>
        </w:tc>
        <w:tc>
          <w:tcPr>
            <w:tcW w:w="2685" w:type="dxa"/>
            <w:vAlign w:val="top"/>
          </w:tcPr>
          <w:p>
            <w:pPr>
              <w:spacing w:before="57" w:line="184" w:lineRule="auto"/>
              <w:ind w:left="126"/>
              <w:rPr>
                <w:rFonts w:ascii="仿宋" w:hAnsi="仿宋" w:eastAsia="仿宋" w:cs="仿宋"/>
                <w:sz w:val="21"/>
                <w:szCs w:val="21"/>
              </w:rPr>
            </w:pPr>
            <w:r>
              <w:rPr>
                <w:rFonts w:ascii="仿宋" w:hAnsi="仿宋" w:eastAsia="仿宋" w:cs="仿宋"/>
                <w:spacing w:val="-5"/>
                <w:sz w:val="21"/>
                <w:szCs w:val="21"/>
              </w:rPr>
              <w:t>引洪工程</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644" w:type="dxa"/>
            <w:tcBorders>
              <w:left w:val="nil"/>
            </w:tcBorders>
            <w:vAlign w:val="top"/>
          </w:tcPr>
          <w:p>
            <w:pPr>
              <w:rPr>
                <w:rFonts w:ascii="Arial"/>
                <w:sz w:val="21"/>
              </w:rPr>
            </w:pPr>
          </w:p>
        </w:tc>
        <w:tc>
          <w:tcPr>
            <w:tcW w:w="2685" w:type="dxa"/>
            <w:vAlign w:val="top"/>
          </w:tcPr>
          <w:p>
            <w:pPr>
              <w:spacing w:before="59" w:line="183" w:lineRule="auto"/>
              <w:ind w:left="126"/>
              <w:rPr>
                <w:rFonts w:ascii="仿宋" w:hAnsi="仿宋" w:eastAsia="仿宋" w:cs="仿宋"/>
                <w:sz w:val="21"/>
                <w:szCs w:val="21"/>
              </w:rPr>
            </w:pPr>
            <w:r>
              <w:rPr>
                <w:rFonts w:ascii="仿宋" w:hAnsi="仿宋" w:eastAsia="仿宋" w:cs="仿宋"/>
                <w:spacing w:val="-5"/>
                <w:sz w:val="21"/>
                <w:szCs w:val="21"/>
              </w:rPr>
              <w:t>引水流量</w:t>
            </w:r>
          </w:p>
        </w:tc>
        <w:tc>
          <w:tcPr>
            <w:tcW w:w="702" w:type="dxa"/>
            <w:vAlign w:val="top"/>
          </w:tcPr>
          <w:p>
            <w:pPr>
              <w:pStyle w:val="6"/>
              <w:spacing w:before="93" w:line="173" w:lineRule="auto"/>
              <w:ind w:left="166"/>
            </w:pPr>
            <w:r>
              <w:rPr>
                <w:spacing w:val="-1"/>
              </w:rPr>
              <w:t>m³/s</w:t>
            </w:r>
          </w:p>
        </w:tc>
        <w:tc>
          <w:tcPr>
            <w:tcW w:w="1451" w:type="dxa"/>
            <w:vAlign w:val="top"/>
          </w:tcPr>
          <w:p>
            <w:pPr>
              <w:pStyle w:val="6"/>
              <w:spacing w:before="91" w:line="175" w:lineRule="auto"/>
              <w:ind w:left="135"/>
            </w:pPr>
            <w:r>
              <w:rPr>
                <w:spacing w:val="-2"/>
              </w:rPr>
              <w:t>1.6/1.1/0.8/1.7</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44" w:type="dxa"/>
            <w:tcBorders>
              <w:left w:val="nil"/>
            </w:tcBorders>
            <w:vAlign w:val="top"/>
          </w:tcPr>
          <w:p>
            <w:pPr>
              <w:rPr>
                <w:rFonts w:ascii="Arial"/>
                <w:sz w:val="21"/>
              </w:rPr>
            </w:pPr>
          </w:p>
        </w:tc>
        <w:tc>
          <w:tcPr>
            <w:tcW w:w="2685" w:type="dxa"/>
            <w:vAlign w:val="top"/>
          </w:tcPr>
          <w:p>
            <w:pPr>
              <w:spacing w:before="58" w:line="182" w:lineRule="auto"/>
              <w:ind w:left="126"/>
              <w:rPr>
                <w:rFonts w:ascii="仿宋" w:hAnsi="仿宋" w:eastAsia="仿宋" w:cs="仿宋"/>
                <w:sz w:val="21"/>
                <w:szCs w:val="21"/>
              </w:rPr>
            </w:pPr>
            <w:r>
              <w:rPr>
                <w:rFonts w:ascii="仿宋" w:hAnsi="仿宋" w:eastAsia="仿宋" w:cs="仿宋"/>
                <w:spacing w:val="-5"/>
                <w:sz w:val="21"/>
                <w:szCs w:val="21"/>
              </w:rPr>
              <w:t>引洪沟长</w:t>
            </w:r>
          </w:p>
        </w:tc>
        <w:tc>
          <w:tcPr>
            <w:tcW w:w="702" w:type="dxa"/>
            <w:vAlign w:val="top"/>
          </w:tcPr>
          <w:p>
            <w:pPr>
              <w:pStyle w:val="6"/>
              <w:spacing w:before="92" w:line="172" w:lineRule="auto"/>
              <w:ind w:left="214"/>
            </w:pPr>
            <w:r>
              <w:rPr>
                <w:spacing w:val="-1"/>
              </w:rPr>
              <w:t>km</w:t>
            </w:r>
          </w:p>
        </w:tc>
        <w:tc>
          <w:tcPr>
            <w:tcW w:w="1451" w:type="dxa"/>
            <w:vAlign w:val="top"/>
          </w:tcPr>
          <w:p>
            <w:pPr>
              <w:pStyle w:val="6"/>
              <w:spacing w:before="94" w:line="170" w:lineRule="auto"/>
              <w:ind w:left="511"/>
            </w:pPr>
            <w:r>
              <w:rPr>
                <w:spacing w:val="-5"/>
              </w:rPr>
              <w:t>1.215</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1" w:hRule="atLeast"/>
        </w:trPr>
        <w:tc>
          <w:tcPr>
            <w:tcW w:w="644" w:type="dxa"/>
            <w:tcBorders>
              <w:left w:val="nil"/>
              <w:bottom w:val="single" w:color="000000" w:sz="12" w:space="0"/>
            </w:tcBorders>
            <w:vAlign w:val="top"/>
          </w:tcPr>
          <w:p>
            <w:pPr>
              <w:spacing w:before="80" w:line="185" w:lineRule="auto"/>
              <w:ind w:left="240"/>
              <w:rPr>
                <w:rFonts w:ascii="仿宋" w:hAnsi="仿宋" w:eastAsia="仿宋" w:cs="仿宋"/>
                <w:sz w:val="21"/>
                <w:szCs w:val="21"/>
              </w:rPr>
            </w:pPr>
            <w:r>
              <w:rPr>
                <w:rFonts w:ascii="仿宋" w:hAnsi="仿宋" w:eastAsia="仿宋" w:cs="仿宋"/>
                <w:sz w:val="21"/>
                <w:szCs w:val="21"/>
              </w:rPr>
              <w:t>五</w:t>
            </w:r>
          </w:p>
        </w:tc>
        <w:tc>
          <w:tcPr>
            <w:tcW w:w="2685" w:type="dxa"/>
            <w:tcBorders>
              <w:bottom w:val="single" w:color="000000" w:sz="12" w:space="0"/>
            </w:tcBorders>
            <w:vAlign w:val="top"/>
          </w:tcPr>
          <w:p>
            <w:pPr>
              <w:spacing w:before="58" w:line="204" w:lineRule="auto"/>
              <w:ind w:left="118"/>
              <w:rPr>
                <w:rFonts w:ascii="仿宋" w:hAnsi="仿宋" w:eastAsia="仿宋" w:cs="仿宋"/>
                <w:sz w:val="21"/>
                <w:szCs w:val="21"/>
              </w:rPr>
            </w:pPr>
            <w:r>
              <w:rPr>
                <w:rFonts w:ascii="仿宋" w:hAnsi="仿宋" w:eastAsia="仿宋" w:cs="仿宋"/>
                <w:spacing w:val="-4"/>
                <w:sz w:val="21"/>
                <w:szCs w:val="21"/>
              </w:rPr>
              <w:t>施工</w:t>
            </w:r>
          </w:p>
        </w:tc>
        <w:tc>
          <w:tcPr>
            <w:tcW w:w="702" w:type="dxa"/>
            <w:tcBorders>
              <w:bottom w:val="single" w:color="000000" w:sz="12" w:space="0"/>
            </w:tcBorders>
            <w:vAlign w:val="top"/>
          </w:tcPr>
          <w:p>
            <w:pPr>
              <w:rPr>
                <w:rFonts w:ascii="Arial"/>
                <w:sz w:val="21"/>
              </w:rPr>
            </w:pPr>
          </w:p>
        </w:tc>
        <w:tc>
          <w:tcPr>
            <w:tcW w:w="1451" w:type="dxa"/>
            <w:tcBorders>
              <w:bottom w:val="single" w:color="000000" w:sz="12" w:space="0"/>
            </w:tcBorders>
            <w:vAlign w:val="top"/>
          </w:tcPr>
          <w:p>
            <w:pPr>
              <w:rPr>
                <w:rFonts w:ascii="Arial"/>
                <w:sz w:val="21"/>
              </w:rPr>
            </w:pPr>
          </w:p>
        </w:tc>
        <w:tc>
          <w:tcPr>
            <w:tcW w:w="3490" w:type="dxa"/>
            <w:tcBorders>
              <w:bottom w:val="single" w:color="000000" w:sz="12"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76" w:type="default"/>
          <w:pgSz w:w="11907" w:h="16839"/>
          <w:pgMar w:top="1298" w:right="1387" w:bottom="1374" w:left="1501" w:header="1023" w:footer="1210" w:gutter="0"/>
        </w:sectPr>
      </w:pPr>
    </w:p>
    <w:p>
      <w:pPr>
        <w:spacing w:line="120" w:lineRule="exact"/>
      </w:pPr>
    </w:p>
    <w:tbl>
      <w:tblPr>
        <w:tblStyle w:val="5"/>
        <w:tblW w:w="8958"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2686"/>
        <w:gridCol w:w="702"/>
        <w:gridCol w:w="1451"/>
        <w:gridCol w:w="3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29" w:type="dxa"/>
            <w:tcBorders>
              <w:top w:val="single" w:color="000000" w:sz="12" w:space="0"/>
              <w:left w:val="nil"/>
            </w:tcBorders>
            <w:textDirection w:val="tbRlV"/>
            <w:vAlign w:val="top"/>
          </w:tcPr>
          <w:p>
            <w:pPr>
              <w:spacing w:before="206" w:line="202" w:lineRule="auto"/>
              <w:ind w:left="30"/>
              <w:rPr>
                <w:rFonts w:ascii="仿宋" w:hAnsi="仿宋" w:eastAsia="仿宋" w:cs="仿宋"/>
                <w:sz w:val="21"/>
                <w:szCs w:val="21"/>
              </w:rPr>
            </w:pPr>
            <w:r>
              <w:rPr>
                <w:rFonts w:ascii="仿宋" w:hAnsi="仿宋" w:eastAsia="仿宋" w:cs="仿宋"/>
                <w:spacing w:val="31"/>
                <w:sz w:val="21"/>
                <w:szCs w:val="21"/>
                <w14:textOutline w14:w="3810" w14:cap="flat" w14:cmpd="sng">
                  <w14:solidFill>
                    <w14:srgbClr w14:val="000000"/>
                  </w14:solidFill>
                  <w14:prstDash w14:val="solid"/>
                  <w14:miter w14:val="0"/>
                </w14:textOutline>
              </w:rPr>
              <w:t>序号</w:t>
            </w:r>
          </w:p>
        </w:tc>
        <w:tc>
          <w:tcPr>
            <w:tcW w:w="2686" w:type="dxa"/>
            <w:tcBorders>
              <w:top w:val="single" w:color="000000" w:sz="12" w:space="0"/>
            </w:tcBorders>
            <w:vAlign w:val="top"/>
          </w:tcPr>
          <w:p>
            <w:pPr>
              <w:spacing w:before="165" w:line="217" w:lineRule="auto"/>
              <w:ind w:left="114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702" w:type="dxa"/>
            <w:tcBorders>
              <w:top w:val="single" w:color="000000" w:sz="12" w:space="0"/>
            </w:tcBorders>
            <w:vAlign w:val="top"/>
          </w:tcPr>
          <w:p>
            <w:pPr>
              <w:spacing w:before="165" w:line="217" w:lineRule="auto"/>
              <w:ind w:left="154"/>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单位</w:t>
            </w:r>
          </w:p>
        </w:tc>
        <w:tc>
          <w:tcPr>
            <w:tcW w:w="1451" w:type="dxa"/>
            <w:tcBorders>
              <w:top w:val="single" w:color="000000" w:sz="12" w:space="0"/>
            </w:tcBorders>
            <w:vAlign w:val="top"/>
          </w:tcPr>
          <w:p>
            <w:pPr>
              <w:spacing w:before="165" w:line="220" w:lineRule="auto"/>
              <w:ind w:left="52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3490" w:type="dxa"/>
            <w:tcBorders>
              <w:top w:val="single" w:color="000000" w:sz="12" w:space="0"/>
              <w:right w:val="nil"/>
            </w:tcBorders>
            <w:vAlign w:val="top"/>
          </w:tcPr>
          <w:p>
            <w:pPr>
              <w:spacing w:before="166" w:line="220" w:lineRule="auto"/>
              <w:ind w:left="154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29" w:type="dxa"/>
            <w:tcBorders>
              <w:left w:val="nil"/>
            </w:tcBorders>
            <w:vAlign w:val="top"/>
          </w:tcPr>
          <w:p>
            <w:pPr>
              <w:pStyle w:val="6"/>
              <w:spacing w:before="67" w:line="188" w:lineRule="auto"/>
              <w:ind w:left="192"/>
            </w:pPr>
            <w:r>
              <w:rPr>
                <w:spacing w:val="-4"/>
              </w:rPr>
              <w:t>5.1</w:t>
            </w:r>
          </w:p>
        </w:tc>
        <w:tc>
          <w:tcPr>
            <w:tcW w:w="2686" w:type="dxa"/>
            <w:vAlign w:val="top"/>
          </w:tcPr>
          <w:p>
            <w:pPr>
              <w:spacing w:before="31" w:line="207" w:lineRule="auto"/>
              <w:ind w:left="125"/>
              <w:rPr>
                <w:rFonts w:ascii="仿宋" w:hAnsi="仿宋" w:eastAsia="仿宋" w:cs="仿宋"/>
                <w:sz w:val="21"/>
                <w:szCs w:val="21"/>
              </w:rPr>
            </w:pPr>
            <w:r>
              <w:rPr>
                <w:rFonts w:ascii="仿宋" w:hAnsi="仿宋" w:eastAsia="仿宋" w:cs="仿宋"/>
                <w:spacing w:val="-3"/>
                <w:sz w:val="21"/>
                <w:szCs w:val="21"/>
              </w:rPr>
              <w:t>主体工程数量</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29" w:type="dxa"/>
            <w:tcBorders>
              <w:left w:val="nil"/>
            </w:tcBorders>
            <w:vAlign w:val="top"/>
          </w:tcPr>
          <w:p>
            <w:pPr>
              <w:rPr>
                <w:rFonts w:ascii="Arial"/>
                <w:sz w:val="21"/>
              </w:rPr>
            </w:pPr>
          </w:p>
        </w:tc>
        <w:tc>
          <w:tcPr>
            <w:tcW w:w="2686" w:type="dxa"/>
            <w:vAlign w:val="top"/>
          </w:tcPr>
          <w:p>
            <w:pPr>
              <w:spacing w:before="31" w:line="206" w:lineRule="auto"/>
              <w:ind w:left="120"/>
              <w:rPr>
                <w:rFonts w:ascii="仿宋" w:hAnsi="仿宋" w:eastAsia="仿宋" w:cs="仿宋"/>
                <w:sz w:val="21"/>
                <w:szCs w:val="21"/>
              </w:rPr>
            </w:pPr>
            <w:r>
              <w:rPr>
                <w:rFonts w:ascii="仿宋" w:hAnsi="仿宋" w:eastAsia="仿宋" w:cs="仿宋"/>
                <w:spacing w:val="-4"/>
                <w:sz w:val="21"/>
                <w:szCs w:val="21"/>
              </w:rPr>
              <w:t>柴油</w:t>
            </w:r>
          </w:p>
        </w:tc>
        <w:tc>
          <w:tcPr>
            <w:tcW w:w="702" w:type="dxa"/>
            <w:vAlign w:val="top"/>
          </w:tcPr>
          <w:p>
            <w:pPr>
              <w:spacing w:before="31" w:line="206" w:lineRule="auto"/>
              <w:ind w:left="263"/>
              <w:rPr>
                <w:rFonts w:ascii="仿宋" w:hAnsi="仿宋" w:eastAsia="仿宋" w:cs="仿宋"/>
                <w:sz w:val="21"/>
                <w:szCs w:val="21"/>
              </w:rPr>
            </w:pPr>
            <w:r>
              <w:rPr>
                <w:rFonts w:ascii="仿宋" w:hAnsi="仿宋" w:eastAsia="仿宋" w:cs="仿宋"/>
                <w:sz w:val="21"/>
                <w:szCs w:val="21"/>
              </w:rPr>
              <w:t>吨</w:t>
            </w:r>
          </w:p>
        </w:tc>
        <w:tc>
          <w:tcPr>
            <w:tcW w:w="1451" w:type="dxa"/>
            <w:vAlign w:val="top"/>
          </w:tcPr>
          <w:p>
            <w:pPr>
              <w:pStyle w:val="6"/>
              <w:spacing w:before="67" w:line="188" w:lineRule="auto"/>
              <w:ind w:left="522"/>
            </w:pPr>
            <w:r>
              <w:rPr>
                <w:spacing w:val="-2"/>
              </w:rPr>
              <w:t>5446</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29" w:type="dxa"/>
            <w:tcBorders>
              <w:left w:val="nil"/>
            </w:tcBorders>
            <w:vAlign w:val="top"/>
          </w:tcPr>
          <w:p>
            <w:pPr>
              <w:rPr>
                <w:rFonts w:ascii="Arial"/>
                <w:sz w:val="21"/>
              </w:rPr>
            </w:pPr>
          </w:p>
        </w:tc>
        <w:tc>
          <w:tcPr>
            <w:tcW w:w="2686" w:type="dxa"/>
            <w:vAlign w:val="top"/>
          </w:tcPr>
          <w:p>
            <w:pPr>
              <w:spacing w:before="32" w:line="206" w:lineRule="auto"/>
              <w:ind w:left="122"/>
              <w:rPr>
                <w:rFonts w:ascii="仿宋" w:hAnsi="仿宋" w:eastAsia="仿宋" w:cs="仿宋"/>
                <w:sz w:val="21"/>
                <w:szCs w:val="21"/>
              </w:rPr>
            </w:pPr>
            <w:r>
              <w:rPr>
                <w:rFonts w:ascii="仿宋" w:hAnsi="仿宋" w:eastAsia="仿宋" w:cs="仿宋"/>
                <w:spacing w:val="-5"/>
                <w:sz w:val="21"/>
                <w:szCs w:val="21"/>
              </w:rPr>
              <w:t>汽油</w:t>
            </w:r>
          </w:p>
        </w:tc>
        <w:tc>
          <w:tcPr>
            <w:tcW w:w="702" w:type="dxa"/>
            <w:vAlign w:val="top"/>
          </w:tcPr>
          <w:p>
            <w:pPr>
              <w:spacing w:before="32" w:line="206" w:lineRule="auto"/>
              <w:ind w:left="263"/>
              <w:rPr>
                <w:rFonts w:ascii="仿宋" w:hAnsi="仿宋" w:eastAsia="仿宋" w:cs="仿宋"/>
                <w:sz w:val="21"/>
                <w:szCs w:val="21"/>
              </w:rPr>
            </w:pPr>
            <w:r>
              <w:rPr>
                <w:rFonts w:ascii="仿宋" w:hAnsi="仿宋" w:eastAsia="仿宋" w:cs="仿宋"/>
                <w:sz w:val="21"/>
                <w:szCs w:val="21"/>
              </w:rPr>
              <w:t>吨</w:t>
            </w:r>
          </w:p>
        </w:tc>
        <w:tc>
          <w:tcPr>
            <w:tcW w:w="1451" w:type="dxa"/>
            <w:vAlign w:val="top"/>
          </w:tcPr>
          <w:p>
            <w:pPr>
              <w:pStyle w:val="6"/>
              <w:spacing w:before="68" w:line="188" w:lineRule="auto"/>
              <w:ind w:left="589"/>
            </w:pPr>
            <w:r>
              <w:rPr>
                <w:spacing w:val="-6"/>
              </w:rPr>
              <w:t>158</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629" w:type="dxa"/>
            <w:tcBorders>
              <w:left w:val="nil"/>
            </w:tcBorders>
            <w:vAlign w:val="top"/>
          </w:tcPr>
          <w:p>
            <w:pPr>
              <w:rPr>
                <w:rFonts w:ascii="Arial"/>
                <w:sz w:val="21"/>
              </w:rPr>
            </w:pPr>
          </w:p>
        </w:tc>
        <w:tc>
          <w:tcPr>
            <w:tcW w:w="2686" w:type="dxa"/>
            <w:vAlign w:val="top"/>
          </w:tcPr>
          <w:p>
            <w:pPr>
              <w:spacing w:before="33" w:line="206" w:lineRule="auto"/>
              <w:ind w:left="118"/>
              <w:rPr>
                <w:rFonts w:ascii="仿宋" w:hAnsi="仿宋" w:eastAsia="仿宋" w:cs="仿宋"/>
                <w:sz w:val="21"/>
                <w:szCs w:val="21"/>
              </w:rPr>
            </w:pPr>
            <w:r>
              <w:rPr>
                <w:rFonts w:ascii="仿宋" w:hAnsi="仿宋" w:eastAsia="仿宋" w:cs="仿宋"/>
                <w:spacing w:val="-4"/>
                <w:sz w:val="21"/>
                <w:szCs w:val="21"/>
              </w:rPr>
              <w:t>炸药</w:t>
            </w:r>
          </w:p>
        </w:tc>
        <w:tc>
          <w:tcPr>
            <w:tcW w:w="702" w:type="dxa"/>
            <w:vAlign w:val="top"/>
          </w:tcPr>
          <w:p>
            <w:pPr>
              <w:spacing w:before="33" w:line="206" w:lineRule="auto"/>
              <w:ind w:left="263"/>
              <w:rPr>
                <w:rFonts w:ascii="仿宋" w:hAnsi="仿宋" w:eastAsia="仿宋" w:cs="仿宋"/>
                <w:sz w:val="21"/>
                <w:szCs w:val="21"/>
              </w:rPr>
            </w:pPr>
            <w:r>
              <w:rPr>
                <w:rFonts w:ascii="仿宋" w:hAnsi="仿宋" w:eastAsia="仿宋" w:cs="仿宋"/>
                <w:sz w:val="21"/>
                <w:szCs w:val="21"/>
              </w:rPr>
              <w:t>吨</w:t>
            </w:r>
          </w:p>
        </w:tc>
        <w:tc>
          <w:tcPr>
            <w:tcW w:w="1451" w:type="dxa"/>
            <w:vAlign w:val="top"/>
          </w:tcPr>
          <w:p>
            <w:pPr>
              <w:pStyle w:val="6"/>
              <w:spacing w:before="70" w:line="188" w:lineRule="auto"/>
              <w:ind w:left="573"/>
            </w:pPr>
            <w:r>
              <w:rPr>
                <w:spacing w:val="-2"/>
              </w:rPr>
              <w:t>959</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29" w:type="dxa"/>
            <w:tcBorders>
              <w:left w:val="nil"/>
            </w:tcBorders>
            <w:vAlign w:val="top"/>
          </w:tcPr>
          <w:p>
            <w:pPr>
              <w:pStyle w:val="6"/>
              <w:spacing w:before="69" w:line="188" w:lineRule="auto"/>
              <w:ind w:left="192"/>
            </w:pPr>
            <w:r>
              <w:rPr>
                <w:spacing w:val="-4"/>
              </w:rPr>
              <w:t>5.2</w:t>
            </w:r>
          </w:p>
        </w:tc>
        <w:tc>
          <w:tcPr>
            <w:tcW w:w="2686" w:type="dxa"/>
            <w:vAlign w:val="top"/>
          </w:tcPr>
          <w:p>
            <w:pPr>
              <w:spacing w:before="32" w:line="205" w:lineRule="auto"/>
              <w:ind w:left="122"/>
              <w:rPr>
                <w:rFonts w:ascii="仿宋" w:hAnsi="仿宋" w:eastAsia="仿宋" w:cs="仿宋"/>
                <w:sz w:val="21"/>
                <w:szCs w:val="21"/>
              </w:rPr>
            </w:pPr>
            <w:r>
              <w:rPr>
                <w:rFonts w:ascii="仿宋" w:hAnsi="仿宋" w:eastAsia="仿宋" w:cs="仿宋"/>
                <w:spacing w:val="-4"/>
                <w:sz w:val="21"/>
                <w:szCs w:val="21"/>
              </w:rPr>
              <w:t>永久公路</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29" w:type="dxa"/>
            <w:tcBorders>
              <w:left w:val="nil"/>
            </w:tcBorders>
            <w:vAlign w:val="top"/>
          </w:tcPr>
          <w:p>
            <w:pPr>
              <w:rPr>
                <w:rFonts w:ascii="Arial"/>
                <w:sz w:val="21"/>
              </w:rPr>
            </w:pPr>
          </w:p>
        </w:tc>
        <w:tc>
          <w:tcPr>
            <w:tcW w:w="2686" w:type="dxa"/>
            <w:vAlign w:val="top"/>
          </w:tcPr>
          <w:p>
            <w:pPr>
              <w:spacing w:before="33" w:line="205" w:lineRule="auto"/>
              <w:ind w:left="131"/>
              <w:rPr>
                <w:rFonts w:ascii="仿宋" w:hAnsi="仿宋" w:eastAsia="仿宋" w:cs="仿宋"/>
                <w:sz w:val="21"/>
                <w:szCs w:val="21"/>
              </w:rPr>
            </w:pPr>
            <w:r>
              <w:rPr>
                <w:rFonts w:ascii="仿宋" w:hAnsi="仿宋" w:eastAsia="仿宋" w:cs="仿宋"/>
                <w:spacing w:val="-6"/>
                <w:sz w:val="21"/>
                <w:szCs w:val="21"/>
              </w:rPr>
              <w:t>改复建</w:t>
            </w:r>
          </w:p>
        </w:tc>
        <w:tc>
          <w:tcPr>
            <w:tcW w:w="702" w:type="dxa"/>
            <w:vAlign w:val="top"/>
          </w:tcPr>
          <w:p>
            <w:pPr>
              <w:pStyle w:val="6"/>
              <w:spacing w:before="68" w:line="197" w:lineRule="auto"/>
              <w:ind w:left="214"/>
            </w:pPr>
            <w:r>
              <w:rPr>
                <w:spacing w:val="-1"/>
              </w:rPr>
              <w:t>km</w:t>
            </w:r>
          </w:p>
        </w:tc>
        <w:tc>
          <w:tcPr>
            <w:tcW w:w="1451" w:type="dxa"/>
            <w:vAlign w:val="top"/>
          </w:tcPr>
          <w:p>
            <w:pPr>
              <w:pStyle w:val="6"/>
              <w:spacing w:before="70" w:line="188" w:lineRule="auto"/>
              <w:ind w:left="493"/>
            </w:pPr>
            <w:r>
              <w:rPr>
                <w:spacing w:val="-2"/>
              </w:rPr>
              <w:t>7.517</w:t>
            </w:r>
          </w:p>
        </w:tc>
        <w:tc>
          <w:tcPr>
            <w:tcW w:w="3490" w:type="dxa"/>
            <w:tcBorders>
              <w:right w:val="nil"/>
            </w:tcBorders>
            <w:vAlign w:val="top"/>
          </w:tcPr>
          <w:p>
            <w:pPr>
              <w:spacing w:before="33" w:line="205" w:lineRule="auto"/>
              <w:ind w:left="119"/>
              <w:rPr>
                <w:rFonts w:ascii="仿宋" w:hAnsi="仿宋" w:eastAsia="仿宋" w:cs="仿宋"/>
                <w:sz w:val="21"/>
                <w:szCs w:val="21"/>
              </w:rPr>
            </w:pPr>
            <w:r>
              <w:rPr>
                <w:rFonts w:ascii="仿宋" w:hAnsi="仿宋" w:eastAsia="仿宋" w:cs="仿宋"/>
                <w:spacing w:val="-2"/>
                <w:sz w:val="21"/>
                <w:szCs w:val="21"/>
              </w:rPr>
              <w:t>移民占地投资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629" w:type="dxa"/>
            <w:tcBorders>
              <w:left w:val="nil"/>
            </w:tcBorders>
            <w:vAlign w:val="top"/>
          </w:tcPr>
          <w:p>
            <w:pPr>
              <w:rPr>
                <w:rFonts w:ascii="Arial"/>
                <w:sz w:val="21"/>
              </w:rPr>
            </w:pPr>
          </w:p>
        </w:tc>
        <w:tc>
          <w:tcPr>
            <w:tcW w:w="2686" w:type="dxa"/>
            <w:vAlign w:val="top"/>
          </w:tcPr>
          <w:p>
            <w:pPr>
              <w:spacing w:before="34" w:line="205" w:lineRule="auto"/>
              <w:ind w:left="120"/>
              <w:rPr>
                <w:rFonts w:ascii="仿宋" w:hAnsi="仿宋" w:eastAsia="仿宋" w:cs="仿宋"/>
                <w:sz w:val="21"/>
                <w:szCs w:val="21"/>
              </w:rPr>
            </w:pPr>
            <w:r>
              <w:rPr>
                <w:rFonts w:ascii="仿宋" w:hAnsi="仿宋" w:eastAsia="仿宋" w:cs="仿宋"/>
                <w:spacing w:val="-3"/>
                <w:sz w:val="21"/>
                <w:szCs w:val="21"/>
              </w:rPr>
              <w:t>场内公路</w:t>
            </w:r>
          </w:p>
        </w:tc>
        <w:tc>
          <w:tcPr>
            <w:tcW w:w="702" w:type="dxa"/>
            <w:vAlign w:val="top"/>
          </w:tcPr>
          <w:p>
            <w:pPr>
              <w:pStyle w:val="6"/>
              <w:spacing w:before="68" w:line="198" w:lineRule="auto"/>
              <w:ind w:left="214"/>
            </w:pPr>
            <w:r>
              <w:rPr>
                <w:spacing w:val="-1"/>
              </w:rPr>
              <w:t>km</w:t>
            </w:r>
          </w:p>
        </w:tc>
        <w:tc>
          <w:tcPr>
            <w:tcW w:w="1451" w:type="dxa"/>
            <w:vAlign w:val="top"/>
          </w:tcPr>
          <w:p>
            <w:pPr>
              <w:pStyle w:val="6"/>
              <w:spacing w:before="70" w:line="188" w:lineRule="auto"/>
              <w:ind w:left="546"/>
            </w:pPr>
            <w:r>
              <w:rPr>
                <w:spacing w:val="-2"/>
              </w:rPr>
              <w:t>0.15</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29" w:type="dxa"/>
            <w:tcBorders>
              <w:left w:val="nil"/>
            </w:tcBorders>
            <w:vAlign w:val="top"/>
          </w:tcPr>
          <w:p>
            <w:pPr>
              <w:pStyle w:val="6"/>
              <w:spacing w:before="70" w:line="188" w:lineRule="auto"/>
              <w:ind w:left="192"/>
            </w:pPr>
            <w:r>
              <w:rPr>
                <w:spacing w:val="-4"/>
              </w:rPr>
              <w:t>5.3</w:t>
            </w:r>
          </w:p>
        </w:tc>
        <w:tc>
          <w:tcPr>
            <w:tcW w:w="2686" w:type="dxa"/>
            <w:vAlign w:val="top"/>
          </w:tcPr>
          <w:p>
            <w:pPr>
              <w:spacing w:before="33" w:line="205" w:lineRule="auto"/>
              <w:ind w:left="118"/>
              <w:rPr>
                <w:rFonts w:ascii="仿宋" w:hAnsi="仿宋" w:eastAsia="仿宋" w:cs="仿宋"/>
                <w:sz w:val="21"/>
                <w:szCs w:val="21"/>
              </w:rPr>
            </w:pPr>
            <w:r>
              <w:rPr>
                <w:rFonts w:ascii="仿宋" w:hAnsi="仿宋" w:eastAsia="仿宋" w:cs="仿宋"/>
                <w:spacing w:val="-3"/>
                <w:sz w:val="21"/>
                <w:szCs w:val="21"/>
              </w:rPr>
              <w:t>施工导流</w:t>
            </w:r>
          </w:p>
        </w:tc>
        <w:tc>
          <w:tcPr>
            <w:tcW w:w="702" w:type="dxa"/>
            <w:vAlign w:val="top"/>
          </w:tcPr>
          <w:p>
            <w:pPr>
              <w:rPr>
                <w:rFonts w:ascii="Arial"/>
                <w:sz w:val="21"/>
              </w:rPr>
            </w:pPr>
          </w:p>
        </w:tc>
        <w:tc>
          <w:tcPr>
            <w:tcW w:w="1451" w:type="dxa"/>
            <w:vAlign w:val="top"/>
          </w:tcPr>
          <w:p>
            <w:pPr>
              <w:rPr>
                <w:rFonts w:ascii="Arial"/>
                <w:sz w:val="21"/>
              </w:rPr>
            </w:pP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29" w:type="dxa"/>
            <w:tcBorders>
              <w:left w:val="nil"/>
            </w:tcBorders>
            <w:vAlign w:val="top"/>
          </w:tcPr>
          <w:p>
            <w:pPr>
              <w:rPr>
                <w:rFonts w:ascii="Arial"/>
                <w:sz w:val="21"/>
              </w:rPr>
            </w:pPr>
          </w:p>
        </w:tc>
        <w:tc>
          <w:tcPr>
            <w:tcW w:w="2686" w:type="dxa"/>
            <w:vAlign w:val="top"/>
          </w:tcPr>
          <w:p>
            <w:pPr>
              <w:spacing w:before="170" w:line="219" w:lineRule="auto"/>
              <w:ind w:left="124"/>
              <w:rPr>
                <w:rFonts w:ascii="仿宋" w:hAnsi="仿宋" w:eastAsia="仿宋" w:cs="仿宋"/>
                <w:sz w:val="21"/>
                <w:szCs w:val="21"/>
              </w:rPr>
            </w:pPr>
            <w:r>
              <w:rPr>
                <w:rFonts w:ascii="仿宋" w:hAnsi="仿宋" w:eastAsia="仿宋" w:cs="仿宋"/>
                <w:spacing w:val="-5"/>
                <w:sz w:val="21"/>
                <w:szCs w:val="21"/>
              </w:rPr>
              <w:t>方式</w:t>
            </w:r>
          </w:p>
        </w:tc>
        <w:tc>
          <w:tcPr>
            <w:tcW w:w="702" w:type="dxa"/>
            <w:vAlign w:val="top"/>
          </w:tcPr>
          <w:p>
            <w:pPr>
              <w:rPr>
                <w:rFonts w:ascii="Arial"/>
                <w:sz w:val="21"/>
              </w:rPr>
            </w:pPr>
          </w:p>
        </w:tc>
        <w:tc>
          <w:tcPr>
            <w:tcW w:w="1451" w:type="dxa"/>
            <w:vAlign w:val="top"/>
          </w:tcPr>
          <w:p>
            <w:pPr>
              <w:spacing w:before="33" w:line="222" w:lineRule="auto"/>
              <w:ind w:left="631" w:right="197" w:hanging="417"/>
              <w:rPr>
                <w:rFonts w:ascii="仿宋" w:hAnsi="仿宋" w:eastAsia="仿宋" w:cs="仿宋"/>
                <w:sz w:val="21"/>
                <w:szCs w:val="21"/>
              </w:rPr>
            </w:pPr>
            <w:r>
              <w:rPr>
                <w:rFonts w:ascii="仿宋" w:hAnsi="仿宋" w:eastAsia="仿宋" w:cs="仿宋"/>
                <w:spacing w:val="-4"/>
                <w:sz w:val="21"/>
                <w:szCs w:val="21"/>
              </w:rPr>
              <w:t>分段围堰导</w:t>
            </w:r>
            <w:r>
              <w:rPr>
                <w:rFonts w:ascii="仿宋" w:hAnsi="仿宋" w:eastAsia="仿宋" w:cs="仿宋"/>
                <w:spacing w:val="2"/>
                <w:sz w:val="21"/>
                <w:szCs w:val="21"/>
              </w:rPr>
              <w:t xml:space="preserve"> </w:t>
            </w:r>
            <w:r>
              <w:rPr>
                <w:rFonts w:ascii="仿宋" w:hAnsi="仿宋" w:eastAsia="仿宋" w:cs="仿宋"/>
                <w:sz w:val="21"/>
                <w:szCs w:val="21"/>
              </w:rPr>
              <w:t>流</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629" w:type="dxa"/>
            <w:tcBorders>
              <w:left w:val="nil"/>
            </w:tcBorders>
            <w:vAlign w:val="top"/>
          </w:tcPr>
          <w:p>
            <w:pPr>
              <w:rPr>
                <w:rFonts w:ascii="Arial"/>
                <w:sz w:val="21"/>
              </w:rPr>
            </w:pPr>
          </w:p>
        </w:tc>
        <w:tc>
          <w:tcPr>
            <w:tcW w:w="2686" w:type="dxa"/>
            <w:vAlign w:val="top"/>
          </w:tcPr>
          <w:p>
            <w:pPr>
              <w:spacing w:before="33" w:line="204" w:lineRule="auto"/>
              <w:ind w:left="129"/>
              <w:rPr>
                <w:rFonts w:ascii="仿宋" w:hAnsi="仿宋" w:eastAsia="仿宋" w:cs="仿宋"/>
                <w:sz w:val="21"/>
                <w:szCs w:val="21"/>
              </w:rPr>
            </w:pPr>
            <w:r>
              <w:rPr>
                <w:rFonts w:ascii="仿宋" w:hAnsi="仿宋" w:eastAsia="仿宋" w:cs="仿宋"/>
                <w:spacing w:val="-6"/>
                <w:sz w:val="21"/>
                <w:szCs w:val="21"/>
              </w:rPr>
              <w:t>型式</w:t>
            </w:r>
          </w:p>
        </w:tc>
        <w:tc>
          <w:tcPr>
            <w:tcW w:w="702" w:type="dxa"/>
            <w:vAlign w:val="top"/>
          </w:tcPr>
          <w:p>
            <w:pPr>
              <w:rPr>
                <w:rFonts w:ascii="Arial"/>
                <w:sz w:val="21"/>
              </w:rPr>
            </w:pPr>
          </w:p>
        </w:tc>
        <w:tc>
          <w:tcPr>
            <w:tcW w:w="1451" w:type="dxa"/>
            <w:vAlign w:val="top"/>
          </w:tcPr>
          <w:p>
            <w:pPr>
              <w:spacing w:before="33" w:line="204" w:lineRule="auto"/>
              <w:ind w:left="318"/>
              <w:rPr>
                <w:rFonts w:ascii="仿宋" w:hAnsi="仿宋" w:eastAsia="仿宋" w:cs="仿宋"/>
                <w:sz w:val="21"/>
                <w:szCs w:val="21"/>
              </w:rPr>
            </w:pPr>
            <w:r>
              <w:rPr>
                <w:rFonts w:ascii="仿宋" w:hAnsi="仿宋" w:eastAsia="仿宋" w:cs="仿宋"/>
                <w:spacing w:val="-4"/>
                <w:sz w:val="21"/>
                <w:szCs w:val="21"/>
              </w:rPr>
              <w:t>土石围堰</w:t>
            </w:r>
          </w:p>
        </w:tc>
        <w:tc>
          <w:tcPr>
            <w:tcW w:w="3490"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2" w:hRule="atLeast"/>
        </w:trPr>
        <w:tc>
          <w:tcPr>
            <w:tcW w:w="629" w:type="dxa"/>
            <w:tcBorders>
              <w:left w:val="nil"/>
            </w:tcBorders>
            <w:vAlign w:val="top"/>
          </w:tcPr>
          <w:p>
            <w:pPr>
              <w:pStyle w:val="6"/>
              <w:spacing w:before="73" w:line="188" w:lineRule="auto"/>
              <w:ind w:left="192"/>
            </w:pPr>
            <w:r>
              <w:rPr>
                <w:spacing w:val="-4"/>
              </w:rPr>
              <w:t>5.4</w:t>
            </w:r>
          </w:p>
        </w:tc>
        <w:tc>
          <w:tcPr>
            <w:tcW w:w="2686" w:type="dxa"/>
            <w:vAlign w:val="top"/>
          </w:tcPr>
          <w:p>
            <w:pPr>
              <w:spacing w:before="36" w:line="207" w:lineRule="auto"/>
              <w:ind w:left="118"/>
              <w:rPr>
                <w:rFonts w:ascii="仿宋" w:hAnsi="仿宋" w:eastAsia="仿宋" w:cs="仿宋"/>
                <w:sz w:val="21"/>
                <w:szCs w:val="21"/>
              </w:rPr>
            </w:pPr>
            <w:r>
              <w:rPr>
                <w:rFonts w:ascii="仿宋" w:hAnsi="仿宋" w:eastAsia="仿宋" w:cs="仿宋"/>
                <w:spacing w:val="-3"/>
                <w:sz w:val="21"/>
                <w:szCs w:val="21"/>
              </w:rPr>
              <w:t>施工期</w:t>
            </w:r>
          </w:p>
        </w:tc>
        <w:tc>
          <w:tcPr>
            <w:tcW w:w="702" w:type="dxa"/>
            <w:vAlign w:val="top"/>
          </w:tcPr>
          <w:p>
            <w:pPr>
              <w:spacing w:before="36" w:line="207" w:lineRule="auto"/>
              <w:ind w:left="260"/>
              <w:rPr>
                <w:rFonts w:ascii="仿宋" w:hAnsi="仿宋" w:eastAsia="仿宋" w:cs="仿宋"/>
                <w:sz w:val="21"/>
                <w:szCs w:val="21"/>
              </w:rPr>
            </w:pPr>
            <w:r>
              <w:rPr>
                <w:rFonts w:ascii="仿宋" w:hAnsi="仿宋" w:eastAsia="仿宋" w:cs="仿宋"/>
                <w:sz w:val="21"/>
                <w:szCs w:val="21"/>
              </w:rPr>
              <w:t>年</w:t>
            </w:r>
          </w:p>
        </w:tc>
        <w:tc>
          <w:tcPr>
            <w:tcW w:w="1451" w:type="dxa"/>
            <w:vAlign w:val="top"/>
          </w:tcPr>
          <w:p>
            <w:pPr>
              <w:pStyle w:val="6"/>
              <w:spacing w:before="73" w:line="188" w:lineRule="auto"/>
              <w:ind w:left="595"/>
            </w:pPr>
            <w:r>
              <w:rPr>
                <w:spacing w:val="-1"/>
              </w:rPr>
              <w:t>4.5</w:t>
            </w:r>
          </w:p>
        </w:tc>
        <w:tc>
          <w:tcPr>
            <w:tcW w:w="3490" w:type="dxa"/>
            <w:tcBorders>
              <w:right w:val="nil"/>
            </w:tcBorders>
            <w:vAlign w:val="top"/>
          </w:tcPr>
          <w:p>
            <w:pPr>
              <w:rPr>
                <w:rFonts w:ascii="Arial"/>
                <w:sz w:val="21"/>
              </w:rPr>
            </w:pPr>
          </w:p>
        </w:tc>
      </w:tr>
    </w:tbl>
    <w:p>
      <w:pPr>
        <w:spacing w:before="31" w:line="212" w:lineRule="auto"/>
        <w:ind w:left="153"/>
        <w:rPr>
          <w:rFonts w:ascii="仿宋" w:hAnsi="仿宋" w:eastAsia="仿宋" w:cs="仿宋"/>
          <w:sz w:val="21"/>
          <w:szCs w:val="21"/>
        </w:rPr>
      </w:pPr>
      <w:r>
        <w:rPr>
          <w:rFonts w:ascii="仿宋" w:hAnsi="仿宋" w:eastAsia="仿宋" w:cs="仿宋"/>
          <w:spacing w:val="-3"/>
          <w:sz w:val="21"/>
          <w:szCs w:val="21"/>
        </w:rPr>
        <w:t>六、经济指标</w:t>
      </w:r>
    </w:p>
    <w:tbl>
      <w:tblPr>
        <w:tblStyle w:val="5"/>
        <w:tblW w:w="8972"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4"/>
        <w:gridCol w:w="2685"/>
        <w:gridCol w:w="702"/>
        <w:gridCol w:w="1451"/>
        <w:gridCol w:w="3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644" w:type="dxa"/>
            <w:tcBorders>
              <w:left w:val="nil"/>
              <w:bottom w:val="single" w:color="000000" w:sz="12" w:space="0"/>
            </w:tcBorders>
            <w:vAlign w:val="top"/>
          </w:tcPr>
          <w:p>
            <w:pPr>
              <w:pStyle w:val="6"/>
              <w:spacing w:before="71" w:line="188" w:lineRule="auto"/>
              <w:ind w:left="206"/>
            </w:pPr>
            <w:r>
              <w:rPr>
                <w:spacing w:val="-3"/>
              </w:rPr>
              <w:t>6.1</w:t>
            </w:r>
          </w:p>
        </w:tc>
        <w:tc>
          <w:tcPr>
            <w:tcW w:w="2685" w:type="dxa"/>
            <w:tcBorders>
              <w:bottom w:val="single" w:color="000000" w:sz="12" w:space="0"/>
            </w:tcBorders>
            <w:vAlign w:val="top"/>
          </w:tcPr>
          <w:p>
            <w:pPr>
              <w:spacing w:before="34" w:line="204" w:lineRule="auto"/>
              <w:ind w:left="127"/>
              <w:rPr>
                <w:rFonts w:ascii="仿宋" w:hAnsi="仿宋" w:eastAsia="仿宋" w:cs="仿宋"/>
                <w:sz w:val="21"/>
                <w:szCs w:val="21"/>
              </w:rPr>
            </w:pPr>
            <w:r>
              <w:rPr>
                <w:rFonts w:ascii="仿宋" w:hAnsi="仿宋" w:eastAsia="仿宋" w:cs="仿宋"/>
                <w:spacing w:val="-6"/>
                <w:sz w:val="21"/>
                <w:szCs w:val="21"/>
              </w:rPr>
              <w:t>总投资</w:t>
            </w:r>
          </w:p>
        </w:tc>
        <w:tc>
          <w:tcPr>
            <w:tcW w:w="702" w:type="dxa"/>
            <w:tcBorders>
              <w:bottom w:val="single" w:color="000000" w:sz="12" w:space="0"/>
            </w:tcBorders>
            <w:vAlign w:val="top"/>
          </w:tcPr>
          <w:p>
            <w:pPr>
              <w:spacing w:before="34" w:line="204" w:lineRule="auto"/>
              <w:ind w:left="152"/>
              <w:rPr>
                <w:rFonts w:ascii="仿宋" w:hAnsi="仿宋" w:eastAsia="仿宋" w:cs="仿宋"/>
                <w:sz w:val="21"/>
                <w:szCs w:val="21"/>
              </w:rPr>
            </w:pPr>
            <w:r>
              <w:rPr>
                <w:rFonts w:ascii="仿宋" w:hAnsi="仿宋" w:eastAsia="仿宋" w:cs="仿宋"/>
                <w:spacing w:val="-4"/>
                <w:sz w:val="21"/>
                <w:szCs w:val="21"/>
              </w:rPr>
              <w:t>万元</w:t>
            </w:r>
          </w:p>
        </w:tc>
        <w:tc>
          <w:tcPr>
            <w:tcW w:w="1451" w:type="dxa"/>
            <w:tcBorders>
              <w:bottom w:val="single" w:color="000000" w:sz="12" w:space="0"/>
            </w:tcBorders>
            <w:vAlign w:val="top"/>
          </w:tcPr>
          <w:p>
            <w:pPr>
              <w:pStyle w:val="6"/>
              <w:spacing w:before="71" w:line="188" w:lineRule="auto"/>
              <w:ind w:left="337"/>
            </w:pPr>
            <w:r>
              <w:rPr>
                <w:spacing w:val="-1"/>
              </w:rPr>
              <w:t>72820.08</w:t>
            </w:r>
          </w:p>
        </w:tc>
        <w:tc>
          <w:tcPr>
            <w:tcW w:w="3490" w:type="dxa"/>
            <w:tcBorders>
              <w:bottom w:val="single" w:color="000000" w:sz="12" w:space="0"/>
              <w:right w:val="nil"/>
            </w:tcBorders>
            <w:vAlign w:val="top"/>
          </w:tcPr>
          <w:p>
            <w:pPr>
              <w:rPr>
                <w:rFonts w:ascii="Arial"/>
                <w:sz w:val="21"/>
              </w:rPr>
            </w:pPr>
          </w:p>
        </w:tc>
      </w:tr>
    </w:tbl>
    <w:p>
      <w:pPr>
        <w:spacing w:line="250" w:lineRule="auto"/>
        <w:rPr>
          <w:rFonts w:ascii="Arial"/>
          <w:sz w:val="21"/>
        </w:rPr>
      </w:pPr>
    </w:p>
    <w:p>
      <w:pPr>
        <w:pStyle w:val="2"/>
        <w:spacing w:before="78" w:line="234" w:lineRule="auto"/>
        <w:ind w:left="35"/>
        <w:outlineLvl w:val="2"/>
        <w:rPr>
          <w:sz w:val="24"/>
          <w:szCs w:val="24"/>
        </w:rPr>
      </w:pPr>
      <w:r>
        <w:rPr>
          <w:rFonts w:ascii="Times New Roman" w:hAnsi="Times New Roman" w:eastAsia="Times New Roman" w:cs="Times New Roman"/>
          <w:b/>
          <w:bCs/>
          <w:sz w:val="24"/>
          <w:szCs w:val="24"/>
        </w:rPr>
        <w:t xml:space="preserve">2.2.5 </w:t>
      </w:r>
      <w:r>
        <w:rPr>
          <w:sz w:val="24"/>
          <w:szCs w:val="24"/>
          <w14:textOutline w14:w="4354" w14:cap="flat" w14:cmpd="sng">
            <w14:solidFill>
              <w14:srgbClr w14:val="000000"/>
            </w14:solidFill>
            <w14:prstDash w14:val="solid"/>
            <w14:miter w14:val="0"/>
          </w14:textOutline>
        </w:rPr>
        <w:t>管理机构</w:t>
      </w:r>
    </w:p>
    <w:p>
      <w:pPr>
        <w:spacing w:before="162" w:line="359" w:lineRule="auto"/>
        <w:ind w:left="43" w:right="106" w:firstLine="479"/>
        <w:jc w:val="both"/>
        <w:rPr>
          <w:rFonts w:ascii="Times New Roman" w:hAnsi="Times New Roman" w:eastAsia="Times New Roman" w:cs="Times New Roman"/>
          <w:sz w:val="24"/>
          <w:szCs w:val="24"/>
        </w:rPr>
      </w:pPr>
      <w:r>
        <w:rPr>
          <w:rFonts w:ascii="宋体" w:hAnsi="宋体" w:eastAsia="宋体" w:cs="宋体"/>
          <w:sz w:val="24"/>
          <w:szCs w:val="24"/>
        </w:rPr>
        <w:t>工程管理机构拟设为桂花水库管理局，负责工程的</w:t>
      </w:r>
      <w:r>
        <w:rPr>
          <w:rFonts w:ascii="宋体" w:hAnsi="宋体" w:eastAsia="宋体" w:cs="宋体"/>
          <w:spacing w:val="-1"/>
          <w:sz w:val="24"/>
          <w:szCs w:val="24"/>
        </w:rPr>
        <w:t>管理、调度运行、安全监测和</w:t>
      </w:r>
      <w:r>
        <w:rPr>
          <w:rFonts w:ascii="宋体" w:hAnsi="宋体" w:eastAsia="宋体" w:cs="宋体"/>
          <w:sz w:val="24"/>
          <w:szCs w:val="24"/>
        </w:rPr>
        <w:t xml:space="preserve"> </w:t>
      </w:r>
      <w:r>
        <w:rPr>
          <w:rFonts w:ascii="宋体" w:hAnsi="宋体" w:eastAsia="宋体" w:cs="宋体"/>
          <w:spacing w:val="-1"/>
          <w:sz w:val="24"/>
          <w:szCs w:val="24"/>
        </w:rPr>
        <w:t>维护，劳动定员</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 xml:space="preserve">8 </w:t>
      </w:r>
      <w:r>
        <w:rPr>
          <w:rFonts w:ascii="宋体" w:hAnsi="宋体" w:eastAsia="宋体" w:cs="宋体"/>
          <w:spacing w:val="-1"/>
          <w:sz w:val="24"/>
          <w:szCs w:val="24"/>
        </w:rPr>
        <w:t>人。管理机构拟建在大姚县城。库区仅设置一个值班室，日常有</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w:t>
      </w:r>
    </w:p>
    <w:p>
      <w:pPr>
        <w:spacing w:line="219" w:lineRule="auto"/>
        <w:ind w:left="41"/>
        <w:rPr>
          <w:rFonts w:ascii="宋体" w:hAnsi="宋体" w:eastAsia="宋体" w:cs="宋体"/>
          <w:sz w:val="24"/>
          <w:szCs w:val="24"/>
        </w:rPr>
      </w:pPr>
      <w:r>
        <w:rPr>
          <w:rFonts w:ascii="宋体" w:hAnsi="宋体" w:eastAsia="宋体" w:cs="宋体"/>
          <w:spacing w:val="-9"/>
          <w:sz w:val="24"/>
          <w:szCs w:val="24"/>
        </w:rPr>
        <w:t>人值班。</w:t>
      </w:r>
    </w:p>
    <w:p>
      <w:pPr>
        <w:spacing w:line="395" w:lineRule="auto"/>
        <w:rPr>
          <w:rFonts w:ascii="Arial"/>
          <w:sz w:val="21"/>
        </w:rPr>
      </w:pPr>
    </w:p>
    <w:p>
      <w:pPr>
        <w:pStyle w:val="2"/>
        <w:spacing w:before="78" w:line="232" w:lineRule="auto"/>
        <w:ind w:left="35"/>
        <w:outlineLvl w:val="2"/>
        <w:rPr>
          <w:sz w:val="24"/>
          <w:szCs w:val="24"/>
        </w:rPr>
      </w:pPr>
      <w:r>
        <w:rPr>
          <w:rFonts w:ascii="Times New Roman" w:hAnsi="Times New Roman" w:eastAsia="Times New Roman" w:cs="Times New Roman"/>
          <w:b/>
          <w:bCs/>
          <w:sz w:val="24"/>
          <w:szCs w:val="24"/>
        </w:rPr>
        <w:t xml:space="preserve">2.2.6 </w:t>
      </w:r>
      <w:r>
        <w:rPr>
          <w:sz w:val="24"/>
          <w:szCs w:val="24"/>
          <w14:textOutline w14:w="4354" w14:cap="flat" w14:cmpd="sng">
            <w14:solidFill>
              <w14:srgbClr w14:val="000000"/>
            </w14:solidFill>
            <w14:prstDash w14:val="solid"/>
            <w14:miter w14:val="0"/>
          </w14:textOutline>
        </w:rPr>
        <w:t>工程调度及运行方式</w:t>
      </w:r>
    </w:p>
    <w:p>
      <w:pPr>
        <w:spacing w:before="165" w:line="359" w:lineRule="auto"/>
        <w:ind w:left="40" w:right="107" w:firstLine="482"/>
        <w:rPr>
          <w:rFonts w:ascii="宋体" w:hAnsi="宋体" w:eastAsia="宋体" w:cs="宋体"/>
          <w:sz w:val="24"/>
          <w:szCs w:val="24"/>
        </w:rPr>
      </w:pPr>
      <w:r>
        <w:rPr>
          <w:rFonts w:ascii="宋体" w:hAnsi="宋体" w:eastAsia="宋体" w:cs="宋体"/>
          <w:sz w:val="24"/>
          <w:szCs w:val="24"/>
        </w:rPr>
        <w:t>工程为桂花水库、碧么水库、大罗古水库联合供</w:t>
      </w:r>
      <w:r>
        <w:rPr>
          <w:rFonts w:ascii="宋体" w:hAnsi="宋体" w:eastAsia="宋体" w:cs="宋体"/>
          <w:spacing w:val="-1"/>
          <w:sz w:val="24"/>
          <w:szCs w:val="24"/>
        </w:rPr>
        <w:t>水调度。为充分利用现有碧么水</w:t>
      </w:r>
      <w:r>
        <w:rPr>
          <w:rFonts w:ascii="宋体" w:hAnsi="宋体" w:eastAsia="宋体" w:cs="宋体"/>
          <w:sz w:val="24"/>
          <w:szCs w:val="24"/>
        </w:rPr>
        <w:t xml:space="preserve"> 库到大罗古水库段输水渠系，考虑碧么水库作为调节错峰</w:t>
      </w:r>
      <w:r>
        <w:rPr>
          <w:rFonts w:ascii="宋体" w:hAnsi="宋体" w:eastAsia="宋体" w:cs="宋体"/>
          <w:spacing w:val="-1"/>
          <w:sz w:val="24"/>
          <w:szCs w:val="24"/>
        </w:rPr>
        <w:t>的反调节水库，即引洪工程</w:t>
      </w:r>
    </w:p>
    <w:p>
      <w:pPr>
        <w:spacing w:line="219" w:lineRule="auto"/>
        <w:ind w:left="57"/>
        <w:rPr>
          <w:rFonts w:ascii="宋体" w:hAnsi="宋体" w:eastAsia="宋体" w:cs="宋体"/>
          <w:sz w:val="24"/>
          <w:szCs w:val="24"/>
        </w:rPr>
      </w:pPr>
      <w:r>
        <w:rPr>
          <w:rFonts w:ascii="宋体" w:hAnsi="宋体" w:eastAsia="宋体" w:cs="宋体"/>
          <w:spacing w:val="-1"/>
          <w:sz w:val="24"/>
          <w:szCs w:val="24"/>
        </w:rPr>
        <w:t>引水量和桂花水库补水量首先进入碧么水库，碧么水库在满足下游用水要求的条件</w:t>
      </w:r>
    </w:p>
    <w:p>
      <w:pPr>
        <w:spacing w:before="182" w:line="359" w:lineRule="auto"/>
        <w:ind w:left="40" w:right="167" w:firstLine="6"/>
        <w:rPr>
          <w:rFonts w:ascii="宋体" w:hAnsi="宋体" w:eastAsia="宋体" w:cs="宋体"/>
          <w:sz w:val="24"/>
          <w:szCs w:val="24"/>
        </w:rPr>
      </w:pPr>
      <w:r>
        <w:rPr>
          <w:rFonts w:ascii="宋体" w:hAnsi="宋体" w:eastAsia="宋体" w:cs="宋体"/>
          <w:spacing w:val="-2"/>
          <w:sz w:val="24"/>
          <w:szCs w:val="24"/>
        </w:rPr>
        <w:t xml:space="preserve">下，库内高于死水位以上的水量利用现有渠系输入大罗古水库，为便于调度，汛期  </w:t>
      </w:r>
      <w:r>
        <w:rPr>
          <w:rFonts w:ascii="Times New Roman" w:hAnsi="Times New Roman" w:eastAsia="Times New Roman" w:cs="Times New Roman"/>
          <w:spacing w:val="-1"/>
          <w:sz w:val="24"/>
          <w:szCs w:val="24"/>
        </w:rPr>
        <w:t>6</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月份碧么水库一直处于蓄水～补水至大罗古水库后放空的低水位运行状态。经</w:t>
      </w:r>
      <w:r>
        <w:rPr>
          <w:rFonts w:ascii="宋体" w:hAnsi="宋体" w:eastAsia="宋体" w:cs="宋体"/>
          <w:sz w:val="24"/>
          <w:szCs w:val="24"/>
        </w:rPr>
        <w:t xml:space="preserve"> </w:t>
      </w:r>
      <w:r>
        <w:rPr>
          <w:rFonts w:ascii="宋体" w:hAnsi="宋体" w:eastAsia="宋体" w:cs="宋体"/>
          <w:spacing w:val="-1"/>
          <w:sz w:val="24"/>
          <w:szCs w:val="24"/>
        </w:rPr>
        <w:t>兴利调节计算表可知，当</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P=75%</w:t>
      </w:r>
      <w:r>
        <w:rPr>
          <w:rFonts w:ascii="宋体" w:hAnsi="宋体" w:eastAsia="宋体" w:cs="宋体"/>
          <w:spacing w:val="-1"/>
          <w:sz w:val="24"/>
          <w:szCs w:val="24"/>
        </w:rPr>
        <w:t>时大罗古水</w:t>
      </w:r>
      <w:r>
        <w:rPr>
          <w:rFonts w:ascii="宋体" w:hAnsi="宋体" w:eastAsia="宋体" w:cs="宋体"/>
          <w:spacing w:val="-2"/>
          <w:sz w:val="24"/>
          <w:szCs w:val="24"/>
        </w:rPr>
        <w:t>库</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月份可蓄水至正常库容，大罗古蓄</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满后碧么水库开始蓄水，碧么水库在</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月末也可蓄水至正常库</w:t>
      </w:r>
      <w:r>
        <w:rPr>
          <w:rFonts w:ascii="宋体" w:hAnsi="宋体" w:eastAsia="宋体" w:cs="宋体"/>
          <w:spacing w:val="-3"/>
          <w:sz w:val="24"/>
          <w:szCs w:val="24"/>
        </w:rPr>
        <w:t>容。</w:t>
      </w:r>
    </w:p>
    <w:p>
      <w:pPr>
        <w:spacing w:before="182" w:line="220" w:lineRule="auto"/>
        <w:ind w:left="52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）水库兴利运行方式（联合调度）</w:t>
      </w:r>
    </w:p>
    <w:p>
      <w:pPr>
        <w:spacing w:before="181" w:line="467" w:lineRule="exact"/>
        <w:ind w:right="34"/>
        <w:jc w:val="right"/>
        <w:rPr>
          <w:rFonts w:ascii="宋体" w:hAnsi="宋体" w:eastAsia="宋体" w:cs="宋体"/>
          <w:sz w:val="24"/>
          <w:szCs w:val="24"/>
        </w:rPr>
      </w:pPr>
      <w:r>
        <w:rPr>
          <w:rFonts w:ascii="宋体" w:hAnsi="宋体" w:eastAsia="宋体" w:cs="宋体"/>
          <w:spacing w:val="-2"/>
          <w:position w:val="16"/>
          <w:sz w:val="24"/>
          <w:szCs w:val="24"/>
        </w:rPr>
        <w:t>①引洪工程、引水工程从</w:t>
      </w:r>
      <w:r>
        <w:rPr>
          <w:rFonts w:ascii="宋体" w:hAnsi="宋体" w:eastAsia="宋体" w:cs="宋体"/>
          <w:spacing w:val="-50"/>
          <w:position w:val="16"/>
          <w:sz w:val="24"/>
          <w:szCs w:val="24"/>
        </w:rPr>
        <w:t xml:space="preserve"> </w:t>
      </w:r>
      <w:r>
        <w:rPr>
          <w:rFonts w:ascii="Times New Roman" w:hAnsi="Times New Roman" w:eastAsia="Times New Roman" w:cs="Times New Roman"/>
          <w:spacing w:val="-2"/>
          <w:position w:val="16"/>
          <w:sz w:val="24"/>
          <w:szCs w:val="24"/>
        </w:rPr>
        <w:t>6</w:t>
      </w:r>
      <w:r>
        <w:rPr>
          <w:rFonts w:ascii="Times New Roman" w:hAnsi="Times New Roman" w:eastAsia="Times New Roman" w:cs="Times New Roman"/>
          <w:spacing w:val="15"/>
          <w:w w:val="101"/>
          <w:position w:val="16"/>
          <w:sz w:val="24"/>
          <w:szCs w:val="24"/>
        </w:rPr>
        <w:t xml:space="preserve"> </w:t>
      </w:r>
      <w:r>
        <w:rPr>
          <w:rFonts w:ascii="宋体" w:hAnsi="宋体" w:eastAsia="宋体" w:cs="宋体"/>
          <w:spacing w:val="-2"/>
          <w:position w:val="16"/>
          <w:sz w:val="24"/>
          <w:szCs w:val="24"/>
        </w:rPr>
        <w:t>月</w:t>
      </w:r>
      <w:r>
        <w:rPr>
          <w:rFonts w:ascii="Times New Roman" w:hAnsi="Times New Roman" w:eastAsia="Times New Roman" w:cs="Times New Roman"/>
          <w:spacing w:val="-2"/>
          <w:position w:val="16"/>
          <w:sz w:val="24"/>
          <w:szCs w:val="24"/>
        </w:rPr>
        <w:t>~10</w:t>
      </w:r>
      <w:r>
        <w:rPr>
          <w:rFonts w:ascii="Times New Roman" w:hAnsi="Times New Roman" w:eastAsia="Times New Roman" w:cs="Times New Roman"/>
          <w:spacing w:val="15"/>
          <w:position w:val="16"/>
          <w:sz w:val="24"/>
          <w:szCs w:val="24"/>
        </w:rPr>
        <w:t xml:space="preserve"> </w:t>
      </w:r>
      <w:r>
        <w:rPr>
          <w:rFonts w:ascii="宋体" w:hAnsi="宋体" w:eastAsia="宋体" w:cs="宋体"/>
          <w:spacing w:val="-2"/>
          <w:position w:val="16"/>
          <w:sz w:val="24"/>
          <w:szCs w:val="24"/>
        </w:rPr>
        <w:t>月份开始同</w:t>
      </w:r>
      <w:r>
        <w:rPr>
          <w:rFonts w:ascii="宋体" w:hAnsi="宋体" w:eastAsia="宋体" w:cs="宋体"/>
          <w:spacing w:val="-3"/>
          <w:position w:val="16"/>
          <w:sz w:val="24"/>
          <w:szCs w:val="24"/>
        </w:rPr>
        <w:t>时引水，引水系数</w:t>
      </w:r>
      <w:r>
        <w:rPr>
          <w:rFonts w:ascii="宋体" w:hAnsi="宋体" w:eastAsia="宋体" w:cs="宋体"/>
          <w:spacing w:val="-41"/>
          <w:position w:val="16"/>
          <w:sz w:val="24"/>
          <w:szCs w:val="24"/>
        </w:rPr>
        <w:t xml:space="preserve"> </w:t>
      </w:r>
      <w:r>
        <w:rPr>
          <w:rFonts w:ascii="Times New Roman" w:hAnsi="Times New Roman" w:eastAsia="Times New Roman" w:cs="Times New Roman"/>
          <w:spacing w:val="-3"/>
          <w:position w:val="16"/>
          <w:sz w:val="24"/>
          <w:szCs w:val="24"/>
        </w:rPr>
        <w:t>0.6</w:t>
      </w:r>
      <w:r>
        <w:rPr>
          <w:rFonts w:ascii="Times New Roman" w:hAnsi="Times New Roman" w:eastAsia="Times New Roman" w:cs="Times New Roman"/>
          <w:spacing w:val="-33"/>
          <w:position w:val="16"/>
          <w:sz w:val="24"/>
          <w:szCs w:val="24"/>
        </w:rPr>
        <w:t xml:space="preserve"> </w:t>
      </w:r>
      <w:r>
        <w:rPr>
          <w:rFonts w:ascii="宋体" w:hAnsi="宋体" w:eastAsia="宋体" w:cs="宋体"/>
          <w:spacing w:val="-3"/>
          <w:position w:val="16"/>
          <w:sz w:val="24"/>
          <w:szCs w:val="24"/>
        </w:rPr>
        <w:t>，碧么、大罗</w:t>
      </w:r>
    </w:p>
    <w:p>
      <w:pPr>
        <w:spacing w:line="219" w:lineRule="auto"/>
        <w:ind w:left="45"/>
        <w:rPr>
          <w:rFonts w:ascii="宋体" w:hAnsi="宋体" w:eastAsia="宋体" w:cs="宋体"/>
          <w:sz w:val="24"/>
          <w:szCs w:val="24"/>
        </w:rPr>
      </w:pPr>
      <w:r>
        <w:rPr>
          <w:rFonts w:ascii="宋体" w:hAnsi="宋体" w:eastAsia="宋体" w:cs="宋体"/>
          <w:spacing w:val="-1"/>
          <w:sz w:val="24"/>
          <w:szCs w:val="24"/>
        </w:rPr>
        <w:t>古水库蓄满后应停止引水，其余月份不引水，引水系数为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0</w:t>
      </w:r>
      <w:r>
        <w:rPr>
          <w:rFonts w:ascii="宋体" w:hAnsi="宋体" w:eastAsia="宋体" w:cs="宋体"/>
          <w:spacing w:val="-1"/>
          <w:sz w:val="24"/>
          <w:szCs w:val="24"/>
        </w:rPr>
        <w:t>。</w:t>
      </w:r>
    </w:p>
    <w:p>
      <w:pPr>
        <w:spacing w:before="182" w:line="467" w:lineRule="exact"/>
        <w:ind w:left="517"/>
        <w:rPr>
          <w:rFonts w:ascii="宋体" w:hAnsi="宋体" w:eastAsia="宋体" w:cs="宋体"/>
          <w:sz w:val="24"/>
          <w:szCs w:val="24"/>
        </w:rPr>
      </w:pPr>
      <w:r>
        <w:rPr>
          <w:rFonts w:ascii="宋体" w:hAnsi="宋体" w:eastAsia="宋体" w:cs="宋体"/>
          <w:spacing w:val="-1"/>
          <w:position w:val="16"/>
          <w:sz w:val="24"/>
          <w:szCs w:val="24"/>
        </w:rPr>
        <w:t>②桂花水库均匀引水至大罗古水库调蓄，补水流量为</w:t>
      </w:r>
      <w:r>
        <w:rPr>
          <w:rFonts w:ascii="宋体" w:hAnsi="宋体" w:eastAsia="宋体" w:cs="宋体"/>
          <w:spacing w:val="-51"/>
          <w:position w:val="16"/>
          <w:sz w:val="24"/>
          <w:szCs w:val="24"/>
        </w:rPr>
        <w:t xml:space="preserve"> </w:t>
      </w:r>
      <w:r>
        <w:rPr>
          <w:rFonts w:ascii="Times New Roman" w:hAnsi="Times New Roman" w:eastAsia="Times New Roman" w:cs="Times New Roman"/>
          <w:spacing w:val="-1"/>
          <w:position w:val="16"/>
          <w:sz w:val="24"/>
          <w:szCs w:val="24"/>
        </w:rPr>
        <w:t>0.1</w:t>
      </w:r>
      <w:r>
        <w:rPr>
          <w:rFonts w:ascii="Times New Roman" w:hAnsi="Times New Roman" w:eastAsia="Times New Roman" w:cs="Times New Roman"/>
          <w:spacing w:val="-2"/>
          <w:position w:val="16"/>
          <w:sz w:val="24"/>
          <w:szCs w:val="24"/>
        </w:rPr>
        <w:t>0m</w:t>
      </w:r>
      <w:r>
        <w:rPr>
          <w:rFonts w:ascii="宋体" w:hAnsi="宋体" w:eastAsia="宋体" w:cs="宋体"/>
          <w:spacing w:val="-2"/>
          <w:position w:val="16"/>
          <w:sz w:val="24"/>
          <w:szCs w:val="24"/>
        </w:rPr>
        <w:t>³</w:t>
      </w:r>
      <w:r>
        <w:rPr>
          <w:rFonts w:ascii="Times New Roman" w:hAnsi="Times New Roman" w:eastAsia="Times New Roman" w:cs="Times New Roman"/>
          <w:spacing w:val="-2"/>
          <w:position w:val="16"/>
          <w:sz w:val="24"/>
          <w:szCs w:val="24"/>
        </w:rPr>
        <w:t>/s</w:t>
      </w:r>
      <w:r>
        <w:rPr>
          <w:rFonts w:ascii="Times New Roman" w:hAnsi="Times New Roman" w:eastAsia="Times New Roman" w:cs="Times New Roman"/>
          <w:spacing w:val="-34"/>
          <w:position w:val="16"/>
          <w:sz w:val="24"/>
          <w:szCs w:val="24"/>
        </w:rPr>
        <w:t xml:space="preserve"> </w:t>
      </w:r>
      <w:r>
        <w:rPr>
          <w:rFonts w:ascii="宋体" w:hAnsi="宋体" w:eastAsia="宋体" w:cs="宋体"/>
          <w:spacing w:val="-2"/>
          <w:position w:val="16"/>
          <w:sz w:val="24"/>
          <w:szCs w:val="24"/>
        </w:rPr>
        <w:t>，碧么、大罗古水</w:t>
      </w:r>
    </w:p>
    <w:p>
      <w:pPr>
        <w:spacing w:before="1" w:line="218" w:lineRule="auto"/>
        <w:ind w:left="40"/>
        <w:rPr>
          <w:rFonts w:ascii="宋体" w:hAnsi="宋体" w:eastAsia="宋体" w:cs="宋体"/>
          <w:sz w:val="24"/>
          <w:szCs w:val="24"/>
        </w:rPr>
      </w:pPr>
      <w:r>
        <w:rPr>
          <w:rFonts w:ascii="宋体" w:hAnsi="宋体" w:eastAsia="宋体" w:cs="宋体"/>
          <w:spacing w:val="-1"/>
          <w:sz w:val="24"/>
          <w:szCs w:val="24"/>
        </w:rPr>
        <w:t>库蓄满后应停止补水，剩余水量则保留在桂花水库本区。</w:t>
      </w:r>
    </w:p>
    <w:p>
      <w:pPr>
        <w:spacing w:before="182" w:line="220" w:lineRule="auto"/>
        <w:ind w:left="52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）汛期水库运行方式</w:t>
      </w:r>
    </w:p>
    <w:p>
      <w:pPr>
        <w:spacing w:before="181" w:line="220" w:lineRule="auto"/>
        <w:ind w:left="521"/>
        <w:rPr>
          <w:rFonts w:ascii="宋体" w:hAnsi="宋体" w:eastAsia="宋体" w:cs="宋体"/>
          <w:sz w:val="24"/>
          <w:szCs w:val="24"/>
        </w:rPr>
      </w:pPr>
      <w:r>
        <w:rPr>
          <w:rFonts w:ascii="宋体" w:hAnsi="宋体" w:eastAsia="宋体" w:cs="宋体"/>
          <w:spacing w:val="-1"/>
          <w:sz w:val="24"/>
          <w:szCs w:val="24"/>
        </w:rPr>
        <w:t>桂花水库泄洪设施为侧槽溢洪道，溢洪道堰顶高程为正常蓄水位</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2094.15m</w:t>
      </w:r>
      <w:r>
        <w:rPr>
          <w:rFonts w:ascii="宋体" w:hAnsi="宋体" w:eastAsia="宋体" w:cs="宋体"/>
          <w:spacing w:val="-1"/>
          <w:sz w:val="24"/>
          <w:szCs w:val="24"/>
        </w:rPr>
        <w:t>；当水</w:t>
      </w:r>
    </w:p>
    <w:p>
      <w:pPr>
        <w:spacing w:line="220" w:lineRule="auto"/>
        <w:rPr>
          <w:rFonts w:ascii="宋体" w:hAnsi="宋体" w:eastAsia="宋体" w:cs="宋体"/>
          <w:sz w:val="24"/>
          <w:szCs w:val="24"/>
        </w:rPr>
        <w:sectPr>
          <w:footerReference r:id="rId77" w:type="default"/>
          <w:pgSz w:w="11907" w:h="16839"/>
          <w:pgMar w:top="1298" w:right="1387" w:bottom="1374" w:left="1501" w:header="1023" w:footer="1210" w:gutter="0"/>
        </w:sectPr>
      </w:pPr>
    </w:p>
    <w:p>
      <w:pPr>
        <w:spacing w:before="156" w:line="220" w:lineRule="auto"/>
        <w:ind w:left="39"/>
        <w:rPr>
          <w:rFonts w:ascii="宋体" w:hAnsi="宋体" w:eastAsia="宋体" w:cs="宋体"/>
          <w:sz w:val="24"/>
          <w:szCs w:val="24"/>
        </w:rPr>
      </w:pPr>
      <w:r>
        <w:rPr>
          <w:rFonts w:ascii="宋体" w:hAnsi="宋体" w:eastAsia="宋体" w:cs="宋体"/>
          <w:spacing w:val="-2"/>
          <w:sz w:val="24"/>
          <w:szCs w:val="24"/>
        </w:rPr>
        <w:t>位超过</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2094.15m</w:t>
      </w:r>
      <w:r>
        <w:rPr>
          <w:rFonts w:ascii="宋体" w:hAnsi="宋体" w:eastAsia="宋体" w:cs="宋体"/>
          <w:spacing w:val="-2"/>
          <w:sz w:val="24"/>
          <w:szCs w:val="24"/>
        </w:rPr>
        <w:t>，溢洪道开始自由泄</w:t>
      </w:r>
      <w:r>
        <w:rPr>
          <w:rFonts w:ascii="宋体" w:hAnsi="宋体" w:eastAsia="宋体" w:cs="宋体"/>
          <w:spacing w:val="-3"/>
          <w:sz w:val="24"/>
          <w:szCs w:val="24"/>
        </w:rPr>
        <w:t>洪。</w:t>
      </w:r>
    </w:p>
    <w:p>
      <w:pPr>
        <w:spacing w:before="179" w:line="220" w:lineRule="auto"/>
        <w:ind w:left="52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）河道生态环境用水及泄放方式</w:t>
      </w:r>
    </w:p>
    <w:p>
      <w:pPr>
        <w:spacing w:before="181" w:line="217" w:lineRule="auto"/>
        <w:ind w:left="518"/>
        <w:rPr>
          <w:rFonts w:ascii="宋体" w:hAnsi="宋体" w:eastAsia="宋体" w:cs="宋体"/>
          <w:sz w:val="24"/>
          <w:szCs w:val="24"/>
        </w:rPr>
      </w:pPr>
      <w:r>
        <w:rPr>
          <w:rFonts w:ascii="宋体" w:hAnsi="宋体" w:eastAsia="宋体" w:cs="宋体"/>
          <w:spacing w:val="-1"/>
          <w:sz w:val="24"/>
          <w:szCs w:val="24"/>
        </w:rPr>
        <w:t>①桂花水库坝址以下河道生态环境用水，各月按多年平均流量的</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2"/>
          <w:sz w:val="24"/>
          <w:szCs w:val="24"/>
        </w:rPr>
        <w:t>%</w:t>
      </w:r>
      <w:r>
        <w:rPr>
          <w:rFonts w:ascii="宋体" w:hAnsi="宋体" w:eastAsia="宋体" w:cs="宋体"/>
          <w:spacing w:val="-2"/>
          <w:sz w:val="24"/>
          <w:szCs w:val="24"/>
        </w:rPr>
        <w:t>放流。</w:t>
      </w:r>
    </w:p>
    <w:p>
      <w:pPr>
        <w:spacing w:before="184" w:line="467" w:lineRule="exact"/>
        <w:ind w:left="517"/>
        <w:rPr>
          <w:rFonts w:ascii="宋体" w:hAnsi="宋体" w:eastAsia="宋体" w:cs="宋体"/>
          <w:sz w:val="24"/>
          <w:szCs w:val="24"/>
        </w:rPr>
      </w:pPr>
      <w:r>
        <w:rPr>
          <w:rFonts w:ascii="宋体" w:hAnsi="宋体" w:eastAsia="宋体" w:cs="宋体"/>
          <w:spacing w:val="-1"/>
          <w:position w:val="16"/>
          <w:sz w:val="24"/>
          <w:szCs w:val="24"/>
        </w:rPr>
        <w:t>②引洪工程、引水工程坝下河道生态环境用水，汛期（</w:t>
      </w:r>
      <w:r>
        <w:rPr>
          <w:rFonts w:ascii="Times New Roman" w:hAnsi="Times New Roman" w:eastAsia="Times New Roman" w:cs="Times New Roman"/>
          <w:spacing w:val="-1"/>
          <w:position w:val="16"/>
          <w:sz w:val="24"/>
          <w:szCs w:val="24"/>
        </w:rPr>
        <w:t>6</w:t>
      </w:r>
      <w:r>
        <w:rPr>
          <w:rFonts w:ascii="Times New Roman" w:hAnsi="Times New Roman" w:eastAsia="Times New Roman" w:cs="Times New Roman"/>
          <w:spacing w:val="16"/>
          <w:position w:val="16"/>
          <w:sz w:val="24"/>
          <w:szCs w:val="24"/>
        </w:rPr>
        <w:t xml:space="preserve"> </w:t>
      </w:r>
      <w:r>
        <w:rPr>
          <w:rFonts w:ascii="宋体" w:hAnsi="宋体" w:eastAsia="宋体" w:cs="宋体"/>
          <w:spacing w:val="-1"/>
          <w:position w:val="16"/>
          <w:sz w:val="24"/>
          <w:szCs w:val="24"/>
        </w:rPr>
        <w:t>月</w:t>
      </w:r>
      <w:r>
        <w:rPr>
          <w:rFonts w:ascii="Times New Roman" w:hAnsi="Times New Roman" w:eastAsia="Times New Roman" w:cs="Times New Roman"/>
          <w:spacing w:val="-1"/>
          <w:position w:val="16"/>
          <w:sz w:val="24"/>
          <w:szCs w:val="24"/>
        </w:rPr>
        <w:t>~10</w:t>
      </w:r>
      <w:r>
        <w:rPr>
          <w:rFonts w:ascii="Times New Roman" w:hAnsi="Times New Roman" w:eastAsia="Times New Roman" w:cs="Times New Roman"/>
          <w:spacing w:val="15"/>
          <w:position w:val="16"/>
          <w:sz w:val="24"/>
          <w:szCs w:val="24"/>
        </w:rPr>
        <w:t xml:space="preserve"> </w:t>
      </w:r>
      <w:r>
        <w:rPr>
          <w:rFonts w:ascii="宋体" w:hAnsi="宋体" w:eastAsia="宋体" w:cs="宋体"/>
          <w:spacing w:val="-1"/>
          <w:position w:val="16"/>
          <w:sz w:val="24"/>
          <w:szCs w:val="24"/>
        </w:rPr>
        <w:t>月）下泄量为</w:t>
      </w:r>
    </w:p>
    <w:p>
      <w:pPr>
        <w:spacing w:before="1" w:line="219" w:lineRule="auto"/>
        <w:ind w:left="33"/>
        <w:rPr>
          <w:rFonts w:ascii="宋体" w:hAnsi="宋体" w:eastAsia="宋体" w:cs="宋体"/>
          <w:sz w:val="24"/>
          <w:szCs w:val="24"/>
        </w:rPr>
      </w:pPr>
      <w:r>
        <w:rPr>
          <w:rFonts w:ascii="Times New Roman" w:hAnsi="Times New Roman" w:eastAsia="Times New Roman" w:cs="Times New Roman"/>
          <w:spacing w:val="-7"/>
          <w:sz w:val="24"/>
          <w:szCs w:val="24"/>
        </w:rPr>
        <w:t>40%</w:t>
      </w:r>
      <w:r>
        <w:rPr>
          <w:rFonts w:ascii="宋体" w:hAnsi="宋体" w:eastAsia="宋体" w:cs="宋体"/>
          <w:spacing w:val="-7"/>
          <w:sz w:val="24"/>
          <w:szCs w:val="24"/>
        </w:rPr>
        <w:t>来水量，</w:t>
      </w:r>
      <w:r>
        <w:rPr>
          <w:rFonts w:ascii="宋体" w:hAnsi="宋体" w:eastAsia="宋体" w:cs="宋体"/>
          <w:spacing w:val="-12"/>
          <w:sz w:val="24"/>
          <w:szCs w:val="24"/>
        </w:rPr>
        <w:t xml:space="preserve"> </w:t>
      </w:r>
      <w:r>
        <w:rPr>
          <w:rFonts w:ascii="宋体" w:hAnsi="宋体" w:eastAsia="宋体" w:cs="宋体"/>
          <w:spacing w:val="-7"/>
          <w:sz w:val="24"/>
          <w:szCs w:val="24"/>
        </w:rPr>
        <w:t>其余季节全部下泄。</w:t>
      </w:r>
    </w:p>
    <w:p>
      <w:pPr>
        <w:spacing w:before="182" w:line="217" w:lineRule="auto"/>
        <w:ind w:left="517"/>
        <w:rPr>
          <w:rFonts w:ascii="宋体" w:hAnsi="宋体" w:eastAsia="宋体" w:cs="宋体"/>
          <w:sz w:val="24"/>
          <w:szCs w:val="24"/>
        </w:rPr>
      </w:pPr>
      <w:r>
        <w:rPr>
          <w:rFonts w:ascii="宋体" w:hAnsi="宋体" w:eastAsia="宋体" w:cs="宋体"/>
          <w:sz w:val="24"/>
          <w:szCs w:val="24"/>
        </w:rPr>
        <w:t>③枢纽工程利用导流输水放空隧洞预埋的</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DN325 </w:t>
      </w:r>
      <w:r>
        <w:rPr>
          <w:rFonts w:ascii="宋体" w:hAnsi="宋体" w:eastAsia="宋体" w:cs="宋体"/>
          <w:sz w:val="24"/>
          <w:szCs w:val="24"/>
        </w:rPr>
        <w:t>钢管下泄生态流量；</w:t>
      </w:r>
      <w:r>
        <w:rPr>
          <w:rFonts w:ascii="宋体" w:hAnsi="宋体" w:eastAsia="宋体" w:cs="宋体"/>
          <w:spacing w:val="-1"/>
          <w:sz w:val="24"/>
          <w:szCs w:val="24"/>
        </w:rPr>
        <w:t>引洪工</w:t>
      </w:r>
    </w:p>
    <w:p>
      <w:pPr>
        <w:spacing w:before="184" w:line="467" w:lineRule="exact"/>
        <w:ind w:left="38"/>
        <w:rPr>
          <w:rFonts w:ascii="宋体" w:hAnsi="宋体" w:eastAsia="宋体" w:cs="宋体"/>
          <w:sz w:val="24"/>
          <w:szCs w:val="24"/>
        </w:rPr>
      </w:pPr>
      <w:r>
        <w:rPr>
          <w:rFonts w:ascii="宋体" w:hAnsi="宋体" w:eastAsia="宋体" w:cs="宋体"/>
          <w:position w:val="17"/>
          <w:sz w:val="24"/>
          <w:szCs w:val="24"/>
        </w:rPr>
        <w:t>程、引水工程不引水季节直接利用冲沙闸下泄生态流量，汛期引</w:t>
      </w:r>
      <w:r>
        <w:rPr>
          <w:rFonts w:ascii="宋体" w:hAnsi="宋体" w:eastAsia="宋体" w:cs="宋体"/>
          <w:spacing w:val="-1"/>
          <w:position w:val="17"/>
          <w:sz w:val="24"/>
          <w:szCs w:val="24"/>
        </w:rPr>
        <w:t>水时段通过引水沟埋</w:t>
      </w:r>
    </w:p>
    <w:p>
      <w:pPr>
        <w:spacing w:before="1" w:line="218" w:lineRule="auto"/>
        <w:ind w:left="43"/>
        <w:rPr>
          <w:rFonts w:ascii="宋体" w:hAnsi="宋体" w:eastAsia="宋体" w:cs="宋体"/>
          <w:sz w:val="24"/>
          <w:szCs w:val="24"/>
        </w:rPr>
      </w:pPr>
      <w:r>
        <w:rPr>
          <w:rFonts w:ascii="宋体" w:hAnsi="宋体" w:eastAsia="宋体" w:cs="宋体"/>
          <w:spacing w:val="-3"/>
          <w:sz w:val="24"/>
          <w:szCs w:val="24"/>
        </w:rPr>
        <w:t>设</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DN150</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的放水管向下游河道供水。</w:t>
      </w:r>
    </w:p>
    <w:p>
      <w:pPr>
        <w:spacing w:line="395" w:lineRule="auto"/>
        <w:rPr>
          <w:rFonts w:ascii="Arial"/>
          <w:sz w:val="21"/>
        </w:rPr>
      </w:pPr>
    </w:p>
    <w:p>
      <w:pPr>
        <w:pStyle w:val="2"/>
        <w:spacing w:before="78" w:line="233" w:lineRule="auto"/>
        <w:ind w:left="35"/>
        <w:outlineLvl w:val="2"/>
        <w:rPr>
          <w:sz w:val="24"/>
          <w:szCs w:val="24"/>
        </w:rPr>
      </w:pPr>
      <w:r>
        <w:rPr>
          <w:rFonts w:ascii="Times New Roman" w:hAnsi="Times New Roman" w:eastAsia="Times New Roman" w:cs="Times New Roman"/>
          <w:b/>
          <w:bCs/>
          <w:spacing w:val="-1"/>
          <w:sz w:val="24"/>
          <w:szCs w:val="24"/>
        </w:rPr>
        <w:t xml:space="preserve">2.2.7 </w:t>
      </w:r>
      <w:r>
        <w:rPr>
          <w:spacing w:val="-1"/>
          <w:sz w:val="24"/>
          <w:szCs w:val="24"/>
          <w14:textOutline w14:w="4354" w14:cap="flat" w14:cmpd="sng">
            <w14:solidFill>
              <w14:srgbClr w14:val="000000"/>
            </w14:solidFill>
            <w14:prstDash w14:val="solid"/>
            <w14:miter w14:val="0"/>
          </w14:textOutline>
        </w:rPr>
        <w:t>水库回水</w:t>
      </w:r>
    </w:p>
    <w:p>
      <w:pPr>
        <w:spacing w:before="164" w:line="468" w:lineRule="exact"/>
        <w:ind w:left="522"/>
        <w:rPr>
          <w:rFonts w:ascii="宋体" w:hAnsi="宋体" w:eastAsia="宋体" w:cs="宋体"/>
          <w:sz w:val="24"/>
          <w:szCs w:val="24"/>
        </w:rPr>
      </w:pPr>
      <w:r>
        <w:rPr>
          <w:rFonts w:ascii="宋体" w:hAnsi="宋体" w:eastAsia="宋体" w:cs="宋体"/>
          <w:position w:val="17"/>
          <w:sz w:val="24"/>
          <w:szCs w:val="24"/>
        </w:rPr>
        <w:t>大姚县桂花水库正常蓄水位以下主要淹没对象为耕</w:t>
      </w:r>
      <w:r>
        <w:rPr>
          <w:rFonts w:ascii="宋体" w:hAnsi="宋体" w:eastAsia="宋体" w:cs="宋体"/>
          <w:spacing w:val="-1"/>
          <w:position w:val="17"/>
          <w:sz w:val="24"/>
          <w:szCs w:val="24"/>
        </w:rPr>
        <w:t>地、林地，水库淹没范围内无</w:t>
      </w:r>
    </w:p>
    <w:p>
      <w:pPr>
        <w:spacing w:line="233" w:lineRule="auto"/>
        <w:ind w:left="41"/>
        <w:rPr>
          <w:rFonts w:ascii="宋体" w:hAnsi="宋体" w:eastAsia="宋体" w:cs="宋体"/>
          <w:sz w:val="24"/>
          <w:szCs w:val="24"/>
        </w:rPr>
      </w:pPr>
      <w:r>
        <w:rPr>
          <w:rFonts w:ascii="宋体" w:hAnsi="宋体" w:eastAsia="宋体" w:cs="宋体"/>
          <w:spacing w:val="-2"/>
          <w:sz w:val="24"/>
          <w:szCs w:val="24"/>
        </w:rPr>
        <w:t>居民，水库回水长度为</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3.88km</w:t>
      </w:r>
      <w:r>
        <w:rPr>
          <w:rFonts w:ascii="宋体" w:hAnsi="宋体" w:eastAsia="宋体" w:cs="宋体"/>
          <w:spacing w:val="-2"/>
          <w:sz w:val="24"/>
          <w:szCs w:val="24"/>
        </w:rPr>
        <w:t>。</w:t>
      </w:r>
    </w:p>
    <w:p>
      <w:pPr>
        <w:spacing w:line="233" w:lineRule="auto"/>
        <w:rPr>
          <w:rFonts w:ascii="宋体" w:hAnsi="宋体" w:eastAsia="宋体" w:cs="宋体"/>
          <w:sz w:val="24"/>
          <w:szCs w:val="24"/>
        </w:rPr>
        <w:sectPr>
          <w:footerReference r:id="rId78" w:type="default"/>
          <w:pgSz w:w="11907" w:h="16839"/>
          <w:pgMar w:top="1298" w:right="1387" w:bottom="1374" w:left="1501" w:header="1023" w:footer="1210" w:gutter="0"/>
        </w:sectPr>
      </w:pPr>
    </w:p>
    <w:p>
      <w:pPr>
        <w:spacing w:line="326" w:lineRule="auto"/>
        <w:rPr>
          <w:rFonts w:ascii="Arial"/>
          <w:sz w:val="21"/>
        </w:rPr>
      </w:pPr>
    </w:p>
    <w:p>
      <w:pPr>
        <w:pStyle w:val="2"/>
        <w:spacing w:before="87"/>
        <w:ind w:left="36"/>
        <w:outlineLvl w:val="1"/>
        <w:rPr>
          <w:sz w:val="27"/>
          <w:szCs w:val="27"/>
        </w:rPr>
      </w:pPr>
      <w:bookmarkStart w:id="21" w:name="bookmark22"/>
      <w:bookmarkEnd w:id="21"/>
      <w:r>
        <w:rPr>
          <w:rFonts w:ascii="Times New Roman" w:hAnsi="Times New Roman" w:eastAsia="Times New Roman" w:cs="Times New Roman"/>
          <w:b/>
          <w:bCs/>
          <w:spacing w:val="5"/>
          <w:sz w:val="27"/>
          <w:szCs w:val="27"/>
        </w:rPr>
        <w:t>2.3</w:t>
      </w:r>
      <w:r>
        <w:rPr>
          <w:rFonts w:ascii="Times New Roman" w:hAnsi="Times New Roman" w:eastAsia="Times New Roman" w:cs="Times New Roman"/>
          <w:b/>
          <w:bCs/>
          <w:spacing w:val="15"/>
          <w:sz w:val="27"/>
          <w:szCs w:val="27"/>
        </w:rPr>
        <w:t xml:space="preserve"> </w:t>
      </w:r>
      <w:r>
        <w:rPr>
          <w:spacing w:val="5"/>
          <w:sz w:val="27"/>
          <w:szCs w:val="27"/>
          <w14:textOutline w14:w="5072" w14:cap="flat" w14:cmpd="sng">
            <w14:solidFill>
              <w14:srgbClr w14:val="000000"/>
            </w14:solidFill>
            <w14:prstDash w14:val="solid"/>
            <w14:miter w14:val="0"/>
          </w14:textOutline>
        </w:rPr>
        <w:t>工程组成</w:t>
      </w:r>
    </w:p>
    <w:p>
      <w:pPr>
        <w:pStyle w:val="2"/>
        <w:spacing w:before="288" w:line="234" w:lineRule="auto"/>
        <w:ind w:left="35"/>
        <w:outlineLvl w:val="1"/>
        <w:rPr>
          <w:sz w:val="27"/>
          <w:szCs w:val="27"/>
        </w:rPr>
      </w:pPr>
      <w:r>
        <w:rPr>
          <w:rFonts w:ascii="Times New Roman" w:hAnsi="Times New Roman" w:eastAsia="Times New Roman" w:cs="Times New Roman"/>
          <w:b/>
          <w:bCs/>
          <w:spacing w:val="3"/>
          <w:sz w:val="24"/>
          <w:szCs w:val="24"/>
        </w:rPr>
        <w:t xml:space="preserve">2.3.1 </w:t>
      </w:r>
      <w:r>
        <w:rPr>
          <w:spacing w:val="3"/>
          <w:sz w:val="27"/>
          <w:szCs w:val="27"/>
          <w14:textOutline w14:w="5072" w14:cap="flat" w14:cmpd="sng">
            <w14:solidFill>
              <w14:srgbClr w14:val="000000"/>
            </w14:solidFill>
            <w14:prstDash w14:val="solid"/>
            <w14:miter w14:val="0"/>
          </w14:textOutline>
        </w:rPr>
        <w:t>工程组成</w:t>
      </w:r>
    </w:p>
    <w:p>
      <w:pPr>
        <w:spacing w:before="157" w:line="220" w:lineRule="auto"/>
        <w:ind w:left="523"/>
        <w:rPr>
          <w:rFonts w:ascii="宋体" w:hAnsi="宋体" w:eastAsia="宋体" w:cs="宋体"/>
          <w:sz w:val="24"/>
          <w:szCs w:val="24"/>
        </w:rPr>
      </w:pPr>
      <w:r>
        <w:rPr>
          <w:rFonts w:ascii="宋体" w:hAnsi="宋体" w:eastAsia="宋体" w:cs="宋体"/>
          <w:spacing w:val="-4"/>
          <w:sz w:val="24"/>
          <w:szCs w:val="24"/>
        </w:rPr>
        <w:t>项目组成见表</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pPr>
        <w:spacing w:line="220" w:lineRule="auto"/>
        <w:rPr>
          <w:rFonts w:ascii="宋体" w:hAnsi="宋体" w:eastAsia="宋体" w:cs="宋体"/>
          <w:sz w:val="24"/>
          <w:szCs w:val="24"/>
        </w:rPr>
        <w:sectPr>
          <w:footerReference r:id="rId79" w:type="default"/>
          <w:pgSz w:w="11907" w:h="16839"/>
          <w:pgMar w:top="1298" w:right="1387" w:bottom="1374" w:left="1501" w:header="1023" w:footer="1210" w:gutter="0"/>
        </w:sectPr>
      </w:pPr>
    </w:p>
    <w:p>
      <w:pPr>
        <w:spacing w:before="264" w:line="234" w:lineRule="auto"/>
        <w:ind w:left="5844"/>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9"/>
          <w:sz w:val="21"/>
          <w:szCs w:val="21"/>
        </w:rPr>
        <w:t xml:space="preserve"> </w:t>
      </w:r>
      <w:r>
        <w:rPr>
          <w:rFonts w:ascii="Times New Roman" w:hAnsi="Times New Roman" w:eastAsia="Times New Roman" w:cs="Times New Roman"/>
          <w:b/>
          <w:bCs/>
          <w:spacing w:val="-1"/>
          <w:sz w:val="21"/>
          <w:szCs w:val="21"/>
        </w:rPr>
        <w:t xml:space="preserve">2.3-1    </w:t>
      </w:r>
      <w:r>
        <w:rPr>
          <w:rFonts w:ascii="宋体" w:hAnsi="宋体" w:eastAsia="宋体" w:cs="宋体"/>
          <w:spacing w:val="-1"/>
          <w:sz w:val="21"/>
          <w:szCs w:val="21"/>
          <w14:textOutline w14:w="3810" w14:cap="flat" w14:cmpd="sng">
            <w14:solidFill>
              <w14:srgbClr w14:val="000000"/>
            </w14:solidFill>
            <w14:prstDash w14:val="solid"/>
            <w14:miter w14:val="0"/>
          </w14:textOutline>
        </w:rPr>
        <w:t>项目组成一览表</w:t>
      </w:r>
    </w:p>
    <w:p>
      <w:pPr>
        <w:spacing w:line="110" w:lineRule="exact"/>
      </w:pPr>
    </w:p>
    <w:tbl>
      <w:tblPr>
        <w:tblStyle w:val="5"/>
        <w:tblW w:w="14002"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9"/>
        <w:gridCol w:w="1277"/>
        <w:gridCol w:w="1988"/>
        <w:gridCol w:w="7513"/>
        <w:gridCol w:w="18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696" w:type="dxa"/>
            <w:gridSpan w:val="2"/>
            <w:tcBorders>
              <w:top w:val="single" w:color="000000" w:sz="12" w:space="0"/>
              <w:left w:val="nil"/>
            </w:tcBorders>
            <w:vAlign w:val="top"/>
          </w:tcPr>
          <w:p>
            <w:pPr>
              <w:spacing w:before="30" w:line="207" w:lineRule="auto"/>
              <w:ind w:left="1152"/>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工程</w:t>
            </w:r>
          </w:p>
        </w:tc>
        <w:tc>
          <w:tcPr>
            <w:tcW w:w="1988" w:type="dxa"/>
            <w:tcBorders>
              <w:top w:val="single" w:color="000000" w:sz="12" w:space="0"/>
            </w:tcBorders>
            <w:vAlign w:val="top"/>
          </w:tcPr>
          <w:p>
            <w:pPr>
              <w:spacing w:before="30" w:line="207" w:lineRule="auto"/>
              <w:ind w:left="79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名称</w:t>
            </w:r>
          </w:p>
        </w:tc>
        <w:tc>
          <w:tcPr>
            <w:tcW w:w="7513" w:type="dxa"/>
            <w:tcBorders>
              <w:top w:val="single" w:color="000000" w:sz="12" w:space="0"/>
            </w:tcBorders>
            <w:vAlign w:val="top"/>
          </w:tcPr>
          <w:p>
            <w:pPr>
              <w:spacing w:before="30" w:line="207" w:lineRule="auto"/>
              <w:ind w:left="3021"/>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建设内容及规模</w:t>
            </w:r>
          </w:p>
        </w:tc>
        <w:tc>
          <w:tcPr>
            <w:tcW w:w="1805" w:type="dxa"/>
            <w:tcBorders>
              <w:top w:val="single" w:color="000000" w:sz="12" w:space="0"/>
              <w:right w:val="nil"/>
            </w:tcBorders>
            <w:vAlign w:val="top"/>
          </w:tcPr>
          <w:p>
            <w:pPr>
              <w:spacing w:before="30" w:line="207" w:lineRule="auto"/>
              <w:ind w:left="492"/>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布置位置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2" w:hRule="atLeast"/>
        </w:trPr>
        <w:tc>
          <w:tcPr>
            <w:tcW w:w="1419" w:type="dxa"/>
            <w:vMerge w:val="restart"/>
            <w:tcBorders>
              <w:left w:val="nil"/>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8" w:line="218" w:lineRule="auto"/>
              <w:ind w:left="302"/>
              <w:rPr>
                <w:rFonts w:ascii="仿宋" w:hAnsi="仿宋" w:eastAsia="仿宋" w:cs="仿宋"/>
                <w:sz w:val="21"/>
                <w:szCs w:val="21"/>
              </w:rPr>
            </w:pPr>
            <w:r>
              <w:rPr>
                <w:rFonts w:ascii="仿宋" w:hAnsi="仿宋" w:eastAsia="仿宋" w:cs="仿宋"/>
                <w:spacing w:val="-4"/>
                <w:sz w:val="21"/>
                <w:szCs w:val="21"/>
              </w:rPr>
              <w:t>永久工程</w:t>
            </w:r>
          </w:p>
        </w:tc>
        <w:tc>
          <w:tcPr>
            <w:tcW w:w="1277"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68" w:line="218" w:lineRule="auto"/>
              <w:ind w:left="227"/>
              <w:rPr>
                <w:rFonts w:ascii="仿宋" w:hAnsi="仿宋" w:eastAsia="仿宋" w:cs="仿宋"/>
                <w:sz w:val="21"/>
                <w:szCs w:val="21"/>
              </w:rPr>
            </w:pPr>
            <w:r>
              <w:rPr>
                <w:rFonts w:ascii="仿宋" w:hAnsi="仿宋" w:eastAsia="仿宋" w:cs="仿宋"/>
                <w:spacing w:val="-3"/>
                <w:sz w:val="21"/>
                <w:szCs w:val="21"/>
              </w:rPr>
              <w:t>枢纽工程</w:t>
            </w:r>
          </w:p>
        </w:tc>
        <w:tc>
          <w:tcPr>
            <w:tcW w:w="1988" w:type="dxa"/>
            <w:vAlign w:val="top"/>
          </w:tcPr>
          <w:p>
            <w:pPr>
              <w:spacing w:line="252" w:lineRule="auto"/>
              <w:rPr>
                <w:rFonts w:ascii="Arial"/>
                <w:sz w:val="21"/>
              </w:rPr>
            </w:pPr>
          </w:p>
          <w:p>
            <w:pPr>
              <w:spacing w:line="252" w:lineRule="auto"/>
              <w:rPr>
                <w:rFonts w:ascii="Arial"/>
                <w:sz w:val="21"/>
              </w:rPr>
            </w:pPr>
          </w:p>
          <w:p>
            <w:pPr>
              <w:spacing w:before="68" w:line="220" w:lineRule="auto"/>
              <w:ind w:left="797"/>
              <w:rPr>
                <w:rFonts w:ascii="仿宋" w:hAnsi="仿宋" w:eastAsia="仿宋" w:cs="仿宋"/>
                <w:sz w:val="21"/>
                <w:szCs w:val="21"/>
              </w:rPr>
            </w:pPr>
            <w:r>
              <w:rPr>
                <w:rFonts w:ascii="仿宋" w:hAnsi="仿宋" w:eastAsia="仿宋" w:cs="仿宋"/>
                <w:spacing w:val="-5"/>
                <w:sz w:val="21"/>
                <w:szCs w:val="21"/>
              </w:rPr>
              <w:t>大坝</w:t>
            </w:r>
          </w:p>
        </w:tc>
        <w:tc>
          <w:tcPr>
            <w:tcW w:w="7513" w:type="dxa"/>
            <w:vAlign w:val="top"/>
          </w:tcPr>
          <w:p>
            <w:pPr>
              <w:pStyle w:val="6"/>
              <w:spacing w:before="32" w:line="216" w:lineRule="auto"/>
              <w:ind w:left="17"/>
              <w:rPr>
                <w:rFonts w:ascii="仿宋" w:hAnsi="仿宋" w:eastAsia="仿宋" w:cs="仿宋"/>
              </w:rPr>
            </w:pPr>
            <w:r>
              <w:rPr>
                <w:rFonts w:ascii="仿宋" w:hAnsi="仿宋" w:eastAsia="仿宋" w:cs="仿宋"/>
                <w:spacing w:val="-1"/>
              </w:rPr>
              <w:t>大坝为粘土心墙风化料坝，坝顶高程</w:t>
            </w:r>
            <w:r>
              <w:rPr>
                <w:rFonts w:ascii="仿宋" w:hAnsi="仿宋" w:eastAsia="仿宋" w:cs="仿宋"/>
                <w:spacing w:val="-47"/>
              </w:rPr>
              <w:t xml:space="preserve"> </w:t>
            </w:r>
            <w:r>
              <w:rPr>
                <w:spacing w:val="-1"/>
              </w:rPr>
              <w:t>2098.1m</w:t>
            </w:r>
            <w:r>
              <w:rPr>
                <w:rFonts w:ascii="仿宋" w:hAnsi="仿宋" w:eastAsia="仿宋" w:cs="仿宋"/>
                <w:spacing w:val="-1"/>
              </w:rPr>
              <w:t>，最大坝高</w:t>
            </w:r>
            <w:r>
              <w:rPr>
                <w:rFonts w:ascii="仿宋" w:hAnsi="仿宋" w:eastAsia="仿宋" w:cs="仿宋"/>
                <w:spacing w:val="-44"/>
              </w:rPr>
              <w:t xml:space="preserve"> </w:t>
            </w:r>
            <w:r>
              <w:rPr>
                <w:spacing w:val="-2"/>
              </w:rPr>
              <w:t>93.1m</w:t>
            </w:r>
            <w:r>
              <w:rPr>
                <w:rFonts w:ascii="仿宋" w:hAnsi="仿宋" w:eastAsia="仿宋" w:cs="仿宋"/>
                <w:spacing w:val="-2"/>
              </w:rPr>
              <w:t>，坝轴线长</w:t>
            </w:r>
          </w:p>
          <w:p>
            <w:pPr>
              <w:pStyle w:val="6"/>
              <w:spacing w:before="26" w:line="230" w:lineRule="auto"/>
              <w:ind w:left="5" w:right="54"/>
              <w:rPr>
                <w:rFonts w:ascii="仿宋" w:hAnsi="仿宋" w:eastAsia="仿宋" w:cs="仿宋"/>
              </w:rPr>
            </w:pPr>
            <w:r>
              <w:rPr>
                <w:spacing w:val="-2"/>
              </w:rPr>
              <w:t>261.5m</w:t>
            </w:r>
            <w:r>
              <w:rPr>
                <w:rFonts w:ascii="仿宋" w:hAnsi="仿宋" w:eastAsia="仿宋" w:cs="仿宋"/>
                <w:spacing w:val="-2"/>
              </w:rPr>
              <w:t>，坝顶宽</w:t>
            </w:r>
            <w:r>
              <w:rPr>
                <w:rFonts w:ascii="仿宋" w:hAnsi="仿宋" w:eastAsia="仿宋" w:cs="仿宋"/>
                <w:spacing w:val="-27"/>
              </w:rPr>
              <w:t xml:space="preserve"> </w:t>
            </w:r>
            <w:r>
              <w:rPr>
                <w:spacing w:val="-2"/>
              </w:rPr>
              <w:t>10.0m</w:t>
            </w:r>
            <w:r>
              <w:rPr>
                <w:spacing w:val="-23"/>
              </w:rPr>
              <w:t xml:space="preserve"> </w:t>
            </w:r>
            <w:r>
              <w:rPr>
                <w:rFonts w:ascii="仿宋" w:hAnsi="仿宋" w:eastAsia="仿宋" w:cs="仿宋"/>
                <w:spacing w:val="-2"/>
              </w:rPr>
              <w:t>。防渗心墙顶高程</w:t>
            </w:r>
            <w:r>
              <w:rPr>
                <w:rFonts w:ascii="仿宋" w:hAnsi="仿宋" w:eastAsia="仿宋" w:cs="仿宋"/>
                <w:spacing w:val="-48"/>
              </w:rPr>
              <w:t xml:space="preserve"> </w:t>
            </w:r>
            <w:r>
              <w:rPr>
                <w:spacing w:val="-2"/>
              </w:rPr>
              <w:t>2097.6m</w:t>
            </w:r>
            <w:r>
              <w:rPr>
                <w:rFonts w:ascii="仿宋" w:hAnsi="仿宋" w:eastAsia="仿宋" w:cs="仿宋"/>
                <w:spacing w:val="-2"/>
              </w:rPr>
              <w:t>，</w:t>
            </w:r>
            <w:r>
              <w:rPr>
                <w:rFonts w:ascii="仿宋" w:hAnsi="仿宋" w:eastAsia="仿宋" w:cs="仿宋"/>
                <w:spacing w:val="-3"/>
              </w:rPr>
              <w:t>顶宽</w:t>
            </w:r>
            <w:r>
              <w:rPr>
                <w:rFonts w:ascii="仿宋" w:hAnsi="仿宋" w:eastAsia="仿宋" w:cs="仿宋"/>
                <w:spacing w:val="-33"/>
              </w:rPr>
              <w:t xml:space="preserve"> </w:t>
            </w:r>
            <w:r>
              <w:rPr>
                <w:spacing w:val="-3"/>
              </w:rPr>
              <w:t>4.0m</w:t>
            </w:r>
            <w:r>
              <w:rPr>
                <w:rFonts w:ascii="仿宋" w:hAnsi="仿宋" w:eastAsia="仿宋" w:cs="仿宋"/>
                <w:spacing w:val="-3"/>
              </w:rPr>
              <w:t>，上、下游坡比均</w:t>
            </w:r>
            <w:r>
              <w:rPr>
                <w:rFonts w:ascii="仿宋" w:hAnsi="仿宋" w:eastAsia="仿宋" w:cs="仿宋"/>
              </w:rPr>
              <w:t xml:space="preserve">  </w:t>
            </w:r>
            <w:r>
              <w:rPr>
                <w:rFonts w:ascii="仿宋" w:hAnsi="仿宋" w:eastAsia="仿宋" w:cs="仿宋"/>
                <w:spacing w:val="-2"/>
              </w:rPr>
              <w:t>为</w:t>
            </w:r>
            <w:r>
              <w:rPr>
                <w:rFonts w:ascii="仿宋" w:hAnsi="仿宋" w:eastAsia="仿宋" w:cs="仿宋"/>
                <w:spacing w:val="-28"/>
              </w:rPr>
              <w:t xml:space="preserve"> </w:t>
            </w:r>
            <w:r>
              <w:rPr>
                <w:spacing w:val="-2"/>
              </w:rPr>
              <w:t>1:0.25</w:t>
            </w:r>
            <w:r>
              <w:rPr>
                <w:rFonts w:ascii="仿宋" w:hAnsi="仿宋" w:eastAsia="仿宋" w:cs="仿宋"/>
                <w:spacing w:val="-2"/>
              </w:rPr>
              <w:t>，心墙上、下游设反滤层和过渡层，上游侧宽均为</w:t>
            </w:r>
            <w:r>
              <w:rPr>
                <w:rFonts w:ascii="仿宋" w:hAnsi="仿宋" w:eastAsia="仿宋" w:cs="仿宋"/>
                <w:spacing w:val="-48"/>
              </w:rPr>
              <w:t xml:space="preserve"> </w:t>
            </w:r>
            <w:r>
              <w:rPr>
                <w:spacing w:val="-2"/>
              </w:rPr>
              <w:t>2m</w:t>
            </w:r>
            <w:r>
              <w:rPr>
                <w:rFonts w:ascii="仿宋" w:hAnsi="仿宋" w:eastAsia="仿宋" w:cs="仿宋"/>
                <w:spacing w:val="-2"/>
              </w:rPr>
              <w:t xml:space="preserve">；下游侧宽均为   </w:t>
            </w:r>
            <w:r>
              <w:rPr>
                <w:spacing w:val="-4"/>
              </w:rPr>
              <w:t>2.5m</w:t>
            </w:r>
            <w:r>
              <w:rPr>
                <w:spacing w:val="-5"/>
              </w:rPr>
              <w:t xml:space="preserve"> </w:t>
            </w:r>
            <w:r>
              <w:rPr>
                <w:rFonts w:ascii="仿宋" w:hAnsi="仿宋" w:eastAsia="仿宋" w:cs="仿宋"/>
                <w:spacing w:val="-4"/>
              </w:rPr>
              <w:t>。大坝上游坝坡从上至下坡比为</w:t>
            </w:r>
            <w:r>
              <w:rPr>
                <w:rFonts w:ascii="仿宋" w:hAnsi="仿宋" w:eastAsia="仿宋" w:cs="仿宋"/>
                <w:spacing w:val="-27"/>
              </w:rPr>
              <w:t xml:space="preserve"> </w:t>
            </w:r>
            <w:r>
              <w:rPr>
                <w:spacing w:val="-4"/>
              </w:rPr>
              <w:t>1:2.2</w:t>
            </w:r>
            <w:r>
              <w:rPr>
                <w:spacing w:val="-22"/>
              </w:rPr>
              <w:t xml:space="preserve"> </w:t>
            </w:r>
            <w:r>
              <w:rPr>
                <w:rFonts w:ascii="仿宋" w:hAnsi="仿宋" w:eastAsia="仿宋" w:cs="仿宋"/>
                <w:spacing w:val="-4"/>
              </w:rPr>
              <w:t>、</w:t>
            </w:r>
            <w:r>
              <w:rPr>
                <w:spacing w:val="-4"/>
              </w:rPr>
              <w:t>1:2.3</w:t>
            </w:r>
            <w:r>
              <w:rPr>
                <w:spacing w:val="-23"/>
              </w:rPr>
              <w:t xml:space="preserve"> </w:t>
            </w:r>
            <w:r>
              <w:rPr>
                <w:rFonts w:ascii="仿宋" w:hAnsi="仿宋" w:eastAsia="仿宋" w:cs="仿宋"/>
                <w:spacing w:val="-4"/>
              </w:rPr>
              <w:t>、</w:t>
            </w:r>
            <w:r>
              <w:rPr>
                <w:spacing w:val="-4"/>
              </w:rPr>
              <w:t>1:2.4</w:t>
            </w:r>
            <w:r>
              <w:rPr>
                <w:rFonts w:ascii="仿宋" w:hAnsi="仿宋" w:eastAsia="仿宋" w:cs="仿宋"/>
                <w:spacing w:val="-4"/>
              </w:rPr>
              <w:t>，下游坝坡坡比为</w:t>
            </w:r>
            <w:r>
              <w:rPr>
                <w:rFonts w:ascii="仿宋" w:hAnsi="仿宋" w:eastAsia="仿宋" w:cs="仿宋"/>
                <w:spacing w:val="-27"/>
              </w:rPr>
              <w:t xml:space="preserve"> </w:t>
            </w:r>
            <w:r>
              <w:rPr>
                <w:spacing w:val="-4"/>
              </w:rPr>
              <w:t>1:2.0</w:t>
            </w:r>
            <w:r>
              <w:rPr>
                <w:rFonts w:ascii="仿宋" w:hAnsi="仿宋" w:eastAsia="仿宋" w:cs="仿宋"/>
                <w:spacing w:val="-4"/>
              </w:rPr>
              <w:t>、</w:t>
            </w:r>
            <w:r>
              <w:rPr>
                <w:rFonts w:ascii="仿宋" w:hAnsi="仿宋" w:eastAsia="仿宋" w:cs="仿宋"/>
              </w:rPr>
              <w:t xml:space="preserve"> </w:t>
            </w:r>
            <w:r>
              <w:rPr>
                <w:spacing w:val="-6"/>
              </w:rPr>
              <w:t>1:2.1</w:t>
            </w:r>
            <w:r>
              <w:rPr>
                <w:spacing w:val="-22"/>
              </w:rPr>
              <w:t xml:space="preserve"> </w:t>
            </w:r>
            <w:r>
              <w:rPr>
                <w:rFonts w:ascii="仿宋" w:hAnsi="仿宋" w:eastAsia="仿宋" w:cs="仿宋"/>
                <w:spacing w:val="-6"/>
              </w:rPr>
              <w:t>、</w:t>
            </w:r>
            <w:r>
              <w:rPr>
                <w:spacing w:val="-6"/>
              </w:rPr>
              <w:t>1:2.2</w:t>
            </w:r>
            <w:r>
              <w:rPr>
                <w:spacing w:val="-23"/>
              </w:rPr>
              <w:t xml:space="preserve"> </w:t>
            </w:r>
            <w:r>
              <w:rPr>
                <w:rFonts w:ascii="仿宋" w:hAnsi="仿宋" w:eastAsia="仿宋" w:cs="仿宋"/>
                <w:spacing w:val="-6"/>
              </w:rPr>
              <w:t>、</w:t>
            </w:r>
            <w:r>
              <w:rPr>
                <w:spacing w:val="-6"/>
              </w:rPr>
              <w:t>1:2.0</w:t>
            </w:r>
            <w:r>
              <w:rPr>
                <w:rFonts w:ascii="仿宋" w:hAnsi="仿宋" w:eastAsia="仿宋" w:cs="仿宋"/>
                <w:spacing w:val="-6"/>
              </w:rPr>
              <w:t>（堆石棱体坡比</w:t>
            </w:r>
            <w:r>
              <w:rPr>
                <w:rFonts w:ascii="仿宋" w:hAnsi="仿宋" w:eastAsia="仿宋" w:cs="仿宋"/>
                <w:spacing w:val="-9"/>
              </w:rPr>
              <w:t>）；</w:t>
            </w:r>
            <w:r>
              <w:rPr>
                <w:rFonts w:ascii="仿宋" w:hAnsi="仿宋" w:eastAsia="仿宋" w:cs="仿宋"/>
                <w:spacing w:val="-6"/>
              </w:rPr>
              <w:t>变坡处设</w:t>
            </w:r>
            <w:r>
              <w:rPr>
                <w:rFonts w:ascii="仿宋" w:hAnsi="仿宋" w:eastAsia="仿宋" w:cs="仿宋"/>
                <w:spacing w:val="-33"/>
              </w:rPr>
              <w:t xml:space="preserve"> </w:t>
            </w:r>
            <w:r>
              <w:rPr>
                <w:spacing w:val="-6"/>
              </w:rPr>
              <w:t>2m</w:t>
            </w:r>
            <w:r>
              <w:rPr>
                <w:spacing w:val="14"/>
              </w:rPr>
              <w:t xml:space="preserve"> </w:t>
            </w:r>
            <w:r>
              <w:rPr>
                <w:rFonts w:ascii="仿宋" w:hAnsi="仿宋" w:eastAsia="仿宋" w:cs="仿宋"/>
                <w:spacing w:val="-6"/>
              </w:rPr>
              <w:t>戗</w:t>
            </w:r>
            <w:r>
              <w:rPr>
                <w:rFonts w:ascii="仿宋" w:hAnsi="仿宋" w:eastAsia="仿宋" w:cs="仿宋"/>
                <w:spacing w:val="-7"/>
              </w:rPr>
              <w:t>台。</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0" w:hRule="atLeast"/>
        </w:trPr>
        <w:tc>
          <w:tcPr>
            <w:tcW w:w="1419" w:type="dxa"/>
            <w:vMerge w:val="continue"/>
            <w:tcBorders>
              <w:top w:val="nil"/>
              <w:left w:val="nil"/>
              <w:bottom w:val="nil"/>
            </w:tcBorders>
            <w:vAlign w:val="top"/>
          </w:tcPr>
          <w:p>
            <w:pPr>
              <w:rPr>
                <w:rFonts w:ascii="Arial"/>
                <w:sz w:val="21"/>
              </w:rPr>
            </w:pPr>
          </w:p>
        </w:tc>
        <w:tc>
          <w:tcPr>
            <w:tcW w:w="1277" w:type="dxa"/>
            <w:vMerge w:val="continue"/>
            <w:tcBorders>
              <w:top w:val="nil"/>
              <w:bottom w:val="nil"/>
            </w:tcBorders>
            <w:vAlign w:val="top"/>
          </w:tcPr>
          <w:p>
            <w:pPr>
              <w:rPr>
                <w:rFonts w:ascii="Arial"/>
                <w:sz w:val="21"/>
              </w:rPr>
            </w:pPr>
          </w:p>
        </w:tc>
        <w:tc>
          <w:tcPr>
            <w:tcW w:w="1988" w:type="dxa"/>
            <w:vAlign w:val="top"/>
          </w:tcPr>
          <w:p>
            <w:pPr>
              <w:spacing w:line="375" w:lineRule="auto"/>
              <w:rPr>
                <w:rFonts w:ascii="Arial"/>
                <w:sz w:val="21"/>
              </w:rPr>
            </w:pPr>
          </w:p>
          <w:p>
            <w:pPr>
              <w:spacing w:before="68" w:line="221" w:lineRule="auto"/>
              <w:ind w:left="694"/>
              <w:rPr>
                <w:rFonts w:ascii="仿宋" w:hAnsi="仿宋" w:eastAsia="仿宋" w:cs="仿宋"/>
                <w:sz w:val="21"/>
                <w:szCs w:val="21"/>
              </w:rPr>
            </w:pPr>
            <w:r>
              <w:rPr>
                <w:rFonts w:ascii="仿宋" w:hAnsi="仿宋" w:eastAsia="仿宋" w:cs="仿宋"/>
                <w:spacing w:val="-5"/>
                <w:sz w:val="21"/>
                <w:szCs w:val="21"/>
              </w:rPr>
              <w:t>溢洪道</w:t>
            </w:r>
          </w:p>
        </w:tc>
        <w:tc>
          <w:tcPr>
            <w:tcW w:w="7513" w:type="dxa"/>
            <w:vAlign w:val="top"/>
          </w:tcPr>
          <w:p>
            <w:pPr>
              <w:pStyle w:val="6"/>
              <w:spacing w:before="38" w:line="229" w:lineRule="auto"/>
              <w:ind w:left="13" w:right="200" w:firstLine="28"/>
              <w:jc w:val="both"/>
              <w:rPr>
                <w:rFonts w:ascii="仿宋" w:hAnsi="仿宋" w:eastAsia="仿宋" w:cs="仿宋"/>
              </w:rPr>
            </w:pPr>
            <w:r>
              <w:rPr>
                <w:rFonts w:ascii="仿宋" w:hAnsi="仿宋" w:eastAsia="仿宋" w:cs="仿宋"/>
                <w:spacing w:val="-2"/>
              </w:rPr>
              <w:t>由进口侧槽段、调整段、泄槽缓坡段、泄槽</w:t>
            </w:r>
            <w:r>
              <w:rPr>
                <w:rFonts w:ascii="仿宋" w:hAnsi="仿宋" w:eastAsia="仿宋" w:cs="仿宋"/>
                <w:spacing w:val="-3"/>
              </w:rPr>
              <w:t>陡坡段、消力池段、尾水渠段组成，</w:t>
            </w:r>
            <w:r>
              <w:rPr>
                <w:rFonts w:ascii="仿宋" w:hAnsi="仿宋" w:eastAsia="仿宋" w:cs="仿宋"/>
              </w:rPr>
              <w:t xml:space="preserve"> </w:t>
            </w:r>
            <w:r>
              <w:rPr>
                <w:rFonts w:ascii="仿宋" w:hAnsi="仿宋" w:eastAsia="仿宋" w:cs="仿宋"/>
                <w:spacing w:val="-1"/>
              </w:rPr>
              <w:t>全长</w:t>
            </w:r>
            <w:r>
              <w:rPr>
                <w:rFonts w:ascii="仿宋" w:hAnsi="仿宋" w:eastAsia="仿宋" w:cs="仿宋"/>
                <w:spacing w:val="-44"/>
              </w:rPr>
              <w:t xml:space="preserve"> </w:t>
            </w:r>
            <w:r>
              <w:rPr>
                <w:spacing w:val="-1"/>
              </w:rPr>
              <w:t>352.0m</w:t>
            </w:r>
            <w:r>
              <w:rPr>
                <w:spacing w:val="-22"/>
              </w:rPr>
              <w:t xml:space="preserve"> </w:t>
            </w:r>
            <w:r>
              <w:rPr>
                <w:rFonts w:ascii="仿宋" w:hAnsi="仿宋" w:eastAsia="仿宋" w:cs="仿宋"/>
                <w:spacing w:val="-1"/>
              </w:rPr>
              <w:t>。进口侧槽采用实用堰，堰顶高程</w:t>
            </w:r>
            <w:r>
              <w:rPr>
                <w:rFonts w:ascii="仿宋" w:hAnsi="仿宋" w:eastAsia="仿宋" w:cs="仿宋"/>
                <w:spacing w:val="-48"/>
              </w:rPr>
              <w:t xml:space="preserve"> </w:t>
            </w:r>
            <w:r>
              <w:rPr>
                <w:spacing w:val="-1"/>
              </w:rPr>
              <w:t>2</w:t>
            </w:r>
            <w:r>
              <w:rPr>
                <w:spacing w:val="-2"/>
              </w:rPr>
              <w:t>094.15m</w:t>
            </w:r>
            <w:r>
              <w:rPr>
                <w:rFonts w:ascii="仿宋" w:hAnsi="仿宋" w:eastAsia="仿宋" w:cs="仿宋"/>
                <w:spacing w:val="-2"/>
              </w:rPr>
              <w:t>（与水库正常蓄水位平</w:t>
            </w:r>
            <w:r>
              <w:rPr>
                <w:rFonts w:ascii="仿宋" w:hAnsi="仿宋" w:eastAsia="仿宋" w:cs="仿宋"/>
              </w:rPr>
              <w:t xml:space="preserve"> </w:t>
            </w:r>
            <w:r>
              <w:rPr>
                <w:rFonts w:ascii="仿宋" w:hAnsi="仿宋" w:eastAsia="仿宋" w:cs="仿宋"/>
                <w:spacing w:val="-4"/>
              </w:rPr>
              <w:t>齐</w:t>
            </w:r>
            <w:r>
              <w:rPr>
                <w:rFonts w:ascii="仿宋" w:hAnsi="仿宋" w:eastAsia="仿宋" w:cs="仿宋"/>
                <w:spacing w:val="-33"/>
              </w:rPr>
              <w:t>），</w:t>
            </w:r>
            <w:r>
              <w:rPr>
                <w:rFonts w:ascii="仿宋" w:hAnsi="仿宋" w:eastAsia="仿宋" w:cs="仿宋"/>
                <w:spacing w:val="-4"/>
              </w:rPr>
              <w:t>堰宽</w:t>
            </w:r>
            <w:r>
              <w:rPr>
                <w:rFonts w:ascii="仿宋" w:hAnsi="仿宋" w:eastAsia="仿宋" w:cs="仿宋"/>
                <w:spacing w:val="-33"/>
              </w:rPr>
              <w:t xml:space="preserve"> </w:t>
            </w:r>
            <w:r>
              <w:rPr>
                <w:spacing w:val="-4"/>
              </w:rPr>
              <w:t>40m</w:t>
            </w:r>
            <w:r>
              <w:rPr>
                <w:rFonts w:ascii="仿宋" w:hAnsi="仿宋" w:eastAsia="仿宋" w:cs="仿宋"/>
                <w:spacing w:val="-4"/>
              </w:rPr>
              <w:t>，泄槽段宽</w:t>
            </w:r>
            <w:r>
              <w:rPr>
                <w:rFonts w:ascii="仿宋" w:hAnsi="仿宋" w:eastAsia="仿宋" w:cs="仿宋"/>
                <w:spacing w:val="-24"/>
              </w:rPr>
              <w:t xml:space="preserve"> </w:t>
            </w:r>
            <w:r>
              <w:rPr>
                <w:spacing w:val="-4"/>
              </w:rPr>
              <w:t>8m</w:t>
            </w:r>
            <w:r>
              <w:rPr>
                <w:rFonts w:ascii="仿宋" w:hAnsi="仿宋" w:eastAsia="仿宋" w:cs="仿宋"/>
                <w:spacing w:val="-4"/>
              </w:rPr>
              <w:t>，出口消能采用底流消能，消力池长</w:t>
            </w:r>
            <w:r>
              <w:rPr>
                <w:rFonts w:ascii="仿宋" w:hAnsi="仿宋" w:eastAsia="仿宋" w:cs="仿宋"/>
                <w:spacing w:val="-42"/>
              </w:rPr>
              <w:t xml:space="preserve"> </w:t>
            </w:r>
            <w:r>
              <w:rPr>
                <w:spacing w:val="-4"/>
              </w:rPr>
              <w:t>52m</w:t>
            </w:r>
            <w:r>
              <w:rPr>
                <w:rFonts w:ascii="仿宋" w:hAnsi="仿宋" w:eastAsia="仿宋" w:cs="仿宋"/>
                <w:spacing w:val="-5"/>
              </w:rPr>
              <w:t xml:space="preserve">，池宽  </w:t>
            </w:r>
            <w:r>
              <w:rPr>
                <w:spacing w:val="-4"/>
              </w:rPr>
              <w:t>8m</w:t>
            </w:r>
            <w:r>
              <w:rPr>
                <w:rFonts w:ascii="仿宋" w:hAnsi="仿宋" w:eastAsia="仿宋" w:cs="仿宋"/>
                <w:spacing w:val="-4"/>
              </w:rPr>
              <w:t>，池深</w:t>
            </w:r>
            <w:r>
              <w:rPr>
                <w:rFonts w:ascii="仿宋" w:hAnsi="仿宋" w:eastAsia="仿宋" w:cs="仿宋"/>
                <w:spacing w:val="-27"/>
              </w:rPr>
              <w:t xml:space="preserve"> </w:t>
            </w:r>
            <w:r>
              <w:rPr>
                <w:spacing w:val="-4"/>
              </w:rPr>
              <w:t>5.5m</w:t>
            </w:r>
            <w:r>
              <w:rPr>
                <w:rFonts w:ascii="仿宋" w:hAnsi="仿宋" w:eastAsia="仿宋" w:cs="仿宋"/>
                <w:spacing w:val="-4"/>
              </w:rPr>
              <w:t>。</w:t>
            </w:r>
          </w:p>
        </w:tc>
        <w:tc>
          <w:tcPr>
            <w:tcW w:w="1805" w:type="dxa"/>
            <w:tcBorders>
              <w:right w:val="nil"/>
            </w:tcBorders>
            <w:vAlign w:val="top"/>
          </w:tcPr>
          <w:p>
            <w:pPr>
              <w:spacing w:line="374" w:lineRule="auto"/>
              <w:rPr>
                <w:rFonts w:ascii="Arial"/>
                <w:sz w:val="21"/>
              </w:rPr>
            </w:pPr>
          </w:p>
          <w:p>
            <w:pPr>
              <w:spacing w:before="69" w:line="216" w:lineRule="auto"/>
              <w:ind w:left="80"/>
              <w:rPr>
                <w:rFonts w:ascii="仿宋" w:hAnsi="仿宋" w:eastAsia="仿宋" w:cs="仿宋"/>
                <w:sz w:val="21"/>
                <w:szCs w:val="21"/>
              </w:rPr>
            </w:pPr>
            <w:r>
              <w:rPr>
                <w:rFonts w:ascii="仿宋" w:hAnsi="仿宋" w:eastAsia="仿宋" w:cs="仿宋"/>
                <w:spacing w:val="-3"/>
                <w:sz w:val="21"/>
                <w:szCs w:val="21"/>
              </w:rPr>
              <w:t>溢洪道布置于左岸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5" w:hRule="atLeast"/>
        </w:trPr>
        <w:tc>
          <w:tcPr>
            <w:tcW w:w="1419" w:type="dxa"/>
            <w:vMerge w:val="continue"/>
            <w:tcBorders>
              <w:top w:val="nil"/>
              <w:left w:val="nil"/>
              <w:bottom w:val="nil"/>
            </w:tcBorders>
            <w:vAlign w:val="top"/>
          </w:tcPr>
          <w:p>
            <w:pPr>
              <w:rPr>
                <w:rFonts w:ascii="Arial"/>
                <w:sz w:val="21"/>
              </w:rPr>
            </w:pPr>
          </w:p>
        </w:tc>
        <w:tc>
          <w:tcPr>
            <w:tcW w:w="1277" w:type="dxa"/>
            <w:vMerge w:val="continue"/>
            <w:tcBorders>
              <w:top w:val="nil"/>
            </w:tcBorders>
            <w:vAlign w:val="top"/>
          </w:tcPr>
          <w:p>
            <w:pPr>
              <w:rPr>
                <w:rFonts w:ascii="Arial"/>
                <w:sz w:val="21"/>
              </w:rPr>
            </w:pPr>
          </w:p>
        </w:tc>
        <w:tc>
          <w:tcPr>
            <w:tcW w:w="1988" w:type="dxa"/>
            <w:vAlign w:val="top"/>
          </w:tcPr>
          <w:p>
            <w:pPr>
              <w:spacing w:line="325" w:lineRule="auto"/>
              <w:rPr>
                <w:rFonts w:ascii="Arial"/>
                <w:sz w:val="21"/>
              </w:rPr>
            </w:pPr>
          </w:p>
          <w:p>
            <w:pPr>
              <w:spacing w:line="325" w:lineRule="auto"/>
              <w:rPr>
                <w:rFonts w:ascii="Arial"/>
                <w:sz w:val="21"/>
              </w:rPr>
            </w:pPr>
          </w:p>
          <w:p>
            <w:pPr>
              <w:spacing w:before="69" w:line="217" w:lineRule="auto"/>
              <w:ind w:left="166"/>
              <w:rPr>
                <w:rFonts w:ascii="仿宋" w:hAnsi="仿宋" w:eastAsia="仿宋" w:cs="仿宋"/>
                <w:sz w:val="21"/>
                <w:szCs w:val="21"/>
              </w:rPr>
            </w:pPr>
            <w:r>
              <w:rPr>
                <w:rFonts w:ascii="仿宋" w:hAnsi="仿宋" w:eastAsia="仿宋" w:cs="仿宋"/>
                <w:spacing w:val="-2"/>
                <w:sz w:val="21"/>
                <w:szCs w:val="21"/>
              </w:rPr>
              <w:t>导流输水放空隧洞</w:t>
            </w:r>
          </w:p>
        </w:tc>
        <w:tc>
          <w:tcPr>
            <w:tcW w:w="7513" w:type="dxa"/>
            <w:vAlign w:val="top"/>
          </w:tcPr>
          <w:p>
            <w:pPr>
              <w:pStyle w:val="6"/>
              <w:spacing w:before="44" w:line="233" w:lineRule="auto"/>
              <w:ind w:left="22" w:right="87" w:hanging="6"/>
              <w:jc w:val="both"/>
              <w:rPr>
                <w:rFonts w:ascii="仿宋" w:hAnsi="仿宋" w:eastAsia="仿宋" w:cs="仿宋"/>
              </w:rPr>
            </w:pPr>
            <w:r>
              <w:rPr>
                <w:rFonts w:ascii="仿宋" w:hAnsi="仿宋" w:eastAsia="仿宋" w:cs="仿宋"/>
                <w:spacing w:val="-1"/>
              </w:rPr>
              <w:t xml:space="preserve">输水放空隧洞采用“龙抬头”和导流隧洞结合而成，导流隧洞与输水放空隧洞进 </w:t>
            </w:r>
            <w:r>
              <w:rPr>
                <w:rFonts w:ascii="仿宋" w:hAnsi="仿宋" w:eastAsia="仿宋" w:cs="仿宋"/>
                <w:spacing w:val="-5"/>
              </w:rPr>
              <w:t>口段分开，后半段共用。</w:t>
            </w:r>
            <w:r>
              <w:rPr>
                <w:rFonts w:ascii="仿宋" w:hAnsi="仿宋" w:eastAsia="仿宋" w:cs="仿宋"/>
                <w:spacing w:val="44"/>
              </w:rPr>
              <w:t xml:space="preserve"> </w:t>
            </w:r>
            <w:r>
              <w:rPr>
                <w:rFonts w:ascii="仿宋" w:hAnsi="仿宋" w:eastAsia="仿宋" w:cs="仿宋"/>
                <w:spacing w:val="-5"/>
              </w:rPr>
              <w:t>输水放空隧洞由进口拦沙井段、有压龙</w:t>
            </w:r>
            <w:r>
              <w:rPr>
                <w:rFonts w:ascii="仿宋" w:hAnsi="仿宋" w:eastAsia="仿宋" w:cs="仿宋"/>
                <w:spacing w:val="-6"/>
              </w:rPr>
              <w:t xml:space="preserve">抬头段、检修闸 </w:t>
            </w:r>
            <w:r>
              <w:rPr>
                <w:rFonts w:ascii="仿宋" w:hAnsi="仿宋" w:eastAsia="仿宋" w:cs="仿宋"/>
                <w:spacing w:val="-1"/>
              </w:rPr>
              <w:t>门井段、无压段，出口闸阀室段组成，全长</w:t>
            </w:r>
            <w:r>
              <w:rPr>
                <w:rFonts w:ascii="仿宋" w:hAnsi="仿宋" w:eastAsia="仿宋" w:cs="仿宋"/>
                <w:spacing w:val="-41"/>
              </w:rPr>
              <w:t xml:space="preserve"> </w:t>
            </w:r>
            <w:r>
              <w:rPr>
                <w:spacing w:val="-1"/>
              </w:rPr>
              <w:t>533.0m</w:t>
            </w:r>
            <w:r>
              <w:rPr>
                <w:rFonts w:ascii="仿宋" w:hAnsi="仿宋" w:eastAsia="仿宋" w:cs="仿宋"/>
                <w:spacing w:val="-1"/>
              </w:rPr>
              <w:t>，其中洞身段</w:t>
            </w:r>
            <w:r>
              <w:rPr>
                <w:rFonts w:ascii="仿宋" w:hAnsi="仿宋" w:eastAsia="仿宋" w:cs="仿宋"/>
                <w:spacing w:val="-42"/>
              </w:rPr>
              <w:t xml:space="preserve"> </w:t>
            </w:r>
            <w:r>
              <w:rPr>
                <w:spacing w:val="-1"/>
              </w:rPr>
              <w:t>5</w:t>
            </w:r>
            <w:r>
              <w:rPr>
                <w:spacing w:val="-2"/>
              </w:rPr>
              <w:t>07m</w:t>
            </w:r>
            <w:r>
              <w:rPr>
                <w:rFonts w:ascii="仿宋" w:hAnsi="仿宋" w:eastAsia="仿宋" w:cs="仿宋"/>
                <w:spacing w:val="-2"/>
              </w:rPr>
              <w:t>（与导流</w:t>
            </w:r>
            <w:r>
              <w:rPr>
                <w:rFonts w:ascii="仿宋" w:hAnsi="仿宋" w:eastAsia="仿宋" w:cs="仿宋"/>
              </w:rPr>
              <w:t xml:space="preserve">  </w:t>
            </w:r>
            <w:r>
              <w:rPr>
                <w:rFonts w:ascii="仿宋" w:hAnsi="仿宋" w:eastAsia="仿宋" w:cs="仿宋"/>
                <w:spacing w:val="-5"/>
              </w:rPr>
              <w:t>隧洞共用段长</w:t>
            </w:r>
            <w:r>
              <w:rPr>
                <w:rFonts w:ascii="仿宋" w:hAnsi="仿宋" w:eastAsia="仿宋" w:cs="仿宋"/>
                <w:spacing w:val="-38"/>
              </w:rPr>
              <w:t xml:space="preserve"> </w:t>
            </w:r>
            <w:r>
              <w:rPr>
                <w:spacing w:val="-5"/>
              </w:rPr>
              <w:t>400.88m</w:t>
            </w:r>
            <w:r>
              <w:rPr>
                <w:rFonts w:ascii="仿宋" w:hAnsi="仿宋" w:eastAsia="仿宋" w:cs="仿宋"/>
                <w:spacing w:val="-5"/>
              </w:rPr>
              <w:t>）。在龙抬头段里程输</w:t>
            </w:r>
            <w:r>
              <w:rPr>
                <w:rFonts w:ascii="仿宋" w:hAnsi="仿宋" w:eastAsia="仿宋" w:cs="仿宋"/>
                <w:spacing w:val="-45"/>
              </w:rPr>
              <w:t xml:space="preserve"> </w:t>
            </w:r>
            <w:r>
              <w:rPr>
                <w:spacing w:val="-5"/>
              </w:rPr>
              <w:t>0+121.01</w:t>
            </w:r>
            <w:r>
              <w:rPr>
                <w:spacing w:val="14"/>
              </w:rPr>
              <w:t xml:space="preserve"> </w:t>
            </w:r>
            <w:r>
              <w:rPr>
                <w:rFonts w:ascii="仿宋" w:hAnsi="仿宋" w:eastAsia="仿宋" w:cs="仿宋"/>
                <w:spacing w:val="-5"/>
              </w:rPr>
              <w:t>堵头起埋设</w:t>
            </w:r>
            <w:r>
              <w:rPr>
                <w:rFonts w:ascii="仿宋" w:hAnsi="仿宋" w:eastAsia="仿宋" w:cs="仿宋"/>
                <w:spacing w:val="-49"/>
              </w:rPr>
              <w:t xml:space="preserve"> </w:t>
            </w:r>
            <w:r>
              <w:rPr>
                <w:spacing w:val="-5"/>
              </w:rPr>
              <w:t>DN1400</w:t>
            </w:r>
            <w:r>
              <w:rPr>
                <w:spacing w:val="14"/>
                <w:w w:val="101"/>
              </w:rPr>
              <w:t xml:space="preserve"> </w:t>
            </w:r>
            <w:r>
              <w:rPr>
                <w:rFonts w:ascii="仿宋" w:hAnsi="仿宋" w:eastAsia="仿宋" w:cs="仿宋"/>
                <w:spacing w:val="-5"/>
              </w:rPr>
              <w:t>钢管，</w:t>
            </w:r>
          </w:p>
          <w:p>
            <w:pPr>
              <w:pStyle w:val="6"/>
              <w:spacing w:before="27" w:line="217" w:lineRule="auto"/>
              <w:ind w:left="4" w:right="482" w:firstLine="9"/>
              <w:rPr>
                <w:rFonts w:ascii="仿宋" w:hAnsi="仿宋" w:eastAsia="仿宋" w:cs="仿宋"/>
              </w:rPr>
            </w:pPr>
            <w:r>
              <w:rPr>
                <w:rFonts w:ascii="仿宋" w:hAnsi="仿宋" w:eastAsia="仿宋" w:cs="仿宋"/>
                <w:spacing w:val="-1"/>
              </w:rPr>
              <w:t>钢管沿隧洞底板铺设，长</w:t>
            </w:r>
            <w:r>
              <w:rPr>
                <w:rFonts w:ascii="仿宋" w:hAnsi="仿宋" w:eastAsia="仿宋" w:cs="仿宋"/>
                <w:spacing w:val="-43"/>
              </w:rPr>
              <w:t xml:space="preserve"> </w:t>
            </w:r>
            <w:r>
              <w:rPr>
                <w:spacing w:val="-1"/>
              </w:rPr>
              <w:t>385.99m</w:t>
            </w:r>
            <w:r>
              <w:rPr>
                <w:rFonts w:ascii="仿宋" w:hAnsi="仿宋" w:eastAsia="仿宋" w:cs="仿宋"/>
                <w:spacing w:val="-1"/>
              </w:rPr>
              <w:t>（里程</w:t>
            </w:r>
            <w:r>
              <w:rPr>
                <w:rFonts w:ascii="仿宋" w:hAnsi="仿宋" w:eastAsia="仿宋" w:cs="仿宋"/>
                <w:spacing w:val="-2"/>
              </w:rPr>
              <w:t>输</w:t>
            </w:r>
            <w:r>
              <w:rPr>
                <w:rFonts w:ascii="仿宋" w:hAnsi="仿宋" w:eastAsia="仿宋" w:cs="仿宋"/>
                <w:spacing w:val="-45"/>
              </w:rPr>
              <w:t xml:space="preserve"> </w:t>
            </w:r>
            <w:r>
              <w:rPr>
                <w:spacing w:val="-2"/>
              </w:rPr>
              <w:t>0+121.01</w:t>
            </w:r>
            <w:r>
              <w:rPr>
                <w:rFonts w:ascii="仿宋" w:hAnsi="仿宋" w:eastAsia="仿宋" w:cs="仿宋"/>
                <w:spacing w:val="-2"/>
              </w:rPr>
              <w:t>～输</w:t>
            </w:r>
            <w:r>
              <w:rPr>
                <w:rFonts w:ascii="仿宋" w:hAnsi="仿宋" w:eastAsia="仿宋" w:cs="仿宋"/>
                <w:spacing w:val="-29"/>
              </w:rPr>
              <w:t xml:space="preserve"> </w:t>
            </w:r>
            <w:r>
              <w:rPr>
                <w:spacing w:val="-2"/>
              </w:rPr>
              <w:t>0+507</w:t>
            </w:r>
            <w:r>
              <w:rPr>
                <w:rFonts w:ascii="仿宋" w:hAnsi="仿宋" w:eastAsia="仿宋" w:cs="仿宋"/>
                <w:spacing w:val="-59"/>
              </w:rPr>
              <w:t>），</w:t>
            </w:r>
            <w:r>
              <w:rPr>
                <w:rFonts w:ascii="仿宋" w:hAnsi="仿宋" w:eastAsia="仿宋" w:cs="仿宋"/>
                <w:spacing w:val="-2"/>
              </w:rPr>
              <w:t xml:space="preserve">出口设   </w:t>
            </w:r>
            <w:r>
              <w:rPr>
                <w:spacing w:val="-7"/>
              </w:rPr>
              <w:t>DN1200</w:t>
            </w:r>
            <w:r>
              <w:rPr>
                <w:spacing w:val="18"/>
              </w:rPr>
              <w:t xml:space="preserve"> </w:t>
            </w:r>
            <w:r>
              <w:rPr>
                <w:rFonts w:ascii="仿宋" w:hAnsi="仿宋" w:eastAsia="仿宋" w:cs="仿宋"/>
                <w:spacing w:val="-7"/>
              </w:rPr>
              <w:t xml:space="preserve">放空消能阀、 </w:t>
            </w:r>
            <w:r>
              <w:rPr>
                <w:spacing w:val="-7"/>
              </w:rPr>
              <w:t>DN1000</w:t>
            </w:r>
            <w:r>
              <w:rPr>
                <w:spacing w:val="17"/>
              </w:rPr>
              <w:t xml:space="preserve"> </w:t>
            </w:r>
            <w:r>
              <w:rPr>
                <w:rFonts w:ascii="仿宋" w:hAnsi="仿宋" w:eastAsia="仿宋" w:cs="仿宋"/>
                <w:spacing w:val="-7"/>
              </w:rPr>
              <w:t xml:space="preserve">输水调流阀、 </w:t>
            </w:r>
            <w:r>
              <w:rPr>
                <w:spacing w:val="-7"/>
              </w:rPr>
              <w:t>DN400</w:t>
            </w:r>
            <w:r>
              <w:rPr>
                <w:spacing w:val="16"/>
                <w:w w:val="101"/>
              </w:rPr>
              <w:t xml:space="preserve"> </w:t>
            </w:r>
            <w:r>
              <w:rPr>
                <w:rFonts w:ascii="仿宋" w:hAnsi="仿宋" w:eastAsia="仿宋" w:cs="仿宋"/>
                <w:spacing w:val="-7"/>
              </w:rPr>
              <w:t>输水和生态供水调流阀。</w:t>
            </w:r>
          </w:p>
        </w:tc>
        <w:tc>
          <w:tcPr>
            <w:tcW w:w="1805" w:type="dxa"/>
            <w:tcBorders>
              <w:right w:val="nil"/>
            </w:tcBorders>
            <w:vAlign w:val="top"/>
          </w:tcPr>
          <w:p>
            <w:pPr>
              <w:spacing w:line="325" w:lineRule="auto"/>
              <w:rPr>
                <w:rFonts w:ascii="Arial"/>
                <w:sz w:val="21"/>
              </w:rPr>
            </w:pPr>
          </w:p>
          <w:p>
            <w:pPr>
              <w:spacing w:line="325" w:lineRule="auto"/>
              <w:rPr>
                <w:rFonts w:ascii="Arial"/>
                <w:sz w:val="21"/>
              </w:rPr>
            </w:pPr>
          </w:p>
          <w:p>
            <w:pPr>
              <w:spacing w:before="68" w:line="216" w:lineRule="auto"/>
              <w:ind w:left="392"/>
              <w:rPr>
                <w:rFonts w:ascii="仿宋" w:hAnsi="仿宋" w:eastAsia="仿宋" w:cs="仿宋"/>
                <w:sz w:val="21"/>
                <w:szCs w:val="21"/>
              </w:rPr>
            </w:pPr>
            <w:r>
              <w:rPr>
                <w:rFonts w:ascii="仿宋" w:hAnsi="仿宋" w:eastAsia="仿宋" w:cs="仿宋"/>
                <w:spacing w:val="-4"/>
                <w:sz w:val="21"/>
                <w:szCs w:val="21"/>
              </w:rPr>
              <w:t>布置于右岸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19" w:type="dxa"/>
            <w:vMerge w:val="continue"/>
            <w:tcBorders>
              <w:top w:val="nil"/>
              <w:left w:val="nil"/>
              <w:bottom w:val="nil"/>
            </w:tcBorders>
            <w:vAlign w:val="top"/>
          </w:tcPr>
          <w:p>
            <w:pPr>
              <w:rPr>
                <w:rFonts w:ascii="Arial"/>
                <w:sz w:val="21"/>
              </w:rPr>
            </w:pPr>
          </w:p>
        </w:tc>
        <w:tc>
          <w:tcPr>
            <w:tcW w:w="1277" w:type="dxa"/>
            <w:vMerge w:val="restart"/>
            <w:tcBorders>
              <w:bottom w:val="nil"/>
            </w:tcBorders>
            <w:vAlign w:val="top"/>
          </w:tcPr>
          <w:p>
            <w:pPr>
              <w:spacing w:line="329" w:lineRule="auto"/>
              <w:rPr>
                <w:rFonts w:ascii="Arial"/>
                <w:sz w:val="21"/>
              </w:rPr>
            </w:pPr>
          </w:p>
          <w:p>
            <w:pPr>
              <w:spacing w:line="330" w:lineRule="auto"/>
              <w:rPr>
                <w:rFonts w:ascii="Arial"/>
                <w:sz w:val="21"/>
              </w:rPr>
            </w:pPr>
          </w:p>
          <w:p>
            <w:pPr>
              <w:spacing w:before="68" w:line="218" w:lineRule="auto"/>
              <w:ind w:left="235"/>
              <w:rPr>
                <w:rFonts w:ascii="仿宋" w:hAnsi="仿宋" w:eastAsia="仿宋" w:cs="仿宋"/>
                <w:sz w:val="21"/>
                <w:szCs w:val="21"/>
              </w:rPr>
            </w:pPr>
            <w:r>
              <w:rPr>
                <w:rFonts w:ascii="仿宋" w:hAnsi="仿宋" w:eastAsia="仿宋" w:cs="仿宋"/>
                <w:spacing w:val="-5"/>
                <w:sz w:val="21"/>
                <w:szCs w:val="21"/>
              </w:rPr>
              <w:t>引水工程</w:t>
            </w:r>
          </w:p>
        </w:tc>
        <w:tc>
          <w:tcPr>
            <w:tcW w:w="1988" w:type="dxa"/>
            <w:vAlign w:val="top"/>
          </w:tcPr>
          <w:p>
            <w:pPr>
              <w:spacing w:before="181" w:line="218" w:lineRule="auto"/>
              <w:ind w:left="689"/>
              <w:rPr>
                <w:rFonts w:ascii="仿宋" w:hAnsi="仿宋" w:eastAsia="仿宋" w:cs="仿宋"/>
                <w:sz w:val="21"/>
                <w:szCs w:val="21"/>
              </w:rPr>
            </w:pPr>
            <w:r>
              <w:rPr>
                <w:rFonts w:ascii="仿宋" w:hAnsi="仿宋" w:eastAsia="仿宋" w:cs="仿宋"/>
                <w:spacing w:val="-4"/>
                <w:sz w:val="21"/>
                <w:szCs w:val="21"/>
              </w:rPr>
              <w:t>取水坝</w:t>
            </w:r>
          </w:p>
        </w:tc>
        <w:tc>
          <w:tcPr>
            <w:tcW w:w="7513" w:type="dxa"/>
            <w:vAlign w:val="top"/>
          </w:tcPr>
          <w:p>
            <w:pPr>
              <w:pStyle w:val="6"/>
              <w:spacing w:before="45" w:line="216" w:lineRule="auto"/>
              <w:ind w:left="14" w:right="121" w:firstLine="6"/>
              <w:rPr>
                <w:rFonts w:ascii="仿宋" w:hAnsi="仿宋" w:eastAsia="仿宋" w:cs="仿宋"/>
              </w:rPr>
            </w:pPr>
            <w:r>
              <w:rPr>
                <w:rFonts w:ascii="仿宋" w:hAnsi="仿宋" w:eastAsia="仿宋" w:cs="仿宋"/>
                <w:spacing w:val="-1"/>
              </w:rPr>
              <w:t>罗子左河取水坝为</w:t>
            </w:r>
            <w:r>
              <w:rPr>
                <w:rFonts w:ascii="仿宋" w:hAnsi="仿宋" w:eastAsia="仿宋" w:cs="仿宋"/>
                <w:spacing w:val="-37"/>
              </w:rPr>
              <w:t xml:space="preserve"> </w:t>
            </w:r>
            <w:r>
              <w:rPr>
                <w:spacing w:val="-1"/>
              </w:rPr>
              <w:t xml:space="preserve">C20 </w:t>
            </w:r>
            <w:r>
              <w:rPr>
                <w:rFonts w:ascii="仿宋" w:hAnsi="仿宋" w:eastAsia="仿宋" w:cs="仿宋"/>
                <w:spacing w:val="-1"/>
              </w:rPr>
              <w:t>埋石混凝土重力坝，由溢流坝、冲砂闸及取水闸组成，取</w:t>
            </w:r>
            <w:r>
              <w:rPr>
                <w:rFonts w:ascii="仿宋" w:hAnsi="仿宋" w:eastAsia="仿宋" w:cs="仿宋"/>
              </w:rPr>
              <w:t xml:space="preserve"> </w:t>
            </w:r>
            <w:r>
              <w:rPr>
                <w:rFonts w:ascii="仿宋" w:hAnsi="仿宋" w:eastAsia="仿宋" w:cs="仿宋"/>
                <w:spacing w:val="-3"/>
              </w:rPr>
              <w:t>水坝轴线长</w:t>
            </w:r>
            <w:r>
              <w:rPr>
                <w:rFonts w:ascii="仿宋" w:hAnsi="仿宋" w:eastAsia="仿宋" w:cs="仿宋"/>
                <w:spacing w:val="-12"/>
              </w:rPr>
              <w:t xml:space="preserve"> </w:t>
            </w:r>
            <w:r>
              <w:rPr>
                <w:spacing w:val="-3"/>
              </w:rPr>
              <w:t>17.7m</w:t>
            </w:r>
            <w:r>
              <w:rPr>
                <w:rFonts w:ascii="仿宋" w:hAnsi="仿宋" w:eastAsia="仿宋" w:cs="仿宋"/>
                <w:spacing w:val="-3"/>
              </w:rPr>
              <w:t>，其中溢流段长</w:t>
            </w:r>
            <w:r>
              <w:rPr>
                <w:rFonts w:ascii="仿宋" w:hAnsi="仿宋" w:eastAsia="仿宋" w:cs="仿宋"/>
                <w:spacing w:val="-27"/>
              </w:rPr>
              <w:t xml:space="preserve"> </w:t>
            </w:r>
            <w:r>
              <w:rPr>
                <w:spacing w:val="-3"/>
              </w:rPr>
              <w:t>11m</w:t>
            </w:r>
            <w:r>
              <w:rPr>
                <w:rFonts w:ascii="仿宋" w:hAnsi="仿宋" w:eastAsia="仿宋" w:cs="仿宋"/>
                <w:spacing w:val="-3"/>
              </w:rPr>
              <w:t>，最大坝高</w:t>
            </w:r>
            <w:r>
              <w:rPr>
                <w:rFonts w:ascii="仿宋" w:hAnsi="仿宋" w:eastAsia="仿宋" w:cs="仿宋"/>
                <w:spacing w:val="-25"/>
              </w:rPr>
              <w:t xml:space="preserve"> </w:t>
            </w:r>
            <w:r>
              <w:rPr>
                <w:spacing w:val="-3"/>
              </w:rPr>
              <w:t>5.82m</w:t>
            </w:r>
            <w:r>
              <w:rPr>
                <w:rFonts w:ascii="仿宋" w:hAnsi="仿宋" w:eastAsia="仿宋" w:cs="仿宋"/>
                <w:spacing w:val="-3"/>
              </w:rPr>
              <w:t>，堰顶高程</w:t>
            </w:r>
            <w:r>
              <w:rPr>
                <w:rFonts w:ascii="仿宋" w:hAnsi="仿宋" w:eastAsia="仿宋" w:cs="仿宋"/>
                <w:spacing w:val="-48"/>
              </w:rPr>
              <w:t xml:space="preserve"> </w:t>
            </w:r>
            <w:r>
              <w:rPr>
                <w:spacing w:val="-3"/>
              </w:rPr>
              <w:t>2110.0m</w:t>
            </w:r>
            <w:r>
              <w:rPr>
                <w:rFonts w:ascii="仿宋" w:hAnsi="仿宋" w:eastAsia="仿宋" w:cs="仿宋"/>
                <w:spacing w:val="-3"/>
              </w:rPr>
              <w:t>。</w:t>
            </w:r>
          </w:p>
        </w:tc>
        <w:tc>
          <w:tcPr>
            <w:tcW w:w="1805" w:type="dxa"/>
            <w:tcBorders>
              <w:right w:val="nil"/>
            </w:tcBorders>
            <w:vAlign w:val="top"/>
          </w:tcPr>
          <w:p>
            <w:pPr>
              <w:spacing w:before="45" w:line="216" w:lineRule="auto"/>
              <w:ind w:left="396" w:right="60" w:hanging="319"/>
              <w:rPr>
                <w:rFonts w:ascii="仿宋" w:hAnsi="仿宋" w:eastAsia="仿宋" w:cs="仿宋"/>
                <w:sz w:val="21"/>
                <w:szCs w:val="21"/>
              </w:rPr>
            </w:pPr>
            <w:r>
              <w:rPr>
                <w:rFonts w:ascii="仿宋" w:hAnsi="仿宋" w:eastAsia="仿宋" w:cs="仿宋"/>
                <w:spacing w:val="-2"/>
                <w:sz w:val="21"/>
                <w:szCs w:val="21"/>
              </w:rPr>
              <w:t>布置于桂花河支流</w:t>
            </w:r>
            <w:r>
              <w:rPr>
                <w:rFonts w:ascii="仿宋" w:hAnsi="仿宋" w:eastAsia="仿宋" w:cs="仿宋"/>
                <w:sz w:val="21"/>
                <w:szCs w:val="21"/>
              </w:rPr>
              <w:t xml:space="preserve"> </w:t>
            </w:r>
            <w:r>
              <w:rPr>
                <w:rFonts w:ascii="仿宋" w:hAnsi="仿宋" w:eastAsia="仿宋" w:cs="仿宋"/>
                <w:spacing w:val="-4"/>
                <w:sz w:val="21"/>
                <w:szCs w:val="21"/>
              </w:rPr>
              <w:t>罗子左河上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0" w:hRule="atLeast"/>
        </w:trPr>
        <w:tc>
          <w:tcPr>
            <w:tcW w:w="1419" w:type="dxa"/>
            <w:vMerge w:val="continue"/>
            <w:tcBorders>
              <w:top w:val="nil"/>
              <w:left w:val="nil"/>
              <w:bottom w:val="nil"/>
            </w:tcBorders>
            <w:vAlign w:val="top"/>
          </w:tcPr>
          <w:p>
            <w:pPr>
              <w:rPr>
                <w:rFonts w:ascii="Arial"/>
                <w:sz w:val="21"/>
              </w:rPr>
            </w:pPr>
          </w:p>
        </w:tc>
        <w:tc>
          <w:tcPr>
            <w:tcW w:w="1277" w:type="dxa"/>
            <w:vMerge w:val="continue"/>
            <w:tcBorders>
              <w:top w:val="nil"/>
            </w:tcBorders>
            <w:vAlign w:val="top"/>
          </w:tcPr>
          <w:p>
            <w:pPr>
              <w:rPr>
                <w:rFonts w:ascii="Arial"/>
                <w:sz w:val="21"/>
              </w:rPr>
            </w:pPr>
          </w:p>
        </w:tc>
        <w:tc>
          <w:tcPr>
            <w:tcW w:w="1988" w:type="dxa"/>
            <w:vAlign w:val="top"/>
          </w:tcPr>
          <w:p>
            <w:pPr>
              <w:spacing w:line="386" w:lineRule="auto"/>
              <w:rPr>
                <w:rFonts w:ascii="Arial"/>
                <w:sz w:val="21"/>
              </w:rPr>
            </w:pPr>
          </w:p>
          <w:p>
            <w:pPr>
              <w:spacing w:before="68" w:line="218" w:lineRule="auto"/>
              <w:ind w:left="696"/>
              <w:rPr>
                <w:rFonts w:ascii="仿宋" w:hAnsi="仿宋" w:eastAsia="仿宋" w:cs="仿宋"/>
                <w:sz w:val="21"/>
                <w:szCs w:val="21"/>
              </w:rPr>
            </w:pPr>
            <w:r>
              <w:rPr>
                <w:rFonts w:ascii="仿宋" w:hAnsi="仿宋" w:eastAsia="仿宋" w:cs="仿宋"/>
                <w:spacing w:val="-5"/>
                <w:sz w:val="21"/>
                <w:szCs w:val="21"/>
              </w:rPr>
              <w:t>引水渠</w:t>
            </w:r>
          </w:p>
        </w:tc>
        <w:tc>
          <w:tcPr>
            <w:tcW w:w="7513" w:type="dxa"/>
            <w:vAlign w:val="top"/>
          </w:tcPr>
          <w:p>
            <w:pPr>
              <w:pStyle w:val="6"/>
              <w:spacing w:before="47" w:line="227" w:lineRule="auto"/>
              <w:ind w:left="5" w:right="13" w:firstLine="17"/>
              <w:rPr>
                <w:rFonts w:ascii="仿宋" w:hAnsi="仿宋" w:eastAsia="仿宋" w:cs="仿宋"/>
              </w:rPr>
            </w:pPr>
            <w:r>
              <w:rPr>
                <w:rFonts w:ascii="仿宋" w:hAnsi="仿宋" w:eastAsia="仿宋" w:cs="仿宋"/>
                <w:spacing w:val="-2"/>
              </w:rPr>
              <w:t>引水渠总长</w:t>
            </w:r>
            <w:r>
              <w:rPr>
                <w:rFonts w:ascii="仿宋" w:hAnsi="仿宋" w:eastAsia="仿宋" w:cs="仿宋"/>
                <w:spacing w:val="-47"/>
              </w:rPr>
              <w:t xml:space="preserve"> </w:t>
            </w:r>
            <w:r>
              <w:rPr>
                <w:spacing w:val="-2"/>
              </w:rPr>
              <w:t>4.8km</w:t>
            </w:r>
            <w:r>
              <w:rPr>
                <w:rFonts w:ascii="仿宋" w:hAnsi="仿宋" w:eastAsia="仿宋" w:cs="仿宋"/>
                <w:spacing w:val="-2"/>
              </w:rPr>
              <w:t>（其中渠道长</w:t>
            </w:r>
            <w:r>
              <w:rPr>
                <w:rFonts w:ascii="仿宋" w:hAnsi="仿宋" w:eastAsia="仿宋" w:cs="仿宋"/>
                <w:spacing w:val="-48"/>
              </w:rPr>
              <w:t xml:space="preserve"> </w:t>
            </w:r>
            <w:r>
              <w:rPr>
                <w:spacing w:val="-2"/>
              </w:rPr>
              <w:t>4.6km</w:t>
            </w:r>
            <w:r>
              <w:rPr>
                <w:rFonts w:ascii="仿宋" w:hAnsi="仿宋" w:eastAsia="仿宋" w:cs="仿宋"/>
                <w:spacing w:val="-2"/>
              </w:rPr>
              <w:t>，引洪隧</w:t>
            </w:r>
            <w:r>
              <w:rPr>
                <w:rFonts w:ascii="仿宋" w:hAnsi="仿宋" w:eastAsia="仿宋" w:cs="仿宋"/>
                <w:spacing w:val="-3"/>
              </w:rPr>
              <w:t xml:space="preserve">洞 </w:t>
            </w:r>
            <w:r>
              <w:rPr>
                <w:spacing w:val="-3"/>
              </w:rPr>
              <w:t>1</w:t>
            </w:r>
            <w:r>
              <w:rPr>
                <w:spacing w:val="17"/>
                <w:w w:val="101"/>
              </w:rPr>
              <w:t xml:space="preserve"> </w:t>
            </w:r>
            <w:r>
              <w:rPr>
                <w:rFonts w:ascii="仿宋" w:hAnsi="仿宋" w:eastAsia="仿宋" w:cs="仿宋"/>
                <w:spacing w:val="-3"/>
              </w:rPr>
              <w:t>条长</w:t>
            </w:r>
            <w:r>
              <w:rPr>
                <w:rFonts w:ascii="仿宋" w:hAnsi="仿宋" w:eastAsia="仿宋" w:cs="仿宋"/>
                <w:spacing w:val="-46"/>
              </w:rPr>
              <w:t xml:space="preserve"> </w:t>
            </w:r>
            <w:r>
              <w:rPr>
                <w:spacing w:val="-3"/>
              </w:rPr>
              <w:t>0.2km</w:t>
            </w:r>
            <w:r>
              <w:rPr>
                <w:rFonts w:ascii="仿宋" w:hAnsi="仿宋" w:eastAsia="仿宋" w:cs="仿宋"/>
                <w:spacing w:val="-59"/>
                <w:w w:val="99"/>
              </w:rPr>
              <w:t>），</w:t>
            </w:r>
            <w:r>
              <w:rPr>
                <w:rFonts w:ascii="仿宋" w:hAnsi="仿宋" w:eastAsia="仿宋" w:cs="仿宋"/>
                <w:spacing w:val="-3"/>
              </w:rPr>
              <w:t xml:space="preserve">引水设计流量  </w:t>
            </w:r>
            <w:r>
              <w:rPr>
                <w:spacing w:val="-2"/>
              </w:rPr>
              <w:t>2.0m</w:t>
            </w:r>
            <w:r>
              <w:rPr>
                <w:rFonts w:ascii="Calibri" w:hAnsi="Calibri" w:eastAsia="Calibri" w:cs="Calibri"/>
                <w:spacing w:val="-2"/>
              </w:rPr>
              <w:t>³</w:t>
            </w:r>
            <w:r>
              <w:rPr>
                <w:spacing w:val="-2"/>
              </w:rPr>
              <w:t>/s</w:t>
            </w:r>
            <w:r>
              <w:rPr>
                <w:rFonts w:ascii="仿宋" w:hAnsi="仿宋" w:eastAsia="仿宋" w:cs="仿宋"/>
                <w:spacing w:val="-2"/>
              </w:rPr>
              <w:t>。明渠道断面型式为</w:t>
            </w:r>
            <w:r>
              <w:rPr>
                <w:rFonts w:ascii="仿宋" w:hAnsi="仿宋" w:eastAsia="仿宋" w:cs="仿宋"/>
                <w:spacing w:val="-49"/>
              </w:rPr>
              <w:t xml:space="preserve"> </w:t>
            </w:r>
            <w:r>
              <w:rPr>
                <w:spacing w:val="-2"/>
              </w:rPr>
              <w:t>B</w:t>
            </w:r>
            <w:r>
              <w:rPr>
                <w:rFonts w:ascii="仿宋" w:hAnsi="仿宋" w:eastAsia="仿宋" w:cs="仿宋"/>
                <w:spacing w:val="-2"/>
              </w:rPr>
              <w:t>×</w:t>
            </w:r>
            <w:r>
              <w:rPr>
                <w:spacing w:val="-2"/>
              </w:rPr>
              <w:t>H=1.5m</w:t>
            </w:r>
            <w:r>
              <w:rPr>
                <w:rFonts w:ascii="仿宋" w:hAnsi="仿宋" w:eastAsia="仿宋" w:cs="仿宋"/>
                <w:spacing w:val="-2"/>
              </w:rPr>
              <w:t>×</w:t>
            </w:r>
            <w:r>
              <w:rPr>
                <w:spacing w:val="-2"/>
              </w:rPr>
              <w:t>1.25m</w:t>
            </w:r>
            <w:r>
              <w:rPr>
                <w:rFonts w:ascii="仿宋" w:hAnsi="仿宋" w:eastAsia="仿宋" w:cs="仿宋"/>
                <w:spacing w:val="-2"/>
              </w:rPr>
              <w:t xml:space="preserve">，边墙、底板为 </w:t>
            </w:r>
            <w:r>
              <w:rPr>
                <w:spacing w:val="-2"/>
              </w:rPr>
              <w:t>25cm</w:t>
            </w:r>
            <w:r>
              <w:rPr>
                <w:spacing w:val="17"/>
              </w:rPr>
              <w:t xml:space="preserve"> </w:t>
            </w:r>
            <w:r>
              <w:rPr>
                <w:rFonts w:ascii="仿宋" w:hAnsi="仿宋" w:eastAsia="仿宋" w:cs="仿宋"/>
                <w:spacing w:val="-2"/>
              </w:rPr>
              <w:t>厚</w:t>
            </w:r>
            <w:r>
              <w:rPr>
                <w:rFonts w:ascii="仿宋" w:hAnsi="仿宋" w:eastAsia="仿宋" w:cs="仿宋"/>
                <w:spacing w:val="-45"/>
              </w:rPr>
              <w:t xml:space="preserve"> </w:t>
            </w:r>
            <w:r>
              <w:rPr>
                <w:spacing w:val="-2"/>
              </w:rPr>
              <w:t>C</w:t>
            </w:r>
            <w:r>
              <w:rPr>
                <w:spacing w:val="-3"/>
              </w:rPr>
              <w:t>20</w:t>
            </w:r>
            <w:r>
              <w:rPr>
                <w:spacing w:val="15"/>
              </w:rPr>
              <w:t xml:space="preserve"> </w:t>
            </w:r>
            <w:r>
              <w:rPr>
                <w:rFonts w:ascii="仿宋" w:hAnsi="仿宋" w:eastAsia="仿宋" w:cs="仿宋"/>
                <w:spacing w:val="-3"/>
              </w:rPr>
              <w:t>砼衬</w:t>
            </w:r>
            <w:r>
              <w:rPr>
                <w:rFonts w:ascii="仿宋" w:hAnsi="仿宋" w:eastAsia="仿宋" w:cs="仿宋"/>
              </w:rPr>
              <w:t xml:space="preserve"> </w:t>
            </w:r>
            <w:r>
              <w:rPr>
                <w:rFonts w:ascii="仿宋" w:hAnsi="仿宋" w:eastAsia="仿宋" w:cs="仿宋"/>
                <w:spacing w:val="-3"/>
              </w:rPr>
              <w:t>砌，顶部为</w:t>
            </w:r>
            <w:r>
              <w:rPr>
                <w:rFonts w:ascii="仿宋" w:hAnsi="仿宋" w:eastAsia="仿宋" w:cs="仿宋"/>
                <w:spacing w:val="-28"/>
              </w:rPr>
              <w:t xml:space="preserve"> </w:t>
            </w:r>
            <w:r>
              <w:rPr>
                <w:spacing w:val="-3"/>
              </w:rPr>
              <w:t>15cm</w:t>
            </w:r>
            <w:r>
              <w:rPr>
                <w:spacing w:val="18"/>
              </w:rPr>
              <w:t xml:space="preserve"> </w:t>
            </w:r>
            <w:r>
              <w:rPr>
                <w:rFonts w:ascii="仿宋" w:hAnsi="仿宋" w:eastAsia="仿宋" w:cs="仿宋"/>
                <w:spacing w:val="-3"/>
              </w:rPr>
              <w:t>厚</w:t>
            </w:r>
            <w:r>
              <w:rPr>
                <w:rFonts w:ascii="仿宋" w:hAnsi="仿宋" w:eastAsia="仿宋" w:cs="仿宋"/>
                <w:spacing w:val="-46"/>
              </w:rPr>
              <w:t xml:space="preserve"> </w:t>
            </w:r>
            <w:r>
              <w:rPr>
                <w:spacing w:val="-3"/>
              </w:rPr>
              <w:t>C25</w:t>
            </w:r>
            <w:r>
              <w:rPr>
                <w:spacing w:val="12"/>
              </w:rPr>
              <w:t xml:space="preserve"> </w:t>
            </w:r>
            <w:r>
              <w:rPr>
                <w:rFonts w:ascii="仿宋" w:hAnsi="仿宋" w:eastAsia="仿宋" w:cs="仿宋"/>
                <w:spacing w:val="-3"/>
              </w:rPr>
              <w:t>钢筋砼预制盖板，隧洞</w:t>
            </w:r>
            <w:r>
              <w:rPr>
                <w:rFonts w:ascii="仿宋" w:hAnsi="仿宋" w:eastAsia="仿宋" w:cs="仿宋"/>
                <w:spacing w:val="-4"/>
              </w:rPr>
              <w:t xml:space="preserve">为城门洞型断面，采用 </w:t>
            </w:r>
            <w:r>
              <w:rPr>
                <w:spacing w:val="-4"/>
              </w:rPr>
              <w:t>C25</w:t>
            </w:r>
            <w:r>
              <w:rPr>
                <w:spacing w:val="14"/>
                <w:w w:val="101"/>
              </w:rPr>
              <w:t xml:space="preserve"> </w:t>
            </w:r>
            <w:r>
              <w:rPr>
                <w:rFonts w:ascii="仿宋" w:hAnsi="仿宋" w:eastAsia="仿宋" w:cs="仿宋"/>
                <w:spacing w:val="-4"/>
              </w:rPr>
              <w:t>钢筋</w:t>
            </w:r>
            <w:r>
              <w:rPr>
                <w:rFonts w:ascii="仿宋" w:hAnsi="仿宋" w:eastAsia="仿宋" w:cs="仿宋"/>
              </w:rPr>
              <w:t xml:space="preserve">  </w:t>
            </w:r>
            <w:r>
              <w:rPr>
                <w:rFonts w:ascii="仿宋" w:hAnsi="仿宋" w:eastAsia="仿宋" w:cs="仿宋"/>
                <w:spacing w:val="-2"/>
              </w:rPr>
              <w:t>砼衬砌。</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1" w:hRule="atLeast"/>
        </w:trPr>
        <w:tc>
          <w:tcPr>
            <w:tcW w:w="1419" w:type="dxa"/>
            <w:vMerge w:val="continue"/>
            <w:tcBorders>
              <w:top w:val="nil"/>
              <w:left w:val="nil"/>
              <w:bottom w:val="nil"/>
            </w:tcBorders>
            <w:vAlign w:val="top"/>
          </w:tcPr>
          <w:p>
            <w:pPr>
              <w:rPr>
                <w:rFonts w:ascii="Arial"/>
                <w:sz w:val="21"/>
              </w:rPr>
            </w:pPr>
          </w:p>
        </w:tc>
        <w:tc>
          <w:tcPr>
            <w:tcW w:w="1277" w:type="dxa"/>
            <w:vMerge w:val="restart"/>
            <w:tcBorders>
              <w:bottom w:val="nil"/>
            </w:tcBorders>
            <w:vAlign w:val="top"/>
          </w:tcPr>
          <w:p>
            <w:pPr>
              <w:spacing w:line="312" w:lineRule="auto"/>
              <w:rPr>
                <w:rFonts w:ascii="Arial"/>
                <w:sz w:val="21"/>
              </w:rPr>
            </w:pPr>
          </w:p>
          <w:p>
            <w:pPr>
              <w:spacing w:line="313" w:lineRule="auto"/>
              <w:rPr>
                <w:rFonts w:ascii="Arial"/>
                <w:sz w:val="21"/>
              </w:rPr>
            </w:pPr>
          </w:p>
          <w:p>
            <w:pPr>
              <w:spacing w:line="313" w:lineRule="auto"/>
              <w:rPr>
                <w:rFonts w:ascii="Arial"/>
                <w:sz w:val="21"/>
              </w:rPr>
            </w:pPr>
          </w:p>
          <w:p>
            <w:pPr>
              <w:spacing w:before="68" w:line="218" w:lineRule="auto"/>
              <w:ind w:left="235"/>
              <w:rPr>
                <w:rFonts w:ascii="仿宋" w:hAnsi="仿宋" w:eastAsia="仿宋" w:cs="仿宋"/>
                <w:sz w:val="21"/>
                <w:szCs w:val="21"/>
              </w:rPr>
            </w:pPr>
            <w:r>
              <w:rPr>
                <w:rFonts w:ascii="仿宋" w:hAnsi="仿宋" w:eastAsia="仿宋" w:cs="仿宋"/>
                <w:spacing w:val="-6"/>
                <w:sz w:val="21"/>
                <w:szCs w:val="21"/>
              </w:rPr>
              <w:t>引洪工程</w:t>
            </w:r>
          </w:p>
        </w:tc>
        <w:tc>
          <w:tcPr>
            <w:tcW w:w="1988" w:type="dxa"/>
            <w:vAlign w:val="top"/>
          </w:tcPr>
          <w:p>
            <w:pPr>
              <w:spacing w:line="391" w:lineRule="auto"/>
              <w:rPr>
                <w:rFonts w:ascii="Arial"/>
                <w:sz w:val="21"/>
              </w:rPr>
            </w:pPr>
          </w:p>
          <w:p>
            <w:pPr>
              <w:spacing w:before="69" w:line="218" w:lineRule="auto"/>
              <w:ind w:left="689"/>
              <w:rPr>
                <w:rFonts w:ascii="仿宋" w:hAnsi="仿宋" w:eastAsia="仿宋" w:cs="仿宋"/>
                <w:sz w:val="21"/>
                <w:szCs w:val="21"/>
              </w:rPr>
            </w:pPr>
            <w:r>
              <w:rPr>
                <w:rFonts w:ascii="仿宋" w:hAnsi="仿宋" w:eastAsia="仿宋" w:cs="仿宋"/>
                <w:spacing w:val="-4"/>
                <w:sz w:val="21"/>
                <w:szCs w:val="21"/>
              </w:rPr>
              <w:t>取水坝</w:t>
            </w:r>
          </w:p>
        </w:tc>
        <w:tc>
          <w:tcPr>
            <w:tcW w:w="7513" w:type="dxa"/>
            <w:vAlign w:val="top"/>
          </w:tcPr>
          <w:p>
            <w:pPr>
              <w:pStyle w:val="6"/>
              <w:spacing w:before="52" w:line="226" w:lineRule="auto"/>
              <w:ind w:left="9" w:right="135" w:hanging="5"/>
              <w:rPr>
                <w:rFonts w:ascii="仿宋" w:hAnsi="仿宋" w:eastAsia="仿宋" w:cs="仿宋"/>
              </w:rPr>
            </w:pPr>
            <w:r>
              <w:rPr>
                <w:spacing w:val="-1"/>
              </w:rPr>
              <w:t>4</w:t>
            </w:r>
            <w:r>
              <w:rPr>
                <w:spacing w:val="18"/>
              </w:rPr>
              <w:t xml:space="preserve"> </w:t>
            </w:r>
            <w:r>
              <w:rPr>
                <w:rFonts w:ascii="仿宋" w:hAnsi="仿宋" w:eastAsia="仿宋" w:cs="仿宋"/>
                <w:spacing w:val="-1"/>
              </w:rPr>
              <w:t>座取水坝坝型为</w:t>
            </w:r>
            <w:r>
              <w:rPr>
                <w:rFonts w:ascii="仿宋" w:hAnsi="仿宋" w:eastAsia="仿宋" w:cs="仿宋"/>
                <w:spacing w:val="-45"/>
              </w:rPr>
              <w:t xml:space="preserve"> </w:t>
            </w:r>
            <w:r>
              <w:rPr>
                <w:spacing w:val="-1"/>
              </w:rPr>
              <w:t>C20</w:t>
            </w:r>
            <w:r>
              <w:rPr>
                <w:spacing w:val="13"/>
              </w:rPr>
              <w:t xml:space="preserve"> </w:t>
            </w:r>
            <w:r>
              <w:rPr>
                <w:rFonts w:ascii="仿宋" w:hAnsi="仿宋" w:eastAsia="仿宋" w:cs="仿宋"/>
                <w:spacing w:val="-1"/>
              </w:rPr>
              <w:t>埋石混凝土重力坝，由溢流坝、冲砂闸</w:t>
            </w:r>
            <w:r>
              <w:rPr>
                <w:rFonts w:ascii="仿宋" w:hAnsi="仿宋" w:eastAsia="仿宋" w:cs="仿宋"/>
                <w:spacing w:val="-2"/>
              </w:rPr>
              <w:t>及取水闸组成，坝</w:t>
            </w:r>
            <w:r>
              <w:rPr>
                <w:rFonts w:ascii="仿宋" w:hAnsi="仿宋" w:eastAsia="仿宋" w:cs="仿宋"/>
              </w:rPr>
              <w:t xml:space="preserve"> </w:t>
            </w:r>
            <w:r>
              <w:rPr>
                <w:rFonts w:ascii="仿宋" w:hAnsi="仿宋" w:eastAsia="仿宋" w:cs="仿宋"/>
                <w:spacing w:val="-4"/>
              </w:rPr>
              <w:t>轴线长分别为</w:t>
            </w:r>
            <w:r>
              <w:rPr>
                <w:rFonts w:ascii="仿宋" w:hAnsi="仿宋" w:eastAsia="仿宋" w:cs="仿宋"/>
                <w:spacing w:val="-30"/>
              </w:rPr>
              <w:t xml:space="preserve"> </w:t>
            </w:r>
            <w:r>
              <w:rPr>
                <w:spacing w:val="-4"/>
              </w:rPr>
              <w:t>22.7m</w:t>
            </w:r>
            <w:r>
              <w:rPr>
                <w:spacing w:val="-24"/>
              </w:rPr>
              <w:t xml:space="preserve"> </w:t>
            </w:r>
            <w:r>
              <w:rPr>
                <w:rFonts w:ascii="仿宋" w:hAnsi="仿宋" w:eastAsia="仿宋" w:cs="仿宋"/>
                <w:spacing w:val="-4"/>
              </w:rPr>
              <w:t>、</w:t>
            </w:r>
            <w:r>
              <w:rPr>
                <w:spacing w:val="-4"/>
              </w:rPr>
              <w:t>16.2m</w:t>
            </w:r>
            <w:r>
              <w:rPr>
                <w:spacing w:val="-22"/>
              </w:rPr>
              <w:t xml:space="preserve"> </w:t>
            </w:r>
            <w:r>
              <w:rPr>
                <w:rFonts w:ascii="仿宋" w:hAnsi="仿宋" w:eastAsia="仿宋" w:cs="仿宋"/>
                <w:spacing w:val="-4"/>
              </w:rPr>
              <w:t>、</w:t>
            </w:r>
            <w:r>
              <w:rPr>
                <w:spacing w:val="-4"/>
              </w:rPr>
              <w:t>11.7m</w:t>
            </w:r>
            <w:r>
              <w:rPr>
                <w:spacing w:val="-24"/>
              </w:rPr>
              <w:t xml:space="preserve"> </w:t>
            </w:r>
            <w:r>
              <w:rPr>
                <w:rFonts w:ascii="仿宋" w:hAnsi="仿宋" w:eastAsia="仿宋" w:cs="仿宋"/>
                <w:spacing w:val="-4"/>
              </w:rPr>
              <w:t>、</w:t>
            </w:r>
            <w:r>
              <w:rPr>
                <w:spacing w:val="-4"/>
              </w:rPr>
              <w:t>21.7m</w:t>
            </w:r>
            <w:r>
              <w:rPr>
                <w:rFonts w:ascii="仿宋" w:hAnsi="仿宋" w:eastAsia="仿宋" w:cs="仿宋"/>
                <w:spacing w:val="-4"/>
              </w:rPr>
              <w:t>，其中溢流段长分别为</w:t>
            </w:r>
            <w:r>
              <w:rPr>
                <w:rFonts w:ascii="仿宋" w:hAnsi="仿宋" w:eastAsia="仿宋" w:cs="仿宋"/>
                <w:spacing w:val="-27"/>
              </w:rPr>
              <w:t xml:space="preserve"> </w:t>
            </w:r>
            <w:r>
              <w:rPr>
                <w:spacing w:val="-4"/>
              </w:rPr>
              <w:t>16m</w:t>
            </w:r>
            <w:r>
              <w:rPr>
                <w:spacing w:val="-25"/>
              </w:rPr>
              <w:t xml:space="preserve"> </w:t>
            </w:r>
            <w:r>
              <w:rPr>
                <w:rFonts w:ascii="仿宋" w:hAnsi="仿宋" w:eastAsia="仿宋" w:cs="仿宋"/>
                <w:spacing w:val="-4"/>
              </w:rPr>
              <w:t>、</w:t>
            </w:r>
            <w:r>
              <w:rPr>
                <w:spacing w:val="-4"/>
              </w:rPr>
              <w:t>10m</w:t>
            </w:r>
            <w:r>
              <w:rPr>
                <w:rFonts w:ascii="仿宋" w:hAnsi="仿宋" w:eastAsia="仿宋" w:cs="仿宋"/>
                <w:spacing w:val="-4"/>
              </w:rPr>
              <w:t>、</w:t>
            </w:r>
            <w:r>
              <w:rPr>
                <w:rFonts w:ascii="仿宋" w:hAnsi="仿宋" w:eastAsia="仿宋" w:cs="仿宋"/>
              </w:rPr>
              <w:t xml:space="preserve"> </w:t>
            </w:r>
            <w:r>
              <w:rPr>
                <w:spacing w:val="-3"/>
              </w:rPr>
              <w:t>6.0m</w:t>
            </w:r>
            <w:r>
              <w:rPr>
                <w:spacing w:val="-23"/>
              </w:rPr>
              <w:t xml:space="preserve"> </w:t>
            </w:r>
            <w:r>
              <w:rPr>
                <w:rFonts w:ascii="仿宋" w:hAnsi="仿宋" w:eastAsia="仿宋" w:cs="仿宋"/>
                <w:spacing w:val="-3"/>
              </w:rPr>
              <w:t>、</w:t>
            </w:r>
            <w:r>
              <w:rPr>
                <w:spacing w:val="-3"/>
              </w:rPr>
              <w:t>15m</w:t>
            </w:r>
            <w:r>
              <w:rPr>
                <w:spacing w:val="-24"/>
              </w:rPr>
              <w:t xml:space="preserve"> </w:t>
            </w:r>
            <w:r>
              <w:rPr>
                <w:rFonts w:ascii="仿宋" w:hAnsi="仿宋" w:eastAsia="仿宋" w:cs="仿宋"/>
                <w:spacing w:val="-3"/>
              </w:rPr>
              <w:t>，堰顶高程分别为</w:t>
            </w:r>
            <w:r>
              <w:rPr>
                <w:rFonts w:ascii="仿宋" w:hAnsi="仿宋" w:eastAsia="仿宋" w:cs="仿宋"/>
                <w:spacing w:val="-47"/>
              </w:rPr>
              <w:t xml:space="preserve"> </w:t>
            </w:r>
            <w:r>
              <w:rPr>
                <w:spacing w:val="-3"/>
              </w:rPr>
              <w:t>2056.0m</w:t>
            </w:r>
            <w:r>
              <w:rPr>
                <w:spacing w:val="-24"/>
              </w:rPr>
              <w:t xml:space="preserve"> </w:t>
            </w:r>
            <w:r>
              <w:rPr>
                <w:rFonts w:ascii="仿宋" w:hAnsi="仿宋" w:eastAsia="仿宋" w:cs="仿宋"/>
                <w:spacing w:val="-3"/>
              </w:rPr>
              <w:t>、</w:t>
            </w:r>
            <w:r>
              <w:rPr>
                <w:spacing w:val="-3"/>
              </w:rPr>
              <w:t>2053.5m</w:t>
            </w:r>
            <w:r>
              <w:rPr>
                <w:spacing w:val="-22"/>
              </w:rPr>
              <w:t xml:space="preserve"> </w:t>
            </w:r>
            <w:r>
              <w:rPr>
                <w:rFonts w:ascii="仿宋" w:hAnsi="仿宋" w:eastAsia="仿宋" w:cs="仿宋"/>
                <w:spacing w:val="-4"/>
              </w:rPr>
              <w:t>、</w:t>
            </w:r>
            <w:r>
              <w:rPr>
                <w:spacing w:val="-4"/>
              </w:rPr>
              <w:t>2053.0m</w:t>
            </w:r>
            <w:r>
              <w:rPr>
                <w:spacing w:val="-23"/>
              </w:rPr>
              <w:t xml:space="preserve"> </w:t>
            </w:r>
            <w:r>
              <w:rPr>
                <w:rFonts w:ascii="仿宋" w:hAnsi="仿宋" w:eastAsia="仿宋" w:cs="仿宋"/>
                <w:spacing w:val="-4"/>
              </w:rPr>
              <w:t>、</w:t>
            </w:r>
            <w:r>
              <w:rPr>
                <w:spacing w:val="-4"/>
              </w:rPr>
              <w:t>2041.5m</w:t>
            </w:r>
            <w:r>
              <w:rPr>
                <w:rFonts w:ascii="仿宋" w:hAnsi="仿宋" w:eastAsia="仿宋" w:cs="仿宋"/>
                <w:spacing w:val="-4"/>
              </w:rPr>
              <w:t>，均采用折</w:t>
            </w:r>
            <w:r>
              <w:rPr>
                <w:rFonts w:ascii="仿宋" w:hAnsi="仿宋" w:eastAsia="仿宋" w:cs="仿宋"/>
              </w:rPr>
              <w:t xml:space="preserve"> </w:t>
            </w:r>
            <w:r>
              <w:rPr>
                <w:rFonts w:ascii="仿宋" w:hAnsi="仿宋" w:eastAsia="仿宋" w:cs="仿宋"/>
                <w:spacing w:val="-3"/>
              </w:rPr>
              <w:t>线实用堰，最大坝高分别为</w:t>
            </w:r>
            <w:r>
              <w:rPr>
                <w:rFonts w:ascii="仿宋" w:hAnsi="仿宋" w:eastAsia="仿宋" w:cs="仿宋"/>
                <w:spacing w:val="-43"/>
              </w:rPr>
              <w:t xml:space="preserve"> </w:t>
            </w:r>
            <w:r>
              <w:rPr>
                <w:spacing w:val="-3"/>
              </w:rPr>
              <w:t>6.1m</w:t>
            </w:r>
            <w:r>
              <w:rPr>
                <w:spacing w:val="-22"/>
              </w:rPr>
              <w:t xml:space="preserve"> </w:t>
            </w:r>
            <w:r>
              <w:rPr>
                <w:rFonts w:ascii="仿宋" w:hAnsi="仿宋" w:eastAsia="仿宋" w:cs="仿宋"/>
                <w:spacing w:val="-3"/>
              </w:rPr>
              <w:t>、</w:t>
            </w:r>
            <w:r>
              <w:rPr>
                <w:spacing w:val="-3"/>
              </w:rPr>
              <w:t>5.</w:t>
            </w:r>
            <w:r>
              <w:rPr>
                <w:spacing w:val="-4"/>
              </w:rPr>
              <w:t>5m</w:t>
            </w:r>
            <w:r>
              <w:rPr>
                <w:spacing w:val="-23"/>
              </w:rPr>
              <w:t xml:space="preserve"> </w:t>
            </w:r>
            <w:r>
              <w:rPr>
                <w:rFonts w:ascii="仿宋" w:hAnsi="仿宋" w:eastAsia="仿宋" w:cs="仿宋"/>
                <w:spacing w:val="-4"/>
              </w:rPr>
              <w:t>、</w:t>
            </w:r>
            <w:r>
              <w:rPr>
                <w:spacing w:val="-4"/>
              </w:rPr>
              <w:t>5.7m</w:t>
            </w:r>
            <w:r>
              <w:rPr>
                <w:spacing w:val="-23"/>
              </w:rPr>
              <w:t xml:space="preserve"> </w:t>
            </w:r>
            <w:r>
              <w:rPr>
                <w:rFonts w:ascii="仿宋" w:hAnsi="仿宋" w:eastAsia="仿宋" w:cs="仿宋"/>
                <w:spacing w:val="-4"/>
              </w:rPr>
              <w:t>、</w:t>
            </w:r>
            <w:r>
              <w:rPr>
                <w:spacing w:val="-4"/>
              </w:rPr>
              <w:t>7.0m</w:t>
            </w:r>
            <w:r>
              <w:rPr>
                <w:rFonts w:ascii="仿宋" w:hAnsi="仿宋" w:eastAsia="仿宋" w:cs="仿宋"/>
                <w:spacing w:val="-4"/>
              </w:rPr>
              <w:t>。</w:t>
            </w:r>
          </w:p>
        </w:tc>
        <w:tc>
          <w:tcPr>
            <w:tcW w:w="1805" w:type="dxa"/>
            <w:vMerge w:val="restart"/>
            <w:tcBorders>
              <w:bottom w:val="nil"/>
              <w:right w:val="nil"/>
            </w:tcBorders>
            <w:vAlign w:val="top"/>
          </w:tcPr>
          <w:p>
            <w:pPr>
              <w:spacing w:line="333" w:lineRule="auto"/>
              <w:rPr>
                <w:rFonts w:ascii="Arial"/>
                <w:sz w:val="21"/>
              </w:rPr>
            </w:pPr>
          </w:p>
          <w:p>
            <w:pPr>
              <w:spacing w:line="333" w:lineRule="auto"/>
              <w:rPr>
                <w:rFonts w:ascii="Arial"/>
                <w:sz w:val="21"/>
              </w:rPr>
            </w:pPr>
          </w:p>
          <w:p>
            <w:pPr>
              <w:spacing w:before="69" w:line="232" w:lineRule="auto"/>
              <w:ind w:left="81" w:right="60" w:hanging="5"/>
              <w:jc w:val="both"/>
              <w:rPr>
                <w:rFonts w:ascii="仿宋" w:hAnsi="仿宋" w:eastAsia="仿宋" w:cs="仿宋"/>
                <w:sz w:val="21"/>
                <w:szCs w:val="21"/>
              </w:rPr>
            </w:pPr>
            <w:r>
              <w:rPr>
                <w:rFonts w:ascii="仿宋" w:hAnsi="仿宋" w:eastAsia="仿宋" w:cs="仿宋"/>
                <w:spacing w:val="-2"/>
                <w:sz w:val="21"/>
                <w:szCs w:val="21"/>
              </w:rPr>
              <w:t>取水坝布置在马茨</w:t>
            </w:r>
            <w:r>
              <w:rPr>
                <w:rFonts w:ascii="仿宋" w:hAnsi="仿宋" w:eastAsia="仿宋" w:cs="仿宋"/>
                <w:sz w:val="21"/>
                <w:szCs w:val="21"/>
              </w:rPr>
              <w:t xml:space="preserve"> </w:t>
            </w:r>
            <w:r>
              <w:rPr>
                <w:rFonts w:ascii="仿宋" w:hAnsi="仿宋" w:eastAsia="仿宋" w:cs="仿宋"/>
                <w:spacing w:val="-3"/>
                <w:sz w:val="21"/>
                <w:szCs w:val="21"/>
              </w:rPr>
              <w:t>河、六姑乍箐、昔</w:t>
            </w:r>
            <w:r>
              <w:rPr>
                <w:rFonts w:ascii="仿宋" w:hAnsi="仿宋" w:eastAsia="仿宋" w:cs="仿宋"/>
                <w:spacing w:val="3"/>
                <w:sz w:val="21"/>
                <w:szCs w:val="21"/>
              </w:rPr>
              <w:t xml:space="preserve"> </w:t>
            </w:r>
            <w:r>
              <w:rPr>
                <w:rFonts w:ascii="仿宋" w:hAnsi="仿宋" w:eastAsia="仿宋" w:cs="仿宋"/>
                <w:spacing w:val="12"/>
                <w:sz w:val="21"/>
                <w:szCs w:val="21"/>
              </w:rPr>
              <w:t>木乍箐、见簸箐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15" w:hRule="atLeast"/>
        </w:trPr>
        <w:tc>
          <w:tcPr>
            <w:tcW w:w="1419" w:type="dxa"/>
            <w:vMerge w:val="continue"/>
            <w:tcBorders>
              <w:top w:val="nil"/>
              <w:left w:val="nil"/>
              <w:bottom w:val="single" w:color="000000" w:sz="12" w:space="0"/>
            </w:tcBorders>
            <w:vAlign w:val="top"/>
          </w:tcPr>
          <w:p>
            <w:pPr>
              <w:rPr>
                <w:rFonts w:ascii="Arial"/>
                <w:sz w:val="21"/>
              </w:rPr>
            </w:pPr>
          </w:p>
        </w:tc>
        <w:tc>
          <w:tcPr>
            <w:tcW w:w="1277" w:type="dxa"/>
            <w:vMerge w:val="continue"/>
            <w:tcBorders>
              <w:top w:val="nil"/>
              <w:bottom w:val="single" w:color="000000" w:sz="12" w:space="0"/>
            </w:tcBorders>
            <w:vAlign w:val="top"/>
          </w:tcPr>
          <w:p>
            <w:pPr>
              <w:rPr>
                <w:rFonts w:ascii="Arial"/>
                <w:sz w:val="21"/>
              </w:rPr>
            </w:pPr>
          </w:p>
        </w:tc>
        <w:tc>
          <w:tcPr>
            <w:tcW w:w="1988" w:type="dxa"/>
            <w:tcBorders>
              <w:bottom w:val="single" w:color="000000" w:sz="12" w:space="0"/>
            </w:tcBorders>
            <w:vAlign w:val="top"/>
          </w:tcPr>
          <w:p>
            <w:pPr>
              <w:spacing w:line="395" w:lineRule="auto"/>
              <w:rPr>
                <w:rFonts w:ascii="Arial"/>
                <w:sz w:val="21"/>
              </w:rPr>
            </w:pPr>
          </w:p>
          <w:p>
            <w:pPr>
              <w:spacing w:before="68" w:line="218" w:lineRule="auto"/>
              <w:ind w:left="696"/>
              <w:rPr>
                <w:rFonts w:ascii="仿宋" w:hAnsi="仿宋" w:eastAsia="仿宋" w:cs="仿宋"/>
                <w:sz w:val="21"/>
                <w:szCs w:val="21"/>
              </w:rPr>
            </w:pPr>
            <w:r>
              <w:rPr>
                <w:rFonts w:ascii="仿宋" w:hAnsi="仿宋" w:eastAsia="仿宋" w:cs="仿宋"/>
                <w:spacing w:val="-8"/>
                <w:sz w:val="21"/>
                <w:szCs w:val="21"/>
              </w:rPr>
              <w:t>引洪沟</w:t>
            </w:r>
          </w:p>
        </w:tc>
        <w:tc>
          <w:tcPr>
            <w:tcW w:w="7513" w:type="dxa"/>
            <w:tcBorders>
              <w:bottom w:val="single" w:color="000000" w:sz="12" w:space="0"/>
            </w:tcBorders>
            <w:vAlign w:val="top"/>
          </w:tcPr>
          <w:p>
            <w:pPr>
              <w:pStyle w:val="6"/>
              <w:spacing w:before="58" w:line="230" w:lineRule="auto"/>
              <w:ind w:left="26" w:right="36" w:firstLine="12"/>
              <w:rPr>
                <w:rFonts w:ascii="仿宋" w:hAnsi="仿宋" w:eastAsia="仿宋" w:cs="仿宋"/>
              </w:rPr>
            </w:pPr>
            <w:r>
              <w:rPr>
                <w:rFonts w:ascii="仿宋" w:hAnsi="仿宋" w:eastAsia="仿宋" w:cs="仿宋"/>
                <w:spacing w:val="-2"/>
              </w:rPr>
              <w:t>马茨河、六姑乍箐、昔木乍箐、见簸箐</w:t>
            </w:r>
            <w:r>
              <w:rPr>
                <w:rFonts w:ascii="仿宋" w:hAnsi="仿宋" w:eastAsia="仿宋" w:cs="仿宋"/>
                <w:spacing w:val="-36"/>
              </w:rPr>
              <w:t xml:space="preserve"> </w:t>
            </w:r>
            <w:r>
              <w:rPr>
                <w:spacing w:val="-2"/>
              </w:rPr>
              <w:t>4</w:t>
            </w:r>
            <w:r>
              <w:rPr>
                <w:spacing w:val="18"/>
              </w:rPr>
              <w:t xml:space="preserve"> </w:t>
            </w:r>
            <w:r>
              <w:rPr>
                <w:rFonts w:ascii="仿宋" w:hAnsi="仿宋" w:eastAsia="仿宋" w:cs="仿宋"/>
                <w:spacing w:val="-2"/>
              </w:rPr>
              <w:t>条引洪沟均为暗渠，长度分别为</w:t>
            </w:r>
            <w:r>
              <w:rPr>
                <w:rFonts w:ascii="仿宋" w:hAnsi="仿宋" w:eastAsia="仿宋" w:cs="仿宋"/>
                <w:spacing w:val="-44"/>
              </w:rPr>
              <w:t xml:space="preserve"> </w:t>
            </w:r>
            <w:r>
              <w:rPr>
                <w:spacing w:val="-2"/>
              </w:rPr>
              <w:t>310m</w:t>
            </w:r>
            <w:r>
              <w:rPr>
                <w:rFonts w:ascii="仿宋" w:hAnsi="仿宋" w:eastAsia="仿宋" w:cs="仿宋"/>
                <w:spacing w:val="-2"/>
              </w:rPr>
              <w:t>、</w:t>
            </w:r>
            <w:r>
              <w:rPr>
                <w:rFonts w:ascii="仿宋" w:hAnsi="仿宋" w:eastAsia="仿宋" w:cs="仿宋"/>
              </w:rPr>
              <w:t xml:space="preserve"> </w:t>
            </w:r>
            <w:r>
              <w:rPr>
                <w:spacing w:val="-2"/>
              </w:rPr>
              <w:t>180m</w:t>
            </w:r>
            <w:r>
              <w:rPr>
                <w:spacing w:val="-12"/>
              </w:rPr>
              <w:t xml:space="preserve"> </w:t>
            </w:r>
            <w:r>
              <w:rPr>
                <w:rFonts w:ascii="仿宋" w:hAnsi="仿宋" w:eastAsia="仿宋" w:cs="仿宋"/>
                <w:spacing w:val="-2"/>
              </w:rPr>
              <w:t>、</w:t>
            </w:r>
            <w:r>
              <w:rPr>
                <w:spacing w:val="-2"/>
              </w:rPr>
              <w:t>210m</w:t>
            </w:r>
            <w:r>
              <w:rPr>
                <w:spacing w:val="-23"/>
              </w:rPr>
              <w:t xml:space="preserve"> </w:t>
            </w:r>
            <w:r>
              <w:rPr>
                <w:rFonts w:ascii="仿宋" w:hAnsi="仿宋" w:eastAsia="仿宋" w:cs="仿宋"/>
                <w:spacing w:val="-2"/>
              </w:rPr>
              <w:t>、</w:t>
            </w:r>
            <w:r>
              <w:rPr>
                <w:spacing w:val="-2"/>
              </w:rPr>
              <w:t>515m</w:t>
            </w:r>
            <w:r>
              <w:rPr>
                <w:spacing w:val="-23"/>
              </w:rPr>
              <w:t xml:space="preserve"> </w:t>
            </w:r>
            <w:r>
              <w:rPr>
                <w:rFonts w:ascii="仿宋" w:hAnsi="仿宋" w:eastAsia="仿宋" w:cs="仿宋"/>
                <w:spacing w:val="-2"/>
              </w:rPr>
              <w:t>。马茨河引洪区引洪设计流量</w:t>
            </w:r>
            <w:r>
              <w:rPr>
                <w:rFonts w:ascii="仿宋" w:hAnsi="仿宋" w:eastAsia="仿宋" w:cs="仿宋"/>
                <w:spacing w:val="-27"/>
              </w:rPr>
              <w:t xml:space="preserve"> </w:t>
            </w:r>
            <w:r>
              <w:rPr>
                <w:spacing w:val="-2"/>
              </w:rPr>
              <w:t>1.6m</w:t>
            </w:r>
            <w:r>
              <w:rPr>
                <w:rFonts w:ascii="Calibri" w:hAnsi="Calibri" w:eastAsia="Calibri" w:cs="Calibri"/>
                <w:spacing w:val="-2"/>
              </w:rPr>
              <w:t>³</w:t>
            </w:r>
            <w:r>
              <w:rPr>
                <w:spacing w:val="-2"/>
              </w:rPr>
              <w:t>/s</w:t>
            </w:r>
            <w:r>
              <w:rPr>
                <w:rFonts w:ascii="仿宋" w:hAnsi="仿宋" w:eastAsia="仿宋" w:cs="仿宋"/>
                <w:spacing w:val="-2"/>
              </w:rPr>
              <w:t>，六姑乍箐引洪区引洪</w:t>
            </w:r>
            <w:r>
              <w:rPr>
                <w:rFonts w:ascii="仿宋" w:hAnsi="仿宋" w:eastAsia="仿宋" w:cs="仿宋"/>
              </w:rPr>
              <w:t xml:space="preserve"> </w:t>
            </w:r>
            <w:r>
              <w:rPr>
                <w:rFonts w:ascii="仿宋" w:hAnsi="仿宋" w:eastAsia="仿宋" w:cs="仿宋"/>
                <w:spacing w:val="-1"/>
              </w:rPr>
              <w:t>设计流量</w:t>
            </w:r>
            <w:r>
              <w:rPr>
                <w:rFonts w:ascii="仿宋" w:hAnsi="仿宋" w:eastAsia="仿宋" w:cs="仿宋"/>
                <w:spacing w:val="-28"/>
              </w:rPr>
              <w:t xml:space="preserve"> </w:t>
            </w:r>
            <w:r>
              <w:rPr>
                <w:spacing w:val="-1"/>
              </w:rPr>
              <w:t>1.1m</w:t>
            </w:r>
            <w:r>
              <w:rPr>
                <w:rFonts w:ascii="Calibri" w:hAnsi="Calibri" w:eastAsia="Calibri" w:cs="Calibri"/>
                <w:spacing w:val="-1"/>
              </w:rPr>
              <w:t>³</w:t>
            </w:r>
            <w:r>
              <w:rPr>
                <w:spacing w:val="-1"/>
              </w:rPr>
              <w:t>/s</w:t>
            </w:r>
            <w:r>
              <w:rPr>
                <w:rFonts w:ascii="仿宋" w:hAnsi="仿宋" w:eastAsia="仿宋" w:cs="仿宋"/>
                <w:spacing w:val="-1"/>
              </w:rPr>
              <w:t>，昔木乍箐引洪区引洪设计流量</w:t>
            </w:r>
            <w:r>
              <w:rPr>
                <w:rFonts w:ascii="仿宋" w:hAnsi="仿宋" w:eastAsia="仿宋" w:cs="仿宋"/>
                <w:spacing w:val="-45"/>
              </w:rPr>
              <w:t xml:space="preserve"> </w:t>
            </w:r>
            <w:r>
              <w:rPr>
                <w:spacing w:val="-1"/>
              </w:rPr>
              <w:t>0.8m</w:t>
            </w:r>
            <w:r>
              <w:rPr>
                <w:rFonts w:ascii="Calibri" w:hAnsi="Calibri" w:eastAsia="Calibri" w:cs="Calibri"/>
                <w:spacing w:val="-2"/>
              </w:rPr>
              <w:t>³</w:t>
            </w:r>
            <w:r>
              <w:rPr>
                <w:spacing w:val="-2"/>
              </w:rPr>
              <w:t>/s</w:t>
            </w:r>
            <w:r>
              <w:rPr>
                <w:rFonts w:ascii="仿宋" w:hAnsi="仿宋" w:eastAsia="仿宋" w:cs="仿宋"/>
                <w:spacing w:val="-2"/>
              </w:rPr>
              <w:t>，见簸箐引洪区引洪设计</w:t>
            </w:r>
            <w:r>
              <w:rPr>
                <w:rFonts w:ascii="仿宋" w:hAnsi="仿宋" w:eastAsia="仿宋" w:cs="仿宋"/>
              </w:rPr>
              <w:t xml:space="preserve"> </w:t>
            </w:r>
            <w:r>
              <w:rPr>
                <w:rFonts w:ascii="仿宋" w:hAnsi="仿宋" w:eastAsia="仿宋" w:cs="仿宋"/>
                <w:spacing w:val="-4"/>
              </w:rPr>
              <w:t>流量</w:t>
            </w:r>
            <w:r>
              <w:rPr>
                <w:rFonts w:ascii="仿宋" w:hAnsi="仿宋" w:eastAsia="仿宋" w:cs="仿宋"/>
                <w:spacing w:val="-27"/>
              </w:rPr>
              <w:t xml:space="preserve"> </w:t>
            </w:r>
            <w:r>
              <w:rPr>
                <w:spacing w:val="-4"/>
              </w:rPr>
              <w:t>1.7m</w:t>
            </w:r>
            <w:r>
              <w:rPr>
                <w:rFonts w:ascii="Calibri" w:hAnsi="Calibri" w:eastAsia="Calibri" w:cs="Calibri"/>
                <w:spacing w:val="-4"/>
              </w:rPr>
              <w:t>³</w:t>
            </w:r>
            <w:r>
              <w:rPr>
                <w:spacing w:val="-4"/>
              </w:rPr>
              <w:t>/s</w:t>
            </w:r>
            <w:r>
              <w:rPr>
                <w:spacing w:val="-25"/>
              </w:rPr>
              <w:t xml:space="preserve"> </w:t>
            </w:r>
            <w:r>
              <w:rPr>
                <w:rFonts w:ascii="仿宋" w:hAnsi="仿宋" w:eastAsia="仿宋" w:cs="仿宋"/>
                <w:spacing w:val="-4"/>
              </w:rPr>
              <w:t>。边墙、底板采用</w:t>
            </w:r>
            <w:r>
              <w:rPr>
                <w:rFonts w:ascii="仿宋" w:hAnsi="仿宋" w:eastAsia="仿宋" w:cs="仿宋"/>
                <w:spacing w:val="-44"/>
              </w:rPr>
              <w:t xml:space="preserve"> </w:t>
            </w:r>
            <w:r>
              <w:rPr>
                <w:spacing w:val="-4"/>
              </w:rPr>
              <w:t>C20</w:t>
            </w:r>
            <w:r>
              <w:rPr>
                <w:spacing w:val="17"/>
              </w:rPr>
              <w:t xml:space="preserve"> </w:t>
            </w:r>
            <w:r>
              <w:rPr>
                <w:rFonts w:ascii="仿宋" w:hAnsi="仿宋" w:eastAsia="仿宋" w:cs="仿宋"/>
                <w:spacing w:val="-4"/>
              </w:rPr>
              <w:t>混凝</w:t>
            </w:r>
            <w:r>
              <w:rPr>
                <w:rFonts w:ascii="仿宋" w:hAnsi="仿宋" w:eastAsia="仿宋" w:cs="仿宋"/>
                <w:spacing w:val="-5"/>
              </w:rPr>
              <w:t xml:space="preserve">土衬砌，顶板采用 </w:t>
            </w:r>
            <w:r>
              <w:rPr>
                <w:spacing w:val="-5"/>
              </w:rPr>
              <w:t>C25</w:t>
            </w:r>
            <w:r>
              <w:rPr>
                <w:spacing w:val="14"/>
              </w:rPr>
              <w:t xml:space="preserve"> </w:t>
            </w:r>
            <w:r>
              <w:rPr>
                <w:rFonts w:ascii="仿宋" w:hAnsi="仿宋" w:eastAsia="仿宋" w:cs="仿宋"/>
                <w:spacing w:val="-5"/>
              </w:rPr>
              <w:t>钢筋混凝土盖板。</w:t>
            </w:r>
          </w:p>
        </w:tc>
        <w:tc>
          <w:tcPr>
            <w:tcW w:w="1805" w:type="dxa"/>
            <w:vMerge w:val="continue"/>
            <w:tcBorders>
              <w:top w:val="nil"/>
              <w:bottom w:val="single" w:color="000000" w:sz="12"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headerReference r:id="rId80" w:type="default"/>
          <w:footerReference r:id="rId81" w:type="default"/>
          <w:pgSz w:w="16839" w:h="11907"/>
          <w:pgMar w:top="1298" w:right="1387" w:bottom="1373" w:left="1388" w:header="1023" w:footer="1210" w:gutter="0"/>
        </w:sectPr>
      </w:pPr>
    </w:p>
    <w:p>
      <w:pPr>
        <w:spacing w:line="232" w:lineRule="exact"/>
      </w:pPr>
    </w:p>
    <w:tbl>
      <w:tblPr>
        <w:tblStyle w:val="5"/>
        <w:tblW w:w="14002"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9"/>
        <w:gridCol w:w="1277"/>
        <w:gridCol w:w="1988"/>
        <w:gridCol w:w="7513"/>
        <w:gridCol w:w="18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696" w:type="dxa"/>
            <w:gridSpan w:val="2"/>
            <w:tcBorders>
              <w:top w:val="single" w:color="000000" w:sz="12" w:space="0"/>
              <w:left w:val="nil"/>
            </w:tcBorders>
            <w:vAlign w:val="top"/>
          </w:tcPr>
          <w:p>
            <w:pPr>
              <w:spacing w:before="31" w:line="206" w:lineRule="auto"/>
              <w:ind w:left="1152"/>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工程</w:t>
            </w:r>
          </w:p>
        </w:tc>
        <w:tc>
          <w:tcPr>
            <w:tcW w:w="1988" w:type="dxa"/>
            <w:tcBorders>
              <w:top w:val="single" w:color="000000" w:sz="12" w:space="0"/>
            </w:tcBorders>
            <w:vAlign w:val="top"/>
          </w:tcPr>
          <w:p>
            <w:pPr>
              <w:spacing w:before="31" w:line="206" w:lineRule="auto"/>
              <w:ind w:left="79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名称</w:t>
            </w:r>
          </w:p>
        </w:tc>
        <w:tc>
          <w:tcPr>
            <w:tcW w:w="7513" w:type="dxa"/>
            <w:tcBorders>
              <w:top w:val="single" w:color="000000" w:sz="12" w:space="0"/>
            </w:tcBorders>
            <w:vAlign w:val="top"/>
          </w:tcPr>
          <w:p>
            <w:pPr>
              <w:spacing w:before="31" w:line="206" w:lineRule="auto"/>
              <w:ind w:left="3021"/>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建设内容及规模</w:t>
            </w:r>
          </w:p>
        </w:tc>
        <w:tc>
          <w:tcPr>
            <w:tcW w:w="1805" w:type="dxa"/>
            <w:tcBorders>
              <w:top w:val="single" w:color="000000" w:sz="12" w:space="0"/>
              <w:right w:val="nil"/>
            </w:tcBorders>
            <w:vAlign w:val="top"/>
          </w:tcPr>
          <w:p>
            <w:pPr>
              <w:spacing w:before="31" w:line="206" w:lineRule="auto"/>
              <w:ind w:left="492"/>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布置位置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6" w:hRule="atLeast"/>
        </w:trPr>
        <w:tc>
          <w:tcPr>
            <w:tcW w:w="1419" w:type="dxa"/>
            <w:vMerge w:val="restart"/>
            <w:tcBorders>
              <w:left w:val="nil"/>
              <w:bottom w:val="nil"/>
            </w:tcBorders>
            <w:vAlign w:val="top"/>
          </w:tcPr>
          <w:p>
            <w:pPr>
              <w:rPr>
                <w:rFonts w:ascii="Arial"/>
                <w:sz w:val="21"/>
              </w:rPr>
            </w:pPr>
          </w:p>
        </w:tc>
        <w:tc>
          <w:tcPr>
            <w:tcW w:w="1277" w:type="dxa"/>
            <w:vAlign w:val="top"/>
          </w:tcPr>
          <w:p>
            <w:pPr>
              <w:rPr>
                <w:rFonts w:ascii="Arial"/>
                <w:sz w:val="21"/>
              </w:rPr>
            </w:pPr>
          </w:p>
        </w:tc>
        <w:tc>
          <w:tcPr>
            <w:tcW w:w="1988" w:type="dxa"/>
            <w:vAlign w:val="top"/>
          </w:tcPr>
          <w:p>
            <w:pPr>
              <w:rPr>
                <w:rFonts w:ascii="Arial"/>
                <w:sz w:val="21"/>
              </w:rPr>
            </w:pPr>
          </w:p>
        </w:tc>
        <w:tc>
          <w:tcPr>
            <w:tcW w:w="7513" w:type="dxa"/>
            <w:vAlign w:val="top"/>
          </w:tcPr>
          <w:p>
            <w:pPr>
              <w:pStyle w:val="6"/>
              <w:spacing w:before="52" w:line="205" w:lineRule="auto"/>
              <w:ind w:left="55"/>
              <w:rPr>
                <w:rFonts w:ascii="仿宋" w:hAnsi="仿宋" w:eastAsia="仿宋" w:cs="仿宋"/>
              </w:rPr>
            </w:pPr>
            <w:r>
              <w:rPr>
                <w:rFonts w:ascii="仿宋" w:hAnsi="仿宋" w:eastAsia="仿宋" w:cs="仿宋"/>
                <w:spacing w:val="-3"/>
              </w:rPr>
              <w:t>分别在输水工程里程</w:t>
            </w:r>
            <w:r>
              <w:rPr>
                <w:rFonts w:ascii="仿宋" w:hAnsi="仿宋" w:eastAsia="仿宋" w:cs="仿宋"/>
                <w:spacing w:val="-49"/>
              </w:rPr>
              <w:t xml:space="preserve"> </w:t>
            </w:r>
            <w:r>
              <w:rPr>
                <w:spacing w:val="-3"/>
              </w:rPr>
              <w:t>4+754m</w:t>
            </w:r>
            <w:r>
              <w:rPr>
                <w:spacing w:val="-23"/>
              </w:rPr>
              <w:t xml:space="preserve"> </w:t>
            </w:r>
            <w:r>
              <w:rPr>
                <w:rFonts w:ascii="仿宋" w:hAnsi="仿宋" w:eastAsia="仿宋" w:cs="仿宋"/>
                <w:spacing w:val="-3"/>
              </w:rPr>
              <w:t>、</w:t>
            </w:r>
            <w:r>
              <w:rPr>
                <w:spacing w:val="-3"/>
              </w:rPr>
              <w:t>12+319m</w:t>
            </w:r>
            <w:r>
              <w:rPr>
                <w:spacing w:val="-23"/>
              </w:rPr>
              <w:t xml:space="preserve"> </w:t>
            </w:r>
            <w:r>
              <w:rPr>
                <w:rFonts w:ascii="仿宋" w:hAnsi="仿宋" w:eastAsia="仿宋" w:cs="仿宋"/>
                <w:spacing w:val="-3"/>
              </w:rPr>
              <w:t>、</w:t>
            </w:r>
            <w:r>
              <w:rPr>
                <w:spacing w:val="-3"/>
              </w:rPr>
              <w:t>13+624m</w:t>
            </w:r>
            <w:r>
              <w:rPr>
                <w:spacing w:val="-24"/>
              </w:rPr>
              <w:t xml:space="preserve"> </w:t>
            </w:r>
            <w:r>
              <w:rPr>
                <w:rFonts w:ascii="仿宋" w:hAnsi="仿宋" w:eastAsia="仿宋" w:cs="仿宋"/>
                <w:spacing w:val="-3"/>
              </w:rPr>
              <w:t>、</w:t>
            </w:r>
            <w:r>
              <w:rPr>
                <w:spacing w:val="-3"/>
              </w:rPr>
              <w:t>15+355m</w:t>
            </w:r>
            <w:r>
              <w:rPr>
                <w:spacing w:val="14"/>
                <w:w w:val="101"/>
              </w:rPr>
              <w:t xml:space="preserve"> </w:t>
            </w:r>
            <w:r>
              <w:rPr>
                <w:rFonts w:ascii="仿宋" w:hAnsi="仿宋" w:eastAsia="仿宋" w:cs="仿宋"/>
                <w:spacing w:val="-3"/>
              </w:rPr>
              <w:t>处汇</w:t>
            </w:r>
            <w:r>
              <w:rPr>
                <w:rFonts w:ascii="仿宋" w:hAnsi="仿宋" w:eastAsia="仿宋" w:cs="仿宋"/>
                <w:spacing w:val="-4"/>
              </w:rPr>
              <w:t>入输水工程。</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91" w:hRule="atLeast"/>
        </w:trPr>
        <w:tc>
          <w:tcPr>
            <w:tcW w:w="1419" w:type="dxa"/>
            <w:vMerge w:val="continue"/>
            <w:tcBorders>
              <w:top w:val="nil"/>
              <w:left w:val="nil"/>
              <w:bottom w:val="nil"/>
            </w:tcBorders>
            <w:vAlign w:val="top"/>
          </w:tcPr>
          <w:p>
            <w:pPr>
              <w:rPr>
                <w:rFonts w:ascii="Arial"/>
                <w:sz w:val="21"/>
              </w:rPr>
            </w:pPr>
          </w:p>
        </w:tc>
        <w:tc>
          <w:tcPr>
            <w:tcW w:w="3265" w:type="dxa"/>
            <w:gridSpan w:val="2"/>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8" w:line="219" w:lineRule="auto"/>
              <w:ind w:left="1223"/>
              <w:rPr>
                <w:rFonts w:ascii="仿宋" w:hAnsi="仿宋" w:eastAsia="仿宋" w:cs="仿宋"/>
                <w:sz w:val="21"/>
                <w:szCs w:val="21"/>
              </w:rPr>
            </w:pPr>
            <w:r>
              <w:rPr>
                <w:rFonts w:ascii="仿宋" w:hAnsi="仿宋" w:eastAsia="仿宋" w:cs="仿宋"/>
                <w:spacing w:val="-3"/>
                <w:sz w:val="21"/>
                <w:szCs w:val="21"/>
              </w:rPr>
              <w:t>输水工程</w:t>
            </w:r>
          </w:p>
        </w:tc>
        <w:tc>
          <w:tcPr>
            <w:tcW w:w="7513" w:type="dxa"/>
            <w:vAlign w:val="top"/>
          </w:tcPr>
          <w:p>
            <w:pPr>
              <w:pStyle w:val="6"/>
              <w:spacing w:before="33" w:line="237" w:lineRule="auto"/>
              <w:ind w:left="10" w:right="108" w:firstLine="6"/>
              <w:jc w:val="both"/>
              <w:rPr>
                <w:rFonts w:ascii="仿宋" w:hAnsi="仿宋" w:eastAsia="仿宋" w:cs="仿宋"/>
              </w:rPr>
            </w:pPr>
            <w:r>
              <w:rPr>
                <w:rFonts w:ascii="仿宋" w:hAnsi="仿宋" w:eastAsia="仿宋" w:cs="仿宋"/>
                <w:spacing w:val="-5"/>
              </w:rPr>
              <w:t>输水工程全长</w:t>
            </w:r>
            <w:r>
              <w:rPr>
                <w:rFonts w:ascii="仿宋" w:hAnsi="仿宋" w:eastAsia="仿宋" w:cs="仿宋"/>
                <w:spacing w:val="-47"/>
              </w:rPr>
              <w:t xml:space="preserve"> </w:t>
            </w:r>
            <w:r>
              <w:rPr>
                <w:spacing w:val="-5"/>
              </w:rPr>
              <w:t>26.944km</w:t>
            </w:r>
            <w:r>
              <w:rPr>
                <w:rFonts w:ascii="仿宋" w:hAnsi="仿宋" w:eastAsia="仿宋" w:cs="仿宋"/>
                <w:spacing w:val="-5"/>
              </w:rPr>
              <w:t xml:space="preserve">，其中：管道长 </w:t>
            </w:r>
            <w:r>
              <w:rPr>
                <w:spacing w:val="-5"/>
              </w:rPr>
              <w:t>1.435km</w:t>
            </w:r>
            <w:r>
              <w:rPr>
                <w:rFonts w:ascii="仿宋" w:hAnsi="仿宋" w:eastAsia="仿宋" w:cs="仿宋"/>
                <w:spacing w:val="-5"/>
              </w:rPr>
              <w:t xml:space="preserve">，渠道长 </w:t>
            </w:r>
            <w:r>
              <w:rPr>
                <w:spacing w:val="-5"/>
              </w:rPr>
              <w:t>8.975km</w:t>
            </w:r>
            <w:r>
              <w:rPr>
                <w:rFonts w:ascii="仿宋" w:hAnsi="仿宋" w:eastAsia="仿宋" w:cs="仿宋"/>
                <w:spacing w:val="-5"/>
              </w:rPr>
              <w:t>（暗渠</w:t>
            </w:r>
            <w:r>
              <w:rPr>
                <w:rFonts w:ascii="仿宋" w:hAnsi="仿宋" w:eastAsia="仿宋" w:cs="仿宋"/>
                <w:spacing w:val="-12"/>
              </w:rPr>
              <w:t>），</w:t>
            </w:r>
            <w:r>
              <w:rPr>
                <w:rFonts w:ascii="仿宋" w:hAnsi="仿宋" w:eastAsia="仿宋" w:cs="仿宋"/>
                <w:spacing w:val="-5"/>
              </w:rPr>
              <w:t>隧洞</w:t>
            </w:r>
            <w:r>
              <w:rPr>
                <w:rFonts w:ascii="仿宋" w:hAnsi="仿宋" w:eastAsia="仿宋" w:cs="仿宋"/>
              </w:rPr>
              <w:t xml:space="preserve"> </w:t>
            </w:r>
            <w:r>
              <w:rPr>
                <w:spacing w:val="-4"/>
              </w:rPr>
              <w:t>6</w:t>
            </w:r>
            <w:r>
              <w:rPr>
                <w:spacing w:val="18"/>
              </w:rPr>
              <w:t xml:space="preserve"> </w:t>
            </w:r>
            <w:r>
              <w:rPr>
                <w:rFonts w:ascii="仿宋" w:hAnsi="仿宋" w:eastAsia="仿宋" w:cs="仿宋"/>
                <w:spacing w:val="-4"/>
              </w:rPr>
              <w:t>条总长</w:t>
            </w:r>
            <w:r>
              <w:rPr>
                <w:rFonts w:ascii="仿宋" w:hAnsi="仿宋" w:eastAsia="仿宋" w:cs="仿宋"/>
                <w:spacing w:val="-29"/>
              </w:rPr>
              <w:t xml:space="preserve"> </w:t>
            </w:r>
            <w:r>
              <w:rPr>
                <w:spacing w:val="-4"/>
              </w:rPr>
              <w:t>15.084km</w:t>
            </w:r>
            <w:r>
              <w:rPr>
                <w:rFonts w:ascii="仿宋" w:hAnsi="仿宋" w:eastAsia="仿宋" w:cs="仿宋"/>
                <w:spacing w:val="-4"/>
              </w:rPr>
              <w:t>，倒虹吸</w:t>
            </w:r>
            <w:r>
              <w:rPr>
                <w:rFonts w:ascii="仿宋" w:hAnsi="仿宋" w:eastAsia="仿宋" w:cs="仿宋"/>
                <w:spacing w:val="-24"/>
              </w:rPr>
              <w:t xml:space="preserve"> </w:t>
            </w:r>
            <w:r>
              <w:rPr>
                <w:spacing w:val="-4"/>
              </w:rPr>
              <w:t>8</w:t>
            </w:r>
            <w:r>
              <w:rPr>
                <w:spacing w:val="18"/>
              </w:rPr>
              <w:t xml:space="preserve"> </w:t>
            </w:r>
            <w:r>
              <w:rPr>
                <w:rFonts w:ascii="仿宋" w:hAnsi="仿宋" w:eastAsia="仿宋" w:cs="仿宋"/>
                <w:spacing w:val="-4"/>
              </w:rPr>
              <w:t>座总长</w:t>
            </w:r>
            <w:r>
              <w:rPr>
                <w:rFonts w:ascii="仿宋" w:hAnsi="仿宋" w:eastAsia="仿宋" w:cs="仿宋"/>
                <w:spacing w:val="-29"/>
              </w:rPr>
              <w:t xml:space="preserve"> </w:t>
            </w:r>
            <w:r>
              <w:rPr>
                <w:spacing w:val="-4"/>
              </w:rPr>
              <w:t>1.382km</w:t>
            </w:r>
            <w:r>
              <w:rPr>
                <w:rFonts w:ascii="仿宋" w:hAnsi="仿宋" w:eastAsia="仿宋" w:cs="仿宋"/>
                <w:spacing w:val="-4"/>
              </w:rPr>
              <w:t>，渡槽</w:t>
            </w:r>
            <w:r>
              <w:rPr>
                <w:rFonts w:ascii="仿宋" w:hAnsi="仿宋" w:eastAsia="仿宋" w:cs="仿宋"/>
                <w:spacing w:val="-48"/>
              </w:rPr>
              <w:t xml:space="preserve"> </w:t>
            </w:r>
            <w:r>
              <w:rPr>
                <w:spacing w:val="-4"/>
              </w:rPr>
              <w:t>2</w:t>
            </w:r>
            <w:r>
              <w:rPr>
                <w:spacing w:val="17"/>
                <w:w w:val="101"/>
              </w:rPr>
              <w:t xml:space="preserve"> </w:t>
            </w:r>
            <w:r>
              <w:rPr>
                <w:rFonts w:ascii="仿宋" w:hAnsi="仿宋" w:eastAsia="仿宋" w:cs="仿宋"/>
                <w:spacing w:val="-4"/>
              </w:rPr>
              <w:t>座总长</w:t>
            </w:r>
            <w:r>
              <w:rPr>
                <w:rFonts w:ascii="仿宋" w:hAnsi="仿宋" w:eastAsia="仿宋" w:cs="仿宋"/>
                <w:spacing w:val="-44"/>
              </w:rPr>
              <w:t xml:space="preserve"> </w:t>
            </w:r>
            <w:r>
              <w:rPr>
                <w:spacing w:val="-5"/>
              </w:rPr>
              <w:t>68m</w:t>
            </w:r>
            <w:r>
              <w:rPr>
                <w:spacing w:val="-23"/>
              </w:rPr>
              <w:t xml:space="preserve"> </w:t>
            </w:r>
            <w:r>
              <w:rPr>
                <w:rFonts w:ascii="仿宋" w:hAnsi="仿宋" w:eastAsia="仿宋" w:cs="仿宋"/>
                <w:spacing w:val="-5"/>
              </w:rPr>
              <w:t>。管道为有压</w:t>
            </w:r>
            <w:r>
              <w:rPr>
                <w:rFonts w:ascii="仿宋" w:hAnsi="仿宋" w:eastAsia="仿宋" w:cs="仿宋"/>
              </w:rPr>
              <w:t xml:space="preserve"> </w:t>
            </w:r>
            <w:r>
              <w:rPr>
                <w:rFonts w:ascii="仿宋" w:hAnsi="仿宋" w:eastAsia="仿宋" w:cs="仿宋"/>
                <w:spacing w:val="-3"/>
              </w:rPr>
              <w:t>管道，设计流量为</w:t>
            </w:r>
            <w:r>
              <w:rPr>
                <w:rFonts w:ascii="仿宋" w:hAnsi="仿宋" w:eastAsia="仿宋" w:cs="仿宋"/>
                <w:spacing w:val="-28"/>
              </w:rPr>
              <w:t xml:space="preserve"> </w:t>
            </w:r>
            <w:r>
              <w:rPr>
                <w:spacing w:val="-3"/>
              </w:rPr>
              <w:t>1.2m</w:t>
            </w:r>
            <w:r>
              <w:rPr>
                <w:rFonts w:ascii="Calibri" w:hAnsi="Calibri" w:eastAsia="Calibri" w:cs="Calibri"/>
                <w:spacing w:val="-3"/>
              </w:rPr>
              <w:t>³</w:t>
            </w:r>
            <w:r>
              <w:rPr>
                <w:spacing w:val="-3"/>
              </w:rPr>
              <w:t>/s</w:t>
            </w:r>
            <w:r>
              <w:rPr>
                <w:spacing w:val="-23"/>
              </w:rPr>
              <w:t xml:space="preserve"> </w:t>
            </w:r>
            <w:r>
              <w:rPr>
                <w:rFonts w:ascii="仿宋" w:hAnsi="仿宋" w:eastAsia="仿宋" w:cs="仿宋"/>
                <w:spacing w:val="-3"/>
              </w:rPr>
              <w:t>，材质为螺旋钢管，</w:t>
            </w:r>
            <w:r>
              <w:rPr>
                <w:rFonts w:ascii="仿宋" w:hAnsi="仿宋" w:eastAsia="仿宋" w:cs="仿宋"/>
                <w:spacing w:val="-4"/>
              </w:rPr>
              <w:t xml:space="preserve">管径为 </w:t>
            </w:r>
            <w:r>
              <w:rPr>
                <w:spacing w:val="-4"/>
              </w:rPr>
              <w:t>DN1000</w:t>
            </w:r>
            <w:r>
              <w:rPr>
                <w:rFonts w:ascii="仿宋" w:hAnsi="仿宋" w:eastAsia="仿宋" w:cs="仿宋"/>
                <w:spacing w:val="-4"/>
              </w:rPr>
              <w:t>。</w:t>
            </w:r>
          </w:p>
          <w:p>
            <w:pPr>
              <w:pStyle w:val="6"/>
              <w:spacing w:before="8" w:line="238" w:lineRule="auto"/>
              <w:ind w:left="11" w:right="103" w:firstLine="10"/>
              <w:rPr>
                <w:rFonts w:ascii="仿宋" w:hAnsi="仿宋" w:eastAsia="仿宋" w:cs="仿宋"/>
              </w:rPr>
            </w:pPr>
            <w:r>
              <w:rPr>
                <w:rFonts w:ascii="仿宋" w:hAnsi="仿宋" w:eastAsia="仿宋" w:cs="仿宋"/>
                <w:spacing w:val="-5"/>
              </w:rPr>
              <w:t>渠道为暗渠， 设计流量</w:t>
            </w:r>
            <w:r>
              <w:rPr>
                <w:rFonts w:ascii="仿宋" w:hAnsi="仿宋" w:eastAsia="仿宋" w:cs="仿宋"/>
                <w:spacing w:val="-28"/>
              </w:rPr>
              <w:t xml:space="preserve"> </w:t>
            </w:r>
            <w:r>
              <w:rPr>
                <w:spacing w:val="-5"/>
              </w:rPr>
              <w:t>1.2</w:t>
            </w:r>
            <w:r>
              <w:rPr>
                <w:rFonts w:ascii="仿宋" w:hAnsi="仿宋" w:eastAsia="仿宋" w:cs="仿宋"/>
                <w:spacing w:val="-5"/>
              </w:rPr>
              <w:t>～</w:t>
            </w:r>
            <w:r>
              <w:rPr>
                <w:spacing w:val="-5"/>
              </w:rPr>
              <w:t>5.32m</w:t>
            </w:r>
            <w:r>
              <w:rPr>
                <w:rFonts w:ascii="Calibri" w:hAnsi="Calibri" w:eastAsia="Calibri" w:cs="Calibri"/>
                <w:spacing w:val="-5"/>
              </w:rPr>
              <w:t>³</w:t>
            </w:r>
            <w:r>
              <w:rPr>
                <w:spacing w:val="-5"/>
              </w:rPr>
              <w:t>/s</w:t>
            </w:r>
            <w:r>
              <w:rPr>
                <w:spacing w:val="-24"/>
              </w:rPr>
              <w:t xml:space="preserve"> </w:t>
            </w:r>
            <w:r>
              <w:rPr>
                <w:rFonts w:ascii="仿宋" w:hAnsi="仿宋" w:eastAsia="仿宋" w:cs="仿宋"/>
                <w:spacing w:val="-5"/>
              </w:rPr>
              <w:t>。隧洞</w:t>
            </w:r>
            <w:r>
              <w:rPr>
                <w:rFonts w:ascii="仿宋" w:hAnsi="仿宋" w:eastAsia="仿宋" w:cs="仿宋"/>
                <w:spacing w:val="-27"/>
              </w:rPr>
              <w:t xml:space="preserve"> </w:t>
            </w:r>
            <w:r>
              <w:rPr>
                <w:spacing w:val="-5"/>
              </w:rPr>
              <w:t>1</w:t>
            </w:r>
            <w:r>
              <w:rPr>
                <w:spacing w:val="-6"/>
              </w:rPr>
              <w:t>#</w:t>
            </w:r>
            <w:r>
              <w:rPr>
                <w:rFonts w:ascii="仿宋" w:hAnsi="仿宋" w:eastAsia="仿宋" w:cs="仿宋"/>
                <w:spacing w:val="-6"/>
              </w:rPr>
              <w:t>长</w:t>
            </w:r>
            <w:r>
              <w:rPr>
                <w:rFonts w:ascii="仿宋" w:hAnsi="仿宋" w:eastAsia="仿宋" w:cs="仿宋"/>
                <w:spacing w:val="-46"/>
              </w:rPr>
              <w:t xml:space="preserve"> </w:t>
            </w:r>
            <w:r>
              <w:rPr>
                <w:spacing w:val="-6"/>
              </w:rPr>
              <w:t>0.205km</w:t>
            </w:r>
            <w:r>
              <w:rPr>
                <w:spacing w:val="-23"/>
              </w:rPr>
              <w:t xml:space="preserve"> </w:t>
            </w:r>
            <w:r>
              <w:rPr>
                <w:rFonts w:ascii="仿宋" w:hAnsi="仿宋" w:eastAsia="仿宋" w:cs="仿宋"/>
                <w:spacing w:val="-6"/>
              </w:rPr>
              <w:t>、</w:t>
            </w:r>
            <w:r>
              <w:rPr>
                <w:spacing w:val="-6"/>
              </w:rPr>
              <w:t>2#</w:t>
            </w:r>
            <w:r>
              <w:rPr>
                <w:rFonts w:ascii="仿宋" w:hAnsi="仿宋" w:eastAsia="仿宋" w:cs="仿宋"/>
                <w:spacing w:val="-6"/>
              </w:rPr>
              <w:t>长</w:t>
            </w:r>
            <w:r>
              <w:rPr>
                <w:rFonts w:ascii="仿宋" w:hAnsi="仿宋" w:eastAsia="仿宋" w:cs="仿宋"/>
                <w:spacing w:val="-45"/>
              </w:rPr>
              <w:t xml:space="preserve"> </w:t>
            </w:r>
            <w:r>
              <w:rPr>
                <w:spacing w:val="-6"/>
              </w:rPr>
              <w:t>7.436km</w:t>
            </w:r>
            <w:r>
              <w:rPr>
                <w:spacing w:val="-22"/>
              </w:rPr>
              <w:t xml:space="preserve"> </w:t>
            </w:r>
            <w:r>
              <w:rPr>
                <w:rFonts w:ascii="仿宋" w:hAnsi="仿宋" w:eastAsia="仿宋" w:cs="仿宋"/>
                <w:spacing w:val="-6"/>
              </w:rPr>
              <w:t>、</w:t>
            </w:r>
            <w:r>
              <w:rPr>
                <w:spacing w:val="-6"/>
              </w:rPr>
              <w:t>3#</w:t>
            </w:r>
            <w:r>
              <w:rPr>
                <w:rFonts w:ascii="仿宋" w:hAnsi="仿宋" w:eastAsia="仿宋" w:cs="仿宋"/>
                <w:spacing w:val="-6"/>
              </w:rPr>
              <w:t>长</w:t>
            </w:r>
            <w:r>
              <w:rPr>
                <w:rFonts w:ascii="仿宋" w:hAnsi="仿宋" w:eastAsia="仿宋" w:cs="仿宋"/>
              </w:rPr>
              <w:t xml:space="preserve">  </w:t>
            </w:r>
            <w:r>
              <w:rPr>
                <w:spacing w:val="-4"/>
              </w:rPr>
              <w:t>1.28km</w:t>
            </w:r>
            <w:r>
              <w:rPr>
                <w:spacing w:val="-9"/>
              </w:rPr>
              <w:t xml:space="preserve"> </w:t>
            </w:r>
            <w:r>
              <w:rPr>
                <w:rFonts w:ascii="仿宋" w:hAnsi="仿宋" w:eastAsia="仿宋" w:cs="仿宋"/>
                <w:spacing w:val="-4"/>
              </w:rPr>
              <w:t>、</w:t>
            </w:r>
            <w:r>
              <w:rPr>
                <w:spacing w:val="-4"/>
              </w:rPr>
              <w:t>4#</w:t>
            </w:r>
            <w:r>
              <w:rPr>
                <w:rFonts w:ascii="仿宋" w:hAnsi="仿宋" w:eastAsia="仿宋" w:cs="仿宋"/>
                <w:spacing w:val="-4"/>
              </w:rPr>
              <w:t>长</w:t>
            </w:r>
            <w:r>
              <w:rPr>
                <w:rFonts w:ascii="仿宋" w:hAnsi="仿宋" w:eastAsia="仿宋" w:cs="仿宋"/>
                <w:spacing w:val="-44"/>
              </w:rPr>
              <w:t xml:space="preserve"> </w:t>
            </w:r>
            <w:r>
              <w:rPr>
                <w:spacing w:val="-4"/>
              </w:rPr>
              <w:t>3.893km</w:t>
            </w:r>
            <w:r>
              <w:rPr>
                <w:spacing w:val="-23"/>
              </w:rPr>
              <w:t xml:space="preserve"> </w:t>
            </w:r>
            <w:r>
              <w:rPr>
                <w:rFonts w:ascii="仿宋" w:hAnsi="仿宋" w:eastAsia="仿宋" w:cs="仿宋"/>
                <w:spacing w:val="-4"/>
              </w:rPr>
              <w:t>、</w:t>
            </w:r>
            <w:r>
              <w:rPr>
                <w:spacing w:val="-4"/>
              </w:rPr>
              <w:t>5#</w:t>
            </w:r>
            <w:r>
              <w:rPr>
                <w:rFonts w:ascii="仿宋" w:hAnsi="仿宋" w:eastAsia="仿宋" w:cs="仿宋"/>
                <w:spacing w:val="-4"/>
              </w:rPr>
              <w:t>长</w:t>
            </w:r>
            <w:r>
              <w:rPr>
                <w:rFonts w:ascii="仿宋" w:hAnsi="仿宋" w:eastAsia="仿宋" w:cs="仿宋"/>
                <w:spacing w:val="-29"/>
              </w:rPr>
              <w:t xml:space="preserve"> </w:t>
            </w:r>
            <w:r>
              <w:rPr>
                <w:spacing w:val="-4"/>
              </w:rPr>
              <w:t>1.91km</w:t>
            </w:r>
            <w:r>
              <w:rPr>
                <w:spacing w:val="-23"/>
              </w:rPr>
              <w:t xml:space="preserve"> </w:t>
            </w:r>
            <w:r>
              <w:rPr>
                <w:rFonts w:ascii="仿宋" w:hAnsi="仿宋" w:eastAsia="仿宋" w:cs="仿宋"/>
                <w:spacing w:val="-4"/>
              </w:rPr>
              <w:t>、</w:t>
            </w:r>
            <w:r>
              <w:rPr>
                <w:spacing w:val="-4"/>
              </w:rPr>
              <w:t>6#</w:t>
            </w:r>
            <w:r>
              <w:rPr>
                <w:rFonts w:ascii="仿宋" w:hAnsi="仿宋" w:eastAsia="仿宋" w:cs="仿宋"/>
                <w:spacing w:val="-4"/>
              </w:rPr>
              <w:t>长</w:t>
            </w:r>
            <w:r>
              <w:rPr>
                <w:rFonts w:ascii="仿宋" w:hAnsi="仿宋" w:eastAsia="仿宋" w:cs="仿宋"/>
                <w:spacing w:val="-45"/>
              </w:rPr>
              <w:t xml:space="preserve"> </w:t>
            </w:r>
            <w:r>
              <w:rPr>
                <w:spacing w:val="-4"/>
              </w:rPr>
              <w:t>0.36km</w:t>
            </w:r>
            <w:r>
              <w:rPr>
                <w:spacing w:val="-24"/>
              </w:rPr>
              <w:t xml:space="preserve"> </w:t>
            </w:r>
            <w:r>
              <w:rPr>
                <w:rFonts w:ascii="仿宋" w:hAnsi="仿宋" w:eastAsia="仿宋" w:cs="仿宋"/>
                <w:spacing w:val="-4"/>
              </w:rPr>
              <w:t>。</w:t>
            </w:r>
            <w:r>
              <w:rPr>
                <w:spacing w:val="-4"/>
              </w:rPr>
              <w:t>8</w:t>
            </w:r>
            <w:r>
              <w:rPr>
                <w:spacing w:val="18"/>
              </w:rPr>
              <w:t xml:space="preserve"> </w:t>
            </w:r>
            <w:r>
              <w:rPr>
                <w:rFonts w:ascii="仿宋" w:hAnsi="仿宋" w:eastAsia="仿宋" w:cs="仿宋"/>
                <w:spacing w:val="-4"/>
              </w:rPr>
              <w:t>座倒虹吸为单管布设，进</w:t>
            </w:r>
            <w:r>
              <w:rPr>
                <w:rFonts w:ascii="仿宋" w:hAnsi="仿宋" w:eastAsia="仿宋" w:cs="仿宋"/>
              </w:rPr>
              <w:t xml:space="preserve"> </w:t>
            </w:r>
            <w:r>
              <w:rPr>
                <w:rFonts w:ascii="仿宋" w:hAnsi="仿宋" w:eastAsia="仿宋" w:cs="仿宋"/>
                <w:spacing w:val="-1"/>
              </w:rPr>
              <w:t>口设置进水前池，闸门，出口设置出水池，低处设置排空阀；倒虹吸跨沟箐除</w:t>
            </w:r>
            <w:r>
              <w:rPr>
                <w:rFonts w:ascii="仿宋" w:hAnsi="仿宋" w:eastAsia="仿宋" w:cs="仿宋"/>
                <w:spacing w:val="-27"/>
              </w:rPr>
              <w:t xml:space="preserve"> </w:t>
            </w:r>
            <w:r>
              <w:rPr>
                <w:spacing w:val="-1"/>
              </w:rPr>
              <w:t>1#</w:t>
            </w:r>
            <w:r>
              <w:t xml:space="preserve"> </w:t>
            </w:r>
            <w:r>
              <w:rPr>
                <w:rFonts w:ascii="仿宋" w:hAnsi="仿宋" w:eastAsia="仿宋" w:cs="仿宋"/>
                <w:spacing w:val="1"/>
              </w:rPr>
              <w:t>倒虹吸（马茨河）采用混凝土埋管外，其余均采用管桥通过。设计流量为</w:t>
            </w:r>
            <w:r>
              <w:rPr>
                <w:rFonts w:ascii="仿宋" w:hAnsi="仿宋" w:eastAsia="仿宋" w:cs="仿宋"/>
                <w:spacing w:val="-28"/>
              </w:rPr>
              <w:t xml:space="preserve"> </w:t>
            </w:r>
            <w:r>
              <w:rPr>
                <w:spacing w:val="1"/>
              </w:rPr>
              <w:t>1.2</w:t>
            </w:r>
            <w:r>
              <w:rPr>
                <w:rFonts w:ascii="仿宋" w:hAnsi="仿宋" w:eastAsia="仿宋" w:cs="仿宋"/>
                <w:spacing w:val="1"/>
              </w:rPr>
              <w:t xml:space="preserve">~  </w:t>
            </w:r>
            <w:r>
              <w:rPr>
                <w:spacing w:val="-4"/>
              </w:rPr>
              <w:t>5.32m</w:t>
            </w:r>
            <w:r>
              <w:rPr>
                <w:rFonts w:ascii="Calibri" w:hAnsi="Calibri" w:eastAsia="Calibri" w:cs="Calibri"/>
                <w:spacing w:val="-4"/>
              </w:rPr>
              <w:t>³</w:t>
            </w:r>
            <w:r>
              <w:rPr>
                <w:spacing w:val="-4"/>
              </w:rPr>
              <w:t>/s</w:t>
            </w:r>
            <w:r>
              <w:rPr>
                <w:spacing w:val="-23"/>
              </w:rPr>
              <w:t xml:space="preserve"> </w:t>
            </w:r>
            <w:r>
              <w:rPr>
                <w:rFonts w:ascii="仿宋" w:hAnsi="仿宋" w:eastAsia="仿宋" w:cs="仿宋"/>
                <w:spacing w:val="-4"/>
              </w:rPr>
              <w:t>。</w:t>
            </w:r>
            <w:r>
              <w:rPr>
                <w:spacing w:val="-4"/>
              </w:rPr>
              <w:t>8</w:t>
            </w:r>
            <w:r>
              <w:rPr>
                <w:spacing w:val="16"/>
                <w:w w:val="101"/>
              </w:rPr>
              <w:t xml:space="preserve"> </w:t>
            </w:r>
            <w:r>
              <w:rPr>
                <w:rFonts w:ascii="仿宋" w:hAnsi="仿宋" w:eastAsia="仿宋" w:cs="仿宋"/>
                <w:spacing w:val="-4"/>
              </w:rPr>
              <w:t>座倒虹吸长分别为</w:t>
            </w:r>
            <w:r>
              <w:rPr>
                <w:rFonts w:ascii="仿宋" w:hAnsi="仿宋" w:eastAsia="仿宋" w:cs="仿宋"/>
                <w:spacing w:val="-44"/>
              </w:rPr>
              <w:t xml:space="preserve"> </w:t>
            </w:r>
            <w:r>
              <w:rPr>
                <w:spacing w:val="-4"/>
              </w:rPr>
              <w:t>78m</w:t>
            </w:r>
            <w:r>
              <w:rPr>
                <w:spacing w:val="-25"/>
              </w:rPr>
              <w:t xml:space="preserve"> </w:t>
            </w:r>
            <w:r>
              <w:rPr>
                <w:rFonts w:ascii="仿宋" w:hAnsi="仿宋" w:eastAsia="仿宋" w:cs="仿宋"/>
                <w:spacing w:val="-4"/>
              </w:rPr>
              <w:t>、</w:t>
            </w:r>
            <w:r>
              <w:rPr>
                <w:spacing w:val="-4"/>
              </w:rPr>
              <w:t>12</w:t>
            </w:r>
            <w:r>
              <w:rPr>
                <w:spacing w:val="-5"/>
              </w:rPr>
              <w:t>0m</w:t>
            </w:r>
            <w:r>
              <w:rPr>
                <w:spacing w:val="-22"/>
              </w:rPr>
              <w:t xml:space="preserve"> </w:t>
            </w:r>
            <w:r>
              <w:rPr>
                <w:rFonts w:ascii="仿宋" w:hAnsi="仿宋" w:eastAsia="仿宋" w:cs="仿宋"/>
                <w:spacing w:val="-5"/>
              </w:rPr>
              <w:t>、</w:t>
            </w:r>
            <w:r>
              <w:rPr>
                <w:spacing w:val="-5"/>
              </w:rPr>
              <w:t>190m</w:t>
            </w:r>
            <w:r>
              <w:rPr>
                <w:spacing w:val="-24"/>
              </w:rPr>
              <w:t xml:space="preserve"> </w:t>
            </w:r>
            <w:r>
              <w:rPr>
                <w:rFonts w:ascii="仿宋" w:hAnsi="仿宋" w:eastAsia="仿宋" w:cs="仿宋"/>
                <w:spacing w:val="-5"/>
              </w:rPr>
              <w:t>、</w:t>
            </w:r>
            <w:r>
              <w:rPr>
                <w:spacing w:val="-5"/>
              </w:rPr>
              <w:t>195m</w:t>
            </w:r>
            <w:r>
              <w:rPr>
                <w:spacing w:val="-23"/>
              </w:rPr>
              <w:t xml:space="preserve"> </w:t>
            </w:r>
            <w:r>
              <w:rPr>
                <w:rFonts w:ascii="仿宋" w:hAnsi="仿宋" w:eastAsia="仿宋" w:cs="仿宋"/>
                <w:spacing w:val="-5"/>
              </w:rPr>
              <w:t>、</w:t>
            </w:r>
            <w:r>
              <w:rPr>
                <w:spacing w:val="-5"/>
              </w:rPr>
              <w:t>220m</w:t>
            </w:r>
            <w:r>
              <w:rPr>
                <w:spacing w:val="-22"/>
              </w:rPr>
              <w:t xml:space="preserve"> </w:t>
            </w:r>
            <w:r>
              <w:rPr>
                <w:rFonts w:ascii="仿宋" w:hAnsi="仿宋" w:eastAsia="仿宋" w:cs="仿宋"/>
                <w:spacing w:val="-5"/>
              </w:rPr>
              <w:t>、</w:t>
            </w:r>
            <w:r>
              <w:rPr>
                <w:spacing w:val="-5"/>
              </w:rPr>
              <w:t>163m</w:t>
            </w:r>
            <w:r>
              <w:rPr>
                <w:rFonts w:ascii="仿宋" w:hAnsi="仿宋" w:eastAsia="仿宋" w:cs="仿宋"/>
                <w:spacing w:val="-5"/>
              </w:rPr>
              <w:t>、</w:t>
            </w:r>
          </w:p>
          <w:p>
            <w:pPr>
              <w:pStyle w:val="6"/>
              <w:spacing w:before="8" w:line="218" w:lineRule="auto"/>
              <w:ind w:left="9"/>
              <w:rPr>
                <w:rFonts w:ascii="仿宋" w:hAnsi="仿宋" w:eastAsia="仿宋" w:cs="仿宋"/>
              </w:rPr>
            </w:pPr>
            <w:r>
              <w:rPr>
                <w:spacing w:val="-4"/>
              </w:rPr>
              <w:t>325m</w:t>
            </w:r>
            <w:r>
              <w:rPr>
                <w:spacing w:val="-22"/>
              </w:rPr>
              <w:t xml:space="preserve"> </w:t>
            </w:r>
            <w:r>
              <w:rPr>
                <w:rFonts w:ascii="仿宋" w:hAnsi="仿宋" w:eastAsia="仿宋" w:cs="仿宋"/>
                <w:spacing w:val="-4"/>
              </w:rPr>
              <w:t>、</w:t>
            </w:r>
            <w:r>
              <w:rPr>
                <w:spacing w:val="-4"/>
              </w:rPr>
              <w:t>91m</w:t>
            </w:r>
            <w:r>
              <w:rPr>
                <w:rFonts w:ascii="仿宋" w:hAnsi="仿宋" w:eastAsia="仿宋" w:cs="仿宋"/>
                <w:spacing w:val="-4"/>
              </w:rPr>
              <w:t xml:space="preserve">，管径分别为 </w:t>
            </w:r>
            <w:r>
              <w:rPr>
                <w:spacing w:val="-4"/>
              </w:rPr>
              <w:t>DN1000</w:t>
            </w:r>
            <w:r>
              <w:rPr>
                <w:spacing w:val="-23"/>
              </w:rPr>
              <w:t xml:space="preserve"> </w:t>
            </w:r>
            <w:r>
              <w:rPr>
                <w:rFonts w:ascii="仿宋" w:hAnsi="仿宋" w:eastAsia="仿宋" w:cs="仿宋"/>
                <w:spacing w:val="-4"/>
              </w:rPr>
              <w:t>、</w:t>
            </w:r>
            <w:r>
              <w:rPr>
                <w:spacing w:val="-4"/>
              </w:rPr>
              <w:t>DN1200</w:t>
            </w:r>
            <w:r>
              <w:rPr>
                <w:spacing w:val="-23"/>
              </w:rPr>
              <w:t xml:space="preserve"> </w:t>
            </w:r>
            <w:r>
              <w:rPr>
                <w:rFonts w:ascii="仿宋" w:hAnsi="仿宋" w:eastAsia="仿宋" w:cs="仿宋"/>
                <w:spacing w:val="-4"/>
              </w:rPr>
              <w:t>、</w:t>
            </w:r>
            <w:r>
              <w:rPr>
                <w:spacing w:val="-4"/>
              </w:rPr>
              <w:t>DN1600</w:t>
            </w:r>
            <w:r>
              <w:rPr>
                <w:spacing w:val="-22"/>
              </w:rPr>
              <w:t xml:space="preserve"> </w:t>
            </w:r>
            <w:r>
              <w:rPr>
                <w:rFonts w:ascii="仿宋" w:hAnsi="仿宋" w:eastAsia="仿宋" w:cs="仿宋"/>
                <w:spacing w:val="-4"/>
              </w:rPr>
              <w:t>、</w:t>
            </w:r>
            <w:r>
              <w:rPr>
                <w:spacing w:val="-4"/>
              </w:rPr>
              <w:t>DN1</w:t>
            </w:r>
            <w:r>
              <w:rPr>
                <w:spacing w:val="-5"/>
              </w:rPr>
              <w:t>600</w:t>
            </w:r>
            <w:r>
              <w:rPr>
                <w:spacing w:val="-23"/>
              </w:rPr>
              <w:t xml:space="preserve"> </w:t>
            </w:r>
            <w:r>
              <w:rPr>
                <w:rFonts w:ascii="仿宋" w:hAnsi="仿宋" w:eastAsia="仿宋" w:cs="仿宋"/>
                <w:spacing w:val="-5"/>
              </w:rPr>
              <w:t>、</w:t>
            </w:r>
            <w:r>
              <w:rPr>
                <w:spacing w:val="-5"/>
              </w:rPr>
              <w:t>DN1600</w:t>
            </w:r>
            <w:r>
              <w:rPr>
                <w:rFonts w:ascii="仿宋" w:hAnsi="仿宋" w:eastAsia="仿宋" w:cs="仿宋"/>
                <w:spacing w:val="-5"/>
              </w:rPr>
              <w:t>、</w:t>
            </w:r>
          </w:p>
          <w:p>
            <w:pPr>
              <w:pStyle w:val="6"/>
              <w:spacing w:before="24" w:line="218" w:lineRule="auto"/>
              <w:ind w:left="13" w:right="222" w:hanging="9"/>
              <w:rPr>
                <w:rFonts w:ascii="仿宋" w:hAnsi="仿宋" w:eastAsia="仿宋" w:cs="仿宋"/>
              </w:rPr>
            </w:pPr>
            <w:r>
              <w:rPr>
                <w:spacing w:val="-4"/>
              </w:rPr>
              <w:t>DN1600</w:t>
            </w:r>
            <w:r>
              <w:rPr>
                <w:spacing w:val="-22"/>
              </w:rPr>
              <w:t xml:space="preserve"> </w:t>
            </w:r>
            <w:r>
              <w:rPr>
                <w:rFonts w:ascii="仿宋" w:hAnsi="仿宋" w:eastAsia="仿宋" w:cs="仿宋"/>
                <w:spacing w:val="-4"/>
              </w:rPr>
              <w:t>、</w:t>
            </w:r>
            <w:r>
              <w:rPr>
                <w:spacing w:val="-4"/>
              </w:rPr>
              <w:t>DN1600</w:t>
            </w:r>
            <w:r>
              <w:rPr>
                <w:spacing w:val="-23"/>
              </w:rPr>
              <w:t xml:space="preserve"> </w:t>
            </w:r>
            <w:r>
              <w:rPr>
                <w:rFonts w:ascii="仿宋" w:hAnsi="仿宋" w:eastAsia="仿宋" w:cs="仿宋"/>
                <w:spacing w:val="-4"/>
              </w:rPr>
              <w:t>、</w:t>
            </w:r>
            <w:r>
              <w:rPr>
                <w:spacing w:val="-4"/>
              </w:rPr>
              <w:t>DN1600</w:t>
            </w:r>
            <w:r>
              <w:rPr>
                <w:spacing w:val="-23"/>
              </w:rPr>
              <w:t xml:space="preserve"> </w:t>
            </w:r>
            <w:r>
              <w:rPr>
                <w:rFonts w:ascii="仿宋" w:hAnsi="仿宋" w:eastAsia="仿宋" w:cs="仿宋"/>
                <w:spacing w:val="-4"/>
              </w:rPr>
              <w:t>。</w:t>
            </w:r>
            <w:r>
              <w:rPr>
                <w:spacing w:val="-4"/>
              </w:rPr>
              <w:t>2</w:t>
            </w:r>
            <w:r>
              <w:rPr>
                <w:spacing w:val="18"/>
              </w:rPr>
              <w:t xml:space="preserve"> </w:t>
            </w:r>
            <w:r>
              <w:rPr>
                <w:rFonts w:ascii="仿宋" w:hAnsi="仿宋" w:eastAsia="仿宋" w:cs="仿宋"/>
                <w:spacing w:val="-4"/>
              </w:rPr>
              <w:t>座渡槽长分别为</w:t>
            </w:r>
            <w:r>
              <w:rPr>
                <w:rFonts w:ascii="仿宋" w:hAnsi="仿宋" w:eastAsia="仿宋" w:cs="仿宋"/>
                <w:spacing w:val="-49"/>
              </w:rPr>
              <w:t xml:space="preserve"> </w:t>
            </w:r>
            <w:r>
              <w:rPr>
                <w:spacing w:val="-4"/>
              </w:rPr>
              <w:t>43m</w:t>
            </w:r>
            <w:r>
              <w:rPr>
                <w:spacing w:val="-23"/>
              </w:rPr>
              <w:t xml:space="preserve"> </w:t>
            </w:r>
            <w:r>
              <w:rPr>
                <w:rFonts w:ascii="仿宋" w:hAnsi="仿宋" w:eastAsia="仿宋" w:cs="仿宋"/>
                <w:spacing w:val="-4"/>
              </w:rPr>
              <w:t>、</w:t>
            </w:r>
            <w:r>
              <w:rPr>
                <w:spacing w:val="-4"/>
              </w:rPr>
              <w:t>25m</w:t>
            </w:r>
            <w:r>
              <w:rPr>
                <w:rFonts w:ascii="仿宋" w:hAnsi="仿宋" w:eastAsia="仿宋" w:cs="仿宋"/>
                <w:spacing w:val="-4"/>
              </w:rPr>
              <w:t>，</w:t>
            </w:r>
            <w:r>
              <w:rPr>
                <w:rFonts w:ascii="仿宋" w:hAnsi="仿宋" w:eastAsia="仿宋" w:cs="仿宋"/>
                <w:spacing w:val="-5"/>
              </w:rPr>
              <w:t>采用简支梁渡槽，</w:t>
            </w:r>
            <w:r>
              <w:rPr>
                <w:rFonts w:ascii="仿宋" w:hAnsi="仿宋" w:eastAsia="仿宋" w:cs="仿宋"/>
              </w:rPr>
              <w:t xml:space="preserve"> </w:t>
            </w:r>
            <w:r>
              <w:rPr>
                <w:rFonts w:ascii="仿宋" w:hAnsi="仿宋" w:eastAsia="仿宋" w:cs="仿宋"/>
                <w:spacing w:val="-3"/>
              </w:rPr>
              <w:t>设计流量为</w:t>
            </w:r>
            <w:r>
              <w:rPr>
                <w:rFonts w:ascii="仿宋" w:hAnsi="仿宋" w:eastAsia="仿宋" w:cs="仿宋"/>
                <w:spacing w:val="-27"/>
              </w:rPr>
              <w:t xml:space="preserve"> </w:t>
            </w:r>
            <w:r>
              <w:rPr>
                <w:spacing w:val="-3"/>
              </w:rPr>
              <w:t>1.72m</w:t>
            </w:r>
            <w:r>
              <w:rPr>
                <w:rFonts w:ascii="Calibri" w:hAnsi="Calibri" w:eastAsia="Calibri" w:cs="Calibri"/>
                <w:spacing w:val="-3"/>
              </w:rPr>
              <w:t>³</w:t>
            </w:r>
            <w:r>
              <w:rPr>
                <w:spacing w:val="-3"/>
              </w:rPr>
              <w:t>/s</w:t>
            </w:r>
            <w:r>
              <w:rPr>
                <w:spacing w:val="-23"/>
              </w:rPr>
              <w:t xml:space="preserve"> </w:t>
            </w:r>
            <w:r>
              <w:rPr>
                <w:rFonts w:ascii="仿宋" w:hAnsi="仿宋" w:eastAsia="仿宋" w:cs="仿宋"/>
                <w:spacing w:val="-3"/>
              </w:rPr>
              <w:t>、</w:t>
            </w:r>
            <w:r>
              <w:rPr>
                <w:spacing w:val="-3"/>
              </w:rPr>
              <w:t>2.82m</w:t>
            </w:r>
            <w:r>
              <w:rPr>
                <w:rFonts w:ascii="Calibri" w:hAnsi="Calibri" w:eastAsia="Calibri" w:cs="Calibri"/>
                <w:spacing w:val="-3"/>
              </w:rPr>
              <w:t>³</w:t>
            </w:r>
            <w:r>
              <w:rPr>
                <w:spacing w:val="-3"/>
              </w:rPr>
              <w:t>/s</w:t>
            </w:r>
            <w:r>
              <w:rPr>
                <w:rFonts w:ascii="仿宋" w:hAnsi="仿宋" w:eastAsia="仿宋" w:cs="仿宋"/>
                <w:spacing w:val="-3"/>
              </w:rPr>
              <w:t>。</w:t>
            </w:r>
          </w:p>
        </w:tc>
        <w:tc>
          <w:tcPr>
            <w:tcW w:w="1805" w:type="dxa"/>
            <w:tcBorders>
              <w:right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1" w:line="232" w:lineRule="auto"/>
              <w:ind w:left="873"/>
            </w:pPr>
            <w: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419" w:type="dxa"/>
            <w:vMerge w:val="continue"/>
            <w:tcBorders>
              <w:top w:val="nil"/>
              <w:left w:val="nil"/>
              <w:bottom w:val="nil"/>
            </w:tcBorders>
            <w:vAlign w:val="top"/>
          </w:tcPr>
          <w:p>
            <w:pPr>
              <w:rPr>
                <w:rFonts w:ascii="Arial"/>
                <w:sz w:val="21"/>
              </w:rPr>
            </w:pPr>
          </w:p>
        </w:tc>
        <w:tc>
          <w:tcPr>
            <w:tcW w:w="3265" w:type="dxa"/>
            <w:gridSpan w:val="2"/>
            <w:vAlign w:val="top"/>
          </w:tcPr>
          <w:p>
            <w:pPr>
              <w:spacing w:before="44" w:line="195" w:lineRule="auto"/>
              <w:ind w:left="1233"/>
              <w:rPr>
                <w:rFonts w:ascii="仿宋" w:hAnsi="仿宋" w:eastAsia="仿宋" w:cs="仿宋"/>
                <w:sz w:val="21"/>
                <w:szCs w:val="21"/>
              </w:rPr>
            </w:pPr>
            <w:r>
              <w:rPr>
                <w:rFonts w:ascii="仿宋" w:hAnsi="仿宋" w:eastAsia="仿宋" w:cs="仿宋"/>
                <w:spacing w:val="-5"/>
                <w:sz w:val="21"/>
                <w:szCs w:val="21"/>
              </w:rPr>
              <w:t>管理用房</w:t>
            </w:r>
          </w:p>
        </w:tc>
        <w:tc>
          <w:tcPr>
            <w:tcW w:w="7513" w:type="dxa"/>
            <w:vAlign w:val="top"/>
          </w:tcPr>
          <w:p>
            <w:pPr>
              <w:pStyle w:val="6"/>
              <w:spacing w:before="44" w:line="195" w:lineRule="auto"/>
              <w:ind w:left="26"/>
              <w:rPr>
                <w:rFonts w:ascii="仿宋" w:hAnsi="仿宋" w:eastAsia="仿宋" w:cs="仿宋"/>
              </w:rPr>
            </w:pPr>
            <w:r>
              <w:rPr>
                <w:rFonts w:ascii="仿宋" w:hAnsi="仿宋" w:eastAsia="仿宋" w:cs="仿宋"/>
                <w:spacing w:val="-6"/>
              </w:rPr>
              <w:t>管理用占地面积</w:t>
            </w:r>
            <w:r>
              <w:rPr>
                <w:rFonts w:ascii="仿宋" w:hAnsi="仿宋" w:eastAsia="仿宋" w:cs="仿宋"/>
                <w:spacing w:val="-38"/>
              </w:rPr>
              <w:t xml:space="preserve"> </w:t>
            </w:r>
            <w:r>
              <w:rPr>
                <w:spacing w:val="-6"/>
              </w:rPr>
              <w:t>0.24hm</w:t>
            </w:r>
            <w:r>
              <w:rPr>
                <w:spacing w:val="-6"/>
                <w:position w:val="7"/>
                <w:sz w:val="14"/>
                <w:szCs w:val="14"/>
              </w:rPr>
              <w:t>2</w:t>
            </w:r>
            <w:r>
              <w:rPr>
                <w:spacing w:val="-7"/>
                <w:position w:val="7"/>
                <w:sz w:val="14"/>
                <w:szCs w:val="14"/>
              </w:rPr>
              <w:t xml:space="preserve"> </w:t>
            </w:r>
            <w:r>
              <w:rPr>
                <w:rFonts w:ascii="仿宋" w:hAnsi="仿宋" w:eastAsia="仿宋" w:cs="仿宋"/>
                <w:spacing w:val="-6"/>
              </w:rPr>
              <w:t>，占地类型为耕地，。</w:t>
            </w:r>
          </w:p>
        </w:tc>
        <w:tc>
          <w:tcPr>
            <w:tcW w:w="1805" w:type="dxa"/>
            <w:tcBorders>
              <w:right w:val="nil"/>
            </w:tcBorders>
            <w:vAlign w:val="top"/>
          </w:tcPr>
          <w:p>
            <w:pPr>
              <w:spacing w:before="44" w:line="195" w:lineRule="auto"/>
              <w:ind w:left="500"/>
              <w:rPr>
                <w:rFonts w:ascii="仿宋" w:hAnsi="仿宋" w:eastAsia="仿宋" w:cs="仿宋"/>
                <w:sz w:val="21"/>
                <w:szCs w:val="21"/>
              </w:rPr>
            </w:pPr>
            <w:r>
              <w:rPr>
                <w:rFonts w:ascii="仿宋" w:hAnsi="仿宋" w:eastAsia="仿宋" w:cs="仿宋"/>
                <w:spacing w:val="-5"/>
                <w:sz w:val="21"/>
                <w:szCs w:val="21"/>
              </w:rPr>
              <w:t>坝址右岸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1419" w:type="dxa"/>
            <w:vMerge w:val="continue"/>
            <w:tcBorders>
              <w:top w:val="nil"/>
              <w:left w:val="nil"/>
              <w:bottom w:val="nil"/>
            </w:tcBorders>
            <w:vAlign w:val="top"/>
          </w:tcPr>
          <w:p>
            <w:pPr>
              <w:rPr>
                <w:rFonts w:ascii="Arial"/>
                <w:sz w:val="21"/>
              </w:rPr>
            </w:pPr>
          </w:p>
        </w:tc>
        <w:tc>
          <w:tcPr>
            <w:tcW w:w="3265" w:type="dxa"/>
            <w:gridSpan w:val="2"/>
            <w:vMerge w:val="restart"/>
            <w:tcBorders>
              <w:bottom w:val="nil"/>
            </w:tcBorders>
            <w:vAlign w:val="top"/>
          </w:tcPr>
          <w:p>
            <w:pPr>
              <w:spacing w:line="329" w:lineRule="auto"/>
              <w:rPr>
                <w:rFonts w:ascii="Arial"/>
                <w:sz w:val="21"/>
              </w:rPr>
            </w:pPr>
          </w:p>
          <w:p>
            <w:pPr>
              <w:spacing w:line="330" w:lineRule="auto"/>
              <w:rPr>
                <w:rFonts w:ascii="Arial"/>
                <w:sz w:val="21"/>
              </w:rPr>
            </w:pPr>
          </w:p>
          <w:p>
            <w:pPr>
              <w:spacing w:before="68" w:line="218" w:lineRule="auto"/>
              <w:ind w:left="1225"/>
              <w:rPr>
                <w:rFonts w:ascii="仿宋" w:hAnsi="仿宋" w:eastAsia="仿宋" w:cs="仿宋"/>
                <w:sz w:val="21"/>
                <w:szCs w:val="21"/>
              </w:rPr>
            </w:pPr>
            <w:r>
              <w:rPr>
                <w:rFonts w:ascii="仿宋" w:hAnsi="仿宋" w:eastAsia="仿宋" w:cs="仿宋"/>
                <w:spacing w:val="-4"/>
                <w:sz w:val="21"/>
                <w:szCs w:val="21"/>
              </w:rPr>
              <w:t>永久道路</w:t>
            </w:r>
          </w:p>
        </w:tc>
        <w:tc>
          <w:tcPr>
            <w:tcW w:w="7513" w:type="dxa"/>
            <w:vAlign w:val="top"/>
          </w:tcPr>
          <w:p>
            <w:pPr>
              <w:pStyle w:val="6"/>
              <w:spacing w:before="44" w:line="224" w:lineRule="auto"/>
              <w:ind w:left="4" w:right="61" w:firstLine="10"/>
              <w:jc w:val="both"/>
              <w:rPr>
                <w:rFonts w:ascii="仿宋" w:hAnsi="仿宋" w:eastAsia="仿宋" w:cs="仿宋"/>
              </w:rPr>
            </w:pPr>
            <w:r>
              <w:rPr>
                <w:rFonts w:ascii="仿宋" w:hAnsi="仿宋" w:eastAsia="仿宋" w:cs="仿宋"/>
                <w:spacing w:val="-5"/>
              </w:rPr>
              <w:t>桂花水库新永久道路</w:t>
            </w:r>
            <w:r>
              <w:rPr>
                <w:rFonts w:ascii="仿宋" w:hAnsi="仿宋" w:eastAsia="仿宋" w:cs="仿宋"/>
                <w:spacing w:val="-43"/>
              </w:rPr>
              <w:t xml:space="preserve"> </w:t>
            </w:r>
            <w:r>
              <w:rPr>
                <w:spacing w:val="-5"/>
              </w:rPr>
              <w:t>3</w:t>
            </w:r>
            <w:r>
              <w:rPr>
                <w:spacing w:val="16"/>
              </w:rPr>
              <w:t xml:space="preserve"> </w:t>
            </w:r>
            <w:r>
              <w:rPr>
                <w:rFonts w:ascii="仿宋" w:hAnsi="仿宋" w:eastAsia="仿宋" w:cs="仿宋"/>
                <w:spacing w:val="-5"/>
              </w:rPr>
              <w:t>条，共</w:t>
            </w:r>
            <w:r>
              <w:rPr>
                <w:rFonts w:ascii="仿宋" w:hAnsi="仿宋" w:eastAsia="仿宋" w:cs="仿宋"/>
                <w:spacing w:val="-44"/>
              </w:rPr>
              <w:t xml:space="preserve"> </w:t>
            </w:r>
            <w:r>
              <w:rPr>
                <w:spacing w:val="-5"/>
              </w:rPr>
              <w:t>0.3km</w:t>
            </w:r>
            <w:r>
              <w:rPr>
                <w:rFonts w:ascii="仿宋" w:hAnsi="仿宋" w:eastAsia="仿宋" w:cs="仿宋"/>
                <w:spacing w:val="-5"/>
              </w:rPr>
              <w:t>，其中上坝道路（右岸）</w:t>
            </w:r>
            <w:r>
              <w:rPr>
                <w:rFonts w:ascii="仿宋" w:hAnsi="仿宋" w:eastAsia="仿宋" w:cs="仿宋"/>
                <w:spacing w:val="26"/>
              </w:rPr>
              <w:t xml:space="preserve"> </w:t>
            </w:r>
            <w:r>
              <w:rPr>
                <w:spacing w:val="-5"/>
              </w:rPr>
              <w:t>80m</w:t>
            </w:r>
            <w:r>
              <w:rPr>
                <w:rFonts w:ascii="仿宋" w:hAnsi="仿宋" w:eastAsia="仿宋" w:cs="仿宋"/>
                <w:spacing w:val="-6"/>
              </w:rPr>
              <w:t>，输水放空隧洞</w:t>
            </w:r>
            <w:r>
              <w:rPr>
                <w:rFonts w:ascii="仿宋" w:hAnsi="仿宋" w:eastAsia="仿宋" w:cs="仿宋"/>
              </w:rPr>
              <w:t xml:space="preserve"> </w:t>
            </w:r>
            <w:r>
              <w:rPr>
                <w:rFonts w:ascii="仿宋" w:hAnsi="仿宋" w:eastAsia="仿宋" w:cs="仿宋"/>
                <w:spacing w:val="-2"/>
              </w:rPr>
              <w:t>工作闸房至现有道路</w:t>
            </w:r>
            <w:r>
              <w:rPr>
                <w:rFonts w:ascii="仿宋" w:hAnsi="仿宋" w:eastAsia="仿宋" w:cs="仿宋"/>
                <w:spacing w:val="-27"/>
              </w:rPr>
              <w:t xml:space="preserve"> </w:t>
            </w:r>
            <w:r>
              <w:rPr>
                <w:spacing w:val="-2"/>
              </w:rPr>
              <w:t>150m</w:t>
            </w:r>
            <w:r>
              <w:rPr>
                <w:rFonts w:ascii="仿宋" w:hAnsi="仿宋" w:eastAsia="仿宋" w:cs="仿宋"/>
                <w:spacing w:val="-2"/>
              </w:rPr>
              <w:t>，水库管理房</w:t>
            </w:r>
            <w:r>
              <w:rPr>
                <w:rFonts w:ascii="仿宋" w:hAnsi="仿宋" w:eastAsia="仿宋" w:cs="仿宋"/>
                <w:spacing w:val="-3"/>
              </w:rPr>
              <w:t>接引瓦拉公路</w:t>
            </w:r>
            <w:r>
              <w:rPr>
                <w:rFonts w:ascii="仿宋" w:hAnsi="仿宋" w:eastAsia="仿宋" w:cs="仿宋"/>
                <w:spacing w:val="-30"/>
              </w:rPr>
              <w:t xml:space="preserve"> </w:t>
            </w:r>
            <w:r>
              <w:rPr>
                <w:spacing w:val="-3"/>
              </w:rPr>
              <w:t>70m</w:t>
            </w:r>
            <w:r>
              <w:rPr>
                <w:spacing w:val="-24"/>
              </w:rPr>
              <w:t xml:space="preserve"> </w:t>
            </w:r>
            <w:r>
              <w:rPr>
                <w:rFonts w:ascii="仿宋" w:hAnsi="仿宋" w:eastAsia="仿宋" w:cs="仿宋"/>
                <w:spacing w:val="-3"/>
              </w:rPr>
              <w:t>，路基宽</w:t>
            </w:r>
            <w:r>
              <w:rPr>
                <w:rFonts w:ascii="仿宋" w:hAnsi="仿宋" w:eastAsia="仿宋" w:cs="仿宋"/>
                <w:spacing w:val="-43"/>
              </w:rPr>
              <w:t xml:space="preserve"> </w:t>
            </w:r>
            <w:r>
              <w:rPr>
                <w:spacing w:val="-3"/>
              </w:rPr>
              <w:t>6m</w:t>
            </w:r>
            <w:r>
              <w:rPr>
                <w:rFonts w:ascii="仿宋" w:hAnsi="仿宋" w:eastAsia="仿宋" w:cs="仿宋"/>
                <w:spacing w:val="-3"/>
              </w:rPr>
              <w:t xml:space="preserve">，路面宽 </w:t>
            </w:r>
            <w:r>
              <w:rPr>
                <w:spacing w:val="-2"/>
              </w:rPr>
              <w:t>4.5m,</w:t>
            </w:r>
            <w:r>
              <w:rPr>
                <w:rFonts w:ascii="仿宋" w:hAnsi="仿宋" w:eastAsia="仿宋" w:cs="仿宋"/>
                <w:spacing w:val="-2"/>
              </w:rPr>
              <w:t>采用</w:t>
            </w:r>
            <w:r>
              <w:rPr>
                <w:rFonts w:ascii="仿宋" w:hAnsi="仿宋" w:eastAsia="仿宋" w:cs="仿宋"/>
                <w:spacing w:val="-42"/>
              </w:rPr>
              <w:t xml:space="preserve"> </w:t>
            </w:r>
            <w:r>
              <w:rPr>
                <w:spacing w:val="-2"/>
              </w:rPr>
              <w:t>C20</w:t>
            </w:r>
            <w:r>
              <w:rPr>
                <w:spacing w:val="18"/>
                <w:w w:val="101"/>
              </w:rPr>
              <w:t xml:space="preserve"> </w:t>
            </w:r>
            <w:r>
              <w:rPr>
                <w:rFonts w:ascii="仿宋" w:hAnsi="仿宋" w:eastAsia="仿宋" w:cs="仿宋"/>
                <w:spacing w:val="-2"/>
              </w:rPr>
              <w:t>混凝土路面。</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1419" w:type="dxa"/>
            <w:vMerge w:val="continue"/>
            <w:tcBorders>
              <w:top w:val="nil"/>
              <w:left w:val="nil"/>
            </w:tcBorders>
            <w:vAlign w:val="top"/>
          </w:tcPr>
          <w:p>
            <w:pPr>
              <w:rPr>
                <w:rFonts w:ascii="Arial"/>
                <w:sz w:val="21"/>
              </w:rPr>
            </w:pPr>
          </w:p>
        </w:tc>
        <w:tc>
          <w:tcPr>
            <w:tcW w:w="3265" w:type="dxa"/>
            <w:gridSpan w:val="2"/>
            <w:vMerge w:val="continue"/>
            <w:tcBorders>
              <w:top w:val="nil"/>
            </w:tcBorders>
            <w:vAlign w:val="top"/>
          </w:tcPr>
          <w:p>
            <w:pPr>
              <w:rPr>
                <w:rFonts w:ascii="Arial"/>
                <w:sz w:val="21"/>
              </w:rPr>
            </w:pPr>
          </w:p>
        </w:tc>
        <w:tc>
          <w:tcPr>
            <w:tcW w:w="7513" w:type="dxa"/>
            <w:vAlign w:val="top"/>
          </w:tcPr>
          <w:p>
            <w:pPr>
              <w:pStyle w:val="6"/>
              <w:spacing w:before="48" w:line="223" w:lineRule="auto"/>
              <w:ind w:left="13" w:right="104" w:firstLine="9"/>
              <w:jc w:val="both"/>
              <w:rPr>
                <w:rFonts w:ascii="仿宋" w:hAnsi="仿宋" w:eastAsia="仿宋" w:cs="仿宋"/>
              </w:rPr>
            </w:pPr>
            <w:r>
              <w:rPr>
                <w:rFonts w:ascii="仿宋" w:hAnsi="仿宋" w:eastAsia="仿宋" w:cs="仿宋"/>
                <w:spacing w:val="-3"/>
              </w:rPr>
              <w:t>引输水及引洪工程共布置永久道路</w:t>
            </w:r>
            <w:r>
              <w:rPr>
                <w:rFonts w:ascii="仿宋" w:hAnsi="仿宋" w:eastAsia="仿宋" w:cs="仿宋"/>
                <w:spacing w:val="-38"/>
              </w:rPr>
              <w:t xml:space="preserve"> </w:t>
            </w:r>
            <w:r>
              <w:rPr>
                <w:spacing w:val="-3"/>
              </w:rPr>
              <w:t>3</w:t>
            </w:r>
            <w:r>
              <w:rPr>
                <w:spacing w:val="18"/>
              </w:rPr>
              <w:t xml:space="preserve"> </w:t>
            </w:r>
            <w:r>
              <w:rPr>
                <w:rFonts w:ascii="仿宋" w:hAnsi="仿宋" w:eastAsia="仿宋" w:cs="仿宋"/>
                <w:spacing w:val="-3"/>
              </w:rPr>
              <w:t>条，总长</w:t>
            </w:r>
            <w:r>
              <w:rPr>
                <w:rFonts w:ascii="仿宋" w:hAnsi="仿宋" w:eastAsia="仿宋" w:cs="仿宋"/>
                <w:spacing w:val="-26"/>
              </w:rPr>
              <w:t xml:space="preserve"> </w:t>
            </w:r>
            <w:r>
              <w:rPr>
                <w:spacing w:val="-3"/>
              </w:rPr>
              <w:t>0.8km</w:t>
            </w:r>
            <w:r>
              <w:rPr>
                <w:spacing w:val="-23"/>
              </w:rPr>
              <w:t xml:space="preserve"> </w:t>
            </w:r>
            <w:r>
              <w:rPr>
                <w:rFonts w:ascii="仿宋" w:hAnsi="仿宋" w:eastAsia="仿宋" w:cs="仿宋"/>
                <w:spacing w:val="-3"/>
              </w:rPr>
              <w:t>。六姑乍箐取水坝至现状道</w:t>
            </w:r>
            <w:r>
              <w:rPr>
                <w:rFonts w:ascii="仿宋" w:hAnsi="仿宋" w:eastAsia="仿宋" w:cs="仿宋"/>
              </w:rPr>
              <w:t xml:space="preserve">  </w:t>
            </w:r>
            <w:r>
              <w:rPr>
                <w:rFonts w:ascii="仿宋" w:hAnsi="仿宋" w:eastAsia="仿宋" w:cs="仿宋"/>
                <w:spacing w:val="-3"/>
              </w:rPr>
              <w:t>路长</w:t>
            </w:r>
            <w:r>
              <w:rPr>
                <w:rFonts w:ascii="仿宋" w:hAnsi="仿宋" w:eastAsia="仿宋" w:cs="仿宋"/>
                <w:spacing w:val="-32"/>
              </w:rPr>
              <w:t xml:space="preserve"> </w:t>
            </w:r>
            <w:r>
              <w:rPr>
                <w:spacing w:val="-3"/>
              </w:rPr>
              <w:t>0.4km</w:t>
            </w:r>
            <w:r>
              <w:rPr>
                <w:spacing w:val="-24"/>
              </w:rPr>
              <w:t xml:space="preserve"> </w:t>
            </w:r>
            <w:r>
              <w:rPr>
                <w:rFonts w:ascii="仿宋" w:hAnsi="仿宋" w:eastAsia="仿宋" w:cs="仿宋"/>
                <w:spacing w:val="-3"/>
              </w:rPr>
              <w:t>，见簸箐接至取水坝道路长</w:t>
            </w:r>
            <w:r>
              <w:rPr>
                <w:rFonts w:ascii="仿宋" w:hAnsi="仿宋" w:eastAsia="仿宋" w:cs="仿宋"/>
                <w:spacing w:val="-44"/>
              </w:rPr>
              <w:t xml:space="preserve"> </w:t>
            </w:r>
            <w:r>
              <w:rPr>
                <w:spacing w:val="-3"/>
              </w:rPr>
              <w:t>0.2km</w:t>
            </w:r>
            <w:r>
              <w:rPr>
                <w:spacing w:val="-24"/>
              </w:rPr>
              <w:t xml:space="preserve"> </w:t>
            </w:r>
            <w:r>
              <w:rPr>
                <w:rFonts w:ascii="仿宋" w:hAnsi="仿宋" w:eastAsia="仿宋" w:cs="仿宋"/>
                <w:spacing w:val="-3"/>
              </w:rPr>
              <w:t>，见簸箐至渠台道路长</w:t>
            </w:r>
            <w:r>
              <w:rPr>
                <w:rFonts w:ascii="仿宋" w:hAnsi="仿宋" w:eastAsia="仿宋" w:cs="仿宋"/>
                <w:spacing w:val="-44"/>
              </w:rPr>
              <w:t xml:space="preserve"> </w:t>
            </w:r>
            <w:r>
              <w:rPr>
                <w:spacing w:val="-3"/>
              </w:rPr>
              <w:t>0.2km</w:t>
            </w:r>
            <w:r>
              <w:rPr>
                <w:rFonts w:ascii="仿宋" w:hAnsi="仿宋" w:eastAsia="仿宋" w:cs="仿宋"/>
                <w:spacing w:val="-3"/>
              </w:rPr>
              <w:t>，路面</w:t>
            </w:r>
            <w:r>
              <w:rPr>
                <w:rFonts w:ascii="仿宋" w:hAnsi="仿宋" w:eastAsia="仿宋" w:cs="仿宋"/>
              </w:rPr>
              <w:t xml:space="preserve"> </w:t>
            </w:r>
            <w:r>
              <w:rPr>
                <w:rFonts w:ascii="仿宋" w:hAnsi="仿宋" w:eastAsia="仿宋" w:cs="仿宋"/>
                <w:spacing w:val="-5"/>
              </w:rPr>
              <w:t>宽</w:t>
            </w:r>
            <w:r>
              <w:rPr>
                <w:rFonts w:ascii="仿宋" w:hAnsi="仿宋" w:eastAsia="仿宋" w:cs="仿宋"/>
                <w:spacing w:val="-47"/>
              </w:rPr>
              <w:t xml:space="preserve"> </w:t>
            </w:r>
            <w:r>
              <w:rPr>
                <w:spacing w:val="-5"/>
              </w:rPr>
              <w:t>4.5m</w:t>
            </w:r>
            <w:r>
              <w:rPr>
                <w:rFonts w:ascii="仿宋" w:hAnsi="仿宋" w:eastAsia="仿宋" w:cs="仿宋"/>
                <w:spacing w:val="-5"/>
              </w:rPr>
              <w:t xml:space="preserve">，采用 </w:t>
            </w:r>
            <w:r>
              <w:rPr>
                <w:spacing w:val="-5"/>
              </w:rPr>
              <w:t>C20</w:t>
            </w:r>
            <w:r>
              <w:rPr>
                <w:spacing w:val="18"/>
                <w:w w:val="101"/>
              </w:rPr>
              <w:t xml:space="preserve"> </w:t>
            </w:r>
            <w:r>
              <w:rPr>
                <w:rFonts w:ascii="仿宋" w:hAnsi="仿宋" w:eastAsia="仿宋" w:cs="仿宋"/>
                <w:spacing w:val="-5"/>
              </w:rPr>
              <w:t>混凝土路面。</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64" w:hRule="atLeast"/>
        </w:trPr>
        <w:tc>
          <w:tcPr>
            <w:tcW w:w="1419" w:type="dxa"/>
            <w:vMerge w:val="restart"/>
            <w:tcBorders>
              <w:left w:val="nil"/>
              <w:bottom w:val="nil"/>
            </w:tcBorders>
            <w:vAlign w:val="top"/>
          </w:tcPr>
          <w:p>
            <w:pPr>
              <w:spacing w:line="354" w:lineRule="auto"/>
              <w:rPr>
                <w:rFonts w:ascii="Arial"/>
                <w:sz w:val="21"/>
              </w:rPr>
            </w:pPr>
          </w:p>
          <w:p>
            <w:pPr>
              <w:spacing w:line="355" w:lineRule="auto"/>
              <w:rPr>
                <w:rFonts w:ascii="Arial"/>
                <w:sz w:val="21"/>
              </w:rPr>
            </w:pPr>
          </w:p>
          <w:p>
            <w:pPr>
              <w:spacing w:before="69" w:line="219" w:lineRule="auto"/>
              <w:ind w:left="311"/>
              <w:rPr>
                <w:rFonts w:ascii="仿宋" w:hAnsi="仿宋" w:eastAsia="仿宋" w:cs="仿宋"/>
                <w:sz w:val="21"/>
                <w:szCs w:val="21"/>
              </w:rPr>
            </w:pPr>
            <w:r>
              <w:rPr>
                <w:rFonts w:ascii="仿宋" w:hAnsi="仿宋" w:eastAsia="仿宋" w:cs="仿宋"/>
                <w:spacing w:val="-5"/>
                <w:sz w:val="21"/>
                <w:szCs w:val="21"/>
              </w:rPr>
              <w:t>临时工程</w:t>
            </w:r>
          </w:p>
        </w:tc>
        <w:tc>
          <w:tcPr>
            <w:tcW w:w="1277" w:type="dxa"/>
            <w:vMerge w:val="restart"/>
            <w:tcBorders>
              <w:bottom w:val="nil"/>
            </w:tcBorders>
            <w:vAlign w:val="top"/>
          </w:tcPr>
          <w:p>
            <w:pPr>
              <w:spacing w:line="354" w:lineRule="auto"/>
              <w:rPr>
                <w:rFonts w:ascii="Arial"/>
                <w:sz w:val="21"/>
              </w:rPr>
            </w:pPr>
          </w:p>
          <w:p>
            <w:pPr>
              <w:spacing w:line="355" w:lineRule="auto"/>
              <w:rPr>
                <w:rFonts w:ascii="Arial"/>
                <w:sz w:val="21"/>
              </w:rPr>
            </w:pPr>
          </w:p>
          <w:p>
            <w:pPr>
              <w:spacing w:before="68" w:line="220" w:lineRule="auto"/>
              <w:ind w:left="227"/>
              <w:rPr>
                <w:rFonts w:ascii="仿宋" w:hAnsi="仿宋" w:eastAsia="仿宋" w:cs="仿宋"/>
                <w:sz w:val="21"/>
                <w:szCs w:val="21"/>
              </w:rPr>
            </w:pPr>
            <w:r>
              <w:rPr>
                <w:rFonts w:ascii="仿宋" w:hAnsi="仿宋" w:eastAsia="仿宋" w:cs="仿宋"/>
                <w:spacing w:val="-3"/>
                <w:sz w:val="21"/>
                <w:szCs w:val="21"/>
              </w:rPr>
              <w:t>施工导流</w:t>
            </w:r>
          </w:p>
        </w:tc>
        <w:tc>
          <w:tcPr>
            <w:tcW w:w="1988" w:type="dxa"/>
            <w:vAlign w:val="top"/>
          </w:tcPr>
          <w:p>
            <w:pPr>
              <w:spacing w:line="275" w:lineRule="auto"/>
              <w:rPr>
                <w:rFonts w:ascii="Arial"/>
                <w:sz w:val="21"/>
              </w:rPr>
            </w:pPr>
          </w:p>
          <w:p>
            <w:pPr>
              <w:spacing w:before="69" w:line="218" w:lineRule="auto"/>
              <w:ind w:left="583"/>
              <w:rPr>
                <w:rFonts w:ascii="仿宋" w:hAnsi="仿宋" w:eastAsia="仿宋" w:cs="仿宋"/>
                <w:sz w:val="21"/>
                <w:szCs w:val="21"/>
              </w:rPr>
            </w:pPr>
            <w:r>
              <w:rPr>
                <w:rFonts w:ascii="仿宋" w:hAnsi="仿宋" w:eastAsia="仿宋" w:cs="仿宋"/>
                <w:spacing w:val="-4"/>
                <w:sz w:val="21"/>
                <w:szCs w:val="21"/>
              </w:rPr>
              <w:t>枢纽导流</w:t>
            </w:r>
          </w:p>
        </w:tc>
        <w:tc>
          <w:tcPr>
            <w:tcW w:w="7513" w:type="dxa"/>
            <w:vAlign w:val="top"/>
          </w:tcPr>
          <w:p>
            <w:pPr>
              <w:spacing w:before="74" w:line="228" w:lineRule="auto"/>
              <w:ind w:left="22" w:right="156" w:hanging="8"/>
              <w:rPr>
                <w:rFonts w:ascii="仿宋" w:hAnsi="仿宋" w:eastAsia="仿宋" w:cs="仿宋"/>
                <w:sz w:val="21"/>
                <w:szCs w:val="21"/>
              </w:rPr>
            </w:pPr>
            <w:r>
              <w:rPr>
                <w:rFonts w:ascii="仿宋" w:hAnsi="仿宋" w:eastAsia="仿宋" w:cs="仿宋"/>
                <w:sz w:val="21"/>
                <w:szCs w:val="21"/>
              </w:rPr>
              <w:t>初期采用围堰挡水，导流输水隧洞泄流，中期</w:t>
            </w:r>
            <w:r>
              <w:rPr>
                <w:rFonts w:ascii="仿宋" w:hAnsi="仿宋" w:eastAsia="仿宋" w:cs="仿宋"/>
                <w:spacing w:val="-1"/>
                <w:sz w:val="21"/>
                <w:szCs w:val="21"/>
              </w:rPr>
              <w:t>采用坝体临时断面挡水，导流输水</w:t>
            </w:r>
            <w:r>
              <w:rPr>
                <w:rFonts w:ascii="仿宋" w:hAnsi="仿宋" w:eastAsia="仿宋" w:cs="仿宋"/>
                <w:sz w:val="21"/>
                <w:szCs w:val="21"/>
              </w:rPr>
              <w:t xml:space="preserve"> </w:t>
            </w:r>
            <w:r>
              <w:rPr>
                <w:rFonts w:ascii="仿宋" w:hAnsi="仿宋" w:eastAsia="仿宋" w:cs="仿宋"/>
                <w:spacing w:val="-8"/>
                <w:sz w:val="21"/>
                <w:szCs w:val="21"/>
              </w:rPr>
              <w:t>隧洞泄流。</w:t>
            </w:r>
          </w:p>
          <w:p>
            <w:pPr>
              <w:pStyle w:val="6"/>
              <w:spacing w:before="25" w:line="207" w:lineRule="auto"/>
              <w:ind w:left="36"/>
              <w:rPr>
                <w:rFonts w:ascii="仿宋" w:hAnsi="仿宋" w:eastAsia="仿宋" w:cs="仿宋"/>
              </w:rPr>
            </w:pPr>
            <w:r>
              <w:rPr>
                <w:rFonts w:ascii="仿宋" w:hAnsi="仿宋" w:eastAsia="仿宋" w:cs="仿宋"/>
                <w:spacing w:val="-9"/>
              </w:rPr>
              <w:t>围堰： 采用粘土斜墙土石围堰，</w:t>
            </w:r>
            <w:r>
              <w:rPr>
                <w:rFonts w:ascii="仿宋" w:hAnsi="仿宋" w:eastAsia="仿宋" w:cs="仿宋"/>
                <w:spacing w:val="75"/>
              </w:rPr>
              <w:t xml:space="preserve"> </w:t>
            </w:r>
            <w:r>
              <w:rPr>
                <w:rFonts w:ascii="仿宋" w:hAnsi="仿宋" w:eastAsia="仿宋" w:cs="仿宋"/>
                <w:spacing w:val="-9"/>
              </w:rPr>
              <w:t>堰顶高程</w:t>
            </w:r>
            <w:r>
              <w:rPr>
                <w:rFonts w:ascii="仿宋" w:hAnsi="仿宋" w:eastAsia="仿宋" w:cs="仿宋"/>
                <w:spacing w:val="-47"/>
              </w:rPr>
              <w:t xml:space="preserve"> </w:t>
            </w:r>
            <w:r>
              <w:rPr>
                <w:spacing w:val="-9"/>
              </w:rPr>
              <w:t>2026.50m</w:t>
            </w:r>
            <w:r>
              <w:rPr>
                <w:rFonts w:ascii="仿宋" w:hAnsi="仿宋" w:eastAsia="仿宋" w:cs="仿宋"/>
                <w:spacing w:val="-9"/>
              </w:rPr>
              <w:t>，堰高</w:t>
            </w:r>
            <w:r>
              <w:rPr>
                <w:rFonts w:ascii="仿宋" w:hAnsi="仿宋" w:eastAsia="仿宋" w:cs="仿宋"/>
                <w:spacing w:val="-28"/>
              </w:rPr>
              <w:t xml:space="preserve"> </w:t>
            </w:r>
            <w:r>
              <w:rPr>
                <w:spacing w:val="-9"/>
              </w:rPr>
              <w:t>9.0m</w:t>
            </w:r>
            <w:r>
              <w:rPr>
                <w:rFonts w:ascii="仿宋" w:hAnsi="仿宋" w:eastAsia="仿宋" w:cs="仿宋"/>
                <w:spacing w:val="-9"/>
              </w:rPr>
              <w:t>，顶宽</w:t>
            </w:r>
            <w:r>
              <w:rPr>
                <w:rFonts w:ascii="仿宋" w:hAnsi="仿宋" w:eastAsia="仿宋" w:cs="仿宋"/>
                <w:spacing w:val="-27"/>
              </w:rPr>
              <w:t xml:space="preserve"> </w:t>
            </w:r>
            <w:r>
              <w:rPr>
                <w:spacing w:val="-9"/>
              </w:rPr>
              <w:t>5.0m</w:t>
            </w:r>
            <w:r>
              <w:rPr>
                <w:rFonts w:ascii="仿宋" w:hAnsi="仿宋" w:eastAsia="仿宋" w:cs="仿宋"/>
                <w:spacing w:val="-9"/>
              </w:rPr>
              <w:t>。</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65" w:hRule="atLeast"/>
        </w:trPr>
        <w:tc>
          <w:tcPr>
            <w:tcW w:w="1419" w:type="dxa"/>
            <w:vMerge w:val="continue"/>
            <w:tcBorders>
              <w:top w:val="nil"/>
              <w:left w:val="nil"/>
            </w:tcBorders>
            <w:vAlign w:val="top"/>
          </w:tcPr>
          <w:p>
            <w:pPr>
              <w:rPr>
                <w:rFonts w:ascii="Arial"/>
                <w:sz w:val="21"/>
              </w:rPr>
            </w:pPr>
          </w:p>
        </w:tc>
        <w:tc>
          <w:tcPr>
            <w:tcW w:w="1277" w:type="dxa"/>
            <w:vMerge w:val="continue"/>
            <w:tcBorders>
              <w:top w:val="nil"/>
            </w:tcBorders>
            <w:vAlign w:val="top"/>
          </w:tcPr>
          <w:p>
            <w:pPr>
              <w:rPr>
                <w:rFonts w:ascii="Arial"/>
                <w:sz w:val="21"/>
              </w:rPr>
            </w:pPr>
          </w:p>
        </w:tc>
        <w:tc>
          <w:tcPr>
            <w:tcW w:w="1988" w:type="dxa"/>
            <w:vAlign w:val="top"/>
          </w:tcPr>
          <w:p>
            <w:pPr>
              <w:spacing w:before="213" w:line="229" w:lineRule="auto"/>
              <w:ind w:left="795" w:right="47" w:hanging="729"/>
              <w:rPr>
                <w:rFonts w:ascii="仿宋" w:hAnsi="仿宋" w:eastAsia="仿宋" w:cs="仿宋"/>
                <w:sz w:val="21"/>
                <w:szCs w:val="21"/>
              </w:rPr>
            </w:pPr>
            <w:r>
              <w:rPr>
                <w:rFonts w:ascii="仿宋" w:hAnsi="仿宋" w:eastAsia="仿宋" w:cs="仿宋"/>
                <w:spacing w:val="-3"/>
                <w:sz w:val="21"/>
                <w:szCs w:val="21"/>
              </w:rPr>
              <w:t>引水工程、引洪工程</w:t>
            </w:r>
            <w:r>
              <w:rPr>
                <w:rFonts w:ascii="仿宋" w:hAnsi="仿宋" w:eastAsia="仿宋" w:cs="仿宋"/>
                <w:spacing w:val="4"/>
                <w:sz w:val="21"/>
                <w:szCs w:val="21"/>
              </w:rPr>
              <w:t xml:space="preserve"> </w:t>
            </w:r>
            <w:r>
              <w:rPr>
                <w:rFonts w:ascii="仿宋" w:hAnsi="仿宋" w:eastAsia="仿宋" w:cs="仿宋"/>
                <w:spacing w:val="-4"/>
                <w:sz w:val="21"/>
                <w:szCs w:val="21"/>
              </w:rPr>
              <w:t>导流</w:t>
            </w:r>
          </w:p>
        </w:tc>
        <w:tc>
          <w:tcPr>
            <w:tcW w:w="7513" w:type="dxa"/>
            <w:vAlign w:val="top"/>
          </w:tcPr>
          <w:p>
            <w:pPr>
              <w:spacing w:before="212" w:line="218" w:lineRule="auto"/>
              <w:ind w:left="14"/>
              <w:rPr>
                <w:rFonts w:ascii="仿宋" w:hAnsi="仿宋" w:eastAsia="仿宋" w:cs="仿宋"/>
                <w:sz w:val="21"/>
                <w:szCs w:val="21"/>
              </w:rPr>
            </w:pPr>
            <w:r>
              <w:rPr>
                <w:rFonts w:ascii="仿宋" w:hAnsi="仿宋" w:eastAsia="仿宋" w:cs="仿宋"/>
                <w:spacing w:val="-1"/>
                <w:sz w:val="21"/>
                <w:szCs w:val="21"/>
              </w:rPr>
              <w:t>初期采用纵向围堰导流，中期采用冲沙闸导流。</w:t>
            </w:r>
          </w:p>
          <w:p>
            <w:pPr>
              <w:pStyle w:val="6"/>
              <w:spacing w:before="23" w:line="217" w:lineRule="auto"/>
              <w:ind w:left="36"/>
              <w:rPr>
                <w:rFonts w:ascii="仿宋" w:hAnsi="仿宋" w:eastAsia="仿宋" w:cs="仿宋"/>
              </w:rPr>
            </w:pPr>
            <w:r>
              <w:rPr>
                <w:rFonts w:ascii="仿宋" w:hAnsi="仿宋" w:eastAsia="仿宋" w:cs="仿宋"/>
                <w:spacing w:val="-7"/>
              </w:rPr>
              <w:t>围堰： 采用编制袋装土围堰进行挡水，堰高</w:t>
            </w:r>
            <w:r>
              <w:rPr>
                <w:rFonts w:ascii="仿宋" w:hAnsi="仿宋" w:eastAsia="仿宋" w:cs="仿宋"/>
                <w:spacing w:val="-18"/>
              </w:rPr>
              <w:t xml:space="preserve"> </w:t>
            </w:r>
            <w:r>
              <w:rPr>
                <w:spacing w:val="-7"/>
              </w:rPr>
              <w:t>1m</w:t>
            </w:r>
            <w:r>
              <w:rPr>
                <w:rFonts w:ascii="仿宋" w:hAnsi="仿宋" w:eastAsia="仿宋" w:cs="仿宋"/>
                <w:spacing w:val="-7"/>
              </w:rPr>
              <w:t>，顶宽</w:t>
            </w:r>
            <w:r>
              <w:rPr>
                <w:rFonts w:ascii="仿宋" w:hAnsi="仿宋" w:eastAsia="仿宋" w:cs="仿宋"/>
                <w:spacing w:val="-32"/>
              </w:rPr>
              <w:t xml:space="preserve"> </w:t>
            </w:r>
            <w:r>
              <w:rPr>
                <w:spacing w:val="-7"/>
              </w:rPr>
              <w:t>2m</w:t>
            </w:r>
            <w:r>
              <w:rPr>
                <w:rFonts w:ascii="仿宋" w:hAnsi="仿宋" w:eastAsia="仿宋" w:cs="仿宋"/>
                <w:spacing w:val="-7"/>
              </w:rPr>
              <w:t>。</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1419" w:type="dxa"/>
            <w:vMerge w:val="restart"/>
            <w:tcBorders>
              <w:left w:val="nil"/>
              <w:bottom w:val="nil"/>
            </w:tcBorders>
            <w:vAlign w:val="top"/>
          </w:tcPr>
          <w:p>
            <w:pPr>
              <w:spacing w:line="267" w:lineRule="auto"/>
              <w:rPr>
                <w:rFonts w:ascii="Arial"/>
                <w:sz w:val="21"/>
              </w:rPr>
            </w:pPr>
          </w:p>
          <w:p>
            <w:pPr>
              <w:spacing w:line="267" w:lineRule="auto"/>
              <w:rPr>
                <w:rFonts w:ascii="Arial"/>
                <w:sz w:val="21"/>
              </w:rPr>
            </w:pPr>
          </w:p>
          <w:p>
            <w:pPr>
              <w:spacing w:before="68" w:line="217" w:lineRule="auto"/>
              <w:ind w:left="297"/>
              <w:rPr>
                <w:rFonts w:ascii="仿宋" w:hAnsi="仿宋" w:eastAsia="仿宋" w:cs="仿宋"/>
                <w:sz w:val="21"/>
                <w:szCs w:val="21"/>
              </w:rPr>
            </w:pPr>
            <w:r>
              <w:rPr>
                <w:rFonts w:ascii="仿宋" w:hAnsi="仿宋" w:eastAsia="仿宋" w:cs="仿宋"/>
                <w:spacing w:val="-4"/>
                <w:sz w:val="21"/>
                <w:szCs w:val="21"/>
              </w:rPr>
              <w:t>辅助工程</w:t>
            </w:r>
          </w:p>
        </w:tc>
        <w:tc>
          <w:tcPr>
            <w:tcW w:w="1277"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before="69" w:line="216" w:lineRule="auto"/>
              <w:ind w:left="437"/>
              <w:rPr>
                <w:rFonts w:ascii="仿宋" w:hAnsi="仿宋" w:eastAsia="仿宋" w:cs="仿宋"/>
                <w:sz w:val="21"/>
                <w:szCs w:val="21"/>
              </w:rPr>
            </w:pPr>
            <w:r>
              <w:rPr>
                <w:rFonts w:ascii="仿宋" w:hAnsi="仿宋" w:eastAsia="仿宋" w:cs="仿宋"/>
                <w:spacing w:val="-4"/>
                <w:sz w:val="21"/>
                <w:szCs w:val="21"/>
              </w:rPr>
              <w:t>料场</w:t>
            </w:r>
          </w:p>
        </w:tc>
        <w:tc>
          <w:tcPr>
            <w:tcW w:w="1988" w:type="dxa"/>
            <w:vAlign w:val="top"/>
          </w:tcPr>
          <w:p>
            <w:pPr>
              <w:spacing w:line="259" w:lineRule="auto"/>
              <w:rPr>
                <w:rFonts w:ascii="Arial"/>
                <w:sz w:val="21"/>
              </w:rPr>
            </w:pPr>
          </w:p>
          <w:p>
            <w:pPr>
              <w:spacing w:before="68" w:line="216" w:lineRule="auto"/>
              <w:ind w:left="585"/>
              <w:rPr>
                <w:rFonts w:ascii="仿宋" w:hAnsi="仿宋" w:eastAsia="仿宋" w:cs="仿宋"/>
                <w:sz w:val="21"/>
                <w:szCs w:val="21"/>
              </w:rPr>
            </w:pPr>
            <w:r>
              <w:rPr>
                <w:rFonts w:ascii="仿宋" w:hAnsi="仿宋" w:eastAsia="仿宋" w:cs="仿宋"/>
                <w:spacing w:val="-3"/>
                <w:sz w:val="21"/>
                <w:szCs w:val="21"/>
              </w:rPr>
              <w:t>粘土料场</w:t>
            </w:r>
          </w:p>
        </w:tc>
        <w:tc>
          <w:tcPr>
            <w:tcW w:w="7513" w:type="dxa"/>
            <w:vAlign w:val="top"/>
          </w:tcPr>
          <w:p>
            <w:pPr>
              <w:pStyle w:val="6"/>
              <w:spacing w:before="57" w:line="239" w:lineRule="auto"/>
              <w:ind w:left="3531" w:right="199" w:hanging="3322"/>
              <w:rPr>
                <w:rFonts w:ascii="仿宋" w:hAnsi="仿宋" w:eastAsia="仿宋" w:cs="仿宋"/>
              </w:rPr>
            </w:pPr>
            <w:r>
              <w:rPr>
                <w:rFonts w:ascii="仿宋" w:hAnsi="仿宋" w:eastAsia="仿宋" w:cs="仿宋"/>
                <w:spacing w:val="-6"/>
              </w:rPr>
              <w:t>设置</w:t>
            </w:r>
            <w:r>
              <w:rPr>
                <w:rFonts w:ascii="仿宋" w:hAnsi="仿宋" w:eastAsia="仿宋" w:cs="仿宋"/>
                <w:spacing w:val="-27"/>
              </w:rPr>
              <w:t xml:space="preserve"> </w:t>
            </w:r>
            <w:r>
              <w:rPr>
                <w:spacing w:val="-6"/>
              </w:rPr>
              <w:t>1</w:t>
            </w:r>
            <w:r>
              <w:rPr>
                <w:spacing w:val="16"/>
              </w:rPr>
              <w:t xml:space="preserve"> </w:t>
            </w:r>
            <w:r>
              <w:rPr>
                <w:rFonts w:ascii="仿宋" w:hAnsi="仿宋" w:eastAsia="仿宋" w:cs="仿宋"/>
                <w:spacing w:val="-6"/>
              </w:rPr>
              <w:t>个粘土料场， 有用层可采储量</w:t>
            </w:r>
            <w:r>
              <w:rPr>
                <w:rFonts w:ascii="仿宋" w:hAnsi="仿宋" w:eastAsia="仿宋" w:cs="仿宋"/>
                <w:spacing w:val="-42"/>
              </w:rPr>
              <w:t xml:space="preserve"> </w:t>
            </w:r>
            <w:r>
              <w:rPr>
                <w:spacing w:val="-6"/>
              </w:rPr>
              <w:t>51.44</w:t>
            </w:r>
            <w:r>
              <w:rPr>
                <w:spacing w:val="16"/>
                <w:w w:val="101"/>
              </w:rPr>
              <w:t xml:space="preserve"> </w:t>
            </w:r>
            <w:r>
              <w:rPr>
                <w:rFonts w:ascii="仿宋" w:hAnsi="仿宋" w:eastAsia="仿宋" w:cs="仿宋"/>
                <w:spacing w:val="-6"/>
              </w:rPr>
              <w:t>万</w:t>
            </w:r>
            <w:r>
              <w:rPr>
                <w:rFonts w:ascii="仿宋" w:hAnsi="仿宋" w:eastAsia="仿宋" w:cs="仿宋"/>
                <w:spacing w:val="-51"/>
              </w:rPr>
              <w:t xml:space="preserve"> </w:t>
            </w:r>
            <w:r>
              <w:rPr>
                <w:spacing w:val="-6"/>
              </w:rPr>
              <w:t>m</w:t>
            </w:r>
            <w:r>
              <w:rPr>
                <w:rFonts w:ascii="Calibri" w:hAnsi="Calibri" w:eastAsia="Calibri" w:cs="Calibri"/>
                <w:spacing w:val="-6"/>
              </w:rPr>
              <w:t>³</w:t>
            </w:r>
            <w:r>
              <w:rPr>
                <w:rFonts w:ascii="Calibri" w:hAnsi="Calibri" w:eastAsia="Calibri" w:cs="Calibri"/>
                <w:spacing w:val="-17"/>
              </w:rPr>
              <w:t xml:space="preserve"> </w:t>
            </w:r>
            <w:r>
              <w:rPr>
                <w:rFonts w:ascii="仿宋" w:hAnsi="仿宋" w:eastAsia="仿宋" w:cs="仿宋"/>
                <w:spacing w:val="-6"/>
              </w:rPr>
              <w:t>。大坝设计粘土用量</w:t>
            </w:r>
            <w:r>
              <w:rPr>
                <w:rFonts w:ascii="仿宋" w:hAnsi="仿宋" w:eastAsia="仿宋" w:cs="仿宋"/>
                <w:spacing w:val="-49"/>
              </w:rPr>
              <w:t xml:space="preserve"> </w:t>
            </w:r>
            <w:r>
              <w:rPr>
                <w:spacing w:val="-6"/>
              </w:rPr>
              <w:t>47.28</w:t>
            </w:r>
            <w:r>
              <w:rPr>
                <w:spacing w:val="17"/>
              </w:rPr>
              <w:t xml:space="preserve"> </w:t>
            </w:r>
            <w:r>
              <w:rPr>
                <w:rFonts w:ascii="仿宋" w:hAnsi="仿宋" w:eastAsia="仿宋" w:cs="仿宋"/>
                <w:spacing w:val="-6"/>
              </w:rPr>
              <w:t>万</w:t>
            </w:r>
            <w:r>
              <w:rPr>
                <w:rFonts w:ascii="仿宋" w:hAnsi="仿宋" w:eastAsia="仿宋" w:cs="仿宋"/>
              </w:rPr>
              <w:t xml:space="preserve"> </w:t>
            </w:r>
            <w:r>
              <w:rPr>
                <w:spacing w:val="-1"/>
                <w:position w:val="-1"/>
              </w:rPr>
              <w:t>m</w:t>
            </w:r>
            <w:r>
              <w:rPr>
                <w:spacing w:val="-1"/>
                <w:position w:val="6"/>
                <w:sz w:val="14"/>
                <w:szCs w:val="14"/>
              </w:rPr>
              <w:t>3</w:t>
            </w:r>
            <w:r>
              <w:rPr>
                <w:rFonts w:ascii="仿宋" w:hAnsi="仿宋" w:eastAsia="仿宋" w:cs="仿宋"/>
                <w:spacing w:val="-1"/>
                <w:position w:val="-1"/>
              </w:rPr>
              <w:t>。</w:t>
            </w:r>
          </w:p>
          <w:p>
            <w:pPr>
              <w:pStyle w:val="6"/>
              <w:spacing w:line="182" w:lineRule="auto"/>
              <w:ind w:left="1428"/>
              <w:rPr>
                <w:rFonts w:ascii="仿宋" w:hAnsi="仿宋" w:eastAsia="仿宋" w:cs="仿宋"/>
              </w:rPr>
            </w:pPr>
            <w:r>
              <w:rPr>
                <w:rFonts w:ascii="仿宋" w:hAnsi="仿宋" w:eastAsia="仿宋" w:cs="仿宋"/>
                <w:spacing w:val="-5"/>
              </w:rPr>
              <w:t>占地面积</w:t>
            </w:r>
            <w:r>
              <w:rPr>
                <w:rFonts w:ascii="仿宋" w:hAnsi="仿宋" w:eastAsia="仿宋" w:cs="仿宋"/>
                <w:spacing w:val="-21"/>
              </w:rPr>
              <w:t xml:space="preserve"> </w:t>
            </w:r>
            <w:r>
              <w:rPr>
                <w:spacing w:val="-5"/>
              </w:rPr>
              <w:t>18.72m</w:t>
            </w:r>
            <w:r>
              <w:rPr>
                <w:spacing w:val="-5"/>
                <w:position w:val="7"/>
                <w:sz w:val="14"/>
                <w:szCs w:val="14"/>
              </w:rPr>
              <w:t xml:space="preserve">2 </w:t>
            </w:r>
            <w:r>
              <w:rPr>
                <w:rFonts w:ascii="仿宋" w:hAnsi="仿宋" w:eastAsia="仿宋" w:cs="仿宋"/>
                <w:spacing w:val="-5"/>
              </w:rPr>
              <w:t>，占地类型为耕地、林地、园地。</w:t>
            </w:r>
          </w:p>
        </w:tc>
        <w:tc>
          <w:tcPr>
            <w:tcW w:w="1805" w:type="dxa"/>
            <w:tcBorders>
              <w:right w:val="nil"/>
            </w:tcBorders>
            <w:vAlign w:val="top"/>
          </w:tcPr>
          <w:p>
            <w:pPr>
              <w:spacing w:before="192" w:line="229" w:lineRule="auto"/>
              <w:ind w:left="292" w:right="60" w:hanging="218"/>
              <w:rPr>
                <w:rFonts w:ascii="仿宋" w:hAnsi="仿宋" w:eastAsia="仿宋" w:cs="仿宋"/>
                <w:sz w:val="21"/>
                <w:szCs w:val="21"/>
              </w:rPr>
            </w:pPr>
            <w:r>
              <w:rPr>
                <w:rFonts w:ascii="仿宋" w:hAnsi="仿宋" w:eastAsia="仿宋" w:cs="仿宋"/>
                <w:spacing w:val="-2"/>
                <w:sz w:val="21"/>
                <w:szCs w:val="21"/>
              </w:rPr>
              <w:t>水库上游皮左黑村</w:t>
            </w:r>
            <w:r>
              <w:rPr>
                <w:rFonts w:ascii="仿宋" w:hAnsi="仿宋" w:eastAsia="仿宋" w:cs="仿宋"/>
                <w:spacing w:val="1"/>
                <w:sz w:val="21"/>
                <w:szCs w:val="21"/>
              </w:rPr>
              <w:t xml:space="preserve"> </w:t>
            </w:r>
            <w:r>
              <w:rPr>
                <w:rFonts w:ascii="仿宋" w:hAnsi="仿宋" w:eastAsia="仿宋" w:cs="仿宋"/>
                <w:spacing w:val="-4"/>
                <w:sz w:val="21"/>
                <w:szCs w:val="21"/>
              </w:rPr>
              <w:t>委会的缓坡地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3" w:hRule="atLeast"/>
        </w:trPr>
        <w:tc>
          <w:tcPr>
            <w:tcW w:w="1419" w:type="dxa"/>
            <w:vMerge w:val="continue"/>
            <w:tcBorders>
              <w:top w:val="nil"/>
              <w:left w:val="nil"/>
              <w:bottom w:val="single" w:color="000000" w:sz="12" w:space="0"/>
            </w:tcBorders>
            <w:vAlign w:val="top"/>
          </w:tcPr>
          <w:p>
            <w:pPr>
              <w:rPr>
                <w:rFonts w:ascii="Arial"/>
                <w:sz w:val="21"/>
              </w:rPr>
            </w:pPr>
          </w:p>
        </w:tc>
        <w:tc>
          <w:tcPr>
            <w:tcW w:w="1277" w:type="dxa"/>
            <w:vMerge w:val="continue"/>
            <w:tcBorders>
              <w:top w:val="nil"/>
              <w:bottom w:val="single" w:color="000000" w:sz="12" w:space="0"/>
            </w:tcBorders>
            <w:vAlign w:val="top"/>
          </w:tcPr>
          <w:p>
            <w:pPr>
              <w:rPr>
                <w:rFonts w:ascii="Arial"/>
                <w:sz w:val="21"/>
              </w:rPr>
            </w:pPr>
          </w:p>
        </w:tc>
        <w:tc>
          <w:tcPr>
            <w:tcW w:w="1988" w:type="dxa"/>
            <w:tcBorders>
              <w:bottom w:val="single" w:color="000000" w:sz="12" w:space="0"/>
            </w:tcBorders>
            <w:vAlign w:val="top"/>
          </w:tcPr>
          <w:p>
            <w:pPr>
              <w:spacing w:before="196" w:line="216" w:lineRule="auto"/>
              <w:ind w:left="586"/>
              <w:rPr>
                <w:rFonts w:ascii="仿宋" w:hAnsi="仿宋" w:eastAsia="仿宋" w:cs="仿宋"/>
                <w:sz w:val="21"/>
                <w:szCs w:val="21"/>
              </w:rPr>
            </w:pPr>
            <w:r>
              <w:rPr>
                <w:rFonts w:ascii="仿宋" w:hAnsi="仿宋" w:eastAsia="仿宋" w:cs="仿宋"/>
                <w:spacing w:val="-3"/>
                <w:sz w:val="21"/>
                <w:szCs w:val="21"/>
              </w:rPr>
              <w:t>风化料场</w:t>
            </w:r>
          </w:p>
        </w:tc>
        <w:tc>
          <w:tcPr>
            <w:tcW w:w="7513" w:type="dxa"/>
            <w:tcBorders>
              <w:bottom w:val="single" w:color="000000" w:sz="12" w:space="0"/>
            </w:tcBorders>
            <w:vAlign w:val="top"/>
          </w:tcPr>
          <w:p>
            <w:pPr>
              <w:pStyle w:val="6"/>
              <w:spacing w:before="196" w:line="232" w:lineRule="auto"/>
              <w:ind w:left="642"/>
              <w:rPr>
                <w:rFonts w:ascii="仿宋" w:hAnsi="仿宋" w:eastAsia="仿宋" w:cs="仿宋"/>
              </w:rPr>
            </w:pPr>
            <w:r>
              <w:rPr>
                <w:rFonts w:ascii="仿宋" w:hAnsi="仿宋" w:eastAsia="仿宋" w:cs="仿宋"/>
                <w:spacing w:val="-6"/>
              </w:rPr>
              <w:t>有用层可采储量</w:t>
            </w:r>
            <w:r>
              <w:rPr>
                <w:rFonts w:ascii="仿宋" w:hAnsi="仿宋" w:eastAsia="仿宋" w:cs="仿宋"/>
                <w:spacing w:val="-44"/>
              </w:rPr>
              <w:t xml:space="preserve"> </w:t>
            </w:r>
            <w:r>
              <w:rPr>
                <w:spacing w:val="-6"/>
              </w:rPr>
              <w:t>309.44</w:t>
            </w:r>
            <w:r>
              <w:rPr>
                <w:spacing w:val="16"/>
                <w:w w:val="101"/>
              </w:rPr>
              <w:t xml:space="preserve"> </w:t>
            </w:r>
            <w:r>
              <w:rPr>
                <w:rFonts w:ascii="仿宋" w:hAnsi="仿宋" w:eastAsia="仿宋" w:cs="仿宋"/>
                <w:spacing w:val="-6"/>
              </w:rPr>
              <w:t>万</w:t>
            </w:r>
            <w:r>
              <w:rPr>
                <w:rFonts w:ascii="仿宋" w:hAnsi="仿宋" w:eastAsia="仿宋" w:cs="仿宋"/>
                <w:spacing w:val="-51"/>
              </w:rPr>
              <w:t xml:space="preserve"> </w:t>
            </w:r>
            <w:r>
              <w:rPr>
                <w:spacing w:val="-6"/>
              </w:rPr>
              <w:t>m</w:t>
            </w:r>
            <w:r>
              <w:rPr>
                <w:rFonts w:ascii="Calibri" w:hAnsi="Calibri" w:eastAsia="Calibri" w:cs="Calibri"/>
                <w:spacing w:val="-6"/>
              </w:rPr>
              <w:t>³</w:t>
            </w:r>
            <w:r>
              <w:rPr>
                <w:rFonts w:ascii="Calibri" w:hAnsi="Calibri" w:eastAsia="Calibri" w:cs="Calibri"/>
                <w:spacing w:val="-18"/>
              </w:rPr>
              <w:t xml:space="preserve"> </w:t>
            </w:r>
            <w:r>
              <w:rPr>
                <w:rFonts w:ascii="仿宋" w:hAnsi="仿宋" w:eastAsia="仿宋" w:cs="仿宋"/>
                <w:spacing w:val="-6"/>
              </w:rPr>
              <w:t>,</w:t>
            </w:r>
            <w:r>
              <w:rPr>
                <w:rFonts w:ascii="仿宋" w:hAnsi="仿宋" w:eastAsia="仿宋" w:cs="仿宋"/>
                <w:spacing w:val="94"/>
              </w:rPr>
              <w:t xml:space="preserve"> </w:t>
            </w:r>
            <w:r>
              <w:rPr>
                <w:rFonts w:ascii="仿宋" w:hAnsi="仿宋" w:eastAsia="仿宋" w:cs="仿宋"/>
                <w:spacing w:val="-6"/>
              </w:rPr>
              <w:t>占地面积</w:t>
            </w:r>
            <w:r>
              <w:rPr>
                <w:rFonts w:ascii="仿宋" w:hAnsi="仿宋" w:eastAsia="仿宋" w:cs="仿宋"/>
                <w:spacing w:val="-44"/>
              </w:rPr>
              <w:t xml:space="preserve"> </w:t>
            </w:r>
            <w:r>
              <w:rPr>
                <w:spacing w:val="-6"/>
              </w:rPr>
              <w:t>3.8</w:t>
            </w:r>
            <w:r>
              <w:rPr>
                <w:spacing w:val="-7"/>
              </w:rPr>
              <w:t>9m</w:t>
            </w:r>
            <w:r>
              <w:rPr>
                <w:spacing w:val="-7"/>
                <w:position w:val="7"/>
                <w:sz w:val="14"/>
                <w:szCs w:val="14"/>
              </w:rPr>
              <w:t xml:space="preserve">2 </w:t>
            </w:r>
            <w:r>
              <w:rPr>
                <w:rFonts w:ascii="仿宋" w:hAnsi="仿宋" w:eastAsia="仿宋" w:cs="仿宋"/>
                <w:spacing w:val="-7"/>
              </w:rPr>
              <w:t>，占地类型为林地。</w:t>
            </w:r>
          </w:p>
        </w:tc>
        <w:tc>
          <w:tcPr>
            <w:tcW w:w="1805" w:type="dxa"/>
            <w:tcBorders>
              <w:bottom w:val="single" w:color="000000" w:sz="12" w:space="0"/>
              <w:right w:val="nil"/>
            </w:tcBorders>
            <w:vAlign w:val="top"/>
          </w:tcPr>
          <w:p>
            <w:pPr>
              <w:spacing w:before="60" w:line="221" w:lineRule="auto"/>
              <w:ind w:left="82" w:right="60" w:hanging="4"/>
              <w:rPr>
                <w:rFonts w:ascii="仿宋" w:hAnsi="仿宋" w:eastAsia="仿宋" w:cs="仿宋"/>
                <w:sz w:val="21"/>
                <w:szCs w:val="21"/>
              </w:rPr>
            </w:pPr>
            <w:r>
              <w:rPr>
                <w:rFonts w:ascii="仿宋" w:hAnsi="仿宋" w:eastAsia="仿宋" w:cs="仿宋"/>
                <w:spacing w:val="-3"/>
                <w:sz w:val="21"/>
                <w:szCs w:val="21"/>
              </w:rPr>
              <w:t>库区上游皮左黑河</w:t>
            </w:r>
            <w:r>
              <w:rPr>
                <w:rFonts w:ascii="仿宋" w:hAnsi="仿宋" w:eastAsia="仿宋" w:cs="仿宋"/>
                <w:spacing w:val="6"/>
                <w:sz w:val="21"/>
                <w:szCs w:val="21"/>
              </w:rPr>
              <w:t xml:space="preserve"> </w:t>
            </w:r>
            <w:r>
              <w:rPr>
                <w:rFonts w:ascii="仿宋" w:hAnsi="仿宋" w:eastAsia="仿宋" w:cs="仿宋"/>
                <w:spacing w:val="-3"/>
                <w:sz w:val="21"/>
                <w:szCs w:val="21"/>
              </w:rPr>
              <w:t>与拉扎如河交汇口</w:t>
            </w:r>
          </w:p>
        </w:tc>
      </w:tr>
    </w:tbl>
    <w:p>
      <w:pPr>
        <w:rPr>
          <w:rFonts w:ascii="Arial"/>
          <w:sz w:val="21"/>
        </w:rPr>
      </w:pPr>
    </w:p>
    <w:p>
      <w:pPr>
        <w:rPr>
          <w:rFonts w:ascii="Arial" w:hAnsi="Arial" w:eastAsia="Arial" w:cs="Arial"/>
          <w:sz w:val="21"/>
          <w:szCs w:val="21"/>
        </w:rPr>
        <w:sectPr>
          <w:footerReference r:id="rId82" w:type="default"/>
          <w:pgSz w:w="16839" w:h="11907"/>
          <w:pgMar w:top="1298" w:right="1387" w:bottom="1374" w:left="1388" w:header="1023" w:footer="1210" w:gutter="0"/>
        </w:sectPr>
      </w:pPr>
    </w:p>
    <w:p>
      <w:pPr>
        <w:spacing w:line="232" w:lineRule="exact"/>
      </w:pPr>
    </w:p>
    <w:tbl>
      <w:tblPr>
        <w:tblStyle w:val="5"/>
        <w:tblW w:w="14002"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9"/>
        <w:gridCol w:w="1277"/>
        <w:gridCol w:w="1988"/>
        <w:gridCol w:w="7513"/>
        <w:gridCol w:w="18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696" w:type="dxa"/>
            <w:gridSpan w:val="2"/>
            <w:tcBorders>
              <w:top w:val="single" w:color="000000" w:sz="12" w:space="0"/>
              <w:left w:val="nil"/>
            </w:tcBorders>
            <w:vAlign w:val="top"/>
          </w:tcPr>
          <w:p>
            <w:pPr>
              <w:spacing w:before="31" w:line="207" w:lineRule="auto"/>
              <w:ind w:left="1152"/>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工程</w:t>
            </w:r>
          </w:p>
        </w:tc>
        <w:tc>
          <w:tcPr>
            <w:tcW w:w="1988" w:type="dxa"/>
            <w:tcBorders>
              <w:top w:val="single" w:color="000000" w:sz="12" w:space="0"/>
            </w:tcBorders>
            <w:vAlign w:val="top"/>
          </w:tcPr>
          <w:p>
            <w:pPr>
              <w:spacing w:before="31" w:line="207" w:lineRule="auto"/>
              <w:ind w:left="79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名称</w:t>
            </w:r>
          </w:p>
        </w:tc>
        <w:tc>
          <w:tcPr>
            <w:tcW w:w="7513" w:type="dxa"/>
            <w:tcBorders>
              <w:top w:val="single" w:color="000000" w:sz="12" w:space="0"/>
            </w:tcBorders>
            <w:vAlign w:val="top"/>
          </w:tcPr>
          <w:p>
            <w:pPr>
              <w:spacing w:before="31" w:line="207" w:lineRule="auto"/>
              <w:ind w:left="3021"/>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建设内容及规模</w:t>
            </w:r>
          </w:p>
        </w:tc>
        <w:tc>
          <w:tcPr>
            <w:tcW w:w="1805" w:type="dxa"/>
            <w:tcBorders>
              <w:top w:val="single" w:color="000000" w:sz="12" w:space="0"/>
              <w:right w:val="nil"/>
            </w:tcBorders>
            <w:vAlign w:val="top"/>
          </w:tcPr>
          <w:p>
            <w:pPr>
              <w:spacing w:before="31" w:line="207" w:lineRule="auto"/>
              <w:ind w:left="492"/>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布置位置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6" w:hRule="atLeast"/>
        </w:trPr>
        <w:tc>
          <w:tcPr>
            <w:tcW w:w="1419" w:type="dxa"/>
            <w:vMerge w:val="restart"/>
            <w:tcBorders>
              <w:left w:val="nil"/>
              <w:bottom w:val="nil"/>
            </w:tcBorders>
            <w:vAlign w:val="top"/>
          </w:tcPr>
          <w:p>
            <w:pPr>
              <w:rPr>
                <w:rFonts w:ascii="Arial"/>
                <w:sz w:val="21"/>
              </w:rPr>
            </w:pPr>
          </w:p>
        </w:tc>
        <w:tc>
          <w:tcPr>
            <w:tcW w:w="1277" w:type="dxa"/>
            <w:vMerge w:val="restart"/>
            <w:tcBorders>
              <w:bottom w:val="nil"/>
            </w:tcBorders>
            <w:vAlign w:val="top"/>
          </w:tcPr>
          <w:p>
            <w:pPr>
              <w:rPr>
                <w:rFonts w:ascii="Arial"/>
                <w:sz w:val="21"/>
              </w:rPr>
            </w:pPr>
          </w:p>
        </w:tc>
        <w:tc>
          <w:tcPr>
            <w:tcW w:w="1988" w:type="dxa"/>
            <w:vAlign w:val="top"/>
          </w:tcPr>
          <w:p>
            <w:pPr>
              <w:rPr>
                <w:rFonts w:ascii="Arial"/>
                <w:sz w:val="21"/>
              </w:rPr>
            </w:pPr>
          </w:p>
        </w:tc>
        <w:tc>
          <w:tcPr>
            <w:tcW w:w="7513" w:type="dxa"/>
            <w:vAlign w:val="top"/>
          </w:tcPr>
          <w:p>
            <w:pPr>
              <w:rPr>
                <w:rFonts w:ascii="Arial"/>
                <w:sz w:val="21"/>
              </w:rPr>
            </w:pPr>
          </w:p>
        </w:tc>
        <w:tc>
          <w:tcPr>
            <w:tcW w:w="1805" w:type="dxa"/>
            <w:tcBorders>
              <w:right w:val="nil"/>
            </w:tcBorders>
            <w:vAlign w:val="top"/>
          </w:tcPr>
          <w:p>
            <w:pPr>
              <w:spacing w:before="51" w:line="206" w:lineRule="auto"/>
              <w:ind w:left="515"/>
              <w:rPr>
                <w:rFonts w:ascii="仿宋" w:hAnsi="仿宋" w:eastAsia="仿宋" w:cs="仿宋"/>
                <w:sz w:val="21"/>
                <w:szCs w:val="21"/>
              </w:rPr>
            </w:pPr>
            <w:r>
              <w:rPr>
                <w:rFonts w:ascii="仿宋" w:hAnsi="仿宋" w:eastAsia="仿宋" w:cs="仿宋"/>
                <w:spacing w:val="-7"/>
                <w:sz w:val="21"/>
                <w:szCs w:val="21"/>
              </w:rPr>
              <w:t>凸出山包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1419" w:type="dxa"/>
            <w:vMerge w:val="continue"/>
            <w:tcBorders>
              <w:top w:val="nil"/>
              <w:left w:val="nil"/>
              <w:bottom w:val="nil"/>
            </w:tcBorders>
            <w:vAlign w:val="top"/>
          </w:tcPr>
          <w:p>
            <w:pPr>
              <w:rPr>
                <w:rFonts w:ascii="Arial"/>
                <w:sz w:val="21"/>
              </w:rPr>
            </w:pPr>
          </w:p>
        </w:tc>
        <w:tc>
          <w:tcPr>
            <w:tcW w:w="1277" w:type="dxa"/>
            <w:vMerge w:val="continue"/>
            <w:tcBorders>
              <w:top w:val="nil"/>
            </w:tcBorders>
            <w:vAlign w:val="top"/>
          </w:tcPr>
          <w:p>
            <w:pPr>
              <w:rPr>
                <w:rFonts w:ascii="Arial"/>
                <w:sz w:val="21"/>
              </w:rPr>
            </w:pPr>
          </w:p>
        </w:tc>
        <w:tc>
          <w:tcPr>
            <w:tcW w:w="1988" w:type="dxa"/>
            <w:vAlign w:val="top"/>
          </w:tcPr>
          <w:p>
            <w:pPr>
              <w:spacing w:before="304" w:line="216" w:lineRule="auto"/>
              <w:ind w:left="583"/>
              <w:rPr>
                <w:rFonts w:ascii="仿宋" w:hAnsi="仿宋" w:eastAsia="仿宋" w:cs="仿宋"/>
                <w:sz w:val="21"/>
                <w:szCs w:val="21"/>
              </w:rPr>
            </w:pPr>
            <w:r>
              <w:rPr>
                <w:rFonts w:ascii="仿宋" w:hAnsi="仿宋" w:eastAsia="仿宋" w:cs="仿宋"/>
                <w:spacing w:val="-4"/>
                <w:sz w:val="21"/>
                <w:szCs w:val="21"/>
              </w:rPr>
              <w:t>砂石料场</w:t>
            </w:r>
          </w:p>
        </w:tc>
        <w:tc>
          <w:tcPr>
            <w:tcW w:w="7513" w:type="dxa"/>
            <w:vAlign w:val="top"/>
          </w:tcPr>
          <w:p>
            <w:pPr>
              <w:pStyle w:val="6"/>
              <w:spacing w:before="32" w:line="230" w:lineRule="auto"/>
              <w:ind w:left="88"/>
              <w:rPr>
                <w:rFonts w:ascii="仿宋" w:hAnsi="仿宋" w:eastAsia="仿宋" w:cs="仿宋"/>
              </w:rPr>
            </w:pPr>
            <w:r>
              <w:rPr>
                <w:rFonts w:ascii="仿宋" w:hAnsi="仿宋" w:eastAsia="仿宋" w:cs="仿宋"/>
                <w:spacing w:val="-6"/>
              </w:rPr>
              <w:t>石料场采用自上而下分层开采，</w:t>
            </w:r>
            <w:r>
              <w:rPr>
                <w:rFonts w:ascii="仿宋" w:hAnsi="仿宋" w:eastAsia="仿宋" w:cs="仿宋"/>
                <w:spacing w:val="77"/>
              </w:rPr>
              <w:t xml:space="preserve"> </w:t>
            </w:r>
            <w:r>
              <w:rPr>
                <w:rFonts w:ascii="仿宋" w:hAnsi="仿宋" w:eastAsia="仿宋" w:cs="仿宋"/>
                <w:spacing w:val="-6"/>
              </w:rPr>
              <w:t>台阶高度</w:t>
            </w:r>
            <w:r>
              <w:rPr>
                <w:rFonts w:ascii="仿宋" w:hAnsi="仿宋" w:eastAsia="仿宋" w:cs="仿宋"/>
                <w:spacing w:val="-27"/>
              </w:rPr>
              <w:t xml:space="preserve"> </w:t>
            </w:r>
            <w:r>
              <w:rPr>
                <w:spacing w:val="-6"/>
              </w:rPr>
              <w:t>15m</w:t>
            </w:r>
            <w:r>
              <w:rPr>
                <w:rFonts w:ascii="仿宋" w:hAnsi="仿宋" w:eastAsia="仿宋" w:cs="仿宋"/>
                <w:spacing w:val="-6"/>
              </w:rPr>
              <w:t>，潜孔钻钻孔，微差</w:t>
            </w:r>
            <w:r>
              <w:rPr>
                <w:rFonts w:ascii="仿宋" w:hAnsi="仿宋" w:eastAsia="仿宋" w:cs="仿宋"/>
                <w:spacing w:val="-7"/>
              </w:rPr>
              <w:t>挤压爆破，开</w:t>
            </w:r>
          </w:p>
          <w:p>
            <w:pPr>
              <w:pStyle w:val="6"/>
              <w:spacing w:before="9" w:line="222" w:lineRule="auto"/>
              <w:ind w:left="3450" w:right="123" w:hanging="3346"/>
              <w:rPr>
                <w:rFonts w:ascii="仿宋" w:hAnsi="仿宋" w:eastAsia="仿宋" w:cs="仿宋"/>
              </w:rPr>
            </w:pPr>
            <w:r>
              <w:rPr>
                <w:rFonts w:ascii="仿宋" w:hAnsi="仿宋" w:eastAsia="仿宋" w:cs="仿宋"/>
                <w:spacing w:val="-8"/>
              </w:rPr>
              <w:t>采边坡坡比</w:t>
            </w:r>
            <w:r>
              <w:rPr>
                <w:rFonts w:ascii="仿宋" w:hAnsi="仿宋" w:eastAsia="仿宋" w:cs="仿宋"/>
                <w:spacing w:val="-17"/>
              </w:rPr>
              <w:t xml:space="preserve"> </w:t>
            </w:r>
            <w:r>
              <w:rPr>
                <w:spacing w:val="-8"/>
              </w:rPr>
              <w:t>1:0.5</w:t>
            </w:r>
            <w:r>
              <w:rPr>
                <w:spacing w:val="-23"/>
              </w:rPr>
              <w:t xml:space="preserve"> </w:t>
            </w:r>
            <w:r>
              <w:rPr>
                <w:rFonts w:ascii="仿宋" w:hAnsi="仿宋" w:eastAsia="仿宋" w:cs="仿宋"/>
                <w:spacing w:val="-8"/>
              </w:rPr>
              <w:t>。建设</w:t>
            </w:r>
            <w:r>
              <w:rPr>
                <w:rFonts w:ascii="仿宋" w:hAnsi="仿宋" w:eastAsia="仿宋" w:cs="仿宋"/>
                <w:spacing w:val="-29"/>
              </w:rPr>
              <w:t xml:space="preserve"> </w:t>
            </w:r>
            <w:r>
              <w:rPr>
                <w:spacing w:val="-8"/>
              </w:rPr>
              <w:t>1</w:t>
            </w:r>
            <w:r>
              <w:rPr>
                <w:spacing w:val="14"/>
                <w:w w:val="101"/>
              </w:rPr>
              <w:t xml:space="preserve"> </w:t>
            </w:r>
            <w:r>
              <w:rPr>
                <w:rFonts w:ascii="仿宋" w:hAnsi="仿宋" w:eastAsia="仿宋" w:cs="仿宋"/>
                <w:spacing w:val="-8"/>
              </w:rPr>
              <w:t>套砂石料加工系统。</w:t>
            </w:r>
            <w:r>
              <w:rPr>
                <w:rFonts w:ascii="仿宋" w:hAnsi="仿宋" w:eastAsia="仿宋" w:cs="仿宋"/>
                <w:spacing w:val="41"/>
              </w:rPr>
              <w:t xml:space="preserve"> </w:t>
            </w:r>
            <w:r>
              <w:rPr>
                <w:rFonts w:ascii="仿宋" w:hAnsi="仿宋" w:eastAsia="仿宋" w:cs="仿宋"/>
                <w:spacing w:val="-8"/>
              </w:rPr>
              <w:t>砂石料场临时占地</w:t>
            </w:r>
            <w:r>
              <w:rPr>
                <w:rFonts w:ascii="仿宋" w:hAnsi="仿宋" w:eastAsia="仿宋" w:cs="仿宋"/>
                <w:spacing w:val="-49"/>
              </w:rPr>
              <w:t xml:space="preserve"> </w:t>
            </w:r>
            <w:r>
              <w:rPr>
                <w:spacing w:val="-8"/>
              </w:rPr>
              <w:t>4.21hm</w:t>
            </w:r>
            <w:r>
              <w:rPr>
                <w:spacing w:val="-8"/>
                <w:position w:val="7"/>
                <w:sz w:val="14"/>
                <w:szCs w:val="14"/>
              </w:rPr>
              <w:t xml:space="preserve">2 </w:t>
            </w:r>
            <w:r>
              <w:rPr>
                <w:rFonts w:ascii="仿宋" w:hAnsi="仿宋" w:eastAsia="仿宋" w:cs="仿宋"/>
                <w:spacing w:val="-8"/>
              </w:rPr>
              <w:t>，均为</w:t>
            </w:r>
            <w:r>
              <w:rPr>
                <w:rFonts w:ascii="仿宋" w:hAnsi="仿宋" w:eastAsia="仿宋" w:cs="仿宋"/>
              </w:rPr>
              <w:t xml:space="preserve"> </w:t>
            </w:r>
            <w:r>
              <w:rPr>
                <w:rFonts w:ascii="仿宋" w:hAnsi="仿宋" w:eastAsia="仿宋" w:cs="仿宋"/>
                <w:spacing w:val="-10"/>
              </w:rPr>
              <w:t>林地。</w:t>
            </w:r>
          </w:p>
        </w:tc>
        <w:tc>
          <w:tcPr>
            <w:tcW w:w="1805" w:type="dxa"/>
            <w:tcBorders>
              <w:right w:val="nil"/>
            </w:tcBorders>
            <w:vAlign w:val="top"/>
          </w:tcPr>
          <w:p>
            <w:pPr>
              <w:pStyle w:val="6"/>
              <w:spacing w:before="305" w:line="218" w:lineRule="auto"/>
              <w:ind w:left="203"/>
            </w:pPr>
            <w:r>
              <w:rPr>
                <w:rFonts w:ascii="仿宋" w:hAnsi="仿宋" w:eastAsia="仿宋" w:cs="仿宋"/>
                <w:spacing w:val="-3"/>
              </w:rPr>
              <w:t>水库下游</w:t>
            </w:r>
            <w:r>
              <w:rPr>
                <w:rFonts w:ascii="仿宋" w:hAnsi="仿宋" w:eastAsia="仿宋" w:cs="仿宋"/>
                <w:spacing w:val="-39"/>
              </w:rPr>
              <w:t xml:space="preserve"> </w:t>
            </w:r>
            <w:r>
              <w:rPr>
                <w:spacing w:val="-3"/>
              </w:rPr>
              <w:t>6.7km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2" w:hRule="atLeast"/>
        </w:trPr>
        <w:tc>
          <w:tcPr>
            <w:tcW w:w="1419" w:type="dxa"/>
            <w:vMerge w:val="continue"/>
            <w:tcBorders>
              <w:top w:val="nil"/>
              <w:left w:val="nil"/>
              <w:bottom w:val="nil"/>
            </w:tcBorders>
            <w:vAlign w:val="top"/>
          </w:tcPr>
          <w:p>
            <w:pPr>
              <w:rPr>
                <w:rFonts w:ascii="Arial"/>
                <w:sz w:val="21"/>
              </w:rPr>
            </w:pPr>
          </w:p>
        </w:tc>
        <w:tc>
          <w:tcPr>
            <w:tcW w:w="3265" w:type="dxa"/>
            <w:gridSpan w:val="2"/>
            <w:vAlign w:val="top"/>
          </w:tcPr>
          <w:p>
            <w:pPr>
              <w:spacing w:line="254" w:lineRule="auto"/>
              <w:rPr>
                <w:rFonts w:ascii="Arial"/>
                <w:sz w:val="21"/>
              </w:rPr>
            </w:pPr>
          </w:p>
          <w:p>
            <w:pPr>
              <w:spacing w:line="254" w:lineRule="auto"/>
              <w:rPr>
                <w:rFonts w:ascii="Arial"/>
                <w:sz w:val="21"/>
              </w:rPr>
            </w:pPr>
          </w:p>
          <w:p>
            <w:pPr>
              <w:spacing w:before="68" w:line="219" w:lineRule="auto"/>
              <w:ind w:left="1432"/>
              <w:rPr>
                <w:rFonts w:ascii="仿宋" w:hAnsi="仿宋" w:eastAsia="仿宋" w:cs="仿宋"/>
                <w:sz w:val="21"/>
                <w:szCs w:val="21"/>
              </w:rPr>
            </w:pPr>
            <w:r>
              <w:rPr>
                <w:rFonts w:ascii="仿宋" w:hAnsi="仿宋" w:eastAsia="仿宋" w:cs="仿宋"/>
                <w:spacing w:val="-4"/>
                <w:sz w:val="21"/>
                <w:szCs w:val="21"/>
              </w:rPr>
              <w:t>渣场</w:t>
            </w:r>
          </w:p>
        </w:tc>
        <w:tc>
          <w:tcPr>
            <w:tcW w:w="7513" w:type="dxa"/>
            <w:vAlign w:val="top"/>
          </w:tcPr>
          <w:p>
            <w:pPr>
              <w:pStyle w:val="6"/>
              <w:spacing w:before="34" w:line="217" w:lineRule="auto"/>
              <w:ind w:left="54"/>
              <w:rPr>
                <w:rFonts w:ascii="仿宋" w:hAnsi="仿宋" w:eastAsia="仿宋" w:cs="仿宋"/>
              </w:rPr>
            </w:pPr>
            <w:r>
              <w:rPr>
                <w:rFonts w:ascii="仿宋" w:hAnsi="仿宋" w:eastAsia="仿宋" w:cs="仿宋"/>
                <w:spacing w:val="-7"/>
              </w:rPr>
              <w:t>项目设置</w:t>
            </w:r>
            <w:r>
              <w:rPr>
                <w:rFonts w:ascii="仿宋" w:hAnsi="仿宋" w:eastAsia="仿宋" w:cs="仿宋"/>
                <w:spacing w:val="-28"/>
              </w:rPr>
              <w:t xml:space="preserve"> </w:t>
            </w:r>
            <w:r>
              <w:rPr>
                <w:spacing w:val="-7"/>
              </w:rPr>
              <w:t>18</w:t>
            </w:r>
            <w:r>
              <w:rPr>
                <w:spacing w:val="15"/>
              </w:rPr>
              <w:t xml:space="preserve"> </w:t>
            </w:r>
            <w:r>
              <w:rPr>
                <w:rFonts w:ascii="仿宋" w:hAnsi="仿宋" w:eastAsia="仿宋" w:cs="仿宋"/>
                <w:spacing w:val="-7"/>
              </w:rPr>
              <w:t xml:space="preserve">个弃渣场， </w:t>
            </w:r>
            <w:r>
              <w:rPr>
                <w:spacing w:val="-7"/>
              </w:rPr>
              <w:t>21</w:t>
            </w:r>
            <w:r>
              <w:rPr>
                <w:spacing w:val="16"/>
              </w:rPr>
              <w:t xml:space="preserve"> </w:t>
            </w:r>
            <w:r>
              <w:rPr>
                <w:rFonts w:ascii="仿宋" w:hAnsi="仿宋" w:eastAsia="仿宋" w:cs="仿宋"/>
                <w:spacing w:val="-7"/>
              </w:rPr>
              <w:t>个临时表土</w:t>
            </w:r>
            <w:r>
              <w:rPr>
                <w:rFonts w:ascii="仿宋" w:hAnsi="仿宋" w:eastAsia="仿宋" w:cs="仿宋"/>
                <w:spacing w:val="-8"/>
              </w:rPr>
              <w:t>堆场。 渣场总占地面积</w:t>
            </w:r>
            <w:r>
              <w:rPr>
                <w:rFonts w:ascii="仿宋" w:hAnsi="仿宋" w:eastAsia="仿宋" w:cs="仿宋"/>
                <w:spacing w:val="-45"/>
              </w:rPr>
              <w:t xml:space="preserve"> </w:t>
            </w:r>
            <w:r>
              <w:rPr>
                <w:spacing w:val="-8"/>
              </w:rPr>
              <w:t>7.39hm</w:t>
            </w:r>
            <w:r>
              <w:rPr>
                <w:spacing w:val="-8"/>
                <w:position w:val="7"/>
                <w:sz w:val="14"/>
                <w:szCs w:val="14"/>
              </w:rPr>
              <w:t xml:space="preserve">2 </w:t>
            </w:r>
            <w:r>
              <w:rPr>
                <w:rFonts w:ascii="仿宋" w:hAnsi="仿宋" w:eastAsia="仿宋" w:cs="仿宋"/>
                <w:spacing w:val="-8"/>
              </w:rPr>
              <w:t>，渣场总规</w:t>
            </w:r>
          </w:p>
          <w:p>
            <w:pPr>
              <w:pStyle w:val="6"/>
              <w:spacing w:before="26" w:line="230" w:lineRule="auto"/>
              <w:ind w:left="18"/>
              <w:rPr>
                <w:rFonts w:ascii="仿宋" w:hAnsi="仿宋" w:eastAsia="仿宋" w:cs="仿宋"/>
              </w:rPr>
            </w:pPr>
            <w:r>
              <w:rPr>
                <w:rFonts w:ascii="仿宋" w:hAnsi="仿宋" w:eastAsia="仿宋" w:cs="仿宋"/>
                <w:spacing w:val="-4"/>
              </w:rPr>
              <w:t>划容量为</w:t>
            </w:r>
            <w:r>
              <w:rPr>
                <w:rFonts w:ascii="仿宋" w:hAnsi="仿宋" w:eastAsia="仿宋" w:cs="仿宋"/>
                <w:spacing w:val="-14"/>
              </w:rPr>
              <w:t xml:space="preserve"> </w:t>
            </w:r>
            <w:r>
              <w:rPr>
                <w:spacing w:val="-4"/>
              </w:rPr>
              <w:t>166.39</w:t>
            </w:r>
            <w:r>
              <w:rPr>
                <w:spacing w:val="16"/>
                <w:w w:val="101"/>
              </w:rPr>
              <w:t xml:space="preserve"> </w:t>
            </w:r>
            <w:r>
              <w:rPr>
                <w:rFonts w:ascii="仿宋" w:hAnsi="仿宋" w:eastAsia="仿宋" w:cs="仿宋"/>
                <w:spacing w:val="-4"/>
              </w:rPr>
              <w:t>万</w:t>
            </w:r>
            <w:r>
              <w:rPr>
                <w:rFonts w:ascii="仿宋" w:hAnsi="仿宋" w:eastAsia="仿宋" w:cs="仿宋"/>
                <w:spacing w:val="-51"/>
              </w:rPr>
              <w:t xml:space="preserve"> </w:t>
            </w:r>
            <w:r>
              <w:rPr>
                <w:spacing w:val="-4"/>
              </w:rPr>
              <w:t>m</w:t>
            </w:r>
            <w:r>
              <w:rPr>
                <w:spacing w:val="-4"/>
                <w:position w:val="7"/>
                <w:sz w:val="14"/>
                <w:szCs w:val="14"/>
              </w:rPr>
              <w:t xml:space="preserve">3 </w:t>
            </w:r>
            <w:r>
              <w:rPr>
                <w:rFonts w:ascii="仿宋" w:hAnsi="仿宋" w:eastAsia="仿宋" w:cs="仿宋"/>
                <w:spacing w:val="-4"/>
              </w:rPr>
              <w:t>，总规划堆渣量为万</w:t>
            </w:r>
            <w:r>
              <w:rPr>
                <w:rFonts w:ascii="仿宋" w:hAnsi="仿宋" w:eastAsia="仿宋" w:cs="仿宋"/>
                <w:spacing w:val="-28"/>
              </w:rPr>
              <w:t xml:space="preserve"> </w:t>
            </w:r>
            <w:r>
              <w:rPr>
                <w:spacing w:val="-4"/>
              </w:rPr>
              <w:t>118.90</w:t>
            </w:r>
            <w:r>
              <w:rPr>
                <w:spacing w:val="17"/>
              </w:rPr>
              <w:t xml:space="preserve"> </w:t>
            </w:r>
            <w:r>
              <w:rPr>
                <w:rFonts w:ascii="仿宋" w:hAnsi="仿宋" w:eastAsia="仿宋" w:cs="仿宋"/>
                <w:spacing w:val="-4"/>
              </w:rPr>
              <w:t>万</w:t>
            </w:r>
            <w:r>
              <w:rPr>
                <w:rFonts w:ascii="仿宋" w:hAnsi="仿宋" w:eastAsia="仿宋" w:cs="仿宋"/>
                <w:spacing w:val="-51"/>
              </w:rPr>
              <w:t xml:space="preserve"> </w:t>
            </w:r>
            <w:r>
              <w:rPr>
                <w:spacing w:val="-4"/>
              </w:rPr>
              <w:t>m</w:t>
            </w:r>
            <w:r>
              <w:rPr>
                <w:spacing w:val="-4"/>
                <w:position w:val="7"/>
                <w:sz w:val="14"/>
                <w:szCs w:val="14"/>
              </w:rPr>
              <w:t>3</w:t>
            </w:r>
            <w:r>
              <w:rPr>
                <w:spacing w:val="-19"/>
                <w:position w:val="7"/>
                <w:sz w:val="14"/>
                <w:szCs w:val="14"/>
              </w:rPr>
              <w:t xml:space="preserve"> </w:t>
            </w:r>
            <w:r>
              <w:rPr>
                <w:rFonts w:ascii="仿宋" w:hAnsi="仿宋" w:eastAsia="仿宋" w:cs="仿宋"/>
                <w:spacing w:val="-4"/>
                <w:position w:val="10"/>
                <w:sz w:val="11"/>
                <w:szCs w:val="11"/>
              </w:rPr>
              <w:t>。</w:t>
            </w:r>
            <w:r>
              <w:rPr>
                <w:rFonts w:ascii="仿宋" w:hAnsi="仿宋" w:eastAsia="仿宋" w:cs="仿宋"/>
                <w:spacing w:val="-4"/>
              </w:rPr>
              <w:t>渣场拦挡措施主要采用护</w:t>
            </w:r>
          </w:p>
          <w:p>
            <w:pPr>
              <w:pStyle w:val="6"/>
              <w:spacing w:before="9" w:line="230" w:lineRule="auto"/>
              <w:ind w:left="80"/>
              <w:rPr>
                <w:rFonts w:ascii="仿宋" w:hAnsi="仿宋" w:eastAsia="仿宋" w:cs="仿宋"/>
              </w:rPr>
            </w:pPr>
            <w:r>
              <w:rPr>
                <w:rFonts w:ascii="仿宋" w:hAnsi="仿宋" w:eastAsia="仿宋" w:cs="仿宋"/>
                <w:spacing w:val="-2"/>
              </w:rPr>
              <w:t>脚和压坡，渣场外设置排水沟。渣场总占地面积</w:t>
            </w:r>
            <w:r>
              <w:rPr>
                <w:rFonts w:ascii="仿宋" w:hAnsi="仿宋" w:eastAsia="仿宋" w:cs="仿宋"/>
                <w:spacing w:val="-11"/>
              </w:rPr>
              <w:t xml:space="preserve"> </w:t>
            </w:r>
            <w:r>
              <w:rPr>
                <w:spacing w:val="-2"/>
              </w:rPr>
              <w:t>15.38hm</w:t>
            </w:r>
            <w:r>
              <w:rPr>
                <w:spacing w:val="-2"/>
                <w:position w:val="7"/>
                <w:sz w:val="14"/>
                <w:szCs w:val="14"/>
              </w:rPr>
              <w:t>2</w:t>
            </w:r>
            <w:r>
              <w:rPr>
                <w:spacing w:val="-7"/>
                <w:position w:val="7"/>
                <w:sz w:val="14"/>
                <w:szCs w:val="14"/>
              </w:rPr>
              <w:t xml:space="preserve"> </w:t>
            </w:r>
            <w:r>
              <w:rPr>
                <w:rFonts w:ascii="仿宋" w:hAnsi="仿宋" w:eastAsia="仿宋" w:cs="仿宋"/>
                <w:spacing w:val="-2"/>
              </w:rPr>
              <w:t>，均为临时占地，其中</w:t>
            </w:r>
          </w:p>
          <w:p>
            <w:pPr>
              <w:pStyle w:val="6"/>
              <w:spacing w:before="12" w:line="230" w:lineRule="auto"/>
              <w:ind w:left="411"/>
              <w:rPr>
                <w:rFonts w:ascii="仿宋" w:hAnsi="仿宋" w:eastAsia="仿宋" w:cs="仿宋"/>
              </w:rPr>
            </w:pPr>
            <w:r>
              <w:rPr>
                <w:rFonts w:ascii="仿宋" w:hAnsi="仿宋" w:eastAsia="仿宋" w:cs="仿宋"/>
                <w:spacing w:val="-5"/>
              </w:rPr>
              <w:t>占用林地</w:t>
            </w:r>
            <w:r>
              <w:rPr>
                <w:rFonts w:ascii="仿宋" w:hAnsi="仿宋" w:eastAsia="仿宋" w:cs="仿宋"/>
                <w:spacing w:val="-16"/>
              </w:rPr>
              <w:t xml:space="preserve"> </w:t>
            </w:r>
            <w:r>
              <w:rPr>
                <w:spacing w:val="-5"/>
              </w:rPr>
              <w:t>11.77hm</w:t>
            </w:r>
            <w:r>
              <w:rPr>
                <w:spacing w:val="-5"/>
                <w:position w:val="7"/>
                <w:sz w:val="14"/>
                <w:szCs w:val="14"/>
              </w:rPr>
              <w:t xml:space="preserve">2 </w:t>
            </w:r>
            <w:r>
              <w:rPr>
                <w:rFonts w:ascii="仿宋" w:hAnsi="仿宋" w:eastAsia="仿宋" w:cs="仿宋"/>
                <w:spacing w:val="-5"/>
              </w:rPr>
              <w:t>，耕地</w:t>
            </w:r>
            <w:r>
              <w:rPr>
                <w:rFonts w:ascii="仿宋" w:hAnsi="仿宋" w:eastAsia="仿宋" w:cs="仿宋"/>
                <w:spacing w:val="-48"/>
              </w:rPr>
              <w:t xml:space="preserve"> </w:t>
            </w:r>
            <w:r>
              <w:rPr>
                <w:spacing w:val="-5"/>
              </w:rPr>
              <w:t>2.30hm</w:t>
            </w:r>
            <w:r>
              <w:rPr>
                <w:spacing w:val="-5"/>
                <w:position w:val="7"/>
                <w:sz w:val="14"/>
                <w:szCs w:val="14"/>
              </w:rPr>
              <w:t xml:space="preserve">2 </w:t>
            </w:r>
            <w:r>
              <w:rPr>
                <w:rFonts w:ascii="仿宋" w:hAnsi="仿宋" w:eastAsia="仿宋" w:cs="仿宋"/>
                <w:spacing w:val="-5"/>
              </w:rPr>
              <w:t>，园地</w:t>
            </w:r>
            <w:r>
              <w:rPr>
                <w:rFonts w:ascii="仿宋" w:hAnsi="仿宋" w:eastAsia="仿宋" w:cs="仿宋"/>
                <w:spacing w:val="-27"/>
              </w:rPr>
              <w:t xml:space="preserve"> </w:t>
            </w:r>
            <w:r>
              <w:rPr>
                <w:spacing w:val="-5"/>
              </w:rPr>
              <w:t>1.31hm</w:t>
            </w:r>
            <w:r>
              <w:rPr>
                <w:spacing w:val="-5"/>
                <w:position w:val="7"/>
                <w:sz w:val="14"/>
                <w:szCs w:val="14"/>
              </w:rPr>
              <w:t xml:space="preserve">2 </w:t>
            </w:r>
            <w:r>
              <w:rPr>
                <w:rFonts w:ascii="仿宋" w:hAnsi="仿宋" w:eastAsia="仿宋" w:cs="仿宋"/>
                <w:spacing w:val="-5"/>
              </w:rPr>
              <w:t>。表土堆场新增占地面积</w:t>
            </w:r>
          </w:p>
          <w:p>
            <w:pPr>
              <w:pStyle w:val="6"/>
              <w:spacing w:before="9" w:line="200" w:lineRule="auto"/>
              <w:ind w:left="1727"/>
              <w:rPr>
                <w:rFonts w:ascii="仿宋" w:hAnsi="仿宋" w:eastAsia="仿宋" w:cs="仿宋"/>
              </w:rPr>
            </w:pPr>
            <w:r>
              <w:rPr>
                <w:spacing w:val="-4"/>
              </w:rPr>
              <w:t>0.52hm</w:t>
            </w:r>
            <w:r>
              <w:rPr>
                <w:spacing w:val="-4"/>
                <w:position w:val="7"/>
                <w:sz w:val="14"/>
                <w:szCs w:val="14"/>
              </w:rPr>
              <w:t xml:space="preserve">2 </w:t>
            </w:r>
            <w:r>
              <w:rPr>
                <w:rFonts w:ascii="仿宋" w:hAnsi="仿宋" w:eastAsia="仿宋" w:cs="仿宋"/>
                <w:spacing w:val="-4"/>
              </w:rPr>
              <w:t>，均为临时占地，</w:t>
            </w:r>
            <w:r>
              <w:rPr>
                <w:rFonts w:ascii="仿宋" w:hAnsi="仿宋" w:eastAsia="仿宋" w:cs="仿宋"/>
                <w:spacing w:val="-53"/>
              </w:rPr>
              <w:t xml:space="preserve"> </w:t>
            </w:r>
            <w:r>
              <w:rPr>
                <w:rFonts w:ascii="仿宋" w:hAnsi="仿宋" w:eastAsia="仿宋" w:cs="仿宋"/>
                <w:spacing w:val="-4"/>
              </w:rPr>
              <w:t>占地类型为林地。</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419" w:type="dxa"/>
            <w:vMerge w:val="continue"/>
            <w:tcBorders>
              <w:top w:val="nil"/>
              <w:left w:val="nil"/>
              <w:bottom w:val="nil"/>
            </w:tcBorders>
            <w:vAlign w:val="top"/>
          </w:tcPr>
          <w:p>
            <w:pPr>
              <w:rPr>
                <w:rFonts w:ascii="Arial"/>
                <w:sz w:val="21"/>
              </w:rPr>
            </w:pPr>
          </w:p>
        </w:tc>
        <w:tc>
          <w:tcPr>
            <w:tcW w:w="3265" w:type="dxa"/>
            <w:gridSpan w:val="2"/>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8" w:line="220" w:lineRule="auto"/>
              <w:ind w:left="906"/>
              <w:rPr>
                <w:rFonts w:ascii="仿宋" w:hAnsi="仿宋" w:eastAsia="仿宋" w:cs="仿宋"/>
                <w:sz w:val="21"/>
                <w:szCs w:val="21"/>
              </w:rPr>
            </w:pPr>
            <w:r>
              <w:rPr>
                <w:rFonts w:ascii="仿宋" w:hAnsi="仿宋" w:eastAsia="仿宋" w:cs="仿宋"/>
                <w:spacing w:val="-2"/>
                <w:sz w:val="21"/>
                <w:szCs w:val="21"/>
              </w:rPr>
              <w:t>施工生产生活区</w:t>
            </w:r>
          </w:p>
        </w:tc>
        <w:tc>
          <w:tcPr>
            <w:tcW w:w="7513" w:type="dxa"/>
            <w:vAlign w:val="top"/>
          </w:tcPr>
          <w:p>
            <w:pPr>
              <w:pStyle w:val="6"/>
              <w:spacing w:before="39" w:line="219" w:lineRule="auto"/>
              <w:ind w:left="1181" w:right="80" w:hanging="1092"/>
              <w:rPr>
                <w:rFonts w:ascii="仿宋" w:hAnsi="仿宋" w:eastAsia="仿宋" w:cs="仿宋"/>
              </w:rPr>
            </w:pPr>
            <w:r>
              <w:rPr>
                <w:rFonts w:ascii="仿宋" w:hAnsi="仿宋" w:eastAsia="仿宋" w:cs="仿宋"/>
                <w:spacing w:val="-4"/>
              </w:rPr>
              <w:t>枢纽施工区设置</w:t>
            </w:r>
            <w:r>
              <w:rPr>
                <w:rFonts w:ascii="仿宋" w:hAnsi="仿宋" w:eastAsia="仿宋" w:cs="仿宋"/>
                <w:spacing w:val="-27"/>
              </w:rPr>
              <w:t xml:space="preserve"> </w:t>
            </w:r>
            <w:r>
              <w:rPr>
                <w:spacing w:val="-4"/>
              </w:rPr>
              <w:t>1</w:t>
            </w:r>
            <w:r>
              <w:rPr>
                <w:spacing w:val="15"/>
                <w:w w:val="101"/>
              </w:rPr>
              <w:t xml:space="preserve"> </w:t>
            </w:r>
            <w:r>
              <w:rPr>
                <w:rFonts w:ascii="仿宋" w:hAnsi="仿宋" w:eastAsia="仿宋" w:cs="仿宋"/>
                <w:spacing w:val="-4"/>
              </w:rPr>
              <w:t>处施工生产生活区， 主要</w:t>
            </w:r>
            <w:r>
              <w:rPr>
                <w:rFonts w:ascii="仿宋" w:hAnsi="仿宋" w:eastAsia="仿宋" w:cs="仿宋"/>
                <w:spacing w:val="-5"/>
              </w:rPr>
              <w:t>为材料堆放、加工区以及混凝土拌合</w:t>
            </w:r>
            <w:r>
              <w:rPr>
                <w:rFonts w:ascii="仿宋" w:hAnsi="仿宋" w:eastAsia="仿宋" w:cs="仿宋"/>
              </w:rPr>
              <w:t xml:space="preserve"> </w:t>
            </w:r>
            <w:r>
              <w:rPr>
                <w:rFonts w:ascii="仿宋" w:hAnsi="仿宋" w:eastAsia="仿宋" w:cs="仿宋"/>
                <w:spacing w:val="-8"/>
              </w:rPr>
              <w:t>场， 占地面积</w:t>
            </w:r>
            <w:r>
              <w:rPr>
                <w:rFonts w:ascii="仿宋" w:hAnsi="仿宋" w:eastAsia="仿宋" w:cs="仿宋"/>
                <w:spacing w:val="-17"/>
              </w:rPr>
              <w:t xml:space="preserve"> </w:t>
            </w:r>
            <w:r>
              <w:rPr>
                <w:spacing w:val="-8"/>
              </w:rPr>
              <w:t>1.98hm</w:t>
            </w:r>
            <w:r>
              <w:rPr>
                <w:spacing w:val="-8"/>
                <w:position w:val="7"/>
                <w:sz w:val="14"/>
                <w:szCs w:val="14"/>
              </w:rPr>
              <w:t xml:space="preserve">2 </w:t>
            </w:r>
            <w:r>
              <w:rPr>
                <w:rFonts w:ascii="仿宋" w:hAnsi="仿宋" w:eastAsia="仿宋" w:cs="仿宋"/>
                <w:spacing w:val="-8"/>
              </w:rPr>
              <w:t>，</w:t>
            </w:r>
            <w:r>
              <w:rPr>
                <w:rFonts w:ascii="仿宋" w:hAnsi="仿宋" w:eastAsia="仿宋" w:cs="仿宋"/>
                <w:spacing w:val="-56"/>
              </w:rPr>
              <w:t xml:space="preserve"> </w:t>
            </w:r>
            <w:r>
              <w:rPr>
                <w:rFonts w:ascii="仿宋" w:hAnsi="仿宋" w:eastAsia="仿宋" w:cs="仿宋"/>
                <w:spacing w:val="-8"/>
              </w:rPr>
              <w:t>占地类型为耕地，为临时占地。</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419" w:type="dxa"/>
            <w:vMerge w:val="continue"/>
            <w:tcBorders>
              <w:top w:val="nil"/>
              <w:left w:val="nil"/>
              <w:bottom w:val="nil"/>
            </w:tcBorders>
            <w:vAlign w:val="top"/>
          </w:tcPr>
          <w:p>
            <w:pPr>
              <w:rPr>
                <w:rFonts w:ascii="Arial"/>
                <w:sz w:val="21"/>
              </w:rPr>
            </w:pPr>
          </w:p>
        </w:tc>
        <w:tc>
          <w:tcPr>
            <w:tcW w:w="3265" w:type="dxa"/>
            <w:gridSpan w:val="2"/>
            <w:vMerge w:val="continue"/>
            <w:tcBorders>
              <w:top w:val="nil"/>
              <w:bottom w:val="nil"/>
            </w:tcBorders>
            <w:vAlign w:val="top"/>
          </w:tcPr>
          <w:p>
            <w:pPr>
              <w:rPr>
                <w:rFonts w:ascii="Arial"/>
                <w:sz w:val="21"/>
              </w:rPr>
            </w:pPr>
          </w:p>
        </w:tc>
        <w:tc>
          <w:tcPr>
            <w:tcW w:w="7513" w:type="dxa"/>
            <w:vAlign w:val="top"/>
          </w:tcPr>
          <w:p>
            <w:pPr>
              <w:pStyle w:val="6"/>
              <w:spacing w:before="43" w:line="218" w:lineRule="auto"/>
              <w:ind w:left="974" w:right="80" w:hanging="876"/>
              <w:rPr>
                <w:rFonts w:ascii="仿宋" w:hAnsi="仿宋" w:eastAsia="仿宋" w:cs="仿宋"/>
              </w:rPr>
            </w:pPr>
            <w:r>
              <w:rPr>
                <w:rFonts w:ascii="仿宋" w:hAnsi="仿宋" w:eastAsia="仿宋" w:cs="仿宋"/>
                <w:spacing w:val="-2"/>
              </w:rPr>
              <w:t>引水工程施工区设置</w:t>
            </w:r>
            <w:r>
              <w:rPr>
                <w:rFonts w:ascii="仿宋" w:hAnsi="仿宋" w:eastAsia="仿宋" w:cs="仿宋"/>
                <w:spacing w:val="-19"/>
              </w:rPr>
              <w:t xml:space="preserve"> </w:t>
            </w:r>
            <w:r>
              <w:rPr>
                <w:spacing w:val="-2"/>
              </w:rPr>
              <w:t>1</w:t>
            </w:r>
            <w:r>
              <w:rPr>
                <w:spacing w:val="14"/>
              </w:rPr>
              <w:t xml:space="preserve"> </w:t>
            </w:r>
            <w:r>
              <w:rPr>
                <w:rFonts w:ascii="仿宋" w:hAnsi="仿宋" w:eastAsia="仿宋" w:cs="仿宋"/>
                <w:spacing w:val="-2"/>
              </w:rPr>
              <w:t>处施工生产生活区，主要为材料堆放、加工区以及混凝土</w:t>
            </w:r>
            <w:r>
              <w:rPr>
                <w:rFonts w:ascii="仿宋" w:hAnsi="仿宋" w:eastAsia="仿宋" w:cs="仿宋"/>
              </w:rPr>
              <w:t xml:space="preserve"> </w:t>
            </w:r>
            <w:r>
              <w:rPr>
                <w:rFonts w:ascii="仿宋" w:hAnsi="仿宋" w:eastAsia="仿宋" w:cs="仿宋"/>
                <w:spacing w:val="-8"/>
              </w:rPr>
              <w:t>拌合场，</w:t>
            </w:r>
            <w:r>
              <w:rPr>
                <w:rFonts w:ascii="仿宋" w:hAnsi="仿宋" w:eastAsia="仿宋" w:cs="仿宋"/>
                <w:spacing w:val="66"/>
              </w:rPr>
              <w:t xml:space="preserve"> </w:t>
            </w:r>
            <w:r>
              <w:rPr>
                <w:rFonts w:ascii="仿宋" w:hAnsi="仿宋" w:eastAsia="仿宋" w:cs="仿宋"/>
                <w:spacing w:val="-8"/>
              </w:rPr>
              <w:t>占地面积</w:t>
            </w:r>
            <w:r>
              <w:rPr>
                <w:rFonts w:ascii="仿宋" w:hAnsi="仿宋" w:eastAsia="仿宋" w:cs="仿宋"/>
                <w:spacing w:val="-45"/>
              </w:rPr>
              <w:t xml:space="preserve"> </w:t>
            </w:r>
            <w:r>
              <w:rPr>
                <w:spacing w:val="-8"/>
              </w:rPr>
              <w:t>0.13hm</w:t>
            </w:r>
            <w:r>
              <w:rPr>
                <w:spacing w:val="-8"/>
                <w:position w:val="7"/>
                <w:sz w:val="14"/>
                <w:szCs w:val="14"/>
              </w:rPr>
              <w:t xml:space="preserve">2 </w:t>
            </w:r>
            <w:r>
              <w:rPr>
                <w:rFonts w:ascii="仿宋" w:hAnsi="仿宋" w:eastAsia="仿宋" w:cs="仿宋"/>
                <w:spacing w:val="-8"/>
              </w:rPr>
              <w:t>，占地类型为林地，为临时占地。</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1419" w:type="dxa"/>
            <w:vMerge w:val="continue"/>
            <w:tcBorders>
              <w:top w:val="nil"/>
              <w:left w:val="nil"/>
              <w:bottom w:val="nil"/>
            </w:tcBorders>
            <w:vAlign w:val="top"/>
          </w:tcPr>
          <w:p>
            <w:pPr>
              <w:rPr>
                <w:rFonts w:ascii="Arial"/>
                <w:sz w:val="21"/>
              </w:rPr>
            </w:pPr>
          </w:p>
        </w:tc>
        <w:tc>
          <w:tcPr>
            <w:tcW w:w="3265" w:type="dxa"/>
            <w:gridSpan w:val="2"/>
            <w:vMerge w:val="continue"/>
            <w:tcBorders>
              <w:top w:val="nil"/>
              <w:bottom w:val="nil"/>
            </w:tcBorders>
            <w:vAlign w:val="top"/>
          </w:tcPr>
          <w:p>
            <w:pPr>
              <w:rPr>
                <w:rFonts w:ascii="Arial"/>
                <w:sz w:val="21"/>
              </w:rPr>
            </w:pPr>
          </w:p>
        </w:tc>
        <w:tc>
          <w:tcPr>
            <w:tcW w:w="7513" w:type="dxa"/>
            <w:vAlign w:val="top"/>
          </w:tcPr>
          <w:p>
            <w:pPr>
              <w:pStyle w:val="6"/>
              <w:spacing w:before="43" w:line="216" w:lineRule="auto"/>
              <w:ind w:left="98"/>
              <w:rPr>
                <w:rFonts w:ascii="仿宋" w:hAnsi="仿宋" w:eastAsia="仿宋" w:cs="仿宋"/>
              </w:rPr>
            </w:pPr>
            <w:r>
              <w:rPr>
                <w:rFonts w:ascii="仿宋" w:hAnsi="仿宋" w:eastAsia="仿宋" w:cs="仿宋"/>
                <w:spacing w:val="-1"/>
              </w:rPr>
              <w:t>引洪工程施工区设置</w:t>
            </w:r>
            <w:r>
              <w:rPr>
                <w:rFonts w:ascii="仿宋" w:hAnsi="仿宋" w:eastAsia="仿宋" w:cs="仿宋"/>
                <w:spacing w:val="-48"/>
              </w:rPr>
              <w:t xml:space="preserve"> </w:t>
            </w:r>
            <w:r>
              <w:rPr>
                <w:spacing w:val="-1"/>
              </w:rPr>
              <w:t>4</w:t>
            </w:r>
            <w:r>
              <w:rPr>
                <w:spacing w:val="14"/>
              </w:rPr>
              <w:t xml:space="preserve"> </w:t>
            </w:r>
            <w:r>
              <w:rPr>
                <w:rFonts w:ascii="仿宋" w:hAnsi="仿宋" w:eastAsia="仿宋" w:cs="仿宋"/>
                <w:spacing w:val="-1"/>
              </w:rPr>
              <w:t>处施工生产生活区，主要为材料堆放、加工</w:t>
            </w:r>
            <w:r>
              <w:rPr>
                <w:rFonts w:ascii="仿宋" w:hAnsi="仿宋" w:eastAsia="仿宋" w:cs="仿宋"/>
                <w:spacing w:val="-2"/>
              </w:rPr>
              <w:t>区以及混凝土</w:t>
            </w:r>
          </w:p>
          <w:p>
            <w:pPr>
              <w:pStyle w:val="6"/>
              <w:spacing w:before="26" w:line="232" w:lineRule="auto"/>
              <w:ind w:left="58"/>
              <w:rPr>
                <w:rFonts w:ascii="仿宋" w:hAnsi="仿宋" w:eastAsia="仿宋" w:cs="仿宋"/>
              </w:rPr>
            </w:pPr>
            <w:r>
              <w:rPr>
                <w:rFonts w:ascii="仿宋" w:hAnsi="仿宋" w:eastAsia="仿宋" w:cs="仿宋"/>
                <w:spacing w:val="-7"/>
              </w:rPr>
              <w:t>拌合场，</w:t>
            </w:r>
            <w:r>
              <w:rPr>
                <w:rFonts w:ascii="仿宋" w:hAnsi="仿宋" w:eastAsia="仿宋" w:cs="仿宋"/>
                <w:spacing w:val="55"/>
              </w:rPr>
              <w:t xml:space="preserve"> </w:t>
            </w:r>
            <w:r>
              <w:rPr>
                <w:rFonts w:ascii="仿宋" w:hAnsi="仿宋" w:eastAsia="仿宋" w:cs="仿宋"/>
                <w:spacing w:val="-7"/>
              </w:rPr>
              <w:t>占地面积</w:t>
            </w:r>
            <w:r>
              <w:rPr>
                <w:rFonts w:ascii="仿宋" w:hAnsi="仿宋" w:eastAsia="仿宋" w:cs="仿宋"/>
                <w:spacing w:val="-45"/>
              </w:rPr>
              <w:t xml:space="preserve"> </w:t>
            </w:r>
            <w:r>
              <w:rPr>
                <w:spacing w:val="-7"/>
              </w:rPr>
              <w:t>0.24hm</w:t>
            </w:r>
            <w:r>
              <w:rPr>
                <w:spacing w:val="-7"/>
                <w:position w:val="7"/>
                <w:sz w:val="14"/>
                <w:szCs w:val="14"/>
              </w:rPr>
              <w:t xml:space="preserve">2 </w:t>
            </w:r>
            <w:r>
              <w:rPr>
                <w:rFonts w:ascii="仿宋" w:hAnsi="仿宋" w:eastAsia="仿宋" w:cs="仿宋"/>
                <w:spacing w:val="-7"/>
              </w:rPr>
              <w:t>，占地类型为林地（</w:t>
            </w:r>
            <w:r>
              <w:rPr>
                <w:spacing w:val="-7"/>
              </w:rPr>
              <w:t>0.07hm</w:t>
            </w:r>
            <w:r>
              <w:rPr>
                <w:spacing w:val="-7"/>
                <w:position w:val="7"/>
                <w:sz w:val="14"/>
                <w:szCs w:val="14"/>
              </w:rPr>
              <w:t>2</w:t>
            </w:r>
            <w:r>
              <w:rPr>
                <w:rFonts w:ascii="仿宋" w:hAnsi="仿宋" w:eastAsia="仿宋" w:cs="仿宋"/>
                <w:spacing w:val="-7"/>
              </w:rPr>
              <w:t>）、耕地（</w:t>
            </w:r>
            <w:r>
              <w:rPr>
                <w:spacing w:val="-7"/>
              </w:rPr>
              <w:t>0.17hm</w:t>
            </w:r>
            <w:r>
              <w:rPr>
                <w:spacing w:val="-7"/>
                <w:position w:val="7"/>
                <w:sz w:val="14"/>
                <w:szCs w:val="14"/>
              </w:rPr>
              <w:t>2</w:t>
            </w:r>
            <w:r>
              <w:rPr>
                <w:rFonts w:ascii="仿宋" w:hAnsi="仿宋" w:eastAsia="仿宋" w:cs="仿宋"/>
                <w:spacing w:val="-59"/>
                <w:w w:val="99"/>
              </w:rPr>
              <w:t>），</w:t>
            </w:r>
            <w:r>
              <w:rPr>
                <w:rFonts w:ascii="仿宋" w:hAnsi="仿宋" w:eastAsia="仿宋" w:cs="仿宋"/>
                <w:spacing w:val="-8"/>
              </w:rPr>
              <w:t>为临</w:t>
            </w:r>
          </w:p>
          <w:p>
            <w:pPr>
              <w:spacing w:before="8" w:line="194" w:lineRule="auto"/>
              <w:ind w:left="3361"/>
              <w:rPr>
                <w:rFonts w:ascii="仿宋" w:hAnsi="仿宋" w:eastAsia="仿宋" w:cs="仿宋"/>
                <w:sz w:val="21"/>
                <w:szCs w:val="21"/>
              </w:rPr>
            </w:pPr>
            <w:r>
              <w:rPr>
                <w:rFonts w:ascii="仿宋" w:hAnsi="仿宋" w:eastAsia="仿宋" w:cs="仿宋"/>
                <w:spacing w:val="-8"/>
                <w:sz w:val="21"/>
                <w:szCs w:val="21"/>
              </w:rPr>
              <w:t>时占地。</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19" w:type="dxa"/>
            <w:vMerge w:val="continue"/>
            <w:tcBorders>
              <w:top w:val="nil"/>
              <w:left w:val="nil"/>
              <w:bottom w:val="nil"/>
            </w:tcBorders>
            <w:vAlign w:val="top"/>
          </w:tcPr>
          <w:p>
            <w:pPr>
              <w:rPr>
                <w:rFonts w:ascii="Arial"/>
                <w:sz w:val="21"/>
              </w:rPr>
            </w:pPr>
          </w:p>
        </w:tc>
        <w:tc>
          <w:tcPr>
            <w:tcW w:w="3265" w:type="dxa"/>
            <w:gridSpan w:val="2"/>
            <w:vMerge w:val="continue"/>
            <w:tcBorders>
              <w:top w:val="nil"/>
            </w:tcBorders>
            <w:vAlign w:val="top"/>
          </w:tcPr>
          <w:p>
            <w:pPr>
              <w:rPr>
                <w:rFonts w:ascii="Arial"/>
                <w:sz w:val="21"/>
              </w:rPr>
            </w:pPr>
          </w:p>
        </w:tc>
        <w:tc>
          <w:tcPr>
            <w:tcW w:w="7513" w:type="dxa"/>
            <w:vAlign w:val="top"/>
          </w:tcPr>
          <w:p>
            <w:pPr>
              <w:pStyle w:val="6"/>
              <w:spacing w:before="45" w:line="216" w:lineRule="auto"/>
              <w:ind w:left="974" w:right="80" w:hanging="882"/>
              <w:rPr>
                <w:rFonts w:ascii="仿宋" w:hAnsi="仿宋" w:eastAsia="仿宋" w:cs="仿宋"/>
              </w:rPr>
            </w:pPr>
            <w:r>
              <w:rPr>
                <w:rFonts w:ascii="仿宋" w:hAnsi="仿宋" w:eastAsia="仿宋" w:cs="仿宋"/>
                <w:spacing w:val="-1"/>
              </w:rPr>
              <w:t>输水工程施工区设置</w:t>
            </w:r>
            <w:r>
              <w:rPr>
                <w:rFonts w:ascii="仿宋" w:hAnsi="仿宋" w:eastAsia="仿宋" w:cs="仿宋"/>
                <w:spacing w:val="-43"/>
              </w:rPr>
              <w:t xml:space="preserve"> </w:t>
            </w:r>
            <w:r>
              <w:rPr>
                <w:spacing w:val="-1"/>
              </w:rPr>
              <w:t>5</w:t>
            </w:r>
            <w:r>
              <w:rPr>
                <w:spacing w:val="15"/>
              </w:rPr>
              <w:t xml:space="preserve"> </w:t>
            </w:r>
            <w:r>
              <w:rPr>
                <w:rFonts w:ascii="仿宋" w:hAnsi="仿宋" w:eastAsia="仿宋" w:cs="仿宋"/>
                <w:spacing w:val="-1"/>
              </w:rPr>
              <w:t>处施工生产生活区，主要为材料堆放、加工</w:t>
            </w:r>
            <w:r>
              <w:rPr>
                <w:rFonts w:ascii="仿宋" w:hAnsi="仿宋" w:eastAsia="仿宋" w:cs="仿宋"/>
                <w:spacing w:val="-2"/>
              </w:rPr>
              <w:t>区以及混凝土</w:t>
            </w:r>
            <w:r>
              <w:rPr>
                <w:rFonts w:ascii="仿宋" w:hAnsi="仿宋" w:eastAsia="仿宋" w:cs="仿宋"/>
              </w:rPr>
              <w:t xml:space="preserve"> </w:t>
            </w:r>
            <w:r>
              <w:rPr>
                <w:rFonts w:ascii="仿宋" w:hAnsi="仿宋" w:eastAsia="仿宋" w:cs="仿宋"/>
                <w:spacing w:val="-8"/>
              </w:rPr>
              <w:t>拌合场，</w:t>
            </w:r>
            <w:r>
              <w:rPr>
                <w:rFonts w:ascii="仿宋" w:hAnsi="仿宋" w:eastAsia="仿宋" w:cs="仿宋"/>
                <w:spacing w:val="66"/>
              </w:rPr>
              <w:t xml:space="preserve"> </w:t>
            </w:r>
            <w:r>
              <w:rPr>
                <w:rFonts w:ascii="仿宋" w:hAnsi="仿宋" w:eastAsia="仿宋" w:cs="仿宋"/>
                <w:spacing w:val="-8"/>
              </w:rPr>
              <w:t>占地面积</w:t>
            </w:r>
            <w:r>
              <w:rPr>
                <w:rFonts w:ascii="仿宋" w:hAnsi="仿宋" w:eastAsia="仿宋" w:cs="仿宋"/>
                <w:spacing w:val="-45"/>
              </w:rPr>
              <w:t xml:space="preserve"> </w:t>
            </w:r>
            <w:r>
              <w:rPr>
                <w:spacing w:val="-8"/>
              </w:rPr>
              <w:t>0.32hm</w:t>
            </w:r>
            <w:r>
              <w:rPr>
                <w:spacing w:val="-8"/>
                <w:position w:val="7"/>
                <w:sz w:val="14"/>
                <w:szCs w:val="14"/>
              </w:rPr>
              <w:t xml:space="preserve">2 </w:t>
            </w:r>
            <w:r>
              <w:rPr>
                <w:rFonts w:ascii="仿宋" w:hAnsi="仿宋" w:eastAsia="仿宋" w:cs="仿宋"/>
                <w:spacing w:val="-8"/>
              </w:rPr>
              <w:t>，占地类型为林地，为临时占地。</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419" w:type="dxa"/>
            <w:vMerge w:val="continue"/>
            <w:tcBorders>
              <w:top w:val="nil"/>
              <w:left w:val="nil"/>
              <w:bottom w:val="nil"/>
            </w:tcBorders>
            <w:vAlign w:val="top"/>
          </w:tcPr>
          <w:p>
            <w:pPr>
              <w:rPr>
                <w:rFonts w:ascii="Arial"/>
                <w:sz w:val="21"/>
              </w:rPr>
            </w:pPr>
          </w:p>
        </w:tc>
        <w:tc>
          <w:tcPr>
            <w:tcW w:w="3265" w:type="dxa"/>
            <w:gridSpan w:val="2"/>
            <w:vAlign w:val="top"/>
          </w:tcPr>
          <w:p>
            <w:pPr>
              <w:spacing w:before="48" w:line="191" w:lineRule="auto"/>
              <w:ind w:left="1437"/>
              <w:rPr>
                <w:rFonts w:ascii="仿宋" w:hAnsi="仿宋" w:eastAsia="仿宋" w:cs="仿宋"/>
                <w:sz w:val="21"/>
                <w:szCs w:val="21"/>
              </w:rPr>
            </w:pPr>
            <w:r>
              <w:rPr>
                <w:rFonts w:ascii="仿宋" w:hAnsi="仿宋" w:eastAsia="仿宋" w:cs="仿宋"/>
                <w:spacing w:val="-5"/>
                <w:sz w:val="21"/>
                <w:szCs w:val="21"/>
              </w:rPr>
              <w:t>油库</w:t>
            </w:r>
          </w:p>
        </w:tc>
        <w:tc>
          <w:tcPr>
            <w:tcW w:w="7513" w:type="dxa"/>
            <w:vAlign w:val="top"/>
          </w:tcPr>
          <w:p>
            <w:pPr>
              <w:pStyle w:val="6"/>
              <w:spacing w:before="48" w:line="191" w:lineRule="auto"/>
              <w:ind w:left="1245"/>
              <w:rPr>
                <w:rFonts w:ascii="仿宋" w:hAnsi="仿宋" w:eastAsia="仿宋" w:cs="仿宋"/>
              </w:rPr>
            </w:pPr>
            <w:r>
              <w:rPr>
                <w:rFonts w:ascii="仿宋" w:hAnsi="仿宋" w:eastAsia="仿宋" w:cs="仿宋"/>
                <w:spacing w:val="-3"/>
              </w:rPr>
              <w:t>枢纽施工区设</w:t>
            </w:r>
            <w:r>
              <w:rPr>
                <w:rFonts w:ascii="仿宋" w:hAnsi="仿宋" w:eastAsia="仿宋" w:cs="仿宋"/>
                <w:spacing w:val="-12"/>
              </w:rPr>
              <w:t xml:space="preserve"> </w:t>
            </w:r>
            <w:r>
              <w:rPr>
                <w:spacing w:val="-3"/>
              </w:rPr>
              <w:t>1</w:t>
            </w:r>
            <w:r>
              <w:rPr>
                <w:spacing w:val="17"/>
                <w:w w:val="101"/>
              </w:rPr>
              <w:t xml:space="preserve"> </w:t>
            </w:r>
            <w:r>
              <w:rPr>
                <w:rFonts w:ascii="仿宋" w:hAnsi="仿宋" w:eastAsia="仿宋" w:cs="仿宋"/>
                <w:spacing w:val="-3"/>
              </w:rPr>
              <w:t>座油库，位于枢纽施工生产生活区内。</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19" w:type="dxa"/>
            <w:vMerge w:val="continue"/>
            <w:tcBorders>
              <w:top w:val="nil"/>
              <w:left w:val="nil"/>
            </w:tcBorders>
            <w:vAlign w:val="top"/>
          </w:tcPr>
          <w:p>
            <w:pPr>
              <w:rPr>
                <w:rFonts w:ascii="Arial"/>
                <w:sz w:val="21"/>
              </w:rPr>
            </w:pPr>
          </w:p>
        </w:tc>
        <w:tc>
          <w:tcPr>
            <w:tcW w:w="3265" w:type="dxa"/>
            <w:gridSpan w:val="2"/>
            <w:vAlign w:val="top"/>
          </w:tcPr>
          <w:p>
            <w:pPr>
              <w:spacing w:before="186" w:line="219" w:lineRule="auto"/>
              <w:ind w:left="1234"/>
              <w:rPr>
                <w:rFonts w:ascii="仿宋" w:hAnsi="仿宋" w:eastAsia="仿宋" w:cs="仿宋"/>
                <w:sz w:val="21"/>
                <w:szCs w:val="21"/>
              </w:rPr>
            </w:pPr>
            <w:r>
              <w:rPr>
                <w:rFonts w:ascii="仿宋" w:hAnsi="仿宋" w:eastAsia="仿宋" w:cs="仿宋"/>
                <w:spacing w:val="-5"/>
                <w:sz w:val="21"/>
                <w:szCs w:val="21"/>
              </w:rPr>
              <w:t>临时道路</w:t>
            </w:r>
          </w:p>
        </w:tc>
        <w:tc>
          <w:tcPr>
            <w:tcW w:w="7513" w:type="dxa"/>
            <w:vAlign w:val="top"/>
          </w:tcPr>
          <w:p>
            <w:pPr>
              <w:pStyle w:val="6"/>
              <w:spacing w:before="50" w:line="232" w:lineRule="auto"/>
              <w:ind w:left="107"/>
              <w:rPr>
                <w:rFonts w:ascii="仿宋" w:hAnsi="仿宋" w:eastAsia="仿宋" w:cs="仿宋"/>
              </w:rPr>
            </w:pPr>
            <w:r>
              <w:rPr>
                <w:rFonts w:ascii="仿宋" w:hAnsi="仿宋" w:eastAsia="仿宋" w:cs="仿宋"/>
                <w:spacing w:val="-2"/>
              </w:rPr>
              <w:t>工程大坝枢纽区需新修道路</w:t>
            </w:r>
            <w:r>
              <w:rPr>
                <w:rFonts w:ascii="仿宋" w:hAnsi="仿宋" w:eastAsia="仿宋" w:cs="仿宋"/>
                <w:spacing w:val="-27"/>
              </w:rPr>
              <w:t xml:space="preserve"> </w:t>
            </w:r>
            <w:r>
              <w:rPr>
                <w:spacing w:val="-2"/>
              </w:rPr>
              <w:t>31.45km</w:t>
            </w:r>
            <w:r>
              <w:rPr>
                <w:rFonts w:ascii="仿宋" w:hAnsi="仿宋" w:eastAsia="仿宋" w:cs="仿宋"/>
                <w:spacing w:val="-2"/>
              </w:rPr>
              <w:t>。施工道路占地</w:t>
            </w:r>
            <w:r>
              <w:rPr>
                <w:rFonts w:ascii="仿宋" w:hAnsi="仿宋" w:eastAsia="仿宋" w:cs="仿宋"/>
                <w:spacing w:val="-48"/>
              </w:rPr>
              <w:t xml:space="preserve"> </w:t>
            </w:r>
            <w:r>
              <w:rPr>
                <w:spacing w:val="-2"/>
              </w:rPr>
              <w:t>24.99hm</w:t>
            </w:r>
            <w:r>
              <w:rPr>
                <w:spacing w:val="-2"/>
                <w:position w:val="7"/>
                <w:sz w:val="14"/>
                <w:szCs w:val="14"/>
              </w:rPr>
              <w:t xml:space="preserve">2 </w:t>
            </w:r>
            <w:r>
              <w:rPr>
                <w:rFonts w:ascii="仿宋" w:hAnsi="仿宋" w:eastAsia="仿宋" w:cs="仿宋"/>
                <w:spacing w:val="-2"/>
              </w:rPr>
              <w:t>，占地类型有水田</w:t>
            </w:r>
          </w:p>
          <w:p>
            <w:pPr>
              <w:pStyle w:val="6"/>
              <w:spacing w:before="7" w:line="189" w:lineRule="auto"/>
              <w:ind w:left="1447"/>
              <w:rPr>
                <w:rFonts w:ascii="仿宋" w:hAnsi="仿宋" w:eastAsia="仿宋" w:cs="仿宋"/>
              </w:rPr>
            </w:pPr>
            <w:r>
              <w:rPr>
                <w:rFonts w:ascii="仿宋" w:hAnsi="仿宋" w:eastAsia="仿宋" w:cs="仿宋"/>
                <w:spacing w:val="-9"/>
              </w:rPr>
              <w:t>（</w:t>
            </w:r>
            <w:r>
              <w:rPr>
                <w:spacing w:val="-9"/>
              </w:rPr>
              <w:t>1.12hm</w:t>
            </w:r>
            <w:r>
              <w:rPr>
                <w:spacing w:val="-9"/>
                <w:position w:val="7"/>
                <w:sz w:val="14"/>
                <w:szCs w:val="14"/>
              </w:rPr>
              <w:t>2</w:t>
            </w:r>
            <w:r>
              <w:rPr>
                <w:rFonts w:ascii="仿宋" w:hAnsi="仿宋" w:eastAsia="仿宋" w:cs="仿宋"/>
                <w:spacing w:val="-9"/>
              </w:rPr>
              <w:t>）、旱地（</w:t>
            </w:r>
            <w:r>
              <w:rPr>
                <w:spacing w:val="-9"/>
              </w:rPr>
              <w:t>7.28hm</w:t>
            </w:r>
            <w:r>
              <w:rPr>
                <w:spacing w:val="-9"/>
                <w:position w:val="7"/>
                <w:sz w:val="14"/>
                <w:szCs w:val="14"/>
              </w:rPr>
              <w:t>2</w:t>
            </w:r>
            <w:r>
              <w:rPr>
                <w:rFonts w:ascii="仿宋" w:hAnsi="仿宋" w:eastAsia="仿宋" w:cs="仿宋"/>
                <w:spacing w:val="-9"/>
              </w:rPr>
              <w:t>）、林地（</w:t>
            </w:r>
            <w:r>
              <w:rPr>
                <w:spacing w:val="-9"/>
              </w:rPr>
              <w:t>16.59hm</w:t>
            </w:r>
            <w:r>
              <w:rPr>
                <w:spacing w:val="-9"/>
                <w:position w:val="7"/>
                <w:sz w:val="14"/>
                <w:szCs w:val="14"/>
              </w:rPr>
              <w:t>2</w:t>
            </w:r>
            <w:r>
              <w:rPr>
                <w:rFonts w:ascii="仿宋" w:hAnsi="仿宋" w:eastAsia="仿宋" w:cs="仿宋"/>
                <w:spacing w:val="-9"/>
              </w:rPr>
              <w:t>）。</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419" w:type="dxa"/>
            <w:vMerge w:val="restart"/>
            <w:tcBorders>
              <w:left w:val="nil"/>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68" w:line="217" w:lineRule="auto"/>
              <w:ind w:left="299"/>
              <w:rPr>
                <w:rFonts w:ascii="仿宋" w:hAnsi="仿宋" w:eastAsia="仿宋" w:cs="仿宋"/>
                <w:sz w:val="21"/>
                <w:szCs w:val="21"/>
              </w:rPr>
            </w:pPr>
            <w:r>
              <w:rPr>
                <w:rFonts w:ascii="仿宋" w:hAnsi="仿宋" w:eastAsia="仿宋" w:cs="仿宋"/>
                <w:spacing w:val="-3"/>
                <w:sz w:val="21"/>
                <w:szCs w:val="21"/>
              </w:rPr>
              <w:t>环保工程</w:t>
            </w:r>
          </w:p>
        </w:tc>
        <w:tc>
          <w:tcPr>
            <w:tcW w:w="3265" w:type="dxa"/>
            <w:gridSpan w:val="2"/>
            <w:vAlign w:val="top"/>
          </w:tcPr>
          <w:p>
            <w:pPr>
              <w:spacing w:line="255" w:lineRule="auto"/>
              <w:rPr>
                <w:rFonts w:ascii="Arial"/>
                <w:sz w:val="21"/>
              </w:rPr>
            </w:pPr>
          </w:p>
          <w:p>
            <w:pPr>
              <w:spacing w:before="69" w:line="219" w:lineRule="auto"/>
              <w:ind w:left="1024"/>
              <w:rPr>
                <w:rFonts w:ascii="仿宋" w:hAnsi="仿宋" w:eastAsia="仿宋" w:cs="仿宋"/>
                <w:sz w:val="21"/>
                <w:szCs w:val="21"/>
              </w:rPr>
            </w:pPr>
            <w:r>
              <w:rPr>
                <w:rFonts w:ascii="仿宋" w:hAnsi="仿宋" w:eastAsia="仿宋" w:cs="仿宋"/>
                <w:spacing w:val="-4"/>
                <w:sz w:val="21"/>
                <w:szCs w:val="21"/>
              </w:rPr>
              <w:t>生态泄流工程</w:t>
            </w:r>
          </w:p>
        </w:tc>
        <w:tc>
          <w:tcPr>
            <w:tcW w:w="7513" w:type="dxa"/>
            <w:vAlign w:val="top"/>
          </w:tcPr>
          <w:p>
            <w:pPr>
              <w:pStyle w:val="6"/>
              <w:spacing w:before="53" w:line="222" w:lineRule="auto"/>
              <w:ind w:left="4" w:right="62" w:firstLine="9"/>
              <w:jc w:val="both"/>
              <w:rPr>
                <w:rFonts w:ascii="仿宋" w:hAnsi="仿宋" w:eastAsia="仿宋" w:cs="仿宋"/>
              </w:rPr>
            </w:pPr>
            <w:r>
              <w:rPr>
                <w:rFonts w:ascii="仿宋" w:hAnsi="仿宋" w:eastAsia="仿宋" w:cs="仿宋"/>
                <w:spacing w:val="-1"/>
              </w:rPr>
              <w:t>枢纽工程利用导流输水放空隧洞预埋的</w:t>
            </w:r>
            <w:r>
              <w:rPr>
                <w:rFonts w:ascii="仿宋" w:hAnsi="仿宋" w:eastAsia="仿宋" w:cs="仿宋"/>
                <w:spacing w:val="-43"/>
              </w:rPr>
              <w:t xml:space="preserve"> </w:t>
            </w:r>
            <w:r>
              <w:rPr>
                <w:spacing w:val="-1"/>
              </w:rPr>
              <w:t>DN325</w:t>
            </w:r>
            <w:r>
              <w:rPr>
                <w:spacing w:val="13"/>
                <w:w w:val="101"/>
              </w:rPr>
              <w:t xml:space="preserve"> </w:t>
            </w:r>
            <w:r>
              <w:rPr>
                <w:rFonts w:ascii="仿宋" w:hAnsi="仿宋" w:eastAsia="仿宋" w:cs="仿宋"/>
                <w:spacing w:val="-1"/>
              </w:rPr>
              <w:t>钢管下泄生态流量；引洪工程、引</w:t>
            </w:r>
            <w:r>
              <w:rPr>
                <w:rFonts w:ascii="仿宋" w:hAnsi="仿宋" w:eastAsia="仿宋" w:cs="仿宋"/>
              </w:rPr>
              <w:t xml:space="preserve"> 水工程不引水季节直接利用冲沙闸下泄生态流量，汛期引水时段通过</w:t>
            </w:r>
            <w:r>
              <w:rPr>
                <w:rFonts w:ascii="仿宋" w:hAnsi="仿宋" w:eastAsia="仿宋" w:cs="仿宋"/>
                <w:spacing w:val="-1"/>
              </w:rPr>
              <w:t>引水沟埋设</w:t>
            </w:r>
            <w:r>
              <w:rPr>
                <w:rFonts w:ascii="仿宋" w:hAnsi="仿宋" w:eastAsia="仿宋" w:cs="仿宋"/>
              </w:rPr>
              <w:t xml:space="preserve">  </w:t>
            </w:r>
            <w:r>
              <w:rPr>
                <w:spacing w:val="-2"/>
              </w:rPr>
              <w:t>DN150</w:t>
            </w:r>
            <w:r>
              <w:rPr>
                <w:spacing w:val="29"/>
              </w:rPr>
              <w:t xml:space="preserve"> </w:t>
            </w:r>
            <w:r>
              <w:rPr>
                <w:rFonts w:ascii="仿宋" w:hAnsi="仿宋" w:eastAsia="仿宋" w:cs="仿宋"/>
                <w:spacing w:val="-2"/>
              </w:rPr>
              <w:t>的放水管向下游河道供水。</w:t>
            </w:r>
          </w:p>
        </w:tc>
        <w:tc>
          <w:tcPr>
            <w:tcW w:w="1805"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30" w:hRule="atLeast"/>
        </w:trPr>
        <w:tc>
          <w:tcPr>
            <w:tcW w:w="1419" w:type="dxa"/>
            <w:vMerge w:val="continue"/>
            <w:tcBorders>
              <w:top w:val="nil"/>
              <w:left w:val="nil"/>
              <w:bottom w:val="single" w:color="000000" w:sz="12" w:space="0"/>
            </w:tcBorders>
            <w:vAlign w:val="top"/>
          </w:tcPr>
          <w:p>
            <w:pPr>
              <w:rPr>
                <w:rFonts w:ascii="Arial"/>
                <w:sz w:val="21"/>
              </w:rPr>
            </w:pPr>
          </w:p>
        </w:tc>
        <w:tc>
          <w:tcPr>
            <w:tcW w:w="3265" w:type="dxa"/>
            <w:gridSpan w:val="2"/>
            <w:tcBorders>
              <w:bottom w:val="single" w:color="000000" w:sz="12" w:space="0"/>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8" w:line="217" w:lineRule="auto"/>
              <w:ind w:left="1013"/>
              <w:rPr>
                <w:rFonts w:ascii="仿宋" w:hAnsi="仿宋" w:eastAsia="仿宋" w:cs="仿宋"/>
                <w:sz w:val="21"/>
                <w:szCs w:val="21"/>
              </w:rPr>
            </w:pPr>
            <w:r>
              <w:rPr>
                <w:rFonts w:ascii="仿宋" w:hAnsi="仿宋" w:eastAsia="仿宋" w:cs="仿宋"/>
                <w:spacing w:val="-3"/>
                <w:sz w:val="21"/>
                <w:szCs w:val="21"/>
              </w:rPr>
              <w:t>其他环保措施</w:t>
            </w:r>
          </w:p>
        </w:tc>
        <w:tc>
          <w:tcPr>
            <w:tcW w:w="7513" w:type="dxa"/>
            <w:tcBorders>
              <w:bottom w:val="single" w:color="000000" w:sz="12" w:space="0"/>
            </w:tcBorders>
            <w:vAlign w:val="top"/>
          </w:tcPr>
          <w:p>
            <w:pPr>
              <w:pStyle w:val="6"/>
              <w:spacing w:before="53" w:line="228" w:lineRule="auto"/>
              <w:ind w:left="41" w:right="4" w:hanging="16"/>
              <w:rPr>
                <w:rFonts w:ascii="仿宋" w:hAnsi="仿宋" w:eastAsia="仿宋" w:cs="仿宋"/>
              </w:rPr>
            </w:pPr>
            <w:r>
              <w:rPr>
                <w:spacing w:val="-12"/>
              </w:rPr>
              <w:t>1</w:t>
            </w:r>
            <w:r>
              <w:rPr>
                <w:rFonts w:ascii="仿宋" w:hAnsi="仿宋" w:eastAsia="仿宋" w:cs="仿宋"/>
                <w:spacing w:val="-12"/>
              </w:rPr>
              <w:t>、施工生产生活区修建隔油池、化粪池，</w:t>
            </w:r>
            <w:r>
              <w:rPr>
                <w:rFonts w:ascii="仿宋" w:hAnsi="仿宋" w:eastAsia="仿宋" w:cs="仿宋"/>
                <w:spacing w:val="29"/>
              </w:rPr>
              <w:t xml:space="preserve"> </w:t>
            </w:r>
            <w:r>
              <w:rPr>
                <w:rFonts w:ascii="仿宋" w:hAnsi="仿宋" w:eastAsia="仿宋" w:cs="仿宋"/>
                <w:spacing w:val="-12"/>
              </w:rPr>
              <w:t>生活污水进入化粪池处理，</w:t>
            </w:r>
            <w:r>
              <w:rPr>
                <w:rFonts w:ascii="仿宋" w:hAnsi="仿宋" w:eastAsia="仿宋" w:cs="仿宋"/>
                <w:spacing w:val="20"/>
              </w:rPr>
              <w:t xml:space="preserve"> </w:t>
            </w:r>
            <w:r>
              <w:rPr>
                <w:rFonts w:ascii="仿宋" w:hAnsi="仿宋" w:eastAsia="仿宋" w:cs="仿宋"/>
                <w:spacing w:val="-12"/>
              </w:rPr>
              <w:t>并雇用</w:t>
            </w:r>
            <w:r>
              <w:rPr>
                <w:rFonts w:ascii="仿宋" w:hAnsi="仿宋" w:eastAsia="仿宋" w:cs="仿宋"/>
                <w:spacing w:val="-13"/>
              </w:rPr>
              <w:t>当地村</w:t>
            </w:r>
            <w:r>
              <w:rPr>
                <w:rFonts w:ascii="仿宋" w:hAnsi="仿宋" w:eastAsia="仿宋" w:cs="仿宋"/>
              </w:rPr>
              <w:t xml:space="preserve"> </w:t>
            </w:r>
            <w:r>
              <w:rPr>
                <w:rFonts w:ascii="仿宋" w:hAnsi="仿宋" w:eastAsia="仿宋" w:cs="仿宋"/>
                <w:spacing w:val="-3"/>
              </w:rPr>
              <w:t>民定期清运，沤熟后用作农业肥料；</w:t>
            </w:r>
          </w:p>
          <w:p>
            <w:pPr>
              <w:pStyle w:val="6"/>
              <w:spacing w:before="27" w:line="232" w:lineRule="auto"/>
              <w:ind w:left="15" w:right="2" w:hanging="10"/>
              <w:jc w:val="both"/>
              <w:rPr>
                <w:rFonts w:ascii="仿宋" w:hAnsi="仿宋" w:eastAsia="仿宋" w:cs="仿宋"/>
              </w:rPr>
            </w:pPr>
            <w:r>
              <w:rPr>
                <w:spacing w:val="-4"/>
              </w:rPr>
              <w:t>2</w:t>
            </w:r>
            <w:r>
              <w:rPr>
                <w:rFonts w:ascii="仿宋" w:hAnsi="仿宋" w:eastAsia="仿宋" w:cs="仿宋"/>
                <w:spacing w:val="-4"/>
              </w:rPr>
              <w:t>、枢纽区混凝土拌合站设置</w:t>
            </w:r>
            <w:r>
              <w:rPr>
                <w:rFonts w:ascii="仿宋" w:hAnsi="仿宋" w:eastAsia="仿宋" w:cs="仿宋"/>
                <w:spacing w:val="-24"/>
              </w:rPr>
              <w:t xml:space="preserve"> </w:t>
            </w:r>
            <w:r>
              <w:rPr>
                <w:spacing w:val="-4"/>
              </w:rPr>
              <w:t>1</w:t>
            </w:r>
            <w:r>
              <w:rPr>
                <w:spacing w:val="15"/>
                <w:w w:val="101"/>
              </w:rPr>
              <w:t xml:space="preserve"> </w:t>
            </w:r>
            <w:r>
              <w:rPr>
                <w:rFonts w:ascii="仿宋" w:hAnsi="仿宋" w:eastAsia="仿宋" w:cs="仿宋"/>
                <w:spacing w:val="-4"/>
              </w:rPr>
              <w:t>个</w:t>
            </w:r>
            <w:r>
              <w:rPr>
                <w:rFonts w:ascii="仿宋" w:hAnsi="仿宋" w:eastAsia="仿宋" w:cs="仿宋"/>
                <w:spacing w:val="-29"/>
              </w:rPr>
              <w:t xml:space="preserve"> </w:t>
            </w:r>
            <w:r>
              <w:rPr>
                <w:spacing w:val="-4"/>
              </w:rPr>
              <w:t>10m</w:t>
            </w:r>
            <w:r>
              <w:rPr>
                <w:spacing w:val="-4"/>
                <w:position w:val="7"/>
                <w:sz w:val="14"/>
                <w:szCs w:val="14"/>
              </w:rPr>
              <w:t>3</w:t>
            </w:r>
            <w:r>
              <w:rPr>
                <w:spacing w:val="17"/>
                <w:position w:val="7"/>
                <w:sz w:val="14"/>
                <w:szCs w:val="14"/>
              </w:rPr>
              <w:t xml:space="preserve"> </w:t>
            </w:r>
            <w:r>
              <w:rPr>
                <w:rFonts w:ascii="仿宋" w:hAnsi="仿宋" w:eastAsia="仿宋" w:cs="仿宋"/>
                <w:spacing w:val="-4"/>
              </w:rPr>
              <w:t>废水沉淀池，其余每台混凝土拌合设备处设</w:t>
            </w:r>
            <w:r>
              <w:rPr>
                <w:rFonts w:ascii="仿宋" w:hAnsi="仿宋" w:eastAsia="仿宋" w:cs="仿宋"/>
              </w:rPr>
              <w:t xml:space="preserve"> </w:t>
            </w:r>
            <w:r>
              <w:rPr>
                <w:rFonts w:ascii="仿宋" w:hAnsi="仿宋" w:eastAsia="仿宋" w:cs="仿宋"/>
                <w:spacing w:val="-4"/>
              </w:rPr>
              <w:t>置</w:t>
            </w:r>
            <w:r>
              <w:rPr>
                <w:rFonts w:ascii="仿宋" w:hAnsi="仿宋" w:eastAsia="仿宋" w:cs="仿宋"/>
                <w:spacing w:val="-18"/>
              </w:rPr>
              <w:t xml:space="preserve"> </w:t>
            </w:r>
            <w:r>
              <w:rPr>
                <w:spacing w:val="-4"/>
              </w:rPr>
              <w:t>1</w:t>
            </w:r>
            <w:r>
              <w:rPr>
                <w:spacing w:val="20"/>
                <w:w w:val="101"/>
              </w:rPr>
              <w:t xml:space="preserve"> </w:t>
            </w:r>
            <w:r>
              <w:rPr>
                <w:rFonts w:ascii="仿宋" w:hAnsi="仿宋" w:eastAsia="仿宋" w:cs="仿宋"/>
                <w:spacing w:val="-4"/>
              </w:rPr>
              <w:t>个</w:t>
            </w:r>
            <w:r>
              <w:rPr>
                <w:rFonts w:ascii="仿宋" w:hAnsi="仿宋" w:eastAsia="仿宋" w:cs="仿宋"/>
                <w:spacing w:val="-38"/>
              </w:rPr>
              <w:t xml:space="preserve"> </w:t>
            </w:r>
            <w:r>
              <w:rPr>
                <w:spacing w:val="-4"/>
              </w:rPr>
              <w:t>5m</w:t>
            </w:r>
            <w:r>
              <w:rPr>
                <w:spacing w:val="-4"/>
                <w:position w:val="7"/>
                <w:sz w:val="14"/>
                <w:szCs w:val="14"/>
              </w:rPr>
              <w:t>3</w:t>
            </w:r>
            <w:r>
              <w:rPr>
                <w:spacing w:val="19"/>
                <w:w w:val="102"/>
                <w:position w:val="7"/>
                <w:sz w:val="14"/>
                <w:szCs w:val="14"/>
              </w:rPr>
              <w:t xml:space="preserve"> </w:t>
            </w:r>
            <w:r>
              <w:rPr>
                <w:rFonts w:ascii="仿宋" w:hAnsi="仿宋" w:eastAsia="仿宋" w:cs="仿宋"/>
                <w:spacing w:val="-4"/>
              </w:rPr>
              <w:t>废水沉淀池，施工废水不外排；砂石料加工区设置</w:t>
            </w:r>
            <w:r>
              <w:rPr>
                <w:rFonts w:ascii="仿宋" w:hAnsi="仿宋" w:eastAsia="仿宋" w:cs="仿宋"/>
                <w:spacing w:val="-23"/>
              </w:rPr>
              <w:t xml:space="preserve"> </w:t>
            </w:r>
            <w:r>
              <w:rPr>
                <w:spacing w:val="-4"/>
              </w:rPr>
              <w:t>1</w:t>
            </w:r>
            <w:r>
              <w:rPr>
                <w:spacing w:val="20"/>
                <w:w w:val="101"/>
              </w:rPr>
              <w:t xml:space="preserve"> </w:t>
            </w:r>
            <w:r>
              <w:rPr>
                <w:rFonts w:ascii="仿宋" w:hAnsi="仿宋" w:eastAsia="仿宋" w:cs="仿宋"/>
                <w:spacing w:val="-4"/>
              </w:rPr>
              <w:t>个</w:t>
            </w:r>
            <w:r>
              <w:rPr>
                <w:rFonts w:ascii="仿宋" w:hAnsi="仿宋" w:eastAsia="仿宋" w:cs="仿宋"/>
                <w:spacing w:val="-39"/>
              </w:rPr>
              <w:t xml:space="preserve"> </w:t>
            </w:r>
            <w:r>
              <w:rPr>
                <w:spacing w:val="-4"/>
              </w:rPr>
              <w:t>30m</w:t>
            </w:r>
            <w:r>
              <w:rPr>
                <w:spacing w:val="-4"/>
                <w:position w:val="7"/>
                <w:sz w:val="14"/>
                <w:szCs w:val="14"/>
              </w:rPr>
              <w:t>3</w:t>
            </w:r>
            <w:r>
              <w:rPr>
                <w:spacing w:val="20"/>
                <w:w w:val="102"/>
                <w:position w:val="7"/>
                <w:sz w:val="14"/>
                <w:szCs w:val="14"/>
              </w:rPr>
              <w:t xml:space="preserve"> </w:t>
            </w:r>
            <w:r>
              <w:rPr>
                <w:rFonts w:ascii="仿宋" w:hAnsi="仿宋" w:eastAsia="仿宋" w:cs="仿宋"/>
                <w:spacing w:val="-4"/>
              </w:rPr>
              <w:t>废水沉淀</w:t>
            </w:r>
            <w:r>
              <w:rPr>
                <w:rFonts w:ascii="仿宋" w:hAnsi="仿宋" w:eastAsia="仿宋" w:cs="仿宋"/>
              </w:rPr>
              <w:t xml:space="preserve"> </w:t>
            </w:r>
            <w:r>
              <w:rPr>
                <w:rFonts w:ascii="仿宋" w:hAnsi="仿宋" w:eastAsia="仿宋" w:cs="仿宋"/>
                <w:spacing w:val="-9"/>
              </w:rPr>
              <w:t>池，</w:t>
            </w:r>
            <w:r>
              <w:rPr>
                <w:rFonts w:ascii="仿宋" w:hAnsi="仿宋" w:eastAsia="仿宋" w:cs="仿宋"/>
                <w:spacing w:val="-13"/>
              </w:rPr>
              <w:t xml:space="preserve"> </w:t>
            </w:r>
            <w:r>
              <w:rPr>
                <w:rFonts w:ascii="仿宋" w:hAnsi="仿宋" w:eastAsia="仿宋" w:cs="仿宋"/>
                <w:spacing w:val="-9"/>
              </w:rPr>
              <w:t>清洗废水回用不外排；</w:t>
            </w:r>
          </w:p>
          <w:p>
            <w:pPr>
              <w:pStyle w:val="6"/>
              <w:spacing w:before="24" w:line="218" w:lineRule="auto"/>
              <w:ind w:left="9"/>
              <w:rPr>
                <w:rFonts w:ascii="仿宋" w:hAnsi="仿宋" w:eastAsia="仿宋" w:cs="仿宋"/>
              </w:rPr>
            </w:pPr>
            <w:r>
              <w:rPr>
                <w:spacing w:val="-6"/>
              </w:rPr>
              <w:t>3</w:t>
            </w:r>
            <w:r>
              <w:rPr>
                <w:spacing w:val="-20"/>
              </w:rPr>
              <w:t xml:space="preserve"> </w:t>
            </w:r>
            <w:r>
              <w:rPr>
                <w:rFonts w:ascii="仿宋" w:hAnsi="仿宋" w:eastAsia="仿宋" w:cs="仿宋"/>
                <w:spacing w:val="-6"/>
              </w:rPr>
              <w:t>、库底清理；</w:t>
            </w:r>
          </w:p>
          <w:p>
            <w:pPr>
              <w:pStyle w:val="6"/>
              <w:spacing w:before="24" w:line="203" w:lineRule="auto"/>
              <w:ind w:left="4"/>
              <w:rPr>
                <w:rFonts w:ascii="仿宋" w:hAnsi="仿宋" w:eastAsia="仿宋" w:cs="仿宋"/>
              </w:rPr>
            </w:pPr>
            <w:r>
              <w:rPr>
                <w:spacing w:val="-2"/>
              </w:rPr>
              <w:t>4</w:t>
            </w:r>
            <w:r>
              <w:rPr>
                <w:rFonts w:ascii="仿宋" w:hAnsi="仿宋" w:eastAsia="仿宋" w:cs="仿宋"/>
                <w:spacing w:val="-2"/>
              </w:rPr>
              <w:t>、弃渣场、料场工程防护措施和迹地恢复措施。</w:t>
            </w:r>
          </w:p>
        </w:tc>
        <w:tc>
          <w:tcPr>
            <w:tcW w:w="1805" w:type="dxa"/>
            <w:tcBorders>
              <w:bottom w:val="single" w:color="000000" w:sz="12" w:space="0"/>
              <w:right w:val="nil"/>
            </w:tcBorders>
            <w:vAlign w:val="top"/>
          </w:tcPr>
          <w:p>
            <w:pPr>
              <w:rPr>
                <w:rFonts w:ascii="Arial"/>
                <w:sz w:val="21"/>
              </w:rPr>
            </w:pPr>
          </w:p>
        </w:tc>
      </w:tr>
    </w:tbl>
    <w:p>
      <w:pPr>
        <w:spacing w:line="84" w:lineRule="exact"/>
        <w:rPr>
          <w:rFonts w:ascii="Arial"/>
          <w:sz w:val="7"/>
        </w:rPr>
      </w:pPr>
    </w:p>
    <w:p>
      <w:pPr>
        <w:spacing w:line="84" w:lineRule="exact"/>
        <w:rPr>
          <w:rFonts w:ascii="Arial" w:hAnsi="Arial" w:eastAsia="Arial" w:cs="Arial"/>
          <w:sz w:val="7"/>
          <w:szCs w:val="7"/>
        </w:rPr>
        <w:sectPr>
          <w:footerReference r:id="rId83" w:type="default"/>
          <w:pgSz w:w="16839" w:h="11907"/>
          <w:pgMar w:top="1298" w:right="1387" w:bottom="1374" w:left="1388" w:header="1023" w:footer="1210" w:gutter="0"/>
        </w:sectPr>
      </w:pPr>
    </w:p>
    <w:p>
      <w:pPr>
        <w:rPr>
          <w:rFonts w:ascii="Arial"/>
          <w:sz w:val="21"/>
        </w:rPr>
      </w:pPr>
    </w:p>
    <w:p>
      <w:pPr>
        <w:rPr>
          <w:rFonts w:ascii="Arial" w:hAnsi="Arial" w:eastAsia="Arial" w:cs="Arial"/>
          <w:sz w:val="21"/>
          <w:szCs w:val="21"/>
        </w:rPr>
        <w:sectPr>
          <w:footerReference r:id="rId84" w:type="default"/>
          <w:pgSz w:w="16839" w:h="11907"/>
          <w:pgMar w:top="1298" w:right="1387" w:bottom="1373" w:left="1388" w:header="1023" w:footer="1210" w:gutter="0"/>
        </w:sectPr>
      </w:pPr>
    </w:p>
    <w:p>
      <w:pPr>
        <w:spacing w:line="326" w:lineRule="auto"/>
        <w:rPr>
          <w:rFonts w:ascii="Arial"/>
          <w:sz w:val="21"/>
        </w:rPr>
      </w:pPr>
    </w:p>
    <w:p>
      <w:pPr>
        <w:pStyle w:val="2"/>
        <w:spacing w:before="87" w:line="234" w:lineRule="auto"/>
        <w:ind w:left="35"/>
        <w:outlineLvl w:val="1"/>
        <w:rPr>
          <w:sz w:val="27"/>
          <w:szCs w:val="27"/>
        </w:rPr>
      </w:pPr>
      <w:r>
        <w:rPr>
          <w:rFonts w:ascii="Times New Roman" w:hAnsi="Times New Roman" w:eastAsia="Times New Roman" w:cs="Times New Roman"/>
          <w:b/>
          <w:bCs/>
          <w:spacing w:val="6"/>
          <w:sz w:val="24"/>
          <w:szCs w:val="24"/>
        </w:rPr>
        <w:t xml:space="preserve">2.3.2 </w:t>
      </w:r>
      <w:r>
        <w:rPr>
          <w:spacing w:val="6"/>
          <w:sz w:val="27"/>
          <w:szCs w:val="27"/>
          <w14:textOutline w14:w="5072" w14:cap="flat" w14:cmpd="sng">
            <w14:solidFill>
              <w14:srgbClr w14:val="000000"/>
            </w14:solidFill>
            <w14:prstDash w14:val="solid"/>
            <w14:miter w14:val="0"/>
          </w14:textOutline>
        </w:rPr>
        <w:t>工程布置及主要建筑物</w:t>
      </w:r>
    </w:p>
    <w:p>
      <w:pPr>
        <w:spacing w:before="157" w:line="219"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）总体布置</w:t>
      </w:r>
    </w:p>
    <w:p>
      <w:pPr>
        <w:spacing w:before="183" w:line="359" w:lineRule="auto"/>
        <w:ind w:left="42" w:right="69" w:firstLine="480"/>
        <w:rPr>
          <w:rFonts w:ascii="宋体" w:hAnsi="宋体" w:eastAsia="宋体" w:cs="宋体"/>
          <w:sz w:val="24"/>
          <w:szCs w:val="24"/>
        </w:rPr>
      </w:pPr>
      <w:r>
        <w:rPr>
          <w:rFonts w:ascii="宋体" w:hAnsi="宋体" w:eastAsia="宋体" w:cs="宋体"/>
          <w:spacing w:val="-5"/>
          <w:sz w:val="24"/>
          <w:szCs w:val="24"/>
        </w:rPr>
        <w:t>大姚县桂花水库工程建设内容包括枢纽工程、引水工程、引洪工程、输水工程。其</w:t>
      </w:r>
      <w:r>
        <w:rPr>
          <w:rFonts w:ascii="宋体" w:hAnsi="宋体" w:eastAsia="宋体" w:cs="宋体"/>
          <w:spacing w:val="4"/>
          <w:sz w:val="24"/>
          <w:szCs w:val="24"/>
        </w:rPr>
        <w:t xml:space="preserve"> </w:t>
      </w:r>
      <w:r>
        <w:rPr>
          <w:rFonts w:ascii="宋体" w:hAnsi="宋体" w:eastAsia="宋体" w:cs="宋体"/>
          <w:spacing w:val="2"/>
          <w:sz w:val="24"/>
          <w:szCs w:val="24"/>
        </w:rPr>
        <w:t>中枢纽工程主要挡水建筑物、泄水建筑物及输水建筑物组成</w:t>
      </w:r>
      <w:r>
        <w:rPr>
          <w:rFonts w:ascii="宋体" w:hAnsi="宋体" w:eastAsia="宋体" w:cs="宋体"/>
          <w:spacing w:val="1"/>
          <w:sz w:val="24"/>
          <w:szCs w:val="24"/>
        </w:rPr>
        <w:t>，引水工程由取水坝和引</w:t>
      </w:r>
      <w:r>
        <w:rPr>
          <w:rFonts w:ascii="宋体" w:hAnsi="宋体" w:eastAsia="宋体" w:cs="宋体"/>
          <w:sz w:val="24"/>
          <w:szCs w:val="24"/>
        </w:rPr>
        <w:t xml:space="preserve"> </w:t>
      </w:r>
      <w:r>
        <w:rPr>
          <w:rFonts w:ascii="宋体" w:hAnsi="宋体" w:eastAsia="宋体" w:cs="宋体"/>
          <w:spacing w:val="-5"/>
          <w:sz w:val="24"/>
          <w:szCs w:val="24"/>
        </w:rPr>
        <w:t>水渠组成，引洪工程由</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座取水坝和</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条引</w:t>
      </w:r>
      <w:r>
        <w:rPr>
          <w:rFonts w:ascii="宋体" w:hAnsi="宋体" w:eastAsia="宋体" w:cs="宋体"/>
          <w:spacing w:val="-6"/>
          <w:sz w:val="24"/>
          <w:szCs w:val="24"/>
        </w:rPr>
        <w:t>洪沟组成，输水工程由管道、暗渠、隧洞、</w:t>
      </w:r>
    </w:p>
    <w:p>
      <w:pPr>
        <w:spacing w:line="219" w:lineRule="auto"/>
        <w:ind w:left="40"/>
        <w:rPr>
          <w:rFonts w:ascii="宋体" w:hAnsi="宋体" w:eastAsia="宋体" w:cs="宋体"/>
          <w:sz w:val="24"/>
          <w:szCs w:val="24"/>
        </w:rPr>
      </w:pPr>
      <w:r>
        <w:rPr>
          <w:rFonts w:ascii="宋体" w:hAnsi="宋体" w:eastAsia="宋体" w:cs="宋体"/>
          <w:spacing w:val="-2"/>
          <w:sz w:val="24"/>
          <w:szCs w:val="24"/>
        </w:rPr>
        <w:t>倒虹吸、渡槽组成。</w:t>
      </w:r>
    </w:p>
    <w:p>
      <w:pPr>
        <w:spacing w:before="180" w:line="220" w:lineRule="auto"/>
        <w:ind w:left="52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）枢纽工程</w:t>
      </w:r>
    </w:p>
    <w:p>
      <w:pPr>
        <w:spacing w:before="181" w:line="220" w:lineRule="auto"/>
        <w:ind w:left="518"/>
        <w:rPr>
          <w:rFonts w:ascii="宋体" w:hAnsi="宋体" w:eastAsia="宋体" w:cs="宋体"/>
          <w:sz w:val="24"/>
          <w:szCs w:val="24"/>
        </w:rPr>
      </w:pPr>
      <w:r>
        <w:rPr>
          <w:rFonts w:ascii="宋体" w:hAnsi="宋体" w:eastAsia="宋体" w:cs="宋体"/>
          <w:spacing w:val="-1"/>
          <w:sz w:val="24"/>
          <w:szCs w:val="24"/>
        </w:rPr>
        <w:t>枢纽工程由大坝、溢洪道、导流输水放空隧洞组成。</w:t>
      </w:r>
    </w:p>
    <w:p>
      <w:pPr>
        <w:spacing w:before="182" w:line="217" w:lineRule="auto"/>
        <w:ind w:left="518"/>
        <w:rPr>
          <w:rFonts w:ascii="宋体" w:hAnsi="宋体" w:eastAsia="宋体" w:cs="宋体"/>
          <w:sz w:val="24"/>
          <w:szCs w:val="24"/>
        </w:rPr>
      </w:pPr>
      <w:r>
        <w:rPr>
          <w:rFonts w:ascii="宋体" w:hAnsi="宋体" w:eastAsia="宋体" w:cs="宋体"/>
          <w:spacing w:val="-2"/>
          <w:sz w:val="24"/>
          <w:szCs w:val="24"/>
        </w:rPr>
        <w:t>①大坝</w:t>
      </w:r>
    </w:p>
    <w:p>
      <w:pPr>
        <w:spacing w:before="184" w:line="219" w:lineRule="auto"/>
        <w:ind w:left="522"/>
        <w:rPr>
          <w:rFonts w:ascii="宋体" w:hAnsi="宋体" w:eastAsia="宋体" w:cs="宋体"/>
          <w:sz w:val="24"/>
          <w:szCs w:val="24"/>
        </w:rPr>
      </w:pPr>
      <w:r>
        <w:rPr>
          <w:rFonts w:ascii="宋体" w:hAnsi="宋体" w:eastAsia="宋体" w:cs="宋体"/>
          <w:spacing w:val="-2"/>
          <w:sz w:val="24"/>
          <w:szCs w:val="24"/>
        </w:rPr>
        <w:t>大坝布置于金沙江一级支流万马河上游右支流桂花河段皮左黑村。</w:t>
      </w:r>
    </w:p>
    <w:p>
      <w:pPr>
        <w:spacing w:before="185" w:line="359" w:lineRule="auto"/>
        <w:ind w:left="37" w:right="68" w:firstLine="481"/>
        <w:rPr>
          <w:rFonts w:ascii="宋体" w:hAnsi="宋体" w:eastAsia="宋体" w:cs="宋体"/>
          <w:sz w:val="24"/>
          <w:szCs w:val="24"/>
        </w:rPr>
      </w:pPr>
      <w:r>
        <w:rPr>
          <w:rFonts w:ascii="宋体" w:hAnsi="宋体" w:eastAsia="宋体" w:cs="宋体"/>
          <w:spacing w:val="-9"/>
          <w:sz w:val="24"/>
          <w:szCs w:val="24"/>
        </w:rPr>
        <w:t>坝型为粘土心墙风化料坝，最大坝高</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93.1m</w:t>
      </w:r>
      <w:r>
        <w:rPr>
          <w:rFonts w:ascii="宋体" w:hAnsi="宋体" w:eastAsia="宋体" w:cs="宋体"/>
          <w:spacing w:val="-9"/>
          <w:sz w:val="24"/>
          <w:szCs w:val="24"/>
        </w:rPr>
        <w:t>，坝顶高程</w:t>
      </w:r>
      <w:r>
        <w:rPr>
          <w:rFonts w:ascii="宋体" w:hAnsi="宋体" w:eastAsia="宋体" w:cs="宋体"/>
          <w:spacing w:val="-56"/>
          <w:sz w:val="24"/>
          <w:szCs w:val="24"/>
        </w:rPr>
        <w:t xml:space="preserve"> </w:t>
      </w:r>
      <w:r>
        <w:rPr>
          <w:rFonts w:ascii="Times New Roman" w:hAnsi="Times New Roman" w:eastAsia="Times New Roman" w:cs="Times New Roman"/>
          <w:spacing w:val="-9"/>
          <w:sz w:val="24"/>
          <w:szCs w:val="24"/>
        </w:rPr>
        <w:t>209</w:t>
      </w:r>
      <w:r>
        <w:rPr>
          <w:rFonts w:ascii="Times New Roman" w:hAnsi="Times New Roman" w:eastAsia="Times New Roman" w:cs="Times New Roman"/>
          <w:spacing w:val="-10"/>
          <w:sz w:val="24"/>
          <w:szCs w:val="24"/>
        </w:rPr>
        <w:t>8.1m</w:t>
      </w:r>
      <w:r>
        <w:rPr>
          <w:rFonts w:ascii="宋体" w:hAnsi="宋体" w:eastAsia="宋体" w:cs="宋体"/>
          <w:spacing w:val="-10"/>
          <w:sz w:val="24"/>
          <w:szCs w:val="24"/>
        </w:rPr>
        <w:t>，坝顶上游侧设</w:t>
      </w:r>
      <w:r>
        <w:rPr>
          <w:rFonts w:ascii="宋体" w:hAnsi="宋体" w:eastAsia="宋体" w:cs="宋体"/>
          <w:spacing w:val="-34"/>
          <w:sz w:val="24"/>
          <w:szCs w:val="24"/>
        </w:rPr>
        <w:t xml:space="preserve"> </w:t>
      </w:r>
      <w:r>
        <w:rPr>
          <w:rFonts w:ascii="Times New Roman" w:hAnsi="Times New Roman" w:eastAsia="Times New Roman" w:cs="Times New Roman"/>
          <w:spacing w:val="-10"/>
          <w:sz w:val="24"/>
          <w:szCs w:val="24"/>
        </w:rPr>
        <w:t>1.0m</w:t>
      </w:r>
      <w:r>
        <w:rPr>
          <w:rFonts w:ascii="Times New Roman" w:hAnsi="Times New Roman" w:eastAsia="Times New Roman" w:cs="Times New Roman"/>
          <w:sz w:val="24"/>
          <w:szCs w:val="24"/>
        </w:rPr>
        <w:t xml:space="preserve"> </w:t>
      </w:r>
      <w:r>
        <w:rPr>
          <w:rFonts w:ascii="宋体" w:hAnsi="宋体" w:eastAsia="宋体" w:cs="宋体"/>
          <w:spacing w:val="-2"/>
          <w:sz w:val="24"/>
          <w:szCs w:val="24"/>
        </w:rPr>
        <w:t>高防浪墙，坝轴线长</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261.5m</w:t>
      </w:r>
      <w:r>
        <w:rPr>
          <w:rFonts w:ascii="宋体" w:hAnsi="宋体" w:eastAsia="宋体" w:cs="宋体"/>
          <w:spacing w:val="-2"/>
          <w:sz w:val="24"/>
          <w:szCs w:val="24"/>
        </w:rPr>
        <w:t xml:space="preserve">，坝顶宽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3"/>
          <w:sz w:val="24"/>
          <w:szCs w:val="24"/>
        </w:rPr>
        <w:t>0m</w:t>
      </w:r>
      <w:r>
        <w:rPr>
          <w:rFonts w:ascii="宋体" w:hAnsi="宋体" w:eastAsia="宋体" w:cs="宋体"/>
          <w:spacing w:val="-3"/>
          <w:sz w:val="24"/>
          <w:szCs w:val="24"/>
        </w:rPr>
        <w:t>。防渗心墙顶高程</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2097.6m</w:t>
      </w:r>
      <w:r>
        <w:rPr>
          <w:rFonts w:ascii="宋体" w:hAnsi="宋体" w:eastAsia="宋体" w:cs="宋体"/>
          <w:spacing w:val="-3"/>
          <w:sz w:val="24"/>
          <w:szCs w:val="24"/>
        </w:rPr>
        <w:t>，顶宽</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4.0m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上、下游坡比均为</w:t>
      </w:r>
      <w:r>
        <w:rPr>
          <w:rFonts w:ascii="宋体" w:hAnsi="宋体" w:eastAsia="宋体" w:cs="宋体"/>
          <w:spacing w:val="-15"/>
          <w:sz w:val="24"/>
          <w:szCs w:val="24"/>
        </w:rPr>
        <w:t xml:space="preserve"> </w:t>
      </w:r>
      <w:r>
        <w:rPr>
          <w:rFonts w:ascii="Times New Roman" w:hAnsi="Times New Roman" w:eastAsia="Times New Roman" w:cs="Times New Roman"/>
          <w:spacing w:val="-2"/>
          <w:sz w:val="24"/>
          <w:szCs w:val="24"/>
        </w:rPr>
        <w:t>1:0.25</w:t>
      </w:r>
      <w:r>
        <w:rPr>
          <w:rFonts w:ascii="宋体" w:hAnsi="宋体" w:eastAsia="宋体" w:cs="宋体"/>
          <w:spacing w:val="-2"/>
          <w:sz w:val="24"/>
          <w:szCs w:val="24"/>
        </w:rPr>
        <w:t>，心墙上、下游设反滤层和过渡层，上游侧宽均为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2m</w:t>
      </w:r>
      <w:r>
        <w:rPr>
          <w:rFonts w:ascii="宋体" w:hAnsi="宋体" w:eastAsia="宋体" w:cs="宋体"/>
          <w:spacing w:val="-2"/>
          <w:sz w:val="24"/>
          <w:szCs w:val="24"/>
        </w:rPr>
        <w:t>；下游</w:t>
      </w:r>
      <w:r>
        <w:rPr>
          <w:rFonts w:ascii="宋体" w:hAnsi="宋体" w:eastAsia="宋体" w:cs="宋体"/>
          <w:sz w:val="24"/>
          <w:szCs w:val="24"/>
        </w:rPr>
        <w:t xml:space="preserve"> </w:t>
      </w:r>
      <w:r>
        <w:rPr>
          <w:rFonts w:ascii="宋体" w:hAnsi="宋体" w:eastAsia="宋体" w:cs="宋体"/>
          <w:spacing w:val="-6"/>
          <w:sz w:val="24"/>
          <w:szCs w:val="24"/>
        </w:rPr>
        <w:t>侧宽均为</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2.5m</w:t>
      </w:r>
      <w:r>
        <w:rPr>
          <w:rFonts w:ascii="宋体" w:hAnsi="宋体" w:eastAsia="宋体" w:cs="宋体"/>
          <w:spacing w:val="-6"/>
          <w:sz w:val="24"/>
          <w:szCs w:val="24"/>
        </w:rPr>
        <w:t>。大坝下游坝坡风化料与基岩之间铺</w:t>
      </w:r>
      <w:r>
        <w:rPr>
          <w:rFonts w:ascii="宋体" w:hAnsi="宋体" w:eastAsia="宋体" w:cs="宋体"/>
          <w:spacing w:val="-7"/>
          <w:sz w:val="24"/>
          <w:szCs w:val="24"/>
        </w:rPr>
        <w:t>设</w:t>
      </w:r>
      <w:r>
        <w:rPr>
          <w:rFonts w:ascii="宋体" w:hAnsi="宋体" w:eastAsia="宋体" w:cs="宋体"/>
          <w:spacing w:val="-56"/>
          <w:sz w:val="24"/>
          <w:szCs w:val="24"/>
        </w:rPr>
        <w:t xml:space="preserve"> </w:t>
      </w:r>
      <w:r>
        <w:rPr>
          <w:rFonts w:ascii="Times New Roman" w:hAnsi="Times New Roman" w:eastAsia="Times New Roman" w:cs="Times New Roman"/>
          <w:spacing w:val="-7"/>
          <w:sz w:val="24"/>
          <w:szCs w:val="24"/>
        </w:rPr>
        <w:t>4.0m</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厚水平排水层， 连接下游反</w:t>
      </w:r>
      <w:r>
        <w:rPr>
          <w:rFonts w:ascii="宋体" w:hAnsi="宋体" w:eastAsia="宋体" w:cs="宋体"/>
          <w:sz w:val="24"/>
          <w:szCs w:val="24"/>
        </w:rPr>
        <w:t xml:space="preserve"> </w:t>
      </w:r>
      <w:r>
        <w:rPr>
          <w:rFonts w:ascii="宋体" w:hAnsi="宋体" w:eastAsia="宋体" w:cs="宋体"/>
          <w:spacing w:val="-2"/>
          <w:sz w:val="24"/>
          <w:szCs w:val="24"/>
        </w:rPr>
        <w:t>滤过渡料与排水棱体。大坝上游坝坡从上至下坡比为</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1:2.2</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1:2.3</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1:2.4</w:t>
      </w:r>
      <w:r>
        <w:rPr>
          <w:rFonts w:ascii="宋体" w:hAnsi="宋体" w:eastAsia="宋体" w:cs="宋体"/>
          <w:spacing w:val="-2"/>
          <w:sz w:val="24"/>
          <w:szCs w:val="24"/>
        </w:rPr>
        <w:t>，下游坝坡坡</w:t>
      </w:r>
    </w:p>
    <w:p>
      <w:pPr>
        <w:spacing w:before="1" w:line="218" w:lineRule="auto"/>
        <w:ind w:left="65"/>
        <w:rPr>
          <w:rFonts w:ascii="宋体" w:hAnsi="宋体" w:eastAsia="宋体" w:cs="宋体"/>
          <w:sz w:val="24"/>
          <w:szCs w:val="24"/>
        </w:rPr>
      </w:pPr>
      <w:r>
        <w:rPr>
          <w:rFonts w:ascii="宋体" w:hAnsi="宋体" w:eastAsia="宋体" w:cs="宋体"/>
          <w:spacing w:val="-7"/>
          <w:sz w:val="24"/>
          <w:szCs w:val="24"/>
        </w:rPr>
        <w:t>比为</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1:2.0</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1:2.1</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1:2.2</w:t>
      </w:r>
      <w:r>
        <w:rPr>
          <w:rFonts w:ascii="Times New Roman" w:hAnsi="Times New Roman" w:eastAsia="Times New Roman" w:cs="Times New Roman"/>
          <w:spacing w:val="-34"/>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1:2.0</w:t>
      </w:r>
      <w:r>
        <w:rPr>
          <w:rFonts w:ascii="宋体" w:hAnsi="宋体" w:eastAsia="宋体" w:cs="宋体"/>
          <w:spacing w:val="-7"/>
          <w:sz w:val="24"/>
          <w:szCs w:val="24"/>
        </w:rPr>
        <w:t>（堆石棱体坡比</w:t>
      </w:r>
      <w:r>
        <w:rPr>
          <w:rFonts w:ascii="宋体" w:hAnsi="宋体" w:eastAsia="宋体" w:cs="宋体"/>
          <w:spacing w:val="-2"/>
          <w:sz w:val="24"/>
          <w:szCs w:val="24"/>
        </w:rPr>
        <w:t>）；</w:t>
      </w:r>
      <w:r>
        <w:rPr>
          <w:rFonts w:ascii="宋体" w:hAnsi="宋体" w:eastAsia="宋体" w:cs="宋体"/>
          <w:spacing w:val="-7"/>
          <w:sz w:val="24"/>
          <w:szCs w:val="24"/>
        </w:rPr>
        <w:t>变坡处设</w:t>
      </w:r>
      <w:r>
        <w:rPr>
          <w:rFonts w:ascii="宋体" w:hAnsi="宋体" w:eastAsia="宋体" w:cs="宋体"/>
          <w:spacing w:val="-43"/>
          <w:sz w:val="24"/>
          <w:szCs w:val="24"/>
        </w:rPr>
        <w:t xml:space="preserve"> </w:t>
      </w:r>
      <w:r>
        <w:rPr>
          <w:rFonts w:ascii="Times New Roman" w:hAnsi="Times New Roman" w:eastAsia="Times New Roman" w:cs="Times New Roman"/>
          <w:spacing w:val="-7"/>
          <w:sz w:val="24"/>
          <w:szCs w:val="24"/>
        </w:rPr>
        <w:t xml:space="preserve">2m </w:t>
      </w:r>
      <w:r>
        <w:rPr>
          <w:rFonts w:ascii="宋体" w:hAnsi="宋体" w:eastAsia="宋体" w:cs="宋体"/>
          <w:spacing w:val="-7"/>
          <w:sz w:val="24"/>
          <w:szCs w:val="24"/>
        </w:rPr>
        <w:t>戗台。</w:t>
      </w:r>
    </w:p>
    <w:p>
      <w:pPr>
        <w:spacing w:before="182" w:line="217" w:lineRule="auto"/>
        <w:ind w:left="517"/>
        <w:rPr>
          <w:rFonts w:ascii="宋体" w:hAnsi="宋体" w:eastAsia="宋体" w:cs="宋体"/>
          <w:sz w:val="24"/>
          <w:szCs w:val="24"/>
        </w:rPr>
      </w:pPr>
      <w:r>
        <w:rPr>
          <w:rFonts w:ascii="宋体" w:hAnsi="宋体" w:eastAsia="宋体" w:cs="宋体"/>
          <w:spacing w:val="-2"/>
          <w:sz w:val="24"/>
          <w:szCs w:val="24"/>
        </w:rPr>
        <w:t>②溢洪道</w:t>
      </w:r>
    </w:p>
    <w:p>
      <w:pPr>
        <w:spacing w:before="185" w:line="466" w:lineRule="exact"/>
        <w:ind w:left="521"/>
        <w:rPr>
          <w:rFonts w:ascii="宋体" w:hAnsi="宋体" w:eastAsia="宋体" w:cs="宋体"/>
          <w:sz w:val="24"/>
          <w:szCs w:val="24"/>
        </w:rPr>
      </w:pPr>
      <w:r>
        <w:rPr>
          <w:rFonts w:ascii="宋体" w:hAnsi="宋体" w:eastAsia="宋体" w:cs="宋体"/>
          <w:spacing w:val="-15"/>
          <w:position w:val="17"/>
          <w:sz w:val="24"/>
          <w:szCs w:val="24"/>
        </w:rPr>
        <w:t>溢洪道布置于左岸， 由进口侧槽段、调整段、泄槽缓坡段、泄槽陡坡段、消力池段、</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尾水渠段组成，全长</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352.0m</w:t>
      </w:r>
      <w:r>
        <w:rPr>
          <w:rFonts w:ascii="宋体" w:hAnsi="宋体" w:eastAsia="宋体" w:cs="宋体"/>
          <w:spacing w:val="-2"/>
          <w:sz w:val="24"/>
          <w:szCs w:val="24"/>
        </w:rPr>
        <w:t>。</w:t>
      </w:r>
    </w:p>
    <w:p>
      <w:pPr>
        <w:spacing w:before="182" w:line="359" w:lineRule="auto"/>
        <w:ind w:left="43" w:firstLine="474"/>
        <w:rPr>
          <w:rFonts w:ascii="宋体" w:hAnsi="宋体" w:eastAsia="宋体" w:cs="宋体"/>
          <w:sz w:val="24"/>
          <w:szCs w:val="24"/>
        </w:rPr>
      </w:pPr>
      <w:r>
        <w:rPr>
          <w:rFonts w:ascii="宋体" w:hAnsi="宋体" w:eastAsia="宋体" w:cs="宋体"/>
          <w:spacing w:val="-5"/>
          <w:sz w:val="24"/>
          <w:szCs w:val="24"/>
        </w:rPr>
        <w:t>进口侧槽采用实用堰，堰顶高程</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2094.15m</w:t>
      </w:r>
      <w:r>
        <w:rPr>
          <w:rFonts w:ascii="宋体" w:hAnsi="宋体" w:eastAsia="宋体" w:cs="宋体"/>
          <w:spacing w:val="-5"/>
          <w:sz w:val="24"/>
          <w:szCs w:val="24"/>
        </w:rPr>
        <w:t>（与水库正常蓄水位平齐</w:t>
      </w:r>
      <w:r>
        <w:rPr>
          <w:rFonts w:ascii="宋体" w:hAnsi="宋体" w:eastAsia="宋体" w:cs="宋体"/>
          <w:spacing w:val="-7"/>
          <w:sz w:val="24"/>
          <w:szCs w:val="24"/>
        </w:rPr>
        <w:t>），</w:t>
      </w:r>
      <w:r>
        <w:rPr>
          <w:rFonts w:ascii="宋体" w:hAnsi="宋体" w:eastAsia="宋体" w:cs="宋体"/>
          <w:spacing w:val="-5"/>
          <w:sz w:val="24"/>
          <w:szCs w:val="24"/>
        </w:rPr>
        <w:t>堰宽</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40m</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4"/>
          <w:sz w:val="24"/>
          <w:szCs w:val="24"/>
        </w:rPr>
        <w:t xml:space="preserve">泄槽段宽 </w:t>
      </w:r>
      <w:r>
        <w:rPr>
          <w:rFonts w:ascii="Times New Roman" w:hAnsi="Times New Roman" w:eastAsia="Times New Roman" w:cs="Times New Roman"/>
          <w:spacing w:val="-4"/>
          <w:sz w:val="24"/>
          <w:szCs w:val="24"/>
        </w:rPr>
        <w:t>8m</w:t>
      </w:r>
      <w:r>
        <w:rPr>
          <w:rFonts w:ascii="宋体" w:hAnsi="宋体" w:eastAsia="宋体" w:cs="宋体"/>
          <w:spacing w:val="-4"/>
          <w:sz w:val="24"/>
          <w:szCs w:val="24"/>
        </w:rPr>
        <w:t xml:space="preserve">，溢洪道出口消能采用底流消能，消力池长 </w:t>
      </w:r>
      <w:r>
        <w:rPr>
          <w:rFonts w:ascii="Times New Roman" w:hAnsi="Times New Roman" w:eastAsia="Times New Roman" w:cs="Times New Roman"/>
          <w:spacing w:val="-4"/>
          <w:sz w:val="24"/>
          <w:szCs w:val="24"/>
        </w:rPr>
        <w:t>52m</w:t>
      </w:r>
      <w:r>
        <w:rPr>
          <w:rFonts w:ascii="宋体" w:hAnsi="宋体" w:eastAsia="宋体" w:cs="宋体"/>
          <w:spacing w:val="-4"/>
          <w:sz w:val="24"/>
          <w:szCs w:val="24"/>
        </w:rPr>
        <w:t>，</w:t>
      </w:r>
      <w:r>
        <w:rPr>
          <w:rFonts w:ascii="宋体" w:hAnsi="宋体" w:eastAsia="宋体" w:cs="宋体"/>
          <w:spacing w:val="-5"/>
          <w:sz w:val="24"/>
          <w:szCs w:val="24"/>
        </w:rPr>
        <w:t xml:space="preserve">池宽 </w:t>
      </w:r>
      <w:r>
        <w:rPr>
          <w:rFonts w:ascii="Times New Roman" w:hAnsi="Times New Roman" w:eastAsia="Times New Roman" w:cs="Times New Roman"/>
          <w:spacing w:val="-5"/>
          <w:sz w:val="24"/>
          <w:szCs w:val="24"/>
        </w:rPr>
        <w:t>8m</w:t>
      </w:r>
      <w:r>
        <w:rPr>
          <w:rFonts w:ascii="宋体" w:hAnsi="宋体" w:eastAsia="宋体" w:cs="宋体"/>
          <w:spacing w:val="-5"/>
          <w:sz w:val="24"/>
          <w:szCs w:val="24"/>
        </w:rPr>
        <w:t xml:space="preserve">，池深 </w:t>
      </w:r>
      <w:r>
        <w:rPr>
          <w:rFonts w:ascii="Times New Roman" w:hAnsi="Times New Roman" w:eastAsia="Times New Roman" w:cs="Times New Roman"/>
          <w:spacing w:val="-5"/>
          <w:sz w:val="24"/>
          <w:szCs w:val="24"/>
        </w:rPr>
        <w:t>5.5m</w:t>
      </w:r>
      <w:r>
        <w:rPr>
          <w:rFonts w:ascii="宋体" w:hAnsi="宋体" w:eastAsia="宋体" w:cs="宋体"/>
          <w:spacing w:val="-5"/>
          <w:sz w:val="24"/>
          <w:szCs w:val="24"/>
        </w:rPr>
        <w:t>，</w:t>
      </w:r>
    </w:p>
    <w:p>
      <w:pPr>
        <w:spacing w:line="233" w:lineRule="auto"/>
        <w:ind w:left="42"/>
        <w:rPr>
          <w:rFonts w:ascii="宋体" w:hAnsi="宋体" w:eastAsia="宋体" w:cs="宋体"/>
          <w:sz w:val="24"/>
          <w:szCs w:val="24"/>
        </w:rPr>
      </w:pPr>
      <w:r>
        <w:rPr>
          <w:rFonts w:ascii="宋体" w:hAnsi="宋体" w:eastAsia="宋体" w:cs="宋体"/>
          <w:spacing w:val="-2"/>
          <w:sz w:val="24"/>
          <w:szCs w:val="24"/>
        </w:rPr>
        <w:t>最大下泄流量为</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338.69m</w:t>
      </w:r>
      <w:r>
        <w:rPr>
          <w:rFonts w:ascii="宋体" w:hAnsi="宋体" w:eastAsia="宋体" w:cs="宋体"/>
          <w:spacing w:val="-2"/>
          <w:sz w:val="24"/>
          <w:szCs w:val="24"/>
        </w:rPr>
        <w:t>³</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p>
    <w:p>
      <w:pPr>
        <w:spacing w:before="163" w:line="220" w:lineRule="auto"/>
        <w:ind w:left="523"/>
        <w:rPr>
          <w:rFonts w:ascii="宋体" w:hAnsi="宋体" w:eastAsia="宋体" w:cs="宋体"/>
          <w:sz w:val="24"/>
          <w:szCs w:val="24"/>
        </w:rPr>
      </w:pPr>
      <w:r>
        <w:rPr>
          <w:rFonts w:ascii="宋体" w:hAnsi="宋体" w:eastAsia="宋体" w:cs="宋体"/>
          <w:spacing w:val="-2"/>
          <w:sz w:val="24"/>
          <w:szCs w:val="24"/>
        </w:rPr>
        <w:t>泄槽缓坡段、泄槽陡坡段、消力池段基础设齿墙等抗滑措施。</w:t>
      </w:r>
    </w:p>
    <w:p>
      <w:pPr>
        <w:spacing w:before="181" w:line="467" w:lineRule="exact"/>
        <w:ind w:right="69"/>
        <w:jc w:val="right"/>
        <w:rPr>
          <w:rFonts w:ascii="宋体" w:hAnsi="宋体" w:eastAsia="宋体" w:cs="宋体"/>
          <w:sz w:val="24"/>
          <w:szCs w:val="24"/>
        </w:rPr>
      </w:pPr>
      <w:r>
        <w:rPr>
          <w:rFonts w:ascii="宋体" w:hAnsi="宋体" w:eastAsia="宋体" w:cs="宋体"/>
          <w:spacing w:val="-1"/>
          <w:position w:val="17"/>
          <w:sz w:val="24"/>
          <w:szCs w:val="24"/>
        </w:rPr>
        <w:t>溢洪道进口侧槽段、调整段采用</w:t>
      </w:r>
      <w:r>
        <w:rPr>
          <w:rFonts w:ascii="宋体" w:hAnsi="宋体" w:eastAsia="宋体" w:cs="宋体"/>
          <w:spacing w:val="-25"/>
          <w:position w:val="17"/>
          <w:sz w:val="24"/>
          <w:szCs w:val="24"/>
        </w:rPr>
        <w:t xml:space="preserve"> </w:t>
      </w:r>
      <w:r>
        <w:rPr>
          <w:rFonts w:ascii="Times New Roman" w:hAnsi="Times New Roman" w:eastAsia="Times New Roman" w:cs="Times New Roman"/>
          <w:spacing w:val="-1"/>
          <w:position w:val="17"/>
          <w:sz w:val="24"/>
          <w:szCs w:val="24"/>
        </w:rPr>
        <w:t>C25</w:t>
      </w:r>
      <w:r>
        <w:rPr>
          <w:rFonts w:ascii="Times New Roman" w:hAnsi="Times New Roman" w:eastAsia="Times New Roman" w:cs="Times New Roman"/>
          <w:spacing w:val="26"/>
          <w:position w:val="17"/>
          <w:sz w:val="24"/>
          <w:szCs w:val="24"/>
        </w:rPr>
        <w:t xml:space="preserve"> </w:t>
      </w:r>
      <w:r>
        <w:rPr>
          <w:rFonts w:ascii="宋体" w:hAnsi="宋体" w:eastAsia="宋体" w:cs="宋体"/>
          <w:spacing w:val="-1"/>
          <w:position w:val="17"/>
          <w:sz w:val="24"/>
          <w:szCs w:val="24"/>
        </w:rPr>
        <w:t>钢筋混凝土衬砌、泄槽缓坡段和尾水渠段采</w:t>
      </w:r>
    </w:p>
    <w:p>
      <w:pPr>
        <w:spacing w:before="1" w:line="218" w:lineRule="auto"/>
        <w:ind w:left="41"/>
        <w:rPr>
          <w:rFonts w:ascii="宋体" w:hAnsi="宋体" w:eastAsia="宋体" w:cs="宋体"/>
          <w:sz w:val="24"/>
          <w:szCs w:val="24"/>
        </w:rPr>
      </w:pPr>
      <w:r>
        <w:rPr>
          <w:rFonts w:ascii="宋体" w:hAnsi="宋体" w:eastAsia="宋体" w:cs="宋体"/>
          <w:spacing w:val="-4"/>
          <w:sz w:val="24"/>
          <w:szCs w:val="24"/>
        </w:rPr>
        <w:t>用</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C30 </w:t>
      </w:r>
      <w:r>
        <w:rPr>
          <w:rFonts w:ascii="宋体" w:hAnsi="宋体" w:eastAsia="宋体" w:cs="宋体"/>
          <w:spacing w:val="-4"/>
          <w:sz w:val="24"/>
          <w:szCs w:val="24"/>
        </w:rPr>
        <w:t>钢筋混凝土衬砌、泄槽陡坡段和消力池段采用</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C40 </w:t>
      </w:r>
      <w:r>
        <w:rPr>
          <w:rFonts w:ascii="宋体" w:hAnsi="宋体" w:eastAsia="宋体" w:cs="宋体"/>
          <w:spacing w:val="-4"/>
          <w:sz w:val="24"/>
          <w:szCs w:val="24"/>
        </w:rPr>
        <w:t>钢筋混凝土衬砌。。</w:t>
      </w:r>
    </w:p>
    <w:p>
      <w:pPr>
        <w:spacing w:before="183" w:line="217" w:lineRule="auto"/>
        <w:ind w:left="517"/>
        <w:rPr>
          <w:rFonts w:ascii="宋体" w:hAnsi="宋体" w:eastAsia="宋体" w:cs="宋体"/>
          <w:sz w:val="24"/>
          <w:szCs w:val="24"/>
        </w:rPr>
      </w:pPr>
      <w:r>
        <w:rPr>
          <w:rFonts w:ascii="宋体" w:hAnsi="宋体" w:eastAsia="宋体" w:cs="宋体"/>
          <w:spacing w:val="-1"/>
          <w:sz w:val="24"/>
          <w:szCs w:val="24"/>
        </w:rPr>
        <w:t>③导流输水放空隧洞</w:t>
      </w:r>
    </w:p>
    <w:p>
      <w:pPr>
        <w:spacing w:before="186" w:line="219" w:lineRule="auto"/>
        <w:ind w:left="526"/>
        <w:rPr>
          <w:rFonts w:ascii="宋体" w:hAnsi="宋体" w:eastAsia="宋体" w:cs="宋体"/>
          <w:sz w:val="24"/>
          <w:szCs w:val="24"/>
        </w:rPr>
      </w:pPr>
      <w:r>
        <w:rPr>
          <w:rFonts w:ascii="宋体" w:hAnsi="宋体" w:eastAsia="宋体" w:cs="宋体"/>
          <w:spacing w:val="-2"/>
          <w:sz w:val="24"/>
          <w:szCs w:val="24"/>
        </w:rPr>
        <w:t>导流输水放空隧洞布置于右岸，采用“龙抬头”和导流隧洞结合而成。</w:t>
      </w:r>
    </w:p>
    <w:p>
      <w:pPr>
        <w:spacing w:before="182" w:line="467" w:lineRule="exact"/>
        <w:ind w:right="62"/>
        <w:jc w:val="right"/>
        <w:rPr>
          <w:rFonts w:ascii="宋体" w:hAnsi="宋体" w:eastAsia="宋体" w:cs="宋体"/>
          <w:sz w:val="24"/>
          <w:szCs w:val="24"/>
        </w:rPr>
      </w:pPr>
      <w:r>
        <w:rPr>
          <w:rFonts w:ascii="宋体" w:hAnsi="宋体" w:eastAsia="宋体" w:cs="宋体"/>
          <w:spacing w:val="-9"/>
          <w:position w:val="17"/>
          <w:sz w:val="24"/>
          <w:szCs w:val="24"/>
        </w:rPr>
        <w:t>输水放空隧洞由进口拦沙井段、有压龙抬头段、检修闸门井段、无压段，</w:t>
      </w:r>
      <w:r>
        <w:rPr>
          <w:rFonts w:ascii="宋体" w:hAnsi="宋体" w:eastAsia="宋体" w:cs="宋体"/>
          <w:spacing w:val="40"/>
          <w:position w:val="17"/>
          <w:sz w:val="24"/>
          <w:szCs w:val="24"/>
        </w:rPr>
        <w:t xml:space="preserve"> </w:t>
      </w:r>
      <w:r>
        <w:rPr>
          <w:rFonts w:ascii="宋体" w:hAnsi="宋体" w:eastAsia="宋体" w:cs="宋体"/>
          <w:spacing w:val="-9"/>
          <w:position w:val="17"/>
          <w:sz w:val="24"/>
          <w:szCs w:val="24"/>
        </w:rPr>
        <w:t>出口</w:t>
      </w:r>
      <w:r>
        <w:rPr>
          <w:rFonts w:ascii="宋体" w:hAnsi="宋体" w:eastAsia="宋体" w:cs="宋体"/>
          <w:spacing w:val="-10"/>
          <w:position w:val="17"/>
          <w:sz w:val="24"/>
          <w:szCs w:val="24"/>
        </w:rPr>
        <w:t>闸阀</w:t>
      </w:r>
    </w:p>
    <w:p>
      <w:pPr>
        <w:spacing w:line="219" w:lineRule="auto"/>
        <w:ind w:left="43"/>
        <w:rPr>
          <w:rFonts w:ascii="宋体" w:hAnsi="宋体" w:eastAsia="宋体" w:cs="宋体"/>
          <w:sz w:val="24"/>
          <w:szCs w:val="24"/>
        </w:rPr>
      </w:pPr>
      <w:r>
        <w:rPr>
          <w:rFonts w:ascii="宋体" w:hAnsi="宋体" w:eastAsia="宋体" w:cs="宋体"/>
          <w:spacing w:val="-3"/>
          <w:sz w:val="24"/>
          <w:szCs w:val="24"/>
        </w:rPr>
        <w:t>室段组成，全长</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533.0m</w:t>
      </w:r>
      <w:r>
        <w:rPr>
          <w:rFonts w:ascii="宋体" w:hAnsi="宋体" w:eastAsia="宋体" w:cs="宋体"/>
          <w:spacing w:val="-3"/>
          <w:sz w:val="24"/>
          <w:szCs w:val="24"/>
        </w:rPr>
        <w:t>，其中洞身段</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507m</w:t>
      </w:r>
      <w:r>
        <w:rPr>
          <w:rFonts w:ascii="宋体" w:hAnsi="宋体" w:eastAsia="宋体" w:cs="宋体"/>
          <w:spacing w:val="-3"/>
          <w:sz w:val="24"/>
          <w:szCs w:val="24"/>
        </w:rPr>
        <w:t>（与导流隧洞共</w:t>
      </w:r>
      <w:r>
        <w:rPr>
          <w:rFonts w:ascii="宋体" w:hAnsi="宋体" w:eastAsia="宋体" w:cs="宋体"/>
          <w:spacing w:val="-4"/>
          <w:sz w:val="24"/>
          <w:szCs w:val="24"/>
        </w:rPr>
        <w:t>用段长</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400.88m</w:t>
      </w:r>
      <w:r>
        <w:rPr>
          <w:rFonts w:ascii="宋体" w:hAnsi="宋体" w:eastAsia="宋体" w:cs="宋体"/>
          <w:spacing w:val="-4"/>
          <w:sz w:val="24"/>
          <w:szCs w:val="24"/>
        </w:rPr>
        <w:t>）。</w:t>
      </w:r>
    </w:p>
    <w:p>
      <w:pPr>
        <w:spacing w:line="219" w:lineRule="auto"/>
        <w:rPr>
          <w:rFonts w:ascii="宋体" w:hAnsi="宋体" w:eastAsia="宋体" w:cs="宋体"/>
          <w:sz w:val="24"/>
          <w:szCs w:val="24"/>
        </w:rPr>
        <w:sectPr>
          <w:headerReference r:id="rId85" w:type="default"/>
          <w:footerReference r:id="rId86" w:type="default"/>
          <w:pgSz w:w="11907" w:h="16839"/>
          <w:pgMar w:top="1298" w:right="1347" w:bottom="1373" w:left="1501" w:header="1023" w:footer="1210" w:gutter="0"/>
        </w:sectPr>
      </w:pPr>
    </w:p>
    <w:p>
      <w:pPr>
        <w:spacing w:before="156" w:line="467" w:lineRule="exact"/>
        <w:ind w:right="29"/>
        <w:jc w:val="right"/>
        <w:rPr>
          <w:rFonts w:ascii="宋体" w:hAnsi="宋体" w:eastAsia="宋体" w:cs="宋体"/>
          <w:sz w:val="24"/>
          <w:szCs w:val="24"/>
        </w:rPr>
      </w:pPr>
      <w:r>
        <w:rPr>
          <w:rFonts w:ascii="宋体" w:hAnsi="宋体" w:eastAsia="宋体" w:cs="宋体"/>
          <w:spacing w:val="-10"/>
          <w:position w:val="17"/>
          <w:sz w:val="24"/>
          <w:szCs w:val="24"/>
        </w:rPr>
        <w:t>进口设</w:t>
      </w:r>
      <w:r>
        <w:rPr>
          <w:rFonts w:ascii="宋体" w:hAnsi="宋体" w:eastAsia="宋体" w:cs="宋体"/>
          <w:spacing w:val="-55"/>
          <w:position w:val="17"/>
          <w:sz w:val="24"/>
          <w:szCs w:val="24"/>
        </w:rPr>
        <w:t xml:space="preserve"> </w:t>
      </w:r>
      <w:r>
        <w:rPr>
          <w:rFonts w:ascii="Times New Roman" w:hAnsi="Times New Roman" w:eastAsia="Times New Roman" w:cs="Times New Roman"/>
          <w:spacing w:val="-10"/>
          <w:position w:val="17"/>
          <w:sz w:val="24"/>
          <w:szCs w:val="24"/>
        </w:rPr>
        <w:t>2.8m</w:t>
      </w:r>
      <w:r>
        <w:rPr>
          <w:rFonts w:ascii="Times New Roman" w:hAnsi="Times New Roman" w:eastAsia="Times New Roman" w:cs="Times New Roman"/>
          <w:spacing w:val="17"/>
          <w:position w:val="17"/>
          <w:sz w:val="24"/>
          <w:szCs w:val="24"/>
        </w:rPr>
        <w:t xml:space="preserve"> </w:t>
      </w:r>
      <w:r>
        <w:rPr>
          <w:rFonts w:ascii="宋体" w:hAnsi="宋体" w:eastAsia="宋体" w:cs="宋体"/>
          <w:spacing w:val="-10"/>
          <w:position w:val="17"/>
          <w:sz w:val="24"/>
          <w:szCs w:val="24"/>
        </w:rPr>
        <w:t>高叠梁式拦沙井，</w:t>
      </w:r>
      <w:r>
        <w:rPr>
          <w:rFonts w:ascii="宋体" w:hAnsi="宋体" w:eastAsia="宋体" w:cs="宋体"/>
          <w:spacing w:val="35"/>
          <w:position w:val="17"/>
          <w:sz w:val="24"/>
          <w:szCs w:val="24"/>
        </w:rPr>
        <w:t xml:space="preserve"> </w:t>
      </w:r>
      <w:r>
        <w:rPr>
          <w:rFonts w:ascii="宋体" w:hAnsi="宋体" w:eastAsia="宋体" w:cs="宋体"/>
          <w:spacing w:val="-10"/>
          <w:position w:val="17"/>
          <w:sz w:val="24"/>
          <w:szCs w:val="24"/>
        </w:rPr>
        <w:t>龙抬头段采用直径</w:t>
      </w:r>
      <w:r>
        <w:rPr>
          <w:rFonts w:ascii="宋体" w:hAnsi="宋体" w:eastAsia="宋体" w:cs="宋体"/>
          <w:spacing w:val="-32"/>
          <w:position w:val="17"/>
          <w:sz w:val="24"/>
          <w:szCs w:val="24"/>
        </w:rPr>
        <w:t xml:space="preserve"> </w:t>
      </w:r>
      <w:r>
        <w:rPr>
          <w:rFonts w:ascii="Times New Roman" w:hAnsi="Times New Roman" w:eastAsia="Times New Roman" w:cs="Times New Roman"/>
          <w:spacing w:val="-10"/>
          <w:position w:val="17"/>
          <w:sz w:val="24"/>
          <w:szCs w:val="24"/>
        </w:rPr>
        <w:t>1.8</w:t>
      </w:r>
      <w:r>
        <w:rPr>
          <w:rFonts w:ascii="Times New Roman" w:hAnsi="Times New Roman" w:eastAsia="Times New Roman" w:cs="Times New Roman"/>
          <w:spacing w:val="-11"/>
          <w:position w:val="17"/>
          <w:sz w:val="24"/>
          <w:szCs w:val="24"/>
        </w:rPr>
        <w:t>m</w:t>
      </w:r>
      <w:r>
        <w:rPr>
          <w:rFonts w:ascii="Times New Roman" w:hAnsi="Times New Roman" w:eastAsia="Times New Roman" w:cs="Times New Roman"/>
          <w:spacing w:val="30"/>
          <w:position w:val="17"/>
          <w:sz w:val="24"/>
          <w:szCs w:val="24"/>
        </w:rPr>
        <w:t xml:space="preserve"> </w:t>
      </w:r>
      <w:r>
        <w:rPr>
          <w:rFonts w:ascii="宋体" w:hAnsi="宋体" w:eastAsia="宋体" w:cs="宋体"/>
          <w:spacing w:val="-11"/>
          <w:position w:val="17"/>
          <w:sz w:val="24"/>
          <w:szCs w:val="24"/>
        </w:rPr>
        <w:t>圆形断面， 无压段为</w:t>
      </w:r>
      <w:r>
        <w:rPr>
          <w:rFonts w:ascii="宋体" w:hAnsi="宋体" w:eastAsia="宋体" w:cs="宋体"/>
          <w:spacing w:val="-55"/>
          <w:position w:val="17"/>
          <w:sz w:val="24"/>
          <w:szCs w:val="24"/>
        </w:rPr>
        <w:t xml:space="preserve"> </w:t>
      </w:r>
      <w:r>
        <w:rPr>
          <w:rFonts w:ascii="Times New Roman" w:hAnsi="Times New Roman" w:eastAsia="Times New Roman" w:cs="Times New Roman"/>
          <w:spacing w:val="-11"/>
          <w:position w:val="17"/>
          <w:sz w:val="24"/>
          <w:szCs w:val="24"/>
        </w:rPr>
        <w:t>2.6</w:t>
      </w:r>
      <w:r>
        <w:rPr>
          <w:rFonts w:ascii="宋体" w:hAnsi="宋体" w:eastAsia="宋体" w:cs="宋体"/>
          <w:spacing w:val="-11"/>
          <w:position w:val="17"/>
          <w:sz w:val="24"/>
          <w:szCs w:val="24"/>
        </w:rPr>
        <w:t>×</w:t>
      </w:r>
    </w:p>
    <w:p>
      <w:pPr>
        <w:spacing w:line="212" w:lineRule="auto"/>
        <w:ind w:left="35"/>
        <w:rPr>
          <w:rFonts w:ascii="宋体" w:hAnsi="宋体" w:eastAsia="宋体" w:cs="宋体"/>
          <w:sz w:val="24"/>
          <w:szCs w:val="24"/>
        </w:rPr>
      </w:pPr>
      <w:r>
        <w:rPr>
          <w:rFonts w:ascii="Times New Roman" w:hAnsi="Times New Roman" w:eastAsia="Times New Roman" w:cs="Times New Roman"/>
          <w:spacing w:val="-1"/>
          <w:sz w:val="24"/>
          <w:szCs w:val="24"/>
        </w:rPr>
        <w:t>2.8m</w:t>
      </w:r>
      <w:r>
        <w:rPr>
          <w:rFonts w:ascii="Times New Roman" w:hAnsi="Times New Roman" w:eastAsia="Times New Roman" w:cs="Times New Roman"/>
          <w:spacing w:val="30"/>
          <w:w w:val="101"/>
          <w:sz w:val="24"/>
          <w:szCs w:val="24"/>
        </w:rPr>
        <w:t xml:space="preserve"> </w:t>
      </w:r>
      <w:r>
        <w:rPr>
          <w:rFonts w:ascii="宋体" w:hAnsi="宋体" w:eastAsia="宋体" w:cs="宋体"/>
          <w:spacing w:val="-1"/>
          <w:sz w:val="24"/>
          <w:szCs w:val="24"/>
        </w:rPr>
        <w:t>的城门洞形（由导流流量</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91.96m</w:t>
      </w:r>
      <w:r>
        <w:rPr>
          <w:rFonts w:ascii="宋体" w:hAnsi="宋体" w:eastAsia="宋体" w:cs="宋体"/>
          <w:spacing w:val="-1"/>
          <w:sz w:val="24"/>
          <w:szCs w:val="24"/>
        </w:rPr>
        <w:t>³</w:t>
      </w:r>
      <w:r>
        <w:rPr>
          <w:rFonts w:ascii="Times New Roman" w:hAnsi="Times New Roman" w:eastAsia="Times New Roman" w:cs="Times New Roman"/>
          <w:spacing w:val="-1"/>
          <w:sz w:val="24"/>
          <w:szCs w:val="24"/>
        </w:rPr>
        <w:t xml:space="preserve">/s </w:t>
      </w:r>
      <w:r>
        <w:rPr>
          <w:rFonts w:ascii="宋体" w:hAnsi="宋体" w:eastAsia="宋体" w:cs="宋体"/>
          <w:spacing w:val="-2"/>
          <w:sz w:val="24"/>
          <w:szCs w:val="24"/>
        </w:rPr>
        <w:t>确定隧洞断面尺寸</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pPr>
        <w:spacing w:before="190" w:line="467" w:lineRule="exact"/>
        <w:ind w:right="29"/>
        <w:jc w:val="right"/>
        <w:rPr>
          <w:rFonts w:ascii="宋体" w:hAnsi="宋体" w:eastAsia="宋体" w:cs="宋体"/>
          <w:sz w:val="24"/>
          <w:szCs w:val="24"/>
        </w:rPr>
      </w:pPr>
      <w:r>
        <w:rPr>
          <w:rFonts w:ascii="宋体" w:hAnsi="宋体" w:eastAsia="宋体" w:cs="宋体"/>
          <w:spacing w:val="-4"/>
          <w:position w:val="17"/>
          <w:sz w:val="24"/>
          <w:szCs w:val="24"/>
        </w:rPr>
        <w:t>检修闸门井高</w:t>
      </w:r>
      <w:r>
        <w:rPr>
          <w:rFonts w:ascii="宋体" w:hAnsi="宋体" w:eastAsia="宋体" w:cs="宋体"/>
          <w:spacing w:val="-38"/>
          <w:position w:val="17"/>
          <w:sz w:val="24"/>
          <w:szCs w:val="24"/>
        </w:rPr>
        <w:t xml:space="preserve"> </w:t>
      </w:r>
      <w:r>
        <w:rPr>
          <w:rFonts w:ascii="Times New Roman" w:hAnsi="Times New Roman" w:eastAsia="Times New Roman" w:cs="Times New Roman"/>
          <w:spacing w:val="-4"/>
          <w:position w:val="17"/>
          <w:sz w:val="24"/>
          <w:szCs w:val="24"/>
        </w:rPr>
        <w:t>46.23m</w:t>
      </w:r>
      <w:r>
        <w:rPr>
          <w:rFonts w:ascii="宋体" w:hAnsi="宋体" w:eastAsia="宋体" w:cs="宋体"/>
          <w:spacing w:val="-4"/>
          <w:position w:val="17"/>
          <w:sz w:val="24"/>
          <w:szCs w:val="24"/>
        </w:rPr>
        <w:t>，断面为</w:t>
      </w:r>
      <w:r>
        <w:rPr>
          <w:rFonts w:ascii="宋体" w:hAnsi="宋体" w:eastAsia="宋体" w:cs="宋体"/>
          <w:spacing w:val="-49"/>
          <w:position w:val="17"/>
          <w:sz w:val="24"/>
          <w:szCs w:val="24"/>
        </w:rPr>
        <w:t xml:space="preserve"> </w:t>
      </w:r>
      <w:r>
        <w:rPr>
          <w:rFonts w:ascii="Times New Roman" w:hAnsi="Times New Roman" w:eastAsia="Times New Roman" w:cs="Times New Roman"/>
          <w:spacing w:val="-4"/>
          <w:position w:val="17"/>
          <w:sz w:val="24"/>
          <w:szCs w:val="24"/>
        </w:rPr>
        <w:t>6.0</w:t>
      </w: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4.0m</w:t>
      </w: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4.0</w:t>
      </w: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4.0m</w:t>
      </w:r>
      <w:r>
        <w:rPr>
          <w:rFonts w:ascii="宋体" w:hAnsi="宋体" w:eastAsia="宋体" w:cs="宋体"/>
          <w:spacing w:val="-4"/>
          <w:position w:val="17"/>
          <w:sz w:val="24"/>
          <w:szCs w:val="24"/>
        </w:rPr>
        <w:t>，井内设</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1.8</w:t>
      </w: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 xml:space="preserve">1.8m </w:t>
      </w:r>
      <w:r>
        <w:rPr>
          <w:rFonts w:ascii="宋体" w:hAnsi="宋体" w:eastAsia="宋体" w:cs="宋体"/>
          <w:spacing w:val="-4"/>
          <w:position w:val="17"/>
          <w:sz w:val="24"/>
          <w:szCs w:val="24"/>
        </w:rPr>
        <w:t>平板钢闸</w:t>
      </w:r>
    </w:p>
    <w:p>
      <w:pPr>
        <w:spacing w:before="1" w:line="218" w:lineRule="auto"/>
        <w:ind w:left="66"/>
        <w:rPr>
          <w:rFonts w:ascii="宋体" w:hAnsi="宋体" w:eastAsia="宋体" w:cs="宋体"/>
          <w:sz w:val="24"/>
          <w:szCs w:val="24"/>
        </w:rPr>
      </w:pPr>
      <w:r>
        <w:rPr>
          <w:rFonts w:ascii="宋体" w:hAnsi="宋体" w:eastAsia="宋体" w:cs="宋体"/>
          <w:spacing w:val="-4"/>
          <w:sz w:val="24"/>
          <w:szCs w:val="24"/>
        </w:rPr>
        <w:t>门，并配</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320kN </w:t>
      </w:r>
      <w:r>
        <w:rPr>
          <w:rFonts w:ascii="宋体" w:hAnsi="宋体" w:eastAsia="宋体" w:cs="宋体"/>
          <w:spacing w:val="-4"/>
          <w:sz w:val="24"/>
          <w:szCs w:val="24"/>
        </w:rPr>
        <w:t>卷扬式启闭机启闭。</w:t>
      </w:r>
    </w:p>
    <w:p>
      <w:pPr>
        <w:spacing w:before="182" w:line="359" w:lineRule="auto"/>
        <w:ind w:left="38" w:right="30" w:firstLine="483"/>
        <w:rPr>
          <w:rFonts w:ascii="Times New Roman" w:hAnsi="Times New Roman" w:eastAsia="Times New Roman" w:cs="Times New Roman"/>
          <w:sz w:val="24"/>
          <w:szCs w:val="24"/>
        </w:rPr>
      </w:pPr>
      <w:r>
        <w:rPr>
          <w:rFonts w:ascii="宋体" w:hAnsi="宋体" w:eastAsia="宋体" w:cs="宋体"/>
          <w:spacing w:val="-3"/>
          <w:sz w:val="24"/>
          <w:szCs w:val="24"/>
        </w:rPr>
        <w:t>龙抬头段里程输</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0+121.01</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堵头起埋设</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 xml:space="preserve">DN1400 </w:t>
      </w:r>
      <w:r>
        <w:rPr>
          <w:rFonts w:ascii="宋体" w:hAnsi="宋体" w:eastAsia="宋体" w:cs="宋体"/>
          <w:spacing w:val="-3"/>
          <w:sz w:val="24"/>
          <w:szCs w:val="24"/>
        </w:rPr>
        <w:t>钢管（堵头长</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16.5m</w:t>
      </w:r>
      <w:r>
        <w:rPr>
          <w:rFonts w:ascii="宋体" w:hAnsi="宋体" w:eastAsia="宋体" w:cs="宋体"/>
          <w:spacing w:val="-3"/>
          <w:sz w:val="24"/>
          <w:szCs w:val="24"/>
        </w:rPr>
        <w:t xml:space="preserve">，采用 </w:t>
      </w:r>
      <w:r>
        <w:rPr>
          <w:rFonts w:ascii="Times New Roman" w:hAnsi="Times New Roman" w:eastAsia="Times New Roman" w:cs="Times New Roman"/>
          <w:spacing w:val="-3"/>
          <w:sz w:val="24"/>
          <w:szCs w:val="24"/>
        </w:rPr>
        <w:t>C25</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混</w:t>
      </w:r>
      <w:r>
        <w:rPr>
          <w:rFonts w:ascii="宋体" w:hAnsi="宋体" w:eastAsia="宋体" w:cs="宋体"/>
          <w:sz w:val="24"/>
          <w:szCs w:val="24"/>
        </w:rPr>
        <w:t xml:space="preserve"> </w:t>
      </w:r>
      <w:r>
        <w:rPr>
          <w:rFonts w:ascii="宋体" w:hAnsi="宋体" w:eastAsia="宋体" w:cs="宋体"/>
          <w:spacing w:val="-6"/>
          <w:sz w:val="24"/>
          <w:szCs w:val="24"/>
        </w:rPr>
        <w:t>凝土</w:t>
      </w:r>
      <w:r>
        <w:rPr>
          <w:rFonts w:ascii="宋体" w:hAnsi="宋体" w:eastAsia="宋体" w:cs="宋体"/>
          <w:spacing w:val="-41"/>
          <w:w w:val="65"/>
          <w:sz w:val="24"/>
          <w:szCs w:val="24"/>
        </w:rPr>
        <w:t>），</w:t>
      </w:r>
      <w:r>
        <w:rPr>
          <w:rFonts w:ascii="宋体" w:hAnsi="宋体" w:eastAsia="宋体" w:cs="宋体"/>
          <w:spacing w:val="-6"/>
          <w:sz w:val="24"/>
          <w:szCs w:val="24"/>
        </w:rPr>
        <w:t>钢管沿隧洞底板铺设，长</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385.99m</w:t>
      </w:r>
      <w:r>
        <w:rPr>
          <w:rFonts w:ascii="宋体" w:hAnsi="宋体" w:eastAsia="宋体" w:cs="宋体"/>
          <w:spacing w:val="-6"/>
          <w:sz w:val="24"/>
          <w:szCs w:val="24"/>
        </w:rPr>
        <w:t>（里程输</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0+121.01</w:t>
      </w:r>
      <w:r>
        <w:rPr>
          <w:rFonts w:ascii="宋体" w:hAnsi="宋体" w:eastAsia="宋体" w:cs="宋体"/>
          <w:spacing w:val="-6"/>
          <w:sz w:val="24"/>
          <w:szCs w:val="24"/>
        </w:rPr>
        <w:t>～输</w:t>
      </w:r>
      <w:r>
        <w:rPr>
          <w:rFonts w:ascii="宋体" w:hAnsi="宋体" w:eastAsia="宋体" w:cs="宋体"/>
          <w:spacing w:val="-43"/>
          <w:sz w:val="24"/>
          <w:szCs w:val="24"/>
        </w:rPr>
        <w:t xml:space="preserve"> </w:t>
      </w:r>
      <w:r>
        <w:rPr>
          <w:rFonts w:ascii="Times New Roman" w:hAnsi="Times New Roman" w:eastAsia="Times New Roman" w:cs="Times New Roman"/>
          <w:spacing w:val="-6"/>
          <w:sz w:val="24"/>
          <w:szCs w:val="24"/>
        </w:rPr>
        <w:t>0+507</w:t>
      </w:r>
      <w:r>
        <w:rPr>
          <w:rFonts w:ascii="宋体" w:hAnsi="宋体" w:eastAsia="宋体" w:cs="宋体"/>
          <w:spacing w:val="-41"/>
          <w:w w:val="65"/>
          <w:sz w:val="24"/>
          <w:szCs w:val="24"/>
        </w:rPr>
        <w:t>），</w:t>
      </w:r>
      <w:r>
        <w:rPr>
          <w:rFonts w:ascii="宋体" w:hAnsi="宋体" w:eastAsia="宋体" w:cs="宋体"/>
          <w:spacing w:val="-6"/>
          <w:sz w:val="24"/>
          <w:szCs w:val="24"/>
        </w:rPr>
        <w:t>出口设</w:t>
      </w:r>
      <w:r>
        <w:rPr>
          <w:rFonts w:ascii="宋体" w:hAnsi="宋体" w:eastAsia="宋体" w:cs="宋体"/>
          <w:spacing w:val="-57"/>
          <w:sz w:val="24"/>
          <w:szCs w:val="24"/>
        </w:rPr>
        <w:t xml:space="preserve"> </w:t>
      </w:r>
      <w:r>
        <w:rPr>
          <w:rFonts w:ascii="Times New Roman" w:hAnsi="Times New Roman" w:eastAsia="Times New Roman" w:cs="Times New Roman"/>
          <w:spacing w:val="-6"/>
          <w:sz w:val="24"/>
          <w:szCs w:val="24"/>
        </w:rPr>
        <w:t>DN1200</w:t>
      </w:r>
    </w:p>
    <w:p>
      <w:pPr>
        <w:spacing w:before="1" w:line="218" w:lineRule="auto"/>
        <w:ind w:left="39"/>
        <w:rPr>
          <w:rFonts w:ascii="宋体" w:hAnsi="宋体" w:eastAsia="宋体" w:cs="宋体"/>
          <w:sz w:val="24"/>
          <w:szCs w:val="24"/>
        </w:rPr>
      </w:pPr>
      <w:r>
        <w:rPr>
          <w:rFonts w:ascii="宋体" w:hAnsi="宋体" w:eastAsia="宋体" w:cs="宋体"/>
          <w:spacing w:val="-10"/>
          <w:sz w:val="24"/>
          <w:szCs w:val="24"/>
        </w:rPr>
        <w:t>放空消能阀、</w:t>
      </w:r>
      <w:r>
        <w:rPr>
          <w:rFonts w:ascii="宋体" w:hAnsi="宋体" w:eastAsia="宋体" w:cs="宋体"/>
          <w:spacing w:val="41"/>
          <w:sz w:val="24"/>
          <w:szCs w:val="24"/>
        </w:rPr>
        <w:t xml:space="preserve"> </w:t>
      </w:r>
      <w:r>
        <w:rPr>
          <w:rFonts w:ascii="Times New Roman" w:hAnsi="Times New Roman" w:eastAsia="Times New Roman" w:cs="Times New Roman"/>
          <w:spacing w:val="-10"/>
          <w:sz w:val="24"/>
          <w:szCs w:val="24"/>
        </w:rPr>
        <w:t xml:space="preserve">DN1000 </w:t>
      </w:r>
      <w:r>
        <w:rPr>
          <w:rFonts w:ascii="宋体" w:hAnsi="宋体" w:eastAsia="宋体" w:cs="宋体"/>
          <w:spacing w:val="-10"/>
          <w:sz w:val="24"/>
          <w:szCs w:val="24"/>
        </w:rPr>
        <w:t>输水调流阀、</w:t>
      </w:r>
      <w:r>
        <w:rPr>
          <w:rFonts w:ascii="宋体" w:hAnsi="宋体" w:eastAsia="宋体" w:cs="宋体"/>
          <w:spacing w:val="39"/>
          <w:sz w:val="24"/>
          <w:szCs w:val="24"/>
        </w:rPr>
        <w:t xml:space="preserve"> </w:t>
      </w:r>
      <w:r>
        <w:rPr>
          <w:rFonts w:ascii="Times New Roman" w:hAnsi="Times New Roman" w:eastAsia="Times New Roman" w:cs="Times New Roman"/>
          <w:spacing w:val="-10"/>
          <w:sz w:val="24"/>
          <w:szCs w:val="24"/>
        </w:rPr>
        <w:t xml:space="preserve">DN400 </w:t>
      </w:r>
      <w:r>
        <w:rPr>
          <w:rFonts w:ascii="宋体" w:hAnsi="宋体" w:eastAsia="宋体" w:cs="宋体"/>
          <w:spacing w:val="-10"/>
          <w:sz w:val="24"/>
          <w:szCs w:val="24"/>
        </w:rPr>
        <w:t>输水和生态供水调流阀。</w:t>
      </w:r>
    </w:p>
    <w:p>
      <w:pPr>
        <w:spacing w:before="182" w:line="467" w:lineRule="exact"/>
        <w:ind w:right="30"/>
        <w:jc w:val="right"/>
        <w:rPr>
          <w:rFonts w:ascii="宋体" w:hAnsi="宋体" w:eastAsia="宋体" w:cs="宋体"/>
          <w:sz w:val="24"/>
          <w:szCs w:val="24"/>
        </w:rPr>
      </w:pPr>
      <w:r>
        <w:rPr>
          <w:rFonts w:ascii="宋体" w:hAnsi="宋体" w:eastAsia="宋体" w:cs="宋体"/>
          <w:spacing w:val="-3"/>
          <w:position w:val="16"/>
          <w:sz w:val="24"/>
          <w:szCs w:val="24"/>
        </w:rPr>
        <w:t>输水设计流量为</w:t>
      </w:r>
      <w:r>
        <w:rPr>
          <w:rFonts w:ascii="宋体" w:hAnsi="宋体" w:eastAsia="宋体" w:cs="宋体"/>
          <w:spacing w:val="-30"/>
          <w:position w:val="16"/>
          <w:sz w:val="24"/>
          <w:szCs w:val="24"/>
        </w:rPr>
        <w:t xml:space="preserve"> </w:t>
      </w:r>
      <w:r>
        <w:rPr>
          <w:rFonts w:ascii="Times New Roman" w:hAnsi="Times New Roman" w:eastAsia="Times New Roman" w:cs="Times New Roman"/>
          <w:spacing w:val="-3"/>
          <w:position w:val="16"/>
          <w:sz w:val="24"/>
          <w:szCs w:val="24"/>
        </w:rPr>
        <w:t>1.49m</w:t>
      </w:r>
      <w:r>
        <w:rPr>
          <w:rFonts w:ascii="宋体" w:hAnsi="宋体" w:eastAsia="宋体" w:cs="宋体"/>
          <w:spacing w:val="-3"/>
          <w:position w:val="16"/>
          <w:sz w:val="24"/>
          <w:szCs w:val="24"/>
        </w:rPr>
        <w:t>³</w:t>
      </w:r>
      <w:r>
        <w:rPr>
          <w:rFonts w:ascii="Times New Roman" w:hAnsi="Times New Roman" w:eastAsia="Times New Roman" w:cs="Times New Roman"/>
          <w:spacing w:val="-3"/>
          <w:position w:val="16"/>
          <w:sz w:val="24"/>
          <w:szCs w:val="24"/>
        </w:rPr>
        <w:t>/s</w:t>
      </w:r>
      <w:r>
        <w:rPr>
          <w:rFonts w:ascii="宋体" w:hAnsi="宋体" w:eastAsia="宋体" w:cs="宋体"/>
          <w:spacing w:val="-3"/>
          <w:position w:val="16"/>
          <w:sz w:val="24"/>
          <w:szCs w:val="24"/>
        </w:rPr>
        <w:t>（含生态流量</w:t>
      </w:r>
      <w:r>
        <w:rPr>
          <w:rFonts w:ascii="宋体" w:hAnsi="宋体" w:eastAsia="宋体" w:cs="宋体"/>
          <w:spacing w:val="-50"/>
          <w:position w:val="16"/>
          <w:sz w:val="24"/>
          <w:szCs w:val="24"/>
        </w:rPr>
        <w:t xml:space="preserve"> </w:t>
      </w:r>
      <w:r>
        <w:rPr>
          <w:rFonts w:ascii="Times New Roman" w:hAnsi="Times New Roman" w:eastAsia="Times New Roman" w:cs="Times New Roman"/>
          <w:spacing w:val="-3"/>
          <w:position w:val="16"/>
          <w:sz w:val="24"/>
          <w:szCs w:val="24"/>
        </w:rPr>
        <w:t>0.08m</w:t>
      </w:r>
      <w:r>
        <w:rPr>
          <w:rFonts w:ascii="宋体" w:hAnsi="宋体" w:eastAsia="宋体" w:cs="宋体"/>
          <w:spacing w:val="-3"/>
          <w:position w:val="16"/>
          <w:sz w:val="24"/>
          <w:szCs w:val="24"/>
        </w:rPr>
        <w:t>³</w:t>
      </w:r>
      <w:r>
        <w:rPr>
          <w:rFonts w:ascii="Times New Roman" w:hAnsi="Times New Roman" w:eastAsia="Times New Roman" w:cs="Times New Roman"/>
          <w:spacing w:val="-3"/>
          <w:position w:val="16"/>
          <w:sz w:val="24"/>
          <w:szCs w:val="24"/>
        </w:rPr>
        <w:t>/s</w:t>
      </w:r>
      <w:r>
        <w:rPr>
          <w:rFonts w:ascii="宋体" w:hAnsi="宋体" w:eastAsia="宋体" w:cs="宋体"/>
          <w:spacing w:val="-59"/>
          <w:w w:val="94"/>
          <w:position w:val="16"/>
          <w:sz w:val="24"/>
          <w:szCs w:val="24"/>
        </w:rPr>
        <w:t>），</w:t>
      </w:r>
      <w:r>
        <w:rPr>
          <w:rFonts w:ascii="宋体" w:hAnsi="宋体" w:eastAsia="宋体" w:cs="宋体"/>
          <w:spacing w:val="-3"/>
          <w:position w:val="16"/>
          <w:sz w:val="24"/>
          <w:szCs w:val="24"/>
        </w:rPr>
        <w:t>导流最</w:t>
      </w:r>
      <w:r>
        <w:rPr>
          <w:rFonts w:ascii="宋体" w:hAnsi="宋体" w:eastAsia="宋体" w:cs="宋体"/>
          <w:spacing w:val="-4"/>
          <w:position w:val="16"/>
          <w:sz w:val="24"/>
          <w:szCs w:val="24"/>
        </w:rPr>
        <w:t>大流量</w:t>
      </w:r>
      <w:r>
        <w:rPr>
          <w:rFonts w:ascii="宋体" w:hAnsi="宋体" w:eastAsia="宋体" w:cs="宋体"/>
          <w:spacing w:val="-50"/>
          <w:position w:val="16"/>
          <w:sz w:val="24"/>
          <w:szCs w:val="24"/>
        </w:rPr>
        <w:t xml:space="preserve"> </w:t>
      </w:r>
      <w:r>
        <w:rPr>
          <w:rFonts w:ascii="Times New Roman" w:hAnsi="Times New Roman" w:eastAsia="Times New Roman" w:cs="Times New Roman"/>
          <w:spacing w:val="-4"/>
          <w:position w:val="16"/>
          <w:sz w:val="24"/>
          <w:szCs w:val="24"/>
        </w:rPr>
        <w:t>91.96m</w:t>
      </w:r>
      <w:r>
        <w:rPr>
          <w:rFonts w:ascii="宋体" w:hAnsi="宋体" w:eastAsia="宋体" w:cs="宋体"/>
          <w:spacing w:val="-4"/>
          <w:position w:val="16"/>
          <w:sz w:val="24"/>
          <w:szCs w:val="24"/>
        </w:rPr>
        <w:t>³</w:t>
      </w:r>
      <w:r>
        <w:rPr>
          <w:rFonts w:ascii="Times New Roman" w:hAnsi="Times New Roman" w:eastAsia="Times New Roman" w:cs="Times New Roman"/>
          <w:spacing w:val="-4"/>
          <w:position w:val="16"/>
          <w:sz w:val="24"/>
          <w:szCs w:val="24"/>
        </w:rPr>
        <w:t>/s</w:t>
      </w:r>
      <w:r>
        <w:rPr>
          <w:rFonts w:ascii="宋体" w:hAnsi="宋体" w:eastAsia="宋体" w:cs="宋体"/>
          <w:spacing w:val="-4"/>
          <w:position w:val="16"/>
          <w:sz w:val="24"/>
          <w:szCs w:val="24"/>
        </w:rPr>
        <w:t>，放空</w:t>
      </w:r>
    </w:p>
    <w:p>
      <w:pPr>
        <w:spacing w:line="233" w:lineRule="auto"/>
        <w:ind w:left="42"/>
        <w:rPr>
          <w:rFonts w:ascii="宋体" w:hAnsi="宋体" w:eastAsia="宋体" w:cs="宋体"/>
          <w:sz w:val="24"/>
          <w:szCs w:val="24"/>
        </w:rPr>
      </w:pPr>
      <w:r>
        <w:rPr>
          <w:rFonts w:ascii="宋体" w:hAnsi="宋体" w:eastAsia="宋体" w:cs="宋体"/>
          <w:spacing w:val="-3"/>
          <w:sz w:val="24"/>
          <w:szCs w:val="24"/>
        </w:rPr>
        <w:t>最大流量为</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19.57m</w:t>
      </w:r>
      <w:r>
        <w:rPr>
          <w:rFonts w:ascii="宋体" w:hAnsi="宋体" w:eastAsia="宋体" w:cs="宋体"/>
          <w:spacing w:val="-3"/>
          <w:sz w:val="24"/>
          <w:szCs w:val="24"/>
        </w:rPr>
        <w:t>³</w:t>
      </w:r>
      <w:r>
        <w:rPr>
          <w:rFonts w:ascii="Times New Roman" w:hAnsi="Times New Roman" w:eastAsia="Times New Roman" w:cs="Times New Roman"/>
          <w:spacing w:val="-3"/>
          <w:sz w:val="24"/>
          <w:szCs w:val="24"/>
        </w:rPr>
        <w:t>/s</w:t>
      </w:r>
      <w:r>
        <w:rPr>
          <w:rFonts w:ascii="宋体" w:hAnsi="宋体" w:eastAsia="宋体" w:cs="宋体"/>
          <w:spacing w:val="-3"/>
          <w:sz w:val="24"/>
          <w:szCs w:val="24"/>
        </w:rPr>
        <w:t>。</w:t>
      </w:r>
    </w:p>
    <w:p>
      <w:pPr>
        <w:spacing w:before="163" w:line="219" w:lineRule="auto"/>
        <w:ind w:left="518"/>
        <w:rPr>
          <w:rFonts w:ascii="宋体" w:hAnsi="宋体" w:eastAsia="宋体" w:cs="宋体"/>
          <w:sz w:val="24"/>
          <w:szCs w:val="24"/>
        </w:rPr>
      </w:pPr>
      <w:r>
        <w:rPr>
          <w:rFonts w:ascii="宋体" w:hAnsi="宋体" w:eastAsia="宋体" w:cs="宋体"/>
          <w:spacing w:val="-2"/>
          <w:sz w:val="24"/>
          <w:szCs w:val="24"/>
        </w:rPr>
        <w:t>采用</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C25 </w:t>
      </w:r>
      <w:r>
        <w:rPr>
          <w:rFonts w:ascii="宋体" w:hAnsi="宋体" w:eastAsia="宋体" w:cs="宋体"/>
          <w:spacing w:val="-2"/>
          <w:sz w:val="24"/>
          <w:szCs w:val="24"/>
        </w:rPr>
        <w:t>钢筋混凝土衬砌。</w:t>
      </w:r>
    </w:p>
    <w:p>
      <w:pPr>
        <w:spacing w:before="182" w:line="220" w:lineRule="auto"/>
        <w:ind w:left="52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）引水工程</w:t>
      </w:r>
    </w:p>
    <w:p>
      <w:pPr>
        <w:spacing w:before="182" w:line="359" w:lineRule="auto"/>
        <w:ind w:left="42" w:right="30" w:firstLine="479"/>
        <w:rPr>
          <w:rFonts w:ascii="宋体" w:hAnsi="宋体" w:eastAsia="宋体" w:cs="宋体"/>
          <w:sz w:val="24"/>
          <w:szCs w:val="24"/>
        </w:rPr>
      </w:pPr>
      <w:r>
        <w:rPr>
          <w:rFonts w:ascii="宋体" w:hAnsi="宋体" w:eastAsia="宋体" w:cs="宋体"/>
          <w:spacing w:val="-1"/>
          <w:sz w:val="24"/>
          <w:szCs w:val="24"/>
        </w:rPr>
        <w:t>罗子左河取水坝为</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C20</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埋石混凝土重力坝，由溢流坝、冲砂闸及取水闸组成，取</w:t>
      </w:r>
      <w:r>
        <w:rPr>
          <w:rFonts w:ascii="宋体" w:hAnsi="宋体" w:eastAsia="宋体" w:cs="宋体"/>
          <w:sz w:val="24"/>
          <w:szCs w:val="24"/>
        </w:rPr>
        <w:t xml:space="preserve"> </w:t>
      </w:r>
      <w:r>
        <w:rPr>
          <w:rFonts w:ascii="宋体" w:hAnsi="宋体" w:eastAsia="宋体" w:cs="宋体"/>
          <w:spacing w:val="-3"/>
          <w:sz w:val="24"/>
          <w:szCs w:val="24"/>
        </w:rPr>
        <w:t>水坝轴线长</w:t>
      </w:r>
      <w:r>
        <w:rPr>
          <w:rFonts w:ascii="宋体" w:hAnsi="宋体" w:eastAsia="宋体" w:cs="宋体"/>
          <w:spacing w:val="-15"/>
          <w:sz w:val="24"/>
          <w:szCs w:val="24"/>
        </w:rPr>
        <w:t xml:space="preserve"> </w:t>
      </w:r>
      <w:r>
        <w:rPr>
          <w:rFonts w:ascii="Times New Roman" w:hAnsi="Times New Roman" w:eastAsia="Times New Roman" w:cs="Times New Roman"/>
          <w:spacing w:val="-3"/>
          <w:sz w:val="24"/>
          <w:szCs w:val="24"/>
        </w:rPr>
        <w:t>17.7m</w:t>
      </w:r>
      <w:r>
        <w:rPr>
          <w:rFonts w:ascii="宋体" w:hAnsi="宋体" w:eastAsia="宋体" w:cs="宋体"/>
          <w:spacing w:val="-3"/>
          <w:sz w:val="24"/>
          <w:szCs w:val="24"/>
        </w:rPr>
        <w:t>，其中溢流段长</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11m</w:t>
      </w:r>
      <w:r>
        <w:rPr>
          <w:rFonts w:ascii="宋体" w:hAnsi="宋体" w:eastAsia="宋体" w:cs="宋体"/>
          <w:spacing w:val="-3"/>
          <w:sz w:val="24"/>
          <w:szCs w:val="24"/>
        </w:rPr>
        <w:t>，最大坝高</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5.82m</w:t>
      </w:r>
      <w:r>
        <w:rPr>
          <w:rFonts w:ascii="宋体" w:hAnsi="宋体" w:eastAsia="宋体" w:cs="宋体"/>
          <w:spacing w:val="-3"/>
          <w:sz w:val="24"/>
          <w:szCs w:val="24"/>
        </w:rPr>
        <w:t>，堰顶高程</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2110.0m</w:t>
      </w:r>
      <w:r>
        <w:rPr>
          <w:rFonts w:ascii="宋体" w:hAnsi="宋体" w:eastAsia="宋体" w:cs="宋体"/>
          <w:spacing w:val="-3"/>
          <w:sz w:val="24"/>
          <w:szCs w:val="24"/>
        </w:rPr>
        <w:t>，校核洪</w:t>
      </w:r>
    </w:p>
    <w:p>
      <w:pPr>
        <w:spacing w:line="219" w:lineRule="auto"/>
        <w:ind w:left="42"/>
        <w:rPr>
          <w:rFonts w:ascii="宋体" w:hAnsi="宋体" w:eastAsia="宋体" w:cs="宋体"/>
          <w:sz w:val="24"/>
          <w:szCs w:val="24"/>
        </w:rPr>
      </w:pPr>
      <w:r>
        <w:rPr>
          <w:rFonts w:ascii="宋体" w:hAnsi="宋体" w:eastAsia="宋体" w:cs="宋体"/>
          <w:spacing w:val="-4"/>
          <w:sz w:val="24"/>
          <w:szCs w:val="24"/>
        </w:rPr>
        <w:t>水位</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2111.81m</w:t>
      </w:r>
      <w:r>
        <w:rPr>
          <w:rFonts w:ascii="宋体" w:hAnsi="宋体" w:eastAsia="宋体" w:cs="宋体"/>
          <w:spacing w:val="-4"/>
          <w:sz w:val="24"/>
          <w:szCs w:val="24"/>
        </w:rPr>
        <w:t>。</w:t>
      </w:r>
    </w:p>
    <w:p>
      <w:pPr>
        <w:spacing w:before="184" w:line="359" w:lineRule="auto"/>
        <w:ind w:left="34" w:right="28" w:firstLine="503"/>
        <w:rPr>
          <w:rFonts w:ascii="宋体" w:hAnsi="宋体" w:eastAsia="宋体" w:cs="宋体"/>
          <w:sz w:val="24"/>
          <w:szCs w:val="24"/>
        </w:rPr>
      </w:pPr>
      <w:r>
        <w:rPr>
          <w:rFonts w:ascii="宋体" w:hAnsi="宋体" w:eastAsia="宋体" w:cs="宋体"/>
          <w:spacing w:val="-2"/>
          <w:sz w:val="24"/>
          <w:szCs w:val="24"/>
        </w:rPr>
        <w:t>引水渠总长</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4.8km</w:t>
      </w:r>
      <w:r>
        <w:rPr>
          <w:rFonts w:ascii="宋体" w:hAnsi="宋体" w:eastAsia="宋体" w:cs="宋体"/>
          <w:spacing w:val="-2"/>
          <w:sz w:val="24"/>
          <w:szCs w:val="24"/>
        </w:rPr>
        <w:t>（其中渠道长</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4.6km</w:t>
      </w:r>
      <w:r>
        <w:rPr>
          <w:rFonts w:ascii="宋体" w:hAnsi="宋体" w:eastAsia="宋体" w:cs="宋体"/>
          <w:spacing w:val="-2"/>
          <w:sz w:val="24"/>
          <w:szCs w:val="24"/>
        </w:rPr>
        <w:t xml:space="preserve">，引水隧洞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条长</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0.2km</w:t>
      </w:r>
      <w:r>
        <w:rPr>
          <w:rFonts w:ascii="宋体" w:hAnsi="宋体" w:eastAsia="宋体" w:cs="宋体"/>
          <w:spacing w:val="-61"/>
          <w:w w:val="97"/>
          <w:sz w:val="24"/>
          <w:szCs w:val="24"/>
        </w:rPr>
        <w:t>），</w:t>
      </w:r>
      <w:r>
        <w:rPr>
          <w:rFonts w:ascii="宋体" w:hAnsi="宋体" w:eastAsia="宋体" w:cs="宋体"/>
          <w:spacing w:val="-3"/>
          <w:sz w:val="24"/>
          <w:szCs w:val="24"/>
        </w:rPr>
        <w:t>引水设计流量</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w:t>
      </w:r>
      <w:r>
        <w:rPr>
          <w:rFonts w:ascii="Times New Roman" w:hAnsi="Times New Roman" w:eastAsia="Times New Roman" w:cs="Times New Roman"/>
          <w:spacing w:val="-1"/>
          <w:sz w:val="24"/>
          <w:szCs w:val="24"/>
        </w:rPr>
        <w:t>/s</w:t>
      </w:r>
      <w:r>
        <w:rPr>
          <w:rFonts w:ascii="宋体" w:hAnsi="宋体" w:eastAsia="宋体" w:cs="宋体"/>
          <w:spacing w:val="-1"/>
          <w:sz w:val="24"/>
          <w:szCs w:val="24"/>
        </w:rPr>
        <w:t>，多年平均引水量为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433.1</w:t>
      </w:r>
      <w:r>
        <w:rPr>
          <w:rFonts w:ascii="Times New Roman" w:hAnsi="Times New Roman" w:eastAsia="Times New Roman" w:cs="Times New Roman"/>
          <w:spacing w:val="24"/>
          <w:sz w:val="24"/>
          <w:szCs w:val="24"/>
        </w:rPr>
        <w:t xml:space="preserve"> </w:t>
      </w:r>
      <w:r>
        <w:rPr>
          <w:rFonts w:ascii="宋体" w:hAnsi="宋体" w:eastAsia="宋体" w:cs="宋体"/>
          <w:spacing w:val="-1"/>
          <w:sz w:val="24"/>
          <w:szCs w:val="24"/>
        </w:rPr>
        <w:t>万</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³。明渠底坡为</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i=1/500</w:t>
      </w:r>
      <w:r>
        <w:rPr>
          <w:rFonts w:ascii="宋体" w:hAnsi="宋体" w:eastAsia="宋体" w:cs="宋体"/>
          <w:spacing w:val="-1"/>
          <w:sz w:val="24"/>
          <w:szCs w:val="24"/>
        </w:rPr>
        <w:t>，渠道断面型</w:t>
      </w:r>
      <w:r>
        <w:rPr>
          <w:rFonts w:ascii="宋体" w:hAnsi="宋体" w:eastAsia="宋体" w:cs="宋体"/>
          <w:spacing w:val="-2"/>
          <w:sz w:val="24"/>
          <w:szCs w:val="24"/>
        </w:rPr>
        <w:t>式为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B</w:t>
      </w:r>
      <w:r>
        <w:rPr>
          <w:rFonts w:ascii="宋体" w:hAnsi="宋体" w:eastAsia="宋体" w:cs="宋体"/>
          <w:spacing w:val="-2"/>
          <w:sz w:val="24"/>
          <w:szCs w:val="24"/>
        </w:rPr>
        <w:t>×</w:t>
      </w:r>
      <w:r>
        <w:rPr>
          <w:rFonts w:ascii="宋体" w:hAnsi="宋体" w:eastAsia="宋体" w:cs="宋体"/>
          <w:sz w:val="24"/>
          <w:szCs w:val="24"/>
        </w:rPr>
        <w:t xml:space="preserve"> </w:t>
      </w:r>
      <w:r>
        <w:rPr>
          <w:rFonts w:ascii="Times New Roman" w:hAnsi="Times New Roman" w:eastAsia="Times New Roman" w:cs="Times New Roman"/>
          <w:spacing w:val="-5"/>
          <w:sz w:val="24"/>
          <w:szCs w:val="24"/>
        </w:rPr>
        <w:t>H=1.5m</w:t>
      </w:r>
      <w:r>
        <w:rPr>
          <w:rFonts w:ascii="宋体" w:hAnsi="宋体" w:eastAsia="宋体" w:cs="宋体"/>
          <w:spacing w:val="-5"/>
          <w:sz w:val="24"/>
          <w:szCs w:val="24"/>
        </w:rPr>
        <w:t>×</w:t>
      </w:r>
      <w:r>
        <w:rPr>
          <w:rFonts w:ascii="Times New Roman" w:hAnsi="Times New Roman" w:eastAsia="Times New Roman" w:cs="Times New Roman"/>
          <w:spacing w:val="-5"/>
          <w:sz w:val="24"/>
          <w:szCs w:val="24"/>
        </w:rPr>
        <w:t>1.25m</w:t>
      </w:r>
      <w:r>
        <w:rPr>
          <w:rFonts w:ascii="宋体" w:hAnsi="宋体" w:eastAsia="宋体" w:cs="宋体"/>
          <w:spacing w:val="-5"/>
          <w:sz w:val="24"/>
          <w:szCs w:val="24"/>
        </w:rPr>
        <w:t>，边墙、底板为</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25c</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16"/>
          <w:w w:val="101"/>
          <w:sz w:val="24"/>
          <w:szCs w:val="24"/>
        </w:rPr>
        <w:t xml:space="preserve"> </w:t>
      </w:r>
      <w:r>
        <w:rPr>
          <w:rFonts w:ascii="宋体" w:hAnsi="宋体" w:eastAsia="宋体" w:cs="宋体"/>
          <w:spacing w:val="-6"/>
          <w:sz w:val="24"/>
          <w:szCs w:val="24"/>
        </w:rPr>
        <w:t>厚</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 xml:space="preserve">C20 </w:t>
      </w:r>
      <w:r>
        <w:rPr>
          <w:rFonts w:ascii="宋体" w:hAnsi="宋体" w:eastAsia="宋体" w:cs="宋体"/>
          <w:spacing w:val="-6"/>
          <w:sz w:val="24"/>
          <w:szCs w:val="24"/>
        </w:rPr>
        <w:t>砼衬砌， 顶部为</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15cm</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厚</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 xml:space="preserve">C25 </w:t>
      </w:r>
      <w:r>
        <w:rPr>
          <w:rFonts w:ascii="宋体" w:hAnsi="宋体" w:eastAsia="宋体" w:cs="宋体"/>
          <w:spacing w:val="-6"/>
          <w:sz w:val="24"/>
          <w:szCs w:val="24"/>
        </w:rPr>
        <w:t>钢筋砼预制</w:t>
      </w:r>
      <w:r>
        <w:rPr>
          <w:rFonts w:ascii="宋体" w:hAnsi="宋体" w:eastAsia="宋体" w:cs="宋体"/>
          <w:sz w:val="24"/>
          <w:szCs w:val="24"/>
        </w:rPr>
        <w:t xml:space="preserve"> </w:t>
      </w:r>
      <w:r>
        <w:rPr>
          <w:rFonts w:ascii="宋体" w:hAnsi="宋体" w:eastAsia="宋体" w:cs="宋体"/>
          <w:spacing w:val="2"/>
          <w:sz w:val="24"/>
          <w:szCs w:val="24"/>
        </w:rPr>
        <w:t>盖板，隧洞底坡为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i=1/500</w:t>
      </w:r>
      <w:r>
        <w:rPr>
          <w:rFonts w:ascii="宋体" w:hAnsi="宋体" w:eastAsia="宋体" w:cs="宋体"/>
          <w:spacing w:val="2"/>
          <w:sz w:val="24"/>
          <w:szCs w:val="24"/>
        </w:rPr>
        <w:t>，为城门洞型断面，拱顶中心角</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120</w:t>
      </w:r>
      <w:r>
        <w:rPr>
          <w:rFonts w:ascii="宋体" w:hAnsi="宋体" w:eastAsia="宋体" w:cs="宋体"/>
          <w:spacing w:val="1"/>
          <w:sz w:val="24"/>
          <w:szCs w:val="24"/>
        </w:rPr>
        <w:t>°,采用</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C25 </w:t>
      </w:r>
      <w:r>
        <w:rPr>
          <w:rFonts w:ascii="宋体" w:hAnsi="宋体" w:eastAsia="宋体" w:cs="宋体"/>
          <w:spacing w:val="1"/>
          <w:sz w:val="24"/>
          <w:szCs w:val="24"/>
        </w:rPr>
        <w:t>钢筋砼衬</w:t>
      </w:r>
    </w:p>
    <w:p>
      <w:pPr>
        <w:spacing w:before="1" w:line="219" w:lineRule="auto"/>
        <w:ind w:left="39"/>
        <w:rPr>
          <w:rFonts w:ascii="宋体" w:hAnsi="宋体" w:eastAsia="宋体" w:cs="宋体"/>
          <w:sz w:val="24"/>
          <w:szCs w:val="24"/>
        </w:rPr>
      </w:pPr>
      <w:r>
        <w:rPr>
          <w:rFonts w:ascii="宋体" w:hAnsi="宋体" w:eastAsia="宋体" w:cs="宋体"/>
          <w:spacing w:val="-4"/>
          <w:sz w:val="24"/>
          <w:szCs w:val="24"/>
        </w:rPr>
        <w:t>砌，衬砌厚度为</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30</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35cm</w:t>
      </w:r>
      <w:r>
        <w:rPr>
          <w:rFonts w:ascii="宋体" w:hAnsi="宋体" w:eastAsia="宋体" w:cs="宋体"/>
          <w:spacing w:val="-4"/>
          <w:sz w:val="24"/>
          <w:szCs w:val="24"/>
        </w:rPr>
        <w:t>。</w:t>
      </w:r>
    </w:p>
    <w:p>
      <w:pPr>
        <w:spacing w:before="181"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）引洪工程</w:t>
      </w:r>
    </w:p>
    <w:p>
      <w:pPr>
        <w:spacing w:before="181" w:line="217" w:lineRule="auto"/>
        <w:ind w:left="518"/>
        <w:rPr>
          <w:rFonts w:ascii="宋体" w:hAnsi="宋体" w:eastAsia="宋体" w:cs="宋体"/>
          <w:sz w:val="24"/>
          <w:szCs w:val="24"/>
        </w:rPr>
      </w:pPr>
      <w:r>
        <w:rPr>
          <w:rFonts w:ascii="宋体" w:hAnsi="宋体" w:eastAsia="宋体" w:cs="宋体"/>
          <w:spacing w:val="-3"/>
          <w:sz w:val="24"/>
          <w:szCs w:val="24"/>
        </w:rPr>
        <w:t>①取水坝</w:t>
      </w:r>
    </w:p>
    <w:p>
      <w:pPr>
        <w:spacing w:before="182" w:line="364" w:lineRule="auto"/>
        <w:ind w:left="35" w:right="29" w:firstLine="479"/>
        <w:rPr>
          <w:rFonts w:ascii="宋体" w:hAnsi="宋体" w:eastAsia="宋体" w:cs="宋体"/>
          <w:sz w:val="24"/>
          <w:szCs w:val="24"/>
        </w:rPr>
      </w:pPr>
      <w:r>
        <w:rPr>
          <w:rFonts w:ascii="Times New Roman" w:hAnsi="Times New Roman" w:eastAsia="Times New Roman" w:cs="Times New Roman"/>
          <w:spacing w:val="-12"/>
          <w:sz w:val="24"/>
          <w:szCs w:val="24"/>
        </w:rPr>
        <w:t>4</w:t>
      </w:r>
      <w:r>
        <w:rPr>
          <w:rFonts w:ascii="Times New Roman" w:hAnsi="Times New Roman" w:eastAsia="Times New Roman" w:cs="Times New Roman"/>
          <w:spacing w:val="28"/>
          <w:sz w:val="24"/>
          <w:szCs w:val="24"/>
        </w:rPr>
        <w:t xml:space="preserve"> </w:t>
      </w:r>
      <w:r>
        <w:rPr>
          <w:rFonts w:ascii="宋体" w:hAnsi="宋体" w:eastAsia="宋体" w:cs="宋体"/>
          <w:spacing w:val="-12"/>
          <w:sz w:val="24"/>
          <w:szCs w:val="24"/>
        </w:rPr>
        <w:t>座取水坝坝型为</w:t>
      </w:r>
      <w:r>
        <w:rPr>
          <w:rFonts w:ascii="宋体" w:hAnsi="宋体" w:eastAsia="宋体" w:cs="宋体"/>
          <w:spacing w:val="-52"/>
          <w:sz w:val="24"/>
          <w:szCs w:val="24"/>
        </w:rPr>
        <w:t xml:space="preserve"> </w:t>
      </w:r>
      <w:r>
        <w:rPr>
          <w:rFonts w:ascii="Times New Roman" w:hAnsi="Times New Roman" w:eastAsia="Times New Roman" w:cs="Times New Roman"/>
          <w:spacing w:val="-12"/>
          <w:sz w:val="24"/>
          <w:szCs w:val="24"/>
        </w:rPr>
        <w:t xml:space="preserve">C20 </w:t>
      </w:r>
      <w:r>
        <w:rPr>
          <w:rFonts w:ascii="宋体" w:hAnsi="宋体" w:eastAsia="宋体" w:cs="宋体"/>
          <w:spacing w:val="-12"/>
          <w:sz w:val="24"/>
          <w:szCs w:val="24"/>
        </w:rPr>
        <w:t>埋石混凝土重力坝，</w:t>
      </w:r>
      <w:r>
        <w:rPr>
          <w:rFonts w:ascii="宋体" w:hAnsi="宋体" w:eastAsia="宋体" w:cs="宋体"/>
          <w:spacing w:val="42"/>
          <w:sz w:val="24"/>
          <w:szCs w:val="24"/>
        </w:rPr>
        <w:t xml:space="preserve"> </w:t>
      </w:r>
      <w:r>
        <w:rPr>
          <w:rFonts w:ascii="宋体" w:hAnsi="宋体" w:eastAsia="宋体" w:cs="宋体"/>
          <w:spacing w:val="-12"/>
          <w:sz w:val="24"/>
          <w:szCs w:val="24"/>
        </w:rPr>
        <w:t>由溢流坝、冲砂闸及取水闸组成， 坝轴</w:t>
      </w:r>
      <w:r>
        <w:rPr>
          <w:rFonts w:ascii="宋体" w:hAnsi="宋体" w:eastAsia="宋体" w:cs="宋体"/>
          <w:sz w:val="24"/>
          <w:szCs w:val="24"/>
        </w:rPr>
        <w:t xml:space="preserve"> </w:t>
      </w:r>
      <w:r>
        <w:rPr>
          <w:rFonts w:ascii="宋体" w:hAnsi="宋体" w:eastAsia="宋体" w:cs="宋体"/>
          <w:spacing w:val="-4"/>
          <w:sz w:val="24"/>
          <w:szCs w:val="24"/>
        </w:rPr>
        <w:t>线长分别为</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22.7m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16.2m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11.7m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21.7m</w:t>
      </w:r>
      <w:r>
        <w:rPr>
          <w:rFonts w:ascii="宋体" w:hAnsi="宋体" w:eastAsia="宋体" w:cs="宋体"/>
          <w:spacing w:val="-4"/>
          <w:sz w:val="24"/>
          <w:szCs w:val="24"/>
        </w:rPr>
        <w:t xml:space="preserve">，其中溢流段长分别为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6m</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10m</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6.0m</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Times New Roman" w:hAnsi="Times New Roman" w:eastAsia="Times New Roman" w:cs="Times New Roman"/>
          <w:spacing w:val="-7"/>
          <w:sz w:val="24"/>
          <w:szCs w:val="24"/>
        </w:rPr>
        <w:t>15m</w:t>
      </w:r>
      <w:r>
        <w:rPr>
          <w:rFonts w:ascii="宋体" w:hAnsi="宋体" w:eastAsia="宋体" w:cs="宋体"/>
          <w:spacing w:val="-7"/>
          <w:sz w:val="24"/>
          <w:szCs w:val="24"/>
        </w:rPr>
        <w:t>，堰顶高程分别为</w:t>
      </w:r>
      <w:r>
        <w:rPr>
          <w:rFonts w:ascii="宋体" w:hAnsi="宋体" w:eastAsia="宋体" w:cs="宋体"/>
          <w:spacing w:val="-43"/>
          <w:sz w:val="24"/>
          <w:szCs w:val="24"/>
        </w:rPr>
        <w:t xml:space="preserve"> </w:t>
      </w:r>
      <w:r>
        <w:rPr>
          <w:rFonts w:ascii="Times New Roman" w:hAnsi="Times New Roman" w:eastAsia="Times New Roman" w:cs="Times New Roman"/>
          <w:spacing w:val="-7"/>
          <w:sz w:val="24"/>
          <w:szCs w:val="24"/>
        </w:rPr>
        <w:t>2056.0m</w:t>
      </w:r>
      <w:r>
        <w:rPr>
          <w:rFonts w:ascii="宋体" w:hAnsi="宋体" w:eastAsia="宋体" w:cs="宋体"/>
          <w:spacing w:val="-7"/>
          <w:sz w:val="24"/>
          <w:szCs w:val="24"/>
        </w:rPr>
        <w:t>、</w:t>
      </w:r>
      <w:r>
        <w:rPr>
          <w:rFonts w:ascii="Times New Roman" w:hAnsi="Times New Roman" w:eastAsia="Times New Roman" w:cs="Times New Roman"/>
          <w:spacing w:val="-7"/>
          <w:sz w:val="24"/>
          <w:szCs w:val="24"/>
        </w:rPr>
        <w:t>2053.5m</w:t>
      </w:r>
      <w:r>
        <w:rPr>
          <w:rFonts w:ascii="宋体" w:hAnsi="宋体" w:eastAsia="宋体" w:cs="宋体"/>
          <w:spacing w:val="-7"/>
          <w:sz w:val="24"/>
          <w:szCs w:val="24"/>
        </w:rPr>
        <w:t>、</w:t>
      </w:r>
      <w:r>
        <w:rPr>
          <w:rFonts w:ascii="Times New Roman" w:hAnsi="Times New Roman" w:eastAsia="Times New Roman" w:cs="Times New Roman"/>
          <w:spacing w:val="-7"/>
          <w:sz w:val="24"/>
          <w:szCs w:val="24"/>
        </w:rPr>
        <w:t>2053.0m</w:t>
      </w:r>
      <w:r>
        <w:rPr>
          <w:rFonts w:ascii="宋体" w:hAnsi="宋体" w:eastAsia="宋体" w:cs="宋体"/>
          <w:spacing w:val="-7"/>
          <w:sz w:val="24"/>
          <w:szCs w:val="24"/>
        </w:rPr>
        <w:t>、</w:t>
      </w:r>
      <w:r>
        <w:rPr>
          <w:rFonts w:ascii="Times New Roman" w:hAnsi="Times New Roman" w:eastAsia="Times New Roman" w:cs="Times New Roman"/>
          <w:spacing w:val="-7"/>
          <w:sz w:val="24"/>
          <w:szCs w:val="24"/>
        </w:rPr>
        <w:t>2041.5m</w:t>
      </w:r>
      <w:r>
        <w:rPr>
          <w:rFonts w:ascii="宋体" w:hAnsi="宋体" w:eastAsia="宋体" w:cs="宋体"/>
          <w:spacing w:val="-7"/>
          <w:sz w:val="24"/>
          <w:szCs w:val="24"/>
        </w:rPr>
        <w:t>，均采用折线实用堰，</w:t>
      </w:r>
      <w:r>
        <w:rPr>
          <w:rFonts w:ascii="宋体" w:hAnsi="宋体" w:eastAsia="宋体" w:cs="宋体"/>
          <w:spacing w:val="32"/>
          <w:sz w:val="24"/>
          <w:szCs w:val="24"/>
        </w:rPr>
        <w:t xml:space="preserve"> </w:t>
      </w:r>
      <w:r>
        <w:rPr>
          <w:rFonts w:ascii="宋体" w:hAnsi="宋体" w:eastAsia="宋体" w:cs="宋体"/>
          <w:spacing w:val="-7"/>
          <w:sz w:val="24"/>
          <w:szCs w:val="24"/>
        </w:rPr>
        <w:t>最</w:t>
      </w:r>
      <w:r>
        <w:rPr>
          <w:rFonts w:ascii="宋体" w:hAnsi="宋体" w:eastAsia="宋体" w:cs="宋体"/>
          <w:sz w:val="24"/>
          <w:szCs w:val="24"/>
        </w:rPr>
        <w:t xml:space="preserve"> </w:t>
      </w:r>
      <w:r>
        <w:rPr>
          <w:rFonts w:ascii="宋体" w:hAnsi="宋体" w:eastAsia="宋体" w:cs="宋体"/>
          <w:spacing w:val="-4"/>
          <w:sz w:val="24"/>
          <w:szCs w:val="24"/>
        </w:rPr>
        <w:t>大坝高分别为</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6.1m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5.5m</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5.7m</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5"/>
          <w:sz w:val="24"/>
          <w:szCs w:val="24"/>
        </w:rPr>
        <w:t>0m</w:t>
      </w:r>
      <w:r>
        <w:rPr>
          <w:rFonts w:ascii="宋体" w:hAnsi="宋体" w:eastAsia="宋体" w:cs="宋体"/>
          <w:spacing w:val="-5"/>
          <w:sz w:val="24"/>
          <w:szCs w:val="24"/>
        </w:rPr>
        <w:t>。马茨河取水坝设置</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2.0</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2.5m </w:t>
      </w:r>
      <w:r>
        <w:rPr>
          <w:rFonts w:ascii="宋体" w:hAnsi="宋体" w:eastAsia="宋体" w:cs="宋体"/>
          <w:spacing w:val="-5"/>
          <w:sz w:val="24"/>
          <w:szCs w:val="24"/>
        </w:rPr>
        <w:t xml:space="preserve">冲砂闸、 </w:t>
      </w:r>
      <w:r>
        <w:rPr>
          <w:rFonts w:ascii="Times New Roman" w:hAnsi="Times New Roman" w:eastAsia="Times New Roman" w:cs="Times New Roman"/>
          <w:spacing w:val="-5"/>
          <w:sz w:val="24"/>
          <w:szCs w:val="24"/>
        </w:rPr>
        <w:t>1.5</w:t>
      </w:r>
      <w:r>
        <w:rPr>
          <w:rFonts w:ascii="宋体" w:hAnsi="宋体" w:eastAsia="宋体" w:cs="宋体"/>
          <w:spacing w:val="-5"/>
          <w:sz w:val="24"/>
          <w:szCs w:val="24"/>
        </w:rPr>
        <w:t>×</w:t>
      </w:r>
      <w:r>
        <w:rPr>
          <w:rFonts w:ascii="宋体" w:hAnsi="宋体" w:eastAsia="宋体" w:cs="宋体"/>
          <w:sz w:val="24"/>
          <w:szCs w:val="24"/>
        </w:rPr>
        <w:t xml:space="preserve"> </w:t>
      </w:r>
      <w:r>
        <w:rPr>
          <w:rFonts w:ascii="Times New Roman" w:hAnsi="Times New Roman" w:eastAsia="Times New Roman" w:cs="Times New Roman"/>
          <w:spacing w:val="-8"/>
          <w:sz w:val="24"/>
          <w:szCs w:val="24"/>
        </w:rPr>
        <w:t xml:space="preserve">1.5m </w:t>
      </w:r>
      <w:r>
        <w:rPr>
          <w:rFonts w:ascii="宋体" w:hAnsi="宋体" w:eastAsia="宋体" w:cs="宋体"/>
          <w:spacing w:val="-8"/>
          <w:sz w:val="24"/>
          <w:szCs w:val="24"/>
        </w:rPr>
        <w:t>进水闸各</w:t>
      </w:r>
      <w:r>
        <w:rPr>
          <w:rFonts w:ascii="宋体" w:hAnsi="宋体" w:eastAsia="宋体" w:cs="宋体"/>
          <w:spacing w:val="-2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道，六姑乍箐取水坝设置</w:t>
      </w:r>
      <w:r>
        <w:rPr>
          <w:rFonts w:ascii="宋体" w:hAnsi="宋体" w:eastAsia="宋体" w:cs="宋体"/>
          <w:spacing w:val="-63"/>
          <w:sz w:val="24"/>
          <w:szCs w:val="24"/>
        </w:rPr>
        <w:t xml:space="preserve"> </w:t>
      </w:r>
      <w:r>
        <w:rPr>
          <w:rFonts w:ascii="Times New Roman" w:hAnsi="Times New Roman" w:eastAsia="Times New Roman" w:cs="Times New Roman"/>
          <w:spacing w:val="-8"/>
          <w:sz w:val="24"/>
          <w:szCs w:val="24"/>
        </w:rPr>
        <w:t>2.0</w:t>
      </w:r>
      <w:r>
        <w:rPr>
          <w:rFonts w:ascii="宋体" w:hAnsi="宋体" w:eastAsia="宋体" w:cs="宋体"/>
          <w:spacing w:val="-8"/>
          <w:sz w:val="24"/>
          <w:szCs w:val="24"/>
        </w:rPr>
        <w:t>×</w:t>
      </w:r>
      <w:r>
        <w:rPr>
          <w:rFonts w:ascii="Times New Roman" w:hAnsi="Times New Roman" w:eastAsia="Times New Roman" w:cs="Times New Roman"/>
          <w:spacing w:val="-8"/>
          <w:sz w:val="24"/>
          <w:szCs w:val="24"/>
        </w:rPr>
        <w:t xml:space="preserve">2.5m </w:t>
      </w:r>
      <w:r>
        <w:rPr>
          <w:rFonts w:ascii="宋体" w:hAnsi="宋体" w:eastAsia="宋体" w:cs="宋体"/>
          <w:spacing w:val="-8"/>
          <w:sz w:val="24"/>
          <w:szCs w:val="24"/>
        </w:rPr>
        <w:t>冲砂闸、</w:t>
      </w:r>
      <w:r>
        <w:rPr>
          <w:rFonts w:ascii="Times New Roman" w:hAnsi="Times New Roman" w:eastAsia="Times New Roman" w:cs="Times New Roman"/>
          <w:spacing w:val="-8"/>
          <w:sz w:val="24"/>
          <w:szCs w:val="24"/>
        </w:rPr>
        <w:t>1.0</w:t>
      </w:r>
      <w:r>
        <w:rPr>
          <w:rFonts w:ascii="宋体" w:hAnsi="宋体" w:eastAsia="宋体" w:cs="宋体"/>
          <w:spacing w:val="-8"/>
          <w:sz w:val="24"/>
          <w:szCs w:val="24"/>
        </w:rPr>
        <w:t>×</w:t>
      </w:r>
      <w:r>
        <w:rPr>
          <w:rFonts w:ascii="Times New Roman" w:hAnsi="Times New Roman" w:eastAsia="Times New Roman" w:cs="Times New Roman"/>
          <w:spacing w:val="-8"/>
          <w:sz w:val="24"/>
          <w:szCs w:val="24"/>
        </w:rPr>
        <w:t xml:space="preserve">1.0m </w:t>
      </w:r>
      <w:r>
        <w:rPr>
          <w:rFonts w:ascii="宋体" w:hAnsi="宋体" w:eastAsia="宋体" w:cs="宋体"/>
          <w:spacing w:val="-8"/>
          <w:sz w:val="24"/>
          <w:szCs w:val="24"/>
        </w:rPr>
        <w:t>进水闸各</w:t>
      </w:r>
      <w:r>
        <w:rPr>
          <w:rFonts w:ascii="宋体" w:hAnsi="宋体" w:eastAsia="宋体" w:cs="宋体"/>
          <w:spacing w:val="-40"/>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道，</w:t>
      </w:r>
      <w:r>
        <w:rPr>
          <w:rFonts w:ascii="宋体" w:hAnsi="宋体" w:eastAsia="宋体" w:cs="宋体"/>
          <w:sz w:val="24"/>
          <w:szCs w:val="24"/>
        </w:rPr>
        <w:t xml:space="preserve"> </w:t>
      </w:r>
      <w:r>
        <w:rPr>
          <w:rFonts w:ascii="宋体" w:hAnsi="宋体" w:eastAsia="宋体" w:cs="宋体"/>
          <w:spacing w:val="-4"/>
          <w:sz w:val="24"/>
          <w:szCs w:val="24"/>
        </w:rPr>
        <w:t>昔木乍箐取水坝设置</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1.5</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2.0m </w:t>
      </w:r>
      <w:r>
        <w:rPr>
          <w:rFonts w:ascii="宋体" w:hAnsi="宋体" w:eastAsia="宋体" w:cs="宋体"/>
          <w:spacing w:val="-4"/>
          <w:sz w:val="24"/>
          <w:szCs w:val="24"/>
        </w:rPr>
        <w:t xml:space="preserve">冲砂闸、 </w:t>
      </w:r>
      <w:r>
        <w:rPr>
          <w:rFonts w:ascii="Times New Roman" w:hAnsi="Times New Roman" w:eastAsia="Times New Roman" w:cs="Times New Roman"/>
          <w:spacing w:val="-4"/>
          <w:sz w:val="24"/>
          <w:szCs w:val="24"/>
        </w:rPr>
        <w:t>1.0</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1.0m </w:t>
      </w:r>
      <w:r>
        <w:rPr>
          <w:rFonts w:ascii="宋体" w:hAnsi="宋体" w:eastAsia="宋体" w:cs="宋体"/>
          <w:spacing w:val="-4"/>
          <w:sz w:val="24"/>
          <w:szCs w:val="24"/>
        </w:rPr>
        <w:t>进水闸各</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道，见簸箐取水坝设置</w:t>
      </w:r>
      <w:r>
        <w:rPr>
          <w:rFonts w:ascii="宋体" w:hAnsi="宋体" w:eastAsia="宋体" w:cs="宋体"/>
          <w:sz w:val="24"/>
          <w:szCs w:val="24"/>
        </w:rPr>
        <w:t xml:space="preserve"> </w:t>
      </w:r>
      <w:r>
        <w:rPr>
          <w:rFonts w:ascii="Times New Roman" w:hAnsi="Times New Roman" w:eastAsia="Times New Roman" w:cs="Times New Roman"/>
          <w:spacing w:val="-6"/>
          <w:sz w:val="24"/>
          <w:szCs w:val="24"/>
        </w:rPr>
        <w:t>2.0</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2.0m </w:t>
      </w:r>
      <w:r>
        <w:rPr>
          <w:rFonts w:ascii="宋体" w:hAnsi="宋体" w:eastAsia="宋体" w:cs="宋体"/>
          <w:spacing w:val="-6"/>
          <w:sz w:val="24"/>
          <w:szCs w:val="24"/>
        </w:rPr>
        <w:t>冲砂闸、</w:t>
      </w:r>
      <w:r>
        <w:rPr>
          <w:rFonts w:ascii="Times New Roman" w:hAnsi="Times New Roman" w:eastAsia="Times New Roman" w:cs="Times New Roman"/>
          <w:spacing w:val="-6"/>
          <w:sz w:val="24"/>
          <w:szCs w:val="24"/>
        </w:rPr>
        <w:t>1.5</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1.5m </w:t>
      </w:r>
      <w:r>
        <w:rPr>
          <w:rFonts w:ascii="宋体" w:hAnsi="宋体" w:eastAsia="宋体" w:cs="宋体"/>
          <w:spacing w:val="-6"/>
          <w:sz w:val="24"/>
          <w:szCs w:val="24"/>
        </w:rPr>
        <w:t>进水闸各</w:t>
      </w:r>
      <w:r>
        <w:rPr>
          <w:rFonts w:ascii="宋体" w:hAnsi="宋体" w:eastAsia="宋体" w:cs="宋体"/>
          <w:spacing w:val="-18"/>
          <w:sz w:val="24"/>
          <w:szCs w:val="24"/>
        </w:rPr>
        <w:t xml:space="preserve">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道。校核洪水为分别为</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2057.40m</w:t>
      </w:r>
      <w:r>
        <w:rPr>
          <w:rFonts w:ascii="宋体" w:hAnsi="宋体" w:eastAsia="宋体" w:cs="宋体"/>
          <w:spacing w:val="-6"/>
          <w:sz w:val="24"/>
          <w:szCs w:val="24"/>
        </w:rPr>
        <w:t>、</w:t>
      </w:r>
      <w:r>
        <w:rPr>
          <w:rFonts w:ascii="Times New Roman" w:hAnsi="Times New Roman" w:eastAsia="Times New Roman" w:cs="Times New Roman"/>
          <w:spacing w:val="-6"/>
          <w:sz w:val="24"/>
          <w:szCs w:val="24"/>
        </w:rPr>
        <w:t>2054.74m</w:t>
      </w:r>
      <w:r>
        <w:rPr>
          <w:rFonts w:ascii="宋体" w:hAnsi="宋体" w:eastAsia="宋体" w:cs="宋体"/>
          <w:spacing w:val="-6"/>
          <w:sz w:val="24"/>
          <w:szCs w:val="24"/>
        </w:rPr>
        <w:t>、</w:t>
      </w:r>
    </w:p>
    <w:p>
      <w:pPr>
        <w:spacing w:line="183" w:lineRule="auto"/>
        <w:ind w:left="35"/>
        <w:rPr>
          <w:rFonts w:ascii="宋体" w:hAnsi="宋体" w:eastAsia="宋体" w:cs="宋体"/>
          <w:sz w:val="24"/>
          <w:szCs w:val="24"/>
        </w:rPr>
      </w:pPr>
      <w:r>
        <w:rPr>
          <w:rFonts w:ascii="Times New Roman" w:hAnsi="Times New Roman" w:eastAsia="Times New Roman" w:cs="Times New Roman"/>
          <w:spacing w:val="-2"/>
          <w:sz w:val="24"/>
          <w:szCs w:val="24"/>
        </w:rPr>
        <w:t>2054.47m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2042.82m</w:t>
      </w:r>
      <w:r>
        <w:rPr>
          <w:rFonts w:ascii="宋体" w:hAnsi="宋体" w:eastAsia="宋体" w:cs="宋体"/>
          <w:spacing w:val="-2"/>
          <w:sz w:val="24"/>
          <w:szCs w:val="24"/>
        </w:rPr>
        <w:t>。</w:t>
      </w:r>
    </w:p>
    <w:p>
      <w:pPr>
        <w:spacing w:before="187" w:line="217" w:lineRule="auto"/>
        <w:ind w:left="517"/>
        <w:rPr>
          <w:rFonts w:ascii="宋体" w:hAnsi="宋体" w:eastAsia="宋体" w:cs="宋体"/>
          <w:sz w:val="24"/>
          <w:szCs w:val="24"/>
        </w:rPr>
      </w:pPr>
      <w:r>
        <w:rPr>
          <w:rFonts w:ascii="宋体" w:hAnsi="宋体" w:eastAsia="宋体" w:cs="宋体"/>
          <w:spacing w:val="-2"/>
          <w:sz w:val="24"/>
          <w:szCs w:val="24"/>
        </w:rPr>
        <w:t>②引洪沟</w:t>
      </w:r>
    </w:p>
    <w:p>
      <w:pPr>
        <w:spacing w:line="217" w:lineRule="auto"/>
        <w:rPr>
          <w:rFonts w:ascii="宋体" w:hAnsi="宋体" w:eastAsia="宋体" w:cs="宋体"/>
          <w:sz w:val="24"/>
          <w:szCs w:val="24"/>
        </w:rPr>
        <w:sectPr>
          <w:headerReference r:id="rId87" w:type="default"/>
          <w:footerReference r:id="rId88" w:type="default"/>
          <w:pgSz w:w="11907" w:h="16839"/>
          <w:pgMar w:top="1298" w:right="1387" w:bottom="1374" w:left="1501" w:header="1023" w:footer="1210" w:gutter="0"/>
        </w:sectPr>
      </w:pPr>
    </w:p>
    <w:p>
      <w:pPr>
        <w:spacing w:before="156" w:line="467" w:lineRule="exact"/>
        <w:jc w:val="right"/>
        <w:rPr>
          <w:rFonts w:ascii="宋体" w:hAnsi="宋体" w:eastAsia="宋体" w:cs="宋体"/>
          <w:sz w:val="24"/>
          <w:szCs w:val="24"/>
        </w:rPr>
      </w:pPr>
      <w:r>
        <w:rPr>
          <w:rFonts w:ascii="宋体" w:hAnsi="宋体" w:eastAsia="宋体" w:cs="宋体"/>
          <w:spacing w:val="-2"/>
          <w:position w:val="17"/>
          <w:sz w:val="24"/>
          <w:szCs w:val="24"/>
        </w:rPr>
        <w:t>马茨河、六姑乍箐、昔木乍箐、见簸箐</w:t>
      </w:r>
      <w:r>
        <w:rPr>
          <w:rFonts w:ascii="宋体" w:hAnsi="宋体" w:eastAsia="宋体" w:cs="宋体"/>
          <w:spacing w:val="-32"/>
          <w:position w:val="17"/>
          <w:sz w:val="24"/>
          <w:szCs w:val="24"/>
        </w:rPr>
        <w:t xml:space="preserve"> </w:t>
      </w:r>
      <w:r>
        <w:rPr>
          <w:rFonts w:ascii="Times New Roman" w:hAnsi="Times New Roman" w:eastAsia="Times New Roman" w:cs="Times New Roman"/>
          <w:spacing w:val="-2"/>
          <w:position w:val="17"/>
          <w:sz w:val="24"/>
          <w:szCs w:val="24"/>
        </w:rPr>
        <w:t>4</w:t>
      </w:r>
      <w:r>
        <w:rPr>
          <w:rFonts w:ascii="Times New Roman" w:hAnsi="Times New Roman" w:eastAsia="Times New Roman" w:cs="Times New Roman"/>
          <w:spacing w:val="36"/>
          <w:position w:val="17"/>
          <w:sz w:val="24"/>
          <w:szCs w:val="24"/>
        </w:rPr>
        <w:t xml:space="preserve"> </w:t>
      </w:r>
      <w:r>
        <w:rPr>
          <w:rFonts w:ascii="宋体" w:hAnsi="宋体" w:eastAsia="宋体" w:cs="宋体"/>
          <w:spacing w:val="-2"/>
          <w:position w:val="17"/>
          <w:sz w:val="24"/>
          <w:szCs w:val="24"/>
        </w:rPr>
        <w:t>条引洪渠均为暗渠，长度分别</w:t>
      </w:r>
      <w:r>
        <w:rPr>
          <w:rFonts w:ascii="宋体" w:hAnsi="宋体" w:eastAsia="宋体" w:cs="宋体"/>
          <w:spacing w:val="-3"/>
          <w:position w:val="17"/>
          <w:sz w:val="24"/>
          <w:szCs w:val="24"/>
        </w:rPr>
        <w:t>为</w:t>
      </w:r>
      <w:r>
        <w:rPr>
          <w:rFonts w:ascii="宋体" w:hAnsi="宋体" w:eastAsia="宋体" w:cs="宋体"/>
          <w:spacing w:val="-26"/>
          <w:position w:val="17"/>
          <w:sz w:val="24"/>
          <w:szCs w:val="24"/>
        </w:rPr>
        <w:t xml:space="preserve"> </w:t>
      </w:r>
      <w:r>
        <w:rPr>
          <w:rFonts w:ascii="Times New Roman" w:hAnsi="Times New Roman" w:eastAsia="Times New Roman" w:cs="Times New Roman"/>
          <w:spacing w:val="-3"/>
          <w:position w:val="17"/>
          <w:sz w:val="24"/>
          <w:szCs w:val="24"/>
        </w:rPr>
        <w:t>310m</w:t>
      </w:r>
      <w:r>
        <w:rPr>
          <w:rFonts w:ascii="宋体" w:hAnsi="宋体" w:eastAsia="宋体" w:cs="宋体"/>
          <w:spacing w:val="-3"/>
          <w:position w:val="17"/>
          <w:sz w:val="24"/>
          <w:szCs w:val="24"/>
        </w:rPr>
        <w:t>、</w:t>
      </w:r>
    </w:p>
    <w:p>
      <w:pPr>
        <w:spacing w:line="219" w:lineRule="auto"/>
        <w:ind w:left="58"/>
        <w:rPr>
          <w:rFonts w:ascii="宋体" w:hAnsi="宋体" w:eastAsia="宋体" w:cs="宋体"/>
          <w:sz w:val="24"/>
          <w:szCs w:val="24"/>
        </w:rPr>
      </w:pPr>
      <w:r>
        <w:rPr>
          <w:rFonts w:ascii="Times New Roman" w:hAnsi="Times New Roman" w:eastAsia="Times New Roman" w:cs="Times New Roman"/>
          <w:spacing w:val="-3"/>
          <w:sz w:val="24"/>
          <w:szCs w:val="24"/>
        </w:rPr>
        <w:t>180m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210m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515m</w:t>
      </w:r>
      <w:r>
        <w:rPr>
          <w:rFonts w:ascii="宋体" w:hAnsi="宋体" w:eastAsia="宋体" w:cs="宋体"/>
          <w:spacing w:val="-3"/>
          <w:sz w:val="24"/>
          <w:szCs w:val="24"/>
        </w:rPr>
        <w:t>，底坡除见</w:t>
      </w:r>
      <w:r>
        <w:rPr>
          <w:rFonts w:ascii="宋体" w:hAnsi="宋体" w:eastAsia="宋体" w:cs="宋体"/>
          <w:spacing w:val="-4"/>
          <w:sz w:val="24"/>
          <w:szCs w:val="24"/>
        </w:rPr>
        <w:t>簸箐引水渠为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1/1000</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外，其余均为</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1/500</w:t>
      </w:r>
      <w:r>
        <w:rPr>
          <w:rFonts w:ascii="宋体" w:hAnsi="宋体" w:eastAsia="宋体" w:cs="宋体"/>
          <w:spacing w:val="-4"/>
          <w:sz w:val="24"/>
          <w:szCs w:val="24"/>
        </w:rPr>
        <w:t>。</w:t>
      </w:r>
    </w:p>
    <w:p>
      <w:pPr>
        <w:spacing w:before="181" w:line="467" w:lineRule="exact"/>
        <w:ind w:left="527"/>
        <w:rPr>
          <w:rFonts w:ascii="宋体" w:hAnsi="宋体" w:eastAsia="宋体" w:cs="宋体"/>
          <w:sz w:val="24"/>
          <w:szCs w:val="24"/>
        </w:rPr>
      </w:pPr>
      <w:r>
        <w:rPr>
          <w:rFonts w:ascii="宋体" w:hAnsi="宋体" w:eastAsia="宋体" w:cs="宋体"/>
          <w:spacing w:val="-1"/>
          <w:position w:val="16"/>
          <w:sz w:val="24"/>
          <w:szCs w:val="24"/>
        </w:rPr>
        <w:t xml:space="preserve">马茨河引洪区引洪设计流量 </w:t>
      </w:r>
      <w:r>
        <w:rPr>
          <w:rFonts w:ascii="Times New Roman" w:hAnsi="Times New Roman" w:eastAsia="Times New Roman" w:cs="Times New Roman"/>
          <w:spacing w:val="-1"/>
          <w:position w:val="16"/>
          <w:sz w:val="24"/>
          <w:szCs w:val="24"/>
        </w:rPr>
        <w:t>1.6m</w:t>
      </w:r>
      <w:r>
        <w:rPr>
          <w:rFonts w:ascii="宋体" w:hAnsi="宋体" w:eastAsia="宋体" w:cs="宋体"/>
          <w:spacing w:val="-1"/>
          <w:position w:val="16"/>
          <w:sz w:val="24"/>
          <w:szCs w:val="24"/>
        </w:rPr>
        <w:t>³</w:t>
      </w:r>
      <w:r>
        <w:rPr>
          <w:rFonts w:ascii="Times New Roman" w:hAnsi="Times New Roman" w:eastAsia="Times New Roman" w:cs="Times New Roman"/>
          <w:spacing w:val="-1"/>
          <w:position w:val="16"/>
          <w:sz w:val="24"/>
          <w:szCs w:val="24"/>
        </w:rPr>
        <w:t>/s</w:t>
      </w:r>
      <w:r>
        <w:rPr>
          <w:rFonts w:ascii="宋体" w:hAnsi="宋体" w:eastAsia="宋体" w:cs="宋体"/>
          <w:spacing w:val="-1"/>
          <w:position w:val="16"/>
          <w:sz w:val="24"/>
          <w:szCs w:val="24"/>
        </w:rPr>
        <w:t xml:space="preserve">，六姑乍箐引洪区引洪设计流量 </w:t>
      </w:r>
      <w:r>
        <w:rPr>
          <w:rFonts w:ascii="Times New Roman" w:hAnsi="Times New Roman" w:eastAsia="Times New Roman" w:cs="Times New Roman"/>
          <w:spacing w:val="-1"/>
          <w:position w:val="16"/>
          <w:sz w:val="24"/>
          <w:szCs w:val="24"/>
        </w:rPr>
        <w:t>1.1m</w:t>
      </w:r>
      <w:r>
        <w:rPr>
          <w:rFonts w:ascii="宋体" w:hAnsi="宋体" w:eastAsia="宋体" w:cs="宋体"/>
          <w:spacing w:val="-1"/>
          <w:position w:val="16"/>
          <w:sz w:val="24"/>
          <w:szCs w:val="24"/>
        </w:rPr>
        <w:t>³</w:t>
      </w:r>
      <w:r>
        <w:rPr>
          <w:rFonts w:ascii="Times New Roman" w:hAnsi="Times New Roman" w:eastAsia="Times New Roman" w:cs="Times New Roman"/>
          <w:spacing w:val="-1"/>
          <w:position w:val="16"/>
          <w:sz w:val="24"/>
          <w:szCs w:val="24"/>
        </w:rPr>
        <w:t>/s</w:t>
      </w:r>
      <w:r>
        <w:rPr>
          <w:rFonts w:ascii="宋体" w:hAnsi="宋体" w:eastAsia="宋体" w:cs="宋体"/>
          <w:spacing w:val="-1"/>
          <w:position w:val="16"/>
          <w:sz w:val="24"/>
          <w:szCs w:val="24"/>
        </w:rPr>
        <w:t>，昔</w:t>
      </w:r>
    </w:p>
    <w:p>
      <w:pPr>
        <w:spacing w:line="233" w:lineRule="auto"/>
        <w:ind w:left="40"/>
        <w:rPr>
          <w:rFonts w:ascii="宋体" w:hAnsi="宋体" w:eastAsia="宋体" w:cs="宋体"/>
          <w:sz w:val="24"/>
          <w:szCs w:val="24"/>
        </w:rPr>
      </w:pPr>
      <w:r>
        <w:rPr>
          <w:rFonts w:ascii="宋体" w:hAnsi="宋体" w:eastAsia="宋体" w:cs="宋体"/>
          <w:spacing w:val="-1"/>
          <w:sz w:val="24"/>
          <w:szCs w:val="24"/>
        </w:rPr>
        <w:t>木乍箐引洪区引洪设计流量</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0.8m</w:t>
      </w:r>
      <w:r>
        <w:rPr>
          <w:rFonts w:ascii="宋体" w:hAnsi="宋体" w:eastAsia="宋体" w:cs="宋体"/>
          <w:spacing w:val="-1"/>
          <w:sz w:val="24"/>
          <w:szCs w:val="24"/>
        </w:rPr>
        <w:t>³</w:t>
      </w:r>
      <w:r>
        <w:rPr>
          <w:rFonts w:ascii="Times New Roman" w:hAnsi="Times New Roman" w:eastAsia="Times New Roman" w:cs="Times New Roman"/>
          <w:spacing w:val="-1"/>
          <w:sz w:val="24"/>
          <w:szCs w:val="24"/>
        </w:rPr>
        <w:t>/s</w:t>
      </w:r>
      <w:r>
        <w:rPr>
          <w:rFonts w:ascii="宋体" w:hAnsi="宋体" w:eastAsia="宋体" w:cs="宋体"/>
          <w:spacing w:val="-1"/>
          <w:sz w:val="24"/>
          <w:szCs w:val="24"/>
        </w:rPr>
        <w:t>，见簸箐引</w:t>
      </w:r>
      <w:r>
        <w:rPr>
          <w:rFonts w:ascii="宋体" w:hAnsi="宋体" w:eastAsia="宋体" w:cs="宋体"/>
          <w:spacing w:val="-2"/>
          <w:sz w:val="24"/>
          <w:szCs w:val="24"/>
        </w:rPr>
        <w:t>洪区引洪设计流量</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1.7m</w:t>
      </w:r>
      <w:r>
        <w:rPr>
          <w:rFonts w:ascii="宋体" w:hAnsi="宋体" w:eastAsia="宋体" w:cs="宋体"/>
          <w:spacing w:val="-2"/>
          <w:sz w:val="24"/>
          <w:szCs w:val="24"/>
        </w:rPr>
        <w:t>³</w:t>
      </w:r>
      <w:r>
        <w:rPr>
          <w:rFonts w:ascii="Times New Roman" w:hAnsi="Times New Roman" w:eastAsia="Times New Roman" w:cs="Times New Roman"/>
          <w:spacing w:val="-2"/>
          <w:sz w:val="24"/>
          <w:szCs w:val="24"/>
        </w:rPr>
        <w:t>/s</w:t>
      </w:r>
      <w:r>
        <w:rPr>
          <w:rFonts w:ascii="宋体" w:hAnsi="宋体" w:eastAsia="宋体" w:cs="宋体"/>
          <w:spacing w:val="-2"/>
          <w:sz w:val="24"/>
          <w:szCs w:val="24"/>
        </w:rPr>
        <w:t>。</w:t>
      </w:r>
    </w:p>
    <w:p>
      <w:pPr>
        <w:spacing w:before="163" w:line="359" w:lineRule="auto"/>
        <w:ind w:left="38" w:right="96" w:firstLine="491"/>
        <w:rPr>
          <w:rFonts w:ascii="宋体" w:hAnsi="宋体" w:eastAsia="宋体" w:cs="宋体"/>
          <w:sz w:val="24"/>
          <w:szCs w:val="24"/>
        </w:rPr>
      </w:pPr>
      <w:r>
        <w:rPr>
          <w:rFonts w:ascii="宋体" w:hAnsi="宋体" w:eastAsia="宋体" w:cs="宋体"/>
          <w:spacing w:val="-3"/>
          <w:sz w:val="24"/>
          <w:szCs w:val="24"/>
        </w:rPr>
        <w:t>暗渠过水断面分别为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w:t>
      </w:r>
      <w:r>
        <w:rPr>
          <w:rFonts w:ascii="宋体" w:hAnsi="宋体" w:eastAsia="宋体" w:cs="宋体"/>
          <w:spacing w:val="-3"/>
          <w:sz w:val="24"/>
          <w:szCs w:val="24"/>
        </w:rPr>
        <w:t>×</w:t>
      </w:r>
      <w:r>
        <w:rPr>
          <w:rFonts w:ascii="Times New Roman" w:hAnsi="Times New Roman" w:eastAsia="Times New Roman" w:cs="Times New Roman"/>
          <w:spacing w:val="-3"/>
          <w:sz w:val="24"/>
          <w:szCs w:val="24"/>
        </w:rPr>
        <w:t>1.1m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r>
        <w:rPr>
          <w:rFonts w:ascii="Times New Roman" w:hAnsi="Times New Roman" w:eastAsia="Times New Roman" w:cs="Times New Roman"/>
          <w:spacing w:val="-3"/>
          <w:sz w:val="24"/>
          <w:szCs w:val="24"/>
        </w:rPr>
        <w:t>1.1m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r>
        <w:rPr>
          <w:rFonts w:ascii="Times New Roman" w:hAnsi="Times New Roman" w:eastAsia="Times New Roman" w:cs="Times New Roman"/>
          <w:spacing w:val="-3"/>
          <w:sz w:val="24"/>
          <w:szCs w:val="24"/>
        </w:rPr>
        <w:t>1.1m</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1.6</w:t>
      </w:r>
      <w:r>
        <w:rPr>
          <w:rFonts w:ascii="宋体" w:hAnsi="宋体" w:eastAsia="宋体" w:cs="宋体"/>
          <w:spacing w:val="-3"/>
          <w:sz w:val="24"/>
          <w:szCs w:val="24"/>
        </w:rPr>
        <w:t>×</w:t>
      </w:r>
      <w:r>
        <w:rPr>
          <w:rFonts w:ascii="Times New Roman" w:hAnsi="Times New Roman" w:eastAsia="Times New Roman" w:cs="Times New Roman"/>
          <w:spacing w:val="-3"/>
          <w:sz w:val="24"/>
          <w:szCs w:val="24"/>
        </w:rPr>
        <w:t>1.1m</w:t>
      </w:r>
      <w:r>
        <w:rPr>
          <w:rFonts w:ascii="宋体" w:hAnsi="宋体" w:eastAsia="宋体" w:cs="宋体"/>
          <w:spacing w:val="-3"/>
          <w:sz w:val="24"/>
          <w:szCs w:val="24"/>
        </w:rPr>
        <w:t>，边墙、底板</w:t>
      </w:r>
      <w:r>
        <w:rPr>
          <w:rFonts w:ascii="宋体" w:hAnsi="宋体" w:eastAsia="宋体" w:cs="宋体"/>
          <w:sz w:val="24"/>
          <w:szCs w:val="24"/>
        </w:rPr>
        <w:t xml:space="preserve"> </w:t>
      </w:r>
      <w:r>
        <w:rPr>
          <w:rFonts w:ascii="宋体" w:hAnsi="宋体" w:eastAsia="宋体" w:cs="宋体"/>
          <w:spacing w:val="-7"/>
          <w:sz w:val="24"/>
          <w:szCs w:val="24"/>
        </w:rPr>
        <w:t>采用</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 xml:space="preserve">C20 </w:t>
      </w:r>
      <w:r>
        <w:rPr>
          <w:rFonts w:ascii="宋体" w:hAnsi="宋体" w:eastAsia="宋体" w:cs="宋体"/>
          <w:spacing w:val="-7"/>
          <w:sz w:val="24"/>
          <w:szCs w:val="24"/>
        </w:rPr>
        <w:t>混凝土衬砌， 顶板采用</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 xml:space="preserve">C25 </w:t>
      </w:r>
      <w:r>
        <w:rPr>
          <w:rFonts w:ascii="宋体" w:hAnsi="宋体" w:eastAsia="宋体" w:cs="宋体"/>
          <w:spacing w:val="-7"/>
          <w:sz w:val="24"/>
          <w:szCs w:val="24"/>
        </w:rPr>
        <w:t>钢筋混凝土盖板。分</w:t>
      </w:r>
      <w:r>
        <w:rPr>
          <w:rFonts w:ascii="宋体" w:hAnsi="宋体" w:eastAsia="宋体" w:cs="宋体"/>
          <w:spacing w:val="-8"/>
          <w:sz w:val="24"/>
          <w:szCs w:val="24"/>
        </w:rPr>
        <w:t>别在输水工程里程</w:t>
      </w:r>
      <w:r>
        <w:rPr>
          <w:rFonts w:ascii="宋体" w:hAnsi="宋体" w:eastAsia="宋体" w:cs="宋体"/>
          <w:spacing w:val="-56"/>
          <w:sz w:val="24"/>
          <w:szCs w:val="24"/>
        </w:rPr>
        <w:t xml:space="preserve"> </w:t>
      </w:r>
      <w:r>
        <w:rPr>
          <w:rFonts w:ascii="Times New Roman" w:hAnsi="Times New Roman" w:eastAsia="Times New Roman" w:cs="Times New Roman"/>
          <w:spacing w:val="-8"/>
          <w:sz w:val="24"/>
          <w:szCs w:val="24"/>
        </w:rPr>
        <w:t>4+754m</w:t>
      </w:r>
      <w:r>
        <w:rPr>
          <w:rFonts w:ascii="宋体" w:hAnsi="宋体" w:eastAsia="宋体" w:cs="宋体"/>
          <w:spacing w:val="-8"/>
          <w:sz w:val="24"/>
          <w:szCs w:val="24"/>
        </w:rPr>
        <w:t>、</w:t>
      </w:r>
    </w:p>
    <w:p>
      <w:pPr>
        <w:spacing w:before="1" w:line="219" w:lineRule="auto"/>
        <w:ind w:left="58"/>
        <w:rPr>
          <w:rFonts w:ascii="宋体" w:hAnsi="宋体" w:eastAsia="宋体" w:cs="宋体"/>
          <w:sz w:val="24"/>
          <w:szCs w:val="24"/>
        </w:rPr>
      </w:pPr>
      <w:r>
        <w:rPr>
          <w:rFonts w:ascii="Times New Roman" w:hAnsi="Times New Roman" w:eastAsia="Times New Roman" w:cs="Times New Roman"/>
          <w:spacing w:val="-4"/>
          <w:sz w:val="24"/>
          <w:szCs w:val="24"/>
        </w:rPr>
        <w:t>12+319m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13+624m</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15+355m</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处汇入输</w:t>
      </w:r>
      <w:r>
        <w:rPr>
          <w:rFonts w:ascii="宋体" w:hAnsi="宋体" w:eastAsia="宋体" w:cs="宋体"/>
          <w:spacing w:val="-5"/>
          <w:sz w:val="24"/>
          <w:szCs w:val="24"/>
        </w:rPr>
        <w:t>水工程。</w:t>
      </w:r>
    </w:p>
    <w:p>
      <w:pPr>
        <w:spacing w:before="180" w:line="220" w:lineRule="auto"/>
        <w:ind w:left="52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）输水工程</w:t>
      </w:r>
    </w:p>
    <w:p>
      <w:pPr>
        <w:spacing w:before="182" w:line="359" w:lineRule="auto"/>
        <w:ind w:left="42" w:right="85" w:firstLine="476"/>
        <w:rPr>
          <w:rFonts w:ascii="宋体" w:hAnsi="宋体" w:eastAsia="宋体" w:cs="宋体"/>
          <w:sz w:val="24"/>
          <w:szCs w:val="24"/>
        </w:rPr>
      </w:pPr>
      <w:r>
        <w:rPr>
          <w:rFonts w:ascii="宋体" w:hAnsi="宋体" w:eastAsia="宋体" w:cs="宋体"/>
          <w:spacing w:val="-8"/>
          <w:sz w:val="24"/>
          <w:szCs w:val="24"/>
        </w:rPr>
        <w:t>输水工程从导流输水放空隧洞出口取水后， 途经皮左黑河、么他苴、马茨河、六姑</w:t>
      </w:r>
      <w:r>
        <w:rPr>
          <w:rFonts w:ascii="宋体" w:hAnsi="宋体" w:eastAsia="宋体" w:cs="宋体"/>
          <w:spacing w:val="4"/>
          <w:sz w:val="24"/>
          <w:szCs w:val="24"/>
        </w:rPr>
        <w:t xml:space="preserve"> </w:t>
      </w:r>
      <w:r>
        <w:rPr>
          <w:rFonts w:ascii="宋体" w:hAnsi="宋体" w:eastAsia="宋体" w:cs="宋体"/>
          <w:spacing w:val="-8"/>
          <w:sz w:val="24"/>
          <w:szCs w:val="24"/>
        </w:rPr>
        <w:t>乍箐、昔木乍箐、见簸箐、独格里排、木卡拉</w:t>
      </w:r>
      <w:r>
        <w:rPr>
          <w:rFonts w:ascii="宋体" w:hAnsi="宋体" w:eastAsia="宋体" w:cs="宋体"/>
          <w:spacing w:val="-9"/>
          <w:sz w:val="24"/>
          <w:szCs w:val="24"/>
        </w:rPr>
        <w:t>河、海古簸、窝铺山、石房河、</w:t>
      </w:r>
      <w:r>
        <w:rPr>
          <w:rFonts w:ascii="宋体" w:hAnsi="宋体" w:eastAsia="宋体" w:cs="宋体"/>
          <w:spacing w:val="26"/>
          <w:sz w:val="24"/>
          <w:szCs w:val="24"/>
        </w:rPr>
        <w:t xml:space="preserve"> </w:t>
      </w:r>
      <w:r>
        <w:rPr>
          <w:rFonts w:ascii="宋体" w:hAnsi="宋体" w:eastAsia="宋体" w:cs="宋体"/>
          <w:spacing w:val="-9"/>
          <w:sz w:val="24"/>
          <w:szCs w:val="24"/>
        </w:rPr>
        <w:t>杨家山至</w:t>
      </w:r>
      <w:r>
        <w:rPr>
          <w:rFonts w:ascii="宋体" w:hAnsi="宋体" w:eastAsia="宋体" w:cs="宋体"/>
          <w:sz w:val="24"/>
          <w:szCs w:val="24"/>
        </w:rPr>
        <w:t xml:space="preserve"> </w:t>
      </w:r>
      <w:r>
        <w:rPr>
          <w:rFonts w:ascii="宋体" w:hAnsi="宋体" w:eastAsia="宋体" w:cs="宋体"/>
          <w:spacing w:val="-4"/>
          <w:sz w:val="24"/>
          <w:szCs w:val="24"/>
        </w:rPr>
        <w:t>碧么水库。输水线路全长</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26.944km</w:t>
      </w:r>
      <w:r>
        <w:rPr>
          <w:rFonts w:ascii="宋体" w:hAnsi="宋体" w:eastAsia="宋体" w:cs="宋体"/>
          <w:spacing w:val="-4"/>
          <w:sz w:val="24"/>
          <w:szCs w:val="24"/>
        </w:rPr>
        <w:t>，其</w:t>
      </w:r>
      <w:r>
        <w:rPr>
          <w:rFonts w:ascii="宋体" w:hAnsi="宋体" w:eastAsia="宋体" w:cs="宋体"/>
          <w:spacing w:val="-5"/>
          <w:sz w:val="24"/>
          <w:szCs w:val="24"/>
        </w:rPr>
        <w:t>中管道</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条长</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1.435km</w:t>
      </w:r>
      <w:r>
        <w:rPr>
          <w:rFonts w:ascii="宋体" w:hAnsi="宋体" w:eastAsia="宋体" w:cs="宋体"/>
          <w:spacing w:val="-5"/>
          <w:sz w:val="24"/>
          <w:szCs w:val="24"/>
        </w:rPr>
        <w:t>，渠道总长</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8.975km</w:t>
      </w:r>
      <w:r>
        <w:rPr>
          <w:rFonts w:ascii="宋体" w:hAnsi="宋体" w:eastAsia="宋体" w:cs="宋体"/>
          <w:spacing w:val="-5"/>
          <w:sz w:val="24"/>
          <w:szCs w:val="24"/>
        </w:rPr>
        <w:t>（暗</w:t>
      </w:r>
    </w:p>
    <w:p>
      <w:pPr>
        <w:spacing w:before="1" w:line="219" w:lineRule="auto"/>
        <w:ind w:left="40"/>
        <w:rPr>
          <w:rFonts w:ascii="宋体" w:hAnsi="宋体" w:eastAsia="宋体" w:cs="宋体"/>
          <w:sz w:val="24"/>
          <w:szCs w:val="24"/>
        </w:rPr>
      </w:pPr>
      <w:r>
        <w:rPr>
          <w:rFonts w:ascii="宋体" w:hAnsi="宋体" w:eastAsia="宋体" w:cs="宋体"/>
          <w:spacing w:val="-4"/>
          <w:sz w:val="24"/>
          <w:szCs w:val="24"/>
        </w:rPr>
        <w:t>渠</w:t>
      </w:r>
      <w:r>
        <w:rPr>
          <w:rFonts w:ascii="宋体" w:hAnsi="宋体" w:eastAsia="宋体" w:cs="宋体"/>
          <w:spacing w:val="-37"/>
          <w:sz w:val="24"/>
          <w:szCs w:val="24"/>
        </w:rPr>
        <w:t>），</w:t>
      </w:r>
      <w:r>
        <w:rPr>
          <w:rFonts w:ascii="宋体" w:hAnsi="宋体" w:eastAsia="宋体" w:cs="宋体"/>
          <w:spacing w:val="-4"/>
          <w:sz w:val="24"/>
          <w:szCs w:val="24"/>
        </w:rPr>
        <w:t>隧洞</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条长</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15.084km</w:t>
      </w:r>
      <w:r>
        <w:rPr>
          <w:rFonts w:ascii="宋体" w:hAnsi="宋体" w:eastAsia="宋体" w:cs="宋体"/>
          <w:spacing w:val="-4"/>
          <w:sz w:val="24"/>
          <w:szCs w:val="24"/>
        </w:rPr>
        <w:t>，倒虹吸</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8 </w:t>
      </w:r>
      <w:r>
        <w:rPr>
          <w:rFonts w:ascii="宋体" w:hAnsi="宋体" w:eastAsia="宋体" w:cs="宋体"/>
          <w:spacing w:val="-4"/>
          <w:sz w:val="24"/>
          <w:szCs w:val="24"/>
        </w:rPr>
        <w:t>座总长</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1.382km</w:t>
      </w:r>
      <w:r>
        <w:rPr>
          <w:rFonts w:ascii="宋体" w:hAnsi="宋体" w:eastAsia="宋体" w:cs="宋体"/>
          <w:spacing w:val="-5"/>
          <w:sz w:val="24"/>
          <w:szCs w:val="24"/>
        </w:rPr>
        <w:t>，渡槽</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座总长</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68m</w:t>
      </w:r>
      <w:r>
        <w:rPr>
          <w:rFonts w:ascii="宋体" w:hAnsi="宋体" w:eastAsia="宋体" w:cs="宋体"/>
          <w:spacing w:val="-5"/>
          <w:sz w:val="24"/>
          <w:szCs w:val="24"/>
        </w:rPr>
        <w:t>。</w:t>
      </w:r>
    </w:p>
    <w:p>
      <w:pPr>
        <w:spacing w:before="182" w:line="217" w:lineRule="auto"/>
        <w:ind w:left="518"/>
        <w:rPr>
          <w:rFonts w:ascii="宋体" w:hAnsi="宋体" w:eastAsia="宋体" w:cs="宋体"/>
          <w:sz w:val="24"/>
          <w:szCs w:val="24"/>
        </w:rPr>
      </w:pPr>
      <w:r>
        <w:rPr>
          <w:rFonts w:ascii="宋体" w:hAnsi="宋体" w:eastAsia="宋体" w:cs="宋体"/>
          <w:spacing w:val="-3"/>
          <w:sz w:val="24"/>
          <w:szCs w:val="24"/>
        </w:rPr>
        <w:t>①管道</w:t>
      </w:r>
    </w:p>
    <w:p>
      <w:pPr>
        <w:spacing w:before="184" w:line="468" w:lineRule="exact"/>
        <w:ind w:left="524"/>
        <w:rPr>
          <w:rFonts w:ascii="宋体" w:hAnsi="宋体" w:eastAsia="宋体" w:cs="宋体"/>
          <w:sz w:val="24"/>
          <w:szCs w:val="24"/>
        </w:rPr>
      </w:pPr>
      <w:r>
        <w:rPr>
          <w:rFonts w:ascii="宋体" w:hAnsi="宋体" w:eastAsia="宋体" w:cs="宋体"/>
          <w:spacing w:val="-13"/>
          <w:position w:val="16"/>
          <w:sz w:val="24"/>
          <w:szCs w:val="24"/>
        </w:rPr>
        <w:t>管道为有压管道， 设计流量为</w:t>
      </w:r>
      <w:r>
        <w:rPr>
          <w:rFonts w:ascii="宋体" w:hAnsi="宋体" w:eastAsia="宋体" w:cs="宋体"/>
          <w:spacing w:val="-29"/>
          <w:position w:val="16"/>
          <w:sz w:val="24"/>
          <w:szCs w:val="24"/>
        </w:rPr>
        <w:t xml:space="preserve"> </w:t>
      </w:r>
      <w:r>
        <w:rPr>
          <w:rFonts w:ascii="Times New Roman" w:hAnsi="Times New Roman" w:eastAsia="Times New Roman" w:cs="Times New Roman"/>
          <w:spacing w:val="-13"/>
          <w:position w:val="16"/>
          <w:sz w:val="24"/>
          <w:szCs w:val="24"/>
        </w:rPr>
        <w:t>1.2m</w:t>
      </w:r>
      <w:r>
        <w:rPr>
          <w:rFonts w:ascii="宋体" w:hAnsi="宋体" w:eastAsia="宋体" w:cs="宋体"/>
          <w:spacing w:val="-13"/>
          <w:position w:val="16"/>
          <w:sz w:val="24"/>
          <w:szCs w:val="24"/>
        </w:rPr>
        <w:t>³</w:t>
      </w:r>
      <w:r>
        <w:rPr>
          <w:rFonts w:ascii="Times New Roman" w:hAnsi="Times New Roman" w:eastAsia="Times New Roman" w:cs="Times New Roman"/>
          <w:spacing w:val="-13"/>
          <w:position w:val="16"/>
          <w:sz w:val="24"/>
          <w:szCs w:val="24"/>
        </w:rPr>
        <w:t>/s</w:t>
      </w:r>
      <w:r>
        <w:rPr>
          <w:rFonts w:ascii="宋体" w:hAnsi="宋体" w:eastAsia="宋体" w:cs="宋体"/>
          <w:spacing w:val="-13"/>
          <w:position w:val="16"/>
          <w:sz w:val="24"/>
          <w:szCs w:val="24"/>
        </w:rPr>
        <w:t>，管材采用螺旋钢管， 管径为</w:t>
      </w:r>
      <w:r>
        <w:rPr>
          <w:rFonts w:ascii="宋体" w:hAnsi="宋体" w:eastAsia="宋体" w:cs="宋体"/>
          <w:spacing w:val="-33"/>
          <w:position w:val="16"/>
          <w:sz w:val="24"/>
          <w:szCs w:val="24"/>
        </w:rPr>
        <w:t xml:space="preserve"> </w:t>
      </w:r>
      <w:r>
        <w:rPr>
          <w:rFonts w:ascii="Times New Roman" w:hAnsi="Times New Roman" w:eastAsia="Times New Roman" w:cs="Times New Roman"/>
          <w:spacing w:val="-13"/>
          <w:position w:val="16"/>
          <w:sz w:val="24"/>
          <w:szCs w:val="24"/>
        </w:rPr>
        <w:t>1000mm</w:t>
      </w:r>
      <w:r>
        <w:rPr>
          <w:rFonts w:ascii="宋体" w:hAnsi="宋体" w:eastAsia="宋体" w:cs="宋体"/>
          <w:spacing w:val="-13"/>
          <w:position w:val="16"/>
          <w:sz w:val="24"/>
          <w:szCs w:val="24"/>
        </w:rPr>
        <w:t>。镇、</w:t>
      </w:r>
    </w:p>
    <w:p>
      <w:pPr>
        <w:spacing w:before="1" w:line="218" w:lineRule="auto"/>
        <w:ind w:left="40"/>
        <w:rPr>
          <w:rFonts w:ascii="宋体" w:hAnsi="宋体" w:eastAsia="宋体" w:cs="宋体"/>
          <w:sz w:val="24"/>
          <w:szCs w:val="24"/>
        </w:rPr>
      </w:pPr>
      <w:r>
        <w:rPr>
          <w:rFonts w:ascii="宋体" w:hAnsi="宋体" w:eastAsia="宋体" w:cs="宋体"/>
          <w:spacing w:val="-4"/>
          <w:sz w:val="24"/>
          <w:szCs w:val="24"/>
        </w:rPr>
        <w:t>支墩采用</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 xml:space="preserve">C25 </w:t>
      </w:r>
      <w:r>
        <w:rPr>
          <w:rFonts w:ascii="宋体" w:hAnsi="宋体" w:eastAsia="宋体" w:cs="宋体"/>
          <w:spacing w:val="-4"/>
          <w:sz w:val="24"/>
          <w:szCs w:val="24"/>
        </w:rPr>
        <w:t>钢筋混凝土衬砌。</w:t>
      </w:r>
    </w:p>
    <w:p>
      <w:pPr>
        <w:spacing w:before="183" w:line="217" w:lineRule="auto"/>
        <w:ind w:left="517"/>
        <w:rPr>
          <w:rFonts w:ascii="宋体" w:hAnsi="宋体" w:eastAsia="宋体" w:cs="宋体"/>
          <w:sz w:val="24"/>
          <w:szCs w:val="24"/>
        </w:rPr>
      </w:pPr>
      <w:r>
        <w:rPr>
          <w:rFonts w:ascii="宋体" w:hAnsi="宋体" w:eastAsia="宋体" w:cs="宋体"/>
          <w:spacing w:val="-3"/>
          <w:sz w:val="24"/>
          <w:szCs w:val="24"/>
        </w:rPr>
        <w:t>②渠道（暗渠）</w:t>
      </w:r>
    </w:p>
    <w:p>
      <w:pPr>
        <w:spacing w:before="185" w:line="359" w:lineRule="auto"/>
        <w:ind w:left="58" w:right="84" w:firstLine="465"/>
        <w:rPr>
          <w:rFonts w:ascii="宋体" w:hAnsi="宋体" w:eastAsia="宋体" w:cs="宋体"/>
          <w:sz w:val="24"/>
          <w:szCs w:val="24"/>
        </w:rPr>
      </w:pPr>
      <w:r>
        <w:rPr>
          <w:rFonts w:ascii="宋体" w:hAnsi="宋体" w:eastAsia="宋体" w:cs="宋体"/>
          <w:spacing w:val="-4"/>
          <w:sz w:val="24"/>
          <w:szCs w:val="24"/>
        </w:rPr>
        <w:t>设计流量</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1.2</w:t>
      </w:r>
      <w:r>
        <w:rPr>
          <w:rFonts w:ascii="宋体" w:hAnsi="宋体" w:eastAsia="宋体" w:cs="宋体"/>
          <w:spacing w:val="-4"/>
          <w:sz w:val="24"/>
          <w:szCs w:val="24"/>
        </w:rPr>
        <w:t>～</w:t>
      </w:r>
      <w:r>
        <w:rPr>
          <w:rFonts w:ascii="Times New Roman" w:hAnsi="Times New Roman" w:eastAsia="Times New Roman" w:cs="Times New Roman"/>
          <w:spacing w:val="-4"/>
          <w:sz w:val="24"/>
          <w:szCs w:val="24"/>
        </w:rPr>
        <w:t>5.32m</w:t>
      </w:r>
      <w:r>
        <w:rPr>
          <w:rFonts w:ascii="宋体" w:hAnsi="宋体" w:eastAsia="宋体" w:cs="宋体"/>
          <w:spacing w:val="-4"/>
          <w:sz w:val="24"/>
          <w:szCs w:val="24"/>
        </w:rPr>
        <w:t>³</w:t>
      </w:r>
      <w:r>
        <w:rPr>
          <w:rFonts w:ascii="Times New Roman" w:hAnsi="Times New Roman" w:eastAsia="Times New Roman" w:cs="Times New Roman"/>
          <w:spacing w:val="-4"/>
          <w:sz w:val="24"/>
          <w:szCs w:val="24"/>
        </w:rPr>
        <w:t>/s</w:t>
      </w:r>
      <w:r>
        <w:rPr>
          <w:rFonts w:ascii="宋体" w:hAnsi="宋体" w:eastAsia="宋体" w:cs="宋体"/>
          <w:spacing w:val="-4"/>
          <w:sz w:val="24"/>
          <w:szCs w:val="24"/>
        </w:rPr>
        <w:t>，设计底坡</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1/1000</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1/5</w:t>
      </w:r>
      <w:r>
        <w:rPr>
          <w:rFonts w:ascii="Times New Roman" w:hAnsi="Times New Roman" w:eastAsia="Times New Roman" w:cs="Times New Roman"/>
          <w:spacing w:val="-5"/>
          <w:sz w:val="24"/>
          <w:szCs w:val="24"/>
        </w:rPr>
        <w:t>00</w:t>
      </w:r>
      <w:r>
        <w:rPr>
          <w:rFonts w:ascii="宋体" w:hAnsi="宋体" w:eastAsia="宋体" w:cs="宋体"/>
          <w:spacing w:val="-5"/>
          <w:sz w:val="24"/>
          <w:szCs w:val="24"/>
        </w:rPr>
        <w:t>，过水断面为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1.5</w:t>
      </w:r>
      <w:r>
        <w:rPr>
          <w:rFonts w:ascii="宋体" w:hAnsi="宋体" w:eastAsia="宋体" w:cs="宋体"/>
          <w:spacing w:val="-5"/>
          <w:sz w:val="24"/>
          <w:szCs w:val="24"/>
        </w:rPr>
        <w:t>×</w:t>
      </w:r>
      <w:r>
        <w:rPr>
          <w:rFonts w:ascii="Times New Roman" w:hAnsi="Times New Roman" w:eastAsia="Times New Roman" w:cs="Times New Roman"/>
          <w:spacing w:val="-5"/>
          <w:sz w:val="24"/>
          <w:szCs w:val="24"/>
        </w:rPr>
        <w:t>1.15m</w:t>
      </w:r>
      <w:r>
        <w:rPr>
          <w:rFonts w:ascii="宋体" w:hAnsi="宋体" w:eastAsia="宋体" w:cs="宋体"/>
          <w:spacing w:val="-5"/>
          <w:sz w:val="24"/>
          <w:szCs w:val="24"/>
        </w:rPr>
        <w:t>、</w:t>
      </w:r>
      <w:r>
        <w:rPr>
          <w:rFonts w:ascii="Times New Roman" w:hAnsi="Times New Roman" w:eastAsia="Times New Roman" w:cs="Times New Roman"/>
          <w:spacing w:val="-5"/>
          <w:sz w:val="24"/>
          <w:szCs w:val="24"/>
        </w:rPr>
        <w:t>2.0</w:t>
      </w:r>
      <w:r>
        <w:rPr>
          <w:rFonts w:ascii="宋体" w:hAnsi="宋体" w:eastAsia="宋体" w:cs="宋体"/>
          <w:spacing w:val="-5"/>
          <w:sz w:val="24"/>
          <w:szCs w:val="24"/>
        </w:rPr>
        <w:t>×</w:t>
      </w:r>
      <w:r>
        <w:rPr>
          <w:rFonts w:ascii="宋体" w:hAnsi="宋体" w:eastAsia="宋体" w:cs="宋体"/>
          <w:sz w:val="24"/>
          <w:szCs w:val="24"/>
        </w:rPr>
        <w:t xml:space="preserve"> </w:t>
      </w:r>
      <w:r>
        <w:rPr>
          <w:rFonts w:ascii="Times New Roman" w:hAnsi="Times New Roman" w:eastAsia="Times New Roman" w:cs="Times New Roman"/>
          <w:spacing w:val="-6"/>
          <w:sz w:val="24"/>
          <w:szCs w:val="24"/>
        </w:rPr>
        <w:t>1.4m</w:t>
      </w:r>
      <w:r>
        <w:rPr>
          <w:rFonts w:ascii="宋体" w:hAnsi="宋体" w:eastAsia="宋体" w:cs="宋体"/>
          <w:spacing w:val="-6"/>
          <w:sz w:val="24"/>
          <w:szCs w:val="24"/>
        </w:rPr>
        <w:t>、</w:t>
      </w:r>
      <w:r>
        <w:rPr>
          <w:rFonts w:ascii="Times New Roman" w:hAnsi="Times New Roman" w:eastAsia="Times New Roman" w:cs="Times New Roman"/>
          <w:spacing w:val="-6"/>
          <w:sz w:val="24"/>
          <w:szCs w:val="24"/>
        </w:rPr>
        <w:t>2.2</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1.6m </w:t>
      </w:r>
      <w:r>
        <w:rPr>
          <w:rFonts w:ascii="宋体" w:hAnsi="宋体" w:eastAsia="宋体" w:cs="宋体"/>
          <w:spacing w:val="-6"/>
          <w:sz w:val="24"/>
          <w:szCs w:val="24"/>
        </w:rPr>
        <w:t>矩形，</w:t>
      </w:r>
      <w:r>
        <w:rPr>
          <w:rFonts w:ascii="宋体" w:hAnsi="宋体" w:eastAsia="宋体" w:cs="宋体"/>
          <w:spacing w:val="-15"/>
          <w:sz w:val="24"/>
          <w:szCs w:val="24"/>
        </w:rPr>
        <w:t xml:space="preserve"> </w:t>
      </w:r>
      <w:r>
        <w:rPr>
          <w:rFonts w:ascii="宋体" w:hAnsi="宋体" w:eastAsia="宋体" w:cs="宋体"/>
          <w:spacing w:val="-6"/>
          <w:sz w:val="24"/>
          <w:szCs w:val="24"/>
        </w:rPr>
        <w:t>边墙、底板采用</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 xml:space="preserve">C20 </w:t>
      </w:r>
      <w:r>
        <w:rPr>
          <w:rFonts w:ascii="宋体" w:hAnsi="宋体" w:eastAsia="宋体" w:cs="宋体"/>
          <w:spacing w:val="-6"/>
          <w:sz w:val="24"/>
          <w:szCs w:val="24"/>
        </w:rPr>
        <w:t>混凝土衬砌，顶板采用</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 xml:space="preserve">C25 </w:t>
      </w:r>
      <w:r>
        <w:rPr>
          <w:rFonts w:ascii="宋体" w:hAnsi="宋体" w:eastAsia="宋体" w:cs="宋体"/>
          <w:spacing w:val="-6"/>
          <w:sz w:val="24"/>
          <w:szCs w:val="24"/>
        </w:rPr>
        <w:t>钢筋混凝土盖</w:t>
      </w:r>
    </w:p>
    <w:p>
      <w:pPr>
        <w:spacing w:before="1" w:line="218" w:lineRule="auto"/>
        <w:ind w:left="40"/>
        <w:rPr>
          <w:rFonts w:ascii="宋体" w:hAnsi="宋体" w:eastAsia="宋体" w:cs="宋体"/>
          <w:sz w:val="24"/>
          <w:szCs w:val="24"/>
        </w:rPr>
      </w:pPr>
      <w:r>
        <w:rPr>
          <w:rFonts w:ascii="宋体" w:hAnsi="宋体" w:eastAsia="宋体" w:cs="宋体"/>
          <w:spacing w:val="-12"/>
          <w:sz w:val="24"/>
          <w:szCs w:val="24"/>
        </w:rPr>
        <w:t>板。</w:t>
      </w:r>
    </w:p>
    <w:p>
      <w:pPr>
        <w:spacing w:before="183" w:line="217" w:lineRule="auto"/>
        <w:ind w:left="517"/>
        <w:rPr>
          <w:rFonts w:ascii="宋体" w:hAnsi="宋体" w:eastAsia="宋体" w:cs="宋体"/>
          <w:sz w:val="24"/>
          <w:szCs w:val="24"/>
        </w:rPr>
      </w:pPr>
      <w:r>
        <w:rPr>
          <w:rFonts w:ascii="宋体" w:hAnsi="宋体" w:eastAsia="宋体" w:cs="宋体"/>
          <w:spacing w:val="-2"/>
          <w:sz w:val="24"/>
          <w:szCs w:val="24"/>
        </w:rPr>
        <w:t>③隧洞（</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条）</w:t>
      </w:r>
    </w:p>
    <w:p>
      <w:pPr>
        <w:spacing w:before="184" w:line="359" w:lineRule="auto"/>
        <w:ind w:left="38" w:right="85" w:firstLine="499"/>
        <w:rPr>
          <w:rFonts w:ascii="宋体" w:hAnsi="宋体" w:eastAsia="宋体" w:cs="宋体"/>
          <w:sz w:val="24"/>
          <w:szCs w:val="24"/>
        </w:rPr>
      </w:pPr>
      <w:r>
        <w:rPr>
          <w:rFonts w:ascii="Times New Roman" w:hAnsi="Times New Roman" w:eastAsia="Times New Roman" w:cs="Times New Roman"/>
          <w:spacing w:val="-9"/>
          <w:sz w:val="24"/>
          <w:szCs w:val="24"/>
        </w:rPr>
        <w:t>1#</w:t>
      </w:r>
      <w:r>
        <w:rPr>
          <w:rFonts w:ascii="宋体" w:hAnsi="宋体" w:eastAsia="宋体" w:cs="宋体"/>
          <w:spacing w:val="-9"/>
          <w:sz w:val="24"/>
          <w:szCs w:val="24"/>
        </w:rPr>
        <w:t>么他苴隧洞（长</w:t>
      </w:r>
      <w:r>
        <w:rPr>
          <w:rFonts w:ascii="宋体" w:hAnsi="宋体" w:eastAsia="宋体" w:cs="宋体"/>
          <w:spacing w:val="-40"/>
          <w:sz w:val="24"/>
          <w:szCs w:val="24"/>
        </w:rPr>
        <w:t xml:space="preserve"> </w:t>
      </w:r>
      <w:r>
        <w:rPr>
          <w:rFonts w:ascii="Times New Roman" w:hAnsi="Times New Roman" w:eastAsia="Times New Roman" w:cs="Times New Roman"/>
          <w:spacing w:val="-9"/>
          <w:sz w:val="24"/>
          <w:szCs w:val="24"/>
        </w:rPr>
        <w:t>0.205km</w:t>
      </w:r>
      <w:r>
        <w:rPr>
          <w:rFonts w:ascii="宋体" w:hAnsi="宋体" w:eastAsia="宋体" w:cs="宋体"/>
          <w:spacing w:val="-9"/>
          <w:sz w:val="24"/>
          <w:szCs w:val="24"/>
        </w:rPr>
        <w:t>）、</w:t>
      </w:r>
      <w:r>
        <w:rPr>
          <w:rFonts w:ascii="Times New Roman" w:hAnsi="Times New Roman" w:eastAsia="Times New Roman" w:cs="Times New Roman"/>
          <w:spacing w:val="-9"/>
          <w:sz w:val="24"/>
          <w:szCs w:val="24"/>
        </w:rPr>
        <w:t>3#</w:t>
      </w:r>
      <w:r>
        <w:rPr>
          <w:rFonts w:ascii="宋体" w:hAnsi="宋体" w:eastAsia="宋体" w:cs="宋体"/>
          <w:spacing w:val="-9"/>
          <w:sz w:val="24"/>
          <w:szCs w:val="24"/>
        </w:rPr>
        <w:t xml:space="preserve">六姑乍箐隧洞（长 </w:t>
      </w:r>
      <w:r>
        <w:rPr>
          <w:rFonts w:ascii="Times New Roman" w:hAnsi="Times New Roman" w:eastAsia="Times New Roman" w:cs="Times New Roman"/>
          <w:spacing w:val="-9"/>
          <w:sz w:val="24"/>
          <w:szCs w:val="24"/>
        </w:rPr>
        <w:t>1.28km</w:t>
      </w:r>
      <w:r>
        <w:rPr>
          <w:rFonts w:ascii="宋体" w:hAnsi="宋体" w:eastAsia="宋体" w:cs="宋体"/>
          <w:spacing w:val="-9"/>
          <w:sz w:val="24"/>
          <w:szCs w:val="24"/>
        </w:rPr>
        <w:t>）隧洞断面为</w:t>
      </w:r>
      <w:r>
        <w:rPr>
          <w:rFonts w:ascii="宋体" w:hAnsi="宋体" w:eastAsia="宋体" w:cs="宋体"/>
          <w:spacing w:val="-31"/>
          <w:sz w:val="24"/>
          <w:szCs w:val="24"/>
        </w:rPr>
        <w:t xml:space="preserve"> </w:t>
      </w:r>
      <w:r>
        <w:rPr>
          <w:rFonts w:ascii="Times New Roman" w:hAnsi="Times New Roman" w:eastAsia="Times New Roman" w:cs="Times New Roman"/>
          <w:spacing w:val="-9"/>
          <w:sz w:val="24"/>
          <w:szCs w:val="24"/>
        </w:rPr>
        <w:t>1.5</w:t>
      </w:r>
      <w:r>
        <w:rPr>
          <w:rFonts w:ascii="宋体" w:hAnsi="宋体" w:eastAsia="宋体" w:cs="宋体"/>
          <w:spacing w:val="-9"/>
          <w:sz w:val="24"/>
          <w:szCs w:val="24"/>
        </w:rPr>
        <w:t>×</w:t>
      </w:r>
      <w:r>
        <w:rPr>
          <w:rFonts w:ascii="Times New Roman" w:hAnsi="Times New Roman" w:eastAsia="Times New Roman" w:cs="Times New Roman"/>
          <w:spacing w:val="-9"/>
          <w:sz w:val="24"/>
          <w:szCs w:val="24"/>
        </w:rPr>
        <w:t>1.8m</w:t>
      </w:r>
      <w:r>
        <w:rPr>
          <w:rFonts w:ascii="Times New Roman" w:hAnsi="Times New Roman" w:eastAsia="Times New Roman" w:cs="Times New Roman"/>
          <w:sz w:val="24"/>
          <w:szCs w:val="24"/>
        </w:rPr>
        <w:t xml:space="preserve"> </w:t>
      </w:r>
      <w:r>
        <w:rPr>
          <w:rFonts w:ascii="宋体" w:hAnsi="宋体" w:eastAsia="宋体" w:cs="宋体"/>
          <w:spacing w:val="-3"/>
          <w:sz w:val="24"/>
          <w:szCs w:val="24"/>
        </w:rPr>
        <w:t xml:space="preserve">城门洞形，设计底坡分别为 </w:t>
      </w:r>
      <w:r>
        <w:rPr>
          <w:rFonts w:ascii="Times New Roman" w:hAnsi="Times New Roman" w:eastAsia="Times New Roman" w:cs="Times New Roman"/>
          <w:spacing w:val="-3"/>
          <w:sz w:val="24"/>
          <w:szCs w:val="24"/>
        </w:rPr>
        <w:t>1/1000</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1/500</w:t>
      </w: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马茨河隧洞（长</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7.436km</w:t>
      </w:r>
      <w:r>
        <w:rPr>
          <w:rFonts w:ascii="宋体" w:hAnsi="宋体" w:eastAsia="宋体" w:cs="宋体"/>
          <w:spacing w:val="-3"/>
          <w:sz w:val="24"/>
          <w:szCs w:val="24"/>
        </w:rPr>
        <w:t>，设有</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条支</w:t>
      </w:r>
      <w:r>
        <w:rPr>
          <w:rFonts w:ascii="宋体" w:hAnsi="宋体" w:eastAsia="宋体" w:cs="宋体"/>
          <w:sz w:val="24"/>
          <w:szCs w:val="24"/>
        </w:rPr>
        <w:t xml:space="preserve"> </w:t>
      </w:r>
      <w:r>
        <w:rPr>
          <w:rFonts w:ascii="宋体" w:hAnsi="宋体" w:eastAsia="宋体" w:cs="宋体"/>
          <w:spacing w:val="-7"/>
          <w:sz w:val="24"/>
          <w:szCs w:val="24"/>
        </w:rPr>
        <w:t xml:space="preserve">洞长分别为 </w:t>
      </w:r>
      <w:r>
        <w:rPr>
          <w:rFonts w:ascii="Times New Roman" w:hAnsi="Times New Roman" w:eastAsia="Times New Roman" w:cs="Times New Roman"/>
          <w:spacing w:val="-7"/>
          <w:sz w:val="24"/>
          <w:szCs w:val="24"/>
        </w:rPr>
        <w:t>0.464km</w:t>
      </w:r>
      <w:r>
        <w:rPr>
          <w:rFonts w:ascii="Times New Roman" w:hAnsi="Times New Roman" w:eastAsia="Times New Roman" w:cs="Times New Roman"/>
          <w:spacing w:val="-19"/>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0.494km</w:t>
      </w: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 xml:space="preserve">独格里排隧洞（长 </w:t>
      </w:r>
      <w:r>
        <w:rPr>
          <w:rFonts w:ascii="Times New Roman" w:hAnsi="Times New Roman" w:eastAsia="Times New Roman" w:cs="Times New Roman"/>
          <w:spacing w:val="-7"/>
          <w:sz w:val="24"/>
          <w:szCs w:val="24"/>
        </w:rPr>
        <w:t>3.893km</w:t>
      </w:r>
      <w:r>
        <w:rPr>
          <w:rFonts w:ascii="宋体" w:hAnsi="宋体" w:eastAsia="宋体" w:cs="宋体"/>
          <w:spacing w:val="-7"/>
          <w:sz w:val="24"/>
          <w:szCs w:val="24"/>
        </w:rPr>
        <w:t>）、</w:t>
      </w:r>
      <w:r>
        <w:rPr>
          <w:rFonts w:ascii="Times New Roman" w:hAnsi="Times New Roman" w:eastAsia="Times New Roman" w:cs="Times New Roman"/>
          <w:spacing w:val="-7"/>
          <w:sz w:val="24"/>
          <w:szCs w:val="24"/>
        </w:rPr>
        <w:t>5#</w:t>
      </w:r>
      <w:r>
        <w:rPr>
          <w:rFonts w:ascii="宋体" w:hAnsi="宋体" w:eastAsia="宋体" w:cs="宋体"/>
          <w:spacing w:val="-7"/>
          <w:sz w:val="24"/>
          <w:szCs w:val="24"/>
        </w:rPr>
        <w:t>海古簸隧洞（长</w:t>
      </w:r>
      <w:r>
        <w:rPr>
          <w:rFonts w:ascii="宋体" w:hAnsi="宋体" w:eastAsia="宋体" w:cs="宋体"/>
          <w:sz w:val="24"/>
          <w:szCs w:val="24"/>
        </w:rPr>
        <w:t xml:space="preserve"> </w:t>
      </w:r>
      <w:r>
        <w:rPr>
          <w:rFonts w:ascii="Times New Roman" w:hAnsi="Times New Roman" w:eastAsia="Times New Roman" w:cs="Times New Roman"/>
          <w:spacing w:val="-5"/>
          <w:sz w:val="24"/>
          <w:szCs w:val="24"/>
        </w:rPr>
        <w:t>1.91km</w:t>
      </w:r>
      <w:r>
        <w:rPr>
          <w:rFonts w:ascii="宋体" w:hAnsi="宋体" w:eastAsia="宋体" w:cs="宋体"/>
          <w:spacing w:val="-5"/>
          <w:sz w:val="24"/>
          <w:szCs w:val="24"/>
        </w:rPr>
        <w:t>）隧洞断面为</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2.2</w:t>
      </w:r>
      <w:r>
        <w:rPr>
          <w:rFonts w:ascii="宋体" w:hAnsi="宋体" w:eastAsia="宋体" w:cs="宋体"/>
          <w:spacing w:val="-5"/>
          <w:sz w:val="24"/>
          <w:szCs w:val="24"/>
        </w:rPr>
        <w:t>×</w:t>
      </w:r>
      <w:r>
        <w:rPr>
          <w:rFonts w:ascii="Times New Roman" w:hAnsi="Times New Roman" w:eastAsia="Times New Roman" w:cs="Times New Roman"/>
          <w:spacing w:val="-5"/>
          <w:sz w:val="24"/>
          <w:szCs w:val="24"/>
        </w:rPr>
        <w:t>2.5m</w:t>
      </w:r>
      <w:r>
        <w:rPr>
          <w:rFonts w:ascii="宋体" w:hAnsi="宋体" w:eastAsia="宋体" w:cs="宋体"/>
          <w:spacing w:val="-5"/>
          <w:sz w:val="24"/>
          <w:szCs w:val="24"/>
        </w:rPr>
        <w:t>，底坡分别为</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1/2000</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1/1500</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1/1500</w:t>
      </w:r>
      <w:r>
        <w:rPr>
          <w:rFonts w:ascii="宋体" w:hAnsi="宋体" w:eastAsia="宋体" w:cs="宋体"/>
          <w:spacing w:val="-6"/>
          <w:sz w:val="24"/>
          <w:szCs w:val="24"/>
        </w:rPr>
        <w:t>，</w:t>
      </w:r>
      <w:r>
        <w:rPr>
          <w:rFonts w:ascii="Times New Roman" w:hAnsi="Times New Roman" w:eastAsia="Times New Roman" w:cs="Times New Roman"/>
          <w:spacing w:val="-6"/>
          <w:sz w:val="24"/>
          <w:szCs w:val="24"/>
        </w:rPr>
        <w:t>6#</w:t>
      </w:r>
      <w:r>
        <w:rPr>
          <w:rFonts w:ascii="宋体" w:hAnsi="宋体" w:eastAsia="宋体" w:cs="宋体"/>
          <w:spacing w:val="-6"/>
          <w:sz w:val="24"/>
          <w:szCs w:val="24"/>
        </w:rPr>
        <w:t>碧么隧洞（长</w:t>
      </w:r>
      <w:r>
        <w:rPr>
          <w:rFonts w:ascii="宋体" w:hAnsi="宋体" w:eastAsia="宋体" w:cs="宋体"/>
          <w:sz w:val="24"/>
          <w:szCs w:val="24"/>
        </w:rPr>
        <w:t xml:space="preserve"> </w:t>
      </w:r>
      <w:r>
        <w:rPr>
          <w:rFonts w:ascii="Times New Roman" w:hAnsi="Times New Roman" w:eastAsia="Times New Roman" w:cs="Times New Roman"/>
          <w:spacing w:val="-2"/>
          <w:sz w:val="24"/>
          <w:szCs w:val="24"/>
        </w:rPr>
        <w:t>0.36km</w:t>
      </w:r>
      <w:r>
        <w:rPr>
          <w:rFonts w:ascii="宋体" w:hAnsi="宋体" w:eastAsia="宋体" w:cs="宋体"/>
          <w:spacing w:val="-2"/>
          <w:sz w:val="24"/>
          <w:szCs w:val="24"/>
        </w:rPr>
        <w:t xml:space="preserve">）隧洞断面为 </w:t>
      </w:r>
      <w:r>
        <w:rPr>
          <w:rFonts w:ascii="Times New Roman" w:hAnsi="Times New Roman" w:eastAsia="Times New Roman" w:cs="Times New Roman"/>
          <w:spacing w:val="-2"/>
          <w:sz w:val="24"/>
          <w:szCs w:val="24"/>
        </w:rPr>
        <w:t>1.8</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2.2m </w:t>
      </w:r>
      <w:r>
        <w:rPr>
          <w:rFonts w:ascii="宋体" w:hAnsi="宋体" w:eastAsia="宋体" w:cs="宋体"/>
          <w:spacing w:val="-2"/>
          <w:sz w:val="24"/>
          <w:szCs w:val="24"/>
        </w:rPr>
        <w:t>城门洞形</w:t>
      </w:r>
      <w:r>
        <w:rPr>
          <w:rFonts w:ascii="宋体" w:hAnsi="宋体" w:eastAsia="宋体" w:cs="宋体"/>
          <w:spacing w:val="-3"/>
          <w:sz w:val="24"/>
          <w:szCs w:val="24"/>
        </w:rPr>
        <w:t>，底坡为</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1/500</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条隧洞均采用</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C25 </w:t>
      </w:r>
      <w:r>
        <w:rPr>
          <w:rFonts w:ascii="宋体" w:hAnsi="宋体" w:eastAsia="宋体" w:cs="宋体"/>
          <w:spacing w:val="-3"/>
          <w:sz w:val="24"/>
          <w:szCs w:val="24"/>
        </w:rPr>
        <w:t>钢筋混</w:t>
      </w:r>
    </w:p>
    <w:p>
      <w:pPr>
        <w:spacing w:before="1" w:line="219" w:lineRule="auto"/>
        <w:ind w:left="38"/>
        <w:rPr>
          <w:rFonts w:ascii="宋体" w:hAnsi="宋体" w:eastAsia="宋体" w:cs="宋体"/>
          <w:sz w:val="24"/>
          <w:szCs w:val="24"/>
        </w:rPr>
      </w:pPr>
      <w:r>
        <w:rPr>
          <w:rFonts w:ascii="宋体" w:hAnsi="宋体" w:eastAsia="宋体" w:cs="宋体"/>
          <w:spacing w:val="-7"/>
          <w:sz w:val="24"/>
          <w:szCs w:val="24"/>
        </w:rPr>
        <w:t>凝土衬砌。</w:t>
      </w:r>
    </w:p>
    <w:p>
      <w:pPr>
        <w:spacing w:before="182" w:line="217" w:lineRule="auto"/>
        <w:ind w:left="517"/>
        <w:rPr>
          <w:rFonts w:ascii="宋体" w:hAnsi="宋体" w:eastAsia="宋体" w:cs="宋体"/>
          <w:sz w:val="24"/>
          <w:szCs w:val="24"/>
        </w:rPr>
      </w:pPr>
      <w:r>
        <w:rPr>
          <w:rFonts w:ascii="宋体" w:hAnsi="宋体" w:eastAsia="宋体" w:cs="宋体"/>
          <w:spacing w:val="-2"/>
          <w:sz w:val="24"/>
          <w:szCs w:val="24"/>
        </w:rPr>
        <w:t>④倒虹吸（</w:t>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座）</w:t>
      </w:r>
    </w:p>
    <w:p>
      <w:pPr>
        <w:spacing w:before="185" w:line="359" w:lineRule="auto"/>
        <w:ind w:left="48" w:right="86" w:firstLine="473"/>
        <w:rPr>
          <w:rFonts w:ascii="宋体" w:hAnsi="宋体" w:eastAsia="宋体" w:cs="宋体"/>
          <w:sz w:val="24"/>
          <w:szCs w:val="24"/>
        </w:rPr>
      </w:pPr>
      <w:r>
        <w:rPr>
          <w:rFonts w:ascii="宋体" w:hAnsi="宋体" w:eastAsia="宋体" w:cs="宋体"/>
          <w:spacing w:val="-20"/>
          <w:sz w:val="24"/>
          <w:szCs w:val="24"/>
        </w:rPr>
        <w:t>为单管布设，</w:t>
      </w:r>
      <w:r>
        <w:rPr>
          <w:rFonts w:ascii="宋体" w:hAnsi="宋体" w:eastAsia="宋体" w:cs="宋体"/>
          <w:spacing w:val="26"/>
          <w:sz w:val="24"/>
          <w:szCs w:val="24"/>
        </w:rPr>
        <w:t xml:space="preserve"> </w:t>
      </w:r>
      <w:r>
        <w:rPr>
          <w:rFonts w:ascii="宋体" w:hAnsi="宋体" w:eastAsia="宋体" w:cs="宋体"/>
          <w:spacing w:val="-20"/>
          <w:sz w:val="24"/>
          <w:szCs w:val="24"/>
        </w:rPr>
        <w:t>进口设置进水前池，闸门， 出口设置出水池，</w:t>
      </w:r>
      <w:r>
        <w:rPr>
          <w:rFonts w:ascii="宋体" w:hAnsi="宋体" w:eastAsia="宋体" w:cs="宋体"/>
          <w:spacing w:val="28"/>
          <w:sz w:val="24"/>
          <w:szCs w:val="24"/>
        </w:rPr>
        <w:t xml:space="preserve"> </w:t>
      </w:r>
      <w:r>
        <w:rPr>
          <w:rFonts w:ascii="宋体" w:hAnsi="宋体" w:eastAsia="宋体" w:cs="宋体"/>
          <w:spacing w:val="-20"/>
          <w:sz w:val="24"/>
          <w:szCs w:val="24"/>
        </w:rPr>
        <w:t>低处设置排空</w:t>
      </w:r>
      <w:r>
        <w:rPr>
          <w:rFonts w:ascii="宋体" w:hAnsi="宋体" w:eastAsia="宋体" w:cs="宋体"/>
          <w:spacing w:val="-21"/>
          <w:sz w:val="24"/>
          <w:szCs w:val="24"/>
        </w:rPr>
        <w:t>阀；</w:t>
      </w:r>
      <w:r>
        <w:rPr>
          <w:rFonts w:ascii="宋体" w:hAnsi="宋体" w:eastAsia="宋体" w:cs="宋体"/>
          <w:spacing w:val="33"/>
          <w:sz w:val="24"/>
          <w:szCs w:val="24"/>
        </w:rPr>
        <w:t xml:space="preserve"> </w:t>
      </w:r>
      <w:r>
        <w:rPr>
          <w:rFonts w:ascii="宋体" w:hAnsi="宋体" w:eastAsia="宋体" w:cs="宋体"/>
          <w:spacing w:val="-21"/>
          <w:sz w:val="24"/>
          <w:szCs w:val="24"/>
        </w:rPr>
        <w:t>倒虹</w:t>
      </w:r>
      <w:r>
        <w:rPr>
          <w:rFonts w:ascii="宋体" w:hAnsi="宋体" w:eastAsia="宋体" w:cs="宋体"/>
          <w:sz w:val="24"/>
          <w:szCs w:val="24"/>
        </w:rPr>
        <w:t xml:space="preserve"> </w:t>
      </w:r>
      <w:r>
        <w:rPr>
          <w:rFonts w:ascii="宋体" w:hAnsi="宋体" w:eastAsia="宋体" w:cs="宋体"/>
          <w:spacing w:val="-2"/>
          <w:sz w:val="24"/>
          <w:szCs w:val="24"/>
        </w:rPr>
        <w:t xml:space="preserve">吸跨沟箐除 </w:t>
      </w:r>
      <w:r>
        <w:rPr>
          <w:rFonts w:ascii="Times New Roman" w:hAnsi="Times New Roman" w:eastAsia="Times New Roman" w:cs="Times New Roman"/>
          <w:spacing w:val="-2"/>
          <w:sz w:val="24"/>
          <w:szCs w:val="24"/>
        </w:rPr>
        <w:t>1#</w:t>
      </w:r>
      <w:r>
        <w:rPr>
          <w:rFonts w:ascii="宋体" w:hAnsi="宋体" w:eastAsia="宋体" w:cs="宋体"/>
          <w:spacing w:val="-2"/>
          <w:sz w:val="24"/>
          <w:szCs w:val="24"/>
        </w:rPr>
        <w:t>倒虹吸（马茨河）采用混凝土埋管外，其余均采用管桥通过。设计流量</w:t>
      </w:r>
    </w:p>
    <w:p>
      <w:pPr>
        <w:spacing w:before="1" w:line="234" w:lineRule="auto"/>
        <w:ind w:left="42"/>
        <w:rPr>
          <w:rFonts w:ascii="宋体" w:hAnsi="宋体" w:eastAsia="宋体" w:cs="宋体"/>
          <w:sz w:val="24"/>
          <w:szCs w:val="24"/>
        </w:rPr>
      </w:pPr>
      <w:r>
        <w:rPr>
          <w:rFonts w:ascii="宋体" w:hAnsi="宋体" w:eastAsia="宋体" w:cs="宋体"/>
          <w:spacing w:val="-3"/>
          <w:sz w:val="24"/>
          <w:szCs w:val="24"/>
        </w:rPr>
        <w:t>为</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r>
        <w:rPr>
          <w:rFonts w:ascii="Times New Roman" w:hAnsi="Times New Roman" w:eastAsia="Times New Roman" w:cs="Times New Roman"/>
          <w:spacing w:val="-3"/>
          <w:sz w:val="24"/>
          <w:szCs w:val="24"/>
        </w:rPr>
        <w:t>5.32m</w:t>
      </w:r>
      <w:r>
        <w:rPr>
          <w:rFonts w:ascii="宋体" w:hAnsi="宋体" w:eastAsia="宋体" w:cs="宋体"/>
          <w:spacing w:val="-3"/>
          <w:sz w:val="24"/>
          <w:szCs w:val="24"/>
        </w:rPr>
        <w:t>³</w:t>
      </w:r>
      <w:r>
        <w:rPr>
          <w:rFonts w:ascii="Times New Roman" w:hAnsi="Times New Roman" w:eastAsia="Times New Roman" w:cs="Times New Roman"/>
          <w:spacing w:val="-3"/>
          <w:sz w:val="24"/>
          <w:szCs w:val="24"/>
        </w:rPr>
        <w:t>/s</w:t>
      </w:r>
      <w:r>
        <w:rPr>
          <w:rFonts w:ascii="宋体" w:hAnsi="宋体" w:eastAsia="宋体" w:cs="宋体"/>
          <w:spacing w:val="-3"/>
          <w:sz w:val="24"/>
          <w:szCs w:val="24"/>
        </w:rPr>
        <w:t>。</w:t>
      </w:r>
    </w:p>
    <w:p>
      <w:pPr>
        <w:spacing w:line="234" w:lineRule="auto"/>
        <w:rPr>
          <w:rFonts w:ascii="宋体" w:hAnsi="宋体" w:eastAsia="宋体" w:cs="宋体"/>
          <w:sz w:val="24"/>
          <w:szCs w:val="24"/>
        </w:rPr>
        <w:sectPr>
          <w:headerReference r:id="rId89" w:type="default"/>
          <w:footerReference r:id="rId90" w:type="default"/>
          <w:pgSz w:w="11907" w:h="16839"/>
          <w:pgMar w:top="1298" w:right="1331" w:bottom="1373" w:left="1501" w:header="1023" w:footer="1210" w:gutter="0"/>
        </w:sectPr>
      </w:pPr>
    </w:p>
    <w:p>
      <w:pPr>
        <w:spacing w:before="156" w:line="359" w:lineRule="auto"/>
        <w:ind w:left="39" w:right="41" w:firstLine="485"/>
        <w:rPr>
          <w:rFonts w:ascii="宋体" w:hAnsi="宋体" w:eastAsia="宋体" w:cs="宋体"/>
          <w:sz w:val="24"/>
          <w:szCs w:val="24"/>
        </w:rPr>
      </w:pPr>
      <w:r>
        <w:rPr>
          <w:rFonts w:ascii="Times New Roman" w:hAnsi="Times New Roman" w:eastAsia="Times New Roman" w:cs="Times New Roman"/>
          <w:spacing w:val="-5"/>
          <w:sz w:val="24"/>
          <w:szCs w:val="24"/>
        </w:rPr>
        <w:t>8</w:t>
      </w:r>
      <w:r>
        <w:rPr>
          <w:rFonts w:ascii="Times New Roman" w:hAnsi="Times New Roman" w:eastAsia="Times New Roman" w:cs="Times New Roman"/>
          <w:spacing w:val="30"/>
          <w:w w:val="101"/>
          <w:sz w:val="24"/>
          <w:szCs w:val="24"/>
        </w:rPr>
        <w:t xml:space="preserve"> </w:t>
      </w:r>
      <w:r>
        <w:rPr>
          <w:rFonts w:ascii="宋体" w:hAnsi="宋体" w:eastAsia="宋体" w:cs="宋体"/>
          <w:spacing w:val="-5"/>
          <w:sz w:val="24"/>
          <w:szCs w:val="24"/>
        </w:rPr>
        <w:t>座倒虹吸长分别为</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78m</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120m</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190m</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195m</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220m</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163m</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325m</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91m</w:t>
      </w:r>
      <w:r>
        <w:rPr>
          <w:rFonts w:ascii="宋体" w:hAnsi="宋体" w:eastAsia="宋体" w:cs="宋体"/>
          <w:spacing w:val="-5"/>
          <w:sz w:val="24"/>
          <w:szCs w:val="24"/>
        </w:rPr>
        <w:t>，管</w:t>
      </w:r>
      <w:r>
        <w:rPr>
          <w:rFonts w:ascii="宋体" w:hAnsi="宋体" w:eastAsia="宋体" w:cs="宋体"/>
          <w:sz w:val="24"/>
          <w:szCs w:val="24"/>
        </w:rPr>
        <w:t xml:space="preserve"> </w:t>
      </w:r>
      <w:r>
        <w:rPr>
          <w:rFonts w:ascii="宋体" w:hAnsi="宋体" w:eastAsia="宋体" w:cs="宋体"/>
          <w:spacing w:val="-15"/>
          <w:sz w:val="24"/>
          <w:szCs w:val="24"/>
        </w:rPr>
        <w:t>径分别为</w:t>
      </w:r>
      <w:r>
        <w:rPr>
          <w:rFonts w:ascii="宋体" w:hAnsi="宋体" w:eastAsia="宋体" w:cs="宋体"/>
          <w:spacing w:val="-30"/>
          <w:sz w:val="24"/>
          <w:szCs w:val="24"/>
        </w:rPr>
        <w:t xml:space="preserve"> </w:t>
      </w:r>
      <w:r>
        <w:rPr>
          <w:rFonts w:ascii="Times New Roman" w:hAnsi="Times New Roman" w:eastAsia="Times New Roman" w:cs="Times New Roman"/>
          <w:spacing w:val="-15"/>
          <w:sz w:val="24"/>
          <w:szCs w:val="24"/>
        </w:rPr>
        <w:t>1000mm</w:t>
      </w:r>
      <w:r>
        <w:rPr>
          <w:rFonts w:ascii="宋体" w:hAnsi="宋体" w:eastAsia="宋体" w:cs="宋体"/>
          <w:spacing w:val="-15"/>
          <w:sz w:val="24"/>
          <w:szCs w:val="24"/>
        </w:rPr>
        <w:t>、</w:t>
      </w:r>
      <w:r>
        <w:rPr>
          <w:rFonts w:ascii="Times New Roman" w:hAnsi="Times New Roman" w:eastAsia="Times New Roman" w:cs="Times New Roman"/>
          <w:spacing w:val="-15"/>
          <w:sz w:val="24"/>
          <w:szCs w:val="24"/>
        </w:rPr>
        <w:t>1200mm</w:t>
      </w:r>
      <w:r>
        <w:rPr>
          <w:rFonts w:ascii="宋体" w:hAnsi="宋体" w:eastAsia="宋体" w:cs="宋体"/>
          <w:spacing w:val="-15"/>
          <w:sz w:val="24"/>
          <w:szCs w:val="24"/>
        </w:rPr>
        <w:t>、</w:t>
      </w:r>
      <w:r>
        <w:rPr>
          <w:rFonts w:ascii="Times New Roman" w:hAnsi="Times New Roman" w:eastAsia="Times New Roman" w:cs="Times New Roman"/>
          <w:spacing w:val="-15"/>
          <w:sz w:val="24"/>
          <w:szCs w:val="24"/>
        </w:rPr>
        <w:t>1600mm</w:t>
      </w:r>
      <w:r>
        <w:rPr>
          <w:rFonts w:ascii="宋体" w:hAnsi="宋体" w:eastAsia="宋体" w:cs="宋体"/>
          <w:spacing w:val="-15"/>
          <w:sz w:val="24"/>
          <w:szCs w:val="24"/>
        </w:rPr>
        <w:t>、</w:t>
      </w:r>
      <w:r>
        <w:rPr>
          <w:rFonts w:ascii="Times New Roman" w:hAnsi="Times New Roman" w:eastAsia="Times New Roman" w:cs="Times New Roman"/>
          <w:spacing w:val="-15"/>
          <w:sz w:val="24"/>
          <w:szCs w:val="24"/>
        </w:rPr>
        <w:t>1600mm</w:t>
      </w:r>
      <w:r>
        <w:rPr>
          <w:rFonts w:ascii="宋体" w:hAnsi="宋体" w:eastAsia="宋体" w:cs="宋体"/>
          <w:spacing w:val="-15"/>
          <w:sz w:val="24"/>
          <w:szCs w:val="24"/>
        </w:rPr>
        <w:t>、</w:t>
      </w:r>
      <w:r>
        <w:rPr>
          <w:rFonts w:ascii="Times New Roman" w:hAnsi="Times New Roman" w:eastAsia="Times New Roman" w:cs="Times New Roman"/>
          <w:spacing w:val="-15"/>
          <w:sz w:val="24"/>
          <w:szCs w:val="24"/>
        </w:rPr>
        <w:t>1600mm</w:t>
      </w:r>
      <w:r>
        <w:rPr>
          <w:rFonts w:ascii="宋体" w:hAnsi="宋体" w:eastAsia="宋体" w:cs="宋体"/>
          <w:spacing w:val="-15"/>
          <w:sz w:val="24"/>
          <w:szCs w:val="24"/>
        </w:rPr>
        <w:t>、</w:t>
      </w:r>
      <w:r>
        <w:rPr>
          <w:rFonts w:ascii="Times New Roman" w:hAnsi="Times New Roman" w:eastAsia="Times New Roman" w:cs="Times New Roman"/>
          <w:spacing w:val="-15"/>
          <w:sz w:val="24"/>
          <w:szCs w:val="24"/>
        </w:rPr>
        <w:t>1600mm</w:t>
      </w:r>
      <w:r>
        <w:rPr>
          <w:rFonts w:ascii="宋体" w:hAnsi="宋体" w:eastAsia="宋体" w:cs="宋体"/>
          <w:spacing w:val="-15"/>
          <w:sz w:val="24"/>
          <w:szCs w:val="24"/>
        </w:rPr>
        <w:t>、</w:t>
      </w:r>
      <w:r>
        <w:rPr>
          <w:rFonts w:ascii="Times New Roman" w:hAnsi="Times New Roman" w:eastAsia="Times New Roman" w:cs="Times New Roman"/>
          <w:spacing w:val="-15"/>
          <w:sz w:val="24"/>
          <w:szCs w:val="24"/>
        </w:rPr>
        <w:t>1600mm</w:t>
      </w:r>
      <w:r>
        <w:rPr>
          <w:rFonts w:ascii="宋体" w:hAnsi="宋体" w:eastAsia="宋体" w:cs="宋体"/>
          <w:spacing w:val="-15"/>
          <w:sz w:val="24"/>
          <w:szCs w:val="24"/>
        </w:rPr>
        <w:t>、</w:t>
      </w:r>
      <w:r>
        <w:rPr>
          <w:rFonts w:ascii="Times New Roman" w:hAnsi="Times New Roman" w:eastAsia="Times New Roman" w:cs="Times New Roman"/>
          <w:spacing w:val="-15"/>
          <w:sz w:val="24"/>
          <w:szCs w:val="24"/>
        </w:rPr>
        <w:t>1600mm</w:t>
      </w:r>
      <w:r>
        <w:rPr>
          <w:rFonts w:ascii="宋体" w:hAnsi="宋体" w:eastAsia="宋体" w:cs="宋体"/>
          <w:spacing w:val="-15"/>
          <w:sz w:val="24"/>
          <w:szCs w:val="24"/>
        </w:rPr>
        <w:t>，</w:t>
      </w:r>
    </w:p>
    <w:p>
      <w:pPr>
        <w:spacing w:line="221" w:lineRule="auto"/>
        <w:ind w:left="39"/>
        <w:rPr>
          <w:rFonts w:ascii="宋体" w:hAnsi="宋体" w:eastAsia="宋体" w:cs="宋体"/>
          <w:sz w:val="24"/>
          <w:szCs w:val="24"/>
        </w:rPr>
      </w:pPr>
      <w:r>
        <w:rPr>
          <w:rFonts w:ascii="宋体" w:hAnsi="宋体" w:eastAsia="宋体" w:cs="宋体"/>
          <w:spacing w:val="-5"/>
          <w:sz w:val="24"/>
          <w:szCs w:val="24"/>
        </w:rPr>
        <w:t>壁厚</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8mm</w:t>
      </w:r>
      <w:r>
        <w:rPr>
          <w:rFonts w:ascii="Times New Roman" w:hAnsi="Times New Roman" w:eastAsia="Times New Roman" w:cs="Times New Roman"/>
          <w:spacing w:val="-35"/>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10mm</w:t>
      </w:r>
      <w:r>
        <w:rPr>
          <w:rFonts w:ascii="宋体" w:hAnsi="宋体" w:eastAsia="宋体" w:cs="宋体"/>
          <w:spacing w:val="-5"/>
          <w:sz w:val="24"/>
          <w:szCs w:val="24"/>
        </w:rPr>
        <w:t>。</w:t>
      </w:r>
    </w:p>
    <w:p>
      <w:pPr>
        <w:spacing w:before="179" w:line="217" w:lineRule="auto"/>
        <w:ind w:left="517"/>
        <w:rPr>
          <w:rFonts w:ascii="宋体" w:hAnsi="宋体" w:eastAsia="宋体" w:cs="宋体"/>
          <w:sz w:val="24"/>
          <w:szCs w:val="24"/>
        </w:rPr>
      </w:pPr>
      <w:r>
        <w:rPr>
          <w:rFonts w:ascii="宋体" w:hAnsi="宋体" w:eastAsia="宋体" w:cs="宋体"/>
          <w:spacing w:val="-2"/>
          <w:sz w:val="24"/>
          <w:szCs w:val="24"/>
        </w:rPr>
        <w:t>⑤渡槽（</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座）</w:t>
      </w:r>
    </w:p>
    <w:p>
      <w:pPr>
        <w:spacing w:before="184" w:line="359" w:lineRule="auto"/>
        <w:ind w:left="43" w:right="27" w:firstLine="472"/>
        <w:rPr>
          <w:rFonts w:ascii="宋体" w:hAnsi="宋体" w:eastAsia="宋体" w:cs="宋体"/>
          <w:sz w:val="24"/>
          <w:szCs w:val="24"/>
        </w:rPr>
      </w:pPr>
      <w:r>
        <w:rPr>
          <w:rFonts w:ascii="Times New Roman" w:hAnsi="Times New Roman" w:eastAsia="Times New Roman" w:cs="Times New Roman"/>
          <w:spacing w:val="-7"/>
          <w:sz w:val="24"/>
          <w:szCs w:val="24"/>
        </w:rPr>
        <w:t xml:space="preserve">2 </w:t>
      </w:r>
      <w:r>
        <w:rPr>
          <w:rFonts w:ascii="宋体" w:hAnsi="宋体" w:eastAsia="宋体" w:cs="宋体"/>
          <w:spacing w:val="-7"/>
          <w:sz w:val="24"/>
          <w:szCs w:val="24"/>
        </w:rPr>
        <w:t>座渡槽长分别为</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43m</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25m</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，采用简支梁渡槽，</w:t>
      </w:r>
      <w:r>
        <w:rPr>
          <w:rFonts w:ascii="宋体" w:hAnsi="宋体" w:eastAsia="宋体" w:cs="宋体"/>
          <w:spacing w:val="58"/>
          <w:sz w:val="24"/>
          <w:szCs w:val="24"/>
        </w:rPr>
        <w:t xml:space="preserve"> </w:t>
      </w:r>
      <w:r>
        <w:rPr>
          <w:rFonts w:ascii="宋体" w:hAnsi="宋体" w:eastAsia="宋体" w:cs="宋体"/>
          <w:spacing w:val="-7"/>
          <w:sz w:val="24"/>
          <w:szCs w:val="24"/>
        </w:rPr>
        <w:t>设计流量为</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1.72m</w:t>
      </w:r>
      <w:r>
        <w:rPr>
          <w:rFonts w:ascii="宋体" w:hAnsi="宋体" w:eastAsia="宋体" w:cs="宋体"/>
          <w:spacing w:val="-7"/>
          <w:sz w:val="24"/>
          <w:szCs w:val="24"/>
        </w:rPr>
        <w:t>³</w:t>
      </w:r>
      <w:r>
        <w:rPr>
          <w:rFonts w:ascii="Times New Roman" w:hAnsi="Times New Roman" w:eastAsia="Times New Roman" w:cs="Times New Roman"/>
          <w:spacing w:val="-7"/>
          <w:sz w:val="24"/>
          <w:szCs w:val="24"/>
        </w:rPr>
        <w:t>/s</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w:t>
      </w:r>
      <w:r>
        <w:rPr>
          <w:rFonts w:ascii="Times New Roman" w:hAnsi="Times New Roman" w:eastAsia="Times New Roman" w:cs="Times New Roman"/>
          <w:spacing w:val="-7"/>
          <w:sz w:val="24"/>
          <w:szCs w:val="24"/>
        </w:rPr>
        <w:t>2.82m</w:t>
      </w:r>
      <w:r>
        <w:rPr>
          <w:rFonts w:ascii="宋体" w:hAnsi="宋体" w:eastAsia="宋体" w:cs="宋体"/>
          <w:spacing w:val="-7"/>
          <w:sz w:val="24"/>
          <w:szCs w:val="24"/>
        </w:rPr>
        <w:t>³</w:t>
      </w:r>
      <w:r>
        <w:rPr>
          <w:rFonts w:ascii="Times New Roman" w:hAnsi="Times New Roman" w:eastAsia="Times New Roman" w:cs="Times New Roman"/>
          <w:spacing w:val="-7"/>
          <w:sz w:val="24"/>
          <w:szCs w:val="24"/>
        </w:rPr>
        <w:t>/s,</w:t>
      </w:r>
      <w:r>
        <w:rPr>
          <w:rFonts w:ascii="Times New Roman" w:hAnsi="Times New Roman" w:eastAsia="Times New Roman" w:cs="Times New Roman"/>
          <w:sz w:val="24"/>
          <w:szCs w:val="24"/>
        </w:rPr>
        <w:t xml:space="preserve"> </w:t>
      </w:r>
      <w:r>
        <w:rPr>
          <w:rFonts w:ascii="宋体" w:hAnsi="宋体" w:eastAsia="宋体" w:cs="宋体"/>
          <w:spacing w:val="-6"/>
          <w:sz w:val="24"/>
          <w:szCs w:val="24"/>
        </w:rPr>
        <w:t>设计底坡均为</w:t>
      </w:r>
      <w:r>
        <w:rPr>
          <w:rFonts w:ascii="宋体" w:hAnsi="宋体" w:eastAsia="宋体" w:cs="宋体"/>
          <w:spacing w:val="-20"/>
          <w:sz w:val="24"/>
          <w:szCs w:val="24"/>
        </w:rPr>
        <w:t xml:space="preserve"> </w:t>
      </w:r>
      <w:r>
        <w:rPr>
          <w:rFonts w:ascii="Times New Roman" w:hAnsi="Times New Roman" w:eastAsia="Times New Roman" w:cs="Times New Roman"/>
          <w:spacing w:val="-6"/>
          <w:sz w:val="24"/>
          <w:szCs w:val="24"/>
        </w:rPr>
        <w:t>1/500</w:t>
      </w:r>
      <w:r>
        <w:rPr>
          <w:rFonts w:ascii="宋体" w:hAnsi="宋体" w:eastAsia="宋体" w:cs="宋体"/>
          <w:spacing w:val="-6"/>
          <w:sz w:val="24"/>
          <w:szCs w:val="24"/>
        </w:rPr>
        <w:t>，槽身断面</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1.2</w:t>
      </w:r>
      <w:r>
        <w:rPr>
          <w:rFonts w:ascii="宋体" w:hAnsi="宋体" w:eastAsia="宋体" w:cs="宋体"/>
          <w:spacing w:val="-6"/>
          <w:sz w:val="24"/>
          <w:szCs w:val="24"/>
        </w:rPr>
        <w:t>×</w:t>
      </w:r>
      <w:r>
        <w:rPr>
          <w:rFonts w:ascii="Times New Roman" w:hAnsi="Times New Roman" w:eastAsia="Times New Roman" w:cs="Times New Roman"/>
          <w:spacing w:val="-6"/>
          <w:sz w:val="24"/>
          <w:szCs w:val="24"/>
        </w:rPr>
        <w:t>1.40m</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1.5</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1.55m </w:t>
      </w:r>
      <w:r>
        <w:rPr>
          <w:rFonts w:ascii="宋体" w:hAnsi="宋体" w:eastAsia="宋体" w:cs="宋体"/>
          <w:spacing w:val="-6"/>
          <w:sz w:val="24"/>
          <w:szCs w:val="24"/>
        </w:rPr>
        <w:t>矩形，</w:t>
      </w:r>
      <w:r>
        <w:rPr>
          <w:rFonts w:ascii="宋体" w:hAnsi="宋体" w:eastAsia="宋体" w:cs="宋体"/>
          <w:spacing w:val="-35"/>
          <w:sz w:val="24"/>
          <w:szCs w:val="24"/>
        </w:rPr>
        <w:t xml:space="preserve"> </w:t>
      </w:r>
      <w:r>
        <w:rPr>
          <w:rFonts w:ascii="宋体" w:hAnsi="宋体" w:eastAsia="宋体" w:cs="宋体"/>
          <w:spacing w:val="-6"/>
          <w:sz w:val="24"/>
          <w:szCs w:val="24"/>
        </w:rPr>
        <w:t>采用</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 xml:space="preserve">C25 </w:t>
      </w:r>
      <w:r>
        <w:rPr>
          <w:rFonts w:ascii="宋体" w:hAnsi="宋体" w:eastAsia="宋体" w:cs="宋体"/>
          <w:spacing w:val="-6"/>
          <w:sz w:val="24"/>
          <w:szCs w:val="24"/>
        </w:rPr>
        <w:t>钢筋混凝土衬</w:t>
      </w:r>
    </w:p>
    <w:p>
      <w:pPr>
        <w:spacing w:before="1" w:line="220" w:lineRule="auto"/>
        <w:ind w:left="39"/>
        <w:rPr>
          <w:rFonts w:ascii="宋体" w:hAnsi="宋体" w:eastAsia="宋体" w:cs="宋体"/>
          <w:sz w:val="24"/>
          <w:szCs w:val="24"/>
        </w:rPr>
      </w:pPr>
      <w:r>
        <w:rPr>
          <w:rFonts w:ascii="宋体" w:hAnsi="宋体" w:eastAsia="宋体" w:cs="宋体"/>
          <w:spacing w:val="-11"/>
          <w:sz w:val="24"/>
          <w:szCs w:val="24"/>
        </w:rPr>
        <w:t>砌。</w:t>
      </w:r>
    </w:p>
    <w:p>
      <w:pPr>
        <w:spacing w:line="349" w:lineRule="auto"/>
        <w:rPr>
          <w:rFonts w:ascii="Arial"/>
          <w:sz w:val="21"/>
        </w:rPr>
      </w:pPr>
    </w:p>
    <w:p>
      <w:pPr>
        <w:pStyle w:val="2"/>
        <w:spacing w:before="88" w:line="235" w:lineRule="auto"/>
        <w:ind w:left="35"/>
        <w:outlineLvl w:val="1"/>
        <w:rPr>
          <w:sz w:val="27"/>
          <w:szCs w:val="27"/>
        </w:rPr>
      </w:pPr>
      <w:r>
        <w:rPr>
          <w:rFonts w:ascii="Times New Roman" w:hAnsi="Times New Roman" w:eastAsia="Times New Roman" w:cs="Times New Roman"/>
          <w:b/>
          <w:bCs/>
          <w:spacing w:val="4"/>
          <w:sz w:val="24"/>
          <w:szCs w:val="24"/>
        </w:rPr>
        <w:t xml:space="preserve">2.3.3 </w:t>
      </w:r>
      <w:r>
        <w:rPr>
          <w:spacing w:val="4"/>
          <w:sz w:val="27"/>
          <w:szCs w:val="27"/>
          <w14:textOutline w14:w="5072" w14:cap="flat" w14:cmpd="sng">
            <w14:solidFill>
              <w14:srgbClr w14:val="000000"/>
            </w14:solidFill>
            <w14:prstDash w14:val="solid"/>
            <w14:miter w14:val="0"/>
          </w14:textOutline>
        </w:rPr>
        <w:t>施工组织规划</w:t>
      </w:r>
    </w:p>
    <w:p>
      <w:pPr>
        <w:spacing w:before="156" w:line="467" w:lineRule="exact"/>
        <w:ind w:left="526"/>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1</w:t>
      </w:r>
      <w:r>
        <w:rPr>
          <w:rFonts w:ascii="宋体" w:hAnsi="宋体" w:eastAsia="宋体" w:cs="宋体"/>
          <w:spacing w:val="-2"/>
          <w:position w:val="17"/>
          <w:sz w:val="24"/>
          <w:szCs w:val="24"/>
        </w:rPr>
        <w:t>）施工导流</w:t>
      </w:r>
    </w:p>
    <w:p>
      <w:pPr>
        <w:spacing w:before="1" w:line="217" w:lineRule="auto"/>
        <w:ind w:left="518"/>
        <w:rPr>
          <w:rFonts w:ascii="宋体" w:hAnsi="宋体" w:eastAsia="宋体" w:cs="宋体"/>
          <w:sz w:val="24"/>
          <w:szCs w:val="24"/>
        </w:rPr>
      </w:pPr>
      <w:r>
        <w:rPr>
          <w:rFonts w:ascii="宋体" w:hAnsi="宋体" w:eastAsia="宋体" w:cs="宋体"/>
          <w:spacing w:val="-2"/>
          <w:sz w:val="24"/>
          <w:szCs w:val="24"/>
        </w:rPr>
        <w:t>①枢纽工程导流</w:t>
      </w:r>
    </w:p>
    <w:p>
      <w:pPr>
        <w:spacing w:before="185" w:line="235" w:lineRule="auto"/>
        <w:ind w:left="519"/>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导流方式</w:t>
      </w:r>
    </w:p>
    <w:p>
      <w:pPr>
        <w:spacing w:before="162" w:line="359" w:lineRule="auto"/>
        <w:ind w:left="40" w:right="107" w:firstLine="478"/>
        <w:rPr>
          <w:rFonts w:ascii="宋体" w:hAnsi="宋体" w:eastAsia="宋体" w:cs="宋体"/>
          <w:sz w:val="24"/>
          <w:szCs w:val="24"/>
        </w:rPr>
      </w:pPr>
      <w:r>
        <w:rPr>
          <w:rFonts w:ascii="宋体" w:hAnsi="宋体" w:eastAsia="宋体" w:cs="宋体"/>
          <w:spacing w:val="-6"/>
          <w:sz w:val="24"/>
          <w:szCs w:val="24"/>
        </w:rPr>
        <w:t>枢纽工程施工导流分为两期导流，</w:t>
      </w:r>
      <w:r>
        <w:rPr>
          <w:rFonts w:ascii="宋体" w:hAnsi="宋体" w:eastAsia="宋体" w:cs="宋体"/>
          <w:spacing w:val="80"/>
          <w:sz w:val="24"/>
          <w:szCs w:val="24"/>
        </w:rPr>
        <w:t xml:space="preserve"> </w:t>
      </w:r>
      <w:r>
        <w:rPr>
          <w:rFonts w:ascii="宋体" w:hAnsi="宋体" w:eastAsia="宋体" w:cs="宋体"/>
          <w:spacing w:val="-6"/>
          <w:sz w:val="24"/>
          <w:szCs w:val="24"/>
        </w:rPr>
        <w:t>一期为枯期导流，导流为围堰、导流沟配合导</w:t>
      </w:r>
      <w:r>
        <w:rPr>
          <w:rFonts w:ascii="宋体" w:hAnsi="宋体" w:eastAsia="宋体" w:cs="宋体"/>
          <w:sz w:val="24"/>
          <w:szCs w:val="24"/>
        </w:rPr>
        <w:t xml:space="preserve"> 流输水放空隧洞导流段导流；二期为汛期导流，导流为抬</w:t>
      </w:r>
      <w:r>
        <w:rPr>
          <w:rFonts w:ascii="宋体" w:hAnsi="宋体" w:eastAsia="宋体" w:cs="宋体"/>
          <w:spacing w:val="-1"/>
          <w:sz w:val="24"/>
          <w:szCs w:val="24"/>
        </w:rPr>
        <w:t>头坝配合导流输水放空隧洞</w:t>
      </w:r>
    </w:p>
    <w:p>
      <w:pPr>
        <w:spacing w:before="1" w:line="220" w:lineRule="auto"/>
        <w:ind w:left="45"/>
        <w:rPr>
          <w:rFonts w:ascii="宋体" w:hAnsi="宋体" w:eastAsia="宋体" w:cs="宋体"/>
          <w:sz w:val="24"/>
          <w:szCs w:val="24"/>
        </w:rPr>
      </w:pPr>
      <w:r>
        <w:rPr>
          <w:rFonts w:ascii="宋体" w:hAnsi="宋体" w:eastAsia="宋体" w:cs="宋体"/>
          <w:spacing w:val="-7"/>
          <w:sz w:val="24"/>
          <w:szCs w:val="24"/>
        </w:rPr>
        <w:t>导流段导流。</w:t>
      </w:r>
    </w:p>
    <w:p>
      <w:pPr>
        <w:spacing w:before="180" w:line="234" w:lineRule="auto"/>
        <w:ind w:left="510"/>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导流标准</w:t>
      </w:r>
    </w:p>
    <w:p>
      <w:pPr>
        <w:spacing w:before="162" w:line="467" w:lineRule="exact"/>
        <w:ind w:left="522"/>
        <w:rPr>
          <w:rFonts w:ascii="宋体" w:hAnsi="宋体" w:eastAsia="宋体" w:cs="宋体"/>
          <w:sz w:val="24"/>
          <w:szCs w:val="24"/>
        </w:rPr>
      </w:pPr>
      <w:r>
        <w:rPr>
          <w:rFonts w:ascii="宋体" w:hAnsi="宋体" w:eastAsia="宋体" w:cs="宋体"/>
          <w:spacing w:val="-1"/>
          <w:position w:val="17"/>
          <w:sz w:val="24"/>
          <w:szCs w:val="24"/>
        </w:rPr>
        <w:t>水库导流标准：枯期导流洪水标准重现期为</w:t>
      </w:r>
      <w:r>
        <w:rPr>
          <w:rFonts w:ascii="宋体" w:hAnsi="宋体" w:eastAsia="宋体" w:cs="宋体"/>
          <w:spacing w:val="-31"/>
          <w:position w:val="17"/>
          <w:sz w:val="24"/>
          <w:szCs w:val="24"/>
        </w:rPr>
        <w:t xml:space="preserve"> </w:t>
      </w:r>
      <w:r>
        <w:rPr>
          <w:rFonts w:ascii="Times New Roman" w:hAnsi="Times New Roman" w:eastAsia="Times New Roman" w:cs="Times New Roman"/>
          <w:spacing w:val="-1"/>
          <w:position w:val="17"/>
          <w:sz w:val="24"/>
          <w:szCs w:val="24"/>
        </w:rPr>
        <w:t xml:space="preserve">10 </w:t>
      </w:r>
      <w:r>
        <w:rPr>
          <w:rFonts w:ascii="宋体" w:hAnsi="宋体" w:eastAsia="宋体" w:cs="宋体"/>
          <w:spacing w:val="-1"/>
          <w:position w:val="17"/>
          <w:sz w:val="24"/>
          <w:szCs w:val="24"/>
        </w:rPr>
        <w:t>年一遇，坝体施工</w:t>
      </w:r>
      <w:r>
        <w:rPr>
          <w:rFonts w:ascii="宋体" w:hAnsi="宋体" w:eastAsia="宋体" w:cs="宋体"/>
          <w:spacing w:val="-2"/>
          <w:position w:val="17"/>
          <w:sz w:val="24"/>
          <w:szCs w:val="24"/>
        </w:rPr>
        <w:t>期临时度汛洪</w:t>
      </w:r>
    </w:p>
    <w:p>
      <w:pPr>
        <w:spacing w:before="1" w:line="219" w:lineRule="auto"/>
        <w:ind w:left="42"/>
        <w:rPr>
          <w:rFonts w:ascii="宋体" w:hAnsi="宋体" w:eastAsia="宋体" w:cs="宋体"/>
          <w:sz w:val="24"/>
          <w:szCs w:val="24"/>
        </w:rPr>
      </w:pPr>
      <w:r>
        <w:rPr>
          <w:rFonts w:ascii="宋体" w:hAnsi="宋体" w:eastAsia="宋体" w:cs="宋体"/>
          <w:spacing w:val="-4"/>
          <w:sz w:val="24"/>
          <w:szCs w:val="24"/>
        </w:rPr>
        <w:t>水重现期</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 xml:space="preserve">20 </w:t>
      </w:r>
      <w:r>
        <w:rPr>
          <w:rFonts w:ascii="宋体" w:hAnsi="宋体" w:eastAsia="宋体" w:cs="宋体"/>
          <w:spacing w:val="-4"/>
          <w:sz w:val="24"/>
          <w:szCs w:val="24"/>
        </w:rPr>
        <w:t>年。</w:t>
      </w:r>
    </w:p>
    <w:p>
      <w:pPr>
        <w:spacing w:before="181" w:line="234"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施工导流程序</w:t>
      </w:r>
    </w:p>
    <w:p>
      <w:pPr>
        <w:spacing w:before="162" w:line="220" w:lineRule="auto"/>
        <w:ind w:left="526"/>
        <w:rPr>
          <w:rFonts w:ascii="宋体" w:hAnsi="宋体" w:eastAsia="宋体" w:cs="宋体"/>
          <w:sz w:val="24"/>
          <w:szCs w:val="24"/>
        </w:rPr>
      </w:pPr>
      <w:r>
        <w:rPr>
          <w:rFonts w:ascii="宋体" w:hAnsi="宋体" w:eastAsia="宋体" w:cs="宋体"/>
          <w:spacing w:val="-4"/>
          <w:sz w:val="24"/>
          <w:szCs w:val="24"/>
        </w:rPr>
        <w:t>导流隧洞施工：从第一年的</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月开始施工，第二年</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月底完工。</w:t>
      </w:r>
    </w:p>
    <w:p>
      <w:pPr>
        <w:spacing w:before="182" w:line="466" w:lineRule="exact"/>
        <w:ind w:left="519"/>
        <w:rPr>
          <w:rFonts w:ascii="宋体" w:hAnsi="宋体" w:eastAsia="宋体" w:cs="宋体"/>
          <w:sz w:val="24"/>
          <w:szCs w:val="24"/>
        </w:rPr>
      </w:pPr>
      <w:r>
        <w:rPr>
          <w:rFonts w:ascii="宋体" w:hAnsi="宋体" w:eastAsia="宋体" w:cs="宋体"/>
          <w:spacing w:val="-4"/>
          <w:position w:val="17"/>
          <w:sz w:val="24"/>
          <w:szCs w:val="24"/>
        </w:rPr>
        <w:t>第</w:t>
      </w:r>
      <w:r>
        <w:rPr>
          <w:rFonts w:ascii="宋体" w:hAnsi="宋体" w:eastAsia="宋体" w:cs="宋体"/>
          <w:spacing w:val="-31"/>
          <w:position w:val="17"/>
          <w:sz w:val="24"/>
          <w:szCs w:val="24"/>
        </w:rPr>
        <w:t xml:space="preserve"> </w:t>
      </w:r>
      <w:r>
        <w:rPr>
          <w:rFonts w:ascii="Times New Roman" w:hAnsi="Times New Roman" w:eastAsia="Times New Roman" w:cs="Times New Roman"/>
          <w:spacing w:val="-4"/>
          <w:position w:val="17"/>
          <w:sz w:val="24"/>
          <w:szCs w:val="24"/>
        </w:rPr>
        <w:t xml:space="preserve">1 </w:t>
      </w:r>
      <w:r>
        <w:rPr>
          <w:rFonts w:ascii="宋体" w:hAnsi="宋体" w:eastAsia="宋体" w:cs="宋体"/>
          <w:spacing w:val="-4"/>
          <w:position w:val="17"/>
          <w:sz w:val="24"/>
          <w:szCs w:val="24"/>
        </w:rPr>
        <w:t>个枯期导流（第一年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12</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4"/>
          <w:position w:val="17"/>
          <w:sz w:val="24"/>
          <w:szCs w:val="24"/>
        </w:rPr>
        <w:t>月～第二年</w:t>
      </w:r>
      <w:r>
        <w:rPr>
          <w:rFonts w:ascii="宋体" w:hAnsi="宋体" w:eastAsia="宋体" w:cs="宋体"/>
          <w:spacing w:val="-57"/>
          <w:position w:val="17"/>
          <w:sz w:val="24"/>
          <w:szCs w:val="24"/>
        </w:rPr>
        <w:t xml:space="preserve"> </w:t>
      </w:r>
      <w:r>
        <w:rPr>
          <w:rFonts w:ascii="Times New Roman" w:hAnsi="Times New Roman" w:eastAsia="Times New Roman" w:cs="Times New Roman"/>
          <w:spacing w:val="-4"/>
          <w:position w:val="17"/>
          <w:sz w:val="24"/>
          <w:szCs w:val="24"/>
        </w:rPr>
        <w:t>4</w:t>
      </w:r>
      <w:r>
        <w:rPr>
          <w:rFonts w:ascii="Times New Roman" w:hAnsi="Times New Roman" w:eastAsia="Times New Roman" w:cs="Times New Roman"/>
          <w:spacing w:val="16"/>
          <w:position w:val="17"/>
          <w:sz w:val="24"/>
          <w:szCs w:val="24"/>
        </w:rPr>
        <w:t xml:space="preserve"> </w:t>
      </w:r>
      <w:r>
        <w:rPr>
          <w:rFonts w:ascii="宋体" w:hAnsi="宋体" w:eastAsia="宋体" w:cs="宋体"/>
          <w:spacing w:val="-5"/>
          <w:position w:val="17"/>
          <w:sz w:val="24"/>
          <w:szCs w:val="24"/>
        </w:rPr>
        <w:t>月</w:t>
      </w:r>
      <w:r>
        <w:rPr>
          <w:rFonts w:ascii="宋体" w:hAnsi="宋体" w:eastAsia="宋体" w:cs="宋体"/>
          <w:spacing w:val="-38"/>
          <w:position w:val="17"/>
          <w:sz w:val="24"/>
          <w:szCs w:val="24"/>
        </w:rPr>
        <w:t>），</w:t>
      </w:r>
      <w:r>
        <w:rPr>
          <w:rFonts w:ascii="宋体" w:hAnsi="宋体" w:eastAsia="宋体" w:cs="宋体"/>
          <w:spacing w:val="-5"/>
          <w:position w:val="17"/>
          <w:sz w:val="24"/>
          <w:szCs w:val="24"/>
        </w:rPr>
        <w:t>采用河床导流，主要进行导流输</w:t>
      </w:r>
    </w:p>
    <w:p>
      <w:pPr>
        <w:spacing w:before="1" w:line="219" w:lineRule="auto"/>
        <w:ind w:left="42"/>
        <w:rPr>
          <w:rFonts w:ascii="宋体" w:hAnsi="宋体" w:eastAsia="宋体" w:cs="宋体"/>
          <w:sz w:val="24"/>
          <w:szCs w:val="24"/>
        </w:rPr>
      </w:pPr>
      <w:r>
        <w:rPr>
          <w:rFonts w:ascii="宋体" w:hAnsi="宋体" w:eastAsia="宋体" w:cs="宋体"/>
          <w:spacing w:val="-3"/>
          <w:sz w:val="24"/>
          <w:szCs w:val="24"/>
        </w:rPr>
        <w:t>水放空隧洞的施工和开始拦河坝岸坡段开挖。</w:t>
      </w:r>
    </w:p>
    <w:p>
      <w:pPr>
        <w:spacing w:before="184" w:line="359" w:lineRule="auto"/>
        <w:ind w:left="39" w:right="54" w:firstLine="480"/>
        <w:rPr>
          <w:rFonts w:ascii="宋体" w:hAnsi="宋体" w:eastAsia="宋体" w:cs="宋体"/>
          <w:sz w:val="24"/>
          <w:szCs w:val="24"/>
        </w:rPr>
      </w:pPr>
      <w:r>
        <w:rPr>
          <w:rFonts w:ascii="宋体" w:hAnsi="宋体" w:eastAsia="宋体" w:cs="宋体"/>
          <w:spacing w:val="-4"/>
          <w:sz w:val="24"/>
          <w:szCs w:val="24"/>
        </w:rPr>
        <w:t>第</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个汛期导流</w:t>
      </w:r>
      <w:r>
        <w:rPr>
          <w:rFonts w:hint="eastAsia" w:ascii="宋体" w:hAnsi="宋体" w:eastAsia="宋体" w:cs="宋体"/>
          <w:spacing w:val="-4"/>
          <w:sz w:val="24"/>
          <w:szCs w:val="24"/>
          <w:lang w:eastAsia="zh-CN"/>
        </w:rPr>
        <w:t>度汛</w:t>
      </w:r>
      <w:r>
        <w:rPr>
          <w:rFonts w:ascii="宋体" w:hAnsi="宋体" w:eastAsia="宋体" w:cs="宋体"/>
          <w:spacing w:val="-4"/>
          <w:sz w:val="24"/>
          <w:szCs w:val="24"/>
        </w:rPr>
        <w:t>（第二年</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月～第二年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hint="eastAsia" w:ascii="宋体" w:hAnsi="宋体" w:eastAsia="宋体" w:cs="宋体"/>
          <w:spacing w:val="-4"/>
          <w:sz w:val="24"/>
          <w:szCs w:val="24"/>
          <w:lang w:eastAsia="zh-CN"/>
        </w:rPr>
        <w:t>度汛</w:t>
      </w:r>
      <w:r>
        <w:rPr>
          <w:rFonts w:ascii="宋体" w:hAnsi="宋体" w:eastAsia="宋体" w:cs="宋体"/>
          <w:spacing w:val="-4"/>
          <w:sz w:val="24"/>
          <w:szCs w:val="24"/>
        </w:rPr>
        <w:t>洪</w:t>
      </w:r>
      <w:r>
        <w:rPr>
          <w:rFonts w:ascii="宋体" w:hAnsi="宋体" w:eastAsia="宋体" w:cs="宋体"/>
          <w:spacing w:val="-5"/>
          <w:sz w:val="24"/>
          <w:szCs w:val="24"/>
        </w:rPr>
        <w:t>水标准</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 xml:space="preserve">5 </w:t>
      </w:r>
      <w:r>
        <w:rPr>
          <w:rFonts w:ascii="宋体" w:hAnsi="宋体" w:eastAsia="宋体" w:cs="宋体"/>
          <w:spacing w:val="-5"/>
          <w:sz w:val="24"/>
          <w:szCs w:val="24"/>
        </w:rPr>
        <w:t xml:space="preserve">年一遇，设  </w:t>
      </w:r>
      <w:r>
        <w:rPr>
          <w:rFonts w:ascii="宋体" w:hAnsi="宋体" w:eastAsia="宋体" w:cs="宋体"/>
          <w:spacing w:val="-2"/>
          <w:sz w:val="24"/>
          <w:szCs w:val="24"/>
        </w:rPr>
        <w:t>计最大洪峰流量</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101m</w:t>
      </w:r>
      <w:r>
        <w:rPr>
          <w:rFonts w:ascii="宋体" w:hAnsi="宋体" w:eastAsia="宋体" w:cs="宋体"/>
          <w:spacing w:val="-2"/>
          <w:sz w:val="24"/>
          <w:szCs w:val="24"/>
        </w:rPr>
        <w:t>³</w:t>
      </w:r>
      <w:r>
        <w:rPr>
          <w:rFonts w:ascii="Times New Roman" w:hAnsi="Times New Roman" w:eastAsia="Times New Roman" w:cs="Times New Roman"/>
          <w:spacing w:val="-2"/>
          <w:sz w:val="24"/>
          <w:szCs w:val="24"/>
        </w:rPr>
        <w:t>/s</w:t>
      </w:r>
      <w:r>
        <w:rPr>
          <w:rFonts w:ascii="宋体" w:hAnsi="宋体" w:eastAsia="宋体" w:cs="宋体"/>
          <w:spacing w:val="-2"/>
          <w:sz w:val="24"/>
          <w:szCs w:val="24"/>
        </w:rPr>
        <w:t>。原河床宽</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6m,</w:t>
      </w:r>
      <w:r>
        <w:rPr>
          <w:rFonts w:ascii="宋体" w:hAnsi="宋体" w:eastAsia="宋体" w:cs="宋体"/>
          <w:spacing w:val="-2"/>
          <w:sz w:val="24"/>
          <w:szCs w:val="24"/>
        </w:rPr>
        <w:t>河床坡度为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1/20.68</w:t>
      </w:r>
      <w:r>
        <w:rPr>
          <w:rFonts w:ascii="宋体" w:hAnsi="宋体" w:eastAsia="宋体" w:cs="宋体"/>
          <w:spacing w:val="-2"/>
          <w:sz w:val="24"/>
          <w:szCs w:val="24"/>
        </w:rPr>
        <w:t>，糙率取</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0.035</w:t>
      </w:r>
      <w:r>
        <w:rPr>
          <w:rFonts w:ascii="宋体" w:hAnsi="宋体" w:eastAsia="宋体" w:cs="宋体"/>
          <w:spacing w:val="-3"/>
          <w:sz w:val="24"/>
          <w:szCs w:val="24"/>
        </w:rPr>
        <w:t>，导流洞进</w:t>
      </w:r>
      <w:r>
        <w:rPr>
          <w:rFonts w:ascii="宋体" w:hAnsi="宋体" w:eastAsia="宋体" w:cs="宋体"/>
          <w:sz w:val="24"/>
          <w:szCs w:val="24"/>
        </w:rPr>
        <w:t xml:space="preserve"> </w:t>
      </w:r>
      <w:r>
        <w:rPr>
          <w:rFonts w:ascii="宋体" w:hAnsi="宋体" w:eastAsia="宋体" w:cs="宋体"/>
          <w:spacing w:val="-1"/>
          <w:sz w:val="24"/>
          <w:szCs w:val="24"/>
        </w:rPr>
        <w:t>口高程为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2023.0m</w:t>
      </w:r>
      <w:r>
        <w:rPr>
          <w:rFonts w:ascii="宋体" w:hAnsi="宋体" w:eastAsia="宋体" w:cs="宋体"/>
          <w:spacing w:val="-1"/>
          <w:sz w:val="24"/>
          <w:szCs w:val="24"/>
        </w:rPr>
        <w:t>，该处河床高程为</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2020m</w:t>
      </w:r>
      <w:r>
        <w:rPr>
          <w:rFonts w:ascii="宋体" w:hAnsi="宋体" w:eastAsia="宋体" w:cs="宋体"/>
          <w:spacing w:val="-1"/>
          <w:sz w:val="24"/>
          <w:szCs w:val="24"/>
        </w:rPr>
        <w:t>，河床导流洞进口高程下断面最大过</w:t>
      </w:r>
      <w:r>
        <w:rPr>
          <w:rFonts w:ascii="宋体" w:hAnsi="宋体" w:eastAsia="宋体" w:cs="宋体"/>
          <w:spacing w:val="-2"/>
          <w:sz w:val="24"/>
          <w:szCs w:val="24"/>
        </w:rPr>
        <w:t>流河</w:t>
      </w:r>
      <w:r>
        <w:rPr>
          <w:rFonts w:ascii="宋体" w:hAnsi="宋体" w:eastAsia="宋体" w:cs="宋体"/>
          <w:sz w:val="24"/>
          <w:szCs w:val="24"/>
        </w:rPr>
        <w:t xml:space="preserve">  </w:t>
      </w:r>
      <w:r>
        <w:rPr>
          <w:rFonts w:ascii="宋体" w:hAnsi="宋体" w:eastAsia="宋体" w:cs="宋体"/>
          <w:spacing w:val="-1"/>
          <w:sz w:val="24"/>
          <w:szCs w:val="24"/>
        </w:rPr>
        <w:t>能力为</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180m</w:t>
      </w:r>
      <w:r>
        <w:rPr>
          <w:rFonts w:ascii="宋体" w:hAnsi="宋体" w:eastAsia="宋体" w:cs="宋体"/>
          <w:spacing w:val="-1"/>
          <w:sz w:val="24"/>
          <w:szCs w:val="24"/>
        </w:rPr>
        <w:t>³</w:t>
      </w:r>
      <w:r>
        <w:rPr>
          <w:rFonts w:ascii="Times New Roman" w:hAnsi="Times New Roman" w:eastAsia="Times New Roman" w:cs="Times New Roman"/>
          <w:spacing w:val="-1"/>
          <w:sz w:val="24"/>
          <w:szCs w:val="24"/>
        </w:rPr>
        <w:t>/s</w:t>
      </w:r>
      <w:r>
        <w:rPr>
          <w:rFonts w:ascii="宋体" w:hAnsi="宋体" w:eastAsia="宋体" w:cs="宋体"/>
          <w:spacing w:val="-1"/>
          <w:sz w:val="24"/>
          <w:szCs w:val="24"/>
        </w:rPr>
        <w:t>，满足</w:t>
      </w:r>
      <w:r>
        <w:rPr>
          <w:rFonts w:hint="eastAsia" w:ascii="宋体" w:hAnsi="宋体" w:eastAsia="宋体" w:cs="宋体"/>
          <w:spacing w:val="-1"/>
          <w:sz w:val="24"/>
          <w:szCs w:val="24"/>
          <w:lang w:eastAsia="zh-CN"/>
        </w:rPr>
        <w:t>度汛</w:t>
      </w:r>
      <w:r>
        <w:rPr>
          <w:rFonts w:ascii="宋体" w:hAnsi="宋体" w:eastAsia="宋体" w:cs="宋体"/>
          <w:spacing w:val="-1"/>
          <w:sz w:val="24"/>
          <w:szCs w:val="24"/>
        </w:rPr>
        <w:t>要求，采取从原河床过流的方式</w:t>
      </w:r>
      <w:r>
        <w:rPr>
          <w:rFonts w:hint="eastAsia" w:ascii="宋体" w:hAnsi="宋体" w:eastAsia="宋体" w:cs="宋体"/>
          <w:spacing w:val="-1"/>
          <w:sz w:val="24"/>
          <w:szCs w:val="24"/>
          <w:lang w:eastAsia="zh-CN"/>
        </w:rPr>
        <w:t>度汛</w:t>
      </w:r>
      <w:r>
        <w:rPr>
          <w:rFonts w:ascii="宋体" w:hAnsi="宋体" w:eastAsia="宋体" w:cs="宋体"/>
          <w:spacing w:val="-1"/>
          <w:sz w:val="24"/>
          <w:szCs w:val="24"/>
        </w:rPr>
        <w:t>。在此期间完成导流</w:t>
      </w:r>
      <w:r>
        <w:rPr>
          <w:rFonts w:ascii="宋体" w:hAnsi="宋体" w:eastAsia="宋体" w:cs="宋体"/>
          <w:sz w:val="24"/>
          <w:szCs w:val="24"/>
        </w:rPr>
        <w:t xml:space="preserve">  隧洞的施工，隧洞进口底板高程高于河</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3m</w:t>
      </w:r>
      <w:r>
        <w:rPr>
          <w:rFonts w:ascii="Times New Roman" w:hAnsi="Times New Roman" w:eastAsia="Times New Roman" w:cs="Times New Roman"/>
          <w:spacing w:val="-1"/>
          <w:sz w:val="24"/>
          <w:szCs w:val="24"/>
        </w:rPr>
        <w:t>,</w:t>
      </w:r>
      <w:r>
        <w:rPr>
          <w:rFonts w:ascii="宋体" w:hAnsi="宋体" w:eastAsia="宋体" w:cs="宋体"/>
          <w:spacing w:val="-1"/>
          <w:sz w:val="24"/>
          <w:szCs w:val="24"/>
        </w:rPr>
        <w:t>洪水不会影响隧洞施工。完成大坝原河床</w:t>
      </w:r>
    </w:p>
    <w:p>
      <w:pPr>
        <w:spacing w:before="1" w:line="218" w:lineRule="auto"/>
        <w:ind w:left="38"/>
        <w:rPr>
          <w:rFonts w:ascii="宋体" w:hAnsi="宋体" w:eastAsia="宋体" w:cs="宋体"/>
          <w:sz w:val="24"/>
          <w:szCs w:val="24"/>
        </w:rPr>
      </w:pPr>
      <w:r>
        <w:rPr>
          <w:rFonts w:ascii="宋体" w:hAnsi="宋体" w:eastAsia="宋体" w:cs="宋体"/>
          <w:sz w:val="24"/>
          <w:szCs w:val="24"/>
        </w:rPr>
        <w:t>及岸坡的清基及截水槽开挖，截水槽河床段砼盖板浇筑，完</w:t>
      </w:r>
      <w:r>
        <w:rPr>
          <w:rFonts w:ascii="宋体" w:hAnsi="宋体" w:eastAsia="宋体" w:cs="宋体"/>
          <w:spacing w:val="-1"/>
          <w:sz w:val="24"/>
          <w:szCs w:val="24"/>
        </w:rPr>
        <w:t>成大坝部分坝基灌浆施</w:t>
      </w:r>
    </w:p>
    <w:p>
      <w:pPr>
        <w:spacing w:before="183" w:line="235" w:lineRule="auto"/>
        <w:ind w:left="42"/>
        <w:rPr>
          <w:rFonts w:ascii="宋体" w:hAnsi="宋体" w:eastAsia="宋体" w:cs="宋体"/>
          <w:sz w:val="24"/>
          <w:szCs w:val="24"/>
        </w:rPr>
      </w:pPr>
      <w:r>
        <w:rPr>
          <w:rFonts w:ascii="宋体" w:hAnsi="宋体" w:eastAsia="宋体" w:cs="宋体"/>
          <w:spacing w:val="-12"/>
          <w:sz w:val="24"/>
          <w:szCs w:val="24"/>
        </w:rPr>
        <w:t>工。</w:t>
      </w:r>
    </w:p>
    <w:p>
      <w:pPr>
        <w:spacing w:before="160" w:line="220" w:lineRule="auto"/>
        <w:ind w:left="519"/>
        <w:rPr>
          <w:rFonts w:ascii="宋体" w:hAnsi="宋体" w:eastAsia="宋体" w:cs="宋体"/>
          <w:sz w:val="24"/>
          <w:szCs w:val="24"/>
        </w:rPr>
      </w:pPr>
      <w:r>
        <w:rPr>
          <w:rFonts w:ascii="宋体" w:hAnsi="宋体" w:eastAsia="宋体" w:cs="宋体"/>
          <w:spacing w:val="-4"/>
          <w:sz w:val="24"/>
          <w:szCs w:val="24"/>
        </w:rPr>
        <w:t>第</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个枯期导流（第二年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月～第三年</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月）导流设计频率</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宋体" w:hAnsi="宋体" w:eastAsia="宋体" w:cs="宋体"/>
          <w:spacing w:val="-4"/>
          <w:sz w:val="24"/>
          <w:szCs w:val="24"/>
        </w:rPr>
        <w:t>的枯期洪水，</w:t>
      </w:r>
    </w:p>
    <w:p>
      <w:pPr>
        <w:spacing w:line="220" w:lineRule="auto"/>
        <w:rPr>
          <w:rFonts w:ascii="宋体" w:hAnsi="宋体" w:eastAsia="宋体" w:cs="宋体"/>
          <w:sz w:val="24"/>
          <w:szCs w:val="24"/>
        </w:rPr>
        <w:sectPr>
          <w:headerReference r:id="rId91" w:type="default"/>
          <w:footerReference r:id="rId92" w:type="default"/>
          <w:pgSz w:w="11907" w:h="16839"/>
          <w:pgMar w:top="1298" w:right="1387" w:bottom="1374" w:left="1501" w:header="1023" w:footer="1210" w:gutter="0"/>
        </w:sectPr>
      </w:pPr>
    </w:p>
    <w:p>
      <w:pPr>
        <w:spacing w:before="156" w:line="359" w:lineRule="auto"/>
        <w:ind w:left="37" w:right="130" w:firstLine="5"/>
        <w:jc w:val="both"/>
        <w:rPr>
          <w:rFonts w:ascii="宋体" w:hAnsi="宋体" w:eastAsia="宋体" w:cs="宋体"/>
          <w:sz w:val="24"/>
          <w:szCs w:val="24"/>
        </w:rPr>
      </w:pPr>
      <w:r>
        <w:rPr>
          <w:rFonts w:ascii="宋体" w:hAnsi="宋体" w:eastAsia="宋体" w:cs="宋体"/>
          <w:spacing w:val="-1"/>
          <w:sz w:val="24"/>
          <w:szCs w:val="24"/>
        </w:rPr>
        <w:t>设计最大洪峰流量</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9.98m</w:t>
      </w:r>
      <w:r>
        <w:rPr>
          <w:rFonts w:ascii="宋体" w:hAnsi="宋体" w:eastAsia="宋体" w:cs="宋体"/>
          <w:spacing w:val="-1"/>
          <w:sz w:val="24"/>
          <w:szCs w:val="24"/>
        </w:rPr>
        <w:t>³</w:t>
      </w:r>
      <w:r>
        <w:rPr>
          <w:rFonts w:ascii="Times New Roman" w:hAnsi="Times New Roman" w:eastAsia="Times New Roman" w:cs="Times New Roman"/>
          <w:spacing w:val="-1"/>
          <w:sz w:val="24"/>
          <w:szCs w:val="24"/>
        </w:rPr>
        <w:t>/s</w:t>
      </w:r>
      <w:r>
        <w:rPr>
          <w:rFonts w:ascii="宋体" w:hAnsi="宋体" w:eastAsia="宋体" w:cs="宋体"/>
          <w:spacing w:val="-1"/>
          <w:sz w:val="24"/>
          <w:szCs w:val="24"/>
        </w:rPr>
        <w:t>，采用导流隧洞导流。隧洞进口底板高程</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2023m</w:t>
      </w:r>
      <w:r>
        <w:rPr>
          <w:rFonts w:ascii="宋体" w:hAnsi="宋体" w:eastAsia="宋体" w:cs="宋体"/>
          <w:spacing w:val="-1"/>
          <w:sz w:val="24"/>
          <w:szCs w:val="24"/>
        </w:rPr>
        <w:t>，</w:t>
      </w:r>
      <w:r>
        <w:rPr>
          <w:rFonts w:ascii="宋体" w:hAnsi="宋体" w:eastAsia="宋体" w:cs="宋体"/>
          <w:spacing w:val="-2"/>
          <w:sz w:val="24"/>
          <w:szCs w:val="24"/>
        </w:rPr>
        <w:t>在隧洞</w:t>
      </w:r>
      <w:r>
        <w:rPr>
          <w:rFonts w:ascii="宋体" w:hAnsi="宋体" w:eastAsia="宋体" w:cs="宋体"/>
          <w:sz w:val="24"/>
          <w:szCs w:val="24"/>
        </w:rPr>
        <w:t xml:space="preserve"> </w:t>
      </w:r>
      <w:r>
        <w:rPr>
          <w:rFonts w:ascii="宋体" w:hAnsi="宋体" w:eastAsia="宋体" w:cs="宋体"/>
          <w:spacing w:val="-1"/>
          <w:sz w:val="24"/>
          <w:szCs w:val="24"/>
        </w:rPr>
        <w:t>进口下游修筑</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9.0m</w:t>
      </w:r>
      <w:r>
        <w:rPr>
          <w:rFonts w:ascii="Times New Roman" w:hAnsi="Times New Roman" w:eastAsia="Times New Roman" w:cs="Times New Roman"/>
          <w:spacing w:val="17"/>
          <w:sz w:val="24"/>
          <w:szCs w:val="24"/>
        </w:rPr>
        <w:t xml:space="preserve"> </w:t>
      </w:r>
      <w:r>
        <w:rPr>
          <w:rFonts w:ascii="宋体" w:hAnsi="宋体" w:eastAsia="宋体" w:cs="宋体"/>
          <w:spacing w:val="-1"/>
          <w:sz w:val="24"/>
          <w:szCs w:val="24"/>
        </w:rPr>
        <w:t>高围堰，洪水经过导流隧洞即可满足枯期导流。此期间将大坝回</w:t>
      </w:r>
    </w:p>
    <w:p>
      <w:pPr>
        <w:spacing w:line="233" w:lineRule="auto"/>
        <w:ind w:left="41"/>
        <w:rPr>
          <w:rFonts w:ascii="宋体" w:hAnsi="宋体" w:eastAsia="宋体" w:cs="宋体"/>
          <w:sz w:val="24"/>
          <w:szCs w:val="24"/>
        </w:rPr>
      </w:pPr>
      <w:r>
        <w:rPr>
          <w:rFonts w:ascii="宋体" w:hAnsi="宋体" w:eastAsia="宋体" w:cs="宋体"/>
          <w:spacing w:val="-2"/>
          <w:sz w:val="24"/>
          <w:szCs w:val="24"/>
        </w:rPr>
        <w:t>填至抬头坝设计高程</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2056.50m</w:t>
      </w:r>
      <w:r>
        <w:rPr>
          <w:rFonts w:ascii="宋体" w:hAnsi="宋体" w:eastAsia="宋体" w:cs="宋体"/>
          <w:spacing w:val="-2"/>
          <w:sz w:val="24"/>
          <w:szCs w:val="24"/>
        </w:rPr>
        <w:t>，总填筑工程量为</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33.51</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2"/>
          <w:sz w:val="24"/>
          <w:szCs w:val="24"/>
        </w:rPr>
        <w:t>m</w:t>
      </w:r>
      <w:r>
        <w:rPr>
          <w:rFonts w:ascii="宋体" w:hAnsi="宋体" w:eastAsia="宋体" w:cs="宋体"/>
          <w:spacing w:val="-2"/>
          <w:sz w:val="24"/>
          <w:szCs w:val="24"/>
        </w:rPr>
        <w:t>³。</w:t>
      </w:r>
    </w:p>
    <w:p>
      <w:pPr>
        <w:spacing w:before="164" w:line="359" w:lineRule="auto"/>
        <w:ind w:left="39" w:right="115" w:firstLine="480"/>
        <w:rPr>
          <w:rFonts w:ascii="宋体" w:hAnsi="宋体" w:eastAsia="宋体" w:cs="宋体"/>
          <w:sz w:val="24"/>
          <w:szCs w:val="24"/>
        </w:rPr>
      </w:pPr>
      <w:r>
        <w:rPr>
          <w:rFonts w:ascii="宋体" w:hAnsi="宋体" w:eastAsia="宋体" w:cs="宋体"/>
          <w:spacing w:val="-3"/>
          <w:sz w:val="24"/>
          <w:szCs w:val="24"/>
        </w:rPr>
        <w:t>第</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个汛期导流</w:t>
      </w:r>
      <w:r>
        <w:rPr>
          <w:rFonts w:hint="eastAsia" w:ascii="宋体" w:hAnsi="宋体" w:eastAsia="宋体" w:cs="宋体"/>
          <w:spacing w:val="-3"/>
          <w:sz w:val="24"/>
          <w:szCs w:val="24"/>
          <w:lang w:eastAsia="zh-CN"/>
        </w:rPr>
        <w:t>度汛</w:t>
      </w:r>
      <w:r>
        <w:rPr>
          <w:rFonts w:ascii="宋体" w:hAnsi="宋体" w:eastAsia="宋体" w:cs="宋体"/>
          <w:spacing w:val="-3"/>
          <w:sz w:val="24"/>
          <w:szCs w:val="24"/>
        </w:rPr>
        <w:t>（第三年</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月～第三年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hint="eastAsia" w:ascii="宋体" w:hAnsi="宋体" w:eastAsia="宋体" w:cs="宋体"/>
          <w:spacing w:val="-3"/>
          <w:sz w:val="24"/>
          <w:szCs w:val="24"/>
          <w:lang w:eastAsia="zh-CN"/>
        </w:rPr>
        <w:t>度汛</w:t>
      </w:r>
      <w:r>
        <w:rPr>
          <w:rFonts w:ascii="宋体" w:hAnsi="宋体" w:eastAsia="宋体" w:cs="宋体"/>
          <w:spacing w:val="-3"/>
          <w:sz w:val="24"/>
          <w:szCs w:val="24"/>
        </w:rPr>
        <w:t>洪水标准</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20 </w:t>
      </w:r>
      <w:r>
        <w:rPr>
          <w:rFonts w:ascii="宋体" w:hAnsi="宋体" w:eastAsia="宋体" w:cs="宋体"/>
          <w:spacing w:val="-3"/>
          <w:sz w:val="24"/>
          <w:szCs w:val="24"/>
        </w:rPr>
        <w:t>年一遇，设</w:t>
      </w:r>
      <w:r>
        <w:rPr>
          <w:rFonts w:ascii="宋体" w:hAnsi="宋体" w:eastAsia="宋体" w:cs="宋体"/>
          <w:sz w:val="24"/>
          <w:szCs w:val="24"/>
        </w:rPr>
        <w:t xml:space="preserve"> </w:t>
      </w:r>
      <w:r>
        <w:rPr>
          <w:rFonts w:ascii="宋体" w:hAnsi="宋体" w:eastAsia="宋体" w:cs="宋体"/>
          <w:spacing w:val="-1"/>
          <w:sz w:val="24"/>
          <w:szCs w:val="24"/>
        </w:rPr>
        <w:t>计最大洪峰流量</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177m</w:t>
      </w:r>
      <w:r>
        <w:rPr>
          <w:rFonts w:ascii="宋体" w:hAnsi="宋体" w:eastAsia="宋体" w:cs="宋体"/>
          <w:spacing w:val="-1"/>
          <w:sz w:val="24"/>
          <w:szCs w:val="24"/>
        </w:rPr>
        <w:t>³</w:t>
      </w:r>
      <w:r>
        <w:rPr>
          <w:rFonts w:ascii="Times New Roman" w:hAnsi="Times New Roman" w:eastAsia="Times New Roman" w:cs="Times New Roman"/>
          <w:spacing w:val="-1"/>
          <w:sz w:val="24"/>
          <w:szCs w:val="24"/>
        </w:rPr>
        <w:t>/s</w:t>
      </w:r>
      <w:r>
        <w:rPr>
          <w:rFonts w:ascii="宋体" w:hAnsi="宋体" w:eastAsia="宋体" w:cs="宋体"/>
          <w:spacing w:val="-1"/>
          <w:sz w:val="24"/>
          <w:szCs w:val="24"/>
        </w:rPr>
        <w:t>，采取抬头坝挡水，导流隧洞导流</w:t>
      </w:r>
      <w:r>
        <w:rPr>
          <w:rFonts w:hint="eastAsia" w:ascii="宋体" w:hAnsi="宋体" w:eastAsia="宋体" w:cs="宋体"/>
          <w:spacing w:val="-1"/>
          <w:sz w:val="24"/>
          <w:szCs w:val="24"/>
          <w:lang w:eastAsia="zh-CN"/>
        </w:rPr>
        <w:t>度汛</w:t>
      </w:r>
      <w:r>
        <w:rPr>
          <w:rFonts w:ascii="宋体" w:hAnsi="宋体" w:eastAsia="宋体" w:cs="宋体"/>
          <w:spacing w:val="-1"/>
          <w:sz w:val="24"/>
          <w:szCs w:val="24"/>
        </w:rPr>
        <w:t>。在此期间进行剩余</w:t>
      </w:r>
    </w:p>
    <w:p>
      <w:pPr>
        <w:spacing w:before="1" w:line="218" w:lineRule="auto"/>
        <w:ind w:left="42"/>
        <w:rPr>
          <w:rFonts w:ascii="宋体" w:hAnsi="宋体" w:eastAsia="宋体" w:cs="宋体"/>
          <w:sz w:val="24"/>
          <w:szCs w:val="24"/>
        </w:rPr>
      </w:pPr>
      <w:r>
        <w:rPr>
          <w:rFonts w:ascii="宋体" w:hAnsi="宋体" w:eastAsia="宋体" w:cs="宋体"/>
          <w:spacing w:val="-6"/>
          <w:sz w:val="24"/>
          <w:szCs w:val="24"/>
        </w:rPr>
        <w:t>部分帷幕灌浆。</w:t>
      </w:r>
    </w:p>
    <w:p>
      <w:pPr>
        <w:spacing w:before="182" w:line="467" w:lineRule="exact"/>
        <w:ind w:left="519"/>
        <w:rPr>
          <w:rFonts w:ascii="宋体" w:hAnsi="宋体" w:eastAsia="宋体" w:cs="宋体"/>
          <w:sz w:val="24"/>
          <w:szCs w:val="24"/>
        </w:rPr>
      </w:pPr>
      <w:r>
        <w:rPr>
          <w:rFonts w:ascii="宋体" w:hAnsi="宋体" w:eastAsia="宋体" w:cs="宋体"/>
          <w:spacing w:val="-2"/>
          <w:position w:val="17"/>
          <w:sz w:val="24"/>
          <w:szCs w:val="24"/>
        </w:rPr>
        <w:t>第</w:t>
      </w:r>
      <w:r>
        <w:rPr>
          <w:rFonts w:ascii="宋体" w:hAnsi="宋体" w:eastAsia="宋体" w:cs="宋体"/>
          <w:spacing w:val="-50"/>
          <w:position w:val="17"/>
          <w:sz w:val="24"/>
          <w:szCs w:val="24"/>
        </w:rPr>
        <w:t xml:space="preserve"> </w:t>
      </w:r>
      <w:r>
        <w:rPr>
          <w:rFonts w:ascii="Times New Roman" w:hAnsi="Times New Roman" w:eastAsia="Times New Roman" w:cs="Times New Roman"/>
          <w:spacing w:val="-2"/>
          <w:position w:val="17"/>
          <w:sz w:val="24"/>
          <w:szCs w:val="24"/>
        </w:rPr>
        <w:t xml:space="preserve">3 </w:t>
      </w:r>
      <w:r>
        <w:rPr>
          <w:rFonts w:ascii="宋体" w:hAnsi="宋体" w:eastAsia="宋体" w:cs="宋体"/>
          <w:spacing w:val="-2"/>
          <w:position w:val="17"/>
          <w:sz w:val="24"/>
          <w:szCs w:val="24"/>
        </w:rPr>
        <w:t>个枯期导流（第三年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2"/>
          <w:position w:val="17"/>
          <w:sz w:val="24"/>
          <w:szCs w:val="24"/>
        </w:rPr>
        <w:t>12</w:t>
      </w:r>
      <w:r>
        <w:rPr>
          <w:rFonts w:ascii="Times New Roman" w:hAnsi="Times New Roman" w:eastAsia="Times New Roman" w:cs="Times New Roman"/>
          <w:spacing w:val="16"/>
          <w:position w:val="17"/>
          <w:sz w:val="24"/>
          <w:szCs w:val="24"/>
        </w:rPr>
        <w:t xml:space="preserve"> </w:t>
      </w:r>
      <w:r>
        <w:rPr>
          <w:rFonts w:ascii="宋体" w:hAnsi="宋体" w:eastAsia="宋体" w:cs="宋体"/>
          <w:spacing w:val="-2"/>
          <w:position w:val="17"/>
          <w:sz w:val="24"/>
          <w:szCs w:val="24"/>
        </w:rPr>
        <w:t>月～第四年</w:t>
      </w:r>
      <w:r>
        <w:rPr>
          <w:rFonts w:ascii="宋体" w:hAnsi="宋体" w:eastAsia="宋体" w:cs="宋体"/>
          <w:spacing w:val="-57"/>
          <w:position w:val="17"/>
          <w:sz w:val="24"/>
          <w:szCs w:val="24"/>
        </w:rPr>
        <w:t xml:space="preserve"> </w:t>
      </w:r>
      <w:r>
        <w:rPr>
          <w:rFonts w:ascii="Times New Roman" w:hAnsi="Times New Roman" w:eastAsia="Times New Roman" w:cs="Times New Roman"/>
          <w:spacing w:val="-2"/>
          <w:position w:val="17"/>
          <w:sz w:val="24"/>
          <w:szCs w:val="24"/>
        </w:rPr>
        <w:t>4</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2"/>
          <w:position w:val="17"/>
          <w:sz w:val="24"/>
          <w:szCs w:val="24"/>
        </w:rPr>
        <w:t>月）采用大坝</w:t>
      </w:r>
      <w:r>
        <w:rPr>
          <w:rFonts w:ascii="宋体" w:hAnsi="宋体" w:eastAsia="宋体" w:cs="宋体"/>
          <w:spacing w:val="-3"/>
          <w:position w:val="17"/>
          <w:sz w:val="24"/>
          <w:szCs w:val="24"/>
        </w:rPr>
        <w:t>挡水，导流洞导流。在</w:t>
      </w:r>
    </w:p>
    <w:p>
      <w:pPr>
        <w:spacing w:line="219" w:lineRule="auto"/>
        <w:ind w:left="40"/>
        <w:rPr>
          <w:rFonts w:ascii="宋体" w:hAnsi="宋体" w:eastAsia="宋体" w:cs="宋体"/>
          <w:sz w:val="24"/>
          <w:szCs w:val="24"/>
        </w:rPr>
      </w:pPr>
      <w:r>
        <w:rPr>
          <w:rFonts w:ascii="宋体" w:hAnsi="宋体" w:eastAsia="宋体" w:cs="宋体"/>
          <w:spacing w:val="-3"/>
          <w:sz w:val="24"/>
          <w:szCs w:val="24"/>
        </w:rPr>
        <w:t>此期间将大坝由抬头坝开始填筑。</w:t>
      </w:r>
    </w:p>
    <w:p>
      <w:pPr>
        <w:spacing w:before="181" w:line="467" w:lineRule="exact"/>
        <w:ind w:left="519"/>
        <w:rPr>
          <w:rFonts w:ascii="宋体" w:hAnsi="宋体" w:eastAsia="宋体" w:cs="宋体"/>
          <w:sz w:val="24"/>
          <w:szCs w:val="24"/>
        </w:rPr>
      </w:pPr>
      <w:r>
        <w:rPr>
          <w:rFonts w:ascii="宋体" w:hAnsi="宋体" w:eastAsia="宋体" w:cs="宋体"/>
          <w:spacing w:val="-3"/>
          <w:position w:val="17"/>
          <w:sz w:val="24"/>
          <w:szCs w:val="24"/>
        </w:rPr>
        <w:t>第</w:t>
      </w:r>
      <w:r>
        <w:rPr>
          <w:rFonts w:ascii="宋体" w:hAnsi="宋体" w:eastAsia="宋体" w:cs="宋体"/>
          <w:spacing w:val="-40"/>
          <w:position w:val="17"/>
          <w:sz w:val="24"/>
          <w:szCs w:val="24"/>
        </w:rPr>
        <w:t xml:space="preserve"> </w:t>
      </w:r>
      <w:r>
        <w:rPr>
          <w:rFonts w:ascii="Times New Roman" w:hAnsi="Times New Roman" w:eastAsia="Times New Roman" w:cs="Times New Roman"/>
          <w:spacing w:val="-3"/>
          <w:position w:val="17"/>
          <w:sz w:val="24"/>
          <w:szCs w:val="24"/>
        </w:rPr>
        <w:t xml:space="preserve">3 </w:t>
      </w:r>
      <w:r>
        <w:rPr>
          <w:rFonts w:ascii="宋体" w:hAnsi="宋体" w:eastAsia="宋体" w:cs="宋体"/>
          <w:spacing w:val="-3"/>
          <w:position w:val="17"/>
          <w:sz w:val="24"/>
          <w:szCs w:val="24"/>
        </w:rPr>
        <w:t>个汛期导流（第四年</w:t>
      </w:r>
      <w:r>
        <w:rPr>
          <w:rFonts w:ascii="宋体" w:hAnsi="宋体" w:eastAsia="宋体" w:cs="宋体"/>
          <w:spacing w:val="-49"/>
          <w:position w:val="17"/>
          <w:sz w:val="24"/>
          <w:szCs w:val="24"/>
        </w:rPr>
        <w:t xml:space="preserve"> </w:t>
      </w:r>
      <w:r>
        <w:rPr>
          <w:rFonts w:ascii="Times New Roman" w:hAnsi="Times New Roman" w:eastAsia="Times New Roman" w:cs="Times New Roman"/>
          <w:spacing w:val="-3"/>
          <w:position w:val="17"/>
          <w:sz w:val="24"/>
          <w:szCs w:val="24"/>
        </w:rPr>
        <w:t>5</w:t>
      </w:r>
      <w:r>
        <w:rPr>
          <w:rFonts w:ascii="Times New Roman" w:hAnsi="Times New Roman" w:eastAsia="Times New Roman" w:cs="Times New Roman"/>
          <w:spacing w:val="16"/>
          <w:position w:val="17"/>
          <w:sz w:val="24"/>
          <w:szCs w:val="24"/>
        </w:rPr>
        <w:t xml:space="preserve"> </w:t>
      </w:r>
      <w:r>
        <w:rPr>
          <w:rFonts w:ascii="宋体" w:hAnsi="宋体" w:eastAsia="宋体" w:cs="宋体"/>
          <w:spacing w:val="-3"/>
          <w:position w:val="17"/>
          <w:sz w:val="24"/>
          <w:szCs w:val="24"/>
        </w:rPr>
        <w:t>月～第四年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3"/>
          <w:position w:val="17"/>
          <w:sz w:val="24"/>
          <w:szCs w:val="24"/>
        </w:rPr>
        <w:t>11</w:t>
      </w:r>
      <w:r>
        <w:rPr>
          <w:rFonts w:ascii="Times New Roman" w:hAnsi="Times New Roman" w:eastAsia="Times New Roman" w:cs="Times New Roman"/>
          <w:spacing w:val="15"/>
          <w:position w:val="17"/>
          <w:sz w:val="24"/>
          <w:szCs w:val="24"/>
        </w:rPr>
        <w:t xml:space="preserve"> </w:t>
      </w:r>
      <w:r>
        <w:rPr>
          <w:rFonts w:ascii="宋体" w:hAnsi="宋体" w:eastAsia="宋体" w:cs="宋体"/>
          <w:spacing w:val="-3"/>
          <w:position w:val="17"/>
          <w:sz w:val="24"/>
          <w:szCs w:val="24"/>
        </w:rPr>
        <w:t>月）采用大坝挡水，导流洞导流。在</w:t>
      </w:r>
    </w:p>
    <w:p>
      <w:pPr>
        <w:spacing w:line="220" w:lineRule="auto"/>
        <w:ind w:left="40"/>
        <w:rPr>
          <w:rFonts w:ascii="宋体" w:hAnsi="宋体" w:eastAsia="宋体" w:cs="宋体"/>
          <w:sz w:val="24"/>
          <w:szCs w:val="24"/>
        </w:rPr>
      </w:pPr>
      <w:r>
        <w:rPr>
          <w:rFonts w:ascii="宋体" w:hAnsi="宋体" w:eastAsia="宋体" w:cs="宋体"/>
          <w:spacing w:val="-4"/>
          <w:sz w:val="24"/>
          <w:szCs w:val="24"/>
        </w:rPr>
        <w:t>此期间进行溢洪道的施工。</w:t>
      </w:r>
    </w:p>
    <w:p>
      <w:pPr>
        <w:spacing w:before="180" w:line="467" w:lineRule="exact"/>
        <w:ind w:left="519"/>
        <w:rPr>
          <w:rFonts w:ascii="宋体" w:hAnsi="宋体" w:eastAsia="宋体" w:cs="宋体"/>
          <w:sz w:val="24"/>
          <w:szCs w:val="24"/>
        </w:rPr>
      </w:pPr>
      <w:r>
        <w:rPr>
          <w:rFonts w:ascii="宋体" w:hAnsi="宋体" w:eastAsia="宋体" w:cs="宋体"/>
          <w:spacing w:val="-2"/>
          <w:position w:val="17"/>
          <w:sz w:val="24"/>
          <w:szCs w:val="24"/>
        </w:rPr>
        <w:t>第</w:t>
      </w:r>
      <w:r>
        <w:rPr>
          <w:rFonts w:ascii="宋体" w:hAnsi="宋体" w:eastAsia="宋体" w:cs="宋体"/>
          <w:spacing w:val="-56"/>
          <w:position w:val="17"/>
          <w:sz w:val="24"/>
          <w:szCs w:val="24"/>
        </w:rPr>
        <w:t xml:space="preserve"> </w:t>
      </w:r>
      <w:r>
        <w:rPr>
          <w:rFonts w:ascii="Times New Roman" w:hAnsi="Times New Roman" w:eastAsia="Times New Roman" w:cs="Times New Roman"/>
          <w:spacing w:val="-2"/>
          <w:position w:val="17"/>
          <w:sz w:val="24"/>
          <w:szCs w:val="24"/>
        </w:rPr>
        <w:t xml:space="preserve">4 </w:t>
      </w:r>
      <w:r>
        <w:rPr>
          <w:rFonts w:ascii="宋体" w:hAnsi="宋体" w:eastAsia="宋体" w:cs="宋体"/>
          <w:spacing w:val="-2"/>
          <w:position w:val="17"/>
          <w:sz w:val="24"/>
          <w:szCs w:val="24"/>
        </w:rPr>
        <w:t>个枯期导流（第四年</w:t>
      </w:r>
      <w:r>
        <w:rPr>
          <w:rFonts w:ascii="宋体" w:hAnsi="宋体" w:eastAsia="宋体" w:cs="宋体"/>
          <w:spacing w:val="-32"/>
          <w:position w:val="17"/>
          <w:sz w:val="24"/>
          <w:szCs w:val="24"/>
        </w:rPr>
        <w:t xml:space="preserve"> </w:t>
      </w:r>
      <w:r>
        <w:rPr>
          <w:rFonts w:ascii="Times New Roman" w:hAnsi="Times New Roman" w:eastAsia="Times New Roman" w:cs="Times New Roman"/>
          <w:spacing w:val="-2"/>
          <w:position w:val="17"/>
          <w:sz w:val="24"/>
          <w:szCs w:val="24"/>
        </w:rPr>
        <w:t>12</w:t>
      </w:r>
      <w:r>
        <w:rPr>
          <w:rFonts w:ascii="Times New Roman" w:hAnsi="Times New Roman" w:eastAsia="Times New Roman" w:cs="Times New Roman"/>
          <w:spacing w:val="16"/>
          <w:position w:val="17"/>
          <w:sz w:val="24"/>
          <w:szCs w:val="24"/>
        </w:rPr>
        <w:t xml:space="preserve"> </w:t>
      </w:r>
      <w:r>
        <w:rPr>
          <w:rFonts w:ascii="宋体" w:hAnsi="宋体" w:eastAsia="宋体" w:cs="宋体"/>
          <w:spacing w:val="-2"/>
          <w:position w:val="17"/>
          <w:sz w:val="24"/>
          <w:szCs w:val="24"/>
        </w:rPr>
        <w:t>月～第五年</w:t>
      </w:r>
      <w:r>
        <w:rPr>
          <w:rFonts w:ascii="宋体" w:hAnsi="宋体" w:eastAsia="宋体" w:cs="宋体"/>
          <w:spacing w:val="-57"/>
          <w:position w:val="17"/>
          <w:sz w:val="24"/>
          <w:szCs w:val="24"/>
        </w:rPr>
        <w:t xml:space="preserve"> </w:t>
      </w:r>
      <w:r>
        <w:rPr>
          <w:rFonts w:ascii="Times New Roman" w:hAnsi="Times New Roman" w:eastAsia="Times New Roman" w:cs="Times New Roman"/>
          <w:spacing w:val="-2"/>
          <w:position w:val="17"/>
          <w:sz w:val="24"/>
          <w:szCs w:val="24"/>
        </w:rPr>
        <w:t>4</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2"/>
          <w:position w:val="17"/>
          <w:sz w:val="24"/>
          <w:szCs w:val="24"/>
        </w:rPr>
        <w:t>月）采用大坝挡水，导流洞</w:t>
      </w:r>
      <w:r>
        <w:rPr>
          <w:rFonts w:ascii="宋体" w:hAnsi="宋体" w:eastAsia="宋体" w:cs="宋体"/>
          <w:spacing w:val="-3"/>
          <w:position w:val="17"/>
          <w:sz w:val="24"/>
          <w:szCs w:val="24"/>
        </w:rPr>
        <w:t>导流。完</w:t>
      </w:r>
    </w:p>
    <w:p>
      <w:pPr>
        <w:spacing w:line="220" w:lineRule="auto"/>
        <w:ind w:left="41"/>
        <w:rPr>
          <w:rFonts w:ascii="宋体" w:hAnsi="宋体" w:eastAsia="宋体" w:cs="宋体"/>
          <w:sz w:val="24"/>
          <w:szCs w:val="24"/>
        </w:rPr>
      </w:pPr>
      <w:r>
        <w:rPr>
          <w:rFonts w:ascii="宋体" w:hAnsi="宋体" w:eastAsia="宋体" w:cs="宋体"/>
          <w:spacing w:val="-1"/>
          <w:sz w:val="24"/>
          <w:szCs w:val="24"/>
        </w:rPr>
        <w:t>成大坝的填筑，导流洞进行封堵。</w:t>
      </w:r>
    </w:p>
    <w:p>
      <w:pPr>
        <w:spacing w:before="181" w:line="234" w:lineRule="auto"/>
        <w:ind w:left="518"/>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导流建筑物</w:t>
      </w:r>
    </w:p>
    <w:p>
      <w:pPr>
        <w:spacing w:before="162" w:line="220" w:lineRule="auto"/>
        <w:ind w:left="597"/>
        <w:rPr>
          <w:rFonts w:ascii="宋体" w:hAnsi="宋体" w:eastAsia="宋体" w:cs="宋体"/>
          <w:sz w:val="24"/>
          <w:szCs w:val="24"/>
        </w:rPr>
      </w:pPr>
      <w:r>
        <w:rPr>
          <w:rFonts w:ascii="宋体" w:hAnsi="宋体" w:eastAsia="宋体" w:cs="宋体"/>
          <w:spacing w:val="-7"/>
          <w:sz w:val="24"/>
          <w:szCs w:val="24"/>
        </w:rPr>
        <w:t>Ⅰ</w:t>
      </w:r>
      <w:r>
        <w:rPr>
          <w:rFonts w:ascii="Times New Roman" w:hAnsi="Times New Roman" w:eastAsia="Times New Roman" w:cs="Times New Roman"/>
          <w:spacing w:val="-7"/>
          <w:sz w:val="24"/>
          <w:szCs w:val="24"/>
        </w:rPr>
        <w:t>.</w:t>
      </w:r>
      <w:r>
        <w:rPr>
          <w:rFonts w:ascii="宋体" w:hAnsi="宋体" w:eastAsia="宋体" w:cs="宋体"/>
          <w:spacing w:val="-7"/>
          <w:sz w:val="24"/>
          <w:szCs w:val="24"/>
        </w:rPr>
        <w:t>导流输水放空隧洞导流段</w:t>
      </w:r>
    </w:p>
    <w:p>
      <w:pPr>
        <w:spacing w:before="183" w:line="467" w:lineRule="exact"/>
        <w:ind w:left="522"/>
        <w:rPr>
          <w:rFonts w:ascii="宋体" w:hAnsi="宋体" w:eastAsia="宋体" w:cs="宋体"/>
          <w:sz w:val="24"/>
          <w:szCs w:val="24"/>
        </w:rPr>
      </w:pPr>
      <w:r>
        <w:rPr>
          <w:rFonts w:ascii="宋体" w:hAnsi="宋体" w:eastAsia="宋体" w:cs="宋体"/>
          <w:position w:val="17"/>
          <w:sz w:val="24"/>
          <w:szCs w:val="24"/>
        </w:rPr>
        <w:t>工程导流输水放空隧洞导流段主要负责枯期和汛期</w:t>
      </w:r>
      <w:r>
        <w:rPr>
          <w:rFonts w:ascii="宋体" w:hAnsi="宋体" w:eastAsia="宋体" w:cs="宋体"/>
          <w:spacing w:val="-1"/>
          <w:position w:val="17"/>
          <w:sz w:val="24"/>
          <w:szCs w:val="24"/>
        </w:rPr>
        <w:t>过流，导流隧洞布置于大坝右</w:t>
      </w:r>
    </w:p>
    <w:p>
      <w:pPr>
        <w:spacing w:line="219" w:lineRule="auto"/>
        <w:ind w:left="39"/>
        <w:rPr>
          <w:rFonts w:ascii="宋体" w:hAnsi="宋体" w:eastAsia="宋体" w:cs="宋体"/>
          <w:sz w:val="24"/>
          <w:szCs w:val="24"/>
        </w:rPr>
      </w:pPr>
      <w:r>
        <w:rPr>
          <w:rFonts w:ascii="宋体" w:hAnsi="宋体" w:eastAsia="宋体" w:cs="宋体"/>
          <w:spacing w:val="-1"/>
          <w:sz w:val="24"/>
          <w:szCs w:val="24"/>
        </w:rPr>
        <w:t>岸，导流段全长</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618.0m</w:t>
      </w:r>
      <w:r>
        <w:rPr>
          <w:rFonts w:ascii="宋体" w:hAnsi="宋体" w:eastAsia="宋体" w:cs="宋体"/>
          <w:spacing w:val="-1"/>
          <w:sz w:val="24"/>
          <w:szCs w:val="24"/>
        </w:rPr>
        <w:t>，导流专用段长</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207.12m</w:t>
      </w:r>
      <w:r>
        <w:rPr>
          <w:rFonts w:ascii="宋体" w:hAnsi="宋体" w:eastAsia="宋体" w:cs="宋体"/>
          <w:spacing w:val="-1"/>
          <w:sz w:val="24"/>
          <w:szCs w:val="24"/>
        </w:rPr>
        <w:t>，与输水</w:t>
      </w:r>
      <w:r>
        <w:rPr>
          <w:rFonts w:ascii="宋体" w:hAnsi="宋体" w:eastAsia="宋体" w:cs="宋体"/>
          <w:spacing w:val="-2"/>
          <w:sz w:val="24"/>
          <w:szCs w:val="24"/>
        </w:rPr>
        <w:t>放空隧洞共用段长</w:t>
      </w:r>
    </w:p>
    <w:p>
      <w:pPr>
        <w:spacing w:before="182" w:line="359" w:lineRule="auto"/>
        <w:ind w:left="36" w:right="157" w:hanging="3"/>
        <w:rPr>
          <w:rFonts w:ascii="宋体" w:hAnsi="宋体" w:eastAsia="宋体" w:cs="宋体"/>
          <w:sz w:val="24"/>
          <w:szCs w:val="24"/>
        </w:rPr>
      </w:pPr>
      <w:r>
        <w:rPr>
          <w:rFonts w:ascii="Times New Roman" w:hAnsi="Times New Roman" w:eastAsia="Times New Roman" w:cs="Times New Roman"/>
          <w:spacing w:val="-2"/>
          <w:sz w:val="24"/>
          <w:szCs w:val="24"/>
        </w:rPr>
        <w:t>400.88m</w:t>
      </w:r>
      <w:r>
        <w:rPr>
          <w:rFonts w:ascii="宋体" w:hAnsi="宋体" w:eastAsia="宋体" w:cs="宋体"/>
          <w:spacing w:val="-2"/>
          <w:sz w:val="24"/>
          <w:szCs w:val="24"/>
        </w:rPr>
        <w:t>，洞身段长</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591.0m</w:t>
      </w:r>
      <w:r>
        <w:rPr>
          <w:rFonts w:ascii="宋体" w:hAnsi="宋体" w:eastAsia="宋体" w:cs="宋体"/>
          <w:spacing w:val="-2"/>
          <w:sz w:val="24"/>
          <w:szCs w:val="24"/>
        </w:rPr>
        <w:t>，</w:t>
      </w:r>
      <w:r>
        <w:rPr>
          <w:rFonts w:ascii="宋体" w:hAnsi="宋体" w:eastAsia="宋体" w:cs="宋体"/>
          <w:spacing w:val="-3"/>
          <w:sz w:val="24"/>
          <w:szCs w:val="24"/>
        </w:rPr>
        <w:t>洞身为</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2.6m</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2.8m </w:t>
      </w:r>
      <w:r>
        <w:rPr>
          <w:rFonts w:ascii="宋体" w:hAnsi="宋体" w:eastAsia="宋体" w:cs="宋体"/>
          <w:spacing w:val="-3"/>
          <w:sz w:val="24"/>
          <w:szCs w:val="24"/>
        </w:rPr>
        <w:t>城门洞型，顶拱圆心角</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120</w:t>
      </w:r>
      <w:r>
        <w:rPr>
          <w:rFonts w:ascii="宋体" w:hAnsi="宋体" w:eastAsia="宋体" w:cs="宋体"/>
          <w:spacing w:val="-3"/>
          <w:sz w:val="24"/>
          <w:szCs w:val="24"/>
        </w:rPr>
        <w:t>°,</w:t>
      </w:r>
      <w:r>
        <w:rPr>
          <w:rFonts w:ascii="宋体" w:hAnsi="宋体" w:eastAsia="宋体" w:cs="宋体"/>
          <w:spacing w:val="60"/>
          <w:sz w:val="24"/>
          <w:szCs w:val="24"/>
        </w:rPr>
        <w:t xml:space="preserve"> </w:t>
      </w:r>
      <w:r>
        <w:rPr>
          <w:rFonts w:ascii="Times New Roman" w:hAnsi="Times New Roman" w:eastAsia="Times New Roman" w:cs="Times New Roman"/>
          <w:spacing w:val="-3"/>
          <w:sz w:val="24"/>
          <w:szCs w:val="24"/>
        </w:rPr>
        <w:t>C25</w:t>
      </w:r>
      <w:r>
        <w:rPr>
          <w:rFonts w:ascii="Times New Roman" w:hAnsi="Times New Roman" w:eastAsia="Times New Roman" w:cs="Times New Roman"/>
          <w:sz w:val="24"/>
          <w:szCs w:val="24"/>
        </w:rPr>
        <w:t xml:space="preserve"> </w:t>
      </w:r>
      <w:r>
        <w:rPr>
          <w:rFonts w:ascii="宋体" w:hAnsi="宋体" w:eastAsia="宋体" w:cs="宋体"/>
          <w:sz w:val="24"/>
          <w:szCs w:val="24"/>
        </w:rPr>
        <w:t>钢筋砼衬砌，衬砌厚度</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40cm</w:t>
      </w:r>
      <w:r>
        <w:rPr>
          <w:rFonts w:ascii="宋体" w:hAnsi="宋体" w:eastAsia="宋体" w:cs="宋体"/>
          <w:sz w:val="24"/>
          <w:szCs w:val="24"/>
        </w:rPr>
        <w:t>，施工导流结束后，导流洞</w:t>
      </w:r>
      <w:r>
        <w:rPr>
          <w:rFonts w:ascii="宋体" w:hAnsi="宋体" w:eastAsia="宋体" w:cs="宋体"/>
          <w:spacing w:val="-1"/>
          <w:sz w:val="24"/>
          <w:szCs w:val="24"/>
        </w:rPr>
        <w:t>进口放置叠梁后采用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C20 </w:t>
      </w:r>
      <w:r>
        <w:rPr>
          <w:rFonts w:ascii="宋体" w:hAnsi="宋体" w:eastAsia="宋体" w:cs="宋体"/>
          <w:spacing w:val="-1"/>
          <w:sz w:val="24"/>
          <w:szCs w:val="24"/>
        </w:rPr>
        <w:t>砼</w:t>
      </w:r>
    </w:p>
    <w:p>
      <w:pPr>
        <w:spacing w:before="1" w:line="219" w:lineRule="auto"/>
        <w:ind w:left="38"/>
        <w:rPr>
          <w:rFonts w:ascii="宋体" w:hAnsi="宋体" w:eastAsia="宋体" w:cs="宋体"/>
          <w:sz w:val="24"/>
          <w:szCs w:val="24"/>
        </w:rPr>
      </w:pPr>
      <w:r>
        <w:rPr>
          <w:rFonts w:ascii="宋体" w:hAnsi="宋体" w:eastAsia="宋体" w:cs="宋体"/>
          <w:sz w:val="24"/>
          <w:szCs w:val="24"/>
        </w:rPr>
        <w:t>封堵，与输水放空隧洞共用段铺设</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DN1400 </w:t>
      </w:r>
      <w:r>
        <w:rPr>
          <w:rFonts w:ascii="宋体" w:hAnsi="宋体" w:eastAsia="宋体" w:cs="宋体"/>
          <w:sz w:val="24"/>
          <w:szCs w:val="24"/>
        </w:rPr>
        <w:t>钢管</w:t>
      </w:r>
      <w:r>
        <w:rPr>
          <w:rFonts w:ascii="宋体" w:hAnsi="宋体" w:eastAsia="宋体" w:cs="宋体"/>
          <w:spacing w:val="-1"/>
          <w:sz w:val="24"/>
          <w:szCs w:val="24"/>
        </w:rPr>
        <w:t>用于输水、放空及放生态流量。</w:t>
      </w:r>
    </w:p>
    <w:p>
      <w:pPr>
        <w:spacing w:before="181" w:line="220" w:lineRule="auto"/>
        <w:ind w:left="561"/>
        <w:rPr>
          <w:rFonts w:ascii="宋体" w:hAnsi="宋体" w:eastAsia="宋体" w:cs="宋体"/>
          <w:sz w:val="24"/>
          <w:szCs w:val="24"/>
        </w:rPr>
      </w:pPr>
      <w:r>
        <w:rPr>
          <w:rFonts w:ascii="宋体" w:hAnsi="宋体" w:eastAsia="宋体" w:cs="宋体"/>
          <w:spacing w:val="-7"/>
          <w:sz w:val="24"/>
          <w:szCs w:val="24"/>
        </w:rPr>
        <w:t>Ⅱ</w:t>
      </w:r>
      <w:r>
        <w:rPr>
          <w:rFonts w:ascii="Times New Roman" w:hAnsi="Times New Roman" w:eastAsia="Times New Roman" w:cs="Times New Roman"/>
          <w:spacing w:val="-7"/>
          <w:sz w:val="24"/>
          <w:szCs w:val="24"/>
        </w:rPr>
        <w:t>.</w:t>
      </w:r>
      <w:r>
        <w:rPr>
          <w:rFonts w:ascii="宋体" w:hAnsi="宋体" w:eastAsia="宋体" w:cs="宋体"/>
          <w:spacing w:val="-7"/>
          <w:sz w:val="24"/>
          <w:szCs w:val="24"/>
        </w:rPr>
        <w:t>度汛抬头坝</w:t>
      </w:r>
    </w:p>
    <w:p>
      <w:pPr>
        <w:spacing w:before="181" w:line="359" w:lineRule="auto"/>
        <w:ind w:left="41" w:right="39" w:firstLine="481"/>
        <w:rPr>
          <w:rFonts w:ascii="宋体" w:hAnsi="宋体" w:eastAsia="宋体" w:cs="宋体"/>
          <w:sz w:val="24"/>
          <w:szCs w:val="24"/>
        </w:rPr>
      </w:pPr>
      <w:r>
        <w:rPr>
          <w:rFonts w:ascii="宋体" w:hAnsi="宋体" w:eastAsia="宋体" w:cs="宋体"/>
          <w:spacing w:val="-1"/>
          <w:sz w:val="24"/>
          <w:szCs w:val="24"/>
        </w:rPr>
        <w:t>工程施工的汛期施工采用坝体挡水度汛。汛期最高洪水位为</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2054.91m</w:t>
      </w:r>
      <w:r>
        <w:rPr>
          <w:rFonts w:ascii="宋体" w:hAnsi="宋体" w:eastAsia="宋体" w:cs="宋体"/>
          <w:spacing w:val="-1"/>
          <w:sz w:val="24"/>
          <w:szCs w:val="24"/>
        </w:rPr>
        <w:t>，计算坝顶</w:t>
      </w:r>
      <w:r>
        <w:rPr>
          <w:rFonts w:ascii="宋体" w:hAnsi="宋体" w:eastAsia="宋体" w:cs="宋体"/>
          <w:sz w:val="24"/>
          <w:szCs w:val="24"/>
        </w:rPr>
        <w:t xml:space="preserve"> </w:t>
      </w:r>
      <w:r>
        <w:rPr>
          <w:rFonts w:ascii="宋体" w:hAnsi="宋体" w:eastAsia="宋体" w:cs="宋体"/>
          <w:spacing w:val="-2"/>
          <w:sz w:val="24"/>
          <w:szCs w:val="24"/>
        </w:rPr>
        <w:t>高程为</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2056.45</w:t>
      </w:r>
      <w:r>
        <w:rPr>
          <w:rFonts w:ascii="宋体" w:hAnsi="宋体" w:eastAsia="宋体" w:cs="宋体"/>
          <w:spacing w:val="-2"/>
          <w:sz w:val="24"/>
          <w:szCs w:val="24"/>
        </w:rPr>
        <w:t>，度汛坝体顶高程为</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2056.5m</w:t>
      </w:r>
      <w:r>
        <w:rPr>
          <w:rFonts w:ascii="宋体" w:hAnsi="宋体" w:eastAsia="宋体" w:cs="宋体"/>
          <w:spacing w:val="-2"/>
          <w:sz w:val="24"/>
          <w:szCs w:val="24"/>
        </w:rPr>
        <w:t>，迎水面坝高</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41.7m</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，心墙高</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22m</w:t>
      </w:r>
      <w:r>
        <w:rPr>
          <w:rFonts w:ascii="宋体" w:hAnsi="宋体" w:eastAsia="宋体" w:cs="宋体"/>
          <w:spacing w:val="-2"/>
          <w:sz w:val="24"/>
          <w:szCs w:val="24"/>
        </w:rPr>
        <w:t>，坝顶</w:t>
      </w:r>
      <w:r>
        <w:rPr>
          <w:rFonts w:ascii="宋体" w:hAnsi="宋体" w:eastAsia="宋体" w:cs="宋体"/>
          <w:sz w:val="24"/>
          <w:szCs w:val="24"/>
        </w:rPr>
        <w:t xml:space="preserve"> </w:t>
      </w:r>
      <w:r>
        <w:rPr>
          <w:rFonts w:ascii="宋体" w:hAnsi="宋体" w:eastAsia="宋体" w:cs="宋体"/>
          <w:spacing w:val="-3"/>
          <w:sz w:val="24"/>
          <w:szCs w:val="24"/>
        </w:rPr>
        <w:t>宽</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8m</w:t>
      </w:r>
      <w:r>
        <w:rPr>
          <w:rFonts w:ascii="宋体" w:hAnsi="宋体" w:eastAsia="宋体" w:cs="宋体"/>
          <w:spacing w:val="-3"/>
          <w:sz w:val="24"/>
          <w:szCs w:val="24"/>
        </w:rPr>
        <w:t xml:space="preserve">，以 </w:t>
      </w:r>
      <w:r>
        <w:rPr>
          <w:rFonts w:ascii="Times New Roman" w:hAnsi="Times New Roman" w:eastAsia="Times New Roman" w:cs="Times New Roman"/>
          <w:spacing w:val="-3"/>
          <w:sz w:val="24"/>
          <w:szCs w:val="24"/>
        </w:rPr>
        <w:t xml:space="preserve">1:2.0 </w:t>
      </w:r>
      <w:r>
        <w:rPr>
          <w:rFonts w:ascii="宋体" w:hAnsi="宋体" w:eastAsia="宋体" w:cs="宋体"/>
          <w:spacing w:val="-3"/>
          <w:sz w:val="24"/>
          <w:szCs w:val="24"/>
        </w:rPr>
        <w:t>放坡至</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2027.0m</w:t>
      </w:r>
      <w:r>
        <w:rPr>
          <w:rFonts w:ascii="宋体" w:hAnsi="宋体" w:eastAsia="宋体" w:cs="宋体"/>
          <w:spacing w:val="-3"/>
          <w:sz w:val="24"/>
          <w:szCs w:val="24"/>
        </w:rPr>
        <w:t>（平台宽</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60m</w:t>
      </w:r>
      <w:r>
        <w:rPr>
          <w:rFonts w:ascii="宋体" w:hAnsi="宋体" w:eastAsia="宋体" w:cs="宋体"/>
          <w:spacing w:val="-62"/>
          <w:w w:val="98"/>
          <w:sz w:val="24"/>
          <w:szCs w:val="24"/>
        </w:rPr>
        <w:t>），</w:t>
      </w:r>
      <w:r>
        <w:rPr>
          <w:rFonts w:ascii="宋体" w:hAnsi="宋体" w:eastAsia="宋体" w:cs="宋体"/>
          <w:spacing w:val="-66"/>
          <w:sz w:val="24"/>
          <w:szCs w:val="24"/>
        </w:rPr>
        <w:t xml:space="preserve"> </w:t>
      </w:r>
      <w:r>
        <w:rPr>
          <w:rFonts w:ascii="Times New Roman" w:hAnsi="Times New Roman" w:eastAsia="Times New Roman" w:cs="Times New Roman"/>
          <w:spacing w:val="-3"/>
          <w:sz w:val="24"/>
          <w:szCs w:val="24"/>
        </w:rPr>
        <w:t xml:space="preserve">1:2.0 </w:t>
      </w:r>
      <w:r>
        <w:rPr>
          <w:rFonts w:ascii="宋体" w:hAnsi="宋体" w:eastAsia="宋体" w:cs="宋体"/>
          <w:spacing w:val="-3"/>
          <w:sz w:val="24"/>
          <w:szCs w:val="24"/>
        </w:rPr>
        <w:t>放坡至下游，度汛坝体防渗采</w:t>
      </w:r>
      <w:r>
        <w:rPr>
          <w:rFonts w:ascii="宋体" w:hAnsi="宋体" w:eastAsia="宋体" w:cs="宋体"/>
          <w:sz w:val="24"/>
          <w:szCs w:val="24"/>
        </w:rPr>
        <w:t xml:space="preserve">  </w:t>
      </w:r>
      <w:r>
        <w:rPr>
          <w:rFonts w:ascii="宋体" w:hAnsi="宋体" w:eastAsia="宋体" w:cs="宋体"/>
          <w:spacing w:val="-3"/>
          <w:sz w:val="24"/>
          <w:szCs w:val="24"/>
        </w:rPr>
        <w:t>用上游设置临时防水土工膜防渗，</w:t>
      </w:r>
      <w:r>
        <w:rPr>
          <w:rFonts w:ascii="宋体" w:hAnsi="宋体" w:eastAsia="宋体" w:cs="宋体"/>
          <w:spacing w:val="81"/>
          <w:sz w:val="24"/>
          <w:szCs w:val="24"/>
        </w:rPr>
        <w:t xml:space="preserve"> </w:t>
      </w:r>
      <w:r>
        <w:rPr>
          <w:rFonts w:ascii="宋体" w:hAnsi="宋体" w:eastAsia="宋体" w:cs="宋体"/>
          <w:spacing w:val="-3"/>
          <w:sz w:val="24"/>
          <w:szCs w:val="24"/>
        </w:rPr>
        <w:t>一期度汛坝体填筑量约为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33.51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宋体" w:hAnsi="宋体" w:eastAsia="宋体" w:cs="宋体"/>
          <w:spacing w:val="-3"/>
          <w:sz w:val="24"/>
          <w:szCs w:val="24"/>
        </w:rPr>
        <w:t>³,其中粘土心</w:t>
      </w:r>
    </w:p>
    <w:p>
      <w:pPr>
        <w:spacing w:line="234" w:lineRule="auto"/>
        <w:ind w:left="39"/>
        <w:rPr>
          <w:rFonts w:ascii="宋体" w:hAnsi="宋体" w:eastAsia="宋体" w:cs="宋体"/>
          <w:sz w:val="24"/>
          <w:szCs w:val="24"/>
        </w:rPr>
      </w:pPr>
      <w:r>
        <w:rPr>
          <w:rFonts w:ascii="宋体" w:hAnsi="宋体" w:eastAsia="宋体" w:cs="宋体"/>
          <w:spacing w:val="-5"/>
          <w:sz w:val="24"/>
          <w:szCs w:val="24"/>
        </w:rPr>
        <w:t>墙</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4.71</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5"/>
          <w:sz w:val="24"/>
          <w:szCs w:val="24"/>
        </w:rPr>
        <w:t>m</w:t>
      </w:r>
      <w:r>
        <w:rPr>
          <w:rFonts w:ascii="宋体" w:hAnsi="宋体" w:eastAsia="宋体" w:cs="宋体"/>
          <w:spacing w:val="-5"/>
          <w:sz w:val="24"/>
          <w:szCs w:val="24"/>
        </w:rPr>
        <w:t>³。</w:t>
      </w:r>
    </w:p>
    <w:p>
      <w:pPr>
        <w:spacing w:before="163" w:line="220" w:lineRule="auto"/>
        <w:ind w:left="518"/>
        <w:rPr>
          <w:rFonts w:ascii="宋体" w:hAnsi="宋体" w:eastAsia="宋体" w:cs="宋体"/>
          <w:sz w:val="24"/>
          <w:szCs w:val="24"/>
        </w:rPr>
      </w:pPr>
      <w:r>
        <w:rPr>
          <w:rFonts w:ascii="宋体" w:hAnsi="宋体" w:eastAsia="宋体" w:cs="宋体"/>
          <w:spacing w:val="-1"/>
          <w:sz w:val="24"/>
          <w:szCs w:val="24"/>
        </w:rPr>
        <w:t>Ⅲ</w:t>
      </w:r>
      <w:r>
        <w:rPr>
          <w:rFonts w:ascii="Times New Roman" w:hAnsi="Times New Roman" w:eastAsia="Times New Roman" w:cs="Times New Roman"/>
          <w:spacing w:val="-1"/>
          <w:sz w:val="24"/>
          <w:szCs w:val="24"/>
        </w:rPr>
        <w:t>.</w:t>
      </w:r>
      <w:r>
        <w:rPr>
          <w:rFonts w:ascii="宋体" w:hAnsi="宋体" w:eastAsia="宋体" w:cs="宋体"/>
          <w:spacing w:val="-1"/>
          <w:sz w:val="24"/>
          <w:szCs w:val="24"/>
        </w:rPr>
        <w:t>上游围堰</w:t>
      </w:r>
    </w:p>
    <w:p>
      <w:pPr>
        <w:spacing w:before="180" w:line="219" w:lineRule="auto"/>
        <w:ind w:left="521"/>
        <w:rPr>
          <w:rFonts w:ascii="宋体" w:hAnsi="宋体" w:eastAsia="宋体" w:cs="宋体"/>
          <w:sz w:val="24"/>
          <w:szCs w:val="24"/>
        </w:rPr>
      </w:pPr>
      <w:r>
        <w:rPr>
          <w:rFonts w:ascii="宋体" w:hAnsi="宋体" w:eastAsia="宋体" w:cs="宋体"/>
          <w:sz w:val="24"/>
          <w:szCs w:val="24"/>
        </w:rPr>
        <w:t>上游围堰为枯期围堰，围堰采用粘土斜墙土石</w:t>
      </w:r>
      <w:r>
        <w:rPr>
          <w:rFonts w:ascii="宋体" w:hAnsi="宋体" w:eastAsia="宋体" w:cs="宋体"/>
          <w:spacing w:val="-1"/>
          <w:sz w:val="24"/>
          <w:szCs w:val="24"/>
        </w:rPr>
        <w:t>围堰，上游围堰拦洪水位为</w:t>
      </w:r>
    </w:p>
    <w:p>
      <w:pPr>
        <w:spacing w:before="183" w:line="467" w:lineRule="exact"/>
        <w:ind w:left="35"/>
        <w:rPr>
          <w:rFonts w:ascii="宋体" w:hAnsi="宋体" w:eastAsia="宋体" w:cs="宋体"/>
          <w:sz w:val="24"/>
          <w:szCs w:val="24"/>
        </w:rPr>
      </w:pPr>
      <w:r>
        <w:rPr>
          <w:rFonts w:ascii="Times New Roman" w:hAnsi="Times New Roman" w:eastAsia="Times New Roman" w:cs="Times New Roman"/>
          <w:spacing w:val="-3"/>
          <w:position w:val="17"/>
          <w:sz w:val="24"/>
          <w:szCs w:val="24"/>
        </w:rPr>
        <w:t>2025.92m</w:t>
      </w:r>
      <w:r>
        <w:rPr>
          <w:rFonts w:ascii="Times New Roman" w:hAnsi="Times New Roman" w:eastAsia="Times New Roman" w:cs="Times New Roman"/>
          <w:spacing w:val="-23"/>
          <w:position w:val="17"/>
          <w:sz w:val="24"/>
          <w:szCs w:val="24"/>
        </w:rPr>
        <w:t xml:space="preserve"> </w:t>
      </w:r>
      <w:r>
        <w:rPr>
          <w:rFonts w:ascii="宋体" w:hAnsi="宋体" w:eastAsia="宋体" w:cs="宋体"/>
          <w:spacing w:val="-3"/>
          <w:position w:val="17"/>
          <w:sz w:val="24"/>
          <w:szCs w:val="24"/>
        </w:rPr>
        <w:t>，堰顶高程</w:t>
      </w:r>
      <w:r>
        <w:rPr>
          <w:rFonts w:ascii="宋体" w:hAnsi="宋体" w:eastAsia="宋体" w:cs="宋体"/>
          <w:spacing w:val="-55"/>
          <w:position w:val="17"/>
          <w:sz w:val="24"/>
          <w:szCs w:val="24"/>
        </w:rPr>
        <w:t xml:space="preserve"> </w:t>
      </w:r>
      <w:r>
        <w:rPr>
          <w:rFonts w:ascii="Times New Roman" w:hAnsi="Times New Roman" w:eastAsia="Times New Roman" w:cs="Times New Roman"/>
          <w:spacing w:val="-3"/>
          <w:position w:val="17"/>
          <w:sz w:val="24"/>
          <w:szCs w:val="24"/>
        </w:rPr>
        <w:t>2026.50m</w:t>
      </w:r>
      <w:r>
        <w:rPr>
          <w:rFonts w:ascii="宋体" w:hAnsi="宋体" w:eastAsia="宋体" w:cs="宋体"/>
          <w:spacing w:val="-3"/>
          <w:position w:val="17"/>
          <w:sz w:val="24"/>
          <w:szCs w:val="24"/>
        </w:rPr>
        <w:t>，堰高</w:t>
      </w:r>
      <w:r>
        <w:rPr>
          <w:rFonts w:ascii="宋体" w:hAnsi="宋体" w:eastAsia="宋体" w:cs="宋体"/>
          <w:spacing w:val="-39"/>
          <w:position w:val="17"/>
          <w:sz w:val="24"/>
          <w:szCs w:val="24"/>
        </w:rPr>
        <w:t xml:space="preserve"> </w:t>
      </w:r>
      <w:r>
        <w:rPr>
          <w:rFonts w:ascii="Times New Roman" w:hAnsi="Times New Roman" w:eastAsia="Times New Roman" w:cs="Times New Roman"/>
          <w:spacing w:val="-3"/>
          <w:position w:val="17"/>
          <w:sz w:val="24"/>
          <w:szCs w:val="24"/>
        </w:rPr>
        <w:t>9.0m</w:t>
      </w:r>
      <w:r>
        <w:rPr>
          <w:rFonts w:ascii="宋体" w:hAnsi="宋体" w:eastAsia="宋体" w:cs="宋体"/>
          <w:spacing w:val="-3"/>
          <w:position w:val="17"/>
          <w:sz w:val="24"/>
          <w:szCs w:val="24"/>
        </w:rPr>
        <w:t>，顶宽</w:t>
      </w:r>
      <w:r>
        <w:rPr>
          <w:rFonts w:ascii="宋体" w:hAnsi="宋体" w:eastAsia="宋体" w:cs="宋体"/>
          <w:spacing w:val="-30"/>
          <w:position w:val="17"/>
          <w:sz w:val="24"/>
          <w:szCs w:val="24"/>
        </w:rPr>
        <w:t xml:space="preserve"> </w:t>
      </w:r>
      <w:r>
        <w:rPr>
          <w:rFonts w:ascii="Times New Roman" w:hAnsi="Times New Roman" w:eastAsia="Times New Roman" w:cs="Times New Roman"/>
          <w:spacing w:val="-3"/>
          <w:position w:val="17"/>
          <w:sz w:val="24"/>
          <w:szCs w:val="24"/>
        </w:rPr>
        <w:t>5.0m</w:t>
      </w:r>
      <w:r>
        <w:rPr>
          <w:rFonts w:ascii="宋体" w:hAnsi="宋体" w:eastAsia="宋体" w:cs="宋体"/>
          <w:spacing w:val="-3"/>
          <w:position w:val="17"/>
          <w:sz w:val="24"/>
          <w:szCs w:val="24"/>
        </w:rPr>
        <w:t xml:space="preserve">，上、下游坡度分别为 </w:t>
      </w:r>
      <w:r>
        <w:rPr>
          <w:rFonts w:ascii="Times New Roman" w:hAnsi="Times New Roman" w:eastAsia="Times New Roman" w:cs="Times New Roman"/>
          <w:spacing w:val="-3"/>
          <w:position w:val="17"/>
          <w:sz w:val="24"/>
          <w:szCs w:val="24"/>
        </w:rPr>
        <w:t>1:2.0</w:t>
      </w:r>
      <w:r>
        <w:rPr>
          <w:rFonts w:ascii="宋体" w:hAnsi="宋体" w:eastAsia="宋体" w:cs="宋体"/>
          <w:spacing w:val="-3"/>
          <w:position w:val="17"/>
          <w:sz w:val="24"/>
          <w:szCs w:val="24"/>
        </w:rPr>
        <w:t>。</w:t>
      </w:r>
    </w:p>
    <w:p>
      <w:pPr>
        <w:spacing w:before="1" w:line="219" w:lineRule="auto"/>
        <w:ind w:left="41"/>
        <w:rPr>
          <w:rFonts w:ascii="宋体" w:hAnsi="宋体" w:eastAsia="宋体" w:cs="宋体"/>
          <w:sz w:val="24"/>
          <w:szCs w:val="24"/>
        </w:rPr>
      </w:pPr>
      <w:r>
        <w:rPr>
          <w:rFonts w:ascii="宋体" w:hAnsi="宋体" w:eastAsia="宋体" w:cs="宋体"/>
          <w:spacing w:val="-1"/>
          <w:sz w:val="24"/>
          <w:szCs w:val="24"/>
        </w:rPr>
        <w:t>上游围堰堰顶高程低于死水位，无需拆除。</w:t>
      </w:r>
    </w:p>
    <w:p>
      <w:pPr>
        <w:spacing w:before="181" w:line="220" w:lineRule="auto"/>
        <w:ind w:left="529"/>
        <w:rPr>
          <w:rFonts w:ascii="宋体" w:hAnsi="宋体" w:eastAsia="宋体" w:cs="宋体"/>
          <w:sz w:val="24"/>
          <w:szCs w:val="24"/>
        </w:rPr>
      </w:pPr>
      <w:r>
        <w:rPr>
          <w:rFonts w:ascii="宋体" w:hAnsi="宋体" w:eastAsia="宋体" w:cs="宋体"/>
          <w:spacing w:val="-3"/>
          <w:sz w:val="24"/>
          <w:szCs w:val="24"/>
        </w:rPr>
        <w:t>Ⅳ</w:t>
      </w:r>
      <w:r>
        <w:rPr>
          <w:rFonts w:ascii="Times New Roman" w:hAnsi="Times New Roman" w:eastAsia="Times New Roman" w:cs="Times New Roman"/>
          <w:spacing w:val="-3"/>
          <w:sz w:val="24"/>
          <w:szCs w:val="24"/>
        </w:rPr>
        <w:t>.</w:t>
      </w:r>
      <w:r>
        <w:rPr>
          <w:rFonts w:ascii="宋体" w:hAnsi="宋体" w:eastAsia="宋体" w:cs="宋体"/>
          <w:spacing w:val="-3"/>
          <w:sz w:val="24"/>
          <w:szCs w:val="24"/>
        </w:rPr>
        <w:t>导流沟</w:t>
      </w:r>
    </w:p>
    <w:p>
      <w:pPr>
        <w:spacing w:line="220" w:lineRule="auto"/>
        <w:rPr>
          <w:rFonts w:ascii="宋体" w:hAnsi="宋体" w:eastAsia="宋体" w:cs="宋体"/>
          <w:sz w:val="24"/>
          <w:szCs w:val="24"/>
        </w:rPr>
        <w:sectPr>
          <w:footerReference r:id="rId93" w:type="default"/>
          <w:pgSz w:w="11907" w:h="16839"/>
          <w:pgMar w:top="1298" w:right="1387" w:bottom="1374" w:left="1501" w:header="1023" w:footer="1210" w:gutter="0"/>
        </w:sectPr>
      </w:pPr>
    </w:p>
    <w:p>
      <w:pPr>
        <w:spacing w:before="156" w:line="359" w:lineRule="auto"/>
        <w:ind w:left="40" w:right="106" w:firstLine="482"/>
        <w:rPr>
          <w:rFonts w:ascii="宋体" w:hAnsi="宋体" w:eastAsia="宋体" w:cs="宋体"/>
          <w:sz w:val="24"/>
          <w:szCs w:val="24"/>
        </w:rPr>
      </w:pPr>
      <w:r>
        <w:rPr>
          <w:rFonts w:ascii="宋体" w:hAnsi="宋体" w:eastAsia="宋体" w:cs="宋体"/>
          <w:sz w:val="24"/>
          <w:szCs w:val="24"/>
        </w:rPr>
        <w:t>工程导流沟主要承担枯期围堰与导流隧洞之间的引</w:t>
      </w:r>
      <w:r>
        <w:rPr>
          <w:rFonts w:ascii="宋体" w:hAnsi="宋体" w:eastAsia="宋体" w:cs="宋体"/>
          <w:spacing w:val="-1"/>
          <w:sz w:val="24"/>
          <w:szCs w:val="24"/>
        </w:rPr>
        <w:t>流，导流沟过流能力需满足过</w:t>
      </w:r>
      <w:r>
        <w:rPr>
          <w:rFonts w:ascii="宋体" w:hAnsi="宋体" w:eastAsia="宋体" w:cs="宋体"/>
          <w:sz w:val="24"/>
          <w:szCs w:val="24"/>
        </w:rPr>
        <w:t xml:space="preserve"> </w:t>
      </w:r>
      <w:r>
        <w:rPr>
          <w:rFonts w:ascii="宋体" w:hAnsi="宋体" w:eastAsia="宋体" w:cs="宋体"/>
          <w:spacing w:val="-1"/>
          <w:sz w:val="24"/>
          <w:szCs w:val="24"/>
        </w:rPr>
        <w:t>流流量</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9.65m</w:t>
      </w:r>
      <w:r>
        <w:rPr>
          <w:rFonts w:ascii="宋体" w:hAnsi="宋体" w:eastAsia="宋体" w:cs="宋体"/>
          <w:spacing w:val="-1"/>
          <w:sz w:val="24"/>
          <w:szCs w:val="24"/>
        </w:rPr>
        <w:t>³</w:t>
      </w:r>
      <w:r>
        <w:rPr>
          <w:rFonts w:ascii="Times New Roman" w:hAnsi="Times New Roman" w:eastAsia="Times New Roman" w:cs="Times New Roman"/>
          <w:spacing w:val="-1"/>
          <w:sz w:val="24"/>
          <w:szCs w:val="24"/>
        </w:rPr>
        <w:t>/s</w:t>
      </w:r>
      <w:r>
        <w:rPr>
          <w:rFonts w:ascii="宋体" w:hAnsi="宋体" w:eastAsia="宋体" w:cs="宋体"/>
          <w:spacing w:val="-1"/>
          <w:sz w:val="24"/>
          <w:szCs w:val="24"/>
        </w:rPr>
        <w:t>，导流沟总长</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77</w:t>
      </w:r>
      <w:r>
        <w:rPr>
          <w:rFonts w:ascii="Times New Roman" w:hAnsi="Times New Roman" w:eastAsia="Times New Roman" w:cs="Times New Roman"/>
          <w:spacing w:val="-2"/>
          <w:sz w:val="24"/>
          <w:szCs w:val="24"/>
        </w:rPr>
        <w:t>m</w:t>
      </w:r>
      <w:r>
        <w:rPr>
          <w:rFonts w:ascii="宋体" w:hAnsi="宋体" w:eastAsia="宋体" w:cs="宋体"/>
          <w:spacing w:val="-2"/>
          <w:sz w:val="24"/>
          <w:szCs w:val="24"/>
        </w:rPr>
        <w:t>，起点高程为</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2023.5m</w:t>
      </w:r>
      <w:r>
        <w:rPr>
          <w:rFonts w:ascii="宋体" w:hAnsi="宋体" w:eastAsia="宋体" w:cs="宋体"/>
          <w:spacing w:val="-2"/>
          <w:sz w:val="24"/>
          <w:szCs w:val="24"/>
        </w:rPr>
        <w:t>，终点为</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2023.0m</w:t>
      </w:r>
      <w:r>
        <w:rPr>
          <w:rFonts w:ascii="宋体" w:hAnsi="宋体" w:eastAsia="宋体" w:cs="宋体"/>
          <w:spacing w:val="-2"/>
          <w:sz w:val="24"/>
          <w:szCs w:val="24"/>
        </w:rPr>
        <w:t>，导流沟</w:t>
      </w:r>
    </w:p>
    <w:p>
      <w:pPr>
        <w:spacing w:before="1" w:line="218" w:lineRule="auto"/>
        <w:ind w:left="38"/>
        <w:rPr>
          <w:rFonts w:ascii="宋体" w:hAnsi="宋体" w:eastAsia="宋体" w:cs="宋体"/>
          <w:sz w:val="24"/>
          <w:szCs w:val="24"/>
        </w:rPr>
      </w:pPr>
      <w:r>
        <w:rPr>
          <w:rFonts w:ascii="宋体" w:hAnsi="宋体" w:eastAsia="宋体" w:cs="宋体"/>
          <w:spacing w:val="-4"/>
          <w:sz w:val="24"/>
          <w:szCs w:val="24"/>
        </w:rPr>
        <w:t>采用</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1.5m</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1.5m </w:t>
      </w:r>
      <w:r>
        <w:rPr>
          <w:rFonts w:ascii="宋体" w:hAnsi="宋体" w:eastAsia="宋体" w:cs="宋体"/>
          <w:spacing w:val="-4"/>
          <w:sz w:val="24"/>
          <w:szCs w:val="24"/>
        </w:rPr>
        <w:t>梯形断面。</w:t>
      </w:r>
    </w:p>
    <w:p>
      <w:pPr>
        <w:spacing w:before="183" w:line="217" w:lineRule="auto"/>
        <w:ind w:left="517"/>
        <w:rPr>
          <w:rFonts w:ascii="宋体" w:hAnsi="宋体" w:eastAsia="宋体" w:cs="宋体"/>
          <w:sz w:val="24"/>
          <w:szCs w:val="24"/>
        </w:rPr>
      </w:pPr>
      <w:r>
        <w:rPr>
          <w:rFonts w:ascii="宋体" w:hAnsi="宋体" w:eastAsia="宋体" w:cs="宋体"/>
          <w:spacing w:val="-1"/>
          <w:sz w:val="24"/>
          <w:szCs w:val="24"/>
        </w:rPr>
        <w:t>②引水、引洪工程导流</w:t>
      </w:r>
    </w:p>
    <w:p>
      <w:pPr>
        <w:spacing w:before="184" w:line="359" w:lineRule="auto"/>
        <w:ind w:left="42" w:right="106" w:firstLine="480"/>
        <w:rPr>
          <w:rFonts w:ascii="宋体" w:hAnsi="宋体" w:eastAsia="宋体" w:cs="宋体"/>
          <w:sz w:val="24"/>
          <w:szCs w:val="24"/>
        </w:rPr>
      </w:pPr>
      <w:r>
        <w:rPr>
          <w:rFonts w:ascii="宋体" w:hAnsi="宋体" w:eastAsia="宋体" w:cs="宋体"/>
          <w:spacing w:val="-6"/>
          <w:sz w:val="24"/>
          <w:szCs w:val="24"/>
        </w:rPr>
        <w:t>取水坝采用分段分期施工，</w:t>
      </w:r>
      <w:r>
        <w:rPr>
          <w:rFonts w:ascii="宋体" w:hAnsi="宋体" w:eastAsia="宋体" w:cs="宋体"/>
          <w:spacing w:val="77"/>
          <w:sz w:val="24"/>
          <w:szCs w:val="24"/>
        </w:rPr>
        <w:t xml:space="preserve"> </w:t>
      </w:r>
      <w:r>
        <w:rPr>
          <w:rFonts w:ascii="宋体" w:hAnsi="宋体" w:eastAsia="宋体" w:cs="宋体"/>
          <w:spacing w:val="-6"/>
          <w:sz w:val="24"/>
          <w:szCs w:val="24"/>
        </w:rPr>
        <w:t>一期利用纵向围堰挡水导流；二期利用冲沙闸导流。</w:t>
      </w:r>
      <w:r>
        <w:rPr>
          <w:rFonts w:ascii="宋体" w:hAnsi="宋体" w:eastAsia="宋体" w:cs="宋体"/>
          <w:sz w:val="24"/>
          <w:szCs w:val="24"/>
        </w:rPr>
        <w:t xml:space="preserve"> </w:t>
      </w:r>
      <w:r>
        <w:rPr>
          <w:rFonts w:ascii="宋体" w:hAnsi="宋体" w:eastAsia="宋体" w:cs="宋体"/>
          <w:spacing w:val="-1"/>
          <w:sz w:val="24"/>
          <w:szCs w:val="24"/>
        </w:rPr>
        <w:t>取水坝为</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级建筑物，施工导流洪水标准采用枯期重现期为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年一遇。纵向围堰挡水</w:t>
      </w:r>
    </w:p>
    <w:p>
      <w:pPr>
        <w:spacing w:before="1" w:line="218" w:lineRule="auto"/>
        <w:ind w:left="45"/>
        <w:rPr>
          <w:rFonts w:ascii="宋体" w:hAnsi="宋体" w:eastAsia="宋体" w:cs="宋体"/>
          <w:sz w:val="24"/>
          <w:szCs w:val="24"/>
        </w:rPr>
      </w:pPr>
      <w:r>
        <w:rPr>
          <w:rFonts w:ascii="宋体" w:hAnsi="宋体" w:eastAsia="宋体" w:cs="宋体"/>
          <w:spacing w:val="-3"/>
          <w:sz w:val="24"/>
          <w:szCs w:val="24"/>
        </w:rPr>
        <w:t>高度小于</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0.5m</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，采用编制袋装土围堰进行挡水，堰高</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1m</w:t>
      </w:r>
      <w:r>
        <w:rPr>
          <w:rFonts w:ascii="宋体" w:hAnsi="宋体" w:eastAsia="宋体" w:cs="宋体"/>
          <w:spacing w:val="-3"/>
          <w:sz w:val="24"/>
          <w:szCs w:val="24"/>
        </w:rPr>
        <w:t>，顶</w:t>
      </w:r>
      <w:r>
        <w:rPr>
          <w:rFonts w:ascii="宋体" w:hAnsi="宋体" w:eastAsia="宋体" w:cs="宋体"/>
          <w:spacing w:val="-4"/>
          <w:sz w:val="24"/>
          <w:szCs w:val="24"/>
        </w:rPr>
        <w:t>宽</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2m</w:t>
      </w:r>
      <w:r>
        <w:rPr>
          <w:rFonts w:ascii="宋体" w:hAnsi="宋体" w:eastAsia="宋体" w:cs="宋体"/>
          <w:spacing w:val="-4"/>
          <w:sz w:val="24"/>
          <w:szCs w:val="24"/>
        </w:rPr>
        <w:t>。</w:t>
      </w:r>
    </w:p>
    <w:p>
      <w:pPr>
        <w:spacing w:before="182" w:line="217" w:lineRule="auto"/>
        <w:ind w:left="517"/>
        <w:rPr>
          <w:rFonts w:ascii="宋体" w:hAnsi="宋体" w:eastAsia="宋体" w:cs="宋体"/>
          <w:sz w:val="24"/>
          <w:szCs w:val="24"/>
        </w:rPr>
      </w:pPr>
      <w:r>
        <w:rPr>
          <w:rFonts w:ascii="宋体" w:hAnsi="宋体" w:eastAsia="宋体" w:cs="宋体"/>
          <w:spacing w:val="-2"/>
          <w:sz w:val="24"/>
          <w:szCs w:val="24"/>
        </w:rPr>
        <w:t>③下闸蓄水规划</w:t>
      </w:r>
    </w:p>
    <w:p>
      <w:pPr>
        <w:spacing w:before="183" w:line="219" w:lineRule="auto"/>
        <w:ind w:left="520"/>
        <w:rPr>
          <w:rFonts w:ascii="宋体" w:hAnsi="宋体" w:eastAsia="宋体" w:cs="宋体"/>
          <w:sz w:val="24"/>
          <w:szCs w:val="24"/>
        </w:rPr>
      </w:pPr>
      <w:r>
        <w:rPr>
          <w:rFonts w:ascii="宋体" w:hAnsi="宋体" w:eastAsia="宋体" w:cs="宋体"/>
          <w:spacing w:val="-4"/>
          <w:sz w:val="24"/>
          <w:szCs w:val="24"/>
        </w:rPr>
        <w:t>本工程拟定第</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月初导流洞下闸。</w:t>
      </w:r>
    </w:p>
    <w:p>
      <w:pPr>
        <w:spacing w:before="183" w:line="467" w:lineRule="exact"/>
        <w:ind w:left="522"/>
        <w:rPr>
          <w:rFonts w:ascii="宋体" w:hAnsi="宋体" w:eastAsia="宋体" w:cs="宋体"/>
          <w:sz w:val="24"/>
          <w:szCs w:val="24"/>
        </w:rPr>
      </w:pPr>
      <w:r>
        <w:rPr>
          <w:rFonts w:ascii="宋体" w:hAnsi="宋体" w:eastAsia="宋体" w:cs="宋体"/>
          <w:position w:val="17"/>
          <w:sz w:val="24"/>
          <w:szCs w:val="24"/>
        </w:rPr>
        <w:t>工程施工期间需向下游提供生态用水要求，导流隧</w:t>
      </w:r>
      <w:r>
        <w:rPr>
          <w:rFonts w:ascii="宋体" w:hAnsi="宋体" w:eastAsia="宋体" w:cs="宋体"/>
          <w:spacing w:val="-1"/>
          <w:position w:val="17"/>
          <w:sz w:val="24"/>
          <w:szCs w:val="24"/>
        </w:rPr>
        <w:t>洞下闸前，由导流隧洞向下游</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供水。导流隧洞下闸后，由导流隧洞内引水管向下游供水。</w:t>
      </w:r>
    </w:p>
    <w:p>
      <w:pPr>
        <w:spacing w:before="182" w:line="220" w:lineRule="auto"/>
        <w:ind w:left="52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）料场规划</w:t>
      </w:r>
    </w:p>
    <w:p>
      <w:pPr>
        <w:spacing w:before="181" w:line="219" w:lineRule="auto"/>
        <w:ind w:left="520"/>
        <w:rPr>
          <w:rFonts w:ascii="宋体" w:hAnsi="宋体" w:eastAsia="宋体" w:cs="宋体"/>
          <w:sz w:val="24"/>
          <w:szCs w:val="24"/>
        </w:rPr>
      </w:pPr>
      <w:r>
        <w:rPr>
          <w:rFonts w:ascii="宋体" w:hAnsi="宋体" w:eastAsia="宋体" w:cs="宋体"/>
          <w:spacing w:val="-1"/>
          <w:sz w:val="24"/>
          <w:szCs w:val="24"/>
        </w:rPr>
        <w:t>本工程所需的建筑材料主要有坝体填筑石料</w:t>
      </w:r>
      <w:r>
        <w:rPr>
          <w:rFonts w:ascii="宋体" w:hAnsi="宋体" w:eastAsia="宋体" w:cs="宋体"/>
          <w:spacing w:val="-2"/>
          <w:sz w:val="24"/>
          <w:szCs w:val="24"/>
        </w:rPr>
        <w:t>、混凝土骨料、砂砾石料。</w:t>
      </w:r>
    </w:p>
    <w:p>
      <w:pPr>
        <w:spacing w:before="182" w:line="217" w:lineRule="auto"/>
        <w:ind w:left="518"/>
        <w:rPr>
          <w:rFonts w:ascii="宋体" w:hAnsi="宋体" w:eastAsia="宋体" w:cs="宋体"/>
          <w:sz w:val="24"/>
          <w:szCs w:val="24"/>
        </w:rPr>
      </w:pPr>
      <w:r>
        <w:rPr>
          <w:rFonts w:ascii="宋体" w:hAnsi="宋体" w:eastAsia="宋体" w:cs="宋体"/>
          <w:spacing w:val="-2"/>
          <w:sz w:val="24"/>
          <w:szCs w:val="24"/>
        </w:rPr>
        <w:t>①粘土料场</w:t>
      </w:r>
    </w:p>
    <w:p>
      <w:pPr>
        <w:spacing w:before="187" w:line="359" w:lineRule="auto"/>
        <w:ind w:left="39" w:right="29" w:firstLine="482"/>
        <w:rPr>
          <w:rFonts w:ascii="宋体" w:hAnsi="宋体" w:eastAsia="宋体" w:cs="宋体"/>
          <w:sz w:val="24"/>
          <w:szCs w:val="24"/>
        </w:rPr>
      </w:pPr>
      <w:r>
        <w:rPr>
          <w:rFonts w:ascii="宋体" w:hAnsi="宋体" w:eastAsia="宋体" w:cs="宋体"/>
          <w:sz w:val="24"/>
          <w:szCs w:val="24"/>
        </w:rPr>
        <w:t xml:space="preserve">罗斯达料场位于水库上游皮左黑村委会的缓坡地，分布高程 </w:t>
      </w:r>
      <w:r>
        <w:rPr>
          <w:rFonts w:ascii="Times New Roman" w:hAnsi="Times New Roman" w:eastAsia="Times New Roman" w:cs="Times New Roman"/>
          <w:sz w:val="24"/>
          <w:szCs w:val="24"/>
        </w:rPr>
        <w:t>2160</w:t>
      </w:r>
      <w:r>
        <w:rPr>
          <w:rFonts w:ascii="宋体" w:hAnsi="宋体" w:eastAsia="宋体" w:cs="宋体"/>
          <w:sz w:val="24"/>
          <w:szCs w:val="24"/>
        </w:rPr>
        <w:t>～</w:t>
      </w:r>
      <w:r>
        <w:rPr>
          <w:rFonts w:ascii="Times New Roman" w:hAnsi="Times New Roman" w:eastAsia="Times New Roman" w:cs="Times New Roman"/>
          <w:sz w:val="24"/>
          <w:szCs w:val="24"/>
        </w:rPr>
        <w:t>2230m</w:t>
      </w:r>
      <w:r>
        <w:rPr>
          <w:rFonts w:ascii="宋体" w:hAnsi="宋体" w:eastAsia="宋体" w:cs="宋体"/>
          <w:spacing w:val="-1"/>
          <w:sz w:val="24"/>
          <w:szCs w:val="24"/>
        </w:rPr>
        <w:t>，相对</w:t>
      </w:r>
      <w:r>
        <w:rPr>
          <w:rFonts w:ascii="宋体" w:hAnsi="宋体" w:eastAsia="宋体" w:cs="宋体"/>
          <w:sz w:val="24"/>
          <w:szCs w:val="24"/>
        </w:rPr>
        <w:t xml:space="preserve"> </w:t>
      </w:r>
      <w:r>
        <w:rPr>
          <w:rFonts w:ascii="宋体" w:hAnsi="宋体" w:eastAsia="宋体" w:cs="宋体"/>
          <w:spacing w:val="-3"/>
          <w:sz w:val="24"/>
          <w:szCs w:val="24"/>
        </w:rPr>
        <w:t>高差</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70m</w:t>
      </w:r>
      <w:r>
        <w:rPr>
          <w:rFonts w:ascii="宋体" w:hAnsi="宋体" w:eastAsia="宋体" w:cs="宋体"/>
          <w:spacing w:val="-3"/>
          <w:sz w:val="24"/>
          <w:szCs w:val="24"/>
        </w:rPr>
        <w:t xml:space="preserve">，料场面积约 </w:t>
      </w:r>
      <w:r>
        <w:rPr>
          <w:rFonts w:ascii="Times New Roman" w:hAnsi="Times New Roman" w:eastAsia="Times New Roman" w:cs="Times New Roman"/>
          <w:spacing w:val="-3"/>
          <w:sz w:val="24"/>
          <w:szCs w:val="24"/>
        </w:rPr>
        <w:t>18.72</w:t>
      </w:r>
      <w:r>
        <w:rPr>
          <w:rFonts w:ascii="Times New Roman" w:hAnsi="Times New Roman" w:eastAsia="Times New Roman" w:cs="Times New Roman"/>
          <w:spacing w:val="25"/>
          <w:w w:val="101"/>
          <w:sz w:val="24"/>
          <w:szCs w:val="24"/>
        </w:rPr>
        <w:t xml:space="preserve"> </w:t>
      </w:r>
      <w:r>
        <w:rPr>
          <w:rFonts w:ascii="宋体" w:hAnsi="宋体" w:eastAsia="宋体" w:cs="宋体"/>
          <w:spacing w:val="-3"/>
          <w:sz w:val="24"/>
          <w:szCs w:val="24"/>
        </w:rPr>
        <w:t>万</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，呈台地地形。土料成因为江底河组泥岩风化后的</w:t>
      </w:r>
      <w:r>
        <w:rPr>
          <w:rFonts w:ascii="宋体" w:hAnsi="宋体" w:eastAsia="宋体" w:cs="宋体"/>
          <w:sz w:val="24"/>
          <w:szCs w:val="24"/>
        </w:rPr>
        <w:t xml:space="preserve"> </w:t>
      </w:r>
      <w:r>
        <w:rPr>
          <w:rFonts w:ascii="宋体" w:hAnsi="宋体" w:eastAsia="宋体" w:cs="宋体"/>
          <w:spacing w:val="-10"/>
          <w:sz w:val="24"/>
          <w:szCs w:val="24"/>
        </w:rPr>
        <w:t>残坡积土，</w:t>
      </w:r>
      <w:r>
        <w:rPr>
          <w:rFonts w:ascii="宋体" w:hAnsi="宋体" w:eastAsia="宋体" w:cs="宋体"/>
          <w:spacing w:val="-34"/>
          <w:sz w:val="24"/>
          <w:szCs w:val="24"/>
        </w:rPr>
        <w:t xml:space="preserve"> </w:t>
      </w:r>
      <w:r>
        <w:rPr>
          <w:rFonts w:ascii="宋体" w:hAnsi="宋体" w:eastAsia="宋体" w:cs="宋体"/>
          <w:spacing w:val="-10"/>
          <w:sz w:val="24"/>
          <w:szCs w:val="24"/>
        </w:rPr>
        <w:t>料场西半部分靠皮左黑村土质均匀， 厚度大于</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3m</w:t>
      </w:r>
      <w:r>
        <w:rPr>
          <w:rFonts w:ascii="宋体" w:hAnsi="宋体" w:eastAsia="宋体" w:cs="宋体"/>
          <w:spacing w:val="-10"/>
          <w:sz w:val="24"/>
          <w:szCs w:val="24"/>
        </w:rPr>
        <w:t>，以东土层厚度</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1.6</w:t>
      </w:r>
      <w:r>
        <w:rPr>
          <w:rFonts w:ascii="宋体" w:hAnsi="宋体" w:eastAsia="宋体" w:cs="宋体"/>
          <w:spacing w:val="-10"/>
          <w:sz w:val="24"/>
          <w:szCs w:val="24"/>
        </w:rPr>
        <w:t>～</w:t>
      </w:r>
      <w:r>
        <w:rPr>
          <w:rFonts w:ascii="Times New Roman" w:hAnsi="Times New Roman" w:eastAsia="Times New Roman" w:cs="Times New Roman"/>
          <w:spacing w:val="-10"/>
          <w:sz w:val="24"/>
          <w:szCs w:val="24"/>
        </w:rPr>
        <w:t>5.0m</w:t>
      </w:r>
      <w:r>
        <w:rPr>
          <w:rFonts w:ascii="Times New Roman" w:hAnsi="Times New Roman" w:eastAsia="Times New Roman" w:cs="Times New Roman"/>
          <w:sz w:val="24"/>
          <w:szCs w:val="24"/>
        </w:rPr>
        <w:t xml:space="preserve"> </w:t>
      </w:r>
      <w:r>
        <w:rPr>
          <w:rFonts w:ascii="宋体" w:hAnsi="宋体" w:eastAsia="宋体" w:cs="宋体"/>
          <w:spacing w:val="-6"/>
          <w:sz w:val="24"/>
          <w:szCs w:val="24"/>
        </w:rPr>
        <w:t>不等。经计算有用层可采储量</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51.44</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m</w:t>
      </w:r>
      <w:r>
        <w:rPr>
          <w:rFonts w:ascii="宋体" w:hAnsi="宋体" w:eastAsia="宋体" w:cs="宋体"/>
          <w:spacing w:val="-6"/>
          <w:sz w:val="24"/>
          <w:szCs w:val="24"/>
        </w:rPr>
        <w:t>³</w:t>
      </w:r>
      <w:r>
        <w:rPr>
          <w:rFonts w:ascii="Times New Roman" w:hAnsi="Times New Roman" w:eastAsia="Times New Roman" w:cs="Times New Roman"/>
          <w:spacing w:val="-6"/>
          <w:sz w:val="24"/>
          <w:szCs w:val="24"/>
        </w:rPr>
        <w:t>(</w:t>
      </w:r>
      <w:r>
        <w:rPr>
          <w:rFonts w:ascii="宋体" w:hAnsi="宋体" w:eastAsia="宋体" w:cs="宋体"/>
          <w:spacing w:val="-6"/>
          <w:sz w:val="24"/>
          <w:szCs w:val="24"/>
        </w:rPr>
        <w:t>自然方</w:t>
      </w:r>
      <w:r>
        <w:rPr>
          <w:rFonts w:ascii="Times New Roman" w:hAnsi="Times New Roman" w:eastAsia="Times New Roman" w:cs="Times New Roman"/>
          <w:spacing w:val="-6"/>
          <w:sz w:val="24"/>
          <w:szCs w:val="24"/>
        </w:rPr>
        <w:t>)</w:t>
      </w:r>
      <w:r>
        <w:rPr>
          <w:rFonts w:ascii="宋体" w:hAnsi="宋体" w:eastAsia="宋体" w:cs="宋体"/>
          <w:spacing w:val="-6"/>
          <w:sz w:val="24"/>
          <w:szCs w:val="24"/>
        </w:rPr>
        <w:t>，经过换算， 压实方储量为</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41.15</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万</w:t>
      </w:r>
    </w:p>
    <w:p>
      <w:pPr>
        <w:spacing w:line="232" w:lineRule="auto"/>
        <w:ind w:left="31"/>
        <w:rPr>
          <w:rFonts w:ascii="宋体" w:hAnsi="宋体" w:eastAsia="宋体" w:cs="宋体"/>
          <w:sz w:val="24"/>
          <w:szCs w:val="24"/>
        </w:rPr>
      </w:pPr>
      <w:r>
        <w:rPr>
          <w:rFonts w:ascii="Times New Roman" w:hAnsi="Times New Roman" w:eastAsia="Times New Roman" w:cs="Times New Roman"/>
          <w:spacing w:val="-1"/>
          <w:sz w:val="24"/>
          <w:szCs w:val="24"/>
        </w:rPr>
        <w:t>m3</w:t>
      </w:r>
      <w:r>
        <w:rPr>
          <w:rFonts w:ascii="宋体" w:hAnsi="宋体" w:eastAsia="宋体" w:cs="宋体"/>
          <w:spacing w:val="-1"/>
          <w:sz w:val="24"/>
          <w:szCs w:val="24"/>
        </w:rPr>
        <w:t>，现有进村水泥路面从土料场通过，交通方便，运距约</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3.5km</w:t>
      </w:r>
      <w:r>
        <w:rPr>
          <w:rFonts w:ascii="宋体" w:hAnsi="宋体" w:eastAsia="宋体" w:cs="宋体"/>
          <w:spacing w:val="-1"/>
          <w:sz w:val="24"/>
          <w:szCs w:val="24"/>
        </w:rPr>
        <w:t>。</w:t>
      </w:r>
    </w:p>
    <w:p>
      <w:pPr>
        <w:spacing w:before="165" w:line="217" w:lineRule="auto"/>
        <w:ind w:left="517"/>
        <w:rPr>
          <w:rFonts w:ascii="宋体" w:hAnsi="宋体" w:eastAsia="宋体" w:cs="宋体"/>
          <w:sz w:val="24"/>
          <w:szCs w:val="24"/>
        </w:rPr>
      </w:pPr>
      <w:r>
        <w:rPr>
          <w:rFonts w:ascii="宋体" w:hAnsi="宋体" w:eastAsia="宋体" w:cs="宋体"/>
          <w:spacing w:val="-2"/>
          <w:sz w:val="24"/>
          <w:szCs w:val="24"/>
        </w:rPr>
        <w:t>②风化料场</w:t>
      </w:r>
    </w:p>
    <w:p>
      <w:pPr>
        <w:spacing w:before="185" w:line="466" w:lineRule="exact"/>
        <w:ind w:right="34"/>
        <w:jc w:val="right"/>
        <w:rPr>
          <w:rFonts w:ascii="宋体" w:hAnsi="宋体" w:eastAsia="宋体" w:cs="宋体"/>
          <w:sz w:val="24"/>
          <w:szCs w:val="24"/>
        </w:rPr>
      </w:pPr>
      <w:r>
        <w:rPr>
          <w:rFonts w:ascii="宋体" w:hAnsi="宋体" w:eastAsia="宋体" w:cs="宋体"/>
          <w:spacing w:val="2"/>
          <w:position w:val="17"/>
          <w:sz w:val="24"/>
          <w:szCs w:val="24"/>
        </w:rPr>
        <w:t>上游选定坝壳风化料场各一个，料场均分布于白垩系江底</w:t>
      </w:r>
      <w:r>
        <w:rPr>
          <w:rFonts w:ascii="宋体" w:hAnsi="宋体" w:eastAsia="宋体" w:cs="宋体"/>
          <w:spacing w:val="1"/>
          <w:position w:val="17"/>
          <w:sz w:val="24"/>
          <w:szCs w:val="24"/>
        </w:rPr>
        <w:t>河组之上，岩性为紫色</w:t>
      </w:r>
    </w:p>
    <w:p>
      <w:pPr>
        <w:spacing w:before="1" w:line="218" w:lineRule="auto"/>
        <w:ind w:left="45"/>
        <w:rPr>
          <w:rFonts w:ascii="宋体" w:hAnsi="宋体" w:eastAsia="宋体" w:cs="宋体"/>
          <w:sz w:val="24"/>
          <w:szCs w:val="24"/>
        </w:rPr>
      </w:pPr>
      <w:r>
        <w:rPr>
          <w:rFonts w:ascii="宋体" w:hAnsi="宋体" w:eastAsia="宋体" w:cs="宋体"/>
          <w:spacing w:val="-2"/>
          <w:sz w:val="24"/>
          <w:szCs w:val="24"/>
        </w:rPr>
        <w:t>厚层粉砂质泥岩夹粉砂质条带，岩石呈强、弱风化状态，开采运输方便。</w:t>
      </w:r>
    </w:p>
    <w:p>
      <w:pPr>
        <w:spacing w:before="183" w:line="359" w:lineRule="auto"/>
        <w:ind w:left="39" w:right="28" w:firstLine="482"/>
        <w:rPr>
          <w:rFonts w:ascii="宋体" w:hAnsi="宋体" w:eastAsia="宋体" w:cs="宋体"/>
          <w:sz w:val="24"/>
          <w:szCs w:val="24"/>
        </w:rPr>
      </w:pPr>
      <w:r>
        <w:rPr>
          <w:rFonts w:ascii="宋体" w:hAnsi="宋体" w:eastAsia="宋体" w:cs="宋体"/>
          <w:spacing w:val="-5"/>
          <w:sz w:val="24"/>
          <w:szCs w:val="24"/>
        </w:rPr>
        <w:t>上游风化料场位于皮左黑河与拉扎如河交汇口凸出山包（皮左黑村委会对面</w:t>
      </w:r>
      <w:r>
        <w:rPr>
          <w:rFonts w:ascii="宋体" w:hAnsi="宋体" w:eastAsia="宋体" w:cs="宋体"/>
          <w:spacing w:val="-3"/>
          <w:sz w:val="24"/>
          <w:szCs w:val="24"/>
        </w:rPr>
        <w:t>），</w:t>
      </w:r>
      <w:r>
        <w:rPr>
          <w:rFonts w:ascii="宋体" w:hAnsi="宋体" w:eastAsia="宋体" w:cs="宋体"/>
          <w:spacing w:val="-5"/>
          <w:sz w:val="24"/>
          <w:szCs w:val="24"/>
        </w:rPr>
        <w:t>分</w:t>
      </w:r>
      <w:r>
        <w:rPr>
          <w:rFonts w:ascii="宋体" w:hAnsi="宋体" w:eastAsia="宋体" w:cs="宋体"/>
          <w:sz w:val="24"/>
          <w:szCs w:val="24"/>
        </w:rPr>
        <w:t xml:space="preserve"> </w:t>
      </w:r>
      <w:r>
        <w:rPr>
          <w:rFonts w:ascii="宋体" w:hAnsi="宋体" w:eastAsia="宋体" w:cs="宋体"/>
          <w:spacing w:val="2"/>
          <w:sz w:val="24"/>
          <w:szCs w:val="24"/>
        </w:rPr>
        <w:t>布白垩系江底河组上杂色泥岩段地层，为紫色厚层状粉砂质泥岩、局</w:t>
      </w:r>
      <w:r>
        <w:rPr>
          <w:rFonts w:ascii="宋体" w:hAnsi="宋体" w:eastAsia="宋体" w:cs="宋体"/>
          <w:spacing w:val="1"/>
          <w:sz w:val="24"/>
          <w:szCs w:val="24"/>
        </w:rPr>
        <w:t>部夹中厚层状石</w:t>
      </w:r>
      <w:r>
        <w:rPr>
          <w:rFonts w:ascii="宋体" w:hAnsi="宋体" w:eastAsia="宋体" w:cs="宋体"/>
          <w:sz w:val="24"/>
          <w:szCs w:val="24"/>
        </w:rPr>
        <w:t xml:space="preserve"> </w:t>
      </w:r>
      <w:r>
        <w:rPr>
          <w:rFonts w:ascii="宋体" w:hAnsi="宋体" w:eastAsia="宋体" w:cs="宋体"/>
          <w:spacing w:val="-6"/>
          <w:sz w:val="24"/>
          <w:szCs w:val="24"/>
        </w:rPr>
        <w:t>英细砂岩、粉砂岩。岩体呈强、弱风化状态</w:t>
      </w:r>
      <w:r>
        <w:rPr>
          <w:rFonts w:ascii="Times New Roman" w:hAnsi="Times New Roman" w:eastAsia="Times New Roman" w:cs="Times New Roman"/>
          <w:spacing w:val="-6"/>
          <w:sz w:val="24"/>
          <w:szCs w:val="24"/>
        </w:rPr>
        <w:t>,</w:t>
      </w:r>
      <w:r>
        <w:rPr>
          <w:rFonts w:ascii="宋体" w:hAnsi="宋体" w:eastAsia="宋体" w:cs="宋体"/>
          <w:spacing w:val="-6"/>
          <w:sz w:val="24"/>
          <w:szCs w:val="24"/>
        </w:rPr>
        <w:t>适宜用于坝壳风化料填筑。地表植被稀疏，</w:t>
      </w:r>
      <w:r>
        <w:rPr>
          <w:rFonts w:ascii="宋体" w:hAnsi="宋体" w:eastAsia="宋体" w:cs="宋体"/>
          <w:spacing w:val="2"/>
          <w:sz w:val="24"/>
          <w:szCs w:val="24"/>
        </w:rPr>
        <w:t xml:space="preserve"> </w:t>
      </w:r>
      <w:r>
        <w:rPr>
          <w:rFonts w:ascii="宋体" w:hAnsi="宋体" w:eastAsia="宋体" w:cs="宋体"/>
          <w:spacing w:val="-19"/>
          <w:sz w:val="24"/>
          <w:szCs w:val="24"/>
        </w:rPr>
        <w:t>顶部第四系覆盖层零星分布，</w:t>
      </w:r>
      <w:r>
        <w:rPr>
          <w:rFonts w:ascii="宋体" w:hAnsi="宋体" w:eastAsia="宋体" w:cs="宋体"/>
          <w:spacing w:val="29"/>
          <w:sz w:val="24"/>
          <w:szCs w:val="24"/>
        </w:rPr>
        <w:t xml:space="preserve"> </w:t>
      </w:r>
      <w:r>
        <w:rPr>
          <w:rFonts w:ascii="宋体" w:hAnsi="宋体" w:eastAsia="宋体" w:cs="宋体"/>
          <w:spacing w:val="-19"/>
          <w:sz w:val="24"/>
          <w:szCs w:val="24"/>
        </w:rPr>
        <w:t>地形稍缓， 四周山体陡峻，</w:t>
      </w:r>
      <w:r>
        <w:rPr>
          <w:rFonts w:ascii="宋体" w:hAnsi="宋体" w:eastAsia="宋体" w:cs="宋体"/>
          <w:spacing w:val="29"/>
          <w:sz w:val="24"/>
          <w:szCs w:val="24"/>
        </w:rPr>
        <w:t xml:space="preserve"> </w:t>
      </w:r>
      <w:r>
        <w:rPr>
          <w:rFonts w:ascii="宋体" w:hAnsi="宋体" w:eastAsia="宋体" w:cs="宋体"/>
          <w:spacing w:val="-19"/>
          <w:sz w:val="24"/>
          <w:szCs w:val="24"/>
        </w:rPr>
        <w:t>基岩大部裸露，</w:t>
      </w:r>
      <w:r>
        <w:rPr>
          <w:rFonts w:ascii="宋体" w:hAnsi="宋体" w:eastAsia="宋体" w:cs="宋体"/>
          <w:spacing w:val="31"/>
          <w:sz w:val="24"/>
          <w:szCs w:val="24"/>
        </w:rPr>
        <w:t xml:space="preserve"> </w:t>
      </w:r>
      <w:r>
        <w:rPr>
          <w:rFonts w:ascii="宋体" w:hAnsi="宋体" w:eastAsia="宋体" w:cs="宋体"/>
          <w:spacing w:val="-19"/>
          <w:sz w:val="24"/>
          <w:szCs w:val="24"/>
        </w:rPr>
        <w:t>剥离量小，剥</w:t>
      </w:r>
    </w:p>
    <w:p>
      <w:pPr>
        <w:spacing w:before="1" w:line="230" w:lineRule="auto"/>
        <w:ind w:left="43"/>
        <w:rPr>
          <w:rFonts w:ascii="宋体" w:hAnsi="宋体" w:eastAsia="宋体" w:cs="宋体"/>
          <w:sz w:val="24"/>
          <w:szCs w:val="24"/>
        </w:rPr>
      </w:pPr>
      <w:r>
        <w:rPr>
          <w:rFonts w:ascii="宋体" w:hAnsi="宋体" w:eastAsia="宋体" w:cs="宋体"/>
          <w:spacing w:val="4"/>
          <w:sz w:val="24"/>
          <w:szCs w:val="24"/>
        </w:rPr>
        <w:t>离</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 xml:space="preserve">7.18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宋体" w:hAnsi="宋体" w:eastAsia="宋体" w:cs="宋体"/>
          <w:spacing w:val="4"/>
          <w:sz w:val="24"/>
          <w:szCs w:val="24"/>
        </w:rPr>
        <w:t>³,有用层可采储量</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309.44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宋体" w:hAnsi="宋体" w:eastAsia="宋体" w:cs="宋体"/>
          <w:spacing w:val="4"/>
          <w:sz w:val="24"/>
          <w:szCs w:val="24"/>
        </w:rPr>
        <w:t>³,料场至填筑工作面运距约</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1.5</w:t>
      </w:r>
      <w:r>
        <w:rPr>
          <w:rFonts w:ascii="Times New Roman" w:hAnsi="Times New Roman" w:eastAsia="Times New Roman" w:cs="Times New Roman"/>
          <w:sz w:val="24"/>
          <w:szCs w:val="24"/>
        </w:rPr>
        <w:t>km</w:t>
      </w:r>
      <w:r>
        <w:rPr>
          <w:rFonts w:ascii="宋体" w:hAnsi="宋体" w:eastAsia="宋体" w:cs="宋体"/>
          <w:spacing w:val="4"/>
          <w:sz w:val="24"/>
          <w:szCs w:val="24"/>
        </w:rPr>
        <w:t>。</w:t>
      </w:r>
    </w:p>
    <w:p>
      <w:pPr>
        <w:spacing w:before="168" w:line="217" w:lineRule="auto"/>
        <w:ind w:left="517"/>
        <w:rPr>
          <w:rFonts w:ascii="宋体" w:hAnsi="宋体" w:eastAsia="宋体" w:cs="宋体"/>
          <w:sz w:val="24"/>
          <w:szCs w:val="24"/>
        </w:rPr>
      </w:pPr>
      <w:r>
        <w:rPr>
          <w:rFonts w:ascii="宋体" w:hAnsi="宋体" w:eastAsia="宋体" w:cs="宋体"/>
          <w:spacing w:val="-2"/>
          <w:sz w:val="24"/>
          <w:szCs w:val="24"/>
        </w:rPr>
        <w:t>③砂石料场</w:t>
      </w:r>
    </w:p>
    <w:p>
      <w:pPr>
        <w:spacing w:before="184" w:line="467" w:lineRule="exact"/>
        <w:ind w:right="33"/>
        <w:jc w:val="right"/>
        <w:rPr>
          <w:rFonts w:ascii="宋体" w:hAnsi="宋体" w:eastAsia="宋体" w:cs="宋体"/>
          <w:sz w:val="24"/>
          <w:szCs w:val="24"/>
        </w:rPr>
      </w:pPr>
      <w:r>
        <w:rPr>
          <w:rFonts w:ascii="宋体" w:hAnsi="宋体" w:eastAsia="宋体" w:cs="宋体"/>
          <w:spacing w:val="-7"/>
          <w:position w:val="17"/>
          <w:sz w:val="24"/>
          <w:szCs w:val="24"/>
        </w:rPr>
        <w:t>岔处地村白其乍箐石料位于桂花乡岔处地村白其乍箐沟， 距桂花乡</w:t>
      </w:r>
      <w:r>
        <w:rPr>
          <w:rFonts w:ascii="宋体" w:hAnsi="宋体" w:eastAsia="宋体" w:cs="宋体"/>
          <w:spacing w:val="-38"/>
          <w:position w:val="17"/>
          <w:sz w:val="24"/>
          <w:szCs w:val="24"/>
        </w:rPr>
        <w:t xml:space="preserve"> </w:t>
      </w:r>
      <w:r>
        <w:rPr>
          <w:rFonts w:ascii="Times New Roman" w:hAnsi="Times New Roman" w:eastAsia="Times New Roman" w:cs="Times New Roman"/>
          <w:spacing w:val="-7"/>
          <w:position w:val="17"/>
          <w:sz w:val="24"/>
          <w:szCs w:val="24"/>
        </w:rPr>
        <w:t>3.0km</w:t>
      </w:r>
      <w:r>
        <w:rPr>
          <w:rFonts w:ascii="宋体" w:hAnsi="宋体" w:eastAsia="宋体" w:cs="宋体"/>
          <w:spacing w:val="-7"/>
          <w:position w:val="17"/>
          <w:sz w:val="24"/>
          <w:szCs w:val="24"/>
        </w:rPr>
        <w:t>，料场地</w:t>
      </w:r>
    </w:p>
    <w:p>
      <w:pPr>
        <w:spacing w:before="1" w:line="216" w:lineRule="auto"/>
        <w:ind w:left="42"/>
        <w:rPr>
          <w:rFonts w:ascii="宋体" w:hAnsi="宋体" w:eastAsia="宋体" w:cs="宋体"/>
          <w:sz w:val="24"/>
          <w:szCs w:val="24"/>
        </w:rPr>
      </w:pPr>
      <w:r>
        <w:rPr>
          <w:rFonts w:ascii="宋体" w:hAnsi="宋体" w:eastAsia="宋体" w:cs="宋体"/>
          <w:spacing w:val="4"/>
          <w:sz w:val="24"/>
          <w:szCs w:val="24"/>
        </w:rPr>
        <w:t>形较陡，箐沟侧自然边坡</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42</w:t>
      </w:r>
      <w:r>
        <w:rPr>
          <w:rFonts w:ascii="宋体" w:hAnsi="宋体" w:eastAsia="宋体" w:cs="宋体"/>
          <w:spacing w:val="4"/>
          <w:sz w:val="24"/>
          <w:szCs w:val="24"/>
        </w:rPr>
        <w:t>°~</w:t>
      </w:r>
      <w:r>
        <w:rPr>
          <w:rFonts w:ascii="Times New Roman" w:hAnsi="Times New Roman" w:eastAsia="Times New Roman" w:cs="Times New Roman"/>
          <w:spacing w:val="4"/>
          <w:sz w:val="24"/>
          <w:szCs w:val="24"/>
        </w:rPr>
        <w:t>50</w:t>
      </w:r>
      <w:r>
        <w:rPr>
          <w:rFonts w:ascii="宋体" w:hAnsi="宋体" w:eastAsia="宋体" w:cs="宋体"/>
          <w:spacing w:val="4"/>
          <w:sz w:val="24"/>
          <w:szCs w:val="24"/>
        </w:rPr>
        <w:t>°,至顶部变平缓，料场高程</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1850</w:t>
      </w:r>
      <w:r>
        <w:rPr>
          <w:rFonts w:ascii="宋体" w:hAnsi="宋体" w:eastAsia="宋体" w:cs="宋体"/>
          <w:spacing w:val="4"/>
          <w:sz w:val="24"/>
          <w:szCs w:val="24"/>
        </w:rPr>
        <w:t>～</w:t>
      </w:r>
      <w:r>
        <w:rPr>
          <w:rFonts w:ascii="Times New Roman" w:hAnsi="Times New Roman" w:eastAsia="Times New Roman" w:cs="Times New Roman"/>
          <w:spacing w:val="4"/>
          <w:sz w:val="24"/>
          <w:szCs w:val="24"/>
        </w:rPr>
        <w:t>2050m</w:t>
      </w:r>
      <w:r>
        <w:rPr>
          <w:rFonts w:ascii="宋体" w:hAnsi="宋体" w:eastAsia="宋体" w:cs="宋体"/>
          <w:spacing w:val="4"/>
          <w:sz w:val="24"/>
          <w:szCs w:val="24"/>
        </w:rPr>
        <w:t>，相对</w:t>
      </w:r>
    </w:p>
    <w:p>
      <w:pPr>
        <w:spacing w:line="216" w:lineRule="auto"/>
        <w:rPr>
          <w:rFonts w:ascii="宋体" w:hAnsi="宋体" w:eastAsia="宋体" w:cs="宋体"/>
          <w:sz w:val="24"/>
          <w:szCs w:val="24"/>
        </w:rPr>
        <w:sectPr>
          <w:footerReference r:id="rId94" w:type="default"/>
          <w:pgSz w:w="11907" w:h="16839"/>
          <w:pgMar w:top="1298" w:right="1387" w:bottom="1374" w:left="1501" w:header="1023" w:footer="1210" w:gutter="0"/>
        </w:sectPr>
      </w:pPr>
    </w:p>
    <w:p>
      <w:pPr>
        <w:spacing w:before="156" w:line="359" w:lineRule="auto"/>
        <w:ind w:left="38" w:firstLine="7"/>
        <w:rPr>
          <w:rFonts w:ascii="宋体" w:hAnsi="宋体" w:eastAsia="宋体" w:cs="宋体"/>
          <w:sz w:val="24"/>
          <w:szCs w:val="24"/>
        </w:rPr>
      </w:pPr>
      <w:r>
        <w:rPr>
          <w:rFonts w:ascii="宋体" w:hAnsi="宋体" w:eastAsia="宋体" w:cs="宋体"/>
          <w:spacing w:val="-1"/>
          <w:sz w:val="24"/>
          <w:szCs w:val="24"/>
        </w:rPr>
        <w:t xml:space="preserve">高差 </w:t>
      </w:r>
      <w:r>
        <w:rPr>
          <w:rFonts w:ascii="Times New Roman" w:hAnsi="Times New Roman" w:eastAsia="Times New Roman" w:cs="Times New Roman"/>
          <w:spacing w:val="-1"/>
          <w:sz w:val="24"/>
          <w:szCs w:val="24"/>
        </w:rPr>
        <w:t>200m</w:t>
      </w:r>
      <w:r>
        <w:rPr>
          <w:rFonts w:ascii="宋体" w:hAnsi="宋体" w:eastAsia="宋体" w:cs="宋体"/>
          <w:spacing w:val="-1"/>
          <w:sz w:val="24"/>
          <w:szCs w:val="24"/>
        </w:rPr>
        <w:t>。料场岩性为浅灰色、紫红</w:t>
      </w:r>
      <w:r>
        <w:rPr>
          <w:rFonts w:ascii="宋体" w:hAnsi="宋体" w:eastAsia="宋体" w:cs="宋体"/>
          <w:spacing w:val="-2"/>
          <w:sz w:val="24"/>
          <w:szCs w:val="24"/>
        </w:rPr>
        <w:t>色石英砂岩，长石石英砂岩及泥质中细粒砂岩，</w:t>
      </w:r>
      <w:r>
        <w:rPr>
          <w:rFonts w:ascii="宋体" w:hAnsi="宋体" w:eastAsia="宋体" w:cs="宋体"/>
          <w:sz w:val="24"/>
          <w:szCs w:val="24"/>
        </w:rPr>
        <w:t xml:space="preserve"> </w:t>
      </w:r>
      <w:r>
        <w:rPr>
          <w:rFonts w:ascii="宋体" w:hAnsi="宋体" w:eastAsia="宋体" w:cs="宋体"/>
          <w:spacing w:val="-19"/>
          <w:sz w:val="24"/>
          <w:szCs w:val="24"/>
        </w:rPr>
        <w:t>层间混有数层泥岩，</w:t>
      </w:r>
      <w:r>
        <w:rPr>
          <w:rFonts w:ascii="宋体" w:hAnsi="宋体" w:eastAsia="宋体" w:cs="宋体"/>
          <w:spacing w:val="29"/>
          <w:sz w:val="24"/>
          <w:szCs w:val="24"/>
        </w:rPr>
        <w:t xml:space="preserve"> </w:t>
      </w:r>
      <w:r>
        <w:rPr>
          <w:rFonts w:ascii="宋体" w:hAnsi="宋体" w:eastAsia="宋体" w:cs="宋体"/>
          <w:spacing w:val="-19"/>
          <w:sz w:val="24"/>
          <w:szCs w:val="24"/>
        </w:rPr>
        <w:t>料场地形较完整，</w:t>
      </w:r>
      <w:r>
        <w:rPr>
          <w:rFonts w:ascii="宋体" w:hAnsi="宋体" w:eastAsia="宋体" w:cs="宋体"/>
          <w:spacing w:val="30"/>
          <w:sz w:val="24"/>
          <w:szCs w:val="24"/>
        </w:rPr>
        <w:t xml:space="preserve"> </w:t>
      </w:r>
      <w:r>
        <w:rPr>
          <w:rFonts w:ascii="宋体" w:hAnsi="宋体" w:eastAsia="宋体" w:cs="宋体"/>
          <w:spacing w:val="-19"/>
          <w:sz w:val="24"/>
          <w:szCs w:val="24"/>
        </w:rPr>
        <w:t>起伏不大， 无断裂构造，</w:t>
      </w:r>
      <w:r>
        <w:rPr>
          <w:rFonts w:ascii="宋体" w:hAnsi="宋体" w:eastAsia="宋体" w:cs="宋体"/>
          <w:spacing w:val="30"/>
          <w:sz w:val="24"/>
          <w:szCs w:val="24"/>
        </w:rPr>
        <w:t xml:space="preserve"> </w:t>
      </w:r>
      <w:r>
        <w:rPr>
          <w:rFonts w:ascii="宋体" w:hAnsi="宋体" w:eastAsia="宋体" w:cs="宋体"/>
          <w:spacing w:val="-19"/>
          <w:sz w:val="24"/>
          <w:szCs w:val="24"/>
        </w:rPr>
        <w:t>夹层较多。根据地表踏</w:t>
      </w:r>
      <w:r>
        <w:rPr>
          <w:rFonts w:ascii="宋体" w:hAnsi="宋体" w:eastAsia="宋体" w:cs="宋体"/>
          <w:sz w:val="24"/>
          <w:szCs w:val="24"/>
        </w:rPr>
        <w:t xml:space="preserve"> </w:t>
      </w:r>
      <w:r>
        <w:rPr>
          <w:rFonts w:ascii="宋体" w:hAnsi="宋体" w:eastAsia="宋体" w:cs="宋体"/>
          <w:spacing w:val="-8"/>
          <w:sz w:val="24"/>
          <w:szCs w:val="24"/>
        </w:rPr>
        <w:t>勘及钻探成果，</w:t>
      </w:r>
      <w:r>
        <w:rPr>
          <w:rFonts w:ascii="宋体" w:hAnsi="宋体" w:eastAsia="宋体" w:cs="宋体"/>
          <w:spacing w:val="-39"/>
          <w:sz w:val="24"/>
          <w:szCs w:val="24"/>
        </w:rPr>
        <w:t xml:space="preserve"> </w:t>
      </w:r>
      <w:r>
        <w:rPr>
          <w:rFonts w:ascii="宋体" w:hAnsi="宋体" w:eastAsia="宋体" w:cs="宋体"/>
          <w:spacing w:val="-8"/>
          <w:sz w:val="24"/>
          <w:szCs w:val="24"/>
        </w:rPr>
        <w:t>无用层泥岩夹层占</w:t>
      </w:r>
      <w:r>
        <w:rPr>
          <w:rFonts w:ascii="宋体" w:hAnsi="宋体" w:eastAsia="宋体" w:cs="宋体"/>
          <w:spacing w:val="-56"/>
          <w:sz w:val="24"/>
          <w:szCs w:val="24"/>
        </w:rPr>
        <w:t xml:space="preserve"> </w:t>
      </w:r>
      <w:r>
        <w:rPr>
          <w:rFonts w:ascii="Times New Roman" w:hAnsi="Times New Roman" w:eastAsia="Times New Roman" w:cs="Times New Roman"/>
          <w:spacing w:val="-8"/>
          <w:sz w:val="24"/>
          <w:szCs w:val="24"/>
        </w:rPr>
        <w:t>45%</w:t>
      </w:r>
      <w:r>
        <w:rPr>
          <w:rFonts w:ascii="宋体" w:hAnsi="宋体" w:eastAsia="宋体" w:cs="宋体"/>
          <w:spacing w:val="-8"/>
          <w:sz w:val="24"/>
          <w:szCs w:val="24"/>
        </w:rPr>
        <w:t>左右，剔除无用</w:t>
      </w:r>
      <w:r>
        <w:rPr>
          <w:rFonts w:ascii="宋体" w:hAnsi="宋体" w:eastAsia="宋体" w:cs="宋体"/>
          <w:spacing w:val="-9"/>
          <w:sz w:val="24"/>
          <w:szCs w:val="24"/>
        </w:rPr>
        <w:t>层后初步估算可用率按</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55%</w:t>
      </w:r>
      <w:r>
        <w:rPr>
          <w:rFonts w:ascii="宋体" w:hAnsi="宋体" w:eastAsia="宋体" w:cs="宋体"/>
          <w:spacing w:val="-9"/>
          <w:sz w:val="24"/>
          <w:szCs w:val="24"/>
        </w:rPr>
        <w:t>计，</w:t>
      </w:r>
    </w:p>
    <w:p>
      <w:pPr>
        <w:spacing w:line="233" w:lineRule="auto"/>
        <w:ind w:left="41"/>
        <w:rPr>
          <w:rFonts w:ascii="宋体" w:hAnsi="宋体" w:eastAsia="宋体" w:cs="宋体"/>
          <w:sz w:val="24"/>
          <w:szCs w:val="24"/>
        </w:rPr>
      </w:pPr>
      <w:r>
        <w:rPr>
          <w:rFonts w:ascii="宋体" w:hAnsi="宋体" w:eastAsia="宋体" w:cs="宋体"/>
          <w:spacing w:val="-6"/>
          <w:sz w:val="24"/>
          <w:szCs w:val="24"/>
        </w:rPr>
        <w:t>可获取有用层</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111.47</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宋体" w:hAnsi="宋体" w:eastAsia="宋体" w:cs="宋体"/>
          <w:spacing w:val="-6"/>
          <w:sz w:val="24"/>
          <w:szCs w:val="24"/>
        </w:rPr>
        <w:t>，储量满足要求。料场至</w:t>
      </w:r>
      <w:r>
        <w:rPr>
          <w:rFonts w:ascii="宋体" w:hAnsi="宋体" w:eastAsia="宋体" w:cs="宋体"/>
          <w:spacing w:val="-7"/>
          <w:sz w:val="24"/>
          <w:szCs w:val="24"/>
        </w:rPr>
        <w:t>枢纽工程建设区沿河运距约</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12km</w:t>
      </w:r>
      <w:r>
        <w:rPr>
          <w:rFonts w:ascii="宋体" w:hAnsi="宋体" w:eastAsia="宋体" w:cs="宋体"/>
          <w:spacing w:val="-7"/>
          <w:sz w:val="24"/>
          <w:szCs w:val="24"/>
        </w:rPr>
        <w:t>。</w:t>
      </w:r>
    </w:p>
    <w:p>
      <w:pPr>
        <w:spacing w:before="163" w:line="467" w:lineRule="exact"/>
        <w:ind w:right="68"/>
        <w:jc w:val="right"/>
        <w:rPr>
          <w:rFonts w:ascii="宋体" w:hAnsi="宋体" w:eastAsia="宋体" w:cs="宋体"/>
          <w:sz w:val="24"/>
          <w:szCs w:val="24"/>
        </w:rPr>
      </w:pPr>
      <w:r>
        <w:rPr>
          <w:rFonts w:ascii="宋体" w:hAnsi="宋体" w:eastAsia="宋体" w:cs="宋体"/>
          <w:spacing w:val="1"/>
          <w:position w:val="17"/>
          <w:sz w:val="24"/>
          <w:szCs w:val="24"/>
        </w:rPr>
        <w:t>由于导流输水隧洞施工时，砂石加工系统尚未具备加工能力，故考虑导流输</w:t>
      </w:r>
      <w:r>
        <w:rPr>
          <w:rFonts w:ascii="宋体" w:hAnsi="宋体" w:eastAsia="宋体" w:cs="宋体"/>
          <w:position w:val="17"/>
          <w:sz w:val="24"/>
          <w:szCs w:val="24"/>
        </w:rPr>
        <w:t>水隧</w:t>
      </w:r>
    </w:p>
    <w:p>
      <w:pPr>
        <w:spacing w:before="1" w:line="218" w:lineRule="auto"/>
        <w:ind w:left="40"/>
        <w:rPr>
          <w:rFonts w:ascii="宋体" w:hAnsi="宋体" w:eastAsia="宋体" w:cs="宋体"/>
          <w:sz w:val="24"/>
          <w:szCs w:val="24"/>
        </w:rPr>
      </w:pPr>
      <w:r>
        <w:rPr>
          <w:rFonts w:ascii="宋体" w:hAnsi="宋体" w:eastAsia="宋体" w:cs="宋体"/>
          <w:sz w:val="24"/>
          <w:szCs w:val="24"/>
        </w:rPr>
        <w:t>洞所需混凝土骨料由碧苴石料场外购供应、料</w:t>
      </w:r>
      <w:r>
        <w:rPr>
          <w:rFonts w:ascii="宋体" w:hAnsi="宋体" w:eastAsia="宋体" w:cs="宋体"/>
          <w:spacing w:val="-1"/>
          <w:sz w:val="24"/>
          <w:szCs w:val="24"/>
        </w:rPr>
        <w:t>由祥云砂料场外购供应。</w:t>
      </w:r>
    </w:p>
    <w:p>
      <w:pPr>
        <w:spacing w:before="181" w:line="220" w:lineRule="auto"/>
        <w:ind w:left="526"/>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）弃渣场</w:t>
      </w:r>
    </w:p>
    <w:p>
      <w:pPr>
        <w:spacing w:before="181" w:line="467" w:lineRule="exact"/>
        <w:ind w:left="520"/>
        <w:rPr>
          <w:rFonts w:ascii="宋体" w:hAnsi="宋体" w:eastAsia="宋体" w:cs="宋体"/>
          <w:sz w:val="24"/>
          <w:szCs w:val="24"/>
        </w:rPr>
      </w:pPr>
      <w:r>
        <w:rPr>
          <w:rFonts w:ascii="宋体" w:hAnsi="宋体" w:eastAsia="宋体" w:cs="宋体"/>
          <w:spacing w:val="-9"/>
          <w:position w:val="17"/>
          <w:sz w:val="24"/>
          <w:szCs w:val="24"/>
        </w:rPr>
        <w:t>规划设置</w:t>
      </w:r>
      <w:r>
        <w:rPr>
          <w:rFonts w:ascii="宋体" w:hAnsi="宋体" w:eastAsia="宋体" w:cs="宋体"/>
          <w:spacing w:val="-18"/>
          <w:position w:val="17"/>
          <w:sz w:val="24"/>
          <w:szCs w:val="24"/>
        </w:rPr>
        <w:t xml:space="preserve"> </w:t>
      </w:r>
      <w:r>
        <w:rPr>
          <w:rFonts w:ascii="Times New Roman" w:hAnsi="Times New Roman" w:eastAsia="Times New Roman" w:cs="Times New Roman"/>
          <w:spacing w:val="-9"/>
          <w:position w:val="17"/>
          <w:sz w:val="24"/>
          <w:szCs w:val="24"/>
        </w:rPr>
        <w:t xml:space="preserve">18 </w:t>
      </w:r>
      <w:r>
        <w:rPr>
          <w:rFonts w:ascii="宋体" w:hAnsi="宋体" w:eastAsia="宋体" w:cs="宋体"/>
          <w:spacing w:val="-9"/>
          <w:position w:val="17"/>
          <w:sz w:val="24"/>
          <w:szCs w:val="24"/>
        </w:rPr>
        <w:t>个弃渣场。</w:t>
      </w:r>
      <w:r>
        <w:rPr>
          <w:rFonts w:ascii="宋体" w:hAnsi="宋体" w:eastAsia="宋体" w:cs="宋体"/>
          <w:spacing w:val="47"/>
          <w:position w:val="17"/>
          <w:sz w:val="24"/>
          <w:szCs w:val="24"/>
        </w:rPr>
        <w:t xml:space="preserve"> </w:t>
      </w:r>
      <w:r>
        <w:rPr>
          <w:rFonts w:ascii="宋体" w:hAnsi="宋体" w:eastAsia="宋体" w:cs="宋体"/>
          <w:spacing w:val="-9"/>
          <w:position w:val="17"/>
          <w:sz w:val="24"/>
          <w:szCs w:val="24"/>
        </w:rPr>
        <w:t>弃渣场特性见表</w:t>
      </w:r>
      <w:r>
        <w:rPr>
          <w:rFonts w:ascii="宋体" w:hAnsi="宋体" w:eastAsia="宋体" w:cs="宋体"/>
          <w:spacing w:val="-55"/>
          <w:position w:val="17"/>
          <w:sz w:val="24"/>
          <w:szCs w:val="24"/>
        </w:rPr>
        <w:t xml:space="preserve"> </w:t>
      </w:r>
      <w:r>
        <w:rPr>
          <w:rFonts w:ascii="Times New Roman" w:hAnsi="Times New Roman" w:eastAsia="Times New Roman" w:cs="Times New Roman"/>
          <w:spacing w:val="-9"/>
          <w:position w:val="17"/>
          <w:sz w:val="24"/>
          <w:szCs w:val="24"/>
        </w:rPr>
        <w:t>2.3-4</w:t>
      </w:r>
      <w:r>
        <w:rPr>
          <w:rFonts w:ascii="宋体" w:hAnsi="宋体" w:eastAsia="宋体" w:cs="宋体"/>
          <w:spacing w:val="-9"/>
          <w:position w:val="17"/>
          <w:sz w:val="24"/>
          <w:szCs w:val="24"/>
        </w:rPr>
        <w:t>。</w:t>
      </w:r>
    </w:p>
    <w:p>
      <w:pPr>
        <w:spacing w:line="220" w:lineRule="auto"/>
        <w:ind w:left="52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）表土堆场</w:t>
      </w:r>
    </w:p>
    <w:p>
      <w:pPr>
        <w:spacing w:before="181" w:line="467" w:lineRule="exact"/>
        <w:ind w:left="523"/>
        <w:rPr>
          <w:rFonts w:ascii="宋体" w:hAnsi="宋体" w:eastAsia="宋体" w:cs="宋体"/>
          <w:sz w:val="24"/>
          <w:szCs w:val="24"/>
        </w:rPr>
      </w:pPr>
      <w:r>
        <w:rPr>
          <w:rFonts w:ascii="宋体" w:hAnsi="宋体" w:eastAsia="宋体" w:cs="宋体"/>
          <w:spacing w:val="-2"/>
          <w:position w:val="17"/>
          <w:sz w:val="24"/>
          <w:szCs w:val="24"/>
        </w:rPr>
        <w:t>项目设施</w:t>
      </w:r>
      <w:r>
        <w:rPr>
          <w:rFonts w:ascii="宋体" w:hAnsi="宋体" w:eastAsia="宋体" w:cs="宋体"/>
          <w:spacing w:val="-49"/>
          <w:position w:val="17"/>
          <w:sz w:val="24"/>
          <w:szCs w:val="24"/>
        </w:rPr>
        <w:t xml:space="preserve"> </w:t>
      </w:r>
      <w:r>
        <w:rPr>
          <w:rFonts w:ascii="Times New Roman" w:hAnsi="Times New Roman" w:eastAsia="Times New Roman" w:cs="Times New Roman"/>
          <w:spacing w:val="-2"/>
          <w:position w:val="17"/>
          <w:sz w:val="24"/>
          <w:szCs w:val="24"/>
        </w:rPr>
        <w:t xml:space="preserve">21 </w:t>
      </w:r>
      <w:r>
        <w:rPr>
          <w:rFonts w:ascii="宋体" w:hAnsi="宋体" w:eastAsia="宋体" w:cs="宋体"/>
          <w:spacing w:val="-2"/>
          <w:position w:val="17"/>
          <w:sz w:val="24"/>
          <w:szCs w:val="24"/>
        </w:rPr>
        <w:t>个表土堆场</w:t>
      </w:r>
    </w:p>
    <w:p>
      <w:pPr>
        <w:spacing w:line="219" w:lineRule="auto"/>
        <w:ind w:left="518"/>
        <w:rPr>
          <w:rFonts w:ascii="宋体" w:hAnsi="宋体" w:eastAsia="宋体" w:cs="宋体"/>
          <w:sz w:val="24"/>
          <w:szCs w:val="24"/>
        </w:rPr>
      </w:pPr>
      <w:r>
        <w:rPr>
          <w:rFonts w:ascii="宋体" w:hAnsi="宋体" w:eastAsia="宋体" w:cs="宋体"/>
          <w:spacing w:val="-1"/>
          <w:sz w:val="24"/>
          <w:szCs w:val="24"/>
        </w:rPr>
        <w:t>表土堆场特性见表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2.3-5</w:t>
      </w:r>
      <w:r>
        <w:rPr>
          <w:rFonts w:ascii="宋体" w:hAnsi="宋体" w:eastAsia="宋体" w:cs="宋体"/>
          <w:spacing w:val="-1"/>
          <w:sz w:val="24"/>
          <w:szCs w:val="24"/>
        </w:rPr>
        <w:t>。</w:t>
      </w:r>
    </w:p>
    <w:p>
      <w:pPr>
        <w:spacing w:line="219" w:lineRule="auto"/>
        <w:rPr>
          <w:rFonts w:ascii="宋体" w:hAnsi="宋体" w:eastAsia="宋体" w:cs="宋体"/>
          <w:sz w:val="24"/>
          <w:szCs w:val="24"/>
        </w:rPr>
        <w:sectPr>
          <w:headerReference r:id="rId95" w:type="default"/>
          <w:footerReference r:id="rId96" w:type="default"/>
          <w:pgSz w:w="11907" w:h="16839"/>
          <w:pgMar w:top="1298" w:right="1352" w:bottom="1373" w:left="1501" w:header="1023" w:footer="1210" w:gutter="0"/>
        </w:sectPr>
      </w:pPr>
    </w:p>
    <w:p>
      <w:pPr>
        <w:spacing w:before="264" w:line="233" w:lineRule="auto"/>
        <w:ind w:left="5740"/>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7"/>
          <w:sz w:val="21"/>
          <w:szCs w:val="21"/>
        </w:rPr>
        <w:t xml:space="preserve"> </w:t>
      </w:r>
      <w:r>
        <w:rPr>
          <w:rFonts w:ascii="Times New Roman" w:hAnsi="Times New Roman" w:eastAsia="Times New Roman" w:cs="Times New Roman"/>
          <w:b/>
          <w:bCs/>
          <w:spacing w:val="-1"/>
          <w:sz w:val="21"/>
          <w:szCs w:val="21"/>
        </w:rPr>
        <w:t xml:space="preserve">2.3-4    </w:t>
      </w:r>
      <w:r>
        <w:rPr>
          <w:rFonts w:ascii="宋体" w:hAnsi="宋体" w:eastAsia="宋体" w:cs="宋体"/>
          <w:spacing w:val="-1"/>
          <w:sz w:val="21"/>
          <w:szCs w:val="21"/>
          <w14:textOutline w14:w="3810" w14:cap="flat" w14:cmpd="sng">
            <w14:solidFill>
              <w14:srgbClr w14:val="000000"/>
            </w14:solidFill>
            <w14:prstDash w14:val="solid"/>
            <w14:miter w14:val="0"/>
          </w14:textOutline>
        </w:rPr>
        <w:t>弃渣场特性一览表</w:t>
      </w:r>
    </w:p>
    <w:p>
      <w:pPr>
        <w:spacing w:line="111" w:lineRule="exact"/>
      </w:pPr>
    </w:p>
    <w:tbl>
      <w:tblPr>
        <w:tblStyle w:val="5"/>
        <w:tblW w:w="1401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2736"/>
        <w:gridCol w:w="1007"/>
        <w:gridCol w:w="1140"/>
        <w:gridCol w:w="636"/>
        <w:gridCol w:w="1287"/>
        <w:gridCol w:w="974"/>
        <w:gridCol w:w="812"/>
        <w:gridCol w:w="814"/>
        <w:gridCol w:w="1170"/>
        <w:gridCol w:w="804"/>
        <w:gridCol w:w="17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0" w:hRule="atLeast"/>
        </w:trPr>
        <w:tc>
          <w:tcPr>
            <w:tcW w:w="926" w:type="dxa"/>
            <w:tcBorders>
              <w:top w:val="single" w:color="000000" w:sz="12" w:space="0"/>
              <w:left w:val="nil"/>
            </w:tcBorders>
            <w:vAlign w:val="top"/>
          </w:tcPr>
          <w:p>
            <w:pPr>
              <w:spacing w:line="369" w:lineRule="auto"/>
              <w:rPr>
                <w:rFonts w:ascii="Arial"/>
                <w:sz w:val="21"/>
              </w:rPr>
            </w:pPr>
          </w:p>
          <w:p>
            <w:pPr>
              <w:spacing w:before="68" w:line="217" w:lineRule="auto"/>
              <w:ind w:left="27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2736" w:type="dxa"/>
            <w:tcBorders>
              <w:top w:val="single" w:color="000000" w:sz="12" w:space="0"/>
            </w:tcBorders>
            <w:vAlign w:val="top"/>
          </w:tcPr>
          <w:p>
            <w:pPr>
              <w:spacing w:line="369" w:lineRule="auto"/>
              <w:rPr>
                <w:rFonts w:ascii="Arial"/>
                <w:sz w:val="21"/>
              </w:rPr>
            </w:pPr>
          </w:p>
          <w:p>
            <w:pPr>
              <w:spacing w:before="69" w:line="217" w:lineRule="auto"/>
              <w:ind w:left="1116"/>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位</w:t>
            </w:r>
            <w:r>
              <w:rPr>
                <w:rFonts w:ascii="仿宋" w:hAnsi="仿宋" w:eastAsia="仿宋" w:cs="仿宋"/>
                <w:spacing w:val="16"/>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置</w:t>
            </w:r>
          </w:p>
        </w:tc>
        <w:tc>
          <w:tcPr>
            <w:tcW w:w="1007" w:type="dxa"/>
            <w:tcBorders>
              <w:top w:val="single" w:color="000000" w:sz="12" w:space="0"/>
            </w:tcBorders>
            <w:vAlign w:val="top"/>
          </w:tcPr>
          <w:p>
            <w:pPr>
              <w:spacing w:before="304" w:line="232" w:lineRule="auto"/>
              <w:ind w:left="419" w:right="184" w:hanging="219"/>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渣场类</w:t>
            </w:r>
            <w:r>
              <w:rPr>
                <w:rFonts w:ascii="仿宋" w:hAnsi="仿宋" w:eastAsia="仿宋" w:cs="仿宋"/>
                <w:spacing w:val="1"/>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型</w:t>
            </w:r>
          </w:p>
        </w:tc>
        <w:tc>
          <w:tcPr>
            <w:tcW w:w="1140" w:type="dxa"/>
            <w:tcBorders>
              <w:top w:val="single" w:color="000000" w:sz="12" w:space="0"/>
            </w:tcBorders>
            <w:vAlign w:val="top"/>
          </w:tcPr>
          <w:p>
            <w:pPr>
              <w:spacing w:line="369" w:lineRule="auto"/>
              <w:rPr>
                <w:rFonts w:ascii="Arial"/>
                <w:sz w:val="21"/>
              </w:rPr>
            </w:pPr>
          </w:p>
          <w:p>
            <w:pPr>
              <w:pStyle w:val="6"/>
              <w:spacing w:before="68" w:line="215" w:lineRule="auto"/>
              <w:ind w:left="156"/>
            </w:pPr>
            <w:r>
              <w:rPr>
                <w:rFonts w:ascii="仿宋" w:hAnsi="仿宋" w:eastAsia="仿宋" w:cs="仿宋"/>
                <w:spacing w:val="-7"/>
                <w14:textOutline w14:w="3810" w14:cap="flat" w14:cmpd="sng">
                  <w14:solidFill>
                    <w14:srgbClr w14:val="000000"/>
                  </w14:solidFill>
                  <w14:prstDash w14:val="solid"/>
                  <w14:miter w14:val="0"/>
                </w14:textOutline>
              </w:rPr>
              <w:t>占地</w:t>
            </w:r>
            <w:r>
              <w:rPr>
                <w:b/>
                <w:bCs/>
                <w:spacing w:val="-7"/>
              </w:rPr>
              <w:t>(hm</w:t>
            </w:r>
            <w:r>
              <w:rPr>
                <w:b/>
                <w:bCs/>
                <w:spacing w:val="-7"/>
                <w:position w:val="6"/>
                <w:sz w:val="14"/>
                <w:szCs w:val="14"/>
              </w:rPr>
              <w:t>2</w:t>
            </w:r>
            <w:r>
              <w:rPr>
                <w:b/>
                <w:bCs/>
                <w:spacing w:val="-7"/>
              </w:rPr>
              <w:t>)</w:t>
            </w:r>
          </w:p>
        </w:tc>
        <w:tc>
          <w:tcPr>
            <w:tcW w:w="636" w:type="dxa"/>
            <w:tcBorders>
              <w:top w:val="single" w:color="000000" w:sz="12" w:space="0"/>
            </w:tcBorders>
            <w:textDirection w:val="tbRlV"/>
            <w:vAlign w:val="top"/>
          </w:tcPr>
          <w:p>
            <w:pPr>
              <w:spacing w:before="210" w:line="203" w:lineRule="auto"/>
              <w:ind w:left="30"/>
              <w:rPr>
                <w:rFonts w:ascii="仿宋" w:hAnsi="仿宋" w:eastAsia="仿宋" w:cs="仿宋"/>
                <w:sz w:val="21"/>
                <w:szCs w:val="21"/>
              </w:rPr>
            </w:pPr>
            <w:r>
              <w:rPr>
                <w:rFonts w:ascii="仿宋" w:hAnsi="仿宋" w:eastAsia="仿宋" w:cs="仿宋"/>
                <w:spacing w:val="46"/>
                <w:sz w:val="21"/>
                <w:szCs w:val="21"/>
                <w14:textOutline w14:w="3810" w14:cap="flat" w14:cmpd="sng">
                  <w14:solidFill>
                    <w14:srgbClr w14:val="000000"/>
                  </w14:solidFill>
                  <w14:prstDash w14:val="solid"/>
                  <w14:miter w14:val="0"/>
                </w14:textOutline>
              </w:rPr>
              <w:t>占地类型</w:t>
            </w:r>
          </w:p>
        </w:tc>
        <w:tc>
          <w:tcPr>
            <w:tcW w:w="1287" w:type="dxa"/>
            <w:tcBorders>
              <w:top w:val="single" w:color="000000" w:sz="12" w:space="0"/>
            </w:tcBorders>
            <w:vAlign w:val="top"/>
          </w:tcPr>
          <w:p>
            <w:pPr>
              <w:spacing w:line="369" w:lineRule="auto"/>
              <w:rPr>
                <w:rFonts w:ascii="Arial"/>
                <w:sz w:val="21"/>
              </w:rPr>
            </w:pPr>
          </w:p>
          <w:p>
            <w:pPr>
              <w:pStyle w:val="6"/>
              <w:spacing w:before="68" w:line="215" w:lineRule="auto"/>
              <w:ind w:left="122"/>
            </w:pPr>
            <w:r>
              <w:rPr>
                <w:rFonts w:ascii="仿宋" w:hAnsi="仿宋" w:eastAsia="仿宋" w:cs="仿宋"/>
                <w:spacing w:val="-4"/>
                <w14:textOutline w14:w="3810" w14:cap="flat" w14:cmpd="sng">
                  <w14:solidFill>
                    <w14:srgbClr w14:val="000000"/>
                  </w14:solidFill>
                  <w14:prstDash w14:val="solid"/>
                  <w14:miter w14:val="0"/>
                </w14:textOutline>
              </w:rPr>
              <w:t>容积</w:t>
            </w:r>
            <w:r>
              <w:rPr>
                <w:b/>
                <w:bCs/>
                <w:spacing w:val="-4"/>
              </w:rPr>
              <w:t>(</w:t>
            </w:r>
            <w:r>
              <w:rPr>
                <w:rFonts w:ascii="仿宋" w:hAnsi="仿宋" w:eastAsia="仿宋" w:cs="仿宋"/>
                <w:spacing w:val="-4"/>
                <w14:textOutline w14:w="3810" w14:cap="flat" w14:cmpd="sng">
                  <w14:solidFill>
                    <w14:srgbClr w14:val="000000"/>
                  </w14:solidFill>
                  <w14:prstDash w14:val="solid"/>
                  <w14:miter w14:val="0"/>
                </w14:textOutline>
              </w:rPr>
              <w:t>万</w:t>
            </w:r>
            <w:r>
              <w:rPr>
                <w:rFonts w:ascii="仿宋" w:hAnsi="仿宋" w:eastAsia="仿宋" w:cs="仿宋"/>
                <w:spacing w:val="-39"/>
              </w:rPr>
              <w:t xml:space="preserve"> </w:t>
            </w:r>
            <w:r>
              <w:rPr>
                <w:b/>
                <w:bCs/>
                <w:spacing w:val="-4"/>
              </w:rPr>
              <w:t>m</w:t>
            </w:r>
            <w:r>
              <w:rPr>
                <w:b/>
                <w:bCs/>
                <w:spacing w:val="-4"/>
                <w:position w:val="6"/>
                <w:sz w:val="14"/>
                <w:szCs w:val="14"/>
              </w:rPr>
              <w:t>3</w:t>
            </w:r>
            <w:r>
              <w:rPr>
                <w:b/>
                <w:bCs/>
                <w:spacing w:val="-4"/>
              </w:rPr>
              <w:t>)</w:t>
            </w:r>
          </w:p>
        </w:tc>
        <w:tc>
          <w:tcPr>
            <w:tcW w:w="974" w:type="dxa"/>
            <w:tcBorders>
              <w:top w:val="single" w:color="000000" w:sz="12" w:space="0"/>
            </w:tcBorders>
            <w:vAlign w:val="top"/>
          </w:tcPr>
          <w:p>
            <w:pPr>
              <w:spacing w:before="46" w:line="219" w:lineRule="auto"/>
              <w:ind w:left="18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处理弃</w:t>
            </w:r>
          </w:p>
          <w:p>
            <w:pPr>
              <w:pStyle w:val="6"/>
              <w:spacing w:before="23" w:line="215" w:lineRule="auto"/>
              <w:ind w:left="147"/>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渣</w:t>
            </w:r>
            <w:r>
              <w:rPr>
                <w:b/>
                <w:bCs/>
                <w:spacing w:val="-4"/>
              </w:rPr>
              <w:t>(</w:t>
            </w:r>
            <w:r>
              <w:rPr>
                <w:rFonts w:ascii="仿宋" w:hAnsi="仿宋" w:eastAsia="仿宋" w:cs="仿宋"/>
                <w:spacing w:val="-4"/>
                <w14:textOutline w14:w="3810" w14:cap="flat" w14:cmpd="sng">
                  <w14:solidFill>
                    <w14:srgbClr w14:val="000000"/>
                  </w14:solidFill>
                  <w14:prstDash w14:val="solid"/>
                  <w14:miter w14:val="0"/>
                </w14:textOutline>
              </w:rPr>
              <w:t>自然</w:t>
            </w:r>
          </w:p>
          <w:p>
            <w:pPr>
              <w:spacing w:before="27" w:line="220" w:lineRule="auto"/>
              <w:ind w:left="291"/>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方万</w:t>
            </w:r>
          </w:p>
          <w:p>
            <w:pPr>
              <w:pStyle w:val="6"/>
              <w:spacing w:before="21" w:line="213" w:lineRule="auto"/>
              <w:ind w:left="334"/>
            </w:pPr>
            <w:r>
              <w:rPr>
                <w:b/>
                <w:bCs/>
                <w:spacing w:val="-3"/>
              </w:rPr>
              <w:t>m</w:t>
            </w:r>
            <w:r>
              <w:rPr>
                <w:b/>
                <w:bCs/>
                <w:spacing w:val="-3"/>
                <w:position w:val="6"/>
                <w:sz w:val="14"/>
                <w:szCs w:val="14"/>
              </w:rPr>
              <w:t>3</w:t>
            </w:r>
            <w:r>
              <w:rPr>
                <w:b/>
                <w:bCs/>
                <w:spacing w:val="-3"/>
              </w:rPr>
              <w:t>)</w:t>
            </w:r>
          </w:p>
        </w:tc>
        <w:tc>
          <w:tcPr>
            <w:tcW w:w="812" w:type="dxa"/>
            <w:tcBorders>
              <w:top w:val="single" w:color="000000" w:sz="12" w:space="0"/>
            </w:tcBorders>
            <w:vAlign w:val="top"/>
          </w:tcPr>
          <w:p>
            <w:pPr>
              <w:pStyle w:val="6"/>
              <w:spacing w:before="165" w:line="242" w:lineRule="auto"/>
              <w:ind w:left="118" w:right="119" w:firstLine="86"/>
              <w:jc w:val="both"/>
              <w:rPr>
                <w:rFonts w:ascii="仿宋" w:hAnsi="仿宋" w:eastAsia="仿宋" w:cs="仿宋"/>
              </w:rPr>
            </w:pPr>
            <w:r>
              <w:rPr>
                <w:rFonts w:ascii="仿宋" w:hAnsi="仿宋" w:eastAsia="仿宋" w:cs="仿宋"/>
                <w:spacing w:val="-7"/>
                <w14:textOutline w14:w="3810" w14:cap="flat" w14:cmpd="sng">
                  <w14:solidFill>
                    <w14:srgbClr w14:val="000000"/>
                  </w14:solidFill>
                  <w14:prstDash w14:val="solid"/>
                  <w14:miter w14:val="0"/>
                </w14:textOutline>
              </w:rPr>
              <w:t>挡墙</w:t>
            </w:r>
            <w:r>
              <w:rPr>
                <w:rFonts w:ascii="仿宋" w:hAnsi="仿宋" w:eastAsia="仿宋" w:cs="仿宋"/>
              </w:rPr>
              <w:t xml:space="preserve"> </w:t>
            </w:r>
            <w:r>
              <w:rPr>
                <w:rFonts w:ascii="仿宋" w:hAnsi="仿宋" w:eastAsia="仿宋" w:cs="仿宋"/>
                <w:spacing w:val="37"/>
                <w14:textOutline w14:w="3810" w14:cap="flat" w14:cmpd="sng">
                  <w14:solidFill>
                    <w14:srgbClr w14:val="000000"/>
                  </w14:solidFill>
                  <w14:prstDash w14:val="solid"/>
                  <w14:miter w14:val="0"/>
                </w14:textOutline>
              </w:rPr>
              <w:t>高度</w:t>
            </w:r>
            <w:r>
              <w:rPr>
                <w:rFonts w:ascii="仿宋" w:hAnsi="仿宋" w:eastAsia="仿宋" w:cs="仿宋"/>
              </w:rPr>
              <w:t xml:space="preserve"> </w:t>
            </w:r>
            <w:r>
              <w:rPr>
                <w:rFonts w:ascii="仿宋" w:hAnsi="仿宋" w:eastAsia="仿宋" w:cs="仿宋"/>
                <w:spacing w:val="-9"/>
                <w14:textOutline w14:w="3810" w14:cap="flat" w14:cmpd="sng">
                  <w14:solidFill>
                    <w14:srgbClr w14:val="000000"/>
                  </w14:solidFill>
                  <w14:prstDash w14:val="solid"/>
                  <w14:miter w14:val="0"/>
                </w14:textOutline>
              </w:rPr>
              <w:t>（</w:t>
            </w:r>
            <w:r>
              <w:rPr>
                <w:b/>
                <w:bCs/>
                <w:spacing w:val="-9"/>
              </w:rPr>
              <w:t>m</w:t>
            </w:r>
            <w:r>
              <w:rPr>
                <w:rFonts w:ascii="仿宋" w:hAnsi="仿宋" w:eastAsia="仿宋" w:cs="仿宋"/>
                <w:spacing w:val="-9"/>
                <w14:textOutline w14:w="3810" w14:cap="flat" w14:cmpd="sng">
                  <w14:solidFill>
                    <w14:srgbClr w14:val="000000"/>
                  </w14:solidFill>
                  <w14:prstDash w14:val="solid"/>
                  <w14:miter w14:val="0"/>
                </w14:textOutline>
              </w:rPr>
              <w:t>）</w:t>
            </w:r>
          </w:p>
        </w:tc>
        <w:tc>
          <w:tcPr>
            <w:tcW w:w="814" w:type="dxa"/>
            <w:tcBorders>
              <w:top w:val="single" w:color="000000" w:sz="12" w:space="0"/>
            </w:tcBorders>
            <w:vAlign w:val="top"/>
          </w:tcPr>
          <w:p>
            <w:pPr>
              <w:pStyle w:val="6"/>
              <w:spacing w:before="165" w:line="242" w:lineRule="auto"/>
              <w:ind w:left="120" w:right="119" w:firstLine="88"/>
              <w:jc w:val="both"/>
              <w:rPr>
                <w:rFonts w:ascii="仿宋" w:hAnsi="仿宋" w:eastAsia="仿宋" w:cs="仿宋"/>
              </w:rPr>
            </w:pPr>
            <w:r>
              <w:rPr>
                <w:rFonts w:ascii="仿宋" w:hAnsi="仿宋" w:eastAsia="仿宋" w:cs="仿宋"/>
                <w:spacing w:val="-7"/>
                <w14:textOutline w14:w="3810" w14:cap="flat" w14:cmpd="sng">
                  <w14:solidFill>
                    <w14:srgbClr w14:val="000000"/>
                  </w14:solidFill>
                  <w14:prstDash w14:val="solid"/>
                  <w14:miter w14:val="0"/>
                </w14:textOutline>
              </w:rPr>
              <w:t>堆渣</w:t>
            </w:r>
            <w:r>
              <w:rPr>
                <w:rFonts w:ascii="仿宋" w:hAnsi="仿宋" w:eastAsia="仿宋" w:cs="仿宋"/>
              </w:rPr>
              <w:t xml:space="preserve"> </w:t>
            </w:r>
            <w:r>
              <w:rPr>
                <w:rFonts w:ascii="仿宋" w:hAnsi="仿宋" w:eastAsia="仿宋" w:cs="仿宋"/>
                <w:spacing w:val="37"/>
                <w14:textOutline w14:w="3810" w14:cap="flat" w14:cmpd="sng">
                  <w14:solidFill>
                    <w14:srgbClr w14:val="000000"/>
                  </w14:solidFill>
                  <w14:prstDash w14:val="solid"/>
                  <w14:miter w14:val="0"/>
                </w14:textOutline>
              </w:rPr>
              <w:t>高度</w:t>
            </w:r>
            <w:r>
              <w:rPr>
                <w:rFonts w:ascii="仿宋" w:hAnsi="仿宋" w:eastAsia="仿宋" w:cs="仿宋"/>
              </w:rPr>
              <w:t xml:space="preserve"> </w:t>
            </w:r>
            <w:r>
              <w:rPr>
                <w:rFonts w:ascii="仿宋" w:hAnsi="仿宋" w:eastAsia="仿宋" w:cs="仿宋"/>
                <w:spacing w:val="-9"/>
                <w14:textOutline w14:w="3810" w14:cap="flat" w14:cmpd="sng">
                  <w14:solidFill>
                    <w14:srgbClr w14:val="000000"/>
                  </w14:solidFill>
                  <w14:prstDash w14:val="solid"/>
                  <w14:miter w14:val="0"/>
                </w14:textOutline>
              </w:rPr>
              <w:t>（</w:t>
            </w:r>
            <w:r>
              <w:rPr>
                <w:b/>
                <w:bCs/>
                <w:spacing w:val="-9"/>
              </w:rPr>
              <w:t>m</w:t>
            </w:r>
            <w:r>
              <w:rPr>
                <w:rFonts w:ascii="仿宋" w:hAnsi="仿宋" w:eastAsia="仿宋" w:cs="仿宋"/>
                <w:spacing w:val="-9"/>
                <w14:textOutline w14:w="3810" w14:cap="flat" w14:cmpd="sng">
                  <w14:solidFill>
                    <w14:srgbClr w14:val="000000"/>
                  </w14:solidFill>
                  <w14:prstDash w14:val="solid"/>
                  <w14:miter w14:val="0"/>
                </w14:textOutline>
              </w:rPr>
              <w:t>）</w:t>
            </w:r>
          </w:p>
        </w:tc>
        <w:tc>
          <w:tcPr>
            <w:tcW w:w="1170" w:type="dxa"/>
            <w:tcBorders>
              <w:top w:val="single" w:color="000000" w:sz="12" w:space="0"/>
            </w:tcBorders>
            <w:vAlign w:val="top"/>
          </w:tcPr>
          <w:p>
            <w:pPr>
              <w:spacing w:line="369" w:lineRule="auto"/>
              <w:rPr>
                <w:rFonts w:ascii="Arial"/>
                <w:sz w:val="21"/>
              </w:rPr>
            </w:pPr>
          </w:p>
          <w:p>
            <w:pPr>
              <w:spacing w:before="68" w:line="217" w:lineRule="auto"/>
              <w:ind w:left="17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堆渣范围</w:t>
            </w:r>
          </w:p>
        </w:tc>
        <w:tc>
          <w:tcPr>
            <w:tcW w:w="804" w:type="dxa"/>
            <w:tcBorders>
              <w:top w:val="single" w:color="000000" w:sz="12" w:space="0"/>
            </w:tcBorders>
            <w:vAlign w:val="top"/>
          </w:tcPr>
          <w:p>
            <w:pPr>
              <w:spacing w:before="303" w:line="239" w:lineRule="auto"/>
              <w:ind w:left="20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堆渣</w:t>
            </w:r>
          </w:p>
          <w:p>
            <w:pPr>
              <w:spacing w:line="218" w:lineRule="auto"/>
              <w:ind w:left="20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坡比</w:t>
            </w:r>
          </w:p>
        </w:tc>
        <w:tc>
          <w:tcPr>
            <w:tcW w:w="1711" w:type="dxa"/>
            <w:tcBorders>
              <w:top w:val="single" w:color="000000" w:sz="12" w:space="0"/>
              <w:right w:val="nil"/>
            </w:tcBorders>
            <w:vAlign w:val="top"/>
          </w:tcPr>
          <w:p>
            <w:pPr>
              <w:spacing w:line="369" w:lineRule="auto"/>
              <w:rPr>
                <w:rFonts w:ascii="Arial"/>
                <w:sz w:val="21"/>
              </w:rPr>
            </w:pPr>
          </w:p>
          <w:p>
            <w:pPr>
              <w:spacing w:before="69" w:line="217" w:lineRule="auto"/>
              <w:ind w:left="45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弃渣来源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926" w:type="dxa"/>
            <w:tcBorders>
              <w:left w:val="nil"/>
            </w:tcBorders>
            <w:vAlign w:val="top"/>
          </w:tcPr>
          <w:p>
            <w:pPr>
              <w:pStyle w:val="6"/>
              <w:spacing w:before="35" w:line="239" w:lineRule="auto"/>
              <w:ind w:left="232"/>
              <w:rPr>
                <w:rFonts w:ascii="仿宋" w:hAnsi="仿宋" w:eastAsia="仿宋" w:cs="仿宋"/>
              </w:rPr>
            </w:pPr>
            <w:r>
              <w:rPr>
                <w:spacing w:val="-12"/>
              </w:rPr>
              <w:t>1</w:t>
            </w:r>
            <w:r>
              <w:rPr>
                <w:rFonts w:ascii="仿宋" w:hAnsi="仿宋" w:eastAsia="仿宋" w:cs="仿宋"/>
                <w:spacing w:val="-12"/>
              </w:rPr>
              <w:t>＃弃</w:t>
            </w:r>
          </w:p>
          <w:p>
            <w:pPr>
              <w:spacing w:line="201" w:lineRule="auto"/>
              <w:ind w:left="275"/>
              <w:rPr>
                <w:rFonts w:ascii="仿宋" w:hAnsi="仿宋" w:eastAsia="仿宋" w:cs="仿宋"/>
                <w:sz w:val="21"/>
                <w:szCs w:val="21"/>
              </w:rPr>
            </w:pPr>
            <w:r>
              <w:rPr>
                <w:rFonts w:ascii="仿宋" w:hAnsi="仿宋" w:eastAsia="仿宋" w:cs="仿宋"/>
                <w:spacing w:val="-4"/>
                <w:sz w:val="21"/>
                <w:szCs w:val="21"/>
              </w:rPr>
              <w:t>渣场</w:t>
            </w:r>
          </w:p>
        </w:tc>
        <w:tc>
          <w:tcPr>
            <w:tcW w:w="2736" w:type="dxa"/>
            <w:vAlign w:val="top"/>
          </w:tcPr>
          <w:p>
            <w:pPr>
              <w:pStyle w:val="6"/>
              <w:spacing w:before="34" w:line="221" w:lineRule="auto"/>
              <w:ind w:left="121" w:right="299" w:firstLine="3"/>
              <w:rPr>
                <w:rFonts w:ascii="仿宋" w:hAnsi="仿宋" w:eastAsia="仿宋" w:cs="仿宋"/>
              </w:rPr>
            </w:pPr>
            <w:r>
              <w:rPr>
                <w:rFonts w:ascii="仿宋" w:hAnsi="仿宋" w:eastAsia="仿宋" w:cs="仿宋"/>
                <w:spacing w:val="-8"/>
              </w:rPr>
              <w:t>坝址区东北侧约</w:t>
            </w:r>
            <w:r>
              <w:rPr>
                <w:rFonts w:ascii="仿宋" w:hAnsi="仿宋" w:eastAsia="仿宋" w:cs="仿宋"/>
                <w:spacing w:val="-34"/>
              </w:rPr>
              <w:t xml:space="preserve"> </w:t>
            </w:r>
            <w:r>
              <w:rPr>
                <w:spacing w:val="-8"/>
              </w:rPr>
              <w:t>6km</w:t>
            </w:r>
            <w:r>
              <w:rPr>
                <w:spacing w:val="14"/>
                <w:w w:val="101"/>
              </w:rPr>
              <w:t xml:space="preserve"> </w:t>
            </w:r>
            <w:r>
              <w:rPr>
                <w:rFonts w:ascii="仿宋" w:hAnsi="仿宋" w:eastAsia="仿宋" w:cs="仿宋"/>
                <w:spacing w:val="-8"/>
              </w:rPr>
              <w:t>处，</w:t>
            </w:r>
            <w:r>
              <w:rPr>
                <w:rFonts w:ascii="仿宋" w:hAnsi="仿宋" w:eastAsia="仿宋" w:cs="仿宋"/>
              </w:rPr>
              <w:t xml:space="preserve"> </w:t>
            </w:r>
            <w:r>
              <w:rPr>
                <w:rFonts w:ascii="仿宋" w:hAnsi="仿宋" w:eastAsia="仿宋" w:cs="仿宋"/>
                <w:spacing w:val="-3"/>
              </w:rPr>
              <w:t>博血乍村下侧</w:t>
            </w:r>
          </w:p>
        </w:tc>
        <w:tc>
          <w:tcPr>
            <w:tcW w:w="1007" w:type="dxa"/>
            <w:vAlign w:val="top"/>
          </w:tcPr>
          <w:p>
            <w:pPr>
              <w:spacing w:before="171"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pStyle w:val="6"/>
              <w:spacing w:before="208" w:line="188" w:lineRule="auto"/>
              <w:ind w:left="387"/>
            </w:pPr>
            <w:r>
              <w:rPr>
                <w:spacing w:val="-1"/>
              </w:rPr>
              <w:t>2.35</w:t>
            </w:r>
          </w:p>
        </w:tc>
        <w:tc>
          <w:tcPr>
            <w:tcW w:w="636" w:type="dxa"/>
            <w:vAlign w:val="top"/>
          </w:tcPr>
          <w:p>
            <w:pPr>
              <w:spacing w:before="171" w:line="218" w:lineRule="auto"/>
              <w:ind w:left="119"/>
              <w:rPr>
                <w:rFonts w:ascii="仿宋" w:hAnsi="仿宋" w:eastAsia="仿宋" w:cs="仿宋"/>
                <w:sz w:val="21"/>
                <w:szCs w:val="21"/>
              </w:rPr>
            </w:pPr>
            <w:r>
              <w:rPr>
                <w:rFonts w:ascii="仿宋" w:hAnsi="仿宋" w:eastAsia="仿宋" w:cs="仿宋"/>
                <w:spacing w:val="-4"/>
                <w:sz w:val="21"/>
                <w:szCs w:val="21"/>
              </w:rPr>
              <w:t>林地</w:t>
            </w:r>
          </w:p>
        </w:tc>
        <w:tc>
          <w:tcPr>
            <w:tcW w:w="1287" w:type="dxa"/>
            <w:vAlign w:val="top"/>
          </w:tcPr>
          <w:p>
            <w:pPr>
              <w:pStyle w:val="6"/>
              <w:spacing w:before="208" w:line="188" w:lineRule="auto"/>
              <w:ind w:left="413"/>
            </w:pPr>
            <w:r>
              <w:rPr>
                <w:spacing w:val="-2"/>
              </w:rPr>
              <w:t>38.13</w:t>
            </w:r>
          </w:p>
        </w:tc>
        <w:tc>
          <w:tcPr>
            <w:tcW w:w="974" w:type="dxa"/>
            <w:vAlign w:val="top"/>
          </w:tcPr>
          <w:p>
            <w:pPr>
              <w:pStyle w:val="6"/>
              <w:spacing w:before="208" w:line="188" w:lineRule="auto"/>
              <w:ind w:left="251"/>
            </w:pPr>
            <w:r>
              <w:rPr>
                <w:spacing w:val="-1"/>
              </w:rPr>
              <w:t>21.80</w:t>
            </w:r>
          </w:p>
        </w:tc>
        <w:tc>
          <w:tcPr>
            <w:tcW w:w="812" w:type="dxa"/>
            <w:vAlign w:val="top"/>
          </w:tcPr>
          <w:p>
            <w:pPr>
              <w:pStyle w:val="6"/>
              <w:spacing w:before="211" w:line="185" w:lineRule="auto"/>
              <w:ind w:left="361"/>
            </w:pPr>
            <w:r>
              <w:t>5</w:t>
            </w:r>
          </w:p>
        </w:tc>
        <w:tc>
          <w:tcPr>
            <w:tcW w:w="814" w:type="dxa"/>
            <w:vAlign w:val="top"/>
          </w:tcPr>
          <w:p>
            <w:pPr>
              <w:pStyle w:val="6"/>
              <w:spacing w:before="211" w:line="185" w:lineRule="auto"/>
              <w:ind w:left="309"/>
            </w:pPr>
            <w:r>
              <w:rPr>
                <w:spacing w:val="-3"/>
              </w:rPr>
              <w:t>55</w:t>
            </w:r>
          </w:p>
        </w:tc>
        <w:tc>
          <w:tcPr>
            <w:tcW w:w="1170" w:type="dxa"/>
            <w:vAlign w:val="top"/>
          </w:tcPr>
          <w:p>
            <w:pPr>
              <w:pStyle w:val="6"/>
              <w:spacing w:before="208" w:line="188" w:lineRule="auto"/>
              <w:ind w:left="129"/>
            </w:pPr>
            <w:r>
              <w:rPr>
                <w:spacing w:val="-3"/>
              </w:rPr>
              <w:t>1945~2000</w:t>
            </w:r>
          </w:p>
        </w:tc>
        <w:tc>
          <w:tcPr>
            <w:tcW w:w="804" w:type="dxa"/>
            <w:vAlign w:val="top"/>
          </w:tcPr>
          <w:p>
            <w:pPr>
              <w:pStyle w:val="6"/>
              <w:spacing w:before="206" w:line="200" w:lineRule="auto"/>
              <w:ind w:left="210"/>
            </w:pPr>
            <w:r>
              <w:rPr>
                <w:spacing w:val="-5"/>
              </w:rPr>
              <w:t>1;2.5</w:t>
            </w:r>
          </w:p>
        </w:tc>
        <w:tc>
          <w:tcPr>
            <w:tcW w:w="1711" w:type="dxa"/>
            <w:tcBorders>
              <w:right w:val="nil"/>
            </w:tcBorders>
            <w:vAlign w:val="top"/>
          </w:tcPr>
          <w:p>
            <w:pPr>
              <w:spacing w:before="34" w:line="221" w:lineRule="auto"/>
              <w:ind w:left="119" w:right="132" w:hanging="1"/>
              <w:rPr>
                <w:rFonts w:ascii="仿宋" w:hAnsi="仿宋" w:eastAsia="仿宋" w:cs="仿宋"/>
                <w:sz w:val="21"/>
                <w:szCs w:val="21"/>
              </w:rPr>
            </w:pPr>
            <w:r>
              <w:rPr>
                <w:rFonts w:ascii="仿宋" w:hAnsi="仿宋" w:eastAsia="仿宋" w:cs="仿宋"/>
                <w:spacing w:val="-19"/>
                <w:sz w:val="21"/>
                <w:szCs w:val="21"/>
              </w:rPr>
              <w:t>枢纽区、</w:t>
            </w:r>
            <w:r>
              <w:rPr>
                <w:rFonts w:ascii="仿宋" w:hAnsi="仿宋" w:eastAsia="仿宋" w:cs="仿宋"/>
                <w:spacing w:val="14"/>
                <w:sz w:val="21"/>
                <w:szCs w:val="21"/>
              </w:rPr>
              <w:t xml:space="preserve"> </w:t>
            </w:r>
            <w:r>
              <w:rPr>
                <w:rFonts w:ascii="仿宋" w:hAnsi="仿宋" w:eastAsia="仿宋" w:cs="仿宋"/>
                <w:spacing w:val="-19"/>
                <w:sz w:val="21"/>
                <w:szCs w:val="21"/>
              </w:rPr>
              <w:t>公路弃</w:t>
            </w:r>
            <w:r>
              <w:rPr>
                <w:rFonts w:ascii="仿宋" w:hAnsi="仿宋" w:eastAsia="仿宋" w:cs="仿宋"/>
                <w:sz w:val="21"/>
                <w:szCs w:val="21"/>
              </w:rPr>
              <w:t xml:space="preserve"> 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926" w:type="dxa"/>
            <w:tcBorders>
              <w:left w:val="nil"/>
            </w:tcBorders>
            <w:vAlign w:val="top"/>
          </w:tcPr>
          <w:p>
            <w:pPr>
              <w:pStyle w:val="6"/>
              <w:spacing w:before="39" w:line="239" w:lineRule="auto"/>
              <w:ind w:left="212"/>
              <w:rPr>
                <w:rFonts w:ascii="仿宋" w:hAnsi="仿宋" w:eastAsia="仿宋" w:cs="仿宋"/>
              </w:rPr>
            </w:pPr>
            <w:r>
              <w:rPr>
                <w:spacing w:val="-5"/>
              </w:rPr>
              <w:t>2</w:t>
            </w:r>
            <w:r>
              <w:rPr>
                <w:rFonts w:ascii="仿宋" w:hAnsi="仿宋" w:eastAsia="仿宋" w:cs="仿宋"/>
                <w:spacing w:val="-5"/>
              </w:rPr>
              <w:t>＃弃</w:t>
            </w:r>
          </w:p>
          <w:p>
            <w:pPr>
              <w:spacing w:line="199" w:lineRule="auto"/>
              <w:ind w:left="275"/>
              <w:rPr>
                <w:rFonts w:ascii="仿宋" w:hAnsi="仿宋" w:eastAsia="仿宋" w:cs="仿宋"/>
                <w:sz w:val="21"/>
                <w:szCs w:val="21"/>
              </w:rPr>
            </w:pPr>
            <w:r>
              <w:rPr>
                <w:rFonts w:ascii="仿宋" w:hAnsi="仿宋" w:eastAsia="仿宋" w:cs="仿宋"/>
                <w:spacing w:val="-4"/>
                <w:sz w:val="21"/>
                <w:szCs w:val="21"/>
              </w:rPr>
              <w:t>渣场</w:t>
            </w:r>
          </w:p>
        </w:tc>
        <w:tc>
          <w:tcPr>
            <w:tcW w:w="2736" w:type="dxa"/>
            <w:vAlign w:val="top"/>
          </w:tcPr>
          <w:p>
            <w:pPr>
              <w:pStyle w:val="6"/>
              <w:spacing w:before="37" w:line="220" w:lineRule="auto"/>
              <w:ind w:left="119" w:right="151" w:firstLine="23"/>
              <w:rPr>
                <w:rFonts w:ascii="仿宋" w:hAnsi="仿宋" w:eastAsia="仿宋" w:cs="仿宋"/>
              </w:rPr>
            </w:pPr>
            <w:r>
              <w:rPr>
                <w:rFonts w:ascii="仿宋" w:hAnsi="仿宋" w:eastAsia="仿宋" w:cs="仿宋"/>
                <w:spacing w:val="-5"/>
              </w:rPr>
              <w:t>比稿的么村西南侧</w:t>
            </w:r>
            <w:r>
              <w:rPr>
                <w:rFonts w:ascii="仿宋" w:hAnsi="仿宋" w:eastAsia="仿宋" w:cs="仿宋"/>
                <w:spacing w:val="-41"/>
              </w:rPr>
              <w:t xml:space="preserve"> </w:t>
            </w:r>
            <w:r>
              <w:rPr>
                <w:spacing w:val="-5"/>
              </w:rPr>
              <w:t>500m</w:t>
            </w:r>
            <w:r>
              <w:rPr>
                <w:spacing w:val="14"/>
                <w:w w:val="101"/>
              </w:rPr>
              <w:t xml:space="preserve"> </w:t>
            </w:r>
            <w:r>
              <w:rPr>
                <w:rFonts w:ascii="仿宋" w:hAnsi="仿宋" w:eastAsia="仿宋" w:cs="仿宋"/>
                <w:spacing w:val="-5"/>
              </w:rPr>
              <w:t>处</w:t>
            </w:r>
            <w:r>
              <w:rPr>
                <w:rFonts w:ascii="仿宋" w:hAnsi="仿宋" w:eastAsia="仿宋" w:cs="仿宋"/>
              </w:rPr>
              <w:t xml:space="preserve"> </w:t>
            </w:r>
            <w:r>
              <w:rPr>
                <w:rFonts w:ascii="仿宋" w:hAnsi="仿宋" w:eastAsia="仿宋" w:cs="仿宋"/>
                <w:spacing w:val="-4"/>
              </w:rPr>
              <w:t>箐沟内</w:t>
            </w:r>
          </w:p>
        </w:tc>
        <w:tc>
          <w:tcPr>
            <w:tcW w:w="1007" w:type="dxa"/>
            <w:vAlign w:val="top"/>
          </w:tcPr>
          <w:p>
            <w:pPr>
              <w:spacing w:before="173"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pStyle w:val="6"/>
              <w:spacing w:before="210" w:line="188" w:lineRule="auto"/>
              <w:ind w:left="387"/>
            </w:pPr>
            <w:r>
              <w:rPr>
                <w:spacing w:val="-1"/>
              </w:rPr>
              <w:t>2.77</w:t>
            </w:r>
          </w:p>
        </w:tc>
        <w:tc>
          <w:tcPr>
            <w:tcW w:w="636" w:type="dxa"/>
            <w:vAlign w:val="top"/>
          </w:tcPr>
          <w:p>
            <w:pPr>
              <w:spacing w:before="174" w:line="218" w:lineRule="auto"/>
              <w:ind w:left="119"/>
              <w:rPr>
                <w:rFonts w:ascii="仿宋" w:hAnsi="仿宋" w:eastAsia="仿宋" w:cs="仿宋"/>
                <w:sz w:val="21"/>
                <w:szCs w:val="21"/>
              </w:rPr>
            </w:pPr>
            <w:r>
              <w:rPr>
                <w:rFonts w:ascii="仿宋" w:hAnsi="仿宋" w:eastAsia="仿宋" w:cs="仿宋"/>
                <w:spacing w:val="-4"/>
                <w:sz w:val="21"/>
                <w:szCs w:val="21"/>
              </w:rPr>
              <w:t>林地</w:t>
            </w:r>
          </w:p>
        </w:tc>
        <w:tc>
          <w:tcPr>
            <w:tcW w:w="1287" w:type="dxa"/>
            <w:vAlign w:val="top"/>
          </w:tcPr>
          <w:p>
            <w:pPr>
              <w:pStyle w:val="6"/>
              <w:spacing w:before="210" w:line="188" w:lineRule="auto"/>
              <w:ind w:left="408"/>
            </w:pPr>
            <w:r>
              <w:rPr>
                <w:spacing w:val="-1"/>
              </w:rPr>
              <w:t>41.75</w:t>
            </w:r>
          </w:p>
        </w:tc>
        <w:tc>
          <w:tcPr>
            <w:tcW w:w="974" w:type="dxa"/>
            <w:vAlign w:val="top"/>
          </w:tcPr>
          <w:p>
            <w:pPr>
              <w:pStyle w:val="6"/>
              <w:spacing w:before="210" w:line="188" w:lineRule="auto"/>
              <w:ind w:left="251"/>
            </w:pPr>
            <w:r>
              <w:rPr>
                <w:spacing w:val="-1"/>
              </w:rPr>
              <w:t>23.87</w:t>
            </w:r>
          </w:p>
        </w:tc>
        <w:tc>
          <w:tcPr>
            <w:tcW w:w="812" w:type="dxa"/>
            <w:vAlign w:val="top"/>
          </w:tcPr>
          <w:p>
            <w:pPr>
              <w:pStyle w:val="6"/>
              <w:spacing w:before="213" w:line="185" w:lineRule="auto"/>
              <w:ind w:left="361"/>
            </w:pPr>
            <w:r>
              <w:t>5</w:t>
            </w:r>
          </w:p>
        </w:tc>
        <w:tc>
          <w:tcPr>
            <w:tcW w:w="814" w:type="dxa"/>
            <w:vAlign w:val="top"/>
          </w:tcPr>
          <w:p>
            <w:pPr>
              <w:pStyle w:val="6"/>
              <w:spacing w:before="210" w:line="188" w:lineRule="auto"/>
              <w:ind w:left="303"/>
            </w:pPr>
            <w:r>
              <w:rPr>
                <w:spacing w:val="-1"/>
              </w:rPr>
              <w:t>45</w:t>
            </w:r>
          </w:p>
        </w:tc>
        <w:tc>
          <w:tcPr>
            <w:tcW w:w="1170" w:type="dxa"/>
            <w:vAlign w:val="top"/>
          </w:tcPr>
          <w:p>
            <w:pPr>
              <w:pStyle w:val="6"/>
              <w:spacing w:before="210" w:line="188" w:lineRule="auto"/>
              <w:ind w:left="109"/>
            </w:pPr>
            <w:r>
              <w:rPr>
                <w:spacing w:val="-1"/>
              </w:rPr>
              <w:t>2030~2075</w:t>
            </w:r>
          </w:p>
        </w:tc>
        <w:tc>
          <w:tcPr>
            <w:tcW w:w="804" w:type="dxa"/>
            <w:vAlign w:val="top"/>
          </w:tcPr>
          <w:p>
            <w:pPr>
              <w:pStyle w:val="6"/>
              <w:spacing w:before="209" w:line="200" w:lineRule="auto"/>
              <w:ind w:left="210"/>
            </w:pPr>
            <w:r>
              <w:rPr>
                <w:spacing w:val="-5"/>
              </w:rPr>
              <w:t>1;2.5</w:t>
            </w:r>
          </w:p>
        </w:tc>
        <w:tc>
          <w:tcPr>
            <w:tcW w:w="1711" w:type="dxa"/>
            <w:tcBorders>
              <w:right w:val="nil"/>
            </w:tcBorders>
            <w:vAlign w:val="top"/>
          </w:tcPr>
          <w:p>
            <w:pPr>
              <w:spacing w:before="37" w:line="220" w:lineRule="auto"/>
              <w:ind w:left="117" w:right="133"/>
              <w:rPr>
                <w:rFonts w:ascii="仿宋" w:hAnsi="仿宋" w:eastAsia="仿宋" w:cs="仿宋"/>
                <w:sz w:val="21"/>
                <w:szCs w:val="21"/>
              </w:rPr>
            </w:pPr>
            <w:r>
              <w:rPr>
                <w:rFonts w:ascii="仿宋" w:hAnsi="仿宋" w:eastAsia="仿宋" w:cs="仿宋"/>
                <w:spacing w:val="-2"/>
                <w:sz w:val="21"/>
                <w:szCs w:val="21"/>
              </w:rPr>
              <w:t>枢纽区弃渣、公</w:t>
            </w:r>
            <w:r>
              <w:rPr>
                <w:rFonts w:ascii="仿宋" w:hAnsi="仿宋" w:eastAsia="仿宋" w:cs="仿宋"/>
                <w:sz w:val="21"/>
                <w:szCs w:val="21"/>
              </w:rPr>
              <w:t xml:space="preserve"> </w:t>
            </w:r>
            <w:r>
              <w:rPr>
                <w:rFonts w:ascii="仿宋" w:hAnsi="仿宋" w:eastAsia="仿宋" w:cs="仿宋"/>
                <w:spacing w:val="-3"/>
                <w:sz w:val="21"/>
                <w:szCs w:val="21"/>
              </w:rPr>
              <w:t>路弃渣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926" w:type="dxa"/>
            <w:tcBorders>
              <w:left w:val="nil"/>
            </w:tcBorders>
            <w:vAlign w:val="top"/>
          </w:tcPr>
          <w:p>
            <w:pPr>
              <w:pStyle w:val="6"/>
              <w:spacing w:before="40" w:line="239" w:lineRule="auto"/>
              <w:ind w:left="216"/>
              <w:rPr>
                <w:rFonts w:ascii="仿宋" w:hAnsi="仿宋" w:eastAsia="仿宋" w:cs="仿宋"/>
              </w:rPr>
            </w:pPr>
            <w:r>
              <w:rPr>
                <w:spacing w:val="-6"/>
              </w:rPr>
              <w:t>3</w:t>
            </w:r>
            <w:r>
              <w:rPr>
                <w:rFonts w:ascii="仿宋" w:hAnsi="仿宋" w:eastAsia="仿宋" w:cs="仿宋"/>
                <w:spacing w:val="-6"/>
              </w:rPr>
              <w:t>＃弃</w:t>
            </w:r>
          </w:p>
          <w:p>
            <w:pPr>
              <w:spacing w:line="197" w:lineRule="auto"/>
              <w:ind w:left="275"/>
              <w:rPr>
                <w:rFonts w:ascii="仿宋" w:hAnsi="仿宋" w:eastAsia="仿宋" w:cs="仿宋"/>
                <w:sz w:val="21"/>
                <w:szCs w:val="21"/>
              </w:rPr>
            </w:pPr>
            <w:r>
              <w:rPr>
                <w:rFonts w:ascii="仿宋" w:hAnsi="仿宋" w:eastAsia="仿宋" w:cs="仿宋"/>
                <w:spacing w:val="-4"/>
                <w:sz w:val="21"/>
                <w:szCs w:val="21"/>
              </w:rPr>
              <w:t>渣场</w:t>
            </w:r>
          </w:p>
        </w:tc>
        <w:tc>
          <w:tcPr>
            <w:tcW w:w="2736" w:type="dxa"/>
            <w:vAlign w:val="top"/>
          </w:tcPr>
          <w:p>
            <w:pPr>
              <w:pStyle w:val="6"/>
              <w:spacing w:before="175" w:line="216" w:lineRule="auto"/>
              <w:ind w:left="119"/>
              <w:rPr>
                <w:rFonts w:ascii="仿宋" w:hAnsi="仿宋" w:eastAsia="仿宋" w:cs="仿宋"/>
              </w:rPr>
            </w:pPr>
            <w:r>
              <w:rPr>
                <w:rFonts w:ascii="仿宋" w:hAnsi="仿宋" w:eastAsia="仿宋" w:cs="仿宋"/>
                <w:spacing w:val="-4"/>
              </w:rPr>
              <w:t>石料场东侧</w:t>
            </w:r>
            <w:r>
              <w:rPr>
                <w:rFonts w:ascii="仿宋" w:hAnsi="仿宋" w:eastAsia="仿宋" w:cs="仿宋"/>
                <w:spacing w:val="-32"/>
              </w:rPr>
              <w:t xml:space="preserve"> </w:t>
            </w:r>
            <w:r>
              <w:rPr>
                <w:spacing w:val="-4"/>
              </w:rPr>
              <w:t>50m</w:t>
            </w:r>
            <w:r>
              <w:rPr>
                <w:spacing w:val="14"/>
              </w:rPr>
              <w:t xml:space="preserve"> </w:t>
            </w:r>
            <w:r>
              <w:rPr>
                <w:rFonts w:ascii="仿宋" w:hAnsi="仿宋" w:eastAsia="仿宋" w:cs="仿宋"/>
                <w:spacing w:val="-4"/>
              </w:rPr>
              <w:t>箐沟内</w:t>
            </w:r>
          </w:p>
        </w:tc>
        <w:tc>
          <w:tcPr>
            <w:tcW w:w="1007" w:type="dxa"/>
            <w:vAlign w:val="top"/>
          </w:tcPr>
          <w:p>
            <w:pPr>
              <w:spacing w:before="175"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pStyle w:val="6"/>
              <w:spacing w:before="212" w:line="188" w:lineRule="auto"/>
              <w:ind w:left="390"/>
            </w:pPr>
            <w:r>
              <w:rPr>
                <w:spacing w:val="-2"/>
              </w:rPr>
              <w:t>0.41</w:t>
            </w:r>
          </w:p>
        </w:tc>
        <w:tc>
          <w:tcPr>
            <w:tcW w:w="636" w:type="dxa"/>
            <w:vAlign w:val="top"/>
          </w:tcPr>
          <w:p>
            <w:pPr>
              <w:spacing w:before="175" w:line="218" w:lineRule="auto"/>
              <w:ind w:left="119"/>
              <w:rPr>
                <w:rFonts w:ascii="仿宋" w:hAnsi="仿宋" w:eastAsia="仿宋" w:cs="仿宋"/>
                <w:sz w:val="21"/>
                <w:szCs w:val="21"/>
              </w:rPr>
            </w:pPr>
            <w:r>
              <w:rPr>
                <w:rFonts w:ascii="仿宋" w:hAnsi="仿宋" w:eastAsia="仿宋" w:cs="仿宋"/>
                <w:spacing w:val="-4"/>
                <w:sz w:val="21"/>
                <w:szCs w:val="21"/>
              </w:rPr>
              <w:t>林地</w:t>
            </w:r>
          </w:p>
        </w:tc>
        <w:tc>
          <w:tcPr>
            <w:tcW w:w="1287" w:type="dxa"/>
            <w:vAlign w:val="top"/>
          </w:tcPr>
          <w:p>
            <w:pPr>
              <w:pStyle w:val="6"/>
              <w:spacing w:before="212" w:line="188" w:lineRule="auto"/>
              <w:ind w:left="466"/>
            </w:pPr>
            <w:r>
              <w:rPr>
                <w:spacing w:val="-3"/>
              </w:rPr>
              <w:t>5.88</w:t>
            </w:r>
          </w:p>
        </w:tc>
        <w:tc>
          <w:tcPr>
            <w:tcW w:w="974" w:type="dxa"/>
            <w:vAlign w:val="top"/>
          </w:tcPr>
          <w:p>
            <w:pPr>
              <w:pStyle w:val="6"/>
              <w:spacing w:before="212" w:line="188" w:lineRule="auto"/>
              <w:ind w:left="308"/>
            </w:pPr>
            <w:r>
              <w:rPr>
                <w:spacing w:val="-2"/>
              </w:rPr>
              <w:t>3.36</w:t>
            </w:r>
          </w:p>
        </w:tc>
        <w:tc>
          <w:tcPr>
            <w:tcW w:w="812" w:type="dxa"/>
            <w:vAlign w:val="top"/>
          </w:tcPr>
          <w:p>
            <w:pPr>
              <w:pStyle w:val="6"/>
              <w:spacing w:before="215" w:line="185" w:lineRule="auto"/>
              <w:ind w:left="361"/>
            </w:pPr>
            <w:r>
              <w:t>5</w:t>
            </w:r>
          </w:p>
        </w:tc>
        <w:tc>
          <w:tcPr>
            <w:tcW w:w="814" w:type="dxa"/>
            <w:vAlign w:val="top"/>
          </w:tcPr>
          <w:p>
            <w:pPr>
              <w:pStyle w:val="6"/>
              <w:spacing w:before="212" w:line="188" w:lineRule="auto"/>
              <w:ind w:left="303"/>
            </w:pPr>
            <w:r>
              <w:rPr>
                <w:spacing w:val="-1"/>
              </w:rPr>
              <w:t>45</w:t>
            </w:r>
          </w:p>
        </w:tc>
        <w:tc>
          <w:tcPr>
            <w:tcW w:w="1170" w:type="dxa"/>
            <w:vAlign w:val="top"/>
          </w:tcPr>
          <w:p>
            <w:pPr>
              <w:pStyle w:val="6"/>
              <w:spacing w:before="212" w:line="188" w:lineRule="auto"/>
              <w:ind w:left="129"/>
            </w:pPr>
            <w:r>
              <w:rPr>
                <w:spacing w:val="-3"/>
              </w:rPr>
              <w:t>1975~2020</w:t>
            </w:r>
          </w:p>
        </w:tc>
        <w:tc>
          <w:tcPr>
            <w:tcW w:w="804" w:type="dxa"/>
            <w:vAlign w:val="top"/>
          </w:tcPr>
          <w:p>
            <w:pPr>
              <w:pStyle w:val="6"/>
              <w:spacing w:before="210" w:line="200" w:lineRule="auto"/>
              <w:ind w:left="210"/>
            </w:pPr>
            <w:r>
              <w:rPr>
                <w:spacing w:val="-5"/>
              </w:rPr>
              <w:t>1;2.5</w:t>
            </w:r>
          </w:p>
        </w:tc>
        <w:tc>
          <w:tcPr>
            <w:tcW w:w="1711" w:type="dxa"/>
            <w:tcBorders>
              <w:right w:val="nil"/>
            </w:tcBorders>
            <w:vAlign w:val="top"/>
          </w:tcPr>
          <w:p>
            <w:pPr>
              <w:spacing w:before="175" w:line="216" w:lineRule="auto"/>
              <w:ind w:left="118"/>
              <w:rPr>
                <w:rFonts w:ascii="仿宋" w:hAnsi="仿宋" w:eastAsia="仿宋" w:cs="仿宋"/>
                <w:sz w:val="21"/>
                <w:szCs w:val="21"/>
              </w:rPr>
            </w:pPr>
            <w:r>
              <w:rPr>
                <w:rFonts w:ascii="仿宋" w:hAnsi="仿宋" w:eastAsia="仿宋" w:cs="仿宋"/>
                <w:spacing w:val="-3"/>
                <w:sz w:val="21"/>
                <w:szCs w:val="21"/>
              </w:rPr>
              <w:t>石料场弃渣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3" w:hRule="atLeast"/>
        </w:trPr>
        <w:tc>
          <w:tcPr>
            <w:tcW w:w="926" w:type="dxa"/>
            <w:tcBorders>
              <w:left w:val="nil"/>
            </w:tcBorders>
            <w:vAlign w:val="top"/>
          </w:tcPr>
          <w:p>
            <w:pPr>
              <w:spacing w:line="258" w:lineRule="auto"/>
              <w:rPr>
                <w:rFonts w:ascii="Arial"/>
                <w:sz w:val="21"/>
              </w:rPr>
            </w:pPr>
          </w:p>
          <w:p>
            <w:pPr>
              <w:spacing w:line="258" w:lineRule="auto"/>
              <w:rPr>
                <w:rFonts w:ascii="Arial"/>
                <w:sz w:val="21"/>
              </w:rPr>
            </w:pPr>
          </w:p>
          <w:p>
            <w:pPr>
              <w:pStyle w:val="6"/>
              <w:spacing w:before="68" w:line="239" w:lineRule="auto"/>
              <w:ind w:left="210"/>
              <w:rPr>
                <w:rFonts w:ascii="仿宋" w:hAnsi="仿宋" w:eastAsia="仿宋" w:cs="仿宋"/>
              </w:rPr>
            </w:pPr>
            <w:r>
              <w:rPr>
                <w:spacing w:val="-5"/>
              </w:rPr>
              <w:t>4</w:t>
            </w:r>
            <w:r>
              <w:rPr>
                <w:rFonts w:ascii="仿宋" w:hAnsi="仿宋" w:eastAsia="仿宋" w:cs="仿宋"/>
                <w:spacing w:val="-5"/>
              </w:rPr>
              <w:t>＃弃</w:t>
            </w:r>
          </w:p>
          <w:p>
            <w:pPr>
              <w:spacing w:line="218" w:lineRule="auto"/>
              <w:ind w:left="275"/>
              <w:rPr>
                <w:rFonts w:ascii="仿宋" w:hAnsi="仿宋" w:eastAsia="仿宋" w:cs="仿宋"/>
                <w:sz w:val="21"/>
                <w:szCs w:val="21"/>
              </w:rPr>
            </w:pPr>
            <w:r>
              <w:rPr>
                <w:rFonts w:ascii="仿宋" w:hAnsi="仿宋" w:eastAsia="仿宋" w:cs="仿宋"/>
                <w:spacing w:val="-4"/>
                <w:sz w:val="21"/>
                <w:szCs w:val="21"/>
              </w:rPr>
              <w:t>渣场</w:t>
            </w:r>
          </w:p>
        </w:tc>
        <w:tc>
          <w:tcPr>
            <w:tcW w:w="2736" w:type="dxa"/>
            <w:vAlign w:val="top"/>
          </w:tcPr>
          <w:p>
            <w:pPr>
              <w:spacing w:line="325" w:lineRule="auto"/>
              <w:rPr>
                <w:rFonts w:ascii="Arial"/>
                <w:sz w:val="21"/>
              </w:rPr>
            </w:pPr>
          </w:p>
          <w:p>
            <w:pPr>
              <w:spacing w:line="326" w:lineRule="auto"/>
              <w:rPr>
                <w:rFonts w:ascii="Arial"/>
                <w:sz w:val="21"/>
              </w:rPr>
            </w:pPr>
          </w:p>
          <w:p>
            <w:pPr>
              <w:pStyle w:val="6"/>
              <w:spacing w:before="68" w:line="217" w:lineRule="auto"/>
              <w:ind w:left="119"/>
              <w:rPr>
                <w:rFonts w:ascii="仿宋" w:hAnsi="仿宋" w:eastAsia="仿宋" w:cs="仿宋"/>
              </w:rPr>
            </w:pPr>
            <w:r>
              <w:rPr>
                <w:rFonts w:ascii="仿宋" w:hAnsi="仿宋" w:eastAsia="仿宋" w:cs="仿宋"/>
                <w:spacing w:val="-3"/>
              </w:rPr>
              <w:t>耳子地村东侧</w:t>
            </w:r>
            <w:r>
              <w:rPr>
                <w:rFonts w:ascii="仿宋" w:hAnsi="仿宋" w:eastAsia="仿宋" w:cs="仿宋"/>
                <w:spacing w:val="-42"/>
              </w:rPr>
              <w:t xml:space="preserve"> </w:t>
            </w:r>
            <w:r>
              <w:rPr>
                <w:spacing w:val="-3"/>
              </w:rPr>
              <w:t>500m</w:t>
            </w:r>
            <w:r>
              <w:rPr>
                <w:spacing w:val="14"/>
                <w:w w:val="101"/>
              </w:rPr>
              <w:t xml:space="preserve"> </w:t>
            </w:r>
            <w:r>
              <w:rPr>
                <w:rFonts w:ascii="仿宋" w:hAnsi="仿宋" w:eastAsia="仿宋" w:cs="仿宋"/>
                <w:spacing w:val="-3"/>
              </w:rPr>
              <w:t>箐沟内</w:t>
            </w:r>
          </w:p>
        </w:tc>
        <w:tc>
          <w:tcPr>
            <w:tcW w:w="1007" w:type="dxa"/>
            <w:vAlign w:val="top"/>
          </w:tcPr>
          <w:p>
            <w:pPr>
              <w:spacing w:line="325" w:lineRule="auto"/>
              <w:rPr>
                <w:rFonts w:ascii="Arial"/>
                <w:sz w:val="21"/>
              </w:rPr>
            </w:pPr>
          </w:p>
          <w:p>
            <w:pPr>
              <w:spacing w:line="325" w:lineRule="auto"/>
              <w:rPr>
                <w:rFonts w:ascii="Arial"/>
                <w:sz w:val="21"/>
              </w:rPr>
            </w:pPr>
          </w:p>
          <w:p>
            <w:pPr>
              <w:spacing w:before="68"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spacing w:line="347" w:lineRule="auto"/>
              <w:rPr>
                <w:rFonts w:ascii="Arial"/>
                <w:sz w:val="21"/>
              </w:rPr>
            </w:pPr>
          </w:p>
          <w:p>
            <w:pPr>
              <w:spacing w:line="348" w:lineRule="auto"/>
              <w:rPr>
                <w:rFonts w:ascii="Arial"/>
                <w:sz w:val="21"/>
              </w:rPr>
            </w:pPr>
          </w:p>
          <w:p>
            <w:pPr>
              <w:pStyle w:val="6"/>
              <w:spacing w:before="60" w:line="188" w:lineRule="auto"/>
              <w:ind w:left="409"/>
            </w:pPr>
            <w:r>
              <w:rPr>
                <w:spacing w:val="-6"/>
              </w:rPr>
              <w:t>1.12</w:t>
            </w:r>
          </w:p>
        </w:tc>
        <w:tc>
          <w:tcPr>
            <w:tcW w:w="636" w:type="dxa"/>
            <w:vAlign w:val="top"/>
          </w:tcPr>
          <w:p>
            <w:pPr>
              <w:spacing w:line="325" w:lineRule="auto"/>
              <w:rPr>
                <w:rFonts w:ascii="Arial"/>
                <w:sz w:val="21"/>
              </w:rPr>
            </w:pPr>
          </w:p>
          <w:p>
            <w:pPr>
              <w:spacing w:line="326" w:lineRule="auto"/>
              <w:rPr>
                <w:rFonts w:ascii="Arial"/>
                <w:sz w:val="21"/>
              </w:rPr>
            </w:pPr>
          </w:p>
          <w:p>
            <w:pPr>
              <w:spacing w:before="68" w:line="218" w:lineRule="auto"/>
              <w:ind w:left="119"/>
              <w:rPr>
                <w:rFonts w:ascii="仿宋" w:hAnsi="仿宋" w:eastAsia="仿宋" w:cs="仿宋"/>
                <w:sz w:val="21"/>
                <w:szCs w:val="21"/>
              </w:rPr>
            </w:pPr>
            <w:r>
              <w:rPr>
                <w:rFonts w:ascii="仿宋" w:hAnsi="仿宋" w:eastAsia="仿宋" w:cs="仿宋"/>
                <w:spacing w:val="-4"/>
                <w:sz w:val="21"/>
                <w:szCs w:val="21"/>
              </w:rPr>
              <w:t>林地</w:t>
            </w:r>
          </w:p>
        </w:tc>
        <w:tc>
          <w:tcPr>
            <w:tcW w:w="1287" w:type="dxa"/>
            <w:vAlign w:val="top"/>
          </w:tcPr>
          <w:p>
            <w:pPr>
              <w:spacing w:line="347" w:lineRule="auto"/>
              <w:rPr>
                <w:rFonts w:ascii="Arial"/>
                <w:sz w:val="21"/>
              </w:rPr>
            </w:pPr>
          </w:p>
          <w:p>
            <w:pPr>
              <w:spacing w:line="348" w:lineRule="auto"/>
              <w:rPr>
                <w:rFonts w:ascii="Arial"/>
                <w:sz w:val="21"/>
              </w:rPr>
            </w:pPr>
          </w:p>
          <w:p>
            <w:pPr>
              <w:pStyle w:val="6"/>
              <w:spacing w:before="60" w:line="188" w:lineRule="auto"/>
              <w:ind w:left="429"/>
            </w:pPr>
            <w:r>
              <w:rPr>
                <w:spacing w:val="-5"/>
              </w:rPr>
              <w:t>10.00</w:t>
            </w:r>
          </w:p>
        </w:tc>
        <w:tc>
          <w:tcPr>
            <w:tcW w:w="974" w:type="dxa"/>
            <w:vAlign w:val="top"/>
          </w:tcPr>
          <w:p>
            <w:pPr>
              <w:spacing w:line="347" w:lineRule="auto"/>
              <w:rPr>
                <w:rFonts w:ascii="Arial"/>
                <w:sz w:val="21"/>
              </w:rPr>
            </w:pPr>
          </w:p>
          <w:p>
            <w:pPr>
              <w:spacing w:line="348" w:lineRule="auto"/>
              <w:rPr>
                <w:rFonts w:ascii="Arial"/>
                <w:sz w:val="21"/>
              </w:rPr>
            </w:pPr>
          </w:p>
          <w:p>
            <w:pPr>
              <w:pStyle w:val="6"/>
              <w:spacing w:before="60" w:line="188" w:lineRule="auto"/>
              <w:ind w:left="310"/>
            </w:pPr>
            <w:r>
              <w:rPr>
                <w:spacing w:val="-3"/>
              </w:rPr>
              <w:t>5.72</w:t>
            </w:r>
          </w:p>
        </w:tc>
        <w:tc>
          <w:tcPr>
            <w:tcW w:w="812" w:type="dxa"/>
            <w:vAlign w:val="top"/>
          </w:tcPr>
          <w:p>
            <w:pPr>
              <w:spacing w:line="349" w:lineRule="auto"/>
              <w:rPr>
                <w:rFonts w:ascii="Arial"/>
                <w:sz w:val="21"/>
              </w:rPr>
            </w:pPr>
          </w:p>
          <w:p>
            <w:pPr>
              <w:spacing w:line="349" w:lineRule="auto"/>
              <w:rPr>
                <w:rFonts w:ascii="Arial"/>
                <w:sz w:val="21"/>
              </w:rPr>
            </w:pPr>
          </w:p>
          <w:p>
            <w:pPr>
              <w:pStyle w:val="6"/>
              <w:spacing w:before="60" w:line="185" w:lineRule="auto"/>
              <w:ind w:left="361"/>
            </w:pPr>
            <w:r>
              <w:t>5</w:t>
            </w:r>
          </w:p>
        </w:tc>
        <w:tc>
          <w:tcPr>
            <w:tcW w:w="814" w:type="dxa"/>
            <w:vAlign w:val="top"/>
          </w:tcPr>
          <w:p>
            <w:pPr>
              <w:spacing w:line="347" w:lineRule="auto"/>
              <w:rPr>
                <w:rFonts w:ascii="Arial"/>
                <w:sz w:val="21"/>
              </w:rPr>
            </w:pPr>
          </w:p>
          <w:p>
            <w:pPr>
              <w:spacing w:line="348" w:lineRule="auto"/>
              <w:rPr>
                <w:rFonts w:ascii="Arial"/>
                <w:sz w:val="21"/>
              </w:rPr>
            </w:pPr>
          </w:p>
          <w:p>
            <w:pPr>
              <w:pStyle w:val="6"/>
              <w:spacing w:before="60" w:line="188" w:lineRule="auto"/>
              <w:ind w:left="303"/>
            </w:pPr>
            <w:r>
              <w:rPr>
                <w:spacing w:val="-1"/>
              </w:rPr>
              <w:t>45</w:t>
            </w:r>
          </w:p>
        </w:tc>
        <w:tc>
          <w:tcPr>
            <w:tcW w:w="1170" w:type="dxa"/>
            <w:vAlign w:val="top"/>
          </w:tcPr>
          <w:p>
            <w:pPr>
              <w:spacing w:line="347" w:lineRule="auto"/>
              <w:rPr>
                <w:rFonts w:ascii="Arial"/>
                <w:sz w:val="21"/>
              </w:rPr>
            </w:pPr>
          </w:p>
          <w:p>
            <w:pPr>
              <w:spacing w:line="348" w:lineRule="auto"/>
              <w:rPr>
                <w:rFonts w:ascii="Arial"/>
                <w:sz w:val="21"/>
              </w:rPr>
            </w:pPr>
          </w:p>
          <w:p>
            <w:pPr>
              <w:pStyle w:val="6"/>
              <w:spacing w:before="60" w:line="188" w:lineRule="auto"/>
              <w:ind w:left="109"/>
            </w:pPr>
            <w:r>
              <w:rPr>
                <w:spacing w:val="-1"/>
              </w:rPr>
              <w:t>2125~2170</w:t>
            </w:r>
          </w:p>
        </w:tc>
        <w:tc>
          <w:tcPr>
            <w:tcW w:w="804" w:type="dxa"/>
            <w:vAlign w:val="top"/>
          </w:tcPr>
          <w:p>
            <w:pPr>
              <w:spacing w:line="346" w:lineRule="auto"/>
              <w:rPr>
                <w:rFonts w:ascii="Arial"/>
                <w:sz w:val="21"/>
              </w:rPr>
            </w:pPr>
          </w:p>
          <w:p>
            <w:pPr>
              <w:spacing w:line="347" w:lineRule="auto"/>
              <w:rPr>
                <w:rFonts w:ascii="Arial"/>
                <w:sz w:val="21"/>
              </w:rPr>
            </w:pPr>
          </w:p>
          <w:p>
            <w:pPr>
              <w:pStyle w:val="6"/>
              <w:spacing w:before="60" w:line="200" w:lineRule="auto"/>
              <w:ind w:left="210"/>
            </w:pPr>
            <w:r>
              <w:rPr>
                <w:spacing w:val="-5"/>
              </w:rPr>
              <w:t>1;2.5</w:t>
            </w:r>
          </w:p>
        </w:tc>
        <w:tc>
          <w:tcPr>
            <w:tcW w:w="1711" w:type="dxa"/>
            <w:tcBorders>
              <w:right w:val="nil"/>
            </w:tcBorders>
            <w:vAlign w:val="top"/>
          </w:tcPr>
          <w:p>
            <w:pPr>
              <w:spacing w:before="39" w:line="232" w:lineRule="auto"/>
              <w:ind w:left="118" w:right="133"/>
              <w:rPr>
                <w:rFonts w:ascii="仿宋" w:hAnsi="仿宋" w:eastAsia="仿宋" w:cs="仿宋"/>
                <w:sz w:val="21"/>
                <w:szCs w:val="21"/>
              </w:rPr>
            </w:pPr>
            <w:r>
              <w:rPr>
                <w:rFonts w:ascii="仿宋" w:hAnsi="仿宋" w:eastAsia="仿宋" w:cs="仿宋"/>
                <w:spacing w:val="-7"/>
                <w:sz w:val="21"/>
                <w:szCs w:val="21"/>
              </w:rPr>
              <w:t>枢纽输水隧洞、</w:t>
            </w:r>
            <w:r>
              <w:rPr>
                <w:rFonts w:ascii="仿宋" w:hAnsi="仿宋" w:eastAsia="仿宋" w:cs="仿宋"/>
                <w:spacing w:val="1"/>
                <w:sz w:val="21"/>
                <w:szCs w:val="21"/>
              </w:rPr>
              <w:t xml:space="preserve"> </w:t>
            </w:r>
            <w:r>
              <w:rPr>
                <w:rFonts w:ascii="仿宋" w:hAnsi="仿宋" w:eastAsia="仿宋" w:cs="仿宋"/>
                <w:spacing w:val="-7"/>
                <w:sz w:val="21"/>
                <w:szCs w:val="21"/>
              </w:rPr>
              <w:t>马茨河取水坝、</w:t>
            </w:r>
            <w:r>
              <w:rPr>
                <w:rFonts w:ascii="仿宋" w:hAnsi="仿宋" w:eastAsia="仿宋" w:cs="仿宋"/>
                <w:spacing w:val="1"/>
                <w:sz w:val="21"/>
                <w:szCs w:val="21"/>
              </w:rPr>
              <w:t xml:space="preserve"> </w:t>
            </w:r>
            <w:r>
              <w:rPr>
                <w:rFonts w:ascii="仿宋" w:hAnsi="仿宋" w:eastAsia="仿宋" w:cs="仿宋"/>
                <w:spacing w:val="-7"/>
                <w:sz w:val="21"/>
                <w:szCs w:val="21"/>
              </w:rPr>
              <w:t>马茨河引洪沟、</w:t>
            </w:r>
            <w:r>
              <w:rPr>
                <w:rFonts w:ascii="仿宋" w:hAnsi="仿宋" w:eastAsia="仿宋" w:cs="仿宋"/>
                <w:spacing w:val="1"/>
                <w:sz w:val="21"/>
                <w:szCs w:val="21"/>
              </w:rPr>
              <w:t xml:space="preserve"> </w:t>
            </w:r>
            <w:r>
              <w:rPr>
                <w:rFonts w:ascii="仿宋" w:hAnsi="仿宋" w:eastAsia="仿宋" w:cs="仿宋"/>
                <w:spacing w:val="-2"/>
                <w:sz w:val="21"/>
                <w:szCs w:val="21"/>
              </w:rPr>
              <w:t>马茨河输水隧洞</w:t>
            </w:r>
            <w:r>
              <w:rPr>
                <w:rFonts w:ascii="仿宋" w:hAnsi="仿宋" w:eastAsia="仿宋" w:cs="仿宋"/>
                <w:sz w:val="21"/>
                <w:szCs w:val="21"/>
              </w:rPr>
              <w:t xml:space="preserve"> </w:t>
            </w:r>
            <w:r>
              <w:rPr>
                <w:rFonts w:ascii="仿宋" w:hAnsi="仿宋" w:eastAsia="仿宋" w:cs="仿宋"/>
                <w:spacing w:val="-2"/>
                <w:sz w:val="21"/>
                <w:szCs w:val="21"/>
              </w:rPr>
              <w:t>弃渣、马茨河渡</w:t>
            </w:r>
            <w:r>
              <w:rPr>
                <w:rFonts w:ascii="仿宋" w:hAnsi="仿宋" w:eastAsia="仿宋" w:cs="仿宋"/>
                <w:sz w:val="21"/>
                <w:szCs w:val="21"/>
              </w:rPr>
              <w:t xml:space="preserve"> 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926" w:type="dxa"/>
            <w:tcBorders>
              <w:left w:val="nil"/>
            </w:tcBorders>
            <w:vAlign w:val="top"/>
          </w:tcPr>
          <w:p>
            <w:pPr>
              <w:pStyle w:val="6"/>
              <w:spacing w:before="186" w:line="239" w:lineRule="auto"/>
              <w:ind w:left="217"/>
              <w:rPr>
                <w:rFonts w:ascii="仿宋" w:hAnsi="仿宋" w:eastAsia="仿宋" w:cs="仿宋"/>
              </w:rPr>
            </w:pPr>
            <w:r>
              <w:rPr>
                <w:spacing w:val="-7"/>
              </w:rPr>
              <w:t>5</w:t>
            </w:r>
            <w:r>
              <w:rPr>
                <w:rFonts w:ascii="仿宋" w:hAnsi="仿宋" w:eastAsia="仿宋" w:cs="仿宋"/>
                <w:spacing w:val="-7"/>
              </w:rPr>
              <w:t>＃弃</w:t>
            </w:r>
          </w:p>
          <w:p>
            <w:pPr>
              <w:spacing w:line="218" w:lineRule="auto"/>
              <w:ind w:left="275"/>
              <w:rPr>
                <w:rFonts w:ascii="仿宋" w:hAnsi="仿宋" w:eastAsia="仿宋" w:cs="仿宋"/>
                <w:sz w:val="21"/>
                <w:szCs w:val="21"/>
              </w:rPr>
            </w:pPr>
            <w:r>
              <w:rPr>
                <w:rFonts w:ascii="仿宋" w:hAnsi="仿宋" w:eastAsia="仿宋" w:cs="仿宋"/>
                <w:spacing w:val="-4"/>
                <w:sz w:val="21"/>
                <w:szCs w:val="21"/>
              </w:rPr>
              <w:t>渣场</w:t>
            </w:r>
          </w:p>
        </w:tc>
        <w:tc>
          <w:tcPr>
            <w:tcW w:w="2736" w:type="dxa"/>
            <w:vAlign w:val="top"/>
          </w:tcPr>
          <w:p>
            <w:pPr>
              <w:pStyle w:val="6"/>
              <w:spacing w:before="185" w:line="229" w:lineRule="auto"/>
              <w:ind w:left="119" w:right="261" w:firstLine="4"/>
              <w:rPr>
                <w:rFonts w:ascii="仿宋" w:hAnsi="仿宋" w:eastAsia="仿宋" w:cs="仿宋"/>
              </w:rPr>
            </w:pPr>
            <w:r>
              <w:rPr>
                <w:rFonts w:ascii="仿宋" w:hAnsi="仿宋" w:eastAsia="仿宋" w:cs="仿宋"/>
                <w:spacing w:val="-4"/>
              </w:rPr>
              <w:t>马茨河隧洞</w:t>
            </w:r>
            <w:r>
              <w:rPr>
                <w:rFonts w:ascii="仿宋" w:hAnsi="仿宋" w:eastAsia="仿宋" w:cs="仿宋"/>
                <w:spacing w:val="-23"/>
              </w:rPr>
              <w:t xml:space="preserve"> </w:t>
            </w:r>
            <w:r>
              <w:rPr>
                <w:spacing w:val="-4"/>
              </w:rPr>
              <w:t>1#</w:t>
            </w:r>
            <w:r>
              <w:rPr>
                <w:rFonts w:ascii="仿宋" w:hAnsi="仿宋" w:eastAsia="仿宋" w:cs="仿宋"/>
                <w:spacing w:val="-4"/>
              </w:rPr>
              <w:t>施工支洞右</w:t>
            </w:r>
            <w:r>
              <w:rPr>
                <w:rFonts w:ascii="仿宋" w:hAnsi="仿宋" w:eastAsia="仿宋" w:cs="仿宋"/>
              </w:rPr>
              <w:t xml:space="preserve"> </w:t>
            </w:r>
            <w:r>
              <w:rPr>
                <w:rFonts w:ascii="仿宋" w:hAnsi="仿宋" w:eastAsia="仿宋" w:cs="仿宋"/>
                <w:spacing w:val="-4"/>
              </w:rPr>
              <w:t>侧箐沟</w:t>
            </w:r>
          </w:p>
        </w:tc>
        <w:tc>
          <w:tcPr>
            <w:tcW w:w="1007" w:type="dxa"/>
            <w:vAlign w:val="top"/>
          </w:tcPr>
          <w:p>
            <w:pPr>
              <w:spacing w:line="251" w:lineRule="auto"/>
              <w:rPr>
                <w:rFonts w:ascii="Arial"/>
                <w:sz w:val="21"/>
              </w:rPr>
            </w:pPr>
          </w:p>
          <w:p>
            <w:pPr>
              <w:spacing w:before="68"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spacing w:line="295" w:lineRule="auto"/>
              <w:rPr>
                <w:rFonts w:ascii="Arial"/>
                <w:sz w:val="21"/>
              </w:rPr>
            </w:pPr>
          </w:p>
          <w:p>
            <w:pPr>
              <w:pStyle w:val="6"/>
              <w:spacing w:before="60" w:line="188" w:lineRule="auto"/>
              <w:ind w:left="390"/>
            </w:pPr>
            <w:r>
              <w:rPr>
                <w:spacing w:val="-2"/>
              </w:rPr>
              <w:t>0.53</w:t>
            </w:r>
          </w:p>
        </w:tc>
        <w:tc>
          <w:tcPr>
            <w:tcW w:w="636" w:type="dxa"/>
            <w:vAlign w:val="top"/>
          </w:tcPr>
          <w:p>
            <w:pPr>
              <w:spacing w:line="251" w:lineRule="auto"/>
              <w:rPr>
                <w:rFonts w:ascii="Arial"/>
                <w:sz w:val="21"/>
              </w:rPr>
            </w:pPr>
          </w:p>
          <w:p>
            <w:pPr>
              <w:spacing w:before="68" w:line="218" w:lineRule="auto"/>
              <w:ind w:left="123"/>
              <w:rPr>
                <w:rFonts w:ascii="仿宋" w:hAnsi="仿宋" w:eastAsia="仿宋" w:cs="仿宋"/>
                <w:sz w:val="21"/>
                <w:szCs w:val="21"/>
              </w:rPr>
            </w:pPr>
            <w:r>
              <w:rPr>
                <w:rFonts w:ascii="仿宋" w:hAnsi="仿宋" w:eastAsia="仿宋" w:cs="仿宋"/>
                <w:spacing w:val="-5"/>
                <w:sz w:val="21"/>
                <w:szCs w:val="21"/>
              </w:rPr>
              <w:t>旱地</w:t>
            </w:r>
          </w:p>
        </w:tc>
        <w:tc>
          <w:tcPr>
            <w:tcW w:w="1287" w:type="dxa"/>
            <w:vAlign w:val="top"/>
          </w:tcPr>
          <w:p>
            <w:pPr>
              <w:spacing w:line="295" w:lineRule="auto"/>
              <w:rPr>
                <w:rFonts w:ascii="Arial"/>
                <w:sz w:val="21"/>
              </w:rPr>
            </w:pPr>
          </w:p>
          <w:p>
            <w:pPr>
              <w:pStyle w:val="6"/>
              <w:spacing w:before="60" w:line="188" w:lineRule="auto"/>
              <w:ind w:left="465"/>
            </w:pPr>
            <w:r>
              <w:rPr>
                <w:spacing w:val="-2"/>
              </w:rPr>
              <w:t>3.69</w:t>
            </w:r>
          </w:p>
        </w:tc>
        <w:tc>
          <w:tcPr>
            <w:tcW w:w="974" w:type="dxa"/>
            <w:vAlign w:val="top"/>
          </w:tcPr>
          <w:p>
            <w:pPr>
              <w:spacing w:line="295" w:lineRule="auto"/>
              <w:rPr>
                <w:rFonts w:ascii="Arial"/>
                <w:sz w:val="21"/>
              </w:rPr>
            </w:pPr>
          </w:p>
          <w:p>
            <w:pPr>
              <w:pStyle w:val="6"/>
              <w:spacing w:before="60" w:line="188" w:lineRule="auto"/>
              <w:ind w:left="304"/>
            </w:pPr>
            <w:r>
              <w:rPr>
                <w:spacing w:val="-1"/>
              </w:rPr>
              <w:t>2.12</w:t>
            </w:r>
          </w:p>
        </w:tc>
        <w:tc>
          <w:tcPr>
            <w:tcW w:w="812" w:type="dxa"/>
            <w:vAlign w:val="top"/>
          </w:tcPr>
          <w:p>
            <w:pPr>
              <w:spacing w:line="298" w:lineRule="auto"/>
              <w:rPr>
                <w:rFonts w:ascii="Arial"/>
                <w:sz w:val="21"/>
              </w:rPr>
            </w:pPr>
          </w:p>
          <w:p>
            <w:pPr>
              <w:pStyle w:val="6"/>
              <w:spacing w:before="60" w:line="185" w:lineRule="auto"/>
              <w:ind w:left="361"/>
            </w:pPr>
            <w:r>
              <w:t>5</w:t>
            </w:r>
          </w:p>
        </w:tc>
        <w:tc>
          <w:tcPr>
            <w:tcW w:w="814" w:type="dxa"/>
            <w:vAlign w:val="top"/>
          </w:tcPr>
          <w:p>
            <w:pPr>
              <w:spacing w:line="295" w:lineRule="auto"/>
              <w:rPr>
                <w:rFonts w:ascii="Arial"/>
                <w:sz w:val="21"/>
              </w:rPr>
            </w:pPr>
          </w:p>
          <w:p>
            <w:pPr>
              <w:pStyle w:val="6"/>
              <w:spacing w:before="60" w:line="188" w:lineRule="auto"/>
              <w:ind w:left="308"/>
            </w:pPr>
            <w:r>
              <w:rPr>
                <w:spacing w:val="-3"/>
              </w:rPr>
              <w:t>30</w:t>
            </w:r>
          </w:p>
        </w:tc>
        <w:tc>
          <w:tcPr>
            <w:tcW w:w="1170" w:type="dxa"/>
            <w:vAlign w:val="top"/>
          </w:tcPr>
          <w:p>
            <w:pPr>
              <w:spacing w:line="295" w:lineRule="auto"/>
              <w:rPr>
                <w:rFonts w:ascii="Arial"/>
                <w:sz w:val="21"/>
              </w:rPr>
            </w:pPr>
          </w:p>
          <w:p>
            <w:pPr>
              <w:pStyle w:val="6"/>
              <w:spacing w:before="60" w:line="188" w:lineRule="auto"/>
              <w:ind w:left="109"/>
            </w:pPr>
            <w:r>
              <w:rPr>
                <w:spacing w:val="-1"/>
              </w:rPr>
              <w:t>2225~2255</w:t>
            </w:r>
          </w:p>
        </w:tc>
        <w:tc>
          <w:tcPr>
            <w:tcW w:w="804" w:type="dxa"/>
            <w:vAlign w:val="top"/>
          </w:tcPr>
          <w:p>
            <w:pPr>
              <w:spacing w:line="294" w:lineRule="auto"/>
              <w:rPr>
                <w:rFonts w:ascii="Arial"/>
                <w:sz w:val="21"/>
              </w:rPr>
            </w:pPr>
          </w:p>
          <w:p>
            <w:pPr>
              <w:pStyle w:val="6"/>
              <w:spacing w:before="60" w:line="200" w:lineRule="auto"/>
              <w:ind w:left="210"/>
            </w:pPr>
            <w:r>
              <w:rPr>
                <w:spacing w:val="-5"/>
              </w:rPr>
              <w:t>1;2.5</w:t>
            </w:r>
          </w:p>
        </w:tc>
        <w:tc>
          <w:tcPr>
            <w:tcW w:w="1711" w:type="dxa"/>
            <w:tcBorders>
              <w:right w:val="nil"/>
            </w:tcBorders>
            <w:vAlign w:val="top"/>
          </w:tcPr>
          <w:p>
            <w:pPr>
              <w:pStyle w:val="6"/>
              <w:spacing w:before="48" w:line="223" w:lineRule="auto"/>
              <w:ind w:left="117" w:right="185" w:firstLine="5"/>
              <w:rPr>
                <w:rFonts w:ascii="仿宋" w:hAnsi="仿宋" w:eastAsia="仿宋" w:cs="仿宋"/>
              </w:rPr>
            </w:pPr>
            <w:r>
              <w:rPr>
                <w:rFonts w:ascii="仿宋" w:hAnsi="仿宋" w:eastAsia="仿宋" w:cs="仿宋"/>
                <w:spacing w:val="-4"/>
              </w:rPr>
              <w:t>马茨河输水隧</w:t>
            </w:r>
            <w:r>
              <w:rPr>
                <w:rFonts w:ascii="仿宋" w:hAnsi="仿宋" w:eastAsia="仿宋" w:cs="仿宋"/>
                <w:spacing w:val="2"/>
              </w:rPr>
              <w:t xml:space="preserve">  </w:t>
            </w:r>
            <w:r>
              <w:rPr>
                <w:rFonts w:ascii="仿宋" w:hAnsi="仿宋" w:eastAsia="仿宋" w:cs="仿宋"/>
                <w:spacing w:val="-18"/>
              </w:rPr>
              <w:t>洞、</w:t>
            </w:r>
            <w:r>
              <w:rPr>
                <w:rFonts w:ascii="仿宋" w:hAnsi="仿宋" w:eastAsia="仿宋" w:cs="仿宋"/>
                <w:spacing w:val="-13"/>
              </w:rPr>
              <w:t xml:space="preserve"> </w:t>
            </w:r>
            <w:r>
              <w:rPr>
                <w:spacing w:val="-18"/>
              </w:rPr>
              <w:t>1</w:t>
            </w:r>
            <w:r>
              <w:rPr>
                <w:spacing w:val="20"/>
                <w:w w:val="101"/>
              </w:rPr>
              <w:t xml:space="preserve"> </w:t>
            </w:r>
            <w:r>
              <w:rPr>
                <w:rFonts w:ascii="仿宋" w:hAnsi="仿宋" w:eastAsia="仿宋" w:cs="仿宋"/>
                <w:spacing w:val="-18"/>
              </w:rPr>
              <w:t>号支洞弃</w:t>
            </w:r>
            <w:r>
              <w:rPr>
                <w:rFonts w:ascii="仿宋" w:hAnsi="仿宋" w:eastAsia="仿宋" w:cs="仿宋"/>
              </w:rPr>
              <w:t xml:space="preserve"> 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926" w:type="dxa"/>
            <w:tcBorders>
              <w:left w:val="nil"/>
            </w:tcBorders>
            <w:vAlign w:val="top"/>
          </w:tcPr>
          <w:p>
            <w:pPr>
              <w:pStyle w:val="6"/>
              <w:spacing w:before="188" w:line="239" w:lineRule="auto"/>
              <w:ind w:left="216"/>
              <w:rPr>
                <w:rFonts w:ascii="仿宋" w:hAnsi="仿宋" w:eastAsia="仿宋" w:cs="仿宋"/>
              </w:rPr>
            </w:pPr>
            <w:r>
              <w:rPr>
                <w:spacing w:val="-7"/>
              </w:rPr>
              <w:t>6</w:t>
            </w:r>
            <w:r>
              <w:rPr>
                <w:rFonts w:ascii="仿宋" w:hAnsi="仿宋" w:eastAsia="仿宋" w:cs="仿宋"/>
                <w:spacing w:val="-7"/>
              </w:rPr>
              <w:t>＃弃</w:t>
            </w:r>
          </w:p>
          <w:p>
            <w:pPr>
              <w:spacing w:line="218" w:lineRule="auto"/>
              <w:ind w:left="275"/>
              <w:rPr>
                <w:rFonts w:ascii="仿宋" w:hAnsi="仿宋" w:eastAsia="仿宋" w:cs="仿宋"/>
                <w:sz w:val="21"/>
                <w:szCs w:val="21"/>
              </w:rPr>
            </w:pPr>
            <w:r>
              <w:rPr>
                <w:rFonts w:ascii="仿宋" w:hAnsi="仿宋" w:eastAsia="仿宋" w:cs="仿宋"/>
                <w:spacing w:val="-4"/>
                <w:sz w:val="21"/>
                <w:szCs w:val="21"/>
              </w:rPr>
              <w:t>渣场</w:t>
            </w:r>
          </w:p>
        </w:tc>
        <w:tc>
          <w:tcPr>
            <w:tcW w:w="2736" w:type="dxa"/>
            <w:vAlign w:val="top"/>
          </w:tcPr>
          <w:p>
            <w:pPr>
              <w:pStyle w:val="6"/>
              <w:spacing w:before="188" w:line="229" w:lineRule="auto"/>
              <w:ind w:left="119" w:right="261" w:firstLine="4"/>
              <w:rPr>
                <w:rFonts w:ascii="仿宋" w:hAnsi="仿宋" w:eastAsia="仿宋" w:cs="仿宋"/>
              </w:rPr>
            </w:pPr>
            <w:r>
              <w:rPr>
                <w:rFonts w:ascii="仿宋" w:hAnsi="仿宋" w:eastAsia="仿宋" w:cs="仿宋"/>
                <w:spacing w:val="-2"/>
              </w:rPr>
              <w:t>马茨河隧洞</w:t>
            </w:r>
            <w:r>
              <w:rPr>
                <w:rFonts w:ascii="仿宋" w:hAnsi="仿宋" w:eastAsia="仿宋" w:cs="仿宋"/>
                <w:spacing w:val="-47"/>
              </w:rPr>
              <w:t xml:space="preserve"> </w:t>
            </w:r>
            <w:r>
              <w:rPr>
                <w:spacing w:val="-2"/>
              </w:rPr>
              <w:t>2#</w:t>
            </w:r>
            <w:r>
              <w:rPr>
                <w:rFonts w:ascii="仿宋" w:hAnsi="仿宋" w:eastAsia="仿宋" w:cs="仿宋"/>
                <w:spacing w:val="-2"/>
              </w:rPr>
              <w:t>施工支洞右</w:t>
            </w:r>
            <w:r>
              <w:rPr>
                <w:rFonts w:ascii="仿宋" w:hAnsi="仿宋" w:eastAsia="仿宋" w:cs="仿宋"/>
              </w:rPr>
              <w:t xml:space="preserve"> </w:t>
            </w:r>
            <w:r>
              <w:rPr>
                <w:rFonts w:ascii="仿宋" w:hAnsi="仿宋" w:eastAsia="仿宋" w:cs="仿宋"/>
                <w:spacing w:val="-4"/>
              </w:rPr>
              <w:t>侧箐沟</w:t>
            </w:r>
          </w:p>
        </w:tc>
        <w:tc>
          <w:tcPr>
            <w:tcW w:w="1007" w:type="dxa"/>
            <w:vAlign w:val="top"/>
          </w:tcPr>
          <w:p>
            <w:pPr>
              <w:spacing w:line="253" w:lineRule="auto"/>
              <w:rPr>
                <w:rFonts w:ascii="Arial"/>
                <w:sz w:val="21"/>
              </w:rPr>
            </w:pPr>
          </w:p>
          <w:p>
            <w:pPr>
              <w:spacing w:before="69"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spacing w:line="298" w:lineRule="auto"/>
              <w:rPr>
                <w:rFonts w:ascii="Arial"/>
                <w:sz w:val="21"/>
              </w:rPr>
            </w:pPr>
          </w:p>
          <w:p>
            <w:pPr>
              <w:pStyle w:val="6"/>
              <w:spacing w:before="60" w:line="188" w:lineRule="auto"/>
              <w:ind w:left="390"/>
            </w:pPr>
            <w:r>
              <w:rPr>
                <w:spacing w:val="-2"/>
              </w:rPr>
              <w:t>0.65</w:t>
            </w:r>
          </w:p>
        </w:tc>
        <w:tc>
          <w:tcPr>
            <w:tcW w:w="636" w:type="dxa"/>
            <w:vAlign w:val="top"/>
          </w:tcPr>
          <w:p>
            <w:pPr>
              <w:spacing w:line="254" w:lineRule="auto"/>
              <w:rPr>
                <w:rFonts w:ascii="Arial"/>
                <w:sz w:val="21"/>
              </w:rPr>
            </w:pPr>
          </w:p>
          <w:p>
            <w:pPr>
              <w:spacing w:before="68" w:line="218" w:lineRule="auto"/>
              <w:ind w:left="119"/>
              <w:rPr>
                <w:rFonts w:ascii="仿宋" w:hAnsi="仿宋" w:eastAsia="仿宋" w:cs="仿宋"/>
                <w:sz w:val="21"/>
                <w:szCs w:val="21"/>
              </w:rPr>
            </w:pPr>
            <w:r>
              <w:rPr>
                <w:rFonts w:ascii="仿宋" w:hAnsi="仿宋" w:eastAsia="仿宋" w:cs="仿宋"/>
                <w:spacing w:val="-4"/>
                <w:sz w:val="21"/>
                <w:szCs w:val="21"/>
              </w:rPr>
              <w:t>林地</w:t>
            </w:r>
          </w:p>
        </w:tc>
        <w:tc>
          <w:tcPr>
            <w:tcW w:w="1287" w:type="dxa"/>
            <w:vAlign w:val="top"/>
          </w:tcPr>
          <w:p>
            <w:pPr>
              <w:spacing w:line="298" w:lineRule="auto"/>
              <w:rPr>
                <w:rFonts w:ascii="Arial"/>
                <w:sz w:val="21"/>
              </w:rPr>
            </w:pPr>
          </w:p>
          <w:p>
            <w:pPr>
              <w:pStyle w:val="6"/>
              <w:spacing w:before="60" w:line="188" w:lineRule="auto"/>
              <w:ind w:left="465"/>
            </w:pPr>
            <w:r>
              <w:rPr>
                <w:spacing w:val="-2"/>
              </w:rPr>
              <w:t>3.30</w:t>
            </w:r>
          </w:p>
        </w:tc>
        <w:tc>
          <w:tcPr>
            <w:tcW w:w="974" w:type="dxa"/>
            <w:vAlign w:val="top"/>
          </w:tcPr>
          <w:p>
            <w:pPr>
              <w:spacing w:line="298" w:lineRule="auto"/>
              <w:rPr>
                <w:rFonts w:ascii="Arial"/>
                <w:sz w:val="21"/>
              </w:rPr>
            </w:pPr>
          </w:p>
          <w:p>
            <w:pPr>
              <w:pStyle w:val="6"/>
              <w:spacing w:before="60" w:line="188" w:lineRule="auto"/>
              <w:ind w:left="324"/>
            </w:pPr>
            <w:r>
              <w:rPr>
                <w:spacing w:val="-6"/>
              </w:rPr>
              <w:t>1.88</w:t>
            </w:r>
          </w:p>
        </w:tc>
        <w:tc>
          <w:tcPr>
            <w:tcW w:w="812" w:type="dxa"/>
            <w:vAlign w:val="top"/>
          </w:tcPr>
          <w:p>
            <w:pPr>
              <w:spacing w:line="301" w:lineRule="auto"/>
              <w:rPr>
                <w:rFonts w:ascii="Arial"/>
                <w:sz w:val="21"/>
              </w:rPr>
            </w:pPr>
          </w:p>
          <w:p>
            <w:pPr>
              <w:pStyle w:val="6"/>
              <w:spacing w:before="60" w:line="185" w:lineRule="auto"/>
              <w:ind w:left="361"/>
            </w:pPr>
            <w:r>
              <w:t>5</w:t>
            </w:r>
          </w:p>
        </w:tc>
        <w:tc>
          <w:tcPr>
            <w:tcW w:w="814" w:type="dxa"/>
            <w:vAlign w:val="top"/>
          </w:tcPr>
          <w:p>
            <w:pPr>
              <w:spacing w:line="298" w:lineRule="auto"/>
              <w:rPr>
                <w:rFonts w:ascii="Arial"/>
                <w:sz w:val="21"/>
              </w:rPr>
            </w:pPr>
          </w:p>
          <w:p>
            <w:pPr>
              <w:pStyle w:val="6"/>
              <w:spacing w:before="60" w:line="188" w:lineRule="auto"/>
              <w:ind w:left="303"/>
            </w:pPr>
            <w:r>
              <w:rPr>
                <w:spacing w:val="-1"/>
              </w:rPr>
              <w:t>42</w:t>
            </w:r>
          </w:p>
        </w:tc>
        <w:tc>
          <w:tcPr>
            <w:tcW w:w="1170" w:type="dxa"/>
            <w:vAlign w:val="top"/>
          </w:tcPr>
          <w:p>
            <w:pPr>
              <w:spacing w:line="298" w:lineRule="auto"/>
              <w:rPr>
                <w:rFonts w:ascii="Arial"/>
                <w:sz w:val="21"/>
              </w:rPr>
            </w:pPr>
          </w:p>
          <w:p>
            <w:pPr>
              <w:pStyle w:val="6"/>
              <w:spacing w:before="60" w:line="188" w:lineRule="auto"/>
              <w:ind w:left="109"/>
            </w:pPr>
            <w:r>
              <w:rPr>
                <w:spacing w:val="-1"/>
              </w:rPr>
              <w:t>2210~2252</w:t>
            </w:r>
          </w:p>
        </w:tc>
        <w:tc>
          <w:tcPr>
            <w:tcW w:w="804" w:type="dxa"/>
            <w:vAlign w:val="top"/>
          </w:tcPr>
          <w:p>
            <w:pPr>
              <w:spacing w:line="296" w:lineRule="auto"/>
              <w:rPr>
                <w:rFonts w:ascii="Arial"/>
                <w:sz w:val="21"/>
              </w:rPr>
            </w:pPr>
          </w:p>
          <w:p>
            <w:pPr>
              <w:pStyle w:val="6"/>
              <w:spacing w:before="61" w:line="200" w:lineRule="auto"/>
              <w:ind w:left="210"/>
            </w:pPr>
            <w:r>
              <w:rPr>
                <w:spacing w:val="-5"/>
              </w:rPr>
              <w:t>1;2.5</w:t>
            </w:r>
          </w:p>
        </w:tc>
        <w:tc>
          <w:tcPr>
            <w:tcW w:w="1711" w:type="dxa"/>
            <w:tcBorders>
              <w:right w:val="nil"/>
            </w:tcBorders>
            <w:vAlign w:val="top"/>
          </w:tcPr>
          <w:p>
            <w:pPr>
              <w:pStyle w:val="6"/>
              <w:spacing w:before="51" w:line="222" w:lineRule="auto"/>
              <w:ind w:left="117" w:right="185" w:firstLine="5"/>
              <w:rPr>
                <w:rFonts w:ascii="仿宋" w:hAnsi="仿宋" w:eastAsia="仿宋" w:cs="仿宋"/>
              </w:rPr>
            </w:pPr>
            <w:r>
              <w:rPr>
                <w:rFonts w:ascii="仿宋" w:hAnsi="仿宋" w:eastAsia="仿宋" w:cs="仿宋"/>
                <w:spacing w:val="-4"/>
              </w:rPr>
              <w:t>马茨河输水隧</w:t>
            </w:r>
            <w:r>
              <w:rPr>
                <w:rFonts w:ascii="仿宋" w:hAnsi="仿宋" w:eastAsia="仿宋" w:cs="仿宋"/>
                <w:spacing w:val="2"/>
              </w:rPr>
              <w:t xml:space="preserve">  </w:t>
            </w:r>
            <w:r>
              <w:rPr>
                <w:rFonts w:ascii="仿宋" w:hAnsi="仿宋" w:eastAsia="仿宋" w:cs="仿宋"/>
                <w:spacing w:val="-15"/>
              </w:rPr>
              <w:t>洞、</w:t>
            </w:r>
            <w:r>
              <w:rPr>
                <w:rFonts w:ascii="仿宋" w:hAnsi="仿宋" w:eastAsia="仿宋" w:cs="仿宋"/>
                <w:spacing w:val="-34"/>
              </w:rPr>
              <w:t xml:space="preserve"> </w:t>
            </w:r>
            <w:r>
              <w:rPr>
                <w:spacing w:val="-15"/>
              </w:rPr>
              <w:t>2</w:t>
            </w:r>
            <w:r>
              <w:rPr>
                <w:spacing w:val="20"/>
                <w:w w:val="101"/>
              </w:rPr>
              <w:t xml:space="preserve"> </w:t>
            </w:r>
            <w:r>
              <w:rPr>
                <w:rFonts w:ascii="仿宋" w:hAnsi="仿宋" w:eastAsia="仿宋" w:cs="仿宋"/>
                <w:spacing w:val="-15"/>
              </w:rPr>
              <w:t>号支洞弃</w:t>
            </w:r>
            <w:r>
              <w:rPr>
                <w:rFonts w:ascii="仿宋" w:hAnsi="仿宋" w:eastAsia="仿宋" w:cs="仿宋"/>
              </w:rPr>
              <w:t xml:space="preserve"> 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58" w:hRule="atLeast"/>
        </w:trPr>
        <w:tc>
          <w:tcPr>
            <w:tcW w:w="926" w:type="dxa"/>
            <w:tcBorders>
              <w:left w:val="nil"/>
              <w:bottom w:val="single" w:color="000000" w:sz="12" w:space="0"/>
            </w:tcBorders>
            <w:vAlign w:val="top"/>
          </w:tcPr>
          <w:p>
            <w:pPr>
              <w:spacing w:line="264" w:lineRule="auto"/>
              <w:rPr>
                <w:rFonts w:ascii="Arial"/>
                <w:sz w:val="21"/>
              </w:rPr>
            </w:pPr>
          </w:p>
          <w:p>
            <w:pPr>
              <w:spacing w:line="264" w:lineRule="auto"/>
              <w:rPr>
                <w:rFonts w:ascii="Arial"/>
                <w:sz w:val="21"/>
              </w:rPr>
            </w:pPr>
          </w:p>
          <w:p>
            <w:pPr>
              <w:pStyle w:val="6"/>
              <w:spacing w:before="68" w:line="239" w:lineRule="auto"/>
              <w:ind w:left="215"/>
              <w:rPr>
                <w:rFonts w:ascii="仿宋" w:hAnsi="仿宋" w:eastAsia="仿宋" w:cs="仿宋"/>
              </w:rPr>
            </w:pPr>
            <w:r>
              <w:rPr>
                <w:spacing w:val="-6"/>
              </w:rPr>
              <w:t>7</w:t>
            </w:r>
            <w:r>
              <w:rPr>
                <w:rFonts w:ascii="仿宋" w:hAnsi="仿宋" w:eastAsia="仿宋" w:cs="仿宋"/>
                <w:spacing w:val="-6"/>
              </w:rPr>
              <w:t>＃弃</w:t>
            </w:r>
          </w:p>
          <w:p>
            <w:pPr>
              <w:spacing w:line="218" w:lineRule="auto"/>
              <w:ind w:left="275"/>
              <w:rPr>
                <w:rFonts w:ascii="仿宋" w:hAnsi="仿宋" w:eastAsia="仿宋" w:cs="仿宋"/>
                <w:sz w:val="21"/>
                <w:szCs w:val="21"/>
              </w:rPr>
            </w:pPr>
            <w:r>
              <w:rPr>
                <w:rFonts w:ascii="仿宋" w:hAnsi="仿宋" w:eastAsia="仿宋" w:cs="仿宋"/>
                <w:spacing w:val="-4"/>
                <w:sz w:val="21"/>
                <w:szCs w:val="21"/>
              </w:rPr>
              <w:t>渣场</w:t>
            </w:r>
          </w:p>
        </w:tc>
        <w:tc>
          <w:tcPr>
            <w:tcW w:w="2736" w:type="dxa"/>
            <w:tcBorders>
              <w:bottom w:val="single" w:color="000000" w:sz="12" w:space="0"/>
            </w:tcBorders>
            <w:vAlign w:val="top"/>
          </w:tcPr>
          <w:p>
            <w:pPr>
              <w:spacing w:line="264" w:lineRule="auto"/>
              <w:rPr>
                <w:rFonts w:ascii="Arial"/>
                <w:sz w:val="21"/>
              </w:rPr>
            </w:pPr>
          </w:p>
          <w:p>
            <w:pPr>
              <w:spacing w:line="265" w:lineRule="auto"/>
              <w:rPr>
                <w:rFonts w:ascii="Arial"/>
                <w:sz w:val="21"/>
              </w:rPr>
            </w:pPr>
          </w:p>
          <w:p>
            <w:pPr>
              <w:spacing w:before="68" w:line="228" w:lineRule="auto"/>
              <w:ind w:left="126" w:right="105" w:hanging="3"/>
              <w:rPr>
                <w:rFonts w:ascii="仿宋" w:hAnsi="仿宋" w:eastAsia="仿宋" w:cs="仿宋"/>
                <w:sz w:val="21"/>
                <w:szCs w:val="21"/>
              </w:rPr>
            </w:pPr>
            <w:r>
              <w:rPr>
                <w:rFonts w:ascii="仿宋" w:hAnsi="仿宋" w:eastAsia="仿宋" w:cs="仿宋"/>
                <w:spacing w:val="-2"/>
                <w:sz w:val="21"/>
                <w:szCs w:val="21"/>
              </w:rPr>
              <w:t>马茨河隧洞出口，六姑乍箐</w:t>
            </w:r>
            <w:r>
              <w:rPr>
                <w:rFonts w:ascii="仿宋" w:hAnsi="仿宋" w:eastAsia="仿宋" w:cs="仿宋"/>
                <w:spacing w:val="4"/>
                <w:sz w:val="21"/>
                <w:szCs w:val="21"/>
              </w:rPr>
              <w:t xml:space="preserve"> </w:t>
            </w:r>
            <w:r>
              <w:rPr>
                <w:rFonts w:ascii="仿宋" w:hAnsi="仿宋" w:eastAsia="仿宋" w:cs="仿宋"/>
                <w:spacing w:val="-3"/>
                <w:sz w:val="21"/>
                <w:szCs w:val="21"/>
              </w:rPr>
              <w:t>隧洞进口附近箐沟</w:t>
            </w:r>
          </w:p>
        </w:tc>
        <w:tc>
          <w:tcPr>
            <w:tcW w:w="1007" w:type="dxa"/>
            <w:tcBorders>
              <w:bottom w:val="single" w:color="000000" w:sz="12" w:space="0"/>
            </w:tcBorders>
            <w:vAlign w:val="top"/>
          </w:tcPr>
          <w:p>
            <w:pPr>
              <w:spacing w:line="331" w:lineRule="auto"/>
              <w:rPr>
                <w:rFonts w:ascii="Arial"/>
                <w:sz w:val="21"/>
              </w:rPr>
            </w:pPr>
          </w:p>
          <w:p>
            <w:pPr>
              <w:spacing w:line="332" w:lineRule="auto"/>
              <w:rPr>
                <w:rFonts w:ascii="Arial"/>
                <w:sz w:val="21"/>
              </w:rPr>
            </w:pPr>
          </w:p>
          <w:p>
            <w:pPr>
              <w:spacing w:before="69"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tcBorders>
              <w:bottom w:val="single" w:color="000000" w:sz="12" w:space="0"/>
            </w:tcBorders>
            <w:vAlign w:val="top"/>
          </w:tcPr>
          <w:p>
            <w:pPr>
              <w:spacing w:line="354" w:lineRule="auto"/>
              <w:rPr>
                <w:rFonts w:ascii="Arial"/>
                <w:sz w:val="21"/>
              </w:rPr>
            </w:pPr>
          </w:p>
          <w:p>
            <w:pPr>
              <w:spacing w:line="354" w:lineRule="auto"/>
              <w:rPr>
                <w:rFonts w:ascii="Arial"/>
                <w:sz w:val="21"/>
              </w:rPr>
            </w:pPr>
          </w:p>
          <w:p>
            <w:pPr>
              <w:pStyle w:val="6"/>
              <w:spacing w:before="60" w:line="188" w:lineRule="auto"/>
              <w:ind w:left="390"/>
            </w:pPr>
            <w:r>
              <w:rPr>
                <w:spacing w:val="-2"/>
              </w:rPr>
              <w:t>0.67</w:t>
            </w:r>
          </w:p>
        </w:tc>
        <w:tc>
          <w:tcPr>
            <w:tcW w:w="636" w:type="dxa"/>
            <w:tcBorders>
              <w:bottom w:val="single" w:color="000000" w:sz="12" w:space="0"/>
            </w:tcBorders>
            <w:vAlign w:val="top"/>
          </w:tcPr>
          <w:p>
            <w:pPr>
              <w:spacing w:line="332" w:lineRule="auto"/>
              <w:rPr>
                <w:rFonts w:ascii="Arial"/>
                <w:sz w:val="21"/>
              </w:rPr>
            </w:pPr>
          </w:p>
          <w:p>
            <w:pPr>
              <w:spacing w:line="332" w:lineRule="auto"/>
              <w:rPr>
                <w:rFonts w:ascii="Arial"/>
                <w:sz w:val="21"/>
              </w:rPr>
            </w:pPr>
          </w:p>
          <w:p>
            <w:pPr>
              <w:spacing w:before="68" w:line="218" w:lineRule="auto"/>
              <w:ind w:left="123"/>
              <w:rPr>
                <w:rFonts w:ascii="仿宋" w:hAnsi="仿宋" w:eastAsia="仿宋" w:cs="仿宋"/>
                <w:sz w:val="21"/>
                <w:szCs w:val="21"/>
              </w:rPr>
            </w:pPr>
            <w:r>
              <w:rPr>
                <w:rFonts w:ascii="仿宋" w:hAnsi="仿宋" w:eastAsia="仿宋" w:cs="仿宋"/>
                <w:spacing w:val="-5"/>
                <w:sz w:val="21"/>
                <w:szCs w:val="21"/>
              </w:rPr>
              <w:t>旱地</w:t>
            </w:r>
          </w:p>
        </w:tc>
        <w:tc>
          <w:tcPr>
            <w:tcW w:w="1287" w:type="dxa"/>
            <w:tcBorders>
              <w:bottom w:val="single" w:color="000000" w:sz="12" w:space="0"/>
            </w:tcBorders>
            <w:vAlign w:val="top"/>
          </w:tcPr>
          <w:p>
            <w:pPr>
              <w:spacing w:line="354" w:lineRule="auto"/>
              <w:rPr>
                <w:rFonts w:ascii="Arial"/>
                <w:sz w:val="21"/>
              </w:rPr>
            </w:pPr>
          </w:p>
          <w:p>
            <w:pPr>
              <w:spacing w:line="354" w:lineRule="auto"/>
              <w:rPr>
                <w:rFonts w:ascii="Arial"/>
                <w:sz w:val="21"/>
              </w:rPr>
            </w:pPr>
          </w:p>
          <w:p>
            <w:pPr>
              <w:pStyle w:val="6"/>
              <w:spacing w:before="60" w:line="188" w:lineRule="auto"/>
              <w:ind w:left="465"/>
            </w:pPr>
            <w:r>
              <w:rPr>
                <w:spacing w:val="-2"/>
              </w:rPr>
              <w:t>3.48</w:t>
            </w:r>
          </w:p>
        </w:tc>
        <w:tc>
          <w:tcPr>
            <w:tcW w:w="974" w:type="dxa"/>
            <w:tcBorders>
              <w:bottom w:val="single" w:color="000000" w:sz="12" w:space="0"/>
            </w:tcBorders>
            <w:vAlign w:val="top"/>
          </w:tcPr>
          <w:p>
            <w:pPr>
              <w:spacing w:line="354" w:lineRule="auto"/>
              <w:rPr>
                <w:rFonts w:ascii="Arial"/>
                <w:sz w:val="21"/>
              </w:rPr>
            </w:pPr>
          </w:p>
          <w:p>
            <w:pPr>
              <w:spacing w:line="354" w:lineRule="auto"/>
              <w:rPr>
                <w:rFonts w:ascii="Arial"/>
                <w:sz w:val="21"/>
              </w:rPr>
            </w:pPr>
          </w:p>
          <w:p>
            <w:pPr>
              <w:pStyle w:val="6"/>
              <w:spacing w:before="60" w:line="188" w:lineRule="auto"/>
              <w:ind w:left="324"/>
            </w:pPr>
            <w:r>
              <w:rPr>
                <w:spacing w:val="-6"/>
              </w:rPr>
              <w:t>1.99</w:t>
            </w:r>
          </w:p>
        </w:tc>
        <w:tc>
          <w:tcPr>
            <w:tcW w:w="812" w:type="dxa"/>
            <w:tcBorders>
              <w:bottom w:val="single" w:color="000000" w:sz="12" w:space="0"/>
            </w:tcBorders>
            <w:vAlign w:val="top"/>
          </w:tcPr>
          <w:p>
            <w:pPr>
              <w:spacing w:line="355" w:lineRule="auto"/>
              <w:rPr>
                <w:rFonts w:ascii="Arial"/>
                <w:sz w:val="21"/>
              </w:rPr>
            </w:pPr>
          </w:p>
          <w:p>
            <w:pPr>
              <w:spacing w:line="356" w:lineRule="auto"/>
              <w:rPr>
                <w:rFonts w:ascii="Arial"/>
                <w:sz w:val="21"/>
              </w:rPr>
            </w:pPr>
          </w:p>
          <w:p>
            <w:pPr>
              <w:pStyle w:val="6"/>
              <w:spacing w:before="60" w:line="185" w:lineRule="auto"/>
              <w:ind w:left="361"/>
            </w:pPr>
            <w:r>
              <w:t>5</w:t>
            </w:r>
          </w:p>
        </w:tc>
        <w:tc>
          <w:tcPr>
            <w:tcW w:w="814" w:type="dxa"/>
            <w:tcBorders>
              <w:bottom w:val="single" w:color="000000" w:sz="12" w:space="0"/>
            </w:tcBorders>
            <w:vAlign w:val="top"/>
          </w:tcPr>
          <w:p>
            <w:pPr>
              <w:spacing w:line="354" w:lineRule="auto"/>
              <w:rPr>
                <w:rFonts w:ascii="Arial"/>
                <w:sz w:val="21"/>
              </w:rPr>
            </w:pPr>
          </w:p>
          <w:p>
            <w:pPr>
              <w:spacing w:line="354" w:lineRule="auto"/>
              <w:rPr>
                <w:rFonts w:ascii="Arial"/>
                <w:sz w:val="21"/>
              </w:rPr>
            </w:pPr>
          </w:p>
          <w:p>
            <w:pPr>
              <w:pStyle w:val="6"/>
              <w:spacing w:before="60" w:line="188" w:lineRule="auto"/>
              <w:ind w:left="308"/>
            </w:pPr>
            <w:r>
              <w:rPr>
                <w:spacing w:val="-3"/>
              </w:rPr>
              <w:t>35</w:t>
            </w:r>
          </w:p>
        </w:tc>
        <w:tc>
          <w:tcPr>
            <w:tcW w:w="1170" w:type="dxa"/>
            <w:tcBorders>
              <w:bottom w:val="single" w:color="000000" w:sz="12" w:space="0"/>
            </w:tcBorders>
            <w:vAlign w:val="top"/>
          </w:tcPr>
          <w:p>
            <w:pPr>
              <w:spacing w:line="354" w:lineRule="auto"/>
              <w:rPr>
                <w:rFonts w:ascii="Arial"/>
                <w:sz w:val="21"/>
              </w:rPr>
            </w:pPr>
          </w:p>
          <w:p>
            <w:pPr>
              <w:spacing w:line="354" w:lineRule="auto"/>
              <w:rPr>
                <w:rFonts w:ascii="Arial"/>
                <w:sz w:val="21"/>
              </w:rPr>
            </w:pPr>
          </w:p>
          <w:p>
            <w:pPr>
              <w:pStyle w:val="6"/>
              <w:spacing w:before="60" w:line="188" w:lineRule="auto"/>
              <w:ind w:left="109"/>
            </w:pPr>
            <w:r>
              <w:rPr>
                <w:spacing w:val="-1"/>
              </w:rPr>
              <w:t>2010~2045</w:t>
            </w:r>
          </w:p>
        </w:tc>
        <w:tc>
          <w:tcPr>
            <w:tcW w:w="804" w:type="dxa"/>
            <w:tcBorders>
              <w:bottom w:val="single" w:color="000000" w:sz="12" w:space="0"/>
            </w:tcBorders>
            <w:vAlign w:val="top"/>
          </w:tcPr>
          <w:p>
            <w:pPr>
              <w:spacing w:line="353" w:lineRule="auto"/>
              <w:rPr>
                <w:rFonts w:ascii="Arial"/>
                <w:sz w:val="21"/>
              </w:rPr>
            </w:pPr>
          </w:p>
          <w:p>
            <w:pPr>
              <w:spacing w:line="353" w:lineRule="auto"/>
              <w:rPr>
                <w:rFonts w:ascii="Arial"/>
                <w:sz w:val="21"/>
              </w:rPr>
            </w:pPr>
          </w:p>
          <w:p>
            <w:pPr>
              <w:pStyle w:val="6"/>
              <w:spacing w:before="61" w:line="200" w:lineRule="auto"/>
              <w:ind w:left="210"/>
            </w:pPr>
            <w:r>
              <w:rPr>
                <w:spacing w:val="-5"/>
              </w:rPr>
              <w:t>1;2.5</w:t>
            </w:r>
          </w:p>
        </w:tc>
        <w:tc>
          <w:tcPr>
            <w:tcW w:w="1711" w:type="dxa"/>
            <w:tcBorders>
              <w:bottom w:val="single" w:color="000000" w:sz="12" w:space="0"/>
              <w:right w:val="nil"/>
            </w:tcBorders>
            <w:vAlign w:val="top"/>
          </w:tcPr>
          <w:p>
            <w:pPr>
              <w:spacing w:before="57" w:line="233" w:lineRule="auto"/>
              <w:ind w:left="118" w:right="133" w:firstLine="4"/>
              <w:jc w:val="both"/>
              <w:rPr>
                <w:rFonts w:ascii="仿宋" w:hAnsi="仿宋" w:eastAsia="仿宋" w:cs="仿宋"/>
                <w:sz w:val="21"/>
                <w:szCs w:val="21"/>
              </w:rPr>
            </w:pPr>
            <w:r>
              <w:rPr>
                <w:rFonts w:ascii="仿宋" w:hAnsi="仿宋" w:eastAsia="仿宋" w:cs="仿宋"/>
                <w:spacing w:val="-3"/>
                <w:sz w:val="21"/>
                <w:szCs w:val="21"/>
              </w:rPr>
              <w:t>马茨河输水隧洞</w:t>
            </w:r>
            <w:r>
              <w:rPr>
                <w:rFonts w:ascii="仿宋" w:hAnsi="仿宋" w:eastAsia="仿宋" w:cs="仿宋"/>
                <w:spacing w:val="1"/>
                <w:sz w:val="21"/>
                <w:szCs w:val="21"/>
              </w:rPr>
              <w:t xml:space="preserve"> </w:t>
            </w:r>
            <w:r>
              <w:rPr>
                <w:rFonts w:ascii="仿宋" w:hAnsi="仿宋" w:eastAsia="仿宋" w:cs="仿宋"/>
                <w:spacing w:val="-2"/>
                <w:sz w:val="21"/>
                <w:szCs w:val="21"/>
              </w:rPr>
              <w:t>出口、六姑乍倒</w:t>
            </w:r>
            <w:r>
              <w:rPr>
                <w:rFonts w:ascii="仿宋" w:hAnsi="仿宋" w:eastAsia="仿宋" w:cs="仿宋"/>
                <w:sz w:val="21"/>
                <w:szCs w:val="21"/>
              </w:rPr>
              <w:t xml:space="preserve"> </w:t>
            </w:r>
            <w:r>
              <w:rPr>
                <w:rFonts w:ascii="仿宋" w:hAnsi="仿宋" w:eastAsia="仿宋" w:cs="仿宋"/>
                <w:spacing w:val="-2"/>
                <w:sz w:val="21"/>
                <w:szCs w:val="21"/>
              </w:rPr>
              <w:t>虹吸、六姑乍取</w:t>
            </w:r>
            <w:r>
              <w:rPr>
                <w:rFonts w:ascii="仿宋" w:hAnsi="仿宋" w:eastAsia="仿宋" w:cs="仿宋"/>
                <w:sz w:val="21"/>
                <w:szCs w:val="21"/>
              </w:rPr>
              <w:t xml:space="preserve"> </w:t>
            </w:r>
            <w:r>
              <w:rPr>
                <w:rFonts w:ascii="仿宋" w:hAnsi="仿宋" w:eastAsia="仿宋" w:cs="仿宋"/>
                <w:spacing w:val="-2"/>
                <w:sz w:val="21"/>
                <w:szCs w:val="21"/>
              </w:rPr>
              <w:t>水坝、六姑乍引</w:t>
            </w:r>
            <w:r>
              <w:rPr>
                <w:rFonts w:ascii="仿宋" w:hAnsi="仿宋" w:eastAsia="仿宋" w:cs="仿宋"/>
                <w:sz w:val="21"/>
                <w:szCs w:val="21"/>
              </w:rPr>
              <w:t xml:space="preserve"> </w:t>
            </w:r>
            <w:r>
              <w:rPr>
                <w:rFonts w:ascii="仿宋" w:hAnsi="仿宋" w:eastAsia="仿宋" w:cs="仿宋"/>
                <w:spacing w:val="-2"/>
                <w:sz w:val="21"/>
                <w:szCs w:val="21"/>
              </w:rPr>
              <w:t>洪沟、六姑乍箐</w:t>
            </w:r>
            <w:r>
              <w:rPr>
                <w:rFonts w:ascii="仿宋" w:hAnsi="仿宋" w:eastAsia="仿宋" w:cs="仿宋"/>
                <w:sz w:val="21"/>
                <w:szCs w:val="21"/>
              </w:rPr>
              <w:t xml:space="preserve"> </w:t>
            </w:r>
            <w:r>
              <w:rPr>
                <w:rFonts w:ascii="仿宋" w:hAnsi="仿宋" w:eastAsia="仿宋" w:cs="仿宋"/>
                <w:spacing w:val="-2"/>
                <w:sz w:val="21"/>
                <w:szCs w:val="21"/>
              </w:rPr>
              <w:t>隧洞进口弃渣</w:t>
            </w:r>
          </w:p>
        </w:tc>
      </w:tr>
    </w:tbl>
    <w:p>
      <w:pPr>
        <w:rPr>
          <w:rFonts w:ascii="Arial"/>
          <w:sz w:val="21"/>
        </w:rPr>
      </w:pPr>
    </w:p>
    <w:p>
      <w:pPr>
        <w:rPr>
          <w:rFonts w:ascii="Arial" w:hAnsi="Arial" w:eastAsia="Arial" w:cs="Arial"/>
          <w:sz w:val="21"/>
          <w:szCs w:val="21"/>
        </w:rPr>
        <w:sectPr>
          <w:headerReference r:id="rId97" w:type="default"/>
          <w:footerReference r:id="rId98" w:type="default"/>
          <w:pgSz w:w="16839" w:h="11907"/>
          <w:pgMar w:top="1298" w:right="1387" w:bottom="1374" w:left="1388" w:header="1023" w:footer="1210" w:gutter="0"/>
        </w:sectPr>
      </w:pPr>
    </w:p>
    <w:p>
      <w:pPr>
        <w:spacing w:line="232" w:lineRule="exact"/>
      </w:pPr>
    </w:p>
    <w:tbl>
      <w:tblPr>
        <w:tblStyle w:val="5"/>
        <w:tblW w:w="1401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2736"/>
        <w:gridCol w:w="1007"/>
        <w:gridCol w:w="1140"/>
        <w:gridCol w:w="636"/>
        <w:gridCol w:w="1287"/>
        <w:gridCol w:w="974"/>
        <w:gridCol w:w="812"/>
        <w:gridCol w:w="814"/>
        <w:gridCol w:w="1170"/>
        <w:gridCol w:w="804"/>
        <w:gridCol w:w="17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1" w:hRule="atLeast"/>
        </w:trPr>
        <w:tc>
          <w:tcPr>
            <w:tcW w:w="926" w:type="dxa"/>
            <w:tcBorders>
              <w:top w:val="single" w:color="000000" w:sz="12" w:space="0"/>
              <w:left w:val="nil"/>
            </w:tcBorders>
            <w:vAlign w:val="top"/>
          </w:tcPr>
          <w:p>
            <w:pPr>
              <w:spacing w:line="368" w:lineRule="auto"/>
              <w:rPr>
                <w:rFonts w:ascii="Arial"/>
                <w:sz w:val="21"/>
              </w:rPr>
            </w:pPr>
          </w:p>
          <w:p>
            <w:pPr>
              <w:spacing w:before="68" w:line="217" w:lineRule="auto"/>
              <w:ind w:left="27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2736" w:type="dxa"/>
            <w:tcBorders>
              <w:top w:val="single" w:color="000000" w:sz="12" w:space="0"/>
            </w:tcBorders>
            <w:vAlign w:val="top"/>
          </w:tcPr>
          <w:p>
            <w:pPr>
              <w:spacing w:line="369" w:lineRule="auto"/>
              <w:rPr>
                <w:rFonts w:ascii="Arial"/>
                <w:sz w:val="21"/>
              </w:rPr>
            </w:pPr>
          </w:p>
          <w:p>
            <w:pPr>
              <w:spacing w:before="68" w:line="217" w:lineRule="auto"/>
              <w:ind w:left="1116"/>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位</w:t>
            </w:r>
            <w:r>
              <w:rPr>
                <w:rFonts w:ascii="仿宋" w:hAnsi="仿宋" w:eastAsia="仿宋" w:cs="仿宋"/>
                <w:spacing w:val="16"/>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置</w:t>
            </w:r>
          </w:p>
        </w:tc>
        <w:tc>
          <w:tcPr>
            <w:tcW w:w="1007" w:type="dxa"/>
            <w:tcBorders>
              <w:top w:val="single" w:color="000000" w:sz="12" w:space="0"/>
            </w:tcBorders>
            <w:vAlign w:val="top"/>
          </w:tcPr>
          <w:p>
            <w:pPr>
              <w:spacing w:before="304" w:line="232" w:lineRule="auto"/>
              <w:ind w:left="419" w:right="184" w:hanging="219"/>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渣场类</w:t>
            </w:r>
            <w:r>
              <w:rPr>
                <w:rFonts w:ascii="仿宋" w:hAnsi="仿宋" w:eastAsia="仿宋" w:cs="仿宋"/>
                <w:spacing w:val="1"/>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型</w:t>
            </w:r>
          </w:p>
        </w:tc>
        <w:tc>
          <w:tcPr>
            <w:tcW w:w="1140" w:type="dxa"/>
            <w:tcBorders>
              <w:top w:val="single" w:color="000000" w:sz="12" w:space="0"/>
            </w:tcBorders>
            <w:vAlign w:val="top"/>
          </w:tcPr>
          <w:p>
            <w:pPr>
              <w:spacing w:line="368" w:lineRule="auto"/>
              <w:rPr>
                <w:rFonts w:ascii="Arial"/>
                <w:sz w:val="21"/>
              </w:rPr>
            </w:pPr>
          </w:p>
          <w:p>
            <w:pPr>
              <w:pStyle w:val="6"/>
              <w:spacing w:before="69" w:line="215" w:lineRule="auto"/>
              <w:ind w:left="156"/>
            </w:pPr>
            <w:r>
              <w:rPr>
                <w:rFonts w:ascii="仿宋" w:hAnsi="仿宋" w:eastAsia="仿宋" w:cs="仿宋"/>
                <w:spacing w:val="-7"/>
                <w14:textOutline w14:w="3810" w14:cap="flat" w14:cmpd="sng">
                  <w14:solidFill>
                    <w14:srgbClr w14:val="000000"/>
                  </w14:solidFill>
                  <w14:prstDash w14:val="solid"/>
                  <w14:miter w14:val="0"/>
                </w14:textOutline>
              </w:rPr>
              <w:t>占地</w:t>
            </w:r>
            <w:r>
              <w:rPr>
                <w:b/>
                <w:bCs/>
                <w:spacing w:val="-7"/>
              </w:rPr>
              <w:t>(hm</w:t>
            </w:r>
            <w:r>
              <w:rPr>
                <w:b/>
                <w:bCs/>
                <w:spacing w:val="-7"/>
                <w:position w:val="6"/>
                <w:sz w:val="14"/>
                <w:szCs w:val="14"/>
              </w:rPr>
              <w:t>2</w:t>
            </w:r>
            <w:r>
              <w:rPr>
                <w:b/>
                <w:bCs/>
                <w:spacing w:val="-7"/>
              </w:rPr>
              <w:t>)</w:t>
            </w:r>
          </w:p>
        </w:tc>
        <w:tc>
          <w:tcPr>
            <w:tcW w:w="636" w:type="dxa"/>
            <w:tcBorders>
              <w:top w:val="single" w:color="000000" w:sz="12" w:space="0"/>
            </w:tcBorders>
            <w:textDirection w:val="tbRlV"/>
            <w:vAlign w:val="top"/>
          </w:tcPr>
          <w:p>
            <w:pPr>
              <w:spacing w:before="210" w:line="203" w:lineRule="auto"/>
              <w:ind w:left="31"/>
              <w:rPr>
                <w:rFonts w:ascii="仿宋" w:hAnsi="仿宋" w:eastAsia="仿宋" w:cs="仿宋"/>
                <w:sz w:val="21"/>
                <w:szCs w:val="21"/>
              </w:rPr>
            </w:pPr>
            <w:r>
              <w:rPr>
                <w:rFonts w:ascii="仿宋" w:hAnsi="仿宋" w:eastAsia="仿宋" w:cs="仿宋"/>
                <w:spacing w:val="46"/>
                <w:sz w:val="21"/>
                <w:szCs w:val="21"/>
                <w14:textOutline w14:w="3810" w14:cap="flat" w14:cmpd="sng">
                  <w14:solidFill>
                    <w14:srgbClr w14:val="000000"/>
                  </w14:solidFill>
                  <w14:prstDash w14:val="solid"/>
                  <w14:miter w14:val="0"/>
                </w14:textOutline>
              </w:rPr>
              <w:t>占地类型</w:t>
            </w:r>
          </w:p>
        </w:tc>
        <w:tc>
          <w:tcPr>
            <w:tcW w:w="1287" w:type="dxa"/>
            <w:tcBorders>
              <w:top w:val="single" w:color="000000" w:sz="12" w:space="0"/>
            </w:tcBorders>
            <w:vAlign w:val="top"/>
          </w:tcPr>
          <w:p>
            <w:pPr>
              <w:spacing w:line="368" w:lineRule="auto"/>
              <w:rPr>
                <w:rFonts w:ascii="Arial"/>
                <w:sz w:val="21"/>
              </w:rPr>
            </w:pPr>
          </w:p>
          <w:p>
            <w:pPr>
              <w:pStyle w:val="6"/>
              <w:spacing w:before="69" w:line="215" w:lineRule="auto"/>
              <w:ind w:left="122"/>
            </w:pPr>
            <w:r>
              <w:rPr>
                <w:rFonts w:ascii="仿宋" w:hAnsi="仿宋" w:eastAsia="仿宋" w:cs="仿宋"/>
                <w:spacing w:val="-4"/>
                <w14:textOutline w14:w="3810" w14:cap="flat" w14:cmpd="sng">
                  <w14:solidFill>
                    <w14:srgbClr w14:val="000000"/>
                  </w14:solidFill>
                  <w14:prstDash w14:val="solid"/>
                  <w14:miter w14:val="0"/>
                </w14:textOutline>
              </w:rPr>
              <w:t>容积</w:t>
            </w:r>
            <w:r>
              <w:rPr>
                <w:b/>
                <w:bCs/>
                <w:spacing w:val="-4"/>
              </w:rPr>
              <w:t>(</w:t>
            </w:r>
            <w:r>
              <w:rPr>
                <w:rFonts w:ascii="仿宋" w:hAnsi="仿宋" w:eastAsia="仿宋" w:cs="仿宋"/>
                <w:spacing w:val="-4"/>
                <w14:textOutline w14:w="3810" w14:cap="flat" w14:cmpd="sng">
                  <w14:solidFill>
                    <w14:srgbClr w14:val="000000"/>
                  </w14:solidFill>
                  <w14:prstDash w14:val="solid"/>
                  <w14:miter w14:val="0"/>
                </w14:textOutline>
              </w:rPr>
              <w:t>万</w:t>
            </w:r>
            <w:r>
              <w:rPr>
                <w:rFonts w:ascii="仿宋" w:hAnsi="仿宋" w:eastAsia="仿宋" w:cs="仿宋"/>
                <w:spacing w:val="-39"/>
              </w:rPr>
              <w:t xml:space="preserve"> </w:t>
            </w:r>
            <w:r>
              <w:rPr>
                <w:b/>
                <w:bCs/>
                <w:spacing w:val="-4"/>
              </w:rPr>
              <w:t>m</w:t>
            </w:r>
            <w:r>
              <w:rPr>
                <w:b/>
                <w:bCs/>
                <w:spacing w:val="-4"/>
                <w:position w:val="6"/>
                <w:sz w:val="14"/>
                <w:szCs w:val="14"/>
              </w:rPr>
              <w:t>3</w:t>
            </w:r>
            <w:r>
              <w:rPr>
                <w:b/>
                <w:bCs/>
                <w:spacing w:val="-4"/>
              </w:rPr>
              <w:t>)</w:t>
            </w:r>
          </w:p>
        </w:tc>
        <w:tc>
          <w:tcPr>
            <w:tcW w:w="974" w:type="dxa"/>
            <w:tcBorders>
              <w:top w:val="single" w:color="000000" w:sz="12" w:space="0"/>
            </w:tcBorders>
            <w:vAlign w:val="top"/>
          </w:tcPr>
          <w:p>
            <w:pPr>
              <w:spacing w:before="46" w:line="219" w:lineRule="auto"/>
              <w:ind w:left="18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处理弃</w:t>
            </w:r>
          </w:p>
          <w:p>
            <w:pPr>
              <w:pStyle w:val="6"/>
              <w:spacing w:before="23" w:line="215" w:lineRule="auto"/>
              <w:ind w:left="147"/>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渣</w:t>
            </w:r>
            <w:r>
              <w:rPr>
                <w:b/>
                <w:bCs/>
                <w:spacing w:val="-4"/>
              </w:rPr>
              <w:t>(</w:t>
            </w:r>
            <w:r>
              <w:rPr>
                <w:rFonts w:ascii="仿宋" w:hAnsi="仿宋" w:eastAsia="仿宋" w:cs="仿宋"/>
                <w:spacing w:val="-4"/>
                <w14:textOutline w14:w="3810" w14:cap="flat" w14:cmpd="sng">
                  <w14:solidFill>
                    <w14:srgbClr w14:val="000000"/>
                  </w14:solidFill>
                  <w14:prstDash w14:val="solid"/>
                  <w14:miter w14:val="0"/>
                </w14:textOutline>
              </w:rPr>
              <w:t>自然</w:t>
            </w:r>
          </w:p>
          <w:p>
            <w:pPr>
              <w:spacing w:before="27" w:line="220" w:lineRule="auto"/>
              <w:ind w:left="291"/>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方万</w:t>
            </w:r>
          </w:p>
          <w:p>
            <w:pPr>
              <w:pStyle w:val="6"/>
              <w:spacing w:before="21" w:line="213" w:lineRule="auto"/>
              <w:ind w:left="334"/>
            </w:pPr>
            <w:r>
              <w:rPr>
                <w:b/>
                <w:bCs/>
                <w:spacing w:val="-3"/>
              </w:rPr>
              <w:t>m</w:t>
            </w:r>
            <w:r>
              <w:rPr>
                <w:b/>
                <w:bCs/>
                <w:spacing w:val="-3"/>
                <w:position w:val="6"/>
                <w:sz w:val="14"/>
                <w:szCs w:val="14"/>
              </w:rPr>
              <w:t>3</w:t>
            </w:r>
            <w:r>
              <w:rPr>
                <w:b/>
                <w:bCs/>
                <w:spacing w:val="-3"/>
              </w:rPr>
              <w:t>)</w:t>
            </w:r>
          </w:p>
        </w:tc>
        <w:tc>
          <w:tcPr>
            <w:tcW w:w="812" w:type="dxa"/>
            <w:tcBorders>
              <w:top w:val="single" w:color="000000" w:sz="12" w:space="0"/>
            </w:tcBorders>
            <w:vAlign w:val="top"/>
          </w:tcPr>
          <w:p>
            <w:pPr>
              <w:pStyle w:val="6"/>
              <w:spacing w:before="165" w:line="242" w:lineRule="auto"/>
              <w:ind w:left="118" w:right="119" w:firstLine="86"/>
              <w:jc w:val="both"/>
              <w:rPr>
                <w:rFonts w:ascii="仿宋" w:hAnsi="仿宋" w:eastAsia="仿宋" w:cs="仿宋"/>
              </w:rPr>
            </w:pPr>
            <w:r>
              <w:rPr>
                <w:rFonts w:ascii="仿宋" w:hAnsi="仿宋" w:eastAsia="仿宋" w:cs="仿宋"/>
                <w:spacing w:val="-7"/>
                <w14:textOutline w14:w="3810" w14:cap="flat" w14:cmpd="sng">
                  <w14:solidFill>
                    <w14:srgbClr w14:val="000000"/>
                  </w14:solidFill>
                  <w14:prstDash w14:val="solid"/>
                  <w14:miter w14:val="0"/>
                </w14:textOutline>
              </w:rPr>
              <w:t>挡墙</w:t>
            </w:r>
            <w:r>
              <w:rPr>
                <w:rFonts w:ascii="仿宋" w:hAnsi="仿宋" w:eastAsia="仿宋" w:cs="仿宋"/>
              </w:rPr>
              <w:t xml:space="preserve"> </w:t>
            </w:r>
            <w:r>
              <w:rPr>
                <w:rFonts w:ascii="仿宋" w:hAnsi="仿宋" w:eastAsia="仿宋" w:cs="仿宋"/>
                <w:spacing w:val="37"/>
                <w14:textOutline w14:w="3810" w14:cap="flat" w14:cmpd="sng">
                  <w14:solidFill>
                    <w14:srgbClr w14:val="000000"/>
                  </w14:solidFill>
                  <w14:prstDash w14:val="solid"/>
                  <w14:miter w14:val="0"/>
                </w14:textOutline>
              </w:rPr>
              <w:t>高度</w:t>
            </w:r>
            <w:r>
              <w:rPr>
                <w:rFonts w:ascii="仿宋" w:hAnsi="仿宋" w:eastAsia="仿宋" w:cs="仿宋"/>
              </w:rPr>
              <w:t xml:space="preserve"> </w:t>
            </w:r>
            <w:r>
              <w:rPr>
                <w:rFonts w:ascii="仿宋" w:hAnsi="仿宋" w:eastAsia="仿宋" w:cs="仿宋"/>
                <w:spacing w:val="-9"/>
                <w14:textOutline w14:w="3810" w14:cap="flat" w14:cmpd="sng">
                  <w14:solidFill>
                    <w14:srgbClr w14:val="000000"/>
                  </w14:solidFill>
                  <w14:prstDash w14:val="solid"/>
                  <w14:miter w14:val="0"/>
                </w14:textOutline>
              </w:rPr>
              <w:t>（</w:t>
            </w:r>
            <w:r>
              <w:rPr>
                <w:b/>
                <w:bCs/>
                <w:spacing w:val="-9"/>
              </w:rPr>
              <w:t>m</w:t>
            </w:r>
            <w:r>
              <w:rPr>
                <w:rFonts w:ascii="仿宋" w:hAnsi="仿宋" w:eastAsia="仿宋" w:cs="仿宋"/>
                <w:spacing w:val="-9"/>
                <w14:textOutline w14:w="3810" w14:cap="flat" w14:cmpd="sng">
                  <w14:solidFill>
                    <w14:srgbClr w14:val="000000"/>
                  </w14:solidFill>
                  <w14:prstDash w14:val="solid"/>
                  <w14:miter w14:val="0"/>
                </w14:textOutline>
              </w:rPr>
              <w:t>）</w:t>
            </w:r>
          </w:p>
        </w:tc>
        <w:tc>
          <w:tcPr>
            <w:tcW w:w="814" w:type="dxa"/>
            <w:tcBorders>
              <w:top w:val="single" w:color="000000" w:sz="12" w:space="0"/>
            </w:tcBorders>
            <w:vAlign w:val="top"/>
          </w:tcPr>
          <w:p>
            <w:pPr>
              <w:pStyle w:val="6"/>
              <w:spacing w:before="165" w:line="242" w:lineRule="auto"/>
              <w:ind w:left="120" w:right="119" w:firstLine="88"/>
              <w:jc w:val="both"/>
              <w:rPr>
                <w:rFonts w:ascii="仿宋" w:hAnsi="仿宋" w:eastAsia="仿宋" w:cs="仿宋"/>
              </w:rPr>
            </w:pPr>
            <w:r>
              <w:rPr>
                <w:rFonts w:ascii="仿宋" w:hAnsi="仿宋" w:eastAsia="仿宋" w:cs="仿宋"/>
                <w:spacing w:val="-7"/>
                <w14:textOutline w14:w="3810" w14:cap="flat" w14:cmpd="sng">
                  <w14:solidFill>
                    <w14:srgbClr w14:val="000000"/>
                  </w14:solidFill>
                  <w14:prstDash w14:val="solid"/>
                  <w14:miter w14:val="0"/>
                </w14:textOutline>
              </w:rPr>
              <w:t>堆渣</w:t>
            </w:r>
            <w:r>
              <w:rPr>
                <w:rFonts w:ascii="仿宋" w:hAnsi="仿宋" w:eastAsia="仿宋" w:cs="仿宋"/>
              </w:rPr>
              <w:t xml:space="preserve"> </w:t>
            </w:r>
            <w:r>
              <w:rPr>
                <w:rFonts w:ascii="仿宋" w:hAnsi="仿宋" w:eastAsia="仿宋" w:cs="仿宋"/>
                <w:spacing w:val="37"/>
                <w14:textOutline w14:w="3810" w14:cap="flat" w14:cmpd="sng">
                  <w14:solidFill>
                    <w14:srgbClr w14:val="000000"/>
                  </w14:solidFill>
                  <w14:prstDash w14:val="solid"/>
                  <w14:miter w14:val="0"/>
                </w14:textOutline>
              </w:rPr>
              <w:t>高度</w:t>
            </w:r>
            <w:r>
              <w:rPr>
                <w:rFonts w:ascii="仿宋" w:hAnsi="仿宋" w:eastAsia="仿宋" w:cs="仿宋"/>
              </w:rPr>
              <w:t xml:space="preserve"> </w:t>
            </w:r>
            <w:r>
              <w:rPr>
                <w:rFonts w:ascii="仿宋" w:hAnsi="仿宋" w:eastAsia="仿宋" w:cs="仿宋"/>
                <w:spacing w:val="-9"/>
                <w14:textOutline w14:w="3810" w14:cap="flat" w14:cmpd="sng">
                  <w14:solidFill>
                    <w14:srgbClr w14:val="000000"/>
                  </w14:solidFill>
                  <w14:prstDash w14:val="solid"/>
                  <w14:miter w14:val="0"/>
                </w14:textOutline>
              </w:rPr>
              <w:t>（</w:t>
            </w:r>
            <w:r>
              <w:rPr>
                <w:b/>
                <w:bCs/>
                <w:spacing w:val="-9"/>
              </w:rPr>
              <w:t>m</w:t>
            </w:r>
            <w:r>
              <w:rPr>
                <w:rFonts w:ascii="仿宋" w:hAnsi="仿宋" w:eastAsia="仿宋" w:cs="仿宋"/>
                <w:spacing w:val="-9"/>
                <w14:textOutline w14:w="3810" w14:cap="flat" w14:cmpd="sng">
                  <w14:solidFill>
                    <w14:srgbClr w14:val="000000"/>
                  </w14:solidFill>
                  <w14:prstDash w14:val="solid"/>
                  <w14:miter w14:val="0"/>
                </w14:textOutline>
              </w:rPr>
              <w:t>）</w:t>
            </w:r>
          </w:p>
        </w:tc>
        <w:tc>
          <w:tcPr>
            <w:tcW w:w="1170" w:type="dxa"/>
            <w:tcBorders>
              <w:top w:val="single" w:color="000000" w:sz="12" w:space="0"/>
            </w:tcBorders>
            <w:vAlign w:val="top"/>
          </w:tcPr>
          <w:p>
            <w:pPr>
              <w:spacing w:line="368" w:lineRule="auto"/>
              <w:rPr>
                <w:rFonts w:ascii="Arial"/>
                <w:sz w:val="21"/>
              </w:rPr>
            </w:pPr>
          </w:p>
          <w:p>
            <w:pPr>
              <w:spacing w:before="68" w:line="217" w:lineRule="auto"/>
              <w:ind w:left="17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堆渣范围</w:t>
            </w:r>
          </w:p>
        </w:tc>
        <w:tc>
          <w:tcPr>
            <w:tcW w:w="804" w:type="dxa"/>
            <w:tcBorders>
              <w:top w:val="single" w:color="000000" w:sz="12" w:space="0"/>
            </w:tcBorders>
            <w:vAlign w:val="top"/>
          </w:tcPr>
          <w:p>
            <w:pPr>
              <w:spacing w:before="304" w:line="239" w:lineRule="auto"/>
              <w:ind w:left="20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堆渣</w:t>
            </w:r>
          </w:p>
          <w:p>
            <w:pPr>
              <w:spacing w:line="218" w:lineRule="auto"/>
              <w:ind w:left="20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坡比</w:t>
            </w:r>
          </w:p>
        </w:tc>
        <w:tc>
          <w:tcPr>
            <w:tcW w:w="1711" w:type="dxa"/>
            <w:tcBorders>
              <w:top w:val="single" w:color="000000" w:sz="12" w:space="0"/>
              <w:right w:val="nil"/>
            </w:tcBorders>
            <w:vAlign w:val="top"/>
          </w:tcPr>
          <w:p>
            <w:pPr>
              <w:spacing w:line="369" w:lineRule="auto"/>
              <w:rPr>
                <w:rFonts w:ascii="Arial"/>
                <w:sz w:val="21"/>
              </w:rPr>
            </w:pPr>
          </w:p>
          <w:p>
            <w:pPr>
              <w:spacing w:before="68" w:line="217" w:lineRule="auto"/>
              <w:ind w:left="45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弃渣来源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2" w:hRule="atLeast"/>
        </w:trPr>
        <w:tc>
          <w:tcPr>
            <w:tcW w:w="926" w:type="dxa"/>
            <w:tcBorders>
              <w:left w:val="nil"/>
            </w:tcBorders>
            <w:vAlign w:val="top"/>
          </w:tcPr>
          <w:p>
            <w:pPr>
              <w:spacing w:line="372" w:lineRule="auto"/>
              <w:rPr>
                <w:rFonts w:ascii="Arial"/>
                <w:sz w:val="21"/>
              </w:rPr>
            </w:pPr>
          </w:p>
          <w:p>
            <w:pPr>
              <w:pStyle w:val="6"/>
              <w:spacing w:before="68" w:line="239" w:lineRule="auto"/>
              <w:ind w:left="220"/>
              <w:rPr>
                <w:rFonts w:ascii="仿宋" w:hAnsi="仿宋" w:eastAsia="仿宋" w:cs="仿宋"/>
              </w:rPr>
            </w:pPr>
            <w:r>
              <w:rPr>
                <w:spacing w:val="-8"/>
              </w:rPr>
              <w:t>8</w:t>
            </w:r>
            <w:r>
              <w:rPr>
                <w:rFonts w:ascii="仿宋" w:hAnsi="仿宋" w:eastAsia="仿宋" w:cs="仿宋"/>
                <w:spacing w:val="-8"/>
              </w:rPr>
              <w:t>＃弃</w:t>
            </w:r>
          </w:p>
          <w:p>
            <w:pPr>
              <w:spacing w:line="218" w:lineRule="auto"/>
              <w:ind w:left="275"/>
              <w:rPr>
                <w:rFonts w:ascii="仿宋" w:hAnsi="仿宋" w:eastAsia="仿宋" w:cs="仿宋"/>
                <w:sz w:val="21"/>
                <w:szCs w:val="21"/>
              </w:rPr>
            </w:pPr>
            <w:r>
              <w:rPr>
                <w:rFonts w:ascii="仿宋" w:hAnsi="仿宋" w:eastAsia="仿宋" w:cs="仿宋"/>
                <w:spacing w:val="-4"/>
                <w:sz w:val="21"/>
                <w:szCs w:val="21"/>
              </w:rPr>
              <w:t>渣场</w:t>
            </w:r>
          </w:p>
        </w:tc>
        <w:tc>
          <w:tcPr>
            <w:tcW w:w="2736" w:type="dxa"/>
            <w:vAlign w:val="top"/>
          </w:tcPr>
          <w:p>
            <w:pPr>
              <w:spacing w:line="253" w:lineRule="auto"/>
              <w:rPr>
                <w:rFonts w:ascii="Arial"/>
                <w:sz w:val="21"/>
              </w:rPr>
            </w:pPr>
          </w:p>
          <w:p>
            <w:pPr>
              <w:spacing w:line="254" w:lineRule="auto"/>
              <w:rPr>
                <w:rFonts w:ascii="Arial"/>
                <w:sz w:val="21"/>
              </w:rPr>
            </w:pPr>
          </w:p>
          <w:p>
            <w:pPr>
              <w:spacing w:before="68" w:line="217" w:lineRule="auto"/>
              <w:ind w:left="121"/>
              <w:rPr>
                <w:rFonts w:ascii="仿宋" w:hAnsi="仿宋" w:eastAsia="仿宋" w:cs="仿宋"/>
                <w:sz w:val="21"/>
                <w:szCs w:val="21"/>
              </w:rPr>
            </w:pPr>
            <w:r>
              <w:rPr>
                <w:rFonts w:ascii="仿宋" w:hAnsi="仿宋" w:eastAsia="仿宋" w:cs="仿宋"/>
                <w:spacing w:val="-2"/>
                <w:sz w:val="21"/>
                <w:szCs w:val="21"/>
              </w:rPr>
              <w:t>六姑乍箐隧洞出口附近箐沟</w:t>
            </w:r>
          </w:p>
        </w:tc>
        <w:tc>
          <w:tcPr>
            <w:tcW w:w="1007" w:type="dxa"/>
            <w:vAlign w:val="top"/>
          </w:tcPr>
          <w:p>
            <w:pPr>
              <w:spacing w:line="253" w:lineRule="auto"/>
              <w:rPr>
                <w:rFonts w:ascii="Arial"/>
                <w:sz w:val="21"/>
              </w:rPr>
            </w:pPr>
          </w:p>
          <w:p>
            <w:pPr>
              <w:spacing w:line="254" w:lineRule="auto"/>
              <w:rPr>
                <w:rFonts w:ascii="Arial"/>
                <w:sz w:val="21"/>
              </w:rPr>
            </w:pPr>
          </w:p>
          <w:p>
            <w:pPr>
              <w:spacing w:before="68"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spacing w:line="275" w:lineRule="auto"/>
              <w:rPr>
                <w:rFonts w:ascii="Arial"/>
                <w:sz w:val="21"/>
              </w:rPr>
            </w:pPr>
          </w:p>
          <w:p>
            <w:pPr>
              <w:spacing w:line="276" w:lineRule="auto"/>
              <w:rPr>
                <w:rFonts w:ascii="Arial"/>
                <w:sz w:val="21"/>
              </w:rPr>
            </w:pPr>
          </w:p>
          <w:p>
            <w:pPr>
              <w:pStyle w:val="6"/>
              <w:spacing w:before="61" w:line="188" w:lineRule="auto"/>
              <w:ind w:left="407"/>
            </w:pPr>
            <w:r>
              <w:rPr>
                <w:spacing w:val="-6"/>
              </w:rPr>
              <w:t>1.07</w:t>
            </w:r>
          </w:p>
        </w:tc>
        <w:tc>
          <w:tcPr>
            <w:tcW w:w="636" w:type="dxa"/>
            <w:vAlign w:val="top"/>
          </w:tcPr>
          <w:p>
            <w:pPr>
              <w:spacing w:before="305" w:line="233" w:lineRule="auto"/>
              <w:ind w:left="120" w:right="104" w:hanging="3"/>
              <w:rPr>
                <w:rFonts w:ascii="仿宋" w:hAnsi="仿宋" w:eastAsia="仿宋" w:cs="仿宋"/>
                <w:sz w:val="21"/>
                <w:szCs w:val="21"/>
              </w:rPr>
            </w:pPr>
            <w:r>
              <w:rPr>
                <w:rFonts w:ascii="仿宋" w:hAnsi="仿宋" w:eastAsia="仿宋" w:cs="仿宋"/>
                <w:spacing w:val="-6"/>
                <w:sz w:val="21"/>
                <w:szCs w:val="21"/>
              </w:rPr>
              <w:t>有林</w:t>
            </w:r>
            <w:r>
              <w:rPr>
                <w:rFonts w:ascii="仿宋" w:hAnsi="仿宋" w:eastAsia="仿宋" w:cs="仿宋"/>
                <w:sz w:val="21"/>
                <w:szCs w:val="21"/>
              </w:rPr>
              <w:t xml:space="preserve"> </w:t>
            </w:r>
            <w:r>
              <w:rPr>
                <w:rFonts w:ascii="仿宋" w:hAnsi="仿宋" w:eastAsia="仿宋" w:cs="仿宋"/>
                <w:spacing w:val="-8"/>
                <w:sz w:val="21"/>
                <w:szCs w:val="21"/>
              </w:rPr>
              <w:t>地、</w:t>
            </w:r>
            <w:r>
              <w:rPr>
                <w:rFonts w:ascii="仿宋" w:hAnsi="仿宋" w:eastAsia="仿宋" w:cs="仿宋"/>
                <w:sz w:val="21"/>
                <w:szCs w:val="21"/>
              </w:rPr>
              <w:t xml:space="preserve"> </w:t>
            </w:r>
            <w:r>
              <w:rPr>
                <w:rFonts w:ascii="仿宋" w:hAnsi="仿宋" w:eastAsia="仿宋" w:cs="仿宋"/>
                <w:spacing w:val="-8"/>
                <w:sz w:val="21"/>
                <w:szCs w:val="21"/>
              </w:rPr>
              <w:t>园地</w:t>
            </w:r>
          </w:p>
        </w:tc>
        <w:tc>
          <w:tcPr>
            <w:tcW w:w="1287" w:type="dxa"/>
            <w:vAlign w:val="top"/>
          </w:tcPr>
          <w:p>
            <w:pPr>
              <w:spacing w:line="275" w:lineRule="auto"/>
              <w:rPr>
                <w:rFonts w:ascii="Arial"/>
                <w:sz w:val="21"/>
              </w:rPr>
            </w:pPr>
          </w:p>
          <w:p>
            <w:pPr>
              <w:spacing w:line="276" w:lineRule="auto"/>
              <w:rPr>
                <w:rFonts w:ascii="Arial"/>
                <w:sz w:val="21"/>
              </w:rPr>
            </w:pPr>
          </w:p>
          <w:p>
            <w:pPr>
              <w:pStyle w:val="6"/>
              <w:spacing w:before="61" w:line="188" w:lineRule="auto"/>
              <w:ind w:left="465"/>
            </w:pPr>
            <w:r>
              <w:rPr>
                <w:spacing w:val="-3"/>
              </w:rPr>
              <w:t>6.46</w:t>
            </w:r>
          </w:p>
        </w:tc>
        <w:tc>
          <w:tcPr>
            <w:tcW w:w="974" w:type="dxa"/>
            <w:vAlign w:val="top"/>
          </w:tcPr>
          <w:p>
            <w:pPr>
              <w:spacing w:line="275" w:lineRule="auto"/>
              <w:rPr>
                <w:rFonts w:ascii="Arial"/>
                <w:sz w:val="21"/>
              </w:rPr>
            </w:pPr>
          </w:p>
          <w:p>
            <w:pPr>
              <w:spacing w:line="276" w:lineRule="auto"/>
              <w:rPr>
                <w:rFonts w:ascii="Arial"/>
                <w:sz w:val="21"/>
              </w:rPr>
            </w:pPr>
          </w:p>
          <w:p>
            <w:pPr>
              <w:pStyle w:val="6"/>
              <w:spacing w:before="61" w:line="188" w:lineRule="auto"/>
              <w:ind w:left="308"/>
            </w:pPr>
            <w:r>
              <w:rPr>
                <w:spacing w:val="-2"/>
              </w:rPr>
              <w:t>3.69</w:t>
            </w:r>
          </w:p>
        </w:tc>
        <w:tc>
          <w:tcPr>
            <w:tcW w:w="812" w:type="dxa"/>
            <w:vAlign w:val="top"/>
          </w:tcPr>
          <w:p>
            <w:pPr>
              <w:spacing w:line="277" w:lineRule="auto"/>
              <w:rPr>
                <w:rFonts w:ascii="Arial"/>
                <w:sz w:val="21"/>
              </w:rPr>
            </w:pPr>
          </w:p>
          <w:p>
            <w:pPr>
              <w:spacing w:line="277" w:lineRule="auto"/>
              <w:rPr>
                <w:rFonts w:ascii="Arial"/>
                <w:sz w:val="21"/>
              </w:rPr>
            </w:pPr>
          </w:p>
          <w:p>
            <w:pPr>
              <w:pStyle w:val="6"/>
              <w:spacing w:before="61" w:line="185" w:lineRule="auto"/>
              <w:ind w:left="361"/>
            </w:pPr>
            <w:r>
              <w:t>5</w:t>
            </w:r>
          </w:p>
        </w:tc>
        <w:tc>
          <w:tcPr>
            <w:tcW w:w="814" w:type="dxa"/>
            <w:vAlign w:val="top"/>
          </w:tcPr>
          <w:p>
            <w:pPr>
              <w:spacing w:line="275" w:lineRule="auto"/>
              <w:rPr>
                <w:rFonts w:ascii="Arial"/>
                <w:sz w:val="21"/>
              </w:rPr>
            </w:pPr>
          </w:p>
          <w:p>
            <w:pPr>
              <w:spacing w:line="276" w:lineRule="auto"/>
              <w:rPr>
                <w:rFonts w:ascii="Arial"/>
                <w:sz w:val="21"/>
              </w:rPr>
            </w:pPr>
          </w:p>
          <w:p>
            <w:pPr>
              <w:pStyle w:val="6"/>
              <w:spacing w:before="61" w:line="188" w:lineRule="auto"/>
              <w:ind w:left="308"/>
            </w:pPr>
            <w:r>
              <w:rPr>
                <w:spacing w:val="-3"/>
              </w:rPr>
              <w:t>35</w:t>
            </w:r>
          </w:p>
        </w:tc>
        <w:tc>
          <w:tcPr>
            <w:tcW w:w="1170" w:type="dxa"/>
            <w:vAlign w:val="top"/>
          </w:tcPr>
          <w:p>
            <w:pPr>
              <w:spacing w:line="275" w:lineRule="auto"/>
              <w:rPr>
                <w:rFonts w:ascii="Arial"/>
                <w:sz w:val="21"/>
              </w:rPr>
            </w:pPr>
          </w:p>
          <w:p>
            <w:pPr>
              <w:spacing w:line="276" w:lineRule="auto"/>
              <w:rPr>
                <w:rFonts w:ascii="Arial"/>
                <w:sz w:val="21"/>
              </w:rPr>
            </w:pPr>
          </w:p>
          <w:p>
            <w:pPr>
              <w:pStyle w:val="6"/>
              <w:spacing w:before="61" w:line="188" w:lineRule="auto"/>
              <w:ind w:left="109"/>
            </w:pPr>
            <w:r>
              <w:rPr>
                <w:spacing w:val="-1"/>
              </w:rPr>
              <w:t>2010~2045</w:t>
            </w:r>
          </w:p>
        </w:tc>
        <w:tc>
          <w:tcPr>
            <w:tcW w:w="804" w:type="dxa"/>
            <w:vAlign w:val="top"/>
          </w:tcPr>
          <w:p>
            <w:pPr>
              <w:spacing w:line="275" w:lineRule="auto"/>
              <w:rPr>
                <w:rFonts w:ascii="Arial"/>
                <w:sz w:val="21"/>
              </w:rPr>
            </w:pPr>
          </w:p>
          <w:p>
            <w:pPr>
              <w:spacing w:line="275" w:lineRule="auto"/>
              <w:rPr>
                <w:rFonts w:ascii="Arial"/>
                <w:sz w:val="21"/>
              </w:rPr>
            </w:pPr>
          </w:p>
          <w:p>
            <w:pPr>
              <w:pStyle w:val="6"/>
              <w:spacing w:before="60" w:line="200" w:lineRule="auto"/>
              <w:ind w:left="210"/>
            </w:pPr>
            <w:r>
              <w:rPr>
                <w:spacing w:val="-5"/>
              </w:rPr>
              <w:t>1;2.5</w:t>
            </w:r>
          </w:p>
        </w:tc>
        <w:tc>
          <w:tcPr>
            <w:tcW w:w="1711" w:type="dxa"/>
            <w:tcBorders>
              <w:right w:val="nil"/>
            </w:tcBorders>
            <w:vAlign w:val="top"/>
          </w:tcPr>
          <w:p>
            <w:pPr>
              <w:spacing w:before="32" w:line="232" w:lineRule="auto"/>
              <w:ind w:left="118" w:right="133" w:firstLine="2"/>
              <w:jc w:val="both"/>
              <w:rPr>
                <w:rFonts w:ascii="仿宋" w:hAnsi="仿宋" w:eastAsia="仿宋" w:cs="仿宋"/>
                <w:sz w:val="21"/>
                <w:szCs w:val="21"/>
              </w:rPr>
            </w:pPr>
            <w:r>
              <w:rPr>
                <w:rFonts w:ascii="仿宋" w:hAnsi="仿宋" w:eastAsia="仿宋" w:cs="仿宋"/>
                <w:spacing w:val="-3"/>
                <w:sz w:val="21"/>
                <w:szCs w:val="21"/>
              </w:rPr>
              <w:t>六姑乍输水隧洞</w:t>
            </w:r>
            <w:r>
              <w:rPr>
                <w:rFonts w:ascii="仿宋" w:hAnsi="仿宋" w:eastAsia="仿宋" w:cs="仿宋"/>
                <w:spacing w:val="4"/>
                <w:sz w:val="21"/>
                <w:szCs w:val="21"/>
              </w:rPr>
              <w:t xml:space="preserve"> </w:t>
            </w:r>
            <w:r>
              <w:rPr>
                <w:rFonts w:ascii="仿宋" w:hAnsi="仿宋" w:eastAsia="仿宋" w:cs="仿宋"/>
                <w:spacing w:val="-2"/>
                <w:sz w:val="21"/>
                <w:szCs w:val="21"/>
              </w:rPr>
              <w:t>出口、昔木乍取</w:t>
            </w:r>
            <w:r>
              <w:rPr>
                <w:rFonts w:ascii="仿宋" w:hAnsi="仿宋" w:eastAsia="仿宋" w:cs="仿宋"/>
                <w:sz w:val="21"/>
                <w:szCs w:val="21"/>
              </w:rPr>
              <w:t xml:space="preserve"> </w:t>
            </w:r>
            <w:r>
              <w:rPr>
                <w:rFonts w:ascii="仿宋" w:hAnsi="仿宋" w:eastAsia="仿宋" w:cs="仿宋"/>
                <w:spacing w:val="-2"/>
                <w:sz w:val="21"/>
                <w:szCs w:val="21"/>
              </w:rPr>
              <w:t>水坝、昔木乍引</w:t>
            </w:r>
            <w:r>
              <w:rPr>
                <w:rFonts w:ascii="仿宋" w:hAnsi="仿宋" w:eastAsia="仿宋" w:cs="仿宋"/>
                <w:sz w:val="21"/>
                <w:szCs w:val="21"/>
              </w:rPr>
              <w:t xml:space="preserve"> </w:t>
            </w:r>
            <w:r>
              <w:rPr>
                <w:rFonts w:ascii="仿宋" w:hAnsi="仿宋" w:eastAsia="仿宋" w:cs="仿宋"/>
                <w:spacing w:val="-2"/>
                <w:sz w:val="21"/>
                <w:szCs w:val="21"/>
              </w:rPr>
              <w:t>洪沟、六姑乍箐</w:t>
            </w:r>
            <w:r>
              <w:rPr>
                <w:rFonts w:ascii="仿宋" w:hAnsi="仿宋" w:eastAsia="仿宋" w:cs="仿宋"/>
                <w:sz w:val="21"/>
                <w:szCs w:val="21"/>
              </w:rPr>
              <w:t xml:space="preserve"> </w:t>
            </w:r>
            <w:r>
              <w:rPr>
                <w:rFonts w:ascii="仿宋" w:hAnsi="仿宋" w:eastAsia="仿宋" w:cs="仿宋"/>
                <w:spacing w:val="-2"/>
                <w:sz w:val="21"/>
                <w:szCs w:val="21"/>
              </w:rPr>
              <w:t>隧洞出口弃渣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634" w:hRule="atLeast"/>
        </w:trPr>
        <w:tc>
          <w:tcPr>
            <w:tcW w:w="926" w:type="dxa"/>
            <w:tcBorders>
              <w:left w:val="nil"/>
            </w:tcBorders>
            <w:vAlign w:val="top"/>
          </w:tcPr>
          <w:p>
            <w:pPr>
              <w:spacing w:line="256" w:lineRule="auto"/>
              <w:rPr>
                <w:rFonts w:ascii="Arial"/>
                <w:sz w:val="21"/>
              </w:rPr>
            </w:pPr>
          </w:p>
          <w:p>
            <w:pPr>
              <w:spacing w:line="256" w:lineRule="auto"/>
              <w:rPr>
                <w:rFonts w:ascii="Arial"/>
                <w:sz w:val="21"/>
              </w:rPr>
            </w:pPr>
          </w:p>
          <w:p>
            <w:pPr>
              <w:pStyle w:val="6"/>
              <w:spacing w:before="68"/>
              <w:ind w:left="216"/>
              <w:rPr>
                <w:rFonts w:ascii="仿宋" w:hAnsi="仿宋" w:eastAsia="仿宋" w:cs="仿宋"/>
              </w:rPr>
            </w:pPr>
            <w:r>
              <w:rPr>
                <w:spacing w:val="-6"/>
              </w:rPr>
              <w:t>9</w:t>
            </w:r>
            <w:r>
              <w:rPr>
                <w:rFonts w:ascii="仿宋" w:hAnsi="仿宋" w:eastAsia="仿宋" w:cs="仿宋"/>
                <w:spacing w:val="-6"/>
              </w:rPr>
              <w:t>＃弃</w:t>
            </w:r>
          </w:p>
          <w:p>
            <w:pPr>
              <w:spacing w:line="218" w:lineRule="auto"/>
              <w:ind w:left="275"/>
              <w:rPr>
                <w:rFonts w:ascii="仿宋" w:hAnsi="仿宋" w:eastAsia="仿宋" w:cs="仿宋"/>
                <w:sz w:val="21"/>
                <w:szCs w:val="21"/>
              </w:rPr>
            </w:pPr>
            <w:r>
              <w:rPr>
                <w:rFonts w:ascii="仿宋" w:hAnsi="仿宋" w:eastAsia="仿宋" w:cs="仿宋"/>
                <w:spacing w:val="-4"/>
                <w:sz w:val="21"/>
                <w:szCs w:val="21"/>
              </w:rPr>
              <w:t>渣场</w:t>
            </w:r>
          </w:p>
        </w:tc>
        <w:tc>
          <w:tcPr>
            <w:tcW w:w="2736" w:type="dxa"/>
            <w:vAlign w:val="top"/>
          </w:tcPr>
          <w:p>
            <w:pPr>
              <w:spacing w:line="323" w:lineRule="auto"/>
              <w:rPr>
                <w:rFonts w:ascii="Arial"/>
                <w:sz w:val="21"/>
              </w:rPr>
            </w:pPr>
          </w:p>
          <w:p>
            <w:pPr>
              <w:spacing w:line="324" w:lineRule="auto"/>
              <w:rPr>
                <w:rFonts w:ascii="Arial"/>
                <w:sz w:val="21"/>
              </w:rPr>
            </w:pPr>
          </w:p>
          <w:p>
            <w:pPr>
              <w:spacing w:before="69" w:line="217" w:lineRule="auto"/>
              <w:ind w:left="119"/>
              <w:rPr>
                <w:rFonts w:ascii="仿宋" w:hAnsi="仿宋" w:eastAsia="仿宋" w:cs="仿宋"/>
                <w:sz w:val="21"/>
                <w:szCs w:val="21"/>
              </w:rPr>
            </w:pPr>
            <w:r>
              <w:rPr>
                <w:rFonts w:ascii="仿宋" w:hAnsi="仿宋" w:eastAsia="仿宋" w:cs="仿宋"/>
                <w:spacing w:val="-2"/>
                <w:sz w:val="21"/>
                <w:szCs w:val="21"/>
              </w:rPr>
              <w:t>独格里排隧洞进口附近箐沟</w:t>
            </w:r>
          </w:p>
        </w:tc>
        <w:tc>
          <w:tcPr>
            <w:tcW w:w="1007" w:type="dxa"/>
            <w:vAlign w:val="top"/>
          </w:tcPr>
          <w:p>
            <w:pPr>
              <w:spacing w:line="323" w:lineRule="auto"/>
              <w:rPr>
                <w:rFonts w:ascii="Arial"/>
                <w:sz w:val="21"/>
              </w:rPr>
            </w:pPr>
          </w:p>
          <w:p>
            <w:pPr>
              <w:spacing w:line="324" w:lineRule="auto"/>
              <w:rPr>
                <w:rFonts w:ascii="Arial"/>
                <w:sz w:val="21"/>
              </w:rPr>
            </w:pPr>
          </w:p>
          <w:p>
            <w:pPr>
              <w:spacing w:before="68"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spacing w:line="345" w:lineRule="auto"/>
              <w:rPr>
                <w:rFonts w:ascii="Arial"/>
                <w:sz w:val="21"/>
              </w:rPr>
            </w:pPr>
          </w:p>
          <w:p>
            <w:pPr>
              <w:spacing w:line="346" w:lineRule="auto"/>
              <w:rPr>
                <w:rFonts w:ascii="Arial"/>
                <w:sz w:val="21"/>
              </w:rPr>
            </w:pPr>
          </w:p>
          <w:p>
            <w:pPr>
              <w:pStyle w:val="6"/>
              <w:spacing w:before="61" w:line="188" w:lineRule="auto"/>
              <w:ind w:left="407"/>
            </w:pPr>
            <w:r>
              <w:rPr>
                <w:spacing w:val="-6"/>
              </w:rPr>
              <w:t>1.10</w:t>
            </w:r>
          </w:p>
        </w:tc>
        <w:tc>
          <w:tcPr>
            <w:tcW w:w="636" w:type="dxa"/>
            <w:vAlign w:val="top"/>
          </w:tcPr>
          <w:p>
            <w:pPr>
              <w:spacing w:line="323" w:lineRule="auto"/>
              <w:rPr>
                <w:rFonts w:ascii="Arial"/>
                <w:sz w:val="21"/>
              </w:rPr>
            </w:pPr>
          </w:p>
          <w:p>
            <w:pPr>
              <w:spacing w:line="324" w:lineRule="auto"/>
              <w:rPr>
                <w:rFonts w:ascii="Arial"/>
                <w:sz w:val="21"/>
              </w:rPr>
            </w:pPr>
          </w:p>
          <w:p>
            <w:pPr>
              <w:spacing w:before="68" w:line="218" w:lineRule="auto"/>
              <w:ind w:left="123"/>
              <w:rPr>
                <w:rFonts w:ascii="仿宋" w:hAnsi="仿宋" w:eastAsia="仿宋" w:cs="仿宋"/>
                <w:sz w:val="21"/>
                <w:szCs w:val="21"/>
              </w:rPr>
            </w:pPr>
            <w:r>
              <w:rPr>
                <w:rFonts w:ascii="仿宋" w:hAnsi="仿宋" w:eastAsia="仿宋" w:cs="仿宋"/>
                <w:spacing w:val="-5"/>
                <w:sz w:val="21"/>
                <w:szCs w:val="21"/>
              </w:rPr>
              <w:t>旱地</w:t>
            </w:r>
          </w:p>
        </w:tc>
        <w:tc>
          <w:tcPr>
            <w:tcW w:w="1287" w:type="dxa"/>
            <w:vAlign w:val="top"/>
          </w:tcPr>
          <w:p>
            <w:pPr>
              <w:spacing w:line="345" w:lineRule="auto"/>
              <w:rPr>
                <w:rFonts w:ascii="Arial"/>
                <w:sz w:val="21"/>
              </w:rPr>
            </w:pPr>
          </w:p>
          <w:p>
            <w:pPr>
              <w:spacing w:line="346" w:lineRule="auto"/>
              <w:rPr>
                <w:rFonts w:ascii="Arial"/>
                <w:sz w:val="21"/>
              </w:rPr>
            </w:pPr>
          </w:p>
          <w:p>
            <w:pPr>
              <w:pStyle w:val="6"/>
              <w:spacing w:before="61" w:line="188" w:lineRule="auto"/>
              <w:ind w:left="459"/>
            </w:pPr>
            <w:r>
              <w:rPr>
                <w:spacing w:val="-1"/>
              </w:rPr>
              <w:t>4.42</w:t>
            </w:r>
          </w:p>
        </w:tc>
        <w:tc>
          <w:tcPr>
            <w:tcW w:w="974" w:type="dxa"/>
            <w:vAlign w:val="top"/>
          </w:tcPr>
          <w:p>
            <w:pPr>
              <w:spacing w:line="345" w:lineRule="auto"/>
              <w:rPr>
                <w:rFonts w:ascii="Arial"/>
                <w:sz w:val="21"/>
              </w:rPr>
            </w:pPr>
          </w:p>
          <w:p>
            <w:pPr>
              <w:spacing w:line="346" w:lineRule="auto"/>
              <w:rPr>
                <w:rFonts w:ascii="Arial"/>
                <w:sz w:val="21"/>
              </w:rPr>
            </w:pPr>
          </w:p>
          <w:p>
            <w:pPr>
              <w:pStyle w:val="6"/>
              <w:spacing w:before="61" w:line="188" w:lineRule="auto"/>
              <w:ind w:left="304"/>
            </w:pPr>
            <w:r>
              <w:rPr>
                <w:spacing w:val="-1"/>
              </w:rPr>
              <w:t>2.53</w:t>
            </w:r>
          </w:p>
        </w:tc>
        <w:tc>
          <w:tcPr>
            <w:tcW w:w="812" w:type="dxa"/>
            <w:vAlign w:val="top"/>
          </w:tcPr>
          <w:p>
            <w:pPr>
              <w:spacing w:line="347" w:lineRule="auto"/>
              <w:rPr>
                <w:rFonts w:ascii="Arial"/>
                <w:sz w:val="21"/>
              </w:rPr>
            </w:pPr>
          </w:p>
          <w:p>
            <w:pPr>
              <w:spacing w:line="347" w:lineRule="auto"/>
              <w:rPr>
                <w:rFonts w:ascii="Arial"/>
                <w:sz w:val="21"/>
              </w:rPr>
            </w:pPr>
          </w:p>
          <w:p>
            <w:pPr>
              <w:pStyle w:val="6"/>
              <w:spacing w:before="61" w:line="185" w:lineRule="auto"/>
              <w:ind w:left="361"/>
            </w:pPr>
            <w:r>
              <w:t>5</w:t>
            </w:r>
          </w:p>
        </w:tc>
        <w:tc>
          <w:tcPr>
            <w:tcW w:w="814" w:type="dxa"/>
            <w:vAlign w:val="top"/>
          </w:tcPr>
          <w:p>
            <w:pPr>
              <w:spacing w:line="345" w:lineRule="auto"/>
              <w:rPr>
                <w:rFonts w:ascii="Arial"/>
                <w:sz w:val="21"/>
              </w:rPr>
            </w:pPr>
          </w:p>
          <w:p>
            <w:pPr>
              <w:spacing w:line="346" w:lineRule="auto"/>
              <w:rPr>
                <w:rFonts w:ascii="Arial"/>
                <w:sz w:val="21"/>
              </w:rPr>
            </w:pPr>
          </w:p>
          <w:p>
            <w:pPr>
              <w:pStyle w:val="6"/>
              <w:spacing w:before="61" w:line="188" w:lineRule="auto"/>
              <w:ind w:left="308"/>
            </w:pPr>
            <w:r>
              <w:rPr>
                <w:spacing w:val="-3"/>
              </w:rPr>
              <w:t>35</w:t>
            </w:r>
          </w:p>
        </w:tc>
        <w:tc>
          <w:tcPr>
            <w:tcW w:w="1170" w:type="dxa"/>
            <w:vAlign w:val="top"/>
          </w:tcPr>
          <w:p>
            <w:pPr>
              <w:spacing w:line="345" w:lineRule="auto"/>
              <w:rPr>
                <w:rFonts w:ascii="Arial"/>
                <w:sz w:val="21"/>
              </w:rPr>
            </w:pPr>
          </w:p>
          <w:p>
            <w:pPr>
              <w:spacing w:line="346" w:lineRule="auto"/>
              <w:rPr>
                <w:rFonts w:ascii="Arial"/>
                <w:sz w:val="21"/>
              </w:rPr>
            </w:pPr>
          </w:p>
          <w:p>
            <w:pPr>
              <w:pStyle w:val="6"/>
              <w:spacing w:before="61" w:line="188" w:lineRule="auto"/>
              <w:ind w:left="109"/>
            </w:pPr>
            <w:r>
              <w:rPr>
                <w:spacing w:val="-1"/>
              </w:rPr>
              <w:t>2000~2035</w:t>
            </w:r>
          </w:p>
        </w:tc>
        <w:tc>
          <w:tcPr>
            <w:tcW w:w="804" w:type="dxa"/>
            <w:vAlign w:val="top"/>
          </w:tcPr>
          <w:p>
            <w:pPr>
              <w:spacing w:line="345" w:lineRule="auto"/>
              <w:rPr>
                <w:rFonts w:ascii="Arial"/>
                <w:sz w:val="21"/>
              </w:rPr>
            </w:pPr>
          </w:p>
          <w:p>
            <w:pPr>
              <w:spacing w:line="345" w:lineRule="auto"/>
              <w:rPr>
                <w:rFonts w:ascii="Arial"/>
                <w:sz w:val="21"/>
              </w:rPr>
            </w:pPr>
          </w:p>
          <w:p>
            <w:pPr>
              <w:pStyle w:val="6"/>
              <w:spacing w:before="60" w:line="200" w:lineRule="auto"/>
              <w:ind w:left="210"/>
            </w:pPr>
            <w:r>
              <w:rPr>
                <w:spacing w:val="-5"/>
              </w:rPr>
              <w:t>1;2.5</w:t>
            </w:r>
          </w:p>
        </w:tc>
        <w:tc>
          <w:tcPr>
            <w:tcW w:w="1711" w:type="dxa"/>
            <w:tcBorders>
              <w:right w:val="nil"/>
            </w:tcBorders>
            <w:vAlign w:val="top"/>
          </w:tcPr>
          <w:p>
            <w:pPr>
              <w:spacing w:before="40" w:line="232" w:lineRule="auto"/>
              <w:ind w:left="117" w:right="132" w:firstLine="3"/>
              <w:jc w:val="both"/>
              <w:rPr>
                <w:rFonts w:ascii="仿宋" w:hAnsi="仿宋" w:eastAsia="仿宋" w:cs="仿宋"/>
                <w:sz w:val="21"/>
                <w:szCs w:val="21"/>
              </w:rPr>
            </w:pPr>
            <w:r>
              <w:rPr>
                <w:rFonts w:ascii="仿宋" w:hAnsi="仿宋" w:eastAsia="仿宋" w:cs="仿宋"/>
                <w:spacing w:val="-3"/>
                <w:sz w:val="21"/>
                <w:szCs w:val="21"/>
              </w:rPr>
              <w:t>见簸箐输水隧洞</w:t>
            </w:r>
            <w:r>
              <w:rPr>
                <w:rFonts w:ascii="仿宋" w:hAnsi="仿宋" w:eastAsia="仿宋" w:cs="仿宋"/>
                <w:spacing w:val="4"/>
                <w:sz w:val="21"/>
                <w:szCs w:val="21"/>
              </w:rPr>
              <w:t xml:space="preserve"> </w:t>
            </w:r>
            <w:r>
              <w:rPr>
                <w:rFonts w:ascii="仿宋" w:hAnsi="仿宋" w:eastAsia="仿宋" w:cs="仿宋"/>
                <w:spacing w:val="-2"/>
                <w:sz w:val="21"/>
                <w:szCs w:val="21"/>
              </w:rPr>
              <w:t>出口、见簸箐取</w:t>
            </w:r>
            <w:r>
              <w:rPr>
                <w:rFonts w:ascii="仿宋" w:hAnsi="仿宋" w:eastAsia="仿宋" w:cs="仿宋"/>
                <w:sz w:val="21"/>
                <w:szCs w:val="21"/>
              </w:rPr>
              <w:t xml:space="preserve"> </w:t>
            </w:r>
            <w:r>
              <w:rPr>
                <w:rFonts w:ascii="仿宋" w:hAnsi="仿宋" w:eastAsia="仿宋" w:cs="仿宋"/>
                <w:spacing w:val="-2"/>
                <w:sz w:val="21"/>
                <w:szCs w:val="21"/>
              </w:rPr>
              <w:t>水坝、见簸箐引</w:t>
            </w:r>
            <w:r>
              <w:rPr>
                <w:rFonts w:ascii="仿宋" w:hAnsi="仿宋" w:eastAsia="仿宋" w:cs="仿宋"/>
                <w:sz w:val="21"/>
                <w:szCs w:val="21"/>
              </w:rPr>
              <w:t xml:space="preserve"> </w:t>
            </w:r>
            <w:r>
              <w:rPr>
                <w:rFonts w:ascii="仿宋" w:hAnsi="仿宋" w:eastAsia="仿宋" w:cs="仿宋"/>
                <w:spacing w:val="-2"/>
                <w:sz w:val="21"/>
                <w:szCs w:val="21"/>
              </w:rPr>
              <w:t>洪沟、下嘴子明</w:t>
            </w:r>
            <w:r>
              <w:rPr>
                <w:rFonts w:ascii="仿宋" w:hAnsi="仿宋" w:eastAsia="仿宋" w:cs="仿宋"/>
                <w:sz w:val="21"/>
                <w:szCs w:val="21"/>
              </w:rPr>
              <w:t xml:space="preserve"> </w:t>
            </w:r>
            <w:r>
              <w:rPr>
                <w:rFonts w:ascii="仿宋" w:hAnsi="仿宋" w:eastAsia="仿宋" w:cs="仿宋"/>
                <w:spacing w:val="-13"/>
                <w:sz w:val="21"/>
                <w:szCs w:val="21"/>
              </w:rPr>
              <w:t>渠、</w:t>
            </w:r>
            <w:r>
              <w:rPr>
                <w:rFonts w:ascii="仿宋" w:hAnsi="仿宋" w:eastAsia="仿宋" w:cs="仿宋"/>
                <w:spacing w:val="-27"/>
                <w:sz w:val="21"/>
                <w:szCs w:val="21"/>
              </w:rPr>
              <w:t xml:space="preserve"> </w:t>
            </w:r>
            <w:r>
              <w:rPr>
                <w:rFonts w:ascii="仿宋" w:hAnsi="仿宋" w:eastAsia="仿宋" w:cs="仿宋"/>
                <w:spacing w:val="-13"/>
                <w:sz w:val="21"/>
                <w:szCs w:val="21"/>
              </w:rPr>
              <w:t>独格里排隧</w:t>
            </w:r>
            <w:r>
              <w:rPr>
                <w:rFonts w:ascii="仿宋" w:hAnsi="仿宋" w:eastAsia="仿宋" w:cs="仿宋"/>
                <w:sz w:val="21"/>
                <w:szCs w:val="21"/>
              </w:rPr>
              <w:t xml:space="preserve"> </w:t>
            </w:r>
            <w:r>
              <w:rPr>
                <w:rFonts w:ascii="仿宋" w:hAnsi="仿宋" w:eastAsia="仿宋" w:cs="仿宋"/>
                <w:spacing w:val="-2"/>
                <w:sz w:val="21"/>
                <w:szCs w:val="21"/>
              </w:rPr>
              <w:t>洞进口弃渣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926" w:type="dxa"/>
            <w:tcBorders>
              <w:left w:val="nil"/>
            </w:tcBorders>
            <w:vAlign w:val="top"/>
          </w:tcPr>
          <w:p>
            <w:pPr>
              <w:pStyle w:val="6"/>
              <w:spacing w:before="181" w:line="229" w:lineRule="auto"/>
              <w:ind w:left="274" w:right="156" w:hanging="95"/>
              <w:rPr>
                <w:rFonts w:ascii="仿宋" w:hAnsi="仿宋" w:eastAsia="仿宋" w:cs="仿宋"/>
              </w:rPr>
            </w:pPr>
            <w:r>
              <w:rPr>
                <w:spacing w:val="-11"/>
              </w:rPr>
              <w:t>10</w:t>
            </w:r>
            <w:r>
              <w:rPr>
                <w:rFonts w:ascii="仿宋" w:hAnsi="仿宋" w:eastAsia="仿宋" w:cs="仿宋"/>
                <w:spacing w:val="-11"/>
              </w:rPr>
              <w:t>＃弃</w:t>
            </w:r>
            <w:r>
              <w:rPr>
                <w:rFonts w:ascii="仿宋" w:hAnsi="仿宋" w:eastAsia="仿宋" w:cs="仿宋"/>
              </w:rPr>
              <w:t xml:space="preserve"> </w:t>
            </w:r>
            <w:r>
              <w:rPr>
                <w:rFonts w:ascii="仿宋" w:hAnsi="仿宋" w:eastAsia="仿宋" w:cs="仿宋"/>
                <w:spacing w:val="-4"/>
              </w:rPr>
              <w:t>渣场</w:t>
            </w:r>
          </w:p>
        </w:tc>
        <w:tc>
          <w:tcPr>
            <w:tcW w:w="2736" w:type="dxa"/>
            <w:vAlign w:val="top"/>
          </w:tcPr>
          <w:p>
            <w:pPr>
              <w:spacing w:line="247" w:lineRule="auto"/>
              <w:rPr>
                <w:rFonts w:ascii="Arial"/>
                <w:sz w:val="21"/>
              </w:rPr>
            </w:pPr>
          </w:p>
          <w:p>
            <w:pPr>
              <w:spacing w:before="68" w:line="217" w:lineRule="auto"/>
              <w:ind w:left="119"/>
              <w:rPr>
                <w:rFonts w:ascii="仿宋" w:hAnsi="仿宋" w:eastAsia="仿宋" w:cs="仿宋"/>
                <w:sz w:val="21"/>
                <w:szCs w:val="21"/>
              </w:rPr>
            </w:pPr>
            <w:r>
              <w:rPr>
                <w:rFonts w:ascii="仿宋" w:hAnsi="仿宋" w:eastAsia="仿宋" w:cs="仿宋"/>
                <w:spacing w:val="-2"/>
                <w:sz w:val="21"/>
                <w:szCs w:val="21"/>
              </w:rPr>
              <w:t>独格里排隧洞出口附近箐沟</w:t>
            </w:r>
          </w:p>
        </w:tc>
        <w:tc>
          <w:tcPr>
            <w:tcW w:w="1007" w:type="dxa"/>
            <w:vAlign w:val="top"/>
          </w:tcPr>
          <w:p>
            <w:pPr>
              <w:spacing w:line="246" w:lineRule="auto"/>
              <w:rPr>
                <w:rFonts w:ascii="Arial"/>
                <w:sz w:val="21"/>
              </w:rPr>
            </w:pPr>
          </w:p>
          <w:p>
            <w:pPr>
              <w:spacing w:before="69"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spacing w:line="291" w:lineRule="auto"/>
              <w:rPr>
                <w:rFonts w:ascii="Arial"/>
                <w:sz w:val="21"/>
              </w:rPr>
            </w:pPr>
          </w:p>
          <w:p>
            <w:pPr>
              <w:pStyle w:val="6"/>
              <w:spacing w:before="60" w:line="188" w:lineRule="auto"/>
              <w:ind w:left="390"/>
            </w:pPr>
            <w:r>
              <w:rPr>
                <w:spacing w:val="-2"/>
              </w:rPr>
              <w:t>0.50</w:t>
            </w:r>
          </w:p>
        </w:tc>
        <w:tc>
          <w:tcPr>
            <w:tcW w:w="636" w:type="dxa"/>
            <w:vAlign w:val="top"/>
          </w:tcPr>
          <w:p>
            <w:pPr>
              <w:spacing w:before="181" w:line="218" w:lineRule="auto"/>
              <w:ind w:left="117"/>
              <w:rPr>
                <w:rFonts w:ascii="仿宋" w:hAnsi="仿宋" w:eastAsia="仿宋" w:cs="仿宋"/>
                <w:sz w:val="21"/>
                <w:szCs w:val="21"/>
              </w:rPr>
            </w:pPr>
            <w:r>
              <w:rPr>
                <w:rFonts w:ascii="仿宋" w:hAnsi="仿宋" w:eastAsia="仿宋" w:cs="仿宋"/>
                <w:spacing w:val="-3"/>
                <w:sz w:val="21"/>
                <w:szCs w:val="21"/>
              </w:rPr>
              <w:t>有林</w:t>
            </w:r>
          </w:p>
          <w:p>
            <w:pPr>
              <w:spacing w:before="24" w:line="227" w:lineRule="auto"/>
              <w:ind w:left="225"/>
              <w:rPr>
                <w:rFonts w:ascii="仿宋" w:hAnsi="仿宋" w:eastAsia="仿宋" w:cs="仿宋"/>
                <w:sz w:val="21"/>
                <w:szCs w:val="21"/>
              </w:rPr>
            </w:pPr>
            <w:r>
              <w:rPr>
                <w:rFonts w:ascii="仿宋" w:hAnsi="仿宋" w:eastAsia="仿宋" w:cs="仿宋"/>
                <w:sz w:val="21"/>
                <w:szCs w:val="21"/>
              </w:rPr>
              <w:t>地</w:t>
            </w:r>
          </w:p>
        </w:tc>
        <w:tc>
          <w:tcPr>
            <w:tcW w:w="1287" w:type="dxa"/>
            <w:vAlign w:val="top"/>
          </w:tcPr>
          <w:p>
            <w:pPr>
              <w:spacing w:line="291" w:lineRule="auto"/>
              <w:rPr>
                <w:rFonts w:ascii="Arial"/>
                <w:sz w:val="21"/>
              </w:rPr>
            </w:pPr>
          </w:p>
          <w:p>
            <w:pPr>
              <w:pStyle w:val="6"/>
              <w:spacing w:before="60" w:line="188" w:lineRule="auto"/>
              <w:ind w:left="465"/>
            </w:pPr>
            <w:r>
              <w:rPr>
                <w:spacing w:val="-2"/>
              </w:rPr>
              <w:t>3.74</w:t>
            </w:r>
          </w:p>
        </w:tc>
        <w:tc>
          <w:tcPr>
            <w:tcW w:w="974" w:type="dxa"/>
            <w:vAlign w:val="top"/>
          </w:tcPr>
          <w:p>
            <w:pPr>
              <w:spacing w:line="291" w:lineRule="auto"/>
              <w:rPr>
                <w:rFonts w:ascii="Arial"/>
                <w:sz w:val="21"/>
              </w:rPr>
            </w:pPr>
          </w:p>
          <w:p>
            <w:pPr>
              <w:pStyle w:val="6"/>
              <w:spacing w:before="60" w:line="188" w:lineRule="auto"/>
              <w:ind w:left="304"/>
            </w:pPr>
            <w:r>
              <w:rPr>
                <w:spacing w:val="-1"/>
              </w:rPr>
              <w:t>2.14</w:t>
            </w:r>
          </w:p>
        </w:tc>
        <w:tc>
          <w:tcPr>
            <w:tcW w:w="812" w:type="dxa"/>
            <w:vAlign w:val="top"/>
          </w:tcPr>
          <w:p>
            <w:pPr>
              <w:spacing w:line="294" w:lineRule="auto"/>
              <w:rPr>
                <w:rFonts w:ascii="Arial"/>
                <w:sz w:val="21"/>
              </w:rPr>
            </w:pPr>
          </w:p>
          <w:p>
            <w:pPr>
              <w:pStyle w:val="6"/>
              <w:spacing w:before="60" w:line="185" w:lineRule="auto"/>
              <w:ind w:left="361"/>
            </w:pPr>
            <w:r>
              <w:t>5</w:t>
            </w:r>
          </w:p>
        </w:tc>
        <w:tc>
          <w:tcPr>
            <w:tcW w:w="814" w:type="dxa"/>
            <w:vAlign w:val="top"/>
          </w:tcPr>
          <w:p>
            <w:pPr>
              <w:spacing w:line="291" w:lineRule="auto"/>
              <w:rPr>
                <w:rFonts w:ascii="Arial"/>
                <w:sz w:val="21"/>
              </w:rPr>
            </w:pPr>
          </w:p>
          <w:p>
            <w:pPr>
              <w:pStyle w:val="6"/>
              <w:spacing w:before="60" w:line="188" w:lineRule="auto"/>
              <w:ind w:left="308"/>
            </w:pPr>
            <w:r>
              <w:rPr>
                <w:spacing w:val="-3"/>
              </w:rPr>
              <w:t>35</w:t>
            </w:r>
          </w:p>
        </w:tc>
        <w:tc>
          <w:tcPr>
            <w:tcW w:w="1170" w:type="dxa"/>
            <w:vAlign w:val="top"/>
          </w:tcPr>
          <w:p>
            <w:pPr>
              <w:spacing w:line="291" w:lineRule="auto"/>
              <w:rPr>
                <w:rFonts w:ascii="Arial"/>
                <w:sz w:val="21"/>
              </w:rPr>
            </w:pPr>
          </w:p>
          <w:p>
            <w:pPr>
              <w:pStyle w:val="6"/>
              <w:spacing w:before="60" w:line="188" w:lineRule="auto"/>
              <w:ind w:left="129"/>
            </w:pPr>
            <w:r>
              <w:rPr>
                <w:spacing w:val="-3"/>
              </w:rPr>
              <w:t>1990~2025</w:t>
            </w:r>
          </w:p>
        </w:tc>
        <w:tc>
          <w:tcPr>
            <w:tcW w:w="804" w:type="dxa"/>
            <w:vAlign w:val="top"/>
          </w:tcPr>
          <w:p>
            <w:pPr>
              <w:spacing w:line="289" w:lineRule="auto"/>
              <w:rPr>
                <w:rFonts w:ascii="Arial"/>
                <w:sz w:val="21"/>
              </w:rPr>
            </w:pPr>
          </w:p>
          <w:p>
            <w:pPr>
              <w:pStyle w:val="6"/>
              <w:spacing w:before="61" w:line="200" w:lineRule="auto"/>
              <w:ind w:left="210"/>
            </w:pPr>
            <w:r>
              <w:rPr>
                <w:spacing w:val="-5"/>
              </w:rPr>
              <w:t>1;2.5</w:t>
            </w:r>
          </w:p>
        </w:tc>
        <w:tc>
          <w:tcPr>
            <w:tcW w:w="1711" w:type="dxa"/>
            <w:tcBorders>
              <w:right w:val="nil"/>
            </w:tcBorders>
            <w:vAlign w:val="top"/>
          </w:tcPr>
          <w:p>
            <w:pPr>
              <w:spacing w:before="44" w:line="224" w:lineRule="auto"/>
              <w:ind w:left="119" w:right="133" w:hanging="1"/>
              <w:jc w:val="both"/>
              <w:rPr>
                <w:rFonts w:ascii="仿宋" w:hAnsi="仿宋" w:eastAsia="仿宋" w:cs="仿宋"/>
                <w:sz w:val="21"/>
                <w:szCs w:val="21"/>
              </w:rPr>
            </w:pPr>
            <w:r>
              <w:rPr>
                <w:rFonts w:ascii="仿宋" w:hAnsi="仿宋" w:eastAsia="仿宋" w:cs="仿宋"/>
                <w:spacing w:val="-2"/>
                <w:sz w:val="21"/>
                <w:szCs w:val="21"/>
              </w:rPr>
              <w:t>独格里排隧洞出</w:t>
            </w:r>
            <w:r>
              <w:rPr>
                <w:rFonts w:ascii="仿宋" w:hAnsi="仿宋" w:eastAsia="仿宋" w:cs="仿宋"/>
                <w:sz w:val="21"/>
                <w:szCs w:val="21"/>
              </w:rPr>
              <w:t xml:space="preserve"> </w:t>
            </w:r>
            <w:r>
              <w:rPr>
                <w:rFonts w:ascii="仿宋" w:hAnsi="仿宋" w:eastAsia="仿宋" w:cs="仿宋"/>
                <w:spacing w:val="-3"/>
                <w:sz w:val="21"/>
                <w:szCs w:val="21"/>
              </w:rPr>
              <w:t>口弃渣、窝铺山</w:t>
            </w:r>
            <w:r>
              <w:rPr>
                <w:rFonts w:ascii="仿宋" w:hAnsi="仿宋" w:eastAsia="仿宋" w:cs="仿宋"/>
                <w:spacing w:val="5"/>
                <w:sz w:val="21"/>
                <w:szCs w:val="21"/>
              </w:rPr>
              <w:t xml:space="preserve"> </w:t>
            </w:r>
            <w:r>
              <w:rPr>
                <w:rFonts w:ascii="仿宋" w:hAnsi="仿宋" w:eastAsia="仿宋" w:cs="仿宋"/>
                <w:spacing w:val="-3"/>
                <w:sz w:val="21"/>
                <w:szCs w:val="21"/>
              </w:rPr>
              <w:t>倒虹吸弃渣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926" w:type="dxa"/>
            <w:tcBorders>
              <w:left w:val="nil"/>
            </w:tcBorders>
            <w:vAlign w:val="top"/>
          </w:tcPr>
          <w:p>
            <w:pPr>
              <w:pStyle w:val="6"/>
              <w:spacing w:before="47" w:line="215" w:lineRule="auto"/>
              <w:ind w:left="274" w:right="160" w:hanging="90"/>
              <w:rPr>
                <w:rFonts w:ascii="仿宋" w:hAnsi="仿宋" w:eastAsia="仿宋" w:cs="仿宋"/>
              </w:rPr>
            </w:pPr>
            <w:r>
              <w:rPr>
                <w:spacing w:val="-13"/>
              </w:rPr>
              <w:t>11</w:t>
            </w:r>
            <w:r>
              <w:rPr>
                <w:rFonts w:ascii="仿宋" w:hAnsi="仿宋" w:eastAsia="仿宋" w:cs="仿宋"/>
                <w:spacing w:val="-13"/>
              </w:rPr>
              <w:t>＃弃</w:t>
            </w:r>
            <w:r>
              <w:rPr>
                <w:rFonts w:ascii="仿宋" w:hAnsi="仿宋" w:eastAsia="仿宋" w:cs="仿宋"/>
              </w:rPr>
              <w:t xml:space="preserve"> </w:t>
            </w:r>
            <w:r>
              <w:rPr>
                <w:rFonts w:ascii="仿宋" w:hAnsi="仿宋" w:eastAsia="仿宋" w:cs="仿宋"/>
                <w:spacing w:val="-4"/>
              </w:rPr>
              <w:t>渣场</w:t>
            </w:r>
          </w:p>
        </w:tc>
        <w:tc>
          <w:tcPr>
            <w:tcW w:w="2736" w:type="dxa"/>
            <w:vAlign w:val="top"/>
          </w:tcPr>
          <w:p>
            <w:pPr>
              <w:spacing w:before="183" w:line="217" w:lineRule="auto"/>
              <w:ind w:left="121"/>
              <w:rPr>
                <w:rFonts w:ascii="仿宋" w:hAnsi="仿宋" w:eastAsia="仿宋" w:cs="仿宋"/>
                <w:sz w:val="21"/>
                <w:szCs w:val="21"/>
              </w:rPr>
            </w:pPr>
            <w:r>
              <w:rPr>
                <w:rFonts w:ascii="仿宋" w:hAnsi="仿宋" w:eastAsia="仿宋" w:cs="仿宋"/>
                <w:spacing w:val="-2"/>
                <w:sz w:val="21"/>
                <w:szCs w:val="21"/>
              </w:rPr>
              <w:t>海古簸隧洞进口附近箐沟</w:t>
            </w:r>
          </w:p>
        </w:tc>
        <w:tc>
          <w:tcPr>
            <w:tcW w:w="1007" w:type="dxa"/>
            <w:vAlign w:val="top"/>
          </w:tcPr>
          <w:p>
            <w:pPr>
              <w:spacing w:before="183"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pStyle w:val="6"/>
              <w:spacing w:before="220" w:line="188" w:lineRule="auto"/>
              <w:ind w:left="390"/>
            </w:pPr>
            <w:r>
              <w:rPr>
                <w:spacing w:val="-2"/>
              </w:rPr>
              <w:t>0.22</w:t>
            </w:r>
          </w:p>
        </w:tc>
        <w:tc>
          <w:tcPr>
            <w:tcW w:w="636" w:type="dxa"/>
            <w:vAlign w:val="top"/>
          </w:tcPr>
          <w:p>
            <w:pPr>
              <w:spacing w:before="47" w:line="218" w:lineRule="auto"/>
              <w:ind w:left="117"/>
              <w:rPr>
                <w:rFonts w:ascii="仿宋" w:hAnsi="仿宋" w:eastAsia="仿宋" w:cs="仿宋"/>
                <w:sz w:val="21"/>
                <w:szCs w:val="21"/>
              </w:rPr>
            </w:pPr>
            <w:r>
              <w:rPr>
                <w:rFonts w:ascii="仿宋" w:hAnsi="仿宋" w:eastAsia="仿宋" w:cs="仿宋"/>
                <w:spacing w:val="-3"/>
                <w:sz w:val="21"/>
                <w:szCs w:val="21"/>
              </w:rPr>
              <w:t>有林</w:t>
            </w:r>
          </w:p>
          <w:p>
            <w:pPr>
              <w:spacing w:before="24" w:line="191" w:lineRule="auto"/>
              <w:ind w:left="225"/>
              <w:rPr>
                <w:rFonts w:ascii="仿宋" w:hAnsi="仿宋" w:eastAsia="仿宋" w:cs="仿宋"/>
                <w:sz w:val="21"/>
                <w:szCs w:val="21"/>
              </w:rPr>
            </w:pPr>
            <w:r>
              <w:rPr>
                <w:rFonts w:ascii="仿宋" w:hAnsi="仿宋" w:eastAsia="仿宋" w:cs="仿宋"/>
                <w:sz w:val="21"/>
                <w:szCs w:val="21"/>
              </w:rPr>
              <w:t>地</w:t>
            </w:r>
          </w:p>
        </w:tc>
        <w:tc>
          <w:tcPr>
            <w:tcW w:w="1287" w:type="dxa"/>
            <w:vAlign w:val="top"/>
          </w:tcPr>
          <w:p>
            <w:pPr>
              <w:pStyle w:val="6"/>
              <w:spacing w:before="220" w:line="188" w:lineRule="auto"/>
              <w:ind w:left="460"/>
            </w:pPr>
            <w:r>
              <w:rPr>
                <w:spacing w:val="-1"/>
              </w:rPr>
              <w:t>2.35</w:t>
            </w:r>
          </w:p>
        </w:tc>
        <w:tc>
          <w:tcPr>
            <w:tcW w:w="974" w:type="dxa"/>
            <w:vAlign w:val="top"/>
          </w:tcPr>
          <w:p>
            <w:pPr>
              <w:pStyle w:val="6"/>
              <w:spacing w:before="220" w:line="188" w:lineRule="auto"/>
              <w:ind w:left="324"/>
            </w:pPr>
            <w:r>
              <w:rPr>
                <w:spacing w:val="-6"/>
              </w:rPr>
              <w:t>1.34</w:t>
            </w:r>
          </w:p>
        </w:tc>
        <w:tc>
          <w:tcPr>
            <w:tcW w:w="812" w:type="dxa"/>
            <w:vAlign w:val="top"/>
          </w:tcPr>
          <w:p>
            <w:pPr>
              <w:pStyle w:val="6"/>
              <w:spacing w:before="223" w:line="185" w:lineRule="auto"/>
              <w:ind w:left="361"/>
            </w:pPr>
            <w:r>
              <w:t>5</w:t>
            </w:r>
          </w:p>
        </w:tc>
        <w:tc>
          <w:tcPr>
            <w:tcW w:w="814" w:type="dxa"/>
            <w:vAlign w:val="top"/>
          </w:tcPr>
          <w:p>
            <w:pPr>
              <w:pStyle w:val="6"/>
              <w:spacing w:before="220" w:line="188" w:lineRule="auto"/>
              <w:ind w:left="308"/>
            </w:pPr>
            <w:r>
              <w:rPr>
                <w:spacing w:val="-3"/>
              </w:rPr>
              <w:t>35</w:t>
            </w:r>
          </w:p>
        </w:tc>
        <w:tc>
          <w:tcPr>
            <w:tcW w:w="1170" w:type="dxa"/>
            <w:vAlign w:val="top"/>
          </w:tcPr>
          <w:p>
            <w:pPr>
              <w:pStyle w:val="6"/>
              <w:spacing w:before="220" w:line="188" w:lineRule="auto"/>
              <w:ind w:left="109"/>
            </w:pPr>
            <w:r>
              <w:rPr>
                <w:spacing w:val="-1"/>
              </w:rPr>
              <w:t>2010~2045</w:t>
            </w:r>
          </w:p>
        </w:tc>
        <w:tc>
          <w:tcPr>
            <w:tcW w:w="804" w:type="dxa"/>
            <w:vAlign w:val="top"/>
          </w:tcPr>
          <w:p>
            <w:pPr>
              <w:pStyle w:val="6"/>
              <w:spacing w:before="218" w:line="200" w:lineRule="auto"/>
              <w:ind w:left="210"/>
            </w:pPr>
            <w:r>
              <w:rPr>
                <w:spacing w:val="-5"/>
              </w:rPr>
              <w:t>1;2.5</w:t>
            </w:r>
          </w:p>
        </w:tc>
        <w:tc>
          <w:tcPr>
            <w:tcW w:w="1711" w:type="dxa"/>
            <w:tcBorders>
              <w:right w:val="nil"/>
            </w:tcBorders>
            <w:vAlign w:val="top"/>
          </w:tcPr>
          <w:p>
            <w:pPr>
              <w:spacing w:before="47" w:line="215" w:lineRule="auto"/>
              <w:ind w:left="124" w:right="133" w:hanging="4"/>
              <w:rPr>
                <w:rFonts w:ascii="仿宋" w:hAnsi="仿宋" w:eastAsia="仿宋" w:cs="仿宋"/>
                <w:sz w:val="21"/>
                <w:szCs w:val="21"/>
              </w:rPr>
            </w:pPr>
            <w:r>
              <w:rPr>
                <w:rFonts w:ascii="仿宋" w:hAnsi="仿宋" w:eastAsia="仿宋" w:cs="仿宋"/>
                <w:spacing w:val="-3"/>
                <w:sz w:val="21"/>
                <w:szCs w:val="21"/>
              </w:rPr>
              <w:t>海古簸隧洞进口</w:t>
            </w:r>
            <w:r>
              <w:rPr>
                <w:rFonts w:ascii="仿宋" w:hAnsi="仿宋" w:eastAsia="仿宋" w:cs="仿宋"/>
                <w:spacing w:val="4"/>
                <w:sz w:val="21"/>
                <w:szCs w:val="21"/>
              </w:rPr>
              <w:t xml:space="preserve"> </w:t>
            </w:r>
            <w:r>
              <w:rPr>
                <w:rFonts w:ascii="仿宋" w:hAnsi="仿宋" w:eastAsia="仿宋" w:cs="仿宋"/>
                <w:spacing w:val="-5"/>
                <w:sz w:val="21"/>
                <w:szCs w:val="21"/>
              </w:rPr>
              <w:t>弃渣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926" w:type="dxa"/>
            <w:tcBorders>
              <w:left w:val="nil"/>
            </w:tcBorders>
            <w:vAlign w:val="top"/>
          </w:tcPr>
          <w:p>
            <w:pPr>
              <w:pStyle w:val="6"/>
              <w:spacing w:before="50" w:line="214" w:lineRule="auto"/>
              <w:ind w:left="274" w:right="156" w:hanging="95"/>
              <w:rPr>
                <w:rFonts w:ascii="仿宋" w:hAnsi="仿宋" w:eastAsia="仿宋" w:cs="仿宋"/>
              </w:rPr>
            </w:pPr>
            <w:r>
              <w:rPr>
                <w:spacing w:val="-11"/>
              </w:rPr>
              <w:t>12</w:t>
            </w:r>
            <w:r>
              <w:rPr>
                <w:rFonts w:ascii="仿宋" w:hAnsi="仿宋" w:eastAsia="仿宋" w:cs="仿宋"/>
                <w:spacing w:val="-11"/>
              </w:rPr>
              <w:t>＃弃</w:t>
            </w:r>
            <w:r>
              <w:rPr>
                <w:rFonts w:ascii="仿宋" w:hAnsi="仿宋" w:eastAsia="仿宋" w:cs="仿宋"/>
              </w:rPr>
              <w:t xml:space="preserve"> </w:t>
            </w:r>
            <w:r>
              <w:rPr>
                <w:rFonts w:ascii="仿宋" w:hAnsi="仿宋" w:eastAsia="仿宋" w:cs="仿宋"/>
                <w:spacing w:val="-4"/>
              </w:rPr>
              <w:t>渣场</w:t>
            </w:r>
          </w:p>
        </w:tc>
        <w:tc>
          <w:tcPr>
            <w:tcW w:w="2736" w:type="dxa"/>
            <w:vAlign w:val="top"/>
          </w:tcPr>
          <w:p>
            <w:pPr>
              <w:spacing w:before="185" w:line="217" w:lineRule="auto"/>
              <w:ind w:left="121"/>
              <w:rPr>
                <w:rFonts w:ascii="仿宋" w:hAnsi="仿宋" w:eastAsia="仿宋" w:cs="仿宋"/>
                <w:sz w:val="21"/>
                <w:szCs w:val="21"/>
              </w:rPr>
            </w:pPr>
            <w:r>
              <w:rPr>
                <w:rFonts w:ascii="仿宋" w:hAnsi="仿宋" w:eastAsia="仿宋" w:cs="仿宋"/>
                <w:spacing w:val="-2"/>
                <w:sz w:val="21"/>
                <w:szCs w:val="21"/>
              </w:rPr>
              <w:t>海古簸隧洞出口附近箐沟</w:t>
            </w:r>
          </w:p>
        </w:tc>
        <w:tc>
          <w:tcPr>
            <w:tcW w:w="1007" w:type="dxa"/>
            <w:vAlign w:val="top"/>
          </w:tcPr>
          <w:p>
            <w:pPr>
              <w:spacing w:before="186"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pStyle w:val="6"/>
              <w:spacing w:before="222" w:line="188" w:lineRule="auto"/>
              <w:ind w:left="390"/>
            </w:pPr>
            <w:r>
              <w:rPr>
                <w:spacing w:val="-2"/>
              </w:rPr>
              <w:t>0.44</w:t>
            </w:r>
          </w:p>
        </w:tc>
        <w:tc>
          <w:tcPr>
            <w:tcW w:w="636" w:type="dxa"/>
            <w:vAlign w:val="top"/>
          </w:tcPr>
          <w:p>
            <w:pPr>
              <w:spacing w:before="50" w:line="218" w:lineRule="auto"/>
              <w:ind w:left="117"/>
              <w:rPr>
                <w:rFonts w:ascii="仿宋" w:hAnsi="仿宋" w:eastAsia="仿宋" w:cs="仿宋"/>
                <w:sz w:val="21"/>
                <w:szCs w:val="21"/>
              </w:rPr>
            </w:pPr>
            <w:r>
              <w:rPr>
                <w:rFonts w:ascii="仿宋" w:hAnsi="仿宋" w:eastAsia="仿宋" w:cs="仿宋"/>
                <w:spacing w:val="-3"/>
                <w:sz w:val="21"/>
                <w:szCs w:val="21"/>
              </w:rPr>
              <w:t>有林</w:t>
            </w:r>
          </w:p>
          <w:p>
            <w:pPr>
              <w:spacing w:before="23" w:line="189" w:lineRule="auto"/>
              <w:ind w:left="225"/>
              <w:rPr>
                <w:rFonts w:ascii="仿宋" w:hAnsi="仿宋" w:eastAsia="仿宋" w:cs="仿宋"/>
                <w:sz w:val="21"/>
                <w:szCs w:val="21"/>
              </w:rPr>
            </w:pPr>
            <w:r>
              <w:rPr>
                <w:rFonts w:ascii="仿宋" w:hAnsi="仿宋" w:eastAsia="仿宋" w:cs="仿宋"/>
                <w:sz w:val="21"/>
                <w:szCs w:val="21"/>
              </w:rPr>
              <w:t>地</w:t>
            </w:r>
          </w:p>
        </w:tc>
        <w:tc>
          <w:tcPr>
            <w:tcW w:w="1287" w:type="dxa"/>
            <w:vAlign w:val="top"/>
          </w:tcPr>
          <w:p>
            <w:pPr>
              <w:pStyle w:val="6"/>
              <w:spacing w:before="222" w:line="188" w:lineRule="auto"/>
              <w:ind w:left="465"/>
            </w:pPr>
            <w:r>
              <w:rPr>
                <w:spacing w:val="-2"/>
              </w:rPr>
              <w:t>3.25</w:t>
            </w:r>
          </w:p>
        </w:tc>
        <w:tc>
          <w:tcPr>
            <w:tcW w:w="974" w:type="dxa"/>
            <w:vAlign w:val="top"/>
          </w:tcPr>
          <w:p>
            <w:pPr>
              <w:pStyle w:val="6"/>
              <w:spacing w:before="222" w:line="188" w:lineRule="auto"/>
              <w:ind w:left="324"/>
            </w:pPr>
            <w:r>
              <w:rPr>
                <w:spacing w:val="-6"/>
              </w:rPr>
              <w:t>1.86</w:t>
            </w:r>
          </w:p>
        </w:tc>
        <w:tc>
          <w:tcPr>
            <w:tcW w:w="812" w:type="dxa"/>
            <w:vAlign w:val="top"/>
          </w:tcPr>
          <w:p>
            <w:pPr>
              <w:pStyle w:val="6"/>
              <w:spacing w:before="225" w:line="185" w:lineRule="auto"/>
              <w:ind w:left="361"/>
            </w:pPr>
            <w:r>
              <w:t>5</w:t>
            </w:r>
          </w:p>
        </w:tc>
        <w:tc>
          <w:tcPr>
            <w:tcW w:w="814" w:type="dxa"/>
            <w:vAlign w:val="top"/>
          </w:tcPr>
          <w:p>
            <w:pPr>
              <w:pStyle w:val="6"/>
              <w:spacing w:before="222" w:line="188" w:lineRule="auto"/>
              <w:ind w:left="308"/>
            </w:pPr>
            <w:r>
              <w:rPr>
                <w:spacing w:val="-3"/>
              </w:rPr>
              <w:t>35</w:t>
            </w:r>
          </w:p>
        </w:tc>
        <w:tc>
          <w:tcPr>
            <w:tcW w:w="1170" w:type="dxa"/>
            <w:vAlign w:val="top"/>
          </w:tcPr>
          <w:p>
            <w:pPr>
              <w:pStyle w:val="6"/>
              <w:spacing w:before="222" w:line="188" w:lineRule="auto"/>
              <w:ind w:left="129"/>
            </w:pPr>
            <w:r>
              <w:rPr>
                <w:spacing w:val="-3"/>
              </w:rPr>
              <w:t>1950~1985</w:t>
            </w:r>
          </w:p>
        </w:tc>
        <w:tc>
          <w:tcPr>
            <w:tcW w:w="804" w:type="dxa"/>
            <w:vAlign w:val="top"/>
          </w:tcPr>
          <w:p>
            <w:pPr>
              <w:pStyle w:val="6"/>
              <w:spacing w:before="221" w:line="200" w:lineRule="auto"/>
              <w:ind w:left="210"/>
            </w:pPr>
            <w:r>
              <w:rPr>
                <w:spacing w:val="-5"/>
              </w:rPr>
              <w:t>1;2.5</w:t>
            </w:r>
          </w:p>
        </w:tc>
        <w:tc>
          <w:tcPr>
            <w:tcW w:w="1711" w:type="dxa"/>
            <w:tcBorders>
              <w:right w:val="nil"/>
            </w:tcBorders>
            <w:vAlign w:val="top"/>
          </w:tcPr>
          <w:p>
            <w:pPr>
              <w:spacing w:before="186" w:line="218" w:lineRule="auto"/>
              <w:ind w:left="130"/>
              <w:rPr>
                <w:rFonts w:ascii="仿宋" w:hAnsi="仿宋" w:eastAsia="仿宋" w:cs="仿宋"/>
                <w:sz w:val="21"/>
                <w:szCs w:val="21"/>
              </w:rPr>
            </w:pPr>
            <w:r>
              <w:rPr>
                <w:rFonts w:ascii="仿宋" w:hAnsi="仿宋" w:eastAsia="仿宋" w:cs="仿宋"/>
                <w:spacing w:val="-4"/>
                <w:sz w:val="21"/>
                <w:szCs w:val="21"/>
              </w:rPr>
              <w:t>窝铺山渡槽弃渣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926" w:type="dxa"/>
            <w:tcBorders>
              <w:left w:val="nil"/>
            </w:tcBorders>
            <w:vAlign w:val="top"/>
          </w:tcPr>
          <w:p>
            <w:pPr>
              <w:pStyle w:val="6"/>
              <w:spacing w:before="189" w:line="229" w:lineRule="auto"/>
              <w:ind w:left="274" w:right="156" w:hanging="95"/>
              <w:rPr>
                <w:rFonts w:ascii="仿宋" w:hAnsi="仿宋" w:eastAsia="仿宋" w:cs="仿宋"/>
              </w:rPr>
            </w:pPr>
            <w:r>
              <w:rPr>
                <w:spacing w:val="-11"/>
              </w:rPr>
              <w:t>13</w:t>
            </w:r>
            <w:r>
              <w:rPr>
                <w:rFonts w:ascii="仿宋" w:hAnsi="仿宋" w:eastAsia="仿宋" w:cs="仿宋"/>
                <w:spacing w:val="-11"/>
              </w:rPr>
              <w:t>＃弃</w:t>
            </w:r>
            <w:r>
              <w:rPr>
                <w:rFonts w:ascii="仿宋" w:hAnsi="仿宋" w:eastAsia="仿宋" w:cs="仿宋"/>
              </w:rPr>
              <w:t xml:space="preserve"> </w:t>
            </w:r>
            <w:r>
              <w:rPr>
                <w:rFonts w:ascii="仿宋" w:hAnsi="仿宋" w:eastAsia="仿宋" w:cs="仿宋"/>
                <w:spacing w:val="-4"/>
              </w:rPr>
              <w:t>渣场</w:t>
            </w:r>
          </w:p>
        </w:tc>
        <w:tc>
          <w:tcPr>
            <w:tcW w:w="2736" w:type="dxa"/>
            <w:vAlign w:val="top"/>
          </w:tcPr>
          <w:p>
            <w:pPr>
              <w:pStyle w:val="6"/>
              <w:spacing w:before="189" w:line="229" w:lineRule="auto"/>
              <w:ind w:left="118" w:right="121" w:hanging="4"/>
              <w:rPr>
                <w:rFonts w:ascii="仿宋" w:hAnsi="仿宋" w:eastAsia="仿宋" w:cs="仿宋"/>
              </w:rPr>
            </w:pPr>
            <w:r>
              <w:rPr>
                <w:spacing w:val="-2"/>
              </w:rPr>
              <w:t>6#</w:t>
            </w:r>
            <w:r>
              <w:rPr>
                <w:rFonts w:ascii="仿宋" w:hAnsi="仿宋" w:eastAsia="仿宋" w:cs="仿宋"/>
                <w:spacing w:val="-2"/>
              </w:rPr>
              <w:t>（窝铺山）倒虹吸左侧附</w:t>
            </w:r>
            <w:r>
              <w:rPr>
                <w:rFonts w:ascii="仿宋" w:hAnsi="仿宋" w:eastAsia="仿宋" w:cs="仿宋"/>
              </w:rPr>
              <w:t xml:space="preserve"> </w:t>
            </w:r>
            <w:r>
              <w:rPr>
                <w:rFonts w:ascii="仿宋" w:hAnsi="仿宋" w:eastAsia="仿宋" w:cs="仿宋"/>
                <w:spacing w:val="-4"/>
              </w:rPr>
              <w:t>近箐沟</w:t>
            </w:r>
          </w:p>
        </w:tc>
        <w:tc>
          <w:tcPr>
            <w:tcW w:w="1007" w:type="dxa"/>
            <w:vAlign w:val="top"/>
          </w:tcPr>
          <w:p>
            <w:pPr>
              <w:spacing w:line="255" w:lineRule="auto"/>
              <w:rPr>
                <w:rFonts w:ascii="Arial"/>
                <w:sz w:val="21"/>
              </w:rPr>
            </w:pPr>
          </w:p>
          <w:p>
            <w:pPr>
              <w:spacing w:before="68"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spacing w:line="299" w:lineRule="auto"/>
              <w:rPr>
                <w:rFonts w:ascii="Arial"/>
                <w:sz w:val="21"/>
              </w:rPr>
            </w:pPr>
          </w:p>
          <w:p>
            <w:pPr>
              <w:pStyle w:val="6"/>
              <w:spacing w:before="61" w:line="188" w:lineRule="auto"/>
              <w:ind w:left="390"/>
            </w:pPr>
            <w:r>
              <w:rPr>
                <w:spacing w:val="-2"/>
              </w:rPr>
              <w:t>0.19</w:t>
            </w:r>
          </w:p>
        </w:tc>
        <w:tc>
          <w:tcPr>
            <w:tcW w:w="636" w:type="dxa"/>
            <w:vAlign w:val="top"/>
          </w:tcPr>
          <w:p>
            <w:pPr>
              <w:spacing w:before="188" w:line="218" w:lineRule="auto"/>
              <w:ind w:left="117"/>
              <w:rPr>
                <w:rFonts w:ascii="仿宋" w:hAnsi="仿宋" w:eastAsia="仿宋" w:cs="仿宋"/>
                <w:sz w:val="21"/>
                <w:szCs w:val="21"/>
              </w:rPr>
            </w:pPr>
            <w:r>
              <w:rPr>
                <w:rFonts w:ascii="仿宋" w:hAnsi="仿宋" w:eastAsia="仿宋" w:cs="仿宋"/>
                <w:spacing w:val="-3"/>
                <w:sz w:val="21"/>
                <w:szCs w:val="21"/>
              </w:rPr>
              <w:t>有林</w:t>
            </w:r>
          </w:p>
          <w:p>
            <w:pPr>
              <w:spacing w:before="25" w:line="227" w:lineRule="auto"/>
              <w:ind w:left="225"/>
              <w:rPr>
                <w:rFonts w:ascii="仿宋" w:hAnsi="仿宋" w:eastAsia="仿宋" w:cs="仿宋"/>
                <w:sz w:val="21"/>
                <w:szCs w:val="21"/>
              </w:rPr>
            </w:pPr>
            <w:r>
              <w:rPr>
                <w:rFonts w:ascii="仿宋" w:hAnsi="仿宋" w:eastAsia="仿宋" w:cs="仿宋"/>
                <w:sz w:val="21"/>
                <w:szCs w:val="21"/>
              </w:rPr>
              <w:t>地</w:t>
            </w:r>
          </w:p>
        </w:tc>
        <w:tc>
          <w:tcPr>
            <w:tcW w:w="1287" w:type="dxa"/>
            <w:vAlign w:val="top"/>
          </w:tcPr>
          <w:p>
            <w:pPr>
              <w:spacing w:line="299" w:lineRule="auto"/>
              <w:rPr>
                <w:rFonts w:ascii="Arial"/>
                <w:sz w:val="21"/>
              </w:rPr>
            </w:pPr>
          </w:p>
          <w:p>
            <w:pPr>
              <w:pStyle w:val="6"/>
              <w:spacing w:before="61" w:line="188" w:lineRule="auto"/>
              <w:ind w:left="464"/>
            </w:pPr>
            <w:r>
              <w:rPr>
                <w:spacing w:val="-2"/>
              </w:rPr>
              <w:t>0.87</w:t>
            </w:r>
          </w:p>
        </w:tc>
        <w:tc>
          <w:tcPr>
            <w:tcW w:w="974" w:type="dxa"/>
            <w:vAlign w:val="top"/>
          </w:tcPr>
          <w:p>
            <w:pPr>
              <w:spacing w:line="299" w:lineRule="auto"/>
              <w:rPr>
                <w:rFonts w:ascii="Arial"/>
                <w:sz w:val="21"/>
              </w:rPr>
            </w:pPr>
          </w:p>
          <w:p>
            <w:pPr>
              <w:pStyle w:val="6"/>
              <w:spacing w:before="61" w:line="188" w:lineRule="auto"/>
              <w:ind w:left="307"/>
            </w:pPr>
            <w:r>
              <w:rPr>
                <w:spacing w:val="-2"/>
              </w:rPr>
              <w:t>0.50</w:t>
            </w:r>
          </w:p>
        </w:tc>
        <w:tc>
          <w:tcPr>
            <w:tcW w:w="812" w:type="dxa"/>
            <w:vAlign w:val="top"/>
          </w:tcPr>
          <w:p>
            <w:pPr>
              <w:spacing w:line="302" w:lineRule="auto"/>
              <w:rPr>
                <w:rFonts w:ascii="Arial"/>
                <w:sz w:val="21"/>
              </w:rPr>
            </w:pPr>
          </w:p>
          <w:p>
            <w:pPr>
              <w:pStyle w:val="6"/>
              <w:spacing w:before="61" w:line="185" w:lineRule="auto"/>
              <w:ind w:left="361"/>
            </w:pPr>
            <w:r>
              <w:t>5</w:t>
            </w:r>
          </w:p>
        </w:tc>
        <w:tc>
          <w:tcPr>
            <w:tcW w:w="814" w:type="dxa"/>
            <w:vAlign w:val="top"/>
          </w:tcPr>
          <w:p>
            <w:pPr>
              <w:spacing w:line="299" w:lineRule="auto"/>
              <w:rPr>
                <w:rFonts w:ascii="Arial"/>
                <w:sz w:val="21"/>
              </w:rPr>
            </w:pPr>
          </w:p>
          <w:p>
            <w:pPr>
              <w:pStyle w:val="6"/>
              <w:spacing w:before="61" w:line="188" w:lineRule="auto"/>
              <w:ind w:left="304"/>
            </w:pPr>
            <w:r>
              <w:rPr>
                <w:spacing w:val="-1"/>
              </w:rPr>
              <w:t>25</w:t>
            </w:r>
          </w:p>
        </w:tc>
        <w:tc>
          <w:tcPr>
            <w:tcW w:w="1170" w:type="dxa"/>
            <w:vAlign w:val="top"/>
          </w:tcPr>
          <w:p>
            <w:pPr>
              <w:spacing w:line="299" w:lineRule="auto"/>
              <w:rPr>
                <w:rFonts w:ascii="Arial"/>
                <w:sz w:val="21"/>
              </w:rPr>
            </w:pPr>
          </w:p>
          <w:p>
            <w:pPr>
              <w:pStyle w:val="6"/>
              <w:spacing w:before="61" w:line="188" w:lineRule="auto"/>
              <w:ind w:left="129"/>
            </w:pPr>
            <w:r>
              <w:rPr>
                <w:spacing w:val="-3"/>
              </w:rPr>
              <w:t>1940~1965</w:t>
            </w:r>
          </w:p>
        </w:tc>
        <w:tc>
          <w:tcPr>
            <w:tcW w:w="804" w:type="dxa"/>
            <w:vAlign w:val="top"/>
          </w:tcPr>
          <w:p>
            <w:pPr>
              <w:spacing w:line="298" w:lineRule="auto"/>
              <w:rPr>
                <w:rFonts w:ascii="Arial"/>
                <w:sz w:val="21"/>
              </w:rPr>
            </w:pPr>
          </w:p>
          <w:p>
            <w:pPr>
              <w:pStyle w:val="6"/>
              <w:spacing w:before="60" w:line="200" w:lineRule="auto"/>
              <w:ind w:left="210"/>
            </w:pPr>
            <w:r>
              <w:rPr>
                <w:spacing w:val="-5"/>
              </w:rPr>
              <w:t>1;2.5</w:t>
            </w:r>
          </w:p>
        </w:tc>
        <w:tc>
          <w:tcPr>
            <w:tcW w:w="1711" w:type="dxa"/>
            <w:tcBorders>
              <w:right w:val="nil"/>
            </w:tcBorders>
            <w:vAlign w:val="top"/>
          </w:tcPr>
          <w:p>
            <w:pPr>
              <w:pStyle w:val="6"/>
              <w:spacing w:before="52" w:line="222" w:lineRule="auto"/>
              <w:ind w:left="119" w:right="133"/>
              <w:rPr>
                <w:rFonts w:ascii="仿宋" w:hAnsi="仿宋" w:eastAsia="仿宋" w:cs="仿宋"/>
              </w:rPr>
            </w:pPr>
            <w:r>
              <w:rPr>
                <w:rFonts w:ascii="仿宋" w:hAnsi="仿宋" w:eastAsia="仿宋" w:cs="仿宋"/>
                <w:spacing w:val="-3"/>
              </w:rPr>
              <w:t>输水明渠、杨家</w:t>
            </w:r>
            <w:r>
              <w:rPr>
                <w:rFonts w:ascii="仿宋" w:hAnsi="仿宋" w:eastAsia="仿宋" w:cs="仿宋"/>
                <w:spacing w:val="4"/>
              </w:rPr>
              <w:t xml:space="preserve"> </w:t>
            </w:r>
            <w:r>
              <w:rPr>
                <w:rFonts w:ascii="仿宋" w:hAnsi="仿宋" w:eastAsia="仿宋" w:cs="仿宋"/>
                <w:spacing w:val="-6"/>
              </w:rPr>
              <w:t>山</w:t>
            </w:r>
            <w:r>
              <w:rPr>
                <w:rFonts w:ascii="仿宋" w:hAnsi="仿宋" w:eastAsia="仿宋" w:cs="仿宋"/>
                <w:spacing w:val="-26"/>
              </w:rPr>
              <w:t xml:space="preserve"> </w:t>
            </w:r>
            <w:r>
              <w:rPr>
                <w:spacing w:val="-6"/>
              </w:rPr>
              <w:t>1#</w:t>
            </w:r>
            <w:r>
              <w:rPr>
                <w:rFonts w:ascii="仿宋" w:hAnsi="仿宋" w:eastAsia="仿宋" w:cs="仿宋"/>
                <w:spacing w:val="-6"/>
              </w:rPr>
              <w:t>倒虹吸弃</w:t>
            </w:r>
            <w:r>
              <w:rPr>
                <w:rFonts w:ascii="仿宋" w:hAnsi="仿宋" w:eastAsia="仿宋" w:cs="仿宋"/>
              </w:rPr>
              <w:t xml:space="preserve">  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0" w:hRule="atLeast"/>
        </w:trPr>
        <w:tc>
          <w:tcPr>
            <w:tcW w:w="926" w:type="dxa"/>
            <w:tcBorders>
              <w:left w:val="nil"/>
            </w:tcBorders>
            <w:vAlign w:val="top"/>
          </w:tcPr>
          <w:p>
            <w:pPr>
              <w:spacing w:line="258" w:lineRule="auto"/>
              <w:rPr>
                <w:rFonts w:ascii="Arial"/>
                <w:sz w:val="21"/>
              </w:rPr>
            </w:pPr>
          </w:p>
          <w:p>
            <w:pPr>
              <w:pStyle w:val="6"/>
              <w:spacing w:before="68" w:line="229" w:lineRule="auto"/>
              <w:ind w:left="274" w:right="156" w:hanging="95"/>
              <w:rPr>
                <w:rFonts w:ascii="仿宋" w:hAnsi="仿宋" w:eastAsia="仿宋" w:cs="仿宋"/>
              </w:rPr>
            </w:pPr>
            <w:r>
              <w:rPr>
                <w:spacing w:val="-11"/>
              </w:rPr>
              <w:t>14</w:t>
            </w:r>
            <w:r>
              <w:rPr>
                <w:rFonts w:ascii="仿宋" w:hAnsi="仿宋" w:eastAsia="仿宋" w:cs="仿宋"/>
                <w:spacing w:val="-11"/>
              </w:rPr>
              <w:t>＃弃</w:t>
            </w:r>
            <w:r>
              <w:rPr>
                <w:rFonts w:ascii="仿宋" w:hAnsi="仿宋" w:eastAsia="仿宋" w:cs="仿宋"/>
              </w:rPr>
              <w:t xml:space="preserve"> </w:t>
            </w:r>
            <w:r>
              <w:rPr>
                <w:rFonts w:ascii="仿宋" w:hAnsi="仿宋" w:eastAsia="仿宋" w:cs="仿宋"/>
                <w:spacing w:val="-4"/>
              </w:rPr>
              <w:t>渣场</w:t>
            </w:r>
          </w:p>
        </w:tc>
        <w:tc>
          <w:tcPr>
            <w:tcW w:w="2736" w:type="dxa"/>
            <w:vAlign w:val="top"/>
          </w:tcPr>
          <w:p>
            <w:pPr>
              <w:spacing w:line="393" w:lineRule="auto"/>
              <w:rPr>
                <w:rFonts w:ascii="Arial"/>
                <w:sz w:val="21"/>
              </w:rPr>
            </w:pPr>
          </w:p>
          <w:p>
            <w:pPr>
              <w:spacing w:before="68" w:line="217" w:lineRule="auto"/>
              <w:ind w:left="127"/>
              <w:rPr>
                <w:rFonts w:ascii="仿宋" w:hAnsi="仿宋" w:eastAsia="仿宋" w:cs="仿宋"/>
                <w:sz w:val="21"/>
                <w:szCs w:val="21"/>
              </w:rPr>
            </w:pPr>
            <w:r>
              <w:rPr>
                <w:rFonts w:ascii="仿宋" w:hAnsi="仿宋" w:eastAsia="仿宋" w:cs="仿宋"/>
                <w:spacing w:val="-2"/>
                <w:sz w:val="21"/>
                <w:szCs w:val="21"/>
              </w:rPr>
              <w:t>碧么隧洞进口下方箐沟</w:t>
            </w:r>
          </w:p>
        </w:tc>
        <w:tc>
          <w:tcPr>
            <w:tcW w:w="1007" w:type="dxa"/>
            <w:vAlign w:val="top"/>
          </w:tcPr>
          <w:p>
            <w:pPr>
              <w:spacing w:line="392" w:lineRule="auto"/>
              <w:rPr>
                <w:rFonts w:ascii="Arial"/>
                <w:sz w:val="21"/>
              </w:rPr>
            </w:pPr>
          </w:p>
          <w:p>
            <w:pPr>
              <w:spacing w:before="68"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spacing w:line="436" w:lineRule="auto"/>
              <w:rPr>
                <w:rFonts w:ascii="Arial"/>
                <w:sz w:val="21"/>
              </w:rPr>
            </w:pPr>
          </w:p>
          <w:p>
            <w:pPr>
              <w:pStyle w:val="6"/>
              <w:spacing w:before="61" w:line="188" w:lineRule="auto"/>
              <w:ind w:left="390"/>
            </w:pPr>
            <w:r>
              <w:rPr>
                <w:spacing w:val="-2"/>
              </w:rPr>
              <w:t>0.48</w:t>
            </w:r>
          </w:p>
        </w:tc>
        <w:tc>
          <w:tcPr>
            <w:tcW w:w="636" w:type="dxa"/>
            <w:vAlign w:val="top"/>
          </w:tcPr>
          <w:p>
            <w:pPr>
              <w:spacing w:line="258" w:lineRule="auto"/>
              <w:rPr>
                <w:rFonts w:ascii="Arial"/>
                <w:sz w:val="21"/>
              </w:rPr>
            </w:pPr>
          </w:p>
          <w:p>
            <w:pPr>
              <w:spacing w:before="68" w:line="218" w:lineRule="auto"/>
              <w:ind w:left="117"/>
              <w:rPr>
                <w:rFonts w:ascii="仿宋" w:hAnsi="仿宋" w:eastAsia="仿宋" w:cs="仿宋"/>
                <w:sz w:val="21"/>
                <w:szCs w:val="21"/>
              </w:rPr>
            </w:pPr>
            <w:r>
              <w:rPr>
                <w:rFonts w:ascii="仿宋" w:hAnsi="仿宋" w:eastAsia="仿宋" w:cs="仿宋"/>
                <w:spacing w:val="-3"/>
                <w:sz w:val="21"/>
                <w:szCs w:val="21"/>
              </w:rPr>
              <w:t>有林</w:t>
            </w:r>
          </w:p>
          <w:p>
            <w:pPr>
              <w:spacing w:before="24" w:line="227" w:lineRule="auto"/>
              <w:ind w:left="225"/>
              <w:rPr>
                <w:rFonts w:ascii="仿宋" w:hAnsi="仿宋" w:eastAsia="仿宋" w:cs="仿宋"/>
                <w:sz w:val="21"/>
                <w:szCs w:val="21"/>
              </w:rPr>
            </w:pPr>
            <w:r>
              <w:rPr>
                <w:rFonts w:ascii="仿宋" w:hAnsi="仿宋" w:eastAsia="仿宋" w:cs="仿宋"/>
                <w:sz w:val="21"/>
                <w:szCs w:val="21"/>
              </w:rPr>
              <w:t>地</w:t>
            </w:r>
          </w:p>
        </w:tc>
        <w:tc>
          <w:tcPr>
            <w:tcW w:w="1287" w:type="dxa"/>
            <w:vAlign w:val="top"/>
          </w:tcPr>
          <w:p>
            <w:pPr>
              <w:spacing w:line="436" w:lineRule="auto"/>
              <w:rPr>
                <w:rFonts w:ascii="Arial"/>
                <w:sz w:val="21"/>
              </w:rPr>
            </w:pPr>
          </w:p>
          <w:p>
            <w:pPr>
              <w:pStyle w:val="6"/>
              <w:spacing w:before="61" w:line="188" w:lineRule="auto"/>
              <w:ind w:left="460"/>
            </w:pPr>
            <w:r>
              <w:rPr>
                <w:spacing w:val="-1"/>
              </w:rPr>
              <w:t>2.45</w:t>
            </w:r>
          </w:p>
        </w:tc>
        <w:tc>
          <w:tcPr>
            <w:tcW w:w="974" w:type="dxa"/>
            <w:vAlign w:val="top"/>
          </w:tcPr>
          <w:p>
            <w:pPr>
              <w:spacing w:line="436" w:lineRule="auto"/>
              <w:rPr>
                <w:rFonts w:ascii="Arial"/>
                <w:sz w:val="21"/>
              </w:rPr>
            </w:pPr>
          </w:p>
          <w:p>
            <w:pPr>
              <w:pStyle w:val="6"/>
              <w:spacing w:before="61" w:line="188" w:lineRule="auto"/>
              <w:ind w:left="324"/>
            </w:pPr>
            <w:r>
              <w:rPr>
                <w:spacing w:val="-6"/>
              </w:rPr>
              <w:t>1.40</w:t>
            </w:r>
          </w:p>
        </w:tc>
        <w:tc>
          <w:tcPr>
            <w:tcW w:w="812" w:type="dxa"/>
            <w:vAlign w:val="top"/>
          </w:tcPr>
          <w:p>
            <w:pPr>
              <w:spacing w:line="439" w:lineRule="auto"/>
              <w:rPr>
                <w:rFonts w:ascii="Arial"/>
                <w:sz w:val="21"/>
              </w:rPr>
            </w:pPr>
          </w:p>
          <w:p>
            <w:pPr>
              <w:pStyle w:val="6"/>
              <w:spacing w:before="61" w:line="185" w:lineRule="auto"/>
              <w:ind w:left="361"/>
            </w:pPr>
            <w:r>
              <w:t>5</w:t>
            </w:r>
          </w:p>
        </w:tc>
        <w:tc>
          <w:tcPr>
            <w:tcW w:w="814" w:type="dxa"/>
            <w:vAlign w:val="top"/>
          </w:tcPr>
          <w:p>
            <w:pPr>
              <w:spacing w:line="436" w:lineRule="auto"/>
              <w:rPr>
                <w:rFonts w:ascii="Arial"/>
                <w:sz w:val="21"/>
              </w:rPr>
            </w:pPr>
          </w:p>
          <w:p>
            <w:pPr>
              <w:pStyle w:val="6"/>
              <w:spacing w:before="61" w:line="188" w:lineRule="auto"/>
              <w:ind w:left="308"/>
            </w:pPr>
            <w:r>
              <w:rPr>
                <w:spacing w:val="-3"/>
              </w:rPr>
              <w:t>35</w:t>
            </w:r>
          </w:p>
        </w:tc>
        <w:tc>
          <w:tcPr>
            <w:tcW w:w="1170" w:type="dxa"/>
            <w:vAlign w:val="top"/>
          </w:tcPr>
          <w:p>
            <w:pPr>
              <w:spacing w:line="436" w:lineRule="auto"/>
              <w:rPr>
                <w:rFonts w:ascii="Arial"/>
                <w:sz w:val="21"/>
              </w:rPr>
            </w:pPr>
          </w:p>
          <w:p>
            <w:pPr>
              <w:pStyle w:val="6"/>
              <w:spacing w:before="61" w:line="188" w:lineRule="auto"/>
              <w:ind w:left="129"/>
            </w:pPr>
            <w:r>
              <w:rPr>
                <w:spacing w:val="-3"/>
              </w:rPr>
              <w:t>1965~2000</w:t>
            </w:r>
          </w:p>
        </w:tc>
        <w:tc>
          <w:tcPr>
            <w:tcW w:w="804" w:type="dxa"/>
            <w:vAlign w:val="top"/>
          </w:tcPr>
          <w:p>
            <w:pPr>
              <w:spacing w:line="435" w:lineRule="auto"/>
              <w:rPr>
                <w:rFonts w:ascii="Arial"/>
                <w:sz w:val="21"/>
              </w:rPr>
            </w:pPr>
          </w:p>
          <w:p>
            <w:pPr>
              <w:pStyle w:val="6"/>
              <w:spacing w:before="60" w:line="200" w:lineRule="auto"/>
              <w:ind w:left="210"/>
            </w:pPr>
            <w:r>
              <w:rPr>
                <w:spacing w:val="-5"/>
              </w:rPr>
              <w:t>1;2.5</w:t>
            </w:r>
          </w:p>
        </w:tc>
        <w:tc>
          <w:tcPr>
            <w:tcW w:w="1711" w:type="dxa"/>
            <w:tcBorders>
              <w:right w:val="nil"/>
            </w:tcBorders>
            <w:vAlign w:val="top"/>
          </w:tcPr>
          <w:p>
            <w:pPr>
              <w:pStyle w:val="6"/>
              <w:spacing w:before="54" w:line="229" w:lineRule="auto"/>
              <w:ind w:left="137" w:right="133" w:hanging="17"/>
              <w:rPr>
                <w:rFonts w:ascii="仿宋" w:hAnsi="仿宋" w:eastAsia="仿宋" w:cs="仿宋"/>
              </w:rPr>
            </w:pPr>
            <w:r>
              <w:rPr>
                <w:rFonts w:ascii="仿宋" w:hAnsi="仿宋" w:eastAsia="仿宋" w:cs="仿宋"/>
                <w:spacing w:val="-3"/>
              </w:rPr>
              <w:t>输水明渠、杨家</w:t>
            </w:r>
            <w:r>
              <w:rPr>
                <w:rFonts w:ascii="仿宋" w:hAnsi="仿宋" w:eastAsia="仿宋" w:cs="仿宋"/>
                <w:spacing w:val="4"/>
              </w:rPr>
              <w:t xml:space="preserve"> </w:t>
            </w:r>
            <w:r>
              <w:rPr>
                <w:rFonts w:ascii="仿宋" w:hAnsi="仿宋" w:eastAsia="仿宋" w:cs="仿宋"/>
                <w:spacing w:val="-6"/>
              </w:rPr>
              <w:t>山</w:t>
            </w:r>
            <w:r>
              <w:rPr>
                <w:rFonts w:ascii="仿宋" w:hAnsi="仿宋" w:eastAsia="仿宋" w:cs="仿宋"/>
                <w:spacing w:val="-43"/>
              </w:rPr>
              <w:t xml:space="preserve"> </w:t>
            </w:r>
            <w:r>
              <w:rPr>
                <w:spacing w:val="-6"/>
              </w:rPr>
              <w:t>2#</w:t>
            </w:r>
            <w:r>
              <w:rPr>
                <w:rFonts w:ascii="仿宋" w:hAnsi="仿宋" w:eastAsia="仿宋" w:cs="仿宋"/>
                <w:spacing w:val="-6"/>
              </w:rPr>
              <w:t>倒虹吸、</w:t>
            </w:r>
          </w:p>
          <w:p>
            <w:pPr>
              <w:spacing w:before="24" w:line="211" w:lineRule="auto"/>
              <w:ind w:left="119" w:right="133" w:firstLine="7"/>
              <w:rPr>
                <w:rFonts w:ascii="仿宋" w:hAnsi="仿宋" w:eastAsia="仿宋" w:cs="仿宋"/>
                <w:sz w:val="21"/>
                <w:szCs w:val="21"/>
              </w:rPr>
            </w:pPr>
            <w:r>
              <w:rPr>
                <w:rFonts w:ascii="仿宋" w:hAnsi="仿宋" w:eastAsia="仿宋" w:cs="仿宋"/>
                <w:spacing w:val="-4"/>
                <w:sz w:val="21"/>
                <w:szCs w:val="21"/>
              </w:rPr>
              <w:t>碧么隧洞进口弃</w:t>
            </w:r>
            <w:r>
              <w:rPr>
                <w:rFonts w:ascii="仿宋" w:hAnsi="仿宋" w:eastAsia="仿宋" w:cs="仿宋"/>
                <w:spacing w:val="4"/>
                <w:sz w:val="21"/>
                <w:szCs w:val="21"/>
              </w:rPr>
              <w:t xml:space="preserve"> </w:t>
            </w:r>
            <w:r>
              <w:rPr>
                <w:rFonts w:ascii="仿宋" w:hAnsi="仿宋" w:eastAsia="仿宋" w:cs="仿宋"/>
                <w:sz w:val="21"/>
                <w:szCs w:val="21"/>
              </w:rPr>
              <w:t>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3" w:hRule="atLeast"/>
        </w:trPr>
        <w:tc>
          <w:tcPr>
            <w:tcW w:w="926" w:type="dxa"/>
            <w:tcBorders>
              <w:left w:val="nil"/>
              <w:bottom w:val="single" w:color="000000" w:sz="12" w:space="0"/>
            </w:tcBorders>
            <w:vAlign w:val="top"/>
          </w:tcPr>
          <w:p>
            <w:pPr>
              <w:pStyle w:val="6"/>
              <w:spacing w:before="60" w:line="221" w:lineRule="auto"/>
              <w:ind w:left="274" w:right="156" w:hanging="95"/>
              <w:rPr>
                <w:rFonts w:ascii="仿宋" w:hAnsi="仿宋" w:eastAsia="仿宋" w:cs="仿宋"/>
              </w:rPr>
            </w:pPr>
            <w:r>
              <w:rPr>
                <w:spacing w:val="-11"/>
              </w:rPr>
              <w:t>15</w:t>
            </w:r>
            <w:r>
              <w:rPr>
                <w:rFonts w:ascii="仿宋" w:hAnsi="仿宋" w:eastAsia="仿宋" w:cs="仿宋"/>
                <w:spacing w:val="-11"/>
              </w:rPr>
              <w:t>＃弃</w:t>
            </w:r>
            <w:r>
              <w:rPr>
                <w:rFonts w:ascii="仿宋" w:hAnsi="仿宋" w:eastAsia="仿宋" w:cs="仿宋"/>
              </w:rPr>
              <w:t xml:space="preserve"> </w:t>
            </w:r>
            <w:r>
              <w:rPr>
                <w:rFonts w:ascii="仿宋" w:hAnsi="仿宋" w:eastAsia="仿宋" w:cs="仿宋"/>
                <w:spacing w:val="-4"/>
              </w:rPr>
              <w:t>渣场</w:t>
            </w:r>
          </w:p>
        </w:tc>
        <w:tc>
          <w:tcPr>
            <w:tcW w:w="2736" w:type="dxa"/>
            <w:tcBorders>
              <w:bottom w:val="single" w:color="000000" w:sz="12" w:space="0"/>
            </w:tcBorders>
            <w:vAlign w:val="top"/>
          </w:tcPr>
          <w:p>
            <w:pPr>
              <w:spacing w:before="196" w:line="217" w:lineRule="auto"/>
              <w:ind w:left="127"/>
              <w:rPr>
                <w:rFonts w:ascii="仿宋" w:hAnsi="仿宋" w:eastAsia="仿宋" w:cs="仿宋"/>
                <w:sz w:val="21"/>
                <w:szCs w:val="21"/>
              </w:rPr>
            </w:pPr>
            <w:r>
              <w:rPr>
                <w:rFonts w:ascii="仿宋" w:hAnsi="仿宋" w:eastAsia="仿宋" w:cs="仿宋"/>
                <w:spacing w:val="-2"/>
                <w:sz w:val="21"/>
                <w:szCs w:val="21"/>
              </w:rPr>
              <w:t>碧么隧洞中段下方箐沟</w:t>
            </w:r>
          </w:p>
        </w:tc>
        <w:tc>
          <w:tcPr>
            <w:tcW w:w="1007" w:type="dxa"/>
            <w:tcBorders>
              <w:bottom w:val="single" w:color="000000" w:sz="12" w:space="0"/>
            </w:tcBorders>
            <w:vAlign w:val="top"/>
          </w:tcPr>
          <w:p>
            <w:pPr>
              <w:spacing w:before="196"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tcBorders>
              <w:bottom w:val="single" w:color="000000" w:sz="12" w:space="0"/>
            </w:tcBorders>
            <w:vAlign w:val="top"/>
          </w:tcPr>
          <w:p>
            <w:pPr>
              <w:pStyle w:val="6"/>
              <w:spacing w:before="231" w:line="188" w:lineRule="auto"/>
              <w:ind w:left="390"/>
            </w:pPr>
            <w:r>
              <w:rPr>
                <w:spacing w:val="-2"/>
              </w:rPr>
              <w:t>0.28</w:t>
            </w:r>
          </w:p>
        </w:tc>
        <w:tc>
          <w:tcPr>
            <w:tcW w:w="636" w:type="dxa"/>
            <w:tcBorders>
              <w:bottom w:val="single" w:color="000000" w:sz="12" w:space="0"/>
            </w:tcBorders>
            <w:vAlign w:val="top"/>
          </w:tcPr>
          <w:p>
            <w:pPr>
              <w:spacing w:before="59" w:line="218" w:lineRule="auto"/>
              <w:ind w:left="117"/>
              <w:rPr>
                <w:rFonts w:ascii="仿宋" w:hAnsi="仿宋" w:eastAsia="仿宋" w:cs="仿宋"/>
                <w:sz w:val="21"/>
                <w:szCs w:val="21"/>
              </w:rPr>
            </w:pPr>
            <w:r>
              <w:rPr>
                <w:rFonts w:ascii="仿宋" w:hAnsi="仿宋" w:eastAsia="仿宋" w:cs="仿宋"/>
                <w:spacing w:val="-3"/>
                <w:sz w:val="21"/>
                <w:szCs w:val="21"/>
              </w:rPr>
              <w:t>有林</w:t>
            </w:r>
          </w:p>
          <w:p>
            <w:pPr>
              <w:spacing w:before="24" w:line="203" w:lineRule="auto"/>
              <w:ind w:left="225"/>
              <w:rPr>
                <w:rFonts w:ascii="仿宋" w:hAnsi="仿宋" w:eastAsia="仿宋" w:cs="仿宋"/>
                <w:sz w:val="21"/>
                <w:szCs w:val="21"/>
              </w:rPr>
            </w:pPr>
            <w:r>
              <w:rPr>
                <w:rFonts w:ascii="仿宋" w:hAnsi="仿宋" w:eastAsia="仿宋" w:cs="仿宋"/>
                <w:sz w:val="21"/>
                <w:szCs w:val="21"/>
              </w:rPr>
              <w:t>地</w:t>
            </w:r>
          </w:p>
        </w:tc>
        <w:tc>
          <w:tcPr>
            <w:tcW w:w="1287" w:type="dxa"/>
            <w:tcBorders>
              <w:bottom w:val="single" w:color="000000" w:sz="12" w:space="0"/>
            </w:tcBorders>
            <w:vAlign w:val="top"/>
          </w:tcPr>
          <w:p>
            <w:pPr>
              <w:pStyle w:val="6"/>
              <w:spacing w:before="231" w:line="188" w:lineRule="auto"/>
              <w:ind w:left="481"/>
            </w:pPr>
            <w:r>
              <w:rPr>
                <w:spacing w:val="-6"/>
              </w:rPr>
              <w:t>1.16</w:t>
            </w:r>
          </w:p>
        </w:tc>
        <w:tc>
          <w:tcPr>
            <w:tcW w:w="974" w:type="dxa"/>
            <w:tcBorders>
              <w:bottom w:val="single" w:color="000000" w:sz="12" w:space="0"/>
            </w:tcBorders>
            <w:vAlign w:val="top"/>
          </w:tcPr>
          <w:p>
            <w:pPr>
              <w:pStyle w:val="6"/>
              <w:spacing w:before="231" w:line="188" w:lineRule="auto"/>
              <w:ind w:left="307"/>
            </w:pPr>
            <w:r>
              <w:rPr>
                <w:spacing w:val="-2"/>
              </w:rPr>
              <w:t>0.66</w:t>
            </w:r>
          </w:p>
        </w:tc>
        <w:tc>
          <w:tcPr>
            <w:tcW w:w="812" w:type="dxa"/>
            <w:tcBorders>
              <w:bottom w:val="single" w:color="000000" w:sz="12" w:space="0"/>
            </w:tcBorders>
            <w:vAlign w:val="top"/>
          </w:tcPr>
          <w:p>
            <w:pPr>
              <w:pStyle w:val="6"/>
              <w:spacing w:before="234" w:line="185" w:lineRule="auto"/>
              <w:ind w:left="361"/>
            </w:pPr>
            <w:r>
              <w:t>5</w:t>
            </w:r>
          </w:p>
        </w:tc>
        <w:tc>
          <w:tcPr>
            <w:tcW w:w="814" w:type="dxa"/>
            <w:tcBorders>
              <w:bottom w:val="single" w:color="000000" w:sz="12" w:space="0"/>
            </w:tcBorders>
            <w:vAlign w:val="top"/>
          </w:tcPr>
          <w:p>
            <w:pPr>
              <w:pStyle w:val="6"/>
              <w:spacing w:before="231" w:line="188" w:lineRule="auto"/>
              <w:ind w:left="304"/>
            </w:pPr>
            <w:r>
              <w:rPr>
                <w:spacing w:val="-1"/>
              </w:rPr>
              <w:t>20</w:t>
            </w:r>
          </w:p>
        </w:tc>
        <w:tc>
          <w:tcPr>
            <w:tcW w:w="1170" w:type="dxa"/>
            <w:tcBorders>
              <w:bottom w:val="single" w:color="000000" w:sz="12" w:space="0"/>
            </w:tcBorders>
            <w:vAlign w:val="top"/>
          </w:tcPr>
          <w:p>
            <w:pPr>
              <w:pStyle w:val="6"/>
              <w:spacing w:before="231" w:line="188" w:lineRule="auto"/>
              <w:ind w:left="129"/>
            </w:pPr>
            <w:r>
              <w:rPr>
                <w:spacing w:val="-3"/>
              </w:rPr>
              <w:t>1965~1985</w:t>
            </w:r>
          </w:p>
        </w:tc>
        <w:tc>
          <w:tcPr>
            <w:tcW w:w="804" w:type="dxa"/>
            <w:tcBorders>
              <w:bottom w:val="single" w:color="000000" w:sz="12" w:space="0"/>
            </w:tcBorders>
            <w:vAlign w:val="top"/>
          </w:tcPr>
          <w:p>
            <w:pPr>
              <w:pStyle w:val="6"/>
              <w:spacing w:before="230" w:line="200" w:lineRule="auto"/>
              <w:ind w:left="210"/>
            </w:pPr>
            <w:r>
              <w:rPr>
                <w:spacing w:val="-5"/>
              </w:rPr>
              <w:t>1;2.5</w:t>
            </w:r>
          </w:p>
        </w:tc>
        <w:tc>
          <w:tcPr>
            <w:tcW w:w="1711" w:type="dxa"/>
            <w:tcBorders>
              <w:bottom w:val="single" w:color="000000" w:sz="12" w:space="0"/>
              <w:right w:val="nil"/>
            </w:tcBorders>
            <w:vAlign w:val="top"/>
          </w:tcPr>
          <w:p>
            <w:pPr>
              <w:spacing w:before="60" w:line="221" w:lineRule="auto"/>
              <w:ind w:left="140" w:right="133" w:hanging="13"/>
              <w:rPr>
                <w:rFonts w:ascii="仿宋" w:hAnsi="仿宋" w:eastAsia="仿宋" w:cs="仿宋"/>
                <w:sz w:val="21"/>
                <w:szCs w:val="21"/>
              </w:rPr>
            </w:pPr>
            <w:r>
              <w:rPr>
                <w:rFonts w:ascii="仿宋" w:hAnsi="仿宋" w:eastAsia="仿宋" w:cs="仿宋"/>
                <w:spacing w:val="-4"/>
                <w:sz w:val="21"/>
                <w:szCs w:val="21"/>
              </w:rPr>
              <w:t>碧么隧洞中段及</w:t>
            </w:r>
            <w:r>
              <w:rPr>
                <w:rFonts w:ascii="仿宋" w:hAnsi="仿宋" w:eastAsia="仿宋" w:cs="仿宋"/>
                <w:spacing w:val="4"/>
                <w:sz w:val="21"/>
                <w:szCs w:val="21"/>
              </w:rPr>
              <w:t xml:space="preserve"> </w:t>
            </w:r>
            <w:r>
              <w:rPr>
                <w:rFonts w:ascii="仿宋" w:hAnsi="仿宋" w:eastAsia="仿宋" w:cs="仿宋"/>
                <w:spacing w:val="-7"/>
                <w:sz w:val="21"/>
                <w:szCs w:val="21"/>
              </w:rPr>
              <w:t>出口弃渣</w:t>
            </w:r>
          </w:p>
        </w:tc>
      </w:tr>
    </w:tbl>
    <w:p>
      <w:pPr>
        <w:rPr>
          <w:rFonts w:ascii="Arial"/>
          <w:sz w:val="21"/>
        </w:rPr>
      </w:pPr>
    </w:p>
    <w:p>
      <w:pPr>
        <w:rPr>
          <w:rFonts w:ascii="Arial" w:hAnsi="Arial" w:eastAsia="Arial" w:cs="Arial"/>
          <w:sz w:val="21"/>
          <w:szCs w:val="21"/>
        </w:rPr>
        <w:sectPr>
          <w:footerReference r:id="rId99" w:type="default"/>
          <w:pgSz w:w="16839" w:h="11907"/>
          <w:pgMar w:top="1298" w:right="1387" w:bottom="1374" w:left="1388" w:header="1023" w:footer="1210" w:gutter="0"/>
        </w:sectPr>
      </w:pPr>
    </w:p>
    <w:p>
      <w:pPr>
        <w:spacing w:line="232" w:lineRule="exact"/>
      </w:pPr>
    </w:p>
    <w:tbl>
      <w:tblPr>
        <w:tblStyle w:val="5"/>
        <w:tblW w:w="1401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2736"/>
        <w:gridCol w:w="1007"/>
        <w:gridCol w:w="1140"/>
        <w:gridCol w:w="636"/>
        <w:gridCol w:w="1287"/>
        <w:gridCol w:w="974"/>
        <w:gridCol w:w="812"/>
        <w:gridCol w:w="814"/>
        <w:gridCol w:w="1170"/>
        <w:gridCol w:w="804"/>
        <w:gridCol w:w="17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84" w:hRule="atLeast"/>
        </w:trPr>
        <w:tc>
          <w:tcPr>
            <w:tcW w:w="926" w:type="dxa"/>
            <w:tcBorders>
              <w:top w:val="single" w:color="000000" w:sz="12" w:space="0"/>
              <w:left w:val="nil"/>
            </w:tcBorders>
            <w:vAlign w:val="top"/>
          </w:tcPr>
          <w:p>
            <w:pPr>
              <w:spacing w:line="368" w:lineRule="auto"/>
              <w:rPr>
                <w:rFonts w:ascii="Arial"/>
                <w:sz w:val="21"/>
              </w:rPr>
            </w:pPr>
          </w:p>
          <w:p>
            <w:pPr>
              <w:spacing w:before="68" w:line="217" w:lineRule="auto"/>
              <w:ind w:left="27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2736" w:type="dxa"/>
            <w:tcBorders>
              <w:top w:val="single" w:color="000000" w:sz="12" w:space="0"/>
            </w:tcBorders>
            <w:vAlign w:val="top"/>
          </w:tcPr>
          <w:p>
            <w:pPr>
              <w:spacing w:line="369" w:lineRule="auto"/>
              <w:rPr>
                <w:rFonts w:ascii="Arial"/>
                <w:sz w:val="21"/>
              </w:rPr>
            </w:pPr>
          </w:p>
          <w:p>
            <w:pPr>
              <w:spacing w:before="68" w:line="217" w:lineRule="auto"/>
              <w:ind w:left="1116"/>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位</w:t>
            </w:r>
            <w:r>
              <w:rPr>
                <w:rFonts w:ascii="仿宋" w:hAnsi="仿宋" w:eastAsia="仿宋" w:cs="仿宋"/>
                <w:spacing w:val="16"/>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置</w:t>
            </w:r>
          </w:p>
        </w:tc>
        <w:tc>
          <w:tcPr>
            <w:tcW w:w="1007" w:type="dxa"/>
            <w:tcBorders>
              <w:top w:val="single" w:color="000000" w:sz="12" w:space="0"/>
            </w:tcBorders>
            <w:vAlign w:val="top"/>
          </w:tcPr>
          <w:p>
            <w:pPr>
              <w:spacing w:before="304" w:line="232" w:lineRule="auto"/>
              <w:ind w:left="419" w:right="184" w:hanging="219"/>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渣场类</w:t>
            </w:r>
            <w:r>
              <w:rPr>
                <w:rFonts w:ascii="仿宋" w:hAnsi="仿宋" w:eastAsia="仿宋" w:cs="仿宋"/>
                <w:spacing w:val="1"/>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型</w:t>
            </w:r>
          </w:p>
        </w:tc>
        <w:tc>
          <w:tcPr>
            <w:tcW w:w="1140" w:type="dxa"/>
            <w:tcBorders>
              <w:top w:val="single" w:color="000000" w:sz="12" w:space="0"/>
            </w:tcBorders>
            <w:vAlign w:val="top"/>
          </w:tcPr>
          <w:p>
            <w:pPr>
              <w:spacing w:line="368" w:lineRule="auto"/>
              <w:rPr>
                <w:rFonts w:ascii="Arial"/>
                <w:sz w:val="21"/>
              </w:rPr>
            </w:pPr>
          </w:p>
          <w:p>
            <w:pPr>
              <w:pStyle w:val="6"/>
              <w:spacing w:before="69" w:line="215" w:lineRule="auto"/>
              <w:ind w:left="156"/>
            </w:pPr>
            <w:r>
              <w:rPr>
                <w:rFonts w:ascii="仿宋" w:hAnsi="仿宋" w:eastAsia="仿宋" w:cs="仿宋"/>
                <w:spacing w:val="-7"/>
                <w14:textOutline w14:w="3810" w14:cap="flat" w14:cmpd="sng">
                  <w14:solidFill>
                    <w14:srgbClr w14:val="000000"/>
                  </w14:solidFill>
                  <w14:prstDash w14:val="solid"/>
                  <w14:miter w14:val="0"/>
                </w14:textOutline>
              </w:rPr>
              <w:t>占地</w:t>
            </w:r>
            <w:r>
              <w:rPr>
                <w:b/>
                <w:bCs/>
                <w:spacing w:val="-7"/>
              </w:rPr>
              <w:t>(hm</w:t>
            </w:r>
            <w:r>
              <w:rPr>
                <w:b/>
                <w:bCs/>
                <w:spacing w:val="-7"/>
                <w:position w:val="6"/>
                <w:sz w:val="14"/>
                <w:szCs w:val="14"/>
              </w:rPr>
              <w:t>2</w:t>
            </w:r>
            <w:r>
              <w:rPr>
                <w:b/>
                <w:bCs/>
                <w:spacing w:val="-7"/>
              </w:rPr>
              <w:t>)</w:t>
            </w:r>
          </w:p>
        </w:tc>
        <w:tc>
          <w:tcPr>
            <w:tcW w:w="636" w:type="dxa"/>
            <w:tcBorders>
              <w:top w:val="single" w:color="000000" w:sz="12" w:space="0"/>
            </w:tcBorders>
            <w:textDirection w:val="tbRlV"/>
            <w:vAlign w:val="top"/>
          </w:tcPr>
          <w:p>
            <w:pPr>
              <w:spacing w:before="210" w:line="203" w:lineRule="auto"/>
              <w:ind w:left="31"/>
              <w:rPr>
                <w:rFonts w:ascii="仿宋" w:hAnsi="仿宋" w:eastAsia="仿宋" w:cs="仿宋"/>
                <w:sz w:val="21"/>
                <w:szCs w:val="21"/>
              </w:rPr>
            </w:pPr>
            <w:r>
              <w:rPr>
                <w:rFonts w:ascii="仿宋" w:hAnsi="仿宋" w:eastAsia="仿宋" w:cs="仿宋"/>
                <w:spacing w:val="46"/>
                <w:sz w:val="21"/>
                <w:szCs w:val="21"/>
                <w14:textOutline w14:w="3810" w14:cap="flat" w14:cmpd="sng">
                  <w14:solidFill>
                    <w14:srgbClr w14:val="000000"/>
                  </w14:solidFill>
                  <w14:prstDash w14:val="solid"/>
                  <w14:miter w14:val="0"/>
                </w14:textOutline>
              </w:rPr>
              <w:t>占地类型</w:t>
            </w:r>
          </w:p>
        </w:tc>
        <w:tc>
          <w:tcPr>
            <w:tcW w:w="1287" w:type="dxa"/>
            <w:tcBorders>
              <w:top w:val="single" w:color="000000" w:sz="12" w:space="0"/>
            </w:tcBorders>
            <w:vAlign w:val="top"/>
          </w:tcPr>
          <w:p>
            <w:pPr>
              <w:spacing w:line="368" w:lineRule="auto"/>
              <w:rPr>
                <w:rFonts w:ascii="Arial"/>
                <w:sz w:val="21"/>
              </w:rPr>
            </w:pPr>
          </w:p>
          <w:p>
            <w:pPr>
              <w:pStyle w:val="6"/>
              <w:spacing w:before="69" w:line="215" w:lineRule="auto"/>
              <w:ind w:left="122"/>
            </w:pPr>
            <w:r>
              <w:rPr>
                <w:rFonts w:ascii="仿宋" w:hAnsi="仿宋" w:eastAsia="仿宋" w:cs="仿宋"/>
                <w:spacing w:val="-4"/>
                <w14:textOutline w14:w="3810" w14:cap="flat" w14:cmpd="sng">
                  <w14:solidFill>
                    <w14:srgbClr w14:val="000000"/>
                  </w14:solidFill>
                  <w14:prstDash w14:val="solid"/>
                  <w14:miter w14:val="0"/>
                </w14:textOutline>
              </w:rPr>
              <w:t>容积</w:t>
            </w:r>
            <w:r>
              <w:rPr>
                <w:b/>
                <w:bCs/>
                <w:spacing w:val="-4"/>
              </w:rPr>
              <w:t>(</w:t>
            </w:r>
            <w:r>
              <w:rPr>
                <w:rFonts w:ascii="仿宋" w:hAnsi="仿宋" w:eastAsia="仿宋" w:cs="仿宋"/>
                <w:spacing w:val="-4"/>
                <w14:textOutline w14:w="3810" w14:cap="flat" w14:cmpd="sng">
                  <w14:solidFill>
                    <w14:srgbClr w14:val="000000"/>
                  </w14:solidFill>
                  <w14:prstDash w14:val="solid"/>
                  <w14:miter w14:val="0"/>
                </w14:textOutline>
              </w:rPr>
              <w:t>万</w:t>
            </w:r>
            <w:r>
              <w:rPr>
                <w:rFonts w:ascii="仿宋" w:hAnsi="仿宋" w:eastAsia="仿宋" w:cs="仿宋"/>
                <w:spacing w:val="-39"/>
              </w:rPr>
              <w:t xml:space="preserve"> </w:t>
            </w:r>
            <w:r>
              <w:rPr>
                <w:b/>
                <w:bCs/>
                <w:spacing w:val="-4"/>
              </w:rPr>
              <w:t>m</w:t>
            </w:r>
            <w:r>
              <w:rPr>
                <w:b/>
                <w:bCs/>
                <w:spacing w:val="-4"/>
                <w:position w:val="6"/>
                <w:sz w:val="14"/>
                <w:szCs w:val="14"/>
              </w:rPr>
              <w:t>3</w:t>
            </w:r>
            <w:r>
              <w:rPr>
                <w:b/>
                <w:bCs/>
                <w:spacing w:val="-4"/>
              </w:rPr>
              <w:t>)</w:t>
            </w:r>
          </w:p>
        </w:tc>
        <w:tc>
          <w:tcPr>
            <w:tcW w:w="974" w:type="dxa"/>
            <w:tcBorders>
              <w:top w:val="single" w:color="000000" w:sz="12" w:space="0"/>
            </w:tcBorders>
            <w:vAlign w:val="top"/>
          </w:tcPr>
          <w:p>
            <w:pPr>
              <w:spacing w:before="46" w:line="219" w:lineRule="auto"/>
              <w:ind w:left="18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处理弃</w:t>
            </w:r>
          </w:p>
          <w:p>
            <w:pPr>
              <w:pStyle w:val="6"/>
              <w:spacing w:before="23" w:line="215" w:lineRule="auto"/>
              <w:ind w:left="147"/>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渣</w:t>
            </w:r>
            <w:r>
              <w:rPr>
                <w:b/>
                <w:bCs/>
                <w:spacing w:val="-4"/>
              </w:rPr>
              <w:t>(</w:t>
            </w:r>
            <w:r>
              <w:rPr>
                <w:rFonts w:ascii="仿宋" w:hAnsi="仿宋" w:eastAsia="仿宋" w:cs="仿宋"/>
                <w:spacing w:val="-4"/>
                <w14:textOutline w14:w="3810" w14:cap="flat" w14:cmpd="sng">
                  <w14:solidFill>
                    <w14:srgbClr w14:val="000000"/>
                  </w14:solidFill>
                  <w14:prstDash w14:val="solid"/>
                  <w14:miter w14:val="0"/>
                </w14:textOutline>
              </w:rPr>
              <w:t>自然</w:t>
            </w:r>
          </w:p>
          <w:p>
            <w:pPr>
              <w:spacing w:before="27" w:line="220" w:lineRule="auto"/>
              <w:ind w:left="291"/>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方万</w:t>
            </w:r>
          </w:p>
          <w:p>
            <w:pPr>
              <w:pStyle w:val="6"/>
              <w:spacing w:before="20" w:line="210" w:lineRule="auto"/>
              <w:ind w:left="334"/>
            </w:pPr>
            <w:r>
              <w:rPr>
                <w:b/>
                <w:bCs/>
                <w:spacing w:val="-3"/>
              </w:rPr>
              <w:t>m</w:t>
            </w:r>
            <w:r>
              <w:rPr>
                <w:b/>
                <w:bCs/>
                <w:spacing w:val="-3"/>
                <w:position w:val="6"/>
                <w:sz w:val="14"/>
                <w:szCs w:val="14"/>
              </w:rPr>
              <w:t>3</w:t>
            </w:r>
            <w:r>
              <w:rPr>
                <w:b/>
                <w:bCs/>
                <w:spacing w:val="-3"/>
              </w:rPr>
              <w:t>)</w:t>
            </w:r>
          </w:p>
        </w:tc>
        <w:tc>
          <w:tcPr>
            <w:tcW w:w="812" w:type="dxa"/>
            <w:tcBorders>
              <w:top w:val="single" w:color="000000" w:sz="12" w:space="0"/>
            </w:tcBorders>
            <w:vAlign w:val="top"/>
          </w:tcPr>
          <w:p>
            <w:pPr>
              <w:pStyle w:val="6"/>
              <w:spacing w:before="165" w:line="242" w:lineRule="auto"/>
              <w:ind w:left="118" w:right="119" w:firstLine="86"/>
              <w:jc w:val="both"/>
              <w:rPr>
                <w:rFonts w:ascii="仿宋" w:hAnsi="仿宋" w:eastAsia="仿宋" w:cs="仿宋"/>
              </w:rPr>
            </w:pPr>
            <w:r>
              <w:rPr>
                <w:rFonts w:ascii="仿宋" w:hAnsi="仿宋" w:eastAsia="仿宋" w:cs="仿宋"/>
                <w:spacing w:val="-7"/>
                <w14:textOutline w14:w="3810" w14:cap="flat" w14:cmpd="sng">
                  <w14:solidFill>
                    <w14:srgbClr w14:val="000000"/>
                  </w14:solidFill>
                  <w14:prstDash w14:val="solid"/>
                  <w14:miter w14:val="0"/>
                </w14:textOutline>
              </w:rPr>
              <w:t>挡墙</w:t>
            </w:r>
            <w:r>
              <w:rPr>
                <w:rFonts w:ascii="仿宋" w:hAnsi="仿宋" w:eastAsia="仿宋" w:cs="仿宋"/>
              </w:rPr>
              <w:t xml:space="preserve"> </w:t>
            </w:r>
            <w:r>
              <w:rPr>
                <w:rFonts w:ascii="仿宋" w:hAnsi="仿宋" w:eastAsia="仿宋" w:cs="仿宋"/>
                <w:spacing w:val="37"/>
                <w14:textOutline w14:w="3810" w14:cap="flat" w14:cmpd="sng">
                  <w14:solidFill>
                    <w14:srgbClr w14:val="000000"/>
                  </w14:solidFill>
                  <w14:prstDash w14:val="solid"/>
                  <w14:miter w14:val="0"/>
                </w14:textOutline>
              </w:rPr>
              <w:t>高度</w:t>
            </w:r>
            <w:r>
              <w:rPr>
                <w:rFonts w:ascii="仿宋" w:hAnsi="仿宋" w:eastAsia="仿宋" w:cs="仿宋"/>
              </w:rPr>
              <w:t xml:space="preserve"> </w:t>
            </w:r>
            <w:r>
              <w:rPr>
                <w:rFonts w:ascii="仿宋" w:hAnsi="仿宋" w:eastAsia="仿宋" w:cs="仿宋"/>
                <w:spacing w:val="-9"/>
                <w14:textOutline w14:w="3810" w14:cap="flat" w14:cmpd="sng">
                  <w14:solidFill>
                    <w14:srgbClr w14:val="000000"/>
                  </w14:solidFill>
                  <w14:prstDash w14:val="solid"/>
                  <w14:miter w14:val="0"/>
                </w14:textOutline>
              </w:rPr>
              <w:t>（</w:t>
            </w:r>
            <w:r>
              <w:rPr>
                <w:b/>
                <w:bCs/>
                <w:spacing w:val="-9"/>
              </w:rPr>
              <w:t>m</w:t>
            </w:r>
            <w:r>
              <w:rPr>
                <w:rFonts w:ascii="仿宋" w:hAnsi="仿宋" w:eastAsia="仿宋" w:cs="仿宋"/>
                <w:spacing w:val="-9"/>
                <w14:textOutline w14:w="3810" w14:cap="flat" w14:cmpd="sng">
                  <w14:solidFill>
                    <w14:srgbClr w14:val="000000"/>
                  </w14:solidFill>
                  <w14:prstDash w14:val="solid"/>
                  <w14:miter w14:val="0"/>
                </w14:textOutline>
              </w:rPr>
              <w:t>）</w:t>
            </w:r>
          </w:p>
        </w:tc>
        <w:tc>
          <w:tcPr>
            <w:tcW w:w="814" w:type="dxa"/>
            <w:tcBorders>
              <w:top w:val="single" w:color="000000" w:sz="12" w:space="0"/>
            </w:tcBorders>
            <w:vAlign w:val="top"/>
          </w:tcPr>
          <w:p>
            <w:pPr>
              <w:pStyle w:val="6"/>
              <w:spacing w:before="165" w:line="242" w:lineRule="auto"/>
              <w:ind w:left="120" w:right="119" w:firstLine="88"/>
              <w:jc w:val="both"/>
              <w:rPr>
                <w:rFonts w:ascii="仿宋" w:hAnsi="仿宋" w:eastAsia="仿宋" w:cs="仿宋"/>
              </w:rPr>
            </w:pPr>
            <w:r>
              <w:rPr>
                <w:rFonts w:ascii="仿宋" w:hAnsi="仿宋" w:eastAsia="仿宋" w:cs="仿宋"/>
                <w:spacing w:val="-7"/>
                <w14:textOutline w14:w="3810" w14:cap="flat" w14:cmpd="sng">
                  <w14:solidFill>
                    <w14:srgbClr w14:val="000000"/>
                  </w14:solidFill>
                  <w14:prstDash w14:val="solid"/>
                  <w14:miter w14:val="0"/>
                </w14:textOutline>
              </w:rPr>
              <w:t>堆渣</w:t>
            </w:r>
            <w:r>
              <w:rPr>
                <w:rFonts w:ascii="仿宋" w:hAnsi="仿宋" w:eastAsia="仿宋" w:cs="仿宋"/>
              </w:rPr>
              <w:t xml:space="preserve"> </w:t>
            </w:r>
            <w:r>
              <w:rPr>
                <w:rFonts w:ascii="仿宋" w:hAnsi="仿宋" w:eastAsia="仿宋" w:cs="仿宋"/>
                <w:spacing w:val="37"/>
                <w14:textOutline w14:w="3810" w14:cap="flat" w14:cmpd="sng">
                  <w14:solidFill>
                    <w14:srgbClr w14:val="000000"/>
                  </w14:solidFill>
                  <w14:prstDash w14:val="solid"/>
                  <w14:miter w14:val="0"/>
                </w14:textOutline>
              </w:rPr>
              <w:t>高度</w:t>
            </w:r>
            <w:r>
              <w:rPr>
                <w:rFonts w:ascii="仿宋" w:hAnsi="仿宋" w:eastAsia="仿宋" w:cs="仿宋"/>
              </w:rPr>
              <w:t xml:space="preserve"> </w:t>
            </w:r>
            <w:r>
              <w:rPr>
                <w:rFonts w:ascii="仿宋" w:hAnsi="仿宋" w:eastAsia="仿宋" w:cs="仿宋"/>
                <w:spacing w:val="-9"/>
                <w14:textOutline w14:w="3810" w14:cap="flat" w14:cmpd="sng">
                  <w14:solidFill>
                    <w14:srgbClr w14:val="000000"/>
                  </w14:solidFill>
                  <w14:prstDash w14:val="solid"/>
                  <w14:miter w14:val="0"/>
                </w14:textOutline>
              </w:rPr>
              <w:t>（</w:t>
            </w:r>
            <w:r>
              <w:rPr>
                <w:b/>
                <w:bCs/>
                <w:spacing w:val="-9"/>
              </w:rPr>
              <w:t>m</w:t>
            </w:r>
            <w:r>
              <w:rPr>
                <w:rFonts w:ascii="仿宋" w:hAnsi="仿宋" w:eastAsia="仿宋" w:cs="仿宋"/>
                <w:spacing w:val="-9"/>
                <w14:textOutline w14:w="3810" w14:cap="flat" w14:cmpd="sng">
                  <w14:solidFill>
                    <w14:srgbClr w14:val="000000"/>
                  </w14:solidFill>
                  <w14:prstDash w14:val="solid"/>
                  <w14:miter w14:val="0"/>
                </w14:textOutline>
              </w:rPr>
              <w:t>）</w:t>
            </w:r>
          </w:p>
        </w:tc>
        <w:tc>
          <w:tcPr>
            <w:tcW w:w="1170" w:type="dxa"/>
            <w:tcBorders>
              <w:top w:val="single" w:color="000000" w:sz="12" w:space="0"/>
            </w:tcBorders>
            <w:vAlign w:val="top"/>
          </w:tcPr>
          <w:p>
            <w:pPr>
              <w:spacing w:line="368" w:lineRule="auto"/>
              <w:rPr>
                <w:rFonts w:ascii="Arial"/>
                <w:sz w:val="21"/>
              </w:rPr>
            </w:pPr>
          </w:p>
          <w:p>
            <w:pPr>
              <w:spacing w:before="68" w:line="217" w:lineRule="auto"/>
              <w:ind w:left="17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堆渣范围</w:t>
            </w:r>
          </w:p>
        </w:tc>
        <w:tc>
          <w:tcPr>
            <w:tcW w:w="804" w:type="dxa"/>
            <w:tcBorders>
              <w:top w:val="single" w:color="000000" w:sz="12" w:space="0"/>
            </w:tcBorders>
            <w:vAlign w:val="top"/>
          </w:tcPr>
          <w:p>
            <w:pPr>
              <w:spacing w:before="304" w:line="239" w:lineRule="auto"/>
              <w:ind w:left="20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堆渣</w:t>
            </w:r>
          </w:p>
          <w:p>
            <w:pPr>
              <w:spacing w:line="218" w:lineRule="auto"/>
              <w:ind w:left="20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坡比</w:t>
            </w:r>
          </w:p>
        </w:tc>
        <w:tc>
          <w:tcPr>
            <w:tcW w:w="1711" w:type="dxa"/>
            <w:tcBorders>
              <w:top w:val="single" w:color="000000" w:sz="12" w:space="0"/>
              <w:right w:val="nil"/>
            </w:tcBorders>
            <w:vAlign w:val="top"/>
          </w:tcPr>
          <w:p>
            <w:pPr>
              <w:spacing w:line="369" w:lineRule="auto"/>
              <w:rPr>
                <w:rFonts w:ascii="Arial"/>
                <w:sz w:val="21"/>
              </w:rPr>
            </w:pPr>
          </w:p>
          <w:p>
            <w:pPr>
              <w:spacing w:before="68" w:line="217" w:lineRule="auto"/>
              <w:ind w:left="45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弃渣来源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4" w:hRule="atLeast"/>
        </w:trPr>
        <w:tc>
          <w:tcPr>
            <w:tcW w:w="926" w:type="dxa"/>
            <w:tcBorders>
              <w:left w:val="nil"/>
            </w:tcBorders>
            <w:vAlign w:val="top"/>
          </w:tcPr>
          <w:p>
            <w:pPr>
              <w:pStyle w:val="6"/>
              <w:spacing w:before="40" w:line="217" w:lineRule="auto"/>
              <w:ind w:left="274" w:right="156" w:hanging="95"/>
              <w:rPr>
                <w:rFonts w:ascii="仿宋" w:hAnsi="仿宋" w:eastAsia="仿宋" w:cs="仿宋"/>
              </w:rPr>
            </w:pPr>
            <w:r>
              <w:rPr>
                <w:spacing w:val="-11"/>
              </w:rPr>
              <w:t>16</w:t>
            </w:r>
            <w:r>
              <w:rPr>
                <w:rFonts w:ascii="仿宋" w:hAnsi="仿宋" w:eastAsia="仿宋" w:cs="仿宋"/>
                <w:spacing w:val="-11"/>
              </w:rPr>
              <w:t>＃弃</w:t>
            </w:r>
            <w:r>
              <w:rPr>
                <w:rFonts w:ascii="仿宋" w:hAnsi="仿宋" w:eastAsia="仿宋" w:cs="仿宋"/>
              </w:rPr>
              <w:t xml:space="preserve"> </w:t>
            </w:r>
            <w:r>
              <w:rPr>
                <w:rFonts w:ascii="仿宋" w:hAnsi="仿宋" w:eastAsia="仿宋" w:cs="仿宋"/>
                <w:spacing w:val="-4"/>
              </w:rPr>
              <w:t>渣场</w:t>
            </w:r>
          </w:p>
        </w:tc>
        <w:tc>
          <w:tcPr>
            <w:tcW w:w="2736" w:type="dxa"/>
            <w:vAlign w:val="top"/>
          </w:tcPr>
          <w:p>
            <w:pPr>
              <w:spacing w:before="176" w:line="217" w:lineRule="auto"/>
              <w:ind w:left="121"/>
              <w:rPr>
                <w:rFonts w:ascii="仿宋" w:hAnsi="仿宋" w:eastAsia="仿宋" w:cs="仿宋"/>
                <w:sz w:val="21"/>
                <w:szCs w:val="21"/>
              </w:rPr>
            </w:pPr>
            <w:r>
              <w:rPr>
                <w:rFonts w:ascii="仿宋" w:hAnsi="仿宋" w:eastAsia="仿宋" w:cs="仿宋"/>
                <w:spacing w:val="-2"/>
                <w:sz w:val="21"/>
                <w:szCs w:val="21"/>
              </w:rPr>
              <w:t>海古簸隧洞出口附近箐沟</w:t>
            </w:r>
          </w:p>
        </w:tc>
        <w:tc>
          <w:tcPr>
            <w:tcW w:w="1007" w:type="dxa"/>
            <w:vAlign w:val="top"/>
          </w:tcPr>
          <w:p>
            <w:pPr>
              <w:spacing w:before="176"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pStyle w:val="6"/>
              <w:spacing w:before="213" w:line="188" w:lineRule="auto"/>
              <w:ind w:left="392"/>
            </w:pPr>
            <w:r>
              <w:rPr>
                <w:spacing w:val="-2"/>
              </w:rPr>
              <w:t>0.74</w:t>
            </w:r>
          </w:p>
        </w:tc>
        <w:tc>
          <w:tcPr>
            <w:tcW w:w="636" w:type="dxa"/>
            <w:vAlign w:val="top"/>
          </w:tcPr>
          <w:p>
            <w:pPr>
              <w:spacing w:before="41" w:line="218" w:lineRule="auto"/>
              <w:ind w:left="117"/>
              <w:rPr>
                <w:rFonts w:ascii="仿宋" w:hAnsi="仿宋" w:eastAsia="仿宋" w:cs="仿宋"/>
                <w:sz w:val="21"/>
                <w:szCs w:val="21"/>
              </w:rPr>
            </w:pPr>
            <w:r>
              <w:rPr>
                <w:rFonts w:ascii="仿宋" w:hAnsi="仿宋" w:eastAsia="仿宋" w:cs="仿宋"/>
                <w:spacing w:val="-3"/>
                <w:sz w:val="21"/>
                <w:szCs w:val="21"/>
              </w:rPr>
              <w:t>有林</w:t>
            </w:r>
          </w:p>
          <w:p>
            <w:pPr>
              <w:spacing w:before="23" w:line="194" w:lineRule="auto"/>
              <w:ind w:left="225"/>
              <w:rPr>
                <w:rFonts w:ascii="仿宋" w:hAnsi="仿宋" w:eastAsia="仿宋" w:cs="仿宋"/>
                <w:sz w:val="21"/>
                <w:szCs w:val="21"/>
              </w:rPr>
            </w:pPr>
            <w:r>
              <w:rPr>
                <w:rFonts w:ascii="仿宋" w:hAnsi="仿宋" w:eastAsia="仿宋" w:cs="仿宋"/>
                <w:sz w:val="21"/>
                <w:szCs w:val="21"/>
              </w:rPr>
              <w:t>地</w:t>
            </w:r>
          </w:p>
        </w:tc>
        <w:tc>
          <w:tcPr>
            <w:tcW w:w="1287" w:type="dxa"/>
            <w:vAlign w:val="top"/>
          </w:tcPr>
          <w:p>
            <w:pPr>
              <w:pStyle w:val="6"/>
              <w:spacing w:before="213" w:line="188" w:lineRule="auto"/>
              <w:ind w:left="466"/>
            </w:pPr>
            <w:r>
              <w:rPr>
                <w:spacing w:val="-3"/>
              </w:rPr>
              <w:t>5.38</w:t>
            </w:r>
          </w:p>
        </w:tc>
        <w:tc>
          <w:tcPr>
            <w:tcW w:w="974" w:type="dxa"/>
            <w:vAlign w:val="top"/>
          </w:tcPr>
          <w:p>
            <w:pPr>
              <w:pStyle w:val="6"/>
              <w:spacing w:before="213" w:line="188" w:lineRule="auto"/>
              <w:ind w:left="308"/>
            </w:pPr>
            <w:r>
              <w:rPr>
                <w:spacing w:val="-2"/>
              </w:rPr>
              <w:t>3.08</w:t>
            </w:r>
          </w:p>
        </w:tc>
        <w:tc>
          <w:tcPr>
            <w:tcW w:w="812" w:type="dxa"/>
            <w:vAlign w:val="top"/>
          </w:tcPr>
          <w:p>
            <w:pPr>
              <w:pStyle w:val="6"/>
              <w:spacing w:before="216" w:line="185" w:lineRule="auto"/>
              <w:ind w:left="361"/>
            </w:pPr>
            <w:r>
              <w:t>5</w:t>
            </w:r>
          </w:p>
        </w:tc>
        <w:tc>
          <w:tcPr>
            <w:tcW w:w="814" w:type="dxa"/>
            <w:vAlign w:val="top"/>
          </w:tcPr>
          <w:p>
            <w:pPr>
              <w:pStyle w:val="6"/>
              <w:spacing w:before="213" w:line="188" w:lineRule="auto"/>
              <w:ind w:left="308"/>
            </w:pPr>
            <w:r>
              <w:rPr>
                <w:spacing w:val="-5"/>
              </w:rPr>
              <w:t>35</w:t>
            </w:r>
          </w:p>
        </w:tc>
        <w:tc>
          <w:tcPr>
            <w:tcW w:w="1170" w:type="dxa"/>
            <w:vAlign w:val="top"/>
          </w:tcPr>
          <w:p>
            <w:pPr>
              <w:pStyle w:val="6"/>
              <w:spacing w:before="211" w:line="232" w:lineRule="auto"/>
              <w:ind w:left="129"/>
            </w:pPr>
            <w:r>
              <w:rPr>
                <w:spacing w:val="-3"/>
              </w:rPr>
              <w:t>1989~2024</w:t>
            </w:r>
          </w:p>
        </w:tc>
        <w:tc>
          <w:tcPr>
            <w:tcW w:w="804" w:type="dxa"/>
            <w:vAlign w:val="top"/>
          </w:tcPr>
          <w:p>
            <w:pPr>
              <w:pStyle w:val="6"/>
              <w:spacing w:before="211" w:line="200" w:lineRule="auto"/>
              <w:ind w:left="210"/>
            </w:pPr>
            <w:r>
              <w:rPr>
                <w:spacing w:val="-5"/>
              </w:rPr>
              <w:t>1;2.5</w:t>
            </w:r>
          </w:p>
        </w:tc>
        <w:tc>
          <w:tcPr>
            <w:tcW w:w="1711" w:type="dxa"/>
            <w:tcBorders>
              <w:right w:val="nil"/>
            </w:tcBorders>
            <w:vAlign w:val="top"/>
          </w:tcPr>
          <w:p>
            <w:pPr>
              <w:spacing w:before="176" w:line="217" w:lineRule="auto"/>
              <w:ind w:left="120"/>
              <w:rPr>
                <w:rFonts w:ascii="仿宋" w:hAnsi="仿宋" w:eastAsia="仿宋" w:cs="仿宋"/>
                <w:sz w:val="21"/>
                <w:szCs w:val="21"/>
              </w:rPr>
            </w:pPr>
            <w:r>
              <w:rPr>
                <w:rFonts w:ascii="仿宋" w:hAnsi="仿宋" w:eastAsia="仿宋" w:cs="仿宋"/>
                <w:spacing w:val="-2"/>
                <w:sz w:val="21"/>
                <w:szCs w:val="21"/>
              </w:rPr>
              <w:t>海古簸隧洞出口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4" w:hRule="atLeast"/>
        </w:trPr>
        <w:tc>
          <w:tcPr>
            <w:tcW w:w="926" w:type="dxa"/>
            <w:tcBorders>
              <w:left w:val="nil"/>
            </w:tcBorders>
            <w:vAlign w:val="top"/>
          </w:tcPr>
          <w:p>
            <w:pPr>
              <w:pStyle w:val="6"/>
              <w:spacing w:before="47" w:line="214" w:lineRule="auto"/>
              <w:ind w:left="274" w:right="156" w:hanging="95"/>
              <w:rPr>
                <w:rFonts w:ascii="仿宋" w:hAnsi="仿宋" w:eastAsia="仿宋" w:cs="仿宋"/>
              </w:rPr>
            </w:pPr>
            <w:r>
              <w:rPr>
                <w:spacing w:val="-11"/>
              </w:rPr>
              <w:t>17</w:t>
            </w:r>
            <w:r>
              <w:rPr>
                <w:rFonts w:ascii="仿宋" w:hAnsi="仿宋" w:eastAsia="仿宋" w:cs="仿宋"/>
                <w:spacing w:val="-11"/>
              </w:rPr>
              <w:t>＃弃</w:t>
            </w:r>
            <w:r>
              <w:rPr>
                <w:rFonts w:ascii="仿宋" w:hAnsi="仿宋" w:eastAsia="仿宋" w:cs="仿宋"/>
              </w:rPr>
              <w:t xml:space="preserve"> </w:t>
            </w:r>
            <w:r>
              <w:rPr>
                <w:rFonts w:ascii="仿宋" w:hAnsi="仿宋" w:eastAsia="仿宋" w:cs="仿宋"/>
                <w:spacing w:val="-4"/>
              </w:rPr>
              <w:t>渣场</w:t>
            </w:r>
          </w:p>
        </w:tc>
        <w:tc>
          <w:tcPr>
            <w:tcW w:w="2736" w:type="dxa"/>
            <w:vAlign w:val="top"/>
          </w:tcPr>
          <w:p>
            <w:pPr>
              <w:spacing w:before="184" w:line="217" w:lineRule="auto"/>
              <w:ind w:left="126"/>
              <w:rPr>
                <w:rFonts w:ascii="仿宋" w:hAnsi="仿宋" w:eastAsia="仿宋" w:cs="仿宋"/>
                <w:sz w:val="21"/>
                <w:szCs w:val="21"/>
              </w:rPr>
            </w:pPr>
            <w:r>
              <w:rPr>
                <w:rFonts w:ascii="仿宋" w:hAnsi="仿宋" w:eastAsia="仿宋" w:cs="仿宋"/>
                <w:spacing w:val="-3"/>
                <w:sz w:val="21"/>
                <w:szCs w:val="21"/>
              </w:rPr>
              <w:t>也么大独村东侧箐沟</w:t>
            </w:r>
          </w:p>
        </w:tc>
        <w:tc>
          <w:tcPr>
            <w:tcW w:w="1007" w:type="dxa"/>
            <w:vAlign w:val="top"/>
          </w:tcPr>
          <w:p>
            <w:pPr>
              <w:spacing w:before="183"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pStyle w:val="6"/>
              <w:spacing w:before="220" w:line="188" w:lineRule="auto"/>
              <w:ind w:left="407"/>
            </w:pPr>
            <w:r>
              <w:rPr>
                <w:spacing w:val="-6"/>
              </w:rPr>
              <w:t>1.10</w:t>
            </w:r>
          </w:p>
        </w:tc>
        <w:tc>
          <w:tcPr>
            <w:tcW w:w="636" w:type="dxa"/>
            <w:vAlign w:val="top"/>
          </w:tcPr>
          <w:p>
            <w:pPr>
              <w:spacing w:before="46" w:line="218" w:lineRule="auto"/>
              <w:ind w:left="117"/>
              <w:rPr>
                <w:rFonts w:ascii="仿宋" w:hAnsi="仿宋" w:eastAsia="仿宋" w:cs="仿宋"/>
                <w:sz w:val="21"/>
                <w:szCs w:val="21"/>
              </w:rPr>
            </w:pPr>
            <w:r>
              <w:rPr>
                <w:rFonts w:ascii="仿宋" w:hAnsi="仿宋" w:eastAsia="仿宋" w:cs="仿宋"/>
                <w:spacing w:val="-3"/>
                <w:sz w:val="21"/>
                <w:szCs w:val="21"/>
              </w:rPr>
              <w:t>有林</w:t>
            </w:r>
          </w:p>
          <w:p>
            <w:pPr>
              <w:spacing w:before="24" w:line="189" w:lineRule="auto"/>
              <w:ind w:left="225"/>
              <w:rPr>
                <w:rFonts w:ascii="仿宋" w:hAnsi="仿宋" w:eastAsia="仿宋" w:cs="仿宋"/>
                <w:sz w:val="21"/>
                <w:szCs w:val="21"/>
              </w:rPr>
            </w:pPr>
            <w:r>
              <w:rPr>
                <w:rFonts w:ascii="仿宋" w:hAnsi="仿宋" w:eastAsia="仿宋" w:cs="仿宋"/>
                <w:sz w:val="21"/>
                <w:szCs w:val="21"/>
              </w:rPr>
              <w:t>地</w:t>
            </w:r>
          </w:p>
        </w:tc>
        <w:tc>
          <w:tcPr>
            <w:tcW w:w="1287" w:type="dxa"/>
            <w:vAlign w:val="top"/>
          </w:tcPr>
          <w:p>
            <w:pPr>
              <w:pStyle w:val="6"/>
              <w:spacing w:before="220" w:line="188" w:lineRule="auto"/>
              <w:ind w:left="429"/>
            </w:pPr>
            <w:r>
              <w:rPr>
                <w:spacing w:val="-5"/>
              </w:rPr>
              <w:t>17.33</w:t>
            </w:r>
          </w:p>
        </w:tc>
        <w:tc>
          <w:tcPr>
            <w:tcW w:w="974" w:type="dxa"/>
            <w:vAlign w:val="top"/>
          </w:tcPr>
          <w:p>
            <w:pPr>
              <w:pStyle w:val="6"/>
              <w:spacing w:before="220" w:line="188" w:lineRule="auto"/>
              <w:ind w:left="308"/>
            </w:pPr>
            <w:r>
              <w:rPr>
                <w:spacing w:val="-2"/>
              </w:rPr>
              <w:t>9.90</w:t>
            </w:r>
          </w:p>
        </w:tc>
        <w:tc>
          <w:tcPr>
            <w:tcW w:w="812" w:type="dxa"/>
            <w:vAlign w:val="top"/>
          </w:tcPr>
          <w:p>
            <w:pPr>
              <w:pStyle w:val="6"/>
              <w:spacing w:before="223" w:line="185" w:lineRule="auto"/>
              <w:ind w:left="361"/>
            </w:pPr>
            <w:r>
              <w:t>5</w:t>
            </w:r>
          </w:p>
        </w:tc>
        <w:tc>
          <w:tcPr>
            <w:tcW w:w="814" w:type="dxa"/>
            <w:vAlign w:val="top"/>
          </w:tcPr>
          <w:p>
            <w:pPr>
              <w:pStyle w:val="6"/>
              <w:spacing w:before="220" w:line="188" w:lineRule="auto"/>
              <w:ind w:left="308"/>
            </w:pPr>
            <w:r>
              <w:rPr>
                <w:spacing w:val="-5"/>
              </w:rPr>
              <w:t>35</w:t>
            </w:r>
          </w:p>
        </w:tc>
        <w:tc>
          <w:tcPr>
            <w:tcW w:w="1170" w:type="dxa"/>
            <w:vAlign w:val="top"/>
          </w:tcPr>
          <w:p>
            <w:pPr>
              <w:pStyle w:val="6"/>
              <w:spacing w:before="220" w:line="188" w:lineRule="auto"/>
              <w:ind w:left="109"/>
            </w:pPr>
            <w:r>
              <w:rPr>
                <w:spacing w:val="-1"/>
              </w:rPr>
              <w:t>2124~2159</w:t>
            </w:r>
          </w:p>
        </w:tc>
        <w:tc>
          <w:tcPr>
            <w:tcW w:w="804" w:type="dxa"/>
            <w:vAlign w:val="top"/>
          </w:tcPr>
          <w:p>
            <w:pPr>
              <w:pStyle w:val="6"/>
              <w:spacing w:before="218" w:line="200" w:lineRule="auto"/>
              <w:ind w:left="210"/>
            </w:pPr>
            <w:r>
              <w:rPr>
                <w:spacing w:val="-5"/>
              </w:rPr>
              <w:t>1;2.5</w:t>
            </w:r>
          </w:p>
        </w:tc>
        <w:tc>
          <w:tcPr>
            <w:tcW w:w="1711" w:type="dxa"/>
            <w:tcBorders>
              <w:right w:val="nil"/>
            </w:tcBorders>
            <w:vAlign w:val="top"/>
          </w:tcPr>
          <w:p>
            <w:pPr>
              <w:spacing w:before="183" w:line="218" w:lineRule="auto"/>
              <w:ind w:left="126"/>
              <w:rPr>
                <w:rFonts w:ascii="仿宋" w:hAnsi="仿宋" w:eastAsia="仿宋" w:cs="仿宋"/>
                <w:sz w:val="21"/>
                <w:szCs w:val="21"/>
              </w:rPr>
            </w:pPr>
            <w:r>
              <w:rPr>
                <w:rFonts w:ascii="仿宋" w:hAnsi="仿宋" w:eastAsia="仿宋" w:cs="仿宋"/>
                <w:spacing w:val="-4"/>
                <w:sz w:val="21"/>
                <w:szCs w:val="21"/>
              </w:rPr>
              <w:t>引水区弃渣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4" w:hRule="atLeast"/>
        </w:trPr>
        <w:tc>
          <w:tcPr>
            <w:tcW w:w="926" w:type="dxa"/>
            <w:tcBorders>
              <w:left w:val="nil"/>
            </w:tcBorders>
            <w:vAlign w:val="top"/>
          </w:tcPr>
          <w:p>
            <w:pPr>
              <w:pStyle w:val="6"/>
              <w:spacing w:before="51" w:line="212" w:lineRule="auto"/>
              <w:ind w:left="274" w:right="156" w:hanging="95"/>
              <w:rPr>
                <w:rFonts w:ascii="仿宋" w:hAnsi="仿宋" w:eastAsia="仿宋" w:cs="仿宋"/>
              </w:rPr>
            </w:pPr>
            <w:r>
              <w:rPr>
                <w:spacing w:val="-11"/>
              </w:rPr>
              <w:t>18</w:t>
            </w:r>
            <w:r>
              <w:rPr>
                <w:rFonts w:ascii="仿宋" w:hAnsi="仿宋" w:eastAsia="仿宋" w:cs="仿宋"/>
                <w:spacing w:val="-11"/>
              </w:rPr>
              <w:t>＃弃</w:t>
            </w:r>
            <w:r>
              <w:rPr>
                <w:rFonts w:ascii="仿宋" w:hAnsi="仿宋" w:eastAsia="仿宋" w:cs="仿宋"/>
              </w:rPr>
              <w:t xml:space="preserve"> </w:t>
            </w:r>
            <w:r>
              <w:rPr>
                <w:rFonts w:ascii="仿宋" w:hAnsi="仿宋" w:eastAsia="仿宋" w:cs="仿宋"/>
                <w:spacing w:val="-4"/>
              </w:rPr>
              <w:t>渣场</w:t>
            </w:r>
          </w:p>
        </w:tc>
        <w:tc>
          <w:tcPr>
            <w:tcW w:w="2736" w:type="dxa"/>
            <w:vAlign w:val="top"/>
          </w:tcPr>
          <w:p>
            <w:pPr>
              <w:spacing w:before="188" w:line="217" w:lineRule="auto"/>
              <w:ind w:left="132"/>
              <w:rPr>
                <w:rFonts w:ascii="仿宋" w:hAnsi="仿宋" w:eastAsia="仿宋" w:cs="仿宋"/>
                <w:sz w:val="21"/>
                <w:szCs w:val="21"/>
              </w:rPr>
            </w:pPr>
            <w:r>
              <w:rPr>
                <w:rFonts w:ascii="仿宋" w:hAnsi="仿宋" w:eastAsia="仿宋" w:cs="仿宋"/>
                <w:spacing w:val="-3"/>
                <w:sz w:val="21"/>
                <w:szCs w:val="21"/>
              </w:rPr>
              <w:t>阿格朗的村西北侧箐沟</w:t>
            </w:r>
          </w:p>
        </w:tc>
        <w:tc>
          <w:tcPr>
            <w:tcW w:w="1007" w:type="dxa"/>
            <w:vAlign w:val="top"/>
          </w:tcPr>
          <w:p>
            <w:pPr>
              <w:spacing w:before="188" w:line="219" w:lineRule="auto"/>
              <w:ind w:left="202"/>
              <w:rPr>
                <w:rFonts w:ascii="仿宋" w:hAnsi="仿宋" w:eastAsia="仿宋" w:cs="仿宋"/>
                <w:sz w:val="21"/>
                <w:szCs w:val="21"/>
              </w:rPr>
            </w:pPr>
            <w:r>
              <w:rPr>
                <w:rFonts w:ascii="仿宋" w:hAnsi="仿宋" w:eastAsia="仿宋" w:cs="仿宋"/>
                <w:spacing w:val="-4"/>
                <w:sz w:val="21"/>
                <w:szCs w:val="21"/>
              </w:rPr>
              <w:t>沟道型</w:t>
            </w:r>
          </w:p>
        </w:tc>
        <w:tc>
          <w:tcPr>
            <w:tcW w:w="1140" w:type="dxa"/>
            <w:vAlign w:val="top"/>
          </w:tcPr>
          <w:p>
            <w:pPr>
              <w:pStyle w:val="6"/>
              <w:spacing w:before="225" w:line="188" w:lineRule="auto"/>
              <w:ind w:left="390"/>
            </w:pPr>
            <w:r>
              <w:rPr>
                <w:spacing w:val="-2"/>
              </w:rPr>
              <w:t>0.76</w:t>
            </w:r>
          </w:p>
        </w:tc>
        <w:tc>
          <w:tcPr>
            <w:tcW w:w="636" w:type="dxa"/>
            <w:vAlign w:val="top"/>
          </w:tcPr>
          <w:p>
            <w:pPr>
              <w:spacing w:before="188" w:line="219" w:lineRule="auto"/>
              <w:ind w:left="140"/>
              <w:rPr>
                <w:rFonts w:ascii="仿宋" w:hAnsi="仿宋" w:eastAsia="仿宋" w:cs="仿宋"/>
                <w:sz w:val="21"/>
                <w:szCs w:val="21"/>
              </w:rPr>
            </w:pPr>
            <w:r>
              <w:rPr>
                <w:rFonts w:ascii="仿宋" w:hAnsi="仿宋" w:eastAsia="仿宋" w:cs="仿宋"/>
                <w:spacing w:val="-9"/>
                <w:sz w:val="21"/>
                <w:szCs w:val="21"/>
              </w:rPr>
              <w:t>园地</w:t>
            </w:r>
          </w:p>
        </w:tc>
        <w:tc>
          <w:tcPr>
            <w:tcW w:w="1287" w:type="dxa"/>
            <w:vAlign w:val="top"/>
          </w:tcPr>
          <w:p>
            <w:pPr>
              <w:pStyle w:val="6"/>
              <w:spacing w:before="225" w:line="188" w:lineRule="auto"/>
              <w:ind w:left="429"/>
            </w:pPr>
            <w:r>
              <w:rPr>
                <w:spacing w:val="-5"/>
              </w:rPr>
              <w:t>12.75</w:t>
            </w:r>
          </w:p>
        </w:tc>
        <w:tc>
          <w:tcPr>
            <w:tcW w:w="974" w:type="dxa"/>
            <w:vAlign w:val="top"/>
          </w:tcPr>
          <w:p>
            <w:pPr>
              <w:pStyle w:val="6"/>
              <w:spacing w:before="225" w:line="188" w:lineRule="auto"/>
              <w:ind w:left="308"/>
            </w:pPr>
            <w:r>
              <w:rPr>
                <w:spacing w:val="-2"/>
              </w:rPr>
              <w:t>7.29</w:t>
            </w:r>
          </w:p>
        </w:tc>
        <w:tc>
          <w:tcPr>
            <w:tcW w:w="812" w:type="dxa"/>
            <w:vAlign w:val="top"/>
          </w:tcPr>
          <w:p>
            <w:pPr>
              <w:pStyle w:val="6"/>
              <w:spacing w:before="228" w:line="185" w:lineRule="auto"/>
              <w:ind w:left="361"/>
            </w:pPr>
            <w:r>
              <w:t>5</w:t>
            </w:r>
          </w:p>
        </w:tc>
        <w:tc>
          <w:tcPr>
            <w:tcW w:w="814" w:type="dxa"/>
            <w:vAlign w:val="top"/>
          </w:tcPr>
          <w:p>
            <w:pPr>
              <w:pStyle w:val="6"/>
              <w:spacing w:before="225" w:line="188" w:lineRule="auto"/>
              <w:ind w:left="308"/>
            </w:pPr>
            <w:r>
              <w:rPr>
                <w:spacing w:val="-5"/>
              </w:rPr>
              <w:t>35</w:t>
            </w:r>
          </w:p>
        </w:tc>
        <w:tc>
          <w:tcPr>
            <w:tcW w:w="1170" w:type="dxa"/>
            <w:vAlign w:val="top"/>
          </w:tcPr>
          <w:p>
            <w:pPr>
              <w:pStyle w:val="6"/>
              <w:spacing w:before="223" w:line="232" w:lineRule="auto"/>
              <w:ind w:left="129"/>
            </w:pPr>
            <w:r>
              <w:rPr>
                <w:spacing w:val="-3"/>
              </w:rPr>
              <w:t>1928~1963</w:t>
            </w:r>
          </w:p>
        </w:tc>
        <w:tc>
          <w:tcPr>
            <w:tcW w:w="804" w:type="dxa"/>
            <w:vAlign w:val="top"/>
          </w:tcPr>
          <w:p>
            <w:pPr>
              <w:pStyle w:val="6"/>
              <w:spacing w:before="223" w:line="200" w:lineRule="auto"/>
              <w:ind w:left="210"/>
            </w:pPr>
            <w:r>
              <w:rPr>
                <w:spacing w:val="-5"/>
              </w:rPr>
              <w:t>1;2.5</w:t>
            </w:r>
          </w:p>
        </w:tc>
        <w:tc>
          <w:tcPr>
            <w:tcW w:w="1711" w:type="dxa"/>
            <w:tcBorders>
              <w:right w:val="nil"/>
            </w:tcBorders>
            <w:vAlign w:val="top"/>
          </w:tcPr>
          <w:p>
            <w:pPr>
              <w:spacing w:before="189" w:line="218" w:lineRule="auto"/>
              <w:ind w:left="118"/>
              <w:rPr>
                <w:rFonts w:ascii="仿宋" w:hAnsi="仿宋" w:eastAsia="仿宋" w:cs="仿宋"/>
                <w:sz w:val="21"/>
                <w:szCs w:val="21"/>
              </w:rPr>
            </w:pPr>
            <w:r>
              <w:rPr>
                <w:rFonts w:ascii="仿宋" w:hAnsi="仿宋" w:eastAsia="仿宋" w:cs="仿宋"/>
                <w:spacing w:val="-3"/>
                <w:sz w:val="21"/>
                <w:szCs w:val="21"/>
              </w:rPr>
              <w:t>枢纽区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0" w:hRule="atLeast"/>
        </w:trPr>
        <w:tc>
          <w:tcPr>
            <w:tcW w:w="3662" w:type="dxa"/>
            <w:gridSpan w:val="2"/>
            <w:tcBorders>
              <w:left w:val="nil"/>
              <w:bottom w:val="single" w:color="000000" w:sz="12" w:space="0"/>
            </w:tcBorders>
            <w:vAlign w:val="top"/>
          </w:tcPr>
          <w:p>
            <w:pPr>
              <w:spacing w:before="59" w:line="203" w:lineRule="auto"/>
              <w:ind w:left="1542"/>
              <w:rPr>
                <w:rFonts w:ascii="仿宋" w:hAnsi="仿宋" w:eastAsia="仿宋" w:cs="仿宋"/>
                <w:sz w:val="21"/>
                <w:szCs w:val="21"/>
              </w:rPr>
            </w:pPr>
            <w:r>
              <w:rPr>
                <w:rFonts w:ascii="仿宋" w:hAnsi="仿宋" w:eastAsia="仿宋" w:cs="仿宋"/>
                <w:spacing w:val="-10"/>
                <w:sz w:val="21"/>
                <w:szCs w:val="21"/>
              </w:rPr>
              <w:t>合</w:t>
            </w:r>
            <w:r>
              <w:rPr>
                <w:rFonts w:ascii="仿宋" w:hAnsi="仿宋" w:eastAsia="仿宋" w:cs="仿宋"/>
                <w:spacing w:val="7"/>
                <w:sz w:val="21"/>
                <w:szCs w:val="21"/>
              </w:rPr>
              <w:t xml:space="preserve">  </w:t>
            </w:r>
            <w:r>
              <w:rPr>
                <w:rFonts w:ascii="仿宋" w:hAnsi="仿宋" w:eastAsia="仿宋" w:cs="仿宋"/>
                <w:spacing w:val="-10"/>
                <w:sz w:val="21"/>
                <w:szCs w:val="21"/>
              </w:rPr>
              <w:t>计</w:t>
            </w:r>
          </w:p>
        </w:tc>
        <w:tc>
          <w:tcPr>
            <w:tcW w:w="1007" w:type="dxa"/>
            <w:tcBorders>
              <w:bottom w:val="single" w:color="000000" w:sz="12" w:space="0"/>
            </w:tcBorders>
            <w:vAlign w:val="top"/>
          </w:tcPr>
          <w:p>
            <w:pPr>
              <w:rPr>
                <w:rFonts w:ascii="Arial"/>
                <w:sz w:val="21"/>
              </w:rPr>
            </w:pPr>
          </w:p>
        </w:tc>
        <w:tc>
          <w:tcPr>
            <w:tcW w:w="1140" w:type="dxa"/>
            <w:tcBorders>
              <w:bottom w:val="single" w:color="000000" w:sz="12" w:space="0"/>
            </w:tcBorders>
            <w:vAlign w:val="top"/>
          </w:tcPr>
          <w:p>
            <w:pPr>
              <w:pStyle w:val="6"/>
              <w:spacing w:before="95" w:line="188" w:lineRule="auto"/>
              <w:ind w:left="356"/>
            </w:pPr>
            <w:r>
              <w:rPr>
                <w:spacing w:val="-5"/>
              </w:rPr>
              <w:t>15.38</w:t>
            </w:r>
          </w:p>
        </w:tc>
        <w:tc>
          <w:tcPr>
            <w:tcW w:w="636" w:type="dxa"/>
            <w:tcBorders>
              <w:bottom w:val="single" w:color="000000" w:sz="12" w:space="0"/>
            </w:tcBorders>
            <w:vAlign w:val="top"/>
          </w:tcPr>
          <w:p>
            <w:pPr>
              <w:rPr>
                <w:rFonts w:ascii="Arial"/>
                <w:sz w:val="21"/>
              </w:rPr>
            </w:pPr>
          </w:p>
        </w:tc>
        <w:tc>
          <w:tcPr>
            <w:tcW w:w="1287" w:type="dxa"/>
            <w:tcBorders>
              <w:bottom w:val="single" w:color="000000" w:sz="12" w:space="0"/>
            </w:tcBorders>
            <w:vAlign w:val="top"/>
          </w:tcPr>
          <w:p>
            <w:pPr>
              <w:pStyle w:val="6"/>
              <w:spacing w:before="95" w:line="188" w:lineRule="auto"/>
              <w:ind w:left="376"/>
            </w:pPr>
            <w:r>
              <w:rPr>
                <w:spacing w:val="-4"/>
              </w:rPr>
              <w:t>166.39</w:t>
            </w:r>
          </w:p>
        </w:tc>
        <w:tc>
          <w:tcPr>
            <w:tcW w:w="974" w:type="dxa"/>
            <w:tcBorders>
              <w:bottom w:val="single" w:color="000000" w:sz="12" w:space="0"/>
            </w:tcBorders>
            <w:vAlign w:val="top"/>
          </w:tcPr>
          <w:p>
            <w:pPr>
              <w:pStyle w:val="6"/>
              <w:spacing w:before="95" w:line="188" w:lineRule="auto"/>
              <w:ind w:left="255"/>
            </w:pPr>
            <w:r>
              <w:rPr>
                <w:spacing w:val="-2"/>
              </w:rPr>
              <w:t>95.12</w:t>
            </w:r>
          </w:p>
        </w:tc>
        <w:tc>
          <w:tcPr>
            <w:tcW w:w="812" w:type="dxa"/>
            <w:tcBorders>
              <w:bottom w:val="single" w:color="000000" w:sz="12" w:space="0"/>
            </w:tcBorders>
            <w:vAlign w:val="top"/>
          </w:tcPr>
          <w:p>
            <w:pPr>
              <w:rPr>
                <w:rFonts w:ascii="Arial"/>
                <w:sz w:val="21"/>
              </w:rPr>
            </w:pPr>
          </w:p>
        </w:tc>
        <w:tc>
          <w:tcPr>
            <w:tcW w:w="814" w:type="dxa"/>
            <w:tcBorders>
              <w:bottom w:val="single" w:color="000000" w:sz="12" w:space="0"/>
            </w:tcBorders>
            <w:vAlign w:val="top"/>
          </w:tcPr>
          <w:p>
            <w:pPr>
              <w:rPr>
                <w:rFonts w:ascii="Arial"/>
                <w:sz w:val="21"/>
              </w:rPr>
            </w:pPr>
          </w:p>
        </w:tc>
        <w:tc>
          <w:tcPr>
            <w:tcW w:w="1170" w:type="dxa"/>
            <w:tcBorders>
              <w:bottom w:val="single" w:color="000000" w:sz="12" w:space="0"/>
            </w:tcBorders>
            <w:vAlign w:val="top"/>
          </w:tcPr>
          <w:p>
            <w:pPr>
              <w:rPr>
                <w:rFonts w:ascii="Arial"/>
                <w:sz w:val="21"/>
              </w:rPr>
            </w:pPr>
          </w:p>
        </w:tc>
        <w:tc>
          <w:tcPr>
            <w:tcW w:w="804" w:type="dxa"/>
            <w:tcBorders>
              <w:bottom w:val="single" w:color="000000" w:sz="12" w:space="0"/>
            </w:tcBorders>
            <w:vAlign w:val="top"/>
          </w:tcPr>
          <w:p>
            <w:pPr>
              <w:rPr>
                <w:rFonts w:ascii="Arial"/>
                <w:sz w:val="21"/>
              </w:rPr>
            </w:pPr>
          </w:p>
        </w:tc>
        <w:tc>
          <w:tcPr>
            <w:tcW w:w="1711" w:type="dxa"/>
            <w:tcBorders>
              <w:bottom w:val="single" w:color="000000" w:sz="12" w:space="0"/>
              <w:right w:val="nil"/>
            </w:tcBorders>
            <w:vAlign w:val="top"/>
          </w:tcPr>
          <w:p>
            <w:pPr>
              <w:rPr>
                <w:rFonts w:ascii="Arial"/>
                <w:sz w:val="21"/>
              </w:rPr>
            </w:pPr>
          </w:p>
        </w:tc>
      </w:tr>
    </w:tbl>
    <w:p>
      <w:pPr>
        <w:spacing w:line="323" w:lineRule="auto"/>
        <w:rPr>
          <w:rFonts w:ascii="Arial"/>
          <w:sz w:val="21"/>
        </w:rPr>
      </w:pPr>
    </w:p>
    <w:p>
      <w:pPr>
        <w:spacing w:before="69" w:line="233" w:lineRule="auto"/>
        <w:ind w:left="5845"/>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5"/>
          <w:sz w:val="21"/>
          <w:szCs w:val="21"/>
        </w:rPr>
        <w:t xml:space="preserve"> </w:t>
      </w:r>
      <w:r>
        <w:rPr>
          <w:rFonts w:ascii="Times New Roman" w:hAnsi="Times New Roman" w:eastAsia="Times New Roman" w:cs="Times New Roman"/>
          <w:b/>
          <w:bCs/>
          <w:spacing w:val="-1"/>
          <w:sz w:val="21"/>
          <w:szCs w:val="21"/>
        </w:rPr>
        <w:t xml:space="preserve">2.3-5    </w:t>
      </w:r>
      <w:r>
        <w:rPr>
          <w:rFonts w:ascii="宋体" w:hAnsi="宋体" w:eastAsia="宋体" w:cs="宋体"/>
          <w:spacing w:val="-1"/>
          <w:sz w:val="21"/>
          <w:szCs w:val="21"/>
          <w14:textOutline w14:w="3810" w14:cap="flat" w14:cmpd="sng">
            <w14:solidFill>
              <w14:srgbClr w14:val="000000"/>
            </w14:solidFill>
            <w14:prstDash w14:val="solid"/>
            <w14:miter w14:val="0"/>
          </w14:textOutline>
        </w:rPr>
        <w:t>表土堆场特性一览表</w:t>
      </w:r>
    </w:p>
    <w:p>
      <w:pPr>
        <w:spacing w:line="111" w:lineRule="exact"/>
      </w:pPr>
    </w:p>
    <w:tbl>
      <w:tblPr>
        <w:tblStyle w:val="5"/>
        <w:tblW w:w="1401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3"/>
        <w:gridCol w:w="3156"/>
        <w:gridCol w:w="1140"/>
        <w:gridCol w:w="1061"/>
        <w:gridCol w:w="1083"/>
        <w:gridCol w:w="1207"/>
        <w:gridCol w:w="48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1483" w:type="dxa"/>
            <w:tcBorders>
              <w:top w:val="single" w:color="000000" w:sz="12" w:space="0"/>
              <w:left w:val="nil"/>
            </w:tcBorders>
            <w:vAlign w:val="top"/>
          </w:tcPr>
          <w:p>
            <w:pPr>
              <w:spacing w:before="165" w:line="217" w:lineRule="auto"/>
              <w:ind w:left="552"/>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名称</w:t>
            </w:r>
          </w:p>
        </w:tc>
        <w:tc>
          <w:tcPr>
            <w:tcW w:w="3156" w:type="dxa"/>
            <w:tcBorders>
              <w:top w:val="single" w:color="000000" w:sz="12" w:space="0"/>
            </w:tcBorders>
            <w:vAlign w:val="top"/>
          </w:tcPr>
          <w:p>
            <w:pPr>
              <w:spacing w:before="166" w:line="217" w:lineRule="auto"/>
              <w:ind w:left="1326"/>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位</w:t>
            </w:r>
            <w:r>
              <w:rPr>
                <w:rFonts w:ascii="仿宋" w:hAnsi="仿宋" w:eastAsia="仿宋" w:cs="仿宋"/>
                <w:spacing w:val="16"/>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置</w:t>
            </w:r>
          </w:p>
        </w:tc>
        <w:tc>
          <w:tcPr>
            <w:tcW w:w="1140" w:type="dxa"/>
            <w:tcBorders>
              <w:top w:val="single" w:color="000000" w:sz="12" w:space="0"/>
            </w:tcBorders>
            <w:vAlign w:val="top"/>
          </w:tcPr>
          <w:p>
            <w:pPr>
              <w:pStyle w:val="6"/>
              <w:spacing w:before="166" w:line="215" w:lineRule="auto"/>
              <w:ind w:left="156"/>
            </w:pPr>
            <w:r>
              <w:rPr>
                <w:rFonts w:ascii="仿宋" w:hAnsi="仿宋" w:eastAsia="仿宋" w:cs="仿宋"/>
                <w:spacing w:val="-7"/>
                <w14:textOutline w14:w="3810" w14:cap="flat" w14:cmpd="sng">
                  <w14:solidFill>
                    <w14:srgbClr w14:val="000000"/>
                  </w14:solidFill>
                  <w14:prstDash w14:val="solid"/>
                  <w14:miter w14:val="0"/>
                </w14:textOutline>
              </w:rPr>
              <w:t>占地</w:t>
            </w:r>
            <w:r>
              <w:rPr>
                <w:b/>
                <w:bCs/>
                <w:spacing w:val="-7"/>
              </w:rPr>
              <w:t>(hm</w:t>
            </w:r>
            <w:r>
              <w:rPr>
                <w:b/>
                <w:bCs/>
                <w:spacing w:val="-7"/>
                <w:position w:val="6"/>
                <w:sz w:val="14"/>
                <w:szCs w:val="14"/>
              </w:rPr>
              <w:t>2</w:t>
            </w:r>
            <w:r>
              <w:rPr>
                <w:b/>
                <w:bCs/>
                <w:spacing w:val="-7"/>
              </w:rPr>
              <w:t>)</w:t>
            </w:r>
          </w:p>
        </w:tc>
        <w:tc>
          <w:tcPr>
            <w:tcW w:w="1061" w:type="dxa"/>
            <w:tcBorders>
              <w:top w:val="single" w:color="000000" w:sz="12" w:space="0"/>
            </w:tcBorders>
            <w:vAlign w:val="top"/>
          </w:tcPr>
          <w:p>
            <w:pPr>
              <w:spacing w:before="166" w:line="220" w:lineRule="auto"/>
              <w:ind w:left="156"/>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占地类型</w:t>
            </w:r>
          </w:p>
        </w:tc>
        <w:tc>
          <w:tcPr>
            <w:tcW w:w="1083" w:type="dxa"/>
            <w:tcBorders>
              <w:top w:val="single" w:color="000000" w:sz="12" w:space="0"/>
            </w:tcBorders>
            <w:vAlign w:val="top"/>
          </w:tcPr>
          <w:p>
            <w:pPr>
              <w:pStyle w:val="6"/>
              <w:spacing w:before="166" w:line="215" w:lineRule="auto"/>
              <w:ind w:left="151"/>
            </w:pPr>
            <w:r>
              <w:rPr>
                <w:rFonts w:ascii="仿宋" w:hAnsi="仿宋" w:eastAsia="仿宋" w:cs="仿宋"/>
                <w:spacing w:val="-3"/>
                <w14:textOutline w14:w="3810" w14:cap="flat" w14:cmpd="sng">
                  <w14:solidFill>
                    <w14:srgbClr w14:val="000000"/>
                  </w14:solidFill>
                  <w14:prstDash w14:val="solid"/>
                  <w14:miter w14:val="0"/>
                </w14:textOutline>
              </w:rPr>
              <w:t>容积</w:t>
            </w:r>
            <w:r>
              <w:rPr>
                <w:b/>
                <w:bCs/>
                <w:spacing w:val="-3"/>
              </w:rPr>
              <w:t>(m</w:t>
            </w:r>
            <w:r>
              <w:rPr>
                <w:b/>
                <w:bCs/>
                <w:spacing w:val="-3"/>
                <w:position w:val="6"/>
                <w:sz w:val="14"/>
                <w:szCs w:val="14"/>
              </w:rPr>
              <w:t>3</w:t>
            </w:r>
            <w:r>
              <w:rPr>
                <w:b/>
                <w:bCs/>
                <w:spacing w:val="-3"/>
              </w:rPr>
              <w:t>)</w:t>
            </w:r>
          </w:p>
        </w:tc>
        <w:tc>
          <w:tcPr>
            <w:tcW w:w="1207" w:type="dxa"/>
            <w:tcBorders>
              <w:top w:val="single" w:color="000000" w:sz="12" w:space="0"/>
            </w:tcBorders>
            <w:vAlign w:val="top"/>
          </w:tcPr>
          <w:p>
            <w:pPr>
              <w:pStyle w:val="6"/>
              <w:spacing w:before="30" w:line="222" w:lineRule="auto"/>
              <w:ind w:left="226" w:right="144" w:hanging="68"/>
            </w:pPr>
            <w:r>
              <w:rPr>
                <w:rFonts w:ascii="仿宋" w:hAnsi="仿宋" w:eastAsia="仿宋" w:cs="仿宋"/>
                <w:spacing w:val="-3"/>
                <w14:textOutline w14:w="3810" w14:cap="flat" w14:cmpd="sng">
                  <w14:solidFill>
                    <w14:srgbClr w14:val="000000"/>
                  </w14:solidFill>
                  <w14:prstDash w14:val="solid"/>
                  <w14:miter w14:val="0"/>
                </w14:textOutline>
              </w:rPr>
              <w:t>堆存量</w:t>
            </w:r>
            <w:r>
              <w:rPr>
                <w:b/>
                <w:bCs/>
                <w:spacing w:val="-3"/>
              </w:rPr>
              <w:t>(</w:t>
            </w:r>
            <w:r>
              <w:rPr>
                <w:rFonts w:ascii="仿宋" w:hAnsi="仿宋" w:eastAsia="仿宋" w:cs="仿宋"/>
                <w:spacing w:val="-3"/>
                <w14:textOutline w14:w="3810" w14:cap="flat" w14:cmpd="sng">
                  <w14:solidFill>
                    <w14:srgbClr w14:val="000000"/>
                  </w14:solidFill>
                  <w14:prstDash w14:val="solid"/>
                  <w14:miter w14:val="0"/>
                </w14:textOutline>
              </w:rPr>
              <w:t>自</w:t>
            </w:r>
            <w:r>
              <w:rPr>
                <w:rFonts w:ascii="仿宋" w:hAnsi="仿宋" w:eastAsia="仿宋" w:cs="仿宋"/>
                <w:spacing w:val="2"/>
              </w:rPr>
              <w:t xml:space="preserve"> </w:t>
            </w:r>
            <w:r>
              <w:rPr>
                <w:rFonts w:ascii="仿宋" w:hAnsi="仿宋" w:eastAsia="仿宋" w:cs="仿宋"/>
                <w:spacing w:val="-6"/>
                <w14:textOutline w14:w="3810" w14:cap="flat" w14:cmpd="sng">
                  <w14:solidFill>
                    <w14:srgbClr w14:val="000000"/>
                  </w14:solidFill>
                  <w14:prstDash w14:val="solid"/>
                  <w14:miter w14:val="0"/>
                </w14:textOutline>
              </w:rPr>
              <w:t>然方</w:t>
            </w:r>
            <w:r>
              <w:rPr>
                <w:rFonts w:ascii="仿宋" w:hAnsi="仿宋" w:eastAsia="仿宋" w:cs="仿宋"/>
                <w:spacing w:val="-42"/>
              </w:rPr>
              <w:t xml:space="preserve"> </w:t>
            </w:r>
            <w:r>
              <w:rPr>
                <w:b/>
                <w:bCs/>
                <w:spacing w:val="-6"/>
              </w:rPr>
              <w:t>m</w:t>
            </w:r>
            <w:r>
              <w:rPr>
                <w:b/>
                <w:bCs/>
                <w:spacing w:val="-6"/>
                <w:position w:val="6"/>
                <w:sz w:val="14"/>
                <w:szCs w:val="14"/>
              </w:rPr>
              <w:t>3</w:t>
            </w:r>
            <w:r>
              <w:rPr>
                <w:b/>
                <w:bCs/>
                <w:spacing w:val="-6"/>
              </w:rPr>
              <w:t>)</w:t>
            </w:r>
          </w:p>
        </w:tc>
        <w:tc>
          <w:tcPr>
            <w:tcW w:w="4887" w:type="dxa"/>
            <w:tcBorders>
              <w:top w:val="single" w:color="000000" w:sz="12" w:space="0"/>
              <w:right w:val="nil"/>
            </w:tcBorders>
            <w:vAlign w:val="top"/>
          </w:tcPr>
          <w:p>
            <w:pPr>
              <w:spacing w:before="166" w:line="220" w:lineRule="auto"/>
              <w:ind w:left="224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1483" w:type="dxa"/>
            <w:tcBorders>
              <w:left w:val="nil"/>
            </w:tcBorders>
            <w:vAlign w:val="top"/>
          </w:tcPr>
          <w:p>
            <w:pPr>
              <w:pStyle w:val="6"/>
              <w:spacing w:before="33" w:line="221" w:lineRule="auto"/>
              <w:ind w:left="657" w:right="206" w:hanging="410"/>
              <w:rPr>
                <w:rFonts w:ascii="仿宋" w:hAnsi="仿宋" w:eastAsia="仿宋" w:cs="仿宋"/>
              </w:rPr>
            </w:pPr>
            <w:r>
              <w:rPr>
                <w:spacing w:val="-4"/>
              </w:rPr>
              <w:t>1#</w:t>
            </w:r>
            <w:r>
              <w:rPr>
                <w:rFonts w:ascii="仿宋" w:hAnsi="仿宋" w:eastAsia="仿宋" w:cs="仿宋"/>
                <w:spacing w:val="-4"/>
              </w:rPr>
              <w:t>临时堆土</w:t>
            </w:r>
            <w:r>
              <w:rPr>
                <w:rFonts w:ascii="仿宋" w:hAnsi="仿宋" w:eastAsia="仿宋" w:cs="仿宋"/>
              </w:rPr>
              <w:t xml:space="preserve"> 场</w:t>
            </w:r>
          </w:p>
        </w:tc>
        <w:tc>
          <w:tcPr>
            <w:tcW w:w="3156" w:type="dxa"/>
            <w:vAlign w:val="top"/>
          </w:tcPr>
          <w:p>
            <w:pPr>
              <w:pStyle w:val="6"/>
              <w:spacing w:before="171" w:line="217" w:lineRule="auto"/>
              <w:ind w:left="150"/>
              <w:rPr>
                <w:rFonts w:ascii="仿宋" w:hAnsi="仿宋" w:eastAsia="仿宋" w:cs="仿宋"/>
              </w:rPr>
            </w:pPr>
            <w:r>
              <w:rPr>
                <w:rFonts w:ascii="仿宋" w:hAnsi="仿宋" w:eastAsia="仿宋" w:cs="仿宋"/>
                <w:spacing w:val="-3"/>
              </w:rPr>
              <w:t>引水隧洞出口东侧</w:t>
            </w:r>
            <w:r>
              <w:rPr>
                <w:rFonts w:ascii="仿宋" w:hAnsi="仿宋" w:eastAsia="仿宋" w:cs="仿宋"/>
                <w:spacing w:val="-40"/>
              </w:rPr>
              <w:t xml:space="preserve"> </w:t>
            </w:r>
            <w:r>
              <w:rPr>
                <w:spacing w:val="-3"/>
              </w:rPr>
              <w:t>250m</w:t>
            </w:r>
            <w:r>
              <w:rPr>
                <w:spacing w:val="14"/>
                <w:w w:val="101"/>
              </w:rPr>
              <w:t xml:space="preserve"> </w:t>
            </w:r>
            <w:r>
              <w:rPr>
                <w:rFonts w:ascii="仿宋" w:hAnsi="仿宋" w:eastAsia="仿宋" w:cs="仿宋"/>
                <w:spacing w:val="-3"/>
              </w:rPr>
              <w:t>处缓地</w:t>
            </w:r>
          </w:p>
        </w:tc>
        <w:tc>
          <w:tcPr>
            <w:tcW w:w="1140" w:type="dxa"/>
            <w:vAlign w:val="top"/>
          </w:tcPr>
          <w:p>
            <w:pPr>
              <w:pStyle w:val="6"/>
              <w:spacing w:before="207" w:line="188" w:lineRule="auto"/>
              <w:ind w:left="390"/>
            </w:pPr>
            <w:r>
              <w:rPr>
                <w:spacing w:val="-2"/>
              </w:rPr>
              <w:t>0.07</w:t>
            </w:r>
          </w:p>
        </w:tc>
        <w:tc>
          <w:tcPr>
            <w:tcW w:w="1061" w:type="dxa"/>
            <w:vAlign w:val="top"/>
          </w:tcPr>
          <w:p>
            <w:pPr>
              <w:spacing w:before="171"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07" w:line="188" w:lineRule="auto"/>
              <w:ind w:left="258"/>
            </w:pPr>
            <w:r>
              <w:rPr>
                <w:spacing w:val="-2"/>
              </w:rPr>
              <w:t>6571.1</w:t>
            </w:r>
          </w:p>
        </w:tc>
        <w:tc>
          <w:tcPr>
            <w:tcW w:w="1207" w:type="dxa"/>
            <w:vAlign w:val="top"/>
          </w:tcPr>
          <w:p>
            <w:pPr>
              <w:pStyle w:val="6"/>
              <w:spacing w:before="207" w:line="188" w:lineRule="auto"/>
              <w:ind w:left="315"/>
            </w:pPr>
            <w:r>
              <w:rPr>
                <w:spacing w:val="-1"/>
              </w:rPr>
              <w:t>4978.1</w:t>
            </w:r>
          </w:p>
        </w:tc>
        <w:tc>
          <w:tcPr>
            <w:tcW w:w="4887" w:type="dxa"/>
            <w:tcBorders>
              <w:right w:val="nil"/>
            </w:tcBorders>
            <w:vAlign w:val="top"/>
          </w:tcPr>
          <w:p>
            <w:pPr>
              <w:pStyle w:val="6"/>
              <w:spacing w:before="33" w:line="221" w:lineRule="auto"/>
              <w:ind w:left="1520" w:right="134" w:hanging="1366"/>
              <w:rPr>
                <w:rFonts w:ascii="仿宋" w:hAnsi="仿宋" w:eastAsia="仿宋" w:cs="仿宋"/>
              </w:rPr>
            </w:pPr>
            <w:r>
              <w:rPr>
                <w:spacing w:val="-5"/>
              </w:rPr>
              <w:t>1#</w:t>
            </w:r>
            <w:r>
              <w:rPr>
                <w:rFonts w:ascii="仿宋" w:hAnsi="仿宋" w:eastAsia="仿宋" w:cs="仿宋"/>
                <w:spacing w:val="-5"/>
              </w:rPr>
              <w:t xml:space="preserve">引水渠前中段、 </w:t>
            </w:r>
            <w:r>
              <w:rPr>
                <w:spacing w:val="-5"/>
              </w:rPr>
              <w:t>1#</w:t>
            </w:r>
            <w:r>
              <w:rPr>
                <w:rFonts w:ascii="仿宋" w:hAnsi="仿宋" w:eastAsia="仿宋" w:cs="仿宋"/>
                <w:spacing w:val="-5"/>
              </w:rPr>
              <w:t>引水渠施工生产</w:t>
            </w:r>
            <w:r>
              <w:rPr>
                <w:rFonts w:ascii="仿宋" w:hAnsi="仿宋" w:eastAsia="仿宋" w:cs="仿宋"/>
                <w:spacing w:val="-6"/>
              </w:rPr>
              <w:t>区及施工临时</w:t>
            </w:r>
            <w:r>
              <w:rPr>
                <w:rFonts w:ascii="仿宋" w:hAnsi="仿宋" w:eastAsia="仿宋" w:cs="仿宋"/>
              </w:rPr>
              <w:t xml:space="preserve"> </w:t>
            </w:r>
            <w:r>
              <w:rPr>
                <w:rFonts w:ascii="仿宋" w:hAnsi="仿宋" w:eastAsia="仿宋" w:cs="仿宋"/>
                <w:spacing w:val="-3"/>
              </w:rPr>
              <w:t>道路</w:t>
            </w:r>
            <w:r>
              <w:rPr>
                <w:rFonts w:ascii="仿宋" w:hAnsi="仿宋" w:eastAsia="仿宋" w:cs="仿宋"/>
                <w:spacing w:val="-51"/>
              </w:rPr>
              <w:t xml:space="preserve"> </w:t>
            </w:r>
            <w:r>
              <w:rPr>
                <w:spacing w:val="-3"/>
              </w:rPr>
              <w:t>YSL1</w:t>
            </w:r>
            <w:r>
              <w:rPr>
                <w:spacing w:val="17"/>
              </w:rPr>
              <w:t xml:space="preserve"> </w:t>
            </w:r>
            <w:r>
              <w:rPr>
                <w:rFonts w:ascii="仿宋" w:hAnsi="仿宋" w:eastAsia="仿宋" w:cs="仿宋"/>
                <w:spacing w:val="-3"/>
              </w:rPr>
              <w:t>表土堆存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1483" w:type="dxa"/>
            <w:tcBorders>
              <w:left w:val="nil"/>
            </w:tcBorders>
            <w:vAlign w:val="top"/>
          </w:tcPr>
          <w:p>
            <w:pPr>
              <w:pStyle w:val="6"/>
              <w:spacing w:before="37" w:line="219" w:lineRule="auto"/>
              <w:ind w:left="657" w:right="206" w:hanging="430"/>
              <w:rPr>
                <w:rFonts w:ascii="仿宋" w:hAnsi="仿宋" w:eastAsia="仿宋" w:cs="仿宋"/>
              </w:rPr>
            </w:pPr>
            <w:r>
              <w:rPr>
                <w:spacing w:val="-1"/>
              </w:rPr>
              <w:t>2#</w:t>
            </w:r>
            <w:r>
              <w:rPr>
                <w:rFonts w:ascii="仿宋" w:hAnsi="仿宋" w:eastAsia="仿宋" w:cs="仿宋"/>
                <w:spacing w:val="-1"/>
              </w:rPr>
              <w:t>临时堆土</w:t>
            </w:r>
            <w:r>
              <w:rPr>
                <w:rFonts w:ascii="仿宋" w:hAnsi="仿宋" w:eastAsia="仿宋" w:cs="仿宋"/>
                <w:spacing w:val="1"/>
              </w:rPr>
              <w:t xml:space="preserve"> </w:t>
            </w:r>
            <w:r>
              <w:rPr>
                <w:rFonts w:ascii="仿宋" w:hAnsi="仿宋" w:eastAsia="仿宋" w:cs="仿宋"/>
              </w:rPr>
              <w:t>场</w:t>
            </w:r>
          </w:p>
        </w:tc>
        <w:tc>
          <w:tcPr>
            <w:tcW w:w="3156" w:type="dxa"/>
            <w:vAlign w:val="top"/>
          </w:tcPr>
          <w:p>
            <w:pPr>
              <w:pStyle w:val="6"/>
              <w:spacing w:before="174" w:line="217" w:lineRule="auto"/>
              <w:ind w:left="460"/>
              <w:rPr>
                <w:rFonts w:ascii="仿宋" w:hAnsi="仿宋" w:eastAsia="仿宋" w:cs="仿宋"/>
              </w:rPr>
            </w:pPr>
            <w:r>
              <w:rPr>
                <w:rFonts w:ascii="仿宋" w:hAnsi="仿宋" w:eastAsia="仿宋" w:cs="仿宋"/>
                <w:spacing w:val="-3"/>
              </w:rPr>
              <w:t>大嘎村东侧</w:t>
            </w:r>
            <w:r>
              <w:rPr>
                <w:rFonts w:ascii="仿宋" w:hAnsi="仿宋" w:eastAsia="仿宋" w:cs="仿宋"/>
                <w:spacing w:val="-44"/>
              </w:rPr>
              <w:t xml:space="preserve"> </w:t>
            </w:r>
            <w:r>
              <w:rPr>
                <w:spacing w:val="-3"/>
              </w:rPr>
              <w:t>400m</w:t>
            </w:r>
            <w:r>
              <w:rPr>
                <w:spacing w:val="16"/>
              </w:rPr>
              <w:t xml:space="preserve"> </w:t>
            </w:r>
            <w:r>
              <w:rPr>
                <w:rFonts w:ascii="仿宋" w:hAnsi="仿宋" w:eastAsia="仿宋" w:cs="仿宋"/>
                <w:spacing w:val="-3"/>
              </w:rPr>
              <w:t>处缓坡</w:t>
            </w:r>
          </w:p>
        </w:tc>
        <w:tc>
          <w:tcPr>
            <w:tcW w:w="1140" w:type="dxa"/>
            <w:vAlign w:val="top"/>
          </w:tcPr>
          <w:p>
            <w:pPr>
              <w:pStyle w:val="6"/>
              <w:spacing w:before="210" w:line="188" w:lineRule="auto"/>
              <w:ind w:left="390"/>
            </w:pPr>
            <w:r>
              <w:rPr>
                <w:spacing w:val="-2"/>
              </w:rPr>
              <w:t>0.07</w:t>
            </w:r>
          </w:p>
        </w:tc>
        <w:tc>
          <w:tcPr>
            <w:tcW w:w="1061" w:type="dxa"/>
            <w:vAlign w:val="top"/>
          </w:tcPr>
          <w:p>
            <w:pPr>
              <w:spacing w:before="174"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10" w:line="188" w:lineRule="auto"/>
              <w:ind w:left="259"/>
            </w:pPr>
            <w:r>
              <w:rPr>
                <w:spacing w:val="-2"/>
              </w:rPr>
              <w:t>5376.4</w:t>
            </w:r>
          </w:p>
        </w:tc>
        <w:tc>
          <w:tcPr>
            <w:tcW w:w="1207" w:type="dxa"/>
            <w:vAlign w:val="top"/>
          </w:tcPr>
          <w:p>
            <w:pPr>
              <w:pStyle w:val="6"/>
              <w:spacing w:before="210" w:line="188" w:lineRule="auto"/>
              <w:ind w:left="315"/>
            </w:pPr>
            <w:r>
              <w:rPr>
                <w:spacing w:val="-1"/>
              </w:rPr>
              <w:t>4073.0</w:t>
            </w:r>
          </w:p>
        </w:tc>
        <w:tc>
          <w:tcPr>
            <w:tcW w:w="4887" w:type="dxa"/>
            <w:tcBorders>
              <w:right w:val="nil"/>
            </w:tcBorders>
            <w:vAlign w:val="top"/>
          </w:tcPr>
          <w:p>
            <w:pPr>
              <w:pStyle w:val="6"/>
              <w:spacing w:before="174" w:line="215" w:lineRule="auto"/>
              <w:ind w:left="260"/>
              <w:rPr>
                <w:rFonts w:ascii="仿宋" w:hAnsi="仿宋" w:eastAsia="仿宋" w:cs="仿宋"/>
              </w:rPr>
            </w:pPr>
            <w:r>
              <w:rPr>
                <w:spacing w:val="-6"/>
              </w:rPr>
              <w:t>1#</w:t>
            </w:r>
            <w:r>
              <w:rPr>
                <w:rFonts w:ascii="仿宋" w:hAnsi="仿宋" w:eastAsia="仿宋" w:cs="仿宋"/>
                <w:spacing w:val="-6"/>
              </w:rPr>
              <w:t xml:space="preserve">引水渠中后段、 </w:t>
            </w:r>
            <w:r>
              <w:rPr>
                <w:spacing w:val="-6"/>
              </w:rPr>
              <w:t>1#</w:t>
            </w:r>
            <w:r>
              <w:rPr>
                <w:rFonts w:ascii="仿宋" w:hAnsi="仿宋" w:eastAsia="仿宋" w:cs="仿宋"/>
                <w:spacing w:val="-6"/>
              </w:rPr>
              <w:t>引水渠施工生产区表土堆存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43" w:line="217" w:lineRule="auto"/>
              <w:ind w:left="657" w:right="206" w:hanging="426"/>
              <w:rPr>
                <w:rFonts w:ascii="仿宋" w:hAnsi="仿宋" w:eastAsia="仿宋" w:cs="仿宋"/>
              </w:rPr>
            </w:pPr>
            <w:r>
              <w:rPr>
                <w:spacing w:val="-2"/>
              </w:rPr>
              <w:t>3#</w:t>
            </w:r>
            <w:r>
              <w:rPr>
                <w:rFonts w:ascii="仿宋" w:hAnsi="仿宋" w:eastAsia="仿宋" w:cs="仿宋"/>
                <w:spacing w:val="-2"/>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78" w:line="214" w:lineRule="auto"/>
              <w:ind w:left="130"/>
              <w:rPr>
                <w:rFonts w:ascii="仿宋" w:hAnsi="仿宋" w:eastAsia="仿宋" w:cs="仿宋"/>
              </w:rPr>
            </w:pPr>
            <w:r>
              <w:rPr>
                <w:spacing w:val="-2"/>
              </w:rPr>
              <w:t>1#</w:t>
            </w:r>
            <w:r>
              <w:rPr>
                <w:rFonts w:ascii="仿宋" w:hAnsi="仿宋" w:eastAsia="仿宋" w:cs="仿宋"/>
                <w:spacing w:val="-2"/>
              </w:rPr>
              <w:t>可利用开挖料临时转存场一角</w:t>
            </w:r>
          </w:p>
        </w:tc>
        <w:tc>
          <w:tcPr>
            <w:tcW w:w="1140" w:type="dxa"/>
            <w:vAlign w:val="top"/>
          </w:tcPr>
          <w:p>
            <w:pPr>
              <w:pStyle w:val="6"/>
              <w:spacing w:before="210" w:line="192" w:lineRule="auto"/>
              <w:ind w:left="322"/>
            </w:pPr>
            <w:r>
              <w:rPr>
                <w:spacing w:val="-2"/>
              </w:rPr>
              <w:t>(0.13)</w:t>
            </w:r>
          </w:p>
        </w:tc>
        <w:tc>
          <w:tcPr>
            <w:tcW w:w="1061" w:type="dxa"/>
            <w:vAlign w:val="top"/>
          </w:tcPr>
          <w:p>
            <w:pPr>
              <w:spacing w:before="177"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14" w:line="188" w:lineRule="auto"/>
              <w:ind w:left="258"/>
            </w:pPr>
            <w:r>
              <w:rPr>
                <w:spacing w:val="-2"/>
              </w:rPr>
              <w:t>6563.0</w:t>
            </w:r>
          </w:p>
        </w:tc>
        <w:tc>
          <w:tcPr>
            <w:tcW w:w="1207" w:type="dxa"/>
            <w:vAlign w:val="top"/>
          </w:tcPr>
          <w:p>
            <w:pPr>
              <w:pStyle w:val="6"/>
              <w:spacing w:before="214" w:line="188" w:lineRule="auto"/>
              <w:ind w:left="315"/>
            </w:pPr>
            <w:r>
              <w:rPr>
                <w:spacing w:val="-1"/>
              </w:rPr>
              <w:t>4972.0</w:t>
            </w:r>
          </w:p>
        </w:tc>
        <w:tc>
          <w:tcPr>
            <w:tcW w:w="4887" w:type="dxa"/>
            <w:tcBorders>
              <w:right w:val="nil"/>
            </w:tcBorders>
            <w:vAlign w:val="top"/>
          </w:tcPr>
          <w:p>
            <w:pPr>
              <w:spacing w:before="177" w:line="218" w:lineRule="auto"/>
              <w:ind w:left="890"/>
              <w:rPr>
                <w:rFonts w:ascii="仿宋" w:hAnsi="仿宋" w:eastAsia="仿宋" w:cs="仿宋"/>
                <w:sz w:val="21"/>
                <w:szCs w:val="21"/>
              </w:rPr>
            </w:pPr>
            <w:r>
              <w:rPr>
                <w:rFonts w:ascii="仿宋" w:hAnsi="仿宋" w:eastAsia="仿宋" w:cs="仿宋"/>
                <w:spacing w:val="-2"/>
                <w:sz w:val="21"/>
                <w:szCs w:val="21"/>
              </w:rPr>
              <w:t>管理所和枢纽区临时道路绿化覆土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45" w:line="216" w:lineRule="auto"/>
              <w:ind w:left="657" w:right="206" w:hanging="431"/>
              <w:rPr>
                <w:rFonts w:ascii="仿宋" w:hAnsi="仿宋" w:eastAsia="仿宋" w:cs="仿宋"/>
              </w:rPr>
            </w:pPr>
            <w:r>
              <w:rPr>
                <w:spacing w:val="-1"/>
              </w:rPr>
              <w:t>4#</w:t>
            </w:r>
            <w:r>
              <w:rPr>
                <w:rFonts w:ascii="仿宋" w:hAnsi="仿宋" w:eastAsia="仿宋" w:cs="仿宋"/>
                <w:spacing w:val="-1"/>
              </w:rPr>
              <w:t>临时堆土</w:t>
            </w:r>
            <w:r>
              <w:rPr>
                <w:rFonts w:ascii="仿宋" w:hAnsi="仿宋" w:eastAsia="仿宋" w:cs="仿宋"/>
                <w:spacing w:val="2"/>
              </w:rPr>
              <w:t xml:space="preserve"> </w:t>
            </w:r>
            <w:r>
              <w:rPr>
                <w:rFonts w:ascii="仿宋" w:hAnsi="仿宋" w:eastAsia="仿宋" w:cs="仿宋"/>
              </w:rPr>
              <w:t>场</w:t>
            </w:r>
          </w:p>
        </w:tc>
        <w:tc>
          <w:tcPr>
            <w:tcW w:w="3156" w:type="dxa"/>
            <w:vAlign w:val="top"/>
          </w:tcPr>
          <w:p>
            <w:pPr>
              <w:spacing w:before="180" w:line="216" w:lineRule="auto"/>
              <w:ind w:left="750"/>
              <w:rPr>
                <w:rFonts w:ascii="仿宋" w:hAnsi="仿宋" w:eastAsia="仿宋" w:cs="仿宋"/>
                <w:sz w:val="21"/>
                <w:szCs w:val="21"/>
              </w:rPr>
            </w:pPr>
            <w:r>
              <w:rPr>
                <w:rFonts w:ascii="仿宋" w:hAnsi="仿宋" w:eastAsia="仿宋" w:cs="仿宋"/>
                <w:spacing w:val="-2"/>
                <w:sz w:val="21"/>
                <w:szCs w:val="21"/>
              </w:rPr>
              <w:t>位于粘土料场一角</w:t>
            </w:r>
          </w:p>
        </w:tc>
        <w:tc>
          <w:tcPr>
            <w:tcW w:w="1140" w:type="dxa"/>
            <w:vAlign w:val="top"/>
          </w:tcPr>
          <w:p>
            <w:pPr>
              <w:pStyle w:val="6"/>
              <w:spacing w:before="212" w:line="192" w:lineRule="auto"/>
              <w:ind w:left="322"/>
            </w:pPr>
            <w:r>
              <w:rPr>
                <w:spacing w:val="-2"/>
              </w:rPr>
              <w:t>(0.63)</w:t>
            </w:r>
          </w:p>
        </w:tc>
        <w:tc>
          <w:tcPr>
            <w:tcW w:w="1061" w:type="dxa"/>
            <w:vAlign w:val="top"/>
          </w:tcPr>
          <w:p>
            <w:pPr>
              <w:spacing w:before="180"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16" w:line="188" w:lineRule="auto"/>
              <w:ind w:left="206"/>
            </w:pPr>
            <w:r>
              <w:rPr>
                <w:spacing w:val="-2"/>
              </w:rPr>
              <w:t>37715.0</w:t>
            </w:r>
          </w:p>
        </w:tc>
        <w:tc>
          <w:tcPr>
            <w:tcW w:w="1207" w:type="dxa"/>
            <w:vAlign w:val="top"/>
          </w:tcPr>
          <w:p>
            <w:pPr>
              <w:pStyle w:val="6"/>
              <w:spacing w:before="216" w:line="188" w:lineRule="auto"/>
              <w:ind w:left="263"/>
            </w:pPr>
            <w:r>
              <w:rPr>
                <w:spacing w:val="-1"/>
              </w:rPr>
              <w:t>28572.0</w:t>
            </w:r>
          </w:p>
        </w:tc>
        <w:tc>
          <w:tcPr>
            <w:tcW w:w="4887" w:type="dxa"/>
            <w:tcBorders>
              <w:right w:val="nil"/>
            </w:tcBorders>
            <w:vAlign w:val="top"/>
          </w:tcPr>
          <w:p>
            <w:pPr>
              <w:spacing w:before="180" w:line="216" w:lineRule="auto"/>
              <w:ind w:left="1614"/>
              <w:rPr>
                <w:rFonts w:ascii="仿宋" w:hAnsi="仿宋" w:eastAsia="仿宋" w:cs="仿宋"/>
                <w:sz w:val="21"/>
                <w:szCs w:val="21"/>
              </w:rPr>
            </w:pPr>
            <w:r>
              <w:rPr>
                <w:rFonts w:ascii="仿宋" w:hAnsi="仿宋" w:eastAsia="仿宋" w:cs="仿宋"/>
                <w:spacing w:val="-2"/>
                <w:sz w:val="21"/>
                <w:szCs w:val="21"/>
              </w:rPr>
              <w:t>粘土料场绿化覆土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1483" w:type="dxa"/>
            <w:tcBorders>
              <w:left w:val="nil"/>
            </w:tcBorders>
            <w:vAlign w:val="top"/>
          </w:tcPr>
          <w:p>
            <w:pPr>
              <w:pStyle w:val="6"/>
              <w:spacing w:before="46" w:line="215" w:lineRule="auto"/>
              <w:ind w:left="657" w:right="206" w:hanging="424"/>
              <w:rPr>
                <w:rFonts w:ascii="仿宋" w:hAnsi="仿宋" w:eastAsia="仿宋" w:cs="仿宋"/>
              </w:rPr>
            </w:pPr>
            <w:r>
              <w:rPr>
                <w:spacing w:val="-2"/>
              </w:rPr>
              <w:t>5#</w:t>
            </w:r>
            <w:r>
              <w:rPr>
                <w:rFonts w:ascii="仿宋" w:hAnsi="仿宋" w:eastAsia="仿宋" w:cs="仿宋"/>
                <w:spacing w:val="-2"/>
              </w:rPr>
              <w:t>临时堆土</w:t>
            </w:r>
            <w:r>
              <w:rPr>
                <w:rFonts w:ascii="仿宋" w:hAnsi="仿宋" w:eastAsia="仿宋" w:cs="仿宋"/>
                <w:spacing w:val="2"/>
              </w:rPr>
              <w:t xml:space="preserve"> </w:t>
            </w:r>
            <w:r>
              <w:rPr>
                <w:rFonts w:ascii="仿宋" w:hAnsi="仿宋" w:eastAsia="仿宋" w:cs="仿宋"/>
              </w:rPr>
              <w:t>场</w:t>
            </w:r>
          </w:p>
        </w:tc>
        <w:tc>
          <w:tcPr>
            <w:tcW w:w="3156" w:type="dxa"/>
            <w:vAlign w:val="top"/>
          </w:tcPr>
          <w:p>
            <w:pPr>
              <w:pStyle w:val="6"/>
              <w:spacing w:before="184" w:line="216" w:lineRule="auto"/>
              <w:ind w:left="618"/>
              <w:rPr>
                <w:rFonts w:ascii="仿宋" w:hAnsi="仿宋" w:eastAsia="仿宋" w:cs="仿宋"/>
              </w:rPr>
            </w:pPr>
            <w:r>
              <w:rPr>
                <w:rFonts w:ascii="仿宋" w:hAnsi="仿宋" w:eastAsia="仿宋" w:cs="仿宋"/>
                <w:spacing w:val="-2"/>
              </w:rPr>
              <w:t>位于</w:t>
            </w:r>
            <w:r>
              <w:rPr>
                <w:rFonts w:ascii="仿宋" w:hAnsi="仿宋" w:eastAsia="仿宋" w:cs="仿宋"/>
                <w:spacing w:val="-48"/>
              </w:rPr>
              <w:t xml:space="preserve"> </w:t>
            </w:r>
            <w:r>
              <w:rPr>
                <w:spacing w:val="-2"/>
              </w:rPr>
              <w:t>2#</w:t>
            </w:r>
            <w:r>
              <w:rPr>
                <w:rFonts w:ascii="仿宋" w:hAnsi="仿宋" w:eastAsia="仿宋" w:cs="仿宋"/>
                <w:spacing w:val="-2"/>
              </w:rPr>
              <w:t>风化料场一角</w:t>
            </w:r>
          </w:p>
        </w:tc>
        <w:tc>
          <w:tcPr>
            <w:tcW w:w="1140" w:type="dxa"/>
            <w:vAlign w:val="top"/>
          </w:tcPr>
          <w:p>
            <w:pPr>
              <w:pStyle w:val="6"/>
              <w:spacing w:before="215" w:line="192" w:lineRule="auto"/>
              <w:ind w:left="322"/>
            </w:pPr>
            <w:r>
              <w:rPr>
                <w:spacing w:val="-2"/>
              </w:rPr>
              <w:t>(0.31)</w:t>
            </w:r>
          </w:p>
        </w:tc>
        <w:tc>
          <w:tcPr>
            <w:tcW w:w="1061" w:type="dxa"/>
            <w:vAlign w:val="top"/>
          </w:tcPr>
          <w:p>
            <w:pPr>
              <w:spacing w:before="184"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19" w:line="188" w:lineRule="auto"/>
              <w:ind w:left="222"/>
            </w:pPr>
            <w:r>
              <w:rPr>
                <w:spacing w:val="-4"/>
              </w:rPr>
              <w:t>18775.7</w:t>
            </w:r>
          </w:p>
        </w:tc>
        <w:tc>
          <w:tcPr>
            <w:tcW w:w="1207" w:type="dxa"/>
            <w:vAlign w:val="top"/>
          </w:tcPr>
          <w:p>
            <w:pPr>
              <w:pStyle w:val="6"/>
              <w:spacing w:before="219" w:line="188" w:lineRule="auto"/>
              <w:ind w:left="283"/>
            </w:pPr>
            <w:r>
              <w:rPr>
                <w:spacing w:val="-4"/>
              </w:rPr>
              <w:t>14224.0</w:t>
            </w:r>
          </w:p>
        </w:tc>
        <w:tc>
          <w:tcPr>
            <w:tcW w:w="4887" w:type="dxa"/>
            <w:tcBorders>
              <w:right w:val="nil"/>
            </w:tcBorders>
            <w:vAlign w:val="top"/>
          </w:tcPr>
          <w:p>
            <w:pPr>
              <w:pStyle w:val="6"/>
              <w:spacing w:before="184" w:line="216" w:lineRule="auto"/>
              <w:ind w:left="1499"/>
              <w:rPr>
                <w:rFonts w:ascii="仿宋" w:hAnsi="仿宋" w:eastAsia="仿宋" w:cs="仿宋"/>
              </w:rPr>
            </w:pPr>
            <w:r>
              <w:rPr>
                <w:spacing w:val="-1"/>
              </w:rPr>
              <w:t>2#</w:t>
            </w:r>
            <w:r>
              <w:rPr>
                <w:rFonts w:ascii="仿宋" w:hAnsi="仿宋" w:eastAsia="仿宋" w:cs="仿宋"/>
                <w:spacing w:val="-1"/>
              </w:rPr>
              <w:t>风化料场绿化覆土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1483" w:type="dxa"/>
            <w:tcBorders>
              <w:left w:val="nil"/>
            </w:tcBorders>
            <w:vAlign w:val="top"/>
          </w:tcPr>
          <w:p>
            <w:pPr>
              <w:pStyle w:val="6"/>
              <w:spacing w:before="51" w:line="213" w:lineRule="auto"/>
              <w:ind w:left="657" w:right="206" w:hanging="425"/>
              <w:rPr>
                <w:rFonts w:ascii="仿宋" w:hAnsi="仿宋" w:eastAsia="仿宋" w:cs="仿宋"/>
              </w:rPr>
            </w:pPr>
            <w:r>
              <w:rPr>
                <w:spacing w:val="-2"/>
              </w:rPr>
              <w:t>6#</w:t>
            </w:r>
            <w:r>
              <w:rPr>
                <w:rFonts w:ascii="仿宋" w:hAnsi="仿宋" w:eastAsia="仿宋" w:cs="仿宋"/>
                <w:spacing w:val="-2"/>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spacing w:before="187" w:line="216" w:lineRule="auto"/>
              <w:ind w:left="750"/>
              <w:rPr>
                <w:rFonts w:ascii="仿宋" w:hAnsi="仿宋" w:eastAsia="仿宋" w:cs="仿宋"/>
                <w:sz w:val="21"/>
                <w:szCs w:val="21"/>
              </w:rPr>
            </w:pPr>
            <w:r>
              <w:rPr>
                <w:rFonts w:ascii="仿宋" w:hAnsi="仿宋" w:eastAsia="仿宋" w:cs="仿宋"/>
                <w:spacing w:val="-2"/>
                <w:sz w:val="21"/>
                <w:szCs w:val="21"/>
              </w:rPr>
              <w:t>位于块石料场一角</w:t>
            </w:r>
          </w:p>
        </w:tc>
        <w:tc>
          <w:tcPr>
            <w:tcW w:w="1140" w:type="dxa"/>
            <w:vAlign w:val="top"/>
          </w:tcPr>
          <w:p>
            <w:pPr>
              <w:pStyle w:val="6"/>
              <w:spacing w:before="220" w:line="192" w:lineRule="auto"/>
              <w:ind w:left="322"/>
            </w:pPr>
            <w:r>
              <w:rPr>
                <w:spacing w:val="-2"/>
              </w:rPr>
              <w:t>(0.12)</w:t>
            </w:r>
          </w:p>
        </w:tc>
        <w:tc>
          <w:tcPr>
            <w:tcW w:w="1061" w:type="dxa"/>
            <w:vAlign w:val="top"/>
          </w:tcPr>
          <w:p>
            <w:pPr>
              <w:spacing w:before="187"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24" w:line="188" w:lineRule="auto"/>
              <w:ind w:left="258"/>
            </w:pPr>
            <w:r>
              <w:rPr>
                <w:spacing w:val="-2"/>
              </w:rPr>
              <w:t>6967.0</w:t>
            </w:r>
          </w:p>
        </w:tc>
        <w:tc>
          <w:tcPr>
            <w:tcW w:w="1207" w:type="dxa"/>
            <w:vAlign w:val="top"/>
          </w:tcPr>
          <w:p>
            <w:pPr>
              <w:pStyle w:val="6"/>
              <w:spacing w:before="224" w:line="188" w:lineRule="auto"/>
              <w:ind w:left="322"/>
            </w:pPr>
            <w:r>
              <w:rPr>
                <w:spacing w:val="-2"/>
              </w:rPr>
              <w:t>5278.0</w:t>
            </w:r>
          </w:p>
        </w:tc>
        <w:tc>
          <w:tcPr>
            <w:tcW w:w="4887" w:type="dxa"/>
            <w:tcBorders>
              <w:right w:val="nil"/>
            </w:tcBorders>
            <w:vAlign w:val="top"/>
          </w:tcPr>
          <w:p>
            <w:pPr>
              <w:spacing w:before="187" w:line="216" w:lineRule="auto"/>
              <w:ind w:left="1613"/>
              <w:rPr>
                <w:rFonts w:ascii="仿宋" w:hAnsi="仿宋" w:eastAsia="仿宋" w:cs="仿宋"/>
                <w:sz w:val="21"/>
                <w:szCs w:val="21"/>
              </w:rPr>
            </w:pPr>
            <w:r>
              <w:rPr>
                <w:rFonts w:ascii="仿宋" w:hAnsi="仿宋" w:eastAsia="仿宋" w:cs="仿宋"/>
                <w:spacing w:val="-2"/>
                <w:sz w:val="21"/>
                <w:szCs w:val="21"/>
              </w:rPr>
              <w:t>块石料场绿化覆土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54" w:line="212" w:lineRule="auto"/>
              <w:ind w:left="656" w:right="206" w:hanging="426"/>
              <w:rPr>
                <w:rFonts w:ascii="仿宋" w:hAnsi="仿宋" w:eastAsia="仿宋" w:cs="仿宋"/>
              </w:rPr>
            </w:pPr>
            <w:r>
              <w:rPr>
                <w:spacing w:val="-2"/>
              </w:rPr>
              <w:t>7#</w:t>
            </w:r>
            <w:r>
              <w:rPr>
                <w:rFonts w:ascii="仿宋" w:hAnsi="仿宋" w:eastAsia="仿宋" w:cs="仿宋"/>
                <w:spacing w:val="-2"/>
              </w:rPr>
              <w:t>临时堆土</w:t>
            </w:r>
            <w:r>
              <w:rPr>
                <w:rFonts w:ascii="仿宋" w:hAnsi="仿宋" w:eastAsia="仿宋" w:cs="仿宋"/>
                <w:spacing w:val="4"/>
              </w:rPr>
              <w:t xml:space="preserve"> </w:t>
            </w:r>
            <w:r>
              <w:rPr>
                <w:rFonts w:ascii="仿宋" w:hAnsi="仿宋" w:eastAsia="仿宋" w:cs="仿宋"/>
              </w:rPr>
              <w:t>场</w:t>
            </w:r>
          </w:p>
        </w:tc>
        <w:tc>
          <w:tcPr>
            <w:tcW w:w="3156" w:type="dxa"/>
            <w:vAlign w:val="top"/>
          </w:tcPr>
          <w:p>
            <w:pPr>
              <w:pStyle w:val="6"/>
              <w:spacing w:before="191" w:line="218" w:lineRule="auto"/>
              <w:ind w:left="252"/>
              <w:rPr>
                <w:rFonts w:ascii="仿宋" w:hAnsi="仿宋" w:eastAsia="仿宋" w:cs="仿宋"/>
              </w:rPr>
            </w:pPr>
            <w:r>
              <w:rPr>
                <w:rFonts w:ascii="仿宋" w:hAnsi="仿宋" w:eastAsia="仿宋" w:cs="仿宋"/>
                <w:spacing w:val="-4"/>
              </w:rPr>
              <w:t>马茨河渡槽东侧</w:t>
            </w:r>
            <w:r>
              <w:rPr>
                <w:rFonts w:ascii="仿宋" w:hAnsi="仿宋" w:eastAsia="仿宋" w:cs="仿宋"/>
                <w:spacing w:val="-33"/>
              </w:rPr>
              <w:t xml:space="preserve"> </w:t>
            </w:r>
            <w:r>
              <w:rPr>
                <w:spacing w:val="-4"/>
              </w:rPr>
              <w:t>600m</w:t>
            </w:r>
            <w:r>
              <w:rPr>
                <w:spacing w:val="17"/>
                <w:w w:val="101"/>
              </w:rPr>
              <w:t xml:space="preserve"> </w:t>
            </w:r>
            <w:r>
              <w:rPr>
                <w:rFonts w:ascii="仿宋" w:hAnsi="仿宋" w:eastAsia="仿宋" w:cs="仿宋"/>
                <w:spacing w:val="-4"/>
              </w:rPr>
              <w:t>缓坡地</w:t>
            </w:r>
          </w:p>
        </w:tc>
        <w:tc>
          <w:tcPr>
            <w:tcW w:w="1140" w:type="dxa"/>
            <w:vAlign w:val="top"/>
          </w:tcPr>
          <w:p>
            <w:pPr>
              <w:pStyle w:val="6"/>
              <w:spacing w:before="227" w:line="188" w:lineRule="auto"/>
              <w:ind w:left="390"/>
            </w:pPr>
            <w:r>
              <w:rPr>
                <w:spacing w:val="-2"/>
              </w:rPr>
              <w:t>0.22</w:t>
            </w:r>
          </w:p>
        </w:tc>
        <w:tc>
          <w:tcPr>
            <w:tcW w:w="1061" w:type="dxa"/>
            <w:vAlign w:val="top"/>
          </w:tcPr>
          <w:p>
            <w:pPr>
              <w:spacing w:before="191" w:line="218" w:lineRule="auto"/>
              <w:ind w:left="331"/>
              <w:rPr>
                <w:rFonts w:ascii="仿宋" w:hAnsi="仿宋" w:eastAsia="仿宋" w:cs="仿宋"/>
                <w:sz w:val="21"/>
                <w:szCs w:val="21"/>
              </w:rPr>
            </w:pPr>
            <w:r>
              <w:rPr>
                <w:rFonts w:ascii="仿宋" w:hAnsi="仿宋" w:eastAsia="仿宋" w:cs="仿宋"/>
                <w:spacing w:val="-7"/>
                <w:sz w:val="21"/>
                <w:szCs w:val="21"/>
              </w:rPr>
              <w:t>林地</w:t>
            </w:r>
          </w:p>
        </w:tc>
        <w:tc>
          <w:tcPr>
            <w:tcW w:w="1083" w:type="dxa"/>
            <w:vAlign w:val="top"/>
          </w:tcPr>
          <w:p>
            <w:pPr>
              <w:pStyle w:val="6"/>
              <w:spacing w:before="227" w:line="188" w:lineRule="auto"/>
              <w:ind w:left="256"/>
            </w:pPr>
            <w:r>
              <w:rPr>
                <w:spacing w:val="-2"/>
              </w:rPr>
              <w:t>7150.0</w:t>
            </w:r>
          </w:p>
        </w:tc>
        <w:tc>
          <w:tcPr>
            <w:tcW w:w="1207" w:type="dxa"/>
            <w:vAlign w:val="top"/>
          </w:tcPr>
          <w:p>
            <w:pPr>
              <w:pStyle w:val="6"/>
              <w:spacing w:before="227" w:line="188" w:lineRule="auto"/>
              <w:ind w:left="322"/>
            </w:pPr>
            <w:r>
              <w:rPr>
                <w:spacing w:val="-2"/>
              </w:rPr>
              <w:t>5416.7</w:t>
            </w:r>
          </w:p>
        </w:tc>
        <w:tc>
          <w:tcPr>
            <w:tcW w:w="4887" w:type="dxa"/>
            <w:tcBorders>
              <w:right w:val="nil"/>
            </w:tcBorders>
            <w:vAlign w:val="top"/>
          </w:tcPr>
          <w:p>
            <w:pPr>
              <w:pStyle w:val="6"/>
              <w:spacing w:before="54" w:line="212" w:lineRule="auto"/>
              <w:ind w:left="919" w:right="134" w:hanging="772"/>
              <w:rPr>
                <w:rFonts w:ascii="仿宋" w:hAnsi="仿宋" w:eastAsia="仿宋" w:cs="仿宋"/>
              </w:rPr>
            </w:pPr>
            <w:r>
              <w:rPr>
                <w:rFonts w:ascii="仿宋" w:hAnsi="仿宋" w:eastAsia="仿宋" w:cs="仿宋"/>
                <w:spacing w:val="-7"/>
              </w:rPr>
              <w:t>马茨河渡槽、马茨河明渠、</w:t>
            </w:r>
            <w:r>
              <w:rPr>
                <w:rFonts w:ascii="仿宋" w:hAnsi="仿宋" w:eastAsia="仿宋" w:cs="仿宋"/>
                <w:spacing w:val="38"/>
              </w:rPr>
              <w:t xml:space="preserve"> </w:t>
            </w:r>
            <w:r>
              <w:rPr>
                <w:spacing w:val="-7"/>
              </w:rPr>
              <w:t>2#</w:t>
            </w:r>
            <w:r>
              <w:rPr>
                <w:rFonts w:ascii="仿宋" w:hAnsi="仿宋" w:eastAsia="仿宋" w:cs="仿宋"/>
                <w:spacing w:val="-7"/>
              </w:rPr>
              <w:t>引洪沟、输水区</w:t>
            </w:r>
            <w:r>
              <w:rPr>
                <w:rFonts w:ascii="仿宋" w:hAnsi="仿宋" w:eastAsia="仿宋" w:cs="仿宋"/>
                <w:spacing w:val="-8"/>
              </w:rPr>
              <w:t>施工</w:t>
            </w:r>
            <w:r>
              <w:rPr>
                <w:rFonts w:ascii="仿宋" w:hAnsi="仿宋" w:eastAsia="仿宋" w:cs="仿宋"/>
              </w:rPr>
              <w:t xml:space="preserve"> </w:t>
            </w:r>
            <w:r>
              <w:rPr>
                <w:rFonts w:ascii="仿宋" w:hAnsi="仿宋" w:eastAsia="仿宋" w:cs="仿宋"/>
                <w:spacing w:val="-4"/>
              </w:rPr>
              <w:t>生产区和临时道路</w:t>
            </w:r>
            <w:r>
              <w:rPr>
                <w:rFonts w:ascii="仿宋" w:hAnsi="仿宋" w:eastAsia="仿宋" w:cs="仿宋"/>
                <w:spacing w:val="-28"/>
              </w:rPr>
              <w:t xml:space="preserve"> </w:t>
            </w:r>
            <w:r>
              <w:rPr>
                <w:spacing w:val="-4"/>
              </w:rPr>
              <w:t>SSL1</w:t>
            </w:r>
            <w:r>
              <w:rPr>
                <w:spacing w:val="16"/>
                <w:w w:val="101"/>
              </w:rPr>
              <w:t xml:space="preserve"> </w:t>
            </w:r>
            <w:r>
              <w:rPr>
                <w:rFonts w:ascii="仿宋" w:hAnsi="仿宋" w:eastAsia="仿宋" w:cs="仿宋"/>
                <w:spacing w:val="-4"/>
              </w:rPr>
              <w:t>表土堆存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1" w:hRule="atLeast"/>
        </w:trPr>
        <w:tc>
          <w:tcPr>
            <w:tcW w:w="1483" w:type="dxa"/>
            <w:tcBorders>
              <w:left w:val="nil"/>
              <w:bottom w:val="single" w:color="000000" w:sz="12" w:space="0"/>
            </w:tcBorders>
            <w:vAlign w:val="top"/>
          </w:tcPr>
          <w:p>
            <w:pPr>
              <w:pStyle w:val="6"/>
              <w:spacing w:before="58" w:line="221" w:lineRule="auto"/>
              <w:ind w:left="657" w:right="206" w:hanging="421"/>
              <w:rPr>
                <w:rFonts w:ascii="仿宋" w:hAnsi="仿宋" w:eastAsia="仿宋" w:cs="仿宋"/>
              </w:rPr>
            </w:pPr>
            <w:r>
              <w:rPr>
                <w:spacing w:val="-2"/>
              </w:rPr>
              <w:t>8#</w:t>
            </w:r>
            <w:r>
              <w:rPr>
                <w:rFonts w:ascii="仿宋" w:hAnsi="仿宋" w:eastAsia="仿宋" w:cs="仿宋"/>
                <w:spacing w:val="-2"/>
              </w:rPr>
              <w:t>临时堆土</w:t>
            </w:r>
            <w:r>
              <w:rPr>
                <w:rFonts w:ascii="仿宋" w:hAnsi="仿宋" w:eastAsia="仿宋" w:cs="仿宋"/>
              </w:rPr>
              <w:t xml:space="preserve"> 场</w:t>
            </w:r>
          </w:p>
        </w:tc>
        <w:tc>
          <w:tcPr>
            <w:tcW w:w="3156" w:type="dxa"/>
            <w:tcBorders>
              <w:bottom w:val="single" w:color="000000" w:sz="12" w:space="0"/>
            </w:tcBorders>
            <w:vAlign w:val="top"/>
          </w:tcPr>
          <w:p>
            <w:pPr>
              <w:pStyle w:val="6"/>
              <w:spacing w:before="192" w:line="217" w:lineRule="auto"/>
              <w:ind w:left="354"/>
              <w:rPr>
                <w:rFonts w:ascii="仿宋" w:hAnsi="仿宋" w:eastAsia="仿宋" w:cs="仿宋"/>
              </w:rPr>
            </w:pPr>
            <w:r>
              <w:rPr>
                <w:rFonts w:ascii="仿宋" w:hAnsi="仿宋" w:eastAsia="仿宋" w:cs="仿宋"/>
                <w:spacing w:val="-3"/>
              </w:rPr>
              <w:t>六姑乍村东侧</w:t>
            </w:r>
            <w:r>
              <w:rPr>
                <w:rFonts w:ascii="仿宋" w:hAnsi="仿宋" w:eastAsia="仿宋" w:cs="仿宋"/>
                <w:spacing w:val="-47"/>
              </w:rPr>
              <w:t xml:space="preserve"> </w:t>
            </w:r>
            <w:r>
              <w:rPr>
                <w:spacing w:val="-3"/>
              </w:rPr>
              <w:t>400m</w:t>
            </w:r>
            <w:r>
              <w:rPr>
                <w:spacing w:val="18"/>
              </w:rPr>
              <w:t xml:space="preserve"> </w:t>
            </w:r>
            <w:r>
              <w:rPr>
                <w:rFonts w:ascii="仿宋" w:hAnsi="仿宋" w:eastAsia="仿宋" w:cs="仿宋"/>
                <w:spacing w:val="-3"/>
              </w:rPr>
              <w:t>缓坡地</w:t>
            </w:r>
          </w:p>
        </w:tc>
        <w:tc>
          <w:tcPr>
            <w:tcW w:w="1140" w:type="dxa"/>
            <w:tcBorders>
              <w:bottom w:val="single" w:color="000000" w:sz="12" w:space="0"/>
            </w:tcBorders>
            <w:vAlign w:val="top"/>
          </w:tcPr>
          <w:p>
            <w:pPr>
              <w:pStyle w:val="6"/>
              <w:spacing w:before="229" w:line="188" w:lineRule="auto"/>
              <w:ind w:left="390"/>
            </w:pPr>
            <w:r>
              <w:rPr>
                <w:spacing w:val="-2"/>
              </w:rPr>
              <w:t>0.10</w:t>
            </w:r>
          </w:p>
        </w:tc>
        <w:tc>
          <w:tcPr>
            <w:tcW w:w="1061" w:type="dxa"/>
            <w:tcBorders>
              <w:bottom w:val="single" w:color="000000" w:sz="12" w:space="0"/>
            </w:tcBorders>
            <w:vAlign w:val="top"/>
          </w:tcPr>
          <w:p>
            <w:pPr>
              <w:spacing w:before="193"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tcBorders>
              <w:bottom w:val="single" w:color="000000" w:sz="12" w:space="0"/>
            </w:tcBorders>
            <w:vAlign w:val="top"/>
          </w:tcPr>
          <w:p>
            <w:pPr>
              <w:pStyle w:val="6"/>
              <w:spacing w:before="229" w:line="188" w:lineRule="auto"/>
              <w:ind w:left="258"/>
            </w:pPr>
            <w:r>
              <w:rPr>
                <w:spacing w:val="-2"/>
              </w:rPr>
              <w:t>6212.5</w:t>
            </w:r>
          </w:p>
        </w:tc>
        <w:tc>
          <w:tcPr>
            <w:tcW w:w="1207" w:type="dxa"/>
            <w:tcBorders>
              <w:bottom w:val="single" w:color="000000" w:sz="12" w:space="0"/>
            </w:tcBorders>
            <w:vAlign w:val="top"/>
          </w:tcPr>
          <w:p>
            <w:pPr>
              <w:pStyle w:val="6"/>
              <w:spacing w:before="229" w:line="188" w:lineRule="auto"/>
              <w:ind w:left="315"/>
            </w:pPr>
            <w:r>
              <w:rPr>
                <w:spacing w:val="-1"/>
              </w:rPr>
              <w:t>4706.4</w:t>
            </w:r>
          </w:p>
        </w:tc>
        <w:tc>
          <w:tcPr>
            <w:tcW w:w="4887" w:type="dxa"/>
            <w:tcBorders>
              <w:bottom w:val="single" w:color="000000" w:sz="12" w:space="0"/>
              <w:right w:val="nil"/>
            </w:tcBorders>
            <w:vAlign w:val="top"/>
          </w:tcPr>
          <w:p>
            <w:pPr>
              <w:pStyle w:val="6"/>
              <w:spacing w:before="58" w:line="221" w:lineRule="auto"/>
              <w:ind w:left="1435" w:right="239" w:hanging="1175"/>
              <w:rPr>
                <w:rFonts w:ascii="仿宋" w:hAnsi="仿宋" w:eastAsia="仿宋" w:cs="仿宋"/>
              </w:rPr>
            </w:pPr>
            <w:r>
              <w:rPr>
                <w:spacing w:val="-6"/>
              </w:rPr>
              <w:t>1#</w:t>
            </w:r>
            <w:r>
              <w:rPr>
                <w:rFonts w:ascii="仿宋" w:hAnsi="仿宋" w:eastAsia="仿宋" w:cs="仿宋"/>
                <w:spacing w:val="-6"/>
              </w:rPr>
              <w:t xml:space="preserve">倒虹吸临时占地、 </w:t>
            </w:r>
            <w:r>
              <w:rPr>
                <w:spacing w:val="-6"/>
              </w:rPr>
              <w:t>3#</w:t>
            </w:r>
            <w:r>
              <w:rPr>
                <w:rFonts w:ascii="仿宋" w:hAnsi="仿宋" w:eastAsia="仿宋" w:cs="仿宋"/>
                <w:spacing w:val="-6"/>
              </w:rPr>
              <w:t>引洪沟、输水区临时道路</w:t>
            </w:r>
            <w:r>
              <w:rPr>
                <w:rFonts w:ascii="仿宋" w:hAnsi="仿宋" w:eastAsia="仿宋" w:cs="仿宋"/>
                <w:spacing w:val="13"/>
              </w:rPr>
              <w:t xml:space="preserve"> </w:t>
            </w:r>
            <w:r>
              <w:rPr>
                <w:spacing w:val="-5"/>
              </w:rPr>
              <w:t>SSL3</w:t>
            </w:r>
            <w:r>
              <w:rPr>
                <w:spacing w:val="-15"/>
              </w:rPr>
              <w:t xml:space="preserve"> </w:t>
            </w:r>
            <w:r>
              <w:rPr>
                <w:rFonts w:ascii="仿宋" w:hAnsi="仿宋" w:eastAsia="仿宋" w:cs="仿宋"/>
                <w:spacing w:val="-5"/>
              </w:rPr>
              <w:t>、</w:t>
            </w:r>
            <w:r>
              <w:rPr>
                <w:spacing w:val="-5"/>
              </w:rPr>
              <w:t>SSL4</w:t>
            </w:r>
            <w:r>
              <w:rPr>
                <w:spacing w:val="17"/>
              </w:rPr>
              <w:t xml:space="preserve"> </w:t>
            </w:r>
            <w:r>
              <w:rPr>
                <w:rFonts w:ascii="仿宋" w:hAnsi="仿宋" w:eastAsia="仿宋" w:cs="仿宋"/>
                <w:spacing w:val="-5"/>
              </w:rPr>
              <w:t>表土堆存</w:t>
            </w:r>
          </w:p>
        </w:tc>
      </w:tr>
    </w:tbl>
    <w:p>
      <w:pPr>
        <w:spacing w:line="82" w:lineRule="exact"/>
        <w:rPr>
          <w:rFonts w:ascii="Arial"/>
          <w:sz w:val="7"/>
        </w:rPr>
      </w:pPr>
    </w:p>
    <w:p>
      <w:pPr>
        <w:spacing w:line="82" w:lineRule="exact"/>
        <w:rPr>
          <w:rFonts w:ascii="Arial" w:hAnsi="Arial" w:eastAsia="Arial" w:cs="Arial"/>
          <w:sz w:val="7"/>
          <w:szCs w:val="7"/>
        </w:rPr>
        <w:sectPr>
          <w:footerReference r:id="rId100" w:type="default"/>
          <w:pgSz w:w="16839" w:h="11907"/>
          <w:pgMar w:top="1298" w:right="1387" w:bottom="1373" w:left="1388" w:header="1023" w:footer="1210" w:gutter="0"/>
        </w:sectPr>
      </w:pPr>
    </w:p>
    <w:p>
      <w:pPr>
        <w:spacing w:line="232" w:lineRule="exact"/>
      </w:pPr>
    </w:p>
    <w:tbl>
      <w:tblPr>
        <w:tblStyle w:val="5"/>
        <w:tblW w:w="1401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3"/>
        <w:gridCol w:w="3156"/>
        <w:gridCol w:w="1140"/>
        <w:gridCol w:w="1061"/>
        <w:gridCol w:w="1083"/>
        <w:gridCol w:w="1207"/>
        <w:gridCol w:w="48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483" w:type="dxa"/>
            <w:tcBorders>
              <w:top w:val="single" w:color="000000" w:sz="12" w:space="0"/>
              <w:left w:val="nil"/>
            </w:tcBorders>
            <w:vAlign w:val="top"/>
          </w:tcPr>
          <w:p>
            <w:pPr>
              <w:spacing w:before="166" w:line="217" w:lineRule="auto"/>
              <w:ind w:left="552"/>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名称</w:t>
            </w:r>
          </w:p>
        </w:tc>
        <w:tc>
          <w:tcPr>
            <w:tcW w:w="3156" w:type="dxa"/>
            <w:tcBorders>
              <w:top w:val="single" w:color="000000" w:sz="12" w:space="0"/>
            </w:tcBorders>
            <w:vAlign w:val="top"/>
          </w:tcPr>
          <w:p>
            <w:pPr>
              <w:spacing w:before="167" w:line="217" w:lineRule="auto"/>
              <w:ind w:left="1326"/>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位</w:t>
            </w:r>
            <w:r>
              <w:rPr>
                <w:rFonts w:ascii="仿宋" w:hAnsi="仿宋" w:eastAsia="仿宋" w:cs="仿宋"/>
                <w:spacing w:val="16"/>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置</w:t>
            </w:r>
          </w:p>
        </w:tc>
        <w:tc>
          <w:tcPr>
            <w:tcW w:w="1140" w:type="dxa"/>
            <w:tcBorders>
              <w:top w:val="single" w:color="000000" w:sz="12" w:space="0"/>
            </w:tcBorders>
            <w:vAlign w:val="top"/>
          </w:tcPr>
          <w:p>
            <w:pPr>
              <w:pStyle w:val="6"/>
              <w:spacing w:before="166" w:line="215" w:lineRule="auto"/>
              <w:ind w:left="156"/>
            </w:pPr>
            <w:r>
              <w:rPr>
                <w:rFonts w:ascii="仿宋" w:hAnsi="仿宋" w:eastAsia="仿宋" w:cs="仿宋"/>
                <w:spacing w:val="-7"/>
                <w14:textOutline w14:w="3810" w14:cap="flat" w14:cmpd="sng">
                  <w14:solidFill>
                    <w14:srgbClr w14:val="000000"/>
                  </w14:solidFill>
                  <w14:prstDash w14:val="solid"/>
                  <w14:miter w14:val="0"/>
                </w14:textOutline>
              </w:rPr>
              <w:t>占地</w:t>
            </w:r>
            <w:r>
              <w:rPr>
                <w:b/>
                <w:bCs/>
                <w:spacing w:val="-7"/>
              </w:rPr>
              <w:t>(hm</w:t>
            </w:r>
            <w:r>
              <w:rPr>
                <w:b/>
                <w:bCs/>
                <w:spacing w:val="-7"/>
                <w:position w:val="6"/>
                <w:sz w:val="14"/>
                <w:szCs w:val="14"/>
              </w:rPr>
              <w:t>2</w:t>
            </w:r>
            <w:r>
              <w:rPr>
                <w:b/>
                <w:bCs/>
                <w:spacing w:val="-7"/>
              </w:rPr>
              <w:t>)</w:t>
            </w:r>
          </w:p>
        </w:tc>
        <w:tc>
          <w:tcPr>
            <w:tcW w:w="1061" w:type="dxa"/>
            <w:tcBorders>
              <w:top w:val="single" w:color="000000" w:sz="12" w:space="0"/>
            </w:tcBorders>
            <w:vAlign w:val="top"/>
          </w:tcPr>
          <w:p>
            <w:pPr>
              <w:spacing w:before="167" w:line="220" w:lineRule="auto"/>
              <w:ind w:left="156"/>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占地类型</w:t>
            </w:r>
          </w:p>
        </w:tc>
        <w:tc>
          <w:tcPr>
            <w:tcW w:w="1083" w:type="dxa"/>
            <w:tcBorders>
              <w:top w:val="single" w:color="000000" w:sz="12" w:space="0"/>
            </w:tcBorders>
            <w:vAlign w:val="top"/>
          </w:tcPr>
          <w:p>
            <w:pPr>
              <w:pStyle w:val="6"/>
              <w:spacing w:before="166" w:line="215" w:lineRule="auto"/>
              <w:ind w:left="151"/>
            </w:pPr>
            <w:r>
              <w:rPr>
                <w:rFonts w:ascii="仿宋" w:hAnsi="仿宋" w:eastAsia="仿宋" w:cs="仿宋"/>
                <w:spacing w:val="-3"/>
                <w14:textOutline w14:w="3810" w14:cap="flat" w14:cmpd="sng">
                  <w14:solidFill>
                    <w14:srgbClr w14:val="000000"/>
                  </w14:solidFill>
                  <w14:prstDash w14:val="solid"/>
                  <w14:miter w14:val="0"/>
                </w14:textOutline>
              </w:rPr>
              <w:t>容积</w:t>
            </w:r>
            <w:r>
              <w:rPr>
                <w:b/>
                <w:bCs/>
                <w:spacing w:val="-3"/>
              </w:rPr>
              <w:t>(m</w:t>
            </w:r>
            <w:r>
              <w:rPr>
                <w:b/>
                <w:bCs/>
                <w:spacing w:val="-3"/>
                <w:position w:val="6"/>
                <w:sz w:val="14"/>
                <w:szCs w:val="14"/>
              </w:rPr>
              <w:t>3</w:t>
            </w:r>
            <w:r>
              <w:rPr>
                <w:b/>
                <w:bCs/>
                <w:spacing w:val="-3"/>
              </w:rPr>
              <w:t>)</w:t>
            </w:r>
          </w:p>
        </w:tc>
        <w:tc>
          <w:tcPr>
            <w:tcW w:w="1207" w:type="dxa"/>
            <w:tcBorders>
              <w:top w:val="single" w:color="000000" w:sz="12" w:space="0"/>
            </w:tcBorders>
            <w:vAlign w:val="top"/>
          </w:tcPr>
          <w:p>
            <w:pPr>
              <w:pStyle w:val="6"/>
              <w:spacing w:before="30" w:line="223" w:lineRule="auto"/>
              <w:ind w:left="226" w:right="144" w:hanging="68"/>
            </w:pPr>
            <w:r>
              <w:rPr>
                <w:rFonts w:ascii="仿宋" w:hAnsi="仿宋" w:eastAsia="仿宋" w:cs="仿宋"/>
                <w:spacing w:val="-3"/>
                <w14:textOutline w14:w="3810" w14:cap="flat" w14:cmpd="sng">
                  <w14:solidFill>
                    <w14:srgbClr w14:val="000000"/>
                  </w14:solidFill>
                  <w14:prstDash w14:val="solid"/>
                  <w14:miter w14:val="0"/>
                </w14:textOutline>
              </w:rPr>
              <w:t>堆存量</w:t>
            </w:r>
            <w:r>
              <w:rPr>
                <w:b/>
                <w:bCs/>
                <w:spacing w:val="-3"/>
              </w:rPr>
              <w:t>(</w:t>
            </w:r>
            <w:r>
              <w:rPr>
                <w:rFonts w:ascii="仿宋" w:hAnsi="仿宋" w:eastAsia="仿宋" w:cs="仿宋"/>
                <w:spacing w:val="-3"/>
                <w14:textOutline w14:w="3810" w14:cap="flat" w14:cmpd="sng">
                  <w14:solidFill>
                    <w14:srgbClr w14:val="000000"/>
                  </w14:solidFill>
                  <w14:prstDash w14:val="solid"/>
                  <w14:miter w14:val="0"/>
                </w14:textOutline>
              </w:rPr>
              <w:t>自</w:t>
            </w:r>
            <w:r>
              <w:rPr>
                <w:rFonts w:ascii="仿宋" w:hAnsi="仿宋" w:eastAsia="仿宋" w:cs="仿宋"/>
                <w:spacing w:val="2"/>
              </w:rPr>
              <w:t xml:space="preserve"> </w:t>
            </w:r>
            <w:r>
              <w:rPr>
                <w:rFonts w:ascii="仿宋" w:hAnsi="仿宋" w:eastAsia="仿宋" w:cs="仿宋"/>
                <w:spacing w:val="-6"/>
                <w14:textOutline w14:w="3810" w14:cap="flat" w14:cmpd="sng">
                  <w14:solidFill>
                    <w14:srgbClr w14:val="000000"/>
                  </w14:solidFill>
                  <w14:prstDash w14:val="solid"/>
                  <w14:miter w14:val="0"/>
                </w14:textOutline>
              </w:rPr>
              <w:t>然方</w:t>
            </w:r>
            <w:r>
              <w:rPr>
                <w:rFonts w:ascii="仿宋" w:hAnsi="仿宋" w:eastAsia="仿宋" w:cs="仿宋"/>
                <w:spacing w:val="-42"/>
              </w:rPr>
              <w:t xml:space="preserve"> </w:t>
            </w:r>
            <w:r>
              <w:rPr>
                <w:b/>
                <w:bCs/>
                <w:spacing w:val="-6"/>
              </w:rPr>
              <w:t>m</w:t>
            </w:r>
            <w:r>
              <w:rPr>
                <w:b/>
                <w:bCs/>
                <w:spacing w:val="-6"/>
                <w:position w:val="6"/>
                <w:sz w:val="14"/>
                <w:szCs w:val="14"/>
              </w:rPr>
              <w:t>3</w:t>
            </w:r>
            <w:r>
              <w:rPr>
                <w:b/>
                <w:bCs/>
                <w:spacing w:val="-6"/>
              </w:rPr>
              <w:t>)</w:t>
            </w:r>
          </w:p>
        </w:tc>
        <w:tc>
          <w:tcPr>
            <w:tcW w:w="4887" w:type="dxa"/>
            <w:tcBorders>
              <w:top w:val="single" w:color="000000" w:sz="12" w:space="0"/>
              <w:right w:val="nil"/>
            </w:tcBorders>
            <w:vAlign w:val="top"/>
          </w:tcPr>
          <w:p>
            <w:pPr>
              <w:spacing w:before="167" w:line="220" w:lineRule="auto"/>
              <w:ind w:left="224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31" w:line="222" w:lineRule="auto"/>
              <w:ind w:left="657" w:right="206" w:hanging="426"/>
              <w:rPr>
                <w:rFonts w:ascii="仿宋" w:hAnsi="仿宋" w:eastAsia="仿宋" w:cs="仿宋"/>
              </w:rPr>
            </w:pPr>
            <w:r>
              <w:rPr>
                <w:spacing w:val="-2"/>
              </w:rPr>
              <w:t>9#</w:t>
            </w:r>
            <w:r>
              <w:rPr>
                <w:rFonts w:ascii="仿宋" w:hAnsi="仿宋" w:eastAsia="仿宋" w:cs="仿宋"/>
                <w:spacing w:val="-2"/>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69" w:line="218" w:lineRule="auto"/>
              <w:ind w:left="269"/>
              <w:rPr>
                <w:rFonts w:ascii="仿宋" w:hAnsi="仿宋" w:eastAsia="仿宋" w:cs="仿宋"/>
              </w:rPr>
            </w:pPr>
            <w:r>
              <w:rPr>
                <w:spacing w:val="-4"/>
              </w:rPr>
              <w:t>3</w:t>
            </w:r>
            <w:r>
              <w:rPr>
                <w:spacing w:val="25"/>
              </w:rPr>
              <w:t xml:space="preserve"> </w:t>
            </w:r>
            <w:r>
              <w:rPr>
                <w:rFonts w:ascii="仿宋" w:hAnsi="仿宋" w:eastAsia="仿宋" w:cs="仿宋"/>
                <w:spacing w:val="-4"/>
              </w:rPr>
              <w:t>号取水坝南侧</w:t>
            </w:r>
            <w:r>
              <w:rPr>
                <w:rFonts w:ascii="仿宋" w:hAnsi="仿宋" w:eastAsia="仿宋" w:cs="仿宋"/>
                <w:spacing w:val="-48"/>
              </w:rPr>
              <w:t xml:space="preserve"> </w:t>
            </w:r>
            <w:r>
              <w:rPr>
                <w:spacing w:val="-4"/>
              </w:rPr>
              <w:t>200m</w:t>
            </w:r>
            <w:r>
              <w:rPr>
                <w:spacing w:val="17"/>
                <w:w w:val="101"/>
              </w:rPr>
              <w:t xml:space="preserve"> </w:t>
            </w:r>
            <w:r>
              <w:rPr>
                <w:rFonts w:ascii="仿宋" w:hAnsi="仿宋" w:eastAsia="仿宋" w:cs="仿宋"/>
                <w:spacing w:val="-4"/>
              </w:rPr>
              <w:t>缓坡地</w:t>
            </w:r>
          </w:p>
        </w:tc>
        <w:tc>
          <w:tcPr>
            <w:tcW w:w="1140" w:type="dxa"/>
            <w:vAlign w:val="top"/>
          </w:tcPr>
          <w:p>
            <w:pPr>
              <w:pStyle w:val="6"/>
              <w:spacing w:before="204" w:line="188" w:lineRule="auto"/>
              <w:ind w:left="390"/>
            </w:pPr>
            <w:r>
              <w:rPr>
                <w:spacing w:val="-2"/>
              </w:rPr>
              <w:t>0.06</w:t>
            </w:r>
          </w:p>
        </w:tc>
        <w:tc>
          <w:tcPr>
            <w:tcW w:w="1061" w:type="dxa"/>
            <w:vAlign w:val="top"/>
          </w:tcPr>
          <w:p>
            <w:pPr>
              <w:spacing w:before="169"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04" w:line="188" w:lineRule="auto"/>
              <w:ind w:left="259"/>
            </w:pPr>
            <w:r>
              <w:rPr>
                <w:spacing w:val="-2"/>
              </w:rPr>
              <w:t>5563.4</w:t>
            </w:r>
          </w:p>
        </w:tc>
        <w:tc>
          <w:tcPr>
            <w:tcW w:w="1207" w:type="dxa"/>
            <w:vAlign w:val="top"/>
          </w:tcPr>
          <w:p>
            <w:pPr>
              <w:pStyle w:val="6"/>
              <w:spacing w:before="204" w:line="188" w:lineRule="auto"/>
              <w:ind w:left="315"/>
            </w:pPr>
            <w:r>
              <w:rPr>
                <w:spacing w:val="-1"/>
              </w:rPr>
              <w:t>4214.7</w:t>
            </w:r>
          </w:p>
        </w:tc>
        <w:tc>
          <w:tcPr>
            <w:tcW w:w="4887" w:type="dxa"/>
            <w:tcBorders>
              <w:right w:val="nil"/>
            </w:tcBorders>
            <w:vAlign w:val="top"/>
          </w:tcPr>
          <w:p>
            <w:pPr>
              <w:pStyle w:val="6"/>
              <w:spacing w:before="31" w:line="222" w:lineRule="auto"/>
              <w:ind w:left="1640" w:right="149" w:hanging="1506"/>
              <w:rPr>
                <w:rFonts w:ascii="仿宋" w:hAnsi="仿宋" w:eastAsia="仿宋" w:cs="仿宋"/>
              </w:rPr>
            </w:pPr>
            <w:r>
              <w:rPr>
                <w:spacing w:val="-6"/>
              </w:rPr>
              <w:t>2#</w:t>
            </w:r>
            <w:r>
              <w:rPr>
                <w:rFonts w:ascii="仿宋" w:hAnsi="仿宋" w:eastAsia="仿宋" w:cs="仿宋"/>
                <w:spacing w:val="-6"/>
              </w:rPr>
              <w:t xml:space="preserve">倒虹吸临时占地、 </w:t>
            </w:r>
            <w:r>
              <w:rPr>
                <w:spacing w:val="-6"/>
              </w:rPr>
              <w:t>4#</w:t>
            </w:r>
            <w:r>
              <w:rPr>
                <w:spacing w:val="-22"/>
              </w:rPr>
              <w:t xml:space="preserve"> </w:t>
            </w:r>
            <w:r>
              <w:rPr>
                <w:rFonts w:ascii="仿宋" w:hAnsi="仿宋" w:eastAsia="仿宋" w:cs="仿宋"/>
                <w:spacing w:val="-6"/>
              </w:rPr>
              <w:t>、</w:t>
            </w:r>
            <w:r>
              <w:rPr>
                <w:spacing w:val="-6"/>
              </w:rPr>
              <w:t>5#</w:t>
            </w:r>
            <w:r>
              <w:rPr>
                <w:rFonts w:ascii="仿宋" w:hAnsi="仿宋" w:eastAsia="仿宋" w:cs="仿宋"/>
                <w:spacing w:val="-6"/>
              </w:rPr>
              <w:t>引洪沟、输水区临时道</w:t>
            </w:r>
            <w:r>
              <w:rPr>
                <w:rFonts w:ascii="仿宋" w:hAnsi="仿宋" w:eastAsia="仿宋" w:cs="仿宋"/>
              </w:rPr>
              <w:t xml:space="preserve"> </w:t>
            </w:r>
            <w:r>
              <w:rPr>
                <w:rFonts w:ascii="仿宋" w:hAnsi="仿宋" w:eastAsia="仿宋" w:cs="仿宋"/>
                <w:spacing w:val="-5"/>
              </w:rPr>
              <w:t>路</w:t>
            </w:r>
            <w:r>
              <w:rPr>
                <w:rFonts w:ascii="仿宋" w:hAnsi="仿宋" w:eastAsia="仿宋" w:cs="仿宋"/>
                <w:spacing w:val="-33"/>
              </w:rPr>
              <w:t xml:space="preserve"> </w:t>
            </w:r>
            <w:r>
              <w:rPr>
                <w:spacing w:val="-5"/>
              </w:rPr>
              <w:t>SSL5</w:t>
            </w:r>
            <w:r>
              <w:rPr>
                <w:spacing w:val="16"/>
                <w:w w:val="101"/>
              </w:rPr>
              <w:t xml:space="preserve"> </w:t>
            </w:r>
            <w:r>
              <w:rPr>
                <w:rFonts w:ascii="仿宋" w:hAnsi="仿宋" w:eastAsia="仿宋" w:cs="仿宋"/>
                <w:spacing w:val="-5"/>
              </w:rPr>
              <w:t>表土堆存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34" w:line="221" w:lineRule="auto"/>
              <w:ind w:left="657" w:right="153" w:hanging="461"/>
              <w:rPr>
                <w:rFonts w:ascii="仿宋" w:hAnsi="仿宋" w:eastAsia="仿宋" w:cs="仿宋"/>
              </w:rPr>
            </w:pPr>
            <w:r>
              <w:rPr>
                <w:spacing w:val="-4"/>
              </w:rPr>
              <w:t>10#</w:t>
            </w:r>
            <w:r>
              <w:rPr>
                <w:rFonts w:ascii="仿宋" w:hAnsi="仿宋" w:eastAsia="仿宋" w:cs="仿宋"/>
                <w:spacing w:val="-4"/>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71" w:line="219" w:lineRule="auto"/>
              <w:ind w:left="970"/>
              <w:rPr>
                <w:rFonts w:ascii="仿宋" w:hAnsi="仿宋" w:eastAsia="仿宋" w:cs="仿宋"/>
              </w:rPr>
            </w:pPr>
            <w:r>
              <w:rPr>
                <w:spacing w:val="-4"/>
              </w:rPr>
              <w:t>1#</w:t>
            </w:r>
            <w:r>
              <w:rPr>
                <w:rFonts w:ascii="仿宋" w:hAnsi="仿宋" w:eastAsia="仿宋" w:cs="仿宋"/>
                <w:spacing w:val="-4"/>
              </w:rPr>
              <w:t>弃渣场上游</w:t>
            </w:r>
          </w:p>
        </w:tc>
        <w:tc>
          <w:tcPr>
            <w:tcW w:w="1140" w:type="dxa"/>
            <w:vAlign w:val="top"/>
          </w:tcPr>
          <w:p>
            <w:pPr>
              <w:pStyle w:val="6"/>
              <w:spacing w:before="204" w:line="192" w:lineRule="auto"/>
              <w:ind w:left="322"/>
            </w:pPr>
            <w:r>
              <w:rPr>
                <w:spacing w:val="-2"/>
              </w:rPr>
              <w:t>(0.19)</w:t>
            </w:r>
          </w:p>
        </w:tc>
        <w:tc>
          <w:tcPr>
            <w:tcW w:w="1061" w:type="dxa"/>
            <w:vAlign w:val="top"/>
          </w:tcPr>
          <w:p>
            <w:pPr>
              <w:spacing w:before="171"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08" w:line="188" w:lineRule="auto"/>
              <w:ind w:left="257"/>
            </w:pPr>
            <w:r>
              <w:rPr>
                <w:spacing w:val="-2"/>
              </w:rPr>
              <w:t>9306.0</w:t>
            </w:r>
          </w:p>
        </w:tc>
        <w:tc>
          <w:tcPr>
            <w:tcW w:w="1207" w:type="dxa"/>
            <w:vAlign w:val="top"/>
          </w:tcPr>
          <w:p>
            <w:pPr>
              <w:pStyle w:val="6"/>
              <w:spacing w:before="208" w:line="188" w:lineRule="auto"/>
              <w:ind w:left="319"/>
            </w:pPr>
            <w:r>
              <w:rPr>
                <w:spacing w:val="-2"/>
              </w:rPr>
              <w:t>7050.0</w:t>
            </w:r>
          </w:p>
        </w:tc>
        <w:tc>
          <w:tcPr>
            <w:tcW w:w="4887" w:type="dxa"/>
            <w:tcBorders>
              <w:right w:val="nil"/>
            </w:tcBorders>
            <w:vAlign w:val="top"/>
          </w:tcPr>
          <w:p>
            <w:pPr>
              <w:pStyle w:val="6"/>
              <w:spacing w:before="171" w:line="218" w:lineRule="auto"/>
              <w:ind w:left="1624"/>
              <w:rPr>
                <w:rFonts w:ascii="仿宋" w:hAnsi="仿宋" w:eastAsia="仿宋" w:cs="仿宋"/>
              </w:rPr>
            </w:pPr>
            <w:r>
              <w:rPr>
                <w:spacing w:val="-3"/>
              </w:rPr>
              <w:t>1#</w:t>
            </w:r>
            <w:r>
              <w:rPr>
                <w:rFonts w:ascii="仿宋" w:hAnsi="仿宋" w:eastAsia="仿宋" w:cs="仿宋"/>
                <w:spacing w:val="-3"/>
              </w:rPr>
              <w:t>弃渣场绿化覆土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38" w:line="219" w:lineRule="auto"/>
              <w:ind w:left="657" w:right="156" w:hanging="458"/>
              <w:rPr>
                <w:rFonts w:ascii="仿宋" w:hAnsi="仿宋" w:eastAsia="仿宋" w:cs="仿宋"/>
              </w:rPr>
            </w:pPr>
            <w:r>
              <w:rPr>
                <w:spacing w:val="-5"/>
              </w:rPr>
              <w:t>11#</w:t>
            </w:r>
            <w:r>
              <w:rPr>
                <w:rFonts w:ascii="仿宋" w:hAnsi="仿宋" w:eastAsia="仿宋" w:cs="仿宋"/>
                <w:spacing w:val="-5"/>
              </w:rPr>
              <w:t>临时堆土</w:t>
            </w:r>
            <w:r>
              <w:rPr>
                <w:rFonts w:ascii="仿宋" w:hAnsi="仿宋" w:eastAsia="仿宋" w:cs="仿宋"/>
                <w:spacing w:val="2"/>
              </w:rPr>
              <w:t xml:space="preserve"> </w:t>
            </w:r>
            <w:r>
              <w:rPr>
                <w:rFonts w:ascii="仿宋" w:hAnsi="仿宋" w:eastAsia="仿宋" w:cs="仿宋"/>
              </w:rPr>
              <w:t>场</w:t>
            </w:r>
          </w:p>
        </w:tc>
        <w:tc>
          <w:tcPr>
            <w:tcW w:w="3156" w:type="dxa"/>
            <w:vAlign w:val="top"/>
          </w:tcPr>
          <w:p>
            <w:pPr>
              <w:pStyle w:val="6"/>
              <w:spacing w:before="173" w:line="219" w:lineRule="auto"/>
              <w:ind w:left="950"/>
              <w:rPr>
                <w:rFonts w:ascii="仿宋" w:hAnsi="仿宋" w:eastAsia="仿宋" w:cs="仿宋"/>
              </w:rPr>
            </w:pPr>
            <w:r>
              <w:rPr>
                <w:spacing w:val="-1"/>
              </w:rPr>
              <w:t>2#</w:t>
            </w:r>
            <w:r>
              <w:rPr>
                <w:rFonts w:ascii="仿宋" w:hAnsi="仿宋" w:eastAsia="仿宋" w:cs="仿宋"/>
                <w:spacing w:val="-1"/>
              </w:rPr>
              <w:t>弃渣场上游</w:t>
            </w:r>
          </w:p>
        </w:tc>
        <w:tc>
          <w:tcPr>
            <w:tcW w:w="1140" w:type="dxa"/>
            <w:vAlign w:val="top"/>
          </w:tcPr>
          <w:p>
            <w:pPr>
              <w:pStyle w:val="6"/>
              <w:spacing w:before="206" w:line="192" w:lineRule="auto"/>
              <w:ind w:left="322"/>
            </w:pPr>
            <w:r>
              <w:rPr>
                <w:spacing w:val="-2"/>
              </w:rPr>
              <w:t>(0.22)</w:t>
            </w:r>
          </w:p>
        </w:tc>
        <w:tc>
          <w:tcPr>
            <w:tcW w:w="1061" w:type="dxa"/>
            <w:vAlign w:val="top"/>
          </w:tcPr>
          <w:p>
            <w:pPr>
              <w:spacing w:before="174" w:line="218" w:lineRule="auto"/>
              <w:ind w:left="331"/>
              <w:rPr>
                <w:rFonts w:ascii="仿宋" w:hAnsi="仿宋" w:eastAsia="仿宋" w:cs="仿宋"/>
                <w:sz w:val="21"/>
                <w:szCs w:val="21"/>
              </w:rPr>
            </w:pPr>
            <w:r>
              <w:rPr>
                <w:rFonts w:ascii="仿宋" w:hAnsi="仿宋" w:eastAsia="仿宋" w:cs="仿宋"/>
                <w:spacing w:val="-7"/>
                <w:sz w:val="21"/>
                <w:szCs w:val="21"/>
              </w:rPr>
              <w:t>林地</w:t>
            </w:r>
          </w:p>
        </w:tc>
        <w:tc>
          <w:tcPr>
            <w:tcW w:w="1083" w:type="dxa"/>
            <w:vAlign w:val="top"/>
          </w:tcPr>
          <w:p>
            <w:pPr>
              <w:pStyle w:val="6"/>
              <w:spacing w:before="210" w:line="188" w:lineRule="auto"/>
              <w:ind w:left="222"/>
            </w:pPr>
            <w:r>
              <w:rPr>
                <w:spacing w:val="-4"/>
              </w:rPr>
              <w:t>10965.2</w:t>
            </w:r>
          </w:p>
        </w:tc>
        <w:tc>
          <w:tcPr>
            <w:tcW w:w="1207" w:type="dxa"/>
            <w:vAlign w:val="top"/>
          </w:tcPr>
          <w:p>
            <w:pPr>
              <w:pStyle w:val="6"/>
              <w:spacing w:before="210" w:line="188" w:lineRule="auto"/>
              <w:ind w:left="324"/>
            </w:pPr>
            <w:r>
              <w:rPr>
                <w:spacing w:val="-2"/>
              </w:rPr>
              <w:t>8307.0</w:t>
            </w:r>
          </w:p>
        </w:tc>
        <w:tc>
          <w:tcPr>
            <w:tcW w:w="4887" w:type="dxa"/>
            <w:tcBorders>
              <w:right w:val="nil"/>
            </w:tcBorders>
            <w:vAlign w:val="top"/>
          </w:tcPr>
          <w:p>
            <w:pPr>
              <w:pStyle w:val="6"/>
              <w:spacing w:before="174" w:line="218" w:lineRule="auto"/>
              <w:ind w:left="1604"/>
              <w:rPr>
                <w:rFonts w:ascii="仿宋" w:hAnsi="仿宋" w:eastAsia="仿宋" w:cs="仿宋"/>
              </w:rPr>
            </w:pPr>
            <w:r>
              <w:rPr>
                <w:spacing w:val="-1"/>
              </w:rPr>
              <w:t>2#</w:t>
            </w:r>
            <w:r>
              <w:rPr>
                <w:rFonts w:ascii="仿宋" w:hAnsi="仿宋" w:eastAsia="仿宋" w:cs="仿宋"/>
                <w:spacing w:val="-1"/>
              </w:rPr>
              <w:t>弃渣场绿化覆土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483" w:type="dxa"/>
            <w:tcBorders>
              <w:left w:val="nil"/>
            </w:tcBorders>
            <w:vAlign w:val="top"/>
          </w:tcPr>
          <w:p>
            <w:pPr>
              <w:pStyle w:val="6"/>
              <w:spacing w:before="40" w:line="219" w:lineRule="auto"/>
              <w:ind w:left="657" w:right="153" w:hanging="461"/>
              <w:rPr>
                <w:rFonts w:ascii="仿宋" w:hAnsi="仿宋" w:eastAsia="仿宋" w:cs="仿宋"/>
              </w:rPr>
            </w:pPr>
            <w:r>
              <w:rPr>
                <w:spacing w:val="-4"/>
              </w:rPr>
              <w:t>12#</w:t>
            </w:r>
            <w:r>
              <w:rPr>
                <w:rFonts w:ascii="仿宋" w:hAnsi="仿宋" w:eastAsia="仿宋" w:cs="仿宋"/>
                <w:spacing w:val="-4"/>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76" w:line="219" w:lineRule="auto"/>
              <w:ind w:left="954"/>
              <w:rPr>
                <w:rFonts w:ascii="仿宋" w:hAnsi="仿宋" w:eastAsia="仿宋" w:cs="仿宋"/>
              </w:rPr>
            </w:pPr>
            <w:r>
              <w:rPr>
                <w:spacing w:val="-2"/>
              </w:rPr>
              <w:t>3#</w:t>
            </w:r>
            <w:r>
              <w:rPr>
                <w:rFonts w:ascii="仿宋" w:hAnsi="仿宋" w:eastAsia="仿宋" w:cs="仿宋"/>
                <w:spacing w:val="-2"/>
              </w:rPr>
              <w:t>弃渣场上游</w:t>
            </w:r>
          </w:p>
        </w:tc>
        <w:tc>
          <w:tcPr>
            <w:tcW w:w="1140" w:type="dxa"/>
            <w:vAlign w:val="top"/>
          </w:tcPr>
          <w:p>
            <w:pPr>
              <w:pStyle w:val="6"/>
              <w:spacing w:before="209" w:line="192" w:lineRule="auto"/>
              <w:ind w:left="322"/>
            </w:pPr>
            <w:r>
              <w:rPr>
                <w:spacing w:val="-2"/>
              </w:rPr>
              <w:t>(0.03)</w:t>
            </w:r>
          </w:p>
        </w:tc>
        <w:tc>
          <w:tcPr>
            <w:tcW w:w="1061" w:type="dxa"/>
            <w:vAlign w:val="top"/>
          </w:tcPr>
          <w:p>
            <w:pPr>
              <w:spacing w:before="176"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13" w:line="188" w:lineRule="auto"/>
              <w:ind w:left="273"/>
            </w:pPr>
            <w:r>
              <w:rPr>
                <w:spacing w:val="-4"/>
              </w:rPr>
              <w:t>1623.6</w:t>
            </w:r>
          </w:p>
        </w:tc>
        <w:tc>
          <w:tcPr>
            <w:tcW w:w="1207" w:type="dxa"/>
            <w:vAlign w:val="top"/>
          </w:tcPr>
          <w:p>
            <w:pPr>
              <w:pStyle w:val="6"/>
              <w:spacing w:before="213" w:line="188" w:lineRule="auto"/>
              <w:ind w:left="336"/>
            </w:pPr>
            <w:r>
              <w:rPr>
                <w:spacing w:val="-4"/>
              </w:rPr>
              <w:t>1230.0</w:t>
            </w:r>
          </w:p>
        </w:tc>
        <w:tc>
          <w:tcPr>
            <w:tcW w:w="4887" w:type="dxa"/>
            <w:tcBorders>
              <w:right w:val="nil"/>
            </w:tcBorders>
            <w:vAlign w:val="top"/>
          </w:tcPr>
          <w:p>
            <w:pPr>
              <w:pStyle w:val="6"/>
              <w:spacing w:before="176" w:line="218" w:lineRule="auto"/>
              <w:ind w:left="1608"/>
              <w:rPr>
                <w:rFonts w:ascii="仿宋" w:hAnsi="仿宋" w:eastAsia="仿宋" w:cs="仿宋"/>
              </w:rPr>
            </w:pPr>
            <w:r>
              <w:rPr>
                <w:spacing w:val="-1"/>
              </w:rPr>
              <w:t>3#</w:t>
            </w:r>
            <w:r>
              <w:rPr>
                <w:rFonts w:ascii="仿宋" w:hAnsi="仿宋" w:eastAsia="仿宋" w:cs="仿宋"/>
                <w:spacing w:val="-1"/>
              </w:rPr>
              <w:t>弃渣场绿化覆土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483" w:type="dxa"/>
            <w:tcBorders>
              <w:left w:val="nil"/>
            </w:tcBorders>
            <w:vAlign w:val="top"/>
          </w:tcPr>
          <w:p>
            <w:pPr>
              <w:pStyle w:val="6"/>
              <w:spacing w:before="42" w:line="218" w:lineRule="auto"/>
              <w:ind w:left="657" w:right="153" w:hanging="461"/>
              <w:rPr>
                <w:rFonts w:ascii="仿宋" w:hAnsi="仿宋" w:eastAsia="仿宋" w:cs="仿宋"/>
              </w:rPr>
            </w:pPr>
            <w:r>
              <w:rPr>
                <w:spacing w:val="-4"/>
              </w:rPr>
              <w:t>13#</w:t>
            </w:r>
            <w:r>
              <w:rPr>
                <w:rFonts w:ascii="仿宋" w:hAnsi="仿宋" w:eastAsia="仿宋" w:cs="仿宋"/>
                <w:spacing w:val="-4"/>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76" w:line="219" w:lineRule="auto"/>
              <w:ind w:left="949"/>
              <w:rPr>
                <w:rFonts w:ascii="仿宋" w:hAnsi="仿宋" w:eastAsia="仿宋" w:cs="仿宋"/>
              </w:rPr>
            </w:pPr>
            <w:r>
              <w:rPr>
                <w:spacing w:val="-1"/>
              </w:rPr>
              <w:t>4#</w:t>
            </w:r>
            <w:r>
              <w:rPr>
                <w:rFonts w:ascii="仿宋" w:hAnsi="仿宋" w:eastAsia="仿宋" w:cs="仿宋"/>
                <w:spacing w:val="-1"/>
              </w:rPr>
              <w:t>弃渣场上游</w:t>
            </w:r>
          </w:p>
        </w:tc>
        <w:tc>
          <w:tcPr>
            <w:tcW w:w="1140" w:type="dxa"/>
            <w:vAlign w:val="top"/>
          </w:tcPr>
          <w:p>
            <w:pPr>
              <w:pStyle w:val="6"/>
              <w:spacing w:before="209" w:line="192" w:lineRule="auto"/>
              <w:ind w:left="322"/>
            </w:pPr>
            <w:r>
              <w:rPr>
                <w:spacing w:val="-2"/>
              </w:rPr>
              <w:t>(0.06)</w:t>
            </w:r>
          </w:p>
        </w:tc>
        <w:tc>
          <w:tcPr>
            <w:tcW w:w="1061" w:type="dxa"/>
            <w:vAlign w:val="top"/>
          </w:tcPr>
          <w:p>
            <w:pPr>
              <w:spacing w:before="177"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13" w:line="188" w:lineRule="auto"/>
              <w:ind w:left="257"/>
            </w:pPr>
            <w:r>
              <w:rPr>
                <w:spacing w:val="-2"/>
              </w:rPr>
              <w:t>3005.6</w:t>
            </w:r>
          </w:p>
        </w:tc>
        <w:tc>
          <w:tcPr>
            <w:tcW w:w="1207" w:type="dxa"/>
            <w:vAlign w:val="top"/>
          </w:tcPr>
          <w:p>
            <w:pPr>
              <w:pStyle w:val="6"/>
              <w:spacing w:before="213" w:line="188" w:lineRule="auto"/>
              <w:ind w:left="316"/>
            </w:pPr>
            <w:r>
              <w:rPr>
                <w:spacing w:val="-1"/>
              </w:rPr>
              <w:t>2277.0</w:t>
            </w:r>
          </w:p>
        </w:tc>
        <w:tc>
          <w:tcPr>
            <w:tcW w:w="4887" w:type="dxa"/>
            <w:tcBorders>
              <w:right w:val="nil"/>
            </w:tcBorders>
            <w:vAlign w:val="top"/>
          </w:tcPr>
          <w:p>
            <w:pPr>
              <w:pStyle w:val="6"/>
              <w:spacing w:before="177" w:line="218" w:lineRule="auto"/>
              <w:ind w:left="1603"/>
              <w:rPr>
                <w:rFonts w:ascii="仿宋" w:hAnsi="仿宋" w:eastAsia="仿宋" w:cs="仿宋"/>
              </w:rPr>
            </w:pPr>
            <w:r>
              <w:rPr>
                <w:spacing w:val="-1"/>
              </w:rPr>
              <w:t>4#</w:t>
            </w:r>
            <w:r>
              <w:rPr>
                <w:rFonts w:ascii="仿宋" w:hAnsi="仿宋" w:eastAsia="仿宋" w:cs="仿宋"/>
                <w:spacing w:val="-1"/>
              </w:rPr>
              <w:t>弃渣场绿化覆土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43" w:line="217" w:lineRule="auto"/>
              <w:ind w:left="657" w:right="153" w:hanging="461"/>
              <w:rPr>
                <w:rFonts w:ascii="仿宋" w:hAnsi="仿宋" w:eastAsia="仿宋" w:cs="仿宋"/>
              </w:rPr>
            </w:pPr>
            <w:r>
              <w:rPr>
                <w:spacing w:val="-4"/>
              </w:rPr>
              <w:t>14#</w:t>
            </w:r>
            <w:r>
              <w:rPr>
                <w:rFonts w:ascii="仿宋" w:hAnsi="仿宋" w:eastAsia="仿宋" w:cs="仿宋"/>
                <w:spacing w:val="-4"/>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79" w:line="219" w:lineRule="auto"/>
              <w:ind w:left="955"/>
              <w:rPr>
                <w:rFonts w:ascii="仿宋" w:hAnsi="仿宋" w:eastAsia="仿宋" w:cs="仿宋"/>
              </w:rPr>
            </w:pPr>
            <w:r>
              <w:rPr>
                <w:spacing w:val="-2"/>
              </w:rPr>
              <w:t>6#</w:t>
            </w:r>
            <w:r>
              <w:rPr>
                <w:rFonts w:ascii="仿宋" w:hAnsi="仿宋" w:eastAsia="仿宋" w:cs="仿宋"/>
                <w:spacing w:val="-2"/>
              </w:rPr>
              <w:t>弃渣场上游</w:t>
            </w:r>
          </w:p>
        </w:tc>
        <w:tc>
          <w:tcPr>
            <w:tcW w:w="1140" w:type="dxa"/>
            <w:vAlign w:val="top"/>
          </w:tcPr>
          <w:p>
            <w:pPr>
              <w:pStyle w:val="6"/>
              <w:spacing w:before="212" w:line="192" w:lineRule="auto"/>
              <w:ind w:left="322"/>
            </w:pPr>
            <w:r>
              <w:rPr>
                <w:spacing w:val="-2"/>
              </w:rPr>
              <w:t>(0.08)</w:t>
            </w:r>
          </w:p>
        </w:tc>
        <w:tc>
          <w:tcPr>
            <w:tcW w:w="1061" w:type="dxa"/>
            <w:vAlign w:val="top"/>
          </w:tcPr>
          <w:p>
            <w:pPr>
              <w:spacing w:before="180"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16" w:line="188" w:lineRule="auto"/>
              <w:ind w:left="257"/>
            </w:pPr>
            <w:r>
              <w:rPr>
                <w:spacing w:val="-2"/>
              </w:rPr>
              <w:t>3871.6</w:t>
            </w:r>
          </w:p>
        </w:tc>
        <w:tc>
          <w:tcPr>
            <w:tcW w:w="1207" w:type="dxa"/>
            <w:vAlign w:val="top"/>
          </w:tcPr>
          <w:p>
            <w:pPr>
              <w:pStyle w:val="6"/>
              <w:spacing w:before="216" w:line="188" w:lineRule="auto"/>
              <w:ind w:left="316"/>
            </w:pPr>
            <w:r>
              <w:rPr>
                <w:spacing w:val="-1"/>
              </w:rPr>
              <w:t>2933.0</w:t>
            </w:r>
          </w:p>
        </w:tc>
        <w:tc>
          <w:tcPr>
            <w:tcW w:w="4887" w:type="dxa"/>
            <w:tcBorders>
              <w:right w:val="nil"/>
            </w:tcBorders>
            <w:vAlign w:val="top"/>
          </w:tcPr>
          <w:p>
            <w:pPr>
              <w:pStyle w:val="6"/>
              <w:spacing w:before="43" w:line="217" w:lineRule="auto"/>
              <w:ind w:left="2352" w:right="163" w:hanging="2190"/>
              <w:rPr>
                <w:rFonts w:ascii="仿宋" w:hAnsi="仿宋" w:eastAsia="仿宋" w:cs="仿宋"/>
              </w:rPr>
            </w:pPr>
            <w:r>
              <w:rPr>
                <w:spacing w:val="-2"/>
              </w:rPr>
              <w:t>4#</w:t>
            </w:r>
            <w:r>
              <w:rPr>
                <w:rFonts w:ascii="仿宋" w:hAnsi="仿宋" w:eastAsia="仿宋" w:cs="仿宋"/>
                <w:spacing w:val="-2"/>
              </w:rPr>
              <w:t>弃渣场绿化覆土、输水区临时道路</w:t>
            </w:r>
            <w:r>
              <w:rPr>
                <w:rFonts w:ascii="仿宋" w:hAnsi="仿宋" w:eastAsia="仿宋" w:cs="仿宋"/>
                <w:spacing w:val="-25"/>
              </w:rPr>
              <w:t xml:space="preserve"> </w:t>
            </w:r>
            <w:r>
              <w:rPr>
                <w:spacing w:val="-2"/>
              </w:rPr>
              <w:t>SSL2</w:t>
            </w:r>
            <w:r>
              <w:rPr>
                <w:spacing w:val="17"/>
              </w:rPr>
              <w:t xml:space="preserve"> </w:t>
            </w:r>
            <w:r>
              <w:rPr>
                <w:rFonts w:ascii="仿宋" w:hAnsi="仿宋" w:eastAsia="仿宋" w:cs="仿宋"/>
                <w:spacing w:val="-2"/>
              </w:rPr>
              <w:t>表土堆</w:t>
            </w:r>
            <w:r>
              <w:rPr>
                <w:rFonts w:ascii="仿宋" w:hAnsi="仿宋" w:eastAsia="仿宋" w:cs="仿宋"/>
              </w:rPr>
              <w:t xml:space="preserve"> 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45" w:line="216" w:lineRule="auto"/>
              <w:ind w:left="657" w:right="153" w:hanging="461"/>
              <w:rPr>
                <w:rFonts w:ascii="仿宋" w:hAnsi="仿宋" w:eastAsia="仿宋" w:cs="仿宋"/>
              </w:rPr>
            </w:pPr>
            <w:r>
              <w:rPr>
                <w:spacing w:val="-4"/>
              </w:rPr>
              <w:t>15#</w:t>
            </w:r>
            <w:r>
              <w:rPr>
                <w:rFonts w:ascii="仿宋" w:hAnsi="仿宋" w:eastAsia="仿宋" w:cs="仿宋"/>
                <w:spacing w:val="-4"/>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82" w:line="233" w:lineRule="auto"/>
              <w:ind w:left="958"/>
              <w:rPr>
                <w:rFonts w:ascii="仿宋" w:hAnsi="仿宋" w:eastAsia="仿宋" w:cs="仿宋"/>
              </w:rPr>
            </w:pPr>
            <w:r>
              <w:rPr>
                <w:spacing w:val="-2"/>
              </w:rPr>
              <w:t>8#</w:t>
            </w:r>
            <w:r>
              <w:rPr>
                <w:rFonts w:ascii="仿宋" w:hAnsi="仿宋" w:eastAsia="仿宋" w:cs="仿宋"/>
                <w:spacing w:val="-2"/>
              </w:rPr>
              <w:t>弃渣场上游</w:t>
            </w:r>
          </w:p>
        </w:tc>
        <w:tc>
          <w:tcPr>
            <w:tcW w:w="1140" w:type="dxa"/>
            <w:vAlign w:val="top"/>
          </w:tcPr>
          <w:p>
            <w:pPr>
              <w:pStyle w:val="6"/>
              <w:spacing w:before="214" w:line="192" w:lineRule="auto"/>
              <w:ind w:left="322"/>
            </w:pPr>
            <w:r>
              <w:rPr>
                <w:spacing w:val="-2"/>
              </w:rPr>
              <w:t>(0.03)</w:t>
            </w:r>
          </w:p>
        </w:tc>
        <w:tc>
          <w:tcPr>
            <w:tcW w:w="1061" w:type="dxa"/>
            <w:vAlign w:val="top"/>
          </w:tcPr>
          <w:p>
            <w:pPr>
              <w:spacing w:before="182"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18" w:line="188" w:lineRule="auto"/>
              <w:ind w:left="273"/>
            </w:pPr>
            <w:r>
              <w:rPr>
                <w:spacing w:val="-4"/>
              </w:rPr>
              <w:t>1524.6</w:t>
            </w:r>
          </w:p>
        </w:tc>
        <w:tc>
          <w:tcPr>
            <w:tcW w:w="1207" w:type="dxa"/>
            <w:vAlign w:val="top"/>
          </w:tcPr>
          <w:p>
            <w:pPr>
              <w:pStyle w:val="6"/>
              <w:spacing w:before="218" w:line="188" w:lineRule="auto"/>
              <w:ind w:left="340"/>
            </w:pPr>
            <w:r>
              <w:rPr>
                <w:spacing w:val="-6"/>
              </w:rPr>
              <w:t>1155.0</w:t>
            </w:r>
          </w:p>
        </w:tc>
        <w:tc>
          <w:tcPr>
            <w:tcW w:w="4887" w:type="dxa"/>
            <w:tcBorders>
              <w:right w:val="nil"/>
            </w:tcBorders>
            <w:vAlign w:val="top"/>
          </w:tcPr>
          <w:p>
            <w:pPr>
              <w:pStyle w:val="6"/>
              <w:spacing w:before="182" w:line="218" w:lineRule="auto"/>
              <w:ind w:left="1608"/>
              <w:rPr>
                <w:rFonts w:ascii="仿宋" w:hAnsi="仿宋" w:eastAsia="仿宋" w:cs="仿宋"/>
              </w:rPr>
            </w:pPr>
            <w:r>
              <w:rPr>
                <w:spacing w:val="-1"/>
              </w:rPr>
              <w:t>6#</w:t>
            </w:r>
            <w:r>
              <w:rPr>
                <w:rFonts w:ascii="仿宋" w:hAnsi="仿宋" w:eastAsia="仿宋" w:cs="仿宋"/>
                <w:spacing w:val="-1"/>
              </w:rPr>
              <w:t>弃渣场绿化覆土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483" w:type="dxa"/>
            <w:tcBorders>
              <w:left w:val="nil"/>
            </w:tcBorders>
            <w:vAlign w:val="top"/>
          </w:tcPr>
          <w:p>
            <w:pPr>
              <w:pStyle w:val="6"/>
              <w:spacing w:before="49" w:line="215" w:lineRule="auto"/>
              <w:ind w:left="657" w:right="153" w:hanging="461"/>
              <w:rPr>
                <w:rFonts w:ascii="仿宋" w:hAnsi="仿宋" w:eastAsia="仿宋" w:cs="仿宋"/>
              </w:rPr>
            </w:pPr>
            <w:r>
              <w:rPr>
                <w:spacing w:val="-4"/>
              </w:rPr>
              <w:t>16#</w:t>
            </w:r>
            <w:r>
              <w:rPr>
                <w:rFonts w:ascii="仿宋" w:hAnsi="仿宋" w:eastAsia="仿宋" w:cs="仿宋"/>
                <w:spacing w:val="-4"/>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84" w:line="219" w:lineRule="auto"/>
              <w:ind w:left="917"/>
              <w:rPr>
                <w:rFonts w:ascii="仿宋" w:hAnsi="仿宋" w:eastAsia="仿宋" w:cs="仿宋"/>
              </w:rPr>
            </w:pPr>
            <w:r>
              <w:rPr>
                <w:spacing w:val="-3"/>
              </w:rPr>
              <w:t>10#</w:t>
            </w:r>
            <w:r>
              <w:rPr>
                <w:rFonts w:ascii="仿宋" w:hAnsi="仿宋" w:eastAsia="仿宋" w:cs="仿宋"/>
                <w:spacing w:val="-3"/>
              </w:rPr>
              <w:t>弃渣场上游</w:t>
            </w:r>
          </w:p>
        </w:tc>
        <w:tc>
          <w:tcPr>
            <w:tcW w:w="1140" w:type="dxa"/>
            <w:vAlign w:val="top"/>
          </w:tcPr>
          <w:p>
            <w:pPr>
              <w:pStyle w:val="6"/>
              <w:spacing w:before="217" w:line="192" w:lineRule="auto"/>
              <w:ind w:left="322"/>
            </w:pPr>
            <w:r>
              <w:rPr>
                <w:spacing w:val="-2"/>
              </w:rPr>
              <w:t>(0.07)</w:t>
            </w:r>
          </w:p>
        </w:tc>
        <w:tc>
          <w:tcPr>
            <w:tcW w:w="1061" w:type="dxa"/>
            <w:vAlign w:val="top"/>
          </w:tcPr>
          <w:p>
            <w:pPr>
              <w:spacing w:before="184"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21" w:line="188" w:lineRule="auto"/>
              <w:ind w:left="257"/>
            </w:pPr>
            <w:r>
              <w:rPr>
                <w:spacing w:val="-2"/>
              </w:rPr>
              <w:t>3261.8</w:t>
            </w:r>
          </w:p>
        </w:tc>
        <w:tc>
          <w:tcPr>
            <w:tcW w:w="1207" w:type="dxa"/>
            <w:vAlign w:val="top"/>
          </w:tcPr>
          <w:p>
            <w:pPr>
              <w:pStyle w:val="6"/>
              <w:spacing w:before="221" w:line="188" w:lineRule="auto"/>
              <w:ind w:left="316"/>
            </w:pPr>
            <w:r>
              <w:rPr>
                <w:spacing w:val="-1"/>
              </w:rPr>
              <w:t>2471.0</w:t>
            </w:r>
          </w:p>
        </w:tc>
        <w:tc>
          <w:tcPr>
            <w:tcW w:w="4887" w:type="dxa"/>
            <w:tcBorders>
              <w:right w:val="nil"/>
            </w:tcBorders>
            <w:vAlign w:val="top"/>
          </w:tcPr>
          <w:p>
            <w:pPr>
              <w:pStyle w:val="6"/>
              <w:spacing w:before="49" w:line="215" w:lineRule="auto"/>
              <w:ind w:left="1446" w:right="134" w:hanging="1304"/>
              <w:rPr>
                <w:rFonts w:ascii="仿宋" w:hAnsi="仿宋" w:eastAsia="仿宋" w:cs="仿宋"/>
              </w:rPr>
            </w:pPr>
            <w:r>
              <w:rPr>
                <w:spacing w:val="-5"/>
              </w:rPr>
              <w:t>8#</w:t>
            </w:r>
            <w:r>
              <w:rPr>
                <w:rFonts w:ascii="仿宋" w:hAnsi="仿宋" w:eastAsia="仿宋" w:cs="仿宋"/>
                <w:spacing w:val="-5"/>
              </w:rPr>
              <w:t xml:space="preserve">弃渣场绿化覆土、 </w:t>
            </w:r>
            <w:r>
              <w:rPr>
                <w:spacing w:val="-5"/>
              </w:rPr>
              <w:t>4#</w:t>
            </w:r>
            <w:r>
              <w:rPr>
                <w:rFonts w:ascii="仿宋" w:hAnsi="仿宋" w:eastAsia="仿宋" w:cs="仿宋"/>
                <w:spacing w:val="-5"/>
              </w:rPr>
              <w:t>倒虹吸临时占地、输水区临</w:t>
            </w:r>
            <w:r>
              <w:rPr>
                <w:rFonts w:ascii="仿宋" w:hAnsi="仿宋" w:eastAsia="仿宋" w:cs="仿宋"/>
                <w:spacing w:val="6"/>
              </w:rPr>
              <w:t xml:space="preserve"> </w:t>
            </w:r>
            <w:r>
              <w:rPr>
                <w:rFonts w:ascii="仿宋" w:hAnsi="仿宋" w:eastAsia="仿宋" w:cs="仿宋"/>
                <w:spacing w:val="-5"/>
              </w:rPr>
              <w:t>时道路</w:t>
            </w:r>
            <w:r>
              <w:rPr>
                <w:rFonts w:ascii="仿宋" w:hAnsi="仿宋" w:eastAsia="仿宋" w:cs="仿宋"/>
                <w:spacing w:val="-39"/>
              </w:rPr>
              <w:t xml:space="preserve"> </w:t>
            </w:r>
            <w:r>
              <w:rPr>
                <w:spacing w:val="-5"/>
              </w:rPr>
              <w:t>SSL6</w:t>
            </w:r>
            <w:r>
              <w:rPr>
                <w:spacing w:val="16"/>
              </w:rPr>
              <w:t xml:space="preserve"> </w:t>
            </w:r>
            <w:r>
              <w:rPr>
                <w:rFonts w:ascii="仿宋" w:hAnsi="仿宋" w:eastAsia="仿宋" w:cs="仿宋"/>
                <w:spacing w:val="-5"/>
              </w:rPr>
              <w:t>表土堆存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50" w:line="214" w:lineRule="auto"/>
              <w:ind w:left="657" w:right="153" w:hanging="461"/>
              <w:rPr>
                <w:rFonts w:ascii="仿宋" w:hAnsi="仿宋" w:eastAsia="仿宋" w:cs="仿宋"/>
              </w:rPr>
            </w:pPr>
            <w:r>
              <w:rPr>
                <w:spacing w:val="-4"/>
              </w:rPr>
              <w:t>17#</w:t>
            </w:r>
            <w:r>
              <w:rPr>
                <w:rFonts w:ascii="仿宋" w:hAnsi="仿宋" w:eastAsia="仿宋" w:cs="仿宋"/>
                <w:spacing w:val="-4"/>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84" w:line="219" w:lineRule="auto"/>
              <w:ind w:left="921"/>
              <w:rPr>
                <w:rFonts w:ascii="仿宋" w:hAnsi="仿宋" w:eastAsia="仿宋" w:cs="仿宋"/>
              </w:rPr>
            </w:pPr>
            <w:r>
              <w:rPr>
                <w:spacing w:val="-4"/>
              </w:rPr>
              <w:t>11#</w:t>
            </w:r>
            <w:r>
              <w:rPr>
                <w:rFonts w:ascii="仿宋" w:hAnsi="仿宋" w:eastAsia="仿宋" w:cs="仿宋"/>
                <w:spacing w:val="-4"/>
              </w:rPr>
              <w:t>弃渣场上游</w:t>
            </w:r>
          </w:p>
        </w:tc>
        <w:tc>
          <w:tcPr>
            <w:tcW w:w="1140" w:type="dxa"/>
            <w:vAlign w:val="top"/>
          </w:tcPr>
          <w:p>
            <w:pPr>
              <w:pStyle w:val="6"/>
              <w:spacing w:before="217" w:line="192" w:lineRule="auto"/>
              <w:ind w:left="322"/>
            </w:pPr>
            <w:r>
              <w:rPr>
                <w:spacing w:val="-2"/>
              </w:rPr>
              <w:t>(0.04)</w:t>
            </w:r>
          </w:p>
        </w:tc>
        <w:tc>
          <w:tcPr>
            <w:tcW w:w="1061" w:type="dxa"/>
            <w:vAlign w:val="top"/>
          </w:tcPr>
          <w:p>
            <w:pPr>
              <w:spacing w:before="185"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21" w:line="188" w:lineRule="auto"/>
              <w:ind w:left="253"/>
            </w:pPr>
            <w:r>
              <w:rPr>
                <w:spacing w:val="-1"/>
              </w:rPr>
              <w:t>2172.8</w:t>
            </w:r>
          </w:p>
        </w:tc>
        <w:tc>
          <w:tcPr>
            <w:tcW w:w="1207" w:type="dxa"/>
            <w:vAlign w:val="top"/>
          </w:tcPr>
          <w:p>
            <w:pPr>
              <w:pStyle w:val="6"/>
              <w:spacing w:before="221" w:line="188" w:lineRule="auto"/>
              <w:ind w:left="336"/>
            </w:pPr>
            <w:r>
              <w:rPr>
                <w:spacing w:val="-4"/>
              </w:rPr>
              <w:t>1646.0</w:t>
            </w:r>
          </w:p>
        </w:tc>
        <w:tc>
          <w:tcPr>
            <w:tcW w:w="4887" w:type="dxa"/>
            <w:tcBorders>
              <w:right w:val="nil"/>
            </w:tcBorders>
            <w:vAlign w:val="top"/>
          </w:tcPr>
          <w:p>
            <w:pPr>
              <w:pStyle w:val="6"/>
              <w:spacing w:before="50" w:line="214" w:lineRule="auto"/>
              <w:ind w:left="2352" w:right="163" w:hanging="2185"/>
              <w:rPr>
                <w:rFonts w:ascii="仿宋" w:hAnsi="仿宋" w:eastAsia="仿宋" w:cs="仿宋"/>
              </w:rPr>
            </w:pPr>
            <w:r>
              <w:rPr>
                <w:spacing w:val="-2"/>
              </w:rPr>
              <w:t>9#</w:t>
            </w:r>
            <w:r>
              <w:rPr>
                <w:rFonts w:ascii="仿宋" w:hAnsi="仿宋" w:eastAsia="仿宋" w:cs="仿宋"/>
                <w:spacing w:val="-2"/>
              </w:rPr>
              <w:t>弃渣场绿化覆土、输水区临时道路</w:t>
            </w:r>
            <w:r>
              <w:rPr>
                <w:rFonts w:ascii="仿宋" w:hAnsi="仿宋" w:eastAsia="仿宋" w:cs="仿宋"/>
                <w:spacing w:val="-30"/>
              </w:rPr>
              <w:t xml:space="preserve"> </w:t>
            </w:r>
            <w:r>
              <w:rPr>
                <w:spacing w:val="-2"/>
              </w:rPr>
              <w:t>SSL7</w:t>
            </w:r>
            <w:r>
              <w:rPr>
                <w:spacing w:val="17"/>
              </w:rPr>
              <w:t xml:space="preserve"> </w:t>
            </w:r>
            <w:r>
              <w:rPr>
                <w:rFonts w:ascii="仿宋" w:hAnsi="仿宋" w:eastAsia="仿宋" w:cs="仿宋"/>
                <w:spacing w:val="-2"/>
              </w:rPr>
              <w:t>表土堆</w:t>
            </w:r>
            <w:r>
              <w:rPr>
                <w:rFonts w:ascii="仿宋" w:hAnsi="仿宋" w:eastAsia="仿宋" w:cs="仿宋"/>
              </w:rPr>
              <w:t xml:space="preserve"> 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52" w:line="213" w:lineRule="auto"/>
              <w:ind w:left="657" w:right="153" w:hanging="461"/>
              <w:rPr>
                <w:rFonts w:ascii="仿宋" w:hAnsi="仿宋" w:eastAsia="仿宋" w:cs="仿宋"/>
              </w:rPr>
            </w:pPr>
            <w:r>
              <w:rPr>
                <w:spacing w:val="-4"/>
              </w:rPr>
              <w:t>18#</w:t>
            </w:r>
            <w:r>
              <w:rPr>
                <w:rFonts w:ascii="仿宋" w:hAnsi="仿宋" w:eastAsia="仿宋" w:cs="仿宋"/>
                <w:spacing w:val="-4"/>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88" w:line="219" w:lineRule="auto"/>
              <w:ind w:left="917"/>
              <w:rPr>
                <w:rFonts w:ascii="仿宋" w:hAnsi="仿宋" w:eastAsia="仿宋" w:cs="仿宋"/>
              </w:rPr>
            </w:pPr>
            <w:r>
              <w:rPr>
                <w:spacing w:val="-3"/>
              </w:rPr>
              <w:t>12#</w:t>
            </w:r>
            <w:r>
              <w:rPr>
                <w:rFonts w:ascii="仿宋" w:hAnsi="仿宋" w:eastAsia="仿宋" w:cs="仿宋"/>
                <w:spacing w:val="-3"/>
              </w:rPr>
              <w:t>弃渣场上游</w:t>
            </w:r>
          </w:p>
        </w:tc>
        <w:tc>
          <w:tcPr>
            <w:tcW w:w="1140" w:type="dxa"/>
            <w:vAlign w:val="top"/>
          </w:tcPr>
          <w:p>
            <w:pPr>
              <w:pStyle w:val="6"/>
              <w:spacing w:before="221" w:line="192" w:lineRule="auto"/>
              <w:ind w:left="322"/>
            </w:pPr>
            <w:r>
              <w:rPr>
                <w:spacing w:val="-2"/>
              </w:rPr>
              <w:t>(0.09)</w:t>
            </w:r>
          </w:p>
        </w:tc>
        <w:tc>
          <w:tcPr>
            <w:tcW w:w="1061" w:type="dxa"/>
            <w:vAlign w:val="top"/>
          </w:tcPr>
          <w:p>
            <w:pPr>
              <w:spacing w:before="188"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25" w:line="188" w:lineRule="auto"/>
              <w:ind w:left="252"/>
            </w:pPr>
            <w:r>
              <w:rPr>
                <w:spacing w:val="-1"/>
              </w:rPr>
              <w:t>4345.5</w:t>
            </w:r>
          </w:p>
        </w:tc>
        <w:tc>
          <w:tcPr>
            <w:tcW w:w="1207" w:type="dxa"/>
            <w:vAlign w:val="top"/>
          </w:tcPr>
          <w:p>
            <w:pPr>
              <w:pStyle w:val="6"/>
              <w:spacing w:before="225" w:line="188" w:lineRule="auto"/>
              <w:ind w:left="320"/>
            </w:pPr>
            <w:r>
              <w:rPr>
                <w:spacing w:val="-2"/>
              </w:rPr>
              <w:t>3292.1</w:t>
            </w:r>
          </w:p>
        </w:tc>
        <w:tc>
          <w:tcPr>
            <w:tcW w:w="4887" w:type="dxa"/>
            <w:tcBorders>
              <w:right w:val="nil"/>
            </w:tcBorders>
            <w:vAlign w:val="top"/>
          </w:tcPr>
          <w:p>
            <w:pPr>
              <w:pStyle w:val="6"/>
              <w:spacing w:before="52" w:line="213" w:lineRule="auto"/>
              <w:ind w:left="1773" w:right="187" w:hanging="1566"/>
              <w:rPr>
                <w:rFonts w:ascii="仿宋" w:hAnsi="仿宋" w:eastAsia="仿宋" w:cs="仿宋"/>
              </w:rPr>
            </w:pPr>
            <w:r>
              <w:rPr>
                <w:spacing w:val="-8"/>
              </w:rPr>
              <w:t>10#</w:t>
            </w:r>
            <w:r>
              <w:rPr>
                <w:rFonts w:ascii="仿宋" w:hAnsi="仿宋" w:eastAsia="仿宋" w:cs="仿宋"/>
                <w:spacing w:val="-8"/>
              </w:rPr>
              <w:t>弃渣场绿化覆土、输水明渠、</w:t>
            </w:r>
            <w:r>
              <w:rPr>
                <w:rFonts w:ascii="仿宋" w:hAnsi="仿宋" w:eastAsia="仿宋" w:cs="仿宋"/>
                <w:spacing w:val="52"/>
              </w:rPr>
              <w:t xml:space="preserve"> </w:t>
            </w:r>
            <w:r>
              <w:rPr>
                <w:rFonts w:ascii="仿宋" w:hAnsi="仿宋" w:eastAsia="仿宋" w:cs="仿宋"/>
                <w:spacing w:val="-8"/>
              </w:rPr>
              <w:t>输水区临时道路</w:t>
            </w:r>
            <w:r>
              <w:rPr>
                <w:rFonts w:ascii="仿宋" w:hAnsi="仿宋" w:eastAsia="仿宋" w:cs="仿宋"/>
              </w:rPr>
              <w:t xml:space="preserve"> </w:t>
            </w:r>
            <w:r>
              <w:rPr>
                <w:spacing w:val="-4"/>
              </w:rPr>
              <w:t>SSL8</w:t>
            </w:r>
            <w:r>
              <w:rPr>
                <w:spacing w:val="21"/>
                <w:w w:val="101"/>
              </w:rPr>
              <w:t xml:space="preserve"> </w:t>
            </w:r>
            <w:r>
              <w:rPr>
                <w:rFonts w:ascii="仿宋" w:hAnsi="仿宋" w:eastAsia="仿宋" w:cs="仿宋"/>
                <w:spacing w:val="-4"/>
              </w:rPr>
              <w:t>表土堆存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1483" w:type="dxa"/>
            <w:tcBorders>
              <w:left w:val="nil"/>
            </w:tcBorders>
            <w:vAlign w:val="top"/>
          </w:tcPr>
          <w:p>
            <w:pPr>
              <w:pStyle w:val="6"/>
              <w:spacing w:before="53" w:line="213" w:lineRule="auto"/>
              <w:ind w:left="657" w:right="153" w:hanging="461"/>
              <w:rPr>
                <w:rFonts w:ascii="仿宋" w:hAnsi="仿宋" w:eastAsia="仿宋" w:cs="仿宋"/>
              </w:rPr>
            </w:pPr>
            <w:r>
              <w:rPr>
                <w:spacing w:val="-4"/>
              </w:rPr>
              <w:t>19#</w:t>
            </w:r>
            <w:r>
              <w:rPr>
                <w:rFonts w:ascii="仿宋" w:hAnsi="仿宋" w:eastAsia="仿宋" w:cs="仿宋"/>
                <w:spacing w:val="-4"/>
              </w:rPr>
              <w:t>临时堆土</w:t>
            </w:r>
            <w:r>
              <w:rPr>
                <w:rFonts w:ascii="仿宋" w:hAnsi="仿宋" w:eastAsia="仿宋" w:cs="仿宋"/>
                <w:spacing w:val="3"/>
              </w:rPr>
              <w:t xml:space="preserve"> </w:t>
            </w:r>
            <w:r>
              <w:rPr>
                <w:rFonts w:ascii="仿宋" w:hAnsi="仿宋" w:eastAsia="仿宋" w:cs="仿宋"/>
              </w:rPr>
              <w:t>场</w:t>
            </w:r>
          </w:p>
        </w:tc>
        <w:tc>
          <w:tcPr>
            <w:tcW w:w="3156" w:type="dxa"/>
            <w:vAlign w:val="top"/>
          </w:tcPr>
          <w:p>
            <w:pPr>
              <w:pStyle w:val="6"/>
              <w:spacing w:before="190" w:line="219" w:lineRule="auto"/>
              <w:ind w:left="917"/>
              <w:rPr>
                <w:rFonts w:ascii="仿宋" w:hAnsi="仿宋" w:eastAsia="仿宋" w:cs="仿宋"/>
              </w:rPr>
            </w:pPr>
            <w:r>
              <w:rPr>
                <w:spacing w:val="-3"/>
              </w:rPr>
              <w:t>13#</w:t>
            </w:r>
            <w:r>
              <w:rPr>
                <w:rFonts w:ascii="仿宋" w:hAnsi="仿宋" w:eastAsia="仿宋" w:cs="仿宋"/>
                <w:spacing w:val="-3"/>
              </w:rPr>
              <w:t>弃渣场上游</w:t>
            </w:r>
          </w:p>
        </w:tc>
        <w:tc>
          <w:tcPr>
            <w:tcW w:w="1140" w:type="dxa"/>
            <w:vAlign w:val="top"/>
          </w:tcPr>
          <w:p>
            <w:pPr>
              <w:pStyle w:val="6"/>
              <w:spacing w:before="223" w:line="192" w:lineRule="auto"/>
              <w:ind w:left="322"/>
            </w:pPr>
            <w:r>
              <w:rPr>
                <w:spacing w:val="-2"/>
              </w:rPr>
              <w:t>(0.07)</w:t>
            </w:r>
          </w:p>
        </w:tc>
        <w:tc>
          <w:tcPr>
            <w:tcW w:w="1061" w:type="dxa"/>
            <w:vAlign w:val="top"/>
          </w:tcPr>
          <w:p>
            <w:pPr>
              <w:spacing w:before="191"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27" w:line="188" w:lineRule="auto"/>
              <w:ind w:left="257"/>
            </w:pPr>
            <w:r>
              <w:rPr>
                <w:spacing w:val="-2"/>
              </w:rPr>
              <w:t>3343.7</w:t>
            </w:r>
          </w:p>
        </w:tc>
        <w:tc>
          <w:tcPr>
            <w:tcW w:w="1207" w:type="dxa"/>
            <w:vAlign w:val="top"/>
          </w:tcPr>
          <w:p>
            <w:pPr>
              <w:pStyle w:val="6"/>
              <w:spacing w:before="227" w:line="188" w:lineRule="auto"/>
              <w:ind w:left="316"/>
            </w:pPr>
            <w:r>
              <w:rPr>
                <w:spacing w:val="-1"/>
              </w:rPr>
              <w:t>2533.1</w:t>
            </w:r>
          </w:p>
        </w:tc>
        <w:tc>
          <w:tcPr>
            <w:tcW w:w="4887" w:type="dxa"/>
            <w:tcBorders>
              <w:right w:val="nil"/>
            </w:tcBorders>
            <w:vAlign w:val="top"/>
          </w:tcPr>
          <w:p>
            <w:pPr>
              <w:pStyle w:val="6"/>
              <w:spacing w:before="53" w:line="213" w:lineRule="auto"/>
              <w:ind w:left="1723" w:right="191" w:hanging="1513"/>
              <w:rPr>
                <w:rFonts w:ascii="仿宋" w:hAnsi="仿宋" w:eastAsia="仿宋" w:cs="仿宋"/>
              </w:rPr>
            </w:pPr>
            <w:r>
              <w:rPr>
                <w:spacing w:val="-2"/>
              </w:rPr>
              <w:t>11#</w:t>
            </w:r>
            <w:r>
              <w:rPr>
                <w:rFonts w:ascii="仿宋" w:hAnsi="仿宋" w:eastAsia="仿宋" w:cs="仿宋"/>
                <w:spacing w:val="-2"/>
              </w:rPr>
              <w:t>弃渣场绿化覆土、输水明渠、输水区临时道路</w:t>
            </w:r>
            <w:r>
              <w:rPr>
                <w:rFonts w:ascii="仿宋" w:hAnsi="仿宋" w:eastAsia="仿宋" w:cs="仿宋"/>
                <w:spacing w:val="12"/>
              </w:rPr>
              <w:t xml:space="preserve"> </w:t>
            </w:r>
            <w:r>
              <w:rPr>
                <w:spacing w:val="-4"/>
              </w:rPr>
              <w:t>SSL11</w:t>
            </w:r>
            <w:r>
              <w:rPr>
                <w:spacing w:val="18"/>
              </w:rPr>
              <w:t xml:space="preserve"> </w:t>
            </w:r>
            <w:r>
              <w:rPr>
                <w:rFonts w:ascii="仿宋" w:hAnsi="仿宋" w:eastAsia="仿宋" w:cs="仿宋"/>
                <w:spacing w:val="-4"/>
              </w:rPr>
              <w:t>表土堆存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483" w:type="dxa"/>
            <w:tcBorders>
              <w:left w:val="nil"/>
            </w:tcBorders>
            <w:vAlign w:val="top"/>
          </w:tcPr>
          <w:p>
            <w:pPr>
              <w:pStyle w:val="6"/>
              <w:spacing w:before="56" w:line="212" w:lineRule="auto"/>
              <w:ind w:left="657" w:right="153" w:hanging="481"/>
              <w:rPr>
                <w:rFonts w:ascii="仿宋" w:hAnsi="仿宋" w:eastAsia="仿宋" w:cs="仿宋"/>
              </w:rPr>
            </w:pPr>
            <w:r>
              <w:rPr>
                <w:spacing w:val="-1"/>
              </w:rPr>
              <w:t>20#</w:t>
            </w:r>
            <w:r>
              <w:rPr>
                <w:rFonts w:ascii="仿宋" w:hAnsi="仿宋" w:eastAsia="仿宋" w:cs="仿宋"/>
                <w:spacing w:val="-1"/>
              </w:rPr>
              <w:t>临时堆土</w:t>
            </w:r>
            <w:r>
              <w:rPr>
                <w:rFonts w:ascii="仿宋" w:hAnsi="仿宋" w:eastAsia="仿宋" w:cs="仿宋"/>
                <w:spacing w:val="2"/>
              </w:rPr>
              <w:t xml:space="preserve"> </w:t>
            </w:r>
            <w:r>
              <w:rPr>
                <w:rFonts w:ascii="仿宋" w:hAnsi="仿宋" w:eastAsia="仿宋" w:cs="仿宋"/>
              </w:rPr>
              <w:t>场</w:t>
            </w:r>
          </w:p>
        </w:tc>
        <w:tc>
          <w:tcPr>
            <w:tcW w:w="3156" w:type="dxa"/>
            <w:vAlign w:val="top"/>
          </w:tcPr>
          <w:p>
            <w:pPr>
              <w:pStyle w:val="6"/>
              <w:spacing w:before="192" w:line="219" w:lineRule="auto"/>
              <w:ind w:left="917"/>
              <w:rPr>
                <w:rFonts w:ascii="仿宋" w:hAnsi="仿宋" w:eastAsia="仿宋" w:cs="仿宋"/>
              </w:rPr>
            </w:pPr>
            <w:r>
              <w:rPr>
                <w:spacing w:val="-3"/>
              </w:rPr>
              <w:t>14#</w:t>
            </w:r>
            <w:r>
              <w:rPr>
                <w:rFonts w:ascii="仿宋" w:hAnsi="仿宋" w:eastAsia="仿宋" w:cs="仿宋"/>
                <w:spacing w:val="-3"/>
              </w:rPr>
              <w:t>弃渣场上游</w:t>
            </w:r>
          </w:p>
        </w:tc>
        <w:tc>
          <w:tcPr>
            <w:tcW w:w="1140" w:type="dxa"/>
            <w:vAlign w:val="top"/>
          </w:tcPr>
          <w:p>
            <w:pPr>
              <w:pStyle w:val="6"/>
              <w:spacing w:before="225" w:line="192" w:lineRule="auto"/>
              <w:ind w:left="322"/>
            </w:pPr>
            <w:r>
              <w:rPr>
                <w:spacing w:val="-2"/>
              </w:rPr>
              <w:t>(0.09)</w:t>
            </w:r>
          </w:p>
        </w:tc>
        <w:tc>
          <w:tcPr>
            <w:tcW w:w="1061" w:type="dxa"/>
            <w:vAlign w:val="top"/>
          </w:tcPr>
          <w:p>
            <w:pPr>
              <w:spacing w:before="193"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29" w:line="188" w:lineRule="auto"/>
              <w:ind w:left="252"/>
            </w:pPr>
            <w:r>
              <w:rPr>
                <w:spacing w:val="-1"/>
              </w:rPr>
              <w:t>4503.9</w:t>
            </w:r>
          </w:p>
        </w:tc>
        <w:tc>
          <w:tcPr>
            <w:tcW w:w="1207" w:type="dxa"/>
            <w:vAlign w:val="top"/>
          </w:tcPr>
          <w:p>
            <w:pPr>
              <w:pStyle w:val="6"/>
              <w:spacing w:before="229" w:line="188" w:lineRule="auto"/>
              <w:ind w:left="320"/>
            </w:pPr>
            <w:r>
              <w:rPr>
                <w:spacing w:val="-2"/>
              </w:rPr>
              <w:t>3412.1</w:t>
            </w:r>
          </w:p>
        </w:tc>
        <w:tc>
          <w:tcPr>
            <w:tcW w:w="4887" w:type="dxa"/>
            <w:tcBorders>
              <w:right w:val="nil"/>
            </w:tcBorders>
            <w:vAlign w:val="top"/>
          </w:tcPr>
          <w:p>
            <w:pPr>
              <w:pStyle w:val="6"/>
              <w:spacing w:before="56" w:line="212" w:lineRule="auto"/>
              <w:ind w:left="1773" w:right="187" w:hanging="1566"/>
              <w:rPr>
                <w:rFonts w:ascii="仿宋" w:hAnsi="仿宋" w:eastAsia="仿宋" w:cs="仿宋"/>
              </w:rPr>
            </w:pPr>
            <w:r>
              <w:rPr>
                <w:spacing w:val="-1"/>
              </w:rPr>
              <w:t>12#</w:t>
            </w:r>
            <w:r>
              <w:rPr>
                <w:rFonts w:ascii="仿宋" w:hAnsi="仿宋" w:eastAsia="仿宋" w:cs="仿宋"/>
                <w:spacing w:val="-1"/>
              </w:rPr>
              <w:t>弃渣场绿化覆土、输水明渠、输水区</w:t>
            </w:r>
            <w:r>
              <w:rPr>
                <w:rFonts w:ascii="仿宋" w:hAnsi="仿宋" w:eastAsia="仿宋" w:cs="仿宋"/>
                <w:spacing w:val="-2"/>
              </w:rPr>
              <w:t>临时道路</w:t>
            </w:r>
            <w:r>
              <w:rPr>
                <w:rFonts w:ascii="仿宋" w:hAnsi="仿宋" w:eastAsia="仿宋" w:cs="仿宋"/>
              </w:rPr>
              <w:t xml:space="preserve"> </w:t>
            </w:r>
            <w:r>
              <w:rPr>
                <w:spacing w:val="-4"/>
              </w:rPr>
              <w:t>SSL9</w:t>
            </w:r>
            <w:r>
              <w:rPr>
                <w:spacing w:val="21"/>
                <w:w w:val="101"/>
              </w:rPr>
              <w:t xml:space="preserve"> </w:t>
            </w:r>
            <w:r>
              <w:rPr>
                <w:rFonts w:ascii="仿宋" w:hAnsi="仿宋" w:eastAsia="仿宋" w:cs="仿宋"/>
                <w:spacing w:val="-4"/>
              </w:rPr>
              <w:t>表土堆存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1483" w:type="dxa"/>
            <w:tcBorders>
              <w:left w:val="nil"/>
            </w:tcBorders>
            <w:vAlign w:val="top"/>
          </w:tcPr>
          <w:p>
            <w:pPr>
              <w:pStyle w:val="6"/>
              <w:spacing w:before="56" w:line="211" w:lineRule="auto"/>
              <w:ind w:left="657" w:right="153" w:hanging="481"/>
              <w:rPr>
                <w:rFonts w:ascii="仿宋" w:hAnsi="仿宋" w:eastAsia="仿宋" w:cs="仿宋"/>
              </w:rPr>
            </w:pPr>
            <w:r>
              <w:rPr>
                <w:spacing w:val="-1"/>
              </w:rPr>
              <w:t>21#</w:t>
            </w:r>
            <w:r>
              <w:rPr>
                <w:rFonts w:ascii="仿宋" w:hAnsi="仿宋" w:eastAsia="仿宋" w:cs="仿宋"/>
                <w:spacing w:val="-1"/>
              </w:rPr>
              <w:t>临时堆土</w:t>
            </w:r>
            <w:r>
              <w:rPr>
                <w:rFonts w:ascii="仿宋" w:hAnsi="仿宋" w:eastAsia="仿宋" w:cs="仿宋"/>
                <w:spacing w:val="2"/>
              </w:rPr>
              <w:t xml:space="preserve"> </w:t>
            </w:r>
            <w:r>
              <w:rPr>
                <w:rFonts w:ascii="仿宋" w:hAnsi="仿宋" w:eastAsia="仿宋" w:cs="仿宋"/>
              </w:rPr>
              <w:t>场</w:t>
            </w:r>
          </w:p>
        </w:tc>
        <w:tc>
          <w:tcPr>
            <w:tcW w:w="3156" w:type="dxa"/>
            <w:vAlign w:val="top"/>
          </w:tcPr>
          <w:p>
            <w:pPr>
              <w:pStyle w:val="6"/>
              <w:spacing w:before="193" w:line="219" w:lineRule="auto"/>
              <w:ind w:left="917"/>
              <w:rPr>
                <w:rFonts w:ascii="仿宋" w:hAnsi="仿宋" w:eastAsia="仿宋" w:cs="仿宋"/>
              </w:rPr>
            </w:pPr>
            <w:r>
              <w:rPr>
                <w:spacing w:val="-3"/>
              </w:rPr>
              <w:t>15#</w:t>
            </w:r>
            <w:r>
              <w:rPr>
                <w:rFonts w:ascii="仿宋" w:hAnsi="仿宋" w:eastAsia="仿宋" w:cs="仿宋"/>
                <w:spacing w:val="-3"/>
              </w:rPr>
              <w:t>弃渣场上游</w:t>
            </w:r>
          </w:p>
        </w:tc>
        <w:tc>
          <w:tcPr>
            <w:tcW w:w="1140" w:type="dxa"/>
            <w:vAlign w:val="top"/>
          </w:tcPr>
          <w:p>
            <w:pPr>
              <w:pStyle w:val="6"/>
              <w:spacing w:before="225" w:line="192" w:lineRule="auto"/>
              <w:ind w:left="322"/>
            </w:pPr>
            <w:r>
              <w:rPr>
                <w:spacing w:val="-2"/>
              </w:rPr>
              <w:t>(0.07)</w:t>
            </w:r>
          </w:p>
        </w:tc>
        <w:tc>
          <w:tcPr>
            <w:tcW w:w="1061" w:type="dxa"/>
            <w:vAlign w:val="top"/>
          </w:tcPr>
          <w:p>
            <w:pPr>
              <w:spacing w:before="193" w:line="218" w:lineRule="auto"/>
              <w:ind w:left="331"/>
              <w:rPr>
                <w:rFonts w:ascii="仿宋" w:hAnsi="仿宋" w:eastAsia="仿宋" w:cs="仿宋"/>
                <w:sz w:val="21"/>
                <w:szCs w:val="21"/>
              </w:rPr>
            </w:pPr>
            <w:r>
              <w:rPr>
                <w:rFonts w:ascii="仿宋" w:hAnsi="仿宋" w:eastAsia="仿宋" w:cs="仿宋"/>
                <w:spacing w:val="-4"/>
                <w:sz w:val="21"/>
                <w:szCs w:val="21"/>
              </w:rPr>
              <w:t>林地</w:t>
            </w:r>
          </w:p>
        </w:tc>
        <w:tc>
          <w:tcPr>
            <w:tcW w:w="1083" w:type="dxa"/>
            <w:vAlign w:val="top"/>
          </w:tcPr>
          <w:p>
            <w:pPr>
              <w:pStyle w:val="6"/>
              <w:spacing w:before="229" w:line="188" w:lineRule="auto"/>
              <w:ind w:left="257"/>
            </w:pPr>
            <w:r>
              <w:rPr>
                <w:spacing w:val="-2"/>
              </w:rPr>
              <w:t>3692.1</w:t>
            </w:r>
          </w:p>
        </w:tc>
        <w:tc>
          <w:tcPr>
            <w:tcW w:w="1207" w:type="dxa"/>
            <w:vAlign w:val="top"/>
          </w:tcPr>
          <w:p>
            <w:pPr>
              <w:pStyle w:val="6"/>
              <w:spacing w:before="229" w:line="188" w:lineRule="auto"/>
              <w:ind w:left="316"/>
            </w:pPr>
            <w:r>
              <w:rPr>
                <w:spacing w:val="-1"/>
              </w:rPr>
              <w:t>2797.1</w:t>
            </w:r>
          </w:p>
        </w:tc>
        <w:tc>
          <w:tcPr>
            <w:tcW w:w="4887" w:type="dxa"/>
            <w:tcBorders>
              <w:right w:val="nil"/>
            </w:tcBorders>
            <w:vAlign w:val="top"/>
          </w:tcPr>
          <w:p>
            <w:pPr>
              <w:pStyle w:val="6"/>
              <w:spacing w:before="56" w:line="211" w:lineRule="auto"/>
              <w:ind w:left="1720" w:right="187" w:hanging="1513"/>
              <w:rPr>
                <w:rFonts w:ascii="仿宋" w:hAnsi="仿宋" w:eastAsia="仿宋" w:cs="仿宋"/>
              </w:rPr>
            </w:pPr>
            <w:r>
              <w:rPr>
                <w:spacing w:val="-1"/>
              </w:rPr>
              <w:t>13#</w:t>
            </w:r>
            <w:r>
              <w:rPr>
                <w:rFonts w:ascii="仿宋" w:hAnsi="仿宋" w:eastAsia="仿宋" w:cs="仿宋"/>
                <w:spacing w:val="-1"/>
              </w:rPr>
              <w:t>弃渣场绿化覆土、输水明渠、输水区</w:t>
            </w:r>
            <w:r>
              <w:rPr>
                <w:rFonts w:ascii="仿宋" w:hAnsi="仿宋" w:eastAsia="仿宋" w:cs="仿宋"/>
                <w:spacing w:val="-2"/>
              </w:rPr>
              <w:t>临时道路</w:t>
            </w:r>
            <w:r>
              <w:rPr>
                <w:rFonts w:ascii="仿宋" w:hAnsi="仿宋" w:eastAsia="仿宋" w:cs="仿宋"/>
              </w:rPr>
              <w:t xml:space="preserve"> </w:t>
            </w:r>
            <w:r>
              <w:rPr>
                <w:spacing w:val="-4"/>
              </w:rPr>
              <w:t>SSL10</w:t>
            </w:r>
            <w:r>
              <w:rPr>
                <w:spacing w:val="21"/>
                <w:w w:val="101"/>
              </w:rPr>
              <w:t xml:space="preserve"> </w:t>
            </w:r>
            <w:r>
              <w:rPr>
                <w:rFonts w:ascii="仿宋" w:hAnsi="仿宋" w:eastAsia="仿宋" w:cs="仿宋"/>
                <w:spacing w:val="-4"/>
              </w:rPr>
              <w:t>表土堆存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1" w:hRule="atLeast"/>
        </w:trPr>
        <w:tc>
          <w:tcPr>
            <w:tcW w:w="4639" w:type="dxa"/>
            <w:gridSpan w:val="2"/>
            <w:tcBorders>
              <w:left w:val="nil"/>
              <w:bottom w:val="single" w:color="000000" w:sz="12" w:space="0"/>
            </w:tcBorders>
            <w:vAlign w:val="top"/>
          </w:tcPr>
          <w:p>
            <w:pPr>
              <w:spacing w:before="60" w:line="203" w:lineRule="auto"/>
              <w:ind w:left="2136"/>
              <w:rPr>
                <w:rFonts w:ascii="仿宋" w:hAnsi="仿宋" w:eastAsia="仿宋" w:cs="仿宋"/>
                <w:sz w:val="21"/>
                <w:szCs w:val="21"/>
              </w:rPr>
            </w:pPr>
            <w:r>
              <w:rPr>
                <w:rFonts w:ascii="仿宋" w:hAnsi="仿宋" w:eastAsia="仿宋" w:cs="仿宋"/>
                <w:spacing w:val="-5"/>
                <w:sz w:val="21"/>
                <w:szCs w:val="21"/>
              </w:rPr>
              <w:t>合计</w:t>
            </w:r>
          </w:p>
        </w:tc>
        <w:tc>
          <w:tcPr>
            <w:tcW w:w="1140" w:type="dxa"/>
            <w:tcBorders>
              <w:bottom w:val="single" w:color="000000" w:sz="12" w:space="0"/>
            </w:tcBorders>
            <w:vAlign w:val="top"/>
          </w:tcPr>
          <w:p>
            <w:pPr>
              <w:pStyle w:val="6"/>
              <w:spacing w:before="96" w:line="188" w:lineRule="auto"/>
              <w:ind w:left="392"/>
            </w:pPr>
            <w:r>
              <w:rPr>
                <w:spacing w:val="-2"/>
              </w:rPr>
              <w:t>0.52</w:t>
            </w:r>
          </w:p>
        </w:tc>
        <w:tc>
          <w:tcPr>
            <w:tcW w:w="1061" w:type="dxa"/>
            <w:tcBorders>
              <w:bottom w:val="single" w:color="000000" w:sz="12" w:space="0"/>
            </w:tcBorders>
            <w:vAlign w:val="top"/>
          </w:tcPr>
          <w:p>
            <w:pPr>
              <w:rPr>
                <w:rFonts w:ascii="Arial"/>
                <w:sz w:val="21"/>
              </w:rPr>
            </w:pPr>
          </w:p>
        </w:tc>
        <w:tc>
          <w:tcPr>
            <w:tcW w:w="1083" w:type="dxa"/>
            <w:tcBorders>
              <w:bottom w:val="single" w:color="000000" w:sz="12" w:space="0"/>
            </w:tcBorders>
            <w:vAlign w:val="top"/>
          </w:tcPr>
          <w:p>
            <w:pPr>
              <w:pStyle w:val="6"/>
              <w:spacing w:before="96" w:line="188" w:lineRule="auto"/>
              <w:ind w:left="168"/>
            </w:pPr>
            <w:r>
              <w:rPr>
                <w:spacing w:val="-3"/>
              </w:rPr>
              <w:t>152510.7</w:t>
            </w:r>
          </w:p>
        </w:tc>
        <w:tc>
          <w:tcPr>
            <w:tcW w:w="1207" w:type="dxa"/>
            <w:tcBorders>
              <w:bottom w:val="single" w:color="000000" w:sz="12" w:space="0"/>
            </w:tcBorders>
            <w:vAlign w:val="top"/>
          </w:tcPr>
          <w:p>
            <w:pPr>
              <w:pStyle w:val="6"/>
              <w:spacing w:before="96" w:line="188" w:lineRule="auto"/>
              <w:ind w:left="235"/>
            </w:pPr>
            <w:r>
              <w:rPr>
                <w:spacing w:val="-4"/>
              </w:rPr>
              <w:t>115538.4</w:t>
            </w:r>
          </w:p>
        </w:tc>
        <w:tc>
          <w:tcPr>
            <w:tcW w:w="4887" w:type="dxa"/>
            <w:tcBorders>
              <w:bottom w:val="single" w:color="000000" w:sz="12"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01" w:type="default"/>
          <w:pgSz w:w="16839" w:h="11907"/>
          <w:pgMar w:top="1298" w:right="1387" w:bottom="1372" w:left="1388" w:header="1023" w:footer="1210" w:gutter="0"/>
        </w:sectPr>
      </w:pPr>
    </w:p>
    <w:p>
      <w:pPr>
        <w:spacing w:before="156" w:line="467" w:lineRule="exact"/>
        <w:ind w:left="526"/>
        <w:rPr>
          <w:rFonts w:ascii="宋体" w:hAnsi="宋体" w:eastAsia="宋体" w:cs="宋体"/>
          <w:sz w:val="24"/>
          <w:szCs w:val="24"/>
        </w:rPr>
      </w:pP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4</w:t>
      </w:r>
      <w:r>
        <w:rPr>
          <w:rFonts w:ascii="宋体" w:hAnsi="宋体" w:eastAsia="宋体" w:cs="宋体"/>
          <w:spacing w:val="-5"/>
          <w:position w:val="17"/>
          <w:sz w:val="24"/>
          <w:szCs w:val="24"/>
        </w:rPr>
        <w:t>）施工生产区</w:t>
      </w:r>
    </w:p>
    <w:p>
      <w:pPr>
        <w:spacing w:line="217" w:lineRule="auto"/>
        <w:ind w:left="518"/>
        <w:rPr>
          <w:rFonts w:ascii="宋体" w:hAnsi="宋体" w:eastAsia="宋体" w:cs="宋体"/>
          <w:sz w:val="24"/>
          <w:szCs w:val="24"/>
        </w:rPr>
      </w:pPr>
      <w:r>
        <w:rPr>
          <w:rFonts w:ascii="宋体" w:hAnsi="宋体" w:eastAsia="宋体" w:cs="宋体"/>
          <w:spacing w:val="-2"/>
          <w:sz w:val="24"/>
          <w:szCs w:val="24"/>
        </w:rPr>
        <w:t>①砂石加工系统</w:t>
      </w:r>
    </w:p>
    <w:p>
      <w:pPr>
        <w:spacing w:before="184" w:line="467" w:lineRule="exact"/>
        <w:ind w:right="20"/>
        <w:jc w:val="right"/>
        <w:rPr>
          <w:rFonts w:ascii="宋体" w:hAnsi="宋体" w:eastAsia="宋体" w:cs="宋体"/>
          <w:sz w:val="24"/>
          <w:szCs w:val="24"/>
        </w:rPr>
      </w:pPr>
      <w:r>
        <w:rPr>
          <w:rFonts w:ascii="宋体" w:hAnsi="宋体" w:eastAsia="宋体" w:cs="宋体"/>
          <w:spacing w:val="-2"/>
          <w:position w:val="17"/>
          <w:sz w:val="24"/>
          <w:szCs w:val="24"/>
        </w:rPr>
        <w:t xml:space="preserve">砂石料场设施 </w:t>
      </w:r>
      <w:r>
        <w:rPr>
          <w:rFonts w:ascii="Times New Roman" w:hAnsi="Times New Roman" w:eastAsia="Times New Roman" w:cs="Times New Roman"/>
          <w:spacing w:val="-2"/>
          <w:position w:val="17"/>
          <w:sz w:val="24"/>
          <w:szCs w:val="24"/>
        </w:rPr>
        <w:t>1</w:t>
      </w:r>
      <w:r>
        <w:rPr>
          <w:rFonts w:ascii="Times New Roman" w:hAnsi="Times New Roman" w:eastAsia="Times New Roman" w:cs="Times New Roman"/>
          <w:spacing w:val="30"/>
          <w:position w:val="17"/>
          <w:sz w:val="24"/>
          <w:szCs w:val="24"/>
        </w:rPr>
        <w:t xml:space="preserve"> </w:t>
      </w:r>
      <w:r>
        <w:rPr>
          <w:rFonts w:ascii="宋体" w:hAnsi="宋体" w:eastAsia="宋体" w:cs="宋体"/>
          <w:spacing w:val="-2"/>
          <w:position w:val="17"/>
          <w:sz w:val="24"/>
          <w:szCs w:val="24"/>
        </w:rPr>
        <w:t>套砂石料加工系统，利用料场石料</w:t>
      </w:r>
      <w:r>
        <w:rPr>
          <w:rFonts w:ascii="宋体" w:hAnsi="宋体" w:eastAsia="宋体" w:cs="宋体"/>
          <w:spacing w:val="-3"/>
          <w:position w:val="17"/>
          <w:sz w:val="24"/>
          <w:szCs w:val="24"/>
        </w:rPr>
        <w:t>为原料，主要设备为</w:t>
      </w:r>
      <w:r>
        <w:rPr>
          <w:rFonts w:ascii="宋体" w:hAnsi="宋体" w:eastAsia="宋体" w:cs="宋体"/>
          <w:spacing w:val="-35"/>
          <w:position w:val="17"/>
          <w:sz w:val="24"/>
          <w:szCs w:val="24"/>
        </w:rPr>
        <w:t xml:space="preserve"> </w:t>
      </w:r>
      <w:r>
        <w:rPr>
          <w:rFonts w:ascii="Times New Roman" w:hAnsi="Times New Roman" w:eastAsia="Times New Roman" w:cs="Times New Roman"/>
          <w:spacing w:val="-3"/>
          <w:position w:val="17"/>
          <w:sz w:val="24"/>
          <w:szCs w:val="24"/>
        </w:rPr>
        <w:t>2</w:t>
      </w:r>
      <w:r>
        <w:rPr>
          <w:rFonts w:ascii="Times New Roman" w:hAnsi="Times New Roman" w:eastAsia="Times New Roman" w:cs="Times New Roman"/>
          <w:spacing w:val="47"/>
          <w:position w:val="17"/>
          <w:sz w:val="24"/>
          <w:szCs w:val="24"/>
        </w:rPr>
        <w:t xml:space="preserve"> </w:t>
      </w:r>
      <w:r>
        <w:rPr>
          <w:rFonts w:ascii="宋体" w:hAnsi="宋体" w:eastAsia="宋体" w:cs="宋体"/>
          <w:spacing w:val="-3"/>
          <w:position w:val="17"/>
          <w:sz w:val="24"/>
          <w:szCs w:val="24"/>
        </w:rPr>
        <w:t>台破碎</w:t>
      </w:r>
    </w:p>
    <w:p>
      <w:pPr>
        <w:spacing w:before="1" w:line="218" w:lineRule="auto"/>
        <w:ind w:left="38"/>
        <w:rPr>
          <w:rFonts w:ascii="宋体" w:hAnsi="宋体" w:eastAsia="宋体" w:cs="宋体"/>
          <w:sz w:val="24"/>
          <w:szCs w:val="24"/>
        </w:rPr>
      </w:pPr>
      <w:r>
        <w:rPr>
          <w:rFonts w:ascii="宋体" w:hAnsi="宋体" w:eastAsia="宋体" w:cs="宋体"/>
          <w:spacing w:val="-11"/>
          <w:sz w:val="24"/>
          <w:szCs w:val="24"/>
        </w:rPr>
        <w:t>机、</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28"/>
          <w:w w:val="101"/>
          <w:sz w:val="24"/>
          <w:szCs w:val="24"/>
        </w:rPr>
        <w:t xml:space="preserve"> </w:t>
      </w:r>
      <w:r>
        <w:rPr>
          <w:rFonts w:ascii="宋体" w:hAnsi="宋体" w:eastAsia="宋体" w:cs="宋体"/>
          <w:spacing w:val="-11"/>
          <w:sz w:val="24"/>
          <w:szCs w:val="24"/>
        </w:rPr>
        <w:t>台筛分机、</w:t>
      </w:r>
      <w:r>
        <w:rPr>
          <w:rFonts w:ascii="Times New Roman" w:hAnsi="Times New Roman" w:eastAsia="Times New Roman" w:cs="Times New Roman"/>
          <w:spacing w:val="-11"/>
          <w:sz w:val="24"/>
          <w:szCs w:val="24"/>
        </w:rPr>
        <w:t>3</w:t>
      </w:r>
      <w:r>
        <w:rPr>
          <w:rFonts w:ascii="Times New Roman" w:hAnsi="Times New Roman" w:eastAsia="Times New Roman" w:cs="Times New Roman"/>
          <w:spacing w:val="28"/>
          <w:sz w:val="24"/>
          <w:szCs w:val="24"/>
        </w:rPr>
        <w:t xml:space="preserve"> </w:t>
      </w:r>
      <w:r>
        <w:rPr>
          <w:rFonts w:ascii="宋体" w:hAnsi="宋体" w:eastAsia="宋体" w:cs="宋体"/>
          <w:spacing w:val="-11"/>
          <w:sz w:val="24"/>
          <w:szCs w:val="24"/>
        </w:rPr>
        <w:t>台制砂机。</w:t>
      </w:r>
    </w:p>
    <w:p>
      <w:pPr>
        <w:spacing w:before="182" w:line="217" w:lineRule="auto"/>
        <w:ind w:left="517"/>
        <w:rPr>
          <w:rFonts w:ascii="宋体" w:hAnsi="宋体" w:eastAsia="宋体" w:cs="宋体"/>
          <w:sz w:val="24"/>
          <w:szCs w:val="24"/>
        </w:rPr>
      </w:pPr>
      <w:r>
        <w:rPr>
          <w:rFonts w:ascii="宋体" w:hAnsi="宋体" w:eastAsia="宋体" w:cs="宋体"/>
          <w:spacing w:val="-1"/>
          <w:sz w:val="24"/>
          <w:szCs w:val="24"/>
        </w:rPr>
        <w:t>②混凝土生产系统</w:t>
      </w:r>
    </w:p>
    <w:p>
      <w:pPr>
        <w:spacing w:before="184" w:line="359" w:lineRule="auto"/>
        <w:ind w:left="39" w:right="38" w:firstLine="479"/>
        <w:rPr>
          <w:rFonts w:ascii="宋体" w:hAnsi="宋体" w:eastAsia="宋体" w:cs="宋体"/>
          <w:sz w:val="24"/>
          <w:szCs w:val="24"/>
        </w:rPr>
      </w:pPr>
      <w:r>
        <w:rPr>
          <w:rFonts w:ascii="宋体" w:hAnsi="宋体" w:eastAsia="宋体" w:cs="宋体"/>
          <w:spacing w:val="2"/>
          <w:sz w:val="24"/>
          <w:szCs w:val="24"/>
        </w:rPr>
        <w:t>枢纽区常规混凝土浇筑主要集中于导流和输水隧洞、大</w:t>
      </w:r>
      <w:r>
        <w:rPr>
          <w:rFonts w:ascii="宋体" w:hAnsi="宋体" w:eastAsia="宋体" w:cs="宋体"/>
          <w:spacing w:val="1"/>
          <w:sz w:val="24"/>
          <w:szCs w:val="24"/>
        </w:rPr>
        <w:t>坝灌浆盖板及溢洪道等部</w:t>
      </w:r>
      <w:r>
        <w:rPr>
          <w:rFonts w:ascii="宋体" w:hAnsi="宋体" w:eastAsia="宋体" w:cs="宋体"/>
          <w:sz w:val="24"/>
          <w:szCs w:val="24"/>
        </w:rPr>
        <w:t xml:space="preserve"> </w:t>
      </w:r>
      <w:r>
        <w:rPr>
          <w:rFonts w:ascii="宋体" w:hAnsi="宋体" w:eastAsia="宋体" w:cs="宋体"/>
          <w:spacing w:val="-10"/>
          <w:sz w:val="24"/>
          <w:szCs w:val="24"/>
        </w:rPr>
        <w:t>位。水库枢纽工程布置混凝土拌合站，引水工程、引洪水工程布置</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0.4m</w:t>
      </w:r>
      <w:r>
        <w:rPr>
          <w:rFonts w:ascii="Times New Roman" w:hAnsi="Times New Roman" w:eastAsia="Times New Roman" w:cs="Times New Roman"/>
          <w:spacing w:val="-10"/>
          <w:position w:val="8"/>
          <w:sz w:val="15"/>
          <w:szCs w:val="15"/>
        </w:rPr>
        <w:t>3</w:t>
      </w:r>
      <w:r>
        <w:rPr>
          <w:rFonts w:ascii="Times New Roman" w:hAnsi="Times New Roman" w:eastAsia="Times New Roman" w:cs="Times New Roman"/>
          <w:spacing w:val="15"/>
          <w:position w:val="8"/>
          <w:sz w:val="15"/>
          <w:szCs w:val="15"/>
        </w:rPr>
        <w:t xml:space="preserve"> </w:t>
      </w:r>
      <w:r>
        <w:rPr>
          <w:rFonts w:ascii="宋体" w:hAnsi="宋体" w:eastAsia="宋体" w:cs="宋体"/>
          <w:spacing w:val="-11"/>
          <w:sz w:val="24"/>
          <w:szCs w:val="24"/>
        </w:rPr>
        <w:t>混凝土搅拌机，</w:t>
      </w:r>
    </w:p>
    <w:p>
      <w:pPr>
        <w:spacing w:before="1" w:line="232" w:lineRule="auto"/>
        <w:ind w:left="38"/>
        <w:rPr>
          <w:rFonts w:ascii="宋体" w:hAnsi="宋体" w:eastAsia="宋体" w:cs="宋体"/>
          <w:sz w:val="24"/>
          <w:szCs w:val="24"/>
        </w:rPr>
      </w:pPr>
      <w:r>
        <w:rPr>
          <w:rFonts w:ascii="宋体" w:hAnsi="宋体" w:eastAsia="宋体" w:cs="宋体"/>
          <w:spacing w:val="-2"/>
          <w:sz w:val="24"/>
          <w:szCs w:val="24"/>
        </w:rPr>
        <w:t>输水管线布置</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0.35m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5"/>
          <w:position w:val="8"/>
          <w:sz w:val="15"/>
          <w:szCs w:val="15"/>
        </w:rPr>
        <w:t xml:space="preserve"> </w:t>
      </w:r>
      <w:r>
        <w:rPr>
          <w:rFonts w:ascii="宋体" w:hAnsi="宋体" w:eastAsia="宋体" w:cs="宋体"/>
          <w:spacing w:val="-2"/>
          <w:sz w:val="24"/>
          <w:szCs w:val="24"/>
        </w:rPr>
        <w:t>混凝土搅拌机。</w:t>
      </w:r>
    </w:p>
    <w:p>
      <w:pPr>
        <w:spacing w:before="164" w:line="217" w:lineRule="auto"/>
        <w:ind w:left="517"/>
        <w:rPr>
          <w:rFonts w:ascii="宋体" w:hAnsi="宋体" w:eastAsia="宋体" w:cs="宋体"/>
          <w:sz w:val="24"/>
          <w:szCs w:val="24"/>
        </w:rPr>
      </w:pPr>
      <w:r>
        <w:rPr>
          <w:rFonts w:ascii="宋体" w:hAnsi="宋体" w:eastAsia="宋体" w:cs="宋体"/>
          <w:spacing w:val="-2"/>
          <w:sz w:val="24"/>
          <w:szCs w:val="24"/>
        </w:rPr>
        <w:t>③压气系统</w:t>
      </w:r>
    </w:p>
    <w:p>
      <w:pPr>
        <w:spacing w:before="185" w:line="359" w:lineRule="auto"/>
        <w:ind w:left="58" w:right="29" w:firstLine="473"/>
        <w:rPr>
          <w:rFonts w:ascii="宋体" w:hAnsi="宋体" w:eastAsia="宋体" w:cs="宋体"/>
          <w:sz w:val="24"/>
          <w:szCs w:val="24"/>
        </w:rPr>
      </w:pPr>
      <w:r>
        <w:rPr>
          <w:rFonts w:ascii="宋体" w:hAnsi="宋体" w:eastAsia="宋体" w:cs="宋体"/>
          <w:spacing w:val="-3"/>
          <w:sz w:val="24"/>
          <w:szCs w:val="24"/>
        </w:rPr>
        <w:t>隧洞施工时，在进、出口各设置</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w w:val="101"/>
          <w:sz w:val="24"/>
          <w:szCs w:val="24"/>
        </w:rPr>
        <w:t xml:space="preserve"> </w:t>
      </w:r>
      <w:r>
        <w:rPr>
          <w:rFonts w:ascii="宋体" w:hAnsi="宋体" w:eastAsia="宋体" w:cs="宋体"/>
          <w:spacing w:val="-3"/>
          <w:sz w:val="24"/>
          <w:szCs w:val="24"/>
        </w:rPr>
        <w:t>台移动式空压机，供隧洞开挖用风，供布置</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z w:val="24"/>
          <w:szCs w:val="24"/>
        </w:rPr>
        <w:t xml:space="preserve"> </w:t>
      </w:r>
      <w:r>
        <w:rPr>
          <w:rFonts w:ascii="宋体" w:hAnsi="宋体" w:eastAsia="宋体" w:cs="宋体"/>
          <w:spacing w:val="-10"/>
          <w:sz w:val="24"/>
          <w:szCs w:val="24"/>
        </w:rPr>
        <w:t>台移动式空压机；其余枢纽区设</w:t>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2</w:t>
      </w:r>
      <w:r>
        <w:rPr>
          <w:rFonts w:ascii="Times New Roman" w:hAnsi="Times New Roman" w:eastAsia="Times New Roman" w:cs="Times New Roman"/>
          <w:spacing w:val="28"/>
          <w:w w:val="101"/>
          <w:sz w:val="24"/>
          <w:szCs w:val="24"/>
        </w:rPr>
        <w:t xml:space="preserve"> </w:t>
      </w:r>
      <w:r>
        <w:rPr>
          <w:rFonts w:ascii="宋体" w:hAnsi="宋体" w:eastAsia="宋体" w:cs="宋体"/>
          <w:spacing w:val="-10"/>
          <w:sz w:val="24"/>
          <w:szCs w:val="24"/>
        </w:rPr>
        <w:t>台移动式空压机，供给溢洪道、坝基开挖；</w:t>
      </w:r>
      <w:r>
        <w:rPr>
          <w:rFonts w:ascii="宋体" w:hAnsi="宋体" w:eastAsia="宋体" w:cs="宋体"/>
          <w:spacing w:val="24"/>
          <w:sz w:val="24"/>
          <w:szCs w:val="24"/>
        </w:rPr>
        <w:t xml:space="preserve"> </w:t>
      </w:r>
      <w:r>
        <w:rPr>
          <w:rFonts w:ascii="宋体" w:hAnsi="宋体" w:eastAsia="宋体" w:cs="宋体"/>
          <w:spacing w:val="-10"/>
          <w:sz w:val="24"/>
          <w:szCs w:val="24"/>
        </w:rPr>
        <w:t>石料开采</w:t>
      </w:r>
    </w:p>
    <w:p>
      <w:pPr>
        <w:spacing w:before="1" w:line="218" w:lineRule="auto"/>
        <w:ind w:left="39"/>
        <w:rPr>
          <w:rFonts w:ascii="宋体" w:hAnsi="宋体" w:eastAsia="宋体" w:cs="宋体"/>
          <w:sz w:val="24"/>
          <w:szCs w:val="24"/>
        </w:rPr>
      </w:pPr>
      <w:r>
        <w:rPr>
          <w:rFonts w:ascii="宋体" w:hAnsi="宋体" w:eastAsia="宋体" w:cs="宋体"/>
          <w:spacing w:val="-4"/>
          <w:sz w:val="24"/>
          <w:szCs w:val="24"/>
        </w:rPr>
        <w:t>拟设</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29"/>
          <w:sz w:val="24"/>
          <w:szCs w:val="24"/>
        </w:rPr>
        <w:t xml:space="preserve"> </w:t>
      </w:r>
      <w:r>
        <w:rPr>
          <w:rFonts w:ascii="宋体" w:hAnsi="宋体" w:eastAsia="宋体" w:cs="宋体"/>
          <w:spacing w:val="-4"/>
          <w:sz w:val="24"/>
          <w:szCs w:val="24"/>
        </w:rPr>
        <w:t>台固定式空压机。</w:t>
      </w:r>
    </w:p>
    <w:p>
      <w:pPr>
        <w:spacing w:before="183" w:line="220" w:lineRule="auto"/>
        <w:ind w:left="52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）施工营地</w:t>
      </w:r>
    </w:p>
    <w:p>
      <w:pPr>
        <w:spacing w:before="179" w:line="360" w:lineRule="auto"/>
        <w:ind w:left="43" w:right="106" w:firstLine="475"/>
        <w:rPr>
          <w:rFonts w:ascii="宋体" w:hAnsi="宋体" w:eastAsia="宋体" w:cs="宋体"/>
          <w:sz w:val="24"/>
          <w:szCs w:val="24"/>
        </w:rPr>
      </w:pPr>
      <w:r>
        <w:rPr>
          <w:rFonts w:ascii="宋体" w:hAnsi="宋体" w:eastAsia="宋体" w:cs="宋体"/>
          <w:spacing w:val="-2"/>
          <w:sz w:val="24"/>
          <w:szCs w:val="24"/>
        </w:rPr>
        <w:t>枢纽施工区设置</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处生活区，供部分施工人员食宿。引水工程施工区设置</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处生</w:t>
      </w:r>
      <w:r>
        <w:rPr>
          <w:rFonts w:ascii="宋体" w:hAnsi="宋体" w:eastAsia="宋体" w:cs="宋体"/>
          <w:sz w:val="24"/>
          <w:szCs w:val="24"/>
        </w:rPr>
        <w:t xml:space="preserve"> </w:t>
      </w:r>
      <w:r>
        <w:rPr>
          <w:rFonts w:ascii="宋体" w:hAnsi="宋体" w:eastAsia="宋体" w:cs="宋体"/>
          <w:spacing w:val="-1"/>
          <w:sz w:val="24"/>
          <w:szCs w:val="24"/>
        </w:rPr>
        <w:t>活区，引洪工程施工区设置</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处施工生产区，输水工程施工区设置</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处施工生活区，</w:t>
      </w:r>
    </w:p>
    <w:p>
      <w:pPr>
        <w:spacing w:before="1" w:line="219" w:lineRule="auto"/>
        <w:ind w:left="40"/>
        <w:rPr>
          <w:rFonts w:ascii="宋体" w:hAnsi="宋体" w:eastAsia="宋体" w:cs="宋体"/>
          <w:sz w:val="24"/>
          <w:szCs w:val="24"/>
        </w:rPr>
      </w:pPr>
      <w:r>
        <w:rPr>
          <w:rFonts w:ascii="宋体" w:hAnsi="宋体" w:eastAsia="宋体" w:cs="宋体"/>
          <w:spacing w:val="-8"/>
          <w:sz w:val="24"/>
          <w:szCs w:val="24"/>
        </w:rPr>
        <w:t>均无食宿。</w:t>
      </w:r>
    </w:p>
    <w:p>
      <w:pPr>
        <w:spacing w:before="181" w:line="219" w:lineRule="auto"/>
        <w:ind w:left="52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6</w:t>
      </w:r>
      <w:r>
        <w:rPr>
          <w:rFonts w:ascii="宋体" w:hAnsi="宋体" w:eastAsia="宋体" w:cs="宋体"/>
          <w:spacing w:val="-3"/>
          <w:sz w:val="24"/>
          <w:szCs w:val="24"/>
        </w:rPr>
        <w:t>）施工供水</w:t>
      </w:r>
    </w:p>
    <w:p>
      <w:pPr>
        <w:spacing w:before="182" w:line="467" w:lineRule="exact"/>
        <w:ind w:left="522"/>
        <w:rPr>
          <w:rFonts w:ascii="宋体" w:hAnsi="宋体" w:eastAsia="宋体" w:cs="宋体"/>
          <w:sz w:val="24"/>
          <w:szCs w:val="24"/>
        </w:rPr>
      </w:pPr>
      <w:r>
        <w:rPr>
          <w:rFonts w:ascii="宋体" w:hAnsi="宋体" w:eastAsia="宋体" w:cs="宋体"/>
          <w:spacing w:val="-2"/>
          <w:position w:val="17"/>
          <w:sz w:val="24"/>
          <w:szCs w:val="24"/>
        </w:rPr>
        <w:t>大坝左岸设</w:t>
      </w:r>
      <w:r>
        <w:rPr>
          <w:rFonts w:ascii="宋体" w:hAnsi="宋体" w:eastAsia="宋体" w:cs="宋体"/>
          <w:spacing w:val="-48"/>
          <w:position w:val="17"/>
          <w:sz w:val="24"/>
          <w:szCs w:val="24"/>
        </w:rPr>
        <w:t xml:space="preserve"> </w:t>
      </w:r>
      <w:r>
        <w:rPr>
          <w:rFonts w:ascii="Times New Roman" w:hAnsi="Times New Roman" w:eastAsia="Times New Roman" w:cs="Times New Roman"/>
          <w:spacing w:val="-2"/>
          <w:position w:val="17"/>
          <w:sz w:val="24"/>
          <w:szCs w:val="24"/>
        </w:rPr>
        <w:t>50m</w:t>
      </w:r>
      <w:r>
        <w:rPr>
          <w:rFonts w:ascii="宋体" w:hAnsi="宋体" w:eastAsia="宋体" w:cs="宋体"/>
          <w:spacing w:val="-2"/>
          <w:position w:val="17"/>
          <w:sz w:val="24"/>
          <w:szCs w:val="24"/>
        </w:rPr>
        <w:t>³水池一座，高程为</w:t>
      </w:r>
      <w:r>
        <w:rPr>
          <w:rFonts w:ascii="宋体" w:hAnsi="宋体" w:eastAsia="宋体" w:cs="宋体"/>
          <w:spacing w:val="-55"/>
          <w:position w:val="17"/>
          <w:sz w:val="24"/>
          <w:szCs w:val="24"/>
        </w:rPr>
        <w:t xml:space="preserve"> </w:t>
      </w:r>
      <w:r>
        <w:rPr>
          <w:rFonts w:ascii="Times New Roman" w:hAnsi="Times New Roman" w:eastAsia="Times New Roman" w:cs="Times New Roman"/>
          <w:spacing w:val="-2"/>
          <w:position w:val="17"/>
          <w:sz w:val="24"/>
          <w:szCs w:val="24"/>
        </w:rPr>
        <w:t>2120m</w:t>
      </w:r>
      <w:r>
        <w:rPr>
          <w:rFonts w:ascii="宋体" w:hAnsi="宋体" w:eastAsia="宋体" w:cs="宋体"/>
          <w:spacing w:val="-2"/>
          <w:position w:val="17"/>
          <w:sz w:val="24"/>
          <w:szCs w:val="24"/>
        </w:rPr>
        <w:t xml:space="preserve">，右岸设 </w:t>
      </w:r>
      <w:r>
        <w:rPr>
          <w:rFonts w:ascii="Times New Roman" w:hAnsi="Times New Roman" w:eastAsia="Times New Roman" w:cs="Times New Roman"/>
          <w:spacing w:val="-2"/>
          <w:position w:val="17"/>
          <w:sz w:val="24"/>
          <w:szCs w:val="24"/>
        </w:rPr>
        <w:t>100m</w:t>
      </w:r>
      <w:r>
        <w:rPr>
          <w:rFonts w:ascii="宋体" w:hAnsi="宋体" w:eastAsia="宋体" w:cs="宋体"/>
          <w:spacing w:val="-3"/>
          <w:position w:val="17"/>
          <w:sz w:val="24"/>
          <w:szCs w:val="24"/>
        </w:rPr>
        <w:t>³水池一座，高程为</w:t>
      </w:r>
    </w:p>
    <w:p>
      <w:pPr>
        <w:spacing w:before="1" w:line="219" w:lineRule="auto"/>
        <w:ind w:left="35"/>
        <w:rPr>
          <w:rFonts w:ascii="宋体" w:hAnsi="宋体" w:eastAsia="宋体" w:cs="宋体"/>
          <w:sz w:val="24"/>
          <w:szCs w:val="24"/>
        </w:rPr>
      </w:pPr>
      <w:r>
        <w:rPr>
          <w:rFonts w:ascii="Times New Roman" w:hAnsi="Times New Roman" w:eastAsia="Times New Roman" w:cs="Times New Roman"/>
          <w:spacing w:val="-2"/>
          <w:sz w:val="24"/>
          <w:szCs w:val="24"/>
        </w:rPr>
        <w:t>2110m</w:t>
      </w:r>
      <w:r>
        <w:rPr>
          <w:rFonts w:ascii="宋体" w:hAnsi="宋体" w:eastAsia="宋体" w:cs="宋体"/>
          <w:spacing w:val="-2"/>
          <w:sz w:val="24"/>
          <w:szCs w:val="24"/>
        </w:rPr>
        <w:t>，水源为桂花河。</w:t>
      </w:r>
    </w:p>
    <w:p>
      <w:pPr>
        <w:spacing w:before="181" w:line="219" w:lineRule="auto"/>
        <w:ind w:left="518"/>
        <w:rPr>
          <w:rFonts w:ascii="宋体" w:hAnsi="宋体" w:eastAsia="宋体" w:cs="宋体"/>
          <w:sz w:val="24"/>
          <w:szCs w:val="24"/>
        </w:rPr>
      </w:pPr>
      <w:r>
        <w:rPr>
          <w:rFonts w:ascii="宋体" w:hAnsi="宋体" w:eastAsia="宋体" w:cs="宋体"/>
          <w:spacing w:val="-2"/>
          <w:sz w:val="24"/>
          <w:szCs w:val="24"/>
        </w:rPr>
        <w:t>砂石加工系统附近设</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200m</w:t>
      </w:r>
      <w:r>
        <w:rPr>
          <w:rFonts w:ascii="宋体" w:hAnsi="宋体" w:eastAsia="宋体" w:cs="宋体"/>
          <w:spacing w:val="-2"/>
          <w:sz w:val="24"/>
          <w:szCs w:val="24"/>
        </w:rPr>
        <w:t>³水池一座，高程</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1970m</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，水源为桂花河。</w:t>
      </w:r>
    </w:p>
    <w:p>
      <w:pPr>
        <w:spacing w:before="182" w:line="219" w:lineRule="auto"/>
        <w:ind w:left="537"/>
        <w:rPr>
          <w:rFonts w:ascii="宋体" w:hAnsi="宋体" w:eastAsia="宋体" w:cs="宋体"/>
          <w:sz w:val="24"/>
          <w:szCs w:val="24"/>
        </w:rPr>
      </w:pPr>
      <w:r>
        <w:rPr>
          <w:rFonts w:ascii="宋体" w:hAnsi="宋体" w:eastAsia="宋体" w:cs="宋体"/>
          <w:spacing w:val="-7"/>
          <w:sz w:val="24"/>
          <w:szCs w:val="24"/>
        </w:rPr>
        <w:t>引水工程用水直接从罗子左河取水。</w:t>
      </w:r>
      <w:r>
        <w:rPr>
          <w:rFonts w:ascii="宋体" w:hAnsi="宋体" w:eastAsia="宋体" w:cs="宋体"/>
          <w:spacing w:val="55"/>
          <w:sz w:val="24"/>
          <w:szCs w:val="24"/>
        </w:rPr>
        <w:t xml:space="preserve"> </w:t>
      </w:r>
      <w:r>
        <w:rPr>
          <w:rFonts w:ascii="宋体" w:hAnsi="宋体" w:eastAsia="宋体" w:cs="宋体"/>
          <w:spacing w:val="-7"/>
          <w:sz w:val="24"/>
          <w:szCs w:val="24"/>
        </w:rPr>
        <w:t>渠道沿线采用水车运输供给。</w:t>
      </w:r>
    </w:p>
    <w:p>
      <w:pPr>
        <w:spacing w:before="183" w:line="466" w:lineRule="exact"/>
        <w:ind w:left="537"/>
        <w:rPr>
          <w:rFonts w:ascii="宋体" w:hAnsi="宋体" w:eastAsia="宋体" w:cs="宋体"/>
          <w:sz w:val="24"/>
          <w:szCs w:val="24"/>
        </w:rPr>
      </w:pPr>
      <w:r>
        <w:rPr>
          <w:rFonts w:ascii="宋体" w:hAnsi="宋体" w:eastAsia="宋体" w:cs="宋体"/>
          <w:spacing w:val="-1"/>
          <w:position w:val="17"/>
          <w:sz w:val="24"/>
          <w:szCs w:val="24"/>
        </w:rPr>
        <w:t>引洪工程取水坝施工用水采用水泵抽取箐沟水流满足工程使用，渠道沿线采用水</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车运输供给。</w:t>
      </w:r>
    </w:p>
    <w:p>
      <w:pPr>
        <w:spacing w:before="182" w:line="220" w:lineRule="auto"/>
        <w:ind w:left="518"/>
        <w:rPr>
          <w:rFonts w:ascii="宋体" w:hAnsi="宋体" w:eastAsia="宋体" w:cs="宋体"/>
          <w:sz w:val="24"/>
          <w:szCs w:val="24"/>
        </w:rPr>
      </w:pPr>
      <w:r>
        <w:rPr>
          <w:rFonts w:ascii="宋体" w:hAnsi="宋体" w:eastAsia="宋体" w:cs="宋体"/>
          <w:spacing w:val="-1"/>
          <w:sz w:val="24"/>
          <w:szCs w:val="24"/>
        </w:rPr>
        <w:t>输水工程施工用水利用沿途水源点就近解决。</w:t>
      </w:r>
    </w:p>
    <w:p>
      <w:pPr>
        <w:spacing w:before="181" w:line="221" w:lineRule="auto"/>
        <w:ind w:left="52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）施工交通</w:t>
      </w:r>
    </w:p>
    <w:p>
      <w:pPr>
        <w:spacing w:before="181" w:line="217" w:lineRule="auto"/>
        <w:ind w:left="518"/>
        <w:rPr>
          <w:rFonts w:ascii="宋体" w:hAnsi="宋体" w:eastAsia="宋体" w:cs="宋体"/>
          <w:sz w:val="24"/>
          <w:szCs w:val="24"/>
        </w:rPr>
      </w:pPr>
      <w:r>
        <w:rPr>
          <w:rFonts w:ascii="宋体" w:hAnsi="宋体" w:eastAsia="宋体" w:cs="宋体"/>
          <w:spacing w:val="-2"/>
          <w:sz w:val="24"/>
          <w:szCs w:val="24"/>
        </w:rPr>
        <w:t>①对外交通</w:t>
      </w:r>
    </w:p>
    <w:p>
      <w:pPr>
        <w:spacing w:before="184" w:line="467" w:lineRule="exact"/>
        <w:ind w:left="521"/>
        <w:rPr>
          <w:rFonts w:ascii="宋体" w:hAnsi="宋体" w:eastAsia="宋体" w:cs="宋体"/>
          <w:sz w:val="24"/>
          <w:szCs w:val="24"/>
        </w:rPr>
      </w:pPr>
      <w:r>
        <w:rPr>
          <w:rFonts w:ascii="宋体" w:hAnsi="宋体" w:eastAsia="宋体" w:cs="宋体"/>
          <w:position w:val="17"/>
          <w:sz w:val="24"/>
          <w:szCs w:val="24"/>
        </w:rPr>
        <w:t>桂花水库现有大姚县城至桂花镇公路（四级公路）</w:t>
      </w:r>
      <w:r>
        <w:rPr>
          <w:rFonts w:ascii="宋体" w:hAnsi="宋体" w:eastAsia="宋体" w:cs="宋体"/>
          <w:spacing w:val="-1"/>
          <w:position w:val="17"/>
          <w:sz w:val="24"/>
          <w:szCs w:val="24"/>
        </w:rPr>
        <w:t>经过库区，道路满足施工需</w:t>
      </w:r>
    </w:p>
    <w:p>
      <w:pPr>
        <w:spacing w:line="222" w:lineRule="auto"/>
        <w:ind w:left="40"/>
        <w:rPr>
          <w:rFonts w:ascii="宋体" w:hAnsi="宋体" w:eastAsia="宋体" w:cs="宋体"/>
          <w:sz w:val="24"/>
          <w:szCs w:val="24"/>
        </w:rPr>
      </w:pPr>
      <w:r>
        <w:rPr>
          <w:rFonts w:ascii="宋体" w:hAnsi="宋体" w:eastAsia="宋体" w:cs="宋体"/>
          <w:spacing w:val="-6"/>
          <w:sz w:val="24"/>
          <w:szCs w:val="24"/>
        </w:rPr>
        <w:t>要。</w:t>
      </w:r>
    </w:p>
    <w:p>
      <w:pPr>
        <w:spacing w:before="179" w:line="217" w:lineRule="auto"/>
        <w:ind w:left="517"/>
        <w:rPr>
          <w:rFonts w:ascii="宋体" w:hAnsi="宋体" w:eastAsia="宋体" w:cs="宋体"/>
          <w:sz w:val="24"/>
          <w:szCs w:val="24"/>
        </w:rPr>
      </w:pPr>
      <w:r>
        <w:rPr>
          <w:rFonts w:ascii="宋体" w:hAnsi="宋体" w:eastAsia="宋体" w:cs="宋体"/>
          <w:spacing w:val="-2"/>
          <w:sz w:val="24"/>
          <w:szCs w:val="24"/>
        </w:rPr>
        <w:t>②场内交通</w:t>
      </w:r>
    </w:p>
    <w:p>
      <w:pPr>
        <w:spacing w:before="183" w:line="220" w:lineRule="auto"/>
        <w:ind w:left="518"/>
        <w:rPr>
          <w:rFonts w:ascii="宋体" w:hAnsi="宋体" w:eastAsia="宋体" w:cs="宋体"/>
          <w:sz w:val="24"/>
          <w:szCs w:val="24"/>
        </w:rPr>
      </w:pPr>
      <w:r>
        <w:rPr>
          <w:rFonts w:ascii="宋体" w:hAnsi="宋体" w:eastAsia="宋体" w:cs="宋体"/>
          <w:spacing w:val="-2"/>
          <w:sz w:val="24"/>
          <w:szCs w:val="24"/>
        </w:rPr>
        <w:t>枢纽工程施工需要，需新修临时道路</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10.55km</w:t>
      </w:r>
      <w:r>
        <w:rPr>
          <w:rFonts w:ascii="宋体" w:hAnsi="宋体" w:eastAsia="宋体" w:cs="宋体"/>
          <w:spacing w:val="-2"/>
          <w:sz w:val="24"/>
          <w:szCs w:val="24"/>
        </w:rPr>
        <w:t>，扩修现状道路</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1.5km</w:t>
      </w:r>
      <w:r>
        <w:rPr>
          <w:rFonts w:ascii="宋体" w:hAnsi="宋体" w:eastAsia="宋体" w:cs="宋体"/>
          <w:spacing w:val="-2"/>
          <w:sz w:val="24"/>
          <w:szCs w:val="24"/>
        </w:rPr>
        <w:t>，临时</w:t>
      </w:r>
      <w:r>
        <w:rPr>
          <w:rFonts w:ascii="宋体" w:hAnsi="宋体" w:eastAsia="宋体" w:cs="宋体"/>
          <w:spacing w:val="-3"/>
          <w:sz w:val="24"/>
          <w:szCs w:val="24"/>
        </w:rPr>
        <w:t>道路</w:t>
      </w:r>
    </w:p>
    <w:p>
      <w:pPr>
        <w:spacing w:line="220" w:lineRule="auto"/>
        <w:rPr>
          <w:rFonts w:ascii="宋体" w:hAnsi="宋体" w:eastAsia="宋体" w:cs="宋体"/>
          <w:sz w:val="24"/>
          <w:szCs w:val="24"/>
        </w:rPr>
        <w:sectPr>
          <w:headerReference r:id="rId102" w:type="default"/>
          <w:footerReference r:id="rId103" w:type="default"/>
          <w:pgSz w:w="11907" w:h="16839"/>
          <w:pgMar w:top="1298" w:right="1387" w:bottom="1374" w:left="1501" w:header="1023" w:footer="1210" w:gutter="0"/>
        </w:sectPr>
      </w:pPr>
    </w:p>
    <w:p>
      <w:pPr>
        <w:spacing w:before="155" w:line="219" w:lineRule="auto"/>
        <w:ind w:left="41"/>
        <w:rPr>
          <w:rFonts w:ascii="宋体" w:hAnsi="宋体" w:eastAsia="宋体" w:cs="宋体"/>
          <w:sz w:val="24"/>
          <w:szCs w:val="24"/>
        </w:rPr>
      </w:pPr>
      <w:r>
        <w:rPr>
          <w:rFonts w:ascii="宋体" w:hAnsi="宋体" w:eastAsia="宋体" w:cs="宋体"/>
          <w:spacing w:val="-1"/>
          <w:sz w:val="24"/>
          <w:szCs w:val="24"/>
        </w:rPr>
        <w:t>路面采用土路面。为便于水库后期运行管理，需新建永久道路</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0.3km</w:t>
      </w:r>
      <w:r>
        <w:rPr>
          <w:rFonts w:ascii="宋体" w:hAnsi="宋体" w:eastAsia="宋体" w:cs="宋体"/>
          <w:spacing w:val="-1"/>
          <w:sz w:val="24"/>
          <w:szCs w:val="24"/>
        </w:rPr>
        <w:t>，</w:t>
      </w:r>
      <w:r>
        <w:rPr>
          <w:rFonts w:ascii="宋体" w:hAnsi="宋体" w:eastAsia="宋体" w:cs="宋体"/>
          <w:spacing w:val="-2"/>
          <w:sz w:val="24"/>
          <w:szCs w:val="24"/>
        </w:rPr>
        <w:t>路基宽</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6.0m</w:t>
      </w:r>
      <w:r>
        <w:rPr>
          <w:rFonts w:ascii="宋体" w:hAnsi="宋体" w:eastAsia="宋体" w:cs="宋体"/>
          <w:spacing w:val="-2"/>
          <w:sz w:val="24"/>
          <w:szCs w:val="24"/>
        </w:rPr>
        <w:t>，</w:t>
      </w:r>
    </w:p>
    <w:p>
      <w:pPr>
        <w:spacing w:before="183" w:line="359" w:lineRule="auto"/>
        <w:ind w:left="39" w:right="41" w:firstLine="1"/>
        <w:rPr>
          <w:rFonts w:ascii="宋体" w:hAnsi="宋体" w:eastAsia="宋体" w:cs="宋体"/>
          <w:sz w:val="24"/>
          <w:szCs w:val="24"/>
        </w:rPr>
      </w:pPr>
      <w:r>
        <w:rPr>
          <w:rFonts w:ascii="宋体" w:hAnsi="宋体" w:eastAsia="宋体" w:cs="宋体"/>
          <w:spacing w:val="-2"/>
          <w:sz w:val="24"/>
          <w:szCs w:val="24"/>
        </w:rPr>
        <w:t>路面宽</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4.5m</w:t>
      </w:r>
      <w:r>
        <w:rPr>
          <w:rFonts w:ascii="宋体" w:hAnsi="宋体" w:eastAsia="宋体" w:cs="宋体"/>
          <w:spacing w:val="-2"/>
          <w:sz w:val="24"/>
          <w:szCs w:val="24"/>
        </w:rPr>
        <w:t>，混凝土路面，其中现状瓦拉公路接至坝顶及输水隧洞启闭平台</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80m</w:t>
      </w:r>
      <w:r>
        <w:rPr>
          <w:rFonts w:ascii="宋体" w:hAnsi="宋体" w:eastAsia="宋体" w:cs="宋体"/>
          <w:spacing w:val="-2"/>
          <w:sz w:val="24"/>
          <w:szCs w:val="24"/>
        </w:rPr>
        <w:t>，现</w:t>
      </w:r>
      <w:r>
        <w:rPr>
          <w:rFonts w:ascii="宋体" w:hAnsi="宋体" w:eastAsia="宋体" w:cs="宋体"/>
          <w:sz w:val="24"/>
          <w:szCs w:val="24"/>
        </w:rPr>
        <w:t xml:space="preserve"> </w:t>
      </w:r>
      <w:r>
        <w:rPr>
          <w:rFonts w:ascii="宋体" w:hAnsi="宋体" w:eastAsia="宋体" w:cs="宋体"/>
          <w:spacing w:val="-2"/>
          <w:sz w:val="24"/>
          <w:szCs w:val="24"/>
        </w:rPr>
        <w:t>状瓦拉公路接至下游启闭室</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150m</w:t>
      </w:r>
      <w:r>
        <w:rPr>
          <w:rFonts w:ascii="宋体" w:hAnsi="宋体" w:eastAsia="宋体" w:cs="宋体"/>
          <w:spacing w:val="-2"/>
          <w:sz w:val="24"/>
          <w:szCs w:val="24"/>
        </w:rPr>
        <w:t>，现状瓦拉公路接至工程管</w:t>
      </w:r>
      <w:r>
        <w:rPr>
          <w:rFonts w:ascii="宋体" w:hAnsi="宋体" w:eastAsia="宋体" w:cs="宋体"/>
          <w:spacing w:val="-3"/>
          <w:sz w:val="24"/>
          <w:szCs w:val="24"/>
        </w:rPr>
        <w:t>理局</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70m</w:t>
      </w:r>
      <w:r>
        <w:rPr>
          <w:rFonts w:ascii="宋体" w:hAnsi="宋体" w:eastAsia="宋体" w:cs="宋体"/>
          <w:spacing w:val="-3"/>
          <w:sz w:val="24"/>
          <w:szCs w:val="24"/>
        </w:rPr>
        <w:t xml:space="preserve">。其次水库淹  </w:t>
      </w:r>
      <w:r>
        <w:rPr>
          <w:rFonts w:ascii="宋体" w:hAnsi="宋体" w:eastAsia="宋体" w:cs="宋体"/>
          <w:sz w:val="24"/>
          <w:szCs w:val="24"/>
        </w:rPr>
        <w:t>没线以上至皮左黑村道路由于施工期运输强度增加，部分路面</w:t>
      </w:r>
      <w:r>
        <w:rPr>
          <w:rFonts w:ascii="宋体" w:hAnsi="宋体" w:eastAsia="宋体" w:cs="宋体"/>
          <w:spacing w:val="-1"/>
          <w:sz w:val="24"/>
          <w:szCs w:val="24"/>
        </w:rPr>
        <w:t>会损坏，施工完毕后需</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对皮左黑村进村道路重新进行恢复硬化，硬化长度为</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2.0km</w:t>
      </w:r>
      <w:r>
        <w:rPr>
          <w:rFonts w:ascii="宋体" w:hAnsi="宋体" w:eastAsia="宋体" w:cs="宋体"/>
          <w:spacing w:val="-1"/>
          <w:sz w:val="24"/>
          <w:szCs w:val="24"/>
        </w:rPr>
        <w:t>。</w:t>
      </w:r>
    </w:p>
    <w:p>
      <w:pPr>
        <w:spacing w:before="182" w:line="467" w:lineRule="exact"/>
        <w:ind w:left="537"/>
        <w:rPr>
          <w:rFonts w:ascii="宋体" w:hAnsi="宋体" w:eastAsia="宋体" w:cs="宋体"/>
          <w:sz w:val="24"/>
          <w:szCs w:val="24"/>
        </w:rPr>
      </w:pPr>
      <w:r>
        <w:rPr>
          <w:rFonts w:ascii="宋体" w:hAnsi="宋体" w:eastAsia="宋体" w:cs="宋体"/>
          <w:spacing w:val="-1"/>
          <w:position w:val="17"/>
          <w:sz w:val="24"/>
          <w:szCs w:val="24"/>
        </w:rPr>
        <w:t>引洪工程均布置在在输水沿线的利用输水工程临时道路满足施工，引水工程罗子</w:t>
      </w:r>
    </w:p>
    <w:p>
      <w:pPr>
        <w:spacing w:before="1" w:line="218" w:lineRule="auto"/>
        <w:ind w:left="41"/>
        <w:rPr>
          <w:rFonts w:ascii="宋体" w:hAnsi="宋体" w:eastAsia="宋体" w:cs="宋体"/>
          <w:sz w:val="24"/>
          <w:szCs w:val="24"/>
        </w:rPr>
      </w:pPr>
      <w:r>
        <w:rPr>
          <w:rFonts w:ascii="宋体" w:hAnsi="宋体" w:eastAsia="宋体" w:cs="宋体"/>
          <w:spacing w:val="-1"/>
          <w:sz w:val="24"/>
          <w:szCs w:val="24"/>
        </w:rPr>
        <w:t>左河为满足罗子左河施工，需新修临时道路</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
          <w:sz w:val="24"/>
          <w:szCs w:val="24"/>
        </w:rPr>
        <w:t>3km</w:t>
      </w:r>
      <w:r>
        <w:rPr>
          <w:rFonts w:ascii="宋体" w:hAnsi="宋体" w:eastAsia="宋体" w:cs="宋体"/>
          <w:spacing w:val="-2"/>
          <w:sz w:val="24"/>
          <w:szCs w:val="24"/>
        </w:rPr>
        <w:t>，临时道路路面采用土路面。</w:t>
      </w:r>
    </w:p>
    <w:p>
      <w:pPr>
        <w:spacing w:before="182" w:line="467" w:lineRule="exact"/>
        <w:ind w:left="518"/>
        <w:rPr>
          <w:rFonts w:ascii="宋体" w:hAnsi="宋体" w:eastAsia="宋体" w:cs="宋体"/>
          <w:sz w:val="24"/>
          <w:szCs w:val="24"/>
        </w:rPr>
      </w:pPr>
      <w:r>
        <w:rPr>
          <w:rFonts w:ascii="宋体" w:hAnsi="宋体" w:eastAsia="宋体" w:cs="宋体"/>
          <w:spacing w:val="-2"/>
          <w:position w:val="17"/>
          <w:sz w:val="24"/>
          <w:szCs w:val="24"/>
        </w:rPr>
        <w:t>输水工程需新修临时施工道路</w:t>
      </w:r>
      <w:r>
        <w:rPr>
          <w:rFonts w:ascii="宋体" w:hAnsi="宋体" w:eastAsia="宋体" w:cs="宋体"/>
          <w:spacing w:val="-32"/>
          <w:position w:val="17"/>
          <w:sz w:val="24"/>
          <w:szCs w:val="24"/>
        </w:rPr>
        <w:t xml:space="preserve"> </w:t>
      </w:r>
      <w:r>
        <w:rPr>
          <w:rFonts w:ascii="Times New Roman" w:hAnsi="Times New Roman" w:eastAsia="Times New Roman" w:cs="Times New Roman"/>
          <w:spacing w:val="-2"/>
          <w:position w:val="17"/>
          <w:sz w:val="24"/>
          <w:szCs w:val="24"/>
        </w:rPr>
        <w:t>17.6km</w:t>
      </w:r>
      <w:r>
        <w:rPr>
          <w:rFonts w:ascii="宋体" w:hAnsi="宋体" w:eastAsia="宋体" w:cs="宋体"/>
          <w:spacing w:val="-2"/>
          <w:position w:val="17"/>
          <w:sz w:val="24"/>
          <w:szCs w:val="24"/>
        </w:rPr>
        <w:t>，扩修</w:t>
      </w:r>
      <w:r>
        <w:rPr>
          <w:rFonts w:ascii="宋体" w:hAnsi="宋体" w:eastAsia="宋体" w:cs="宋体"/>
          <w:spacing w:val="-23"/>
          <w:position w:val="17"/>
          <w:sz w:val="24"/>
          <w:szCs w:val="24"/>
        </w:rPr>
        <w:t xml:space="preserve"> </w:t>
      </w:r>
      <w:r>
        <w:rPr>
          <w:rFonts w:ascii="Times New Roman" w:hAnsi="Times New Roman" w:eastAsia="Times New Roman" w:cs="Times New Roman"/>
          <w:spacing w:val="-2"/>
          <w:position w:val="17"/>
          <w:sz w:val="24"/>
          <w:szCs w:val="24"/>
        </w:rPr>
        <w:t>1.1</w:t>
      </w:r>
      <w:r>
        <w:rPr>
          <w:rFonts w:ascii="Times New Roman" w:hAnsi="Times New Roman" w:eastAsia="Times New Roman" w:cs="Times New Roman"/>
          <w:spacing w:val="-3"/>
          <w:position w:val="17"/>
          <w:sz w:val="24"/>
          <w:szCs w:val="24"/>
        </w:rPr>
        <w:t>km</w:t>
      </w:r>
      <w:r>
        <w:rPr>
          <w:rFonts w:ascii="宋体" w:hAnsi="宋体" w:eastAsia="宋体" w:cs="宋体"/>
          <w:spacing w:val="-3"/>
          <w:position w:val="17"/>
          <w:sz w:val="24"/>
          <w:szCs w:val="24"/>
        </w:rPr>
        <w:t>，新建永久道路</w:t>
      </w:r>
      <w:r>
        <w:rPr>
          <w:rFonts w:ascii="宋体" w:hAnsi="宋体" w:eastAsia="宋体" w:cs="宋体"/>
          <w:spacing w:val="-41"/>
          <w:position w:val="17"/>
          <w:sz w:val="24"/>
          <w:szCs w:val="24"/>
        </w:rPr>
        <w:t xml:space="preserve"> </w:t>
      </w:r>
      <w:r>
        <w:rPr>
          <w:rFonts w:ascii="Times New Roman" w:hAnsi="Times New Roman" w:eastAsia="Times New Roman" w:cs="Times New Roman"/>
          <w:spacing w:val="-3"/>
          <w:position w:val="17"/>
          <w:sz w:val="24"/>
          <w:szCs w:val="24"/>
        </w:rPr>
        <w:t>0.8km</w:t>
      </w:r>
      <w:r>
        <w:rPr>
          <w:rFonts w:ascii="宋体" w:hAnsi="宋体" w:eastAsia="宋体" w:cs="宋体"/>
          <w:spacing w:val="-3"/>
          <w:position w:val="17"/>
          <w:sz w:val="24"/>
          <w:szCs w:val="24"/>
        </w:rPr>
        <w:t>，临时</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道路路面采用土路面。永久道路采用混凝土路面。</w:t>
      </w:r>
    </w:p>
    <w:p>
      <w:pPr>
        <w:spacing w:line="352" w:lineRule="auto"/>
        <w:rPr>
          <w:rFonts w:ascii="Arial"/>
          <w:sz w:val="21"/>
        </w:rPr>
      </w:pPr>
    </w:p>
    <w:p>
      <w:pPr>
        <w:pStyle w:val="2"/>
        <w:spacing w:before="88" w:line="239" w:lineRule="auto"/>
        <w:ind w:left="36"/>
        <w:outlineLvl w:val="1"/>
        <w:rPr>
          <w:sz w:val="27"/>
          <w:szCs w:val="27"/>
        </w:rPr>
      </w:pPr>
      <w:r>
        <w:rPr>
          <w:rFonts w:ascii="Times New Roman" w:hAnsi="Times New Roman" w:eastAsia="Times New Roman" w:cs="Times New Roman"/>
          <w:b/>
          <w:bCs/>
          <w:spacing w:val="7"/>
          <w:sz w:val="27"/>
          <w:szCs w:val="27"/>
        </w:rPr>
        <w:t xml:space="preserve">2.3.4 </w:t>
      </w:r>
      <w:r>
        <w:rPr>
          <w:spacing w:val="7"/>
          <w:sz w:val="27"/>
          <w:szCs w:val="27"/>
          <w14:textOutline w14:w="5072" w14:cap="flat" w14:cmpd="sng">
            <w14:solidFill>
              <w14:srgbClr w14:val="000000"/>
            </w14:solidFill>
            <w14:prstDash w14:val="solid"/>
            <w14:miter w14:val="0"/>
          </w14:textOutline>
        </w:rPr>
        <w:t>土石方平衡及流向</w:t>
      </w:r>
    </w:p>
    <w:p>
      <w:pPr>
        <w:spacing w:before="151" w:line="359" w:lineRule="auto"/>
        <w:ind w:left="40" w:right="30" w:firstLine="479"/>
        <w:jc w:val="both"/>
        <w:rPr>
          <w:rFonts w:ascii="宋体" w:hAnsi="宋体" w:eastAsia="宋体" w:cs="宋体"/>
          <w:sz w:val="24"/>
          <w:szCs w:val="24"/>
        </w:rPr>
      </w:pPr>
      <w:r>
        <w:rPr>
          <w:rFonts w:ascii="宋体" w:hAnsi="宋体" w:eastAsia="宋体" w:cs="宋体"/>
          <w:spacing w:val="-5"/>
          <w:sz w:val="24"/>
          <w:szCs w:val="24"/>
        </w:rPr>
        <w:t>根据《大姚县桂花水库工程水土保持方案可行性研究报告书》，施工期间共开挖土</w:t>
      </w:r>
      <w:r>
        <w:rPr>
          <w:rFonts w:ascii="宋体" w:hAnsi="宋体" w:eastAsia="宋体" w:cs="宋体"/>
          <w:spacing w:val="7"/>
          <w:sz w:val="24"/>
          <w:szCs w:val="24"/>
        </w:rPr>
        <w:t xml:space="preserve"> </w:t>
      </w:r>
      <w:r>
        <w:rPr>
          <w:rFonts w:ascii="宋体" w:hAnsi="宋体" w:eastAsia="宋体" w:cs="宋体"/>
          <w:spacing w:val="-3"/>
          <w:sz w:val="24"/>
          <w:szCs w:val="24"/>
        </w:rPr>
        <w:t xml:space="preserve">石方 </w:t>
      </w:r>
      <w:r>
        <w:rPr>
          <w:rFonts w:ascii="Times New Roman" w:hAnsi="Times New Roman" w:eastAsia="Times New Roman" w:cs="Times New Roman"/>
          <w:spacing w:val="-3"/>
          <w:sz w:val="24"/>
          <w:szCs w:val="24"/>
        </w:rPr>
        <w:t>164.27</w:t>
      </w:r>
      <w:r>
        <w:rPr>
          <w:rFonts w:ascii="Times New Roman" w:hAnsi="Times New Roman" w:eastAsia="Times New Roman" w:cs="Times New Roman"/>
          <w:spacing w:val="45"/>
          <w:w w:val="101"/>
          <w:sz w:val="24"/>
          <w:szCs w:val="24"/>
        </w:rPr>
        <w:t xml:space="preserve"> </w:t>
      </w:r>
      <w:r>
        <w:rPr>
          <w:rFonts w:ascii="宋体" w:hAnsi="宋体" w:eastAsia="宋体" w:cs="宋体"/>
          <w:spacing w:val="-3"/>
          <w:sz w:val="24"/>
          <w:szCs w:val="24"/>
        </w:rPr>
        <w:t>万</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 xml:space="preserve">（含表土剥离 </w:t>
      </w:r>
      <w:r>
        <w:rPr>
          <w:rFonts w:ascii="Times New Roman" w:hAnsi="Times New Roman" w:eastAsia="Times New Roman" w:cs="Times New Roman"/>
          <w:spacing w:val="-3"/>
          <w:sz w:val="24"/>
          <w:szCs w:val="24"/>
        </w:rPr>
        <w:t>11.55</w:t>
      </w:r>
      <w:r>
        <w:rPr>
          <w:rFonts w:ascii="Times New Roman" w:hAnsi="Times New Roman" w:eastAsia="Times New Roman" w:cs="Times New Roman"/>
          <w:spacing w:val="42"/>
          <w:sz w:val="24"/>
          <w:szCs w:val="24"/>
        </w:rPr>
        <w:t xml:space="preserve"> </w:t>
      </w:r>
      <w:r>
        <w:rPr>
          <w:rFonts w:ascii="宋体" w:hAnsi="宋体" w:eastAsia="宋体" w:cs="宋体"/>
          <w:spacing w:val="-3"/>
          <w:sz w:val="24"/>
          <w:szCs w:val="24"/>
        </w:rPr>
        <w:t>万</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4"/>
          <w:position w:val="8"/>
          <w:sz w:val="15"/>
          <w:szCs w:val="15"/>
        </w:rPr>
        <w:t>3</w:t>
      </w:r>
      <w:r>
        <w:rPr>
          <w:rFonts w:ascii="宋体" w:hAnsi="宋体" w:eastAsia="宋体" w:cs="宋体"/>
          <w:spacing w:val="-62"/>
          <w:w w:val="96"/>
          <w:sz w:val="24"/>
          <w:szCs w:val="24"/>
        </w:rPr>
        <w:t>）；</w:t>
      </w:r>
      <w:r>
        <w:rPr>
          <w:rFonts w:ascii="宋体" w:hAnsi="宋体" w:eastAsia="宋体" w:cs="宋体"/>
          <w:spacing w:val="-4"/>
          <w:sz w:val="24"/>
          <w:szCs w:val="24"/>
        </w:rPr>
        <w:t xml:space="preserve">回填土石方 </w:t>
      </w:r>
      <w:r>
        <w:rPr>
          <w:rFonts w:ascii="Times New Roman" w:hAnsi="Times New Roman" w:eastAsia="Times New Roman" w:cs="Times New Roman"/>
          <w:spacing w:val="-4"/>
          <w:sz w:val="24"/>
          <w:szCs w:val="24"/>
        </w:rPr>
        <w:t>12.95</w:t>
      </w:r>
      <w:r>
        <w:rPr>
          <w:rFonts w:ascii="Times New Roman" w:hAnsi="Times New Roman" w:eastAsia="Times New Roman" w:cs="Times New Roman"/>
          <w:spacing w:val="43"/>
          <w:w w:val="101"/>
          <w:sz w:val="24"/>
          <w:szCs w:val="24"/>
        </w:rPr>
        <w:t xml:space="preserve"> </w:t>
      </w:r>
      <w:r>
        <w:rPr>
          <w:rFonts w:ascii="宋体" w:hAnsi="宋体" w:eastAsia="宋体" w:cs="宋体"/>
          <w:spacing w:val="-4"/>
          <w:sz w:val="24"/>
          <w:szCs w:val="24"/>
        </w:rPr>
        <w:t>万</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2"/>
          <w:position w:val="8"/>
          <w:sz w:val="15"/>
          <w:szCs w:val="15"/>
        </w:rPr>
        <w:t xml:space="preserve"> </w:t>
      </w:r>
      <w:r>
        <w:rPr>
          <w:rFonts w:ascii="宋体" w:hAnsi="宋体" w:eastAsia="宋体" w:cs="宋体"/>
          <w:spacing w:val="-4"/>
          <w:sz w:val="24"/>
          <w:szCs w:val="24"/>
        </w:rPr>
        <w:t>，利用土石方</w:t>
      </w:r>
    </w:p>
    <w:p>
      <w:pPr>
        <w:spacing w:line="233" w:lineRule="auto"/>
        <w:ind w:left="41"/>
        <w:rPr>
          <w:rFonts w:ascii="宋体" w:hAnsi="宋体" w:eastAsia="宋体" w:cs="宋体"/>
          <w:sz w:val="24"/>
          <w:szCs w:val="24"/>
        </w:rPr>
      </w:pPr>
      <w:r>
        <w:rPr>
          <w:rFonts w:ascii="Times New Roman" w:hAnsi="Times New Roman" w:eastAsia="Times New Roman" w:cs="Times New Roman"/>
          <w:spacing w:val="-3"/>
          <w:sz w:val="24"/>
          <w:szCs w:val="24"/>
        </w:rPr>
        <w:t>56.20</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7"/>
          <w:position w:val="8"/>
          <w:sz w:val="15"/>
          <w:szCs w:val="15"/>
        </w:rPr>
        <w:t xml:space="preserve">   </w:t>
      </w:r>
      <w:r>
        <w:rPr>
          <w:rFonts w:ascii="宋体" w:hAnsi="宋体" w:eastAsia="宋体" w:cs="宋体"/>
          <w:spacing w:val="-16"/>
          <w:sz w:val="24"/>
          <w:szCs w:val="24"/>
        </w:rPr>
        <w:t>（含绿化覆土</w:t>
      </w:r>
      <w:r>
        <w:rPr>
          <w:rFonts w:ascii="宋体" w:hAnsi="宋体" w:eastAsia="宋体" w:cs="宋体"/>
          <w:spacing w:val="-19"/>
          <w:sz w:val="24"/>
          <w:szCs w:val="24"/>
        </w:rPr>
        <w:t xml:space="preserve"> </w:t>
      </w:r>
      <w:r>
        <w:rPr>
          <w:rFonts w:ascii="Times New Roman" w:hAnsi="Times New Roman" w:eastAsia="Times New Roman" w:cs="Times New Roman"/>
          <w:spacing w:val="-16"/>
          <w:sz w:val="24"/>
          <w:szCs w:val="24"/>
        </w:rPr>
        <w:t>11.55</w:t>
      </w:r>
      <w:r>
        <w:rPr>
          <w:rFonts w:ascii="Times New Roman" w:hAnsi="Times New Roman" w:eastAsia="Times New Roman" w:cs="Times New Roman"/>
          <w:spacing w:val="15"/>
          <w:sz w:val="24"/>
          <w:szCs w:val="24"/>
        </w:rPr>
        <w:t xml:space="preserve"> </w:t>
      </w:r>
      <w:r>
        <w:rPr>
          <w:rFonts w:ascii="宋体" w:hAnsi="宋体" w:eastAsia="宋体" w:cs="宋体"/>
          <w:spacing w:val="-1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16"/>
          <w:sz w:val="24"/>
          <w:szCs w:val="24"/>
        </w:rPr>
        <w:t>m</w:t>
      </w:r>
      <w:r>
        <w:rPr>
          <w:rFonts w:ascii="Times New Roman" w:hAnsi="Times New Roman" w:eastAsia="Times New Roman" w:cs="Times New Roman"/>
          <w:spacing w:val="-3"/>
          <w:position w:val="8"/>
          <w:sz w:val="15"/>
          <w:szCs w:val="15"/>
        </w:rPr>
        <w:t>3</w:t>
      </w:r>
      <w:r>
        <w:rPr>
          <w:rFonts w:ascii="宋体" w:hAnsi="宋体" w:eastAsia="宋体" w:cs="宋体"/>
          <w:spacing w:val="-64"/>
          <w:sz w:val="24"/>
          <w:szCs w:val="24"/>
        </w:rPr>
        <w:t>），</w:t>
      </w:r>
      <w:r>
        <w:rPr>
          <w:rFonts w:ascii="宋体" w:hAnsi="宋体" w:eastAsia="宋体" w:cs="宋体"/>
          <w:spacing w:val="-3"/>
          <w:sz w:val="24"/>
          <w:szCs w:val="24"/>
        </w:rPr>
        <w:t>废弃土石方</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95.12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 xml:space="preserve">3 </w:t>
      </w:r>
      <w:r>
        <w:rPr>
          <w:rFonts w:ascii="宋体" w:hAnsi="宋体" w:eastAsia="宋体" w:cs="宋体"/>
          <w:spacing w:val="-3"/>
          <w:sz w:val="24"/>
          <w:szCs w:val="24"/>
        </w:rPr>
        <w:t>；以上均为自然方。</w:t>
      </w:r>
    </w:p>
    <w:p>
      <w:pPr>
        <w:spacing w:before="164" w:line="359" w:lineRule="auto"/>
        <w:ind w:left="43" w:right="40" w:firstLine="479"/>
        <w:jc w:val="both"/>
        <w:rPr>
          <w:rFonts w:ascii="宋体" w:hAnsi="宋体" w:eastAsia="宋体" w:cs="宋体"/>
          <w:sz w:val="24"/>
          <w:szCs w:val="24"/>
        </w:rPr>
      </w:pPr>
      <w:r>
        <w:rPr>
          <w:rFonts w:ascii="宋体" w:hAnsi="宋体" w:eastAsia="宋体" w:cs="宋体"/>
          <w:spacing w:val="-2"/>
          <w:sz w:val="24"/>
          <w:szCs w:val="24"/>
        </w:rPr>
        <w:t>工程需要处理废弃土石方</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95.12</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万</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2"/>
          <w:sz w:val="24"/>
          <w:szCs w:val="24"/>
        </w:rPr>
        <w:t>（</w:t>
      </w:r>
      <w:r>
        <w:rPr>
          <w:rFonts w:ascii="宋体" w:hAnsi="宋体" w:eastAsia="宋体" w:cs="宋体"/>
          <w:spacing w:val="-3"/>
          <w:sz w:val="24"/>
          <w:szCs w:val="24"/>
        </w:rPr>
        <w:t>自然方）全部堆放在指定的弃渣场内，剥</w:t>
      </w:r>
      <w:r>
        <w:rPr>
          <w:rFonts w:ascii="宋体" w:hAnsi="宋体" w:eastAsia="宋体" w:cs="宋体"/>
          <w:sz w:val="24"/>
          <w:szCs w:val="24"/>
        </w:rPr>
        <w:t xml:space="preserve"> </w:t>
      </w:r>
      <w:r>
        <w:rPr>
          <w:rFonts w:ascii="宋体" w:hAnsi="宋体" w:eastAsia="宋体" w:cs="宋体"/>
          <w:spacing w:val="-4"/>
          <w:sz w:val="24"/>
          <w:szCs w:val="24"/>
        </w:rPr>
        <w:t xml:space="preserve">离的表土 </w:t>
      </w:r>
      <w:r>
        <w:rPr>
          <w:rFonts w:ascii="Times New Roman" w:hAnsi="Times New Roman" w:eastAsia="Times New Roman" w:cs="Times New Roman"/>
          <w:spacing w:val="-4"/>
          <w:sz w:val="24"/>
          <w:szCs w:val="24"/>
        </w:rPr>
        <w:t>11.55</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万</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4"/>
          <w:szCs w:val="24"/>
        </w:rPr>
        <w:t>（自然方）经收集</w:t>
      </w:r>
      <w:r>
        <w:rPr>
          <w:rFonts w:ascii="宋体" w:hAnsi="宋体" w:eastAsia="宋体" w:cs="宋体"/>
          <w:spacing w:val="-5"/>
          <w:sz w:val="24"/>
          <w:szCs w:val="24"/>
        </w:rPr>
        <w:t>后堆放在规划的临时表土堆场内，用作后期绿</w:t>
      </w:r>
    </w:p>
    <w:p>
      <w:pPr>
        <w:spacing w:before="1" w:line="219" w:lineRule="auto"/>
        <w:ind w:left="40"/>
        <w:rPr>
          <w:rFonts w:ascii="宋体" w:hAnsi="宋体" w:eastAsia="宋体" w:cs="宋体"/>
          <w:sz w:val="24"/>
          <w:szCs w:val="24"/>
        </w:rPr>
      </w:pPr>
      <w:r>
        <w:rPr>
          <w:rFonts w:ascii="宋体" w:hAnsi="宋体" w:eastAsia="宋体" w:cs="宋体"/>
          <w:spacing w:val="-7"/>
          <w:sz w:val="24"/>
          <w:szCs w:val="24"/>
        </w:rPr>
        <w:t>化覆土。 项目土石方平衡规划见表</w:t>
      </w:r>
      <w:r>
        <w:rPr>
          <w:rFonts w:ascii="宋体" w:hAnsi="宋体" w:eastAsia="宋体" w:cs="宋体"/>
          <w:spacing w:val="-37"/>
          <w:sz w:val="24"/>
          <w:szCs w:val="24"/>
        </w:rPr>
        <w:t xml:space="preserve"> </w:t>
      </w:r>
      <w:r>
        <w:rPr>
          <w:rFonts w:ascii="Times New Roman" w:hAnsi="Times New Roman" w:eastAsia="Times New Roman" w:cs="Times New Roman"/>
          <w:spacing w:val="-7"/>
          <w:sz w:val="24"/>
          <w:szCs w:val="24"/>
        </w:rPr>
        <w:t>2.3-6</w:t>
      </w:r>
      <w:r>
        <w:rPr>
          <w:rFonts w:ascii="宋体" w:hAnsi="宋体" w:eastAsia="宋体" w:cs="宋体"/>
          <w:spacing w:val="-7"/>
          <w:sz w:val="24"/>
          <w:szCs w:val="24"/>
        </w:rPr>
        <w:t>。</w:t>
      </w:r>
    </w:p>
    <w:p>
      <w:pPr>
        <w:spacing w:line="219" w:lineRule="auto"/>
        <w:rPr>
          <w:rFonts w:ascii="宋体" w:hAnsi="宋体" w:eastAsia="宋体" w:cs="宋体"/>
          <w:sz w:val="24"/>
          <w:szCs w:val="24"/>
        </w:rPr>
        <w:sectPr>
          <w:footerReference r:id="rId104" w:type="default"/>
          <w:pgSz w:w="11907" w:h="16839"/>
          <w:pgMar w:top="1298" w:right="1387" w:bottom="1372" w:left="1501" w:header="1023" w:footer="1210" w:gutter="0"/>
        </w:sectPr>
      </w:pPr>
    </w:p>
    <w:p>
      <w:pPr>
        <w:spacing w:before="264" w:line="234" w:lineRule="auto"/>
        <w:ind w:left="5195"/>
        <w:rPr>
          <w:rFonts w:ascii="Times New Roman" w:hAnsi="Times New Roman" w:eastAsia="Times New Roman" w:cs="Times New Roman"/>
          <w:sz w:val="14"/>
          <w:szCs w:val="14"/>
        </w:rPr>
      </w:pPr>
      <w:r>
        <w:rPr>
          <w:rFonts w:ascii="宋体" w:hAnsi="宋体" w:eastAsia="宋体" w:cs="宋体"/>
          <w:spacing w:val="-5"/>
          <w:sz w:val="21"/>
          <w:szCs w:val="21"/>
          <w14:textOutline w14:w="3810" w14:cap="flat" w14:cmpd="sng">
            <w14:solidFill>
              <w14:srgbClr w14:val="000000"/>
            </w14:solidFill>
            <w14:prstDash w14:val="solid"/>
            <w14:miter w14:val="0"/>
          </w14:textOutline>
        </w:rPr>
        <w:t>表</w:t>
      </w:r>
      <w:r>
        <w:rPr>
          <w:rFonts w:ascii="宋体" w:hAnsi="宋体" w:eastAsia="宋体" w:cs="宋体"/>
          <w:spacing w:val="-46"/>
          <w:sz w:val="21"/>
          <w:szCs w:val="21"/>
        </w:rPr>
        <w:t xml:space="preserve"> </w:t>
      </w:r>
      <w:r>
        <w:rPr>
          <w:rFonts w:ascii="Times New Roman" w:hAnsi="Times New Roman" w:eastAsia="Times New Roman" w:cs="Times New Roman"/>
          <w:b/>
          <w:bCs/>
          <w:spacing w:val="-5"/>
          <w:sz w:val="21"/>
          <w:szCs w:val="21"/>
        </w:rPr>
        <w:t xml:space="preserve">2.3-6    </w:t>
      </w:r>
      <w:r>
        <w:rPr>
          <w:rFonts w:ascii="宋体" w:hAnsi="宋体" w:eastAsia="宋体" w:cs="宋体"/>
          <w:spacing w:val="-5"/>
          <w:sz w:val="21"/>
          <w:szCs w:val="21"/>
          <w14:textOutline w14:w="3810" w14:cap="flat" w14:cmpd="sng">
            <w14:solidFill>
              <w14:srgbClr w14:val="000000"/>
            </w14:solidFill>
            <w14:prstDash w14:val="solid"/>
            <w14:miter w14:val="0"/>
          </w14:textOutline>
        </w:rPr>
        <w:t>项目土石方平衡表</w:t>
      </w:r>
      <w:r>
        <w:rPr>
          <w:rFonts w:ascii="宋体" w:hAnsi="宋体" w:eastAsia="宋体" w:cs="宋体"/>
          <w:spacing w:val="6"/>
          <w:sz w:val="21"/>
          <w:szCs w:val="21"/>
        </w:rPr>
        <w:t xml:space="preserve">  </w:t>
      </w:r>
      <w:r>
        <w:rPr>
          <w:rFonts w:ascii="宋体" w:hAnsi="宋体" w:eastAsia="宋体" w:cs="宋体"/>
          <w:spacing w:val="-5"/>
          <w:sz w:val="21"/>
          <w:szCs w:val="21"/>
          <w14:textOutline w14:w="3810" w14:cap="flat" w14:cmpd="sng">
            <w14:solidFill>
              <w14:srgbClr w14:val="000000"/>
            </w14:solidFill>
            <w14:prstDash w14:val="solid"/>
            <w14:miter w14:val="0"/>
          </w14:textOutline>
        </w:rPr>
        <w:t>单位：</w:t>
      </w:r>
      <w:r>
        <w:rPr>
          <w:rFonts w:ascii="宋体" w:hAnsi="宋体" w:eastAsia="宋体" w:cs="宋体"/>
          <w:spacing w:val="-5"/>
          <w:sz w:val="21"/>
          <w:szCs w:val="21"/>
        </w:rPr>
        <w:t xml:space="preserve"> </w:t>
      </w:r>
      <w:r>
        <w:rPr>
          <w:rFonts w:ascii="Times New Roman" w:hAnsi="Times New Roman" w:eastAsia="Times New Roman" w:cs="Times New Roman"/>
          <w:b/>
          <w:bCs/>
          <w:spacing w:val="-6"/>
          <w:sz w:val="21"/>
          <w:szCs w:val="21"/>
        </w:rPr>
        <w:t>m</w:t>
      </w:r>
      <w:r>
        <w:rPr>
          <w:rFonts w:ascii="Times New Roman" w:hAnsi="Times New Roman" w:eastAsia="Times New Roman" w:cs="Times New Roman"/>
          <w:b/>
          <w:bCs/>
          <w:spacing w:val="-6"/>
          <w:position w:val="6"/>
          <w:sz w:val="14"/>
          <w:szCs w:val="14"/>
        </w:rPr>
        <w:t>3</w:t>
      </w:r>
    </w:p>
    <w:p>
      <w:pPr>
        <w:spacing w:line="110" w:lineRule="exact"/>
      </w:pPr>
    </w:p>
    <w:tbl>
      <w:tblPr>
        <w:tblStyle w:val="5"/>
        <w:tblW w:w="14002"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83"/>
        <w:gridCol w:w="910"/>
        <w:gridCol w:w="843"/>
        <w:gridCol w:w="812"/>
        <w:gridCol w:w="750"/>
        <w:gridCol w:w="1762"/>
        <w:gridCol w:w="739"/>
        <w:gridCol w:w="1164"/>
        <w:gridCol w:w="910"/>
        <w:gridCol w:w="983"/>
        <w:gridCol w:w="1036"/>
        <w:gridCol w:w="897"/>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8" w:hRule="atLeast"/>
        </w:trPr>
        <w:tc>
          <w:tcPr>
            <w:tcW w:w="2160" w:type="dxa"/>
            <w:gridSpan w:val="2"/>
            <w:vMerge w:val="restart"/>
            <w:tcBorders>
              <w:top w:val="single" w:color="000000" w:sz="12" w:space="0"/>
              <w:left w:val="nil"/>
              <w:bottom w:val="nil"/>
            </w:tcBorders>
            <w:vAlign w:val="top"/>
          </w:tcPr>
          <w:p>
            <w:pPr>
              <w:spacing w:line="327" w:lineRule="auto"/>
              <w:rPr>
                <w:rFonts w:ascii="Arial"/>
                <w:sz w:val="21"/>
              </w:rPr>
            </w:pPr>
          </w:p>
          <w:p>
            <w:pPr>
              <w:pStyle w:val="6"/>
              <w:spacing w:before="59" w:line="233" w:lineRule="auto"/>
              <w:ind w:left="616"/>
              <w:rPr>
                <w:rFonts w:ascii="仿宋" w:hAnsi="仿宋" w:eastAsia="仿宋" w:cs="仿宋"/>
                <w:sz w:val="18"/>
                <w:szCs w:val="18"/>
              </w:rPr>
            </w:pPr>
            <w:r>
              <w:rPr>
                <w:rFonts w:ascii="仿宋" w:hAnsi="仿宋" w:eastAsia="仿宋" w:cs="仿宋"/>
                <w:spacing w:val="-2"/>
                <w:sz w:val="18"/>
                <w:szCs w:val="18"/>
                <w14:textOutline w14:w="3265" w14:cap="flat" w14:cmpd="sng">
                  <w14:solidFill>
                    <w14:srgbClr w14:val="000000"/>
                  </w14:solidFill>
                  <w14:prstDash w14:val="solid"/>
                  <w14:miter w14:val="0"/>
                </w14:textOutline>
              </w:rPr>
              <w:t>分区</w:t>
            </w:r>
            <w:r>
              <w:rPr>
                <w:b/>
                <w:bCs/>
                <w:spacing w:val="-2"/>
                <w:sz w:val="18"/>
                <w:szCs w:val="18"/>
              </w:rPr>
              <w:t>/</w:t>
            </w:r>
            <w:r>
              <w:rPr>
                <w:rFonts w:ascii="仿宋" w:hAnsi="仿宋" w:eastAsia="仿宋" w:cs="仿宋"/>
                <w:spacing w:val="-2"/>
                <w:sz w:val="18"/>
                <w:szCs w:val="18"/>
                <w14:textOutline w14:w="3265" w14:cap="flat" w14:cmpd="sng">
                  <w14:solidFill>
                    <w14:srgbClr w14:val="000000"/>
                  </w14:solidFill>
                  <w14:prstDash w14:val="solid"/>
                  <w14:miter w14:val="0"/>
                </w14:textOutline>
              </w:rPr>
              <w:t>项目区</w:t>
            </w:r>
          </w:p>
        </w:tc>
        <w:tc>
          <w:tcPr>
            <w:tcW w:w="1753" w:type="dxa"/>
            <w:gridSpan w:val="2"/>
            <w:vMerge w:val="restart"/>
            <w:tcBorders>
              <w:top w:val="single" w:color="000000" w:sz="12" w:space="0"/>
              <w:bottom w:val="nil"/>
            </w:tcBorders>
            <w:vAlign w:val="top"/>
          </w:tcPr>
          <w:p>
            <w:pPr>
              <w:spacing w:before="149" w:line="218" w:lineRule="auto"/>
              <w:ind w:left="705"/>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开挖</w:t>
            </w:r>
          </w:p>
        </w:tc>
        <w:tc>
          <w:tcPr>
            <w:tcW w:w="812" w:type="dxa"/>
            <w:vMerge w:val="restart"/>
            <w:tcBorders>
              <w:top w:val="single" w:color="000000" w:sz="12" w:space="0"/>
              <w:bottom w:val="nil"/>
            </w:tcBorders>
            <w:vAlign w:val="top"/>
          </w:tcPr>
          <w:p>
            <w:pPr>
              <w:spacing w:before="148" w:line="219" w:lineRule="auto"/>
              <w:ind w:left="256"/>
              <w:rPr>
                <w:rFonts w:ascii="仿宋" w:hAnsi="仿宋" w:eastAsia="仿宋" w:cs="仿宋"/>
                <w:sz w:val="18"/>
                <w:szCs w:val="18"/>
              </w:rPr>
            </w:pPr>
            <w:r>
              <w:rPr>
                <w:rFonts w:ascii="仿宋" w:hAnsi="仿宋" w:eastAsia="仿宋" w:cs="仿宋"/>
                <w:spacing w:val="-9"/>
                <w:sz w:val="18"/>
                <w:szCs w:val="18"/>
                <w14:textOutline w14:w="3265" w14:cap="flat" w14:cmpd="sng">
                  <w14:solidFill>
                    <w14:srgbClr w14:val="000000"/>
                  </w14:solidFill>
                  <w14:prstDash w14:val="solid"/>
                  <w14:miter w14:val="0"/>
                </w14:textOutline>
              </w:rPr>
              <w:t>回填</w:t>
            </w:r>
          </w:p>
        </w:tc>
        <w:tc>
          <w:tcPr>
            <w:tcW w:w="2512" w:type="dxa"/>
            <w:gridSpan w:val="2"/>
            <w:vMerge w:val="restart"/>
            <w:tcBorders>
              <w:top w:val="single" w:color="000000" w:sz="12" w:space="0"/>
              <w:bottom w:val="nil"/>
            </w:tcBorders>
            <w:vAlign w:val="top"/>
          </w:tcPr>
          <w:p>
            <w:pPr>
              <w:spacing w:before="149" w:line="218" w:lineRule="auto"/>
              <w:ind w:left="1083"/>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利用</w:t>
            </w:r>
          </w:p>
        </w:tc>
        <w:tc>
          <w:tcPr>
            <w:tcW w:w="3796" w:type="dxa"/>
            <w:gridSpan w:val="4"/>
            <w:tcBorders>
              <w:top w:val="single" w:color="000000" w:sz="12" w:space="0"/>
            </w:tcBorders>
            <w:vAlign w:val="top"/>
          </w:tcPr>
          <w:p>
            <w:pPr>
              <w:spacing w:before="28" w:line="205" w:lineRule="auto"/>
              <w:ind w:left="1275"/>
              <w:rPr>
                <w:rFonts w:ascii="仿宋" w:hAnsi="仿宋" w:eastAsia="仿宋" w:cs="仿宋"/>
                <w:sz w:val="18"/>
                <w:szCs w:val="18"/>
              </w:rPr>
            </w:pPr>
            <w:r>
              <w:rPr>
                <w:rFonts w:ascii="仿宋" w:hAnsi="仿宋" w:eastAsia="仿宋" w:cs="仿宋"/>
                <w:spacing w:val="-2"/>
                <w:sz w:val="18"/>
                <w:szCs w:val="18"/>
                <w14:textOutline w14:w="3265" w14:cap="flat" w14:cmpd="sng">
                  <w14:solidFill>
                    <w14:srgbClr w14:val="000000"/>
                  </w14:solidFill>
                  <w14:prstDash w14:val="solid"/>
                  <w14:miter w14:val="0"/>
                </w14:textOutline>
              </w:rPr>
              <w:t>项目区内部调配</w:t>
            </w:r>
          </w:p>
        </w:tc>
        <w:tc>
          <w:tcPr>
            <w:tcW w:w="2969" w:type="dxa"/>
            <w:gridSpan w:val="3"/>
            <w:vMerge w:val="restart"/>
            <w:tcBorders>
              <w:top w:val="single" w:color="000000" w:sz="12" w:space="0"/>
              <w:bottom w:val="nil"/>
              <w:right w:val="nil"/>
            </w:tcBorders>
            <w:vAlign w:val="top"/>
          </w:tcPr>
          <w:p>
            <w:pPr>
              <w:spacing w:before="148" w:line="219" w:lineRule="auto"/>
              <w:ind w:left="1228"/>
              <w:rPr>
                <w:rFonts w:ascii="仿宋" w:hAnsi="仿宋" w:eastAsia="仿宋" w:cs="仿宋"/>
                <w:sz w:val="18"/>
                <w:szCs w:val="18"/>
              </w:rPr>
            </w:pPr>
            <w:r>
              <w:rPr>
                <w:rFonts w:ascii="仿宋" w:hAnsi="仿宋" w:eastAsia="仿宋" w:cs="仿宋"/>
                <w:spacing w:val="-9"/>
                <w:sz w:val="18"/>
                <w:szCs w:val="18"/>
                <w14:textOutline w14:w="3265" w14:cap="flat" w14:cmpd="sng">
                  <w14:solidFill>
                    <w14:srgbClr w14:val="000000"/>
                  </w14:solidFill>
                  <w14:prstDash w14:val="solid"/>
                  <w14:miter w14:val="0"/>
                </w14:textOutline>
              </w:rPr>
              <w:t>弃</w:t>
            </w:r>
            <w:r>
              <w:rPr>
                <w:rFonts w:ascii="仿宋" w:hAnsi="仿宋" w:eastAsia="仿宋" w:cs="仿宋"/>
                <w:spacing w:val="7"/>
                <w:sz w:val="18"/>
                <w:szCs w:val="18"/>
              </w:rPr>
              <w:t xml:space="preserve">  </w:t>
            </w:r>
            <w:r>
              <w:rPr>
                <w:rFonts w:ascii="仿宋" w:hAnsi="仿宋" w:eastAsia="仿宋" w:cs="仿宋"/>
                <w:spacing w:val="-9"/>
                <w:sz w:val="18"/>
                <w:szCs w:val="18"/>
                <w14:textOutline w14:w="3265" w14:cap="flat" w14:cmpd="sng">
                  <w14:solidFill>
                    <w14:srgbClr w14:val="000000"/>
                  </w14:solidFill>
                  <w14:prstDash w14:val="solid"/>
                  <w14:miter w14:val="0"/>
                </w14:textOutline>
              </w:rPr>
              <w:t>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7" w:hRule="atLeast"/>
        </w:trPr>
        <w:tc>
          <w:tcPr>
            <w:tcW w:w="2160" w:type="dxa"/>
            <w:gridSpan w:val="2"/>
            <w:vMerge w:val="continue"/>
            <w:tcBorders>
              <w:top w:val="nil"/>
              <w:left w:val="nil"/>
              <w:bottom w:val="nil"/>
            </w:tcBorders>
            <w:vAlign w:val="top"/>
          </w:tcPr>
          <w:p>
            <w:pPr>
              <w:rPr>
                <w:rFonts w:ascii="Arial"/>
                <w:sz w:val="21"/>
              </w:rPr>
            </w:pPr>
          </w:p>
        </w:tc>
        <w:tc>
          <w:tcPr>
            <w:tcW w:w="1753" w:type="dxa"/>
            <w:gridSpan w:val="2"/>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2512" w:type="dxa"/>
            <w:gridSpan w:val="2"/>
            <w:vMerge w:val="continue"/>
            <w:tcBorders>
              <w:top w:val="nil"/>
            </w:tcBorders>
            <w:vAlign w:val="top"/>
          </w:tcPr>
          <w:p>
            <w:pPr>
              <w:rPr>
                <w:rFonts w:ascii="Arial"/>
                <w:sz w:val="21"/>
              </w:rPr>
            </w:pPr>
          </w:p>
        </w:tc>
        <w:tc>
          <w:tcPr>
            <w:tcW w:w="1903" w:type="dxa"/>
            <w:gridSpan w:val="2"/>
            <w:vAlign w:val="top"/>
          </w:tcPr>
          <w:p>
            <w:pPr>
              <w:spacing w:before="28" w:line="204" w:lineRule="auto"/>
              <w:ind w:left="780"/>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调出</w:t>
            </w:r>
          </w:p>
        </w:tc>
        <w:tc>
          <w:tcPr>
            <w:tcW w:w="1893" w:type="dxa"/>
            <w:gridSpan w:val="2"/>
            <w:vAlign w:val="top"/>
          </w:tcPr>
          <w:p>
            <w:pPr>
              <w:spacing w:before="28" w:line="204" w:lineRule="auto"/>
              <w:ind w:left="776"/>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调入</w:t>
            </w:r>
          </w:p>
        </w:tc>
        <w:tc>
          <w:tcPr>
            <w:tcW w:w="2969" w:type="dxa"/>
            <w:gridSpan w:val="3"/>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9" w:hRule="atLeast"/>
        </w:trPr>
        <w:tc>
          <w:tcPr>
            <w:tcW w:w="2160" w:type="dxa"/>
            <w:gridSpan w:val="2"/>
            <w:vMerge w:val="continue"/>
            <w:tcBorders>
              <w:top w:val="nil"/>
              <w:left w:val="nil"/>
            </w:tcBorders>
            <w:vAlign w:val="top"/>
          </w:tcPr>
          <w:p>
            <w:pPr>
              <w:rPr>
                <w:rFonts w:ascii="Arial"/>
                <w:sz w:val="21"/>
              </w:rPr>
            </w:pPr>
          </w:p>
        </w:tc>
        <w:tc>
          <w:tcPr>
            <w:tcW w:w="910" w:type="dxa"/>
            <w:vAlign w:val="top"/>
          </w:tcPr>
          <w:p>
            <w:pPr>
              <w:spacing w:before="29" w:line="239" w:lineRule="auto"/>
              <w:ind w:left="193"/>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开挖土</w:t>
            </w:r>
          </w:p>
          <w:p>
            <w:pPr>
              <w:spacing w:line="201" w:lineRule="auto"/>
              <w:ind w:left="283"/>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石方</w:t>
            </w:r>
          </w:p>
        </w:tc>
        <w:tc>
          <w:tcPr>
            <w:tcW w:w="843" w:type="dxa"/>
            <w:vAlign w:val="top"/>
          </w:tcPr>
          <w:p>
            <w:pPr>
              <w:spacing w:before="30" w:line="220" w:lineRule="auto"/>
              <w:ind w:left="344" w:right="148" w:hanging="184"/>
              <w:rPr>
                <w:rFonts w:ascii="仿宋" w:hAnsi="仿宋" w:eastAsia="仿宋" w:cs="仿宋"/>
                <w:sz w:val="18"/>
                <w:szCs w:val="18"/>
              </w:rPr>
            </w:pPr>
            <w:r>
              <w:rPr>
                <w:rFonts w:ascii="仿宋" w:hAnsi="仿宋" w:eastAsia="仿宋" w:cs="仿宋"/>
                <w:spacing w:val="-4"/>
                <w:sz w:val="18"/>
                <w:szCs w:val="18"/>
                <w14:textOutline w14:w="3265" w14:cap="flat" w14:cmpd="sng">
                  <w14:solidFill>
                    <w14:srgbClr w14:val="000000"/>
                  </w14:solidFill>
                  <w14:prstDash w14:val="solid"/>
                  <w14:miter w14:val="0"/>
                </w14:textOutline>
              </w:rPr>
              <w:t>表土剥</w:t>
            </w:r>
            <w:r>
              <w:rPr>
                <w:rFonts w:ascii="仿宋" w:hAnsi="仿宋" w:eastAsia="仿宋" w:cs="仿宋"/>
                <w:sz w:val="18"/>
                <w:szCs w:val="18"/>
              </w:rPr>
              <w:t xml:space="preserve"> </w:t>
            </w:r>
            <w:r>
              <w:rPr>
                <w:rFonts w:ascii="仿宋" w:hAnsi="仿宋" w:eastAsia="仿宋" w:cs="仿宋"/>
                <w:sz w:val="18"/>
                <w:szCs w:val="18"/>
                <w14:textOutline w14:w="3265" w14:cap="flat" w14:cmpd="sng">
                  <w14:solidFill>
                    <w14:srgbClr w14:val="000000"/>
                  </w14:solidFill>
                  <w14:prstDash w14:val="solid"/>
                  <w14:miter w14:val="0"/>
                </w14:textOutline>
              </w:rPr>
              <w:t>离</w:t>
            </w:r>
          </w:p>
        </w:tc>
        <w:tc>
          <w:tcPr>
            <w:tcW w:w="812" w:type="dxa"/>
            <w:vAlign w:val="top"/>
          </w:tcPr>
          <w:p>
            <w:pPr>
              <w:spacing w:before="146" w:line="219" w:lineRule="auto"/>
              <w:ind w:left="233"/>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750" w:type="dxa"/>
            <w:vAlign w:val="top"/>
          </w:tcPr>
          <w:p>
            <w:pPr>
              <w:spacing w:before="146" w:line="219" w:lineRule="auto"/>
              <w:ind w:left="203"/>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1762" w:type="dxa"/>
            <w:vAlign w:val="top"/>
          </w:tcPr>
          <w:p>
            <w:pPr>
              <w:spacing w:before="146" w:line="222" w:lineRule="auto"/>
              <w:ind w:left="715"/>
              <w:rPr>
                <w:rFonts w:ascii="仿宋" w:hAnsi="仿宋" w:eastAsia="仿宋" w:cs="仿宋"/>
                <w:sz w:val="18"/>
                <w:szCs w:val="18"/>
              </w:rPr>
            </w:pPr>
            <w:r>
              <w:rPr>
                <w:rFonts w:ascii="仿宋" w:hAnsi="仿宋" w:eastAsia="仿宋" w:cs="仿宋"/>
                <w:spacing w:val="-5"/>
                <w:sz w:val="18"/>
                <w:szCs w:val="18"/>
                <w14:textOutline w14:w="3265" w14:cap="flat" w14:cmpd="sng">
                  <w14:solidFill>
                    <w14:srgbClr w14:val="000000"/>
                  </w14:solidFill>
                  <w14:prstDash w14:val="solid"/>
                  <w14:miter w14:val="0"/>
                </w14:textOutline>
              </w:rPr>
              <w:t>去向</w:t>
            </w:r>
          </w:p>
        </w:tc>
        <w:tc>
          <w:tcPr>
            <w:tcW w:w="739" w:type="dxa"/>
            <w:vAlign w:val="top"/>
          </w:tcPr>
          <w:p>
            <w:pPr>
              <w:spacing w:before="146" w:line="219" w:lineRule="auto"/>
              <w:ind w:left="197"/>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1164" w:type="dxa"/>
            <w:vAlign w:val="top"/>
          </w:tcPr>
          <w:p>
            <w:pPr>
              <w:spacing w:before="146" w:line="222" w:lineRule="auto"/>
              <w:ind w:left="417"/>
              <w:rPr>
                <w:rFonts w:ascii="仿宋" w:hAnsi="仿宋" w:eastAsia="仿宋" w:cs="仿宋"/>
                <w:sz w:val="18"/>
                <w:szCs w:val="18"/>
              </w:rPr>
            </w:pPr>
            <w:r>
              <w:rPr>
                <w:rFonts w:ascii="仿宋" w:hAnsi="仿宋" w:eastAsia="仿宋" w:cs="仿宋"/>
                <w:spacing w:val="-5"/>
                <w:sz w:val="18"/>
                <w:szCs w:val="18"/>
                <w14:textOutline w14:w="3265" w14:cap="flat" w14:cmpd="sng">
                  <w14:solidFill>
                    <w14:srgbClr w14:val="000000"/>
                  </w14:solidFill>
                  <w14:prstDash w14:val="solid"/>
                  <w14:miter w14:val="0"/>
                </w14:textOutline>
              </w:rPr>
              <w:t>去向</w:t>
            </w:r>
          </w:p>
        </w:tc>
        <w:tc>
          <w:tcPr>
            <w:tcW w:w="910" w:type="dxa"/>
            <w:vAlign w:val="top"/>
          </w:tcPr>
          <w:p>
            <w:pPr>
              <w:spacing w:before="146" w:line="219" w:lineRule="auto"/>
              <w:ind w:left="283"/>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983" w:type="dxa"/>
            <w:vAlign w:val="top"/>
          </w:tcPr>
          <w:p>
            <w:pPr>
              <w:spacing w:before="146" w:line="217" w:lineRule="auto"/>
              <w:ind w:left="321"/>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来源</w:t>
            </w:r>
          </w:p>
        </w:tc>
        <w:tc>
          <w:tcPr>
            <w:tcW w:w="1036" w:type="dxa"/>
            <w:vAlign w:val="top"/>
          </w:tcPr>
          <w:p>
            <w:pPr>
              <w:pStyle w:val="6"/>
              <w:spacing w:before="30" w:line="215" w:lineRule="auto"/>
              <w:ind w:left="136"/>
              <w:rPr>
                <w:rFonts w:ascii="仿宋" w:hAnsi="仿宋" w:eastAsia="仿宋" w:cs="仿宋"/>
                <w:sz w:val="18"/>
                <w:szCs w:val="18"/>
              </w:rPr>
            </w:pPr>
            <w:r>
              <w:rPr>
                <w:rFonts w:ascii="仿宋" w:hAnsi="仿宋" w:eastAsia="仿宋" w:cs="仿宋"/>
                <w:spacing w:val="-2"/>
                <w:sz w:val="18"/>
                <w:szCs w:val="18"/>
                <w14:textOutline w14:w="3265" w14:cap="flat" w14:cmpd="sng">
                  <w14:solidFill>
                    <w14:srgbClr w14:val="000000"/>
                  </w14:solidFill>
                  <w14:prstDash w14:val="solid"/>
                  <w14:miter w14:val="0"/>
                </w14:textOutline>
              </w:rPr>
              <w:t>数量</w:t>
            </w:r>
            <w:r>
              <w:rPr>
                <w:b/>
                <w:bCs/>
                <w:spacing w:val="-2"/>
                <w:sz w:val="18"/>
                <w:szCs w:val="18"/>
              </w:rPr>
              <w:t>(</w:t>
            </w:r>
            <w:r>
              <w:rPr>
                <w:rFonts w:ascii="仿宋" w:hAnsi="仿宋" w:eastAsia="仿宋" w:cs="仿宋"/>
                <w:spacing w:val="-2"/>
                <w:sz w:val="18"/>
                <w:szCs w:val="18"/>
                <w14:textOutline w14:w="3265" w14:cap="flat" w14:cmpd="sng">
                  <w14:solidFill>
                    <w14:srgbClr w14:val="000000"/>
                  </w14:solidFill>
                  <w14:prstDash w14:val="solid"/>
                  <w14:miter w14:val="0"/>
                </w14:textOutline>
              </w:rPr>
              <w:t>自然</w:t>
            </w:r>
          </w:p>
          <w:p>
            <w:pPr>
              <w:pStyle w:val="6"/>
              <w:spacing w:before="23" w:line="201" w:lineRule="auto"/>
              <w:ind w:left="412"/>
              <w:rPr>
                <w:sz w:val="18"/>
                <w:szCs w:val="18"/>
              </w:rPr>
            </w:pPr>
            <w:r>
              <w:rPr>
                <w:rFonts w:ascii="仿宋" w:hAnsi="仿宋" w:eastAsia="仿宋" w:cs="仿宋"/>
                <w:spacing w:val="-8"/>
                <w:sz w:val="18"/>
                <w:szCs w:val="18"/>
                <w14:textOutline w14:w="3265" w14:cap="flat" w14:cmpd="sng">
                  <w14:solidFill>
                    <w14:srgbClr w14:val="000000"/>
                  </w14:solidFill>
                  <w14:prstDash w14:val="solid"/>
                  <w14:miter w14:val="0"/>
                </w14:textOutline>
              </w:rPr>
              <w:t>方</w:t>
            </w:r>
            <w:r>
              <w:rPr>
                <w:b/>
                <w:bCs/>
                <w:spacing w:val="-8"/>
                <w:sz w:val="18"/>
                <w:szCs w:val="18"/>
              </w:rPr>
              <w:t>)</w:t>
            </w:r>
          </w:p>
        </w:tc>
        <w:tc>
          <w:tcPr>
            <w:tcW w:w="897" w:type="dxa"/>
            <w:vAlign w:val="top"/>
          </w:tcPr>
          <w:p>
            <w:pPr>
              <w:pStyle w:val="6"/>
              <w:spacing w:before="30" w:line="220" w:lineRule="auto"/>
              <w:ind w:left="342" w:right="143" w:hanging="186"/>
              <w:rPr>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r>
              <w:rPr>
                <w:b/>
                <w:bCs/>
                <w:spacing w:val="-3"/>
                <w:sz w:val="18"/>
                <w:szCs w:val="18"/>
              </w:rPr>
              <w:t>(</w:t>
            </w:r>
            <w:r>
              <w:rPr>
                <w:rFonts w:ascii="仿宋" w:hAnsi="仿宋" w:eastAsia="仿宋" w:cs="仿宋"/>
                <w:spacing w:val="-3"/>
                <w:sz w:val="18"/>
                <w:szCs w:val="18"/>
                <w14:textOutline w14:w="3265" w14:cap="flat" w14:cmpd="sng">
                  <w14:solidFill>
                    <w14:srgbClr w14:val="000000"/>
                  </w14:solidFill>
                  <w14:prstDash w14:val="solid"/>
                  <w14:miter w14:val="0"/>
                </w14:textOutline>
              </w:rPr>
              <w:t>松</w:t>
            </w:r>
            <w:r>
              <w:rPr>
                <w:rFonts w:ascii="仿宋" w:hAnsi="仿宋" w:eastAsia="仿宋" w:cs="仿宋"/>
                <w:spacing w:val="2"/>
                <w:sz w:val="18"/>
                <w:szCs w:val="18"/>
              </w:rPr>
              <w:t xml:space="preserve"> </w:t>
            </w:r>
            <w:r>
              <w:rPr>
                <w:rFonts w:ascii="仿宋" w:hAnsi="仿宋" w:eastAsia="仿宋" w:cs="仿宋"/>
                <w:spacing w:val="-8"/>
                <w:sz w:val="18"/>
                <w:szCs w:val="18"/>
                <w14:textOutline w14:w="3265" w14:cap="flat" w14:cmpd="sng">
                  <w14:solidFill>
                    <w14:srgbClr w14:val="000000"/>
                  </w14:solidFill>
                  <w14:prstDash w14:val="solid"/>
                  <w14:miter w14:val="0"/>
                </w14:textOutline>
              </w:rPr>
              <w:t>方</w:t>
            </w:r>
            <w:r>
              <w:rPr>
                <w:b/>
                <w:bCs/>
                <w:spacing w:val="-8"/>
                <w:sz w:val="18"/>
                <w:szCs w:val="18"/>
              </w:rPr>
              <w:t>)</w:t>
            </w:r>
          </w:p>
        </w:tc>
        <w:tc>
          <w:tcPr>
            <w:tcW w:w="1036" w:type="dxa"/>
            <w:tcBorders>
              <w:right w:val="nil"/>
            </w:tcBorders>
            <w:vAlign w:val="top"/>
          </w:tcPr>
          <w:p>
            <w:pPr>
              <w:spacing w:before="146" w:line="219" w:lineRule="auto"/>
              <w:ind w:left="171"/>
              <w:rPr>
                <w:rFonts w:ascii="仿宋" w:hAnsi="仿宋" w:eastAsia="仿宋" w:cs="仿宋"/>
                <w:sz w:val="18"/>
                <w:szCs w:val="18"/>
              </w:rPr>
            </w:pPr>
            <w:r>
              <w:rPr>
                <w:rFonts w:ascii="仿宋" w:hAnsi="仿宋" w:eastAsia="仿宋" w:cs="仿宋"/>
                <w:spacing w:val="-4"/>
                <w:sz w:val="18"/>
                <w:szCs w:val="18"/>
                <w14:textOutline w14:w="3265" w14:cap="flat" w14:cmpd="sng">
                  <w14:solidFill>
                    <w14:srgbClr w14:val="000000"/>
                  </w14:solidFill>
                  <w14:prstDash w14:val="solid"/>
                  <w14:miter w14:val="0"/>
                </w14:textOutline>
              </w:rPr>
              <w:t>弃渣流向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68" w:hRule="atLeast"/>
        </w:trPr>
        <w:tc>
          <w:tcPr>
            <w:tcW w:w="777" w:type="dxa"/>
            <w:vMerge w:val="restart"/>
            <w:tcBorders>
              <w:left w:val="nil"/>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59" w:line="218" w:lineRule="auto"/>
              <w:ind w:left="130"/>
              <w:rPr>
                <w:rFonts w:ascii="仿宋" w:hAnsi="仿宋" w:eastAsia="仿宋" w:cs="仿宋"/>
                <w:sz w:val="18"/>
                <w:szCs w:val="18"/>
              </w:rPr>
            </w:pPr>
            <w:r>
              <w:rPr>
                <w:rFonts w:ascii="仿宋" w:hAnsi="仿宋" w:eastAsia="仿宋" w:cs="仿宋"/>
                <w:spacing w:val="-3"/>
                <w:sz w:val="18"/>
                <w:szCs w:val="18"/>
              </w:rPr>
              <w:t>枢纽区</w:t>
            </w:r>
          </w:p>
        </w:tc>
        <w:tc>
          <w:tcPr>
            <w:tcW w:w="1383" w:type="dxa"/>
            <w:vAlign w:val="top"/>
          </w:tcPr>
          <w:p>
            <w:pPr>
              <w:spacing w:line="437" w:lineRule="auto"/>
              <w:rPr>
                <w:rFonts w:ascii="Arial"/>
                <w:sz w:val="21"/>
              </w:rPr>
            </w:pPr>
          </w:p>
          <w:p>
            <w:pPr>
              <w:spacing w:before="59" w:line="219" w:lineRule="auto"/>
              <w:ind w:left="429"/>
              <w:rPr>
                <w:rFonts w:ascii="仿宋" w:hAnsi="仿宋" w:eastAsia="仿宋" w:cs="仿宋"/>
                <w:sz w:val="18"/>
                <w:szCs w:val="18"/>
              </w:rPr>
            </w:pPr>
            <w:r>
              <w:rPr>
                <w:rFonts w:ascii="仿宋" w:hAnsi="仿宋" w:eastAsia="仿宋" w:cs="仿宋"/>
                <w:spacing w:val="-3"/>
                <w:sz w:val="18"/>
                <w:szCs w:val="18"/>
              </w:rPr>
              <w:t>拦河坝</w:t>
            </w:r>
          </w:p>
        </w:tc>
        <w:tc>
          <w:tcPr>
            <w:tcW w:w="910" w:type="dxa"/>
            <w:vAlign w:val="top"/>
          </w:tcPr>
          <w:p>
            <w:pPr>
              <w:spacing w:line="474" w:lineRule="auto"/>
              <w:rPr>
                <w:rFonts w:ascii="Arial"/>
                <w:sz w:val="21"/>
              </w:rPr>
            </w:pPr>
          </w:p>
          <w:p>
            <w:pPr>
              <w:pStyle w:val="6"/>
              <w:spacing w:before="52" w:line="188" w:lineRule="auto"/>
              <w:ind w:left="118"/>
              <w:rPr>
                <w:sz w:val="18"/>
                <w:szCs w:val="18"/>
              </w:rPr>
            </w:pPr>
            <w:r>
              <w:rPr>
                <w:spacing w:val="-1"/>
                <w:sz w:val="18"/>
                <w:szCs w:val="18"/>
              </w:rPr>
              <w:t>259701.0</w:t>
            </w:r>
          </w:p>
        </w:tc>
        <w:tc>
          <w:tcPr>
            <w:tcW w:w="843" w:type="dxa"/>
            <w:vAlign w:val="top"/>
          </w:tcPr>
          <w:p>
            <w:pPr>
              <w:rPr>
                <w:rFonts w:ascii="Arial"/>
                <w:sz w:val="21"/>
              </w:rPr>
            </w:pPr>
          </w:p>
        </w:tc>
        <w:tc>
          <w:tcPr>
            <w:tcW w:w="812" w:type="dxa"/>
            <w:vAlign w:val="top"/>
          </w:tcPr>
          <w:p>
            <w:pPr>
              <w:rPr>
                <w:rFonts w:ascii="Arial"/>
                <w:sz w:val="21"/>
              </w:rPr>
            </w:pPr>
          </w:p>
        </w:tc>
        <w:tc>
          <w:tcPr>
            <w:tcW w:w="750" w:type="dxa"/>
            <w:vAlign w:val="top"/>
          </w:tcPr>
          <w:p>
            <w:pPr>
              <w:spacing w:line="372" w:lineRule="auto"/>
              <w:rPr>
                <w:rFonts w:ascii="Arial"/>
                <w:sz w:val="21"/>
              </w:rPr>
            </w:pPr>
          </w:p>
          <w:p>
            <w:pPr>
              <w:pStyle w:val="6"/>
              <w:spacing w:before="52" w:line="214" w:lineRule="auto"/>
              <w:ind w:left="267" w:right="147" w:hanging="99"/>
              <w:rPr>
                <w:sz w:val="18"/>
                <w:szCs w:val="18"/>
              </w:rPr>
            </w:pPr>
            <w:r>
              <w:rPr>
                <w:spacing w:val="-5"/>
                <w:sz w:val="18"/>
                <w:szCs w:val="18"/>
              </w:rPr>
              <w:t>12627</w:t>
            </w:r>
            <w:r>
              <w:rPr>
                <w:spacing w:val="2"/>
                <w:sz w:val="18"/>
                <w:szCs w:val="18"/>
              </w:rPr>
              <w:t xml:space="preserve"> </w:t>
            </w:r>
            <w:r>
              <w:rPr>
                <w:spacing w:val="-3"/>
                <w:sz w:val="18"/>
                <w:szCs w:val="18"/>
              </w:rPr>
              <w:t>3.6</w:t>
            </w:r>
          </w:p>
        </w:tc>
        <w:tc>
          <w:tcPr>
            <w:tcW w:w="1762" w:type="dxa"/>
            <w:vAlign w:val="top"/>
          </w:tcPr>
          <w:p>
            <w:pPr>
              <w:pStyle w:val="6"/>
              <w:spacing w:before="264" w:line="233" w:lineRule="auto"/>
              <w:ind w:left="163" w:right="150" w:firstLine="7"/>
              <w:jc w:val="both"/>
              <w:rPr>
                <w:rFonts w:ascii="仿宋" w:hAnsi="仿宋" w:eastAsia="仿宋" w:cs="仿宋"/>
                <w:sz w:val="18"/>
                <w:szCs w:val="18"/>
              </w:rPr>
            </w:pPr>
            <w:r>
              <w:rPr>
                <w:rFonts w:ascii="仿宋" w:hAnsi="仿宋" w:eastAsia="仿宋" w:cs="仿宋"/>
                <w:spacing w:val="-2"/>
                <w:sz w:val="18"/>
                <w:szCs w:val="18"/>
              </w:rPr>
              <w:t>截水槽、棱体开挖</w:t>
            </w:r>
            <w:r>
              <w:rPr>
                <w:rFonts w:ascii="仿宋" w:hAnsi="仿宋" w:eastAsia="仿宋" w:cs="仿宋"/>
                <w:spacing w:val="3"/>
                <w:sz w:val="18"/>
                <w:szCs w:val="18"/>
              </w:rPr>
              <w:t xml:space="preserve"> </w:t>
            </w:r>
            <w:r>
              <w:rPr>
                <w:rFonts w:ascii="仿宋" w:hAnsi="仿宋" w:eastAsia="仿宋" w:cs="仿宋"/>
                <w:spacing w:val="-3"/>
                <w:sz w:val="18"/>
                <w:szCs w:val="18"/>
              </w:rPr>
              <w:t>石方的</w:t>
            </w:r>
            <w:r>
              <w:rPr>
                <w:rFonts w:ascii="仿宋" w:hAnsi="仿宋" w:eastAsia="仿宋" w:cs="仿宋"/>
                <w:spacing w:val="-32"/>
                <w:sz w:val="18"/>
                <w:szCs w:val="18"/>
              </w:rPr>
              <w:t xml:space="preserve"> </w:t>
            </w:r>
            <w:r>
              <w:rPr>
                <w:spacing w:val="-3"/>
                <w:sz w:val="18"/>
                <w:szCs w:val="18"/>
              </w:rPr>
              <w:t>50%</w:t>
            </w:r>
            <w:r>
              <w:rPr>
                <w:rFonts w:ascii="仿宋" w:hAnsi="仿宋" w:eastAsia="仿宋" w:cs="仿宋"/>
                <w:spacing w:val="-3"/>
                <w:sz w:val="18"/>
                <w:szCs w:val="18"/>
              </w:rPr>
              <w:t>及调入</w:t>
            </w:r>
            <w:r>
              <w:rPr>
                <w:rFonts w:ascii="仿宋" w:hAnsi="仿宋" w:eastAsia="仿宋" w:cs="仿宋"/>
                <w:sz w:val="18"/>
                <w:szCs w:val="18"/>
              </w:rPr>
              <w:t xml:space="preserve"> </w:t>
            </w:r>
            <w:r>
              <w:rPr>
                <w:rFonts w:ascii="仿宋" w:hAnsi="仿宋" w:eastAsia="仿宋" w:cs="仿宋"/>
                <w:spacing w:val="-1"/>
                <w:sz w:val="18"/>
                <w:szCs w:val="18"/>
              </w:rPr>
              <w:t>石方用于坝体填筑</w:t>
            </w:r>
          </w:p>
        </w:tc>
        <w:tc>
          <w:tcPr>
            <w:tcW w:w="739" w:type="dxa"/>
            <w:vAlign w:val="top"/>
          </w:tcPr>
          <w:p>
            <w:pPr>
              <w:spacing w:line="474" w:lineRule="auto"/>
              <w:rPr>
                <w:rFonts w:ascii="Arial"/>
                <w:sz w:val="21"/>
              </w:rPr>
            </w:pPr>
          </w:p>
          <w:p>
            <w:pPr>
              <w:pStyle w:val="6"/>
              <w:spacing w:before="52" w:line="188" w:lineRule="auto"/>
              <w:ind w:left="126"/>
              <w:rPr>
                <w:sz w:val="18"/>
                <w:szCs w:val="18"/>
              </w:rPr>
            </w:pPr>
            <w:r>
              <w:rPr>
                <w:spacing w:val="-2"/>
                <w:sz w:val="18"/>
                <w:szCs w:val="18"/>
              </w:rPr>
              <w:t>6130.0</w:t>
            </w:r>
          </w:p>
        </w:tc>
        <w:tc>
          <w:tcPr>
            <w:tcW w:w="1164" w:type="dxa"/>
            <w:vAlign w:val="top"/>
          </w:tcPr>
          <w:p>
            <w:pPr>
              <w:spacing w:before="265" w:line="218" w:lineRule="auto"/>
              <w:ind w:left="141"/>
              <w:rPr>
                <w:rFonts w:ascii="仿宋" w:hAnsi="仿宋" w:eastAsia="仿宋" w:cs="仿宋"/>
                <w:sz w:val="18"/>
                <w:szCs w:val="18"/>
              </w:rPr>
            </w:pPr>
            <w:r>
              <w:rPr>
                <w:rFonts w:ascii="仿宋" w:hAnsi="仿宋" w:eastAsia="仿宋" w:cs="仿宋"/>
                <w:spacing w:val="-2"/>
                <w:sz w:val="18"/>
                <w:szCs w:val="18"/>
              </w:rPr>
              <w:t>截水槽开挖</w:t>
            </w:r>
          </w:p>
          <w:p>
            <w:pPr>
              <w:spacing w:before="21" w:line="219" w:lineRule="auto"/>
              <w:ind w:left="143"/>
              <w:rPr>
                <w:rFonts w:ascii="仿宋" w:hAnsi="仿宋" w:eastAsia="仿宋" w:cs="仿宋"/>
                <w:sz w:val="18"/>
                <w:szCs w:val="18"/>
              </w:rPr>
            </w:pPr>
            <w:r>
              <w:rPr>
                <w:rFonts w:ascii="仿宋" w:hAnsi="仿宋" w:eastAsia="仿宋" w:cs="仿宋"/>
                <w:spacing w:val="-3"/>
                <w:sz w:val="18"/>
                <w:szCs w:val="18"/>
              </w:rPr>
              <w:t>土方用于围</w:t>
            </w:r>
          </w:p>
          <w:p>
            <w:pPr>
              <w:spacing w:before="20" w:line="219" w:lineRule="auto"/>
              <w:ind w:left="322"/>
              <w:rPr>
                <w:rFonts w:ascii="仿宋" w:hAnsi="仿宋" w:eastAsia="仿宋" w:cs="仿宋"/>
                <w:sz w:val="18"/>
                <w:szCs w:val="18"/>
              </w:rPr>
            </w:pPr>
            <w:r>
              <w:rPr>
                <w:rFonts w:ascii="仿宋" w:hAnsi="仿宋" w:eastAsia="仿宋" w:cs="仿宋"/>
                <w:spacing w:val="-3"/>
                <w:sz w:val="18"/>
                <w:szCs w:val="18"/>
              </w:rPr>
              <w:t>堰填筑</w:t>
            </w:r>
          </w:p>
        </w:tc>
        <w:tc>
          <w:tcPr>
            <w:tcW w:w="910" w:type="dxa"/>
            <w:vAlign w:val="top"/>
          </w:tcPr>
          <w:p>
            <w:pPr>
              <w:spacing w:line="474" w:lineRule="auto"/>
              <w:rPr>
                <w:rFonts w:ascii="Arial"/>
                <w:sz w:val="21"/>
              </w:rPr>
            </w:pPr>
          </w:p>
          <w:p>
            <w:pPr>
              <w:pStyle w:val="6"/>
              <w:spacing w:before="52" w:line="188" w:lineRule="auto"/>
              <w:ind w:left="171"/>
              <w:rPr>
                <w:sz w:val="18"/>
                <w:szCs w:val="18"/>
              </w:rPr>
            </w:pPr>
            <w:r>
              <w:rPr>
                <w:spacing w:val="-2"/>
                <w:sz w:val="18"/>
                <w:szCs w:val="18"/>
              </w:rPr>
              <w:t>86791.6</w:t>
            </w:r>
          </w:p>
        </w:tc>
        <w:tc>
          <w:tcPr>
            <w:tcW w:w="983" w:type="dxa"/>
            <w:vAlign w:val="top"/>
          </w:tcPr>
          <w:p>
            <w:pPr>
              <w:spacing w:before="32" w:line="217" w:lineRule="auto"/>
              <w:ind w:left="141"/>
              <w:rPr>
                <w:rFonts w:ascii="仿宋" w:hAnsi="仿宋" w:eastAsia="仿宋" w:cs="仿宋"/>
                <w:sz w:val="18"/>
                <w:szCs w:val="18"/>
              </w:rPr>
            </w:pPr>
            <w:r>
              <w:rPr>
                <w:rFonts w:ascii="仿宋" w:hAnsi="仿宋" w:eastAsia="仿宋" w:cs="仿宋"/>
                <w:spacing w:val="-3"/>
                <w:sz w:val="18"/>
                <w:szCs w:val="18"/>
              </w:rPr>
              <w:t>来自导流</w:t>
            </w:r>
          </w:p>
          <w:p>
            <w:pPr>
              <w:spacing w:before="20" w:line="219" w:lineRule="auto"/>
              <w:ind w:left="139"/>
              <w:rPr>
                <w:rFonts w:ascii="仿宋" w:hAnsi="仿宋" w:eastAsia="仿宋" w:cs="仿宋"/>
                <w:sz w:val="18"/>
                <w:szCs w:val="18"/>
              </w:rPr>
            </w:pPr>
            <w:r>
              <w:rPr>
                <w:rFonts w:ascii="仿宋" w:hAnsi="仿宋" w:eastAsia="仿宋" w:cs="仿宋"/>
                <w:spacing w:val="-2"/>
                <w:sz w:val="18"/>
                <w:szCs w:val="18"/>
              </w:rPr>
              <w:t>洞、溢洪</w:t>
            </w:r>
          </w:p>
          <w:p>
            <w:pPr>
              <w:spacing w:before="20" w:line="219" w:lineRule="auto"/>
              <w:ind w:left="141"/>
              <w:rPr>
                <w:rFonts w:ascii="仿宋" w:hAnsi="仿宋" w:eastAsia="仿宋" w:cs="仿宋"/>
                <w:sz w:val="18"/>
                <w:szCs w:val="18"/>
              </w:rPr>
            </w:pPr>
            <w:r>
              <w:rPr>
                <w:rFonts w:ascii="仿宋" w:hAnsi="仿宋" w:eastAsia="仿宋" w:cs="仿宋"/>
                <w:spacing w:val="-3"/>
                <w:sz w:val="18"/>
                <w:szCs w:val="18"/>
              </w:rPr>
              <w:t>道和输水</w:t>
            </w:r>
          </w:p>
          <w:p>
            <w:pPr>
              <w:spacing w:before="21" w:line="217" w:lineRule="auto"/>
              <w:ind w:left="147"/>
              <w:rPr>
                <w:rFonts w:ascii="仿宋" w:hAnsi="仿宋" w:eastAsia="仿宋" w:cs="仿宋"/>
                <w:sz w:val="18"/>
                <w:szCs w:val="18"/>
              </w:rPr>
            </w:pPr>
            <w:r>
              <w:rPr>
                <w:rFonts w:ascii="仿宋" w:hAnsi="仿宋" w:eastAsia="仿宋" w:cs="仿宋"/>
                <w:spacing w:val="-4"/>
                <w:sz w:val="18"/>
                <w:szCs w:val="18"/>
              </w:rPr>
              <w:t>隧洞调出</w:t>
            </w:r>
          </w:p>
          <w:p>
            <w:pPr>
              <w:spacing w:before="20" w:line="197" w:lineRule="auto"/>
              <w:ind w:left="320"/>
              <w:rPr>
                <w:rFonts w:ascii="仿宋" w:hAnsi="仿宋" w:eastAsia="仿宋" w:cs="仿宋"/>
                <w:sz w:val="18"/>
                <w:szCs w:val="18"/>
              </w:rPr>
            </w:pPr>
            <w:r>
              <w:rPr>
                <w:rFonts w:ascii="仿宋" w:hAnsi="仿宋" w:eastAsia="仿宋" w:cs="仿宋"/>
                <w:spacing w:val="-3"/>
                <w:sz w:val="18"/>
                <w:szCs w:val="18"/>
              </w:rPr>
              <w:t>石方</w:t>
            </w:r>
          </w:p>
        </w:tc>
        <w:tc>
          <w:tcPr>
            <w:tcW w:w="1036" w:type="dxa"/>
            <w:vAlign w:val="top"/>
          </w:tcPr>
          <w:p>
            <w:pPr>
              <w:spacing w:line="474" w:lineRule="auto"/>
              <w:rPr>
                <w:rFonts w:ascii="Arial"/>
                <w:sz w:val="21"/>
              </w:rPr>
            </w:pPr>
          </w:p>
          <w:p>
            <w:pPr>
              <w:pStyle w:val="6"/>
              <w:spacing w:before="52" w:line="188" w:lineRule="auto"/>
              <w:ind w:left="183"/>
              <w:rPr>
                <w:sz w:val="18"/>
                <w:szCs w:val="18"/>
              </w:rPr>
            </w:pPr>
            <w:r>
              <w:rPr>
                <w:spacing w:val="-1"/>
                <w:sz w:val="18"/>
                <w:szCs w:val="18"/>
              </w:rPr>
              <w:t>214089.0</w:t>
            </w:r>
          </w:p>
        </w:tc>
        <w:tc>
          <w:tcPr>
            <w:tcW w:w="897" w:type="dxa"/>
            <w:vAlign w:val="top"/>
          </w:tcPr>
          <w:p>
            <w:pPr>
              <w:spacing w:line="474" w:lineRule="auto"/>
              <w:rPr>
                <w:rFonts w:ascii="Arial"/>
                <w:sz w:val="21"/>
              </w:rPr>
            </w:pPr>
          </w:p>
          <w:p>
            <w:pPr>
              <w:pStyle w:val="6"/>
              <w:spacing w:before="52" w:line="188" w:lineRule="auto"/>
              <w:ind w:left="116"/>
              <w:rPr>
                <w:sz w:val="18"/>
                <w:szCs w:val="18"/>
              </w:rPr>
            </w:pPr>
            <w:r>
              <w:rPr>
                <w:spacing w:val="-2"/>
                <w:sz w:val="18"/>
                <w:szCs w:val="18"/>
              </w:rPr>
              <w:t>267611.3</w:t>
            </w:r>
          </w:p>
        </w:tc>
        <w:tc>
          <w:tcPr>
            <w:tcW w:w="1036" w:type="dxa"/>
            <w:tcBorders>
              <w:right w:val="nil"/>
            </w:tcBorders>
            <w:vAlign w:val="top"/>
          </w:tcPr>
          <w:p>
            <w:pPr>
              <w:spacing w:line="353" w:lineRule="auto"/>
              <w:rPr>
                <w:rFonts w:ascii="Arial"/>
                <w:sz w:val="21"/>
              </w:rPr>
            </w:pPr>
          </w:p>
          <w:p>
            <w:pPr>
              <w:pStyle w:val="6"/>
              <w:spacing w:before="58" w:line="180" w:lineRule="auto"/>
              <w:ind w:left="176"/>
              <w:rPr>
                <w:rFonts w:ascii="仿宋" w:hAnsi="仿宋" w:eastAsia="仿宋" w:cs="仿宋"/>
                <w:sz w:val="18"/>
                <w:szCs w:val="18"/>
              </w:rPr>
            </w:pPr>
            <w:r>
              <w:rPr>
                <w:spacing w:val="-8"/>
                <w:sz w:val="18"/>
                <w:szCs w:val="18"/>
              </w:rPr>
              <w:t>1#</w:t>
            </w:r>
            <w:r>
              <w:rPr>
                <w:spacing w:val="-20"/>
                <w:sz w:val="18"/>
                <w:szCs w:val="18"/>
              </w:rPr>
              <w:t xml:space="preserve"> </w:t>
            </w:r>
            <w:r>
              <w:rPr>
                <w:rFonts w:ascii="仿宋" w:hAnsi="仿宋" w:eastAsia="仿宋" w:cs="仿宋"/>
                <w:spacing w:val="-8"/>
                <w:sz w:val="18"/>
                <w:szCs w:val="18"/>
              </w:rPr>
              <w:t>、</w:t>
            </w:r>
            <w:r>
              <w:rPr>
                <w:spacing w:val="-8"/>
                <w:sz w:val="18"/>
                <w:szCs w:val="18"/>
              </w:rPr>
              <w:t>2#</w:t>
            </w:r>
            <w:r>
              <w:rPr>
                <w:rFonts w:ascii="仿宋" w:hAnsi="仿宋" w:eastAsia="仿宋" w:cs="仿宋"/>
                <w:spacing w:val="-8"/>
                <w:sz w:val="18"/>
                <w:szCs w:val="18"/>
              </w:rPr>
              <w:t>、</w:t>
            </w:r>
          </w:p>
          <w:p>
            <w:pPr>
              <w:pStyle w:val="6"/>
              <w:spacing w:before="25" w:line="233" w:lineRule="auto"/>
              <w:ind w:left="132"/>
              <w:rPr>
                <w:rFonts w:ascii="仿宋" w:hAnsi="仿宋" w:eastAsia="仿宋" w:cs="仿宋"/>
                <w:sz w:val="18"/>
                <w:szCs w:val="18"/>
              </w:rPr>
            </w:pPr>
            <w:r>
              <w:rPr>
                <w:spacing w:val="-4"/>
                <w:sz w:val="18"/>
                <w:szCs w:val="18"/>
              </w:rPr>
              <w:t>18#</w:t>
            </w:r>
            <w:r>
              <w:rPr>
                <w:rFonts w:ascii="仿宋" w:hAnsi="仿宋" w:eastAsia="仿宋" w:cs="仿宋"/>
                <w:spacing w:val="-4"/>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77" w:type="dxa"/>
            <w:vMerge w:val="continue"/>
            <w:tcBorders>
              <w:top w:val="nil"/>
              <w:left w:val="nil"/>
              <w:bottom w:val="nil"/>
            </w:tcBorders>
            <w:vAlign w:val="top"/>
          </w:tcPr>
          <w:p>
            <w:pPr>
              <w:rPr>
                <w:rFonts w:ascii="Arial"/>
                <w:sz w:val="21"/>
              </w:rPr>
            </w:pPr>
          </w:p>
        </w:tc>
        <w:tc>
          <w:tcPr>
            <w:tcW w:w="1383" w:type="dxa"/>
            <w:vAlign w:val="top"/>
          </w:tcPr>
          <w:p>
            <w:pPr>
              <w:spacing w:before="269" w:line="217" w:lineRule="auto"/>
              <w:ind w:left="161"/>
              <w:rPr>
                <w:rFonts w:ascii="仿宋" w:hAnsi="仿宋" w:eastAsia="仿宋" w:cs="仿宋"/>
                <w:sz w:val="18"/>
                <w:szCs w:val="18"/>
              </w:rPr>
            </w:pPr>
            <w:r>
              <w:rPr>
                <w:rFonts w:ascii="仿宋" w:hAnsi="仿宋" w:eastAsia="仿宋" w:cs="仿宋"/>
                <w:spacing w:val="-2"/>
                <w:sz w:val="18"/>
                <w:szCs w:val="18"/>
              </w:rPr>
              <w:t>导流放空隧洞</w:t>
            </w:r>
          </w:p>
        </w:tc>
        <w:tc>
          <w:tcPr>
            <w:tcW w:w="910" w:type="dxa"/>
            <w:vAlign w:val="top"/>
          </w:tcPr>
          <w:p>
            <w:pPr>
              <w:spacing w:line="247" w:lineRule="auto"/>
              <w:rPr>
                <w:rFonts w:ascii="Arial"/>
                <w:sz w:val="21"/>
              </w:rPr>
            </w:pPr>
          </w:p>
          <w:p>
            <w:pPr>
              <w:pStyle w:val="6"/>
              <w:spacing w:before="52" w:line="188" w:lineRule="auto"/>
              <w:ind w:left="184"/>
              <w:rPr>
                <w:sz w:val="18"/>
                <w:szCs w:val="18"/>
              </w:rPr>
            </w:pPr>
            <w:r>
              <w:rPr>
                <w:spacing w:val="-4"/>
                <w:sz w:val="18"/>
                <w:szCs w:val="18"/>
              </w:rPr>
              <w:t>11812.0</w:t>
            </w:r>
          </w:p>
        </w:tc>
        <w:tc>
          <w:tcPr>
            <w:tcW w:w="843" w:type="dxa"/>
            <w:vAlign w:val="top"/>
          </w:tcPr>
          <w:p>
            <w:pPr>
              <w:rPr>
                <w:rFonts w:ascii="Arial"/>
                <w:sz w:val="21"/>
              </w:rPr>
            </w:pPr>
          </w:p>
        </w:tc>
        <w:tc>
          <w:tcPr>
            <w:tcW w:w="812" w:type="dxa"/>
            <w:vAlign w:val="top"/>
          </w:tcPr>
          <w:p>
            <w:pPr>
              <w:spacing w:line="247" w:lineRule="auto"/>
              <w:rPr>
                <w:rFonts w:ascii="Arial"/>
                <w:sz w:val="21"/>
              </w:rPr>
            </w:pPr>
          </w:p>
          <w:p>
            <w:pPr>
              <w:pStyle w:val="6"/>
              <w:spacing w:before="52" w:line="188" w:lineRule="auto"/>
              <w:ind w:left="220"/>
              <w:rPr>
                <w:sz w:val="18"/>
                <w:szCs w:val="18"/>
              </w:rPr>
            </w:pPr>
            <w:r>
              <w:rPr>
                <w:spacing w:val="-5"/>
                <w:sz w:val="18"/>
                <w:szCs w:val="18"/>
              </w:rPr>
              <w:t>196.0</w:t>
            </w:r>
          </w:p>
        </w:tc>
        <w:tc>
          <w:tcPr>
            <w:tcW w:w="750" w:type="dxa"/>
            <w:vAlign w:val="top"/>
          </w:tcPr>
          <w:p>
            <w:pPr>
              <w:rPr>
                <w:rFonts w:ascii="Arial"/>
                <w:sz w:val="21"/>
              </w:rPr>
            </w:pPr>
          </w:p>
        </w:tc>
        <w:tc>
          <w:tcPr>
            <w:tcW w:w="1762" w:type="dxa"/>
            <w:vAlign w:val="top"/>
          </w:tcPr>
          <w:p>
            <w:pPr>
              <w:rPr>
                <w:rFonts w:ascii="Arial"/>
                <w:sz w:val="21"/>
              </w:rPr>
            </w:pPr>
          </w:p>
        </w:tc>
        <w:tc>
          <w:tcPr>
            <w:tcW w:w="739" w:type="dxa"/>
            <w:vAlign w:val="top"/>
          </w:tcPr>
          <w:p>
            <w:pPr>
              <w:spacing w:line="247" w:lineRule="auto"/>
              <w:rPr>
                <w:rFonts w:ascii="Arial"/>
                <w:sz w:val="21"/>
              </w:rPr>
            </w:pPr>
          </w:p>
          <w:p>
            <w:pPr>
              <w:pStyle w:val="6"/>
              <w:spacing w:before="52" w:line="188" w:lineRule="auto"/>
              <w:ind w:left="127"/>
              <w:rPr>
                <w:sz w:val="18"/>
                <w:szCs w:val="18"/>
              </w:rPr>
            </w:pPr>
            <w:r>
              <w:rPr>
                <w:spacing w:val="-2"/>
                <w:sz w:val="18"/>
                <w:szCs w:val="18"/>
              </w:rPr>
              <w:t>5535.6</w:t>
            </w:r>
          </w:p>
        </w:tc>
        <w:tc>
          <w:tcPr>
            <w:tcW w:w="1164" w:type="dxa"/>
            <w:vAlign w:val="top"/>
          </w:tcPr>
          <w:p>
            <w:pPr>
              <w:spacing w:before="36" w:line="219" w:lineRule="auto"/>
              <w:ind w:left="230"/>
              <w:rPr>
                <w:rFonts w:ascii="仿宋" w:hAnsi="仿宋" w:eastAsia="仿宋" w:cs="仿宋"/>
                <w:sz w:val="18"/>
                <w:szCs w:val="18"/>
              </w:rPr>
            </w:pPr>
            <w:r>
              <w:rPr>
                <w:rFonts w:ascii="仿宋" w:hAnsi="仿宋" w:eastAsia="仿宋" w:cs="仿宋"/>
                <w:spacing w:val="-2"/>
                <w:sz w:val="18"/>
                <w:szCs w:val="18"/>
              </w:rPr>
              <w:t>洞挖石方</w:t>
            </w:r>
          </w:p>
          <w:p>
            <w:pPr>
              <w:pStyle w:val="6"/>
              <w:spacing w:before="19" w:line="220" w:lineRule="auto"/>
              <w:ind w:left="151"/>
              <w:rPr>
                <w:rFonts w:ascii="仿宋" w:hAnsi="仿宋" w:eastAsia="仿宋" w:cs="仿宋"/>
                <w:sz w:val="18"/>
                <w:szCs w:val="18"/>
              </w:rPr>
            </w:pPr>
            <w:r>
              <w:rPr>
                <w:spacing w:val="-2"/>
                <w:sz w:val="18"/>
                <w:szCs w:val="18"/>
              </w:rPr>
              <w:t>70%</w:t>
            </w:r>
            <w:r>
              <w:rPr>
                <w:rFonts w:ascii="仿宋" w:hAnsi="仿宋" w:eastAsia="仿宋" w:cs="仿宋"/>
                <w:spacing w:val="-2"/>
                <w:sz w:val="18"/>
                <w:szCs w:val="18"/>
              </w:rPr>
              <w:t>用于大</w:t>
            </w:r>
          </w:p>
          <w:p>
            <w:pPr>
              <w:spacing w:before="20" w:line="194" w:lineRule="auto"/>
              <w:ind w:left="325"/>
              <w:rPr>
                <w:rFonts w:ascii="仿宋" w:hAnsi="仿宋" w:eastAsia="仿宋" w:cs="仿宋"/>
                <w:sz w:val="18"/>
                <w:szCs w:val="18"/>
              </w:rPr>
            </w:pPr>
            <w:r>
              <w:rPr>
                <w:rFonts w:ascii="仿宋" w:hAnsi="仿宋" w:eastAsia="仿宋" w:cs="仿宋"/>
                <w:spacing w:val="-4"/>
                <w:sz w:val="18"/>
                <w:szCs w:val="18"/>
              </w:rPr>
              <w:t>坝填筑</w:t>
            </w: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spacing w:line="247" w:lineRule="auto"/>
              <w:rPr>
                <w:rFonts w:ascii="Arial"/>
                <w:sz w:val="21"/>
              </w:rPr>
            </w:pPr>
          </w:p>
          <w:p>
            <w:pPr>
              <w:pStyle w:val="6"/>
              <w:spacing w:before="52" w:line="188" w:lineRule="auto"/>
              <w:ind w:left="277"/>
              <w:rPr>
                <w:sz w:val="18"/>
                <w:szCs w:val="18"/>
              </w:rPr>
            </w:pPr>
            <w:r>
              <w:rPr>
                <w:spacing w:val="-2"/>
                <w:sz w:val="18"/>
                <w:szCs w:val="18"/>
              </w:rPr>
              <w:t>6080.4</w:t>
            </w:r>
          </w:p>
        </w:tc>
        <w:tc>
          <w:tcPr>
            <w:tcW w:w="897" w:type="dxa"/>
            <w:vAlign w:val="top"/>
          </w:tcPr>
          <w:p>
            <w:pPr>
              <w:spacing w:line="247" w:lineRule="auto"/>
              <w:rPr>
                <w:rFonts w:ascii="Arial"/>
                <w:sz w:val="21"/>
              </w:rPr>
            </w:pPr>
          </w:p>
          <w:p>
            <w:pPr>
              <w:pStyle w:val="6"/>
              <w:spacing w:before="52" w:line="188" w:lineRule="auto"/>
              <w:ind w:left="205"/>
              <w:rPr>
                <w:sz w:val="18"/>
                <w:szCs w:val="18"/>
              </w:rPr>
            </w:pPr>
            <w:r>
              <w:rPr>
                <w:spacing w:val="-2"/>
                <w:sz w:val="18"/>
                <w:szCs w:val="18"/>
              </w:rPr>
              <w:t>7600.5</w:t>
            </w:r>
          </w:p>
        </w:tc>
        <w:tc>
          <w:tcPr>
            <w:tcW w:w="1036" w:type="dxa"/>
            <w:tcBorders>
              <w:right w:val="nil"/>
            </w:tcBorders>
            <w:vAlign w:val="top"/>
          </w:tcPr>
          <w:p>
            <w:pPr>
              <w:pStyle w:val="6"/>
              <w:spacing w:before="269" w:line="219" w:lineRule="auto"/>
              <w:ind w:left="176"/>
              <w:rPr>
                <w:rFonts w:ascii="仿宋" w:hAnsi="仿宋" w:eastAsia="仿宋" w:cs="仿宋"/>
                <w:sz w:val="18"/>
                <w:szCs w:val="18"/>
              </w:rPr>
            </w:pPr>
            <w:r>
              <w:rPr>
                <w:spacing w:val="-5"/>
                <w:sz w:val="18"/>
                <w:szCs w:val="18"/>
              </w:rPr>
              <w:t>1#</w:t>
            </w:r>
            <w:r>
              <w:rPr>
                <w:rFonts w:ascii="仿宋" w:hAnsi="仿宋" w:eastAsia="仿宋" w:cs="仿宋"/>
                <w:spacing w:val="-5"/>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77" w:type="dxa"/>
            <w:vMerge w:val="continue"/>
            <w:tcBorders>
              <w:top w:val="nil"/>
              <w:left w:val="nil"/>
              <w:bottom w:val="nil"/>
            </w:tcBorders>
            <w:vAlign w:val="top"/>
          </w:tcPr>
          <w:p>
            <w:pPr>
              <w:rPr>
                <w:rFonts w:ascii="Arial"/>
                <w:sz w:val="21"/>
              </w:rPr>
            </w:pPr>
          </w:p>
        </w:tc>
        <w:tc>
          <w:tcPr>
            <w:tcW w:w="1383" w:type="dxa"/>
            <w:vAlign w:val="top"/>
          </w:tcPr>
          <w:p>
            <w:pPr>
              <w:spacing w:before="272" w:line="221" w:lineRule="auto"/>
              <w:ind w:left="434"/>
              <w:rPr>
                <w:rFonts w:ascii="仿宋" w:hAnsi="仿宋" w:eastAsia="仿宋" w:cs="仿宋"/>
                <w:sz w:val="18"/>
                <w:szCs w:val="18"/>
              </w:rPr>
            </w:pPr>
            <w:r>
              <w:rPr>
                <w:rFonts w:ascii="仿宋" w:hAnsi="仿宋" w:eastAsia="仿宋" w:cs="仿宋"/>
                <w:spacing w:val="-4"/>
                <w:sz w:val="18"/>
                <w:szCs w:val="18"/>
              </w:rPr>
              <w:t>溢洪道</w:t>
            </w:r>
          </w:p>
        </w:tc>
        <w:tc>
          <w:tcPr>
            <w:tcW w:w="910" w:type="dxa"/>
            <w:vAlign w:val="top"/>
          </w:tcPr>
          <w:p>
            <w:pPr>
              <w:spacing w:line="250" w:lineRule="auto"/>
              <w:rPr>
                <w:rFonts w:ascii="Arial"/>
                <w:sz w:val="21"/>
              </w:rPr>
            </w:pPr>
          </w:p>
          <w:p>
            <w:pPr>
              <w:pStyle w:val="6"/>
              <w:spacing w:before="51" w:line="188" w:lineRule="auto"/>
              <w:ind w:left="135"/>
              <w:rPr>
                <w:sz w:val="18"/>
                <w:szCs w:val="18"/>
              </w:rPr>
            </w:pPr>
            <w:r>
              <w:rPr>
                <w:spacing w:val="-3"/>
                <w:sz w:val="18"/>
                <w:szCs w:val="18"/>
              </w:rPr>
              <w:t>187107.0</w:t>
            </w:r>
          </w:p>
        </w:tc>
        <w:tc>
          <w:tcPr>
            <w:tcW w:w="843" w:type="dxa"/>
            <w:vAlign w:val="top"/>
          </w:tcPr>
          <w:p>
            <w:pPr>
              <w:rPr>
                <w:rFonts w:ascii="Arial"/>
                <w:sz w:val="21"/>
              </w:rPr>
            </w:pPr>
          </w:p>
        </w:tc>
        <w:tc>
          <w:tcPr>
            <w:tcW w:w="812" w:type="dxa"/>
            <w:vAlign w:val="top"/>
          </w:tcPr>
          <w:p>
            <w:pPr>
              <w:spacing w:line="250" w:lineRule="auto"/>
              <w:rPr>
                <w:rFonts w:ascii="Arial"/>
                <w:sz w:val="21"/>
              </w:rPr>
            </w:pPr>
          </w:p>
          <w:p>
            <w:pPr>
              <w:pStyle w:val="6"/>
              <w:spacing w:before="51" w:line="188" w:lineRule="auto"/>
              <w:ind w:left="163"/>
              <w:rPr>
                <w:sz w:val="18"/>
                <w:szCs w:val="18"/>
              </w:rPr>
            </w:pPr>
            <w:r>
              <w:rPr>
                <w:spacing w:val="-2"/>
                <w:sz w:val="18"/>
                <w:szCs w:val="18"/>
              </w:rPr>
              <w:t>5361.0</w:t>
            </w:r>
          </w:p>
        </w:tc>
        <w:tc>
          <w:tcPr>
            <w:tcW w:w="750" w:type="dxa"/>
            <w:vAlign w:val="top"/>
          </w:tcPr>
          <w:p>
            <w:pPr>
              <w:rPr>
                <w:rFonts w:ascii="Arial"/>
                <w:sz w:val="21"/>
              </w:rPr>
            </w:pPr>
          </w:p>
        </w:tc>
        <w:tc>
          <w:tcPr>
            <w:tcW w:w="1762" w:type="dxa"/>
            <w:vAlign w:val="top"/>
          </w:tcPr>
          <w:p>
            <w:pPr>
              <w:rPr>
                <w:rFonts w:ascii="Arial"/>
                <w:sz w:val="21"/>
              </w:rPr>
            </w:pPr>
          </w:p>
        </w:tc>
        <w:tc>
          <w:tcPr>
            <w:tcW w:w="739" w:type="dxa"/>
            <w:vAlign w:val="top"/>
          </w:tcPr>
          <w:p>
            <w:pPr>
              <w:pStyle w:val="6"/>
              <w:spacing w:before="199" w:line="214" w:lineRule="auto"/>
              <w:ind w:left="327" w:right="119" w:hanging="201"/>
              <w:rPr>
                <w:sz w:val="18"/>
                <w:szCs w:val="18"/>
              </w:rPr>
            </w:pPr>
            <w:r>
              <w:rPr>
                <w:spacing w:val="-2"/>
                <w:sz w:val="18"/>
                <w:szCs w:val="18"/>
              </w:rPr>
              <w:t>74335.</w:t>
            </w:r>
            <w:r>
              <w:rPr>
                <w:spacing w:val="4"/>
                <w:sz w:val="18"/>
                <w:szCs w:val="18"/>
              </w:rPr>
              <w:t xml:space="preserve"> </w:t>
            </w:r>
            <w:r>
              <w:rPr>
                <w:sz w:val="18"/>
                <w:szCs w:val="18"/>
              </w:rPr>
              <w:t>0</w:t>
            </w:r>
          </w:p>
        </w:tc>
        <w:tc>
          <w:tcPr>
            <w:tcW w:w="1164" w:type="dxa"/>
            <w:vAlign w:val="top"/>
          </w:tcPr>
          <w:p>
            <w:pPr>
              <w:spacing w:before="39" w:line="218" w:lineRule="auto"/>
              <w:ind w:left="141"/>
              <w:rPr>
                <w:rFonts w:ascii="仿宋" w:hAnsi="仿宋" w:eastAsia="仿宋" w:cs="仿宋"/>
                <w:sz w:val="18"/>
                <w:szCs w:val="18"/>
              </w:rPr>
            </w:pPr>
            <w:r>
              <w:rPr>
                <w:rFonts w:ascii="仿宋" w:hAnsi="仿宋" w:eastAsia="仿宋" w:cs="仿宋"/>
                <w:spacing w:val="-2"/>
                <w:sz w:val="18"/>
                <w:szCs w:val="18"/>
              </w:rPr>
              <w:t>开挖石方的</w:t>
            </w:r>
          </w:p>
          <w:p>
            <w:pPr>
              <w:pStyle w:val="6"/>
              <w:spacing w:before="19" w:line="220" w:lineRule="auto"/>
              <w:ind w:left="153"/>
              <w:rPr>
                <w:rFonts w:ascii="仿宋" w:hAnsi="仿宋" w:eastAsia="仿宋" w:cs="仿宋"/>
                <w:sz w:val="18"/>
                <w:szCs w:val="18"/>
              </w:rPr>
            </w:pPr>
            <w:r>
              <w:rPr>
                <w:spacing w:val="-2"/>
                <w:sz w:val="18"/>
                <w:szCs w:val="18"/>
              </w:rPr>
              <w:t>50%</w:t>
            </w:r>
            <w:r>
              <w:rPr>
                <w:rFonts w:ascii="仿宋" w:hAnsi="仿宋" w:eastAsia="仿宋" w:cs="仿宋"/>
                <w:spacing w:val="-2"/>
                <w:sz w:val="18"/>
                <w:szCs w:val="18"/>
              </w:rPr>
              <w:t>用于大</w:t>
            </w:r>
          </w:p>
          <w:p>
            <w:pPr>
              <w:spacing w:before="19" w:line="192" w:lineRule="auto"/>
              <w:ind w:left="325"/>
              <w:rPr>
                <w:rFonts w:ascii="仿宋" w:hAnsi="仿宋" w:eastAsia="仿宋" w:cs="仿宋"/>
                <w:sz w:val="18"/>
                <w:szCs w:val="18"/>
              </w:rPr>
            </w:pPr>
            <w:r>
              <w:rPr>
                <w:rFonts w:ascii="仿宋" w:hAnsi="仿宋" w:eastAsia="仿宋" w:cs="仿宋"/>
                <w:spacing w:val="-4"/>
                <w:sz w:val="18"/>
                <w:szCs w:val="18"/>
              </w:rPr>
              <w:t>坝填筑</w:t>
            </w: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spacing w:line="250" w:lineRule="auto"/>
              <w:rPr>
                <w:rFonts w:ascii="Arial"/>
                <w:sz w:val="21"/>
              </w:rPr>
            </w:pPr>
          </w:p>
          <w:p>
            <w:pPr>
              <w:pStyle w:val="6"/>
              <w:spacing w:before="51" w:line="188" w:lineRule="auto"/>
              <w:ind w:left="203"/>
              <w:rPr>
                <w:sz w:val="18"/>
                <w:szCs w:val="18"/>
              </w:rPr>
            </w:pPr>
            <w:r>
              <w:rPr>
                <w:spacing w:val="-4"/>
                <w:sz w:val="18"/>
                <w:szCs w:val="18"/>
              </w:rPr>
              <w:t>107411.0</w:t>
            </w:r>
          </w:p>
        </w:tc>
        <w:tc>
          <w:tcPr>
            <w:tcW w:w="897" w:type="dxa"/>
            <w:vAlign w:val="top"/>
          </w:tcPr>
          <w:p>
            <w:pPr>
              <w:spacing w:line="250" w:lineRule="auto"/>
              <w:rPr>
                <w:rFonts w:ascii="Arial"/>
                <w:sz w:val="21"/>
              </w:rPr>
            </w:pPr>
          </w:p>
          <w:p>
            <w:pPr>
              <w:pStyle w:val="6"/>
              <w:spacing w:before="51" w:line="188" w:lineRule="auto"/>
              <w:ind w:left="130"/>
              <w:rPr>
                <w:sz w:val="18"/>
                <w:szCs w:val="18"/>
              </w:rPr>
            </w:pPr>
            <w:r>
              <w:rPr>
                <w:spacing w:val="-3"/>
                <w:sz w:val="18"/>
                <w:szCs w:val="18"/>
              </w:rPr>
              <w:t>134263.8</w:t>
            </w:r>
          </w:p>
        </w:tc>
        <w:tc>
          <w:tcPr>
            <w:tcW w:w="1036" w:type="dxa"/>
            <w:tcBorders>
              <w:right w:val="nil"/>
            </w:tcBorders>
            <w:vAlign w:val="top"/>
          </w:tcPr>
          <w:p>
            <w:pPr>
              <w:pStyle w:val="6"/>
              <w:spacing w:before="156" w:line="229" w:lineRule="auto"/>
              <w:ind w:left="347" w:right="157" w:hanging="171"/>
              <w:rPr>
                <w:rFonts w:ascii="仿宋" w:hAnsi="仿宋" w:eastAsia="仿宋" w:cs="仿宋"/>
                <w:sz w:val="18"/>
                <w:szCs w:val="18"/>
              </w:rPr>
            </w:pPr>
            <w:r>
              <w:rPr>
                <w:spacing w:val="-8"/>
                <w:sz w:val="18"/>
                <w:szCs w:val="18"/>
              </w:rPr>
              <w:t>1#</w:t>
            </w:r>
            <w:r>
              <w:rPr>
                <w:spacing w:val="-20"/>
                <w:sz w:val="18"/>
                <w:szCs w:val="18"/>
              </w:rPr>
              <w:t xml:space="preserve"> </w:t>
            </w:r>
            <w:r>
              <w:rPr>
                <w:rFonts w:ascii="仿宋" w:hAnsi="仿宋" w:eastAsia="仿宋" w:cs="仿宋"/>
                <w:spacing w:val="-8"/>
                <w:sz w:val="18"/>
                <w:szCs w:val="18"/>
              </w:rPr>
              <w:t>、</w:t>
            </w:r>
            <w:r>
              <w:rPr>
                <w:spacing w:val="-8"/>
                <w:sz w:val="18"/>
                <w:szCs w:val="18"/>
              </w:rPr>
              <w:t>2#</w:t>
            </w:r>
            <w:r>
              <w:rPr>
                <w:rFonts w:ascii="仿宋" w:hAnsi="仿宋" w:eastAsia="仿宋" w:cs="仿宋"/>
                <w:spacing w:val="-8"/>
                <w:sz w:val="18"/>
                <w:szCs w:val="18"/>
              </w:rPr>
              <w:t>弃</w:t>
            </w:r>
            <w:r>
              <w:rPr>
                <w:rFonts w:ascii="仿宋" w:hAnsi="仿宋" w:eastAsia="仿宋" w:cs="仿宋"/>
                <w:sz w:val="18"/>
                <w:szCs w:val="18"/>
              </w:rPr>
              <w:t xml:space="preserve"> </w:t>
            </w:r>
            <w:r>
              <w:rPr>
                <w:rFonts w:ascii="仿宋" w:hAnsi="仿宋" w:eastAsia="仿宋" w:cs="仿宋"/>
                <w:spacing w:val="-4"/>
                <w:sz w:val="18"/>
                <w:szCs w:val="18"/>
              </w:rPr>
              <w:t>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68" w:hRule="atLeast"/>
        </w:trPr>
        <w:tc>
          <w:tcPr>
            <w:tcW w:w="777" w:type="dxa"/>
            <w:vMerge w:val="continue"/>
            <w:tcBorders>
              <w:top w:val="nil"/>
              <w:left w:val="nil"/>
              <w:bottom w:val="nil"/>
            </w:tcBorders>
            <w:vAlign w:val="top"/>
          </w:tcPr>
          <w:p>
            <w:pPr>
              <w:rPr>
                <w:rFonts w:ascii="Arial"/>
                <w:sz w:val="21"/>
              </w:rPr>
            </w:pPr>
          </w:p>
        </w:tc>
        <w:tc>
          <w:tcPr>
            <w:tcW w:w="1383" w:type="dxa"/>
            <w:vAlign w:val="top"/>
          </w:tcPr>
          <w:p>
            <w:pPr>
              <w:spacing w:line="447" w:lineRule="auto"/>
              <w:rPr>
                <w:rFonts w:ascii="Arial"/>
                <w:sz w:val="21"/>
              </w:rPr>
            </w:pPr>
          </w:p>
          <w:p>
            <w:pPr>
              <w:spacing w:before="59" w:line="217" w:lineRule="auto"/>
              <w:ind w:left="341"/>
              <w:rPr>
                <w:rFonts w:ascii="仿宋" w:hAnsi="仿宋" w:eastAsia="仿宋" w:cs="仿宋"/>
                <w:sz w:val="18"/>
                <w:szCs w:val="18"/>
              </w:rPr>
            </w:pPr>
            <w:r>
              <w:rPr>
                <w:rFonts w:ascii="仿宋" w:hAnsi="仿宋" w:eastAsia="仿宋" w:cs="仿宋"/>
                <w:spacing w:val="-3"/>
                <w:sz w:val="18"/>
                <w:szCs w:val="18"/>
              </w:rPr>
              <w:t>输水隧洞</w:t>
            </w:r>
          </w:p>
        </w:tc>
        <w:tc>
          <w:tcPr>
            <w:tcW w:w="910" w:type="dxa"/>
            <w:vAlign w:val="top"/>
          </w:tcPr>
          <w:p>
            <w:pPr>
              <w:spacing w:line="241" w:lineRule="auto"/>
              <w:rPr>
                <w:rFonts w:ascii="Arial"/>
                <w:sz w:val="21"/>
              </w:rPr>
            </w:pPr>
          </w:p>
          <w:p>
            <w:pPr>
              <w:spacing w:line="242" w:lineRule="auto"/>
              <w:rPr>
                <w:rFonts w:ascii="Arial"/>
                <w:sz w:val="21"/>
              </w:rPr>
            </w:pPr>
          </w:p>
          <w:p>
            <w:pPr>
              <w:pStyle w:val="6"/>
              <w:spacing w:before="52" w:line="188" w:lineRule="auto"/>
              <w:ind w:left="118"/>
              <w:rPr>
                <w:sz w:val="18"/>
                <w:szCs w:val="18"/>
              </w:rPr>
            </w:pPr>
            <w:r>
              <w:rPr>
                <w:spacing w:val="-1"/>
                <w:sz w:val="18"/>
                <w:szCs w:val="18"/>
              </w:rPr>
              <w:t>23833.00</w:t>
            </w:r>
          </w:p>
        </w:tc>
        <w:tc>
          <w:tcPr>
            <w:tcW w:w="843" w:type="dxa"/>
            <w:vAlign w:val="top"/>
          </w:tcPr>
          <w:p>
            <w:pPr>
              <w:rPr>
                <w:rFonts w:ascii="Arial"/>
                <w:sz w:val="21"/>
              </w:rPr>
            </w:pPr>
          </w:p>
        </w:tc>
        <w:tc>
          <w:tcPr>
            <w:tcW w:w="812" w:type="dxa"/>
            <w:vAlign w:val="top"/>
          </w:tcPr>
          <w:p>
            <w:pPr>
              <w:spacing w:line="241" w:lineRule="auto"/>
              <w:rPr>
                <w:rFonts w:ascii="Arial"/>
                <w:sz w:val="21"/>
              </w:rPr>
            </w:pPr>
          </w:p>
          <w:p>
            <w:pPr>
              <w:spacing w:line="242" w:lineRule="auto"/>
              <w:rPr>
                <w:rFonts w:ascii="Arial"/>
                <w:sz w:val="21"/>
              </w:rPr>
            </w:pPr>
          </w:p>
          <w:p>
            <w:pPr>
              <w:pStyle w:val="6"/>
              <w:spacing w:before="52" w:line="188" w:lineRule="auto"/>
              <w:ind w:left="220"/>
              <w:rPr>
                <w:sz w:val="18"/>
                <w:szCs w:val="18"/>
              </w:rPr>
            </w:pPr>
            <w:r>
              <w:rPr>
                <w:spacing w:val="-5"/>
                <w:sz w:val="18"/>
                <w:szCs w:val="18"/>
              </w:rPr>
              <w:t>184.0</w:t>
            </w:r>
          </w:p>
        </w:tc>
        <w:tc>
          <w:tcPr>
            <w:tcW w:w="750" w:type="dxa"/>
            <w:vAlign w:val="top"/>
          </w:tcPr>
          <w:p>
            <w:pPr>
              <w:rPr>
                <w:rFonts w:ascii="Arial"/>
                <w:sz w:val="21"/>
              </w:rPr>
            </w:pPr>
          </w:p>
        </w:tc>
        <w:tc>
          <w:tcPr>
            <w:tcW w:w="1762" w:type="dxa"/>
            <w:vAlign w:val="top"/>
          </w:tcPr>
          <w:p>
            <w:pPr>
              <w:rPr>
                <w:rFonts w:ascii="Arial"/>
                <w:sz w:val="21"/>
              </w:rPr>
            </w:pPr>
          </w:p>
        </w:tc>
        <w:tc>
          <w:tcPr>
            <w:tcW w:w="739" w:type="dxa"/>
            <w:vAlign w:val="top"/>
          </w:tcPr>
          <w:p>
            <w:pPr>
              <w:spacing w:line="241" w:lineRule="auto"/>
              <w:rPr>
                <w:rFonts w:ascii="Arial"/>
                <w:sz w:val="21"/>
              </w:rPr>
            </w:pPr>
          </w:p>
          <w:p>
            <w:pPr>
              <w:spacing w:line="242" w:lineRule="auto"/>
              <w:rPr>
                <w:rFonts w:ascii="Arial"/>
                <w:sz w:val="21"/>
              </w:rPr>
            </w:pPr>
          </w:p>
          <w:p>
            <w:pPr>
              <w:pStyle w:val="6"/>
              <w:spacing w:before="52" w:line="188" w:lineRule="auto"/>
              <w:ind w:left="126"/>
              <w:rPr>
                <w:sz w:val="18"/>
                <w:szCs w:val="18"/>
              </w:rPr>
            </w:pPr>
            <w:r>
              <w:rPr>
                <w:spacing w:val="-2"/>
                <w:sz w:val="18"/>
                <w:szCs w:val="18"/>
              </w:rPr>
              <w:t>6921.0</w:t>
            </w:r>
          </w:p>
        </w:tc>
        <w:tc>
          <w:tcPr>
            <w:tcW w:w="1164" w:type="dxa"/>
            <w:vAlign w:val="top"/>
          </w:tcPr>
          <w:p>
            <w:pPr>
              <w:spacing w:before="42" w:line="220" w:lineRule="auto"/>
              <w:ind w:left="144"/>
              <w:rPr>
                <w:rFonts w:ascii="仿宋" w:hAnsi="仿宋" w:eastAsia="仿宋" w:cs="仿宋"/>
                <w:sz w:val="18"/>
                <w:szCs w:val="18"/>
              </w:rPr>
            </w:pPr>
            <w:r>
              <w:rPr>
                <w:rFonts w:ascii="仿宋" w:hAnsi="仿宋" w:eastAsia="仿宋" w:cs="仿宋"/>
                <w:spacing w:val="-3"/>
                <w:sz w:val="18"/>
                <w:szCs w:val="18"/>
              </w:rPr>
              <w:t>一般石方的</w:t>
            </w:r>
          </w:p>
          <w:p>
            <w:pPr>
              <w:pStyle w:val="6"/>
              <w:spacing w:before="17" w:line="219" w:lineRule="auto"/>
              <w:ind w:left="153"/>
              <w:rPr>
                <w:rFonts w:ascii="仿宋" w:hAnsi="仿宋" w:eastAsia="仿宋" w:cs="仿宋"/>
                <w:sz w:val="18"/>
                <w:szCs w:val="18"/>
              </w:rPr>
            </w:pPr>
            <w:r>
              <w:rPr>
                <w:spacing w:val="-2"/>
                <w:sz w:val="18"/>
                <w:szCs w:val="18"/>
              </w:rPr>
              <w:t>50%</w:t>
            </w:r>
            <w:r>
              <w:rPr>
                <w:rFonts w:ascii="仿宋" w:hAnsi="仿宋" w:eastAsia="仿宋" w:cs="仿宋"/>
                <w:spacing w:val="-2"/>
                <w:sz w:val="18"/>
                <w:szCs w:val="18"/>
              </w:rPr>
              <w:t>及洞挖</w:t>
            </w:r>
          </w:p>
          <w:p>
            <w:pPr>
              <w:pStyle w:val="6"/>
              <w:spacing w:before="20" w:line="220" w:lineRule="auto"/>
              <w:ind w:left="134"/>
              <w:rPr>
                <w:sz w:val="18"/>
                <w:szCs w:val="18"/>
              </w:rPr>
            </w:pPr>
            <w:r>
              <w:rPr>
                <w:rFonts w:ascii="仿宋" w:hAnsi="仿宋" w:eastAsia="仿宋" w:cs="仿宋"/>
                <w:spacing w:val="-3"/>
                <w:sz w:val="18"/>
                <w:szCs w:val="18"/>
              </w:rPr>
              <w:t>石方的</w:t>
            </w:r>
            <w:r>
              <w:rPr>
                <w:rFonts w:ascii="仿宋" w:hAnsi="仿宋" w:eastAsia="仿宋" w:cs="仿宋"/>
                <w:spacing w:val="-38"/>
                <w:sz w:val="18"/>
                <w:szCs w:val="18"/>
              </w:rPr>
              <w:t xml:space="preserve"> </w:t>
            </w:r>
            <w:r>
              <w:rPr>
                <w:spacing w:val="-3"/>
                <w:sz w:val="18"/>
                <w:szCs w:val="18"/>
              </w:rPr>
              <w:t>35%</w:t>
            </w:r>
          </w:p>
          <w:p>
            <w:pPr>
              <w:spacing w:before="17" w:line="219" w:lineRule="auto"/>
              <w:ind w:left="141"/>
              <w:rPr>
                <w:rFonts w:ascii="仿宋" w:hAnsi="仿宋" w:eastAsia="仿宋" w:cs="仿宋"/>
                <w:sz w:val="18"/>
                <w:szCs w:val="18"/>
              </w:rPr>
            </w:pPr>
            <w:r>
              <w:rPr>
                <w:rFonts w:ascii="仿宋" w:hAnsi="仿宋" w:eastAsia="仿宋" w:cs="仿宋"/>
                <w:spacing w:val="-2"/>
                <w:sz w:val="18"/>
                <w:szCs w:val="18"/>
              </w:rPr>
              <w:t>用于大坝填</w:t>
            </w:r>
          </w:p>
          <w:p>
            <w:pPr>
              <w:spacing w:before="21" w:line="187" w:lineRule="auto"/>
              <w:ind w:left="503"/>
              <w:rPr>
                <w:rFonts w:ascii="仿宋" w:hAnsi="仿宋" w:eastAsia="仿宋" w:cs="仿宋"/>
                <w:sz w:val="18"/>
                <w:szCs w:val="18"/>
              </w:rPr>
            </w:pPr>
            <w:r>
              <w:rPr>
                <w:rFonts w:ascii="仿宋" w:hAnsi="仿宋" w:eastAsia="仿宋" w:cs="仿宋"/>
                <w:sz w:val="18"/>
                <w:szCs w:val="18"/>
              </w:rPr>
              <w:t>筑</w:t>
            </w: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spacing w:line="241" w:lineRule="auto"/>
              <w:rPr>
                <w:rFonts w:ascii="Arial"/>
                <w:sz w:val="21"/>
              </w:rPr>
            </w:pPr>
          </w:p>
          <w:p>
            <w:pPr>
              <w:spacing w:line="242" w:lineRule="auto"/>
              <w:rPr>
                <w:rFonts w:ascii="Arial"/>
                <w:sz w:val="21"/>
              </w:rPr>
            </w:pPr>
          </w:p>
          <w:p>
            <w:pPr>
              <w:pStyle w:val="6"/>
              <w:spacing w:before="52" w:line="188" w:lineRule="auto"/>
              <w:ind w:left="244"/>
              <w:rPr>
                <w:sz w:val="18"/>
                <w:szCs w:val="18"/>
              </w:rPr>
            </w:pPr>
            <w:r>
              <w:rPr>
                <w:spacing w:val="-3"/>
                <w:sz w:val="18"/>
                <w:szCs w:val="18"/>
              </w:rPr>
              <w:t>16728.0</w:t>
            </w:r>
          </w:p>
        </w:tc>
        <w:tc>
          <w:tcPr>
            <w:tcW w:w="897" w:type="dxa"/>
            <w:vAlign w:val="top"/>
          </w:tcPr>
          <w:p>
            <w:pPr>
              <w:spacing w:line="241" w:lineRule="auto"/>
              <w:rPr>
                <w:rFonts w:ascii="Arial"/>
                <w:sz w:val="21"/>
              </w:rPr>
            </w:pPr>
          </w:p>
          <w:p>
            <w:pPr>
              <w:spacing w:line="242" w:lineRule="auto"/>
              <w:rPr>
                <w:rFonts w:ascii="Arial"/>
                <w:sz w:val="21"/>
              </w:rPr>
            </w:pPr>
          </w:p>
          <w:p>
            <w:pPr>
              <w:pStyle w:val="6"/>
              <w:spacing w:before="52" w:line="188" w:lineRule="auto"/>
              <w:ind w:left="157"/>
              <w:rPr>
                <w:sz w:val="18"/>
                <w:szCs w:val="18"/>
              </w:rPr>
            </w:pPr>
            <w:r>
              <w:rPr>
                <w:spacing w:val="-1"/>
                <w:sz w:val="18"/>
                <w:szCs w:val="18"/>
              </w:rPr>
              <w:t>20910.0</w:t>
            </w:r>
          </w:p>
        </w:tc>
        <w:tc>
          <w:tcPr>
            <w:tcW w:w="1036" w:type="dxa"/>
            <w:tcBorders>
              <w:right w:val="nil"/>
            </w:tcBorders>
            <w:vAlign w:val="top"/>
          </w:tcPr>
          <w:p>
            <w:pPr>
              <w:spacing w:line="331" w:lineRule="auto"/>
              <w:rPr>
                <w:rFonts w:ascii="Arial"/>
                <w:sz w:val="21"/>
              </w:rPr>
            </w:pPr>
          </w:p>
          <w:p>
            <w:pPr>
              <w:pStyle w:val="6"/>
              <w:spacing w:before="58" w:line="229" w:lineRule="auto"/>
              <w:ind w:left="438" w:right="111" w:hanging="323"/>
              <w:rPr>
                <w:rFonts w:ascii="仿宋" w:hAnsi="仿宋" w:eastAsia="仿宋" w:cs="仿宋"/>
                <w:sz w:val="18"/>
                <w:szCs w:val="18"/>
              </w:rPr>
            </w:pPr>
            <w:r>
              <w:rPr>
                <w:spacing w:val="-5"/>
                <w:sz w:val="18"/>
                <w:szCs w:val="18"/>
              </w:rPr>
              <w:t>2</w:t>
            </w:r>
            <w:r>
              <w:rPr>
                <w:spacing w:val="-20"/>
                <w:sz w:val="18"/>
                <w:szCs w:val="18"/>
              </w:rPr>
              <w:t xml:space="preserve"> </w:t>
            </w:r>
            <w:r>
              <w:rPr>
                <w:rFonts w:ascii="仿宋" w:hAnsi="仿宋" w:eastAsia="仿宋" w:cs="仿宋"/>
                <w:spacing w:val="-5"/>
                <w:sz w:val="18"/>
                <w:szCs w:val="18"/>
              </w:rPr>
              <w:t>、</w:t>
            </w:r>
            <w:r>
              <w:rPr>
                <w:spacing w:val="-5"/>
                <w:sz w:val="18"/>
                <w:szCs w:val="18"/>
              </w:rPr>
              <w:t>4#</w:t>
            </w:r>
            <w:r>
              <w:rPr>
                <w:rFonts w:ascii="仿宋" w:hAnsi="仿宋" w:eastAsia="仿宋" w:cs="仿宋"/>
                <w:spacing w:val="-5"/>
                <w:sz w:val="18"/>
                <w:szCs w:val="18"/>
              </w:rPr>
              <w:t>弃渣</w:t>
            </w:r>
            <w:r>
              <w:rPr>
                <w:rFonts w:ascii="仿宋" w:hAnsi="仿宋" w:eastAsia="仿宋" w:cs="仿宋"/>
                <w:sz w:val="18"/>
                <w:szCs w:val="18"/>
              </w:rPr>
              <w:t xml:space="preserve"> 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77" w:type="dxa"/>
            <w:vMerge w:val="continue"/>
            <w:tcBorders>
              <w:top w:val="nil"/>
              <w:left w:val="nil"/>
            </w:tcBorders>
            <w:vAlign w:val="top"/>
          </w:tcPr>
          <w:p>
            <w:pPr>
              <w:rPr>
                <w:rFonts w:ascii="Arial"/>
                <w:sz w:val="21"/>
              </w:rPr>
            </w:pPr>
          </w:p>
        </w:tc>
        <w:tc>
          <w:tcPr>
            <w:tcW w:w="1383" w:type="dxa"/>
            <w:vAlign w:val="top"/>
          </w:tcPr>
          <w:p>
            <w:pPr>
              <w:spacing w:before="278" w:line="219" w:lineRule="auto"/>
              <w:ind w:left="341"/>
              <w:rPr>
                <w:rFonts w:ascii="仿宋" w:hAnsi="仿宋" w:eastAsia="仿宋" w:cs="仿宋"/>
                <w:sz w:val="18"/>
                <w:szCs w:val="18"/>
              </w:rPr>
            </w:pPr>
            <w:r>
              <w:rPr>
                <w:rFonts w:ascii="仿宋" w:hAnsi="仿宋" w:eastAsia="仿宋" w:cs="仿宋"/>
                <w:spacing w:val="-3"/>
                <w:sz w:val="18"/>
                <w:szCs w:val="18"/>
              </w:rPr>
              <w:t>导流围堰</w:t>
            </w:r>
          </w:p>
        </w:tc>
        <w:tc>
          <w:tcPr>
            <w:tcW w:w="910" w:type="dxa"/>
            <w:vAlign w:val="top"/>
          </w:tcPr>
          <w:p>
            <w:pPr>
              <w:spacing w:line="256" w:lineRule="auto"/>
              <w:rPr>
                <w:rFonts w:ascii="Arial"/>
                <w:sz w:val="21"/>
              </w:rPr>
            </w:pPr>
          </w:p>
          <w:p>
            <w:pPr>
              <w:pStyle w:val="6"/>
              <w:spacing w:before="52" w:line="188" w:lineRule="auto"/>
              <w:ind w:left="225"/>
              <w:rPr>
                <w:sz w:val="18"/>
                <w:szCs w:val="18"/>
              </w:rPr>
            </w:pPr>
            <w:r>
              <w:rPr>
                <w:spacing w:val="-4"/>
                <w:sz w:val="18"/>
                <w:szCs w:val="18"/>
              </w:rPr>
              <w:t>1016.0</w:t>
            </w:r>
          </w:p>
        </w:tc>
        <w:tc>
          <w:tcPr>
            <w:tcW w:w="843" w:type="dxa"/>
            <w:vAlign w:val="top"/>
          </w:tcPr>
          <w:p>
            <w:pPr>
              <w:rPr>
                <w:rFonts w:ascii="Arial"/>
                <w:sz w:val="21"/>
              </w:rPr>
            </w:pPr>
          </w:p>
        </w:tc>
        <w:tc>
          <w:tcPr>
            <w:tcW w:w="812" w:type="dxa"/>
            <w:vAlign w:val="top"/>
          </w:tcPr>
          <w:p>
            <w:pPr>
              <w:rPr>
                <w:rFonts w:ascii="Arial"/>
                <w:sz w:val="21"/>
              </w:rPr>
            </w:pPr>
          </w:p>
        </w:tc>
        <w:tc>
          <w:tcPr>
            <w:tcW w:w="750" w:type="dxa"/>
            <w:vAlign w:val="top"/>
          </w:tcPr>
          <w:p>
            <w:pPr>
              <w:rPr>
                <w:rFonts w:ascii="Arial"/>
                <w:sz w:val="21"/>
              </w:rPr>
            </w:pPr>
          </w:p>
        </w:tc>
        <w:tc>
          <w:tcPr>
            <w:tcW w:w="1762" w:type="dxa"/>
            <w:vAlign w:val="top"/>
          </w:tcPr>
          <w:p>
            <w:pPr>
              <w:rPr>
                <w:rFonts w:ascii="Arial"/>
                <w:sz w:val="21"/>
              </w:rPr>
            </w:pP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spacing w:line="256" w:lineRule="auto"/>
              <w:rPr>
                <w:rFonts w:ascii="Arial"/>
                <w:sz w:val="21"/>
              </w:rPr>
            </w:pPr>
          </w:p>
          <w:p>
            <w:pPr>
              <w:pStyle w:val="6"/>
              <w:spacing w:before="52" w:line="188" w:lineRule="auto"/>
              <w:ind w:left="212"/>
              <w:rPr>
                <w:sz w:val="18"/>
                <w:szCs w:val="18"/>
              </w:rPr>
            </w:pPr>
            <w:r>
              <w:rPr>
                <w:spacing w:val="-2"/>
                <w:sz w:val="18"/>
                <w:szCs w:val="18"/>
              </w:rPr>
              <w:t>6130.0</w:t>
            </w:r>
          </w:p>
        </w:tc>
        <w:tc>
          <w:tcPr>
            <w:tcW w:w="983" w:type="dxa"/>
            <w:vAlign w:val="top"/>
          </w:tcPr>
          <w:p>
            <w:pPr>
              <w:spacing w:before="46" w:line="221" w:lineRule="auto"/>
              <w:ind w:left="140" w:right="128"/>
              <w:jc w:val="both"/>
              <w:rPr>
                <w:rFonts w:ascii="仿宋" w:hAnsi="仿宋" w:eastAsia="仿宋" w:cs="仿宋"/>
                <w:sz w:val="18"/>
                <w:szCs w:val="18"/>
              </w:rPr>
            </w:pPr>
            <w:r>
              <w:rPr>
                <w:rFonts w:ascii="仿宋" w:hAnsi="仿宋" w:eastAsia="仿宋" w:cs="仿宋"/>
                <w:spacing w:val="-4"/>
                <w:sz w:val="18"/>
                <w:szCs w:val="18"/>
              </w:rPr>
              <w:t>来自大坝</w:t>
            </w:r>
            <w:r>
              <w:rPr>
                <w:rFonts w:ascii="仿宋" w:hAnsi="仿宋" w:eastAsia="仿宋" w:cs="仿宋"/>
                <w:spacing w:val="2"/>
                <w:sz w:val="18"/>
                <w:szCs w:val="18"/>
              </w:rPr>
              <w:t xml:space="preserve"> </w:t>
            </w:r>
            <w:r>
              <w:rPr>
                <w:rFonts w:ascii="仿宋" w:hAnsi="仿宋" w:eastAsia="仿宋" w:cs="仿宋"/>
                <w:spacing w:val="-3"/>
                <w:sz w:val="18"/>
                <w:szCs w:val="18"/>
              </w:rPr>
              <w:t>截水槽开</w:t>
            </w:r>
            <w:r>
              <w:rPr>
                <w:rFonts w:ascii="仿宋" w:hAnsi="仿宋" w:eastAsia="仿宋" w:cs="仿宋"/>
                <w:sz w:val="18"/>
                <w:szCs w:val="18"/>
              </w:rPr>
              <w:t xml:space="preserve"> </w:t>
            </w:r>
            <w:r>
              <w:rPr>
                <w:rFonts w:ascii="仿宋" w:hAnsi="仿宋" w:eastAsia="仿宋" w:cs="仿宋"/>
                <w:spacing w:val="26"/>
                <w:sz w:val="18"/>
                <w:szCs w:val="18"/>
              </w:rPr>
              <w:t>挖土方</w:t>
            </w:r>
          </w:p>
        </w:tc>
        <w:tc>
          <w:tcPr>
            <w:tcW w:w="1036" w:type="dxa"/>
            <w:vAlign w:val="top"/>
          </w:tcPr>
          <w:p>
            <w:pPr>
              <w:spacing w:line="256" w:lineRule="auto"/>
              <w:rPr>
                <w:rFonts w:ascii="Arial"/>
                <w:sz w:val="21"/>
              </w:rPr>
            </w:pPr>
          </w:p>
          <w:p>
            <w:pPr>
              <w:pStyle w:val="6"/>
              <w:spacing w:before="52" w:line="188" w:lineRule="auto"/>
              <w:ind w:left="275"/>
              <w:rPr>
                <w:sz w:val="18"/>
                <w:szCs w:val="18"/>
              </w:rPr>
            </w:pPr>
            <w:r>
              <w:rPr>
                <w:spacing w:val="-2"/>
                <w:sz w:val="18"/>
                <w:szCs w:val="18"/>
              </w:rPr>
              <w:t>7146.0</w:t>
            </w:r>
          </w:p>
        </w:tc>
        <w:tc>
          <w:tcPr>
            <w:tcW w:w="897" w:type="dxa"/>
            <w:vAlign w:val="top"/>
          </w:tcPr>
          <w:p>
            <w:pPr>
              <w:spacing w:line="256" w:lineRule="auto"/>
              <w:rPr>
                <w:rFonts w:ascii="Arial"/>
                <w:sz w:val="21"/>
              </w:rPr>
            </w:pPr>
          </w:p>
          <w:p>
            <w:pPr>
              <w:pStyle w:val="6"/>
              <w:spacing w:before="52" w:line="188" w:lineRule="auto"/>
              <w:ind w:left="210"/>
              <w:rPr>
                <w:sz w:val="18"/>
                <w:szCs w:val="18"/>
              </w:rPr>
            </w:pPr>
            <w:r>
              <w:rPr>
                <w:spacing w:val="-2"/>
                <w:sz w:val="18"/>
                <w:szCs w:val="18"/>
              </w:rPr>
              <w:t>8932.5</w:t>
            </w:r>
          </w:p>
        </w:tc>
        <w:tc>
          <w:tcPr>
            <w:tcW w:w="1036" w:type="dxa"/>
            <w:tcBorders>
              <w:right w:val="nil"/>
            </w:tcBorders>
            <w:vAlign w:val="top"/>
          </w:tcPr>
          <w:p>
            <w:pPr>
              <w:pStyle w:val="6"/>
              <w:spacing w:before="278" w:line="219" w:lineRule="auto"/>
              <w:ind w:left="159"/>
              <w:rPr>
                <w:rFonts w:ascii="仿宋" w:hAnsi="仿宋" w:eastAsia="仿宋" w:cs="仿宋"/>
                <w:sz w:val="18"/>
                <w:szCs w:val="18"/>
              </w:rPr>
            </w:pPr>
            <w:r>
              <w:rPr>
                <w:spacing w:val="-1"/>
                <w:sz w:val="18"/>
                <w:szCs w:val="18"/>
              </w:rPr>
              <w:t>2#</w:t>
            </w:r>
            <w:r>
              <w:rPr>
                <w:rFonts w:ascii="仿宋" w:hAnsi="仿宋" w:eastAsia="仿宋" w:cs="仿宋"/>
                <w:spacing w:val="-1"/>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77" w:type="dxa"/>
            <w:tcBorders>
              <w:left w:val="nil"/>
            </w:tcBorders>
            <w:vAlign w:val="top"/>
          </w:tcPr>
          <w:p>
            <w:pPr>
              <w:spacing w:before="49" w:line="220" w:lineRule="auto"/>
              <w:ind w:left="132" w:right="115" w:firstLine="2"/>
              <w:jc w:val="both"/>
              <w:rPr>
                <w:rFonts w:ascii="仿宋" w:hAnsi="仿宋" w:eastAsia="仿宋" w:cs="仿宋"/>
                <w:sz w:val="18"/>
                <w:szCs w:val="18"/>
              </w:rPr>
            </w:pPr>
            <w:r>
              <w:rPr>
                <w:rFonts w:ascii="仿宋" w:hAnsi="仿宋" w:eastAsia="仿宋" w:cs="仿宋"/>
                <w:spacing w:val="-6"/>
                <w:sz w:val="18"/>
                <w:szCs w:val="18"/>
              </w:rPr>
              <w:t>工程永</w:t>
            </w:r>
            <w:r>
              <w:rPr>
                <w:rFonts w:ascii="仿宋" w:hAnsi="仿宋" w:eastAsia="仿宋" w:cs="仿宋"/>
                <w:sz w:val="18"/>
                <w:szCs w:val="18"/>
              </w:rPr>
              <w:t xml:space="preserve"> </w:t>
            </w:r>
            <w:r>
              <w:rPr>
                <w:rFonts w:ascii="仿宋" w:hAnsi="仿宋" w:eastAsia="仿宋" w:cs="仿宋"/>
                <w:spacing w:val="-5"/>
                <w:sz w:val="18"/>
                <w:szCs w:val="18"/>
              </w:rPr>
              <w:t>久办公</w:t>
            </w:r>
            <w:r>
              <w:rPr>
                <w:rFonts w:ascii="仿宋" w:hAnsi="仿宋" w:eastAsia="仿宋" w:cs="仿宋"/>
                <w:sz w:val="18"/>
                <w:szCs w:val="18"/>
              </w:rPr>
              <w:t xml:space="preserve"> </w:t>
            </w:r>
            <w:r>
              <w:rPr>
                <w:rFonts w:ascii="仿宋" w:hAnsi="仿宋" w:eastAsia="仿宋" w:cs="仿宋"/>
                <w:spacing w:val="-5"/>
                <w:sz w:val="18"/>
                <w:szCs w:val="18"/>
              </w:rPr>
              <w:t>生活区</w:t>
            </w:r>
          </w:p>
        </w:tc>
        <w:tc>
          <w:tcPr>
            <w:tcW w:w="1383" w:type="dxa"/>
            <w:vAlign w:val="top"/>
          </w:tcPr>
          <w:p>
            <w:pPr>
              <w:spacing w:before="281" w:line="218" w:lineRule="auto"/>
              <w:ind w:left="249"/>
              <w:rPr>
                <w:rFonts w:ascii="仿宋" w:hAnsi="仿宋" w:eastAsia="仿宋" w:cs="仿宋"/>
                <w:sz w:val="18"/>
                <w:szCs w:val="18"/>
              </w:rPr>
            </w:pPr>
            <w:r>
              <w:rPr>
                <w:rFonts w:ascii="仿宋" w:hAnsi="仿宋" w:eastAsia="仿宋" w:cs="仿宋"/>
                <w:spacing w:val="-2"/>
                <w:sz w:val="18"/>
                <w:szCs w:val="18"/>
              </w:rPr>
              <w:t>水库管理所</w:t>
            </w:r>
          </w:p>
        </w:tc>
        <w:tc>
          <w:tcPr>
            <w:tcW w:w="910" w:type="dxa"/>
            <w:vAlign w:val="top"/>
          </w:tcPr>
          <w:p>
            <w:pPr>
              <w:spacing w:line="259" w:lineRule="auto"/>
              <w:rPr>
                <w:rFonts w:ascii="Arial"/>
                <w:sz w:val="21"/>
              </w:rPr>
            </w:pPr>
          </w:p>
          <w:p>
            <w:pPr>
              <w:pStyle w:val="6"/>
              <w:spacing w:before="51" w:line="188" w:lineRule="auto"/>
              <w:ind w:left="257"/>
              <w:rPr>
                <w:sz w:val="18"/>
                <w:szCs w:val="18"/>
              </w:rPr>
            </w:pPr>
            <w:r>
              <w:rPr>
                <w:spacing w:val="-2"/>
                <w:sz w:val="18"/>
                <w:szCs w:val="18"/>
              </w:rPr>
              <w:t>695.0</w:t>
            </w:r>
          </w:p>
        </w:tc>
        <w:tc>
          <w:tcPr>
            <w:tcW w:w="843" w:type="dxa"/>
            <w:vAlign w:val="top"/>
          </w:tcPr>
          <w:p>
            <w:pPr>
              <w:spacing w:line="259" w:lineRule="auto"/>
              <w:rPr>
                <w:rFonts w:ascii="Arial"/>
                <w:sz w:val="21"/>
              </w:rPr>
            </w:pPr>
          </w:p>
          <w:p>
            <w:pPr>
              <w:pStyle w:val="6"/>
              <w:spacing w:before="51" w:line="188" w:lineRule="auto"/>
              <w:ind w:left="219"/>
              <w:rPr>
                <w:sz w:val="18"/>
                <w:szCs w:val="18"/>
              </w:rPr>
            </w:pPr>
            <w:r>
              <w:rPr>
                <w:spacing w:val="-1"/>
                <w:sz w:val="18"/>
                <w:szCs w:val="18"/>
              </w:rPr>
              <w:t>200.0</w:t>
            </w:r>
          </w:p>
        </w:tc>
        <w:tc>
          <w:tcPr>
            <w:tcW w:w="812" w:type="dxa"/>
            <w:vAlign w:val="top"/>
          </w:tcPr>
          <w:p>
            <w:pPr>
              <w:spacing w:line="259" w:lineRule="auto"/>
              <w:rPr>
                <w:rFonts w:ascii="Arial"/>
                <w:sz w:val="21"/>
              </w:rPr>
            </w:pPr>
          </w:p>
          <w:p>
            <w:pPr>
              <w:pStyle w:val="6"/>
              <w:spacing w:before="51" w:line="188" w:lineRule="auto"/>
              <w:ind w:left="207"/>
              <w:rPr>
                <w:sz w:val="18"/>
                <w:szCs w:val="18"/>
              </w:rPr>
            </w:pPr>
            <w:r>
              <w:rPr>
                <w:spacing w:val="-2"/>
                <w:sz w:val="18"/>
                <w:szCs w:val="18"/>
              </w:rPr>
              <w:t>695.0</w:t>
            </w:r>
          </w:p>
        </w:tc>
        <w:tc>
          <w:tcPr>
            <w:tcW w:w="750" w:type="dxa"/>
            <w:vAlign w:val="top"/>
          </w:tcPr>
          <w:p>
            <w:pPr>
              <w:spacing w:line="259" w:lineRule="auto"/>
              <w:rPr>
                <w:rFonts w:ascii="Arial"/>
                <w:sz w:val="21"/>
              </w:rPr>
            </w:pPr>
          </w:p>
          <w:p>
            <w:pPr>
              <w:pStyle w:val="6"/>
              <w:spacing w:before="51" w:line="188" w:lineRule="auto"/>
              <w:ind w:left="173"/>
              <w:rPr>
                <w:sz w:val="18"/>
                <w:szCs w:val="18"/>
              </w:rPr>
            </w:pPr>
            <w:r>
              <w:rPr>
                <w:spacing w:val="-1"/>
                <w:sz w:val="18"/>
                <w:szCs w:val="18"/>
              </w:rPr>
              <w:t>200.0</w:t>
            </w:r>
          </w:p>
        </w:tc>
        <w:tc>
          <w:tcPr>
            <w:tcW w:w="1762" w:type="dxa"/>
            <w:vAlign w:val="top"/>
          </w:tcPr>
          <w:p>
            <w:pPr>
              <w:pStyle w:val="6"/>
              <w:spacing w:before="165" w:line="228" w:lineRule="auto"/>
              <w:ind w:left="352" w:right="136" w:hanging="195"/>
              <w:rPr>
                <w:rFonts w:ascii="仿宋" w:hAnsi="仿宋" w:eastAsia="仿宋" w:cs="仿宋"/>
                <w:sz w:val="18"/>
                <w:szCs w:val="18"/>
              </w:rPr>
            </w:pPr>
            <w:r>
              <w:rPr>
                <w:spacing w:val="-3"/>
                <w:sz w:val="18"/>
                <w:szCs w:val="18"/>
              </w:rPr>
              <w:t>1#</w:t>
            </w:r>
            <w:r>
              <w:rPr>
                <w:rFonts w:ascii="仿宋" w:hAnsi="仿宋" w:eastAsia="仿宋" w:cs="仿宋"/>
                <w:spacing w:val="-3"/>
                <w:sz w:val="18"/>
                <w:szCs w:val="18"/>
              </w:rPr>
              <w:t>临时堆土场</w:t>
            </w:r>
            <w:r>
              <w:rPr>
                <w:spacing w:val="-3"/>
                <w:sz w:val="18"/>
                <w:szCs w:val="18"/>
              </w:rPr>
              <w:t>,</w:t>
            </w:r>
            <w:r>
              <w:rPr>
                <w:rFonts w:ascii="仿宋" w:hAnsi="仿宋" w:eastAsia="仿宋" w:cs="仿宋"/>
                <w:spacing w:val="-3"/>
                <w:sz w:val="18"/>
                <w:szCs w:val="18"/>
              </w:rPr>
              <w:t>用于</w:t>
            </w:r>
            <w:r>
              <w:rPr>
                <w:rFonts w:ascii="仿宋" w:hAnsi="仿宋" w:eastAsia="仿宋" w:cs="仿宋"/>
                <w:spacing w:val="7"/>
                <w:sz w:val="18"/>
                <w:szCs w:val="18"/>
              </w:rPr>
              <w:t xml:space="preserve"> </w:t>
            </w:r>
            <w:r>
              <w:rPr>
                <w:rFonts w:ascii="仿宋" w:hAnsi="仿宋" w:eastAsia="仿宋" w:cs="仿宋"/>
                <w:spacing w:val="-2"/>
                <w:sz w:val="18"/>
                <w:szCs w:val="18"/>
              </w:rPr>
              <w:t>后期绿化覆土</w:t>
            </w: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rPr>
                <w:rFonts w:ascii="Arial"/>
                <w:sz w:val="21"/>
              </w:rPr>
            </w:pPr>
          </w:p>
        </w:tc>
        <w:tc>
          <w:tcPr>
            <w:tcW w:w="897" w:type="dxa"/>
            <w:vAlign w:val="top"/>
          </w:tcPr>
          <w:p>
            <w:pPr>
              <w:rPr>
                <w:rFonts w:ascii="Arial"/>
                <w:sz w:val="21"/>
              </w:rPr>
            </w:pPr>
          </w:p>
        </w:tc>
        <w:tc>
          <w:tcPr>
            <w:tcW w:w="103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9" w:hRule="atLeast"/>
        </w:trPr>
        <w:tc>
          <w:tcPr>
            <w:tcW w:w="777" w:type="dxa"/>
            <w:vMerge w:val="restart"/>
            <w:tcBorders>
              <w:left w:val="nil"/>
              <w:bottom w:val="nil"/>
            </w:tcBorders>
            <w:vAlign w:val="top"/>
          </w:tcPr>
          <w:p>
            <w:pPr>
              <w:spacing w:line="338" w:lineRule="auto"/>
              <w:rPr>
                <w:rFonts w:ascii="Arial"/>
                <w:sz w:val="21"/>
              </w:rPr>
            </w:pPr>
          </w:p>
          <w:p>
            <w:pPr>
              <w:spacing w:line="338" w:lineRule="auto"/>
              <w:rPr>
                <w:rFonts w:ascii="Arial"/>
                <w:sz w:val="21"/>
              </w:rPr>
            </w:pPr>
          </w:p>
          <w:p>
            <w:pPr>
              <w:spacing w:before="59" w:line="229" w:lineRule="auto"/>
              <w:ind w:left="221" w:right="115" w:hanging="84"/>
              <w:rPr>
                <w:rFonts w:ascii="仿宋" w:hAnsi="仿宋" w:eastAsia="仿宋" w:cs="仿宋"/>
                <w:sz w:val="18"/>
                <w:szCs w:val="18"/>
              </w:rPr>
            </w:pPr>
            <w:r>
              <w:rPr>
                <w:rFonts w:ascii="仿宋" w:hAnsi="仿宋" w:eastAsia="仿宋" w:cs="仿宋"/>
                <w:spacing w:val="-7"/>
                <w:sz w:val="18"/>
                <w:szCs w:val="18"/>
              </w:rPr>
              <w:t>引水工</w:t>
            </w:r>
            <w:r>
              <w:rPr>
                <w:rFonts w:ascii="仿宋" w:hAnsi="仿宋" w:eastAsia="仿宋" w:cs="仿宋"/>
                <w:spacing w:val="1"/>
                <w:sz w:val="18"/>
                <w:szCs w:val="18"/>
              </w:rPr>
              <w:t xml:space="preserve"> </w:t>
            </w:r>
            <w:r>
              <w:rPr>
                <w:rFonts w:ascii="仿宋" w:hAnsi="仿宋" w:eastAsia="仿宋" w:cs="仿宋"/>
                <w:spacing w:val="-4"/>
                <w:sz w:val="18"/>
                <w:szCs w:val="18"/>
              </w:rPr>
              <w:t>程区</w:t>
            </w:r>
          </w:p>
        </w:tc>
        <w:tc>
          <w:tcPr>
            <w:tcW w:w="1383" w:type="dxa"/>
            <w:vAlign w:val="top"/>
          </w:tcPr>
          <w:p>
            <w:pPr>
              <w:spacing w:before="167" w:line="218" w:lineRule="auto"/>
              <w:ind w:left="430"/>
              <w:rPr>
                <w:rFonts w:ascii="仿宋" w:hAnsi="仿宋" w:eastAsia="仿宋" w:cs="仿宋"/>
                <w:sz w:val="18"/>
                <w:szCs w:val="18"/>
              </w:rPr>
            </w:pPr>
            <w:r>
              <w:rPr>
                <w:rFonts w:ascii="仿宋" w:hAnsi="仿宋" w:eastAsia="仿宋" w:cs="仿宋"/>
                <w:spacing w:val="-3"/>
                <w:sz w:val="18"/>
                <w:szCs w:val="18"/>
              </w:rPr>
              <w:t>取水坝</w:t>
            </w:r>
          </w:p>
        </w:tc>
        <w:tc>
          <w:tcPr>
            <w:tcW w:w="910" w:type="dxa"/>
            <w:vAlign w:val="top"/>
          </w:tcPr>
          <w:p>
            <w:pPr>
              <w:pStyle w:val="6"/>
              <w:spacing w:before="197" w:line="188" w:lineRule="auto"/>
              <w:ind w:left="208"/>
              <w:rPr>
                <w:sz w:val="18"/>
                <w:szCs w:val="18"/>
              </w:rPr>
            </w:pPr>
            <w:r>
              <w:rPr>
                <w:spacing w:val="-1"/>
                <w:sz w:val="18"/>
                <w:szCs w:val="18"/>
              </w:rPr>
              <w:t>2621.0</w:t>
            </w:r>
          </w:p>
        </w:tc>
        <w:tc>
          <w:tcPr>
            <w:tcW w:w="843" w:type="dxa"/>
            <w:vAlign w:val="top"/>
          </w:tcPr>
          <w:p>
            <w:pPr>
              <w:rPr>
                <w:rFonts w:ascii="Arial"/>
                <w:sz w:val="21"/>
              </w:rPr>
            </w:pPr>
          </w:p>
        </w:tc>
        <w:tc>
          <w:tcPr>
            <w:tcW w:w="812" w:type="dxa"/>
            <w:vAlign w:val="top"/>
          </w:tcPr>
          <w:p>
            <w:pPr>
              <w:pStyle w:val="6"/>
              <w:spacing w:before="197" w:line="188" w:lineRule="auto"/>
              <w:ind w:left="253"/>
              <w:rPr>
                <w:sz w:val="18"/>
                <w:szCs w:val="18"/>
              </w:rPr>
            </w:pPr>
            <w:r>
              <w:rPr>
                <w:spacing w:val="-2"/>
                <w:sz w:val="18"/>
                <w:szCs w:val="18"/>
              </w:rPr>
              <w:t>68.0</w:t>
            </w:r>
          </w:p>
        </w:tc>
        <w:tc>
          <w:tcPr>
            <w:tcW w:w="750" w:type="dxa"/>
            <w:vAlign w:val="top"/>
          </w:tcPr>
          <w:p>
            <w:pPr>
              <w:rPr>
                <w:rFonts w:ascii="Arial"/>
                <w:sz w:val="21"/>
              </w:rPr>
            </w:pPr>
          </w:p>
        </w:tc>
        <w:tc>
          <w:tcPr>
            <w:tcW w:w="1762" w:type="dxa"/>
            <w:vAlign w:val="top"/>
          </w:tcPr>
          <w:p>
            <w:pPr>
              <w:rPr>
                <w:rFonts w:ascii="Arial"/>
                <w:sz w:val="21"/>
              </w:rPr>
            </w:pP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pStyle w:val="6"/>
              <w:spacing w:before="197" w:line="188" w:lineRule="auto"/>
              <w:ind w:left="273"/>
              <w:rPr>
                <w:sz w:val="18"/>
                <w:szCs w:val="18"/>
              </w:rPr>
            </w:pPr>
            <w:r>
              <w:rPr>
                <w:spacing w:val="-1"/>
                <w:sz w:val="18"/>
                <w:szCs w:val="18"/>
              </w:rPr>
              <w:t>2553.0</w:t>
            </w:r>
          </w:p>
        </w:tc>
        <w:tc>
          <w:tcPr>
            <w:tcW w:w="897" w:type="dxa"/>
            <w:vAlign w:val="top"/>
          </w:tcPr>
          <w:p>
            <w:pPr>
              <w:pStyle w:val="6"/>
              <w:spacing w:before="197" w:line="188" w:lineRule="auto"/>
              <w:ind w:left="206"/>
              <w:rPr>
                <w:sz w:val="18"/>
                <w:szCs w:val="18"/>
              </w:rPr>
            </w:pPr>
            <w:r>
              <w:rPr>
                <w:spacing w:val="-2"/>
                <w:sz w:val="18"/>
                <w:szCs w:val="18"/>
              </w:rPr>
              <w:t>3191.3</w:t>
            </w:r>
          </w:p>
        </w:tc>
        <w:tc>
          <w:tcPr>
            <w:tcW w:w="1036" w:type="dxa"/>
            <w:tcBorders>
              <w:right w:val="nil"/>
            </w:tcBorders>
            <w:vAlign w:val="top"/>
          </w:tcPr>
          <w:p>
            <w:pPr>
              <w:pStyle w:val="6"/>
              <w:spacing w:before="51" w:line="209" w:lineRule="auto"/>
              <w:ind w:left="348" w:right="111" w:hanging="233"/>
              <w:rPr>
                <w:rFonts w:ascii="仿宋" w:hAnsi="仿宋" w:eastAsia="仿宋" w:cs="仿宋"/>
                <w:sz w:val="18"/>
                <w:szCs w:val="18"/>
              </w:rPr>
            </w:pPr>
            <w:r>
              <w:rPr>
                <w:spacing w:val="-5"/>
                <w:sz w:val="18"/>
                <w:szCs w:val="18"/>
              </w:rPr>
              <w:t>2#</w:t>
            </w:r>
            <w:r>
              <w:rPr>
                <w:spacing w:val="-15"/>
                <w:sz w:val="18"/>
                <w:szCs w:val="18"/>
              </w:rPr>
              <w:t xml:space="preserve"> </w:t>
            </w:r>
            <w:r>
              <w:rPr>
                <w:rFonts w:ascii="仿宋" w:hAnsi="仿宋" w:eastAsia="仿宋" w:cs="仿宋"/>
                <w:spacing w:val="-5"/>
                <w:sz w:val="18"/>
                <w:szCs w:val="18"/>
              </w:rPr>
              <w:t>、</w:t>
            </w:r>
            <w:r>
              <w:rPr>
                <w:spacing w:val="-5"/>
                <w:sz w:val="18"/>
                <w:szCs w:val="18"/>
              </w:rPr>
              <w:t>17#</w:t>
            </w:r>
            <w:r>
              <w:rPr>
                <w:rFonts w:ascii="仿宋" w:hAnsi="仿宋" w:eastAsia="仿宋" w:cs="仿宋"/>
                <w:spacing w:val="-5"/>
                <w:sz w:val="18"/>
                <w:szCs w:val="18"/>
              </w:rPr>
              <w:t>弃</w:t>
            </w:r>
            <w:r>
              <w:rPr>
                <w:rFonts w:ascii="仿宋" w:hAnsi="仿宋" w:eastAsia="仿宋" w:cs="仿宋"/>
                <w:sz w:val="18"/>
                <w:szCs w:val="18"/>
              </w:rPr>
              <w:t xml:space="preserve"> </w:t>
            </w:r>
            <w:r>
              <w:rPr>
                <w:rFonts w:ascii="仿宋" w:hAnsi="仿宋" w:eastAsia="仿宋" w:cs="仿宋"/>
                <w:spacing w:val="-4"/>
                <w:sz w:val="18"/>
                <w:szCs w:val="18"/>
              </w:rPr>
              <w:t>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7" w:hRule="atLeast"/>
        </w:trPr>
        <w:tc>
          <w:tcPr>
            <w:tcW w:w="777" w:type="dxa"/>
            <w:vMerge w:val="continue"/>
            <w:tcBorders>
              <w:top w:val="nil"/>
              <w:left w:val="nil"/>
              <w:bottom w:val="nil"/>
            </w:tcBorders>
            <w:vAlign w:val="top"/>
          </w:tcPr>
          <w:p>
            <w:pPr>
              <w:rPr>
                <w:rFonts w:ascii="Arial"/>
                <w:sz w:val="21"/>
              </w:rPr>
            </w:pPr>
          </w:p>
        </w:tc>
        <w:tc>
          <w:tcPr>
            <w:tcW w:w="1383" w:type="dxa"/>
            <w:vMerge w:val="restart"/>
            <w:tcBorders>
              <w:bottom w:val="nil"/>
            </w:tcBorders>
            <w:vAlign w:val="top"/>
          </w:tcPr>
          <w:p>
            <w:pPr>
              <w:spacing w:line="321" w:lineRule="auto"/>
              <w:rPr>
                <w:rFonts w:ascii="Arial"/>
                <w:sz w:val="21"/>
              </w:rPr>
            </w:pPr>
          </w:p>
          <w:p>
            <w:pPr>
              <w:spacing w:before="59" w:line="218" w:lineRule="auto"/>
              <w:ind w:left="436"/>
              <w:rPr>
                <w:rFonts w:ascii="仿宋" w:hAnsi="仿宋" w:eastAsia="仿宋" w:cs="仿宋"/>
                <w:sz w:val="18"/>
                <w:szCs w:val="18"/>
              </w:rPr>
            </w:pPr>
            <w:r>
              <w:rPr>
                <w:rFonts w:ascii="仿宋" w:hAnsi="仿宋" w:eastAsia="仿宋" w:cs="仿宋"/>
                <w:spacing w:val="-5"/>
                <w:sz w:val="18"/>
                <w:szCs w:val="18"/>
              </w:rPr>
              <w:t>引水渠</w:t>
            </w:r>
          </w:p>
        </w:tc>
        <w:tc>
          <w:tcPr>
            <w:tcW w:w="910" w:type="dxa"/>
            <w:vMerge w:val="restart"/>
            <w:tcBorders>
              <w:bottom w:val="nil"/>
            </w:tcBorders>
            <w:vAlign w:val="top"/>
          </w:tcPr>
          <w:p>
            <w:pPr>
              <w:spacing w:line="358" w:lineRule="auto"/>
              <w:rPr>
                <w:rFonts w:ascii="Arial"/>
                <w:sz w:val="21"/>
              </w:rPr>
            </w:pPr>
          </w:p>
          <w:p>
            <w:pPr>
              <w:pStyle w:val="6"/>
              <w:spacing w:before="52" w:line="188" w:lineRule="auto"/>
              <w:ind w:left="138"/>
              <w:rPr>
                <w:sz w:val="18"/>
                <w:szCs w:val="18"/>
              </w:rPr>
            </w:pPr>
            <w:r>
              <w:rPr>
                <w:spacing w:val="-4"/>
                <w:sz w:val="18"/>
                <w:szCs w:val="18"/>
              </w:rPr>
              <w:t>118838.0</w:t>
            </w:r>
          </w:p>
        </w:tc>
        <w:tc>
          <w:tcPr>
            <w:tcW w:w="843" w:type="dxa"/>
            <w:vMerge w:val="restart"/>
            <w:tcBorders>
              <w:bottom w:val="nil"/>
            </w:tcBorders>
            <w:vAlign w:val="top"/>
          </w:tcPr>
          <w:p>
            <w:pPr>
              <w:spacing w:line="358" w:lineRule="auto"/>
              <w:rPr>
                <w:rFonts w:ascii="Arial"/>
                <w:sz w:val="21"/>
              </w:rPr>
            </w:pPr>
          </w:p>
          <w:p>
            <w:pPr>
              <w:pStyle w:val="6"/>
              <w:spacing w:before="52" w:line="188" w:lineRule="auto"/>
              <w:ind w:left="175"/>
              <w:rPr>
                <w:sz w:val="18"/>
                <w:szCs w:val="18"/>
              </w:rPr>
            </w:pPr>
            <w:r>
              <w:rPr>
                <w:spacing w:val="-1"/>
                <w:sz w:val="18"/>
                <w:szCs w:val="18"/>
              </w:rPr>
              <w:t>2303.1</w:t>
            </w:r>
          </w:p>
        </w:tc>
        <w:tc>
          <w:tcPr>
            <w:tcW w:w="812" w:type="dxa"/>
            <w:vMerge w:val="restart"/>
            <w:tcBorders>
              <w:bottom w:val="nil"/>
            </w:tcBorders>
            <w:vAlign w:val="top"/>
          </w:tcPr>
          <w:p>
            <w:pPr>
              <w:spacing w:line="358" w:lineRule="auto"/>
              <w:rPr>
                <w:rFonts w:ascii="Arial"/>
                <w:sz w:val="21"/>
              </w:rPr>
            </w:pPr>
          </w:p>
          <w:p>
            <w:pPr>
              <w:pStyle w:val="6"/>
              <w:spacing w:before="52" w:line="188" w:lineRule="auto"/>
              <w:ind w:left="166"/>
              <w:rPr>
                <w:sz w:val="18"/>
                <w:szCs w:val="18"/>
              </w:rPr>
            </w:pPr>
            <w:r>
              <w:rPr>
                <w:spacing w:val="-2"/>
                <w:sz w:val="18"/>
                <w:szCs w:val="18"/>
              </w:rPr>
              <w:t>8136.4</w:t>
            </w:r>
          </w:p>
        </w:tc>
        <w:tc>
          <w:tcPr>
            <w:tcW w:w="750" w:type="dxa"/>
            <w:vAlign w:val="top"/>
          </w:tcPr>
          <w:p>
            <w:pPr>
              <w:pStyle w:val="6"/>
              <w:spacing w:before="70" w:line="195" w:lineRule="auto"/>
              <w:ind w:left="267" w:right="147" w:hanging="99"/>
              <w:rPr>
                <w:sz w:val="18"/>
                <w:szCs w:val="18"/>
              </w:rPr>
            </w:pPr>
            <w:r>
              <w:rPr>
                <w:spacing w:val="-5"/>
                <w:sz w:val="18"/>
                <w:szCs w:val="18"/>
              </w:rPr>
              <w:t>10581</w:t>
            </w:r>
            <w:r>
              <w:rPr>
                <w:spacing w:val="2"/>
                <w:sz w:val="18"/>
                <w:szCs w:val="18"/>
              </w:rPr>
              <w:t xml:space="preserve"> </w:t>
            </w:r>
            <w:r>
              <w:rPr>
                <w:spacing w:val="-3"/>
                <w:sz w:val="18"/>
                <w:szCs w:val="18"/>
              </w:rPr>
              <w:t>6.0</w:t>
            </w:r>
          </w:p>
        </w:tc>
        <w:tc>
          <w:tcPr>
            <w:tcW w:w="1762" w:type="dxa"/>
            <w:vAlign w:val="top"/>
          </w:tcPr>
          <w:p>
            <w:pPr>
              <w:spacing w:before="143" w:line="217" w:lineRule="auto"/>
              <w:ind w:left="351"/>
              <w:rPr>
                <w:rFonts w:ascii="仿宋" w:hAnsi="仿宋" w:eastAsia="仿宋" w:cs="仿宋"/>
                <w:sz w:val="18"/>
                <w:szCs w:val="18"/>
              </w:rPr>
            </w:pPr>
            <w:r>
              <w:rPr>
                <w:rFonts w:ascii="仿宋" w:hAnsi="仿宋" w:eastAsia="仿宋" w:cs="仿宋"/>
                <w:spacing w:val="-2"/>
                <w:sz w:val="18"/>
                <w:szCs w:val="18"/>
              </w:rPr>
              <w:t>沿线集中堆放</w:t>
            </w:r>
          </w:p>
        </w:tc>
        <w:tc>
          <w:tcPr>
            <w:tcW w:w="739" w:type="dxa"/>
            <w:vMerge w:val="restart"/>
            <w:tcBorders>
              <w:bottom w:val="nil"/>
            </w:tcBorders>
            <w:vAlign w:val="top"/>
          </w:tcPr>
          <w:p>
            <w:pPr>
              <w:rPr>
                <w:rFonts w:ascii="Arial"/>
                <w:sz w:val="21"/>
              </w:rPr>
            </w:pPr>
          </w:p>
        </w:tc>
        <w:tc>
          <w:tcPr>
            <w:tcW w:w="1164" w:type="dxa"/>
            <w:vMerge w:val="restart"/>
            <w:tcBorders>
              <w:bottom w:val="nil"/>
            </w:tcBorders>
            <w:vAlign w:val="top"/>
          </w:tcPr>
          <w:p>
            <w:pPr>
              <w:rPr>
                <w:rFonts w:ascii="Arial"/>
                <w:sz w:val="21"/>
              </w:rPr>
            </w:pPr>
          </w:p>
        </w:tc>
        <w:tc>
          <w:tcPr>
            <w:tcW w:w="910" w:type="dxa"/>
            <w:vMerge w:val="restart"/>
            <w:tcBorders>
              <w:bottom w:val="nil"/>
            </w:tcBorders>
            <w:vAlign w:val="top"/>
          </w:tcPr>
          <w:p>
            <w:pPr>
              <w:rPr>
                <w:rFonts w:ascii="Arial"/>
                <w:sz w:val="21"/>
              </w:rPr>
            </w:pPr>
          </w:p>
        </w:tc>
        <w:tc>
          <w:tcPr>
            <w:tcW w:w="983" w:type="dxa"/>
            <w:vMerge w:val="restart"/>
            <w:tcBorders>
              <w:bottom w:val="nil"/>
            </w:tcBorders>
            <w:vAlign w:val="top"/>
          </w:tcPr>
          <w:p>
            <w:pPr>
              <w:rPr>
                <w:rFonts w:ascii="Arial"/>
                <w:sz w:val="21"/>
              </w:rPr>
            </w:pPr>
          </w:p>
        </w:tc>
        <w:tc>
          <w:tcPr>
            <w:tcW w:w="1036" w:type="dxa"/>
            <w:vMerge w:val="restart"/>
            <w:tcBorders>
              <w:bottom w:val="nil"/>
            </w:tcBorders>
            <w:vAlign w:val="top"/>
          </w:tcPr>
          <w:p>
            <w:pPr>
              <w:spacing w:line="358" w:lineRule="auto"/>
              <w:rPr>
                <w:rFonts w:ascii="Arial"/>
                <w:sz w:val="21"/>
              </w:rPr>
            </w:pPr>
          </w:p>
          <w:p>
            <w:pPr>
              <w:pStyle w:val="6"/>
              <w:spacing w:before="52" w:line="188" w:lineRule="auto"/>
              <w:ind w:left="272"/>
              <w:rPr>
                <w:sz w:val="18"/>
                <w:szCs w:val="18"/>
              </w:rPr>
            </w:pPr>
            <w:r>
              <w:rPr>
                <w:spacing w:val="-1"/>
                <w:sz w:val="18"/>
                <w:szCs w:val="18"/>
              </w:rPr>
              <w:t>4885.6</w:t>
            </w:r>
          </w:p>
        </w:tc>
        <w:tc>
          <w:tcPr>
            <w:tcW w:w="897" w:type="dxa"/>
            <w:vMerge w:val="restart"/>
            <w:tcBorders>
              <w:bottom w:val="nil"/>
            </w:tcBorders>
            <w:vAlign w:val="top"/>
          </w:tcPr>
          <w:p>
            <w:pPr>
              <w:spacing w:line="358" w:lineRule="auto"/>
              <w:rPr>
                <w:rFonts w:ascii="Arial"/>
                <w:sz w:val="21"/>
              </w:rPr>
            </w:pPr>
          </w:p>
          <w:p>
            <w:pPr>
              <w:pStyle w:val="6"/>
              <w:spacing w:before="52" w:line="188" w:lineRule="auto"/>
              <w:ind w:left="207"/>
              <w:rPr>
                <w:sz w:val="18"/>
                <w:szCs w:val="18"/>
              </w:rPr>
            </w:pPr>
            <w:r>
              <w:rPr>
                <w:spacing w:val="-2"/>
                <w:sz w:val="18"/>
                <w:szCs w:val="18"/>
              </w:rPr>
              <w:t>6107.0</w:t>
            </w:r>
          </w:p>
        </w:tc>
        <w:tc>
          <w:tcPr>
            <w:tcW w:w="1036" w:type="dxa"/>
            <w:vMerge w:val="restart"/>
            <w:tcBorders>
              <w:bottom w:val="nil"/>
              <w:right w:val="nil"/>
            </w:tcBorders>
            <w:vAlign w:val="top"/>
          </w:tcPr>
          <w:p>
            <w:pPr>
              <w:pStyle w:val="6"/>
              <w:spacing w:before="265" w:line="229" w:lineRule="auto"/>
              <w:ind w:left="348" w:right="111" w:hanging="233"/>
              <w:rPr>
                <w:rFonts w:ascii="仿宋" w:hAnsi="仿宋" w:eastAsia="仿宋" w:cs="仿宋"/>
                <w:sz w:val="18"/>
                <w:szCs w:val="18"/>
              </w:rPr>
            </w:pPr>
            <w:r>
              <w:rPr>
                <w:spacing w:val="-5"/>
                <w:sz w:val="18"/>
                <w:szCs w:val="18"/>
              </w:rPr>
              <w:t>2#</w:t>
            </w:r>
            <w:r>
              <w:rPr>
                <w:spacing w:val="-15"/>
                <w:sz w:val="18"/>
                <w:szCs w:val="18"/>
              </w:rPr>
              <w:t xml:space="preserve"> </w:t>
            </w:r>
            <w:r>
              <w:rPr>
                <w:rFonts w:ascii="仿宋" w:hAnsi="仿宋" w:eastAsia="仿宋" w:cs="仿宋"/>
                <w:spacing w:val="-5"/>
                <w:sz w:val="18"/>
                <w:szCs w:val="18"/>
              </w:rPr>
              <w:t>、</w:t>
            </w:r>
            <w:r>
              <w:rPr>
                <w:spacing w:val="-5"/>
                <w:sz w:val="18"/>
                <w:szCs w:val="18"/>
              </w:rPr>
              <w:t>17#</w:t>
            </w:r>
            <w:r>
              <w:rPr>
                <w:rFonts w:ascii="仿宋" w:hAnsi="仿宋" w:eastAsia="仿宋" w:cs="仿宋"/>
                <w:spacing w:val="-5"/>
                <w:sz w:val="18"/>
                <w:szCs w:val="18"/>
              </w:rPr>
              <w:t>弃</w:t>
            </w:r>
            <w:r>
              <w:rPr>
                <w:rFonts w:ascii="仿宋" w:hAnsi="仿宋" w:eastAsia="仿宋" w:cs="仿宋"/>
                <w:sz w:val="18"/>
                <w:szCs w:val="18"/>
              </w:rPr>
              <w:t xml:space="preserve"> </w:t>
            </w:r>
            <w:r>
              <w:rPr>
                <w:rFonts w:ascii="仿宋" w:hAnsi="仿宋" w:eastAsia="仿宋" w:cs="仿宋"/>
                <w:spacing w:val="-4"/>
                <w:sz w:val="18"/>
                <w:szCs w:val="18"/>
              </w:rPr>
              <w:t>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1" w:hRule="atLeast"/>
        </w:trPr>
        <w:tc>
          <w:tcPr>
            <w:tcW w:w="777" w:type="dxa"/>
            <w:vMerge w:val="continue"/>
            <w:tcBorders>
              <w:top w:val="nil"/>
              <w:left w:val="nil"/>
              <w:bottom w:val="nil"/>
            </w:tcBorders>
            <w:vAlign w:val="top"/>
          </w:tcPr>
          <w:p>
            <w:pPr>
              <w:rPr>
                <w:rFonts w:ascii="Arial"/>
                <w:sz w:val="21"/>
              </w:rPr>
            </w:pPr>
          </w:p>
        </w:tc>
        <w:tc>
          <w:tcPr>
            <w:tcW w:w="1383" w:type="dxa"/>
            <w:vMerge w:val="continue"/>
            <w:tcBorders>
              <w:top w:val="nil"/>
            </w:tcBorders>
            <w:vAlign w:val="top"/>
          </w:tcPr>
          <w:p>
            <w:pPr>
              <w:rPr>
                <w:rFonts w:ascii="Arial"/>
                <w:sz w:val="21"/>
              </w:rPr>
            </w:pPr>
          </w:p>
        </w:tc>
        <w:tc>
          <w:tcPr>
            <w:tcW w:w="910" w:type="dxa"/>
            <w:vMerge w:val="continue"/>
            <w:tcBorders>
              <w:top w:val="nil"/>
            </w:tcBorders>
            <w:vAlign w:val="top"/>
          </w:tcPr>
          <w:p>
            <w:pPr>
              <w:rPr>
                <w:rFonts w:ascii="Arial"/>
                <w:sz w:val="21"/>
              </w:rPr>
            </w:pPr>
          </w:p>
        </w:tc>
        <w:tc>
          <w:tcPr>
            <w:tcW w:w="843"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750" w:type="dxa"/>
            <w:vAlign w:val="top"/>
          </w:tcPr>
          <w:p>
            <w:pPr>
              <w:pStyle w:val="6"/>
              <w:spacing w:before="202" w:line="188" w:lineRule="auto"/>
              <w:ind w:left="128"/>
              <w:rPr>
                <w:sz w:val="18"/>
                <w:szCs w:val="18"/>
              </w:rPr>
            </w:pPr>
            <w:r>
              <w:rPr>
                <w:spacing w:val="-1"/>
                <w:sz w:val="18"/>
                <w:szCs w:val="18"/>
              </w:rPr>
              <w:t>2303.1</w:t>
            </w:r>
          </w:p>
        </w:tc>
        <w:tc>
          <w:tcPr>
            <w:tcW w:w="1762" w:type="dxa"/>
            <w:vAlign w:val="top"/>
          </w:tcPr>
          <w:p>
            <w:pPr>
              <w:pStyle w:val="6"/>
              <w:spacing w:before="55" w:line="208" w:lineRule="auto"/>
              <w:ind w:left="171" w:right="157" w:firstLine="31"/>
              <w:rPr>
                <w:rFonts w:ascii="仿宋" w:hAnsi="仿宋" w:eastAsia="仿宋" w:cs="仿宋"/>
                <w:sz w:val="18"/>
                <w:szCs w:val="18"/>
              </w:rPr>
            </w:pPr>
            <w:r>
              <w:rPr>
                <w:spacing w:val="-5"/>
                <w:sz w:val="18"/>
                <w:szCs w:val="18"/>
              </w:rPr>
              <w:t>1</w:t>
            </w:r>
            <w:r>
              <w:rPr>
                <w:spacing w:val="-15"/>
                <w:sz w:val="18"/>
                <w:szCs w:val="18"/>
              </w:rPr>
              <w:t xml:space="preserve"> </w:t>
            </w:r>
            <w:r>
              <w:rPr>
                <w:rFonts w:ascii="仿宋" w:hAnsi="仿宋" w:eastAsia="仿宋" w:cs="仿宋"/>
                <w:spacing w:val="-5"/>
                <w:sz w:val="18"/>
                <w:szCs w:val="18"/>
              </w:rPr>
              <w:t>、</w:t>
            </w:r>
            <w:r>
              <w:rPr>
                <w:spacing w:val="-5"/>
                <w:sz w:val="18"/>
                <w:szCs w:val="18"/>
              </w:rPr>
              <w:t>2#</w:t>
            </w:r>
            <w:r>
              <w:rPr>
                <w:rFonts w:ascii="仿宋" w:hAnsi="仿宋" w:eastAsia="仿宋" w:cs="仿宋"/>
                <w:spacing w:val="-5"/>
                <w:sz w:val="18"/>
                <w:szCs w:val="18"/>
              </w:rPr>
              <w:t>临时堆土场</w:t>
            </w:r>
            <w:r>
              <w:rPr>
                <w:spacing w:val="-5"/>
                <w:sz w:val="18"/>
                <w:szCs w:val="18"/>
              </w:rPr>
              <w:t xml:space="preserve">, </w:t>
            </w:r>
            <w:r>
              <w:rPr>
                <w:rFonts w:ascii="仿宋" w:hAnsi="仿宋" w:eastAsia="仿宋" w:cs="仿宋"/>
                <w:spacing w:val="-2"/>
                <w:sz w:val="18"/>
                <w:szCs w:val="18"/>
              </w:rPr>
              <w:t>用于后期绿化覆土</w:t>
            </w:r>
          </w:p>
        </w:tc>
        <w:tc>
          <w:tcPr>
            <w:tcW w:w="739" w:type="dxa"/>
            <w:vMerge w:val="continue"/>
            <w:tcBorders>
              <w:top w:val="nil"/>
            </w:tcBorders>
            <w:vAlign w:val="top"/>
          </w:tcPr>
          <w:p>
            <w:pPr>
              <w:rPr>
                <w:rFonts w:ascii="Arial"/>
                <w:sz w:val="21"/>
              </w:rPr>
            </w:pPr>
          </w:p>
        </w:tc>
        <w:tc>
          <w:tcPr>
            <w:tcW w:w="1164" w:type="dxa"/>
            <w:vMerge w:val="continue"/>
            <w:tcBorders>
              <w:top w:val="nil"/>
            </w:tcBorders>
            <w:vAlign w:val="top"/>
          </w:tcPr>
          <w:p>
            <w:pPr>
              <w:rPr>
                <w:rFonts w:ascii="Arial"/>
                <w:sz w:val="21"/>
              </w:rPr>
            </w:pPr>
          </w:p>
        </w:tc>
        <w:tc>
          <w:tcPr>
            <w:tcW w:w="910" w:type="dxa"/>
            <w:vMerge w:val="continue"/>
            <w:tcBorders>
              <w:top w:val="nil"/>
            </w:tcBorders>
            <w:vAlign w:val="top"/>
          </w:tcPr>
          <w:p>
            <w:pPr>
              <w:rPr>
                <w:rFonts w:ascii="Arial"/>
                <w:sz w:val="21"/>
              </w:rPr>
            </w:pPr>
          </w:p>
        </w:tc>
        <w:tc>
          <w:tcPr>
            <w:tcW w:w="983" w:type="dxa"/>
            <w:vMerge w:val="continue"/>
            <w:tcBorders>
              <w:top w:val="nil"/>
            </w:tcBorders>
            <w:vAlign w:val="top"/>
          </w:tcPr>
          <w:p>
            <w:pPr>
              <w:rPr>
                <w:rFonts w:ascii="Arial"/>
                <w:sz w:val="21"/>
              </w:rPr>
            </w:pPr>
          </w:p>
        </w:tc>
        <w:tc>
          <w:tcPr>
            <w:tcW w:w="1036" w:type="dxa"/>
            <w:vMerge w:val="continue"/>
            <w:tcBorders>
              <w:top w:val="nil"/>
            </w:tcBorders>
            <w:vAlign w:val="top"/>
          </w:tcPr>
          <w:p>
            <w:pPr>
              <w:rPr>
                <w:rFonts w:ascii="Arial"/>
                <w:sz w:val="21"/>
              </w:rPr>
            </w:pPr>
          </w:p>
        </w:tc>
        <w:tc>
          <w:tcPr>
            <w:tcW w:w="897" w:type="dxa"/>
            <w:vMerge w:val="continue"/>
            <w:tcBorders>
              <w:top w:val="nil"/>
            </w:tcBorders>
            <w:vAlign w:val="top"/>
          </w:tcPr>
          <w:p>
            <w:pPr>
              <w:rPr>
                <w:rFonts w:ascii="Arial"/>
                <w:sz w:val="21"/>
              </w:rPr>
            </w:pPr>
          </w:p>
        </w:tc>
        <w:tc>
          <w:tcPr>
            <w:tcW w:w="103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5" w:hRule="atLeast"/>
        </w:trPr>
        <w:tc>
          <w:tcPr>
            <w:tcW w:w="777" w:type="dxa"/>
            <w:vMerge w:val="continue"/>
            <w:tcBorders>
              <w:top w:val="nil"/>
              <w:left w:val="nil"/>
              <w:bottom w:val="single" w:color="000000" w:sz="12" w:space="0"/>
            </w:tcBorders>
            <w:vAlign w:val="top"/>
          </w:tcPr>
          <w:p>
            <w:pPr>
              <w:rPr>
                <w:rFonts w:ascii="Arial"/>
                <w:sz w:val="21"/>
              </w:rPr>
            </w:pPr>
          </w:p>
        </w:tc>
        <w:tc>
          <w:tcPr>
            <w:tcW w:w="1383" w:type="dxa"/>
            <w:tcBorders>
              <w:bottom w:val="single" w:color="000000" w:sz="12" w:space="0"/>
            </w:tcBorders>
            <w:vAlign w:val="top"/>
          </w:tcPr>
          <w:p>
            <w:pPr>
              <w:spacing w:before="173" w:line="217" w:lineRule="auto"/>
              <w:ind w:left="346"/>
              <w:rPr>
                <w:rFonts w:ascii="仿宋" w:hAnsi="仿宋" w:eastAsia="仿宋" w:cs="仿宋"/>
                <w:sz w:val="18"/>
                <w:szCs w:val="18"/>
              </w:rPr>
            </w:pPr>
            <w:r>
              <w:rPr>
                <w:rFonts w:ascii="仿宋" w:hAnsi="仿宋" w:eastAsia="仿宋" w:cs="仿宋"/>
                <w:spacing w:val="-5"/>
                <w:sz w:val="18"/>
                <w:szCs w:val="18"/>
              </w:rPr>
              <w:t>引水隧洞</w:t>
            </w:r>
          </w:p>
        </w:tc>
        <w:tc>
          <w:tcPr>
            <w:tcW w:w="910" w:type="dxa"/>
            <w:tcBorders>
              <w:bottom w:val="single" w:color="000000" w:sz="12" w:space="0"/>
            </w:tcBorders>
            <w:vAlign w:val="top"/>
          </w:tcPr>
          <w:p>
            <w:pPr>
              <w:pStyle w:val="6"/>
              <w:spacing w:before="203" w:line="188" w:lineRule="auto"/>
              <w:ind w:left="225"/>
              <w:rPr>
                <w:sz w:val="18"/>
                <w:szCs w:val="18"/>
              </w:rPr>
            </w:pPr>
            <w:r>
              <w:rPr>
                <w:spacing w:val="-4"/>
                <w:sz w:val="18"/>
                <w:szCs w:val="18"/>
              </w:rPr>
              <w:t>1963.0</w:t>
            </w:r>
          </w:p>
        </w:tc>
        <w:tc>
          <w:tcPr>
            <w:tcW w:w="843" w:type="dxa"/>
            <w:tcBorders>
              <w:bottom w:val="single" w:color="000000" w:sz="12" w:space="0"/>
            </w:tcBorders>
            <w:vAlign w:val="top"/>
          </w:tcPr>
          <w:p>
            <w:pPr>
              <w:rPr>
                <w:rFonts w:ascii="Arial"/>
                <w:sz w:val="21"/>
              </w:rPr>
            </w:pPr>
          </w:p>
        </w:tc>
        <w:tc>
          <w:tcPr>
            <w:tcW w:w="812" w:type="dxa"/>
            <w:tcBorders>
              <w:bottom w:val="single" w:color="000000" w:sz="12" w:space="0"/>
            </w:tcBorders>
            <w:vAlign w:val="top"/>
          </w:tcPr>
          <w:p>
            <w:pPr>
              <w:pStyle w:val="6"/>
              <w:spacing w:before="203" w:line="188" w:lineRule="auto"/>
              <w:ind w:left="248"/>
              <w:rPr>
                <w:sz w:val="18"/>
                <w:szCs w:val="18"/>
              </w:rPr>
            </w:pPr>
            <w:r>
              <w:rPr>
                <w:spacing w:val="-1"/>
                <w:sz w:val="18"/>
                <w:szCs w:val="18"/>
              </w:rPr>
              <w:t>44.0</w:t>
            </w:r>
          </w:p>
        </w:tc>
        <w:tc>
          <w:tcPr>
            <w:tcW w:w="750" w:type="dxa"/>
            <w:tcBorders>
              <w:bottom w:val="single" w:color="000000" w:sz="12" w:space="0"/>
            </w:tcBorders>
            <w:vAlign w:val="top"/>
          </w:tcPr>
          <w:p>
            <w:pPr>
              <w:rPr>
                <w:rFonts w:ascii="Arial"/>
                <w:sz w:val="21"/>
              </w:rPr>
            </w:pPr>
          </w:p>
        </w:tc>
        <w:tc>
          <w:tcPr>
            <w:tcW w:w="1762" w:type="dxa"/>
            <w:tcBorders>
              <w:bottom w:val="single" w:color="000000" w:sz="12" w:space="0"/>
            </w:tcBorders>
            <w:vAlign w:val="top"/>
          </w:tcPr>
          <w:p>
            <w:pPr>
              <w:rPr>
                <w:rFonts w:ascii="Arial"/>
                <w:sz w:val="21"/>
              </w:rPr>
            </w:pPr>
          </w:p>
        </w:tc>
        <w:tc>
          <w:tcPr>
            <w:tcW w:w="739" w:type="dxa"/>
            <w:tcBorders>
              <w:bottom w:val="single" w:color="000000" w:sz="12" w:space="0"/>
            </w:tcBorders>
            <w:vAlign w:val="top"/>
          </w:tcPr>
          <w:p>
            <w:pPr>
              <w:rPr>
                <w:rFonts w:ascii="Arial"/>
                <w:sz w:val="21"/>
              </w:rPr>
            </w:pPr>
          </w:p>
        </w:tc>
        <w:tc>
          <w:tcPr>
            <w:tcW w:w="1164" w:type="dxa"/>
            <w:tcBorders>
              <w:bottom w:val="single" w:color="000000" w:sz="12" w:space="0"/>
            </w:tcBorders>
            <w:vAlign w:val="top"/>
          </w:tcPr>
          <w:p>
            <w:pPr>
              <w:rPr>
                <w:rFonts w:ascii="Arial"/>
                <w:sz w:val="21"/>
              </w:rPr>
            </w:pPr>
          </w:p>
        </w:tc>
        <w:tc>
          <w:tcPr>
            <w:tcW w:w="910" w:type="dxa"/>
            <w:tcBorders>
              <w:bottom w:val="single" w:color="000000" w:sz="12" w:space="0"/>
            </w:tcBorders>
            <w:vAlign w:val="top"/>
          </w:tcPr>
          <w:p>
            <w:pPr>
              <w:rPr>
                <w:rFonts w:ascii="Arial"/>
                <w:sz w:val="21"/>
              </w:rPr>
            </w:pPr>
          </w:p>
        </w:tc>
        <w:tc>
          <w:tcPr>
            <w:tcW w:w="983" w:type="dxa"/>
            <w:tcBorders>
              <w:bottom w:val="single" w:color="000000" w:sz="12" w:space="0"/>
            </w:tcBorders>
            <w:vAlign w:val="top"/>
          </w:tcPr>
          <w:p>
            <w:pPr>
              <w:rPr>
                <w:rFonts w:ascii="Arial"/>
                <w:sz w:val="21"/>
              </w:rPr>
            </w:pPr>
          </w:p>
        </w:tc>
        <w:tc>
          <w:tcPr>
            <w:tcW w:w="1036" w:type="dxa"/>
            <w:tcBorders>
              <w:bottom w:val="single" w:color="000000" w:sz="12" w:space="0"/>
            </w:tcBorders>
            <w:vAlign w:val="top"/>
          </w:tcPr>
          <w:p>
            <w:pPr>
              <w:pStyle w:val="6"/>
              <w:spacing w:before="203" w:line="188" w:lineRule="auto"/>
              <w:ind w:left="290"/>
              <w:rPr>
                <w:sz w:val="18"/>
                <w:szCs w:val="18"/>
              </w:rPr>
            </w:pPr>
            <w:r>
              <w:rPr>
                <w:spacing w:val="-4"/>
                <w:sz w:val="18"/>
                <w:szCs w:val="18"/>
              </w:rPr>
              <w:t>1919.0</w:t>
            </w:r>
          </w:p>
        </w:tc>
        <w:tc>
          <w:tcPr>
            <w:tcW w:w="897" w:type="dxa"/>
            <w:tcBorders>
              <w:bottom w:val="single" w:color="000000" w:sz="12" w:space="0"/>
            </w:tcBorders>
            <w:vAlign w:val="top"/>
          </w:tcPr>
          <w:p>
            <w:pPr>
              <w:pStyle w:val="6"/>
              <w:spacing w:before="203" w:line="188" w:lineRule="auto"/>
              <w:ind w:left="203"/>
              <w:rPr>
                <w:sz w:val="18"/>
                <w:szCs w:val="18"/>
              </w:rPr>
            </w:pPr>
            <w:r>
              <w:rPr>
                <w:spacing w:val="-1"/>
                <w:sz w:val="18"/>
                <w:szCs w:val="18"/>
              </w:rPr>
              <w:t>2398.8</w:t>
            </w:r>
          </w:p>
        </w:tc>
        <w:tc>
          <w:tcPr>
            <w:tcW w:w="1036" w:type="dxa"/>
            <w:tcBorders>
              <w:bottom w:val="single" w:color="000000" w:sz="12" w:space="0"/>
              <w:right w:val="nil"/>
            </w:tcBorders>
            <w:vAlign w:val="top"/>
          </w:tcPr>
          <w:p>
            <w:pPr>
              <w:pStyle w:val="6"/>
              <w:spacing w:before="55" w:line="220" w:lineRule="auto"/>
              <w:ind w:left="348" w:right="111" w:hanging="233"/>
              <w:rPr>
                <w:rFonts w:ascii="仿宋" w:hAnsi="仿宋" w:eastAsia="仿宋" w:cs="仿宋"/>
                <w:sz w:val="18"/>
                <w:szCs w:val="18"/>
              </w:rPr>
            </w:pPr>
            <w:r>
              <w:rPr>
                <w:spacing w:val="-5"/>
                <w:sz w:val="18"/>
                <w:szCs w:val="18"/>
              </w:rPr>
              <w:t>2#</w:t>
            </w:r>
            <w:r>
              <w:rPr>
                <w:spacing w:val="-15"/>
                <w:sz w:val="18"/>
                <w:szCs w:val="18"/>
              </w:rPr>
              <w:t xml:space="preserve"> </w:t>
            </w:r>
            <w:r>
              <w:rPr>
                <w:rFonts w:ascii="仿宋" w:hAnsi="仿宋" w:eastAsia="仿宋" w:cs="仿宋"/>
                <w:spacing w:val="-5"/>
                <w:sz w:val="18"/>
                <w:szCs w:val="18"/>
              </w:rPr>
              <w:t>、</w:t>
            </w:r>
            <w:r>
              <w:rPr>
                <w:spacing w:val="-5"/>
                <w:sz w:val="18"/>
                <w:szCs w:val="18"/>
              </w:rPr>
              <w:t>17#</w:t>
            </w:r>
            <w:r>
              <w:rPr>
                <w:rFonts w:ascii="仿宋" w:hAnsi="仿宋" w:eastAsia="仿宋" w:cs="仿宋"/>
                <w:spacing w:val="-5"/>
                <w:sz w:val="18"/>
                <w:szCs w:val="18"/>
              </w:rPr>
              <w:t>弃</w:t>
            </w:r>
            <w:r>
              <w:rPr>
                <w:rFonts w:ascii="仿宋" w:hAnsi="仿宋" w:eastAsia="仿宋" w:cs="仿宋"/>
                <w:sz w:val="18"/>
                <w:szCs w:val="18"/>
              </w:rPr>
              <w:t xml:space="preserve"> </w:t>
            </w:r>
            <w:r>
              <w:rPr>
                <w:rFonts w:ascii="仿宋" w:hAnsi="仿宋" w:eastAsia="仿宋" w:cs="仿宋"/>
                <w:spacing w:val="-4"/>
                <w:sz w:val="18"/>
                <w:szCs w:val="18"/>
              </w:rPr>
              <w:t>渣场</w:t>
            </w:r>
          </w:p>
        </w:tc>
      </w:tr>
    </w:tbl>
    <w:p>
      <w:pPr>
        <w:rPr>
          <w:rFonts w:ascii="Arial"/>
          <w:sz w:val="21"/>
        </w:rPr>
      </w:pPr>
    </w:p>
    <w:p>
      <w:pPr>
        <w:rPr>
          <w:rFonts w:ascii="Arial" w:hAnsi="Arial" w:eastAsia="Arial" w:cs="Arial"/>
          <w:sz w:val="21"/>
          <w:szCs w:val="21"/>
        </w:rPr>
        <w:sectPr>
          <w:headerReference r:id="rId105" w:type="default"/>
          <w:footerReference r:id="rId106" w:type="default"/>
          <w:pgSz w:w="16839" w:h="11907"/>
          <w:pgMar w:top="1298" w:right="1387" w:bottom="1374" w:left="1388" w:header="1023" w:footer="1210" w:gutter="0"/>
        </w:sectPr>
      </w:pPr>
    </w:p>
    <w:p>
      <w:pPr>
        <w:spacing w:line="232" w:lineRule="exact"/>
      </w:pPr>
    </w:p>
    <w:tbl>
      <w:tblPr>
        <w:tblStyle w:val="5"/>
        <w:tblW w:w="14002"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7"/>
        <w:gridCol w:w="1383"/>
        <w:gridCol w:w="909"/>
        <w:gridCol w:w="843"/>
        <w:gridCol w:w="812"/>
        <w:gridCol w:w="750"/>
        <w:gridCol w:w="1762"/>
        <w:gridCol w:w="739"/>
        <w:gridCol w:w="1165"/>
        <w:gridCol w:w="910"/>
        <w:gridCol w:w="983"/>
        <w:gridCol w:w="1036"/>
        <w:gridCol w:w="897"/>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7" w:hRule="atLeast"/>
        </w:trPr>
        <w:tc>
          <w:tcPr>
            <w:tcW w:w="2160" w:type="dxa"/>
            <w:gridSpan w:val="2"/>
            <w:vMerge w:val="restart"/>
            <w:tcBorders>
              <w:top w:val="single" w:color="000000" w:sz="12" w:space="0"/>
              <w:left w:val="nil"/>
              <w:bottom w:val="nil"/>
            </w:tcBorders>
            <w:vAlign w:val="top"/>
          </w:tcPr>
          <w:p>
            <w:pPr>
              <w:spacing w:line="326" w:lineRule="auto"/>
              <w:rPr>
                <w:rFonts w:ascii="Arial"/>
                <w:sz w:val="21"/>
              </w:rPr>
            </w:pPr>
          </w:p>
          <w:p>
            <w:pPr>
              <w:pStyle w:val="6"/>
              <w:spacing w:before="59" w:line="233" w:lineRule="auto"/>
              <w:ind w:left="616"/>
              <w:rPr>
                <w:rFonts w:ascii="仿宋" w:hAnsi="仿宋" w:eastAsia="仿宋" w:cs="仿宋"/>
                <w:sz w:val="18"/>
                <w:szCs w:val="18"/>
              </w:rPr>
            </w:pPr>
            <w:r>
              <w:rPr>
                <w:rFonts w:ascii="仿宋" w:hAnsi="仿宋" w:eastAsia="仿宋" w:cs="仿宋"/>
                <w:spacing w:val="-2"/>
                <w:sz w:val="18"/>
                <w:szCs w:val="18"/>
                <w14:textOutline w14:w="3265" w14:cap="flat" w14:cmpd="sng">
                  <w14:solidFill>
                    <w14:srgbClr w14:val="000000"/>
                  </w14:solidFill>
                  <w14:prstDash w14:val="solid"/>
                  <w14:miter w14:val="0"/>
                </w14:textOutline>
              </w:rPr>
              <w:t>分区</w:t>
            </w:r>
            <w:r>
              <w:rPr>
                <w:b/>
                <w:bCs/>
                <w:spacing w:val="-2"/>
                <w:sz w:val="18"/>
                <w:szCs w:val="18"/>
              </w:rPr>
              <w:t>/</w:t>
            </w:r>
            <w:r>
              <w:rPr>
                <w:rFonts w:ascii="仿宋" w:hAnsi="仿宋" w:eastAsia="仿宋" w:cs="仿宋"/>
                <w:spacing w:val="-2"/>
                <w:sz w:val="18"/>
                <w:szCs w:val="18"/>
                <w14:textOutline w14:w="3265" w14:cap="flat" w14:cmpd="sng">
                  <w14:solidFill>
                    <w14:srgbClr w14:val="000000"/>
                  </w14:solidFill>
                  <w14:prstDash w14:val="solid"/>
                  <w14:miter w14:val="0"/>
                </w14:textOutline>
              </w:rPr>
              <w:t>项目区</w:t>
            </w:r>
          </w:p>
        </w:tc>
        <w:tc>
          <w:tcPr>
            <w:tcW w:w="1752" w:type="dxa"/>
            <w:gridSpan w:val="2"/>
            <w:vMerge w:val="restart"/>
            <w:tcBorders>
              <w:top w:val="single" w:color="000000" w:sz="12" w:space="0"/>
              <w:bottom w:val="nil"/>
            </w:tcBorders>
            <w:vAlign w:val="top"/>
          </w:tcPr>
          <w:p>
            <w:pPr>
              <w:spacing w:before="149" w:line="218" w:lineRule="auto"/>
              <w:ind w:left="705"/>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开挖</w:t>
            </w:r>
          </w:p>
        </w:tc>
        <w:tc>
          <w:tcPr>
            <w:tcW w:w="812" w:type="dxa"/>
            <w:vMerge w:val="restart"/>
            <w:tcBorders>
              <w:top w:val="single" w:color="000000" w:sz="12" w:space="0"/>
              <w:bottom w:val="nil"/>
            </w:tcBorders>
            <w:vAlign w:val="top"/>
          </w:tcPr>
          <w:p>
            <w:pPr>
              <w:spacing w:before="149" w:line="219" w:lineRule="auto"/>
              <w:ind w:left="257"/>
              <w:rPr>
                <w:rFonts w:ascii="仿宋" w:hAnsi="仿宋" w:eastAsia="仿宋" w:cs="仿宋"/>
                <w:sz w:val="18"/>
                <w:szCs w:val="18"/>
              </w:rPr>
            </w:pPr>
            <w:r>
              <w:rPr>
                <w:rFonts w:ascii="仿宋" w:hAnsi="仿宋" w:eastAsia="仿宋" w:cs="仿宋"/>
                <w:spacing w:val="-9"/>
                <w:sz w:val="18"/>
                <w:szCs w:val="18"/>
                <w14:textOutline w14:w="3265" w14:cap="flat" w14:cmpd="sng">
                  <w14:solidFill>
                    <w14:srgbClr w14:val="000000"/>
                  </w14:solidFill>
                  <w14:prstDash w14:val="solid"/>
                  <w14:miter w14:val="0"/>
                </w14:textOutline>
              </w:rPr>
              <w:t>回填</w:t>
            </w:r>
          </w:p>
        </w:tc>
        <w:tc>
          <w:tcPr>
            <w:tcW w:w="2512" w:type="dxa"/>
            <w:gridSpan w:val="2"/>
            <w:vMerge w:val="restart"/>
            <w:tcBorders>
              <w:top w:val="single" w:color="000000" w:sz="12" w:space="0"/>
              <w:bottom w:val="nil"/>
            </w:tcBorders>
            <w:vAlign w:val="top"/>
          </w:tcPr>
          <w:p>
            <w:pPr>
              <w:spacing w:before="149" w:line="218" w:lineRule="auto"/>
              <w:ind w:left="1084"/>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利用</w:t>
            </w:r>
          </w:p>
        </w:tc>
        <w:tc>
          <w:tcPr>
            <w:tcW w:w="3797" w:type="dxa"/>
            <w:gridSpan w:val="4"/>
            <w:tcBorders>
              <w:top w:val="single" w:color="000000" w:sz="12" w:space="0"/>
            </w:tcBorders>
            <w:vAlign w:val="top"/>
          </w:tcPr>
          <w:p>
            <w:pPr>
              <w:spacing w:before="27" w:line="205" w:lineRule="auto"/>
              <w:ind w:left="1276"/>
              <w:rPr>
                <w:rFonts w:ascii="仿宋" w:hAnsi="仿宋" w:eastAsia="仿宋" w:cs="仿宋"/>
                <w:sz w:val="18"/>
                <w:szCs w:val="18"/>
              </w:rPr>
            </w:pPr>
            <w:r>
              <w:rPr>
                <w:rFonts w:ascii="仿宋" w:hAnsi="仿宋" w:eastAsia="仿宋" w:cs="仿宋"/>
                <w:spacing w:val="-2"/>
                <w:sz w:val="18"/>
                <w:szCs w:val="18"/>
                <w14:textOutline w14:w="3265" w14:cap="flat" w14:cmpd="sng">
                  <w14:solidFill>
                    <w14:srgbClr w14:val="000000"/>
                  </w14:solidFill>
                  <w14:prstDash w14:val="solid"/>
                  <w14:miter w14:val="0"/>
                </w14:textOutline>
              </w:rPr>
              <w:t>项目区内部调配</w:t>
            </w:r>
          </w:p>
        </w:tc>
        <w:tc>
          <w:tcPr>
            <w:tcW w:w="2969" w:type="dxa"/>
            <w:gridSpan w:val="3"/>
            <w:vMerge w:val="restart"/>
            <w:tcBorders>
              <w:top w:val="single" w:color="000000" w:sz="12" w:space="0"/>
              <w:bottom w:val="nil"/>
              <w:right w:val="nil"/>
            </w:tcBorders>
            <w:vAlign w:val="top"/>
          </w:tcPr>
          <w:p>
            <w:pPr>
              <w:spacing w:before="149" w:line="219" w:lineRule="auto"/>
              <w:ind w:left="1228"/>
              <w:rPr>
                <w:rFonts w:ascii="仿宋" w:hAnsi="仿宋" w:eastAsia="仿宋" w:cs="仿宋"/>
                <w:sz w:val="18"/>
                <w:szCs w:val="18"/>
              </w:rPr>
            </w:pPr>
            <w:r>
              <w:rPr>
                <w:rFonts w:ascii="仿宋" w:hAnsi="仿宋" w:eastAsia="仿宋" w:cs="仿宋"/>
                <w:spacing w:val="-9"/>
                <w:sz w:val="18"/>
                <w:szCs w:val="18"/>
                <w14:textOutline w14:w="3265" w14:cap="flat" w14:cmpd="sng">
                  <w14:solidFill>
                    <w14:srgbClr w14:val="000000"/>
                  </w14:solidFill>
                  <w14:prstDash w14:val="solid"/>
                  <w14:miter w14:val="0"/>
                </w14:textOutline>
              </w:rPr>
              <w:t>弃</w:t>
            </w:r>
            <w:r>
              <w:rPr>
                <w:rFonts w:ascii="仿宋" w:hAnsi="仿宋" w:eastAsia="仿宋" w:cs="仿宋"/>
                <w:spacing w:val="7"/>
                <w:sz w:val="18"/>
                <w:szCs w:val="18"/>
              </w:rPr>
              <w:t xml:space="preserve">  </w:t>
            </w:r>
            <w:r>
              <w:rPr>
                <w:rFonts w:ascii="仿宋" w:hAnsi="仿宋" w:eastAsia="仿宋" w:cs="仿宋"/>
                <w:spacing w:val="-9"/>
                <w:sz w:val="18"/>
                <w:szCs w:val="18"/>
                <w14:textOutline w14:w="3265" w14:cap="flat" w14:cmpd="sng">
                  <w14:solidFill>
                    <w14:srgbClr w14:val="000000"/>
                  </w14:solidFill>
                  <w14:prstDash w14:val="solid"/>
                  <w14:miter w14:val="0"/>
                </w14:textOutline>
              </w:rPr>
              <w:t>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8" w:hRule="atLeast"/>
        </w:trPr>
        <w:tc>
          <w:tcPr>
            <w:tcW w:w="2160" w:type="dxa"/>
            <w:gridSpan w:val="2"/>
            <w:vMerge w:val="continue"/>
            <w:tcBorders>
              <w:top w:val="nil"/>
              <w:left w:val="nil"/>
              <w:bottom w:val="nil"/>
            </w:tcBorders>
            <w:vAlign w:val="top"/>
          </w:tcPr>
          <w:p>
            <w:pPr>
              <w:rPr>
                <w:rFonts w:ascii="Arial"/>
                <w:sz w:val="21"/>
              </w:rPr>
            </w:pPr>
          </w:p>
        </w:tc>
        <w:tc>
          <w:tcPr>
            <w:tcW w:w="1752" w:type="dxa"/>
            <w:gridSpan w:val="2"/>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2512" w:type="dxa"/>
            <w:gridSpan w:val="2"/>
            <w:vMerge w:val="continue"/>
            <w:tcBorders>
              <w:top w:val="nil"/>
            </w:tcBorders>
            <w:vAlign w:val="top"/>
          </w:tcPr>
          <w:p>
            <w:pPr>
              <w:rPr>
                <w:rFonts w:ascii="Arial"/>
                <w:sz w:val="21"/>
              </w:rPr>
            </w:pPr>
          </w:p>
        </w:tc>
        <w:tc>
          <w:tcPr>
            <w:tcW w:w="1904" w:type="dxa"/>
            <w:gridSpan w:val="2"/>
            <w:vAlign w:val="top"/>
          </w:tcPr>
          <w:p>
            <w:pPr>
              <w:spacing w:before="28" w:line="205" w:lineRule="auto"/>
              <w:ind w:left="781"/>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调出</w:t>
            </w:r>
          </w:p>
        </w:tc>
        <w:tc>
          <w:tcPr>
            <w:tcW w:w="1893" w:type="dxa"/>
            <w:gridSpan w:val="2"/>
            <w:vAlign w:val="top"/>
          </w:tcPr>
          <w:p>
            <w:pPr>
              <w:spacing w:before="28" w:line="205" w:lineRule="auto"/>
              <w:ind w:left="776"/>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调入</w:t>
            </w:r>
          </w:p>
        </w:tc>
        <w:tc>
          <w:tcPr>
            <w:tcW w:w="2969" w:type="dxa"/>
            <w:gridSpan w:val="3"/>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1" w:hRule="atLeast"/>
        </w:trPr>
        <w:tc>
          <w:tcPr>
            <w:tcW w:w="2160" w:type="dxa"/>
            <w:gridSpan w:val="2"/>
            <w:vMerge w:val="continue"/>
            <w:tcBorders>
              <w:top w:val="nil"/>
              <w:left w:val="nil"/>
            </w:tcBorders>
            <w:vAlign w:val="top"/>
          </w:tcPr>
          <w:p>
            <w:pPr>
              <w:rPr>
                <w:rFonts w:ascii="Arial"/>
                <w:sz w:val="21"/>
              </w:rPr>
            </w:pPr>
          </w:p>
        </w:tc>
        <w:tc>
          <w:tcPr>
            <w:tcW w:w="909" w:type="dxa"/>
            <w:vAlign w:val="top"/>
          </w:tcPr>
          <w:p>
            <w:pPr>
              <w:spacing w:before="30" w:line="221" w:lineRule="auto"/>
              <w:ind w:left="283" w:right="180" w:hanging="90"/>
              <w:rPr>
                <w:rFonts w:ascii="仿宋" w:hAnsi="仿宋" w:eastAsia="仿宋" w:cs="仿宋"/>
                <w:sz w:val="18"/>
                <w:szCs w:val="18"/>
              </w:rPr>
            </w:pPr>
            <w:r>
              <w:rPr>
                <w:rFonts w:ascii="仿宋" w:hAnsi="仿宋" w:eastAsia="仿宋" w:cs="仿宋"/>
                <w:spacing w:val="-4"/>
                <w:sz w:val="18"/>
                <w:szCs w:val="18"/>
                <w14:textOutline w14:w="3265" w14:cap="flat" w14:cmpd="sng">
                  <w14:solidFill>
                    <w14:srgbClr w14:val="000000"/>
                  </w14:solidFill>
                  <w14:prstDash w14:val="solid"/>
                  <w14:miter w14:val="0"/>
                </w14:textOutline>
              </w:rPr>
              <w:t>开挖土</w:t>
            </w:r>
            <w:r>
              <w:rPr>
                <w:rFonts w:ascii="仿宋" w:hAnsi="仿宋" w:eastAsia="仿宋" w:cs="仿宋"/>
                <w:spacing w:val="1"/>
                <w:sz w:val="18"/>
                <w:szCs w:val="18"/>
              </w:rPr>
              <w:t xml:space="preserve"> </w:t>
            </w:r>
            <w:r>
              <w:rPr>
                <w:rFonts w:ascii="仿宋" w:hAnsi="仿宋" w:eastAsia="仿宋" w:cs="仿宋"/>
                <w:spacing w:val="-3"/>
                <w:sz w:val="18"/>
                <w:szCs w:val="18"/>
                <w14:textOutline w14:w="3265" w14:cap="flat" w14:cmpd="sng">
                  <w14:solidFill>
                    <w14:srgbClr w14:val="000000"/>
                  </w14:solidFill>
                  <w14:prstDash w14:val="solid"/>
                  <w14:miter w14:val="0"/>
                </w14:textOutline>
              </w:rPr>
              <w:t>石方</w:t>
            </w:r>
          </w:p>
        </w:tc>
        <w:tc>
          <w:tcPr>
            <w:tcW w:w="843" w:type="dxa"/>
            <w:vAlign w:val="top"/>
          </w:tcPr>
          <w:p>
            <w:pPr>
              <w:spacing w:before="30" w:line="221" w:lineRule="auto"/>
              <w:ind w:left="345" w:right="147" w:hanging="184"/>
              <w:rPr>
                <w:rFonts w:ascii="仿宋" w:hAnsi="仿宋" w:eastAsia="仿宋" w:cs="仿宋"/>
                <w:sz w:val="18"/>
                <w:szCs w:val="18"/>
              </w:rPr>
            </w:pPr>
            <w:r>
              <w:rPr>
                <w:rFonts w:ascii="仿宋" w:hAnsi="仿宋" w:eastAsia="仿宋" w:cs="仿宋"/>
                <w:spacing w:val="-4"/>
                <w:sz w:val="18"/>
                <w:szCs w:val="18"/>
                <w14:textOutline w14:w="3265" w14:cap="flat" w14:cmpd="sng">
                  <w14:solidFill>
                    <w14:srgbClr w14:val="000000"/>
                  </w14:solidFill>
                  <w14:prstDash w14:val="solid"/>
                  <w14:miter w14:val="0"/>
                </w14:textOutline>
              </w:rPr>
              <w:t>表土剥</w:t>
            </w:r>
            <w:r>
              <w:rPr>
                <w:rFonts w:ascii="仿宋" w:hAnsi="仿宋" w:eastAsia="仿宋" w:cs="仿宋"/>
                <w:sz w:val="18"/>
                <w:szCs w:val="18"/>
              </w:rPr>
              <w:t xml:space="preserve"> </w:t>
            </w:r>
            <w:r>
              <w:rPr>
                <w:rFonts w:ascii="仿宋" w:hAnsi="仿宋" w:eastAsia="仿宋" w:cs="仿宋"/>
                <w:sz w:val="18"/>
                <w:szCs w:val="18"/>
                <w14:textOutline w14:w="3265" w14:cap="flat" w14:cmpd="sng">
                  <w14:solidFill>
                    <w14:srgbClr w14:val="000000"/>
                  </w14:solidFill>
                  <w14:prstDash w14:val="solid"/>
                  <w14:miter w14:val="0"/>
                </w14:textOutline>
              </w:rPr>
              <w:t>离</w:t>
            </w:r>
          </w:p>
        </w:tc>
        <w:tc>
          <w:tcPr>
            <w:tcW w:w="812" w:type="dxa"/>
            <w:vAlign w:val="top"/>
          </w:tcPr>
          <w:p>
            <w:pPr>
              <w:spacing w:before="145" w:line="219" w:lineRule="auto"/>
              <w:ind w:left="234"/>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750" w:type="dxa"/>
            <w:vAlign w:val="top"/>
          </w:tcPr>
          <w:p>
            <w:pPr>
              <w:spacing w:before="145" w:line="219" w:lineRule="auto"/>
              <w:ind w:left="204"/>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1762" w:type="dxa"/>
            <w:vAlign w:val="top"/>
          </w:tcPr>
          <w:p>
            <w:pPr>
              <w:spacing w:before="145" w:line="222" w:lineRule="auto"/>
              <w:ind w:left="716"/>
              <w:rPr>
                <w:rFonts w:ascii="仿宋" w:hAnsi="仿宋" w:eastAsia="仿宋" w:cs="仿宋"/>
                <w:sz w:val="18"/>
                <w:szCs w:val="18"/>
              </w:rPr>
            </w:pPr>
            <w:r>
              <w:rPr>
                <w:rFonts w:ascii="仿宋" w:hAnsi="仿宋" w:eastAsia="仿宋" w:cs="仿宋"/>
                <w:spacing w:val="-5"/>
                <w:sz w:val="18"/>
                <w:szCs w:val="18"/>
                <w14:textOutline w14:w="3265" w14:cap="flat" w14:cmpd="sng">
                  <w14:solidFill>
                    <w14:srgbClr w14:val="000000"/>
                  </w14:solidFill>
                  <w14:prstDash w14:val="solid"/>
                  <w14:miter w14:val="0"/>
                </w14:textOutline>
              </w:rPr>
              <w:t>去向</w:t>
            </w:r>
          </w:p>
        </w:tc>
        <w:tc>
          <w:tcPr>
            <w:tcW w:w="739" w:type="dxa"/>
            <w:vAlign w:val="top"/>
          </w:tcPr>
          <w:p>
            <w:pPr>
              <w:spacing w:before="145" w:line="219" w:lineRule="auto"/>
              <w:ind w:left="198"/>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1165" w:type="dxa"/>
            <w:vAlign w:val="top"/>
          </w:tcPr>
          <w:p>
            <w:pPr>
              <w:spacing w:before="145" w:line="222" w:lineRule="auto"/>
              <w:ind w:left="418"/>
              <w:rPr>
                <w:rFonts w:ascii="仿宋" w:hAnsi="仿宋" w:eastAsia="仿宋" w:cs="仿宋"/>
                <w:sz w:val="18"/>
                <w:szCs w:val="18"/>
              </w:rPr>
            </w:pPr>
            <w:r>
              <w:rPr>
                <w:rFonts w:ascii="仿宋" w:hAnsi="仿宋" w:eastAsia="仿宋" w:cs="仿宋"/>
                <w:spacing w:val="-5"/>
                <w:sz w:val="18"/>
                <w:szCs w:val="18"/>
                <w14:textOutline w14:w="3265" w14:cap="flat" w14:cmpd="sng">
                  <w14:solidFill>
                    <w14:srgbClr w14:val="000000"/>
                  </w14:solidFill>
                  <w14:prstDash w14:val="solid"/>
                  <w14:miter w14:val="0"/>
                </w14:textOutline>
              </w:rPr>
              <w:t>去向</w:t>
            </w:r>
          </w:p>
        </w:tc>
        <w:tc>
          <w:tcPr>
            <w:tcW w:w="910" w:type="dxa"/>
            <w:vAlign w:val="top"/>
          </w:tcPr>
          <w:p>
            <w:pPr>
              <w:spacing w:before="145" w:line="219" w:lineRule="auto"/>
              <w:ind w:left="283"/>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983" w:type="dxa"/>
            <w:vAlign w:val="top"/>
          </w:tcPr>
          <w:p>
            <w:pPr>
              <w:spacing w:before="145" w:line="217" w:lineRule="auto"/>
              <w:ind w:left="321"/>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来源</w:t>
            </w:r>
          </w:p>
        </w:tc>
        <w:tc>
          <w:tcPr>
            <w:tcW w:w="1036" w:type="dxa"/>
            <w:vAlign w:val="top"/>
          </w:tcPr>
          <w:p>
            <w:pPr>
              <w:pStyle w:val="6"/>
              <w:spacing w:before="29" w:line="215" w:lineRule="auto"/>
              <w:ind w:left="136"/>
              <w:rPr>
                <w:rFonts w:ascii="仿宋" w:hAnsi="仿宋" w:eastAsia="仿宋" w:cs="仿宋"/>
                <w:sz w:val="18"/>
                <w:szCs w:val="18"/>
              </w:rPr>
            </w:pPr>
            <w:r>
              <w:rPr>
                <w:rFonts w:ascii="仿宋" w:hAnsi="仿宋" w:eastAsia="仿宋" w:cs="仿宋"/>
                <w:spacing w:val="-2"/>
                <w:sz w:val="18"/>
                <w:szCs w:val="18"/>
                <w14:textOutline w14:w="3265" w14:cap="flat" w14:cmpd="sng">
                  <w14:solidFill>
                    <w14:srgbClr w14:val="000000"/>
                  </w14:solidFill>
                  <w14:prstDash w14:val="solid"/>
                  <w14:miter w14:val="0"/>
                </w14:textOutline>
              </w:rPr>
              <w:t>数量</w:t>
            </w:r>
            <w:r>
              <w:rPr>
                <w:b/>
                <w:bCs/>
                <w:spacing w:val="-2"/>
                <w:sz w:val="18"/>
                <w:szCs w:val="18"/>
              </w:rPr>
              <w:t>(</w:t>
            </w:r>
            <w:r>
              <w:rPr>
                <w:rFonts w:ascii="仿宋" w:hAnsi="仿宋" w:eastAsia="仿宋" w:cs="仿宋"/>
                <w:spacing w:val="-2"/>
                <w:sz w:val="18"/>
                <w:szCs w:val="18"/>
                <w14:textOutline w14:w="3265" w14:cap="flat" w14:cmpd="sng">
                  <w14:solidFill>
                    <w14:srgbClr w14:val="000000"/>
                  </w14:solidFill>
                  <w14:prstDash w14:val="solid"/>
                  <w14:miter w14:val="0"/>
                </w14:textOutline>
              </w:rPr>
              <w:t>自然</w:t>
            </w:r>
          </w:p>
          <w:p>
            <w:pPr>
              <w:pStyle w:val="6"/>
              <w:spacing w:before="24" w:line="203" w:lineRule="auto"/>
              <w:ind w:left="412"/>
              <w:rPr>
                <w:sz w:val="18"/>
                <w:szCs w:val="18"/>
              </w:rPr>
            </w:pPr>
            <w:r>
              <w:rPr>
                <w:rFonts w:ascii="仿宋" w:hAnsi="仿宋" w:eastAsia="仿宋" w:cs="仿宋"/>
                <w:spacing w:val="-8"/>
                <w:sz w:val="18"/>
                <w:szCs w:val="18"/>
                <w14:textOutline w14:w="3265" w14:cap="flat" w14:cmpd="sng">
                  <w14:solidFill>
                    <w14:srgbClr w14:val="000000"/>
                  </w14:solidFill>
                  <w14:prstDash w14:val="solid"/>
                  <w14:miter w14:val="0"/>
                </w14:textOutline>
              </w:rPr>
              <w:t>方</w:t>
            </w:r>
            <w:r>
              <w:rPr>
                <w:b/>
                <w:bCs/>
                <w:spacing w:val="-8"/>
                <w:sz w:val="18"/>
                <w:szCs w:val="18"/>
              </w:rPr>
              <w:t>)</w:t>
            </w:r>
          </w:p>
        </w:tc>
        <w:tc>
          <w:tcPr>
            <w:tcW w:w="897" w:type="dxa"/>
            <w:vAlign w:val="top"/>
          </w:tcPr>
          <w:p>
            <w:pPr>
              <w:pStyle w:val="6"/>
              <w:spacing w:before="30" w:line="221" w:lineRule="auto"/>
              <w:ind w:left="342" w:right="143" w:hanging="186"/>
              <w:rPr>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r>
              <w:rPr>
                <w:b/>
                <w:bCs/>
                <w:spacing w:val="-3"/>
                <w:sz w:val="18"/>
                <w:szCs w:val="18"/>
              </w:rPr>
              <w:t>(</w:t>
            </w:r>
            <w:r>
              <w:rPr>
                <w:rFonts w:ascii="仿宋" w:hAnsi="仿宋" w:eastAsia="仿宋" w:cs="仿宋"/>
                <w:spacing w:val="-3"/>
                <w:sz w:val="18"/>
                <w:szCs w:val="18"/>
                <w14:textOutline w14:w="3265" w14:cap="flat" w14:cmpd="sng">
                  <w14:solidFill>
                    <w14:srgbClr w14:val="000000"/>
                  </w14:solidFill>
                  <w14:prstDash w14:val="solid"/>
                  <w14:miter w14:val="0"/>
                </w14:textOutline>
              </w:rPr>
              <w:t>松</w:t>
            </w:r>
            <w:r>
              <w:rPr>
                <w:rFonts w:ascii="仿宋" w:hAnsi="仿宋" w:eastAsia="仿宋" w:cs="仿宋"/>
                <w:spacing w:val="2"/>
                <w:sz w:val="18"/>
                <w:szCs w:val="18"/>
              </w:rPr>
              <w:t xml:space="preserve"> </w:t>
            </w:r>
            <w:r>
              <w:rPr>
                <w:rFonts w:ascii="仿宋" w:hAnsi="仿宋" w:eastAsia="仿宋" w:cs="仿宋"/>
                <w:spacing w:val="-8"/>
                <w:sz w:val="18"/>
                <w:szCs w:val="18"/>
                <w14:textOutline w14:w="3265" w14:cap="flat" w14:cmpd="sng">
                  <w14:solidFill>
                    <w14:srgbClr w14:val="000000"/>
                  </w14:solidFill>
                  <w14:prstDash w14:val="solid"/>
                  <w14:miter w14:val="0"/>
                </w14:textOutline>
              </w:rPr>
              <w:t>方</w:t>
            </w:r>
            <w:r>
              <w:rPr>
                <w:b/>
                <w:bCs/>
                <w:spacing w:val="-8"/>
                <w:sz w:val="18"/>
                <w:szCs w:val="18"/>
              </w:rPr>
              <w:t>)</w:t>
            </w:r>
          </w:p>
        </w:tc>
        <w:tc>
          <w:tcPr>
            <w:tcW w:w="1036" w:type="dxa"/>
            <w:tcBorders>
              <w:right w:val="nil"/>
            </w:tcBorders>
            <w:vAlign w:val="top"/>
          </w:tcPr>
          <w:p>
            <w:pPr>
              <w:spacing w:before="145" w:line="219" w:lineRule="auto"/>
              <w:ind w:left="171"/>
              <w:rPr>
                <w:rFonts w:ascii="仿宋" w:hAnsi="仿宋" w:eastAsia="仿宋" w:cs="仿宋"/>
                <w:sz w:val="18"/>
                <w:szCs w:val="18"/>
              </w:rPr>
            </w:pPr>
            <w:r>
              <w:rPr>
                <w:rFonts w:ascii="仿宋" w:hAnsi="仿宋" w:eastAsia="仿宋" w:cs="仿宋"/>
                <w:spacing w:val="-4"/>
                <w:sz w:val="18"/>
                <w:szCs w:val="18"/>
                <w14:textOutline w14:w="3265" w14:cap="flat" w14:cmpd="sng">
                  <w14:solidFill>
                    <w14:srgbClr w14:val="000000"/>
                  </w14:solidFill>
                  <w14:prstDash w14:val="solid"/>
                  <w14:miter w14:val="0"/>
                </w14:textOutline>
              </w:rPr>
              <w:t>弃渣流向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9" w:hRule="atLeast"/>
        </w:trPr>
        <w:tc>
          <w:tcPr>
            <w:tcW w:w="777" w:type="dxa"/>
            <w:vMerge w:val="restart"/>
            <w:tcBorders>
              <w:left w:val="nil"/>
              <w:bottom w:val="nil"/>
            </w:tcBorders>
            <w:vAlign w:val="top"/>
          </w:tcPr>
          <w:p>
            <w:pPr>
              <w:spacing w:line="268" w:lineRule="auto"/>
              <w:rPr>
                <w:rFonts w:ascii="Arial"/>
                <w:sz w:val="21"/>
              </w:rPr>
            </w:pPr>
          </w:p>
          <w:p>
            <w:pPr>
              <w:spacing w:line="268" w:lineRule="auto"/>
              <w:rPr>
                <w:rFonts w:ascii="Arial"/>
                <w:sz w:val="21"/>
              </w:rPr>
            </w:pPr>
          </w:p>
          <w:p>
            <w:pPr>
              <w:spacing w:before="58" w:line="229" w:lineRule="auto"/>
              <w:ind w:left="221" w:right="115" w:hanging="84"/>
              <w:rPr>
                <w:rFonts w:ascii="仿宋" w:hAnsi="仿宋" w:eastAsia="仿宋" w:cs="仿宋"/>
                <w:sz w:val="18"/>
                <w:szCs w:val="18"/>
              </w:rPr>
            </w:pPr>
            <w:r>
              <w:rPr>
                <w:rFonts w:ascii="仿宋" w:hAnsi="仿宋" w:eastAsia="仿宋" w:cs="仿宋"/>
                <w:spacing w:val="-7"/>
                <w:sz w:val="18"/>
                <w:szCs w:val="18"/>
              </w:rPr>
              <w:t>引洪工</w:t>
            </w:r>
            <w:r>
              <w:rPr>
                <w:rFonts w:ascii="仿宋" w:hAnsi="仿宋" w:eastAsia="仿宋" w:cs="仿宋"/>
                <w:spacing w:val="1"/>
                <w:sz w:val="18"/>
                <w:szCs w:val="18"/>
              </w:rPr>
              <w:t xml:space="preserve"> </w:t>
            </w:r>
            <w:r>
              <w:rPr>
                <w:rFonts w:ascii="仿宋" w:hAnsi="仿宋" w:eastAsia="仿宋" w:cs="仿宋"/>
                <w:spacing w:val="-4"/>
                <w:sz w:val="18"/>
                <w:szCs w:val="18"/>
              </w:rPr>
              <w:t>程区</w:t>
            </w:r>
          </w:p>
        </w:tc>
        <w:tc>
          <w:tcPr>
            <w:tcW w:w="1383" w:type="dxa"/>
            <w:vAlign w:val="top"/>
          </w:tcPr>
          <w:p>
            <w:pPr>
              <w:spacing w:before="147" w:line="218" w:lineRule="auto"/>
              <w:ind w:left="430"/>
              <w:rPr>
                <w:rFonts w:ascii="仿宋" w:hAnsi="仿宋" w:eastAsia="仿宋" w:cs="仿宋"/>
                <w:sz w:val="18"/>
                <w:szCs w:val="18"/>
              </w:rPr>
            </w:pPr>
            <w:r>
              <w:rPr>
                <w:rFonts w:ascii="仿宋" w:hAnsi="仿宋" w:eastAsia="仿宋" w:cs="仿宋"/>
                <w:spacing w:val="-3"/>
                <w:sz w:val="18"/>
                <w:szCs w:val="18"/>
              </w:rPr>
              <w:t>取水坝</w:t>
            </w:r>
          </w:p>
        </w:tc>
        <w:tc>
          <w:tcPr>
            <w:tcW w:w="909" w:type="dxa"/>
            <w:vAlign w:val="top"/>
          </w:tcPr>
          <w:p>
            <w:pPr>
              <w:pStyle w:val="6"/>
              <w:spacing w:before="177" w:line="188" w:lineRule="auto"/>
              <w:ind w:left="207"/>
              <w:rPr>
                <w:sz w:val="18"/>
                <w:szCs w:val="18"/>
              </w:rPr>
            </w:pPr>
            <w:r>
              <w:rPr>
                <w:spacing w:val="-1"/>
                <w:sz w:val="18"/>
                <w:szCs w:val="18"/>
              </w:rPr>
              <w:t>4888.0</w:t>
            </w:r>
          </w:p>
        </w:tc>
        <w:tc>
          <w:tcPr>
            <w:tcW w:w="843" w:type="dxa"/>
            <w:vAlign w:val="top"/>
          </w:tcPr>
          <w:p>
            <w:pPr>
              <w:rPr>
                <w:rFonts w:ascii="Arial"/>
                <w:sz w:val="21"/>
              </w:rPr>
            </w:pPr>
          </w:p>
        </w:tc>
        <w:tc>
          <w:tcPr>
            <w:tcW w:w="812" w:type="dxa"/>
            <w:vAlign w:val="top"/>
          </w:tcPr>
          <w:p>
            <w:pPr>
              <w:pStyle w:val="6"/>
              <w:spacing w:before="177" w:line="188" w:lineRule="auto"/>
              <w:ind w:left="208"/>
              <w:rPr>
                <w:sz w:val="18"/>
                <w:szCs w:val="18"/>
              </w:rPr>
            </w:pPr>
            <w:r>
              <w:rPr>
                <w:spacing w:val="-2"/>
                <w:sz w:val="18"/>
                <w:szCs w:val="18"/>
              </w:rPr>
              <w:t>352.0</w:t>
            </w:r>
          </w:p>
        </w:tc>
        <w:tc>
          <w:tcPr>
            <w:tcW w:w="750" w:type="dxa"/>
            <w:vAlign w:val="top"/>
          </w:tcPr>
          <w:p>
            <w:pPr>
              <w:rPr>
                <w:rFonts w:ascii="Arial"/>
                <w:sz w:val="21"/>
              </w:rPr>
            </w:pPr>
          </w:p>
        </w:tc>
        <w:tc>
          <w:tcPr>
            <w:tcW w:w="1762" w:type="dxa"/>
            <w:vAlign w:val="top"/>
          </w:tcPr>
          <w:p>
            <w:pPr>
              <w:rPr>
                <w:rFonts w:ascii="Arial"/>
                <w:sz w:val="21"/>
              </w:rPr>
            </w:pPr>
          </w:p>
        </w:tc>
        <w:tc>
          <w:tcPr>
            <w:tcW w:w="739" w:type="dxa"/>
            <w:vAlign w:val="top"/>
          </w:tcPr>
          <w:p>
            <w:pPr>
              <w:rPr>
                <w:rFonts w:ascii="Arial"/>
                <w:sz w:val="21"/>
              </w:rPr>
            </w:pPr>
          </w:p>
        </w:tc>
        <w:tc>
          <w:tcPr>
            <w:tcW w:w="1165"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pStyle w:val="6"/>
              <w:spacing w:before="177" w:line="188" w:lineRule="auto"/>
              <w:ind w:left="272"/>
              <w:rPr>
                <w:sz w:val="18"/>
                <w:szCs w:val="18"/>
              </w:rPr>
            </w:pPr>
            <w:r>
              <w:rPr>
                <w:spacing w:val="-1"/>
                <w:sz w:val="18"/>
                <w:szCs w:val="18"/>
              </w:rPr>
              <w:t>4536.0</w:t>
            </w:r>
          </w:p>
        </w:tc>
        <w:tc>
          <w:tcPr>
            <w:tcW w:w="897" w:type="dxa"/>
            <w:vAlign w:val="top"/>
          </w:tcPr>
          <w:p>
            <w:pPr>
              <w:pStyle w:val="6"/>
              <w:spacing w:before="177" w:line="188" w:lineRule="auto"/>
              <w:ind w:left="207"/>
              <w:rPr>
                <w:sz w:val="18"/>
                <w:szCs w:val="18"/>
              </w:rPr>
            </w:pPr>
            <w:r>
              <w:rPr>
                <w:spacing w:val="-2"/>
                <w:sz w:val="18"/>
                <w:szCs w:val="18"/>
              </w:rPr>
              <w:t>5670.0</w:t>
            </w:r>
          </w:p>
        </w:tc>
        <w:tc>
          <w:tcPr>
            <w:tcW w:w="1036" w:type="dxa"/>
            <w:tcBorders>
              <w:right w:val="nil"/>
            </w:tcBorders>
            <w:vAlign w:val="top"/>
          </w:tcPr>
          <w:p>
            <w:pPr>
              <w:pStyle w:val="6"/>
              <w:spacing w:before="61" w:line="204" w:lineRule="auto"/>
              <w:ind w:left="162" w:right="140" w:hanging="48"/>
              <w:rPr>
                <w:rFonts w:ascii="仿宋" w:hAnsi="仿宋" w:eastAsia="仿宋" w:cs="仿宋"/>
                <w:sz w:val="18"/>
                <w:szCs w:val="18"/>
              </w:rPr>
            </w:pPr>
            <w:r>
              <w:rPr>
                <w:spacing w:val="-14"/>
                <w:sz w:val="18"/>
                <w:szCs w:val="18"/>
              </w:rPr>
              <w:t>4</w:t>
            </w:r>
            <w:r>
              <w:rPr>
                <w:spacing w:val="-20"/>
                <w:sz w:val="18"/>
                <w:szCs w:val="18"/>
              </w:rPr>
              <w:t xml:space="preserve"> </w:t>
            </w:r>
            <w:r>
              <w:rPr>
                <w:rFonts w:ascii="仿宋" w:hAnsi="仿宋" w:eastAsia="仿宋" w:cs="仿宋"/>
                <w:spacing w:val="-14"/>
                <w:sz w:val="18"/>
                <w:szCs w:val="18"/>
              </w:rPr>
              <w:t>、</w:t>
            </w:r>
            <w:r>
              <w:rPr>
                <w:spacing w:val="-14"/>
                <w:sz w:val="18"/>
                <w:szCs w:val="18"/>
              </w:rPr>
              <w:t>7</w:t>
            </w:r>
            <w:r>
              <w:rPr>
                <w:spacing w:val="-19"/>
                <w:sz w:val="18"/>
                <w:szCs w:val="18"/>
              </w:rPr>
              <w:t xml:space="preserve"> </w:t>
            </w:r>
            <w:r>
              <w:rPr>
                <w:rFonts w:ascii="仿宋" w:hAnsi="仿宋" w:eastAsia="仿宋" w:cs="仿宋"/>
                <w:spacing w:val="-14"/>
                <w:sz w:val="18"/>
                <w:szCs w:val="18"/>
              </w:rPr>
              <w:t>、</w:t>
            </w:r>
            <w:r>
              <w:rPr>
                <w:spacing w:val="-14"/>
                <w:sz w:val="18"/>
                <w:szCs w:val="18"/>
              </w:rPr>
              <w:t>8</w:t>
            </w:r>
            <w:r>
              <w:rPr>
                <w:rFonts w:ascii="仿宋" w:hAnsi="仿宋" w:eastAsia="仿宋" w:cs="仿宋"/>
                <w:spacing w:val="-14"/>
                <w:sz w:val="18"/>
                <w:szCs w:val="18"/>
              </w:rPr>
              <w:t>、</w:t>
            </w:r>
            <w:r>
              <w:rPr>
                <w:rFonts w:ascii="仿宋" w:hAnsi="仿宋" w:eastAsia="仿宋" w:cs="仿宋"/>
                <w:sz w:val="18"/>
                <w:szCs w:val="18"/>
              </w:rPr>
              <w:t xml:space="preserve"> </w:t>
            </w:r>
            <w:r>
              <w:rPr>
                <w:spacing w:val="-2"/>
                <w:sz w:val="18"/>
                <w:szCs w:val="18"/>
              </w:rPr>
              <w:t>9#</w:t>
            </w:r>
            <w:r>
              <w:rPr>
                <w:rFonts w:ascii="仿宋" w:hAnsi="仿宋" w:eastAsia="仿宋" w:cs="仿宋"/>
                <w:spacing w:val="-2"/>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7" w:hRule="atLeast"/>
        </w:trPr>
        <w:tc>
          <w:tcPr>
            <w:tcW w:w="777" w:type="dxa"/>
            <w:vMerge w:val="continue"/>
            <w:tcBorders>
              <w:top w:val="nil"/>
              <w:left w:val="nil"/>
              <w:bottom w:val="nil"/>
            </w:tcBorders>
            <w:vAlign w:val="top"/>
          </w:tcPr>
          <w:p>
            <w:pPr>
              <w:rPr>
                <w:rFonts w:ascii="Arial"/>
                <w:sz w:val="21"/>
              </w:rPr>
            </w:pPr>
          </w:p>
        </w:tc>
        <w:tc>
          <w:tcPr>
            <w:tcW w:w="1383" w:type="dxa"/>
            <w:vMerge w:val="restart"/>
            <w:tcBorders>
              <w:bottom w:val="nil"/>
            </w:tcBorders>
            <w:vAlign w:val="top"/>
          </w:tcPr>
          <w:p>
            <w:pPr>
              <w:spacing w:line="417" w:lineRule="auto"/>
              <w:rPr>
                <w:rFonts w:ascii="Arial"/>
                <w:sz w:val="21"/>
              </w:rPr>
            </w:pPr>
          </w:p>
          <w:p>
            <w:pPr>
              <w:spacing w:before="58" w:line="218" w:lineRule="auto"/>
              <w:ind w:left="436"/>
              <w:rPr>
                <w:rFonts w:ascii="仿宋" w:hAnsi="仿宋" w:eastAsia="仿宋" w:cs="仿宋"/>
                <w:sz w:val="18"/>
                <w:szCs w:val="18"/>
              </w:rPr>
            </w:pPr>
            <w:r>
              <w:rPr>
                <w:rFonts w:ascii="仿宋" w:hAnsi="仿宋" w:eastAsia="仿宋" w:cs="仿宋"/>
                <w:spacing w:val="-5"/>
                <w:sz w:val="18"/>
                <w:szCs w:val="18"/>
              </w:rPr>
              <w:t>引洪渠</w:t>
            </w:r>
          </w:p>
        </w:tc>
        <w:tc>
          <w:tcPr>
            <w:tcW w:w="909" w:type="dxa"/>
            <w:vMerge w:val="restart"/>
            <w:tcBorders>
              <w:bottom w:val="nil"/>
            </w:tcBorders>
            <w:vAlign w:val="top"/>
          </w:tcPr>
          <w:p>
            <w:pPr>
              <w:spacing w:line="455" w:lineRule="auto"/>
              <w:rPr>
                <w:rFonts w:ascii="Arial"/>
                <w:sz w:val="21"/>
              </w:rPr>
            </w:pPr>
          </w:p>
          <w:p>
            <w:pPr>
              <w:pStyle w:val="6"/>
              <w:spacing w:before="51" w:line="188" w:lineRule="auto"/>
              <w:ind w:left="168"/>
              <w:rPr>
                <w:sz w:val="18"/>
                <w:szCs w:val="18"/>
              </w:rPr>
            </w:pPr>
            <w:r>
              <w:rPr>
                <w:spacing w:val="-2"/>
                <w:sz w:val="18"/>
                <w:szCs w:val="18"/>
              </w:rPr>
              <w:t>57382.6</w:t>
            </w:r>
          </w:p>
        </w:tc>
        <w:tc>
          <w:tcPr>
            <w:tcW w:w="843" w:type="dxa"/>
            <w:vMerge w:val="restart"/>
            <w:tcBorders>
              <w:bottom w:val="nil"/>
            </w:tcBorders>
            <w:vAlign w:val="top"/>
          </w:tcPr>
          <w:p>
            <w:pPr>
              <w:spacing w:line="455" w:lineRule="auto"/>
              <w:rPr>
                <w:rFonts w:ascii="Arial"/>
                <w:sz w:val="21"/>
              </w:rPr>
            </w:pPr>
          </w:p>
          <w:p>
            <w:pPr>
              <w:pStyle w:val="6"/>
              <w:spacing w:before="51" w:line="188" w:lineRule="auto"/>
              <w:ind w:left="227"/>
              <w:rPr>
                <w:sz w:val="18"/>
                <w:szCs w:val="18"/>
              </w:rPr>
            </w:pPr>
            <w:r>
              <w:rPr>
                <w:spacing w:val="-3"/>
                <w:sz w:val="18"/>
                <w:szCs w:val="18"/>
              </w:rPr>
              <w:t>841.5</w:t>
            </w:r>
          </w:p>
        </w:tc>
        <w:tc>
          <w:tcPr>
            <w:tcW w:w="812" w:type="dxa"/>
            <w:vMerge w:val="restart"/>
            <w:tcBorders>
              <w:bottom w:val="nil"/>
            </w:tcBorders>
            <w:vAlign w:val="top"/>
          </w:tcPr>
          <w:p>
            <w:pPr>
              <w:spacing w:line="455" w:lineRule="auto"/>
              <w:rPr>
                <w:rFonts w:ascii="Arial"/>
                <w:sz w:val="21"/>
              </w:rPr>
            </w:pPr>
          </w:p>
          <w:p>
            <w:pPr>
              <w:pStyle w:val="6"/>
              <w:spacing w:before="51" w:line="188" w:lineRule="auto"/>
              <w:ind w:left="164"/>
              <w:rPr>
                <w:sz w:val="18"/>
                <w:szCs w:val="18"/>
              </w:rPr>
            </w:pPr>
            <w:r>
              <w:rPr>
                <w:spacing w:val="-2"/>
                <w:sz w:val="18"/>
                <w:szCs w:val="18"/>
              </w:rPr>
              <w:t>5942.1</w:t>
            </w:r>
          </w:p>
        </w:tc>
        <w:tc>
          <w:tcPr>
            <w:tcW w:w="750" w:type="dxa"/>
            <w:vAlign w:val="top"/>
          </w:tcPr>
          <w:p>
            <w:pPr>
              <w:pStyle w:val="6"/>
              <w:spacing w:before="49" w:line="207" w:lineRule="auto"/>
              <w:ind w:left="348" w:right="123" w:hanging="201"/>
              <w:rPr>
                <w:sz w:val="18"/>
                <w:szCs w:val="18"/>
              </w:rPr>
            </w:pPr>
            <w:r>
              <w:rPr>
                <w:spacing w:val="-4"/>
                <w:sz w:val="18"/>
                <w:szCs w:val="18"/>
              </w:rPr>
              <w:t>16412.</w:t>
            </w:r>
            <w:r>
              <w:rPr>
                <w:spacing w:val="1"/>
                <w:sz w:val="18"/>
                <w:szCs w:val="18"/>
              </w:rPr>
              <w:t xml:space="preserve"> </w:t>
            </w:r>
            <w:r>
              <w:rPr>
                <w:sz w:val="18"/>
                <w:szCs w:val="18"/>
              </w:rPr>
              <w:t>1</w:t>
            </w:r>
          </w:p>
        </w:tc>
        <w:tc>
          <w:tcPr>
            <w:tcW w:w="1762" w:type="dxa"/>
            <w:vAlign w:val="top"/>
          </w:tcPr>
          <w:p>
            <w:pPr>
              <w:spacing w:before="122" w:line="217" w:lineRule="auto"/>
              <w:ind w:left="352"/>
              <w:rPr>
                <w:rFonts w:ascii="仿宋" w:hAnsi="仿宋" w:eastAsia="仿宋" w:cs="仿宋"/>
                <w:sz w:val="18"/>
                <w:szCs w:val="18"/>
              </w:rPr>
            </w:pPr>
            <w:r>
              <w:rPr>
                <w:rFonts w:ascii="仿宋" w:hAnsi="仿宋" w:eastAsia="仿宋" w:cs="仿宋"/>
                <w:spacing w:val="-2"/>
                <w:sz w:val="18"/>
                <w:szCs w:val="18"/>
              </w:rPr>
              <w:t>沿线集中堆放</w:t>
            </w:r>
          </w:p>
        </w:tc>
        <w:tc>
          <w:tcPr>
            <w:tcW w:w="739" w:type="dxa"/>
            <w:vMerge w:val="restart"/>
            <w:tcBorders>
              <w:bottom w:val="nil"/>
            </w:tcBorders>
            <w:vAlign w:val="top"/>
          </w:tcPr>
          <w:p>
            <w:pPr>
              <w:rPr>
                <w:rFonts w:ascii="Arial"/>
                <w:sz w:val="21"/>
              </w:rPr>
            </w:pPr>
          </w:p>
        </w:tc>
        <w:tc>
          <w:tcPr>
            <w:tcW w:w="1165" w:type="dxa"/>
            <w:vMerge w:val="restart"/>
            <w:tcBorders>
              <w:bottom w:val="nil"/>
            </w:tcBorders>
            <w:vAlign w:val="top"/>
          </w:tcPr>
          <w:p>
            <w:pPr>
              <w:rPr>
                <w:rFonts w:ascii="Arial"/>
                <w:sz w:val="21"/>
              </w:rPr>
            </w:pPr>
          </w:p>
        </w:tc>
        <w:tc>
          <w:tcPr>
            <w:tcW w:w="910" w:type="dxa"/>
            <w:vMerge w:val="restart"/>
            <w:tcBorders>
              <w:bottom w:val="nil"/>
            </w:tcBorders>
            <w:vAlign w:val="top"/>
          </w:tcPr>
          <w:p>
            <w:pPr>
              <w:rPr>
                <w:rFonts w:ascii="Arial"/>
                <w:sz w:val="21"/>
              </w:rPr>
            </w:pPr>
          </w:p>
        </w:tc>
        <w:tc>
          <w:tcPr>
            <w:tcW w:w="983" w:type="dxa"/>
            <w:vMerge w:val="restart"/>
            <w:tcBorders>
              <w:bottom w:val="nil"/>
            </w:tcBorders>
            <w:vAlign w:val="top"/>
          </w:tcPr>
          <w:p>
            <w:pPr>
              <w:rPr>
                <w:rFonts w:ascii="Arial"/>
                <w:sz w:val="21"/>
              </w:rPr>
            </w:pPr>
          </w:p>
        </w:tc>
        <w:tc>
          <w:tcPr>
            <w:tcW w:w="1036" w:type="dxa"/>
            <w:vMerge w:val="restart"/>
            <w:tcBorders>
              <w:bottom w:val="nil"/>
            </w:tcBorders>
            <w:vAlign w:val="top"/>
          </w:tcPr>
          <w:p>
            <w:pPr>
              <w:spacing w:line="455" w:lineRule="auto"/>
              <w:rPr>
                <w:rFonts w:ascii="Arial"/>
                <w:sz w:val="21"/>
              </w:rPr>
            </w:pPr>
          </w:p>
          <w:p>
            <w:pPr>
              <w:pStyle w:val="6"/>
              <w:spacing w:before="51" w:line="188" w:lineRule="auto"/>
              <w:ind w:left="231"/>
              <w:rPr>
                <w:sz w:val="18"/>
                <w:szCs w:val="18"/>
              </w:rPr>
            </w:pPr>
            <w:r>
              <w:rPr>
                <w:spacing w:val="-2"/>
                <w:sz w:val="18"/>
                <w:szCs w:val="18"/>
              </w:rPr>
              <w:t>35028.4</w:t>
            </w:r>
          </w:p>
        </w:tc>
        <w:tc>
          <w:tcPr>
            <w:tcW w:w="897" w:type="dxa"/>
            <w:vMerge w:val="restart"/>
            <w:tcBorders>
              <w:bottom w:val="nil"/>
            </w:tcBorders>
            <w:vAlign w:val="top"/>
          </w:tcPr>
          <w:p>
            <w:pPr>
              <w:spacing w:line="455" w:lineRule="auto"/>
              <w:rPr>
                <w:rFonts w:ascii="Arial"/>
                <w:sz w:val="21"/>
              </w:rPr>
            </w:pPr>
          </w:p>
          <w:p>
            <w:pPr>
              <w:pStyle w:val="6"/>
              <w:spacing w:before="51" w:line="188" w:lineRule="auto"/>
              <w:ind w:left="156"/>
              <w:rPr>
                <w:sz w:val="18"/>
                <w:szCs w:val="18"/>
              </w:rPr>
            </w:pPr>
            <w:r>
              <w:rPr>
                <w:spacing w:val="-1"/>
                <w:sz w:val="18"/>
                <w:szCs w:val="18"/>
              </w:rPr>
              <w:t>43785.5</w:t>
            </w:r>
          </w:p>
        </w:tc>
        <w:tc>
          <w:tcPr>
            <w:tcW w:w="1036" w:type="dxa"/>
            <w:vMerge w:val="restart"/>
            <w:tcBorders>
              <w:bottom w:val="nil"/>
              <w:right w:val="nil"/>
            </w:tcBorders>
            <w:vAlign w:val="top"/>
          </w:tcPr>
          <w:p>
            <w:pPr>
              <w:spacing w:line="332" w:lineRule="auto"/>
              <w:rPr>
                <w:rFonts w:ascii="Arial"/>
                <w:sz w:val="21"/>
              </w:rPr>
            </w:pPr>
          </w:p>
          <w:p>
            <w:pPr>
              <w:pStyle w:val="6"/>
              <w:spacing w:before="58" w:line="213" w:lineRule="auto"/>
              <w:ind w:left="162" w:right="140" w:hanging="48"/>
              <w:rPr>
                <w:rFonts w:ascii="仿宋" w:hAnsi="仿宋" w:eastAsia="仿宋" w:cs="仿宋"/>
                <w:sz w:val="18"/>
                <w:szCs w:val="18"/>
              </w:rPr>
            </w:pPr>
            <w:r>
              <w:rPr>
                <w:spacing w:val="-14"/>
                <w:sz w:val="18"/>
                <w:szCs w:val="18"/>
              </w:rPr>
              <w:t>4</w:t>
            </w:r>
            <w:r>
              <w:rPr>
                <w:spacing w:val="-20"/>
                <w:sz w:val="18"/>
                <w:szCs w:val="18"/>
              </w:rPr>
              <w:t xml:space="preserve"> </w:t>
            </w:r>
            <w:r>
              <w:rPr>
                <w:rFonts w:ascii="仿宋" w:hAnsi="仿宋" w:eastAsia="仿宋" w:cs="仿宋"/>
                <w:spacing w:val="-14"/>
                <w:sz w:val="18"/>
                <w:szCs w:val="18"/>
              </w:rPr>
              <w:t>、</w:t>
            </w:r>
            <w:r>
              <w:rPr>
                <w:spacing w:val="-14"/>
                <w:sz w:val="18"/>
                <w:szCs w:val="18"/>
              </w:rPr>
              <w:t>7</w:t>
            </w:r>
            <w:r>
              <w:rPr>
                <w:spacing w:val="-19"/>
                <w:sz w:val="18"/>
                <w:szCs w:val="18"/>
              </w:rPr>
              <w:t xml:space="preserve"> </w:t>
            </w:r>
            <w:r>
              <w:rPr>
                <w:rFonts w:ascii="仿宋" w:hAnsi="仿宋" w:eastAsia="仿宋" w:cs="仿宋"/>
                <w:spacing w:val="-14"/>
                <w:sz w:val="18"/>
                <w:szCs w:val="18"/>
              </w:rPr>
              <w:t>、</w:t>
            </w:r>
            <w:r>
              <w:rPr>
                <w:spacing w:val="-14"/>
                <w:sz w:val="18"/>
                <w:szCs w:val="18"/>
              </w:rPr>
              <w:t>8</w:t>
            </w:r>
            <w:r>
              <w:rPr>
                <w:rFonts w:ascii="仿宋" w:hAnsi="仿宋" w:eastAsia="仿宋" w:cs="仿宋"/>
                <w:spacing w:val="-14"/>
                <w:sz w:val="18"/>
                <w:szCs w:val="18"/>
              </w:rPr>
              <w:t>、</w:t>
            </w:r>
            <w:r>
              <w:rPr>
                <w:rFonts w:ascii="仿宋" w:hAnsi="仿宋" w:eastAsia="仿宋" w:cs="仿宋"/>
                <w:sz w:val="18"/>
                <w:szCs w:val="18"/>
              </w:rPr>
              <w:t xml:space="preserve"> </w:t>
            </w:r>
            <w:r>
              <w:rPr>
                <w:spacing w:val="-2"/>
                <w:sz w:val="18"/>
                <w:szCs w:val="18"/>
              </w:rPr>
              <w:t>9#</w:t>
            </w:r>
            <w:r>
              <w:rPr>
                <w:rFonts w:ascii="仿宋" w:hAnsi="仿宋" w:eastAsia="仿宋" w:cs="仿宋"/>
                <w:spacing w:val="-2"/>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77" w:type="dxa"/>
            <w:vMerge w:val="continue"/>
            <w:tcBorders>
              <w:top w:val="nil"/>
              <w:left w:val="nil"/>
            </w:tcBorders>
            <w:vAlign w:val="top"/>
          </w:tcPr>
          <w:p>
            <w:pPr>
              <w:rPr>
                <w:rFonts w:ascii="Arial"/>
                <w:sz w:val="21"/>
              </w:rPr>
            </w:pPr>
          </w:p>
        </w:tc>
        <w:tc>
          <w:tcPr>
            <w:tcW w:w="1383" w:type="dxa"/>
            <w:vMerge w:val="continue"/>
            <w:tcBorders>
              <w:top w:val="nil"/>
            </w:tcBorders>
            <w:vAlign w:val="top"/>
          </w:tcPr>
          <w:p>
            <w:pPr>
              <w:rPr>
                <w:rFonts w:ascii="Arial"/>
                <w:sz w:val="21"/>
              </w:rPr>
            </w:pPr>
          </w:p>
        </w:tc>
        <w:tc>
          <w:tcPr>
            <w:tcW w:w="909" w:type="dxa"/>
            <w:vMerge w:val="continue"/>
            <w:tcBorders>
              <w:top w:val="nil"/>
            </w:tcBorders>
            <w:vAlign w:val="top"/>
          </w:tcPr>
          <w:p>
            <w:pPr>
              <w:rPr>
                <w:rFonts w:ascii="Arial"/>
                <w:sz w:val="21"/>
              </w:rPr>
            </w:pPr>
          </w:p>
        </w:tc>
        <w:tc>
          <w:tcPr>
            <w:tcW w:w="843"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750" w:type="dxa"/>
            <w:vAlign w:val="top"/>
          </w:tcPr>
          <w:p>
            <w:pPr>
              <w:spacing w:line="245" w:lineRule="auto"/>
              <w:rPr>
                <w:rFonts w:ascii="Arial"/>
                <w:sz w:val="21"/>
              </w:rPr>
            </w:pPr>
          </w:p>
          <w:p>
            <w:pPr>
              <w:pStyle w:val="6"/>
              <w:spacing w:before="52" w:line="188" w:lineRule="auto"/>
              <w:ind w:left="182"/>
              <w:rPr>
                <w:sz w:val="18"/>
                <w:szCs w:val="18"/>
              </w:rPr>
            </w:pPr>
            <w:r>
              <w:rPr>
                <w:spacing w:val="-3"/>
                <w:sz w:val="18"/>
                <w:szCs w:val="18"/>
              </w:rPr>
              <w:t>841.5</w:t>
            </w:r>
          </w:p>
        </w:tc>
        <w:tc>
          <w:tcPr>
            <w:tcW w:w="1762" w:type="dxa"/>
            <w:vAlign w:val="top"/>
          </w:tcPr>
          <w:p>
            <w:pPr>
              <w:pStyle w:val="6"/>
              <w:spacing w:before="34" w:line="217" w:lineRule="auto"/>
              <w:ind w:left="166"/>
              <w:rPr>
                <w:rFonts w:ascii="仿宋" w:hAnsi="仿宋" w:eastAsia="仿宋" w:cs="仿宋"/>
                <w:sz w:val="18"/>
                <w:szCs w:val="18"/>
              </w:rPr>
            </w:pPr>
            <w:r>
              <w:rPr>
                <w:spacing w:val="-6"/>
                <w:sz w:val="18"/>
                <w:szCs w:val="18"/>
              </w:rPr>
              <w:t>7</w:t>
            </w:r>
            <w:r>
              <w:rPr>
                <w:spacing w:val="-19"/>
                <w:sz w:val="18"/>
                <w:szCs w:val="18"/>
              </w:rPr>
              <w:t xml:space="preserve"> </w:t>
            </w:r>
            <w:r>
              <w:rPr>
                <w:rFonts w:ascii="仿宋" w:hAnsi="仿宋" w:eastAsia="仿宋" w:cs="仿宋"/>
                <w:spacing w:val="-6"/>
                <w:sz w:val="18"/>
                <w:szCs w:val="18"/>
              </w:rPr>
              <w:t>、</w:t>
            </w:r>
            <w:r>
              <w:rPr>
                <w:spacing w:val="-6"/>
                <w:sz w:val="18"/>
                <w:szCs w:val="18"/>
              </w:rPr>
              <w:t>8</w:t>
            </w:r>
            <w:r>
              <w:rPr>
                <w:spacing w:val="-19"/>
                <w:sz w:val="18"/>
                <w:szCs w:val="18"/>
              </w:rPr>
              <w:t xml:space="preserve"> </w:t>
            </w:r>
            <w:r>
              <w:rPr>
                <w:rFonts w:ascii="仿宋" w:hAnsi="仿宋" w:eastAsia="仿宋" w:cs="仿宋"/>
                <w:spacing w:val="-6"/>
                <w:sz w:val="18"/>
                <w:szCs w:val="18"/>
              </w:rPr>
              <w:t>、</w:t>
            </w:r>
            <w:r>
              <w:rPr>
                <w:spacing w:val="-6"/>
                <w:sz w:val="18"/>
                <w:szCs w:val="18"/>
              </w:rPr>
              <w:t>9#</w:t>
            </w:r>
            <w:r>
              <w:rPr>
                <w:rFonts w:ascii="仿宋" w:hAnsi="仿宋" w:eastAsia="仿宋" w:cs="仿宋"/>
                <w:spacing w:val="-6"/>
                <w:sz w:val="18"/>
                <w:szCs w:val="18"/>
              </w:rPr>
              <w:t>临时堆土</w:t>
            </w:r>
          </w:p>
          <w:p>
            <w:pPr>
              <w:pStyle w:val="6"/>
              <w:spacing w:before="22" w:line="212" w:lineRule="auto"/>
              <w:ind w:left="150"/>
              <w:rPr>
                <w:rFonts w:ascii="仿宋" w:hAnsi="仿宋" w:eastAsia="仿宋" w:cs="仿宋"/>
                <w:sz w:val="18"/>
                <w:szCs w:val="18"/>
              </w:rPr>
            </w:pPr>
            <w:r>
              <w:rPr>
                <w:rFonts w:ascii="仿宋" w:hAnsi="仿宋" w:eastAsia="仿宋" w:cs="仿宋"/>
                <w:spacing w:val="-2"/>
                <w:sz w:val="18"/>
                <w:szCs w:val="18"/>
              </w:rPr>
              <w:t>场</w:t>
            </w:r>
            <w:r>
              <w:rPr>
                <w:spacing w:val="-2"/>
                <w:sz w:val="18"/>
                <w:szCs w:val="18"/>
              </w:rPr>
              <w:t>,</w:t>
            </w:r>
            <w:r>
              <w:rPr>
                <w:rFonts w:ascii="仿宋" w:hAnsi="仿宋" w:eastAsia="仿宋" w:cs="仿宋"/>
                <w:spacing w:val="-2"/>
                <w:sz w:val="18"/>
                <w:szCs w:val="18"/>
              </w:rPr>
              <w:t>用于后期绿化覆</w:t>
            </w:r>
          </w:p>
          <w:p>
            <w:pPr>
              <w:spacing w:before="26" w:line="196" w:lineRule="auto"/>
              <w:ind w:left="804"/>
              <w:rPr>
                <w:rFonts w:ascii="仿宋" w:hAnsi="仿宋" w:eastAsia="仿宋" w:cs="仿宋"/>
                <w:sz w:val="18"/>
                <w:szCs w:val="18"/>
              </w:rPr>
            </w:pPr>
            <w:r>
              <w:rPr>
                <w:rFonts w:ascii="仿宋" w:hAnsi="仿宋" w:eastAsia="仿宋" w:cs="仿宋"/>
                <w:sz w:val="18"/>
                <w:szCs w:val="18"/>
              </w:rPr>
              <w:t>土</w:t>
            </w:r>
          </w:p>
        </w:tc>
        <w:tc>
          <w:tcPr>
            <w:tcW w:w="739"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910" w:type="dxa"/>
            <w:vMerge w:val="continue"/>
            <w:tcBorders>
              <w:top w:val="nil"/>
            </w:tcBorders>
            <w:vAlign w:val="top"/>
          </w:tcPr>
          <w:p>
            <w:pPr>
              <w:rPr>
                <w:rFonts w:ascii="Arial"/>
                <w:sz w:val="21"/>
              </w:rPr>
            </w:pPr>
          </w:p>
        </w:tc>
        <w:tc>
          <w:tcPr>
            <w:tcW w:w="983" w:type="dxa"/>
            <w:vMerge w:val="continue"/>
            <w:tcBorders>
              <w:top w:val="nil"/>
            </w:tcBorders>
            <w:vAlign w:val="top"/>
          </w:tcPr>
          <w:p>
            <w:pPr>
              <w:rPr>
                <w:rFonts w:ascii="Arial"/>
                <w:sz w:val="21"/>
              </w:rPr>
            </w:pPr>
          </w:p>
        </w:tc>
        <w:tc>
          <w:tcPr>
            <w:tcW w:w="1036" w:type="dxa"/>
            <w:vMerge w:val="continue"/>
            <w:tcBorders>
              <w:top w:val="nil"/>
            </w:tcBorders>
            <w:vAlign w:val="top"/>
          </w:tcPr>
          <w:p>
            <w:pPr>
              <w:rPr>
                <w:rFonts w:ascii="Arial"/>
                <w:sz w:val="21"/>
              </w:rPr>
            </w:pPr>
          </w:p>
        </w:tc>
        <w:tc>
          <w:tcPr>
            <w:tcW w:w="897" w:type="dxa"/>
            <w:vMerge w:val="continue"/>
            <w:tcBorders>
              <w:top w:val="nil"/>
            </w:tcBorders>
            <w:vAlign w:val="top"/>
          </w:tcPr>
          <w:p>
            <w:pPr>
              <w:rPr>
                <w:rFonts w:ascii="Arial"/>
                <w:sz w:val="21"/>
              </w:rPr>
            </w:pPr>
          </w:p>
        </w:tc>
        <w:tc>
          <w:tcPr>
            <w:tcW w:w="103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8" w:hRule="atLeast"/>
        </w:trPr>
        <w:tc>
          <w:tcPr>
            <w:tcW w:w="777" w:type="dxa"/>
            <w:vMerge w:val="restart"/>
            <w:tcBorders>
              <w:left w:val="nil"/>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58" w:line="229" w:lineRule="auto"/>
              <w:ind w:left="222" w:right="115" w:hanging="90"/>
              <w:rPr>
                <w:rFonts w:ascii="仿宋" w:hAnsi="仿宋" w:eastAsia="仿宋" w:cs="仿宋"/>
                <w:sz w:val="18"/>
                <w:szCs w:val="18"/>
              </w:rPr>
            </w:pPr>
            <w:r>
              <w:rPr>
                <w:rFonts w:ascii="仿宋" w:hAnsi="仿宋" w:eastAsia="仿宋" w:cs="仿宋"/>
                <w:spacing w:val="-5"/>
                <w:sz w:val="18"/>
                <w:szCs w:val="18"/>
              </w:rPr>
              <w:t>输水工</w:t>
            </w:r>
            <w:r>
              <w:rPr>
                <w:rFonts w:ascii="仿宋" w:hAnsi="仿宋" w:eastAsia="仿宋" w:cs="仿宋"/>
                <w:sz w:val="18"/>
                <w:szCs w:val="18"/>
              </w:rPr>
              <w:t xml:space="preserve"> </w:t>
            </w:r>
            <w:r>
              <w:rPr>
                <w:rFonts w:ascii="仿宋" w:hAnsi="仿宋" w:eastAsia="仿宋" w:cs="仿宋"/>
                <w:spacing w:val="-4"/>
                <w:sz w:val="18"/>
                <w:szCs w:val="18"/>
              </w:rPr>
              <w:t>程区</w:t>
            </w:r>
          </w:p>
        </w:tc>
        <w:tc>
          <w:tcPr>
            <w:tcW w:w="1383" w:type="dxa"/>
            <w:vMerge w:val="restart"/>
            <w:tcBorders>
              <w:bottom w:val="nil"/>
            </w:tcBorders>
            <w:vAlign w:val="top"/>
          </w:tcPr>
          <w:p>
            <w:pPr>
              <w:spacing w:line="421" w:lineRule="auto"/>
              <w:rPr>
                <w:rFonts w:ascii="Arial"/>
                <w:sz w:val="21"/>
              </w:rPr>
            </w:pPr>
          </w:p>
          <w:p>
            <w:pPr>
              <w:spacing w:before="58" w:line="219" w:lineRule="auto"/>
              <w:ind w:left="341"/>
              <w:rPr>
                <w:rFonts w:ascii="仿宋" w:hAnsi="仿宋" w:eastAsia="仿宋" w:cs="仿宋"/>
                <w:sz w:val="18"/>
                <w:szCs w:val="18"/>
              </w:rPr>
            </w:pPr>
            <w:r>
              <w:rPr>
                <w:rFonts w:ascii="仿宋" w:hAnsi="仿宋" w:eastAsia="仿宋" w:cs="仿宋"/>
                <w:spacing w:val="-3"/>
                <w:sz w:val="18"/>
                <w:szCs w:val="18"/>
              </w:rPr>
              <w:t>输水明渠</w:t>
            </w:r>
          </w:p>
        </w:tc>
        <w:tc>
          <w:tcPr>
            <w:tcW w:w="909" w:type="dxa"/>
            <w:vMerge w:val="restart"/>
            <w:tcBorders>
              <w:bottom w:val="nil"/>
            </w:tcBorders>
            <w:vAlign w:val="top"/>
          </w:tcPr>
          <w:p>
            <w:pPr>
              <w:spacing w:line="459" w:lineRule="auto"/>
              <w:rPr>
                <w:rFonts w:ascii="Arial"/>
                <w:sz w:val="21"/>
              </w:rPr>
            </w:pPr>
          </w:p>
          <w:p>
            <w:pPr>
              <w:pStyle w:val="6"/>
              <w:spacing w:before="51" w:line="188" w:lineRule="auto"/>
              <w:ind w:left="135"/>
              <w:rPr>
                <w:sz w:val="18"/>
                <w:szCs w:val="18"/>
              </w:rPr>
            </w:pPr>
            <w:r>
              <w:rPr>
                <w:spacing w:val="-3"/>
                <w:sz w:val="18"/>
                <w:szCs w:val="18"/>
              </w:rPr>
              <w:t>131790.0</w:t>
            </w:r>
          </w:p>
        </w:tc>
        <w:tc>
          <w:tcPr>
            <w:tcW w:w="843" w:type="dxa"/>
            <w:vMerge w:val="restart"/>
            <w:tcBorders>
              <w:bottom w:val="nil"/>
            </w:tcBorders>
            <w:vAlign w:val="top"/>
          </w:tcPr>
          <w:p>
            <w:pPr>
              <w:spacing w:line="459" w:lineRule="auto"/>
              <w:rPr>
                <w:rFonts w:ascii="Arial"/>
                <w:sz w:val="21"/>
              </w:rPr>
            </w:pPr>
          </w:p>
          <w:p>
            <w:pPr>
              <w:pStyle w:val="6"/>
              <w:spacing w:before="51" w:line="188" w:lineRule="auto"/>
              <w:ind w:left="193"/>
              <w:rPr>
                <w:sz w:val="18"/>
                <w:szCs w:val="18"/>
              </w:rPr>
            </w:pPr>
            <w:r>
              <w:rPr>
                <w:spacing w:val="-4"/>
                <w:sz w:val="18"/>
                <w:szCs w:val="18"/>
              </w:rPr>
              <w:t>1702.8</w:t>
            </w:r>
          </w:p>
        </w:tc>
        <w:tc>
          <w:tcPr>
            <w:tcW w:w="812" w:type="dxa"/>
            <w:vMerge w:val="restart"/>
            <w:tcBorders>
              <w:bottom w:val="nil"/>
            </w:tcBorders>
            <w:vAlign w:val="top"/>
          </w:tcPr>
          <w:p>
            <w:pPr>
              <w:spacing w:line="459" w:lineRule="auto"/>
              <w:rPr>
                <w:rFonts w:ascii="Arial"/>
                <w:sz w:val="21"/>
              </w:rPr>
            </w:pPr>
          </w:p>
          <w:p>
            <w:pPr>
              <w:pStyle w:val="6"/>
              <w:spacing w:before="51" w:line="188" w:lineRule="auto"/>
              <w:ind w:left="131"/>
              <w:rPr>
                <w:sz w:val="18"/>
                <w:szCs w:val="18"/>
              </w:rPr>
            </w:pPr>
            <w:r>
              <w:rPr>
                <w:spacing w:val="-3"/>
                <w:sz w:val="18"/>
                <w:szCs w:val="18"/>
              </w:rPr>
              <w:t>15300.0</w:t>
            </w:r>
          </w:p>
        </w:tc>
        <w:tc>
          <w:tcPr>
            <w:tcW w:w="750" w:type="dxa"/>
            <w:vAlign w:val="top"/>
          </w:tcPr>
          <w:p>
            <w:pPr>
              <w:pStyle w:val="6"/>
              <w:spacing w:before="54" w:line="205" w:lineRule="auto"/>
              <w:ind w:left="317" w:right="104" w:hanging="189"/>
              <w:rPr>
                <w:sz w:val="18"/>
                <w:szCs w:val="18"/>
              </w:rPr>
            </w:pPr>
            <w:r>
              <w:rPr>
                <w:spacing w:val="-5"/>
                <w:sz w:val="18"/>
                <w:szCs w:val="18"/>
              </w:rPr>
              <w:t>113997</w:t>
            </w:r>
            <w:r>
              <w:rPr>
                <w:sz w:val="18"/>
                <w:szCs w:val="18"/>
              </w:rPr>
              <w:t xml:space="preserve"> </w:t>
            </w:r>
            <w:r>
              <w:rPr>
                <w:spacing w:val="-7"/>
                <w:sz w:val="18"/>
                <w:szCs w:val="18"/>
              </w:rPr>
              <w:t>.0</w:t>
            </w:r>
          </w:p>
        </w:tc>
        <w:tc>
          <w:tcPr>
            <w:tcW w:w="1762" w:type="dxa"/>
            <w:vAlign w:val="top"/>
          </w:tcPr>
          <w:p>
            <w:pPr>
              <w:spacing w:before="126" w:line="217" w:lineRule="auto"/>
              <w:ind w:left="352"/>
              <w:rPr>
                <w:rFonts w:ascii="仿宋" w:hAnsi="仿宋" w:eastAsia="仿宋" w:cs="仿宋"/>
                <w:sz w:val="18"/>
                <w:szCs w:val="18"/>
              </w:rPr>
            </w:pPr>
            <w:r>
              <w:rPr>
                <w:rFonts w:ascii="仿宋" w:hAnsi="仿宋" w:eastAsia="仿宋" w:cs="仿宋"/>
                <w:spacing w:val="-2"/>
                <w:sz w:val="18"/>
                <w:szCs w:val="18"/>
              </w:rPr>
              <w:t>沿线集中堆放</w:t>
            </w:r>
          </w:p>
        </w:tc>
        <w:tc>
          <w:tcPr>
            <w:tcW w:w="739" w:type="dxa"/>
            <w:vMerge w:val="restart"/>
            <w:tcBorders>
              <w:bottom w:val="nil"/>
            </w:tcBorders>
            <w:vAlign w:val="top"/>
          </w:tcPr>
          <w:p>
            <w:pPr>
              <w:rPr>
                <w:rFonts w:ascii="Arial"/>
                <w:sz w:val="21"/>
              </w:rPr>
            </w:pPr>
          </w:p>
        </w:tc>
        <w:tc>
          <w:tcPr>
            <w:tcW w:w="1165" w:type="dxa"/>
            <w:vMerge w:val="restart"/>
            <w:tcBorders>
              <w:bottom w:val="nil"/>
            </w:tcBorders>
            <w:vAlign w:val="top"/>
          </w:tcPr>
          <w:p>
            <w:pPr>
              <w:rPr>
                <w:rFonts w:ascii="Arial"/>
                <w:sz w:val="21"/>
              </w:rPr>
            </w:pPr>
          </w:p>
        </w:tc>
        <w:tc>
          <w:tcPr>
            <w:tcW w:w="910" w:type="dxa"/>
            <w:vMerge w:val="restart"/>
            <w:tcBorders>
              <w:bottom w:val="nil"/>
            </w:tcBorders>
            <w:vAlign w:val="top"/>
          </w:tcPr>
          <w:p>
            <w:pPr>
              <w:rPr>
                <w:rFonts w:ascii="Arial"/>
                <w:sz w:val="21"/>
              </w:rPr>
            </w:pPr>
          </w:p>
        </w:tc>
        <w:tc>
          <w:tcPr>
            <w:tcW w:w="983" w:type="dxa"/>
            <w:vMerge w:val="restart"/>
            <w:tcBorders>
              <w:bottom w:val="nil"/>
            </w:tcBorders>
            <w:vAlign w:val="top"/>
          </w:tcPr>
          <w:p>
            <w:pPr>
              <w:rPr>
                <w:rFonts w:ascii="Arial"/>
                <w:sz w:val="21"/>
              </w:rPr>
            </w:pPr>
          </w:p>
        </w:tc>
        <w:tc>
          <w:tcPr>
            <w:tcW w:w="1036" w:type="dxa"/>
            <w:vMerge w:val="restart"/>
            <w:tcBorders>
              <w:bottom w:val="nil"/>
            </w:tcBorders>
            <w:vAlign w:val="top"/>
          </w:tcPr>
          <w:p>
            <w:pPr>
              <w:spacing w:line="459" w:lineRule="auto"/>
              <w:rPr>
                <w:rFonts w:ascii="Arial"/>
                <w:sz w:val="21"/>
              </w:rPr>
            </w:pPr>
          </w:p>
          <w:p>
            <w:pPr>
              <w:pStyle w:val="6"/>
              <w:spacing w:before="51" w:line="188" w:lineRule="auto"/>
              <w:ind w:left="273"/>
              <w:rPr>
                <w:sz w:val="18"/>
                <w:szCs w:val="18"/>
              </w:rPr>
            </w:pPr>
            <w:r>
              <w:rPr>
                <w:spacing w:val="-1"/>
                <w:sz w:val="18"/>
                <w:szCs w:val="18"/>
              </w:rPr>
              <w:t>2493.0</w:t>
            </w:r>
          </w:p>
        </w:tc>
        <w:tc>
          <w:tcPr>
            <w:tcW w:w="897" w:type="dxa"/>
            <w:vMerge w:val="restart"/>
            <w:tcBorders>
              <w:bottom w:val="nil"/>
            </w:tcBorders>
            <w:vAlign w:val="top"/>
          </w:tcPr>
          <w:p>
            <w:pPr>
              <w:spacing w:line="459" w:lineRule="auto"/>
              <w:rPr>
                <w:rFonts w:ascii="Arial"/>
                <w:sz w:val="21"/>
              </w:rPr>
            </w:pPr>
          </w:p>
          <w:p>
            <w:pPr>
              <w:pStyle w:val="6"/>
              <w:spacing w:before="51" w:line="188" w:lineRule="auto"/>
              <w:ind w:left="210"/>
              <w:rPr>
                <w:sz w:val="18"/>
                <w:szCs w:val="18"/>
              </w:rPr>
            </w:pPr>
            <w:r>
              <w:rPr>
                <w:spacing w:val="-3"/>
                <w:sz w:val="18"/>
                <w:szCs w:val="18"/>
              </w:rPr>
              <w:t>3116.3</w:t>
            </w:r>
          </w:p>
        </w:tc>
        <w:tc>
          <w:tcPr>
            <w:tcW w:w="1036" w:type="dxa"/>
            <w:vMerge w:val="restart"/>
            <w:tcBorders>
              <w:bottom w:val="nil"/>
              <w:right w:val="nil"/>
            </w:tcBorders>
            <w:vAlign w:val="top"/>
          </w:tcPr>
          <w:p>
            <w:pPr>
              <w:pStyle w:val="6"/>
              <w:spacing w:before="280" w:line="180" w:lineRule="auto"/>
              <w:ind w:left="256"/>
              <w:rPr>
                <w:rFonts w:ascii="仿宋" w:hAnsi="仿宋" w:eastAsia="仿宋" w:cs="仿宋"/>
                <w:sz w:val="18"/>
                <w:szCs w:val="18"/>
              </w:rPr>
            </w:pPr>
            <w:r>
              <w:rPr>
                <w:spacing w:val="-10"/>
                <w:sz w:val="18"/>
                <w:szCs w:val="18"/>
              </w:rPr>
              <w:t>8</w:t>
            </w:r>
            <w:r>
              <w:rPr>
                <w:spacing w:val="-17"/>
                <w:sz w:val="18"/>
                <w:szCs w:val="18"/>
              </w:rPr>
              <w:t xml:space="preserve"> </w:t>
            </w:r>
            <w:r>
              <w:rPr>
                <w:rFonts w:ascii="仿宋" w:hAnsi="仿宋" w:eastAsia="仿宋" w:cs="仿宋"/>
                <w:spacing w:val="-10"/>
                <w:sz w:val="18"/>
                <w:szCs w:val="18"/>
              </w:rPr>
              <w:t>、</w:t>
            </w:r>
            <w:r>
              <w:rPr>
                <w:spacing w:val="-10"/>
                <w:sz w:val="18"/>
                <w:szCs w:val="18"/>
              </w:rPr>
              <w:t>9</w:t>
            </w:r>
            <w:r>
              <w:rPr>
                <w:rFonts w:ascii="仿宋" w:hAnsi="仿宋" w:eastAsia="仿宋" w:cs="仿宋"/>
                <w:spacing w:val="-10"/>
                <w:sz w:val="18"/>
                <w:szCs w:val="18"/>
              </w:rPr>
              <w:t>、</w:t>
            </w:r>
          </w:p>
          <w:p>
            <w:pPr>
              <w:pStyle w:val="6"/>
              <w:spacing w:before="25" w:line="219" w:lineRule="auto"/>
              <w:ind w:left="132"/>
              <w:rPr>
                <w:rFonts w:ascii="仿宋" w:hAnsi="仿宋" w:eastAsia="仿宋" w:cs="仿宋"/>
                <w:sz w:val="18"/>
                <w:szCs w:val="18"/>
              </w:rPr>
            </w:pPr>
            <w:r>
              <w:rPr>
                <w:spacing w:val="-7"/>
                <w:sz w:val="18"/>
                <w:szCs w:val="18"/>
              </w:rPr>
              <w:t>13</w:t>
            </w:r>
            <w:r>
              <w:rPr>
                <w:spacing w:val="-19"/>
                <w:sz w:val="18"/>
                <w:szCs w:val="18"/>
              </w:rPr>
              <w:t xml:space="preserve"> </w:t>
            </w:r>
            <w:r>
              <w:rPr>
                <w:rFonts w:ascii="仿宋" w:hAnsi="仿宋" w:eastAsia="仿宋" w:cs="仿宋"/>
                <w:spacing w:val="-7"/>
                <w:sz w:val="18"/>
                <w:szCs w:val="18"/>
              </w:rPr>
              <w:t>、</w:t>
            </w:r>
            <w:r>
              <w:rPr>
                <w:spacing w:val="-7"/>
                <w:sz w:val="18"/>
                <w:szCs w:val="18"/>
              </w:rPr>
              <w:t>14#</w:t>
            </w:r>
            <w:r>
              <w:rPr>
                <w:rFonts w:ascii="仿宋" w:hAnsi="仿宋" w:eastAsia="仿宋" w:cs="仿宋"/>
                <w:spacing w:val="-7"/>
                <w:sz w:val="18"/>
                <w:szCs w:val="18"/>
              </w:rPr>
              <w:t>弃</w:t>
            </w:r>
          </w:p>
          <w:p>
            <w:pPr>
              <w:spacing w:before="20" w:line="219" w:lineRule="auto"/>
              <w:ind w:left="348"/>
              <w:rPr>
                <w:rFonts w:ascii="仿宋" w:hAnsi="仿宋" w:eastAsia="仿宋" w:cs="仿宋"/>
                <w:sz w:val="18"/>
                <w:szCs w:val="18"/>
              </w:rPr>
            </w:pPr>
            <w:r>
              <w:rPr>
                <w:rFonts w:ascii="仿宋" w:hAnsi="仿宋" w:eastAsia="仿宋" w:cs="仿宋"/>
                <w:spacing w:val="-4"/>
                <w:sz w:val="18"/>
                <w:szCs w:val="18"/>
              </w:rPr>
              <w:t>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2" w:hRule="atLeast"/>
        </w:trPr>
        <w:tc>
          <w:tcPr>
            <w:tcW w:w="777" w:type="dxa"/>
            <w:vMerge w:val="continue"/>
            <w:tcBorders>
              <w:top w:val="nil"/>
              <w:left w:val="nil"/>
              <w:bottom w:val="nil"/>
            </w:tcBorders>
            <w:vAlign w:val="top"/>
          </w:tcPr>
          <w:p>
            <w:pPr>
              <w:rPr>
                <w:rFonts w:ascii="Arial"/>
                <w:sz w:val="21"/>
              </w:rPr>
            </w:pPr>
          </w:p>
        </w:tc>
        <w:tc>
          <w:tcPr>
            <w:tcW w:w="1383" w:type="dxa"/>
            <w:vMerge w:val="continue"/>
            <w:tcBorders>
              <w:top w:val="nil"/>
            </w:tcBorders>
            <w:vAlign w:val="top"/>
          </w:tcPr>
          <w:p>
            <w:pPr>
              <w:rPr>
                <w:rFonts w:ascii="Arial"/>
                <w:sz w:val="21"/>
              </w:rPr>
            </w:pPr>
          </w:p>
        </w:tc>
        <w:tc>
          <w:tcPr>
            <w:tcW w:w="909" w:type="dxa"/>
            <w:vMerge w:val="continue"/>
            <w:tcBorders>
              <w:top w:val="nil"/>
            </w:tcBorders>
            <w:vAlign w:val="top"/>
          </w:tcPr>
          <w:p>
            <w:pPr>
              <w:rPr>
                <w:rFonts w:ascii="Arial"/>
                <w:sz w:val="21"/>
              </w:rPr>
            </w:pPr>
          </w:p>
        </w:tc>
        <w:tc>
          <w:tcPr>
            <w:tcW w:w="843"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750" w:type="dxa"/>
            <w:vAlign w:val="top"/>
          </w:tcPr>
          <w:p>
            <w:pPr>
              <w:spacing w:line="248" w:lineRule="auto"/>
              <w:rPr>
                <w:rFonts w:ascii="Arial"/>
                <w:sz w:val="21"/>
              </w:rPr>
            </w:pPr>
          </w:p>
          <w:p>
            <w:pPr>
              <w:pStyle w:val="6"/>
              <w:spacing w:before="52" w:line="188" w:lineRule="auto"/>
              <w:ind w:left="146"/>
              <w:rPr>
                <w:sz w:val="18"/>
                <w:szCs w:val="18"/>
              </w:rPr>
            </w:pPr>
            <w:r>
              <w:rPr>
                <w:spacing w:val="-4"/>
                <w:sz w:val="18"/>
                <w:szCs w:val="18"/>
              </w:rPr>
              <w:t>1702.8</w:t>
            </w:r>
          </w:p>
        </w:tc>
        <w:tc>
          <w:tcPr>
            <w:tcW w:w="1762" w:type="dxa"/>
            <w:vAlign w:val="top"/>
          </w:tcPr>
          <w:p>
            <w:pPr>
              <w:pStyle w:val="6"/>
              <w:spacing w:before="37" w:line="219" w:lineRule="auto"/>
              <w:ind w:left="185"/>
              <w:rPr>
                <w:rFonts w:ascii="仿宋" w:hAnsi="仿宋" w:eastAsia="仿宋" w:cs="仿宋"/>
                <w:sz w:val="18"/>
                <w:szCs w:val="18"/>
              </w:rPr>
            </w:pPr>
            <w:r>
              <w:rPr>
                <w:spacing w:val="-6"/>
                <w:sz w:val="18"/>
                <w:szCs w:val="18"/>
              </w:rPr>
              <w:t>8</w:t>
            </w:r>
            <w:r>
              <w:rPr>
                <w:spacing w:val="-11"/>
                <w:sz w:val="18"/>
                <w:szCs w:val="18"/>
              </w:rPr>
              <w:t xml:space="preserve"> </w:t>
            </w:r>
            <w:r>
              <w:rPr>
                <w:rFonts w:ascii="仿宋" w:hAnsi="仿宋" w:eastAsia="仿宋" w:cs="仿宋"/>
                <w:spacing w:val="-6"/>
                <w:sz w:val="18"/>
                <w:szCs w:val="18"/>
              </w:rPr>
              <w:t>、</w:t>
            </w:r>
            <w:r>
              <w:rPr>
                <w:spacing w:val="-6"/>
                <w:sz w:val="18"/>
                <w:szCs w:val="18"/>
              </w:rPr>
              <w:t>9</w:t>
            </w:r>
            <w:r>
              <w:rPr>
                <w:spacing w:val="-19"/>
                <w:sz w:val="18"/>
                <w:szCs w:val="18"/>
              </w:rPr>
              <w:t xml:space="preserve"> </w:t>
            </w:r>
            <w:r>
              <w:rPr>
                <w:rFonts w:ascii="仿宋" w:hAnsi="仿宋" w:eastAsia="仿宋" w:cs="仿宋"/>
                <w:spacing w:val="-6"/>
                <w:sz w:val="18"/>
                <w:szCs w:val="18"/>
              </w:rPr>
              <w:t>、</w:t>
            </w:r>
            <w:r>
              <w:rPr>
                <w:spacing w:val="-6"/>
                <w:sz w:val="18"/>
                <w:szCs w:val="18"/>
              </w:rPr>
              <w:t>17-20#</w:t>
            </w:r>
            <w:r>
              <w:rPr>
                <w:rFonts w:ascii="仿宋" w:hAnsi="仿宋" w:eastAsia="仿宋" w:cs="仿宋"/>
                <w:spacing w:val="-6"/>
                <w:sz w:val="18"/>
                <w:szCs w:val="18"/>
              </w:rPr>
              <w:t>临时</w:t>
            </w:r>
          </w:p>
          <w:p>
            <w:pPr>
              <w:pStyle w:val="6"/>
              <w:spacing w:before="21" w:line="212" w:lineRule="auto"/>
              <w:ind w:left="150"/>
              <w:rPr>
                <w:rFonts w:ascii="仿宋" w:hAnsi="仿宋" w:eastAsia="仿宋" w:cs="仿宋"/>
                <w:sz w:val="18"/>
                <w:szCs w:val="18"/>
              </w:rPr>
            </w:pPr>
            <w:r>
              <w:rPr>
                <w:rFonts w:ascii="仿宋" w:hAnsi="仿宋" w:eastAsia="仿宋" w:cs="仿宋"/>
                <w:spacing w:val="-2"/>
                <w:sz w:val="18"/>
                <w:szCs w:val="18"/>
              </w:rPr>
              <w:t>堆土场</w:t>
            </w:r>
            <w:r>
              <w:rPr>
                <w:spacing w:val="-2"/>
                <w:sz w:val="18"/>
                <w:szCs w:val="18"/>
              </w:rPr>
              <w:t>,</w:t>
            </w:r>
            <w:r>
              <w:rPr>
                <w:rFonts w:ascii="仿宋" w:hAnsi="仿宋" w:eastAsia="仿宋" w:cs="仿宋"/>
                <w:spacing w:val="-2"/>
                <w:sz w:val="18"/>
                <w:szCs w:val="18"/>
              </w:rPr>
              <w:t>用于后期绿</w:t>
            </w:r>
          </w:p>
          <w:p>
            <w:pPr>
              <w:spacing w:before="25" w:line="192" w:lineRule="auto"/>
              <w:ind w:left="622"/>
              <w:rPr>
                <w:rFonts w:ascii="仿宋" w:hAnsi="仿宋" w:eastAsia="仿宋" w:cs="仿宋"/>
                <w:sz w:val="18"/>
                <w:szCs w:val="18"/>
              </w:rPr>
            </w:pPr>
            <w:r>
              <w:rPr>
                <w:rFonts w:ascii="仿宋" w:hAnsi="仿宋" w:eastAsia="仿宋" w:cs="仿宋"/>
                <w:spacing w:val="-3"/>
                <w:sz w:val="18"/>
                <w:szCs w:val="18"/>
              </w:rPr>
              <w:t>化覆土</w:t>
            </w:r>
          </w:p>
        </w:tc>
        <w:tc>
          <w:tcPr>
            <w:tcW w:w="739" w:type="dxa"/>
            <w:vMerge w:val="continue"/>
            <w:tcBorders>
              <w:top w:val="nil"/>
            </w:tcBorders>
            <w:vAlign w:val="top"/>
          </w:tcPr>
          <w:p>
            <w:pPr>
              <w:rPr>
                <w:rFonts w:ascii="Arial"/>
                <w:sz w:val="21"/>
              </w:rPr>
            </w:pPr>
          </w:p>
        </w:tc>
        <w:tc>
          <w:tcPr>
            <w:tcW w:w="1165" w:type="dxa"/>
            <w:vMerge w:val="continue"/>
            <w:tcBorders>
              <w:top w:val="nil"/>
            </w:tcBorders>
            <w:vAlign w:val="top"/>
          </w:tcPr>
          <w:p>
            <w:pPr>
              <w:rPr>
                <w:rFonts w:ascii="Arial"/>
                <w:sz w:val="21"/>
              </w:rPr>
            </w:pPr>
          </w:p>
        </w:tc>
        <w:tc>
          <w:tcPr>
            <w:tcW w:w="910" w:type="dxa"/>
            <w:vMerge w:val="continue"/>
            <w:tcBorders>
              <w:top w:val="nil"/>
            </w:tcBorders>
            <w:vAlign w:val="top"/>
          </w:tcPr>
          <w:p>
            <w:pPr>
              <w:rPr>
                <w:rFonts w:ascii="Arial"/>
                <w:sz w:val="21"/>
              </w:rPr>
            </w:pPr>
          </w:p>
        </w:tc>
        <w:tc>
          <w:tcPr>
            <w:tcW w:w="983" w:type="dxa"/>
            <w:vMerge w:val="continue"/>
            <w:tcBorders>
              <w:top w:val="nil"/>
            </w:tcBorders>
            <w:vAlign w:val="top"/>
          </w:tcPr>
          <w:p>
            <w:pPr>
              <w:rPr>
                <w:rFonts w:ascii="Arial"/>
                <w:sz w:val="21"/>
              </w:rPr>
            </w:pPr>
          </w:p>
        </w:tc>
        <w:tc>
          <w:tcPr>
            <w:tcW w:w="1036" w:type="dxa"/>
            <w:vMerge w:val="continue"/>
            <w:tcBorders>
              <w:top w:val="nil"/>
            </w:tcBorders>
            <w:vAlign w:val="top"/>
          </w:tcPr>
          <w:p>
            <w:pPr>
              <w:rPr>
                <w:rFonts w:ascii="Arial"/>
                <w:sz w:val="21"/>
              </w:rPr>
            </w:pPr>
          </w:p>
        </w:tc>
        <w:tc>
          <w:tcPr>
            <w:tcW w:w="897" w:type="dxa"/>
            <w:vMerge w:val="continue"/>
            <w:tcBorders>
              <w:top w:val="nil"/>
            </w:tcBorders>
            <w:vAlign w:val="top"/>
          </w:tcPr>
          <w:p>
            <w:pPr>
              <w:rPr>
                <w:rFonts w:ascii="Arial"/>
                <w:sz w:val="21"/>
              </w:rPr>
            </w:pPr>
          </w:p>
        </w:tc>
        <w:tc>
          <w:tcPr>
            <w:tcW w:w="103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1" w:hRule="atLeast"/>
        </w:trPr>
        <w:tc>
          <w:tcPr>
            <w:tcW w:w="777" w:type="dxa"/>
            <w:vMerge w:val="continue"/>
            <w:tcBorders>
              <w:top w:val="nil"/>
              <w:left w:val="nil"/>
              <w:bottom w:val="nil"/>
            </w:tcBorders>
            <w:vAlign w:val="top"/>
          </w:tcPr>
          <w:p>
            <w:pPr>
              <w:rPr>
                <w:rFonts w:ascii="Arial"/>
                <w:sz w:val="21"/>
              </w:rPr>
            </w:pPr>
          </w:p>
        </w:tc>
        <w:tc>
          <w:tcPr>
            <w:tcW w:w="1383" w:type="dxa"/>
            <w:vAlign w:val="top"/>
          </w:tcPr>
          <w:p>
            <w:pPr>
              <w:spacing w:before="159" w:line="218" w:lineRule="auto"/>
              <w:ind w:left="520"/>
              <w:rPr>
                <w:rFonts w:ascii="仿宋" w:hAnsi="仿宋" w:eastAsia="仿宋" w:cs="仿宋"/>
                <w:sz w:val="18"/>
                <w:szCs w:val="18"/>
              </w:rPr>
            </w:pPr>
            <w:r>
              <w:rPr>
                <w:rFonts w:ascii="仿宋" w:hAnsi="仿宋" w:eastAsia="仿宋" w:cs="仿宋"/>
                <w:spacing w:val="-4"/>
                <w:sz w:val="18"/>
                <w:szCs w:val="18"/>
              </w:rPr>
              <w:t>渡槽</w:t>
            </w:r>
          </w:p>
        </w:tc>
        <w:tc>
          <w:tcPr>
            <w:tcW w:w="909" w:type="dxa"/>
            <w:vAlign w:val="top"/>
          </w:tcPr>
          <w:p>
            <w:pPr>
              <w:pStyle w:val="6"/>
              <w:spacing w:before="189" w:line="188" w:lineRule="auto"/>
              <w:ind w:left="257"/>
              <w:rPr>
                <w:sz w:val="18"/>
                <w:szCs w:val="18"/>
              </w:rPr>
            </w:pPr>
            <w:r>
              <w:rPr>
                <w:spacing w:val="-2"/>
                <w:sz w:val="18"/>
                <w:szCs w:val="18"/>
              </w:rPr>
              <w:t>389.0</w:t>
            </w:r>
          </w:p>
        </w:tc>
        <w:tc>
          <w:tcPr>
            <w:tcW w:w="843" w:type="dxa"/>
            <w:vAlign w:val="top"/>
          </w:tcPr>
          <w:p>
            <w:pPr>
              <w:pStyle w:val="6"/>
              <w:spacing w:before="189" w:line="188" w:lineRule="auto"/>
              <w:ind w:left="237"/>
              <w:rPr>
                <w:sz w:val="18"/>
                <w:szCs w:val="18"/>
              </w:rPr>
            </w:pPr>
            <w:r>
              <w:rPr>
                <w:spacing w:val="-5"/>
                <w:sz w:val="18"/>
                <w:szCs w:val="18"/>
              </w:rPr>
              <w:t>126.0</w:t>
            </w:r>
          </w:p>
        </w:tc>
        <w:tc>
          <w:tcPr>
            <w:tcW w:w="812" w:type="dxa"/>
            <w:vAlign w:val="top"/>
          </w:tcPr>
          <w:p>
            <w:pPr>
              <w:pStyle w:val="6"/>
              <w:spacing w:before="189" w:line="188" w:lineRule="auto"/>
              <w:ind w:left="221"/>
              <w:rPr>
                <w:sz w:val="18"/>
                <w:szCs w:val="18"/>
              </w:rPr>
            </w:pPr>
            <w:r>
              <w:rPr>
                <w:spacing w:val="-5"/>
                <w:sz w:val="18"/>
                <w:szCs w:val="18"/>
              </w:rPr>
              <w:t>145.0</w:t>
            </w:r>
          </w:p>
        </w:tc>
        <w:tc>
          <w:tcPr>
            <w:tcW w:w="750" w:type="dxa"/>
            <w:vAlign w:val="top"/>
          </w:tcPr>
          <w:p>
            <w:pPr>
              <w:pStyle w:val="6"/>
              <w:spacing w:before="189" w:line="188" w:lineRule="auto"/>
              <w:ind w:left="192"/>
              <w:rPr>
                <w:sz w:val="18"/>
                <w:szCs w:val="18"/>
              </w:rPr>
            </w:pPr>
            <w:r>
              <w:rPr>
                <w:spacing w:val="-5"/>
                <w:sz w:val="18"/>
                <w:szCs w:val="18"/>
              </w:rPr>
              <w:t>126.0</w:t>
            </w:r>
          </w:p>
        </w:tc>
        <w:tc>
          <w:tcPr>
            <w:tcW w:w="1762" w:type="dxa"/>
            <w:vAlign w:val="top"/>
          </w:tcPr>
          <w:p>
            <w:pPr>
              <w:pStyle w:val="6"/>
              <w:spacing w:before="41" w:line="215" w:lineRule="auto"/>
              <w:ind w:left="172" w:right="134" w:hanging="28"/>
              <w:rPr>
                <w:rFonts w:ascii="仿宋" w:hAnsi="仿宋" w:eastAsia="仿宋" w:cs="仿宋"/>
                <w:sz w:val="18"/>
                <w:szCs w:val="18"/>
              </w:rPr>
            </w:pPr>
            <w:r>
              <w:rPr>
                <w:spacing w:val="-3"/>
                <w:sz w:val="18"/>
                <w:szCs w:val="18"/>
              </w:rPr>
              <w:t>7</w:t>
            </w:r>
            <w:r>
              <w:rPr>
                <w:spacing w:val="-20"/>
                <w:sz w:val="18"/>
                <w:szCs w:val="18"/>
              </w:rPr>
              <w:t xml:space="preserve"> </w:t>
            </w:r>
            <w:r>
              <w:rPr>
                <w:rFonts w:ascii="仿宋" w:hAnsi="仿宋" w:eastAsia="仿宋" w:cs="仿宋"/>
                <w:spacing w:val="-3"/>
                <w:sz w:val="18"/>
                <w:szCs w:val="18"/>
              </w:rPr>
              <w:t>、</w:t>
            </w:r>
            <w:r>
              <w:rPr>
                <w:spacing w:val="-3"/>
                <w:sz w:val="18"/>
                <w:szCs w:val="18"/>
              </w:rPr>
              <w:t>18#</w:t>
            </w:r>
            <w:r>
              <w:rPr>
                <w:rFonts w:ascii="仿宋" w:hAnsi="仿宋" w:eastAsia="仿宋" w:cs="仿宋"/>
                <w:spacing w:val="-3"/>
                <w:sz w:val="18"/>
                <w:szCs w:val="18"/>
              </w:rPr>
              <w:t>临时堆土场</w:t>
            </w:r>
            <w:r>
              <w:rPr>
                <w:spacing w:val="-3"/>
                <w:sz w:val="18"/>
                <w:szCs w:val="18"/>
              </w:rPr>
              <w:t>,</w:t>
            </w:r>
            <w:r>
              <w:rPr>
                <w:sz w:val="18"/>
                <w:szCs w:val="18"/>
              </w:rPr>
              <w:t xml:space="preserve"> </w:t>
            </w:r>
            <w:r>
              <w:rPr>
                <w:rFonts w:ascii="仿宋" w:hAnsi="仿宋" w:eastAsia="仿宋" w:cs="仿宋"/>
                <w:spacing w:val="-2"/>
                <w:sz w:val="18"/>
                <w:szCs w:val="18"/>
              </w:rPr>
              <w:t>用于后期绿化覆土</w:t>
            </w:r>
          </w:p>
        </w:tc>
        <w:tc>
          <w:tcPr>
            <w:tcW w:w="739" w:type="dxa"/>
            <w:vAlign w:val="top"/>
          </w:tcPr>
          <w:p>
            <w:pPr>
              <w:rPr>
                <w:rFonts w:ascii="Arial"/>
                <w:sz w:val="21"/>
              </w:rPr>
            </w:pPr>
          </w:p>
        </w:tc>
        <w:tc>
          <w:tcPr>
            <w:tcW w:w="1165"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pStyle w:val="6"/>
              <w:spacing w:before="189" w:line="188" w:lineRule="auto"/>
              <w:ind w:left="317"/>
              <w:rPr>
                <w:sz w:val="18"/>
                <w:szCs w:val="18"/>
              </w:rPr>
            </w:pPr>
            <w:r>
              <w:rPr>
                <w:spacing w:val="-1"/>
                <w:sz w:val="18"/>
                <w:szCs w:val="18"/>
              </w:rPr>
              <w:t>244.0</w:t>
            </w:r>
          </w:p>
        </w:tc>
        <w:tc>
          <w:tcPr>
            <w:tcW w:w="897" w:type="dxa"/>
            <w:vAlign w:val="top"/>
          </w:tcPr>
          <w:p>
            <w:pPr>
              <w:pStyle w:val="6"/>
              <w:spacing w:before="189" w:line="188" w:lineRule="auto"/>
              <w:ind w:left="251"/>
              <w:rPr>
                <w:sz w:val="18"/>
                <w:szCs w:val="18"/>
              </w:rPr>
            </w:pPr>
            <w:r>
              <w:rPr>
                <w:spacing w:val="-2"/>
                <w:sz w:val="18"/>
                <w:szCs w:val="18"/>
              </w:rPr>
              <w:t>305.0</w:t>
            </w:r>
          </w:p>
        </w:tc>
        <w:tc>
          <w:tcPr>
            <w:tcW w:w="1036" w:type="dxa"/>
            <w:tcBorders>
              <w:right w:val="nil"/>
            </w:tcBorders>
            <w:vAlign w:val="top"/>
          </w:tcPr>
          <w:p>
            <w:pPr>
              <w:pStyle w:val="6"/>
              <w:spacing w:before="190" w:line="180" w:lineRule="auto"/>
              <w:ind w:left="204"/>
              <w:rPr>
                <w:sz w:val="18"/>
                <w:szCs w:val="18"/>
              </w:rPr>
            </w:pPr>
            <w:r>
              <w:rPr>
                <w:spacing w:val="-4"/>
                <w:sz w:val="18"/>
                <w:szCs w:val="18"/>
              </w:rPr>
              <w:t>4#</w:t>
            </w:r>
            <w:r>
              <w:rPr>
                <w:spacing w:val="-18"/>
                <w:sz w:val="18"/>
                <w:szCs w:val="18"/>
              </w:rPr>
              <w:t xml:space="preserve"> </w:t>
            </w:r>
            <w:r>
              <w:rPr>
                <w:rFonts w:ascii="仿宋" w:hAnsi="仿宋" w:eastAsia="仿宋" w:cs="仿宋"/>
                <w:spacing w:val="-4"/>
                <w:sz w:val="18"/>
                <w:szCs w:val="18"/>
              </w:rPr>
              <w:t>、</w:t>
            </w:r>
            <w:r>
              <w:rPr>
                <w:spacing w:val="-4"/>
                <w:sz w:val="18"/>
                <w:szCs w:val="18"/>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77" w:type="dxa"/>
            <w:vMerge w:val="continue"/>
            <w:tcBorders>
              <w:top w:val="nil"/>
              <w:left w:val="nil"/>
              <w:bottom w:val="nil"/>
            </w:tcBorders>
            <w:vAlign w:val="top"/>
          </w:tcPr>
          <w:p>
            <w:pPr>
              <w:rPr>
                <w:rFonts w:ascii="Arial"/>
                <w:sz w:val="21"/>
              </w:rPr>
            </w:pPr>
          </w:p>
        </w:tc>
        <w:tc>
          <w:tcPr>
            <w:tcW w:w="1383" w:type="dxa"/>
            <w:vAlign w:val="top"/>
          </w:tcPr>
          <w:p>
            <w:pPr>
              <w:spacing w:before="276" w:line="218" w:lineRule="auto"/>
              <w:ind w:left="430"/>
              <w:rPr>
                <w:rFonts w:ascii="仿宋" w:hAnsi="仿宋" w:eastAsia="仿宋" w:cs="仿宋"/>
                <w:sz w:val="18"/>
                <w:szCs w:val="18"/>
              </w:rPr>
            </w:pPr>
            <w:r>
              <w:rPr>
                <w:rFonts w:ascii="仿宋" w:hAnsi="仿宋" w:eastAsia="仿宋" w:cs="仿宋"/>
                <w:spacing w:val="-3"/>
                <w:sz w:val="18"/>
                <w:szCs w:val="18"/>
              </w:rPr>
              <w:t>倒虹吸</w:t>
            </w:r>
          </w:p>
        </w:tc>
        <w:tc>
          <w:tcPr>
            <w:tcW w:w="909" w:type="dxa"/>
            <w:vAlign w:val="top"/>
          </w:tcPr>
          <w:p>
            <w:pPr>
              <w:spacing w:line="253" w:lineRule="auto"/>
              <w:rPr>
                <w:rFonts w:ascii="Arial"/>
                <w:sz w:val="21"/>
              </w:rPr>
            </w:pPr>
          </w:p>
          <w:p>
            <w:pPr>
              <w:pStyle w:val="6"/>
              <w:spacing w:before="52" w:line="188" w:lineRule="auto"/>
              <w:ind w:left="167"/>
              <w:rPr>
                <w:sz w:val="18"/>
                <w:szCs w:val="18"/>
              </w:rPr>
            </w:pPr>
            <w:r>
              <w:rPr>
                <w:spacing w:val="-2"/>
                <w:sz w:val="18"/>
                <w:szCs w:val="18"/>
              </w:rPr>
              <w:t>39860.0</w:t>
            </w:r>
          </w:p>
        </w:tc>
        <w:tc>
          <w:tcPr>
            <w:tcW w:w="843" w:type="dxa"/>
            <w:vAlign w:val="top"/>
          </w:tcPr>
          <w:p>
            <w:pPr>
              <w:spacing w:line="253" w:lineRule="auto"/>
              <w:rPr>
                <w:rFonts w:ascii="Arial"/>
                <w:sz w:val="21"/>
              </w:rPr>
            </w:pPr>
          </w:p>
          <w:p>
            <w:pPr>
              <w:pStyle w:val="6"/>
              <w:spacing w:before="52" w:line="188" w:lineRule="auto"/>
              <w:ind w:left="193"/>
              <w:rPr>
                <w:sz w:val="18"/>
                <w:szCs w:val="18"/>
              </w:rPr>
            </w:pPr>
            <w:r>
              <w:rPr>
                <w:spacing w:val="-4"/>
                <w:sz w:val="18"/>
                <w:szCs w:val="18"/>
              </w:rPr>
              <w:t>1534.0</w:t>
            </w:r>
          </w:p>
        </w:tc>
        <w:tc>
          <w:tcPr>
            <w:tcW w:w="812" w:type="dxa"/>
            <w:vAlign w:val="top"/>
          </w:tcPr>
          <w:p>
            <w:pPr>
              <w:spacing w:line="253" w:lineRule="auto"/>
              <w:rPr>
                <w:rFonts w:ascii="Arial"/>
                <w:sz w:val="21"/>
              </w:rPr>
            </w:pPr>
          </w:p>
          <w:p>
            <w:pPr>
              <w:pStyle w:val="6"/>
              <w:spacing w:before="52" w:line="188" w:lineRule="auto"/>
              <w:ind w:left="177"/>
              <w:rPr>
                <w:sz w:val="18"/>
                <w:szCs w:val="18"/>
              </w:rPr>
            </w:pPr>
            <w:r>
              <w:rPr>
                <w:spacing w:val="-4"/>
                <w:sz w:val="18"/>
                <w:szCs w:val="18"/>
              </w:rPr>
              <w:t>1701.0</w:t>
            </w:r>
          </w:p>
        </w:tc>
        <w:tc>
          <w:tcPr>
            <w:tcW w:w="750" w:type="dxa"/>
            <w:vAlign w:val="top"/>
          </w:tcPr>
          <w:p>
            <w:pPr>
              <w:spacing w:line="253" w:lineRule="auto"/>
              <w:rPr>
                <w:rFonts w:ascii="Arial"/>
                <w:sz w:val="21"/>
              </w:rPr>
            </w:pPr>
          </w:p>
          <w:p>
            <w:pPr>
              <w:pStyle w:val="6"/>
              <w:spacing w:before="52" w:line="188" w:lineRule="auto"/>
              <w:ind w:left="146"/>
              <w:rPr>
                <w:sz w:val="18"/>
                <w:szCs w:val="18"/>
              </w:rPr>
            </w:pPr>
            <w:r>
              <w:rPr>
                <w:spacing w:val="-4"/>
                <w:sz w:val="18"/>
                <w:szCs w:val="18"/>
              </w:rPr>
              <w:t>1534.0</w:t>
            </w:r>
          </w:p>
        </w:tc>
        <w:tc>
          <w:tcPr>
            <w:tcW w:w="1762" w:type="dxa"/>
            <w:vAlign w:val="top"/>
          </w:tcPr>
          <w:p>
            <w:pPr>
              <w:pStyle w:val="6"/>
              <w:spacing w:before="42" w:line="219" w:lineRule="auto"/>
              <w:ind w:left="185"/>
              <w:rPr>
                <w:rFonts w:ascii="仿宋" w:hAnsi="仿宋" w:eastAsia="仿宋" w:cs="仿宋"/>
                <w:sz w:val="18"/>
                <w:szCs w:val="18"/>
              </w:rPr>
            </w:pPr>
            <w:r>
              <w:rPr>
                <w:spacing w:val="-6"/>
                <w:sz w:val="18"/>
                <w:szCs w:val="18"/>
              </w:rPr>
              <w:t>8</w:t>
            </w:r>
            <w:r>
              <w:rPr>
                <w:spacing w:val="-11"/>
                <w:sz w:val="18"/>
                <w:szCs w:val="18"/>
              </w:rPr>
              <w:t xml:space="preserve"> </w:t>
            </w:r>
            <w:r>
              <w:rPr>
                <w:rFonts w:ascii="仿宋" w:hAnsi="仿宋" w:eastAsia="仿宋" w:cs="仿宋"/>
                <w:spacing w:val="-6"/>
                <w:sz w:val="18"/>
                <w:szCs w:val="18"/>
              </w:rPr>
              <w:t>、</w:t>
            </w:r>
            <w:r>
              <w:rPr>
                <w:spacing w:val="-6"/>
                <w:sz w:val="18"/>
                <w:szCs w:val="18"/>
              </w:rPr>
              <w:t>9</w:t>
            </w:r>
            <w:r>
              <w:rPr>
                <w:spacing w:val="-19"/>
                <w:sz w:val="18"/>
                <w:szCs w:val="18"/>
              </w:rPr>
              <w:t xml:space="preserve"> </w:t>
            </w:r>
            <w:r>
              <w:rPr>
                <w:rFonts w:ascii="仿宋" w:hAnsi="仿宋" w:eastAsia="仿宋" w:cs="仿宋"/>
                <w:spacing w:val="-6"/>
                <w:sz w:val="18"/>
                <w:szCs w:val="18"/>
              </w:rPr>
              <w:t>、</w:t>
            </w:r>
            <w:r>
              <w:rPr>
                <w:spacing w:val="-6"/>
                <w:sz w:val="18"/>
                <w:szCs w:val="18"/>
              </w:rPr>
              <w:t>17-20#</w:t>
            </w:r>
            <w:r>
              <w:rPr>
                <w:rFonts w:ascii="仿宋" w:hAnsi="仿宋" w:eastAsia="仿宋" w:cs="仿宋"/>
                <w:spacing w:val="-6"/>
                <w:sz w:val="18"/>
                <w:szCs w:val="18"/>
              </w:rPr>
              <w:t>临时</w:t>
            </w:r>
          </w:p>
          <w:p>
            <w:pPr>
              <w:pStyle w:val="6"/>
              <w:spacing w:before="19" w:line="212" w:lineRule="auto"/>
              <w:ind w:left="150"/>
              <w:rPr>
                <w:rFonts w:ascii="仿宋" w:hAnsi="仿宋" w:eastAsia="仿宋" w:cs="仿宋"/>
                <w:sz w:val="18"/>
                <w:szCs w:val="18"/>
              </w:rPr>
            </w:pPr>
            <w:r>
              <w:rPr>
                <w:rFonts w:ascii="仿宋" w:hAnsi="仿宋" w:eastAsia="仿宋" w:cs="仿宋"/>
                <w:spacing w:val="-2"/>
                <w:sz w:val="18"/>
                <w:szCs w:val="18"/>
              </w:rPr>
              <w:t>堆土场</w:t>
            </w:r>
            <w:r>
              <w:rPr>
                <w:spacing w:val="-2"/>
                <w:sz w:val="18"/>
                <w:szCs w:val="18"/>
              </w:rPr>
              <w:t>,</w:t>
            </w:r>
            <w:r>
              <w:rPr>
                <w:rFonts w:ascii="仿宋" w:hAnsi="仿宋" w:eastAsia="仿宋" w:cs="仿宋"/>
                <w:spacing w:val="-2"/>
                <w:sz w:val="18"/>
                <w:szCs w:val="18"/>
              </w:rPr>
              <w:t>用于后期绿</w:t>
            </w:r>
          </w:p>
          <w:p>
            <w:pPr>
              <w:spacing w:before="26" w:line="188" w:lineRule="auto"/>
              <w:ind w:left="622"/>
              <w:rPr>
                <w:rFonts w:ascii="仿宋" w:hAnsi="仿宋" w:eastAsia="仿宋" w:cs="仿宋"/>
                <w:sz w:val="18"/>
                <w:szCs w:val="18"/>
              </w:rPr>
            </w:pPr>
            <w:r>
              <w:rPr>
                <w:rFonts w:ascii="仿宋" w:hAnsi="仿宋" w:eastAsia="仿宋" w:cs="仿宋"/>
                <w:spacing w:val="-3"/>
                <w:sz w:val="18"/>
                <w:szCs w:val="18"/>
              </w:rPr>
              <w:t>化覆土</w:t>
            </w:r>
          </w:p>
        </w:tc>
        <w:tc>
          <w:tcPr>
            <w:tcW w:w="739" w:type="dxa"/>
            <w:vAlign w:val="top"/>
          </w:tcPr>
          <w:p>
            <w:pPr>
              <w:rPr>
                <w:rFonts w:ascii="Arial"/>
                <w:sz w:val="21"/>
              </w:rPr>
            </w:pPr>
          </w:p>
        </w:tc>
        <w:tc>
          <w:tcPr>
            <w:tcW w:w="1165"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spacing w:line="253" w:lineRule="auto"/>
              <w:rPr>
                <w:rFonts w:ascii="Arial"/>
                <w:sz w:val="21"/>
              </w:rPr>
            </w:pPr>
          </w:p>
          <w:p>
            <w:pPr>
              <w:pStyle w:val="6"/>
              <w:spacing w:before="52" w:line="188" w:lineRule="auto"/>
              <w:ind w:left="231"/>
              <w:rPr>
                <w:sz w:val="18"/>
                <w:szCs w:val="18"/>
              </w:rPr>
            </w:pPr>
            <w:r>
              <w:rPr>
                <w:spacing w:val="-1"/>
                <w:sz w:val="18"/>
                <w:szCs w:val="18"/>
              </w:rPr>
              <w:t>38159.0</w:t>
            </w:r>
          </w:p>
        </w:tc>
        <w:tc>
          <w:tcPr>
            <w:tcW w:w="897" w:type="dxa"/>
            <w:vAlign w:val="top"/>
          </w:tcPr>
          <w:p>
            <w:pPr>
              <w:spacing w:line="253" w:lineRule="auto"/>
              <w:rPr>
                <w:rFonts w:ascii="Arial"/>
                <w:sz w:val="21"/>
              </w:rPr>
            </w:pPr>
          </w:p>
          <w:p>
            <w:pPr>
              <w:pStyle w:val="6"/>
              <w:spacing w:before="52" w:line="188" w:lineRule="auto"/>
              <w:ind w:left="156"/>
              <w:rPr>
                <w:sz w:val="18"/>
                <w:szCs w:val="18"/>
              </w:rPr>
            </w:pPr>
            <w:r>
              <w:rPr>
                <w:spacing w:val="-1"/>
                <w:sz w:val="18"/>
                <w:szCs w:val="18"/>
              </w:rPr>
              <w:t>47698.8</w:t>
            </w:r>
          </w:p>
        </w:tc>
        <w:tc>
          <w:tcPr>
            <w:tcW w:w="1036" w:type="dxa"/>
            <w:tcBorders>
              <w:right w:val="nil"/>
            </w:tcBorders>
            <w:vAlign w:val="top"/>
          </w:tcPr>
          <w:p>
            <w:pPr>
              <w:pStyle w:val="6"/>
              <w:spacing w:before="74" w:line="180" w:lineRule="auto"/>
              <w:ind w:left="268"/>
              <w:rPr>
                <w:rFonts w:ascii="仿宋" w:hAnsi="仿宋" w:eastAsia="仿宋" w:cs="仿宋"/>
                <w:sz w:val="18"/>
                <w:szCs w:val="18"/>
              </w:rPr>
            </w:pPr>
            <w:r>
              <w:rPr>
                <w:spacing w:val="-6"/>
                <w:sz w:val="18"/>
                <w:szCs w:val="18"/>
              </w:rPr>
              <w:t>7-</w:t>
            </w:r>
            <w:r>
              <w:rPr>
                <w:spacing w:val="-23"/>
                <w:sz w:val="18"/>
                <w:szCs w:val="18"/>
              </w:rPr>
              <w:t xml:space="preserve"> </w:t>
            </w:r>
            <w:r>
              <w:rPr>
                <w:spacing w:val="-6"/>
                <w:sz w:val="18"/>
                <w:szCs w:val="18"/>
              </w:rPr>
              <w:t>10</w:t>
            </w:r>
            <w:r>
              <w:rPr>
                <w:rFonts w:ascii="仿宋" w:hAnsi="仿宋" w:eastAsia="仿宋" w:cs="仿宋"/>
                <w:spacing w:val="-6"/>
                <w:sz w:val="18"/>
                <w:szCs w:val="18"/>
              </w:rPr>
              <w:t>、</w:t>
            </w:r>
          </w:p>
          <w:p>
            <w:pPr>
              <w:pStyle w:val="6"/>
              <w:spacing w:before="57" w:line="180" w:lineRule="auto"/>
              <w:ind w:left="176"/>
              <w:rPr>
                <w:rFonts w:ascii="仿宋" w:hAnsi="仿宋" w:eastAsia="仿宋" w:cs="仿宋"/>
                <w:sz w:val="18"/>
                <w:szCs w:val="18"/>
              </w:rPr>
            </w:pPr>
            <w:r>
              <w:rPr>
                <w:spacing w:val="-8"/>
                <w:sz w:val="18"/>
                <w:szCs w:val="18"/>
              </w:rPr>
              <w:t>12</w:t>
            </w:r>
            <w:r>
              <w:rPr>
                <w:spacing w:val="-20"/>
                <w:sz w:val="18"/>
                <w:szCs w:val="18"/>
              </w:rPr>
              <w:t xml:space="preserve"> </w:t>
            </w:r>
            <w:r>
              <w:rPr>
                <w:rFonts w:ascii="仿宋" w:hAnsi="仿宋" w:eastAsia="仿宋" w:cs="仿宋"/>
                <w:spacing w:val="-8"/>
                <w:sz w:val="18"/>
                <w:szCs w:val="18"/>
              </w:rPr>
              <w:t>、</w:t>
            </w:r>
            <w:r>
              <w:rPr>
                <w:spacing w:val="-8"/>
                <w:sz w:val="18"/>
                <w:szCs w:val="18"/>
              </w:rPr>
              <w:t>13</w:t>
            </w:r>
            <w:r>
              <w:rPr>
                <w:rFonts w:ascii="仿宋" w:hAnsi="仿宋" w:eastAsia="仿宋" w:cs="仿宋"/>
                <w:spacing w:val="-8"/>
                <w:sz w:val="18"/>
                <w:szCs w:val="18"/>
              </w:rPr>
              <w:t>、</w:t>
            </w:r>
          </w:p>
          <w:p>
            <w:pPr>
              <w:pStyle w:val="6"/>
              <w:spacing w:before="26" w:line="188" w:lineRule="auto"/>
              <w:ind w:left="132"/>
              <w:rPr>
                <w:rFonts w:ascii="仿宋" w:hAnsi="仿宋" w:eastAsia="仿宋" w:cs="仿宋"/>
                <w:sz w:val="18"/>
                <w:szCs w:val="18"/>
              </w:rPr>
            </w:pPr>
            <w:r>
              <w:rPr>
                <w:spacing w:val="-4"/>
                <w:sz w:val="18"/>
                <w:szCs w:val="18"/>
              </w:rPr>
              <w:t>14#</w:t>
            </w:r>
            <w:r>
              <w:rPr>
                <w:rFonts w:ascii="仿宋" w:hAnsi="仿宋" w:eastAsia="仿宋" w:cs="仿宋"/>
                <w:spacing w:val="-4"/>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77" w:type="dxa"/>
            <w:vMerge w:val="continue"/>
            <w:tcBorders>
              <w:top w:val="nil"/>
              <w:left w:val="nil"/>
              <w:bottom w:val="nil"/>
            </w:tcBorders>
            <w:vAlign w:val="top"/>
          </w:tcPr>
          <w:p>
            <w:pPr>
              <w:rPr>
                <w:rFonts w:ascii="Arial"/>
                <w:sz w:val="21"/>
              </w:rPr>
            </w:pPr>
          </w:p>
        </w:tc>
        <w:tc>
          <w:tcPr>
            <w:tcW w:w="1383" w:type="dxa"/>
            <w:vAlign w:val="top"/>
          </w:tcPr>
          <w:p>
            <w:pPr>
              <w:spacing w:before="161" w:line="229" w:lineRule="auto"/>
              <w:ind w:left="608" w:right="149" w:hanging="447"/>
              <w:rPr>
                <w:rFonts w:ascii="仿宋" w:hAnsi="仿宋" w:eastAsia="仿宋" w:cs="仿宋"/>
                <w:sz w:val="18"/>
                <w:szCs w:val="18"/>
              </w:rPr>
            </w:pPr>
            <w:r>
              <w:rPr>
                <w:rFonts w:ascii="仿宋" w:hAnsi="仿宋" w:eastAsia="仿宋" w:cs="仿宋"/>
                <w:spacing w:val="-3"/>
                <w:sz w:val="18"/>
                <w:szCs w:val="18"/>
              </w:rPr>
              <w:t>输水隧洞和支</w:t>
            </w:r>
            <w:r>
              <w:rPr>
                <w:rFonts w:ascii="仿宋" w:hAnsi="仿宋" w:eastAsia="仿宋" w:cs="仿宋"/>
                <w:spacing w:val="4"/>
                <w:sz w:val="18"/>
                <w:szCs w:val="18"/>
              </w:rPr>
              <w:t xml:space="preserve"> </w:t>
            </w:r>
            <w:r>
              <w:rPr>
                <w:rFonts w:ascii="仿宋" w:hAnsi="仿宋" w:eastAsia="仿宋" w:cs="仿宋"/>
                <w:sz w:val="18"/>
                <w:szCs w:val="18"/>
              </w:rPr>
              <w:t>洞</w:t>
            </w:r>
          </w:p>
        </w:tc>
        <w:tc>
          <w:tcPr>
            <w:tcW w:w="909" w:type="dxa"/>
            <w:vAlign w:val="top"/>
          </w:tcPr>
          <w:p>
            <w:pPr>
              <w:spacing w:line="256" w:lineRule="auto"/>
              <w:rPr>
                <w:rFonts w:ascii="Arial"/>
                <w:sz w:val="21"/>
              </w:rPr>
            </w:pPr>
          </w:p>
          <w:p>
            <w:pPr>
              <w:pStyle w:val="6"/>
              <w:spacing w:before="52" w:line="188" w:lineRule="auto"/>
              <w:ind w:left="135"/>
              <w:rPr>
                <w:sz w:val="18"/>
                <w:szCs w:val="18"/>
              </w:rPr>
            </w:pPr>
            <w:r>
              <w:rPr>
                <w:spacing w:val="-3"/>
                <w:sz w:val="18"/>
                <w:szCs w:val="18"/>
              </w:rPr>
              <w:t>191978.0</w:t>
            </w:r>
          </w:p>
        </w:tc>
        <w:tc>
          <w:tcPr>
            <w:tcW w:w="843" w:type="dxa"/>
            <w:vAlign w:val="top"/>
          </w:tcPr>
          <w:p>
            <w:pPr>
              <w:rPr>
                <w:rFonts w:ascii="Arial"/>
                <w:sz w:val="21"/>
              </w:rPr>
            </w:pPr>
          </w:p>
        </w:tc>
        <w:tc>
          <w:tcPr>
            <w:tcW w:w="812" w:type="dxa"/>
            <w:vAlign w:val="top"/>
          </w:tcPr>
          <w:p>
            <w:pPr>
              <w:spacing w:line="256" w:lineRule="auto"/>
              <w:rPr>
                <w:rFonts w:ascii="Arial"/>
                <w:sz w:val="21"/>
              </w:rPr>
            </w:pPr>
          </w:p>
          <w:p>
            <w:pPr>
              <w:pStyle w:val="6"/>
              <w:spacing w:before="52" w:line="188" w:lineRule="auto"/>
              <w:ind w:left="177"/>
              <w:rPr>
                <w:sz w:val="18"/>
                <w:szCs w:val="18"/>
              </w:rPr>
            </w:pPr>
            <w:r>
              <w:rPr>
                <w:spacing w:val="-4"/>
                <w:sz w:val="18"/>
                <w:szCs w:val="18"/>
              </w:rPr>
              <w:t>1845.0</w:t>
            </w:r>
          </w:p>
        </w:tc>
        <w:tc>
          <w:tcPr>
            <w:tcW w:w="750" w:type="dxa"/>
            <w:vAlign w:val="top"/>
          </w:tcPr>
          <w:p>
            <w:pPr>
              <w:rPr>
                <w:rFonts w:ascii="Arial"/>
                <w:sz w:val="21"/>
              </w:rPr>
            </w:pPr>
          </w:p>
        </w:tc>
        <w:tc>
          <w:tcPr>
            <w:tcW w:w="1762" w:type="dxa"/>
            <w:vAlign w:val="top"/>
          </w:tcPr>
          <w:p>
            <w:pPr>
              <w:rPr>
                <w:rFonts w:ascii="Arial"/>
                <w:sz w:val="21"/>
              </w:rPr>
            </w:pPr>
          </w:p>
        </w:tc>
        <w:tc>
          <w:tcPr>
            <w:tcW w:w="739" w:type="dxa"/>
            <w:vAlign w:val="top"/>
          </w:tcPr>
          <w:p>
            <w:pPr>
              <w:rPr>
                <w:rFonts w:ascii="Arial"/>
                <w:sz w:val="21"/>
              </w:rPr>
            </w:pPr>
          </w:p>
        </w:tc>
        <w:tc>
          <w:tcPr>
            <w:tcW w:w="1165"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spacing w:line="256" w:lineRule="auto"/>
              <w:rPr>
                <w:rFonts w:ascii="Arial"/>
                <w:sz w:val="21"/>
              </w:rPr>
            </w:pPr>
          </w:p>
          <w:p>
            <w:pPr>
              <w:pStyle w:val="6"/>
              <w:spacing w:before="52" w:line="188" w:lineRule="auto"/>
              <w:ind w:left="200"/>
              <w:rPr>
                <w:sz w:val="18"/>
                <w:szCs w:val="18"/>
              </w:rPr>
            </w:pPr>
            <w:r>
              <w:rPr>
                <w:spacing w:val="-3"/>
                <w:sz w:val="18"/>
                <w:szCs w:val="18"/>
              </w:rPr>
              <w:t>190133.0</w:t>
            </w:r>
          </w:p>
        </w:tc>
        <w:tc>
          <w:tcPr>
            <w:tcW w:w="897" w:type="dxa"/>
            <w:vAlign w:val="top"/>
          </w:tcPr>
          <w:p>
            <w:pPr>
              <w:spacing w:line="256" w:lineRule="auto"/>
              <w:rPr>
                <w:rFonts w:ascii="Arial"/>
                <w:sz w:val="21"/>
              </w:rPr>
            </w:pPr>
          </w:p>
          <w:p>
            <w:pPr>
              <w:pStyle w:val="6"/>
              <w:spacing w:before="52" w:line="188" w:lineRule="auto"/>
              <w:ind w:left="113"/>
              <w:rPr>
                <w:sz w:val="18"/>
                <w:szCs w:val="18"/>
              </w:rPr>
            </w:pPr>
            <w:r>
              <w:rPr>
                <w:spacing w:val="-1"/>
                <w:sz w:val="18"/>
                <w:szCs w:val="18"/>
              </w:rPr>
              <w:t>237666.3</w:t>
            </w:r>
          </w:p>
        </w:tc>
        <w:tc>
          <w:tcPr>
            <w:tcW w:w="1036" w:type="dxa"/>
            <w:tcBorders>
              <w:right w:val="nil"/>
            </w:tcBorders>
            <w:vAlign w:val="top"/>
          </w:tcPr>
          <w:p>
            <w:pPr>
              <w:pStyle w:val="6"/>
              <w:spacing w:before="76" w:line="180" w:lineRule="auto"/>
              <w:ind w:left="264"/>
              <w:rPr>
                <w:rFonts w:ascii="仿宋" w:hAnsi="仿宋" w:eastAsia="仿宋" w:cs="仿宋"/>
                <w:sz w:val="18"/>
                <w:szCs w:val="18"/>
              </w:rPr>
            </w:pPr>
            <w:r>
              <w:rPr>
                <w:spacing w:val="-5"/>
                <w:sz w:val="18"/>
                <w:szCs w:val="18"/>
              </w:rPr>
              <w:t>4-</w:t>
            </w:r>
            <w:r>
              <w:rPr>
                <w:spacing w:val="-24"/>
                <w:sz w:val="18"/>
                <w:szCs w:val="18"/>
              </w:rPr>
              <w:t xml:space="preserve"> </w:t>
            </w:r>
            <w:r>
              <w:rPr>
                <w:spacing w:val="-5"/>
                <w:sz w:val="18"/>
                <w:szCs w:val="18"/>
              </w:rPr>
              <w:t>12</w:t>
            </w:r>
            <w:r>
              <w:rPr>
                <w:rFonts w:ascii="仿宋" w:hAnsi="仿宋" w:eastAsia="仿宋" w:cs="仿宋"/>
                <w:spacing w:val="-5"/>
                <w:sz w:val="18"/>
                <w:szCs w:val="18"/>
              </w:rPr>
              <w:t>、</w:t>
            </w:r>
          </w:p>
          <w:p>
            <w:pPr>
              <w:pStyle w:val="6"/>
              <w:spacing w:before="25" w:line="233" w:lineRule="auto"/>
              <w:ind w:left="173"/>
              <w:rPr>
                <w:rFonts w:ascii="仿宋" w:hAnsi="仿宋" w:eastAsia="仿宋" w:cs="仿宋"/>
                <w:sz w:val="18"/>
                <w:szCs w:val="18"/>
              </w:rPr>
            </w:pPr>
            <w:r>
              <w:rPr>
                <w:spacing w:val="-4"/>
                <w:sz w:val="18"/>
                <w:szCs w:val="18"/>
              </w:rPr>
              <w:t>14~16#</w:t>
            </w:r>
            <w:r>
              <w:rPr>
                <w:rFonts w:ascii="仿宋" w:hAnsi="仿宋" w:eastAsia="仿宋" w:cs="仿宋"/>
                <w:spacing w:val="-4"/>
                <w:sz w:val="18"/>
                <w:szCs w:val="18"/>
              </w:rPr>
              <w:t>弃</w:t>
            </w:r>
          </w:p>
          <w:p>
            <w:pPr>
              <w:spacing w:before="7" w:line="185" w:lineRule="auto"/>
              <w:ind w:left="348"/>
              <w:rPr>
                <w:rFonts w:ascii="仿宋" w:hAnsi="仿宋" w:eastAsia="仿宋" w:cs="仿宋"/>
                <w:sz w:val="18"/>
                <w:szCs w:val="18"/>
              </w:rPr>
            </w:pPr>
            <w:r>
              <w:rPr>
                <w:rFonts w:ascii="仿宋" w:hAnsi="仿宋" w:eastAsia="仿宋" w:cs="仿宋"/>
                <w:spacing w:val="-4"/>
                <w:sz w:val="18"/>
                <w:szCs w:val="18"/>
              </w:rPr>
              <w:t>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0" w:hRule="atLeast"/>
        </w:trPr>
        <w:tc>
          <w:tcPr>
            <w:tcW w:w="777" w:type="dxa"/>
            <w:vMerge w:val="continue"/>
            <w:tcBorders>
              <w:top w:val="nil"/>
              <w:left w:val="nil"/>
            </w:tcBorders>
            <w:vAlign w:val="top"/>
          </w:tcPr>
          <w:p>
            <w:pPr>
              <w:rPr>
                <w:rFonts w:ascii="Arial"/>
                <w:sz w:val="21"/>
              </w:rPr>
            </w:pPr>
          </w:p>
        </w:tc>
        <w:tc>
          <w:tcPr>
            <w:tcW w:w="1383" w:type="dxa"/>
            <w:vAlign w:val="top"/>
          </w:tcPr>
          <w:p>
            <w:pPr>
              <w:spacing w:before="164" w:line="219" w:lineRule="auto"/>
              <w:ind w:left="341"/>
              <w:rPr>
                <w:rFonts w:ascii="仿宋" w:hAnsi="仿宋" w:eastAsia="仿宋" w:cs="仿宋"/>
                <w:sz w:val="18"/>
                <w:szCs w:val="18"/>
              </w:rPr>
            </w:pPr>
            <w:r>
              <w:rPr>
                <w:rFonts w:ascii="仿宋" w:hAnsi="仿宋" w:eastAsia="仿宋" w:cs="仿宋"/>
                <w:spacing w:val="-3"/>
                <w:sz w:val="18"/>
                <w:szCs w:val="18"/>
              </w:rPr>
              <w:t>输水管道</w:t>
            </w:r>
          </w:p>
        </w:tc>
        <w:tc>
          <w:tcPr>
            <w:tcW w:w="909" w:type="dxa"/>
            <w:vAlign w:val="top"/>
          </w:tcPr>
          <w:p>
            <w:pPr>
              <w:pStyle w:val="6"/>
              <w:spacing w:before="194" w:line="188" w:lineRule="auto"/>
              <w:ind w:left="167"/>
              <w:rPr>
                <w:sz w:val="18"/>
                <w:szCs w:val="18"/>
              </w:rPr>
            </w:pPr>
            <w:r>
              <w:rPr>
                <w:spacing w:val="-2"/>
                <w:sz w:val="18"/>
                <w:szCs w:val="18"/>
              </w:rPr>
              <w:t>33675.0</w:t>
            </w:r>
          </w:p>
        </w:tc>
        <w:tc>
          <w:tcPr>
            <w:tcW w:w="843" w:type="dxa"/>
            <w:vAlign w:val="top"/>
          </w:tcPr>
          <w:p>
            <w:pPr>
              <w:pStyle w:val="6"/>
              <w:spacing w:before="194" w:line="188" w:lineRule="auto"/>
              <w:ind w:left="193"/>
              <w:rPr>
                <w:sz w:val="18"/>
                <w:szCs w:val="18"/>
              </w:rPr>
            </w:pPr>
            <w:r>
              <w:rPr>
                <w:spacing w:val="-4"/>
                <w:sz w:val="18"/>
                <w:szCs w:val="18"/>
              </w:rPr>
              <w:t>1220.0</w:t>
            </w:r>
          </w:p>
        </w:tc>
        <w:tc>
          <w:tcPr>
            <w:tcW w:w="812" w:type="dxa"/>
            <w:vAlign w:val="top"/>
          </w:tcPr>
          <w:p>
            <w:pPr>
              <w:pStyle w:val="6"/>
              <w:spacing w:before="194" w:line="188" w:lineRule="auto"/>
              <w:ind w:left="118"/>
              <w:rPr>
                <w:sz w:val="18"/>
                <w:szCs w:val="18"/>
              </w:rPr>
            </w:pPr>
            <w:r>
              <w:rPr>
                <w:spacing w:val="-2"/>
                <w:sz w:val="18"/>
                <w:szCs w:val="18"/>
              </w:rPr>
              <w:t>24114.0</w:t>
            </w:r>
          </w:p>
        </w:tc>
        <w:tc>
          <w:tcPr>
            <w:tcW w:w="750" w:type="dxa"/>
            <w:vAlign w:val="top"/>
          </w:tcPr>
          <w:p>
            <w:pPr>
              <w:pStyle w:val="6"/>
              <w:spacing w:before="194" w:line="188" w:lineRule="auto"/>
              <w:ind w:left="146"/>
              <w:rPr>
                <w:sz w:val="18"/>
                <w:szCs w:val="18"/>
              </w:rPr>
            </w:pPr>
            <w:r>
              <w:rPr>
                <w:spacing w:val="-4"/>
                <w:sz w:val="18"/>
                <w:szCs w:val="18"/>
              </w:rPr>
              <w:t>1220.0</w:t>
            </w:r>
          </w:p>
        </w:tc>
        <w:tc>
          <w:tcPr>
            <w:tcW w:w="1762" w:type="dxa"/>
            <w:vAlign w:val="top"/>
          </w:tcPr>
          <w:p>
            <w:pPr>
              <w:pStyle w:val="6"/>
              <w:spacing w:before="48" w:line="211" w:lineRule="auto"/>
              <w:ind w:left="172" w:right="148" w:firstLine="1"/>
              <w:rPr>
                <w:rFonts w:ascii="仿宋" w:hAnsi="仿宋" w:eastAsia="仿宋" w:cs="仿宋"/>
                <w:sz w:val="18"/>
                <w:szCs w:val="18"/>
              </w:rPr>
            </w:pPr>
            <w:r>
              <w:rPr>
                <w:spacing w:val="-2"/>
                <w:sz w:val="18"/>
                <w:szCs w:val="18"/>
              </w:rPr>
              <w:t>17-20#</w:t>
            </w:r>
            <w:r>
              <w:rPr>
                <w:rFonts w:ascii="仿宋" w:hAnsi="仿宋" w:eastAsia="仿宋" w:cs="仿宋"/>
                <w:spacing w:val="-2"/>
                <w:sz w:val="18"/>
                <w:szCs w:val="18"/>
              </w:rPr>
              <w:t>临时堆土场</w:t>
            </w:r>
            <w:r>
              <w:rPr>
                <w:spacing w:val="-2"/>
                <w:sz w:val="18"/>
                <w:szCs w:val="18"/>
              </w:rPr>
              <w:t>,</w:t>
            </w:r>
            <w:r>
              <w:rPr>
                <w:spacing w:val="2"/>
                <w:sz w:val="18"/>
                <w:szCs w:val="18"/>
              </w:rPr>
              <w:t xml:space="preserve"> </w:t>
            </w:r>
            <w:r>
              <w:rPr>
                <w:rFonts w:ascii="仿宋" w:hAnsi="仿宋" w:eastAsia="仿宋" w:cs="仿宋"/>
                <w:spacing w:val="-2"/>
                <w:sz w:val="18"/>
                <w:szCs w:val="18"/>
              </w:rPr>
              <w:t>用于后期绿化覆土</w:t>
            </w:r>
          </w:p>
        </w:tc>
        <w:tc>
          <w:tcPr>
            <w:tcW w:w="739" w:type="dxa"/>
            <w:vAlign w:val="top"/>
          </w:tcPr>
          <w:p>
            <w:pPr>
              <w:rPr>
                <w:rFonts w:ascii="Arial"/>
                <w:sz w:val="21"/>
              </w:rPr>
            </w:pPr>
          </w:p>
        </w:tc>
        <w:tc>
          <w:tcPr>
            <w:tcW w:w="1165"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pStyle w:val="6"/>
              <w:spacing w:before="194" w:line="188" w:lineRule="auto"/>
              <w:ind w:left="276"/>
              <w:rPr>
                <w:sz w:val="18"/>
                <w:szCs w:val="18"/>
              </w:rPr>
            </w:pPr>
            <w:r>
              <w:rPr>
                <w:spacing w:val="-2"/>
                <w:sz w:val="18"/>
                <w:szCs w:val="18"/>
              </w:rPr>
              <w:t>9561.0</w:t>
            </w:r>
          </w:p>
        </w:tc>
        <w:tc>
          <w:tcPr>
            <w:tcW w:w="897" w:type="dxa"/>
            <w:vAlign w:val="top"/>
          </w:tcPr>
          <w:p>
            <w:pPr>
              <w:pStyle w:val="6"/>
              <w:spacing w:before="194" w:line="188" w:lineRule="auto"/>
              <w:ind w:left="178"/>
              <w:rPr>
                <w:sz w:val="18"/>
                <w:szCs w:val="18"/>
              </w:rPr>
            </w:pPr>
            <w:r>
              <w:rPr>
                <w:spacing w:val="-4"/>
                <w:sz w:val="18"/>
                <w:szCs w:val="18"/>
              </w:rPr>
              <w:t>11951.3</w:t>
            </w:r>
          </w:p>
        </w:tc>
        <w:tc>
          <w:tcPr>
            <w:tcW w:w="1036" w:type="dxa"/>
            <w:tcBorders>
              <w:right w:val="nil"/>
            </w:tcBorders>
            <w:vAlign w:val="top"/>
          </w:tcPr>
          <w:p>
            <w:pPr>
              <w:pStyle w:val="6"/>
              <w:spacing w:before="164" w:line="219" w:lineRule="auto"/>
              <w:ind w:left="132"/>
              <w:rPr>
                <w:rFonts w:ascii="仿宋" w:hAnsi="仿宋" w:eastAsia="仿宋" w:cs="仿宋"/>
                <w:sz w:val="18"/>
                <w:szCs w:val="18"/>
              </w:rPr>
            </w:pPr>
            <w:r>
              <w:rPr>
                <w:spacing w:val="-4"/>
                <w:sz w:val="18"/>
                <w:szCs w:val="18"/>
              </w:rPr>
              <w:t>15#</w:t>
            </w:r>
            <w:r>
              <w:rPr>
                <w:rFonts w:ascii="仿宋" w:hAnsi="仿宋" w:eastAsia="仿宋" w:cs="仿宋"/>
                <w:spacing w:val="-4"/>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7" w:hRule="atLeast"/>
        </w:trPr>
        <w:tc>
          <w:tcPr>
            <w:tcW w:w="777" w:type="dxa"/>
            <w:vMerge w:val="restart"/>
            <w:tcBorders>
              <w:left w:val="nil"/>
              <w:bottom w:val="nil"/>
            </w:tcBorders>
            <w:vAlign w:val="top"/>
          </w:tcPr>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line="281" w:lineRule="auto"/>
              <w:rPr>
                <w:rFonts w:ascii="Arial"/>
                <w:sz w:val="21"/>
              </w:rPr>
            </w:pPr>
          </w:p>
          <w:p>
            <w:pPr>
              <w:spacing w:before="58" w:line="216" w:lineRule="auto"/>
              <w:ind w:left="130"/>
              <w:rPr>
                <w:rFonts w:ascii="仿宋" w:hAnsi="仿宋" w:eastAsia="仿宋" w:cs="仿宋"/>
                <w:sz w:val="18"/>
                <w:szCs w:val="18"/>
              </w:rPr>
            </w:pPr>
            <w:r>
              <w:rPr>
                <w:rFonts w:ascii="仿宋" w:hAnsi="仿宋" w:eastAsia="仿宋" w:cs="仿宋"/>
                <w:spacing w:val="-3"/>
                <w:sz w:val="18"/>
                <w:szCs w:val="18"/>
              </w:rPr>
              <w:t>料场区</w:t>
            </w:r>
          </w:p>
        </w:tc>
        <w:tc>
          <w:tcPr>
            <w:tcW w:w="1383" w:type="dxa"/>
            <w:vMerge w:val="restart"/>
            <w:tcBorders>
              <w:bottom w:val="nil"/>
            </w:tcBorders>
            <w:vAlign w:val="top"/>
          </w:tcPr>
          <w:p>
            <w:pPr>
              <w:spacing w:line="318" w:lineRule="auto"/>
              <w:rPr>
                <w:rFonts w:ascii="Arial"/>
                <w:sz w:val="21"/>
              </w:rPr>
            </w:pPr>
          </w:p>
          <w:p>
            <w:pPr>
              <w:spacing w:before="58" w:line="216" w:lineRule="auto"/>
              <w:ind w:left="340"/>
              <w:rPr>
                <w:rFonts w:ascii="仿宋" w:hAnsi="仿宋" w:eastAsia="仿宋" w:cs="仿宋"/>
                <w:sz w:val="18"/>
                <w:szCs w:val="18"/>
              </w:rPr>
            </w:pPr>
            <w:r>
              <w:rPr>
                <w:rFonts w:ascii="仿宋" w:hAnsi="仿宋" w:eastAsia="仿宋" w:cs="仿宋"/>
                <w:spacing w:val="-3"/>
                <w:sz w:val="18"/>
                <w:szCs w:val="18"/>
              </w:rPr>
              <w:t>粘土料场</w:t>
            </w:r>
          </w:p>
        </w:tc>
        <w:tc>
          <w:tcPr>
            <w:tcW w:w="909" w:type="dxa"/>
            <w:vMerge w:val="restart"/>
            <w:tcBorders>
              <w:bottom w:val="nil"/>
            </w:tcBorders>
            <w:vAlign w:val="top"/>
          </w:tcPr>
          <w:p>
            <w:pPr>
              <w:spacing w:line="354" w:lineRule="auto"/>
              <w:rPr>
                <w:rFonts w:ascii="Arial"/>
                <w:sz w:val="21"/>
              </w:rPr>
            </w:pPr>
          </w:p>
          <w:p>
            <w:pPr>
              <w:pStyle w:val="6"/>
              <w:spacing w:before="52" w:line="188" w:lineRule="auto"/>
              <w:ind w:left="163"/>
              <w:rPr>
                <w:sz w:val="18"/>
                <w:szCs w:val="18"/>
              </w:rPr>
            </w:pPr>
            <w:r>
              <w:rPr>
                <w:spacing w:val="-1"/>
                <w:sz w:val="18"/>
                <w:szCs w:val="18"/>
              </w:rPr>
              <w:t>27640.4</w:t>
            </w:r>
          </w:p>
        </w:tc>
        <w:tc>
          <w:tcPr>
            <w:tcW w:w="843" w:type="dxa"/>
            <w:vMerge w:val="restart"/>
            <w:tcBorders>
              <w:bottom w:val="nil"/>
            </w:tcBorders>
            <w:vAlign w:val="top"/>
          </w:tcPr>
          <w:p>
            <w:pPr>
              <w:spacing w:line="354" w:lineRule="auto"/>
              <w:rPr>
                <w:rFonts w:ascii="Arial"/>
                <w:sz w:val="21"/>
              </w:rPr>
            </w:pPr>
          </w:p>
          <w:p>
            <w:pPr>
              <w:pStyle w:val="6"/>
              <w:spacing w:before="52" w:line="188" w:lineRule="auto"/>
              <w:ind w:left="130"/>
              <w:rPr>
                <w:sz w:val="18"/>
                <w:szCs w:val="18"/>
              </w:rPr>
            </w:pPr>
            <w:r>
              <w:rPr>
                <w:spacing w:val="-1"/>
                <w:sz w:val="18"/>
                <w:szCs w:val="18"/>
              </w:rPr>
              <w:t>28572.0</w:t>
            </w:r>
          </w:p>
        </w:tc>
        <w:tc>
          <w:tcPr>
            <w:tcW w:w="812" w:type="dxa"/>
            <w:vMerge w:val="restart"/>
            <w:tcBorders>
              <w:bottom w:val="nil"/>
            </w:tcBorders>
            <w:vAlign w:val="top"/>
          </w:tcPr>
          <w:p>
            <w:pPr>
              <w:rPr>
                <w:rFonts w:ascii="Arial"/>
                <w:sz w:val="21"/>
              </w:rPr>
            </w:pPr>
          </w:p>
        </w:tc>
        <w:tc>
          <w:tcPr>
            <w:tcW w:w="750" w:type="dxa"/>
            <w:vAlign w:val="top"/>
          </w:tcPr>
          <w:p>
            <w:pPr>
              <w:pStyle w:val="6"/>
              <w:spacing w:before="65" w:line="198" w:lineRule="auto"/>
              <w:ind w:left="334" w:right="123" w:hanging="187"/>
              <w:rPr>
                <w:sz w:val="18"/>
                <w:szCs w:val="18"/>
              </w:rPr>
            </w:pPr>
            <w:r>
              <w:rPr>
                <w:spacing w:val="-4"/>
                <w:sz w:val="18"/>
                <w:szCs w:val="18"/>
              </w:rPr>
              <w:t>17966.</w:t>
            </w:r>
            <w:r>
              <w:rPr>
                <w:spacing w:val="1"/>
                <w:sz w:val="18"/>
                <w:szCs w:val="18"/>
              </w:rPr>
              <w:t xml:space="preserve"> </w:t>
            </w:r>
            <w:r>
              <w:rPr>
                <w:sz w:val="18"/>
                <w:szCs w:val="18"/>
              </w:rPr>
              <w:t>3</w:t>
            </w:r>
          </w:p>
        </w:tc>
        <w:tc>
          <w:tcPr>
            <w:tcW w:w="1762" w:type="dxa"/>
            <w:vAlign w:val="top"/>
          </w:tcPr>
          <w:p>
            <w:pPr>
              <w:spacing w:before="139" w:line="216" w:lineRule="auto"/>
              <w:ind w:left="374"/>
              <w:rPr>
                <w:rFonts w:ascii="仿宋" w:hAnsi="仿宋" w:eastAsia="仿宋" w:cs="仿宋"/>
                <w:sz w:val="18"/>
                <w:szCs w:val="18"/>
              </w:rPr>
            </w:pPr>
            <w:r>
              <w:rPr>
                <w:rFonts w:ascii="仿宋" w:hAnsi="仿宋" w:eastAsia="仿宋" w:cs="仿宋"/>
                <w:spacing w:val="-5"/>
                <w:sz w:val="18"/>
                <w:szCs w:val="18"/>
              </w:rPr>
              <w:t>回填料场底部</w:t>
            </w:r>
          </w:p>
        </w:tc>
        <w:tc>
          <w:tcPr>
            <w:tcW w:w="739" w:type="dxa"/>
            <w:vAlign w:val="top"/>
          </w:tcPr>
          <w:p>
            <w:pPr>
              <w:rPr>
                <w:rFonts w:ascii="Arial"/>
                <w:sz w:val="21"/>
              </w:rPr>
            </w:pPr>
          </w:p>
        </w:tc>
        <w:tc>
          <w:tcPr>
            <w:tcW w:w="1165"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Merge w:val="restart"/>
            <w:tcBorders>
              <w:bottom w:val="nil"/>
            </w:tcBorders>
            <w:vAlign w:val="top"/>
          </w:tcPr>
          <w:p>
            <w:pPr>
              <w:spacing w:line="354" w:lineRule="auto"/>
              <w:rPr>
                <w:rFonts w:ascii="Arial"/>
                <w:sz w:val="21"/>
              </w:rPr>
            </w:pPr>
          </w:p>
          <w:p>
            <w:pPr>
              <w:pStyle w:val="6"/>
              <w:spacing w:before="52" w:line="188" w:lineRule="auto"/>
              <w:ind w:left="276"/>
              <w:rPr>
                <w:sz w:val="18"/>
                <w:szCs w:val="18"/>
              </w:rPr>
            </w:pPr>
            <w:r>
              <w:rPr>
                <w:spacing w:val="-2"/>
                <w:sz w:val="18"/>
                <w:szCs w:val="18"/>
              </w:rPr>
              <w:t>9674.1</w:t>
            </w:r>
          </w:p>
        </w:tc>
        <w:tc>
          <w:tcPr>
            <w:tcW w:w="897" w:type="dxa"/>
            <w:vMerge w:val="restart"/>
            <w:tcBorders>
              <w:bottom w:val="nil"/>
            </w:tcBorders>
            <w:vAlign w:val="top"/>
          </w:tcPr>
          <w:p>
            <w:pPr>
              <w:spacing w:line="354" w:lineRule="auto"/>
              <w:rPr>
                <w:rFonts w:ascii="Arial"/>
                <w:sz w:val="21"/>
              </w:rPr>
            </w:pPr>
          </w:p>
          <w:p>
            <w:pPr>
              <w:pStyle w:val="6"/>
              <w:spacing w:before="52" w:line="188" w:lineRule="auto"/>
              <w:ind w:left="174"/>
              <w:rPr>
                <w:sz w:val="18"/>
                <w:szCs w:val="18"/>
              </w:rPr>
            </w:pPr>
            <w:r>
              <w:rPr>
                <w:spacing w:val="-3"/>
                <w:sz w:val="18"/>
                <w:szCs w:val="18"/>
              </w:rPr>
              <w:t>12092.7</w:t>
            </w:r>
          </w:p>
        </w:tc>
        <w:tc>
          <w:tcPr>
            <w:tcW w:w="1036" w:type="dxa"/>
            <w:vMerge w:val="restart"/>
            <w:tcBorders>
              <w:bottom w:val="nil"/>
              <w:right w:val="nil"/>
            </w:tcBorders>
            <w:vAlign w:val="top"/>
          </w:tcPr>
          <w:p>
            <w:pPr>
              <w:spacing w:line="317" w:lineRule="auto"/>
              <w:rPr>
                <w:rFonts w:ascii="Arial"/>
                <w:sz w:val="21"/>
              </w:rPr>
            </w:pPr>
          </w:p>
          <w:p>
            <w:pPr>
              <w:pStyle w:val="6"/>
              <w:spacing w:before="59" w:line="219" w:lineRule="auto"/>
              <w:ind w:left="159"/>
              <w:rPr>
                <w:rFonts w:ascii="仿宋" w:hAnsi="仿宋" w:eastAsia="仿宋" w:cs="仿宋"/>
                <w:sz w:val="18"/>
                <w:szCs w:val="18"/>
              </w:rPr>
            </w:pPr>
            <w:r>
              <w:rPr>
                <w:spacing w:val="-1"/>
                <w:sz w:val="18"/>
                <w:szCs w:val="18"/>
              </w:rPr>
              <w:t>2#</w:t>
            </w:r>
            <w:r>
              <w:rPr>
                <w:rFonts w:ascii="仿宋" w:hAnsi="仿宋" w:eastAsia="仿宋" w:cs="仿宋"/>
                <w:spacing w:val="-1"/>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1" w:hRule="atLeast"/>
        </w:trPr>
        <w:tc>
          <w:tcPr>
            <w:tcW w:w="777" w:type="dxa"/>
            <w:vMerge w:val="continue"/>
            <w:tcBorders>
              <w:top w:val="nil"/>
              <w:left w:val="nil"/>
              <w:bottom w:val="nil"/>
            </w:tcBorders>
            <w:vAlign w:val="top"/>
          </w:tcPr>
          <w:p>
            <w:pPr>
              <w:rPr>
                <w:rFonts w:ascii="Arial"/>
                <w:sz w:val="21"/>
              </w:rPr>
            </w:pPr>
          </w:p>
        </w:tc>
        <w:tc>
          <w:tcPr>
            <w:tcW w:w="1383" w:type="dxa"/>
            <w:vMerge w:val="continue"/>
            <w:tcBorders>
              <w:top w:val="nil"/>
            </w:tcBorders>
            <w:vAlign w:val="top"/>
          </w:tcPr>
          <w:p>
            <w:pPr>
              <w:rPr>
                <w:rFonts w:ascii="Arial"/>
                <w:sz w:val="21"/>
              </w:rPr>
            </w:pPr>
          </w:p>
        </w:tc>
        <w:tc>
          <w:tcPr>
            <w:tcW w:w="909" w:type="dxa"/>
            <w:vMerge w:val="continue"/>
            <w:tcBorders>
              <w:top w:val="nil"/>
            </w:tcBorders>
            <w:vAlign w:val="top"/>
          </w:tcPr>
          <w:p>
            <w:pPr>
              <w:rPr>
                <w:rFonts w:ascii="Arial"/>
                <w:sz w:val="21"/>
              </w:rPr>
            </w:pPr>
          </w:p>
        </w:tc>
        <w:tc>
          <w:tcPr>
            <w:tcW w:w="843"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750" w:type="dxa"/>
            <w:vAlign w:val="top"/>
          </w:tcPr>
          <w:p>
            <w:pPr>
              <w:pStyle w:val="6"/>
              <w:spacing w:before="95" w:line="212" w:lineRule="auto"/>
              <w:ind w:left="334" w:right="123" w:hanging="204"/>
              <w:rPr>
                <w:sz w:val="18"/>
                <w:szCs w:val="18"/>
              </w:rPr>
            </w:pPr>
            <w:r>
              <w:rPr>
                <w:spacing w:val="-1"/>
                <w:sz w:val="18"/>
                <w:szCs w:val="18"/>
              </w:rPr>
              <w:t>28572.</w:t>
            </w:r>
            <w:r>
              <w:rPr>
                <w:spacing w:val="1"/>
                <w:sz w:val="18"/>
                <w:szCs w:val="18"/>
              </w:rPr>
              <w:t xml:space="preserve"> </w:t>
            </w:r>
            <w:r>
              <w:rPr>
                <w:sz w:val="18"/>
                <w:szCs w:val="18"/>
              </w:rPr>
              <w:t>0</w:t>
            </w:r>
          </w:p>
        </w:tc>
        <w:tc>
          <w:tcPr>
            <w:tcW w:w="1762" w:type="dxa"/>
            <w:vAlign w:val="top"/>
          </w:tcPr>
          <w:p>
            <w:pPr>
              <w:pStyle w:val="6"/>
              <w:spacing w:before="51" w:line="210" w:lineRule="auto"/>
              <w:ind w:left="353" w:right="135" w:hanging="213"/>
              <w:rPr>
                <w:rFonts w:ascii="仿宋" w:hAnsi="仿宋" w:eastAsia="仿宋" w:cs="仿宋"/>
                <w:sz w:val="18"/>
                <w:szCs w:val="18"/>
              </w:rPr>
            </w:pPr>
            <w:r>
              <w:rPr>
                <w:spacing w:val="-1"/>
                <w:sz w:val="18"/>
                <w:szCs w:val="18"/>
              </w:rPr>
              <w:t>4#</w:t>
            </w:r>
            <w:r>
              <w:rPr>
                <w:rFonts w:ascii="仿宋" w:hAnsi="仿宋" w:eastAsia="仿宋" w:cs="仿宋"/>
                <w:spacing w:val="-1"/>
                <w:sz w:val="18"/>
                <w:szCs w:val="18"/>
              </w:rPr>
              <w:t>临时堆土场</w:t>
            </w:r>
            <w:r>
              <w:rPr>
                <w:spacing w:val="-1"/>
                <w:sz w:val="18"/>
                <w:szCs w:val="18"/>
              </w:rPr>
              <w:t>,</w:t>
            </w:r>
            <w:r>
              <w:rPr>
                <w:rFonts w:ascii="仿宋" w:hAnsi="仿宋" w:eastAsia="仿宋" w:cs="仿宋"/>
                <w:spacing w:val="-1"/>
                <w:sz w:val="18"/>
                <w:szCs w:val="18"/>
              </w:rPr>
              <w:t>用于</w:t>
            </w:r>
            <w:r>
              <w:rPr>
                <w:rFonts w:ascii="仿宋" w:hAnsi="仿宋" w:eastAsia="仿宋" w:cs="仿宋"/>
                <w:spacing w:val="5"/>
                <w:sz w:val="18"/>
                <w:szCs w:val="18"/>
              </w:rPr>
              <w:t xml:space="preserve"> </w:t>
            </w:r>
            <w:r>
              <w:rPr>
                <w:rFonts w:ascii="仿宋" w:hAnsi="仿宋" w:eastAsia="仿宋" w:cs="仿宋"/>
                <w:spacing w:val="-2"/>
                <w:sz w:val="18"/>
                <w:szCs w:val="18"/>
              </w:rPr>
              <w:t>后期绿化覆土</w:t>
            </w:r>
          </w:p>
        </w:tc>
        <w:tc>
          <w:tcPr>
            <w:tcW w:w="739" w:type="dxa"/>
            <w:vAlign w:val="top"/>
          </w:tcPr>
          <w:p>
            <w:pPr>
              <w:rPr>
                <w:rFonts w:ascii="Arial"/>
                <w:sz w:val="21"/>
              </w:rPr>
            </w:pPr>
          </w:p>
        </w:tc>
        <w:tc>
          <w:tcPr>
            <w:tcW w:w="1165"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Merge w:val="continue"/>
            <w:tcBorders>
              <w:top w:val="nil"/>
            </w:tcBorders>
            <w:vAlign w:val="top"/>
          </w:tcPr>
          <w:p>
            <w:pPr>
              <w:rPr>
                <w:rFonts w:ascii="Arial"/>
                <w:sz w:val="21"/>
              </w:rPr>
            </w:pPr>
          </w:p>
        </w:tc>
        <w:tc>
          <w:tcPr>
            <w:tcW w:w="897" w:type="dxa"/>
            <w:vMerge w:val="continue"/>
            <w:tcBorders>
              <w:top w:val="nil"/>
            </w:tcBorders>
            <w:vAlign w:val="top"/>
          </w:tcPr>
          <w:p>
            <w:pPr>
              <w:rPr>
                <w:rFonts w:ascii="Arial"/>
                <w:sz w:val="21"/>
              </w:rPr>
            </w:pPr>
          </w:p>
        </w:tc>
        <w:tc>
          <w:tcPr>
            <w:tcW w:w="103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8" w:hRule="atLeast"/>
        </w:trPr>
        <w:tc>
          <w:tcPr>
            <w:tcW w:w="777" w:type="dxa"/>
            <w:vMerge w:val="continue"/>
            <w:tcBorders>
              <w:top w:val="nil"/>
              <w:left w:val="nil"/>
              <w:bottom w:val="nil"/>
            </w:tcBorders>
            <w:vAlign w:val="top"/>
          </w:tcPr>
          <w:p>
            <w:pPr>
              <w:rPr>
                <w:rFonts w:ascii="Arial"/>
                <w:sz w:val="21"/>
              </w:rPr>
            </w:pPr>
          </w:p>
        </w:tc>
        <w:tc>
          <w:tcPr>
            <w:tcW w:w="1383" w:type="dxa"/>
            <w:vMerge w:val="restart"/>
            <w:tcBorders>
              <w:bottom w:val="nil"/>
            </w:tcBorders>
            <w:vAlign w:val="top"/>
          </w:tcPr>
          <w:p>
            <w:pPr>
              <w:spacing w:before="290" w:line="216" w:lineRule="auto"/>
              <w:ind w:left="341"/>
              <w:rPr>
                <w:rFonts w:ascii="仿宋" w:hAnsi="仿宋" w:eastAsia="仿宋" w:cs="仿宋"/>
                <w:sz w:val="18"/>
                <w:szCs w:val="18"/>
              </w:rPr>
            </w:pPr>
            <w:r>
              <w:rPr>
                <w:rFonts w:ascii="仿宋" w:hAnsi="仿宋" w:eastAsia="仿宋" w:cs="仿宋"/>
                <w:spacing w:val="-3"/>
                <w:sz w:val="18"/>
                <w:szCs w:val="18"/>
              </w:rPr>
              <w:t>风化料场</w:t>
            </w:r>
          </w:p>
        </w:tc>
        <w:tc>
          <w:tcPr>
            <w:tcW w:w="909" w:type="dxa"/>
            <w:vMerge w:val="restart"/>
            <w:tcBorders>
              <w:bottom w:val="nil"/>
            </w:tcBorders>
            <w:vAlign w:val="top"/>
          </w:tcPr>
          <w:p>
            <w:pPr>
              <w:spacing w:line="268" w:lineRule="auto"/>
              <w:rPr>
                <w:rFonts w:ascii="Arial"/>
                <w:sz w:val="21"/>
              </w:rPr>
            </w:pPr>
          </w:p>
          <w:p>
            <w:pPr>
              <w:pStyle w:val="6"/>
              <w:spacing w:before="52" w:line="188" w:lineRule="auto"/>
              <w:ind w:left="168"/>
              <w:rPr>
                <w:sz w:val="18"/>
                <w:szCs w:val="18"/>
              </w:rPr>
            </w:pPr>
            <w:r>
              <w:rPr>
                <w:spacing w:val="-2"/>
                <w:sz w:val="18"/>
                <w:szCs w:val="18"/>
              </w:rPr>
              <w:t>53737.3</w:t>
            </w:r>
          </w:p>
        </w:tc>
        <w:tc>
          <w:tcPr>
            <w:tcW w:w="843" w:type="dxa"/>
            <w:vMerge w:val="restart"/>
            <w:tcBorders>
              <w:bottom w:val="nil"/>
            </w:tcBorders>
            <w:vAlign w:val="top"/>
          </w:tcPr>
          <w:p>
            <w:pPr>
              <w:spacing w:line="268" w:lineRule="auto"/>
              <w:rPr>
                <w:rFonts w:ascii="Arial"/>
                <w:sz w:val="21"/>
              </w:rPr>
            </w:pPr>
          </w:p>
          <w:p>
            <w:pPr>
              <w:pStyle w:val="6"/>
              <w:spacing w:before="52" w:line="188" w:lineRule="auto"/>
              <w:ind w:left="149"/>
              <w:rPr>
                <w:sz w:val="18"/>
                <w:szCs w:val="18"/>
              </w:rPr>
            </w:pPr>
            <w:r>
              <w:rPr>
                <w:spacing w:val="-3"/>
                <w:sz w:val="18"/>
                <w:szCs w:val="18"/>
              </w:rPr>
              <w:t>14224.0</w:t>
            </w:r>
          </w:p>
        </w:tc>
        <w:tc>
          <w:tcPr>
            <w:tcW w:w="812" w:type="dxa"/>
            <w:vMerge w:val="restart"/>
            <w:tcBorders>
              <w:bottom w:val="nil"/>
            </w:tcBorders>
            <w:vAlign w:val="top"/>
          </w:tcPr>
          <w:p>
            <w:pPr>
              <w:rPr>
                <w:rFonts w:ascii="Arial"/>
                <w:sz w:val="21"/>
              </w:rPr>
            </w:pPr>
          </w:p>
        </w:tc>
        <w:tc>
          <w:tcPr>
            <w:tcW w:w="750" w:type="dxa"/>
            <w:vAlign w:val="top"/>
          </w:tcPr>
          <w:p>
            <w:pPr>
              <w:pStyle w:val="6"/>
              <w:spacing w:before="83" w:line="168" w:lineRule="auto"/>
              <w:ind w:left="155"/>
              <w:rPr>
                <w:sz w:val="18"/>
                <w:szCs w:val="18"/>
              </w:rPr>
            </w:pPr>
            <w:r>
              <w:rPr>
                <w:spacing w:val="-2"/>
                <w:sz w:val="18"/>
                <w:szCs w:val="18"/>
              </w:rPr>
              <w:t>36440</w:t>
            </w:r>
          </w:p>
        </w:tc>
        <w:tc>
          <w:tcPr>
            <w:tcW w:w="1762" w:type="dxa"/>
            <w:vAlign w:val="top"/>
          </w:tcPr>
          <w:p>
            <w:pPr>
              <w:spacing w:before="52" w:line="180" w:lineRule="auto"/>
              <w:ind w:left="374"/>
              <w:rPr>
                <w:rFonts w:ascii="仿宋" w:hAnsi="仿宋" w:eastAsia="仿宋" w:cs="仿宋"/>
                <w:sz w:val="18"/>
                <w:szCs w:val="18"/>
              </w:rPr>
            </w:pPr>
            <w:r>
              <w:rPr>
                <w:rFonts w:ascii="仿宋" w:hAnsi="仿宋" w:eastAsia="仿宋" w:cs="仿宋"/>
                <w:spacing w:val="-5"/>
                <w:sz w:val="18"/>
                <w:szCs w:val="18"/>
              </w:rPr>
              <w:t>回填料场底部</w:t>
            </w:r>
          </w:p>
        </w:tc>
        <w:tc>
          <w:tcPr>
            <w:tcW w:w="739" w:type="dxa"/>
            <w:vAlign w:val="top"/>
          </w:tcPr>
          <w:p>
            <w:pPr>
              <w:spacing w:line="227" w:lineRule="exact"/>
              <w:rPr>
                <w:rFonts w:ascii="Arial"/>
                <w:sz w:val="19"/>
              </w:rPr>
            </w:pPr>
          </w:p>
        </w:tc>
        <w:tc>
          <w:tcPr>
            <w:tcW w:w="1165" w:type="dxa"/>
            <w:vAlign w:val="top"/>
          </w:tcPr>
          <w:p>
            <w:pPr>
              <w:spacing w:line="227" w:lineRule="exact"/>
              <w:rPr>
                <w:rFonts w:ascii="Arial"/>
                <w:sz w:val="19"/>
              </w:rPr>
            </w:pPr>
          </w:p>
        </w:tc>
        <w:tc>
          <w:tcPr>
            <w:tcW w:w="910" w:type="dxa"/>
            <w:vAlign w:val="top"/>
          </w:tcPr>
          <w:p>
            <w:pPr>
              <w:spacing w:line="227" w:lineRule="exact"/>
              <w:rPr>
                <w:rFonts w:ascii="Arial"/>
                <w:sz w:val="19"/>
              </w:rPr>
            </w:pPr>
          </w:p>
        </w:tc>
        <w:tc>
          <w:tcPr>
            <w:tcW w:w="983" w:type="dxa"/>
            <w:vAlign w:val="top"/>
          </w:tcPr>
          <w:p>
            <w:pPr>
              <w:spacing w:line="227" w:lineRule="exact"/>
              <w:rPr>
                <w:rFonts w:ascii="Arial"/>
                <w:sz w:val="19"/>
              </w:rPr>
            </w:pPr>
          </w:p>
        </w:tc>
        <w:tc>
          <w:tcPr>
            <w:tcW w:w="1036" w:type="dxa"/>
            <w:vMerge w:val="restart"/>
            <w:tcBorders>
              <w:bottom w:val="nil"/>
            </w:tcBorders>
            <w:vAlign w:val="top"/>
          </w:tcPr>
          <w:p>
            <w:pPr>
              <w:pStyle w:val="6"/>
              <w:spacing w:before="69" w:line="188" w:lineRule="auto"/>
              <w:ind w:left="128"/>
              <w:rPr>
                <w:sz w:val="18"/>
                <w:szCs w:val="18"/>
              </w:rPr>
            </w:pPr>
            <w:r>
              <w:rPr>
                <w:spacing w:val="-3"/>
                <w:sz w:val="18"/>
                <w:szCs w:val="18"/>
              </w:rPr>
              <w:t>17297.3</w:t>
            </w:r>
          </w:p>
        </w:tc>
        <w:tc>
          <w:tcPr>
            <w:tcW w:w="897" w:type="dxa"/>
            <w:vMerge w:val="restart"/>
            <w:tcBorders>
              <w:bottom w:val="nil"/>
            </w:tcBorders>
            <w:vAlign w:val="top"/>
          </w:tcPr>
          <w:p>
            <w:pPr>
              <w:pStyle w:val="6"/>
              <w:spacing w:before="69" w:line="188" w:lineRule="auto"/>
              <w:ind w:left="110"/>
              <w:rPr>
                <w:sz w:val="18"/>
                <w:szCs w:val="18"/>
              </w:rPr>
            </w:pPr>
            <w:r>
              <w:rPr>
                <w:spacing w:val="-1"/>
                <w:sz w:val="18"/>
                <w:szCs w:val="18"/>
              </w:rPr>
              <w:t>21621.7</w:t>
            </w:r>
          </w:p>
        </w:tc>
        <w:tc>
          <w:tcPr>
            <w:tcW w:w="1036" w:type="dxa"/>
            <w:vMerge w:val="restart"/>
            <w:tcBorders>
              <w:bottom w:val="nil"/>
              <w:right w:val="nil"/>
            </w:tcBorders>
            <w:vAlign w:val="top"/>
          </w:tcPr>
          <w:p>
            <w:pPr>
              <w:pStyle w:val="6"/>
              <w:spacing w:before="290" w:line="219" w:lineRule="auto"/>
              <w:ind w:left="176"/>
              <w:rPr>
                <w:rFonts w:ascii="仿宋" w:hAnsi="仿宋" w:eastAsia="仿宋" w:cs="仿宋"/>
                <w:sz w:val="18"/>
                <w:szCs w:val="18"/>
              </w:rPr>
            </w:pPr>
            <w:r>
              <w:rPr>
                <w:spacing w:val="-5"/>
                <w:sz w:val="18"/>
                <w:szCs w:val="18"/>
              </w:rPr>
              <w:t>1#</w:t>
            </w:r>
            <w:r>
              <w:rPr>
                <w:rFonts w:ascii="仿宋" w:hAnsi="仿宋" w:eastAsia="仿宋" w:cs="仿宋"/>
                <w:spacing w:val="-5"/>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0" w:hRule="atLeast"/>
        </w:trPr>
        <w:tc>
          <w:tcPr>
            <w:tcW w:w="777" w:type="dxa"/>
            <w:vMerge w:val="continue"/>
            <w:tcBorders>
              <w:top w:val="nil"/>
              <w:left w:val="nil"/>
              <w:bottom w:val="nil"/>
            </w:tcBorders>
            <w:vAlign w:val="top"/>
          </w:tcPr>
          <w:p>
            <w:pPr>
              <w:rPr>
                <w:rFonts w:ascii="Arial"/>
                <w:sz w:val="21"/>
              </w:rPr>
            </w:pPr>
          </w:p>
        </w:tc>
        <w:tc>
          <w:tcPr>
            <w:tcW w:w="1383" w:type="dxa"/>
            <w:vMerge w:val="continue"/>
            <w:tcBorders>
              <w:top w:val="nil"/>
            </w:tcBorders>
            <w:vAlign w:val="top"/>
          </w:tcPr>
          <w:p>
            <w:pPr>
              <w:rPr>
                <w:rFonts w:ascii="Arial"/>
                <w:sz w:val="21"/>
              </w:rPr>
            </w:pPr>
          </w:p>
        </w:tc>
        <w:tc>
          <w:tcPr>
            <w:tcW w:w="909" w:type="dxa"/>
            <w:vMerge w:val="continue"/>
            <w:tcBorders>
              <w:top w:val="nil"/>
            </w:tcBorders>
            <w:vAlign w:val="top"/>
          </w:tcPr>
          <w:p>
            <w:pPr>
              <w:rPr>
                <w:rFonts w:ascii="Arial"/>
                <w:sz w:val="21"/>
              </w:rPr>
            </w:pPr>
          </w:p>
        </w:tc>
        <w:tc>
          <w:tcPr>
            <w:tcW w:w="843" w:type="dxa"/>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750" w:type="dxa"/>
            <w:vAlign w:val="top"/>
          </w:tcPr>
          <w:p>
            <w:pPr>
              <w:pStyle w:val="6"/>
              <w:spacing w:before="96" w:line="211" w:lineRule="auto"/>
              <w:ind w:left="334" w:right="123" w:hanging="187"/>
              <w:rPr>
                <w:sz w:val="18"/>
                <w:szCs w:val="18"/>
              </w:rPr>
            </w:pPr>
            <w:r>
              <w:rPr>
                <w:spacing w:val="-4"/>
                <w:sz w:val="18"/>
                <w:szCs w:val="18"/>
              </w:rPr>
              <w:t>14224.</w:t>
            </w:r>
            <w:r>
              <w:rPr>
                <w:spacing w:val="1"/>
                <w:sz w:val="18"/>
                <w:szCs w:val="18"/>
              </w:rPr>
              <w:t xml:space="preserve"> </w:t>
            </w:r>
            <w:r>
              <w:rPr>
                <w:sz w:val="18"/>
                <w:szCs w:val="18"/>
              </w:rPr>
              <w:t>0</w:t>
            </w:r>
          </w:p>
        </w:tc>
        <w:tc>
          <w:tcPr>
            <w:tcW w:w="1762" w:type="dxa"/>
            <w:vAlign w:val="top"/>
          </w:tcPr>
          <w:p>
            <w:pPr>
              <w:pStyle w:val="6"/>
              <w:spacing w:before="53" w:line="212" w:lineRule="auto"/>
              <w:ind w:left="168"/>
              <w:rPr>
                <w:rFonts w:ascii="仿宋" w:hAnsi="仿宋" w:eastAsia="仿宋" w:cs="仿宋"/>
                <w:sz w:val="18"/>
                <w:szCs w:val="18"/>
              </w:rPr>
            </w:pPr>
            <w:r>
              <w:rPr>
                <w:spacing w:val="-4"/>
                <w:sz w:val="18"/>
                <w:szCs w:val="18"/>
              </w:rPr>
              <w:t>5</w:t>
            </w:r>
            <w:r>
              <w:rPr>
                <w:spacing w:val="26"/>
                <w:sz w:val="18"/>
                <w:szCs w:val="18"/>
              </w:rPr>
              <w:t xml:space="preserve"> </w:t>
            </w:r>
            <w:r>
              <w:rPr>
                <w:rFonts w:ascii="仿宋" w:hAnsi="仿宋" w:eastAsia="仿宋" w:cs="仿宋"/>
                <w:spacing w:val="-4"/>
                <w:sz w:val="18"/>
                <w:szCs w:val="18"/>
              </w:rPr>
              <w:t>临时表土堆场</w:t>
            </w:r>
            <w:r>
              <w:rPr>
                <w:spacing w:val="-4"/>
                <w:sz w:val="18"/>
                <w:szCs w:val="18"/>
              </w:rPr>
              <w:t>,</w:t>
            </w:r>
            <w:r>
              <w:rPr>
                <w:rFonts w:ascii="仿宋" w:hAnsi="仿宋" w:eastAsia="仿宋" w:cs="仿宋"/>
                <w:spacing w:val="-4"/>
                <w:sz w:val="18"/>
                <w:szCs w:val="18"/>
              </w:rPr>
              <w:t>用</w:t>
            </w:r>
          </w:p>
          <w:p>
            <w:pPr>
              <w:spacing w:before="26" w:line="178" w:lineRule="auto"/>
              <w:ind w:left="265"/>
              <w:rPr>
                <w:rFonts w:ascii="仿宋" w:hAnsi="仿宋" w:eastAsia="仿宋" w:cs="仿宋"/>
                <w:sz w:val="18"/>
                <w:szCs w:val="18"/>
              </w:rPr>
            </w:pPr>
            <w:r>
              <w:rPr>
                <w:rFonts w:ascii="仿宋" w:hAnsi="仿宋" w:eastAsia="仿宋" w:cs="仿宋"/>
                <w:spacing w:val="-2"/>
                <w:sz w:val="18"/>
                <w:szCs w:val="18"/>
              </w:rPr>
              <w:t>于后期绿化覆土</w:t>
            </w:r>
          </w:p>
        </w:tc>
        <w:tc>
          <w:tcPr>
            <w:tcW w:w="739" w:type="dxa"/>
            <w:vAlign w:val="top"/>
          </w:tcPr>
          <w:p>
            <w:pPr>
              <w:rPr>
                <w:rFonts w:ascii="Arial"/>
                <w:sz w:val="21"/>
              </w:rPr>
            </w:pPr>
          </w:p>
        </w:tc>
        <w:tc>
          <w:tcPr>
            <w:tcW w:w="1165"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Merge w:val="continue"/>
            <w:tcBorders>
              <w:top w:val="nil"/>
            </w:tcBorders>
            <w:vAlign w:val="top"/>
          </w:tcPr>
          <w:p>
            <w:pPr>
              <w:rPr>
                <w:rFonts w:ascii="Arial"/>
                <w:sz w:val="21"/>
              </w:rPr>
            </w:pPr>
          </w:p>
        </w:tc>
        <w:tc>
          <w:tcPr>
            <w:tcW w:w="897" w:type="dxa"/>
            <w:vMerge w:val="continue"/>
            <w:tcBorders>
              <w:top w:val="nil"/>
            </w:tcBorders>
            <w:vAlign w:val="top"/>
          </w:tcPr>
          <w:p>
            <w:pPr>
              <w:rPr>
                <w:rFonts w:ascii="Arial"/>
                <w:sz w:val="21"/>
              </w:rPr>
            </w:pPr>
          </w:p>
        </w:tc>
        <w:tc>
          <w:tcPr>
            <w:tcW w:w="103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7" w:hRule="atLeast"/>
        </w:trPr>
        <w:tc>
          <w:tcPr>
            <w:tcW w:w="777" w:type="dxa"/>
            <w:vMerge w:val="continue"/>
            <w:tcBorders>
              <w:top w:val="nil"/>
              <w:left w:val="nil"/>
              <w:bottom w:val="nil"/>
            </w:tcBorders>
            <w:vAlign w:val="top"/>
          </w:tcPr>
          <w:p>
            <w:pPr>
              <w:rPr>
                <w:rFonts w:ascii="Arial"/>
                <w:sz w:val="21"/>
              </w:rPr>
            </w:pPr>
          </w:p>
        </w:tc>
        <w:tc>
          <w:tcPr>
            <w:tcW w:w="1383" w:type="dxa"/>
            <w:vMerge w:val="restart"/>
            <w:tcBorders>
              <w:bottom w:val="nil"/>
            </w:tcBorders>
            <w:vAlign w:val="top"/>
          </w:tcPr>
          <w:p>
            <w:pPr>
              <w:spacing w:line="323" w:lineRule="auto"/>
              <w:rPr>
                <w:rFonts w:ascii="Arial"/>
                <w:sz w:val="21"/>
              </w:rPr>
            </w:pPr>
          </w:p>
          <w:p>
            <w:pPr>
              <w:spacing w:before="58" w:line="216" w:lineRule="auto"/>
              <w:ind w:left="339"/>
              <w:rPr>
                <w:rFonts w:ascii="仿宋" w:hAnsi="仿宋" w:eastAsia="仿宋" w:cs="仿宋"/>
                <w:sz w:val="18"/>
                <w:szCs w:val="18"/>
              </w:rPr>
            </w:pPr>
            <w:r>
              <w:rPr>
                <w:rFonts w:ascii="仿宋" w:hAnsi="仿宋" w:eastAsia="仿宋" w:cs="仿宋"/>
                <w:spacing w:val="-3"/>
                <w:sz w:val="18"/>
                <w:szCs w:val="18"/>
              </w:rPr>
              <w:t>块石料场</w:t>
            </w:r>
          </w:p>
        </w:tc>
        <w:tc>
          <w:tcPr>
            <w:tcW w:w="909" w:type="dxa"/>
            <w:vMerge w:val="restart"/>
            <w:tcBorders>
              <w:bottom w:val="nil"/>
            </w:tcBorders>
            <w:vAlign w:val="top"/>
          </w:tcPr>
          <w:p>
            <w:pPr>
              <w:spacing w:line="359" w:lineRule="auto"/>
              <w:rPr>
                <w:rFonts w:ascii="Arial"/>
                <w:sz w:val="21"/>
              </w:rPr>
            </w:pPr>
          </w:p>
          <w:p>
            <w:pPr>
              <w:pStyle w:val="6"/>
              <w:spacing w:before="52" w:line="188" w:lineRule="auto"/>
              <w:ind w:left="166"/>
              <w:rPr>
                <w:sz w:val="18"/>
                <w:szCs w:val="18"/>
              </w:rPr>
            </w:pPr>
            <w:r>
              <w:rPr>
                <w:spacing w:val="-1"/>
                <w:sz w:val="18"/>
                <w:szCs w:val="18"/>
              </w:rPr>
              <w:t>73843.7</w:t>
            </w:r>
          </w:p>
        </w:tc>
        <w:tc>
          <w:tcPr>
            <w:tcW w:w="843" w:type="dxa"/>
            <w:vMerge w:val="restart"/>
            <w:tcBorders>
              <w:bottom w:val="nil"/>
            </w:tcBorders>
            <w:vAlign w:val="top"/>
          </w:tcPr>
          <w:p>
            <w:pPr>
              <w:spacing w:line="359" w:lineRule="auto"/>
              <w:rPr>
                <w:rFonts w:ascii="Arial"/>
                <w:sz w:val="21"/>
              </w:rPr>
            </w:pPr>
          </w:p>
          <w:p>
            <w:pPr>
              <w:pStyle w:val="6"/>
              <w:spacing w:before="52" w:line="188" w:lineRule="auto"/>
              <w:ind w:left="181"/>
              <w:rPr>
                <w:sz w:val="18"/>
                <w:szCs w:val="18"/>
              </w:rPr>
            </w:pPr>
            <w:r>
              <w:rPr>
                <w:spacing w:val="-2"/>
                <w:sz w:val="18"/>
                <w:szCs w:val="18"/>
              </w:rPr>
              <w:t>5278.0</w:t>
            </w:r>
          </w:p>
        </w:tc>
        <w:tc>
          <w:tcPr>
            <w:tcW w:w="812" w:type="dxa"/>
            <w:vMerge w:val="restart"/>
            <w:tcBorders>
              <w:bottom w:val="nil"/>
            </w:tcBorders>
            <w:vAlign w:val="top"/>
          </w:tcPr>
          <w:p>
            <w:pPr>
              <w:rPr>
                <w:rFonts w:ascii="Arial"/>
                <w:sz w:val="21"/>
              </w:rPr>
            </w:pPr>
          </w:p>
        </w:tc>
        <w:tc>
          <w:tcPr>
            <w:tcW w:w="750" w:type="dxa"/>
            <w:vAlign w:val="top"/>
          </w:tcPr>
          <w:p>
            <w:pPr>
              <w:pStyle w:val="6"/>
              <w:spacing w:before="72" w:line="194" w:lineRule="auto"/>
              <w:ind w:left="336" w:right="123" w:hanging="206"/>
              <w:rPr>
                <w:sz w:val="18"/>
                <w:szCs w:val="18"/>
              </w:rPr>
            </w:pPr>
            <w:r>
              <w:rPr>
                <w:spacing w:val="-1"/>
                <w:sz w:val="18"/>
                <w:szCs w:val="18"/>
              </w:rPr>
              <w:t>29537.</w:t>
            </w:r>
            <w:r>
              <w:rPr>
                <w:spacing w:val="1"/>
                <w:sz w:val="18"/>
                <w:szCs w:val="18"/>
              </w:rPr>
              <w:t xml:space="preserve"> </w:t>
            </w:r>
            <w:r>
              <w:rPr>
                <w:sz w:val="18"/>
                <w:szCs w:val="18"/>
              </w:rPr>
              <w:t>5</w:t>
            </w:r>
          </w:p>
        </w:tc>
        <w:tc>
          <w:tcPr>
            <w:tcW w:w="1762" w:type="dxa"/>
            <w:vAlign w:val="top"/>
          </w:tcPr>
          <w:p>
            <w:pPr>
              <w:spacing w:before="144" w:line="216" w:lineRule="auto"/>
              <w:ind w:left="374"/>
              <w:rPr>
                <w:rFonts w:ascii="仿宋" w:hAnsi="仿宋" w:eastAsia="仿宋" w:cs="仿宋"/>
                <w:sz w:val="18"/>
                <w:szCs w:val="18"/>
              </w:rPr>
            </w:pPr>
            <w:r>
              <w:rPr>
                <w:rFonts w:ascii="仿宋" w:hAnsi="仿宋" w:eastAsia="仿宋" w:cs="仿宋"/>
                <w:spacing w:val="-5"/>
                <w:sz w:val="18"/>
                <w:szCs w:val="18"/>
              </w:rPr>
              <w:t>回填料场底部</w:t>
            </w:r>
          </w:p>
        </w:tc>
        <w:tc>
          <w:tcPr>
            <w:tcW w:w="739" w:type="dxa"/>
            <w:vMerge w:val="restart"/>
            <w:tcBorders>
              <w:bottom w:val="nil"/>
            </w:tcBorders>
            <w:vAlign w:val="top"/>
          </w:tcPr>
          <w:p>
            <w:pPr>
              <w:rPr>
                <w:rFonts w:ascii="Arial"/>
                <w:sz w:val="21"/>
              </w:rPr>
            </w:pPr>
          </w:p>
        </w:tc>
        <w:tc>
          <w:tcPr>
            <w:tcW w:w="1165" w:type="dxa"/>
            <w:vMerge w:val="restart"/>
            <w:tcBorders>
              <w:bottom w:val="nil"/>
            </w:tcBorders>
            <w:vAlign w:val="top"/>
          </w:tcPr>
          <w:p>
            <w:pPr>
              <w:rPr>
                <w:rFonts w:ascii="Arial"/>
                <w:sz w:val="21"/>
              </w:rPr>
            </w:pPr>
          </w:p>
        </w:tc>
        <w:tc>
          <w:tcPr>
            <w:tcW w:w="910" w:type="dxa"/>
            <w:vMerge w:val="restart"/>
            <w:tcBorders>
              <w:bottom w:val="nil"/>
            </w:tcBorders>
            <w:vAlign w:val="top"/>
          </w:tcPr>
          <w:p>
            <w:pPr>
              <w:rPr>
                <w:rFonts w:ascii="Arial"/>
                <w:sz w:val="21"/>
              </w:rPr>
            </w:pPr>
          </w:p>
        </w:tc>
        <w:tc>
          <w:tcPr>
            <w:tcW w:w="983" w:type="dxa"/>
            <w:vMerge w:val="restart"/>
            <w:tcBorders>
              <w:bottom w:val="nil"/>
            </w:tcBorders>
            <w:vAlign w:val="top"/>
          </w:tcPr>
          <w:p>
            <w:pPr>
              <w:rPr>
                <w:rFonts w:ascii="Arial"/>
                <w:sz w:val="21"/>
              </w:rPr>
            </w:pPr>
          </w:p>
        </w:tc>
        <w:tc>
          <w:tcPr>
            <w:tcW w:w="1036" w:type="dxa"/>
            <w:vMerge w:val="restart"/>
            <w:tcBorders>
              <w:bottom w:val="nil"/>
            </w:tcBorders>
            <w:vAlign w:val="top"/>
          </w:tcPr>
          <w:p>
            <w:pPr>
              <w:spacing w:line="359" w:lineRule="auto"/>
              <w:rPr>
                <w:rFonts w:ascii="Arial"/>
                <w:sz w:val="21"/>
              </w:rPr>
            </w:pPr>
          </w:p>
          <w:p>
            <w:pPr>
              <w:pStyle w:val="6"/>
              <w:spacing w:before="52" w:line="188" w:lineRule="auto"/>
              <w:ind w:left="226"/>
              <w:rPr>
                <w:sz w:val="18"/>
                <w:szCs w:val="18"/>
              </w:rPr>
            </w:pPr>
            <w:r>
              <w:rPr>
                <w:spacing w:val="-1"/>
                <w:sz w:val="18"/>
                <w:szCs w:val="18"/>
              </w:rPr>
              <w:t>44306.2</w:t>
            </w:r>
          </w:p>
        </w:tc>
        <w:tc>
          <w:tcPr>
            <w:tcW w:w="897" w:type="dxa"/>
            <w:vMerge w:val="restart"/>
            <w:tcBorders>
              <w:bottom w:val="nil"/>
            </w:tcBorders>
            <w:vAlign w:val="top"/>
          </w:tcPr>
          <w:p>
            <w:pPr>
              <w:spacing w:line="359" w:lineRule="auto"/>
              <w:rPr>
                <w:rFonts w:ascii="Arial"/>
                <w:sz w:val="21"/>
              </w:rPr>
            </w:pPr>
          </w:p>
          <w:p>
            <w:pPr>
              <w:pStyle w:val="6"/>
              <w:spacing w:before="52" w:line="188" w:lineRule="auto"/>
              <w:ind w:left="162"/>
              <w:rPr>
                <w:sz w:val="18"/>
                <w:szCs w:val="18"/>
              </w:rPr>
            </w:pPr>
            <w:r>
              <w:rPr>
                <w:spacing w:val="-2"/>
                <w:sz w:val="18"/>
                <w:szCs w:val="18"/>
              </w:rPr>
              <w:t>55382.8</w:t>
            </w:r>
          </w:p>
        </w:tc>
        <w:tc>
          <w:tcPr>
            <w:tcW w:w="1036" w:type="dxa"/>
            <w:vMerge w:val="restart"/>
            <w:tcBorders>
              <w:bottom w:val="nil"/>
              <w:right w:val="nil"/>
            </w:tcBorders>
            <w:vAlign w:val="top"/>
          </w:tcPr>
          <w:p>
            <w:pPr>
              <w:spacing w:line="323" w:lineRule="auto"/>
              <w:rPr>
                <w:rFonts w:ascii="Arial"/>
                <w:sz w:val="21"/>
              </w:rPr>
            </w:pPr>
          </w:p>
          <w:p>
            <w:pPr>
              <w:pStyle w:val="6"/>
              <w:spacing w:before="58" w:line="219" w:lineRule="auto"/>
              <w:ind w:left="163"/>
              <w:rPr>
                <w:rFonts w:ascii="仿宋" w:hAnsi="仿宋" w:eastAsia="仿宋" w:cs="仿宋"/>
                <w:sz w:val="18"/>
                <w:szCs w:val="18"/>
              </w:rPr>
            </w:pPr>
            <w:r>
              <w:rPr>
                <w:spacing w:val="-2"/>
                <w:sz w:val="18"/>
                <w:szCs w:val="18"/>
              </w:rPr>
              <w:t>3#</w:t>
            </w:r>
            <w:r>
              <w:rPr>
                <w:rFonts w:ascii="仿宋" w:hAnsi="仿宋" w:eastAsia="仿宋" w:cs="仿宋"/>
                <w:spacing w:val="-2"/>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6" w:hRule="atLeast"/>
        </w:trPr>
        <w:tc>
          <w:tcPr>
            <w:tcW w:w="777" w:type="dxa"/>
            <w:vMerge w:val="continue"/>
            <w:tcBorders>
              <w:top w:val="nil"/>
              <w:left w:val="nil"/>
              <w:bottom w:val="single" w:color="000000" w:sz="12" w:space="0"/>
            </w:tcBorders>
            <w:vAlign w:val="top"/>
          </w:tcPr>
          <w:p>
            <w:pPr>
              <w:rPr>
                <w:rFonts w:ascii="Arial"/>
                <w:sz w:val="21"/>
              </w:rPr>
            </w:pPr>
          </w:p>
        </w:tc>
        <w:tc>
          <w:tcPr>
            <w:tcW w:w="1383" w:type="dxa"/>
            <w:vMerge w:val="continue"/>
            <w:tcBorders>
              <w:top w:val="nil"/>
              <w:bottom w:val="single" w:color="000000" w:sz="12" w:space="0"/>
            </w:tcBorders>
            <w:vAlign w:val="top"/>
          </w:tcPr>
          <w:p>
            <w:pPr>
              <w:rPr>
                <w:rFonts w:ascii="Arial"/>
                <w:sz w:val="21"/>
              </w:rPr>
            </w:pPr>
          </w:p>
        </w:tc>
        <w:tc>
          <w:tcPr>
            <w:tcW w:w="909" w:type="dxa"/>
            <w:vMerge w:val="continue"/>
            <w:tcBorders>
              <w:top w:val="nil"/>
              <w:bottom w:val="single" w:color="000000" w:sz="12" w:space="0"/>
            </w:tcBorders>
            <w:vAlign w:val="top"/>
          </w:tcPr>
          <w:p>
            <w:pPr>
              <w:rPr>
                <w:rFonts w:ascii="Arial"/>
                <w:sz w:val="21"/>
              </w:rPr>
            </w:pPr>
          </w:p>
        </w:tc>
        <w:tc>
          <w:tcPr>
            <w:tcW w:w="843" w:type="dxa"/>
            <w:vMerge w:val="continue"/>
            <w:tcBorders>
              <w:top w:val="nil"/>
              <w:bottom w:val="single" w:color="000000" w:sz="12" w:space="0"/>
            </w:tcBorders>
            <w:vAlign w:val="top"/>
          </w:tcPr>
          <w:p>
            <w:pPr>
              <w:rPr>
                <w:rFonts w:ascii="Arial"/>
                <w:sz w:val="21"/>
              </w:rPr>
            </w:pPr>
          </w:p>
        </w:tc>
        <w:tc>
          <w:tcPr>
            <w:tcW w:w="812" w:type="dxa"/>
            <w:vMerge w:val="continue"/>
            <w:tcBorders>
              <w:top w:val="nil"/>
              <w:bottom w:val="single" w:color="000000" w:sz="12" w:space="0"/>
            </w:tcBorders>
            <w:vAlign w:val="top"/>
          </w:tcPr>
          <w:p>
            <w:pPr>
              <w:rPr>
                <w:rFonts w:ascii="Arial"/>
                <w:sz w:val="21"/>
              </w:rPr>
            </w:pPr>
          </w:p>
        </w:tc>
        <w:tc>
          <w:tcPr>
            <w:tcW w:w="750" w:type="dxa"/>
            <w:tcBorders>
              <w:bottom w:val="single" w:color="000000" w:sz="12" w:space="0"/>
            </w:tcBorders>
            <w:vAlign w:val="top"/>
          </w:tcPr>
          <w:p>
            <w:pPr>
              <w:pStyle w:val="6"/>
              <w:spacing w:before="204" w:line="188" w:lineRule="auto"/>
              <w:ind w:left="134"/>
              <w:rPr>
                <w:sz w:val="18"/>
                <w:szCs w:val="18"/>
              </w:rPr>
            </w:pPr>
            <w:r>
              <w:rPr>
                <w:spacing w:val="-2"/>
                <w:sz w:val="18"/>
                <w:szCs w:val="18"/>
              </w:rPr>
              <w:t>5278.0</w:t>
            </w:r>
          </w:p>
        </w:tc>
        <w:tc>
          <w:tcPr>
            <w:tcW w:w="1762" w:type="dxa"/>
            <w:tcBorders>
              <w:bottom w:val="single" w:color="000000" w:sz="12" w:space="0"/>
            </w:tcBorders>
            <w:vAlign w:val="top"/>
          </w:tcPr>
          <w:p>
            <w:pPr>
              <w:pStyle w:val="6"/>
              <w:spacing w:before="56" w:line="220" w:lineRule="auto"/>
              <w:ind w:left="265" w:right="133" w:hanging="120"/>
              <w:rPr>
                <w:rFonts w:ascii="仿宋" w:hAnsi="仿宋" w:eastAsia="仿宋" w:cs="仿宋"/>
                <w:sz w:val="18"/>
                <w:szCs w:val="18"/>
              </w:rPr>
            </w:pPr>
            <w:r>
              <w:rPr>
                <w:spacing w:val="-1"/>
                <w:sz w:val="18"/>
                <w:szCs w:val="18"/>
              </w:rPr>
              <w:t>6#</w:t>
            </w:r>
            <w:r>
              <w:rPr>
                <w:rFonts w:ascii="仿宋" w:hAnsi="仿宋" w:eastAsia="仿宋" w:cs="仿宋"/>
                <w:spacing w:val="-1"/>
                <w:sz w:val="18"/>
                <w:szCs w:val="18"/>
              </w:rPr>
              <w:t>临时表土堆场</w:t>
            </w:r>
            <w:r>
              <w:rPr>
                <w:spacing w:val="-1"/>
                <w:sz w:val="18"/>
                <w:szCs w:val="18"/>
              </w:rPr>
              <w:t>,</w:t>
            </w:r>
            <w:r>
              <w:rPr>
                <w:rFonts w:ascii="仿宋" w:hAnsi="仿宋" w:eastAsia="仿宋" w:cs="仿宋"/>
                <w:spacing w:val="-1"/>
                <w:sz w:val="18"/>
                <w:szCs w:val="18"/>
              </w:rPr>
              <w:t>用</w:t>
            </w:r>
            <w:r>
              <w:rPr>
                <w:rFonts w:ascii="仿宋" w:hAnsi="仿宋" w:eastAsia="仿宋" w:cs="仿宋"/>
                <w:spacing w:val="1"/>
                <w:sz w:val="18"/>
                <w:szCs w:val="18"/>
              </w:rPr>
              <w:t xml:space="preserve"> </w:t>
            </w:r>
            <w:r>
              <w:rPr>
                <w:rFonts w:ascii="仿宋" w:hAnsi="仿宋" w:eastAsia="仿宋" w:cs="仿宋"/>
                <w:spacing w:val="-2"/>
                <w:sz w:val="18"/>
                <w:szCs w:val="18"/>
              </w:rPr>
              <w:t>于后期绿化覆土</w:t>
            </w:r>
          </w:p>
        </w:tc>
        <w:tc>
          <w:tcPr>
            <w:tcW w:w="739" w:type="dxa"/>
            <w:vMerge w:val="continue"/>
            <w:tcBorders>
              <w:top w:val="nil"/>
              <w:bottom w:val="single" w:color="000000" w:sz="12" w:space="0"/>
            </w:tcBorders>
            <w:vAlign w:val="top"/>
          </w:tcPr>
          <w:p>
            <w:pPr>
              <w:rPr>
                <w:rFonts w:ascii="Arial"/>
                <w:sz w:val="21"/>
              </w:rPr>
            </w:pPr>
          </w:p>
        </w:tc>
        <w:tc>
          <w:tcPr>
            <w:tcW w:w="1165" w:type="dxa"/>
            <w:vMerge w:val="continue"/>
            <w:tcBorders>
              <w:top w:val="nil"/>
              <w:bottom w:val="single" w:color="000000" w:sz="12" w:space="0"/>
            </w:tcBorders>
            <w:vAlign w:val="top"/>
          </w:tcPr>
          <w:p>
            <w:pPr>
              <w:rPr>
                <w:rFonts w:ascii="Arial"/>
                <w:sz w:val="21"/>
              </w:rPr>
            </w:pPr>
          </w:p>
        </w:tc>
        <w:tc>
          <w:tcPr>
            <w:tcW w:w="910" w:type="dxa"/>
            <w:vMerge w:val="continue"/>
            <w:tcBorders>
              <w:top w:val="nil"/>
              <w:bottom w:val="single" w:color="000000" w:sz="12" w:space="0"/>
            </w:tcBorders>
            <w:vAlign w:val="top"/>
          </w:tcPr>
          <w:p>
            <w:pPr>
              <w:rPr>
                <w:rFonts w:ascii="Arial"/>
                <w:sz w:val="21"/>
              </w:rPr>
            </w:pPr>
          </w:p>
        </w:tc>
        <w:tc>
          <w:tcPr>
            <w:tcW w:w="983" w:type="dxa"/>
            <w:vMerge w:val="continue"/>
            <w:tcBorders>
              <w:top w:val="nil"/>
              <w:bottom w:val="single" w:color="000000" w:sz="12" w:space="0"/>
            </w:tcBorders>
            <w:vAlign w:val="top"/>
          </w:tcPr>
          <w:p>
            <w:pPr>
              <w:rPr>
                <w:rFonts w:ascii="Arial"/>
                <w:sz w:val="21"/>
              </w:rPr>
            </w:pPr>
          </w:p>
        </w:tc>
        <w:tc>
          <w:tcPr>
            <w:tcW w:w="1036" w:type="dxa"/>
            <w:vMerge w:val="continue"/>
            <w:tcBorders>
              <w:top w:val="nil"/>
              <w:bottom w:val="single" w:color="000000" w:sz="12" w:space="0"/>
            </w:tcBorders>
            <w:vAlign w:val="top"/>
          </w:tcPr>
          <w:p>
            <w:pPr>
              <w:rPr>
                <w:rFonts w:ascii="Arial"/>
                <w:sz w:val="21"/>
              </w:rPr>
            </w:pPr>
          </w:p>
        </w:tc>
        <w:tc>
          <w:tcPr>
            <w:tcW w:w="897" w:type="dxa"/>
            <w:vMerge w:val="continue"/>
            <w:tcBorders>
              <w:top w:val="nil"/>
              <w:bottom w:val="single" w:color="000000" w:sz="12" w:space="0"/>
            </w:tcBorders>
            <w:vAlign w:val="top"/>
          </w:tcPr>
          <w:p>
            <w:pPr>
              <w:rPr>
                <w:rFonts w:ascii="Arial"/>
                <w:sz w:val="21"/>
              </w:rPr>
            </w:pPr>
          </w:p>
        </w:tc>
        <w:tc>
          <w:tcPr>
            <w:tcW w:w="1036" w:type="dxa"/>
            <w:vMerge w:val="continue"/>
            <w:tcBorders>
              <w:top w:val="nil"/>
              <w:bottom w:val="single" w:color="000000" w:sz="12"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07" w:type="default"/>
          <w:pgSz w:w="16839" w:h="11907"/>
          <w:pgMar w:top="1298" w:right="1387" w:bottom="1374" w:left="1388" w:header="1023" w:footer="1210" w:gutter="0"/>
        </w:sectPr>
      </w:pPr>
    </w:p>
    <w:p>
      <w:pPr>
        <w:spacing w:line="232" w:lineRule="exact"/>
      </w:pPr>
    </w:p>
    <w:tbl>
      <w:tblPr>
        <w:tblStyle w:val="5"/>
        <w:tblW w:w="1401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383"/>
        <w:gridCol w:w="910"/>
        <w:gridCol w:w="843"/>
        <w:gridCol w:w="812"/>
        <w:gridCol w:w="750"/>
        <w:gridCol w:w="1762"/>
        <w:gridCol w:w="739"/>
        <w:gridCol w:w="1164"/>
        <w:gridCol w:w="910"/>
        <w:gridCol w:w="983"/>
        <w:gridCol w:w="1036"/>
        <w:gridCol w:w="897"/>
        <w:gridCol w:w="10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7" w:hRule="atLeast"/>
        </w:trPr>
        <w:tc>
          <w:tcPr>
            <w:tcW w:w="2175" w:type="dxa"/>
            <w:gridSpan w:val="2"/>
            <w:vMerge w:val="restart"/>
            <w:tcBorders>
              <w:top w:val="single" w:color="000000" w:sz="12" w:space="0"/>
              <w:left w:val="nil"/>
              <w:bottom w:val="nil"/>
            </w:tcBorders>
            <w:vAlign w:val="top"/>
          </w:tcPr>
          <w:p>
            <w:pPr>
              <w:spacing w:line="326" w:lineRule="auto"/>
              <w:rPr>
                <w:rFonts w:ascii="Arial"/>
                <w:sz w:val="21"/>
              </w:rPr>
            </w:pPr>
          </w:p>
          <w:p>
            <w:pPr>
              <w:pStyle w:val="6"/>
              <w:spacing w:before="59" w:line="233" w:lineRule="auto"/>
              <w:ind w:left="630"/>
              <w:rPr>
                <w:rFonts w:ascii="仿宋" w:hAnsi="仿宋" w:eastAsia="仿宋" w:cs="仿宋"/>
                <w:sz w:val="18"/>
                <w:szCs w:val="18"/>
              </w:rPr>
            </w:pPr>
            <w:r>
              <w:rPr>
                <w:rFonts w:ascii="仿宋" w:hAnsi="仿宋" w:eastAsia="仿宋" w:cs="仿宋"/>
                <w:spacing w:val="-2"/>
                <w:sz w:val="18"/>
                <w:szCs w:val="18"/>
                <w14:textOutline w14:w="3265" w14:cap="flat" w14:cmpd="sng">
                  <w14:solidFill>
                    <w14:srgbClr w14:val="000000"/>
                  </w14:solidFill>
                  <w14:prstDash w14:val="solid"/>
                  <w14:miter w14:val="0"/>
                </w14:textOutline>
              </w:rPr>
              <w:t>分区</w:t>
            </w:r>
            <w:r>
              <w:rPr>
                <w:b/>
                <w:bCs/>
                <w:spacing w:val="-2"/>
                <w:sz w:val="18"/>
                <w:szCs w:val="18"/>
              </w:rPr>
              <w:t>/</w:t>
            </w:r>
            <w:r>
              <w:rPr>
                <w:rFonts w:ascii="仿宋" w:hAnsi="仿宋" w:eastAsia="仿宋" w:cs="仿宋"/>
                <w:spacing w:val="-2"/>
                <w:sz w:val="18"/>
                <w:szCs w:val="18"/>
                <w14:textOutline w14:w="3265" w14:cap="flat" w14:cmpd="sng">
                  <w14:solidFill>
                    <w14:srgbClr w14:val="000000"/>
                  </w14:solidFill>
                  <w14:prstDash w14:val="solid"/>
                  <w14:miter w14:val="0"/>
                </w14:textOutline>
              </w:rPr>
              <w:t>项目区</w:t>
            </w:r>
          </w:p>
        </w:tc>
        <w:tc>
          <w:tcPr>
            <w:tcW w:w="1753" w:type="dxa"/>
            <w:gridSpan w:val="2"/>
            <w:vMerge w:val="restart"/>
            <w:tcBorders>
              <w:top w:val="single" w:color="000000" w:sz="12" w:space="0"/>
              <w:bottom w:val="nil"/>
            </w:tcBorders>
            <w:vAlign w:val="top"/>
          </w:tcPr>
          <w:p>
            <w:pPr>
              <w:spacing w:before="149" w:line="218" w:lineRule="auto"/>
              <w:ind w:left="705"/>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开挖</w:t>
            </w:r>
          </w:p>
        </w:tc>
        <w:tc>
          <w:tcPr>
            <w:tcW w:w="812" w:type="dxa"/>
            <w:vMerge w:val="restart"/>
            <w:tcBorders>
              <w:top w:val="single" w:color="000000" w:sz="12" w:space="0"/>
              <w:bottom w:val="nil"/>
            </w:tcBorders>
            <w:vAlign w:val="top"/>
          </w:tcPr>
          <w:p>
            <w:pPr>
              <w:spacing w:before="149" w:line="219" w:lineRule="auto"/>
              <w:ind w:left="255"/>
              <w:rPr>
                <w:rFonts w:ascii="仿宋" w:hAnsi="仿宋" w:eastAsia="仿宋" w:cs="仿宋"/>
                <w:sz w:val="18"/>
                <w:szCs w:val="18"/>
              </w:rPr>
            </w:pPr>
            <w:r>
              <w:rPr>
                <w:rFonts w:ascii="仿宋" w:hAnsi="仿宋" w:eastAsia="仿宋" w:cs="仿宋"/>
                <w:spacing w:val="-9"/>
                <w:sz w:val="18"/>
                <w:szCs w:val="18"/>
                <w14:textOutline w14:w="3265" w14:cap="flat" w14:cmpd="sng">
                  <w14:solidFill>
                    <w14:srgbClr w14:val="000000"/>
                  </w14:solidFill>
                  <w14:prstDash w14:val="solid"/>
                  <w14:miter w14:val="0"/>
                </w14:textOutline>
              </w:rPr>
              <w:t>回填</w:t>
            </w:r>
          </w:p>
        </w:tc>
        <w:tc>
          <w:tcPr>
            <w:tcW w:w="2512" w:type="dxa"/>
            <w:gridSpan w:val="2"/>
            <w:vMerge w:val="restart"/>
            <w:tcBorders>
              <w:top w:val="single" w:color="000000" w:sz="12" w:space="0"/>
              <w:bottom w:val="nil"/>
            </w:tcBorders>
            <w:vAlign w:val="top"/>
          </w:tcPr>
          <w:p>
            <w:pPr>
              <w:spacing w:before="149" w:line="218" w:lineRule="auto"/>
              <w:ind w:left="1083"/>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利用</w:t>
            </w:r>
          </w:p>
        </w:tc>
        <w:tc>
          <w:tcPr>
            <w:tcW w:w="3796" w:type="dxa"/>
            <w:gridSpan w:val="4"/>
            <w:tcBorders>
              <w:top w:val="single" w:color="000000" w:sz="12" w:space="0"/>
            </w:tcBorders>
            <w:vAlign w:val="top"/>
          </w:tcPr>
          <w:p>
            <w:pPr>
              <w:spacing w:before="27" w:line="205" w:lineRule="auto"/>
              <w:ind w:left="1275"/>
              <w:rPr>
                <w:rFonts w:ascii="仿宋" w:hAnsi="仿宋" w:eastAsia="仿宋" w:cs="仿宋"/>
                <w:sz w:val="18"/>
                <w:szCs w:val="18"/>
              </w:rPr>
            </w:pPr>
            <w:r>
              <w:rPr>
                <w:rFonts w:ascii="仿宋" w:hAnsi="仿宋" w:eastAsia="仿宋" w:cs="仿宋"/>
                <w:spacing w:val="-2"/>
                <w:sz w:val="18"/>
                <w:szCs w:val="18"/>
                <w14:textOutline w14:w="3265" w14:cap="flat" w14:cmpd="sng">
                  <w14:solidFill>
                    <w14:srgbClr w14:val="000000"/>
                  </w14:solidFill>
                  <w14:prstDash w14:val="solid"/>
                  <w14:miter w14:val="0"/>
                </w14:textOutline>
              </w:rPr>
              <w:t>项目区内部调配</w:t>
            </w:r>
          </w:p>
        </w:tc>
        <w:tc>
          <w:tcPr>
            <w:tcW w:w="2969" w:type="dxa"/>
            <w:gridSpan w:val="3"/>
            <w:vMerge w:val="restart"/>
            <w:tcBorders>
              <w:top w:val="single" w:color="000000" w:sz="12" w:space="0"/>
              <w:bottom w:val="nil"/>
              <w:right w:val="nil"/>
            </w:tcBorders>
            <w:vAlign w:val="top"/>
          </w:tcPr>
          <w:p>
            <w:pPr>
              <w:spacing w:before="149" w:line="219" w:lineRule="auto"/>
              <w:ind w:left="1227"/>
              <w:rPr>
                <w:rFonts w:ascii="仿宋" w:hAnsi="仿宋" w:eastAsia="仿宋" w:cs="仿宋"/>
                <w:sz w:val="18"/>
                <w:szCs w:val="18"/>
              </w:rPr>
            </w:pPr>
            <w:r>
              <w:rPr>
                <w:rFonts w:ascii="仿宋" w:hAnsi="仿宋" w:eastAsia="仿宋" w:cs="仿宋"/>
                <w:spacing w:val="-9"/>
                <w:sz w:val="18"/>
                <w:szCs w:val="18"/>
                <w14:textOutline w14:w="3265" w14:cap="flat" w14:cmpd="sng">
                  <w14:solidFill>
                    <w14:srgbClr w14:val="000000"/>
                  </w14:solidFill>
                  <w14:prstDash w14:val="solid"/>
                  <w14:miter w14:val="0"/>
                </w14:textOutline>
              </w:rPr>
              <w:t>弃</w:t>
            </w:r>
            <w:r>
              <w:rPr>
                <w:rFonts w:ascii="仿宋" w:hAnsi="仿宋" w:eastAsia="仿宋" w:cs="仿宋"/>
                <w:spacing w:val="7"/>
                <w:sz w:val="18"/>
                <w:szCs w:val="18"/>
              </w:rPr>
              <w:t xml:space="preserve">  </w:t>
            </w:r>
            <w:r>
              <w:rPr>
                <w:rFonts w:ascii="仿宋" w:hAnsi="仿宋" w:eastAsia="仿宋" w:cs="仿宋"/>
                <w:spacing w:val="-9"/>
                <w:sz w:val="18"/>
                <w:szCs w:val="18"/>
                <w14:textOutline w14:w="3265" w14:cap="flat" w14:cmpd="sng">
                  <w14:solidFill>
                    <w14:srgbClr w14:val="000000"/>
                  </w14:solidFill>
                  <w14:prstDash w14:val="solid"/>
                  <w14:miter w14:val="0"/>
                </w14:textOutline>
              </w:rPr>
              <w:t>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8" w:hRule="atLeast"/>
        </w:trPr>
        <w:tc>
          <w:tcPr>
            <w:tcW w:w="2175" w:type="dxa"/>
            <w:gridSpan w:val="2"/>
            <w:vMerge w:val="continue"/>
            <w:tcBorders>
              <w:top w:val="nil"/>
              <w:left w:val="nil"/>
              <w:bottom w:val="nil"/>
            </w:tcBorders>
            <w:vAlign w:val="top"/>
          </w:tcPr>
          <w:p>
            <w:pPr>
              <w:rPr>
                <w:rFonts w:ascii="Arial"/>
                <w:sz w:val="21"/>
              </w:rPr>
            </w:pPr>
          </w:p>
        </w:tc>
        <w:tc>
          <w:tcPr>
            <w:tcW w:w="1753" w:type="dxa"/>
            <w:gridSpan w:val="2"/>
            <w:vMerge w:val="continue"/>
            <w:tcBorders>
              <w:top w:val="nil"/>
            </w:tcBorders>
            <w:vAlign w:val="top"/>
          </w:tcPr>
          <w:p>
            <w:pPr>
              <w:rPr>
                <w:rFonts w:ascii="Arial"/>
                <w:sz w:val="21"/>
              </w:rPr>
            </w:pPr>
          </w:p>
        </w:tc>
        <w:tc>
          <w:tcPr>
            <w:tcW w:w="812" w:type="dxa"/>
            <w:vMerge w:val="continue"/>
            <w:tcBorders>
              <w:top w:val="nil"/>
            </w:tcBorders>
            <w:vAlign w:val="top"/>
          </w:tcPr>
          <w:p>
            <w:pPr>
              <w:rPr>
                <w:rFonts w:ascii="Arial"/>
                <w:sz w:val="21"/>
              </w:rPr>
            </w:pPr>
          </w:p>
        </w:tc>
        <w:tc>
          <w:tcPr>
            <w:tcW w:w="2512" w:type="dxa"/>
            <w:gridSpan w:val="2"/>
            <w:vMerge w:val="continue"/>
            <w:tcBorders>
              <w:top w:val="nil"/>
            </w:tcBorders>
            <w:vAlign w:val="top"/>
          </w:tcPr>
          <w:p>
            <w:pPr>
              <w:rPr>
                <w:rFonts w:ascii="Arial"/>
                <w:sz w:val="21"/>
              </w:rPr>
            </w:pPr>
          </w:p>
        </w:tc>
        <w:tc>
          <w:tcPr>
            <w:tcW w:w="1903" w:type="dxa"/>
            <w:gridSpan w:val="2"/>
            <w:vAlign w:val="top"/>
          </w:tcPr>
          <w:p>
            <w:pPr>
              <w:spacing w:before="28" w:line="205" w:lineRule="auto"/>
              <w:ind w:left="780"/>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调出</w:t>
            </w:r>
          </w:p>
        </w:tc>
        <w:tc>
          <w:tcPr>
            <w:tcW w:w="1893" w:type="dxa"/>
            <w:gridSpan w:val="2"/>
            <w:vAlign w:val="top"/>
          </w:tcPr>
          <w:p>
            <w:pPr>
              <w:spacing w:before="28" w:line="205" w:lineRule="auto"/>
              <w:ind w:left="775"/>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调入</w:t>
            </w:r>
          </w:p>
        </w:tc>
        <w:tc>
          <w:tcPr>
            <w:tcW w:w="2969" w:type="dxa"/>
            <w:gridSpan w:val="3"/>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1" w:hRule="atLeast"/>
        </w:trPr>
        <w:tc>
          <w:tcPr>
            <w:tcW w:w="2175" w:type="dxa"/>
            <w:gridSpan w:val="2"/>
            <w:vMerge w:val="continue"/>
            <w:tcBorders>
              <w:top w:val="nil"/>
              <w:left w:val="nil"/>
            </w:tcBorders>
            <w:vAlign w:val="top"/>
          </w:tcPr>
          <w:p>
            <w:pPr>
              <w:rPr>
                <w:rFonts w:ascii="Arial"/>
                <w:sz w:val="21"/>
              </w:rPr>
            </w:pPr>
          </w:p>
        </w:tc>
        <w:tc>
          <w:tcPr>
            <w:tcW w:w="910" w:type="dxa"/>
            <w:vAlign w:val="top"/>
          </w:tcPr>
          <w:p>
            <w:pPr>
              <w:spacing w:before="29"/>
              <w:ind w:left="192"/>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开挖土</w:t>
            </w:r>
          </w:p>
          <w:p>
            <w:pPr>
              <w:spacing w:line="202" w:lineRule="auto"/>
              <w:ind w:left="282"/>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石方</w:t>
            </w:r>
          </w:p>
        </w:tc>
        <w:tc>
          <w:tcPr>
            <w:tcW w:w="843" w:type="dxa"/>
            <w:vAlign w:val="top"/>
          </w:tcPr>
          <w:p>
            <w:pPr>
              <w:spacing w:before="30" w:line="221" w:lineRule="auto"/>
              <w:ind w:left="344" w:right="148" w:hanging="184"/>
              <w:rPr>
                <w:rFonts w:ascii="仿宋" w:hAnsi="仿宋" w:eastAsia="仿宋" w:cs="仿宋"/>
                <w:sz w:val="18"/>
                <w:szCs w:val="18"/>
              </w:rPr>
            </w:pPr>
            <w:r>
              <w:rPr>
                <w:rFonts w:ascii="仿宋" w:hAnsi="仿宋" w:eastAsia="仿宋" w:cs="仿宋"/>
                <w:spacing w:val="-4"/>
                <w:sz w:val="18"/>
                <w:szCs w:val="18"/>
                <w14:textOutline w14:w="3265" w14:cap="flat" w14:cmpd="sng">
                  <w14:solidFill>
                    <w14:srgbClr w14:val="000000"/>
                  </w14:solidFill>
                  <w14:prstDash w14:val="solid"/>
                  <w14:miter w14:val="0"/>
                </w14:textOutline>
              </w:rPr>
              <w:t>表土剥</w:t>
            </w:r>
            <w:r>
              <w:rPr>
                <w:rFonts w:ascii="仿宋" w:hAnsi="仿宋" w:eastAsia="仿宋" w:cs="仿宋"/>
                <w:sz w:val="18"/>
                <w:szCs w:val="18"/>
              </w:rPr>
              <w:t xml:space="preserve"> </w:t>
            </w:r>
            <w:r>
              <w:rPr>
                <w:rFonts w:ascii="仿宋" w:hAnsi="仿宋" w:eastAsia="仿宋" w:cs="仿宋"/>
                <w:sz w:val="18"/>
                <w:szCs w:val="18"/>
                <w14:textOutline w14:w="3265" w14:cap="flat" w14:cmpd="sng">
                  <w14:solidFill>
                    <w14:srgbClr w14:val="000000"/>
                  </w14:solidFill>
                  <w14:prstDash w14:val="solid"/>
                  <w14:miter w14:val="0"/>
                </w14:textOutline>
              </w:rPr>
              <w:t>离</w:t>
            </w:r>
          </w:p>
        </w:tc>
        <w:tc>
          <w:tcPr>
            <w:tcW w:w="812" w:type="dxa"/>
            <w:vAlign w:val="top"/>
          </w:tcPr>
          <w:p>
            <w:pPr>
              <w:spacing w:before="145" w:line="219" w:lineRule="auto"/>
              <w:ind w:left="233"/>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750" w:type="dxa"/>
            <w:vAlign w:val="top"/>
          </w:tcPr>
          <w:p>
            <w:pPr>
              <w:spacing w:before="145" w:line="219" w:lineRule="auto"/>
              <w:ind w:left="202"/>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1762" w:type="dxa"/>
            <w:vAlign w:val="top"/>
          </w:tcPr>
          <w:p>
            <w:pPr>
              <w:spacing w:before="145" w:line="222" w:lineRule="auto"/>
              <w:ind w:left="715"/>
              <w:rPr>
                <w:rFonts w:ascii="仿宋" w:hAnsi="仿宋" w:eastAsia="仿宋" w:cs="仿宋"/>
                <w:sz w:val="18"/>
                <w:szCs w:val="18"/>
              </w:rPr>
            </w:pPr>
            <w:r>
              <w:rPr>
                <w:rFonts w:ascii="仿宋" w:hAnsi="仿宋" w:eastAsia="仿宋" w:cs="仿宋"/>
                <w:spacing w:val="-5"/>
                <w:sz w:val="18"/>
                <w:szCs w:val="18"/>
                <w14:textOutline w14:w="3265" w14:cap="flat" w14:cmpd="sng">
                  <w14:solidFill>
                    <w14:srgbClr w14:val="000000"/>
                  </w14:solidFill>
                  <w14:prstDash w14:val="solid"/>
                  <w14:miter w14:val="0"/>
                </w14:textOutline>
              </w:rPr>
              <w:t>去向</w:t>
            </w:r>
          </w:p>
        </w:tc>
        <w:tc>
          <w:tcPr>
            <w:tcW w:w="739" w:type="dxa"/>
            <w:vAlign w:val="top"/>
          </w:tcPr>
          <w:p>
            <w:pPr>
              <w:spacing w:before="145" w:line="219" w:lineRule="auto"/>
              <w:ind w:left="196"/>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1164" w:type="dxa"/>
            <w:vAlign w:val="top"/>
          </w:tcPr>
          <w:p>
            <w:pPr>
              <w:spacing w:before="145" w:line="222" w:lineRule="auto"/>
              <w:ind w:left="416"/>
              <w:rPr>
                <w:rFonts w:ascii="仿宋" w:hAnsi="仿宋" w:eastAsia="仿宋" w:cs="仿宋"/>
                <w:sz w:val="18"/>
                <w:szCs w:val="18"/>
              </w:rPr>
            </w:pPr>
            <w:r>
              <w:rPr>
                <w:rFonts w:ascii="仿宋" w:hAnsi="仿宋" w:eastAsia="仿宋" w:cs="仿宋"/>
                <w:spacing w:val="-5"/>
                <w:sz w:val="18"/>
                <w:szCs w:val="18"/>
                <w14:textOutline w14:w="3265" w14:cap="flat" w14:cmpd="sng">
                  <w14:solidFill>
                    <w14:srgbClr w14:val="000000"/>
                  </w14:solidFill>
                  <w14:prstDash w14:val="solid"/>
                  <w14:miter w14:val="0"/>
                </w14:textOutline>
              </w:rPr>
              <w:t>去向</w:t>
            </w:r>
          </w:p>
        </w:tc>
        <w:tc>
          <w:tcPr>
            <w:tcW w:w="910" w:type="dxa"/>
            <w:vAlign w:val="top"/>
          </w:tcPr>
          <w:p>
            <w:pPr>
              <w:spacing w:before="145" w:line="219" w:lineRule="auto"/>
              <w:ind w:left="283"/>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p>
        </w:tc>
        <w:tc>
          <w:tcPr>
            <w:tcW w:w="983" w:type="dxa"/>
            <w:vAlign w:val="top"/>
          </w:tcPr>
          <w:p>
            <w:pPr>
              <w:spacing w:before="145" w:line="217" w:lineRule="auto"/>
              <w:ind w:left="321"/>
              <w:rPr>
                <w:rFonts w:ascii="仿宋" w:hAnsi="仿宋" w:eastAsia="仿宋" w:cs="仿宋"/>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来源</w:t>
            </w:r>
          </w:p>
        </w:tc>
        <w:tc>
          <w:tcPr>
            <w:tcW w:w="1036" w:type="dxa"/>
            <w:vAlign w:val="top"/>
          </w:tcPr>
          <w:p>
            <w:pPr>
              <w:pStyle w:val="6"/>
              <w:spacing w:before="29" w:line="215" w:lineRule="auto"/>
              <w:ind w:left="136"/>
              <w:rPr>
                <w:rFonts w:ascii="仿宋" w:hAnsi="仿宋" w:eastAsia="仿宋" w:cs="仿宋"/>
                <w:sz w:val="18"/>
                <w:szCs w:val="18"/>
              </w:rPr>
            </w:pPr>
            <w:r>
              <w:rPr>
                <w:rFonts w:ascii="仿宋" w:hAnsi="仿宋" w:eastAsia="仿宋" w:cs="仿宋"/>
                <w:spacing w:val="-2"/>
                <w:sz w:val="18"/>
                <w:szCs w:val="18"/>
                <w14:textOutline w14:w="3265" w14:cap="flat" w14:cmpd="sng">
                  <w14:solidFill>
                    <w14:srgbClr w14:val="000000"/>
                  </w14:solidFill>
                  <w14:prstDash w14:val="solid"/>
                  <w14:miter w14:val="0"/>
                </w14:textOutline>
              </w:rPr>
              <w:t>数量</w:t>
            </w:r>
            <w:r>
              <w:rPr>
                <w:b/>
                <w:bCs/>
                <w:spacing w:val="-2"/>
                <w:sz w:val="18"/>
                <w:szCs w:val="18"/>
              </w:rPr>
              <w:t>(</w:t>
            </w:r>
            <w:r>
              <w:rPr>
                <w:rFonts w:ascii="仿宋" w:hAnsi="仿宋" w:eastAsia="仿宋" w:cs="仿宋"/>
                <w:spacing w:val="-2"/>
                <w:sz w:val="18"/>
                <w:szCs w:val="18"/>
                <w14:textOutline w14:w="3265" w14:cap="flat" w14:cmpd="sng">
                  <w14:solidFill>
                    <w14:srgbClr w14:val="000000"/>
                  </w14:solidFill>
                  <w14:prstDash w14:val="solid"/>
                  <w14:miter w14:val="0"/>
                </w14:textOutline>
              </w:rPr>
              <w:t>自然</w:t>
            </w:r>
          </w:p>
          <w:p>
            <w:pPr>
              <w:pStyle w:val="6"/>
              <w:spacing w:before="24" w:line="203" w:lineRule="auto"/>
              <w:ind w:left="412"/>
              <w:rPr>
                <w:sz w:val="18"/>
                <w:szCs w:val="18"/>
              </w:rPr>
            </w:pPr>
            <w:r>
              <w:rPr>
                <w:rFonts w:ascii="仿宋" w:hAnsi="仿宋" w:eastAsia="仿宋" w:cs="仿宋"/>
                <w:spacing w:val="-8"/>
                <w:sz w:val="18"/>
                <w:szCs w:val="18"/>
                <w14:textOutline w14:w="3265" w14:cap="flat" w14:cmpd="sng">
                  <w14:solidFill>
                    <w14:srgbClr w14:val="000000"/>
                  </w14:solidFill>
                  <w14:prstDash w14:val="solid"/>
                  <w14:miter w14:val="0"/>
                </w14:textOutline>
              </w:rPr>
              <w:t>方</w:t>
            </w:r>
            <w:r>
              <w:rPr>
                <w:b/>
                <w:bCs/>
                <w:spacing w:val="-8"/>
                <w:sz w:val="18"/>
                <w:szCs w:val="18"/>
              </w:rPr>
              <w:t>)</w:t>
            </w:r>
          </w:p>
        </w:tc>
        <w:tc>
          <w:tcPr>
            <w:tcW w:w="897" w:type="dxa"/>
            <w:vAlign w:val="top"/>
          </w:tcPr>
          <w:p>
            <w:pPr>
              <w:pStyle w:val="6"/>
              <w:spacing w:before="30" w:line="221" w:lineRule="auto"/>
              <w:ind w:left="342" w:right="144" w:hanging="186"/>
              <w:rPr>
                <w:sz w:val="18"/>
                <w:szCs w:val="18"/>
              </w:rPr>
            </w:pPr>
            <w:r>
              <w:rPr>
                <w:rFonts w:ascii="仿宋" w:hAnsi="仿宋" w:eastAsia="仿宋" w:cs="仿宋"/>
                <w:spacing w:val="-3"/>
                <w:sz w:val="18"/>
                <w:szCs w:val="18"/>
                <w14:textOutline w14:w="3265" w14:cap="flat" w14:cmpd="sng">
                  <w14:solidFill>
                    <w14:srgbClr w14:val="000000"/>
                  </w14:solidFill>
                  <w14:prstDash w14:val="solid"/>
                  <w14:miter w14:val="0"/>
                </w14:textOutline>
              </w:rPr>
              <w:t>数量</w:t>
            </w:r>
            <w:r>
              <w:rPr>
                <w:b/>
                <w:bCs/>
                <w:spacing w:val="-3"/>
                <w:sz w:val="18"/>
                <w:szCs w:val="18"/>
              </w:rPr>
              <w:t>(</w:t>
            </w:r>
            <w:r>
              <w:rPr>
                <w:rFonts w:ascii="仿宋" w:hAnsi="仿宋" w:eastAsia="仿宋" w:cs="仿宋"/>
                <w:spacing w:val="-3"/>
                <w:sz w:val="18"/>
                <w:szCs w:val="18"/>
                <w14:textOutline w14:w="3265" w14:cap="flat" w14:cmpd="sng">
                  <w14:solidFill>
                    <w14:srgbClr w14:val="000000"/>
                  </w14:solidFill>
                  <w14:prstDash w14:val="solid"/>
                  <w14:miter w14:val="0"/>
                </w14:textOutline>
              </w:rPr>
              <w:t>松</w:t>
            </w:r>
            <w:r>
              <w:rPr>
                <w:rFonts w:ascii="仿宋" w:hAnsi="仿宋" w:eastAsia="仿宋" w:cs="仿宋"/>
                <w:spacing w:val="2"/>
                <w:sz w:val="18"/>
                <w:szCs w:val="18"/>
              </w:rPr>
              <w:t xml:space="preserve"> </w:t>
            </w:r>
            <w:r>
              <w:rPr>
                <w:rFonts w:ascii="仿宋" w:hAnsi="仿宋" w:eastAsia="仿宋" w:cs="仿宋"/>
                <w:spacing w:val="-8"/>
                <w:sz w:val="18"/>
                <w:szCs w:val="18"/>
                <w14:textOutline w14:w="3265" w14:cap="flat" w14:cmpd="sng">
                  <w14:solidFill>
                    <w14:srgbClr w14:val="000000"/>
                  </w14:solidFill>
                  <w14:prstDash w14:val="solid"/>
                  <w14:miter w14:val="0"/>
                </w14:textOutline>
              </w:rPr>
              <w:t>方</w:t>
            </w:r>
            <w:r>
              <w:rPr>
                <w:b/>
                <w:bCs/>
                <w:spacing w:val="-8"/>
                <w:sz w:val="18"/>
                <w:szCs w:val="18"/>
              </w:rPr>
              <w:t>)</w:t>
            </w:r>
          </w:p>
        </w:tc>
        <w:tc>
          <w:tcPr>
            <w:tcW w:w="1036" w:type="dxa"/>
            <w:tcBorders>
              <w:right w:val="nil"/>
            </w:tcBorders>
            <w:vAlign w:val="top"/>
          </w:tcPr>
          <w:p>
            <w:pPr>
              <w:spacing w:before="145" w:line="219" w:lineRule="auto"/>
              <w:ind w:left="171"/>
              <w:rPr>
                <w:rFonts w:ascii="仿宋" w:hAnsi="仿宋" w:eastAsia="仿宋" w:cs="仿宋"/>
                <w:sz w:val="18"/>
                <w:szCs w:val="18"/>
              </w:rPr>
            </w:pPr>
            <w:r>
              <w:rPr>
                <w:rFonts w:ascii="仿宋" w:hAnsi="仿宋" w:eastAsia="仿宋" w:cs="仿宋"/>
                <w:spacing w:val="-4"/>
                <w:sz w:val="18"/>
                <w:szCs w:val="18"/>
                <w14:textOutline w14:w="3265" w14:cap="flat" w14:cmpd="sng">
                  <w14:solidFill>
                    <w14:srgbClr w14:val="000000"/>
                  </w14:solidFill>
                  <w14:prstDash w14:val="solid"/>
                  <w14:miter w14:val="0"/>
                </w14:textOutline>
              </w:rPr>
              <w:t>弃渣流向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9" w:hRule="atLeast"/>
        </w:trPr>
        <w:tc>
          <w:tcPr>
            <w:tcW w:w="792" w:type="dxa"/>
            <w:vMerge w:val="restart"/>
            <w:tcBorders>
              <w:left w:val="nil"/>
              <w:bottom w:val="nil"/>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58" w:line="229" w:lineRule="auto"/>
              <w:ind w:left="233" w:right="116" w:hanging="84"/>
              <w:rPr>
                <w:rFonts w:ascii="仿宋" w:hAnsi="仿宋" w:eastAsia="仿宋" w:cs="仿宋"/>
                <w:sz w:val="18"/>
                <w:szCs w:val="18"/>
              </w:rPr>
            </w:pPr>
            <w:r>
              <w:rPr>
                <w:rFonts w:ascii="仿宋" w:hAnsi="仿宋" w:eastAsia="仿宋" w:cs="仿宋"/>
                <w:spacing w:val="-6"/>
                <w:sz w:val="18"/>
                <w:szCs w:val="18"/>
              </w:rPr>
              <w:t>交通道</w:t>
            </w:r>
            <w:r>
              <w:rPr>
                <w:rFonts w:ascii="仿宋" w:hAnsi="仿宋" w:eastAsia="仿宋" w:cs="仿宋"/>
                <w:sz w:val="18"/>
                <w:szCs w:val="18"/>
              </w:rPr>
              <w:t xml:space="preserve"> </w:t>
            </w:r>
            <w:r>
              <w:rPr>
                <w:rFonts w:ascii="仿宋" w:hAnsi="仿宋" w:eastAsia="仿宋" w:cs="仿宋"/>
                <w:spacing w:val="-3"/>
                <w:sz w:val="18"/>
                <w:szCs w:val="18"/>
              </w:rPr>
              <w:t>路区</w:t>
            </w:r>
          </w:p>
        </w:tc>
        <w:tc>
          <w:tcPr>
            <w:tcW w:w="1383" w:type="dxa"/>
            <w:vAlign w:val="top"/>
          </w:tcPr>
          <w:p>
            <w:pPr>
              <w:spacing w:before="30" w:line="220" w:lineRule="auto"/>
              <w:ind w:left="522" w:right="150" w:hanging="355"/>
              <w:rPr>
                <w:rFonts w:ascii="仿宋" w:hAnsi="仿宋" w:eastAsia="仿宋" w:cs="仿宋"/>
                <w:sz w:val="18"/>
                <w:szCs w:val="18"/>
              </w:rPr>
            </w:pPr>
            <w:r>
              <w:rPr>
                <w:rFonts w:ascii="仿宋" w:hAnsi="仿宋" w:eastAsia="仿宋" w:cs="仿宋"/>
                <w:spacing w:val="-4"/>
                <w:sz w:val="18"/>
                <w:szCs w:val="18"/>
              </w:rPr>
              <w:t>皮左黑改复建</w:t>
            </w:r>
            <w:r>
              <w:rPr>
                <w:rFonts w:ascii="仿宋" w:hAnsi="仿宋" w:eastAsia="仿宋" w:cs="仿宋"/>
                <w:spacing w:val="2"/>
                <w:sz w:val="18"/>
                <w:szCs w:val="18"/>
              </w:rPr>
              <w:t xml:space="preserve"> </w:t>
            </w:r>
            <w:r>
              <w:rPr>
                <w:rFonts w:ascii="仿宋" w:hAnsi="仿宋" w:eastAsia="仿宋" w:cs="仿宋"/>
                <w:spacing w:val="-4"/>
                <w:sz w:val="18"/>
                <w:szCs w:val="18"/>
              </w:rPr>
              <w:t>公路</w:t>
            </w:r>
          </w:p>
        </w:tc>
        <w:tc>
          <w:tcPr>
            <w:tcW w:w="910" w:type="dxa"/>
            <w:vAlign w:val="top"/>
          </w:tcPr>
          <w:p>
            <w:pPr>
              <w:pStyle w:val="6"/>
              <w:spacing w:before="177" w:line="188" w:lineRule="auto"/>
              <w:ind w:left="170"/>
              <w:rPr>
                <w:sz w:val="18"/>
                <w:szCs w:val="18"/>
              </w:rPr>
            </w:pPr>
            <w:r>
              <w:rPr>
                <w:spacing w:val="-2"/>
                <w:sz w:val="18"/>
                <w:szCs w:val="18"/>
              </w:rPr>
              <w:t>85016.0</w:t>
            </w:r>
          </w:p>
        </w:tc>
        <w:tc>
          <w:tcPr>
            <w:tcW w:w="843" w:type="dxa"/>
            <w:vAlign w:val="top"/>
          </w:tcPr>
          <w:p>
            <w:pPr>
              <w:rPr>
                <w:rFonts w:ascii="Arial"/>
                <w:sz w:val="21"/>
              </w:rPr>
            </w:pPr>
          </w:p>
        </w:tc>
        <w:tc>
          <w:tcPr>
            <w:tcW w:w="812" w:type="dxa"/>
            <w:vAlign w:val="top"/>
          </w:tcPr>
          <w:p>
            <w:pPr>
              <w:pStyle w:val="6"/>
              <w:spacing w:before="177" w:line="188" w:lineRule="auto"/>
              <w:ind w:left="133"/>
              <w:rPr>
                <w:sz w:val="18"/>
                <w:szCs w:val="18"/>
              </w:rPr>
            </w:pPr>
            <w:r>
              <w:rPr>
                <w:spacing w:val="-4"/>
                <w:sz w:val="18"/>
                <w:szCs w:val="18"/>
              </w:rPr>
              <w:t>11822.0</w:t>
            </w:r>
          </w:p>
        </w:tc>
        <w:tc>
          <w:tcPr>
            <w:tcW w:w="750" w:type="dxa"/>
            <w:vAlign w:val="top"/>
          </w:tcPr>
          <w:p>
            <w:pPr>
              <w:rPr>
                <w:rFonts w:ascii="Arial"/>
                <w:sz w:val="21"/>
              </w:rPr>
            </w:pPr>
          </w:p>
        </w:tc>
        <w:tc>
          <w:tcPr>
            <w:tcW w:w="1762" w:type="dxa"/>
            <w:vAlign w:val="top"/>
          </w:tcPr>
          <w:p>
            <w:pPr>
              <w:rPr>
                <w:rFonts w:ascii="Arial"/>
                <w:sz w:val="21"/>
              </w:rPr>
            </w:pP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pStyle w:val="6"/>
              <w:spacing w:before="177" w:line="188" w:lineRule="auto"/>
              <w:ind w:left="229"/>
              <w:rPr>
                <w:sz w:val="18"/>
                <w:szCs w:val="18"/>
              </w:rPr>
            </w:pPr>
            <w:r>
              <w:rPr>
                <w:spacing w:val="-1"/>
                <w:sz w:val="18"/>
                <w:szCs w:val="18"/>
              </w:rPr>
              <w:t>73194.0</w:t>
            </w:r>
          </w:p>
        </w:tc>
        <w:tc>
          <w:tcPr>
            <w:tcW w:w="897" w:type="dxa"/>
            <w:vAlign w:val="top"/>
          </w:tcPr>
          <w:p>
            <w:pPr>
              <w:pStyle w:val="6"/>
              <w:spacing w:before="177" w:line="188" w:lineRule="auto"/>
              <w:ind w:left="160"/>
              <w:rPr>
                <w:sz w:val="18"/>
                <w:szCs w:val="18"/>
              </w:rPr>
            </w:pPr>
            <w:r>
              <w:rPr>
                <w:spacing w:val="-1"/>
                <w:sz w:val="18"/>
                <w:szCs w:val="18"/>
              </w:rPr>
              <w:t>91492.5</w:t>
            </w:r>
          </w:p>
        </w:tc>
        <w:tc>
          <w:tcPr>
            <w:tcW w:w="1036" w:type="dxa"/>
            <w:tcBorders>
              <w:right w:val="nil"/>
            </w:tcBorders>
            <w:vAlign w:val="top"/>
          </w:tcPr>
          <w:p>
            <w:pPr>
              <w:pStyle w:val="6"/>
              <w:spacing w:before="146" w:line="219" w:lineRule="auto"/>
              <w:ind w:left="176"/>
              <w:rPr>
                <w:rFonts w:ascii="仿宋" w:hAnsi="仿宋" w:eastAsia="仿宋" w:cs="仿宋"/>
                <w:sz w:val="18"/>
                <w:szCs w:val="18"/>
              </w:rPr>
            </w:pPr>
            <w:r>
              <w:rPr>
                <w:spacing w:val="-5"/>
                <w:sz w:val="18"/>
                <w:szCs w:val="18"/>
              </w:rPr>
              <w:t>1#</w:t>
            </w:r>
            <w:r>
              <w:rPr>
                <w:rFonts w:ascii="仿宋" w:hAnsi="仿宋" w:eastAsia="仿宋" w:cs="仿宋"/>
                <w:spacing w:val="-5"/>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8" w:hRule="atLeast"/>
        </w:trPr>
        <w:tc>
          <w:tcPr>
            <w:tcW w:w="792" w:type="dxa"/>
            <w:vMerge w:val="continue"/>
            <w:tcBorders>
              <w:top w:val="nil"/>
              <w:left w:val="nil"/>
              <w:bottom w:val="nil"/>
            </w:tcBorders>
            <w:vAlign w:val="top"/>
          </w:tcPr>
          <w:p>
            <w:pPr>
              <w:rPr>
                <w:rFonts w:ascii="Arial"/>
                <w:sz w:val="21"/>
              </w:rPr>
            </w:pPr>
          </w:p>
        </w:tc>
        <w:tc>
          <w:tcPr>
            <w:tcW w:w="1383" w:type="dxa"/>
            <w:vAlign w:val="top"/>
          </w:tcPr>
          <w:p>
            <w:pPr>
              <w:spacing w:before="32" w:line="200" w:lineRule="auto"/>
              <w:ind w:left="166"/>
              <w:rPr>
                <w:rFonts w:ascii="仿宋" w:hAnsi="仿宋" w:eastAsia="仿宋" w:cs="仿宋"/>
                <w:sz w:val="18"/>
                <w:szCs w:val="18"/>
              </w:rPr>
            </w:pPr>
            <w:r>
              <w:rPr>
                <w:rFonts w:ascii="仿宋" w:hAnsi="仿宋" w:eastAsia="仿宋" w:cs="仿宋"/>
                <w:spacing w:val="-3"/>
                <w:sz w:val="18"/>
                <w:szCs w:val="18"/>
              </w:rPr>
              <w:t>瓦拉改建公路</w:t>
            </w:r>
          </w:p>
        </w:tc>
        <w:tc>
          <w:tcPr>
            <w:tcW w:w="910" w:type="dxa"/>
            <w:vAlign w:val="top"/>
          </w:tcPr>
          <w:p>
            <w:pPr>
              <w:pStyle w:val="6"/>
              <w:spacing w:before="63" w:line="188" w:lineRule="auto"/>
              <w:ind w:left="134"/>
              <w:rPr>
                <w:sz w:val="18"/>
                <w:szCs w:val="18"/>
              </w:rPr>
            </w:pPr>
            <w:r>
              <w:rPr>
                <w:spacing w:val="-3"/>
                <w:sz w:val="18"/>
                <w:szCs w:val="18"/>
              </w:rPr>
              <w:t>164899.0</w:t>
            </w:r>
          </w:p>
        </w:tc>
        <w:tc>
          <w:tcPr>
            <w:tcW w:w="843" w:type="dxa"/>
            <w:vAlign w:val="top"/>
          </w:tcPr>
          <w:p>
            <w:pPr>
              <w:spacing w:line="227" w:lineRule="exact"/>
              <w:rPr>
                <w:rFonts w:ascii="Arial"/>
                <w:sz w:val="19"/>
              </w:rPr>
            </w:pPr>
          </w:p>
        </w:tc>
        <w:tc>
          <w:tcPr>
            <w:tcW w:w="812" w:type="dxa"/>
            <w:vAlign w:val="top"/>
          </w:tcPr>
          <w:p>
            <w:pPr>
              <w:pStyle w:val="6"/>
              <w:spacing w:before="63" w:line="188" w:lineRule="auto"/>
              <w:ind w:left="161"/>
              <w:rPr>
                <w:sz w:val="18"/>
                <w:szCs w:val="18"/>
              </w:rPr>
            </w:pPr>
            <w:r>
              <w:rPr>
                <w:spacing w:val="-2"/>
                <w:sz w:val="18"/>
                <w:szCs w:val="18"/>
              </w:rPr>
              <w:t>9601.0</w:t>
            </w:r>
          </w:p>
        </w:tc>
        <w:tc>
          <w:tcPr>
            <w:tcW w:w="750" w:type="dxa"/>
            <w:vAlign w:val="top"/>
          </w:tcPr>
          <w:p>
            <w:pPr>
              <w:spacing w:line="227" w:lineRule="exact"/>
              <w:rPr>
                <w:rFonts w:ascii="Arial"/>
                <w:sz w:val="19"/>
              </w:rPr>
            </w:pPr>
          </w:p>
        </w:tc>
        <w:tc>
          <w:tcPr>
            <w:tcW w:w="1762" w:type="dxa"/>
            <w:vAlign w:val="top"/>
          </w:tcPr>
          <w:p>
            <w:pPr>
              <w:spacing w:line="227" w:lineRule="exact"/>
              <w:rPr>
                <w:rFonts w:ascii="Arial"/>
                <w:sz w:val="19"/>
              </w:rPr>
            </w:pPr>
          </w:p>
        </w:tc>
        <w:tc>
          <w:tcPr>
            <w:tcW w:w="739" w:type="dxa"/>
            <w:vAlign w:val="top"/>
          </w:tcPr>
          <w:p>
            <w:pPr>
              <w:spacing w:line="227" w:lineRule="exact"/>
              <w:rPr>
                <w:rFonts w:ascii="Arial"/>
                <w:sz w:val="19"/>
              </w:rPr>
            </w:pPr>
          </w:p>
        </w:tc>
        <w:tc>
          <w:tcPr>
            <w:tcW w:w="1164" w:type="dxa"/>
            <w:vAlign w:val="top"/>
          </w:tcPr>
          <w:p>
            <w:pPr>
              <w:spacing w:line="227" w:lineRule="exact"/>
              <w:rPr>
                <w:rFonts w:ascii="Arial"/>
                <w:sz w:val="19"/>
              </w:rPr>
            </w:pPr>
          </w:p>
        </w:tc>
        <w:tc>
          <w:tcPr>
            <w:tcW w:w="910" w:type="dxa"/>
            <w:vAlign w:val="top"/>
          </w:tcPr>
          <w:p>
            <w:pPr>
              <w:spacing w:line="227" w:lineRule="exact"/>
              <w:rPr>
                <w:rFonts w:ascii="Arial"/>
                <w:sz w:val="19"/>
              </w:rPr>
            </w:pPr>
          </w:p>
        </w:tc>
        <w:tc>
          <w:tcPr>
            <w:tcW w:w="983" w:type="dxa"/>
            <w:vAlign w:val="top"/>
          </w:tcPr>
          <w:p>
            <w:pPr>
              <w:spacing w:line="227" w:lineRule="exact"/>
              <w:rPr>
                <w:rFonts w:ascii="Arial"/>
                <w:sz w:val="19"/>
              </w:rPr>
            </w:pPr>
          </w:p>
        </w:tc>
        <w:tc>
          <w:tcPr>
            <w:tcW w:w="1036" w:type="dxa"/>
            <w:vAlign w:val="top"/>
          </w:tcPr>
          <w:p>
            <w:pPr>
              <w:pStyle w:val="6"/>
              <w:spacing w:before="63" w:line="188" w:lineRule="auto"/>
              <w:ind w:left="199"/>
              <w:rPr>
                <w:sz w:val="18"/>
                <w:szCs w:val="18"/>
              </w:rPr>
            </w:pPr>
            <w:r>
              <w:rPr>
                <w:spacing w:val="-3"/>
                <w:sz w:val="18"/>
                <w:szCs w:val="18"/>
              </w:rPr>
              <w:t>155298.0</w:t>
            </w:r>
          </w:p>
        </w:tc>
        <w:tc>
          <w:tcPr>
            <w:tcW w:w="897" w:type="dxa"/>
            <w:vAlign w:val="top"/>
          </w:tcPr>
          <w:p>
            <w:pPr>
              <w:pStyle w:val="6"/>
              <w:spacing w:before="63" w:line="188" w:lineRule="auto"/>
              <w:ind w:left="129"/>
              <w:rPr>
                <w:sz w:val="18"/>
                <w:szCs w:val="18"/>
              </w:rPr>
            </w:pPr>
            <w:r>
              <w:rPr>
                <w:spacing w:val="-3"/>
                <w:sz w:val="18"/>
                <w:szCs w:val="18"/>
              </w:rPr>
              <w:t>194122.5</w:t>
            </w:r>
          </w:p>
        </w:tc>
        <w:tc>
          <w:tcPr>
            <w:tcW w:w="1036" w:type="dxa"/>
            <w:tcBorders>
              <w:right w:val="nil"/>
            </w:tcBorders>
            <w:vAlign w:val="top"/>
          </w:tcPr>
          <w:p>
            <w:pPr>
              <w:pStyle w:val="6"/>
              <w:spacing w:before="32" w:line="200" w:lineRule="auto"/>
              <w:ind w:left="159"/>
              <w:rPr>
                <w:rFonts w:ascii="仿宋" w:hAnsi="仿宋" w:eastAsia="仿宋" w:cs="仿宋"/>
                <w:sz w:val="18"/>
                <w:szCs w:val="18"/>
              </w:rPr>
            </w:pPr>
            <w:r>
              <w:rPr>
                <w:spacing w:val="-1"/>
                <w:sz w:val="18"/>
                <w:szCs w:val="18"/>
              </w:rPr>
              <w:t>2#</w:t>
            </w:r>
            <w:r>
              <w:rPr>
                <w:rFonts w:ascii="仿宋" w:hAnsi="仿宋" w:eastAsia="仿宋" w:cs="仿宋"/>
                <w:spacing w:val="-1"/>
                <w:sz w:val="18"/>
                <w:szCs w:val="18"/>
              </w:rPr>
              <w:t>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8" w:hRule="atLeast"/>
        </w:trPr>
        <w:tc>
          <w:tcPr>
            <w:tcW w:w="792" w:type="dxa"/>
            <w:vMerge w:val="continue"/>
            <w:tcBorders>
              <w:top w:val="nil"/>
              <w:left w:val="nil"/>
              <w:bottom w:val="nil"/>
            </w:tcBorders>
            <w:vAlign w:val="top"/>
          </w:tcPr>
          <w:p>
            <w:pPr>
              <w:rPr>
                <w:rFonts w:ascii="Arial"/>
                <w:sz w:val="21"/>
              </w:rPr>
            </w:pPr>
          </w:p>
        </w:tc>
        <w:tc>
          <w:tcPr>
            <w:tcW w:w="1383" w:type="dxa"/>
            <w:vAlign w:val="top"/>
          </w:tcPr>
          <w:p>
            <w:pPr>
              <w:spacing w:before="33" w:line="199" w:lineRule="auto"/>
              <w:ind w:left="158"/>
              <w:rPr>
                <w:rFonts w:ascii="仿宋" w:hAnsi="仿宋" w:eastAsia="仿宋" w:cs="仿宋"/>
                <w:sz w:val="18"/>
                <w:szCs w:val="18"/>
              </w:rPr>
            </w:pPr>
            <w:r>
              <w:rPr>
                <w:rFonts w:ascii="仿宋" w:hAnsi="仿宋" w:eastAsia="仿宋" w:cs="仿宋"/>
                <w:spacing w:val="-2"/>
                <w:sz w:val="18"/>
                <w:szCs w:val="18"/>
              </w:rPr>
              <w:t>新建上坝公路</w:t>
            </w:r>
          </w:p>
        </w:tc>
        <w:tc>
          <w:tcPr>
            <w:tcW w:w="910" w:type="dxa"/>
            <w:vAlign w:val="top"/>
          </w:tcPr>
          <w:p>
            <w:pPr>
              <w:pStyle w:val="6"/>
              <w:spacing w:before="63" w:line="188" w:lineRule="auto"/>
              <w:ind w:left="253"/>
              <w:rPr>
                <w:sz w:val="18"/>
                <w:szCs w:val="18"/>
              </w:rPr>
            </w:pPr>
            <w:r>
              <w:rPr>
                <w:spacing w:val="-1"/>
                <w:sz w:val="18"/>
                <w:szCs w:val="18"/>
              </w:rPr>
              <w:t>235.0</w:t>
            </w:r>
          </w:p>
        </w:tc>
        <w:tc>
          <w:tcPr>
            <w:tcW w:w="843" w:type="dxa"/>
            <w:vAlign w:val="top"/>
          </w:tcPr>
          <w:p>
            <w:pPr>
              <w:spacing w:line="227" w:lineRule="exact"/>
              <w:rPr>
                <w:rFonts w:ascii="Arial"/>
                <w:sz w:val="19"/>
              </w:rPr>
            </w:pPr>
          </w:p>
        </w:tc>
        <w:tc>
          <w:tcPr>
            <w:tcW w:w="812" w:type="dxa"/>
            <w:vAlign w:val="top"/>
          </w:tcPr>
          <w:p>
            <w:pPr>
              <w:pStyle w:val="6"/>
              <w:spacing w:before="63" w:line="188" w:lineRule="auto"/>
              <w:ind w:left="202"/>
              <w:rPr>
                <w:sz w:val="18"/>
                <w:szCs w:val="18"/>
              </w:rPr>
            </w:pPr>
            <w:r>
              <w:rPr>
                <w:spacing w:val="-1"/>
                <w:sz w:val="18"/>
                <w:szCs w:val="18"/>
              </w:rPr>
              <w:t>235.0</w:t>
            </w:r>
          </w:p>
        </w:tc>
        <w:tc>
          <w:tcPr>
            <w:tcW w:w="750" w:type="dxa"/>
            <w:vAlign w:val="top"/>
          </w:tcPr>
          <w:p>
            <w:pPr>
              <w:spacing w:line="227" w:lineRule="exact"/>
              <w:rPr>
                <w:rFonts w:ascii="Arial"/>
                <w:sz w:val="19"/>
              </w:rPr>
            </w:pPr>
          </w:p>
        </w:tc>
        <w:tc>
          <w:tcPr>
            <w:tcW w:w="1762" w:type="dxa"/>
            <w:vAlign w:val="top"/>
          </w:tcPr>
          <w:p>
            <w:pPr>
              <w:spacing w:line="227" w:lineRule="exact"/>
              <w:rPr>
                <w:rFonts w:ascii="Arial"/>
                <w:sz w:val="19"/>
              </w:rPr>
            </w:pPr>
          </w:p>
        </w:tc>
        <w:tc>
          <w:tcPr>
            <w:tcW w:w="739" w:type="dxa"/>
            <w:vAlign w:val="top"/>
          </w:tcPr>
          <w:p>
            <w:pPr>
              <w:spacing w:line="227" w:lineRule="exact"/>
              <w:rPr>
                <w:rFonts w:ascii="Arial"/>
                <w:sz w:val="19"/>
              </w:rPr>
            </w:pPr>
          </w:p>
        </w:tc>
        <w:tc>
          <w:tcPr>
            <w:tcW w:w="1164" w:type="dxa"/>
            <w:vAlign w:val="top"/>
          </w:tcPr>
          <w:p>
            <w:pPr>
              <w:spacing w:line="227" w:lineRule="exact"/>
              <w:rPr>
                <w:rFonts w:ascii="Arial"/>
                <w:sz w:val="19"/>
              </w:rPr>
            </w:pPr>
          </w:p>
        </w:tc>
        <w:tc>
          <w:tcPr>
            <w:tcW w:w="910" w:type="dxa"/>
            <w:vAlign w:val="top"/>
          </w:tcPr>
          <w:p>
            <w:pPr>
              <w:spacing w:line="227" w:lineRule="exact"/>
              <w:rPr>
                <w:rFonts w:ascii="Arial"/>
                <w:sz w:val="19"/>
              </w:rPr>
            </w:pPr>
          </w:p>
        </w:tc>
        <w:tc>
          <w:tcPr>
            <w:tcW w:w="983" w:type="dxa"/>
            <w:vAlign w:val="top"/>
          </w:tcPr>
          <w:p>
            <w:pPr>
              <w:spacing w:line="227" w:lineRule="exact"/>
              <w:rPr>
                <w:rFonts w:ascii="Arial"/>
                <w:sz w:val="19"/>
              </w:rPr>
            </w:pPr>
          </w:p>
        </w:tc>
        <w:tc>
          <w:tcPr>
            <w:tcW w:w="1036" w:type="dxa"/>
            <w:vAlign w:val="top"/>
          </w:tcPr>
          <w:p>
            <w:pPr>
              <w:spacing w:line="227" w:lineRule="exact"/>
              <w:rPr>
                <w:rFonts w:ascii="Arial"/>
                <w:sz w:val="19"/>
              </w:rPr>
            </w:pPr>
          </w:p>
        </w:tc>
        <w:tc>
          <w:tcPr>
            <w:tcW w:w="897" w:type="dxa"/>
            <w:vAlign w:val="top"/>
          </w:tcPr>
          <w:p>
            <w:pPr>
              <w:spacing w:line="227" w:lineRule="exact"/>
              <w:rPr>
                <w:rFonts w:ascii="Arial"/>
                <w:sz w:val="19"/>
              </w:rPr>
            </w:pPr>
          </w:p>
        </w:tc>
        <w:tc>
          <w:tcPr>
            <w:tcW w:w="1036" w:type="dxa"/>
            <w:tcBorders>
              <w:right w:val="nil"/>
            </w:tcBorders>
            <w:vAlign w:val="top"/>
          </w:tcPr>
          <w:p>
            <w:pPr>
              <w:spacing w:line="227" w:lineRule="exact"/>
              <w:rPr>
                <w:rFonts w:ascii="Arial"/>
                <w:sz w:val="1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0" w:hRule="atLeast"/>
        </w:trPr>
        <w:tc>
          <w:tcPr>
            <w:tcW w:w="792" w:type="dxa"/>
            <w:vMerge w:val="continue"/>
            <w:tcBorders>
              <w:top w:val="nil"/>
              <w:left w:val="nil"/>
              <w:bottom w:val="nil"/>
            </w:tcBorders>
            <w:vAlign w:val="top"/>
          </w:tcPr>
          <w:p>
            <w:pPr>
              <w:rPr>
                <w:rFonts w:ascii="Arial"/>
                <w:sz w:val="21"/>
              </w:rPr>
            </w:pPr>
          </w:p>
        </w:tc>
        <w:tc>
          <w:tcPr>
            <w:tcW w:w="1383" w:type="dxa"/>
            <w:vAlign w:val="top"/>
          </w:tcPr>
          <w:p>
            <w:pPr>
              <w:spacing w:before="34" w:line="218" w:lineRule="auto"/>
              <w:ind w:left="265" w:right="150" w:hanging="102"/>
              <w:rPr>
                <w:rFonts w:ascii="仿宋" w:hAnsi="仿宋" w:eastAsia="仿宋" w:cs="仿宋"/>
                <w:sz w:val="18"/>
                <w:szCs w:val="18"/>
              </w:rPr>
            </w:pPr>
            <w:r>
              <w:rPr>
                <w:rFonts w:ascii="仿宋" w:hAnsi="仿宋" w:eastAsia="仿宋" w:cs="仿宋"/>
                <w:spacing w:val="-3"/>
                <w:sz w:val="18"/>
                <w:szCs w:val="18"/>
              </w:rPr>
              <w:t>坝顶至竖井平</w:t>
            </w:r>
            <w:r>
              <w:rPr>
                <w:rFonts w:ascii="仿宋" w:hAnsi="仿宋" w:eastAsia="仿宋" w:cs="仿宋"/>
                <w:sz w:val="18"/>
                <w:szCs w:val="18"/>
              </w:rPr>
              <w:t xml:space="preserve"> </w:t>
            </w:r>
            <w:r>
              <w:rPr>
                <w:rFonts w:ascii="仿宋" w:hAnsi="仿宋" w:eastAsia="仿宋" w:cs="仿宋"/>
                <w:spacing w:val="-5"/>
                <w:sz w:val="18"/>
                <w:szCs w:val="18"/>
              </w:rPr>
              <w:t>台永久道路</w:t>
            </w:r>
          </w:p>
        </w:tc>
        <w:tc>
          <w:tcPr>
            <w:tcW w:w="910" w:type="dxa"/>
            <w:vAlign w:val="top"/>
          </w:tcPr>
          <w:p>
            <w:pPr>
              <w:pStyle w:val="6"/>
              <w:spacing w:before="180" w:line="188" w:lineRule="auto"/>
              <w:ind w:left="260"/>
              <w:rPr>
                <w:sz w:val="18"/>
                <w:szCs w:val="18"/>
              </w:rPr>
            </w:pPr>
            <w:r>
              <w:rPr>
                <w:spacing w:val="-3"/>
                <w:sz w:val="18"/>
                <w:szCs w:val="18"/>
              </w:rPr>
              <w:t>311.0</w:t>
            </w:r>
          </w:p>
        </w:tc>
        <w:tc>
          <w:tcPr>
            <w:tcW w:w="843" w:type="dxa"/>
            <w:vAlign w:val="top"/>
          </w:tcPr>
          <w:p>
            <w:pPr>
              <w:rPr>
                <w:rFonts w:ascii="Arial"/>
                <w:sz w:val="21"/>
              </w:rPr>
            </w:pPr>
          </w:p>
        </w:tc>
        <w:tc>
          <w:tcPr>
            <w:tcW w:w="812" w:type="dxa"/>
            <w:vAlign w:val="top"/>
          </w:tcPr>
          <w:p>
            <w:pPr>
              <w:pStyle w:val="6"/>
              <w:spacing w:before="180" w:line="188" w:lineRule="auto"/>
              <w:ind w:left="210"/>
              <w:rPr>
                <w:sz w:val="18"/>
                <w:szCs w:val="18"/>
              </w:rPr>
            </w:pPr>
            <w:r>
              <w:rPr>
                <w:spacing w:val="-3"/>
                <w:sz w:val="18"/>
                <w:szCs w:val="18"/>
              </w:rPr>
              <w:t>311.0</w:t>
            </w:r>
          </w:p>
        </w:tc>
        <w:tc>
          <w:tcPr>
            <w:tcW w:w="750" w:type="dxa"/>
            <w:vAlign w:val="top"/>
          </w:tcPr>
          <w:p>
            <w:pPr>
              <w:rPr>
                <w:rFonts w:ascii="Arial"/>
                <w:sz w:val="21"/>
              </w:rPr>
            </w:pPr>
          </w:p>
        </w:tc>
        <w:tc>
          <w:tcPr>
            <w:tcW w:w="1762" w:type="dxa"/>
            <w:vAlign w:val="top"/>
          </w:tcPr>
          <w:p>
            <w:pPr>
              <w:rPr>
                <w:rFonts w:ascii="Arial"/>
                <w:sz w:val="21"/>
              </w:rPr>
            </w:pP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rPr>
                <w:rFonts w:ascii="Arial"/>
                <w:sz w:val="21"/>
              </w:rPr>
            </w:pPr>
          </w:p>
        </w:tc>
        <w:tc>
          <w:tcPr>
            <w:tcW w:w="897" w:type="dxa"/>
            <w:vAlign w:val="top"/>
          </w:tcPr>
          <w:p>
            <w:pPr>
              <w:rPr>
                <w:rFonts w:ascii="Arial"/>
                <w:sz w:val="21"/>
              </w:rPr>
            </w:pPr>
          </w:p>
        </w:tc>
        <w:tc>
          <w:tcPr>
            <w:tcW w:w="103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1" w:hRule="atLeast"/>
        </w:trPr>
        <w:tc>
          <w:tcPr>
            <w:tcW w:w="792" w:type="dxa"/>
            <w:vMerge w:val="continue"/>
            <w:tcBorders>
              <w:top w:val="nil"/>
              <w:left w:val="nil"/>
              <w:bottom w:val="nil"/>
            </w:tcBorders>
            <w:vAlign w:val="top"/>
          </w:tcPr>
          <w:p>
            <w:pPr>
              <w:rPr>
                <w:rFonts w:ascii="Arial"/>
                <w:sz w:val="21"/>
              </w:rPr>
            </w:pPr>
          </w:p>
        </w:tc>
        <w:tc>
          <w:tcPr>
            <w:tcW w:w="1383" w:type="dxa"/>
            <w:vAlign w:val="top"/>
          </w:tcPr>
          <w:p>
            <w:pPr>
              <w:spacing w:before="35" w:line="218" w:lineRule="auto"/>
              <w:ind w:left="441" w:right="150" w:hanging="283"/>
              <w:rPr>
                <w:rFonts w:ascii="仿宋" w:hAnsi="仿宋" w:eastAsia="仿宋" w:cs="仿宋"/>
                <w:sz w:val="18"/>
                <w:szCs w:val="18"/>
              </w:rPr>
            </w:pPr>
            <w:r>
              <w:rPr>
                <w:rFonts w:ascii="仿宋" w:hAnsi="仿宋" w:eastAsia="仿宋" w:cs="仿宋"/>
                <w:spacing w:val="-2"/>
                <w:sz w:val="18"/>
                <w:szCs w:val="18"/>
              </w:rPr>
              <w:t>枢纽区施工临</w:t>
            </w:r>
            <w:r>
              <w:rPr>
                <w:rFonts w:ascii="仿宋" w:hAnsi="仿宋" w:eastAsia="仿宋" w:cs="仿宋"/>
                <w:sz w:val="18"/>
                <w:szCs w:val="18"/>
              </w:rPr>
              <w:t xml:space="preserve"> </w:t>
            </w:r>
            <w:r>
              <w:rPr>
                <w:rFonts w:ascii="仿宋" w:hAnsi="仿宋" w:eastAsia="仿宋" w:cs="仿宋"/>
                <w:spacing w:val="-6"/>
                <w:sz w:val="18"/>
                <w:szCs w:val="18"/>
              </w:rPr>
              <w:t>时道路</w:t>
            </w:r>
          </w:p>
        </w:tc>
        <w:tc>
          <w:tcPr>
            <w:tcW w:w="910" w:type="dxa"/>
            <w:vAlign w:val="top"/>
          </w:tcPr>
          <w:p>
            <w:pPr>
              <w:pStyle w:val="6"/>
              <w:spacing w:before="183" w:line="188" w:lineRule="auto"/>
              <w:ind w:left="211"/>
              <w:rPr>
                <w:sz w:val="18"/>
                <w:szCs w:val="18"/>
              </w:rPr>
            </w:pPr>
            <w:r>
              <w:rPr>
                <w:spacing w:val="-2"/>
                <w:sz w:val="18"/>
                <w:szCs w:val="18"/>
              </w:rPr>
              <w:t>3783.0</w:t>
            </w:r>
          </w:p>
        </w:tc>
        <w:tc>
          <w:tcPr>
            <w:tcW w:w="843" w:type="dxa"/>
            <w:vAlign w:val="top"/>
          </w:tcPr>
          <w:p>
            <w:pPr>
              <w:pStyle w:val="6"/>
              <w:spacing w:before="183" w:line="188" w:lineRule="auto"/>
              <w:ind w:left="173"/>
              <w:rPr>
                <w:sz w:val="18"/>
                <w:szCs w:val="18"/>
              </w:rPr>
            </w:pPr>
            <w:r>
              <w:rPr>
                <w:spacing w:val="-1"/>
                <w:sz w:val="18"/>
                <w:szCs w:val="18"/>
              </w:rPr>
              <w:t>4772.0</w:t>
            </w:r>
          </w:p>
        </w:tc>
        <w:tc>
          <w:tcPr>
            <w:tcW w:w="812" w:type="dxa"/>
            <w:vAlign w:val="top"/>
          </w:tcPr>
          <w:p>
            <w:pPr>
              <w:pStyle w:val="6"/>
              <w:spacing w:before="183" w:line="188" w:lineRule="auto"/>
              <w:ind w:left="162"/>
              <w:rPr>
                <w:sz w:val="18"/>
                <w:szCs w:val="18"/>
              </w:rPr>
            </w:pPr>
            <w:r>
              <w:rPr>
                <w:spacing w:val="-2"/>
                <w:sz w:val="18"/>
                <w:szCs w:val="18"/>
              </w:rPr>
              <w:t>3783.0</w:t>
            </w:r>
          </w:p>
        </w:tc>
        <w:tc>
          <w:tcPr>
            <w:tcW w:w="750" w:type="dxa"/>
            <w:vAlign w:val="top"/>
          </w:tcPr>
          <w:p>
            <w:pPr>
              <w:pStyle w:val="6"/>
              <w:spacing w:before="183" w:line="188" w:lineRule="auto"/>
              <w:ind w:left="126"/>
              <w:rPr>
                <w:sz w:val="18"/>
                <w:szCs w:val="18"/>
              </w:rPr>
            </w:pPr>
            <w:r>
              <w:rPr>
                <w:spacing w:val="-1"/>
                <w:sz w:val="18"/>
                <w:szCs w:val="18"/>
              </w:rPr>
              <w:t>4772.0</w:t>
            </w:r>
          </w:p>
        </w:tc>
        <w:tc>
          <w:tcPr>
            <w:tcW w:w="1762" w:type="dxa"/>
            <w:vAlign w:val="top"/>
          </w:tcPr>
          <w:p>
            <w:pPr>
              <w:pStyle w:val="6"/>
              <w:spacing w:before="35" w:line="212" w:lineRule="auto"/>
              <w:ind w:left="166"/>
              <w:rPr>
                <w:rFonts w:ascii="仿宋" w:hAnsi="仿宋" w:eastAsia="仿宋" w:cs="仿宋"/>
                <w:sz w:val="18"/>
                <w:szCs w:val="18"/>
              </w:rPr>
            </w:pPr>
            <w:r>
              <w:rPr>
                <w:spacing w:val="-4"/>
                <w:sz w:val="18"/>
                <w:szCs w:val="18"/>
              </w:rPr>
              <w:t>3</w:t>
            </w:r>
            <w:r>
              <w:rPr>
                <w:spacing w:val="27"/>
                <w:w w:val="101"/>
                <w:sz w:val="18"/>
                <w:szCs w:val="18"/>
              </w:rPr>
              <w:t xml:space="preserve"> </w:t>
            </w:r>
            <w:r>
              <w:rPr>
                <w:rFonts w:ascii="仿宋" w:hAnsi="仿宋" w:eastAsia="仿宋" w:cs="仿宋"/>
                <w:spacing w:val="-4"/>
                <w:sz w:val="18"/>
                <w:szCs w:val="18"/>
              </w:rPr>
              <w:t>临时表土堆场</w:t>
            </w:r>
            <w:r>
              <w:rPr>
                <w:spacing w:val="-4"/>
                <w:sz w:val="18"/>
                <w:szCs w:val="18"/>
              </w:rPr>
              <w:t>,</w:t>
            </w:r>
            <w:r>
              <w:rPr>
                <w:rFonts w:ascii="仿宋" w:hAnsi="仿宋" w:eastAsia="仿宋" w:cs="仿宋"/>
                <w:spacing w:val="-4"/>
                <w:sz w:val="18"/>
                <w:szCs w:val="18"/>
              </w:rPr>
              <w:t>用</w:t>
            </w:r>
          </w:p>
          <w:p>
            <w:pPr>
              <w:spacing w:before="27" w:line="196" w:lineRule="auto"/>
              <w:ind w:left="264"/>
              <w:rPr>
                <w:rFonts w:ascii="仿宋" w:hAnsi="仿宋" w:eastAsia="仿宋" w:cs="仿宋"/>
                <w:sz w:val="18"/>
                <w:szCs w:val="18"/>
              </w:rPr>
            </w:pPr>
            <w:r>
              <w:rPr>
                <w:rFonts w:ascii="仿宋" w:hAnsi="仿宋" w:eastAsia="仿宋" w:cs="仿宋"/>
                <w:spacing w:val="-3"/>
                <w:sz w:val="18"/>
                <w:szCs w:val="18"/>
              </w:rPr>
              <w:t>于后期绿化覆土</w:t>
            </w: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rPr>
                <w:rFonts w:ascii="Arial"/>
                <w:sz w:val="21"/>
              </w:rPr>
            </w:pPr>
          </w:p>
        </w:tc>
        <w:tc>
          <w:tcPr>
            <w:tcW w:w="897" w:type="dxa"/>
            <w:vAlign w:val="top"/>
          </w:tcPr>
          <w:p>
            <w:pPr>
              <w:rPr>
                <w:rFonts w:ascii="Arial"/>
                <w:sz w:val="21"/>
              </w:rPr>
            </w:pPr>
          </w:p>
        </w:tc>
        <w:tc>
          <w:tcPr>
            <w:tcW w:w="103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70" w:hRule="atLeast"/>
        </w:trPr>
        <w:tc>
          <w:tcPr>
            <w:tcW w:w="792" w:type="dxa"/>
            <w:vMerge w:val="continue"/>
            <w:tcBorders>
              <w:top w:val="nil"/>
              <w:left w:val="nil"/>
              <w:bottom w:val="nil"/>
            </w:tcBorders>
            <w:vAlign w:val="top"/>
          </w:tcPr>
          <w:p>
            <w:pPr>
              <w:rPr>
                <w:rFonts w:ascii="Arial"/>
                <w:sz w:val="21"/>
              </w:rPr>
            </w:pPr>
          </w:p>
        </w:tc>
        <w:tc>
          <w:tcPr>
            <w:tcW w:w="1383" w:type="dxa"/>
            <w:vAlign w:val="top"/>
          </w:tcPr>
          <w:p>
            <w:pPr>
              <w:spacing w:before="36" w:line="217" w:lineRule="auto"/>
              <w:ind w:left="252" w:right="150" w:hanging="87"/>
              <w:rPr>
                <w:rFonts w:ascii="仿宋" w:hAnsi="仿宋" w:eastAsia="仿宋" w:cs="仿宋"/>
                <w:sz w:val="18"/>
                <w:szCs w:val="18"/>
              </w:rPr>
            </w:pPr>
            <w:r>
              <w:rPr>
                <w:rFonts w:ascii="仿宋" w:hAnsi="仿宋" w:eastAsia="仿宋" w:cs="仿宋"/>
                <w:spacing w:val="-4"/>
                <w:sz w:val="18"/>
                <w:szCs w:val="18"/>
              </w:rPr>
              <w:t>引水工程区施</w:t>
            </w:r>
            <w:r>
              <w:rPr>
                <w:rFonts w:ascii="仿宋" w:hAnsi="仿宋" w:eastAsia="仿宋" w:cs="仿宋"/>
                <w:spacing w:val="4"/>
                <w:sz w:val="18"/>
                <w:szCs w:val="18"/>
              </w:rPr>
              <w:t xml:space="preserve"> </w:t>
            </w:r>
            <w:r>
              <w:rPr>
                <w:rFonts w:ascii="仿宋" w:hAnsi="仿宋" w:eastAsia="仿宋" w:cs="仿宋"/>
                <w:spacing w:val="-3"/>
                <w:sz w:val="18"/>
                <w:szCs w:val="18"/>
              </w:rPr>
              <w:t>工临时道路</w:t>
            </w:r>
          </w:p>
        </w:tc>
        <w:tc>
          <w:tcPr>
            <w:tcW w:w="910" w:type="dxa"/>
            <w:vAlign w:val="top"/>
          </w:tcPr>
          <w:p>
            <w:pPr>
              <w:pStyle w:val="6"/>
              <w:spacing w:before="183" w:line="188" w:lineRule="auto"/>
              <w:ind w:left="212"/>
              <w:rPr>
                <w:sz w:val="18"/>
                <w:szCs w:val="18"/>
              </w:rPr>
            </w:pPr>
            <w:r>
              <w:rPr>
                <w:spacing w:val="-2"/>
                <w:sz w:val="18"/>
                <w:szCs w:val="18"/>
              </w:rPr>
              <w:t>5140.0</w:t>
            </w:r>
          </w:p>
        </w:tc>
        <w:tc>
          <w:tcPr>
            <w:tcW w:w="843" w:type="dxa"/>
            <w:vAlign w:val="top"/>
          </w:tcPr>
          <w:p>
            <w:pPr>
              <w:pStyle w:val="6"/>
              <w:spacing w:before="183" w:line="188" w:lineRule="auto"/>
              <w:ind w:left="178"/>
              <w:rPr>
                <w:sz w:val="18"/>
                <w:szCs w:val="18"/>
              </w:rPr>
            </w:pPr>
            <w:r>
              <w:rPr>
                <w:spacing w:val="-2"/>
                <w:sz w:val="18"/>
                <w:szCs w:val="18"/>
              </w:rPr>
              <w:t>6358.0</w:t>
            </w:r>
          </w:p>
        </w:tc>
        <w:tc>
          <w:tcPr>
            <w:tcW w:w="812" w:type="dxa"/>
            <w:vAlign w:val="top"/>
          </w:tcPr>
          <w:p>
            <w:pPr>
              <w:pStyle w:val="6"/>
              <w:spacing w:before="183" w:line="188" w:lineRule="auto"/>
              <w:ind w:left="163"/>
              <w:rPr>
                <w:sz w:val="18"/>
                <w:szCs w:val="18"/>
              </w:rPr>
            </w:pPr>
            <w:r>
              <w:rPr>
                <w:spacing w:val="-2"/>
                <w:sz w:val="18"/>
                <w:szCs w:val="18"/>
              </w:rPr>
              <w:t>5140.0</w:t>
            </w:r>
          </w:p>
        </w:tc>
        <w:tc>
          <w:tcPr>
            <w:tcW w:w="750" w:type="dxa"/>
            <w:vAlign w:val="top"/>
          </w:tcPr>
          <w:p>
            <w:pPr>
              <w:pStyle w:val="6"/>
              <w:spacing w:before="183" w:line="188" w:lineRule="auto"/>
              <w:ind w:left="131"/>
              <w:rPr>
                <w:sz w:val="18"/>
                <w:szCs w:val="18"/>
              </w:rPr>
            </w:pPr>
            <w:r>
              <w:rPr>
                <w:spacing w:val="-2"/>
                <w:sz w:val="18"/>
                <w:szCs w:val="18"/>
              </w:rPr>
              <w:t>6358.0</w:t>
            </w:r>
          </w:p>
        </w:tc>
        <w:tc>
          <w:tcPr>
            <w:tcW w:w="1762" w:type="dxa"/>
            <w:vAlign w:val="top"/>
          </w:tcPr>
          <w:p>
            <w:pPr>
              <w:pStyle w:val="6"/>
              <w:spacing w:before="36" w:line="217" w:lineRule="auto"/>
              <w:ind w:left="263" w:right="135" w:hanging="107"/>
              <w:rPr>
                <w:rFonts w:ascii="仿宋" w:hAnsi="仿宋" w:eastAsia="仿宋" w:cs="仿宋"/>
                <w:sz w:val="18"/>
                <w:szCs w:val="18"/>
              </w:rPr>
            </w:pPr>
            <w:r>
              <w:rPr>
                <w:spacing w:val="-3"/>
                <w:sz w:val="18"/>
                <w:szCs w:val="18"/>
              </w:rPr>
              <w:t>1#</w:t>
            </w:r>
            <w:r>
              <w:rPr>
                <w:rFonts w:ascii="仿宋" w:hAnsi="仿宋" w:eastAsia="仿宋" w:cs="仿宋"/>
                <w:spacing w:val="-3"/>
                <w:sz w:val="18"/>
                <w:szCs w:val="18"/>
              </w:rPr>
              <w:t>临时表土堆场</w:t>
            </w:r>
            <w:r>
              <w:rPr>
                <w:spacing w:val="-3"/>
                <w:sz w:val="18"/>
                <w:szCs w:val="18"/>
              </w:rPr>
              <w:t>,</w:t>
            </w:r>
            <w:r>
              <w:rPr>
                <w:rFonts w:ascii="仿宋" w:hAnsi="仿宋" w:eastAsia="仿宋" w:cs="仿宋"/>
                <w:spacing w:val="-3"/>
                <w:sz w:val="18"/>
                <w:szCs w:val="18"/>
              </w:rPr>
              <w:t>用</w:t>
            </w:r>
            <w:r>
              <w:rPr>
                <w:rFonts w:ascii="仿宋" w:hAnsi="仿宋" w:eastAsia="仿宋" w:cs="仿宋"/>
                <w:spacing w:val="8"/>
                <w:sz w:val="18"/>
                <w:szCs w:val="18"/>
              </w:rPr>
              <w:t xml:space="preserve"> </w:t>
            </w:r>
            <w:r>
              <w:rPr>
                <w:rFonts w:ascii="仿宋" w:hAnsi="仿宋" w:eastAsia="仿宋" w:cs="仿宋"/>
                <w:spacing w:val="-2"/>
                <w:sz w:val="18"/>
                <w:szCs w:val="18"/>
              </w:rPr>
              <w:t>于后期绿化覆土</w:t>
            </w: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rPr>
                <w:rFonts w:ascii="Arial"/>
                <w:sz w:val="21"/>
              </w:rPr>
            </w:pPr>
          </w:p>
        </w:tc>
        <w:tc>
          <w:tcPr>
            <w:tcW w:w="897" w:type="dxa"/>
            <w:vAlign w:val="top"/>
          </w:tcPr>
          <w:p>
            <w:pPr>
              <w:rPr>
                <w:rFonts w:ascii="Arial"/>
                <w:sz w:val="21"/>
              </w:rPr>
            </w:pPr>
          </w:p>
        </w:tc>
        <w:tc>
          <w:tcPr>
            <w:tcW w:w="103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92" w:type="dxa"/>
            <w:vMerge w:val="continue"/>
            <w:tcBorders>
              <w:top w:val="nil"/>
              <w:left w:val="nil"/>
              <w:bottom w:val="nil"/>
            </w:tcBorders>
            <w:vAlign w:val="top"/>
          </w:tcPr>
          <w:p>
            <w:pPr>
              <w:rPr>
                <w:rFonts w:ascii="Arial"/>
                <w:sz w:val="21"/>
              </w:rPr>
            </w:pPr>
          </w:p>
        </w:tc>
        <w:tc>
          <w:tcPr>
            <w:tcW w:w="1383" w:type="dxa"/>
            <w:vAlign w:val="top"/>
          </w:tcPr>
          <w:p>
            <w:pPr>
              <w:spacing w:before="155" w:line="219" w:lineRule="auto"/>
              <w:ind w:left="160"/>
              <w:rPr>
                <w:rFonts w:ascii="仿宋" w:hAnsi="仿宋" w:eastAsia="仿宋" w:cs="仿宋"/>
                <w:sz w:val="18"/>
                <w:szCs w:val="18"/>
              </w:rPr>
            </w:pPr>
            <w:r>
              <w:rPr>
                <w:rFonts w:ascii="仿宋" w:hAnsi="仿宋" w:eastAsia="仿宋" w:cs="仿宋"/>
                <w:spacing w:val="-2"/>
                <w:sz w:val="18"/>
                <w:szCs w:val="18"/>
              </w:rPr>
              <w:t>输水工程区施</w:t>
            </w:r>
          </w:p>
          <w:p>
            <w:pPr>
              <w:spacing w:before="20" w:line="219" w:lineRule="auto"/>
              <w:ind w:left="253"/>
              <w:rPr>
                <w:rFonts w:ascii="仿宋" w:hAnsi="仿宋" w:eastAsia="仿宋" w:cs="仿宋"/>
                <w:sz w:val="18"/>
                <w:szCs w:val="18"/>
              </w:rPr>
            </w:pPr>
            <w:r>
              <w:rPr>
                <w:rFonts w:ascii="仿宋" w:hAnsi="仿宋" w:eastAsia="仿宋" w:cs="仿宋"/>
                <w:spacing w:val="-3"/>
                <w:sz w:val="18"/>
                <w:szCs w:val="18"/>
              </w:rPr>
              <w:t>工临时道路</w:t>
            </w:r>
          </w:p>
        </w:tc>
        <w:tc>
          <w:tcPr>
            <w:tcW w:w="910" w:type="dxa"/>
            <w:vAlign w:val="top"/>
          </w:tcPr>
          <w:p>
            <w:pPr>
              <w:spacing w:line="249" w:lineRule="auto"/>
              <w:rPr>
                <w:rFonts w:ascii="Arial"/>
                <w:sz w:val="21"/>
              </w:rPr>
            </w:pPr>
          </w:p>
          <w:p>
            <w:pPr>
              <w:pStyle w:val="6"/>
              <w:spacing w:before="52" w:line="188" w:lineRule="auto"/>
              <w:ind w:left="180"/>
              <w:rPr>
                <w:sz w:val="18"/>
                <w:szCs w:val="18"/>
              </w:rPr>
            </w:pPr>
            <w:r>
              <w:rPr>
                <w:spacing w:val="-3"/>
                <w:sz w:val="18"/>
                <w:szCs w:val="18"/>
              </w:rPr>
              <w:t>15179.0</w:t>
            </w:r>
          </w:p>
        </w:tc>
        <w:tc>
          <w:tcPr>
            <w:tcW w:w="843" w:type="dxa"/>
            <w:vAlign w:val="top"/>
          </w:tcPr>
          <w:p>
            <w:pPr>
              <w:spacing w:line="249" w:lineRule="auto"/>
              <w:rPr>
                <w:rFonts w:ascii="Arial"/>
                <w:sz w:val="21"/>
              </w:rPr>
            </w:pPr>
          </w:p>
          <w:p>
            <w:pPr>
              <w:pStyle w:val="6"/>
              <w:spacing w:before="52" w:line="188" w:lineRule="auto"/>
              <w:ind w:left="146"/>
              <w:rPr>
                <w:sz w:val="18"/>
                <w:szCs w:val="18"/>
              </w:rPr>
            </w:pPr>
            <w:r>
              <w:rPr>
                <w:spacing w:val="-3"/>
                <w:sz w:val="18"/>
                <w:szCs w:val="18"/>
              </w:rPr>
              <w:t>18018.0</w:t>
            </w:r>
          </w:p>
        </w:tc>
        <w:tc>
          <w:tcPr>
            <w:tcW w:w="812" w:type="dxa"/>
            <w:vAlign w:val="top"/>
          </w:tcPr>
          <w:p>
            <w:pPr>
              <w:spacing w:line="249" w:lineRule="auto"/>
              <w:rPr>
                <w:rFonts w:ascii="Arial"/>
                <w:sz w:val="21"/>
              </w:rPr>
            </w:pPr>
          </w:p>
          <w:p>
            <w:pPr>
              <w:pStyle w:val="6"/>
              <w:spacing w:before="52" w:line="188" w:lineRule="auto"/>
              <w:ind w:left="130"/>
              <w:rPr>
                <w:sz w:val="18"/>
                <w:szCs w:val="18"/>
              </w:rPr>
            </w:pPr>
            <w:r>
              <w:rPr>
                <w:spacing w:val="-3"/>
                <w:sz w:val="18"/>
                <w:szCs w:val="18"/>
              </w:rPr>
              <w:t>15179.0</w:t>
            </w:r>
          </w:p>
        </w:tc>
        <w:tc>
          <w:tcPr>
            <w:tcW w:w="750" w:type="dxa"/>
            <w:vAlign w:val="top"/>
          </w:tcPr>
          <w:p>
            <w:pPr>
              <w:pStyle w:val="6"/>
              <w:spacing w:before="199" w:line="214" w:lineRule="auto"/>
              <w:ind w:left="333" w:right="124" w:hanging="187"/>
              <w:rPr>
                <w:sz w:val="18"/>
                <w:szCs w:val="18"/>
              </w:rPr>
            </w:pPr>
            <w:r>
              <w:rPr>
                <w:spacing w:val="-4"/>
                <w:sz w:val="18"/>
                <w:szCs w:val="18"/>
              </w:rPr>
              <w:t>18018.</w:t>
            </w:r>
            <w:r>
              <w:rPr>
                <w:spacing w:val="1"/>
                <w:sz w:val="18"/>
                <w:szCs w:val="18"/>
              </w:rPr>
              <w:t xml:space="preserve"> </w:t>
            </w:r>
            <w:r>
              <w:rPr>
                <w:sz w:val="18"/>
                <w:szCs w:val="18"/>
              </w:rPr>
              <w:t>0</w:t>
            </w:r>
          </w:p>
        </w:tc>
        <w:tc>
          <w:tcPr>
            <w:tcW w:w="1762" w:type="dxa"/>
            <w:vAlign w:val="top"/>
          </w:tcPr>
          <w:p>
            <w:pPr>
              <w:pStyle w:val="6"/>
              <w:spacing w:before="38" w:line="219" w:lineRule="auto"/>
              <w:ind w:left="149"/>
              <w:rPr>
                <w:rFonts w:ascii="仿宋" w:hAnsi="仿宋" w:eastAsia="仿宋" w:cs="仿宋"/>
                <w:sz w:val="18"/>
                <w:szCs w:val="18"/>
              </w:rPr>
            </w:pPr>
            <w:r>
              <w:rPr>
                <w:spacing w:val="-5"/>
                <w:sz w:val="18"/>
                <w:szCs w:val="18"/>
              </w:rPr>
              <w:t>7-9</w:t>
            </w:r>
            <w:r>
              <w:rPr>
                <w:spacing w:val="-8"/>
                <w:sz w:val="18"/>
                <w:szCs w:val="18"/>
              </w:rPr>
              <w:t xml:space="preserve"> </w:t>
            </w:r>
            <w:r>
              <w:rPr>
                <w:rFonts w:ascii="仿宋" w:hAnsi="仿宋" w:eastAsia="仿宋" w:cs="仿宋"/>
                <w:spacing w:val="-5"/>
                <w:sz w:val="18"/>
                <w:szCs w:val="18"/>
              </w:rPr>
              <w:t>、</w:t>
            </w:r>
            <w:r>
              <w:rPr>
                <w:spacing w:val="-5"/>
                <w:sz w:val="18"/>
                <w:szCs w:val="18"/>
              </w:rPr>
              <w:t>13</w:t>
            </w:r>
            <w:r>
              <w:rPr>
                <w:spacing w:val="-20"/>
                <w:sz w:val="18"/>
                <w:szCs w:val="18"/>
              </w:rPr>
              <w:t xml:space="preserve"> </w:t>
            </w:r>
            <w:r>
              <w:rPr>
                <w:rFonts w:ascii="仿宋" w:hAnsi="仿宋" w:eastAsia="仿宋" w:cs="仿宋"/>
                <w:spacing w:val="-5"/>
                <w:sz w:val="18"/>
                <w:szCs w:val="18"/>
              </w:rPr>
              <w:t>、</w:t>
            </w:r>
            <w:r>
              <w:rPr>
                <w:spacing w:val="-5"/>
                <w:sz w:val="18"/>
                <w:szCs w:val="18"/>
              </w:rPr>
              <w:t>15-20#</w:t>
            </w:r>
            <w:r>
              <w:rPr>
                <w:rFonts w:ascii="仿宋" w:hAnsi="仿宋" w:eastAsia="仿宋" w:cs="仿宋"/>
                <w:spacing w:val="-5"/>
                <w:sz w:val="18"/>
                <w:szCs w:val="18"/>
              </w:rPr>
              <w:t>临</w:t>
            </w:r>
          </w:p>
          <w:p>
            <w:pPr>
              <w:pStyle w:val="6"/>
              <w:spacing w:before="19" w:line="212" w:lineRule="auto"/>
              <w:ind w:left="160"/>
              <w:rPr>
                <w:rFonts w:ascii="仿宋" w:hAnsi="仿宋" w:eastAsia="仿宋" w:cs="仿宋"/>
                <w:sz w:val="18"/>
                <w:szCs w:val="18"/>
              </w:rPr>
            </w:pPr>
            <w:r>
              <w:rPr>
                <w:rFonts w:ascii="仿宋" w:hAnsi="仿宋" w:eastAsia="仿宋" w:cs="仿宋"/>
                <w:spacing w:val="-3"/>
                <w:sz w:val="18"/>
                <w:szCs w:val="18"/>
              </w:rPr>
              <w:t>时表土堆场</w:t>
            </w:r>
            <w:r>
              <w:rPr>
                <w:spacing w:val="-3"/>
                <w:sz w:val="18"/>
                <w:szCs w:val="18"/>
              </w:rPr>
              <w:t>,</w:t>
            </w:r>
            <w:r>
              <w:rPr>
                <w:rFonts w:ascii="仿宋" w:hAnsi="仿宋" w:eastAsia="仿宋" w:cs="仿宋"/>
                <w:spacing w:val="-3"/>
                <w:sz w:val="18"/>
                <w:szCs w:val="18"/>
              </w:rPr>
              <w:t>用于后</w:t>
            </w:r>
          </w:p>
          <w:p>
            <w:pPr>
              <w:spacing w:before="26" w:line="192" w:lineRule="auto"/>
              <w:ind w:left="440"/>
              <w:rPr>
                <w:rFonts w:ascii="仿宋" w:hAnsi="仿宋" w:eastAsia="仿宋" w:cs="仿宋"/>
                <w:sz w:val="18"/>
                <w:szCs w:val="18"/>
              </w:rPr>
            </w:pPr>
            <w:r>
              <w:rPr>
                <w:rFonts w:ascii="仿宋" w:hAnsi="仿宋" w:eastAsia="仿宋" w:cs="仿宋"/>
                <w:spacing w:val="-2"/>
                <w:sz w:val="18"/>
                <w:szCs w:val="18"/>
              </w:rPr>
              <w:t>期绿化覆土</w:t>
            </w: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rPr>
                <w:rFonts w:ascii="Arial"/>
                <w:sz w:val="21"/>
              </w:rPr>
            </w:pPr>
          </w:p>
        </w:tc>
        <w:tc>
          <w:tcPr>
            <w:tcW w:w="897" w:type="dxa"/>
            <w:vAlign w:val="top"/>
          </w:tcPr>
          <w:p>
            <w:pPr>
              <w:rPr>
                <w:rFonts w:ascii="Arial"/>
                <w:sz w:val="21"/>
              </w:rPr>
            </w:pPr>
          </w:p>
        </w:tc>
        <w:tc>
          <w:tcPr>
            <w:tcW w:w="103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92" w:type="dxa"/>
            <w:vMerge w:val="continue"/>
            <w:tcBorders>
              <w:top w:val="nil"/>
              <w:left w:val="nil"/>
            </w:tcBorders>
            <w:vAlign w:val="top"/>
          </w:tcPr>
          <w:p>
            <w:pPr>
              <w:rPr>
                <w:rFonts w:ascii="Arial"/>
                <w:sz w:val="21"/>
              </w:rPr>
            </w:pPr>
          </w:p>
        </w:tc>
        <w:tc>
          <w:tcPr>
            <w:tcW w:w="1383" w:type="dxa"/>
            <w:vAlign w:val="top"/>
          </w:tcPr>
          <w:p>
            <w:pPr>
              <w:spacing w:before="158" w:line="229" w:lineRule="auto"/>
              <w:ind w:left="252" w:right="150" w:hanging="87"/>
              <w:rPr>
                <w:rFonts w:ascii="仿宋" w:hAnsi="仿宋" w:eastAsia="仿宋" w:cs="仿宋"/>
                <w:sz w:val="18"/>
                <w:szCs w:val="18"/>
              </w:rPr>
            </w:pPr>
            <w:r>
              <w:rPr>
                <w:rFonts w:ascii="仿宋" w:hAnsi="仿宋" w:eastAsia="仿宋" w:cs="仿宋"/>
                <w:spacing w:val="-4"/>
                <w:sz w:val="18"/>
                <w:szCs w:val="18"/>
              </w:rPr>
              <w:t>引洪工程区施</w:t>
            </w:r>
            <w:r>
              <w:rPr>
                <w:rFonts w:ascii="仿宋" w:hAnsi="仿宋" w:eastAsia="仿宋" w:cs="仿宋"/>
                <w:spacing w:val="4"/>
                <w:sz w:val="18"/>
                <w:szCs w:val="18"/>
              </w:rPr>
              <w:t xml:space="preserve"> </w:t>
            </w:r>
            <w:r>
              <w:rPr>
                <w:rFonts w:ascii="仿宋" w:hAnsi="仿宋" w:eastAsia="仿宋" w:cs="仿宋"/>
                <w:spacing w:val="-3"/>
                <w:sz w:val="18"/>
                <w:szCs w:val="18"/>
              </w:rPr>
              <w:t>工临时道路</w:t>
            </w:r>
          </w:p>
        </w:tc>
        <w:tc>
          <w:tcPr>
            <w:tcW w:w="910" w:type="dxa"/>
            <w:vAlign w:val="top"/>
          </w:tcPr>
          <w:p>
            <w:pPr>
              <w:spacing w:line="252" w:lineRule="auto"/>
              <w:rPr>
                <w:rFonts w:ascii="Arial"/>
                <w:sz w:val="21"/>
              </w:rPr>
            </w:pPr>
          </w:p>
          <w:p>
            <w:pPr>
              <w:pStyle w:val="6"/>
              <w:spacing w:before="52" w:line="188" w:lineRule="auto"/>
              <w:ind w:left="206"/>
              <w:rPr>
                <w:sz w:val="18"/>
                <w:szCs w:val="18"/>
              </w:rPr>
            </w:pPr>
            <w:r>
              <w:rPr>
                <w:spacing w:val="-1"/>
                <w:sz w:val="18"/>
                <w:szCs w:val="18"/>
              </w:rPr>
              <w:t>4415.0</w:t>
            </w:r>
          </w:p>
        </w:tc>
        <w:tc>
          <w:tcPr>
            <w:tcW w:w="843" w:type="dxa"/>
            <w:vAlign w:val="top"/>
          </w:tcPr>
          <w:p>
            <w:pPr>
              <w:spacing w:line="252" w:lineRule="auto"/>
              <w:rPr>
                <w:rFonts w:ascii="Arial"/>
                <w:sz w:val="21"/>
              </w:rPr>
            </w:pPr>
          </w:p>
          <w:p>
            <w:pPr>
              <w:pStyle w:val="6"/>
              <w:spacing w:before="52" w:line="188" w:lineRule="auto"/>
              <w:ind w:left="221"/>
              <w:rPr>
                <w:sz w:val="18"/>
                <w:szCs w:val="18"/>
              </w:rPr>
            </w:pPr>
            <w:r>
              <w:rPr>
                <w:spacing w:val="-2"/>
                <w:sz w:val="18"/>
                <w:szCs w:val="18"/>
              </w:rPr>
              <w:t>720.0</w:t>
            </w:r>
          </w:p>
        </w:tc>
        <w:tc>
          <w:tcPr>
            <w:tcW w:w="812" w:type="dxa"/>
            <w:vAlign w:val="top"/>
          </w:tcPr>
          <w:p>
            <w:pPr>
              <w:spacing w:line="252" w:lineRule="auto"/>
              <w:rPr>
                <w:rFonts w:ascii="Arial"/>
                <w:sz w:val="21"/>
              </w:rPr>
            </w:pPr>
          </w:p>
          <w:p>
            <w:pPr>
              <w:pStyle w:val="6"/>
              <w:spacing w:before="52" w:line="188" w:lineRule="auto"/>
              <w:ind w:left="157"/>
              <w:rPr>
                <w:sz w:val="18"/>
                <w:szCs w:val="18"/>
              </w:rPr>
            </w:pPr>
            <w:r>
              <w:rPr>
                <w:spacing w:val="-1"/>
                <w:sz w:val="18"/>
                <w:szCs w:val="18"/>
              </w:rPr>
              <w:t>4415.0</w:t>
            </w:r>
          </w:p>
        </w:tc>
        <w:tc>
          <w:tcPr>
            <w:tcW w:w="750" w:type="dxa"/>
            <w:vAlign w:val="top"/>
          </w:tcPr>
          <w:p>
            <w:pPr>
              <w:spacing w:line="252" w:lineRule="auto"/>
              <w:rPr>
                <w:rFonts w:ascii="Arial"/>
                <w:sz w:val="21"/>
              </w:rPr>
            </w:pPr>
          </w:p>
          <w:p>
            <w:pPr>
              <w:pStyle w:val="6"/>
              <w:spacing w:before="52" w:line="188" w:lineRule="auto"/>
              <w:ind w:left="176"/>
              <w:rPr>
                <w:sz w:val="18"/>
                <w:szCs w:val="18"/>
              </w:rPr>
            </w:pPr>
            <w:r>
              <w:rPr>
                <w:spacing w:val="-2"/>
                <w:sz w:val="18"/>
                <w:szCs w:val="18"/>
              </w:rPr>
              <w:t>720.0</w:t>
            </w:r>
          </w:p>
        </w:tc>
        <w:tc>
          <w:tcPr>
            <w:tcW w:w="1762" w:type="dxa"/>
            <w:vAlign w:val="top"/>
          </w:tcPr>
          <w:p>
            <w:pPr>
              <w:pStyle w:val="6"/>
              <w:spacing w:before="41" w:line="217" w:lineRule="auto"/>
              <w:ind w:left="165"/>
              <w:rPr>
                <w:rFonts w:ascii="仿宋" w:hAnsi="仿宋" w:eastAsia="仿宋" w:cs="仿宋"/>
                <w:sz w:val="18"/>
                <w:szCs w:val="18"/>
              </w:rPr>
            </w:pPr>
            <w:r>
              <w:rPr>
                <w:spacing w:val="-6"/>
                <w:sz w:val="18"/>
                <w:szCs w:val="18"/>
              </w:rPr>
              <w:t>7</w:t>
            </w:r>
            <w:r>
              <w:rPr>
                <w:spacing w:val="-19"/>
                <w:sz w:val="18"/>
                <w:szCs w:val="18"/>
              </w:rPr>
              <w:t xml:space="preserve"> </w:t>
            </w:r>
            <w:r>
              <w:rPr>
                <w:rFonts w:ascii="仿宋" w:hAnsi="仿宋" w:eastAsia="仿宋" w:cs="仿宋"/>
                <w:spacing w:val="-6"/>
                <w:sz w:val="18"/>
                <w:szCs w:val="18"/>
              </w:rPr>
              <w:t>、</w:t>
            </w:r>
            <w:r>
              <w:rPr>
                <w:spacing w:val="-6"/>
                <w:sz w:val="18"/>
                <w:szCs w:val="18"/>
              </w:rPr>
              <w:t>8</w:t>
            </w:r>
            <w:r>
              <w:rPr>
                <w:spacing w:val="-19"/>
                <w:sz w:val="18"/>
                <w:szCs w:val="18"/>
              </w:rPr>
              <w:t xml:space="preserve"> </w:t>
            </w:r>
            <w:r>
              <w:rPr>
                <w:rFonts w:ascii="仿宋" w:hAnsi="仿宋" w:eastAsia="仿宋" w:cs="仿宋"/>
                <w:spacing w:val="-6"/>
                <w:sz w:val="18"/>
                <w:szCs w:val="18"/>
              </w:rPr>
              <w:t>、</w:t>
            </w:r>
            <w:r>
              <w:rPr>
                <w:spacing w:val="-6"/>
                <w:sz w:val="18"/>
                <w:szCs w:val="18"/>
              </w:rPr>
              <w:t>9#</w:t>
            </w:r>
            <w:r>
              <w:rPr>
                <w:rFonts w:ascii="仿宋" w:hAnsi="仿宋" w:eastAsia="仿宋" w:cs="仿宋"/>
                <w:spacing w:val="-6"/>
                <w:sz w:val="18"/>
                <w:szCs w:val="18"/>
              </w:rPr>
              <w:t>临时堆土</w:t>
            </w:r>
          </w:p>
          <w:p>
            <w:pPr>
              <w:pStyle w:val="6"/>
              <w:spacing w:before="21" w:line="212" w:lineRule="auto"/>
              <w:ind w:left="148"/>
              <w:rPr>
                <w:rFonts w:ascii="仿宋" w:hAnsi="仿宋" w:eastAsia="仿宋" w:cs="仿宋"/>
                <w:sz w:val="18"/>
                <w:szCs w:val="18"/>
              </w:rPr>
            </w:pPr>
            <w:r>
              <w:rPr>
                <w:rFonts w:ascii="仿宋" w:hAnsi="仿宋" w:eastAsia="仿宋" w:cs="仿宋"/>
                <w:spacing w:val="-2"/>
                <w:sz w:val="18"/>
                <w:szCs w:val="18"/>
              </w:rPr>
              <w:t>场</w:t>
            </w:r>
            <w:r>
              <w:rPr>
                <w:spacing w:val="-2"/>
                <w:sz w:val="18"/>
                <w:szCs w:val="18"/>
              </w:rPr>
              <w:t>,</w:t>
            </w:r>
            <w:r>
              <w:rPr>
                <w:rFonts w:ascii="仿宋" w:hAnsi="仿宋" w:eastAsia="仿宋" w:cs="仿宋"/>
                <w:spacing w:val="-2"/>
                <w:sz w:val="18"/>
                <w:szCs w:val="18"/>
              </w:rPr>
              <w:t>用于后期绿化覆</w:t>
            </w:r>
          </w:p>
          <w:p>
            <w:pPr>
              <w:spacing w:before="27" w:line="189" w:lineRule="auto"/>
              <w:ind w:left="802"/>
              <w:rPr>
                <w:rFonts w:ascii="仿宋" w:hAnsi="仿宋" w:eastAsia="仿宋" w:cs="仿宋"/>
                <w:sz w:val="18"/>
                <w:szCs w:val="18"/>
              </w:rPr>
            </w:pPr>
            <w:r>
              <w:rPr>
                <w:rFonts w:ascii="仿宋" w:hAnsi="仿宋" w:eastAsia="仿宋" w:cs="仿宋"/>
                <w:sz w:val="18"/>
                <w:szCs w:val="18"/>
              </w:rPr>
              <w:t>土</w:t>
            </w: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rPr>
                <w:rFonts w:ascii="Arial"/>
                <w:sz w:val="21"/>
              </w:rPr>
            </w:pPr>
          </w:p>
        </w:tc>
        <w:tc>
          <w:tcPr>
            <w:tcW w:w="897" w:type="dxa"/>
            <w:vAlign w:val="top"/>
          </w:tcPr>
          <w:p>
            <w:pPr>
              <w:rPr>
                <w:rFonts w:ascii="Arial"/>
                <w:sz w:val="21"/>
              </w:rPr>
            </w:pPr>
          </w:p>
        </w:tc>
        <w:tc>
          <w:tcPr>
            <w:tcW w:w="103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9" w:hRule="atLeast"/>
        </w:trPr>
        <w:tc>
          <w:tcPr>
            <w:tcW w:w="792" w:type="dxa"/>
            <w:vMerge w:val="restart"/>
            <w:tcBorders>
              <w:left w:val="nil"/>
              <w:bottom w:val="nil"/>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spacing w:before="59" w:line="220" w:lineRule="auto"/>
              <w:ind w:left="144"/>
              <w:rPr>
                <w:rFonts w:ascii="仿宋" w:hAnsi="仿宋" w:eastAsia="仿宋" w:cs="仿宋"/>
                <w:sz w:val="18"/>
                <w:szCs w:val="18"/>
              </w:rPr>
            </w:pPr>
            <w:r>
              <w:rPr>
                <w:rFonts w:ascii="仿宋" w:hAnsi="仿宋" w:eastAsia="仿宋" w:cs="仿宋"/>
                <w:spacing w:val="-3"/>
                <w:sz w:val="18"/>
                <w:szCs w:val="18"/>
              </w:rPr>
              <w:t>施工生</w:t>
            </w:r>
          </w:p>
          <w:p>
            <w:pPr>
              <w:spacing w:before="18" w:line="220" w:lineRule="auto"/>
              <w:ind w:left="146"/>
              <w:rPr>
                <w:rFonts w:ascii="仿宋" w:hAnsi="仿宋" w:eastAsia="仿宋" w:cs="仿宋"/>
                <w:sz w:val="18"/>
                <w:szCs w:val="18"/>
              </w:rPr>
            </w:pPr>
            <w:r>
              <w:rPr>
                <w:rFonts w:ascii="仿宋" w:hAnsi="仿宋" w:eastAsia="仿宋" w:cs="仿宋"/>
                <w:spacing w:val="-3"/>
                <w:sz w:val="18"/>
                <w:szCs w:val="18"/>
              </w:rPr>
              <w:t>产生活</w:t>
            </w:r>
          </w:p>
          <w:p>
            <w:pPr>
              <w:spacing w:before="18" w:line="229" w:lineRule="auto"/>
              <w:ind w:left="340"/>
              <w:rPr>
                <w:rFonts w:ascii="仿宋" w:hAnsi="仿宋" w:eastAsia="仿宋" w:cs="仿宋"/>
                <w:sz w:val="18"/>
                <w:szCs w:val="18"/>
              </w:rPr>
            </w:pPr>
            <w:r>
              <w:rPr>
                <w:rFonts w:ascii="仿宋" w:hAnsi="仿宋" w:eastAsia="仿宋" w:cs="仿宋"/>
                <w:sz w:val="18"/>
                <w:szCs w:val="18"/>
              </w:rPr>
              <w:t>区</w:t>
            </w:r>
          </w:p>
        </w:tc>
        <w:tc>
          <w:tcPr>
            <w:tcW w:w="1383" w:type="dxa"/>
            <w:vAlign w:val="top"/>
          </w:tcPr>
          <w:p>
            <w:pPr>
              <w:spacing w:before="43" w:line="213" w:lineRule="auto"/>
              <w:ind w:left="523" w:right="150" w:hanging="365"/>
              <w:rPr>
                <w:rFonts w:ascii="仿宋" w:hAnsi="仿宋" w:eastAsia="仿宋" w:cs="仿宋"/>
                <w:sz w:val="18"/>
                <w:szCs w:val="18"/>
              </w:rPr>
            </w:pPr>
            <w:r>
              <w:rPr>
                <w:rFonts w:ascii="仿宋" w:hAnsi="仿宋" w:eastAsia="仿宋" w:cs="仿宋"/>
                <w:spacing w:val="-2"/>
                <w:sz w:val="18"/>
                <w:szCs w:val="18"/>
              </w:rPr>
              <w:t>枢纽区生产生</w:t>
            </w:r>
            <w:r>
              <w:rPr>
                <w:rFonts w:ascii="仿宋" w:hAnsi="仿宋" w:eastAsia="仿宋" w:cs="仿宋"/>
                <w:sz w:val="18"/>
                <w:szCs w:val="18"/>
              </w:rPr>
              <w:t xml:space="preserve"> </w:t>
            </w:r>
            <w:r>
              <w:rPr>
                <w:rFonts w:ascii="仿宋" w:hAnsi="仿宋" w:eastAsia="仿宋" w:cs="仿宋"/>
                <w:spacing w:val="-5"/>
                <w:sz w:val="18"/>
                <w:szCs w:val="18"/>
              </w:rPr>
              <w:t>活区</w:t>
            </w:r>
          </w:p>
        </w:tc>
        <w:tc>
          <w:tcPr>
            <w:tcW w:w="910" w:type="dxa"/>
            <w:vAlign w:val="top"/>
          </w:tcPr>
          <w:p>
            <w:pPr>
              <w:pStyle w:val="6"/>
              <w:spacing w:before="190" w:line="188" w:lineRule="auto"/>
              <w:ind w:left="214"/>
              <w:rPr>
                <w:sz w:val="18"/>
                <w:szCs w:val="18"/>
              </w:rPr>
            </w:pPr>
            <w:r>
              <w:rPr>
                <w:spacing w:val="-2"/>
                <w:sz w:val="18"/>
                <w:szCs w:val="18"/>
              </w:rPr>
              <w:t>8600.0</w:t>
            </w:r>
          </w:p>
        </w:tc>
        <w:tc>
          <w:tcPr>
            <w:tcW w:w="843" w:type="dxa"/>
            <w:vAlign w:val="top"/>
          </w:tcPr>
          <w:p>
            <w:pPr>
              <w:rPr>
                <w:rFonts w:ascii="Arial"/>
                <w:sz w:val="21"/>
              </w:rPr>
            </w:pPr>
          </w:p>
        </w:tc>
        <w:tc>
          <w:tcPr>
            <w:tcW w:w="812" w:type="dxa"/>
            <w:vAlign w:val="top"/>
          </w:tcPr>
          <w:p>
            <w:pPr>
              <w:pStyle w:val="6"/>
              <w:spacing w:before="190" w:line="188" w:lineRule="auto"/>
              <w:ind w:left="165"/>
              <w:rPr>
                <w:sz w:val="18"/>
                <w:szCs w:val="18"/>
              </w:rPr>
            </w:pPr>
            <w:r>
              <w:rPr>
                <w:spacing w:val="-2"/>
                <w:sz w:val="18"/>
                <w:szCs w:val="18"/>
              </w:rPr>
              <w:t>8600.0</w:t>
            </w:r>
          </w:p>
        </w:tc>
        <w:tc>
          <w:tcPr>
            <w:tcW w:w="750" w:type="dxa"/>
            <w:vAlign w:val="top"/>
          </w:tcPr>
          <w:p>
            <w:pPr>
              <w:rPr>
                <w:rFonts w:ascii="Arial"/>
                <w:sz w:val="21"/>
              </w:rPr>
            </w:pPr>
          </w:p>
        </w:tc>
        <w:tc>
          <w:tcPr>
            <w:tcW w:w="1762" w:type="dxa"/>
            <w:vAlign w:val="top"/>
          </w:tcPr>
          <w:p>
            <w:pPr>
              <w:rPr>
                <w:rFonts w:ascii="Arial"/>
                <w:sz w:val="21"/>
              </w:rPr>
            </w:pP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rPr>
                <w:rFonts w:ascii="Arial"/>
                <w:sz w:val="21"/>
              </w:rPr>
            </w:pPr>
          </w:p>
        </w:tc>
        <w:tc>
          <w:tcPr>
            <w:tcW w:w="897" w:type="dxa"/>
            <w:vAlign w:val="top"/>
          </w:tcPr>
          <w:p>
            <w:pPr>
              <w:rPr>
                <w:rFonts w:ascii="Arial"/>
                <w:sz w:val="21"/>
              </w:rPr>
            </w:pPr>
          </w:p>
        </w:tc>
        <w:tc>
          <w:tcPr>
            <w:tcW w:w="103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92" w:type="dxa"/>
            <w:vMerge w:val="continue"/>
            <w:tcBorders>
              <w:top w:val="nil"/>
              <w:left w:val="nil"/>
              <w:bottom w:val="nil"/>
            </w:tcBorders>
            <w:vAlign w:val="top"/>
          </w:tcPr>
          <w:p>
            <w:pPr>
              <w:rPr>
                <w:rFonts w:ascii="Arial"/>
                <w:sz w:val="21"/>
              </w:rPr>
            </w:pPr>
          </w:p>
        </w:tc>
        <w:tc>
          <w:tcPr>
            <w:tcW w:w="1383" w:type="dxa"/>
            <w:vAlign w:val="top"/>
          </w:tcPr>
          <w:p>
            <w:pPr>
              <w:spacing w:before="162" w:line="230" w:lineRule="auto"/>
              <w:ind w:left="439" w:right="150" w:hanging="274"/>
              <w:rPr>
                <w:rFonts w:ascii="仿宋" w:hAnsi="仿宋" w:eastAsia="仿宋" w:cs="仿宋"/>
                <w:sz w:val="18"/>
                <w:szCs w:val="18"/>
              </w:rPr>
            </w:pPr>
            <w:r>
              <w:rPr>
                <w:rFonts w:ascii="仿宋" w:hAnsi="仿宋" w:eastAsia="仿宋" w:cs="仿宋"/>
                <w:spacing w:val="-3"/>
                <w:sz w:val="18"/>
                <w:szCs w:val="18"/>
              </w:rPr>
              <w:t>引水工程生产</w:t>
            </w:r>
            <w:r>
              <w:rPr>
                <w:rFonts w:ascii="仿宋" w:hAnsi="仿宋" w:eastAsia="仿宋" w:cs="仿宋"/>
                <w:sz w:val="18"/>
                <w:szCs w:val="18"/>
              </w:rPr>
              <w:t xml:space="preserve"> </w:t>
            </w:r>
            <w:r>
              <w:rPr>
                <w:rFonts w:ascii="仿宋" w:hAnsi="仿宋" w:eastAsia="仿宋" w:cs="仿宋"/>
                <w:spacing w:val="-8"/>
                <w:sz w:val="18"/>
                <w:szCs w:val="18"/>
              </w:rPr>
              <w:t>生活区</w:t>
            </w:r>
          </w:p>
        </w:tc>
        <w:tc>
          <w:tcPr>
            <w:tcW w:w="910" w:type="dxa"/>
            <w:vAlign w:val="top"/>
          </w:tcPr>
          <w:p>
            <w:pPr>
              <w:spacing w:line="257" w:lineRule="auto"/>
              <w:rPr>
                <w:rFonts w:ascii="Arial"/>
                <w:sz w:val="21"/>
              </w:rPr>
            </w:pPr>
          </w:p>
          <w:p>
            <w:pPr>
              <w:pStyle w:val="6"/>
              <w:spacing w:before="51" w:line="188" w:lineRule="auto"/>
              <w:ind w:left="224"/>
              <w:rPr>
                <w:sz w:val="18"/>
                <w:szCs w:val="18"/>
              </w:rPr>
            </w:pPr>
            <w:r>
              <w:rPr>
                <w:spacing w:val="-4"/>
                <w:sz w:val="18"/>
                <w:szCs w:val="18"/>
              </w:rPr>
              <w:t>1300.0</w:t>
            </w:r>
          </w:p>
        </w:tc>
        <w:tc>
          <w:tcPr>
            <w:tcW w:w="843" w:type="dxa"/>
            <w:vAlign w:val="top"/>
          </w:tcPr>
          <w:p>
            <w:pPr>
              <w:spacing w:line="257" w:lineRule="auto"/>
              <w:rPr>
                <w:rFonts w:ascii="Arial"/>
                <w:sz w:val="21"/>
              </w:rPr>
            </w:pPr>
          </w:p>
          <w:p>
            <w:pPr>
              <w:pStyle w:val="6"/>
              <w:spacing w:before="51" w:line="188" w:lineRule="auto"/>
              <w:ind w:left="222"/>
              <w:rPr>
                <w:sz w:val="18"/>
                <w:szCs w:val="18"/>
              </w:rPr>
            </w:pPr>
            <w:r>
              <w:rPr>
                <w:spacing w:val="-2"/>
                <w:sz w:val="18"/>
                <w:szCs w:val="18"/>
              </w:rPr>
              <w:t>390.0</w:t>
            </w:r>
          </w:p>
        </w:tc>
        <w:tc>
          <w:tcPr>
            <w:tcW w:w="812" w:type="dxa"/>
            <w:vAlign w:val="top"/>
          </w:tcPr>
          <w:p>
            <w:pPr>
              <w:spacing w:line="257" w:lineRule="auto"/>
              <w:rPr>
                <w:rFonts w:ascii="Arial"/>
                <w:sz w:val="21"/>
              </w:rPr>
            </w:pPr>
          </w:p>
          <w:p>
            <w:pPr>
              <w:pStyle w:val="6"/>
              <w:spacing w:before="51" w:line="188" w:lineRule="auto"/>
              <w:ind w:left="175"/>
              <w:rPr>
                <w:sz w:val="18"/>
                <w:szCs w:val="18"/>
              </w:rPr>
            </w:pPr>
            <w:r>
              <w:rPr>
                <w:spacing w:val="-4"/>
                <w:sz w:val="18"/>
                <w:szCs w:val="18"/>
              </w:rPr>
              <w:t>1300.0</w:t>
            </w:r>
          </w:p>
        </w:tc>
        <w:tc>
          <w:tcPr>
            <w:tcW w:w="750" w:type="dxa"/>
            <w:vAlign w:val="top"/>
          </w:tcPr>
          <w:p>
            <w:pPr>
              <w:spacing w:line="257" w:lineRule="auto"/>
              <w:rPr>
                <w:rFonts w:ascii="Arial"/>
                <w:sz w:val="21"/>
              </w:rPr>
            </w:pPr>
          </w:p>
          <w:p>
            <w:pPr>
              <w:pStyle w:val="6"/>
              <w:spacing w:before="51" w:line="188" w:lineRule="auto"/>
              <w:ind w:left="176"/>
              <w:rPr>
                <w:sz w:val="18"/>
                <w:szCs w:val="18"/>
              </w:rPr>
            </w:pPr>
            <w:r>
              <w:rPr>
                <w:spacing w:val="-2"/>
                <w:sz w:val="18"/>
                <w:szCs w:val="18"/>
              </w:rPr>
              <w:t>390.0</w:t>
            </w:r>
          </w:p>
        </w:tc>
        <w:tc>
          <w:tcPr>
            <w:tcW w:w="1762" w:type="dxa"/>
            <w:vAlign w:val="top"/>
          </w:tcPr>
          <w:p>
            <w:pPr>
              <w:pStyle w:val="6"/>
              <w:spacing w:before="46" w:line="220" w:lineRule="auto"/>
              <w:ind w:left="179"/>
              <w:rPr>
                <w:rFonts w:ascii="仿宋" w:hAnsi="仿宋" w:eastAsia="仿宋" w:cs="仿宋"/>
                <w:sz w:val="18"/>
                <w:szCs w:val="18"/>
              </w:rPr>
            </w:pPr>
            <w:r>
              <w:rPr>
                <w:spacing w:val="-12"/>
                <w:sz w:val="18"/>
                <w:szCs w:val="18"/>
              </w:rPr>
              <w:t xml:space="preserve">1 </w:t>
            </w:r>
            <w:r>
              <w:rPr>
                <w:rFonts w:ascii="仿宋" w:hAnsi="仿宋" w:eastAsia="仿宋" w:cs="仿宋"/>
                <w:spacing w:val="-12"/>
                <w:sz w:val="18"/>
                <w:szCs w:val="18"/>
              </w:rPr>
              <w:t>、</w:t>
            </w:r>
            <w:r>
              <w:rPr>
                <w:spacing w:val="-12"/>
                <w:sz w:val="18"/>
                <w:szCs w:val="18"/>
              </w:rPr>
              <w:t>2</w:t>
            </w:r>
            <w:r>
              <w:rPr>
                <w:spacing w:val="-19"/>
                <w:sz w:val="18"/>
                <w:szCs w:val="18"/>
              </w:rPr>
              <w:t xml:space="preserve"> </w:t>
            </w:r>
            <w:r>
              <w:rPr>
                <w:rFonts w:ascii="仿宋" w:hAnsi="仿宋" w:eastAsia="仿宋" w:cs="仿宋"/>
                <w:spacing w:val="-12"/>
                <w:sz w:val="18"/>
                <w:szCs w:val="18"/>
              </w:rPr>
              <w:t>、</w:t>
            </w:r>
            <w:r>
              <w:rPr>
                <w:spacing w:val="-12"/>
                <w:sz w:val="18"/>
                <w:szCs w:val="18"/>
              </w:rPr>
              <w:t>7</w:t>
            </w:r>
            <w:r>
              <w:rPr>
                <w:spacing w:val="-20"/>
                <w:sz w:val="18"/>
                <w:szCs w:val="18"/>
              </w:rPr>
              <w:t xml:space="preserve"> </w:t>
            </w:r>
            <w:r>
              <w:rPr>
                <w:rFonts w:ascii="仿宋" w:hAnsi="仿宋" w:eastAsia="仿宋" w:cs="仿宋"/>
                <w:spacing w:val="-12"/>
                <w:sz w:val="18"/>
                <w:szCs w:val="18"/>
              </w:rPr>
              <w:t>、</w:t>
            </w:r>
            <w:r>
              <w:rPr>
                <w:spacing w:val="-12"/>
                <w:sz w:val="18"/>
                <w:szCs w:val="18"/>
              </w:rPr>
              <w:t>8</w:t>
            </w:r>
            <w:r>
              <w:rPr>
                <w:spacing w:val="-20"/>
                <w:sz w:val="18"/>
                <w:szCs w:val="18"/>
              </w:rPr>
              <w:t xml:space="preserve"> </w:t>
            </w:r>
            <w:r>
              <w:rPr>
                <w:rFonts w:ascii="仿宋" w:hAnsi="仿宋" w:eastAsia="仿宋" w:cs="仿宋"/>
                <w:spacing w:val="-12"/>
                <w:sz w:val="18"/>
                <w:szCs w:val="18"/>
              </w:rPr>
              <w:t>、</w:t>
            </w:r>
            <w:r>
              <w:rPr>
                <w:spacing w:val="-12"/>
                <w:sz w:val="18"/>
                <w:szCs w:val="18"/>
              </w:rPr>
              <w:t>9#</w:t>
            </w:r>
            <w:r>
              <w:rPr>
                <w:rFonts w:ascii="仿宋" w:hAnsi="仿宋" w:eastAsia="仿宋" w:cs="仿宋"/>
                <w:spacing w:val="-12"/>
                <w:sz w:val="18"/>
                <w:szCs w:val="18"/>
              </w:rPr>
              <w:t>表</w:t>
            </w:r>
          </w:p>
          <w:p>
            <w:pPr>
              <w:pStyle w:val="6"/>
              <w:spacing w:before="19" w:line="212" w:lineRule="auto"/>
              <w:ind w:left="158"/>
              <w:rPr>
                <w:rFonts w:ascii="仿宋" w:hAnsi="仿宋" w:eastAsia="仿宋" w:cs="仿宋"/>
                <w:sz w:val="18"/>
                <w:szCs w:val="18"/>
              </w:rPr>
            </w:pPr>
            <w:r>
              <w:rPr>
                <w:rFonts w:ascii="仿宋" w:hAnsi="仿宋" w:eastAsia="仿宋" w:cs="仿宋"/>
                <w:spacing w:val="-3"/>
                <w:sz w:val="18"/>
                <w:szCs w:val="18"/>
              </w:rPr>
              <w:t>临时土堆场</w:t>
            </w:r>
            <w:r>
              <w:rPr>
                <w:spacing w:val="-3"/>
                <w:sz w:val="18"/>
                <w:szCs w:val="18"/>
              </w:rPr>
              <w:t>,</w:t>
            </w:r>
            <w:r>
              <w:rPr>
                <w:rFonts w:ascii="仿宋" w:hAnsi="仿宋" w:eastAsia="仿宋" w:cs="仿宋"/>
                <w:spacing w:val="-3"/>
                <w:sz w:val="18"/>
                <w:szCs w:val="18"/>
              </w:rPr>
              <w:t>用于后</w:t>
            </w:r>
          </w:p>
          <w:p>
            <w:pPr>
              <w:spacing w:before="26" w:line="184" w:lineRule="auto"/>
              <w:ind w:left="440"/>
              <w:rPr>
                <w:rFonts w:ascii="仿宋" w:hAnsi="仿宋" w:eastAsia="仿宋" w:cs="仿宋"/>
                <w:sz w:val="18"/>
                <w:szCs w:val="18"/>
              </w:rPr>
            </w:pPr>
            <w:r>
              <w:rPr>
                <w:rFonts w:ascii="仿宋" w:hAnsi="仿宋" w:eastAsia="仿宋" w:cs="仿宋"/>
                <w:spacing w:val="-2"/>
                <w:sz w:val="18"/>
                <w:szCs w:val="18"/>
              </w:rPr>
              <w:t>期绿化覆土</w:t>
            </w: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rPr>
                <w:rFonts w:ascii="Arial"/>
                <w:sz w:val="21"/>
              </w:rPr>
            </w:pPr>
          </w:p>
        </w:tc>
        <w:tc>
          <w:tcPr>
            <w:tcW w:w="897" w:type="dxa"/>
            <w:vAlign w:val="top"/>
          </w:tcPr>
          <w:p>
            <w:pPr>
              <w:rPr>
                <w:rFonts w:ascii="Arial"/>
                <w:sz w:val="21"/>
              </w:rPr>
            </w:pPr>
          </w:p>
        </w:tc>
        <w:tc>
          <w:tcPr>
            <w:tcW w:w="103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92" w:type="dxa"/>
            <w:vMerge w:val="continue"/>
            <w:tcBorders>
              <w:top w:val="nil"/>
              <w:left w:val="nil"/>
              <w:bottom w:val="nil"/>
            </w:tcBorders>
            <w:vAlign w:val="top"/>
          </w:tcPr>
          <w:p>
            <w:pPr>
              <w:rPr>
                <w:rFonts w:ascii="Arial"/>
                <w:sz w:val="21"/>
              </w:rPr>
            </w:pPr>
          </w:p>
        </w:tc>
        <w:tc>
          <w:tcPr>
            <w:tcW w:w="1383" w:type="dxa"/>
            <w:vAlign w:val="top"/>
          </w:tcPr>
          <w:p>
            <w:pPr>
              <w:spacing w:before="164" w:line="230" w:lineRule="auto"/>
              <w:ind w:left="439" w:right="150" w:hanging="279"/>
              <w:rPr>
                <w:rFonts w:ascii="仿宋" w:hAnsi="仿宋" w:eastAsia="仿宋" w:cs="仿宋"/>
                <w:sz w:val="18"/>
                <w:szCs w:val="18"/>
              </w:rPr>
            </w:pPr>
            <w:r>
              <w:rPr>
                <w:rFonts w:ascii="仿宋" w:hAnsi="仿宋" w:eastAsia="仿宋" w:cs="仿宋"/>
                <w:spacing w:val="-3"/>
                <w:sz w:val="18"/>
                <w:szCs w:val="18"/>
              </w:rPr>
              <w:t>输水工程生产</w:t>
            </w:r>
            <w:r>
              <w:rPr>
                <w:rFonts w:ascii="仿宋" w:hAnsi="仿宋" w:eastAsia="仿宋" w:cs="仿宋"/>
                <w:spacing w:val="4"/>
                <w:sz w:val="18"/>
                <w:szCs w:val="18"/>
              </w:rPr>
              <w:t xml:space="preserve"> </w:t>
            </w:r>
            <w:r>
              <w:rPr>
                <w:rFonts w:ascii="仿宋" w:hAnsi="仿宋" w:eastAsia="仿宋" w:cs="仿宋"/>
                <w:spacing w:val="-5"/>
                <w:sz w:val="18"/>
                <w:szCs w:val="18"/>
              </w:rPr>
              <w:t>生活区</w:t>
            </w:r>
          </w:p>
        </w:tc>
        <w:tc>
          <w:tcPr>
            <w:tcW w:w="910" w:type="dxa"/>
            <w:vAlign w:val="top"/>
          </w:tcPr>
          <w:p>
            <w:pPr>
              <w:spacing w:line="259" w:lineRule="auto"/>
              <w:rPr>
                <w:rFonts w:ascii="Arial"/>
                <w:sz w:val="21"/>
              </w:rPr>
            </w:pPr>
          </w:p>
          <w:p>
            <w:pPr>
              <w:pStyle w:val="6"/>
              <w:spacing w:before="52" w:line="188" w:lineRule="auto"/>
              <w:ind w:left="207"/>
              <w:rPr>
                <w:sz w:val="18"/>
                <w:szCs w:val="18"/>
              </w:rPr>
            </w:pPr>
            <w:r>
              <w:rPr>
                <w:spacing w:val="-1"/>
                <w:sz w:val="18"/>
                <w:szCs w:val="18"/>
              </w:rPr>
              <w:t>2640.0</w:t>
            </w:r>
          </w:p>
        </w:tc>
        <w:tc>
          <w:tcPr>
            <w:tcW w:w="843" w:type="dxa"/>
            <w:vAlign w:val="top"/>
          </w:tcPr>
          <w:p>
            <w:pPr>
              <w:spacing w:line="259" w:lineRule="auto"/>
              <w:rPr>
                <w:rFonts w:ascii="Arial"/>
                <w:sz w:val="21"/>
              </w:rPr>
            </w:pPr>
          </w:p>
          <w:p>
            <w:pPr>
              <w:pStyle w:val="6"/>
              <w:spacing w:before="52" w:line="188" w:lineRule="auto"/>
              <w:ind w:left="221"/>
              <w:rPr>
                <w:sz w:val="18"/>
                <w:szCs w:val="18"/>
              </w:rPr>
            </w:pPr>
            <w:r>
              <w:rPr>
                <w:spacing w:val="-2"/>
                <w:sz w:val="18"/>
                <w:szCs w:val="18"/>
              </w:rPr>
              <w:t>792.0</w:t>
            </w:r>
          </w:p>
        </w:tc>
        <w:tc>
          <w:tcPr>
            <w:tcW w:w="812" w:type="dxa"/>
            <w:vAlign w:val="top"/>
          </w:tcPr>
          <w:p>
            <w:pPr>
              <w:spacing w:line="259" w:lineRule="auto"/>
              <w:rPr>
                <w:rFonts w:ascii="Arial"/>
                <w:sz w:val="21"/>
              </w:rPr>
            </w:pPr>
          </w:p>
          <w:p>
            <w:pPr>
              <w:pStyle w:val="6"/>
              <w:spacing w:before="52" w:line="188" w:lineRule="auto"/>
              <w:ind w:left="158"/>
              <w:rPr>
                <w:sz w:val="18"/>
                <w:szCs w:val="18"/>
              </w:rPr>
            </w:pPr>
            <w:r>
              <w:rPr>
                <w:spacing w:val="-1"/>
                <w:sz w:val="18"/>
                <w:szCs w:val="18"/>
              </w:rPr>
              <w:t>2640.0</w:t>
            </w:r>
          </w:p>
        </w:tc>
        <w:tc>
          <w:tcPr>
            <w:tcW w:w="750" w:type="dxa"/>
            <w:vAlign w:val="top"/>
          </w:tcPr>
          <w:p>
            <w:pPr>
              <w:spacing w:line="259" w:lineRule="auto"/>
              <w:rPr>
                <w:rFonts w:ascii="Arial"/>
                <w:sz w:val="21"/>
              </w:rPr>
            </w:pPr>
          </w:p>
          <w:p>
            <w:pPr>
              <w:pStyle w:val="6"/>
              <w:spacing w:before="52" w:line="188" w:lineRule="auto"/>
              <w:ind w:left="176"/>
              <w:rPr>
                <w:sz w:val="18"/>
                <w:szCs w:val="18"/>
              </w:rPr>
            </w:pPr>
            <w:r>
              <w:rPr>
                <w:spacing w:val="-2"/>
                <w:sz w:val="18"/>
                <w:szCs w:val="18"/>
              </w:rPr>
              <w:t>792.0</w:t>
            </w:r>
          </w:p>
        </w:tc>
        <w:tc>
          <w:tcPr>
            <w:tcW w:w="1762" w:type="dxa"/>
            <w:vAlign w:val="top"/>
          </w:tcPr>
          <w:p>
            <w:pPr>
              <w:pStyle w:val="6"/>
              <w:spacing w:before="48" w:line="219" w:lineRule="auto"/>
              <w:ind w:left="149"/>
              <w:rPr>
                <w:rFonts w:ascii="仿宋" w:hAnsi="仿宋" w:eastAsia="仿宋" w:cs="仿宋"/>
                <w:sz w:val="18"/>
                <w:szCs w:val="18"/>
              </w:rPr>
            </w:pPr>
            <w:r>
              <w:rPr>
                <w:spacing w:val="-5"/>
                <w:sz w:val="18"/>
                <w:szCs w:val="18"/>
              </w:rPr>
              <w:t>7-9</w:t>
            </w:r>
            <w:r>
              <w:rPr>
                <w:spacing w:val="-8"/>
                <w:sz w:val="18"/>
                <w:szCs w:val="18"/>
              </w:rPr>
              <w:t xml:space="preserve"> </w:t>
            </w:r>
            <w:r>
              <w:rPr>
                <w:rFonts w:ascii="仿宋" w:hAnsi="仿宋" w:eastAsia="仿宋" w:cs="仿宋"/>
                <w:spacing w:val="-5"/>
                <w:sz w:val="18"/>
                <w:szCs w:val="18"/>
              </w:rPr>
              <w:t>、</w:t>
            </w:r>
            <w:r>
              <w:rPr>
                <w:spacing w:val="-5"/>
                <w:sz w:val="18"/>
                <w:szCs w:val="18"/>
              </w:rPr>
              <w:t>13</w:t>
            </w:r>
            <w:r>
              <w:rPr>
                <w:spacing w:val="-20"/>
                <w:sz w:val="18"/>
                <w:szCs w:val="18"/>
              </w:rPr>
              <w:t xml:space="preserve"> </w:t>
            </w:r>
            <w:r>
              <w:rPr>
                <w:rFonts w:ascii="仿宋" w:hAnsi="仿宋" w:eastAsia="仿宋" w:cs="仿宋"/>
                <w:spacing w:val="-5"/>
                <w:sz w:val="18"/>
                <w:szCs w:val="18"/>
              </w:rPr>
              <w:t>、</w:t>
            </w:r>
            <w:r>
              <w:rPr>
                <w:spacing w:val="-5"/>
                <w:sz w:val="18"/>
                <w:szCs w:val="18"/>
              </w:rPr>
              <w:t>15-20#</w:t>
            </w:r>
            <w:r>
              <w:rPr>
                <w:rFonts w:ascii="仿宋" w:hAnsi="仿宋" w:eastAsia="仿宋" w:cs="仿宋"/>
                <w:spacing w:val="-5"/>
                <w:sz w:val="18"/>
                <w:szCs w:val="18"/>
              </w:rPr>
              <w:t>临</w:t>
            </w:r>
          </w:p>
          <w:p>
            <w:pPr>
              <w:pStyle w:val="6"/>
              <w:spacing w:before="20" w:line="212" w:lineRule="auto"/>
              <w:ind w:left="160"/>
              <w:rPr>
                <w:rFonts w:ascii="仿宋" w:hAnsi="仿宋" w:eastAsia="仿宋" w:cs="仿宋"/>
                <w:sz w:val="18"/>
                <w:szCs w:val="18"/>
              </w:rPr>
            </w:pPr>
            <w:r>
              <w:rPr>
                <w:rFonts w:ascii="仿宋" w:hAnsi="仿宋" w:eastAsia="仿宋" w:cs="仿宋"/>
                <w:spacing w:val="-3"/>
                <w:sz w:val="18"/>
                <w:szCs w:val="18"/>
              </w:rPr>
              <w:t>时表土堆场</w:t>
            </w:r>
            <w:r>
              <w:rPr>
                <w:spacing w:val="-3"/>
                <w:sz w:val="18"/>
                <w:szCs w:val="18"/>
              </w:rPr>
              <w:t>,</w:t>
            </w:r>
            <w:r>
              <w:rPr>
                <w:rFonts w:ascii="仿宋" w:hAnsi="仿宋" w:eastAsia="仿宋" w:cs="仿宋"/>
                <w:spacing w:val="-3"/>
                <w:sz w:val="18"/>
                <w:szCs w:val="18"/>
              </w:rPr>
              <w:t>用于后</w:t>
            </w:r>
          </w:p>
          <w:p>
            <w:pPr>
              <w:spacing w:before="25" w:line="182" w:lineRule="auto"/>
              <w:ind w:left="440"/>
              <w:rPr>
                <w:rFonts w:ascii="仿宋" w:hAnsi="仿宋" w:eastAsia="仿宋" w:cs="仿宋"/>
                <w:sz w:val="18"/>
                <w:szCs w:val="18"/>
              </w:rPr>
            </w:pPr>
            <w:r>
              <w:rPr>
                <w:rFonts w:ascii="仿宋" w:hAnsi="仿宋" w:eastAsia="仿宋" w:cs="仿宋"/>
                <w:spacing w:val="-2"/>
                <w:sz w:val="18"/>
                <w:szCs w:val="18"/>
              </w:rPr>
              <w:t>期绿化覆土</w:t>
            </w: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rPr>
                <w:rFonts w:ascii="Arial"/>
                <w:sz w:val="21"/>
              </w:rPr>
            </w:pPr>
          </w:p>
        </w:tc>
        <w:tc>
          <w:tcPr>
            <w:tcW w:w="897" w:type="dxa"/>
            <w:vAlign w:val="top"/>
          </w:tcPr>
          <w:p>
            <w:pPr>
              <w:rPr>
                <w:rFonts w:ascii="Arial"/>
                <w:sz w:val="21"/>
              </w:rPr>
            </w:pPr>
          </w:p>
        </w:tc>
        <w:tc>
          <w:tcPr>
            <w:tcW w:w="103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92" w:type="dxa"/>
            <w:vMerge w:val="continue"/>
            <w:tcBorders>
              <w:top w:val="nil"/>
              <w:left w:val="nil"/>
            </w:tcBorders>
            <w:vAlign w:val="top"/>
          </w:tcPr>
          <w:p>
            <w:pPr>
              <w:rPr>
                <w:rFonts w:ascii="Arial"/>
                <w:sz w:val="21"/>
              </w:rPr>
            </w:pPr>
          </w:p>
        </w:tc>
        <w:tc>
          <w:tcPr>
            <w:tcW w:w="1383" w:type="dxa"/>
            <w:vAlign w:val="top"/>
          </w:tcPr>
          <w:p>
            <w:pPr>
              <w:spacing w:before="167" w:line="230" w:lineRule="auto"/>
              <w:ind w:left="439" w:right="150" w:hanging="274"/>
              <w:rPr>
                <w:rFonts w:ascii="仿宋" w:hAnsi="仿宋" w:eastAsia="仿宋" w:cs="仿宋"/>
                <w:sz w:val="18"/>
                <w:szCs w:val="18"/>
              </w:rPr>
            </w:pPr>
            <w:r>
              <w:rPr>
                <w:rFonts w:ascii="仿宋" w:hAnsi="仿宋" w:eastAsia="仿宋" w:cs="仿宋"/>
                <w:spacing w:val="-4"/>
                <w:sz w:val="18"/>
                <w:szCs w:val="18"/>
              </w:rPr>
              <w:t>引洪工程生产</w:t>
            </w:r>
            <w:r>
              <w:rPr>
                <w:rFonts w:ascii="仿宋" w:hAnsi="仿宋" w:eastAsia="仿宋" w:cs="仿宋"/>
                <w:spacing w:val="4"/>
                <w:sz w:val="18"/>
                <w:szCs w:val="18"/>
              </w:rPr>
              <w:t xml:space="preserve"> </w:t>
            </w:r>
            <w:r>
              <w:rPr>
                <w:rFonts w:ascii="仿宋" w:hAnsi="仿宋" w:eastAsia="仿宋" w:cs="仿宋"/>
                <w:spacing w:val="-5"/>
                <w:sz w:val="18"/>
                <w:szCs w:val="18"/>
              </w:rPr>
              <w:t>生活区</w:t>
            </w:r>
          </w:p>
        </w:tc>
        <w:tc>
          <w:tcPr>
            <w:tcW w:w="910" w:type="dxa"/>
            <w:vAlign w:val="top"/>
          </w:tcPr>
          <w:p>
            <w:pPr>
              <w:spacing w:line="262" w:lineRule="auto"/>
              <w:rPr>
                <w:rFonts w:ascii="Arial"/>
                <w:sz w:val="21"/>
              </w:rPr>
            </w:pPr>
          </w:p>
          <w:p>
            <w:pPr>
              <w:pStyle w:val="6"/>
              <w:spacing w:before="52" w:line="188" w:lineRule="auto"/>
              <w:ind w:left="207"/>
              <w:rPr>
                <w:sz w:val="18"/>
                <w:szCs w:val="18"/>
              </w:rPr>
            </w:pPr>
            <w:r>
              <w:rPr>
                <w:spacing w:val="-1"/>
                <w:sz w:val="18"/>
                <w:szCs w:val="18"/>
              </w:rPr>
              <w:t>2446.7</w:t>
            </w:r>
          </w:p>
        </w:tc>
        <w:tc>
          <w:tcPr>
            <w:tcW w:w="843" w:type="dxa"/>
            <w:vAlign w:val="top"/>
          </w:tcPr>
          <w:p>
            <w:pPr>
              <w:spacing w:line="262" w:lineRule="auto"/>
              <w:rPr>
                <w:rFonts w:ascii="Arial"/>
                <w:sz w:val="21"/>
              </w:rPr>
            </w:pPr>
          </w:p>
          <w:p>
            <w:pPr>
              <w:pStyle w:val="6"/>
              <w:spacing w:before="52" w:line="188" w:lineRule="auto"/>
              <w:ind w:left="219"/>
              <w:rPr>
                <w:sz w:val="18"/>
                <w:szCs w:val="18"/>
              </w:rPr>
            </w:pPr>
            <w:r>
              <w:rPr>
                <w:spacing w:val="-1"/>
                <w:sz w:val="18"/>
                <w:szCs w:val="18"/>
              </w:rPr>
              <w:t>230.0</w:t>
            </w:r>
          </w:p>
        </w:tc>
        <w:tc>
          <w:tcPr>
            <w:tcW w:w="812" w:type="dxa"/>
            <w:vAlign w:val="top"/>
          </w:tcPr>
          <w:p>
            <w:pPr>
              <w:spacing w:line="262" w:lineRule="auto"/>
              <w:rPr>
                <w:rFonts w:ascii="Arial"/>
                <w:sz w:val="21"/>
              </w:rPr>
            </w:pPr>
          </w:p>
          <w:p>
            <w:pPr>
              <w:pStyle w:val="6"/>
              <w:spacing w:before="52" w:line="188" w:lineRule="auto"/>
              <w:ind w:left="158"/>
              <w:rPr>
                <w:sz w:val="18"/>
                <w:szCs w:val="18"/>
              </w:rPr>
            </w:pPr>
            <w:r>
              <w:rPr>
                <w:spacing w:val="-1"/>
                <w:sz w:val="18"/>
                <w:szCs w:val="18"/>
              </w:rPr>
              <w:t>2446.7</w:t>
            </w:r>
          </w:p>
        </w:tc>
        <w:tc>
          <w:tcPr>
            <w:tcW w:w="750" w:type="dxa"/>
            <w:vAlign w:val="top"/>
          </w:tcPr>
          <w:p>
            <w:pPr>
              <w:spacing w:line="262" w:lineRule="auto"/>
              <w:rPr>
                <w:rFonts w:ascii="Arial"/>
                <w:sz w:val="21"/>
              </w:rPr>
            </w:pPr>
          </w:p>
          <w:p>
            <w:pPr>
              <w:pStyle w:val="6"/>
              <w:spacing w:before="52" w:line="188" w:lineRule="auto"/>
              <w:ind w:left="173"/>
              <w:rPr>
                <w:sz w:val="18"/>
                <w:szCs w:val="18"/>
              </w:rPr>
            </w:pPr>
            <w:r>
              <w:rPr>
                <w:spacing w:val="-1"/>
                <w:sz w:val="18"/>
                <w:szCs w:val="18"/>
              </w:rPr>
              <w:t>230.0</w:t>
            </w:r>
          </w:p>
        </w:tc>
        <w:tc>
          <w:tcPr>
            <w:tcW w:w="1762" w:type="dxa"/>
            <w:vAlign w:val="top"/>
          </w:tcPr>
          <w:p>
            <w:pPr>
              <w:pStyle w:val="6"/>
              <w:spacing w:before="51" w:line="217" w:lineRule="auto"/>
              <w:ind w:left="165"/>
              <w:rPr>
                <w:rFonts w:ascii="仿宋" w:hAnsi="仿宋" w:eastAsia="仿宋" w:cs="仿宋"/>
                <w:sz w:val="18"/>
                <w:szCs w:val="18"/>
              </w:rPr>
            </w:pPr>
            <w:r>
              <w:rPr>
                <w:spacing w:val="-6"/>
                <w:sz w:val="18"/>
                <w:szCs w:val="18"/>
              </w:rPr>
              <w:t>7</w:t>
            </w:r>
            <w:r>
              <w:rPr>
                <w:spacing w:val="-19"/>
                <w:sz w:val="18"/>
                <w:szCs w:val="18"/>
              </w:rPr>
              <w:t xml:space="preserve"> </w:t>
            </w:r>
            <w:r>
              <w:rPr>
                <w:rFonts w:ascii="仿宋" w:hAnsi="仿宋" w:eastAsia="仿宋" w:cs="仿宋"/>
                <w:spacing w:val="-6"/>
                <w:sz w:val="18"/>
                <w:szCs w:val="18"/>
              </w:rPr>
              <w:t>、</w:t>
            </w:r>
            <w:r>
              <w:rPr>
                <w:spacing w:val="-6"/>
                <w:sz w:val="18"/>
                <w:szCs w:val="18"/>
              </w:rPr>
              <w:t>8</w:t>
            </w:r>
            <w:r>
              <w:rPr>
                <w:spacing w:val="-19"/>
                <w:sz w:val="18"/>
                <w:szCs w:val="18"/>
              </w:rPr>
              <w:t xml:space="preserve"> </w:t>
            </w:r>
            <w:r>
              <w:rPr>
                <w:rFonts w:ascii="仿宋" w:hAnsi="仿宋" w:eastAsia="仿宋" w:cs="仿宋"/>
                <w:spacing w:val="-6"/>
                <w:sz w:val="18"/>
                <w:szCs w:val="18"/>
              </w:rPr>
              <w:t>、</w:t>
            </w:r>
            <w:r>
              <w:rPr>
                <w:spacing w:val="-6"/>
                <w:sz w:val="18"/>
                <w:szCs w:val="18"/>
              </w:rPr>
              <w:t>9#</w:t>
            </w:r>
            <w:r>
              <w:rPr>
                <w:rFonts w:ascii="仿宋" w:hAnsi="仿宋" w:eastAsia="仿宋" w:cs="仿宋"/>
                <w:spacing w:val="-6"/>
                <w:sz w:val="18"/>
                <w:szCs w:val="18"/>
              </w:rPr>
              <w:t>临时堆土</w:t>
            </w:r>
          </w:p>
          <w:p>
            <w:pPr>
              <w:pStyle w:val="6"/>
              <w:spacing w:before="21" w:line="212" w:lineRule="auto"/>
              <w:ind w:left="148"/>
              <w:rPr>
                <w:rFonts w:ascii="仿宋" w:hAnsi="仿宋" w:eastAsia="仿宋" w:cs="仿宋"/>
                <w:sz w:val="18"/>
                <w:szCs w:val="18"/>
              </w:rPr>
            </w:pPr>
            <w:r>
              <w:rPr>
                <w:rFonts w:ascii="仿宋" w:hAnsi="仿宋" w:eastAsia="仿宋" w:cs="仿宋"/>
                <w:spacing w:val="-2"/>
                <w:sz w:val="18"/>
                <w:szCs w:val="18"/>
              </w:rPr>
              <w:t>场</w:t>
            </w:r>
            <w:r>
              <w:rPr>
                <w:spacing w:val="-2"/>
                <w:sz w:val="18"/>
                <w:szCs w:val="18"/>
              </w:rPr>
              <w:t>,</w:t>
            </w:r>
            <w:r>
              <w:rPr>
                <w:rFonts w:ascii="仿宋" w:hAnsi="仿宋" w:eastAsia="仿宋" w:cs="仿宋"/>
                <w:spacing w:val="-2"/>
                <w:sz w:val="18"/>
                <w:szCs w:val="18"/>
              </w:rPr>
              <w:t>用于后期绿化覆</w:t>
            </w:r>
          </w:p>
          <w:p>
            <w:pPr>
              <w:spacing w:before="27" w:line="179" w:lineRule="auto"/>
              <w:ind w:left="802"/>
              <w:rPr>
                <w:rFonts w:ascii="仿宋" w:hAnsi="仿宋" w:eastAsia="仿宋" w:cs="仿宋"/>
                <w:sz w:val="18"/>
                <w:szCs w:val="18"/>
              </w:rPr>
            </w:pPr>
            <w:r>
              <w:rPr>
                <w:rFonts w:ascii="仿宋" w:hAnsi="仿宋" w:eastAsia="仿宋" w:cs="仿宋"/>
                <w:sz w:val="18"/>
                <w:szCs w:val="18"/>
              </w:rPr>
              <w:t>土</w:t>
            </w: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rPr>
                <w:rFonts w:ascii="Arial"/>
                <w:sz w:val="21"/>
              </w:rPr>
            </w:pPr>
          </w:p>
        </w:tc>
        <w:tc>
          <w:tcPr>
            <w:tcW w:w="897" w:type="dxa"/>
            <w:vAlign w:val="top"/>
          </w:tcPr>
          <w:p>
            <w:pPr>
              <w:rPr>
                <w:rFonts w:ascii="Arial"/>
                <w:sz w:val="21"/>
              </w:rPr>
            </w:pPr>
          </w:p>
        </w:tc>
        <w:tc>
          <w:tcPr>
            <w:tcW w:w="103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03" w:hRule="atLeast"/>
        </w:trPr>
        <w:tc>
          <w:tcPr>
            <w:tcW w:w="792" w:type="dxa"/>
            <w:tcBorders>
              <w:left w:val="nil"/>
            </w:tcBorders>
            <w:vAlign w:val="top"/>
          </w:tcPr>
          <w:p>
            <w:pPr>
              <w:spacing w:before="171" w:line="234" w:lineRule="auto"/>
              <w:ind w:left="340" w:right="116" w:hanging="190"/>
              <w:rPr>
                <w:rFonts w:ascii="仿宋" w:hAnsi="仿宋" w:eastAsia="仿宋" w:cs="仿宋"/>
                <w:sz w:val="18"/>
                <w:szCs w:val="18"/>
              </w:rPr>
            </w:pPr>
            <w:r>
              <w:rPr>
                <w:rFonts w:ascii="仿宋" w:hAnsi="仿宋" w:eastAsia="仿宋" w:cs="仿宋"/>
                <w:spacing w:val="-6"/>
                <w:sz w:val="18"/>
                <w:szCs w:val="18"/>
              </w:rPr>
              <w:t>弃渣场</w:t>
            </w:r>
            <w:r>
              <w:rPr>
                <w:rFonts w:ascii="仿宋" w:hAnsi="仿宋" w:eastAsia="仿宋" w:cs="仿宋"/>
                <w:sz w:val="18"/>
                <w:szCs w:val="18"/>
              </w:rPr>
              <w:t xml:space="preserve"> 区</w:t>
            </w:r>
          </w:p>
        </w:tc>
        <w:tc>
          <w:tcPr>
            <w:tcW w:w="1383" w:type="dxa"/>
            <w:vAlign w:val="top"/>
          </w:tcPr>
          <w:p>
            <w:pPr>
              <w:pStyle w:val="6"/>
              <w:spacing w:before="171" w:line="229" w:lineRule="auto"/>
              <w:ind w:left="609" w:right="194" w:hanging="395"/>
              <w:rPr>
                <w:rFonts w:ascii="仿宋" w:hAnsi="仿宋" w:eastAsia="仿宋" w:cs="仿宋"/>
                <w:sz w:val="18"/>
                <w:szCs w:val="18"/>
              </w:rPr>
            </w:pPr>
            <w:r>
              <w:rPr>
                <w:spacing w:val="-3"/>
                <w:sz w:val="18"/>
                <w:szCs w:val="18"/>
              </w:rPr>
              <w:t>1#</w:t>
            </w:r>
            <w:r>
              <w:rPr>
                <w:rFonts w:ascii="仿宋" w:hAnsi="仿宋" w:eastAsia="仿宋" w:cs="仿宋"/>
                <w:spacing w:val="-3"/>
                <w:sz w:val="18"/>
                <w:szCs w:val="18"/>
              </w:rPr>
              <w:t>～</w:t>
            </w:r>
            <w:r>
              <w:rPr>
                <w:spacing w:val="-3"/>
                <w:sz w:val="18"/>
                <w:szCs w:val="18"/>
              </w:rPr>
              <w:t>18#</w:t>
            </w:r>
            <w:r>
              <w:rPr>
                <w:rFonts w:ascii="仿宋" w:hAnsi="仿宋" w:eastAsia="仿宋" w:cs="仿宋"/>
                <w:spacing w:val="-3"/>
                <w:sz w:val="18"/>
                <w:szCs w:val="18"/>
              </w:rPr>
              <w:t>弃渣</w:t>
            </w:r>
            <w:r>
              <w:rPr>
                <w:rFonts w:ascii="仿宋" w:hAnsi="仿宋" w:eastAsia="仿宋" w:cs="仿宋"/>
                <w:spacing w:val="2"/>
                <w:sz w:val="18"/>
                <w:szCs w:val="18"/>
              </w:rPr>
              <w:t xml:space="preserve"> </w:t>
            </w:r>
            <w:r>
              <w:rPr>
                <w:rFonts w:ascii="仿宋" w:hAnsi="仿宋" w:eastAsia="仿宋" w:cs="仿宋"/>
                <w:sz w:val="18"/>
                <w:szCs w:val="18"/>
              </w:rPr>
              <w:t>场</w:t>
            </w:r>
          </w:p>
        </w:tc>
        <w:tc>
          <w:tcPr>
            <w:tcW w:w="910" w:type="dxa"/>
            <w:vAlign w:val="top"/>
          </w:tcPr>
          <w:p>
            <w:pPr>
              <w:spacing w:line="264" w:lineRule="auto"/>
              <w:rPr>
                <w:rFonts w:ascii="Arial"/>
                <w:sz w:val="21"/>
              </w:rPr>
            </w:pPr>
          </w:p>
          <w:p>
            <w:pPr>
              <w:pStyle w:val="6"/>
              <w:spacing w:before="52" w:line="188" w:lineRule="auto"/>
              <w:ind w:left="180"/>
              <w:rPr>
                <w:sz w:val="18"/>
                <w:szCs w:val="18"/>
              </w:rPr>
            </w:pPr>
            <w:r>
              <w:rPr>
                <w:spacing w:val="-3"/>
                <w:sz w:val="18"/>
                <w:szCs w:val="18"/>
              </w:rPr>
              <w:t>10473.4</w:t>
            </w:r>
          </w:p>
        </w:tc>
        <w:tc>
          <w:tcPr>
            <w:tcW w:w="843" w:type="dxa"/>
            <w:vAlign w:val="top"/>
          </w:tcPr>
          <w:p>
            <w:pPr>
              <w:spacing w:line="264" w:lineRule="auto"/>
              <w:rPr>
                <w:rFonts w:ascii="Arial"/>
                <w:sz w:val="21"/>
              </w:rPr>
            </w:pPr>
          </w:p>
          <w:p>
            <w:pPr>
              <w:pStyle w:val="6"/>
              <w:spacing w:before="52" w:line="188" w:lineRule="auto"/>
              <w:ind w:left="129"/>
              <w:rPr>
                <w:sz w:val="18"/>
                <w:szCs w:val="18"/>
              </w:rPr>
            </w:pPr>
            <w:r>
              <w:rPr>
                <w:spacing w:val="-1"/>
                <w:sz w:val="18"/>
                <w:szCs w:val="18"/>
              </w:rPr>
              <w:t>28257.0</w:t>
            </w:r>
          </w:p>
        </w:tc>
        <w:tc>
          <w:tcPr>
            <w:tcW w:w="812" w:type="dxa"/>
            <w:vAlign w:val="top"/>
          </w:tcPr>
          <w:p>
            <w:pPr>
              <w:rPr>
                <w:rFonts w:ascii="Arial"/>
                <w:sz w:val="21"/>
              </w:rPr>
            </w:pPr>
          </w:p>
        </w:tc>
        <w:tc>
          <w:tcPr>
            <w:tcW w:w="750" w:type="dxa"/>
            <w:vAlign w:val="top"/>
          </w:tcPr>
          <w:p>
            <w:pPr>
              <w:pStyle w:val="6"/>
              <w:spacing w:before="214" w:line="214" w:lineRule="auto"/>
              <w:ind w:left="332" w:right="124" w:hanging="204"/>
              <w:rPr>
                <w:sz w:val="18"/>
                <w:szCs w:val="18"/>
              </w:rPr>
            </w:pPr>
            <w:r>
              <w:rPr>
                <w:spacing w:val="-1"/>
                <w:sz w:val="18"/>
                <w:szCs w:val="18"/>
              </w:rPr>
              <w:t>28257.</w:t>
            </w:r>
            <w:r>
              <w:rPr>
                <w:spacing w:val="1"/>
                <w:sz w:val="18"/>
                <w:szCs w:val="18"/>
              </w:rPr>
              <w:t xml:space="preserve"> </w:t>
            </w:r>
            <w:r>
              <w:rPr>
                <w:sz w:val="18"/>
                <w:szCs w:val="18"/>
              </w:rPr>
              <w:t>0</w:t>
            </w:r>
          </w:p>
        </w:tc>
        <w:tc>
          <w:tcPr>
            <w:tcW w:w="1762" w:type="dxa"/>
            <w:vAlign w:val="top"/>
          </w:tcPr>
          <w:p>
            <w:pPr>
              <w:pStyle w:val="6"/>
              <w:spacing w:before="53" w:line="217" w:lineRule="auto"/>
              <w:ind w:left="194"/>
              <w:rPr>
                <w:rFonts w:ascii="仿宋" w:hAnsi="仿宋" w:eastAsia="仿宋" w:cs="仿宋"/>
                <w:sz w:val="18"/>
                <w:szCs w:val="18"/>
              </w:rPr>
            </w:pPr>
            <w:r>
              <w:rPr>
                <w:spacing w:val="-2"/>
                <w:sz w:val="18"/>
                <w:szCs w:val="18"/>
              </w:rPr>
              <w:t>10-20#</w:t>
            </w:r>
            <w:r>
              <w:rPr>
                <w:rFonts w:ascii="仿宋" w:hAnsi="仿宋" w:eastAsia="仿宋" w:cs="仿宋"/>
                <w:spacing w:val="-2"/>
                <w:sz w:val="18"/>
                <w:szCs w:val="18"/>
              </w:rPr>
              <w:t>临时表土堆</w:t>
            </w:r>
          </w:p>
          <w:p>
            <w:pPr>
              <w:pStyle w:val="6"/>
              <w:spacing w:before="21" w:line="212" w:lineRule="auto"/>
              <w:ind w:left="148"/>
              <w:rPr>
                <w:rFonts w:ascii="仿宋" w:hAnsi="仿宋" w:eastAsia="仿宋" w:cs="仿宋"/>
                <w:sz w:val="18"/>
                <w:szCs w:val="18"/>
              </w:rPr>
            </w:pPr>
            <w:r>
              <w:rPr>
                <w:rFonts w:ascii="仿宋" w:hAnsi="仿宋" w:eastAsia="仿宋" w:cs="仿宋"/>
                <w:spacing w:val="-2"/>
                <w:sz w:val="18"/>
                <w:szCs w:val="18"/>
              </w:rPr>
              <w:t>场</w:t>
            </w:r>
            <w:r>
              <w:rPr>
                <w:spacing w:val="-2"/>
                <w:sz w:val="18"/>
                <w:szCs w:val="18"/>
              </w:rPr>
              <w:t>,</w:t>
            </w:r>
            <w:r>
              <w:rPr>
                <w:rFonts w:ascii="仿宋" w:hAnsi="仿宋" w:eastAsia="仿宋" w:cs="仿宋"/>
                <w:spacing w:val="-2"/>
                <w:sz w:val="18"/>
                <w:szCs w:val="18"/>
              </w:rPr>
              <w:t>用于渣场后期绿</w:t>
            </w:r>
          </w:p>
          <w:p>
            <w:pPr>
              <w:spacing w:before="26" w:line="177" w:lineRule="auto"/>
              <w:ind w:left="621"/>
              <w:rPr>
                <w:rFonts w:ascii="仿宋" w:hAnsi="仿宋" w:eastAsia="仿宋" w:cs="仿宋"/>
                <w:sz w:val="18"/>
                <w:szCs w:val="18"/>
              </w:rPr>
            </w:pPr>
            <w:r>
              <w:rPr>
                <w:rFonts w:ascii="仿宋" w:hAnsi="仿宋" w:eastAsia="仿宋" w:cs="仿宋"/>
                <w:spacing w:val="-3"/>
                <w:sz w:val="18"/>
                <w:szCs w:val="18"/>
              </w:rPr>
              <w:t>化覆土</w:t>
            </w:r>
          </w:p>
        </w:tc>
        <w:tc>
          <w:tcPr>
            <w:tcW w:w="739" w:type="dxa"/>
            <w:vAlign w:val="top"/>
          </w:tcPr>
          <w:p>
            <w:pPr>
              <w:rPr>
                <w:rFonts w:ascii="Arial"/>
                <w:sz w:val="21"/>
              </w:rPr>
            </w:pPr>
          </w:p>
        </w:tc>
        <w:tc>
          <w:tcPr>
            <w:tcW w:w="1164" w:type="dxa"/>
            <w:vAlign w:val="top"/>
          </w:tcPr>
          <w:p>
            <w:pPr>
              <w:rPr>
                <w:rFonts w:ascii="Arial"/>
                <w:sz w:val="21"/>
              </w:rPr>
            </w:pPr>
          </w:p>
        </w:tc>
        <w:tc>
          <w:tcPr>
            <w:tcW w:w="910" w:type="dxa"/>
            <w:vAlign w:val="top"/>
          </w:tcPr>
          <w:p>
            <w:pPr>
              <w:rPr>
                <w:rFonts w:ascii="Arial"/>
                <w:sz w:val="21"/>
              </w:rPr>
            </w:pPr>
          </w:p>
        </w:tc>
        <w:tc>
          <w:tcPr>
            <w:tcW w:w="983" w:type="dxa"/>
            <w:vAlign w:val="top"/>
          </w:tcPr>
          <w:p>
            <w:pPr>
              <w:rPr>
                <w:rFonts w:ascii="Arial"/>
                <w:sz w:val="21"/>
              </w:rPr>
            </w:pPr>
          </w:p>
        </w:tc>
        <w:tc>
          <w:tcPr>
            <w:tcW w:w="1036" w:type="dxa"/>
            <w:vAlign w:val="top"/>
          </w:tcPr>
          <w:p>
            <w:pPr>
              <w:spacing w:line="264" w:lineRule="auto"/>
              <w:rPr>
                <w:rFonts w:ascii="Arial"/>
                <w:sz w:val="21"/>
              </w:rPr>
            </w:pPr>
          </w:p>
          <w:p>
            <w:pPr>
              <w:pStyle w:val="6"/>
              <w:spacing w:before="52" w:line="188" w:lineRule="auto"/>
              <w:ind w:left="244"/>
              <w:rPr>
                <w:sz w:val="18"/>
                <w:szCs w:val="18"/>
              </w:rPr>
            </w:pPr>
            <w:r>
              <w:rPr>
                <w:spacing w:val="-3"/>
                <w:sz w:val="18"/>
                <w:szCs w:val="18"/>
              </w:rPr>
              <w:t>10473.4</w:t>
            </w:r>
          </w:p>
        </w:tc>
        <w:tc>
          <w:tcPr>
            <w:tcW w:w="897" w:type="dxa"/>
            <w:vAlign w:val="top"/>
          </w:tcPr>
          <w:p>
            <w:pPr>
              <w:spacing w:line="264" w:lineRule="auto"/>
              <w:rPr>
                <w:rFonts w:ascii="Arial"/>
                <w:sz w:val="21"/>
              </w:rPr>
            </w:pPr>
          </w:p>
          <w:p>
            <w:pPr>
              <w:pStyle w:val="6"/>
              <w:spacing w:before="52" w:line="188" w:lineRule="auto"/>
              <w:ind w:left="174"/>
              <w:rPr>
                <w:sz w:val="18"/>
                <w:szCs w:val="18"/>
              </w:rPr>
            </w:pPr>
            <w:r>
              <w:rPr>
                <w:spacing w:val="-3"/>
                <w:sz w:val="18"/>
                <w:szCs w:val="18"/>
              </w:rPr>
              <w:t>13091.7</w:t>
            </w:r>
          </w:p>
        </w:tc>
        <w:tc>
          <w:tcPr>
            <w:tcW w:w="1036" w:type="dxa"/>
            <w:tcBorders>
              <w:right w:val="nil"/>
            </w:tcBorders>
            <w:vAlign w:val="top"/>
          </w:tcPr>
          <w:p>
            <w:pPr>
              <w:pStyle w:val="6"/>
              <w:spacing w:before="171" w:line="229" w:lineRule="auto"/>
              <w:ind w:left="346" w:right="172" w:hanging="155"/>
              <w:rPr>
                <w:rFonts w:ascii="仿宋" w:hAnsi="仿宋" w:eastAsia="仿宋" w:cs="仿宋"/>
                <w:sz w:val="18"/>
                <w:szCs w:val="18"/>
              </w:rPr>
            </w:pPr>
            <w:r>
              <w:rPr>
                <w:spacing w:val="-7"/>
                <w:sz w:val="18"/>
                <w:szCs w:val="18"/>
              </w:rPr>
              <w:t>1#-</w:t>
            </w:r>
            <w:r>
              <w:rPr>
                <w:spacing w:val="-19"/>
                <w:sz w:val="18"/>
                <w:szCs w:val="18"/>
              </w:rPr>
              <w:t xml:space="preserve"> </w:t>
            </w:r>
            <w:r>
              <w:rPr>
                <w:spacing w:val="-7"/>
                <w:sz w:val="18"/>
                <w:szCs w:val="18"/>
              </w:rPr>
              <w:t>18#</w:t>
            </w:r>
            <w:r>
              <w:rPr>
                <w:rFonts w:ascii="仿宋" w:hAnsi="仿宋" w:eastAsia="仿宋" w:cs="仿宋"/>
                <w:spacing w:val="-7"/>
                <w:sz w:val="18"/>
                <w:szCs w:val="18"/>
              </w:rPr>
              <w:t>弃</w:t>
            </w:r>
            <w:r>
              <w:rPr>
                <w:rFonts w:ascii="仿宋" w:hAnsi="仿宋" w:eastAsia="仿宋" w:cs="仿宋"/>
                <w:sz w:val="18"/>
                <w:szCs w:val="18"/>
              </w:rPr>
              <w:t xml:space="preserve"> </w:t>
            </w:r>
            <w:r>
              <w:rPr>
                <w:rFonts w:ascii="仿宋" w:hAnsi="仿宋" w:eastAsia="仿宋" w:cs="仿宋"/>
                <w:spacing w:val="-4"/>
                <w:sz w:val="18"/>
                <w:szCs w:val="18"/>
              </w:rPr>
              <w:t>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42" w:hRule="atLeast"/>
        </w:trPr>
        <w:tc>
          <w:tcPr>
            <w:tcW w:w="2175" w:type="dxa"/>
            <w:gridSpan w:val="2"/>
            <w:tcBorders>
              <w:left w:val="nil"/>
              <w:bottom w:val="single" w:color="000000" w:sz="12" w:space="0"/>
            </w:tcBorders>
            <w:vAlign w:val="top"/>
          </w:tcPr>
          <w:p>
            <w:pPr>
              <w:spacing w:before="146" w:line="218" w:lineRule="auto"/>
              <w:ind w:left="795"/>
              <w:rPr>
                <w:rFonts w:ascii="仿宋" w:hAnsi="仿宋" w:eastAsia="仿宋" w:cs="仿宋"/>
                <w:sz w:val="18"/>
                <w:szCs w:val="18"/>
              </w:rPr>
            </w:pPr>
            <w:r>
              <w:rPr>
                <w:rFonts w:ascii="仿宋" w:hAnsi="仿宋" w:eastAsia="仿宋" w:cs="仿宋"/>
                <w:spacing w:val="-9"/>
                <w:sz w:val="18"/>
                <w:szCs w:val="18"/>
              </w:rPr>
              <w:t>合</w:t>
            </w:r>
            <w:r>
              <w:rPr>
                <w:rFonts w:ascii="仿宋" w:hAnsi="仿宋" w:eastAsia="仿宋" w:cs="仿宋"/>
                <w:spacing w:val="3"/>
                <w:sz w:val="18"/>
                <w:szCs w:val="18"/>
              </w:rPr>
              <w:t xml:space="preserve">   </w:t>
            </w:r>
            <w:r>
              <w:rPr>
                <w:rFonts w:ascii="仿宋" w:hAnsi="仿宋" w:eastAsia="仿宋" w:cs="仿宋"/>
                <w:spacing w:val="-9"/>
                <w:sz w:val="18"/>
                <w:szCs w:val="18"/>
              </w:rPr>
              <w:t>计</w:t>
            </w:r>
          </w:p>
        </w:tc>
        <w:tc>
          <w:tcPr>
            <w:tcW w:w="910" w:type="dxa"/>
            <w:tcBorders>
              <w:bottom w:val="single" w:color="000000" w:sz="12" w:space="0"/>
            </w:tcBorders>
            <w:vAlign w:val="top"/>
          </w:tcPr>
          <w:p>
            <w:pPr>
              <w:pStyle w:val="6"/>
              <w:spacing w:before="73" w:line="208" w:lineRule="auto"/>
              <w:ind w:left="426" w:right="115" w:hanging="291"/>
              <w:rPr>
                <w:sz w:val="18"/>
                <w:szCs w:val="18"/>
              </w:rPr>
            </w:pPr>
            <w:r>
              <w:rPr>
                <w:spacing w:val="-3"/>
                <w:sz w:val="18"/>
                <w:szCs w:val="18"/>
              </w:rPr>
              <w:t>1527208.</w:t>
            </w:r>
            <w:r>
              <w:rPr>
                <w:spacing w:val="1"/>
                <w:sz w:val="18"/>
                <w:szCs w:val="18"/>
              </w:rPr>
              <w:t xml:space="preserve"> </w:t>
            </w:r>
            <w:r>
              <w:rPr>
                <w:sz w:val="18"/>
                <w:szCs w:val="18"/>
              </w:rPr>
              <w:t>1</w:t>
            </w:r>
          </w:p>
        </w:tc>
        <w:tc>
          <w:tcPr>
            <w:tcW w:w="843" w:type="dxa"/>
            <w:tcBorders>
              <w:bottom w:val="single" w:color="000000" w:sz="12" w:space="0"/>
            </w:tcBorders>
            <w:vAlign w:val="top"/>
          </w:tcPr>
          <w:p>
            <w:pPr>
              <w:pStyle w:val="6"/>
              <w:spacing w:before="73" w:line="208" w:lineRule="auto"/>
              <w:ind w:left="375" w:right="131" w:hanging="226"/>
              <w:rPr>
                <w:sz w:val="18"/>
                <w:szCs w:val="18"/>
              </w:rPr>
            </w:pPr>
            <w:r>
              <w:rPr>
                <w:spacing w:val="-5"/>
                <w:sz w:val="18"/>
                <w:szCs w:val="18"/>
              </w:rPr>
              <w:t>115538.</w:t>
            </w:r>
            <w:r>
              <w:rPr>
                <w:spacing w:val="5"/>
                <w:sz w:val="18"/>
                <w:szCs w:val="18"/>
              </w:rPr>
              <w:t xml:space="preserve"> </w:t>
            </w:r>
            <w:r>
              <w:rPr>
                <w:sz w:val="18"/>
                <w:szCs w:val="18"/>
              </w:rPr>
              <w:t>4</w:t>
            </w:r>
          </w:p>
        </w:tc>
        <w:tc>
          <w:tcPr>
            <w:tcW w:w="812" w:type="dxa"/>
            <w:tcBorders>
              <w:bottom w:val="single" w:color="000000" w:sz="12" w:space="0"/>
            </w:tcBorders>
            <w:vAlign w:val="top"/>
          </w:tcPr>
          <w:p>
            <w:pPr>
              <w:pStyle w:val="6"/>
              <w:spacing w:before="73" w:line="208" w:lineRule="auto"/>
              <w:ind w:left="360" w:right="111" w:hanging="229"/>
              <w:rPr>
                <w:sz w:val="18"/>
                <w:szCs w:val="18"/>
              </w:rPr>
            </w:pPr>
            <w:r>
              <w:rPr>
                <w:spacing w:val="-4"/>
                <w:sz w:val="18"/>
                <w:szCs w:val="18"/>
              </w:rPr>
              <w:t>129556.</w:t>
            </w:r>
            <w:r>
              <w:rPr>
                <w:spacing w:val="5"/>
                <w:sz w:val="18"/>
                <w:szCs w:val="18"/>
              </w:rPr>
              <w:t xml:space="preserve"> </w:t>
            </w:r>
            <w:r>
              <w:rPr>
                <w:sz w:val="18"/>
                <w:szCs w:val="18"/>
              </w:rPr>
              <w:t>2</w:t>
            </w:r>
          </w:p>
        </w:tc>
        <w:tc>
          <w:tcPr>
            <w:tcW w:w="750" w:type="dxa"/>
            <w:tcBorders>
              <w:bottom w:val="single" w:color="000000" w:sz="12" w:space="0"/>
            </w:tcBorders>
            <w:vAlign w:val="top"/>
          </w:tcPr>
          <w:p>
            <w:pPr>
              <w:pStyle w:val="6"/>
              <w:spacing w:before="73" w:line="208" w:lineRule="auto"/>
              <w:ind w:left="265" w:right="148" w:hanging="110"/>
              <w:rPr>
                <w:sz w:val="18"/>
                <w:szCs w:val="18"/>
              </w:rPr>
            </w:pPr>
            <w:r>
              <w:rPr>
                <w:spacing w:val="-2"/>
                <w:sz w:val="18"/>
                <w:szCs w:val="18"/>
              </w:rPr>
              <w:t>56198</w:t>
            </w:r>
            <w:r>
              <w:rPr>
                <w:sz w:val="18"/>
                <w:szCs w:val="18"/>
              </w:rPr>
              <w:t xml:space="preserve"> </w:t>
            </w:r>
            <w:r>
              <w:rPr>
                <w:spacing w:val="-3"/>
                <w:sz w:val="18"/>
                <w:szCs w:val="18"/>
              </w:rPr>
              <w:t>0.8</w:t>
            </w:r>
          </w:p>
        </w:tc>
        <w:tc>
          <w:tcPr>
            <w:tcW w:w="1762" w:type="dxa"/>
            <w:tcBorders>
              <w:bottom w:val="single" w:color="000000" w:sz="12" w:space="0"/>
            </w:tcBorders>
            <w:vAlign w:val="top"/>
          </w:tcPr>
          <w:p>
            <w:pPr>
              <w:rPr>
                <w:rFonts w:ascii="Arial"/>
                <w:sz w:val="21"/>
              </w:rPr>
            </w:pPr>
          </w:p>
        </w:tc>
        <w:tc>
          <w:tcPr>
            <w:tcW w:w="739" w:type="dxa"/>
            <w:tcBorders>
              <w:bottom w:val="single" w:color="000000" w:sz="12" w:space="0"/>
            </w:tcBorders>
            <w:vAlign w:val="top"/>
          </w:tcPr>
          <w:p>
            <w:pPr>
              <w:pStyle w:val="6"/>
              <w:spacing w:before="73" w:line="208" w:lineRule="auto"/>
              <w:ind w:left="328" w:right="119" w:hanging="202"/>
              <w:rPr>
                <w:sz w:val="18"/>
                <w:szCs w:val="18"/>
              </w:rPr>
            </w:pPr>
            <w:r>
              <w:rPr>
                <w:spacing w:val="-2"/>
                <w:sz w:val="18"/>
                <w:szCs w:val="18"/>
              </w:rPr>
              <w:t>92921.</w:t>
            </w:r>
            <w:r>
              <w:rPr>
                <w:spacing w:val="3"/>
                <w:sz w:val="18"/>
                <w:szCs w:val="18"/>
              </w:rPr>
              <w:t xml:space="preserve"> </w:t>
            </w:r>
            <w:r>
              <w:rPr>
                <w:sz w:val="18"/>
                <w:szCs w:val="18"/>
              </w:rPr>
              <w:t>6</w:t>
            </w:r>
          </w:p>
        </w:tc>
        <w:tc>
          <w:tcPr>
            <w:tcW w:w="1164" w:type="dxa"/>
            <w:tcBorders>
              <w:bottom w:val="single" w:color="000000" w:sz="12" w:space="0"/>
            </w:tcBorders>
            <w:vAlign w:val="top"/>
          </w:tcPr>
          <w:p>
            <w:pPr>
              <w:rPr>
                <w:rFonts w:ascii="Arial"/>
                <w:sz w:val="21"/>
              </w:rPr>
            </w:pPr>
          </w:p>
        </w:tc>
        <w:tc>
          <w:tcPr>
            <w:tcW w:w="910" w:type="dxa"/>
            <w:tcBorders>
              <w:bottom w:val="single" w:color="000000" w:sz="12" w:space="0"/>
            </w:tcBorders>
            <w:vAlign w:val="top"/>
          </w:tcPr>
          <w:p>
            <w:pPr>
              <w:pStyle w:val="6"/>
              <w:spacing w:before="176" w:line="188" w:lineRule="auto"/>
              <w:ind w:left="167"/>
              <w:rPr>
                <w:sz w:val="18"/>
                <w:szCs w:val="18"/>
              </w:rPr>
            </w:pPr>
            <w:r>
              <w:rPr>
                <w:spacing w:val="-1"/>
                <w:sz w:val="18"/>
                <w:szCs w:val="18"/>
              </w:rPr>
              <w:t>92921.6</w:t>
            </w:r>
          </w:p>
        </w:tc>
        <w:tc>
          <w:tcPr>
            <w:tcW w:w="983" w:type="dxa"/>
            <w:tcBorders>
              <w:bottom w:val="single" w:color="000000" w:sz="12" w:space="0"/>
            </w:tcBorders>
            <w:vAlign w:val="top"/>
          </w:tcPr>
          <w:p>
            <w:pPr>
              <w:rPr>
                <w:rFonts w:ascii="Arial"/>
                <w:sz w:val="21"/>
              </w:rPr>
            </w:pPr>
          </w:p>
        </w:tc>
        <w:tc>
          <w:tcPr>
            <w:tcW w:w="1036" w:type="dxa"/>
            <w:tcBorders>
              <w:bottom w:val="single" w:color="000000" w:sz="12" w:space="0"/>
            </w:tcBorders>
            <w:vAlign w:val="top"/>
          </w:tcPr>
          <w:p>
            <w:pPr>
              <w:pStyle w:val="6"/>
              <w:spacing w:before="176" w:line="188" w:lineRule="auto"/>
              <w:ind w:left="185"/>
              <w:rPr>
                <w:sz w:val="18"/>
                <w:szCs w:val="18"/>
              </w:rPr>
            </w:pPr>
            <w:r>
              <w:rPr>
                <w:spacing w:val="-1"/>
                <w:sz w:val="18"/>
                <w:szCs w:val="18"/>
              </w:rPr>
              <w:t>951209.5</w:t>
            </w:r>
          </w:p>
        </w:tc>
        <w:tc>
          <w:tcPr>
            <w:tcW w:w="897" w:type="dxa"/>
            <w:tcBorders>
              <w:bottom w:val="single" w:color="000000" w:sz="12" w:space="0"/>
            </w:tcBorders>
            <w:vAlign w:val="top"/>
          </w:tcPr>
          <w:p>
            <w:pPr>
              <w:pStyle w:val="6"/>
              <w:spacing w:before="73" w:line="208" w:lineRule="auto"/>
              <w:ind w:left="407" w:right="115" w:hanging="271"/>
              <w:rPr>
                <w:sz w:val="18"/>
                <w:szCs w:val="18"/>
              </w:rPr>
            </w:pPr>
            <w:r>
              <w:rPr>
                <w:spacing w:val="-5"/>
                <w:sz w:val="18"/>
                <w:szCs w:val="18"/>
              </w:rPr>
              <w:t>1189011.</w:t>
            </w:r>
            <w:r>
              <w:rPr>
                <w:spacing w:val="3"/>
                <w:sz w:val="18"/>
                <w:szCs w:val="18"/>
              </w:rPr>
              <w:t xml:space="preserve"> </w:t>
            </w:r>
            <w:r>
              <w:rPr>
                <w:sz w:val="18"/>
                <w:szCs w:val="18"/>
              </w:rPr>
              <w:t>9</w:t>
            </w:r>
          </w:p>
        </w:tc>
        <w:tc>
          <w:tcPr>
            <w:tcW w:w="1036" w:type="dxa"/>
            <w:tcBorders>
              <w:bottom w:val="single" w:color="000000" w:sz="12"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08" w:type="default"/>
          <w:pgSz w:w="16839" w:h="11907"/>
          <w:pgMar w:top="1298" w:right="1387" w:bottom="1374" w:left="1388" w:header="1023" w:footer="1210" w:gutter="0"/>
        </w:sectPr>
      </w:pPr>
    </w:p>
    <w:p>
      <w:pPr>
        <w:rPr>
          <w:rFonts w:ascii="Arial"/>
          <w:sz w:val="21"/>
        </w:rPr>
      </w:pPr>
    </w:p>
    <w:p>
      <w:pPr>
        <w:rPr>
          <w:rFonts w:ascii="Arial" w:hAnsi="Arial" w:eastAsia="Arial" w:cs="Arial"/>
          <w:sz w:val="21"/>
          <w:szCs w:val="21"/>
        </w:rPr>
        <w:sectPr>
          <w:footerReference r:id="rId109" w:type="default"/>
          <w:pgSz w:w="16839" w:h="11907"/>
          <w:pgMar w:top="1298" w:right="1387" w:bottom="1374" w:left="1388" w:header="1023" w:footer="1210" w:gutter="0"/>
        </w:sectPr>
      </w:pPr>
    </w:p>
    <w:p>
      <w:pPr>
        <w:spacing w:line="326" w:lineRule="auto"/>
        <w:rPr>
          <w:rFonts w:ascii="Arial"/>
          <w:sz w:val="21"/>
        </w:rPr>
      </w:pPr>
    </w:p>
    <w:p>
      <w:pPr>
        <w:pStyle w:val="2"/>
        <w:spacing w:before="88" w:line="239" w:lineRule="auto"/>
        <w:ind w:left="36"/>
        <w:outlineLvl w:val="1"/>
        <w:rPr>
          <w:sz w:val="27"/>
          <w:szCs w:val="27"/>
        </w:rPr>
      </w:pPr>
      <w:r>
        <w:rPr>
          <w:rFonts w:ascii="Times New Roman" w:hAnsi="Times New Roman" w:eastAsia="Times New Roman" w:cs="Times New Roman"/>
          <w:b/>
          <w:bCs/>
          <w:spacing w:val="5"/>
          <w:sz w:val="27"/>
          <w:szCs w:val="27"/>
        </w:rPr>
        <w:t xml:space="preserve">2.3.5 </w:t>
      </w:r>
      <w:r>
        <w:rPr>
          <w:spacing w:val="5"/>
          <w:sz w:val="27"/>
          <w:szCs w:val="27"/>
          <w14:textOutline w14:w="5072" w14:cap="flat" w14:cmpd="sng">
            <w14:solidFill>
              <w14:srgbClr w14:val="000000"/>
            </w14:solidFill>
            <w14:prstDash w14:val="solid"/>
            <w14:miter w14:val="0"/>
          </w14:textOutline>
        </w:rPr>
        <w:t>施工方法</w:t>
      </w:r>
    </w:p>
    <w:p>
      <w:pPr>
        <w:spacing w:before="150" w:line="467" w:lineRule="exact"/>
        <w:ind w:left="526"/>
        <w:rPr>
          <w:rFonts w:ascii="宋体" w:hAnsi="宋体" w:eastAsia="宋体" w:cs="宋体"/>
          <w:sz w:val="24"/>
          <w:szCs w:val="24"/>
        </w:rPr>
      </w:pP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1</w:t>
      </w:r>
      <w:r>
        <w:rPr>
          <w:rFonts w:ascii="宋体" w:hAnsi="宋体" w:eastAsia="宋体" w:cs="宋体"/>
          <w:spacing w:val="-4"/>
          <w:position w:val="17"/>
          <w:sz w:val="24"/>
          <w:szCs w:val="24"/>
        </w:rPr>
        <w:t>）主体工程施工</w:t>
      </w:r>
    </w:p>
    <w:p>
      <w:pPr>
        <w:spacing w:line="217" w:lineRule="auto"/>
        <w:ind w:left="518"/>
        <w:rPr>
          <w:rFonts w:ascii="宋体" w:hAnsi="宋体" w:eastAsia="宋体" w:cs="宋体"/>
          <w:sz w:val="24"/>
          <w:szCs w:val="24"/>
        </w:rPr>
      </w:pPr>
      <w:r>
        <w:rPr>
          <w:rFonts w:ascii="宋体" w:hAnsi="宋体" w:eastAsia="宋体" w:cs="宋体"/>
          <w:spacing w:val="-2"/>
          <w:sz w:val="24"/>
          <w:szCs w:val="24"/>
        </w:rPr>
        <w:t>①大坝</w:t>
      </w:r>
    </w:p>
    <w:p>
      <w:pPr>
        <w:spacing w:before="184" w:line="467" w:lineRule="exact"/>
        <w:ind w:left="522"/>
        <w:rPr>
          <w:rFonts w:ascii="宋体" w:hAnsi="宋体" w:eastAsia="宋体" w:cs="宋体"/>
          <w:sz w:val="24"/>
          <w:szCs w:val="24"/>
        </w:rPr>
      </w:pPr>
      <w:r>
        <w:rPr>
          <w:rFonts w:ascii="宋体" w:hAnsi="宋体" w:eastAsia="宋体" w:cs="宋体"/>
          <w:spacing w:val="-6"/>
          <w:position w:val="17"/>
          <w:sz w:val="24"/>
          <w:szCs w:val="24"/>
        </w:rPr>
        <w:t>大坝施工基本施工程序为：</w:t>
      </w:r>
      <w:r>
        <w:rPr>
          <w:rFonts w:ascii="宋体" w:hAnsi="宋体" w:eastAsia="宋体" w:cs="宋体"/>
          <w:spacing w:val="77"/>
          <w:position w:val="17"/>
          <w:sz w:val="24"/>
          <w:szCs w:val="24"/>
        </w:rPr>
        <w:t xml:space="preserve"> </w:t>
      </w:r>
      <w:r>
        <w:rPr>
          <w:rFonts w:ascii="宋体" w:hAnsi="宋体" w:eastAsia="宋体" w:cs="宋体"/>
          <w:spacing w:val="-6"/>
          <w:position w:val="17"/>
          <w:sz w:val="24"/>
          <w:szCs w:val="24"/>
        </w:rPr>
        <w:t>土石方明挖→粘土料填筑→坝壳料填筑→反滤料→混</w:t>
      </w:r>
    </w:p>
    <w:p>
      <w:pPr>
        <w:spacing w:before="1" w:line="218" w:lineRule="auto"/>
        <w:ind w:left="38"/>
        <w:rPr>
          <w:rFonts w:ascii="宋体" w:hAnsi="宋体" w:eastAsia="宋体" w:cs="宋体"/>
          <w:sz w:val="24"/>
          <w:szCs w:val="24"/>
        </w:rPr>
      </w:pPr>
      <w:r>
        <w:rPr>
          <w:rFonts w:ascii="宋体" w:hAnsi="宋体" w:eastAsia="宋体" w:cs="宋体"/>
          <w:spacing w:val="-3"/>
          <w:sz w:val="24"/>
          <w:szCs w:val="24"/>
        </w:rPr>
        <w:t>凝土灌浆盖板→</w:t>
      </w:r>
      <w:r>
        <w:rPr>
          <w:rFonts w:ascii="宋体" w:hAnsi="宋体" w:eastAsia="宋体" w:cs="宋体"/>
          <w:spacing w:val="-78"/>
          <w:sz w:val="24"/>
          <w:szCs w:val="24"/>
        </w:rPr>
        <w:t xml:space="preserve"> </w:t>
      </w:r>
      <w:r>
        <w:rPr>
          <w:rFonts w:ascii="宋体" w:hAnsi="宋体" w:eastAsia="宋体" w:cs="宋体"/>
          <w:spacing w:val="-3"/>
          <w:sz w:val="24"/>
          <w:szCs w:val="24"/>
        </w:rPr>
        <w:t>固结灌浆→帷幕灌浆。</w:t>
      </w:r>
    </w:p>
    <w:p>
      <w:pPr>
        <w:spacing w:before="182" w:line="233" w:lineRule="auto"/>
        <w:ind w:left="519"/>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2"/>
          <w:sz w:val="24"/>
          <w:szCs w:val="24"/>
        </w:rPr>
        <w:t>土石方明挖</w:t>
      </w:r>
    </w:p>
    <w:p>
      <w:pPr>
        <w:spacing w:before="163" w:line="467" w:lineRule="exact"/>
        <w:ind w:left="548"/>
        <w:rPr>
          <w:rFonts w:ascii="宋体" w:hAnsi="宋体" w:eastAsia="宋体" w:cs="宋体"/>
          <w:sz w:val="24"/>
          <w:szCs w:val="24"/>
        </w:rPr>
      </w:pPr>
      <w:r>
        <w:rPr>
          <w:rFonts w:ascii="宋体" w:hAnsi="宋体" w:eastAsia="宋体" w:cs="宋体"/>
          <w:spacing w:val="-1"/>
          <w:position w:val="17"/>
          <w:sz w:val="24"/>
          <w:szCs w:val="24"/>
        </w:rPr>
        <w:t>由人工配合推土机推集，石方由风钻钻孔爆破。开挖料由挖掘机装自卸</w:t>
      </w:r>
      <w:r>
        <w:rPr>
          <w:rFonts w:ascii="宋体" w:hAnsi="宋体" w:eastAsia="宋体" w:cs="宋体"/>
          <w:spacing w:val="-2"/>
          <w:position w:val="17"/>
          <w:sz w:val="24"/>
          <w:szCs w:val="24"/>
        </w:rPr>
        <w:t>汽车运至</w:t>
      </w:r>
    </w:p>
    <w:p>
      <w:pPr>
        <w:spacing w:line="219" w:lineRule="auto"/>
        <w:ind w:left="43"/>
        <w:rPr>
          <w:rFonts w:ascii="宋体" w:hAnsi="宋体" w:eastAsia="宋体" w:cs="宋体"/>
          <w:sz w:val="24"/>
          <w:szCs w:val="24"/>
        </w:rPr>
      </w:pPr>
      <w:r>
        <w:rPr>
          <w:rFonts w:ascii="宋体" w:hAnsi="宋体" w:eastAsia="宋体" w:cs="宋体"/>
          <w:spacing w:val="-3"/>
          <w:sz w:val="24"/>
          <w:szCs w:val="24"/>
        </w:rPr>
        <w:t>弃渣场弃置。</w:t>
      </w:r>
    </w:p>
    <w:p>
      <w:pPr>
        <w:spacing w:before="182" w:line="233" w:lineRule="auto"/>
        <w:ind w:left="510"/>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粘土料填筑</w:t>
      </w:r>
    </w:p>
    <w:p>
      <w:pPr>
        <w:spacing w:before="164" w:line="468" w:lineRule="exact"/>
        <w:ind w:left="519"/>
        <w:rPr>
          <w:rFonts w:ascii="宋体" w:hAnsi="宋体" w:eastAsia="宋体" w:cs="宋体"/>
          <w:sz w:val="24"/>
          <w:szCs w:val="24"/>
        </w:rPr>
      </w:pPr>
      <w:r>
        <w:rPr>
          <w:rFonts w:ascii="宋体" w:hAnsi="宋体" w:eastAsia="宋体" w:cs="宋体"/>
          <w:spacing w:val="-6"/>
          <w:position w:val="17"/>
          <w:sz w:val="24"/>
          <w:szCs w:val="24"/>
        </w:rPr>
        <w:t>粘土料取至罗斯达土料场，由挖掘机挖装自卸汽车运至工作面填筑，</w:t>
      </w:r>
      <w:r>
        <w:rPr>
          <w:rFonts w:ascii="宋体" w:hAnsi="宋体" w:eastAsia="宋体" w:cs="宋体"/>
          <w:spacing w:val="76"/>
          <w:position w:val="17"/>
          <w:sz w:val="24"/>
          <w:szCs w:val="24"/>
        </w:rPr>
        <w:t xml:space="preserve"> </w:t>
      </w:r>
      <w:r>
        <w:rPr>
          <w:rFonts w:ascii="宋体" w:hAnsi="宋体" w:eastAsia="宋体" w:cs="宋体"/>
          <w:spacing w:val="-6"/>
          <w:position w:val="17"/>
          <w:sz w:val="24"/>
          <w:szCs w:val="24"/>
        </w:rPr>
        <w:t>推土机平</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料，采用振动凸块碾碾压，边角地带用蛙式打夯机夯实。</w:t>
      </w:r>
    </w:p>
    <w:p>
      <w:pPr>
        <w:spacing w:before="182" w:line="233" w:lineRule="auto"/>
        <w:ind w:left="518"/>
        <w:rPr>
          <w:rFonts w:ascii="宋体" w:hAnsi="宋体" w:eastAsia="宋体" w:cs="宋体"/>
          <w:sz w:val="24"/>
          <w:szCs w:val="24"/>
        </w:rPr>
      </w:pPr>
      <w:r>
        <w:rPr>
          <w:rFonts w:ascii="Times New Roman" w:hAnsi="Times New Roman" w:eastAsia="Times New Roman" w:cs="Times New Roman"/>
          <w:spacing w:val="-2"/>
          <w:sz w:val="24"/>
          <w:szCs w:val="24"/>
        </w:rPr>
        <w:t>c.</w:t>
      </w:r>
      <w:r>
        <w:rPr>
          <w:rFonts w:ascii="宋体" w:hAnsi="宋体" w:eastAsia="宋体" w:cs="宋体"/>
          <w:spacing w:val="-2"/>
          <w:sz w:val="24"/>
          <w:szCs w:val="24"/>
        </w:rPr>
        <w:t>坝壳料填筑</w:t>
      </w:r>
    </w:p>
    <w:p>
      <w:pPr>
        <w:spacing w:before="164" w:line="467" w:lineRule="exact"/>
        <w:ind w:left="548"/>
        <w:rPr>
          <w:rFonts w:ascii="宋体" w:hAnsi="宋体" w:eastAsia="宋体" w:cs="宋体"/>
          <w:sz w:val="24"/>
          <w:szCs w:val="24"/>
        </w:rPr>
      </w:pPr>
      <w:r>
        <w:rPr>
          <w:rFonts w:ascii="宋体" w:hAnsi="宋体" w:eastAsia="宋体" w:cs="宋体"/>
          <w:spacing w:val="-11"/>
          <w:position w:val="17"/>
          <w:sz w:val="24"/>
          <w:szCs w:val="24"/>
        </w:rPr>
        <w:t>由挖掘机装自卸汽车运至工作面，</w:t>
      </w:r>
      <w:r>
        <w:rPr>
          <w:rFonts w:ascii="宋体" w:hAnsi="宋体" w:eastAsia="宋体" w:cs="宋体"/>
          <w:spacing w:val="61"/>
          <w:position w:val="17"/>
          <w:sz w:val="24"/>
          <w:szCs w:val="24"/>
        </w:rPr>
        <w:t xml:space="preserve"> </w:t>
      </w:r>
      <w:r>
        <w:rPr>
          <w:rFonts w:ascii="宋体" w:hAnsi="宋体" w:eastAsia="宋体" w:cs="宋体"/>
          <w:spacing w:val="-11"/>
          <w:position w:val="17"/>
          <w:sz w:val="24"/>
          <w:szCs w:val="24"/>
        </w:rPr>
        <w:t>推土机平料</w:t>
      </w:r>
      <w:r>
        <w:rPr>
          <w:rFonts w:ascii="宋体" w:hAnsi="宋体" w:eastAsia="宋体" w:cs="宋体"/>
          <w:spacing w:val="-12"/>
          <w:position w:val="17"/>
          <w:sz w:val="24"/>
          <w:szCs w:val="24"/>
        </w:rPr>
        <w:t>，</w:t>
      </w:r>
      <w:r>
        <w:rPr>
          <w:rFonts w:ascii="宋体" w:hAnsi="宋体" w:eastAsia="宋体" w:cs="宋体"/>
          <w:spacing w:val="60"/>
          <w:position w:val="17"/>
          <w:sz w:val="24"/>
          <w:szCs w:val="24"/>
        </w:rPr>
        <w:t xml:space="preserve"> </w:t>
      </w:r>
      <w:r>
        <w:rPr>
          <w:rFonts w:ascii="宋体" w:hAnsi="宋体" w:eastAsia="宋体" w:cs="宋体"/>
          <w:spacing w:val="-12"/>
          <w:position w:val="17"/>
          <w:sz w:val="24"/>
          <w:szCs w:val="24"/>
        </w:rPr>
        <w:t>振动碾碾压，边角地带用蛙式打</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夯机夯实。</w:t>
      </w:r>
    </w:p>
    <w:p>
      <w:pPr>
        <w:spacing w:before="183" w:line="234" w:lineRule="auto"/>
        <w:ind w:left="518"/>
        <w:rPr>
          <w:rFonts w:ascii="宋体" w:hAnsi="宋体" w:eastAsia="宋体" w:cs="宋体"/>
          <w:sz w:val="24"/>
          <w:szCs w:val="24"/>
        </w:rPr>
      </w:pPr>
      <w:r>
        <w:rPr>
          <w:rFonts w:ascii="Times New Roman" w:hAnsi="Times New Roman" w:eastAsia="Times New Roman" w:cs="Times New Roman"/>
          <w:spacing w:val="-2"/>
          <w:sz w:val="24"/>
          <w:szCs w:val="24"/>
        </w:rPr>
        <w:t>d.</w:t>
      </w:r>
      <w:r>
        <w:rPr>
          <w:rFonts w:ascii="宋体" w:hAnsi="宋体" w:eastAsia="宋体" w:cs="宋体"/>
          <w:spacing w:val="-2"/>
          <w:sz w:val="24"/>
          <w:szCs w:val="24"/>
        </w:rPr>
        <w:t>反滤料</w:t>
      </w:r>
    </w:p>
    <w:p>
      <w:pPr>
        <w:spacing w:before="162" w:line="467" w:lineRule="exact"/>
        <w:ind w:left="548"/>
        <w:rPr>
          <w:rFonts w:ascii="宋体" w:hAnsi="宋体" w:eastAsia="宋体" w:cs="宋体"/>
          <w:sz w:val="24"/>
          <w:szCs w:val="24"/>
        </w:rPr>
      </w:pPr>
      <w:r>
        <w:rPr>
          <w:rFonts w:ascii="宋体" w:hAnsi="宋体" w:eastAsia="宋体" w:cs="宋体"/>
          <w:spacing w:val="-6"/>
          <w:position w:val="17"/>
          <w:sz w:val="24"/>
          <w:szCs w:val="24"/>
        </w:rPr>
        <w:t>由岔处地砂石加工系统加工供给，由装载机装自卸汽车运至工作面。</w:t>
      </w:r>
      <w:r>
        <w:rPr>
          <w:rFonts w:ascii="宋体" w:hAnsi="宋体" w:eastAsia="宋体" w:cs="宋体"/>
          <w:spacing w:val="47"/>
          <w:position w:val="17"/>
          <w:sz w:val="24"/>
          <w:szCs w:val="24"/>
        </w:rPr>
        <w:t xml:space="preserve"> </w:t>
      </w:r>
      <w:r>
        <w:rPr>
          <w:rFonts w:ascii="宋体" w:hAnsi="宋体" w:eastAsia="宋体" w:cs="宋体"/>
          <w:spacing w:val="-6"/>
          <w:position w:val="17"/>
          <w:sz w:val="24"/>
          <w:szCs w:val="24"/>
        </w:rPr>
        <w:t>推土机平</w:t>
      </w:r>
    </w:p>
    <w:p>
      <w:pPr>
        <w:spacing w:before="1" w:line="218" w:lineRule="auto"/>
        <w:ind w:left="39"/>
        <w:rPr>
          <w:rFonts w:ascii="宋体" w:hAnsi="宋体" w:eastAsia="宋体" w:cs="宋体"/>
          <w:sz w:val="24"/>
          <w:szCs w:val="24"/>
        </w:rPr>
      </w:pPr>
      <w:r>
        <w:rPr>
          <w:rFonts w:ascii="宋体" w:hAnsi="宋体" w:eastAsia="宋体" w:cs="宋体"/>
          <w:spacing w:val="-5"/>
          <w:sz w:val="24"/>
          <w:szCs w:val="24"/>
        </w:rPr>
        <w:t>料，</w:t>
      </w:r>
      <w:r>
        <w:rPr>
          <w:rFonts w:ascii="宋体" w:hAnsi="宋体" w:eastAsia="宋体" w:cs="宋体"/>
          <w:spacing w:val="-25"/>
          <w:sz w:val="24"/>
          <w:szCs w:val="24"/>
        </w:rPr>
        <w:t xml:space="preserve"> </w:t>
      </w:r>
      <w:r>
        <w:rPr>
          <w:rFonts w:ascii="宋体" w:hAnsi="宋体" w:eastAsia="宋体" w:cs="宋体"/>
          <w:spacing w:val="-5"/>
          <w:sz w:val="24"/>
          <w:szCs w:val="24"/>
        </w:rPr>
        <w:t>振动碾碾压，边角地带用振动平板夯夯实。</w:t>
      </w:r>
    </w:p>
    <w:p>
      <w:pPr>
        <w:spacing w:before="182" w:line="233" w:lineRule="auto"/>
        <w:ind w:left="519"/>
        <w:rPr>
          <w:rFonts w:ascii="宋体" w:hAnsi="宋体" w:eastAsia="宋体" w:cs="宋体"/>
          <w:sz w:val="24"/>
          <w:szCs w:val="24"/>
        </w:rPr>
      </w:pPr>
      <w:r>
        <w:rPr>
          <w:rFonts w:ascii="Times New Roman" w:hAnsi="Times New Roman" w:eastAsia="Times New Roman" w:cs="Times New Roman"/>
          <w:spacing w:val="-1"/>
          <w:sz w:val="24"/>
          <w:szCs w:val="24"/>
        </w:rPr>
        <w:t>e.</w:t>
      </w:r>
      <w:r>
        <w:rPr>
          <w:rFonts w:ascii="宋体" w:hAnsi="宋体" w:eastAsia="宋体" w:cs="宋体"/>
          <w:spacing w:val="-1"/>
          <w:sz w:val="24"/>
          <w:szCs w:val="24"/>
        </w:rPr>
        <w:t>混凝土灌浆盖板</w:t>
      </w:r>
    </w:p>
    <w:p>
      <w:pPr>
        <w:spacing w:before="164" w:line="359" w:lineRule="auto"/>
        <w:ind w:left="38" w:right="40" w:firstLine="483"/>
        <w:rPr>
          <w:rFonts w:ascii="宋体" w:hAnsi="宋体" w:eastAsia="宋体" w:cs="宋体"/>
          <w:sz w:val="24"/>
          <w:szCs w:val="24"/>
        </w:rPr>
      </w:pPr>
      <w:r>
        <w:rPr>
          <w:rFonts w:ascii="宋体" w:hAnsi="宋体" w:eastAsia="宋体" w:cs="宋体"/>
          <w:spacing w:val="-1"/>
          <w:sz w:val="24"/>
          <w:szCs w:val="24"/>
        </w:rPr>
        <w:t>用</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0.35m</w:t>
      </w:r>
      <w:r>
        <w:rPr>
          <w:rFonts w:ascii="宋体" w:hAnsi="宋体" w:eastAsia="宋体" w:cs="宋体"/>
          <w:spacing w:val="-1"/>
          <w:sz w:val="24"/>
          <w:szCs w:val="24"/>
        </w:rPr>
        <w:t>³混凝土搅拌机制备混凝土。河床部分由自卸汽车运至浇筑点附近，人工</w:t>
      </w:r>
      <w:r>
        <w:rPr>
          <w:rFonts w:ascii="宋体" w:hAnsi="宋体" w:eastAsia="宋体" w:cs="宋体"/>
          <w:sz w:val="24"/>
          <w:szCs w:val="24"/>
        </w:rPr>
        <w:t xml:space="preserve"> </w:t>
      </w:r>
      <w:r>
        <w:rPr>
          <w:rFonts w:ascii="宋体" w:hAnsi="宋体" w:eastAsia="宋体" w:cs="宋体"/>
          <w:spacing w:val="-5"/>
          <w:sz w:val="24"/>
          <w:szCs w:val="24"/>
        </w:rPr>
        <w:t>入仓，组合钢模施工，</w:t>
      </w:r>
      <w:r>
        <w:rPr>
          <w:rFonts w:ascii="宋体" w:hAnsi="宋体" w:eastAsia="宋体" w:cs="宋体"/>
          <w:spacing w:val="60"/>
          <w:sz w:val="24"/>
          <w:szCs w:val="24"/>
        </w:rPr>
        <w:t xml:space="preserve"> </w:t>
      </w:r>
      <w:r>
        <w:rPr>
          <w:rFonts w:ascii="宋体" w:hAnsi="宋体" w:eastAsia="宋体" w:cs="宋体"/>
          <w:spacing w:val="-5"/>
          <w:sz w:val="24"/>
          <w:szCs w:val="24"/>
        </w:rPr>
        <w:t>插入式振捣器振捣密实；岸坡部分由自卸汽车运输，</w:t>
      </w:r>
      <w:r>
        <w:rPr>
          <w:rFonts w:ascii="宋体" w:hAnsi="宋体" w:eastAsia="宋体" w:cs="宋体"/>
          <w:spacing w:val="-6"/>
          <w:sz w:val="24"/>
          <w:szCs w:val="24"/>
        </w:rPr>
        <w:t>溜槽输送</w:t>
      </w:r>
    </w:p>
    <w:p>
      <w:pPr>
        <w:spacing w:before="1" w:line="219" w:lineRule="auto"/>
        <w:ind w:left="38"/>
        <w:rPr>
          <w:rFonts w:ascii="宋体" w:hAnsi="宋体" w:eastAsia="宋体" w:cs="宋体"/>
          <w:sz w:val="24"/>
          <w:szCs w:val="24"/>
        </w:rPr>
      </w:pPr>
      <w:r>
        <w:rPr>
          <w:rFonts w:ascii="宋体" w:hAnsi="宋体" w:eastAsia="宋体" w:cs="宋体"/>
          <w:spacing w:val="-16"/>
          <w:sz w:val="24"/>
          <w:szCs w:val="24"/>
        </w:rPr>
        <w:t>入仓， 插入式振捣器振捣密实。。</w:t>
      </w:r>
    </w:p>
    <w:p>
      <w:pPr>
        <w:spacing w:before="182" w:line="233" w:lineRule="auto"/>
        <w:ind w:left="519"/>
        <w:rPr>
          <w:rFonts w:ascii="宋体" w:hAnsi="宋体" w:eastAsia="宋体" w:cs="宋体"/>
          <w:sz w:val="24"/>
          <w:szCs w:val="24"/>
        </w:rPr>
      </w:pPr>
      <w:r>
        <w:rPr>
          <w:rFonts w:ascii="Times New Roman" w:hAnsi="Times New Roman" w:eastAsia="Times New Roman" w:cs="Times New Roman"/>
          <w:spacing w:val="-6"/>
          <w:sz w:val="24"/>
          <w:szCs w:val="24"/>
        </w:rPr>
        <w:t>f.</w:t>
      </w:r>
      <w:r>
        <w:rPr>
          <w:rFonts w:ascii="Times New Roman" w:hAnsi="Times New Roman" w:eastAsia="Times New Roman" w:cs="Times New Roman"/>
          <w:spacing w:val="-27"/>
          <w:sz w:val="24"/>
          <w:szCs w:val="24"/>
        </w:rPr>
        <w:t xml:space="preserve"> </w:t>
      </w:r>
      <w:r>
        <w:rPr>
          <w:rFonts w:ascii="宋体" w:hAnsi="宋体" w:eastAsia="宋体" w:cs="宋体"/>
          <w:spacing w:val="-6"/>
          <w:sz w:val="24"/>
          <w:szCs w:val="24"/>
        </w:rPr>
        <w:t>固结灌浆</w:t>
      </w:r>
    </w:p>
    <w:p>
      <w:pPr>
        <w:spacing w:before="163" w:line="219" w:lineRule="auto"/>
        <w:ind w:left="518"/>
        <w:rPr>
          <w:rFonts w:ascii="宋体" w:hAnsi="宋体" w:eastAsia="宋体" w:cs="宋体"/>
          <w:sz w:val="24"/>
          <w:szCs w:val="24"/>
        </w:rPr>
      </w:pPr>
      <w:r>
        <w:rPr>
          <w:rFonts w:ascii="宋体" w:hAnsi="宋体" w:eastAsia="宋体" w:cs="宋体"/>
          <w:spacing w:val="-15"/>
          <w:sz w:val="24"/>
          <w:szCs w:val="24"/>
        </w:rPr>
        <w:t>潜孔钻机钻孔，</w:t>
      </w:r>
      <w:r>
        <w:rPr>
          <w:rFonts w:ascii="宋体" w:hAnsi="宋体" w:eastAsia="宋体" w:cs="宋体"/>
          <w:spacing w:val="61"/>
          <w:sz w:val="24"/>
          <w:szCs w:val="24"/>
        </w:rPr>
        <w:t xml:space="preserve"> </w:t>
      </w:r>
      <w:r>
        <w:rPr>
          <w:rFonts w:ascii="宋体" w:hAnsi="宋体" w:eastAsia="宋体" w:cs="宋体"/>
          <w:spacing w:val="-15"/>
          <w:sz w:val="24"/>
          <w:szCs w:val="24"/>
        </w:rPr>
        <w:t>双层浆液搅拌机制备浆液，</w:t>
      </w:r>
      <w:r>
        <w:rPr>
          <w:rFonts w:ascii="宋体" w:hAnsi="宋体" w:eastAsia="宋体" w:cs="宋体"/>
          <w:spacing w:val="65"/>
          <w:sz w:val="24"/>
          <w:szCs w:val="24"/>
        </w:rPr>
        <w:t xml:space="preserve"> </w:t>
      </w:r>
      <w:r>
        <w:rPr>
          <w:rFonts w:ascii="宋体" w:hAnsi="宋体" w:eastAsia="宋体" w:cs="宋体"/>
          <w:spacing w:val="-15"/>
          <w:sz w:val="24"/>
          <w:szCs w:val="24"/>
        </w:rPr>
        <w:t>灌浆泵灌浆。</w:t>
      </w:r>
    </w:p>
    <w:p>
      <w:pPr>
        <w:spacing w:before="183" w:line="212" w:lineRule="auto"/>
        <w:ind w:left="517"/>
        <w:rPr>
          <w:rFonts w:ascii="宋体" w:hAnsi="宋体" w:eastAsia="宋体" w:cs="宋体"/>
          <w:sz w:val="24"/>
          <w:szCs w:val="24"/>
        </w:rPr>
      </w:pPr>
      <w:r>
        <w:rPr>
          <w:rFonts w:ascii="Times New Roman" w:hAnsi="Times New Roman" w:eastAsia="Times New Roman" w:cs="Times New Roman"/>
          <w:spacing w:val="-1"/>
          <w:sz w:val="24"/>
          <w:szCs w:val="24"/>
        </w:rPr>
        <w:t>g.</w:t>
      </w:r>
      <w:r>
        <w:rPr>
          <w:rFonts w:ascii="宋体" w:hAnsi="宋体" w:eastAsia="宋体" w:cs="宋体"/>
          <w:spacing w:val="-1"/>
          <w:sz w:val="24"/>
          <w:szCs w:val="24"/>
        </w:rPr>
        <w:t>帷幕灌浆</w:t>
      </w:r>
    </w:p>
    <w:p>
      <w:pPr>
        <w:spacing w:before="191" w:line="466" w:lineRule="exact"/>
        <w:ind w:left="519"/>
        <w:rPr>
          <w:rFonts w:ascii="宋体" w:hAnsi="宋体" w:eastAsia="宋体" w:cs="宋体"/>
          <w:sz w:val="24"/>
          <w:szCs w:val="24"/>
        </w:rPr>
      </w:pPr>
      <w:r>
        <w:rPr>
          <w:rFonts w:ascii="宋体" w:hAnsi="宋体" w:eastAsia="宋体" w:cs="宋体"/>
          <w:position w:val="17"/>
          <w:sz w:val="24"/>
          <w:szCs w:val="24"/>
        </w:rPr>
        <w:t>钻机钻孔，灌浆方法采用自上而下灌浆法，灌浆方式采</w:t>
      </w:r>
      <w:r>
        <w:rPr>
          <w:rFonts w:ascii="宋体" w:hAnsi="宋体" w:eastAsia="宋体" w:cs="宋体"/>
          <w:spacing w:val="-1"/>
          <w:position w:val="17"/>
          <w:sz w:val="24"/>
          <w:szCs w:val="24"/>
        </w:rPr>
        <w:t>用循环式。卧式浆液搅拌</w:t>
      </w:r>
    </w:p>
    <w:p>
      <w:pPr>
        <w:spacing w:before="2" w:line="218" w:lineRule="auto"/>
        <w:ind w:left="38"/>
        <w:rPr>
          <w:rFonts w:ascii="宋体" w:hAnsi="宋体" w:eastAsia="宋体" w:cs="宋体"/>
          <w:sz w:val="24"/>
          <w:szCs w:val="24"/>
        </w:rPr>
      </w:pPr>
      <w:r>
        <w:rPr>
          <w:rFonts w:ascii="宋体" w:hAnsi="宋体" w:eastAsia="宋体" w:cs="宋体"/>
          <w:spacing w:val="-1"/>
          <w:sz w:val="24"/>
          <w:szCs w:val="24"/>
        </w:rPr>
        <w:t>机制备浆液，柱塞式灌浆泵灌浆。</w:t>
      </w:r>
    </w:p>
    <w:p>
      <w:pPr>
        <w:spacing w:before="184" w:line="217" w:lineRule="auto"/>
        <w:ind w:left="517"/>
        <w:rPr>
          <w:rFonts w:ascii="宋体" w:hAnsi="宋体" w:eastAsia="宋体" w:cs="宋体"/>
          <w:sz w:val="24"/>
          <w:szCs w:val="24"/>
        </w:rPr>
      </w:pPr>
      <w:r>
        <w:rPr>
          <w:rFonts w:ascii="宋体" w:hAnsi="宋体" w:eastAsia="宋体" w:cs="宋体"/>
          <w:spacing w:val="-2"/>
          <w:sz w:val="24"/>
          <w:szCs w:val="24"/>
        </w:rPr>
        <w:t>②导流输水隧洞</w:t>
      </w:r>
    </w:p>
    <w:p>
      <w:pPr>
        <w:spacing w:before="185" w:line="233" w:lineRule="auto"/>
        <w:ind w:left="519"/>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2"/>
          <w:sz w:val="24"/>
          <w:szCs w:val="24"/>
        </w:rPr>
        <w:t>土石方明挖</w:t>
      </w:r>
    </w:p>
    <w:p>
      <w:pPr>
        <w:spacing w:before="163" w:line="218" w:lineRule="auto"/>
        <w:ind w:left="520"/>
        <w:rPr>
          <w:rFonts w:ascii="宋体" w:hAnsi="宋体" w:eastAsia="宋体" w:cs="宋体"/>
          <w:sz w:val="24"/>
          <w:szCs w:val="24"/>
        </w:rPr>
      </w:pPr>
      <w:r>
        <w:rPr>
          <w:rFonts w:ascii="宋体" w:hAnsi="宋体" w:eastAsia="宋体" w:cs="宋体"/>
          <w:sz w:val="24"/>
          <w:szCs w:val="24"/>
        </w:rPr>
        <w:t>土方采用人工配合推土机剥离，石方由风钻钻孔爆破开</w:t>
      </w:r>
      <w:r>
        <w:rPr>
          <w:rFonts w:ascii="宋体" w:hAnsi="宋体" w:eastAsia="宋体" w:cs="宋体"/>
          <w:spacing w:val="-1"/>
          <w:sz w:val="24"/>
          <w:szCs w:val="24"/>
        </w:rPr>
        <w:t>挖。部分石方渣料堆放在</w:t>
      </w:r>
    </w:p>
    <w:p>
      <w:pPr>
        <w:spacing w:line="218" w:lineRule="auto"/>
        <w:rPr>
          <w:rFonts w:ascii="宋体" w:hAnsi="宋体" w:eastAsia="宋体" w:cs="宋体"/>
          <w:sz w:val="24"/>
          <w:szCs w:val="24"/>
        </w:rPr>
        <w:sectPr>
          <w:headerReference r:id="rId110" w:type="default"/>
          <w:footerReference r:id="rId111" w:type="default"/>
          <w:pgSz w:w="11907" w:h="16839"/>
          <w:pgMar w:top="1298" w:right="1387" w:bottom="1374" w:left="1501" w:header="1023" w:footer="1210" w:gutter="0"/>
        </w:sectPr>
      </w:pPr>
    </w:p>
    <w:p>
      <w:pPr>
        <w:spacing w:before="156" w:line="467" w:lineRule="exact"/>
        <w:ind w:left="58"/>
        <w:rPr>
          <w:rFonts w:ascii="宋体" w:hAnsi="宋体" w:eastAsia="宋体" w:cs="宋体"/>
          <w:sz w:val="24"/>
          <w:szCs w:val="24"/>
        </w:rPr>
      </w:pPr>
      <w:r>
        <w:rPr>
          <w:rFonts w:ascii="宋体" w:hAnsi="宋体" w:eastAsia="宋体" w:cs="宋体"/>
          <w:spacing w:val="-2"/>
          <w:position w:val="17"/>
          <w:sz w:val="24"/>
          <w:szCs w:val="24"/>
        </w:rPr>
        <w:t>附近，用于回填，其余渣料采用挖掘机装自卸汽车运至弃渣场弃置。</w:t>
      </w:r>
    </w:p>
    <w:p>
      <w:pPr>
        <w:spacing w:before="1" w:line="234" w:lineRule="auto"/>
        <w:ind w:left="510"/>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石方洞挖</w:t>
      </w:r>
    </w:p>
    <w:p>
      <w:pPr>
        <w:spacing w:before="161" w:line="467" w:lineRule="exact"/>
        <w:ind w:left="520"/>
        <w:rPr>
          <w:rFonts w:ascii="宋体" w:hAnsi="宋体" w:eastAsia="宋体" w:cs="宋体"/>
          <w:sz w:val="24"/>
          <w:szCs w:val="24"/>
        </w:rPr>
      </w:pPr>
      <w:r>
        <w:rPr>
          <w:rFonts w:ascii="宋体" w:hAnsi="宋体" w:eastAsia="宋体" w:cs="宋体"/>
          <w:spacing w:val="-1"/>
          <w:position w:val="17"/>
          <w:sz w:val="24"/>
          <w:szCs w:val="24"/>
        </w:rPr>
        <w:t>洞挖石方采用风钻钻孔，全断面开挖，周边光面爆破，渣料由人工装机动翻斗车</w:t>
      </w:r>
    </w:p>
    <w:p>
      <w:pPr>
        <w:spacing w:line="232" w:lineRule="auto"/>
        <w:ind w:left="39"/>
        <w:rPr>
          <w:rFonts w:ascii="宋体" w:hAnsi="宋体" w:eastAsia="宋体" w:cs="宋体"/>
          <w:sz w:val="24"/>
          <w:szCs w:val="24"/>
        </w:rPr>
      </w:pPr>
      <w:r>
        <w:rPr>
          <w:rFonts w:ascii="宋体" w:hAnsi="宋体" w:eastAsia="宋体" w:cs="宋体"/>
          <w:spacing w:val="-4"/>
          <w:sz w:val="24"/>
          <w:szCs w:val="24"/>
        </w:rPr>
        <w:t>运至洞口，由挖掘机装</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t</w:t>
      </w:r>
      <w:r>
        <w:rPr>
          <w:rFonts w:ascii="Times New Roman" w:hAnsi="Times New Roman" w:eastAsia="Times New Roman" w:cs="Times New Roman"/>
          <w:spacing w:val="49"/>
          <w:sz w:val="24"/>
          <w:szCs w:val="24"/>
        </w:rPr>
        <w:t xml:space="preserve"> </w:t>
      </w:r>
      <w:r>
        <w:rPr>
          <w:rFonts w:ascii="宋体" w:hAnsi="宋体" w:eastAsia="宋体" w:cs="宋体"/>
          <w:spacing w:val="-4"/>
          <w:sz w:val="24"/>
          <w:szCs w:val="24"/>
        </w:rPr>
        <w:t>自卸汽车转运至弃渣场弃置。</w:t>
      </w:r>
    </w:p>
    <w:p>
      <w:pPr>
        <w:spacing w:before="164" w:line="234"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石方井挖</w:t>
      </w:r>
    </w:p>
    <w:p>
      <w:pPr>
        <w:spacing w:before="162" w:line="467" w:lineRule="exact"/>
        <w:ind w:left="559"/>
        <w:rPr>
          <w:rFonts w:ascii="宋体" w:hAnsi="宋体" w:eastAsia="宋体" w:cs="宋体"/>
          <w:sz w:val="24"/>
          <w:szCs w:val="24"/>
        </w:rPr>
      </w:pPr>
      <w:r>
        <w:rPr>
          <w:rFonts w:ascii="宋体" w:hAnsi="宋体" w:eastAsia="宋体" w:cs="宋体"/>
          <w:spacing w:val="-1"/>
          <w:position w:val="17"/>
          <w:sz w:val="24"/>
          <w:szCs w:val="24"/>
        </w:rPr>
        <w:t>自上而下全断面开挖，渣料由卷扬机提吊至井口</w:t>
      </w:r>
      <w:r>
        <w:rPr>
          <w:rFonts w:ascii="宋体" w:hAnsi="宋体" w:eastAsia="宋体" w:cs="宋体"/>
          <w:spacing w:val="-2"/>
          <w:position w:val="17"/>
          <w:sz w:val="24"/>
          <w:szCs w:val="24"/>
        </w:rPr>
        <w:t>，由挖掘机装自卸汽车转运至弃</w:t>
      </w:r>
    </w:p>
    <w:p>
      <w:pPr>
        <w:spacing w:before="1" w:line="219" w:lineRule="auto"/>
        <w:ind w:left="39"/>
        <w:rPr>
          <w:rFonts w:ascii="宋体" w:hAnsi="宋体" w:eastAsia="宋体" w:cs="宋体"/>
          <w:sz w:val="24"/>
          <w:szCs w:val="24"/>
        </w:rPr>
      </w:pPr>
      <w:r>
        <w:rPr>
          <w:rFonts w:ascii="宋体" w:hAnsi="宋体" w:eastAsia="宋体" w:cs="宋体"/>
          <w:spacing w:val="-7"/>
          <w:sz w:val="24"/>
          <w:szCs w:val="24"/>
        </w:rPr>
        <w:t>渣场弃置。</w:t>
      </w:r>
    </w:p>
    <w:p>
      <w:pPr>
        <w:spacing w:before="182"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洞身混凝土浇筑</w:t>
      </w:r>
    </w:p>
    <w:p>
      <w:pPr>
        <w:spacing w:before="163" w:line="467" w:lineRule="exact"/>
        <w:ind w:left="522"/>
        <w:rPr>
          <w:rFonts w:ascii="宋体" w:hAnsi="宋体" w:eastAsia="宋体" w:cs="宋体"/>
          <w:sz w:val="24"/>
          <w:szCs w:val="24"/>
        </w:rPr>
      </w:pPr>
      <w:r>
        <w:rPr>
          <w:rFonts w:ascii="宋体" w:hAnsi="宋体" w:eastAsia="宋体" w:cs="宋体"/>
          <w:position w:val="17"/>
          <w:sz w:val="24"/>
          <w:szCs w:val="24"/>
        </w:rPr>
        <w:t>混凝土衬砌全断面浇筑，用混凝土搅拌机在洞口制</w:t>
      </w:r>
      <w:r>
        <w:rPr>
          <w:rFonts w:ascii="宋体" w:hAnsi="宋体" w:eastAsia="宋体" w:cs="宋体"/>
          <w:spacing w:val="-1"/>
          <w:position w:val="17"/>
          <w:sz w:val="24"/>
          <w:szCs w:val="24"/>
        </w:rPr>
        <w:t>备混凝土，由混凝土泵输送入</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仓，附着式振捣器和插入式振捣器振捣密实。</w:t>
      </w:r>
    </w:p>
    <w:p>
      <w:pPr>
        <w:spacing w:before="182" w:line="234" w:lineRule="auto"/>
        <w:ind w:left="519"/>
        <w:rPr>
          <w:rFonts w:ascii="宋体" w:hAnsi="宋体" w:eastAsia="宋体" w:cs="宋体"/>
          <w:sz w:val="24"/>
          <w:szCs w:val="24"/>
        </w:rPr>
      </w:pPr>
      <w:r>
        <w:rPr>
          <w:rFonts w:ascii="Times New Roman" w:hAnsi="Times New Roman" w:eastAsia="Times New Roman" w:cs="Times New Roman"/>
          <w:spacing w:val="-1"/>
          <w:sz w:val="24"/>
          <w:szCs w:val="24"/>
        </w:rPr>
        <w:t>e.</w:t>
      </w:r>
      <w:r>
        <w:rPr>
          <w:rFonts w:ascii="宋体" w:hAnsi="宋体" w:eastAsia="宋体" w:cs="宋体"/>
          <w:spacing w:val="-1"/>
          <w:sz w:val="24"/>
          <w:szCs w:val="24"/>
        </w:rPr>
        <w:t>竖井混凝土浇筑</w:t>
      </w:r>
    </w:p>
    <w:p>
      <w:pPr>
        <w:spacing w:before="163" w:line="359" w:lineRule="auto"/>
        <w:ind w:left="59" w:right="106" w:firstLine="459"/>
        <w:rPr>
          <w:rFonts w:ascii="宋体" w:hAnsi="宋体" w:eastAsia="宋体" w:cs="宋体"/>
          <w:sz w:val="24"/>
          <w:szCs w:val="24"/>
        </w:rPr>
      </w:pPr>
      <w:r>
        <w:rPr>
          <w:rFonts w:ascii="宋体" w:hAnsi="宋体" w:eastAsia="宋体" w:cs="宋体"/>
          <w:sz w:val="24"/>
          <w:szCs w:val="24"/>
        </w:rPr>
        <w:t>采用混凝土搅拌机制备混凝土，井身由滑模施工，排架组</w:t>
      </w:r>
      <w:r>
        <w:rPr>
          <w:rFonts w:ascii="宋体" w:hAnsi="宋体" w:eastAsia="宋体" w:cs="宋体"/>
          <w:spacing w:val="-1"/>
          <w:sz w:val="24"/>
          <w:szCs w:val="24"/>
        </w:rPr>
        <w:t>合钢模施工，井身部分</w:t>
      </w:r>
      <w:r>
        <w:rPr>
          <w:rFonts w:ascii="宋体" w:hAnsi="宋体" w:eastAsia="宋体" w:cs="宋体"/>
          <w:sz w:val="24"/>
          <w:szCs w:val="24"/>
        </w:rPr>
        <w:t xml:space="preserve"> </w:t>
      </w:r>
      <w:r>
        <w:rPr>
          <w:rFonts w:ascii="宋体" w:hAnsi="宋体" w:eastAsia="宋体" w:cs="宋体"/>
          <w:spacing w:val="-1"/>
          <w:sz w:val="24"/>
          <w:szCs w:val="24"/>
        </w:rPr>
        <w:t>的混凝土由振动溜管入仓、排架混凝土由混凝土泵输送入仓，采用插入式振捣器振捣</w:t>
      </w:r>
    </w:p>
    <w:p>
      <w:pPr>
        <w:spacing w:line="220" w:lineRule="auto"/>
        <w:ind w:left="40"/>
        <w:rPr>
          <w:rFonts w:ascii="宋体" w:hAnsi="宋体" w:eastAsia="宋体" w:cs="宋体"/>
          <w:sz w:val="24"/>
          <w:szCs w:val="24"/>
        </w:rPr>
      </w:pPr>
      <w:r>
        <w:rPr>
          <w:rFonts w:ascii="宋体" w:hAnsi="宋体" w:eastAsia="宋体" w:cs="宋体"/>
          <w:spacing w:val="-10"/>
          <w:sz w:val="24"/>
          <w:szCs w:val="24"/>
        </w:rPr>
        <w:t>密实。</w:t>
      </w:r>
    </w:p>
    <w:p>
      <w:pPr>
        <w:spacing w:before="182" w:line="233" w:lineRule="auto"/>
        <w:ind w:left="519"/>
        <w:rPr>
          <w:rFonts w:ascii="宋体" w:hAnsi="宋体" w:eastAsia="宋体" w:cs="宋体"/>
          <w:sz w:val="24"/>
          <w:szCs w:val="24"/>
        </w:rPr>
      </w:pPr>
      <w:r>
        <w:rPr>
          <w:rFonts w:ascii="Times New Roman" w:hAnsi="Times New Roman" w:eastAsia="Times New Roman" w:cs="Times New Roman"/>
          <w:spacing w:val="-6"/>
          <w:sz w:val="24"/>
          <w:szCs w:val="24"/>
        </w:rPr>
        <w:t>f.</w:t>
      </w:r>
      <w:r>
        <w:rPr>
          <w:rFonts w:ascii="Times New Roman" w:hAnsi="Times New Roman" w:eastAsia="Times New Roman" w:cs="Times New Roman"/>
          <w:spacing w:val="-26"/>
          <w:sz w:val="24"/>
          <w:szCs w:val="24"/>
        </w:rPr>
        <w:t xml:space="preserve"> </w:t>
      </w:r>
      <w:r>
        <w:rPr>
          <w:rFonts w:ascii="宋体" w:hAnsi="宋体" w:eastAsia="宋体" w:cs="宋体"/>
          <w:spacing w:val="-6"/>
          <w:sz w:val="24"/>
          <w:szCs w:val="24"/>
        </w:rPr>
        <w:t>回填灌浆</w:t>
      </w:r>
    </w:p>
    <w:p>
      <w:pPr>
        <w:spacing w:before="164" w:line="467" w:lineRule="exact"/>
        <w:ind w:left="543"/>
        <w:rPr>
          <w:rFonts w:ascii="宋体" w:hAnsi="宋体" w:eastAsia="宋体" w:cs="宋体"/>
          <w:sz w:val="24"/>
          <w:szCs w:val="24"/>
        </w:rPr>
      </w:pPr>
      <w:r>
        <w:rPr>
          <w:rFonts w:ascii="宋体" w:hAnsi="宋体" w:eastAsia="宋体" w:cs="宋体"/>
          <w:spacing w:val="-6"/>
          <w:position w:val="17"/>
          <w:sz w:val="24"/>
          <w:szCs w:val="24"/>
        </w:rPr>
        <w:t>回填灌浆应在衬砌混凝土达到</w:t>
      </w:r>
      <w:r>
        <w:rPr>
          <w:rFonts w:ascii="宋体" w:hAnsi="宋体" w:eastAsia="宋体" w:cs="宋体"/>
          <w:spacing w:val="-51"/>
          <w:position w:val="17"/>
          <w:sz w:val="24"/>
          <w:szCs w:val="24"/>
        </w:rPr>
        <w:t xml:space="preserve"> </w:t>
      </w:r>
      <w:r>
        <w:rPr>
          <w:rFonts w:ascii="Times New Roman" w:hAnsi="Times New Roman" w:eastAsia="Times New Roman" w:cs="Times New Roman"/>
          <w:spacing w:val="-6"/>
          <w:position w:val="17"/>
          <w:sz w:val="24"/>
          <w:szCs w:val="24"/>
        </w:rPr>
        <w:t>70</w:t>
      </w:r>
      <w:r>
        <w:rPr>
          <w:rFonts w:ascii="宋体" w:hAnsi="宋体" w:eastAsia="宋体" w:cs="宋体"/>
          <w:spacing w:val="-6"/>
          <w:position w:val="17"/>
          <w:sz w:val="24"/>
          <w:szCs w:val="24"/>
        </w:rPr>
        <w:t>％设计强度后进行。</w:t>
      </w:r>
      <w:r>
        <w:rPr>
          <w:rFonts w:ascii="宋体" w:hAnsi="宋体" w:eastAsia="宋体" w:cs="宋体"/>
          <w:spacing w:val="46"/>
          <w:position w:val="17"/>
          <w:sz w:val="24"/>
          <w:szCs w:val="24"/>
        </w:rPr>
        <w:t xml:space="preserve"> </w:t>
      </w:r>
      <w:r>
        <w:rPr>
          <w:rFonts w:ascii="宋体" w:hAnsi="宋体" w:eastAsia="宋体" w:cs="宋体"/>
          <w:spacing w:val="-6"/>
          <w:position w:val="17"/>
          <w:sz w:val="24"/>
          <w:szCs w:val="24"/>
        </w:rPr>
        <w:t>灌浆孔采用预</w:t>
      </w:r>
      <w:r>
        <w:rPr>
          <w:rFonts w:ascii="宋体" w:hAnsi="宋体" w:eastAsia="宋体" w:cs="宋体"/>
          <w:spacing w:val="-7"/>
          <w:position w:val="17"/>
          <w:sz w:val="24"/>
          <w:szCs w:val="24"/>
        </w:rPr>
        <w:t>埋灌浆孔</w:t>
      </w:r>
    </w:p>
    <w:p>
      <w:pPr>
        <w:spacing w:before="1" w:line="232" w:lineRule="auto"/>
        <w:ind w:left="45"/>
        <w:rPr>
          <w:rFonts w:ascii="宋体" w:hAnsi="宋体" w:eastAsia="宋体" w:cs="宋体"/>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D≥50mm</w:t>
      </w:r>
      <w:r>
        <w:rPr>
          <w:rFonts w:ascii="宋体" w:hAnsi="宋体" w:eastAsia="宋体" w:cs="宋体"/>
          <w:spacing w:val="-60"/>
          <w:w w:val="96"/>
          <w:sz w:val="24"/>
          <w:szCs w:val="24"/>
        </w:rPr>
        <w:t>），</w:t>
      </w:r>
      <w:r>
        <w:rPr>
          <w:rFonts w:ascii="宋体" w:hAnsi="宋体" w:eastAsia="宋体" w:cs="宋体"/>
          <w:spacing w:val="-11"/>
          <w:sz w:val="24"/>
          <w:szCs w:val="24"/>
        </w:rPr>
        <w:t>灌浆前用风钻扫孔，</w:t>
      </w:r>
      <w:r>
        <w:rPr>
          <w:rFonts w:ascii="宋体" w:hAnsi="宋体" w:eastAsia="宋体" w:cs="宋体"/>
          <w:spacing w:val="61"/>
          <w:sz w:val="24"/>
          <w:szCs w:val="24"/>
        </w:rPr>
        <w:t xml:space="preserve"> </w:t>
      </w:r>
      <w:r>
        <w:rPr>
          <w:rFonts w:ascii="宋体" w:hAnsi="宋体" w:eastAsia="宋体" w:cs="宋体"/>
          <w:spacing w:val="-11"/>
          <w:sz w:val="24"/>
          <w:szCs w:val="24"/>
        </w:rPr>
        <w:t>双层浆</w:t>
      </w:r>
      <w:r>
        <w:rPr>
          <w:rFonts w:ascii="宋体" w:hAnsi="宋体" w:eastAsia="宋体" w:cs="宋体"/>
          <w:spacing w:val="-12"/>
          <w:sz w:val="24"/>
          <w:szCs w:val="24"/>
        </w:rPr>
        <w:t>液搅拌机制备浆液，</w:t>
      </w:r>
      <w:r>
        <w:rPr>
          <w:rFonts w:ascii="宋体" w:hAnsi="宋体" w:eastAsia="宋体" w:cs="宋体"/>
          <w:spacing w:val="64"/>
          <w:sz w:val="24"/>
          <w:szCs w:val="24"/>
        </w:rPr>
        <w:t xml:space="preserve"> </w:t>
      </w:r>
      <w:r>
        <w:rPr>
          <w:rFonts w:ascii="宋体" w:hAnsi="宋体" w:eastAsia="宋体" w:cs="宋体"/>
          <w:spacing w:val="-12"/>
          <w:sz w:val="24"/>
          <w:szCs w:val="24"/>
        </w:rPr>
        <w:t>灌浆泵灌浆。</w:t>
      </w:r>
    </w:p>
    <w:p>
      <w:pPr>
        <w:spacing w:before="165" w:line="212" w:lineRule="auto"/>
        <w:ind w:left="517"/>
        <w:rPr>
          <w:rFonts w:ascii="宋体" w:hAnsi="宋体" w:eastAsia="宋体" w:cs="宋体"/>
          <w:sz w:val="24"/>
          <w:szCs w:val="24"/>
        </w:rPr>
      </w:pPr>
      <w:r>
        <w:rPr>
          <w:rFonts w:ascii="Times New Roman" w:hAnsi="Times New Roman" w:eastAsia="Times New Roman" w:cs="Times New Roman"/>
          <w:spacing w:val="-5"/>
          <w:sz w:val="24"/>
          <w:szCs w:val="24"/>
        </w:rPr>
        <w:t>g.</w:t>
      </w:r>
      <w:r>
        <w:rPr>
          <w:rFonts w:ascii="Times New Roman" w:hAnsi="Times New Roman" w:eastAsia="Times New Roman" w:cs="Times New Roman"/>
          <w:spacing w:val="-30"/>
          <w:sz w:val="24"/>
          <w:szCs w:val="24"/>
        </w:rPr>
        <w:t xml:space="preserve"> </w:t>
      </w:r>
      <w:r>
        <w:rPr>
          <w:rFonts w:ascii="宋体" w:hAnsi="宋体" w:eastAsia="宋体" w:cs="宋体"/>
          <w:spacing w:val="-5"/>
          <w:sz w:val="24"/>
          <w:szCs w:val="24"/>
        </w:rPr>
        <w:t>固结灌浆</w:t>
      </w:r>
    </w:p>
    <w:p>
      <w:pPr>
        <w:spacing w:before="191" w:line="359" w:lineRule="auto"/>
        <w:ind w:left="42" w:right="227" w:firstLine="498"/>
        <w:rPr>
          <w:rFonts w:ascii="宋体" w:hAnsi="宋体" w:eastAsia="宋体" w:cs="宋体"/>
          <w:sz w:val="24"/>
          <w:szCs w:val="24"/>
        </w:rPr>
      </w:pPr>
      <w:r>
        <w:rPr>
          <w:rFonts w:ascii="宋体" w:hAnsi="宋体" w:eastAsia="宋体" w:cs="宋体"/>
          <w:spacing w:val="-1"/>
          <w:sz w:val="24"/>
          <w:szCs w:val="24"/>
        </w:rPr>
        <w:t>固结灌浆在该部位的回填灌浆结束</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7d </w:t>
      </w:r>
      <w:r>
        <w:rPr>
          <w:rFonts w:ascii="宋体" w:hAnsi="宋体" w:eastAsia="宋体" w:cs="宋体"/>
          <w:spacing w:val="-1"/>
          <w:sz w:val="24"/>
          <w:szCs w:val="24"/>
        </w:rPr>
        <w:t>后进行。灌浆方法采用一次灌浆</w:t>
      </w:r>
      <w:r>
        <w:rPr>
          <w:rFonts w:ascii="宋体" w:hAnsi="宋体" w:eastAsia="宋体" w:cs="宋体"/>
          <w:spacing w:val="-2"/>
          <w:sz w:val="24"/>
          <w:szCs w:val="24"/>
        </w:rPr>
        <w:t>法、单孔</w:t>
      </w:r>
      <w:r>
        <w:rPr>
          <w:rFonts w:ascii="宋体" w:hAnsi="宋体" w:eastAsia="宋体" w:cs="宋体"/>
          <w:sz w:val="24"/>
          <w:szCs w:val="24"/>
        </w:rPr>
        <w:t xml:space="preserve"> </w:t>
      </w:r>
      <w:r>
        <w:rPr>
          <w:rFonts w:ascii="宋体" w:hAnsi="宋体" w:eastAsia="宋体" w:cs="宋体"/>
          <w:spacing w:val="-6"/>
          <w:sz w:val="24"/>
          <w:szCs w:val="24"/>
        </w:rPr>
        <w:t>灌浆。灌浆孔采用预埋灌浆孔（</w:t>
      </w:r>
      <w:r>
        <w:rPr>
          <w:rFonts w:ascii="Times New Roman" w:hAnsi="Times New Roman" w:eastAsia="Times New Roman" w:cs="Times New Roman"/>
          <w:spacing w:val="-6"/>
          <w:sz w:val="24"/>
          <w:szCs w:val="24"/>
        </w:rPr>
        <w:t>D≥50mm</w:t>
      </w:r>
      <w:r>
        <w:rPr>
          <w:rFonts w:ascii="宋体" w:hAnsi="宋体" w:eastAsia="宋体" w:cs="宋体"/>
          <w:spacing w:val="-46"/>
          <w:sz w:val="24"/>
          <w:szCs w:val="24"/>
        </w:rPr>
        <w:t>），</w:t>
      </w:r>
      <w:r>
        <w:rPr>
          <w:rFonts w:ascii="宋体" w:hAnsi="宋体" w:eastAsia="宋体" w:cs="宋体"/>
          <w:spacing w:val="-6"/>
          <w:sz w:val="24"/>
          <w:szCs w:val="24"/>
        </w:rPr>
        <w:t>灌浆前用风钻扫孔，</w:t>
      </w:r>
      <w:r>
        <w:rPr>
          <w:rFonts w:ascii="宋体" w:hAnsi="宋体" w:eastAsia="宋体" w:cs="宋体"/>
          <w:spacing w:val="62"/>
          <w:sz w:val="24"/>
          <w:szCs w:val="24"/>
        </w:rPr>
        <w:t xml:space="preserve"> </w:t>
      </w:r>
      <w:r>
        <w:rPr>
          <w:rFonts w:ascii="宋体" w:hAnsi="宋体" w:eastAsia="宋体" w:cs="宋体"/>
          <w:spacing w:val="-6"/>
          <w:sz w:val="24"/>
          <w:szCs w:val="24"/>
        </w:rPr>
        <w:t>双层浆液搅拌机制</w:t>
      </w:r>
    </w:p>
    <w:p>
      <w:pPr>
        <w:spacing w:line="219" w:lineRule="auto"/>
        <w:ind w:left="42"/>
        <w:rPr>
          <w:rFonts w:ascii="宋体" w:hAnsi="宋体" w:eastAsia="宋体" w:cs="宋体"/>
          <w:sz w:val="24"/>
          <w:szCs w:val="24"/>
        </w:rPr>
      </w:pPr>
      <w:r>
        <w:rPr>
          <w:rFonts w:ascii="宋体" w:hAnsi="宋体" w:eastAsia="宋体" w:cs="宋体"/>
          <w:spacing w:val="-18"/>
          <w:sz w:val="24"/>
          <w:szCs w:val="24"/>
        </w:rPr>
        <w:t>备浆液，</w:t>
      </w:r>
      <w:r>
        <w:rPr>
          <w:rFonts w:ascii="宋体" w:hAnsi="宋体" w:eastAsia="宋体" w:cs="宋体"/>
          <w:spacing w:val="21"/>
          <w:sz w:val="24"/>
          <w:szCs w:val="24"/>
        </w:rPr>
        <w:t xml:space="preserve"> </w:t>
      </w:r>
      <w:r>
        <w:rPr>
          <w:rFonts w:ascii="宋体" w:hAnsi="宋体" w:eastAsia="宋体" w:cs="宋体"/>
          <w:spacing w:val="-18"/>
          <w:sz w:val="24"/>
          <w:szCs w:val="24"/>
        </w:rPr>
        <w:t>灌浆泵灌浆。</w:t>
      </w:r>
    </w:p>
    <w:p>
      <w:pPr>
        <w:spacing w:before="182" w:line="217" w:lineRule="auto"/>
        <w:ind w:left="517"/>
        <w:rPr>
          <w:rFonts w:ascii="宋体" w:hAnsi="宋体" w:eastAsia="宋体" w:cs="宋体"/>
          <w:sz w:val="24"/>
          <w:szCs w:val="24"/>
        </w:rPr>
      </w:pPr>
      <w:r>
        <w:rPr>
          <w:rFonts w:ascii="宋体" w:hAnsi="宋体" w:eastAsia="宋体" w:cs="宋体"/>
          <w:spacing w:val="-2"/>
          <w:sz w:val="24"/>
          <w:szCs w:val="24"/>
        </w:rPr>
        <w:t>③溢洪道施工</w:t>
      </w:r>
    </w:p>
    <w:p>
      <w:pPr>
        <w:spacing w:before="185" w:line="233" w:lineRule="auto"/>
        <w:ind w:left="519"/>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2"/>
          <w:sz w:val="24"/>
          <w:szCs w:val="24"/>
        </w:rPr>
        <w:t>土石方明挖</w:t>
      </w:r>
    </w:p>
    <w:p>
      <w:pPr>
        <w:spacing w:before="163" w:line="467" w:lineRule="exact"/>
        <w:ind w:left="518"/>
        <w:rPr>
          <w:rFonts w:ascii="宋体" w:hAnsi="宋体" w:eastAsia="宋体" w:cs="宋体"/>
          <w:sz w:val="24"/>
          <w:szCs w:val="24"/>
        </w:rPr>
      </w:pPr>
      <w:r>
        <w:rPr>
          <w:rFonts w:ascii="宋体" w:hAnsi="宋体" w:eastAsia="宋体" w:cs="宋体"/>
          <w:position w:val="17"/>
          <w:sz w:val="24"/>
          <w:szCs w:val="24"/>
        </w:rPr>
        <w:t>采用自上而下分层开挖，土方由人工配合推土机剥离，石方</w:t>
      </w:r>
      <w:r>
        <w:rPr>
          <w:rFonts w:ascii="宋体" w:hAnsi="宋体" w:eastAsia="宋体" w:cs="宋体"/>
          <w:spacing w:val="-1"/>
          <w:position w:val="17"/>
          <w:sz w:val="24"/>
          <w:szCs w:val="24"/>
        </w:rPr>
        <w:t>由风钻钻孔爆破；除</w:t>
      </w:r>
    </w:p>
    <w:p>
      <w:pPr>
        <w:spacing w:before="1" w:line="218" w:lineRule="auto"/>
        <w:ind w:left="62"/>
        <w:rPr>
          <w:rFonts w:ascii="宋体" w:hAnsi="宋体" w:eastAsia="宋体" w:cs="宋体"/>
          <w:sz w:val="24"/>
          <w:szCs w:val="24"/>
        </w:rPr>
      </w:pPr>
      <w:r>
        <w:rPr>
          <w:rFonts w:ascii="宋体" w:hAnsi="宋体" w:eastAsia="宋体" w:cs="宋体"/>
          <w:spacing w:val="-2"/>
          <w:sz w:val="24"/>
          <w:szCs w:val="24"/>
        </w:rPr>
        <w:t>回填料外，其余渣料由挖掘机装自卸汽车运至弃渣场弃置。</w:t>
      </w:r>
    </w:p>
    <w:p>
      <w:pPr>
        <w:spacing w:before="183" w:line="234" w:lineRule="auto"/>
        <w:ind w:left="510"/>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混凝土浇筑</w:t>
      </w:r>
    </w:p>
    <w:p>
      <w:pPr>
        <w:spacing w:before="163" w:line="359" w:lineRule="auto"/>
        <w:ind w:left="40" w:right="106" w:firstLine="483"/>
        <w:rPr>
          <w:rFonts w:ascii="宋体" w:hAnsi="宋体" w:eastAsia="宋体" w:cs="宋体"/>
          <w:sz w:val="24"/>
          <w:szCs w:val="24"/>
        </w:rPr>
      </w:pPr>
      <w:r>
        <w:rPr>
          <w:rFonts w:ascii="宋体" w:hAnsi="宋体" w:eastAsia="宋体" w:cs="宋体"/>
          <w:spacing w:val="-4"/>
          <w:sz w:val="24"/>
          <w:szCs w:val="24"/>
        </w:rPr>
        <w:t>泄槽段混凝土由溜槽输送，人工入仓，钢模板浇筑， 插入式振捣器振捣密实。引</w:t>
      </w:r>
      <w:r>
        <w:rPr>
          <w:rFonts w:ascii="宋体" w:hAnsi="宋体" w:eastAsia="宋体" w:cs="宋体"/>
          <w:spacing w:val="10"/>
          <w:sz w:val="24"/>
          <w:szCs w:val="24"/>
        </w:rPr>
        <w:t xml:space="preserve"> </w:t>
      </w:r>
      <w:r>
        <w:rPr>
          <w:rFonts w:ascii="宋体" w:hAnsi="宋体" w:eastAsia="宋体" w:cs="宋体"/>
          <w:spacing w:val="-5"/>
          <w:sz w:val="24"/>
          <w:szCs w:val="24"/>
        </w:rPr>
        <w:t>渠段及消力池段混凝土由胶轮车运输，人工入仓，钢模板浇筑，</w:t>
      </w:r>
      <w:r>
        <w:rPr>
          <w:rFonts w:ascii="宋体" w:hAnsi="宋体" w:eastAsia="宋体" w:cs="宋体"/>
          <w:spacing w:val="61"/>
          <w:sz w:val="24"/>
          <w:szCs w:val="24"/>
        </w:rPr>
        <w:t xml:space="preserve"> </w:t>
      </w:r>
      <w:r>
        <w:rPr>
          <w:rFonts w:ascii="宋体" w:hAnsi="宋体" w:eastAsia="宋体" w:cs="宋体"/>
          <w:spacing w:val="-5"/>
          <w:sz w:val="24"/>
          <w:szCs w:val="24"/>
        </w:rPr>
        <w:t>插入</w:t>
      </w:r>
      <w:r>
        <w:rPr>
          <w:rFonts w:ascii="宋体" w:hAnsi="宋体" w:eastAsia="宋体" w:cs="宋体"/>
          <w:spacing w:val="-6"/>
          <w:sz w:val="24"/>
          <w:szCs w:val="24"/>
        </w:rPr>
        <w:t>式振捣器振捣密</w:t>
      </w:r>
    </w:p>
    <w:p>
      <w:pPr>
        <w:spacing w:line="220" w:lineRule="auto"/>
        <w:ind w:left="45"/>
        <w:rPr>
          <w:rFonts w:ascii="宋体" w:hAnsi="宋体" w:eastAsia="宋体" w:cs="宋体"/>
          <w:sz w:val="24"/>
          <w:szCs w:val="24"/>
        </w:rPr>
      </w:pPr>
      <w:r>
        <w:rPr>
          <w:rFonts w:ascii="宋体" w:hAnsi="宋体" w:eastAsia="宋体" w:cs="宋体"/>
          <w:spacing w:val="-13"/>
          <w:sz w:val="24"/>
          <w:szCs w:val="24"/>
        </w:rPr>
        <w:t>实。</w:t>
      </w:r>
    </w:p>
    <w:p>
      <w:pPr>
        <w:spacing w:before="181"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浆砌石</w:t>
      </w:r>
    </w:p>
    <w:p>
      <w:pPr>
        <w:spacing w:line="233" w:lineRule="auto"/>
        <w:rPr>
          <w:rFonts w:ascii="宋体" w:hAnsi="宋体" w:eastAsia="宋体" w:cs="宋体"/>
          <w:sz w:val="24"/>
          <w:szCs w:val="24"/>
        </w:rPr>
        <w:sectPr>
          <w:footerReference r:id="rId112" w:type="default"/>
          <w:pgSz w:w="11907" w:h="16839"/>
          <w:pgMar w:top="1298" w:right="1387" w:bottom="1374" w:left="1501" w:header="1023" w:footer="1210" w:gutter="0"/>
        </w:sectPr>
      </w:pPr>
    </w:p>
    <w:p>
      <w:pPr>
        <w:spacing w:before="156" w:line="467" w:lineRule="exact"/>
        <w:ind w:left="518"/>
        <w:rPr>
          <w:rFonts w:ascii="宋体" w:hAnsi="宋体" w:eastAsia="宋体" w:cs="宋体"/>
          <w:sz w:val="24"/>
          <w:szCs w:val="24"/>
        </w:rPr>
      </w:pPr>
      <w:r>
        <w:rPr>
          <w:rFonts w:ascii="宋体" w:hAnsi="宋体" w:eastAsia="宋体" w:cs="宋体"/>
          <w:spacing w:val="-5"/>
          <w:position w:val="17"/>
          <w:sz w:val="24"/>
          <w:szCs w:val="24"/>
        </w:rPr>
        <w:t>采用岔处地石料场开采的石料，</w:t>
      </w:r>
      <w:r>
        <w:rPr>
          <w:rFonts w:ascii="宋体" w:hAnsi="宋体" w:eastAsia="宋体" w:cs="宋体"/>
          <w:spacing w:val="60"/>
          <w:position w:val="17"/>
          <w:sz w:val="24"/>
          <w:szCs w:val="24"/>
        </w:rPr>
        <w:t xml:space="preserve"> </w:t>
      </w:r>
      <w:r>
        <w:rPr>
          <w:rFonts w:ascii="宋体" w:hAnsi="宋体" w:eastAsia="宋体" w:cs="宋体"/>
          <w:spacing w:val="-5"/>
          <w:position w:val="17"/>
          <w:sz w:val="24"/>
          <w:szCs w:val="24"/>
        </w:rPr>
        <w:t>挖掘机装自卸</w:t>
      </w:r>
      <w:r>
        <w:rPr>
          <w:rFonts w:ascii="宋体" w:hAnsi="宋体" w:eastAsia="宋体" w:cs="宋体"/>
          <w:spacing w:val="-6"/>
          <w:position w:val="17"/>
          <w:sz w:val="24"/>
          <w:szCs w:val="24"/>
        </w:rPr>
        <w:t>汽车运至使用点附近，人工搬运砌</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筑，砂浆由混凝土搅拌机就近拌制，人工运至使用点附近，人工砌筑。</w:t>
      </w:r>
    </w:p>
    <w:p>
      <w:pPr>
        <w:spacing w:before="182" w:line="234" w:lineRule="auto"/>
        <w:ind w:left="518"/>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石渣回填</w:t>
      </w:r>
    </w:p>
    <w:p>
      <w:pPr>
        <w:spacing w:before="162" w:line="219" w:lineRule="auto"/>
        <w:ind w:left="518"/>
        <w:rPr>
          <w:rFonts w:ascii="宋体" w:hAnsi="宋体" w:eastAsia="宋体" w:cs="宋体"/>
          <w:sz w:val="24"/>
          <w:szCs w:val="24"/>
        </w:rPr>
      </w:pPr>
      <w:r>
        <w:rPr>
          <w:rFonts w:ascii="宋体" w:hAnsi="宋体" w:eastAsia="宋体" w:cs="宋体"/>
          <w:spacing w:val="-2"/>
          <w:sz w:val="24"/>
          <w:szCs w:val="24"/>
        </w:rPr>
        <w:t>采用堆放附近的开挖料，人工挑抬回填，振动平板夯夯实。</w:t>
      </w:r>
    </w:p>
    <w:p>
      <w:pPr>
        <w:spacing w:before="182" w:line="217" w:lineRule="auto"/>
        <w:ind w:left="517"/>
        <w:rPr>
          <w:rFonts w:ascii="宋体" w:hAnsi="宋体" w:eastAsia="宋体" w:cs="宋体"/>
          <w:sz w:val="24"/>
          <w:szCs w:val="24"/>
        </w:rPr>
      </w:pPr>
      <w:r>
        <w:rPr>
          <w:rFonts w:ascii="宋体" w:hAnsi="宋体" w:eastAsia="宋体" w:cs="宋体"/>
          <w:spacing w:val="-2"/>
          <w:sz w:val="24"/>
          <w:szCs w:val="24"/>
        </w:rPr>
        <w:t>④输水管道施工</w:t>
      </w:r>
    </w:p>
    <w:p>
      <w:pPr>
        <w:spacing w:before="184" w:line="233" w:lineRule="auto"/>
        <w:ind w:left="519"/>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2"/>
          <w:sz w:val="24"/>
          <w:szCs w:val="24"/>
        </w:rPr>
        <w:t>输水隧洞</w:t>
      </w:r>
    </w:p>
    <w:p>
      <w:pPr>
        <w:spacing w:before="164" w:line="466" w:lineRule="exact"/>
        <w:ind w:left="522"/>
        <w:rPr>
          <w:rFonts w:ascii="宋体" w:hAnsi="宋体" w:eastAsia="宋体" w:cs="宋体"/>
          <w:sz w:val="24"/>
          <w:szCs w:val="24"/>
        </w:rPr>
      </w:pPr>
      <w:r>
        <w:rPr>
          <w:rFonts w:ascii="宋体" w:hAnsi="宋体" w:eastAsia="宋体" w:cs="宋体"/>
          <w:spacing w:val="-6"/>
          <w:position w:val="17"/>
          <w:sz w:val="24"/>
          <w:szCs w:val="24"/>
        </w:rPr>
        <w:t>各施工工作面同时开挖掘进，气腿风钻开眼，人工装药爆破，</w:t>
      </w:r>
      <w:r>
        <w:rPr>
          <w:rFonts w:ascii="宋体" w:hAnsi="宋体" w:eastAsia="宋体" w:cs="宋体"/>
          <w:spacing w:val="65"/>
          <w:position w:val="17"/>
          <w:sz w:val="24"/>
          <w:szCs w:val="24"/>
        </w:rPr>
        <w:t xml:space="preserve"> </w:t>
      </w:r>
      <w:r>
        <w:rPr>
          <w:rFonts w:ascii="宋体" w:hAnsi="宋体" w:eastAsia="宋体" w:cs="宋体"/>
          <w:spacing w:val="-6"/>
          <w:position w:val="17"/>
          <w:sz w:val="24"/>
          <w:szCs w:val="24"/>
        </w:rPr>
        <w:t>扒渣机装碴，主洞</w:t>
      </w:r>
    </w:p>
    <w:p>
      <w:pPr>
        <w:spacing w:before="1" w:line="218" w:lineRule="auto"/>
        <w:ind w:left="38"/>
        <w:rPr>
          <w:rFonts w:ascii="宋体" w:hAnsi="宋体" w:eastAsia="宋体" w:cs="宋体"/>
          <w:sz w:val="24"/>
          <w:szCs w:val="24"/>
        </w:rPr>
      </w:pPr>
      <w:r>
        <w:rPr>
          <w:rFonts w:ascii="宋体" w:hAnsi="宋体" w:eastAsia="宋体" w:cs="宋体"/>
          <w:sz w:val="24"/>
          <w:szCs w:val="24"/>
        </w:rPr>
        <w:t>施工洞挖采用斗车出渣，支洞工作面采用卷扬机配合斗车出渣</w:t>
      </w:r>
      <w:r>
        <w:rPr>
          <w:rFonts w:ascii="宋体" w:hAnsi="宋体" w:eastAsia="宋体" w:cs="宋体"/>
          <w:spacing w:val="-1"/>
          <w:sz w:val="24"/>
          <w:szCs w:val="24"/>
        </w:rPr>
        <w:t>。为保证隧洞快速通</w:t>
      </w:r>
    </w:p>
    <w:p>
      <w:pPr>
        <w:spacing w:before="183" w:line="467" w:lineRule="exact"/>
        <w:ind w:left="40"/>
        <w:rPr>
          <w:rFonts w:ascii="宋体" w:hAnsi="宋体" w:eastAsia="宋体" w:cs="宋体"/>
          <w:sz w:val="24"/>
          <w:szCs w:val="24"/>
        </w:rPr>
      </w:pPr>
      <w:r>
        <w:rPr>
          <w:rFonts w:ascii="宋体" w:hAnsi="宋体" w:eastAsia="宋体" w:cs="宋体"/>
          <w:position w:val="17"/>
          <w:sz w:val="24"/>
          <w:szCs w:val="24"/>
        </w:rPr>
        <w:t>风，对长隧洞进出口设轴流式通风机通风外。混凝土衬砌全</w:t>
      </w:r>
      <w:r>
        <w:rPr>
          <w:rFonts w:ascii="宋体" w:hAnsi="宋体" w:eastAsia="宋体" w:cs="宋体"/>
          <w:spacing w:val="-1"/>
          <w:position w:val="17"/>
          <w:sz w:val="24"/>
          <w:szCs w:val="24"/>
        </w:rPr>
        <w:t>断面浇筑，用混凝土搅拌</w:t>
      </w:r>
    </w:p>
    <w:p>
      <w:pPr>
        <w:spacing w:before="1" w:line="218" w:lineRule="auto"/>
        <w:ind w:left="38"/>
        <w:rPr>
          <w:rFonts w:ascii="宋体" w:hAnsi="宋体" w:eastAsia="宋体" w:cs="宋体"/>
          <w:sz w:val="24"/>
          <w:szCs w:val="24"/>
        </w:rPr>
      </w:pPr>
      <w:r>
        <w:rPr>
          <w:rFonts w:ascii="宋体" w:hAnsi="宋体" w:eastAsia="宋体" w:cs="宋体"/>
          <w:sz w:val="24"/>
          <w:szCs w:val="24"/>
        </w:rPr>
        <w:t>机在洞口制备混凝土，由混凝土泵输送入仓，附着式振捣器和</w:t>
      </w:r>
      <w:r>
        <w:rPr>
          <w:rFonts w:ascii="宋体" w:hAnsi="宋体" w:eastAsia="宋体" w:cs="宋体"/>
          <w:spacing w:val="-1"/>
          <w:sz w:val="24"/>
          <w:szCs w:val="24"/>
        </w:rPr>
        <w:t>插入式振捣器振捣密</w:t>
      </w:r>
    </w:p>
    <w:p>
      <w:pPr>
        <w:spacing w:before="182" w:line="220" w:lineRule="auto"/>
        <w:ind w:left="45"/>
        <w:rPr>
          <w:rFonts w:ascii="宋体" w:hAnsi="宋体" w:eastAsia="宋体" w:cs="宋体"/>
          <w:sz w:val="24"/>
          <w:szCs w:val="24"/>
        </w:rPr>
      </w:pPr>
      <w:r>
        <w:rPr>
          <w:rFonts w:ascii="宋体" w:hAnsi="宋体" w:eastAsia="宋体" w:cs="宋体"/>
          <w:spacing w:val="-8"/>
          <w:sz w:val="24"/>
          <w:szCs w:val="24"/>
        </w:rPr>
        <w:t>实。</w:t>
      </w:r>
    </w:p>
    <w:p>
      <w:pPr>
        <w:spacing w:before="181" w:line="467" w:lineRule="exact"/>
        <w:ind w:left="519"/>
        <w:rPr>
          <w:rFonts w:ascii="宋体" w:hAnsi="宋体" w:eastAsia="宋体" w:cs="宋体"/>
          <w:sz w:val="24"/>
          <w:szCs w:val="24"/>
        </w:rPr>
      </w:pPr>
      <w:r>
        <w:rPr>
          <w:rFonts w:ascii="宋体" w:hAnsi="宋体" w:eastAsia="宋体" w:cs="宋体"/>
          <w:spacing w:val="-12"/>
          <w:position w:val="16"/>
          <w:sz w:val="24"/>
          <w:szCs w:val="24"/>
        </w:rPr>
        <w:t>根据钻孔资料，</w:t>
      </w:r>
      <w:r>
        <w:rPr>
          <w:rFonts w:ascii="宋体" w:hAnsi="宋体" w:eastAsia="宋体" w:cs="宋体"/>
          <w:spacing w:val="98"/>
          <w:position w:val="16"/>
          <w:sz w:val="24"/>
          <w:szCs w:val="24"/>
        </w:rPr>
        <w:t xml:space="preserve"> </w:t>
      </w:r>
      <w:r>
        <w:rPr>
          <w:rFonts w:ascii="Times New Roman" w:hAnsi="Times New Roman" w:eastAsia="Times New Roman" w:cs="Times New Roman"/>
          <w:spacing w:val="-12"/>
          <w:position w:val="16"/>
          <w:sz w:val="24"/>
          <w:szCs w:val="24"/>
        </w:rPr>
        <w:t>1#</w:t>
      </w:r>
      <w:r>
        <w:rPr>
          <w:rFonts w:ascii="宋体" w:hAnsi="宋体" w:eastAsia="宋体" w:cs="宋体"/>
          <w:spacing w:val="-12"/>
          <w:position w:val="16"/>
          <w:sz w:val="24"/>
          <w:szCs w:val="24"/>
        </w:rPr>
        <w:t>隧洞（么他苴隧洞）、</w:t>
      </w:r>
      <w:r>
        <w:rPr>
          <w:rFonts w:ascii="Times New Roman" w:hAnsi="Times New Roman" w:eastAsia="Times New Roman" w:cs="Times New Roman"/>
          <w:spacing w:val="-12"/>
          <w:position w:val="16"/>
          <w:sz w:val="24"/>
          <w:szCs w:val="24"/>
        </w:rPr>
        <w:t>5#</w:t>
      </w:r>
      <w:r>
        <w:rPr>
          <w:rFonts w:ascii="宋体" w:hAnsi="宋体" w:eastAsia="宋体" w:cs="宋体"/>
          <w:spacing w:val="-12"/>
          <w:position w:val="16"/>
          <w:sz w:val="24"/>
          <w:szCs w:val="24"/>
        </w:rPr>
        <w:t>隧洞（海古簸隧洞）、</w:t>
      </w:r>
      <w:r>
        <w:rPr>
          <w:rFonts w:ascii="Times New Roman" w:hAnsi="Times New Roman" w:eastAsia="Times New Roman" w:cs="Times New Roman"/>
          <w:spacing w:val="-12"/>
          <w:position w:val="16"/>
          <w:sz w:val="24"/>
          <w:szCs w:val="24"/>
        </w:rPr>
        <w:t>6#</w:t>
      </w:r>
      <w:r>
        <w:rPr>
          <w:rFonts w:ascii="宋体" w:hAnsi="宋体" w:eastAsia="宋体" w:cs="宋体"/>
          <w:spacing w:val="-12"/>
          <w:position w:val="16"/>
          <w:sz w:val="24"/>
          <w:szCs w:val="24"/>
        </w:rPr>
        <w:t>隧洞（碧么隧</w:t>
      </w:r>
    </w:p>
    <w:p>
      <w:pPr>
        <w:spacing w:line="219" w:lineRule="auto"/>
        <w:ind w:left="40"/>
        <w:rPr>
          <w:rFonts w:ascii="宋体" w:hAnsi="宋体" w:eastAsia="宋体" w:cs="宋体"/>
          <w:sz w:val="24"/>
          <w:szCs w:val="24"/>
        </w:rPr>
      </w:pPr>
      <w:r>
        <w:rPr>
          <w:rFonts w:ascii="宋体" w:hAnsi="宋体" w:eastAsia="宋体" w:cs="宋体"/>
          <w:spacing w:val="-1"/>
          <w:sz w:val="24"/>
          <w:szCs w:val="24"/>
        </w:rPr>
        <w:t>洞）洞身位于地下水水位之上，输水隧洞不存在涌水。</w:t>
      </w:r>
    </w:p>
    <w:p>
      <w:pPr>
        <w:spacing w:before="184" w:line="359" w:lineRule="auto"/>
        <w:ind w:left="39" w:right="64" w:firstLine="480"/>
        <w:rPr>
          <w:rFonts w:ascii="宋体" w:hAnsi="宋体" w:eastAsia="宋体" w:cs="宋体"/>
          <w:sz w:val="24"/>
          <w:szCs w:val="24"/>
        </w:rPr>
      </w:pPr>
      <w:r>
        <w:rPr>
          <w:rFonts w:ascii="宋体" w:hAnsi="宋体" w:eastAsia="宋体" w:cs="宋体"/>
          <w:spacing w:val="-11"/>
          <w:sz w:val="24"/>
          <w:szCs w:val="24"/>
        </w:rPr>
        <w:t>根据钻孔资料，</w:t>
      </w:r>
      <w:r>
        <w:rPr>
          <w:rFonts w:ascii="宋体" w:hAnsi="宋体" w:eastAsia="宋体" w:cs="宋体"/>
          <w:spacing w:val="59"/>
          <w:sz w:val="24"/>
          <w:szCs w:val="24"/>
        </w:rPr>
        <w:t xml:space="preserve"> </w:t>
      </w:r>
      <w:r>
        <w:rPr>
          <w:rFonts w:ascii="Times New Roman" w:hAnsi="Times New Roman" w:eastAsia="Times New Roman" w:cs="Times New Roman"/>
          <w:spacing w:val="-11"/>
          <w:sz w:val="24"/>
          <w:szCs w:val="24"/>
        </w:rPr>
        <w:t>2#</w:t>
      </w:r>
      <w:r>
        <w:rPr>
          <w:rFonts w:ascii="宋体" w:hAnsi="宋体" w:eastAsia="宋体" w:cs="宋体"/>
          <w:spacing w:val="-11"/>
          <w:sz w:val="24"/>
          <w:szCs w:val="24"/>
        </w:rPr>
        <w:t>隧洞（马茨河隧洞）、</w:t>
      </w:r>
      <w:r>
        <w:rPr>
          <w:rFonts w:ascii="Times New Roman" w:hAnsi="Times New Roman" w:eastAsia="Times New Roman" w:cs="Times New Roman"/>
          <w:spacing w:val="-11"/>
          <w:sz w:val="24"/>
          <w:szCs w:val="24"/>
        </w:rPr>
        <w:t>3#</w:t>
      </w:r>
      <w:r>
        <w:rPr>
          <w:rFonts w:ascii="宋体" w:hAnsi="宋体" w:eastAsia="宋体" w:cs="宋体"/>
          <w:spacing w:val="-11"/>
          <w:sz w:val="24"/>
          <w:szCs w:val="24"/>
        </w:rPr>
        <w:t>隧洞（六姑乍箐隧洞）、</w:t>
      </w:r>
      <w:r>
        <w:rPr>
          <w:rFonts w:ascii="Times New Roman" w:hAnsi="Times New Roman" w:eastAsia="Times New Roman" w:cs="Times New Roman"/>
          <w:spacing w:val="-11"/>
          <w:sz w:val="24"/>
          <w:szCs w:val="24"/>
        </w:rPr>
        <w:t>4#</w:t>
      </w:r>
      <w:r>
        <w:rPr>
          <w:rFonts w:ascii="宋体" w:hAnsi="宋体" w:eastAsia="宋体" w:cs="宋体"/>
          <w:spacing w:val="-11"/>
          <w:sz w:val="24"/>
          <w:szCs w:val="24"/>
        </w:rPr>
        <w:t>隧洞（独格</w:t>
      </w:r>
      <w:r>
        <w:rPr>
          <w:rFonts w:ascii="宋体" w:hAnsi="宋体" w:eastAsia="宋体" w:cs="宋体"/>
          <w:sz w:val="24"/>
          <w:szCs w:val="24"/>
        </w:rPr>
        <w:t xml:space="preserve"> 里排隧洞）部分洞身位于地下水水位之下，输水隧洞部分区域</w:t>
      </w:r>
      <w:r>
        <w:rPr>
          <w:rFonts w:ascii="宋体" w:hAnsi="宋体" w:eastAsia="宋体" w:cs="宋体"/>
          <w:spacing w:val="-1"/>
          <w:sz w:val="24"/>
          <w:szCs w:val="24"/>
        </w:rPr>
        <w:t>存在涌水。隧洞内涌水</w:t>
      </w:r>
      <w:r>
        <w:rPr>
          <w:rFonts w:ascii="宋体" w:hAnsi="宋体" w:eastAsia="宋体" w:cs="宋体"/>
          <w:sz w:val="24"/>
          <w:szCs w:val="24"/>
        </w:rPr>
        <w:t xml:space="preserve"> </w:t>
      </w:r>
      <w:r>
        <w:rPr>
          <w:rFonts w:ascii="宋体" w:hAnsi="宋体" w:eastAsia="宋体" w:cs="宋体"/>
          <w:spacing w:val="-6"/>
          <w:sz w:val="24"/>
          <w:szCs w:val="24"/>
        </w:rPr>
        <w:t>通过泵排至洞外沉淀池，</w:t>
      </w:r>
      <w:r>
        <w:rPr>
          <w:rFonts w:ascii="宋体" w:hAnsi="宋体" w:eastAsia="宋体" w:cs="宋体"/>
          <w:spacing w:val="81"/>
          <w:sz w:val="24"/>
          <w:szCs w:val="24"/>
        </w:rPr>
        <w:t xml:space="preserve"> </w:t>
      </w:r>
      <w:r>
        <w:rPr>
          <w:rFonts w:ascii="宋体" w:hAnsi="宋体" w:eastAsia="宋体" w:cs="宋体"/>
          <w:spacing w:val="-6"/>
          <w:sz w:val="24"/>
          <w:szCs w:val="24"/>
        </w:rPr>
        <w:t>经沉淀处理后外排。因蜻蛉河流域水环境质量执行《地表水</w:t>
      </w:r>
      <w:r>
        <w:rPr>
          <w:rFonts w:ascii="宋体" w:hAnsi="宋体" w:eastAsia="宋体" w:cs="宋体"/>
          <w:sz w:val="24"/>
          <w:szCs w:val="24"/>
        </w:rPr>
        <w:t xml:space="preserve"> </w:t>
      </w:r>
      <w:r>
        <w:rPr>
          <w:rFonts w:ascii="宋体" w:hAnsi="宋体" w:eastAsia="宋体" w:cs="宋体"/>
          <w:spacing w:val="-3"/>
          <w:sz w:val="24"/>
          <w:szCs w:val="24"/>
        </w:rPr>
        <w:t>环境质量标准》（</w:t>
      </w:r>
      <w:r>
        <w:rPr>
          <w:rFonts w:ascii="Times New Roman" w:hAnsi="Times New Roman" w:eastAsia="Times New Roman" w:cs="Times New Roman"/>
          <w:spacing w:val="-3"/>
          <w:sz w:val="24"/>
          <w:szCs w:val="24"/>
        </w:rPr>
        <w:t>GB3838-2002</w:t>
      </w:r>
      <w:r>
        <w:rPr>
          <w:rFonts w:ascii="宋体" w:hAnsi="宋体" w:eastAsia="宋体" w:cs="宋体"/>
          <w:spacing w:val="-3"/>
          <w:sz w:val="24"/>
          <w:szCs w:val="24"/>
        </w:rPr>
        <w:t>）中Ⅱ类标，禁止新建排污</w:t>
      </w:r>
      <w:r>
        <w:rPr>
          <w:rFonts w:ascii="宋体" w:hAnsi="宋体" w:eastAsia="宋体" w:cs="宋体"/>
          <w:spacing w:val="-4"/>
          <w:sz w:val="24"/>
          <w:szCs w:val="24"/>
        </w:rPr>
        <w:t>口，因此隧洞涌水通过管道</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输送至桂花河流域排放，考虑排至马茨河。</w:t>
      </w:r>
    </w:p>
    <w:p>
      <w:pPr>
        <w:spacing w:before="183" w:line="233" w:lineRule="auto"/>
        <w:ind w:left="510"/>
        <w:rPr>
          <w:rFonts w:ascii="宋体" w:hAnsi="宋体" w:eastAsia="宋体" w:cs="宋体"/>
          <w:sz w:val="24"/>
          <w:szCs w:val="24"/>
        </w:rPr>
      </w:pPr>
      <w:r>
        <w:rPr>
          <w:rFonts w:ascii="Times New Roman" w:hAnsi="Times New Roman" w:eastAsia="Times New Roman" w:cs="Times New Roman"/>
          <w:spacing w:val="2"/>
          <w:sz w:val="24"/>
          <w:szCs w:val="24"/>
        </w:rPr>
        <w:t>b.</w:t>
      </w:r>
      <w:r>
        <w:rPr>
          <w:rFonts w:ascii="宋体" w:hAnsi="宋体" w:eastAsia="宋体" w:cs="宋体"/>
          <w:spacing w:val="2"/>
          <w:sz w:val="24"/>
          <w:szCs w:val="24"/>
        </w:rPr>
        <w:t>暗渠</w:t>
      </w:r>
    </w:p>
    <w:p>
      <w:pPr>
        <w:spacing w:before="163" w:line="359" w:lineRule="auto"/>
        <w:ind w:left="38" w:right="116" w:firstLine="482"/>
        <w:rPr>
          <w:rFonts w:ascii="宋体" w:hAnsi="宋体" w:eastAsia="宋体" w:cs="宋体"/>
          <w:sz w:val="24"/>
          <w:szCs w:val="24"/>
        </w:rPr>
      </w:pPr>
      <w:r>
        <w:rPr>
          <w:rFonts w:ascii="宋体" w:hAnsi="宋体" w:eastAsia="宋体" w:cs="宋体"/>
          <w:spacing w:val="-1"/>
          <w:sz w:val="24"/>
          <w:szCs w:val="24"/>
        </w:rPr>
        <w:t>土方采用人工开挖，石方开挖采用手风钻，人工清渣，砌筑采用人工拌合、运输</w:t>
      </w:r>
      <w:r>
        <w:rPr>
          <w:rFonts w:ascii="宋体" w:hAnsi="宋体" w:eastAsia="宋体" w:cs="宋体"/>
          <w:spacing w:val="14"/>
          <w:sz w:val="24"/>
          <w:szCs w:val="24"/>
        </w:rPr>
        <w:t xml:space="preserve"> </w:t>
      </w:r>
      <w:r>
        <w:rPr>
          <w:rFonts w:ascii="宋体" w:hAnsi="宋体" w:eastAsia="宋体" w:cs="宋体"/>
          <w:sz w:val="24"/>
          <w:szCs w:val="24"/>
        </w:rPr>
        <w:t>砂浆及支砌，</w:t>
      </w:r>
      <w:r>
        <w:rPr>
          <w:rFonts w:ascii="Times New Roman" w:hAnsi="Times New Roman" w:eastAsia="Times New Roman" w:cs="Times New Roman"/>
          <w:sz w:val="24"/>
          <w:szCs w:val="24"/>
        </w:rPr>
        <w:t>0.4m</w:t>
      </w:r>
      <w:r>
        <w:rPr>
          <w:rFonts w:ascii="Times New Roman" w:hAnsi="Times New Roman" w:eastAsia="Times New Roman" w:cs="Times New Roman"/>
          <w:position w:val="8"/>
          <w:sz w:val="15"/>
          <w:szCs w:val="15"/>
        </w:rPr>
        <w:t>3</w:t>
      </w:r>
      <w:r>
        <w:rPr>
          <w:rFonts w:ascii="Times New Roman" w:hAnsi="Times New Roman" w:eastAsia="Times New Roman" w:cs="Times New Roman"/>
          <w:spacing w:val="15"/>
          <w:w w:val="101"/>
          <w:position w:val="8"/>
          <w:sz w:val="15"/>
          <w:szCs w:val="15"/>
        </w:rPr>
        <w:t xml:space="preserve"> </w:t>
      </w:r>
      <w:r>
        <w:rPr>
          <w:rFonts w:ascii="宋体" w:hAnsi="宋体" w:eastAsia="宋体" w:cs="宋体"/>
          <w:sz w:val="24"/>
          <w:szCs w:val="24"/>
        </w:rPr>
        <w:t>混凝土拌合拌合，机动翻斗</w:t>
      </w:r>
      <w:r>
        <w:rPr>
          <w:rFonts w:ascii="宋体" w:hAnsi="宋体" w:eastAsia="宋体" w:cs="宋体"/>
          <w:spacing w:val="-1"/>
          <w:sz w:val="24"/>
          <w:szCs w:val="24"/>
        </w:rPr>
        <w:t>车或胶轮车车运料，人工平仓振捣浇</w:t>
      </w:r>
    </w:p>
    <w:p>
      <w:pPr>
        <w:spacing w:before="1" w:line="219" w:lineRule="auto"/>
        <w:ind w:left="41"/>
        <w:rPr>
          <w:rFonts w:ascii="宋体" w:hAnsi="宋体" w:eastAsia="宋体" w:cs="宋体"/>
          <w:sz w:val="24"/>
          <w:szCs w:val="24"/>
        </w:rPr>
      </w:pPr>
      <w:r>
        <w:rPr>
          <w:rFonts w:ascii="宋体" w:hAnsi="宋体" w:eastAsia="宋体" w:cs="宋体"/>
          <w:spacing w:val="-6"/>
          <w:sz w:val="24"/>
          <w:szCs w:val="24"/>
        </w:rPr>
        <w:t>筑。渠道段若地势平缓，</w:t>
      </w:r>
      <w:r>
        <w:rPr>
          <w:rFonts w:ascii="宋体" w:hAnsi="宋体" w:eastAsia="宋体" w:cs="宋体"/>
          <w:spacing w:val="63"/>
          <w:sz w:val="24"/>
          <w:szCs w:val="24"/>
        </w:rPr>
        <w:t xml:space="preserve"> </w:t>
      </w:r>
      <w:r>
        <w:rPr>
          <w:rFonts w:ascii="宋体" w:hAnsi="宋体" w:eastAsia="宋体" w:cs="宋体"/>
          <w:spacing w:val="-6"/>
          <w:sz w:val="24"/>
          <w:szCs w:val="24"/>
        </w:rPr>
        <w:t>开挖渣料可就近堆放，地势陡峭段需运输至就近</w:t>
      </w:r>
      <w:r>
        <w:rPr>
          <w:rFonts w:ascii="宋体" w:hAnsi="宋体" w:eastAsia="宋体" w:cs="宋体"/>
          <w:spacing w:val="-7"/>
          <w:sz w:val="24"/>
          <w:szCs w:val="24"/>
        </w:rPr>
        <w:t>的弃渣场。</w:t>
      </w:r>
    </w:p>
    <w:p>
      <w:pPr>
        <w:spacing w:before="182"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管道工程施工</w:t>
      </w:r>
    </w:p>
    <w:p>
      <w:pPr>
        <w:spacing w:before="163" w:line="467" w:lineRule="exact"/>
        <w:ind w:left="520"/>
        <w:rPr>
          <w:rFonts w:ascii="宋体" w:hAnsi="宋体" w:eastAsia="宋体" w:cs="宋体"/>
          <w:sz w:val="24"/>
          <w:szCs w:val="24"/>
        </w:rPr>
      </w:pPr>
      <w:r>
        <w:rPr>
          <w:rFonts w:ascii="宋体" w:hAnsi="宋体" w:eastAsia="宋体" w:cs="宋体"/>
          <w:position w:val="17"/>
          <w:sz w:val="24"/>
          <w:szCs w:val="24"/>
        </w:rPr>
        <w:t>土石方明挖自上而下分层开挖，土方采用人工配合</w:t>
      </w:r>
      <w:r>
        <w:rPr>
          <w:rFonts w:ascii="宋体" w:hAnsi="宋体" w:eastAsia="宋体" w:cs="宋体"/>
          <w:spacing w:val="-1"/>
          <w:position w:val="17"/>
          <w:sz w:val="24"/>
          <w:szCs w:val="24"/>
        </w:rPr>
        <w:t>推土机剥离、挖掘机进行开</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挖。渣料采用挖掘机装自卸汽车运至渣场弃置。</w:t>
      </w:r>
    </w:p>
    <w:p>
      <w:pPr>
        <w:spacing w:before="182" w:line="219" w:lineRule="auto"/>
        <w:ind w:left="519"/>
        <w:rPr>
          <w:rFonts w:ascii="宋体" w:hAnsi="宋体" w:eastAsia="宋体" w:cs="宋体"/>
          <w:sz w:val="24"/>
          <w:szCs w:val="24"/>
        </w:rPr>
      </w:pPr>
      <w:r>
        <w:rPr>
          <w:rFonts w:ascii="宋体" w:hAnsi="宋体" w:eastAsia="宋体" w:cs="宋体"/>
          <w:spacing w:val="-2"/>
          <w:sz w:val="24"/>
          <w:szCs w:val="24"/>
        </w:rPr>
        <w:t>镇墩钢筋砼的浇筑：由砼拌合机拌合，溜槽入仓，振捣器振捣平仓。</w:t>
      </w:r>
    </w:p>
    <w:p>
      <w:pPr>
        <w:spacing w:before="183" w:line="359" w:lineRule="auto"/>
        <w:ind w:left="39" w:right="107" w:firstLine="485"/>
        <w:rPr>
          <w:rFonts w:ascii="宋体" w:hAnsi="宋体" w:eastAsia="宋体" w:cs="宋体"/>
          <w:sz w:val="24"/>
          <w:szCs w:val="24"/>
        </w:rPr>
      </w:pPr>
      <w:r>
        <w:rPr>
          <w:rFonts w:ascii="宋体" w:hAnsi="宋体" w:eastAsia="宋体" w:cs="宋体"/>
          <w:spacing w:val="-1"/>
          <w:sz w:val="24"/>
          <w:szCs w:val="24"/>
        </w:rPr>
        <w:t>管道的安装：在施工生产区设置管道加工区，管道在加工厂加工成</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3m </w:t>
      </w:r>
      <w:r>
        <w:rPr>
          <w:rFonts w:ascii="宋体" w:hAnsi="宋体" w:eastAsia="宋体" w:cs="宋体"/>
          <w:spacing w:val="-1"/>
          <w:sz w:val="24"/>
          <w:szCs w:val="24"/>
        </w:rPr>
        <w:t>管节，管</w:t>
      </w:r>
      <w:r>
        <w:rPr>
          <w:rFonts w:ascii="宋体" w:hAnsi="宋体" w:eastAsia="宋体" w:cs="宋体"/>
          <w:sz w:val="24"/>
          <w:szCs w:val="24"/>
        </w:rPr>
        <w:t xml:space="preserve"> 节采用载重汽车运输至安装工作面，采用汽车起重机吊装至</w:t>
      </w:r>
      <w:r>
        <w:rPr>
          <w:rFonts w:ascii="宋体" w:hAnsi="宋体" w:eastAsia="宋体" w:cs="宋体"/>
          <w:spacing w:val="-1"/>
          <w:sz w:val="24"/>
          <w:szCs w:val="24"/>
        </w:rPr>
        <w:t>安装点，陡坡段的安装采</w:t>
      </w:r>
    </w:p>
    <w:p>
      <w:pPr>
        <w:spacing w:before="1" w:line="218" w:lineRule="auto"/>
        <w:ind w:left="41"/>
        <w:rPr>
          <w:rFonts w:ascii="宋体" w:hAnsi="宋体" w:eastAsia="宋体" w:cs="宋体"/>
          <w:sz w:val="24"/>
          <w:szCs w:val="24"/>
        </w:rPr>
      </w:pPr>
      <w:r>
        <w:rPr>
          <w:rFonts w:ascii="宋体" w:hAnsi="宋体" w:eastAsia="宋体" w:cs="宋体"/>
          <w:spacing w:val="-1"/>
          <w:sz w:val="24"/>
          <w:szCs w:val="24"/>
        </w:rPr>
        <w:t>用卷扬机牵引至安装点。每安装</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6m </w:t>
      </w:r>
      <w:r>
        <w:rPr>
          <w:rFonts w:ascii="宋体" w:hAnsi="宋体" w:eastAsia="宋体" w:cs="宋体"/>
          <w:spacing w:val="-1"/>
          <w:sz w:val="24"/>
          <w:szCs w:val="24"/>
        </w:rPr>
        <w:t>进行一次管槽回填，固定管道位置。</w:t>
      </w:r>
    </w:p>
    <w:p>
      <w:pPr>
        <w:spacing w:before="182" w:line="219" w:lineRule="auto"/>
        <w:ind w:left="52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）石料开采</w:t>
      </w:r>
    </w:p>
    <w:p>
      <w:pPr>
        <w:spacing w:line="219" w:lineRule="auto"/>
        <w:rPr>
          <w:rFonts w:ascii="宋体" w:hAnsi="宋体" w:eastAsia="宋体" w:cs="宋体"/>
          <w:sz w:val="24"/>
          <w:szCs w:val="24"/>
        </w:rPr>
        <w:sectPr>
          <w:footerReference r:id="rId113" w:type="default"/>
          <w:pgSz w:w="11907" w:h="16839"/>
          <w:pgMar w:top="1298" w:right="1387" w:bottom="1374" w:left="1501" w:header="1023" w:footer="1210" w:gutter="0"/>
        </w:sectPr>
      </w:pPr>
    </w:p>
    <w:p>
      <w:pPr>
        <w:spacing w:before="156" w:line="467" w:lineRule="exact"/>
        <w:ind w:right="30"/>
        <w:jc w:val="right"/>
        <w:rPr>
          <w:rFonts w:ascii="宋体" w:hAnsi="宋体" w:eastAsia="宋体" w:cs="宋体"/>
          <w:sz w:val="24"/>
          <w:szCs w:val="24"/>
        </w:rPr>
      </w:pPr>
      <w:r>
        <w:rPr>
          <w:rFonts w:ascii="宋体" w:hAnsi="宋体" w:eastAsia="宋体" w:cs="宋体"/>
          <w:spacing w:val="-2"/>
          <w:position w:val="17"/>
          <w:sz w:val="24"/>
          <w:szCs w:val="24"/>
        </w:rPr>
        <w:t>石料开采高程为</w:t>
      </w:r>
      <w:r>
        <w:rPr>
          <w:rFonts w:ascii="宋体" w:hAnsi="宋体" w:eastAsia="宋体" w:cs="宋体"/>
          <w:spacing w:val="-32"/>
          <w:position w:val="17"/>
          <w:sz w:val="24"/>
          <w:szCs w:val="24"/>
        </w:rPr>
        <w:t xml:space="preserve"> </w:t>
      </w:r>
      <w:r>
        <w:rPr>
          <w:rFonts w:ascii="Times New Roman" w:hAnsi="Times New Roman" w:eastAsia="Times New Roman" w:cs="Times New Roman"/>
          <w:spacing w:val="-2"/>
          <w:position w:val="17"/>
          <w:sz w:val="24"/>
          <w:szCs w:val="24"/>
        </w:rPr>
        <w:t>1995~1860</w:t>
      </w:r>
      <w:r>
        <w:rPr>
          <w:rFonts w:ascii="宋体" w:hAnsi="宋体" w:eastAsia="宋体" w:cs="宋体"/>
          <w:spacing w:val="-2"/>
          <w:position w:val="17"/>
          <w:sz w:val="24"/>
          <w:szCs w:val="24"/>
        </w:rPr>
        <w:t xml:space="preserve">，采料高度 </w:t>
      </w:r>
      <w:r>
        <w:rPr>
          <w:rFonts w:ascii="Times New Roman" w:hAnsi="Times New Roman" w:eastAsia="Times New Roman" w:cs="Times New Roman"/>
          <w:spacing w:val="-2"/>
          <w:position w:val="17"/>
          <w:sz w:val="24"/>
          <w:szCs w:val="24"/>
        </w:rPr>
        <w:t>135m</w:t>
      </w:r>
      <w:r>
        <w:rPr>
          <w:rFonts w:ascii="宋体" w:hAnsi="宋体" w:eastAsia="宋体" w:cs="宋体"/>
          <w:spacing w:val="-2"/>
          <w:position w:val="17"/>
          <w:sz w:val="24"/>
          <w:szCs w:val="24"/>
        </w:rPr>
        <w:t>，</w:t>
      </w:r>
      <w:r>
        <w:rPr>
          <w:rFonts w:ascii="宋体" w:hAnsi="宋体" w:eastAsia="宋体" w:cs="宋体"/>
          <w:spacing w:val="-3"/>
          <w:position w:val="17"/>
          <w:sz w:val="24"/>
          <w:szCs w:val="24"/>
        </w:rPr>
        <w:t>料场开采采用分层开挖，台阶高度</w:t>
      </w:r>
    </w:p>
    <w:p>
      <w:pPr>
        <w:spacing w:before="1" w:line="218" w:lineRule="auto"/>
        <w:ind w:left="42"/>
        <w:rPr>
          <w:rFonts w:ascii="宋体" w:hAnsi="宋体" w:eastAsia="宋体" w:cs="宋体"/>
          <w:sz w:val="24"/>
          <w:szCs w:val="24"/>
        </w:rPr>
      </w:pPr>
      <w:r>
        <w:rPr>
          <w:rFonts w:ascii="宋体" w:hAnsi="宋体" w:eastAsia="宋体" w:cs="宋体"/>
          <w:spacing w:val="-5"/>
          <w:sz w:val="24"/>
          <w:szCs w:val="24"/>
        </w:rPr>
        <w:t>为</w:t>
      </w:r>
      <w:r>
        <w:rPr>
          <w:rFonts w:ascii="宋体" w:hAnsi="宋体" w:eastAsia="宋体" w:cs="宋体"/>
          <w:spacing w:val="-16"/>
          <w:sz w:val="24"/>
          <w:szCs w:val="24"/>
        </w:rPr>
        <w:t xml:space="preserve"> </w:t>
      </w:r>
      <w:r>
        <w:rPr>
          <w:rFonts w:ascii="Times New Roman" w:hAnsi="Times New Roman" w:eastAsia="Times New Roman" w:cs="Times New Roman"/>
          <w:spacing w:val="-5"/>
          <w:sz w:val="24"/>
          <w:szCs w:val="24"/>
        </w:rPr>
        <w:t>15m</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，土方开挖坡比采用</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w:t>
      </w:r>
      <w:r>
        <w:rPr>
          <w:rFonts w:ascii="宋体" w:hAnsi="宋体" w:eastAsia="宋体" w:cs="宋体"/>
          <w:spacing w:val="-5"/>
          <w:sz w:val="24"/>
          <w:szCs w:val="24"/>
        </w:rPr>
        <w:t xml:space="preserve">，石方开挖坡比采用 </w:t>
      </w:r>
      <w:r>
        <w:rPr>
          <w:rFonts w:ascii="Times New Roman" w:hAnsi="Times New Roman" w:eastAsia="Times New Roman" w:cs="Times New Roman"/>
          <w:spacing w:val="-5"/>
          <w:sz w:val="24"/>
          <w:szCs w:val="24"/>
        </w:rPr>
        <w:t>1:0.5</w:t>
      </w:r>
      <w:r>
        <w:rPr>
          <w:rFonts w:ascii="宋体" w:hAnsi="宋体" w:eastAsia="宋体" w:cs="宋体"/>
          <w:spacing w:val="-5"/>
          <w:sz w:val="24"/>
          <w:szCs w:val="24"/>
        </w:rPr>
        <w:t>，每层开挖预留</w:t>
      </w:r>
      <w:r>
        <w:rPr>
          <w:rFonts w:ascii="宋体" w:hAnsi="宋体" w:eastAsia="宋体" w:cs="宋体"/>
          <w:spacing w:val="-28"/>
          <w:sz w:val="24"/>
          <w:szCs w:val="24"/>
        </w:rPr>
        <w:t xml:space="preserve"> </w:t>
      </w:r>
      <w:r>
        <w:rPr>
          <w:rFonts w:ascii="Times New Roman" w:hAnsi="Times New Roman" w:eastAsia="Times New Roman" w:cs="Times New Roman"/>
          <w:spacing w:val="-5"/>
          <w:sz w:val="24"/>
          <w:szCs w:val="24"/>
        </w:rPr>
        <w:t>3m</w:t>
      </w:r>
      <w:r>
        <w:rPr>
          <w:rFonts w:ascii="Times New Roman" w:hAnsi="Times New Roman" w:eastAsia="Times New Roman" w:cs="Times New Roman"/>
          <w:spacing w:val="18"/>
          <w:w w:val="101"/>
          <w:sz w:val="24"/>
          <w:szCs w:val="24"/>
        </w:rPr>
        <w:t xml:space="preserve"> </w:t>
      </w:r>
      <w:r>
        <w:rPr>
          <w:rFonts w:ascii="宋体" w:hAnsi="宋体" w:eastAsia="宋体" w:cs="宋体"/>
          <w:spacing w:val="-5"/>
          <w:sz w:val="24"/>
          <w:szCs w:val="24"/>
        </w:rPr>
        <w:t>宽马</w:t>
      </w:r>
    </w:p>
    <w:p>
      <w:pPr>
        <w:spacing w:before="182" w:line="359" w:lineRule="auto"/>
        <w:ind w:left="38" w:right="106"/>
        <w:rPr>
          <w:rFonts w:ascii="宋体" w:hAnsi="宋体" w:eastAsia="宋体" w:cs="宋体"/>
          <w:sz w:val="24"/>
          <w:szCs w:val="24"/>
        </w:rPr>
      </w:pPr>
      <w:r>
        <w:rPr>
          <w:rFonts w:ascii="宋体" w:hAnsi="宋体" w:eastAsia="宋体" w:cs="宋体"/>
          <w:spacing w:val="-9"/>
          <w:sz w:val="24"/>
          <w:szCs w:val="24"/>
        </w:rPr>
        <w:t>道。</w:t>
      </w:r>
      <w:r>
        <w:rPr>
          <w:rFonts w:ascii="宋体" w:hAnsi="宋体" w:eastAsia="宋体" w:cs="宋体"/>
          <w:spacing w:val="-18"/>
          <w:sz w:val="24"/>
          <w:szCs w:val="24"/>
        </w:rPr>
        <w:t xml:space="preserve"> </w:t>
      </w:r>
      <w:r>
        <w:rPr>
          <w:rFonts w:ascii="宋体" w:hAnsi="宋体" w:eastAsia="宋体" w:cs="宋体"/>
          <w:spacing w:val="-9"/>
          <w:sz w:val="24"/>
          <w:szCs w:val="24"/>
        </w:rPr>
        <w:t>剥离土方采用人工配合挖掘机开挖， 推土机进行推集； 渣料采用挖掘机挖装自卸</w:t>
      </w:r>
      <w:r>
        <w:rPr>
          <w:rFonts w:ascii="宋体" w:hAnsi="宋体" w:eastAsia="宋体" w:cs="宋体"/>
          <w:sz w:val="24"/>
          <w:szCs w:val="24"/>
        </w:rPr>
        <w:t xml:space="preserve"> 汽车运至弃渣场弃置。石料爆破开采后需进行分选，级配满</w:t>
      </w:r>
      <w:r>
        <w:rPr>
          <w:rFonts w:ascii="宋体" w:hAnsi="宋体" w:eastAsia="宋体" w:cs="宋体"/>
          <w:spacing w:val="-1"/>
          <w:sz w:val="24"/>
          <w:szCs w:val="24"/>
        </w:rPr>
        <w:t>足要求的砂岩料运输至砂</w:t>
      </w:r>
    </w:p>
    <w:p>
      <w:pPr>
        <w:spacing w:before="1" w:line="218" w:lineRule="auto"/>
        <w:ind w:left="40"/>
        <w:rPr>
          <w:rFonts w:ascii="宋体" w:hAnsi="宋体" w:eastAsia="宋体" w:cs="宋体"/>
          <w:sz w:val="24"/>
          <w:szCs w:val="24"/>
        </w:rPr>
      </w:pPr>
      <w:r>
        <w:rPr>
          <w:rFonts w:ascii="宋体" w:hAnsi="宋体" w:eastAsia="宋体" w:cs="宋体"/>
          <w:spacing w:val="-7"/>
          <w:sz w:val="24"/>
          <w:szCs w:val="24"/>
        </w:rPr>
        <w:t>石加工系统，可用于坝体填筑的泥岩料由挖掘机装车，</w:t>
      </w:r>
      <w:r>
        <w:rPr>
          <w:rFonts w:ascii="宋体" w:hAnsi="宋体" w:eastAsia="宋体" w:cs="宋体"/>
          <w:spacing w:val="100"/>
          <w:sz w:val="24"/>
          <w:szCs w:val="24"/>
        </w:rPr>
        <w:t xml:space="preserve"> </w:t>
      </w:r>
      <w:r>
        <w:rPr>
          <w:rFonts w:ascii="宋体" w:hAnsi="宋体" w:eastAsia="宋体" w:cs="宋体"/>
          <w:spacing w:val="-7"/>
          <w:sz w:val="24"/>
          <w:szCs w:val="24"/>
        </w:rPr>
        <w:t>自卸汽车运至坝面。</w:t>
      </w:r>
    </w:p>
    <w:p>
      <w:pPr>
        <w:spacing w:before="181" w:line="220" w:lineRule="auto"/>
        <w:ind w:left="526"/>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）库底清理</w:t>
      </w:r>
    </w:p>
    <w:p>
      <w:pPr>
        <w:spacing w:before="181" w:line="359" w:lineRule="auto"/>
        <w:ind w:left="42" w:right="106" w:firstLine="480"/>
        <w:rPr>
          <w:rFonts w:ascii="宋体" w:hAnsi="宋体" w:eastAsia="宋体" w:cs="宋体"/>
          <w:sz w:val="24"/>
          <w:szCs w:val="24"/>
        </w:rPr>
      </w:pPr>
      <w:r>
        <w:rPr>
          <w:rFonts w:ascii="宋体" w:hAnsi="宋体" w:eastAsia="宋体" w:cs="宋体"/>
          <w:sz w:val="24"/>
          <w:szCs w:val="24"/>
        </w:rPr>
        <w:t>为了保证桂花水库安全运行，防止水库水质污染，</w:t>
      </w:r>
      <w:r>
        <w:rPr>
          <w:rFonts w:ascii="宋体" w:hAnsi="宋体" w:eastAsia="宋体" w:cs="宋体"/>
          <w:spacing w:val="-1"/>
          <w:sz w:val="24"/>
          <w:szCs w:val="24"/>
        </w:rPr>
        <w:t>满足饮用、工业和农业灌溉用</w:t>
      </w:r>
      <w:r>
        <w:rPr>
          <w:rFonts w:ascii="宋体" w:hAnsi="宋体" w:eastAsia="宋体" w:cs="宋体"/>
          <w:sz w:val="24"/>
          <w:szCs w:val="24"/>
        </w:rPr>
        <w:t xml:space="preserve"> </w:t>
      </w:r>
      <w:r>
        <w:rPr>
          <w:rFonts w:ascii="宋体" w:hAnsi="宋体" w:eastAsia="宋体" w:cs="宋体"/>
          <w:spacing w:val="-5"/>
          <w:sz w:val="24"/>
          <w:szCs w:val="24"/>
        </w:rPr>
        <w:t>水的要求，必须在水库蓄水之前，有目的地进行库底清理。</w:t>
      </w:r>
      <w:r>
        <w:rPr>
          <w:rFonts w:ascii="宋体" w:hAnsi="宋体" w:eastAsia="宋体" w:cs="宋体"/>
          <w:spacing w:val="52"/>
          <w:sz w:val="24"/>
          <w:szCs w:val="24"/>
        </w:rPr>
        <w:t xml:space="preserve"> </w:t>
      </w:r>
      <w:r>
        <w:rPr>
          <w:rFonts w:ascii="宋体" w:hAnsi="宋体" w:eastAsia="宋体" w:cs="宋体"/>
          <w:spacing w:val="-5"/>
          <w:sz w:val="24"/>
          <w:szCs w:val="24"/>
        </w:rPr>
        <w:t>项目库底清理项目主要包</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括：污染物的卫生清理，森林砍伐与林地清理。</w:t>
      </w:r>
    </w:p>
    <w:p>
      <w:pPr>
        <w:spacing w:before="181" w:line="467" w:lineRule="exact"/>
        <w:ind w:left="521"/>
        <w:rPr>
          <w:rFonts w:ascii="宋体" w:hAnsi="宋体" w:eastAsia="宋体" w:cs="宋体"/>
          <w:sz w:val="24"/>
          <w:szCs w:val="24"/>
        </w:rPr>
      </w:pPr>
      <w:r>
        <w:rPr>
          <w:rFonts w:ascii="宋体" w:hAnsi="宋体" w:eastAsia="宋体" w:cs="宋体"/>
          <w:position w:val="17"/>
          <w:sz w:val="24"/>
          <w:szCs w:val="24"/>
        </w:rPr>
        <w:t>卫生清理在县卫生防疫站指导下进行，库区内的污染</w:t>
      </w:r>
      <w:r>
        <w:rPr>
          <w:rFonts w:ascii="宋体" w:hAnsi="宋体" w:eastAsia="宋体" w:cs="宋体"/>
          <w:spacing w:val="-1"/>
          <w:position w:val="17"/>
          <w:sz w:val="24"/>
          <w:szCs w:val="24"/>
        </w:rPr>
        <w:t>源均应进行卫生清理，应将</w:t>
      </w:r>
    </w:p>
    <w:p>
      <w:pPr>
        <w:spacing w:before="1" w:line="219" w:lineRule="auto"/>
        <w:ind w:left="40"/>
        <w:rPr>
          <w:rFonts w:ascii="宋体" w:hAnsi="宋体" w:eastAsia="宋体" w:cs="宋体"/>
          <w:sz w:val="24"/>
          <w:szCs w:val="24"/>
        </w:rPr>
      </w:pPr>
      <w:r>
        <w:rPr>
          <w:rFonts w:ascii="宋体" w:hAnsi="宋体" w:eastAsia="宋体" w:cs="宋体"/>
          <w:spacing w:val="-4"/>
          <w:sz w:val="24"/>
          <w:szCs w:val="24"/>
        </w:rPr>
        <w:t>其污染物尽量运出库外。</w:t>
      </w:r>
    </w:p>
    <w:p>
      <w:pPr>
        <w:spacing w:before="181" w:line="359" w:lineRule="auto"/>
        <w:ind w:left="40" w:right="51" w:firstLine="480"/>
        <w:rPr>
          <w:rFonts w:ascii="宋体" w:hAnsi="宋体" w:eastAsia="宋体" w:cs="宋体"/>
          <w:sz w:val="24"/>
          <w:szCs w:val="24"/>
        </w:rPr>
      </w:pPr>
      <w:r>
        <w:rPr>
          <w:rFonts w:ascii="宋体" w:hAnsi="宋体" w:eastAsia="宋体" w:cs="宋体"/>
          <w:sz w:val="24"/>
          <w:szCs w:val="24"/>
        </w:rPr>
        <w:t>林地清理主要对库区植被应尽可能齐地面砍伐并清理出</w:t>
      </w:r>
      <w:r>
        <w:rPr>
          <w:rFonts w:ascii="宋体" w:hAnsi="宋体" w:eastAsia="宋体" w:cs="宋体"/>
          <w:spacing w:val="-1"/>
          <w:sz w:val="24"/>
          <w:szCs w:val="24"/>
        </w:rPr>
        <w:t>库，残留树桩不得超出地</w:t>
      </w:r>
      <w:r>
        <w:rPr>
          <w:rFonts w:ascii="宋体" w:hAnsi="宋体" w:eastAsia="宋体" w:cs="宋体"/>
          <w:sz w:val="24"/>
          <w:szCs w:val="24"/>
        </w:rPr>
        <w:t xml:space="preserve"> </w:t>
      </w:r>
      <w:r>
        <w:rPr>
          <w:rFonts w:ascii="宋体" w:hAnsi="宋体" w:eastAsia="宋体" w:cs="宋体"/>
          <w:spacing w:val="-1"/>
          <w:sz w:val="24"/>
          <w:szCs w:val="24"/>
        </w:rPr>
        <w:t>面</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0.3m</w:t>
      </w:r>
      <w:r>
        <w:rPr>
          <w:rFonts w:ascii="宋体" w:hAnsi="宋体" w:eastAsia="宋体" w:cs="宋体"/>
          <w:spacing w:val="-1"/>
          <w:sz w:val="24"/>
          <w:szCs w:val="24"/>
        </w:rPr>
        <w:t>。森林砍伐残余的树丫、枯木、灌木丛以及</w:t>
      </w:r>
      <w:r>
        <w:rPr>
          <w:rFonts w:hint="eastAsia" w:ascii="宋体" w:hAnsi="宋体" w:eastAsia="宋体" w:cs="宋体"/>
          <w:spacing w:val="-1"/>
          <w:sz w:val="24"/>
          <w:szCs w:val="24"/>
          <w:lang w:eastAsia="zh-CN"/>
        </w:rPr>
        <w:t>秸秆</w:t>
      </w:r>
      <w:r>
        <w:rPr>
          <w:rFonts w:ascii="宋体" w:hAnsi="宋体" w:eastAsia="宋体" w:cs="宋体"/>
          <w:spacing w:val="-1"/>
          <w:sz w:val="24"/>
          <w:szCs w:val="24"/>
        </w:rPr>
        <w:t>、泥炭等易漂浮的物质，在水</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库蓄水前，应就地烧毁或采取防漂措施。</w:t>
      </w:r>
    </w:p>
    <w:p>
      <w:pPr>
        <w:spacing w:line="353" w:lineRule="auto"/>
        <w:rPr>
          <w:rFonts w:ascii="Arial"/>
          <w:sz w:val="21"/>
        </w:rPr>
      </w:pPr>
    </w:p>
    <w:p>
      <w:pPr>
        <w:pStyle w:val="2"/>
        <w:spacing w:before="89"/>
        <w:ind w:left="36"/>
        <w:outlineLvl w:val="1"/>
        <w:rPr>
          <w:sz w:val="27"/>
          <w:szCs w:val="27"/>
        </w:rPr>
      </w:pPr>
      <w:r>
        <w:rPr>
          <w:rFonts w:ascii="Times New Roman" w:hAnsi="Times New Roman" w:eastAsia="Times New Roman" w:cs="Times New Roman"/>
          <w:b/>
          <w:bCs/>
          <w:spacing w:val="7"/>
          <w:sz w:val="27"/>
          <w:szCs w:val="27"/>
        </w:rPr>
        <w:t xml:space="preserve">2.3.6 </w:t>
      </w:r>
      <w:r>
        <w:rPr>
          <w:spacing w:val="7"/>
          <w:sz w:val="27"/>
          <w:szCs w:val="27"/>
          <w14:textOutline w14:w="5072" w14:cap="flat" w14:cmpd="sng">
            <w14:solidFill>
              <w14:srgbClr w14:val="000000"/>
            </w14:solidFill>
            <w14:prstDash w14:val="solid"/>
            <w14:miter w14:val="0"/>
          </w14:textOutline>
        </w:rPr>
        <w:t>施工进度及工期</w:t>
      </w:r>
    </w:p>
    <w:p>
      <w:pPr>
        <w:spacing w:before="149" w:line="466" w:lineRule="exact"/>
        <w:ind w:left="522"/>
        <w:rPr>
          <w:rFonts w:ascii="宋体" w:hAnsi="宋体" w:eastAsia="宋体" w:cs="宋体"/>
          <w:sz w:val="24"/>
          <w:szCs w:val="24"/>
        </w:rPr>
      </w:pPr>
      <w:r>
        <w:rPr>
          <w:rFonts w:ascii="宋体" w:hAnsi="宋体" w:eastAsia="宋体" w:cs="宋体"/>
          <w:spacing w:val="-6"/>
          <w:position w:val="17"/>
          <w:sz w:val="24"/>
          <w:szCs w:val="24"/>
        </w:rPr>
        <w:t>工程筹建期：</w:t>
      </w:r>
      <w:r>
        <w:rPr>
          <w:rFonts w:ascii="宋体" w:hAnsi="宋体" w:eastAsia="宋体" w:cs="宋体"/>
          <w:spacing w:val="77"/>
          <w:position w:val="17"/>
          <w:sz w:val="24"/>
          <w:szCs w:val="24"/>
        </w:rPr>
        <w:t xml:space="preserve"> </w:t>
      </w:r>
      <w:r>
        <w:rPr>
          <w:rFonts w:ascii="宋体" w:hAnsi="宋体" w:eastAsia="宋体" w:cs="宋体"/>
          <w:spacing w:val="-6"/>
          <w:position w:val="17"/>
          <w:sz w:val="24"/>
          <w:szCs w:val="24"/>
        </w:rPr>
        <w:t>工程施工筹建期主要进场公路、施工供电、通讯、征地及移民等工</w:t>
      </w:r>
    </w:p>
    <w:p>
      <w:pPr>
        <w:spacing w:before="1" w:line="219" w:lineRule="auto"/>
        <w:ind w:left="40"/>
        <w:rPr>
          <w:rFonts w:ascii="宋体" w:hAnsi="宋体" w:eastAsia="宋体" w:cs="宋体"/>
          <w:sz w:val="24"/>
          <w:szCs w:val="24"/>
        </w:rPr>
      </w:pPr>
      <w:r>
        <w:rPr>
          <w:rFonts w:ascii="宋体" w:hAnsi="宋体" w:eastAsia="宋体" w:cs="宋体"/>
          <w:spacing w:val="-4"/>
          <w:sz w:val="24"/>
          <w:szCs w:val="24"/>
        </w:rPr>
        <w:t>作。从第一年</w:t>
      </w:r>
      <w:r>
        <w:rPr>
          <w:rFonts w:ascii="宋体" w:hAnsi="宋体" w:eastAsia="宋体" w:cs="宋体"/>
          <w:spacing w:val="-43"/>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月份开始，第二年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月底完成，耗时</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个月。</w:t>
      </w:r>
    </w:p>
    <w:p>
      <w:pPr>
        <w:spacing w:before="181" w:line="467" w:lineRule="exact"/>
        <w:ind w:left="522"/>
        <w:rPr>
          <w:rFonts w:ascii="宋体" w:hAnsi="宋体" w:eastAsia="宋体" w:cs="宋体"/>
          <w:sz w:val="24"/>
          <w:szCs w:val="24"/>
        </w:rPr>
      </w:pPr>
      <w:r>
        <w:rPr>
          <w:rFonts w:ascii="宋体" w:hAnsi="宋体" w:eastAsia="宋体" w:cs="宋体"/>
          <w:position w:val="17"/>
          <w:sz w:val="24"/>
          <w:szCs w:val="24"/>
        </w:rPr>
        <w:t>工程准备期：主要完成场地平整、场内交通、导流</w:t>
      </w:r>
      <w:r>
        <w:rPr>
          <w:rFonts w:ascii="宋体" w:hAnsi="宋体" w:eastAsia="宋体" w:cs="宋体"/>
          <w:spacing w:val="-1"/>
          <w:position w:val="17"/>
          <w:sz w:val="24"/>
          <w:szCs w:val="24"/>
        </w:rPr>
        <w:t>工程、临时房屋及相应施工工</w:t>
      </w:r>
    </w:p>
    <w:p>
      <w:pPr>
        <w:spacing w:before="1" w:line="219" w:lineRule="auto"/>
        <w:ind w:left="42"/>
        <w:rPr>
          <w:rFonts w:ascii="宋体" w:hAnsi="宋体" w:eastAsia="宋体" w:cs="宋体"/>
          <w:sz w:val="24"/>
          <w:szCs w:val="24"/>
        </w:rPr>
      </w:pPr>
      <w:r>
        <w:rPr>
          <w:rFonts w:ascii="宋体" w:hAnsi="宋体" w:eastAsia="宋体" w:cs="宋体"/>
          <w:spacing w:val="-4"/>
          <w:sz w:val="24"/>
          <w:szCs w:val="24"/>
        </w:rPr>
        <w:t>厂等工作。从第一年</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月开始，第二年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月完成，耗时</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10 </w:t>
      </w:r>
      <w:r>
        <w:rPr>
          <w:rFonts w:ascii="宋体" w:hAnsi="宋体" w:eastAsia="宋体" w:cs="宋体"/>
          <w:spacing w:val="-4"/>
          <w:sz w:val="24"/>
          <w:szCs w:val="24"/>
        </w:rPr>
        <w:t>个月。</w:t>
      </w:r>
    </w:p>
    <w:p>
      <w:pPr>
        <w:spacing w:before="182" w:line="359" w:lineRule="auto"/>
        <w:ind w:left="38" w:right="92" w:firstLine="483"/>
        <w:rPr>
          <w:rFonts w:ascii="宋体" w:hAnsi="宋体" w:eastAsia="宋体" w:cs="宋体"/>
          <w:sz w:val="24"/>
          <w:szCs w:val="24"/>
        </w:rPr>
      </w:pPr>
      <w:r>
        <w:rPr>
          <w:rFonts w:ascii="宋体" w:hAnsi="宋体" w:eastAsia="宋体" w:cs="宋体"/>
          <w:sz w:val="24"/>
          <w:szCs w:val="24"/>
        </w:rPr>
        <w:t>主体工程施工期：主要完成主体工程施工。主体本</w:t>
      </w:r>
      <w:r>
        <w:rPr>
          <w:rFonts w:ascii="宋体" w:hAnsi="宋体" w:eastAsia="宋体" w:cs="宋体"/>
          <w:spacing w:val="-1"/>
          <w:sz w:val="24"/>
          <w:szCs w:val="24"/>
        </w:rPr>
        <w:t>工程拦河坝为粘土心墙风化料</w:t>
      </w:r>
      <w:r>
        <w:rPr>
          <w:rFonts w:ascii="宋体" w:hAnsi="宋体" w:eastAsia="宋体" w:cs="宋体"/>
          <w:sz w:val="24"/>
          <w:szCs w:val="24"/>
        </w:rPr>
        <w:t xml:space="preserve"> </w:t>
      </w:r>
      <w:r>
        <w:rPr>
          <w:rFonts w:ascii="宋体" w:hAnsi="宋体" w:eastAsia="宋体" w:cs="宋体"/>
          <w:spacing w:val="-3"/>
          <w:sz w:val="24"/>
          <w:szCs w:val="24"/>
        </w:rPr>
        <w:t>坝，坝高</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93.1m</w:t>
      </w:r>
      <w:r>
        <w:rPr>
          <w:rFonts w:ascii="宋体" w:hAnsi="宋体" w:eastAsia="宋体" w:cs="宋体"/>
          <w:spacing w:val="-3"/>
          <w:sz w:val="24"/>
          <w:szCs w:val="24"/>
        </w:rPr>
        <w:t xml:space="preserve">，总填筑量为 </w:t>
      </w:r>
      <w:r>
        <w:rPr>
          <w:rFonts w:ascii="Times New Roman" w:hAnsi="Times New Roman" w:eastAsia="Times New Roman" w:cs="Times New Roman"/>
          <w:spacing w:val="-3"/>
          <w:sz w:val="24"/>
          <w:szCs w:val="24"/>
        </w:rPr>
        <w:t>188.63</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3"/>
          <w:sz w:val="24"/>
          <w:szCs w:val="24"/>
        </w:rPr>
        <w:t>m</w:t>
      </w:r>
      <w:r>
        <w:rPr>
          <w:rFonts w:ascii="宋体" w:hAnsi="宋体" w:eastAsia="宋体" w:cs="宋体"/>
          <w:spacing w:val="-3"/>
          <w:sz w:val="24"/>
          <w:szCs w:val="24"/>
        </w:rPr>
        <w:t>³。坝体填筑时间取</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个枯期即</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个月。输</w:t>
      </w:r>
    </w:p>
    <w:p>
      <w:pPr>
        <w:spacing w:line="219" w:lineRule="auto"/>
        <w:ind w:left="42"/>
        <w:rPr>
          <w:rFonts w:ascii="宋体" w:hAnsi="宋体" w:eastAsia="宋体" w:cs="宋体"/>
          <w:sz w:val="24"/>
          <w:szCs w:val="24"/>
        </w:rPr>
      </w:pPr>
      <w:r>
        <w:rPr>
          <w:rFonts w:ascii="宋体" w:hAnsi="宋体" w:eastAsia="宋体" w:cs="宋体"/>
          <w:spacing w:val="-2"/>
          <w:sz w:val="24"/>
          <w:szCs w:val="24"/>
        </w:rPr>
        <w:t>水工程隧洞单个工作面最长开挖工作长度为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1949m</w:t>
      </w:r>
      <w:r>
        <w:rPr>
          <w:rFonts w:ascii="宋体" w:hAnsi="宋体" w:eastAsia="宋体" w:cs="宋体"/>
          <w:spacing w:val="-3"/>
          <w:sz w:val="24"/>
          <w:szCs w:val="24"/>
        </w:rPr>
        <w:t>，施工工期为</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52 </w:t>
      </w:r>
      <w:r>
        <w:rPr>
          <w:rFonts w:ascii="宋体" w:hAnsi="宋体" w:eastAsia="宋体" w:cs="宋体"/>
          <w:spacing w:val="-3"/>
          <w:sz w:val="24"/>
          <w:szCs w:val="24"/>
        </w:rPr>
        <w:t>个月。</w:t>
      </w:r>
    </w:p>
    <w:p>
      <w:pPr>
        <w:spacing w:before="182" w:line="466" w:lineRule="exact"/>
        <w:ind w:left="522"/>
        <w:rPr>
          <w:rFonts w:ascii="宋体" w:hAnsi="宋体" w:eastAsia="宋体" w:cs="宋体"/>
          <w:sz w:val="24"/>
          <w:szCs w:val="24"/>
        </w:rPr>
      </w:pPr>
      <w:r>
        <w:rPr>
          <w:rFonts w:ascii="宋体" w:hAnsi="宋体" w:eastAsia="宋体" w:cs="宋体"/>
          <w:spacing w:val="-6"/>
          <w:position w:val="17"/>
          <w:sz w:val="24"/>
          <w:szCs w:val="24"/>
        </w:rPr>
        <w:t>工程完建期：第六年</w:t>
      </w:r>
      <w:r>
        <w:rPr>
          <w:rFonts w:ascii="宋体" w:hAnsi="宋体" w:eastAsia="宋体" w:cs="宋体"/>
          <w:spacing w:val="-29"/>
          <w:position w:val="17"/>
          <w:sz w:val="24"/>
          <w:szCs w:val="24"/>
        </w:rPr>
        <w:t xml:space="preserve"> </w:t>
      </w:r>
      <w:r>
        <w:rPr>
          <w:rFonts w:ascii="Times New Roman" w:hAnsi="Times New Roman" w:eastAsia="Times New Roman" w:cs="Times New Roman"/>
          <w:spacing w:val="-6"/>
          <w:position w:val="17"/>
          <w:sz w:val="24"/>
          <w:szCs w:val="24"/>
        </w:rPr>
        <w:t>1</w:t>
      </w:r>
      <w:r>
        <w:rPr>
          <w:rFonts w:ascii="Times New Roman" w:hAnsi="Times New Roman" w:eastAsia="Times New Roman" w:cs="Times New Roman"/>
          <w:spacing w:val="16"/>
          <w:position w:val="17"/>
          <w:sz w:val="24"/>
          <w:szCs w:val="24"/>
        </w:rPr>
        <w:t xml:space="preserve"> </w:t>
      </w:r>
      <w:r>
        <w:rPr>
          <w:rFonts w:ascii="宋体" w:hAnsi="宋体" w:eastAsia="宋体" w:cs="宋体"/>
          <w:spacing w:val="-6"/>
          <w:position w:val="17"/>
          <w:sz w:val="24"/>
          <w:szCs w:val="24"/>
        </w:rPr>
        <w:t>月至</w:t>
      </w:r>
      <w:r>
        <w:rPr>
          <w:rFonts w:ascii="宋体" w:hAnsi="宋体" w:eastAsia="宋体" w:cs="宋体"/>
          <w:spacing w:val="-55"/>
          <w:position w:val="17"/>
          <w:sz w:val="24"/>
          <w:szCs w:val="24"/>
        </w:rPr>
        <w:t xml:space="preserve"> </w:t>
      </w:r>
      <w:r>
        <w:rPr>
          <w:rFonts w:ascii="Times New Roman" w:hAnsi="Times New Roman" w:eastAsia="Times New Roman" w:cs="Times New Roman"/>
          <w:spacing w:val="-6"/>
          <w:position w:val="17"/>
          <w:sz w:val="24"/>
          <w:szCs w:val="24"/>
        </w:rPr>
        <w:t>2</w:t>
      </w:r>
      <w:r>
        <w:rPr>
          <w:rFonts w:ascii="Times New Roman" w:hAnsi="Times New Roman" w:eastAsia="Times New Roman" w:cs="Times New Roman"/>
          <w:spacing w:val="15"/>
          <w:position w:val="17"/>
          <w:sz w:val="24"/>
          <w:szCs w:val="24"/>
        </w:rPr>
        <w:t xml:space="preserve"> </w:t>
      </w:r>
      <w:r>
        <w:rPr>
          <w:rFonts w:ascii="宋体" w:hAnsi="宋体" w:eastAsia="宋体" w:cs="宋体"/>
          <w:spacing w:val="-6"/>
          <w:position w:val="17"/>
          <w:sz w:val="24"/>
          <w:szCs w:val="24"/>
        </w:rPr>
        <w:t>月完成。</w:t>
      </w:r>
    </w:p>
    <w:p>
      <w:pPr>
        <w:spacing w:before="1" w:line="219" w:lineRule="auto"/>
        <w:ind w:left="548"/>
        <w:rPr>
          <w:rFonts w:ascii="宋体" w:hAnsi="宋体" w:eastAsia="宋体" w:cs="宋体"/>
          <w:sz w:val="24"/>
          <w:szCs w:val="24"/>
        </w:rPr>
      </w:pPr>
      <w:r>
        <w:rPr>
          <w:rFonts w:ascii="宋体" w:hAnsi="宋体" w:eastAsia="宋体" w:cs="宋体"/>
          <w:spacing w:val="-3"/>
          <w:sz w:val="24"/>
          <w:szCs w:val="24"/>
        </w:rPr>
        <w:t>由上所述，工程施工总工期为</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 xml:space="preserve">54 </w:t>
      </w:r>
      <w:r>
        <w:rPr>
          <w:rFonts w:ascii="宋体" w:hAnsi="宋体" w:eastAsia="宋体" w:cs="宋体"/>
          <w:spacing w:val="-3"/>
          <w:sz w:val="24"/>
          <w:szCs w:val="24"/>
        </w:rPr>
        <w:t>个月。</w:t>
      </w:r>
    </w:p>
    <w:p>
      <w:pPr>
        <w:spacing w:line="351" w:lineRule="auto"/>
        <w:rPr>
          <w:rFonts w:ascii="Arial"/>
          <w:sz w:val="21"/>
        </w:rPr>
      </w:pPr>
    </w:p>
    <w:p>
      <w:pPr>
        <w:pStyle w:val="2"/>
        <w:spacing w:before="88"/>
        <w:ind w:left="36"/>
        <w:outlineLvl w:val="1"/>
        <w:rPr>
          <w:sz w:val="27"/>
          <w:szCs w:val="27"/>
        </w:rPr>
      </w:pPr>
      <w:r>
        <w:rPr>
          <w:rFonts w:ascii="Times New Roman" w:hAnsi="Times New Roman" w:eastAsia="Times New Roman" w:cs="Times New Roman"/>
          <w:b/>
          <w:bCs/>
          <w:spacing w:val="5"/>
          <w:sz w:val="27"/>
          <w:szCs w:val="27"/>
        </w:rPr>
        <w:t xml:space="preserve">2.3.7 </w:t>
      </w:r>
      <w:r>
        <w:rPr>
          <w:spacing w:val="5"/>
          <w:sz w:val="27"/>
          <w:szCs w:val="27"/>
          <w14:textOutline w14:w="5072" w14:cap="flat" w14:cmpd="sng">
            <w14:solidFill>
              <w14:srgbClr w14:val="000000"/>
            </w14:solidFill>
            <w14:prstDash w14:val="solid"/>
            <w14:miter w14:val="0"/>
          </w14:textOutline>
        </w:rPr>
        <w:t>工程占地</w:t>
      </w:r>
    </w:p>
    <w:p>
      <w:pPr>
        <w:spacing w:before="150" w:line="467" w:lineRule="exact"/>
        <w:ind w:left="522"/>
        <w:rPr>
          <w:rFonts w:ascii="宋体" w:hAnsi="宋体" w:eastAsia="宋体" w:cs="宋体"/>
          <w:sz w:val="24"/>
          <w:szCs w:val="24"/>
        </w:rPr>
      </w:pPr>
      <w:r>
        <w:rPr>
          <w:rFonts w:ascii="宋体" w:hAnsi="宋体" w:eastAsia="宋体" w:cs="宋体"/>
          <w:spacing w:val="-2"/>
          <w:position w:val="16"/>
          <w:sz w:val="24"/>
          <w:szCs w:val="24"/>
        </w:rPr>
        <w:t>工程占地包括工程永久占地和施工临时占地，总工程占地面积</w:t>
      </w:r>
      <w:r>
        <w:rPr>
          <w:rFonts w:ascii="宋体" w:hAnsi="宋体" w:eastAsia="宋体" w:cs="宋体"/>
          <w:spacing w:val="-24"/>
          <w:position w:val="16"/>
          <w:sz w:val="24"/>
          <w:szCs w:val="24"/>
        </w:rPr>
        <w:t xml:space="preserve"> </w:t>
      </w:r>
      <w:r>
        <w:rPr>
          <w:rFonts w:ascii="Times New Roman" w:hAnsi="Times New Roman" w:eastAsia="Times New Roman" w:cs="Times New Roman"/>
          <w:spacing w:val="-2"/>
          <w:position w:val="16"/>
          <w:sz w:val="24"/>
          <w:szCs w:val="24"/>
        </w:rPr>
        <w:t>154.61hm</w:t>
      </w:r>
      <w:r>
        <w:rPr>
          <w:rFonts w:ascii="Times New Roman" w:hAnsi="Times New Roman" w:eastAsia="Times New Roman" w:cs="Times New Roman"/>
          <w:spacing w:val="-2"/>
          <w:position w:val="24"/>
          <w:sz w:val="15"/>
          <w:szCs w:val="15"/>
        </w:rPr>
        <w:t>2</w:t>
      </w:r>
      <w:r>
        <w:rPr>
          <w:rFonts w:ascii="Times New Roman" w:hAnsi="Times New Roman" w:eastAsia="Times New Roman" w:cs="Times New Roman"/>
          <w:spacing w:val="-11"/>
          <w:position w:val="24"/>
          <w:sz w:val="15"/>
          <w:szCs w:val="15"/>
        </w:rPr>
        <w:t xml:space="preserve"> </w:t>
      </w:r>
      <w:r>
        <w:rPr>
          <w:rFonts w:ascii="宋体" w:hAnsi="宋体" w:eastAsia="宋体" w:cs="宋体"/>
          <w:spacing w:val="-2"/>
          <w:position w:val="16"/>
          <w:sz w:val="24"/>
          <w:szCs w:val="24"/>
        </w:rPr>
        <w:t>，其中</w:t>
      </w:r>
    </w:p>
    <w:p>
      <w:pPr>
        <w:spacing w:before="1" w:line="233" w:lineRule="auto"/>
        <w:ind w:left="41"/>
        <w:rPr>
          <w:rFonts w:ascii="宋体" w:hAnsi="宋体" w:eastAsia="宋体" w:cs="宋体"/>
          <w:sz w:val="24"/>
          <w:szCs w:val="24"/>
        </w:rPr>
      </w:pPr>
      <w:r>
        <w:rPr>
          <w:rFonts w:ascii="宋体" w:hAnsi="宋体" w:eastAsia="宋体" w:cs="宋体"/>
          <w:spacing w:val="-2"/>
          <w:sz w:val="24"/>
          <w:szCs w:val="24"/>
        </w:rPr>
        <w:t>永久占地面积</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82.48hm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2"/>
          <w:sz w:val="24"/>
          <w:szCs w:val="24"/>
        </w:rPr>
        <w:t>，临时占地面积</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72.13hm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4"/>
          <w:szCs w:val="24"/>
        </w:rPr>
        <w:t>。桂花水库枢纽</w:t>
      </w:r>
      <w:r>
        <w:rPr>
          <w:rFonts w:ascii="宋体" w:hAnsi="宋体" w:eastAsia="宋体" w:cs="宋体"/>
          <w:spacing w:val="-3"/>
          <w:sz w:val="24"/>
          <w:szCs w:val="24"/>
        </w:rPr>
        <w:t>区永久占地</w:t>
      </w:r>
    </w:p>
    <w:p>
      <w:pPr>
        <w:spacing w:before="163" w:line="467" w:lineRule="exact"/>
        <w:ind w:left="33"/>
        <w:rPr>
          <w:rFonts w:ascii="宋体" w:hAnsi="宋体" w:eastAsia="宋体" w:cs="宋体"/>
          <w:sz w:val="24"/>
          <w:szCs w:val="24"/>
        </w:rPr>
      </w:pPr>
      <w:r>
        <w:rPr>
          <w:rFonts w:ascii="Times New Roman" w:hAnsi="Times New Roman" w:eastAsia="Times New Roman" w:cs="Times New Roman"/>
          <w:spacing w:val="-2"/>
          <w:position w:val="16"/>
          <w:sz w:val="24"/>
          <w:szCs w:val="24"/>
        </w:rPr>
        <w:t>49.98hm</w:t>
      </w:r>
      <w:r>
        <w:rPr>
          <w:rFonts w:ascii="Times New Roman" w:hAnsi="Times New Roman" w:eastAsia="Times New Roman" w:cs="Times New Roman"/>
          <w:spacing w:val="-2"/>
          <w:position w:val="24"/>
          <w:sz w:val="15"/>
          <w:szCs w:val="15"/>
        </w:rPr>
        <w:t>2</w:t>
      </w:r>
      <w:r>
        <w:rPr>
          <w:rFonts w:ascii="宋体" w:hAnsi="宋体" w:eastAsia="宋体" w:cs="宋体"/>
          <w:spacing w:val="-2"/>
          <w:position w:val="16"/>
          <w:sz w:val="24"/>
          <w:szCs w:val="24"/>
        </w:rPr>
        <w:t>（含大坝、导流放空隧洞、溢洪道、水库管理所、水库管理区、</w:t>
      </w:r>
      <w:r>
        <w:rPr>
          <w:rFonts w:ascii="宋体" w:hAnsi="宋体" w:eastAsia="宋体" w:cs="宋体"/>
          <w:spacing w:val="-3"/>
          <w:position w:val="16"/>
          <w:sz w:val="24"/>
          <w:szCs w:val="24"/>
        </w:rPr>
        <w:t>淹没区）。</w:t>
      </w:r>
    </w:p>
    <w:p>
      <w:pPr>
        <w:spacing w:before="1" w:line="233" w:lineRule="auto"/>
        <w:ind w:left="43"/>
        <w:rPr>
          <w:rFonts w:ascii="宋体" w:hAnsi="宋体" w:eastAsia="宋体" w:cs="宋体"/>
          <w:sz w:val="24"/>
          <w:szCs w:val="24"/>
        </w:rPr>
      </w:pPr>
      <w:r>
        <w:rPr>
          <w:rFonts w:ascii="宋体" w:hAnsi="宋体" w:eastAsia="宋体" w:cs="宋体"/>
          <w:spacing w:val="-2"/>
          <w:sz w:val="24"/>
          <w:szCs w:val="24"/>
        </w:rPr>
        <w:t>项目占用林地</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87.53hm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2"/>
          <w:sz w:val="24"/>
          <w:szCs w:val="24"/>
        </w:rPr>
        <w:t>，其中永久占用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57.</w:t>
      </w:r>
      <w:r>
        <w:rPr>
          <w:rFonts w:ascii="Times New Roman" w:hAnsi="Times New Roman" w:eastAsia="Times New Roman" w:cs="Times New Roman"/>
          <w:spacing w:val="-3"/>
          <w:sz w:val="24"/>
          <w:szCs w:val="24"/>
        </w:rPr>
        <w:t>24hm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，临时占用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30.29hm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4"/>
          <w:szCs w:val="24"/>
        </w:rPr>
        <w:t>。工程占地及</w:t>
      </w:r>
    </w:p>
    <w:p>
      <w:pPr>
        <w:spacing w:line="233" w:lineRule="auto"/>
        <w:rPr>
          <w:rFonts w:ascii="宋体" w:hAnsi="宋体" w:eastAsia="宋体" w:cs="宋体"/>
          <w:sz w:val="24"/>
          <w:szCs w:val="24"/>
        </w:rPr>
        <w:sectPr>
          <w:footerReference r:id="rId114" w:type="default"/>
          <w:pgSz w:w="11907" w:h="16839"/>
          <w:pgMar w:top="1298" w:right="1387" w:bottom="1374" w:left="1501" w:header="1023" w:footer="1210" w:gutter="0"/>
        </w:sectPr>
      </w:pPr>
    </w:p>
    <w:p>
      <w:pPr>
        <w:spacing w:before="155" w:line="220" w:lineRule="auto"/>
        <w:ind w:left="41"/>
        <w:rPr>
          <w:rFonts w:ascii="宋体" w:hAnsi="宋体" w:eastAsia="宋体" w:cs="宋体"/>
          <w:sz w:val="24"/>
          <w:szCs w:val="24"/>
        </w:rPr>
      </w:pPr>
      <w:r>
        <w:rPr>
          <w:rFonts w:ascii="宋体" w:hAnsi="宋体" w:eastAsia="宋体" w:cs="宋体"/>
          <w:spacing w:val="-2"/>
          <w:sz w:val="24"/>
          <w:szCs w:val="24"/>
        </w:rPr>
        <w:t>主要地类见表</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2.3-7</w:t>
      </w:r>
      <w:r>
        <w:rPr>
          <w:rFonts w:ascii="宋体" w:hAnsi="宋体" w:eastAsia="宋体" w:cs="宋体"/>
          <w:spacing w:val="-2"/>
          <w:sz w:val="24"/>
          <w:szCs w:val="24"/>
        </w:rPr>
        <w:t>。</w:t>
      </w:r>
    </w:p>
    <w:p>
      <w:pPr>
        <w:spacing w:line="220" w:lineRule="auto"/>
        <w:rPr>
          <w:rFonts w:ascii="宋体" w:hAnsi="宋体" w:eastAsia="宋体" w:cs="宋体"/>
          <w:sz w:val="24"/>
          <w:szCs w:val="24"/>
        </w:rPr>
        <w:sectPr>
          <w:footerReference r:id="rId115" w:type="default"/>
          <w:pgSz w:w="11907" w:h="16839"/>
          <w:pgMar w:top="1298" w:right="1387" w:bottom="1374" w:left="1501" w:header="1023" w:footer="1210" w:gutter="0"/>
        </w:sectPr>
      </w:pPr>
    </w:p>
    <w:p>
      <w:pPr>
        <w:spacing w:line="303" w:lineRule="auto"/>
        <w:rPr>
          <w:rFonts w:ascii="Arial"/>
          <w:sz w:val="21"/>
        </w:rPr>
      </w:pPr>
    </w:p>
    <w:p>
      <w:pPr>
        <w:spacing w:line="303" w:lineRule="auto"/>
        <w:rPr>
          <w:rFonts w:ascii="Arial"/>
          <w:sz w:val="21"/>
        </w:rPr>
      </w:pPr>
    </w:p>
    <w:p>
      <w:pPr>
        <w:spacing w:before="68" w:line="233" w:lineRule="auto"/>
        <w:ind w:left="5032"/>
        <w:rPr>
          <w:rFonts w:ascii="Times New Roman" w:hAnsi="Times New Roman" w:eastAsia="Times New Roman" w:cs="Times New Roman"/>
          <w:sz w:val="14"/>
          <w:szCs w:val="14"/>
        </w:rPr>
      </w:pPr>
      <w:r>
        <w:rPr>
          <w:rFonts w:ascii="宋体" w:hAnsi="宋体" w:eastAsia="宋体" w:cs="宋体"/>
          <w:spacing w:val="-5"/>
          <w:sz w:val="21"/>
          <w:szCs w:val="21"/>
          <w14:textOutline w14:w="3810" w14:cap="flat" w14:cmpd="sng">
            <w14:solidFill>
              <w14:srgbClr w14:val="000000"/>
            </w14:solidFill>
            <w14:prstDash w14:val="solid"/>
            <w14:miter w14:val="0"/>
          </w14:textOutline>
        </w:rPr>
        <w:t>表</w:t>
      </w:r>
      <w:r>
        <w:rPr>
          <w:rFonts w:ascii="宋体" w:hAnsi="宋体" w:eastAsia="宋体" w:cs="宋体"/>
          <w:spacing w:val="-30"/>
          <w:sz w:val="21"/>
          <w:szCs w:val="21"/>
        </w:rPr>
        <w:t xml:space="preserve"> </w:t>
      </w:r>
      <w:r>
        <w:rPr>
          <w:rFonts w:ascii="Times New Roman" w:hAnsi="Times New Roman" w:eastAsia="Times New Roman" w:cs="Times New Roman"/>
          <w:b/>
          <w:bCs/>
          <w:spacing w:val="-5"/>
          <w:sz w:val="21"/>
          <w:szCs w:val="21"/>
        </w:rPr>
        <w:t xml:space="preserve">2.3-7    </w:t>
      </w:r>
      <w:r>
        <w:rPr>
          <w:rFonts w:ascii="宋体" w:hAnsi="宋体" w:eastAsia="宋体" w:cs="宋体"/>
          <w:spacing w:val="-5"/>
          <w:sz w:val="21"/>
          <w:szCs w:val="21"/>
          <w14:textOutline w14:w="3810" w14:cap="flat" w14:cmpd="sng">
            <w14:solidFill>
              <w14:srgbClr w14:val="000000"/>
            </w14:solidFill>
            <w14:prstDash w14:val="solid"/>
            <w14:miter w14:val="0"/>
          </w14:textOutline>
        </w:rPr>
        <w:t>工程占地及地类一览表</w:t>
      </w:r>
      <w:r>
        <w:rPr>
          <w:rFonts w:ascii="宋体" w:hAnsi="宋体" w:eastAsia="宋体" w:cs="宋体"/>
          <w:spacing w:val="3"/>
          <w:sz w:val="21"/>
          <w:szCs w:val="21"/>
        </w:rPr>
        <w:t xml:space="preserve">    </w:t>
      </w:r>
      <w:r>
        <w:rPr>
          <w:rFonts w:ascii="宋体" w:hAnsi="宋体" w:eastAsia="宋体" w:cs="宋体"/>
          <w:spacing w:val="-5"/>
          <w:sz w:val="21"/>
          <w:szCs w:val="21"/>
          <w14:textOutline w14:w="3810" w14:cap="flat" w14:cmpd="sng">
            <w14:solidFill>
              <w14:srgbClr w14:val="000000"/>
            </w14:solidFill>
            <w14:prstDash w14:val="solid"/>
            <w14:miter w14:val="0"/>
          </w14:textOutline>
        </w:rPr>
        <w:t>单位：</w:t>
      </w:r>
      <w:r>
        <w:rPr>
          <w:rFonts w:ascii="宋体" w:hAnsi="宋体" w:eastAsia="宋体" w:cs="宋体"/>
          <w:spacing w:val="-5"/>
          <w:sz w:val="21"/>
          <w:szCs w:val="21"/>
        </w:rPr>
        <w:t xml:space="preserve"> </w:t>
      </w:r>
      <w:r>
        <w:rPr>
          <w:rFonts w:ascii="Times New Roman" w:hAnsi="Times New Roman" w:eastAsia="Times New Roman" w:cs="Times New Roman"/>
          <w:b/>
          <w:bCs/>
          <w:spacing w:val="-5"/>
          <w:sz w:val="21"/>
          <w:szCs w:val="21"/>
        </w:rPr>
        <w:t>hm</w:t>
      </w:r>
      <w:r>
        <w:rPr>
          <w:rFonts w:ascii="Times New Roman" w:hAnsi="Times New Roman" w:eastAsia="Times New Roman" w:cs="Times New Roman"/>
          <w:b/>
          <w:bCs/>
          <w:spacing w:val="-5"/>
          <w:position w:val="6"/>
          <w:sz w:val="14"/>
          <w:szCs w:val="14"/>
        </w:rPr>
        <w:t>2</w:t>
      </w:r>
    </w:p>
    <w:p>
      <w:pPr>
        <w:spacing w:line="111" w:lineRule="exact"/>
      </w:pPr>
    </w:p>
    <w:tbl>
      <w:tblPr>
        <w:tblStyle w:val="5"/>
        <w:tblW w:w="14002"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6"/>
        <w:gridCol w:w="3346"/>
        <w:gridCol w:w="733"/>
        <w:gridCol w:w="945"/>
        <w:gridCol w:w="924"/>
        <w:gridCol w:w="1115"/>
        <w:gridCol w:w="860"/>
        <w:gridCol w:w="901"/>
        <w:gridCol w:w="902"/>
        <w:gridCol w:w="1124"/>
        <w:gridCol w:w="10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5452" w:type="dxa"/>
            <w:gridSpan w:val="2"/>
            <w:vMerge w:val="restart"/>
            <w:tcBorders>
              <w:top w:val="single" w:color="000000" w:sz="12" w:space="0"/>
              <w:left w:val="nil"/>
              <w:bottom w:val="nil"/>
            </w:tcBorders>
            <w:vAlign w:val="top"/>
          </w:tcPr>
          <w:p>
            <w:pPr>
              <w:spacing w:line="374" w:lineRule="auto"/>
              <w:rPr>
                <w:rFonts w:ascii="Arial"/>
                <w:sz w:val="21"/>
              </w:rPr>
            </w:pPr>
          </w:p>
          <w:p>
            <w:pPr>
              <w:pStyle w:val="6"/>
              <w:spacing w:before="68" w:line="234" w:lineRule="auto"/>
              <w:ind w:left="2180"/>
              <w:rPr>
                <w:rFonts w:ascii="宋体" w:hAnsi="宋体" w:eastAsia="宋体" w:cs="宋体"/>
              </w:rPr>
            </w:pPr>
            <w:r>
              <w:rPr>
                <w:rFonts w:ascii="宋体" w:hAnsi="宋体" w:eastAsia="宋体" w:cs="宋体"/>
                <w:spacing w:val="-2"/>
                <w14:textOutline w14:w="3810" w14:cap="flat" w14:cmpd="sng">
                  <w14:solidFill>
                    <w14:srgbClr w14:val="000000"/>
                  </w14:solidFill>
                  <w14:prstDash w14:val="solid"/>
                  <w14:miter w14:val="0"/>
                </w14:textOutline>
              </w:rPr>
              <w:t>分区</w:t>
            </w:r>
            <w:r>
              <w:rPr>
                <w:b/>
                <w:bCs/>
                <w:spacing w:val="-2"/>
              </w:rPr>
              <w:t>/</w:t>
            </w:r>
            <w:r>
              <w:rPr>
                <w:rFonts w:ascii="宋体" w:hAnsi="宋体" w:eastAsia="宋体" w:cs="宋体"/>
                <w:spacing w:val="-2"/>
                <w14:textOutline w14:w="3810" w14:cap="flat" w14:cmpd="sng">
                  <w14:solidFill>
                    <w14:srgbClr w14:val="000000"/>
                  </w14:solidFill>
                  <w14:prstDash w14:val="solid"/>
                  <w14:miter w14:val="0"/>
                </w14:textOutline>
              </w:rPr>
              <w:t>项目区</w:t>
            </w:r>
          </w:p>
        </w:tc>
        <w:tc>
          <w:tcPr>
            <w:tcW w:w="7504" w:type="dxa"/>
            <w:gridSpan w:val="8"/>
            <w:tcBorders>
              <w:top w:val="single" w:color="000000" w:sz="12" w:space="0"/>
            </w:tcBorders>
            <w:vAlign w:val="top"/>
          </w:tcPr>
          <w:p>
            <w:pPr>
              <w:spacing w:before="30" w:line="207" w:lineRule="auto"/>
              <w:ind w:left="3369"/>
              <w:rPr>
                <w:rFonts w:ascii="宋体" w:hAnsi="宋体" w:eastAsia="宋体" w:cs="宋体"/>
                <w:sz w:val="21"/>
                <w:szCs w:val="21"/>
              </w:rPr>
            </w:pPr>
            <w:r>
              <w:rPr>
                <w:rFonts w:ascii="宋体" w:hAnsi="宋体" w:eastAsia="宋体" w:cs="宋体"/>
                <w:spacing w:val="-8"/>
                <w:sz w:val="21"/>
                <w:szCs w:val="21"/>
                <w14:textOutline w14:w="3810" w14:cap="flat" w14:cmpd="sng">
                  <w14:solidFill>
                    <w14:srgbClr w14:val="000000"/>
                  </w14:solidFill>
                  <w14:prstDash w14:val="solid"/>
                  <w14:miter w14:val="0"/>
                </w14:textOutline>
              </w:rPr>
              <w:t>占地地类</w:t>
            </w:r>
          </w:p>
        </w:tc>
        <w:tc>
          <w:tcPr>
            <w:tcW w:w="1046" w:type="dxa"/>
            <w:vMerge w:val="restart"/>
            <w:tcBorders>
              <w:top w:val="single" w:color="000000" w:sz="12" w:space="0"/>
              <w:bottom w:val="nil"/>
              <w:right w:val="nil"/>
            </w:tcBorders>
            <w:vAlign w:val="top"/>
          </w:tcPr>
          <w:p>
            <w:pPr>
              <w:spacing w:line="374" w:lineRule="auto"/>
              <w:rPr>
                <w:rFonts w:ascii="Arial"/>
                <w:sz w:val="21"/>
              </w:rPr>
            </w:pPr>
          </w:p>
          <w:p>
            <w:pPr>
              <w:spacing w:before="68" w:line="221" w:lineRule="auto"/>
              <w:ind w:left="318"/>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5452" w:type="dxa"/>
            <w:gridSpan w:val="2"/>
            <w:vMerge w:val="continue"/>
            <w:tcBorders>
              <w:top w:val="nil"/>
              <w:left w:val="nil"/>
            </w:tcBorders>
            <w:vAlign w:val="top"/>
          </w:tcPr>
          <w:p>
            <w:pPr>
              <w:rPr>
                <w:rFonts w:ascii="Arial"/>
                <w:sz w:val="21"/>
              </w:rPr>
            </w:pPr>
          </w:p>
        </w:tc>
        <w:tc>
          <w:tcPr>
            <w:tcW w:w="733" w:type="dxa"/>
            <w:vAlign w:val="top"/>
          </w:tcPr>
          <w:p>
            <w:pPr>
              <w:spacing w:before="303" w:line="220" w:lineRule="auto"/>
              <w:ind w:left="163"/>
              <w:rPr>
                <w:rFonts w:ascii="宋体" w:hAnsi="宋体" w:eastAsia="宋体" w:cs="宋体"/>
                <w:sz w:val="21"/>
                <w:szCs w:val="21"/>
              </w:rPr>
            </w:pPr>
            <w:r>
              <w:rPr>
                <w:rFonts w:ascii="宋体" w:hAnsi="宋体" w:eastAsia="宋体" w:cs="宋体"/>
                <w:spacing w:val="-3"/>
                <w:sz w:val="21"/>
                <w:szCs w:val="21"/>
                <w14:textOutline w14:w="3810" w14:cap="flat" w14:cmpd="sng">
                  <w14:solidFill>
                    <w14:srgbClr w14:val="000000"/>
                  </w14:solidFill>
                  <w14:prstDash w14:val="solid"/>
                  <w14:miter w14:val="0"/>
                </w14:textOutline>
              </w:rPr>
              <w:t>水田</w:t>
            </w:r>
          </w:p>
        </w:tc>
        <w:tc>
          <w:tcPr>
            <w:tcW w:w="945" w:type="dxa"/>
            <w:vAlign w:val="top"/>
          </w:tcPr>
          <w:p>
            <w:pPr>
              <w:spacing w:before="304" w:line="221" w:lineRule="auto"/>
              <w:ind w:left="270"/>
              <w:rPr>
                <w:rFonts w:ascii="宋体" w:hAnsi="宋体" w:eastAsia="宋体" w:cs="宋体"/>
                <w:sz w:val="21"/>
                <w:szCs w:val="21"/>
              </w:rPr>
            </w:pPr>
            <w:r>
              <w:rPr>
                <w:rFonts w:ascii="宋体" w:hAnsi="宋体" w:eastAsia="宋体" w:cs="宋体"/>
                <w:spacing w:val="-3"/>
                <w:sz w:val="21"/>
                <w:szCs w:val="21"/>
                <w14:textOutline w14:w="3810" w14:cap="flat" w14:cmpd="sng">
                  <w14:solidFill>
                    <w14:srgbClr w14:val="000000"/>
                  </w14:solidFill>
                  <w14:prstDash w14:val="solid"/>
                  <w14:miter w14:val="0"/>
                </w14:textOutline>
              </w:rPr>
              <w:t>旱地</w:t>
            </w:r>
          </w:p>
        </w:tc>
        <w:tc>
          <w:tcPr>
            <w:tcW w:w="924" w:type="dxa"/>
            <w:vAlign w:val="top"/>
          </w:tcPr>
          <w:p>
            <w:pPr>
              <w:spacing w:before="303" w:line="220" w:lineRule="auto"/>
              <w:ind w:left="256"/>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林地</w:t>
            </w:r>
          </w:p>
        </w:tc>
        <w:tc>
          <w:tcPr>
            <w:tcW w:w="1115" w:type="dxa"/>
            <w:vAlign w:val="top"/>
          </w:tcPr>
          <w:p>
            <w:pPr>
              <w:spacing w:before="31" w:line="220" w:lineRule="auto"/>
              <w:ind w:left="142"/>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水域及水</w:t>
            </w:r>
          </w:p>
          <w:p>
            <w:pPr>
              <w:spacing w:before="22" w:line="221" w:lineRule="auto"/>
              <w:ind w:left="140"/>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利设施用</w:t>
            </w:r>
          </w:p>
          <w:p>
            <w:pPr>
              <w:spacing w:before="21" w:line="204" w:lineRule="auto"/>
              <w:ind w:left="455"/>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地</w:t>
            </w:r>
          </w:p>
        </w:tc>
        <w:tc>
          <w:tcPr>
            <w:tcW w:w="860" w:type="dxa"/>
            <w:vAlign w:val="top"/>
          </w:tcPr>
          <w:p>
            <w:pPr>
              <w:spacing w:before="169" w:line="229" w:lineRule="auto"/>
              <w:ind w:left="118" w:right="111" w:firstLine="5"/>
              <w:rPr>
                <w:rFonts w:ascii="宋体" w:hAnsi="宋体" w:eastAsia="宋体" w:cs="宋体"/>
                <w:sz w:val="21"/>
                <w:szCs w:val="21"/>
              </w:rPr>
            </w:pPr>
            <w:r>
              <w:rPr>
                <w:rFonts w:ascii="宋体" w:hAnsi="宋体" w:eastAsia="宋体" w:cs="宋体"/>
                <w:spacing w:val="-4"/>
                <w:sz w:val="21"/>
                <w:szCs w:val="21"/>
                <w14:textOutline w14:w="3810" w14:cap="flat" w14:cmpd="sng">
                  <w14:solidFill>
                    <w14:srgbClr w14:val="000000"/>
                  </w14:solidFill>
                  <w14:prstDash w14:val="solid"/>
                  <w14:miter w14:val="0"/>
                </w14:textOutline>
              </w:rPr>
              <w:t>交通运</w:t>
            </w:r>
            <w:r>
              <w:rPr>
                <w:rFonts w:ascii="宋体" w:hAnsi="宋体" w:eastAsia="宋体" w:cs="宋体"/>
                <w:spacing w:val="1"/>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输用地</w:t>
            </w:r>
          </w:p>
        </w:tc>
        <w:tc>
          <w:tcPr>
            <w:tcW w:w="901" w:type="dxa"/>
            <w:vAlign w:val="top"/>
          </w:tcPr>
          <w:p>
            <w:pPr>
              <w:spacing w:before="169" w:line="234" w:lineRule="auto"/>
              <w:ind w:left="349" w:right="132" w:hanging="210"/>
              <w:rPr>
                <w:rFonts w:ascii="宋体" w:hAnsi="宋体" w:eastAsia="宋体" w:cs="宋体"/>
                <w:sz w:val="21"/>
                <w:szCs w:val="21"/>
              </w:rPr>
            </w:pPr>
            <w:r>
              <w:rPr>
                <w:rFonts w:ascii="宋体" w:hAnsi="宋体" w:eastAsia="宋体" w:cs="宋体"/>
                <w:spacing w:val="-3"/>
                <w:sz w:val="21"/>
                <w:szCs w:val="21"/>
                <w14:textOutline w14:w="3810" w14:cap="flat" w14:cmpd="sng">
                  <w14:solidFill>
                    <w14:srgbClr w14:val="000000"/>
                  </w14:solidFill>
                  <w14:prstDash w14:val="solid"/>
                  <w14:miter w14:val="0"/>
                </w14:textOutline>
              </w:rPr>
              <w:t>其他用</w:t>
            </w:r>
            <w:r>
              <w:rPr>
                <w:rFonts w:ascii="宋体" w:hAnsi="宋体" w:eastAsia="宋体" w:cs="宋体"/>
                <w:spacing w:val="1"/>
                <w:sz w:val="21"/>
                <w:szCs w:val="21"/>
              </w:rPr>
              <w:t xml:space="preserve"> </w:t>
            </w:r>
            <w:r>
              <w:rPr>
                <w:rFonts w:ascii="宋体" w:hAnsi="宋体" w:eastAsia="宋体" w:cs="宋体"/>
                <w:sz w:val="21"/>
                <w:szCs w:val="21"/>
                <w14:textOutline w14:w="3810" w14:cap="flat" w14:cmpd="sng">
                  <w14:solidFill>
                    <w14:srgbClr w14:val="000000"/>
                  </w14:solidFill>
                  <w14:prstDash w14:val="solid"/>
                  <w14:miter w14:val="0"/>
                </w14:textOutline>
              </w:rPr>
              <w:t>地</w:t>
            </w:r>
          </w:p>
        </w:tc>
        <w:tc>
          <w:tcPr>
            <w:tcW w:w="902" w:type="dxa"/>
            <w:vAlign w:val="top"/>
          </w:tcPr>
          <w:p>
            <w:pPr>
              <w:spacing w:before="304" w:line="221" w:lineRule="auto"/>
              <w:ind w:left="263"/>
              <w:rPr>
                <w:rFonts w:ascii="宋体" w:hAnsi="宋体" w:eastAsia="宋体" w:cs="宋体"/>
                <w:sz w:val="21"/>
                <w:szCs w:val="21"/>
              </w:rPr>
            </w:pPr>
            <w:r>
              <w:rPr>
                <w:rFonts w:ascii="宋体" w:hAnsi="宋体" w:eastAsia="宋体" w:cs="宋体"/>
                <w:spacing w:val="-7"/>
                <w:sz w:val="21"/>
                <w:szCs w:val="21"/>
                <w14:textOutline w14:w="3810" w14:cap="flat" w14:cmpd="sng">
                  <w14:solidFill>
                    <w14:srgbClr w14:val="000000"/>
                  </w14:solidFill>
                  <w14:prstDash w14:val="solid"/>
                  <w14:miter w14:val="0"/>
                </w14:textOutline>
              </w:rPr>
              <w:t>园地</w:t>
            </w:r>
          </w:p>
        </w:tc>
        <w:tc>
          <w:tcPr>
            <w:tcW w:w="1124" w:type="dxa"/>
            <w:vAlign w:val="top"/>
          </w:tcPr>
          <w:p>
            <w:pPr>
              <w:spacing w:before="304" w:line="221" w:lineRule="auto"/>
              <w:ind w:left="362"/>
              <w:rPr>
                <w:rFonts w:ascii="宋体" w:hAnsi="宋体" w:eastAsia="宋体" w:cs="宋体"/>
                <w:sz w:val="21"/>
                <w:szCs w:val="21"/>
              </w:rPr>
            </w:pPr>
            <w:r>
              <w:rPr>
                <w:rFonts w:ascii="宋体" w:hAnsi="宋体" w:eastAsia="宋体" w:cs="宋体"/>
                <w:spacing w:val="-4"/>
                <w:sz w:val="21"/>
                <w:szCs w:val="21"/>
                <w14:textOutline w14:w="3810" w14:cap="flat" w14:cmpd="sng">
                  <w14:solidFill>
                    <w14:srgbClr w14:val="000000"/>
                  </w14:solidFill>
                  <w14:prstDash w14:val="solid"/>
                  <w14:miter w14:val="0"/>
                </w14:textOutline>
              </w:rPr>
              <w:t>小计</w:t>
            </w:r>
          </w:p>
        </w:tc>
        <w:tc>
          <w:tcPr>
            <w:tcW w:w="104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106" w:type="dxa"/>
            <w:vMerge w:val="restart"/>
            <w:tcBorders>
              <w:left w:val="nil"/>
              <w:bottom w:val="nil"/>
            </w:tcBorders>
            <w:vAlign w:val="top"/>
          </w:tcPr>
          <w:p>
            <w:pPr>
              <w:spacing w:line="247" w:lineRule="auto"/>
              <w:rPr>
                <w:rFonts w:ascii="Arial"/>
                <w:sz w:val="21"/>
              </w:rPr>
            </w:pPr>
          </w:p>
          <w:p>
            <w:pPr>
              <w:spacing w:before="68" w:line="220" w:lineRule="auto"/>
              <w:ind w:left="745"/>
              <w:rPr>
                <w:rFonts w:ascii="宋体" w:hAnsi="宋体" w:eastAsia="宋体" w:cs="宋体"/>
                <w:sz w:val="21"/>
                <w:szCs w:val="21"/>
              </w:rPr>
            </w:pPr>
            <w:r>
              <w:rPr>
                <w:rFonts w:ascii="宋体" w:hAnsi="宋体" w:eastAsia="宋体" w:cs="宋体"/>
                <w:spacing w:val="-2"/>
                <w:sz w:val="21"/>
                <w:szCs w:val="21"/>
              </w:rPr>
              <w:t>枢纽区</w:t>
            </w:r>
          </w:p>
        </w:tc>
        <w:tc>
          <w:tcPr>
            <w:tcW w:w="3346" w:type="dxa"/>
            <w:vAlign w:val="top"/>
          </w:tcPr>
          <w:p>
            <w:pPr>
              <w:spacing w:before="36" w:line="203" w:lineRule="auto"/>
              <w:ind w:left="114"/>
              <w:rPr>
                <w:rFonts w:ascii="宋体" w:hAnsi="宋体" w:eastAsia="宋体" w:cs="宋体"/>
                <w:sz w:val="21"/>
                <w:szCs w:val="21"/>
              </w:rPr>
            </w:pPr>
            <w:r>
              <w:rPr>
                <w:rFonts w:ascii="宋体" w:hAnsi="宋体" w:eastAsia="宋体" w:cs="宋体"/>
                <w:spacing w:val="-2"/>
                <w:sz w:val="21"/>
                <w:szCs w:val="21"/>
              </w:rPr>
              <w:t>拦河坝</w:t>
            </w:r>
          </w:p>
        </w:tc>
        <w:tc>
          <w:tcPr>
            <w:tcW w:w="733" w:type="dxa"/>
            <w:vAlign w:val="top"/>
          </w:tcPr>
          <w:p>
            <w:pPr>
              <w:rPr>
                <w:rFonts w:ascii="Arial"/>
                <w:sz w:val="21"/>
              </w:rPr>
            </w:pPr>
          </w:p>
        </w:tc>
        <w:tc>
          <w:tcPr>
            <w:tcW w:w="945" w:type="dxa"/>
            <w:vAlign w:val="top"/>
          </w:tcPr>
          <w:p>
            <w:pPr>
              <w:pStyle w:val="6"/>
              <w:spacing w:before="74" w:line="186" w:lineRule="auto"/>
              <w:ind w:left="293"/>
            </w:pPr>
            <w:r>
              <w:rPr>
                <w:spacing w:val="-2"/>
              </w:rPr>
              <w:t>0.38</w:t>
            </w:r>
          </w:p>
        </w:tc>
        <w:tc>
          <w:tcPr>
            <w:tcW w:w="924" w:type="dxa"/>
            <w:vAlign w:val="top"/>
          </w:tcPr>
          <w:p>
            <w:pPr>
              <w:pStyle w:val="6"/>
              <w:spacing w:before="74" w:line="186" w:lineRule="auto"/>
              <w:ind w:left="284"/>
            </w:pPr>
            <w:r>
              <w:rPr>
                <w:spacing w:val="-3"/>
              </w:rPr>
              <w:t>5.23</w:t>
            </w:r>
          </w:p>
        </w:tc>
        <w:tc>
          <w:tcPr>
            <w:tcW w:w="1115" w:type="dxa"/>
            <w:vAlign w:val="top"/>
          </w:tcPr>
          <w:p>
            <w:pPr>
              <w:pStyle w:val="6"/>
              <w:spacing w:before="74" w:line="186" w:lineRule="auto"/>
              <w:ind w:left="377"/>
            </w:pPr>
            <w:r>
              <w:rPr>
                <w:spacing w:val="-2"/>
              </w:rPr>
              <w:t>0.31</w:t>
            </w:r>
          </w:p>
        </w:tc>
        <w:tc>
          <w:tcPr>
            <w:tcW w:w="860" w:type="dxa"/>
            <w:vAlign w:val="top"/>
          </w:tcPr>
          <w:p>
            <w:pPr>
              <w:pStyle w:val="6"/>
              <w:spacing w:before="74" w:line="186" w:lineRule="auto"/>
              <w:ind w:left="250"/>
            </w:pPr>
            <w:r>
              <w:rPr>
                <w:spacing w:val="-2"/>
              </w:rPr>
              <w:t>0.16</w:t>
            </w: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86" w:line="179" w:lineRule="auto"/>
              <w:ind w:left="385"/>
            </w:pPr>
            <w:r>
              <w:rPr>
                <w:spacing w:val="-3"/>
              </w:rPr>
              <w:t>6.08</w:t>
            </w:r>
          </w:p>
        </w:tc>
        <w:tc>
          <w:tcPr>
            <w:tcW w:w="1046" w:type="dxa"/>
            <w:vMerge w:val="restart"/>
            <w:tcBorders>
              <w:bottom w:val="nil"/>
              <w:right w:val="nil"/>
            </w:tcBorders>
            <w:vAlign w:val="top"/>
          </w:tcPr>
          <w:p>
            <w:pPr>
              <w:spacing w:line="294" w:lineRule="auto"/>
              <w:rPr>
                <w:rFonts w:ascii="Arial"/>
                <w:sz w:val="21"/>
              </w:rPr>
            </w:pPr>
          </w:p>
          <w:p>
            <w:pPr>
              <w:pStyle w:val="6"/>
              <w:spacing w:before="60" w:line="186" w:lineRule="auto"/>
              <w:ind w:left="344"/>
            </w:pPr>
            <w:r>
              <w:rPr>
                <w:spacing w:val="-2"/>
              </w:rPr>
              <w:t>7.86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bottom w:val="nil"/>
            </w:tcBorders>
            <w:vAlign w:val="top"/>
          </w:tcPr>
          <w:p>
            <w:pPr>
              <w:rPr>
                <w:rFonts w:ascii="Arial"/>
                <w:sz w:val="21"/>
              </w:rPr>
            </w:pPr>
          </w:p>
        </w:tc>
        <w:tc>
          <w:tcPr>
            <w:tcW w:w="3346" w:type="dxa"/>
            <w:vAlign w:val="top"/>
          </w:tcPr>
          <w:p>
            <w:pPr>
              <w:spacing w:before="36" w:line="202" w:lineRule="auto"/>
              <w:ind w:left="119"/>
              <w:rPr>
                <w:rFonts w:ascii="宋体" w:hAnsi="宋体" w:eastAsia="宋体" w:cs="宋体"/>
                <w:sz w:val="21"/>
                <w:szCs w:val="21"/>
              </w:rPr>
            </w:pPr>
            <w:r>
              <w:rPr>
                <w:rFonts w:ascii="宋体" w:hAnsi="宋体" w:eastAsia="宋体" w:cs="宋体"/>
                <w:spacing w:val="-2"/>
                <w:sz w:val="21"/>
                <w:szCs w:val="21"/>
              </w:rPr>
              <w:t>导流放空隧洞</w:t>
            </w:r>
          </w:p>
        </w:tc>
        <w:tc>
          <w:tcPr>
            <w:tcW w:w="733" w:type="dxa"/>
            <w:vAlign w:val="top"/>
          </w:tcPr>
          <w:p>
            <w:pPr>
              <w:rPr>
                <w:rFonts w:ascii="Arial"/>
                <w:sz w:val="21"/>
              </w:rPr>
            </w:pPr>
          </w:p>
        </w:tc>
        <w:tc>
          <w:tcPr>
            <w:tcW w:w="945" w:type="dxa"/>
            <w:vAlign w:val="top"/>
          </w:tcPr>
          <w:p>
            <w:pPr>
              <w:rPr>
                <w:rFonts w:ascii="Arial"/>
                <w:sz w:val="21"/>
              </w:rPr>
            </w:pPr>
          </w:p>
        </w:tc>
        <w:tc>
          <w:tcPr>
            <w:tcW w:w="924" w:type="dxa"/>
            <w:vAlign w:val="top"/>
          </w:tcPr>
          <w:p>
            <w:pPr>
              <w:pStyle w:val="6"/>
              <w:spacing w:before="74" w:line="186" w:lineRule="auto"/>
              <w:ind w:left="282"/>
            </w:pPr>
            <w:r>
              <w:rPr>
                <w:spacing w:val="-2"/>
              </w:rPr>
              <w:t>0.21</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87" w:line="177" w:lineRule="auto"/>
              <w:ind w:left="383"/>
            </w:pPr>
            <w:r>
              <w:rPr>
                <w:spacing w:val="-2"/>
              </w:rPr>
              <w:t>0.21</w:t>
            </w:r>
          </w:p>
        </w:tc>
        <w:tc>
          <w:tcPr>
            <w:tcW w:w="1046"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tcBorders>
            <w:vAlign w:val="top"/>
          </w:tcPr>
          <w:p>
            <w:pPr>
              <w:rPr>
                <w:rFonts w:ascii="Arial"/>
                <w:sz w:val="21"/>
              </w:rPr>
            </w:pPr>
          </w:p>
        </w:tc>
        <w:tc>
          <w:tcPr>
            <w:tcW w:w="3346" w:type="dxa"/>
            <w:vAlign w:val="top"/>
          </w:tcPr>
          <w:p>
            <w:pPr>
              <w:spacing w:before="37" w:line="201" w:lineRule="auto"/>
              <w:ind w:left="115"/>
              <w:rPr>
                <w:rFonts w:ascii="宋体" w:hAnsi="宋体" w:eastAsia="宋体" w:cs="宋体"/>
                <w:sz w:val="21"/>
                <w:szCs w:val="21"/>
              </w:rPr>
            </w:pPr>
            <w:r>
              <w:rPr>
                <w:rFonts w:ascii="宋体" w:hAnsi="宋体" w:eastAsia="宋体" w:cs="宋体"/>
                <w:spacing w:val="-3"/>
                <w:sz w:val="21"/>
                <w:szCs w:val="21"/>
              </w:rPr>
              <w:t>溢洪道</w:t>
            </w:r>
          </w:p>
        </w:tc>
        <w:tc>
          <w:tcPr>
            <w:tcW w:w="733" w:type="dxa"/>
            <w:vAlign w:val="top"/>
          </w:tcPr>
          <w:p>
            <w:pPr>
              <w:rPr>
                <w:rFonts w:ascii="Arial"/>
                <w:sz w:val="21"/>
              </w:rPr>
            </w:pPr>
          </w:p>
        </w:tc>
        <w:tc>
          <w:tcPr>
            <w:tcW w:w="945" w:type="dxa"/>
            <w:vAlign w:val="top"/>
          </w:tcPr>
          <w:p>
            <w:pPr>
              <w:pStyle w:val="6"/>
              <w:spacing w:before="75" w:line="186" w:lineRule="auto"/>
              <w:ind w:left="293"/>
            </w:pPr>
            <w:r>
              <w:rPr>
                <w:spacing w:val="-2"/>
              </w:rPr>
              <w:t>0.12</w:t>
            </w:r>
          </w:p>
        </w:tc>
        <w:tc>
          <w:tcPr>
            <w:tcW w:w="924" w:type="dxa"/>
            <w:vAlign w:val="top"/>
          </w:tcPr>
          <w:p>
            <w:pPr>
              <w:pStyle w:val="6"/>
              <w:spacing w:before="75" w:line="186" w:lineRule="auto"/>
              <w:ind w:left="299"/>
            </w:pPr>
            <w:r>
              <w:rPr>
                <w:spacing w:val="-6"/>
              </w:rPr>
              <w:t>1.42</w:t>
            </w:r>
          </w:p>
        </w:tc>
        <w:tc>
          <w:tcPr>
            <w:tcW w:w="1115" w:type="dxa"/>
            <w:vAlign w:val="top"/>
          </w:tcPr>
          <w:p>
            <w:pPr>
              <w:pStyle w:val="6"/>
              <w:spacing w:before="75" w:line="186" w:lineRule="auto"/>
              <w:ind w:left="377"/>
            </w:pPr>
            <w:r>
              <w:rPr>
                <w:spacing w:val="-2"/>
              </w:rPr>
              <w:t>0.03</w:t>
            </w: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88" w:line="176" w:lineRule="auto"/>
              <w:ind w:left="400"/>
            </w:pPr>
            <w:r>
              <w:rPr>
                <w:spacing w:val="-6"/>
              </w:rPr>
              <w:t>1.57</w:t>
            </w:r>
          </w:p>
        </w:tc>
        <w:tc>
          <w:tcPr>
            <w:tcW w:w="104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106" w:type="dxa"/>
            <w:tcBorders>
              <w:left w:val="nil"/>
            </w:tcBorders>
            <w:vAlign w:val="top"/>
          </w:tcPr>
          <w:p>
            <w:pPr>
              <w:spacing w:before="39" w:line="200" w:lineRule="auto"/>
              <w:ind w:left="118"/>
              <w:rPr>
                <w:rFonts w:ascii="宋体" w:hAnsi="宋体" w:eastAsia="宋体" w:cs="宋体"/>
                <w:sz w:val="21"/>
                <w:szCs w:val="21"/>
              </w:rPr>
            </w:pPr>
            <w:r>
              <w:rPr>
                <w:rFonts w:ascii="宋体" w:hAnsi="宋体" w:eastAsia="宋体" w:cs="宋体"/>
                <w:spacing w:val="-2"/>
                <w:sz w:val="21"/>
                <w:szCs w:val="21"/>
              </w:rPr>
              <w:t>工程永久办公生活区</w:t>
            </w:r>
          </w:p>
        </w:tc>
        <w:tc>
          <w:tcPr>
            <w:tcW w:w="3346" w:type="dxa"/>
            <w:vAlign w:val="top"/>
          </w:tcPr>
          <w:p>
            <w:pPr>
              <w:spacing w:before="39" w:line="200" w:lineRule="auto"/>
              <w:ind w:left="116"/>
              <w:rPr>
                <w:rFonts w:ascii="宋体" w:hAnsi="宋体" w:eastAsia="宋体" w:cs="宋体"/>
                <w:sz w:val="21"/>
                <w:szCs w:val="21"/>
              </w:rPr>
            </w:pPr>
            <w:r>
              <w:rPr>
                <w:rFonts w:ascii="宋体" w:hAnsi="宋体" w:eastAsia="宋体" w:cs="宋体"/>
                <w:spacing w:val="-3"/>
                <w:sz w:val="21"/>
                <w:szCs w:val="21"/>
              </w:rPr>
              <w:t>水库管理所</w:t>
            </w:r>
          </w:p>
        </w:tc>
        <w:tc>
          <w:tcPr>
            <w:tcW w:w="733" w:type="dxa"/>
            <w:vAlign w:val="top"/>
          </w:tcPr>
          <w:p>
            <w:pPr>
              <w:rPr>
                <w:rFonts w:ascii="Arial"/>
                <w:sz w:val="21"/>
              </w:rPr>
            </w:pPr>
          </w:p>
        </w:tc>
        <w:tc>
          <w:tcPr>
            <w:tcW w:w="945" w:type="dxa"/>
            <w:vAlign w:val="top"/>
          </w:tcPr>
          <w:p>
            <w:pPr>
              <w:pStyle w:val="6"/>
              <w:spacing w:before="76" w:line="186" w:lineRule="auto"/>
              <w:ind w:left="293"/>
            </w:pPr>
            <w:r>
              <w:rPr>
                <w:spacing w:val="-2"/>
              </w:rPr>
              <w:t>0.24</w:t>
            </w:r>
          </w:p>
        </w:tc>
        <w:tc>
          <w:tcPr>
            <w:tcW w:w="924" w:type="dxa"/>
            <w:vAlign w:val="top"/>
          </w:tcPr>
          <w:p>
            <w:pPr>
              <w:rPr>
                <w:rFonts w:ascii="Arial"/>
                <w:sz w:val="21"/>
              </w:rPr>
            </w:pP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89" w:line="176" w:lineRule="auto"/>
              <w:ind w:left="383"/>
            </w:pPr>
            <w:r>
              <w:rPr>
                <w:spacing w:val="-2"/>
              </w:rPr>
              <w:t>0.24</w:t>
            </w:r>
          </w:p>
        </w:tc>
        <w:tc>
          <w:tcPr>
            <w:tcW w:w="1046" w:type="dxa"/>
            <w:tcBorders>
              <w:right w:val="nil"/>
            </w:tcBorders>
            <w:vAlign w:val="top"/>
          </w:tcPr>
          <w:p>
            <w:pPr>
              <w:pStyle w:val="6"/>
              <w:spacing w:before="76" w:line="186" w:lineRule="auto"/>
              <w:ind w:left="343"/>
            </w:pPr>
            <w:r>
              <w:rPr>
                <w:spacing w:val="-2"/>
              </w:rPr>
              <w:t>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tcBorders>
              <w:left w:val="nil"/>
            </w:tcBorders>
            <w:vAlign w:val="top"/>
          </w:tcPr>
          <w:p>
            <w:pPr>
              <w:spacing w:before="38" w:line="200" w:lineRule="auto"/>
              <w:ind w:left="538"/>
              <w:rPr>
                <w:rFonts w:ascii="宋体" w:hAnsi="宋体" w:eastAsia="宋体" w:cs="宋体"/>
                <w:sz w:val="21"/>
                <w:szCs w:val="21"/>
              </w:rPr>
            </w:pPr>
            <w:r>
              <w:rPr>
                <w:rFonts w:ascii="宋体" w:hAnsi="宋体" w:eastAsia="宋体" w:cs="宋体"/>
                <w:spacing w:val="-2"/>
                <w:sz w:val="21"/>
                <w:szCs w:val="21"/>
              </w:rPr>
              <w:t>水库管理区</w:t>
            </w:r>
          </w:p>
        </w:tc>
        <w:tc>
          <w:tcPr>
            <w:tcW w:w="3346" w:type="dxa"/>
            <w:vAlign w:val="top"/>
          </w:tcPr>
          <w:p>
            <w:pPr>
              <w:spacing w:before="38" w:line="200" w:lineRule="auto"/>
              <w:ind w:left="116"/>
              <w:rPr>
                <w:rFonts w:ascii="宋体" w:hAnsi="宋体" w:eastAsia="宋体" w:cs="宋体"/>
                <w:sz w:val="21"/>
                <w:szCs w:val="21"/>
              </w:rPr>
            </w:pPr>
            <w:r>
              <w:rPr>
                <w:rFonts w:ascii="宋体" w:hAnsi="宋体" w:eastAsia="宋体" w:cs="宋体"/>
                <w:spacing w:val="-2"/>
                <w:sz w:val="21"/>
                <w:szCs w:val="21"/>
              </w:rPr>
              <w:t>水库管理区</w:t>
            </w:r>
          </w:p>
        </w:tc>
        <w:tc>
          <w:tcPr>
            <w:tcW w:w="733" w:type="dxa"/>
            <w:vAlign w:val="top"/>
          </w:tcPr>
          <w:p>
            <w:pPr>
              <w:rPr>
                <w:rFonts w:ascii="Arial"/>
                <w:sz w:val="21"/>
              </w:rPr>
            </w:pPr>
          </w:p>
        </w:tc>
        <w:tc>
          <w:tcPr>
            <w:tcW w:w="945" w:type="dxa"/>
            <w:vAlign w:val="top"/>
          </w:tcPr>
          <w:p>
            <w:pPr>
              <w:pStyle w:val="6"/>
              <w:spacing w:before="77" w:line="186" w:lineRule="auto"/>
              <w:ind w:left="310"/>
            </w:pPr>
            <w:r>
              <w:rPr>
                <w:spacing w:val="-6"/>
              </w:rPr>
              <w:t>1.49</w:t>
            </w:r>
          </w:p>
        </w:tc>
        <w:tc>
          <w:tcPr>
            <w:tcW w:w="924" w:type="dxa"/>
            <w:vAlign w:val="top"/>
          </w:tcPr>
          <w:p>
            <w:pPr>
              <w:pStyle w:val="6"/>
              <w:spacing w:before="77" w:line="186" w:lineRule="auto"/>
              <w:ind w:left="276"/>
            </w:pPr>
            <w:r>
              <w:rPr>
                <w:spacing w:val="-1"/>
              </w:rPr>
              <w:t>4.58</w:t>
            </w:r>
          </w:p>
        </w:tc>
        <w:tc>
          <w:tcPr>
            <w:tcW w:w="1115" w:type="dxa"/>
            <w:vAlign w:val="top"/>
          </w:tcPr>
          <w:p>
            <w:pPr>
              <w:pStyle w:val="6"/>
              <w:spacing w:before="77" w:line="186" w:lineRule="auto"/>
              <w:ind w:left="377"/>
            </w:pPr>
            <w:r>
              <w:rPr>
                <w:spacing w:val="-2"/>
              </w:rPr>
              <w:t>0.12</w:t>
            </w:r>
          </w:p>
        </w:tc>
        <w:tc>
          <w:tcPr>
            <w:tcW w:w="860" w:type="dxa"/>
            <w:vAlign w:val="top"/>
          </w:tcPr>
          <w:p>
            <w:pPr>
              <w:pStyle w:val="6"/>
              <w:spacing w:before="77" w:line="186" w:lineRule="auto"/>
              <w:ind w:left="250"/>
            </w:pPr>
            <w:r>
              <w:rPr>
                <w:spacing w:val="-2"/>
              </w:rPr>
              <w:t>0.17</w:t>
            </w: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0" w:line="174" w:lineRule="auto"/>
              <w:ind w:left="385"/>
            </w:pPr>
            <w:r>
              <w:rPr>
                <w:spacing w:val="-3"/>
              </w:rPr>
              <w:t>6.36</w:t>
            </w:r>
          </w:p>
        </w:tc>
        <w:tc>
          <w:tcPr>
            <w:tcW w:w="1046" w:type="dxa"/>
            <w:tcBorders>
              <w:right w:val="nil"/>
            </w:tcBorders>
            <w:vAlign w:val="top"/>
          </w:tcPr>
          <w:p>
            <w:pPr>
              <w:pStyle w:val="6"/>
              <w:spacing w:before="77" w:line="186" w:lineRule="auto"/>
              <w:ind w:left="345"/>
            </w:pPr>
            <w:r>
              <w:rPr>
                <w:spacing w:val="-3"/>
              </w:rPr>
              <w:t>6.36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restart"/>
            <w:tcBorders>
              <w:left w:val="nil"/>
              <w:bottom w:val="nil"/>
            </w:tcBorders>
            <w:vAlign w:val="top"/>
          </w:tcPr>
          <w:p>
            <w:pPr>
              <w:spacing w:line="252" w:lineRule="auto"/>
              <w:rPr>
                <w:rFonts w:ascii="Arial"/>
                <w:sz w:val="21"/>
              </w:rPr>
            </w:pPr>
          </w:p>
          <w:p>
            <w:pPr>
              <w:spacing w:before="68" w:line="220" w:lineRule="auto"/>
              <w:ind w:left="551"/>
              <w:rPr>
                <w:rFonts w:ascii="宋体" w:hAnsi="宋体" w:eastAsia="宋体" w:cs="宋体"/>
                <w:sz w:val="21"/>
                <w:szCs w:val="21"/>
              </w:rPr>
            </w:pPr>
            <w:r>
              <w:rPr>
                <w:rFonts w:ascii="宋体" w:hAnsi="宋体" w:eastAsia="宋体" w:cs="宋体"/>
                <w:spacing w:val="-4"/>
                <w:sz w:val="21"/>
                <w:szCs w:val="21"/>
              </w:rPr>
              <w:t>引水工程区</w:t>
            </w:r>
          </w:p>
        </w:tc>
        <w:tc>
          <w:tcPr>
            <w:tcW w:w="3346" w:type="dxa"/>
            <w:vAlign w:val="top"/>
          </w:tcPr>
          <w:p>
            <w:pPr>
              <w:spacing w:before="40" w:line="198" w:lineRule="auto"/>
              <w:ind w:left="129"/>
              <w:rPr>
                <w:rFonts w:ascii="宋体" w:hAnsi="宋体" w:eastAsia="宋体" w:cs="宋体"/>
                <w:sz w:val="21"/>
                <w:szCs w:val="21"/>
              </w:rPr>
            </w:pPr>
            <w:r>
              <w:rPr>
                <w:rFonts w:ascii="宋体" w:hAnsi="宋体" w:eastAsia="宋体" w:cs="宋体"/>
                <w:spacing w:val="-3"/>
                <w:sz w:val="21"/>
                <w:szCs w:val="21"/>
              </w:rPr>
              <w:t>引水渠永久占地</w:t>
            </w:r>
          </w:p>
        </w:tc>
        <w:tc>
          <w:tcPr>
            <w:tcW w:w="733" w:type="dxa"/>
            <w:vAlign w:val="top"/>
          </w:tcPr>
          <w:p>
            <w:pPr>
              <w:rPr>
                <w:rFonts w:ascii="Arial"/>
                <w:sz w:val="21"/>
              </w:rPr>
            </w:pPr>
          </w:p>
        </w:tc>
        <w:tc>
          <w:tcPr>
            <w:tcW w:w="945" w:type="dxa"/>
            <w:vAlign w:val="top"/>
          </w:tcPr>
          <w:p>
            <w:pPr>
              <w:pStyle w:val="6"/>
              <w:spacing w:before="78" w:line="186" w:lineRule="auto"/>
              <w:ind w:left="293"/>
            </w:pPr>
            <w:r>
              <w:rPr>
                <w:spacing w:val="-2"/>
              </w:rPr>
              <w:t>0.59</w:t>
            </w:r>
          </w:p>
        </w:tc>
        <w:tc>
          <w:tcPr>
            <w:tcW w:w="924" w:type="dxa"/>
            <w:vAlign w:val="top"/>
          </w:tcPr>
          <w:p>
            <w:pPr>
              <w:pStyle w:val="6"/>
              <w:spacing w:before="78" w:line="186" w:lineRule="auto"/>
              <w:ind w:left="283"/>
            </w:pPr>
            <w:r>
              <w:rPr>
                <w:spacing w:val="-2"/>
              </w:rPr>
              <w:t>3.52</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1" w:line="173" w:lineRule="auto"/>
              <w:ind w:left="383"/>
            </w:pPr>
            <w:r>
              <w:rPr>
                <w:spacing w:val="-1"/>
              </w:rPr>
              <w:t>4.11</w:t>
            </w:r>
          </w:p>
        </w:tc>
        <w:tc>
          <w:tcPr>
            <w:tcW w:w="1046" w:type="dxa"/>
            <w:vMerge w:val="restart"/>
            <w:tcBorders>
              <w:bottom w:val="nil"/>
              <w:right w:val="nil"/>
            </w:tcBorders>
            <w:vAlign w:val="top"/>
          </w:tcPr>
          <w:p>
            <w:pPr>
              <w:spacing w:line="298" w:lineRule="auto"/>
              <w:rPr>
                <w:rFonts w:ascii="Arial"/>
                <w:sz w:val="21"/>
              </w:rPr>
            </w:pPr>
          </w:p>
          <w:p>
            <w:pPr>
              <w:pStyle w:val="6"/>
              <w:spacing w:before="61" w:line="186" w:lineRule="auto"/>
              <w:ind w:left="339"/>
            </w:pPr>
            <w:r>
              <w:rPr>
                <w:spacing w:val="-1"/>
              </w:rPr>
              <w:t>4.42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bottom w:val="nil"/>
            </w:tcBorders>
            <w:vAlign w:val="top"/>
          </w:tcPr>
          <w:p>
            <w:pPr>
              <w:rPr>
                <w:rFonts w:ascii="Arial"/>
                <w:sz w:val="21"/>
              </w:rPr>
            </w:pPr>
          </w:p>
        </w:tc>
        <w:tc>
          <w:tcPr>
            <w:tcW w:w="3346" w:type="dxa"/>
            <w:vAlign w:val="top"/>
          </w:tcPr>
          <w:p>
            <w:pPr>
              <w:spacing w:before="41" w:line="197" w:lineRule="auto"/>
              <w:ind w:left="116"/>
              <w:rPr>
                <w:rFonts w:ascii="宋体" w:hAnsi="宋体" w:eastAsia="宋体" w:cs="宋体"/>
                <w:sz w:val="21"/>
                <w:szCs w:val="21"/>
              </w:rPr>
            </w:pPr>
            <w:r>
              <w:rPr>
                <w:rFonts w:ascii="宋体" w:hAnsi="宋体" w:eastAsia="宋体" w:cs="宋体"/>
                <w:spacing w:val="-2"/>
                <w:sz w:val="21"/>
                <w:szCs w:val="21"/>
              </w:rPr>
              <w:t>取水坝永久占地</w:t>
            </w:r>
          </w:p>
        </w:tc>
        <w:tc>
          <w:tcPr>
            <w:tcW w:w="733" w:type="dxa"/>
            <w:vAlign w:val="top"/>
          </w:tcPr>
          <w:p>
            <w:pPr>
              <w:rPr>
                <w:rFonts w:ascii="Arial"/>
                <w:sz w:val="21"/>
              </w:rPr>
            </w:pPr>
          </w:p>
        </w:tc>
        <w:tc>
          <w:tcPr>
            <w:tcW w:w="945" w:type="dxa"/>
            <w:vAlign w:val="top"/>
          </w:tcPr>
          <w:p>
            <w:pPr>
              <w:pStyle w:val="6"/>
              <w:spacing w:before="79" w:line="185" w:lineRule="auto"/>
              <w:ind w:left="293"/>
            </w:pPr>
            <w:r>
              <w:rPr>
                <w:spacing w:val="-2"/>
              </w:rPr>
              <w:t>0.04</w:t>
            </w:r>
          </w:p>
        </w:tc>
        <w:tc>
          <w:tcPr>
            <w:tcW w:w="924" w:type="dxa"/>
            <w:vAlign w:val="top"/>
          </w:tcPr>
          <w:p>
            <w:pPr>
              <w:pStyle w:val="6"/>
              <w:spacing w:before="79" w:line="185" w:lineRule="auto"/>
              <w:ind w:left="281"/>
            </w:pPr>
            <w:r>
              <w:rPr>
                <w:spacing w:val="-2"/>
              </w:rPr>
              <w:t>0.14</w:t>
            </w:r>
          </w:p>
        </w:tc>
        <w:tc>
          <w:tcPr>
            <w:tcW w:w="1115" w:type="dxa"/>
            <w:vAlign w:val="top"/>
          </w:tcPr>
          <w:p>
            <w:pPr>
              <w:pStyle w:val="6"/>
              <w:spacing w:before="79" w:line="185" w:lineRule="auto"/>
              <w:ind w:left="377"/>
            </w:pPr>
            <w:r>
              <w:rPr>
                <w:spacing w:val="-2"/>
              </w:rPr>
              <w:t>0.05</w:t>
            </w: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2" w:line="172" w:lineRule="auto"/>
              <w:ind w:left="383"/>
            </w:pPr>
            <w:r>
              <w:rPr>
                <w:spacing w:val="-2"/>
              </w:rPr>
              <w:t>0.23</w:t>
            </w:r>
          </w:p>
        </w:tc>
        <w:tc>
          <w:tcPr>
            <w:tcW w:w="1046"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106" w:type="dxa"/>
            <w:vMerge w:val="continue"/>
            <w:tcBorders>
              <w:top w:val="nil"/>
              <w:left w:val="nil"/>
            </w:tcBorders>
            <w:vAlign w:val="top"/>
          </w:tcPr>
          <w:p>
            <w:pPr>
              <w:rPr>
                <w:rFonts w:ascii="Arial"/>
                <w:sz w:val="21"/>
              </w:rPr>
            </w:pPr>
          </w:p>
        </w:tc>
        <w:tc>
          <w:tcPr>
            <w:tcW w:w="3346" w:type="dxa"/>
            <w:vAlign w:val="top"/>
          </w:tcPr>
          <w:p>
            <w:pPr>
              <w:spacing w:before="44" w:line="196" w:lineRule="auto"/>
              <w:ind w:left="129"/>
              <w:rPr>
                <w:rFonts w:ascii="宋体" w:hAnsi="宋体" w:eastAsia="宋体" w:cs="宋体"/>
                <w:sz w:val="21"/>
                <w:szCs w:val="21"/>
              </w:rPr>
            </w:pPr>
            <w:r>
              <w:rPr>
                <w:rFonts w:ascii="宋体" w:hAnsi="宋体" w:eastAsia="宋体" w:cs="宋体"/>
                <w:spacing w:val="-3"/>
                <w:sz w:val="21"/>
                <w:szCs w:val="21"/>
              </w:rPr>
              <w:t>引水隧洞永久占地</w:t>
            </w:r>
          </w:p>
        </w:tc>
        <w:tc>
          <w:tcPr>
            <w:tcW w:w="733" w:type="dxa"/>
            <w:vAlign w:val="top"/>
          </w:tcPr>
          <w:p>
            <w:pPr>
              <w:rPr>
                <w:rFonts w:ascii="Arial"/>
                <w:sz w:val="21"/>
              </w:rPr>
            </w:pPr>
          </w:p>
        </w:tc>
        <w:tc>
          <w:tcPr>
            <w:tcW w:w="945" w:type="dxa"/>
            <w:vAlign w:val="top"/>
          </w:tcPr>
          <w:p>
            <w:pPr>
              <w:rPr>
                <w:rFonts w:ascii="Arial"/>
                <w:sz w:val="21"/>
              </w:rPr>
            </w:pPr>
          </w:p>
        </w:tc>
        <w:tc>
          <w:tcPr>
            <w:tcW w:w="924" w:type="dxa"/>
            <w:vAlign w:val="top"/>
          </w:tcPr>
          <w:p>
            <w:pPr>
              <w:pStyle w:val="6"/>
              <w:spacing w:before="81" w:line="184" w:lineRule="auto"/>
              <w:ind w:left="281"/>
            </w:pPr>
            <w:r>
              <w:rPr>
                <w:spacing w:val="-2"/>
              </w:rPr>
              <w:t>0.08</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3" w:line="172" w:lineRule="auto"/>
              <w:ind w:left="383"/>
            </w:pPr>
            <w:r>
              <w:rPr>
                <w:spacing w:val="-2"/>
              </w:rPr>
              <w:t>0.08</w:t>
            </w:r>
          </w:p>
        </w:tc>
        <w:tc>
          <w:tcPr>
            <w:tcW w:w="104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restart"/>
            <w:tcBorders>
              <w:left w:val="nil"/>
              <w:bottom w:val="nil"/>
            </w:tcBorders>
            <w:vAlign w:val="top"/>
          </w:tcPr>
          <w:p>
            <w:pPr>
              <w:spacing w:before="185" w:line="220" w:lineRule="auto"/>
              <w:ind w:left="551"/>
              <w:rPr>
                <w:rFonts w:ascii="宋体" w:hAnsi="宋体" w:eastAsia="宋体" w:cs="宋体"/>
                <w:sz w:val="21"/>
                <w:szCs w:val="21"/>
              </w:rPr>
            </w:pPr>
            <w:r>
              <w:rPr>
                <w:rFonts w:ascii="宋体" w:hAnsi="宋体" w:eastAsia="宋体" w:cs="宋体"/>
                <w:spacing w:val="-4"/>
                <w:sz w:val="21"/>
                <w:szCs w:val="21"/>
              </w:rPr>
              <w:t>引洪工程区</w:t>
            </w:r>
          </w:p>
        </w:tc>
        <w:tc>
          <w:tcPr>
            <w:tcW w:w="3346" w:type="dxa"/>
            <w:vAlign w:val="top"/>
          </w:tcPr>
          <w:p>
            <w:pPr>
              <w:spacing w:before="43" w:line="196" w:lineRule="auto"/>
              <w:ind w:left="116"/>
              <w:rPr>
                <w:rFonts w:ascii="宋体" w:hAnsi="宋体" w:eastAsia="宋体" w:cs="宋体"/>
                <w:sz w:val="21"/>
                <w:szCs w:val="21"/>
              </w:rPr>
            </w:pPr>
            <w:r>
              <w:rPr>
                <w:rFonts w:ascii="宋体" w:hAnsi="宋体" w:eastAsia="宋体" w:cs="宋体"/>
                <w:spacing w:val="-2"/>
                <w:sz w:val="21"/>
                <w:szCs w:val="21"/>
              </w:rPr>
              <w:t>取水坝永久占地</w:t>
            </w:r>
          </w:p>
        </w:tc>
        <w:tc>
          <w:tcPr>
            <w:tcW w:w="733" w:type="dxa"/>
            <w:vAlign w:val="top"/>
          </w:tcPr>
          <w:p>
            <w:pPr>
              <w:pStyle w:val="6"/>
              <w:spacing w:before="81" w:line="183" w:lineRule="auto"/>
              <w:ind w:left="186"/>
            </w:pPr>
            <w:r>
              <w:rPr>
                <w:spacing w:val="-2"/>
              </w:rPr>
              <w:t>0.10</w:t>
            </w:r>
          </w:p>
        </w:tc>
        <w:tc>
          <w:tcPr>
            <w:tcW w:w="945" w:type="dxa"/>
            <w:vAlign w:val="top"/>
          </w:tcPr>
          <w:p>
            <w:pPr>
              <w:pStyle w:val="6"/>
              <w:spacing w:before="81" w:line="183" w:lineRule="auto"/>
              <w:ind w:left="293"/>
            </w:pPr>
            <w:r>
              <w:rPr>
                <w:spacing w:val="-2"/>
              </w:rPr>
              <w:t>0.23</w:t>
            </w:r>
          </w:p>
        </w:tc>
        <w:tc>
          <w:tcPr>
            <w:tcW w:w="924" w:type="dxa"/>
            <w:vAlign w:val="top"/>
          </w:tcPr>
          <w:p>
            <w:pPr>
              <w:pStyle w:val="6"/>
              <w:spacing w:before="81" w:line="183" w:lineRule="auto"/>
              <w:ind w:left="281"/>
            </w:pPr>
            <w:r>
              <w:rPr>
                <w:spacing w:val="-2"/>
              </w:rPr>
              <w:t>0.43</w:t>
            </w:r>
          </w:p>
        </w:tc>
        <w:tc>
          <w:tcPr>
            <w:tcW w:w="1115" w:type="dxa"/>
            <w:vAlign w:val="top"/>
          </w:tcPr>
          <w:p>
            <w:pPr>
              <w:pStyle w:val="6"/>
              <w:spacing w:before="81" w:line="183" w:lineRule="auto"/>
              <w:ind w:left="377"/>
            </w:pPr>
            <w:r>
              <w:rPr>
                <w:spacing w:val="-2"/>
              </w:rPr>
              <w:t>0.09</w:t>
            </w: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5" w:line="169" w:lineRule="auto"/>
              <w:ind w:left="383"/>
            </w:pPr>
            <w:r>
              <w:rPr>
                <w:spacing w:val="-2"/>
              </w:rPr>
              <w:t>0.85</w:t>
            </w:r>
          </w:p>
        </w:tc>
        <w:tc>
          <w:tcPr>
            <w:tcW w:w="1046" w:type="dxa"/>
            <w:vMerge w:val="restart"/>
            <w:tcBorders>
              <w:bottom w:val="nil"/>
              <w:right w:val="nil"/>
            </w:tcBorders>
            <w:vAlign w:val="top"/>
          </w:tcPr>
          <w:p>
            <w:pPr>
              <w:pStyle w:val="6"/>
              <w:spacing w:before="223" w:line="186" w:lineRule="auto"/>
              <w:ind w:left="340"/>
            </w:pPr>
            <w:r>
              <w:rPr>
                <w:spacing w:val="-1"/>
              </w:rPr>
              <w:t>2.07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tcBorders>
            <w:vAlign w:val="top"/>
          </w:tcPr>
          <w:p>
            <w:pPr>
              <w:rPr>
                <w:rFonts w:ascii="Arial"/>
                <w:sz w:val="21"/>
              </w:rPr>
            </w:pPr>
          </w:p>
        </w:tc>
        <w:tc>
          <w:tcPr>
            <w:tcW w:w="3346" w:type="dxa"/>
            <w:vAlign w:val="top"/>
          </w:tcPr>
          <w:p>
            <w:pPr>
              <w:spacing w:before="44" w:line="195" w:lineRule="auto"/>
              <w:ind w:left="129"/>
              <w:rPr>
                <w:rFonts w:ascii="宋体" w:hAnsi="宋体" w:eastAsia="宋体" w:cs="宋体"/>
                <w:sz w:val="21"/>
                <w:szCs w:val="21"/>
              </w:rPr>
            </w:pPr>
            <w:r>
              <w:rPr>
                <w:rFonts w:ascii="宋体" w:hAnsi="宋体" w:eastAsia="宋体" w:cs="宋体"/>
                <w:spacing w:val="-3"/>
                <w:sz w:val="21"/>
                <w:szCs w:val="21"/>
              </w:rPr>
              <w:t>引洪渠永久占地</w:t>
            </w:r>
          </w:p>
        </w:tc>
        <w:tc>
          <w:tcPr>
            <w:tcW w:w="733" w:type="dxa"/>
            <w:vAlign w:val="top"/>
          </w:tcPr>
          <w:p>
            <w:pPr>
              <w:rPr>
                <w:rFonts w:ascii="Arial"/>
                <w:sz w:val="21"/>
              </w:rPr>
            </w:pPr>
          </w:p>
        </w:tc>
        <w:tc>
          <w:tcPr>
            <w:tcW w:w="945" w:type="dxa"/>
            <w:vAlign w:val="top"/>
          </w:tcPr>
          <w:p>
            <w:pPr>
              <w:pStyle w:val="6"/>
              <w:spacing w:before="82" w:line="182" w:lineRule="auto"/>
              <w:ind w:left="293"/>
            </w:pPr>
            <w:r>
              <w:rPr>
                <w:spacing w:val="-2"/>
              </w:rPr>
              <w:t>0.25</w:t>
            </w:r>
          </w:p>
        </w:tc>
        <w:tc>
          <w:tcPr>
            <w:tcW w:w="924" w:type="dxa"/>
            <w:vAlign w:val="top"/>
          </w:tcPr>
          <w:p>
            <w:pPr>
              <w:pStyle w:val="6"/>
              <w:spacing w:before="82" w:line="182" w:lineRule="auto"/>
              <w:ind w:left="281"/>
            </w:pPr>
            <w:r>
              <w:rPr>
                <w:spacing w:val="-2"/>
              </w:rPr>
              <w:t>0.97</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6" w:line="168" w:lineRule="auto"/>
              <w:ind w:left="400"/>
            </w:pPr>
            <w:r>
              <w:rPr>
                <w:spacing w:val="-6"/>
              </w:rPr>
              <w:t>1.22</w:t>
            </w:r>
          </w:p>
        </w:tc>
        <w:tc>
          <w:tcPr>
            <w:tcW w:w="104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106" w:type="dxa"/>
            <w:vMerge w:val="restart"/>
            <w:tcBorders>
              <w:left w:val="nil"/>
              <w:bottom w:val="nil"/>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68" w:line="220" w:lineRule="auto"/>
              <w:ind w:left="535"/>
              <w:rPr>
                <w:rFonts w:ascii="宋体" w:hAnsi="宋体" w:eastAsia="宋体" w:cs="宋体"/>
                <w:sz w:val="21"/>
                <w:szCs w:val="21"/>
              </w:rPr>
            </w:pPr>
            <w:r>
              <w:rPr>
                <w:rFonts w:ascii="宋体" w:hAnsi="宋体" w:eastAsia="宋体" w:cs="宋体"/>
                <w:spacing w:val="-2"/>
                <w:sz w:val="21"/>
                <w:szCs w:val="21"/>
              </w:rPr>
              <w:t>输水工程区</w:t>
            </w:r>
          </w:p>
        </w:tc>
        <w:tc>
          <w:tcPr>
            <w:tcW w:w="3346" w:type="dxa"/>
            <w:vAlign w:val="top"/>
          </w:tcPr>
          <w:p>
            <w:pPr>
              <w:spacing w:before="46" w:line="194" w:lineRule="auto"/>
              <w:ind w:left="113"/>
              <w:rPr>
                <w:rFonts w:ascii="宋体" w:hAnsi="宋体" w:eastAsia="宋体" w:cs="宋体"/>
                <w:sz w:val="21"/>
                <w:szCs w:val="21"/>
              </w:rPr>
            </w:pPr>
            <w:r>
              <w:rPr>
                <w:rFonts w:ascii="宋体" w:hAnsi="宋体" w:eastAsia="宋体" w:cs="宋体"/>
                <w:spacing w:val="-1"/>
                <w:sz w:val="21"/>
                <w:szCs w:val="21"/>
              </w:rPr>
              <w:t>输水明渠永久占地</w:t>
            </w:r>
          </w:p>
        </w:tc>
        <w:tc>
          <w:tcPr>
            <w:tcW w:w="733" w:type="dxa"/>
            <w:vAlign w:val="top"/>
          </w:tcPr>
          <w:p>
            <w:pPr>
              <w:rPr>
                <w:rFonts w:ascii="Arial"/>
                <w:sz w:val="21"/>
              </w:rPr>
            </w:pPr>
          </w:p>
        </w:tc>
        <w:tc>
          <w:tcPr>
            <w:tcW w:w="945" w:type="dxa"/>
            <w:vAlign w:val="top"/>
          </w:tcPr>
          <w:p>
            <w:pPr>
              <w:pStyle w:val="6"/>
              <w:spacing w:before="83" w:line="182" w:lineRule="auto"/>
              <w:ind w:left="310"/>
            </w:pPr>
            <w:r>
              <w:rPr>
                <w:spacing w:val="-6"/>
              </w:rPr>
              <w:t>1.15</w:t>
            </w:r>
          </w:p>
        </w:tc>
        <w:tc>
          <w:tcPr>
            <w:tcW w:w="924" w:type="dxa"/>
            <w:vAlign w:val="top"/>
          </w:tcPr>
          <w:p>
            <w:pPr>
              <w:pStyle w:val="6"/>
              <w:spacing w:before="83" w:line="182" w:lineRule="auto"/>
              <w:ind w:left="246"/>
            </w:pPr>
            <w:r>
              <w:rPr>
                <w:spacing w:val="-5"/>
              </w:rPr>
              <w:t>10.89</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7" w:line="168" w:lineRule="auto"/>
              <w:ind w:left="348"/>
            </w:pPr>
            <w:r>
              <w:rPr>
                <w:spacing w:val="-5"/>
              </w:rPr>
              <w:t>12.04</w:t>
            </w:r>
          </w:p>
        </w:tc>
        <w:tc>
          <w:tcPr>
            <w:tcW w:w="1046" w:type="dxa"/>
            <w:vMerge w:val="restart"/>
            <w:tcBorders>
              <w:bottom w:val="nil"/>
              <w:right w:val="nil"/>
            </w:tcBorders>
            <w:vAlign w:val="top"/>
          </w:tcPr>
          <w:p>
            <w:pPr>
              <w:spacing w:line="292" w:lineRule="auto"/>
              <w:rPr>
                <w:rFonts w:ascii="Arial"/>
                <w:sz w:val="21"/>
              </w:rPr>
            </w:pPr>
          </w:p>
          <w:p>
            <w:pPr>
              <w:spacing w:line="293" w:lineRule="auto"/>
              <w:rPr>
                <w:rFonts w:ascii="Arial"/>
                <w:sz w:val="21"/>
              </w:rPr>
            </w:pPr>
          </w:p>
          <w:p>
            <w:pPr>
              <w:pStyle w:val="6"/>
              <w:spacing w:before="60" w:line="186" w:lineRule="auto"/>
              <w:ind w:left="308"/>
            </w:pPr>
            <w:r>
              <w:rPr>
                <w:spacing w:val="-5"/>
              </w:rPr>
              <w:t>14.97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bottom w:val="nil"/>
            </w:tcBorders>
            <w:vAlign w:val="top"/>
          </w:tcPr>
          <w:p>
            <w:pPr>
              <w:rPr>
                <w:rFonts w:ascii="Arial"/>
                <w:sz w:val="21"/>
              </w:rPr>
            </w:pPr>
          </w:p>
        </w:tc>
        <w:tc>
          <w:tcPr>
            <w:tcW w:w="3346" w:type="dxa"/>
            <w:vAlign w:val="top"/>
          </w:tcPr>
          <w:p>
            <w:pPr>
              <w:spacing w:before="46" w:line="193" w:lineRule="auto"/>
              <w:ind w:left="114"/>
              <w:rPr>
                <w:rFonts w:ascii="宋体" w:hAnsi="宋体" w:eastAsia="宋体" w:cs="宋体"/>
                <w:sz w:val="21"/>
                <w:szCs w:val="21"/>
              </w:rPr>
            </w:pPr>
            <w:r>
              <w:rPr>
                <w:rFonts w:ascii="宋体" w:hAnsi="宋体" w:eastAsia="宋体" w:cs="宋体"/>
                <w:spacing w:val="-2"/>
                <w:sz w:val="21"/>
                <w:szCs w:val="21"/>
              </w:rPr>
              <w:t>倒虹吸永久占地</w:t>
            </w:r>
          </w:p>
        </w:tc>
        <w:tc>
          <w:tcPr>
            <w:tcW w:w="733" w:type="dxa"/>
            <w:vAlign w:val="top"/>
          </w:tcPr>
          <w:p>
            <w:pPr>
              <w:pStyle w:val="6"/>
              <w:spacing w:before="84" w:line="180" w:lineRule="auto"/>
              <w:ind w:left="186"/>
            </w:pPr>
            <w:r>
              <w:rPr>
                <w:spacing w:val="-2"/>
              </w:rPr>
              <w:t>0.09</w:t>
            </w:r>
          </w:p>
        </w:tc>
        <w:tc>
          <w:tcPr>
            <w:tcW w:w="945" w:type="dxa"/>
            <w:vAlign w:val="top"/>
          </w:tcPr>
          <w:p>
            <w:pPr>
              <w:pStyle w:val="6"/>
              <w:spacing w:before="84" w:line="180" w:lineRule="auto"/>
              <w:ind w:left="293"/>
            </w:pPr>
            <w:r>
              <w:rPr>
                <w:spacing w:val="-2"/>
              </w:rPr>
              <w:t>0.40</w:t>
            </w:r>
          </w:p>
        </w:tc>
        <w:tc>
          <w:tcPr>
            <w:tcW w:w="924" w:type="dxa"/>
            <w:vAlign w:val="top"/>
          </w:tcPr>
          <w:p>
            <w:pPr>
              <w:pStyle w:val="6"/>
              <w:spacing w:before="84" w:line="180" w:lineRule="auto"/>
              <w:ind w:left="299"/>
            </w:pPr>
            <w:r>
              <w:rPr>
                <w:spacing w:val="-6"/>
              </w:rPr>
              <w:t>1.45</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8" w:line="166" w:lineRule="auto"/>
              <w:ind w:left="400"/>
            </w:pPr>
            <w:r>
              <w:rPr>
                <w:spacing w:val="-6"/>
              </w:rPr>
              <w:t>1.94</w:t>
            </w:r>
          </w:p>
        </w:tc>
        <w:tc>
          <w:tcPr>
            <w:tcW w:w="1046"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bottom w:val="nil"/>
            </w:tcBorders>
            <w:vAlign w:val="top"/>
          </w:tcPr>
          <w:p>
            <w:pPr>
              <w:rPr>
                <w:rFonts w:ascii="Arial"/>
                <w:sz w:val="21"/>
              </w:rPr>
            </w:pPr>
          </w:p>
        </w:tc>
        <w:tc>
          <w:tcPr>
            <w:tcW w:w="3346" w:type="dxa"/>
            <w:vAlign w:val="top"/>
          </w:tcPr>
          <w:p>
            <w:pPr>
              <w:spacing w:before="47" w:line="192" w:lineRule="auto"/>
              <w:ind w:left="114"/>
              <w:rPr>
                <w:rFonts w:ascii="宋体" w:hAnsi="宋体" w:eastAsia="宋体" w:cs="宋体"/>
                <w:sz w:val="21"/>
                <w:szCs w:val="21"/>
              </w:rPr>
            </w:pPr>
            <w:r>
              <w:rPr>
                <w:rFonts w:ascii="宋体" w:hAnsi="宋体" w:eastAsia="宋体" w:cs="宋体"/>
                <w:spacing w:val="-2"/>
                <w:sz w:val="21"/>
                <w:szCs w:val="21"/>
              </w:rPr>
              <w:t>渡槽永久占地</w:t>
            </w:r>
          </w:p>
        </w:tc>
        <w:tc>
          <w:tcPr>
            <w:tcW w:w="733" w:type="dxa"/>
            <w:vAlign w:val="top"/>
          </w:tcPr>
          <w:p>
            <w:pPr>
              <w:rPr>
                <w:rFonts w:ascii="Arial"/>
                <w:sz w:val="21"/>
              </w:rPr>
            </w:pPr>
          </w:p>
        </w:tc>
        <w:tc>
          <w:tcPr>
            <w:tcW w:w="945" w:type="dxa"/>
            <w:vAlign w:val="top"/>
          </w:tcPr>
          <w:p>
            <w:pPr>
              <w:rPr>
                <w:rFonts w:ascii="Arial"/>
                <w:sz w:val="21"/>
              </w:rPr>
            </w:pPr>
          </w:p>
        </w:tc>
        <w:tc>
          <w:tcPr>
            <w:tcW w:w="924" w:type="dxa"/>
            <w:vAlign w:val="top"/>
          </w:tcPr>
          <w:p>
            <w:pPr>
              <w:pStyle w:val="6"/>
              <w:spacing w:before="85" w:line="179" w:lineRule="auto"/>
              <w:ind w:left="282"/>
            </w:pPr>
            <w:r>
              <w:rPr>
                <w:spacing w:val="-2"/>
              </w:rPr>
              <w:t>0.04</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9" w:line="165" w:lineRule="auto"/>
              <w:ind w:left="383"/>
            </w:pPr>
            <w:r>
              <w:rPr>
                <w:spacing w:val="-2"/>
              </w:rPr>
              <w:t>0.04</w:t>
            </w:r>
          </w:p>
        </w:tc>
        <w:tc>
          <w:tcPr>
            <w:tcW w:w="1046"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bottom w:val="nil"/>
            </w:tcBorders>
            <w:vAlign w:val="top"/>
          </w:tcPr>
          <w:p>
            <w:pPr>
              <w:rPr>
                <w:rFonts w:ascii="Arial"/>
                <w:sz w:val="21"/>
              </w:rPr>
            </w:pPr>
          </w:p>
        </w:tc>
        <w:tc>
          <w:tcPr>
            <w:tcW w:w="3346" w:type="dxa"/>
            <w:vAlign w:val="top"/>
          </w:tcPr>
          <w:p>
            <w:pPr>
              <w:spacing w:before="48" w:line="191" w:lineRule="auto"/>
              <w:ind w:left="113"/>
              <w:rPr>
                <w:rFonts w:ascii="宋体" w:hAnsi="宋体" w:eastAsia="宋体" w:cs="宋体"/>
                <w:sz w:val="21"/>
                <w:szCs w:val="21"/>
              </w:rPr>
            </w:pPr>
            <w:r>
              <w:rPr>
                <w:rFonts w:ascii="宋体" w:hAnsi="宋体" w:eastAsia="宋体" w:cs="宋体"/>
                <w:spacing w:val="-1"/>
                <w:sz w:val="21"/>
                <w:szCs w:val="21"/>
              </w:rPr>
              <w:t>输水隧洞永久占地</w:t>
            </w:r>
          </w:p>
        </w:tc>
        <w:tc>
          <w:tcPr>
            <w:tcW w:w="733" w:type="dxa"/>
            <w:vAlign w:val="top"/>
          </w:tcPr>
          <w:p>
            <w:pPr>
              <w:pStyle w:val="6"/>
              <w:spacing w:before="86" w:line="178" w:lineRule="auto"/>
              <w:ind w:left="187"/>
            </w:pPr>
            <w:r>
              <w:rPr>
                <w:spacing w:val="-2"/>
              </w:rPr>
              <w:t>0.02</w:t>
            </w:r>
          </w:p>
        </w:tc>
        <w:tc>
          <w:tcPr>
            <w:tcW w:w="945" w:type="dxa"/>
            <w:vAlign w:val="top"/>
          </w:tcPr>
          <w:p>
            <w:pPr>
              <w:pStyle w:val="6"/>
              <w:spacing w:before="86" w:line="178" w:lineRule="auto"/>
              <w:ind w:left="293"/>
            </w:pPr>
            <w:r>
              <w:rPr>
                <w:spacing w:val="-2"/>
              </w:rPr>
              <w:t>0.32</w:t>
            </w:r>
          </w:p>
        </w:tc>
        <w:tc>
          <w:tcPr>
            <w:tcW w:w="924" w:type="dxa"/>
            <w:vAlign w:val="top"/>
          </w:tcPr>
          <w:p>
            <w:pPr>
              <w:pStyle w:val="6"/>
              <w:spacing w:before="86" w:line="178" w:lineRule="auto"/>
              <w:ind w:left="282"/>
            </w:pPr>
            <w:r>
              <w:rPr>
                <w:spacing w:val="-2"/>
              </w:rPr>
              <w:t>0.61</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100" w:line="164" w:lineRule="auto"/>
              <w:ind w:left="383"/>
            </w:pPr>
            <w:r>
              <w:rPr>
                <w:spacing w:val="-2"/>
              </w:rPr>
              <w:t>0.95</w:t>
            </w:r>
          </w:p>
        </w:tc>
        <w:tc>
          <w:tcPr>
            <w:tcW w:w="1046"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106" w:type="dxa"/>
            <w:vMerge w:val="continue"/>
            <w:tcBorders>
              <w:top w:val="nil"/>
              <w:left w:val="nil"/>
              <w:bottom w:val="nil"/>
            </w:tcBorders>
            <w:vAlign w:val="top"/>
          </w:tcPr>
          <w:p>
            <w:pPr>
              <w:rPr>
                <w:rFonts w:ascii="Arial"/>
                <w:sz w:val="21"/>
              </w:rPr>
            </w:pPr>
          </w:p>
        </w:tc>
        <w:tc>
          <w:tcPr>
            <w:tcW w:w="3346" w:type="dxa"/>
            <w:vAlign w:val="top"/>
          </w:tcPr>
          <w:p>
            <w:pPr>
              <w:spacing w:before="50" w:line="190" w:lineRule="auto"/>
              <w:ind w:left="113"/>
              <w:rPr>
                <w:rFonts w:ascii="宋体" w:hAnsi="宋体" w:eastAsia="宋体" w:cs="宋体"/>
                <w:sz w:val="21"/>
                <w:szCs w:val="21"/>
              </w:rPr>
            </w:pPr>
            <w:r>
              <w:rPr>
                <w:rFonts w:ascii="宋体" w:hAnsi="宋体" w:eastAsia="宋体" w:cs="宋体"/>
                <w:spacing w:val="-1"/>
                <w:sz w:val="21"/>
                <w:szCs w:val="21"/>
              </w:rPr>
              <w:t>输水管道永久占地</w:t>
            </w:r>
          </w:p>
        </w:tc>
        <w:tc>
          <w:tcPr>
            <w:tcW w:w="733" w:type="dxa"/>
            <w:vAlign w:val="top"/>
          </w:tcPr>
          <w:p>
            <w:pPr>
              <w:pStyle w:val="6"/>
              <w:spacing w:before="89" w:line="176" w:lineRule="auto"/>
              <w:ind w:left="186"/>
            </w:pPr>
            <w:r>
              <w:rPr>
                <w:spacing w:val="-2"/>
              </w:rPr>
              <w:t>0.60</w:t>
            </w:r>
          </w:p>
        </w:tc>
        <w:tc>
          <w:tcPr>
            <w:tcW w:w="945" w:type="dxa"/>
            <w:vAlign w:val="top"/>
          </w:tcPr>
          <w:p>
            <w:pPr>
              <w:pStyle w:val="6"/>
              <w:spacing w:before="89" w:line="176" w:lineRule="auto"/>
              <w:ind w:left="293"/>
            </w:pPr>
            <w:r>
              <w:rPr>
                <w:spacing w:val="-2"/>
              </w:rPr>
              <w:t>0.11</w:t>
            </w:r>
          </w:p>
        </w:tc>
        <w:tc>
          <w:tcPr>
            <w:tcW w:w="924" w:type="dxa"/>
            <w:vAlign w:val="top"/>
          </w:tcPr>
          <w:p>
            <w:pPr>
              <w:rPr>
                <w:rFonts w:ascii="Arial"/>
                <w:sz w:val="21"/>
              </w:rPr>
            </w:pP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101" w:line="164" w:lineRule="auto"/>
              <w:ind w:left="383"/>
            </w:pPr>
            <w:r>
              <w:rPr>
                <w:spacing w:val="-2"/>
              </w:rPr>
              <w:t>0.71</w:t>
            </w:r>
          </w:p>
        </w:tc>
        <w:tc>
          <w:tcPr>
            <w:tcW w:w="104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bottom w:val="nil"/>
            </w:tcBorders>
            <w:vAlign w:val="top"/>
          </w:tcPr>
          <w:p>
            <w:pPr>
              <w:rPr>
                <w:rFonts w:ascii="Arial"/>
                <w:sz w:val="21"/>
              </w:rPr>
            </w:pPr>
          </w:p>
        </w:tc>
        <w:tc>
          <w:tcPr>
            <w:tcW w:w="3346" w:type="dxa"/>
            <w:vAlign w:val="top"/>
          </w:tcPr>
          <w:p>
            <w:pPr>
              <w:spacing w:before="51" w:line="189" w:lineRule="auto"/>
              <w:ind w:left="114"/>
              <w:rPr>
                <w:rFonts w:ascii="宋体" w:hAnsi="宋体" w:eastAsia="宋体" w:cs="宋体"/>
                <w:sz w:val="21"/>
                <w:szCs w:val="21"/>
              </w:rPr>
            </w:pPr>
            <w:r>
              <w:rPr>
                <w:rFonts w:ascii="宋体" w:hAnsi="宋体" w:eastAsia="宋体" w:cs="宋体"/>
                <w:spacing w:val="-2"/>
                <w:sz w:val="21"/>
                <w:szCs w:val="21"/>
              </w:rPr>
              <w:t>渡槽临时占地</w:t>
            </w:r>
          </w:p>
        </w:tc>
        <w:tc>
          <w:tcPr>
            <w:tcW w:w="733" w:type="dxa"/>
            <w:vAlign w:val="top"/>
          </w:tcPr>
          <w:p>
            <w:pPr>
              <w:rPr>
                <w:rFonts w:ascii="Arial"/>
                <w:sz w:val="21"/>
              </w:rPr>
            </w:pPr>
          </w:p>
        </w:tc>
        <w:tc>
          <w:tcPr>
            <w:tcW w:w="945" w:type="dxa"/>
            <w:vAlign w:val="top"/>
          </w:tcPr>
          <w:p>
            <w:pPr>
              <w:rPr>
                <w:rFonts w:ascii="Arial"/>
                <w:sz w:val="21"/>
              </w:rPr>
            </w:pPr>
          </w:p>
        </w:tc>
        <w:tc>
          <w:tcPr>
            <w:tcW w:w="924" w:type="dxa"/>
            <w:vAlign w:val="top"/>
          </w:tcPr>
          <w:p>
            <w:pPr>
              <w:pStyle w:val="6"/>
              <w:spacing w:before="89" w:line="175" w:lineRule="auto"/>
              <w:ind w:left="281"/>
            </w:pPr>
            <w:r>
              <w:rPr>
                <w:spacing w:val="-2"/>
              </w:rPr>
              <w:t>0.03</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103" w:line="162" w:lineRule="auto"/>
              <w:ind w:left="383"/>
            </w:pPr>
            <w:r>
              <w:rPr>
                <w:spacing w:val="-2"/>
              </w:rPr>
              <w:t>0.03</w:t>
            </w:r>
          </w:p>
        </w:tc>
        <w:tc>
          <w:tcPr>
            <w:tcW w:w="1046" w:type="dxa"/>
            <w:vMerge w:val="restart"/>
            <w:tcBorders>
              <w:bottom w:val="nil"/>
              <w:right w:val="nil"/>
            </w:tcBorders>
            <w:vAlign w:val="top"/>
          </w:tcPr>
          <w:p>
            <w:pPr>
              <w:spacing w:line="309" w:lineRule="auto"/>
              <w:rPr>
                <w:rFonts w:ascii="Arial"/>
                <w:sz w:val="21"/>
              </w:rPr>
            </w:pPr>
          </w:p>
          <w:p>
            <w:pPr>
              <w:pStyle w:val="6"/>
              <w:spacing w:before="61" w:line="186" w:lineRule="auto"/>
              <w:ind w:left="360"/>
            </w:pPr>
            <w:r>
              <w:rPr>
                <w:spacing w:val="-6"/>
              </w:rPr>
              <w:t>1.48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bottom w:val="nil"/>
            </w:tcBorders>
            <w:vAlign w:val="top"/>
          </w:tcPr>
          <w:p>
            <w:pPr>
              <w:rPr>
                <w:rFonts w:ascii="Arial"/>
                <w:sz w:val="21"/>
              </w:rPr>
            </w:pPr>
          </w:p>
        </w:tc>
        <w:tc>
          <w:tcPr>
            <w:tcW w:w="3346" w:type="dxa"/>
            <w:vAlign w:val="top"/>
          </w:tcPr>
          <w:p>
            <w:pPr>
              <w:spacing w:before="52" w:line="188" w:lineRule="auto"/>
              <w:ind w:left="114"/>
              <w:rPr>
                <w:rFonts w:ascii="宋体" w:hAnsi="宋体" w:eastAsia="宋体" w:cs="宋体"/>
                <w:sz w:val="21"/>
                <w:szCs w:val="21"/>
              </w:rPr>
            </w:pPr>
            <w:r>
              <w:rPr>
                <w:rFonts w:ascii="宋体" w:hAnsi="宋体" w:eastAsia="宋体" w:cs="宋体"/>
                <w:spacing w:val="-2"/>
                <w:sz w:val="21"/>
                <w:szCs w:val="21"/>
              </w:rPr>
              <w:t>倒虹吸临时占地</w:t>
            </w:r>
          </w:p>
        </w:tc>
        <w:tc>
          <w:tcPr>
            <w:tcW w:w="733" w:type="dxa"/>
            <w:vAlign w:val="top"/>
          </w:tcPr>
          <w:p>
            <w:pPr>
              <w:pStyle w:val="6"/>
              <w:spacing w:before="90" w:line="174" w:lineRule="auto"/>
              <w:ind w:left="186"/>
            </w:pPr>
            <w:r>
              <w:rPr>
                <w:spacing w:val="-2"/>
              </w:rPr>
              <w:t>0.03</w:t>
            </w:r>
          </w:p>
        </w:tc>
        <w:tc>
          <w:tcPr>
            <w:tcW w:w="945" w:type="dxa"/>
            <w:vAlign w:val="top"/>
          </w:tcPr>
          <w:p>
            <w:pPr>
              <w:pStyle w:val="6"/>
              <w:spacing w:before="90" w:line="174" w:lineRule="auto"/>
              <w:ind w:left="293"/>
            </w:pPr>
            <w:r>
              <w:rPr>
                <w:spacing w:val="-2"/>
              </w:rPr>
              <w:t>0.11</w:t>
            </w:r>
          </w:p>
        </w:tc>
        <w:tc>
          <w:tcPr>
            <w:tcW w:w="924" w:type="dxa"/>
            <w:vAlign w:val="top"/>
          </w:tcPr>
          <w:p>
            <w:pPr>
              <w:pStyle w:val="6"/>
              <w:spacing w:before="90" w:line="174" w:lineRule="auto"/>
              <w:ind w:left="281"/>
            </w:pPr>
            <w:r>
              <w:rPr>
                <w:spacing w:val="-2"/>
              </w:rPr>
              <w:t>0.41</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104" w:line="161" w:lineRule="auto"/>
              <w:ind w:left="383"/>
            </w:pPr>
            <w:r>
              <w:rPr>
                <w:spacing w:val="-2"/>
              </w:rPr>
              <w:t>0.55</w:t>
            </w:r>
          </w:p>
        </w:tc>
        <w:tc>
          <w:tcPr>
            <w:tcW w:w="1046"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106" w:type="dxa"/>
            <w:vMerge w:val="continue"/>
            <w:tcBorders>
              <w:top w:val="nil"/>
              <w:left w:val="nil"/>
            </w:tcBorders>
            <w:vAlign w:val="top"/>
          </w:tcPr>
          <w:p>
            <w:pPr>
              <w:rPr>
                <w:rFonts w:ascii="Arial"/>
                <w:sz w:val="21"/>
              </w:rPr>
            </w:pPr>
          </w:p>
        </w:tc>
        <w:tc>
          <w:tcPr>
            <w:tcW w:w="3346" w:type="dxa"/>
            <w:vAlign w:val="top"/>
          </w:tcPr>
          <w:p>
            <w:pPr>
              <w:spacing w:before="54" w:line="187" w:lineRule="auto"/>
              <w:ind w:left="113"/>
              <w:rPr>
                <w:rFonts w:ascii="宋体" w:hAnsi="宋体" w:eastAsia="宋体" w:cs="宋体"/>
                <w:sz w:val="21"/>
                <w:szCs w:val="21"/>
              </w:rPr>
            </w:pPr>
            <w:r>
              <w:rPr>
                <w:rFonts w:ascii="宋体" w:hAnsi="宋体" w:eastAsia="宋体" w:cs="宋体"/>
                <w:spacing w:val="-1"/>
                <w:sz w:val="21"/>
                <w:szCs w:val="21"/>
              </w:rPr>
              <w:t>输水管道临时占地</w:t>
            </w:r>
          </w:p>
        </w:tc>
        <w:tc>
          <w:tcPr>
            <w:tcW w:w="733" w:type="dxa"/>
            <w:vAlign w:val="top"/>
          </w:tcPr>
          <w:p>
            <w:pPr>
              <w:pStyle w:val="6"/>
              <w:spacing w:before="91" w:line="174" w:lineRule="auto"/>
              <w:ind w:left="186"/>
            </w:pPr>
            <w:r>
              <w:rPr>
                <w:spacing w:val="-2"/>
              </w:rPr>
              <w:t>0.66</w:t>
            </w:r>
          </w:p>
        </w:tc>
        <w:tc>
          <w:tcPr>
            <w:tcW w:w="945" w:type="dxa"/>
            <w:vAlign w:val="top"/>
          </w:tcPr>
          <w:p>
            <w:pPr>
              <w:pStyle w:val="6"/>
              <w:spacing w:before="91" w:line="174" w:lineRule="auto"/>
              <w:ind w:left="293"/>
            </w:pPr>
            <w:r>
              <w:rPr>
                <w:spacing w:val="-2"/>
              </w:rPr>
              <w:t>0.13</w:t>
            </w:r>
          </w:p>
        </w:tc>
        <w:tc>
          <w:tcPr>
            <w:tcW w:w="924" w:type="dxa"/>
            <w:vAlign w:val="top"/>
          </w:tcPr>
          <w:p>
            <w:pPr>
              <w:pStyle w:val="6"/>
              <w:spacing w:before="91" w:line="174" w:lineRule="auto"/>
              <w:ind w:left="281"/>
            </w:pPr>
            <w:r>
              <w:rPr>
                <w:spacing w:val="-2"/>
              </w:rPr>
              <w:t>0.08</w:t>
            </w:r>
          </w:p>
        </w:tc>
        <w:tc>
          <w:tcPr>
            <w:tcW w:w="1115" w:type="dxa"/>
            <w:vAlign w:val="top"/>
          </w:tcPr>
          <w:p>
            <w:pPr>
              <w:rPr>
                <w:rFonts w:ascii="Arial"/>
                <w:sz w:val="21"/>
              </w:rPr>
            </w:pPr>
          </w:p>
        </w:tc>
        <w:tc>
          <w:tcPr>
            <w:tcW w:w="860" w:type="dxa"/>
            <w:vAlign w:val="top"/>
          </w:tcPr>
          <w:p>
            <w:pPr>
              <w:pStyle w:val="6"/>
              <w:spacing w:before="91" w:line="174" w:lineRule="auto"/>
              <w:ind w:left="250"/>
            </w:pPr>
            <w:r>
              <w:rPr>
                <w:spacing w:val="-2"/>
              </w:rPr>
              <w:t>0.03</w:t>
            </w: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105" w:line="161" w:lineRule="auto"/>
              <w:ind w:left="435"/>
            </w:pPr>
            <w:r>
              <w:rPr>
                <w:spacing w:val="-3"/>
              </w:rPr>
              <w:t>0.9</w:t>
            </w:r>
          </w:p>
        </w:tc>
        <w:tc>
          <w:tcPr>
            <w:tcW w:w="104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restart"/>
            <w:tcBorders>
              <w:left w:val="nil"/>
              <w:bottom w:val="nil"/>
            </w:tcBorders>
            <w:vAlign w:val="top"/>
          </w:tcPr>
          <w:p>
            <w:pPr>
              <w:spacing w:line="266" w:lineRule="auto"/>
              <w:rPr>
                <w:rFonts w:ascii="Arial"/>
                <w:sz w:val="21"/>
              </w:rPr>
            </w:pPr>
          </w:p>
          <w:p>
            <w:pPr>
              <w:spacing w:before="69" w:line="220" w:lineRule="auto"/>
              <w:ind w:left="746"/>
              <w:rPr>
                <w:rFonts w:ascii="宋体" w:hAnsi="宋体" w:eastAsia="宋体" w:cs="宋体"/>
                <w:sz w:val="21"/>
                <w:szCs w:val="21"/>
              </w:rPr>
            </w:pPr>
            <w:r>
              <w:rPr>
                <w:rFonts w:ascii="宋体" w:hAnsi="宋体" w:eastAsia="宋体" w:cs="宋体"/>
                <w:spacing w:val="-2"/>
                <w:sz w:val="21"/>
                <w:szCs w:val="21"/>
              </w:rPr>
              <w:t>料场区</w:t>
            </w:r>
          </w:p>
        </w:tc>
        <w:tc>
          <w:tcPr>
            <w:tcW w:w="3346" w:type="dxa"/>
            <w:vAlign w:val="top"/>
          </w:tcPr>
          <w:p>
            <w:pPr>
              <w:spacing w:before="54" w:line="186" w:lineRule="auto"/>
              <w:ind w:left="114"/>
              <w:rPr>
                <w:rFonts w:ascii="宋体" w:hAnsi="宋体" w:eastAsia="宋体" w:cs="宋体"/>
                <w:sz w:val="21"/>
                <w:szCs w:val="21"/>
              </w:rPr>
            </w:pPr>
            <w:r>
              <w:rPr>
                <w:rFonts w:ascii="宋体" w:hAnsi="宋体" w:eastAsia="宋体" w:cs="宋体"/>
                <w:spacing w:val="-2"/>
                <w:sz w:val="21"/>
                <w:szCs w:val="21"/>
              </w:rPr>
              <w:t>粘土料场</w:t>
            </w:r>
          </w:p>
        </w:tc>
        <w:tc>
          <w:tcPr>
            <w:tcW w:w="733" w:type="dxa"/>
            <w:vAlign w:val="top"/>
          </w:tcPr>
          <w:p>
            <w:pPr>
              <w:rPr>
                <w:rFonts w:ascii="Arial"/>
                <w:sz w:val="21"/>
              </w:rPr>
            </w:pPr>
          </w:p>
        </w:tc>
        <w:tc>
          <w:tcPr>
            <w:tcW w:w="945" w:type="dxa"/>
            <w:vAlign w:val="top"/>
          </w:tcPr>
          <w:p>
            <w:pPr>
              <w:pStyle w:val="6"/>
              <w:spacing w:before="92" w:line="172" w:lineRule="auto"/>
              <w:ind w:left="298"/>
            </w:pPr>
            <w:r>
              <w:rPr>
                <w:spacing w:val="-4"/>
              </w:rPr>
              <w:t>8.14</w:t>
            </w:r>
          </w:p>
        </w:tc>
        <w:tc>
          <w:tcPr>
            <w:tcW w:w="924" w:type="dxa"/>
            <w:vAlign w:val="top"/>
          </w:tcPr>
          <w:p>
            <w:pPr>
              <w:pStyle w:val="6"/>
              <w:spacing w:before="92" w:line="172" w:lineRule="auto"/>
              <w:ind w:left="283"/>
            </w:pPr>
            <w:r>
              <w:rPr>
                <w:spacing w:val="-3"/>
              </w:rPr>
              <w:t>6.43</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pStyle w:val="6"/>
              <w:spacing w:before="92" w:line="172" w:lineRule="auto"/>
              <w:ind w:left="268"/>
            </w:pPr>
            <w:r>
              <w:rPr>
                <w:spacing w:val="-1"/>
              </w:rPr>
              <w:t>4.15</w:t>
            </w:r>
          </w:p>
        </w:tc>
        <w:tc>
          <w:tcPr>
            <w:tcW w:w="1124" w:type="dxa"/>
            <w:vAlign w:val="top"/>
          </w:tcPr>
          <w:p>
            <w:pPr>
              <w:pStyle w:val="6"/>
              <w:spacing w:before="107" w:line="158" w:lineRule="auto"/>
              <w:ind w:left="348"/>
            </w:pPr>
            <w:r>
              <w:rPr>
                <w:spacing w:val="-5"/>
              </w:rPr>
              <w:t>18.72</w:t>
            </w:r>
          </w:p>
        </w:tc>
        <w:tc>
          <w:tcPr>
            <w:tcW w:w="1046" w:type="dxa"/>
            <w:vMerge w:val="restart"/>
            <w:tcBorders>
              <w:bottom w:val="nil"/>
              <w:right w:val="nil"/>
            </w:tcBorders>
            <w:vAlign w:val="top"/>
          </w:tcPr>
          <w:p>
            <w:pPr>
              <w:spacing w:line="312" w:lineRule="auto"/>
              <w:rPr>
                <w:rFonts w:ascii="Arial"/>
                <w:sz w:val="21"/>
              </w:rPr>
            </w:pPr>
          </w:p>
          <w:p>
            <w:pPr>
              <w:pStyle w:val="6"/>
              <w:spacing w:before="61" w:line="186" w:lineRule="auto"/>
              <w:ind w:left="287"/>
            </w:pPr>
            <w:r>
              <w:rPr>
                <w:spacing w:val="-1"/>
              </w:rPr>
              <w:t>26.82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bottom w:val="nil"/>
            </w:tcBorders>
            <w:vAlign w:val="top"/>
          </w:tcPr>
          <w:p>
            <w:pPr>
              <w:rPr>
                <w:rFonts w:ascii="Arial"/>
                <w:sz w:val="21"/>
              </w:rPr>
            </w:pPr>
          </w:p>
        </w:tc>
        <w:tc>
          <w:tcPr>
            <w:tcW w:w="3346" w:type="dxa"/>
            <w:vAlign w:val="top"/>
          </w:tcPr>
          <w:p>
            <w:pPr>
              <w:spacing w:before="55" w:line="185" w:lineRule="auto"/>
              <w:ind w:left="114"/>
              <w:rPr>
                <w:rFonts w:ascii="宋体" w:hAnsi="宋体" w:eastAsia="宋体" w:cs="宋体"/>
                <w:sz w:val="21"/>
                <w:szCs w:val="21"/>
              </w:rPr>
            </w:pPr>
            <w:r>
              <w:rPr>
                <w:rFonts w:ascii="宋体" w:hAnsi="宋体" w:eastAsia="宋体" w:cs="宋体"/>
                <w:spacing w:val="-2"/>
                <w:sz w:val="21"/>
                <w:szCs w:val="21"/>
              </w:rPr>
              <w:t>风化料场</w:t>
            </w:r>
          </w:p>
        </w:tc>
        <w:tc>
          <w:tcPr>
            <w:tcW w:w="733" w:type="dxa"/>
            <w:vAlign w:val="top"/>
          </w:tcPr>
          <w:p>
            <w:pPr>
              <w:rPr>
                <w:rFonts w:ascii="Arial"/>
                <w:sz w:val="21"/>
              </w:rPr>
            </w:pPr>
          </w:p>
        </w:tc>
        <w:tc>
          <w:tcPr>
            <w:tcW w:w="945" w:type="dxa"/>
            <w:vAlign w:val="top"/>
          </w:tcPr>
          <w:p>
            <w:pPr>
              <w:pStyle w:val="6"/>
              <w:spacing w:before="93" w:line="171" w:lineRule="auto"/>
              <w:ind w:left="310"/>
            </w:pPr>
            <w:r>
              <w:rPr>
                <w:spacing w:val="-6"/>
              </w:rPr>
              <w:t>1.56</w:t>
            </w:r>
          </w:p>
        </w:tc>
        <w:tc>
          <w:tcPr>
            <w:tcW w:w="924" w:type="dxa"/>
            <w:vAlign w:val="top"/>
          </w:tcPr>
          <w:p>
            <w:pPr>
              <w:pStyle w:val="6"/>
              <w:spacing w:before="93" w:line="171" w:lineRule="auto"/>
              <w:ind w:left="279"/>
            </w:pPr>
            <w:r>
              <w:rPr>
                <w:spacing w:val="-1"/>
              </w:rPr>
              <w:t>2.33</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108" w:line="157" w:lineRule="auto"/>
              <w:ind w:left="384"/>
            </w:pPr>
            <w:r>
              <w:rPr>
                <w:spacing w:val="-2"/>
              </w:rPr>
              <w:t>3.89</w:t>
            </w:r>
          </w:p>
        </w:tc>
        <w:tc>
          <w:tcPr>
            <w:tcW w:w="1046"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tcBorders>
            <w:vAlign w:val="top"/>
          </w:tcPr>
          <w:p>
            <w:pPr>
              <w:rPr>
                <w:rFonts w:ascii="Arial"/>
                <w:sz w:val="21"/>
              </w:rPr>
            </w:pPr>
          </w:p>
        </w:tc>
        <w:tc>
          <w:tcPr>
            <w:tcW w:w="3346" w:type="dxa"/>
            <w:vAlign w:val="top"/>
          </w:tcPr>
          <w:p>
            <w:pPr>
              <w:spacing w:before="56" w:line="184" w:lineRule="auto"/>
              <w:ind w:left="114"/>
              <w:rPr>
                <w:rFonts w:ascii="宋体" w:hAnsi="宋体" w:eastAsia="宋体" w:cs="宋体"/>
                <w:sz w:val="21"/>
                <w:szCs w:val="21"/>
              </w:rPr>
            </w:pPr>
            <w:r>
              <w:rPr>
                <w:rFonts w:ascii="宋体" w:hAnsi="宋体" w:eastAsia="宋体" w:cs="宋体"/>
                <w:spacing w:val="-2"/>
                <w:sz w:val="21"/>
                <w:szCs w:val="21"/>
              </w:rPr>
              <w:t>块石料场</w:t>
            </w:r>
          </w:p>
        </w:tc>
        <w:tc>
          <w:tcPr>
            <w:tcW w:w="733" w:type="dxa"/>
            <w:vAlign w:val="top"/>
          </w:tcPr>
          <w:p>
            <w:pPr>
              <w:rPr>
                <w:rFonts w:ascii="Arial"/>
                <w:sz w:val="21"/>
              </w:rPr>
            </w:pPr>
          </w:p>
        </w:tc>
        <w:tc>
          <w:tcPr>
            <w:tcW w:w="945" w:type="dxa"/>
            <w:vAlign w:val="top"/>
          </w:tcPr>
          <w:p>
            <w:pPr>
              <w:pStyle w:val="6"/>
              <w:spacing w:before="94" w:line="170" w:lineRule="auto"/>
              <w:ind w:left="310"/>
            </w:pPr>
            <w:r>
              <w:rPr>
                <w:spacing w:val="-6"/>
              </w:rPr>
              <w:t>1.88</w:t>
            </w:r>
          </w:p>
        </w:tc>
        <w:tc>
          <w:tcPr>
            <w:tcW w:w="924" w:type="dxa"/>
            <w:vAlign w:val="top"/>
          </w:tcPr>
          <w:p>
            <w:pPr>
              <w:pStyle w:val="6"/>
              <w:spacing w:before="94" w:line="170" w:lineRule="auto"/>
              <w:ind w:left="277"/>
            </w:pPr>
            <w:r>
              <w:rPr>
                <w:spacing w:val="-1"/>
              </w:rPr>
              <w:t>2.33</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108" w:line="158" w:lineRule="exact"/>
              <w:ind w:left="379"/>
            </w:pPr>
            <w:r>
              <w:rPr>
                <w:spacing w:val="-1"/>
                <w:position w:val="-2"/>
              </w:rPr>
              <w:t>4.21</w:t>
            </w:r>
          </w:p>
        </w:tc>
        <w:tc>
          <w:tcPr>
            <w:tcW w:w="1046"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106" w:type="dxa"/>
            <w:vMerge w:val="restart"/>
            <w:tcBorders>
              <w:left w:val="nil"/>
              <w:bottom w:val="nil"/>
            </w:tcBorders>
            <w:vAlign w:val="top"/>
          </w:tcPr>
          <w:p>
            <w:pPr>
              <w:spacing w:line="270" w:lineRule="auto"/>
              <w:rPr>
                <w:rFonts w:ascii="Arial"/>
                <w:sz w:val="21"/>
              </w:rPr>
            </w:pPr>
          </w:p>
          <w:p>
            <w:pPr>
              <w:spacing w:before="68" w:line="220" w:lineRule="auto"/>
              <w:ind w:left="540"/>
              <w:rPr>
                <w:rFonts w:ascii="宋体" w:hAnsi="宋体" w:eastAsia="宋体" w:cs="宋体"/>
                <w:sz w:val="21"/>
                <w:szCs w:val="21"/>
              </w:rPr>
            </w:pPr>
            <w:r>
              <w:rPr>
                <w:rFonts w:ascii="宋体" w:hAnsi="宋体" w:eastAsia="宋体" w:cs="宋体"/>
                <w:spacing w:val="-2"/>
                <w:sz w:val="21"/>
                <w:szCs w:val="21"/>
              </w:rPr>
              <w:t>交通道路区</w:t>
            </w:r>
          </w:p>
        </w:tc>
        <w:tc>
          <w:tcPr>
            <w:tcW w:w="3346" w:type="dxa"/>
            <w:vAlign w:val="top"/>
          </w:tcPr>
          <w:p>
            <w:pPr>
              <w:spacing w:before="58" w:line="183" w:lineRule="auto"/>
              <w:ind w:left="115"/>
              <w:rPr>
                <w:rFonts w:ascii="宋体" w:hAnsi="宋体" w:eastAsia="宋体" w:cs="宋体"/>
                <w:sz w:val="21"/>
                <w:szCs w:val="21"/>
              </w:rPr>
            </w:pPr>
            <w:r>
              <w:rPr>
                <w:rFonts w:ascii="宋体" w:hAnsi="宋体" w:eastAsia="宋体" w:cs="宋体"/>
                <w:spacing w:val="-2"/>
                <w:sz w:val="21"/>
                <w:szCs w:val="21"/>
              </w:rPr>
              <w:t>永久道路</w:t>
            </w:r>
          </w:p>
        </w:tc>
        <w:tc>
          <w:tcPr>
            <w:tcW w:w="733" w:type="dxa"/>
            <w:vAlign w:val="top"/>
          </w:tcPr>
          <w:p>
            <w:pPr>
              <w:rPr>
                <w:rFonts w:ascii="Arial"/>
                <w:sz w:val="21"/>
              </w:rPr>
            </w:pPr>
          </w:p>
        </w:tc>
        <w:tc>
          <w:tcPr>
            <w:tcW w:w="945" w:type="dxa"/>
            <w:vAlign w:val="top"/>
          </w:tcPr>
          <w:p>
            <w:pPr>
              <w:pStyle w:val="6"/>
              <w:spacing w:before="96" w:line="169" w:lineRule="auto"/>
              <w:ind w:left="310"/>
            </w:pPr>
            <w:r>
              <w:rPr>
                <w:spacing w:val="-6"/>
              </w:rPr>
              <w:t>1.43</w:t>
            </w:r>
          </w:p>
        </w:tc>
        <w:tc>
          <w:tcPr>
            <w:tcW w:w="924" w:type="dxa"/>
            <w:vAlign w:val="top"/>
          </w:tcPr>
          <w:p>
            <w:pPr>
              <w:pStyle w:val="6"/>
              <w:spacing w:before="96" w:line="169" w:lineRule="auto"/>
              <w:ind w:left="282"/>
            </w:pPr>
            <w:r>
              <w:rPr>
                <w:spacing w:val="-2"/>
              </w:rPr>
              <w:t>7.06</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pStyle w:val="6"/>
              <w:spacing w:before="96" w:line="169" w:lineRule="auto"/>
              <w:ind w:left="287"/>
            </w:pPr>
            <w:r>
              <w:rPr>
                <w:spacing w:val="-7"/>
              </w:rPr>
              <w:t>1.84</w:t>
            </w:r>
          </w:p>
        </w:tc>
        <w:tc>
          <w:tcPr>
            <w:tcW w:w="902" w:type="dxa"/>
            <w:vAlign w:val="top"/>
          </w:tcPr>
          <w:p>
            <w:pPr>
              <w:rPr>
                <w:rFonts w:ascii="Arial"/>
                <w:sz w:val="21"/>
              </w:rPr>
            </w:pPr>
          </w:p>
        </w:tc>
        <w:tc>
          <w:tcPr>
            <w:tcW w:w="1124" w:type="dxa"/>
            <w:vAlign w:val="top"/>
          </w:tcPr>
          <w:p>
            <w:pPr>
              <w:pStyle w:val="6"/>
              <w:spacing w:before="109" w:line="157" w:lineRule="exact"/>
              <w:ind w:left="348"/>
            </w:pPr>
            <w:r>
              <w:rPr>
                <w:spacing w:val="-5"/>
                <w:position w:val="-2"/>
              </w:rPr>
              <w:t>10.33</w:t>
            </w:r>
          </w:p>
        </w:tc>
        <w:tc>
          <w:tcPr>
            <w:tcW w:w="1046" w:type="dxa"/>
            <w:tcBorders>
              <w:right w:val="nil"/>
            </w:tcBorders>
            <w:vAlign w:val="top"/>
          </w:tcPr>
          <w:p>
            <w:pPr>
              <w:pStyle w:val="6"/>
              <w:spacing w:before="96" w:line="169" w:lineRule="auto"/>
              <w:ind w:left="308"/>
            </w:pPr>
            <w:r>
              <w:rPr>
                <w:spacing w:val="-5"/>
              </w:rPr>
              <w:t>10.33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06" w:type="dxa"/>
            <w:vMerge w:val="continue"/>
            <w:tcBorders>
              <w:top w:val="nil"/>
              <w:left w:val="nil"/>
              <w:bottom w:val="nil"/>
            </w:tcBorders>
            <w:vAlign w:val="top"/>
          </w:tcPr>
          <w:p>
            <w:pPr>
              <w:rPr>
                <w:rFonts w:ascii="Arial"/>
                <w:sz w:val="21"/>
              </w:rPr>
            </w:pPr>
          </w:p>
        </w:tc>
        <w:tc>
          <w:tcPr>
            <w:tcW w:w="3346" w:type="dxa"/>
            <w:vAlign w:val="top"/>
          </w:tcPr>
          <w:p>
            <w:pPr>
              <w:spacing w:before="58" w:line="182" w:lineRule="auto"/>
              <w:ind w:left="113"/>
              <w:rPr>
                <w:rFonts w:ascii="宋体" w:hAnsi="宋体" w:eastAsia="宋体" w:cs="宋体"/>
                <w:sz w:val="21"/>
                <w:szCs w:val="21"/>
              </w:rPr>
            </w:pPr>
            <w:r>
              <w:rPr>
                <w:rFonts w:ascii="宋体" w:hAnsi="宋体" w:eastAsia="宋体" w:cs="宋体"/>
                <w:spacing w:val="-1"/>
                <w:sz w:val="21"/>
                <w:szCs w:val="21"/>
              </w:rPr>
              <w:t>枢纽区施工临时道路</w:t>
            </w:r>
          </w:p>
        </w:tc>
        <w:tc>
          <w:tcPr>
            <w:tcW w:w="733" w:type="dxa"/>
            <w:vAlign w:val="top"/>
          </w:tcPr>
          <w:p>
            <w:pPr>
              <w:rPr>
                <w:rFonts w:ascii="Arial"/>
                <w:sz w:val="21"/>
              </w:rPr>
            </w:pPr>
          </w:p>
        </w:tc>
        <w:tc>
          <w:tcPr>
            <w:tcW w:w="945" w:type="dxa"/>
            <w:vAlign w:val="top"/>
          </w:tcPr>
          <w:p>
            <w:pPr>
              <w:pStyle w:val="6"/>
              <w:spacing w:before="96" w:line="168" w:lineRule="auto"/>
              <w:ind w:left="294"/>
            </w:pPr>
            <w:r>
              <w:rPr>
                <w:spacing w:val="-2"/>
              </w:rPr>
              <w:t>3.16</w:t>
            </w:r>
          </w:p>
        </w:tc>
        <w:tc>
          <w:tcPr>
            <w:tcW w:w="924" w:type="dxa"/>
            <w:vAlign w:val="top"/>
          </w:tcPr>
          <w:p>
            <w:pPr>
              <w:pStyle w:val="6"/>
              <w:spacing w:before="96" w:line="168" w:lineRule="auto"/>
              <w:ind w:left="299"/>
            </w:pPr>
            <w:r>
              <w:rPr>
                <w:spacing w:val="-6"/>
              </w:rPr>
              <w:t>1.81</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pStyle w:val="6"/>
              <w:spacing w:before="96" w:line="168" w:lineRule="auto"/>
              <w:ind w:left="269"/>
            </w:pPr>
            <w:r>
              <w:rPr>
                <w:spacing w:val="-1"/>
              </w:rPr>
              <w:t>2.01</w:t>
            </w:r>
          </w:p>
        </w:tc>
        <w:tc>
          <w:tcPr>
            <w:tcW w:w="1124" w:type="dxa"/>
            <w:vAlign w:val="top"/>
          </w:tcPr>
          <w:p>
            <w:pPr>
              <w:pStyle w:val="6"/>
              <w:spacing w:before="110" w:line="156" w:lineRule="exact"/>
              <w:ind w:left="385"/>
            </w:pPr>
            <w:r>
              <w:rPr>
                <w:spacing w:val="-3"/>
                <w:position w:val="-2"/>
              </w:rPr>
              <w:t>6.98</w:t>
            </w:r>
          </w:p>
        </w:tc>
        <w:tc>
          <w:tcPr>
            <w:tcW w:w="1046" w:type="dxa"/>
            <w:vMerge w:val="restart"/>
            <w:tcBorders>
              <w:bottom w:val="nil"/>
              <w:right w:val="nil"/>
            </w:tcBorders>
            <w:vAlign w:val="top"/>
          </w:tcPr>
          <w:p>
            <w:pPr>
              <w:pStyle w:val="6"/>
              <w:spacing w:before="238" w:line="186" w:lineRule="auto"/>
              <w:ind w:left="287"/>
            </w:pPr>
            <w:r>
              <w:rPr>
                <w:spacing w:val="-1"/>
              </w:rPr>
              <w:t>25.26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1" w:hRule="atLeast"/>
        </w:trPr>
        <w:tc>
          <w:tcPr>
            <w:tcW w:w="2106" w:type="dxa"/>
            <w:vMerge w:val="continue"/>
            <w:tcBorders>
              <w:top w:val="nil"/>
              <w:left w:val="nil"/>
              <w:bottom w:val="single" w:color="000000" w:sz="12" w:space="0"/>
            </w:tcBorders>
            <w:vAlign w:val="top"/>
          </w:tcPr>
          <w:p>
            <w:pPr>
              <w:rPr>
                <w:rFonts w:ascii="Arial"/>
                <w:sz w:val="21"/>
              </w:rPr>
            </w:pPr>
          </w:p>
        </w:tc>
        <w:tc>
          <w:tcPr>
            <w:tcW w:w="3346" w:type="dxa"/>
            <w:tcBorders>
              <w:bottom w:val="single" w:color="000000" w:sz="12" w:space="0"/>
            </w:tcBorders>
            <w:vAlign w:val="top"/>
          </w:tcPr>
          <w:p>
            <w:pPr>
              <w:spacing w:before="60" w:line="203" w:lineRule="auto"/>
              <w:ind w:left="129"/>
              <w:rPr>
                <w:rFonts w:ascii="宋体" w:hAnsi="宋体" w:eastAsia="宋体" w:cs="宋体"/>
                <w:sz w:val="21"/>
                <w:szCs w:val="21"/>
              </w:rPr>
            </w:pPr>
            <w:r>
              <w:rPr>
                <w:rFonts w:ascii="宋体" w:hAnsi="宋体" w:eastAsia="宋体" w:cs="宋体"/>
                <w:spacing w:val="-2"/>
                <w:sz w:val="21"/>
                <w:szCs w:val="21"/>
              </w:rPr>
              <w:t>引水工程区施工临时道路</w:t>
            </w:r>
          </w:p>
        </w:tc>
        <w:tc>
          <w:tcPr>
            <w:tcW w:w="733" w:type="dxa"/>
            <w:tcBorders>
              <w:bottom w:val="single" w:color="000000" w:sz="12" w:space="0"/>
            </w:tcBorders>
            <w:vAlign w:val="top"/>
          </w:tcPr>
          <w:p>
            <w:pPr>
              <w:rPr>
                <w:rFonts w:ascii="Arial"/>
                <w:sz w:val="21"/>
              </w:rPr>
            </w:pPr>
          </w:p>
        </w:tc>
        <w:tc>
          <w:tcPr>
            <w:tcW w:w="945" w:type="dxa"/>
            <w:tcBorders>
              <w:bottom w:val="single" w:color="000000" w:sz="12" w:space="0"/>
            </w:tcBorders>
            <w:vAlign w:val="top"/>
          </w:tcPr>
          <w:p>
            <w:pPr>
              <w:pStyle w:val="6"/>
              <w:spacing w:before="98" w:line="186" w:lineRule="auto"/>
              <w:ind w:left="310"/>
            </w:pPr>
            <w:r>
              <w:rPr>
                <w:spacing w:val="-6"/>
              </w:rPr>
              <w:t>1.62</w:t>
            </w:r>
          </w:p>
        </w:tc>
        <w:tc>
          <w:tcPr>
            <w:tcW w:w="924" w:type="dxa"/>
            <w:tcBorders>
              <w:bottom w:val="single" w:color="000000" w:sz="12" w:space="0"/>
            </w:tcBorders>
            <w:vAlign w:val="top"/>
          </w:tcPr>
          <w:p>
            <w:pPr>
              <w:pStyle w:val="6"/>
              <w:spacing w:before="98" w:line="186" w:lineRule="auto"/>
              <w:ind w:left="299"/>
            </w:pPr>
            <w:r>
              <w:rPr>
                <w:spacing w:val="-6"/>
              </w:rPr>
              <w:t>1.58</w:t>
            </w:r>
          </w:p>
        </w:tc>
        <w:tc>
          <w:tcPr>
            <w:tcW w:w="1115" w:type="dxa"/>
            <w:tcBorders>
              <w:bottom w:val="single" w:color="000000" w:sz="12" w:space="0"/>
            </w:tcBorders>
            <w:vAlign w:val="top"/>
          </w:tcPr>
          <w:p>
            <w:pPr>
              <w:rPr>
                <w:rFonts w:ascii="Arial"/>
                <w:sz w:val="21"/>
              </w:rPr>
            </w:pPr>
          </w:p>
        </w:tc>
        <w:tc>
          <w:tcPr>
            <w:tcW w:w="860" w:type="dxa"/>
            <w:tcBorders>
              <w:bottom w:val="single" w:color="000000" w:sz="12" w:space="0"/>
            </w:tcBorders>
            <w:vAlign w:val="top"/>
          </w:tcPr>
          <w:p>
            <w:pPr>
              <w:rPr>
                <w:rFonts w:ascii="Arial"/>
                <w:sz w:val="21"/>
              </w:rPr>
            </w:pPr>
          </w:p>
        </w:tc>
        <w:tc>
          <w:tcPr>
            <w:tcW w:w="901" w:type="dxa"/>
            <w:tcBorders>
              <w:bottom w:val="single" w:color="000000" w:sz="12" w:space="0"/>
            </w:tcBorders>
            <w:vAlign w:val="top"/>
          </w:tcPr>
          <w:p>
            <w:pPr>
              <w:rPr>
                <w:rFonts w:ascii="Arial"/>
                <w:sz w:val="21"/>
              </w:rPr>
            </w:pPr>
          </w:p>
        </w:tc>
        <w:tc>
          <w:tcPr>
            <w:tcW w:w="902" w:type="dxa"/>
            <w:tcBorders>
              <w:bottom w:val="single" w:color="000000" w:sz="12" w:space="0"/>
            </w:tcBorders>
            <w:vAlign w:val="top"/>
          </w:tcPr>
          <w:p>
            <w:pPr>
              <w:rPr>
                <w:rFonts w:ascii="Arial"/>
                <w:sz w:val="21"/>
              </w:rPr>
            </w:pPr>
          </w:p>
        </w:tc>
        <w:tc>
          <w:tcPr>
            <w:tcW w:w="1124" w:type="dxa"/>
            <w:tcBorders>
              <w:bottom w:val="single" w:color="000000" w:sz="12" w:space="0"/>
            </w:tcBorders>
            <w:vAlign w:val="top"/>
          </w:tcPr>
          <w:p>
            <w:pPr>
              <w:pStyle w:val="6"/>
              <w:spacing w:before="111" w:line="178" w:lineRule="auto"/>
              <w:ind w:left="436"/>
            </w:pPr>
            <w:r>
              <w:rPr>
                <w:spacing w:val="-3"/>
              </w:rPr>
              <w:t>3.2</w:t>
            </w:r>
          </w:p>
        </w:tc>
        <w:tc>
          <w:tcPr>
            <w:tcW w:w="1046" w:type="dxa"/>
            <w:vMerge w:val="continue"/>
            <w:tcBorders>
              <w:top w:val="nil"/>
              <w:bottom w:val="single" w:color="000000" w:sz="12" w:space="0"/>
              <w:right w:val="nil"/>
            </w:tcBorders>
            <w:vAlign w:val="top"/>
          </w:tcPr>
          <w:p>
            <w:pPr>
              <w:rPr>
                <w:rFonts w:ascii="Arial"/>
                <w:sz w:val="21"/>
              </w:rPr>
            </w:pPr>
          </w:p>
        </w:tc>
      </w:tr>
    </w:tbl>
    <w:p>
      <w:pPr>
        <w:spacing w:line="232" w:lineRule="exact"/>
        <w:rPr>
          <w:rFonts w:ascii="Arial"/>
          <w:sz w:val="20"/>
        </w:rPr>
      </w:pPr>
    </w:p>
    <w:p>
      <w:pPr>
        <w:spacing w:line="232" w:lineRule="exact"/>
        <w:rPr>
          <w:rFonts w:ascii="Arial" w:hAnsi="Arial" w:eastAsia="Arial" w:cs="Arial"/>
          <w:sz w:val="20"/>
          <w:szCs w:val="20"/>
        </w:rPr>
        <w:sectPr>
          <w:headerReference r:id="rId116" w:type="default"/>
          <w:footerReference r:id="rId117" w:type="default"/>
          <w:pgSz w:w="16839" w:h="11907"/>
          <w:pgMar w:top="1298" w:right="1387" w:bottom="1374" w:left="1388" w:header="1023" w:footer="1210" w:gutter="0"/>
        </w:sectPr>
      </w:pPr>
    </w:p>
    <w:p>
      <w:pPr>
        <w:spacing w:line="232" w:lineRule="exact"/>
      </w:pPr>
    </w:p>
    <w:tbl>
      <w:tblPr>
        <w:tblStyle w:val="5"/>
        <w:tblW w:w="1401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1"/>
        <w:gridCol w:w="3346"/>
        <w:gridCol w:w="732"/>
        <w:gridCol w:w="945"/>
        <w:gridCol w:w="924"/>
        <w:gridCol w:w="1115"/>
        <w:gridCol w:w="860"/>
        <w:gridCol w:w="901"/>
        <w:gridCol w:w="902"/>
        <w:gridCol w:w="1124"/>
        <w:gridCol w:w="10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21" w:type="dxa"/>
            <w:vMerge w:val="restart"/>
            <w:tcBorders>
              <w:top w:val="single" w:color="000000" w:sz="12" w:space="0"/>
              <w:left w:val="nil"/>
              <w:bottom w:val="nil"/>
              <w:right w:val="nil"/>
            </w:tcBorders>
            <w:vAlign w:val="top"/>
          </w:tcPr>
          <w:p>
            <w:pPr>
              <w:rPr>
                <w:rFonts w:ascii="Arial"/>
                <w:sz w:val="21"/>
              </w:rPr>
            </w:pPr>
          </w:p>
        </w:tc>
        <w:tc>
          <w:tcPr>
            <w:tcW w:w="3346" w:type="dxa"/>
            <w:vMerge w:val="restart"/>
            <w:tcBorders>
              <w:top w:val="single" w:color="000000" w:sz="12" w:space="0"/>
              <w:left w:val="nil"/>
              <w:bottom w:val="nil"/>
            </w:tcBorders>
            <w:vAlign w:val="top"/>
          </w:tcPr>
          <w:p>
            <w:pPr>
              <w:spacing w:line="373" w:lineRule="auto"/>
              <w:rPr>
                <w:rFonts w:ascii="Arial"/>
                <w:sz w:val="21"/>
              </w:rPr>
            </w:pPr>
          </w:p>
          <w:p>
            <w:pPr>
              <w:pStyle w:val="6"/>
              <w:spacing w:before="68" w:line="234" w:lineRule="auto"/>
              <w:ind w:left="74"/>
              <w:rPr>
                <w:rFonts w:ascii="宋体" w:hAnsi="宋体" w:eastAsia="宋体" w:cs="宋体"/>
              </w:rPr>
            </w:pPr>
            <w:r>
              <w:rPr>
                <w:rFonts w:ascii="宋体" w:hAnsi="宋体" w:eastAsia="宋体" w:cs="宋体"/>
                <w:spacing w:val="-2"/>
                <w14:textOutline w14:w="3810" w14:cap="flat" w14:cmpd="sng">
                  <w14:solidFill>
                    <w14:srgbClr w14:val="000000"/>
                  </w14:solidFill>
                  <w14:prstDash w14:val="solid"/>
                  <w14:miter w14:val="0"/>
                </w14:textOutline>
              </w:rPr>
              <w:t>分区</w:t>
            </w:r>
            <w:r>
              <w:rPr>
                <w:b/>
                <w:bCs/>
                <w:spacing w:val="-2"/>
              </w:rPr>
              <w:t>/</w:t>
            </w:r>
            <w:r>
              <w:rPr>
                <w:rFonts w:ascii="宋体" w:hAnsi="宋体" w:eastAsia="宋体" w:cs="宋体"/>
                <w:spacing w:val="-2"/>
                <w14:textOutline w14:w="3810" w14:cap="flat" w14:cmpd="sng">
                  <w14:solidFill>
                    <w14:srgbClr w14:val="000000"/>
                  </w14:solidFill>
                  <w14:prstDash w14:val="solid"/>
                  <w14:miter w14:val="0"/>
                </w14:textOutline>
              </w:rPr>
              <w:t>项目区</w:t>
            </w:r>
          </w:p>
        </w:tc>
        <w:tc>
          <w:tcPr>
            <w:tcW w:w="7503" w:type="dxa"/>
            <w:gridSpan w:val="8"/>
            <w:tcBorders>
              <w:top w:val="single" w:color="000000" w:sz="12" w:space="0"/>
            </w:tcBorders>
            <w:vAlign w:val="top"/>
          </w:tcPr>
          <w:p>
            <w:pPr>
              <w:spacing w:before="31" w:line="206" w:lineRule="auto"/>
              <w:ind w:left="3368"/>
              <w:rPr>
                <w:rFonts w:ascii="宋体" w:hAnsi="宋体" w:eastAsia="宋体" w:cs="宋体"/>
                <w:sz w:val="21"/>
                <w:szCs w:val="21"/>
              </w:rPr>
            </w:pPr>
            <w:r>
              <w:rPr>
                <w:rFonts w:ascii="宋体" w:hAnsi="宋体" w:eastAsia="宋体" w:cs="宋体"/>
                <w:spacing w:val="-8"/>
                <w:sz w:val="21"/>
                <w:szCs w:val="21"/>
                <w14:textOutline w14:w="3810" w14:cap="flat" w14:cmpd="sng">
                  <w14:solidFill>
                    <w14:srgbClr w14:val="000000"/>
                  </w14:solidFill>
                  <w14:prstDash w14:val="solid"/>
                  <w14:miter w14:val="0"/>
                </w14:textOutline>
              </w:rPr>
              <w:t>占地地类</w:t>
            </w:r>
          </w:p>
        </w:tc>
        <w:tc>
          <w:tcPr>
            <w:tcW w:w="1047" w:type="dxa"/>
            <w:vMerge w:val="restart"/>
            <w:tcBorders>
              <w:top w:val="single" w:color="000000" w:sz="12" w:space="0"/>
              <w:bottom w:val="nil"/>
              <w:right w:val="nil"/>
            </w:tcBorders>
            <w:vAlign w:val="top"/>
          </w:tcPr>
          <w:p>
            <w:pPr>
              <w:spacing w:line="373" w:lineRule="auto"/>
              <w:rPr>
                <w:rFonts w:ascii="Arial"/>
                <w:sz w:val="21"/>
              </w:rPr>
            </w:pPr>
          </w:p>
          <w:p>
            <w:pPr>
              <w:spacing w:before="68" w:line="221" w:lineRule="auto"/>
              <w:ind w:left="319"/>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6" w:hRule="atLeast"/>
        </w:trPr>
        <w:tc>
          <w:tcPr>
            <w:tcW w:w="2121" w:type="dxa"/>
            <w:vMerge w:val="continue"/>
            <w:tcBorders>
              <w:top w:val="nil"/>
              <w:left w:val="nil"/>
              <w:bottom w:val="nil"/>
              <w:right w:val="nil"/>
            </w:tcBorders>
            <w:vAlign w:val="top"/>
          </w:tcPr>
          <w:p>
            <w:pPr>
              <w:rPr>
                <w:rFonts w:ascii="Arial"/>
                <w:sz w:val="21"/>
              </w:rPr>
            </w:pPr>
          </w:p>
        </w:tc>
        <w:tc>
          <w:tcPr>
            <w:tcW w:w="3346" w:type="dxa"/>
            <w:vMerge w:val="continue"/>
            <w:tcBorders>
              <w:top w:val="nil"/>
              <w:left w:val="nil"/>
            </w:tcBorders>
            <w:vAlign w:val="top"/>
          </w:tcPr>
          <w:p>
            <w:pPr>
              <w:rPr>
                <w:rFonts w:ascii="Arial"/>
                <w:sz w:val="21"/>
              </w:rPr>
            </w:pPr>
          </w:p>
        </w:tc>
        <w:tc>
          <w:tcPr>
            <w:tcW w:w="732" w:type="dxa"/>
            <w:vAlign w:val="top"/>
          </w:tcPr>
          <w:p>
            <w:pPr>
              <w:spacing w:before="304" w:line="220" w:lineRule="auto"/>
              <w:ind w:left="162"/>
              <w:rPr>
                <w:rFonts w:ascii="宋体" w:hAnsi="宋体" w:eastAsia="宋体" w:cs="宋体"/>
                <w:sz w:val="21"/>
                <w:szCs w:val="21"/>
              </w:rPr>
            </w:pPr>
            <w:r>
              <w:rPr>
                <w:rFonts w:ascii="宋体" w:hAnsi="宋体" w:eastAsia="宋体" w:cs="宋体"/>
                <w:spacing w:val="-3"/>
                <w:sz w:val="21"/>
                <w:szCs w:val="21"/>
                <w14:textOutline w14:w="3810" w14:cap="flat" w14:cmpd="sng">
                  <w14:solidFill>
                    <w14:srgbClr w14:val="000000"/>
                  </w14:solidFill>
                  <w14:prstDash w14:val="solid"/>
                  <w14:miter w14:val="0"/>
                </w14:textOutline>
              </w:rPr>
              <w:t>水田</w:t>
            </w:r>
          </w:p>
        </w:tc>
        <w:tc>
          <w:tcPr>
            <w:tcW w:w="945" w:type="dxa"/>
            <w:vAlign w:val="top"/>
          </w:tcPr>
          <w:p>
            <w:pPr>
              <w:spacing w:before="304" w:line="221" w:lineRule="auto"/>
              <w:ind w:left="270"/>
              <w:rPr>
                <w:rFonts w:ascii="宋体" w:hAnsi="宋体" w:eastAsia="宋体" w:cs="宋体"/>
                <w:sz w:val="21"/>
                <w:szCs w:val="21"/>
              </w:rPr>
            </w:pPr>
            <w:r>
              <w:rPr>
                <w:rFonts w:ascii="宋体" w:hAnsi="宋体" w:eastAsia="宋体" w:cs="宋体"/>
                <w:spacing w:val="-3"/>
                <w:sz w:val="21"/>
                <w:szCs w:val="21"/>
                <w14:textOutline w14:w="3810" w14:cap="flat" w14:cmpd="sng">
                  <w14:solidFill>
                    <w14:srgbClr w14:val="000000"/>
                  </w14:solidFill>
                  <w14:prstDash w14:val="solid"/>
                  <w14:miter w14:val="0"/>
                </w14:textOutline>
              </w:rPr>
              <w:t>旱地</w:t>
            </w:r>
          </w:p>
        </w:tc>
        <w:tc>
          <w:tcPr>
            <w:tcW w:w="924" w:type="dxa"/>
            <w:vAlign w:val="top"/>
          </w:tcPr>
          <w:p>
            <w:pPr>
              <w:spacing w:before="304" w:line="220" w:lineRule="auto"/>
              <w:ind w:left="256"/>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林地</w:t>
            </w:r>
          </w:p>
        </w:tc>
        <w:tc>
          <w:tcPr>
            <w:tcW w:w="1115" w:type="dxa"/>
            <w:vAlign w:val="top"/>
          </w:tcPr>
          <w:p>
            <w:pPr>
              <w:spacing w:before="31" w:line="220" w:lineRule="auto"/>
              <w:ind w:left="143"/>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水域及水</w:t>
            </w:r>
          </w:p>
          <w:p>
            <w:pPr>
              <w:spacing w:before="22" w:line="221" w:lineRule="auto"/>
              <w:ind w:left="141"/>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利设施用</w:t>
            </w:r>
          </w:p>
          <w:p>
            <w:pPr>
              <w:spacing w:before="21" w:line="201" w:lineRule="auto"/>
              <w:ind w:left="456"/>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地</w:t>
            </w:r>
          </w:p>
        </w:tc>
        <w:tc>
          <w:tcPr>
            <w:tcW w:w="860" w:type="dxa"/>
            <w:vAlign w:val="top"/>
          </w:tcPr>
          <w:p>
            <w:pPr>
              <w:spacing w:before="170" w:line="229" w:lineRule="auto"/>
              <w:ind w:left="119" w:right="110" w:firstLine="5"/>
              <w:rPr>
                <w:rFonts w:ascii="宋体" w:hAnsi="宋体" w:eastAsia="宋体" w:cs="宋体"/>
                <w:sz w:val="21"/>
                <w:szCs w:val="21"/>
              </w:rPr>
            </w:pPr>
            <w:r>
              <w:rPr>
                <w:rFonts w:ascii="宋体" w:hAnsi="宋体" w:eastAsia="宋体" w:cs="宋体"/>
                <w:spacing w:val="-4"/>
                <w:sz w:val="21"/>
                <w:szCs w:val="21"/>
                <w14:textOutline w14:w="3810" w14:cap="flat" w14:cmpd="sng">
                  <w14:solidFill>
                    <w14:srgbClr w14:val="000000"/>
                  </w14:solidFill>
                  <w14:prstDash w14:val="solid"/>
                  <w14:miter w14:val="0"/>
                </w14:textOutline>
              </w:rPr>
              <w:t>交通运</w:t>
            </w:r>
            <w:r>
              <w:rPr>
                <w:rFonts w:ascii="宋体" w:hAnsi="宋体" w:eastAsia="宋体" w:cs="宋体"/>
                <w:spacing w:val="1"/>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输用地</w:t>
            </w:r>
          </w:p>
        </w:tc>
        <w:tc>
          <w:tcPr>
            <w:tcW w:w="901" w:type="dxa"/>
            <w:vAlign w:val="top"/>
          </w:tcPr>
          <w:p>
            <w:pPr>
              <w:spacing w:before="169" w:line="234" w:lineRule="auto"/>
              <w:ind w:left="350" w:right="132" w:hanging="210"/>
              <w:rPr>
                <w:rFonts w:ascii="宋体" w:hAnsi="宋体" w:eastAsia="宋体" w:cs="宋体"/>
                <w:sz w:val="21"/>
                <w:szCs w:val="21"/>
              </w:rPr>
            </w:pPr>
            <w:r>
              <w:rPr>
                <w:rFonts w:ascii="宋体" w:hAnsi="宋体" w:eastAsia="宋体" w:cs="宋体"/>
                <w:spacing w:val="-3"/>
                <w:sz w:val="21"/>
                <w:szCs w:val="21"/>
                <w14:textOutline w14:w="3810" w14:cap="flat" w14:cmpd="sng">
                  <w14:solidFill>
                    <w14:srgbClr w14:val="000000"/>
                  </w14:solidFill>
                  <w14:prstDash w14:val="solid"/>
                  <w14:miter w14:val="0"/>
                </w14:textOutline>
              </w:rPr>
              <w:t>其他用</w:t>
            </w:r>
            <w:r>
              <w:rPr>
                <w:rFonts w:ascii="宋体" w:hAnsi="宋体" w:eastAsia="宋体" w:cs="宋体"/>
                <w:spacing w:val="1"/>
                <w:sz w:val="21"/>
                <w:szCs w:val="21"/>
              </w:rPr>
              <w:t xml:space="preserve"> </w:t>
            </w:r>
            <w:r>
              <w:rPr>
                <w:rFonts w:ascii="宋体" w:hAnsi="宋体" w:eastAsia="宋体" w:cs="宋体"/>
                <w:sz w:val="21"/>
                <w:szCs w:val="21"/>
                <w14:textOutline w14:w="3810" w14:cap="flat" w14:cmpd="sng">
                  <w14:solidFill>
                    <w14:srgbClr w14:val="000000"/>
                  </w14:solidFill>
                  <w14:prstDash w14:val="solid"/>
                  <w14:miter w14:val="0"/>
                </w14:textOutline>
              </w:rPr>
              <w:t>地</w:t>
            </w:r>
          </w:p>
        </w:tc>
        <w:tc>
          <w:tcPr>
            <w:tcW w:w="902" w:type="dxa"/>
            <w:vAlign w:val="top"/>
          </w:tcPr>
          <w:p>
            <w:pPr>
              <w:spacing w:before="304" w:line="221" w:lineRule="auto"/>
              <w:ind w:left="263"/>
              <w:rPr>
                <w:rFonts w:ascii="宋体" w:hAnsi="宋体" w:eastAsia="宋体" w:cs="宋体"/>
                <w:sz w:val="21"/>
                <w:szCs w:val="21"/>
              </w:rPr>
            </w:pPr>
            <w:r>
              <w:rPr>
                <w:rFonts w:ascii="宋体" w:hAnsi="宋体" w:eastAsia="宋体" w:cs="宋体"/>
                <w:spacing w:val="-7"/>
                <w:sz w:val="21"/>
                <w:szCs w:val="21"/>
                <w14:textOutline w14:w="3810" w14:cap="flat" w14:cmpd="sng">
                  <w14:solidFill>
                    <w14:srgbClr w14:val="000000"/>
                  </w14:solidFill>
                  <w14:prstDash w14:val="solid"/>
                  <w14:miter w14:val="0"/>
                </w14:textOutline>
              </w:rPr>
              <w:t>园地</w:t>
            </w:r>
          </w:p>
        </w:tc>
        <w:tc>
          <w:tcPr>
            <w:tcW w:w="1124" w:type="dxa"/>
            <w:vAlign w:val="top"/>
          </w:tcPr>
          <w:p>
            <w:pPr>
              <w:spacing w:before="304" w:line="221" w:lineRule="auto"/>
              <w:ind w:left="362"/>
              <w:rPr>
                <w:rFonts w:ascii="宋体" w:hAnsi="宋体" w:eastAsia="宋体" w:cs="宋体"/>
                <w:sz w:val="21"/>
                <w:szCs w:val="21"/>
              </w:rPr>
            </w:pPr>
            <w:r>
              <w:rPr>
                <w:rFonts w:ascii="宋体" w:hAnsi="宋体" w:eastAsia="宋体" w:cs="宋体"/>
                <w:spacing w:val="-4"/>
                <w:sz w:val="21"/>
                <w:szCs w:val="21"/>
                <w14:textOutline w14:w="3810" w14:cap="flat" w14:cmpd="sng">
                  <w14:solidFill>
                    <w14:srgbClr w14:val="000000"/>
                  </w14:solidFill>
                  <w14:prstDash w14:val="solid"/>
                  <w14:miter w14:val="0"/>
                </w14:textOutline>
              </w:rPr>
              <w:t>小计</w:t>
            </w:r>
          </w:p>
        </w:tc>
        <w:tc>
          <w:tcPr>
            <w:tcW w:w="1047"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121" w:type="dxa"/>
            <w:vMerge w:val="continue"/>
            <w:tcBorders>
              <w:top w:val="nil"/>
              <w:left w:val="nil"/>
              <w:right w:val="nil"/>
            </w:tcBorders>
            <w:vAlign w:val="top"/>
          </w:tcPr>
          <w:p>
            <w:pPr>
              <w:rPr>
                <w:rFonts w:ascii="Arial"/>
                <w:sz w:val="21"/>
              </w:rPr>
            </w:pPr>
          </w:p>
        </w:tc>
        <w:tc>
          <w:tcPr>
            <w:tcW w:w="3346" w:type="dxa"/>
            <w:vAlign w:val="top"/>
          </w:tcPr>
          <w:p>
            <w:pPr>
              <w:spacing w:before="37" w:line="200" w:lineRule="auto"/>
              <w:ind w:left="112"/>
              <w:rPr>
                <w:rFonts w:ascii="宋体" w:hAnsi="宋体" w:eastAsia="宋体" w:cs="宋体"/>
                <w:sz w:val="21"/>
                <w:szCs w:val="21"/>
              </w:rPr>
            </w:pPr>
            <w:r>
              <w:rPr>
                <w:rFonts w:ascii="宋体" w:hAnsi="宋体" w:eastAsia="宋体" w:cs="宋体"/>
                <w:spacing w:val="-1"/>
                <w:sz w:val="21"/>
                <w:szCs w:val="21"/>
              </w:rPr>
              <w:t>输水工程区施工临时道路</w:t>
            </w:r>
          </w:p>
        </w:tc>
        <w:tc>
          <w:tcPr>
            <w:tcW w:w="732" w:type="dxa"/>
            <w:vAlign w:val="top"/>
          </w:tcPr>
          <w:p>
            <w:pPr>
              <w:pStyle w:val="6"/>
              <w:spacing w:before="76" w:line="186" w:lineRule="auto"/>
              <w:ind w:left="203"/>
            </w:pPr>
            <w:r>
              <w:rPr>
                <w:spacing w:val="-6"/>
              </w:rPr>
              <w:t>1.12</w:t>
            </w:r>
          </w:p>
        </w:tc>
        <w:tc>
          <w:tcPr>
            <w:tcW w:w="945" w:type="dxa"/>
            <w:vAlign w:val="top"/>
          </w:tcPr>
          <w:p>
            <w:pPr>
              <w:pStyle w:val="6"/>
              <w:spacing w:before="76" w:line="186" w:lineRule="auto"/>
              <w:ind w:left="296"/>
            </w:pPr>
            <w:r>
              <w:rPr>
                <w:spacing w:val="-3"/>
              </w:rPr>
              <w:t>5.48</w:t>
            </w:r>
          </w:p>
        </w:tc>
        <w:tc>
          <w:tcPr>
            <w:tcW w:w="924" w:type="dxa"/>
            <w:vAlign w:val="top"/>
          </w:tcPr>
          <w:p>
            <w:pPr>
              <w:pStyle w:val="6"/>
              <w:spacing w:before="76" w:line="186" w:lineRule="auto"/>
              <w:ind w:left="284"/>
            </w:pPr>
            <w:r>
              <w:rPr>
                <w:spacing w:val="-3"/>
              </w:rPr>
              <w:t>6.18</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pStyle w:val="6"/>
              <w:spacing w:before="76" w:line="186" w:lineRule="auto"/>
              <w:ind w:left="270"/>
            </w:pPr>
            <w:r>
              <w:rPr>
                <w:spacing w:val="-1"/>
              </w:rPr>
              <w:t>2.30</w:t>
            </w:r>
          </w:p>
        </w:tc>
        <w:tc>
          <w:tcPr>
            <w:tcW w:w="1124" w:type="dxa"/>
            <w:vAlign w:val="top"/>
          </w:tcPr>
          <w:p>
            <w:pPr>
              <w:pStyle w:val="6"/>
              <w:spacing w:before="89" w:line="174" w:lineRule="auto"/>
              <w:ind w:left="348"/>
            </w:pPr>
            <w:r>
              <w:rPr>
                <w:spacing w:val="-5"/>
              </w:rPr>
              <w:t>15.08</w:t>
            </w:r>
          </w:p>
        </w:tc>
        <w:tc>
          <w:tcPr>
            <w:tcW w:w="1047"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21" w:type="dxa"/>
            <w:vMerge w:val="restart"/>
            <w:tcBorders>
              <w:left w:val="nil"/>
              <w:bottom w:val="nil"/>
            </w:tcBorders>
            <w:vAlign w:val="top"/>
          </w:tcPr>
          <w:p>
            <w:pPr>
              <w:spacing w:line="392" w:lineRule="auto"/>
              <w:rPr>
                <w:rFonts w:ascii="Arial"/>
                <w:sz w:val="21"/>
              </w:rPr>
            </w:pPr>
          </w:p>
          <w:p>
            <w:pPr>
              <w:spacing w:before="68" w:line="220" w:lineRule="auto"/>
              <w:ind w:left="339"/>
              <w:rPr>
                <w:rFonts w:ascii="宋体" w:hAnsi="宋体" w:eastAsia="宋体" w:cs="宋体"/>
                <w:sz w:val="21"/>
                <w:szCs w:val="21"/>
              </w:rPr>
            </w:pPr>
            <w:r>
              <w:rPr>
                <w:rFonts w:ascii="宋体" w:hAnsi="宋体" w:eastAsia="宋体" w:cs="宋体"/>
                <w:spacing w:val="-1"/>
                <w:sz w:val="21"/>
                <w:szCs w:val="21"/>
              </w:rPr>
              <w:t>施工生产生活区</w:t>
            </w:r>
          </w:p>
        </w:tc>
        <w:tc>
          <w:tcPr>
            <w:tcW w:w="3346" w:type="dxa"/>
            <w:vAlign w:val="top"/>
          </w:tcPr>
          <w:p>
            <w:pPr>
              <w:spacing w:before="40" w:line="198" w:lineRule="auto"/>
              <w:ind w:left="112"/>
              <w:rPr>
                <w:rFonts w:ascii="宋体" w:hAnsi="宋体" w:eastAsia="宋体" w:cs="宋体"/>
                <w:sz w:val="21"/>
                <w:szCs w:val="21"/>
              </w:rPr>
            </w:pPr>
            <w:r>
              <w:rPr>
                <w:rFonts w:ascii="宋体" w:hAnsi="宋体" w:eastAsia="宋体" w:cs="宋体"/>
                <w:spacing w:val="-1"/>
                <w:sz w:val="21"/>
                <w:szCs w:val="21"/>
              </w:rPr>
              <w:t>枢纽区生产生活区</w:t>
            </w:r>
          </w:p>
        </w:tc>
        <w:tc>
          <w:tcPr>
            <w:tcW w:w="732" w:type="dxa"/>
            <w:vAlign w:val="top"/>
          </w:tcPr>
          <w:p>
            <w:pPr>
              <w:rPr>
                <w:rFonts w:ascii="Arial"/>
                <w:sz w:val="21"/>
              </w:rPr>
            </w:pPr>
          </w:p>
        </w:tc>
        <w:tc>
          <w:tcPr>
            <w:tcW w:w="945" w:type="dxa"/>
            <w:vAlign w:val="top"/>
          </w:tcPr>
          <w:p>
            <w:pPr>
              <w:pStyle w:val="6"/>
              <w:spacing w:before="78" w:line="186" w:lineRule="auto"/>
              <w:ind w:left="310"/>
            </w:pPr>
            <w:r>
              <w:rPr>
                <w:spacing w:val="-6"/>
              </w:rPr>
              <w:t>1.98</w:t>
            </w:r>
          </w:p>
        </w:tc>
        <w:tc>
          <w:tcPr>
            <w:tcW w:w="924" w:type="dxa"/>
            <w:vAlign w:val="top"/>
          </w:tcPr>
          <w:p>
            <w:pPr>
              <w:rPr>
                <w:rFonts w:ascii="Arial"/>
                <w:sz w:val="21"/>
              </w:rPr>
            </w:pP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1" w:line="173" w:lineRule="auto"/>
              <w:ind w:left="401"/>
            </w:pPr>
            <w:r>
              <w:rPr>
                <w:spacing w:val="-6"/>
              </w:rPr>
              <w:t>1.98</w:t>
            </w:r>
          </w:p>
        </w:tc>
        <w:tc>
          <w:tcPr>
            <w:tcW w:w="1047" w:type="dxa"/>
            <w:vMerge w:val="restart"/>
            <w:tcBorders>
              <w:bottom w:val="nil"/>
              <w:right w:val="nil"/>
            </w:tcBorders>
            <w:vAlign w:val="top"/>
          </w:tcPr>
          <w:p>
            <w:pPr>
              <w:spacing w:line="439" w:lineRule="auto"/>
              <w:rPr>
                <w:rFonts w:ascii="Arial"/>
                <w:sz w:val="21"/>
              </w:rPr>
            </w:pPr>
          </w:p>
          <w:p>
            <w:pPr>
              <w:pStyle w:val="6"/>
              <w:spacing w:before="60" w:line="186" w:lineRule="auto"/>
              <w:ind w:left="341"/>
            </w:pPr>
            <w:r>
              <w:rPr>
                <w:spacing w:val="-1"/>
              </w:rPr>
              <w:t>2.67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121" w:type="dxa"/>
            <w:vMerge w:val="continue"/>
            <w:tcBorders>
              <w:top w:val="nil"/>
              <w:left w:val="nil"/>
              <w:bottom w:val="nil"/>
            </w:tcBorders>
            <w:vAlign w:val="top"/>
          </w:tcPr>
          <w:p>
            <w:pPr>
              <w:rPr>
                <w:rFonts w:ascii="Arial"/>
                <w:sz w:val="21"/>
              </w:rPr>
            </w:pPr>
          </w:p>
        </w:tc>
        <w:tc>
          <w:tcPr>
            <w:tcW w:w="3346" w:type="dxa"/>
            <w:vAlign w:val="top"/>
          </w:tcPr>
          <w:p>
            <w:pPr>
              <w:spacing w:before="42" w:line="196" w:lineRule="auto"/>
              <w:ind w:left="129"/>
              <w:rPr>
                <w:rFonts w:ascii="宋体" w:hAnsi="宋体" w:eastAsia="宋体" w:cs="宋体"/>
                <w:sz w:val="21"/>
                <w:szCs w:val="21"/>
              </w:rPr>
            </w:pPr>
            <w:r>
              <w:rPr>
                <w:rFonts w:ascii="宋体" w:hAnsi="宋体" w:eastAsia="宋体" w:cs="宋体"/>
                <w:spacing w:val="-3"/>
                <w:sz w:val="21"/>
                <w:szCs w:val="21"/>
              </w:rPr>
              <w:t>引水工程生产生活区</w:t>
            </w:r>
          </w:p>
        </w:tc>
        <w:tc>
          <w:tcPr>
            <w:tcW w:w="732" w:type="dxa"/>
            <w:vAlign w:val="top"/>
          </w:tcPr>
          <w:p>
            <w:pPr>
              <w:rPr>
                <w:rFonts w:ascii="Arial"/>
                <w:sz w:val="21"/>
              </w:rPr>
            </w:pPr>
          </w:p>
        </w:tc>
        <w:tc>
          <w:tcPr>
            <w:tcW w:w="945" w:type="dxa"/>
            <w:vAlign w:val="top"/>
          </w:tcPr>
          <w:p>
            <w:pPr>
              <w:rPr>
                <w:rFonts w:ascii="Arial"/>
                <w:sz w:val="21"/>
              </w:rPr>
            </w:pPr>
          </w:p>
        </w:tc>
        <w:tc>
          <w:tcPr>
            <w:tcW w:w="924" w:type="dxa"/>
            <w:vAlign w:val="top"/>
          </w:tcPr>
          <w:p>
            <w:pPr>
              <w:pStyle w:val="6"/>
              <w:spacing w:before="80" w:line="183" w:lineRule="auto"/>
              <w:ind w:left="281"/>
            </w:pPr>
            <w:r>
              <w:rPr>
                <w:spacing w:val="-2"/>
              </w:rPr>
              <w:t>0.13</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3" w:line="170" w:lineRule="auto"/>
              <w:ind w:left="384"/>
            </w:pPr>
            <w:r>
              <w:rPr>
                <w:spacing w:val="-2"/>
              </w:rPr>
              <w:t>0.13</w:t>
            </w:r>
          </w:p>
        </w:tc>
        <w:tc>
          <w:tcPr>
            <w:tcW w:w="1047"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121" w:type="dxa"/>
            <w:vMerge w:val="continue"/>
            <w:tcBorders>
              <w:top w:val="nil"/>
              <w:left w:val="nil"/>
              <w:bottom w:val="nil"/>
            </w:tcBorders>
            <w:vAlign w:val="top"/>
          </w:tcPr>
          <w:p>
            <w:pPr>
              <w:rPr>
                <w:rFonts w:ascii="Arial"/>
                <w:sz w:val="21"/>
              </w:rPr>
            </w:pPr>
          </w:p>
        </w:tc>
        <w:tc>
          <w:tcPr>
            <w:tcW w:w="3346" w:type="dxa"/>
            <w:vAlign w:val="top"/>
          </w:tcPr>
          <w:p>
            <w:pPr>
              <w:spacing w:before="44" w:line="194" w:lineRule="auto"/>
              <w:ind w:left="112"/>
              <w:rPr>
                <w:rFonts w:ascii="宋体" w:hAnsi="宋体" w:eastAsia="宋体" w:cs="宋体"/>
                <w:sz w:val="21"/>
                <w:szCs w:val="21"/>
              </w:rPr>
            </w:pPr>
            <w:r>
              <w:rPr>
                <w:rFonts w:ascii="宋体" w:hAnsi="宋体" w:eastAsia="宋体" w:cs="宋体"/>
                <w:spacing w:val="-1"/>
                <w:sz w:val="21"/>
                <w:szCs w:val="21"/>
              </w:rPr>
              <w:t>输水工程生产生活区</w:t>
            </w:r>
          </w:p>
        </w:tc>
        <w:tc>
          <w:tcPr>
            <w:tcW w:w="732" w:type="dxa"/>
            <w:vAlign w:val="top"/>
          </w:tcPr>
          <w:p>
            <w:pPr>
              <w:rPr>
                <w:rFonts w:ascii="Arial"/>
                <w:sz w:val="21"/>
              </w:rPr>
            </w:pPr>
          </w:p>
        </w:tc>
        <w:tc>
          <w:tcPr>
            <w:tcW w:w="945" w:type="dxa"/>
            <w:vAlign w:val="top"/>
          </w:tcPr>
          <w:p>
            <w:pPr>
              <w:pStyle w:val="6"/>
              <w:spacing w:before="82" w:line="181" w:lineRule="auto"/>
              <w:ind w:left="293"/>
            </w:pPr>
            <w:r>
              <w:rPr>
                <w:spacing w:val="-2"/>
              </w:rPr>
              <w:t>0.20</w:t>
            </w:r>
          </w:p>
        </w:tc>
        <w:tc>
          <w:tcPr>
            <w:tcW w:w="924" w:type="dxa"/>
            <w:vAlign w:val="top"/>
          </w:tcPr>
          <w:p>
            <w:pPr>
              <w:pStyle w:val="6"/>
              <w:spacing w:before="82" w:line="181" w:lineRule="auto"/>
              <w:ind w:left="281"/>
            </w:pPr>
            <w:r>
              <w:rPr>
                <w:spacing w:val="-2"/>
              </w:rPr>
              <w:t>0.12</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5" w:line="168" w:lineRule="auto"/>
              <w:ind w:left="384"/>
            </w:pPr>
            <w:r>
              <w:rPr>
                <w:spacing w:val="-2"/>
              </w:rPr>
              <w:t>0.32</w:t>
            </w:r>
          </w:p>
        </w:tc>
        <w:tc>
          <w:tcPr>
            <w:tcW w:w="1047"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121" w:type="dxa"/>
            <w:vMerge w:val="continue"/>
            <w:tcBorders>
              <w:top w:val="nil"/>
              <w:left w:val="nil"/>
            </w:tcBorders>
            <w:vAlign w:val="top"/>
          </w:tcPr>
          <w:p>
            <w:pPr>
              <w:rPr>
                <w:rFonts w:ascii="Arial"/>
                <w:sz w:val="21"/>
              </w:rPr>
            </w:pPr>
          </w:p>
        </w:tc>
        <w:tc>
          <w:tcPr>
            <w:tcW w:w="3346" w:type="dxa"/>
            <w:vAlign w:val="top"/>
          </w:tcPr>
          <w:p>
            <w:pPr>
              <w:spacing w:before="46" w:line="192" w:lineRule="auto"/>
              <w:ind w:left="129"/>
              <w:rPr>
                <w:rFonts w:ascii="宋体" w:hAnsi="宋体" w:eastAsia="宋体" w:cs="宋体"/>
                <w:sz w:val="21"/>
                <w:szCs w:val="21"/>
              </w:rPr>
            </w:pPr>
            <w:r>
              <w:rPr>
                <w:rFonts w:ascii="宋体" w:hAnsi="宋体" w:eastAsia="宋体" w:cs="宋体"/>
                <w:spacing w:val="-3"/>
                <w:sz w:val="21"/>
                <w:szCs w:val="21"/>
              </w:rPr>
              <w:t>引洪工程生产生活区</w:t>
            </w:r>
          </w:p>
        </w:tc>
        <w:tc>
          <w:tcPr>
            <w:tcW w:w="732" w:type="dxa"/>
            <w:vAlign w:val="top"/>
          </w:tcPr>
          <w:p>
            <w:pPr>
              <w:rPr>
                <w:rFonts w:ascii="Arial"/>
                <w:sz w:val="21"/>
              </w:rPr>
            </w:pPr>
          </w:p>
        </w:tc>
        <w:tc>
          <w:tcPr>
            <w:tcW w:w="945" w:type="dxa"/>
            <w:vAlign w:val="top"/>
          </w:tcPr>
          <w:p>
            <w:pPr>
              <w:pStyle w:val="6"/>
              <w:spacing w:before="84" w:line="179" w:lineRule="auto"/>
              <w:ind w:left="293"/>
            </w:pPr>
            <w:r>
              <w:rPr>
                <w:spacing w:val="-2"/>
              </w:rPr>
              <w:t>0.17</w:t>
            </w:r>
          </w:p>
        </w:tc>
        <w:tc>
          <w:tcPr>
            <w:tcW w:w="924" w:type="dxa"/>
            <w:vAlign w:val="top"/>
          </w:tcPr>
          <w:p>
            <w:pPr>
              <w:pStyle w:val="6"/>
              <w:spacing w:before="84" w:line="179" w:lineRule="auto"/>
              <w:ind w:left="281"/>
            </w:pPr>
            <w:r>
              <w:rPr>
                <w:spacing w:val="-2"/>
              </w:rPr>
              <w:t>0.07</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97" w:line="166" w:lineRule="auto"/>
              <w:ind w:left="384"/>
            </w:pPr>
            <w:r>
              <w:rPr>
                <w:spacing w:val="-2"/>
              </w:rPr>
              <w:t>0.24</w:t>
            </w:r>
          </w:p>
        </w:tc>
        <w:tc>
          <w:tcPr>
            <w:tcW w:w="1047"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121" w:type="dxa"/>
            <w:vMerge w:val="restart"/>
            <w:tcBorders>
              <w:left w:val="nil"/>
              <w:bottom w:val="nil"/>
            </w:tcBorders>
            <w:vAlign w:val="top"/>
          </w:tcPr>
          <w:p>
            <w:pPr>
              <w:spacing w:before="189" w:line="220" w:lineRule="auto"/>
              <w:ind w:left="658"/>
              <w:rPr>
                <w:rFonts w:ascii="宋体" w:hAnsi="宋体" w:eastAsia="宋体" w:cs="宋体"/>
                <w:sz w:val="21"/>
                <w:szCs w:val="21"/>
              </w:rPr>
            </w:pPr>
            <w:r>
              <w:rPr>
                <w:rFonts w:ascii="宋体" w:hAnsi="宋体" w:eastAsia="宋体" w:cs="宋体"/>
                <w:spacing w:val="-3"/>
                <w:sz w:val="21"/>
                <w:szCs w:val="21"/>
              </w:rPr>
              <w:t>弃渣场区</w:t>
            </w:r>
          </w:p>
        </w:tc>
        <w:tc>
          <w:tcPr>
            <w:tcW w:w="3346" w:type="dxa"/>
            <w:vAlign w:val="top"/>
          </w:tcPr>
          <w:p>
            <w:pPr>
              <w:pStyle w:val="6"/>
              <w:spacing w:before="49" w:line="190" w:lineRule="auto"/>
              <w:ind w:left="129"/>
              <w:rPr>
                <w:rFonts w:ascii="宋体" w:hAnsi="宋体" w:eastAsia="宋体" w:cs="宋体"/>
              </w:rPr>
            </w:pPr>
            <w:r>
              <w:rPr>
                <w:spacing w:val="-3"/>
              </w:rPr>
              <w:t>1#</w:t>
            </w:r>
            <w:r>
              <w:rPr>
                <w:rFonts w:ascii="宋体" w:hAnsi="宋体" w:eastAsia="宋体" w:cs="宋体"/>
                <w:spacing w:val="-3"/>
              </w:rPr>
              <w:t>～</w:t>
            </w:r>
            <w:r>
              <w:rPr>
                <w:spacing w:val="-3"/>
              </w:rPr>
              <w:t>18#</w:t>
            </w:r>
            <w:r>
              <w:rPr>
                <w:rFonts w:ascii="宋体" w:hAnsi="宋体" w:eastAsia="宋体" w:cs="宋体"/>
                <w:spacing w:val="-3"/>
              </w:rPr>
              <w:t>弃渣场</w:t>
            </w:r>
          </w:p>
        </w:tc>
        <w:tc>
          <w:tcPr>
            <w:tcW w:w="732" w:type="dxa"/>
            <w:vAlign w:val="top"/>
          </w:tcPr>
          <w:p>
            <w:pPr>
              <w:rPr>
                <w:rFonts w:ascii="Arial"/>
                <w:sz w:val="21"/>
              </w:rPr>
            </w:pPr>
          </w:p>
        </w:tc>
        <w:tc>
          <w:tcPr>
            <w:tcW w:w="945" w:type="dxa"/>
            <w:vAlign w:val="top"/>
          </w:tcPr>
          <w:p>
            <w:pPr>
              <w:pStyle w:val="6"/>
              <w:spacing w:before="87" w:line="177" w:lineRule="auto"/>
              <w:ind w:left="289"/>
            </w:pPr>
            <w:r>
              <w:rPr>
                <w:spacing w:val="-1"/>
              </w:rPr>
              <w:t>4.30</w:t>
            </w:r>
          </w:p>
        </w:tc>
        <w:tc>
          <w:tcPr>
            <w:tcW w:w="924" w:type="dxa"/>
            <w:vAlign w:val="top"/>
          </w:tcPr>
          <w:p>
            <w:pPr>
              <w:pStyle w:val="6"/>
              <w:spacing w:before="87" w:line="177" w:lineRule="auto"/>
              <w:ind w:left="287"/>
            </w:pPr>
            <w:r>
              <w:rPr>
                <w:spacing w:val="-4"/>
              </w:rPr>
              <w:t>8.27</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pStyle w:val="6"/>
              <w:spacing w:before="87" w:line="177" w:lineRule="auto"/>
              <w:ind w:left="270"/>
            </w:pPr>
            <w:r>
              <w:rPr>
                <w:spacing w:val="-1"/>
              </w:rPr>
              <w:t>2.81</w:t>
            </w:r>
          </w:p>
        </w:tc>
        <w:tc>
          <w:tcPr>
            <w:tcW w:w="1124" w:type="dxa"/>
            <w:vAlign w:val="top"/>
          </w:tcPr>
          <w:p>
            <w:pPr>
              <w:pStyle w:val="6"/>
              <w:spacing w:before="99" w:line="165" w:lineRule="auto"/>
              <w:ind w:left="348"/>
            </w:pPr>
            <w:r>
              <w:rPr>
                <w:spacing w:val="-5"/>
              </w:rPr>
              <w:t>15.38</w:t>
            </w:r>
          </w:p>
        </w:tc>
        <w:tc>
          <w:tcPr>
            <w:tcW w:w="1047" w:type="dxa"/>
            <w:vMerge w:val="restart"/>
            <w:tcBorders>
              <w:bottom w:val="nil"/>
              <w:right w:val="nil"/>
            </w:tcBorders>
            <w:vAlign w:val="top"/>
          </w:tcPr>
          <w:p>
            <w:pPr>
              <w:pStyle w:val="6"/>
              <w:spacing w:before="228" w:line="186" w:lineRule="auto"/>
              <w:ind w:left="308"/>
            </w:pPr>
            <w:r>
              <w:rPr>
                <w:spacing w:val="-5"/>
              </w:rPr>
              <w:t>15.90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121" w:type="dxa"/>
            <w:vMerge w:val="continue"/>
            <w:tcBorders>
              <w:top w:val="nil"/>
              <w:left w:val="nil"/>
            </w:tcBorders>
            <w:vAlign w:val="top"/>
          </w:tcPr>
          <w:p>
            <w:pPr>
              <w:rPr>
                <w:rFonts w:ascii="Arial"/>
                <w:sz w:val="21"/>
              </w:rPr>
            </w:pPr>
          </w:p>
        </w:tc>
        <w:tc>
          <w:tcPr>
            <w:tcW w:w="3346" w:type="dxa"/>
            <w:vAlign w:val="top"/>
          </w:tcPr>
          <w:p>
            <w:pPr>
              <w:pStyle w:val="6"/>
              <w:spacing w:before="50" w:line="189" w:lineRule="auto"/>
              <w:ind w:left="129"/>
              <w:rPr>
                <w:rFonts w:ascii="宋体" w:hAnsi="宋体" w:eastAsia="宋体" w:cs="宋体"/>
              </w:rPr>
            </w:pPr>
            <w:r>
              <w:rPr>
                <w:spacing w:val="-3"/>
              </w:rPr>
              <w:t>1#</w:t>
            </w:r>
            <w:r>
              <w:rPr>
                <w:rFonts w:ascii="宋体" w:hAnsi="宋体" w:eastAsia="宋体" w:cs="宋体"/>
                <w:spacing w:val="-3"/>
              </w:rPr>
              <w:t>～</w:t>
            </w:r>
            <w:r>
              <w:rPr>
                <w:spacing w:val="-3"/>
              </w:rPr>
              <w:t>21#</w:t>
            </w:r>
            <w:r>
              <w:rPr>
                <w:rFonts w:ascii="宋体" w:hAnsi="宋体" w:eastAsia="宋体" w:cs="宋体"/>
                <w:spacing w:val="-3"/>
              </w:rPr>
              <w:t>临时表土堆场</w:t>
            </w:r>
          </w:p>
        </w:tc>
        <w:tc>
          <w:tcPr>
            <w:tcW w:w="732" w:type="dxa"/>
            <w:vAlign w:val="top"/>
          </w:tcPr>
          <w:p>
            <w:pPr>
              <w:rPr>
                <w:rFonts w:ascii="Arial"/>
                <w:sz w:val="21"/>
              </w:rPr>
            </w:pPr>
          </w:p>
        </w:tc>
        <w:tc>
          <w:tcPr>
            <w:tcW w:w="945" w:type="dxa"/>
            <w:vAlign w:val="top"/>
          </w:tcPr>
          <w:p>
            <w:pPr>
              <w:rPr>
                <w:rFonts w:ascii="Arial"/>
                <w:sz w:val="21"/>
              </w:rPr>
            </w:pPr>
          </w:p>
        </w:tc>
        <w:tc>
          <w:tcPr>
            <w:tcW w:w="924" w:type="dxa"/>
            <w:vAlign w:val="top"/>
          </w:tcPr>
          <w:p>
            <w:pPr>
              <w:pStyle w:val="6"/>
              <w:spacing w:before="88" w:line="175" w:lineRule="auto"/>
              <w:ind w:left="281"/>
            </w:pPr>
            <w:r>
              <w:rPr>
                <w:spacing w:val="-2"/>
              </w:rPr>
              <w:t>0.52</w:t>
            </w:r>
          </w:p>
        </w:tc>
        <w:tc>
          <w:tcPr>
            <w:tcW w:w="1115" w:type="dxa"/>
            <w:vAlign w:val="top"/>
          </w:tcPr>
          <w:p>
            <w:pPr>
              <w:rPr>
                <w:rFonts w:ascii="Arial"/>
                <w:sz w:val="21"/>
              </w:rPr>
            </w:pPr>
          </w:p>
        </w:tc>
        <w:tc>
          <w:tcPr>
            <w:tcW w:w="860" w:type="dxa"/>
            <w:vAlign w:val="top"/>
          </w:tcPr>
          <w:p>
            <w:pPr>
              <w:rPr>
                <w:rFonts w:ascii="Arial"/>
                <w:sz w:val="21"/>
              </w:rPr>
            </w:pPr>
          </w:p>
        </w:tc>
        <w:tc>
          <w:tcPr>
            <w:tcW w:w="901" w:type="dxa"/>
            <w:vAlign w:val="top"/>
          </w:tcPr>
          <w:p>
            <w:pPr>
              <w:rPr>
                <w:rFonts w:ascii="Arial"/>
                <w:sz w:val="21"/>
              </w:rPr>
            </w:pPr>
          </w:p>
        </w:tc>
        <w:tc>
          <w:tcPr>
            <w:tcW w:w="902" w:type="dxa"/>
            <w:vAlign w:val="top"/>
          </w:tcPr>
          <w:p>
            <w:pPr>
              <w:rPr>
                <w:rFonts w:ascii="Arial"/>
                <w:sz w:val="21"/>
              </w:rPr>
            </w:pPr>
          </w:p>
        </w:tc>
        <w:tc>
          <w:tcPr>
            <w:tcW w:w="1124" w:type="dxa"/>
            <w:vAlign w:val="top"/>
          </w:tcPr>
          <w:p>
            <w:pPr>
              <w:pStyle w:val="6"/>
              <w:spacing w:before="102" w:line="162" w:lineRule="auto"/>
              <w:ind w:left="384"/>
            </w:pPr>
            <w:r>
              <w:rPr>
                <w:spacing w:val="-2"/>
              </w:rPr>
              <w:t>0.52</w:t>
            </w:r>
          </w:p>
        </w:tc>
        <w:tc>
          <w:tcPr>
            <w:tcW w:w="1047"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121" w:type="dxa"/>
            <w:tcBorders>
              <w:left w:val="nil"/>
            </w:tcBorders>
            <w:vAlign w:val="top"/>
          </w:tcPr>
          <w:p>
            <w:pPr>
              <w:spacing w:before="52" w:line="187" w:lineRule="auto"/>
              <w:ind w:left="759"/>
              <w:rPr>
                <w:rFonts w:ascii="宋体" w:hAnsi="宋体" w:eastAsia="宋体" w:cs="宋体"/>
                <w:sz w:val="21"/>
                <w:szCs w:val="21"/>
              </w:rPr>
            </w:pPr>
            <w:r>
              <w:rPr>
                <w:rFonts w:ascii="宋体" w:hAnsi="宋体" w:eastAsia="宋体" w:cs="宋体"/>
                <w:spacing w:val="-2"/>
                <w:sz w:val="21"/>
                <w:szCs w:val="21"/>
              </w:rPr>
              <w:t>淹没区</w:t>
            </w:r>
          </w:p>
        </w:tc>
        <w:tc>
          <w:tcPr>
            <w:tcW w:w="3346" w:type="dxa"/>
            <w:vAlign w:val="top"/>
          </w:tcPr>
          <w:p>
            <w:pPr>
              <w:spacing w:before="52" w:line="187" w:lineRule="auto"/>
              <w:ind w:left="116"/>
              <w:rPr>
                <w:rFonts w:ascii="宋体" w:hAnsi="宋体" w:eastAsia="宋体" w:cs="宋体"/>
                <w:sz w:val="21"/>
                <w:szCs w:val="21"/>
              </w:rPr>
            </w:pPr>
            <w:r>
              <w:rPr>
                <w:rFonts w:ascii="宋体" w:hAnsi="宋体" w:eastAsia="宋体" w:cs="宋体"/>
                <w:spacing w:val="-2"/>
                <w:sz w:val="21"/>
                <w:szCs w:val="21"/>
              </w:rPr>
              <w:t>水库淹没占地范围</w:t>
            </w:r>
          </w:p>
        </w:tc>
        <w:tc>
          <w:tcPr>
            <w:tcW w:w="732" w:type="dxa"/>
            <w:vAlign w:val="top"/>
          </w:tcPr>
          <w:p>
            <w:pPr>
              <w:rPr>
                <w:rFonts w:ascii="Arial"/>
                <w:sz w:val="21"/>
              </w:rPr>
            </w:pPr>
          </w:p>
        </w:tc>
        <w:tc>
          <w:tcPr>
            <w:tcW w:w="945" w:type="dxa"/>
            <w:vAlign w:val="top"/>
          </w:tcPr>
          <w:p>
            <w:pPr>
              <w:pStyle w:val="6"/>
              <w:spacing w:before="90" w:line="173" w:lineRule="auto"/>
              <w:ind w:left="294"/>
            </w:pPr>
            <w:r>
              <w:rPr>
                <w:spacing w:val="-2"/>
              </w:rPr>
              <w:t>9.39</w:t>
            </w:r>
          </w:p>
        </w:tc>
        <w:tc>
          <w:tcPr>
            <w:tcW w:w="924" w:type="dxa"/>
            <w:vAlign w:val="top"/>
          </w:tcPr>
          <w:p>
            <w:pPr>
              <w:pStyle w:val="6"/>
              <w:spacing w:before="90" w:line="173" w:lineRule="auto"/>
              <w:ind w:left="226"/>
            </w:pPr>
            <w:r>
              <w:rPr>
                <w:spacing w:val="-1"/>
              </w:rPr>
              <w:t>20.61</w:t>
            </w:r>
          </w:p>
        </w:tc>
        <w:tc>
          <w:tcPr>
            <w:tcW w:w="1115" w:type="dxa"/>
            <w:vAlign w:val="top"/>
          </w:tcPr>
          <w:p>
            <w:pPr>
              <w:pStyle w:val="6"/>
              <w:spacing w:before="90" w:line="173" w:lineRule="auto"/>
              <w:ind w:left="374"/>
            </w:pPr>
            <w:r>
              <w:rPr>
                <w:spacing w:val="-1"/>
              </w:rPr>
              <w:t>2.62</w:t>
            </w:r>
          </w:p>
        </w:tc>
        <w:tc>
          <w:tcPr>
            <w:tcW w:w="860" w:type="dxa"/>
            <w:vAlign w:val="top"/>
          </w:tcPr>
          <w:p>
            <w:pPr>
              <w:pStyle w:val="6"/>
              <w:spacing w:before="90" w:line="173" w:lineRule="auto"/>
              <w:ind w:left="251"/>
            </w:pPr>
            <w:r>
              <w:rPr>
                <w:spacing w:val="-2"/>
              </w:rPr>
              <w:t>0.91</w:t>
            </w:r>
          </w:p>
        </w:tc>
        <w:tc>
          <w:tcPr>
            <w:tcW w:w="901" w:type="dxa"/>
            <w:vAlign w:val="top"/>
          </w:tcPr>
          <w:p>
            <w:pPr>
              <w:rPr>
                <w:rFonts w:ascii="Arial"/>
                <w:sz w:val="21"/>
              </w:rPr>
            </w:pPr>
          </w:p>
        </w:tc>
        <w:tc>
          <w:tcPr>
            <w:tcW w:w="902" w:type="dxa"/>
            <w:vAlign w:val="top"/>
          </w:tcPr>
          <w:p>
            <w:pPr>
              <w:pStyle w:val="6"/>
              <w:spacing w:before="90" w:line="173" w:lineRule="auto"/>
              <w:ind w:left="290"/>
            </w:pPr>
            <w:r>
              <w:rPr>
                <w:spacing w:val="-6"/>
              </w:rPr>
              <w:t>1.99</w:t>
            </w:r>
          </w:p>
        </w:tc>
        <w:tc>
          <w:tcPr>
            <w:tcW w:w="1124" w:type="dxa"/>
            <w:vAlign w:val="top"/>
          </w:tcPr>
          <w:p>
            <w:pPr>
              <w:pStyle w:val="6"/>
              <w:spacing w:before="105" w:line="159" w:lineRule="auto"/>
              <w:ind w:left="332"/>
            </w:pPr>
            <w:r>
              <w:rPr>
                <w:spacing w:val="-2"/>
              </w:rPr>
              <w:t>35.52</w:t>
            </w:r>
          </w:p>
        </w:tc>
        <w:tc>
          <w:tcPr>
            <w:tcW w:w="1047" w:type="dxa"/>
            <w:tcBorders>
              <w:right w:val="nil"/>
            </w:tcBorders>
            <w:vAlign w:val="top"/>
          </w:tcPr>
          <w:p>
            <w:pPr>
              <w:pStyle w:val="6"/>
              <w:spacing w:before="90" w:line="173" w:lineRule="auto"/>
              <w:ind w:left="292"/>
            </w:pPr>
            <w:r>
              <w:rPr>
                <w:spacing w:val="-2"/>
              </w:rPr>
              <w:t>35.25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5467" w:type="dxa"/>
            <w:gridSpan w:val="2"/>
            <w:tcBorders>
              <w:left w:val="nil"/>
            </w:tcBorders>
            <w:vAlign w:val="top"/>
          </w:tcPr>
          <w:p>
            <w:pPr>
              <w:spacing w:before="55" w:line="185" w:lineRule="auto"/>
              <w:ind w:left="2381"/>
              <w:rPr>
                <w:rFonts w:ascii="宋体" w:hAnsi="宋体" w:eastAsia="宋体" w:cs="宋体"/>
                <w:sz w:val="21"/>
                <w:szCs w:val="21"/>
              </w:rPr>
            </w:pPr>
            <w:r>
              <w:rPr>
                <w:rFonts w:ascii="宋体" w:hAnsi="宋体" w:eastAsia="宋体" w:cs="宋体"/>
                <w:spacing w:val="-5"/>
                <w:sz w:val="21"/>
                <w:szCs w:val="21"/>
              </w:rPr>
              <w:t>合</w:t>
            </w:r>
            <w:r>
              <w:rPr>
                <w:rFonts w:ascii="宋体" w:hAnsi="宋体" w:eastAsia="宋体" w:cs="宋体"/>
                <w:spacing w:val="2"/>
                <w:sz w:val="21"/>
                <w:szCs w:val="21"/>
              </w:rPr>
              <w:t xml:space="preserve">   </w:t>
            </w:r>
            <w:r>
              <w:rPr>
                <w:rFonts w:ascii="宋体" w:hAnsi="宋体" w:eastAsia="宋体" w:cs="宋体"/>
                <w:spacing w:val="-5"/>
                <w:sz w:val="21"/>
                <w:szCs w:val="21"/>
              </w:rPr>
              <w:t>计</w:t>
            </w:r>
          </w:p>
        </w:tc>
        <w:tc>
          <w:tcPr>
            <w:tcW w:w="732" w:type="dxa"/>
            <w:vAlign w:val="top"/>
          </w:tcPr>
          <w:p>
            <w:pPr>
              <w:pStyle w:val="6"/>
              <w:spacing w:before="107" w:line="158" w:lineRule="auto"/>
              <w:ind w:left="183"/>
            </w:pPr>
            <w:r>
              <w:rPr>
                <w:spacing w:val="-1"/>
              </w:rPr>
              <w:t>2.62</w:t>
            </w:r>
          </w:p>
        </w:tc>
        <w:tc>
          <w:tcPr>
            <w:tcW w:w="945" w:type="dxa"/>
            <w:vAlign w:val="top"/>
          </w:tcPr>
          <w:p>
            <w:pPr>
              <w:pStyle w:val="6"/>
              <w:spacing w:before="107" w:line="158" w:lineRule="auto"/>
              <w:ind w:left="236"/>
            </w:pPr>
            <w:r>
              <w:rPr>
                <w:spacing w:val="-1"/>
              </w:rPr>
              <w:t>44.87</w:t>
            </w:r>
          </w:p>
        </w:tc>
        <w:tc>
          <w:tcPr>
            <w:tcW w:w="924" w:type="dxa"/>
            <w:vAlign w:val="top"/>
          </w:tcPr>
          <w:p>
            <w:pPr>
              <w:pStyle w:val="6"/>
              <w:spacing w:before="107" w:line="158" w:lineRule="auto"/>
              <w:ind w:left="235"/>
            </w:pPr>
            <w:r>
              <w:rPr>
                <w:spacing w:val="-3"/>
              </w:rPr>
              <w:t>87.53</w:t>
            </w:r>
          </w:p>
        </w:tc>
        <w:tc>
          <w:tcPr>
            <w:tcW w:w="1115" w:type="dxa"/>
            <w:vAlign w:val="top"/>
          </w:tcPr>
          <w:p>
            <w:pPr>
              <w:pStyle w:val="6"/>
              <w:spacing w:before="107" w:line="158" w:lineRule="auto"/>
              <w:ind w:left="378"/>
            </w:pPr>
            <w:r>
              <w:rPr>
                <w:spacing w:val="-2"/>
              </w:rPr>
              <w:t>3.22</w:t>
            </w:r>
          </w:p>
        </w:tc>
        <w:tc>
          <w:tcPr>
            <w:tcW w:w="860" w:type="dxa"/>
            <w:vAlign w:val="top"/>
          </w:tcPr>
          <w:p>
            <w:pPr>
              <w:pStyle w:val="6"/>
              <w:spacing w:before="107" w:line="158" w:lineRule="auto"/>
              <w:ind w:left="268"/>
            </w:pPr>
            <w:r>
              <w:rPr>
                <w:spacing w:val="-6"/>
              </w:rPr>
              <w:t>1.27</w:t>
            </w:r>
          </w:p>
        </w:tc>
        <w:tc>
          <w:tcPr>
            <w:tcW w:w="901" w:type="dxa"/>
            <w:vAlign w:val="top"/>
          </w:tcPr>
          <w:p>
            <w:pPr>
              <w:pStyle w:val="6"/>
              <w:spacing w:before="107" w:line="158" w:lineRule="auto"/>
              <w:ind w:left="289"/>
            </w:pPr>
            <w:r>
              <w:rPr>
                <w:spacing w:val="-6"/>
              </w:rPr>
              <w:t>1.84</w:t>
            </w:r>
          </w:p>
        </w:tc>
        <w:tc>
          <w:tcPr>
            <w:tcW w:w="902" w:type="dxa"/>
            <w:vAlign w:val="top"/>
          </w:tcPr>
          <w:p>
            <w:pPr>
              <w:pStyle w:val="6"/>
              <w:spacing w:before="107" w:line="158" w:lineRule="auto"/>
              <w:ind w:left="237"/>
            </w:pPr>
            <w:r>
              <w:rPr>
                <w:spacing w:val="-5"/>
              </w:rPr>
              <w:t>13.26</w:t>
            </w:r>
          </w:p>
        </w:tc>
        <w:tc>
          <w:tcPr>
            <w:tcW w:w="1124" w:type="dxa"/>
            <w:vAlign w:val="top"/>
          </w:tcPr>
          <w:p>
            <w:pPr>
              <w:pStyle w:val="6"/>
              <w:spacing w:before="107" w:line="158" w:lineRule="auto"/>
              <w:ind w:left="295"/>
            </w:pPr>
            <w:r>
              <w:rPr>
                <w:spacing w:val="-4"/>
              </w:rPr>
              <w:t>154.61</w:t>
            </w:r>
          </w:p>
        </w:tc>
        <w:tc>
          <w:tcPr>
            <w:tcW w:w="1047" w:type="dxa"/>
            <w:tcBorders>
              <w:right w:val="nil"/>
            </w:tcBorders>
            <w:vAlign w:val="top"/>
          </w:tcPr>
          <w:p>
            <w:pPr>
              <w:pStyle w:val="6"/>
              <w:spacing w:before="107" w:line="158" w:lineRule="auto"/>
              <w:ind w:left="256"/>
            </w:pPr>
            <w:r>
              <w:rPr>
                <w:spacing w:val="-4"/>
              </w:rPr>
              <w:t>154.61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5467" w:type="dxa"/>
            <w:gridSpan w:val="2"/>
            <w:tcBorders>
              <w:left w:val="nil"/>
            </w:tcBorders>
            <w:vAlign w:val="top"/>
          </w:tcPr>
          <w:p>
            <w:pPr>
              <w:spacing w:before="56" w:line="183" w:lineRule="auto"/>
              <w:ind w:left="2329"/>
              <w:rPr>
                <w:rFonts w:ascii="宋体" w:hAnsi="宋体" w:eastAsia="宋体" w:cs="宋体"/>
                <w:sz w:val="21"/>
                <w:szCs w:val="21"/>
              </w:rPr>
            </w:pPr>
            <w:r>
              <w:rPr>
                <w:rFonts w:ascii="宋体" w:hAnsi="宋体" w:eastAsia="宋体" w:cs="宋体"/>
                <w:spacing w:val="-2"/>
                <w:sz w:val="21"/>
                <w:szCs w:val="21"/>
              </w:rPr>
              <w:t>永久占地</w:t>
            </w:r>
          </w:p>
        </w:tc>
        <w:tc>
          <w:tcPr>
            <w:tcW w:w="732" w:type="dxa"/>
            <w:vAlign w:val="top"/>
          </w:tcPr>
          <w:p>
            <w:pPr>
              <w:pStyle w:val="6"/>
              <w:spacing w:before="108" w:line="156" w:lineRule="exact"/>
              <w:ind w:left="186"/>
            </w:pPr>
            <w:r>
              <w:rPr>
                <w:spacing w:val="-2"/>
                <w:position w:val="-2"/>
              </w:rPr>
              <w:t>0.81</w:t>
            </w:r>
          </w:p>
        </w:tc>
        <w:tc>
          <w:tcPr>
            <w:tcW w:w="945" w:type="dxa"/>
            <w:vAlign w:val="top"/>
          </w:tcPr>
          <w:p>
            <w:pPr>
              <w:pStyle w:val="6"/>
              <w:spacing w:before="108" w:line="156" w:lineRule="exact"/>
              <w:ind w:left="257"/>
            </w:pPr>
            <w:r>
              <w:rPr>
                <w:spacing w:val="-5"/>
                <w:position w:val="-2"/>
              </w:rPr>
              <w:t>16.14</w:t>
            </w:r>
          </w:p>
        </w:tc>
        <w:tc>
          <w:tcPr>
            <w:tcW w:w="924" w:type="dxa"/>
            <w:vAlign w:val="top"/>
          </w:tcPr>
          <w:p>
            <w:pPr>
              <w:pStyle w:val="6"/>
              <w:spacing w:before="108" w:line="156" w:lineRule="exact"/>
              <w:ind w:left="232"/>
            </w:pPr>
            <w:r>
              <w:rPr>
                <w:spacing w:val="-2"/>
                <w:position w:val="-2"/>
              </w:rPr>
              <w:t>57.24</w:t>
            </w:r>
          </w:p>
        </w:tc>
        <w:tc>
          <w:tcPr>
            <w:tcW w:w="1115" w:type="dxa"/>
            <w:vAlign w:val="top"/>
          </w:tcPr>
          <w:p>
            <w:pPr>
              <w:pStyle w:val="6"/>
              <w:spacing w:before="108" w:line="156" w:lineRule="exact"/>
              <w:ind w:left="378"/>
            </w:pPr>
            <w:r>
              <w:rPr>
                <w:spacing w:val="-2"/>
                <w:position w:val="-2"/>
              </w:rPr>
              <w:t>3.22</w:t>
            </w:r>
          </w:p>
        </w:tc>
        <w:tc>
          <w:tcPr>
            <w:tcW w:w="860" w:type="dxa"/>
            <w:vAlign w:val="top"/>
          </w:tcPr>
          <w:p>
            <w:pPr>
              <w:pStyle w:val="6"/>
              <w:spacing w:before="108" w:line="156" w:lineRule="exact"/>
              <w:ind w:left="268"/>
            </w:pPr>
            <w:r>
              <w:rPr>
                <w:spacing w:val="-6"/>
                <w:position w:val="-2"/>
              </w:rPr>
              <w:t>1.24</w:t>
            </w:r>
          </w:p>
        </w:tc>
        <w:tc>
          <w:tcPr>
            <w:tcW w:w="901" w:type="dxa"/>
            <w:vAlign w:val="top"/>
          </w:tcPr>
          <w:p>
            <w:pPr>
              <w:pStyle w:val="6"/>
              <w:spacing w:before="108" w:line="156" w:lineRule="exact"/>
              <w:ind w:left="289"/>
            </w:pPr>
            <w:r>
              <w:rPr>
                <w:spacing w:val="-6"/>
                <w:position w:val="-2"/>
              </w:rPr>
              <w:t>1.84</w:t>
            </w:r>
          </w:p>
        </w:tc>
        <w:tc>
          <w:tcPr>
            <w:tcW w:w="902" w:type="dxa"/>
            <w:vAlign w:val="top"/>
          </w:tcPr>
          <w:p>
            <w:pPr>
              <w:pStyle w:val="6"/>
              <w:spacing w:before="108" w:line="156" w:lineRule="exact"/>
              <w:ind w:left="290"/>
            </w:pPr>
            <w:r>
              <w:rPr>
                <w:spacing w:val="-6"/>
                <w:position w:val="-2"/>
              </w:rPr>
              <w:t>1.99</w:t>
            </w:r>
          </w:p>
        </w:tc>
        <w:tc>
          <w:tcPr>
            <w:tcW w:w="1124" w:type="dxa"/>
            <w:vAlign w:val="top"/>
          </w:tcPr>
          <w:p>
            <w:pPr>
              <w:pStyle w:val="6"/>
              <w:spacing w:before="108" w:line="156" w:lineRule="exact"/>
              <w:ind w:left="336"/>
            </w:pPr>
            <w:r>
              <w:rPr>
                <w:spacing w:val="-3"/>
                <w:position w:val="-2"/>
              </w:rPr>
              <w:t>82.48</w:t>
            </w:r>
          </w:p>
        </w:tc>
        <w:tc>
          <w:tcPr>
            <w:tcW w:w="104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0" w:hRule="atLeast"/>
        </w:trPr>
        <w:tc>
          <w:tcPr>
            <w:tcW w:w="5467" w:type="dxa"/>
            <w:gridSpan w:val="2"/>
            <w:tcBorders>
              <w:left w:val="nil"/>
              <w:bottom w:val="single" w:color="000000" w:sz="12" w:space="0"/>
            </w:tcBorders>
            <w:vAlign w:val="top"/>
          </w:tcPr>
          <w:p>
            <w:pPr>
              <w:spacing w:before="59" w:line="203" w:lineRule="auto"/>
              <w:ind w:left="2339"/>
              <w:rPr>
                <w:rFonts w:ascii="宋体" w:hAnsi="宋体" w:eastAsia="宋体" w:cs="宋体"/>
                <w:sz w:val="21"/>
                <w:szCs w:val="21"/>
              </w:rPr>
            </w:pPr>
            <w:r>
              <w:rPr>
                <w:rFonts w:ascii="宋体" w:hAnsi="宋体" w:eastAsia="宋体" w:cs="宋体"/>
                <w:spacing w:val="-4"/>
                <w:sz w:val="21"/>
                <w:szCs w:val="21"/>
              </w:rPr>
              <w:t>临时占地</w:t>
            </w:r>
          </w:p>
        </w:tc>
        <w:tc>
          <w:tcPr>
            <w:tcW w:w="732" w:type="dxa"/>
            <w:tcBorders>
              <w:bottom w:val="single" w:color="000000" w:sz="12" w:space="0"/>
            </w:tcBorders>
            <w:vAlign w:val="top"/>
          </w:tcPr>
          <w:p>
            <w:pPr>
              <w:pStyle w:val="6"/>
              <w:spacing w:before="110" w:line="178" w:lineRule="auto"/>
              <w:ind w:left="203"/>
            </w:pPr>
            <w:r>
              <w:rPr>
                <w:spacing w:val="-6"/>
              </w:rPr>
              <w:t>1.81</w:t>
            </w:r>
          </w:p>
        </w:tc>
        <w:tc>
          <w:tcPr>
            <w:tcW w:w="945" w:type="dxa"/>
            <w:tcBorders>
              <w:bottom w:val="single" w:color="000000" w:sz="12" w:space="0"/>
            </w:tcBorders>
            <w:vAlign w:val="top"/>
          </w:tcPr>
          <w:p>
            <w:pPr>
              <w:pStyle w:val="6"/>
              <w:spacing w:before="110" w:line="178" w:lineRule="auto"/>
              <w:ind w:left="237"/>
            </w:pPr>
            <w:r>
              <w:rPr>
                <w:spacing w:val="-1"/>
              </w:rPr>
              <w:t>28.73</w:t>
            </w:r>
          </w:p>
        </w:tc>
        <w:tc>
          <w:tcPr>
            <w:tcW w:w="924" w:type="dxa"/>
            <w:tcBorders>
              <w:bottom w:val="single" w:color="000000" w:sz="12" w:space="0"/>
            </w:tcBorders>
            <w:vAlign w:val="top"/>
          </w:tcPr>
          <w:p>
            <w:pPr>
              <w:pStyle w:val="6"/>
              <w:spacing w:before="110" w:line="178" w:lineRule="auto"/>
              <w:ind w:left="230"/>
            </w:pPr>
            <w:r>
              <w:rPr>
                <w:spacing w:val="-2"/>
              </w:rPr>
              <w:t>30.29</w:t>
            </w:r>
          </w:p>
        </w:tc>
        <w:tc>
          <w:tcPr>
            <w:tcW w:w="1115" w:type="dxa"/>
            <w:tcBorders>
              <w:bottom w:val="single" w:color="000000" w:sz="12" w:space="0"/>
            </w:tcBorders>
            <w:vAlign w:val="top"/>
          </w:tcPr>
          <w:p>
            <w:pPr>
              <w:pStyle w:val="6"/>
              <w:spacing w:before="110" w:line="178" w:lineRule="auto"/>
              <w:ind w:left="509"/>
            </w:pPr>
            <w:r>
              <w:t>0</w:t>
            </w:r>
          </w:p>
        </w:tc>
        <w:tc>
          <w:tcPr>
            <w:tcW w:w="860" w:type="dxa"/>
            <w:tcBorders>
              <w:bottom w:val="single" w:color="000000" w:sz="12" w:space="0"/>
            </w:tcBorders>
            <w:vAlign w:val="top"/>
          </w:tcPr>
          <w:p>
            <w:pPr>
              <w:pStyle w:val="6"/>
              <w:spacing w:before="110" w:line="178" w:lineRule="auto"/>
              <w:ind w:left="251"/>
            </w:pPr>
            <w:r>
              <w:rPr>
                <w:spacing w:val="-2"/>
              </w:rPr>
              <w:t>0.03</w:t>
            </w:r>
          </w:p>
        </w:tc>
        <w:tc>
          <w:tcPr>
            <w:tcW w:w="901" w:type="dxa"/>
            <w:tcBorders>
              <w:bottom w:val="single" w:color="000000" w:sz="12" w:space="0"/>
            </w:tcBorders>
            <w:vAlign w:val="top"/>
          </w:tcPr>
          <w:p>
            <w:pPr>
              <w:pStyle w:val="6"/>
              <w:spacing w:before="110" w:line="178" w:lineRule="auto"/>
              <w:ind w:left="402"/>
            </w:pPr>
            <w:r>
              <w:t>0</w:t>
            </w:r>
          </w:p>
        </w:tc>
        <w:tc>
          <w:tcPr>
            <w:tcW w:w="902" w:type="dxa"/>
            <w:tcBorders>
              <w:bottom w:val="single" w:color="000000" w:sz="12" w:space="0"/>
            </w:tcBorders>
            <w:vAlign w:val="top"/>
          </w:tcPr>
          <w:p>
            <w:pPr>
              <w:pStyle w:val="6"/>
              <w:spacing w:before="110" w:line="178" w:lineRule="auto"/>
              <w:ind w:left="241"/>
            </w:pPr>
            <w:r>
              <w:rPr>
                <w:spacing w:val="-7"/>
              </w:rPr>
              <w:t>11.27</w:t>
            </w:r>
          </w:p>
        </w:tc>
        <w:tc>
          <w:tcPr>
            <w:tcW w:w="1124" w:type="dxa"/>
            <w:tcBorders>
              <w:bottom w:val="single" w:color="000000" w:sz="12" w:space="0"/>
            </w:tcBorders>
            <w:vAlign w:val="top"/>
          </w:tcPr>
          <w:p>
            <w:pPr>
              <w:pStyle w:val="6"/>
              <w:spacing w:before="110" w:line="178" w:lineRule="auto"/>
              <w:ind w:left="331"/>
            </w:pPr>
            <w:r>
              <w:rPr>
                <w:spacing w:val="-2"/>
              </w:rPr>
              <w:t>71.86</w:t>
            </w:r>
          </w:p>
        </w:tc>
        <w:tc>
          <w:tcPr>
            <w:tcW w:w="1047" w:type="dxa"/>
            <w:tcBorders>
              <w:bottom w:val="single" w:color="000000" w:sz="12"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18" w:type="default"/>
          <w:pgSz w:w="16839" w:h="11907"/>
          <w:pgMar w:top="1298" w:right="1387" w:bottom="1374" w:left="1388" w:header="1023" w:footer="1210" w:gutter="0"/>
        </w:sect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2"/>
        <w:spacing w:before="88"/>
        <w:ind w:left="36"/>
        <w:outlineLvl w:val="1"/>
        <w:rPr>
          <w:sz w:val="27"/>
          <w:szCs w:val="27"/>
        </w:rPr>
      </w:pPr>
      <w:r>
        <w:rPr>
          <w:rFonts w:ascii="Times New Roman" w:hAnsi="Times New Roman" w:eastAsia="Times New Roman" w:cs="Times New Roman"/>
          <w:b/>
          <w:bCs/>
          <w:spacing w:val="5"/>
          <w:sz w:val="27"/>
          <w:szCs w:val="27"/>
        </w:rPr>
        <w:t xml:space="preserve">2.3.8 </w:t>
      </w:r>
      <w:r>
        <w:rPr>
          <w:spacing w:val="5"/>
          <w:sz w:val="27"/>
          <w:szCs w:val="27"/>
          <w14:textOutline w14:w="5072" w14:cap="flat" w14:cmpd="sng">
            <w14:solidFill>
              <w14:srgbClr w14:val="000000"/>
            </w14:solidFill>
            <w14:prstDash w14:val="solid"/>
            <w14:miter w14:val="0"/>
          </w14:textOutline>
        </w:rPr>
        <w:t>移民安置</w:t>
      </w:r>
    </w:p>
    <w:p>
      <w:pPr>
        <w:spacing w:before="148" w:line="467" w:lineRule="exact"/>
        <w:ind w:left="519"/>
        <w:rPr>
          <w:rFonts w:ascii="宋体" w:hAnsi="宋体" w:eastAsia="宋体" w:cs="宋体"/>
          <w:sz w:val="24"/>
          <w:szCs w:val="24"/>
        </w:rPr>
      </w:pPr>
      <w:r>
        <w:rPr>
          <w:rFonts w:ascii="宋体" w:hAnsi="宋体" w:eastAsia="宋体" w:cs="宋体"/>
          <w:spacing w:val="-4"/>
          <w:position w:val="17"/>
          <w:sz w:val="24"/>
          <w:szCs w:val="24"/>
        </w:rPr>
        <w:t>根据水库建设征地实物调查公示复核成果， 桂花水库枢纽工程建设程区、引水工</w:t>
      </w:r>
    </w:p>
    <w:p>
      <w:pPr>
        <w:spacing w:line="219" w:lineRule="auto"/>
        <w:ind w:left="42"/>
        <w:rPr>
          <w:rFonts w:ascii="宋体" w:hAnsi="宋体" w:eastAsia="宋体" w:cs="宋体"/>
          <w:sz w:val="24"/>
          <w:szCs w:val="24"/>
        </w:rPr>
      </w:pPr>
      <w:r>
        <w:rPr>
          <w:rFonts w:ascii="宋体" w:hAnsi="宋体" w:eastAsia="宋体" w:cs="宋体"/>
          <w:spacing w:val="-1"/>
          <w:sz w:val="24"/>
          <w:szCs w:val="24"/>
        </w:rPr>
        <w:t>建设区、引洪工建设区和输水工程建设区不涉及居住人口和房屋，</w:t>
      </w:r>
      <w:r>
        <w:rPr>
          <w:rFonts w:ascii="宋体" w:hAnsi="宋体" w:eastAsia="宋体" w:cs="宋体"/>
          <w:spacing w:val="-2"/>
          <w:sz w:val="24"/>
          <w:szCs w:val="24"/>
        </w:rPr>
        <w:t>无搬迁安置人口。</w:t>
      </w:r>
    </w:p>
    <w:p>
      <w:pPr>
        <w:spacing w:before="181" w:line="467" w:lineRule="exact"/>
        <w:ind w:left="521"/>
        <w:rPr>
          <w:rFonts w:ascii="宋体" w:hAnsi="宋体" w:eastAsia="宋体" w:cs="宋体"/>
          <w:sz w:val="24"/>
          <w:szCs w:val="24"/>
        </w:rPr>
      </w:pPr>
      <w:r>
        <w:rPr>
          <w:rFonts w:ascii="宋体" w:hAnsi="宋体" w:eastAsia="宋体" w:cs="宋体"/>
          <w:spacing w:val="-3"/>
          <w:position w:val="17"/>
          <w:sz w:val="24"/>
          <w:szCs w:val="24"/>
        </w:rPr>
        <w:t>桂花水库工程生产安置人口为</w:t>
      </w:r>
      <w:r>
        <w:rPr>
          <w:rFonts w:ascii="宋体" w:hAnsi="宋体" w:eastAsia="宋体" w:cs="宋体"/>
          <w:spacing w:val="-48"/>
          <w:position w:val="17"/>
          <w:sz w:val="24"/>
          <w:szCs w:val="24"/>
        </w:rPr>
        <w:t xml:space="preserve"> </w:t>
      </w:r>
      <w:r>
        <w:rPr>
          <w:rFonts w:ascii="Times New Roman" w:hAnsi="Times New Roman" w:eastAsia="Times New Roman" w:cs="Times New Roman"/>
          <w:spacing w:val="-3"/>
          <w:position w:val="17"/>
          <w:sz w:val="24"/>
          <w:szCs w:val="24"/>
        </w:rPr>
        <w:t xml:space="preserve">56 </w:t>
      </w:r>
      <w:r>
        <w:rPr>
          <w:rFonts w:ascii="宋体" w:hAnsi="宋体" w:eastAsia="宋体" w:cs="宋体"/>
          <w:spacing w:val="-3"/>
          <w:position w:val="17"/>
          <w:sz w:val="24"/>
          <w:szCs w:val="24"/>
        </w:rPr>
        <w:t>人，</w:t>
      </w:r>
      <w:r>
        <w:rPr>
          <w:rFonts w:ascii="宋体" w:hAnsi="宋体" w:eastAsia="宋体" w:cs="宋体"/>
          <w:spacing w:val="-32"/>
          <w:position w:val="17"/>
          <w:sz w:val="24"/>
          <w:szCs w:val="24"/>
        </w:rPr>
        <w:t xml:space="preserve"> </w:t>
      </w:r>
      <w:r>
        <w:rPr>
          <w:rFonts w:ascii="宋体" w:hAnsi="宋体" w:eastAsia="宋体" w:cs="宋体"/>
          <w:spacing w:val="-3"/>
          <w:position w:val="17"/>
          <w:sz w:val="24"/>
          <w:szCs w:val="24"/>
        </w:rPr>
        <w:t>采取村小组自行安置的生产安置</w:t>
      </w:r>
      <w:r>
        <w:rPr>
          <w:rFonts w:ascii="宋体" w:hAnsi="宋体" w:eastAsia="宋体" w:cs="宋体"/>
          <w:spacing w:val="-4"/>
          <w:position w:val="17"/>
          <w:sz w:val="24"/>
          <w:szCs w:val="24"/>
        </w:rPr>
        <w:t>方式，将</w:t>
      </w:r>
    </w:p>
    <w:p>
      <w:pPr>
        <w:spacing w:before="1" w:line="218" w:lineRule="auto"/>
        <w:ind w:left="41"/>
        <w:rPr>
          <w:rFonts w:ascii="宋体" w:hAnsi="宋体" w:eastAsia="宋体" w:cs="宋体"/>
          <w:sz w:val="24"/>
          <w:szCs w:val="24"/>
        </w:rPr>
      </w:pPr>
      <w:r>
        <w:rPr>
          <w:rFonts w:ascii="宋体" w:hAnsi="宋体" w:eastAsia="宋体" w:cs="宋体"/>
          <w:sz w:val="24"/>
          <w:szCs w:val="24"/>
        </w:rPr>
        <w:t>涉及征收耕地补偿费和安置补助费兑付给村集体，由村集</w:t>
      </w:r>
      <w:r>
        <w:rPr>
          <w:rFonts w:ascii="宋体" w:hAnsi="宋体" w:eastAsia="宋体" w:cs="宋体"/>
          <w:spacing w:val="-1"/>
          <w:sz w:val="24"/>
          <w:szCs w:val="24"/>
        </w:rPr>
        <w:t>体自行安排移民恢复生产。</w:t>
      </w:r>
    </w:p>
    <w:p>
      <w:pPr>
        <w:spacing w:line="351" w:lineRule="auto"/>
        <w:rPr>
          <w:rFonts w:ascii="Arial"/>
          <w:sz w:val="21"/>
        </w:rPr>
      </w:pPr>
    </w:p>
    <w:p>
      <w:pPr>
        <w:pStyle w:val="2"/>
        <w:spacing w:before="88"/>
        <w:ind w:left="36"/>
        <w:outlineLvl w:val="1"/>
        <w:rPr>
          <w:sz w:val="27"/>
          <w:szCs w:val="27"/>
        </w:rPr>
      </w:pPr>
      <w:r>
        <w:rPr>
          <w:rFonts w:ascii="Times New Roman" w:hAnsi="Times New Roman" w:eastAsia="Times New Roman" w:cs="Times New Roman"/>
          <w:b/>
          <w:bCs/>
          <w:spacing w:val="4"/>
          <w:sz w:val="27"/>
          <w:szCs w:val="27"/>
        </w:rPr>
        <w:t>2.3.9</w:t>
      </w:r>
      <w:r>
        <w:rPr>
          <w:rFonts w:ascii="Times New Roman" w:hAnsi="Times New Roman" w:eastAsia="Times New Roman" w:cs="Times New Roman"/>
          <w:b/>
          <w:bCs/>
          <w:spacing w:val="22"/>
          <w:sz w:val="27"/>
          <w:szCs w:val="27"/>
        </w:rPr>
        <w:t xml:space="preserve"> </w:t>
      </w:r>
      <w:r>
        <w:rPr>
          <w:spacing w:val="4"/>
          <w:sz w:val="27"/>
          <w:szCs w:val="27"/>
          <w14:textOutline w14:w="5072" w14:cap="flat" w14:cmpd="sng">
            <w14:solidFill>
              <w14:srgbClr w14:val="000000"/>
            </w14:solidFill>
            <w14:prstDash w14:val="solid"/>
            <w14:miter w14:val="0"/>
          </w14:textOutline>
        </w:rPr>
        <w:t>文物古迹</w:t>
      </w:r>
    </w:p>
    <w:p>
      <w:pPr>
        <w:spacing w:before="150" w:line="467" w:lineRule="exact"/>
        <w:ind w:left="519"/>
        <w:rPr>
          <w:rFonts w:ascii="宋体" w:hAnsi="宋体" w:eastAsia="宋体" w:cs="宋体"/>
          <w:sz w:val="24"/>
          <w:szCs w:val="24"/>
        </w:rPr>
      </w:pPr>
      <w:r>
        <w:rPr>
          <w:rFonts w:ascii="宋体" w:hAnsi="宋体" w:eastAsia="宋体" w:cs="宋体"/>
          <w:position w:val="17"/>
          <w:sz w:val="24"/>
          <w:szCs w:val="24"/>
        </w:rPr>
        <w:t>根据大姚县文体广电旅游局出具的“大姚县桂花水库工程</w:t>
      </w:r>
      <w:r>
        <w:rPr>
          <w:rFonts w:ascii="宋体" w:hAnsi="宋体" w:eastAsia="宋体" w:cs="宋体"/>
          <w:spacing w:val="-1"/>
          <w:position w:val="17"/>
          <w:sz w:val="24"/>
          <w:szCs w:val="24"/>
        </w:rPr>
        <w:t>占地和水库淹没区文物</w:t>
      </w:r>
    </w:p>
    <w:p>
      <w:pPr>
        <w:spacing w:line="219" w:lineRule="auto"/>
        <w:ind w:left="45"/>
        <w:rPr>
          <w:rFonts w:ascii="宋体" w:hAnsi="宋体" w:eastAsia="宋体" w:cs="宋体"/>
          <w:sz w:val="24"/>
          <w:szCs w:val="24"/>
        </w:rPr>
      </w:pPr>
      <w:r>
        <w:rPr>
          <w:rFonts w:ascii="宋体" w:hAnsi="宋体" w:eastAsia="宋体" w:cs="宋体"/>
          <w:spacing w:val="-8"/>
          <w:sz w:val="24"/>
          <w:szCs w:val="24"/>
        </w:rPr>
        <w:t>古迹情况证明的函</w:t>
      </w:r>
      <w:r>
        <w:rPr>
          <w:rFonts w:ascii="宋体" w:hAnsi="宋体" w:eastAsia="宋体" w:cs="宋体"/>
          <w:spacing w:val="-80"/>
          <w:sz w:val="24"/>
          <w:szCs w:val="24"/>
        </w:rPr>
        <w:t xml:space="preserve"> </w:t>
      </w:r>
      <w:r>
        <w:rPr>
          <w:rFonts w:ascii="宋体" w:hAnsi="宋体" w:eastAsia="宋体" w:cs="宋体"/>
          <w:spacing w:val="-8"/>
          <w:sz w:val="24"/>
          <w:szCs w:val="24"/>
        </w:rPr>
        <w:t>”，项目建设用地范围内无地表文物。</w:t>
      </w:r>
    </w:p>
    <w:p>
      <w:pPr>
        <w:spacing w:line="351" w:lineRule="auto"/>
        <w:rPr>
          <w:rFonts w:ascii="Arial"/>
          <w:sz w:val="21"/>
        </w:rPr>
      </w:pPr>
    </w:p>
    <w:p>
      <w:pPr>
        <w:pStyle w:val="2"/>
        <w:spacing w:before="89" w:line="239" w:lineRule="auto"/>
        <w:ind w:left="36"/>
        <w:outlineLvl w:val="1"/>
        <w:rPr>
          <w:sz w:val="27"/>
          <w:szCs w:val="27"/>
        </w:rPr>
      </w:pPr>
      <w:r>
        <w:rPr>
          <w:rFonts w:ascii="Times New Roman" w:hAnsi="Times New Roman" w:eastAsia="Times New Roman" w:cs="Times New Roman"/>
          <w:b/>
          <w:bCs/>
          <w:spacing w:val="6"/>
          <w:sz w:val="27"/>
          <w:szCs w:val="27"/>
        </w:rPr>
        <w:t xml:space="preserve">2.3.10 </w:t>
      </w:r>
      <w:r>
        <w:rPr>
          <w:spacing w:val="6"/>
          <w:sz w:val="27"/>
          <w:szCs w:val="27"/>
          <w14:textOutline w14:w="5072" w14:cap="flat" w14:cmpd="sng">
            <w14:solidFill>
              <w14:srgbClr w14:val="000000"/>
            </w14:solidFill>
            <w14:prstDash w14:val="solid"/>
            <w14:miter w14:val="0"/>
          </w14:textOutline>
        </w:rPr>
        <w:t>水资源配置</w:t>
      </w:r>
    </w:p>
    <w:p>
      <w:pPr>
        <w:spacing w:before="150" w:line="467" w:lineRule="exact"/>
        <w:ind w:left="526"/>
        <w:rPr>
          <w:rFonts w:ascii="宋体" w:hAnsi="宋体" w:eastAsia="宋体" w:cs="宋体"/>
          <w:sz w:val="24"/>
          <w:szCs w:val="24"/>
        </w:rPr>
      </w:pPr>
      <w:r>
        <w:rPr>
          <w:rFonts w:ascii="宋体" w:hAnsi="宋体" w:eastAsia="宋体" w:cs="宋体"/>
          <w:spacing w:val="-6"/>
          <w:position w:val="17"/>
          <w:sz w:val="24"/>
          <w:szCs w:val="24"/>
        </w:rPr>
        <w:t>（</w:t>
      </w:r>
      <w:r>
        <w:rPr>
          <w:rFonts w:ascii="Times New Roman" w:hAnsi="Times New Roman" w:eastAsia="Times New Roman" w:cs="Times New Roman"/>
          <w:spacing w:val="-6"/>
          <w:position w:val="17"/>
          <w:sz w:val="24"/>
          <w:szCs w:val="24"/>
        </w:rPr>
        <w:t>1</w:t>
      </w:r>
      <w:r>
        <w:rPr>
          <w:rFonts w:ascii="宋体" w:hAnsi="宋体" w:eastAsia="宋体" w:cs="宋体"/>
          <w:spacing w:val="-6"/>
          <w:position w:val="17"/>
          <w:sz w:val="24"/>
          <w:szCs w:val="24"/>
        </w:rPr>
        <w:t>）灌区</w:t>
      </w:r>
    </w:p>
    <w:p>
      <w:pPr>
        <w:spacing w:line="217" w:lineRule="auto"/>
        <w:ind w:left="518"/>
        <w:rPr>
          <w:rFonts w:ascii="宋体" w:hAnsi="宋体" w:eastAsia="宋体" w:cs="宋体"/>
          <w:sz w:val="24"/>
          <w:szCs w:val="24"/>
        </w:rPr>
      </w:pPr>
      <w:r>
        <w:rPr>
          <w:rFonts w:ascii="宋体" w:hAnsi="宋体" w:eastAsia="宋体" w:cs="宋体"/>
          <w:spacing w:val="-2"/>
          <w:sz w:val="24"/>
          <w:szCs w:val="24"/>
        </w:rPr>
        <w:t>①灌区范围</w:t>
      </w:r>
    </w:p>
    <w:p>
      <w:pPr>
        <w:spacing w:before="184" w:line="467" w:lineRule="exact"/>
        <w:ind w:left="521"/>
        <w:rPr>
          <w:rFonts w:ascii="宋体" w:hAnsi="宋体" w:eastAsia="宋体" w:cs="宋体"/>
          <w:sz w:val="24"/>
          <w:szCs w:val="24"/>
        </w:rPr>
      </w:pPr>
      <w:r>
        <w:rPr>
          <w:rFonts w:ascii="宋体" w:hAnsi="宋体" w:eastAsia="宋体" w:cs="宋体"/>
          <w:position w:val="17"/>
          <w:sz w:val="24"/>
          <w:szCs w:val="24"/>
        </w:rPr>
        <w:t>桂花水库直接灌溉区域为桂花灌溉片区、纳么灌溉片</w:t>
      </w:r>
      <w:r>
        <w:rPr>
          <w:rFonts w:ascii="宋体" w:hAnsi="宋体" w:eastAsia="宋体" w:cs="宋体"/>
          <w:spacing w:val="-1"/>
          <w:position w:val="17"/>
          <w:sz w:val="24"/>
          <w:szCs w:val="24"/>
        </w:rPr>
        <w:t>区、六苴灌溉片区，新街灌</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溉片区、金碧灌溉片区</w:t>
      </w:r>
      <w:r>
        <w:rPr>
          <w:rFonts w:hint="eastAsia" w:ascii="宋体" w:hAnsi="宋体" w:eastAsia="宋体" w:cs="宋体"/>
          <w:spacing w:val="-1"/>
          <w:sz w:val="24"/>
          <w:szCs w:val="24"/>
          <w:lang w:eastAsia="zh-CN"/>
        </w:rPr>
        <w:t>由</w:t>
      </w:r>
      <w:r>
        <w:rPr>
          <w:rFonts w:ascii="宋体" w:hAnsi="宋体" w:eastAsia="宋体" w:cs="宋体"/>
          <w:spacing w:val="-1"/>
          <w:sz w:val="24"/>
          <w:szCs w:val="24"/>
        </w:rPr>
        <w:t>碧么水库、大罗古水库供水。</w:t>
      </w:r>
    </w:p>
    <w:p>
      <w:pPr>
        <w:spacing w:before="183" w:line="217" w:lineRule="auto"/>
        <w:ind w:left="517"/>
        <w:rPr>
          <w:rFonts w:ascii="宋体" w:hAnsi="宋体" w:eastAsia="宋体" w:cs="宋体"/>
          <w:sz w:val="24"/>
          <w:szCs w:val="24"/>
        </w:rPr>
      </w:pPr>
      <w:r>
        <w:rPr>
          <w:rFonts w:ascii="宋体" w:hAnsi="宋体" w:eastAsia="宋体" w:cs="宋体"/>
          <w:spacing w:val="-1"/>
          <w:sz w:val="24"/>
          <w:szCs w:val="24"/>
        </w:rPr>
        <w:t>②灌区耕（园）地面积复核</w:t>
      </w:r>
    </w:p>
    <w:p>
      <w:pPr>
        <w:spacing w:before="184" w:line="219" w:lineRule="auto"/>
        <w:ind w:left="522"/>
        <w:rPr>
          <w:rFonts w:ascii="宋体" w:hAnsi="宋体" w:eastAsia="宋体" w:cs="宋体"/>
          <w:sz w:val="24"/>
          <w:szCs w:val="24"/>
        </w:rPr>
      </w:pPr>
      <w:r>
        <w:rPr>
          <w:rFonts w:ascii="宋体" w:hAnsi="宋体" w:eastAsia="宋体" w:cs="宋体"/>
          <w:spacing w:val="-1"/>
          <w:sz w:val="24"/>
          <w:szCs w:val="24"/>
        </w:rPr>
        <w:t>灌区内耕地面积量算成果见表</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2.3-8</w:t>
      </w:r>
      <w:r>
        <w:rPr>
          <w:rFonts w:ascii="宋体" w:hAnsi="宋体" w:eastAsia="宋体" w:cs="宋体"/>
          <w:spacing w:val="-1"/>
          <w:sz w:val="24"/>
          <w:szCs w:val="24"/>
        </w:rPr>
        <w:t>。</w:t>
      </w:r>
    </w:p>
    <w:p>
      <w:pPr>
        <w:spacing w:before="177" w:line="233" w:lineRule="auto"/>
        <w:ind w:left="3323"/>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5"/>
          <w:sz w:val="21"/>
          <w:szCs w:val="21"/>
        </w:rPr>
        <w:t xml:space="preserve"> </w:t>
      </w:r>
      <w:r>
        <w:rPr>
          <w:rFonts w:ascii="Times New Roman" w:hAnsi="Times New Roman" w:eastAsia="Times New Roman" w:cs="Times New Roman"/>
          <w:b/>
          <w:bCs/>
          <w:spacing w:val="-1"/>
          <w:sz w:val="21"/>
          <w:szCs w:val="21"/>
        </w:rPr>
        <w:t xml:space="preserve">2.3-8    </w:t>
      </w:r>
      <w:r>
        <w:rPr>
          <w:rFonts w:ascii="宋体" w:hAnsi="宋体" w:eastAsia="宋体" w:cs="宋体"/>
          <w:spacing w:val="-1"/>
          <w:sz w:val="21"/>
          <w:szCs w:val="21"/>
          <w14:textOutline w14:w="3810" w14:cap="flat" w14:cmpd="sng">
            <w14:solidFill>
              <w14:srgbClr w14:val="000000"/>
            </w14:solidFill>
            <w14:prstDash w14:val="solid"/>
            <w14:miter w14:val="0"/>
          </w14:textOutline>
        </w:rPr>
        <w:t>灌区耕地复核成果表</w:t>
      </w:r>
    </w:p>
    <w:p>
      <w:pPr>
        <w:spacing w:line="114" w:lineRule="exact"/>
      </w:pPr>
    </w:p>
    <w:tbl>
      <w:tblPr>
        <w:tblStyle w:val="5"/>
        <w:tblW w:w="8958"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4"/>
        <w:gridCol w:w="1053"/>
        <w:gridCol w:w="1121"/>
        <w:gridCol w:w="1120"/>
        <w:gridCol w:w="1119"/>
        <w:gridCol w:w="1121"/>
        <w:gridCol w:w="1120"/>
        <w:gridCol w:w="1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84" w:type="dxa"/>
            <w:vMerge w:val="restart"/>
            <w:tcBorders>
              <w:top w:val="single" w:color="000000" w:sz="12" w:space="0"/>
              <w:left w:val="nil"/>
              <w:bottom w:val="nil"/>
            </w:tcBorders>
            <w:vAlign w:val="top"/>
          </w:tcPr>
          <w:p>
            <w:pPr>
              <w:spacing w:before="171" w:line="218" w:lineRule="auto"/>
              <w:ind w:left="398"/>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灌片</w:t>
            </w:r>
          </w:p>
        </w:tc>
        <w:tc>
          <w:tcPr>
            <w:tcW w:w="3294" w:type="dxa"/>
            <w:gridSpan w:val="3"/>
            <w:tcBorders>
              <w:top w:val="single" w:color="000000" w:sz="12" w:space="0"/>
            </w:tcBorders>
            <w:vAlign w:val="top"/>
          </w:tcPr>
          <w:p>
            <w:pPr>
              <w:spacing w:before="30" w:line="207" w:lineRule="auto"/>
              <w:ind w:left="1448"/>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位置</w:t>
            </w:r>
          </w:p>
        </w:tc>
        <w:tc>
          <w:tcPr>
            <w:tcW w:w="4480" w:type="dxa"/>
            <w:gridSpan w:val="4"/>
            <w:tcBorders>
              <w:top w:val="single" w:color="000000" w:sz="12" w:space="0"/>
              <w:right w:val="nil"/>
            </w:tcBorders>
            <w:vAlign w:val="top"/>
          </w:tcPr>
          <w:p>
            <w:pPr>
              <w:spacing w:before="30" w:line="207" w:lineRule="auto"/>
              <w:ind w:left="1513"/>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耕地面积（亩）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184" w:type="dxa"/>
            <w:vMerge w:val="continue"/>
            <w:tcBorders>
              <w:top w:val="nil"/>
              <w:left w:val="nil"/>
            </w:tcBorders>
            <w:vAlign w:val="top"/>
          </w:tcPr>
          <w:p>
            <w:pPr>
              <w:rPr>
                <w:rFonts w:ascii="Arial"/>
                <w:sz w:val="21"/>
              </w:rPr>
            </w:pPr>
          </w:p>
        </w:tc>
        <w:tc>
          <w:tcPr>
            <w:tcW w:w="1053" w:type="dxa"/>
            <w:vAlign w:val="top"/>
          </w:tcPr>
          <w:p>
            <w:pPr>
              <w:spacing w:before="31" w:line="205" w:lineRule="auto"/>
              <w:ind w:left="346"/>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乡镇</w:t>
            </w:r>
          </w:p>
        </w:tc>
        <w:tc>
          <w:tcPr>
            <w:tcW w:w="1121" w:type="dxa"/>
            <w:vAlign w:val="top"/>
          </w:tcPr>
          <w:p>
            <w:pPr>
              <w:spacing w:before="31" w:line="205" w:lineRule="auto"/>
              <w:ind w:left="25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村委会</w:t>
            </w:r>
          </w:p>
        </w:tc>
        <w:tc>
          <w:tcPr>
            <w:tcW w:w="1120" w:type="dxa"/>
            <w:vAlign w:val="top"/>
          </w:tcPr>
          <w:p>
            <w:pPr>
              <w:spacing w:before="31" w:line="205" w:lineRule="auto"/>
              <w:ind w:left="293"/>
              <w:rPr>
                <w:rFonts w:ascii="仿宋" w:hAnsi="仿宋" w:eastAsia="仿宋" w:cs="仿宋"/>
                <w:sz w:val="21"/>
                <w:szCs w:val="21"/>
              </w:rPr>
            </w:pPr>
            <w:r>
              <w:rPr>
                <w:rFonts w:ascii="仿宋" w:hAnsi="仿宋" w:eastAsia="仿宋" w:cs="仿宋"/>
                <w:spacing w:val="-12"/>
                <w:sz w:val="21"/>
                <w:szCs w:val="21"/>
                <w14:textOutline w14:w="3810" w14:cap="flat" w14:cmpd="sng">
                  <w14:solidFill>
                    <w14:srgbClr w14:val="000000"/>
                  </w14:solidFill>
                  <w14:prstDash w14:val="solid"/>
                  <w14:miter w14:val="0"/>
                </w14:textOutline>
              </w:rPr>
              <w:t>自然村</w:t>
            </w:r>
          </w:p>
        </w:tc>
        <w:tc>
          <w:tcPr>
            <w:tcW w:w="1119" w:type="dxa"/>
            <w:vAlign w:val="top"/>
          </w:tcPr>
          <w:p>
            <w:pPr>
              <w:spacing w:before="31" w:line="205" w:lineRule="auto"/>
              <w:ind w:left="359"/>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水田</w:t>
            </w:r>
          </w:p>
        </w:tc>
        <w:tc>
          <w:tcPr>
            <w:tcW w:w="1121" w:type="dxa"/>
            <w:vAlign w:val="top"/>
          </w:tcPr>
          <w:p>
            <w:pPr>
              <w:spacing w:before="31" w:line="205" w:lineRule="auto"/>
              <w:ind w:left="25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水浇地</w:t>
            </w:r>
          </w:p>
        </w:tc>
        <w:tc>
          <w:tcPr>
            <w:tcW w:w="1120" w:type="dxa"/>
            <w:vAlign w:val="top"/>
          </w:tcPr>
          <w:p>
            <w:pPr>
              <w:spacing w:before="31" w:line="205" w:lineRule="auto"/>
              <w:ind w:left="363"/>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旱地</w:t>
            </w:r>
          </w:p>
        </w:tc>
        <w:tc>
          <w:tcPr>
            <w:tcW w:w="1120" w:type="dxa"/>
            <w:tcBorders>
              <w:right w:val="nil"/>
            </w:tcBorders>
            <w:vAlign w:val="top"/>
          </w:tcPr>
          <w:p>
            <w:pPr>
              <w:spacing w:before="31" w:line="205" w:lineRule="auto"/>
              <w:ind w:left="36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小计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184" w:type="dxa"/>
            <w:vMerge w:val="restart"/>
            <w:tcBorders>
              <w:left w:val="nil"/>
              <w:bottom w:val="nil"/>
            </w:tcBorders>
            <w:vAlign w:val="top"/>
          </w:tcPr>
          <w:p>
            <w:pPr>
              <w:spacing w:line="386" w:lineRule="auto"/>
              <w:rPr>
                <w:rFonts w:ascii="Arial"/>
                <w:sz w:val="21"/>
              </w:rPr>
            </w:pPr>
          </w:p>
          <w:p>
            <w:pPr>
              <w:spacing w:before="68" w:line="216" w:lineRule="auto"/>
              <w:ind w:left="185"/>
              <w:rPr>
                <w:rFonts w:ascii="仿宋" w:hAnsi="仿宋" w:eastAsia="仿宋" w:cs="仿宋"/>
                <w:sz w:val="21"/>
                <w:szCs w:val="21"/>
              </w:rPr>
            </w:pPr>
            <w:r>
              <w:rPr>
                <w:rFonts w:ascii="仿宋" w:hAnsi="仿宋" w:eastAsia="仿宋" w:cs="仿宋"/>
                <w:spacing w:val="-3"/>
                <w:sz w:val="21"/>
                <w:szCs w:val="21"/>
              </w:rPr>
              <w:t>桂花灌片</w:t>
            </w:r>
          </w:p>
        </w:tc>
        <w:tc>
          <w:tcPr>
            <w:tcW w:w="1053" w:type="dxa"/>
            <w:vMerge w:val="restart"/>
            <w:tcBorders>
              <w:bottom w:val="nil"/>
            </w:tcBorders>
            <w:vAlign w:val="top"/>
          </w:tcPr>
          <w:p>
            <w:pPr>
              <w:spacing w:line="247" w:lineRule="auto"/>
              <w:rPr>
                <w:rFonts w:ascii="Arial"/>
                <w:sz w:val="21"/>
              </w:rPr>
            </w:pPr>
          </w:p>
          <w:p>
            <w:pPr>
              <w:spacing w:before="68" w:line="216" w:lineRule="auto"/>
              <w:ind w:left="327"/>
              <w:rPr>
                <w:rFonts w:ascii="仿宋" w:hAnsi="仿宋" w:eastAsia="仿宋" w:cs="仿宋"/>
                <w:sz w:val="21"/>
                <w:szCs w:val="21"/>
              </w:rPr>
            </w:pPr>
            <w:r>
              <w:rPr>
                <w:rFonts w:ascii="仿宋" w:hAnsi="仿宋" w:eastAsia="仿宋" w:cs="仿宋"/>
                <w:spacing w:val="-4"/>
                <w:sz w:val="21"/>
                <w:szCs w:val="21"/>
              </w:rPr>
              <w:t>桂花</w:t>
            </w:r>
          </w:p>
        </w:tc>
        <w:tc>
          <w:tcPr>
            <w:tcW w:w="1121" w:type="dxa"/>
            <w:vAlign w:val="top"/>
          </w:tcPr>
          <w:p>
            <w:pPr>
              <w:spacing w:before="34" w:line="203" w:lineRule="auto"/>
              <w:ind w:left="363"/>
              <w:rPr>
                <w:rFonts w:ascii="仿宋" w:hAnsi="仿宋" w:eastAsia="仿宋" w:cs="仿宋"/>
                <w:sz w:val="21"/>
                <w:szCs w:val="21"/>
              </w:rPr>
            </w:pPr>
            <w:r>
              <w:rPr>
                <w:rFonts w:ascii="仿宋" w:hAnsi="仿宋" w:eastAsia="仿宋" w:cs="仿宋"/>
                <w:spacing w:val="-5"/>
                <w:sz w:val="21"/>
                <w:szCs w:val="21"/>
              </w:rPr>
              <w:t>大村</w:t>
            </w:r>
          </w:p>
        </w:tc>
        <w:tc>
          <w:tcPr>
            <w:tcW w:w="1120" w:type="dxa"/>
            <w:vAlign w:val="top"/>
          </w:tcPr>
          <w:p>
            <w:pPr>
              <w:pStyle w:val="6"/>
              <w:spacing w:before="70" w:line="188" w:lineRule="auto"/>
              <w:ind w:left="476"/>
            </w:pPr>
            <w:r>
              <w:rPr>
                <w:spacing w:val="-6"/>
              </w:rPr>
              <w:t>14</w:t>
            </w:r>
          </w:p>
        </w:tc>
        <w:tc>
          <w:tcPr>
            <w:tcW w:w="1119" w:type="dxa"/>
            <w:vAlign w:val="top"/>
          </w:tcPr>
          <w:p>
            <w:pPr>
              <w:pStyle w:val="6"/>
              <w:spacing w:before="70" w:line="188" w:lineRule="auto"/>
              <w:ind w:left="407"/>
            </w:pPr>
            <w:r>
              <w:rPr>
                <w:spacing w:val="-2"/>
              </w:rPr>
              <w:t>913</w:t>
            </w:r>
          </w:p>
        </w:tc>
        <w:tc>
          <w:tcPr>
            <w:tcW w:w="1121" w:type="dxa"/>
            <w:vAlign w:val="top"/>
          </w:tcPr>
          <w:p>
            <w:pPr>
              <w:pStyle w:val="6"/>
              <w:spacing w:before="70" w:line="188" w:lineRule="auto"/>
              <w:ind w:left="513"/>
            </w:pPr>
            <w:r>
              <w:t>0</w:t>
            </w:r>
          </w:p>
        </w:tc>
        <w:tc>
          <w:tcPr>
            <w:tcW w:w="1120" w:type="dxa"/>
            <w:vAlign w:val="top"/>
          </w:tcPr>
          <w:p>
            <w:pPr>
              <w:pStyle w:val="6"/>
              <w:spacing w:before="70" w:line="188" w:lineRule="auto"/>
              <w:ind w:left="349"/>
            </w:pPr>
            <w:r>
              <w:rPr>
                <w:spacing w:val="-1"/>
              </w:rPr>
              <w:t>4237</w:t>
            </w:r>
          </w:p>
        </w:tc>
        <w:tc>
          <w:tcPr>
            <w:tcW w:w="1120" w:type="dxa"/>
            <w:tcBorders>
              <w:right w:val="nil"/>
            </w:tcBorders>
            <w:vAlign w:val="top"/>
          </w:tcPr>
          <w:p>
            <w:pPr>
              <w:pStyle w:val="6"/>
              <w:spacing w:before="70" w:line="188" w:lineRule="auto"/>
              <w:ind w:left="357"/>
            </w:pPr>
            <w:r>
              <w:rPr>
                <w:spacing w:val="-2"/>
              </w:rPr>
              <w:t>5150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184"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37" w:line="202" w:lineRule="auto"/>
              <w:ind w:left="266"/>
              <w:rPr>
                <w:rFonts w:ascii="仿宋" w:hAnsi="仿宋" w:eastAsia="仿宋" w:cs="仿宋"/>
                <w:sz w:val="21"/>
                <w:szCs w:val="21"/>
              </w:rPr>
            </w:pPr>
            <w:r>
              <w:rPr>
                <w:rFonts w:ascii="仿宋" w:hAnsi="仿宋" w:eastAsia="仿宋" w:cs="仿宋"/>
                <w:spacing w:val="-8"/>
                <w:sz w:val="21"/>
                <w:szCs w:val="21"/>
              </w:rPr>
              <w:t>皮左黑</w:t>
            </w:r>
          </w:p>
        </w:tc>
        <w:tc>
          <w:tcPr>
            <w:tcW w:w="1120" w:type="dxa"/>
            <w:vAlign w:val="top"/>
          </w:tcPr>
          <w:p>
            <w:pPr>
              <w:pStyle w:val="6"/>
              <w:spacing w:before="73" w:line="188" w:lineRule="auto"/>
              <w:ind w:left="508"/>
            </w:pPr>
            <w:r>
              <w:t>2</w:t>
            </w:r>
          </w:p>
        </w:tc>
        <w:tc>
          <w:tcPr>
            <w:tcW w:w="1119" w:type="dxa"/>
            <w:vAlign w:val="top"/>
          </w:tcPr>
          <w:p>
            <w:pPr>
              <w:pStyle w:val="6"/>
              <w:spacing w:before="73" w:line="188" w:lineRule="auto"/>
              <w:ind w:left="512"/>
            </w:pPr>
            <w:r>
              <w:t>0</w:t>
            </w:r>
          </w:p>
        </w:tc>
        <w:tc>
          <w:tcPr>
            <w:tcW w:w="1121" w:type="dxa"/>
            <w:vAlign w:val="top"/>
          </w:tcPr>
          <w:p>
            <w:pPr>
              <w:pStyle w:val="6"/>
              <w:spacing w:before="73" w:line="188" w:lineRule="auto"/>
              <w:ind w:left="513"/>
            </w:pPr>
            <w:r>
              <w:t>0</w:t>
            </w:r>
          </w:p>
        </w:tc>
        <w:tc>
          <w:tcPr>
            <w:tcW w:w="1120" w:type="dxa"/>
            <w:vAlign w:val="top"/>
          </w:tcPr>
          <w:p>
            <w:pPr>
              <w:pStyle w:val="6"/>
              <w:spacing w:before="73" w:line="188" w:lineRule="auto"/>
              <w:ind w:left="370"/>
            </w:pPr>
            <w:r>
              <w:rPr>
                <w:spacing w:val="-5"/>
              </w:rPr>
              <w:t>1277</w:t>
            </w:r>
          </w:p>
        </w:tc>
        <w:tc>
          <w:tcPr>
            <w:tcW w:w="1120" w:type="dxa"/>
            <w:tcBorders>
              <w:right w:val="nil"/>
            </w:tcBorders>
            <w:vAlign w:val="top"/>
          </w:tcPr>
          <w:p>
            <w:pPr>
              <w:pStyle w:val="6"/>
              <w:spacing w:before="73" w:line="188" w:lineRule="auto"/>
              <w:ind w:left="371"/>
            </w:pPr>
            <w:r>
              <w:rPr>
                <w:spacing w:val="-5"/>
              </w:rPr>
              <w:t>1277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184" w:type="dxa"/>
            <w:vMerge w:val="continue"/>
            <w:tcBorders>
              <w:top w:val="nil"/>
              <w:left w:val="nil"/>
              <w:bottom w:val="nil"/>
            </w:tcBorders>
            <w:vAlign w:val="top"/>
          </w:tcPr>
          <w:p>
            <w:pPr>
              <w:rPr>
                <w:rFonts w:ascii="Arial"/>
                <w:sz w:val="21"/>
              </w:rPr>
            </w:pPr>
          </w:p>
        </w:tc>
        <w:tc>
          <w:tcPr>
            <w:tcW w:w="1053" w:type="dxa"/>
            <w:vMerge w:val="continue"/>
            <w:tcBorders>
              <w:top w:val="nil"/>
            </w:tcBorders>
            <w:vAlign w:val="top"/>
          </w:tcPr>
          <w:p>
            <w:pPr>
              <w:rPr>
                <w:rFonts w:ascii="Arial"/>
                <w:sz w:val="21"/>
              </w:rPr>
            </w:pPr>
          </w:p>
        </w:tc>
        <w:tc>
          <w:tcPr>
            <w:tcW w:w="1121" w:type="dxa"/>
            <w:vAlign w:val="top"/>
          </w:tcPr>
          <w:p>
            <w:pPr>
              <w:spacing w:before="37" w:line="200" w:lineRule="auto"/>
              <w:ind w:left="363"/>
              <w:rPr>
                <w:rFonts w:ascii="仿宋" w:hAnsi="仿宋" w:eastAsia="仿宋" w:cs="仿宋"/>
                <w:sz w:val="21"/>
                <w:szCs w:val="21"/>
              </w:rPr>
            </w:pPr>
            <w:r>
              <w:rPr>
                <w:rFonts w:ascii="仿宋" w:hAnsi="仿宋" w:eastAsia="仿宋" w:cs="仿宋"/>
                <w:spacing w:val="-5"/>
                <w:sz w:val="21"/>
                <w:szCs w:val="21"/>
              </w:rPr>
              <w:t>大河</w:t>
            </w:r>
          </w:p>
        </w:tc>
        <w:tc>
          <w:tcPr>
            <w:tcW w:w="1120" w:type="dxa"/>
            <w:vAlign w:val="top"/>
          </w:tcPr>
          <w:p>
            <w:pPr>
              <w:pStyle w:val="6"/>
              <w:spacing w:before="76" w:line="185" w:lineRule="auto"/>
              <w:ind w:left="512"/>
            </w:pPr>
            <w:r>
              <w:t>7</w:t>
            </w:r>
          </w:p>
        </w:tc>
        <w:tc>
          <w:tcPr>
            <w:tcW w:w="1119" w:type="dxa"/>
            <w:vAlign w:val="top"/>
          </w:tcPr>
          <w:p>
            <w:pPr>
              <w:pStyle w:val="6"/>
              <w:spacing w:before="73" w:line="188" w:lineRule="auto"/>
              <w:ind w:left="460"/>
            </w:pPr>
            <w:r>
              <w:rPr>
                <w:spacing w:val="-3"/>
              </w:rPr>
              <w:t>39</w:t>
            </w:r>
          </w:p>
        </w:tc>
        <w:tc>
          <w:tcPr>
            <w:tcW w:w="1121" w:type="dxa"/>
            <w:vAlign w:val="top"/>
          </w:tcPr>
          <w:p>
            <w:pPr>
              <w:pStyle w:val="6"/>
              <w:spacing w:before="73" w:line="188" w:lineRule="auto"/>
              <w:ind w:left="513"/>
            </w:pPr>
            <w:r>
              <w:t>0</w:t>
            </w:r>
          </w:p>
        </w:tc>
        <w:tc>
          <w:tcPr>
            <w:tcW w:w="1120" w:type="dxa"/>
            <w:vAlign w:val="top"/>
          </w:tcPr>
          <w:p>
            <w:pPr>
              <w:pStyle w:val="6"/>
              <w:spacing w:before="73" w:line="188" w:lineRule="auto"/>
              <w:ind w:left="407"/>
            </w:pPr>
            <w:r>
              <w:rPr>
                <w:spacing w:val="-2"/>
              </w:rPr>
              <w:t>994</w:t>
            </w:r>
          </w:p>
        </w:tc>
        <w:tc>
          <w:tcPr>
            <w:tcW w:w="1120" w:type="dxa"/>
            <w:tcBorders>
              <w:right w:val="nil"/>
            </w:tcBorders>
            <w:vAlign w:val="top"/>
          </w:tcPr>
          <w:p>
            <w:pPr>
              <w:pStyle w:val="6"/>
              <w:spacing w:before="73" w:line="188" w:lineRule="auto"/>
              <w:ind w:left="371"/>
            </w:pPr>
            <w:r>
              <w:rPr>
                <w:spacing w:val="-5"/>
              </w:rPr>
              <w:t>1033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184" w:type="dxa"/>
            <w:vMerge w:val="continue"/>
            <w:tcBorders>
              <w:top w:val="nil"/>
              <w:left w:val="nil"/>
            </w:tcBorders>
            <w:vAlign w:val="top"/>
          </w:tcPr>
          <w:p>
            <w:pPr>
              <w:rPr>
                <w:rFonts w:ascii="Arial"/>
                <w:sz w:val="21"/>
              </w:rPr>
            </w:pPr>
          </w:p>
        </w:tc>
        <w:tc>
          <w:tcPr>
            <w:tcW w:w="3294" w:type="dxa"/>
            <w:gridSpan w:val="3"/>
            <w:vAlign w:val="top"/>
          </w:tcPr>
          <w:p>
            <w:pPr>
              <w:spacing w:before="38" w:line="199" w:lineRule="auto"/>
              <w:ind w:left="1447"/>
              <w:rPr>
                <w:rFonts w:ascii="仿宋" w:hAnsi="仿宋" w:eastAsia="仿宋" w:cs="仿宋"/>
                <w:sz w:val="21"/>
                <w:szCs w:val="21"/>
              </w:rPr>
            </w:pPr>
            <w:r>
              <w:rPr>
                <w:rFonts w:ascii="仿宋" w:hAnsi="仿宋" w:eastAsia="仿宋" w:cs="仿宋"/>
                <w:spacing w:val="-4"/>
                <w:sz w:val="21"/>
                <w:szCs w:val="21"/>
              </w:rPr>
              <w:t>小计</w:t>
            </w:r>
          </w:p>
        </w:tc>
        <w:tc>
          <w:tcPr>
            <w:tcW w:w="1119" w:type="dxa"/>
            <w:vAlign w:val="top"/>
          </w:tcPr>
          <w:p>
            <w:pPr>
              <w:pStyle w:val="6"/>
              <w:spacing w:before="75" w:line="188" w:lineRule="auto"/>
              <w:ind w:left="407"/>
            </w:pPr>
            <w:r>
              <w:rPr>
                <w:spacing w:val="-2"/>
              </w:rPr>
              <w:t>952</w:t>
            </w:r>
          </w:p>
        </w:tc>
        <w:tc>
          <w:tcPr>
            <w:tcW w:w="1121" w:type="dxa"/>
            <w:vAlign w:val="top"/>
          </w:tcPr>
          <w:p>
            <w:pPr>
              <w:pStyle w:val="6"/>
              <w:spacing w:before="75" w:line="188" w:lineRule="auto"/>
              <w:ind w:left="513"/>
            </w:pPr>
            <w:r>
              <w:t>0</w:t>
            </w:r>
          </w:p>
        </w:tc>
        <w:tc>
          <w:tcPr>
            <w:tcW w:w="1120" w:type="dxa"/>
            <w:vAlign w:val="top"/>
          </w:tcPr>
          <w:p>
            <w:pPr>
              <w:pStyle w:val="6"/>
              <w:spacing w:before="75" w:line="188" w:lineRule="auto"/>
              <w:ind w:left="355"/>
            </w:pPr>
            <w:r>
              <w:rPr>
                <w:spacing w:val="-2"/>
              </w:rPr>
              <w:t>6508</w:t>
            </w:r>
          </w:p>
        </w:tc>
        <w:tc>
          <w:tcPr>
            <w:tcW w:w="1120" w:type="dxa"/>
            <w:tcBorders>
              <w:right w:val="nil"/>
            </w:tcBorders>
            <w:vAlign w:val="top"/>
          </w:tcPr>
          <w:p>
            <w:pPr>
              <w:pStyle w:val="6"/>
              <w:spacing w:before="75" w:line="188" w:lineRule="auto"/>
              <w:ind w:left="354"/>
            </w:pPr>
            <w:r>
              <w:rPr>
                <w:spacing w:val="-2"/>
              </w:rPr>
              <w:t>7460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1184" w:type="dxa"/>
            <w:tcBorders>
              <w:left w:val="nil"/>
            </w:tcBorders>
            <w:vAlign w:val="top"/>
          </w:tcPr>
          <w:p>
            <w:pPr>
              <w:spacing w:before="40" w:line="218" w:lineRule="auto"/>
              <w:ind w:left="507" w:right="169" w:hanging="318"/>
              <w:rPr>
                <w:rFonts w:ascii="仿宋" w:hAnsi="仿宋" w:eastAsia="仿宋" w:cs="仿宋"/>
                <w:sz w:val="21"/>
                <w:szCs w:val="21"/>
              </w:rPr>
            </w:pPr>
            <w:r>
              <w:rPr>
                <w:rFonts w:ascii="仿宋" w:hAnsi="仿宋" w:eastAsia="仿宋" w:cs="仿宋"/>
                <w:spacing w:val="-5"/>
                <w:sz w:val="21"/>
                <w:szCs w:val="21"/>
              </w:rPr>
              <w:t>者纳么灌</w:t>
            </w:r>
            <w:r>
              <w:rPr>
                <w:rFonts w:ascii="仿宋" w:hAnsi="仿宋" w:eastAsia="仿宋" w:cs="仿宋"/>
                <w:spacing w:val="1"/>
                <w:sz w:val="21"/>
                <w:szCs w:val="21"/>
              </w:rPr>
              <w:t xml:space="preserve"> </w:t>
            </w:r>
            <w:r>
              <w:rPr>
                <w:rFonts w:ascii="仿宋" w:hAnsi="仿宋" w:eastAsia="仿宋" w:cs="仿宋"/>
                <w:sz w:val="21"/>
                <w:szCs w:val="21"/>
              </w:rPr>
              <w:t>片</w:t>
            </w:r>
          </w:p>
        </w:tc>
        <w:tc>
          <w:tcPr>
            <w:tcW w:w="1053" w:type="dxa"/>
            <w:vAlign w:val="top"/>
          </w:tcPr>
          <w:p>
            <w:pPr>
              <w:spacing w:before="177" w:line="219" w:lineRule="auto"/>
              <w:ind w:left="223"/>
              <w:rPr>
                <w:rFonts w:ascii="仿宋" w:hAnsi="仿宋" w:eastAsia="仿宋" w:cs="仿宋"/>
                <w:sz w:val="21"/>
                <w:szCs w:val="21"/>
              </w:rPr>
            </w:pPr>
            <w:r>
              <w:rPr>
                <w:rFonts w:ascii="仿宋" w:hAnsi="仿宋" w:eastAsia="仿宋" w:cs="仿宋"/>
                <w:spacing w:val="-4"/>
                <w:sz w:val="21"/>
                <w:szCs w:val="21"/>
              </w:rPr>
              <w:t>六苴镇</w:t>
            </w:r>
          </w:p>
        </w:tc>
        <w:tc>
          <w:tcPr>
            <w:tcW w:w="1121" w:type="dxa"/>
            <w:vAlign w:val="top"/>
          </w:tcPr>
          <w:p>
            <w:pPr>
              <w:spacing w:before="177" w:line="219" w:lineRule="auto"/>
              <w:ind w:left="259"/>
              <w:rPr>
                <w:rFonts w:ascii="仿宋" w:hAnsi="仿宋" w:eastAsia="仿宋" w:cs="仿宋"/>
                <w:sz w:val="21"/>
                <w:szCs w:val="21"/>
              </w:rPr>
            </w:pPr>
            <w:r>
              <w:rPr>
                <w:rFonts w:ascii="仿宋" w:hAnsi="仿宋" w:eastAsia="仿宋" w:cs="仿宋"/>
                <w:spacing w:val="-4"/>
                <w:sz w:val="21"/>
                <w:szCs w:val="21"/>
              </w:rPr>
              <w:t>者纳么</w:t>
            </w:r>
          </w:p>
        </w:tc>
        <w:tc>
          <w:tcPr>
            <w:tcW w:w="1120" w:type="dxa"/>
            <w:vAlign w:val="top"/>
          </w:tcPr>
          <w:p>
            <w:pPr>
              <w:pStyle w:val="6"/>
              <w:spacing w:before="214" w:line="188" w:lineRule="auto"/>
              <w:ind w:left="476"/>
            </w:pPr>
            <w:r>
              <w:rPr>
                <w:spacing w:val="-6"/>
              </w:rPr>
              <w:t>13</w:t>
            </w:r>
          </w:p>
        </w:tc>
        <w:tc>
          <w:tcPr>
            <w:tcW w:w="1119" w:type="dxa"/>
            <w:vAlign w:val="top"/>
          </w:tcPr>
          <w:p>
            <w:pPr>
              <w:pStyle w:val="6"/>
              <w:spacing w:before="214" w:line="188" w:lineRule="auto"/>
              <w:ind w:left="409"/>
            </w:pPr>
            <w:r>
              <w:rPr>
                <w:spacing w:val="-3"/>
              </w:rPr>
              <w:t>592</w:t>
            </w:r>
          </w:p>
        </w:tc>
        <w:tc>
          <w:tcPr>
            <w:tcW w:w="1121" w:type="dxa"/>
            <w:vAlign w:val="top"/>
          </w:tcPr>
          <w:p>
            <w:pPr>
              <w:pStyle w:val="6"/>
              <w:spacing w:before="214" w:line="188" w:lineRule="auto"/>
              <w:ind w:left="514"/>
            </w:pPr>
            <w:r>
              <w:t>9</w:t>
            </w:r>
          </w:p>
        </w:tc>
        <w:tc>
          <w:tcPr>
            <w:tcW w:w="1120" w:type="dxa"/>
            <w:vAlign w:val="top"/>
          </w:tcPr>
          <w:p>
            <w:pPr>
              <w:pStyle w:val="6"/>
              <w:spacing w:before="214" w:line="188" w:lineRule="auto"/>
              <w:ind w:left="354"/>
            </w:pPr>
            <w:r>
              <w:rPr>
                <w:spacing w:val="-2"/>
              </w:rPr>
              <w:t>3395</w:t>
            </w:r>
          </w:p>
        </w:tc>
        <w:tc>
          <w:tcPr>
            <w:tcW w:w="1120" w:type="dxa"/>
            <w:tcBorders>
              <w:right w:val="nil"/>
            </w:tcBorders>
            <w:vAlign w:val="top"/>
          </w:tcPr>
          <w:p>
            <w:pPr>
              <w:pStyle w:val="6"/>
              <w:spacing w:before="214" w:line="188" w:lineRule="auto"/>
              <w:ind w:left="355"/>
            </w:pPr>
            <w:r>
              <w:rPr>
                <w:spacing w:val="-2"/>
              </w:rPr>
              <w:t>3996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184" w:type="dxa"/>
            <w:vMerge w:val="restart"/>
            <w:tcBorders>
              <w:left w:val="nil"/>
              <w:bottom w:val="nil"/>
            </w:tcBorders>
            <w:vAlign w:val="top"/>
          </w:tcPr>
          <w:p>
            <w:pPr>
              <w:spacing w:line="257" w:lineRule="auto"/>
              <w:rPr>
                <w:rFonts w:ascii="Arial"/>
                <w:sz w:val="21"/>
              </w:rPr>
            </w:pPr>
          </w:p>
          <w:p>
            <w:pPr>
              <w:spacing w:before="69" w:line="218" w:lineRule="auto"/>
              <w:ind w:left="187"/>
              <w:rPr>
                <w:rFonts w:ascii="仿宋" w:hAnsi="仿宋" w:eastAsia="仿宋" w:cs="仿宋"/>
                <w:sz w:val="21"/>
                <w:szCs w:val="21"/>
              </w:rPr>
            </w:pPr>
            <w:r>
              <w:rPr>
                <w:rFonts w:ascii="仿宋" w:hAnsi="仿宋" w:eastAsia="仿宋" w:cs="仿宋"/>
                <w:spacing w:val="-4"/>
                <w:sz w:val="21"/>
                <w:szCs w:val="21"/>
              </w:rPr>
              <w:t>六苴灌片</w:t>
            </w:r>
          </w:p>
        </w:tc>
        <w:tc>
          <w:tcPr>
            <w:tcW w:w="1053" w:type="dxa"/>
            <w:vMerge w:val="restart"/>
            <w:tcBorders>
              <w:bottom w:val="nil"/>
            </w:tcBorders>
            <w:vAlign w:val="top"/>
          </w:tcPr>
          <w:p>
            <w:pPr>
              <w:spacing w:before="185" w:line="219" w:lineRule="auto"/>
              <w:ind w:left="223"/>
              <w:rPr>
                <w:rFonts w:ascii="仿宋" w:hAnsi="仿宋" w:eastAsia="仿宋" w:cs="仿宋"/>
                <w:sz w:val="21"/>
                <w:szCs w:val="21"/>
              </w:rPr>
            </w:pPr>
            <w:r>
              <w:rPr>
                <w:rFonts w:ascii="仿宋" w:hAnsi="仿宋" w:eastAsia="仿宋" w:cs="仿宋"/>
                <w:spacing w:val="-4"/>
                <w:sz w:val="21"/>
                <w:szCs w:val="21"/>
              </w:rPr>
              <w:t>六苴镇</w:t>
            </w:r>
          </w:p>
        </w:tc>
        <w:tc>
          <w:tcPr>
            <w:tcW w:w="1121" w:type="dxa"/>
            <w:vAlign w:val="top"/>
          </w:tcPr>
          <w:p>
            <w:pPr>
              <w:spacing w:before="45" w:line="195" w:lineRule="auto"/>
              <w:ind w:left="258"/>
              <w:rPr>
                <w:rFonts w:ascii="仿宋" w:hAnsi="仿宋" w:eastAsia="仿宋" w:cs="仿宋"/>
                <w:sz w:val="21"/>
                <w:szCs w:val="21"/>
              </w:rPr>
            </w:pPr>
            <w:r>
              <w:rPr>
                <w:rFonts w:ascii="仿宋" w:hAnsi="仿宋" w:eastAsia="仿宋" w:cs="仿宋"/>
                <w:spacing w:val="-4"/>
                <w:sz w:val="21"/>
                <w:szCs w:val="21"/>
              </w:rPr>
              <w:t>外期地</w:t>
            </w:r>
          </w:p>
        </w:tc>
        <w:tc>
          <w:tcPr>
            <w:tcW w:w="1120" w:type="dxa"/>
            <w:vAlign w:val="top"/>
          </w:tcPr>
          <w:p>
            <w:pPr>
              <w:pStyle w:val="6"/>
              <w:spacing w:before="81" w:line="184" w:lineRule="auto"/>
              <w:ind w:left="476"/>
            </w:pPr>
            <w:r>
              <w:rPr>
                <w:spacing w:val="-6"/>
              </w:rPr>
              <w:t>10</w:t>
            </w:r>
          </w:p>
        </w:tc>
        <w:tc>
          <w:tcPr>
            <w:tcW w:w="1119" w:type="dxa"/>
            <w:vAlign w:val="top"/>
          </w:tcPr>
          <w:p>
            <w:pPr>
              <w:pStyle w:val="6"/>
              <w:spacing w:before="81" w:line="184" w:lineRule="auto"/>
              <w:ind w:left="403"/>
            </w:pPr>
            <w:r>
              <w:rPr>
                <w:spacing w:val="-1"/>
              </w:rPr>
              <w:t>235</w:t>
            </w:r>
          </w:p>
        </w:tc>
        <w:tc>
          <w:tcPr>
            <w:tcW w:w="1121" w:type="dxa"/>
            <w:vAlign w:val="top"/>
          </w:tcPr>
          <w:p>
            <w:pPr>
              <w:pStyle w:val="6"/>
              <w:spacing w:before="81" w:line="184" w:lineRule="auto"/>
              <w:ind w:left="513"/>
            </w:pPr>
            <w:r>
              <w:t>0</w:t>
            </w:r>
          </w:p>
        </w:tc>
        <w:tc>
          <w:tcPr>
            <w:tcW w:w="1120" w:type="dxa"/>
            <w:vAlign w:val="top"/>
          </w:tcPr>
          <w:p>
            <w:pPr>
              <w:pStyle w:val="6"/>
              <w:spacing w:before="81" w:line="184" w:lineRule="auto"/>
              <w:ind w:left="370"/>
            </w:pPr>
            <w:r>
              <w:rPr>
                <w:spacing w:val="-5"/>
              </w:rPr>
              <w:t>1820</w:t>
            </w:r>
          </w:p>
        </w:tc>
        <w:tc>
          <w:tcPr>
            <w:tcW w:w="1120" w:type="dxa"/>
            <w:tcBorders>
              <w:right w:val="nil"/>
            </w:tcBorders>
            <w:vAlign w:val="top"/>
          </w:tcPr>
          <w:p>
            <w:pPr>
              <w:pStyle w:val="6"/>
              <w:spacing w:before="81" w:line="184" w:lineRule="auto"/>
              <w:ind w:left="351"/>
            </w:pPr>
            <w:r>
              <w:rPr>
                <w:spacing w:val="-1"/>
              </w:rPr>
              <w:t>2055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184" w:type="dxa"/>
            <w:vMerge w:val="continue"/>
            <w:tcBorders>
              <w:top w:val="nil"/>
              <w:left w:val="nil"/>
              <w:bottom w:val="nil"/>
            </w:tcBorders>
            <w:vAlign w:val="top"/>
          </w:tcPr>
          <w:p>
            <w:pPr>
              <w:rPr>
                <w:rFonts w:ascii="Arial"/>
                <w:sz w:val="21"/>
              </w:rPr>
            </w:pPr>
          </w:p>
        </w:tc>
        <w:tc>
          <w:tcPr>
            <w:tcW w:w="1053" w:type="dxa"/>
            <w:vMerge w:val="continue"/>
            <w:tcBorders>
              <w:top w:val="nil"/>
            </w:tcBorders>
            <w:vAlign w:val="top"/>
          </w:tcPr>
          <w:p>
            <w:pPr>
              <w:rPr>
                <w:rFonts w:ascii="Arial"/>
                <w:sz w:val="21"/>
              </w:rPr>
            </w:pPr>
          </w:p>
        </w:tc>
        <w:tc>
          <w:tcPr>
            <w:tcW w:w="1121" w:type="dxa"/>
            <w:vAlign w:val="top"/>
          </w:tcPr>
          <w:p>
            <w:pPr>
              <w:spacing w:before="45" w:line="193" w:lineRule="auto"/>
              <w:ind w:left="362"/>
              <w:rPr>
                <w:rFonts w:ascii="仿宋" w:hAnsi="仿宋" w:eastAsia="仿宋" w:cs="仿宋"/>
                <w:sz w:val="21"/>
                <w:szCs w:val="21"/>
              </w:rPr>
            </w:pPr>
            <w:r>
              <w:rPr>
                <w:rFonts w:ascii="仿宋" w:hAnsi="仿宋" w:eastAsia="仿宋" w:cs="仿宋"/>
                <w:spacing w:val="-4"/>
                <w:sz w:val="21"/>
                <w:szCs w:val="21"/>
              </w:rPr>
              <w:t>六苴</w:t>
            </w:r>
          </w:p>
        </w:tc>
        <w:tc>
          <w:tcPr>
            <w:tcW w:w="1120" w:type="dxa"/>
            <w:vAlign w:val="top"/>
          </w:tcPr>
          <w:p>
            <w:pPr>
              <w:pStyle w:val="6"/>
              <w:spacing w:before="81" w:line="182" w:lineRule="auto"/>
              <w:ind w:left="455"/>
            </w:pPr>
            <w:r>
              <w:rPr>
                <w:spacing w:val="-1"/>
              </w:rPr>
              <w:t>22</w:t>
            </w:r>
          </w:p>
        </w:tc>
        <w:tc>
          <w:tcPr>
            <w:tcW w:w="1119" w:type="dxa"/>
            <w:vAlign w:val="top"/>
          </w:tcPr>
          <w:p>
            <w:pPr>
              <w:pStyle w:val="6"/>
              <w:spacing w:before="81" w:line="182" w:lineRule="auto"/>
              <w:ind w:left="409"/>
            </w:pPr>
            <w:r>
              <w:rPr>
                <w:spacing w:val="-3"/>
              </w:rPr>
              <w:t>566</w:t>
            </w:r>
          </w:p>
        </w:tc>
        <w:tc>
          <w:tcPr>
            <w:tcW w:w="1121" w:type="dxa"/>
            <w:vAlign w:val="top"/>
          </w:tcPr>
          <w:p>
            <w:pPr>
              <w:pStyle w:val="6"/>
              <w:spacing w:before="81" w:line="182" w:lineRule="auto"/>
              <w:ind w:left="460"/>
            </w:pPr>
            <w:r>
              <w:rPr>
                <w:spacing w:val="-2"/>
              </w:rPr>
              <w:t>73</w:t>
            </w:r>
          </w:p>
        </w:tc>
        <w:tc>
          <w:tcPr>
            <w:tcW w:w="1120" w:type="dxa"/>
            <w:vAlign w:val="top"/>
          </w:tcPr>
          <w:p>
            <w:pPr>
              <w:pStyle w:val="6"/>
              <w:spacing w:before="81" w:line="182" w:lineRule="auto"/>
              <w:ind w:left="350"/>
            </w:pPr>
            <w:r>
              <w:rPr>
                <w:spacing w:val="-1"/>
              </w:rPr>
              <w:t>2731</w:t>
            </w:r>
          </w:p>
        </w:tc>
        <w:tc>
          <w:tcPr>
            <w:tcW w:w="1120" w:type="dxa"/>
            <w:tcBorders>
              <w:right w:val="nil"/>
            </w:tcBorders>
            <w:vAlign w:val="top"/>
          </w:tcPr>
          <w:p>
            <w:pPr>
              <w:pStyle w:val="6"/>
              <w:spacing w:before="81" w:line="182" w:lineRule="auto"/>
              <w:ind w:left="355"/>
            </w:pPr>
            <w:r>
              <w:rPr>
                <w:spacing w:val="-2"/>
              </w:rPr>
              <w:t>3370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184" w:type="dxa"/>
            <w:vMerge w:val="continue"/>
            <w:tcBorders>
              <w:top w:val="nil"/>
              <w:left w:val="nil"/>
            </w:tcBorders>
            <w:vAlign w:val="top"/>
          </w:tcPr>
          <w:p>
            <w:pPr>
              <w:rPr>
                <w:rFonts w:ascii="Arial"/>
                <w:sz w:val="21"/>
              </w:rPr>
            </w:pPr>
          </w:p>
        </w:tc>
        <w:tc>
          <w:tcPr>
            <w:tcW w:w="3294" w:type="dxa"/>
            <w:gridSpan w:val="3"/>
            <w:vAlign w:val="top"/>
          </w:tcPr>
          <w:p>
            <w:pPr>
              <w:spacing w:before="47" w:line="191" w:lineRule="auto"/>
              <w:ind w:left="1447"/>
              <w:rPr>
                <w:rFonts w:ascii="仿宋" w:hAnsi="仿宋" w:eastAsia="仿宋" w:cs="仿宋"/>
                <w:sz w:val="21"/>
                <w:szCs w:val="21"/>
              </w:rPr>
            </w:pPr>
            <w:r>
              <w:rPr>
                <w:rFonts w:ascii="仿宋" w:hAnsi="仿宋" w:eastAsia="仿宋" w:cs="仿宋"/>
                <w:spacing w:val="-4"/>
                <w:sz w:val="21"/>
                <w:szCs w:val="21"/>
              </w:rPr>
              <w:t>小计</w:t>
            </w:r>
          </w:p>
        </w:tc>
        <w:tc>
          <w:tcPr>
            <w:tcW w:w="1119" w:type="dxa"/>
            <w:vAlign w:val="top"/>
          </w:tcPr>
          <w:p>
            <w:pPr>
              <w:pStyle w:val="6"/>
              <w:spacing w:before="83" w:line="180" w:lineRule="auto"/>
              <w:ind w:left="412"/>
            </w:pPr>
            <w:r>
              <w:rPr>
                <w:spacing w:val="-3"/>
              </w:rPr>
              <w:t>801</w:t>
            </w:r>
          </w:p>
        </w:tc>
        <w:tc>
          <w:tcPr>
            <w:tcW w:w="1121" w:type="dxa"/>
            <w:vAlign w:val="top"/>
          </w:tcPr>
          <w:p>
            <w:pPr>
              <w:pStyle w:val="6"/>
              <w:spacing w:before="83" w:line="180" w:lineRule="auto"/>
              <w:ind w:left="460"/>
            </w:pPr>
            <w:r>
              <w:rPr>
                <w:spacing w:val="-2"/>
              </w:rPr>
              <w:t>73</w:t>
            </w:r>
          </w:p>
        </w:tc>
        <w:tc>
          <w:tcPr>
            <w:tcW w:w="1120" w:type="dxa"/>
            <w:vAlign w:val="top"/>
          </w:tcPr>
          <w:p>
            <w:pPr>
              <w:pStyle w:val="6"/>
              <w:spacing w:before="83" w:line="180" w:lineRule="auto"/>
              <w:ind w:left="349"/>
            </w:pPr>
            <w:r>
              <w:rPr>
                <w:spacing w:val="-1"/>
              </w:rPr>
              <w:t>4551</w:t>
            </w:r>
          </w:p>
        </w:tc>
        <w:tc>
          <w:tcPr>
            <w:tcW w:w="1120" w:type="dxa"/>
            <w:tcBorders>
              <w:right w:val="nil"/>
            </w:tcBorders>
            <w:vAlign w:val="top"/>
          </w:tcPr>
          <w:p>
            <w:pPr>
              <w:pStyle w:val="6"/>
              <w:spacing w:before="83" w:line="180" w:lineRule="auto"/>
              <w:ind w:left="357"/>
            </w:pPr>
            <w:r>
              <w:rPr>
                <w:spacing w:val="-2"/>
              </w:rPr>
              <w:t>5425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184" w:type="dxa"/>
            <w:vMerge w:val="restart"/>
            <w:tcBorders>
              <w:left w:val="nil"/>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9" w:line="218" w:lineRule="auto"/>
              <w:ind w:left="185"/>
              <w:rPr>
                <w:rFonts w:ascii="仿宋" w:hAnsi="仿宋" w:eastAsia="仿宋" w:cs="仿宋"/>
                <w:sz w:val="21"/>
                <w:szCs w:val="21"/>
              </w:rPr>
            </w:pPr>
            <w:r>
              <w:rPr>
                <w:rFonts w:ascii="仿宋" w:hAnsi="仿宋" w:eastAsia="仿宋" w:cs="仿宋"/>
                <w:spacing w:val="-3"/>
                <w:sz w:val="21"/>
                <w:szCs w:val="21"/>
              </w:rPr>
              <w:t>新街灌片</w:t>
            </w:r>
          </w:p>
        </w:tc>
        <w:tc>
          <w:tcPr>
            <w:tcW w:w="1053"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69" w:line="218" w:lineRule="auto"/>
              <w:ind w:left="221"/>
              <w:rPr>
                <w:rFonts w:ascii="仿宋" w:hAnsi="仿宋" w:eastAsia="仿宋" w:cs="仿宋"/>
                <w:sz w:val="21"/>
                <w:szCs w:val="21"/>
              </w:rPr>
            </w:pPr>
            <w:r>
              <w:rPr>
                <w:rFonts w:ascii="仿宋" w:hAnsi="仿宋" w:eastAsia="仿宋" w:cs="仿宋"/>
                <w:spacing w:val="-3"/>
                <w:sz w:val="21"/>
                <w:szCs w:val="21"/>
              </w:rPr>
              <w:t>新街镇</w:t>
            </w:r>
          </w:p>
        </w:tc>
        <w:tc>
          <w:tcPr>
            <w:tcW w:w="1121" w:type="dxa"/>
            <w:vAlign w:val="top"/>
          </w:tcPr>
          <w:p>
            <w:pPr>
              <w:spacing w:before="50" w:line="190" w:lineRule="auto"/>
              <w:ind w:left="360"/>
              <w:rPr>
                <w:rFonts w:ascii="仿宋" w:hAnsi="仿宋" w:eastAsia="仿宋" w:cs="仿宋"/>
                <w:sz w:val="21"/>
                <w:szCs w:val="21"/>
              </w:rPr>
            </w:pPr>
            <w:r>
              <w:rPr>
                <w:rFonts w:ascii="仿宋" w:hAnsi="仿宋" w:eastAsia="仿宋" w:cs="仿宋"/>
                <w:spacing w:val="-4"/>
                <w:sz w:val="21"/>
                <w:szCs w:val="21"/>
              </w:rPr>
              <w:t>新街</w:t>
            </w:r>
          </w:p>
        </w:tc>
        <w:tc>
          <w:tcPr>
            <w:tcW w:w="1120" w:type="dxa"/>
            <w:vAlign w:val="top"/>
          </w:tcPr>
          <w:p>
            <w:pPr>
              <w:pStyle w:val="6"/>
              <w:spacing w:before="85" w:line="180" w:lineRule="auto"/>
              <w:ind w:left="476"/>
            </w:pPr>
            <w:r>
              <w:rPr>
                <w:spacing w:val="-12"/>
              </w:rPr>
              <w:t>16</w:t>
            </w:r>
          </w:p>
        </w:tc>
        <w:tc>
          <w:tcPr>
            <w:tcW w:w="1119" w:type="dxa"/>
            <w:vAlign w:val="top"/>
          </w:tcPr>
          <w:p>
            <w:pPr>
              <w:pStyle w:val="6"/>
              <w:spacing w:before="85" w:line="180" w:lineRule="auto"/>
              <w:ind w:left="351"/>
            </w:pPr>
            <w:r>
              <w:rPr>
                <w:spacing w:val="-1"/>
              </w:rPr>
              <w:t>2373</w:t>
            </w:r>
          </w:p>
        </w:tc>
        <w:tc>
          <w:tcPr>
            <w:tcW w:w="1121" w:type="dxa"/>
            <w:vAlign w:val="top"/>
          </w:tcPr>
          <w:p>
            <w:pPr>
              <w:pStyle w:val="6"/>
              <w:spacing w:before="85" w:line="180" w:lineRule="auto"/>
              <w:ind w:left="456"/>
            </w:pPr>
            <w:r>
              <w:rPr>
                <w:spacing w:val="-2"/>
              </w:rPr>
              <w:t>47</w:t>
            </w:r>
          </w:p>
        </w:tc>
        <w:tc>
          <w:tcPr>
            <w:tcW w:w="1120" w:type="dxa"/>
            <w:vAlign w:val="top"/>
          </w:tcPr>
          <w:p>
            <w:pPr>
              <w:pStyle w:val="6"/>
              <w:spacing w:before="85" w:line="180" w:lineRule="auto"/>
              <w:ind w:left="354"/>
            </w:pPr>
            <w:r>
              <w:rPr>
                <w:spacing w:val="-3"/>
              </w:rPr>
              <w:t>3564</w:t>
            </w:r>
          </w:p>
        </w:tc>
        <w:tc>
          <w:tcPr>
            <w:tcW w:w="1120" w:type="dxa"/>
            <w:tcBorders>
              <w:right w:val="nil"/>
            </w:tcBorders>
            <w:vAlign w:val="top"/>
          </w:tcPr>
          <w:p>
            <w:pPr>
              <w:pStyle w:val="6"/>
              <w:spacing w:before="85" w:line="180" w:lineRule="auto"/>
              <w:ind w:left="357"/>
            </w:pPr>
            <w:r>
              <w:rPr>
                <w:spacing w:val="-3"/>
              </w:rPr>
              <w:t>5984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184"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1" w:line="188" w:lineRule="auto"/>
              <w:ind w:left="363"/>
              <w:rPr>
                <w:rFonts w:ascii="仿宋" w:hAnsi="仿宋" w:eastAsia="仿宋" w:cs="仿宋"/>
                <w:sz w:val="21"/>
                <w:szCs w:val="21"/>
              </w:rPr>
            </w:pPr>
            <w:r>
              <w:rPr>
                <w:rFonts w:ascii="仿宋" w:hAnsi="仿宋" w:eastAsia="仿宋" w:cs="仿宋"/>
                <w:spacing w:val="-5"/>
                <w:sz w:val="21"/>
                <w:szCs w:val="21"/>
              </w:rPr>
              <w:t>大桥</w:t>
            </w:r>
          </w:p>
        </w:tc>
        <w:tc>
          <w:tcPr>
            <w:tcW w:w="1120" w:type="dxa"/>
            <w:vAlign w:val="top"/>
          </w:tcPr>
          <w:p>
            <w:pPr>
              <w:pStyle w:val="6"/>
              <w:spacing w:before="86" w:line="177" w:lineRule="auto"/>
              <w:ind w:left="476"/>
            </w:pPr>
            <w:r>
              <w:rPr>
                <w:spacing w:val="-12"/>
              </w:rPr>
              <w:t>12</w:t>
            </w:r>
          </w:p>
        </w:tc>
        <w:tc>
          <w:tcPr>
            <w:tcW w:w="1119" w:type="dxa"/>
            <w:vAlign w:val="top"/>
          </w:tcPr>
          <w:p>
            <w:pPr>
              <w:pStyle w:val="6"/>
              <w:spacing w:before="86" w:line="177" w:lineRule="auto"/>
              <w:ind w:left="412"/>
            </w:pPr>
            <w:r>
              <w:rPr>
                <w:spacing w:val="-5"/>
              </w:rPr>
              <w:t>801</w:t>
            </w:r>
          </w:p>
        </w:tc>
        <w:tc>
          <w:tcPr>
            <w:tcW w:w="1121" w:type="dxa"/>
            <w:vAlign w:val="top"/>
          </w:tcPr>
          <w:p>
            <w:pPr>
              <w:pStyle w:val="6"/>
              <w:spacing w:before="86" w:line="177" w:lineRule="auto"/>
              <w:ind w:left="461"/>
            </w:pPr>
            <w:r>
              <w:rPr>
                <w:spacing w:val="-5"/>
              </w:rPr>
              <w:t>61</w:t>
            </w:r>
          </w:p>
        </w:tc>
        <w:tc>
          <w:tcPr>
            <w:tcW w:w="1120" w:type="dxa"/>
            <w:vAlign w:val="top"/>
          </w:tcPr>
          <w:p>
            <w:pPr>
              <w:pStyle w:val="6"/>
              <w:spacing w:before="86" w:line="177" w:lineRule="auto"/>
              <w:ind w:left="370"/>
            </w:pPr>
            <w:r>
              <w:rPr>
                <w:spacing w:val="-6"/>
              </w:rPr>
              <w:t>1573</w:t>
            </w:r>
          </w:p>
        </w:tc>
        <w:tc>
          <w:tcPr>
            <w:tcW w:w="1120" w:type="dxa"/>
            <w:tcBorders>
              <w:right w:val="nil"/>
            </w:tcBorders>
            <w:vAlign w:val="top"/>
          </w:tcPr>
          <w:p>
            <w:pPr>
              <w:pStyle w:val="6"/>
              <w:spacing w:before="86" w:line="177" w:lineRule="auto"/>
              <w:ind w:left="351"/>
            </w:pPr>
            <w:r>
              <w:rPr>
                <w:spacing w:val="-1"/>
              </w:rPr>
              <w:t>2435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84"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3" w:line="187" w:lineRule="auto"/>
              <w:ind w:left="257"/>
              <w:rPr>
                <w:rFonts w:ascii="仿宋" w:hAnsi="仿宋" w:eastAsia="仿宋" w:cs="仿宋"/>
                <w:sz w:val="21"/>
                <w:szCs w:val="21"/>
              </w:rPr>
            </w:pPr>
            <w:r>
              <w:rPr>
                <w:rFonts w:ascii="仿宋" w:hAnsi="仿宋" w:eastAsia="仿宋" w:cs="仿宋"/>
                <w:spacing w:val="-5"/>
                <w:sz w:val="21"/>
                <w:szCs w:val="21"/>
              </w:rPr>
              <w:t>斑竹箐</w:t>
            </w:r>
          </w:p>
        </w:tc>
        <w:tc>
          <w:tcPr>
            <w:tcW w:w="1120" w:type="dxa"/>
            <w:vAlign w:val="top"/>
          </w:tcPr>
          <w:p>
            <w:pPr>
              <w:pStyle w:val="6"/>
              <w:spacing w:before="89" w:line="175" w:lineRule="auto"/>
              <w:ind w:left="512"/>
            </w:pPr>
            <w:r>
              <w:t>9</w:t>
            </w:r>
          </w:p>
        </w:tc>
        <w:tc>
          <w:tcPr>
            <w:tcW w:w="1119" w:type="dxa"/>
            <w:vAlign w:val="top"/>
          </w:tcPr>
          <w:p>
            <w:pPr>
              <w:pStyle w:val="6"/>
              <w:spacing w:before="89" w:line="175" w:lineRule="auto"/>
              <w:ind w:left="412"/>
            </w:pPr>
            <w:r>
              <w:rPr>
                <w:spacing w:val="-5"/>
              </w:rPr>
              <w:t>808</w:t>
            </w:r>
          </w:p>
        </w:tc>
        <w:tc>
          <w:tcPr>
            <w:tcW w:w="1121" w:type="dxa"/>
            <w:vAlign w:val="top"/>
          </w:tcPr>
          <w:p>
            <w:pPr>
              <w:pStyle w:val="6"/>
              <w:spacing w:before="89" w:line="175" w:lineRule="auto"/>
              <w:ind w:left="461"/>
            </w:pPr>
            <w:r>
              <w:rPr>
                <w:spacing w:val="-5"/>
              </w:rPr>
              <w:t>37</w:t>
            </w:r>
          </w:p>
        </w:tc>
        <w:tc>
          <w:tcPr>
            <w:tcW w:w="1120" w:type="dxa"/>
            <w:vAlign w:val="top"/>
          </w:tcPr>
          <w:p>
            <w:pPr>
              <w:pStyle w:val="6"/>
              <w:spacing w:before="89" w:line="175" w:lineRule="auto"/>
              <w:ind w:left="375"/>
            </w:pPr>
            <w:r>
              <w:rPr>
                <w:spacing w:val="-8"/>
              </w:rPr>
              <w:t>1187</w:t>
            </w:r>
          </w:p>
        </w:tc>
        <w:tc>
          <w:tcPr>
            <w:tcW w:w="1120" w:type="dxa"/>
            <w:tcBorders>
              <w:right w:val="nil"/>
            </w:tcBorders>
            <w:vAlign w:val="top"/>
          </w:tcPr>
          <w:p>
            <w:pPr>
              <w:pStyle w:val="6"/>
              <w:spacing w:before="89" w:line="175" w:lineRule="auto"/>
              <w:ind w:left="351"/>
            </w:pPr>
            <w:r>
              <w:rPr>
                <w:spacing w:val="-1"/>
              </w:rPr>
              <w:t>2031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184"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4" w:line="185" w:lineRule="auto"/>
              <w:ind w:left="261"/>
              <w:rPr>
                <w:rFonts w:ascii="仿宋" w:hAnsi="仿宋" w:eastAsia="仿宋" w:cs="仿宋"/>
                <w:sz w:val="21"/>
                <w:szCs w:val="21"/>
              </w:rPr>
            </w:pPr>
            <w:r>
              <w:rPr>
                <w:rFonts w:ascii="仿宋" w:hAnsi="仿宋" w:eastAsia="仿宋" w:cs="仿宋"/>
                <w:spacing w:val="-5"/>
                <w:sz w:val="21"/>
                <w:szCs w:val="21"/>
              </w:rPr>
              <w:t>夏家坝</w:t>
            </w:r>
          </w:p>
        </w:tc>
        <w:tc>
          <w:tcPr>
            <w:tcW w:w="1120" w:type="dxa"/>
            <w:vAlign w:val="top"/>
          </w:tcPr>
          <w:p>
            <w:pPr>
              <w:pStyle w:val="6"/>
              <w:spacing w:before="90" w:line="173" w:lineRule="auto"/>
              <w:ind w:left="476"/>
            </w:pPr>
            <w:r>
              <w:rPr>
                <w:spacing w:val="-12"/>
              </w:rPr>
              <w:t>10</w:t>
            </w:r>
          </w:p>
        </w:tc>
        <w:tc>
          <w:tcPr>
            <w:tcW w:w="1119" w:type="dxa"/>
            <w:vAlign w:val="top"/>
          </w:tcPr>
          <w:p>
            <w:pPr>
              <w:pStyle w:val="6"/>
              <w:spacing w:before="90" w:line="173" w:lineRule="auto"/>
              <w:ind w:left="371"/>
            </w:pPr>
            <w:r>
              <w:rPr>
                <w:spacing w:val="-6"/>
              </w:rPr>
              <w:t>1748</w:t>
            </w:r>
          </w:p>
        </w:tc>
        <w:tc>
          <w:tcPr>
            <w:tcW w:w="1121" w:type="dxa"/>
            <w:vAlign w:val="top"/>
          </w:tcPr>
          <w:p>
            <w:pPr>
              <w:pStyle w:val="6"/>
              <w:spacing w:before="90" w:line="173" w:lineRule="auto"/>
              <w:ind w:left="461"/>
            </w:pPr>
            <w:r>
              <w:rPr>
                <w:spacing w:val="-5"/>
              </w:rPr>
              <w:t>63</w:t>
            </w:r>
          </w:p>
        </w:tc>
        <w:tc>
          <w:tcPr>
            <w:tcW w:w="1120" w:type="dxa"/>
            <w:vAlign w:val="top"/>
          </w:tcPr>
          <w:p>
            <w:pPr>
              <w:pStyle w:val="6"/>
              <w:spacing w:before="90" w:line="173" w:lineRule="auto"/>
              <w:ind w:left="370"/>
            </w:pPr>
            <w:r>
              <w:rPr>
                <w:spacing w:val="-6"/>
              </w:rPr>
              <w:t>1671</w:t>
            </w:r>
          </w:p>
        </w:tc>
        <w:tc>
          <w:tcPr>
            <w:tcW w:w="1120" w:type="dxa"/>
            <w:tcBorders>
              <w:right w:val="nil"/>
            </w:tcBorders>
            <w:vAlign w:val="top"/>
          </w:tcPr>
          <w:p>
            <w:pPr>
              <w:pStyle w:val="6"/>
              <w:spacing w:before="90" w:line="173" w:lineRule="auto"/>
              <w:ind w:left="355"/>
            </w:pPr>
            <w:r>
              <w:rPr>
                <w:spacing w:val="-3"/>
              </w:rPr>
              <w:t>3428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184"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7" w:line="184" w:lineRule="auto"/>
              <w:ind w:left="362"/>
              <w:rPr>
                <w:rFonts w:ascii="仿宋" w:hAnsi="仿宋" w:eastAsia="仿宋" w:cs="仿宋"/>
                <w:sz w:val="21"/>
                <w:szCs w:val="21"/>
              </w:rPr>
            </w:pPr>
            <w:r>
              <w:rPr>
                <w:rFonts w:ascii="仿宋" w:hAnsi="仿宋" w:eastAsia="仿宋" w:cs="仿宋"/>
                <w:spacing w:val="-8"/>
                <w:sz w:val="21"/>
                <w:szCs w:val="21"/>
              </w:rPr>
              <w:t>芦川</w:t>
            </w:r>
          </w:p>
        </w:tc>
        <w:tc>
          <w:tcPr>
            <w:tcW w:w="1120" w:type="dxa"/>
            <w:vAlign w:val="top"/>
          </w:tcPr>
          <w:p>
            <w:pPr>
              <w:pStyle w:val="6"/>
              <w:spacing w:before="93" w:line="172" w:lineRule="auto"/>
              <w:ind w:left="512"/>
            </w:pPr>
            <w:r>
              <w:t>9</w:t>
            </w:r>
          </w:p>
        </w:tc>
        <w:tc>
          <w:tcPr>
            <w:tcW w:w="1119" w:type="dxa"/>
            <w:vAlign w:val="top"/>
          </w:tcPr>
          <w:p>
            <w:pPr>
              <w:pStyle w:val="6"/>
              <w:spacing w:before="93" w:line="172" w:lineRule="auto"/>
              <w:ind w:left="351"/>
            </w:pPr>
            <w:r>
              <w:rPr>
                <w:spacing w:val="-1"/>
              </w:rPr>
              <w:t>2108</w:t>
            </w:r>
          </w:p>
        </w:tc>
        <w:tc>
          <w:tcPr>
            <w:tcW w:w="1121" w:type="dxa"/>
            <w:vAlign w:val="top"/>
          </w:tcPr>
          <w:p>
            <w:pPr>
              <w:pStyle w:val="6"/>
              <w:spacing w:before="93" w:line="172" w:lineRule="auto"/>
              <w:ind w:left="456"/>
            </w:pPr>
            <w:r>
              <w:rPr>
                <w:spacing w:val="-2"/>
              </w:rPr>
              <w:t>46</w:t>
            </w:r>
          </w:p>
        </w:tc>
        <w:tc>
          <w:tcPr>
            <w:tcW w:w="1120" w:type="dxa"/>
            <w:vAlign w:val="top"/>
          </w:tcPr>
          <w:p>
            <w:pPr>
              <w:pStyle w:val="6"/>
              <w:spacing w:before="93" w:line="172" w:lineRule="auto"/>
              <w:ind w:left="350"/>
            </w:pPr>
            <w:r>
              <w:rPr>
                <w:spacing w:val="-1"/>
              </w:rPr>
              <w:t>2076</w:t>
            </w:r>
          </w:p>
        </w:tc>
        <w:tc>
          <w:tcPr>
            <w:tcW w:w="1120" w:type="dxa"/>
            <w:tcBorders>
              <w:right w:val="nil"/>
            </w:tcBorders>
            <w:vAlign w:val="top"/>
          </w:tcPr>
          <w:p>
            <w:pPr>
              <w:pStyle w:val="6"/>
              <w:spacing w:before="93" w:line="172" w:lineRule="auto"/>
              <w:ind w:left="350"/>
            </w:pPr>
            <w:r>
              <w:rPr>
                <w:spacing w:val="-1"/>
              </w:rPr>
              <w:t>4230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184"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7" w:line="182" w:lineRule="auto"/>
              <w:ind w:left="383"/>
              <w:rPr>
                <w:rFonts w:ascii="仿宋" w:hAnsi="仿宋" w:eastAsia="仿宋" w:cs="仿宋"/>
                <w:sz w:val="21"/>
                <w:szCs w:val="21"/>
              </w:rPr>
            </w:pPr>
            <w:r>
              <w:rPr>
                <w:rFonts w:ascii="仿宋" w:hAnsi="仿宋" w:eastAsia="仿宋" w:cs="仿宋"/>
                <w:spacing w:val="-10"/>
                <w:sz w:val="21"/>
                <w:szCs w:val="21"/>
              </w:rPr>
              <w:t>团山</w:t>
            </w:r>
          </w:p>
        </w:tc>
        <w:tc>
          <w:tcPr>
            <w:tcW w:w="1120" w:type="dxa"/>
            <w:vAlign w:val="top"/>
          </w:tcPr>
          <w:p>
            <w:pPr>
              <w:pStyle w:val="6"/>
              <w:spacing w:before="93" w:line="170" w:lineRule="auto"/>
              <w:ind w:left="476"/>
            </w:pPr>
            <w:r>
              <w:rPr>
                <w:spacing w:val="-12"/>
              </w:rPr>
              <w:t>10</w:t>
            </w:r>
          </w:p>
        </w:tc>
        <w:tc>
          <w:tcPr>
            <w:tcW w:w="1119" w:type="dxa"/>
            <w:vAlign w:val="top"/>
          </w:tcPr>
          <w:p>
            <w:pPr>
              <w:pStyle w:val="6"/>
              <w:spacing w:before="93" w:line="170" w:lineRule="auto"/>
              <w:ind w:left="383"/>
            </w:pPr>
            <w:r>
              <w:rPr>
                <w:spacing w:val="-11"/>
              </w:rPr>
              <w:t>1111</w:t>
            </w:r>
          </w:p>
        </w:tc>
        <w:tc>
          <w:tcPr>
            <w:tcW w:w="1121" w:type="dxa"/>
            <w:vAlign w:val="top"/>
          </w:tcPr>
          <w:p>
            <w:pPr>
              <w:pStyle w:val="6"/>
              <w:spacing w:before="93" w:line="170" w:lineRule="auto"/>
              <w:ind w:left="428"/>
            </w:pPr>
            <w:r>
              <w:rPr>
                <w:spacing w:val="-10"/>
              </w:rPr>
              <w:t>117</w:t>
            </w:r>
          </w:p>
        </w:tc>
        <w:tc>
          <w:tcPr>
            <w:tcW w:w="1120" w:type="dxa"/>
            <w:vAlign w:val="top"/>
          </w:tcPr>
          <w:p>
            <w:pPr>
              <w:pStyle w:val="6"/>
              <w:spacing w:before="93" w:line="170" w:lineRule="auto"/>
              <w:ind w:left="370"/>
            </w:pPr>
            <w:r>
              <w:rPr>
                <w:spacing w:val="-6"/>
              </w:rPr>
              <w:t>1986</w:t>
            </w:r>
          </w:p>
        </w:tc>
        <w:tc>
          <w:tcPr>
            <w:tcW w:w="1120" w:type="dxa"/>
            <w:tcBorders>
              <w:right w:val="nil"/>
            </w:tcBorders>
            <w:vAlign w:val="top"/>
          </w:tcPr>
          <w:p>
            <w:pPr>
              <w:pStyle w:val="6"/>
              <w:spacing w:before="93" w:line="170" w:lineRule="auto"/>
              <w:ind w:left="355"/>
            </w:pPr>
            <w:r>
              <w:rPr>
                <w:spacing w:val="-3"/>
              </w:rPr>
              <w:t>3214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0" w:hRule="atLeast"/>
        </w:trPr>
        <w:tc>
          <w:tcPr>
            <w:tcW w:w="1184" w:type="dxa"/>
            <w:vMerge w:val="continue"/>
            <w:tcBorders>
              <w:top w:val="nil"/>
              <w:left w:val="nil"/>
              <w:bottom w:val="single" w:color="000000" w:sz="12" w:space="0"/>
            </w:tcBorders>
            <w:vAlign w:val="top"/>
          </w:tcPr>
          <w:p>
            <w:pPr>
              <w:rPr>
                <w:rFonts w:ascii="Arial"/>
                <w:sz w:val="21"/>
              </w:rPr>
            </w:pPr>
          </w:p>
        </w:tc>
        <w:tc>
          <w:tcPr>
            <w:tcW w:w="1053" w:type="dxa"/>
            <w:vMerge w:val="continue"/>
            <w:tcBorders>
              <w:top w:val="nil"/>
              <w:bottom w:val="single" w:color="000000" w:sz="12" w:space="0"/>
            </w:tcBorders>
            <w:vAlign w:val="top"/>
          </w:tcPr>
          <w:p>
            <w:pPr>
              <w:rPr>
                <w:rFonts w:ascii="Arial"/>
                <w:sz w:val="21"/>
              </w:rPr>
            </w:pPr>
          </w:p>
        </w:tc>
        <w:tc>
          <w:tcPr>
            <w:tcW w:w="1121" w:type="dxa"/>
            <w:tcBorders>
              <w:bottom w:val="single" w:color="000000" w:sz="12" w:space="0"/>
            </w:tcBorders>
            <w:vAlign w:val="top"/>
          </w:tcPr>
          <w:p>
            <w:pPr>
              <w:spacing w:before="59" w:line="203" w:lineRule="auto"/>
              <w:ind w:left="256"/>
              <w:rPr>
                <w:rFonts w:ascii="仿宋" w:hAnsi="仿宋" w:eastAsia="仿宋" w:cs="仿宋"/>
                <w:sz w:val="21"/>
                <w:szCs w:val="21"/>
              </w:rPr>
            </w:pPr>
            <w:r>
              <w:rPr>
                <w:rFonts w:ascii="仿宋" w:hAnsi="仿宋" w:eastAsia="仿宋" w:cs="仿宋"/>
                <w:spacing w:val="-4"/>
                <w:sz w:val="21"/>
                <w:szCs w:val="21"/>
              </w:rPr>
              <w:t>小古衙</w:t>
            </w:r>
          </w:p>
        </w:tc>
        <w:tc>
          <w:tcPr>
            <w:tcW w:w="1120" w:type="dxa"/>
            <w:tcBorders>
              <w:bottom w:val="single" w:color="000000" w:sz="12" w:space="0"/>
            </w:tcBorders>
            <w:vAlign w:val="top"/>
          </w:tcPr>
          <w:p>
            <w:pPr>
              <w:pStyle w:val="6"/>
              <w:spacing w:before="95" w:line="188" w:lineRule="auto"/>
              <w:ind w:left="476"/>
            </w:pPr>
            <w:r>
              <w:rPr>
                <w:spacing w:val="-12"/>
              </w:rPr>
              <w:t>18</w:t>
            </w:r>
          </w:p>
        </w:tc>
        <w:tc>
          <w:tcPr>
            <w:tcW w:w="1119" w:type="dxa"/>
            <w:tcBorders>
              <w:bottom w:val="single" w:color="000000" w:sz="12" w:space="0"/>
            </w:tcBorders>
            <w:vAlign w:val="top"/>
          </w:tcPr>
          <w:p>
            <w:pPr>
              <w:pStyle w:val="6"/>
              <w:spacing w:before="95" w:line="188" w:lineRule="auto"/>
              <w:ind w:left="355"/>
            </w:pPr>
            <w:r>
              <w:rPr>
                <w:spacing w:val="-3"/>
              </w:rPr>
              <w:t>3459</w:t>
            </w:r>
          </w:p>
        </w:tc>
        <w:tc>
          <w:tcPr>
            <w:tcW w:w="1121" w:type="dxa"/>
            <w:tcBorders>
              <w:bottom w:val="single" w:color="000000" w:sz="12" w:space="0"/>
            </w:tcBorders>
            <w:vAlign w:val="top"/>
          </w:tcPr>
          <w:p>
            <w:pPr>
              <w:pStyle w:val="6"/>
              <w:spacing w:before="95" w:line="188" w:lineRule="auto"/>
              <w:ind w:left="424"/>
            </w:pPr>
            <w:r>
              <w:rPr>
                <w:spacing w:val="-9"/>
              </w:rPr>
              <w:t>190</w:t>
            </w:r>
          </w:p>
        </w:tc>
        <w:tc>
          <w:tcPr>
            <w:tcW w:w="1120" w:type="dxa"/>
            <w:tcBorders>
              <w:bottom w:val="single" w:color="000000" w:sz="12" w:space="0"/>
            </w:tcBorders>
            <w:vAlign w:val="top"/>
          </w:tcPr>
          <w:p>
            <w:pPr>
              <w:pStyle w:val="6"/>
              <w:spacing w:before="95" w:line="188" w:lineRule="auto"/>
              <w:ind w:left="350"/>
            </w:pPr>
            <w:r>
              <w:rPr>
                <w:spacing w:val="-1"/>
              </w:rPr>
              <w:t>2295</w:t>
            </w:r>
          </w:p>
        </w:tc>
        <w:tc>
          <w:tcPr>
            <w:tcW w:w="1120" w:type="dxa"/>
            <w:tcBorders>
              <w:bottom w:val="single" w:color="000000" w:sz="12" w:space="0"/>
              <w:right w:val="nil"/>
            </w:tcBorders>
            <w:vAlign w:val="top"/>
          </w:tcPr>
          <w:p>
            <w:pPr>
              <w:pStyle w:val="6"/>
              <w:spacing w:before="95" w:line="188" w:lineRule="auto"/>
              <w:ind w:left="357"/>
            </w:pPr>
            <w:r>
              <w:rPr>
                <w:spacing w:val="-3"/>
              </w:rPr>
              <w:t>5944</w:t>
            </w:r>
          </w:p>
        </w:tc>
      </w:tr>
    </w:tbl>
    <w:p>
      <w:pPr>
        <w:spacing w:line="208" w:lineRule="exact"/>
        <w:rPr>
          <w:rFonts w:ascii="Arial"/>
          <w:sz w:val="18"/>
        </w:rPr>
      </w:pPr>
    </w:p>
    <w:p>
      <w:pPr>
        <w:spacing w:line="208" w:lineRule="exact"/>
        <w:rPr>
          <w:rFonts w:ascii="Arial" w:hAnsi="Arial" w:eastAsia="Arial" w:cs="Arial"/>
          <w:sz w:val="18"/>
          <w:szCs w:val="18"/>
        </w:rPr>
        <w:sectPr>
          <w:headerReference r:id="rId119" w:type="default"/>
          <w:footerReference r:id="rId120" w:type="default"/>
          <w:pgSz w:w="11907" w:h="16839"/>
          <w:pgMar w:top="1298" w:right="1387" w:bottom="1374" w:left="1501" w:header="1023" w:footer="1210" w:gutter="0"/>
        </w:sectPr>
      </w:pPr>
    </w:p>
    <w:p>
      <w:pPr>
        <w:spacing w:line="120" w:lineRule="exact"/>
      </w:pPr>
    </w:p>
    <w:tbl>
      <w:tblPr>
        <w:tblStyle w:val="5"/>
        <w:tblW w:w="8972"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8"/>
        <w:gridCol w:w="1053"/>
        <w:gridCol w:w="1121"/>
        <w:gridCol w:w="1120"/>
        <w:gridCol w:w="1119"/>
        <w:gridCol w:w="1121"/>
        <w:gridCol w:w="1120"/>
        <w:gridCol w:w="11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restart"/>
            <w:tcBorders>
              <w:top w:val="single" w:color="000000" w:sz="12" w:space="0"/>
              <w:left w:val="nil"/>
              <w:bottom w:val="nil"/>
            </w:tcBorders>
            <w:vAlign w:val="top"/>
          </w:tcPr>
          <w:p>
            <w:pPr>
              <w:spacing w:before="171" w:line="218" w:lineRule="auto"/>
              <w:ind w:left="412"/>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灌片</w:t>
            </w:r>
          </w:p>
        </w:tc>
        <w:tc>
          <w:tcPr>
            <w:tcW w:w="3294" w:type="dxa"/>
            <w:gridSpan w:val="3"/>
            <w:tcBorders>
              <w:top w:val="single" w:color="000000" w:sz="12" w:space="0"/>
            </w:tcBorders>
            <w:vAlign w:val="top"/>
          </w:tcPr>
          <w:p>
            <w:pPr>
              <w:spacing w:before="30" w:line="207" w:lineRule="auto"/>
              <w:ind w:left="1448"/>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位置</w:t>
            </w:r>
          </w:p>
        </w:tc>
        <w:tc>
          <w:tcPr>
            <w:tcW w:w="4480" w:type="dxa"/>
            <w:gridSpan w:val="4"/>
            <w:tcBorders>
              <w:top w:val="single" w:color="000000" w:sz="12" w:space="0"/>
              <w:right w:val="nil"/>
            </w:tcBorders>
            <w:vAlign w:val="top"/>
          </w:tcPr>
          <w:p>
            <w:pPr>
              <w:spacing w:before="30" w:line="207" w:lineRule="auto"/>
              <w:ind w:left="151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耕地面积（亩）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Align w:val="top"/>
          </w:tcPr>
          <w:p>
            <w:pPr>
              <w:spacing w:before="31" w:line="206" w:lineRule="auto"/>
              <w:ind w:left="346"/>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乡镇</w:t>
            </w:r>
          </w:p>
        </w:tc>
        <w:tc>
          <w:tcPr>
            <w:tcW w:w="1121" w:type="dxa"/>
            <w:vAlign w:val="top"/>
          </w:tcPr>
          <w:p>
            <w:pPr>
              <w:spacing w:before="31" w:line="206" w:lineRule="auto"/>
              <w:ind w:left="25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村委会</w:t>
            </w:r>
          </w:p>
        </w:tc>
        <w:tc>
          <w:tcPr>
            <w:tcW w:w="1120" w:type="dxa"/>
            <w:vAlign w:val="top"/>
          </w:tcPr>
          <w:p>
            <w:pPr>
              <w:spacing w:before="31" w:line="206" w:lineRule="auto"/>
              <w:ind w:left="294"/>
              <w:rPr>
                <w:rFonts w:ascii="仿宋" w:hAnsi="仿宋" w:eastAsia="仿宋" w:cs="仿宋"/>
                <w:sz w:val="21"/>
                <w:szCs w:val="21"/>
              </w:rPr>
            </w:pPr>
            <w:r>
              <w:rPr>
                <w:rFonts w:ascii="仿宋" w:hAnsi="仿宋" w:eastAsia="仿宋" w:cs="仿宋"/>
                <w:spacing w:val="-12"/>
                <w:sz w:val="21"/>
                <w:szCs w:val="21"/>
                <w14:textOutline w14:w="3810" w14:cap="flat" w14:cmpd="sng">
                  <w14:solidFill>
                    <w14:srgbClr w14:val="000000"/>
                  </w14:solidFill>
                  <w14:prstDash w14:val="solid"/>
                  <w14:miter w14:val="0"/>
                </w14:textOutline>
              </w:rPr>
              <w:t>自然村</w:t>
            </w:r>
          </w:p>
        </w:tc>
        <w:tc>
          <w:tcPr>
            <w:tcW w:w="1119" w:type="dxa"/>
            <w:vAlign w:val="top"/>
          </w:tcPr>
          <w:p>
            <w:pPr>
              <w:spacing w:before="31" w:line="206" w:lineRule="auto"/>
              <w:ind w:left="36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水田</w:t>
            </w:r>
          </w:p>
        </w:tc>
        <w:tc>
          <w:tcPr>
            <w:tcW w:w="1121" w:type="dxa"/>
            <w:vAlign w:val="top"/>
          </w:tcPr>
          <w:p>
            <w:pPr>
              <w:spacing w:before="31" w:line="206" w:lineRule="auto"/>
              <w:ind w:left="25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水浇地</w:t>
            </w:r>
          </w:p>
        </w:tc>
        <w:tc>
          <w:tcPr>
            <w:tcW w:w="1120" w:type="dxa"/>
            <w:vAlign w:val="top"/>
          </w:tcPr>
          <w:p>
            <w:pPr>
              <w:spacing w:before="31" w:line="206" w:lineRule="auto"/>
              <w:ind w:left="363"/>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旱地</w:t>
            </w:r>
          </w:p>
        </w:tc>
        <w:tc>
          <w:tcPr>
            <w:tcW w:w="1120" w:type="dxa"/>
            <w:tcBorders>
              <w:right w:val="nil"/>
            </w:tcBorders>
            <w:vAlign w:val="top"/>
          </w:tcPr>
          <w:p>
            <w:pPr>
              <w:spacing w:before="31" w:line="206" w:lineRule="auto"/>
              <w:ind w:left="36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小计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restart"/>
            <w:tcBorders>
              <w:bottom w:val="nil"/>
            </w:tcBorders>
            <w:vAlign w:val="top"/>
          </w:tcPr>
          <w:p>
            <w:pPr>
              <w:rPr>
                <w:rFonts w:ascii="Arial"/>
                <w:sz w:val="21"/>
              </w:rPr>
            </w:pPr>
          </w:p>
        </w:tc>
        <w:tc>
          <w:tcPr>
            <w:tcW w:w="1121" w:type="dxa"/>
            <w:vAlign w:val="top"/>
          </w:tcPr>
          <w:p>
            <w:pPr>
              <w:spacing w:before="32" w:line="205" w:lineRule="auto"/>
              <w:ind w:left="259"/>
              <w:rPr>
                <w:rFonts w:ascii="仿宋" w:hAnsi="仿宋" w:eastAsia="仿宋" w:cs="仿宋"/>
                <w:sz w:val="21"/>
                <w:szCs w:val="21"/>
              </w:rPr>
            </w:pPr>
            <w:r>
              <w:rPr>
                <w:rFonts w:ascii="仿宋" w:hAnsi="仿宋" w:eastAsia="仿宋" w:cs="仿宋"/>
                <w:spacing w:val="-4"/>
                <w:sz w:val="21"/>
                <w:szCs w:val="21"/>
              </w:rPr>
              <w:t>大古衙</w:t>
            </w:r>
          </w:p>
        </w:tc>
        <w:tc>
          <w:tcPr>
            <w:tcW w:w="1120" w:type="dxa"/>
            <w:vAlign w:val="top"/>
          </w:tcPr>
          <w:p>
            <w:pPr>
              <w:pStyle w:val="6"/>
              <w:spacing w:before="69" w:line="188" w:lineRule="auto"/>
              <w:ind w:left="476"/>
            </w:pPr>
            <w:r>
              <w:rPr>
                <w:spacing w:val="-12"/>
              </w:rPr>
              <w:t>12</w:t>
            </w:r>
          </w:p>
        </w:tc>
        <w:tc>
          <w:tcPr>
            <w:tcW w:w="1119" w:type="dxa"/>
            <w:vAlign w:val="top"/>
          </w:tcPr>
          <w:p>
            <w:pPr>
              <w:pStyle w:val="6"/>
              <w:spacing w:before="69" w:line="188" w:lineRule="auto"/>
              <w:ind w:left="351"/>
            </w:pPr>
            <w:r>
              <w:rPr>
                <w:spacing w:val="-1"/>
              </w:rPr>
              <w:t>2203</w:t>
            </w:r>
          </w:p>
        </w:tc>
        <w:tc>
          <w:tcPr>
            <w:tcW w:w="1121" w:type="dxa"/>
            <w:vAlign w:val="top"/>
          </w:tcPr>
          <w:p>
            <w:pPr>
              <w:pStyle w:val="6"/>
              <w:spacing w:before="69" w:line="188" w:lineRule="auto"/>
              <w:ind w:left="462"/>
            </w:pPr>
            <w:r>
              <w:rPr>
                <w:spacing w:val="-5"/>
              </w:rPr>
              <w:t>65</w:t>
            </w:r>
          </w:p>
        </w:tc>
        <w:tc>
          <w:tcPr>
            <w:tcW w:w="1120" w:type="dxa"/>
            <w:vAlign w:val="top"/>
          </w:tcPr>
          <w:p>
            <w:pPr>
              <w:pStyle w:val="6"/>
              <w:spacing w:before="69" w:line="188" w:lineRule="auto"/>
              <w:ind w:left="371"/>
            </w:pPr>
            <w:r>
              <w:rPr>
                <w:spacing w:val="-6"/>
              </w:rPr>
              <w:t>1233</w:t>
            </w:r>
          </w:p>
        </w:tc>
        <w:tc>
          <w:tcPr>
            <w:tcW w:w="1120" w:type="dxa"/>
            <w:tcBorders>
              <w:right w:val="nil"/>
            </w:tcBorders>
            <w:vAlign w:val="top"/>
          </w:tcPr>
          <w:p>
            <w:pPr>
              <w:pStyle w:val="6"/>
              <w:spacing w:before="69" w:line="188" w:lineRule="auto"/>
              <w:ind w:left="356"/>
            </w:pPr>
            <w:r>
              <w:rPr>
                <w:spacing w:val="-3"/>
              </w:rPr>
              <w:t>3501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tcBorders>
            <w:vAlign w:val="top"/>
          </w:tcPr>
          <w:p>
            <w:pPr>
              <w:rPr>
                <w:rFonts w:ascii="Arial"/>
                <w:sz w:val="21"/>
              </w:rPr>
            </w:pPr>
          </w:p>
        </w:tc>
        <w:tc>
          <w:tcPr>
            <w:tcW w:w="1121" w:type="dxa"/>
            <w:vAlign w:val="top"/>
          </w:tcPr>
          <w:p>
            <w:pPr>
              <w:spacing w:before="33" w:line="204" w:lineRule="auto"/>
              <w:ind w:left="264"/>
              <w:rPr>
                <w:rFonts w:ascii="仿宋" w:hAnsi="仿宋" w:eastAsia="仿宋" w:cs="仿宋"/>
                <w:sz w:val="21"/>
                <w:szCs w:val="21"/>
              </w:rPr>
            </w:pPr>
            <w:r>
              <w:rPr>
                <w:rFonts w:ascii="仿宋" w:hAnsi="仿宋" w:eastAsia="仿宋" w:cs="仿宋"/>
                <w:spacing w:val="-5"/>
                <w:sz w:val="21"/>
                <w:szCs w:val="21"/>
              </w:rPr>
              <w:t>碧么村</w:t>
            </w:r>
          </w:p>
        </w:tc>
        <w:tc>
          <w:tcPr>
            <w:tcW w:w="1120" w:type="dxa"/>
            <w:vAlign w:val="top"/>
          </w:tcPr>
          <w:p>
            <w:pPr>
              <w:pStyle w:val="6"/>
              <w:spacing w:before="70" w:line="188" w:lineRule="auto"/>
              <w:ind w:left="476"/>
            </w:pPr>
            <w:r>
              <w:rPr>
                <w:spacing w:val="-12"/>
              </w:rPr>
              <w:t>17</w:t>
            </w:r>
          </w:p>
        </w:tc>
        <w:tc>
          <w:tcPr>
            <w:tcW w:w="1119" w:type="dxa"/>
            <w:vAlign w:val="top"/>
          </w:tcPr>
          <w:p>
            <w:pPr>
              <w:pStyle w:val="6"/>
              <w:spacing w:before="70" w:line="188" w:lineRule="auto"/>
              <w:ind w:left="371"/>
            </w:pPr>
            <w:r>
              <w:rPr>
                <w:spacing w:val="-6"/>
              </w:rPr>
              <w:t>1791</w:t>
            </w:r>
          </w:p>
        </w:tc>
        <w:tc>
          <w:tcPr>
            <w:tcW w:w="1121" w:type="dxa"/>
            <w:vAlign w:val="top"/>
          </w:tcPr>
          <w:p>
            <w:pPr>
              <w:pStyle w:val="6"/>
              <w:spacing w:before="70" w:line="188" w:lineRule="auto"/>
              <w:ind w:left="457"/>
            </w:pPr>
            <w:r>
              <w:rPr>
                <w:spacing w:val="-2"/>
              </w:rPr>
              <w:t>23</w:t>
            </w:r>
          </w:p>
        </w:tc>
        <w:tc>
          <w:tcPr>
            <w:tcW w:w="1120" w:type="dxa"/>
            <w:vAlign w:val="top"/>
          </w:tcPr>
          <w:p>
            <w:pPr>
              <w:pStyle w:val="6"/>
              <w:spacing w:before="70" w:line="188" w:lineRule="auto"/>
              <w:ind w:left="355"/>
            </w:pPr>
            <w:r>
              <w:rPr>
                <w:spacing w:val="-3"/>
              </w:rPr>
              <w:t>3301</w:t>
            </w:r>
          </w:p>
        </w:tc>
        <w:tc>
          <w:tcPr>
            <w:tcW w:w="1120" w:type="dxa"/>
            <w:tcBorders>
              <w:right w:val="nil"/>
            </w:tcBorders>
            <w:vAlign w:val="top"/>
          </w:tcPr>
          <w:p>
            <w:pPr>
              <w:pStyle w:val="6"/>
              <w:spacing w:before="70" w:line="188" w:lineRule="auto"/>
              <w:ind w:left="362"/>
            </w:pPr>
            <w:r>
              <w:rPr>
                <w:spacing w:val="-4"/>
              </w:rPr>
              <w:t>5114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1198" w:type="dxa"/>
            <w:vMerge w:val="continue"/>
            <w:tcBorders>
              <w:top w:val="nil"/>
              <w:left w:val="nil"/>
            </w:tcBorders>
            <w:vAlign w:val="top"/>
          </w:tcPr>
          <w:p>
            <w:pPr>
              <w:rPr>
                <w:rFonts w:ascii="Arial"/>
                <w:sz w:val="21"/>
              </w:rPr>
            </w:pPr>
          </w:p>
        </w:tc>
        <w:tc>
          <w:tcPr>
            <w:tcW w:w="3294" w:type="dxa"/>
            <w:gridSpan w:val="3"/>
            <w:vAlign w:val="top"/>
          </w:tcPr>
          <w:p>
            <w:pPr>
              <w:spacing w:before="35" w:line="204" w:lineRule="auto"/>
              <w:ind w:left="1447"/>
              <w:rPr>
                <w:rFonts w:ascii="仿宋" w:hAnsi="仿宋" w:eastAsia="仿宋" w:cs="仿宋"/>
                <w:sz w:val="21"/>
                <w:szCs w:val="21"/>
              </w:rPr>
            </w:pPr>
            <w:r>
              <w:rPr>
                <w:rFonts w:ascii="仿宋" w:hAnsi="仿宋" w:eastAsia="仿宋" w:cs="仿宋"/>
                <w:spacing w:val="-4"/>
                <w:sz w:val="21"/>
                <w:szCs w:val="21"/>
              </w:rPr>
              <w:t>小计</w:t>
            </w:r>
          </w:p>
        </w:tc>
        <w:tc>
          <w:tcPr>
            <w:tcW w:w="1119" w:type="dxa"/>
            <w:vAlign w:val="top"/>
          </w:tcPr>
          <w:p>
            <w:pPr>
              <w:pStyle w:val="6"/>
              <w:spacing w:before="72" w:line="188" w:lineRule="auto"/>
              <w:ind w:left="320"/>
            </w:pPr>
            <w:r>
              <w:rPr>
                <w:spacing w:val="-5"/>
              </w:rPr>
              <w:t>16403</w:t>
            </w:r>
          </w:p>
        </w:tc>
        <w:tc>
          <w:tcPr>
            <w:tcW w:w="1121" w:type="dxa"/>
            <w:vAlign w:val="top"/>
          </w:tcPr>
          <w:p>
            <w:pPr>
              <w:pStyle w:val="6"/>
              <w:spacing w:before="72" w:line="188" w:lineRule="auto"/>
              <w:ind w:left="409"/>
            </w:pPr>
            <w:r>
              <w:rPr>
                <w:spacing w:val="-3"/>
              </w:rPr>
              <w:t>649</w:t>
            </w:r>
          </w:p>
        </w:tc>
        <w:tc>
          <w:tcPr>
            <w:tcW w:w="1120" w:type="dxa"/>
            <w:vAlign w:val="top"/>
          </w:tcPr>
          <w:p>
            <w:pPr>
              <w:pStyle w:val="6"/>
              <w:spacing w:before="72" w:line="188" w:lineRule="auto"/>
              <w:ind w:left="319"/>
            </w:pPr>
            <w:r>
              <w:rPr>
                <w:spacing w:val="-5"/>
              </w:rPr>
              <w:t>18885</w:t>
            </w:r>
          </w:p>
        </w:tc>
        <w:tc>
          <w:tcPr>
            <w:tcW w:w="1120" w:type="dxa"/>
            <w:tcBorders>
              <w:right w:val="nil"/>
            </w:tcBorders>
            <w:vAlign w:val="top"/>
          </w:tcPr>
          <w:p>
            <w:pPr>
              <w:pStyle w:val="6"/>
              <w:spacing w:before="72" w:line="188" w:lineRule="auto"/>
              <w:ind w:left="304"/>
            </w:pPr>
            <w:r>
              <w:rPr>
                <w:spacing w:val="-2"/>
              </w:rPr>
              <w:t>35937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restart"/>
            <w:tcBorders>
              <w:left w:val="nil"/>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9" w:line="218" w:lineRule="auto"/>
              <w:ind w:left="200"/>
              <w:rPr>
                <w:rFonts w:ascii="仿宋" w:hAnsi="仿宋" w:eastAsia="仿宋" w:cs="仿宋"/>
                <w:sz w:val="21"/>
                <w:szCs w:val="21"/>
              </w:rPr>
            </w:pPr>
            <w:r>
              <w:rPr>
                <w:rFonts w:ascii="仿宋" w:hAnsi="仿宋" w:eastAsia="仿宋" w:cs="仿宋"/>
                <w:spacing w:val="-4"/>
                <w:sz w:val="21"/>
                <w:szCs w:val="21"/>
              </w:rPr>
              <w:t>金碧灌片</w:t>
            </w:r>
          </w:p>
        </w:tc>
        <w:tc>
          <w:tcPr>
            <w:tcW w:w="105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68" w:line="219" w:lineRule="auto"/>
              <w:ind w:left="222"/>
              <w:rPr>
                <w:rFonts w:ascii="仿宋" w:hAnsi="仿宋" w:eastAsia="仿宋" w:cs="仿宋"/>
                <w:sz w:val="21"/>
                <w:szCs w:val="21"/>
              </w:rPr>
            </w:pPr>
            <w:r>
              <w:rPr>
                <w:rFonts w:ascii="仿宋" w:hAnsi="仿宋" w:eastAsia="仿宋" w:cs="仿宋"/>
                <w:spacing w:val="-5"/>
                <w:sz w:val="21"/>
                <w:szCs w:val="21"/>
              </w:rPr>
              <w:t>金碧镇</w:t>
            </w:r>
          </w:p>
        </w:tc>
        <w:tc>
          <w:tcPr>
            <w:tcW w:w="1121" w:type="dxa"/>
            <w:vAlign w:val="top"/>
          </w:tcPr>
          <w:p>
            <w:pPr>
              <w:spacing w:before="35" w:line="203" w:lineRule="auto"/>
              <w:ind w:left="367"/>
              <w:rPr>
                <w:rFonts w:ascii="仿宋" w:hAnsi="仿宋" w:eastAsia="仿宋" w:cs="仿宋"/>
                <w:sz w:val="21"/>
                <w:szCs w:val="21"/>
              </w:rPr>
            </w:pPr>
            <w:r>
              <w:rPr>
                <w:rFonts w:ascii="仿宋" w:hAnsi="仿宋" w:eastAsia="仿宋" w:cs="仿宋"/>
                <w:spacing w:val="-5"/>
                <w:sz w:val="21"/>
                <w:szCs w:val="21"/>
              </w:rPr>
              <w:t>北城</w:t>
            </w:r>
          </w:p>
        </w:tc>
        <w:tc>
          <w:tcPr>
            <w:tcW w:w="1120" w:type="dxa"/>
            <w:vAlign w:val="top"/>
          </w:tcPr>
          <w:p>
            <w:pPr>
              <w:pStyle w:val="6"/>
              <w:spacing w:before="72" w:line="188" w:lineRule="auto"/>
              <w:ind w:left="508"/>
            </w:pPr>
            <w:r>
              <w:t>4</w:t>
            </w:r>
          </w:p>
        </w:tc>
        <w:tc>
          <w:tcPr>
            <w:tcW w:w="1119" w:type="dxa"/>
            <w:vAlign w:val="top"/>
          </w:tcPr>
          <w:p>
            <w:pPr>
              <w:pStyle w:val="6"/>
              <w:spacing w:before="71" w:line="188" w:lineRule="auto"/>
              <w:ind w:left="409"/>
            </w:pPr>
            <w:r>
              <w:rPr>
                <w:spacing w:val="-4"/>
              </w:rPr>
              <w:t>513</w:t>
            </w:r>
          </w:p>
        </w:tc>
        <w:tc>
          <w:tcPr>
            <w:tcW w:w="1121" w:type="dxa"/>
            <w:vAlign w:val="top"/>
          </w:tcPr>
          <w:p>
            <w:pPr>
              <w:pStyle w:val="6"/>
              <w:spacing w:before="71" w:line="188" w:lineRule="auto"/>
              <w:ind w:left="513"/>
            </w:pPr>
            <w:r>
              <w:t>0</w:t>
            </w:r>
          </w:p>
        </w:tc>
        <w:tc>
          <w:tcPr>
            <w:tcW w:w="1120" w:type="dxa"/>
            <w:vAlign w:val="top"/>
          </w:tcPr>
          <w:p>
            <w:pPr>
              <w:pStyle w:val="6"/>
              <w:spacing w:before="71" w:line="188" w:lineRule="auto"/>
              <w:ind w:left="460"/>
            </w:pPr>
            <w:r>
              <w:rPr>
                <w:spacing w:val="-5"/>
              </w:rPr>
              <w:t>38</w:t>
            </w:r>
          </w:p>
        </w:tc>
        <w:tc>
          <w:tcPr>
            <w:tcW w:w="1120" w:type="dxa"/>
            <w:tcBorders>
              <w:right w:val="nil"/>
            </w:tcBorders>
            <w:vAlign w:val="top"/>
          </w:tcPr>
          <w:p>
            <w:pPr>
              <w:pStyle w:val="6"/>
              <w:spacing w:before="71" w:line="188" w:lineRule="auto"/>
              <w:ind w:left="410"/>
            </w:pPr>
            <w:r>
              <w:rPr>
                <w:spacing w:val="-4"/>
              </w:rPr>
              <w:t>551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36" w:line="202" w:lineRule="auto"/>
              <w:ind w:left="361"/>
              <w:rPr>
                <w:rFonts w:ascii="仿宋" w:hAnsi="仿宋" w:eastAsia="仿宋" w:cs="仿宋"/>
                <w:sz w:val="21"/>
                <w:szCs w:val="21"/>
              </w:rPr>
            </w:pPr>
            <w:r>
              <w:rPr>
                <w:rFonts w:ascii="仿宋" w:hAnsi="仿宋" w:eastAsia="仿宋" w:cs="仿宋"/>
                <w:spacing w:val="-4"/>
                <w:sz w:val="21"/>
                <w:szCs w:val="21"/>
              </w:rPr>
              <w:t>金龙</w:t>
            </w:r>
          </w:p>
        </w:tc>
        <w:tc>
          <w:tcPr>
            <w:tcW w:w="1120" w:type="dxa"/>
            <w:vAlign w:val="top"/>
          </w:tcPr>
          <w:p>
            <w:pPr>
              <w:pStyle w:val="6"/>
              <w:spacing w:before="72" w:line="188" w:lineRule="auto"/>
              <w:ind w:left="513"/>
            </w:pPr>
            <w:r>
              <w:t>9</w:t>
            </w:r>
          </w:p>
        </w:tc>
        <w:tc>
          <w:tcPr>
            <w:tcW w:w="1119" w:type="dxa"/>
            <w:vAlign w:val="top"/>
          </w:tcPr>
          <w:p>
            <w:pPr>
              <w:pStyle w:val="6"/>
              <w:spacing w:before="72" w:line="188" w:lineRule="auto"/>
              <w:ind w:left="404"/>
            </w:pPr>
            <w:r>
              <w:rPr>
                <w:spacing w:val="-2"/>
              </w:rPr>
              <w:t>227</w:t>
            </w:r>
          </w:p>
        </w:tc>
        <w:tc>
          <w:tcPr>
            <w:tcW w:w="1121" w:type="dxa"/>
            <w:vAlign w:val="top"/>
          </w:tcPr>
          <w:p>
            <w:pPr>
              <w:pStyle w:val="6"/>
              <w:spacing w:before="72" w:line="188" w:lineRule="auto"/>
              <w:ind w:left="463"/>
            </w:pPr>
            <w:r>
              <w:rPr>
                <w:spacing w:val="-5"/>
              </w:rPr>
              <w:t>59</w:t>
            </w:r>
          </w:p>
        </w:tc>
        <w:tc>
          <w:tcPr>
            <w:tcW w:w="1120" w:type="dxa"/>
            <w:vAlign w:val="top"/>
          </w:tcPr>
          <w:p>
            <w:pPr>
              <w:pStyle w:val="6"/>
              <w:spacing w:before="72" w:line="188" w:lineRule="auto"/>
              <w:ind w:left="408"/>
            </w:pPr>
            <w:r>
              <w:rPr>
                <w:spacing w:val="-3"/>
              </w:rPr>
              <w:t>331</w:t>
            </w:r>
          </w:p>
        </w:tc>
        <w:tc>
          <w:tcPr>
            <w:tcW w:w="1120" w:type="dxa"/>
            <w:tcBorders>
              <w:right w:val="nil"/>
            </w:tcBorders>
            <w:vAlign w:val="top"/>
          </w:tcPr>
          <w:p>
            <w:pPr>
              <w:pStyle w:val="6"/>
              <w:spacing w:before="72" w:line="188" w:lineRule="auto"/>
              <w:ind w:left="409"/>
            </w:pPr>
            <w:r>
              <w:rPr>
                <w:spacing w:val="-4"/>
              </w:rPr>
              <w:t>618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38" w:line="201" w:lineRule="auto"/>
              <w:ind w:left="367"/>
              <w:rPr>
                <w:rFonts w:ascii="仿宋" w:hAnsi="仿宋" w:eastAsia="仿宋" w:cs="仿宋"/>
                <w:sz w:val="21"/>
                <w:szCs w:val="21"/>
              </w:rPr>
            </w:pPr>
            <w:r>
              <w:rPr>
                <w:rFonts w:ascii="仿宋" w:hAnsi="仿宋" w:eastAsia="仿宋" w:cs="仿宋"/>
                <w:spacing w:val="-5"/>
                <w:sz w:val="21"/>
                <w:szCs w:val="21"/>
              </w:rPr>
              <w:t>三槐</w:t>
            </w:r>
          </w:p>
        </w:tc>
        <w:tc>
          <w:tcPr>
            <w:tcW w:w="1120" w:type="dxa"/>
            <w:vAlign w:val="top"/>
          </w:tcPr>
          <w:p>
            <w:pPr>
              <w:pStyle w:val="6"/>
              <w:spacing w:before="75" w:line="188" w:lineRule="auto"/>
              <w:ind w:left="476"/>
            </w:pPr>
            <w:r>
              <w:rPr>
                <w:spacing w:val="-12"/>
              </w:rPr>
              <w:t>13</w:t>
            </w:r>
          </w:p>
        </w:tc>
        <w:tc>
          <w:tcPr>
            <w:tcW w:w="1119" w:type="dxa"/>
            <w:vAlign w:val="top"/>
          </w:tcPr>
          <w:p>
            <w:pPr>
              <w:pStyle w:val="6"/>
              <w:spacing w:before="75" w:line="188" w:lineRule="auto"/>
              <w:ind w:left="371"/>
            </w:pPr>
            <w:r>
              <w:rPr>
                <w:spacing w:val="-6"/>
              </w:rPr>
              <w:t>1572</w:t>
            </w:r>
          </w:p>
        </w:tc>
        <w:tc>
          <w:tcPr>
            <w:tcW w:w="1121" w:type="dxa"/>
            <w:vAlign w:val="top"/>
          </w:tcPr>
          <w:p>
            <w:pPr>
              <w:pStyle w:val="6"/>
              <w:spacing w:before="75" w:line="188" w:lineRule="auto"/>
              <w:ind w:left="456"/>
            </w:pPr>
            <w:r>
              <w:rPr>
                <w:spacing w:val="-2"/>
              </w:rPr>
              <w:t>49</w:t>
            </w:r>
          </w:p>
        </w:tc>
        <w:tc>
          <w:tcPr>
            <w:tcW w:w="1120" w:type="dxa"/>
            <w:vAlign w:val="top"/>
          </w:tcPr>
          <w:p>
            <w:pPr>
              <w:pStyle w:val="6"/>
              <w:spacing w:before="75" w:line="188" w:lineRule="auto"/>
              <w:ind w:left="371"/>
            </w:pPr>
            <w:r>
              <w:rPr>
                <w:spacing w:val="-6"/>
              </w:rPr>
              <w:t>1601</w:t>
            </w:r>
          </w:p>
        </w:tc>
        <w:tc>
          <w:tcPr>
            <w:tcW w:w="1120" w:type="dxa"/>
            <w:tcBorders>
              <w:right w:val="nil"/>
            </w:tcBorders>
            <w:vAlign w:val="top"/>
          </w:tcPr>
          <w:p>
            <w:pPr>
              <w:pStyle w:val="6"/>
              <w:spacing w:before="75" w:line="188" w:lineRule="auto"/>
              <w:ind w:left="356"/>
            </w:pPr>
            <w:r>
              <w:rPr>
                <w:spacing w:val="-3"/>
              </w:rPr>
              <w:t>3222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38" w:line="200" w:lineRule="auto"/>
              <w:ind w:left="372"/>
              <w:rPr>
                <w:rFonts w:ascii="仿宋" w:hAnsi="仿宋" w:eastAsia="仿宋" w:cs="仿宋"/>
                <w:sz w:val="21"/>
                <w:szCs w:val="21"/>
              </w:rPr>
            </w:pPr>
            <w:r>
              <w:rPr>
                <w:rFonts w:ascii="仿宋" w:hAnsi="仿宋" w:eastAsia="仿宋" w:cs="仿宋"/>
                <w:spacing w:val="-7"/>
                <w:sz w:val="21"/>
                <w:szCs w:val="21"/>
              </w:rPr>
              <w:t>范湾</w:t>
            </w:r>
          </w:p>
        </w:tc>
        <w:tc>
          <w:tcPr>
            <w:tcW w:w="1120" w:type="dxa"/>
            <w:vAlign w:val="top"/>
          </w:tcPr>
          <w:p>
            <w:pPr>
              <w:pStyle w:val="6"/>
              <w:spacing w:before="75" w:line="188" w:lineRule="auto"/>
              <w:ind w:left="476"/>
            </w:pPr>
            <w:r>
              <w:rPr>
                <w:spacing w:val="-12"/>
              </w:rPr>
              <w:t>15</w:t>
            </w:r>
          </w:p>
        </w:tc>
        <w:tc>
          <w:tcPr>
            <w:tcW w:w="1119" w:type="dxa"/>
            <w:vAlign w:val="top"/>
          </w:tcPr>
          <w:p>
            <w:pPr>
              <w:pStyle w:val="6"/>
              <w:spacing w:before="75" w:line="188" w:lineRule="auto"/>
              <w:ind w:left="371"/>
            </w:pPr>
            <w:r>
              <w:rPr>
                <w:spacing w:val="-6"/>
              </w:rPr>
              <w:t>1935</w:t>
            </w:r>
          </w:p>
        </w:tc>
        <w:tc>
          <w:tcPr>
            <w:tcW w:w="1121" w:type="dxa"/>
            <w:vAlign w:val="top"/>
          </w:tcPr>
          <w:p>
            <w:pPr>
              <w:pStyle w:val="6"/>
              <w:spacing w:before="75" w:line="188" w:lineRule="auto"/>
              <w:ind w:left="466"/>
            </w:pPr>
            <w:r>
              <w:rPr>
                <w:spacing w:val="-7"/>
              </w:rPr>
              <w:t>86</w:t>
            </w:r>
          </w:p>
        </w:tc>
        <w:tc>
          <w:tcPr>
            <w:tcW w:w="1120" w:type="dxa"/>
            <w:vAlign w:val="top"/>
          </w:tcPr>
          <w:p>
            <w:pPr>
              <w:pStyle w:val="6"/>
              <w:spacing w:before="75" w:line="188" w:lineRule="auto"/>
              <w:ind w:left="371"/>
            </w:pPr>
            <w:r>
              <w:rPr>
                <w:spacing w:val="-6"/>
              </w:rPr>
              <w:t>1582</w:t>
            </w:r>
          </w:p>
        </w:tc>
        <w:tc>
          <w:tcPr>
            <w:tcW w:w="1120" w:type="dxa"/>
            <w:tcBorders>
              <w:right w:val="nil"/>
            </w:tcBorders>
            <w:vAlign w:val="top"/>
          </w:tcPr>
          <w:p>
            <w:pPr>
              <w:pStyle w:val="6"/>
              <w:spacing w:before="75" w:line="188" w:lineRule="auto"/>
              <w:ind w:left="356"/>
            </w:pPr>
            <w:r>
              <w:rPr>
                <w:spacing w:val="-3"/>
              </w:rPr>
              <w:t>3603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39" w:line="199" w:lineRule="auto"/>
              <w:ind w:left="365"/>
              <w:rPr>
                <w:rFonts w:ascii="仿宋" w:hAnsi="仿宋" w:eastAsia="仿宋" w:cs="仿宋"/>
                <w:sz w:val="21"/>
                <w:szCs w:val="21"/>
              </w:rPr>
            </w:pPr>
            <w:r>
              <w:rPr>
                <w:rFonts w:ascii="仿宋" w:hAnsi="仿宋" w:eastAsia="仿宋" w:cs="仿宋"/>
                <w:spacing w:val="-10"/>
                <w:sz w:val="21"/>
                <w:szCs w:val="21"/>
              </w:rPr>
              <w:t>泗溪</w:t>
            </w:r>
          </w:p>
        </w:tc>
        <w:tc>
          <w:tcPr>
            <w:tcW w:w="1120" w:type="dxa"/>
            <w:vAlign w:val="top"/>
          </w:tcPr>
          <w:p>
            <w:pPr>
              <w:pStyle w:val="6"/>
              <w:spacing w:before="76" w:line="188" w:lineRule="auto"/>
              <w:ind w:left="476"/>
            </w:pPr>
            <w:r>
              <w:rPr>
                <w:spacing w:val="-12"/>
              </w:rPr>
              <w:t>17</w:t>
            </w:r>
          </w:p>
        </w:tc>
        <w:tc>
          <w:tcPr>
            <w:tcW w:w="1119" w:type="dxa"/>
            <w:vAlign w:val="top"/>
          </w:tcPr>
          <w:p>
            <w:pPr>
              <w:pStyle w:val="6"/>
              <w:spacing w:before="76" w:line="188" w:lineRule="auto"/>
              <w:ind w:left="351"/>
            </w:pPr>
            <w:r>
              <w:rPr>
                <w:spacing w:val="-1"/>
              </w:rPr>
              <w:t>2417</w:t>
            </w:r>
          </w:p>
        </w:tc>
        <w:tc>
          <w:tcPr>
            <w:tcW w:w="1121" w:type="dxa"/>
            <w:vAlign w:val="top"/>
          </w:tcPr>
          <w:p>
            <w:pPr>
              <w:pStyle w:val="6"/>
              <w:spacing w:before="76" w:line="188" w:lineRule="auto"/>
              <w:ind w:left="425"/>
            </w:pPr>
            <w:r>
              <w:rPr>
                <w:spacing w:val="-9"/>
              </w:rPr>
              <w:t>151</w:t>
            </w:r>
          </w:p>
        </w:tc>
        <w:tc>
          <w:tcPr>
            <w:tcW w:w="1120" w:type="dxa"/>
            <w:vAlign w:val="top"/>
          </w:tcPr>
          <w:p>
            <w:pPr>
              <w:pStyle w:val="6"/>
              <w:spacing w:before="76" w:line="188" w:lineRule="auto"/>
              <w:ind w:left="351"/>
            </w:pPr>
            <w:r>
              <w:rPr>
                <w:spacing w:val="-1"/>
              </w:rPr>
              <w:t>2190</w:t>
            </w:r>
          </w:p>
        </w:tc>
        <w:tc>
          <w:tcPr>
            <w:tcW w:w="1120" w:type="dxa"/>
            <w:tcBorders>
              <w:right w:val="nil"/>
            </w:tcBorders>
            <w:vAlign w:val="top"/>
          </w:tcPr>
          <w:p>
            <w:pPr>
              <w:pStyle w:val="6"/>
              <w:spacing w:before="76" w:line="188" w:lineRule="auto"/>
              <w:ind w:left="350"/>
            </w:pPr>
            <w:r>
              <w:rPr>
                <w:spacing w:val="-1"/>
              </w:rPr>
              <w:t>4758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0" w:line="198" w:lineRule="auto"/>
              <w:ind w:left="256"/>
              <w:rPr>
                <w:rFonts w:ascii="仿宋" w:hAnsi="仿宋" w:eastAsia="仿宋" w:cs="仿宋"/>
                <w:sz w:val="21"/>
                <w:szCs w:val="21"/>
              </w:rPr>
            </w:pPr>
            <w:r>
              <w:rPr>
                <w:rFonts w:ascii="仿宋" w:hAnsi="仿宋" w:eastAsia="仿宋" w:cs="仿宋"/>
                <w:spacing w:val="-4"/>
                <w:sz w:val="21"/>
                <w:szCs w:val="21"/>
              </w:rPr>
              <w:t>金家地</w:t>
            </w:r>
          </w:p>
        </w:tc>
        <w:tc>
          <w:tcPr>
            <w:tcW w:w="1120" w:type="dxa"/>
            <w:vAlign w:val="top"/>
          </w:tcPr>
          <w:p>
            <w:pPr>
              <w:pStyle w:val="6"/>
              <w:spacing w:before="76" w:line="188" w:lineRule="auto"/>
              <w:ind w:left="456"/>
            </w:pPr>
            <w:r>
              <w:rPr>
                <w:spacing w:val="-2"/>
              </w:rPr>
              <w:t>21</w:t>
            </w:r>
          </w:p>
        </w:tc>
        <w:tc>
          <w:tcPr>
            <w:tcW w:w="1119" w:type="dxa"/>
            <w:vAlign w:val="top"/>
          </w:tcPr>
          <w:p>
            <w:pPr>
              <w:pStyle w:val="6"/>
              <w:spacing w:before="76" w:line="188" w:lineRule="auto"/>
              <w:ind w:left="408"/>
            </w:pPr>
            <w:r>
              <w:rPr>
                <w:spacing w:val="-3"/>
              </w:rPr>
              <w:t>352</w:t>
            </w:r>
          </w:p>
        </w:tc>
        <w:tc>
          <w:tcPr>
            <w:tcW w:w="1121" w:type="dxa"/>
            <w:vAlign w:val="top"/>
          </w:tcPr>
          <w:p>
            <w:pPr>
              <w:pStyle w:val="6"/>
              <w:spacing w:before="76" w:line="188" w:lineRule="auto"/>
              <w:ind w:left="477"/>
            </w:pPr>
            <w:r>
              <w:rPr>
                <w:spacing w:val="-12"/>
              </w:rPr>
              <w:t>19</w:t>
            </w:r>
          </w:p>
        </w:tc>
        <w:tc>
          <w:tcPr>
            <w:tcW w:w="1120" w:type="dxa"/>
            <w:vAlign w:val="top"/>
          </w:tcPr>
          <w:p>
            <w:pPr>
              <w:pStyle w:val="6"/>
              <w:spacing w:before="76" w:line="188" w:lineRule="auto"/>
              <w:ind w:left="356"/>
            </w:pPr>
            <w:r>
              <w:rPr>
                <w:spacing w:val="-3"/>
              </w:rPr>
              <w:t>5018</w:t>
            </w:r>
          </w:p>
        </w:tc>
        <w:tc>
          <w:tcPr>
            <w:tcW w:w="1120" w:type="dxa"/>
            <w:tcBorders>
              <w:right w:val="nil"/>
            </w:tcBorders>
            <w:vAlign w:val="top"/>
          </w:tcPr>
          <w:p>
            <w:pPr>
              <w:pStyle w:val="6"/>
              <w:spacing w:before="76" w:line="188" w:lineRule="auto"/>
              <w:ind w:left="357"/>
            </w:pPr>
            <w:r>
              <w:rPr>
                <w:spacing w:val="-3"/>
              </w:rPr>
              <w:t>5389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2" w:line="197" w:lineRule="auto"/>
              <w:ind w:left="360"/>
              <w:rPr>
                <w:rFonts w:ascii="仿宋" w:hAnsi="仿宋" w:eastAsia="仿宋" w:cs="仿宋"/>
                <w:sz w:val="21"/>
                <w:szCs w:val="21"/>
              </w:rPr>
            </w:pPr>
            <w:r>
              <w:rPr>
                <w:rFonts w:ascii="仿宋" w:hAnsi="仿宋" w:eastAsia="仿宋" w:cs="仿宋"/>
                <w:spacing w:val="-4"/>
                <w:sz w:val="21"/>
                <w:szCs w:val="21"/>
              </w:rPr>
              <w:t>厂房</w:t>
            </w:r>
          </w:p>
        </w:tc>
        <w:tc>
          <w:tcPr>
            <w:tcW w:w="1120" w:type="dxa"/>
            <w:vAlign w:val="top"/>
          </w:tcPr>
          <w:p>
            <w:pPr>
              <w:pStyle w:val="6"/>
              <w:spacing w:before="78" w:line="187" w:lineRule="auto"/>
              <w:ind w:left="456"/>
            </w:pPr>
            <w:r>
              <w:rPr>
                <w:spacing w:val="-2"/>
              </w:rPr>
              <w:t>28</w:t>
            </w:r>
          </w:p>
        </w:tc>
        <w:tc>
          <w:tcPr>
            <w:tcW w:w="1119" w:type="dxa"/>
            <w:vAlign w:val="top"/>
          </w:tcPr>
          <w:p>
            <w:pPr>
              <w:pStyle w:val="6"/>
              <w:spacing w:before="78" w:line="187" w:lineRule="auto"/>
              <w:ind w:left="351"/>
            </w:pPr>
            <w:r>
              <w:rPr>
                <w:spacing w:val="-1"/>
              </w:rPr>
              <w:t>2292</w:t>
            </w:r>
          </w:p>
        </w:tc>
        <w:tc>
          <w:tcPr>
            <w:tcW w:w="1121" w:type="dxa"/>
            <w:vAlign w:val="top"/>
          </w:tcPr>
          <w:p>
            <w:pPr>
              <w:pStyle w:val="6"/>
              <w:spacing w:before="78" w:line="187" w:lineRule="auto"/>
              <w:ind w:left="432"/>
            </w:pPr>
            <w:r>
              <w:rPr>
                <w:spacing w:val="-11"/>
              </w:rPr>
              <w:t>111</w:t>
            </w:r>
          </w:p>
        </w:tc>
        <w:tc>
          <w:tcPr>
            <w:tcW w:w="1120" w:type="dxa"/>
            <w:vAlign w:val="top"/>
          </w:tcPr>
          <w:p>
            <w:pPr>
              <w:pStyle w:val="6"/>
              <w:spacing w:before="78" w:line="187" w:lineRule="auto"/>
              <w:ind w:left="355"/>
            </w:pPr>
            <w:r>
              <w:rPr>
                <w:spacing w:val="-3"/>
              </w:rPr>
              <w:t>3900</w:t>
            </w:r>
          </w:p>
        </w:tc>
        <w:tc>
          <w:tcPr>
            <w:tcW w:w="1120" w:type="dxa"/>
            <w:tcBorders>
              <w:right w:val="nil"/>
            </w:tcBorders>
            <w:vAlign w:val="top"/>
          </w:tcPr>
          <w:p>
            <w:pPr>
              <w:pStyle w:val="6"/>
              <w:spacing w:before="78" w:line="187" w:lineRule="auto"/>
              <w:ind w:left="356"/>
            </w:pPr>
            <w:r>
              <w:rPr>
                <w:spacing w:val="-3"/>
              </w:rPr>
              <w:t>6304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3" w:line="196" w:lineRule="auto"/>
              <w:ind w:left="366"/>
              <w:rPr>
                <w:rFonts w:ascii="仿宋" w:hAnsi="仿宋" w:eastAsia="仿宋" w:cs="仿宋"/>
                <w:sz w:val="21"/>
                <w:szCs w:val="21"/>
              </w:rPr>
            </w:pPr>
            <w:r>
              <w:rPr>
                <w:rFonts w:ascii="仿宋" w:hAnsi="仿宋" w:eastAsia="仿宋" w:cs="仿宋"/>
                <w:spacing w:val="-5"/>
                <w:sz w:val="21"/>
                <w:szCs w:val="21"/>
              </w:rPr>
              <w:t>李湾</w:t>
            </w:r>
          </w:p>
        </w:tc>
        <w:tc>
          <w:tcPr>
            <w:tcW w:w="1120" w:type="dxa"/>
            <w:vAlign w:val="top"/>
          </w:tcPr>
          <w:p>
            <w:pPr>
              <w:pStyle w:val="6"/>
              <w:spacing w:before="78" w:line="186" w:lineRule="auto"/>
              <w:ind w:left="476"/>
            </w:pPr>
            <w:r>
              <w:rPr>
                <w:spacing w:val="-12"/>
              </w:rPr>
              <w:t>15</w:t>
            </w:r>
          </w:p>
        </w:tc>
        <w:tc>
          <w:tcPr>
            <w:tcW w:w="1119" w:type="dxa"/>
            <w:vAlign w:val="top"/>
          </w:tcPr>
          <w:p>
            <w:pPr>
              <w:pStyle w:val="6"/>
              <w:spacing w:before="78" w:line="186" w:lineRule="auto"/>
              <w:ind w:left="356"/>
            </w:pPr>
            <w:r>
              <w:rPr>
                <w:spacing w:val="-1"/>
              </w:rPr>
              <w:t>2311</w:t>
            </w:r>
          </w:p>
        </w:tc>
        <w:tc>
          <w:tcPr>
            <w:tcW w:w="1121" w:type="dxa"/>
            <w:vAlign w:val="top"/>
          </w:tcPr>
          <w:p>
            <w:pPr>
              <w:pStyle w:val="6"/>
              <w:spacing w:before="78" w:line="186" w:lineRule="auto"/>
              <w:ind w:left="461"/>
            </w:pPr>
            <w:r>
              <w:rPr>
                <w:spacing w:val="-4"/>
              </w:rPr>
              <w:t>96</w:t>
            </w:r>
          </w:p>
        </w:tc>
        <w:tc>
          <w:tcPr>
            <w:tcW w:w="1120" w:type="dxa"/>
            <w:vAlign w:val="top"/>
          </w:tcPr>
          <w:p>
            <w:pPr>
              <w:pStyle w:val="6"/>
              <w:spacing w:before="78" w:line="186" w:lineRule="auto"/>
              <w:ind w:left="376"/>
            </w:pPr>
            <w:r>
              <w:rPr>
                <w:spacing w:val="-8"/>
              </w:rPr>
              <w:t>1138</w:t>
            </w:r>
          </w:p>
        </w:tc>
        <w:tc>
          <w:tcPr>
            <w:tcW w:w="1120" w:type="dxa"/>
            <w:tcBorders>
              <w:right w:val="nil"/>
            </w:tcBorders>
            <w:vAlign w:val="top"/>
          </w:tcPr>
          <w:p>
            <w:pPr>
              <w:pStyle w:val="6"/>
              <w:spacing w:before="78" w:line="186" w:lineRule="auto"/>
              <w:ind w:left="356"/>
            </w:pPr>
            <w:r>
              <w:rPr>
                <w:spacing w:val="-3"/>
              </w:rPr>
              <w:t>3545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4" w:line="195" w:lineRule="auto"/>
              <w:ind w:left="361"/>
              <w:rPr>
                <w:rFonts w:ascii="仿宋" w:hAnsi="仿宋" w:eastAsia="仿宋" w:cs="仿宋"/>
                <w:sz w:val="21"/>
                <w:szCs w:val="21"/>
              </w:rPr>
            </w:pPr>
            <w:r>
              <w:rPr>
                <w:rFonts w:ascii="仿宋" w:hAnsi="仿宋" w:eastAsia="仿宋" w:cs="仿宋"/>
                <w:spacing w:val="-4"/>
                <w:sz w:val="21"/>
                <w:szCs w:val="21"/>
              </w:rPr>
              <w:t>平山</w:t>
            </w:r>
          </w:p>
        </w:tc>
        <w:tc>
          <w:tcPr>
            <w:tcW w:w="1120" w:type="dxa"/>
            <w:vAlign w:val="top"/>
          </w:tcPr>
          <w:p>
            <w:pPr>
              <w:pStyle w:val="6"/>
              <w:spacing w:before="79" w:line="185" w:lineRule="auto"/>
              <w:ind w:left="476"/>
            </w:pPr>
            <w:r>
              <w:rPr>
                <w:spacing w:val="-12"/>
              </w:rPr>
              <w:t>14</w:t>
            </w:r>
          </w:p>
        </w:tc>
        <w:tc>
          <w:tcPr>
            <w:tcW w:w="1119" w:type="dxa"/>
            <w:vAlign w:val="top"/>
          </w:tcPr>
          <w:p>
            <w:pPr>
              <w:pStyle w:val="6"/>
              <w:spacing w:before="79" w:line="185" w:lineRule="auto"/>
              <w:ind w:left="371"/>
            </w:pPr>
            <w:r>
              <w:rPr>
                <w:spacing w:val="-6"/>
              </w:rPr>
              <w:t>1675</w:t>
            </w:r>
          </w:p>
        </w:tc>
        <w:tc>
          <w:tcPr>
            <w:tcW w:w="1121" w:type="dxa"/>
            <w:vAlign w:val="top"/>
          </w:tcPr>
          <w:p>
            <w:pPr>
              <w:pStyle w:val="6"/>
              <w:spacing w:before="79" w:line="185" w:lineRule="auto"/>
              <w:ind w:left="462"/>
            </w:pPr>
            <w:r>
              <w:rPr>
                <w:spacing w:val="-5"/>
              </w:rPr>
              <w:t>66</w:t>
            </w:r>
          </w:p>
        </w:tc>
        <w:tc>
          <w:tcPr>
            <w:tcW w:w="1120" w:type="dxa"/>
            <w:vAlign w:val="top"/>
          </w:tcPr>
          <w:p>
            <w:pPr>
              <w:pStyle w:val="6"/>
              <w:spacing w:before="79" w:line="185" w:lineRule="auto"/>
              <w:ind w:left="351"/>
            </w:pPr>
            <w:r>
              <w:rPr>
                <w:spacing w:val="-1"/>
              </w:rPr>
              <w:t>2003</w:t>
            </w:r>
          </w:p>
        </w:tc>
        <w:tc>
          <w:tcPr>
            <w:tcW w:w="1120" w:type="dxa"/>
            <w:tcBorders>
              <w:right w:val="nil"/>
            </w:tcBorders>
            <w:vAlign w:val="top"/>
          </w:tcPr>
          <w:p>
            <w:pPr>
              <w:pStyle w:val="6"/>
              <w:spacing w:before="79" w:line="185" w:lineRule="auto"/>
              <w:ind w:left="356"/>
            </w:pPr>
            <w:r>
              <w:rPr>
                <w:spacing w:val="-3"/>
              </w:rPr>
              <w:t>3745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6" w:line="195" w:lineRule="auto"/>
              <w:ind w:left="256"/>
              <w:rPr>
                <w:rFonts w:ascii="仿宋" w:hAnsi="仿宋" w:eastAsia="仿宋" w:cs="仿宋"/>
                <w:sz w:val="21"/>
                <w:szCs w:val="21"/>
              </w:rPr>
            </w:pPr>
            <w:r>
              <w:rPr>
                <w:rFonts w:ascii="仿宋" w:hAnsi="仿宋" w:eastAsia="仿宋" w:cs="仿宋"/>
                <w:spacing w:val="-5"/>
                <w:sz w:val="21"/>
                <w:szCs w:val="21"/>
              </w:rPr>
              <w:t>黄海屯</w:t>
            </w:r>
          </w:p>
        </w:tc>
        <w:tc>
          <w:tcPr>
            <w:tcW w:w="1120" w:type="dxa"/>
            <w:vAlign w:val="top"/>
          </w:tcPr>
          <w:p>
            <w:pPr>
              <w:pStyle w:val="6"/>
              <w:spacing w:before="81" w:line="185" w:lineRule="auto"/>
              <w:ind w:left="456"/>
            </w:pPr>
            <w:r>
              <w:rPr>
                <w:spacing w:val="-2"/>
              </w:rPr>
              <w:t>27</w:t>
            </w:r>
          </w:p>
        </w:tc>
        <w:tc>
          <w:tcPr>
            <w:tcW w:w="1119" w:type="dxa"/>
            <w:vAlign w:val="top"/>
          </w:tcPr>
          <w:p>
            <w:pPr>
              <w:pStyle w:val="6"/>
              <w:spacing w:before="81" w:line="185" w:lineRule="auto"/>
              <w:ind w:left="351"/>
            </w:pPr>
            <w:r>
              <w:rPr>
                <w:spacing w:val="-1"/>
              </w:rPr>
              <w:t>2459</w:t>
            </w:r>
          </w:p>
        </w:tc>
        <w:tc>
          <w:tcPr>
            <w:tcW w:w="1121" w:type="dxa"/>
            <w:vAlign w:val="top"/>
          </w:tcPr>
          <w:p>
            <w:pPr>
              <w:pStyle w:val="6"/>
              <w:spacing w:before="81" w:line="185" w:lineRule="auto"/>
              <w:ind w:left="456"/>
            </w:pPr>
            <w:r>
              <w:rPr>
                <w:spacing w:val="-2"/>
              </w:rPr>
              <w:t>45</w:t>
            </w:r>
          </w:p>
        </w:tc>
        <w:tc>
          <w:tcPr>
            <w:tcW w:w="1120" w:type="dxa"/>
            <w:vAlign w:val="top"/>
          </w:tcPr>
          <w:p>
            <w:pPr>
              <w:pStyle w:val="6"/>
              <w:spacing w:before="81" w:line="185" w:lineRule="auto"/>
              <w:ind w:left="351"/>
            </w:pPr>
            <w:r>
              <w:rPr>
                <w:spacing w:val="-1"/>
              </w:rPr>
              <w:t>2915</w:t>
            </w:r>
          </w:p>
        </w:tc>
        <w:tc>
          <w:tcPr>
            <w:tcW w:w="1120" w:type="dxa"/>
            <w:tcBorders>
              <w:right w:val="nil"/>
            </w:tcBorders>
            <w:vAlign w:val="top"/>
          </w:tcPr>
          <w:p>
            <w:pPr>
              <w:pStyle w:val="6"/>
              <w:spacing w:before="81" w:line="185" w:lineRule="auto"/>
              <w:ind w:left="357"/>
            </w:pPr>
            <w:r>
              <w:rPr>
                <w:spacing w:val="-3"/>
              </w:rPr>
              <w:t>5420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5" w:line="194" w:lineRule="auto"/>
              <w:ind w:left="261"/>
              <w:rPr>
                <w:rFonts w:ascii="仿宋" w:hAnsi="仿宋" w:eastAsia="仿宋" w:cs="仿宋"/>
                <w:sz w:val="21"/>
                <w:szCs w:val="21"/>
              </w:rPr>
            </w:pPr>
            <w:r>
              <w:rPr>
                <w:rFonts w:ascii="仿宋" w:hAnsi="仿宋" w:eastAsia="仿宋" w:cs="仿宋"/>
                <w:spacing w:val="-7"/>
                <w:sz w:val="21"/>
                <w:szCs w:val="21"/>
              </w:rPr>
              <w:t>里长堡</w:t>
            </w:r>
          </w:p>
        </w:tc>
        <w:tc>
          <w:tcPr>
            <w:tcW w:w="1120" w:type="dxa"/>
            <w:vAlign w:val="top"/>
          </w:tcPr>
          <w:p>
            <w:pPr>
              <w:pStyle w:val="6"/>
              <w:spacing w:before="80" w:line="184" w:lineRule="auto"/>
              <w:ind w:left="476"/>
            </w:pPr>
            <w:r>
              <w:rPr>
                <w:spacing w:val="-12"/>
              </w:rPr>
              <w:t>14</w:t>
            </w:r>
          </w:p>
        </w:tc>
        <w:tc>
          <w:tcPr>
            <w:tcW w:w="1119" w:type="dxa"/>
            <w:vAlign w:val="top"/>
          </w:tcPr>
          <w:p>
            <w:pPr>
              <w:pStyle w:val="6"/>
              <w:spacing w:before="80" w:line="184" w:lineRule="auto"/>
              <w:ind w:left="376"/>
            </w:pPr>
            <w:r>
              <w:rPr>
                <w:spacing w:val="-8"/>
              </w:rPr>
              <w:t>1170</w:t>
            </w:r>
          </w:p>
        </w:tc>
        <w:tc>
          <w:tcPr>
            <w:tcW w:w="1121" w:type="dxa"/>
            <w:vAlign w:val="top"/>
          </w:tcPr>
          <w:p>
            <w:pPr>
              <w:pStyle w:val="6"/>
              <w:spacing w:before="80" w:line="184" w:lineRule="auto"/>
              <w:ind w:left="462"/>
            </w:pPr>
            <w:r>
              <w:rPr>
                <w:spacing w:val="-5"/>
              </w:rPr>
              <w:t>61</w:t>
            </w:r>
          </w:p>
        </w:tc>
        <w:tc>
          <w:tcPr>
            <w:tcW w:w="1120" w:type="dxa"/>
            <w:vAlign w:val="top"/>
          </w:tcPr>
          <w:p>
            <w:pPr>
              <w:pStyle w:val="6"/>
              <w:spacing w:before="80" w:line="184" w:lineRule="auto"/>
              <w:ind w:left="409"/>
            </w:pPr>
            <w:r>
              <w:rPr>
                <w:spacing w:val="-4"/>
              </w:rPr>
              <w:t>599</w:t>
            </w:r>
          </w:p>
        </w:tc>
        <w:tc>
          <w:tcPr>
            <w:tcW w:w="1120" w:type="dxa"/>
            <w:tcBorders>
              <w:right w:val="nil"/>
            </w:tcBorders>
            <w:vAlign w:val="top"/>
          </w:tcPr>
          <w:p>
            <w:pPr>
              <w:pStyle w:val="6"/>
              <w:spacing w:before="80" w:line="184" w:lineRule="auto"/>
              <w:ind w:left="372"/>
            </w:pPr>
            <w:r>
              <w:rPr>
                <w:spacing w:val="-6"/>
              </w:rPr>
              <w:t>1830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6" w:line="193" w:lineRule="auto"/>
              <w:ind w:left="260"/>
              <w:rPr>
                <w:rFonts w:ascii="仿宋" w:hAnsi="仿宋" w:eastAsia="仿宋" w:cs="仿宋"/>
                <w:sz w:val="21"/>
                <w:szCs w:val="21"/>
              </w:rPr>
            </w:pPr>
            <w:r>
              <w:rPr>
                <w:rFonts w:ascii="仿宋" w:hAnsi="仿宋" w:eastAsia="仿宋" w:cs="仿宋"/>
                <w:spacing w:val="-5"/>
                <w:sz w:val="21"/>
                <w:szCs w:val="21"/>
              </w:rPr>
              <w:t>马屯村</w:t>
            </w:r>
          </w:p>
        </w:tc>
        <w:tc>
          <w:tcPr>
            <w:tcW w:w="1120" w:type="dxa"/>
            <w:vAlign w:val="top"/>
          </w:tcPr>
          <w:p>
            <w:pPr>
              <w:pStyle w:val="6"/>
              <w:spacing w:before="81" w:line="183" w:lineRule="auto"/>
              <w:ind w:left="476"/>
            </w:pPr>
            <w:r>
              <w:rPr>
                <w:spacing w:val="-12"/>
              </w:rPr>
              <w:t>13</w:t>
            </w:r>
          </w:p>
        </w:tc>
        <w:tc>
          <w:tcPr>
            <w:tcW w:w="1119" w:type="dxa"/>
            <w:vAlign w:val="top"/>
          </w:tcPr>
          <w:p>
            <w:pPr>
              <w:pStyle w:val="6"/>
              <w:spacing w:before="81" w:line="183" w:lineRule="auto"/>
              <w:ind w:left="371"/>
            </w:pPr>
            <w:r>
              <w:rPr>
                <w:spacing w:val="-6"/>
              </w:rPr>
              <w:t>1705</w:t>
            </w:r>
          </w:p>
        </w:tc>
        <w:tc>
          <w:tcPr>
            <w:tcW w:w="1121" w:type="dxa"/>
            <w:vAlign w:val="top"/>
          </w:tcPr>
          <w:p>
            <w:pPr>
              <w:pStyle w:val="6"/>
              <w:spacing w:before="81" w:line="183" w:lineRule="auto"/>
              <w:ind w:left="425"/>
            </w:pPr>
            <w:r>
              <w:rPr>
                <w:spacing w:val="-9"/>
              </w:rPr>
              <w:t>131</w:t>
            </w:r>
          </w:p>
        </w:tc>
        <w:tc>
          <w:tcPr>
            <w:tcW w:w="1120" w:type="dxa"/>
            <w:vAlign w:val="top"/>
          </w:tcPr>
          <w:p>
            <w:pPr>
              <w:pStyle w:val="6"/>
              <w:spacing w:before="81" w:line="183" w:lineRule="auto"/>
              <w:ind w:left="408"/>
            </w:pPr>
            <w:r>
              <w:rPr>
                <w:spacing w:val="-3"/>
              </w:rPr>
              <w:t>381</w:t>
            </w:r>
          </w:p>
        </w:tc>
        <w:tc>
          <w:tcPr>
            <w:tcW w:w="1120" w:type="dxa"/>
            <w:tcBorders>
              <w:right w:val="nil"/>
            </w:tcBorders>
            <w:vAlign w:val="top"/>
          </w:tcPr>
          <w:p>
            <w:pPr>
              <w:pStyle w:val="6"/>
              <w:spacing w:before="81" w:line="183" w:lineRule="auto"/>
              <w:ind w:left="351"/>
            </w:pPr>
            <w:r>
              <w:rPr>
                <w:spacing w:val="-1"/>
              </w:rPr>
              <w:t>2217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6" w:line="193" w:lineRule="auto"/>
              <w:ind w:left="361"/>
              <w:rPr>
                <w:rFonts w:ascii="仿宋" w:hAnsi="仿宋" w:eastAsia="仿宋" w:cs="仿宋"/>
                <w:sz w:val="21"/>
                <w:szCs w:val="21"/>
              </w:rPr>
            </w:pPr>
            <w:r>
              <w:rPr>
                <w:rFonts w:ascii="仿宋" w:hAnsi="仿宋" w:eastAsia="仿宋" w:cs="仿宋"/>
                <w:spacing w:val="-7"/>
                <w:sz w:val="21"/>
                <w:szCs w:val="21"/>
              </w:rPr>
              <w:t>席坝</w:t>
            </w:r>
          </w:p>
        </w:tc>
        <w:tc>
          <w:tcPr>
            <w:tcW w:w="1120" w:type="dxa"/>
            <w:vAlign w:val="top"/>
          </w:tcPr>
          <w:p>
            <w:pPr>
              <w:pStyle w:val="6"/>
              <w:spacing w:before="82" w:line="182" w:lineRule="auto"/>
              <w:ind w:left="480"/>
            </w:pPr>
            <w:r>
              <w:rPr>
                <w:spacing w:val="-13"/>
              </w:rPr>
              <w:t>11</w:t>
            </w:r>
          </w:p>
        </w:tc>
        <w:tc>
          <w:tcPr>
            <w:tcW w:w="1119" w:type="dxa"/>
            <w:vAlign w:val="top"/>
          </w:tcPr>
          <w:p>
            <w:pPr>
              <w:pStyle w:val="6"/>
              <w:spacing w:before="82" w:line="182" w:lineRule="auto"/>
              <w:ind w:left="371"/>
            </w:pPr>
            <w:r>
              <w:rPr>
                <w:spacing w:val="-6"/>
              </w:rPr>
              <w:t>1381</w:t>
            </w:r>
          </w:p>
        </w:tc>
        <w:tc>
          <w:tcPr>
            <w:tcW w:w="1121" w:type="dxa"/>
            <w:vAlign w:val="top"/>
          </w:tcPr>
          <w:p>
            <w:pPr>
              <w:pStyle w:val="6"/>
              <w:spacing w:before="82" w:line="182" w:lineRule="auto"/>
              <w:ind w:left="425"/>
            </w:pPr>
            <w:r>
              <w:rPr>
                <w:spacing w:val="-9"/>
              </w:rPr>
              <w:t>162</w:t>
            </w:r>
          </w:p>
        </w:tc>
        <w:tc>
          <w:tcPr>
            <w:tcW w:w="1120" w:type="dxa"/>
            <w:vAlign w:val="top"/>
          </w:tcPr>
          <w:p>
            <w:pPr>
              <w:pStyle w:val="6"/>
              <w:spacing w:before="82" w:line="182" w:lineRule="auto"/>
              <w:ind w:left="411"/>
            </w:pPr>
            <w:r>
              <w:rPr>
                <w:spacing w:val="-5"/>
              </w:rPr>
              <w:t>311</w:t>
            </w:r>
          </w:p>
        </w:tc>
        <w:tc>
          <w:tcPr>
            <w:tcW w:w="1120" w:type="dxa"/>
            <w:tcBorders>
              <w:right w:val="nil"/>
            </w:tcBorders>
            <w:vAlign w:val="top"/>
          </w:tcPr>
          <w:p>
            <w:pPr>
              <w:pStyle w:val="6"/>
              <w:spacing w:before="82" w:line="182" w:lineRule="auto"/>
              <w:ind w:left="372"/>
            </w:pPr>
            <w:r>
              <w:rPr>
                <w:spacing w:val="-6"/>
              </w:rPr>
              <w:t>1854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9" w:line="191" w:lineRule="auto"/>
              <w:ind w:left="365"/>
              <w:rPr>
                <w:rFonts w:ascii="仿宋" w:hAnsi="仿宋" w:eastAsia="仿宋" w:cs="仿宋"/>
                <w:sz w:val="21"/>
                <w:szCs w:val="21"/>
              </w:rPr>
            </w:pPr>
            <w:r>
              <w:rPr>
                <w:rFonts w:ascii="仿宋" w:hAnsi="仿宋" w:eastAsia="仿宋" w:cs="仿宋"/>
                <w:spacing w:val="-10"/>
                <w:sz w:val="21"/>
                <w:szCs w:val="21"/>
              </w:rPr>
              <w:t>七街</w:t>
            </w:r>
          </w:p>
        </w:tc>
        <w:tc>
          <w:tcPr>
            <w:tcW w:w="1120" w:type="dxa"/>
            <w:vAlign w:val="top"/>
          </w:tcPr>
          <w:p>
            <w:pPr>
              <w:pStyle w:val="6"/>
              <w:spacing w:before="85" w:line="180" w:lineRule="auto"/>
              <w:ind w:left="476"/>
            </w:pPr>
            <w:r>
              <w:rPr>
                <w:spacing w:val="-12"/>
              </w:rPr>
              <w:t>16</w:t>
            </w:r>
          </w:p>
        </w:tc>
        <w:tc>
          <w:tcPr>
            <w:tcW w:w="1119" w:type="dxa"/>
            <w:vAlign w:val="top"/>
          </w:tcPr>
          <w:p>
            <w:pPr>
              <w:pStyle w:val="6"/>
              <w:spacing w:before="85" w:line="180" w:lineRule="auto"/>
              <w:ind w:left="371"/>
            </w:pPr>
            <w:r>
              <w:rPr>
                <w:spacing w:val="-6"/>
              </w:rPr>
              <w:t>1489</w:t>
            </w:r>
          </w:p>
        </w:tc>
        <w:tc>
          <w:tcPr>
            <w:tcW w:w="1121" w:type="dxa"/>
            <w:vAlign w:val="top"/>
          </w:tcPr>
          <w:p>
            <w:pPr>
              <w:pStyle w:val="6"/>
              <w:spacing w:before="85" w:line="180" w:lineRule="auto"/>
              <w:ind w:left="425"/>
            </w:pPr>
            <w:r>
              <w:rPr>
                <w:spacing w:val="-9"/>
              </w:rPr>
              <w:t>105</w:t>
            </w:r>
          </w:p>
        </w:tc>
        <w:tc>
          <w:tcPr>
            <w:tcW w:w="1120" w:type="dxa"/>
            <w:vAlign w:val="top"/>
          </w:tcPr>
          <w:p>
            <w:pPr>
              <w:pStyle w:val="6"/>
              <w:spacing w:before="85" w:line="180" w:lineRule="auto"/>
              <w:ind w:left="408"/>
            </w:pPr>
            <w:r>
              <w:rPr>
                <w:spacing w:val="-3"/>
              </w:rPr>
              <w:t>338</w:t>
            </w:r>
          </w:p>
        </w:tc>
        <w:tc>
          <w:tcPr>
            <w:tcW w:w="1120" w:type="dxa"/>
            <w:tcBorders>
              <w:right w:val="nil"/>
            </w:tcBorders>
            <w:vAlign w:val="top"/>
          </w:tcPr>
          <w:p>
            <w:pPr>
              <w:pStyle w:val="6"/>
              <w:spacing w:before="85" w:line="180" w:lineRule="auto"/>
              <w:ind w:left="372"/>
            </w:pPr>
            <w:r>
              <w:rPr>
                <w:spacing w:val="-6"/>
              </w:rPr>
              <w:t>1931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8" w:line="191" w:lineRule="auto"/>
              <w:ind w:left="361"/>
              <w:rPr>
                <w:rFonts w:ascii="仿宋" w:hAnsi="仿宋" w:eastAsia="仿宋" w:cs="仿宋"/>
                <w:sz w:val="21"/>
                <w:szCs w:val="21"/>
              </w:rPr>
            </w:pPr>
            <w:r>
              <w:rPr>
                <w:rFonts w:ascii="仿宋" w:hAnsi="仿宋" w:eastAsia="仿宋" w:cs="仿宋"/>
                <w:spacing w:val="-4"/>
                <w:sz w:val="21"/>
                <w:szCs w:val="21"/>
              </w:rPr>
              <w:t>锁北</w:t>
            </w:r>
          </w:p>
        </w:tc>
        <w:tc>
          <w:tcPr>
            <w:tcW w:w="1120" w:type="dxa"/>
            <w:vAlign w:val="top"/>
          </w:tcPr>
          <w:p>
            <w:pPr>
              <w:pStyle w:val="6"/>
              <w:spacing w:before="85" w:line="179" w:lineRule="auto"/>
              <w:ind w:left="476"/>
            </w:pPr>
            <w:r>
              <w:rPr>
                <w:spacing w:val="-12"/>
              </w:rPr>
              <w:t>10</w:t>
            </w:r>
          </w:p>
        </w:tc>
        <w:tc>
          <w:tcPr>
            <w:tcW w:w="1119" w:type="dxa"/>
            <w:vAlign w:val="top"/>
          </w:tcPr>
          <w:p>
            <w:pPr>
              <w:pStyle w:val="6"/>
              <w:spacing w:before="85" w:line="179" w:lineRule="auto"/>
              <w:ind w:left="408"/>
            </w:pPr>
            <w:r>
              <w:rPr>
                <w:spacing w:val="-4"/>
              </w:rPr>
              <w:t>606</w:t>
            </w:r>
          </w:p>
        </w:tc>
        <w:tc>
          <w:tcPr>
            <w:tcW w:w="1121" w:type="dxa"/>
            <w:vAlign w:val="top"/>
          </w:tcPr>
          <w:p>
            <w:pPr>
              <w:pStyle w:val="6"/>
              <w:spacing w:before="85" w:line="179" w:lineRule="auto"/>
              <w:ind w:left="462"/>
            </w:pPr>
            <w:r>
              <w:rPr>
                <w:spacing w:val="-5"/>
              </w:rPr>
              <w:t>63</w:t>
            </w:r>
          </w:p>
        </w:tc>
        <w:tc>
          <w:tcPr>
            <w:tcW w:w="1120" w:type="dxa"/>
            <w:vAlign w:val="top"/>
          </w:tcPr>
          <w:p>
            <w:pPr>
              <w:pStyle w:val="6"/>
              <w:spacing w:before="85" w:line="179" w:lineRule="auto"/>
              <w:ind w:left="402"/>
            </w:pPr>
            <w:r>
              <w:rPr>
                <w:spacing w:val="-2"/>
              </w:rPr>
              <w:t>487</w:t>
            </w:r>
          </w:p>
        </w:tc>
        <w:tc>
          <w:tcPr>
            <w:tcW w:w="1120" w:type="dxa"/>
            <w:tcBorders>
              <w:right w:val="nil"/>
            </w:tcBorders>
            <w:vAlign w:val="top"/>
          </w:tcPr>
          <w:p>
            <w:pPr>
              <w:pStyle w:val="6"/>
              <w:spacing w:before="85" w:line="179" w:lineRule="auto"/>
              <w:ind w:left="376"/>
            </w:pPr>
            <w:r>
              <w:rPr>
                <w:spacing w:val="-9"/>
              </w:rPr>
              <w:t>1156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49" w:line="190" w:lineRule="auto"/>
              <w:ind w:left="392"/>
              <w:rPr>
                <w:rFonts w:ascii="仿宋" w:hAnsi="仿宋" w:eastAsia="仿宋" w:cs="仿宋"/>
                <w:sz w:val="21"/>
                <w:szCs w:val="21"/>
              </w:rPr>
            </w:pPr>
            <w:r>
              <w:rPr>
                <w:rFonts w:ascii="仿宋" w:hAnsi="仿宋" w:eastAsia="仿宋" w:cs="仿宋"/>
                <w:spacing w:val="-23"/>
                <w:sz w:val="21"/>
                <w:szCs w:val="21"/>
              </w:rPr>
              <w:t>白鹤</w:t>
            </w:r>
          </w:p>
        </w:tc>
        <w:tc>
          <w:tcPr>
            <w:tcW w:w="1120" w:type="dxa"/>
            <w:vAlign w:val="top"/>
          </w:tcPr>
          <w:p>
            <w:pPr>
              <w:pStyle w:val="6"/>
              <w:spacing w:before="86" w:line="178" w:lineRule="auto"/>
              <w:ind w:left="480"/>
            </w:pPr>
            <w:r>
              <w:rPr>
                <w:spacing w:val="-13"/>
              </w:rPr>
              <w:t>11</w:t>
            </w:r>
          </w:p>
        </w:tc>
        <w:tc>
          <w:tcPr>
            <w:tcW w:w="1119" w:type="dxa"/>
            <w:vAlign w:val="top"/>
          </w:tcPr>
          <w:p>
            <w:pPr>
              <w:pStyle w:val="6"/>
              <w:spacing w:before="86" w:line="178" w:lineRule="auto"/>
              <w:ind w:left="407"/>
            </w:pPr>
            <w:r>
              <w:rPr>
                <w:spacing w:val="-3"/>
              </w:rPr>
              <w:t>728</w:t>
            </w:r>
          </w:p>
        </w:tc>
        <w:tc>
          <w:tcPr>
            <w:tcW w:w="1121" w:type="dxa"/>
            <w:vAlign w:val="top"/>
          </w:tcPr>
          <w:p>
            <w:pPr>
              <w:pStyle w:val="6"/>
              <w:spacing w:before="86" w:line="178" w:lineRule="auto"/>
              <w:ind w:left="461"/>
            </w:pPr>
            <w:r>
              <w:rPr>
                <w:spacing w:val="-5"/>
              </w:rPr>
              <w:t>37</w:t>
            </w:r>
          </w:p>
        </w:tc>
        <w:tc>
          <w:tcPr>
            <w:tcW w:w="1120" w:type="dxa"/>
            <w:vAlign w:val="top"/>
          </w:tcPr>
          <w:p>
            <w:pPr>
              <w:pStyle w:val="6"/>
              <w:spacing w:before="86" w:line="178" w:lineRule="auto"/>
              <w:ind w:left="355"/>
            </w:pPr>
            <w:r>
              <w:rPr>
                <w:spacing w:val="-3"/>
              </w:rPr>
              <w:t>3418</w:t>
            </w:r>
          </w:p>
        </w:tc>
        <w:tc>
          <w:tcPr>
            <w:tcW w:w="1120" w:type="dxa"/>
            <w:tcBorders>
              <w:right w:val="nil"/>
            </w:tcBorders>
            <w:vAlign w:val="top"/>
          </w:tcPr>
          <w:p>
            <w:pPr>
              <w:pStyle w:val="6"/>
              <w:spacing w:before="86" w:line="178" w:lineRule="auto"/>
              <w:ind w:left="350"/>
            </w:pPr>
            <w:r>
              <w:rPr>
                <w:spacing w:val="-1"/>
              </w:rPr>
              <w:t>4183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1" w:line="190" w:lineRule="auto"/>
              <w:ind w:left="361"/>
              <w:rPr>
                <w:rFonts w:ascii="仿宋" w:hAnsi="仿宋" w:eastAsia="仿宋" w:cs="仿宋"/>
                <w:sz w:val="21"/>
                <w:szCs w:val="21"/>
              </w:rPr>
            </w:pPr>
            <w:r>
              <w:rPr>
                <w:rFonts w:ascii="仿宋" w:hAnsi="仿宋" w:eastAsia="仿宋" w:cs="仿宋"/>
                <w:spacing w:val="-4"/>
                <w:sz w:val="21"/>
                <w:szCs w:val="21"/>
              </w:rPr>
              <w:t>凉桥</w:t>
            </w:r>
          </w:p>
        </w:tc>
        <w:tc>
          <w:tcPr>
            <w:tcW w:w="1120" w:type="dxa"/>
            <w:vAlign w:val="top"/>
          </w:tcPr>
          <w:p>
            <w:pPr>
              <w:pStyle w:val="6"/>
              <w:spacing w:before="88" w:line="178" w:lineRule="auto"/>
              <w:ind w:left="476"/>
            </w:pPr>
            <w:r>
              <w:rPr>
                <w:spacing w:val="-12"/>
              </w:rPr>
              <w:t>16</w:t>
            </w:r>
          </w:p>
        </w:tc>
        <w:tc>
          <w:tcPr>
            <w:tcW w:w="1119" w:type="dxa"/>
            <w:vAlign w:val="top"/>
          </w:tcPr>
          <w:p>
            <w:pPr>
              <w:pStyle w:val="6"/>
              <w:spacing w:before="88" w:line="178" w:lineRule="auto"/>
              <w:ind w:left="371"/>
            </w:pPr>
            <w:r>
              <w:rPr>
                <w:spacing w:val="-6"/>
              </w:rPr>
              <w:t>1256</w:t>
            </w:r>
          </w:p>
        </w:tc>
        <w:tc>
          <w:tcPr>
            <w:tcW w:w="1121" w:type="dxa"/>
            <w:vAlign w:val="top"/>
          </w:tcPr>
          <w:p>
            <w:pPr>
              <w:pStyle w:val="6"/>
              <w:spacing w:before="88" w:line="178" w:lineRule="auto"/>
              <w:ind w:left="461"/>
            </w:pPr>
            <w:r>
              <w:rPr>
                <w:spacing w:val="-4"/>
              </w:rPr>
              <w:t>78</w:t>
            </w:r>
          </w:p>
        </w:tc>
        <w:tc>
          <w:tcPr>
            <w:tcW w:w="1120" w:type="dxa"/>
            <w:vAlign w:val="top"/>
          </w:tcPr>
          <w:p>
            <w:pPr>
              <w:pStyle w:val="6"/>
              <w:spacing w:before="88" w:line="178" w:lineRule="auto"/>
              <w:ind w:left="355"/>
            </w:pPr>
            <w:r>
              <w:rPr>
                <w:spacing w:val="-3"/>
              </w:rPr>
              <w:t>3260</w:t>
            </w:r>
          </w:p>
        </w:tc>
        <w:tc>
          <w:tcPr>
            <w:tcW w:w="1120" w:type="dxa"/>
            <w:tcBorders>
              <w:right w:val="nil"/>
            </w:tcBorders>
            <w:vAlign w:val="top"/>
          </w:tcPr>
          <w:p>
            <w:pPr>
              <w:pStyle w:val="6"/>
              <w:spacing w:before="88" w:line="178" w:lineRule="auto"/>
              <w:ind w:left="350"/>
            </w:pPr>
            <w:r>
              <w:rPr>
                <w:spacing w:val="-1"/>
              </w:rPr>
              <w:t>4595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1" w:line="189" w:lineRule="auto"/>
              <w:ind w:left="361"/>
              <w:rPr>
                <w:rFonts w:ascii="仿宋" w:hAnsi="仿宋" w:eastAsia="仿宋" w:cs="仿宋"/>
                <w:sz w:val="21"/>
                <w:szCs w:val="21"/>
              </w:rPr>
            </w:pPr>
            <w:r>
              <w:rPr>
                <w:rFonts w:ascii="仿宋" w:hAnsi="仿宋" w:eastAsia="仿宋" w:cs="仿宋"/>
                <w:spacing w:val="-4"/>
                <w:sz w:val="21"/>
                <w:szCs w:val="21"/>
              </w:rPr>
              <w:t>将军</w:t>
            </w:r>
          </w:p>
        </w:tc>
        <w:tc>
          <w:tcPr>
            <w:tcW w:w="1120" w:type="dxa"/>
            <w:vAlign w:val="top"/>
          </w:tcPr>
          <w:p>
            <w:pPr>
              <w:pStyle w:val="6"/>
              <w:spacing w:before="87" w:line="177" w:lineRule="auto"/>
              <w:ind w:left="476"/>
            </w:pPr>
            <w:r>
              <w:rPr>
                <w:spacing w:val="-12"/>
              </w:rPr>
              <w:t>10</w:t>
            </w:r>
          </w:p>
        </w:tc>
        <w:tc>
          <w:tcPr>
            <w:tcW w:w="1119" w:type="dxa"/>
            <w:vAlign w:val="top"/>
          </w:tcPr>
          <w:p>
            <w:pPr>
              <w:pStyle w:val="6"/>
              <w:spacing w:before="87" w:line="177" w:lineRule="auto"/>
              <w:ind w:left="412"/>
            </w:pPr>
            <w:r>
              <w:rPr>
                <w:spacing w:val="-5"/>
              </w:rPr>
              <w:t>899</w:t>
            </w:r>
          </w:p>
        </w:tc>
        <w:tc>
          <w:tcPr>
            <w:tcW w:w="1121" w:type="dxa"/>
            <w:vAlign w:val="top"/>
          </w:tcPr>
          <w:p>
            <w:pPr>
              <w:pStyle w:val="6"/>
              <w:spacing w:before="87" w:line="177" w:lineRule="auto"/>
              <w:ind w:left="477"/>
            </w:pPr>
            <w:r>
              <w:rPr>
                <w:spacing w:val="-12"/>
              </w:rPr>
              <w:t>10</w:t>
            </w:r>
          </w:p>
        </w:tc>
        <w:tc>
          <w:tcPr>
            <w:tcW w:w="1120" w:type="dxa"/>
            <w:vAlign w:val="top"/>
          </w:tcPr>
          <w:p>
            <w:pPr>
              <w:pStyle w:val="6"/>
              <w:spacing w:before="87" w:line="177" w:lineRule="auto"/>
              <w:ind w:left="371"/>
            </w:pPr>
            <w:r>
              <w:rPr>
                <w:spacing w:val="-6"/>
              </w:rPr>
              <w:t>1653</w:t>
            </w:r>
          </w:p>
        </w:tc>
        <w:tc>
          <w:tcPr>
            <w:tcW w:w="1120" w:type="dxa"/>
            <w:tcBorders>
              <w:right w:val="nil"/>
            </w:tcBorders>
            <w:vAlign w:val="top"/>
          </w:tcPr>
          <w:p>
            <w:pPr>
              <w:pStyle w:val="6"/>
              <w:spacing w:before="87" w:line="177" w:lineRule="auto"/>
              <w:ind w:left="351"/>
            </w:pPr>
            <w:r>
              <w:rPr>
                <w:spacing w:val="-1"/>
              </w:rPr>
              <w:t>2562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2" w:line="188" w:lineRule="auto"/>
              <w:ind w:left="376"/>
              <w:rPr>
                <w:rFonts w:ascii="仿宋" w:hAnsi="仿宋" w:eastAsia="仿宋" w:cs="仿宋"/>
                <w:sz w:val="21"/>
                <w:szCs w:val="21"/>
              </w:rPr>
            </w:pPr>
            <w:r>
              <w:rPr>
                <w:rFonts w:ascii="仿宋" w:hAnsi="仿宋" w:eastAsia="仿宋" w:cs="仿宋"/>
                <w:spacing w:val="-8"/>
                <w:sz w:val="21"/>
                <w:szCs w:val="21"/>
              </w:rPr>
              <w:t>陆林</w:t>
            </w:r>
          </w:p>
        </w:tc>
        <w:tc>
          <w:tcPr>
            <w:tcW w:w="1120" w:type="dxa"/>
            <w:vAlign w:val="top"/>
          </w:tcPr>
          <w:p>
            <w:pPr>
              <w:pStyle w:val="6"/>
              <w:spacing w:before="88" w:line="176" w:lineRule="auto"/>
              <w:ind w:left="517"/>
            </w:pPr>
            <w:r>
              <w:t>8</w:t>
            </w:r>
          </w:p>
        </w:tc>
        <w:tc>
          <w:tcPr>
            <w:tcW w:w="1119" w:type="dxa"/>
            <w:vAlign w:val="top"/>
          </w:tcPr>
          <w:p>
            <w:pPr>
              <w:pStyle w:val="6"/>
              <w:spacing w:before="88" w:line="176" w:lineRule="auto"/>
              <w:ind w:left="371"/>
            </w:pPr>
            <w:r>
              <w:rPr>
                <w:spacing w:val="-6"/>
              </w:rPr>
              <w:t>1060</w:t>
            </w:r>
          </w:p>
        </w:tc>
        <w:tc>
          <w:tcPr>
            <w:tcW w:w="1121" w:type="dxa"/>
            <w:vAlign w:val="top"/>
          </w:tcPr>
          <w:p>
            <w:pPr>
              <w:pStyle w:val="6"/>
              <w:spacing w:before="88" w:line="176" w:lineRule="auto"/>
              <w:ind w:left="456"/>
            </w:pPr>
            <w:r>
              <w:rPr>
                <w:spacing w:val="-2"/>
              </w:rPr>
              <w:t>49</w:t>
            </w:r>
          </w:p>
        </w:tc>
        <w:tc>
          <w:tcPr>
            <w:tcW w:w="1120" w:type="dxa"/>
            <w:vAlign w:val="top"/>
          </w:tcPr>
          <w:p>
            <w:pPr>
              <w:pStyle w:val="6"/>
              <w:spacing w:before="88" w:line="176" w:lineRule="auto"/>
              <w:ind w:left="371"/>
            </w:pPr>
            <w:r>
              <w:rPr>
                <w:spacing w:val="-6"/>
              </w:rPr>
              <w:t>1978</w:t>
            </w:r>
          </w:p>
        </w:tc>
        <w:tc>
          <w:tcPr>
            <w:tcW w:w="1120" w:type="dxa"/>
            <w:tcBorders>
              <w:right w:val="nil"/>
            </w:tcBorders>
            <w:vAlign w:val="top"/>
          </w:tcPr>
          <w:p>
            <w:pPr>
              <w:pStyle w:val="6"/>
              <w:spacing w:before="88" w:line="176" w:lineRule="auto"/>
              <w:ind w:left="356"/>
            </w:pPr>
            <w:r>
              <w:rPr>
                <w:spacing w:val="-3"/>
              </w:rPr>
              <w:t>3087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4" w:line="187" w:lineRule="auto"/>
              <w:ind w:left="360"/>
              <w:rPr>
                <w:rFonts w:ascii="仿宋" w:hAnsi="仿宋" w:eastAsia="仿宋" w:cs="仿宋"/>
                <w:sz w:val="21"/>
                <w:szCs w:val="21"/>
              </w:rPr>
            </w:pPr>
            <w:r>
              <w:rPr>
                <w:rFonts w:ascii="仿宋" w:hAnsi="仿宋" w:eastAsia="仿宋" w:cs="仿宋"/>
                <w:spacing w:val="-4"/>
                <w:sz w:val="21"/>
                <w:szCs w:val="21"/>
              </w:rPr>
              <w:t>钟秀</w:t>
            </w:r>
          </w:p>
        </w:tc>
        <w:tc>
          <w:tcPr>
            <w:tcW w:w="1120" w:type="dxa"/>
            <w:vAlign w:val="top"/>
          </w:tcPr>
          <w:p>
            <w:pPr>
              <w:pStyle w:val="6"/>
              <w:spacing w:before="89" w:line="176" w:lineRule="auto"/>
              <w:ind w:left="456"/>
            </w:pPr>
            <w:r>
              <w:rPr>
                <w:spacing w:val="-2"/>
              </w:rPr>
              <w:t>21</w:t>
            </w:r>
          </w:p>
        </w:tc>
        <w:tc>
          <w:tcPr>
            <w:tcW w:w="1119" w:type="dxa"/>
            <w:vAlign w:val="top"/>
          </w:tcPr>
          <w:p>
            <w:pPr>
              <w:pStyle w:val="6"/>
              <w:spacing w:before="89" w:line="176" w:lineRule="auto"/>
              <w:ind w:left="355"/>
            </w:pPr>
            <w:r>
              <w:rPr>
                <w:spacing w:val="-3"/>
              </w:rPr>
              <w:t>3897</w:t>
            </w:r>
          </w:p>
        </w:tc>
        <w:tc>
          <w:tcPr>
            <w:tcW w:w="1121" w:type="dxa"/>
            <w:vAlign w:val="top"/>
          </w:tcPr>
          <w:p>
            <w:pPr>
              <w:pStyle w:val="6"/>
              <w:spacing w:before="89" w:line="176" w:lineRule="auto"/>
              <w:ind w:left="461"/>
            </w:pPr>
            <w:r>
              <w:rPr>
                <w:spacing w:val="-4"/>
              </w:rPr>
              <w:t>70</w:t>
            </w:r>
          </w:p>
        </w:tc>
        <w:tc>
          <w:tcPr>
            <w:tcW w:w="1120" w:type="dxa"/>
            <w:vAlign w:val="top"/>
          </w:tcPr>
          <w:p>
            <w:pPr>
              <w:pStyle w:val="6"/>
              <w:spacing w:before="89" w:line="176" w:lineRule="auto"/>
              <w:ind w:left="371"/>
            </w:pPr>
            <w:r>
              <w:rPr>
                <w:spacing w:val="-6"/>
              </w:rPr>
              <w:t>1929</w:t>
            </w:r>
          </w:p>
        </w:tc>
        <w:tc>
          <w:tcPr>
            <w:tcW w:w="1120" w:type="dxa"/>
            <w:tcBorders>
              <w:right w:val="nil"/>
            </w:tcBorders>
            <w:vAlign w:val="top"/>
          </w:tcPr>
          <w:p>
            <w:pPr>
              <w:pStyle w:val="6"/>
              <w:spacing w:before="89" w:line="176" w:lineRule="auto"/>
              <w:ind w:left="357"/>
            </w:pPr>
            <w:r>
              <w:rPr>
                <w:spacing w:val="-3"/>
              </w:rPr>
              <w:t>5896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5" w:line="186" w:lineRule="auto"/>
              <w:ind w:left="363"/>
              <w:rPr>
                <w:rFonts w:ascii="仿宋" w:hAnsi="仿宋" w:eastAsia="仿宋" w:cs="仿宋"/>
                <w:sz w:val="21"/>
                <w:szCs w:val="21"/>
              </w:rPr>
            </w:pPr>
            <w:r>
              <w:rPr>
                <w:rFonts w:ascii="仿宋" w:hAnsi="仿宋" w:eastAsia="仿宋" w:cs="仿宋"/>
                <w:spacing w:val="-5"/>
                <w:sz w:val="21"/>
                <w:szCs w:val="21"/>
              </w:rPr>
              <w:t>胡屯</w:t>
            </w:r>
          </w:p>
        </w:tc>
        <w:tc>
          <w:tcPr>
            <w:tcW w:w="1120" w:type="dxa"/>
            <w:vAlign w:val="top"/>
          </w:tcPr>
          <w:p>
            <w:pPr>
              <w:pStyle w:val="6"/>
              <w:spacing w:before="90" w:line="175" w:lineRule="auto"/>
              <w:ind w:left="480"/>
            </w:pPr>
            <w:r>
              <w:rPr>
                <w:spacing w:val="-13"/>
              </w:rPr>
              <w:t>11</w:t>
            </w:r>
          </w:p>
        </w:tc>
        <w:tc>
          <w:tcPr>
            <w:tcW w:w="1119" w:type="dxa"/>
            <w:vAlign w:val="top"/>
          </w:tcPr>
          <w:p>
            <w:pPr>
              <w:pStyle w:val="6"/>
              <w:spacing w:before="90" w:line="175" w:lineRule="auto"/>
              <w:ind w:left="371"/>
            </w:pPr>
            <w:r>
              <w:rPr>
                <w:spacing w:val="-6"/>
              </w:rPr>
              <w:t>1630</w:t>
            </w:r>
          </w:p>
        </w:tc>
        <w:tc>
          <w:tcPr>
            <w:tcW w:w="1121" w:type="dxa"/>
            <w:vAlign w:val="top"/>
          </w:tcPr>
          <w:p>
            <w:pPr>
              <w:pStyle w:val="6"/>
              <w:spacing w:before="90" w:line="175" w:lineRule="auto"/>
              <w:ind w:left="461"/>
            </w:pPr>
            <w:r>
              <w:rPr>
                <w:spacing w:val="-4"/>
              </w:rPr>
              <w:t>97</w:t>
            </w:r>
          </w:p>
        </w:tc>
        <w:tc>
          <w:tcPr>
            <w:tcW w:w="1120" w:type="dxa"/>
            <w:vAlign w:val="top"/>
          </w:tcPr>
          <w:p>
            <w:pPr>
              <w:pStyle w:val="6"/>
              <w:spacing w:before="90" w:line="175" w:lineRule="auto"/>
              <w:ind w:left="408"/>
            </w:pPr>
            <w:r>
              <w:rPr>
                <w:spacing w:val="-4"/>
              </w:rPr>
              <w:t>619</w:t>
            </w:r>
          </w:p>
        </w:tc>
        <w:tc>
          <w:tcPr>
            <w:tcW w:w="1120" w:type="dxa"/>
            <w:tcBorders>
              <w:right w:val="nil"/>
            </w:tcBorders>
            <w:vAlign w:val="top"/>
          </w:tcPr>
          <w:p>
            <w:pPr>
              <w:pStyle w:val="6"/>
              <w:spacing w:before="90" w:line="175" w:lineRule="auto"/>
              <w:ind w:left="351"/>
            </w:pPr>
            <w:r>
              <w:rPr>
                <w:spacing w:val="-1"/>
              </w:rPr>
              <w:t>2345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5" w:line="185" w:lineRule="auto"/>
              <w:ind w:left="365"/>
              <w:rPr>
                <w:rFonts w:ascii="仿宋" w:hAnsi="仿宋" w:eastAsia="仿宋" w:cs="仿宋"/>
                <w:sz w:val="21"/>
                <w:szCs w:val="21"/>
              </w:rPr>
            </w:pPr>
            <w:r>
              <w:rPr>
                <w:rFonts w:ascii="仿宋" w:hAnsi="仿宋" w:eastAsia="仿宋" w:cs="仿宋"/>
                <w:spacing w:val="-5"/>
                <w:sz w:val="21"/>
                <w:szCs w:val="21"/>
              </w:rPr>
              <w:t>仓街</w:t>
            </w:r>
          </w:p>
        </w:tc>
        <w:tc>
          <w:tcPr>
            <w:tcW w:w="1120" w:type="dxa"/>
            <w:vAlign w:val="top"/>
          </w:tcPr>
          <w:p>
            <w:pPr>
              <w:pStyle w:val="6"/>
              <w:spacing w:before="90" w:line="174" w:lineRule="auto"/>
              <w:ind w:left="476"/>
            </w:pPr>
            <w:r>
              <w:rPr>
                <w:spacing w:val="-12"/>
              </w:rPr>
              <w:t>16</w:t>
            </w:r>
          </w:p>
        </w:tc>
        <w:tc>
          <w:tcPr>
            <w:tcW w:w="1119" w:type="dxa"/>
            <w:vAlign w:val="top"/>
          </w:tcPr>
          <w:p>
            <w:pPr>
              <w:pStyle w:val="6"/>
              <w:spacing w:before="90" w:line="174" w:lineRule="auto"/>
              <w:ind w:left="351"/>
            </w:pPr>
            <w:r>
              <w:rPr>
                <w:spacing w:val="-1"/>
              </w:rPr>
              <w:t>2470</w:t>
            </w:r>
          </w:p>
        </w:tc>
        <w:tc>
          <w:tcPr>
            <w:tcW w:w="1121" w:type="dxa"/>
            <w:vAlign w:val="top"/>
          </w:tcPr>
          <w:p>
            <w:pPr>
              <w:pStyle w:val="6"/>
              <w:spacing w:before="90" w:line="174" w:lineRule="auto"/>
              <w:ind w:left="425"/>
            </w:pPr>
            <w:r>
              <w:rPr>
                <w:spacing w:val="-9"/>
              </w:rPr>
              <w:t>161</w:t>
            </w:r>
          </w:p>
        </w:tc>
        <w:tc>
          <w:tcPr>
            <w:tcW w:w="1120" w:type="dxa"/>
            <w:vAlign w:val="top"/>
          </w:tcPr>
          <w:p>
            <w:pPr>
              <w:pStyle w:val="6"/>
              <w:spacing w:before="90" w:line="174" w:lineRule="auto"/>
              <w:ind w:left="407"/>
            </w:pPr>
            <w:r>
              <w:rPr>
                <w:spacing w:val="-3"/>
              </w:rPr>
              <w:t>752</w:t>
            </w:r>
          </w:p>
        </w:tc>
        <w:tc>
          <w:tcPr>
            <w:tcW w:w="1120" w:type="dxa"/>
            <w:tcBorders>
              <w:right w:val="nil"/>
            </w:tcBorders>
            <w:vAlign w:val="top"/>
          </w:tcPr>
          <w:p>
            <w:pPr>
              <w:pStyle w:val="6"/>
              <w:spacing w:before="90" w:line="174" w:lineRule="auto"/>
              <w:ind w:left="356"/>
            </w:pPr>
            <w:r>
              <w:rPr>
                <w:spacing w:val="-3"/>
              </w:rPr>
              <w:t>3383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5" w:line="185" w:lineRule="auto"/>
              <w:ind w:left="359"/>
              <w:rPr>
                <w:rFonts w:ascii="仿宋" w:hAnsi="仿宋" w:eastAsia="仿宋" w:cs="仿宋"/>
                <w:sz w:val="21"/>
                <w:szCs w:val="21"/>
              </w:rPr>
            </w:pPr>
            <w:r>
              <w:rPr>
                <w:rFonts w:ascii="仿宋" w:hAnsi="仿宋" w:eastAsia="仿宋" w:cs="仿宋"/>
                <w:spacing w:val="-7"/>
                <w:sz w:val="21"/>
                <w:szCs w:val="21"/>
              </w:rPr>
              <w:t>殷莲</w:t>
            </w:r>
          </w:p>
        </w:tc>
        <w:tc>
          <w:tcPr>
            <w:tcW w:w="1120" w:type="dxa"/>
            <w:vAlign w:val="top"/>
          </w:tcPr>
          <w:p>
            <w:pPr>
              <w:pStyle w:val="6"/>
              <w:spacing w:before="91" w:line="173" w:lineRule="auto"/>
              <w:ind w:left="513"/>
            </w:pPr>
            <w:r>
              <w:t>9</w:t>
            </w:r>
          </w:p>
        </w:tc>
        <w:tc>
          <w:tcPr>
            <w:tcW w:w="1119" w:type="dxa"/>
            <w:vAlign w:val="top"/>
          </w:tcPr>
          <w:p>
            <w:pPr>
              <w:pStyle w:val="6"/>
              <w:spacing w:before="91" w:line="173" w:lineRule="auto"/>
              <w:ind w:left="371"/>
            </w:pPr>
            <w:r>
              <w:rPr>
                <w:spacing w:val="-6"/>
              </w:rPr>
              <w:t>1727</w:t>
            </w:r>
          </w:p>
        </w:tc>
        <w:tc>
          <w:tcPr>
            <w:tcW w:w="1121" w:type="dxa"/>
            <w:vAlign w:val="top"/>
          </w:tcPr>
          <w:p>
            <w:pPr>
              <w:pStyle w:val="6"/>
              <w:spacing w:before="91" w:line="173" w:lineRule="auto"/>
              <w:ind w:left="425"/>
            </w:pPr>
            <w:r>
              <w:rPr>
                <w:spacing w:val="-9"/>
              </w:rPr>
              <w:t>108</w:t>
            </w:r>
          </w:p>
        </w:tc>
        <w:tc>
          <w:tcPr>
            <w:tcW w:w="1120" w:type="dxa"/>
            <w:vAlign w:val="top"/>
          </w:tcPr>
          <w:p>
            <w:pPr>
              <w:pStyle w:val="6"/>
              <w:spacing w:before="91" w:line="173" w:lineRule="auto"/>
              <w:ind w:left="412"/>
            </w:pPr>
            <w:r>
              <w:rPr>
                <w:spacing w:val="-5"/>
              </w:rPr>
              <w:t>857</w:t>
            </w:r>
          </w:p>
        </w:tc>
        <w:tc>
          <w:tcPr>
            <w:tcW w:w="1120" w:type="dxa"/>
            <w:tcBorders>
              <w:right w:val="nil"/>
            </w:tcBorders>
            <w:vAlign w:val="top"/>
          </w:tcPr>
          <w:p>
            <w:pPr>
              <w:pStyle w:val="6"/>
              <w:spacing w:before="91" w:line="173" w:lineRule="auto"/>
              <w:ind w:left="351"/>
            </w:pPr>
            <w:r>
              <w:rPr>
                <w:spacing w:val="-1"/>
              </w:rPr>
              <w:t>2692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8" w:line="184" w:lineRule="auto"/>
              <w:ind w:left="361"/>
              <w:rPr>
                <w:rFonts w:ascii="仿宋" w:hAnsi="仿宋" w:eastAsia="仿宋" w:cs="仿宋"/>
                <w:sz w:val="21"/>
                <w:szCs w:val="21"/>
              </w:rPr>
            </w:pPr>
            <w:r>
              <w:rPr>
                <w:rFonts w:ascii="仿宋" w:hAnsi="仿宋" w:eastAsia="仿宋" w:cs="仿宋"/>
                <w:spacing w:val="-4"/>
                <w:sz w:val="21"/>
                <w:szCs w:val="21"/>
              </w:rPr>
              <w:t>妙峰</w:t>
            </w:r>
          </w:p>
        </w:tc>
        <w:tc>
          <w:tcPr>
            <w:tcW w:w="1120" w:type="dxa"/>
            <w:vAlign w:val="top"/>
          </w:tcPr>
          <w:p>
            <w:pPr>
              <w:pStyle w:val="6"/>
              <w:spacing w:before="94" w:line="172" w:lineRule="auto"/>
              <w:ind w:left="513"/>
            </w:pPr>
            <w:r>
              <w:t>9</w:t>
            </w:r>
          </w:p>
        </w:tc>
        <w:tc>
          <w:tcPr>
            <w:tcW w:w="1119" w:type="dxa"/>
            <w:vAlign w:val="top"/>
          </w:tcPr>
          <w:p>
            <w:pPr>
              <w:pStyle w:val="6"/>
              <w:spacing w:before="94" w:line="172" w:lineRule="auto"/>
              <w:ind w:left="371"/>
            </w:pPr>
            <w:r>
              <w:rPr>
                <w:spacing w:val="-6"/>
              </w:rPr>
              <w:t>1392</w:t>
            </w:r>
          </w:p>
        </w:tc>
        <w:tc>
          <w:tcPr>
            <w:tcW w:w="1121" w:type="dxa"/>
            <w:vAlign w:val="top"/>
          </w:tcPr>
          <w:p>
            <w:pPr>
              <w:pStyle w:val="6"/>
              <w:spacing w:before="94" w:line="172" w:lineRule="auto"/>
              <w:ind w:left="461"/>
            </w:pPr>
            <w:r>
              <w:rPr>
                <w:spacing w:val="-4"/>
              </w:rPr>
              <w:t>90</w:t>
            </w:r>
          </w:p>
        </w:tc>
        <w:tc>
          <w:tcPr>
            <w:tcW w:w="1120" w:type="dxa"/>
            <w:vAlign w:val="top"/>
          </w:tcPr>
          <w:p>
            <w:pPr>
              <w:pStyle w:val="6"/>
              <w:spacing w:before="94" w:line="172" w:lineRule="auto"/>
              <w:ind w:left="371"/>
            </w:pPr>
            <w:r>
              <w:rPr>
                <w:spacing w:val="-6"/>
              </w:rPr>
              <w:t>1268</w:t>
            </w:r>
          </w:p>
        </w:tc>
        <w:tc>
          <w:tcPr>
            <w:tcW w:w="1120" w:type="dxa"/>
            <w:tcBorders>
              <w:right w:val="nil"/>
            </w:tcBorders>
            <w:vAlign w:val="top"/>
          </w:tcPr>
          <w:p>
            <w:pPr>
              <w:pStyle w:val="6"/>
              <w:spacing w:before="94" w:line="172" w:lineRule="auto"/>
              <w:ind w:left="351"/>
            </w:pPr>
            <w:r>
              <w:rPr>
                <w:spacing w:val="-1"/>
              </w:rPr>
              <w:t>2750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bottom w:val="nil"/>
            </w:tcBorders>
            <w:vAlign w:val="top"/>
          </w:tcPr>
          <w:p>
            <w:pPr>
              <w:rPr>
                <w:rFonts w:ascii="Arial"/>
                <w:sz w:val="21"/>
              </w:rPr>
            </w:pPr>
          </w:p>
        </w:tc>
        <w:tc>
          <w:tcPr>
            <w:tcW w:w="1121" w:type="dxa"/>
            <w:vAlign w:val="top"/>
          </w:tcPr>
          <w:p>
            <w:pPr>
              <w:spacing w:before="56" w:line="184" w:lineRule="auto"/>
              <w:ind w:left="255"/>
              <w:rPr>
                <w:rFonts w:ascii="仿宋" w:hAnsi="仿宋" w:eastAsia="仿宋" w:cs="仿宋"/>
                <w:sz w:val="21"/>
                <w:szCs w:val="21"/>
              </w:rPr>
            </w:pPr>
            <w:r>
              <w:rPr>
                <w:rFonts w:ascii="仿宋" w:hAnsi="仿宋" w:eastAsia="仿宋" w:cs="仿宋"/>
                <w:spacing w:val="-3"/>
                <w:sz w:val="21"/>
                <w:szCs w:val="21"/>
              </w:rPr>
              <w:t>涧水塘</w:t>
            </w:r>
          </w:p>
        </w:tc>
        <w:tc>
          <w:tcPr>
            <w:tcW w:w="1120" w:type="dxa"/>
            <w:vAlign w:val="top"/>
          </w:tcPr>
          <w:p>
            <w:pPr>
              <w:pStyle w:val="6"/>
              <w:spacing w:before="96" w:line="168" w:lineRule="auto"/>
              <w:ind w:left="514"/>
            </w:pPr>
            <w:r>
              <w:t>5</w:t>
            </w:r>
          </w:p>
        </w:tc>
        <w:tc>
          <w:tcPr>
            <w:tcW w:w="1119" w:type="dxa"/>
            <w:vAlign w:val="top"/>
          </w:tcPr>
          <w:p>
            <w:pPr>
              <w:pStyle w:val="6"/>
              <w:spacing w:before="93" w:line="171" w:lineRule="auto"/>
              <w:ind w:left="404"/>
            </w:pPr>
            <w:r>
              <w:rPr>
                <w:spacing w:val="-2"/>
              </w:rPr>
              <w:t>214</w:t>
            </w:r>
          </w:p>
        </w:tc>
        <w:tc>
          <w:tcPr>
            <w:tcW w:w="1121" w:type="dxa"/>
            <w:vAlign w:val="top"/>
          </w:tcPr>
          <w:p>
            <w:pPr>
              <w:pStyle w:val="6"/>
              <w:spacing w:before="93" w:line="171" w:lineRule="auto"/>
              <w:ind w:left="457"/>
            </w:pPr>
            <w:r>
              <w:rPr>
                <w:spacing w:val="-2"/>
              </w:rPr>
              <w:t>29</w:t>
            </w:r>
          </w:p>
        </w:tc>
        <w:tc>
          <w:tcPr>
            <w:tcW w:w="1120" w:type="dxa"/>
            <w:vAlign w:val="top"/>
          </w:tcPr>
          <w:p>
            <w:pPr>
              <w:pStyle w:val="6"/>
              <w:spacing w:before="93" w:line="171" w:lineRule="auto"/>
              <w:ind w:left="351"/>
            </w:pPr>
            <w:r>
              <w:rPr>
                <w:spacing w:val="-1"/>
              </w:rPr>
              <w:t>2504</w:t>
            </w:r>
          </w:p>
        </w:tc>
        <w:tc>
          <w:tcPr>
            <w:tcW w:w="1120" w:type="dxa"/>
            <w:tcBorders>
              <w:right w:val="nil"/>
            </w:tcBorders>
            <w:vAlign w:val="top"/>
          </w:tcPr>
          <w:p>
            <w:pPr>
              <w:pStyle w:val="6"/>
              <w:spacing w:before="93" w:line="171" w:lineRule="auto"/>
              <w:ind w:left="351"/>
            </w:pPr>
            <w:r>
              <w:rPr>
                <w:spacing w:val="-1"/>
              </w:rPr>
              <w:t>2747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bottom w:val="nil"/>
            </w:tcBorders>
            <w:vAlign w:val="top"/>
          </w:tcPr>
          <w:p>
            <w:pPr>
              <w:rPr>
                <w:rFonts w:ascii="Arial"/>
                <w:sz w:val="21"/>
              </w:rPr>
            </w:pPr>
          </w:p>
        </w:tc>
        <w:tc>
          <w:tcPr>
            <w:tcW w:w="1053" w:type="dxa"/>
            <w:vMerge w:val="continue"/>
            <w:tcBorders>
              <w:top w:val="nil"/>
            </w:tcBorders>
            <w:vAlign w:val="top"/>
          </w:tcPr>
          <w:p>
            <w:pPr>
              <w:rPr>
                <w:rFonts w:ascii="Arial"/>
                <w:sz w:val="21"/>
              </w:rPr>
            </w:pPr>
          </w:p>
        </w:tc>
        <w:tc>
          <w:tcPr>
            <w:tcW w:w="1121" w:type="dxa"/>
            <w:vAlign w:val="top"/>
          </w:tcPr>
          <w:p>
            <w:pPr>
              <w:spacing w:before="57" w:line="183" w:lineRule="auto"/>
              <w:ind w:left="365"/>
              <w:rPr>
                <w:rFonts w:ascii="仿宋" w:hAnsi="仿宋" w:eastAsia="仿宋" w:cs="仿宋"/>
                <w:sz w:val="21"/>
                <w:szCs w:val="21"/>
              </w:rPr>
            </w:pPr>
            <w:r>
              <w:rPr>
                <w:rFonts w:ascii="仿宋" w:hAnsi="仿宋" w:eastAsia="仿宋" w:cs="仿宋"/>
                <w:spacing w:val="-5"/>
                <w:sz w:val="21"/>
                <w:szCs w:val="21"/>
              </w:rPr>
              <w:t>龙林</w:t>
            </w:r>
          </w:p>
        </w:tc>
        <w:tc>
          <w:tcPr>
            <w:tcW w:w="1120" w:type="dxa"/>
            <w:vAlign w:val="top"/>
          </w:tcPr>
          <w:p>
            <w:pPr>
              <w:pStyle w:val="6"/>
              <w:spacing w:before="94" w:line="170" w:lineRule="auto"/>
              <w:ind w:left="513"/>
            </w:pPr>
            <w:r>
              <w:t>9</w:t>
            </w:r>
          </w:p>
        </w:tc>
        <w:tc>
          <w:tcPr>
            <w:tcW w:w="1119" w:type="dxa"/>
            <w:vAlign w:val="top"/>
          </w:tcPr>
          <w:p>
            <w:pPr>
              <w:pStyle w:val="6"/>
              <w:spacing w:before="94" w:line="170" w:lineRule="auto"/>
              <w:ind w:left="351"/>
            </w:pPr>
            <w:r>
              <w:rPr>
                <w:spacing w:val="-1"/>
              </w:rPr>
              <w:t>2972</w:t>
            </w:r>
          </w:p>
        </w:tc>
        <w:tc>
          <w:tcPr>
            <w:tcW w:w="1121" w:type="dxa"/>
            <w:vAlign w:val="top"/>
          </w:tcPr>
          <w:p>
            <w:pPr>
              <w:pStyle w:val="6"/>
              <w:spacing w:before="94" w:line="170" w:lineRule="auto"/>
              <w:ind w:left="461"/>
            </w:pPr>
            <w:r>
              <w:rPr>
                <w:spacing w:val="-4"/>
              </w:rPr>
              <w:t>95</w:t>
            </w:r>
          </w:p>
        </w:tc>
        <w:tc>
          <w:tcPr>
            <w:tcW w:w="1120" w:type="dxa"/>
            <w:vAlign w:val="top"/>
          </w:tcPr>
          <w:p>
            <w:pPr>
              <w:pStyle w:val="6"/>
              <w:spacing w:before="94" w:line="170" w:lineRule="auto"/>
              <w:ind w:left="351"/>
            </w:pPr>
            <w:r>
              <w:rPr>
                <w:spacing w:val="-1"/>
              </w:rPr>
              <w:t>2041</w:t>
            </w:r>
          </w:p>
        </w:tc>
        <w:tc>
          <w:tcPr>
            <w:tcW w:w="1120" w:type="dxa"/>
            <w:tcBorders>
              <w:right w:val="nil"/>
            </w:tcBorders>
            <w:vAlign w:val="top"/>
          </w:tcPr>
          <w:p>
            <w:pPr>
              <w:pStyle w:val="6"/>
              <w:spacing w:before="94" w:line="170" w:lineRule="auto"/>
              <w:ind w:left="357"/>
            </w:pPr>
            <w:r>
              <w:rPr>
                <w:spacing w:val="-3"/>
              </w:rPr>
              <w:t>5108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1198" w:type="dxa"/>
            <w:vMerge w:val="continue"/>
            <w:tcBorders>
              <w:top w:val="nil"/>
              <w:left w:val="nil"/>
            </w:tcBorders>
            <w:vAlign w:val="top"/>
          </w:tcPr>
          <w:p>
            <w:pPr>
              <w:rPr>
                <w:rFonts w:ascii="Arial"/>
                <w:sz w:val="21"/>
              </w:rPr>
            </w:pPr>
          </w:p>
        </w:tc>
        <w:tc>
          <w:tcPr>
            <w:tcW w:w="3294" w:type="dxa"/>
            <w:gridSpan w:val="3"/>
            <w:vAlign w:val="top"/>
          </w:tcPr>
          <w:p>
            <w:pPr>
              <w:spacing w:before="58" w:line="182" w:lineRule="auto"/>
              <w:ind w:left="1447"/>
              <w:rPr>
                <w:rFonts w:ascii="仿宋" w:hAnsi="仿宋" w:eastAsia="仿宋" w:cs="仿宋"/>
                <w:sz w:val="21"/>
                <w:szCs w:val="21"/>
              </w:rPr>
            </w:pPr>
            <w:r>
              <w:rPr>
                <w:rFonts w:ascii="仿宋" w:hAnsi="仿宋" w:eastAsia="仿宋" w:cs="仿宋"/>
                <w:spacing w:val="-4"/>
                <w:sz w:val="21"/>
                <w:szCs w:val="21"/>
              </w:rPr>
              <w:t>小计</w:t>
            </w:r>
          </w:p>
        </w:tc>
        <w:tc>
          <w:tcPr>
            <w:tcW w:w="1119" w:type="dxa"/>
            <w:vAlign w:val="top"/>
          </w:tcPr>
          <w:p>
            <w:pPr>
              <w:pStyle w:val="6"/>
              <w:spacing w:before="95" w:line="169" w:lineRule="auto"/>
              <w:ind w:left="298"/>
            </w:pPr>
            <w:r>
              <w:rPr>
                <w:spacing w:val="-1"/>
              </w:rPr>
              <w:t>40352</w:t>
            </w:r>
          </w:p>
        </w:tc>
        <w:tc>
          <w:tcPr>
            <w:tcW w:w="1121" w:type="dxa"/>
            <w:vAlign w:val="top"/>
          </w:tcPr>
          <w:p>
            <w:pPr>
              <w:pStyle w:val="6"/>
              <w:spacing w:before="95" w:line="169" w:lineRule="auto"/>
              <w:ind w:left="352"/>
            </w:pPr>
            <w:r>
              <w:rPr>
                <w:spacing w:val="-1"/>
              </w:rPr>
              <w:t>2029</w:t>
            </w:r>
          </w:p>
        </w:tc>
        <w:tc>
          <w:tcPr>
            <w:tcW w:w="1120" w:type="dxa"/>
            <w:vAlign w:val="top"/>
          </w:tcPr>
          <w:p>
            <w:pPr>
              <w:pStyle w:val="6"/>
              <w:spacing w:before="95" w:line="169" w:lineRule="auto"/>
              <w:ind w:left="302"/>
            </w:pPr>
            <w:r>
              <w:rPr>
                <w:spacing w:val="-2"/>
              </w:rPr>
              <w:t>43112</w:t>
            </w:r>
          </w:p>
        </w:tc>
        <w:tc>
          <w:tcPr>
            <w:tcW w:w="1120" w:type="dxa"/>
            <w:tcBorders>
              <w:right w:val="nil"/>
            </w:tcBorders>
            <w:vAlign w:val="top"/>
          </w:tcPr>
          <w:p>
            <w:pPr>
              <w:pStyle w:val="6"/>
              <w:spacing w:before="95" w:line="169" w:lineRule="auto"/>
              <w:ind w:left="308"/>
            </w:pPr>
            <w:r>
              <w:rPr>
                <w:spacing w:val="-3"/>
              </w:rPr>
              <w:t>85492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4492" w:type="dxa"/>
            <w:gridSpan w:val="4"/>
            <w:tcBorders>
              <w:left w:val="nil"/>
              <w:bottom w:val="single" w:color="000000" w:sz="12" w:space="0"/>
            </w:tcBorders>
            <w:vAlign w:val="top"/>
          </w:tcPr>
          <w:p>
            <w:pPr>
              <w:spacing w:before="60" w:line="204" w:lineRule="auto"/>
              <w:ind w:left="1743"/>
              <w:rPr>
                <w:rFonts w:ascii="仿宋" w:hAnsi="仿宋" w:eastAsia="仿宋" w:cs="仿宋"/>
                <w:sz w:val="21"/>
                <w:szCs w:val="21"/>
              </w:rPr>
            </w:pPr>
            <w:r>
              <w:rPr>
                <w:rFonts w:ascii="仿宋" w:hAnsi="仿宋" w:eastAsia="仿宋" w:cs="仿宋"/>
                <w:spacing w:val="-3"/>
                <w:sz w:val="21"/>
                <w:szCs w:val="21"/>
              </w:rPr>
              <w:t>项目区合计</w:t>
            </w:r>
          </w:p>
        </w:tc>
        <w:tc>
          <w:tcPr>
            <w:tcW w:w="1119" w:type="dxa"/>
            <w:tcBorders>
              <w:bottom w:val="single" w:color="000000" w:sz="12" w:space="0"/>
            </w:tcBorders>
            <w:vAlign w:val="top"/>
          </w:tcPr>
          <w:p>
            <w:pPr>
              <w:pStyle w:val="6"/>
              <w:spacing w:before="97" w:line="188" w:lineRule="auto"/>
              <w:ind w:left="305"/>
            </w:pPr>
            <w:r>
              <w:rPr>
                <w:spacing w:val="-2"/>
              </w:rPr>
              <w:t>59098</w:t>
            </w:r>
          </w:p>
        </w:tc>
        <w:tc>
          <w:tcPr>
            <w:tcW w:w="1121" w:type="dxa"/>
            <w:tcBorders>
              <w:bottom w:val="single" w:color="000000" w:sz="12" w:space="0"/>
            </w:tcBorders>
            <w:vAlign w:val="top"/>
          </w:tcPr>
          <w:p>
            <w:pPr>
              <w:pStyle w:val="6"/>
              <w:spacing w:before="97" w:line="188" w:lineRule="auto"/>
              <w:ind w:left="352"/>
            </w:pPr>
            <w:r>
              <w:rPr>
                <w:spacing w:val="-1"/>
              </w:rPr>
              <w:t>2760</w:t>
            </w:r>
          </w:p>
        </w:tc>
        <w:tc>
          <w:tcPr>
            <w:tcW w:w="1120" w:type="dxa"/>
            <w:tcBorders>
              <w:bottom w:val="single" w:color="000000" w:sz="12" w:space="0"/>
            </w:tcBorders>
            <w:vAlign w:val="top"/>
          </w:tcPr>
          <w:p>
            <w:pPr>
              <w:pStyle w:val="6"/>
              <w:spacing w:before="97" w:line="188" w:lineRule="auto"/>
              <w:ind w:left="302"/>
            </w:pPr>
            <w:r>
              <w:rPr>
                <w:spacing w:val="-2"/>
              </w:rPr>
              <w:t>76452</w:t>
            </w:r>
          </w:p>
        </w:tc>
        <w:tc>
          <w:tcPr>
            <w:tcW w:w="1120" w:type="dxa"/>
            <w:tcBorders>
              <w:bottom w:val="single" w:color="000000" w:sz="12" w:space="0"/>
              <w:right w:val="nil"/>
            </w:tcBorders>
            <w:vAlign w:val="top"/>
          </w:tcPr>
          <w:p>
            <w:pPr>
              <w:pStyle w:val="6"/>
              <w:spacing w:before="97" w:line="188" w:lineRule="auto"/>
              <w:ind w:left="267"/>
            </w:pPr>
            <w:r>
              <w:rPr>
                <w:spacing w:val="-4"/>
              </w:rPr>
              <w:t>138310</w:t>
            </w:r>
          </w:p>
        </w:tc>
      </w:tr>
    </w:tbl>
    <w:p>
      <w:pPr>
        <w:spacing w:before="36" w:line="217" w:lineRule="auto"/>
        <w:ind w:left="517"/>
        <w:rPr>
          <w:rFonts w:ascii="宋体" w:hAnsi="宋体" w:eastAsia="宋体" w:cs="宋体"/>
          <w:sz w:val="24"/>
          <w:szCs w:val="24"/>
        </w:rPr>
      </w:pPr>
      <w:r>
        <w:rPr>
          <w:rFonts w:ascii="宋体" w:hAnsi="宋体" w:eastAsia="宋体" w:cs="宋体"/>
          <w:spacing w:val="-1"/>
          <w:sz w:val="24"/>
          <w:szCs w:val="24"/>
        </w:rPr>
        <w:t>③灌区作物种植比例</w:t>
      </w:r>
    </w:p>
    <w:p>
      <w:pPr>
        <w:spacing w:before="184" w:line="359" w:lineRule="auto"/>
        <w:ind w:left="41" w:right="65" w:firstLine="491"/>
        <w:jc w:val="both"/>
        <w:rPr>
          <w:rFonts w:ascii="宋体" w:hAnsi="宋体" w:eastAsia="宋体" w:cs="宋体"/>
          <w:sz w:val="24"/>
          <w:szCs w:val="24"/>
        </w:rPr>
      </w:pPr>
      <w:r>
        <w:rPr>
          <w:rFonts w:ascii="宋体" w:hAnsi="宋体" w:eastAsia="宋体" w:cs="宋体"/>
          <w:spacing w:val="-1"/>
          <w:sz w:val="24"/>
          <w:szCs w:val="24"/>
        </w:rPr>
        <w:t>随着桂花水库的建设，灌区水利条件得到改善，由于灌溉水源有了保证，复种指</w:t>
      </w:r>
      <w:r>
        <w:rPr>
          <w:rFonts w:ascii="宋体" w:hAnsi="宋体" w:eastAsia="宋体" w:cs="宋体"/>
          <w:spacing w:val="11"/>
          <w:sz w:val="24"/>
          <w:szCs w:val="24"/>
        </w:rPr>
        <w:t xml:space="preserve"> </w:t>
      </w:r>
      <w:r>
        <w:rPr>
          <w:rFonts w:ascii="宋体" w:hAnsi="宋体" w:eastAsia="宋体" w:cs="宋体"/>
          <w:spacing w:val="-5"/>
          <w:sz w:val="24"/>
          <w:szCs w:val="24"/>
        </w:rPr>
        <w:t>数可由现在的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171.0%</w:t>
      </w:r>
      <w:r>
        <w:rPr>
          <w:rFonts w:ascii="宋体" w:hAnsi="宋体" w:eastAsia="宋体" w:cs="宋体"/>
          <w:spacing w:val="-5"/>
          <w:sz w:val="24"/>
          <w:szCs w:val="24"/>
        </w:rPr>
        <w:t>提高到设计水平年</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 xml:space="preserve">2030 </w:t>
      </w:r>
      <w:r>
        <w:rPr>
          <w:rFonts w:ascii="宋体" w:hAnsi="宋体" w:eastAsia="宋体" w:cs="宋体"/>
          <w:spacing w:val="-5"/>
          <w:sz w:val="24"/>
          <w:szCs w:val="24"/>
        </w:rPr>
        <w:t>年的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19</w:t>
      </w:r>
      <w:r>
        <w:rPr>
          <w:rFonts w:ascii="Times New Roman" w:hAnsi="Times New Roman" w:eastAsia="Times New Roman" w:cs="Times New Roman"/>
          <w:spacing w:val="-6"/>
          <w:sz w:val="24"/>
          <w:szCs w:val="24"/>
        </w:rPr>
        <w:t>2.5%</w:t>
      </w:r>
      <w:r>
        <w:rPr>
          <w:rFonts w:ascii="宋体" w:hAnsi="宋体" w:eastAsia="宋体" w:cs="宋体"/>
          <w:spacing w:val="-6"/>
          <w:sz w:val="24"/>
          <w:szCs w:val="24"/>
        </w:rPr>
        <w:t>。现状水平年、</w:t>
      </w:r>
      <w:r>
        <w:rPr>
          <w:rFonts w:ascii="宋体" w:hAnsi="宋体" w:eastAsia="宋体" w:cs="宋体"/>
          <w:spacing w:val="48"/>
          <w:sz w:val="24"/>
          <w:szCs w:val="24"/>
        </w:rPr>
        <w:t xml:space="preserve"> </w:t>
      </w:r>
      <w:r>
        <w:rPr>
          <w:rFonts w:ascii="宋体" w:hAnsi="宋体" w:eastAsia="宋体" w:cs="宋体"/>
          <w:spacing w:val="-6"/>
          <w:sz w:val="24"/>
          <w:szCs w:val="24"/>
        </w:rPr>
        <w:t>设计水平年</w:t>
      </w:r>
    </w:p>
    <w:p>
      <w:pPr>
        <w:spacing w:line="219" w:lineRule="auto"/>
        <w:ind w:left="40"/>
        <w:rPr>
          <w:rFonts w:ascii="宋体" w:hAnsi="宋体" w:eastAsia="宋体" w:cs="宋体"/>
          <w:sz w:val="24"/>
          <w:szCs w:val="24"/>
        </w:rPr>
      </w:pPr>
      <w:r>
        <w:rPr>
          <w:rFonts w:ascii="宋体" w:hAnsi="宋体" w:eastAsia="宋体" w:cs="宋体"/>
          <w:spacing w:val="-1"/>
          <w:sz w:val="24"/>
          <w:szCs w:val="24"/>
        </w:rPr>
        <w:t>作物种植比例详见表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2.3-9</w:t>
      </w:r>
      <w:r>
        <w:rPr>
          <w:rFonts w:ascii="宋体" w:hAnsi="宋体" w:eastAsia="宋体" w:cs="宋体"/>
          <w:spacing w:val="-1"/>
          <w:sz w:val="24"/>
          <w:szCs w:val="24"/>
        </w:rPr>
        <w:t>。</w:t>
      </w:r>
    </w:p>
    <w:p>
      <w:pPr>
        <w:spacing w:before="176" w:line="233" w:lineRule="auto"/>
        <w:ind w:left="3429"/>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7"/>
          <w:sz w:val="21"/>
          <w:szCs w:val="21"/>
        </w:rPr>
        <w:t xml:space="preserve"> </w:t>
      </w:r>
      <w:r>
        <w:rPr>
          <w:rFonts w:ascii="Times New Roman" w:hAnsi="Times New Roman" w:eastAsia="Times New Roman" w:cs="Times New Roman"/>
          <w:b/>
          <w:bCs/>
          <w:spacing w:val="-1"/>
          <w:sz w:val="21"/>
          <w:szCs w:val="21"/>
        </w:rPr>
        <w:t xml:space="preserve">2.9-9    </w:t>
      </w:r>
      <w:r>
        <w:rPr>
          <w:rFonts w:ascii="宋体" w:hAnsi="宋体" w:eastAsia="宋体" w:cs="宋体"/>
          <w:spacing w:val="-1"/>
          <w:sz w:val="21"/>
          <w:szCs w:val="21"/>
          <w14:textOutline w14:w="3810" w14:cap="flat" w14:cmpd="sng">
            <w14:solidFill>
              <w14:srgbClr w14:val="000000"/>
            </w14:solidFill>
            <w14:prstDash w14:val="solid"/>
            <w14:miter w14:val="0"/>
          </w14:textOutline>
        </w:rPr>
        <w:t>农作物种植比例表</w:t>
      </w:r>
    </w:p>
    <w:p>
      <w:pPr>
        <w:spacing w:line="111" w:lineRule="exact"/>
      </w:pPr>
    </w:p>
    <w:tbl>
      <w:tblPr>
        <w:tblStyle w:val="5"/>
        <w:tblW w:w="8972"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5"/>
        <w:gridCol w:w="2142"/>
        <w:gridCol w:w="2248"/>
        <w:gridCol w:w="2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2335" w:type="dxa"/>
            <w:vMerge w:val="restart"/>
            <w:tcBorders>
              <w:top w:val="single" w:color="000000" w:sz="12" w:space="0"/>
              <w:left w:val="nil"/>
              <w:bottom w:val="nil"/>
            </w:tcBorders>
            <w:vAlign w:val="top"/>
          </w:tcPr>
          <w:p>
            <w:pPr>
              <w:spacing w:before="174" w:line="216" w:lineRule="auto"/>
              <w:ind w:left="77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作物名称</w:t>
            </w:r>
          </w:p>
        </w:tc>
        <w:tc>
          <w:tcPr>
            <w:tcW w:w="2142" w:type="dxa"/>
            <w:tcBorders>
              <w:top w:val="single" w:color="000000" w:sz="12" w:space="0"/>
            </w:tcBorders>
            <w:vAlign w:val="top"/>
          </w:tcPr>
          <w:p>
            <w:pPr>
              <w:spacing w:before="30" w:line="207" w:lineRule="auto"/>
              <w:ind w:left="668"/>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生长时段</w:t>
            </w:r>
          </w:p>
        </w:tc>
        <w:tc>
          <w:tcPr>
            <w:tcW w:w="2248" w:type="dxa"/>
            <w:tcBorders>
              <w:top w:val="single" w:color="000000" w:sz="12" w:space="0"/>
            </w:tcBorders>
            <w:vAlign w:val="top"/>
          </w:tcPr>
          <w:p>
            <w:pPr>
              <w:pStyle w:val="6"/>
              <w:spacing w:before="30" w:line="207" w:lineRule="auto"/>
              <w:ind w:left="551"/>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现状</w:t>
            </w:r>
            <w:r>
              <w:rPr>
                <w:rFonts w:ascii="仿宋" w:hAnsi="仿宋" w:eastAsia="仿宋" w:cs="仿宋"/>
                <w:spacing w:val="-44"/>
              </w:rPr>
              <w:t xml:space="preserve"> </w:t>
            </w:r>
            <w:r>
              <w:rPr>
                <w:b/>
                <w:bCs/>
                <w:spacing w:val="-3"/>
              </w:rPr>
              <w:t>2020</w:t>
            </w:r>
            <w:r>
              <w:rPr>
                <w:b/>
                <w:bCs/>
                <w:spacing w:val="19"/>
              </w:rPr>
              <w:t xml:space="preserve"> </w:t>
            </w:r>
            <w:r>
              <w:rPr>
                <w:rFonts w:ascii="仿宋" w:hAnsi="仿宋" w:eastAsia="仿宋" w:cs="仿宋"/>
                <w:spacing w:val="-3"/>
                <w14:textOutline w14:w="3810" w14:cap="flat" w14:cmpd="sng">
                  <w14:solidFill>
                    <w14:srgbClr w14:val="000000"/>
                  </w14:solidFill>
                  <w14:prstDash w14:val="solid"/>
                  <w14:miter w14:val="0"/>
                </w14:textOutline>
              </w:rPr>
              <w:t>年</w:t>
            </w:r>
          </w:p>
        </w:tc>
        <w:tc>
          <w:tcPr>
            <w:tcW w:w="2247" w:type="dxa"/>
            <w:tcBorders>
              <w:top w:val="single" w:color="000000" w:sz="12" w:space="0"/>
              <w:right w:val="nil"/>
            </w:tcBorders>
            <w:vAlign w:val="top"/>
          </w:tcPr>
          <w:p>
            <w:pPr>
              <w:pStyle w:val="6"/>
              <w:spacing w:before="30" w:line="207" w:lineRule="auto"/>
              <w:ind w:left="781"/>
              <w:rPr>
                <w:rFonts w:ascii="仿宋" w:hAnsi="仿宋" w:eastAsia="仿宋" w:cs="仿宋"/>
              </w:rPr>
            </w:pPr>
            <w:r>
              <w:rPr>
                <w:b/>
                <w:bCs/>
                <w:spacing w:val="-2"/>
              </w:rPr>
              <w:t>2030</w:t>
            </w:r>
            <w:r>
              <w:rPr>
                <w:b/>
                <w:bCs/>
                <w:spacing w:val="23"/>
              </w:rPr>
              <w:t xml:space="preserve"> </w:t>
            </w:r>
            <w:r>
              <w:rPr>
                <w:rFonts w:ascii="仿宋" w:hAnsi="仿宋" w:eastAsia="仿宋" w:cs="仿宋"/>
                <w:spacing w:val="-2"/>
                <w14:textOutline w14:w="3810" w14:cap="flat" w14:cmpd="sng">
                  <w14:solidFill>
                    <w14:srgbClr w14:val="000000"/>
                  </w14:solidFill>
                  <w14:prstDash w14:val="solid"/>
                  <w14:miter w14:val="0"/>
                </w14:textOutline>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trPr>
        <w:tc>
          <w:tcPr>
            <w:tcW w:w="2335" w:type="dxa"/>
            <w:vMerge w:val="continue"/>
            <w:tcBorders>
              <w:top w:val="nil"/>
              <w:left w:val="nil"/>
            </w:tcBorders>
            <w:vAlign w:val="top"/>
          </w:tcPr>
          <w:p>
            <w:pPr>
              <w:rPr>
                <w:rFonts w:ascii="Arial"/>
                <w:sz w:val="21"/>
              </w:rPr>
            </w:pPr>
          </w:p>
        </w:tc>
        <w:tc>
          <w:tcPr>
            <w:tcW w:w="2142" w:type="dxa"/>
            <w:vAlign w:val="top"/>
          </w:tcPr>
          <w:p>
            <w:pPr>
              <w:spacing w:before="33" w:line="203" w:lineRule="auto"/>
              <w:ind w:left="771"/>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月～月</w:t>
            </w:r>
          </w:p>
        </w:tc>
        <w:tc>
          <w:tcPr>
            <w:tcW w:w="2248" w:type="dxa"/>
            <w:vAlign w:val="top"/>
          </w:tcPr>
          <w:p>
            <w:pPr>
              <w:pStyle w:val="6"/>
              <w:spacing w:before="33" w:line="203" w:lineRule="auto"/>
              <w:ind w:left="395"/>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种植比例（</w:t>
            </w:r>
            <w:r>
              <w:rPr>
                <w:b/>
                <w:bCs/>
                <w:spacing w:val="-2"/>
              </w:rPr>
              <w:t>%</w:t>
            </w:r>
            <w:r>
              <w:rPr>
                <w:rFonts w:ascii="仿宋" w:hAnsi="仿宋" w:eastAsia="仿宋" w:cs="仿宋"/>
                <w:spacing w:val="-2"/>
                <w14:textOutline w14:w="3810" w14:cap="flat" w14:cmpd="sng">
                  <w14:solidFill>
                    <w14:srgbClr w14:val="000000"/>
                  </w14:solidFill>
                  <w14:prstDash w14:val="solid"/>
                  <w14:miter w14:val="0"/>
                </w14:textOutline>
              </w:rPr>
              <w:t>）</w:t>
            </w:r>
          </w:p>
        </w:tc>
        <w:tc>
          <w:tcPr>
            <w:tcW w:w="2247" w:type="dxa"/>
            <w:tcBorders>
              <w:right w:val="nil"/>
            </w:tcBorders>
            <w:vAlign w:val="top"/>
          </w:tcPr>
          <w:p>
            <w:pPr>
              <w:pStyle w:val="6"/>
              <w:spacing w:before="33" w:line="203" w:lineRule="auto"/>
              <w:ind w:left="396"/>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种植比例（</w:t>
            </w:r>
            <w:r>
              <w:rPr>
                <w:b/>
                <w:bCs/>
                <w:spacing w:val="-2"/>
              </w:rPr>
              <w:t>%</w:t>
            </w:r>
            <w:r>
              <w:rPr>
                <w:rFonts w:ascii="仿宋" w:hAnsi="仿宋" w:eastAsia="仿宋" w:cs="仿宋"/>
                <w:spacing w:val="-2"/>
                <w14:textOutline w14:w="3810" w14:cap="flat" w14:cmpd="sng">
                  <w14:solidFill>
                    <w14:srgbClr w14:val="000000"/>
                  </w14:solidFill>
                  <w14:prstDash w14:val="solid"/>
                  <w14:miter w14:val="0"/>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2335" w:type="dxa"/>
            <w:tcBorders>
              <w:left w:val="nil"/>
            </w:tcBorders>
            <w:vAlign w:val="top"/>
          </w:tcPr>
          <w:p>
            <w:pPr>
              <w:spacing w:before="35" w:line="200" w:lineRule="auto"/>
              <w:ind w:left="977"/>
              <w:rPr>
                <w:rFonts w:ascii="仿宋" w:hAnsi="仿宋" w:eastAsia="仿宋" w:cs="仿宋"/>
                <w:sz w:val="21"/>
                <w:szCs w:val="21"/>
              </w:rPr>
            </w:pPr>
            <w:r>
              <w:rPr>
                <w:rFonts w:ascii="仿宋" w:hAnsi="仿宋" w:eastAsia="仿宋" w:cs="仿宋"/>
                <w:spacing w:val="-4"/>
                <w:sz w:val="21"/>
                <w:szCs w:val="21"/>
              </w:rPr>
              <w:t>水稻</w:t>
            </w:r>
          </w:p>
        </w:tc>
        <w:tc>
          <w:tcPr>
            <w:tcW w:w="2142" w:type="dxa"/>
            <w:vAlign w:val="top"/>
          </w:tcPr>
          <w:p>
            <w:pPr>
              <w:pStyle w:val="6"/>
              <w:spacing w:before="35" w:line="200" w:lineRule="auto"/>
              <w:ind w:left="864"/>
            </w:pPr>
            <w:r>
              <w:rPr>
                <w:spacing w:val="-4"/>
              </w:rPr>
              <w:t>5</w:t>
            </w:r>
            <w:r>
              <w:rPr>
                <w:rFonts w:ascii="仿宋" w:hAnsi="仿宋" w:eastAsia="仿宋" w:cs="仿宋"/>
                <w:spacing w:val="-4"/>
              </w:rPr>
              <w:t>～</w:t>
            </w:r>
            <w:r>
              <w:rPr>
                <w:spacing w:val="-4"/>
              </w:rPr>
              <w:t>9</w:t>
            </w:r>
          </w:p>
        </w:tc>
        <w:tc>
          <w:tcPr>
            <w:tcW w:w="2248" w:type="dxa"/>
            <w:vAlign w:val="top"/>
          </w:tcPr>
          <w:p>
            <w:pPr>
              <w:pStyle w:val="6"/>
              <w:spacing w:before="72" w:line="188" w:lineRule="auto"/>
              <w:ind w:left="936"/>
            </w:pPr>
            <w:r>
              <w:rPr>
                <w:spacing w:val="-1"/>
              </w:rPr>
              <w:t>45.0</w:t>
            </w:r>
          </w:p>
        </w:tc>
        <w:tc>
          <w:tcPr>
            <w:tcW w:w="2247" w:type="dxa"/>
            <w:tcBorders>
              <w:right w:val="nil"/>
            </w:tcBorders>
            <w:vAlign w:val="top"/>
          </w:tcPr>
          <w:p>
            <w:pPr>
              <w:pStyle w:val="6"/>
              <w:spacing w:before="72" w:line="188" w:lineRule="auto"/>
              <w:ind w:left="938"/>
            </w:pPr>
            <w:r>
              <w:rPr>
                <w:spacing w:val="-1"/>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2335" w:type="dxa"/>
            <w:tcBorders>
              <w:left w:val="nil"/>
            </w:tcBorders>
            <w:vAlign w:val="top"/>
          </w:tcPr>
          <w:p>
            <w:pPr>
              <w:spacing w:before="40" w:line="197" w:lineRule="auto"/>
              <w:ind w:left="982"/>
              <w:rPr>
                <w:rFonts w:ascii="仿宋" w:hAnsi="仿宋" w:eastAsia="仿宋" w:cs="仿宋"/>
                <w:sz w:val="21"/>
                <w:szCs w:val="21"/>
              </w:rPr>
            </w:pPr>
            <w:r>
              <w:rPr>
                <w:rFonts w:ascii="仿宋" w:hAnsi="仿宋" w:eastAsia="仿宋" w:cs="仿宋"/>
                <w:spacing w:val="-5"/>
                <w:sz w:val="21"/>
                <w:szCs w:val="21"/>
              </w:rPr>
              <w:t>玉米</w:t>
            </w:r>
          </w:p>
        </w:tc>
        <w:tc>
          <w:tcPr>
            <w:tcW w:w="2142" w:type="dxa"/>
            <w:vAlign w:val="top"/>
          </w:tcPr>
          <w:p>
            <w:pPr>
              <w:pStyle w:val="6"/>
              <w:spacing w:before="40" w:line="197" w:lineRule="auto"/>
              <w:ind w:left="864"/>
            </w:pPr>
            <w:r>
              <w:rPr>
                <w:spacing w:val="-4"/>
              </w:rPr>
              <w:t>5</w:t>
            </w:r>
            <w:r>
              <w:rPr>
                <w:rFonts w:ascii="仿宋" w:hAnsi="仿宋" w:eastAsia="仿宋" w:cs="仿宋"/>
                <w:spacing w:val="-4"/>
              </w:rPr>
              <w:t>～</w:t>
            </w:r>
            <w:r>
              <w:rPr>
                <w:spacing w:val="-4"/>
              </w:rPr>
              <w:t>9</w:t>
            </w:r>
          </w:p>
        </w:tc>
        <w:tc>
          <w:tcPr>
            <w:tcW w:w="2248" w:type="dxa"/>
            <w:vAlign w:val="top"/>
          </w:tcPr>
          <w:p>
            <w:pPr>
              <w:pStyle w:val="6"/>
              <w:spacing w:before="76" w:line="187" w:lineRule="auto"/>
              <w:ind w:left="994"/>
            </w:pPr>
            <w:r>
              <w:rPr>
                <w:spacing w:val="-3"/>
              </w:rPr>
              <w:t>9.5</w:t>
            </w:r>
          </w:p>
        </w:tc>
        <w:tc>
          <w:tcPr>
            <w:tcW w:w="2247" w:type="dxa"/>
            <w:tcBorders>
              <w:right w:val="nil"/>
            </w:tcBorders>
            <w:vAlign w:val="top"/>
          </w:tcPr>
          <w:p>
            <w:pPr>
              <w:pStyle w:val="6"/>
              <w:spacing w:before="76" w:line="187" w:lineRule="auto"/>
              <w:ind w:left="1000"/>
            </w:pPr>
            <w:r>
              <w:rPr>
                <w:spacing w:val="-5"/>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2335" w:type="dxa"/>
            <w:tcBorders>
              <w:left w:val="nil"/>
            </w:tcBorders>
            <w:vAlign w:val="top"/>
          </w:tcPr>
          <w:p>
            <w:pPr>
              <w:spacing w:before="42" w:line="194" w:lineRule="auto"/>
              <w:ind w:left="977"/>
              <w:rPr>
                <w:rFonts w:ascii="仿宋" w:hAnsi="仿宋" w:eastAsia="仿宋" w:cs="仿宋"/>
                <w:sz w:val="21"/>
                <w:szCs w:val="21"/>
              </w:rPr>
            </w:pPr>
            <w:r>
              <w:rPr>
                <w:rFonts w:ascii="仿宋" w:hAnsi="仿宋" w:eastAsia="仿宋" w:cs="仿宋"/>
                <w:spacing w:val="-4"/>
                <w:sz w:val="21"/>
                <w:szCs w:val="21"/>
              </w:rPr>
              <w:t>烤烟</w:t>
            </w:r>
          </w:p>
        </w:tc>
        <w:tc>
          <w:tcPr>
            <w:tcW w:w="2142" w:type="dxa"/>
            <w:vAlign w:val="top"/>
          </w:tcPr>
          <w:p>
            <w:pPr>
              <w:pStyle w:val="6"/>
              <w:spacing w:before="42" w:line="194" w:lineRule="auto"/>
              <w:ind w:left="864"/>
            </w:pPr>
            <w:r>
              <w:rPr>
                <w:spacing w:val="-4"/>
              </w:rPr>
              <w:t>5</w:t>
            </w:r>
            <w:r>
              <w:rPr>
                <w:rFonts w:ascii="仿宋" w:hAnsi="仿宋" w:eastAsia="仿宋" w:cs="仿宋"/>
                <w:spacing w:val="-4"/>
              </w:rPr>
              <w:t>～</w:t>
            </w:r>
            <w:r>
              <w:rPr>
                <w:spacing w:val="-4"/>
              </w:rPr>
              <w:t>9</w:t>
            </w:r>
          </w:p>
        </w:tc>
        <w:tc>
          <w:tcPr>
            <w:tcW w:w="2248" w:type="dxa"/>
            <w:vAlign w:val="top"/>
          </w:tcPr>
          <w:p>
            <w:pPr>
              <w:pStyle w:val="6"/>
              <w:spacing w:before="78" w:line="183" w:lineRule="auto"/>
              <w:ind w:left="937"/>
            </w:pPr>
            <w:r>
              <w:rPr>
                <w:spacing w:val="-1"/>
              </w:rPr>
              <w:t>20.0</w:t>
            </w:r>
          </w:p>
        </w:tc>
        <w:tc>
          <w:tcPr>
            <w:tcW w:w="2247" w:type="dxa"/>
            <w:tcBorders>
              <w:right w:val="nil"/>
            </w:tcBorders>
            <w:vAlign w:val="top"/>
          </w:tcPr>
          <w:p>
            <w:pPr>
              <w:pStyle w:val="6"/>
              <w:spacing w:before="78" w:line="183" w:lineRule="auto"/>
              <w:ind w:left="938"/>
            </w:pPr>
            <w:r>
              <w:rPr>
                <w:spacing w:val="-1"/>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trPr>
        <w:tc>
          <w:tcPr>
            <w:tcW w:w="2335" w:type="dxa"/>
            <w:tcBorders>
              <w:left w:val="nil"/>
            </w:tcBorders>
            <w:vAlign w:val="top"/>
          </w:tcPr>
          <w:p>
            <w:pPr>
              <w:spacing w:before="47" w:line="190" w:lineRule="auto"/>
              <w:ind w:left="980"/>
              <w:rPr>
                <w:rFonts w:ascii="仿宋" w:hAnsi="仿宋" w:eastAsia="仿宋" w:cs="仿宋"/>
                <w:sz w:val="21"/>
                <w:szCs w:val="21"/>
              </w:rPr>
            </w:pPr>
            <w:r>
              <w:rPr>
                <w:rFonts w:ascii="仿宋" w:hAnsi="仿宋" w:eastAsia="仿宋" w:cs="仿宋"/>
                <w:spacing w:val="-5"/>
                <w:sz w:val="21"/>
                <w:szCs w:val="21"/>
              </w:rPr>
              <w:t>大豆</w:t>
            </w:r>
          </w:p>
        </w:tc>
        <w:tc>
          <w:tcPr>
            <w:tcW w:w="2142" w:type="dxa"/>
            <w:vAlign w:val="top"/>
          </w:tcPr>
          <w:p>
            <w:pPr>
              <w:pStyle w:val="6"/>
              <w:spacing w:before="47" w:line="190" w:lineRule="auto"/>
              <w:ind w:left="864"/>
            </w:pPr>
            <w:r>
              <w:rPr>
                <w:spacing w:val="-4"/>
              </w:rPr>
              <w:t>5</w:t>
            </w:r>
            <w:r>
              <w:rPr>
                <w:rFonts w:ascii="仿宋" w:hAnsi="仿宋" w:eastAsia="仿宋" w:cs="仿宋"/>
                <w:spacing w:val="-4"/>
              </w:rPr>
              <w:t>～</w:t>
            </w:r>
            <w:r>
              <w:rPr>
                <w:spacing w:val="-4"/>
              </w:rPr>
              <w:t>9</w:t>
            </w:r>
          </w:p>
        </w:tc>
        <w:tc>
          <w:tcPr>
            <w:tcW w:w="2248" w:type="dxa"/>
            <w:vAlign w:val="top"/>
          </w:tcPr>
          <w:p>
            <w:pPr>
              <w:pStyle w:val="6"/>
              <w:spacing w:before="83" w:line="179" w:lineRule="auto"/>
              <w:ind w:left="990"/>
            </w:pPr>
            <w:r>
              <w:rPr>
                <w:spacing w:val="-2"/>
              </w:rPr>
              <w:t>2.5</w:t>
            </w:r>
          </w:p>
        </w:tc>
        <w:tc>
          <w:tcPr>
            <w:tcW w:w="2247" w:type="dxa"/>
            <w:tcBorders>
              <w:right w:val="nil"/>
            </w:tcBorders>
            <w:vAlign w:val="top"/>
          </w:tcPr>
          <w:p>
            <w:pPr>
              <w:pStyle w:val="6"/>
              <w:spacing w:before="83" w:line="179" w:lineRule="auto"/>
              <w:ind w:left="995"/>
            </w:pPr>
            <w:r>
              <w:rPr>
                <w:spacing w:val="-3"/>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2335" w:type="dxa"/>
            <w:tcBorders>
              <w:left w:val="nil"/>
            </w:tcBorders>
            <w:vAlign w:val="top"/>
          </w:tcPr>
          <w:p>
            <w:pPr>
              <w:spacing w:before="50" w:line="187" w:lineRule="auto"/>
              <w:ind w:left="770"/>
              <w:rPr>
                <w:rFonts w:ascii="仿宋" w:hAnsi="仿宋" w:eastAsia="仿宋" w:cs="仿宋"/>
                <w:sz w:val="21"/>
                <w:szCs w:val="21"/>
              </w:rPr>
            </w:pPr>
            <w:r>
              <w:rPr>
                <w:rFonts w:ascii="仿宋" w:hAnsi="仿宋" w:eastAsia="仿宋" w:cs="仿宋"/>
                <w:spacing w:val="-4"/>
                <w:sz w:val="21"/>
                <w:szCs w:val="21"/>
              </w:rPr>
              <w:t>大春薯杂</w:t>
            </w:r>
          </w:p>
        </w:tc>
        <w:tc>
          <w:tcPr>
            <w:tcW w:w="2142" w:type="dxa"/>
            <w:vAlign w:val="top"/>
          </w:tcPr>
          <w:p>
            <w:pPr>
              <w:pStyle w:val="6"/>
              <w:spacing w:before="50" w:line="187" w:lineRule="auto"/>
              <w:ind w:left="864"/>
            </w:pPr>
            <w:r>
              <w:rPr>
                <w:spacing w:val="-4"/>
              </w:rPr>
              <w:t>5</w:t>
            </w:r>
            <w:r>
              <w:rPr>
                <w:rFonts w:ascii="仿宋" w:hAnsi="仿宋" w:eastAsia="仿宋" w:cs="仿宋"/>
                <w:spacing w:val="-4"/>
              </w:rPr>
              <w:t>～</w:t>
            </w:r>
            <w:r>
              <w:rPr>
                <w:spacing w:val="-4"/>
              </w:rPr>
              <w:t>9</w:t>
            </w:r>
          </w:p>
        </w:tc>
        <w:tc>
          <w:tcPr>
            <w:tcW w:w="2248" w:type="dxa"/>
            <w:vAlign w:val="top"/>
          </w:tcPr>
          <w:p>
            <w:pPr>
              <w:pStyle w:val="6"/>
              <w:spacing w:before="86" w:line="175" w:lineRule="auto"/>
              <w:ind w:left="990"/>
            </w:pPr>
            <w:r>
              <w:rPr>
                <w:spacing w:val="-2"/>
              </w:rPr>
              <w:t>2.0</w:t>
            </w:r>
          </w:p>
        </w:tc>
        <w:tc>
          <w:tcPr>
            <w:tcW w:w="2247" w:type="dxa"/>
            <w:tcBorders>
              <w:right w:val="nil"/>
            </w:tcBorders>
            <w:vAlign w:val="top"/>
          </w:tcPr>
          <w:p>
            <w:pPr>
              <w:pStyle w:val="6"/>
              <w:spacing w:before="86" w:line="175" w:lineRule="auto"/>
              <w:ind w:left="1011"/>
            </w:pPr>
            <w:r>
              <w:rPr>
                <w:spacing w:val="-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4477" w:type="dxa"/>
            <w:gridSpan w:val="2"/>
            <w:tcBorders>
              <w:left w:val="nil"/>
              <w:bottom w:val="single" w:color="000000" w:sz="12" w:space="0"/>
            </w:tcBorders>
            <w:vAlign w:val="top"/>
          </w:tcPr>
          <w:p>
            <w:pPr>
              <w:spacing w:before="56" w:line="203" w:lineRule="auto"/>
              <w:ind w:left="1841"/>
              <w:rPr>
                <w:rFonts w:ascii="仿宋" w:hAnsi="仿宋" w:eastAsia="仿宋" w:cs="仿宋"/>
                <w:sz w:val="21"/>
                <w:szCs w:val="21"/>
              </w:rPr>
            </w:pPr>
            <w:r>
              <w:rPr>
                <w:rFonts w:ascii="仿宋" w:hAnsi="仿宋" w:eastAsia="仿宋" w:cs="仿宋"/>
                <w:spacing w:val="-4"/>
                <w:sz w:val="21"/>
                <w:szCs w:val="21"/>
              </w:rPr>
              <w:t>大春小计</w:t>
            </w:r>
          </w:p>
        </w:tc>
        <w:tc>
          <w:tcPr>
            <w:tcW w:w="2248" w:type="dxa"/>
            <w:tcBorders>
              <w:bottom w:val="single" w:color="000000" w:sz="12" w:space="0"/>
            </w:tcBorders>
            <w:vAlign w:val="top"/>
          </w:tcPr>
          <w:p>
            <w:pPr>
              <w:pStyle w:val="6"/>
              <w:spacing w:before="90" w:line="188" w:lineRule="auto"/>
              <w:ind w:left="940"/>
            </w:pPr>
            <w:r>
              <w:rPr>
                <w:spacing w:val="-2"/>
              </w:rPr>
              <w:t>79.0</w:t>
            </w:r>
          </w:p>
        </w:tc>
        <w:tc>
          <w:tcPr>
            <w:tcW w:w="2247" w:type="dxa"/>
            <w:tcBorders>
              <w:bottom w:val="single" w:color="000000" w:sz="12" w:space="0"/>
              <w:right w:val="nil"/>
            </w:tcBorders>
            <w:vAlign w:val="top"/>
          </w:tcPr>
          <w:p>
            <w:pPr>
              <w:pStyle w:val="6"/>
              <w:spacing w:before="90" w:line="188" w:lineRule="auto"/>
              <w:ind w:left="943"/>
            </w:pPr>
            <w:r>
              <w:rPr>
                <w:spacing w:val="-2"/>
              </w:rPr>
              <w:t>68.5</w:t>
            </w:r>
          </w:p>
        </w:tc>
      </w:tr>
    </w:tbl>
    <w:p>
      <w:pPr>
        <w:spacing w:line="48" w:lineRule="exact"/>
        <w:rPr>
          <w:rFonts w:ascii="Arial"/>
          <w:sz w:val="4"/>
        </w:rPr>
      </w:pPr>
    </w:p>
    <w:p>
      <w:pPr>
        <w:spacing w:line="48" w:lineRule="exact"/>
        <w:rPr>
          <w:rFonts w:ascii="Arial" w:hAnsi="Arial" w:eastAsia="Arial" w:cs="Arial"/>
          <w:sz w:val="4"/>
          <w:szCs w:val="4"/>
        </w:rPr>
        <w:sectPr>
          <w:footerReference r:id="rId121" w:type="default"/>
          <w:pgSz w:w="11907" w:h="16839"/>
          <w:pgMar w:top="1298" w:right="1387" w:bottom="1374" w:left="1501" w:header="1023" w:footer="1210" w:gutter="0"/>
        </w:sectPr>
      </w:pPr>
    </w:p>
    <w:p>
      <w:pPr>
        <w:spacing w:line="120" w:lineRule="exact"/>
      </w:pPr>
    </w:p>
    <w:tbl>
      <w:tblPr>
        <w:tblStyle w:val="5"/>
        <w:tblW w:w="8972"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35"/>
        <w:gridCol w:w="2142"/>
        <w:gridCol w:w="2248"/>
        <w:gridCol w:w="2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8" w:hRule="atLeast"/>
        </w:trPr>
        <w:tc>
          <w:tcPr>
            <w:tcW w:w="2335" w:type="dxa"/>
            <w:vMerge w:val="restart"/>
            <w:tcBorders>
              <w:top w:val="single" w:color="000000" w:sz="12" w:space="0"/>
              <w:left w:val="nil"/>
              <w:bottom w:val="nil"/>
            </w:tcBorders>
            <w:vAlign w:val="top"/>
          </w:tcPr>
          <w:p>
            <w:pPr>
              <w:spacing w:before="173" w:line="216" w:lineRule="auto"/>
              <w:ind w:left="77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作物名称</w:t>
            </w:r>
          </w:p>
        </w:tc>
        <w:tc>
          <w:tcPr>
            <w:tcW w:w="2142" w:type="dxa"/>
            <w:tcBorders>
              <w:top w:val="single" w:color="000000" w:sz="12" w:space="0"/>
            </w:tcBorders>
            <w:vAlign w:val="top"/>
          </w:tcPr>
          <w:p>
            <w:pPr>
              <w:spacing w:before="30" w:line="209" w:lineRule="auto"/>
              <w:ind w:left="668"/>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生长时段</w:t>
            </w:r>
          </w:p>
        </w:tc>
        <w:tc>
          <w:tcPr>
            <w:tcW w:w="2248" w:type="dxa"/>
            <w:tcBorders>
              <w:top w:val="single" w:color="000000" w:sz="12" w:space="0"/>
            </w:tcBorders>
            <w:vAlign w:val="top"/>
          </w:tcPr>
          <w:p>
            <w:pPr>
              <w:pStyle w:val="6"/>
              <w:spacing w:before="30" w:line="209" w:lineRule="auto"/>
              <w:ind w:left="551"/>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现状</w:t>
            </w:r>
            <w:r>
              <w:rPr>
                <w:rFonts w:ascii="仿宋" w:hAnsi="仿宋" w:eastAsia="仿宋" w:cs="仿宋"/>
                <w:spacing w:val="-44"/>
              </w:rPr>
              <w:t xml:space="preserve"> </w:t>
            </w:r>
            <w:r>
              <w:rPr>
                <w:b/>
                <w:bCs/>
                <w:spacing w:val="-3"/>
              </w:rPr>
              <w:t>2020</w:t>
            </w:r>
            <w:r>
              <w:rPr>
                <w:b/>
                <w:bCs/>
                <w:spacing w:val="19"/>
              </w:rPr>
              <w:t xml:space="preserve"> </w:t>
            </w:r>
            <w:r>
              <w:rPr>
                <w:rFonts w:ascii="仿宋" w:hAnsi="仿宋" w:eastAsia="仿宋" w:cs="仿宋"/>
                <w:spacing w:val="-3"/>
                <w14:textOutline w14:w="3810" w14:cap="flat" w14:cmpd="sng">
                  <w14:solidFill>
                    <w14:srgbClr w14:val="000000"/>
                  </w14:solidFill>
                  <w14:prstDash w14:val="solid"/>
                  <w14:miter w14:val="0"/>
                </w14:textOutline>
              </w:rPr>
              <w:t>年</w:t>
            </w:r>
          </w:p>
        </w:tc>
        <w:tc>
          <w:tcPr>
            <w:tcW w:w="2247" w:type="dxa"/>
            <w:tcBorders>
              <w:top w:val="single" w:color="000000" w:sz="12" w:space="0"/>
              <w:right w:val="nil"/>
            </w:tcBorders>
            <w:vAlign w:val="top"/>
          </w:tcPr>
          <w:p>
            <w:pPr>
              <w:pStyle w:val="6"/>
              <w:spacing w:before="30" w:line="209" w:lineRule="auto"/>
              <w:ind w:left="781"/>
              <w:rPr>
                <w:rFonts w:ascii="仿宋" w:hAnsi="仿宋" w:eastAsia="仿宋" w:cs="仿宋"/>
              </w:rPr>
            </w:pPr>
            <w:r>
              <w:rPr>
                <w:b/>
                <w:bCs/>
                <w:spacing w:val="-2"/>
              </w:rPr>
              <w:t>2030</w:t>
            </w:r>
            <w:r>
              <w:rPr>
                <w:b/>
                <w:bCs/>
                <w:spacing w:val="23"/>
              </w:rPr>
              <w:t xml:space="preserve"> </w:t>
            </w:r>
            <w:r>
              <w:rPr>
                <w:rFonts w:ascii="仿宋" w:hAnsi="仿宋" w:eastAsia="仿宋" w:cs="仿宋"/>
                <w:spacing w:val="-2"/>
                <w14:textOutline w14:w="3810" w14:cap="flat" w14:cmpd="sng">
                  <w14:solidFill>
                    <w14:srgbClr w14:val="000000"/>
                  </w14:solidFill>
                  <w14:prstDash w14:val="solid"/>
                  <w14:miter w14:val="0"/>
                </w14:textOutline>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2335" w:type="dxa"/>
            <w:vMerge w:val="continue"/>
            <w:tcBorders>
              <w:top w:val="nil"/>
              <w:left w:val="nil"/>
            </w:tcBorders>
            <w:vAlign w:val="top"/>
          </w:tcPr>
          <w:p>
            <w:pPr>
              <w:rPr>
                <w:rFonts w:ascii="Arial"/>
                <w:sz w:val="21"/>
              </w:rPr>
            </w:pPr>
          </w:p>
        </w:tc>
        <w:tc>
          <w:tcPr>
            <w:tcW w:w="2142" w:type="dxa"/>
            <w:vAlign w:val="top"/>
          </w:tcPr>
          <w:p>
            <w:pPr>
              <w:spacing w:before="29" w:line="207" w:lineRule="auto"/>
              <w:ind w:left="771"/>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月～月</w:t>
            </w:r>
          </w:p>
        </w:tc>
        <w:tc>
          <w:tcPr>
            <w:tcW w:w="2248" w:type="dxa"/>
            <w:vAlign w:val="top"/>
          </w:tcPr>
          <w:p>
            <w:pPr>
              <w:pStyle w:val="6"/>
              <w:spacing w:before="29" w:line="207" w:lineRule="auto"/>
              <w:ind w:left="395"/>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种植比例（</w:t>
            </w:r>
            <w:r>
              <w:rPr>
                <w:b/>
                <w:bCs/>
                <w:spacing w:val="-2"/>
              </w:rPr>
              <w:t>%</w:t>
            </w:r>
            <w:r>
              <w:rPr>
                <w:rFonts w:ascii="仿宋" w:hAnsi="仿宋" w:eastAsia="仿宋" w:cs="仿宋"/>
                <w:spacing w:val="-2"/>
                <w14:textOutline w14:w="3810" w14:cap="flat" w14:cmpd="sng">
                  <w14:solidFill>
                    <w14:srgbClr w14:val="000000"/>
                  </w14:solidFill>
                  <w14:prstDash w14:val="solid"/>
                  <w14:miter w14:val="0"/>
                </w14:textOutline>
              </w:rPr>
              <w:t>）</w:t>
            </w:r>
          </w:p>
        </w:tc>
        <w:tc>
          <w:tcPr>
            <w:tcW w:w="2247" w:type="dxa"/>
            <w:tcBorders>
              <w:right w:val="nil"/>
            </w:tcBorders>
            <w:vAlign w:val="top"/>
          </w:tcPr>
          <w:p>
            <w:pPr>
              <w:pStyle w:val="6"/>
              <w:spacing w:before="29" w:line="207" w:lineRule="auto"/>
              <w:ind w:left="396"/>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种植比例（</w:t>
            </w:r>
            <w:r>
              <w:rPr>
                <w:b/>
                <w:bCs/>
                <w:spacing w:val="-2"/>
              </w:rPr>
              <w:t>%</w:t>
            </w:r>
            <w:r>
              <w:rPr>
                <w:rFonts w:ascii="仿宋" w:hAnsi="仿宋" w:eastAsia="仿宋" w:cs="仿宋"/>
                <w:spacing w:val="-2"/>
                <w14:textOutline w14:w="3810" w14:cap="flat" w14:cmpd="sng">
                  <w14:solidFill>
                    <w14:srgbClr w14:val="000000"/>
                  </w14:solidFill>
                  <w14:prstDash w14:val="solid"/>
                  <w14:miter w14:val="0"/>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2335" w:type="dxa"/>
            <w:tcBorders>
              <w:left w:val="nil"/>
            </w:tcBorders>
            <w:vAlign w:val="top"/>
          </w:tcPr>
          <w:p>
            <w:pPr>
              <w:spacing w:before="32" w:line="205" w:lineRule="auto"/>
              <w:ind w:left="977"/>
              <w:rPr>
                <w:rFonts w:ascii="仿宋" w:hAnsi="仿宋" w:eastAsia="仿宋" w:cs="仿宋"/>
                <w:sz w:val="21"/>
                <w:szCs w:val="21"/>
              </w:rPr>
            </w:pPr>
            <w:r>
              <w:rPr>
                <w:rFonts w:ascii="仿宋" w:hAnsi="仿宋" w:eastAsia="仿宋" w:cs="仿宋"/>
                <w:spacing w:val="-4"/>
                <w:sz w:val="21"/>
                <w:szCs w:val="21"/>
              </w:rPr>
              <w:t>小麦</w:t>
            </w:r>
          </w:p>
        </w:tc>
        <w:tc>
          <w:tcPr>
            <w:tcW w:w="2142" w:type="dxa"/>
            <w:vAlign w:val="top"/>
          </w:tcPr>
          <w:p>
            <w:pPr>
              <w:pStyle w:val="6"/>
              <w:spacing w:before="32" w:line="205" w:lineRule="auto"/>
              <w:ind w:left="830"/>
            </w:pPr>
            <w:r>
              <w:rPr>
                <w:spacing w:val="-8"/>
              </w:rPr>
              <w:t>11</w:t>
            </w:r>
            <w:r>
              <w:rPr>
                <w:rFonts w:ascii="仿宋" w:hAnsi="仿宋" w:eastAsia="仿宋" w:cs="仿宋"/>
                <w:spacing w:val="-8"/>
              </w:rPr>
              <w:t>～</w:t>
            </w:r>
            <w:r>
              <w:rPr>
                <w:spacing w:val="-8"/>
              </w:rPr>
              <w:t>4</w:t>
            </w:r>
          </w:p>
        </w:tc>
        <w:tc>
          <w:tcPr>
            <w:tcW w:w="2248" w:type="dxa"/>
            <w:vAlign w:val="top"/>
          </w:tcPr>
          <w:p>
            <w:pPr>
              <w:pStyle w:val="6"/>
              <w:spacing w:before="67" w:line="188" w:lineRule="auto"/>
              <w:ind w:left="937"/>
            </w:pPr>
            <w:r>
              <w:rPr>
                <w:spacing w:val="-1"/>
              </w:rPr>
              <w:t>20.0</w:t>
            </w:r>
          </w:p>
        </w:tc>
        <w:tc>
          <w:tcPr>
            <w:tcW w:w="2247" w:type="dxa"/>
            <w:tcBorders>
              <w:right w:val="nil"/>
            </w:tcBorders>
            <w:vAlign w:val="top"/>
          </w:tcPr>
          <w:p>
            <w:pPr>
              <w:pStyle w:val="6"/>
              <w:spacing w:before="67" w:line="188" w:lineRule="auto"/>
              <w:ind w:left="938"/>
            </w:pPr>
            <w:r>
              <w:rPr>
                <w:spacing w:val="-1"/>
              </w:rPr>
              <w:t>22.0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2335" w:type="dxa"/>
            <w:tcBorders>
              <w:left w:val="nil"/>
            </w:tcBorders>
            <w:vAlign w:val="top"/>
          </w:tcPr>
          <w:p>
            <w:pPr>
              <w:spacing w:before="32" w:line="204" w:lineRule="auto"/>
              <w:ind w:left="977"/>
              <w:rPr>
                <w:rFonts w:ascii="仿宋" w:hAnsi="仿宋" w:eastAsia="仿宋" w:cs="仿宋"/>
                <w:sz w:val="21"/>
                <w:szCs w:val="21"/>
              </w:rPr>
            </w:pPr>
            <w:r>
              <w:rPr>
                <w:rFonts w:ascii="仿宋" w:hAnsi="仿宋" w:eastAsia="仿宋" w:cs="仿宋"/>
                <w:spacing w:val="-4"/>
                <w:sz w:val="21"/>
                <w:szCs w:val="21"/>
              </w:rPr>
              <w:t>蚕豆</w:t>
            </w:r>
          </w:p>
        </w:tc>
        <w:tc>
          <w:tcPr>
            <w:tcW w:w="2142" w:type="dxa"/>
            <w:vAlign w:val="top"/>
          </w:tcPr>
          <w:p>
            <w:pPr>
              <w:pStyle w:val="6"/>
              <w:spacing w:before="32" w:line="204" w:lineRule="auto"/>
              <w:ind w:left="826"/>
            </w:pPr>
            <w:r>
              <w:rPr>
                <w:spacing w:val="-7"/>
              </w:rPr>
              <w:t>10</w:t>
            </w:r>
            <w:r>
              <w:rPr>
                <w:rFonts w:ascii="仿宋" w:hAnsi="仿宋" w:eastAsia="仿宋" w:cs="仿宋"/>
                <w:spacing w:val="-7"/>
              </w:rPr>
              <w:t>～</w:t>
            </w:r>
            <w:r>
              <w:rPr>
                <w:spacing w:val="-7"/>
              </w:rPr>
              <w:t>4</w:t>
            </w:r>
          </w:p>
        </w:tc>
        <w:tc>
          <w:tcPr>
            <w:tcW w:w="2248" w:type="dxa"/>
            <w:vAlign w:val="top"/>
          </w:tcPr>
          <w:p>
            <w:pPr>
              <w:pStyle w:val="6"/>
              <w:spacing w:before="69" w:line="188" w:lineRule="auto"/>
              <w:ind w:left="957"/>
            </w:pPr>
            <w:r>
              <w:rPr>
                <w:spacing w:val="-6"/>
              </w:rPr>
              <w:t>14.0</w:t>
            </w:r>
          </w:p>
        </w:tc>
        <w:tc>
          <w:tcPr>
            <w:tcW w:w="2247" w:type="dxa"/>
            <w:tcBorders>
              <w:right w:val="nil"/>
            </w:tcBorders>
            <w:vAlign w:val="top"/>
          </w:tcPr>
          <w:p>
            <w:pPr>
              <w:pStyle w:val="6"/>
              <w:spacing w:before="69" w:line="188" w:lineRule="auto"/>
              <w:ind w:left="958"/>
            </w:pPr>
            <w:r>
              <w:rPr>
                <w:spacing w:val="-6"/>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2335" w:type="dxa"/>
            <w:tcBorders>
              <w:left w:val="nil"/>
            </w:tcBorders>
            <w:vAlign w:val="top"/>
          </w:tcPr>
          <w:p>
            <w:pPr>
              <w:spacing w:before="35" w:line="202" w:lineRule="auto"/>
              <w:ind w:left="982"/>
              <w:rPr>
                <w:rFonts w:ascii="仿宋" w:hAnsi="仿宋" w:eastAsia="仿宋" w:cs="仿宋"/>
                <w:sz w:val="21"/>
                <w:szCs w:val="21"/>
              </w:rPr>
            </w:pPr>
            <w:r>
              <w:rPr>
                <w:rFonts w:ascii="仿宋" w:hAnsi="仿宋" w:eastAsia="仿宋" w:cs="仿宋"/>
                <w:spacing w:val="-5"/>
                <w:sz w:val="21"/>
                <w:szCs w:val="21"/>
              </w:rPr>
              <w:t>油菜</w:t>
            </w:r>
          </w:p>
        </w:tc>
        <w:tc>
          <w:tcPr>
            <w:tcW w:w="2142" w:type="dxa"/>
            <w:vAlign w:val="top"/>
          </w:tcPr>
          <w:p>
            <w:pPr>
              <w:pStyle w:val="6"/>
              <w:spacing w:before="35" w:line="202" w:lineRule="auto"/>
              <w:ind w:left="826"/>
            </w:pPr>
            <w:r>
              <w:rPr>
                <w:spacing w:val="-7"/>
              </w:rPr>
              <w:t>10</w:t>
            </w:r>
            <w:r>
              <w:rPr>
                <w:rFonts w:ascii="仿宋" w:hAnsi="仿宋" w:eastAsia="仿宋" w:cs="仿宋"/>
                <w:spacing w:val="-7"/>
              </w:rPr>
              <w:t>～</w:t>
            </w:r>
            <w:r>
              <w:rPr>
                <w:spacing w:val="-7"/>
              </w:rPr>
              <w:t>4</w:t>
            </w:r>
          </w:p>
        </w:tc>
        <w:tc>
          <w:tcPr>
            <w:tcW w:w="2248" w:type="dxa"/>
            <w:vAlign w:val="top"/>
          </w:tcPr>
          <w:p>
            <w:pPr>
              <w:pStyle w:val="6"/>
              <w:spacing w:before="72" w:line="188" w:lineRule="auto"/>
              <w:ind w:left="957"/>
            </w:pPr>
            <w:r>
              <w:rPr>
                <w:spacing w:val="-6"/>
              </w:rPr>
              <w:t>10.0</w:t>
            </w:r>
          </w:p>
        </w:tc>
        <w:tc>
          <w:tcPr>
            <w:tcW w:w="2247" w:type="dxa"/>
            <w:tcBorders>
              <w:right w:val="nil"/>
            </w:tcBorders>
            <w:vAlign w:val="top"/>
          </w:tcPr>
          <w:p>
            <w:pPr>
              <w:pStyle w:val="6"/>
              <w:spacing w:before="72" w:line="188" w:lineRule="auto"/>
              <w:ind w:left="958"/>
            </w:pPr>
            <w:r>
              <w:rPr>
                <w:spacing w:val="-6"/>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2335" w:type="dxa"/>
            <w:tcBorders>
              <w:left w:val="nil"/>
            </w:tcBorders>
            <w:vAlign w:val="top"/>
          </w:tcPr>
          <w:p>
            <w:pPr>
              <w:spacing w:before="38" w:line="200" w:lineRule="auto"/>
              <w:ind w:left="767"/>
              <w:rPr>
                <w:rFonts w:ascii="仿宋" w:hAnsi="仿宋" w:eastAsia="仿宋" w:cs="仿宋"/>
                <w:sz w:val="21"/>
                <w:szCs w:val="21"/>
              </w:rPr>
            </w:pPr>
            <w:r>
              <w:rPr>
                <w:rFonts w:ascii="仿宋" w:hAnsi="仿宋" w:eastAsia="仿宋" w:cs="仿宋"/>
                <w:spacing w:val="-3"/>
                <w:sz w:val="21"/>
                <w:szCs w:val="21"/>
              </w:rPr>
              <w:t>小春薯杂</w:t>
            </w:r>
          </w:p>
        </w:tc>
        <w:tc>
          <w:tcPr>
            <w:tcW w:w="2142" w:type="dxa"/>
            <w:vAlign w:val="top"/>
          </w:tcPr>
          <w:p>
            <w:pPr>
              <w:pStyle w:val="6"/>
              <w:spacing w:before="38" w:line="200" w:lineRule="auto"/>
              <w:ind w:left="826"/>
            </w:pPr>
            <w:r>
              <w:rPr>
                <w:spacing w:val="-7"/>
              </w:rPr>
              <w:t>10</w:t>
            </w:r>
            <w:r>
              <w:rPr>
                <w:rFonts w:ascii="仿宋" w:hAnsi="仿宋" w:eastAsia="仿宋" w:cs="仿宋"/>
                <w:spacing w:val="-7"/>
              </w:rPr>
              <w:t>～</w:t>
            </w:r>
            <w:r>
              <w:rPr>
                <w:spacing w:val="-7"/>
              </w:rPr>
              <w:t>3</w:t>
            </w:r>
          </w:p>
        </w:tc>
        <w:tc>
          <w:tcPr>
            <w:tcW w:w="2248" w:type="dxa"/>
            <w:vAlign w:val="top"/>
          </w:tcPr>
          <w:p>
            <w:pPr>
              <w:pStyle w:val="6"/>
              <w:spacing w:before="75" w:line="188" w:lineRule="auto"/>
              <w:ind w:left="995"/>
            </w:pPr>
            <w:r>
              <w:rPr>
                <w:spacing w:val="-3"/>
              </w:rPr>
              <w:t>6.0</w:t>
            </w:r>
          </w:p>
        </w:tc>
        <w:tc>
          <w:tcPr>
            <w:tcW w:w="2247" w:type="dxa"/>
            <w:tcBorders>
              <w:right w:val="nil"/>
            </w:tcBorders>
            <w:vAlign w:val="top"/>
          </w:tcPr>
          <w:p>
            <w:pPr>
              <w:pStyle w:val="6"/>
              <w:spacing w:before="75" w:line="188" w:lineRule="auto"/>
              <w:ind w:left="995"/>
            </w:pPr>
            <w:r>
              <w:rPr>
                <w:spacing w:val="-3"/>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4477" w:type="dxa"/>
            <w:gridSpan w:val="2"/>
            <w:tcBorders>
              <w:left w:val="nil"/>
            </w:tcBorders>
            <w:vAlign w:val="top"/>
          </w:tcPr>
          <w:p>
            <w:pPr>
              <w:spacing w:before="39" w:line="198" w:lineRule="auto"/>
              <w:ind w:left="1839"/>
              <w:rPr>
                <w:rFonts w:ascii="仿宋" w:hAnsi="仿宋" w:eastAsia="仿宋" w:cs="仿宋"/>
                <w:sz w:val="21"/>
                <w:szCs w:val="21"/>
              </w:rPr>
            </w:pPr>
            <w:r>
              <w:rPr>
                <w:rFonts w:ascii="仿宋" w:hAnsi="仿宋" w:eastAsia="仿宋" w:cs="仿宋"/>
                <w:spacing w:val="-3"/>
                <w:sz w:val="21"/>
                <w:szCs w:val="21"/>
              </w:rPr>
              <w:t>小春小计</w:t>
            </w:r>
          </w:p>
        </w:tc>
        <w:tc>
          <w:tcPr>
            <w:tcW w:w="2248" w:type="dxa"/>
            <w:vAlign w:val="top"/>
          </w:tcPr>
          <w:p>
            <w:pPr>
              <w:pStyle w:val="6"/>
              <w:spacing w:before="75" w:line="188" w:lineRule="auto"/>
              <w:ind w:left="943"/>
            </w:pPr>
            <w:r>
              <w:rPr>
                <w:spacing w:val="-3"/>
              </w:rPr>
              <w:t>50.0</w:t>
            </w:r>
          </w:p>
        </w:tc>
        <w:tc>
          <w:tcPr>
            <w:tcW w:w="2247" w:type="dxa"/>
            <w:tcBorders>
              <w:right w:val="nil"/>
            </w:tcBorders>
            <w:vAlign w:val="top"/>
          </w:tcPr>
          <w:p>
            <w:pPr>
              <w:pStyle w:val="6"/>
              <w:spacing w:before="75" w:line="188" w:lineRule="auto"/>
              <w:ind w:left="943"/>
            </w:pPr>
            <w:r>
              <w:rPr>
                <w:spacing w:val="-2"/>
              </w:rPr>
              <w:t>61.0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trPr>
        <w:tc>
          <w:tcPr>
            <w:tcW w:w="2335" w:type="dxa"/>
            <w:tcBorders>
              <w:left w:val="nil"/>
            </w:tcBorders>
            <w:vAlign w:val="top"/>
          </w:tcPr>
          <w:p>
            <w:pPr>
              <w:spacing w:before="42" w:line="195" w:lineRule="auto"/>
              <w:ind w:left="980"/>
              <w:rPr>
                <w:rFonts w:ascii="仿宋" w:hAnsi="仿宋" w:eastAsia="仿宋" w:cs="仿宋"/>
                <w:sz w:val="21"/>
                <w:szCs w:val="21"/>
              </w:rPr>
            </w:pPr>
            <w:r>
              <w:rPr>
                <w:rFonts w:ascii="仿宋" w:hAnsi="仿宋" w:eastAsia="仿宋" w:cs="仿宋"/>
                <w:spacing w:val="-5"/>
                <w:sz w:val="21"/>
                <w:szCs w:val="21"/>
              </w:rPr>
              <w:t>蔬菜</w:t>
            </w:r>
          </w:p>
        </w:tc>
        <w:tc>
          <w:tcPr>
            <w:tcW w:w="2142" w:type="dxa"/>
            <w:vAlign w:val="top"/>
          </w:tcPr>
          <w:p>
            <w:pPr>
              <w:spacing w:before="42" w:line="195" w:lineRule="auto"/>
              <w:ind w:left="873"/>
              <w:rPr>
                <w:rFonts w:ascii="仿宋" w:hAnsi="仿宋" w:eastAsia="仿宋" w:cs="仿宋"/>
                <w:sz w:val="21"/>
                <w:szCs w:val="21"/>
              </w:rPr>
            </w:pPr>
            <w:r>
              <w:rPr>
                <w:rFonts w:ascii="仿宋" w:hAnsi="仿宋" w:eastAsia="仿宋" w:cs="仿宋"/>
                <w:spacing w:val="-5"/>
                <w:sz w:val="21"/>
                <w:szCs w:val="21"/>
              </w:rPr>
              <w:t>全年</w:t>
            </w:r>
          </w:p>
        </w:tc>
        <w:tc>
          <w:tcPr>
            <w:tcW w:w="2248" w:type="dxa"/>
            <w:vAlign w:val="top"/>
          </w:tcPr>
          <w:p>
            <w:pPr>
              <w:pStyle w:val="6"/>
              <w:spacing w:before="78" w:line="184" w:lineRule="auto"/>
              <w:ind w:left="957"/>
            </w:pPr>
            <w:r>
              <w:rPr>
                <w:spacing w:val="-6"/>
              </w:rPr>
              <w:t>10.0</w:t>
            </w:r>
          </w:p>
        </w:tc>
        <w:tc>
          <w:tcPr>
            <w:tcW w:w="2247" w:type="dxa"/>
            <w:tcBorders>
              <w:right w:val="nil"/>
            </w:tcBorders>
            <w:vAlign w:val="top"/>
          </w:tcPr>
          <w:p>
            <w:pPr>
              <w:pStyle w:val="6"/>
              <w:spacing w:before="78" w:line="184" w:lineRule="auto"/>
              <w:ind w:left="958"/>
            </w:pPr>
            <w:r>
              <w:rPr>
                <w:spacing w:val="-6"/>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2335" w:type="dxa"/>
            <w:tcBorders>
              <w:left w:val="nil"/>
            </w:tcBorders>
            <w:vAlign w:val="top"/>
          </w:tcPr>
          <w:p>
            <w:pPr>
              <w:spacing w:before="45" w:line="193" w:lineRule="auto"/>
              <w:ind w:left="981"/>
              <w:rPr>
                <w:rFonts w:ascii="仿宋" w:hAnsi="仿宋" w:eastAsia="仿宋" w:cs="仿宋"/>
                <w:sz w:val="21"/>
                <w:szCs w:val="21"/>
              </w:rPr>
            </w:pPr>
            <w:r>
              <w:rPr>
                <w:rFonts w:ascii="仿宋" w:hAnsi="仿宋" w:eastAsia="仿宋" w:cs="仿宋"/>
                <w:spacing w:val="-5"/>
                <w:sz w:val="21"/>
                <w:szCs w:val="21"/>
              </w:rPr>
              <w:t>药材</w:t>
            </w:r>
          </w:p>
        </w:tc>
        <w:tc>
          <w:tcPr>
            <w:tcW w:w="2142" w:type="dxa"/>
            <w:vAlign w:val="top"/>
          </w:tcPr>
          <w:p>
            <w:pPr>
              <w:spacing w:before="45" w:line="193" w:lineRule="auto"/>
              <w:ind w:left="873"/>
              <w:rPr>
                <w:rFonts w:ascii="仿宋" w:hAnsi="仿宋" w:eastAsia="仿宋" w:cs="仿宋"/>
                <w:sz w:val="21"/>
                <w:szCs w:val="21"/>
              </w:rPr>
            </w:pPr>
            <w:r>
              <w:rPr>
                <w:rFonts w:ascii="仿宋" w:hAnsi="仿宋" w:eastAsia="仿宋" w:cs="仿宋"/>
                <w:spacing w:val="-5"/>
                <w:sz w:val="21"/>
                <w:szCs w:val="21"/>
              </w:rPr>
              <w:t>全年</w:t>
            </w:r>
          </w:p>
        </w:tc>
        <w:tc>
          <w:tcPr>
            <w:tcW w:w="2248" w:type="dxa"/>
            <w:vAlign w:val="top"/>
          </w:tcPr>
          <w:p>
            <w:pPr>
              <w:pStyle w:val="6"/>
              <w:spacing w:before="81" w:line="182" w:lineRule="auto"/>
              <w:ind w:left="990"/>
            </w:pPr>
            <w:r>
              <w:rPr>
                <w:spacing w:val="-2"/>
              </w:rPr>
              <w:t>2.0</w:t>
            </w:r>
          </w:p>
        </w:tc>
        <w:tc>
          <w:tcPr>
            <w:tcW w:w="2247" w:type="dxa"/>
            <w:tcBorders>
              <w:right w:val="nil"/>
            </w:tcBorders>
            <w:vAlign w:val="top"/>
          </w:tcPr>
          <w:p>
            <w:pPr>
              <w:pStyle w:val="6"/>
              <w:spacing w:before="81" w:line="182" w:lineRule="auto"/>
              <w:ind w:left="995"/>
            </w:pPr>
            <w:r>
              <w:rPr>
                <w:spacing w:val="-3"/>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2335" w:type="dxa"/>
            <w:tcBorders>
              <w:left w:val="nil"/>
            </w:tcBorders>
            <w:vAlign w:val="top"/>
          </w:tcPr>
          <w:p>
            <w:pPr>
              <w:spacing w:before="48" w:line="191" w:lineRule="auto"/>
              <w:ind w:left="977"/>
              <w:rPr>
                <w:rFonts w:ascii="仿宋" w:hAnsi="仿宋" w:eastAsia="仿宋" w:cs="仿宋"/>
                <w:sz w:val="21"/>
                <w:szCs w:val="21"/>
              </w:rPr>
            </w:pPr>
            <w:r>
              <w:rPr>
                <w:rFonts w:ascii="仿宋" w:hAnsi="仿宋" w:eastAsia="仿宋" w:cs="仿宋"/>
                <w:spacing w:val="-4"/>
                <w:sz w:val="21"/>
                <w:szCs w:val="21"/>
              </w:rPr>
              <w:t>核桃</w:t>
            </w:r>
          </w:p>
        </w:tc>
        <w:tc>
          <w:tcPr>
            <w:tcW w:w="2142" w:type="dxa"/>
            <w:vAlign w:val="top"/>
          </w:tcPr>
          <w:p>
            <w:pPr>
              <w:spacing w:before="48" w:line="191" w:lineRule="auto"/>
              <w:ind w:left="873"/>
              <w:rPr>
                <w:rFonts w:ascii="仿宋" w:hAnsi="仿宋" w:eastAsia="仿宋" w:cs="仿宋"/>
                <w:sz w:val="21"/>
                <w:szCs w:val="21"/>
              </w:rPr>
            </w:pPr>
            <w:r>
              <w:rPr>
                <w:rFonts w:ascii="仿宋" w:hAnsi="仿宋" w:eastAsia="仿宋" w:cs="仿宋"/>
                <w:spacing w:val="-5"/>
                <w:sz w:val="21"/>
                <w:szCs w:val="21"/>
              </w:rPr>
              <w:t>全年</w:t>
            </w:r>
          </w:p>
        </w:tc>
        <w:tc>
          <w:tcPr>
            <w:tcW w:w="2248" w:type="dxa"/>
            <w:vAlign w:val="top"/>
          </w:tcPr>
          <w:p>
            <w:pPr>
              <w:pStyle w:val="6"/>
              <w:spacing w:before="84" w:line="180" w:lineRule="auto"/>
              <w:ind w:left="995"/>
            </w:pPr>
            <w:r>
              <w:rPr>
                <w:spacing w:val="-3"/>
              </w:rPr>
              <w:t>6.5</w:t>
            </w:r>
          </w:p>
        </w:tc>
        <w:tc>
          <w:tcPr>
            <w:tcW w:w="2247" w:type="dxa"/>
            <w:tcBorders>
              <w:right w:val="nil"/>
            </w:tcBorders>
            <w:vAlign w:val="top"/>
          </w:tcPr>
          <w:p>
            <w:pPr>
              <w:pStyle w:val="6"/>
              <w:spacing w:before="84" w:line="180" w:lineRule="auto"/>
              <w:ind w:left="995"/>
            </w:pPr>
            <w:r>
              <w:rPr>
                <w:spacing w:val="-3"/>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2335" w:type="dxa"/>
            <w:tcBorders>
              <w:left w:val="nil"/>
            </w:tcBorders>
            <w:vAlign w:val="top"/>
          </w:tcPr>
          <w:p>
            <w:pPr>
              <w:spacing w:before="48" w:line="190" w:lineRule="auto"/>
              <w:ind w:left="977"/>
              <w:rPr>
                <w:rFonts w:ascii="仿宋" w:hAnsi="仿宋" w:eastAsia="仿宋" w:cs="仿宋"/>
                <w:sz w:val="21"/>
                <w:szCs w:val="21"/>
              </w:rPr>
            </w:pPr>
            <w:r>
              <w:rPr>
                <w:rFonts w:ascii="仿宋" w:hAnsi="仿宋" w:eastAsia="仿宋" w:cs="仿宋"/>
                <w:spacing w:val="-4"/>
                <w:sz w:val="21"/>
                <w:szCs w:val="21"/>
              </w:rPr>
              <w:t>板栗</w:t>
            </w:r>
          </w:p>
        </w:tc>
        <w:tc>
          <w:tcPr>
            <w:tcW w:w="2142" w:type="dxa"/>
            <w:vAlign w:val="top"/>
          </w:tcPr>
          <w:p>
            <w:pPr>
              <w:spacing w:before="48" w:line="190" w:lineRule="auto"/>
              <w:ind w:left="873"/>
              <w:rPr>
                <w:rFonts w:ascii="仿宋" w:hAnsi="仿宋" w:eastAsia="仿宋" w:cs="仿宋"/>
                <w:sz w:val="21"/>
                <w:szCs w:val="21"/>
              </w:rPr>
            </w:pPr>
            <w:r>
              <w:rPr>
                <w:rFonts w:ascii="仿宋" w:hAnsi="仿宋" w:eastAsia="仿宋" w:cs="仿宋"/>
                <w:spacing w:val="-5"/>
                <w:sz w:val="21"/>
                <w:szCs w:val="21"/>
              </w:rPr>
              <w:t>全年</w:t>
            </w:r>
          </w:p>
        </w:tc>
        <w:tc>
          <w:tcPr>
            <w:tcW w:w="2248" w:type="dxa"/>
            <w:vAlign w:val="top"/>
          </w:tcPr>
          <w:p>
            <w:pPr>
              <w:pStyle w:val="6"/>
              <w:spacing w:before="84" w:line="179" w:lineRule="auto"/>
              <w:ind w:left="993"/>
            </w:pPr>
            <w:r>
              <w:rPr>
                <w:spacing w:val="-3"/>
              </w:rPr>
              <w:t>0.5</w:t>
            </w:r>
          </w:p>
        </w:tc>
        <w:tc>
          <w:tcPr>
            <w:tcW w:w="2247" w:type="dxa"/>
            <w:tcBorders>
              <w:right w:val="nil"/>
            </w:tcBorders>
            <w:vAlign w:val="top"/>
          </w:tcPr>
          <w:p>
            <w:pPr>
              <w:pStyle w:val="6"/>
              <w:spacing w:before="84" w:line="179" w:lineRule="auto"/>
              <w:ind w:left="994"/>
            </w:pPr>
            <w:r>
              <w:rPr>
                <w:spacing w:val="-3"/>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2335" w:type="dxa"/>
            <w:tcBorders>
              <w:left w:val="nil"/>
            </w:tcBorders>
            <w:vAlign w:val="top"/>
          </w:tcPr>
          <w:p>
            <w:pPr>
              <w:spacing w:before="52" w:line="188" w:lineRule="auto"/>
              <w:ind w:left="979"/>
              <w:rPr>
                <w:rFonts w:ascii="仿宋" w:hAnsi="仿宋" w:eastAsia="仿宋" w:cs="仿宋"/>
                <w:sz w:val="21"/>
                <w:szCs w:val="21"/>
              </w:rPr>
            </w:pPr>
            <w:r>
              <w:rPr>
                <w:rFonts w:ascii="仿宋" w:hAnsi="仿宋" w:eastAsia="仿宋" w:cs="仿宋"/>
                <w:spacing w:val="-4"/>
                <w:sz w:val="21"/>
                <w:szCs w:val="21"/>
              </w:rPr>
              <w:t>花椒</w:t>
            </w:r>
          </w:p>
        </w:tc>
        <w:tc>
          <w:tcPr>
            <w:tcW w:w="2142" w:type="dxa"/>
            <w:vAlign w:val="top"/>
          </w:tcPr>
          <w:p>
            <w:pPr>
              <w:spacing w:before="52" w:line="188" w:lineRule="auto"/>
              <w:ind w:left="873"/>
              <w:rPr>
                <w:rFonts w:ascii="仿宋" w:hAnsi="仿宋" w:eastAsia="仿宋" w:cs="仿宋"/>
                <w:sz w:val="21"/>
                <w:szCs w:val="21"/>
              </w:rPr>
            </w:pPr>
            <w:r>
              <w:rPr>
                <w:rFonts w:ascii="仿宋" w:hAnsi="仿宋" w:eastAsia="仿宋" w:cs="仿宋"/>
                <w:spacing w:val="-5"/>
                <w:sz w:val="21"/>
                <w:szCs w:val="21"/>
              </w:rPr>
              <w:t>全年</w:t>
            </w:r>
          </w:p>
        </w:tc>
        <w:tc>
          <w:tcPr>
            <w:tcW w:w="2248" w:type="dxa"/>
            <w:vAlign w:val="top"/>
          </w:tcPr>
          <w:p>
            <w:pPr>
              <w:pStyle w:val="6"/>
              <w:spacing w:before="87" w:line="177" w:lineRule="auto"/>
              <w:ind w:left="1010"/>
            </w:pPr>
            <w:r>
              <w:rPr>
                <w:spacing w:val="-8"/>
              </w:rPr>
              <w:t>1.0</w:t>
            </w:r>
          </w:p>
        </w:tc>
        <w:tc>
          <w:tcPr>
            <w:tcW w:w="2247" w:type="dxa"/>
            <w:tcBorders>
              <w:right w:val="nil"/>
            </w:tcBorders>
            <w:vAlign w:val="top"/>
          </w:tcPr>
          <w:p>
            <w:pPr>
              <w:pStyle w:val="6"/>
              <w:spacing w:before="87" w:line="177" w:lineRule="auto"/>
              <w:ind w:left="991"/>
            </w:pPr>
            <w:r>
              <w:rPr>
                <w:spacing w:val="-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2335" w:type="dxa"/>
            <w:tcBorders>
              <w:left w:val="nil"/>
            </w:tcBorders>
            <w:vAlign w:val="top"/>
          </w:tcPr>
          <w:p>
            <w:pPr>
              <w:spacing w:before="52" w:line="187" w:lineRule="auto"/>
              <w:ind w:left="977"/>
              <w:rPr>
                <w:rFonts w:ascii="仿宋" w:hAnsi="仿宋" w:eastAsia="仿宋" w:cs="仿宋"/>
                <w:sz w:val="21"/>
                <w:szCs w:val="21"/>
              </w:rPr>
            </w:pPr>
            <w:r>
              <w:rPr>
                <w:rFonts w:ascii="仿宋" w:hAnsi="仿宋" w:eastAsia="仿宋" w:cs="仿宋"/>
                <w:spacing w:val="-4"/>
                <w:sz w:val="21"/>
                <w:szCs w:val="21"/>
              </w:rPr>
              <w:t>蚕桑</w:t>
            </w:r>
          </w:p>
        </w:tc>
        <w:tc>
          <w:tcPr>
            <w:tcW w:w="2142" w:type="dxa"/>
            <w:vAlign w:val="top"/>
          </w:tcPr>
          <w:p>
            <w:pPr>
              <w:spacing w:before="52" w:line="187" w:lineRule="auto"/>
              <w:ind w:left="873"/>
              <w:rPr>
                <w:rFonts w:ascii="仿宋" w:hAnsi="仿宋" w:eastAsia="仿宋" w:cs="仿宋"/>
                <w:sz w:val="21"/>
                <w:szCs w:val="21"/>
              </w:rPr>
            </w:pPr>
            <w:r>
              <w:rPr>
                <w:rFonts w:ascii="仿宋" w:hAnsi="仿宋" w:eastAsia="仿宋" w:cs="仿宋"/>
                <w:spacing w:val="-5"/>
                <w:sz w:val="21"/>
                <w:szCs w:val="21"/>
              </w:rPr>
              <w:t>全年</w:t>
            </w:r>
          </w:p>
        </w:tc>
        <w:tc>
          <w:tcPr>
            <w:tcW w:w="2248" w:type="dxa"/>
            <w:vAlign w:val="top"/>
          </w:tcPr>
          <w:p>
            <w:pPr>
              <w:pStyle w:val="6"/>
              <w:spacing w:before="88" w:line="175" w:lineRule="auto"/>
              <w:ind w:left="1010"/>
            </w:pPr>
            <w:r>
              <w:rPr>
                <w:spacing w:val="-8"/>
              </w:rPr>
              <w:t>1.0</w:t>
            </w:r>
          </w:p>
        </w:tc>
        <w:tc>
          <w:tcPr>
            <w:tcW w:w="2247" w:type="dxa"/>
            <w:tcBorders>
              <w:right w:val="nil"/>
            </w:tcBorders>
            <w:vAlign w:val="top"/>
          </w:tcPr>
          <w:p>
            <w:pPr>
              <w:pStyle w:val="6"/>
              <w:spacing w:before="88" w:line="175" w:lineRule="auto"/>
              <w:ind w:left="1011"/>
            </w:pPr>
            <w:r>
              <w:rPr>
                <w:spacing w:val="-8"/>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4477" w:type="dxa"/>
            <w:gridSpan w:val="2"/>
            <w:tcBorders>
              <w:left w:val="nil"/>
            </w:tcBorders>
            <w:vAlign w:val="top"/>
          </w:tcPr>
          <w:p>
            <w:pPr>
              <w:spacing w:before="55" w:line="185" w:lineRule="auto"/>
              <w:ind w:left="1844"/>
              <w:rPr>
                <w:rFonts w:ascii="仿宋" w:hAnsi="仿宋" w:eastAsia="仿宋" w:cs="仿宋"/>
                <w:sz w:val="21"/>
                <w:szCs w:val="21"/>
              </w:rPr>
            </w:pPr>
            <w:r>
              <w:rPr>
                <w:rFonts w:ascii="仿宋" w:hAnsi="仿宋" w:eastAsia="仿宋" w:cs="仿宋"/>
                <w:spacing w:val="-4"/>
                <w:sz w:val="21"/>
                <w:szCs w:val="21"/>
              </w:rPr>
              <w:t>全年小计</w:t>
            </w:r>
          </w:p>
        </w:tc>
        <w:tc>
          <w:tcPr>
            <w:tcW w:w="2248" w:type="dxa"/>
            <w:vAlign w:val="top"/>
          </w:tcPr>
          <w:p>
            <w:pPr>
              <w:pStyle w:val="6"/>
              <w:spacing w:before="90" w:line="174" w:lineRule="auto"/>
              <w:ind w:left="937"/>
            </w:pPr>
            <w:r>
              <w:rPr>
                <w:spacing w:val="-1"/>
              </w:rPr>
              <w:t>21.0</w:t>
            </w:r>
          </w:p>
        </w:tc>
        <w:tc>
          <w:tcPr>
            <w:tcW w:w="2247" w:type="dxa"/>
            <w:tcBorders>
              <w:right w:val="nil"/>
            </w:tcBorders>
            <w:vAlign w:val="top"/>
          </w:tcPr>
          <w:p>
            <w:pPr>
              <w:pStyle w:val="6"/>
              <w:spacing w:before="90" w:line="174" w:lineRule="auto"/>
              <w:ind w:left="943"/>
            </w:pPr>
            <w:r>
              <w:rPr>
                <w:spacing w:val="-2"/>
              </w:rPr>
              <w:t>31.5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8" w:hRule="atLeast"/>
        </w:trPr>
        <w:tc>
          <w:tcPr>
            <w:tcW w:w="4477" w:type="dxa"/>
            <w:gridSpan w:val="2"/>
            <w:tcBorders>
              <w:left w:val="nil"/>
              <w:bottom w:val="single" w:color="000000" w:sz="12" w:space="0"/>
            </w:tcBorders>
            <w:vAlign w:val="top"/>
          </w:tcPr>
          <w:p>
            <w:pPr>
              <w:spacing w:before="57" w:line="203" w:lineRule="auto"/>
              <w:ind w:left="1849"/>
              <w:rPr>
                <w:rFonts w:ascii="仿宋" w:hAnsi="仿宋" w:eastAsia="仿宋" w:cs="仿宋"/>
                <w:sz w:val="21"/>
                <w:szCs w:val="21"/>
              </w:rPr>
            </w:pPr>
            <w:r>
              <w:rPr>
                <w:rFonts w:ascii="仿宋" w:hAnsi="仿宋" w:eastAsia="仿宋" w:cs="仿宋"/>
                <w:spacing w:val="-5"/>
                <w:sz w:val="21"/>
                <w:szCs w:val="21"/>
              </w:rPr>
              <w:t>复种指数</w:t>
            </w:r>
          </w:p>
        </w:tc>
        <w:tc>
          <w:tcPr>
            <w:tcW w:w="2248" w:type="dxa"/>
            <w:tcBorders>
              <w:bottom w:val="single" w:color="000000" w:sz="12" w:space="0"/>
            </w:tcBorders>
            <w:vAlign w:val="top"/>
          </w:tcPr>
          <w:p>
            <w:pPr>
              <w:pStyle w:val="6"/>
              <w:spacing w:before="93" w:line="188" w:lineRule="auto"/>
              <w:ind w:left="904"/>
            </w:pPr>
            <w:r>
              <w:rPr>
                <w:spacing w:val="-5"/>
              </w:rPr>
              <w:t>171.0</w:t>
            </w:r>
          </w:p>
        </w:tc>
        <w:tc>
          <w:tcPr>
            <w:tcW w:w="2247" w:type="dxa"/>
            <w:tcBorders>
              <w:bottom w:val="single" w:color="000000" w:sz="12" w:space="0"/>
              <w:right w:val="nil"/>
            </w:tcBorders>
            <w:vAlign w:val="top"/>
          </w:tcPr>
          <w:p>
            <w:pPr>
              <w:pStyle w:val="6"/>
              <w:spacing w:before="93" w:line="188" w:lineRule="auto"/>
              <w:ind w:left="906"/>
            </w:pPr>
            <w:r>
              <w:rPr>
                <w:spacing w:val="-5"/>
              </w:rPr>
              <w:t>192.5</w:t>
            </w:r>
          </w:p>
        </w:tc>
      </w:tr>
    </w:tbl>
    <w:p>
      <w:pPr>
        <w:spacing w:before="36" w:line="217" w:lineRule="auto"/>
        <w:ind w:left="517"/>
        <w:rPr>
          <w:rFonts w:ascii="宋体" w:hAnsi="宋体" w:eastAsia="宋体" w:cs="宋体"/>
          <w:sz w:val="24"/>
          <w:szCs w:val="24"/>
        </w:rPr>
      </w:pPr>
      <w:r>
        <w:rPr>
          <w:rFonts w:ascii="宋体" w:hAnsi="宋体" w:eastAsia="宋体" w:cs="宋体"/>
          <w:spacing w:val="-2"/>
          <w:sz w:val="24"/>
          <w:szCs w:val="24"/>
        </w:rPr>
        <w:t>③灌溉制度</w:t>
      </w:r>
    </w:p>
    <w:p>
      <w:pPr>
        <w:spacing w:before="184" w:line="359" w:lineRule="auto"/>
        <w:ind w:left="42" w:right="107" w:firstLine="480"/>
        <w:rPr>
          <w:rFonts w:ascii="宋体" w:hAnsi="宋体" w:eastAsia="宋体" w:cs="宋体"/>
          <w:sz w:val="24"/>
          <w:szCs w:val="24"/>
        </w:rPr>
      </w:pPr>
      <w:r>
        <w:rPr>
          <w:rFonts w:ascii="宋体" w:hAnsi="宋体" w:eastAsia="宋体" w:cs="宋体"/>
          <w:sz w:val="24"/>
          <w:szCs w:val="24"/>
        </w:rPr>
        <w:t>灌溉制度按农作物和经济作物组成划分为水稻和旱</w:t>
      </w:r>
      <w:r>
        <w:rPr>
          <w:rFonts w:ascii="宋体" w:hAnsi="宋体" w:eastAsia="宋体" w:cs="宋体"/>
          <w:spacing w:val="-1"/>
          <w:sz w:val="24"/>
          <w:szCs w:val="24"/>
        </w:rPr>
        <w:t>作物两大类，并考虑各自的需</w:t>
      </w:r>
      <w:r>
        <w:rPr>
          <w:rFonts w:ascii="宋体" w:hAnsi="宋体" w:eastAsia="宋体" w:cs="宋体"/>
          <w:sz w:val="24"/>
          <w:szCs w:val="24"/>
        </w:rPr>
        <w:t xml:space="preserve"> </w:t>
      </w:r>
      <w:r>
        <w:rPr>
          <w:rFonts w:ascii="宋体" w:hAnsi="宋体" w:eastAsia="宋体" w:cs="宋体"/>
          <w:spacing w:val="-5"/>
          <w:sz w:val="24"/>
          <w:szCs w:val="24"/>
        </w:rPr>
        <w:t>水特点和生长阶段进行设计。</w:t>
      </w:r>
      <w:r>
        <w:rPr>
          <w:rFonts w:ascii="宋体" w:hAnsi="宋体" w:eastAsia="宋体" w:cs="宋体"/>
          <w:spacing w:val="52"/>
          <w:sz w:val="24"/>
          <w:szCs w:val="24"/>
        </w:rPr>
        <w:t xml:space="preserve"> </w:t>
      </w:r>
      <w:r>
        <w:rPr>
          <w:rFonts w:ascii="宋体" w:hAnsi="宋体" w:eastAsia="宋体" w:cs="宋体"/>
          <w:spacing w:val="-5"/>
          <w:sz w:val="24"/>
          <w:szCs w:val="24"/>
        </w:rPr>
        <w:t>灌区作物需水量参照《云南省楚雄州蜻蛉河大型灌区续</w:t>
      </w:r>
    </w:p>
    <w:p>
      <w:pPr>
        <w:spacing w:line="218" w:lineRule="auto"/>
        <w:ind w:left="42"/>
        <w:rPr>
          <w:rFonts w:ascii="宋体" w:hAnsi="宋体" w:eastAsia="宋体" w:cs="宋体"/>
          <w:sz w:val="24"/>
          <w:szCs w:val="24"/>
        </w:rPr>
      </w:pPr>
      <w:r>
        <w:rPr>
          <w:rFonts w:ascii="宋体" w:hAnsi="宋体" w:eastAsia="宋体" w:cs="宋体"/>
          <w:spacing w:val="-10"/>
          <w:sz w:val="24"/>
          <w:szCs w:val="24"/>
        </w:rPr>
        <w:t>建配套与节水改造规划报告（</w:t>
      </w:r>
      <w:r>
        <w:rPr>
          <w:rFonts w:ascii="Times New Roman" w:hAnsi="Times New Roman" w:eastAsia="Times New Roman" w:cs="Times New Roman"/>
          <w:spacing w:val="-10"/>
          <w:sz w:val="24"/>
          <w:szCs w:val="24"/>
        </w:rPr>
        <w:t>2009</w:t>
      </w:r>
      <w:r>
        <w:rPr>
          <w:rFonts w:ascii="宋体" w:hAnsi="宋体" w:eastAsia="宋体" w:cs="宋体"/>
          <w:spacing w:val="-10"/>
          <w:sz w:val="24"/>
          <w:szCs w:val="24"/>
        </w:rPr>
        <w:t>～</w:t>
      </w:r>
      <w:r>
        <w:rPr>
          <w:rFonts w:ascii="Times New Roman" w:hAnsi="Times New Roman" w:eastAsia="Times New Roman" w:cs="Times New Roman"/>
          <w:spacing w:val="-10"/>
          <w:sz w:val="24"/>
          <w:szCs w:val="24"/>
        </w:rPr>
        <w:t xml:space="preserve">2020 </w:t>
      </w:r>
      <w:r>
        <w:rPr>
          <w:rFonts w:ascii="宋体" w:hAnsi="宋体" w:eastAsia="宋体" w:cs="宋体"/>
          <w:spacing w:val="-10"/>
          <w:sz w:val="24"/>
          <w:szCs w:val="24"/>
        </w:rPr>
        <w:t>年）》、《云南省地方标准用水定额》</w:t>
      </w:r>
    </w:p>
    <w:p>
      <w:pPr>
        <w:spacing w:before="183" w:line="467" w:lineRule="exact"/>
        <w:ind w:left="45"/>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DB53T168-2019</w:t>
      </w:r>
      <w:r>
        <w:rPr>
          <w:rFonts w:ascii="宋体" w:hAnsi="宋体" w:eastAsia="宋体" w:cs="宋体"/>
          <w:spacing w:val="-1"/>
          <w:position w:val="17"/>
          <w:sz w:val="24"/>
          <w:szCs w:val="24"/>
        </w:rPr>
        <w:t>）作物需水量</w:t>
      </w:r>
      <w:r>
        <w:rPr>
          <w:rFonts w:ascii="宋体" w:hAnsi="宋体" w:eastAsia="宋体" w:cs="宋体"/>
          <w:spacing w:val="-2"/>
          <w:position w:val="17"/>
          <w:sz w:val="24"/>
          <w:szCs w:val="24"/>
        </w:rPr>
        <w:t>进行分析，结合实际调查和未来发展情况进行调整，</w:t>
      </w:r>
    </w:p>
    <w:p>
      <w:pPr>
        <w:spacing w:before="1" w:line="218" w:lineRule="auto"/>
        <w:ind w:left="39"/>
        <w:rPr>
          <w:rFonts w:ascii="宋体" w:hAnsi="宋体" w:eastAsia="宋体" w:cs="宋体"/>
          <w:sz w:val="24"/>
          <w:szCs w:val="24"/>
        </w:rPr>
      </w:pPr>
      <w:r>
        <w:rPr>
          <w:rFonts w:ascii="宋体" w:hAnsi="宋体" w:eastAsia="宋体" w:cs="宋体"/>
          <w:spacing w:val="-5"/>
          <w:sz w:val="24"/>
          <w:szCs w:val="24"/>
        </w:rPr>
        <w:t>拟订作物灌溉制度。</w:t>
      </w:r>
    </w:p>
    <w:p>
      <w:pPr>
        <w:spacing w:before="182" w:line="220" w:lineRule="auto"/>
        <w:ind w:left="597"/>
        <w:rPr>
          <w:rFonts w:ascii="宋体" w:hAnsi="宋体" w:eastAsia="宋体" w:cs="宋体"/>
          <w:sz w:val="24"/>
          <w:szCs w:val="24"/>
        </w:rPr>
      </w:pPr>
      <w:r>
        <w:rPr>
          <w:rFonts w:ascii="宋体" w:hAnsi="宋体" w:eastAsia="宋体" w:cs="宋体"/>
          <w:spacing w:val="-11"/>
          <w:sz w:val="24"/>
          <w:szCs w:val="24"/>
        </w:rPr>
        <w:t>Ⅰ</w:t>
      </w:r>
      <w:r>
        <w:rPr>
          <w:rFonts w:ascii="Times New Roman" w:hAnsi="Times New Roman" w:eastAsia="Times New Roman" w:cs="Times New Roman"/>
          <w:spacing w:val="-11"/>
          <w:sz w:val="24"/>
          <w:szCs w:val="24"/>
        </w:rPr>
        <w:t>.</w:t>
      </w:r>
      <w:r>
        <w:rPr>
          <w:rFonts w:ascii="宋体" w:hAnsi="宋体" w:eastAsia="宋体" w:cs="宋体"/>
          <w:spacing w:val="-11"/>
          <w:sz w:val="24"/>
          <w:szCs w:val="24"/>
        </w:rPr>
        <w:t>水稻灌溉制度</w:t>
      </w:r>
    </w:p>
    <w:p>
      <w:pPr>
        <w:spacing w:before="180" w:line="360" w:lineRule="auto"/>
        <w:ind w:left="41" w:right="116" w:firstLine="481"/>
        <w:rPr>
          <w:rFonts w:ascii="宋体" w:hAnsi="宋体" w:eastAsia="宋体" w:cs="宋体"/>
          <w:sz w:val="24"/>
          <w:szCs w:val="24"/>
        </w:rPr>
      </w:pPr>
      <w:r>
        <w:rPr>
          <w:rFonts w:ascii="宋体" w:hAnsi="宋体" w:eastAsia="宋体" w:cs="宋体"/>
          <w:spacing w:val="-1"/>
          <w:sz w:val="24"/>
          <w:szCs w:val="24"/>
        </w:rPr>
        <w:t>水稻全生育期需水量为秧田期与本田期需水量之和。现状年水育秧秧田期需水量</w:t>
      </w:r>
      <w:r>
        <w:rPr>
          <w:rFonts w:ascii="宋体" w:hAnsi="宋体" w:eastAsia="宋体" w:cs="宋体"/>
          <w:spacing w:val="12"/>
          <w:sz w:val="24"/>
          <w:szCs w:val="24"/>
        </w:rPr>
        <w:t xml:space="preserve"> </w:t>
      </w:r>
      <w:r>
        <w:rPr>
          <w:rFonts w:ascii="宋体" w:hAnsi="宋体" w:eastAsia="宋体" w:cs="宋体"/>
          <w:spacing w:val="-2"/>
          <w:sz w:val="24"/>
          <w:szCs w:val="24"/>
        </w:rPr>
        <w:t>按</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1:10 </w:t>
      </w:r>
      <w:r>
        <w:rPr>
          <w:rFonts w:ascii="宋体" w:hAnsi="宋体" w:eastAsia="宋体" w:cs="宋体"/>
          <w:spacing w:val="-2"/>
          <w:sz w:val="24"/>
          <w:szCs w:val="24"/>
        </w:rPr>
        <w:t>分配至大田，为</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42.5m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w:t>
      </w:r>
      <w:r>
        <w:rPr>
          <w:rFonts w:ascii="宋体" w:hAnsi="宋体" w:eastAsia="宋体" w:cs="宋体"/>
          <w:spacing w:val="-2"/>
          <w:sz w:val="24"/>
          <w:szCs w:val="24"/>
        </w:rPr>
        <w:t>亩</w:t>
      </w:r>
      <w:r>
        <w:rPr>
          <w:rFonts w:ascii="宋体" w:hAnsi="宋体" w:eastAsia="宋体" w:cs="宋体"/>
          <w:spacing w:val="-3"/>
          <w:sz w:val="24"/>
          <w:szCs w:val="24"/>
        </w:rPr>
        <w:t>，</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P=75%</w:t>
      </w:r>
      <w:r>
        <w:rPr>
          <w:rFonts w:ascii="宋体" w:hAnsi="宋体" w:eastAsia="宋体" w:cs="宋体"/>
          <w:spacing w:val="-3"/>
          <w:sz w:val="24"/>
          <w:szCs w:val="24"/>
        </w:rPr>
        <w:t>时水稻本田期净需水量为</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446.7m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w:t>
      </w:r>
      <w:r>
        <w:rPr>
          <w:rFonts w:ascii="宋体" w:hAnsi="宋体" w:eastAsia="宋体" w:cs="宋体"/>
          <w:spacing w:val="-3"/>
          <w:sz w:val="24"/>
          <w:szCs w:val="24"/>
        </w:rPr>
        <w:t>亩，全</w:t>
      </w:r>
    </w:p>
    <w:p>
      <w:pPr>
        <w:spacing w:line="233" w:lineRule="auto"/>
        <w:ind w:left="41"/>
        <w:rPr>
          <w:rFonts w:ascii="宋体" w:hAnsi="宋体" w:eastAsia="宋体" w:cs="宋体"/>
          <w:sz w:val="24"/>
          <w:szCs w:val="24"/>
        </w:rPr>
      </w:pPr>
      <w:r>
        <w:rPr>
          <w:rFonts w:ascii="宋体" w:hAnsi="宋体" w:eastAsia="宋体" w:cs="宋体"/>
          <w:spacing w:val="-3"/>
          <w:sz w:val="24"/>
          <w:szCs w:val="24"/>
        </w:rPr>
        <w:t>生育期净需水量为</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489.2m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w:t>
      </w:r>
      <w:r>
        <w:rPr>
          <w:rFonts w:ascii="宋体" w:hAnsi="宋体" w:eastAsia="宋体" w:cs="宋体"/>
          <w:spacing w:val="-3"/>
          <w:sz w:val="24"/>
          <w:szCs w:val="24"/>
        </w:rPr>
        <w:t xml:space="preserve">亩，水稻全生育期（水育秧方式） </w:t>
      </w:r>
      <w:r>
        <w:rPr>
          <w:rFonts w:ascii="Times New Roman" w:hAnsi="Times New Roman" w:eastAsia="Times New Roman" w:cs="Times New Roman"/>
          <w:spacing w:val="-3"/>
          <w:sz w:val="24"/>
          <w:szCs w:val="24"/>
        </w:rPr>
        <w:t>P=75%</w:t>
      </w:r>
      <w:r>
        <w:rPr>
          <w:rFonts w:ascii="宋体" w:hAnsi="宋体" w:eastAsia="宋体" w:cs="宋体"/>
          <w:spacing w:val="-3"/>
          <w:sz w:val="24"/>
          <w:szCs w:val="24"/>
        </w:rPr>
        <w:t>需水过程见表</w:t>
      </w:r>
    </w:p>
    <w:p>
      <w:pPr>
        <w:spacing w:before="205" w:line="180" w:lineRule="auto"/>
        <w:ind w:left="35"/>
        <w:rPr>
          <w:rFonts w:ascii="宋体" w:hAnsi="宋体" w:eastAsia="宋体" w:cs="宋体"/>
          <w:sz w:val="24"/>
          <w:szCs w:val="24"/>
        </w:rPr>
      </w:pPr>
      <w:r>
        <w:rPr>
          <w:rFonts w:ascii="Times New Roman" w:hAnsi="Times New Roman" w:eastAsia="Times New Roman" w:cs="Times New Roman"/>
          <w:spacing w:val="-5"/>
          <w:sz w:val="24"/>
          <w:szCs w:val="24"/>
        </w:rPr>
        <w:t>2.9-</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10</w:t>
      </w:r>
      <w:r>
        <w:rPr>
          <w:rFonts w:ascii="宋体" w:hAnsi="宋体" w:eastAsia="宋体" w:cs="宋体"/>
          <w:spacing w:val="-5"/>
          <w:sz w:val="24"/>
          <w:szCs w:val="24"/>
        </w:rPr>
        <w:t>。</w:t>
      </w:r>
    </w:p>
    <w:p>
      <w:pPr>
        <w:spacing w:before="191" w:line="359" w:lineRule="auto"/>
        <w:ind w:left="39" w:right="39" w:firstLine="481"/>
        <w:rPr>
          <w:rFonts w:ascii="Times New Roman" w:hAnsi="Times New Roman" w:eastAsia="Times New Roman" w:cs="Times New Roman"/>
          <w:sz w:val="24"/>
          <w:szCs w:val="24"/>
        </w:rPr>
      </w:pPr>
      <w:r>
        <w:rPr>
          <w:rFonts w:ascii="宋体" w:hAnsi="宋体" w:eastAsia="宋体" w:cs="宋体"/>
          <w:spacing w:val="-1"/>
          <w:sz w:val="24"/>
          <w:szCs w:val="24"/>
        </w:rPr>
        <w:t>规划年随着旱育秧的推广，灌区育秧方式采用旱育秧，秧田期需水量按</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1:15 </w:t>
      </w:r>
      <w:r>
        <w:rPr>
          <w:rFonts w:ascii="宋体" w:hAnsi="宋体" w:eastAsia="宋体" w:cs="宋体"/>
          <w:spacing w:val="-1"/>
          <w:sz w:val="24"/>
          <w:szCs w:val="24"/>
        </w:rPr>
        <w:t>分配</w:t>
      </w:r>
      <w:r>
        <w:rPr>
          <w:rFonts w:ascii="宋体" w:hAnsi="宋体" w:eastAsia="宋体" w:cs="宋体"/>
          <w:sz w:val="24"/>
          <w:szCs w:val="24"/>
        </w:rPr>
        <w:t xml:space="preserve"> </w:t>
      </w:r>
      <w:r>
        <w:rPr>
          <w:rFonts w:ascii="宋体" w:hAnsi="宋体" w:eastAsia="宋体" w:cs="宋体"/>
          <w:spacing w:val="-2"/>
          <w:sz w:val="24"/>
          <w:szCs w:val="24"/>
        </w:rPr>
        <w:t>至大田，为</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4.6m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w:t>
      </w:r>
      <w:r>
        <w:rPr>
          <w:rFonts w:ascii="宋体" w:hAnsi="宋体" w:eastAsia="宋体" w:cs="宋体"/>
          <w:spacing w:val="-2"/>
          <w:sz w:val="24"/>
          <w:szCs w:val="24"/>
        </w:rPr>
        <w:t>亩，</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P=75%</w:t>
      </w:r>
      <w:r>
        <w:rPr>
          <w:rFonts w:ascii="宋体" w:hAnsi="宋体" w:eastAsia="宋体" w:cs="宋体"/>
          <w:spacing w:val="-2"/>
          <w:sz w:val="24"/>
          <w:szCs w:val="24"/>
        </w:rPr>
        <w:t>时水稻本田期净需水量为</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446.7m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w:t>
      </w:r>
      <w:r>
        <w:rPr>
          <w:rFonts w:ascii="宋体" w:hAnsi="宋体" w:eastAsia="宋体" w:cs="宋体"/>
          <w:spacing w:val="-2"/>
          <w:sz w:val="24"/>
          <w:szCs w:val="24"/>
        </w:rPr>
        <w:t>亩，全生育</w:t>
      </w:r>
      <w:r>
        <w:rPr>
          <w:rFonts w:ascii="宋体" w:hAnsi="宋体" w:eastAsia="宋体" w:cs="宋体"/>
          <w:spacing w:val="-3"/>
          <w:sz w:val="24"/>
          <w:szCs w:val="24"/>
        </w:rPr>
        <w:t>期净需水</w:t>
      </w:r>
      <w:r>
        <w:rPr>
          <w:rFonts w:ascii="宋体" w:hAnsi="宋体" w:eastAsia="宋体" w:cs="宋体"/>
          <w:sz w:val="24"/>
          <w:szCs w:val="24"/>
        </w:rPr>
        <w:t xml:space="preserve">  </w:t>
      </w:r>
      <w:r>
        <w:rPr>
          <w:rFonts w:ascii="宋体" w:hAnsi="宋体" w:eastAsia="宋体" w:cs="宋体"/>
          <w:spacing w:val="-5"/>
          <w:sz w:val="24"/>
          <w:szCs w:val="24"/>
        </w:rPr>
        <w:t>量为</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451.3m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4"/>
          <w:szCs w:val="24"/>
        </w:rPr>
        <w:t>/</w:t>
      </w:r>
      <w:r>
        <w:rPr>
          <w:rFonts w:ascii="宋体" w:hAnsi="宋体" w:eastAsia="宋体" w:cs="宋体"/>
          <w:spacing w:val="-5"/>
          <w:sz w:val="24"/>
          <w:szCs w:val="24"/>
        </w:rPr>
        <w:t>亩。</w:t>
      </w:r>
      <w:r>
        <w:rPr>
          <w:rFonts w:ascii="宋体" w:hAnsi="宋体" w:eastAsia="宋体" w:cs="宋体"/>
          <w:spacing w:val="-31"/>
          <w:sz w:val="24"/>
          <w:szCs w:val="24"/>
        </w:rPr>
        <w:t xml:space="preserve"> </w:t>
      </w:r>
      <w:r>
        <w:rPr>
          <w:rFonts w:ascii="宋体" w:hAnsi="宋体" w:eastAsia="宋体" w:cs="宋体"/>
          <w:spacing w:val="-5"/>
          <w:sz w:val="24"/>
          <w:szCs w:val="24"/>
        </w:rPr>
        <w:t>水稻全生育期（旱育秧</w:t>
      </w:r>
      <w:r>
        <w:rPr>
          <w:rFonts w:ascii="宋体" w:hAnsi="宋体" w:eastAsia="宋体" w:cs="宋体"/>
          <w:spacing w:val="-6"/>
          <w:sz w:val="24"/>
          <w:szCs w:val="24"/>
        </w:rPr>
        <w:t xml:space="preserve">方式） </w:t>
      </w:r>
      <w:r>
        <w:rPr>
          <w:rFonts w:ascii="Times New Roman" w:hAnsi="Times New Roman" w:eastAsia="Times New Roman" w:cs="Times New Roman"/>
          <w:spacing w:val="-6"/>
          <w:sz w:val="24"/>
          <w:szCs w:val="24"/>
        </w:rPr>
        <w:t>P=75%</w:t>
      </w:r>
      <w:r>
        <w:rPr>
          <w:rFonts w:ascii="宋体" w:hAnsi="宋体" w:eastAsia="宋体" w:cs="宋体"/>
          <w:spacing w:val="-6"/>
          <w:sz w:val="24"/>
          <w:szCs w:val="24"/>
        </w:rPr>
        <w:t>需水过程见表</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2.9-</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6"/>
          <w:sz w:val="24"/>
          <w:szCs w:val="24"/>
        </w:rPr>
        <w:t>11</w:t>
      </w:r>
      <w:r>
        <w:rPr>
          <w:rFonts w:ascii="宋体" w:hAnsi="宋体" w:eastAsia="宋体" w:cs="宋体"/>
          <w:spacing w:val="-6"/>
          <w:sz w:val="24"/>
          <w:szCs w:val="24"/>
        </w:rPr>
        <w:t>。通过查</w:t>
      </w:r>
      <w:r>
        <w:rPr>
          <w:rFonts w:ascii="宋体" w:hAnsi="宋体" w:eastAsia="宋体" w:cs="宋体"/>
          <w:sz w:val="24"/>
          <w:szCs w:val="24"/>
        </w:rPr>
        <w:t xml:space="preserve">  </w:t>
      </w:r>
      <w:r>
        <w:rPr>
          <w:rFonts w:ascii="宋体" w:hAnsi="宋体" w:eastAsia="宋体" w:cs="宋体"/>
          <w:spacing w:val="-4"/>
          <w:sz w:val="24"/>
          <w:szCs w:val="24"/>
        </w:rPr>
        <w:t>《云南省地方标准用水定额》（</w:t>
      </w:r>
      <w:r>
        <w:rPr>
          <w:rFonts w:ascii="Times New Roman" w:hAnsi="Times New Roman" w:eastAsia="Times New Roman" w:cs="Times New Roman"/>
          <w:spacing w:val="-4"/>
          <w:sz w:val="24"/>
          <w:szCs w:val="24"/>
        </w:rPr>
        <w:t>DB53T168-2019</w:t>
      </w:r>
      <w:r>
        <w:rPr>
          <w:rFonts w:ascii="宋体" w:hAnsi="宋体" w:eastAsia="宋体" w:cs="宋体"/>
          <w:spacing w:val="-4"/>
          <w:sz w:val="24"/>
          <w:szCs w:val="24"/>
        </w:rPr>
        <w:t>）大姚县为滇中区</w:t>
      </w:r>
      <w:r>
        <w:rPr>
          <w:rFonts w:ascii="宋体" w:hAnsi="宋体" w:eastAsia="宋体" w:cs="宋体"/>
          <w:spacing w:val="-5"/>
          <w:sz w:val="24"/>
          <w:szCs w:val="24"/>
        </w:rPr>
        <w:t>(Ⅰ</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7"/>
          <w:w w:val="101"/>
          <w:sz w:val="24"/>
          <w:szCs w:val="24"/>
        </w:rPr>
        <w:t xml:space="preserve"> </w:t>
      </w:r>
      <w:r>
        <w:rPr>
          <w:rFonts w:ascii="宋体" w:hAnsi="宋体" w:eastAsia="宋体" w:cs="宋体"/>
          <w:spacing w:val="-5"/>
          <w:sz w:val="24"/>
          <w:szCs w:val="24"/>
        </w:rPr>
        <w:t>区</w:t>
      </w:r>
      <w:r>
        <w:rPr>
          <w:rFonts w:ascii="宋体" w:hAnsi="宋体" w:eastAsia="宋体" w:cs="宋体"/>
          <w:spacing w:val="-31"/>
          <w:sz w:val="24"/>
          <w:szCs w:val="24"/>
        </w:rPr>
        <w:t>），</w:t>
      </w:r>
      <w:r>
        <w:rPr>
          <w:rFonts w:ascii="Times New Roman" w:hAnsi="Times New Roman" w:eastAsia="Times New Roman" w:cs="Times New Roman"/>
          <w:spacing w:val="-5"/>
          <w:sz w:val="24"/>
          <w:szCs w:val="24"/>
        </w:rPr>
        <w:t>P=75%</w:t>
      </w:r>
    </w:p>
    <w:p>
      <w:pPr>
        <w:spacing w:before="1" w:line="233" w:lineRule="auto"/>
        <w:ind w:left="42"/>
        <w:rPr>
          <w:rFonts w:ascii="宋体" w:hAnsi="宋体" w:eastAsia="宋体" w:cs="宋体"/>
          <w:sz w:val="24"/>
          <w:szCs w:val="24"/>
        </w:rPr>
      </w:pPr>
      <w:r>
        <w:rPr>
          <w:rFonts w:ascii="宋体" w:hAnsi="宋体" w:eastAsia="宋体" w:cs="宋体"/>
          <w:spacing w:val="-1"/>
          <w:sz w:val="24"/>
          <w:szCs w:val="24"/>
        </w:rPr>
        <w:t>水稻用水量为</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490m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w:t>
      </w:r>
      <w:r>
        <w:rPr>
          <w:rFonts w:ascii="宋体" w:hAnsi="宋体" w:eastAsia="宋体" w:cs="宋体"/>
          <w:spacing w:val="-1"/>
          <w:sz w:val="24"/>
          <w:szCs w:val="24"/>
        </w:rPr>
        <w:t>亩。</w:t>
      </w:r>
    </w:p>
    <w:p>
      <w:pPr>
        <w:spacing w:before="158" w:line="233" w:lineRule="auto"/>
        <w:ind w:left="1124"/>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表</w:t>
      </w:r>
      <w:r>
        <w:rPr>
          <w:rFonts w:ascii="宋体" w:hAnsi="宋体" w:eastAsia="宋体" w:cs="宋体"/>
          <w:spacing w:val="-44"/>
          <w:sz w:val="21"/>
          <w:szCs w:val="21"/>
        </w:rPr>
        <w:t xml:space="preserve"> </w:t>
      </w:r>
      <w:r>
        <w:rPr>
          <w:rFonts w:ascii="Times New Roman" w:hAnsi="Times New Roman" w:eastAsia="Times New Roman" w:cs="Times New Roman"/>
          <w:b/>
          <w:bCs/>
          <w:spacing w:val="-2"/>
          <w:sz w:val="21"/>
          <w:szCs w:val="21"/>
        </w:rPr>
        <w:t xml:space="preserve">2.9-10    </w:t>
      </w:r>
      <w:r>
        <w:rPr>
          <w:rFonts w:ascii="宋体" w:hAnsi="宋体" w:eastAsia="宋体" w:cs="宋体"/>
          <w:spacing w:val="-2"/>
          <w:sz w:val="21"/>
          <w:szCs w:val="21"/>
          <w14:textOutline w14:w="3810" w14:cap="flat" w14:cmpd="sng">
            <w14:solidFill>
              <w14:srgbClr w14:val="000000"/>
            </w14:solidFill>
            <w14:prstDash w14:val="solid"/>
            <w14:miter w14:val="0"/>
          </w14:textOutline>
        </w:rPr>
        <w:t>灌区水稻全生育期</w:t>
      </w:r>
      <w:r>
        <w:rPr>
          <w:rFonts w:ascii="宋体" w:hAnsi="宋体" w:eastAsia="宋体" w:cs="宋体"/>
          <w:spacing w:val="-45"/>
          <w:sz w:val="21"/>
          <w:szCs w:val="21"/>
        </w:rPr>
        <w:t xml:space="preserve"> </w:t>
      </w:r>
      <w:r>
        <w:rPr>
          <w:rFonts w:ascii="Times New Roman" w:hAnsi="Times New Roman" w:eastAsia="Times New Roman" w:cs="Times New Roman"/>
          <w:b/>
          <w:bCs/>
          <w:spacing w:val="-2"/>
          <w:sz w:val="21"/>
          <w:szCs w:val="21"/>
        </w:rPr>
        <w:t>P=75%</w:t>
      </w:r>
      <w:r>
        <w:rPr>
          <w:rFonts w:ascii="宋体" w:hAnsi="宋体" w:eastAsia="宋体" w:cs="宋体"/>
          <w:spacing w:val="-2"/>
          <w:sz w:val="21"/>
          <w:szCs w:val="21"/>
          <w14:textOutline w14:w="3810" w14:cap="flat" w14:cmpd="sng">
            <w14:solidFill>
              <w14:srgbClr w14:val="000000"/>
            </w14:solidFill>
            <w14:prstDash w14:val="solid"/>
            <w14:miter w14:val="0"/>
          </w14:textOutline>
        </w:rPr>
        <w:t>净需水过程（水育秧方式）</w:t>
      </w:r>
      <w:r>
        <w:rPr>
          <w:rFonts w:ascii="宋体" w:hAnsi="宋体" w:eastAsia="宋体" w:cs="宋体"/>
          <w:spacing w:val="-2"/>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单位：</w:t>
      </w:r>
      <w:r>
        <w:rPr>
          <w:rFonts w:ascii="宋体" w:hAnsi="宋体" w:eastAsia="宋体" w:cs="宋体"/>
          <w:spacing w:val="-20"/>
          <w:sz w:val="21"/>
          <w:szCs w:val="21"/>
        </w:rPr>
        <w:t xml:space="preserve"> </w:t>
      </w:r>
      <w:r>
        <w:rPr>
          <w:rFonts w:ascii="Times New Roman" w:hAnsi="Times New Roman" w:eastAsia="Times New Roman" w:cs="Times New Roman"/>
          <w:b/>
          <w:bCs/>
          <w:spacing w:val="-2"/>
          <w:sz w:val="21"/>
          <w:szCs w:val="21"/>
        </w:rPr>
        <w:t>m</w:t>
      </w:r>
      <w:r>
        <w:rPr>
          <w:rFonts w:ascii="Times New Roman" w:hAnsi="Times New Roman" w:eastAsia="Times New Roman" w:cs="Times New Roman"/>
          <w:b/>
          <w:bCs/>
          <w:spacing w:val="-2"/>
          <w:position w:val="6"/>
          <w:sz w:val="14"/>
          <w:szCs w:val="14"/>
        </w:rPr>
        <w:t>3</w:t>
      </w:r>
      <w:r>
        <w:rPr>
          <w:rFonts w:ascii="Times New Roman" w:hAnsi="Times New Roman" w:eastAsia="Times New Roman" w:cs="Times New Roman"/>
          <w:b/>
          <w:bCs/>
          <w:spacing w:val="-2"/>
          <w:sz w:val="21"/>
          <w:szCs w:val="21"/>
        </w:rPr>
        <w:t>/</w:t>
      </w:r>
      <w:r>
        <w:rPr>
          <w:rFonts w:ascii="宋体" w:hAnsi="宋体" w:eastAsia="宋体" w:cs="宋体"/>
          <w:spacing w:val="-2"/>
          <w:sz w:val="21"/>
          <w:szCs w:val="21"/>
          <w14:textOutline w14:w="3810" w14:cap="flat" w14:cmpd="sng">
            <w14:solidFill>
              <w14:srgbClr w14:val="000000"/>
            </w14:solidFill>
            <w14:prstDash w14:val="solid"/>
            <w14:miter w14:val="0"/>
          </w14:textOutline>
        </w:rPr>
        <w:t>亩</w:t>
      </w:r>
    </w:p>
    <w:p>
      <w:pPr>
        <w:spacing w:line="112" w:lineRule="exact"/>
      </w:pPr>
    </w:p>
    <w:tbl>
      <w:tblPr>
        <w:tblStyle w:val="5"/>
        <w:tblW w:w="8972"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498"/>
        <w:gridCol w:w="677"/>
        <w:gridCol w:w="677"/>
        <w:gridCol w:w="802"/>
        <w:gridCol w:w="802"/>
        <w:gridCol w:w="677"/>
        <w:gridCol w:w="677"/>
        <w:gridCol w:w="583"/>
        <w:gridCol w:w="368"/>
        <w:gridCol w:w="700"/>
        <w:gridCol w:w="499"/>
        <w:gridCol w:w="499"/>
        <w:gridCol w:w="8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7" w:hRule="atLeast"/>
        </w:trPr>
        <w:tc>
          <w:tcPr>
            <w:tcW w:w="712" w:type="dxa"/>
            <w:tcBorders>
              <w:top w:val="single" w:color="000000" w:sz="12" w:space="0"/>
              <w:left w:val="nil"/>
            </w:tcBorders>
            <w:vAlign w:val="top"/>
          </w:tcPr>
          <w:p>
            <w:pPr>
              <w:spacing w:before="30" w:line="199" w:lineRule="auto"/>
              <w:ind w:left="174"/>
              <w:rPr>
                <w:rFonts w:ascii="仿宋" w:hAnsi="仿宋" w:eastAsia="仿宋" w:cs="仿宋"/>
                <w:sz w:val="21"/>
                <w:szCs w:val="21"/>
              </w:rPr>
            </w:pPr>
            <w:r>
              <w:rPr>
                <w:rFonts w:ascii="仿宋" w:hAnsi="仿宋" w:eastAsia="仿宋" w:cs="仿宋"/>
                <w:spacing w:val="-6"/>
                <w:sz w:val="21"/>
                <w:szCs w:val="21"/>
              </w:rPr>
              <w:t>月份</w:t>
            </w:r>
          </w:p>
        </w:tc>
        <w:tc>
          <w:tcPr>
            <w:tcW w:w="498" w:type="dxa"/>
            <w:tcBorders>
              <w:top w:val="single" w:color="000000" w:sz="12" w:space="0"/>
            </w:tcBorders>
            <w:vAlign w:val="top"/>
          </w:tcPr>
          <w:p>
            <w:pPr>
              <w:pStyle w:val="6"/>
              <w:spacing w:before="67" w:line="188" w:lineRule="auto"/>
              <w:ind w:left="214"/>
            </w:pPr>
            <w:r>
              <w:t>1</w:t>
            </w:r>
          </w:p>
        </w:tc>
        <w:tc>
          <w:tcPr>
            <w:tcW w:w="677" w:type="dxa"/>
            <w:tcBorders>
              <w:top w:val="single" w:color="000000" w:sz="12" w:space="0"/>
            </w:tcBorders>
            <w:vAlign w:val="top"/>
          </w:tcPr>
          <w:p>
            <w:pPr>
              <w:pStyle w:val="6"/>
              <w:spacing w:before="67" w:line="188" w:lineRule="auto"/>
              <w:ind w:left="282"/>
            </w:pPr>
            <w:r>
              <w:t>2</w:t>
            </w:r>
          </w:p>
        </w:tc>
        <w:tc>
          <w:tcPr>
            <w:tcW w:w="677" w:type="dxa"/>
            <w:tcBorders>
              <w:top w:val="single" w:color="000000" w:sz="12" w:space="0"/>
            </w:tcBorders>
            <w:vAlign w:val="top"/>
          </w:tcPr>
          <w:p>
            <w:pPr>
              <w:pStyle w:val="6"/>
              <w:spacing w:before="67" w:line="188" w:lineRule="auto"/>
              <w:ind w:left="286"/>
            </w:pPr>
            <w:r>
              <w:t>3</w:t>
            </w:r>
          </w:p>
        </w:tc>
        <w:tc>
          <w:tcPr>
            <w:tcW w:w="802" w:type="dxa"/>
            <w:tcBorders>
              <w:top w:val="single" w:color="000000" w:sz="12" w:space="0"/>
            </w:tcBorders>
            <w:vAlign w:val="top"/>
          </w:tcPr>
          <w:p>
            <w:pPr>
              <w:pStyle w:val="6"/>
              <w:spacing w:before="67" w:line="188" w:lineRule="auto"/>
              <w:ind w:left="344"/>
            </w:pPr>
            <w:r>
              <w:t>4</w:t>
            </w:r>
          </w:p>
        </w:tc>
        <w:tc>
          <w:tcPr>
            <w:tcW w:w="802" w:type="dxa"/>
            <w:tcBorders>
              <w:top w:val="single" w:color="000000" w:sz="12" w:space="0"/>
            </w:tcBorders>
            <w:vAlign w:val="top"/>
          </w:tcPr>
          <w:p>
            <w:pPr>
              <w:pStyle w:val="6"/>
              <w:spacing w:before="70" w:line="185" w:lineRule="auto"/>
              <w:ind w:left="350"/>
            </w:pPr>
            <w:r>
              <w:t>5</w:t>
            </w:r>
          </w:p>
        </w:tc>
        <w:tc>
          <w:tcPr>
            <w:tcW w:w="677" w:type="dxa"/>
            <w:tcBorders>
              <w:top w:val="single" w:color="000000" w:sz="12" w:space="0"/>
            </w:tcBorders>
            <w:vAlign w:val="top"/>
          </w:tcPr>
          <w:p>
            <w:pPr>
              <w:pStyle w:val="6"/>
              <w:spacing w:before="67" w:line="188" w:lineRule="auto"/>
              <w:ind w:left="286"/>
            </w:pPr>
            <w:r>
              <w:t>6</w:t>
            </w:r>
          </w:p>
        </w:tc>
        <w:tc>
          <w:tcPr>
            <w:tcW w:w="677" w:type="dxa"/>
            <w:tcBorders>
              <w:top w:val="single" w:color="000000" w:sz="12" w:space="0"/>
            </w:tcBorders>
            <w:vAlign w:val="top"/>
          </w:tcPr>
          <w:p>
            <w:pPr>
              <w:pStyle w:val="6"/>
              <w:spacing w:before="70" w:line="185" w:lineRule="auto"/>
              <w:ind w:left="285"/>
            </w:pPr>
            <w:r>
              <w:t>7</w:t>
            </w:r>
          </w:p>
        </w:tc>
        <w:tc>
          <w:tcPr>
            <w:tcW w:w="583" w:type="dxa"/>
            <w:tcBorders>
              <w:top w:val="single" w:color="000000" w:sz="12" w:space="0"/>
            </w:tcBorders>
            <w:vAlign w:val="top"/>
          </w:tcPr>
          <w:p>
            <w:pPr>
              <w:pStyle w:val="6"/>
              <w:spacing w:before="67" w:line="188" w:lineRule="auto"/>
              <w:ind w:left="244"/>
            </w:pPr>
            <w:r>
              <w:t>8</w:t>
            </w:r>
          </w:p>
        </w:tc>
        <w:tc>
          <w:tcPr>
            <w:tcW w:w="368" w:type="dxa"/>
            <w:tcBorders>
              <w:top w:val="single" w:color="000000" w:sz="12" w:space="0"/>
            </w:tcBorders>
            <w:vAlign w:val="top"/>
          </w:tcPr>
          <w:p>
            <w:pPr>
              <w:pStyle w:val="6"/>
              <w:spacing w:before="67" w:line="188" w:lineRule="auto"/>
              <w:ind w:left="134"/>
            </w:pPr>
            <w:r>
              <w:t>9</w:t>
            </w:r>
          </w:p>
        </w:tc>
        <w:tc>
          <w:tcPr>
            <w:tcW w:w="700" w:type="dxa"/>
            <w:tcBorders>
              <w:top w:val="single" w:color="000000" w:sz="12" w:space="0"/>
            </w:tcBorders>
            <w:vAlign w:val="top"/>
          </w:tcPr>
          <w:p>
            <w:pPr>
              <w:pStyle w:val="6"/>
              <w:spacing w:before="67" w:line="188" w:lineRule="auto"/>
              <w:ind w:left="265"/>
            </w:pPr>
            <w:r>
              <w:rPr>
                <w:spacing w:val="-6"/>
              </w:rPr>
              <w:t>10</w:t>
            </w:r>
          </w:p>
        </w:tc>
        <w:tc>
          <w:tcPr>
            <w:tcW w:w="499" w:type="dxa"/>
            <w:tcBorders>
              <w:top w:val="single" w:color="000000" w:sz="12" w:space="0"/>
            </w:tcBorders>
            <w:vAlign w:val="top"/>
          </w:tcPr>
          <w:p>
            <w:pPr>
              <w:pStyle w:val="6"/>
              <w:spacing w:before="67" w:line="188" w:lineRule="auto"/>
              <w:ind w:left="169"/>
            </w:pPr>
            <w:r>
              <w:rPr>
                <w:spacing w:val="-9"/>
              </w:rPr>
              <w:t>11</w:t>
            </w:r>
          </w:p>
        </w:tc>
        <w:tc>
          <w:tcPr>
            <w:tcW w:w="499" w:type="dxa"/>
            <w:tcBorders>
              <w:top w:val="single" w:color="000000" w:sz="12" w:space="0"/>
            </w:tcBorders>
            <w:vAlign w:val="top"/>
          </w:tcPr>
          <w:p>
            <w:pPr>
              <w:pStyle w:val="6"/>
              <w:spacing w:before="67" w:line="188" w:lineRule="auto"/>
              <w:ind w:left="166"/>
            </w:pPr>
            <w:r>
              <w:rPr>
                <w:spacing w:val="-6"/>
              </w:rPr>
              <w:t>12</w:t>
            </w:r>
          </w:p>
        </w:tc>
        <w:tc>
          <w:tcPr>
            <w:tcW w:w="801" w:type="dxa"/>
            <w:tcBorders>
              <w:top w:val="single" w:color="000000" w:sz="12" w:space="0"/>
              <w:right w:val="nil"/>
            </w:tcBorders>
            <w:vAlign w:val="top"/>
          </w:tcPr>
          <w:p>
            <w:pPr>
              <w:spacing w:before="30" w:line="199" w:lineRule="auto"/>
              <w:ind w:left="209"/>
              <w:rPr>
                <w:rFonts w:ascii="仿宋" w:hAnsi="仿宋" w:eastAsia="仿宋" w:cs="仿宋"/>
                <w:sz w:val="21"/>
                <w:szCs w:val="21"/>
              </w:rPr>
            </w:pPr>
            <w:r>
              <w:rPr>
                <w:rFonts w:ascii="仿宋" w:hAnsi="仿宋" w:eastAsia="仿宋" w:cs="仿宋"/>
                <w:spacing w:val="-5"/>
                <w:sz w:val="21"/>
                <w:szCs w:val="21"/>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6" w:hRule="atLeast"/>
        </w:trPr>
        <w:tc>
          <w:tcPr>
            <w:tcW w:w="712" w:type="dxa"/>
            <w:tcBorders>
              <w:left w:val="nil"/>
              <w:bottom w:val="single" w:color="000000" w:sz="12" w:space="0"/>
            </w:tcBorders>
            <w:vAlign w:val="top"/>
          </w:tcPr>
          <w:p>
            <w:pPr>
              <w:spacing w:before="43" w:line="221" w:lineRule="auto"/>
              <w:ind w:left="164" w:right="139" w:hanging="1"/>
              <w:rPr>
                <w:rFonts w:ascii="仿宋" w:hAnsi="仿宋" w:eastAsia="仿宋" w:cs="仿宋"/>
                <w:sz w:val="21"/>
                <w:szCs w:val="21"/>
              </w:rPr>
            </w:pPr>
            <w:r>
              <w:rPr>
                <w:rFonts w:ascii="仿宋" w:hAnsi="仿宋" w:eastAsia="仿宋" w:cs="仿宋"/>
                <w:spacing w:val="-7"/>
                <w:sz w:val="21"/>
                <w:szCs w:val="21"/>
              </w:rPr>
              <w:t>水稻</w:t>
            </w:r>
            <w:r>
              <w:rPr>
                <w:rFonts w:ascii="仿宋" w:hAnsi="仿宋" w:eastAsia="仿宋" w:cs="仿宋"/>
                <w:sz w:val="21"/>
                <w:szCs w:val="21"/>
              </w:rPr>
              <w:t xml:space="preserve"> </w:t>
            </w:r>
            <w:r>
              <w:rPr>
                <w:rFonts w:ascii="仿宋" w:hAnsi="仿宋" w:eastAsia="仿宋" w:cs="仿宋"/>
                <w:spacing w:val="-8"/>
                <w:sz w:val="21"/>
                <w:szCs w:val="21"/>
              </w:rPr>
              <w:t>供水</w:t>
            </w:r>
          </w:p>
        </w:tc>
        <w:tc>
          <w:tcPr>
            <w:tcW w:w="498" w:type="dxa"/>
            <w:tcBorders>
              <w:bottom w:val="single" w:color="000000" w:sz="12" w:space="0"/>
            </w:tcBorders>
            <w:vAlign w:val="top"/>
          </w:tcPr>
          <w:p>
            <w:pPr>
              <w:pStyle w:val="6"/>
              <w:spacing w:before="214" w:line="188" w:lineRule="auto"/>
              <w:ind w:left="197"/>
            </w:pPr>
            <w:r>
              <w:t>0</w:t>
            </w:r>
          </w:p>
        </w:tc>
        <w:tc>
          <w:tcPr>
            <w:tcW w:w="677" w:type="dxa"/>
            <w:tcBorders>
              <w:bottom w:val="single" w:color="000000" w:sz="12" w:space="0"/>
            </w:tcBorders>
            <w:vAlign w:val="top"/>
          </w:tcPr>
          <w:p>
            <w:pPr>
              <w:pStyle w:val="6"/>
              <w:spacing w:before="214" w:line="188" w:lineRule="auto"/>
              <w:ind w:left="285"/>
            </w:pPr>
            <w:r>
              <w:t>0</w:t>
            </w:r>
          </w:p>
        </w:tc>
        <w:tc>
          <w:tcPr>
            <w:tcW w:w="677" w:type="dxa"/>
            <w:tcBorders>
              <w:bottom w:val="single" w:color="000000" w:sz="12" w:space="0"/>
            </w:tcBorders>
            <w:vAlign w:val="top"/>
          </w:tcPr>
          <w:p>
            <w:pPr>
              <w:pStyle w:val="6"/>
              <w:spacing w:before="214" w:line="188" w:lineRule="auto"/>
              <w:ind w:left="150"/>
            </w:pPr>
            <w:r>
              <w:rPr>
                <w:spacing w:val="-1"/>
              </w:rPr>
              <w:t>28.4</w:t>
            </w:r>
          </w:p>
        </w:tc>
        <w:tc>
          <w:tcPr>
            <w:tcW w:w="802" w:type="dxa"/>
            <w:tcBorders>
              <w:bottom w:val="single" w:color="000000" w:sz="12" w:space="0"/>
            </w:tcBorders>
            <w:vAlign w:val="top"/>
          </w:tcPr>
          <w:p>
            <w:pPr>
              <w:pStyle w:val="6"/>
              <w:spacing w:before="214" w:line="188" w:lineRule="auto"/>
              <w:ind w:left="214"/>
            </w:pPr>
            <w:r>
              <w:rPr>
                <w:spacing w:val="-1"/>
              </w:rPr>
              <w:t>45.4</w:t>
            </w:r>
          </w:p>
        </w:tc>
        <w:tc>
          <w:tcPr>
            <w:tcW w:w="802" w:type="dxa"/>
            <w:tcBorders>
              <w:bottom w:val="single" w:color="000000" w:sz="12" w:space="0"/>
            </w:tcBorders>
            <w:vAlign w:val="top"/>
          </w:tcPr>
          <w:p>
            <w:pPr>
              <w:pStyle w:val="6"/>
              <w:spacing w:before="214" w:line="188" w:lineRule="auto"/>
              <w:ind w:left="161"/>
            </w:pPr>
            <w:r>
              <w:rPr>
                <w:spacing w:val="-1"/>
              </w:rPr>
              <w:t>270.3</w:t>
            </w:r>
          </w:p>
        </w:tc>
        <w:tc>
          <w:tcPr>
            <w:tcW w:w="677" w:type="dxa"/>
            <w:tcBorders>
              <w:bottom w:val="single" w:color="000000" w:sz="12" w:space="0"/>
            </w:tcBorders>
            <w:vAlign w:val="top"/>
          </w:tcPr>
          <w:p>
            <w:pPr>
              <w:pStyle w:val="6"/>
              <w:spacing w:before="214" w:line="188" w:lineRule="auto"/>
              <w:ind w:left="154"/>
            </w:pPr>
            <w:r>
              <w:rPr>
                <w:spacing w:val="-2"/>
              </w:rPr>
              <w:t>69.0</w:t>
            </w:r>
          </w:p>
        </w:tc>
        <w:tc>
          <w:tcPr>
            <w:tcW w:w="677" w:type="dxa"/>
            <w:tcBorders>
              <w:bottom w:val="single" w:color="000000" w:sz="12" w:space="0"/>
            </w:tcBorders>
            <w:vAlign w:val="top"/>
          </w:tcPr>
          <w:p>
            <w:pPr>
              <w:pStyle w:val="6"/>
              <w:spacing w:before="214" w:line="188" w:lineRule="auto"/>
              <w:ind w:left="156"/>
            </w:pPr>
            <w:r>
              <w:rPr>
                <w:spacing w:val="-3"/>
              </w:rPr>
              <w:t>57.6</w:t>
            </w:r>
          </w:p>
        </w:tc>
        <w:tc>
          <w:tcPr>
            <w:tcW w:w="583" w:type="dxa"/>
            <w:tcBorders>
              <w:bottom w:val="single" w:color="000000" w:sz="12" w:space="0"/>
            </w:tcBorders>
            <w:vAlign w:val="top"/>
          </w:tcPr>
          <w:p>
            <w:pPr>
              <w:pStyle w:val="6"/>
              <w:spacing w:before="214" w:line="188" w:lineRule="auto"/>
              <w:ind w:left="124"/>
            </w:pPr>
            <w:r>
              <w:rPr>
                <w:spacing w:val="-6"/>
              </w:rPr>
              <w:t>18.5</w:t>
            </w:r>
          </w:p>
        </w:tc>
        <w:tc>
          <w:tcPr>
            <w:tcW w:w="368" w:type="dxa"/>
            <w:tcBorders>
              <w:bottom w:val="single" w:color="000000" w:sz="12" w:space="0"/>
            </w:tcBorders>
            <w:vAlign w:val="top"/>
          </w:tcPr>
          <w:p>
            <w:pPr>
              <w:pStyle w:val="6"/>
              <w:spacing w:before="214" w:line="188" w:lineRule="auto"/>
              <w:ind w:left="132"/>
            </w:pPr>
            <w:r>
              <w:t>0</w:t>
            </w:r>
          </w:p>
        </w:tc>
        <w:tc>
          <w:tcPr>
            <w:tcW w:w="700" w:type="dxa"/>
            <w:tcBorders>
              <w:bottom w:val="single" w:color="000000" w:sz="12" w:space="0"/>
            </w:tcBorders>
            <w:vAlign w:val="top"/>
          </w:tcPr>
          <w:p>
            <w:pPr>
              <w:pStyle w:val="6"/>
              <w:spacing w:before="214" w:line="188" w:lineRule="auto"/>
              <w:ind w:left="300"/>
            </w:pPr>
            <w:r>
              <w:t>0</w:t>
            </w:r>
          </w:p>
        </w:tc>
        <w:tc>
          <w:tcPr>
            <w:tcW w:w="499" w:type="dxa"/>
            <w:tcBorders>
              <w:bottom w:val="single" w:color="000000" w:sz="12" w:space="0"/>
            </w:tcBorders>
            <w:vAlign w:val="top"/>
          </w:tcPr>
          <w:p>
            <w:pPr>
              <w:pStyle w:val="6"/>
              <w:spacing w:before="214" w:line="188" w:lineRule="auto"/>
              <w:ind w:left="200"/>
            </w:pPr>
            <w:r>
              <w:t>0</w:t>
            </w:r>
          </w:p>
        </w:tc>
        <w:tc>
          <w:tcPr>
            <w:tcW w:w="499" w:type="dxa"/>
            <w:tcBorders>
              <w:bottom w:val="single" w:color="000000" w:sz="12" w:space="0"/>
            </w:tcBorders>
            <w:vAlign w:val="top"/>
          </w:tcPr>
          <w:p>
            <w:pPr>
              <w:pStyle w:val="6"/>
              <w:spacing w:before="214" w:line="188" w:lineRule="auto"/>
              <w:ind w:left="201"/>
            </w:pPr>
            <w:r>
              <w:t>0</w:t>
            </w:r>
          </w:p>
        </w:tc>
        <w:tc>
          <w:tcPr>
            <w:tcW w:w="801" w:type="dxa"/>
            <w:tcBorders>
              <w:bottom w:val="single" w:color="000000" w:sz="12" w:space="0"/>
              <w:right w:val="nil"/>
            </w:tcBorders>
            <w:vAlign w:val="top"/>
          </w:tcPr>
          <w:p>
            <w:pPr>
              <w:pStyle w:val="6"/>
              <w:spacing w:before="214" w:line="188" w:lineRule="auto"/>
              <w:ind w:left="166"/>
            </w:pPr>
            <w:r>
              <w:rPr>
                <w:spacing w:val="-1"/>
              </w:rPr>
              <w:t>489.2</w:t>
            </w:r>
          </w:p>
        </w:tc>
      </w:tr>
    </w:tbl>
    <w:p>
      <w:pPr>
        <w:spacing w:before="31" w:line="233" w:lineRule="auto"/>
        <w:ind w:left="1130"/>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表</w:t>
      </w:r>
      <w:r>
        <w:rPr>
          <w:rFonts w:ascii="宋体" w:hAnsi="宋体" w:eastAsia="宋体" w:cs="宋体"/>
          <w:spacing w:val="-46"/>
          <w:sz w:val="21"/>
          <w:szCs w:val="21"/>
        </w:rPr>
        <w:t xml:space="preserve"> </w:t>
      </w:r>
      <w:r>
        <w:rPr>
          <w:rFonts w:ascii="Times New Roman" w:hAnsi="Times New Roman" w:eastAsia="Times New Roman" w:cs="Times New Roman"/>
          <w:b/>
          <w:bCs/>
          <w:spacing w:val="-2"/>
          <w:sz w:val="21"/>
          <w:szCs w:val="21"/>
        </w:rPr>
        <w:t xml:space="preserve">2.9-11    </w:t>
      </w:r>
      <w:r>
        <w:rPr>
          <w:rFonts w:ascii="宋体" w:hAnsi="宋体" w:eastAsia="宋体" w:cs="宋体"/>
          <w:spacing w:val="-2"/>
          <w:sz w:val="21"/>
          <w:szCs w:val="21"/>
          <w14:textOutline w14:w="3810" w14:cap="flat" w14:cmpd="sng">
            <w14:solidFill>
              <w14:srgbClr w14:val="000000"/>
            </w14:solidFill>
            <w14:prstDash w14:val="solid"/>
            <w14:miter w14:val="0"/>
          </w14:textOutline>
        </w:rPr>
        <w:t>灌区水稻全生育期</w:t>
      </w:r>
      <w:r>
        <w:rPr>
          <w:rFonts w:ascii="宋体" w:hAnsi="宋体" w:eastAsia="宋体" w:cs="宋体"/>
          <w:spacing w:val="-45"/>
          <w:sz w:val="21"/>
          <w:szCs w:val="21"/>
        </w:rPr>
        <w:t xml:space="preserve"> </w:t>
      </w:r>
      <w:r>
        <w:rPr>
          <w:rFonts w:ascii="Times New Roman" w:hAnsi="Times New Roman" w:eastAsia="Times New Roman" w:cs="Times New Roman"/>
          <w:b/>
          <w:bCs/>
          <w:spacing w:val="-2"/>
          <w:sz w:val="21"/>
          <w:szCs w:val="21"/>
        </w:rPr>
        <w:t>P=75%</w:t>
      </w:r>
      <w:r>
        <w:rPr>
          <w:rFonts w:ascii="宋体" w:hAnsi="宋体" w:eastAsia="宋体" w:cs="宋体"/>
          <w:spacing w:val="-2"/>
          <w:sz w:val="21"/>
          <w:szCs w:val="21"/>
          <w14:textOutline w14:w="3810" w14:cap="flat" w14:cmpd="sng">
            <w14:solidFill>
              <w14:srgbClr w14:val="000000"/>
            </w14:solidFill>
            <w14:prstDash w14:val="solid"/>
            <w14:miter w14:val="0"/>
          </w14:textOutline>
        </w:rPr>
        <w:t>净需水过程（旱育秧方</w:t>
      </w:r>
      <w:r>
        <w:rPr>
          <w:rFonts w:ascii="宋体" w:hAnsi="宋体" w:eastAsia="宋体" w:cs="宋体"/>
          <w:spacing w:val="-3"/>
          <w:sz w:val="21"/>
          <w:szCs w:val="21"/>
          <w14:textOutline w14:w="3810" w14:cap="flat" w14:cmpd="sng">
            <w14:solidFill>
              <w14:srgbClr w14:val="000000"/>
            </w14:solidFill>
            <w14:prstDash w14:val="solid"/>
            <w14:miter w14:val="0"/>
          </w14:textOutline>
        </w:rPr>
        <w:t>式）</w:t>
      </w:r>
      <w:r>
        <w:rPr>
          <w:rFonts w:ascii="宋体" w:hAnsi="宋体" w:eastAsia="宋体" w:cs="宋体"/>
          <w:spacing w:val="-3"/>
          <w:sz w:val="21"/>
          <w:szCs w:val="21"/>
        </w:rPr>
        <w:t xml:space="preserve"> </w:t>
      </w:r>
      <w:r>
        <w:rPr>
          <w:rFonts w:ascii="宋体" w:hAnsi="宋体" w:eastAsia="宋体" w:cs="宋体"/>
          <w:spacing w:val="-3"/>
          <w:sz w:val="21"/>
          <w:szCs w:val="21"/>
          <w14:textOutline w14:w="3810" w14:cap="flat" w14:cmpd="sng">
            <w14:solidFill>
              <w14:srgbClr w14:val="000000"/>
            </w14:solidFill>
            <w14:prstDash w14:val="solid"/>
            <w14:miter w14:val="0"/>
          </w14:textOutline>
        </w:rPr>
        <w:t>单位：</w:t>
      </w:r>
      <w:r>
        <w:rPr>
          <w:rFonts w:ascii="宋体" w:hAnsi="宋体" w:eastAsia="宋体" w:cs="宋体"/>
          <w:spacing w:val="-20"/>
          <w:sz w:val="21"/>
          <w:szCs w:val="21"/>
        </w:rPr>
        <w:t xml:space="preserve"> </w:t>
      </w:r>
      <w:r>
        <w:rPr>
          <w:rFonts w:ascii="Times New Roman" w:hAnsi="Times New Roman" w:eastAsia="Times New Roman" w:cs="Times New Roman"/>
          <w:b/>
          <w:bCs/>
          <w:spacing w:val="-3"/>
          <w:sz w:val="21"/>
          <w:szCs w:val="21"/>
        </w:rPr>
        <w:t>m</w:t>
      </w:r>
      <w:r>
        <w:rPr>
          <w:rFonts w:ascii="Times New Roman" w:hAnsi="Times New Roman" w:eastAsia="Times New Roman" w:cs="Times New Roman"/>
          <w:b/>
          <w:bCs/>
          <w:spacing w:val="-3"/>
          <w:position w:val="6"/>
          <w:sz w:val="14"/>
          <w:szCs w:val="14"/>
        </w:rPr>
        <w:t>3</w:t>
      </w:r>
      <w:r>
        <w:rPr>
          <w:rFonts w:ascii="Times New Roman" w:hAnsi="Times New Roman" w:eastAsia="Times New Roman" w:cs="Times New Roman"/>
          <w:b/>
          <w:bCs/>
          <w:spacing w:val="-3"/>
          <w:sz w:val="21"/>
          <w:szCs w:val="21"/>
        </w:rPr>
        <w:t>/</w:t>
      </w:r>
      <w:r>
        <w:rPr>
          <w:rFonts w:ascii="宋体" w:hAnsi="宋体" w:eastAsia="宋体" w:cs="宋体"/>
          <w:spacing w:val="-3"/>
          <w:sz w:val="21"/>
          <w:szCs w:val="21"/>
          <w14:textOutline w14:w="3810" w14:cap="flat" w14:cmpd="sng">
            <w14:solidFill>
              <w14:srgbClr w14:val="000000"/>
            </w14:solidFill>
            <w14:prstDash w14:val="solid"/>
            <w14:miter w14:val="0"/>
          </w14:textOutline>
        </w:rPr>
        <w:t>亩</w:t>
      </w:r>
    </w:p>
    <w:p>
      <w:pPr>
        <w:spacing w:line="112" w:lineRule="exact"/>
      </w:pPr>
    </w:p>
    <w:tbl>
      <w:tblPr>
        <w:tblStyle w:val="5"/>
        <w:tblW w:w="8972"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8"/>
        <w:gridCol w:w="494"/>
        <w:gridCol w:w="672"/>
        <w:gridCol w:w="676"/>
        <w:gridCol w:w="798"/>
        <w:gridCol w:w="799"/>
        <w:gridCol w:w="676"/>
        <w:gridCol w:w="674"/>
        <w:gridCol w:w="584"/>
        <w:gridCol w:w="369"/>
        <w:gridCol w:w="699"/>
        <w:gridCol w:w="498"/>
        <w:gridCol w:w="498"/>
        <w:gridCol w:w="79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72" w:hRule="atLeast"/>
        </w:trPr>
        <w:tc>
          <w:tcPr>
            <w:tcW w:w="738" w:type="dxa"/>
            <w:tcBorders>
              <w:left w:val="nil"/>
              <w:right w:val="single" w:color="000000" w:sz="2" w:space="0"/>
            </w:tcBorders>
            <w:vAlign w:val="top"/>
          </w:tcPr>
          <w:p>
            <w:pPr>
              <w:spacing w:before="31" w:line="203" w:lineRule="auto"/>
              <w:ind w:left="189"/>
              <w:rPr>
                <w:rFonts w:ascii="仿宋" w:hAnsi="仿宋" w:eastAsia="仿宋" w:cs="仿宋"/>
                <w:sz w:val="21"/>
                <w:szCs w:val="21"/>
              </w:rPr>
            </w:pPr>
            <w:r>
              <w:rPr>
                <w:rFonts w:ascii="仿宋" w:hAnsi="仿宋" w:eastAsia="仿宋" w:cs="仿宋"/>
                <w:spacing w:val="-6"/>
                <w:sz w:val="21"/>
                <w:szCs w:val="21"/>
              </w:rPr>
              <w:t>月份</w:t>
            </w:r>
          </w:p>
        </w:tc>
        <w:tc>
          <w:tcPr>
            <w:tcW w:w="494" w:type="dxa"/>
            <w:tcBorders>
              <w:left w:val="single" w:color="000000" w:sz="2" w:space="0"/>
              <w:right w:val="single" w:color="000000" w:sz="2" w:space="0"/>
            </w:tcBorders>
            <w:vAlign w:val="top"/>
          </w:tcPr>
          <w:p>
            <w:pPr>
              <w:pStyle w:val="6"/>
              <w:spacing w:before="67" w:line="188" w:lineRule="auto"/>
              <w:ind w:left="215"/>
            </w:pPr>
            <w:r>
              <w:t>1</w:t>
            </w:r>
          </w:p>
        </w:tc>
        <w:tc>
          <w:tcPr>
            <w:tcW w:w="672" w:type="dxa"/>
            <w:tcBorders>
              <w:left w:val="single" w:color="000000" w:sz="2" w:space="0"/>
              <w:right w:val="single" w:color="000000" w:sz="2" w:space="0"/>
            </w:tcBorders>
            <w:vAlign w:val="top"/>
          </w:tcPr>
          <w:p>
            <w:pPr>
              <w:pStyle w:val="6"/>
              <w:spacing w:before="67" w:line="188" w:lineRule="auto"/>
              <w:ind w:left="285"/>
            </w:pPr>
            <w:r>
              <w:t>2</w:t>
            </w:r>
          </w:p>
        </w:tc>
        <w:tc>
          <w:tcPr>
            <w:tcW w:w="676" w:type="dxa"/>
            <w:tcBorders>
              <w:left w:val="single" w:color="000000" w:sz="2" w:space="0"/>
              <w:right w:val="single" w:color="000000" w:sz="2" w:space="0"/>
            </w:tcBorders>
            <w:vAlign w:val="top"/>
          </w:tcPr>
          <w:p>
            <w:pPr>
              <w:pStyle w:val="6"/>
              <w:spacing w:before="67" w:line="188" w:lineRule="auto"/>
              <w:ind w:left="291"/>
            </w:pPr>
            <w:r>
              <w:t>3</w:t>
            </w:r>
          </w:p>
        </w:tc>
        <w:tc>
          <w:tcPr>
            <w:tcW w:w="798" w:type="dxa"/>
            <w:tcBorders>
              <w:left w:val="single" w:color="000000" w:sz="2" w:space="0"/>
              <w:right w:val="single" w:color="000000" w:sz="2" w:space="0"/>
            </w:tcBorders>
            <w:vAlign w:val="top"/>
          </w:tcPr>
          <w:p>
            <w:pPr>
              <w:pStyle w:val="6"/>
              <w:spacing w:before="67" w:line="188" w:lineRule="auto"/>
              <w:ind w:left="346"/>
            </w:pPr>
            <w:r>
              <w:t>4</w:t>
            </w:r>
          </w:p>
        </w:tc>
        <w:tc>
          <w:tcPr>
            <w:tcW w:w="799" w:type="dxa"/>
            <w:tcBorders>
              <w:left w:val="single" w:color="000000" w:sz="2" w:space="0"/>
              <w:right w:val="single" w:color="000000" w:sz="2" w:space="0"/>
            </w:tcBorders>
            <w:vAlign w:val="top"/>
          </w:tcPr>
          <w:p>
            <w:pPr>
              <w:pStyle w:val="6"/>
              <w:spacing w:before="70" w:line="185" w:lineRule="auto"/>
              <w:ind w:left="355"/>
            </w:pPr>
            <w:r>
              <w:t>5</w:t>
            </w:r>
          </w:p>
        </w:tc>
        <w:tc>
          <w:tcPr>
            <w:tcW w:w="676" w:type="dxa"/>
            <w:tcBorders>
              <w:left w:val="single" w:color="000000" w:sz="2" w:space="0"/>
              <w:right w:val="single" w:color="000000" w:sz="2" w:space="0"/>
            </w:tcBorders>
            <w:vAlign w:val="top"/>
          </w:tcPr>
          <w:p>
            <w:pPr>
              <w:pStyle w:val="6"/>
              <w:spacing w:before="67" w:line="188" w:lineRule="auto"/>
              <w:ind w:left="291"/>
            </w:pPr>
            <w:r>
              <w:t>6</w:t>
            </w:r>
          </w:p>
        </w:tc>
        <w:tc>
          <w:tcPr>
            <w:tcW w:w="674" w:type="dxa"/>
            <w:tcBorders>
              <w:left w:val="single" w:color="000000" w:sz="2" w:space="0"/>
              <w:right w:val="single" w:color="000000" w:sz="2" w:space="0"/>
            </w:tcBorders>
            <w:vAlign w:val="top"/>
          </w:tcPr>
          <w:p>
            <w:pPr>
              <w:pStyle w:val="6"/>
              <w:spacing w:before="70" w:line="185" w:lineRule="auto"/>
              <w:ind w:left="289"/>
            </w:pPr>
            <w:r>
              <w:t>7</w:t>
            </w:r>
          </w:p>
        </w:tc>
        <w:tc>
          <w:tcPr>
            <w:tcW w:w="584" w:type="dxa"/>
            <w:tcBorders>
              <w:left w:val="single" w:color="000000" w:sz="2" w:space="0"/>
              <w:right w:val="single" w:color="000000" w:sz="2" w:space="0"/>
            </w:tcBorders>
            <w:vAlign w:val="top"/>
          </w:tcPr>
          <w:p>
            <w:pPr>
              <w:pStyle w:val="6"/>
              <w:spacing w:before="67" w:line="188" w:lineRule="auto"/>
              <w:ind w:left="251"/>
            </w:pPr>
            <w:r>
              <w:t>8</w:t>
            </w:r>
          </w:p>
        </w:tc>
        <w:tc>
          <w:tcPr>
            <w:tcW w:w="369" w:type="dxa"/>
            <w:tcBorders>
              <w:left w:val="single" w:color="000000" w:sz="2" w:space="0"/>
              <w:right w:val="single" w:color="000000" w:sz="2" w:space="0"/>
            </w:tcBorders>
            <w:vAlign w:val="top"/>
          </w:tcPr>
          <w:p>
            <w:pPr>
              <w:pStyle w:val="6"/>
              <w:spacing w:before="67" w:line="188" w:lineRule="auto"/>
              <w:ind w:left="139"/>
            </w:pPr>
            <w:r>
              <w:t>9</w:t>
            </w:r>
          </w:p>
        </w:tc>
        <w:tc>
          <w:tcPr>
            <w:tcW w:w="699" w:type="dxa"/>
            <w:tcBorders>
              <w:left w:val="single" w:color="000000" w:sz="2" w:space="0"/>
              <w:right w:val="single" w:color="000000" w:sz="2" w:space="0"/>
            </w:tcBorders>
            <w:vAlign w:val="top"/>
          </w:tcPr>
          <w:p>
            <w:pPr>
              <w:pStyle w:val="6"/>
              <w:spacing w:before="67" w:line="188" w:lineRule="auto"/>
              <w:ind w:left="266"/>
            </w:pPr>
            <w:r>
              <w:rPr>
                <w:spacing w:val="-6"/>
              </w:rPr>
              <w:t>10</w:t>
            </w:r>
          </w:p>
        </w:tc>
        <w:tc>
          <w:tcPr>
            <w:tcW w:w="498" w:type="dxa"/>
            <w:tcBorders>
              <w:left w:val="single" w:color="000000" w:sz="2" w:space="0"/>
              <w:right w:val="single" w:color="000000" w:sz="2" w:space="0"/>
            </w:tcBorders>
            <w:vAlign w:val="top"/>
          </w:tcPr>
          <w:p>
            <w:pPr>
              <w:pStyle w:val="6"/>
              <w:spacing w:before="67" w:line="188" w:lineRule="auto"/>
              <w:ind w:left="170"/>
            </w:pPr>
            <w:r>
              <w:rPr>
                <w:spacing w:val="-9"/>
              </w:rPr>
              <w:t>11</w:t>
            </w:r>
          </w:p>
        </w:tc>
        <w:tc>
          <w:tcPr>
            <w:tcW w:w="498" w:type="dxa"/>
            <w:tcBorders>
              <w:left w:val="single" w:color="000000" w:sz="2" w:space="0"/>
              <w:right w:val="single" w:color="000000" w:sz="2" w:space="0"/>
            </w:tcBorders>
            <w:vAlign w:val="top"/>
          </w:tcPr>
          <w:p>
            <w:pPr>
              <w:pStyle w:val="6"/>
              <w:spacing w:before="67" w:line="188" w:lineRule="auto"/>
              <w:ind w:left="166"/>
            </w:pPr>
            <w:r>
              <w:rPr>
                <w:spacing w:val="-6"/>
              </w:rPr>
              <w:t>12</w:t>
            </w:r>
          </w:p>
        </w:tc>
        <w:tc>
          <w:tcPr>
            <w:tcW w:w="797" w:type="dxa"/>
            <w:tcBorders>
              <w:left w:val="single" w:color="000000" w:sz="2" w:space="0"/>
              <w:right w:val="nil"/>
            </w:tcBorders>
            <w:vAlign w:val="top"/>
          </w:tcPr>
          <w:p>
            <w:pPr>
              <w:spacing w:before="31" w:line="203" w:lineRule="auto"/>
              <w:ind w:left="206"/>
              <w:rPr>
                <w:rFonts w:ascii="仿宋" w:hAnsi="仿宋" w:eastAsia="仿宋" w:cs="仿宋"/>
                <w:sz w:val="21"/>
                <w:szCs w:val="21"/>
              </w:rPr>
            </w:pPr>
            <w:r>
              <w:rPr>
                <w:rFonts w:ascii="仿宋" w:hAnsi="仿宋" w:eastAsia="仿宋" w:cs="仿宋"/>
                <w:spacing w:val="-5"/>
                <w:sz w:val="21"/>
                <w:szCs w:val="21"/>
              </w:rPr>
              <w:t>合计</w:t>
            </w:r>
          </w:p>
        </w:tc>
      </w:tr>
    </w:tbl>
    <w:p>
      <w:pPr>
        <w:spacing w:line="174" w:lineRule="exact"/>
        <w:rPr>
          <w:rFonts w:ascii="Arial"/>
          <w:sz w:val="15"/>
        </w:rPr>
      </w:pPr>
    </w:p>
    <w:p>
      <w:pPr>
        <w:spacing w:line="174" w:lineRule="exact"/>
        <w:rPr>
          <w:rFonts w:ascii="Arial" w:hAnsi="Arial" w:eastAsia="Arial" w:cs="Arial"/>
          <w:sz w:val="15"/>
          <w:szCs w:val="15"/>
        </w:rPr>
        <w:sectPr>
          <w:footerReference r:id="rId122" w:type="default"/>
          <w:pgSz w:w="11907" w:h="16839"/>
          <w:pgMar w:top="1298" w:right="1387" w:bottom="1373" w:left="1501" w:header="1023" w:footer="1210" w:gutter="0"/>
        </w:sectPr>
      </w:pPr>
    </w:p>
    <w:p>
      <w:pPr>
        <w:spacing w:line="120" w:lineRule="exact"/>
      </w:pPr>
    </w:p>
    <w:tbl>
      <w:tblPr>
        <w:tblStyle w:val="5"/>
        <w:tblW w:w="8972"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8"/>
        <w:gridCol w:w="494"/>
        <w:gridCol w:w="672"/>
        <w:gridCol w:w="676"/>
        <w:gridCol w:w="798"/>
        <w:gridCol w:w="799"/>
        <w:gridCol w:w="676"/>
        <w:gridCol w:w="674"/>
        <w:gridCol w:w="584"/>
        <w:gridCol w:w="369"/>
        <w:gridCol w:w="699"/>
        <w:gridCol w:w="498"/>
        <w:gridCol w:w="498"/>
        <w:gridCol w:w="79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44" w:hRule="atLeast"/>
        </w:trPr>
        <w:tc>
          <w:tcPr>
            <w:tcW w:w="738" w:type="dxa"/>
            <w:tcBorders>
              <w:left w:val="nil"/>
              <w:right w:val="single" w:color="000000" w:sz="2" w:space="0"/>
            </w:tcBorders>
            <w:vAlign w:val="top"/>
          </w:tcPr>
          <w:p>
            <w:pPr>
              <w:spacing w:before="31" w:line="239" w:lineRule="auto"/>
              <w:ind w:left="179"/>
              <w:rPr>
                <w:rFonts w:ascii="仿宋" w:hAnsi="仿宋" w:eastAsia="仿宋" w:cs="仿宋"/>
                <w:sz w:val="21"/>
                <w:szCs w:val="21"/>
              </w:rPr>
            </w:pPr>
            <w:r>
              <w:rPr>
                <w:rFonts w:ascii="仿宋" w:hAnsi="仿宋" w:eastAsia="仿宋" w:cs="仿宋"/>
                <w:spacing w:val="-4"/>
                <w:sz w:val="21"/>
                <w:szCs w:val="21"/>
              </w:rPr>
              <w:t>水稻</w:t>
            </w:r>
          </w:p>
          <w:p>
            <w:pPr>
              <w:spacing w:before="1" w:line="202" w:lineRule="auto"/>
              <w:ind w:left="180"/>
              <w:rPr>
                <w:rFonts w:ascii="仿宋" w:hAnsi="仿宋" w:eastAsia="仿宋" w:cs="仿宋"/>
                <w:sz w:val="21"/>
                <w:szCs w:val="21"/>
              </w:rPr>
            </w:pPr>
            <w:r>
              <w:rPr>
                <w:rFonts w:ascii="仿宋" w:hAnsi="仿宋" w:eastAsia="仿宋" w:cs="仿宋"/>
                <w:spacing w:val="-4"/>
                <w:sz w:val="21"/>
                <w:szCs w:val="21"/>
              </w:rPr>
              <w:t>供水</w:t>
            </w:r>
          </w:p>
        </w:tc>
        <w:tc>
          <w:tcPr>
            <w:tcW w:w="494" w:type="dxa"/>
            <w:tcBorders>
              <w:left w:val="single" w:color="000000" w:sz="2" w:space="0"/>
              <w:right w:val="single" w:color="000000" w:sz="2" w:space="0"/>
            </w:tcBorders>
            <w:vAlign w:val="top"/>
          </w:tcPr>
          <w:p>
            <w:pPr>
              <w:pStyle w:val="6"/>
              <w:spacing w:before="202" w:line="188" w:lineRule="auto"/>
              <w:ind w:left="198"/>
            </w:pPr>
            <w:r>
              <w:t>0</w:t>
            </w:r>
          </w:p>
        </w:tc>
        <w:tc>
          <w:tcPr>
            <w:tcW w:w="672" w:type="dxa"/>
            <w:tcBorders>
              <w:left w:val="single" w:color="000000" w:sz="2" w:space="0"/>
              <w:right w:val="single" w:color="000000" w:sz="2" w:space="0"/>
            </w:tcBorders>
            <w:vAlign w:val="top"/>
          </w:tcPr>
          <w:p>
            <w:pPr>
              <w:pStyle w:val="6"/>
              <w:spacing w:before="202" w:line="188" w:lineRule="auto"/>
              <w:ind w:left="289"/>
            </w:pPr>
            <w:r>
              <w:t>0</w:t>
            </w:r>
          </w:p>
        </w:tc>
        <w:tc>
          <w:tcPr>
            <w:tcW w:w="676" w:type="dxa"/>
            <w:tcBorders>
              <w:left w:val="single" w:color="000000" w:sz="2" w:space="0"/>
              <w:right w:val="single" w:color="000000" w:sz="2" w:space="0"/>
            </w:tcBorders>
            <w:vAlign w:val="top"/>
          </w:tcPr>
          <w:p>
            <w:pPr>
              <w:pStyle w:val="6"/>
              <w:spacing w:before="202" w:line="188" w:lineRule="auto"/>
              <w:ind w:left="207"/>
            </w:pPr>
            <w:r>
              <w:rPr>
                <w:spacing w:val="-2"/>
              </w:rPr>
              <w:t>2.5</w:t>
            </w:r>
          </w:p>
        </w:tc>
        <w:tc>
          <w:tcPr>
            <w:tcW w:w="798" w:type="dxa"/>
            <w:tcBorders>
              <w:left w:val="single" w:color="000000" w:sz="2" w:space="0"/>
              <w:right w:val="single" w:color="000000" w:sz="2" w:space="0"/>
            </w:tcBorders>
            <w:vAlign w:val="top"/>
          </w:tcPr>
          <w:p>
            <w:pPr>
              <w:pStyle w:val="6"/>
              <w:spacing w:before="202" w:line="188" w:lineRule="auto"/>
              <w:ind w:left="221"/>
            </w:pPr>
            <w:r>
              <w:rPr>
                <w:spacing w:val="-2"/>
              </w:rPr>
              <w:t>33.4</w:t>
            </w:r>
          </w:p>
        </w:tc>
        <w:tc>
          <w:tcPr>
            <w:tcW w:w="799" w:type="dxa"/>
            <w:tcBorders>
              <w:left w:val="single" w:color="000000" w:sz="2" w:space="0"/>
              <w:right w:val="single" w:color="000000" w:sz="2" w:space="0"/>
            </w:tcBorders>
            <w:vAlign w:val="top"/>
          </w:tcPr>
          <w:p>
            <w:pPr>
              <w:pStyle w:val="6"/>
              <w:spacing w:before="202" w:line="188" w:lineRule="auto"/>
              <w:ind w:left="165"/>
            </w:pPr>
            <w:r>
              <w:rPr>
                <w:spacing w:val="-1"/>
              </w:rPr>
              <w:t>270.3</w:t>
            </w:r>
          </w:p>
        </w:tc>
        <w:tc>
          <w:tcPr>
            <w:tcW w:w="676" w:type="dxa"/>
            <w:tcBorders>
              <w:left w:val="single" w:color="000000" w:sz="2" w:space="0"/>
              <w:right w:val="single" w:color="000000" w:sz="2" w:space="0"/>
            </w:tcBorders>
            <w:vAlign w:val="top"/>
          </w:tcPr>
          <w:p>
            <w:pPr>
              <w:pStyle w:val="6"/>
              <w:spacing w:before="202" w:line="188" w:lineRule="auto"/>
              <w:ind w:left="159"/>
            </w:pPr>
            <w:r>
              <w:rPr>
                <w:spacing w:val="-2"/>
              </w:rPr>
              <w:t>69.0</w:t>
            </w:r>
          </w:p>
        </w:tc>
        <w:tc>
          <w:tcPr>
            <w:tcW w:w="674" w:type="dxa"/>
            <w:tcBorders>
              <w:left w:val="single" w:color="000000" w:sz="2" w:space="0"/>
              <w:right w:val="single" w:color="000000" w:sz="2" w:space="0"/>
            </w:tcBorders>
            <w:vAlign w:val="top"/>
          </w:tcPr>
          <w:p>
            <w:pPr>
              <w:pStyle w:val="6"/>
              <w:spacing w:before="202" w:line="188" w:lineRule="auto"/>
              <w:ind w:left="160"/>
            </w:pPr>
            <w:r>
              <w:rPr>
                <w:spacing w:val="-3"/>
              </w:rPr>
              <w:t>57.6</w:t>
            </w:r>
          </w:p>
        </w:tc>
        <w:tc>
          <w:tcPr>
            <w:tcW w:w="584" w:type="dxa"/>
            <w:tcBorders>
              <w:left w:val="single" w:color="000000" w:sz="2" w:space="0"/>
              <w:right w:val="single" w:color="000000" w:sz="2" w:space="0"/>
            </w:tcBorders>
            <w:vAlign w:val="top"/>
          </w:tcPr>
          <w:p>
            <w:pPr>
              <w:pStyle w:val="6"/>
              <w:spacing w:before="202" w:line="188" w:lineRule="auto"/>
              <w:ind w:left="131"/>
            </w:pPr>
            <w:r>
              <w:rPr>
                <w:spacing w:val="-6"/>
              </w:rPr>
              <w:t>18.5</w:t>
            </w:r>
          </w:p>
        </w:tc>
        <w:tc>
          <w:tcPr>
            <w:tcW w:w="369" w:type="dxa"/>
            <w:tcBorders>
              <w:left w:val="single" w:color="000000" w:sz="2" w:space="0"/>
              <w:right w:val="single" w:color="000000" w:sz="2" w:space="0"/>
            </w:tcBorders>
            <w:vAlign w:val="top"/>
          </w:tcPr>
          <w:p>
            <w:pPr>
              <w:pStyle w:val="6"/>
              <w:spacing w:before="202" w:line="188" w:lineRule="auto"/>
              <w:ind w:left="137"/>
            </w:pPr>
            <w:r>
              <w:t>0</w:t>
            </w:r>
          </w:p>
        </w:tc>
        <w:tc>
          <w:tcPr>
            <w:tcW w:w="699" w:type="dxa"/>
            <w:tcBorders>
              <w:left w:val="single" w:color="000000" w:sz="2" w:space="0"/>
              <w:right w:val="single" w:color="000000" w:sz="2" w:space="0"/>
            </w:tcBorders>
            <w:vAlign w:val="top"/>
          </w:tcPr>
          <w:p>
            <w:pPr>
              <w:pStyle w:val="6"/>
              <w:spacing w:before="202" w:line="188" w:lineRule="auto"/>
              <w:ind w:left="302"/>
            </w:pPr>
            <w:r>
              <w:t>0</w:t>
            </w:r>
          </w:p>
        </w:tc>
        <w:tc>
          <w:tcPr>
            <w:tcW w:w="498" w:type="dxa"/>
            <w:tcBorders>
              <w:left w:val="single" w:color="000000" w:sz="2" w:space="0"/>
              <w:right w:val="single" w:color="000000" w:sz="2" w:space="0"/>
            </w:tcBorders>
            <w:vAlign w:val="top"/>
          </w:tcPr>
          <w:p>
            <w:pPr>
              <w:pStyle w:val="6"/>
              <w:spacing w:before="202" w:line="188" w:lineRule="auto"/>
              <w:ind w:left="201"/>
            </w:pPr>
            <w:r>
              <w:t>0</w:t>
            </w:r>
          </w:p>
        </w:tc>
        <w:tc>
          <w:tcPr>
            <w:tcW w:w="498" w:type="dxa"/>
            <w:tcBorders>
              <w:left w:val="single" w:color="000000" w:sz="2" w:space="0"/>
              <w:right w:val="single" w:color="000000" w:sz="2" w:space="0"/>
            </w:tcBorders>
            <w:vAlign w:val="top"/>
          </w:tcPr>
          <w:p>
            <w:pPr>
              <w:pStyle w:val="6"/>
              <w:spacing w:before="202" w:line="188" w:lineRule="auto"/>
              <w:ind w:left="201"/>
            </w:pPr>
            <w:r>
              <w:t>0</w:t>
            </w:r>
          </w:p>
        </w:tc>
        <w:tc>
          <w:tcPr>
            <w:tcW w:w="797" w:type="dxa"/>
            <w:tcBorders>
              <w:left w:val="single" w:color="000000" w:sz="2" w:space="0"/>
              <w:right w:val="nil"/>
            </w:tcBorders>
            <w:vAlign w:val="top"/>
          </w:tcPr>
          <w:p>
            <w:pPr>
              <w:pStyle w:val="6"/>
              <w:spacing w:before="202" w:line="188" w:lineRule="auto"/>
              <w:ind w:left="163"/>
            </w:pPr>
            <w:r>
              <w:rPr>
                <w:spacing w:val="-1"/>
              </w:rPr>
              <w:t>451.3</w:t>
            </w:r>
          </w:p>
        </w:tc>
      </w:tr>
    </w:tbl>
    <w:p>
      <w:pPr>
        <w:spacing w:before="35" w:line="220" w:lineRule="auto"/>
        <w:ind w:left="561"/>
        <w:rPr>
          <w:rFonts w:ascii="宋体" w:hAnsi="宋体" w:eastAsia="宋体" w:cs="宋体"/>
          <w:sz w:val="24"/>
          <w:szCs w:val="24"/>
        </w:rPr>
      </w:pPr>
      <w:r>
        <w:rPr>
          <w:rFonts w:ascii="宋体" w:hAnsi="宋体" w:eastAsia="宋体" w:cs="宋体"/>
          <w:spacing w:val="-6"/>
          <w:sz w:val="24"/>
          <w:szCs w:val="24"/>
        </w:rPr>
        <w:t>Ⅱ</w:t>
      </w:r>
      <w:r>
        <w:rPr>
          <w:rFonts w:ascii="Times New Roman" w:hAnsi="Times New Roman" w:eastAsia="Times New Roman" w:cs="Times New Roman"/>
          <w:spacing w:val="-6"/>
          <w:sz w:val="24"/>
          <w:szCs w:val="24"/>
        </w:rPr>
        <w:t>.</w:t>
      </w:r>
      <w:r>
        <w:rPr>
          <w:rFonts w:ascii="宋体" w:hAnsi="宋体" w:eastAsia="宋体" w:cs="宋体"/>
          <w:spacing w:val="-6"/>
          <w:sz w:val="24"/>
          <w:szCs w:val="24"/>
        </w:rPr>
        <w:t>旱作物灌溉设计</w:t>
      </w:r>
    </w:p>
    <w:p>
      <w:pPr>
        <w:spacing w:before="182" w:line="359" w:lineRule="auto"/>
        <w:ind w:left="41" w:right="107" w:firstLine="480"/>
        <w:rPr>
          <w:rFonts w:ascii="宋体" w:hAnsi="宋体" w:eastAsia="宋体" w:cs="宋体"/>
          <w:sz w:val="24"/>
          <w:szCs w:val="24"/>
        </w:rPr>
      </w:pPr>
      <w:r>
        <w:rPr>
          <w:rFonts w:ascii="宋体" w:hAnsi="宋体" w:eastAsia="宋体" w:cs="宋体"/>
          <w:sz w:val="24"/>
          <w:szCs w:val="24"/>
        </w:rPr>
        <w:t>桂花水库灌区主要旱作物有玉米、烤烟、小麦、蚕</w:t>
      </w:r>
      <w:r>
        <w:rPr>
          <w:rFonts w:ascii="宋体" w:hAnsi="宋体" w:eastAsia="宋体" w:cs="宋体"/>
          <w:spacing w:val="-1"/>
          <w:sz w:val="24"/>
          <w:szCs w:val="24"/>
        </w:rPr>
        <w:t>豆、蔬菜、油菜、蚕桑、林果</w:t>
      </w:r>
      <w:r>
        <w:rPr>
          <w:rFonts w:ascii="宋体" w:hAnsi="宋体" w:eastAsia="宋体" w:cs="宋体"/>
          <w:sz w:val="24"/>
          <w:szCs w:val="24"/>
        </w:rPr>
        <w:t xml:space="preserve"> </w:t>
      </w:r>
      <w:r>
        <w:rPr>
          <w:rFonts w:ascii="宋体" w:hAnsi="宋体" w:eastAsia="宋体" w:cs="宋体"/>
          <w:spacing w:val="-2"/>
          <w:sz w:val="24"/>
          <w:szCs w:val="24"/>
        </w:rPr>
        <w:t>等。由于灌区内水利化程度还不高，特别是旱作物，除部分地区能得到充分灌溉外，</w:t>
      </w:r>
      <w:r>
        <w:rPr>
          <w:rFonts w:ascii="宋体" w:hAnsi="宋体" w:eastAsia="宋体" w:cs="宋体"/>
          <w:spacing w:val="10"/>
          <w:sz w:val="24"/>
          <w:szCs w:val="24"/>
        </w:rPr>
        <w:t xml:space="preserve"> </w:t>
      </w:r>
      <w:r>
        <w:rPr>
          <w:rFonts w:ascii="宋体" w:hAnsi="宋体" w:eastAsia="宋体" w:cs="宋体"/>
          <w:sz w:val="24"/>
          <w:szCs w:val="24"/>
        </w:rPr>
        <w:t>大部分地区的旱作物尚无充分灌溉能力，现有水利设施仅</w:t>
      </w:r>
      <w:r>
        <w:rPr>
          <w:rFonts w:ascii="宋体" w:hAnsi="宋体" w:eastAsia="宋体" w:cs="宋体"/>
          <w:spacing w:val="-1"/>
          <w:sz w:val="24"/>
          <w:szCs w:val="24"/>
        </w:rPr>
        <w:t>能保证水稻的栽插要求。由</w:t>
      </w:r>
    </w:p>
    <w:p>
      <w:pPr>
        <w:spacing w:before="1" w:line="218" w:lineRule="auto"/>
        <w:ind w:left="43"/>
        <w:rPr>
          <w:rFonts w:ascii="宋体" w:hAnsi="宋体" w:eastAsia="宋体" w:cs="宋体"/>
          <w:sz w:val="24"/>
          <w:szCs w:val="24"/>
        </w:rPr>
      </w:pPr>
      <w:r>
        <w:rPr>
          <w:rFonts w:ascii="宋体" w:hAnsi="宋体" w:eastAsia="宋体" w:cs="宋体"/>
          <w:sz w:val="24"/>
          <w:szCs w:val="24"/>
        </w:rPr>
        <w:t>于灌区内无灌溉需水试验资料，故旱作物灌溉制度</w:t>
      </w:r>
      <w:r>
        <w:rPr>
          <w:rFonts w:ascii="宋体" w:hAnsi="宋体" w:eastAsia="宋体" w:cs="宋体"/>
          <w:spacing w:val="-1"/>
          <w:sz w:val="24"/>
          <w:szCs w:val="24"/>
        </w:rPr>
        <w:t>是通过对当地农科部门的访问调</w:t>
      </w:r>
    </w:p>
    <w:p>
      <w:pPr>
        <w:spacing w:before="182" w:line="359" w:lineRule="auto"/>
        <w:ind w:left="44" w:right="106" w:hanging="2"/>
        <w:rPr>
          <w:rFonts w:ascii="宋体" w:hAnsi="宋体" w:eastAsia="宋体" w:cs="宋体"/>
          <w:sz w:val="24"/>
          <w:szCs w:val="24"/>
        </w:rPr>
      </w:pPr>
      <w:r>
        <w:rPr>
          <w:rFonts w:ascii="宋体" w:hAnsi="宋体" w:eastAsia="宋体" w:cs="宋体"/>
          <w:sz w:val="24"/>
          <w:szCs w:val="24"/>
        </w:rPr>
        <w:t>查，并参考我州蜻蛉河大型灌区及其他中小型灌区等资</w:t>
      </w:r>
      <w:r>
        <w:rPr>
          <w:rFonts w:ascii="宋体" w:hAnsi="宋体" w:eastAsia="宋体" w:cs="宋体"/>
          <w:spacing w:val="-1"/>
          <w:sz w:val="24"/>
          <w:szCs w:val="24"/>
        </w:rPr>
        <w:t>料，按《云南省地方标准用水</w:t>
      </w:r>
      <w:r>
        <w:rPr>
          <w:rFonts w:ascii="宋体" w:hAnsi="宋体" w:eastAsia="宋体" w:cs="宋体"/>
          <w:sz w:val="24"/>
          <w:szCs w:val="24"/>
        </w:rPr>
        <w:t xml:space="preserve"> </w:t>
      </w:r>
      <w:r>
        <w:rPr>
          <w:rFonts w:ascii="宋体" w:hAnsi="宋体" w:eastAsia="宋体" w:cs="宋体"/>
          <w:spacing w:val="-6"/>
          <w:sz w:val="24"/>
          <w:szCs w:val="24"/>
        </w:rPr>
        <w:t>定额》（</w:t>
      </w:r>
      <w:r>
        <w:rPr>
          <w:rFonts w:ascii="Times New Roman" w:hAnsi="Times New Roman" w:eastAsia="Times New Roman" w:cs="Times New Roman"/>
          <w:spacing w:val="-6"/>
          <w:sz w:val="24"/>
          <w:szCs w:val="24"/>
        </w:rPr>
        <w:t>DB53T168-2019</w:t>
      </w:r>
      <w:r>
        <w:rPr>
          <w:rFonts w:ascii="宋体" w:hAnsi="宋体" w:eastAsia="宋体" w:cs="宋体"/>
          <w:spacing w:val="-6"/>
          <w:sz w:val="24"/>
          <w:szCs w:val="24"/>
        </w:rPr>
        <w:t>）综合分</w:t>
      </w:r>
      <w:r>
        <w:rPr>
          <w:rFonts w:ascii="宋体" w:hAnsi="宋体" w:eastAsia="宋体" w:cs="宋体"/>
          <w:spacing w:val="-7"/>
          <w:sz w:val="24"/>
          <w:szCs w:val="24"/>
        </w:rPr>
        <w:t>析后拟定的。</w:t>
      </w:r>
      <w:r>
        <w:rPr>
          <w:rFonts w:ascii="宋体" w:hAnsi="宋体" w:eastAsia="宋体" w:cs="宋体"/>
          <w:spacing w:val="47"/>
          <w:sz w:val="24"/>
          <w:szCs w:val="24"/>
        </w:rPr>
        <w:t xml:space="preserve"> </w:t>
      </w:r>
      <w:r>
        <w:rPr>
          <w:rFonts w:ascii="宋体" w:hAnsi="宋体" w:eastAsia="宋体" w:cs="宋体"/>
          <w:spacing w:val="-7"/>
          <w:sz w:val="24"/>
          <w:szCs w:val="24"/>
        </w:rPr>
        <w:t xml:space="preserve">灌区各种旱作物 </w:t>
      </w:r>
      <w:r>
        <w:rPr>
          <w:rFonts w:ascii="Times New Roman" w:hAnsi="Times New Roman" w:eastAsia="Times New Roman" w:cs="Times New Roman"/>
          <w:spacing w:val="-7"/>
          <w:sz w:val="24"/>
          <w:szCs w:val="24"/>
        </w:rPr>
        <w:t>P=75%</w:t>
      </w:r>
      <w:r>
        <w:rPr>
          <w:rFonts w:ascii="宋体" w:hAnsi="宋体" w:eastAsia="宋体" w:cs="宋体"/>
          <w:spacing w:val="-7"/>
          <w:sz w:val="24"/>
          <w:szCs w:val="24"/>
        </w:rPr>
        <w:t>的灌溉制度设</w:t>
      </w:r>
    </w:p>
    <w:p>
      <w:pPr>
        <w:spacing w:line="219" w:lineRule="auto"/>
        <w:ind w:left="39"/>
        <w:rPr>
          <w:rFonts w:ascii="宋体" w:hAnsi="宋体" w:eastAsia="宋体" w:cs="宋体"/>
          <w:sz w:val="24"/>
          <w:szCs w:val="24"/>
        </w:rPr>
      </w:pPr>
      <w:r>
        <w:rPr>
          <w:rFonts w:ascii="宋体" w:hAnsi="宋体" w:eastAsia="宋体" w:cs="宋体"/>
          <w:spacing w:val="-4"/>
          <w:sz w:val="24"/>
          <w:szCs w:val="24"/>
        </w:rPr>
        <w:t>计成果详见表</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2.9-</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12</w:t>
      </w:r>
      <w:r>
        <w:rPr>
          <w:rFonts w:ascii="宋体" w:hAnsi="宋体" w:eastAsia="宋体" w:cs="宋体"/>
          <w:spacing w:val="-4"/>
          <w:sz w:val="24"/>
          <w:szCs w:val="24"/>
        </w:rPr>
        <w:t>。</w:t>
      </w:r>
    </w:p>
    <w:p>
      <w:pPr>
        <w:spacing w:line="219" w:lineRule="auto"/>
        <w:rPr>
          <w:rFonts w:ascii="宋体" w:hAnsi="宋体" w:eastAsia="宋体" w:cs="宋体"/>
          <w:sz w:val="24"/>
          <w:szCs w:val="24"/>
        </w:rPr>
        <w:sectPr>
          <w:footerReference r:id="rId123" w:type="default"/>
          <w:pgSz w:w="11907" w:h="16839"/>
          <w:pgMar w:top="1298" w:right="1387" w:bottom="1374" w:left="1501" w:header="1023" w:footer="1210" w:gutter="0"/>
        </w:sectPr>
      </w:pPr>
    </w:p>
    <w:p>
      <w:pPr>
        <w:spacing w:before="264" w:line="233" w:lineRule="auto"/>
        <w:ind w:left="4404"/>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45"/>
          <w:sz w:val="21"/>
          <w:szCs w:val="21"/>
        </w:rPr>
        <w:t xml:space="preserve"> </w:t>
      </w:r>
      <w:r>
        <w:rPr>
          <w:rFonts w:ascii="Times New Roman" w:hAnsi="Times New Roman" w:eastAsia="Times New Roman" w:cs="Times New Roman"/>
          <w:b/>
          <w:bCs/>
          <w:sz w:val="21"/>
          <w:szCs w:val="21"/>
        </w:rPr>
        <w:t xml:space="preserve">2.9-12    </w:t>
      </w:r>
      <w:r>
        <w:rPr>
          <w:rFonts w:ascii="宋体" w:hAnsi="宋体" w:eastAsia="宋体" w:cs="宋体"/>
          <w:sz w:val="21"/>
          <w:szCs w:val="21"/>
          <w14:textOutline w14:w="3810" w14:cap="flat" w14:cmpd="sng">
            <w14:solidFill>
              <w14:srgbClr w14:val="000000"/>
            </w14:solidFill>
            <w14:prstDash w14:val="solid"/>
            <w14:miter w14:val="0"/>
          </w14:textOutline>
        </w:rPr>
        <w:t>规划水平年灌区旱作物灌溉制度成果表（</w:t>
      </w:r>
      <w:r>
        <w:rPr>
          <w:rFonts w:ascii="Times New Roman" w:hAnsi="Times New Roman" w:eastAsia="Times New Roman" w:cs="Times New Roman"/>
          <w:b/>
          <w:bCs/>
          <w:sz w:val="21"/>
          <w:szCs w:val="21"/>
        </w:rPr>
        <w:t>P=75%</w:t>
      </w:r>
      <w:r>
        <w:rPr>
          <w:rFonts w:ascii="宋体" w:hAnsi="宋体" w:eastAsia="宋体" w:cs="宋体"/>
          <w:sz w:val="21"/>
          <w:szCs w:val="21"/>
          <w14:textOutline w14:w="3810" w14:cap="flat" w14:cmpd="sng">
            <w14:solidFill>
              <w14:srgbClr w14:val="000000"/>
            </w14:solidFill>
            <w14:prstDash w14:val="solid"/>
            <w14:miter w14:val="0"/>
          </w14:textOutline>
        </w:rPr>
        <w:t>）</w:t>
      </w:r>
    </w:p>
    <w:p>
      <w:pPr>
        <w:spacing w:line="111" w:lineRule="exact"/>
      </w:pPr>
    </w:p>
    <w:tbl>
      <w:tblPr>
        <w:tblStyle w:val="5"/>
        <w:tblW w:w="1401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849"/>
        <w:gridCol w:w="754"/>
        <w:gridCol w:w="849"/>
        <w:gridCol w:w="584"/>
        <w:gridCol w:w="585"/>
        <w:gridCol w:w="583"/>
        <w:gridCol w:w="428"/>
        <w:gridCol w:w="263"/>
        <w:gridCol w:w="426"/>
        <w:gridCol w:w="427"/>
        <w:gridCol w:w="655"/>
        <w:gridCol w:w="654"/>
        <w:gridCol w:w="655"/>
        <w:gridCol w:w="655"/>
        <w:gridCol w:w="655"/>
        <w:gridCol w:w="584"/>
        <w:gridCol w:w="689"/>
        <w:gridCol w:w="585"/>
        <w:gridCol w:w="583"/>
        <w:gridCol w:w="438"/>
        <w:gridCol w:w="146"/>
        <w:gridCol w:w="366"/>
        <w:gridCol w:w="218"/>
        <w:gridCol w:w="5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vMerge w:val="restart"/>
            <w:tcBorders>
              <w:top w:val="single" w:color="000000" w:sz="12" w:space="0"/>
              <w:left w:val="nil"/>
              <w:bottom w:val="nil"/>
            </w:tcBorders>
            <w:vAlign w:val="top"/>
          </w:tcPr>
          <w:p>
            <w:pPr>
              <w:spacing w:before="303" w:line="239" w:lineRule="auto"/>
              <w:ind w:left="21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旱作</w:t>
            </w:r>
          </w:p>
          <w:p>
            <w:pPr>
              <w:spacing w:line="216" w:lineRule="auto"/>
              <w:ind w:left="21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849" w:type="dxa"/>
            <w:vMerge w:val="restart"/>
            <w:tcBorders>
              <w:top w:val="single" w:color="000000" w:sz="12" w:space="0"/>
              <w:bottom w:val="nil"/>
            </w:tcBorders>
            <w:vAlign w:val="top"/>
          </w:tcPr>
          <w:p>
            <w:pPr>
              <w:spacing w:before="167" w:line="229" w:lineRule="auto"/>
              <w:ind w:left="347" w:right="107" w:hanging="23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播收时</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间</w:t>
            </w:r>
          </w:p>
          <w:p>
            <w:pPr>
              <w:spacing w:before="23" w:line="219" w:lineRule="auto"/>
              <w:ind w:left="117"/>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（月）</w:t>
            </w:r>
          </w:p>
        </w:tc>
        <w:tc>
          <w:tcPr>
            <w:tcW w:w="754" w:type="dxa"/>
            <w:vMerge w:val="restart"/>
            <w:tcBorders>
              <w:top w:val="single" w:color="000000" w:sz="12" w:space="0"/>
              <w:bottom w:val="nil"/>
            </w:tcBorders>
            <w:vAlign w:val="top"/>
          </w:tcPr>
          <w:p>
            <w:pPr>
              <w:pStyle w:val="6"/>
              <w:spacing w:before="28" w:line="231" w:lineRule="auto"/>
              <w:ind w:left="130" w:right="116" w:firstLine="48"/>
              <w:jc w:val="both"/>
              <w:rPr>
                <w:rFonts w:ascii="仿宋" w:hAnsi="仿宋" w:eastAsia="仿宋" w:cs="仿宋"/>
              </w:rPr>
            </w:pPr>
            <w:r>
              <w:rPr>
                <w:rFonts w:ascii="仿宋" w:hAnsi="仿宋" w:eastAsia="仿宋" w:cs="仿宋"/>
                <w:spacing w:val="-9"/>
                <w14:textOutline w14:w="3810" w14:cap="flat" w14:cmpd="sng">
                  <w14:solidFill>
                    <w14:srgbClr w14:val="000000"/>
                  </w14:solidFill>
                  <w14:prstDash w14:val="solid"/>
                  <w14:miter w14:val="0"/>
                </w14:textOutline>
              </w:rPr>
              <w:t>灌溉</w:t>
            </w:r>
            <w:r>
              <w:rPr>
                <w:rFonts w:ascii="仿宋" w:hAnsi="仿宋" w:eastAsia="仿宋" w:cs="仿宋"/>
              </w:rPr>
              <w:t xml:space="preserve"> </w:t>
            </w:r>
            <w:r>
              <w:rPr>
                <w:rFonts w:ascii="仿宋" w:hAnsi="仿宋" w:eastAsia="仿宋" w:cs="仿宋"/>
                <w:spacing w:val="16"/>
                <w14:textOutline w14:w="3810" w14:cap="flat" w14:cmpd="sng">
                  <w14:solidFill>
                    <w14:srgbClr w14:val="000000"/>
                  </w14:solidFill>
                  <w14:prstDash w14:val="solid"/>
                  <w14:miter w14:val="0"/>
                </w14:textOutline>
              </w:rPr>
              <w:t>定额</w:t>
            </w:r>
            <w:r>
              <w:rPr>
                <w:rFonts w:ascii="仿宋" w:hAnsi="仿宋" w:eastAsia="仿宋" w:cs="仿宋"/>
              </w:rPr>
              <w:t xml:space="preserve"> </w:t>
            </w:r>
            <w:r>
              <w:rPr>
                <w:rFonts w:ascii="仿宋" w:hAnsi="仿宋" w:eastAsia="仿宋" w:cs="仿宋"/>
                <w:spacing w:val="-4"/>
                <w14:textOutline w14:w="3810" w14:cap="flat" w14:cmpd="sng">
                  <w14:solidFill>
                    <w14:srgbClr w14:val="000000"/>
                  </w14:solidFill>
                  <w14:prstDash w14:val="solid"/>
                  <w14:miter w14:val="0"/>
                </w14:textOutline>
              </w:rPr>
              <w:t>（</w:t>
            </w:r>
            <w:r>
              <w:rPr>
                <w:b/>
                <w:bCs/>
                <w:spacing w:val="-4"/>
              </w:rPr>
              <w:t>m</w:t>
            </w:r>
            <w:r>
              <w:rPr>
                <w:b/>
                <w:bCs/>
                <w:spacing w:val="-4"/>
                <w:position w:val="6"/>
                <w:sz w:val="14"/>
                <w:szCs w:val="14"/>
              </w:rPr>
              <w:t>3</w:t>
            </w:r>
            <w:r>
              <w:rPr>
                <w:b/>
                <w:bCs/>
                <w:spacing w:val="-4"/>
              </w:rPr>
              <w:t>/</w:t>
            </w:r>
            <w:r>
              <w:rPr>
                <w:b/>
                <w:bCs/>
                <w:spacing w:val="2"/>
              </w:rPr>
              <w:t xml:space="preserve"> </w:t>
            </w:r>
            <w:r>
              <w:rPr>
                <w:rFonts w:ascii="仿宋" w:hAnsi="仿宋" w:eastAsia="仿宋" w:cs="仿宋"/>
                <w:spacing w:val="9"/>
                <w14:textOutline w14:w="3810" w14:cap="flat" w14:cmpd="sng">
                  <w14:solidFill>
                    <w14:srgbClr w14:val="000000"/>
                  </w14:solidFill>
                  <w14:prstDash w14:val="solid"/>
                  <w14:miter w14:val="0"/>
                </w14:textOutline>
              </w:rPr>
              <w:t>亩）</w:t>
            </w:r>
          </w:p>
        </w:tc>
        <w:tc>
          <w:tcPr>
            <w:tcW w:w="849" w:type="dxa"/>
            <w:vMerge w:val="restart"/>
            <w:tcBorders>
              <w:top w:val="single" w:color="000000" w:sz="12" w:space="0"/>
              <w:bottom w:val="nil"/>
            </w:tcBorders>
            <w:vAlign w:val="top"/>
          </w:tcPr>
          <w:p>
            <w:pPr>
              <w:spacing w:before="167" w:line="229" w:lineRule="auto"/>
              <w:ind w:left="326" w:right="108" w:hanging="206"/>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灌水次</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数</w:t>
            </w:r>
          </w:p>
          <w:p>
            <w:pPr>
              <w:spacing w:before="23" w:line="219" w:lineRule="auto"/>
              <w:ind w:left="117"/>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（次）</w:t>
            </w:r>
          </w:p>
        </w:tc>
        <w:tc>
          <w:tcPr>
            <w:tcW w:w="10762" w:type="dxa"/>
            <w:gridSpan w:val="21"/>
            <w:tcBorders>
              <w:top w:val="single" w:color="000000" w:sz="12" w:space="0"/>
              <w:right w:val="nil"/>
            </w:tcBorders>
            <w:vAlign w:val="top"/>
          </w:tcPr>
          <w:p>
            <w:pPr>
              <w:pStyle w:val="6"/>
              <w:spacing w:before="30" w:line="207" w:lineRule="auto"/>
              <w:ind w:left="2590"/>
              <w:rPr>
                <w:rFonts w:ascii="仿宋" w:hAnsi="仿宋" w:eastAsia="仿宋" w:cs="仿宋"/>
              </w:rPr>
            </w:pPr>
            <w:r>
              <w:rPr>
                <w:rFonts w:ascii="仿宋" w:hAnsi="仿宋" w:eastAsia="仿宋" w:cs="仿宋"/>
                <w:spacing w:val="-12"/>
                <w14:textOutline w14:w="3810" w14:cap="flat" w14:cmpd="sng">
                  <w14:solidFill>
                    <w14:srgbClr w14:val="000000"/>
                  </w14:solidFill>
                  <w14:prstDash w14:val="solid"/>
                  <w14:miter w14:val="0"/>
                </w14:textOutline>
              </w:rPr>
              <w:t>灌</w:t>
            </w:r>
            <w:r>
              <w:rPr>
                <w:rFonts w:ascii="仿宋" w:hAnsi="仿宋" w:eastAsia="仿宋" w:cs="仿宋"/>
                <w:spacing w:val="-12"/>
              </w:rPr>
              <w:t xml:space="preserve">  </w:t>
            </w:r>
            <w:r>
              <w:rPr>
                <w:rFonts w:ascii="仿宋" w:hAnsi="仿宋" w:eastAsia="仿宋" w:cs="仿宋"/>
                <w:spacing w:val="-12"/>
                <w14:textOutline w14:w="3810" w14:cap="flat" w14:cmpd="sng">
                  <w14:solidFill>
                    <w14:srgbClr w14:val="000000"/>
                  </w14:solidFill>
                  <w14:prstDash w14:val="solid"/>
                  <w14:miter w14:val="0"/>
                </w14:textOutline>
              </w:rPr>
              <w:t>水</w:t>
            </w:r>
            <w:r>
              <w:rPr>
                <w:rFonts w:ascii="仿宋" w:hAnsi="仿宋" w:eastAsia="仿宋" w:cs="仿宋"/>
                <w:spacing w:val="17"/>
              </w:rPr>
              <w:t xml:space="preserve">  </w:t>
            </w:r>
            <w:r>
              <w:rPr>
                <w:rFonts w:ascii="仿宋" w:hAnsi="仿宋" w:eastAsia="仿宋" w:cs="仿宋"/>
                <w:spacing w:val="-12"/>
                <w14:textOutline w14:w="3810" w14:cap="flat" w14:cmpd="sng">
                  <w14:solidFill>
                    <w14:srgbClr w14:val="000000"/>
                  </w14:solidFill>
                  <w14:prstDash w14:val="solid"/>
                  <w14:miter w14:val="0"/>
                </w14:textOutline>
              </w:rPr>
              <w:t>时</w:t>
            </w:r>
            <w:r>
              <w:rPr>
                <w:rFonts w:ascii="仿宋" w:hAnsi="仿宋" w:eastAsia="仿宋" w:cs="仿宋"/>
                <w:spacing w:val="17"/>
              </w:rPr>
              <w:t xml:space="preserve">  </w:t>
            </w:r>
            <w:r>
              <w:rPr>
                <w:rFonts w:ascii="仿宋" w:hAnsi="仿宋" w:eastAsia="仿宋" w:cs="仿宋"/>
                <w:spacing w:val="-12"/>
                <w14:textOutline w14:w="3810" w14:cap="flat" w14:cmpd="sng">
                  <w14:solidFill>
                    <w14:srgbClr w14:val="000000"/>
                  </w14:solidFill>
                  <w14:prstDash w14:val="solid"/>
                  <w14:miter w14:val="0"/>
                </w14:textOutline>
              </w:rPr>
              <w:t>间</w:t>
            </w:r>
            <w:r>
              <w:rPr>
                <w:rFonts w:ascii="仿宋" w:hAnsi="仿宋" w:eastAsia="仿宋" w:cs="仿宋"/>
                <w:spacing w:val="2"/>
              </w:rPr>
              <w:t xml:space="preserve">  </w:t>
            </w:r>
            <w:r>
              <w:rPr>
                <w:rFonts w:ascii="仿宋" w:hAnsi="仿宋" w:eastAsia="仿宋" w:cs="仿宋"/>
                <w:spacing w:val="-12"/>
                <w14:textOutline w14:w="3810" w14:cap="flat" w14:cmpd="sng">
                  <w14:solidFill>
                    <w14:srgbClr w14:val="000000"/>
                  </w14:solidFill>
                  <w14:prstDash w14:val="solid"/>
                  <w14:miter w14:val="0"/>
                </w14:textOutline>
              </w:rPr>
              <w:t>（旬）</w:t>
            </w:r>
            <w:r>
              <w:rPr>
                <w:rFonts w:ascii="仿宋" w:hAnsi="仿宋" w:eastAsia="仿宋" w:cs="仿宋"/>
                <w:spacing w:val="46"/>
              </w:rPr>
              <w:t xml:space="preserve">  </w:t>
            </w:r>
            <w:r>
              <w:rPr>
                <w:rFonts w:ascii="仿宋" w:hAnsi="仿宋" w:eastAsia="仿宋" w:cs="仿宋"/>
                <w:spacing w:val="-12"/>
                <w14:textOutline w14:w="3810" w14:cap="flat" w14:cmpd="sng">
                  <w14:solidFill>
                    <w14:srgbClr w14:val="000000"/>
                  </w14:solidFill>
                  <w14:prstDash w14:val="solid"/>
                  <w14:miter w14:val="0"/>
                </w14:textOutline>
              </w:rPr>
              <w:t>及</w:t>
            </w:r>
            <w:r>
              <w:rPr>
                <w:rFonts w:ascii="仿宋" w:hAnsi="仿宋" w:eastAsia="仿宋" w:cs="仿宋"/>
                <w:spacing w:val="10"/>
              </w:rPr>
              <w:t xml:space="preserve">  </w:t>
            </w:r>
            <w:r>
              <w:rPr>
                <w:rFonts w:ascii="仿宋" w:hAnsi="仿宋" w:eastAsia="仿宋" w:cs="仿宋"/>
                <w:spacing w:val="-12"/>
                <w14:textOutline w14:w="3810" w14:cap="flat" w14:cmpd="sng">
                  <w14:solidFill>
                    <w14:srgbClr w14:val="000000"/>
                  </w14:solidFill>
                  <w14:prstDash w14:val="solid"/>
                  <w14:miter w14:val="0"/>
                </w14:textOutline>
              </w:rPr>
              <w:t>灌</w:t>
            </w:r>
            <w:r>
              <w:rPr>
                <w:rFonts w:ascii="仿宋" w:hAnsi="仿宋" w:eastAsia="仿宋" w:cs="仿宋"/>
                <w:spacing w:val="7"/>
              </w:rPr>
              <w:t xml:space="preserve">  </w:t>
            </w:r>
            <w:r>
              <w:rPr>
                <w:rFonts w:ascii="仿宋" w:hAnsi="仿宋" w:eastAsia="仿宋" w:cs="仿宋"/>
                <w:spacing w:val="-12"/>
                <w14:textOutline w14:w="3810" w14:cap="flat" w14:cmpd="sng">
                  <w14:solidFill>
                    <w14:srgbClr w14:val="000000"/>
                  </w14:solidFill>
                  <w14:prstDash w14:val="solid"/>
                  <w14:miter w14:val="0"/>
                </w14:textOutline>
              </w:rPr>
              <w:t>水</w:t>
            </w:r>
            <w:r>
              <w:rPr>
                <w:rFonts w:ascii="仿宋" w:hAnsi="仿宋" w:eastAsia="仿宋" w:cs="仿宋"/>
                <w:spacing w:val="10"/>
              </w:rPr>
              <w:t xml:space="preserve">  </w:t>
            </w:r>
            <w:r>
              <w:rPr>
                <w:rFonts w:ascii="仿宋" w:hAnsi="仿宋" w:eastAsia="仿宋" w:cs="仿宋"/>
                <w:spacing w:val="-12"/>
                <w14:textOutline w14:w="3810" w14:cap="flat" w14:cmpd="sng">
                  <w14:solidFill>
                    <w14:srgbClr w14:val="000000"/>
                  </w14:solidFill>
                  <w14:prstDash w14:val="solid"/>
                  <w14:miter w14:val="0"/>
                </w14:textOutline>
              </w:rPr>
              <w:t>定</w:t>
            </w:r>
            <w:r>
              <w:rPr>
                <w:rFonts w:ascii="仿宋" w:hAnsi="仿宋" w:eastAsia="仿宋" w:cs="仿宋"/>
                <w:spacing w:val="7"/>
              </w:rPr>
              <w:t xml:space="preserve">  </w:t>
            </w:r>
            <w:r>
              <w:rPr>
                <w:rFonts w:ascii="仿宋" w:hAnsi="仿宋" w:eastAsia="仿宋" w:cs="仿宋"/>
                <w:spacing w:val="-12"/>
                <w14:textOutline w14:w="3810" w14:cap="flat" w14:cmpd="sng">
                  <w14:solidFill>
                    <w14:srgbClr w14:val="000000"/>
                  </w14:solidFill>
                  <w14:prstDash w14:val="solid"/>
                  <w14:miter w14:val="0"/>
                </w14:textOutline>
              </w:rPr>
              <w:t>额</w:t>
            </w:r>
            <w:r>
              <w:rPr>
                <w:rFonts w:ascii="仿宋" w:hAnsi="仿宋" w:eastAsia="仿宋" w:cs="仿宋"/>
                <w:spacing w:val="1"/>
              </w:rPr>
              <w:t xml:space="preserve">  </w:t>
            </w:r>
            <w:r>
              <w:rPr>
                <w:rFonts w:ascii="仿宋" w:hAnsi="仿宋" w:eastAsia="仿宋" w:cs="仿宋"/>
                <w:spacing w:val="-12"/>
                <w14:textOutline w14:w="3810" w14:cap="flat" w14:cmpd="sng">
                  <w14:solidFill>
                    <w14:srgbClr w14:val="000000"/>
                  </w14:solidFill>
                  <w14:prstDash w14:val="solid"/>
                  <w14:miter w14:val="0"/>
                </w14:textOutline>
              </w:rPr>
              <w:t>（</w:t>
            </w:r>
            <w:r>
              <w:rPr>
                <w:b/>
                <w:bCs/>
                <w:spacing w:val="-12"/>
              </w:rPr>
              <w:t>m3/</w:t>
            </w:r>
            <w:r>
              <w:rPr>
                <w:rFonts w:ascii="仿宋" w:hAnsi="仿宋" w:eastAsia="仿宋" w:cs="仿宋"/>
                <w:spacing w:val="-12"/>
                <w14:textOutline w14:w="3810" w14:cap="flat" w14:cmpd="sng">
                  <w14:solidFill>
                    <w14:srgbClr w14:val="000000"/>
                  </w14:solidFill>
                  <w14:prstDash w14:val="solid"/>
                  <w14:miter w14:val="0"/>
                </w14:textOutline>
              </w:rPr>
              <w:t>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03" w:type="dxa"/>
            <w:vMerge w:val="continue"/>
            <w:tcBorders>
              <w:top w:val="nil"/>
              <w:left w:val="nil"/>
              <w:bottom w:val="nil"/>
            </w:tcBorders>
            <w:vAlign w:val="top"/>
          </w:tcPr>
          <w:p>
            <w:pPr>
              <w:rPr>
                <w:rFonts w:ascii="Arial"/>
                <w:sz w:val="21"/>
              </w:rPr>
            </w:pPr>
          </w:p>
        </w:tc>
        <w:tc>
          <w:tcPr>
            <w:tcW w:w="849" w:type="dxa"/>
            <w:vMerge w:val="continue"/>
            <w:tcBorders>
              <w:top w:val="nil"/>
              <w:bottom w:val="nil"/>
            </w:tcBorders>
            <w:vAlign w:val="top"/>
          </w:tcPr>
          <w:p>
            <w:pPr>
              <w:rPr>
                <w:rFonts w:ascii="Arial"/>
                <w:sz w:val="21"/>
              </w:rPr>
            </w:pPr>
          </w:p>
        </w:tc>
        <w:tc>
          <w:tcPr>
            <w:tcW w:w="754" w:type="dxa"/>
            <w:vMerge w:val="continue"/>
            <w:tcBorders>
              <w:top w:val="nil"/>
              <w:bottom w:val="nil"/>
            </w:tcBorders>
            <w:vAlign w:val="top"/>
          </w:tcPr>
          <w:p>
            <w:pPr>
              <w:rPr>
                <w:rFonts w:ascii="Arial"/>
                <w:sz w:val="21"/>
              </w:rPr>
            </w:pPr>
          </w:p>
        </w:tc>
        <w:tc>
          <w:tcPr>
            <w:tcW w:w="849" w:type="dxa"/>
            <w:vMerge w:val="continue"/>
            <w:tcBorders>
              <w:top w:val="nil"/>
              <w:bottom w:val="nil"/>
            </w:tcBorders>
            <w:vAlign w:val="top"/>
          </w:tcPr>
          <w:p>
            <w:pPr>
              <w:rPr>
                <w:rFonts w:ascii="Arial"/>
                <w:sz w:val="21"/>
              </w:rPr>
            </w:pPr>
          </w:p>
        </w:tc>
        <w:tc>
          <w:tcPr>
            <w:tcW w:w="1752" w:type="dxa"/>
            <w:gridSpan w:val="3"/>
            <w:vAlign w:val="top"/>
          </w:tcPr>
          <w:p>
            <w:pPr>
              <w:spacing w:before="32" w:line="206" w:lineRule="auto"/>
              <w:ind w:left="519"/>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一</w:t>
            </w:r>
            <w:r>
              <w:rPr>
                <w:rFonts w:ascii="仿宋" w:hAnsi="仿宋" w:eastAsia="仿宋" w:cs="仿宋"/>
                <w:spacing w:val="8"/>
                <w:sz w:val="21"/>
                <w:szCs w:val="21"/>
              </w:rPr>
              <w:t xml:space="preserve">   </w:t>
            </w:r>
            <w:r>
              <w:rPr>
                <w:rFonts w:ascii="仿宋" w:hAnsi="仿宋" w:eastAsia="仿宋" w:cs="仿宋"/>
                <w:spacing w:val="-9"/>
                <w:sz w:val="21"/>
                <w:szCs w:val="21"/>
                <w14:textOutline w14:w="3810" w14:cap="flat" w14:cmpd="sng">
                  <w14:solidFill>
                    <w14:srgbClr w14:val="000000"/>
                  </w14:solidFill>
                  <w14:prstDash w14:val="solid"/>
                  <w14:miter w14:val="0"/>
                </w14:textOutline>
              </w:rPr>
              <w:t>月</w:t>
            </w:r>
          </w:p>
        </w:tc>
        <w:tc>
          <w:tcPr>
            <w:tcW w:w="1544" w:type="dxa"/>
            <w:gridSpan w:val="4"/>
            <w:vAlign w:val="top"/>
          </w:tcPr>
          <w:p>
            <w:pPr>
              <w:spacing w:before="32" w:line="206" w:lineRule="auto"/>
              <w:ind w:left="419"/>
              <w:rPr>
                <w:rFonts w:ascii="仿宋" w:hAnsi="仿宋" w:eastAsia="仿宋" w:cs="仿宋"/>
                <w:sz w:val="21"/>
                <w:szCs w:val="21"/>
              </w:rPr>
            </w:pPr>
            <w:r>
              <w:rPr>
                <w:rFonts w:ascii="仿宋" w:hAnsi="仿宋" w:eastAsia="仿宋" w:cs="仿宋"/>
                <w:spacing w:val="-11"/>
                <w:sz w:val="21"/>
                <w:szCs w:val="21"/>
                <w14:textOutline w14:w="3810" w14:cap="flat" w14:cmpd="sng">
                  <w14:solidFill>
                    <w14:srgbClr w14:val="000000"/>
                  </w14:solidFill>
                  <w14:prstDash w14:val="solid"/>
                  <w14:miter w14:val="0"/>
                </w14:textOutline>
              </w:rPr>
              <w:t>二</w:t>
            </w:r>
            <w:r>
              <w:rPr>
                <w:rFonts w:ascii="仿宋" w:hAnsi="仿宋" w:eastAsia="仿宋" w:cs="仿宋"/>
                <w:spacing w:val="9"/>
                <w:sz w:val="21"/>
                <w:szCs w:val="21"/>
              </w:rPr>
              <w:t xml:space="preserve">   </w:t>
            </w:r>
            <w:r>
              <w:rPr>
                <w:rFonts w:ascii="仿宋" w:hAnsi="仿宋" w:eastAsia="仿宋" w:cs="仿宋"/>
                <w:spacing w:val="-11"/>
                <w:sz w:val="21"/>
                <w:szCs w:val="21"/>
                <w14:textOutline w14:w="3810" w14:cap="flat" w14:cmpd="sng">
                  <w14:solidFill>
                    <w14:srgbClr w14:val="000000"/>
                  </w14:solidFill>
                  <w14:prstDash w14:val="solid"/>
                  <w14:miter w14:val="0"/>
                </w14:textOutline>
              </w:rPr>
              <w:t>月</w:t>
            </w:r>
          </w:p>
        </w:tc>
        <w:tc>
          <w:tcPr>
            <w:tcW w:w="1964" w:type="dxa"/>
            <w:gridSpan w:val="3"/>
            <w:vAlign w:val="top"/>
          </w:tcPr>
          <w:p>
            <w:pPr>
              <w:spacing w:before="32" w:line="206" w:lineRule="auto"/>
              <w:ind w:left="627"/>
              <w:rPr>
                <w:rFonts w:ascii="仿宋" w:hAnsi="仿宋" w:eastAsia="仿宋" w:cs="仿宋"/>
                <w:sz w:val="21"/>
                <w:szCs w:val="21"/>
              </w:rPr>
            </w:pPr>
            <w:r>
              <w:rPr>
                <w:rFonts w:ascii="仿宋" w:hAnsi="仿宋" w:eastAsia="仿宋" w:cs="仿宋"/>
                <w:spacing w:val="-10"/>
                <w:sz w:val="21"/>
                <w:szCs w:val="21"/>
                <w14:textOutline w14:w="3810" w14:cap="flat" w14:cmpd="sng">
                  <w14:solidFill>
                    <w14:srgbClr w14:val="000000"/>
                  </w14:solidFill>
                  <w14:prstDash w14:val="solid"/>
                  <w14:miter w14:val="0"/>
                </w14:textOutline>
              </w:rPr>
              <w:t>三</w:t>
            </w:r>
            <w:r>
              <w:rPr>
                <w:rFonts w:ascii="仿宋" w:hAnsi="仿宋" w:eastAsia="仿宋" w:cs="仿宋"/>
                <w:spacing w:val="8"/>
                <w:sz w:val="21"/>
                <w:szCs w:val="21"/>
              </w:rPr>
              <w:t xml:space="preserve">   </w:t>
            </w:r>
            <w:r>
              <w:rPr>
                <w:rFonts w:ascii="仿宋" w:hAnsi="仿宋" w:eastAsia="仿宋" w:cs="仿宋"/>
                <w:spacing w:val="-10"/>
                <w:sz w:val="21"/>
                <w:szCs w:val="21"/>
                <w14:textOutline w14:w="3810" w14:cap="flat" w14:cmpd="sng">
                  <w14:solidFill>
                    <w14:srgbClr w14:val="000000"/>
                  </w14:solidFill>
                  <w14:prstDash w14:val="solid"/>
                  <w14:miter w14:val="0"/>
                </w14:textOutline>
              </w:rPr>
              <w:t>月</w:t>
            </w:r>
          </w:p>
        </w:tc>
        <w:tc>
          <w:tcPr>
            <w:tcW w:w="1894" w:type="dxa"/>
            <w:gridSpan w:val="3"/>
            <w:vAlign w:val="top"/>
          </w:tcPr>
          <w:p>
            <w:pPr>
              <w:spacing w:before="32" w:line="206" w:lineRule="auto"/>
              <w:ind w:left="611"/>
              <w:rPr>
                <w:rFonts w:ascii="仿宋" w:hAnsi="仿宋" w:eastAsia="仿宋" w:cs="仿宋"/>
                <w:sz w:val="21"/>
                <w:szCs w:val="21"/>
              </w:rPr>
            </w:pPr>
            <w:r>
              <w:rPr>
                <w:rFonts w:ascii="仿宋" w:hAnsi="仿宋" w:eastAsia="仿宋" w:cs="仿宋"/>
                <w:spacing w:val="-20"/>
                <w:sz w:val="21"/>
                <w:szCs w:val="21"/>
                <w14:textOutline w14:w="3810" w14:cap="flat" w14:cmpd="sng">
                  <w14:solidFill>
                    <w14:srgbClr w14:val="000000"/>
                  </w14:solidFill>
                  <w14:prstDash w14:val="solid"/>
                  <w14:miter w14:val="0"/>
                </w14:textOutline>
              </w:rPr>
              <w:t>四</w:t>
            </w:r>
            <w:r>
              <w:rPr>
                <w:rFonts w:ascii="仿宋" w:hAnsi="仿宋" w:eastAsia="仿宋" w:cs="仿宋"/>
                <w:spacing w:val="9"/>
                <w:sz w:val="21"/>
                <w:szCs w:val="21"/>
              </w:rPr>
              <w:t xml:space="preserve">   </w:t>
            </w:r>
            <w:r>
              <w:rPr>
                <w:rFonts w:ascii="仿宋" w:hAnsi="仿宋" w:eastAsia="仿宋" w:cs="仿宋"/>
                <w:spacing w:val="-20"/>
                <w:sz w:val="21"/>
                <w:szCs w:val="21"/>
                <w14:textOutline w14:w="3810" w14:cap="flat" w14:cmpd="sng">
                  <w14:solidFill>
                    <w14:srgbClr w14:val="000000"/>
                  </w14:solidFill>
                  <w14:prstDash w14:val="solid"/>
                  <w14:miter w14:val="0"/>
                </w14:textOutline>
              </w:rPr>
              <w:t>月</w:t>
            </w:r>
          </w:p>
        </w:tc>
        <w:tc>
          <w:tcPr>
            <w:tcW w:w="1857" w:type="dxa"/>
            <w:gridSpan w:val="3"/>
            <w:vAlign w:val="top"/>
          </w:tcPr>
          <w:p>
            <w:pPr>
              <w:spacing w:before="32" w:line="206" w:lineRule="auto"/>
              <w:ind w:left="572"/>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五</w:t>
            </w:r>
            <w:r>
              <w:rPr>
                <w:rFonts w:ascii="仿宋" w:hAnsi="仿宋" w:eastAsia="仿宋" w:cs="仿宋"/>
                <w:spacing w:val="8"/>
                <w:sz w:val="21"/>
                <w:szCs w:val="21"/>
              </w:rPr>
              <w:t xml:space="preserve">   </w:t>
            </w:r>
            <w:r>
              <w:rPr>
                <w:rFonts w:ascii="仿宋" w:hAnsi="仿宋" w:eastAsia="仿宋" w:cs="仿宋"/>
                <w:spacing w:val="-9"/>
                <w:sz w:val="21"/>
                <w:szCs w:val="21"/>
                <w14:textOutline w14:w="3810" w14:cap="flat" w14:cmpd="sng">
                  <w14:solidFill>
                    <w14:srgbClr w14:val="000000"/>
                  </w14:solidFill>
                  <w14:prstDash w14:val="solid"/>
                  <w14:miter w14:val="0"/>
                </w14:textOutline>
              </w:rPr>
              <w:t>月</w:t>
            </w:r>
          </w:p>
        </w:tc>
        <w:tc>
          <w:tcPr>
            <w:tcW w:w="1751" w:type="dxa"/>
            <w:gridSpan w:val="5"/>
            <w:tcBorders>
              <w:right w:val="nil"/>
            </w:tcBorders>
            <w:vAlign w:val="top"/>
          </w:tcPr>
          <w:p>
            <w:pPr>
              <w:spacing w:before="32" w:line="206" w:lineRule="auto"/>
              <w:ind w:left="518"/>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六</w:t>
            </w:r>
            <w:r>
              <w:rPr>
                <w:rFonts w:ascii="仿宋" w:hAnsi="仿宋" w:eastAsia="仿宋" w:cs="仿宋"/>
                <w:spacing w:val="8"/>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7" w:hRule="atLeast"/>
        </w:trPr>
        <w:tc>
          <w:tcPr>
            <w:tcW w:w="803" w:type="dxa"/>
            <w:vMerge w:val="continue"/>
            <w:tcBorders>
              <w:top w:val="nil"/>
              <w:left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754"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584" w:type="dxa"/>
            <w:vAlign w:val="top"/>
          </w:tcPr>
          <w:p>
            <w:pPr>
              <w:spacing w:before="158" w:line="232" w:lineRule="auto"/>
              <w:ind w:left="197"/>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585" w:type="dxa"/>
            <w:vAlign w:val="top"/>
          </w:tcPr>
          <w:p>
            <w:pPr>
              <w:spacing w:before="159" w:line="218" w:lineRule="auto"/>
              <w:ind w:left="222"/>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583" w:type="dxa"/>
            <w:vAlign w:val="top"/>
          </w:tcPr>
          <w:p>
            <w:pPr>
              <w:spacing w:before="159" w:line="218" w:lineRule="auto"/>
              <w:ind w:left="198"/>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c>
          <w:tcPr>
            <w:tcW w:w="428" w:type="dxa"/>
            <w:vAlign w:val="top"/>
          </w:tcPr>
          <w:p>
            <w:pPr>
              <w:spacing w:before="158" w:line="232" w:lineRule="auto"/>
              <w:ind w:left="119"/>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689" w:type="dxa"/>
            <w:gridSpan w:val="2"/>
            <w:vAlign w:val="top"/>
          </w:tcPr>
          <w:p>
            <w:pPr>
              <w:spacing w:before="159" w:line="218" w:lineRule="auto"/>
              <w:ind w:left="275"/>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427" w:type="dxa"/>
            <w:vAlign w:val="top"/>
          </w:tcPr>
          <w:p>
            <w:pPr>
              <w:spacing w:before="159" w:line="218" w:lineRule="auto"/>
              <w:ind w:left="122"/>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c>
          <w:tcPr>
            <w:tcW w:w="655" w:type="dxa"/>
            <w:vAlign w:val="top"/>
          </w:tcPr>
          <w:p>
            <w:pPr>
              <w:spacing w:before="158" w:line="232" w:lineRule="auto"/>
              <w:ind w:left="231"/>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654" w:type="dxa"/>
            <w:vAlign w:val="top"/>
          </w:tcPr>
          <w:p>
            <w:pPr>
              <w:spacing w:before="159" w:line="218" w:lineRule="auto"/>
              <w:ind w:left="256"/>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655" w:type="dxa"/>
            <w:vAlign w:val="top"/>
          </w:tcPr>
          <w:p>
            <w:pPr>
              <w:spacing w:before="159" w:line="218" w:lineRule="auto"/>
              <w:ind w:left="234"/>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c>
          <w:tcPr>
            <w:tcW w:w="655" w:type="dxa"/>
            <w:vAlign w:val="top"/>
          </w:tcPr>
          <w:p>
            <w:pPr>
              <w:spacing w:before="158" w:line="232" w:lineRule="auto"/>
              <w:ind w:left="232"/>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655" w:type="dxa"/>
            <w:vAlign w:val="top"/>
          </w:tcPr>
          <w:p>
            <w:pPr>
              <w:spacing w:before="159" w:line="218" w:lineRule="auto"/>
              <w:ind w:left="258"/>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584" w:type="dxa"/>
            <w:vAlign w:val="top"/>
          </w:tcPr>
          <w:p>
            <w:pPr>
              <w:spacing w:before="159" w:line="218" w:lineRule="auto"/>
              <w:ind w:left="200"/>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c>
          <w:tcPr>
            <w:tcW w:w="689" w:type="dxa"/>
            <w:vAlign w:val="top"/>
          </w:tcPr>
          <w:p>
            <w:pPr>
              <w:spacing w:before="158" w:line="232" w:lineRule="auto"/>
              <w:ind w:left="250"/>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585" w:type="dxa"/>
            <w:vAlign w:val="top"/>
          </w:tcPr>
          <w:p>
            <w:pPr>
              <w:spacing w:before="159" w:line="218" w:lineRule="auto"/>
              <w:ind w:left="223"/>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583" w:type="dxa"/>
            <w:vAlign w:val="top"/>
          </w:tcPr>
          <w:p>
            <w:pPr>
              <w:spacing w:before="159" w:line="218" w:lineRule="auto"/>
              <w:ind w:left="198"/>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c>
          <w:tcPr>
            <w:tcW w:w="584" w:type="dxa"/>
            <w:gridSpan w:val="2"/>
            <w:vAlign w:val="top"/>
          </w:tcPr>
          <w:p>
            <w:pPr>
              <w:spacing w:before="158" w:line="232" w:lineRule="auto"/>
              <w:ind w:left="197"/>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584" w:type="dxa"/>
            <w:gridSpan w:val="2"/>
            <w:vAlign w:val="top"/>
          </w:tcPr>
          <w:p>
            <w:pPr>
              <w:spacing w:before="159" w:line="218" w:lineRule="auto"/>
              <w:ind w:left="224"/>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583" w:type="dxa"/>
            <w:tcBorders>
              <w:right w:val="nil"/>
            </w:tcBorders>
            <w:vAlign w:val="top"/>
          </w:tcPr>
          <w:p>
            <w:pPr>
              <w:spacing w:before="159" w:line="218" w:lineRule="auto"/>
              <w:ind w:left="200"/>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35" w:line="203" w:lineRule="auto"/>
              <w:ind w:left="211"/>
              <w:rPr>
                <w:rFonts w:ascii="仿宋" w:hAnsi="仿宋" w:eastAsia="仿宋" w:cs="仿宋"/>
                <w:sz w:val="21"/>
                <w:szCs w:val="21"/>
              </w:rPr>
            </w:pPr>
            <w:r>
              <w:rPr>
                <w:rFonts w:ascii="仿宋" w:hAnsi="仿宋" w:eastAsia="仿宋" w:cs="仿宋"/>
                <w:spacing w:val="-4"/>
                <w:sz w:val="21"/>
                <w:szCs w:val="21"/>
              </w:rPr>
              <w:t>水稻</w:t>
            </w:r>
          </w:p>
        </w:tc>
        <w:tc>
          <w:tcPr>
            <w:tcW w:w="849" w:type="dxa"/>
            <w:vAlign w:val="top"/>
          </w:tcPr>
          <w:p>
            <w:pPr>
              <w:pStyle w:val="6"/>
              <w:spacing w:before="69" w:line="195" w:lineRule="auto"/>
              <w:ind w:left="267"/>
            </w:pPr>
            <w:r>
              <w:rPr>
                <w:spacing w:val="-4"/>
              </w:rPr>
              <w:t>5~9</w:t>
            </w:r>
          </w:p>
        </w:tc>
        <w:tc>
          <w:tcPr>
            <w:tcW w:w="754" w:type="dxa"/>
            <w:vAlign w:val="top"/>
          </w:tcPr>
          <w:p>
            <w:pPr>
              <w:pStyle w:val="6"/>
              <w:spacing w:before="71" w:line="188" w:lineRule="auto"/>
              <w:ind w:left="162"/>
            </w:pPr>
            <w:r>
              <w:rPr>
                <w:spacing w:val="-5"/>
              </w:rPr>
              <w:t>151.3</w:t>
            </w:r>
          </w:p>
        </w:tc>
        <w:tc>
          <w:tcPr>
            <w:tcW w:w="849" w:type="dxa"/>
            <w:vAlign w:val="top"/>
          </w:tcPr>
          <w:p>
            <w:pPr>
              <w:spacing w:before="35" w:line="203"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28" w:type="dxa"/>
            <w:vAlign w:val="top"/>
          </w:tcPr>
          <w:p>
            <w:pPr>
              <w:rPr>
                <w:rFonts w:ascii="Arial"/>
                <w:sz w:val="21"/>
              </w:rPr>
            </w:pP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pStyle w:val="6"/>
              <w:spacing w:before="71" w:line="188" w:lineRule="auto"/>
              <w:ind w:left="162"/>
            </w:pPr>
            <w:r>
              <w:rPr>
                <w:spacing w:val="-6"/>
              </w:rPr>
              <w:t>19.6</w:t>
            </w:r>
          </w:p>
        </w:tc>
        <w:tc>
          <w:tcPr>
            <w:tcW w:w="654" w:type="dxa"/>
            <w:vAlign w:val="top"/>
          </w:tcPr>
          <w:p>
            <w:pPr>
              <w:pStyle w:val="6"/>
              <w:spacing w:before="71" w:line="188" w:lineRule="auto"/>
              <w:ind w:left="214"/>
            </w:pPr>
            <w:r>
              <w:rPr>
                <w:spacing w:val="-8"/>
              </w:rPr>
              <w:t>1.1</w:t>
            </w:r>
          </w:p>
        </w:tc>
        <w:tc>
          <w:tcPr>
            <w:tcW w:w="655" w:type="dxa"/>
            <w:vAlign w:val="top"/>
          </w:tcPr>
          <w:p>
            <w:pPr>
              <w:pStyle w:val="6"/>
              <w:spacing w:before="71" w:line="188" w:lineRule="auto"/>
              <w:ind w:left="214"/>
            </w:pPr>
            <w:r>
              <w:rPr>
                <w:spacing w:val="-8"/>
              </w:rPr>
              <w:t>1.1</w:t>
            </w:r>
          </w:p>
        </w:tc>
        <w:tc>
          <w:tcPr>
            <w:tcW w:w="655" w:type="dxa"/>
            <w:vAlign w:val="top"/>
          </w:tcPr>
          <w:p>
            <w:pPr>
              <w:pStyle w:val="6"/>
              <w:spacing w:before="71" w:line="188" w:lineRule="auto"/>
              <w:ind w:left="215"/>
            </w:pPr>
            <w:r>
              <w:rPr>
                <w:spacing w:val="-8"/>
              </w:rPr>
              <w:t>1.1</w:t>
            </w:r>
          </w:p>
        </w:tc>
        <w:tc>
          <w:tcPr>
            <w:tcW w:w="655" w:type="dxa"/>
            <w:vAlign w:val="top"/>
          </w:tcPr>
          <w:p>
            <w:pPr>
              <w:pStyle w:val="6"/>
              <w:spacing w:before="71" w:line="188" w:lineRule="auto"/>
              <w:ind w:left="216"/>
            </w:pPr>
            <w:r>
              <w:rPr>
                <w:spacing w:val="-8"/>
              </w:rPr>
              <w:t>1.1</w:t>
            </w:r>
          </w:p>
        </w:tc>
        <w:tc>
          <w:tcPr>
            <w:tcW w:w="584" w:type="dxa"/>
            <w:vAlign w:val="top"/>
          </w:tcPr>
          <w:p>
            <w:pPr>
              <w:pStyle w:val="6"/>
              <w:spacing w:before="71" w:line="188" w:lineRule="auto"/>
              <w:ind w:left="113"/>
            </w:pPr>
            <w:r>
              <w:rPr>
                <w:spacing w:val="-2"/>
              </w:rPr>
              <w:t>36.6</w:t>
            </w:r>
          </w:p>
        </w:tc>
        <w:tc>
          <w:tcPr>
            <w:tcW w:w="689" w:type="dxa"/>
            <w:vAlign w:val="top"/>
          </w:tcPr>
          <w:p>
            <w:pPr>
              <w:pStyle w:val="6"/>
              <w:spacing w:before="71" w:line="188" w:lineRule="auto"/>
              <w:ind w:left="128"/>
            </w:pPr>
            <w:r>
              <w:rPr>
                <w:spacing w:val="-5"/>
              </w:rPr>
              <w:t>123.5</w:t>
            </w:r>
          </w:p>
        </w:tc>
        <w:tc>
          <w:tcPr>
            <w:tcW w:w="585" w:type="dxa"/>
            <w:vAlign w:val="top"/>
          </w:tcPr>
          <w:p>
            <w:pPr>
              <w:pStyle w:val="6"/>
              <w:spacing w:before="71" w:line="188" w:lineRule="auto"/>
              <w:ind w:left="117"/>
            </w:pPr>
            <w:r>
              <w:rPr>
                <w:spacing w:val="-3"/>
              </w:rPr>
              <w:t>89.5</w:t>
            </w:r>
          </w:p>
        </w:tc>
        <w:tc>
          <w:tcPr>
            <w:tcW w:w="583" w:type="dxa"/>
            <w:vAlign w:val="top"/>
          </w:tcPr>
          <w:p>
            <w:pPr>
              <w:pStyle w:val="6"/>
              <w:spacing w:before="71" w:line="188" w:lineRule="auto"/>
              <w:ind w:left="112"/>
            </w:pPr>
            <w:r>
              <w:rPr>
                <w:spacing w:val="-3"/>
              </w:rPr>
              <w:t>57.3</w:t>
            </w:r>
          </w:p>
        </w:tc>
        <w:tc>
          <w:tcPr>
            <w:tcW w:w="584" w:type="dxa"/>
            <w:gridSpan w:val="2"/>
            <w:vAlign w:val="top"/>
          </w:tcPr>
          <w:p>
            <w:pPr>
              <w:pStyle w:val="6"/>
              <w:spacing w:before="71" w:line="188" w:lineRule="auto"/>
              <w:ind w:left="112"/>
            </w:pPr>
            <w:r>
              <w:rPr>
                <w:spacing w:val="-2"/>
              </w:rPr>
              <w:t>7.69</w:t>
            </w:r>
          </w:p>
        </w:tc>
        <w:tc>
          <w:tcPr>
            <w:tcW w:w="584" w:type="dxa"/>
            <w:gridSpan w:val="2"/>
            <w:vAlign w:val="top"/>
          </w:tcPr>
          <w:p>
            <w:pPr>
              <w:pStyle w:val="6"/>
              <w:spacing w:before="71" w:line="188" w:lineRule="auto"/>
              <w:ind w:left="109"/>
            </w:pPr>
            <w:r>
              <w:rPr>
                <w:spacing w:val="-1"/>
              </w:rPr>
              <w:t>20.1</w:t>
            </w:r>
          </w:p>
        </w:tc>
        <w:tc>
          <w:tcPr>
            <w:tcW w:w="583" w:type="dxa"/>
            <w:tcBorders>
              <w:right w:val="nil"/>
            </w:tcBorders>
            <w:vAlign w:val="top"/>
          </w:tcPr>
          <w:p>
            <w:pPr>
              <w:pStyle w:val="6"/>
              <w:spacing w:before="71" w:line="188" w:lineRule="auto"/>
              <w:ind w:left="107"/>
            </w:pPr>
            <w:r>
              <w:rPr>
                <w:spacing w:val="-1"/>
              </w:rPr>
              <w:t>41.2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03" w:type="dxa"/>
            <w:tcBorders>
              <w:left w:val="nil"/>
            </w:tcBorders>
            <w:vAlign w:val="top"/>
          </w:tcPr>
          <w:p>
            <w:pPr>
              <w:spacing w:before="37" w:line="202" w:lineRule="auto"/>
              <w:ind w:left="216"/>
              <w:rPr>
                <w:rFonts w:ascii="仿宋" w:hAnsi="仿宋" w:eastAsia="仿宋" w:cs="仿宋"/>
                <w:sz w:val="21"/>
                <w:szCs w:val="21"/>
              </w:rPr>
            </w:pPr>
            <w:r>
              <w:rPr>
                <w:rFonts w:ascii="仿宋" w:hAnsi="仿宋" w:eastAsia="仿宋" w:cs="仿宋"/>
                <w:spacing w:val="-5"/>
                <w:sz w:val="21"/>
                <w:szCs w:val="21"/>
              </w:rPr>
              <w:t>玉米</w:t>
            </w:r>
          </w:p>
        </w:tc>
        <w:tc>
          <w:tcPr>
            <w:tcW w:w="849" w:type="dxa"/>
            <w:vAlign w:val="top"/>
          </w:tcPr>
          <w:p>
            <w:pPr>
              <w:pStyle w:val="6"/>
              <w:spacing w:before="71" w:line="194" w:lineRule="auto"/>
              <w:ind w:left="267"/>
            </w:pPr>
            <w:r>
              <w:rPr>
                <w:spacing w:val="-4"/>
              </w:rPr>
              <w:t>5~9</w:t>
            </w:r>
          </w:p>
        </w:tc>
        <w:tc>
          <w:tcPr>
            <w:tcW w:w="754" w:type="dxa"/>
            <w:vAlign w:val="top"/>
          </w:tcPr>
          <w:p>
            <w:pPr>
              <w:pStyle w:val="6"/>
              <w:spacing w:before="73" w:line="188" w:lineRule="auto"/>
              <w:ind w:left="165"/>
            </w:pPr>
            <w:r>
              <w:rPr>
                <w:spacing w:val="-7"/>
              </w:rPr>
              <w:t>110.0</w:t>
            </w:r>
          </w:p>
        </w:tc>
        <w:tc>
          <w:tcPr>
            <w:tcW w:w="849" w:type="dxa"/>
            <w:vAlign w:val="top"/>
          </w:tcPr>
          <w:p>
            <w:pPr>
              <w:pStyle w:val="6"/>
              <w:spacing w:before="73" w:line="188" w:lineRule="auto"/>
              <w:ind w:left="376"/>
            </w:pPr>
            <w:r>
              <w:t>3</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28" w:type="dxa"/>
            <w:vAlign w:val="top"/>
          </w:tcPr>
          <w:p>
            <w:pPr>
              <w:rPr>
                <w:rFonts w:ascii="Arial"/>
                <w:sz w:val="21"/>
              </w:rPr>
            </w:pP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pStyle w:val="6"/>
              <w:spacing w:before="73" w:line="188" w:lineRule="auto"/>
              <w:ind w:left="193"/>
            </w:pPr>
            <w:r>
              <w:rPr>
                <w:spacing w:val="-3"/>
              </w:rPr>
              <w:t>50</w:t>
            </w:r>
          </w:p>
        </w:tc>
        <w:tc>
          <w:tcPr>
            <w:tcW w:w="583" w:type="dxa"/>
            <w:vAlign w:val="top"/>
          </w:tcPr>
          <w:p>
            <w:pPr>
              <w:rPr>
                <w:rFonts w:ascii="Arial"/>
                <w:sz w:val="21"/>
              </w:rPr>
            </w:pPr>
          </w:p>
        </w:tc>
        <w:tc>
          <w:tcPr>
            <w:tcW w:w="584" w:type="dxa"/>
            <w:gridSpan w:val="2"/>
            <w:vAlign w:val="top"/>
          </w:tcPr>
          <w:p>
            <w:pPr>
              <w:rPr>
                <w:rFonts w:ascii="Arial"/>
                <w:sz w:val="21"/>
              </w:rPr>
            </w:pPr>
          </w:p>
        </w:tc>
        <w:tc>
          <w:tcPr>
            <w:tcW w:w="584" w:type="dxa"/>
            <w:gridSpan w:val="2"/>
            <w:vAlign w:val="top"/>
          </w:tcPr>
          <w:p>
            <w:pPr>
              <w:pStyle w:val="6"/>
              <w:spacing w:before="73" w:line="188" w:lineRule="auto"/>
              <w:ind w:left="194"/>
            </w:pPr>
            <w:r>
              <w:rPr>
                <w:spacing w:val="-3"/>
              </w:rPr>
              <w:t>50</w:t>
            </w:r>
          </w:p>
        </w:tc>
        <w:tc>
          <w:tcPr>
            <w:tcW w:w="58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37" w:line="201" w:lineRule="auto"/>
              <w:ind w:left="211"/>
              <w:rPr>
                <w:rFonts w:ascii="仿宋" w:hAnsi="仿宋" w:eastAsia="仿宋" w:cs="仿宋"/>
                <w:sz w:val="21"/>
                <w:szCs w:val="21"/>
              </w:rPr>
            </w:pPr>
            <w:r>
              <w:rPr>
                <w:rFonts w:ascii="仿宋" w:hAnsi="仿宋" w:eastAsia="仿宋" w:cs="仿宋"/>
                <w:spacing w:val="-4"/>
                <w:sz w:val="21"/>
                <w:szCs w:val="21"/>
              </w:rPr>
              <w:t>烤烟</w:t>
            </w:r>
          </w:p>
        </w:tc>
        <w:tc>
          <w:tcPr>
            <w:tcW w:w="849" w:type="dxa"/>
            <w:vAlign w:val="top"/>
          </w:tcPr>
          <w:p>
            <w:pPr>
              <w:pStyle w:val="6"/>
              <w:spacing w:before="71" w:line="193" w:lineRule="auto"/>
              <w:ind w:left="267"/>
            </w:pPr>
            <w:r>
              <w:rPr>
                <w:spacing w:val="-4"/>
              </w:rPr>
              <w:t>5~9</w:t>
            </w:r>
          </w:p>
        </w:tc>
        <w:tc>
          <w:tcPr>
            <w:tcW w:w="754" w:type="dxa"/>
            <w:vAlign w:val="top"/>
          </w:tcPr>
          <w:p>
            <w:pPr>
              <w:pStyle w:val="6"/>
              <w:spacing w:before="73" w:line="188" w:lineRule="auto"/>
              <w:ind w:left="271"/>
            </w:pPr>
            <w:r>
              <w:rPr>
                <w:spacing w:val="-1"/>
              </w:rPr>
              <w:t>42</w:t>
            </w:r>
          </w:p>
        </w:tc>
        <w:tc>
          <w:tcPr>
            <w:tcW w:w="849" w:type="dxa"/>
            <w:vAlign w:val="top"/>
          </w:tcPr>
          <w:p>
            <w:pPr>
              <w:pStyle w:val="6"/>
              <w:spacing w:before="73" w:line="188" w:lineRule="auto"/>
              <w:ind w:left="376"/>
            </w:pPr>
            <w:r>
              <w:t>6</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28" w:type="dxa"/>
            <w:vAlign w:val="top"/>
          </w:tcPr>
          <w:p>
            <w:pPr>
              <w:rPr>
                <w:rFonts w:ascii="Arial"/>
                <w:sz w:val="21"/>
              </w:rPr>
            </w:pP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pStyle w:val="6"/>
              <w:spacing w:before="76" w:line="185" w:lineRule="auto"/>
              <w:ind w:left="295"/>
            </w:pPr>
            <w:r>
              <w:t>7</w:t>
            </w:r>
          </w:p>
        </w:tc>
        <w:tc>
          <w:tcPr>
            <w:tcW w:w="585" w:type="dxa"/>
            <w:vAlign w:val="top"/>
          </w:tcPr>
          <w:p>
            <w:pPr>
              <w:pStyle w:val="6"/>
              <w:spacing w:before="76" w:line="185" w:lineRule="auto"/>
              <w:ind w:left="244"/>
            </w:pPr>
            <w:r>
              <w:t>7</w:t>
            </w:r>
          </w:p>
        </w:tc>
        <w:tc>
          <w:tcPr>
            <w:tcW w:w="583" w:type="dxa"/>
            <w:vAlign w:val="top"/>
          </w:tcPr>
          <w:p>
            <w:pPr>
              <w:pStyle w:val="6"/>
              <w:spacing w:before="76" w:line="185" w:lineRule="auto"/>
              <w:ind w:left="242"/>
            </w:pPr>
            <w:r>
              <w:t>7</w:t>
            </w:r>
          </w:p>
        </w:tc>
        <w:tc>
          <w:tcPr>
            <w:tcW w:w="584" w:type="dxa"/>
            <w:gridSpan w:val="2"/>
            <w:vAlign w:val="top"/>
          </w:tcPr>
          <w:p>
            <w:pPr>
              <w:pStyle w:val="6"/>
              <w:spacing w:before="76" w:line="185" w:lineRule="auto"/>
              <w:ind w:left="244"/>
            </w:pPr>
            <w:r>
              <w:t>7</w:t>
            </w:r>
          </w:p>
        </w:tc>
        <w:tc>
          <w:tcPr>
            <w:tcW w:w="584" w:type="dxa"/>
            <w:gridSpan w:val="2"/>
            <w:vAlign w:val="top"/>
          </w:tcPr>
          <w:p>
            <w:pPr>
              <w:pStyle w:val="6"/>
              <w:spacing w:before="76" w:line="185" w:lineRule="auto"/>
              <w:ind w:left="244"/>
            </w:pPr>
            <w:r>
              <w:t>7</w:t>
            </w:r>
          </w:p>
        </w:tc>
        <w:tc>
          <w:tcPr>
            <w:tcW w:w="583" w:type="dxa"/>
            <w:tcBorders>
              <w:right w:val="nil"/>
            </w:tcBorders>
            <w:vAlign w:val="top"/>
          </w:tcPr>
          <w:p>
            <w:pPr>
              <w:pStyle w:val="6"/>
              <w:spacing w:before="76" w:line="185" w:lineRule="auto"/>
              <w:ind w:left="244"/>
            </w:pPr>
            <w: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38" w:line="200" w:lineRule="auto"/>
              <w:ind w:left="214"/>
              <w:rPr>
                <w:rFonts w:ascii="仿宋" w:hAnsi="仿宋" w:eastAsia="仿宋" w:cs="仿宋"/>
                <w:sz w:val="21"/>
                <w:szCs w:val="21"/>
              </w:rPr>
            </w:pPr>
            <w:r>
              <w:rPr>
                <w:rFonts w:ascii="仿宋" w:hAnsi="仿宋" w:eastAsia="仿宋" w:cs="仿宋"/>
                <w:spacing w:val="-5"/>
                <w:sz w:val="21"/>
                <w:szCs w:val="21"/>
              </w:rPr>
              <w:t>大豆</w:t>
            </w:r>
          </w:p>
        </w:tc>
        <w:tc>
          <w:tcPr>
            <w:tcW w:w="849" w:type="dxa"/>
            <w:vAlign w:val="top"/>
          </w:tcPr>
          <w:p>
            <w:pPr>
              <w:pStyle w:val="6"/>
              <w:spacing w:before="72" w:line="192" w:lineRule="auto"/>
              <w:ind w:left="267"/>
            </w:pPr>
            <w:r>
              <w:rPr>
                <w:spacing w:val="-4"/>
              </w:rPr>
              <w:t>5~9</w:t>
            </w:r>
          </w:p>
        </w:tc>
        <w:tc>
          <w:tcPr>
            <w:tcW w:w="754" w:type="dxa"/>
            <w:vAlign w:val="top"/>
          </w:tcPr>
          <w:p>
            <w:pPr>
              <w:pStyle w:val="6"/>
              <w:spacing w:before="74" w:line="188" w:lineRule="auto"/>
              <w:ind w:left="276"/>
            </w:pPr>
            <w:r>
              <w:rPr>
                <w:spacing w:val="-2"/>
              </w:rPr>
              <w:t>90</w:t>
            </w:r>
          </w:p>
        </w:tc>
        <w:tc>
          <w:tcPr>
            <w:tcW w:w="849" w:type="dxa"/>
            <w:vAlign w:val="top"/>
          </w:tcPr>
          <w:p>
            <w:pPr>
              <w:pStyle w:val="6"/>
              <w:spacing w:before="74" w:line="188" w:lineRule="auto"/>
              <w:ind w:left="375"/>
            </w:pPr>
            <w:r>
              <w:t>9</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28" w:type="dxa"/>
            <w:vAlign w:val="top"/>
          </w:tcPr>
          <w:p>
            <w:pPr>
              <w:rPr>
                <w:rFonts w:ascii="Arial"/>
                <w:sz w:val="21"/>
              </w:rPr>
            </w:pP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pStyle w:val="6"/>
              <w:spacing w:before="74" w:line="188" w:lineRule="auto"/>
              <w:ind w:left="259"/>
            </w:pPr>
            <w:r>
              <w:rPr>
                <w:spacing w:val="-6"/>
              </w:rPr>
              <w:t>10</w:t>
            </w:r>
          </w:p>
        </w:tc>
        <w:tc>
          <w:tcPr>
            <w:tcW w:w="585" w:type="dxa"/>
            <w:vAlign w:val="top"/>
          </w:tcPr>
          <w:p>
            <w:pPr>
              <w:pStyle w:val="6"/>
              <w:spacing w:before="74" w:line="188" w:lineRule="auto"/>
              <w:ind w:left="208"/>
            </w:pPr>
            <w:r>
              <w:rPr>
                <w:spacing w:val="-6"/>
              </w:rPr>
              <w:t>10</w:t>
            </w:r>
          </w:p>
        </w:tc>
        <w:tc>
          <w:tcPr>
            <w:tcW w:w="583" w:type="dxa"/>
            <w:vAlign w:val="top"/>
          </w:tcPr>
          <w:p>
            <w:pPr>
              <w:pStyle w:val="6"/>
              <w:spacing w:before="74" w:line="188" w:lineRule="auto"/>
              <w:ind w:left="206"/>
            </w:pPr>
            <w:r>
              <w:rPr>
                <w:spacing w:val="-6"/>
              </w:rPr>
              <w:t>10</w:t>
            </w:r>
          </w:p>
        </w:tc>
        <w:tc>
          <w:tcPr>
            <w:tcW w:w="584" w:type="dxa"/>
            <w:gridSpan w:val="2"/>
            <w:vAlign w:val="top"/>
          </w:tcPr>
          <w:p>
            <w:pPr>
              <w:pStyle w:val="6"/>
              <w:spacing w:before="74" w:line="188" w:lineRule="auto"/>
              <w:ind w:left="208"/>
            </w:pPr>
            <w:r>
              <w:rPr>
                <w:spacing w:val="-6"/>
              </w:rPr>
              <w:t>10</w:t>
            </w:r>
          </w:p>
        </w:tc>
        <w:tc>
          <w:tcPr>
            <w:tcW w:w="584" w:type="dxa"/>
            <w:gridSpan w:val="2"/>
            <w:vAlign w:val="top"/>
          </w:tcPr>
          <w:p>
            <w:pPr>
              <w:pStyle w:val="6"/>
              <w:spacing w:before="74" w:line="188" w:lineRule="auto"/>
              <w:ind w:left="208"/>
            </w:pPr>
            <w:r>
              <w:rPr>
                <w:spacing w:val="-6"/>
              </w:rPr>
              <w:t>10</w:t>
            </w:r>
          </w:p>
        </w:tc>
        <w:tc>
          <w:tcPr>
            <w:tcW w:w="583" w:type="dxa"/>
            <w:tcBorders>
              <w:right w:val="nil"/>
            </w:tcBorders>
            <w:vAlign w:val="top"/>
          </w:tcPr>
          <w:p>
            <w:pPr>
              <w:pStyle w:val="6"/>
              <w:spacing w:before="74" w:line="188" w:lineRule="auto"/>
              <w:ind w:left="208"/>
            </w:pPr>
            <w:r>
              <w:rPr>
                <w:spacing w:val="-6"/>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803" w:type="dxa"/>
            <w:tcBorders>
              <w:left w:val="nil"/>
            </w:tcBorders>
            <w:vAlign w:val="top"/>
          </w:tcPr>
          <w:p>
            <w:pPr>
              <w:spacing w:before="40" w:line="238" w:lineRule="auto"/>
              <w:ind w:left="214"/>
              <w:rPr>
                <w:rFonts w:ascii="仿宋" w:hAnsi="仿宋" w:eastAsia="仿宋" w:cs="仿宋"/>
                <w:sz w:val="21"/>
                <w:szCs w:val="21"/>
              </w:rPr>
            </w:pPr>
            <w:r>
              <w:rPr>
                <w:rFonts w:ascii="仿宋" w:hAnsi="仿宋" w:eastAsia="仿宋" w:cs="仿宋"/>
                <w:spacing w:val="-5"/>
                <w:sz w:val="21"/>
                <w:szCs w:val="21"/>
              </w:rPr>
              <w:t>大春</w:t>
            </w:r>
          </w:p>
          <w:p>
            <w:pPr>
              <w:spacing w:line="198" w:lineRule="auto"/>
              <w:ind w:left="209"/>
              <w:rPr>
                <w:rFonts w:ascii="仿宋" w:hAnsi="仿宋" w:eastAsia="仿宋" w:cs="仿宋"/>
                <w:sz w:val="21"/>
                <w:szCs w:val="21"/>
              </w:rPr>
            </w:pPr>
            <w:r>
              <w:rPr>
                <w:rFonts w:ascii="仿宋" w:hAnsi="仿宋" w:eastAsia="仿宋" w:cs="仿宋"/>
                <w:spacing w:val="-3"/>
                <w:sz w:val="21"/>
                <w:szCs w:val="21"/>
              </w:rPr>
              <w:t>薯杂</w:t>
            </w:r>
          </w:p>
        </w:tc>
        <w:tc>
          <w:tcPr>
            <w:tcW w:w="849" w:type="dxa"/>
            <w:vAlign w:val="top"/>
          </w:tcPr>
          <w:p>
            <w:pPr>
              <w:pStyle w:val="6"/>
              <w:spacing w:before="210" w:line="232" w:lineRule="auto"/>
              <w:ind w:left="267"/>
            </w:pPr>
            <w:r>
              <w:rPr>
                <w:spacing w:val="-4"/>
              </w:rPr>
              <w:t>5~9</w:t>
            </w:r>
          </w:p>
        </w:tc>
        <w:tc>
          <w:tcPr>
            <w:tcW w:w="754" w:type="dxa"/>
            <w:vAlign w:val="top"/>
          </w:tcPr>
          <w:p>
            <w:pPr>
              <w:pStyle w:val="6"/>
              <w:spacing w:before="212" w:line="188" w:lineRule="auto"/>
              <w:ind w:left="276"/>
            </w:pPr>
            <w:r>
              <w:rPr>
                <w:spacing w:val="-2"/>
              </w:rPr>
              <w:t>70</w:t>
            </w:r>
          </w:p>
        </w:tc>
        <w:tc>
          <w:tcPr>
            <w:tcW w:w="849" w:type="dxa"/>
            <w:vAlign w:val="top"/>
          </w:tcPr>
          <w:p>
            <w:pPr>
              <w:pStyle w:val="6"/>
              <w:spacing w:before="212" w:line="188" w:lineRule="auto"/>
              <w:ind w:left="376"/>
            </w:pPr>
            <w:r>
              <w:t>3</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28" w:type="dxa"/>
            <w:vAlign w:val="top"/>
          </w:tcPr>
          <w:p>
            <w:pPr>
              <w:rPr>
                <w:rFonts w:ascii="Arial"/>
                <w:sz w:val="21"/>
              </w:rPr>
            </w:pP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pStyle w:val="6"/>
              <w:spacing w:before="212" w:line="188" w:lineRule="auto"/>
              <w:ind w:left="135"/>
            </w:pPr>
            <w:r>
              <w:rPr>
                <w:spacing w:val="-1"/>
              </w:rPr>
              <w:t>250</w:t>
            </w:r>
          </w:p>
        </w:tc>
        <w:tc>
          <w:tcPr>
            <w:tcW w:w="583" w:type="dxa"/>
            <w:vAlign w:val="top"/>
          </w:tcPr>
          <w:p>
            <w:pPr>
              <w:rPr>
                <w:rFonts w:ascii="Arial"/>
                <w:sz w:val="21"/>
              </w:rPr>
            </w:pPr>
          </w:p>
        </w:tc>
        <w:tc>
          <w:tcPr>
            <w:tcW w:w="584" w:type="dxa"/>
            <w:gridSpan w:val="2"/>
            <w:vAlign w:val="top"/>
          </w:tcPr>
          <w:p>
            <w:pPr>
              <w:pStyle w:val="6"/>
              <w:spacing w:before="212" w:line="188" w:lineRule="auto"/>
              <w:ind w:left="187"/>
            </w:pPr>
            <w:r>
              <w:rPr>
                <w:spacing w:val="-1"/>
              </w:rPr>
              <w:t>25</w:t>
            </w:r>
          </w:p>
        </w:tc>
        <w:tc>
          <w:tcPr>
            <w:tcW w:w="584" w:type="dxa"/>
            <w:gridSpan w:val="2"/>
            <w:vAlign w:val="top"/>
          </w:tcPr>
          <w:p>
            <w:pPr>
              <w:rPr>
                <w:rFonts w:ascii="Arial"/>
                <w:sz w:val="21"/>
              </w:rPr>
            </w:pPr>
          </w:p>
        </w:tc>
        <w:tc>
          <w:tcPr>
            <w:tcW w:w="583" w:type="dxa"/>
            <w:tcBorders>
              <w:right w:val="nil"/>
            </w:tcBorders>
            <w:vAlign w:val="top"/>
          </w:tcPr>
          <w:p>
            <w:pPr>
              <w:pStyle w:val="6"/>
              <w:spacing w:before="212" w:line="188" w:lineRule="auto"/>
              <w:ind w:left="187"/>
            </w:pPr>
            <w:r>
              <w:rPr>
                <w:spacing w:val="-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03" w:type="dxa"/>
            <w:tcBorders>
              <w:left w:val="nil"/>
            </w:tcBorders>
            <w:vAlign w:val="top"/>
          </w:tcPr>
          <w:p>
            <w:pPr>
              <w:spacing w:before="42" w:line="198" w:lineRule="auto"/>
              <w:ind w:left="211"/>
              <w:rPr>
                <w:rFonts w:ascii="仿宋" w:hAnsi="仿宋" w:eastAsia="仿宋" w:cs="仿宋"/>
                <w:sz w:val="21"/>
                <w:szCs w:val="21"/>
              </w:rPr>
            </w:pPr>
            <w:r>
              <w:rPr>
                <w:rFonts w:ascii="仿宋" w:hAnsi="仿宋" w:eastAsia="仿宋" w:cs="仿宋"/>
                <w:spacing w:val="-4"/>
                <w:sz w:val="21"/>
                <w:szCs w:val="21"/>
              </w:rPr>
              <w:t>小麦</w:t>
            </w:r>
          </w:p>
        </w:tc>
        <w:tc>
          <w:tcPr>
            <w:tcW w:w="849" w:type="dxa"/>
            <w:vAlign w:val="top"/>
          </w:tcPr>
          <w:p>
            <w:pPr>
              <w:pStyle w:val="6"/>
              <w:spacing w:before="77" w:line="189" w:lineRule="auto"/>
              <w:ind w:left="234"/>
            </w:pPr>
            <w:r>
              <w:rPr>
                <w:spacing w:val="-8"/>
              </w:rPr>
              <w:t>11~1</w:t>
            </w:r>
          </w:p>
        </w:tc>
        <w:tc>
          <w:tcPr>
            <w:tcW w:w="754" w:type="dxa"/>
            <w:vAlign w:val="top"/>
          </w:tcPr>
          <w:p>
            <w:pPr>
              <w:pStyle w:val="6"/>
              <w:spacing w:before="79" w:line="187" w:lineRule="auto"/>
              <w:ind w:left="221"/>
            </w:pPr>
            <w:r>
              <w:rPr>
                <w:spacing w:val="-1"/>
              </w:rPr>
              <w:t>200</w:t>
            </w:r>
          </w:p>
        </w:tc>
        <w:tc>
          <w:tcPr>
            <w:tcW w:w="849" w:type="dxa"/>
            <w:vAlign w:val="top"/>
          </w:tcPr>
          <w:p>
            <w:pPr>
              <w:pStyle w:val="6"/>
              <w:spacing w:before="79" w:line="187" w:lineRule="auto"/>
              <w:ind w:left="392"/>
            </w:pPr>
            <w:r>
              <w:t>1</w:t>
            </w:r>
          </w:p>
        </w:tc>
        <w:tc>
          <w:tcPr>
            <w:tcW w:w="584" w:type="dxa"/>
            <w:vAlign w:val="top"/>
          </w:tcPr>
          <w:p>
            <w:pPr>
              <w:rPr>
                <w:rFonts w:ascii="Arial"/>
                <w:sz w:val="21"/>
              </w:rPr>
            </w:pPr>
          </w:p>
        </w:tc>
        <w:tc>
          <w:tcPr>
            <w:tcW w:w="585" w:type="dxa"/>
            <w:vAlign w:val="top"/>
          </w:tcPr>
          <w:p>
            <w:pPr>
              <w:pStyle w:val="6"/>
              <w:spacing w:before="79" w:line="187" w:lineRule="auto"/>
              <w:ind w:left="192"/>
            </w:pPr>
            <w:r>
              <w:rPr>
                <w:spacing w:val="-3"/>
              </w:rPr>
              <w:t>50</w:t>
            </w:r>
          </w:p>
        </w:tc>
        <w:tc>
          <w:tcPr>
            <w:tcW w:w="583" w:type="dxa"/>
            <w:vAlign w:val="top"/>
          </w:tcPr>
          <w:p>
            <w:pPr>
              <w:rPr>
                <w:rFonts w:ascii="Arial"/>
                <w:sz w:val="21"/>
              </w:rPr>
            </w:pPr>
          </w:p>
        </w:tc>
        <w:tc>
          <w:tcPr>
            <w:tcW w:w="428" w:type="dxa"/>
            <w:vAlign w:val="top"/>
          </w:tcPr>
          <w:p>
            <w:pPr>
              <w:rPr>
                <w:rFonts w:ascii="Arial"/>
                <w:sz w:val="21"/>
              </w:rPr>
            </w:pP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pStyle w:val="6"/>
              <w:spacing w:before="79" w:line="187" w:lineRule="auto"/>
              <w:ind w:left="226"/>
            </w:pPr>
            <w:r>
              <w:rPr>
                <w:spacing w:val="-3"/>
              </w:rPr>
              <w:t>50</w:t>
            </w: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584" w:type="dxa"/>
            <w:gridSpan w:val="2"/>
            <w:vAlign w:val="top"/>
          </w:tcPr>
          <w:p>
            <w:pPr>
              <w:rPr>
                <w:rFonts w:ascii="Arial"/>
                <w:sz w:val="21"/>
              </w:rPr>
            </w:pPr>
          </w:p>
        </w:tc>
        <w:tc>
          <w:tcPr>
            <w:tcW w:w="584" w:type="dxa"/>
            <w:gridSpan w:val="2"/>
            <w:vAlign w:val="top"/>
          </w:tcPr>
          <w:p>
            <w:pPr>
              <w:rPr>
                <w:rFonts w:ascii="Arial"/>
                <w:sz w:val="21"/>
              </w:rPr>
            </w:pPr>
          </w:p>
        </w:tc>
        <w:tc>
          <w:tcPr>
            <w:tcW w:w="58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41" w:line="197" w:lineRule="auto"/>
              <w:ind w:left="211"/>
              <w:rPr>
                <w:rFonts w:ascii="仿宋" w:hAnsi="仿宋" w:eastAsia="仿宋" w:cs="仿宋"/>
                <w:sz w:val="21"/>
                <w:szCs w:val="21"/>
              </w:rPr>
            </w:pPr>
            <w:r>
              <w:rPr>
                <w:rFonts w:ascii="仿宋" w:hAnsi="仿宋" w:eastAsia="仿宋" w:cs="仿宋"/>
                <w:spacing w:val="-4"/>
                <w:sz w:val="21"/>
                <w:szCs w:val="21"/>
              </w:rPr>
              <w:t>蚕豆</w:t>
            </w:r>
          </w:p>
        </w:tc>
        <w:tc>
          <w:tcPr>
            <w:tcW w:w="849" w:type="dxa"/>
            <w:vAlign w:val="top"/>
          </w:tcPr>
          <w:p>
            <w:pPr>
              <w:pStyle w:val="6"/>
              <w:spacing w:before="78" w:line="186" w:lineRule="auto"/>
              <w:ind w:left="230"/>
            </w:pPr>
            <w:r>
              <w:rPr>
                <w:spacing w:val="-6"/>
              </w:rPr>
              <w:t>10~1</w:t>
            </w:r>
          </w:p>
        </w:tc>
        <w:tc>
          <w:tcPr>
            <w:tcW w:w="754" w:type="dxa"/>
            <w:vAlign w:val="top"/>
          </w:tcPr>
          <w:p>
            <w:pPr>
              <w:pStyle w:val="6"/>
              <w:spacing w:before="78" w:line="186" w:lineRule="auto"/>
              <w:ind w:left="241"/>
            </w:pPr>
            <w:r>
              <w:rPr>
                <w:spacing w:val="-6"/>
              </w:rPr>
              <w:t>180</w:t>
            </w:r>
          </w:p>
        </w:tc>
        <w:tc>
          <w:tcPr>
            <w:tcW w:w="849" w:type="dxa"/>
            <w:vAlign w:val="top"/>
          </w:tcPr>
          <w:p>
            <w:pPr>
              <w:pStyle w:val="6"/>
              <w:spacing w:before="78" w:line="186" w:lineRule="auto"/>
              <w:ind w:left="392"/>
            </w:pPr>
            <w:r>
              <w:t>1</w:t>
            </w:r>
          </w:p>
        </w:tc>
        <w:tc>
          <w:tcPr>
            <w:tcW w:w="584" w:type="dxa"/>
            <w:vAlign w:val="top"/>
          </w:tcPr>
          <w:p>
            <w:pPr>
              <w:pStyle w:val="6"/>
              <w:spacing w:before="78" w:line="186" w:lineRule="auto"/>
              <w:ind w:left="207"/>
            </w:pPr>
            <w:r>
              <w:rPr>
                <w:spacing w:val="-6"/>
              </w:rPr>
              <w:t>10</w:t>
            </w:r>
          </w:p>
        </w:tc>
        <w:tc>
          <w:tcPr>
            <w:tcW w:w="585" w:type="dxa"/>
            <w:vAlign w:val="top"/>
          </w:tcPr>
          <w:p>
            <w:pPr>
              <w:rPr>
                <w:rFonts w:ascii="Arial"/>
                <w:sz w:val="21"/>
              </w:rPr>
            </w:pPr>
          </w:p>
        </w:tc>
        <w:tc>
          <w:tcPr>
            <w:tcW w:w="583" w:type="dxa"/>
            <w:vAlign w:val="top"/>
          </w:tcPr>
          <w:p>
            <w:pPr>
              <w:rPr>
                <w:rFonts w:ascii="Arial"/>
                <w:sz w:val="21"/>
              </w:rPr>
            </w:pPr>
          </w:p>
        </w:tc>
        <w:tc>
          <w:tcPr>
            <w:tcW w:w="428" w:type="dxa"/>
            <w:vAlign w:val="top"/>
          </w:tcPr>
          <w:p>
            <w:pPr>
              <w:rPr>
                <w:rFonts w:ascii="Arial"/>
                <w:sz w:val="21"/>
              </w:rPr>
            </w:pP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pStyle w:val="6"/>
              <w:spacing w:before="78" w:line="186" w:lineRule="auto"/>
              <w:ind w:left="241"/>
            </w:pPr>
            <w:r>
              <w:rPr>
                <w:spacing w:val="-6"/>
              </w:rPr>
              <w:t>10</w:t>
            </w: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584" w:type="dxa"/>
            <w:gridSpan w:val="2"/>
            <w:vAlign w:val="top"/>
          </w:tcPr>
          <w:p>
            <w:pPr>
              <w:rPr>
                <w:rFonts w:ascii="Arial"/>
                <w:sz w:val="21"/>
              </w:rPr>
            </w:pPr>
          </w:p>
        </w:tc>
        <w:tc>
          <w:tcPr>
            <w:tcW w:w="584" w:type="dxa"/>
            <w:gridSpan w:val="2"/>
            <w:vAlign w:val="top"/>
          </w:tcPr>
          <w:p>
            <w:pPr>
              <w:rPr>
                <w:rFonts w:ascii="Arial"/>
                <w:sz w:val="21"/>
              </w:rPr>
            </w:pPr>
          </w:p>
        </w:tc>
        <w:tc>
          <w:tcPr>
            <w:tcW w:w="58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43" w:line="196" w:lineRule="auto"/>
              <w:ind w:left="216"/>
              <w:rPr>
                <w:rFonts w:ascii="仿宋" w:hAnsi="仿宋" w:eastAsia="仿宋" w:cs="仿宋"/>
                <w:sz w:val="21"/>
                <w:szCs w:val="21"/>
              </w:rPr>
            </w:pPr>
            <w:r>
              <w:rPr>
                <w:rFonts w:ascii="仿宋" w:hAnsi="仿宋" w:eastAsia="仿宋" w:cs="仿宋"/>
                <w:spacing w:val="-5"/>
                <w:sz w:val="21"/>
                <w:szCs w:val="21"/>
              </w:rPr>
              <w:t>油菜</w:t>
            </w:r>
          </w:p>
        </w:tc>
        <w:tc>
          <w:tcPr>
            <w:tcW w:w="849" w:type="dxa"/>
            <w:vAlign w:val="top"/>
          </w:tcPr>
          <w:p>
            <w:pPr>
              <w:pStyle w:val="6"/>
              <w:spacing w:before="79" w:line="185" w:lineRule="auto"/>
              <w:ind w:left="230"/>
            </w:pPr>
            <w:r>
              <w:rPr>
                <w:spacing w:val="-6"/>
              </w:rPr>
              <w:t>10~1</w:t>
            </w:r>
          </w:p>
        </w:tc>
        <w:tc>
          <w:tcPr>
            <w:tcW w:w="754" w:type="dxa"/>
            <w:vAlign w:val="top"/>
          </w:tcPr>
          <w:p>
            <w:pPr>
              <w:pStyle w:val="6"/>
              <w:spacing w:before="79" w:line="185" w:lineRule="auto"/>
              <w:ind w:left="221"/>
            </w:pPr>
            <w:r>
              <w:rPr>
                <w:spacing w:val="-1"/>
              </w:rPr>
              <w:t>200</w:t>
            </w:r>
          </w:p>
        </w:tc>
        <w:tc>
          <w:tcPr>
            <w:tcW w:w="849" w:type="dxa"/>
            <w:vAlign w:val="top"/>
          </w:tcPr>
          <w:p>
            <w:pPr>
              <w:pStyle w:val="6"/>
              <w:spacing w:before="82" w:line="182" w:lineRule="auto"/>
              <w:ind w:left="377"/>
            </w:pPr>
            <w:r>
              <w:t>5</w:t>
            </w:r>
          </w:p>
        </w:tc>
        <w:tc>
          <w:tcPr>
            <w:tcW w:w="584" w:type="dxa"/>
            <w:vAlign w:val="top"/>
          </w:tcPr>
          <w:p>
            <w:pPr>
              <w:pStyle w:val="6"/>
              <w:spacing w:before="79" w:line="185" w:lineRule="auto"/>
              <w:ind w:left="207"/>
            </w:pPr>
            <w:r>
              <w:rPr>
                <w:spacing w:val="-6"/>
              </w:rPr>
              <w:t>10</w:t>
            </w:r>
          </w:p>
        </w:tc>
        <w:tc>
          <w:tcPr>
            <w:tcW w:w="585" w:type="dxa"/>
            <w:vAlign w:val="top"/>
          </w:tcPr>
          <w:p>
            <w:pPr>
              <w:rPr>
                <w:rFonts w:ascii="Arial"/>
                <w:sz w:val="21"/>
              </w:rPr>
            </w:pPr>
          </w:p>
        </w:tc>
        <w:tc>
          <w:tcPr>
            <w:tcW w:w="583" w:type="dxa"/>
            <w:vAlign w:val="top"/>
          </w:tcPr>
          <w:p>
            <w:pPr>
              <w:rPr>
                <w:rFonts w:ascii="Arial"/>
                <w:sz w:val="21"/>
              </w:rPr>
            </w:pPr>
          </w:p>
        </w:tc>
        <w:tc>
          <w:tcPr>
            <w:tcW w:w="428" w:type="dxa"/>
            <w:vAlign w:val="top"/>
          </w:tcPr>
          <w:p>
            <w:pPr>
              <w:pStyle w:val="6"/>
              <w:spacing w:before="79" w:line="185" w:lineRule="auto"/>
              <w:ind w:left="129"/>
            </w:pPr>
            <w:r>
              <w:rPr>
                <w:spacing w:val="-12"/>
              </w:rPr>
              <w:t>10</w:t>
            </w: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pStyle w:val="6"/>
              <w:spacing w:before="79" w:line="185" w:lineRule="auto"/>
              <w:ind w:left="241"/>
            </w:pPr>
            <w:r>
              <w:rPr>
                <w:spacing w:val="-6"/>
              </w:rPr>
              <w:t>10</w:t>
            </w: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584" w:type="dxa"/>
            <w:gridSpan w:val="2"/>
            <w:vAlign w:val="top"/>
          </w:tcPr>
          <w:p>
            <w:pPr>
              <w:rPr>
                <w:rFonts w:ascii="Arial"/>
                <w:sz w:val="21"/>
              </w:rPr>
            </w:pPr>
          </w:p>
        </w:tc>
        <w:tc>
          <w:tcPr>
            <w:tcW w:w="584" w:type="dxa"/>
            <w:gridSpan w:val="2"/>
            <w:vAlign w:val="top"/>
          </w:tcPr>
          <w:p>
            <w:pPr>
              <w:rPr>
                <w:rFonts w:ascii="Arial"/>
                <w:sz w:val="21"/>
              </w:rPr>
            </w:pPr>
          </w:p>
        </w:tc>
        <w:tc>
          <w:tcPr>
            <w:tcW w:w="58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803" w:type="dxa"/>
            <w:tcBorders>
              <w:left w:val="nil"/>
            </w:tcBorders>
            <w:vAlign w:val="top"/>
          </w:tcPr>
          <w:p>
            <w:pPr>
              <w:spacing w:before="45" w:line="239" w:lineRule="auto"/>
              <w:ind w:left="211"/>
              <w:rPr>
                <w:rFonts w:ascii="仿宋" w:hAnsi="仿宋" w:eastAsia="仿宋" w:cs="仿宋"/>
                <w:sz w:val="21"/>
                <w:szCs w:val="21"/>
              </w:rPr>
            </w:pPr>
            <w:r>
              <w:rPr>
                <w:rFonts w:ascii="仿宋" w:hAnsi="仿宋" w:eastAsia="仿宋" w:cs="仿宋"/>
                <w:spacing w:val="-4"/>
                <w:sz w:val="21"/>
                <w:szCs w:val="21"/>
              </w:rPr>
              <w:t>小春</w:t>
            </w:r>
          </w:p>
          <w:p>
            <w:pPr>
              <w:spacing w:line="194" w:lineRule="auto"/>
              <w:ind w:left="209"/>
              <w:rPr>
                <w:rFonts w:ascii="仿宋" w:hAnsi="仿宋" w:eastAsia="仿宋" w:cs="仿宋"/>
                <w:sz w:val="21"/>
                <w:szCs w:val="21"/>
              </w:rPr>
            </w:pPr>
            <w:r>
              <w:rPr>
                <w:rFonts w:ascii="仿宋" w:hAnsi="仿宋" w:eastAsia="仿宋" w:cs="仿宋"/>
                <w:spacing w:val="-3"/>
                <w:sz w:val="21"/>
                <w:szCs w:val="21"/>
              </w:rPr>
              <w:t>薯杂</w:t>
            </w:r>
          </w:p>
        </w:tc>
        <w:tc>
          <w:tcPr>
            <w:tcW w:w="849" w:type="dxa"/>
            <w:vAlign w:val="top"/>
          </w:tcPr>
          <w:p>
            <w:pPr>
              <w:pStyle w:val="6"/>
              <w:spacing w:before="217" w:line="188" w:lineRule="auto"/>
              <w:ind w:left="234"/>
            </w:pPr>
            <w:r>
              <w:rPr>
                <w:spacing w:val="-8"/>
              </w:rPr>
              <w:t>11~1</w:t>
            </w:r>
          </w:p>
        </w:tc>
        <w:tc>
          <w:tcPr>
            <w:tcW w:w="754" w:type="dxa"/>
            <w:vAlign w:val="top"/>
          </w:tcPr>
          <w:p>
            <w:pPr>
              <w:pStyle w:val="6"/>
              <w:spacing w:before="217" w:line="188" w:lineRule="auto"/>
              <w:ind w:left="281"/>
            </w:pPr>
            <w:r>
              <w:rPr>
                <w:spacing w:val="-4"/>
              </w:rPr>
              <w:t>80</w:t>
            </w:r>
          </w:p>
        </w:tc>
        <w:tc>
          <w:tcPr>
            <w:tcW w:w="849" w:type="dxa"/>
            <w:vAlign w:val="top"/>
          </w:tcPr>
          <w:p>
            <w:pPr>
              <w:pStyle w:val="6"/>
              <w:spacing w:before="217" w:line="188" w:lineRule="auto"/>
              <w:ind w:left="392"/>
            </w:pPr>
            <w:r>
              <w:t>1</w:t>
            </w:r>
          </w:p>
        </w:tc>
        <w:tc>
          <w:tcPr>
            <w:tcW w:w="584" w:type="dxa"/>
            <w:vAlign w:val="top"/>
          </w:tcPr>
          <w:p>
            <w:pPr>
              <w:pStyle w:val="6"/>
              <w:spacing w:before="217" w:line="188" w:lineRule="auto"/>
              <w:ind w:left="187"/>
            </w:pPr>
            <w:r>
              <w:rPr>
                <w:spacing w:val="-1"/>
              </w:rPr>
              <w:t>20</w:t>
            </w:r>
          </w:p>
        </w:tc>
        <w:tc>
          <w:tcPr>
            <w:tcW w:w="585" w:type="dxa"/>
            <w:vAlign w:val="top"/>
          </w:tcPr>
          <w:p>
            <w:pPr>
              <w:rPr>
                <w:rFonts w:ascii="Arial"/>
                <w:sz w:val="21"/>
              </w:rPr>
            </w:pPr>
          </w:p>
        </w:tc>
        <w:tc>
          <w:tcPr>
            <w:tcW w:w="583" w:type="dxa"/>
            <w:vAlign w:val="top"/>
          </w:tcPr>
          <w:p>
            <w:pPr>
              <w:rPr>
                <w:rFonts w:ascii="Arial"/>
                <w:sz w:val="21"/>
              </w:rPr>
            </w:pPr>
          </w:p>
        </w:tc>
        <w:tc>
          <w:tcPr>
            <w:tcW w:w="428" w:type="dxa"/>
            <w:vAlign w:val="top"/>
          </w:tcPr>
          <w:p>
            <w:pPr>
              <w:pStyle w:val="6"/>
              <w:spacing w:before="217" w:line="188" w:lineRule="auto"/>
              <w:ind w:left="109"/>
            </w:pPr>
            <w:r>
              <w:rPr>
                <w:spacing w:val="-1"/>
              </w:rPr>
              <w:t>20</w:t>
            </w: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584" w:type="dxa"/>
            <w:gridSpan w:val="2"/>
            <w:vAlign w:val="top"/>
          </w:tcPr>
          <w:p>
            <w:pPr>
              <w:rPr>
                <w:rFonts w:ascii="Arial"/>
                <w:sz w:val="21"/>
              </w:rPr>
            </w:pPr>
          </w:p>
        </w:tc>
        <w:tc>
          <w:tcPr>
            <w:tcW w:w="584" w:type="dxa"/>
            <w:gridSpan w:val="2"/>
            <w:vAlign w:val="top"/>
          </w:tcPr>
          <w:p>
            <w:pPr>
              <w:rPr>
                <w:rFonts w:ascii="Arial"/>
                <w:sz w:val="21"/>
              </w:rPr>
            </w:pPr>
          </w:p>
        </w:tc>
        <w:tc>
          <w:tcPr>
            <w:tcW w:w="58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45" w:line="194" w:lineRule="auto"/>
              <w:ind w:left="214"/>
              <w:rPr>
                <w:rFonts w:ascii="仿宋" w:hAnsi="仿宋" w:eastAsia="仿宋" w:cs="仿宋"/>
                <w:sz w:val="21"/>
                <w:szCs w:val="21"/>
              </w:rPr>
            </w:pPr>
            <w:r>
              <w:rPr>
                <w:rFonts w:ascii="仿宋" w:hAnsi="仿宋" w:eastAsia="仿宋" w:cs="仿宋"/>
                <w:spacing w:val="-5"/>
                <w:sz w:val="21"/>
                <w:szCs w:val="21"/>
              </w:rPr>
              <w:t>蔬菜</w:t>
            </w:r>
          </w:p>
        </w:tc>
        <w:tc>
          <w:tcPr>
            <w:tcW w:w="849" w:type="dxa"/>
            <w:vAlign w:val="top"/>
          </w:tcPr>
          <w:p>
            <w:pPr>
              <w:spacing w:before="45" w:line="194" w:lineRule="auto"/>
              <w:ind w:left="228"/>
              <w:rPr>
                <w:rFonts w:ascii="仿宋" w:hAnsi="仿宋" w:eastAsia="仿宋" w:cs="仿宋"/>
                <w:sz w:val="21"/>
                <w:szCs w:val="21"/>
              </w:rPr>
            </w:pPr>
            <w:r>
              <w:rPr>
                <w:rFonts w:ascii="仿宋" w:hAnsi="仿宋" w:eastAsia="仿宋" w:cs="仿宋"/>
                <w:spacing w:val="-5"/>
                <w:sz w:val="21"/>
                <w:szCs w:val="21"/>
              </w:rPr>
              <w:t>全年</w:t>
            </w:r>
          </w:p>
        </w:tc>
        <w:tc>
          <w:tcPr>
            <w:tcW w:w="754" w:type="dxa"/>
            <w:vAlign w:val="top"/>
          </w:tcPr>
          <w:p>
            <w:pPr>
              <w:pStyle w:val="6"/>
              <w:spacing w:before="81" w:line="183" w:lineRule="auto"/>
              <w:ind w:left="225"/>
            </w:pPr>
            <w:r>
              <w:rPr>
                <w:spacing w:val="-2"/>
              </w:rPr>
              <w:t>301</w:t>
            </w:r>
          </w:p>
        </w:tc>
        <w:tc>
          <w:tcPr>
            <w:tcW w:w="849" w:type="dxa"/>
            <w:vAlign w:val="top"/>
          </w:tcPr>
          <w:p>
            <w:pPr>
              <w:spacing w:before="45" w:line="194"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pStyle w:val="6"/>
              <w:spacing w:before="81" w:line="183" w:lineRule="auto"/>
              <w:ind w:left="207"/>
            </w:pPr>
            <w:r>
              <w:rPr>
                <w:spacing w:val="-6"/>
              </w:rPr>
              <w:t>12</w:t>
            </w:r>
          </w:p>
        </w:tc>
        <w:tc>
          <w:tcPr>
            <w:tcW w:w="585" w:type="dxa"/>
            <w:vAlign w:val="top"/>
          </w:tcPr>
          <w:p>
            <w:pPr>
              <w:pStyle w:val="6"/>
              <w:spacing w:before="81" w:line="183" w:lineRule="auto"/>
              <w:ind w:left="207"/>
            </w:pPr>
            <w:r>
              <w:rPr>
                <w:spacing w:val="-6"/>
              </w:rPr>
              <w:t>12</w:t>
            </w:r>
          </w:p>
        </w:tc>
        <w:tc>
          <w:tcPr>
            <w:tcW w:w="583" w:type="dxa"/>
            <w:vAlign w:val="top"/>
          </w:tcPr>
          <w:p>
            <w:pPr>
              <w:pStyle w:val="6"/>
              <w:spacing w:before="81" w:line="183" w:lineRule="auto"/>
              <w:ind w:left="206"/>
            </w:pPr>
            <w:r>
              <w:rPr>
                <w:spacing w:val="-6"/>
              </w:rPr>
              <w:t>12</w:t>
            </w:r>
          </w:p>
        </w:tc>
        <w:tc>
          <w:tcPr>
            <w:tcW w:w="428" w:type="dxa"/>
            <w:vAlign w:val="top"/>
          </w:tcPr>
          <w:p>
            <w:pPr>
              <w:pStyle w:val="6"/>
              <w:spacing w:before="81" w:line="183" w:lineRule="auto"/>
              <w:ind w:left="129"/>
            </w:pPr>
            <w:r>
              <w:rPr>
                <w:spacing w:val="-6"/>
              </w:rPr>
              <w:t>12</w:t>
            </w:r>
          </w:p>
        </w:tc>
        <w:tc>
          <w:tcPr>
            <w:tcW w:w="689" w:type="dxa"/>
            <w:gridSpan w:val="2"/>
            <w:vAlign w:val="top"/>
          </w:tcPr>
          <w:p>
            <w:pPr>
              <w:pStyle w:val="6"/>
              <w:spacing w:before="81" w:line="183" w:lineRule="auto"/>
              <w:ind w:left="258"/>
            </w:pPr>
            <w:r>
              <w:rPr>
                <w:spacing w:val="-6"/>
              </w:rPr>
              <w:t>12</w:t>
            </w:r>
          </w:p>
        </w:tc>
        <w:tc>
          <w:tcPr>
            <w:tcW w:w="427" w:type="dxa"/>
            <w:vAlign w:val="top"/>
          </w:tcPr>
          <w:p>
            <w:pPr>
              <w:pStyle w:val="6"/>
              <w:spacing w:before="81" w:line="183" w:lineRule="auto"/>
              <w:ind w:left="128"/>
            </w:pPr>
            <w:r>
              <w:rPr>
                <w:spacing w:val="-6"/>
              </w:rPr>
              <w:t>12</w:t>
            </w:r>
          </w:p>
        </w:tc>
        <w:tc>
          <w:tcPr>
            <w:tcW w:w="655" w:type="dxa"/>
            <w:vAlign w:val="top"/>
          </w:tcPr>
          <w:p>
            <w:pPr>
              <w:pStyle w:val="6"/>
              <w:spacing w:before="81" w:line="183" w:lineRule="auto"/>
              <w:ind w:left="241"/>
            </w:pPr>
            <w:r>
              <w:rPr>
                <w:spacing w:val="-6"/>
              </w:rPr>
              <w:t>12</w:t>
            </w:r>
          </w:p>
        </w:tc>
        <w:tc>
          <w:tcPr>
            <w:tcW w:w="654" w:type="dxa"/>
            <w:vAlign w:val="top"/>
          </w:tcPr>
          <w:p>
            <w:pPr>
              <w:pStyle w:val="6"/>
              <w:spacing w:before="81" w:line="183" w:lineRule="auto"/>
              <w:ind w:left="241"/>
            </w:pPr>
            <w:r>
              <w:rPr>
                <w:spacing w:val="-6"/>
              </w:rPr>
              <w:t>12</w:t>
            </w:r>
          </w:p>
        </w:tc>
        <w:tc>
          <w:tcPr>
            <w:tcW w:w="655" w:type="dxa"/>
            <w:vAlign w:val="top"/>
          </w:tcPr>
          <w:p>
            <w:pPr>
              <w:pStyle w:val="6"/>
              <w:spacing w:before="81" w:line="183" w:lineRule="auto"/>
              <w:ind w:left="241"/>
            </w:pPr>
            <w:r>
              <w:rPr>
                <w:spacing w:val="-6"/>
              </w:rPr>
              <w:t>12</w:t>
            </w:r>
          </w:p>
        </w:tc>
        <w:tc>
          <w:tcPr>
            <w:tcW w:w="655" w:type="dxa"/>
            <w:vAlign w:val="top"/>
          </w:tcPr>
          <w:p>
            <w:pPr>
              <w:pStyle w:val="6"/>
              <w:spacing w:before="81" w:line="183" w:lineRule="auto"/>
              <w:ind w:left="241"/>
            </w:pPr>
            <w:r>
              <w:rPr>
                <w:spacing w:val="-6"/>
              </w:rPr>
              <w:t>12</w:t>
            </w:r>
          </w:p>
        </w:tc>
        <w:tc>
          <w:tcPr>
            <w:tcW w:w="655" w:type="dxa"/>
            <w:vAlign w:val="top"/>
          </w:tcPr>
          <w:p>
            <w:pPr>
              <w:pStyle w:val="6"/>
              <w:spacing w:before="81" w:line="183" w:lineRule="auto"/>
              <w:ind w:left="242"/>
            </w:pPr>
            <w:r>
              <w:rPr>
                <w:spacing w:val="-6"/>
              </w:rPr>
              <w:t>12</w:t>
            </w:r>
          </w:p>
        </w:tc>
        <w:tc>
          <w:tcPr>
            <w:tcW w:w="584" w:type="dxa"/>
            <w:vAlign w:val="top"/>
          </w:tcPr>
          <w:p>
            <w:pPr>
              <w:pStyle w:val="6"/>
              <w:spacing w:before="81" w:line="183" w:lineRule="auto"/>
              <w:ind w:left="208"/>
            </w:pPr>
            <w:r>
              <w:rPr>
                <w:spacing w:val="-6"/>
              </w:rPr>
              <w:t>12</w:t>
            </w:r>
          </w:p>
        </w:tc>
        <w:tc>
          <w:tcPr>
            <w:tcW w:w="689" w:type="dxa"/>
            <w:vAlign w:val="top"/>
          </w:tcPr>
          <w:p>
            <w:pPr>
              <w:pStyle w:val="6"/>
              <w:spacing w:before="81" w:line="183" w:lineRule="auto"/>
              <w:ind w:left="259"/>
            </w:pPr>
            <w:r>
              <w:rPr>
                <w:spacing w:val="-6"/>
              </w:rPr>
              <w:t>12</w:t>
            </w:r>
          </w:p>
        </w:tc>
        <w:tc>
          <w:tcPr>
            <w:tcW w:w="585" w:type="dxa"/>
            <w:vAlign w:val="top"/>
          </w:tcPr>
          <w:p>
            <w:pPr>
              <w:pStyle w:val="6"/>
              <w:spacing w:before="81" w:line="183" w:lineRule="auto"/>
              <w:ind w:left="208"/>
            </w:pPr>
            <w:r>
              <w:rPr>
                <w:spacing w:val="-6"/>
              </w:rPr>
              <w:t>12</w:t>
            </w:r>
          </w:p>
        </w:tc>
        <w:tc>
          <w:tcPr>
            <w:tcW w:w="583" w:type="dxa"/>
            <w:vAlign w:val="top"/>
          </w:tcPr>
          <w:p>
            <w:pPr>
              <w:pStyle w:val="6"/>
              <w:spacing w:before="81" w:line="183" w:lineRule="auto"/>
              <w:ind w:left="206"/>
            </w:pPr>
            <w:r>
              <w:rPr>
                <w:spacing w:val="-6"/>
              </w:rPr>
              <w:t>12</w:t>
            </w:r>
          </w:p>
        </w:tc>
        <w:tc>
          <w:tcPr>
            <w:tcW w:w="584" w:type="dxa"/>
            <w:gridSpan w:val="2"/>
            <w:vAlign w:val="top"/>
          </w:tcPr>
          <w:p>
            <w:pPr>
              <w:pStyle w:val="6"/>
              <w:spacing w:before="84" w:line="180" w:lineRule="auto"/>
              <w:ind w:left="244"/>
            </w:pPr>
            <w:r>
              <w:t>7</w:t>
            </w:r>
          </w:p>
        </w:tc>
        <w:tc>
          <w:tcPr>
            <w:tcW w:w="584" w:type="dxa"/>
            <w:gridSpan w:val="2"/>
            <w:vAlign w:val="top"/>
          </w:tcPr>
          <w:p>
            <w:pPr>
              <w:pStyle w:val="6"/>
              <w:spacing w:before="84" w:line="180" w:lineRule="auto"/>
              <w:ind w:left="244"/>
            </w:pPr>
            <w:r>
              <w:t>7</w:t>
            </w:r>
          </w:p>
        </w:tc>
        <w:tc>
          <w:tcPr>
            <w:tcW w:w="583" w:type="dxa"/>
            <w:tcBorders>
              <w:right w:val="nil"/>
            </w:tcBorders>
            <w:vAlign w:val="top"/>
          </w:tcPr>
          <w:p>
            <w:pPr>
              <w:pStyle w:val="6"/>
              <w:spacing w:before="84" w:line="180" w:lineRule="auto"/>
              <w:ind w:left="244"/>
            </w:pPr>
            <w: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46" w:line="193" w:lineRule="auto"/>
              <w:ind w:left="215"/>
              <w:rPr>
                <w:rFonts w:ascii="仿宋" w:hAnsi="仿宋" w:eastAsia="仿宋" w:cs="仿宋"/>
                <w:sz w:val="21"/>
                <w:szCs w:val="21"/>
              </w:rPr>
            </w:pPr>
            <w:r>
              <w:rPr>
                <w:rFonts w:ascii="仿宋" w:hAnsi="仿宋" w:eastAsia="仿宋" w:cs="仿宋"/>
                <w:spacing w:val="-5"/>
                <w:sz w:val="21"/>
                <w:szCs w:val="21"/>
              </w:rPr>
              <w:t>药材</w:t>
            </w:r>
          </w:p>
        </w:tc>
        <w:tc>
          <w:tcPr>
            <w:tcW w:w="849" w:type="dxa"/>
            <w:vAlign w:val="top"/>
          </w:tcPr>
          <w:p>
            <w:pPr>
              <w:pStyle w:val="6"/>
              <w:spacing w:before="82" w:line="182" w:lineRule="auto"/>
              <w:ind w:left="234"/>
            </w:pPr>
            <w:r>
              <w:rPr>
                <w:spacing w:val="-6"/>
              </w:rPr>
              <w:t>1~11</w:t>
            </w:r>
          </w:p>
        </w:tc>
        <w:tc>
          <w:tcPr>
            <w:tcW w:w="754" w:type="dxa"/>
            <w:vAlign w:val="top"/>
          </w:tcPr>
          <w:p>
            <w:pPr>
              <w:pStyle w:val="6"/>
              <w:spacing w:before="82" w:line="182" w:lineRule="auto"/>
              <w:ind w:left="241"/>
            </w:pPr>
            <w:r>
              <w:rPr>
                <w:spacing w:val="-6"/>
              </w:rPr>
              <w:t>105</w:t>
            </w:r>
          </w:p>
        </w:tc>
        <w:tc>
          <w:tcPr>
            <w:tcW w:w="849" w:type="dxa"/>
            <w:vAlign w:val="top"/>
          </w:tcPr>
          <w:p>
            <w:pPr>
              <w:spacing w:before="46" w:line="193"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pStyle w:val="6"/>
              <w:spacing w:before="85" w:line="179" w:lineRule="auto"/>
              <w:ind w:left="243"/>
            </w:pPr>
            <w:r>
              <w:t>7</w:t>
            </w:r>
          </w:p>
        </w:tc>
        <w:tc>
          <w:tcPr>
            <w:tcW w:w="585" w:type="dxa"/>
            <w:vAlign w:val="top"/>
          </w:tcPr>
          <w:p>
            <w:pPr>
              <w:pStyle w:val="6"/>
              <w:spacing w:before="85" w:line="179" w:lineRule="auto"/>
              <w:ind w:left="243"/>
            </w:pPr>
            <w:r>
              <w:t>7</w:t>
            </w:r>
          </w:p>
        </w:tc>
        <w:tc>
          <w:tcPr>
            <w:tcW w:w="583" w:type="dxa"/>
            <w:vAlign w:val="top"/>
          </w:tcPr>
          <w:p>
            <w:pPr>
              <w:pStyle w:val="6"/>
              <w:spacing w:before="85" w:line="179" w:lineRule="auto"/>
              <w:ind w:left="242"/>
            </w:pPr>
            <w:r>
              <w:t>7</w:t>
            </w:r>
          </w:p>
        </w:tc>
        <w:tc>
          <w:tcPr>
            <w:tcW w:w="428" w:type="dxa"/>
            <w:vAlign w:val="top"/>
          </w:tcPr>
          <w:p>
            <w:pPr>
              <w:pStyle w:val="6"/>
              <w:spacing w:before="85" w:line="179" w:lineRule="auto"/>
              <w:ind w:left="165"/>
            </w:pPr>
            <w:r>
              <w:t>7</w:t>
            </w:r>
          </w:p>
        </w:tc>
        <w:tc>
          <w:tcPr>
            <w:tcW w:w="689" w:type="dxa"/>
            <w:gridSpan w:val="2"/>
            <w:vAlign w:val="top"/>
          </w:tcPr>
          <w:p>
            <w:pPr>
              <w:pStyle w:val="6"/>
              <w:spacing w:before="85" w:line="179" w:lineRule="auto"/>
              <w:ind w:left="294"/>
            </w:pPr>
            <w:r>
              <w:t>7</w:t>
            </w:r>
          </w:p>
        </w:tc>
        <w:tc>
          <w:tcPr>
            <w:tcW w:w="427" w:type="dxa"/>
            <w:vAlign w:val="top"/>
          </w:tcPr>
          <w:p>
            <w:pPr>
              <w:pStyle w:val="6"/>
              <w:spacing w:before="85" w:line="179" w:lineRule="auto"/>
              <w:ind w:left="164"/>
            </w:pPr>
            <w:r>
              <w:t>7</w:t>
            </w:r>
          </w:p>
        </w:tc>
        <w:tc>
          <w:tcPr>
            <w:tcW w:w="655" w:type="dxa"/>
            <w:vAlign w:val="top"/>
          </w:tcPr>
          <w:p>
            <w:pPr>
              <w:pStyle w:val="6"/>
              <w:spacing w:before="85" w:line="179" w:lineRule="auto"/>
              <w:ind w:left="277"/>
            </w:pPr>
            <w:r>
              <w:t>7</w:t>
            </w:r>
          </w:p>
        </w:tc>
        <w:tc>
          <w:tcPr>
            <w:tcW w:w="654" w:type="dxa"/>
            <w:vAlign w:val="top"/>
          </w:tcPr>
          <w:p>
            <w:pPr>
              <w:pStyle w:val="6"/>
              <w:spacing w:before="85" w:line="179" w:lineRule="auto"/>
              <w:ind w:left="277"/>
            </w:pPr>
            <w:r>
              <w:t>7</w:t>
            </w:r>
          </w:p>
        </w:tc>
        <w:tc>
          <w:tcPr>
            <w:tcW w:w="655" w:type="dxa"/>
            <w:vAlign w:val="top"/>
          </w:tcPr>
          <w:p>
            <w:pPr>
              <w:pStyle w:val="6"/>
              <w:spacing w:before="85" w:line="179" w:lineRule="auto"/>
              <w:ind w:left="277"/>
            </w:pPr>
            <w:r>
              <w:t>7</w:t>
            </w:r>
          </w:p>
        </w:tc>
        <w:tc>
          <w:tcPr>
            <w:tcW w:w="655" w:type="dxa"/>
            <w:vAlign w:val="top"/>
          </w:tcPr>
          <w:p>
            <w:pPr>
              <w:pStyle w:val="6"/>
              <w:spacing w:before="85" w:line="179" w:lineRule="auto"/>
              <w:ind w:left="277"/>
            </w:pPr>
            <w:r>
              <w:t>7</w:t>
            </w:r>
          </w:p>
        </w:tc>
        <w:tc>
          <w:tcPr>
            <w:tcW w:w="655" w:type="dxa"/>
            <w:vAlign w:val="top"/>
          </w:tcPr>
          <w:p>
            <w:pPr>
              <w:pStyle w:val="6"/>
              <w:spacing w:before="85" w:line="179" w:lineRule="auto"/>
              <w:ind w:left="278"/>
            </w:pPr>
            <w:r>
              <w:t>7</w:t>
            </w:r>
          </w:p>
        </w:tc>
        <w:tc>
          <w:tcPr>
            <w:tcW w:w="584" w:type="dxa"/>
            <w:vAlign w:val="top"/>
          </w:tcPr>
          <w:p>
            <w:pPr>
              <w:pStyle w:val="6"/>
              <w:spacing w:before="85" w:line="179" w:lineRule="auto"/>
              <w:ind w:left="244"/>
            </w:pPr>
            <w:r>
              <w:t>7</w:t>
            </w:r>
          </w:p>
        </w:tc>
        <w:tc>
          <w:tcPr>
            <w:tcW w:w="689" w:type="dxa"/>
            <w:vAlign w:val="top"/>
          </w:tcPr>
          <w:p>
            <w:pPr>
              <w:pStyle w:val="6"/>
              <w:spacing w:before="85" w:line="179" w:lineRule="auto"/>
              <w:ind w:left="295"/>
            </w:pPr>
            <w:r>
              <w:t>7</w:t>
            </w:r>
          </w:p>
        </w:tc>
        <w:tc>
          <w:tcPr>
            <w:tcW w:w="585" w:type="dxa"/>
            <w:vAlign w:val="top"/>
          </w:tcPr>
          <w:p>
            <w:pPr>
              <w:pStyle w:val="6"/>
              <w:spacing w:before="85" w:line="179" w:lineRule="auto"/>
              <w:ind w:left="244"/>
            </w:pPr>
            <w:r>
              <w:t>7</w:t>
            </w:r>
          </w:p>
        </w:tc>
        <w:tc>
          <w:tcPr>
            <w:tcW w:w="583" w:type="dxa"/>
            <w:vAlign w:val="top"/>
          </w:tcPr>
          <w:p>
            <w:pPr>
              <w:pStyle w:val="6"/>
              <w:spacing w:before="85" w:line="179" w:lineRule="auto"/>
              <w:ind w:left="242"/>
            </w:pPr>
            <w:r>
              <w:t>7</w:t>
            </w:r>
          </w:p>
        </w:tc>
        <w:tc>
          <w:tcPr>
            <w:tcW w:w="584" w:type="dxa"/>
            <w:gridSpan w:val="2"/>
            <w:vAlign w:val="top"/>
          </w:tcPr>
          <w:p>
            <w:pPr>
              <w:rPr>
                <w:rFonts w:ascii="Arial"/>
                <w:sz w:val="21"/>
              </w:rPr>
            </w:pPr>
          </w:p>
        </w:tc>
        <w:tc>
          <w:tcPr>
            <w:tcW w:w="584" w:type="dxa"/>
            <w:gridSpan w:val="2"/>
            <w:vAlign w:val="top"/>
          </w:tcPr>
          <w:p>
            <w:pPr>
              <w:rPr>
                <w:rFonts w:ascii="Arial"/>
                <w:sz w:val="21"/>
              </w:rPr>
            </w:pPr>
          </w:p>
        </w:tc>
        <w:tc>
          <w:tcPr>
            <w:tcW w:w="58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47" w:line="192" w:lineRule="auto"/>
              <w:ind w:left="211"/>
              <w:rPr>
                <w:rFonts w:ascii="仿宋" w:hAnsi="仿宋" w:eastAsia="仿宋" w:cs="仿宋"/>
                <w:sz w:val="21"/>
                <w:szCs w:val="21"/>
              </w:rPr>
            </w:pPr>
            <w:r>
              <w:rPr>
                <w:rFonts w:ascii="仿宋" w:hAnsi="仿宋" w:eastAsia="仿宋" w:cs="仿宋"/>
                <w:spacing w:val="-4"/>
                <w:sz w:val="21"/>
                <w:szCs w:val="21"/>
              </w:rPr>
              <w:t>核桃</w:t>
            </w:r>
          </w:p>
        </w:tc>
        <w:tc>
          <w:tcPr>
            <w:tcW w:w="849" w:type="dxa"/>
            <w:vAlign w:val="top"/>
          </w:tcPr>
          <w:p>
            <w:pPr>
              <w:spacing w:before="47" w:line="192" w:lineRule="auto"/>
              <w:ind w:left="228"/>
              <w:rPr>
                <w:rFonts w:ascii="仿宋" w:hAnsi="仿宋" w:eastAsia="仿宋" w:cs="仿宋"/>
                <w:sz w:val="21"/>
                <w:szCs w:val="21"/>
              </w:rPr>
            </w:pPr>
            <w:r>
              <w:rPr>
                <w:rFonts w:ascii="仿宋" w:hAnsi="仿宋" w:eastAsia="仿宋" w:cs="仿宋"/>
                <w:spacing w:val="-10"/>
                <w:sz w:val="21"/>
                <w:szCs w:val="21"/>
              </w:rPr>
              <w:t>全年</w:t>
            </w:r>
          </w:p>
        </w:tc>
        <w:tc>
          <w:tcPr>
            <w:tcW w:w="754" w:type="dxa"/>
            <w:vAlign w:val="top"/>
          </w:tcPr>
          <w:p>
            <w:pPr>
              <w:pStyle w:val="6"/>
              <w:spacing w:before="83" w:line="181" w:lineRule="auto"/>
              <w:ind w:left="241"/>
            </w:pPr>
            <w:r>
              <w:rPr>
                <w:spacing w:val="-6"/>
              </w:rPr>
              <w:t>105</w:t>
            </w:r>
          </w:p>
        </w:tc>
        <w:tc>
          <w:tcPr>
            <w:tcW w:w="849" w:type="dxa"/>
            <w:vAlign w:val="top"/>
          </w:tcPr>
          <w:p>
            <w:pPr>
              <w:spacing w:before="47" w:line="192"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28" w:type="dxa"/>
            <w:vAlign w:val="top"/>
          </w:tcPr>
          <w:p>
            <w:pPr>
              <w:pStyle w:val="6"/>
              <w:spacing w:before="83" w:line="181" w:lineRule="auto"/>
              <w:ind w:left="109"/>
            </w:pPr>
            <w:r>
              <w:rPr>
                <w:spacing w:val="-1"/>
              </w:rPr>
              <w:t>21</w:t>
            </w: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pStyle w:val="6"/>
              <w:spacing w:before="83" w:line="181" w:lineRule="auto"/>
              <w:ind w:left="221"/>
            </w:pPr>
            <w:r>
              <w:rPr>
                <w:spacing w:val="-1"/>
              </w:rPr>
              <w:t>21</w:t>
            </w: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pStyle w:val="6"/>
              <w:spacing w:before="83" w:line="181" w:lineRule="auto"/>
              <w:ind w:left="221"/>
            </w:pPr>
            <w:r>
              <w:rPr>
                <w:spacing w:val="-1"/>
              </w:rPr>
              <w:t>21</w:t>
            </w: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pStyle w:val="6"/>
              <w:spacing w:before="83" w:line="181" w:lineRule="auto"/>
              <w:ind w:left="238"/>
            </w:pPr>
            <w:r>
              <w:rPr>
                <w:spacing w:val="-1"/>
              </w:rPr>
              <w:t>21</w:t>
            </w:r>
          </w:p>
        </w:tc>
        <w:tc>
          <w:tcPr>
            <w:tcW w:w="585" w:type="dxa"/>
            <w:vAlign w:val="top"/>
          </w:tcPr>
          <w:p>
            <w:pPr>
              <w:rPr>
                <w:rFonts w:ascii="Arial"/>
                <w:sz w:val="21"/>
              </w:rPr>
            </w:pPr>
          </w:p>
        </w:tc>
        <w:tc>
          <w:tcPr>
            <w:tcW w:w="583" w:type="dxa"/>
            <w:vAlign w:val="top"/>
          </w:tcPr>
          <w:p>
            <w:pPr>
              <w:rPr>
                <w:rFonts w:ascii="Arial"/>
                <w:sz w:val="21"/>
              </w:rPr>
            </w:pPr>
          </w:p>
        </w:tc>
        <w:tc>
          <w:tcPr>
            <w:tcW w:w="584" w:type="dxa"/>
            <w:gridSpan w:val="2"/>
            <w:vAlign w:val="top"/>
          </w:tcPr>
          <w:p>
            <w:pPr>
              <w:rPr>
                <w:rFonts w:ascii="Arial"/>
                <w:sz w:val="21"/>
              </w:rPr>
            </w:pPr>
          </w:p>
        </w:tc>
        <w:tc>
          <w:tcPr>
            <w:tcW w:w="584" w:type="dxa"/>
            <w:gridSpan w:val="2"/>
            <w:vAlign w:val="top"/>
          </w:tcPr>
          <w:p>
            <w:pPr>
              <w:rPr>
                <w:rFonts w:ascii="Arial"/>
                <w:sz w:val="21"/>
              </w:rPr>
            </w:pPr>
          </w:p>
        </w:tc>
        <w:tc>
          <w:tcPr>
            <w:tcW w:w="58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03" w:type="dxa"/>
            <w:tcBorders>
              <w:left w:val="nil"/>
            </w:tcBorders>
            <w:vAlign w:val="top"/>
          </w:tcPr>
          <w:p>
            <w:pPr>
              <w:spacing w:before="49" w:line="191" w:lineRule="auto"/>
              <w:ind w:left="211"/>
              <w:rPr>
                <w:rFonts w:ascii="仿宋" w:hAnsi="仿宋" w:eastAsia="仿宋" w:cs="仿宋"/>
                <w:sz w:val="21"/>
                <w:szCs w:val="21"/>
              </w:rPr>
            </w:pPr>
            <w:r>
              <w:rPr>
                <w:rFonts w:ascii="仿宋" w:hAnsi="仿宋" w:eastAsia="仿宋" w:cs="仿宋"/>
                <w:spacing w:val="-4"/>
                <w:sz w:val="21"/>
                <w:szCs w:val="21"/>
              </w:rPr>
              <w:t>板栗</w:t>
            </w:r>
          </w:p>
        </w:tc>
        <w:tc>
          <w:tcPr>
            <w:tcW w:w="849" w:type="dxa"/>
            <w:vAlign w:val="top"/>
          </w:tcPr>
          <w:p>
            <w:pPr>
              <w:spacing w:before="49" w:line="191" w:lineRule="auto"/>
              <w:ind w:left="228"/>
              <w:rPr>
                <w:rFonts w:ascii="仿宋" w:hAnsi="仿宋" w:eastAsia="仿宋" w:cs="仿宋"/>
                <w:sz w:val="21"/>
                <w:szCs w:val="21"/>
              </w:rPr>
            </w:pPr>
            <w:r>
              <w:rPr>
                <w:rFonts w:ascii="仿宋" w:hAnsi="仿宋" w:eastAsia="仿宋" w:cs="仿宋"/>
                <w:spacing w:val="-5"/>
                <w:sz w:val="21"/>
                <w:szCs w:val="21"/>
              </w:rPr>
              <w:t>全年</w:t>
            </w:r>
          </w:p>
        </w:tc>
        <w:tc>
          <w:tcPr>
            <w:tcW w:w="754" w:type="dxa"/>
            <w:vAlign w:val="top"/>
          </w:tcPr>
          <w:p>
            <w:pPr>
              <w:pStyle w:val="6"/>
              <w:spacing w:before="85" w:line="180" w:lineRule="auto"/>
              <w:ind w:left="276"/>
            </w:pPr>
            <w:r>
              <w:rPr>
                <w:spacing w:val="-2"/>
              </w:rPr>
              <w:t>90</w:t>
            </w:r>
          </w:p>
        </w:tc>
        <w:tc>
          <w:tcPr>
            <w:tcW w:w="849" w:type="dxa"/>
            <w:vAlign w:val="top"/>
          </w:tcPr>
          <w:p>
            <w:pPr>
              <w:spacing w:before="49" w:line="191"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28" w:type="dxa"/>
            <w:vAlign w:val="top"/>
          </w:tcPr>
          <w:p>
            <w:pPr>
              <w:pStyle w:val="6"/>
              <w:spacing w:before="85" w:line="180" w:lineRule="auto"/>
              <w:ind w:left="113"/>
            </w:pPr>
            <w:r>
              <w:rPr>
                <w:spacing w:val="-3"/>
              </w:rPr>
              <w:t>30</w:t>
            </w:r>
          </w:p>
        </w:tc>
        <w:tc>
          <w:tcPr>
            <w:tcW w:w="689" w:type="dxa"/>
            <w:gridSpan w:val="2"/>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pStyle w:val="6"/>
              <w:spacing w:before="85" w:line="180" w:lineRule="auto"/>
              <w:ind w:left="192"/>
            </w:pPr>
            <w:r>
              <w:rPr>
                <w:spacing w:val="-3"/>
              </w:rPr>
              <w:t>30</w:t>
            </w: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584" w:type="dxa"/>
            <w:gridSpan w:val="2"/>
            <w:vAlign w:val="top"/>
          </w:tcPr>
          <w:p>
            <w:pPr>
              <w:rPr>
                <w:rFonts w:ascii="Arial"/>
                <w:sz w:val="21"/>
              </w:rPr>
            </w:pPr>
          </w:p>
        </w:tc>
        <w:tc>
          <w:tcPr>
            <w:tcW w:w="584" w:type="dxa"/>
            <w:gridSpan w:val="2"/>
            <w:vAlign w:val="top"/>
          </w:tcPr>
          <w:p>
            <w:pPr>
              <w:rPr>
                <w:rFonts w:ascii="Arial"/>
                <w:sz w:val="21"/>
              </w:rPr>
            </w:pPr>
          </w:p>
        </w:tc>
        <w:tc>
          <w:tcPr>
            <w:tcW w:w="58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49" w:line="190" w:lineRule="auto"/>
              <w:ind w:left="213"/>
              <w:rPr>
                <w:rFonts w:ascii="仿宋" w:hAnsi="仿宋" w:eastAsia="仿宋" w:cs="仿宋"/>
                <w:sz w:val="21"/>
                <w:szCs w:val="21"/>
              </w:rPr>
            </w:pPr>
            <w:r>
              <w:rPr>
                <w:rFonts w:ascii="仿宋" w:hAnsi="仿宋" w:eastAsia="仿宋" w:cs="仿宋"/>
                <w:spacing w:val="-4"/>
                <w:sz w:val="21"/>
                <w:szCs w:val="21"/>
              </w:rPr>
              <w:t>花椒</w:t>
            </w:r>
          </w:p>
        </w:tc>
        <w:tc>
          <w:tcPr>
            <w:tcW w:w="849" w:type="dxa"/>
            <w:vAlign w:val="top"/>
          </w:tcPr>
          <w:p>
            <w:pPr>
              <w:spacing w:before="49" w:line="190" w:lineRule="auto"/>
              <w:ind w:left="228"/>
              <w:rPr>
                <w:rFonts w:ascii="仿宋" w:hAnsi="仿宋" w:eastAsia="仿宋" w:cs="仿宋"/>
                <w:sz w:val="21"/>
                <w:szCs w:val="21"/>
              </w:rPr>
            </w:pPr>
            <w:r>
              <w:rPr>
                <w:rFonts w:ascii="仿宋" w:hAnsi="仿宋" w:eastAsia="仿宋" w:cs="仿宋"/>
                <w:spacing w:val="-5"/>
                <w:sz w:val="21"/>
                <w:szCs w:val="21"/>
              </w:rPr>
              <w:t>全年</w:t>
            </w:r>
          </w:p>
        </w:tc>
        <w:tc>
          <w:tcPr>
            <w:tcW w:w="754" w:type="dxa"/>
            <w:vAlign w:val="top"/>
          </w:tcPr>
          <w:p>
            <w:pPr>
              <w:pStyle w:val="6"/>
              <w:spacing w:before="85" w:line="179" w:lineRule="auto"/>
              <w:ind w:left="276"/>
            </w:pPr>
            <w:r>
              <w:rPr>
                <w:spacing w:val="-2"/>
              </w:rPr>
              <w:t>90</w:t>
            </w:r>
          </w:p>
        </w:tc>
        <w:tc>
          <w:tcPr>
            <w:tcW w:w="849" w:type="dxa"/>
            <w:vAlign w:val="top"/>
          </w:tcPr>
          <w:p>
            <w:pPr>
              <w:spacing w:before="49" w:line="190" w:lineRule="auto"/>
              <w:ind w:left="235"/>
              <w:rPr>
                <w:rFonts w:ascii="仿宋" w:hAnsi="仿宋" w:eastAsia="仿宋" w:cs="仿宋"/>
                <w:sz w:val="21"/>
                <w:szCs w:val="21"/>
              </w:rPr>
            </w:pPr>
            <w:r>
              <w:rPr>
                <w:rFonts w:ascii="仿宋" w:hAnsi="仿宋" w:eastAsia="仿宋" w:cs="仿宋"/>
                <w:spacing w:val="-14"/>
                <w:sz w:val="21"/>
                <w:szCs w:val="21"/>
              </w:rPr>
              <w:t>多次</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pStyle w:val="6"/>
              <w:spacing w:before="85" w:line="179" w:lineRule="auto"/>
              <w:ind w:left="206"/>
            </w:pPr>
            <w:r>
              <w:rPr>
                <w:spacing w:val="-6"/>
              </w:rPr>
              <w:t>18</w:t>
            </w:r>
          </w:p>
        </w:tc>
        <w:tc>
          <w:tcPr>
            <w:tcW w:w="428" w:type="dxa"/>
            <w:vAlign w:val="top"/>
          </w:tcPr>
          <w:p>
            <w:pPr>
              <w:rPr>
                <w:rFonts w:ascii="Arial"/>
                <w:sz w:val="21"/>
              </w:rPr>
            </w:pPr>
          </w:p>
        </w:tc>
        <w:tc>
          <w:tcPr>
            <w:tcW w:w="689" w:type="dxa"/>
            <w:gridSpan w:val="2"/>
            <w:vAlign w:val="top"/>
          </w:tcPr>
          <w:p>
            <w:pPr>
              <w:rPr>
                <w:rFonts w:ascii="Arial"/>
                <w:sz w:val="21"/>
              </w:rPr>
            </w:pPr>
          </w:p>
        </w:tc>
        <w:tc>
          <w:tcPr>
            <w:tcW w:w="427" w:type="dxa"/>
            <w:vAlign w:val="top"/>
          </w:tcPr>
          <w:p>
            <w:pPr>
              <w:pStyle w:val="6"/>
              <w:spacing w:before="85" w:line="179" w:lineRule="auto"/>
              <w:ind w:left="128"/>
            </w:pPr>
            <w:r>
              <w:rPr>
                <w:spacing w:val="-6"/>
              </w:rPr>
              <w:t>18</w:t>
            </w: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pStyle w:val="6"/>
              <w:spacing w:before="85" w:line="179" w:lineRule="auto"/>
              <w:ind w:left="241"/>
            </w:pPr>
            <w:r>
              <w:rPr>
                <w:spacing w:val="-6"/>
              </w:rPr>
              <w:t>18</w:t>
            </w: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pStyle w:val="6"/>
              <w:spacing w:before="85" w:line="179" w:lineRule="auto"/>
              <w:ind w:left="208"/>
            </w:pPr>
            <w:r>
              <w:rPr>
                <w:spacing w:val="-6"/>
              </w:rPr>
              <w:t>18</w:t>
            </w: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pStyle w:val="6"/>
              <w:spacing w:before="85" w:line="179" w:lineRule="auto"/>
              <w:ind w:left="206"/>
            </w:pPr>
            <w:r>
              <w:rPr>
                <w:spacing w:val="-6"/>
              </w:rPr>
              <w:t>18</w:t>
            </w:r>
          </w:p>
        </w:tc>
        <w:tc>
          <w:tcPr>
            <w:tcW w:w="584" w:type="dxa"/>
            <w:gridSpan w:val="2"/>
            <w:vAlign w:val="top"/>
          </w:tcPr>
          <w:p>
            <w:pPr>
              <w:rPr>
                <w:rFonts w:ascii="Arial"/>
                <w:sz w:val="21"/>
              </w:rPr>
            </w:pPr>
          </w:p>
        </w:tc>
        <w:tc>
          <w:tcPr>
            <w:tcW w:w="584" w:type="dxa"/>
            <w:gridSpan w:val="2"/>
            <w:vAlign w:val="top"/>
          </w:tcPr>
          <w:p>
            <w:pPr>
              <w:rPr>
                <w:rFonts w:ascii="Arial"/>
                <w:sz w:val="21"/>
              </w:rPr>
            </w:pPr>
          </w:p>
        </w:tc>
        <w:tc>
          <w:tcPr>
            <w:tcW w:w="58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51" w:line="189" w:lineRule="auto"/>
              <w:ind w:left="211"/>
              <w:rPr>
                <w:rFonts w:ascii="仿宋" w:hAnsi="仿宋" w:eastAsia="仿宋" w:cs="仿宋"/>
                <w:sz w:val="21"/>
                <w:szCs w:val="21"/>
              </w:rPr>
            </w:pPr>
            <w:r>
              <w:rPr>
                <w:rFonts w:ascii="仿宋" w:hAnsi="仿宋" w:eastAsia="仿宋" w:cs="仿宋"/>
                <w:spacing w:val="-4"/>
                <w:sz w:val="21"/>
                <w:szCs w:val="21"/>
              </w:rPr>
              <w:t>蚕桑</w:t>
            </w:r>
          </w:p>
        </w:tc>
        <w:tc>
          <w:tcPr>
            <w:tcW w:w="849" w:type="dxa"/>
            <w:vAlign w:val="top"/>
          </w:tcPr>
          <w:p>
            <w:pPr>
              <w:spacing w:before="51" w:line="189" w:lineRule="auto"/>
              <w:ind w:left="228"/>
              <w:rPr>
                <w:rFonts w:ascii="仿宋" w:hAnsi="仿宋" w:eastAsia="仿宋" w:cs="仿宋"/>
                <w:sz w:val="21"/>
                <w:szCs w:val="21"/>
              </w:rPr>
            </w:pPr>
            <w:r>
              <w:rPr>
                <w:rFonts w:ascii="仿宋" w:hAnsi="仿宋" w:eastAsia="仿宋" w:cs="仿宋"/>
                <w:spacing w:val="-5"/>
                <w:sz w:val="21"/>
                <w:szCs w:val="21"/>
              </w:rPr>
              <w:t>全年</w:t>
            </w:r>
          </w:p>
        </w:tc>
        <w:tc>
          <w:tcPr>
            <w:tcW w:w="754" w:type="dxa"/>
            <w:vAlign w:val="top"/>
          </w:tcPr>
          <w:p>
            <w:pPr>
              <w:pStyle w:val="6"/>
              <w:spacing w:before="86" w:line="178" w:lineRule="auto"/>
              <w:ind w:left="241"/>
            </w:pPr>
            <w:r>
              <w:rPr>
                <w:spacing w:val="-6"/>
              </w:rPr>
              <w:t>105</w:t>
            </w:r>
          </w:p>
        </w:tc>
        <w:tc>
          <w:tcPr>
            <w:tcW w:w="849" w:type="dxa"/>
            <w:vAlign w:val="top"/>
          </w:tcPr>
          <w:p>
            <w:pPr>
              <w:spacing w:before="51" w:line="189"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pStyle w:val="6"/>
              <w:spacing w:before="89" w:line="175" w:lineRule="auto"/>
              <w:ind w:left="243"/>
            </w:pPr>
            <w:r>
              <w:t>7</w:t>
            </w:r>
          </w:p>
        </w:tc>
        <w:tc>
          <w:tcPr>
            <w:tcW w:w="585" w:type="dxa"/>
            <w:vAlign w:val="top"/>
          </w:tcPr>
          <w:p>
            <w:pPr>
              <w:pStyle w:val="6"/>
              <w:spacing w:before="89" w:line="175" w:lineRule="auto"/>
              <w:ind w:left="243"/>
            </w:pPr>
            <w:r>
              <w:t>7</w:t>
            </w:r>
          </w:p>
        </w:tc>
        <w:tc>
          <w:tcPr>
            <w:tcW w:w="583" w:type="dxa"/>
            <w:vAlign w:val="top"/>
          </w:tcPr>
          <w:p>
            <w:pPr>
              <w:pStyle w:val="6"/>
              <w:spacing w:before="89" w:line="175" w:lineRule="auto"/>
              <w:ind w:left="242"/>
            </w:pPr>
            <w:r>
              <w:t>7</w:t>
            </w:r>
          </w:p>
        </w:tc>
        <w:tc>
          <w:tcPr>
            <w:tcW w:w="428" w:type="dxa"/>
            <w:vAlign w:val="top"/>
          </w:tcPr>
          <w:p>
            <w:pPr>
              <w:pStyle w:val="6"/>
              <w:spacing w:before="89" w:line="175" w:lineRule="auto"/>
              <w:ind w:left="165"/>
            </w:pPr>
            <w:r>
              <w:t>7</w:t>
            </w:r>
          </w:p>
        </w:tc>
        <w:tc>
          <w:tcPr>
            <w:tcW w:w="689" w:type="dxa"/>
            <w:gridSpan w:val="2"/>
            <w:vAlign w:val="top"/>
          </w:tcPr>
          <w:p>
            <w:pPr>
              <w:pStyle w:val="6"/>
              <w:spacing w:before="89" w:line="175" w:lineRule="auto"/>
              <w:ind w:left="294"/>
            </w:pPr>
            <w:r>
              <w:t>7</w:t>
            </w:r>
          </w:p>
        </w:tc>
        <w:tc>
          <w:tcPr>
            <w:tcW w:w="427" w:type="dxa"/>
            <w:vAlign w:val="top"/>
          </w:tcPr>
          <w:p>
            <w:pPr>
              <w:pStyle w:val="6"/>
              <w:spacing w:before="89" w:line="175" w:lineRule="auto"/>
              <w:ind w:left="164"/>
            </w:pPr>
            <w:r>
              <w:t>7</w:t>
            </w:r>
          </w:p>
        </w:tc>
        <w:tc>
          <w:tcPr>
            <w:tcW w:w="655" w:type="dxa"/>
            <w:vAlign w:val="top"/>
          </w:tcPr>
          <w:p>
            <w:pPr>
              <w:pStyle w:val="6"/>
              <w:spacing w:before="89" w:line="175" w:lineRule="auto"/>
              <w:ind w:left="277"/>
            </w:pPr>
            <w:r>
              <w:t>7</w:t>
            </w:r>
          </w:p>
        </w:tc>
        <w:tc>
          <w:tcPr>
            <w:tcW w:w="654" w:type="dxa"/>
            <w:vAlign w:val="top"/>
          </w:tcPr>
          <w:p>
            <w:pPr>
              <w:pStyle w:val="6"/>
              <w:spacing w:before="89" w:line="175" w:lineRule="auto"/>
              <w:ind w:left="277"/>
            </w:pPr>
            <w:r>
              <w:t>7</w:t>
            </w:r>
          </w:p>
        </w:tc>
        <w:tc>
          <w:tcPr>
            <w:tcW w:w="655" w:type="dxa"/>
            <w:vAlign w:val="top"/>
          </w:tcPr>
          <w:p>
            <w:pPr>
              <w:pStyle w:val="6"/>
              <w:spacing w:before="89" w:line="175" w:lineRule="auto"/>
              <w:ind w:left="277"/>
            </w:pPr>
            <w:r>
              <w:t>7</w:t>
            </w:r>
          </w:p>
        </w:tc>
        <w:tc>
          <w:tcPr>
            <w:tcW w:w="655" w:type="dxa"/>
            <w:vAlign w:val="top"/>
          </w:tcPr>
          <w:p>
            <w:pPr>
              <w:pStyle w:val="6"/>
              <w:spacing w:before="89" w:line="175" w:lineRule="auto"/>
              <w:ind w:left="277"/>
            </w:pPr>
            <w:r>
              <w:t>7</w:t>
            </w:r>
          </w:p>
        </w:tc>
        <w:tc>
          <w:tcPr>
            <w:tcW w:w="655" w:type="dxa"/>
            <w:vAlign w:val="top"/>
          </w:tcPr>
          <w:p>
            <w:pPr>
              <w:pStyle w:val="6"/>
              <w:spacing w:before="89" w:line="175" w:lineRule="auto"/>
              <w:ind w:left="278"/>
            </w:pPr>
            <w:r>
              <w:t>7</w:t>
            </w:r>
          </w:p>
        </w:tc>
        <w:tc>
          <w:tcPr>
            <w:tcW w:w="584" w:type="dxa"/>
            <w:vAlign w:val="top"/>
          </w:tcPr>
          <w:p>
            <w:pPr>
              <w:pStyle w:val="6"/>
              <w:spacing w:before="89" w:line="175" w:lineRule="auto"/>
              <w:ind w:left="244"/>
            </w:pPr>
            <w:r>
              <w:t>7</w:t>
            </w:r>
          </w:p>
        </w:tc>
        <w:tc>
          <w:tcPr>
            <w:tcW w:w="689" w:type="dxa"/>
            <w:vAlign w:val="top"/>
          </w:tcPr>
          <w:p>
            <w:pPr>
              <w:pStyle w:val="6"/>
              <w:spacing w:before="89" w:line="175" w:lineRule="auto"/>
              <w:ind w:left="295"/>
            </w:pPr>
            <w:r>
              <w:t>7</w:t>
            </w:r>
          </w:p>
        </w:tc>
        <w:tc>
          <w:tcPr>
            <w:tcW w:w="585" w:type="dxa"/>
            <w:vAlign w:val="top"/>
          </w:tcPr>
          <w:p>
            <w:pPr>
              <w:pStyle w:val="6"/>
              <w:spacing w:before="89" w:line="175" w:lineRule="auto"/>
              <w:ind w:left="244"/>
            </w:pPr>
            <w:r>
              <w:t>7</w:t>
            </w:r>
          </w:p>
        </w:tc>
        <w:tc>
          <w:tcPr>
            <w:tcW w:w="583" w:type="dxa"/>
            <w:vAlign w:val="top"/>
          </w:tcPr>
          <w:p>
            <w:pPr>
              <w:pStyle w:val="6"/>
              <w:spacing w:before="89" w:line="175" w:lineRule="auto"/>
              <w:ind w:left="242"/>
            </w:pPr>
            <w:r>
              <w:t>7</w:t>
            </w:r>
          </w:p>
        </w:tc>
        <w:tc>
          <w:tcPr>
            <w:tcW w:w="584" w:type="dxa"/>
            <w:gridSpan w:val="2"/>
            <w:vAlign w:val="top"/>
          </w:tcPr>
          <w:p>
            <w:pPr>
              <w:rPr>
                <w:rFonts w:ascii="Arial"/>
                <w:sz w:val="21"/>
              </w:rPr>
            </w:pPr>
          </w:p>
        </w:tc>
        <w:tc>
          <w:tcPr>
            <w:tcW w:w="584" w:type="dxa"/>
            <w:gridSpan w:val="2"/>
            <w:vAlign w:val="top"/>
          </w:tcPr>
          <w:p>
            <w:pPr>
              <w:rPr>
                <w:rFonts w:ascii="Arial"/>
                <w:sz w:val="21"/>
              </w:rPr>
            </w:pPr>
          </w:p>
        </w:tc>
        <w:tc>
          <w:tcPr>
            <w:tcW w:w="58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803" w:type="dxa"/>
            <w:vMerge w:val="restart"/>
            <w:tcBorders>
              <w:left w:val="nil"/>
              <w:bottom w:val="nil"/>
            </w:tcBorders>
            <w:vAlign w:val="top"/>
          </w:tcPr>
          <w:p>
            <w:pPr>
              <w:spacing w:line="256" w:lineRule="auto"/>
              <w:rPr>
                <w:rFonts w:ascii="Arial"/>
                <w:sz w:val="21"/>
              </w:rPr>
            </w:pPr>
          </w:p>
          <w:p>
            <w:pPr>
              <w:spacing w:before="68" w:line="238" w:lineRule="auto"/>
              <w:ind w:left="215"/>
              <w:rPr>
                <w:rFonts w:ascii="仿宋" w:hAnsi="仿宋" w:eastAsia="仿宋" w:cs="仿宋"/>
                <w:sz w:val="21"/>
                <w:szCs w:val="21"/>
              </w:rPr>
            </w:pPr>
            <w:r>
              <w:rPr>
                <w:rFonts w:ascii="仿宋" w:hAnsi="仿宋" w:eastAsia="仿宋" w:cs="仿宋"/>
                <w:spacing w:val="-5"/>
                <w:sz w:val="21"/>
                <w:szCs w:val="21"/>
              </w:rPr>
              <w:t>旱作</w:t>
            </w:r>
          </w:p>
          <w:p>
            <w:pPr>
              <w:spacing w:line="216" w:lineRule="auto"/>
              <w:ind w:left="212"/>
              <w:rPr>
                <w:rFonts w:ascii="仿宋" w:hAnsi="仿宋" w:eastAsia="仿宋" w:cs="仿宋"/>
                <w:sz w:val="21"/>
                <w:szCs w:val="21"/>
              </w:rPr>
            </w:pPr>
            <w:r>
              <w:rPr>
                <w:rFonts w:ascii="仿宋" w:hAnsi="仿宋" w:eastAsia="仿宋" w:cs="仿宋"/>
                <w:spacing w:val="-4"/>
                <w:sz w:val="21"/>
                <w:szCs w:val="21"/>
              </w:rPr>
              <w:t>名称</w:t>
            </w:r>
          </w:p>
        </w:tc>
        <w:tc>
          <w:tcPr>
            <w:tcW w:w="849" w:type="dxa"/>
            <w:vMerge w:val="restart"/>
            <w:tcBorders>
              <w:bottom w:val="nil"/>
            </w:tcBorders>
            <w:vAlign w:val="top"/>
          </w:tcPr>
          <w:p>
            <w:pPr>
              <w:spacing w:before="189" w:line="229" w:lineRule="auto"/>
              <w:ind w:left="348" w:right="108" w:hanging="230"/>
              <w:rPr>
                <w:rFonts w:ascii="仿宋" w:hAnsi="仿宋" w:eastAsia="仿宋" w:cs="仿宋"/>
                <w:sz w:val="21"/>
                <w:szCs w:val="21"/>
              </w:rPr>
            </w:pPr>
            <w:r>
              <w:rPr>
                <w:rFonts w:ascii="仿宋" w:hAnsi="仿宋" w:eastAsia="仿宋" w:cs="仿宋"/>
                <w:spacing w:val="-5"/>
                <w:sz w:val="21"/>
                <w:szCs w:val="21"/>
              </w:rPr>
              <w:t>播收时</w:t>
            </w:r>
            <w:r>
              <w:rPr>
                <w:rFonts w:ascii="仿宋" w:hAnsi="仿宋" w:eastAsia="仿宋" w:cs="仿宋"/>
                <w:sz w:val="21"/>
                <w:szCs w:val="21"/>
              </w:rPr>
              <w:t xml:space="preserve"> 间</w:t>
            </w:r>
          </w:p>
          <w:p>
            <w:pPr>
              <w:spacing w:before="23" w:line="219" w:lineRule="auto"/>
              <w:ind w:left="119"/>
              <w:rPr>
                <w:rFonts w:ascii="仿宋" w:hAnsi="仿宋" w:eastAsia="仿宋" w:cs="仿宋"/>
                <w:sz w:val="21"/>
                <w:szCs w:val="21"/>
              </w:rPr>
            </w:pPr>
            <w:r>
              <w:rPr>
                <w:rFonts w:ascii="仿宋" w:hAnsi="仿宋" w:eastAsia="仿宋" w:cs="仿宋"/>
                <w:spacing w:val="-7"/>
                <w:sz w:val="21"/>
                <w:szCs w:val="21"/>
              </w:rPr>
              <w:t>（月）</w:t>
            </w:r>
          </w:p>
        </w:tc>
        <w:tc>
          <w:tcPr>
            <w:tcW w:w="754" w:type="dxa"/>
            <w:vMerge w:val="restart"/>
            <w:tcBorders>
              <w:bottom w:val="nil"/>
            </w:tcBorders>
            <w:vAlign w:val="top"/>
          </w:tcPr>
          <w:p>
            <w:pPr>
              <w:pStyle w:val="6"/>
              <w:spacing w:before="52" w:line="226" w:lineRule="auto"/>
              <w:ind w:left="118" w:right="106" w:firstLine="62"/>
              <w:jc w:val="both"/>
              <w:rPr>
                <w:rFonts w:ascii="仿宋" w:hAnsi="仿宋" w:eastAsia="仿宋" w:cs="仿宋"/>
              </w:rPr>
            </w:pPr>
            <w:r>
              <w:rPr>
                <w:rFonts w:ascii="仿宋" w:hAnsi="仿宋" w:eastAsia="仿宋" w:cs="仿宋"/>
                <w:spacing w:val="-9"/>
              </w:rPr>
              <w:t>灌溉</w:t>
            </w:r>
            <w:r>
              <w:rPr>
                <w:rFonts w:ascii="仿宋" w:hAnsi="仿宋" w:eastAsia="仿宋" w:cs="仿宋"/>
              </w:rPr>
              <w:t xml:space="preserve"> </w:t>
            </w:r>
            <w:r>
              <w:rPr>
                <w:rFonts w:ascii="仿宋" w:hAnsi="仿宋" w:eastAsia="仿宋" w:cs="仿宋"/>
                <w:spacing w:val="22"/>
              </w:rPr>
              <w:t>定额</w:t>
            </w:r>
            <w:r>
              <w:rPr>
                <w:rFonts w:ascii="仿宋" w:hAnsi="仿宋" w:eastAsia="仿宋" w:cs="仿宋"/>
              </w:rPr>
              <w:t xml:space="preserve"> </w:t>
            </w:r>
            <w:r>
              <w:rPr>
                <w:rFonts w:ascii="仿宋" w:hAnsi="仿宋" w:eastAsia="仿宋" w:cs="仿宋"/>
                <w:spacing w:val="-4"/>
              </w:rPr>
              <w:t>（</w:t>
            </w:r>
            <w:r>
              <w:rPr>
                <w:spacing w:val="-4"/>
              </w:rPr>
              <w:t>m3/</w:t>
            </w:r>
            <w:r>
              <w:rPr>
                <w:spacing w:val="2"/>
              </w:rPr>
              <w:t xml:space="preserve"> </w:t>
            </w:r>
            <w:r>
              <w:rPr>
                <w:rFonts w:ascii="仿宋" w:hAnsi="仿宋" w:eastAsia="仿宋" w:cs="仿宋"/>
                <w:spacing w:val="15"/>
              </w:rPr>
              <w:t>亩）</w:t>
            </w:r>
          </w:p>
        </w:tc>
        <w:tc>
          <w:tcPr>
            <w:tcW w:w="849" w:type="dxa"/>
            <w:vMerge w:val="restart"/>
            <w:tcBorders>
              <w:bottom w:val="nil"/>
            </w:tcBorders>
            <w:vAlign w:val="top"/>
          </w:tcPr>
          <w:p>
            <w:pPr>
              <w:spacing w:before="189" w:line="229" w:lineRule="auto"/>
              <w:ind w:left="327" w:right="109" w:hanging="206"/>
              <w:rPr>
                <w:rFonts w:ascii="仿宋" w:hAnsi="仿宋" w:eastAsia="仿宋" w:cs="仿宋"/>
                <w:sz w:val="21"/>
                <w:szCs w:val="21"/>
              </w:rPr>
            </w:pPr>
            <w:r>
              <w:rPr>
                <w:rFonts w:ascii="仿宋" w:hAnsi="仿宋" w:eastAsia="仿宋" w:cs="仿宋"/>
                <w:spacing w:val="-6"/>
                <w:sz w:val="21"/>
                <w:szCs w:val="21"/>
              </w:rPr>
              <w:t>灌水次</w:t>
            </w:r>
            <w:r>
              <w:rPr>
                <w:rFonts w:ascii="仿宋" w:hAnsi="仿宋" w:eastAsia="仿宋" w:cs="仿宋"/>
                <w:sz w:val="21"/>
                <w:szCs w:val="21"/>
              </w:rPr>
              <w:t xml:space="preserve"> 数</w:t>
            </w:r>
          </w:p>
          <w:p>
            <w:pPr>
              <w:spacing w:before="23" w:line="219" w:lineRule="auto"/>
              <w:ind w:left="118"/>
              <w:rPr>
                <w:rFonts w:ascii="仿宋" w:hAnsi="仿宋" w:eastAsia="仿宋" w:cs="仿宋"/>
                <w:sz w:val="21"/>
                <w:szCs w:val="21"/>
              </w:rPr>
            </w:pPr>
            <w:r>
              <w:rPr>
                <w:rFonts w:ascii="仿宋" w:hAnsi="仿宋" w:eastAsia="仿宋" w:cs="仿宋"/>
                <w:spacing w:val="-7"/>
                <w:sz w:val="21"/>
                <w:szCs w:val="21"/>
              </w:rPr>
              <w:t>（次）</w:t>
            </w:r>
          </w:p>
        </w:tc>
        <w:tc>
          <w:tcPr>
            <w:tcW w:w="10762" w:type="dxa"/>
            <w:gridSpan w:val="21"/>
            <w:tcBorders>
              <w:right w:val="nil"/>
            </w:tcBorders>
            <w:vAlign w:val="top"/>
          </w:tcPr>
          <w:p>
            <w:pPr>
              <w:pStyle w:val="6"/>
              <w:spacing w:before="53" w:line="189" w:lineRule="auto"/>
              <w:ind w:left="2606"/>
              <w:rPr>
                <w:rFonts w:ascii="仿宋" w:hAnsi="仿宋" w:eastAsia="仿宋" w:cs="仿宋"/>
              </w:rPr>
            </w:pPr>
            <w:r>
              <w:rPr>
                <w:rFonts w:ascii="仿宋" w:hAnsi="仿宋" w:eastAsia="仿宋" w:cs="仿宋"/>
                <w:spacing w:val="-11"/>
              </w:rPr>
              <w:t>灌  水</w:t>
            </w:r>
            <w:r>
              <w:rPr>
                <w:rFonts w:ascii="仿宋" w:hAnsi="仿宋" w:eastAsia="仿宋" w:cs="仿宋"/>
                <w:spacing w:val="14"/>
              </w:rPr>
              <w:t xml:space="preserve">  </w:t>
            </w:r>
            <w:r>
              <w:rPr>
                <w:rFonts w:ascii="仿宋" w:hAnsi="仿宋" w:eastAsia="仿宋" w:cs="仿宋"/>
                <w:spacing w:val="-11"/>
              </w:rPr>
              <w:t>时</w:t>
            </w:r>
            <w:r>
              <w:rPr>
                <w:rFonts w:ascii="仿宋" w:hAnsi="仿宋" w:eastAsia="仿宋" w:cs="仿宋"/>
                <w:spacing w:val="17"/>
              </w:rPr>
              <w:t xml:space="preserve">  </w:t>
            </w:r>
            <w:r>
              <w:rPr>
                <w:rFonts w:ascii="仿宋" w:hAnsi="仿宋" w:eastAsia="仿宋" w:cs="仿宋"/>
                <w:spacing w:val="-11"/>
              </w:rPr>
              <w:t>间</w:t>
            </w:r>
            <w:r>
              <w:rPr>
                <w:rFonts w:ascii="仿宋" w:hAnsi="仿宋" w:eastAsia="仿宋" w:cs="仿宋"/>
                <w:spacing w:val="19"/>
              </w:rPr>
              <w:t xml:space="preserve">  </w:t>
            </w:r>
            <w:r>
              <w:rPr>
                <w:rFonts w:ascii="仿宋" w:hAnsi="仿宋" w:eastAsia="仿宋" w:cs="仿宋"/>
                <w:spacing w:val="-11"/>
              </w:rPr>
              <w:t>（旬）   及  灌</w:t>
            </w:r>
            <w:r>
              <w:rPr>
                <w:rFonts w:ascii="仿宋" w:hAnsi="仿宋" w:eastAsia="仿宋" w:cs="仿宋"/>
                <w:spacing w:val="6"/>
              </w:rPr>
              <w:t xml:space="preserve">  </w:t>
            </w:r>
            <w:r>
              <w:rPr>
                <w:rFonts w:ascii="仿宋" w:hAnsi="仿宋" w:eastAsia="仿宋" w:cs="仿宋"/>
                <w:spacing w:val="-11"/>
              </w:rPr>
              <w:t>水</w:t>
            </w:r>
            <w:r>
              <w:rPr>
                <w:rFonts w:ascii="仿宋" w:hAnsi="仿宋" w:eastAsia="仿宋" w:cs="仿宋"/>
                <w:spacing w:val="10"/>
              </w:rPr>
              <w:t xml:space="preserve">  </w:t>
            </w:r>
            <w:r>
              <w:rPr>
                <w:rFonts w:ascii="仿宋" w:hAnsi="仿宋" w:eastAsia="仿宋" w:cs="仿宋"/>
                <w:spacing w:val="-11"/>
              </w:rPr>
              <w:t>定</w:t>
            </w:r>
            <w:r>
              <w:rPr>
                <w:rFonts w:ascii="仿宋" w:hAnsi="仿宋" w:eastAsia="仿宋" w:cs="仿宋"/>
                <w:spacing w:val="7"/>
              </w:rPr>
              <w:t xml:space="preserve">  </w:t>
            </w:r>
            <w:r>
              <w:rPr>
                <w:rFonts w:ascii="仿宋" w:hAnsi="仿宋" w:eastAsia="仿宋" w:cs="仿宋"/>
                <w:spacing w:val="-11"/>
              </w:rPr>
              <w:t>额</w:t>
            </w:r>
            <w:r>
              <w:rPr>
                <w:rFonts w:ascii="仿宋" w:hAnsi="仿宋" w:eastAsia="仿宋" w:cs="仿宋"/>
                <w:spacing w:val="103"/>
              </w:rPr>
              <w:t xml:space="preserve"> </w:t>
            </w:r>
            <w:r>
              <w:rPr>
                <w:rFonts w:ascii="仿宋" w:hAnsi="仿宋" w:eastAsia="仿宋" w:cs="仿宋"/>
                <w:spacing w:val="-11"/>
              </w:rPr>
              <w:t>（</w:t>
            </w:r>
            <w:r>
              <w:rPr>
                <w:spacing w:val="-11"/>
              </w:rPr>
              <w:t>m3/</w:t>
            </w:r>
            <w:r>
              <w:rPr>
                <w:rFonts w:ascii="仿宋" w:hAnsi="仿宋" w:eastAsia="仿宋" w:cs="仿宋"/>
                <w:spacing w:val="-11"/>
              </w:rPr>
              <w:t>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vMerge w:val="continue"/>
            <w:tcBorders>
              <w:top w:val="nil"/>
              <w:left w:val="nil"/>
              <w:bottom w:val="nil"/>
            </w:tcBorders>
            <w:vAlign w:val="top"/>
          </w:tcPr>
          <w:p>
            <w:pPr>
              <w:rPr>
                <w:rFonts w:ascii="Arial"/>
                <w:sz w:val="21"/>
              </w:rPr>
            </w:pPr>
          </w:p>
        </w:tc>
        <w:tc>
          <w:tcPr>
            <w:tcW w:w="849" w:type="dxa"/>
            <w:vMerge w:val="continue"/>
            <w:tcBorders>
              <w:top w:val="nil"/>
              <w:bottom w:val="nil"/>
            </w:tcBorders>
            <w:vAlign w:val="top"/>
          </w:tcPr>
          <w:p>
            <w:pPr>
              <w:rPr>
                <w:rFonts w:ascii="Arial"/>
                <w:sz w:val="21"/>
              </w:rPr>
            </w:pPr>
          </w:p>
        </w:tc>
        <w:tc>
          <w:tcPr>
            <w:tcW w:w="754" w:type="dxa"/>
            <w:vMerge w:val="continue"/>
            <w:tcBorders>
              <w:top w:val="nil"/>
              <w:bottom w:val="nil"/>
            </w:tcBorders>
            <w:vAlign w:val="top"/>
          </w:tcPr>
          <w:p>
            <w:pPr>
              <w:rPr>
                <w:rFonts w:ascii="Arial"/>
                <w:sz w:val="21"/>
              </w:rPr>
            </w:pPr>
          </w:p>
        </w:tc>
        <w:tc>
          <w:tcPr>
            <w:tcW w:w="849" w:type="dxa"/>
            <w:vMerge w:val="continue"/>
            <w:tcBorders>
              <w:top w:val="nil"/>
              <w:bottom w:val="nil"/>
            </w:tcBorders>
            <w:vAlign w:val="top"/>
          </w:tcPr>
          <w:p>
            <w:pPr>
              <w:rPr>
                <w:rFonts w:ascii="Arial"/>
                <w:sz w:val="21"/>
              </w:rPr>
            </w:pPr>
          </w:p>
        </w:tc>
        <w:tc>
          <w:tcPr>
            <w:tcW w:w="1752" w:type="dxa"/>
            <w:gridSpan w:val="3"/>
            <w:vAlign w:val="top"/>
          </w:tcPr>
          <w:p>
            <w:pPr>
              <w:spacing w:before="52" w:line="188" w:lineRule="auto"/>
              <w:ind w:left="522"/>
              <w:rPr>
                <w:rFonts w:ascii="仿宋" w:hAnsi="仿宋" w:eastAsia="仿宋" w:cs="仿宋"/>
                <w:sz w:val="21"/>
                <w:szCs w:val="21"/>
              </w:rPr>
            </w:pPr>
            <w:r>
              <w:rPr>
                <w:rFonts w:ascii="仿宋" w:hAnsi="仿宋" w:eastAsia="仿宋" w:cs="仿宋"/>
                <w:spacing w:val="-10"/>
                <w:sz w:val="21"/>
                <w:szCs w:val="21"/>
              </w:rPr>
              <w:t>七</w:t>
            </w:r>
            <w:r>
              <w:rPr>
                <w:rFonts w:ascii="仿宋" w:hAnsi="仿宋" w:eastAsia="仿宋" w:cs="仿宋"/>
                <w:spacing w:val="8"/>
                <w:sz w:val="21"/>
                <w:szCs w:val="21"/>
              </w:rPr>
              <w:t xml:space="preserve">   </w:t>
            </w:r>
            <w:r>
              <w:rPr>
                <w:rFonts w:ascii="仿宋" w:hAnsi="仿宋" w:eastAsia="仿宋" w:cs="仿宋"/>
                <w:spacing w:val="-10"/>
                <w:sz w:val="21"/>
                <w:szCs w:val="21"/>
              </w:rPr>
              <w:t>月</w:t>
            </w:r>
          </w:p>
        </w:tc>
        <w:tc>
          <w:tcPr>
            <w:tcW w:w="1544" w:type="dxa"/>
            <w:gridSpan w:val="4"/>
            <w:vAlign w:val="top"/>
          </w:tcPr>
          <w:p>
            <w:pPr>
              <w:spacing w:before="52" w:line="188" w:lineRule="auto"/>
              <w:ind w:left="413"/>
              <w:rPr>
                <w:rFonts w:ascii="仿宋" w:hAnsi="仿宋" w:eastAsia="仿宋" w:cs="仿宋"/>
                <w:sz w:val="21"/>
                <w:szCs w:val="21"/>
              </w:rPr>
            </w:pPr>
            <w:r>
              <w:rPr>
                <w:rFonts w:ascii="仿宋" w:hAnsi="仿宋" w:eastAsia="仿宋" w:cs="仿宋"/>
                <w:spacing w:val="-7"/>
                <w:sz w:val="21"/>
                <w:szCs w:val="21"/>
              </w:rPr>
              <w:t>八</w:t>
            </w:r>
            <w:r>
              <w:rPr>
                <w:rFonts w:ascii="仿宋" w:hAnsi="仿宋" w:eastAsia="仿宋" w:cs="仿宋"/>
                <w:spacing w:val="8"/>
                <w:sz w:val="21"/>
                <w:szCs w:val="21"/>
              </w:rPr>
              <w:t xml:space="preserve">   </w:t>
            </w:r>
            <w:r>
              <w:rPr>
                <w:rFonts w:ascii="仿宋" w:hAnsi="仿宋" w:eastAsia="仿宋" w:cs="仿宋"/>
                <w:spacing w:val="-7"/>
                <w:sz w:val="21"/>
                <w:szCs w:val="21"/>
              </w:rPr>
              <w:t>月</w:t>
            </w:r>
          </w:p>
        </w:tc>
        <w:tc>
          <w:tcPr>
            <w:tcW w:w="1964" w:type="dxa"/>
            <w:gridSpan w:val="3"/>
            <w:vAlign w:val="top"/>
          </w:tcPr>
          <w:p>
            <w:pPr>
              <w:spacing w:before="52" w:line="188" w:lineRule="auto"/>
              <w:ind w:left="631"/>
              <w:rPr>
                <w:rFonts w:ascii="仿宋" w:hAnsi="仿宋" w:eastAsia="仿宋" w:cs="仿宋"/>
                <w:sz w:val="21"/>
                <w:szCs w:val="21"/>
              </w:rPr>
            </w:pPr>
            <w:r>
              <w:rPr>
                <w:rFonts w:ascii="仿宋" w:hAnsi="仿宋" w:eastAsia="仿宋" w:cs="仿宋"/>
                <w:spacing w:val="-11"/>
                <w:sz w:val="21"/>
                <w:szCs w:val="21"/>
              </w:rPr>
              <w:t>九</w:t>
            </w:r>
            <w:r>
              <w:rPr>
                <w:rFonts w:ascii="仿宋" w:hAnsi="仿宋" w:eastAsia="仿宋" w:cs="仿宋"/>
                <w:spacing w:val="8"/>
                <w:sz w:val="21"/>
                <w:szCs w:val="21"/>
              </w:rPr>
              <w:t xml:space="preserve">   </w:t>
            </w:r>
            <w:r>
              <w:rPr>
                <w:rFonts w:ascii="仿宋" w:hAnsi="仿宋" w:eastAsia="仿宋" w:cs="仿宋"/>
                <w:spacing w:val="-11"/>
                <w:sz w:val="21"/>
                <w:szCs w:val="21"/>
              </w:rPr>
              <w:t>月</w:t>
            </w:r>
          </w:p>
        </w:tc>
        <w:tc>
          <w:tcPr>
            <w:tcW w:w="1894" w:type="dxa"/>
            <w:gridSpan w:val="3"/>
            <w:vAlign w:val="top"/>
          </w:tcPr>
          <w:p>
            <w:pPr>
              <w:spacing w:before="52" w:line="188" w:lineRule="auto"/>
              <w:ind w:left="541"/>
              <w:rPr>
                <w:rFonts w:ascii="仿宋" w:hAnsi="仿宋" w:eastAsia="仿宋" w:cs="仿宋"/>
                <w:sz w:val="21"/>
                <w:szCs w:val="21"/>
              </w:rPr>
            </w:pPr>
            <w:r>
              <w:rPr>
                <w:rFonts w:ascii="仿宋" w:hAnsi="仿宋" w:eastAsia="仿宋" w:cs="仿宋"/>
                <w:spacing w:val="-10"/>
                <w:sz w:val="21"/>
                <w:szCs w:val="21"/>
              </w:rPr>
              <w:t>十</w:t>
            </w:r>
            <w:r>
              <w:rPr>
                <w:rFonts w:ascii="仿宋" w:hAnsi="仿宋" w:eastAsia="仿宋" w:cs="仿宋"/>
                <w:spacing w:val="6"/>
                <w:sz w:val="21"/>
                <w:szCs w:val="21"/>
              </w:rPr>
              <w:t xml:space="preserve">    </w:t>
            </w:r>
            <w:r>
              <w:rPr>
                <w:rFonts w:ascii="仿宋" w:hAnsi="仿宋" w:eastAsia="仿宋" w:cs="仿宋"/>
                <w:spacing w:val="-10"/>
                <w:sz w:val="21"/>
                <w:szCs w:val="21"/>
              </w:rPr>
              <w:t>月</w:t>
            </w:r>
          </w:p>
        </w:tc>
        <w:tc>
          <w:tcPr>
            <w:tcW w:w="1857" w:type="dxa"/>
            <w:gridSpan w:val="3"/>
            <w:vAlign w:val="top"/>
          </w:tcPr>
          <w:p>
            <w:pPr>
              <w:spacing w:before="52" w:line="188" w:lineRule="auto"/>
              <w:ind w:left="524"/>
              <w:rPr>
                <w:rFonts w:ascii="仿宋" w:hAnsi="仿宋" w:eastAsia="仿宋" w:cs="仿宋"/>
                <w:sz w:val="21"/>
                <w:szCs w:val="21"/>
              </w:rPr>
            </w:pPr>
            <w:r>
              <w:rPr>
                <w:rFonts w:ascii="仿宋" w:hAnsi="仿宋" w:eastAsia="仿宋" w:cs="仿宋"/>
                <w:spacing w:val="-13"/>
                <w:sz w:val="21"/>
                <w:szCs w:val="21"/>
              </w:rPr>
              <w:t>十</w:t>
            </w:r>
            <w:r>
              <w:rPr>
                <w:rFonts w:ascii="仿宋" w:hAnsi="仿宋" w:eastAsia="仿宋" w:cs="仿宋"/>
                <w:spacing w:val="18"/>
                <w:sz w:val="21"/>
                <w:szCs w:val="21"/>
              </w:rPr>
              <w:t xml:space="preserve"> </w:t>
            </w:r>
            <w:r>
              <w:rPr>
                <w:rFonts w:ascii="仿宋" w:hAnsi="仿宋" w:eastAsia="仿宋" w:cs="仿宋"/>
                <w:spacing w:val="-13"/>
                <w:sz w:val="21"/>
                <w:szCs w:val="21"/>
              </w:rPr>
              <w:t>一</w:t>
            </w:r>
            <w:r>
              <w:rPr>
                <w:rFonts w:ascii="仿宋" w:hAnsi="仿宋" w:eastAsia="仿宋" w:cs="仿宋"/>
                <w:spacing w:val="25"/>
                <w:sz w:val="21"/>
                <w:szCs w:val="21"/>
              </w:rPr>
              <w:t xml:space="preserve"> </w:t>
            </w:r>
            <w:r>
              <w:rPr>
                <w:rFonts w:ascii="仿宋" w:hAnsi="仿宋" w:eastAsia="仿宋" w:cs="仿宋"/>
                <w:spacing w:val="-13"/>
                <w:sz w:val="21"/>
                <w:szCs w:val="21"/>
              </w:rPr>
              <w:t>月</w:t>
            </w:r>
          </w:p>
        </w:tc>
        <w:tc>
          <w:tcPr>
            <w:tcW w:w="1751" w:type="dxa"/>
            <w:gridSpan w:val="5"/>
            <w:tcBorders>
              <w:right w:val="nil"/>
            </w:tcBorders>
            <w:vAlign w:val="top"/>
          </w:tcPr>
          <w:p>
            <w:pPr>
              <w:spacing w:before="52" w:line="188" w:lineRule="auto"/>
              <w:ind w:left="472"/>
              <w:rPr>
                <w:rFonts w:ascii="仿宋" w:hAnsi="仿宋" w:eastAsia="仿宋" w:cs="仿宋"/>
                <w:sz w:val="21"/>
                <w:szCs w:val="21"/>
              </w:rPr>
            </w:pPr>
            <w:r>
              <w:rPr>
                <w:rFonts w:ascii="仿宋" w:hAnsi="仿宋" w:eastAsia="仿宋" w:cs="仿宋"/>
                <w:spacing w:val="-14"/>
                <w:sz w:val="21"/>
                <w:szCs w:val="21"/>
              </w:rPr>
              <w:t>十</w:t>
            </w:r>
            <w:r>
              <w:rPr>
                <w:rFonts w:ascii="仿宋" w:hAnsi="仿宋" w:eastAsia="仿宋" w:cs="仿宋"/>
                <w:spacing w:val="21"/>
                <w:sz w:val="21"/>
                <w:szCs w:val="21"/>
              </w:rPr>
              <w:t xml:space="preserve"> </w:t>
            </w:r>
            <w:r>
              <w:rPr>
                <w:rFonts w:ascii="仿宋" w:hAnsi="仿宋" w:eastAsia="仿宋" w:cs="仿宋"/>
                <w:spacing w:val="-14"/>
                <w:sz w:val="21"/>
                <w:szCs w:val="21"/>
              </w:rPr>
              <w:t>二</w:t>
            </w:r>
            <w:r>
              <w:rPr>
                <w:rFonts w:ascii="仿宋" w:hAnsi="仿宋" w:eastAsia="仿宋" w:cs="仿宋"/>
                <w:spacing w:val="25"/>
                <w:sz w:val="21"/>
                <w:szCs w:val="21"/>
              </w:rPr>
              <w:t xml:space="preserve"> </w:t>
            </w:r>
            <w:r>
              <w:rPr>
                <w:rFonts w:ascii="仿宋" w:hAnsi="仿宋" w:eastAsia="仿宋" w:cs="仿宋"/>
                <w:spacing w:val="-14"/>
                <w:sz w:val="21"/>
                <w:szCs w:val="21"/>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7" w:hRule="atLeast"/>
        </w:trPr>
        <w:tc>
          <w:tcPr>
            <w:tcW w:w="803" w:type="dxa"/>
            <w:vMerge w:val="continue"/>
            <w:tcBorders>
              <w:top w:val="nil"/>
              <w:left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754"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584" w:type="dxa"/>
            <w:vAlign w:val="top"/>
          </w:tcPr>
          <w:p>
            <w:pPr>
              <w:spacing w:before="179" w:line="232" w:lineRule="auto"/>
              <w:ind w:left="198"/>
              <w:rPr>
                <w:rFonts w:ascii="仿宋" w:hAnsi="仿宋" w:eastAsia="仿宋" w:cs="仿宋"/>
                <w:sz w:val="21"/>
                <w:szCs w:val="21"/>
              </w:rPr>
            </w:pPr>
            <w:r>
              <w:rPr>
                <w:rFonts w:ascii="仿宋" w:hAnsi="仿宋" w:eastAsia="仿宋" w:cs="仿宋"/>
                <w:sz w:val="21"/>
                <w:szCs w:val="21"/>
              </w:rPr>
              <w:t>上</w:t>
            </w:r>
          </w:p>
        </w:tc>
        <w:tc>
          <w:tcPr>
            <w:tcW w:w="585" w:type="dxa"/>
            <w:vAlign w:val="top"/>
          </w:tcPr>
          <w:p>
            <w:pPr>
              <w:spacing w:before="179" w:line="218" w:lineRule="auto"/>
              <w:ind w:left="223"/>
              <w:rPr>
                <w:rFonts w:ascii="仿宋" w:hAnsi="仿宋" w:eastAsia="仿宋" w:cs="仿宋"/>
                <w:sz w:val="21"/>
                <w:szCs w:val="21"/>
              </w:rPr>
            </w:pPr>
            <w:r>
              <w:rPr>
                <w:rFonts w:ascii="仿宋" w:hAnsi="仿宋" w:eastAsia="仿宋" w:cs="仿宋"/>
                <w:sz w:val="21"/>
                <w:szCs w:val="21"/>
              </w:rPr>
              <w:t>中</w:t>
            </w:r>
          </w:p>
        </w:tc>
        <w:tc>
          <w:tcPr>
            <w:tcW w:w="583" w:type="dxa"/>
            <w:vAlign w:val="top"/>
          </w:tcPr>
          <w:p>
            <w:pPr>
              <w:spacing w:before="179" w:line="218" w:lineRule="auto"/>
              <w:ind w:left="199"/>
              <w:rPr>
                <w:rFonts w:ascii="仿宋" w:hAnsi="仿宋" w:eastAsia="仿宋" w:cs="仿宋"/>
                <w:sz w:val="21"/>
                <w:szCs w:val="21"/>
              </w:rPr>
            </w:pPr>
            <w:r>
              <w:rPr>
                <w:rFonts w:ascii="仿宋" w:hAnsi="仿宋" w:eastAsia="仿宋" w:cs="仿宋"/>
                <w:sz w:val="21"/>
                <w:szCs w:val="21"/>
              </w:rPr>
              <w:t>下</w:t>
            </w:r>
          </w:p>
        </w:tc>
        <w:tc>
          <w:tcPr>
            <w:tcW w:w="691" w:type="dxa"/>
            <w:gridSpan w:val="2"/>
            <w:vAlign w:val="top"/>
          </w:tcPr>
          <w:p>
            <w:pPr>
              <w:spacing w:before="179" w:line="232" w:lineRule="auto"/>
              <w:ind w:left="251"/>
              <w:rPr>
                <w:rFonts w:ascii="仿宋" w:hAnsi="仿宋" w:eastAsia="仿宋" w:cs="仿宋"/>
                <w:sz w:val="21"/>
                <w:szCs w:val="21"/>
              </w:rPr>
            </w:pPr>
            <w:r>
              <w:rPr>
                <w:rFonts w:ascii="仿宋" w:hAnsi="仿宋" w:eastAsia="仿宋" w:cs="仿宋"/>
                <w:sz w:val="21"/>
                <w:szCs w:val="21"/>
              </w:rPr>
              <w:t>上</w:t>
            </w:r>
          </w:p>
        </w:tc>
        <w:tc>
          <w:tcPr>
            <w:tcW w:w="426" w:type="dxa"/>
            <w:vAlign w:val="top"/>
          </w:tcPr>
          <w:p>
            <w:pPr>
              <w:spacing w:before="179" w:line="218" w:lineRule="auto"/>
              <w:ind w:left="145"/>
              <w:rPr>
                <w:rFonts w:ascii="仿宋" w:hAnsi="仿宋" w:eastAsia="仿宋" w:cs="仿宋"/>
                <w:sz w:val="21"/>
                <w:szCs w:val="21"/>
              </w:rPr>
            </w:pPr>
            <w:r>
              <w:rPr>
                <w:rFonts w:ascii="仿宋" w:hAnsi="仿宋" w:eastAsia="仿宋" w:cs="仿宋"/>
                <w:sz w:val="21"/>
                <w:szCs w:val="21"/>
              </w:rPr>
              <w:t>中</w:t>
            </w:r>
          </w:p>
        </w:tc>
        <w:tc>
          <w:tcPr>
            <w:tcW w:w="427" w:type="dxa"/>
            <w:vAlign w:val="top"/>
          </w:tcPr>
          <w:p>
            <w:pPr>
              <w:spacing w:before="179" w:line="218" w:lineRule="auto"/>
              <w:ind w:left="122"/>
              <w:rPr>
                <w:rFonts w:ascii="仿宋" w:hAnsi="仿宋" w:eastAsia="仿宋" w:cs="仿宋"/>
                <w:sz w:val="21"/>
                <w:szCs w:val="21"/>
              </w:rPr>
            </w:pPr>
            <w:r>
              <w:rPr>
                <w:rFonts w:ascii="仿宋" w:hAnsi="仿宋" w:eastAsia="仿宋" w:cs="仿宋"/>
                <w:sz w:val="21"/>
                <w:szCs w:val="21"/>
              </w:rPr>
              <w:t>下</w:t>
            </w:r>
          </w:p>
        </w:tc>
        <w:tc>
          <w:tcPr>
            <w:tcW w:w="655" w:type="dxa"/>
            <w:vAlign w:val="top"/>
          </w:tcPr>
          <w:p>
            <w:pPr>
              <w:spacing w:before="179" w:line="232" w:lineRule="auto"/>
              <w:ind w:left="232"/>
              <w:rPr>
                <w:rFonts w:ascii="仿宋" w:hAnsi="仿宋" w:eastAsia="仿宋" w:cs="仿宋"/>
                <w:sz w:val="21"/>
                <w:szCs w:val="21"/>
              </w:rPr>
            </w:pPr>
            <w:r>
              <w:rPr>
                <w:rFonts w:ascii="仿宋" w:hAnsi="仿宋" w:eastAsia="仿宋" w:cs="仿宋"/>
                <w:sz w:val="21"/>
                <w:szCs w:val="21"/>
              </w:rPr>
              <w:t>上</w:t>
            </w:r>
          </w:p>
        </w:tc>
        <w:tc>
          <w:tcPr>
            <w:tcW w:w="654" w:type="dxa"/>
            <w:vAlign w:val="top"/>
          </w:tcPr>
          <w:p>
            <w:pPr>
              <w:spacing w:before="179" w:line="218" w:lineRule="auto"/>
              <w:ind w:left="257"/>
              <w:rPr>
                <w:rFonts w:ascii="仿宋" w:hAnsi="仿宋" w:eastAsia="仿宋" w:cs="仿宋"/>
                <w:sz w:val="21"/>
                <w:szCs w:val="21"/>
              </w:rPr>
            </w:pPr>
            <w:r>
              <w:rPr>
                <w:rFonts w:ascii="仿宋" w:hAnsi="仿宋" w:eastAsia="仿宋" w:cs="仿宋"/>
                <w:sz w:val="21"/>
                <w:szCs w:val="21"/>
              </w:rPr>
              <w:t>中</w:t>
            </w:r>
          </w:p>
        </w:tc>
        <w:tc>
          <w:tcPr>
            <w:tcW w:w="655" w:type="dxa"/>
            <w:vAlign w:val="top"/>
          </w:tcPr>
          <w:p>
            <w:pPr>
              <w:spacing w:before="179" w:line="218" w:lineRule="auto"/>
              <w:ind w:left="234"/>
              <w:rPr>
                <w:rFonts w:ascii="仿宋" w:hAnsi="仿宋" w:eastAsia="仿宋" w:cs="仿宋"/>
                <w:sz w:val="21"/>
                <w:szCs w:val="21"/>
              </w:rPr>
            </w:pPr>
            <w:r>
              <w:rPr>
                <w:rFonts w:ascii="仿宋" w:hAnsi="仿宋" w:eastAsia="仿宋" w:cs="仿宋"/>
                <w:sz w:val="21"/>
                <w:szCs w:val="21"/>
              </w:rPr>
              <w:t>下</w:t>
            </w:r>
          </w:p>
        </w:tc>
        <w:tc>
          <w:tcPr>
            <w:tcW w:w="655" w:type="dxa"/>
            <w:vAlign w:val="top"/>
          </w:tcPr>
          <w:p>
            <w:pPr>
              <w:spacing w:before="179" w:line="232" w:lineRule="auto"/>
              <w:ind w:left="232"/>
              <w:rPr>
                <w:rFonts w:ascii="仿宋" w:hAnsi="仿宋" w:eastAsia="仿宋" w:cs="仿宋"/>
                <w:sz w:val="21"/>
                <w:szCs w:val="21"/>
              </w:rPr>
            </w:pPr>
            <w:r>
              <w:rPr>
                <w:rFonts w:ascii="仿宋" w:hAnsi="仿宋" w:eastAsia="仿宋" w:cs="仿宋"/>
                <w:sz w:val="21"/>
                <w:szCs w:val="21"/>
              </w:rPr>
              <w:t>上</w:t>
            </w:r>
          </w:p>
        </w:tc>
        <w:tc>
          <w:tcPr>
            <w:tcW w:w="655" w:type="dxa"/>
            <w:vAlign w:val="top"/>
          </w:tcPr>
          <w:p>
            <w:pPr>
              <w:spacing w:before="179" w:line="218" w:lineRule="auto"/>
              <w:ind w:left="259"/>
              <w:rPr>
                <w:rFonts w:ascii="仿宋" w:hAnsi="仿宋" w:eastAsia="仿宋" w:cs="仿宋"/>
                <w:sz w:val="21"/>
                <w:szCs w:val="21"/>
              </w:rPr>
            </w:pPr>
            <w:r>
              <w:rPr>
                <w:rFonts w:ascii="仿宋" w:hAnsi="仿宋" w:eastAsia="仿宋" w:cs="仿宋"/>
                <w:sz w:val="21"/>
                <w:szCs w:val="21"/>
              </w:rPr>
              <w:t>中</w:t>
            </w:r>
          </w:p>
        </w:tc>
        <w:tc>
          <w:tcPr>
            <w:tcW w:w="584" w:type="dxa"/>
            <w:vAlign w:val="top"/>
          </w:tcPr>
          <w:p>
            <w:pPr>
              <w:spacing w:before="179" w:line="218" w:lineRule="auto"/>
              <w:ind w:left="201"/>
              <w:rPr>
                <w:rFonts w:ascii="仿宋" w:hAnsi="仿宋" w:eastAsia="仿宋" w:cs="仿宋"/>
                <w:sz w:val="21"/>
                <w:szCs w:val="21"/>
              </w:rPr>
            </w:pPr>
            <w:r>
              <w:rPr>
                <w:rFonts w:ascii="仿宋" w:hAnsi="仿宋" w:eastAsia="仿宋" w:cs="仿宋"/>
                <w:sz w:val="21"/>
                <w:szCs w:val="21"/>
              </w:rPr>
              <w:t>下</w:t>
            </w:r>
          </w:p>
        </w:tc>
        <w:tc>
          <w:tcPr>
            <w:tcW w:w="689" w:type="dxa"/>
            <w:vAlign w:val="top"/>
          </w:tcPr>
          <w:p>
            <w:pPr>
              <w:spacing w:before="179" w:line="232" w:lineRule="auto"/>
              <w:ind w:left="250"/>
              <w:rPr>
                <w:rFonts w:ascii="仿宋" w:hAnsi="仿宋" w:eastAsia="仿宋" w:cs="仿宋"/>
                <w:sz w:val="21"/>
                <w:szCs w:val="21"/>
              </w:rPr>
            </w:pPr>
            <w:r>
              <w:rPr>
                <w:rFonts w:ascii="仿宋" w:hAnsi="仿宋" w:eastAsia="仿宋" w:cs="仿宋"/>
                <w:sz w:val="21"/>
                <w:szCs w:val="21"/>
              </w:rPr>
              <w:t>上</w:t>
            </w:r>
          </w:p>
        </w:tc>
        <w:tc>
          <w:tcPr>
            <w:tcW w:w="585" w:type="dxa"/>
            <w:vAlign w:val="top"/>
          </w:tcPr>
          <w:p>
            <w:pPr>
              <w:spacing w:before="179" w:line="218" w:lineRule="auto"/>
              <w:ind w:left="224"/>
              <w:rPr>
                <w:rFonts w:ascii="仿宋" w:hAnsi="仿宋" w:eastAsia="仿宋" w:cs="仿宋"/>
                <w:sz w:val="21"/>
                <w:szCs w:val="21"/>
              </w:rPr>
            </w:pPr>
            <w:r>
              <w:rPr>
                <w:rFonts w:ascii="仿宋" w:hAnsi="仿宋" w:eastAsia="仿宋" w:cs="仿宋"/>
                <w:sz w:val="21"/>
                <w:szCs w:val="21"/>
              </w:rPr>
              <w:t>中</w:t>
            </w:r>
          </w:p>
        </w:tc>
        <w:tc>
          <w:tcPr>
            <w:tcW w:w="583" w:type="dxa"/>
            <w:vAlign w:val="top"/>
          </w:tcPr>
          <w:p>
            <w:pPr>
              <w:spacing w:before="179" w:line="218" w:lineRule="auto"/>
              <w:ind w:left="200"/>
              <w:rPr>
                <w:rFonts w:ascii="仿宋" w:hAnsi="仿宋" w:eastAsia="仿宋" w:cs="仿宋"/>
                <w:sz w:val="21"/>
                <w:szCs w:val="21"/>
              </w:rPr>
            </w:pPr>
            <w:r>
              <w:rPr>
                <w:rFonts w:ascii="仿宋" w:hAnsi="仿宋" w:eastAsia="仿宋" w:cs="仿宋"/>
                <w:sz w:val="21"/>
                <w:szCs w:val="21"/>
              </w:rPr>
              <w:t>下</w:t>
            </w:r>
          </w:p>
        </w:tc>
        <w:tc>
          <w:tcPr>
            <w:tcW w:w="438" w:type="dxa"/>
            <w:vAlign w:val="top"/>
          </w:tcPr>
          <w:p>
            <w:pPr>
              <w:spacing w:before="179" w:line="232" w:lineRule="auto"/>
              <w:ind w:left="125"/>
              <w:rPr>
                <w:rFonts w:ascii="仿宋" w:hAnsi="仿宋" w:eastAsia="仿宋" w:cs="仿宋"/>
                <w:sz w:val="21"/>
                <w:szCs w:val="21"/>
              </w:rPr>
            </w:pPr>
            <w:r>
              <w:rPr>
                <w:rFonts w:ascii="仿宋" w:hAnsi="仿宋" w:eastAsia="仿宋" w:cs="仿宋"/>
                <w:sz w:val="21"/>
                <w:szCs w:val="21"/>
              </w:rPr>
              <w:t>上</w:t>
            </w:r>
          </w:p>
        </w:tc>
        <w:tc>
          <w:tcPr>
            <w:tcW w:w="512" w:type="dxa"/>
            <w:gridSpan w:val="2"/>
            <w:vAlign w:val="top"/>
          </w:tcPr>
          <w:p>
            <w:pPr>
              <w:spacing w:before="179" w:line="218" w:lineRule="auto"/>
              <w:ind w:left="188"/>
              <w:rPr>
                <w:rFonts w:ascii="仿宋" w:hAnsi="仿宋" w:eastAsia="仿宋" w:cs="仿宋"/>
                <w:sz w:val="21"/>
                <w:szCs w:val="21"/>
              </w:rPr>
            </w:pPr>
            <w:r>
              <w:rPr>
                <w:rFonts w:ascii="仿宋" w:hAnsi="仿宋" w:eastAsia="仿宋" w:cs="仿宋"/>
                <w:sz w:val="21"/>
                <w:szCs w:val="21"/>
              </w:rPr>
              <w:t>中</w:t>
            </w:r>
          </w:p>
        </w:tc>
        <w:tc>
          <w:tcPr>
            <w:tcW w:w="801" w:type="dxa"/>
            <w:gridSpan w:val="2"/>
            <w:tcBorders>
              <w:right w:val="nil"/>
            </w:tcBorders>
            <w:vAlign w:val="top"/>
          </w:tcPr>
          <w:p>
            <w:pPr>
              <w:spacing w:before="179" w:line="218" w:lineRule="auto"/>
              <w:ind w:left="310"/>
              <w:rPr>
                <w:rFonts w:ascii="仿宋" w:hAnsi="仿宋" w:eastAsia="仿宋" w:cs="仿宋"/>
                <w:sz w:val="21"/>
                <w:szCs w:val="21"/>
              </w:rPr>
            </w:pPr>
            <w:r>
              <w:rPr>
                <w:rFonts w:ascii="仿宋" w:hAnsi="仿宋" w:eastAsia="仿宋" w:cs="仿宋"/>
                <w:sz w:val="21"/>
                <w:szCs w:val="21"/>
              </w:rPr>
              <w:t>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03" w:type="dxa"/>
            <w:tcBorders>
              <w:left w:val="nil"/>
            </w:tcBorders>
            <w:vAlign w:val="top"/>
          </w:tcPr>
          <w:p>
            <w:pPr>
              <w:spacing w:before="56" w:line="185" w:lineRule="auto"/>
              <w:ind w:left="211"/>
              <w:rPr>
                <w:rFonts w:ascii="仿宋" w:hAnsi="仿宋" w:eastAsia="仿宋" w:cs="仿宋"/>
                <w:sz w:val="21"/>
                <w:szCs w:val="21"/>
              </w:rPr>
            </w:pPr>
            <w:r>
              <w:rPr>
                <w:rFonts w:ascii="仿宋" w:hAnsi="仿宋" w:eastAsia="仿宋" w:cs="仿宋"/>
                <w:spacing w:val="-4"/>
                <w:sz w:val="21"/>
                <w:szCs w:val="21"/>
              </w:rPr>
              <w:t>水稻</w:t>
            </w:r>
          </w:p>
        </w:tc>
        <w:tc>
          <w:tcPr>
            <w:tcW w:w="849" w:type="dxa"/>
            <w:vAlign w:val="top"/>
          </w:tcPr>
          <w:p>
            <w:pPr>
              <w:pStyle w:val="6"/>
              <w:spacing w:before="91" w:line="174" w:lineRule="auto"/>
              <w:ind w:left="267"/>
            </w:pPr>
            <w:r>
              <w:rPr>
                <w:spacing w:val="-4"/>
              </w:rPr>
              <w:t>5~9</w:t>
            </w:r>
          </w:p>
        </w:tc>
        <w:tc>
          <w:tcPr>
            <w:tcW w:w="754" w:type="dxa"/>
            <w:vAlign w:val="top"/>
          </w:tcPr>
          <w:p>
            <w:pPr>
              <w:pStyle w:val="6"/>
              <w:spacing w:before="92" w:line="173" w:lineRule="auto"/>
              <w:ind w:left="162"/>
            </w:pPr>
            <w:r>
              <w:rPr>
                <w:spacing w:val="-5"/>
              </w:rPr>
              <w:t>151.3</w:t>
            </w:r>
          </w:p>
        </w:tc>
        <w:tc>
          <w:tcPr>
            <w:tcW w:w="849" w:type="dxa"/>
            <w:vAlign w:val="top"/>
          </w:tcPr>
          <w:p>
            <w:pPr>
              <w:spacing w:before="56" w:line="185"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pStyle w:val="6"/>
              <w:spacing w:before="92" w:line="173" w:lineRule="auto"/>
              <w:ind w:left="128"/>
            </w:pPr>
            <w:r>
              <w:rPr>
                <w:spacing w:val="-6"/>
              </w:rPr>
              <w:t>16.8</w:t>
            </w:r>
          </w:p>
        </w:tc>
        <w:tc>
          <w:tcPr>
            <w:tcW w:w="585" w:type="dxa"/>
            <w:vAlign w:val="top"/>
          </w:tcPr>
          <w:p>
            <w:pPr>
              <w:pStyle w:val="6"/>
              <w:spacing w:before="92" w:line="173" w:lineRule="auto"/>
              <w:ind w:left="107"/>
            </w:pPr>
            <w:r>
              <w:rPr>
                <w:spacing w:val="-1"/>
              </w:rPr>
              <w:t>28.6</w:t>
            </w:r>
          </w:p>
        </w:tc>
        <w:tc>
          <w:tcPr>
            <w:tcW w:w="583" w:type="dxa"/>
            <w:vAlign w:val="top"/>
          </w:tcPr>
          <w:p>
            <w:pPr>
              <w:pStyle w:val="6"/>
              <w:spacing w:before="92" w:line="173" w:lineRule="auto"/>
              <w:ind w:left="127"/>
            </w:pPr>
            <w:r>
              <w:rPr>
                <w:spacing w:val="-6"/>
              </w:rPr>
              <w:t>12.2</w:t>
            </w:r>
          </w:p>
        </w:tc>
        <w:tc>
          <w:tcPr>
            <w:tcW w:w="691" w:type="dxa"/>
            <w:gridSpan w:val="2"/>
            <w:vAlign w:val="top"/>
          </w:tcPr>
          <w:p>
            <w:pPr>
              <w:pStyle w:val="6"/>
              <w:spacing w:before="92" w:line="173" w:lineRule="auto"/>
              <w:ind w:left="129"/>
            </w:pPr>
            <w:r>
              <w:rPr>
                <w:spacing w:val="-5"/>
              </w:rPr>
              <w:t>18.51</w:t>
            </w: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56" w:line="184" w:lineRule="auto"/>
              <w:ind w:left="216"/>
              <w:rPr>
                <w:rFonts w:ascii="仿宋" w:hAnsi="仿宋" w:eastAsia="仿宋" w:cs="仿宋"/>
                <w:sz w:val="21"/>
                <w:szCs w:val="21"/>
              </w:rPr>
            </w:pPr>
            <w:r>
              <w:rPr>
                <w:rFonts w:ascii="仿宋" w:hAnsi="仿宋" w:eastAsia="仿宋" w:cs="仿宋"/>
                <w:spacing w:val="-5"/>
                <w:sz w:val="21"/>
                <w:szCs w:val="21"/>
              </w:rPr>
              <w:t>玉米</w:t>
            </w:r>
          </w:p>
        </w:tc>
        <w:tc>
          <w:tcPr>
            <w:tcW w:w="849" w:type="dxa"/>
            <w:vAlign w:val="top"/>
          </w:tcPr>
          <w:p>
            <w:pPr>
              <w:pStyle w:val="6"/>
              <w:spacing w:before="91" w:line="173" w:lineRule="auto"/>
              <w:ind w:left="267"/>
            </w:pPr>
            <w:r>
              <w:rPr>
                <w:spacing w:val="-4"/>
              </w:rPr>
              <w:t>5~9</w:t>
            </w:r>
          </w:p>
        </w:tc>
        <w:tc>
          <w:tcPr>
            <w:tcW w:w="754" w:type="dxa"/>
            <w:vAlign w:val="top"/>
          </w:tcPr>
          <w:p>
            <w:pPr>
              <w:pStyle w:val="6"/>
              <w:spacing w:before="92" w:line="172" w:lineRule="auto"/>
              <w:ind w:left="165"/>
            </w:pPr>
            <w:r>
              <w:rPr>
                <w:spacing w:val="-7"/>
              </w:rPr>
              <w:t>110.0</w:t>
            </w:r>
          </w:p>
        </w:tc>
        <w:tc>
          <w:tcPr>
            <w:tcW w:w="849" w:type="dxa"/>
            <w:vAlign w:val="top"/>
          </w:tcPr>
          <w:p>
            <w:pPr>
              <w:pStyle w:val="6"/>
              <w:spacing w:before="92" w:line="172" w:lineRule="auto"/>
              <w:ind w:left="376"/>
            </w:pPr>
            <w:r>
              <w:t>3</w:t>
            </w:r>
          </w:p>
        </w:tc>
        <w:tc>
          <w:tcPr>
            <w:tcW w:w="584" w:type="dxa"/>
            <w:vAlign w:val="top"/>
          </w:tcPr>
          <w:p>
            <w:pPr>
              <w:pStyle w:val="6"/>
              <w:spacing w:before="92" w:line="172" w:lineRule="auto"/>
              <w:ind w:left="207"/>
            </w:pPr>
            <w:r>
              <w:rPr>
                <w:spacing w:val="-6"/>
              </w:rPr>
              <w:t>10</w:t>
            </w: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57" w:line="183" w:lineRule="auto"/>
              <w:ind w:left="211"/>
              <w:rPr>
                <w:rFonts w:ascii="仿宋" w:hAnsi="仿宋" w:eastAsia="仿宋" w:cs="仿宋"/>
                <w:sz w:val="21"/>
                <w:szCs w:val="21"/>
              </w:rPr>
            </w:pPr>
            <w:r>
              <w:rPr>
                <w:rFonts w:ascii="仿宋" w:hAnsi="仿宋" w:eastAsia="仿宋" w:cs="仿宋"/>
                <w:spacing w:val="-4"/>
                <w:sz w:val="21"/>
                <w:szCs w:val="21"/>
              </w:rPr>
              <w:t>烤烟</w:t>
            </w:r>
          </w:p>
        </w:tc>
        <w:tc>
          <w:tcPr>
            <w:tcW w:w="849" w:type="dxa"/>
            <w:vAlign w:val="top"/>
          </w:tcPr>
          <w:p>
            <w:pPr>
              <w:pStyle w:val="6"/>
              <w:spacing w:before="92" w:line="172" w:lineRule="auto"/>
              <w:ind w:left="267"/>
            </w:pPr>
            <w:r>
              <w:rPr>
                <w:spacing w:val="-4"/>
              </w:rPr>
              <w:t>5~9</w:t>
            </w:r>
          </w:p>
        </w:tc>
        <w:tc>
          <w:tcPr>
            <w:tcW w:w="754" w:type="dxa"/>
            <w:vAlign w:val="top"/>
          </w:tcPr>
          <w:p>
            <w:pPr>
              <w:pStyle w:val="6"/>
              <w:spacing w:before="93" w:line="171" w:lineRule="auto"/>
              <w:ind w:left="271"/>
            </w:pPr>
            <w:r>
              <w:rPr>
                <w:spacing w:val="-1"/>
              </w:rPr>
              <w:t>42</w:t>
            </w:r>
          </w:p>
        </w:tc>
        <w:tc>
          <w:tcPr>
            <w:tcW w:w="849" w:type="dxa"/>
            <w:vAlign w:val="top"/>
          </w:tcPr>
          <w:p>
            <w:pPr>
              <w:pStyle w:val="6"/>
              <w:spacing w:before="93" w:line="171" w:lineRule="auto"/>
              <w:ind w:left="376"/>
            </w:pPr>
            <w:r>
              <w:t>6</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803" w:type="dxa"/>
            <w:tcBorders>
              <w:left w:val="nil"/>
            </w:tcBorders>
            <w:vAlign w:val="top"/>
          </w:tcPr>
          <w:p>
            <w:pPr>
              <w:spacing w:before="59" w:line="182" w:lineRule="auto"/>
              <w:ind w:left="214"/>
              <w:rPr>
                <w:rFonts w:ascii="仿宋" w:hAnsi="仿宋" w:eastAsia="仿宋" w:cs="仿宋"/>
                <w:sz w:val="21"/>
                <w:szCs w:val="21"/>
              </w:rPr>
            </w:pPr>
            <w:r>
              <w:rPr>
                <w:rFonts w:ascii="仿宋" w:hAnsi="仿宋" w:eastAsia="仿宋" w:cs="仿宋"/>
                <w:spacing w:val="-5"/>
                <w:sz w:val="21"/>
                <w:szCs w:val="21"/>
              </w:rPr>
              <w:t>大豆</w:t>
            </w:r>
          </w:p>
        </w:tc>
        <w:tc>
          <w:tcPr>
            <w:tcW w:w="849" w:type="dxa"/>
            <w:vAlign w:val="top"/>
          </w:tcPr>
          <w:p>
            <w:pPr>
              <w:pStyle w:val="6"/>
              <w:spacing w:before="93" w:line="172" w:lineRule="auto"/>
              <w:ind w:left="267"/>
            </w:pPr>
            <w:r>
              <w:rPr>
                <w:spacing w:val="-4"/>
              </w:rPr>
              <w:t>5~9</w:t>
            </w:r>
          </w:p>
        </w:tc>
        <w:tc>
          <w:tcPr>
            <w:tcW w:w="754" w:type="dxa"/>
            <w:vAlign w:val="top"/>
          </w:tcPr>
          <w:p>
            <w:pPr>
              <w:pStyle w:val="6"/>
              <w:spacing w:before="94" w:line="171" w:lineRule="auto"/>
              <w:ind w:left="276"/>
            </w:pPr>
            <w:r>
              <w:rPr>
                <w:spacing w:val="-2"/>
              </w:rPr>
              <w:t>90</w:t>
            </w:r>
          </w:p>
        </w:tc>
        <w:tc>
          <w:tcPr>
            <w:tcW w:w="849" w:type="dxa"/>
            <w:vAlign w:val="top"/>
          </w:tcPr>
          <w:p>
            <w:pPr>
              <w:pStyle w:val="6"/>
              <w:spacing w:before="94" w:line="171" w:lineRule="auto"/>
              <w:ind w:left="375"/>
            </w:pPr>
            <w:r>
              <w:t>9</w:t>
            </w:r>
          </w:p>
        </w:tc>
        <w:tc>
          <w:tcPr>
            <w:tcW w:w="584" w:type="dxa"/>
            <w:vAlign w:val="top"/>
          </w:tcPr>
          <w:p>
            <w:pPr>
              <w:pStyle w:val="6"/>
              <w:spacing w:before="94" w:line="171" w:lineRule="auto"/>
              <w:ind w:left="207"/>
            </w:pPr>
            <w:r>
              <w:rPr>
                <w:spacing w:val="-6"/>
              </w:rPr>
              <w:t>10</w:t>
            </w:r>
          </w:p>
        </w:tc>
        <w:tc>
          <w:tcPr>
            <w:tcW w:w="585" w:type="dxa"/>
            <w:vAlign w:val="top"/>
          </w:tcPr>
          <w:p>
            <w:pPr>
              <w:pStyle w:val="6"/>
              <w:spacing w:before="94" w:line="171" w:lineRule="auto"/>
              <w:ind w:left="207"/>
            </w:pPr>
            <w:r>
              <w:rPr>
                <w:spacing w:val="-6"/>
              </w:rPr>
              <w:t>10</w:t>
            </w:r>
          </w:p>
        </w:tc>
        <w:tc>
          <w:tcPr>
            <w:tcW w:w="583" w:type="dxa"/>
            <w:vAlign w:val="top"/>
          </w:tcPr>
          <w:p>
            <w:pPr>
              <w:pStyle w:val="6"/>
              <w:spacing w:before="94" w:line="171" w:lineRule="auto"/>
              <w:ind w:left="206"/>
            </w:pPr>
            <w:r>
              <w:rPr>
                <w:spacing w:val="-6"/>
              </w:rPr>
              <w:t>10</w:t>
            </w: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1" w:hRule="atLeast"/>
        </w:trPr>
        <w:tc>
          <w:tcPr>
            <w:tcW w:w="803" w:type="dxa"/>
            <w:tcBorders>
              <w:left w:val="nil"/>
              <w:bottom w:val="single" w:color="000000" w:sz="12" w:space="0"/>
            </w:tcBorders>
            <w:vAlign w:val="top"/>
          </w:tcPr>
          <w:p>
            <w:pPr>
              <w:spacing w:before="60" w:line="203" w:lineRule="auto"/>
              <w:ind w:left="214"/>
              <w:rPr>
                <w:rFonts w:ascii="仿宋" w:hAnsi="仿宋" w:eastAsia="仿宋" w:cs="仿宋"/>
                <w:sz w:val="21"/>
                <w:szCs w:val="21"/>
              </w:rPr>
            </w:pPr>
            <w:r>
              <w:rPr>
                <w:rFonts w:ascii="仿宋" w:hAnsi="仿宋" w:eastAsia="仿宋" w:cs="仿宋"/>
                <w:spacing w:val="-5"/>
                <w:sz w:val="21"/>
                <w:szCs w:val="21"/>
              </w:rPr>
              <w:t>大春</w:t>
            </w:r>
          </w:p>
        </w:tc>
        <w:tc>
          <w:tcPr>
            <w:tcW w:w="849" w:type="dxa"/>
            <w:tcBorders>
              <w:bottom w:val="single" w:color="000000" w:sz="12" w:space="0"/>
            </w:tcBorders>
            <w:vAlign w:val="top"/>
          </w:tcPr>
          <w:p>
            <w:pPr>
              <w:pStyle w:val="6"/>
              <w:spacing w:before="94" w:line="195" w:lineRule="auto"/>
              <w:ind w:left="267"/>
            </w:pPr>
            <w:r>
              <w:rPr>
                <w:spacing w:val="-4"/>
              </w:rPr>
              <w:t>5~9</w:t>
            </w:r>
          </w:p>
        </w:tc>
        <w:tc>
          <w:tcPr>
            <w:tcW w:w="754" w:type="dxa"/>
            <w:tcBorders>
              <w:bottom w:val="single" w:color="000000" w:sz="12" w:space="0"/>
            </w:tcBorders>
            <w:vAlign w:val="top"/>
          </w:tcPr>
          <w:p>
            <w:pPr>
              <w:pStyle w:val="6"/>
              <w:spacing w:before="96" w:line="188" w:lineRule="auto"/>
              <w:ind w:left="276"/>
            </w:pPr>
            <w:r>
              <w:rPr>
                <w:spacing w:val="-2"/>
              </w:rPr>
              <w:t>70</w:t>
            </w:r>
          </w:p>
        </w:tc>
        <w:tc>
          <w:tcPr>
            <w:tcW w:w="849" w:type="dxa"/>
            <w:tcBorders>
              <w:bottom w:val="single" w:color="000000" w:sz="12" w:space="0"/>
            </w:tcBorders>
            <w:vAlign w:val="top"/>
          </w:tcPr>
          <w:p>
            <w:pPr>
              <w:pStyle w:val="6"/>
              <w:spacing w:before="96" w:line="188" w:lineRule="auto"/>
              <w:ind w:left="376"/>
            </w:pPr>
            <w:r>
              <w:t>3</w:t>
            </w:r>
          </w:p>
        </w:tc>
        <w:tc>
          <w:tcPr>
            <w:tcW w:w="584" w:type="dxa"/>
            <w:tcBorders>
              <w:bottom w:val="single" w:color="000000" w:sz="12" w:space="0"/>
            </w:tcBorders>
            <w:vAlign w:val="top"/>
          </w:tcPr>
          <w:p>
            <w:pPr>
              <w:rPr>
                <w:rFonts w:ascii="Arial"/>
                <w:sz w:val="21"/>
              </w:rPr>
            </w:pPr>
          </w:p>
        </w:tc>
        <w:tc>
          <w:tcPr>
            <w:tcW w:w="585" w:type="dxa"/>
            <w:tcBorders>
              <w:bottom w:val="single" w:color="000000" w:sz="12" w:space="0"/>
            </w:tcBorders>
            <w:vAlign w:val="top"/>
          </w:tcPr>
          <w:p>
            <w:pPr>
              <w:rPr>
                <w:rFonts w:ascii="Arial"/>
                <w:sz w:val="21"/>
              </w:rPr>
            </w:pPr>
          </w:p>
        </w:tc>
        <w:tc>
          <w:tcPr>
            <w:tcW w:w="583" w:type="dxa"/>
            <w:tcBorders>
              <w:bottom w:val="single" w:color="000000" w:sz="12" w:space="0"/>
            </w:tcBorders>
            <w:vAlign w:val="top"/>
          </w:tcPr>
          <w:p>
            <w:pPr>
              <w:rPr>
                <w:rFonts w:ascii="Arial"/>
                <w:sz w:val="21"/>
              </w:rPr>
            </w:pPr>
          </w:p>
        </w:tc>
        <w:tc>
          <w:tcPr>
            <w:tcW w:w="691" w:type="dxa"/>
            <w:gridSpan w:val="2"/>
            <w:tcBorders>
              <w:bottom w:val="single" w:color="000000" w:sz="12" w:space="0"/>
            </w:tcBorders>
            <w:vAlign w:val="top"/>
          </w:tcPr>
          <w:p>
            <w:pPr>
              <w:rPr>
                <w:rFonts w:ascii="Arial"/>
                <w:sz w:val="21"/>
              </w:rPr>
            </w:pPr>
          </w:p>
        </w:tc>
        <w:tc>
          <w:tcPr>
            <w:tcW w:w="426" w:type="dxa"/>
            <w:tcBorders>
              <w:bottom w:val="single" w:color="000000" w:sz="12" w:space="0"/>
            </w:tcBorders>
            <w:vAlign w:val="top"/>
          </w:tcPr>
          <w:p>
            <w:pPr>
              <w:rPr>
                <w:rFonts w:ascii="Arial"/>
                <w:sz w:val="21"/>
              </w:rPr>
            </w:pPr>
          </w:p>
        </w:tc>
        <w:tc>
          <w:tcPr>
            <w:tcW w:w="427" w:type="dxa"/>
            <w:tcBorders>
              <w:bottom w:val="single" w:color="000000" w:sz="12" w:space="0"/>
            </w:tcBorders>
            <w:vAlign w:val="top"/>
          </w:tcPr>
          <w:p>
            <w:pPr>
              <w:rPr>
                <w:rFonts w:ascii="Arial"/>
                <w:sz w:val="21"/>
              </w:rPr>
            </w:pPr>
          </w:p>
        </w:tc>
        <w:tc>
          <w:tcPr>
            <w:tcW w:w="655" w:type="dxa"/>
            <w:tcBorders>
              <w:bottom w:val="single" w:color="000000" w:sz="12" w:space="0"/>
            </w:tcBorders>
            <w:vAlign w:val="top"/>
          </w:tcPr>
          <w:p>
            <w:pPr>
              <w:rPr>
                <w:rFonts w:ascii="Arial"/>
                <w:sz w:val="21"/>
              </w:rPr>
            </w:pPr>
          </w:p>
        </w:tc>
        <w:tc>
          <w:tcPr>
            <w:tcW w:w="654" w:type="dxa"/>
            <w:tcBorders>
              <w:bottom w:val="single" w:color="000000" w:sz="12" w:space="0"/>
            </w:tcBorders>
            <w:vAlign w:val="top"/>
          </w:tcPr>
          <w:p>
            <w:pPr>
              <w:rPr>
                <w:rFonts w:ascii="Arial"/>
                <w:sz w:val="21"/>
              </w:rPr>
            </w:pPr>
          </w:p>
        </w:tc>
        <w:tc>
          <w:tcPr>
            <w:tcW w:w="655" w:type="dxa"/>
            <w:tcBorders>
              <w:bottom w:val="single" w:color="000000" w:sz="12" w:space="0"/>
            </w:tcBorders>
            <w:vAlign w:val="top"/>
          </w:tcPr>
          <w:p>
            <w:pPr>
              <w:rPr>
                <w:rFonts w:ascii="Arial"/>
                <w:sz w:val="21"/>
              </w:rPr>
            </w:pPr>
          </w:p>
        </w:tc>
        <w:tc>
          <w:tcPr>
            <w:tcW w:w="655" w:type="dxa"/>
            <w:tcBorders>
              <w:bottom w:val="single" w:color="000000" w:sz="12" w:space="0"/>
            </w:tcBorders>
            <w:vAlign w:val="top"/>
          </w:tcPr>
          <w:p>
            <w:pPr>
              <w:rPr>
                <w:rFonts w:ascii="Arial"/>
                <w:sz w:val="21"/>
              </w:rPr>
            </w:pPr>
          </w:p>
        </w:tc>
        <w:tc>
          <w:tcPr>
            <w:tcW w:w="655" w:type="dxa"/>
            <w:tcBorders>
              <w:bottom w:val="single" w:color="000000" w:sz="12" w:space="0"/>
            </w:tcBorders>
            <w:vAlign w:val="top"/>
          </w:tcPr>
          <w:p>
            <w:pPr>
              <w:rPr>
                <w:rFonts w:ascii="Arial"/>
                <w:sz w:val="21"/>
              </w:rPr>
            </w:pPr>
          </w:p>
        </w:tc>
        <w:tc>
          <w:tcPr>
            <w:tcW w:w="584" w:type="dxa"/>
            <w:tcBorders>
              <w:bottom w:val="single" w:color="000000" w:sz="12" w:space="0"/>
            </w:tcBorders>
            <w:vAlign w:val="top"/>
          </w:tcPr>
          <w:p>
            <w:pPr>
              <w:rPr>
                <w:rFonts w:ascii="Arial"/>
                <w:sz w:val="21"/>
              </w:rPr>
            </w:pPr>
          </w:p>
        </w:tc>
        <w:tc>
          <w:tcPr>
            <w:tcW w:w="689" w:type="dxa"/>
            <w:tcBorders>
              <w:bottom w:val="single" w:color="000000" w:sz="12" w:space="0"/>
            </w:tcBorders>
            <w:vAlign w:val="top"/>
          </w:tcPr>
          <w:p>
            <w:pPr>
              <w:rPr>
                <w:rFonts w:ascii="Arial"/>
                <w:sz w:val="21"/>
              </w:rPr>
            </w:pPr>
          </w:p>
        </w:tc>
        <w:tc>
          <w:tcPr>
            <w:tcW w:w="585" w:type="dxa"/>
            <w:tcBorders>
              <w:bottom w:val="single" w:color="000000" w:sz="12" w:space="0"/>
            </w:tcBorders>
            <w:vAlign w:val="top"/>
          </w:tcPr>
          <w:p>
            <w:pPr>
              <w:rPr>
                <w:rFonts w:ascii="Arial"/>
                <w:sz w:val="21"/>
              </w:rPr>
            </w:pPr>
          </w:p>
        </w:tc>
        <w:tc>
          <w:tcPr>
            <w:tcW w:w="583" w:type="dxa"/>
            <w:tcBorders>
              <w:bottom w:val="single" w:color="000000" w:sz="12" w:space="0"/>
            </w:tcBorders>
            <w:vAlign w:val="top"/>
          </w:tcPr>
          <w:p>
            <w:pPr>
              <w:rPr>
                <w:rFonts w:ascii="Arial"/>
                <w:sz w:val="21"/>
              </w:rPr>
            </w:pPr>
          </w:p>
        </w:tc>
        <w:tc>
          <w:tcPr>
            <w:tcW w:w="438" w:type="dxa"/>
            <w:tcBorders>
              <w:bottom w:val="single" w:color="000000" w:sz="12" w:space="0"/>
            </w:tcBorders>
            <w:vAlign w:val="top"/>
          </w:tcPr>
          <w:p>
            <w:pPr>
              <w:rPr>
                <w:rFonts w:ascii="Arial"/>
                <w:sz w:val="21"/>
              </w:rPr>
            </w:pPr>
          </w:p>
        </w:tc>
        <w:tc>
          <w:tcPr>
            <w:tcW w:w="512" w:type="dxa"/>
            <w:gridSpan w:val="2"/>
            <w:tcBorders>
              <w:bottom w:val="single" w:color="000000" w:sz="12" w:space="0"/>
            </w:tcBorders>
            <w:vAlign w:val="top"/>
          </w:tcPr>
          <w:p>
            <w:pPr>
              <w:rPr>
                <w:rFonts w:ascii="Arial"/>
                <w:sz w:val="21"/>
              </w:rPr>
            </w:pPr>
          </w:p>
        </w:tc>
        <w:tc>
          <w:tcPr>
            <w:tcW w:w="801" w:type="dxa"/>
            <w:gridSpan w:val="2"/>
            <w:tcBorders>
              <w:bottom w:val="single" w:color="000000" w:sz="12" w:space="0"/>
              <w:right w:val="nil"/>
            </w:tcBorders>
            <w:vAlign w:val="top"/>
          </w:tcPr>
          <w:p>
            <w:pPr>
              <w:rPr>
                <w:rFonts w:ascii="Arial"/>
                <w:sz w:val="21"/>
              </w:rPr>
            </w:pPr>
          </w:p>
        </w:tc>
      </w:tr>
    </w:tbl>
    <w:p>
      <w:pPr>
        <w:spacing w:line="141" w:lineRule="exact"/>
        <w:rPr>
          <w:rFonts w:ascii="Arial"/>
          <w:sz w:val="12"/>
        </w:rPr>
      </w:pPr>
    </w:p>
    <w:p>
      <w:pPr>
        <w:spacing w:line="141" w:lineRule="exact"/>
        <w:rPr>
          <w:rFonts w:ascii="Arial" w:hAnsi="Arial" w:eastAsia="Arial" w:cs="Arial"/>
          <w:sz w:val="12"/>
          <w:szCs w:val="12"/>
        </w:rPr>
        <w:sectPr>
          <w:headerReference r:id="rId124" w:type="default"/>
          <w:footerReference r:id="rId125" w:type="default"/>
          <w:pgSz w:w="16839" w:h="11907"/>
          <w:pgMar w:top="1298" w:right="1387" w:bottom="1374" w:left="1388" w:header="1023" w:footer="1210" w:gutter="0"/>
        </w:sectPr>
      </w:pPr>
    </w:p>
    <w:p>
      <w:pPr>
        <w:spacing w:line="232" w:lineRule="exact"/>
      </w:pPr>
    </w:p>
    <w:tbl>
      <w:tblPr>
        <w:tblStyle w:val="5"/>
        <w:tblW w:w="1401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849"/>
        <w:gridCol w:w="754"/>
        <w:gridCol w:w="849"/>
        <w:gridCol w:w="584"/>
        <w:gridCol w:w="585"/>
        <w:gridCol w:w="583"/>
        <w:gridCol w:w="428"/>
        <w:gridCol w:w="263"/>
        <w:gridCol w:w="426"/>
        <w:gridCol w:w="427"/>
        <w:gridCol w:w="655"/>
        <w:gridCol w:w="654"/>
        <w:gridCol w:w="655"/>
        <w:gridCol w:w="655"/>
        <w:gridCol w:w="655"/>
        <w:gridCol w:w="584"/>
        <w:gridCol w:w="689"/>
        <w:gridCol w:w="585"/>
        <w:gridCol w:w="583"/>
        <w:gridCol w:w="438"/>
        <w:gridCol w:w="146"/>
        <w:gridCol w:w="366"/>
        <w:gridCol w:w="218"/>
        <w:gridCol w:w="5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vMerge w:val="restart"/>
            <w:tcBorders>
              <w:top w:val="single" w:color="000000" w:sz="12" w:space="0"/>
              <w:left w:val="nil"/>
              <w:bottom w:val="nil"/>
            </w:tcBorders>
            <w:vAlign w:val="top"/>
          </w:tcPr>
          <w:p>
            <w:pPr>
              <w:spacing w:before="304" w:line="239" w:lineRule="auto"/>
              <w:ind w:left="21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旱作</w:t>
            </w:r>
          </w:p>
          <w:p>
            <w:pPr>
              <w:spacing w:line="216" w:lineRule="auto"/>
              <w:ind w:left="21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849" w:type="dxa"/>
            <w:vMerge w:val="restart"/>
            <w:tcBorders>
              <w:top w:val="single" w:color="000000" w:sz="12" w:space="0"/>
              <w:bottom w:val="nil"/>
            </w:tcBorders>
            <w:vAlign w:val="top"/>
          </w:tcPr>
          <w:p>
            <w:pPr>
              <w:spacing w:before="167" w:line="229" w:lineRule="auto"/>
              <w:ind w:left="347" w:right="107" w:hanging="23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播收时</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间</w:t>
            </w:r>
          </w:p>
          <w:p>
            <w:pPr>
              <w:spacing w:before="23" w:line="219" w:lineRule="auto"/>
              <w:ind w:left="117"/>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（月）</w:t>
            </w:r>
          </w:p>
        </w:tc>
        <w:tc>
          <w:tcPr>
            <w:tcW w:w="754" w:type="dxa"/>
            <w:vMerge w:val="restart"/>
            <w:tcBorders>
              <w:top w:val="single" w:color="000000" w:sz="12" w:space="0"/>
              <w:bottom w:val="nil"/>
            </w:tcBorders>
            <w:vAlign w:val="top"/>
          </w:tcPr>
          <w:p>
            <w:pPr>
              <w:pStyle w:val="6"/>
              <w:spacing w:before="31" w:line="230" w:lineRule="auto"/>
              <w:ind w:left="130" w:right="116" w:firstLine="48"/>
              <w:jc w:val="both"/>
              <w:rPr>
                <w:rFonts w:ascii="仿宋" w:hAnsi="仿宋" w:eastAsia="仿宋" w:cs="仿宋"/>
              </w:rPr>
            </w:pPr>
            <w:r>
              <w:rPr>
                <w:rFonts w:ascii="仿宋" w:hAnsi="仿宋" w:eastAsia="仿宋" w:cs="仿宋"/>
                <w:spacing w:val="-9"/>
                <w14:textOutline w14:w="3810" w14:cap="flat" w14:cmpd="sng">
                  <w14:solidFill>
                    <w14:srgbClr w14:val="000000"/>
                  </w14:solidFill>
                  <w14:prstDash w14:val="solid"/>
                  <w14:miter w14:val="0"/>
                </w14:textOutline>
              </w:rPr>
              <w:t>灌溉</w:t>
            </w:r>
            <w:r>
              <w:rPr>
                <w:rFonts w:ascii="仿宋" w:hAnsi="仿宋" w:eastAsia="仿宋" w:cs="仿宋"/>
              </w:rPr>
              <w:t xml:space="preserve"> </w:t>
            </w:r>
            <w:r>
              <w:rPr>
                <w:rFonts w:ascii="仿宋" w:hAnsi="仿宋" w:eastAsia="仿宋" w:cs="仿宋"/>
                <w:spacing w:val="16"/>
                <w14:textOutline w14:w="3810" w14:cap="flat" w14:cmpd="sng">
                  <w14:solidFill>
                    <w14:srgbClr w14:val="000000"/>
                  </w14:solidFill>
                  <w14:prstDash w14:val="solid"/>
                  <w14:miter w14:val="0"/>
                </w14:textOutline>
              </w:rPr>
              <w:t>定额</w:t>
            </w:r>
            <w:r>
              <w:rPr>
                <w:rFonts w:ascii="仿宋" w:hAnsi="仿宋" w:eastAsia="仿宋" w:cs="仿宋"/>
              </w:rPr>
              <w:t xml:space="preserve"> </w:t>
            </w:r>
            <w:r>
              <w:rPr>
                <w:rFonts w:ascii="仿宋" w:hAnsi="仿宋" w:eastAsia="仿宋" w:cs="仿宋"/>
                <w:spacing w:val="-4"/>
                <w14:textOutline w14:w="3810" w14:cap="flat" w14:cmpd="sng">
                  <w14:solidFill>
                    <w14:srgbClr w14:val="000000"/>
                  </w14:solidFill>
                  <w14:prstDash w14:val="solid"/>
                  <w14:miter w14:val="0"/>
                </w14:textOutline>
              </w:rPr>
              <w:t>（</w:t>
            </w:r>
            <w:r>
              <w:rPr>
                <w:b/>
                <w:bCs/>
                <w:spacing w:val="-4"/>
              </w:rPr>
              <w:t>m</w:t>
            </w:r>
            <w:r>
              <w:rPr>
                <w:b/>
                <w:bCs/>
                <w:spacing w:val="-4"/>
                <w:position w:val="6"/>
                <w:sz w:val="14"/>
                <w:szCs w:val="14"/>
              </w:rPr>
              <w:t>3</w:t>
            </w:r>
            <w:r>
              <w:rPr>
                <w:b/>
                <w:bCs/>
                <w:spacing w:val="-4"/>
              </w:rPr>
              <w:t>/</w:t>
            </w:r>
            <w:r>
              <w:rPr>
                <w:b/>
                <w:bCs/>
                <w:spacing w:val="2"/>
              </w:rPr>
              <w:t xml:space="preserve"> </w:t>
            </w:r>
            <w:r>
              <w:rPr>
                <w:rFonts w:ascii="仿宋" w:hAnsi="仿宋" w:eastAsia="仿宋" w:cs="仿宋"/>
                <w:spacing w:val="9"/>
                <w14:textOutline w14:w="3810" w14:cap="flat" w14:cmpd="sng">
                  <w14:solidFill>
                    <w14:srgbClr w14:val="000000"/>
                  </w14:solidFill>
                  <w14:prstDash w14:val="solid"/>
                  <w14:miter w14:val="0"/>
                </w14:textOutline>
              </w:rPr>
              <w:t>亩）</w:t>
            </w:r>
          </w:p>
        </w:tc>
        <w:tc>
          <w:tcPr>
            <w:tcW w:w="849" w:type="dxa"/>
            <w:vMerge w:val="restart"/>
            <w:tcBorders>
              <w:top w:val="single" w:color="000000" w:sz="12" w:space="0"/>
              <w:bottom w:val="nil"/>
            </w:tcBorders>
            <w:vAlign w:val="top"/>
          </w:tcPr>
          <w:p>
            <w:pPr>
              <w:spacing w:before="167" w:line="229" w:lineRule="auto"/>
              <w:ind w:left="326" w:right="108" w:hanging="206"/>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灌水次</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数</w:t>
            </w:r>
          </w:p>
          <w:p>
            <w:pPr>
              <w:spacing w:before="23" w:line="219" w:lineRule="auto"/>
              <w:ind w:left="117"/>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（次）</w:t>
            </w:r>
          </w:p>
        </w:tc>
        <w:tc>
          <w:tcPr>
            <w:tcW w:w="10762" w:type="dxa"/>
            <w:gridSpan w:val="21"/>
            <w:tcBorders>
              <w:top w:val="single" w:color="000000" w:sz="12" w:space="0"/>
              <w:right w:val="nil"/>
            </w:tcBorders>
            <w:vAlign w:val="top"/>
          </w:tcPr>
          <w:p>
            <w:pPr>
              <w:pStyle w:val="6"/>
              <w:spacing w:before="31" w:line="206" w:lineRule="auto"/>
              <w:ind w:left="2590"/>
              <w:rPr>
                <w:rFonts w:ascii="仿宋" w:hAnsi="仿宋" w:eastAsia="仿宋" w:cs="仿宋"/>
              </w:rPr>
            </w:pPr>
            <w:r>
              <w:rPr>
                <w:rFonts w:ascii="仿宋" w:hAnsi="仿宋" w:eastAsia="仿宋" w:cs="仿宋"/>
                <w:spacing w:val="-12"/>
                <w14:textOutline w14:w="3810" w14:cap="flat" w14:cmpd="sng">
                  <w14:solidFill>
                    <w14:srgbClr w14:val="000000"/>
                  </w14:solidFill>
                  <w14:prstDash w14:val="solid"/>
                  <w14:miter w14:val="0"/>
                </w14:textOutline>
              </w:rPr>
              <w:t>灌</w:t>
            </w:r>
            <w:r>
              <w:rPr>
                <w:rFonts w:ascii="仿宋" w:hAnsi="仿宋" w:eastAsia="仿宋" w:cs="仿宋"/>
                <w:spacing w:val="-12"/>
              </w:rPr>
              <w:t xml:space="preserve">  </w:t>
            </w:r>
            <w:r>
              <w:rPr>
                <w:rFonts w:ascii="仿宋" w:hAnsi="仿宋" w:eastAsia="仿宋" w:cs="仿宋"/>
                <w:spacing w:val="-12"/>
                <w14:textOutline w14:w="3810" w14:cap="flat" w14:cmpd="sng">
                  <w14:solidFill>
                    <w14:srgbClr w14:val="000000"/>
                  </w14:solidFill>
                  <w14:prstDash w14:val="solid"/>
                  <w14:miter w14:val="0"/>
                </w14:textOutline>
              </w:rPr>
              <w:t>水</w:t>
            </w:r>
            <w:r>
              <w:rPr>
                <w:rFonts w:ascii="仿宋" w:hAnsi="仿宋" w:eastAsia="仿宋" w:cs="仿宋"/>
                <w:spacing w:val="17"/>
              </w:rPr>
              <w:t xml:space="preserve">  </w:t>
            </w:r>
            <w:r>
              <w:rPr>
                <w:rFonts w:ascii="仿宋" w:hAnsi="仿宋" w:eastAsia="仿宋" w:cs="仿宋"/>
                <w:spacing w:val="-12"/>
                <w14:textOutline w14:w="3810" w14:cap="flat" w14:cmpd="sng">
                  <w14:solidFill>
                    <w14:srgbClr w14:val="000000"/>
                  </w14:solidFill>
                  <w14:prstDash w14:val="solid"/>
                  <w14:miter w14:val="0"/>
                </w14:textOutline>
              </w:rPr>
              <w:t>时</w:t>
            </w:r>
            <w:r>
              <w:rPr>
                <w:rFonts w:ascii="仿宋" w:hAnsi="仿宋" w:eastAsia="仿宋" w:cs="仿宋"/>
                <w:spacing w:val="17"/>
              </w:rPr>
              <w:t xml:space="preserve">  </w:t>
            </w:r>
            <w:r>
              <w:rPr>
                <w:rFonts w:ascii="仿宋" w:hAnsi="仿宋" w:eastAsia="仿宋" w:cs="仿宋"/>
                <w:spacing w:val="-12"/>
                <w14:textOutline w14:w="3810" w14:cap="flat" w14:cmpd="sng">
                  <w14:solidFill>
                    <w14:srgbClr w14:val="000000"/>
                  </w14:solidFill>
                  <w14:prstDash w14:val="solid"/>
                  <w14:miter w14:val="0"/>
                </w14:textOutline>
              </w:rPr>
              <w:t>间</w:t>
            </w:r>
            <w:r>
              <w:rPr>
                <w:rFonts w:ascii="仿宋" w:hAnsi="仿宋" w:eastAsia="仿宋" w:cs="仿宋"/>
                <w:spacing w:val="2"/>
              </w:rPr>
              <w:t xml:space="preserve">  </w:t>
            </w:r>
            <w:r>
              <w:rPr>
                <w:rFonts w:ascii="仿宋" w:hAnsi="仿宋" w:eastAsia="仿宋" w:cs="仿宋"/>
                <w:spacing w:val="-12"/>
                <w14:textOutline w14:w="3810" w14:cap="flat" w14:cmpd="sng">
                  <w14:solidFill>
                    <w14:srgbClr w14:val="000000"/>
                  </w14:solidFill>
                  <w14:prstDash w14:val="solid"/>
                  <w14:miter w14:val="0"/>
                </w14:textOutline>
              </w:rPr>
              <w:t>（旬）</w:t>
            </w:r>
            <w:r>
              <w:rPr>
                <w:rFonts w:ascii="仿宋" w:hAnsi="仿宋" w:eastAsia="仿宋" w:cs="仿宋"/>
                <w:spacing w:val="46"/>
              </w:rPr>
              <w:t xml:space="preserve">  </w:t>
            </w:r>
            <w:r>
              <w:rPr>
                <w:rFonts w:ascii="仿宋" w:hAnsi="仿宋" w:eastAsia="仿宋" w:cs="仿宋"/>
                <w:spacing w:val="-12"/>
                <w14:textOutline w14:w="3810" w14:cap="flat" w14:cmpd="sng">
                  <w14:solidFill>
                    <w14:srgbClr w14:val="000000"/>
                  </w14:solidFill>
                  <w14:prstDash w14:val="solid"/>
                  <w14:miter w14:val="0"/>
                </w14:textOutline>
              </w:rPr>
              <w:t>及</w:t>
            </w:r>
            <w:r>
              <w:rPr>
                <w:rFonts w:ascii="仿宋" w:hAnsi="仿宋" w:eastAsia="仿宋" w:cs="仿宋"/>
                <w:spacing w:val="10"/>
              </w:rPr>
              <w:t xml:space="preserve">  </w:t>
            </w:r>
            <w:r>
              <w:rPr>
                <w:rFonts w:ascii="仿宋" w:hAnsi="仿宋" w:eastAsia="仿宋" w:cs="仿宋"/>
                <w:spacing w:val="-12"/>
                <w14:textOutline w14:w="3810" w14:cap="flat" w14:cmpd="sng">
                  <w14:solidFill>
                    <w14:srgbClr w14:val="000000"/>
                  </w14:solidFill>
                  <w14:prstDash w14:val="solid"/>
                  <w14:miter w14:val="0"/>
                </w14:textOutline>
              </w:rPr>
              <w:t>灌</w:t>
            </w:r>
            <w:r>
              <w:rPr>
                <w:rFonts w:ascii="仿宋" w:hAnsi="仿宋" w:eastAsia="仿宋" w:cs="仿宋"/>
                <w:spacing w:val="7"/>
              </w:rPr>
              <w:t xml:space="preserve">  </w:t>
            </w:r>
            <w:r>
              <w:rPr>
                <w:rFonts w:ascii="仿宋" w:hAnsi="仿宋" w:eastAsia="仿宋" w:cs="仿宋"/>
                <w:spacing w:val="-12"/>
                <w14:textOutline w14:w="3810" w14:cap="flat" w14:cmpd="sng">
                  <w14:solidFill>
                    <w14:srgbClr w14:val="000000"/>
                  </w14:solidFill>
                  <w14:prstDash w14:val="solid"/>
                  <w14:miter w14:val="0"/>
                </w14:textOutline>
              </w:rPr>
              <w:t>水</w:t>
            </w:r>
            <w:r>
              <w:rPr>
                <w:rFonts w:ascii="仿宋" w:hAnsi="仿宋" w:eastAsia="仿宋" w:cs="仿宋"/>
                <w:spacing w:val="10"/>
              </w:rPr>
              <w:t xml:space="preserve">  </w:t>
            </w:r>
            <w:r>
              <w:rPr>
                <w:rFonts w:ascii="仿宋" w:hAnsi="仿宋" w:eastAsia="仿宋" w:cs="仿宋"/>
                <w:spacing w:val="-12"/>
                <w14:textOutline w14:w="3810" w14:cap="flat" w14:cmpd="sng">
                  <w14:solidFill>
                    <w14:srgbClr w14:val="000000"/>
                  </w14:solidFill>
                  <w14:prstDash w14:val="solid"/>
                  <w14:miter w14:val="0"/>
                </w14:textOutline>
              </w:rPr>
              <w:t>定</w:t>
            </w:r>
            <w:r>
              <w:rPr>
                <w:rFonts w:ascii="仿宋" w:hAnsi="仿宋" w:eastAsia="仿宋" w:cs="仿宋"/>
                <w:spacing w:val="7"/>
              </w:rPr>
              <w:t xml:space="preserve">  </w:t>
            </w:r>
            <w:r>
              <w:rPr>
                <w:rFonts w:ascii="仿宋" w:hAnsi="仿宋" w:eastAsia="仿宋" w:cs="仿宋"/>
                <w:spacing w:val="-12"/>
                <w14:textOutline w14:w="3810" w14:cap="flat" w14:cmpd="sng">
                  <w14:solidFill>
                    <w14:srgbClr w14:val="000000"/>
                  </w14:solidFill>
                  <w14:prstDash w14:val="solid"/>
                  <w14:miter w14:val="0"/>
                </w14:textOutline>
              </w:rPr>
              <w:t>额</w:t>
            </w:r>
            <w:r>
              <w:rPr>
                <w:rFonts w:ascii="仿宋" w:hAnsi="仿宋" w:eastAsia="仿宋" w:cs="仿宋"/>
                <w:spacing w:val="1"/>
              </w:rPr>
              <w:t xml:space="preserve">  </w:t>
            </w:r>
            <w:r>
              <w:rPr>
                <w:rFonts w:ascii="仿宋" w:hAnsi="仿宋" w:eastAsia="仿宋" w:cs="仿宋"/>
                <w:spacing w:val="-12"/>
                <w14:textOutline w14:w="3810" w14:cap="flat" w14:cmpd="sng">
                  <w14:solidFill>
                    <w14:srgbClr w14:val="000000"/>
                  </w14:solidFill>
                  <w14:prstDash w14:val="solid"/>
                  <w14:miter w14:val="0"/>
                </w14:textOutline>
              </w:rPr>
              <w:t>（</w:t>
            </w:r>
            <w:r>
              <w:rPr>
                <w:b/>
                <w:bCs/>
                <w:spacing w:val="-12"/>
              </w:rPr>
              <w:t>m3/</w:t>
            </w:r>
            <w:r>
              <w:rPr>
                <w:rFonts w:ascii="仿宋" w:hAnsi="仿宋" w:eastAsia="仿宋" w:cs="仿宋"/>
                <w:spacing w:val="-12"/>
                <w14:textOutline w14:w="3810" w14:cap="flat" w14:cmpd="sng">
                  <w14:solidFill>
                    <w14:srgbClr w14:val="000000"/>
                  </w14:solidFill>
                  <w14:prstDash w14:val="solid"/>
                  <w14:miter w14:val="0"/>
                </w14:textOutline>
              </w:rPr>
              <w:t>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803" w:type="dxa"/>
            <w:vMerge w:val="continue"/>
            <w:tcBorders>
              <w:top w:val="nil"/>
              <w:left w:val="nil"/>
              <w:bottom w:val="nil"/>
            </w:tcBorders>
            <w:vAlign w:val="top"/>
          </w:tcPr>
          <w:p>
            <w:pPr>
              <w:rPr>
                <w:rFonts w:ascii="Arial"/>
                <w:sz w:val="21"/>
              </w:rPr>
            </w:pPr>
          </w:p>
        </w:tc>
        <w:tc>
          <w:tcPr>
            <w:tcW w:w="849" w:type="dxa"/>
            <w:vMerge w:val="continue"/>
            <w:tcBorders>
              <w:top w:val="nil"/>
              <w:bottom w:val="nil"/>
            </w:tcBorders>
            <w:vAlign w:val="top"/>
          </w:tcPr>
          <w:p>
            <w:pPr>
              <w:rPr>
                <w:rFonts w:ascii="Arial"/>
                <w:sz w:val="21"/>
              </w:rPr>
            </w:pPr>
          </w:p>
        </w:tc>
        <w:tc>
          <w:tcPr>
            <w:tcW w:w="754" w:type="dxa"/>
            <w:vMerge w:val="continue"/>
            <w:tcBorders>
              <w:top w:val="nil"/>
              <w:bottom w:val="nil"/>
            </w:tcBorders>
            <w:vAlign w:val="top"/>
          </w:tcPr>
          <w:p>
            <w:pPr>
              <w:rPr>
                <w:rFonts w:ascii="Arial"/>
                <w:sz w:val="21"/>
              </w:rPr>
            </w:pPr>
          </w:p>
        </w:tc>
        <w:tc>
          <w:tcPr>
            <w:tcW w:w="849" w:type="dxa"/>
            <w:vMerge w:val="continue"/>
            <w:tcBorders>
              <w:top w:val="nil"/>
              <w:bottom w:val="nil"/>
            </w:tcBorders>
            <w:vAlign w:val="top"/>
          </w:tcPr>
          <w:p>
            <w:pPr>
              <w:rPr>
                <w:rFonts w:ascii="Arial"/>
                <w:sz w:val="21"/>
              </w:rPr>
            </w:pPr>
          </w:p>
        </w:tc>
        <w:tc>
          <w:tcPr>
            <w:tcW w:w="1752" w:type="dxa"/>
            <w:gridSpan w:val="3"/>
            <w:vAlign w:val="top"/>
          </w:tcPr>
          <w:p>
            <w:pPr>
              <w:spacing w:before="31" w:line="205" w:lineRule="auto"/>
              <w:ind w:left="519"/>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一</w:t>
            </w:r>
            <w:r>
              <w:rPr>
                <w:rFonts w:ascii="仿宋" w:hAnsi="仿宋" w:eastAsia="仿宋" w:cs="仿宋"/>
                <w:spacing w:val="8"/>
                <w:sz w:val="21"/>
                <w:szCs w:val="21"/>
              </w:rPr>
              <w:t xml:space="preserve">   </w:t>
            </w:r>
            <w:r>
              <w:rPr>
                <w:rFonts w:ascii="仿宋" w:hAnsi="仿宋" w:eastAsia="仿宋" w:cs="仿宋"/>
                <w:spacing w:val="-9"/>
                <w:sz w:val="21"/>
                <w:szCs w:val="21"/>
                <w14:textOutline w14:w="3810" w14:cap="flat" w14:cmpd="sng">
                  <w14:solidFill>
                    <w14:srgbClr w14:val="000000"/>
                  </w14:solidFill>
                  <w14:prstDash w14:val="solid"/>
                  <w14:miter w14:val="0"/>
                </w14:textOutline>
              </w:rPr>
              <w:t>月</w:t>
            </w:r>
          </w:p>
        </w:tc>
        <w:tc>
          <w:tcPr>
            <w:tcW w:w="1544" w:type="dxa"/>
            <w:gridSpan w:val="4"/>
            <w:vAlign w:val="top"/>
          </w:tcPr>
          <w:p>
            <w:pPr>
              <w:spacing w:before="31" w:line="205" w:lineRule="auto"/>
              <w:ind w:left="419"/>
              <w:rPr>
                <w:rFonts w:ascii="仿宋" w:hAnsi="仿宋" w:eastAsia="仿宋" w:cs="仿宋"/>
                <w:sz w:val="21"/>
                <w:szCs w:val="21"/>
              </w:rPr>
            </w:pPr>
            <w:r>
              <w:rPr>
                <w:rFonts w:ascii="仿宋" w:hAnsi="仿宋" w:eastAsia="仿宋" w:cs="仿宋"/>
                <w:spacing w:val="-11"/>
                <w:sz w:val="21"/>
                <w:szCs w:val="21"/>
                <w14:textOutline w14:w="3810" w14:cap="flat" w14:cmpd="sng">
                  <w14:solidFill>
                    <w14:srgbClr w14:val="000000"/>
                  </w14:solidFill>
                  <w14:prstDash w14:val="solid"/>
                  <w14:miter w14:val="0"/>
                </w14:textOutline>
              </w:rPr>
              <w:t>二</w:t>
            </w:r>
            <w:r>
              <w:rPr>
                <w:rFonts w:ascii="仿宋" w:hAnsi="仿宋" w:eastAsia="仿宋" w:cs="仿宋"/>
                <w:spacing w:val="9"/>
                <w:sz w:val="21"/>
                <w:szCs w:val="21"/>
              </w:rPr>
              <w:t xml:space="preserve">   </w:t>
            </w:r>
            <w:r>
              <w:rPr>
                <w:rFonts w:ascii="仿宋" w:hAnsi="仿宋" w:eastAsia="仿宋" w:cs="仿宋"/>
                <w:spacing w:val="-11"/>
                <w:sz w:val="21"/>
                <w:szCs w:val="21"/>
                <w14:textOutline w14:w="3810" w14:cap="flat" w14:cmpd="sng">
                  <w14:solidFill>
                    <w14:srgbClr w14:val="000000"/>
                  </w14:solidFill>
                  <w14:prstDash w14:val="solid"/>
                  <w14:miter w14:val="0"/>
                </w14:textOutline>
              </w:rPr>
              <w:t>月</w:t>
            </w:r>
          </w:p>
        </w:tc>
        <w:tc>
          <w:tcPr>
            <w:tcW w:w="1964" w:type="dxa"/>
            <w:gridSpan w:val="3"/>
            <w:vAlign w:val="top"/>
          </w:tcPr>
          <w:p>
            <w:pPr>
              <w:spacing w:before="31" w:line="205" w:lineRule="auto"/>
              <w:ind w:left="627"/>
              <w:rPr>
                <w:rFonts w:ascii="仿宋" w:hAnsi="仿宋" w:eastAsia="仿宋" w:cs="仿宋"/>
                <w:sz w:val="21"/>
                <w:szCs w:val="21"/>
              </w:rPr>
            </w:pPr>
            <w:r>
              <w:rPr>
                <w:rFonts w:ascii="仿宋" w:hAnsi="仿宋" w:eastAsia="仿宋" w:cs="仿宋"/>
                <w:spacing w:val="-10"/>
                <w:sz w:val="21"/>
                <w:szCs w:val="21"/>
                <w14:textOutline w14:w="3810" w14:cap="flat" w14:cmpd="sng">
                  <w14:solidFill>
                    <w14:srgbClr w14:val="000000"/>
                  </w14:solidFill>
                  <w14:prstDash w14:val="solid"/>
                  <w14:miter w14:val="0"/>
                </w14:textOutline>
              </w:rPr>
              <w:t>三</w:t>
            </w:r>
            <w:r>
              <w:rPr>
                <w:rFonts w:ascii="仿宋" w:hAnsi="仿宋" w:eastAsia="仿宋" w:cs="仿宋"/>
                <w:spacing w:val="8"/>
                <w:sz w:val="21"/>
                <w:szCs w:val="21"/>
              </w:rPr>
              <w:t xml:space="preserve">   </w:t>
            </w:r>
            <w:r>
              <w:rPr>
                <w:rFonts w:ascii="仿宋" w:hAnsi="仿宋" w:eastAsia="仿宋" w:cs="仿宋"/>
                <w:spacing w:val="-10"/>
                <w:sz w:val="21"/>
                <w:szCs w:val="21"/>
                <w14:textOutline w14:w="3810" w14:cap="flat" w14:cmpd="sng">
                  <w14:solidFill>
                    <w14:srgbClr w14:val="000000"/>
                  </w14:solidFill>
                  <w14:prstDash w14:val="solid"/>
                  <w14:miter w14:val="0"/>
                </w14:textOutline>
              </w:rPr>
              <w:t>月</w:t>
            </w:r>
          </w:p>
        </w:tc>
        <w:tc>
          <w:tcPr>
            <w:tcW w:w="1894" w:type="dxa"/>
            <w:gridSpan w:val="3"/>
            <w:vAlign w:val="top"/>
          </w:tcPr>
          <w:p>
            <w:pPr>
              <w:spacing w:before="31" w:line="205" w:lineRule="auto"/>
              <w:ind w:left="611"/>
              <w:rPr>
                <w:rFonts w:ascii="仿宋" w:hAnsi="仿宋" w:eastAsia="仿宋" w:cs="仿宋"/>
                <w:sz w:val="21"/>
                <w:szCs w:val="21"/>
              </w:rPr>
            </w:pPr>
            <w:r>
              <w:rPr>
                <w:rFonts w:ascii="仿宋" w:hAnsi="仿宋" w:eastAsia="仿宋" w:cs="仿宋"/>
                <w:spacing w:val="-20"/>
                <w:sz w:val="21"/>
                <w:szCs w:val="21"/>
                <w14:textOutline w14:w="3810" w14:cap="flat" w14:cmpd="sng">
                  <w14:solidFill>
                    <w14:srgbClr w14:val="000000"/>
                  </w14:solidFill>
                  <w14:prstDash w14:val="solid"/>
                  <w14:miter w14:val="0"/>
                </w14:textOutline>
              </w:rPr>
              <w:t>四</w:t>
            </w:r>
            <w:r>
              <w:rPr>
                <w:rFonts w:ascii="仿宋" w:hAnsi="仿宋" w:eastAsia="仿宋" w:cs="仿宋"/>
                <w:spacing w:val="9"/>
                <w:sz w:val="21"/>
                <w:szCs w:val="21"/>
              </w:rPr>
              <w:t xml:space="preserve">   </w:t>
            </w:r>
            <w:r>
              <w:rPr>
                <w:rFonts w:ascii="仿宋" w:hAnsi="仿宋" w:eastAsia="仿宋" w:cs="仿宋"/>
                <w:spacing w:val="-20"/>
                <w:sz w:val="21"/>
                <w:szCs w:val="21"/>
                <w14:textOutline w14:w="3810" w14:cap="flat" w14:cmpd="sng">
                  <w14:solidFill>
                    <w14:srgbClr w14:val="000000"/>
                  </w14:solidFill>
                  <w14:prstDash w14:val="solid"/>
                  <w14:miter w14:val="0"/>
                </w14:textOutline>
              </w:rPr>
              <w:t>月</w:t>
            </w:r>
          </w:p>
        </w:tc>
        <w:tc>
          <w:tcPr>
            <w:tcW w:w="1857" w:type="dxa"/>
            <w:gridSpan w:val="3"/>
            <w:vAlign w:val="top"/>
          </w:tcPr>
          <w:p>
            <w:pPr>
              <w:spacing w:before="31" w:line="205" w:lineRule="auto"/>
              <w:ind w:left="572"/>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五</w:t>
            </w:r>
            <w:r>
              <w:rPr>
                <w:rFonts w:ascii="仿宋" w:hAnsi="仿宋" w:eastAsia="仿宋" w:cs="仿宋"/>
                <w:spacing w:val="8"/>
                <w:sz w:val="21"/>
                <w:szCs w:val="21"/>
              </w:rPr>
              <w:t xml:space="preserve">   </w:t>
            </w:r>
            <w:r>
              <w:rPr>
                <w:rFonts w:ascii="仿宋" w:hAnsi="仿宋" w:eastAsia="仿宋" w:cs="仿宋"/>
                <w:spacing w:val="-9"/>
                <w:sz w:val="21"/>
                <w:szCs w:val="21"/>
                <w14:textOutline w14:w="3810" w14:cap="flat" w14:cmpd="sng">
                  <w14:solidFill>
                    <w14:srgbClr w14:val="000000"/>
                  </w14:solidFill>
                  <w14:prstDash w14:val="solid"/>
                  <w14:miter w14:val="0"/>
                </w14:textOutline>
              </w:rPr>
              <w:t>月</w:t>
            </w:r>
          </w:p>
        </w:tc>
        <w:tc>
          <w:tcPr>
            <w:tcW w:w="1751" w:type="dxa"/>
            <w:gridSpan w:val="5"/>
            <w:tcBorders>
              <w:right w:val="nil"/>
            </w:tcBorders>
            <w:vAlign w:val="top"/>
          </w:tcPr>
          <w:p>
            <w:pPr>
              <w:spacing w:before="31" w:line="205" w:lineRule="auto"/>
              <w:ind w:left="518"/>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六</w:t>
            </w:r>
            <w:r>
              <w:rPr>
                <w:rFonts w:ascii="仿宋" w:hAnsi="仿宋" w:eastAsia="仿宋" w:cs="仿宋"/>
                <w:spacing w:val="8"/>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27" w:hRule="atLeast"/>
        </w:trPr>
        <w:tc>
          <w:tcPr>
            <w:tcW w:w="803" w:type="dxa"/>
            <w:vMerge w:val="continue"/>
            <w:tcBorders>
              <w:top w:val="nil"/>
              <w:left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754" w:type="dxa"/>
            <w:vMerge w:val="continue"/>
            <w:tcBorders>
              <w:top w:val="nil"/>
            </w:tcBorders>
            <w:vAlign w:val="top"/>
          </w:tcPr>
          <w:p>
            <w:pPr>
              <w:rPr>
                <w:rFonts w:ascii="Arial"/>
                <w:sz w:val="21"/>
              </w:rPr>
            </w:pPr>
          </w:p>
        </w:tc>
        <w:tc>
          <w:tcPr>
            <w:tcW w:w="849" w:type="dxa"/>
            <w:vMerge w:val="continue"/>
            <w:tcBorders>
              <w:top w:val="nil"/>
            </w:tcBorders>
            <w:vAlign w:val="top"/>
          </w:tcPr>
          <w:p>
            <w:pPr>
              <w:rPr>
                <w:rFonts w:ascii="Arial"/>
                <w:sz w:val="21"/>
              </w:rPr>
            </w:pPr>
          </w:p>
        </w:tc>
        <w:tc>
          <w:tcPr>
            <w:tcW w:w="584" w:type="dxa"/>
            <w:vAlign w:val="top"/>
          </w:tcPr>
          <w:p>
            <w:pPr>
              <w:spacing w:before="161" w:line="232" w:lineRule="auto"/>
              <w:ind w:left="197"/>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585" w:type="dxa"/>
            <w:vAlign w:val="top"/>
          </w:tcPr>
          <w:p>
            <w:pPr>
              <w:spacing w:before="161" w:line="218" w:lineRule="auto"/>
              <w:ind w:left="222"/>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583" w:type="dxa"/>
            <w:vAlign w:val="top"/>
          </w:tcPr>
          <w:p>
            <w:pPr>
              <w:spacing w:before="161" w:line="218" w:lineRule="auto"/>
              <w:ind w:left="198"/>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c>
          <w:tcPr>
            <w:tcW w:w="428" w:type="dxa"/>
            <w:vAlign w:val="top"/>
          </w:tcPr>
          <w:p>
            <w:pPr>
              <w:spacing w:before="161" w:line="232" w:lineRule="auto"/>
              <w:ind w:left="119"/>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689" w:type="dxa"/>
            <w:gridSpan w:val="2"/>
            <w:vAlign w:val="top"/>
          </w:tcPr>
          <w:p>
            <w:pPr>
              <w:spacing w:before="161" w:line="218" w:lineRule="auto"/>
              <w:ind w:left="275"/>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427" w:type="dxa"/>
            <w:vAlign w:val="top"/>
          </w:tcPr>
          <w:p>
            <w:pPr>
              <w:spacing w:before="161" w:line="218" w:lineRule="auto"/>
              <w:ind w:left="122"/>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c>
          <w:tcPr>
            <w:tcW w:w="655" w:type="dxa"/>
            <w:vAlign w:val="top"/>
          </w:tcPr>
          <w:p>
            <w:pPr>
              <w:spacing w:before="161" w:line="232" w:lineRule="auto"/>
              <w:ind w:left="231"/>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654" w:type="dxa"/>
            <w:vAlign w:val="top"/>
          </w:tcPr>
          <w:p>
            <w:pPr>
              <w:spacing w:before="161" w:line="218" w:lineRule="auto"/>
              <w:ind w:left="256"/>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655" w:type="dxa"/>
            <w:vAlign w:val="top"/>
          </w:tcPr>
          <w:p>
            <w:pPr>
              <w:spacing w:before="161" w:line="218" w:lineRule="auto"/>
              <w:ind w:left="234"/>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c>
          <w:tcPr>
            <w:tcW w:w="655" w:type="dxa"/>
            <w:vAlign w:val="top"/>
          </w:tcPr>
          <w:p>
            <w:pPr>
              <w:spacing w:before="161" w:line="232" w:lineRule="auto"/>
              <w:ind w:left="232"/>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655" w:type="dxa"/>
            <w:vAlign w:val="top"/>
          </w:tcPr>
          <w:p>
            <w:pPr>
              <w:spacing w:before="161" w:line="218" w:lineRule="auto"/>
              <w:ind w:left="258"/>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584" w:type="dxa"/>
            <w:vAlign w:val="top"/>
          </w:tcPr>
          <w:p>
            <w:pPr>
              <w:spacing w:before="161" w:line="218" w:lineRule="auto"/>
              <w:ind w:left="200"/>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c>
          <w:tcPr>
            <w:tcW w:w="689" w:type="dxa"/>
            <w:vAlign w:val="top"/>
          </w:tcPr>
          <w:p>
            <w:pPr>
              <w:spacing w:before="161" w:line="232" w:lineRule="auto"/>
              <w:ind w:left="250"/>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585" w:type="dxa"/>
            <w:vAlign w:val="top"/>
          </w:tcPr>
          <w:p>
            <w:pPr>
              <w:spacing w:before="161" w:line="218" w:lineRule="auto"/>
              <w:ind w:left="223"/>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583" w:type="dxa"/>
            <w:vAlign w:val="top"/>
          </w:tcPr>
          <w:p>
            <w:pPr>
              <w:spacing w:before="161" w:line="218" w:lineRule="auto"/>
              <w:ind w:left="198"/>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c>
          <w:tcPr>
            <w:tcW w:w="584" w:type="dxa"/>
            <w:gridSpan w:val="2"/>
            <w:vAlign w:val="top"/>
          </w:tcPr>
          <w:p>
            <w:pPr>
              <w:spacing w:before="161" w:line="232" w:lineRule="auto"/>
              <w:ind w:left="197"/>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上</w:t>
            </w:r>
          </w:p>
        </w:tc>
        <w:tc>
          <w:tcPr>
            <w:tcW w:w="584" w:type="dxa"/>
            <w:gridSpan w:val="2"/>
            <w:vAlign w:val="top"/>
          </w:tcPr>
          <w:p>
            <w:pPr>
              <w:spacing w:before="161" w:line="218" w:lineRule="auto"/>
              <w:ind w:left="224"/>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中</w:t>
            </w:r>
          </w:p>
        </w:tc>
        <w:tc>
          <w:tcPr>
            <w:tcW w:w="583" w:type="dxa"/>
            <w:tcBorders>
              <w:right w:val="nil"/>
            </w:tcBorders>
            <w:vAlign w:val="top"/>
          </w:tcPr>
          <w:p>
            <w:pPr>
              <w:spacing w:before="161" w:line="218" w:lineRule="auto"/>
              <w:ind w:left="200"/>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5" w:hRule="atLeast"/>
        </w:trPr>
        <w:tc>
          <w:tcPr>
            <w:tcW w:w="803" w:type="dxa"/>
            <w:tcBorders>
              <w:left w:val="nil"/>
            </w:tcBorders>
            <w:vAlign w:val="top"/>
          </w:tcPr>
          <w:p>
            <w:pPr>
              <w:spacing w:before="57" w:line="200" w:lineRule="auto"/>
              <w:ind w:left="209"/>
              <w:rPr>
                <w:rFonts w:ascii="仿宋" w:hAnsi="仿宋" w:eastAsia="仿宋" w:cs="仿宋"/>
                <w:sz w:val="21"/>
                <w:szCs w:val="21"/>
              </w:rPr>
            </w:pPr>
            <w:r>
              <w:rPr>
                <w:rFonts w:ascii="仿宋" w:hAnsi="仿宋" w:eastAsia="仿宋" w:cs="仿宋"/>
                <w:spacing w:val="-3"/>
                <w:sz w:val="21"/>
                <w:szCs w:val="21"/>
              </w:rPr>
              <w:t>薯杂</w:t>
            </w:r>
          </w:p>
        </w:tc>
        <w:tc>
          <w:tcPr>
            <w:tcW w:w="849" w:type="dxa"/>
            <w:vAlign w:val="top"/>
          </w:tcPr>
          <w:p>
            <w:pPr>
              <w:rPr>
                <w:rFonts w:ascii="Arial"/>
                <w:sz w:val="21"/>
              </w:rPr>
            </w:pPr>
          </w:p>
        </w:tc>
        <w:tc>
          <w:tcPr>
            <w:tcW w:w="754" w:type="dxa"/>
            <w:vAlign w:val="top"/>
          </w:tcPr>
          <w:p>
            <w:pPr>
              <w:rPr>
                <w:rFonts w:ascii="Arial"/>
                <w:sz w:val="21"/>
              </w:rPr>
            </w:pPr>
          </w:p>
        </w:tc>
        <w:tc>
          <w:tcPr>
            <w:tcW w:w="849" w:type="dxa"/>
            <w:vAlign w:val="top"/>
          </w:tcPr>
          <w:p>
            <w:pPr>
              <w:rPr>
                <w:rFonts w:ascii="Arial"/>
                <w:sz w:val="21"/>
              </w:rPr>
            </w:pP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803" w:type="dxa"/>
            <w:tcBorders>
              <w:left w:val="nil"/>
            </w:tcBorders>
            <w:vAlign w:val="top"/>
          </w:tcPr>
          <w:p>
            <w:pPr>
              <w:spacing w:before="39" w:line="198" w:lineRule="auto"/>
              <w:ind w:left="211"/>
              <w:rPr>
                <w:rFonts w:ascii="仿宋" w:hAnsi="仿宋" w:eastAsia="仿宋" w:cs="仿宋"/>
                <w:sz w:val="21"/>
                <w:szCs w:val="21"/>
              </w:rPr>
            </w:pPr>
            <w:r>
              <w:rPr>
                <w:rFonts w:ascii="仿宋" w:hAnsi="仿宋" w:eastAsia="仿宋" w:cs="仿宋"/>
                <w:spacing w:val="-7"/>
                <w:sz w:val="21"/>
                <w:szCs w:val="21"/>
              </w:rPr>
              <w:t>小麦</w:t>
            </w:r>
          </w:p>
        </w:tc>
        <w:tc>
          <w:tcPr>
            <w:tcW w:w="849" w:type="dxa"/>
            <w:vAlign w:val="top"/>
          </w:tcPr>
          <w:p>
            <w:pPr>
              <w:pStyle w:val="6"/>
              <w:spacing w:before="75" w:line="188" w:lineRule="auto"/>
              <w:ind w:left="234"/>
            </w:pPr>
            <w:r>
              <w:rPr>
                <w:spacing w:val="-8"/>
              </w:rPr>
              <w:t>11~1</w:t>
            </w:r>
          </w:p>
        </w:tc>
        <w:tc>
          <w:tcPr>
            <w:tcW w:w="754" w:type="dxa"/>
            <w:vAlign w:val="top"/>
          </w:tcPr>
          <w:p>
            <w:pPr>
              <w:pStyle w:val="6"/>
              <w:spacing w:before="75" w:line="188" w:lineRule="auto"/>
              <w:ind w:left="221"/>
            </w:pPr>
            <w:r>
              <w:rPr>
                <w:spacing w:val="-1"/>
              </w:rPr>
              <w:t>200</w:t>
            </w:r>
          </w:p>
        </w:tc>
        <w:tc>
          <w:tcPr>
            <w:tcW w:w="849" w:type="dxa"/>
            <w:vAlign w:val="top"/>
          </w:tcPr>
          <w:p>
            <w:pPr>
              <w:pStyle w:val="6"/>
              <w:spacing w:before="75" w:line="188" w:lineRule="auto"/>
              <w:ind w:left="392"/>
            </w:pPr>
            <w:r>
              <w:t>1</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pStyle w:val="6"/>
              <w:spacing w:before="75" w:line="188" w:lineRule="auto"/>
              <w:ind w:left="193"/>
            </w:pPr>
            <w:r>
              <w:rPr>
                <w:spacing w:val="-3"/>
              </w:rPr>
              <w:t>50</w:t>
            </w: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pStyle w:val="6"/>
              <w:spacing w:before="75" w:line="188" w:lineRule="auto"/>
              <w:ind w:left="157"/>
            </w:pPr>
            <w:r>
              <w:rPr>
                <w:spacing w:val="-3"/>
              </w:rPr>
              <w:t>50</w:t>
            </w: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803" w:type="dxa"/>
            <w:tcBorders>
              <w:left w:val="nil"/>
            </w:tcBorders>
            <w:vAlign w:val="top"/>
          </w:tcPr>
          <w:p>
            <w:pPr>
              <w:spacing w:before="42" w:line="196" w:lineRule="auto"/>
              <w:ind w:left="211"/>
              <w:rPr>
                <w:rFonts w:ascii="仿宋" w:hAnsi="仿宋" w:eastAsia="仿宋" w:cs="仿宋"/>
                <w:sz w:val="21"/>
                <w:szCs w:val="21"/>
              </w:rPr>
            </w:pPr>
            <w:r>
              <w:rPr>
                <w:rFonts w:ascii="仿宋" w:hAnsi="仿宋" w:eastAsia="仿宋" w:cs="仿宋"/>
                <w:spacing w:val="-4"/>
                <w:sz w:val="21"/>
                <w:szCs w:val="21"/>
              </w:rPr>
              <w:t>蚕豆</w:t>
            </w:r>
          </w:p>
        </w:tc>
        <w:tc>
          <w:tcPr>
            <w:tcW w:w="849" w:type="dxa"/>
            <w:vAlign w:val="top"/>
          </w:tcPr>
          <w:p>
            <w:pPr>
              <w:pStyle w:val="6"/>
              <w:spacing w:before="77" w:line="186" w:lineRule="auto"/>
              <w:ind w:left="230"/>
            </w:pPr>
            <w:r>
              <w:rPr>
                <w:spacing w:val="-6"/>
              </w:rPr>
              <w:t>10~1</w:t>
            </w:r>
          </w:p>
        </w:tc>
        <w:tc>
          <w:tcPr>
            <w:tcW w:w="754" w:type="dxa"/>
            <w:vAlign w:val="top"/>
          </w:tcPr>
          <w:p>
            <w:pPr>
              <w:pStyle w:val="6"/>
              <w:spacing w:before="77" w:line="186" w:lineRule="auto"/>
              <w:ind w:left="241"/>
            </w:pPr>
            <w:r>
              <w:rPr>
                <w:spacing w:val="-6"/>
              </w:rPr>
              <w:t>180</w:t>
            </w:r>
          </w:p>
        </w:tc>
        <w:tc>
          <w:tcPr>
            <w:tcW w:w="849" w:type="dxa"/>
            <w:vAlign w:val="top"/>
          </w:tcPr>
          <w:p>
            <w:pPr>
              <w:pStyle w:val="6"/>
              <w:spacing w:before="77" w:line="186" w:lineRule="auto"/>
              <w:ind w:left="392"/>
            </w:pPr>
            <w:r>
              <w:t>1</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pStyle w:val="6"/>
              <w:spacing w:before="77" w:line="186" w:lineRule="auto"/>
              <w:ind w:left="244"/>
            </w:pPr>
            <w:r>
              <w:rPr>
                <w:spacing w:val="-3"/>
              </w:rPr>
              <w:t>50</w:t>
            </w:r>
          </w:p>
        </w:tc>
        <w:tc>
          <w:tcPr>
            <w:tcW w:w="585" w:type="dxa"/>
            <w:vAlign w:val="top"/>
          </w:tcPr>
          <w:p>
            <w:pPr>
              <w:rPr>
                <w:rFonts w:ascii="Arial"/>
                <w:sz w:val="21"/>
              </w:rPr>
            </w:pPr>
          </w:p>
        </w:tc>
        <w:tc>
          <w:tcPr>
            <w:tcW w:w="583" w:type="dxa"/>
            <w:vAlign w:val="top"/>
          </w:tcPr>
          <w:p>
            <w:pPr>
              <w:rPr>
                <w:rFonts w:ascii="Arial"/>
                <w:sz w:val="21"/>
              </w:rPr>
            </w:pPr>
          </w:p>
        </w:tc>
        <w:tc>
          <w:tcPr>
            <w:tcW w:w="438" w:type="dxa"/>
            <w:vAlign w:val="top"/>
          </w:tcPr>
          <w:p>
            <w:pPr>
              <w:pStyle w:val="6"/>
              <w:spacing w:before="77" w:line="186" w:lineRule="auto"/>
              <w:ind w:left="120"/>
            </w:pPr>
            <w:r>
              <w:rPr>
                <w:spacing w:val="-3"/>
              </w:rPr>
              <w:t>50</w:t>
            </w: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803" w:type="dxa"/>
            <w:tcBorders>
              <w:left w:val="nil"/>
            </w:tcBorders>
            <w:vAlign w:val="top"/>
          </w:tcPr>
          <w:p>
            <w:pPr>
              <w:spacing w:before="44" w:line="194" w:lineRule="auto"/>
              <w:ind w:left="216"/>
              <w:rPr>
                <w:rFonts w:ascii="仿宋" w:hAnsi="仿宋" w:eastAsia="仿宋" w:cs="仿宋"/>
                <w:sz w:val="21"/>
                <w:szCs w:val="21"/>
              </w:rPr>
            </w:pPr>
            <w:r>
              <w:rPr>
                <w:rFonts w:ascii="仿宋" w:hAnsi="仿宋" w:eastAsia="仿宋" w:cs="仿宋"/>
                <w:spacing w:val="-5"/>
                <w:sz w:val="21"/>
                <w:szCs w:val="21"/>
              </w:rPr>
              <w:t>油菜</w:t>
            </w:r>
          </w:p>
        </w:tc>
        <w:tc>
          <w:tcPr>
            <w:tcW w:w="849" w:type="dxa"/>
            <w:vAlign w:val="top"/>
          </w:tcPr>
          <w:p>
            <w:pPr>
              <w:pStyle w:val="6"/>
              <w:spacing w:before="79" w:line="184" w:lineRule="auto"/>
              <w:ind w:left="230"/>
            </w:pPr>
            <w:r>
              <w:rPr>
                <w:spacing w:val="-6"/>
              </w:rPr>
              <w:t>10~1</w:t>
            </w:r>
          </w:p>
        </w:tc>
        <w:tc>
          <w:tcPr>
            <w:tcW w:w="754" w:type="dxa"/>
            <w:vAlign w:val="top"/>
          </w:tcPr>
          <w:p>
            <w:pPr>
              <w:pStyle w:val="6"/>
              <w:spacing w:before="79" w:line="184" w:lineRule="auto"/>
              <w:ind w:left="221"/>
            </w:pPr>
            <w:r>
              <w:rPr>
                <w:spacing w:val="-1"/>
              </w:rPr>
              <w:t>200</w:t>
            </w:r>
          </w:p>
        </w:tc>
        <w:tc>
          <w:tcPr>
            <w:tcW w:w="849" w:type="dxa"/>
            <w:vAlign w:val="top"/>
          </w:tcPr>
          <w:p>
            <w:pPr>
              <w:pStyle w:val="6"/>
              <w:spacing w:before="82" w:line="181" w:lineRule="auto"/>
              <w:ind w:left="377"/>
            </w:pPr>
            <w:r>
              <w:t>5</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pStyle w:val="6"/>
              <w:spacing w:before="79" w:line="184" w:lineRule="auto"/>
              <w:ind w:left="237"/>
            </w:pPr>
            <w:r>
              <w:rPr>
                <w:spacing w:val="-1"/>
              </w:rPr>
              <w:t>40</w:t>
            </w:r>
          </w:p>
        </w:tc>
        <w:tc>
          <w:tcPr>
            <w:tcW w:w="585" w:type="dxa"/>
            <w:vAlign w:val="top"/>
          </w:tcPr>
          <w:p>
            <w:pPr>
              <w:rPr>
                <w:rFonts w:ascii="Arial"/>
                <w:sz w:val="21"/>
              </w:rPr>
            </w:pPr>
          </w:p>
        </w:tc>
        <w:tc>
          <w:tcPr>
            <w:tcW w:w="583" w:type="dxa"/>
            <w:vAlign w:val="top"/>
          </w:tcPr>
          <w:p>
            <w:pPr>
              <w:rPr>
                <w:rFonts w:ascii="Arial"/>
                <w:sz w:val="21"/>
              </w:rPr>
            </w:pPr>
          </w:p>
        </w:tc>
        <w:tc>
          <w:tcPr>
            <w:tcW w:w="438" w:type="dxa"/>
            <w:vAlign w:val="top"/>
          </w:tcPr>
          <w:p>
            <w:pPr>
              <w:pStyle w:val="6"/>
              <w:spacing w:before="79" w:line="184" w:lineRule="auto"/>
              <w:ind w:left="113"/>
            </w:pPr>
            <w:r>
              <w:rPr>
                <w:spacing w:val="-1"/>
              </w:rPr>
              <w:t>40</w:t>
            </w: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803" w:type="dxa"/>
            <w:tcBorders>
              <w:left w:val="nil"/>
            </w:tcBorders>
            <w:vAlign w:val="top"/>
          </w:tcPr>
          <w:p>
            <w:pPr>
              <w:spacing w:before="47" w:line="239" w:lineRule="auto"/>
              <w:ind w:left="211"/>
              <w:rPr>
                <w:rFonts w:ascii="仿宋" w:hAnsi="仿宋" w:eastAsia="仿宋" w:cs="仿宋"/>
                <w:sz w:val="21"/>
                <w:szCs w:val="21"/>
              </w:rPr>
            </w:pPr>
            <w:r>
              <w:rPr>
                <w:rFonts w:ascii="仿宋" w:hAnsi="仿宋" w:eastAsia="仿宋" w:cs="仿宋"/>
                <w:spacing w:val="-4"/>
                <w:sz w:val="21"/>
                <w:szCs w:val="21"/>
              </w:rPr>
              <w:t>小春</w:t>
            </w:r>
          </w:p>
          <w:p>
            <w:pPr>
              <w:spacing w:line="191" w:lineRule="auto"/>
              <w:ind w:left="209"/>
              <w:rPr>
                <w:rFonts w:ascii="仿宋" w:hAnsi="仿宋" w:eastAsia="仿宋" w:cs="仿宋"/>
                <w:sz w:val="21"/>
                <w:szCs w:val="21"/>
              </w:rPr>
            </w:pPr>
            <w:r>
              <w:rPr>
                <w:rFonts w:ascii="仿宋" w:hAnsi="仿宋" w:eastAsia="仿宋" w:cs="仿宋"/>
                <w:spacing w:val="-3"/>
                <w:sz w:val="21"/>
                <w:szCs w:val="21"/>
              </w:rPr>
              <w:t>薯杂</w:t>
            </w:r>
          </w:p>
        </w:tc>
        <w:tc>
          <w:tcPr>
            <w:tcW w:w="849" w:type="dxa"/>
            <w:vAlign w:val="top"/>
          </w:tcPr>
          <w:p>
            <w:pPr>
              <w:pStyle w:val="6"/>
              <w:spacing w:before="219" w:line="188" w:lineRule="auto"/>
              <w:ind w:left="234"/>
            </w:pPr>
            <w:r>
              <w:rPr>
                <w:spacing w:val="-8"/>
              </w:rPr>
              <w:t>11~1</w:t>
            </w:r>
          </w:p>
        </w:tc>
        <w:tc>
          <w:tcPr>
            <w:tcW w:w="754" w:type="dxa"/>
            <w:vAlign w:val="top"/>
          </w:tcPr>
          <w:p>
            <w:pPr>
              <w:pStyle w:val="6"/>
              <w:spacing w:before="219" w:line="188" w:lineRule="auto"/>
              <w:ind w:left="281"/>
            </w:pPr>
            <w:r>
              <w:rPr>
                <w:spacing w:val="-4"/>
              </w:rPr>
              <w:t>80</w:t>
            </w:r>
          </w:p>
        </w:tc>
        <w:tc>
          <w:tcPr>
            <w:tcW w:w="849" w:type="dxa"/>
            <w:vAlign w:val="top"/>
          </w:tcPr>
          <w:p>
            <w:pPr>
              <w:pStyle w:val="6"/>
              <w:spacing w:before="219" w:line="188" w:lineRule="auto"/>
              <w:ind w:left="392"/>
            </w:pPr>
            <w:r>
              <w:t>1</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pStyle w:val="6"/>
              <w:spacing w:before="219" w:line="188" w:lineRule="auto"/>
              <w:ind w:left="188"/>
            </w:pPr>
            <w:r>
              <w:rPr>
                <w:spacing w:val="-1"/>
              </w:rPr>
              <w:t>20</w:t>
            </w: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pStyle w:val="6"/>
              <w:spacing w:before="219" w:line="188" w:lineRule="auto"/>
              <w:ind w:left="152"/>
            </w:pPr>
            <w:r>
              <w:rPr>
                <w:spacing w:val="-1"/>
              </w:rPr>
              <w:t>20</w:t>
            </w: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803" w:type="dxa"/>
            <w:tcBorders>
              <w:left w:val="nil"/>
            </w:tcBorders>
            <w:vAlign w:val="top"/>
          </w:tcPr>
          <w:p>
            <w:pPr>
              <w:spacing w:before="48" w:line="190" w:lineRule="auto"/>
              <w:ind w:left="214"/>
              <w:rPr>
                <w:rFonts w:ascii="仿宋" w:hAnsi="仿宋" w:eastAsia="仿宋" w:cs="仿宋"/>
                <w:sz w:val="21"/>
                <w:szCs w:val="21"/>
              </w:rPr>
            </w:pPr>
            <w:r>
              <w:rPr>
                <w:rFonts w:ascii="仿宋" w:hAnsi="仿宋" w:eastAsia="仿宋" w:cs="仿宋"/>
                <w:spacing w:val="-5"/>
                <w:sz w:val="21"/>
                <w:szCs w:val="21"/>
              </w:rPr>
              <w:t>蔬菜</w:t>
            </w:r>
          </w:p>
        </w:tc>
        <w:tc>
          <w:tcPr>
            <w:tcW w:w="849" w:type="dxa"/>
            <w:vAlign w:val="top"/>
          </w:tcPr>
          <w:p>
            <w:pPr>
              <w:spacing w:before="48" w:line="190" w:lineRule="auto"/>
              <w:ind w:left="228"/>
              <w:rPr>
                <w:rFonts w:ascii="仿宋" w:hAnsi="仿宋" w:eastAsia="仿宋" w:cs="仿宋"/>
                <w:sz w:val="21"/>
                <w:szCs w:val="21"/>
              </w:rPr>
            </w:pPr>
            <w:r>
              <w:rPr>
                <w:rFonts w:ascii="仿宋" w:hAnsi="仿宋" w:eastAsia="仿宋" w:cs="仿宋"/>
                <w:spacing w:val="-5"/>
                <w:sz w:val="21"/>
                <w:szCs w:val="21"/>
              </w:rPr>
              <w:t>全年</w:t>
            </w:r>
          </w:p>
        </w:tc>
        <w:tc>
          <w:tcPr>
            <w:tcW w:w="754" w:type="dxa"/>
            <w:vAlign w:val="top"/>
          </w:tcPr>
          <w:p>
            <w:pPr>
              <w:pStyle w:val="6"/>
              <w:spacing w:before="85" w:line="178" w:lineRule="auto"/>
              <w:ind w:left="225"/>
            </w:pPr>
            <w:r>
              <w:rPr>
                <w:spacing w:val="-2"/>
              </w:rPr>
              <w:t>301</w:t>
            </w:r>
          </w:p>
        </w:tc>
        <w:tc>
          <w:tcPr>
            <w:tcW w:w="849" w:type="dxa"/>
            <w:vAlign w:val="top"/>
          </w:tcPr>
          <w:p>
            <w:pPr>
              <w:spacing w:before="48" w:line="190"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pStyle w:val="6"/>
              <w:spacing w:before="88" w:line="175" w:lineRule="auto"/>
              <w:ind w:left="243"/>
            </w:pPr>
            <w:r>
              <w:t>7</w:t>
            </w:r>
          </w:p>
        </w:tc>
        <w:tc>
          <w:tcPr>
            <w:tcW w:w="585" w:type="dxa"/>
            <w:vAlign w:val="top"/>
          </w:tcPr>
          <w:p>
            <w:pPr>
              <w:pStyle w:val="6"/>
              <w:spacing w:before="88" w:line="175" w:lineRule="auto"/>
              <w:ind w:left="243"/>
            </w:pPr>
            <w:r>
              <w:t>7</w:t>
            </w:r>
          </w:p>
        </w:tc>
        <w:tc>
          <w:tcPr>
            <w:tcW w:w="583" w:type="dxa"/>
            <w:vAlign w:val="top"/>
          </w:tcPr>
          <w:p>
            <w:pPr>
              <w:pStyle w:val="6"/>
              <w:spacing w:before="88" w:line="175" w:lineRule="auto"/>
              <w:ind w:left="242"/>
            </w:pPr>
            <w:r>
              <w:t>7</w:t>
            </w:r>
          </w:p>
        </w:tc>
        <w:tc>
          <w:tcPr>
            <w:tcW w:w="691" w:type="dxa"/>
            <w:gridSpan w:val="2"/>
            <w:vAlign w:val="top"/>
          </w:tcPr>
          <w:p>
            <w:pPr>
              <w:pStyle w:val="6"/>
              <w:spacing w:before="88" w:line="175" w:lineRule="auto"/>
              <w:ind w:left="296"/>
            </w:pPr>
            <w:r>
              <w:t>7</w:t>
            </w: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pStyle w:val="6"/>
              <w:spacing w:before="85" w:line="178" w:lineRule="auto"/>
              <w:ind w:left="259"/>
            </w:pPr>
            <w:r>
              <w:rPr>
                <w:spacing w:val="-6"/>
              </w:rPr>
              <w:t>12</w:t>
            </w:r>
          </w:p>
        </w:tc>
        <w:tc>
          <w:tcPr>
            <w:tcW w:w="585" w:type="dxa"/>
            <w:vAlign w:val="top"/>
          </w:tcPr>
          <w:p>
            <w:pPr>
              <w:pStyle w:val="6"/>
              <w:spacing w:before="85" w:line="178" w:lineRule="auto"/>
              <w:ind w:left="208"/>
            </w:pPr>
            <w:r>
              <w:rPr>
                <w:spacing w:val="-6"/>
              </w:rPr>
              <w:t>12</w:t>
            </w:r>
          </w:p>
        </w:tc>
        <w:tc>
          <w:tcPr>
            <w:tcW w:w="583" w:type="dxa"/>
            <w:vAlign w:val="top"/>
          </w:tcPr>
          <w:p>
            <w:pPr>
              <w:pStyle w:val="6"/>
              <w:spacing w:before="85" w:line="178" w:lineRule="auto"/>
              <w:ind w:left="206"/>
            </w:pPr>
            <w:r>
              <w:rPr>
                <w:spacing w:val="-6"/>
              </w:rPr>
              <w:t>12</w:t>
            </w:r>
          </w:p>
        </w:tc>
        <w:tc>
          <w:tcPr>
            <w:tcW w:w="438" w:type="dxa"/>
            <w:vAlign w:val="top"/>
          </w:tcPr>
          <w:p>
            <w:pPr>
              <w:pStyle w:val="6"/>
              <w:spacing w:before="85" w:line="178" w:lineRule="auto"/>
              <w:ind w:left="134"/>
            </w:pPr>
            <w:r>
              <w:rPr>
                <w:spacing w:val="-6"/>
              </w:rPr>
              <w:t>12</w:t>
            </w:r>
          </w:p>
        </w:tc>
        <w:tc>
          <w:tcPr>
            <w:tcW w:w="512" w:type="dxa"/>
            <w:gridSpan w:val="2"/>
            <w:vAlign w:val="top"/>
          </w:tcPr>
          <w:p>
            <w:pPr>
              <w:pStyle w:val="6"/>
              <w:spacing w:before="85" w:line="178" w:lineRule="auto"/>
              <w:ind w:left="172"/>
            </w:pPr>
            <w:r>
              <w:rPr>
                <w:spacing w:val="-6"/>
              </w:rPr>
              <w:t>12</w:t>
            </w:r>
          </w:p>
        </w:tc>
        <w:tc>
          <w:tcPr>
            <w:tcW w:w="801" w:type="dxa"/>
            <w:gridSpan w:val="2"/>
            <w:tcBorders>
              <w:right w:val="nil"/>
            </w:tcBorders>
            <w:vAlign w:val="top"/>
          </w:tcPr>
          <w:p>
            <w:pPr>
              <w:pStyle w:val="6"/>
              <w:spacing w:before="85" w:line="178" w:lineRule="auto"/>
              <w:ind w:left="316"/>
            </w:pPr>
            <w:r>
              <w:rPr>
                <w:spacing w:val="-6"/>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51" w:line="189" w:lineRule="auto"/>
              <w:ind w:left="215"/>
              <w:rPr>
                <w:rFonts w:ascii="仿宋" w:hAnsi="仿宋" w:eastAsia="仿宋" w:cs="仿宋"/>
                <w:sz w:val="21"/>
                <w:szCs w:val="21"/>
              </w:rPr>
            </w:pPr>
            <w:r>
              <w:rPr>
                <w:rFonts w:ascii="仿宋" w:hAnsi="仿宋" w:eastAsia="仿宋" w:cs="仿宋"/>
                <w:spacing w:val="-5"/>
                <w:sz w:val="21"/>
                <w:szCs w:val="21"/>
              </w:rPr>
              <w:t>药材</w:t>
            </w:r>
          </w:p>
        </w:tc>
        <w:tc>
          <w:tcPr>
            <w:tcW w:w="849" w:type="dxa"/>
            <w:vAlign w:val="top"/>
          </w:tcPr>
          <w:p>
            <w:pPr>
              <w:pStyle w:val="6"/>
              <w:spacing w:before="87" w:line="177" w:lineRule="auto"/>
              <w:ind w:left="234"/>
            </w:pPr>
            <w:r>
              <w:rPr>
                <w:spacing w:val="-6"/>
              </w:rPr>
              <w:t>1~11</w:t>
            </w:r>
          </w:p>
        </w:tc>
        <w:tc>
          <w:tcPr>
            <w:tcW w:w="754" w:type="dxa"/>
            <w:vAlign w:val="top"/>
          </w:tcPr>
          <w:p>
            <w:pPr>
              <w:pStyle w:val="6"/>
              <w:spacing w:before="87" w:line="177" w:lineRule="auto"/>
              <w:ind w:left="241"/>
            </w:pPr>
            <w:r>
              <w:rPr>
                <w:spacing w:val="-6"/>
              </w:rPr>
              <w:t>105</w:t>
            </w:r>
          </w:p>
        </w:tc>
        <w:tc>
          <w:tcPr>
            <w:tcW w:w="849" w:type="dxa"/>
            <w:vAlign w:val="top"/>
          </w:tcPr>
          <w:p>
            <w:pPr>
              <w:spacing w:before="51" w:line="189"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803" w:type="dxa"/>
            <w:tcBorders>
              <w:left w:val="nil"/>
            </w:tcBorders>
            <w:vAlign w:val="top"/>
          </w:tcPr>
          <w:p>
            <w:pPr>
              <w:spacing w:before="54" w:line="186" w:lineRule="auto"/>
              <w:ind w:left="211"/>
              <w:rPr>
                <w:rFonts w:ascii="仿宋" w:hAnsi="仿宋" w:eastAsia="仿宋" w:cs="仿宋"/>
                <w:sz w:val="21"/>
                <w:szCs w:val="21"/>
              </w:rPr>
            </w:pPr>
            <w:r>
              <w:rPr>
                <w:rFonts w:ascii="仿宋" w:hAnsi="仿宋" w:eastAsia="仿宋" w:cs="仿宋"/>
                <w:spacing w:val="-4"/>
                <w:sz w:val="21"/>
                <w:szCs w:val="21"/>
              </w:rPr>
              <w:t>核桃</w:t>
            </w:r>
          </w:p>
        </w:tc>
        <w:tc>
          <w:tcPr>
            <w:tcW w:w="849" w:type="dxa"/>
            <w:vAlign w:val="top"/>
          </w:tcPr>
          <w:p>
            <w:pPr>
              <w:spacing w:before="54" w:line="186" w:lineRule="auto"/>
              <w:ind w:left="228"/>
              <w:rPr>
                <w:rFonts w:ascii="仿宋" w:hAnsi="仿宋" w:eastAsia="仿宋" w:cs="仿宋"/>
                <w:sz w:val="21"/>
                <w:szCs w:val="21"/>
              </w:rPr>
            </w:pPr>
            <w:r>
              <w:rPr>
                <w:rFonts w:ascii="仿宋" w:hAnsi="仿宋" w:eastAsia="仿宋" w:cs="仿宋"/>
                <w:spacing w:val="-5"/>
                <w:sz w:val="21"/>
                <w:szCs w:val="21"/>
              </w:rPr>
              <w:t>全年</w:t>
            </w:r>
          </w:p>
        </w:tc>
        <w:tc>
          <w:tcPr>
            <w:tcW w:w="754" w:type="dxa"/>
            <w:vAlign w:val="top"/>
          </w:tcPr>
          <w:p>
            <w:pPr>
              <w:pStyle w:val="6"/>
              <w:spacing w:before="88" w:line="176" w:lineRule="auto"/>
              <w:ind w:left="241"/>
            </w:pPr>
            <w:r>
              <w:rPr>
                <w:spacing w:val="-6"/>
              </w:rPr>
              <w:t>105</w:t>
            </w:r>
          </w:p>
        </w:tc>
        <w:tc>
          <w:tcPr>
            <w:tcW w:w="849" w:type="dxa"/>
            <w:vAlign w:val="top"/>
          </w:tcPr>
          <w:p>
            <w:pPr>
              <w:spacing w:before="54" w:line="186"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803" w:type="dxa"/>
            <w:tcBorders>
              <w:left w:val="nil"/>
            </w:tcBorders>
            <w:vAlign w:val="top"/>
          </w:tcPr>
          <w:p>
            <w:pPr>
              <w:spacing w:before="54" w:line="185" w:lineRule="auto"/>
              <w:ind w:left="211"/>
              <w:rPr>
                <w:rFonts w:ascii="仿宋" w:hAnsi="仿宋" w:eastAsia="仿宋" w:cs="仿宋"/>
                <w:sz w:val="21"/>
                <w:szCs w:val="21"/>
              </w:rPr>
            </w:pPr>
            <w:r>
              <w:rPr>
                <w:rFonts w:ascii="仿宋" w:hAnsi="仿宋" w:eastAsia="仿宋" w:cs="仿宋"/>
                <w:spacing w:val="-7"/>
                <w:sz w:val="21"/>
                <w:szCs w:val="21"/>
              </w:rPr>
              <w:t>板栗</w:t>
            </w:r>
          </w:p>
        </w:tc>
        <w:tc>
          <w:tcPr>
            <w:tcW w:w="849" w:type="dxa"/>
            <w:vAlign w:val="top"/>
          </w:tcPr>
          <w:p>
            <w:pPr>
              <w:spacing w:before="54" w:line="185" w:lineRule="auto"/>
              <w:ind w:left="228"/>
              <w:rPr>
                <w:rFonts w:ascii="仿宋" w:hAnsi="仿宋" w:eastAsia="仿宋" w:cs="仿宋"/>
                <w:sz w:val="21"/>
                <w:szCs w:val="21"/>
              </w:rPr>
            </w:pPr>
            <w:r>
              <w:rPr>
                <w:rFonts w:ascii="仿宋" w:hAnsi="仿宋" w:eastAsia="仿宋" w:cs="仿宋"/>
                <w:spacing w:val="-5"/>
                <w:sz w:val="21"/>
                <w:szCs w:val="21"/>
              </w:rPr>
              <w:t>全年</w:t>
            </w:r>
          </w:p>
        </w:tc>
        <w:tc>
          <w:tcPr>
            <w:tcW w:w="754" w:type="dxa"/>
            <w:vAlign w:val="top"/>
          </w:tcPr>
          <w:p>
            <w:pPr>
              <w:pStyle w:val="6"/>
              <w:spacing w:before="90" w:line="173" w:lineRule="auto"/>
              <w:ind w:left="276"/>
            </w:pPr>
            <w:r>
              <w:rPr>
                <w:spacing w:val="-2"/>
              </w:rPr>
              <w:t>90</w:t>
            </w:r>
          </w:p>
        </w:tc>
        <w:tc>
          <w:tcPr>
            <w:tcW w:w="849" w:type="dxa"/>
            <w:vAlign w:val="top"/>
          </w:tcPr>
          <w:p>
            <w:pPr>
              <w:spacing w:before="54" w:line="185"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pStyle w:val="6"/>
              <w:spacing w:before="90" w:line="173" w:lineRule="auto"/>
              <w:ind w:left="188"/>
            </w:pPr>
            <w:r>
              <w:rPr>
                <w:spacing w:val="-1"/>
              </w:rPr>
              <w:t>21</w:t>
            </w: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803" w:type="dxa"/>
            <w:tcBorders>
              <w:left w:val="nil"/>
            </w:tcBorders>
            <w:vAlign w:val="top"/>
          </w:tcPr>
          <w:p>
            <w:pPr>
              <w:spacing w:before="56" w:line="183" w:lineRule="auto"/>
              <w:ind w:left="213"/>
              <w:rPr>
                <w:rFonts w:ascii="仿宋" w:hAnsi="仿宋" w:eastAsia="仿宋" w:cs="仿宋"/>
                <w:sz w:val="21"/>
                <w:szCs w:val="21"/>
              </w:rPr>
            </w:pPr>
            <w:r>
              <w:rPr>
                <w:rFonts w:ascii="仿宋" w:hAnsi="仿宋" w:eastAsia="仿宋" w:cs="仿宋"/>
                <w:spacing w:val="-4"/>
                <w:sz w:val="21"/>
                <w:szCs w:val="21"/>
              </w:rPr>
              <w:t>花椒</w:t>
            </w:r>
          </w:p>
        </w:tc>
        <w:tc>
          <w:tcPr>
            <w:tcW w:w="849" w:type="dxa"/>
            <w:vAlign w:val="top"/>
          </w:tcPr>
          <w:p>
            <w:pPr>
              <w:spacing w:before="56" w:line="183" w:lineRule="auto"/>
              <w:ind w:left="228"/>
              <w:rPr>
                <w:rFonts w:ascii="仿宋" w:hAnsi="仿宋" w:eastAsia="仿宋" w:cs="仿宋"/>
                <w:sz w:val="21"/>
                <w:szCs w:val="21"/>
              </w:rPr>
            </w:pPr>
            <w:r>
              <w:rPr>
                <w:rFonts w:ascii="仿宋" w:hAnsi="仿宋" w:eastAsia="仿宋" w:cs="仿宋"/>
                <w:spacing w:val="-5"/>
                <w:sz w:val="21"/>
                <w:szCs w:val="21"/>
              </w:rPr>
              <w:t>全年</w:t>
            </w:r>
          </w:p>
        </w:tc>
        <w:tc>
          <w:tcPr>
            <w:tcW w:w="754" w:type="dxa"/>
            <w:vAlign w:val="top"/>
          </w:tcPr>
          <w:p>
            <w:pPr>
              <w:pStyle w:val="6"/>
              <w:spacing w:before="92" w:line="171" w:lineRule="auto"/>
              <w:ind w:left="276"/>
            </w:pPr>
            <w:r>
              <w:rPr>
                <w:spacing w:val="-2"/>
              </w:rPr>
              <w:t>90</w:t>
            </w:r>
          </w:p>
        </w:tc>
        <w:tc>
          <w:tcPr>
            <w:tcW w:w="849" w:type="dxa"/>
            <w:vAlign w:val="top"/>
          </w:tcPr>
          <w:p>
            <w:pPr>
              <w:spacing w:before="56" w:line="183"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vAlign w:val="top"/>
          </w:tcPr>
          <w:p>
            <w:pPr>
              <w:rPr>
                <w:rFonts w:ascii="Arial"/>
                <w:sz w:val="21"/>
              </w:rPr>
            </w:pPr>
          </w:p>
        </w:tc>
        <w:tc>
          <w:tcPr>
            <w:tcW w:w="585" w:type="dxa"/>
            <w:vAlign w:val="top"/>
          </w:tcPr>
          <w:p>
            <w:pPr>
              <w:rPr>
                <w:rFonts w:ascii="Arial"/>
                <w:sz w:val="21"/>
              </w:rPr>
            </w:pPr>
          </w:p>
        </w:tc>
        <w:tc>
          <w:tcPr>
            <w:tcW w:w="583" w:type="dxa"/>
            <w:vAlign w:val="top"/>
          </w:tcPr>
          <w:p>
            <w:pPr>
              <w:rPr>
                <w:rFonts w:ascii="Arial"/>
                <w:sz w:val="21"/>
              </w:rPr>
            </w:pPr>
          </w:p>
        </w:tc>
        <w:tc>
          <w:tcPr>
            <w:tcW w:w="691" w:type="dxa"/>
            <w:gridSpan w:val="2"/>
            <w:vAlign w:val="top"/>
          </w:tcPr>
          <w:p>
            <w:pPr>
              <w:rPr>
                <w:rFonts w:ascii="Arial"/>
                <w:sz w:val="21"/>
              </w:rPr>
            </w:pPr>
          </w:p>
        </w:tc>
        <w:tc>
          <w:tcPr>
            <w:tcW w:w="426" w:type="dxa"/>
            <w:vAlign w:val="top"/>
          </w:tcPr>
          <w:p>
            <w:pPr>
              <w:rPr>
                <w:rFonts w:ascii="Arial"/>
                <w:sz w:val="21"/>
              </w:rPr>
            </w:pPr>
          </w:p>
        </w:tc>
        <w:tc>
          <w:tcPr>
            <w:tcW w:w="427" w:type="dxa"/>
            <w:vAlign w:val="top"/>
          </w:tcPr>
          <w:p>
            <w:pPr>
              <w:rPr>
                <w:rFonts w:ascii="Arial"/>
                <w:sz w:val="21"/>
              </w:rPr>
            </w:pPr>
          </w:p>
        </w:tc>
        <w:tc>
          <w:tcPr>
            <w:tcW w:w="655" w:type="dxa"/>
            <w:vAlign w:val="top"/>
          </w:tcPr>
          <w:p>
            <w:pPr>
              <w:rPr>
                <w:rFonts w:ascii="Arial"/>
                <w:sz w:val="21"/>
              </w:rPr>
            </w:pPr>
          </w:p>
        </w:tc>
        <w:tc>
          <w:tcPr>
            <w:tcW w:w="654"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655" w:type="dxa"/>
            <w:vAlign w:val="top"/>
          </w:tcPr>
          <w:p>
            <w:pPr>
              <w:rPr>
                <w:rFonts w:ascii="Arial"/>
                <w:sz w:val="21"/>
              </w:rPr>
            </w:pPr>
          </w:p>
        </w:tc>
        <w:tc>
          <w:tcPr>
            <w:tcW w:w="584" w:type="dxa"/>
            <w:vAlign w:val="top"/>
          </w:tcPr>
          <w:p>
            <w:pPr>
              <w:rPr>
                <w:rFonts w:ascii="Arial"/>
                <w:sz w:val="21"/>
              </w:rPr>
            </w:pPr>
          </w:p>
        </w:tc>
        <w:tc>
          <w:tcPr>
            <w:tcW w:w="689" w:type="dxa"/>
            <w:vAlign w:val="top"/>
          </w:tcPr>
          <w:p>
            <w:pPr>
              <w:rPr>
                <w:rFonts w:ascii="Arial"/>
                <w:sz w:val="21"/>
              </w:rPr>
            </w:pPr>
          </w:p>
        </w:tc>
        <w:tc>
          <w:tcPr>
            <w:tcW w:w="585" w:type="dxa"/>
            <w:vAlign w:val="top"/>
          </w:tcPr>
          <w:p>
            <w:pPr>
              <w:pStyle w:val="6"/>
              <w:spacing w:before="92" w:line="171" w:lineRule="auto"/>
              <w:ind w:left="192"/>
            </w:pPr>
            <w:r>
              <w:rPr>
                <w:spacing w:val="-3"/>
              </w:rPr>
              <w:t>30</w:t>
            </w:r>
          </w:p>
        </w:tc>
        <w:tc>
          <w:tcPr>
            <w:tcW w:w="583" w:type="dxa"/>
            <w:vAlign w:val="top"/>
          </w:tcPr>
          <w:p>
            <w:pPr>
              <w:rPr>
                <w:rFonts w:ascii="Arial"/>
                <w:sz w:val="21"/>
              </w:rPr>
            </w:pPr>
          </w:p>
        </w:tc>
        <w:tc>
          <w:tcPr>
            <w:tcW w:w="438" w:type="dxa"/>
            <w:vAlign w:val="top"/>
          </w:tcPr>
          <w:p>
            <w:pPr>
              <w:rPr>
                <w:rFonts w:ascii="Arial"/>
                <w:sz w:val="21"/>
              </w:rPr>
            </w:pPr>
          </w:p>
        </w:tc>
        <w:tc>
          <w:tcPr>
            <w:tcW w:w="512" w:type="dxa"/>
            <w:gridSpan w:val="2"/>
            <w:vAlign w:val="top"/>
          </w:tcPr>
          <w:p>
            <w:pPr>
              <w:rPr>
                <w:rFonts w:ascii="Arial"/>
                <w:sz w:val="21"/>
              </w:rPr>
            </w:pPr>
          </w:p>
        </w:tc>
        <w:tc>
          <w:tcPr>
            <w:tcW w:w="801" w:type="dxa"/>
            <w:gridSpan w:val="2"/>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0" w:hRule="atLeast"/>
        </w:trPr>
        <w:tc>
          <w:tcPr>
            <w:tcW w:w="803" w:type="dxa"/>
            <w:tcBorders>
              <w:left w:val="nil"/>
              <w:bottom w:val="single" w:color="000000" w:sz="12" w:space="0"/>
            </w:tcBorders>
            <w:vAlign w:val="top"/>
          </w:tcPr>
          <w:p>
            <w:pPr>
              <w:spacing w:before="59" w:line="203" w:lineRule="auto"/>
              <w:ind w:left="211"/>
              <w:rPr>
                <w:rFonts w:ascii="仿宋" w:hAnsi="仿宋" w:eastAsia="仿宋" w:cs="仿宋"/>
                <w:sz w:val="21"/>
                <w:szCs w:val="21"/>
              </w:rPr>
            </w:pPr>
            <w:r>
              <w:rPr>
                <w:rFonts w:ascii="仿宋" w:hAnsi="仿宋" w:eastAsia="仿宋" w:cs="仿宋"/>
                <w:spacing w:val="-4"/>
                <w:sz w:val="21"/>
                <w:szCs w:val="21"/>
              </w:rPr>
              <w:t>蚕桑</w:t>
            </w:r>
          </w:p>
        </w:tc>
        <w:tc>
          <w:tcPr>
            <w:tcW w:w="849" w:type="dxa"/>
            <w:tcBorders>
              <w:bottom w:val="single" w:color="000000" w:sz="12" w:space="0"/>
            </w:tcBorders>
            <w:vAlign w:val="top"/>
          </w:tcPr>
          <w:p>
            <w:pPr>
              <w:spacing w:before="59" w:line="203" w:lineRule="auto"/>
              <w:ind w:left="228"/>
              <w:rPr>
                <w:rFonts w:ascii="仿宋" w:hAnsi="仿宋" w:eastAsia="仿宋" w:cs="仿宋"/>
                <w:sz w:val="21"/>
                <w:szCs w:val="21"/>
              </w:rPr>
            </w:pPr>
            <w:r>
              <w:rPr>
                <w:rFonts w:ascii="仿宋" w:hAnsi="仿宋" w:eastAsia="仿宋" w:cs="仿宋"/>
                <w:spacing w:val="-5"/>
                <w:sz w:val="21"/>
                <w:szCs w:val="21"/>
              </w:rPr>
              <w:t>全年</w:t>
            </w:r>
          </w:p>
        </w:tc>
        <w:tc>
          <w:tcPr>
            <w:tcW w:w="754" w:type="dxa"/>
            <w:tcBorders>
              <w:bottom w:val="single" w:color="000000" w:sz="12" w:space="0"/>
            </w:tcBorders>
            <w:vAlign w:val="top"/>
          </w:tcPr>
          <w:p>
            <w:pPr>
              <w:pStyle w:val="6"/>
              <w:spacing w:before="95" w:line="188" w:lineRule="auto"/>
              <w:ind w:left="241"/>
            </w:pPr>
            <w:r>
              <w:rPr>
                <w:spacing w:val="-6"/>
              </w:rPr>
              <w:t>105</w:t>
            </w:r>
          </w:p>
        </w:tc>
        <w:tc>
          <w:tcPr>
            <w:tcW w:w="849" w:type="dxa"/>
            <w:tcBorders>
              <w:bottom w:val="single" w:color="000000" w:sz="12" w:space="0"/>
            </w:tcBorders>
            <w:vAlign w:val="top"/>
          </w:tcPr>
          <w:p>
            <w:pPr>
              <w:spacing w:before="59" w:line="203" w:lineRule="auto"/>
              <w:ind w:left="235"/>
              <w:rPr>
                <w:rFonts w:ascii="仿宋" w:hAnsi="仿宋" w:eastAsia="仿宋" w:cs="仿宋"/>
                <w:sz w:val="21"/>
                <w:szCs w:val="21"/>
              </w:rPr>
            </w:pPr>
            <w:r>
              <w:rPr>
                <w:rFonts w:ascii="仿宋" w:hAnsi="仿宋" w:eastAsia="仿宋" w:cs="仿宋"/>
                <w:spacing w:val="-7"/>
                <w:sz w:val="21"/>
                <w:szCs w:val="21"/>
              </w:rPr>
              <w:t>多次</w:t>
            </w:r>
          </w:p>
        </w:tc>
        <w:tc>
          <w:tcPr>
            <w:tcW w:w="584" w:type="dxa"/>
            <w:tcBorders>
              <w:bottom w:val="single" w:color="000000" w:sz="12" w:space="0"/>
            </w:tcBorders>
            <w:vAlign w:val="top"/>
          </w:tcPr>
          <w:p>
            <w:pPr>
              <w:rPr>
                <w:rFonts w:ascii="Arial"/>
                <w:sz w:val="21"/>
              </w:rPr>
            </w:pPr>
          </w:p>
        </w:tc>
        <w:tc>
          <w:tcPr>
            <w:tcW w:w="585" w:type="dxa"/>
            <w:tcBorders>
              <w:bottom w:val="single" w:color="000000" w:sz="12" w:space="0"/>
            </w:tcBorders>
            <w:vAlign w:val="top"/>
          </w:tcPr>
          <w:p>
            <w:pPr>
              <w:rPr>
                <w:rFonts w:ascii="Arial"/>
                <w:sz w:val="21"/>
              </w:rPr>
            </w:pPr>
          </w:p>
        </w:tc>
        <w:tc>
          <w:tcPr>
            <w:tcW w:w="583" w:type="dxa"/>
            <w:tcBorders>
              <w:bottom w:val="single" w:color="000000" w:sz="12" w:space="0"/>
            </w:tcBorders>
            <w:vAlign w:val="top"/>
          </w:tcPr>
          <w:p>
            <w:pPr>
              <w:rPr>
                <w:rFonts w:ascii="Arial"/>
                <w:sz w:val="21"/>
              </w:rPr>
            </w:pPr>
          </w:p>
        </w:tc>
        <w:tc>
          <w:tcPr>
            <w:tcW w:w="691" w:type="dxa"/>
            <w:gridSpan w:val="2"/>
            <w:tcBorders>
              <w:bottom w:val="single" w:color="000000" w:sz="12" w:space="0"/>
            </w:tcBorders>
            <w:vAlign w:val="top"/>
          </w:tcPr>
          <w:p>
            <w:pPr>
              <w:rPr>
                <w:rFonts w:ascii="Arial"/>
                <w:sz w:val="21"/>
              </w:rPr>
            </w:pPr>
          </w:p>
        </w:tc>
        <w:tc>
          <w:tcPr>
            <w:tcW w:w="426" w:type="dxa"/>
            <w:tcBorders>
              <w:bottom w:val="single" w:color="000000" w:sz="12" w:space="0"/>
            </w:tcBorders>
            <w:vAlign w:val="top"/>
          </w:tcPr>
          <w:p>
            <w:pPr>
              <w:rPr>
                <w:rFonts w:ascii="Arial"/>
                <w:sz w:val="21"/>
              </w:rPr>
            </w:pPr>
          </w:p>
        </w:tc>
        <w:tc>
          <w:tcPr>
            <w:tcW w:w="427" w:type="dxa"/>
            <w:tcBorders>
              <w:bottom w:val="single" w:color="000000" w:sz="12" w:space="0"/>
            </w:tcBorders>
            <w:vAlign w:val="top"/>
          </w:tcPr>
          <w:p>
            <w:pPr>
              <w:rPr>
                <w:rFonts w:ascii="Arial"/>
                <w:sz w:val="21"/>
              </w:rPr>
            </w:pPr>
          </w:p>
        </w:tc>
        <w:tc>
          <w:tcPr>
            <w:tcW w:w="655" w:type="dxa"/>
            <w:tcBorders>
              <w:bottom w:val="single" w:color="000000" w:sz="12" w:space="0"/>
            </w:tcBorders>
            <w:vAlign w:val="top"/>
          </w:tcPr>
          <w:p>
            <w:pPr>
              <w:rPr>
                <w:rFonts w:ascii="Arial"/>
                <w:sz w:val="21"/>
              </w:rPr>
            </w:pPr>
          </w:p>
        </w:tc>
        <w:tc>
          <w:tcPr>
            <w:tcW w:w="654" w:type="dxa"/>
            <w:tcBorders>
              <w:bottom w:val="single" w:color="000000" w:sz="12" w:space="0"/>
            </w:tcBorders>
            <w:vAlign w:val="top"/>
          </w:tcPr>
          <w:p>
            <w:pPr>
              <w:rPr>
                <w:rFonts w:ascii="Arial"/>
                <w:sz w:val="21"/>
              </w:rPr>
            </w:pPr>
          </w:p>
        </w:tc>
        <w:tc>
          <w:tcPr>
            <w:tcW w:w="655" w:type="dxa"/>
            <w:tcBorders>
              <w:bottom w:val="single" w:color="000000" w:sz="12" w:space="0"/>
            </w:tcBorders>
            <w:vAlign w:val="top"/>
          </w:tcPr>
          <w:p>
            <w:pPr>
              <w:rPr>
                <w:rFonts w:ascii="Arial"/>
                <w:sz w:val="21"/>
              </w:rPr>
            </w:pPr>
          </w:p>
        </w:tc>
        <w:tc>
          <w:tcPr>
            <w:tcW w:w="655" w:type="dxa"/>
            <w:tcBorders>
              <w:bottom w:val="single" w:color="000000" w:sz="12" w:space="0"/>
            </w:tcBorders>
            <w:vAlign w:val="top"/>
          </w:tcPr>
          <w:p>
            <w:pPr>
              <w:rPr>
                <w:rFonts w:ascii="Arial"/>
                <w:sz w:val="21"/>
              </w:rPr>
            </w:pPr>
          </w:p>
        </w:tc>
        <w:tc>
          <w:tcPr>
            <w:tcW w:w="655" w:type="dxa"/>
            <w:tcBorders>
              <w:bottom w:val="single" w:color="000000" w:sz="12" w:space="0"/>
            </w:tcBorders>
            <w:vAlign w:val="top"/>
          </w:tcPr>
          <w:p>
            <w:pPr>
              <w:rPr>
                <w:rFonts w:ascii="Arial"/>
                <w:sz w:val="21"/>
              </w:rPr>
            </w:pPr>
          </w:p>
        </w:tc>
        <w:tc>
          <w:tcPr>
            <w:tcW w:w="584" w:type="dxa"/>
            <w:tcBorders>
              <w:bottom w:val="single" w:color="000000" w:sz="12" w:space="0"/>
            </w:tcBorders>
            <w:vAlign w:val="top"/>
          </w:tcPr>
          <w:p>
            <w:pPr>
              <w:rPr>
                <w:rFonts w:ascii="Arial"/>
                <w:sz w:val="21"/>
              </w:rPr>
            </w:pPr>
          </w:p>
        </w:tc>
        <w:tc>
          <w:tcPr>
            <w:tcW w:w="689" w:type="dxa"/>
            <w:tcBorders>
              <w:bottom w:val="single" w:color="000000" w:sz="12" w:space="0"/>
            </w:tcBorders>
            <w:vAlign w:val="top"/>
          </w:tcPr>
          <w:p>
            <w:pPr>
              <w:rPr>
                <w:rFonts w:ascii="Arial"/>
                <w:sz w:val="21"/>
              </w:rPr>
            </w:pPr>
          </w:p>
        </w:tc>
        <w:tc>
          <w:tcPr>
            <w:tcW w:w="585" w:type="dxa"/>
            <w:tcBorders>
              <w:bottom w:val="single" w:color="000000" w:sz="12" w:space="0"/>
            </w:tcBorders>
            <w:vAlign w:val="top"/>
          </w:tcPr>
          <w:p>
            <w:pPr>
              <w:rPr>
                <w:rFonts w:ascii="Arial"/>
                <w:sz w:val="21"/>
              </w:rPr>
            </w:pPr>
          </w:p>
        </w:tc>
        <w:tc>
          <w:tcPr>
            <w:tcW w:w="583" w:type="dxa"/>
            <w:tcBorders>
              <w:bottom w:val="single" w:color="000000" w:sz="12" w:space="0"/>
            </w:tcBorders>
            <w:vAlign w:val="top"/>
          </w:tcPr>
          <w:p>
            <w:pPr>
              <w:rPr>
                <w:rFonts w:ascii="Arial"/>
                <w:sz w:val="21"/>
              </w:rPr>
            </w:pPr>
          </w:p>
        </w:tc>
        <w:tc>
          <w:tcPr>
            <w:tcW w:w="438" w:type="dxa"/>
            <w:tcBorders>
              <w:bottom w:val="single" w:color="000000" w:sz="12" w:space="0"/>
            </w:tcBorders>
            <w:vAlign w:val="top"/>
          </w:tcPr>
          <w:p>
            <w:pPr>
              <w:rPr>
                <w:rFonts w:ascii="Arial"/>
                <w:sz w:val="21"/>
              </w:rPr>
            </w:pPr>
          </w:p>
        </w:tc>
        <w:tc>
          <w:tcPr>
            <w:tcW w:w="512" w:type="dxa"/>
            <w:gridSpan w:val="2"/>
            <w:tcBorders>
              <w:bottom w:val="single" w:color="000000" w:sz="12" w:space="0"/>
            </w:tcBorders>
            <w:vAlign w:val="top"/>
          </w:tcPr>
          <w:p>
            <w:pPr>
              <w:rPr>
                <w:rFonts w:ascii="Arial"/>
                <w:sz w:val="21"/>
              </w:rPr>
            </w:pPr>
          </w:p>
        </w:tc>
        <w:tc>
          <w:tcPr>
            <w:tcW w:w="801" w:type="dxa"/>
            <w:gridSpan w:val="2"/>
            <w:tcBorders>
              <w:bottom w:val="single" w:color="000000" w:sz="12"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126" w:type="default"/>
          <w:pgSz w:w="16839" w:h="11907"/>
          <w:pgMar w:top="1298" w:right="1387" w:bottom="1373" w:left="1388" w:header="1023" w:footer="1210" w:gutter="0"/>
        </w:sectPr>
      </w:pPr>
    </w:p>
    <w:p>
      <w:pPr>
        <w:spacing w:before="156" w:line="217" w:lineRule="auto"/>
        <w:ind w:left="517"/>
        <w:rPr>
          <w:rFonts w:ascii="宋体" w:hAnsi="宋体" w:eastAsia="宋体" w:cs="宋体"/>
          <w:sz w:val="24"/>
          <w:szCs w:val="24"/>
        </w:rPr>
      </w:pPr>
      <w:r>
        <w:rPr>
          <w:rFonts w:ascii="宋体" w:hAnsi="宋体" w:eastAsia="宋体" w:cs="宋体"/>
          <w:spacing w:val="-1"/>
          <w:sz w:val="24"/>
          <w:szCs w:val="24"/>
        </w:rPr>
        <w:t>④灌溉设计保证率与灌溉水利用系数</w:t>
      </w:r>
    </w:p>
    <w:p>
      <w:pPr>
        <w:spacing w:before="184" w:line="467" w:lineRule="exact"/>
        <w:ind w:left="525"/>
        <w:rPr>
          <w:rFonts w:ascii="宋体" w:hAnsi="宋体" w:eastAsia="宋体" w:cs="宋体"/>
          <w:sz w:val="24"/>
          <w:szCs w:val="24"/>
        </w:rPr>
      </w:pPr>
      <w:r>
        <w:rPr>
          <w:rFonts w:ascii="宋体" w:hAnsi="宋体" w:eastAsia="宋体" w:cs="宋体"/>
          <w:position w:val="17"/>
          <w:sz w:val="24"/>
          <w:szCs w:val="24"/>
        </w:rPr>
        <w:t>结合项目区的特点，综合考虑在当地的各项</w:t>
      </w:r>
      <w:r>
        <w:rPr>
          <w:rFonts w:ascii="宋体" w:hAnsi="宋体" w:eastAsia="宋体" w:cs="宋体"/>
          <w:spacing w:val="-1"/>
          <w:position w:val="17"/>
          <w:sz w:val="24"/>
          <w:szCs w:val="24"/>
        </w:rPr>
        <w:t>水利设施在逐步完善情况下，规划水</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平年灌溉水利用系数取</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0.7</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。本次设计灌溉设计保证率采用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75%</w:t>
      </w:r>
      <w:r>
        <w:rPr>
          <w:rFonts w:ascii="宋体" w:hAnsi="宋体" w:eastAsia="宋体" w:cs="宋体"/>
          <w:spacing w:val="-2"/>
          <w:sz w:val="24"/>
          <w:szCs w:val="24"/>
        </w:rPr>
        <w:t>。</w:t>
      </w:r>
    </w:p>
    <w:p>
      <w:pPr>
        <w:spacing w:before="183" w:line="217" w:lineRule="auto"/>
        <w:ind w:left="517"/>
        <w:rPr>
          <w:rFonts w:ascii="宋体" w:hAnsi="宋体" w:eastAsia="宋体" w:cs="宋体"/>
          <w:sz w:val="24"/>
          <w:szCs w:val="24"/>
        </w:rPr>
      </w:pPr>
      <w:r>
        <w:rPr>
          <w:rFonts w:ascii="宋体" w:hAnsi="宋体" w:eastAsia="宋体" w:cs="宋体"/>
          <w:spacing w:val="-1"/>
          <w:sz w:val="24"/>
          <w:szCs w:val="24"/>
        </w:rPr>
        <w:t>⑤农业灌溉需水量</w:t>
      </w:r>
    </w:p>
    <w:p>
      <w:pPr>
        <w:spacing w:before="184" w:line="467" w:lineRule="exact"/>
        <w:ind w:left="519"/>
        <w:rPr>
          <w:rFonts w:ascii="宋体" w:hAnsi="宋体" w:eastAsia="宋体" w:cs="宋体"/>
          <w:sz w:val="24"/>
          <w:szCs w:val="24"/>
        </w:rPr>
      </w:pPr>
      <w:r>
        <w:rPr>
          <w:rFonts w:ascii="宋体" w:hAnsi="宋体" w:eastAsia="宋体" w:cs="宋体"/>
          <w:position w:val="17"/>
          <w:sz w:val="24"/>
          <w:szCs w:val="24"/>
        </w:rPr>
        <w:t>根据可研计算，灌区灌溉水利用系数取</w:t>
      </w:r>
      <w:r>
        <w:rPr>
          <w:rFonts w:ascii="宋体" w:hAnsi="宋体" w:eastAsia="宋体" w:cs="宋体"/>
          <w:spacing w:val="-51"/>
          <w:position w:val="17"/>
          <w:sz w:val="24"/>
          <w:szCs w:val="24"/>
        </w:rPr>
        <w:t xml:space="preserve"> </w:t>
      </w:r>
      <w:r>
        <w:rPr>
          <w:rFonts w:ascii="Times New Roman" w:hAnsi="Times New Roman" w:eastAsia="Times New Roman" w:cs="Times New Roman"/>
          <w:position w:val="17"/>
          <w:sz w:val="24"/>
          <w:szCs w:val="24"/>
        </w:rPr>
        <w:t>0.7</w:t>
      </w:r>
      <w:r>
        <w:rPr>
          <w:rFonts w:ascii="Times New Roman" w:hAnsi="Times New Roman" w:eastAsia="Times New Roman" w:cs="Times New Roman"/>
          <w:spacing w:val="-1"/>
          <w:position w:val="17"/>
          <w:sz w:val="24"/>
          <w:szCs w:val="24"/>
        </w:rPr>
        <w:t>0</w:t>
      </w:r>
      <w:r>
        <w:rPr>
          <w:rFonts w:ascii="宋体" w:hAnsi="宋体" w:eastAsia="宋体" w:cs="宋体"/>
          <w:spacing w:val="-1"/>
          <w:position w:val="17"/>
          <w:sz w:val="24"/>
          <w:szCs w:val="24"/>
        </w:rPr>
        <w:t xml:space="preserve">，计算得 </w:t>
      </w:r>
      <w:r>
        <w:rPr>
          <w:rFonts w:ascii="Times New Roman" w:hAnsi="Times New Roman" w:eastAsia="Times New Roman" w:cs="Times New Roman"/>
          <w:spacing w:val="-1"/>
          <w:position w:val="17"/>
          <w:sz w:val="24"/>
          <w:szCs w:val="24"/>
        </w:rPr>
        <w:t>P=75%</w:t>
      </w:r>
      <w:r>
        <w:rPr>
          <w:rFonts w:ascii="宋体" w:hAnsi="宋体" w:eastAsia="宋体" w:cs="宋体"/>
          <w:spacing w:val="-1"/>
          <w:position w:val="17"/>
          <w:sz w:val="24"/>
          <w:szCs w:val="24"/>
        </w:rPr>
        <w:t>时灌区规划水平年</w:t>
      </w:r>
    </w:p>
    <w:p>
      <w:pPr>
        <w:spacing w:line="233" w:lineRule="auto"/>
        <w:ind w:left="59"/>
        <w:rPr>
          <w:rFonts w:ascii="宋体" w:hAnsi="宋体" w:eastAsia="宋体" w:cs="宋体"/>
          <w:sz w:val="24"/>
          <w:szCs w:val="24"/>
        </w:rPr>
      </w:pPr>
      <w:r>
        <w:rPr>
          <w:rFonts w:ascii="宋体" w:hAnsi="宋体" w:eastAsia="宋体" w:cs="宋体"/>
          <w:spacing w:val="-3"/>
          <w:sz w:val="24"/>
          <w:szCs w:val="24"/>
        </w:rPr>
        <w:t>的农业灌溉需水量为</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6467.5</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w:t>
      </w:r>
    </w:p>
    <w:p>
      <w:pPr>
        <w:spacing w:line="233" w:lineRule="auto"/>
        <w:rPr>
          <w:rFonts w:ascii="宋体" w:hAnsi="宋体" w:eastAsia="宋体" w:cs="宋体"/>
          <w:sz w:val="24"/>
          <w:szCs w:val="24"/>
        </w:rPr>
        <w:sectPr>
          <w:headerReference r:id="rId127" w:type="default"/>
          <w:footerReference r:id="rId128" w:type="default"/>
          <w:pgSz w:w="11907" w:h="16839"/>
          <w:pgMar w:top="1298" w:right="1387" w:bottom="1372" w:left="1501" w:header="1023" w:footer="1210" w:gutter="0"/>
        </w:sectPr>
      </w:pPr>
    </w:p>
    <w:p>
      <w:pPr>
        <w:spacing w:line="303" w:lineRule="auto"/>
        <w:rPr>
          <w:rFonts w:ascii="Arial"/>
          <w:sz w:val="21"/>
        </w:rPr>
      </w:pPr>
    </w:p>
    <w:p>
      <w:pPr>
        <w:spacing w:line="303" w:lineRule="auto"/>
        <w:rPr>
          <w:rFonts w:ascii="Arial"/>
          <w:sz w:val="21"/>
        </w:rPr>
      </w:pPr>
    </w:p>
    <w:p>
      <w:pPr>
        <w:spacing w:before="68" w:line="233" w:lineRule="auto"/>
        <w:ind w:left="3940"/>
        <w:rPr>
          <w:rFonts w:ascii="Times New Roman" w:hAnsi="Times New Roman" w:eastAsia="Times New Roman" w:cs="Times New Roman"/>
          <w:sz w:val="14"/>
          <w:szCs w:val="14"/>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46"/>
          <w:sz w:val="21"/>
          <w:szCs w:val="21"/>
        </w:rPr>
        <w:t xml:space="preserve"> </w:t>
      </w:r>
      <w:r>
        <w:rPr>
          <w:rFonts w:ascii="Times New Roman" w:hAnsi="Times New Roman" w:eastAsia="Times New Roman" w:cs="Times New Roman"/>
          <w:b/>
          <w:bCs/>
          <w:sz w:val="21"/>
          <w:szCs w:val="21"/>
        </w:rPr>
        <w:t xml:space="preserve">2.3-12    </w:t>
      </w:r>
      <w:r>
        <w:rPr>
          <w:rFonts w:ascii="宋体" w:hAnsi="宋体" w:eastAsia="宋体" w:cs="宋体"/>
          <w:sz w:val="21"/>
          <w:szCs w:val="21"/>
          <w14:textOutline w14:w="3810" w14:cap="flat" w14:cmpd="sng">
            <w14:solidFill>
              <w14:srgbClr w14:val="000000"/>
            </w14:solidFill>
            <w14:prstDash w14:val="solid"/>
            <w14:miter w14:val="0"/>
          </w14:textOutline>
        </w:rPr>
        <w:t>灌区规划水平年农业需水过程线表（</w:t>
      </w:r>
      <w:r>
        <w:rPr>
          <w:rFonts w:ascii="Times New Roman" w:hAnsi="Times New Roman" w:eastAsia="Times New Roman" w:cs="Times New Roman"/>
          <w:b/>
          <w:bCs/>
          <w:sz w:val="21"/>
          <w:szCs w:val="21"/>
        </w:rPr>
        <w:t>P=75%</w:t>
      </w:r>
      <w:r>
        <w:rPr>
          <w:rFonts w:ascii="宋体" w:hAnsi="宋体" w:eastAsia="宋体" w:cs="宋体"/>
          <w:sz w:val="21"/>
          <w:szCs w:val="21"/>
          <w14:textOutline w14:w="3810" w14:cap="flat" w14:cmpd="sng">
            <w14:solidFill>
              <w14:srgbClr w14:val="000000"/>
            </w14:solidFill>
            <w14:prstDash w14:val="solid"/>
            <w14:miter w14:val="0"/>
          </w14:textOutline>
        </w:rPr>
        <w:t>）</w:t>
      </w:r>
      <w:r>
        <w:rPr>
          <w:rFonts w:ascii="宋体" w:hAnsi="宋体" w:eastAsia="宋体" w:cs="宋体"/>
          <w:sz w:val="21"/>
          <w:szCs w:val="21"/>
        </w:rPr>
        <w:t xml:space="preserve">  </w:t>
      </w:r>
      <w:r>
        <w:rPr>
          <w:rFonts w:ascii="宋体" w:hAnsi="宋体" w:eastAsia="宋体" w:cs="宋体"/>
          <w:sz w:val="21"/>
          <w:szCs w:val="21"/>
          <w14:textOutline w14:w="3810" w14:cap="flat" w14:cmpd="sng">
            <w14:solidFill>
              <w14:srgbClr w14:val="000000"/>
            </w14:solidFill>
            <w14:prstDash w14:val="solid"/>
            <w14:miter w14:val="0"/>
          </w14:textOutline>
        </w:rPr>
        <w:t>单位</w:t>
      </w:r>
      <w:r>
        <w:rPr>
          <w:rFonts w:ascii="宋体" w:hAnsi="宋体" w:eastAsia="宋体" w:cs="宋体"/>
          <w:spacing w:val="-1"/>
          <w:sz w:val="21"/>
          <w:szCs w:val="21"/>
          <w14:textOutline w14:w="3810" w14:cap="flat" w14:cmpd="sng">
            <w14:solidFill>
              <w14:srgbClr w14:val="000000"/>
            </w14:solidFill>
            <w14:prstDash w14:val="solid"/>
            <w14:miter w14:val="0"/>
          </w14:textOutline>
        </w:rPr>
        <w:t>：万</w:t>
      </w:r>
      <w:r>
        <w:rPr>
          <w:rFonts w:ascii="宋体" w:hAnsi="宋体" w:eastAsia="宋体" w:cs="宋体"/>
          <w:spacing w:val="-43"/>
          <w:sz w:val="21"/>
          <w:szCs w:val="21"/>
        </w:rPr>
        <w:t xml:space="preserve"> </w:t>
      </w:r>
      <w:r>
        <w:rPr>
          <w:rFonts w:ascii="Times New Roman" w:hAnsi="Times New Roman" w:eastAsia="Times New Roman" w:cs="Times New Roman"/>
          <w:b/>
          <w:bCs/>
          <w:spacing w:val="-1"/>
          <w:sz w:val="21"/>
          <w:szCs w:val="21"/>
        </w:rPr>
        <w:t>m</w:t>
      </w:r>
      <w:r>
        <w:rPr>
          <w:rFonts w:ascii="Times New Roman" w:hAnsi="Times New Roman" w:eastAsia="Times New Roman" w:cs="Times New Roman"/>
          <w:b/>
          <w:bCs/>
          <w:spacing w:val="-1"/>
          <w:position w:val="6"/>
          <w:sz w:val="14"/>
          <w:szCs w:val="14"/>
        </w:rPr>
        <w:t>3</w:t>
      </w:r>
    </w:p>
    <w:p>
      <w:pPr>
        <w:spacing w:line="111" w:lineRule="exact"/>
      </w:pPr>
    </w:p>
    <w:tbl>
      <w:tblPr>
        <w:tblStyle w:val="5"/>
        <w:tblW w:w="14002"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4"/>
        <w:gridCol w:w="667"/>
        <w:gridCol w:w="899"/>
        <w:gridCol w:w="992"/>
        <w:gridCol w:w="881"/>
        <w:gridCol w:w="881"/>
        <w:gridCol w:w="654"/>
        <w:gridCol w:w="654"/>
        <w:gridCol w:w="881"/>
        <w:gridCol w:w="882"/>
        <w:gridCol w:w="881"/>
        <w:gridCol w:w="881"/>
        <w:gridCol w:w="881"/>
        <w:gridCol w:w="882"/>
        <w:gridCol w:w="998"/>
        <w:gridCol w:w="1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trPr>
        <w:tc>
          <w:tcPr>
            <w:tcW w:w="1084" w:type="dxa"/>
            <w:vMerge w:val="restart"/>
            <w:tcBorders>
              <w:top w:val="single" w:color="000000" w:sz="12" w:space="0"/>
              <w:left w:val="nil"/>
              <w:bottom w:val="nil"/>
            </w:tcBorders>
            <w:vAlign w:val="top"/>
          </w:tcPr>
          <w:p>
            <w:pPr>
              <w:spacing w:before="303" w:line="218" w:lineRule="auto"/>
              <w:ind w:left="348"/>
              <w:rPr>
                <w:rFonts w:ascii="仿宋" w:hAnsi="仿宋" w:eastAsia="仿宋" w:cs="仿宋"/>
                <w:sz w:val="21"/>
                <w:szCs w:val="21"/>
              </w:rPr>
            </w:pPr>
            <w:r>
              <w:rPr>
                <w:rFonts w:ascii="仿宋" w:hAnsi="仿宋" w:eastAsia="仿宋" w:cs="仿宋"/>
                <w:spacing w:val="-5"/>
                <w:sz w:val="21"/>
                <w:szCs w:val="21"/>
              </w:rPr>
              <w:t>灌片</w:t>
            </w:r>
          </w:p>
        </w:tc>
        <w:tc>
          <w:tcPr>
            <w:tcW w:w="667" w:type="dxa"/>
            <w:vMerge w:val="restart"/>
            <w:tcBorders>
              <w:top w:val="single" w:color="000000" w:sz="12" w:space="0"/>
              <w:bottom w:val="nil"/>
            </w:tcBorders>
            <w:vAlign w:val="top"/>
          </w:tcPr>
          <w:p>
            <w:pPr>
              <w:spacing w:before="167" w:line="219" w:lineRule="auto"/>
              <w:ind w:left="130"/>
              <w:rPr>
                <w:rFonts w:ascii="仿宋" w:hAnsi="仿宋" w:eastAsia="仿宋" w:cs="仿宋"/>
                <w:sz w:val="21"/>
                <w:szCs w:val="21"/>
              </w:rPr>
            </w:pPr>
            <w:r>
              <w:rPr>
                <w:rFonts w:ascii="仿宋" w:hAnsi="仿宋" w:eastAsia="仿宋" w:cs="仿宋"/>
                <w:spacing w:val="-4"/>
                <w:sz w:val="21"/>
                <w:szCs w:val="21"/>
              </w:rPr>
              <w:t>水平</w:t>
            </w:r>
          </w:p>
          <w:p>
            <w:pPr>
              <w:spacing w:before="23" w:line="218" w:lineRule="auto"/>
              <w:ind w:left="240"/>
              <w:rPr>
                <w:rFonts w:ascii="仿宋" w:hAnsi="仿宋" w:eastAsia="仿宋" w:cs="仿宋"/>
                <w:sz w:val="21"/>
                <w:szCs w:val="21"/>
              </w:rPr>
            </w:pPr>
            <w:r>
              <w:rPr>
                <w:rFonts w:ascii="仿宋" w:hAnsi="仿宋" w:eastAsia="仿宋" w:cs="仿宋"/>
                <w:sz w:val="21"/>
                <w:szCs w:val="21"/>
              </w:rPr>
              <w:t>年</w:t>
            </w:r>
          </w:p>
        </w:tc>
        <w:tc>
          <w:tcPr>
            <w:tcW w:w="899" w:type="dxa"/>
            <w:vMerge w:val="restart"/>
            <w:tcBorders>
              <w:top w:val="single" w:color="000000" w:sz="12" w:space="0"/>
              <w:bottom w:val="nil"/>
            </w:tcBorders>
            <w:vAlign w:val="top"/>
          </w:tcPr>
          <w:p>
            <w:pPr>
              <w:spacing w:before="31" w:line="229" w:lineRule="auto"/>
              <w:ind w:left="145" w:right="129" w:firstLine="1"/>
              <w:rPr>
                <w:rFonts w:ascii="仿宋" w:hAnsi="仿宋" w:eastAsia="仿宋" w:cs="仿宋"/>
                <w:sz w:val="21"/>
                <w:szCs w:val="21"/>
              </w:rPr>
            </w:pPr>
            <w:r>
              <w:rPr>
                <w:rFonts w:ascii="仿宋" w:hAnsi="仿宋" w:eastAsia="仿宋" w:cs="仿宋"/>
                <w:spacing w:val="-6"/>
                <w:sz w:val="21"/>
                <w:szCs w:val="21"/>
              </w:rPr>
              <w:t>灌溉面</w:t>
            </w:r>
            <w:r>
              <w:rPr>
                <w:rFonts w:ascii="仿宋" w:hAnsi="仿宋" w:eastAsia="仿宋" w:cs="仿宋"/>
                <w:sz w:val="21"/>
                <w:szCs w:val="21"/>
              </w:rPr>
              <w:t xml:space="preserve"> </w:t>
            </w:r>
            <w:r>
              <w:rPr>
                <w:rFonts w:ascii="仿宋" w:hAnsi="仿宋" w:eastAsia="仿宋" w:cs="仿宋"/>
                <w:spacing w:val="-6"/>
                <w:sz w:val="21"/>
                <w:szCs w:val="21"/>
              </w:rPr>
              <w:t>积（万</w:t>
            </w:r>
          </w:p>
          <w:p>
            <w:pPr>
              <w:spacing w:before="23" w:line="203" w:lineRule="auto"/>
              <w:ind w:left="252"/>
              <w:rPr>
                <w:rFonts w:ascii="仿宋" w:hAnsi="仿宋" w:eastAsia="仿宋" w:cs="仿宋"/>
                <w:sz w:val="21"/>
                <w:szCs w:val="21"/>
              </w:rPr>
            </w:pPr>
            <w:r>
              <w:rPr>
                <w:rFonts w:ascii="仿宋" w:hAnsi="仿宋" w:eastAsia="仿宋" w:cs="仿宋"/>
                <w:spacing w:val="-9"/>
                <w:sz w:val="21"/>
                <w:szCs w:val="21"/>
              </w:rPr>
              <w:t>亩）</w:t>
            </w:r>
          </w:p>
        </w:tc>
        <w:tc>
          <w:tcPr>
            <w:tcW w:w="11352" w:type="dxa"/>
            <w:gridSpan w:val="13"/>
            <w:tcBorders>
              <w:top w:val="single" w:color="000000" w:sz="12" w:space="0"/>
              <w:right w:val="nil"/>
            </w:tcBorders>
            <w:vAlign w:val="top"/>
          </w:tcPr>
          <w:p>
            <w:pPr>
              <w:pStyle w:val="6"/>
              <w:spacing w:before="30" w:line="208" w:lineRule="auto"/>
              <w:ind w:left="4276"/>
              <w:rPr>
                <w:rFonts w:ascii="仿宋" w:hAnsi="仿宋" w:eastAsia="仿宋" w:cs="仿宋"/>
              </w:rPr>
            </w:pPr>
            <w:r>
              <w:rPr>
                <w:spacing w:val="-1"/>
              </w:rPr>
              <w:t>P=75%</w:t>
            </w:r>
            <w:r>
              <w:rPr>
                <w:rFonts w:ascii="仿宋" w:hAnsi="仿宋" w:eastAsia="仿宋" w:cs="仿宋"/>
                <w:spacing w:val="-1"/>
              </w:rPr>
              <w:t>农业毛需水量（万</w:t>
            </w:r>
            <w:r>
              <w:rPr>
                <w:rFonts w:ascii="仿宋" w:hAnsi="仿宋" w:eastAsia="仿宋" w:cs="仿宋"/>
                <w:spacing w:val="-41"/>
              </w:rPr>
              <w:t xml:space="preserve"> </w:t>
            </w:r>
            <w:r>
              <w:rPr>
                <w:spacing w:val="-1"/>
              </w:rPr>
              <w:t>m</w:t>
            </w:r>
            <w:r>
              <w:rPr>
                <w:spacing w:val="-1"/>
                <w:position w:val="7"/>
                <w:sz w:val="14"/>
                <w:szCs w:val="14"/>
              </w:rPr>
              <w:t>3</w:t>
            </w:r>
            <w:r>
              <w:rPr>
                <w:rFonts w:ascii="仿宋" w:hAnsi="仿宋" w:eastAsia="仿宋" w:cs="仿宋"/>
                <w:spacing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0" w:hRule="atLeast"/>
        </w:trPr>
        <w:tc>
          <w:tcPr>
            <w:tcW w:w="1084" w:type="dxa"/>
            <w:vMerge w:val="continue"/>
            <w:tcBorders>
              <w:top w:val="nil"/>
              <w:left w:val="nil"/>
            </w:tcBorders>
            <w:vAlign w:val="top"/>
          </w:tcPr>
          <w:p>
            <w:pPr>
              <w:rPr>
                <w:rFonts w:ascii="Arial"/>
                <w:sz w:val="21"/>
              </w:rPr>
            </w:pPr>
          </w:p>
        </w:tc>
        <w:tc>
          <w:tcPr>
            <w:tcW w:w="667" w:type="dxa"/>
            <w:vMerge w:val="continue"/>
            <w:tcBorders>
              <w:top w:val="nil"/>
            </w:tcBorders>
            <w:vAlign w:val="top"/>
          </w:tcPr>
          <w:p>
            <w:pPr>
              <w:rPr>
                <w:rFonts w:ascii="Arial"/>
                <w:sz w:val="21"/>
              </w:rPr>
            </w:pPr>
          </w:p>
        </w:tc>
        <w:tc>
          <w:tcPr>
            <w:tcW w:w="899" w:type="dxa"/>
            <w:vMerge w:val="continue"/>
            <w:tcBorders>
              <w:top w:val="nil"/>
            </w:tcBorders>
            <w:vAlign w:val="top"/>
          </w:tcPr>
          <w:p>
            <w:pPr>
              <w:rPr>
                <w:rFonts w:ascii="Arial"/>
                <w:sz w:val="21"/>
              </w:rPr>
            </w:pPr>
          </w:p>
        </w:tc>
        <w:tc>
          <w:tcPr>
            <w:tcW w:w="992" w:type="dxa"/>
            <w:vAlign w:val="top"/>
          </w:tcPr>
          <w:p>
            <w:pPr>
              <w:pStyle w:val="6"/>
              <w:spacing w:before="159" w:line="219" w:lineRule="auto"/>
              <w:ind w:left="317"/>
              <w:rPr>
                <w:rFonts w:ascii="仿宋" w:hAnsi="仿宋" w:eastAsia="仿宋" w:cs="仿宋"/>
              </w:rPr>
            </w:pPr>
            <w:r>
              <w:rPr>
                <w:spacing w:val="-5"/>
              </w:rPr>
              <w:t>6</w:t>
            </w:r>
            <w:r>
              <w:rPr>
                <w:spacing w:val="24"/>
                <w:w w:val="101"/>
              </w:rPr>
              <w:t xml:space="preserve"> </w:t>
            </w:r>
            <w:r>
              <w:rPr>
                <w:rFonts w:ascii="仿宋" w:hAnsi="仿宋" w:eastAsia="仿宋" w:cs="仿宋"/>
                <w:spacing w:val="-5"/>
              </w:rPr>
              <w:t>月</w:t>
            </w:r>
          </w:p>
        </w:tc>
        <w:tc>
          <w:tcPr>
            <w:tcW w:w="881" w:type="dxa"/>
            <w:vAlign w:val="top"/>
          </w:tcPr>
          <w:p>
            <w:pPr>
              <w:pStyle w:val="6"/>
              <w:spacing w:before="159" w:line="219" w:lineRule="auto"/>
              <w:ind w:left="259"/>
              <w:rPr>
                <w:rFonts w:ascii="仿宋" w:hAnsi="仿宋" w:eastAsia="仿宋" w:cs="仿宋"/>
              </w:rPr>
            </w:pPr>
            <w:r>
              <w:rPr>
                <w:spacing w:val="-4"/>
              </w:rPr>
              <w:t>7</w:t>
            </w:r>
            <w:r>
              <w:rPr>
                <w:spacing w:val="24"/>
                <w:w w:val="101"/>
              </w:rPr>
              <w:t xml:space="preserve"> </w:t>
            </w:r>
            <w:r>
              <w:rPr>
                <w:rFonts w:ascii="仿宋" w:hAnsi="仿宋" w:eastAsia="仿宋" w:cs="仿宋"/>
                <w:spacing w:val="-4"/>
              </w:rPr>
              <w:t>月</w:t>
            </w:r>
          </w:p>
        </w:tc>
        <w:tc>
          <w:tcPr>
            <w:tcW w:w="881" w:type="dxa"/>
            <w:vAlign w:val="top"/>
          </w:tcPr>
          <w:p>
            <w:pPr>
              <w:pStyle w:val="6"/>
              <w:spacing w:before="159" w:line="219" w:lineRule="auto"/>
              <w:ind w:left="266"/>
              <w:rPr>
                <w:rFonts w:ascii="仿宋" w:hAnsi="仿宋" w:eastAsia="仿宋" w:cs="仿宋"/>
              </w:rPr>
            </w:pPr>
            <w:r>
              <w:rPr>
                <w:spacing w:val="-7"/>
              </w:rPr>
              <w:t>8</w:t>
            </w:r>
            <w:r>
              <w:rPr>
                <w:spacing w:val="24"/>
                <w:w w:val="101"/>
              </w:rPr>
              <w:t xml:space="preserve"> </w:t>
            </w:r>
            <w:r>
              <w:rPr>
                <w:rFonts w:ascii="仿宋" w:hAnsi="仿宋" w:eastAsia="仿宋" w:cs="仿宋"/>
                <w:spacing w:val="-7"/>
              </w:rPr>
              <w:t>月</w:t>
            </w:r>
          </w:p>
        </w:tc>
        <w:tc>
          <w:tcPr>
            <w:tcW w:w="654" w:type="dxa"/>
            <w:vAlign w:val="top"/>
          </w:tcPr>
          <w:p>
            <w:pPr>
              <w:pStyle w:val="6"/>
              <w:spacing w:before="159" w:line="219" w:lineRule="auto"/>
              <w:ind w:left="147"/>
              <w:rPr>
                <w:rFonts w:ascii="仿宋" w:hAnsi="仿宋" w:eastAsia="仿宋" w:cs="仿宋"/>
              </w:rPr>
            </w:pPr>
            <w:r>
              <w:rPr>
                <w:spacing w:val="-5"/>
              </w:rPr>
              <w:t>9</w:t>
            </w:r>
            <w:r>
              <w:rPr>
                <w:spacing w:val="25"/>
              </w:rPr>
              <w:t xml:space="preserve"> </w:t>
            </w:r>
            <w:r>
              <w:rPr>
                <w:rFonts w:ascii="仿宋" w:hAnsi="仿宋" w:eastAsia="仿宋" w:cs="仿宋"/>
                <w:spacing w:val="-5"/>
              </w:rPr>
              <w:t>月</w:t>
            </w:r>
          </w:p>
        </w:tc>
        <w:tc>
          <w:tcPr>
            <w:tcW w:w="654" w:type="dxa"/>
            <w:vAlign w:val="top"/>
          </w:tcPr>
          <w:p>
            <w:pPr>
              <w:pStyle w:val="6"/>
              <w:spacing w:before="59" w:line="219" w:lineRule="auto"/>
              <w:ind w:left="242"/>
            </w:pPr>
            <w:r>
              <w:rPr>
                <w:spacing w:val="-6"/>
              </w:rPr>
              <w:t>10</w:t>
            </w:r>
          </w:p>
          <w:p>
            <w:pPr>
              <w:spacing w:line="210" w:lineRule="auto"/>
              <w:ind w:left="241"/>
              <w:rPr>
                <w:rFonts w:ascii="仿宋" w:hAnsi="仿宋" w:eastAsia="仿宋" w:cs="仿宋"/>
                <w:sz w:val="21"/>
                <w:szCs w:val="21"/>
              </w:rPr>
            </w:pPr>
            <w:r>
              <w:rPr>
                <w:rFonts w:ascii="仿宋" w:hAnsi="仿宋" w:eastAsia="仿宋" w:cs="仿宋"/>
                <w:sz w:val="21"/>
                <w:szCs w:val="21"/>
              </w:rPr>
              <w:t>月</w:t>
            </w:r>
          </w:p>
        </w:tc>
        <w:tc>
          <w:tcPr>
            <w:tcW w:w="881" w:type="dxa"/>
            <w:vAlign w:val="top"/>
          </w:tcPr>
          <w:p>
            <w:pPr>
              <w:pStyle w:val="6"/>
              <w:spacing w:before="159" w:line="219" w:lineRule="auto"/>
              <w:ind w:left="228"/>
              <w:rPr>
                <w:rFonts w:ascii="仿宋" w:hAnsi="仿宋" w:eastAsia="仿宋" w:cs="仿宋"/>
              </w:rPr>
            </w:pPr>
            <w:r>
              <w:rPr>
                <w:spacing w:val="-11"/>
              </w:rPr>
              <w:t>11</w:t>
            </w:r>
            <w:r>
              <w:rPr>
                <w:spacing w:val="25"/>
              </w:rPr>
              <w:t xml:space="preserve"> </w:t>
            </w:r>
            <w:r>
              <w:rPr>
                <w:rFonts w:ascii="仿宋" w:hAnsi="仿宋" w:eastAsia="仿宋" w:cs="仿宋"/>
                <w:spacing w:val="-11"/>
              </w:rPr>
              <w:t>月</w:t>
            </w:r>
          </w:p>
        </w:tc>
        <w:tc>
          <w:tcPr>
            <w:tcW w:w="882" w:type="dxa"/>
            <w:vAlign w:val="top"/>
          </w:tcPr>
          <w:p>
            <w:pPr>
              <w:pStyle w:val="6"/>
              <w:spacing w:before="159" w:line="219" w:lineRule="auto"/>
              <w:ind w:left="224"/>
              <w:rPr>
                <w:rFonts w:ascii="仿宋" w:hAnsi="仿宋" w:eastAsia="仿宋" w:cs="仿宋"/>
              </w:rPr>
            </w:pPr>
            <w:r>
              <w:rPr>
                <w:spacing w:val="-8"/>
              </w:rPr>
              <w:t>12</w:t>
            </w:r>
            <w:r>
              <w:rPr>
                <w:spacing w:val="24"/>
                <w:w w:val="101"/>
              </w:rPr>
              <w:t xml:space="preserve"> </w:t>
            </w:r>
            <w:r>
              <w:rPr>
                <w:rFonts w:ascii="仿宋" w:hAnsi="仿宋" w:eastAsia="仿宋" w:cs="仿宋"/>
                <w:spacing w:val="-8"/>
              </w:rPr>
              <w:t>月</w:t>
            </w:r>
          </w:p>
        </w:tc>
        <w:tc>
          <w:tcPr>
            <w:tcW w:w="881" w:type="dxa"/>
            <w:vAlign w:val="top"/>
          </w:tcPr>
          <w:p>
            <w:pPr>
              <w:pStyle w:val="6"/>
              <w:spacing w:before="159" w:line="219" w:lineRule="auto"/>
              <w:ind w:left="276"/>
              <w:rPr>
                <w:rFonts w:ascii="仿宋" w:hAnsi="仿宋" w:eastAsia="仿宋" w:cs="仿宋"/>
              </w:rPr>
            </w:pPr>
            <w:r>
              <w:rPr>
                <w:spacing w:val="-13"/>
              </w:rPr>
              <w:t>1</w:t>
            </w:r>
            <w:r>
              <w:rPr>
                <w:spacing w:val="25"/>
              </w:rPr>
              <w:t xml:space="preserve"> </w:t>
            </w:r>
            <w:r>
              <w:rPr>
                <w:rFonts w:ascii="仿宋" w:hAnsi="仿宋" w:eastAsia="仿宋" w:cs="仿宋"/>
                <w:spacing w:val="-13"/>
              </w:rPr>
              <w:t>月</w:t>
            </w:r>
          </w:p>
        </w:tc>
        <w:tc>
          <w:tcPr>
            <w:tcW w:w="881" w:type="dxa"/>
            <w:vAlign w:val="top"/>
          </w:tcPr>
          <w:p>
            <w:pPr>
              <w:pStyle w:val="6"/>
              <w:spacing w:before="159" w:line="219" w:lineRule="auto"/>
              <w:ind w:left="256"/>
              <w:rPr>
                <w:rFonts w:ascii="仿宋" w:hAnsi="仿宋" w:eastAsia="仿宋" w:cs="仿宋"/>
              </w:rPr>
            </w:pPr>
            <w:r>
              <w:rPr>
                <w:spacing w:val="-3"/>
              </w:rPr>
              <w:t>2</w:t>
            </w:r>
            <w:r>
              <w:rPr>
                <w:spacing w:val="25"/>
              </w:rPr>
              <w:t xml:space="preserve"> </w:t>
            </w:r>
            <w:r>
              <w:rPr>
                <w:rFonts w:ascii="仿宋" w:hAnsi="仿宋" w:eastAsia="仿宋" w:cs="仿宋"/>
                <w:spacing w:val="-3"/>
              </w:rPr>
              <w:t>月</w:t>
            </w:r>
          </w:p>
        </w:tc>
        <w:tc>
          <w:tcPr>
            <w:tcW w:w="881" w:type="dxa"/>
            <w:vAlign w:val="top"/>
          </w:tcPr>
          <w:p>
            <w:pPr>
              <w:pStyle w:val="6"/>
              <w:spacing w:before="159" w:line="219" w:lineRule="auto"/>
              <w:ind w:left="261"/>
              <w:rPr>
                <w:rFonts w:ascii="仿宋" w:hAnsi="仿宋" w:eastAsia="仿宋" w:cs="仿宋"/>
              </w:rPr>
            </w:pPr>
            <w:r>
              <w:rPr>
                <w:spacing w:val="-5"/>
              </w:rPr>
              <w:t>3</w:t>
            </w:r>
            <w:r>
              <w:rPr>
                <w:spacing w:val="25"/>
              </w:rPr>
              <w:t xml:space="preserve"> </w:t>
            </w:r>
            <w:r>
              <w:rPr>
                <w:rFonts w:ascii="仿宋" w:hAnsi="仿宋" w:eastAsia="仿宋" w:cs="仿宋"/>
                <w:spacing w:val="-5"/>
              </w:rPr>
              <w:t>月</w:t>
            </w:r>
          </w:p>
        </w:tc>
        <w:tc>
          <w:tcPr>
            <w:tcW w:w="882" w:type="dxa"/>
            <w:vAlign w:val="top"/>
          </w:tcPr>
          <w:p>
            <w:pPr>
              <w:pStyle w:val="6"/>
              <w:spacing w:before="159" w:line="219" w:lineRule="auto"/>
              <w:ind w:left="255"/>
              <w:rPr>
                <w:rFonts w:ascii="仿宋" w:hAnsi="仿宋" w:eastAsia="仿宋" w:cs="仿宋"/>
              </w:rPr>
            </w:pPr>
            <w:r>
              <w:rPr>
                <w:spacing w:val="-2"/>
              </w:rPr>
              <w:t>4</w:t>
            </w:r>
            <w:r>
              <w:rPr>
                <w:spacing w:val="24"/>
                <w:w w:val="101"/>
              </w:rPr>
              <w:t xml:space="preserve"> </w:t>
            </w:r>
            <w:r>
              <w:rPr>
                <w:rFonts w:ascii="仿宋" w:hAnsi="仿宋" w:eastAsia="仿宋" w:cs="仿宋"/>
                <w:spacing w:val="-2"/>
              </w:rPr>
              <w:t>月</w:t>
            </w:r>
          </w:p>
        </w:tc>
        <w:tc>
          <w:tcPr>
            <w:tcW w:w="998" w:type="dxa"/>
            <w:vAlign w:val="top"/>
          </w:tcPr>
          <w:p>
            <w:pPr>
              <w:pStyle w:val="6"/>
              <w:spacing w:before="159" w:line="219" w:lineRule="auto"/>
              <w:ind w:left="320"/>
              <w:rPr>
                <w:rFonts w:ascii="仿宋" w:hAnsi="仿宋" w:eastAsia="仿宋" w:cs="仿宋"/>
              </w:rPr>
            </w:pPr>
            <w:r>
              <w:rPr>
                <w:spacing w:val="-6"/>
              </w:rPr>
              <w:t>5</w:t>
            </w:r>
            <w:r>
              <w:rPr>
                <w:spacing w:val="25"/>
                <w:w w:val="101"/>
              </w:rPr>
              <w:t xml:space="preserve"> </w:t>
            </w:r>
            <w:r>
              <w:rPr>
                <w:rFonts w:ascii="仿宋" w:hAnsi="仿宋" w:eastAsia="仿宋" w:cs="仿宋"/>
                <w:spacing w:val="-6"/>
              </w:rPr>
              <w:t>月</w:t>
            </w:r>
          </w:p>
        </w:tc>
        <w:tc>
          <w:tcPr>
            <w:tcW w:w="1004" w:type="dxa"/>
            <w:tcBorders>
              <w:right w:val="nil"/>
            </w:tcBorders>
            <w:vAlign w:val="top"/>
          </w:tcPr>
          <w:p>
            <w:pPr>
              <w:spacing w:before="160" w:line="218" w:lineRule="auto"/>
              <w:ind w:left="306"/>
              <w:rPr>
                <w:rFonts w:ascii="仿宋" w:hAnsi="仿宋" w:eastAsia="仿宋" w:cs="仿宋"/>
                <w:sz w:val="21"/>
                <w:szCs w:val="21"/>
              </w:rPr>
            </w:pPr>
            <w:r>
              <w:rPr>
                <w:rFonts w:ascii="仿宋" w:hAnsi="仿宋" w:eastAsia="仿宋" w:cs="仿宋"/>
                <w:spacing w:val="-5"/>
                <w:sz w:val="21"/>
                <w:szCs w:val="21"/>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1084" w:type="dxa"/>
            <w:tcBorders>
              <w:left w:val="nil"/>
            </w:tcBorders>
            <w:vAlign w:val="top"/>
          </w:tcPr>
          <w:p>
            <w:pPr>
              <w:spacing w:before="36" w:line="201" w:lineRule="auto"/>
              <w:ind w:left="135"/>
              <w:rPr>
                <w:rFonts w:ascii="仿宋" w:hAnsi="仿宋" w:eastAsia="仿宋" w:cs="仿宋"/>
                <w:sz w:val="21"/>
                <w:szCs w:val="21"/>
              </w:rPr>
            </w:pPr>
            <w:r>
              <w:rPr>
                <w:rFonts w:ascii="仿宋" w:hAnsi="仿宋" w:eastAsia="仿宋" w:cs="仿宋"/>
                <w:spacing w:val="-3"/>
                <w:sz w:val="21"/>
                <w:szCs w:val="21"/>
              </w:rPr>
              <w:t>桂花灌片</w:t>
            </w:r>
          </w:p>
        </w:tc>
        <w:tc>
          <w:tcPr>
            <w:tcW w:w="667"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61" w:line="219" w:lineRule="auto"/>
              <w:ind w:left="240" w:right="120" w:hanging="119"/>
              <w:rPr>
                <w:rFonts w:ascii="仿宋" w:hAnsi="仿宋" w:eastAsia="仿宋" w:cs="仿宋"/>
              </w:rPr>
            </w:pPr>
            <w:r>
              <w:rPr>
                <w:spacing w:val="-2"/>
              </w:rPr>
              <w:t>2030</w:t>
            </w:r>
            <w:r>
              <w:rPr>
                <w:spacing w:val="2"/>
              </w:rPr>
              <w:t xml:space="preserve"> </w:t>
            </w:r>
            <w:r>
              <w:rPr>
                <w:rFonts w:ascii="仿宋" w:hAnsi="仿宋" w:eastAsia="仿宋" w:cs="仿宋"/>
              </w:rPr>
              <w:t>年</w:t>
            </w:r>
          </w:p>
        </w:tc>
        <w:tc>
          <w:tcPr>
            <w:tcW w:w="899" w:type="dxa"/>
            <w:vAlign w:val="top"/>
          </w:tcPr>
          <w:p>
            <w:pPr>
              <w:pStyle w:val="6"/>
              <w:spacing w:before="71" w:line="188" w:lineRule="auto"/>
              <w:ind w:left="163"/>
            </w:pPr>
            <w:r>
              <w:rPr>
                <w:spacing w:val="-2"/>
              </w:rPr>
              <w:t>0.7460</w:t>
            </w:r>
          </w:p>
        </w:tc>
        <w:tc>
          <w:tcPr>
            <w:tcW w:w="992" w:type="dxa"/>
            <w:vAlign w:val="top"/>
          </w:tcPr>
          <w:p>
            <w:pPr>
              <w:pStyle w:val="6"/>
              <w:spacing w:before="71" w:line="188" w:lineRule="auto"/>
              <w:ind w:left="315"/>
            </w:pPr>
            <w:r>
              <w:rPr>
                <w:spacing w:val="-2"/>
              </w:rPr>
              <w:t>38.1</w:t>
            </w:r>
          </w:p>
        </w:tc>
        <w:tc>
          <w:tcPr>
            <w:tcW w:w="881" w:type="dxa"/>
            <w:vAlign w:val="top"/>
          </w:tcPr>
          <w:p>
            <w:pPr>
              <w:pStyle w:val="6"/>
              <w:spacing w:before="71" w:line="188" w:lineRule="auto"/>
              <w:ind w:left="255"/>
            </w:pPr>
            <w:r>
              <w:rPr>
                <w:spacing w:val="-1"/>
              </w:rPr>
              <w:t>27.2</w:t>
            </w:r>
          </w:p>
        </w:tc>
        <w:tc>
          <w:tcPr>
            <w:tcW w:w="881" w:type="dxa"/>
            <w:vAlign w:val="top"/>
          </w:tcPr>
          <w:p>
            <w:pPr>
              <w:pStyle w:val="6"/>
              <w:spacing w:before="71" w:line="188" w:lineRule="auto"/>
              <w:ind w:left="313"/>
            </w:pPr>
            <w:r>
              <w:rPr>
                <w:spacing w:val="-3"/>
              </w:rPr>
              <w:t>6.6</w:t>
            </w:r>
          </w:p>
        </w:tc>
        <w:tc>
          <w:tcPr>
            <w:tcW w:w="654" w:type="dxa"/>
            <w:vAlign w:val="top"/>
          </w:tcPr>
          <w:p>
            <w:pPr>
              <w:pStyle w:val="6"/>
              <w:spacing w:before="71" w:line="188" w:lineRule="auto"/>
              <w:ind w:left="199"/>
            </w:pPr>
            <w:r>
              <w:rPr>
                <w:spacing w:val="-3"/>
              </w:rPr>
              <w:t>0.0</w:t>
            </w:r>
          </w:p>
        </w:tc>
        <w:tc>
          <w:tcPr>
            <w:tcW w:w="654" w:type="dxa"/>
            <w:vAlign w:val="top"/>
          </w:tcPr>
          <w:p>
            <w:pPr>
              <w:pStyle w:val="6"/>
              <w:spacing w:before="71" w:line="188" w:lineRule="auto"/>
              <w:ind w:left="199"/>
            </w:pPr>
            <w:r>
              <w:rPr>
                <w:spacing w:val="-3"/>
              </w:rPr>
              <w:t>0.0</w:t>
            </w:r>
          </w:p>
        </w:tc>
        <w:tc>
          <w:tcPr>
            <w:tcW w:w="881" w:type="dxa"/>
            <w:vAlign w:val="top"/>
          </w:tcPr>
          <w:p>
            <w:pPr>
              <w:pStyle w:val="6"/>
              <w:spacing w:before="71" w:line="188" w:lineRule="auto"/>
              <w:ind w:left="260"/>
            </w:pPr>
            <w:r>
              <w:rPr>
                <w:spacing w:val="-2"/>
              </w:rPr>
              <w:t>36.0</w:t>
            </w:r>
          </w:p>
        </w:tc>
        <w:tc>
          <w:tcPr>
            <w:tcW w:w="882" w:type="dxa"/>
            <w:vAlign w:val="top"/>
          </w:tcPr>
          <w:p>
            <w:pPr>
              <w:pStyle w:val="6"/>
              <w:spacing w:before="71" w:line="188" w:lineRule="auto"/>
              <w:ind w:left="260"/>
            </w:pPr>
            <w:r>
              <w:rPr>
                <w:spacing w:val="-2"/>
              </w:rPr>
              <w:t>33.8</w:t>
            </w:r>
          </w:p>
        </w:tc>
        <w:tc>
          <w:tcPr>
            <w:tcW w:w="881" w:type="dxa"/>
            <w:vAlign w:val="top"/>
          </w:tcPr>
          <w:p>
            <w:pPr>
              <w:pStyle w:val="6"/>
              <w:spacing w:before="71" w:line="188" w:lineRule="auto"/>
              <w:ind w:left="259"/>
            </w:pPr>
            <w:r>
              <w:rPr>
                <w:spacing w:val="-2"/>
              </w:rPr>
              <w:t>33.7</w:t>
            </w:r>
          </w:p>
        </w:tc>
        <w:tc>
          <w:tcPr>
            <w:tcW w:w="881" w:type="dxa"/>
            <w:vAlign w:val="top"/>
          </w:tcPr>
          <w:p>
            <w:pPr>
              <w:pStyle w:val="6"/>
              <w:spacing w:before="71" w:line="188" w:lineRule="auto"/>
              <w:ind w:left="275"/>
            </w:pPr>
            <w:r>
              <w:rPr>
                <w:spacing w:val="-6"/>
              </w:rPr>
              <w:t>17.7</w:t>
            </w:r>
          </w:p>
        </w:tc>
        <w:tc>
          <w:tcPr>
            <w:tcW w:w="881" w:type="dxa"/>
            <w:vAlign w:val="top"/>
          </w:tcPr>
          <w:p>
            <w:pPr>
              <w:pStyle w:val="6"/>
              <w:spacing w:before="71" w:line="188" w:lineRule="auto"/>
              <w:ind w:left="260"/>
            </w:pPr>
            <w:r>
              <w:rPr>
                <w:spacing w:val="-2"/>
              </w:rPr>
              <w:t>34.5</w:t>
            </w:r>
          </w:p>
        </w:tc>
        <w:tc>
          <w:tcPr>
            <w:tcW w:w="882" w:type="dxa"/>
            <w:vAlign w:val="top"/>
          </w:tcPr>
          <w:p>
            <w:pPr>
              <w:pStyle w:val="6"/>
              <w:spacing w:before="71" w:line="188" w:lineRule="auto"/>
              <w:ind w:left="277"/>
            </w:pPr>
            <w:r>
              <w:rPr>
                <w:spacing w:val="-6"/>
              </w:rPr>
              <w:t>19.4</w:t>
            </w:r>
          </w:p>
        </w:tc>
        <w:tc>
          <w:tcPr>
            <w:tcW w:w="998" w:type="dxa"/>
            <w:vAlign w:val="top"/>
          </w:tcPr>
          <w:p>
            <w:pPr>
              <w:pStyle w:val="6"/>
              <w:spacing w:before="71" w:line="188" w:lineRule="auto"/>
              <w:ind w:left="281"/>
            </w:pPr>
            <w:r>
              <w:rPr>
                <w:spacing w:val="-5"/>
              </w:rPr>
              <w:t>101.8</w:t>
            </w:r>
          </w:p>
        </w:tc>
        <w:tc>
          <w:tcPr>
            <w:tcW w:w="1004" w:type="dxa"/>
            <w:tcBorders>
              <w:right w:val="nil"/>
            </w:tcBorders>
            <w:vAlign w:val="top"/>
          </w:tcPr>
          <w:p>
            <w:pPr>
              <w:pStyle w:val="6"/>
              <w:spacing w:before="71" w:line="188" w:lineRule="auto"/>
              <w:ind w:left="269"/>
            </w:pPr>
            <w:r>
              <w:rPr>
                <w:spacing w:val="-2"/>
              </w:rPr>
              <w:t>348.8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1084" w:type="dxa"/>
            <w:tcBorders>
              <w:left w:val="nil"/>
            </w:tcBorders>
            <w:vAlign w:val="top"/>
          </w:tcPr>
          <w:p>
            <w:pPr>
              <w:spacing w:before="39" w:line="217" w:lineRule="auto"/>
              <w:ind w:left="457" w:right="117" w:hanging="319"/>
              <w:rPr>
                <w:rFonts w:ascii="仿宋" w:hAnsi="仿宋" w:eastAsia="仿宋" w:cs="仿宋"/>
                <w:sz w:val="21"/>
                <w:szCs w:val="21"/>
              </w:rPr>
            </w:pPr>
            <w:r>
              <w:rPr>
                <w:rFonts w:ascii="仿宋" w:hAnsi="仿宋" w:eastAsia="仿宋" w:cs="仿宋"/>
                <w:spacing w:val="-5"/>
                <w:sz w:val="21"/>
                <w:szCs w:val="21"/>
              </w:rPr>
              <w:t>者纳么灌</w:t>
            </w:r>
            <w:r>
              <w:rPr>
                <w:rFonts w:ascii="仿宋" w:hAnsi="仿宋" w:eastAsia="仿宋" w:cs="仿宋"/>
                <w:spacing w:val="1"/>
                <w:sz w:val="21"/>
                <w:szCs w:val="21"/>
              </w:rPr>
              <w:t xml:space="preserve"> </w:t>
            </w:r>
            <w:r>
              <w:rPr>
                <w:rFonts w:ascii="仿宋" w:hAnsi="仿宋" w:eastAsia="仿宋" w:cs="仿宋"/>
                <w:sz w:val="21"/>
                <w:szCs w:val="21"/>
              </w:rPr>
              <w:t>片</w:t>
            </w:r>
          </w:p>
        </w:tc>
        <w:tc>
          <w:tcPr>
            <w:tcW w:w="667" w:type="dxa"/>
            <w:vMerge w:val="continue"/>
            <w:tcBorders>
              <w:top w:val="nil"/>
              <w:bottom w:val="nil"/>
            </w:tcBorders>
            <w:vAlign w:val="top"/>
          </w:tcPr>
          <w:p>
            <w:pPr>
              <w:rPr>
                <w:rFonts w:ascii="Arial"/>
                <w:sz w:val="21"/>
              </w:rPr>
            </w:pPr>
          </w:p>
        </w:tc>
        <w:tc>
          <w:tcPr>
            <w:tcW w:w="899" w:type="dxa"/>
            <w:vAlign w:val="top"/>
          </w:tcPr>
          <w:p>
            <w:pPr>
              <w:pStyle w:val="6"/>
              <w:spacing w:before="210" w:line="188" w:lineRule="auto"/>
              <w:ind w:left="162"/>
            </w:pPr>
            <w:r>
              <w:rPr>
                <w:spacing w:val="-2"/>
              </w:rPr>
              <w:t>0.3996</w:t>
            </w:r>
          </w:p>
        </w:tc>
        <w:tc>
          <w:tcPr>
            <w:tcW w:w="992" w:type="dxa"/>
            <w:vAlign w:val="top"/>
          </w:tcPr>
          <w:p>
            <w:pPr>
              <w:pStyle w:val="6"/>
              <w:spacing w:before="210" w:line="188" w:lineRule="auto"/>
              <w:ind w:left="311"/>
            </w:pPr>
            <w:r>
              <w:rPr>
                <w:spacing w:val="-1"/>
              </w:rPr>
              <w:t>20.4</w:t>
            </w:r>
          </w:p>
        </w:tc>
        <w:tc>
          <w:tcPr>
            <w:tcW w:w="881" w:type="dxa"/>
            <w:vAlign w:val="top"/>
          </w:tcPr>
          <w:p>
            <w:pPr>
              <w:pStyle w:val="6"/>
              <w:spacing w:before="210" w:line="188" w:lineRule="auto"/>
              <w:ind w:left="275"/>
            </w:pPr>
            <w:r>
              <w:rPr>
                <w:spacing w:val="-6"/>
              </w:rPr>
              <w:t>14.5</w:t>
            </w:r>
          </w:p>
        </w:tc>
        <w:tc>
          <w:tcPr>
            <w:tcW w:w="881" w:type="dxa"/>
            <w:vAlign w:val="top"/>
          </w:tcPr>
          <w:p>
            <w:pPr>
              <w:pStyle w:val="6"/>
              <w:spacing w:before="210" w:line="188" w:lineRule="auto"/>
              <w:ind w:left="313"/>
            </w:pPr>
            <w:r>
              <w:rPr>
                <w:spacing w:val="-3"/>
              </w:rPr>
              <w:t>3.6</w:t>
            </w:r>
          </w:p>
        </w:tc>
        <w:tc>
          <w:tcPr>
            <w:tcW w:w="654" w:type="dxa"/>
            <w:vAlign w:val="top"/>
          </w:tcPr>
          <w:p>
            <w:pPr>
              <w:pStyle w:val="6"/>
              <w:spacing w:before="210" w:line="188" w:lineRule="auto"/>
              <w:ind w:left="199"/>
            </w:pPr>
            <w:r>
              <w:rPr>
                <w:spacing w:val="-3"/>
              </w:rPr>
              <w:t>0.0</w:t>
            </w:r>
          </w:p>
        </w:tc>
        <w:tc>
          <w:tcPr>
            <w:tcW w:w="654" w:type="dxa"/>
            <w:vAlign w:val="top"/>
          </w:tcPr>
          <w:p>
            <w:pPr>
              <w:pStyle w:val="6"/>
              <w:spacing w:before="210" w:line="188" w:lineRule="auto"/>
              <w:ind w:left="199"/>
            </w:pPr>
            <w:r>
              <w:rPr>
                <w:spacing w:val="-3"/>
              </w:rPr>
              <w:t>0.0</w:t>
            </w:r>
          </w:p>
        </w:tc>
        <w:tc>
          <w:tcPr>
            <w:tcW w:w="881" w:type="dxa"/>
            <w:vAlign w:val="top"/>
          </w:tcPr>
          <w:p>
            <w:pPr>
              <w:pStyle w:val="6"/>
              <w:spacing w:before="210" w:line="188" w:lineRule="auto"/>
              <w:ind w:left="276"/>
            </w:pPr>
            <w:r>
              <w:rPr>
                <w:spacing w:val="-6"/>
              </w:rPr>
              <w:t>19.3</w:t>
            </w:r>
          </w:p>
        </w:tc>
        <w:tc>
          <w:tcPr>
            <w:tcW w:w="882" w:type="dxa"/>
            <w:vAlign w:val="top"/>
          </w:tcPr>
          <w:p>
            <w:pPr>
              <w:pStyle w:val="6"/>
              <w:spacing w:before="210" w:line="188" w:lineRule="auto"/>
              <w:ind w:left="276"/>
            </w:pPr>
            <w:r>
              <w:rPr>
                <w:spacing w:val="-6"/>
              </w:rPr>
              <w:t>18.1</w:t>
            </w:r>
          </w:p>
        </w:tc>
        <w:tc>
          <w:tcPr>
            <w:tcW w:w="881" w:type="dxa"/>
            <w:vAlign w:val="top"/>
          </w:tcPr>
          <w:p>
            <w:pPr>
              <w:pStyle w:val="6"/>
              <w:spacing w:before="210" w:line="188" w:lineRule="auto"/>
              <w:ind w:left="275"/>
            </w:pPr>
            <w:r>
              <w:rPr>
                <w:spacing w:val="-6"/>
              </w:rPr>
              <w:t>18.0</w:t>
            </w:r>
          </w:p>
        </w:tc>
        <w:tc>
          <w:tcPr>
            <w:tcW w:w="881" w:type="dxa"/>
            <w:vAlign w:val="top"/>
          </w:tcPr>
          <w:p>
            <w:pPr>
              <w:pStyle w:val="6"/>
              <w:spacing w:before="210" w:line="188" w:lineRule="auto"/>
              <w:ind w:left="311"/>
            </w:pPr>
            <w:r>
              <w:rPr>
                <w:spacing w:val="-3"/>
              </w:rPr>
              <w:t>9.5</w:t>
            </w:r>
          </w:p>
        </w:tc>
        <w:tc>
          <w:tcPr>
            <w:tcW w:w="881" w:type="dxa"/>
            <w:vAlign w:val="top"/>
          </w:tcPr>
          <w:p>
            <w:pPr>
              <w:pStyle w:val="6"/>
              <w:spacing w:before="210" w:line="188" w:lineRule="auto"/>
              <w:ind w:left="276"/>
            </w:pPr>
            <w:r>
              <w:rPr>
                <w:spacing w:val="-6"/>
              </w:rPr>
              <w:t>18.5</w:t>
            </w:r>
          </w:p>
        </w:tc>
        <w:tc>
          <w:tcPr>
            <w:tcW w:w="882" w:type="dxa"/>
            <w:vAlign w:val="top"/>
          </w:tcPr>
          <w:p>
            <w:pPr>
              <w:pStyle w:val="6"/>
              <w:spacing w:before="210" w:line="188" w:lineRule="auto"/>
              <w:ind w:left="277"/>
            </w:pPr>
            <w:r>
              <w:rPr>
                <w:spacing w:val="-6"/>
              </w:rPr>
              <w:t>10.4</w:t>
            </w:r>
          </w:p>
        </w:tc>
        <w:tc>
          <w:tcPr>
            <w:tcW w:w="998" w:type="dxa"/>
            <w:vAlign w:val="top"/>
          </w:tcPr>
          <w:p>
            <w:pPr>
              <w:pStyle w:val="6"/>
              <w:spacing w:before="210" w:line="188" w:lineRule="auto"/>
              <w:ind w:left="320"/>
            </w:pPr>
            <w:r>
              <w:rPr>
                <w:spacing w:val="-3"/>
              </w:rPr>
              <w:t>54.5</w:t>
            </w:r>
          </w:p>
        </w:tc>
        <w:tc>
          <w:tcPr>
            <w:tcW w:w="1004" w:type="dxa"/>
            <w:tcBorders>
              <w:right w:val="nil"/>
            </w:tcBorders>
            <w:vAlign w:val="top"/>
          </w:tcPr>
          <w:p>
            <w:pPr>
              <w:pStyle w:val="6"/>
              <w:spacing w:before="210" w:line="188" w:lineRule="auto"/>
              <w:ind w:left="285"/>
            </w:pPr>
            <w:r>
              <w:rPr>
                <w:spacing w:val="-5"/>
              </w:rPr>
              <w:t>186.9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084" w:type="dxa"/>
            <w:tcBorders>
              <w:left w:val="nil"/>
            </w:tcBorders>
            <w:vAlign w:val="top"/>
          </w:tcPr>
          <w:p>
            <w:pPr>
              <w:spacing w:before="44" w:line="192" w:lineRule="auto"/>
              <w:ind w:left="136"/>
              <w:rPr>
                <w:rFonts w:ascii="仿宋" w:hAnsi="仿宋" w:eastAsia="仿宋" w:cs="仿宋"/>
                <w:sz w:val="21"/>
                <w:szCs w:val="21"/>
              </w:rPr>
            </w:pPr>
            <w:r>
              <w:rPr>
                <w:rFonts w:ascii="仿宋" w:hAnsi="仿宋" w:eastAsia="仿宋" w:cs="仿宋"/>
                <w:spacing w:val="-3"/>
                <w:sz w:val="21"/>
                <w:szCs w:val="21"/>
              </w:rPr>
              <w:t>六苴灌片</w:t>
            </w:r>
          </w:p>
        </w:tc>
        <w:tc>
          <w:tcPr>
            <w:tcW w:w="667" w:type="dxa"/>
            <w:vMerge w:val="continue"/>
            <w:tcBorders>
              <w:top w:val="nil"/>
              <w:bottom w:val="nil"/>
            </w:tcBorders>
            <w:vAlign w:val="top"/>
          </w:tcPr>
          <w:p>
            <w:pPr>
              <w:rPr>
                <w:rFonts w:ascii="Arial"/>
                <w:sz w:val="21"/>
              </w:rPr>
            </w:pPr>
          </w:p>
        </w:tc>
        <w:tc>
          <w:tcPr>
            <w:tcW w:w="899" w:type="dxa"/>
            <w:vAlign w:val="top"/>
          </w:tcPr>
          <w:p>
            <w:pPr>
              <w:pStyle w:val="6"/>
              <w:spacing w:before="80" w:line="181" w:lineRule="auto"/>
              <w:ind w:left="162"/>
            </w:pPr>
            <w:r>
              <w:rPr>
                <w:spacing w:val="-2"/>
              </w:rPr>
              <w:t>0.5425</w:t>
            </w:r>
          </w:p>
        </w:tc>
        <w:tc>
          <w:tcPr>
            <w:tcW w:w="992" w:type="dxa"/>
            <w:vAlign w:val="top"/>
          </w:tcPr>
          <w:p>
            <w:pPr>
              <w:pStyle w:val="6"/>
              <w:spacing w:before="80" w:line="181" w:lineRule="auto"/>
              <w:ind w:left="311"/>
            </w:pPr>
            <w:r>
              <w:rPr>
                <w:spacing w:val="-1"/>
              </w:rPr>
              <w:t>27.7</w:t>
            </w:r>
          </w:p>
        </w:tc>
        <w:tc>
          <w:tcPr>
            <w:tcW w:w="881" w:type="dxa"/>
            <w:vAlign w:val="top"/>
          </w:tcPr>
          <w:p>
            <w:pPr>
              <w:pStyle w:val="6"/>
              <w:spacing w:before="80" w:line="181" w:lineRule="auto"/>
              <w:ind w:left="275"/>
            </w:pPr>
            <w:r>
              <w:rPr>
                <w:spacing w:val="-6"/>
              </w:rPr>
              <w:t>19.7</w:t>
            </w:r>
          </w:p>
        </w:tc>
        <w:tc>
          <w:tcPr>
            <w:tcW w:w="881" w:type="dxa"/>
            <w:vAlign w:val="top"/>
          </w:tcPr>
          <w:p>
            <w:pPr>
              <w:pStyle w:val="6"/>
              <w:spacing w:before="80" w:line="181" w:lineRule="auto"/>
              <w:ind w:left="308"/>
            </w:pPr>
            <w:r>
              <w:rPr>
                <w:spacing w:val="-1"/>
              </w:rPr>
              <w:t>4.8</w:t>
            </w:r>
          </w:p>
        </w:tc>
        <w:tc>
          <w:tcPr>
            <w:tcW w:w="654" w:type="dxa"/>
            <w:vAlign w:val="top"/>
          </w:tcPr>
          <w:p>
            <w:pPr>
              <w:pStyle w:val="6"/>
              <w:spacing w:before="80" w:line="181" w:lineRule="auto"/>
              <w:ind w:left="199"/>
            </w:pPr>
            <w:r>
              <w:rPr>
                <w:spacing w:val="-3"/>
              </w:rPr>
              <w:t>0.0</w:t>
            </w:r>
          </w:p>
        </w:tc>
        <w:tc>
          <w:tcPr>
            <w:tcW w:w="654" w:type="dxa"/>
            <w:vAlign w:val="top"/>
          </w:tcPr>
          <w:p>
            <w:pPr>
              <w:pStyle w:val="6"/>
              <w:spacing w:before="80" w:line="181" w:lineRule="auto"/>
              <w:ind w:left="199"/>
            </w:pPr>
            <w:r>
              <w:rPr>
                <w:spacing w:val="-3"/>
              </w:rPr>
              <w:t>0.0</w:t>
            </w:r>
          </w:p>
        </w:tc>
        <w:tc>
          <w:tcPr>
            <w:tcW w:w="881" w:type="dxa"/>
            <w:vAlign w:val="top"/>
          </w:tcPr>
          <w:p>
            <w:pPr>
              <w:pStyle w:val="6"/>
              <w:spacing w:before="80" w:line="181" w:lineRule="auto"/>
              <w:ind w:left="256"/>
            </w:pPr>
            <w:r>
              <w:rPr>
                <w:spacing w:val="-1"/>
              </w:rPr>
              <w:t>26.1</w:t>
            </w:r>
          </w:p>
        </w:tc>
        <w:tc>
          <w:tcPr>
            <w:tcW w:w="882" w:type="dxa"/>
            <w:vAlign w:val="top"/>
          </w:tcPr>
          <w:p>
            <w:pPr>
              <w:pStyle w:val="6"/>
              <w:spacing w:before="80" w:line="181" w:lineRule="auto"/>
              <w:ind w:left="256"/>
            </w:pPr>
            <w:r>
              <w:rPr>
                <w:spacing w:val="-1"/>
              </w:rPr>
              <w:t>24.6</w:t>
            </w:r>
          </w:p>
        </w:tc>
        <w:tc>
          <w:tcPr>
            <w:tcW w:w="881" w:type="dxa"/>
            <w:vAlign w:val="top"/>
          </w:tcPr>
          <w:p>
            <w:pPr>
              <w:pStyle w:val="6"/>
              <w:spacing w:before="80" w:line="181" w:lineRule="auto"/>
              <w:ind w:left="255"/>
            </w:pPr>
            <w:r>
              <w:rPr>
                <w:spacing w:val="-1"/>
              </w:rPr>
              <w:t>24.5</w:t>
            </w:r>
          </w:p>
        </w:tc>
        <w:tc>
          <w:tcPr>
            <w:tcW w:w="881" w:type="dxa"/>
            <w:vAlign w:val="top"/>
          </w:tcPr>
          <w:p>
            <w:pPr>
              <w:pStyle w:val="6"/>
              <w:spacing w:before="80" w:line="181" w:lineRule="auto"/>
              <w:ind w:left="275"/>
            </w:pPr>
            <w:r>
              <w:rPr>
                <w:spacing w:val="-6"/>
              </w:rPr>
              <w:t>12.9</w:t>
            </w:r>
          </w:p>
        </w:tc>
        <w:tc>
          <w:tcPr>
            <w:tcW w:w="881" w:type="dxa"/>
            <w:vAlign w:val="top"/>
          </w:tcPr>
          <w:p>
            <w:pPr>
              <w:pStyle w:val="6"/>
              <w:spacing w:before="80" w:line="181" w:lineRule="auto"/>
              <w:ind w:left="256"/>
            </w:pPr>
            <w:r>
              <w:rPr>
                <w:spacing w:val="-1"/>
              </w:rPr>
              <w:t>25.1</w:t>
            </w:r>
          </w:p>
        </w:tc>
        <w:tc>
          <w:tcPr>
            <w:tcW w:w="882" w:type="dxa"/>
            <w:vAlign w:val="top"/>
          </w:tcPr>
          <w:p>
            <w:pPr>
              <w:pStyle w:val="6"/>
              <w:spacing w:before="80" w:line="181" w:lineRule="auto"/>
              <w:ind w:left="277"/>
            </w:pPr>
            <w:r>
              <w:rPr>
                <w:spacing w:val="-6"/>
              </w:rPr>
              <w:t>14.1</w:t>
            </w:r>
          </w:p>
        </w:tc>
        <w:tc>
          <w:tcPr>
            <w:tcW w:w="998" w:type="dxa"/>
            <w:vAlign w:val="top"/>
          </w:tcPr>
          <w:p>
            <w:pPr>
              <w:pStyle w:val="6"/>
              <w:spacing w:before="80" w:line="181" w:lineRule="auto"/>
              <w:ind w:left="317"/>
            </w:pPr>
            <w:r>
              <w:rPr>
                <w:spacing w:val="-2"/>
              </w:rPr>
              <w:t>74.0</w:t>
            </w:r>
          </w:p>
        </w:tc>
        <w:tc>
          <w:tcPr>
            <w:tcW w:w="1004" w:type="dxa"/>
            <w:tcBorders>
              <w:right w:val="nil"/>
            </w:tcBorders>
            <w:vAlign w:val="top"/>
          </w:tcPr>
          <w:p>
            <w:pPr>
              <w:pStyle w:val="6"/>
              <w:spacing w:before="80" w:line="181" w:lineRule="auto"/>
              <w:ind w:left="265"/>
            </w:pPr>
            <w:r>
              <w:rPr>
                <w:spacing w:val="-1"/>
              </w:rPr>
              <w:t>253.7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1084" w:type="dxa"/>
            <w:tcBorders>
              <w:left w:val="nil"/>
            </w:tcBorders>
            <w:vAlign w:val="top"/>
          </w:tcPr>
          <w:p>
            <w:pPr>
              <w:spacing w:before="50" w:line="189" w:lineRule="auto"/>
              <w:ind w:left="134"/>
              <w:rPr>
                <w:rFonts w:ascii="仿宋" w:hAnsi="仿宋" w:eastAsia="仿宋" w:cs="仿宋"/>
                <w:sz w:val="21"/>
                <w:szCs w:val="21"/>
              </w:rPr>
            </w:pPr>
            <w:r>
              <w:rPr>
                <w:rFonts w:ascii="仿宋" w:hAnsi="仿宋" w:eastAsia="仿宋" w:cs="仿宋"/>
                <w:spacing w:val="-3"/>
                <w:sz w:val="21"/>
                <w:szCs w:val="21"/>
              </w:rPr>
              <w:t>新街灌片</w:t>
            </w:r>
          </w:p>
        </w:tc>
        <w:tc>
          <w:tcPr>
            <w:tcW w:w="667" w:type="dxa"/>
            <w:vMerge w:val="continue"/>
            <w:tcBorders>
              <w:top w:val="nil"/>
              <w:bottom w:val="nil"/>
            </w:tcBorders>
            <w:vAlign w:val="top"/>
          </w:tcPr>
          <w:p>
            <w:pPr>
              <w:rPr>
                <w:rFonts w:ascii="Arial"/>
                <w:sz w:val="21"/>
              </w:rPr>
            </w:pPr>
          </w:p>
        </w:tc>
        <w:tc>
          <w:tcPr>
            <w:tcW w:w="899" w:type="dxa"/>
            <w:vAlign w:val="top"/>
          </w:tcPr>
          <w:p>
            <w:pPr>
              <w:pStyle w:val="6"/>
              <w:spacing w:before="85" w:line="178" w:lineRule="auto"/>
              <w:ind w:left="163"/>
            </w:pPr>
            <w:r>
              <w:rPr>
                <w:spacing w:val="-2"/>
              </w:rPr>
              <w:t>3.5937</w:t>
            </w:r>
          </w:p>
        </w:tc>
        <w:tc>
          <w:tcPr>
            <w:tcW w:w="992" w:type="dxa"/>
            <w:vAlign w:val="top"/>
          </w:tcPr>
          <w:p>
            <w:pPr>
              <w:pStyle w:val="6"/>
              <w:spacing w:before="85" w:line="178" w:lineRule="auto"/>
              <w:ind w:left="279"/>
            </w:pPr>
            <w:r>
              <w:rPr>
                <w:spacing w:val="-5"/>
              </w:rPr>
              <w:t>183.8</w:t>
            </w:r>
          </w:p>
        </w:tc>
        <w:tc>
          <w:tcPr>
            <w:tcW w:w="881" w:type="dxa"/>
            <w:vAlign w:val="top"/>
          </w:tcPr>
          <w:p>
            <w:pPr>
              <w:pStyle w:val="6"/>
              <w:spacing w:before="85" w:line="178" w:lineRule="auto"/>
              <w:ind w:left="223"/>
            </w:pPr>
            <w:r>
              <w:rPr>
                <w:spacing w:val="-5"/>
              </w:rPr>
              <w:t>130.8</w:t>
            </w:r>
          </w:p>
        </w:tc>
        <w:tc>
          <w:tcPr>
            <w:tcW w:w="881" w:type="dxa"/>
            <w:vAlign w:val="top"/>
          </w:tcPr>
          <w:p>
            <w:pPr>
              <w:pStyle w:val="6"/>
              <w:spacing w:before="85" w:line="178" w:lineRule="auto"/>
              <w:ind w:left="260"/>
            </w:pPr>
            <w:r>
              <w:rPr>
                <w:spacing w:val="-2"/>
              </w:rPr>
              <w:t>32.0</w:t>
            </w:r>
          </w:p>
        </w:tc>
        <w:tc>
          <w:tcPr>
            <w:tcW w:w="654" w:type="dxa"/>
            <w:vAlign w:val="top"/>
          </w:tcPr>
          <w:p>
            <w:pPr>
              <w:pStyle w:val="6"/>
              <w:spacing w:before="85" w:line="178" w:lineRule="auto"/>
              <w:ind w:left="199"/>
            </w:pPr>
            <w:r>
              <w:rPr>
                <w:spacing w:val="-3"/>
              </w:rPr>
              <w:t>0.0</w:t>
            </w:r>
          </w:p>
        </w:tc>
        <w:tc>
          <w:tcPr>
            <w:tcW w:w="654" w:type="dxa"/>
            <w:vAlign w:val="top"/>
          </w:tcPr>
          <w:p>
            <w:pPr>
              <w:pStyle w:val="6"/>
              <w:spacing w:before="85" w:line="178" w:lineRule="auto"/>
              <w:ind w:left="199"/>
            </w:pPr>
            <w:r>
              <w:rPr>
                <w:spacing w:val="-3"/>
              </w:rPr>
              <w:t>0.0</w:t>
            </w:r>
          </w:p>
        </w:tc>
        <w:tc>
          <w:tcPr>
            <w:tcW w:w="881" w:type="dxa"/>
            <w:vAlign w:val="top"/>
          </w:tcPr>
          <w:p>
            <w:pPr>
              <w:pStyle w:val="6"/>
              <w:spacing w:before="85" w:line="178" w:lineRule="auto"/>
              <w:ind w:left="224"/>
            </w:pPr>
            <w:r>
              <w:rPr>
                <w:spacing w:val="-5"/>
              </w:rPr>
              <w:t>173.2</w:t>
            </w:r>
          </w:p>
        </w:tc>
        <w:tc>
          <w:tcPr>
            <w:tcW w:w="882" w:type="dxa"/>
            <w:vAlign w:val="top"/>
          </w:tcPr>
          <w:p>
            <w:pPr>
              <w:pStyle w:val="6"/>
              <w:spacing w:before="85" w:line="178" w:lineRule="auto"/>
              <w:ind w:left="224"/>
            </w:pPr>
            <w:r>
              <w:rPr>
                <w:spacing w:val="-5"/>
              </w:rPr>
              <w:t>162.7</w:t>
            </w:r>
          </w:p>
        </w:tc>
        <w:tc>
          <w:tcPr>
            <w:tcW w:w="881" w:type="dxa"/>
            <w:vAlign w:val="top"/>
          </w:tcPr>
          <w:p>
            <w:pPr>
              <w:pStyle w:val="6"/>
              <w:spacing w:before="85" w:line="178" w:lineRule="auto"/>
              <w:ind w:left="223"/>
            </w:pPr>
            <w:r>
              <w:rPr>
                <w:spacing w:val="-5"/>
              </w:rPr>
              <w:t>162.3</w:t>
            </w:r>
          </w:p>
        </w:tc>
        <w:tc>
          <w:tcPr>
            <w:tcW w:w="881" w:type="dxa"/>
            <w:vAlign w:val="top"/>
          </w:tcPr>
          <w:p>
            <w:pPr>
              <w:pStyle w:val="6"/>
              <w:spacing w:before="85" w:line="178" w:lineRule="auto"/>
              <w:ind w:left="263"/>
            </w:pPr>
            <w:r>
              <w:rPr>
                <w:spacing w:val="-3"/>
              </w:rPr>
              <w:t>85.5</w:t>
            </w:r>
          </w:p>
        </w:tc>
        <w:tc>
          <w:tcPr>
            <w:tcW w:w="881" w:type="dxa"/>
            <w:vAlign w:val="top"/>
          </w:tcPr>
          <w:p>
            <w:pPr>
              <w:pStyle w:val="6"/>
              <w:spacing w:before="85" w:line="178" w:lineRule="auto"/>
              <w:ind w:left="224"/>
            </w:pPr>
            <w:r>
              <w:rPr>
                <w:spacing w:val="-5"/>
              </w:rPr>
              <w:t>166.3</w:t>
            </w:r>
          </w:p>
        </w:tc>
        <w:tc>
          <w:tcPr>
            <w:tcW w:w="882" w:type="dxa"/>
            <w:vAlign w:val="top"/>
          </w:tcPr>
          <w:p>
            <w:pPr>
              <w:pStyle w:val="6"/>
              <w:spacing w:before="85" w:line="178" w:lineRule="auto"/>
              <w:ind w:left="261"/>
            </w:pPr>
            <w:r>
              <w:rPr>
                <w:spacing w:val="-2"/>
              </w:rPr>
              <w:t>93.4</w:t>
            </w:r>
          </w:p>
        </w:tc>
        <w:tc>
          <w:tcPr>
            <w:tcW w:w="998" w:type="dxa"/>
            <w:vAlign w:val="top"/>
          </w:tcPr>
          <w:p>
            <w:pPr>
              <w:pStyle w:val="6"/>
              <w:spacing w:before="85" w:line="178" w:lineRule="auto"/>
              <w:ind w:left="260"/>
            </w:pPr>
            <w:r>
              <w:rPr>
                <w:spacing w:val="-1"/>
              </w:rPr>
              <w:t>490.4</w:t>
            </w:r>
          </w:p>
        </w:tc>
        <w:tc>
          <w:tcPr>
            <w:tcW w:w="1004" w:type="dxa"/>
            <w:tcBorders>
              <w:right w:val="nil"/>
            </w:tcBorders>
            <w:vAlign w:val="top"/>
          </w:tcPr>
          <w:p>
            <w:pPr>
              <w:pStyle w:val="6"/>
              <w:spacing w:before="85" w:line="178" w:lineRule="auto"/>
              <w:ind w:left="232"/>
            </w:pPr>
            <w:r>
              <w:rPr>
                <w:spacing w:val="-4"/>
              </w:rPr>
              <w:t>1680.4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trPr>
        <w:tc>
          <w:tcPr>
            <w:tcW w:w="1084" w:type="dxa"/>
            <w:tcBorders>
              <w:left w:val="nil"/>
            </w:tcBorders>
            <w:vAlign w:val="top"/>
          </w:tcPr>
          <w:p>
            <w:pPr>
              <w:spacing w:before="51" w:line="187" w:lineRule="auto"/>
              <w:ind w:left="135"/>
              <w:rPr>
                <w:rFonts w:ascii="仿宋" w:hAnsi="仿宋" w:eastAsia="仿宋" w:cs="仿宋"/>
                <w:sz w:val="21"/>
                <w:szCs w:val="21"/>
              </w:rPr>
            </w:pPr>
            <w:r>
              <w:rPr>
                <w:rFonts w:ascii="仿宋" w:hAnsi="仿宋" w:eastAsia="仿宋" w:cs="仿宋"/>
                <w:spacing w:val="-4"/>
                <w:sz w:val="21"/>
                <w:szCs w:val="21"/>
              </w:rPr>
              <w:t>金碧灌片</w:t>
            </w:r>
          </w:p>
        </w:tc>
        <w:tc>
          <w:tcPr>
            <w:tcW w:w="667" w:type="dxa"/>
            <w:vMerge w:val="continue"/>
            <w:tcBorders>
              <w:top w:val="nil"/>
              <w:bottom w:val="nil"/>
            </w:tcBorders>
            <w:vAlign w:val="top"/>
          </w:tcPr>
          <w:p>
            <w:pPr>
              <w:rPr>
                <w:rFonts w:ascii="Arial"/>
                <w:sz w:val="21"/>
              </w:rPr>
            </w:pPr>
          </w:p>
        </w:tc>
        <w:tc>
          <w:tcPr>
            <w:tcW w:w="899" w:type="dxa"/>
            <w:vAlign w:val="top"/>
          </w:tcPr>
          <w:p>
            <w:pPr>
              <w:pStyle w:val="6"/>
              <w:spacing w:before="87" w:line="175" w:lineRule="auto"/>
              <w:ind w:left="167"/>
            </w:pPr>
            <w:r>
              <w:rPr>
                <w:spacing w:val="-2"/>
              </w:rPr>
              <w:t>8.5492</w:t>
            </w:r>
          </w:p>
        </w:tc>
        <w:tc>
          <w:tcPr>
            <w:tcW w:w="992" w:type="dxa"/>
            <w:vAlign w:val="top"/>
          </w:tcPr>
          <w:p>
            <w:pPr>
              <w:pStyle w:val="6"/>
              <w:spacing w:before="87" w:line="175" w:lineRule="auto"/>
              <w:ind w:left="258"/>
            </w:pPr>
            <w:r>
              <w:rPr>
                <w:spacing w:val="-1"/>
              </w:rPr>
              <w:t>437.2</w:t>
            </w:r>
          </w:p>
        </w:tc>
        <w:tc>
          <w:tcPr>
            <w:tcW w:w="881" w:type="dxa"/>
            <w:vAlign w:val="top"/>
          </w:tcPr>
          <w:p>
            <w:pPr>
              <w:pStyle w:val="6"/>
              <w:spacing w:before="87" w:line="175" w:lineRule="auto"/>
              <w:ind w:left="211"/>
            </w:pPr>
            <w:r>
              <w:rPr>
                <w:spacing w:val="-3"/>
              </w:rPr>
              <w:t>311.2</w:t>
            </w:r>
          </w:p>
        </w:tc>
        <w:tc>
          <w:tcPr>
            <w:tcW w:w="881" w:type="dxa"/>
            <w:vAlign w:val="top"/>
          </w:tcPr>
          <w:p>
            <w:pPr>
              <w:pStyle w:val="6"/>
              <w:spacing w:before="87" w:line="175" w:lineRule="auto"/>
              <w:ind w:left="259"/>
            </w:pPr>
            <w:r>
              <w:rPr>
                <w:spacing w:val="-2"/>
              </w:rPr>
              <w:t>76.1</w:t>
            </w:r>
          </w:p>
        </w:tc>
        <w:tc>
          <w:tcPr>
            <w:tcW w:w="654" w:type="dxa"/>
            <w:vAlign w:val="top"/>
          </w:tcPr>
          <w:p>
            <w:pPr>
              <w:pStyle w:val="6"/>
              <w:spacing w:before="87" w:line="175" w:lineRule="auto"/>
              <w:ind w:left="199"/>
            </w:pPr>
            <w:r>
              <w:rPr>
                <w:spacing w:val="-3"/>
              </w:rPr>
              <w:t>0.0</w:t>
            </w:r>
          </w:p>
        </w:tc>
        <w:tc>
          <w:tcPr>
            <w:tcW w:w="654" w:type="dxa"/>
            <w:vAlign w:val="top"/>
          </w:tcPr>
          <w:p>
            <w:pPr>
              <w:pStyle w:val="6"/>
              <w:spacing w:before="87" w:line="175" w:lineRule="auto"/>
              <w:ind w:left="199"/>
            </w:pPr>
            <w:r>
              <w:rPr>
                <w:spacing w:val="-3"/>
              </w:rPr>
              <w:t>0.0</w:t>
            </w:r>
          </w:p>
        </w:tc>
        <w:tc>
          <w:tcPr>
            <w:tcW w:w="881" w:type="dxa"/>
            <w:vAlign w:val="top"/>
          </w:tcPr>
          <w:p>
            <w:pPr>
              <w:pStyle w:val="6"/>
              <w:spacing w:before="87" w:line="175" w:lineRule="auto"/>
              <w:ind w:left="203"/>
            </w:pPr>
            <w:r>
              <w:rPr>
                <w:spacing w:val="-1"/>
              </w:rPr>
              <w:t>412.1</w:t>
            </w:r>
          </w:p>
        </w:tc>
        <w:tc>
          <w:tcPr>
            <w:tcW w:w="882" w:type="dxa"/>
            <w:vAlign w:val="top"/>
          </w:tcPr>
          <w:p>
            <w:pPr>
              <w:pStyle w:val="6"/>
              <w:spacing w:before="87" w:line="175" w:lineRule="auto"/>
              <w:ind w:left="209"/>
            </w:pPr>
            <w:r>
              <w:rPr>
                <w:spacing w:val="-2"/>
              </w:rPr>
              <w:t>387.2</w:t>
            </w:r>
          </w:p>
        </w:tc>
        <w:tc>
          <w:tcPr>
            <w:tcW w:w="881" w:type="dxa"/>
            <w:vAlign w:val="top"/>
          </w:tcPr>
          <w:p>
            <w:pPr>
              <w:pStyle w:val="6"/>
              <w:spacing w:before="87" w:line="175" w:lineRule="auto"/>
              <w:ind w:left="207"/>
            </w:pPr>
            <w:r>
              <w:rPr>
                <w:spacing w:val="-2"/>
              </w:rPr>
              <w:t>386.1</w:t>
            </w:r>
          </w:p>
        </w:tc>
        <w:tc>
          <w:tcPr>
            <w:tcW w:w="881" w:type="dxa"/>
            <w:vAlign w:val="top"/>
          </w:tcPr>
          <w:p>
            <w:pPr>
              <w:pStyle w:val="6"/>
              <w:spacing w:before="87" w:line="175" w:lineRule="auto"/>
              <w:ind w:left="203"/>
            </w:pPr>
            <w:r>
              <w:rPr>
                <w:spacing w:val="-1"/>
              </w:rPr>
              <w:t>203.3</w:t>
            </w:r>
          </w:p>
        </w:tc>
        <w:tc>
          <w:tcPr>
            <w:tcW w:w="881" w:type="dxa"/>
            <w:vAlign w:val="top"/>
          </w:tcPr>
          <w:p>
            <w:pPr>
              <w:pStyle w:val="6"/>
              <w:spacing w:before="87" w:line="175" w:lineRule="auto"/>
              <w:ind w:left="208"/>
            </w:pPr>
            <w:r>
              <w:rPr>
                <w:spacing w:val="-2"/>
              </w:rPr>
              <w:t>395.7</w:t>
            </w:r>
          </w:p>
        </w:tc>
        <w:tc>
          <w:tcPr>
            <w:tcW w:w="882" w:type="dxa"/>
            <w:vAlign w:val="top"/>
          </w:tcPr>
          <w:p>
            <w:pPr>
              <w:pStyle w:val="6"/>
              <w:spacing w:before="87" w:line="175" w:lineRule="auto"/>
              <w:ind w:left="204"/>
            </w:pPr>
            <w:r>
              <w:rPr>
                <w:spacing w:val="-1"/>
              </w:rPr>
              <w:t>222.3</w:t>
            </w:r>
          </w:p>
        </w:tc>
        <w:tc>
          <w:tcPr>
            <w:tcW w:w="998" w:type="dxa"/>
            <w:vAlign w:val="top"/>
          </w:tcPr>
          <w:p>
            <w:pPr>
              <w:pStyle w:val="6"/>
              <w:spacing w:before="87" w:line="175" w:lineRule="auto"/>
              <w:ind w:left="233"/>
            </w:pPr>
            <w:r>
              <w:rPr>
                <w:spacing w:val="-6"/>
              </w:rPr>
              <w:t>1166.5</w:t>
            </w:r>
          </w:p>
        </w:tc>
        <w:tc>
          <w:tcPr>
            <w:tcW w:w="1004" w:type="dxa"/>
            <w:tcBorders>
              <w:right w:val="nil"/>
            </w:tcBorders>
            <w:vAlign w:val="top"/>
          </w:tcPr>
          <w:p>
            <w:pPr>
              <w:pStyle w:val="6"/>
              <w:spacing w:before="87" w:line="175" w:lineRule="auto"/>
              <w:ind w:left="216"/>
            </w:pPr>
            <w:r>
              <w:rPr>
                <w:spacing w:val="-2"/>
              </w:rPr>
              <w:t>3997.7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7" w:hRule="atLeast"/>
        </w:trPr>
        <w:tc>
          <w:tcPr>
            <w:tcW w:w="1084" w:type="dxa"/>
            <w:tcBorders>
              <w:left w:val="nil"/>
              <w:bottom w:val="single" w:color="000000" w:sz="12" w:space="0"/>
            </w:tcBorders>
            <w:vAlign w:val="top"/>
          </w:tcPr>
          <w:p>
            <w:pPr>
              <w:spacing w:before="56" w:line="203" w:lineRule="auto"/>
              <w:ind w:left="350"/>
              <w:rPr>
                <w:rFonts w:ascii="仿宋" w:hAnsi="仿宋" w:eastAsia="仿宋" w:cs="仿宋"/>
                <w:sz w:val="21"/>
                <w:szCs w:val="21"/>
              </w:rPr>
            </w:pPr>
            <w:r>
              <w:rPr>
                <w:rFonts w:ascii="仿宋" w:hAnsi="仿宋" w:eastAsia="仿宋" w:cs="仿宋"/>
                <w:spacing w:val="-5"/>
                <w:sz w:val="21"/>
                <w:szCs w:val="21"/>
              </w:rPr>
              <w:t>合计</w:t>
            </w:r>
          </w:p>
        </w:tc>
        <w:tc>
          <w:tcPr>
            <w:tcW w:w="667" w:type="dxa"/>
            <w:vMerge w:val="continue"/>
            <w:tcBorders>
              <w:top w:val="nil"/>
              <w:bottom w:val="single" w:color="000000" w:sz="12" w:space="0"/>
            </w:tcBorders>
            <w:vAlign w:val="top"/>
          </w:tcPr>
          <w:p>
            <w:pPr>
              <w:rPr>
                <w:rFonts w:ascii="Arial"/>
                <w:sz w:val="21"/>
              </w:rPr>
            </w:pPr>
          </w:p>
        </w:tc>
        <w:tc>
          <w:tcPr>
            <w:tcW w:w="899" w:type="dxa"/>
            <w:tcBorders>
              <w:bottom w:val="single" w:color="000000" w:sz="12" w:space="0"/>
            </w:tcBorders>
            <w:vAlign w:val="top"/>
          </w:tcPr>
          <w:p>
            <w:pPr>
              <w:pStyle w:val="6"/>
              <w:spacing w:before="92" w:line="188" w:lineRule="auto"/>
              <w:ind w:left="127"/>
            </w:pPr>
            <w:r>
              <w:rPr>
                <w:spacing w:val="-4"/>
              </w:rPr>
              <w:t>13.8310</w:t>
            </w:r>
          </w:p>
        </w:tc>
        <w:tc>
          <w:tcPr>
            <w:tcW w:w="992" w:type="dxa"/>
            <w:tcBorders>
              <w:bottom w:val="single" w:color="000000" w:sz="12" w:space="0"/>
            </w:tcBorders>
            <w:vAlign w:val="top"/>
          </w:tcPr>
          <w:p>
            <w:pPr>
              <w:pStyle w:val="6"/>
              <w:spacing w:before="92" w:line="188" w:lineRule="auto"/>
              <w:ind w:left="263"/>
            </w:pPr>
            <w:r>
              <w:rPr>
                <w:spacing w:val="-2"/>
              </w:rPr>
              <w:t>707.3</w:t>
            </w:r>
          </w:p>
        </w:tc>
        <w:tc>
          <w:tcPr>
            <w:tcW w:w="881" w:type="dxa"/>
            <w:tcBorders>
              <w:bottom w:val="single" w:color="000000" w:sz="12" w:space="0"/>
            </w:tcBorders>
            <w:vAlign w:val="top"/>
          </w:tcPr>
          <w:p>
            <w:pPr>
              <w:pStyle w:val="6"/>
              <w:spacing w:before="92" w:line="188" w:lineRule="auto"/>
              <w:ind w:left="209"/>
            </w:pPr>
            <w:r>
              <w:rPr>
                <w:spacing w:val="-2"/>
              </w:rPr>
              <w:t>503.5</w:t>
            </w:r>
          </w:p>
        </w:tc>
        <w:tc>
          <w:tcPr>
            <w:tcW w:w="881" w:type="dxa"/>
            <w:tcBorders>
              <w:bottom w:val="single" w:color="000000" w:sz="12" w:space="0"/>
            </w:tcBorders>
            <w:vAlign w:val="top"/>
          </w:tcPr>
          <w:p>
            <w:pPr>
              <w:pStyle w:val="6"/>
              <w:spacing w:before="92" w:line="188" w:lineRule="auto"/>
              <w:ind w:left="224"/>
            </w:pPr>
            <w:r>
              <w:rPr>
                <w:spacing w:val="-5"/>
              </w:rPr>
              <w:t>123.2</w:t>
            </w:r>
          </w:p>
        </w:tc>
        <w:tc>
          <w:tcPr>
            <w:tcW w:w="654" w:type="dxa"/>
            <w:tcBorders>
              <w:bottom w:val="single" w:color="000000" w:sz="12" w:space="0"/>
            </w:tcBorders>
            <w:vAlign w:val="top"/>
          </w:tcPr>
          <w:p>
            <w:pPr>
              <w:pStyle w:val="6"/>
              <w:spacing w:before="92" w:line="188" w:lineRule="auto"/>
              <w:ind w:left="199"/>
            </w:pPr>
            <w:r>
              <w:rPr>
                <w:spacing w:val="-3"/>
              </w:rPr>
              <w:t>0.0</w:t>
            </w:r>
          </w:p>
        </w:tc>
        <w:tc>
          <w:tcPr>
            <w:tcW w:w="654" w:type="dxa"/>
            <w:tcBorders>
              <w:bottom w:val="single" w:color="000000" w:sz="12" w:space="0"/>
            </w:tcBorders>
            <w:vAlign w:val="top"/>
          </w:tcPr>
          <w:p>
            <w:pPr>
              <w:pStyle w:val="6"/>
              <w:spacing w:before="92" w:line="188" w:lineRule="auto"/>
              <w:ind w:left="199"/>
            </w:pPr>
            <w:r>
              <w:rPr>
                <w:spacing w:val="-3"/>
              </w:rPr>
              <w:t>0.0</w:t>
            </w:r>
          </w:p>
        </w:tc>
        <w:tc>
          <w:tcPr>
            <w:tcW w:w="881" w:type="dxa"/>
            <w:tcBorders>
              <w:bottom w:val="single" w:color="000000" w:sz="12" w:space="0"/>
            </w:tcBorders>
            <w:vAlign w:val="top"/>
          </w:tcPr>
          <w:p>
            <w:pPr>
              <w:pStyle w:val="6"/>
              <w:spacing w:before="92" w:line="188" w:lineRule="auto"/>
              <w:ind w:left="209"/>
            </w:pPr>
            <w:r>
              <w:rPr>
                <w:spacing w:val="-2"/>
              </w:rPr>
              <w:t>666.7</w:t>
            </w:r>
          </w:p>
        </w:tc>
        <w:tc>
          <w:tcPr>
            <w:tcW w:w="882" w:type="dxa"/>
            <w:tcBorders>
              <w:bottom w:val="single" w:color="000000" w:sz="12" w:space="0"/>
            </w:tcBorders>
            <w:vAlign w:val="top"/>
          </w:tcPr>
          <w:p>
            <w:pPr>
              <w:pStyle w:val="6"/>
              <w:spacing w:before="92" w:line="188" w:lineRule="auto"/>
              <w:ind w:left="209"/>
            </w:pPr>
            <w:r>
              <w:rPr>
                <w:spacing w:val="-2"/>
              </w:rPr>
              <w:t>626.3</w:t>
            </w:r>
          </w:p>
        </w:tc>
        <w:tc>
          <w:tcPr>
            <w:tcW w:w="881" w:type="dxa"/>
            <w:tcBorders>
              <w:bottom w:val="single" w:color="000000" w:sz="12" w:space="0"/>
            </w:tcBorders>
            <w:vAlign w:val="top"/>
          </w:tcPr>
          <w:p>
            <w:pPr>
              <w:pStyle w:val="6"/>
              <w:spacing w:before="92" w:line="188" w:lineRule="auto"/>
              <w:ind w:left="208"/>
            </w:pPr>
            <w:r>
              <w:rPr>
                <w:spacing w:val="-2"/>
              </w:rPr>
              <w:t>624.6</w:t>
            </w:r>
          </w:p>
        </w:tc>
        <w:tc>
          <w:tcPr>
            <w:tcW w:w="881" w:type="dxa"/>
            <w:tcBorders>
              <w:bottom w:val="single" w:color="000000" w:sz="12" w:space="0"/>
            </w:tcBorders>
            <w:vAlign w:val="top"/>
          </w:tcPr>
          <w:p>
            <w:pPr>
              <w:pStyle w:val="6"/>
              <w:spacing w:before="92" w:line="188" w:lineRule="auto"/>
              <w:ind w:left="207"/>
            </w:pPr>
            <w:r>
              <w:rPr>
                <w:spacing w:val="-2"/>
              </w:rPr>
              <w:t>329.0</w:t>
            </w:r>
          </w:p>
        </w:tc>
        <w:tc>
          <w:tcPr>
            <w:tcW w:w="881" w:type="dxa"/>
            <w:tcBorders>
              <w:bottom w:val="single" w:color="000000" w:sz="12" w:space="0"/>
            </w:tcBorders>
            <w:vAlign w:val="top"/>
          </w:tcPr>
          <w:p>
            <w:pPr>
              <w:pStyle w:val="6"/>
              <w:spacing w:before="92" w:line="188" w:lineRule="auto"/>
              <w:ind w:left="209"/>
            </w:pPr>
            <w:r>
              <w:rPr>
                <w:spacing w:val="-2"/>
              </w:rPr>
              <w:t>640.2</w:t>
            </w:r>
          </w:p>
        </w:tc>
        <w:tc>
          <w:tcPr>
            <w:tcW w:w="882" w:type="dxa"/>
            <w:tcBorders>
              <w:bottom w:val="single" w:color="000000" w:sz="12" w:space="0"/>
            </w:tcBorders>
            <w:vAlign w:val="top"/>
          </w:tcPr>
          <w:p>
            <w:pPr>
              <w:pStyle w:val="6"/>
              <w:spacing w:before="92" w:line="188" w:lineRule="auto"/>
              <w:ind w:left="208"/>
            </w:pPr>
            <w:r>
              <w:rPr>
                <w:spacing w:val="-2"/>
              </w:rPr>
              <w:t>359.6</w:t>
            </w:r>
          </w:p>
        </w:tc>
        <w:tc>
          <w:tcPr>
            <w:tcW w:w="998" w:type="dxa"/>
            <w:tcBorders>
              <w:bottom w:val="single" w:color="000000" w:sz="12" w:space="0"/>
            </w:tcBorders>
            <w:vAlign w:val="top"/>
          </w:tcPr>
          <w:p>
            <w:pPr>
              <w:pStyle w:val="6"/>
              <w:spacing w:before="92" w:line="188" w:lineRule="auto"/>
              <w:ind w:left="229"/>
            </w:pPr>
            <w:r>
              <w:rPr>
                <w:spacing w:val="-4"/>
              </w:rPr>
              <w:t>1887.2</w:t>
            </w:r>
          </w:p>
        </w:tc>
        <w:tc>
          <w:tcPr>
            <w:tcW w:w="1004" w:type="dxa"/>
            <w:tcBorders>
              <w:bottom w:val="single" w:color="000000" w:sz="12" w:space="0"/>
              <w:right w:val="nil"/>
            </w:tcBorders>
            <w:vAlign w:val="top"/>
          </w:tcPr>
          <w:p>
            <w:pPr>
              <w:pStyle w:val="6"/>
              <w:spacing w:before="92" w:line="188" w:lineRule="auto"/>
              <w:ind w:left="216"/>
            </w:pPr>
            <w:r>
              <w:rPr>
                <w:spacing w:val="-2"/>
              </w:rPr>
              <w:t>6467.5</w:t>
            </w:r>
          </w:p>
        </w:tc>
      </w:tr>
    </w:tbl>
    <w:p>
      <w:pPr>
        <w:rPr>
          <w:rFonts w:ascii="Arial"/>
          <w:sz w:val="21"/>
        </w:rPr>
      </w:pPr>
    </w:p>
    <w:p>
      <w:pPr>
        <w:rPr>
          <w:rFonts w:ascii="Arial" w:hAnsi="Arial" w:eastAsia="Arial" w:cs="Arial"/>
          <w:sz w:val="21"/>
          <w:szCs w:val="21"/>
        </w:rPr>
        <w:sectPr>
          <w:headerReference r:id="rId129" w:type="default"/>
          <w:footerReference r:id="rId130" w:type="default"/>
          <w:pgSz w:w="16839" w:h="11907"/>
          <w:pgMar w:top="1298" w:right="1387" w:bottom="1374" w:left="1388" w:header="1023" w:footer="1210" w:gutter="0"/>
        </w:sectPr>
      </w:pPr>
    </w:p>
    <w:p>
      <w:pPr>
        <w:spacing w:before="156" w:line="217" w:lineRule="auto"/>
        <w:ind w:left="517"/>
        <w:rPr>
          <w:rFonts w:ascii="宋体" w:hAnsi="宋体" w:eastAsia="宋体" w:cs="宋体"/>
          <w:sz w:val="24"/>
          <w:szCs w:val="24"/>
        </w:rPr>
      </w:pPr>
      <w:r>
        <w:rPr>
          <w:rFonts w:ascii="宋体" w:hAnsi="宋体" w:eastAsia="宋体" w:cs="宋体"/>
          <w:spacing w:val="-2"/>
          <w:sz w:val="24"/>
          <w:szCs w:val="24"/>
        </w:rPr>
        <w:t>⑥设计灌水率</w:t>
      </w:r>
    </w:p>
    <w:p>
      <w:pPr>
        <w:spacing w:before="184" w:line="467" w:lineRule="exact"/>
        <w:ind w:left="519"/>
        <w:rPr>
          <w:rFonts w:ascii="宋体" w:hAnsi="宋体" w:eastAsia="宋体" w:cs="宋体"/>
          <w:sz w:val="24"/>
          <w:szCs w:val="24"/>
        </w:rPr>
      </w:pPr>
      <w:r>
        <w:rPr>
          <w:rFonts w:ascii="宋体" w:hAnsi="宋体" w:eastAsia="宋体" w:cs="宋体"/>
          <w:spacing w:val="-4"/>
          <w:position w:val="17"/>
          <w:sz w:val="24"/>
          <w:szCs w:val="24"/>
        </w:rPr>
        <w:t>根据《灌溉与排水工程设计规范》（</w:t>
      </w:r>
      <w:r>
        <w:rPr>
          <w:rFonts w:ascii="Times New Roman" w:hAnsi="Times New Roman" w:eastAsia="Times New Roman" w:cs="Times New Roman"/>
          <w:spacing w:val="-4"/>
          <w:position w:val="17"/>
          <w:sz w:val="24"/>
          <w:szCs w:val="24"/>
        </w:rPr>
        <w:t>GB50288</w:t>
      </w: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99</w:t>
      </w:r>
      <w:r>
        <w:rPr>
          <w:rFonts w:ascii="宋体" w:hAnsi="宋体" w:eastAsia="宋体" w:cs="宋体"/>
          <w:spacing w:val="-4"/>
          <w:position w:val="17"/>
          <w:sz w:val="24"/>
          <w:szCs w:val="24"/>
        </w:rPr>
        <w:t>）规定，经修正后求得灌区设</w:t>
      </w:r>
    </w:p>
    <w:p>
      <w:pPr>
        <w:spacing w:line="212" w:lineRule="auto"/>
        <w:ind w:left="39"/>
        <w:rPr>
          <w:rFonts w:ascii="宋体" w:hAnsi="宋体" w:eastAsia="宋体" w:cs="宋体"/>
          <w:sz w:val="24"/>
          <w:szCs w:val="24"/>
        </w:rPr>
      </w:pPr>
      <w:r>
        <w:rPr>
          <w:rFonts w:ascii="宋体" w:hAnsi="宋体" w:eastAsia="宋体" w:cs="宋体"/>
          <w:spacing w:val="-1"/>
          <w:sz w:val="24"/>
          <w:szCs w:val="24"/>
        </w:rPr>
        <w:t xml:space="preserve">计 灌水率为 </w:t>
      </w:r>
      <w:r>
        <w:rPr>
          <w:rFonts w:ascii="Times New Roman" w:hAnsi="Times New Roman" w:eastAsia="Times New Roman" w:cs="Times New Roman"/>
          <w:spacing w:val="-1"/>
          <w:sz w:val="24"/>
          <w:szCs w:val="24"/>
        </w:rPr>
        <w:t>q=0.37m</w:t>
      </w:r>
      <w:r>
        <w:rPr>
          <w:rFonts w:ascii="宋体" w:hAnsi="宋体" w:eastAsia="宋体" w:cs="宋体"/>
          <w:spacing w:val="-1"/>
          <w:sz w:val="24"/>
          <w:szCs w:val="24"/>
        </w:rPr>
        <w:t>³</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r>
        <w:rPr>
          <w:rFonts w:ascii="Times New Roman" w:hAnsi="Times New Roman" w:eastAsia="Times New Roman" w:cs="Times New Roman"/>
          <w:spacing w:val="-1"/>
          <w:sz w:val="24"/>
          <w:szCs w:val="24"/>
        </w:rPr>
        <w:t>s</w:t>
      </w:r>
      <w:r>
        <w:rPr>
          <w:rFonts w:ascii="宋体" w:hAnsi="宋体" w:eastAsia="宋体" w:cs="宋体"/>
          <w:spacing w:val="-1"/>
          <w:sz w:val="24"/>
          <w:szCs w:val="24"/>
        </w:rPr>
        <w:t>•万亩</w:t>
      </w:r>
      <w:r>
        <w:rPr>
          <w:rFonts w:ascii="宋体" w:hAnsi="宋体" w:eastAsia="宋体" w:cs="宋体"/>
          <w:spacing w:val="-61"/>
          <w:w w:val="98"/>
          <w:sz w:val="24"/>
          <w:szCs w:val="24"/>
        </w:rPr>
        <w:t>），</w:t>
      </w:r>
      <w:r>
        <w:rPr>
          <w:rFonts w:ascii="宋体" w:hAnsi="宋体" w:eastAsia="宋体" w:cs="宋体"/>
          <w:spacing w:val="-1"/>
          <w:sz w:val="24"/>
          <w:szCs w:val="24"/>
        </w:rPr>
        <w:t>灌水率见图</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p>
    <w:p>
      <w:pPr>
        <w:spacing w:before="154" w:line="5174" w:lineRule="exact"/>
        <w:ind w:firstLine="293"/>
      </w:pPr>
      <w:r>
        <w:rPr>
          <w:position w:val="-103"/>
        </w:rPr>
        <w:drawing>
          <wp:inline distT="0" distB="0" distL="0" distR="0">
            <wp:extent cx="5353050" cy="32854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94"/>
                    <a:stretch>
                      <a:fillRect/>
                    </a:stretch>
                  </pic:blipFill>
                  <pic:spPr>
                    <a:xfrm>
                      <a:off x="0" y="0"/>
                      <a:ext cx="5353050" cy="3285997"/>
                    </a:xfrm>
                    <a:prstGeom prst="rect">
                      <a:avLst/>
                    </a:prstGeom>
                  </pic:spPr>
                </pic:pic>
              </a:graphicData>
            </a:graphic>
          </wp:inline>
        </w:drawing>
      </w:r>
    </w:p>
    <w:p>
      <w:pPr>
        <w:spacing w:before="167" w:line="220" w:lineRule="auto"/>
        <w:ind w:left="3027"/>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图</w:t>
      </w:r>
      <w:r>
        <w:rPr>
          <w:rFonts w:ascii="宋体" w:hAnsi="宋体" w:eastAsia="宋体" w:cs="宋体"/>
          <w:spacing w:val="-30"/>
          <w:sz w:val="21"/>
          <w:szCs w:val="21"/>
        </w:rPr>
        <w:t xml:space="preserve"> </w:t>
      </w:r>
      <w:r>
        <w:rPr>
          <w:rFonts w:ascii="Times New Roman" w:hAnsi="Times New Roman" w:eastAsia="Times New Roman" w:cs="Times New Roman"/>
          <w:b/>
          <w:bCs/>
          <w:spacing w:val="-2"/>
          <w:sz w:val="21"/>
          <w:szCs w:val="21"/>
        </w:rPr>
        <w:t xml:space="preserve">2.3-1    </w:t>
      </w:r>
      <w:r>
        <w:rPr>
          <w:rFonts w:ascii="宋体" w:hAnsi="宋体" w:eastAsia="宋体" w:cs="宋体"/>
          <w:spacing w:val="-2"/>
          <w:sz w:val="21"/>
          <w:szCs w:val="21"/>
          <w14:textOutline w14:w="3810" w14:cap="flat" w14:cmpd="sng">
            <w14:solidFill>
              <w14:srgbClr w14:val="000000"/>
            </w14:solidFill>
            <w14:prstDash w14:val="solid"/>
            <w14:miter w14:val="0"/>
          </w14:textOutline>
        </w:rPr>
        <w:t>桂花水库灌区设计灌水率图</w:t>
      </w:r>
    </w:p>
    <w:p>
      <w:pPr>
        <w:spacing w:before="164"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）城乡生活用水</w:t>
      </w:r>
    </w:p>
    <w:p>
      <w:pPr>
        <w:spacing w:before="181" w:line="467" w:lineRule="exact"/>
        <w:ind w:left="519"/>
        <w:rPr>
          <w:rFonts w:ascii="宋体" w:hAnsi="宋体" w:eastAsia="宋体" w:cs="宋体"/>
          <w:sz w:val="24"/>
          <w:szCs w:val="24"/>
        </w:rPr>
      </w:pPr>
      <w:r>
        <w:rPr>
          <w:rFonts w:ascii="宋体" w:hAnsi="宋体" w:eastAsia="宋体" w:cs="宋体"/>
          <w:position w:val="17"/>
          <w:sz w:val="24"/>
          <w:szCs w:val="24"/>
        </w:rPr>
        <w:t>根据可研，规划水平年</w:t>
      </w:r>
      <w:r>
        <w:rPr>
          <w:rFonts w:ascii="宋体" w:hAnsi="宋体" w:eastAsia="宋体" w:cs="宋体"/>
          <w:spacing w:val="-55"/>
          <w:position w:val="17"/>
          <w:sz w:val="24"/>
          <w:szCs w:val="24"/>
        </w:rPr>
        <w:t xml:space="preserve"> </w:t>
      </w:r>
      <w:r>
        <w:rPr>
          <w:rFonts w:ascii="Times New Roman" w:hAnsi="Times New Roman" w:eastAsia="Times New Roman" w:cs="Times New Roman"/>
          <w:position w:val="17"/>
          <w:sz w:val="24"/>
          <w:szCs w:val="24"/>
        </w:rPr>
        <w:t xml:space="preserve">2030 </w:t>
      </w:r>
      <w:r>
        <w:rPr>
          <w:rFonts w:ascii="宋体" w:hAnsi="宋体" w:eastAsia="宋体" w:cs="宋体"/>
          <w:position w:val="17"/>
          <w:sz w:val="24"/>
          <w:szCs w:val="24"/>
        </w:rPr>
        <w:t>年桂花水库灌区</w:t>
      </w:r>
      <w:r>
        <w:rPr>
          <w:rFonts w:ascii="宋体" w:hAnsi="宋体" w:eastAsia="宋体" w:cs="宋体"/>
          <w:spacing w:val="-1"/>
          <w:position w:val="17"/>
          <w:sz w:val="24"/>
          <w:szCs w:val="24"/>
        </w:rPr>
        <w:t>生活总需水量为灌区内的城镇生活</w:t>
      </w:r>
    </w:p>
    <w:p>
      <w:pPr>
        <w:spacing w:before="1" w:line="232" w:lineRule="auto"/>
        <w:ind w:left="50"/>
        <w:rPr>
          <w:rFonts w:ascii="宋体" w:hAnsi="宋体" w:eastAsia="宋体" w:cs="宋体"/>
          <w:sz w:val="24"/>
          <w:szCs w:val="24"/>
        </w:rPr>
      </w:pPr>
      <w:r>
        <w:rPr>
          <w:rFonts w:ascii="宋体" w:hAnsi="宋体" w:eastAsia="宋体" w:cs="宋体"/>
          <w:spacing w:val="-5"/>
          <w:sz w:val="24"/>
          <w:szCs w:val="24"/>
        </w:rPr>
        <w:t>需水、集镇生活需水和农村生活需水量之和。</w:t>
      </w:r>
      <w:r>
        <w:rPr>
          <w:rFonts w:ascii="宋体" w:hAnsi="宋体" w:eastAsia="宋体" w:cs="宋体"/>
          <w:spacing w:val="40"/>
          <w:sz w:val="24"/>
          <w:szCs w:val="24"/>
        </w:rPr>
        <w:t xml:space="preserve"> </w:t>
      </w:r>
      <w:r>
        <w:rPr>
          <w:rFonts w:ascii="Times New Roman" w:hAnsi="Times New Roman" w:eastAsia="Times New Roman" w:cs="Times New Roman"/>
          <w:spacing w:val="-5"/>
          <w:sz w:val="24"/>
          <w:szCs w:val="24"/>
        </w:rPr>
        <w:t xml:space="preserve">2030 </w:t>
      </w:r>
      <w:r>
        <w:rPr>
          <w:rFonts w:ascii="宋体" w:hAnsi="宋体" w:eastAsia="宋体" w:cs="宋体"/>
          <w:spacing w:val="-5"/>
          <w:sz w:val="24"/>
          <w:szCs w:val="24"/>
        </w:rPr>
        <w:t>年生活总需水量为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1447</w:t>
      </w:r>
      <w:r>
        <w:rPr>
          <w:rFonts w:ascii="Times New Roman" w:hAnsi="Times New Roman" w:eastAsia="Times New Roman" w:cs="Times New Roman"/>
          <w:spacing w:val="-6"/>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宋体" w:hAnsi="宋体" w:eastAsia="宋体" w:cs="宋体"/>
          <w:spacing w:val="-6"/>
          <w:sz w:val="24"/>
          <w:szCs w:val="24"/>
        </w:rPr>
        <w:t>。</w:t>
      </w:r>
    </w:p>
    <w:p>
      <w:pPr>
        <w:spacing w:before="159" w:line="233" w:lineRule="auto"/>
        <w:ind w:left="2111"/>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46"/>
          <w:sz w:val="21"/>
          <w:szCs w:val="21"/>
        </w:rPr>
        <w:t xml:space="preserve"> </w:t>
      </w:r>
      <w:r>
        <w:rPr>
          <w:rFonts w:ascii="Times New Roman" w:hAnsi="Times New Roman" w:eastAsia="Times New Roman" w:cs="Times New Roman"/>
          <w:b/>
          <w:bCs/>
          <w:sz w:val="21"/>
          <w:szCs w:val="21"/>
        </w:rPr>
        <w:t xml:space="preserve">2.3-13    </w:t>
      </w:r>
      <w:r>
        <w:rPr>
          <w:rFonts w:ascii="宋体" w:hAnsi="宋体" w:eastAsia="宋体" w:cs="宋体"/>
          <w:sz w:val="21"/>
          <w:szCs w:val="21"/>
          <w14:textOutline w14:w="3810" w14:cap="flat" w14:cmpd="sng">
            <w14:solidFill>
              <w14:srgbClr w14:val="000000"/>
            </w14:solidFill>
            <w14:prstDash w14:val="solid"/>
            <w14:miter w14:val="0"/>
          </w14:textOutline>
        </w:rPr>
        <w:t>桂花水库灌区各水平年的生活总需水量成果表</w:t>
      </w:r>
    </w:p>
    <w:p>
      <w:pPr>
        <w:spacing w:line="113" w:lineRule="exact"/>
      </w:pPr>
    </w:p>
    <w:tbl>
      <w:tblPr>
        <w:tblStyle w:val="5"/>
        <w:tblW w:w="8958"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50"/>
        <w:gridCol w:w="1302"/>
        <w:gridCol w:w="1451"/>
        <w:gridCol w:w="1451"/>
        <w:gridCol w:w="1451"/>
        <w:gridCol w:w="14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5" w:hRule="atLeast"/>
        </w:trPr>
        <w:tc>
          <w:tcPr>
            <w:tcW w:w="1850" w:type="dxa"/>
            <w:tcBorders>
              <w:top w:val="single" w:color="000000" w:sz="12" w:space="0"/>
              <w:left w:val="nil"/>
            </w:tcBorders>
            <w:vAlign w:val="top"/>
          </w:tcPr>
          <w:p>
            <w:pPr>
              <w:spacing w:before="303" w:line="218" w:lineRule="auto"/>
              <w:ind w:left="731"/>
              <w:rPr>
                <w:rFonts w:ascii="仿宋" w:hAnsi="仿宋" w:eastAsia="仿宋" w:cs="仿宋"/>
                <w:sz w:val="21"/>
                <w:szCs w:val="21"/>
              </w:rPr>
            </w:pPr>
            <w:r>
              <w:rPr>
                <w:rFonts w:ascii="仿宋" w:hAnsi="仿宋" w:eastAsia="仿宋" w:cs="仿宋"/>
                <w:spacing w:val="-5"/>
                <w:sz w:val="21"/>
                <w:szCs w:val="21"/>
              </w:rPr>
              <w:t>灌片</w:t>
            </w:r>
          </w:p>
        </w:tc>
        <w:tc>
          <w:tcPr>
            <w:tcW w:w="1302" w:type="dxa"/>
            <w:tcBorders>
              <w:top w:val="single" w:color="000000" w:sz="12" w:space="0"/>
            </w:tcBorders>
            <w:vAlign w:val="top"/>
          </w:tcPr>
          <w:p>
            <w:pPr>
              <w:spacing w:before="303" w:line="218" w:lineRule="auto"/>
              <w:ind w:left="343"/>
              <w:rPr>
                <w:rFonts w:ascii="仿宋" w:hAnsi="仿宋" w:eastAsia="仿宋" w:cs="仿宋"/>
                <w:sz w:val="21"/>
                <w:szCs w:val="21"/>
              </w:rPr>
            </w:pPr>
            <w:r>
              <w:rPr>
                <w:rFonts w:ascii="仿宋" w:hAnsi="仿宋" w:eastAsia="仿宋" w:cs="仿宋"/>
                <w:spacing w:val="-3"/>
                <w:sz w:val="21"/>
                <w:szCs w:val="21"/>
              </w:rPr>
              <w:t>水平年</w:t>
            </w:r>
          </w:p>
        </w:tc>
        <w:tc>
          <w:tcPr>
            <w:tcW w:w="1451" w:type="dxa"/>
            <w:tcBorders>
              <w:top w:val="single" w:color="000000" w:sz="12" w:space="0"/>
            </w:tcBorders>
            <w:vAlign w:val="top"/>
          </w:tcPr>
          <w:p>
            <w:pPr>
              <w:pStyle w:val="6"/>
              <w:spacing w:before="165" w:line="238" w:lineRule="auto"/>
              <w:ind w:left="276" w:right="275" w:firstLine="41"/>
              <w:rPr>
                <w:rFonts w:ascii="仿宋" w:hAnsi="仿宋" w:eastAsia="仿宋" w:cs="仿宋"/>
              </w:rPr>
            </w:pPr>
            <w:r>
              <w:rPr>
                <w:rFonts w:ascii="仿宋" w:hAnsi="仿宋" w:eastAsia="仿宋" w:cs="仿宋"/>
                <w:spacing w:val="-5"/>
              </w:rPr>
              <w:t>城镇需水</w:t>
            </w:r>
            <w:r>
              <w:rPr>
                <w:rFonts w:ascii="仿宋" w:hAnsi="仿宋" w:eastAsia="仿宋" w:cs="仿宋"/>
              </w:rPr>
              <w:t xml:space="preserve"> </w:t>
            </w:r>
            <w:r>
              <w:rPr>
                <w:rFonts w:ascii="仿宋" w:hAnsi="仿宋" w:eastAsia="仿宋" w:cs="仿宋"/>
                <w:spacing w:val="-9"/>
              </w:rPr>
              <w:t>（万</w:t>
            </w:r>
            <w:r>
              <w:rPr>
                <w:rFonts w:ascii="仿宋" w:hAnsi="仿宋" w:eastAsia="仿宋" w:cs="仿宋"/>
                <w:spacing w:val="-36"/>
              </w:rPr>
              <w:t xml:space="preserve"> </w:t>
            </w:r>
            <w:r>
              <w:rPr>
                <w:spacing w:val="-9"/>
              </w:rPr>
              <w:t>m</w:t>
            </w:r>
            <w:r>
              <w:rPr>
                <w:spacing w:val="-9"/>
                <w:position w:val="7"/>
                <w:sz w:val="14"/>
                <w:szCs w:val="14"/>
              </w:rPr>
              <w:t>3</w:t>
            </w:r>
            <w:r>
              <w:rPr>
                <w:rFonts w:ascii="仿宋" w:hAnsi="仿宋" w:eastAsia="仿宋" w:cs="仿宋"/>
                <w:spacing w:val="-9"/>
              </w:rPr>
              <w:t>）</w:t>
            </w:r>
          </w:p>
        </w:tc>
        <w:tc>
          <w:tcPr>
            <w:tcW w:w="1451" w:type="dxa"/>
            <w:tcBorders>
              <w:top w:val="single" w:color="000000" w:sz="12" w:space="0"/>
            </w:tcBorders>
            <w:vAlign w:val="top"/>
          </w:tcPr>
          <w:p>
            <w:pPr>
              <w:pStyle w:val="6"/>
              <w:spacing w:before="165" w:line="238" w:lineRule="auto"/>
              <w:ind w:left="276" w:right="275" w:firstLine="38"/>
              <w:rPr>
                <w:rFonts w:ascii="仿宋" w:hAnsi="仿宋" w:eastAsia="仿宋" w:cs="仿宋"/>
              </w:rPr>
            </w:pPr>
            <w:r>
              <w:rPr>
                <w:rFonts w:ascii="仿宋" w:hAnsi="仿宋" w:eastAsia="仿宋" w:cs="仿宋"/>
                <w:spacing w:val="-4"/>
              </w:rPr>
              <w:t>集镇需水</w:t>
            </w:r>
            <w:r>
              <w:rPr>
                <w:rFonts w:ascii="仿宋" w:hAnsi="仿宋" w:eastAsia="仿宋" w:cs="仿宋"/>
              </w:rPr>
              <w:t xml:space="preserve"> </w:t>
            </w:r>
            <w:r>
              <w:rPr>
                <w:rFonts w:ascii="仿宋" w:hAnsi="仿宋" w:eastAsia="仿宋" w:cs="仿宋"/>
                <w:spacing w:val="-9"/>
              </w:rPr>
              <w:t>（万</w:t>
            </w:r>
            <w:r>
              <w:rPr>
                <w:rFonts w:ascii="仿宋" w:hAnsi="仿宋" w:eastAsia="仿宋" w:cs="仿宋"/>
                <w:spacing w:val="-36"/>
              </w:rPr>
              <w:t xml:space="preserve"> </w:t>
            </w:r>
            <w:r>
              <w:rPr>
                <w:spacing w:val="-9"/>
              </w:rPr>
              <w:t>m</w:t>
            </w:r>
            <w:r>
              <w:rPr>
                <w:spacing w:val="-9"/>
                <w:position w:val="7"/>
                <w:sz w:val="14"/>
                <w:szCs w:val="14"/>
              </w:rPr>
              <w:t>3</w:t>
            </w:r>
            <w:r>
              <w:rPr>
                <w:rFonts w:ascii="仿宋" w:hAnsi="仿宋" w:eastAsia="仿宋" w:cs="仿宋"/>
                <w:spacing w:val="-9"/>
              </w:rPr>
              <w:t>）</w:t>
            </w:r>
          </w:p>
        </w:tc>
        <w:tc>
          <w:tcPr>
            <w:tcW w:w="1451" w:type="dxa"/>
            <w:tcBorders>
              <w:top w:val="single" w:color="000000" w:sz="12" w:space="0"/>
            </w:tcBorders>
            <w:vAlign w:val="top"/>
          </w:tcPr>
          <w:p>
            <w:pPr>
              <w:pStyle w:val="6"/>
              <w:spacing w:before="166" w:line="236" w:lineRule="auto"/>
              <w:ind w:left="169" w:right="171" w:firstLine="39"/>
              <w:rPr>
                <w:rFonts w:ascii="仿宋" w:hAnsi="仿宋" w:eastAsia="仿宋" w:cs="仿宋"/>
              </w:rPr>
            </w:pPr>
            <w:r>
              <w:rPr>
                <w:rFonts w:ascii="仿宋" w:hAnsi="仿宋" w:eastAsia="仿宋" w:cs="仿宋"/>
                <w:spacing w:val="-3"/>
              </w:rPr>
              <w:t>农村生活需</w:t>
            </w:r>
            <w:r>
              <w:rPr>
                <w:rFonts w:ascii="仿宋" w:hAnsi="仿宋" w:eastAsia="仿宋" w:cs="仿宋"/>
              </w:rPr>
              <w:t xml:space="preserve"> </w:t>
            </w:r>
            <w:r>
              <w:rPr>
                <w:rFonts w:ascii="仿宋" w:hAnsi="仿宋" w:eastAsia="仿宋" w:cs="仿宋"/>
                <w:spacing w:val="-5"/>
              </w:rPr>
              <w:t>水（万</w:t>
            </w:r>
            <w:r>
              <w:rPr>
                <w:rFonts w:ascii="仿宋" w:hAnsi="仿宋" w:eastAsia="仿宋" w:cs="仿宋"/>
                <w:spacing w:val="-50"/>
              </w:rPr>
              <w:t xml:space="preserve"> </w:t>
            </w:r>
            <w:r>
              <w:rPr>
                <w:spacing w:val="-5"/>
              </w:rPr>
              <w:t>m</w:t>
            </w:r>
            <w:r>
              <w:rPr>
                <w:spacing w:val="-5"/>
                <w:position w:val="7"/>
                <w:sz w:val="14"/>
                <w:szCs w:val="14"/>
              </w:rPr>
              <w:t>3</w:t>
            </w:r>
            <w:r>
              <w:rPr>
                <w:rFonts w:ascii="仿宋" w:hAnsi="仿宋" w:eastAsia="仿宋" w:cs="仿宋"/>
                <w:spacing w:val="-5"/>
              </w:rPr>
              <w:t>）</w:t>
            </w:r>
          </w:p>
        </w:tc>
        <w:tc>
          <w:tcPr>
            <w:tcW w:w="1453" w:type="dxa"/>
            <w:tcBorders>
              <w:top w:val="single" w:color="000000" w:sz="12" w:space="0"/>
              <w:right w:val="nil"/>
            </w:tcBorders>
            <w:vAlign w:val="top"/>
          </w:tcPr>
          <w:p>
            <w:pPr>
              <w:spacing w:before="30" w:line="220" w:lineRule="auto"/>
              <w:ind w:left="214"/>
              <w:rPr>
                <w:rFonts w:ascii="仿宋" w:hAnsi="仿宋" w:eastAsia="仿宋" w:cs="仿宋"/>
                <w:sz w:val="21"/>
                <w:szCs w:val="21"/>
              </w:rPr>
            </w:pPr>
            <w:r>
              <w:rPr>
                <w:rFonts w:ascii="仿宋" w:hAnsi="仿宋" w:eastAsia="仿宋" w:cs="仿宋"/>
                <w:spacing w:val="-3"/>
                <w:sz w:val="21"/>
                <w:szCs w:val="21"/>
              </w:rPr>
              <w:t>城乡生活总</w:t>
            </w:r>
          </w:p>
          <w:p>
            <w:pPr>
              <w:spacing w:before="23" w:line="239" w:lineRule="auto"/>
              <w:ind w:left="322"/>
              <w:rPr>
                <w:rFonts w:ascii="仿宋" w:hAnsi="仿宋" w:eastAsia="仿宋" w:cs="仿宋"/>
                <w:sz w:val="21"/>
                <w:szCs w:val="21"/>
              </w:rPr>
            </w:pPr>
            <w:r>
              <w:rPr>
                <w:rFonts w:ascii="仿宋" w:hAnsi="仿宋" w:eastAsia="仿宋" w:cs="仿宋"/>
                <w:spacing w:val="-5"/>
                <w:sz w:val="21"/>
                <w:szCs w:val="21"/>
              </w:rPr>
              <w:t>需水（万</w:t>
            </w:r>
          </w:p>
          <w:p>
            <w:pPr>
              <w:pStyle w:val="6"/>
              <w:spacing w:line="201" w:lineRule="auto"/>
              <w:ind w:left="501"/>
              <w:rPr>
                <w:rFonts w:ascii="仿宋" w:hAnsi="仿宋" w:eastAsia="仿宋" w:cs="仿宋"/>
              </w:rPr>
            </w:pPr>
            <w:r>
              <w:rPr>
                <w:spacing w:val="-1"/>
              </w:rPr>
              <w:t>m</w:t>
            </w:r>
            <w:r>
              <w:rPr>
                <w:spacing w:val="-1"/>
                <w:position w:val="7"/>
                <w:sz w:val="14"/>
                <w:szCs w:val="14"/>
              </w:rPr>
              <w:t>3</w:t>
            </w:r>
            <w:r>
              <w:rPr>
                <w:rFonts w:ascii="仿宋" w:hAnsi="仿宋" w:eastAsia="仿宋" w:cs="仿宋"/>
                <w:spacing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850" w:type="dxa"/>
            <w:tcBorders>
              <w:left w:val="nil"/>
            </w:tcBorders>
            <w:vAlign w:val="top"/>
          </w:tcPr>
          <w:p>
            <w:pPr>
              <w:spacing w:before="37" w:line="198" w:lineRule="auto"/>
              <w:ind w:left="518"/>
              <w:rPr>
                <w:rFonts w:ascii="仿宋" w:hAnsi="仿宋" w:eastAsia="仿宋" w:cs="仿宋"/>
                <w:sz w:val="21"/>
                <w:szCs w:val="21"/>
              </w:rPr>
            </w:pPr>
            <w:r>
              <w:rPr>
                <w:rFonts w:ascii="仿宋" w:hAnsi="仿宋" w:eastAsia="仿宋" w:cs="仿宋"/>
                <w:spacing w:val="-3"/>
                <w:sz w:val="21"/>
                <w:szCs w:val="21"/>
              </w:rPr>
              <w:t>桂花灌片</w:t>
            </w:r>
          </w:p>
        </w:tc>
        <w:tc>
          <w:tcPr>
            <w:tcW w:w="1302" w:type="dxa"/>
            <w:vMerge w:val="restart"/>
            <w:tcBorders>
              <w:bottom w:val="nil"/>
            </w:tcBorders>
            <w:vAlign w:val="top"/>
          </w:tcPr>
          <w:p>
            <w:pPr>
              <w:spacing w:line="341" w:lineRule="auto"/>
              <w:rPr>
                <w:rFonts w:ascii="Arial"/>
                <w:sz w:val="21"/>
              </w:rPr>
            </w:pPr>
          </w:p>
          <w:p>
            <w:pPr>
              <w:spacing w:line="342" w:lineRule="auto"/>
              <w:rPr>
                <w:rFonts w:ascii="Arial"/>
                <w:sz w:val="21"/>
              </w:rPr>
            </w:pPr>
          </w:p>
          <w:p>
            <w:pPr>
              <w:pStyle w:val="6"/>
              <w:spacing w:before="69" w:line="218" w:lineRule="auto"/>
              <w:ind w:left="308"/>
              <w:rPr>
                <w:rFonts w:ascii="仿宋" w:hAnsi="仿宋" w:eastAsia="仿宋" w:cs="仿宋"/>
              </w:rPr>
            </w:pPr>
            <w:r>
              <w:rPr>
                <w:spacing w:val="-1"/>
              </w:rPr>
              <w:t>2030</w:t>
            </w:r>
            <w:r>
              <w:rPr>
                <w:spacing w:val="19"/>
                <w:w w:val="101"/>
              </w:rPr>
              <w:t xml:space="preserve"> </w:t>
            </w:r>
            <w:r>
              <w:rPr>
                <w:rFonts w:ascii="仿宋" w:hAnsi="仿宋" w:eastAsia="仿宋" w:cs="仿宋"/>
                <w:spacing w:val="-1"/>
              </w:rPr>
              <w:t>年</w:t>
            </w:r>
          </w:p>
        </w:tc>
        <w:tc>
          <w:tcPr>
            <w:tcW w:w="1451" w:type="dxa"/>
            <w:vAlign w:val="top"/>
          </w:tcPr>
          <w:p>
            <w:pPr>
              <w:rPr>
                <w:rFonts w:ascii="Arial"/>
                <w:sz w:val="21"/>
              </w:rPr>
            </w:pPr>
          </w:p>
        </w:tc>
        <w:tc>
          <w:tcPr>
            <w:tcW w:w="1451" w:type="dxa"/>
            <w:vAlign w:val="top"/>
          </w:tcPr>
          <w:p>
            <w:pPr>
              <w:pStyle w:val="6"/>
              <w:spacing w:before="73" w:line="188" w:lineRule="auto"/>
              <w:ind w:left="560"/>
            </w:pPr>
            <w:r>
              <w:rPr>
                <w:spacing w:val="-6"/>
              </w:rPr>
              <w:t>10.3</w:t>
            </w:r>
          </w:p>
        </w:tc>
        <w:tc>
          <w:tcPr>
            <w:tcW w:w="1451" w:type="dxa"/>
            <w:vAlign w:val="top"/>
          </w:tcPr>
          <w:p>
            <w:pPr>
              <w:pStyle w:val="6"/>
              <w:spacing w:before="73" w:line="188" w:lineRule="auto"/>
              <w:ind w:left="560"/>
            </w:pPr>
            <w:r>
              <w:rPr>
                <w:spacing w:val="-6"/>
              </w:rPr>
              <w:t>18.8</w:t>
            </w:r>
          </w:p>
        </w:tc>
        <w:tc>
          <w:tcPr>
            <w:tcW w:w="1453" w:type="dxa"/>
            <w:tcBorders>
              <w:right w:val="nil"/>
            </w:tcBorders>
            <w:vAlign w:val="top"/>
          </w:tcPr>
          <w:p>
            <w:pPr>
              <w:pStyle w:val="6"/>
              <w:spacing w:before="73" w:line="188" w:lineRule="auto"/>
              <w:ind w:left="541"/>
            </w:pPr>
            <w:r>
              <w:rPr>
                <w:spacing w:val="-1"/>
              </w:rPr>
              <w:t>29.1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1850" w:type="dxa"/>
            <w:tcBorders>
              <w:left w:val="nil"/>
            </w:tcBorders>
            <w:vAlign w:val="top"/>
          </w:tcPr>
          <w:p>
            <w:pPr>
              <w:spacing w:before="42" w:line="196" w:lineRule="auto"/>
              <w:ind w:left="417"/>
              <w:rPr>
                <w:rFonts w:ascii="仿宋" w:hAnsi="仿宋" w:eastAsia="仿宋" w:cs="仿宋"/>
                <w:sz w:val="21"/>
                <w:szCs w:val="21"/>
              </w:rPr>
            </w:pPr>
            <w:r>
              <w:rPr>
                <w:rFonts w:ascii="仿宋" w:hAnsi="仿宋" w:eastAsia="仿宋" w:cs="仿宋"/>
                <w:spacing w:val="-4"/>
                <w:sz w:val="21"/>
                <w:szCs w:val="21"/>
              </w:rPr>
              <w:t>者纳么灌片</w:t>
            </w:r>
          </w:p>
        </w:tc>
        <w:tc>
          <w:tcPr>
            <w:tcW w:w="1302" w:type="dxa"/>
            <w:vMerge w:val="continue"/>
            <w:tcBorders>
              <w:top w:val="nil"/>
              <w:bottom w:val="nil"/>
            </w:tcBorders>
            <w:vAlign w:val="top"/>
          </w:tcPr>
          <w:p>
            <w:pPr>
              <w:rPr>
                <w:rFonts w:ascii="Arial"/>
                <w:sz w:val="21"/>
              </w:rPr>
            </w:pPr>
          </w:p>
        </w:tc>
        <w:tc>
          <w:tcPr>
            <w:tcW w:w="1451" w:type="dxa"/>
            <w:vAlign w:val="top"/>
          </w:tcPr>
          <w:p>
            <w:pPr>
              <w:rPr>
                <w:rFonts w:ascii="Arial"/>
                <w:sz w:val="21"/>
              </w:rPr>
            </w:pPr>
          </w:p>
        </w:tc>
        <w:tc>
          <w:tcPr>
            <w:tcW w:w="1451" w:type="dxa"/>
            <w:vAlign w:val="top"/>
          </w:tcPr>
          <w:p>
            <w:pPr>
              <w:rPr>
                <w:rFonts w:ascii="Arial"/>
                <w:sz w:val="21"/>
              </w:rPr>
            </w:pPr>
          </w:p>
        </w:tc>
        <w:tc>
          <w:tcPr>
            <w:tcW w:w="1451" w:type="dxa"/>
            <w:vAlign w:val="top"/>
          </w:tcPr>
          <w:p>
            <w:pPr>
              <w:pStyle w:val="6"/>
              <w:spacing w:before="78" w:line="185" w:lineRule="auto"/>
              <w:ind w:left="560"/>
            </w:pPr>
            <w:r>
              <w:rPr>
                <w:spacing w:val="-6"/>
              </w:rPr>
              <w:t>13.0</w:t>
            </w:r>
          </w:p>
        </w:tc>
        <w:tc>
          <w:tcPr>
            <w:tcW w:w="1453" w:type="dxa"/>
            <w:tcBorders>
              <w:right w:val="nil"/>
            </w:tcBorders>
            <w:vAlign w:val="top"/>
          </w:tcPr>
          <w:p>
            <w:pPr>
              <w:pStyle w:val="6"/>
              <w:spacing w:before="78" w:line="185" w:lineRule="auto"/>
              <w:ind w:left="561"/>
            </w:pPr>
            <w:r>
              <w:rPr>
                <w:spacing w:val="-6"/>
              </w:rPr>
              <w:t>13.0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850" w:type="dxa"/>
            <w:tcBorders>
              <w:left w:val="nil"/>
            </w:tcBorders>
            <w:vAlign w:val="top"/>
          </w:tcPr>
          <w:p>
            <w:pPr>
              <w:spacing w:before="44" w:line="192" w:lineRule="auto"/>
              <w:ind w:left="519"/>
              <w:rPr>
                <w:rFonts w:ascii="仿宋" w:hAnsi="仿宋" w:eastAsia="仿宋" w:cs="仿宋"/>
                <w:sz w:val="21"/>
                <w:szCs w:val="21"/>
              </w:rPr>
            </w:pPr>
            <w:r>
              <w:rPr>
                <w:rFonts w:ascii="仿宋" w:hAnsi="仿宋" w:eastAsia="仿宋" w:cs="仿宋"/>
                <w:spacing w:val="-3"/>
                <w:sz w:val="21"/>
                <w:szCs w:val="21"/>
              </w:rPr>
              <w:t>六苴灌片</w:t>
            </w:r>
          </w:p>
        </w:tc>
        <w:tc>
          <w:tcPr>
            <w:tcW w:w="1302" w:type="dxa"/>
            <w:vMerge w:val="continue"/>
            <w:tcBorders>
              <w:top w:val="nil"/>
              <w:bottom w:val="nil"/>
            </w:tcBorders>
            <w:vAlign w:val="top"/>
          </w:tcPr>
          <w:p>
            <w:pPr>
              <w:rPr>
                <w:rFonts w:ascii="Arial"/>
                <w:sz w:val="21"/>
              </w:rPr>
            </w:pPr>
          </w:p>
        </w:tc>
        <w:tc>
          <w:tcPr>
            <w:tcW w:w="1451" w:type="dxa"/>
            <w:vAlign w:val="top"/>
          </w:tcPr>
          <w:p>
            <w:pPr>
              <w:rPr>
                <w:rFonts w:ascii="Arial"/>
                <w:sz w:val="21"/>
              </w:rPr>
            </w:pPr>
          </w:p>
        </w:tc>
        <w:tc>
          <w:tcPr>
            <w:tcW w:w="1451" w:type="dxa"/>
            <w:vAlign w:val="top"/>
          </w:tcPr>
          <w:p>
            <w:pPr>
              <w:pStyle w:val="6"/>
              <w:spacing w:before="80" w:line="181" w:lineRule="auto"/>
              <w:ind w:left="544"/>
            </w:pPr>
            <w:r>
              <w:rPr>
                <w:spacing w:val="-2"/>
              </w:rPr>
              <w:t>30.7</w:t>
            </w:r>
          </w:p>
        </w:tc>
        <w:tc>
          <w:tcPr>
            <w:tcW w:w="1451" w:type="dxa"/>
            <w:vAlign w:val="top"/>
          </w:tcPr>
          <w:p>
            <w:pPr>
              <w:pStyle w:val="6"/>
              <w:spacing w:before="80" w:line="181" w:lineRule="auto"/>
              <w:ind w:left="560"/>
            </w:pPr>
            <w:r>
              <w:rPr>
                <w:spacing w:val="-6"/>
              </w:rPr>
              <w:t>19.3</w:t>
            </w:r>
          </w:p>
        </w:tc>
        <w:tc>
          <w:tcPr>
            <w:tcW w:w="1453" w:type="dxa"/>
            <w:tcBorders>
              <w:right w:val="nil"/>
            </w:tcBorders>
            <w:vAlign w:val="top"/>
          </w:tcPr>
          <w:p>
            <w:pPr>
              <w:pStyle w:val="6"/>
              <w:spacing w:before="80" w:line="181" w:lineRule="auto"/>
              <w:ind w:left="547"/>
            </w:pPr>
            <w:r>
              <w:rPr>
                <w:spacing w:val="-3"/>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1850" w:type="dxa"/>
            <w:tcBorders>
              <w:left w:val="nil"/>
            </w:tcBorders>
            <w:vAlign w:val="top"/>
          </w:tcPr>
          <w:p>
            <w:pPr>
              <w:spacing w:before="48" w:line="190" w:lineRule="auto"/>
              <w:ind w:left="517"/>
              <w:rPr>
                <w:rFonts w:ascii="仿宋" w:hAnsi="仿宋" w:eastAsia="仿宋" w:cs="仿宋"/>
                <w:sz w:val="21"/>
                <w:szCs w:val="21"/>
              </w:rPr>
            </w:pPr>
            <w:r>
              <w:rPr>
                <w:rFonts w:ascii="仿宋" w:hAnsi="仿宋" w:eastAsia="仿宋" w:cs="仿宋"/>
                <w:spacing w:val="-3"/>
                <w:sz w:val="21"/>
                <w:szCs w:val="21"/>
              </w:rPr>
              <w:t>新街灌片</w:t>
            </w:r>
          </w:p>
        </w:tc>
        <w:tc>
          <w:tcPr>
            <w:tcW w:w="1302" w:type="dxa"/>
            <w:vMerge w:val="continue"/>
            <w:tcBorders>
              <w:top w:val="nil"/>
              <w:bottom w:val="nil"/>
            </w:tcBorders>
            <w:vAlign w:val="top"/>
          </w:tcPr>
          <w:p>
            <w:pPr>
              <w:rPr>
                <w:rFonts w:ascii="Arial"/>
                <w:sz w:val="21"/>
              </w:rPr>
            </w:pPr>
          </w:p>
        </w:tc>
        <w:tc>
          <w:tcPr>
            <w:tcW w:w="1451" w:type="dxa"/>
            <w:vAlign w:val="top"/>
          </w:tcPr>
          <w:p>
            <w:pPr>
              <w:rPr>
                <w:rFonts w:ascii="Arial"/>
                <w:sz w:val="21"/>
              </w:rPr>
            </w:pPr>
          </w:p>
        </w:tc>
        <w:tc>
          <w:tcPr>
            <w:tcW w:w="1451" w:type="dxa"/>
            <w:vAlign w:val="top"/>
          </w:tcPr>
          <w:p>
            <w:pPr>
              <w:pStyle w:val="6"/>
              <w:spacing w:before="83" w:line="180" w:lineRule="auto"/>
              <w:ind w:left="540"/>
            </w:pPr>
            <w:r>
              <w:rPr>
                <w:spacing w:val="-1"/>
              </w:rPr>
              <w:t>23.4</w:t>
            </w:r>
          </w:p>
        </w:tc>
        <w:tc>
          <w:tcPr>
            <w:tcW w:w="1451" w:type="dxa"/>
            <w:vAlign w:val="top"/>
          </w:tcPr>
          <w:p>
            <w:pPr>
              <w:pStyle w:val="6"/>
              <w:spacing w:before="83" w:line="180" w:lineRule="auto"/>
              <w:ind w:left="507"/>
            </w:pPr>
            <w:r>
              <w:rPr>
                <w:spacing w:val="-5"/>
              </w:rPr>
              <w:t>138.5</w:t>
            </w:r>
          </w:p>
        </w:tc>
        <w:tc>
          <w:tcPr>
            <w:tcW w:w="1453" w:type="dxa"/>
            <w:tcBorders>
              <w:right w:val="nil"/>
            </w:tcBorders>
            <w:vAlign w:val="top"/>
          </w:tcPr>
          <w:p>
            <w:pPr>
              <w:pStyle w:val="6"/>
              <w:spacing w:before="83" w:line="180" w:lineRule="auto"/>
              <w:ind w:left="508"/>
            </w:pPr>
            <w:r>
              <w:rPr>
                <w:spacing w:val="-5"/>
              </w:rPr>
              <w:t>161.9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850" w:type="dxa"/>
            <w:tcBorders>
              <w:left w:val="nil"/>
            </w:tcBorders>
            <w:vAlign w:val="top"/>
          </w:tcPr>
          <w:p>
            <w:pPr>
              <w:spacing w:before="51" w:line="186" w:lineRule="auto"/>
              <w:ind w:left="518"/>
              <w:rPr>
                <w:rFonts w:ascii="仿宋" w:hAnsi="仿宋" w:eastAsia="仿宋" w:cs="仿宋"/>
                <w:sz w:val="21"/>
                <w:szCs w:val="21"/>
              </w:rPr>
            </w:pPr>
            <w:r>
              <w:rPr>
                <w:rFonts w:ascii="仿宋" w:hAnsi="仿宋" w:eastAsia="仿宋" w:cs="仿宋"/>
                <w:spacing w:val="-3"/>
                <w:sz w:val="21"/>
                <w:szCs w:val="21"/>
              </w:rPr>
              <w:t>金碧灌片</w:t>
            </w:r>
          </w:p>
        </w:tc>
        <w:tc>
          <w:tcPr>
            <w:tcW w:w="1302" w:type="dxa"/>
            <w:vMerge w:val="continue"/>
            <w:tcBorders>
              <w:top w:val="nil"/>
              <w:bottom w:val="nil"/>
            </w:tcBorders>
            <w:vAlign w:val="top"/>
          </w:tcPr>
          <w:p>
            <w:pPr>
              <w:rPr>
                <w:rFonts w:ascii="Arial"/>
                <w:sz w:val="21"/>
              </w:rPr>
            </w:pPr>
          </w:p>
        </w:tc>
        <w:tc>
          <w:tcPr>
            <w:tcW w:w="1451" w:type="dxa"/>
            <w:vAlign w:val="top"/>
          </w:tcPr>
          <w:p>
            <w:pPr>
              <w:pStyle w:val="6"/>
              <w:spacing w:before="86" w:line="175" w:lineRule="auto"/>
              <w:ind w:left="491"/>
            </w:pPr>
            <w:r>
              <w:rPr>
                <w:spacing w:val="-2"/>
              </w:rPr>
              <w:t>915.7</w:t>
            </w:r>
          </w:p>
        </w:tc>
        <w:tc>
          <w:tcPr>
            <w:tcW w:w="1451" w:type="dxa"/>
            <w:vAlign w:val="top"/>
          </w:tcPr>
          <w:p>
            <w:pPr>
              <w:rPr>
                <w:rFonts w:ascii="Arial"/>
                <w:sz w:val="21"/>
              </w:rPr>
            </w:pPr>
          </w:p>
        </w:tc>
        <w:tc>
          <w:tcPr>
            <w:tcW w:w="1451" w:type="dxa"/>
            <w:vAlign w:val="top"/>
          </w:tcPr>
          <w:p>
            <w:pPr>
              <w:pStyle w:val="6"/>
              <w:spacing w:before="86" w:line="175" w:lineRule="auto"/>
              <w:ind w:left="487"/>
            </w:pPr>
            <w:r>
              <w:rPr>
                <w:spacing w:val="-1"/>
              </w:rPr>
              <w:t>277.9</w:t>
            </w:r>
          </w:p>
        </w:tc>
        <w:tc>
          <w:tcPr>
            <w:tcW w:w="1453" w:type="dxa"/>
            <w:tcBorders>
              <w:right w:val="nil"/>
            </w:tcBorders>
            <w:vAlign w:val="top"/>
          </w:tcPr>
          <w:p>
            <w:pPr>
              <w:pStyle w:val="6"/>
              <w:spacing w:before="86" w:line="175" w:lineRule="auto"/>
              <w:ind w:left="460"/>
            </w:pPr>
            <w:r>
              <w:rPr>
                <w:spacing w:val="-6"/>
              </w:rPr>
              <w:t>1193.6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6" w:hRule="atLeast"/>
        </w:trPr>
        <w:tc>
          <w:tcPr>
            <w:tcW w:w="1850" w:type="dxa"/>
            <w:tcBorders>
              <w:left w:val="nil"/>
              <w:bottom w:val="single" w:color="000000" w:sz="12" w:space="0"/>
            </w:tcBorders>
            <w:vAlign w:val="top"/>
          </w:tcPr>
          <w:p>
            <w:pPr>
              <w:spacing w:before="55" w:line="203" w:lineRule="auto"/>
              <w:ind w:left="734"/>
              <w:rPr>
                <w:rFonts w:ascii="仿宋" w:hAnsi="仿宋" w:eastAsia="仿宋" w:cs="仿宋"/>
                <w:sz w:val="21"/>
                <w:szCs w:val="21"/>
              </w:rPr>
            </w:pPr>
            <w:r>
              <w:rPr>
                <w:rFonts w:ascii="仿宋" w:hAnsi="仿宋" w:eastAsia="仿宋" w:cs="仿宋"/>
                <w:spacing w:val="-5"/>
                <w:sz w:val="21"/>
                <w:szCs w:val="21"/>
              </w:rPr>
              <w:t>合计</w:t>
            </w:r>
          </w:p>
        </w:tc>
        <w:tc>
          <w:tcPr>
            <w:tcW w:w="1302" w:type="dxa"/>
            <w:vMerge w:val="continue"/>
            <w:tcBorders>
              <w:top w:val="nil"/>
              <w:bottom w:val="single" w:color="000000" w:sz="12" w:space="0"/>
            </w:tcBorders>
            <w:vAlign w:val="top"/>
          </w:tcPr>
          <w:p>
            <w:pPr>
              <w:rPr>
                <w:rFonts w:ascii="Arial"/>
                <w:sz w:val="21"/>
              </w:rPr>
            </w:pPr>
          </w:p>
        </w:tc>
        <w:tc>
          <w:tcPr>
            <w:tcW w:w="1451" w:type="dxa"/>
            <w:tcBorders>
              <w:bottom w:val="single" w:color="000000" w:sz="12" w:space="0"/>
            </w:tcBorders>
            <w:vAlign w:val="top"/>
          </w:tcPr>
          <w:p>
            <w:pPr>
              <w:pStyle w:val="6"/>
              <w:spacing w:before="91" w:line="188" w:lineRule="auto"/>
              <w:ind w:left="491"/>
            </w:pPr>
            <w:r>
              <w:rPr>
                <w:spacing w:val="-2"/>
              </w:rPr>
              <w:t>915.7</w:t>
            </w:r>
          </w:p>
        </w:tc>
        <w:tc>
          <w:tcPr>
            <w:tcW w:w="1451" w:type="dxa"/>
            <w:tcBorders>
              <w:bottom w:val="single" w:color="000000" w:sz="12" w:space="0"/>
            </w:tcBorders>
            <w:vAlign w:val="top"/>
          </w:tcPr>
          <w:p>
            <w:pPr>
              <w:pStyle w:val="6"/>
              <w:spacing w:before="91" w:line="188" w:lineRule="auto"/>
              <w:ind w:left="545"/>
            </w:pPr>
            <w:r>
              <w:rPr>
                <w:spacing w:val="-2"/>
              </w:rPr>
              <w:t>64.4</w:t>
            </w:r>
          </w:p>
        </w:tc>
        <w:tc>
          <w:tcPr>
            <w:tcW w:w="1451" w:type="dxa"/>
            <w:tcBorders>
              <w:bottom w:val="single" w:color="000000" w:sz="12" w:space="0"/>
            </w:tcBorders>
            <w:vAlign w:val="top"/>
          </w:tcPr>
          <w:p>
            <w:pPr>
              <w:pStyle w:val="6"/>
              <w:spacing w:before="91" w:line="188" w:lineRule="auto"/>
              <w:ind w:left="486"/>
            </w:pPr>
            <w:r>
              <w:rPr>
                <w:spacing w:val="-1"/>
              </w:rPr>
              <w:t>467.5</w:t>
            </w:r>
          </w:p>
        </w:tc>
        <w:tc>
          <w:tcPr>
            <w:tcW w:w="1453" w:type="dxa"/>
            <w:tcBorders>
              <w:bottom w:val="single" w:color="000000" w:sz="12" w:space="0"/>
              <w:right w:val="nil"/>
            </w:tcBorders>
            <w:vAlign w:val="top"/>
          </w:tcPr>
          <w:p>
            <w:pPr>
              <w:pStyle w:val="6"/>
              <w:spacing w:before="91" w:line="188" w:lineRule="auto"/>
              <w:ind w:left="457"/>
            </w:pPr>
            <w:r>
              <w:rPr>
                <w:spacing w:val="-4"/>
              </w:rPr>
              <w:t>1447.6</w:t>
            </w:r>
          </w:p>
        </w:tc>
      </w:tr>
    </w:tbl>
    <w:p>
      <w:pPr>
        <w:spacing w:before="36" w:line="220" w:lineRule="auto"/>
        <w:ind w:left="526"/>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）工业用水</w:t>
      </w:r>
    </w:p>
    <w:p>
      <w:pPr>
        <w:spacing w:before="183" w:line="233" w:lineRule="auto"/>
        <w:ind w:left="519"/>
        <w:rPr>
          <w:rFonts w:ascii="宋体" w:hAnsi="宋体" w:eastAsia="宋体" w:cs="宋体"/>
          <w:sz w:val="24"/>
          <w:szCs w:val="24"/>
        </w:rPr>
      </w:pPr>
      <w:r>
        <w:rPr>
          <w:rFonts w:ascii="宋体" w:hAnsi="宋体" w:eastAsia="宋体" w:cs="宋体"/>
          <w:spacing w:val="-7"/>
          <w:sz w:val="24"/>
          <w:szCs w:val="24"/>
        </w:rPr>
        <w:t>根据可研，</w:t>
      </w:r>
      <w:r>
        <w:rPr>
          <w:rFonts w:ascii="宋体" w:hAnsi="宋体" w:eastAsia="宋体" w:cs="宋体"/>
          <w:spacing w:val="33"/>
          <w:sz w:val="24"/>
          <w:szCs w:val="24"/>
        </w:rPr>
        <w:t xml:space="preserve"> </w:t>
      </w:r>
      <w:r>
        <w:rPr>
          <w:rFonts w:ascii="宋体" w:hAnsi="宋体" w:eastAsia="宋体" w:cs="宋体"/>
          <w:spacing w:val="-7"/>
          <w:sz w:val="24"/>
          <w:szCs w:val="24"/>
        </w:rPr>
        <w:t>规划水平年</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2030 </w:t>
      </w:r>
      <w:r>
        <w:rPr>
          <w:rFonts w:ascii="宋体" w:hAnsi="宋体" w:eastAsia="宋体" w:cs="宋体"/>
          <w:spacing w:val="-7"/>
          <w:sz w:val="24"/>
          <w:szCs w:val="24"/>
        </w:rPr>
        <w:t>年工业用水为</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1132.7</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8"/>
          <w:sz w:val="15"/>
          <w:szCs w:val="15"/>
        </w:rPr>
        <w:t>3</w:t>
      </w:r>
      <w:r>
        <w:rPr>
          <w:rFonts w:ascii="宋体" w:hAnsi="宋体" w:eastAsia="宋体" w:cs="宋体"/>
          <w:spacing w:val="-7"/>
          <w:sz w:val="24"/>
          <w:szCs w:val="24"/>
        </w:rPr>
        <w:t>。</w:t>
      </w:r>
    </w:p>
    <w:p>
      <w:pPr>
        <w:spacing w:line="233" w:lineRule="auto"/>
        <w:rPr>
          <w:rFonts w:ascii="宋体" w:hAnsi="宋体" w:eastAsia="宋体" w:cs="宋体"/>
          <w:sz w:val="24"/>
          <w:szCs w:val="24"/>
        </w:rPr>
        <w:sectPr>
          <w:headerReference r:id="rId131" w:type="default"/>
          <w:footerReference r:id="rId132" w:type="default"/>
          <w:pgSz w:w="11907" w:h="16839"/>
          <w:pgMar w:top="1298" w:right="1387" w:bottom="1372" w:left="1501" w:header="1023" w:footer="1210" w:gutter="0"/>
        </w:sectPr>
      </w:pPr>
    </w:p>
    <w:p>
      <w:pPr>
        <w:spacing w:line="442" w:lineRule="auto"/>
        <w:rPr>
          <w:rFonts w:ascii="Arial"/>
          <w:sz w:val="21"/>
        </w:rPr>
      </w:pPr>
    </w:p>
    <w:p>
      <w:pPr>
        <w:spacing w:before="68" w:line="233" w:lineRule="auto"/>
        <w:ind w:left="2111"/>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46"/>
          <w:sz w:val="21"/>
          <w:szCs w:val="21"/>
        </w:rPr>
        <w:t xml:space="preserve"> </w:t>
      </w:r>
      <w:r>
        <w:rPr>
          <w:rFonts w:ascii="Times New Roman" w:hAnsi="Times New Roman" w:eastAsia="Times New Roman" w:cs="Times New Roman"/>
          <w:b/>
          <w:bCs/>
          <w:sz w:val="21"/>
          <w:szCs w:val="21"/>
        </w:rPr>
        <w:t xml:space="preserve">2.3-14    </w:t>
      </w:r>
      <w:r>
        <w:rPr>
          <w:rFonts w:ascii="宋体" w:hAnsi="宋体" w:eastAsia="宋体" w:cs="宋体"/>
          <w:sz w:val="21"/>
          <w:szCs w:val="21"/>
          <w14:textOutline w14:w="3810" w14:cap="flat" w14:cmpd="sng">
            <w14:solidFill>
              <w14:srgbClr w14:val="000000"/>
            </w14:solidFill>
            <w14:prstDash w14:val="solid"/>
            <w14:miter w14:val="0"/>
          </w14:textOutline>
        </w:rPr>
        <w:t>桂花水库灌区不同水平年工业需水预测成果表</w:t>
      </w:r>
    </w:p>
    <w:p>
      <w:pPr>
        <w:spacing w:line="111" w:lineRule="exact"/>
      </w:pPr>
    </w:p>
    <w:tbl>
      <w:tblPr>
        <w:tblStyle w:val="5"/>
        <w:tblW w:w="8958"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3"/>
        <w:gridCol w:w="899"/>
        <w:gridCol w:w="1137"/>
        <w:gridCol w:w="1135"/>
        <w:gridCol w:w="1373"/>
        <w:gridCol w:w="1007"/>
        <w:gridCol w:w="1007"/>
        <w:gridCol w:w="1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4" w:hRule="atLeast"/>
        </w:trPr>
        <w:tc>
          <w:tcPr>
            <w:tcW w:w="1393" w:type="dxa"/>
            <w:tcBorders>
              <w:top w:val="single" w:color="000000" w:sz="12" w:space="0"/>
              <w:left w:val="nil"/>
            </w:tcBorders>
            <w:vAlign w:val="top"/>
          </w:tcPr>
          <w:p>
            <w:pPr>
              <w:spacing w:before="303" w:line="218" w:lineRule="auto"/>
              <w:ind w:left="503"/>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灌片</w:t>
            </w:r>
          </w:p>
        </w:tc>
        <w:tc>
          <w:tcPr>
            <w:tcW w:w="899" w:type="dxa"/>
            <w:tcBorders>
              <w:top w:val="single" w:color="000000" w:sz="12" w:space="0"/>
            </w:tcBorders>
            <w:vAlign w:val="top"/>
          </w:tcPr>
          <w:p>
            <w:pPr>
              <w:spacing w:before="303" w:line="218" w:lineRule="auto"/>
              <w:ind w:left="14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水平年</w:t>
            </w:r>
          </w:p>
        </w:tc>
        <w:tc>
          <w:tcPr>
            <w:tcW w:w="1137" w:type="dxa"/>
            <w:tcBorders>
              <w:top w:val="single" w:color="000000" w:sz="12" w:space="0"/>
            </w:tcBorders>
            <w:vAlign w:val="top"/>
          </w:tcPr>
          <w:p>
            <w:pPr>
              <w:spacing w:before="165" w:line="231" w:lineRule="auto"/>
              <w:ind w:left="155" w:right="141" w:firstLine="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工业产值</w:t>
            </w:r>
            <w:r>
              <w:rPr>
                <w:rFonts w:ascii="仿宋" w:hAnsi="仿宋" w:eastAsia="仿宋" w:cs="仿宋"/>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（万元）</w:t>
            </w:r>
          </w:p>
        </w:tc>
        <w:tc>
          <w:tcPr>
            <w:tcW w:w="1135" w:type="dxa"/>
            <w:tcBorders>
              <w:top w:val="single" w:color="000000" w:sz="12" w:space="0"/>
            </w:tcBorders>
            <w:vAlign w:val="top"/>
          </w:tcPr>
          <w:p>
            <w:pPr>
              <w:pStyle w:val="6"/>
              <w:spacing w:before="167" w:line="227" w:lineRule="auto"/>
              <w:ind w:left="189" w:right="139" w:hanging="29"/>
            </w:pPr>
            <w:r>
              <w:rPr>
                <w:rFonts w:ascii="仿宋" w:hAnsi="仿宋" w:eastAsia="仿宋" w:cs="仿宋"/>
                <w:spacing w:val="-4"/>
                <w14:textOutline w14:w="3810" w14:cap="flat" w14:cmpd="sng">
                  <w14:solidFill>
                    <w14:srgbClr w14:val="000000"/>
                  </w14:solidFill>
                  <w14:prstDash w14:val="solid"/>
                  <w14:miter w14:val="0"/>
                </w14:textOutline>
              </w:rPr>
              <w:t>工业增加</w:t>
            </w:r>
            <w:r>
              <w:rPr>
                <w:rFonts w:ascii="仿宋" w:hAnsi="仿宋" w:eastAsia="仿宋" w:cs="仿宋"/>
              </w:rPr>
              <w:t xml:space="preserve"> </w:t>
            </w:r>
            <w:r>
              <w:rPr>
                <w:rFonts w:ascii="仿宋" w:hAnsi="仿宋" w:eastAsia="仿宋" w:cs="仿宋"/>
                <w:spacing w:val="-2"/>
                <w14:textOutline w14:w="3810" w14:cap="flat" w14:cmpd="sng">
                  <w14:solidFill>
                    <w14:srgbClr w14:val="000000"/>
                  </w14:solidFill>
                  <w14:prstDash w14:val="solid"/>
                  <w14:miter w14:val="0"/>
                </w14:textOutline>
              </w:rPr>
              <w:t>值</w:t>
            </w:r>
            <w:r>
              <w:rPr>
                <w:b/>
                <w:bCs/>
                <w:spacing w:val="-2"/>
              </w:rPr>
              <w:t>(</w:t>
            </w:r>
            <w:r>
              <w:rPr>
                <w:rFonts w:ascii="仿宋" w:hAnsi="仿宋" w:eastAsia="仿宋" w:cs="仿宋"/>
                <w:spacing w:val="-2"/>
                <w14:textOutline w14:w="3810" w14:cap="flat" w14:cmpd="sng">
                  <w14:solidFill>
                    <w14:srgbClr w14:val="000000"/>
                  </w14:solidFill>
                  <w14:prstDash w14:val="solid"/>
                  <w14:miter w14:val="0"/>
                </w14:textOutline>
              </w:rPr>
              <w:t>万元</w:t>
            </w:r>
            <w:r>
              <w:rPr>
                <w:b/>
                <w:bCs/>
                <w:spacing w:val="-2"/>
              </w:rPr>
              <w:t>)</w:t>
            </w:r>
          </w:p>
        </w:tc>
        <w:tc>
          <w:tcPr>
            <w:tcW w:w="1373" w:type="dxa"/>
            <w:tcBorders>
              <w:top w:val="single" w:color="000000" w:sz="12" w:space="0"/>
            </w:tcBorders>
            <w:vAlign w:val="top"/>
          </w:tcPr>
          <w:p>
            <w:pPr>
              <w:pStyle w:val="6"/>
              <w:spacing w:before="29" w:line="227" w:lineRule="auto"/>
              <w:ind w:left="156" w:right="143" w:firstLine="13"/>
              <w:jc w:val="both"/>
            </w:pPr>
            <w:r>
              <w:rPr>
                <w:rFonts w:ascii="仿宋" w:hAnsi="仿宋" w:eastAsia="仿宋" w:cs="仿宋"/>
                <w:spacing w:val="-3"/>
                <w14:textOutline w14:w="3810" w14:cap="flat" w14:cmpd="sng">
                  <w14:solidFill>
                    <w14:srgbClr w14:val="000000"/>
                  </w14:solidFill>
                  <w14:prstDash w14:val="solid"/>
                  <w14:miter w14:val="0"/>
                </w14:textOutline>
              </w:rPr>
              <w:t>万元工业增</w:t>
            </w:r>
            <w:r>
              <w:rPr>
                <w:rFonts w:ascii="仿宋" w:hAnsi="仿宋" w:eastAsia="仿宋" w:cs="仿宋"/>
                <w:spacing w:val="1"/>
              </w:rPr>
              <w:t xml:space="preserve"> </w:t>
            </w:r>
            <w:r>
              <w:rPr>
                <w:rFonts w:ascii="仿宋" w:hAnsi="仿宋" w:eastAsia="仿宋" w:cs="仿宋"/>
                <w14:textOutline w14:w="3810" w14:cap="flat" w14:cmpd="sng">
                  <w14:solidFill>
                    <w14:srgbClr w14:val="000000"/>
                  </w14:solidFill>
                  <w14:prstDash w14:val="solid"/>
                  <w14:miter w14:val="0"/>
                </w14:textOutline>
              </w:rPr>
              <w:t>加值用水定</w:t>
            </w:r>
            <w:r>
              <w:rPr>
                <w:rFonts w:ascii="仿宋" w:hAnsi="仿宋" w:eastAsia="仿宋" w:cs="仿宋"/>
              </w:rPr>
              <w:t xml:space="preserve"> </w:t>
            </w:r>
            <w:r>
              <w:rPr>
                <w:rFonts w:ascii="仿宋" w:hAnsi="仿宋" w:eastAsia="仿宋" w:cs="仿宋"/>
                <w:spacing w:val="-2"/>
                <w14:textOutline w14:w="3810" w14:cap="flat" w14:cmpd="sng">
                  <w14:solidFill>
                    <w14:srgbClr w14:val="000000"/>
                  </w14:solidFill>
                  <w14:prstDash w14:val="solid"/>
                  <w14:miter w14:val="0"/>
                </w14:textOutline>
              </w:rPr>
              <w:t>额</w:t>
            </w:r>
            <w:r>
              <w:rPr>
                <w:b/>
                <w:bCs/>
                <w:spacing w:val="-2"/>
              </w:rPr>
              <w:t>(m</w:t>
            </w:r>
            <w:r>
              <w:rPr>
                <w:b/>
                <w:bCs/>
                <w:spacing w:val="-2"/>
                <w:position w:val="6"/>
                <w:sz w:val="14"/>
                <w:szCs w:val="14"/>
              </w:rPr>
              <w:t>3</w:t>
            </w:r>
            <w:r>
              <w:rPr>
                <w:b/>
                <w:bCs/>
                <w:spacing w:val="-2"/>
              </w:rPr>
              <w:t>/</w:t>
            </w:r>
            <w:r>
              <w:rPr>
                <w:rFonts w:ascii="仿宋" w:hAnsi="仿宋" w:eastAsia="仿宋" w:cs="仿宋"/>
                <w:spacing w:val="-2"/>
                <w14:textOutline w14:w="3810" w14:cap="flat" w14:cmpd="sng">
                  <w14:solidFill>
                    <w14:srgbClr w14:val="000000"/>
                  </w14:solidFill>
                  <w14:prstDash w14:val="solid"/>
                  <w14:miter w14:val="0"/>
                </w14:textOutline>
              </w:rPr>
              <w:t>万元</w:t>
            </w:r>
            <w:r>
              <w:rPr>
                <w:b/>
                <w:bCs/>
                <w:spacing w:val="-2"/>
              </w:rPr>
              <w:t>)</w:t>
            </w:r>
          </w:p>
        </w:tc>
        <w:tc>
          <w:tcPr>
            <w:tcW w:w="1007" w:type="dxa"/>
            <w:tcBorders>
              <w:top w:val="single" w:color="000000" w:sz="12" w:space="0"/>
            </w:tcBorders>
            <w:vAlign w:val="top"/>
          </w:tcPr>
          <w:p>
            <w:pPr>
              <w:spacing w:before="46" w:line="218" w:lineRule="auto"/>
              <w:ind w:left="19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净需水</w:t>
            </w:r>
          </w:p>
          <w:p>
            <w:pPr>
              <w:pStyle w:val="6"/>
              <w:spacing w:before="24" w:line="215" w:lineRule="auto"/>
              <w:ind w:left="269"/>
              <w:rPr>
                <w:rFonts w:ascii="仿宋" w:hAnsi="仿宋" w:eastAsia="仿宋" w:cs="仿宋"/>
              </w:rPr>
            </w:pPr>
            <w:r>
              <w:rPr>
                <w:rFonts w:ascii="仿宋" w:hAnsi="仿宋" w:eastAsia="仿宋" w:cs="仿宋"/>
                <w:spacing w:val="-6"/>
                <w14:textOutline w14:w="3810" w14:cap="flat" w14:cmpd="sng">
                  <w14:solidFill>
                    <w14:srgbClr w14:val="000000"/>
                  </w14:solidFill>
                  <w14:prstDash w14:val="solid"/>
                  <w14:miter w14:val="0"/>
                </w14:textOutline>
              </w:rPr>
              <w:t>量</w:t>
            </w:r>
            <w:r>
              <w:rPr>
                <w:b/>
                <w:bCs/>
                <w:spacing w:val="-6"/>
              </w:rPr>
              <w:t>(</w:t>
            </w:r>
            <w:r>
              <w:rPr>
                <w:rFonts w:ascii="仿宋" w:hAnsi="仿宋" w:eastAsia="仿宋" w:cs="仿宋"/>
                <w:spacing w:val="-6"/>
                <w14:textOutline w14:w="3810" w14:cap="flat" w14:cmpd="sng">
                  <w14:solidFill>
                    <w14:srgbClr w14:val="000000"/>
                  </w14:solidFill>
                  <w14:prstDash w14:val="solid"/>
                  <w14:miter w14:val="0"/>
                </w14:textOutline>
              </w:rPr>
              <w:t>万</w:t>
            </w:r>
          </w:p>
          <w:p>
            <w:pPr>
              <w:pStyle w:val="6"/>
              <w:spacing w:before="27" w:line="212" w:lineRule="auto"/>
              <w:ind w:left="348"/>
            </w:pPr>
            <w:r>
              <w:rPr>
                <w:b/>
                <w:bCs/>
                <w:spacing w:val="-3"/>
              </w:rPr>
              <w:t>m</w:t>
            </w:r>
            <w:r>
              <w:rPr>
                <w:b/>
                <w:bCs/>
                <w:spacing w:val="-3"/>
                <w:position w:val="6"/>
                <w:sz w:val="14"/>
                <w:szCs w:val="14"/>
              </w:rPr>
              <w:t>3</w:t>
            </w:r>
            <w:r>
              <w:rPr>
                <w:b/>
                <w:bCs/>
                <w:spacing w:val="-3"/>
              </w:rPr>
              <w:t>)</w:t>
            </w:r>
          </w:p>
        </w:tc>
        <w:tc>
          <w:tcPr>
            <w:tcW w:w="1007" w:type="dxa"/>
            <w:tcBorders>
              <w:top w:val="single" w:color="000000" w:sz="12" w:space="0"/>
            </w:tcBorders>
            <w:vAlign w:val="top"/>
          </w:tcPr>
          <w:p>
            <w:pPr>
              <w:spacing w:before="45" w:line="220" w:lineRule="auto"/>
              <w:ind w:left="19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入厂输</w:t>
            </w:r>
          </w:p>
          <w:p>
            <w:pPr>
              <w:spacing w:before="22" w:line="219" w:lineRule="auto"/>
              <w:ind w:left="19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水损失</w:t>
            </w:r>
          </w:p>
          <w:p>
            <w:pPr>
              <w:pStyle w:val="6"/>
              <w:spacing w:before="46" w:line="189" w:lineRule="auto"/>
              <w:ind w:left="331"/>
            </w:pPr>
            <w:r>
              <w:rPr>
                <w:b/>
                <w:bCs/>
                <w:spacing w:val="-3"/>
              </w:rPr>
              <w:t>(%)</w:t>
            </w:r>
          </w:p>
        </w:tc>
        <w:tc>
          <w:tcPr>
            <w:tcW w:w="1007" w:type="dxa"/>
            <w:tcBorders>
              <w:top w:val="single" w:color="000000" w:sz="12" w:space="0"/>
              <w:right w:val="nil"/>
            </w:tcBorders>
            <w:vAlign w:val="top"/>
          </w:tcPr>
          <w:p>
            <w:pPr>
              <w:pStyle w:val="6"/>
              <w:spacing w:before="29" w:line="227" w:lineRule="auto"/>
              <w:ind w:left="182" w:right="178" w:firstLine="22"/>
              <w:jc w:val="both"/>
            </w:pPr>
            <w:r>
              <w:rPr>
                <w:rFonts w:ascii="仿宋" w:hAnsi="仿宋" w:eastAsia="仿宋" w:cs="仿宋"/>
                <w:spacing w:val="-7"/>
                <w14:textOutline w14:w="3810" w14:cap="flat" w14:cmpd="sng">
                  <w14:solidFill>
                    <w14:srgbClr w14:val="000000"/>
                  </w14:solidFill>
                  <w14:prstDash w14:val="solid"/>
                  <w14:miter w14:val="0"/>
                </w14:textOutline>
              </w:rPr>
              <w:t>总需水</w:t>
            </w:r>
            <w:r>
              <w:rPr>
                <w:rFonts w:ascii="仿宋" w:hAnsi="仿宋" w:eastAsia="仿宋" w:cs="仿宋"/>
              </w:rPr>
              <w:t xml:space="preserve"> </w:t>
            </w:r>
            <w:r>
              <w:rPr>
                <w:rFonts w:ascii="仿宋" w:hAnsi="仿宋" w:eastAsia="仿宋" w:cs="仿宋"/>
                <w14:textOutline w14:w="3810" w14:cap="flat" w14:cmpd="sng">
                  <w14:solidFill>
                    <w14:srgbClr w14:val="000000"/>
                  </w14:solidFill>
                  <w14:prstDash w14:val="solid"/>
                  <w14:miter w14:val="0"/>
                </w14:textOutline>
              </w:rPr>
              <w:t>量合计</w:t>
            </w:r>
            <w:r>
              <w:rPr>
                <w:rFonts w:ascii="仿宋" w:hAnsi="仿宋" w:eastAsia="仿宋" w:cs="仿宋"/>
                <w:spacing w:val="1"/>
              </w:rPr>
              <w:t xml:space="preserve"> </w:t>
            </w:r>
            <w:r>
              <w:rPr>
                <w:b/>
                <w:bCs/>
                <w:spacing w:val="-4"/>
              </w:rPr>
              <w:t>(</w:t>
            </w:r>
            <w:r>
              <w:rPr>
                <w:rFonts w:ascii="仿宋" w:hAnsi="仿宋" w:eastAsia="仿宋" w:cs="仿宋"/>
                <w:spacing w:val="-4"/>
                <w14:textOutline w14:w="3810" w14:cap="flat" w14:cmpd="sng">
                  <w14:solidFill>
                    <w14:srgbClr w14:val="000000"/>
                  </w14:solidFill>
                  <w14:prstDash w14:val="solid"/>
                  <w14:miter w14:val="0"/>
                </w14:textOutline>
              </w:rPr>
              <w:t>万</w:t>
            </w:r>
            <w:r>
              <w:rPr>
                <w:rFonts w:ascii="仿宋" w:hAnsi="仿宋" w:eastAsia="仿宋" w:cs="仿宋"/>
                <w:spacing w:val="-40"/>
              </w:rPr>
              <w:t xml:space="preserve"> </w:t>
            </w:r>
            <w:r>
              <w:rPr>
                <w:b/>
                <w:bCs/>
                <w:spacing w:val="-4"/>
              </w:rPr>
              <w:t>m</w:t>
            </w:r>
            <w:r>
              <w:rPr>
                <w:b/>
                <w:bCs/>
                <w:spacing w:val="-4"/>
                <w:position w:val="6"/>
                <w:sz w:val="14"/>
                <w:szCs w:val="14"/>
              </w:rPr>
              <w:t>3</w:t>
            </w:r>
            <w:r>
              <w:rPr>
                <w:b/>
                <w:bCs/>
                <w:spacing w:val="-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393" w:type="dxa"/>
            <w:tcBorders>
              <w:left w:val="nil"/>
            </w:tcBorders>
            <w:vAlign w:val="top"/>
          </w:tcPr>
          <w:p>
            <w:pPr>
              <w:spacing w:before="38" w:line="197" w:lineRule="auto"/>
              <w:ind w:left="290"/>
              <w:rPr>
                <w:rFonts w:ascii="仿宋" w:hAnsi="仿宋" w:eastAsia="仿宋" w:cs="仿宋"/>
                <w:sz w:val="21"/>
                <w:szCs w:val="21"/>
              </w:rPr>
            </w:pPr>
            <w:r>
              <w:rPr>
                <w:rFonts w:ascii="仿宋" w:hAnsi="仿宋" w:eastAsia="仿宋" w:cs="仿宋"/>
                <w:spacing w:val="-3"/>
                <w:sz w:val="21"/>
                <w:szCs w:val="21"/>
              </w:rPr>
              <w:t>桂花灌片</w:t>
            </w:r>
          </w:p>
        </w:tc>
        <w:tc>
          <w:tcPr>
            <w:tcW w:w="899" w:type="dxa"/>
            <w:vMerge w:val="restart"/>
            <w:tcBorders>
              <w:bottom w:val="nil"/>
            </w:tcBorders>
            <w:vAlign w:val="top"/>
          </w:tcPr>
          <w:p>
            <w:pPr>
              <w:spacing w:line="271" w:lineRule="auto"/>
              <w:rPr>
                <w:rFonts w:ascii="Arial"/>
                <w:sz w:val="21"/>
              </w:rPr>
            </w:pPr>
          </w:p>
          <w:p>
            <w:pPr>
              <w:spacing w:line="271" w:lineRule="auto"/>
              <w:rPr>
                <w:rFonts w:ascii="Arial"/>
                <w:sz w:val="21"/>
              </w:rPr>
            </w:pPr>
          </w:p>
          <w:p>
            <w:pPr>
              <w:pStyle w:val="6"/>
              <w:spacing w:before="68" w:line="218" w:lineRule="auto"/>
              <w:ind w:left="108"/>
              <w:rPr>
                <w:rFonts w:ascii="仿宋" w:hAnsi="仿宋" w:eastAsia="仿宋" w:cs="仿宋"/>
              </w:rPr>
            </w:pPr>
            <w:r>
              <w:rPr>
                <w:spacing w:val="-1"/>
              </w:rPr>
              <w:t>2030</w:t>
            </w:r>
            <w:r>
              <w:rPr>
                <w:spacing w:val="19"/>
                <w:w w:val="101"/>
              </w:rPr>
              <w:t xml:space="preserve"> </w:t>
            </w:r>
            <w:r>
              <w:rPr>
                <w:rFonts w:ascii="仿宋" w:hAnsi="仿宋" w:eastAsia="仿宋" w:cs="仿宋"/>
                <w:spacing w:val="-1"/>
              </w:rPr>
              <w:t>年</w:t>
            </w:r>
          </w:p>
        </w:tc>
        <w:tc>
          <w:tcPr>
            <w:tcW w:w="1137" w:type="dxa"/>
            <w:vAlign w:val="top"/>
          </w:tcPr>
          <w:p>
            <w:pPr>
              <w:pStyle w:val="6"/>
              <w:spacing w:before="74" w:line="187" w:lineRule="auto"/>
              <w:ind w:left="313"/>
            </w:pPr>
            <w:r>
              <w:rPr>
                <w:spacing w:val="-3"/>
              </w:rPr>
              <w:t>89778</w:t>
            </w:r>
          </w:p>
        </w:tc>
        <w:tc>
          <w:tcPr>
            <w:tcW w:w="1135" w:type="dxa"/>
            <w:vAlign w:val="top"/>
          </w:tcPr>
          <w:p>
            <w:pPr>
              <w:pStyle w:val="6"/>
              <w:spacing w:before="74" w:line="187" w:lineRule="auto"/>
              <w:ind w:left="304"/>
            </w:pPr>
            <w:r>
              <w:rPr>
                <w:spacing w:val="-1"/>
              </w:rPr>
              <w:t>21272</w:t>
            </w:r>
          </w:p>
        </w:tc>
        <w:tc>
          <w:tcPr>
            <w:tcW w:w="1373" w:type="dxa"/>
            <w:vAlign w:val="top"/>
          </w:tcPr>
          <w:p>
            <w:pPr>
              <w:pStyle w:val="6"/>
              <w:spacing w:before="74" w:line="187" w:lineRule="auto"/>
              <w:ind w:left="579"/>
            </w:pPr>
            <w:r>
              <w:rPr>
                <w:spacing w:val="-1"/>
              </w:rPr>
              <w:t>43</w:t>
            </w:r>
          </w:p>
        </w:tc>
        <w:tc>
          <w:tcPr>
            <w:tcW w:w="1007" w:type="dxa"/>
            <w:vAlign w:val="top"/>
          </w:tcPr>
          <w:p>
            <w:pPr>
              <w:pStyle w:val="6"/>
              <w:spacing w:before="74" w:line="187" w:lineRule="auto"/>
              <w:ind w:left="322"/>
            </w:pPr>
            <w:r>
              <w:rPr>
                <w:spacing w:val="-2"/>
              </w:rPr>
              <w:t>91.5</w:t>
            </w:r>
          </w:p>
        </w:tc>
        <w:tc>
          <w:tcPr>
            <w:tcW w:w="1007" w:type="dxa"/>
            <w:vAlign w:val="top"/>
          </w:tcPr>
          <w:p>
            <w:pPr>
              <w:pStyle w:val="6"/>
              <w:spacing w:before="74" w:line="187" w:lineRule="auto"/>
              <w:ind w:left="418"/>
            </w:pPr>
            <w:r>
              <w:rPr>
                <w:spacing w:val="-7"/>
              </w:rPr>
              <w:t>10</w:t>
            </w:r>
          </w:p>
        </w:tc>
        <w:tc>
          <w:tcPr>
            <w:tcW w:w="1007" w:type="dxa"/>
            <w:tcBorders>
              <w:right w:val="nil"/>
            </w:tcBorders>
            <w:vAlign w:val="top"/>
          </w:tcPr>
          <w:p>
            <w:pPr>
              <w:pStyle w:val="6"/>
              <w:spacing w:before="74" w:line="187" w:lineRule="auto"/>
              <w:ind w:left="286"/>
            </w:pPr>
            <w:r>
              <w:rPr>
                <w:spacing w:val="-5"/>
              </w:rPr>
              <w:t>100.6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trPr>
        <w:tc>
          <w:tcPr>
            <w:tcW w:w="1393" w:type="dxa"/>
            <w:tcBorders>
              <w:left w:val="nil"/>
            </w:tcBorders>
            <w:vAlign w:val="top"/>
          </w:tcPr>
          <w:p>
            <w:pPr>
              <w:spacing w:before="43" w:line="194" w:lineRule="auto"/>
              <w:ind w:left="291"/>
              <w:rPr>
                <w:rFonts w:ascii="仿宋" w:hAnsi="仿宋" w:eastAsia="仿宋" w:cs="仿宋"/>
                <w:sz w:val="21"/>
                <w:szCs w:val="21"/>
              </w:rPr>
            </w:pPr>
            <w:r>
              <w:rPr>
                <w:rFonts w:ascii="仿宋" w:hAnsi="仿宋" w:eastAsia="仿宋" w:cs="仿宋"/>
                <w:spacing w:val="-3"/>
                <w:sz w:val="21"/>
                <w:szCs w:val="21"/>
              </w:rPr>
              <w:t>六苴灌片</w:t>
            </w:r>
          </w:p>
        </w:tc>
        <w:tc>
          <w:tcPr>
            <w:tcW w:w="899" w:type="dxa"/>
            <w:vMerge w:val="continue"/>
            <w:tcBorders>
              <w:top w:val="nil"/>
              <w:bottom w:val="nil"/>
            </w:tcBorders>
            <w:vAlign w:val="top"/>
          </w:tcPr>
          <w:p>
            <w:pPr>
              <w:rPr>
                <w:rFonts w:ascii="Arial"/>
                <w:sz w:val="21"/>
              </w:rPr>
            </w:pPr>
          </w:p>
        </w:tc>
        <w:tc>
          <w:tcPr>
            <w:tcW w:w="1137" w:type="dxa"/>
            <w:vAlign w:val="top"/>
          </w:tcPr>
          <w:p>
            <w:pPr>
              <w:pStyle w:val="6"/>
              <w:spacing w:before="79" w:line="183" w:lineRule="auto"/>
              <w:ind w:left="253"/>
            </w:pPr>
            <w:r>
              <w:rPr>
                <w:spacing w:val="-1"/>
              </w:rPr>
              <w:t>209484</w:t>
            </w:r>
          </w:p>
        </w:tc>
        <w:tc>
          <w:tcPr>
            <w:tcW w:w="1135" w:type="dxa"/>
            <w:vAlign w:val="top"/>
          </w:tcPr>
          <w:p>
            <w:pPr>
              <w:pStyle w:val="6"/>
              <w:spacing w:before="79" w:line="183" w:lineRule="auto"/>
              <w:ind w:left="303"/>
            </w:pPr>
            <w:r>
              <w:rPr>
                <w:spacing w:val="-1"/>
              </w:rPr>
              <w:t>49636</w:t>
            </w:r>
          </w:p>
        </w:tc>
        <w:tc>
          <w:tcPr>
            <w:tcW w:w="1373" w:type="dxa"/>
            <w:vAlign w:val="top"/>
          </w:tcPr>
          <w:p>
            <w:pPr>
              <w:pStyle w:val="6"/>
              <w:spacing w:before="79" w:line="183" w:lineRule="auto"/>
              <w:ind w:left="579"/>
            </w:pPr>
            <w:r>
              <w:rPr>
                <w:spacing w:val="-1"/>
              </w:rPr>
              <w:t>43</w:t>
            </w:r>
          </w:p>
        </w:tc>
        <w:tc>
          <w:tcPr>
            <w:tcW w:w="1007" w:type="dxa"/>
            <w:vAlign w:val="top"/>
          </w:tcPr>
          <w:p>
            <w:pPr>
              <w:pStyle w:val="6"/>
              <w:spacing w:before="79" w:line="183" w:lineRule="auto"/>
              <w:ind w:left="266"/>
            </w:pPr>
            <w:r>
              <w:rPr>
                <w:spacing w:val="-1"/>
              </w:rPr>
              <w:t>213.4</w:t>
            </w:r>
          </w:p>
        </w:tc>
        <w:tc>
          <w:tcPr>
            <w:tcW w:w="1007" w:type="dxa"/>
            <w:vAlign w:val="top"/>
          </w:tcPr>
          <w:p>
            <w:pPr>
              <w:pStyle w:val="6"/>
              <w:spacing w:before="79" w:line="183" w:lineRule="auto"/>
              <w:ind w:left="418"/>
            </w:pPr>
            <w:r>
              <w:rPr>
                <w:spacing w:val="-7"/>
              </w:rPr>
              <w:t>10</w:t>
            </w:r>
          </w:p>
        </w:tc>
        <w:tc>
          <w:tcPr>
            <w:tcW w:w="1007" w:type="dxa"/>
            <w:tcBorders>
              <w:right w:val="nil"/>
            </w:tcBorders>
            <w:vAlign w:val="top"/>
          </w:tcPr>
          <w:p>
            <w:pPr>
              <w:pStyle w:val="6"/>
              <w:spacing w:before="79" w:line="183" w:lineRule="auto"/>
              <w:ind w:left="266"/>
            </w:pPr>
            <w:r>
              <w:rPr>
                <w:spacing w:val="-1"/>
              </w:rPr>
              <w:t>234.8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393" w:type="dxa"/>
            <w:tcBorders>
              <w:left w:val="nil"/>
            </w:tcBorders>
            <w:vAlign w:val="top"/>
          </w:tcPr>
          <w:p>
            <w:pPr>
              <w:spacing w:before="46" w:line="190" w:lineRule="auto"/>
              <w:ind w:left="289"/>
              <w:rPr>
                <w:rFonts w:ascii="仿宋" w:hAnsi="仿宋" w:eastAsia="仿宋" w:cs="仿宋"/>
                <w:sz w:val="21"/>
                <w:szCs w:val="21"/>
              </w:rPr>
            </w:pPr>
            <w:r>
              <w:rPr>
                <w:rFonts w:ascii="仿宋" w:hAnsi="仿宋" w:eastAsia="仿宋" w:cs="仿宋"/>
                <w:spacing w:val="-3"/>
                <w:sz w:val="21"/>
                <w:szCs w:val="21"/>
              </w:rPr>
              <w:t>新街灌片</w:t>
            </w:r>
          </w:p>
        </w:tc>
        <w:tc>
          <w:tcPr>
            <w:tcW w:w="899" w:type="dxa"/>
            <w:vMerge w:val="continue"/>
            <w:tcBorders>
              <w:top w:val="nil"/>
              <w:bottom w:val="nil"/>
            </w:tcBorders>
            <w:vAlign w:val="top"/>
          </w:tcPr>
          <w:p>
            <w:pPr>
              <w:rPr>
                <w:rFonts w:ascii="Arial"/>
                <w:sz w:val="21"/>
              </w:rPr>
            </w:pPr>
          </w:p>
        </w:tc>
        <w:tc>
          <w:tcPr>
            <w:tcW w:w="1137" w:type="dxa"/>
            <w:vAlign w:val="top"/>
          </w:tcPr>
          <w:p>
            <w:pPr>
              <w:pStyle w:val="6"/>
              <w:spacing w:before="82" w:line="179" w:lineRule="auto"/>
              <w:ind w:left="273"/>
            </w:pPr>
            <w:r>
              <w:rPr>
                <w:spacing w:val="-4"/>
              </w:rPr>
              <w:t>122774</w:t>
            </w:r>
          </w:p>
        </w:tc>
        <w:tc>
          <w:tcPr>
            <w:tcW w:w="1135" w:type="dxa"/>
            <w:vAlign w:val="top"/>
          </w:tcPr>
          <w:p>
            <w:pPr>
              <w:pStyle w:val="6"/>
              <w:spacing w:before="82" w:line="179" w:lineRule="auto"/>
              <w:ind w:left="304"/>
            </w:pPr>
            <w:r>
              <w:rPr>
                <w:spacing w:val="-1"/>
              </w:rPr>
              <w:t>29091</w:t>
            </w:r>
          </w:p>
        </w:tc>
        <w:tc>
          <w:tcPr>
            <w:tcW w:w="1373" w:type="dxa"/>
            <w:vAlign w:val="top"/>
          </w:tcPr>
          <w:p>
            <w:pPr>
              <w:pStyle w:val="6"/>
              <w:spacing w:before="82" w:line="179" w:lineRule="auto"/>
              <w:ind w:left="584"/>
            </w:pPr>
            <w:r>
              <w:rPr>
                <w:spacing w:val="-3"/>
              </w:rPr>
              <w:t>35</w:t>
            </w:r>
          </w:p>
        </w:tc>
        <w:tc>
          <w:tcPr>
            <w:tcW w:w="1007" w:type="dxa"/>
            <w:vAlign w:val="top"/>
          </w:tcPr>
          <w:p>
            <w:pPr>
              <w:pStyle w:val="6"/>
              <w:spacing w:before="82" w:line="179" w:lineRule="auto"/>
              <w:ind w:left="286"/>
            </w:pPr>
            <w:r>
              <w:rPr>
                <w:spacing w:val="-5"/>
              </w:rPr>
              <w:t>101.8</w:t>
            </w:r>
          </w:p>
        </w:tc>
        <w:tc>
          <w:tcPr>
            <w:tcW w:w="1007" w:type="dxa"/>
            <w:vAlign w:val="top"/>
          </w:tcPr>
          <w:p>
            <w:pPr>
              <w:pStyle w:val="6"/>
              <w:spacing w:before="82" w:line="179" w:lineRule="auto"/>
              <w:ind w:left="418"/>
            </w:pPr>
            <w:r>
              <w:rPr>
                <w:spacing w:val="-7"/>
              </w:rPr>
              <w:t>10</w:t>
            </w:r>
          </w:p>
        </w:tc>
        <w:tc>
          <w:tcPr>
            <w:tcW w:w="1007" w:type="dxa"/>
            <w:tcBorders>
              <w:right w:val="nil"/>
            </w:tcBorders>
            <w:vAlign w:val="top"/>
          </w:tcPr>
          <w:p>
            <w:pPr>
              <w:pStyle w:val="6"/>
              <w:spacing w:before="82" w:line="179" w:lineRule="auto"/>
              <w:ind w:left="289"/>
            </w:pPr>
            <w:r>
              <w:rPr>
                <w:spacing w:val="-7"/>
              </w:rPr>
              <w:t>112.0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trPr>
        <w:tc>
          <w:tcPr>
            <w:tcW w:w="1393" w:type="dxa"/>
            <w:tcBorders>
              <w:left w:val="nil"/>
            </w:tcBorders>
            <w:vAlign w:val="top"/>
          </w:tcPr>
          <w:p>
            <w:pPr>
              <w:spacing w:before="51" w:line="187" w:lineRule="auto"/>
              <w:ind w:left="290"/>
              <w:rPr>
                <w:rFonts w:ascii="仿宋" w:hAnsi="仿宋" w:eastAsia="仿宋" w:cs="仿宋"/>
                <w:sz w:val="21"/>
                <w:szCs w:val="21"/>
              </w:rPr>
            </w:pPr>
            <w:r>
              <w:rPr>
                <w:rFonts w:ascii="仿宋" w:hAnsi="仿宋" w:eastAsia="仿宋" w:cs="仿宋"/>
                <w:spacing w:val="-3"/>
                <w:sz w:val="21"/>
                <w:szCs w:val="21"/>
              </w:rPr>
              <w:t>金碧灌片</w:t>
            </w:r>
          </w:p>
        </w:tc>
        <w:tc>
          <w:tcPr>
            <w:tcW w:w="899" w:type="dxa"/>
            <w:vMerge w:val="continue"/>
            <w:tcBorders>
              <w:top w:val="nil"/>
              <w:bottom w:val="nil"/>
            </w:tcBorders>
            <w:vAlign w:val="top"/>
          </w:tcPr>
          <w:p>
            <w:pPr>
              <w:rPr>
                <w:rFonts w:ascii="Arial"/>
                <w:sz w:val="21"/>
              </w:rPr>
            </w:pPr>
          </w:p>
        </w:tc>
        <w:tc>
          <w:tcPr>
            <w:tcW w:w="1137" w:type="dxa"/>
            <w:vAlign w:val="top"/>
          </w:tcPr>
          <w:p>
            <w:pPr>
              <w:pStyle w:val="6"/>
              <w:spacing w:before="87" w:line="175" w:lineRule="auto"/>
              <w:ind w:left="220"/>
            </w:pPr>
            <w:r>
              <w:rPr>
                <w:spacing w:val="-4"/>
              </w:rPr>
              <w:t>1073543</w:t>
            </w:r>
          </w:p>
        </w:tc>
        <w:tc>
          <w:tcPr>
            <w:tcW w:w="1135" w:type="dxa"/>
            <w:vAlign w:val="top"/>
          </w:tcPr>
          <w:p>
            <w:pPr>
              <w:pStyle w:val="6"/>
              <w:spacing w:before="87" w:line="175" w:lineRule="auto"/>
              <w:ind w:left="272"/>
            </w:pPr>
            <w:r>
              <w:rPr>
                <w:spacing w:val="-4"/>
              </w:rPr>
              <w:t>178032</w:t>
            </w:r>
          </w:p>
        </w:tc>
        <w:tc>
          <w:tcPr>
            <w:tcW w:w="1373" w:type="dxa"/>
            <w:vAlign w:val="top"/>
          </w:tcPr>
          <w:p>
            <w:pPr>
              <w:pStyle w:val="6"/>
              <w:spacing w:before="87" w:line="175" w:lineRule="auto"/>
              <w:ind w:left="584"/>
            </w:pPr>
            <w:r>
              <w:rPr>
                <w:spacing w:val="-3"/>
              </w:rPr>
              <w:t>35</w:t>
            </w:r>
          </w:p>
        </w:tc>
        <w:tc>
          <w:tcPr>
            <w:tcW w:w="1007" w:type="dxa"/>
            <w:vAlign w:val="top"/>
          </w:tcPr>
          <w:p>
            <w:pPr>
              <w:pStyle w:val="6"/>
              <w:spacing w:before="87" w:line="175" w:lineRule="auto"/>
              <w:ind w:left="270"/>
            </w:pPr>
            <w:r>
              <w:rPr>
                <w:spacing w:val="-2"/>
              </w:rPr>
              <w:t>623.1</w:t>
            </w:r>
          </w:p>
        </w:tc>
        <w:tc>
          <w:tcPr>
            <w:tcW w:w="1007" w:type="dxa"/>
            <w:vAlign w:val="top"/>
          </w:tcPr>
          <w:p>
            <w:pPr>
              <w:pStyle w:val="6"/>
              <w:spacing w:before="87" w:line="175" w:lineRule="auto"/>
              <w:ind w:left="418"/>
            </w:pPr>
            <w:r>
              <w:rPr>
                <w:spacing w:val="-7"/>
              </w:rPr>
              <w:t>10</w:t>
            </w:r>
          </w:p>
        </w:tc>
        <w:tc>
          <w:tcPr>
            <w:tcW w:w="1007" w:type="dxa"/>
            <w:tcBorders>
              <w:right w:val="nil"/>
            </w:tcBorders>
            <w:vAlign w:val="top"/>
          </w:tcPr>
          <w:p>
            <w:pPr>
              <w:pStyle w:val="6"/>
              <w:spacing w:before="87" w:line="175" w:lineRule="auto"/>
              <w:ind w:left="270"/>
            </w:pPr>
            <w:r>
              <w:rPr>
                <w:spacing w:val="-2"/>
              </w:rPr>
              <w:t>685.3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6" w:hRule="atLeast"/>
        </w:trPr>
        <w:tc>
          <w:tcPr>
            <w:tcW w:w="1393" w:type="dxa"/>
            <w:tcBorders>
              <w:left w:val="nil"/>
              <w:bottom w:val="single" w:color="000000" w:sz="12" w:space="0"/>
            </w:tcBorders>
            <w:vAlign w:val="top"/>
          </w:tcPr>
          <w:p>
            <w:pPr>
              <w:spacing w:before="53" w:line="204" w:lineRule="auto"/>
              <w:ind w:left="506"/>
              <w:rPr>
                <w:rFonts w:ascii="仿宋" w:hAnsi="仿宋" w:eastAsia="仿宋" w:cs="仿宋"/>
                <w:sz w:val="21"/>
                <w:szCs w:val="21"/>
              </w:rPr>
            </w:pPr>
            <w:r>
              <w:rPr>
                <w:rFonts w:ascii="仿宋" w:hAnsi="仿宋" w:eastAsia="仿宋" w:cs="仿宋"/>
                <w:spacing w:val="-5"/>
                <w:sz w:val="21"/>
                <w:szCs w:val="21"/>
              </w:rPr>
              <w:t>合计</w:t>
            </w:r>
          </w:p>
        </w:tc>
        <w:tc>
          <w:tcPr>
            <w:tcW w:w="899" w:type="dxa"/>
            <w:vMerge w:val="continue"/>
            <w:tcBorders>
              <w:top w:val="nil"/>
              <w:bottom w:val="single" w:color="000000" w:sz="12" w:space="0"/>
            </w:tcBorders>
            <w:vAlign w:val="top"/>
          </w:tcPr>
          <w:p>
            <w:pPr>
              <w:rPr>
                <w:rFonts w:ascii="Arial"/>
                <w:sz w:val="21"/>
              </w:rPr>
            </w:pPr>
          </w:p>
        </w:tc>
        <w:tc>
          <w:tcPr>
            <w:tcW w:w="1137" w:type="dxa"/>
            <w:tcBorders>
              <w:bottom w:val="single" w:color="000000" w:sz="12" w:space="0"/>
            </w:tcBorders>
            <w:vAlign w:val="top"/>
          </w:tcPr>
          <w:p>
            <w:pPr>
              <w:pStyle w:val="6"/>
              <w:spacing w:before="90" w:line="188" w:lineRule="auto"/>
              <w:ind w:left="220"/>
            </w:pPr>
            <w:r>
              <w:rPr>
                <w:spacing w:val="-4"/>
              </w:rPr>
              <w:t>1495579</w:t>
            </w:r>
          </w:p>
        </w:tc>
        <w:tc>
          <w:tcPr>
            <w:tcW w:w="1135" w:type="dxa"/>
            <w:tcBorders>
              <w:bottom w:val="single" w:color="000000" w:sz="12" w:space="0"/>
            </w:tcBorders>
            <w:vAlign w:val="top"/>
          </w:tcPr>
          <w:p>
            <w:pPr>
              <w:pStyle w:val="6"/>
              <w:spacing w:before="90" w:line="188" w:lineRule="auto"/>
              <w:ind w:left="252"/>
            </w:pPr>
            <w:r>
              <w:rPr>
                <w:spacing w:val="-1"/>
              </w:rPr>
              <w:t>278031</w:t>
            </w:r>
          </w:p>
        </w:tc>
        <w:tc>
          <w:tcPr>
            <w:tcW w:w="1373" w:type="dxa"/>
            <w:tcBorders>
              <w:bottom w:val="single" w:color="000000" w:sz="12" w:space="0"/>
            </w:tcBorders>
            <w:vAlign w:val="top"/>
          </w:tcPr>
          <w:p>
            <w:pPr>
              <w:rPr>
                <w:rFonts w:ascii="Arial"/>
                <w:sz w:val="21"/>
              </w:rPr>
            </w:pPr>
          </w:p>
        </w:tc>
        <w:tc>
          <w:tcPr>
            <w:tcW w:w="1007" w:type="dxa"/>
            <w:tcBorders>
              <w:bottom w:val="single" w:color="000000" w:sz="12" w:space="0"/>
            </w:tcBorders>
            <w:vAlign w:val="top"/>
          </w:tcPr>
          <w:p>
            <w:pPr>
              <w:pStyle w:val="6"/>
              <w:spacing w:before="90" w:line="188" w:lineRule="auto"/>
              <w:ind w:left="233"/>
            </w:pPr>
            <w:r>
              <w:rPr>
                <w:spacing w:val="-4"/>
              </w:rPr>
              <w:t>1029.8</w:t>
            </w:r>
          </w:p>
        </w:tc>
        <w:tc>
          <w:tcPr>
            <w:tcW w:w="1007" w:type="dxa"/>
            <w:tcBorders>
              <w:bottom w:val="single" w:color="000000" w:sz="12" w:space="0"/>
            </w:tcBorders>
            <w:vAlign w:val="top"/>
          </w:tcPr>
          <w:p>
            <w:pPr>
              <w:rPr>
                <w:rFonts w:ascii="Arial"/>
                <w:sz w:val="21"/>
              </w:rPr>
            </w:pPr>
          </w:p>
        </w:tc>
        <w:tc>
          <w:tcPr>
            <w:tcW w:w="1007" w:type="dxa"/>
            <w:tcBorders>
              <w:bottom w:val="single" w:color="000000" w:sz="12" w:space="0"/>
              <w:right w:val="nil"/>
            </w:tcBorders>
            <w:vAlign w:val="top"/>
          </w:tcPr>
          <w:p>
            <w:pPr>
              <w:pStyle w:val="6"/>
              <w:spacing w:before="90" w:line="188" w:lineRule="auto"/>
              <w:ind w:left="238"/>
            </w:pPr>
            <w:r>
              <w:rPr>
                <w:spacing w:val="-6"/>
              </w:rPr>
              <w:t>1132.7</w:t>
            </w:r>
          </w:p>
        </w:tc>
      </w:tr>
    </w:tbl>
    <w:p>
      <w:pPr>
        <w:spacing w:before="35" w:line="220" w:lineRule="auto"/>
        <w:ind w:left="52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）总需水量</w:t>
      </w:r>
    </w:p>
    <w:p>
      <w:pPr>
        <w:spacing w:before="181" w:line="359" w:lineRule="auto"/>
        <w:ind w:left="45" w:right="80" w:firstLine="475"/>
        <w:rPr>
          <w:rFonts w:ascii="宋体" w:hAnsi="宋体" w:eastAsia="宋体" w:cs="宋体"/>
          <w:sz w:val="24"/>
          <w:szCs w:val="24"/>
        </w:rPr>
      </w:pPr>
      <w:r>
        <w:rPr>
          <w:rFonts w:ascii="宋体" w:hAnsi="宋体" w:eastAsia="宋体" w:cs="宋体"/>
          <w:spacing w:val="-2"/>
          <w:sz w:val="24"/>
          <w:szCs w:val="24"/>
        </w:rPr>
        <w:t>规划水平年</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2030 </w:t>
      </w:r>
      <w:r>
        <w:rPr>
          <w:rFonts w:ascii="宋体" w:hAnsi="宋体" w:eastAsia="宋体" w:cs="宋体"/>
          <w:spacing w:val="-2"/>
          <w:sz w:val="24"/>
          <w:szCs w:val="24"/>
        </w:rPr>
        <w:t>年，桂花水库建成后，桂花水库可新增供水量</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1362.9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2"/>
          <w:position w:val="8"/>
          <w:sz w:val="15"/>
          <w:szCs w:val="15"/>
        </w:rPr>
        <w:t xml:space="preserve"> </w:t>
      </w:r>
      <w:r>
        <w:rPr>
          <w:rFonts w:ascii="宋体" w:hAnsi="宋体" w:eastAsia="宋体" w:cs="宋体"/>
          <w:spacing w:val="-3"/>
          <w:sz w:val="24"/>
          <w:szCs w:val="24"/>
        </w:rPr>
        <w:t>，其</w:t>
      </w:r>
      <w:r>
        <w:rPr>
          <w:rFonts w:ascii="宋体" w:hAnsi="宋体" w:eastAsia="宋体" w:cs="宋体"/>
          <w:sz w:val="24"/>
          <w:szCs w:val="24"/>
        </w:rPr>
        <w:t xml:space="preserve"> </w:t>
      </w:r>
      <w:r>
        <w:rPr>
          <w:rFonts w:ascii="宋体" w:hAnsi="宋体" w:eastAsia="宋体" w:cs="宋体"/>
          <w:spacing w:val="-3"/>
          <w:sz w:val="24"/>
          <w:szCs w:val="24"/>
        </w:rPr>
        <w:t>中农村生活供水量</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91.6</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，可供工业供水量</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57.7</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，农业灌溉供水量</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1213</w:t>
      </w:r>
      <w:r>
        <w:rPr>
          <w:rFonts w:ascii="Times New Roman" w:hAnsi="Times New Roman" w:eastAsia="Times New Roman" w:cs="Times New Roman"/>
          <w:spacing w:val="-4"/>
          <w:sz w:val="24"/>
          <w:szCs w:val="24"/>
        </w:rPr>
        <w:t xml:space="preserve">.6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2"/>
          <w:sz w:val="24"/>
          <w:szCs w:val="24"/>
        </w:rPr>
        <w:t>，设计灌溉面积</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2.60</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万亩（桂花灌片</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0.35</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万亩，者纳么灌片</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0.21</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万亩，六苴灌</w:t>
      </w:r>
    </w:p>
    <w:p>
      <w:pPr>
        <w:spacing w:before="1" w:line="219" w:lineRule="auto"/>
        <w:ind w:left="45"/>
        <w:rPr>
          <w:rFonts w:ascii="宋体" w:hAnsi="宋体" w:eastAsia="宋体" w:cs="宋体"/>
          <w:sz w:val="24"/>
          <w:szCs w:val="24"/>
        </w:rPr>
      </w:pPr>
      <w:r>
        <w:rPr>
          <w:rFonts w:ascii="宋体" w:hAnsi="宋体" w:eastAsia="宋体" w:cs="宋体"/>
          <w:spacing w:val="-11"/>
          <w:sz w:val="24"/>
          <w:szCs w:val="24"/>
        </w:rPr>
        <w:t>片</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0.46</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万亩，金碧灌片</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1.58</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万亩）。</w:t>
      </w:r>
    </w:p>
    <w:p>
      <w:pPr>
        <w:spacing w:before="180" w:line="360" w:lineRule="auto"/>
        <w:ind w:left="41" w:right="107" w:firstLine="496"/>
        <w:rPr>
          <w:rFonts w:ascii="Times New Roman" w:hAnsi="Times New Roman" w:eastAsia="Times New Roman" w:cs="Times New Roman"/>
          <w:sz w:val="24"/>
          <w:szCs w:val="24"/>
        </w:rPr>
      </w:pPr>
      <w:r>
        <w:rPr>
          <w:rFonts w:ascii="宋体" w:hAnsi="宋体" w:eastAsia="宋体" w:cs="宋体"/>
          <w:spacing w:val="-1"/>
          <w:sz w:val="24"/>
          <w:szCs w:val="24"/>
        </w:rPr>
        <w:t>引洪工程取水坝引水、桂花水库补水后经输水工程引水至碧么、大罗古水库调蓄</w:t>
      </w:r>
      <w:r>
        <w:rPr>
          <w:rFonts w:ascii="宋体" w:hAnsi="宋体" w:eastAsia="宋体" w:cs="宋体"/>
          <w:spacing w:val="6"/>
          <w:sz w:val="24"/>
          <w:szCs w:val="24"/>
        </w:rPr>
        <w:t xml:space="preserve"> </w:t>
      </w:r>
      <w:r>
        <w:rPr>
          <w:rFonts w:ascii="宋体" w:hAnsi="宋体" w:eastAsia="宋体" w:cs="宋体"/>
          <w:spacing w:val="-5"/>
          <w:sz w:val="24"/>
          <w:szCs w:val="24"/>
        </w:rPr>
        <w:t>后新增供水量分别为</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38.6</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539.7</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12"/>
          <w:position w:val="8"/>
          <w:sz w:val="15"/>
          <w:szCs w:val="15"/>
        </w:rPr>
        <w:t xml:space="preserve"> </w:t>
      </w:r>
      <w:r>
        <w:rPr>
          <w:rFonts w:ascii="宋体" w:hAnsi="宋体" w:eastAsia="宋体" w:cs="宋体"/>
          <w:spacing w:val="-5"/>
          <w:sz w:val="24"/>
          <w:szCs w:val="24"/>
        </w:rPr>
        <w:t>，新增灌溉面积分别为</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0.08</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 xml:space="preserve">万亩、 </w:t>
      </w:r>
      <w:r>
        <w:rPr>
          <w:rFonts w:ascii="Times New Roman" w:hAnsi="Times New Roman" w:eastAsia="Times New Roman" w:cs="Times New Roman"/>
          <w:spacing w:val="-6"/>
          <w:sz w:val="24"/>
          <w:szCs w:val="24"/>
        </w:rPr>
        <w:t>1.15</w:t>
      </w:r>
    </w:p>
    <w:p>
      <w:pPr>
        <w:spacing w:before="1" w:line="220" w:lineRule="auto"/>
        <w:ind w:left="45"/>
        <w:rPr>
          <w:rFonts w:ascii="宋体" w:hAnsi="宋体" w:eastAsia="宋体" w:cs="宋体"/>
          <w:sz w:val="24"/>
          <w:szCs w:val="24"/>
        </w:rPr>
      </w:pPr>
      <w:r>
        <w:rPr>
          <w:rFonts w:ascii="宋体" w:hAnsi="宋体" w:eastAsia="宋体" w:cs="宋体"/>
          <w:spacing w:val="-11"/>
          <w:sz w:val="24"/>
          <w:szCs w:val="24"/>
        </w:rPr>
        <w:t>万亩。</w:t>
      </w:r>
    </w:p>
    <w:p>
      <w:pPr>
        <w:spacing w:before="181" w:line="508" w:lineRule="exact"/>
        <w:ind w:left="520"/>
        <w:rPr>
          <w:rFonts w:ascii="Times New Roman" w:hAnsi="Times New Roman" w:eastAsia="Times New Roman" w:cs="Times New Roman"/>
          <w:sz w:val="24"/>
          <w:szCs w:val="24"/>
        </w:rPr>
      </w:pPr>
      <w:r>
        <w:rPr>
          <w:rFonts w:ascii="宋体" w:hAnsi="宋体" w:eastAsia="宋体" w:cs="宋体"/>
          <w:spacing w:val="-3"/>
          <w:position w:val="20"/>
          <w:sz w:val="24"/>
          <w:szCs w:val="24"/>
        </w:rPr>
        <w:t>规划水平年</w:t>
      </w:r>
      <w:r>
        <w:rPr>
          <w:rFonts w:ascii="宋体" w:hAnsi="宋体" w:eastAsia="宋体" w:cs="宋体"/>
          <w:spacing w:val="-40"/>
          <w:position w:val="20"/>
          <w:sz w:val="24"/>
          <w:szCs w:val="24"/>
        </w:rPr>
        <w:t xml:space="preserve"> </w:t>
      </w:r>
      <w:r>
        <w:rPr>
          <w:rFonts w:ascii="Times New Roman" w:hAnsi="Times New Roman" w:eastAsia="Times New Roman" w:cs="Times New Roman"/>
          <w:spacing w:val="-3"/>
          <w:position w:val="20"/>
          <w:sz w:val="24"/>
          <w:szCs w:val="24"/>
        </w:rPr>
        <w:t xml:space="preserve">2030 </w:t>
      </w:r>
      <w:r>
        <w:rPr>
          <w:rFonts w:ascii="宋体" w:hAnsi="宋体" w:eastAsia="宋体" w:cs="宋体"/>
          <w:spacing w:val="-3"/>
          <w:position w:val="20"/>
          <w:sz w:val="24"/>
          <w:szCs w:val="24"/>
        </w:rPr>
        <w:t>年，</w:t>
      </w:r>
      <w:r>
        <w:rPr>
          <w:rFonts w:ascii="宋体" w:hAnsi="宋体" w:eastAsia="宋体" w:cs="宋体"/>
          <w:spacing w:val="-28"/>
          <w:position w:val="20"/>
          <w:sz w:val="24"/>
          <w:szCs w:val="24"/>
        </w:rPr>
        <w:t xml:space="preserve"> </w:t>
      </w:r>
      <w:r>
        <w:rPr>
          <w:rFonts w:ascii="宋体" w:hAnsi="宋体" w:eastAsia="宋体" w:cs="宋体"/>
          <w:spacing w:val="-3"/>
          <w:position w:val="20"/>
          <w:sz w:val="24"/>
          <w:szCs w:val="24"/>
        </w:rPr>
        <w:t>桂花水库灌区</w:t>
      </w:r>
      <w:r>
        <w:rPr>
          <w:rFonts w:ascii="宋体" w:hAnsi="宋体" w:eastAsia="宋体" w:cs="宋体"/>
          <w:spacing w:val="-55"/>
          <w:position w:val="20"/>
          <w:sz w:val="24"/>
          <w:szCs w:val="24"/>
        </w:rPr>
        <w:t xml:space="preserve"> </w:t>
      </w:r>
      <w:r>
        <w:rPr>
          <w:rFonts w:ascii="Times New Roman" w:hAnsi="Times New Roman" w:eastAsia="Times New Roman" w:cs="Times New Roman"/>
          <w:spacing w:val="-3"/>
          <w:position w:val="20"/>
          <w:sz w:val="24"/>
          <w:szCs w:val="24"/>
        </w:rPr>
        <w:t>P=75%</w:t>
      </w:r>
      <w:r>
        <w:rPr>
          <w:rFonts w:ascii="宋体" w:hAnsi="宋体" w:eastAsia="宋体" w:cs="宋体"/>
          <w:spacing w:val="-3"/>
          <w:position w:val="20"/>
          <w:sz w:val="24"/>
          <w:szCs w:val="24"/>
        </w:rPr>
        <w:t>不同水平年的总需水量成果见表</w:t>
      </w:r>
      <w:r>
        <w:rPr>
          <w:rFonts w:ascii="宋体" w:hAnsi="宋体" w:eastAsia="宋体" w:cs="宋体"/>
          <w:spacing w:val="-55"/>
          <w:position w:val="20"/>
          <w:sz w:val="24"/>
          <w:szCs w:val="24"/>
        </w:rPr>
        <w:t xml:space="preserve"> </w:t>
      </w:r>
      <w:r>
        <w:rPr>
          <w:rFonts w:ascii="Times New Roman" w:hAnsi="Times New Roman" w:eastAsia="Times New Roman" w:cs="Times New Roman"/>
          <w:spacing w:val="-3"/>
          <w:position w:val="20"/>
          <w:sz w:val="24"/>
          <w:szCs w:val="24"/>
        </w:rPr>
        <w:t>2.3-</w:t>
      </w:r>
    </w:p>
    <w:p>
      <w:pPr>
        <w:spacing w:line="180" w:lineRule="auto"/>
        <w:ind w:left="58"/>
        <w:rPr>
          <w:rFonts w:ascii="宋体" w:hAnsi="宋体" w:eastAsia="宋体" w:cs="宋体"/>
          <w:sz w:val="24"/>
          <w:szCs w:val="24"/>
        </w:rPr>
      </w:pPr>
      <w:r>
        <w:rPr>
          <w:rFonts w:ascii="Times New Roman" w:hAnsi="Times New Roman" w:eastAsia="Times New Roman" w:cs="Times New Roman"/>
          <w:spacing w:val="-10"/>
          <w:sz w:val="24"/>
          <w:szCs w:val="24"/>
        </w:rPr>
        <w:t>15</w:t>
      </w:r>
      <w:r>
        <w:rPr>
          <w:rFonts w:ascii="宋体" w:hAnsi="宋体" w:eastAsia="宋体" w:cs="宋体"/>
          <w:spacing w:val="-10"/>
          <w:sz w:val="24"/>
          <w:szCs w:val="24"/>
        </w:rPr>
        <w:t>。</w:t>
      </w:r>
    </w:p>
    <w:p>
      <w:pPr>
        <w:spacing w:before="186" w:line="233" w:lineRule="auto"/>
        <w:ind w:left="2488"/>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28"/>
          <w:sz w:val="21"/>
          <w:szCs w:val="21"/>
        </w:rPr>
        <w:t xml:space="preserve"> </w:t>
      </w:r>
      <w:r>
        <w:rPr>
          <w:rFonts w:ascii="Times New Roman" w:hAnsi="Times New Roman" w:eastAsia="Times New Roman" w:cs="Times New Roman"/>
          <w:b/>
          <w:bCs/>
          <w:spacing w:val="-1"/>
          <w:sz w:val="21"/>
          <w:szCs w:val="21"/>
        </w:rPr>
        <w:t xml:space="preserve">2.3-15    </w:t>
      </w:r>
      <w:r>
        <w:rPr>
          <w:rFonts w:ascii="宋体" w:hAnsi="宋体" w:eastAsia="宋体" w:cs="宋体"/>
          <w:spacing w:val="-1"/>
          <w:sz w:val="21"/>
          <w:szCs w:val="21"/>
          <w14:textOutline w14:w="3810" w14:cap="flat" w14:cmpd="sng">
            <w14:solidFill>
              <w14:srgbClr w14:val="000000"/>
            </w14:solidFill>
            <w14:prstDash w14:val="solid"/>
            <w14:miter w14:val="0"/>
          </w14:textOutline>
        </w:rPr>
        <w:t>灌区</w:t>
      </w:r>
      <w:r>
        <w:rPr>
          <w:rFonts w:ascii="宋体" w:hAnsi="宋体" w:eastAsia="宋体" w:cs="宋体"/>
          <w:spacing w:val="-46"/>
          <w:sz w:val="21"/>
          <w:szCs w:val="21"/>
        </w:rPr>
        <w:t xml:space="preserve"> </w:t>
      </w:r>
      <w:r>
        <w:rPr>
          <w:rFonts w:ascii="Times New Roman" w:hAnsi="Times New Roman" w:eastAsia="Times New Roman" w:cs="Times New Roman"/>
          <w:b/>
          <w:bCs/>
          <w:spacing w:val="-1"/>
          <w:sz w:val="21"/>
          <w:szCs w:val="21"/>
        </w:rPr>
        <w:t>P=75%</w:t>
      </w:r>
      <w:r>
        <w:rPr>
          <w:rFonts w:ascii="宋体" w:hAnsi="宋体" w:eastAsia="宋体" w:cs="宋体"/>
          <w:spacing w:val="-1"/>
          <w:sz w:val="21"/>
          <w:szCs w:val="21"/>
          <w14:textOutline w14:w="3810" w14:cap="flat" w14:cmpd="sng">
            <w14:solidFill>
              <w14:srgbClr w14:val="000000"/>
            </w14:solidFill>
            <w14:prstDash w14:val="solid"/>
            <w14:miter w14:val="0"/>
          </w14:textOutline>
        </w:rPr>
        <w:t>水平年的总需水量成果表</w:t>
      </w:r>
    </w:p>
    <w:p>
      <w:pPr>
        <w:spacing w:line="112" w:lineRule="exact"/>
      </w:pPr>
    </w:p>
    <w:tbl>
      <w:tblPr>
        <w:tblStyle w:val="5"/>
        <w:tblW w:w="8538" w:type="dxa"/>
        <w:tblInd w:w="2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8"/>
        <w:gridCol w:w="1079"/>
        <w:gridCol w:w="1201"/>
        <w:gridCol w:w="1202"/>
        <w:gridCol w:w="1206"/>
        <w:gridCol w:w="1206"/>
        <w:gridCol w:w="1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0" w:hRule="atLeast"/>
        </w:trPr>
        <w:tc>
          <w:tcPr>
            <w:tcW w:w="1438" w:type="dxa"/>
            <w:tcBorders>
              <w:top w:val="single" w:color="000000" w:sz="12" w:space="0"/>
              <w:left w:val="nil"/>
            </w:tcBorders>
            <w:vAlign w:val="top"/>
          </w:tcPr>
          <w:p>
            <w:pPr>
              <w:spacing w:before="302" w:line="217" w:lineRule="auto"/>
              <w:ind w:left="32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工程名称</w:t>
            </w:r>
          </w:p>
        </w:tc>
        <w:tc>
          <w:tcPr>
            <w:tcW w:w="1079" w:type="dxa"/>
            <w:tcBorders>
              <w:top w:val="single" w:color="000000" w:sz="12" w:space="0"/>
            </w:tcBorders>
            <w:vAlign w:val="top"/>
          </w:tcPr>
          <w:p>
            <w:pPr>
              <w:spacing w:before="303" w:line="218" w:lineRule="auto"/>
              <w:ind w:left="340"/>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灌片</w:t>
            </w:r>
          </w:p>
        </w:tc>
        <w:tc>
          <w:tcPr>
            <w:tcW w:w="1201" w:type="dxa"/>
            <w:tcBorders>
              <w:top w:val="single" w:color="000000" w:sz="12" w:space="0"/>
            </w:tcBorders>
            <w:vAlign w:val="top"/>
          </w:tcPr>
          <w:p>
            <w:pPr>
              <w:pStyle w:val="6"/>
              <w:spacing w:before="166" w:line="238" w:lineRule="auto"/>
              <w:ind w:left="143" w:right="144" w:firstLine="44"/>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集镇需水</w:t>
            </w:r>
            <w:r>
              <w:rPr>
                <w:rFonts w:ascii="仿宋" w:hAnsi="仿宋" w:eastAsia="仿宋" w:cs="仿宋"/>
              </w:rPr>
              <w:t xml:space="preserve"> </w:t>
            </w:r>
            <w:r>
              <w:rPr>
                <w:rFonts w:ascii="仿宋" w:hAnsi="仿宋" w:eastAsia="仿宋" w:cs="仿宋"/>
                <w:spacing w:val="-10"/>
                <w14:textOutline w14:w="3810" w14:cap="flat" w14:cmpd="sng">
                  <w14:solidFill>
                    <w14:srgbClr w14:val="000000"/>
                  </w14:solidFill>
                  <w14:prstDash w14:val="solid"/>
                  <w14:miter w14:val="0"/>
                </w14:textOutline>
              </w:rPr>
              <w:t>（万</w:t>
            </w:r>
            <w:r>
              <w:rPr>
                <w:rFonts w:ascii="仿宋" w:hAnsi="仿宋" w:eastAsia="仿宋" w:cs="仿宋"/>
                <w:spacing w:val="-29"/>
              </w:rPr>
              <w:t xml:space="preserve"> </w:t>
            </w:r>
            <w:r>
              <w:rPr>
                <w:b/>
                <w:bCs/>
                <w:spacing w:val="-10"/>
              </w:rPr>
              <w:t>m</w:t>
            </w:r>
            <w:r>
              <w:rPr>
                <w:b/>
                <w:bCs/>
                <w:spacing w:val="-10"/>
                <w:position w:val="6"/>
                <w:sz w:val="14"/>
                <w:szCs w:val="14"/>
              </w:rPr>
              <w:t>3</w:t>
            </w:r>
            <w:r>
              <w:rPr>
                <w:rFonts w:ascii="仿宋" w:hAnsi="仿宋" w:eastAsia="仿宋" w:cs="仿宋"/>
                <w:spacing w:val="-10"/>
                <w14:textOutline w14:w="3810" w14:cap="flat" w14:cmpd="sng">
                  <w14:solidFill>
                    <w14:srgbClr w14:val="000000"/>
                  </w14:solidFill>
                  <w14:prstDash w14:val="solid"/>
                  <w14:miter w14:val="0"/>
                </w14:textOutline>
              </w:rPr>
              <w:t>）</w:t>
            </w:r>
          </w:p>
        </w:tc>
        <w:tc>
          <w:tcPr>
            <w:tcW w:w="1202" w:type="dxa"/>
            <w:tcBorders>
              <w:top w:val="single" w:color="000000" w:sz="12" w:space="0"/>
            </w:tcBorders>
            <w:vAlign w:val="top"/>
          </w:tcPr>
          <w:p>
            <w:pPr>
              <w:spacing w:before="30" w:line="229" w:lineRule="auto"/>
              <w:ind w:left="407" w:right="173" w:hanging="21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农村生活</w:t>
            </w:r>
            <w:r>
              <w:rPr>
                <w:rFonts w:ascii="仿宋" w:hAnsi="仿宋" w:eastAsia="仿宋" w:cs="仿宋"/>
                <w:sz w:val="21"/>
                <w:szCs w:val="21"/>
              </w:rPr>
              <w:t xml:space="preserve"> </w:t>
            </w:r>
            <w:r>
              <w:rPr>
                <w:rFonts w:ascii="仿宋" w:hAnsi="仿宋" w:eastAsia="仿宋" w:cs="仿宋"/>
                <w:spacing w:val="-6"/>
                <w:sz w:val="21"/>
                <w:szCs w:val="21"/>
                <w14:textOutline w14:w="3810" w14:cap="flat" w14:cmpd="sng">
                  <w14:solidFill>
                    <w14:srgbClr w14:val="000000"/>
                  </w14:solidFill>
                  <w14:prstDash w14:val="solid"/>
                  <w14:miter w14:val="0"/>
                </w14:textOutline>
              </w:rPr>
              <w:t>需水</w:t>
            </w:r>
          </w:p>
          <w:p>
            <w:pPr>
              <w:pStyle w:val="6"/>
              <w:spacing w:before="24" w:line="206" w:lineRule="auto"/>
              <w:ind w:left="145"/>
              <w:rPr>
                <w:rFonts w:ascii="仿宋" w:hAnsi="仿宋" w:eastAsia="仿宋" w:cs="仿宋"/>
              </w:rPr>
            </w:pPr>
            <w:r>
              <w:rPr>
                <w:rFonts w:ascii="仿宋" w:hAnsi="仿宋" w:eastAsia="仿宋" w:cs="仿宋"/>
                <w:spacing w:val="-8"/>
                <w14:textOutline w14:w="3810" w14:cap="flat" w14:cmpd="sng">
                  <w14:solidFill>
                    <w14:srgbClr w14:val="000000"/>
                  </w14:solidFill>
                  <w14:prstDash w14:val="solid"/>
                  <w14:miter w14:val="0"/>
                </w14:textOutline>
              </w:rPr>
              <w:t>（万</w:t>
            </w:r>
            <w:r>
              <w:rPr>
                <w:rFonts w:ascii="仿宋" w:hAnsi="仿宋" w:eastAsia="仿宋" w:cs="仿宋"/>
                <w:spacing w:val="-26"/>
              </w:rPr>
              <w:t xml:space="preserve"> </w:t>
            </w:r>
            <w:r>
              <w:rPr>
                <w:b/>
                <w:bCs/>
                <w:spacing w:val="-8"/>
              </w:rPr>
              <w:t>m</w:t>
            </w:r>
            <w:r>
              <w:rPr>
                <w:b/>
                <w:bCs/>
                <w:spacing w:val="-8"/>
                <w:position w:val="6"/>
                <w:sz w:val="14"/>
                <w:szCs w:val="14"/>
              </w:rPr>
              <w:t>3</w:t>
            </w:r>
            <w:r>
              <w:rPr>
                <w:rFonts w:ascii="仿宋" w:hAnsi="仿宋" w:eastAsia="仿宋" w:cs="仿宋"/>
                <w:spacing w:val="-8"/>
                <w14:textOutline w14:w="3810" w14:cap="flat" w14:cmpd="sng">
                  <w14:solidFill>
                    <w14:srgbClr w14:val="000000"/>
                  </w14:solidFill>
                  <w14:prstDash w14:val="solid"/>
                  <w14:miter w14:val="0"/>
                </w14:textOutline>
              </w:rPr>
              <w:t>）</w:t>
            </w:r>
          </w:p>
        </w:tc>
        <w:tc>
          <w:tcPr>
            <w:tcW w:w="1206" w:type="dxa"/>
            <w:tcBorders>
              <w:top w:val="single" w:color="000000" w:sz="12" w:space="0"/>
            </w:tcBorders>
            <w:vAlign w:val="top"/>
          </w:tcPr>
          <w:p>
            <w:pPr>
              <w:pStyle w:val="6"/>
              <w:spacing w:before="166" w:line="238" w:lineRule="auto"/>
              <w:ind w:left="148" w:right="145" w:firstLine="48"/>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工业需水</w:t>
            </w:r>
            <w:r>
              <w:rPr>
                <w:rFonts w:ascii="仿宋" w:hAnsi="仿宋" w:eastAsia="仿宋" w:cs="仿宋"/>
              </w:rPr>
              <w:t xml:space="preserve"> </w:t>
            </w:r>
            <w:r>
              <w:rPr>
                <w:rFonts w:ascii="仿宋" w:hAnsi="仿宋" w:eastAsia="仿宋" w:cs="仿宋"/>
                <w:spacing w:val="-10"/>
                <w14:textOutline w14:w="3810" w14:cap="flat" w14:cmpd="sng">
                  <w14:solidFill>
                    <w14:srgbClr w14:val="000000"/>
                  </w14:solidFill>
                  <w14:prstDash w14:val="solid"/>
                  <w14:miter w14:val="0"/>
                </w14:textOutline>
              </w:rPr>
              <w:t>（万</w:t>
            </w:r>
            <w:r>
              <w:rPr>
                <w:rFonts w:ascii="仿宋" w:hAnsi="仿宋" w:eastAsia="仿宋" w:cs="仿宋"/>
                <w:spacing w:val="-29"/>
              </w:rPr>
              <w:t xml:space="preserve"> </w:t>
            </w:r>
            <w:r>
              <w:rPr>
                <w:b/>
                <w:bCs/>
                <w:spacing w:val="-10"/>
              </w:rPr>
              <w:t>m</w:t>
            </w:r>
            <w:r>
              <w:rPr>
                <w:b/>
                <w:bCs/>
                <w:spacing w:val="-10"/>
                <w:position w:val="6"/>
                <w:sz w:val="14"/>
                <w:szCs w:val="14"/>
              </w:rPr>
              <w:t>3</w:t>
            </w:r>
            <w:r>
              <w:rPr>
                <w:rFonts w:ascii="仿宋" w:hAnsi="仿宋" w:eastAsia="仿宋" w:cs="仿宋"/>
                <w:spacing w:val="-10"/>
                <w14:textOutline w14:w="3810" w14:cap="flat" w14:cmpd="sng">
                  <w14:solidFill>
                    <w14:srgbClr w14:val="000000"/>
                  </w14:solidFill>
                  <w14:prstDash w14:val="solid"/>
                  <w14:miter w14:val="0"/>
                </w14:textOutline>
              </w:rPr>
              <w:t>）</w:t>
            </w:r>
          </w:p>
        </w:tc>
        <w:tc>
          <w:tcPr>
            <w:tcW w:w="1206" w:type="dxa"/>
            <w:tcBorders>
              <w:top w:val="single" w:color="000000" w:sz="12" w:space="0"/>
            </w:tcBorders>
            <w:vAlign w:val="top"/>
          </w:tcPr>
          <w:p>
            <w:pPr>
              <w:pStyle w:val="6"/>
              <w:spacing w:before="166" w:line="238" w:lineRule="auto"/>
              <w:ind w:left="148" w:right="144" w:firstLine="44"/>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农业需水</w:t>
            </w:r>
            <w:r>
              <w:rPr>
                <w:rFonts w:ascii="仿宋" w:hAnsi="仿宋" w:eastAsia="仿宋" w:cs="仿宋"/>
              </w:rPr>
              <w:t xml:space="preserve"> </w:t>
            </w:r>
            <w:r>
              <w:rPr>
                <w:rFonts w:ascii="仿宋" w:hAnsi="仿宋" w:eastAsia="仿宋" w:cs="仿宋"/>
                <w:spacing w:val="-10"/>
                <w14:textOutline w14:w="3810" w14:cap="flat" w14:cmpd="sng">
                  <w14:solidFill>
                    <w14:srgbClr w14:val="000000"/>
                  </w14:solidFill>
                  <w14:prstDash w14:val="solid"/>
                  <w14:miter w14:val="0"/>
                </w14:textOutline>
              </w:rPr>
              <w:t>（万</w:t>
            </w:r>
            <w:r>
              <w:rPr>
                <w:rFonts w:ascii="仿宋" w:hAnsi="仿宋" w:eastAsia="仿宋" w:cs="仿宋"/>
                <w:spacing w:val="-29"/>
              </w:rPr>
              <w:t xml:space="preserve"> </w:t>
            </w:r>
            <w:r>
              <w:rPr>
                <w:b/>
                <w:bCs/>
                <w:spacing w:val="-10"/>
              </w:rPr>
              <w:t>m</w:t>
            </w:r>
            <w:r>
              <w:rPr>
                <w:b/>
                <w:bCs/>
                <w:spacing w:val="-10"/>
                <w:position w:val="6"/>
                <w:sz w:val="14"/>
                <w:szCs w:val="14"/>
              </w:rPr>
              <w:t>3</w:t>
            </w:r>
            <w:r>
              <w:rPr>
                <w:rFonts w:ascii="仿宋" w:hAnsi="仿宋" w:eastAsia="仿宋" w:cs="仿宋"/>
                <w:spacing w:val="-10"/>
                <w14:textOutline w14:w="3810" w14:cap="flat" w14:cmpd="sng">
                  <w14:solidFill>
                    <w14:srgbClr w14:val="000000"/>
                  </w14:solidFill>
                  <w14:prstDash w14:val="solid"/>
                  <w14:miter w14:val="0"/>
                </w14:textOutline>
              </w:rPr>
              <w:t>）</w:t>
            </w:r>
          </w:p>
        </w:tc>
        <w:tc>
          <w:tcPr>
            <w:tcW w:w="1206" w:type="dxa"/>
            <w:tcBorders>
              <w:top w:val="single" w:color="000000" w:sz="12" w:space="0"/>
              <w:right w:val="nil"/>
            </w:tcBorders>
            <w:vAlign w:val="top"/>
          </w:tcPr>
          <w:p>
            <w:pPr>
              <w:pStyle w:val="6"/>
              <w:spacing w:before="166" w:line="238" w:lineRule="auto"/>
              <w:ind w:left="148" w:right="149" w:firstLine="51"/>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需水合计</w:t>
            </w:r>
            <w:r>
              <w:rPr>
                <w:rFonts w:ascii="仿宋" w:hAnsi="仿宋" w:eastAsia="仿宋" w:cs="仿宋"/>
              </w:rPr>
              <w:t xml:space="preserve"> </w:t>
            </w:r>
            <w:r>
              <w:rPr>
                <w:rFonts w:ascii="仿宋" w:hAnsi="仿宋" w:eastAsia="仿宋" w:cs="仿宋"/>
                <w:spacing w:val="-10"/>
                <w14:textOutline w14:w="3810" w14:cap="flat" w14:cmpd="sng">
                  <w14:solidFill>
                    <w14:srgbClr w14:val="000000"/>
                  </w14:solidFill>
                  <w14:prstDash w14:val="solid"/>
                  <w14:miter w14:val="0"/>
                </w14:textOutline>
              </w:rPr>
              <w:t>（万</w:t>
            </w:r>
            <w:r>
              <w:rPr>
                <w:rFonts w:ascii="仿宋" w:hAnsi="仿宋" w:eastAsia="仿宋" w:cs="仿宋"/>
                <w:spacing w:val="-29"/>
              </w:rPr>
              <w:t xml:space="preserve"> </w:t>
            </w:r>
            <w:r>
              <w:rPr>
                <w:b/>
                <w:bCs/>
                <w:spacing w:val="-10"/>
              </w:rPr>
              <w:t>m</w:t>
            </w:r>
            <w:r>
              <w:rPr>
                <w:b/>
                <w:bCs/>
                <w:spacing w:val="-10"/>
                <w:position w:val="6"/>
                <w:sz w:val="14"/>
                <w:szCs w:val="14"/>
              </w:rPr>
              <w:t>3</w:t>
            </w:r>
            <w:r>
              <w:rPr>
                <w:rFonts w:ascii="仿宋" w:hAnsi="仿宋" w:eastAsia="仿宋" w:cs="仿宋"/>
                <w:spacing w:val="-10"/>
                <w14:textOutline w14:w="3810" w14:cap="flat" w14:cmpd="sng">
                  <w14:solidFill>
                    <w14:srgbClr w14:val="000000"/>
                  </w14:solidFill>
                  <w14:prstDash w14:val="solid"/>
                  <w14:miter w14:val="0"/>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trPr>
        <w:tc>
          <w:tcPr>
            <w:tcW w:w="1438" w:type="dxa"/>
            <w:vMerge w:val="restart"/>
            <w:tcBorders>
              <w:left w:val="nil"/>
              <w:bottom w:val="nil"/>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68" w:line="216" w:lineRule="auto"/>
              <w:ind w:left="319"/>
              <w:rPr>
                <w:rFonts w:ascii="仿宋" w:hAnsi="仿宋" w:eastAsia="仿宋" w:cs="仿宋"/>
                <w:sz w:val="21"/>
                <w:szCs w:val="21"/>
              </w:rPr>
            </w:pPr>
            <w:r>
              <w:rPr>
                <w:rFonts w:ascii="仿宋" w:hAnsi="仿宋" w:eastAsia="仿宋" w:cs="仿宋"/>
                <w:spacing w:val="-3"/>
                <w:sz w:val="21"/>
                <w:szCs w:val="21"/>
              </w:rPr>
              <w:t>桂花水库</w:t>
            </w:r>
          </w:p>
        </w:tc>
        <w:tc>
          <w:tcPr>
            <w:tcW w:w="1079" w:type="dxa"/>
            <w:vAlign w:val="top"/>
          </w:tcPr>
          <w:p>
            <w:pPr>
              <w:spacing w:before="31" w:line="204" w:lineRule="auto"/>
              <w:ind w:left="127"/>
              <w:rPr>
                <w:rFonts w:ascii="仿宋" w:hAnsi="仿宋" w:eastAsia="仿宋" w:cs="仿宋"/>
                <w:sz w:val="21"/>
                <w:szCs w:val="21"/>
              </w:rPr>
            </w:pPr>
            <w:r>
              <w:rPr>
                <w:rFonts w:ascii="仿宋" w:hAnsi="仿宋" w:eastAsia="仿宋" w:cs="仿宋"/>
                <w:spacing w:val="-3"/>
                <w:sz w:val="21"/>
                <w:szCs w:val="21"/>
              </w:rPr>
              <w:t>桂花灌片</w:t>
            </w:r>
          </w:p>
        </w:tc>
        <w:tc>
          <w:tcPr>
            <w:tcW w:w="1201" w:type="dxa"/>
            <w:vAlign w:val="top"/>
          </w:tcPr>
          <w:p>
            <w:pPr>
              <w:pStyle w:val="6"/>
              <w:spacing w:before="68" w:line="188" w:lineRule="auto"/>
              <w:ind w:left="435"/>
            </w:pPr>
            <w:r>
              <w:rPr>
                <w:spacing w:val="-6"/>
              </w:rPr>
              <w:t>10.3</w:t>
            </w:r>
          </w:p>
        </w:tc>
        <w:tc>
          <w:tcPr>
            <w:tcW w:w="1202" w:type="dxa"/>
            <w:vAlign w:val="top"/>
          </w:tcPr>
          <w:p>
            <w:pPr>
              <w:pStyle w:val="6"/>
              <w:spacing w:before="68" w:line="188" w:lineRule="auto"/>
              <w:ind w:left="437"/>
            </w:pPr>
            <w:r>
              <w:rPr>
                <w:spacing w:val="-6"/>
              </w:rPr>
              <w:t>18.8</w:t>
            </w:r>
          </w:p>
        </w:tc>
        <w:tc>
          <w:tcPr>
            <w:tcW w:w="1206" w:type="dxa"/>
            <w:vAlign w:val="top"/>
          </w:tcPr>
          <w:p>
            <w:pPr>
              <w:pStyle w:val="6"/>
              <w:spacing w:before="71" w:line="185" w:lineRule="auto"/>
              <w:ind w:left="425"/>
            </w:pPr>
            <w:r>
              <w:rPr>
                <w:spacing w:val="-3"/>
              </w:rPr>
              <w:t>57.7</w:t>
            </w:r>
          </w:p>
        </w:tc>
        <w:tc>
          <w:tcPr>
            <w:tcW w:w="1206" w:type="dxa"/>
            <w:vAlign w:val="top"/>
          </w:tcPr>
          <w:p>
            <w:pPr>
              <w:pStyle w:val="6"/>
              <w:spacing w:before="68" w:line="188" w:lineRule="auto"/>
              <w:ind w:left="387"/>
            </w:pPr>
            <w:r>
              <w:rPr>
                <w:spacing w:val="-5"/>
              </w:rPr>
              <w:t>161.8</w:t>
            </w:r>
          </w:p>
        </w:tc>
        <w:tc>
          <w:tcPr>
            <w:tcW w:w="1206" w:type="dxa"/>
            <w:tcBorders>
              <w:right w:val="nil"/>
            </w:tcBorders>
            <w:vAlign w:val="top"/>
          </w:tcPr>
          <w:p>
            <w:pPr>
              <w:pStyle w:val="6"/>
              <w:spacing w:before="68" w:line="188" w:lineRule="auto"/>
              <w:ind w:left="367"/>
            </w:pPr>
            <w:r>
              <w:rPr>
                <w:spacing w:val="-1"/>
              </w:rPr>
              <w:t>248.6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7" w:hRule="atLeast"/>
        </w:trPr>
        <w:tc>
          <w:tcPr>
            <w:tcW w:w="1438" w:type="dxa"/>
            <w:vMerge w:val="continue"/>
            <w:tcBorders>
              <w:top w:val="nil"/>
              <w:left w:val="nil"/>
              <w:bottom w:val="nil"/>
            </w:tcBorders>
            <w:vAlign w:val="top"/>
          </w:tcPr>
          <w:p>
            <w:pPr>
              <w:rPr>
                <w:rFonts w:ascii="Arial"/>
                <w:sz w:val="21"/>
              </w:rPr>
            </w:pPr>
          </w:p>
        </w:tc>
        <w:tc>
          <w:tcPr>
            <w:tcW w:w="1079" w:type="dxa"/>
            <w:vAlign w:val="top"/>
          </w:tcPr>
          <w:p>
            <w:pPr>
              <w:spacing w:before="36" w:line="220" w:lineRule="auto"/>
              <w:ind w:left="449" w:right="115" w:hanging="319"/>
              <w:rPr>
                <w:rFonts w:ascii="仿宋" w:hAnsi="仿宋" w:eastAsia="仿宋" w:cs="仿宋"/>
                <w:sz w:val="21"/>
                <w:szCs w:val="21"/>
              </w:rPr>
            </w:pPr>
            <w:r>
              <w:rPr>
                <w:rFonts w:ascii="仿宋" w:hAnsi="仿宋" w:eastAsia="仿宋" w:cs="仿宋"/>
                <w:spacing w:val="-5"/>
                <w:sz w:val="21"/>
                <w:szCs w:val="21"/>
              </w:rPr>
              <w:t>者纳么灌</w:t>
            </w:r>
            <w:r>
              <w:rPr>
                <w:rFonts w:ascii="仿宋" w:hAnsi="仿宋" w:eastAsia="仿宋" w:cs="仿宋"/>
                <w:spacing w:val="1"/>
                <w:sz w:val="21"/>
                <w:szCs w:val="21"/>
              </w:rPr>
              <w:t xml:space="preserve"> </w:t>
            </w:r>
            <w:r>
              <w:rPr>
                <w:rFonts w:ascii="仿宋" w:hAnsi="仿宋" w:eastAsia="仿宋" w:cs="仿宋"/>
                <w:sz w:val="21"/>
                <w:szCs w:val="21"/>
              </w:rPr>
              <w:t>片</w:t>
            </w:r>
          </w:p>
        </w:tc>
        <w:tc>
          <w:tcPr>
            <w:tcW w:w="1201" w:type="dxa"/>
            <w:vAlign w:val="top"/>
          </w:tcPr>
          <w:p>
            <w:pPr>
              <w:rPr>
                <w:rFonts w:ascii="Arial"/>
                <w:sz w:val="21"/>
              </w:rPr>
            </w:pPr>
          </w:p>
        </w:tc>
        <w:tc>
          <w:tcPr>
            <w:tcW w:w="1202" w:type="dxa"/>
            <w:vAlign w:val="top"/>
          </w:tcPr>
          <w:p>
            <w:pPr>
              <w:rPr>
                <w:rFonts w:ascii="Arial"/>
                <w:sz w:val="21"/>
              </w:rPr>
            </w:pPr>
          </w:p>
        </w:tc>
        <w:tc>
          <w:tcPr>
            <w:tcW w:w="1206" w:type="dxa"/>
            <w:vAlign w:val="top"/>
          </w:tcPr>
          <w:p>
            <w:pPr>
              <w:rPr>
                <w:rFonts w:ascii="Arial"/>
                <w:sz w:val="21"/>
              </w:rPr>
            </w:pPr>
          </w:p>
        </w:tc>
        <w:tc>
          <w:tcPr>
            <w:tcW w:w="1206" w:type="dxa"/>
            <w:vAlign w:val="top"/>
          </w:tcPr>
          <w:p>
            <w:pPr>
              <w:pStyle w:val="6"/>
              <w:spacing w:before="208" w:line="188" w:lineRule="auto"/>
              <w:ind w:left="424"/>
            </w:pPr>
            <w:r>
              <w:rPr>
                <w:spacing w:val="-2"/>
              </w:rPr>
              <w:t>98.2</w:t>
            </w:r>
          </w:p>
        </w:tc>
        <w:tc>
          <w:tcPr>
            <w:tcW w:w="1206" w:type="dxa"/>
            <w:tcBorders>
              <w:right w:val="nil"/>
            </w:tcBorders>
            <w:vAlign w:val="top"/>
          </w:tcPr>
          <w:p>
            <w:pPr>
              <w:pStyle w:val="6"/>
              <w:spacing w:before="208" w:line="188" w:lineRule="auto"/>
              <w:ind w:left="424"/>
            </w:pPr>
            <w:r>
              <w:rPr>
                <w:spacing w:val="-2"/>
              </w:rPr>
              <w:t>98.2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1438" w:type="dxa"/>
            <w:vMerge w:val="continue"/>
            <w:tcBorders>
              <w:top w:val="nil"/>
              <w:left w:val="nil"/>
              <w:bottom w:val="nil"/>
            </w:tcBorders>
            <w:vAlign w:val="top"/>
          </w:tcPr>
          <w:p>
            <w:pPr>
              <w:rPr>
                <w:rFonts w:ascii="Arial"/>
                <w:sz w:val="21"/>
              </w:rPr>
            </w:pPr>
          </w:p>
        </w:tc>
        <w:tc>
          <w:tcPr>
            <w:tcW w:w="1079" w:type="dxa"/>
            <w:vAlign w:val="top"/>
          </w:tcPr>
          <w:p>
            <w:pPr>
              <w:spacing w:before="38" w:line="199" w:lineRule="auto"/>
              <w:ind w:left="128"/>
              <w:rPr>
                <w:rFonts w:ascii="仿宋" w:hAnsi="仿宋" w:eastAsia="仿宋" w:cs="仿宋"/>
                <w:sz w:val="21"/>
                <w:szCs w:val="21"/>
              </w:rPr>
            </w:pPr>
            <w:r>
              <w:rPr>
                <w:rFonts w:ascii="仿宋" w:hAnsi="仿宋" w:eastAsia="仿宋" w:cs="仿宋"/>
                <w:spacing w:val="-3"/>
                <w:sz w:val="21"/>
                <w:szCs w:val="21"/>
              </w:rPr>
              <w:t>六苴灌片</w:t>
            </w:r>
          </w:p>
        </w:tc>
        <w:tc>
          <w:tcPr>
            <w:tcW w:w="1201" w:type="dxa"/>
            <w:vAlign w:val="top"/>
          </w:tcPr>
          <w:p>
            <w:pPr>
              <w:rPr>
                <w:rFonts w:ascii="Arial"/>
                <w:sz w:val="21"/>
              </w:rPr>
            </w:pPr>
          </w:p>
        </w:tc>
        <w:tc>
          <w:tcPr>
            <w:tcW w:w="1202" w:type="dxa"/>
            <w:vAlign w:val="top"/>
          </w:tcPr>
          <w:p>
            <w:pPr>
              <w:rPr>
                <w:rFonts w:ascii="Arial"/>
                <w:sz w:val="21"/>
              </w:rPr>
            </w:pPr>
          </w:p>
        </w:tc>
        <w:tc>
          <w:tcPr>
            <w:tcW w:w="1206" w:type="dxa"/>
            <w:vAlign w:val="top"/>
          </w:tcPr>
          <w:p>
            <w:pPr>
              <w:rPr>
                <w:rFonts w:ascii="Arial"/>
                <w:sz w:val="21"/>
              </w:rPr>
            </w:pPr>
          </w:p>
        </w:tc>
        <w:tc>
          <w:tcPr>
            <w:tcW w:w="1206" w:type="dxa"/>
            <w:vAlign w:val="top"/>
          </w:tcPr>
          <w:p>
            <w:pPr>
              <w:pStyle w:val="6"/>
              <w:spacing w:before="75" w:line="188" w:lineRule="auto"/>
              <w:ind w:left="367"/>
            </w:pPr>
            <w:r>
              <w:rPr>
                <w:spacing w:val="-1"/>
              </w:rPr>
              <w:t>216.1</w:t>
            </w:r>
          </w:p>
        </w:tc>
        <w:tc>
          <w:tcPr>
            <w:tcW w:w="1206" w:type="dxa"/>
            <w:tcBorders>
              <w:right w:val="nil"/>
            </w:tcBorders>
            <w:vAlign w:val="top"/>
          </w:tcPr>
          <w:p>
            <w:pPr>
              <w:pStyle w:val="6"/>
              <w:spacing w:before="75" w:line="188" w:lineRule="auto"/>
              <w:ind w:left="367"/>
            </w:pPr>
            <w:r>
              <w:rPr>
                <w:spacing w:val="-1"/>
              </w:rPr>
              <w:t>216.1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1438" w:type="dxa"/>
            <w:vMerge w:val="continue"/>
            <w:tcBorders>
              <w:top w:val="nil"/>
              <w:left w:val="nil"/>
              <w:bottom w:val="nil"/>
            </w:tcBorders>
            <w:vAlign w:val="top"/>
          </w:tcPr>
          <w:p>
            <w:pPr>
              <w:rPr>
                <w:rFonts w:ascii="Arial"/>
                <w:sz w:val="21"/>
              </w:rPr>
            </w:pPr>
          </w:p>
        </w:tc>
        <w:tc>
          <w:tcPr>
            <w:tcW w:w="1079" w:type="dxa"/>
            <w:vAlign w:val="top"/>
          </w:tcPr>
          <w:p>
            <w:pPr>
              <w:spacing w:before="41" w:line="197" w:lineRule="auto"/>
              <w:ind w:left="126"/>
              <w:rPr>
                <w:rFonts w:ascii="仿宋" w:hAnsi="仿宋" w:eastAsia="仿宋" w:cs="仿宋"/>
                <w:sz w:val="21"/>
                <w:szCs w:val="21"/>
              </w:rPr>
            </w:pPr>
            <w:r>
              <w:rPr>
                <w:rFonts w:ascii="仿宋" w:hAnsi="仿宋" w:eastAsia="仿宋" w:cs="仿宋"/>
                <w:spacing w:val="-3"/>
                <w:sz w:val="21"/>
                <w:szCs w:val="21"/>
              </w:rPr>
              <w:t>新街灌片</w:t>
            </w:r>
          </w:p>
        </w:tc>
        <w:tc>
          <w:tcPr>
            <w:tcW w:w="1201" w:type="dxa"/>
            <w:vAlign w:val="top"/>
          </w:tcPr>
          <w:p>
            <w:pPr>
              <w:rPr>
                <w:rFonts w:ascii="Arial"/>
                <w:sz w:val="21"/>
              </w:rPr>
            </w:pPr>
          </w:p>
        </w:tc>
        <w:tc>
          <w:tcPr>
            <w:tcW w:w="1202" w:type="dxa"/>
            <w:vAlign w:val="top"/>
          </w:tcPr>
          <w:p>
            <w:pPr>
              <w:pStyle w:val="6"/>
              <w:spacing w:before="77" w:line="187" w:lineRule="auto"/>
              <w:ind w:left="421"/>
            </w:pPr>
            <w:r>
              <w:rPr>
                <w:spacing w:val="-2"/>
              </w:rPr>
              <w:t>62.5</w:t>
            </w:r>
          </w:p>
        </w:tc>
        <w:tc>
          <w:tcPr>
            <w:tcW w:w="1206" w:type="dxa"/>
            <w:vAlign w:val="top"/>
          </w:tcPr>
          <w:p>
            <w:pPr>
              <w:rPr>
                <w:rFonts w:ascii="Arial"/>
                <w:sz w:val="21"/>
              </w:rPr>
            </w:pPr>
          </w:p>
        </w:tc>
        <w:tc>
          <w:tcPr>
            <w:tcW w:w="1206" w:type="dxa"/>
            <w:vAlign w:val="top"/>
          </w:tcPr>
          <w:p>
            <w:pPr>
              <w:rPr>
                <w:rFonts w:ascii="Arial"/>
                <w:sz w:val="21"/>
              </w:rPr>
            </w:pPr>
          </w:p>
        </w:tc>
        <w:tc>
          <w:tcPr>
            <w:tcW w:w="1206" w:type="dxa"/>
            <w:tcBorders>
              <w:right w:val="nil"/>
            </w:tcBorders>
            <w:vAlign w:val="top"/>
          </w:tcPr>
          <w:p>
            <w:pPr>
              <w:pStyle w:val="6"/>
              <w:spacing w:before="77" w:line="187" w:lineRule="auto"/>
              <w:ind w:left="424"/>
            </w:pPr>
            <w:r>
              <w:rPr>
                <w:spacing w:val="-2"/>
              </w:rPr>
              <w:t>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1438" w:type="dxa"/>
            <w:vMerge w:val="continue"/>
            <w:tcBorders>
              <w:top w:val="nil"/>
              <w:left w:val="nil"/>
              <w:bottom w:val="nil"/>
            </w:tcBorders>
            <w:vAlign w:val="top"/>
          </w:tcPr>
          <w:p>
            <w:pPr>
              <w:rPr>
                <w:rFonts w:ascii="Arial"/>
                <w:sz w:val="21"/>
              </w:rPr>
            </w:pPr>
          </w:p>
        </w:tc>
        <w:tc>
          <w:tcPr>
            <w:tcW w:w="1079" w:type="dxa"/>
            <w:vAlign w:val="top"/>
          </w:tcPr>
          <w:p>
            <w:pPr>
              <w:spacing w:before="42" w:line="196" w:lineRule="auto"/>
              <w:ind w:left="127"/>
              <w:rPr>
                <w:rFonts w:ascii="仿宋" w:hAnsi="仿宋" w:eastAsia="仿宋" w:cs="仿宋"/>
                <w:sz w:val="21"/>
                <w:szCs w:val="21"/>
              </w:rPr>
            </w:pPr>
            <w:r>
              <w:rPr>
                <w:rFonts w:ascii="仿宋" w:hAnsi="仿宋" w:eastAsia="仿宋" w:cs="仿宋"/>
                <w:spacing w:val="-3"/>
                <w:sz w:val="21"/>
                <w:szCs w:val="21"/>
              </w:rPr>
              <w:t>金碧灌片</w:t>
            </w:r>
          </w:p>
        </w:tc>
        <w:tc>
          <w:tcPr>
            <w:tcW w:w="1201" w:type="dxa"/>
            <w:vAlign w:val="top"/>
          </w:tcPr>
          <w:p>
            <w:pPr>
              <w:rPr>
                <w:rFonts w:ascii="Arial"/>
                <w:sz w:val="21"/>
              </w:rPr>
            </w:pPr>
          </w:p>
        </w:tc>
        <w:tc>
          <w:tcPr>
            <w:tcW w:w="1202" w:type="dxa"/>
            <w:vAlign w:val="top"/>
          </w:tcPr>
          <w:p>
            <w:pPr>
              <w:rPr>
                <w:rFonts w:ascii="Arial"/>
                <w:sz w:val="21"/>
              </w:rPr>
            </w:pPr>
          </w:p>
        </w:tc>
        <w:tc>
          <w:tcPr>
            <w:tcW w:w="1206" w:type="dxa"/>
            <w:vAlign w:val="top"/>
          </w:tcPr>
          <w:p>
            <w:pPr>
              <w:rPr>
                <w:rFonts w:ascii="Arial"/>
                <w:sz w:val="21"/>
              </w:rPr>
            </w:pPr>
          </w:p>
        </w:tc>
        <w:tc>
          <w:tcPr>
            <w:tcW w:w="1206" w:type="dxa"/>
            <w:vAlign w:val="top"/>
          </w:tcPr>
          <w:p>
            <w:pPr>
              <w:pStyle w:val="6"/>
              <w:spacing w:before="78" w:line="185" w:lineRule="auto"/>
              <w:ind w:left="370"/>
            </w:pPr>
            <w:r>
              <w:rPr>
                <w:spacing w:val="-2"/>
              </w:rPr>
              <w:t>737.5</w:t>
            </w:r>
          </w:p>
        </w:tc>
        <w:tc>
          <w:tcPr>
            <w:tcW w:w="1206" w:type="dxa"/>
            <w:tcBorders>
              <w:right w:val="nil"/>
            </w:tcBorders>
            <w:vAlign w:val="top"/>
          </w:tcPr>
          <w:p>
            <w:pPr>
              <w:pStyle w:val="6"/>
              <w:spacing w:before="78" w:line="185" w:lineRule="auto"/>
              <w:ind w:left="370"/>
            </w:pPr>
            <w:r>
              <w:rPr>
                <w:spacing w:val="-2"/>
              </w:rPr>
              <w:t>737.5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1438" w:type="dxa"/>
            <w:vMerge w:val="continue"/>
            <w:tcBorders>
              <w:top w:val="nil"/>
              <w:left w:val="nil"/>
            </w:tcBorders>
            <w:vAlign w:val="top"/>
          </w:tcPr>
          <w:p>
            <w:pPr>
              <w:rPr>
                <w:rFonts w:ascii="Arial"/>
                <w:sz w:val="21"/>
              </w:rPr>
            </w:pPr>
          </w:p>
        </w:tc>
        <w:tc>
          <w:tcPr>
            <w:tcW w:w="1079" w:type="dxa"/>
            <w:vAlign w:val="top"/>
          </w:tcPr>
          <w:p>
            <w:pPr>
              <w:spacing w:before="45" w:line="194" w:lineRule="auto"/>
              <w:ind w:left="337"/>
              <w:rPr>
                <w:rFonts w:ascii="仿宋" w:hAnsi="仿宋" w:eastAsia="仿宋" w:cs="仿宋"/>
                <w:sz w:val="21"/>
                <w:szCs w:val="21"/>
              </w:rPr>
            </w:pPr>
            <w:r>
              <w:rPr>
                <w:rFonts w:ascii="仿宋" w:hAnsi="仿宋" w:eastAsia="仿宋" w:cs="仿宋"/>
                <w:spacing w:val="-7"/>
                <w:sz w:val="21"/>
                <w:szCs w:val="21"/>
              </w:rPr>
              <w:t>小计</w:t>
            </w:r>
          </w:p>
        </w:tc>
        <w:tc>
          <w:tcPr>
            <w:tcW w:w="1201" w:type="dxa"/>
            <w:vAlign w:val="top"/>
          </w:tcPr>
          <w:p>
            <w:pPr>
              <w:pStyle w:val="6"/>
              <w:spacing w:before="81" w:line="183" w:lineRule="auto"/>
              <w:ind w:left="435"/>
            </w:pPr>
            <w:r>
              <w:rPr>
                <w:spacing w:val="-6"/>
              </w:rPr>
              <w:t>10.3</w:t>
            </w:r>
          </w:p>
        </w:tc>
        <w:tc>
          <w:tcPr>
            <w:tcW w:w="1202" w:type="dxa"/>
            <w:vAlign w:val="top"/>
          </w:tcPr>
          <w:p>
            <w:pPr>
              <w:pStyle w:val="6"/>
              <w:spacing w:before="81" w:line="183" w:lineRule="auto"/>
              <w:ind w:left="425"/>
            </w:pPr>
            <w:r>
              <w:rPr>
                <w:spacing w:val="-4"/>
              </w:rPr>
              <w:t>81.3</w:t>
            </w:r>
          </w:p>
        </w:tc>
        <w:tc>
          <w:tcPr>
            <w:tcW w:w="1206" w:type="dxa"/>
            <w:vAlign w:val="top"/>
          </w:tcPr>
          <w:p>
            <w:pPr>
              <w:pStyle w:val="6"/>
              <w:spacing w:before="84" w:line="180" w:lineRule="auto"/>
              <w:ind w:left="425"/>
            </w:pPr>
            <w:r>
              <w:rPr>
                <w:spacing w:val="-3"/>
              </w:rPr>
              <w:t>57.7</w:t>
            </w:r>
          </w:p>
        </w:tc>
        <w:tc>
          <w:tcPr>
            <w:tcW w:w="1206" w:type="dxa"/>
            <w:vAlign w:val="top"/>
          </w:tcPr>
          <w:p>
            <w:pPr>
              <w:pStyle w:val="6"/>
              <w:spacing w:before="81" w:line="183" w:lineRule="auto"/>
              <w:ind w:left="335"/>
            </w:pPr>
            <w:r>
              <w:rPr>
                <w:spacing w:val="-4"/>
              </w:rPr>
              <w:t>1213.6</w:t>
            </w:r>
          </w:p>
        </w:tc>
        <w:tc>
          <w:tcPr>
            <w:tcW w:w="1206" w:type="dxa"/>
            <w:tcBorders>
              <w:right w:val="nil"/>
            </w:tcBorders>
            <w:vAlign w:val="top"/>
          </w:tcPr>
          <w:p>
            <w:pPr>
              <w:pStyle w:val="6"/>
              <w:spacing w:before="81" w:line="183" w:lineRule="auto"/>
              <w:ind w:left="335"/>
            </w:pPr>
            <w:r>
              <w:rPr>
                <w:spacing w:val="-4"/>
              </w:rPr>
              <w:t>1362.9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1438" w:type="dxa"/>
            <w:vMerge w:val="restart"/>
            <w:tcBorders>
              <w:left w:val="nil"/>
              <w:bottom w:val="nil"/>
            </w:tcBorders>
            <w:vAlign w:val="top"/>
          </w:tcPr>
          <w:p>
            <w:pPr>
              <w:spacing w:before="196" w:line="229" w:lineRule="auto"/>
              <w:ind w:left="318" w:right="182" w:hanging="102"/>
              <w:rPr>
                <w:rFonts w:ascii="仿宋" w:hAnsi="仿宋" w:eastAsia="仿宋" w:cs="仿宋"/>
                <w:sz w:val="21"/>
                <w:szCs w:val="21"/>
              </w:rPr>
            </w:pPr>
            <w:r>
              <w:rPr>
                <w:rFonts w:ascii="仿宋" w:hAnsi="仿宋" w:eastAsia="仿宋" w:cs="仿宋"/>
                <w:spacing w:val="-4"/>
                <w:sz w:val="21"/>
                <w:szCs w:val="21"/>
              </w:rPr>
              <w:t>大罗古调蓄</w:t>
            </w:r>
            <w:r>
              <w:rPr>
                <w:rFonts w:ascii="仿宋" w:hAnsi="仿宋" w:eastAsia="仿宋" w:cs="仿宋"/>
                <w:spacing w:val="2"/>
                <w:sz w:val="21"/>
                <w:szCs w:val="21"/>
              </w:rPr>
              <w:t xml:space="preserve"> </w:t>
            </w:r>
            <w:r>
              <w:rPr>
                <w:rFonts w:ascii="仿宋" w:hAnsi="仿宋" w:eastAsia="仿宋" w:cs="仿宋"/>
                <w:spacing w:val="-4"/>
                <w:sz w:val="21"/>
                <w:szCs w:val="21"/>
              </w:rPr>
              <w:t>新增供水</w:t>
            </w:r>
          </w:p>
        </w:tc>
        <w:tc>
          <w:tcPr>
            <w:tcW w:w="1079" w:type="dxa"/>
            <w:vAlign w:val="top"/>
          </w:tcPr>
          <w:p>
            <w:pPr>
              <w:spacing w:before="46" w:line="192" w:lineRule="auto"/>
              <w:ind w:left="126"/>
              <w:rPr>
                <w:rFonts w:ascii="仿宋" w:hAnsi="仿宋" w:eastAsia="仿宋" w:cs="仿宋"/>
                <w:sz w:val="21"/>
                <w:szCs w:val="21"/>
              </w:rPr>
            </w:pPr>
            <w:r>
              <w:rPr>
                <w:rFonts w:ascii="仿宋" w:hAnsi="仿宋" w:eastAsia="仿宋" w:cs="仿宋"/>
                <w:spacing w:val="-3"/>
                <w:sz w:val="21"/>
                <w:szCs w:val="21"/>
              </w:rPr>
              <w:t>新街灌片</w:t>
            </w:r>
          </w:p>
        </w:tc>
        <w:tc>
          <w:tcPr>
            <w:tcW w:w="1201" w:type="dxa"/>
            <w:vAlign w:val="top"/>
          </w:tcPr>
          <w:p>
            <w:pPr>
              <w:rPr>
                <w:rFonts w:ascii="Arial"/>
                <w:sz w:val="21"/>
              </w:rPr>
            </w:pPr>
          </w:p>
        </w:tc>
        <w:tc>
          <w:tcPr>
            <w:tcW w:w="1202" w:type="dxa"/>
            <w:vAlign w:val="top"/>
          </w:tcPr>
          <w:p>
            <w:pPr>
              <w:rPr>
                <w:rFonts w:ascii="Arial"/>
                <w:sz w:val="21"/>
              </w:rPr>
            </w:pPr>
          </w:p>
        </w:tc>
        <w:tc>
          <w:tcPr>
            <w:tcW w:w="1206" w:type="dxa"/>
            <w:vAlign w:val="top"/>
          </w:tcPr>
          <w:p>
            <w:pPr>
              <w:rPr>
                <w:rFonts w:ascii="Arial"/>
                <w:sz w:val="21"/>
              </w:rPr>
            </w:pPr>
          </w:p>
        </w:tc>
        <w:tc>
          <w:tcPr>
            <w:tcW w:w="1206" w:type="dxa"/>
            <w:vAlign w:val="top"/>
          </w:tcPr>
          <w:p>
            <w:pPr>
              <w:pStyle w:val="6"/>
              <w:spacing w:before="82" w:line="181" w:lineRule="auto"/>
              <w:ind w:left="367"/>
            </w:pPr>
            <w:r>
              <w:rPr>
                <w:spacing w:val="-1"/>
              </w:rPr>
              <w:t>232.3</w:t>
            </w:r>
          </w:p>
        </w:tc>
        <w:tc>
          <w:tcPr>
            <w:tcW w:w="1206" w:type="dxa"/>
            <w:tcBorders>
              <w:right w:val="nil"/>
            </w:tcBorders>
            <w:vAlign w:val="top"/>
          </w:tcPr>
          <w:p>
            <w:pPr>
              <w:pStyle w:val="6"/>
              <w:spacing w:before="82" w:line="181" w:lineRule="auto"/>
              <w:ind w:left="367"/>
            </w:pPr>
            <w:r>
              <w:rPr>
                <w:spacing w:val="-1"/>
              </w:rPr>
              <w:t>232.3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1438" w:type="dxa"/>
            <w:vMerge w:val="continue"/>
            <w:tcBorders>
              <w:top w:val="nil"/>
              <w:left w:val="nil"/>
              <w:bottom w:val="nil"/>
            </w:tcBorders>
            <w:vAlign w:val="top"/>
          </w:tcPr>
          <w:p>
            <w:pPr>
              <w:rPr>
                <w:rFonts w:ascii="Arial"/>
                <w:sz w:val="21"/>
              </w:rPr>
            </w:pPr>
          </w:p>
        </w:tc>
        <w:tc>
          <w:tcPr>
            <w:tcW w:w="1079" w:type="dxa"/>
            <w:vAlign w:val="top"/>
          </w:tcPr>
          <w:p>
            <w:pPr>
              <w:spacing w:before="48" w:line="191" w:lineRule="auto"/>
              <w:ind w:left="127"/>
              <w:rPr>
                <w:rFonts w:ascii="仿宋" w:hAnsi="仿宋" w:eastAsia="仿宋" w:cs="仿宋"/>
                <w:sz w:val="21"/>
                <w:szCs w:val="21"/>
              </w:rPr>
            </w:pPr>
            <w:r>
              <w:rPr>
                <w:rFonts w:ascii="仿宋" w:hAnsi="仿宋" w:eastAsia="仿宋" w:cs="仿宋"/>
                <w:spacing w:val="-3"/>
                <w:sz w:val="21"/>
                <w:szCs w:val="21"/>
              </w:rPr>
              <w:t>金碧灌片</w:t>
            </w:r>
          </w:p>
        </w:tc>
        <w:tc>
          <w:tcPr>
            <w:tcW w:w="1201" w:type="dxa"/>
            <w:vAlign w:val="top"/>
          </w:tcPr>
          <w:p>
            <w:pPr>
              <w:rPr>
                <w:rFonts w:ascii="Arial"/>
                <w:sz w:val="21"/>
              </w:rPr>
            </w:pPr>
          </w:p>
        </w:tc>
        <w:tc>
          <w:tcPr>
            <w:tcW w:w="1202" w:type="dxa"/>
            <w:vAlign w:val="top"/>
          </w:tcPr>
          <w:p>
            <w:pPr>
              <w:rPr>
                <w:rFonts w:ascii="Arial"/>
                <w:sz w:val="21"/>
              </w:rPr>
            </w:pPr>
          </w:p>
        </w:tc>
        <w:tc>
          <w:tcPr>
            <w:tcW w:w="1206" w:type="dxa"/>
            <w:vAlign w:val="top"/>
          </w:tcPr>
          <w:p>
            <w:pPr>
              <w:rPr>
                <w:rFonts w:ascii="Arial"/>
                <w:sz w:val="21"/>
              </w:rPr>
            </w:pPr>
          </w:p>
        </w:tc>
        <w:tc>
          <w:tcPr>
            <w:tcW w:w="1206" w:type="dxa"/>
            <w:vAlign w:val="top"/>
          </w:tcPr>
          <w:p>
            <w:pPr>
              <w:pStyle w:val="6"/>
              <w:spacing w:before="83" w:line="181" w:lineRule="auto"/>
              <w:ind w:left="371"/>
            </w:pPr>
            <w:r>
              <w:rPr>
                <w:spacing w:val="-2"/>
              </w:rPr>
              <w:t>307.4</w:t>
            </w:r>
          </w:p>
        </w:tc>
        <w:tc>
          <w:tcPr>
            <w:tcW w:w="1206" w:type="dxa"/>
            <w:tcBorders>
              <w:right w:val="nil"/>
            </w:tcBorders>
            <w:vAlign w:val="top"/>
          </w:tcPr>
          <w:p>
            <w:pPr>
              <w:pStyle w:val="6"/>
              <w:spacing w:before="83" w:line="181" w:lineRule="auto"/>
              <w:ind w:left="371"/>
            </w:pPr>
            <w:r>
              <w:rPr>
                <w:spacing w:val="-2"/>
              </w:rPr>
              <w:t>307.4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1438" w:type="dxa"/>
            <w:vMerge w:val="continue"/>
            <w:tcBorders>
              <w:top w:val="nil"/>
              <w:left w:val="nil"/>
            </w:tcBorders>
            <w:vAlign w:val="top"/>
          </w:tcPr>
          <w:p>
            <w:pPr>
              <w:rPr>
                <w:rFonts w:ascii="Arial"/>
                <w:sz w:val="21"/>
              </w:rPr>
            </w:pPr>
          </w:p>
        </w:tc>
        <w:tc>
          <w:tcPr>
            <w:tcW w:w="1079" w:type="dxa"/>
            <w:vAlign w:val="top"/>
          </w:tcPr>
          <w:p>
            <w:pPr>
              <w:spacing w:before="50" w:line="189" w:lineRule="auto"/>
              <w:ind w:left="337"/>
              <w:rPr>
                <w:rFonts w:ascii="仿宋" w:hAnsi="仿宋" w:eastAsia="仿宋" w:cs="仿宋"/>
                <w:sz w:val="21"/>
                <w:szCs w:val="21"/>
              </w:rPr>
            </w:pPr>
            <w:r>
              <w:rPr>
                <w:rFonts w:ascii="仿宋" w:hAnsi="仿宋" w:eastAsia="仿宋" w:cs="仿宋"/>
                <w:spacing w:val="-7"/>
                <w:sz w:val="21"/>
                <w:szCs w:val="21"/>
              </w:rPr>
              <w:t>小计</w:t>
            </w:r>
          </w:p>
        </w:tc>
        <w:tc>
          <w:tcPr>
            <w:tcW w:w="1201" w:type="dxa"/>
            <w:vAlign w:val="top"/>
          </w:tcPr>
          <w:p>
            <w:pPr>
              <w:rPr>
                <w:rFonts w:ascii="Arial"/>
                <w:sz w:val="21"/>
              </w:rPr>
            </w:pPr>
          </w:p>
        </w:tc>
        <w:tc>
          <w:tcPr>
            <w:tcW w:w="1202" w:type="dxa"/>
            <w:vAlign w:val="top"/>
          </w:tcPr>
          <w:p>
            <w:pPr>
              <w:rPr>
                <w:rFonts w:ascii="Arial"/>
                <w:sz w:val="21"/>
              </w:rPr>
            </w:pPr>
          </w:p>
        </w:tc>
        <w:tc>
          <w:tcPr>
            <w:tcW w:w="1206" w:type="dxa"/>
            <w:vAlign w:val="top"/>
          </w:tcPr>
          <w:p>
            <w:pPr>
              <w:rPr>
                <w:rFonts w:ascii="Arial"/>
                <w:sz w:val="21"/>
              </w:rPr>
            </w:pPr>
          </w:p>
        </w:tc>
        <w:tc>
          <w:tcPr>
            <w:tcW w:w="1206" w:type="dxa"/>
            <w:vAlign w:val="top"/>
          </w:tcPr>
          <w:p>
            <w:pPr>
              <w:pStyle w:val="6"/>
              <w:spacing w:before="85" w:line="178" w:lineRule="auto"/>
              <w:ind w:left="373"/>
            </w:pPr>
            <w:r>
              <w:rPr>
                <w:spacing w:val="-2"/>
              </w:rPr>
              <w:t>539.7</w:t>
            </w:r>
          </w:p>
        </w:tc>
        <w:tc>
          <w:tcPr>
            <w:tcW w:w="1206" w:type="dxa"/>
            <w:tcBorders>
              <w:right w:val="nil"/>
            </w:tcBorders>
            <w:vAlign w:val="top"/>
          </w:tcPr>
          <w:p>
            <w:pPr>
              <w:pStyle w:val="6"/>
              <w:spacing w:before="85" w:line="178" w:lineRule="auto"/>
              <w:ind w:left="373"/>
            </w:pPr>
            <w:r>
              <w:rPr>
                <w:spacing w:val="-2"/>
              </w:rPr>
              <w:t>539.7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1438" w:type="dxa"/>
            <w:tcBorders>
              <w:left w:val="nil"/>
            </w:tcBorders>
            <w:vAlign w:val="top"/>
          </w:tcPr>
          <w:p>
            <w:pPr>
              <w:spacing w:before="52" w:line="212" w:lineRule="auto"/>
              <w:ind w:left="423" w:right="182" w:hanging="201"/>
              <w:rPr>
                <w:rFonts w:ascii="仿宋" w:hAnsi="仿宋" w:eastAsia="仿宋" w:cs="仿宋"/>
                <w:sz w:val="21"/>
                <w:szCs w:val="21"/>
              </w:rPr>
            </w:pPr>
            <w:r>
              <w:rPr>
                <w:rFonts w:ascii="仿宋" w:hAnsi="仿宋" w:eastAsia="仿宋" w:cs="仿宋"/>
                <w:spacing w:val="-5"/>
                <w:sz w:val="21"/>
                <w:szCs w:val="21"/>
              </w:rPr>
              <w:t>碧么水库新</w:t>
            </w:r>
            <w:r>
              <w:rPr>
                <w:rFonts w:ascii="仿宋" w:hAnsi="仿宋" w:eastAsia="仿宋" w:cs="仿宋"/>
                <w:spacing w:val="1"/>
                <w:sz w:val="21"/>
                <w:szCs w:val="21"/>
              </w:rPr>
              <w:t xml:space="preserve"> </w:t>
            </w:r>
            <w:r>
              <w:rPr>
                <w:rFonts w:ascii="仿宋" w:hAnsi="仿宋" w:eastAsia="仿宋" w:cs="仿宋"/>
                <w:spacing w:val="-4"/>
                <w:sz w:val="21"/>
                <w:szCs w:val="21"/>
              </w:rPr>
              <w:t>增供水</w:t>
            </w:r>
          </w:p>
        </w:tc>
        <w:tc>
          <w:tcPr>
            <w:tcW w:w="1079" w:type="dxa"/>
            <w:vAlign w:val="top"/>
          </w:tcPr>
          <w:p>
            <w:pPr>
              <w:spacing w:before="188" w:line="218" w:lineRule="auto"/>
              <w:ind w:left="126"/>
              <w:rPr>
                <w:rFonts w:ascii="仿宋" w:hAnsi="仿宋" w:eastAsia="仿宋" w:cs="仿宋"/>
                <w:sz w:val="21"/>
                <w:szCs w:val="21"/>
              </w:rPr>
            </w:pPr>
            <w:r>
              <w:rPr>
                <w:rFonts w:ascii="仿宋" w:hAnsi="仿宋" w:eastAsia="仿宋" w:cs="仿宋"/>
                <w:spacing w:val="-3"/>
                <w:sz w:val="21"/>
                <w:szCs w:val="21"/>
              </w:rPr>
              <w:t>新街灌片</w:t>
            </w:r>
          </w:p>
        </w:tc>
        <w:tc>
          <w:tcPr>
            <w:tcW w:w="1201" w:type="dxa"/>
            <w:vAlign w:val="top"/>
          </w:tcPr>
          <w:p>
            <w:pPr>
              <w:rPr>
                <w:rFonts w:ascii="Arial"/>
                <w:sz w:val="21"/>
              </w:rPr>
            </w:pPr>
          </w:p>
        </w:tc>
        <w:tc>
          <w:tcPr>
            <w:tcW w:w="1202" w:type="dxa"/>
            <w:vAlign w:val="top"/>
          </w:tcPr>
          <w:p>
            <w:pPr>
              <w:rPr>
                <w:rFonts w:ascii="Arial"/>
                <w:sz w:val="21"/>
              </w:rPr>
            </w:pPr>
          </w:p>
        </w:tc>
        <w:tc>
          <w:tcPr>
            <w:tcW w:w="1206" w:type="dxa"/>
            <w:vAlign w:val="top"/>
          </w:tcPr>
          <w:p>
            <w:pPr>
              <w:rPr>
                <w:rFonts w:ascii="Arial"/>
                <w:sz w:val="21"/>
              </w:rPr>
            </w:pPr>
          </w:p>
        </w:tc>
        <w:tc>
          <w:tcPr>
            <w:tcW w:w="1206" w:type="dxa"/>
            <w:vAlign w:val="top"/>
          </w:tcPr>
          <w:p>
            <w:pPr>
              <w:pStyle w:val="6"/>
              <w:spacing w:before="225" w:line="188" w:lineRule="auto"/>
              <w:ind w:left="424"/>
            </w:pPr>
            <w:r>
              <w:rPr>
                <w:spacing w:val="-3"/>
              </w:rPr>
              <w:t>38.6</w:t>
            </w:r>
          </w:p>
        </w:tc>
        <w:tc>
          <w:tcPr>
            <w:tcW w:w="1206" w:type="dxa"/>
            <w:tcBorders>
              <w:right w:val="nil"/>
            </w:tcBorders>
            <w:vAlign w:val="top"/>
          </w:tcPr>
          <w:p>
            <w:pPr>
              <w:pStyle w:val="6"/>
              <w:spacing w:before="225" w:line="188" w:lineRule="auto"/>
              <w:ind w:left="424"/>
            </w:pPr>
            <w:r>
              <w:rPr>
                <w:spacing w:val="-3"/>
              </w:rPr>
              <w:t>38.6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9" w:hRule="atLeast"/>
        </w:trPr>
        <w:tc>
          <w:tcPr>
            <w:tcW w:w="2517" w:type="dxa"/>
            <w:gridSpan w:val="2"/>
            <w:tcBorders>
              <w:left w:val="nil"/>
              <w:bottom w:val="single" w:color="000000" w:sz="12" w:space="0"/>
            </w:tcBorders>
            <w:vAlign w:val="top"/>
          </w:tcPr>
          <w:p>
            <w:pPr>
              <w:spacing w:before="58" w:line="203" w:lineRule="auto"/>
              <w:ind w:left="1074"/>
              <w:rPr>
                <w:rFonts w:ascii="仿宋" w:hAnsi="仿宋" w:eastAsia="仿宋" w:cs="仿宋"/>
                <w:sz w:val="21"/>
                <w:szCs w:val="21"/>
              </w:rPr>
            </w:pPr>
            <w:r>
              <w:rPr>
                <w:rFonts w:ascii="仿宋" w:hAnsi="仿宋" w:eastAsia="仿宋" w:cs="仿宋"/>
                <w:spacing w:val="-5"/>
                <w:sz w:val="21"/>
                <w:szCs w:val="21"/>
              </w:rPr>
              <w:t>合计</w:t>
            </w:r>
          </w:p>
        </w:tc>
        <w:tc>
          <w:tcPr>
            <w:tcW w:w="1201" w:type="dxa"/>
            <w:tcBorders>
              <w:bottom w:val="single" w:color="000000" w:sz="12" w:space="0"/>
            </w:tcBorders>
            <w:vAlign w:val="top"/>
          </w:tcPr>
          <w:p>
            <w:pPr>
              <w:pStyle w:val="6"/>
              <w:spacing w:before="94" w:line="188" w:lineRule="auto"/>
              <w:ind w:left="435"/>
            </w:pPr>
            <w:r>
              <w:rPr>
                <w:spacing w:val="-6"/>
              </w:rPr>
              <w:t>10.3</w:t>
            </w:r>
          </w:p>
        </w:tc>
        <w:tc>
          <w:tcPr>
            <w:tcW w:w="1202" w:type="dxa"/>
            <w:tcBorders>
              <w:bottom w:val="single" w:color="000000" w:sz="12" w:space="0"/>
            </w:tcBorders>
            <w:vAlign w:val="top"/>
          </w:tcPr>
          <w:p>
            <w:pPr>
              <w:pStyle w:val="6"/>
              <w:spacing w:before="94" w:line="188" w:lineRule="auto"/>
              <w:ind w:left="425"/>
            </w:pPr>
            <w:r>
              <w:rPr>
                <w:spacing w:val="-4"/>
              </w:rPr>
              <w:t>81.3</w:t>
            </w:r>
          </w:p>
        </w:tc>
        <w:tc>
          <w:tcPr>
            <w:tcW w:w="1206" w:type="dxa"/>
            <w:tcBorders>
              <w:bottom w:val="single" w:color="000000" w:sz="12" w:space="0"/>
            </w:tcBorders>
            <w:vAlign w:val="top"/>
          </w:tcPr>
          <w:p>
            <w:pPr>
              <w:pStyle w:val="6"/>
              <w:spacing w:before="97" w:line="185" w:lineRule="auto"/>
              <w:ind w:left="425"/>
            </w:pPr>
            <w:r>
              <w:rPr>
                <w:spacing w:val="-3"/>
              </w:rPr>
              <w:t>57.7</w:t>
            </w:r>
          </w:p>
        </w:tc>
        <w:tc>
          <w:tcPr>
            <w:tcW w:w="1206" w:type="dxa"/>
            <w:tcBorders>
              <w:bottom w:val="single" w:color="000000" w:sz="12" w:space="0"/>
            </w:tcBorders>
            <w:vAlign w:val="top"/>
          </w:tcPr>
          <w:p>
            <w:pPr>
              <w:pStyle w:val="6"/>
              <w:spacing w:before="94" w:line="188" w:lineRule="auto"/>
              <w:ind w:left="335"/>
            </w:pPr>
            <w:r>
              <w:rPr>
                <w:spacing w:val="-4"/>
              </w:rPr>
              <w:t>1791.9</w:t>
            </w:r>
          </w:p>
        </w:tc>
        <w:tc>
          <w:tcPr>
            <w:tcW w:w="1206" w:type="dxa"/>
            <w:tcBorders>
              <w:bottom w:val="single" w:color="000000" w:sz="12" w:space="0"/>
              <w:right w:val="nil"/>
            </w:tcBorders>
            <w:vAlign w:val="top"/>
          </w:tcPr>
          <w:p>
            <w:pPr>
              <w:pStyle w:val="6"/>
              <w:spacing w:before="94" w:line="188" w:lineRule="auto"/>
              <w:ind w:left="335"/>
            </w:pPr>
            <w:r>
              <w:rPr>
                <w:spacing w:val="-4"/>
              </w:rPr>
              <w:t>1941.2</w:t>
            </w:r>
          </w:p>
        </w:tc>
      </w:tr>
    </w:tbl>
    <w:p>
      <w:pPr>
        <w:rPr>
          <w:rFonts w:ascii="Arial"/>
          <w:sz w:val="21"/>
        </w:rPr>
      </w:pPr>
    </w:p>
    <w:p>
      <w:pPr>
        <w:rPr>
          <w:rFonts w:ascii="Arial" w:hAnsi="Arial" w:eastAsia="Arial" w:cs="Arial"/>
          <w:sz w:val="21"/>
          <w:szCs w:val="21"/>
        </w:rPr>
        <w:sectPr>
          <w:footerReference r:id="rId133" w:type="default"/>
          <w:pgSz w:w="11907" w:h="16839"/>
          <w:pgMar w:top="1298" w:right="1387" w:bottom="1374" w:left="1501" w:header="1023" w:footer="1210" w:gutter="0"/>
        </w:sectPr>
      </w:pPr>
    </w:p>
    <w:p>
      <w:pPr>
        <w:pStyle w:val="2"/>
        <w:spacing w:before="296"/>
        <w:ind w:left="36"/>
        <w:outlineLvl w:val="1"/>
        <w:rPr>
          <w:sz w:val="27"/>
          <w:szCs w:val="27"/>
        </w:rPr>
      </w:pPr>
      <w:bookmarkStart w:id="22" w:name="bookmark23"/>
      <w:bookmarkEnd w:id="22"/>
      <w:r>
        <w:rPr>
          <w:rFonts w:ascii="Times New Roman" w:hAnsi="Times New Roman" w:eastAsia="Times New Roman" w:cs="Times New Roman"/>
          <w:b/>
          <w:bCs/>
          <w:spacing w:val="5"/>
          <w:sz w:val="27"/>
          <w:szCs w:val="27"/>
        </w:rPr>
        <w:t>2.4</w:t>
      </w:r>
      <w:r>
        <w:rPr>
          <w:rFonts w:ascii="Times New Roman" w:hAnsi="Times New Roman" w:eastAsia="Times New Roman" w:cs="Times New Roman"/>
          <w:b/>
          <w:bCs/>
          <w:spacing w:val="15"/>
          <w:sz w:val="27"/>
          <w:szCs w:val="27"/>
        </w:rPr>
        <w:t xml:space="preserve"> </w:t>
      </w:r>
      <w:r>
        <w:rPr>
          <w:spacing w:val="5"/>
          <w:sz w:val="27"/>
          <w:szCs w:val="27"/>
          <w14:textOutline w14:w="5072" w14:cap="flat" w14:cmpd="sng">
            <w14:solidFill>
              <w14:srgbClr w14:val="000000"/>
            </w14:solidFill>
            <w14:prstDash w14:val="solid"/>
            <w14:miter w14:val="0"/>
          </w14:textOutline>
        </w:rPr>
        <w:t>工程分析</w:t>
      </w:r>
    </w:p>
    <w:p>
      <w:pPr>
        <w:spacing w:line="243" w:lineRule="auto"/>
        <w:rPr>
          <w:rFonts w:ascii="Arial"/>
          <w:sz w:val="21"/>
        </w:rPr>
      </w:pPr>
    </w:p>
    <w:p>
      <w:pPr>
        <w:pStyle w:val="2"/>
        <w:spacing w:before="78" w:line="233" w:lineRule="auto"/>
        <w:ind w:left="35"/>
        <w:outlineLvl w:val="2"/>
        <w:rPr>
          <w:sz w:val="24"/>
          <w:szCs w:val="24"/>
        </w:rPr>
      </w:pPr>
      <w:r>
        <w:rPr>
          <w:rFonts w:ascii="Times New Roman" w:hAnsi="Times New Roman" w:eastAsia="Times New Roman" w:cs="Times New Roman"/>
          <w:b/>
          <w:bCs/>
          <w:sz w:val="24"/>
          <w:szCs w:val="24"/>
        </w:rPr>
        <w:t xml:space="preserve">2.4.1 </w:t>
      </w:r>
      <w:r>
        <w:rPr>
          <w:sz w:val="24"/>
          <w:szCs w:val="24"/>
          <w14:textOutline w14:w="4354" w14:cap="flat" w14:cmpd="sng">
            <w14:solidFill>
              <w14:srgbClr w14:val="000000"/>
            </w14:solidFill>
            <w14:prstDash w14:val="solid"/>
            <w14:miter w14:val="0"/>
          </w14:textOutline>
        </w:rPr>
        <w:t>产业政策符合性</w:t>
      </w:r>
    </w:p>
    <w:p>
      <w:pPr>
        <w:spacing w:before="164" w:line="359" w:lineRule="auto"/>
        <w:ind w:left="40" w:right="114" w:firstLine="479"/>
        <w:jc w:val="both"/>
        <w:rPr>
          <w:rFonts w:ascii="宋体" w:hAnsi="宋体" w:eastAsia="宋体" w:cs="宋体"/>
          <w:sz w:val="24"/>
          <w:szCs w:val="24"/>
        </w:rPr>
      </w:pPr>
      <w:r>
        <w:rPr>
          <w:rFonts w:ascii="宋体" w:hAnsi="宋体" w:eastAsia="宋体" w:cs="宋体"/>
          <w:spacing w:val="-9"/>
          <w:sz w:val="24"/>
          <w:szCs w:val="24"/>
        </w:rPr>
        <w:t>根据《产业结构调整指导目录（</w:t>
      </w:r>
      <w:r>
        <w:rPr>
          <w:rFonts w:ascii="Times New Roman" w:hAnsi="Times New Roman" w:eastAsia="Times New Roman" w:cs="Times New Roman"/>
          <w:spacing w:val="-9"/>
          <w:sz w:val="24"/>
          <w:szCs w:val="24"/>
        </w:rPr>
        <w:t xml:space="preserve">2019 </w:t>
      </w:r>
      <w:r>
        <w:rPr>
          <w:rFonts w:ascii="宋体" w:hAnsi="宋体" w:eastAsia="宋体" w:cs="宋体"/>
          <w:spacing w:val="-9"/>
          <w:sz w:val="24"/>
          <w:szCs w:val="24"/>
        </w:rPr>
        <w:t>年本）》，项目属于第一类 鼓励中“二、水</w:t>
      </w:r>
      <w:r>
        <w:rPr>
          <w:rFonts w:ascii="宋体" w:hAnsi="宋体" w:eastAsia="宋体" w:cs="宋体"/>
          <w:sz w:val="24"/>
          <w:szCs w:val="24"/>
        </w:rPr>
        <w:t xml:space="preserve"> </w:t>
      </w:r>
      <w:r>
        <w:rPr>
          <w:rFonts w:ascii="宋体" w:hAnsi="宋体" w:eastAsia="宋体" w:cs="宋体"/>
          <w:spacing w:val="-7"/>
          <w:sz w:val="24"/>
          <w:szCs w:val="24"/>
        </w:rPr>
        <w:t>利</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w:t>
      </w:r>
      <w:r>
        <w:rPr>
          <w:rFonts w:ascii="宋体" w:hAnsi="宋体" w:eastAsia="宋体" w:cs="宋体"/>
          <w:spacing w:val="-7"/>
          <w:sz w:val="24"/>
          <w:szCs w:val="24"/>
        </w:rPr>
        <w:t>、跨流域调水工程和</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3</w:t>
      </w:r>
      <w:r>
        <w:rPr>
          <w:rFonts w:ascii="宋体" w:hAnsi="宋体" w:eastAsia="宋体" w:cs="宋体"/>
          <w:spacing w:val="-7"/>
          <w:sz w:val="24"/>
          <w:szCs w:val="24"/>
        </w:rPr>
        <w:t>、城乡供水水源工程以及</w:t>
      </w:r>
      <w:r>
        <w:rPr>
          <w:rFonts w:ascii="宋体" w:hAnsi="宋体" w:eastAsia="宋体" w:cs="宋体"/>
          <w:spacing w:val="-56"/>
          <w:sz w:val="24"/>
          <w:szCs w:val="24"/>
        </w:rPr>
        <w:t xml:space="preserve"> </w:t>
      </w:r>
      <w:r>
        <w:rPr>
          <w:rFonts w:ascii="Times New Roman" w:hAnsi="Times New Roman" w:eastAsia="Times New Roman" w:cs="Times New Roman"/>
          <w:spacing w:val="-7"/>
          <w:sz w:val="24"/>
          <w:szCs w:val="24"/>
        </w:rPr>
        <w:t>4</w:t>
      </w:r>
      <w:r>
        <w:rPr>
          <w:rFonts w:ascii="宋体" w:hAnsi="宋体" w:eastAsia="宋体" w:cs="宋体"/>
          <w:spacing w:val="-7"/>
          <w:sz w:val="24"/>
          <w:szCs w:val="24"/>
        </w:rPr>
        <w:t>、</w:t>
      </w:r>
      <w:r>
        <w:rPr>
          <w:rFonts w:ascii="宋体" w:hAnsi="宋体" w:eastAsia="宋体" w:cs="宋体"/>
          <w:spacing w:val="-8"/>
          <w:sz w:val="24"/>
          <w:szCs w:val="24"/>
        </w:rPr>
        <w:t>农村饮水安全工程</w:t>
      </w:r>
      <w:r>
        <w:rPr>
          <w:rFonts w:ascii="宋体" w:hAnsi="宋体" w:eastAsia="宋体" w:cs="宋体"/>
          <w:spacing w:val="-88"/>
          <w:sz w:val="24"/>
          <w:szCs w:val="24"/>
        </w:rPr>
        <w:t xml:space="preserve"> </w:t>
      </w:r>
      <w:r>
        <w:rPr>
          <w:rFonts w:ascii="宋体" w:hAnsi="宋体" w:eastAsia="宋体" w:cs="宋体"/>
          <w:spacing w:val="-8"/>
          <w:sz w:val="24"/>
          <w:szCs w:val="24"/>
        </w:rPr>
        <w:t>”，符合国</w:t>
      </w:r>
    </w:p>
    <w:p>
      <w:pPr>
        <w:spacing w:line="219" w:lineRule="auto"/>
        <w:ind w:left="41"/>
        <w:rPr>
          <w:rFonts w:ascii="宋体" w:hAnsi="宋体" w:eastAsia="宋体" w:cs="宋体"/>
          <w:sz w:val="24"/>
          <w:szCs w:val="24"/>
        </w:rPr>
      </w:pPr>
      <w:r>
        <w:rPr>
          <w:rFonts w:ascii="宋体" w:hAnsi="宋体" w:eastAsia="宋体" w:cs="宋体"/>
          <w:spacing w:val="-7"/>
          <w:sz w:val="24"/>
          <w:szCs w:val="24"/>
        </w:rPr>
        <w:t>家产业政策。</w:t>
      </w:r>
    </w:p>
    <w:p>
      <w:pPr>
        <w:spacing w:line="394" w:lineRule="auto"/>
        <w:rPr>
          <w:rFonts w:ascii="Arial"/>
          <w:sz w:val="21"/>
        </w:rPr>
      </w:pPr>
    </w:p>
    <w:p>
      <w:pPr>
        <w:pStyle w:val="2"/>
        <w:spacing w:before="79" w:line="219" w:lineRule="auto"/>
        <w:ind w:left="35"/>
        <w:outlineLvl w:val="2"/>
        <w:rPr>
          <w:sz w:val="24"/>
          <w:szCs w:val="24"/>
        </w:rPr>
      </w:pPr>
      <w:r>
        <w:rPr>
          <w:rFonts w:ascii="Times New Roman" w:hAnsi="Times New Roman" w:eastAsia="Times New Roman" w:cs="Times New Roman"/>
          <w:b/>
          <w:bCs/>
          <w:spacing w:val="-1"/>
          <w:sz w:val="24"/>
          <w:szCs w:val="24"/>
        </w:rPr>
        <w:t>2.4.2</w:t>
      </w:r>
      <w:r>
        <w:rPr>
          <w:rFonts w:ascii="Times New Roman" w:hAnsi="Times New Roman" w:eastAsia="Times New Roman" w:cs="Times New Roman"/>
          <w:b/>
          <w:bCs/>
          <w:spacing w:val="30"/>
          <w:sz w:val="24"/>
          <w:szCs w:val="24"/>
        </w:rPr>
        <w:t xml:space="preserve"> </w:t>
      </w:r>
      <w:r>
        <w:rPr>
          <w:spacing w:val="-1"/>
          <w:sz w:val="24"/>
          <w:szCs w:val="24"/>
          <w14:textOutline w14:w="4354" w14:cap="flat" w14:cmpd="sng">
            <w14:solidFill>
              <w14:srgbClr w14:val="000000"/>
            </w14:solidFill>
            <w14:prstDash w14:val="solid"/>
            <w14:miter w14:val="0"/>
          </w14:textOutline>
        </w:rPr>
        <w:t>与相关法律法规及条例的符合性分析</w:t>
      </w:r>
    </w:p>
    <w:p>
      <w:pPr>
        <w:spacing w:before="180"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）与《中华人民共和国长江保护法》符合性</w:t>
      </w:r>
    </w:p>
    <w:p>
      <w:pPr>
        <w:spacing w:before="181" w:line="220" w:lineRule="auto"/>
        <w:ind w:left="523"/>
        <w:rPr>
          <w:rFonts w:ascii="宋体" w:hAnsi="宋体" w:eastAsia="宋体" w:cs="宋体"/>
          <w:sz w:val="24"/>
          <w:szCs w:val="24"/>
        </w:rPr>
      </w:pPr>
      <w:r>
        <w:rPr>
          <w:rFonts w:ascii="宋体" w:hAnsi="宋体" w:eastAsia="宋体" w:cs="宋体"/>
          <w:spacing w:val="-2"/>
          <w:sz w:val="24"/>
          <w:szCs w:val="24"/>
        </w:rPr>
        <w:t>项目与《中华人民共和国长江保护法》符合性分析见表</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pPr>
        <w:pStyle w:val="2"/>
        <w:spacing w:before="176" w:line="219" w:lineRule="auto"/>
        <w:ind w:left="1996"/>
      </w:pPr>
      <w:r>
        <w:rPr>
          <w14:textOutline w14:w="3810" w14:cap="flat" w14:cmpd="sng">
            <w14:solidFill>
              <w14:srgbClr w14:val="000000"/>
            </w14:solidFill>
            <w14:prstDash w14:val="solid"/>
            <w14:miter w14:val="0"/>
          </w14:textOutline>
        </w:rPr>
        <w:t>表</w:t>
      </w:r>
      <w:r>
        <w:rPr>
          <w:spacing w:val="-46"/>
        </w:rPr>
        <w:t xml:space="preserve"> </w:t>
      </w:r>
      <w:r>
        <w:rPr>
          <w:rFonts w:ascii="Times New Roman" w:hAnsi="Times New Roman" w:eastAsia="Times New Roman" w:cs="Times New Roman"/>
          <w:b/>
          <w:bCs/>
        </w:rPr>
        <w:t xml:space="preserve">2.5-1  </w:t>
      </w:r>
      <w:r>
        <w:rPr>
          <w14:textOutline w14:w="3810" w14:cap="flat" w14:cmpd="sng">
            <w14:solidFill>
              <w14:srgbClr w14:val="000000"/>
            </w14:solidFill>
            <w14:prstDash w14:val="solid"/>
            <w14:miter w14:val="0"/>
          </w14:textOutline>
        </w:rPr>
        <w:t>项目与《中华人民共和国长江保护法》对照</w:t>
      </w:r>
      <w:r>
        <w:rPr>
          <w:spacing w:val="-1"/>
          <w14:textOutline w14:w="3810" w14:cap="flat" w14:cmpd="sng">
            <w14:solidFill>
              <w14:srgbClr w14:val="000000"/>
            </w14:solidFill>
            <w14:prstDash w14:val="solid"/>
            <w14:miter w14:val="0"/>
          </w14:textOutline>
        </w:rPr>
        <w:t>分析</w:t>
      </w:r>
    </w:p>
    <w:p>
      <w:pPr>
        <w:spacing w:line="130" w:lineRule="exact"/>
      </w:pPr>
    </w:p>
    <w:tbl>
      <w:tblPr>
        <w:tblStyle w:val="5"/>
        <w:tblW w:w="8735"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2"/>
        <w:gridCol w:w="3938"/>
        <w:gridCol w:w="3425"/>
        <w:gridCol w:w="6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4630" w:type="dxa"/>
            <w:gridSpan w:val="2"/>
            <w:tcBorders>
              <w:top w:val="single" w:color="000000" w:sz="12" w:space="0"/>
              <w:left w:val="nil"/>
            </w:tcBorders>
            <w:vAlign w:val="top"/>
          </w:tcPr>
          <w:p>
            <w:pPr>
              <w:spacing w:before="166" w:line="217" w:lineRule="auto"/>
              <w:ind w:left="191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相关内容</w:t>
            </w:r>
          </w:p>
        </w:tc>
        <w:tc>
          <w:tcPr>
            <w:tcW w:w="3425" w:type="dxa"/>
            <w:tcBorders>
              <w:top w:val="single" w:color="000000" w:sz="12" w:space="0"/>
            </w:tcBorders>
            <w:vAlign w:val="top"/>
          </w:tcPr>
          <w:p>
            <w:pPr>
              <w:spacing w:before="166" w:line="218" w:lineRule="auto"/>
              <w:ind w:left="140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本项目</w:t>
            </w:r>
          </w:p>
        </w:tc>
        <w:tc>
          <w:tcPr>
            <w:tcW w:w="680" w:type="dxa"/>
            <w:tcBorders>
              <w:top w:val="single" w:color="000000" w:sz="12" w:space="0"/>
              <w:right w:val="nil"/>
            </w:tcBorders>
            <w:vAlign w:val="top"/>
          </w:tcPr>
          <w:p>
            <w:pPr>
              <w:spacing w:before="30" w:line="222" w:lineRule="auto"/>
              <w:ind w:left="248" w:right="129" w:hanging="102"/>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符合</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4" w:hRule="atLeast"/>
        </w:trPr>
        <w:tc>
          <w:tcPr>
            <w:tcW w:w="692" w:type="dxa"/>
            <w:tcBorders>
              <w:left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9" w:line="229" w:lineRule="auto"/>
              <w:ind w:left="162" w:right="126" w:firstLine="3"/>
              <w:rPr>
                <w:rFonts w:ascii="仿宋" w:hAnsi="仿宋" w:eastAsia="仿宋" w:cs="仿宋"/>
                <w:sz w:val="21"/>
                <w:szCs w:val="21"/>
              </w:rPr>
            </w:pPr>
            <w:r>
              <w:rPr>
                <w:rFonts w:ascii="仿宋" w:hAnsi="仿宋" w:eastAsia="仿宋" w:cs="仿宋"/>
                <w:spacing w:val="-12"/>
                <w:sz w:val="21"/>
                <w:szCs w:val="21"/>
              </w:rPr>
              <w:t>第二</w:t>
            </w:r>
            <w:r>
              <w:rPr>
                <w:rFonts w:ascii="仿宋" w:hAnsi="仿宋" w:eastAsia="仿宋" w:cs="仿宋"/>
                <w:sz w:val="21"/>
                <w:szCs w:val="21"/>
              </w:rPr>
              <w:t xml:space="preserve"> </w:t>
            </w:r>
            <w:r>
              <w:rPr>
                <w:rFonts w:ascii="仿宋" w:hAnsi="仿宋" w:eastAsia="仿宋" w:cs="仿宋"/>
                <w:spacing w:val="-10"/>
                <w:sz w:val="21"/>
                <w:szCs w:val="21"/>
              </w:rPr>
              <w:t>十条</w:t>
            </w:r>
          </w:p>
        </w:tc>
        <w:tc>
          <w:tcPr>
            <w:tcW w:w="3938" w:type="dxa"/>
            <w:vAlign w:val="top"/>
          </w:tcPr>
          <w:p>
            <w:pPr>
              <w:spacing w:before="34" w:line="235" w:lineRule="auto"/>
              <w:ind w:left="121" w:right="256" w:firstLine="442"/>
              <w:rPr>
                <w:rFonts w:ascii="仿宋" w:hAnsi="仿宋" w:eastAsia="仿宋" w:cs="仿宋"/>
                <w:sz w:val="21"/>
                <w:szCs w:val="21"/>
              </w:rPr>
            </w:pPr>
            <w:r>
              <w:rPr>
                <w:rFonts w:ascii="仿宋" w:hAnsi="仿宋" w:eastAsia="仿宋" w:cs="仿宋"/>
                <w:spacing w:val="-3"/>
                <w:sz w:val="21"/>
                <w:szCs w:val="21"/>
              </w:rPr>
              <w:t>国家对长江流域国土空间实施用途</w:t>
            </w:r>
            <w:r>
              <w:rPr>
                <w:rFonts w:ascii="仿宋" w:hAnsi="仿宋" w:eastAsia="仿宋" w:cs="仿宋"/>
                <w:spacing w:val="6"/>
                <w:sz w:val="21"/>
                <w:szCs w:val="21"/>
              </w:rPr>
              <w:t xml:space="preserve"> </w:t>
            </w:r>
            <w:r>
              <w:rPr>
                <w:rFonts w:ascii="仿宋" w:hAnsi="仿宋" w:eastAsia="仿宋" w:cs="仿宋"/>
                <w:spacing w:val="-1"/>
                <w:sz w:val="21"/>
                <w:szCs w:val="21"/>
              </w:rPr>
              <w:t>管制。长江流域县级以上地方人民政府</w:t>
            </w:r>
            <w:r>
              <w:rPr>
                <w:rFonts w:ascii="仿宋" w:hAnsi="仿宋" w:eastAsia="仿宋" w:cs="仿宋"/>
                <w:sz w:val="21"/>
                <w:szCs w:val="21"/>
              </w:rPr>
              <w:t xml:space="preserve"> </w:t>
            </w:r>
            <w:r>
              <w:rPr>
                <w:rFonts w:ascii="仿宋" w:hAnsi="仿宋" w:eastAsia="仿宋" w:cs="仿宋"/>
                <w:spacing w:val="-4"/>
                <w:sz w:val="21"/>
                <w:szCs w:val="21"/>
              </w:rPr>
              <w:t>自然资源主管部门依照国土空间规划，</w:t>
            </w:r>
            <w:r>
              <w:rPr>
                <w:rFonts w:ascii="仿宋" w:hAnsi="仿宋" w:eastAsia="仿宋" w:cs="仿宋"/>
                <w:spacing w:val="7"/>
                <w:sz w:val="21"/>
                <w:szCs w:val="21"/>
              </w:rPr>
              <w:t xml:space="preserve"> </w:t>
            </w:r>
            <w:r>
              <w:rPr>
                <w:rFonts w:ascii="仿宋" w:hAnsi="仿宋" w:eastAsia="仿宋" w:cs="仿宋"/>
                <w:spacing w:val="-1"/>
                <w:sz w:val="21"/>
                <w:szCs w:val="21"/>
              </w:rPr>
              <w:t>对所辖长江流域国土空间实施分区、分</w:t>
            </w:r>
            <w:r>
              <w:rPr>
                <w:rFonts w:ascii="仿宋" w:hAnsi="仿宋" w:eastAsia="仿宋" w:cs="仿宋"/>
                <w:sz w:val="21"/>
                <w:szCs w:val="21"/>
              </w:rPr>
              <w:t xml:space="preserve"> </w:t>
            </w:r>
            <w:r>
              <w:rPr>
                <w:rFonts w:ascii="仿宋" w:hAnsi="仿宋" w:eastAsia="仿宋" w:cs="仿宋"/>
                <w:spacing w:val="-7"/>
                <w:sz w:val="21"/>
                <w:szCs w:val="21"/>
              </w:rPr>
              <w:t>类用途管制。</w:t>
            </w:r>
          </w:p>
          <w:p>
            <w:pPr>
              <w:spacing w:before="24" w:line="230" w:lineRule="auto"/>
              <w:ind w:left="121" w:right="256" w:firstLine="419"/>
              <w:rPr>
                <w:rFonts w:ascii="仿宋" w:hAnsi="仿宋" w:eastAsia="仿宋" w:cs="仿宋"/>
                <w:sz w:val="21"/>
                <w:szCs w:val="21"/>
              </w:rPr>
            </w:pPr>
            <w:r>
              <w:rPr>
                <w:rFonts w:ascii="仿宋" w:hAnsi="仿宋" w:eastAsia="仿宋" w:cs="仿宋"/>
                <w:spacing w:val="-1"/>
                <w:sz w:val="21"/>
                <w:szCs w:val="21"/>
              </w:rPr>
              <w:t>长江流域国土空间开发利用活动应</w:t>
            </w:r>
            <w:r>
              <w:rPr>
                <w:rFonts w:ascii="仿宋" w:hAnsi="仿宋" w:eastAsia="仿宋" w:cs="仿宋"/>
                <w:sz w:val="21"/>
                <w:szCs w:val="21"/>
              </w:rPr>
              <w:t xml:space="preserve"> </w:t>
            </w:r>
            <w:r>
              <w:rPr>
                <w:rFonts w:ascii="仿宋" w:hAnsi="仿宋" w:eastAsia="仿宋" w:cs="仿宋"/>
                <w:spacing w:val="-1"/>
                <w:sz w:val="21"/>
                <w:szCs w:val="21"/>
              </w:rPr>
              <w:t>当符合国土空间用途管制要求，并依法</w:t>
            </w:r>
            <w:r>
              <w:rPr>
                <w:rFonts w:ascii="仿宋" w:hAnsi="仿宋" w:eastAsia="仿宋" w:cs="仿宋"/>
                <w:spacing w:val="1"/>
                <w:sz w:val="21"/>
                <w:szCs w:val="21"/>
              </w:rPr>
              <w:t xml:space="preserve"> </w:t>
            </w:r>
            <w:r>
              <w:rPr>
                <w:rFonts w:ascii="仿宋" w:hAnsi="仿宋" w:eastAsia="仿宋" w:cs="仿宋"/>
                <w:spacing w:val="-1"/>
                <w:sz w:val="21"/>
                <w:szCs w:val="21"/>
              </w:rPr>
              <w:t>取得规划许可。对不符合国土空间用途</w:t>
            </w:r>
            <w:r>
              <w:rPr>
                <w:rFonts w:ascii="仿宋" w:hAnsi="仿宋" w:eastAsia="仿宋" w:cs="仿宋"/>
                <w:spacing w:val="1"/>
                <w:sz w:val="21"/>
                <w:szCs w:val="21"/>
              </w:rPr>
              <w:t xml:space="preserve"> </w:t>
            </w:r>
            <w:r>
              <w:rPr>
                <w:rFonts w:ascii="仿宋" w:hAnsi="仿宋" w:eastAsia="仿宋" w:cs="仿宋"/>
                <w:spacing w:val="-1"/>
                <w:sz w:val="21"/>
                <w:szCs w:val="21"/>
              </w:rPr>
              <w:t>管制要求的，县级以上人民政府自然资</w:t>
            </w:r>
            <w:r>
              <w:rPr>
                <w:rFonts w:ascii="仿宋" w:hAnsi="仿宋" w:eastAsia="仿宋" w:cs="仿宋"/>
                <w:spacing w:val="1"/>
                <w:sz w:val="21"/>
                <w:szCs w:val="21"/>
              </w:rPr>
              <w:t xml:space="preserve"> </w:t>
            </w:r>
            <w:r>
              <w:rPr>
                <w:rFonts w:ascii="仿宋" w:hAnsi="仿宋" w:eastAsia="仿宋" w:cs="仿宋"/>
                <w:spacing w:val="-3"/>
                <w:sz w:val="21"/>
                <w:szCs w:val="21"/>
              </w:rPr>
              <w:t>源主管部门不得办理规划许可。</w:t>
            </w:r>
          </w:p>
        </w:tc>
        <w:tc>
          <w:tcPr>
            <w:tcW w:w="3425" w:type="dxa"/>
            <w:vAlign w:val="top"/>
          </w:tcPr>
          <w:p>
            <w:pPr>
              <w:pStyle w:val="6"/>
              <w:spacing w:before="302" w:line="237" w:lineRule="auto"/>
              <w:ind w:left="118" w:right="164" w:firstLine="421"/>
              <w:rPr>
                <w:rFonts w:ascii="仿宋" w:hAnsi="仿宋" w:eastAsia="仿宋" w:cs="仿宋"/>
              </w:rPr>
            </w:pPr>
            <w:r>
              <w:rPr>
                <w:rFonts w:ascii="仿宋" w:hAnsi="仿宋" w:eastAsia="仿宋" w:cs="仿宋"/>
                <w:spacing w:val="-2"/>
              </w:rPr>
              <w:t>项目属于基础设施建设，已取</w:t>
            </w:r>
            <w:r>
              <w:rPr>
                <w:rFonts w:ascii="仿宋" w:hAnsi="仿宋" w:eastAsia="仿宋" w:cs="仿宋"/>
                <w:spacing w:val="10"/>
              </w:rPr>
              <w:t xml:space="preserve"> </w:t>
            </w:r>
            <w:r>
              <w:rPr>
                <w:rFonts w:ascii="仿宋" w:hAnsi="仿宋" w:eastAsia="仿宋" w:cs="仿宋"/>
                <w:spacing w:val="-1"/>
              </w:rPr>
              <w:t>得《云南省自然资源厅关于大姚县</w:t>
            </w:r>
            <w:r>
              <w:rPr>
                <w:rFonts w:ascii="仿宋" w:hAnsi="仿宋" w:eastAsia="仿宋" w:cs="仿宋"/>
                <w:spacing w:val="1"/>
              </w:rPr>
              <w:t xml:space="preserve"> </w:t>
            </w:r>
            <w:r>
              <w:rPr>
                <w:rFonts w:ascii="仿宋" w:hAnsi="仿宋" w:eastAsia="仿宋" w:cs="仿宋"/>
                <w:spacing w:val="-1"/>
              </w:rPr>
              <w:t>桂花水库工程建设项目农用地转用</w:t>
            </w:r>
            <w:r>
              <w:rPr>
                <w:rFonts w:ascii="仿宋" w:hAnsi="仿宋" w:eastAsia="仿宋" w:cs="仿宋"/>
                <w:spacing w:val="1"/>
              </w:rPr>
              <w:t xml:space="preserve"> </w:t>
            </w:r>
            <w:r>
              <w:rPr>
                <w:rFonts w:ascii="仿宋" w:hAnsi="仿宋" w:eastAsia="仿宋" w:cs="仿宋"/>
                <w:spacing w:val="-8"/>
              </w:rPr>
              <w:t>及土地征收的批复》（云自然资复</w:t>
            </w:r>
            <w:r>
              <w:rPr>
                <w:rFonts w:ascii="仿宋" w:hAnsi="仿宋" w:eastAsia="仿宋" w:cs="仿宋"/>
              </w:rPr>
              <w:t xml:space="preserve">  </w:t>
            </w:r>
            <w:r>
              <w:rPr>
                <w:spacing w:val="-8"/>
              </w:rPr>
              <w:t>[2022]30</w:t>
            </w:r>
            <w:r>
              <w:rPr>
                <w:spacing w:val="33"/>
              </w:rPr>
              <w:t xml:space="preserve"> </w:t>
            </w:r>
            <w:r>
              <w:rPr>
                <w:rFonts w:ascii="仿宋" w:hAnsi="仿宋" w:eastAsia="仿宋" w:cs="仿宋"/>
                <w:spacing w:val="-8"/>
              </w:rPr>
              <w:t>号）、楚雄州自然资源和</w:t>
            </w:r>
            <w:r>
              <w:rPr>
                <w:rFonts w:ascii="仿宋" w:hAnsi="仿宋" w:eastAsia="仿宋" w:cs="仿宋"/>
              </w:rPr>
              <w:t xml:space="preserve">  </w:t>
            </w:r>
            <w:r>
              <w:rPr>
                <w:rFonts w:ascii="仿宋" w:hAnsi="仿宋" w:eastAsia="仿宋" w:cs="仿宋"/>
                <w:spacing w:val="-1"/>
              </w:rPr>
              <w:t>规划局《关于大姚县桂花水库工程</w:t>
            </w:r>
            <w:r>
              <w:rPr>
                <w:rFonts w:ascii="仿宋" w:hAnsi="仿宋" w:eastAsia="仿宋" w:cs="仿宋"/>
              </w:rPr>
              <w:t xml:space="preserve"> </w:t>
            </w:r>
            <w:r>
              <w:rPr>
                <w:rFonts w:ascii="仿宋" w:hAnsi="仿宋" w:eastAsia="仿宋" w:cs="仿宋"/>
                <w:spacing w:val="-8"/>
              </w:rPr>
              <w:t>划拨用地的批复》（楚自然资审批</w:t>
            </w:r>
            <w:r>
              <w:rPr>
                <w:rFonts w:ascii="仿宋" w:hAnsi="仿宋" w:eastAsia="仿宋" w:cs="仿宋"/>
              </w:rPr>
              <w:t xml:space="preserve">  </w:t>
            </w:r>
            <w:r>
              <w:rPr>
                <w:spacing w:val="-9"/>
              </w:rPr>
              <w:t>[2022]148</w:t>
            </w:r>
            <w:r>
              <w:rPr>
                <w:spacing w:val="20"/>
              </w:rPr>
              <w:t xml:space="preserve"> </w:t>
            </w:r>
            <w:r>
              <w:rPr>
                <w:rFonts w:ascii="仿宋" w:hAnsi="仿宋" w:eastAsia="仿宋" w:cs="仿宋"/>
                <w:spacing w:val="-9"/>
              </w:rPr>
              <w:t>号）。</w:t>
            </w:r>
          </w:p>
        </w:tc>
        <w:tc>
          <w:tcPr>
            <w:tcW w:w="680" w:type="dxa"/>
            <w:tcBorders>
              <w:right w:val="nil"/>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69" w:line="217" w:lineRule="auto"/>
              <w:ind w:left="146"/>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68" w:hRule="atLeast"/>
        </w:trPr>
        <w:tc>
          <w:tcPr>
            <w:tcW w:w="692" w:type="dxa"/>
            <w:tcBorders>
              <w:left w:val="nil"/>
              <w:bottom w:val="single" w:color="000000" w:sz="12" w:space="0"/>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8" w:line="233" w:lineRule="auto"/>
              <w:ind w:left="162" w:right="126" w:firstLine="3"/>
              <w:jc w:val="both"/>
              <w:rPr>
                <w:rFonts w:ascii="仿宋" w:hAnsi="仿宋" w:eastAsia="仿宋" w:cs="仿宋"/>
                <w:sz w:val="21"/>
                <w:szCs w:val="21"/>
              </w:rPr>
            </w:pPr>
            <w:r>
              <w:rPr>
                <w:rFonts w:ascii="仿宋" w:hAnsi="仿宋" w:eastAsia="仿宋" w:cs="仿宋"/>
                <w:spacing w:val="-12"/>
                <w:sz w:val="21"/>
                <w:szCs w:val="21"/>
              </w:rPr>
              <w:t>第二</w:t>
            </w:r>
            <w:r>
              <w:rPr>
                <w:rFonts w:ascii="仿宋" w:hAnsi="仿宋" w:eastAsia="仿宋" w:cs="仿宋"/>
                <w:sz w:val="21"/>
                <w:szCs w:val="21"/>
              </w:rPr>
              <w:t xml:space="preserve"> </w:t>
            </w:r>
            <w:r>
              <w:rPr>
                <w:rFonts w:ascii="仿宋" w:hAnsi="仿宋" w:eastAsia="仿宋" w:cs="仿宋"/>
                <w:spacing w:val="-10"/>
                <w:sz w:val="21"/>
                <w:szCs w:val="21"/>
              </w:rPr>
              <w:t>十九</w:t>
            </w:r>
            <w:r>
              <w:rPr>
                <w:rFonts w:ascii="仿宋" w:hAnsi="仿宋" w:eastAsia="仿宋" w:cs="仿宋"/>
                <w:sz w:val="21"/>
                <w:szCs w:val="21"/>
              </w:rPr>
              <w:t xml:space="preserve"> </w:t>
            </w:r>
            <w:r>
              <w:rPr>
                <w:rFonts w:ascii="仿宋" w:hAnsi="仿宋" w:eastAsia="仿宋" w:cs="仿宋"/>
                <w:spacing w:val="32"/>
                <w:w w:val="125"/>
                <w:sz w:val="21"/>
                <w:szCs w:val="21"/>
              </w:rPr>
              <w:t>条</w:t>
            </w:r>
          </w:p>
        </w:tc>
        <w:tc>
          <w:tcPr>
            <w:tcW w:w="3938" w:type="dxa"/>
            <w:tcBorders>
              <w:bottom w:val="single" w:color="000000" w:sz="12" w:space="0"/>
            </w:tcBorders>
            <w:vAlign w:val="top"/>
          </w:tcPr>
          <w:p>
            <w:pPr>
              <w:spacing w:line="328" w:lineRule="auto"/>
              <w:rPr>
                <w:rFonts w:ascii="Arial"/>
                <w:sz w:val="21"/>
              </w:rPr>
            </w:pPr>
          </w:p>
          <w:p>
            <w:pPr>
              <w:spacing w:line="329" w:lineRule="auto"/>
              <w:rPr>
                <w:rFonts w:ascii="Arial"/>
                <w:sz w:val="21"/>
              </w:rPr>
            </w:pPr>
          </w:p>
          <w:p>
            <w:pPr>
              <w:spacing w:before="69" w:line="234" w:lineRule="auto"/>
              <w:ind w:left="121" w:right="256" w:firstLine="419"/>
              <w:jc w:val="both"/>
              <w:rPr>
                <w:rFonts w:ascii="仿宋" w:hAnsi="仿宋" w:eastAsia="仿宋" w:cs="仿宋"/>
                <w:sz w:val="21"/>
                <w:szCs w:val="21"/>
              </w:rPr>
            </w:pPr>
            <w:r>
              <w:rPr>
                <w:rFonts w:ascii="仿宋" w:hAnsi="仿宋" w:eastAsia="仿宋" w:cs="仿宋"/>
                <w:spacing w:val="-1"/>
                <w:sz w:val="21"/>
                <w:szCs w:val="21"/>
              </w:rPr>
              <w:t>长江流域水资源保护与利用，应当</w:t>
            </w:r>
            <w:r>
              <w:rPr>
                <w:rFonts w:ascii="仿宋" w:hAnsi="仿宋" w:eastAsia="仿宋" w:cs="仿宋"/>
                <w:sz w:val="21"/>
                <w:szCs w:val="21"/>
              </w:rPr>
              <w:t xml:space="preserve"> </w:t>
            </w:r>
            <w:r>
              <w:rPr>
                <w:rFonts w:ascii="仿宋" w:hAnsi="仿宋" w:eastAsia="仿宋" w:cs="仿宋"/>
                <w:spacing w:val="-1"/>
                <w:sz w:val="21"/>
                <w:szCs w:val="21"/>
              </w:rPr>
              <w:t>根据流域综合规划，优先满足城乡居民</w:t>
            </w:r>
            <w:r>
              <w:rPr>
                <w:rFonts w:ascii="仿宋" w:hAnsi="仿宋" w:eastAsia="仿宋" w:cs="仿宋"/>
                <w:spacing w:val="1"/>
                <w:sz w:val="21"/>
                <w:szCs w:val="21"/>
              </w:rPr>
              <w:t xml:space="preserve"> </w:t>
            </w:r>
            <w:r>
              <w:rPr>
                <w:rFonts w:ascii="仿宋" w:hAnsi="仿宋" w:eastAsia="仿宋" w:cs="仿宋"/>
                <w:spacing w:val="-1"/>
                <w:sz w:val="21"/>
                <w:szCs w:val="21"/>
              </w:rPr>
              <w:t>生活用水，保障基本生态用水，并统筹</w:t>
            </w:r>
            <w:r>
              <w:rPr>
                <w:rFonts w:ascii="仿宋" w:hAnsi="仿宋" w:eastAsia="仿宋" w:cs="仿宋"/>
                <w:spacing w:val="1"/>
                <w:sz w:val="21"/>
                <w:szCs w:val="21"/>
              </w:rPr>
              <w:t xml:space="preserve"> </w:t>
            </w:r>
            <w:r>
              <w:rPr>
                <w:rFonts w:ascii="仿宋" w:hAnsi="仿宋" w:eastAsia="仿宋" w:cs="仿宋"/>
                <w:spacing w:val="-3"/>
                <w:sz w:val="21"/>
                <w:szCs w:val="21"/>
              </w:rPr>
              <w:t>农业、工业用水以及航运等需要。</w:t>
            </w:r>
          </w:p>
        </w:tc>
        <w:tc>
          <w:tcPr>
            <w:tcW w:w="3425" w:type="dxa"/>
            <w:tcBorders>
              <w:bottom w:val="single" w:color="000000" w:sz="12" w:space="0"/>
            </w:tcBorders>
            <w:vAlign w:val="top"/>
          </w:tcPr>
          <w:p>
            <w:pPr>
              <w:spacing w:before="53" w:line="236" w:lineRule="auto"/>
              <w:ind w:left="147" w:right="135" w:firstLine="1"/>
              <w:jc w:val="both"/>
              <w:rPr>
                <w:rFonts w:ascii="仿宋" w:hAnsi="仿宋" w:eastAsia="仿宋" w:cs="仿宋"/>
                <w:sz w:val="21"/>
                <w:szCs w:val="21"/>
              </w:rPr>
            </w:pPr>
            <w:r>
              <w:rPr>
                <w:rFonts w:ascii="仿宋" w:hAnsi="仿宋" w:eastAsia="仿宋" w:cs="仿宋"/>
                <w:spacing w:val="-1"/>
                <w:sz w:val="21"/>
                <w:szCs w:val="21"/>
              </w:rPr>
              <w:t>项目主要功能为城乡居民用水、工</w:t>
            </w:r>
            <w:r>
              <w:rPr>
                <w:rFonts w:ascii="仿宋" w:hAnsi="仿宋" w:eastAsia="仿宋" w:cs="仿宋"/>
                <w:sz w:val="21"/>
                <w:szCs w:val="21"/>
              </w:rPr>
              <w:t xml:space="preserve"> </w:t>
            </w:r>
            <w:r>
              <w:rPr>
                <w:rFonts w:ascii="仿宋" w:hAnsi="仿宋" w:eastAsia="仿宋" w:cs="仿宋"/>
                <w:spacing w:val="-2"/>
                <w:sz w:val="21"/>
                <w:szCs w:val="21"/>
              </w:rPr>
              <w:t>业用水、灌溉用水，符合《大姚县</w:t>
            </w:r>
            <w:r>
              <w:rPr>
                <w:rFonts w:ascii="仿宋" w:hAnsi="仿宋" w:eastAsia="仿宋" w:cs="仿宋"/>
                <w:spacing w:val="2"/>
                <w:sz w:val="21"/>
                <w:szCs w:val="21"/>
              </w:rPr>
              <w:t xml:space="preserve"> </w:t>
            </w:r>
            <w:r>
              <w:rPr>
                <w:rFonts w:ascii="仿宋" w:hAnsi="仿宋" w:eastAsia="仿宋" w:cs="仿宋"/>
                <w:spacing w:val="-1"/>
                <w:sz w:val="21"/>
                <w:szCs w:val="21"/>
              </w:rPr>
              <w:t>蜻蛉河流域及相关地区水资源配置</w:t>
            </w:r>
            <w:r>
              <w:rPr>
                <w:rFonts w:ascii="仿宋" w:hAnsi="仿宋" w:eastAsia="仿宋" w:cs="仿宋"/>
                <w:spacing w:val="1"/>
                <w:sz w:val="21"/>
                <w:szCs w:val="21"/>
              </w:rPr>
              <w:t xml:space="preserve"> </w:t>
            </w:r>
            <w:r>
              <w:rPr>
                <w:rFonts w:ascii="仿宋" w:hAnsi="仿宋" w:eastAsia="仿宋" w:cs="仿宋"/>
                <w:spacing w:val="-14"/>
                <w:sz w:val="21"/>
                <w:szCs w:val="21"/>
              </w:rPr>
              <w:t>规划》、《云南省百件骨干水源工程</w:t>
            </w:r>
            <w:r>
              <w:rPr>
                <w:rFonts w:ascii="仿宋" w:hAnsi="仿宋" w:eastAsia="仿宋" w:cs="仿宋"/>
                <w:sz w:val="21"/>
                <w:szCs w:val="21"/>
              </w:rPr>
              <w:t xml:space="preserve"> </w:t>
            </w:r>
            <w:r>
              <w:rPr>
                <w:rFonts w:ascii="仿宋" w:hAnsi="仿宋" w:eastAsia="仿宋" w:cs="仿宋"/>
                <w:spacing w:val="-14"/>
                <w:sz w:val="21"/>
                <w:szCs w:val="21"/>
              </w:rPr>
              <w:t>建设规划》、《楚雄州“十四五”水</w:t>
            </w:r>
            <w:r>
              <w:rPr>
                <w:rFonts w:ascii="仿宋" w:hAnsi="仿宋" w:eastAsia="仿宋" w:cs="仿宋"/>
                <w:sz w:val="21"/>
                <w:szCs w:val="21"/>
              </w:rPr>
              <w:t xml:space="preserve"> </w:t>
            </w:r>
            <w:r>
              <w:rPr>
                <w:rFonts w:ascii="仿宋" w:hAnsi="仿宋" w:eastAsia="仿宋" w:cs="仿宋"/>
                <w:spacing w:val="-14"/>
                <w:sz w:val="21"/>
                <w:szCs w:val="21"/>
              </w:rPr>
              <w:t>安全保障规划》、《楚雄北部片区水</w:t>
            </w:r>
            <w:r>
              <w:rPr>
                <w:rFonts w:ascii="仿宋" w:hAnsi="仿宋" w:eastAsia="仿宋" w:cs="仿宋"/>
                <w:sz w:val="21"/>
                <w:szCs w:val="21"/>
              </w:rPr>
              <w:t xml:space="preserve"> </w:t>
            </w:r>
            <w:r>
              <w:rPr>
                <w:rFonts w:ascii="仿宋" w:hAnsi="仿宋" w:eastAsia="仿宋" w:cs="仿宋"/>
                <w:spacing w:val="-5"/>
                <w:sz w:val="21"/>
                <w:szCs w:val="21"/>
              </w:rPr>
              <w:t>资源综合利用规划》。项目设置生</w:t>
            </w:r>
            <w:r>
              <w:rPr>
                <w:rFonts w:ascii="仿宋" w:hAnsi="仿宋" w:eastAsia="仿宋" w:cs="仿宋"/>
                <w:spacing w:val="8"/>
                <w:sz w:val="21"/>
                <w:szCs w:val="21"/>
              </w:rPr>
              <w:t xml:space="preserve"> </w:t>
            </w:r>
            <w:r>
              <w:rPr>
                <w:rFonts w:ascii="仿宋" w:hAnsi="仿宋" w:eastAsia="仿宋" w:cs="仿宋"/>
                <w:spacing w:val="-1"/>
                <w:sz w:val="21"/>
                <w:szCs w:val="21"/>
              </w:rPr>
              <w:t>态下泄措施，保障河道基本用水要</w:t>
            </w:r>
          </w:p>
          <w:p>
            <w:pPr>
              <w:spacing w:before="25" w:line="203" w:lineRule="auto"/>
              <w:ind w:left="1520"/>
              <w:rPr>
                <w:rFonts w:ascii="仿宋" w:hAnsi="仿宋" w:eastAsia="仿宋" w:cs="仿宋"/>
                <w:sz w:val="21"/>
                <w:szCs w:val="21"/>
              </w:rPr>
            </w:pPr>
            <w:r>
              <w:rPr>
                <w:rFonts w:ascii="仿宋" w:hAnsi="仿宋" w:eastAsia="仿宋" w:cs="仿宋"/>
                <w:spacing w:val="-12"/>
                <w:sz w:val="21"/>
                <w:szCs w:val="21"/>
              </w:rPr>
              <w:t>求。</w:t>
            </w:r>
          </w:p>
        </w:tc>
        <w:tc>
          <w:tcPr>
            <w:tcW w:w="680" w:type="dxa"/>
            <w:tcBorders>
              <w:bottom w:val="single" w:color="000000" w:sz="12" w:space="0"/>
              <w:right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8" w:line="217" w:lineRule="auto"/>
              <w:ind w:left="146"/>
              <w:rPr>
                <w:rFonts w:ascii="仿宋" w:hAnsi="仿宋" w:eastAsia="仿宋" w:cs="仿宋"/>
                <w:sz w:val="21"/>
                <w:szCs w:val="21"/>
              </w:rPr>
            </w:pPr>
            <w:r>
              <w:rPr>
                <w:rFonts w:ascii="仿宋" w:hAnsi="仿宋" w:eastAsia="仿宋" w:cs="仿宋"/>
                <w:spacing w:val="-5"/>
                <w:sz w:val="21"/>
                <w:szCs w:val="21"/>
              </w:rPr>
              <w:t>符合</w:t>
            </w:r>
          </w:p>
        </w:tc>
      </w:tr>
    </w:tbl>
    <w:p>
      <w:pPr>
        <w:spacing w:before="35" w:line="220" w:lineRule="auto"/>
        <w:ind w:left="519"/>
        <w:rPr>
          <w:rFonts w:ascii="宋体" w:hAnsi="宋体" w:eastAsia="宋体" w:cs="宋体"/>
          <w:sz w:val="24"/>
          <w:szCs w:val="24"/>
        </w:rPr>
      </w:pPr>
      <w:r>
        <w:rPr>
          <w:rFonts w:ascii="宋体" w:hAnsi="宋体" w:eastAsia="宋体" w:cs="宋体"/>
          <w:spacing w:val="-2"/>
          <w:sz w:val="24"/>
          <w:szCs w:val="24"/>
        </w:rPr>
        <w:t>根据表</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2.4-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，项目建设不违反《中华人民共和国长江保护法》相关要求。</w:t>
      </w:r>
    </w:p>
    <w:p>
      <w:pPr>
        <w:spacing w:before="182" w:line="221"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）与《长江经济带发展负面清单指南（试行</w:t>
      </w:r>
      <w:r>
        <w:rPr>
          <w:rFonts w:ascii="Times New Roman" w:hAnsi="Times New Roman" w:eastAsia="Times New Roman" w:cs="Times New Roman"/>
          <w:spacing w:val="-5"/>
          <w:sz w:val="24"/>
          <w:szCs w:val="24"/>
        </w:rPr>
        <w:t>,2022</w:t>
      </w:r>
      <w:r>
        <w:rPr>
          <w:rFonts w:ascii="宋体" w:hAnsi="宋体" w:eastAsia="宋体" w:cs="宋体"/>
          <w:spacing w:val="-5"/>
          <w:sz w:val="24"/>
          <w:szCs w:val="24"/>
        </w:rPr>
        <w:t>）》符合性</w:t>
      </w:r>
    </w:p>
    <w:p>
      <w:pPr>
        <w:spacing w:before="181" w:line="221" w:lineRule="auto"/>
        <w:ind w:left="523"/>
        <w:rPr>
          <w:rFonts w:ascii="宋体" w:hAnsi="宋体" w:eastAsia="宋体" w:cs="宋体"/>
          <w:sz w:val="24"/>
          <w:szCs w:val="24"/>
        </w:rPr>
      </w:pPr>
      <w:r>
        <w:rPr>
          <w:rFonts w:ascii="宋体" w:hAnsi="宋体" w:eastAsia="宋体" w:cs="宋体"/>
          <w:spacing w:val="-3"/>
          <w:sz w:val="24"/>
          <w:szCs w:val="24"/>
        </w:rPr>
        <w:t>项目与《长江经济带发展负面清单指南（试行</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4"/>
          <w:sz w:val="24"/>
          <w:szCs w:val="24"/>
        </w:rPr>
        <w:t>022</w:t>
      </w:r>
      <w:r>
        <w:rPr>
          <w:rFonts w:ascii="宋体" w:hAnsi="宋体" w:eastAsia="宋体" w:cs="宋体"/>
          <w:spacing w:val="-4"/>
          <w:sz w:val="24"/>
          <w:szCs w:val="24"/>
        </w:rPr>
        <w:t>）》符合性分析见表</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2.4-2</w:t>
      </w:r>
      <w:r>
        <w:rPr>
          <w:rFonts w:ascii="宋体" w:hAnsi="宋体" w:eastAsia="宋体" w:cs="宋体"/>
          <w:spacing w:val="-4"/>
          <w:sz w:val="24"/>
          <w:szCs w:val="24"/>
        </w:rPr>
        <w:t>。</w:t>
      </w:r>
    </w:p>
    <w:p>
      <w:pPr>
        <w:pStyle w:val="2"/>
        <w:spacing w:before="173" w:line="220" w:lineRule="auto"/>
        <w:ind w:left="1129"/>
      </w:pPr>
      <w:r>
        <w:rPr>
          <w:spacing w:val="-2"/>
          <w14:textOutline w14:w="3810" w14:cap="flat" w14:cmpd="sng">
            <w14:solidFill>
              <w14:srgbClr w14:val="000000"/>
            </w14:solidFill>
            <w14:prstDash w14:val="solid"/>
            <w14:miter w14:val="0"/>
          </w14:textOutline>
        </w:rPr>
        <w:t>表</w:t>
      </w:r>
      <w:r>
        <w:rPr>
          <w:spacing w:val="-46"/>
        </w:rPr>
        <w:t xml:space="preserve"> </w:t>
      </w:r>
      <w:r>
        <w:rPr>
          <w:rFonts w:ascii="Times New Roman" w:hAnsi="Times New Roman" w:eastAsia="Times New Roman" w:cs="Times New Roman"/>
          <w:b/>
          <w:bCs/>
          <w:spacing w:val="-2"/>
        </w:rPr>
        <w:t xml:space="preserve">2.4-2    </w:t>
      </w:r>
      <w:r>
        <w:rPr>
          <w:spacing w:val="-2"/>
          <w14:textOutline w14:w="3810" w14:cap="flat" w14:cmpd="sng">
            <w14:solidFill>
              <w14:srgbClr w14:val="000000"/>
            </w14:solidFill>
            <w14:prstDash w14:val="solid"/>
            <w14:miter w14:val="0"/>
          </w14:textOutline>
        </w:rPr>
        <w:t>项目与《云长江经济带发展负</w:t>
      </w:r>
      <w:r>
        <w:rPr>
          <w:spacing w:val="-3"/>
          <w14:textOutline w14:w="3810" w14:cap="flat" w14:cmpd="sng">
            <w14:solidFill>
              <w14:srgbClr w14:val="000000"/>
            </w14:solidFill>
            <w14:prstDash w14:val="solid"/>
            <w14:miter w14:val="0"/>
          </w14:textOutline>
        </w:rPr>
        <w:t>面清单指南（试行</w:t>
      </w:r>
      <w:r>
        <w:rPr>
          <w:rFonts w:ascii="Times New Roman" w:hAnsi="Times New Roman" w:eastAsia="Times New Roman" w:cs="Times New Roman"/>
          <w:b/>
          <w:bCs/>
          <w:spacing w:val="-3"/>
        </w:rPr>
        <w:t>,2022</w:t>
      </w:r>
      <w:r>
        <w:rPr>
          <w:spacing w:val="-3"/>
          <w14:textOutline w14:w="3810" w14:cap="flat" w14:cmpd="sng">
            <w14:solidFill>
              <w14:srgbClr w14:val="000000"/>
            </w14:solidFill>
            <w14:prstDash w14:val="solid"/>
            <w14:miter w14:val="0"/>
          </w14:textOutline>
        </w:rPr>
        <w:t>）》对照分析</w:t>
      </w:r>
    </w:p>
    <w:p>
      <w:pPr>
        <w:spacing w:line="128" w:lineRule="exact"/>
      </w:pPr>
    </w:p>
    <w:tbl>
      <w:tblPr>
        <w:tblStyle w:val="5"/>
        <w:tblW w:w="8735"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8"/>
        <w:gridCol w:w="5308"/>
        <w:gridCol w:w="1549"/>
        <w:gridCol w:w="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4" w:hRule="atLeast"/>
        </w:trPr>
        <w:tc>
          <w:tcPr>
            <w:tcW w:w="998" w:type="dxa"/>
            <w:tcBorders>
              <w:top w:val="single" w:color="000000" w:sz="12" w:space="0"/>
              <w:left w:val="nil"/>
            </w:tcBorders>
            <w:vAlign w:val="top"/>
          </w:tcPr>
          <w:p>
            <w:pPr>
              <w:spacing w:before="30" w:line="205" w:lineRule="auto"/>
              <w:ind w:left="309"/>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5308" w:type="dxa"/>
            <w:tcBorders>
              <w:top w:val="single" w:color="000000" w:sz="12" w:space="0"/>
            </w:tcBorders>
            <w:vAlign w:val="top"/>
          </w:tcPr>
          <w:p>
            <w:pPr>
              <w:spacing w:before="30" w:line="205" w:lineRule="auto"/>
              <w:ind w:left="224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相关内容</w:t>
            </w:r>
          </w:p>
        </w:tc>
        <w:tc>
          <w:tcPr>
            <w:tcW w:w="1549" w:type="dxa"/>
            <w:tcBorders>
              <w:top w:val="single" w:color="000000" w:sz="12" w:space="0"/>
            </w:tcBorders>
            <w:vAlign w:val="top"/>
          </w:tcPr>
          <w:p>
            <w:pPr>
              <w:spacing w:before="30" w:line="205" w:lineRule="auto"/>
              <w:ind w:left="35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项目情况</w:t>
            </w:r>
          </w:p>
        </w:tc>
        <w:tc>
          <w:tcPr>
            <w:tcW w:w="880" w:type="dxa"/>
            <w:tcBorders>
              <w:top w:val="single" w:color="000000" w:sz="12" w:space="0"/>
              <w:right w:val="nil"/>
            </w:tcBorders>
            <w:vAlign w:val="top"/>
          </w:tcPr>
          <w:p>
            <w:pPr>
              <w:spacing w:before="30" w:line="205" w:lineRule="auto"/>
              <w:ind w:left="137"/>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7" w:hRule="atLeast"/>
        </w:trPr>
        <w:tc>
          <w:tcPr>
            <w:tcW w:w="998" w:type="dxa"/>
            <w:tcBorders>
              <w:left w:val="nil"/>
            </w:tcBorders>
            <w:vAlign w:val="top"/>
          </w:tcPr>
          <w:p>
            <w:pPr>
              <w:spacing w:line="280" w:lineRule="auto"/>
              <w:rPr>
                <w:rFonts w:ascii="Arial"/>
                <w:sz w:val="21"/>
              </w:rPr>
            </w:pPr>
          </w:p>
          <w:p>
            <w:pPr>
              <w:pStyle w:val="6"/>
              <w:spacing w:before="60" w:line="188" w:lineRule="auto"/>
              <w:ind w:left="478"/>
            </w:pPr>
            <w:r>
              <w:t>1</w:t>
            </w:r>
          </w:p>
        </w:tc>
        <w:tc>
          <w:tcPr>
            <w:tcW w:w="5308" w:type="dxa"/>
            <w:vAlign w:val="top"/>
          </w:tcPr>
          <w:p>
            <w:pPr>
              <w:spacing w:before="32" w:line="224" w:lineRule="auto"/>
              <w:ind w:left="117" w:right="105" w:firstLine="6"/>
              <w:jc w:val="both"/>
              <w:rPr>
                <w:rFonts w:ascii="仿宋" w:hAnsi="仿宋" w:eastAsia="仿宋" w:cs="仿宋"/>
                <w:sz w:val="21"/>
                <w:szCs w:val="21"/>
              </w:rPr>
            </w:pPr>
            <w:r>
              <w:rPr>
                <w:rFonts w:ascii="仿宋" w:hAnsi="仿宋" w:eastAsia="仿宋" w:cs="仿宋"/>
                <w:spacing w:val="1"/>
                <w:sz w:val="21"/>
                <w:szCs w:val="21"/>
              </w:rPr>
              <w:t>禁止建设不符合全国和省级港口布局规划以及港口总体</w:t>
            </w:r>
            <w:r>
              <w:rPr>
                <w:rFonts w:ascii="仿宋" w:hAnsi="仿宋" w:eastAsia="仿宋" w:cs="仿宋"/>
                <w:spacing w:val="3"/>
                <w:sz w:val="21"/>
                <w:szCs w:val="21"/>
              </w:rPr>
              <w:t xml:space="preserve"> </w:t>
            </w:r>
            <w:r>
              <w:rPr>
                <w:rFonts w:ascii="仿宋" w:hAnsi="仿宋" w:eastAsia="仿宋" w:cs="仿宋"/>
                <w:spacing w:val="1"/>
                <w:sz w:val="21"/>
                <w:szCs w:val="21"/>
              </w:rPr>
              <w:t>规划的码头项目，禁止建设不符合《长江干线过江通道</w:t>
            </w:r>
            <w:r>
              <w:rPr>
                <w:rFonts w:ascii="仿宋" w:hAnsi="仿宋" w:eastAsia="仿宋" w:cs="仿宋"/>
                <w:spacing w:val="10"/>
                <w:sz w:val="21"/>
                <w:szCs w:val="21"/>
              </w:rPr>
              <w:t xml:space="preserve"> </w:t>
            </w:r>
            <w:r>
              <w:rPr>
                <w:rFonts w:ascii="仿宋" w:hAnsi="仿宋" w:eastAsia="仿宋" w:cs="仿宋"/>
                <w:spacing w:val="-3"/>
                <w:sz w:val="21"/>
                <w:szCs w:val="21"/>
              </w:rPr>
              <w:t>布局规划》的过长江通道项目。</w:t>
            </w:r>
          </w:p>
        </w:tc>
        <w:tc>
          <w:tcPr>
            <w:tcW w:w="1549" w:type="dxa"/>
            <w:vAlign w:val="top"/>
          </w:tcPr>
          <w:p>
            <w:pPr>
              <w:spacing w:before="305" w:line="219" w:lineRule="auto"/>
              <w:ind w:left="470"/>
              <w:rPr>
                <w:rFonts w:ascii="仿宋" w:hAnsi="仿宋" w:eastAsia="仿宋" w:cs="仿宋"/>
                <w:sz w:val="21"/>
                <w:szCs w:val="21"/>
              </w:rPr>
            </w:pPr>
            <w:r>
              <w:rPr>
                <w:rFonts w:ascii="仿宋" w:hAnsi="仿宋" w:eastAsia="仿宋" w:cs="仿宋"/>
                <w:spacing w:val="-5"/>
                <w:sz w:val="21"/>
                <w:szCs w:val="21"/>
              </w:rPr>
              <w:t>不涉及</w:t>
            </w:r>
          </w:p>
        </w:tc>
        <w:tc>
          <w:tcPr>
            <w:tcW w:w="880" w:type="dxa"/>
            <w:tcBorders>
              <w:right w:val="nil"/>
            </w:tcBorders>
            <w:vAlign w:val="top"/>
          </w:tcPr>
          <w:p>
            <w:pPr>
              <w:spacing w:before="305" w:line="217" w:lineRule="auto"/>
              <w:ind w:left="242"/>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3" w:hRule="atLeast"/>
        </w:trPr>
        <w:tc>
          <w:tcPr>
            <w:tcW w:w="998" w:type="dxa"/>
            <w:tcBorders>
              <w:left w:val="nil"/>
              <w:bottom w:val="single" w:color="000000" w:sz="12" w:space="0"/>
            </w:tcBorders>
            <w:vAlign w:val="top"/>
          </w:tcPr>
          <w:p>
            <w:pPr>
              <w:pStyle w:val="6"/>
              <w:spacing w:before="221" w:line="188" w:lineRule="auto"/>
              <w:ind w:left="458"/>
            </w:pPr>
            <w:r>
              <w:t>2</w:t>
            </w:r>
          </w:p>
        </w:tc>
        <w:tc>
          <w:tcPr>
            <w:tcW w:w="5308" w:type="dxa"/>
            <w:tcBorders>
              <w:bottom w:val="single" w:color="000000" w:sz="12" w:space="0"/>
            </w:tcBorders>
            <w:vAlign w:val="top"/>
          </w:tcPr>
          <w:p>
            <w:pPr>
              <w:spacing w:before="50" w:line="221" w:lineRule="auto"/>
              <w:ind w:left="117" w:right="103" w:firstLine="6"/>
              <w:rPr>
                <w:rFonts w:ascii="仿宋" w:hAnsi="仿宋" w:eastAsia="仿宋" w:cs="仿宋"/>
                <w:sz w:val="21"/>
                <w:szCs w:val="21"/>
              </w:rPr>
            </w:pPr>
            <w:r>
              <w:rPr>
                <w:rFonts w:ascii="仿宋" w:hAnsi="仿宋" w:eastAsia="仿宋" w:cs="仿宋"/>
                <w:spacing w:val="1"/>
                <w:sz w:val="21"/>
                <w:szCs w:val="21"/>
              </w:rPr>
              <w:t>禁止在自然保护区核心区、缓冲区的岸线和河段范围内</w:t>
            </w:r>
            <w:r>
              <w:rPr>
                <w:rFonts w:ascii="仿宋" w:hAnsi="仿宋" w:eastAsia="仿宋" w:cs="仿宋"/>
                <w:spacing w:val="6"/>
                <w:sz w:val="21"/>
                <w:szCs w:val="21"/>
              </w:rPr>
              <w:t xml:space="preserve"> </w:t>
            </w:r>
            <w:r>
              <w:rPr>
                <w:rFonts w:ascii="仿宋" w:hAnsi="仿宋" w:eastAsia="仿宋" w:cs="仿宋"/>
                <w:spacing w:val="1"/>
                <w:sz w:val="21"/>
                <w:szCs w:val="21"/>
              </w:rPr>
              <w:t>投资建设旅游和生产经营项目。禁止在风景名胜区核心</w:t>
            </w:r>
          </w:p>
        </w:tc>
        <w:tc>
          <w:tcPr>
            <w:tcW w:w="1549" w:type="dxa"/>
            <w:tcBorders>
              <w:bottom w:val="single" w:color="000000" w:sz="12" w:space="0"/>
            </w:tcBorders>
            <w:vAlign w:val="top"/>
          </w:tcPr>
          <w:p>
            <w:pPr>
              <w:spacing w:before="184" w:line="219" w:lineRule="auto"/>
              <w:ind w:left="470"/>
              <w:rPr>
                <w:rFonts w:ascii="仿宋" w:hAnsi="仿宋" w:eastAsia="仿宋" w:cs="仿宋"/>
                <w:sz w:val="21"/>
                <w:szCs w:val="21"/>
              </w:rPr>
            </w:pPr>
            <w:r>
              <w:rPr>
                <w:rFonts w:ascii="仿宋" w:hAnsi="仿宋" w:eastAsia="仿宋" w:cs="仿宋"/>
                <w:spacing w:val="-5"/>
                <w:sz w:val="21"/>
                <w:szCs w:val="21"/>
              </w:rPr>
              <w:t>不涉及</w:t>
            </w:r>
          </w:p>
        </w:tc>
        <w:tc>
          <w:tcPr>
            <w:tcW w:w="880" w:type="dxa"/>
            <w:tcBorders>
              <w:bottom w:val="single" w:color="000000" w:sz="12" w:space="0"/>
              <w:right w:val="nil"/>
            </w:tcBorders>
            <w:vAlign w:val="top"/>
          </w:tcPr>
          <w:p>
            <w:pPr>
              <w:spacing w:before="184" w:line="217" w:lineRule="auto"/>
              <w:ind w:left="242"/>
              <w:rPr>
                <w:rFonts w:ascii="仿宋" w:hAnsi="仿宋" w:eastAsia="仿宋" w:cs="仿宋"/>
                <w:sz w:val="21"/>
                <w:szCs w:val="21"/>
              </w:rPr>
            </w:pPr>
            <w:r>
              <w:rPr>
                <w:rFonts w:ascii="仿宋" w:hAnsi="仿宋" w:eastAsia="仿宋" w:cs="仿宋"/>
                <w:spacing w:val="-5"/>
                <w:sz w:val="21"/>
                <w:szCs w:val="21"/>
              </w:rPr>
              <w:t>符合</w:t>
            </w:r>
          </w:p>
        </w:tc>
      </w:tr>
    </w:tbl>
    <w:p>
      <w:pPr>
        <w:spacing w:line="50" w:lineRule="exact"/>
        <w:rPr>
          <w:rFonts w:ascii="Arial"/>
          <w:sz w:val="4"/>
        </w:rPr>
      </w:pPr>
    </w:p>
    <w:p>
      <w:pPr>
        <w:spacing w:line="50" w:lineRule="exact"/>
        <w:rPr>
          <w:rFonts w:ascii="Arial" w:hAnsi="Arial" w:eastAsia="Arial" w:cs="Arial"/>
          <w:sz w:val="4"/>
          <w:szCs w:val="4"/>
        </w:rPr>
        <w:sectPr>
          <w:headerReference r:id="rId134" w:type="default"/>
          <w:footerReference r:id="rId135" w:type="default"/>
          <w:pgSz w:w="11920" w:h="16840"/>
          <w:pgMar w:top="1183" w:right="1426" w:bottom="1358" w:left="1629" w:header="908" w:footer="1195" w:gutter="0"/>
        </w:sectPr>
      </w:pPr>
    </w:p>
    <w:tbl>
      <w:tblPr>
        <w:tblStyle w:val="5"/>
        <w:tblW w:w="8735"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8"/>
        <w:gridCol w:w="5306"/>
        <w:gridCol w:w="1550"/>
        <w:gridCol w:w="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9" w:hRule="atLeast"/>
        </w:trPr>
        <w:tc>
          <w:tcPr>
            <w:tcW w:w="998" w:type="dxa"/>
            <w:tcBorders>
              <w:top w:val="single" w:color="000000" w:sz="12" w:space="0"/>
              <w:left w:val="nil"/>
            </w:tcBorders>
            <w:vAlign w:val="top"/>
          </w:tcPr>
          <w:p>
            <w:pPr>
              <w:spacing w:before="31" w:line="209" w:lineRule="auto"/>
              <w:ind w:left="309"/>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5306" w:type="dxa"/>
            <w:tcBorders>
              <w:top w:val="single" w:color="000000" w:sz="12" w:space="0"/>
            </w:tcBorders>
            <w:vAlign w:val="top"/>
          </w:tcPr>
          <w:p>
            <w:pPr>
              <w:spacing w:before="31" w:line="209" w:lineRule="auto"/>
              <w:ind w:left="224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相关内容</w:t>
            </w:r>
          </w:p>
        </w:tc>
        <w:tc>
          <w:tcPr>
            <w:tcW w:w="1550" w:type="dxa"/>
            <w:tcBorders>
              <w:top w:val="single" w:color="000000" w:sz="12" w:space="0"/>
            </w:tcBorders>
            <w:vAlign w:val="top"/>
          </w:tcPr>
          <w:p>
            <w:pPr>
              <w:spacing w:before="31" w:line="209" w:lineRule="auto"/>
              <w:ind w:left="36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项目情况</w:t>
            </w:r>
          </w:p>
        </w:tc>
        <w:tc>
          <w:tcPr>
            <w:tcW w:w="881" w:type="dxa"/>
            <w:tcBorders>
              <w:top w:val="single" w:color="000000" w:sz="12" w:space="0"/>
              <w:right w:val="nil"/>
            </w:tcBorders>
            <w:vAlign w:val="top"/>
          </w:tcPr>
          <w:p>
            <w:pPr>
              <w:spacing w:before="31" w:line="209" w:lineRule="auto"/>
              <w:ind w:left="138"/>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3" w:hRule="atLeast"/>
        </w:trPr>
        <w:tc>
          <w:tcPr>
            <w:tcW w:w="998" w:type="dxa"/>
            <w:tcBorders>
              <w:left w:val="nil"/>
            </w:tcBorders>
            <w:vAlign w:val="top"/>
          </w:tcPr>
          <w:p>
            <w:pPr>
              <w:rPr>
                <w:rFonts w:ascii="Arial"/>
                <w:sz w:val="21"/>
              </w:rPr>
            </w:pPr>
          </w:p>
        </w:tc>
        <w:tc>
          <w:tcPr>
            <w:tcW w:w="5306" w:type="dxa"/>
            <w:vAlign w:val="top"/>
          </w:tcPr>
          <w:p>
            <w:pPr>
              <w:spacing w:before="43" w:line="224" w:lineRule="auto"/>
              <w:ind w:left="119" w:right="104" w:hanging="2"/>
              <w:rPr>
                <w:rFonts w:ascii="仿宋" w:hAnsi="仿宋" w:eastAsia="仿宋" w:cs="仿宋"/>
                <w:sz w:val="21"/>
                <w:szCs w:val="21"/>
              </w:rPr>
            </w:pPr>
            <w:r>
              <w:rPr>
                <w:rFonts w:ascii="仿宋" w:hAnsi="仿宋" w:eastAsia="仿宋" w:cs="仿宋"/>
                <w:spacing w:val="1"/>
                <w:sz w:val="21"/>
                <w:szCs w:val="21"/>
              </w:rPr>
              <w:t>景区的岸线和河段范围内投资建设与风景名胜资源保护</w:t>
            </w:r>
            <w:r>
              <w:rPr>
                <w:rFonts w:ascii="仿宋" w:hAnsi="仿宋" w:eastAsia="仿宋" w:cs="仿宋"/>
                <w:spacing w:val="9"/>
                <w:sz w:val="21"/>
                <w:szCs w:val="21"/>
              </w:rPr>
              <w:t xml:space="preserve"> </w:t>
            </w:r>
            <w:r>
              <w:rPr>
                <w:rFonts w:ascii="仿宋" w:hAnsi="仿宋" w:eastAsia="仿宋" w:cs="仿宋"/>
                <w:spacing w:val="-8"/>
                <w:sz w:val="21"/>
                <w:szCs w:val="21"/>
              </w:rPr>
              <w:t>无关项目。</w:t>
            </w:r>
          </w:p>
        </w:tc>
        <w:tc>
          <w:tcPr>
            <w:tcW w:w="1550" w:type="dxa"/>
            <w:vAlign w:val="top"/>
          </w:tcPr>
          <w:p>
            <w:pPr>
              <w:rPr>
                <w:rFonts w:ascii="Arial"/>
                <w:sz w:val="21"/>
              </w:rPr>
            </w:pPr>
          </w:p>
        </w:tc>
        <w:tc>
          <w:tcPr>
            <w:tcW w:w="881"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3" w:hRule="atLeast"/>
        </w:trPr>
        <w:tc>
          <w:tcPr>
            <w:tcW w:w="998" w:type="dxa"/>
            <w:tcBorders>
              <w:left w:val="nil"/>
            </w:tcBorders>
            <w:vAlign w:val="top"/>
          </w:tcPr>
          <w:p>
            <w:pPr>
              <w:spacing w:line="274" w:lineRule="auto"/>
              <w:rPr>
                <w:rFonts w:ascii="Arial"/>
                <w:sz w:val="21"/>
              </w:rPr>
            </w:pPr>
          </w:p>
          <w:p>
            <w:pPr>
              <w:spacing w:line="274" w:lineRule="auto"/>
              <w:rPr>
                <w:rFonts w:ascii="Arial"/>
                <w:sz w:val="21"/>
              </w:rPr>
            </w:pPr>
          </w:p>
          <w:p>
            <w:pPr>
              <w:pStyle w:val="6"/>
              <w:spacing w:before="60" w:line="188" w:lineRule="auto"/>
              <w:ind w:left="462"/>
            </w:pPr>
            <w:r>
              <w:t>3</w:t>
            </w:r>
          </w:p>
        </w:tc>
        <w:tc>
          <w:tcPr>
            <w:tcW w:w="5306" w:type="dxa"/>
            <w:vAlign w:val="top"/>
          </w:tcPr>
          <w:p>
            <w:pPr>
              <w:spacing w:before="27" w:line="233" w:lineRule="auto"/>
              <w:ind w:left="117" w:right="103" w:firstLine="6"/>
              <w:rPr>
                <w:rFonts w:ascii="仿宋" w:hAnsi="仿宋" w:eastAsia="仿宋" w:cs="仿宋"/>
                <w:sz w:val="21"/>
                <w:szCs w:val="21"/>
              </w:rPr>
            </w:pPr>
            <w:r>
              <w:rPr>
                <w:rFonts w:ascii="仿宋" w:hAnsi="仿宋" w:eastAsia="仿宋" w:cs="仿宋"/>
                <w:spacing w:val="1"/>
                <w:sz w:val="21"/>
                <w:szCs w:val="21"/>
              </w:rPr>
              <w:t>禁止在饮用水源一级保护区的岸线和河段范围内</w:t>
            </w:r>
            <w:r>
              <w:rPr>
                <w:rFonts w:ascii="仿宋" w:hAnsi="仿宋" w:eastAsia="仿宋" w:cs="仿宋"/>
                <w:sz w:val="21"/>
                <w:szCs w:val="21"/>
              </w:rPr>
              <w:t xml:space="preserve">新建、 </w:t>
            </w:r>
            <w:r>
              <w:rPr>
                <w:rFonts w:ascii="仿宋" w:hAnsi="仿宋" w:eastAsia="仿宋" w:cs="仿宋"/>
                <w:spacing w:val="1"/>
                <w:sz w:val="21"/>
                <w:szCs w:val="21"/>
              </w:rPr>
              <w:t>改建、扩建与供水设施和保护水源无关项目，以及网箱</w:t>
            </w:r>
            <w:r>
              <w:rPr>
                <w:rFonts w:ascii="仿宋" w:hAnsi="仿宋" w:eastAsia="仿宋" w:cs="仿宋"/>
                <w:spacing w:val="5"/>
                <w:sz w:val="21"/>
                <w:szCs w:val="21"/>
              </w:rPr>
              <w:t xml:space="preserve"> </w:t>
            </w:r>
            <w:r>
              <w:rPr>
                <w:rFonts w:ascii="仿宋" w:hAnsi="仿宋" w:eastAsia="仿宋" w:cs="仿宋"/>
                <w:spacing w:val="1"/>
                <w:sz w:val="21"/>
                <w:szCs w:val="21"/>
              </w:rPr>
              <w:t>养殖、畜禽养殖、旅游等可能污染饮用水水体的投资建</w:t>
            </w:r>
            <w:r>
              <w:rPr>
                <w:rFonts w:ascii="仿宋" w:hAnsi="仿宋" w:eastAsia="仿宋" w:cs="仿宋"/>
                <w:spacing w:val="5"/>
                <w:sz w:val="21"/>
                <w:szCs w:val="21"/>
              </w:rPr>
              <w:t xml:space="preserve"> </w:t>
            </w:r>
            <w:r>
              <w:rPr>
                <w:rFonts w:ascii="仿宋" w:hAnsi="仿宋" w:eastAsia="仿宋" w:cs="仿宋"/>
                <w:spacing w:val="1"/>
                <w:sz w:val="21"/>
                <w:szCs w:val="21"/>
              </w:rPr>
              <w:t>设项目。禁止在饮用水水源二级保护区的岸线和河段范</w:t>
            </w:r>
            <w:r>
              <w:rPr>
                <w:rFonts w:ascii="仿宋" w:hAnsi="仿宋" w:eastAsia="仿宋" w:cs="仿宋"/>
                <w:spacing w:val="10"/>
                <w:sz w:val="21"/>
                <w:szCs w:val="21"/>
              </w:rPr>
              <w:t xml:space="preserve"> </w:t>
            </w:r>
            <w:r>
              <w:rPr>
                <w:rFonts w:ascii="仿宋" w:hAnsi="仿宋" w:eastAsia="仿宋" w:cs="仿宋"/>
                <w:spacing w:val="-2"/>
                <w:sz w:val="21"/>
                <w:szCs w:val="21"/>
              </w:rPr>
              <w:t>围内新建、改建、扩建排放污染物的投资建设项目。</w:t>
            </w:r>
          </w:p>
        </w:tc>
        <w:tc>
          <w:tcPr>
            <w:tcW w:w="1550" w:type="dxa"/>
            <w:vAlign w:val="top"/>
          </w:tcPr>
          <w:p>
            <w:pPr>
              <w:spacing w:line="252" w:lineRule="auto"/>
              <w:rPr>
                <w:rFonts w:ascii="Arial"/>
                <w:sz w:val="21"/>
              </w:rPr>
            </w:pPr>
          </w:p>
          <w:p>
            <w:pPr>
              <w:spacing w:line="252" w:lineRule="auto"/>
              <w:rPr>
                <w:rFonts w:ascii="Arial"/>
                <w:sz w:val="21"/>
              </w:rPr>
            </w:pPr>
          </w:p>
          <w:p>
            <w:pPr>
              <w:spacing w:before="68" w:line="219" w:lineRule="auto"/>
              <w:ind w:left="472"/>
              <w:rPr>
                <w:rFonts w:ascii="仿宋" w:hAnsi="仿宋" w:eastAsia="仿宋" w:cs="仿宋"/>
                <w:sz w:val="21"/>
                <w:szCs w:val="21"/>
              </w:rPr>
            </w:pPr>
            <w:r>
              <w:rPr>
                <w:rFonts w:ascii="仿宋" w:hAnsi="仿宋" w:eastAsia="仿宋" w:cs="仿宋"/>
                <w:spacing w:val="-5"/>
                <w:sz w:val="21"/>
                <w:szCs w:val="21"/>
              </w:rPr>
              <w:t>不涉及</w:t>
            </w:r>
          </w:p>
        </w:tc>
        <w:tc>
          <w:tcPr>
            <w:tcW w:w="881" w:type="dxa"/>
            <w:tcBorders>
              <w:right w:val="nil"/>
            </w:tcBorders>
            <w:vAlign w:val="top"/>
          </w:tcPr>
          <w:p>
            <w:pPr>
              <w:spacing w:line="251" w:lineRule="auto"/>
              <w:rPr>
                <w:rFonts w:ascii="Arial"/>
                <w:sz w:val="21"/>
              </w:rPr>
            </w:pPr>
          </w:p>
          <w:p>
            <w:pPr>
              <w:spacing w:line="252" w:lineRule="auto"/>
              <w:rPr>
                <w:rFonts w:ascii="Arial"/>
                <w:sz w:val="21"/>
              </w:rPr>
            </w:pPr>
          </w:p>
          <w:p>
            <w:pPr>
              <w:spacing w:before="69" w:line="217" w:lineRule="auto"/>
              <w:ind w:left="243"/>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1" w:hRule="atLeast"/>
        </w:trPr>
        <w:tc>
          <w:tcPr>
            <w:tcW w:w="998" w:type="dxa"/>
            <w:tcBorders>
              <w:left w:val="nil"/>
            </w:tcBorders>
            <w:vAlign w:val="top"/>
          </w:tcPr>
          <w:p>
            <w:pPr>
              <w:spacing w:line="417" w:lineRule="auto"/>
              <w:rPr>
                <w:rFonts w:ascii="Arial"/>
                <w:sz w:val="21"/>
              </w:rPr>
            </w:pPr>
          </w:p>
          <w:p>
            <w:pPr>
              <w:pStyle w:val="6"/>
              <w:spacing w:before="60" w:line="188" w:lineRule="auto"/>
              <w:ind w:left="456"/>
            </w:pPr>
            <w:r>
              <w:t>4</w:t>
            </w:r>
          </w:p>
        </w:tc>
        <w:tc>
          <w:tcPr>
            <w:tcW w:w="5306" w:type="dxa"/>
            <w:vAlign w:val="top"/>
          </w:tcPr>
          <w:p>
            <w:pPr>
              <w:spacing w:before="34" w:line="230" w:lineRule="auto"/>
              <w:ind w:left="120" w:right="104" w:firstLine="3"/>
              <w:jc w:val="both"/>
              <w:rPr>
                <w:rFonts w:ascii="仿宋" w:hAnsi="仿宋" w:eastAsia="仿宋" w:cs="仿宋"/>
                <w:sz w:val="21"/>
                <w:szCs w:val="21"/>
              </w:rPr>
            </w:pPr>
            <w:r>
              <w:rPr>
                <w:rFonts w:ascii="仿宋" w:hAnsi="仿宋" w:eastAsia="仿宋" w:cs="仿宋"/>
                <w:spacing w:val="1"/>
                <w:sz w:val="21"/>
                <w:szCs w:val="21"/>
              </w:rPr>
              <w:t>禁止在水产种质资源保护区的岸线和河段范围内新建围</w:t>
            </w:r>
            <w:r>
              <w:rPr>
                <w:rFonts w:ascii="仿宋" w:hAnsi="仿宋" w:eastAsia="仿宋" w:cs="仿宋"/>
                <w:spacing w:val="3"/>
                <w:sz w:val="21"/>
                <w:szCs w:val="21"/>
              </w:rPr>
              <w:t xml:space="preserve"> </w:t>
            </w:r>
            <w:r>
              <w:rPr>
                <w:rFonts w:ascii="仿宋" w:hAnsi="仿宋" w:eastAsia="仿宋" w:cs="仿宋"/>
                <w:spacing w:val="1"/>
                <w:sz w:val="21"/>
                <w:szCs w:val="21"/>
              </w:rPr>
              <w:t>湖造田、围海造地或围填海等投资建设项目。禁止在国</w:t>
            </w:r>
            <w:r>
              <w:rPr>
                <w:rFonts w:ascii="仿宋" w:hAnsi="仿宋" w:eastAsia="仿宋" w:cs="仿宋"/>
                <w:spacing w:val="2"/>
                <w:sz w:val="21"/>
                <w:szCs w:val="21"/>
              </w:rPr>
              <w:t xml:space="preserve"> </w:t>
            </w:r>
            <w:r>
              <w:rPr>
                <w:rFonts w:ascii="仿宋" w:hAnsi="仿宋" w:eastAsia="仿宋" w:cs="仿宋"/>
                <w:spacing w:val="1"/>
                <w:sz w:val="21"/>
                <w:szCs w:val="21"/>
              </w:rPr>
              <w:t>家湿地公园的岸线和河段范围内挖沙。采矿，以及任何</w:t>
            </w:r>
            <w:r>
              <w:rPr>
                <w:rFonts w:ascii="仿宋" w:hAnsi="仿宋" w:eastAsia="仿宋" w:cs="仿宋"/>
                <w:spacing w:val="6"/>
                <w:sz w:val="21"/>
                <w:szCs w:val="21"/>
              </w:rPr>
              <w:t xml:space="preserve"> </w:t>
            </w:r>
            <w:r>
              <w:rPr>
                <w:rFonts w:ascii="仿宋" w:hAnsi="仿宋" w:eastAsia="仿宋" w:cs="仿宋"/>
                <w:spacing w:val="-3"/>
                <w:sz w:val="21"/>
                <w:szCs w:val="21"/>
              </w:rPr>
              <w:t>不符合主体功能定位的投资建设项目。</w:t>
            </w:r>
          </w:p>
        </w:tc>
        <w:tc>
          <w:tcPr>
            <w:tcW w:w="1550" w:type="dxa"/>
            <w:vAlign w:val="top"/>
          </w:tcPr>
          <w:p>
            <w:pPr>
              <w:spacing w:line="372" w:lineRule="auto"/>
              <w:rPr>
                <w:rFonts w:ascii="Arial"/>
                <w:sz w:val="21"/>
              </w:rPr>
            </w:pPr>
          </w:p>
          <w:p>
            <w:pPr>
              <w:spacing w:before="68" w:line="219" w:lineRule="auto"/>
              <w:ind w:left="472"/>
              <w:rPr>
                <w:rFonts w:ascii="仿宋" w:hAnsi="仿宋" w:eastAsia="仿宋" w:cs="仿宋"/>
                <w:sz w:val="21"/>
                <w:szCs w:val="21"/>
              </w:rPr>
            </w:pPr>
            <w:r>
              <w:rPr>
                <w:rFonts w:ascii="仿宋" w:hAnsi="仿宋" w:eastAsia="仿宋" w:cs="仿宋"/>
                <w:spacing w:val="-5"/>
                <w:sz w:val="21"/>
                <w:szCs w:val="21"/>
              </w:rPr>
              <w:t>不涉及</w:t>
            </w:r>
          </w:p>
        </w:tc>
        <w:tc>
          <w:tcPr>
            <w:tcW w:w="881" w:type="dxa"/>
            <w:tcBorders>
              <w:right w:val="nil"/>
            </w:tcBorders>
            <w:vAlign w:val="top"/>
          </w:tcPr>
          <w:p>
            <w:pPr>
              <w:spacing w:line="372" w:lineRule="auto"/>
              <w:rPr>
                <w:rFonts w:ascii="Arial"/>
                <w:sz w:val="21"/>
              </w:rPr>
            </w:pPr>
          </w:p>
          <w:p>
            <w:pPr>
              <w:spacing w:before="68" w:line="217" w:lineRule="auto"/>
              <w:ind w:left="243"/>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7" w:hRule="atLeast"/>
        </w:trPr>
        <w:tc>
          <w:tcPr>
            <w:tcW w:w="998" w:type="dxa"/>
            <w:tcBorders>
              <w:left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pStyle w:val="6"/>
              <w:spacing w:before="61" w:line="185" w:lineRule="auto"/>
              <w:ind w:left="463"/>
            </w:pPr>
            <w:r>
              <w:t>5</w:t>
            </w:r>
          </w:p>
        </w:tc>
        <w:tc>
          <w:tcPr>
            <w:tcW w:w="5306" w:type="dxa"/>
            <w:vAlign w:val="top"/>
          </w:tcPr>
          <w:p>
            <w:pPr>
              <w:spacing w:before="41" w:line="233" w:lineRule="auto"/>
              <w:ind w:left="117" w:right="103" w:firstLine="6"/>
              <w:rPr>
                <w:rFonts w:ascii="仿宋" w:hAnsi="仿宋" w:eastAsia="仿宋" w:cs="仿宋"/>
                <w:sz w:val="21"/>
                <w:szCs w:val="21"/>
              </w:rPr>
            </w:pPr>
            <w:r>
              <w:rPr>
                <w:rFonts w:ascii="仿宋" w:hAnsi="仿宋" w:eastAsia="仿宋" w:cs="仿宋"/>
                <w:spacing w:val="-8"/>
                <w:sz w:val="21"/>
                <w:szCs w:val="21"/>
              </w:rPr>
              <w:t>禁止违法利用、占用长江流域河湖岸线。禁止在《长江岸</w:t>
            </w:r>
            <w:r>
              <w:rPr>
                <w:rFonts w:ascii="仿宋" w:hAnsi="仿宋" w:eastAsia="仿宋" w:cs="仿宋"/>
                <w:spacing w:val="18"/>
                <w:sz w:val="21"/>
                <w:szCs w:val="21"/>
              </w:rPr>
              <w:t xml:space="preserve"> </w:t>
            </w:r>
            <w:r>
              <w:rPr>
                <w:rFonts w:ascii="仿宋" w:hAnsi="仿宋" w:eastAsia="仿宋" w:cs="仿宋"/>
                <w:spacing w:val="1"/>
                <w:sz w:val="21"/>
                <w:szCs w:val="21"/>
              </w:rPr>
              <w:t>线保护和开发利用总体规划》划定的岸线保护区和保留</w:t>
            </w:r>
            <w:r>
              <w:rPr>
                <w:rFonts w:ascii="仿宋" w:hAnsi="仿宋" w:eastAsia="仿宋" w:cs="仿宋"/>
                <w:spacing w:val="5"/>
                <w:sz w:val="21"/>
                <w:szCs w:val="21"/>
              </w:rPr>
              <w:t xml:space="preserve"> </w:t>
            </w:r>
            <w:r>
              <w:rPr>
                <w:rFonts w:ascii="仿宋" w:hAnsi="仿宋" w:eastAsia="仿宋" w:cs="仿宋"/>
                <w:spacing w:val="1"/>
                <w:sz w:val="21"/>
                <w:szCs w:val="21"/>
              </w:rPr>
              <w:t>区内投资建设除事关公共安全及公众利益的防洪护岸、</w:t>
            </w:r>
            <w:r>
              <w:rPr>
                <w:rFonts w:ascii="仿宋" w:hAnsi="仿宋" w:eastAsia="仿宋" w:cs="仿宋"/>
                <w:spacing w:val="3"/>
                <w:sz w:val="21"/>
                <w:szCs w:val="21"/>
              </w:rPr>
              <w:t xml:space="preserve"> </w:t>
            </w:r>
            <w:r>
              <w:rPr>
                <w:rFonts w:ascii="仿宋" w:hAnsi="仿宋" w:eastAsia="仿宋" w:cs="仿宋"/>
                <w:spacing w:val="-7"/>
                <w:sz w:val="21"/>
                <w:szCs w:val="21"/>
              </w:rPr>
              <w:t>河道治理、供水、生态环境保护、航道整治、国家重</w:t>
            </w:r>
            <w:r>
              <w:rPr>
                <w:rFonts w:ascii="仿宋" w:hAnsi="仿宋" w:eastAsia="仿宋" w:cs="仿宋"/>
                <w:spacing w:val="-8"/>
                <w:sz w:val="21"/>
                <w:szCs w:val="21"/>
              </w:rPr>
              <w:t>要基</w:t>
            </w:r>
            <w:r>
              <w:rPr>
                <w:rFonts w:ascii="仿宋" w:hAnsi="仿宋" w:eastAsia="仿宋" w:cs="仿宋"/>
                <w:sz w:val="21"/>
                <w:szCs w:val="21"/>
              </w:rPr>
              <w:t xml:space="preserve"> </w:t>
            </w:r>
            <w:r>
              <w:rPr>
                <w:rFonts w:ascii="仿宋" w:hAnsi="仿宋" w:eastAsia="仿宋" w:cs="仿宋"/>
                <w:spacing w:val="1"/>
                <w:sz w:val="21"/>
                <w:szCs w:val="21"/>
              </w:rPr>
              <w:t>础设施以外的项目。禁止在《全国重要江河湖泊水功能</w:t>
            </w:r>
            <w:r>
              <w:rPr>
                <w:rFonts w:ascii="仿宋" w:hAnsi="仿宋" w:eastAsia="仿宋" w:cs="仿宋"/>
                <w:spacing w:val="10"/>
                <w:sz w:val="21"/>
                <w:szCs w:val="21"/>
              </w:rPr>
              <w:t xml:space="preserve"> </w:t>
            </w:r>
            <w:r>
              <w:rPr>
                <w:rFonts w:ascii="仿宋" w:hAnsi="仿宋" w:eastAsia="仿宋" w:cs="仿宋"/>
                <w:spacing w:val="1"/>
                <w:sz w:val="21"/>
                <w:szCs w:val="21"/>
              </w:rPr>
              <w:t>区划》划定的河段及湖泊保护区、保留区内投资建设不</w:t>
            </w:r>
            <w:r>
              <w:rPr>
                <w:rFonts w:ascii="仿宋" w:hAnsi="仿宋" w:eastAsia="仿宋" w:cs="仿宋"/>
                <w:spacing w:val="10"/>
                <w:sz w:val="21"/>
                <w:szCs w:val="21"/>
              </w:rPr>
              <w:t xml:space="preserve"> </w:t>
            </w:r>
            <w:r>
              <w:rPr>
                <w:rFonts w:ascii="仿宋" w:hAnsi="仿宋" w:eastAsia="仿宋" w:cs="仿宋"/>
                <w:spacing w:val="-1"/>
                <w:sz w:val="21"/>
                <w:szCs w:val="21"/>
              </w:rPr>
              <w:t>利于水资源及自然生态保护的项目。</w:t>
            </w:r>
          </w:p>
        </w:tc>
        <w:tc>
          <w:tcPr>
            <w:tcW w:w="1550" w:type="dxa"/>
            <w:vAlign w:val="top"/>
          </w:tcPr>
          <w:p>
            <w:pPr>
              <w:spacing w:line="323" w:lineRule="auto"/>
              <w:rPr>
                <w:rFonts w:ascii="Arial"/>
                <w:sz w:val="21"/>
              </w:rPr>
            </w:pPr>
          </w:p>
          <w:p>
            <w:pPr>
              <w:spacing w:line="324" w:lineRule="auto"/>
              <w:rPr>
                <w:rFonts w:ascii="Arial"/>
                <w:sz w:val="21"/>
              </w:rPr>
            </w:pPr>
          </w:p>
          <w:p>
            <w:pPr>
              <w:spacing w:before="68" w:line="229" w:lineRule="auto"/>
              <w:ind w:left="363" w:right="140" w:hanging="209"/>
              <w:rPr>
                <w:rFonts w:ascii="仿宋" w:hAnsi="仿宋" w:eastAsia="仿宋" w:cs="仿宋"/>
                <w:sz w:val="21"/>
                <w:szCs w:val="21"/>
              </w:rPr>
            </w:pPr>
            <w:r>
              <w:rPr>
                <w:rFonts w:ascii="仿宋" w:hAnsi="仿宋" w:eastAsia="仿宋" w:cs="仿宋"/>
                <w:spacing w:val="-3"/>
                <w:sz w:val="21"/>
                <w:szCs w:val="21"/>
              </w:rPr>
              <w:t>项目属于供水</w:t>
            </w:r>
            <w:r>
              <w:rPr>
                <w:rFonts w:ascii="仿宋" w:hAnsi="仿宋" w:eastAsia="仿宋" w:cs="仿宋"/>
                <w:spacing w:val="2"/>
                <w:sz w:val="21"/>
                <w:szCs w:val="21"/>
              </w:rPr>
              <w:t xml:space="preserve"> </w:t>
            </w:r>
            <w:r>
              <w:rPr>
                <w:rFonts w:ascii="仿宋" w:hAnsi="仿宋" w:eastAsia="仿宋" w:cs="仿宋"/>
                <w:spacing w:val="-3"/>
                <w:sz w:val="21"/>
                <w:szCs w:val="21"/>
              </w:rPr>
              <w:t>基础设施</w:t>
            </w:r>
          </w:p>
        </w:tc>
        <w:tc>
          <w:tcPr>
            <w:tcW w:w="881" w:type="dxa"/>
            <w:tcBorders>
              <w:right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68" w:line="217" w:lineRule="auto"/>
              <w:ind w:left="243"/>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7" w:hRule="atLeast"/>
        </w:trPr>
        <w:tc>
          <w:tcPr>
            <w:tcW w:w="998" w:type="dxa"/>
            <w:tcBorders>
              <w:left w:val="nil"/>
            </w:tcBorders>
            <w:vAlign w:val="top"/>
          </w:tcPr>
          <w:p>
            <w:pPr>
              <w:pStyle w:val="6"/>
              <w:spacing w:before="214" w:line="188" w:lineRule="auto"/>
              <w:ind w:left="462"/>
            </w:pPr>
            <w:r>
              <w:t>6</w:t>
            </w:r>
          </w:p>
        </w:tc>
        <w:tc>
          <w:tcPr>
            <w:tcW w:w="5306" w:type="dxa"/>
            <w:vAlign w:val="top"/>
          </w:tcPr>
          <w:p>
            <w:pPr>
              <w:spacing w:before="43" w:line="217" w:lineRule="auto"/>
              <w:ind w:left="154" w:right="102" w:hanging="31"/>
              <w:rPr>
                <w:rFonts w:ascii="仿宋" w:hAnsi="仿宋" w:eastAsia="仿宋" w:cs="仿宋"/>
                <w:sz w:val="21"/>
                <w:szCs w:val="21"/>
              </w:rPr>
            </w:pPr>
            <w:r>
              <w:rPr>
                <w:rFonts w:ascii="仿宋" w:hAnsi="仿宋" w:eastAsia="仿宋" w:cs="仿宋"/>
                <w:spacing w:val="1"/>
                <w:sz w:val="21"/>
                <w:szCs w:val="21"/>
              </w:rPr>
              <w:t>禁止未经许可在长江干流及湖泊新设、改设或扩大排污</w:t>
            </w:r>
            <w:r>
              <w:rPr>
                <w:rFonts w:ascii="仿宋" w:hAnsi="仿宋" w:eastAsia="仿宋" w:cs="仿宋"/>
                <w:spacing w:val="5"/>
                <w:sz w:val="21"/>
                <w:szCs w:val="21"/>
              </w:rPr>
              <w:t xml:space="preserve"> </w:t>
            </w:r>
            <w:r>
              <w:rPr>
                <w:rFonts w:ascii="仿宋" w:hAnsi="仿宋" w:eastAsia="仿宋" w:cs="仿宋"/>
                <w:spacing w:val="-20"/>
                <w:sz w:val="21"/>
                <w:szCs w:val="21"/>
              </w:rPr>
              <w:t>口。</w:t>
            </w:r>
          </w:p>
        </w:tc>
        <w:tc>
          <w:tcPr>
            <w:tcW w:w="1550" w:type="dxa"/>
            <w:vAlign w:val="top"/>
          </w:tcPr>
          <w:p>
            <w:pPr>
              <w:spacing w:before="43" w:line="217" w:lineRule="auto"/>
              <w:ind w:left="577" w:right="140" w:hanging="423"/>
              <w:rPr>
                <w:rFonts w:ascii="仿宋" w:hAnsi="仿宋" w:eastAsia="仿宋" w:cs="仿宋"/>
                <w:sz w:val="21"/>
                <w:szCs w:val="21"/>
              </w:rPr>
            </w:pPr>
            <w:r>
              <w:rPr>
                <w:rFonts w:ascii="仿宋" w:hAnsi="仿宋" w:eastAsia="仿宋" w:cs="仿宋"/>
                <w:spacing w:val="-3"/>
                <w:sz w:val="21"/>
                <w:szCs w:val="21"/>
              </w:rPr>
              <w:t>项目不设置排</w:t>
            </w:r>
            <w:r>
              <w:rPr>
                <w:rFonts w:ascii="仿宋" w:hAnsi="仿宋" w:eastAsia="仿宋" w:cs="仿宋"/>
                <w:spacing w:val="2"/>
                <w:sz w:val="21"/>
                <w:szCs w:val="21"/>
              </w:rPr>
              <w:t xml:space="preserve"> </w:t>
            </w:r>
            <w:r>
              <w:rPr>
                <w:rFonts w:ascii="仿宋" w:hAnsi="仿宋" w:eastAsia="仿宋" w:cs="仿宋"/>
                <w:spacing w:val="-5"/>
                <w:sz w:val="21"/>
                <w:szCs w:val="21"/>
              </w:rPr>
              <w:t>污口</w:t>
            </w:r>
          </w:p>
        </w:tc>
        <w:tc>
          <w:tcPr>
            <w:tcW w:w="881" w:type="dxa"/>
            <w:tcBorders>
              <w:right w:val="nil"/>
            </w:tcBorders>
            <w:vAlign w:val="top"/>
          </w:tcPr>
          <w:p>
            <w:pPr>
              <w:spacing w:before="177" w:line="217" w:lineRule="auto"/>
              <w:ind w:left="243"/>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7" w:hRule="atLeast"/>
        </w:trPr>
        <w:tc>
          <w:tcPr>
            <w:tcW w:w="998" w:type="dxa"/>
            <w:tcBorders>
              <w:left w:val="nil"/>
            </w:tcBorders>
            <w:vAlign w:val="top"/>
          </w:tcPr>
          <w:p>
            <w:pPr>
              <w:pStyle w:val="6"/>
              <w:spacing w:before="221" w:line="185" w:lineRule="auto"/>
              <w:ind w:left="461"/>
            </w:pPr>
            <w:r>
              <w:t>7</w:t>
            </w:r>
          </w:p>
        </w:tc>
        <w:tc>
          <w:tcPr>
            <w:tcW w:w="5306" w:type="dxa"/>
            <w:vAlign w:val="top"/>
          </w:tcPr>
          <w:p>
            <w:pPr>
              <w:pStyle w:val="6"/>
              <w:spacing w:before="45" w:line="216" w:lineRule="auto"/>
              <w:ind w:left="118" w:right="103" w:firstLine="5"/>
              <w:rPr>
                <w:rFonts w:ascii="仿宋" w:hAnsi="仿宋" w:eastAsia="仿宋" w:cs="仿宋"/>
              </w:rPr>
            </w:pPr>
            <w:r>
              <w:rPr>
                <w:rFonts w:ascii="仿宋" w:hAnsi="仿宋" w:eastAsia="仿宋" w:cs="仿宋"/>
                <w:spacing w:val="-3"/>
              </w:rPr>
              <w:t>禁止在</w:t>
            </w:r>
            <w:r>
              <w:rPr>
                <w:spacing w:val="-3"/>
              </w:rPr>
              <w:t>“</w:t>
            </w:r>
            <w:r>
              <w:rPr>
                <w:spacing w:val="-19"/>
              </w:rPr>
              <w:t xml:space="preserve"> </w:t>
            </w:r>
            <w:r>
              <w:rPr>
                <w:rFonts w:ascii="仿宋" w:hAnsi="仿宋" w:eastAsia="仿宋" w:cs="仿宋"/>
                <w:spacing w:val="-3"/>
              </w:rPr>
              <w:t>一江一口两湖七河</w:t>
            </w:r>
            <w:r>
              <w:rPr>
                <w:spacing w:val="-3"/>
              </w:rPr>
              <w:t>”</w:t>
            </w:r>
            <w:r>
              <w:rPr>
                <w:rFonts w:ascii="仿宋" w:hAnsi="仿宋" w:eastAsia="仿宋" w:cs="仿宋"/>
                <w:spacing w:val="-3"/>
              </w:rPr>
              <w:t xml:space="preserve">和 </w:t>
            </w:r>
            <w:r>
              <w:rPr>
                <w:spacing w:val="-3"/>
              </w:rPr>
              <w:t xml:space="preserve">332  </w:t>
            </w:r>
            <w:r>
              <w:rPr>
                <w:rFonts w:ascii="仿宋" w:hAnsi="仿宋" w:eastAsia="仿宋" w:cs="仿宋"/>
                <w:spacing w:val="-3"/>
              </w:rPr>
              <w:t>个水生生物保护区开</w:t>
            </w:r>
            <w:r>
              <w:rPr>
                <w:rFonts w:ascii="仿宋" w:hAnsi="仿宋" w:eastAsia="仿宋" w:cs="仿宋"/>
              </w:rPr>
              <w:t xml:space="preserve"> </w:t>
            </w:r>
            <w:r>
              <w:rPr>
                <w:rFonts w:ascii="仿宋" w:hAnsi="仿宋" w:eastAsia="仿宋" w:cs="仿宋"/>
                <w:spacing w:val="-6"/>
              </w:rPr>
              <w:t>展生产性捕捞。</w:t>
            </w:r>
          </w:p>
        </w:tc>
        <w:tc>
          <w:tcPr>
            <w:tcW w:w="1550" w:type="dxa"/>
            <w:vAlign w:val="top"/>
          </w:tcPr>
          <w:p>
            <w:pPr>
              <w:spacing w:before="181" w:line="219" w:lineRule="auto"/>
              <w:ind w:left="472"/>
              <w:rPr>
                <w:rFonts w:ascii="仿宋" w:hAnsi="仿宋" w:eastAsia="仿宋" w:cs="仿宋"/>
                <w:sz w:val="21"/>
                <w:szCs w:val="21"/>
              </w:rPr>
            </w:pPr>
            <w:r>
              <w:rPr>
                <w:rFonts w:ascii="仿宋" w:hAnsi="仿宋" w:eastAsia="仿宋" w:cs="仿宋"/>
                <w:spacing w:val="-5"/>
                <w:sz w:val="21"/>
                <w:szCs w:val="21"/>
              </w:rPr>
              <w:t>不涉及</w:t>
            </w:r>
          </w:p>
        </w:tc>
        <w:tc>
          <w:tcPr>
            <w:tcW w:w="881" w:type="dxa"/>
            <w:tcBorders>
              <w:right w:val="nil"/>
            </w:tcBorders>
            <w:vAlign w:val="top"/>
          </w:tcPr>
          <w:p>
            <w:pPr>
              <w:spacing w:before="181" w:line="217" w:lineRule="auto"/>
              <w:ind w:left="243"/>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4" w:hRule="atLeast"/>
        </w:trPr>
        <w:tc>
          <w:tcPr>
            <w:tcW w:w="998" w:type="dxa"/>
            <w:tcBorders>
              <w:left w:val="nil"/>
            </w:tcBorders>
            <w:vAlign w:val="top"/>
          </w:tcPr>
          <w:p>
            <w:pPr>
              <w:spacing w:line="283" w:lineRule="auto"/>
              <w:rPr>
                <w:rFonts w:ascii="Arial"/>
                <w:sz w:val="21"/>
              </w:rPr>
            </w:pPr>
          </w:p>
          <w:p>
            <w:pPr>
              <w:spacing w:line="283" w:lineRule="auto"/>
              <w:rPr>
                <w:rFonts w:ascii="Arial"/>
                <w:sz w:val="21"/>
              </w:rPr>
            </w:pPr>
          </w:p>
          <w:p>
            <w:pPr>
              <w:pStyle w:val="6"/>
              <w:spacing w:before="60" w:line="188" w:lineRule="auto"/>
              <w:ind w:left="466"/>
            </w:pPr>
            <w:r>
              <w:t>8</w:t>
            </w:r>
          </w:p>
        </w:tc>
        <w:tc>
          <w:tcPr>
            <w:tcW w:w="5306" w:type="dxa"/>
            <w:vAlign w:val="top"/>
          </w:tcPr>
          <w:p>
            <w:pPr>
              <w:spacing w:before="45" w:line="230" w:lineRule="auto"/>
              <w:ind w:left="117" w:right="103" w:firstLine="6"/>
              <w:rPr>
                <w:rFonts w:ascii="仿宋" w:hAnsi="仿宋" w:eastAsia="仿宋" w:cs="仿宋"/>
                <w:sz w:val="21"/>
                <w:szCs w:val="21"/>
              </w:rPr>
            </w:pPr>
            <w:r>
              <w:rPr>
                <w:rFonts w:ascii="仿宋" w:hAnsi="仿宋" w:eastAsia="仿宋" w:cs="仿宋"/>
                <w:spacing w:val="1"/>
                <w:sz w:val="21"/>
                <w:szCs w:val="21"/>
              </w:rPr>
              <w:t>禁止在长江干支流、重要湖泊岸线一公里范围内</w:t>
            </w:r>
            <w:r>
              <w:rPr>
                <w:rFonts w:ascii="仿宋" w:hAnsi="仿宋" w:eastAsia="仿宋" w:cs="仿宋"/>
                <w:sz w:val="21"/>
                <w:szCs w:val="21"/>
              </w:rPr>
              <w:t xml:space="preserve">新建、 </w:t>
            </w:r>
            <w:r>
              <w:rPr>
                <w:rFonts w:ascii="仿宋" w:hAnsi="仿宋" w:eastAsia="仿宋" w:cs="仿宋"/>
                <w:spacing w:val="1"/>
                <w:sz w:val="21"/>
                <w:szCs w:val="21"/>
              </w:rPr>
              <w:t>扩建化工园区和化工项目。禁止在长江干流岸线三公里</w:t>
            </w:r>
            <w:r>
              <w:rPr>
                <w:rFonts w:ascii="仿宋" w:hAnsi="仿宋" w:eastAsia="仿宋" w:cs="仿宋"/>
                <w:spacing w:val="5"/>
                <w:sz w:val="21"/>
                <w:szCs w:val="21"/>
              </w:rPr>
              <w:t xml:space="preserve"> </w:t>
            </w:r>
            <w:r>
              <w:rPr>
                <w:rFonts w:ascii="仿宋" w:hAnsi="仿宋" w:eastAsia="仿宋" w:cs="仿宋"/>
                <w:spacing w:val="1"/>
                <w:sz w:val="21"/>
                <w:szCs w:val="21"/>
              </w:rPr>
              <w:t>范围内和重要支流岸线一公里范围内新建、改建、扩建</w:t>
            </w:r>
            <w:r>
              <w:rPr>
                <w:rFonts w:ascii="仿宋" w:hAnsi="仿宋" w:eastAsia="仿宋" w:cs="仿宋"/>
                <w:spacing w:val="5"/>
                <w:sz w:val="21"/>
                <w:szCs w:val="21"/>
              </w:rPr>
              <w:t xml:space="preserve"> </w:t>
            </w:r>
            <w:r>
              <w:rPr>
                <w:rFonts w:ascii="仿宋" w:hAnsi="仿宋" w:eastAsia="仿宋" w:cs="仿宋"/>
                <w:spacing w:val="-12"/>
                <w:sz w:val="21"/>
                <w:szCs w:val="21"/>
              </w:rPr>
              <w:t>尾矿库、冶炼渣库和磷石膏库，</w:t>
            </w:r>
            <w:r>
              <w:rPr>
                <w:rFonts w:ascii="仿宋" w:hAnsi="仿宋" w:eastAsia="仿宋" w:cs="仿宋"/>
                <w:spacing w:val="25"/>
                <w:sz w:val="21"/>
                <w:szCs w:val="21"/>
              </w:rPr>
              <w:t xml:space="preserve"> </w:t>
            </w:r>
            <w:r>
              <w:rPr>
                <w:rFonts w:ascii="仿宋" w:hAnsi="仿宋" w:eastAsia="仿宋" w:cs="仿宋"/>
                <w:spacing w:val="-12"/>
                <w:sz w:val="21"/>
                <w:szCs w:val="21"/>
              </w:rPr>
              <w:t>以提升安全</w:t>
            </w:r>
            <w:r>
              <w:rPr>
                <w:rFonts w:ascii="仿宋" w:hAnsi="仿宋" w:eastAsia="仿宋" w:cs="仿宋"/>
                <w:spacing w:val="-13"/>
                <w:sz w:val="21"/>
                <w:szCs w:val="21"/>
              </w:rPr>
              <w:t>、生态环境保</w:t>
            </w:r>
            <w:r>
              <w:rPr>
                <w:rFonts w:ascii="仿宋" w:hAnsi="仿宋" w:eastAsia="仿宋" w:cs="仿宋"/>
                <w:sz w:val="21"/>
                <w:szCs w:val="21"/>
              </w:rPr>
              <w:t xml:space="preserve"> </w:t>
            </w:r>
            <w:r>
              <w:rPr>
                <w:rFonts w:ascii="仿宋" w:hAnsi="仿宋" w:eastAsia="仿宋" w:cs="仿宋"/>
                <w:spacing w:val="-3"/>
                <w:sz w:val="21"/>
                <w:szCs w:val="21"/>
              </w:rPr>
              <w:t>护水平为目</w:t>
            </w:r>
            <w:r>
              <w:rPr>
                <w:rFonts w:hint="eastAsia" w:ascii="仿宋" w:hAnsi="仿宋" w:eastAsia="仿宋" w:cs="仿宋"/>
                <w:spacing w:val="-3"/>
                <w:sz w:val="21"/>
                <w:szCs w:val="21"/>
                <w:lang w:eastAsia="zh-CN"/>
              </w:rPr>
              <w:t>的</w:t>
            </w:r>
            <w:r>
              <w:rPr>
                <w:rFonts w:ascii="仿宋" w:hAnsi="仿宋" w:eastAsia="仿宋" w:cs="仿宋"/>
                <w:spacing w:val="-3"/>
                <w:sz w:val="21"/>
                <w:szCs w:val="21"/>
              </w:rPr>
              <w:t>改建除外。</w:t>
            </w:r>
          </w:p>
        </w:tc>
        <w:tc>
          <w:tcPr>
            <w:tcW w:w="1550" w:type="dxa"/>
            <w:vAlign w:val="top"/>
          </w:tcPr>
          <w:p>
            <w:pPr>
              <w:spacing w:line="260" w:lineRule="auto"/>
              <w:rPr>
                <w:rFonts w:ascii="Arial"/>
                <w:sz w:val="21"/>
              </w:rPr>
            </w:pPr>
          </w:p>
          <w:p>
            <w:pPr>
              <w:spacing w:line="261" w:lineRule="auto"/>
              <w:rPr>
                <w:rFonts w:ascii="Arial"/>
                <w:sz w:val="21"/>
              </w:rPr>
            </w:pPr>
          </w:p>
          <w:p>
            <w:pPr>
              <w:spacing w:before="68" w:line="219" w:lineRule="auto"/>
              <w:ind w:left="472"/>
              <w:rPr>
                <w:rFonts w:ascii="仿宋" w:hAnsi="仿宋" w:eastAsia="仿宋" w:cs="仿宋"/>
                <w:sz w:val="21"/>
                <w:szCs w:val="21"/>
              </w:rPr>
            </w:pPr>
            <w:r>
              <w:rPr>
                <w:rFonts w:ascii="仿宋" w:hAnsi="仿宋" w:eastAsia="仿宋" w:cs="仿宋"/>
                <w:spacing w:val="-5"/>
                <w:sz w:val="21"/>
                <w:szCs w:val="21"/>
              </w:rPr>
              <w:t>不涉及</w:t>
            </w:r>
          </w:p>
        </w:tc>
        <w:tc>
          <w:tcPr>
            <w:tcW w:w="881" w:type="dxa"/>
            <w:tcBorders>
              <w:right w:val="nil"/>
            </w:tcBorders>
            <w:vAlign w:val="top"/>
          </w:tcPr>
          <w:p>
            <w:pPr>
              <w:spacing w:line="260" w:lineRule="auto"/>
              <w:rPr>
                <w:rFonts w:ascii="Arial"/>
                <w:sz w:val="21"/>
              </w:rPr>
            </w:pPr>
          </w:p>
          <w:p>
            <w:pPr>
              <w:spacing w:line="261" w:lineRule="auto"/>
              <w:rPr>
                <w:rFonts w:ascii="Arial"/>
                <w:sz w:val="21"/>
              </w:rPr>
            </w:pPr>
          </w:p>
          <w:p>
            <w:pPr>
              <w:spacing w:before="68" w:line="217" w:lineRule="auto"/>
              <w:ind w:left="243"/>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7" w:hRule="atLeast"/>
        </w:trPr>
        <w:tc>
          <w:tcPr>
            <w:tcW w:w="998" w:type="dxa"/>
            <w:tcBorders>
              <w:left w:val="nil"/>
            </w:tcBorders>
            <w:vAlign w:val="top"/>
          </w:tcPr>
          <w:p>
            <w:pPr>
              <w:pStyle w:val="6"/>
              <w:spacing w:before="223" w:line="188" w:lineRule="auto"/>
              <w:ind w:left="462"/>
            </w:pPr>
            <w:r>
              <w:t>9</w:t>
            </w:r>
          </w:p>
        </w:tc>
        <w:tc>
          <w:tcPr>
            <w:tcW w:w="5306" w:type="dxa"/>
            <w:vAlign w:val="top"/>
          </w:tcPr>
          <w:p>
            <w:pPr>
              <w:spacing w:before="50" w:line="214" w:lineRule="auto"/>
              <w:ind w:left="117" w:right="32" w:firstLine="5"/>
              <w:rPr>
                <w:rFonts w:ascii="仿宋" w:hAnsi="仿宋" w:eastAsia="仿宋" w:cs="仿宋"/>
                <w:sz w:val="21"/>
                <w:szCs w:val="21"/>
              </w:rPr>
            </w:pPr>
            <w:r>
              <w:rPr>
                <w:rFonts w:ascii="仿宋" w:hAnsi="仿宋" w:eastAsia="仿宋" w:cs="仿宋"/>
                <w:spacing w:val="-10"/>
                <w:sz w:val="21"/>
                <w:szCs w:val="21"/>
              </w:rPr>
              <w:t>禁止在合规园区外新建、扩建钢铁、</w:t>
            </w:r>
            <w:r>
              <w:rPr>
                <w:rFonts w:ascii="仿宋" w:hAnsi="仿宋" w:eastAsia="仿宋" w:cs="仿宋"/>
                <w:spacing w:val="33"/>
                <w:sz w:val="21"/>
                <w:szCs w:val="21"/>
              </w:rPr>
              <w:t xml:space="preserve"> </w:t>
            </w:r>
            <w:r>
              <w:rPr>
                <w:rFonts w:ascii="仿宋" w:hAnsi="仿宋" w:eastAsia="仿宋" w:cs="仿宋"/>
                <w:spacing w:val="-10"/>
                <w:sz w:val="21"/>
                <w:szCs w:val="21"/>
              </w:rPr>
              <w:t>石化、化工、焦化、</w:t>
            </w:r>
            <w:r>
              <w:rPr>
                <w:rFonts w:ascii="仿宋" w:hAnsi="仿宋" w:eastAsia="仿宋" w:cs="仿宋"/>
                <w:sz w:val="21"/>
                <w:szCs w:val="21"/>
              </w:rPr>
              <w:t xml:space="preserve"> </w:t>
            </w:r>
            <w:r>
              <w:rPr>
                <w:rFonts w:ascii="仿宋" w:hAnsi="仿宋" w:eastAsia="仿宋" w:cs="仿宋"/>
                <w:spacing w:val="-3"/>
                <w:sz w:val="21"/>
                <w:szCs w:val="21"/>
              </w:rPr>
              <w:t>建材、有色制浆造纸等高污染项目。</w:t>
            </w:r>
          </w:p>
        </w:tc>
        <w:tc>
          <w:tcPr>
            <w:tcW w:w="1550" w:type="dxa"/>
            <w:vAlign w:val="top"/>
          </w:tcPr>
          <w:p>
            <w:pPr>
              <w:spacing w:before="187" w:line="219" w:lineRule="auto"/>
              <w:ind w:left="472"/>
              <w:rPr>
                <w:rFonts w:ascii="仿宋" w:hAnsi="仿宋" w:eastAsia="仿宋" w:cs="仿宋"/>
                <w:sz w:val="21"/>
                <w:szCs w:val="21"/>
              </w:rPr>
            </w:pPr>
            <w:r>
              <w:rPr>
                <w:rFonts w:ascii="仿宋" w:hAnsi="仿宋" w:eastAsia="仿宋" w:cs="仿宋"/>
                <w:spacing w:val="-5"/>
                <w:sz w:val="21"/>
                <w:szCs w:val="21"/>
              </w:rPr>
              <w:t>不涉及</w:t>
            </w:r>
          </w:p>
        </w:tc>
        <w:tc>
          <w:tcPr>
            <w:tcW w:w="881" w:type="dxa"/>
            <w:tcBorders>
              <w:right w:val="nil"/>
            </w:tcBorders>
            <w:vAlign w:val="top"/>
          </w:tcPr>
          <w:p>
            <w:pPr>
              <w:spacing w:before="187" w:line="217" w:lineRule="auto"/>
              <w:ind w:left="243"/>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7" w:hRule="atLeast"/>
        </w:trPr>
        <w:tc>
          <w:tcPr>
            <w:tcW w:w="998" w:type="dxa"/>
            <w:tcBorders>
              <w:left w:val="nil"/>
            </w:tcBorders>
            <w:vAlign w:val="top"/>
          </w:tcPr>
          <w:p>
            <w:pPr>
              <w:pStyle w:val="6"/>
              <w:spacing w:before="226" w:line="188" w:lineRule="auto"/>
              <w:ind w:left="425"/>
            </w:pPr>
            <w:r>
              <w:rPr>
                <w:spacing w:val="-6"/>
              </w:rPr>
              <w:t>10</w:t>
            </w:r>
          </w:p>
        </w:tc>
        <w:tc>
          <w:tcPr>
            <w:tcW w:w="5306" w:type="dxa"/>
            <w:vAlign w:val="top"/>
          </w:tcPr>
          <w:p>
            <w:pPr>
              <w:spacing w:before="54" w:line="212" w:lineRule="auto"/>
              <w:ind w:left="121" w:right="108" w:firstLine="2"/>
              <w:rPr>
                <w:rFonts w:ascii="仿宋" w:hAnsi="仿宋" w:eastAsia="仿宋" w:cs="仿宋"/>
                <w:sz w:val="21"/>
                <w:szCs w:val="21"/>
              </w:rPr>
            </w:pPr>
            <w:r>
              <w:rPr>
                <w:rFonts w:ascii="仿宋" w:hAnsi="仿宋" w:eastAsia="仿宋" w:cs="仿宋"/>
                <w:spacing w:val="1"/>
                <w:sz w:val="21"/>
                <w:szCs w:val="21"/>
              </w:rPr>
              <w:t>禁止新建、扩建不符合国家石化、现代煤化工等产业布</w:t>
            </w:r>
            <w:r>
              <w:rPr>
                <w:rFonts w:ascii="仿宋" w:hAnsi="仿宋" w:eastAsia="仿宋" w:cs="仿宋"/>
                <w:sz w:val="21"/>
                <w:szCs w:val="21"/>
              </w:rPr>
              <w:t xml:space="preserve"> </w:t>
            </w:r>
            <w:r>
              <w:rPr>
                <w:rFonts w:ascii="仿宋" w:hAnsi="仿宋" w:eastAsia="仿宋" w:cs="仿宋"/>
                <w:spacing w:val="-6"/>
                <w:sz w:val="21"/>
                <w:szCs w:val="21"/>
              </w:rPr>
              <w:t>局规划的项目。</w:t>
            </w:r>
          </w:p>
        </w:tc>
        <w:tc>
          <w:tcPr>
            <w:tcW w:w="1550" w:type="dxa"/>
            <w:vAlign w:val="top"/>
          </w:tcPr>
          <w:p>
            <w:pPr>
              <w:spacing w:before="189" w:line="219" w:lineRule="auto"/>
              <w:ind w:left="472"/>
              <w:rPr>
                <w:rFonts w:ascii="仿宋" w:hAnsi="仿宋" w:eastAsia="仿宋" w:cs="仿宋"/>
                <w:sz w:val="21"/>
                <w:szCs w:val="21"/>
              </w:rPr>
            </w:pPr>
            <w:r>
              <w:rPr>
                <w:rFonts w:ascii="仿宋" w:hAnsi="仿宋" w:eastAsia="仿宋" w:cs="仿宋"/>
                <w:spacing w:val="-5"/>
                <w:sz w:val="21"/>
                <w:szCs w:val="21"/>
              </w:rPr>
              <w:t>不涉及</w:t>
            </w:r>
          </w:p>
        </w:tc>
        <w:tc>
          <w:tcPr>
            <w:tcW w:w="881" w:type="dxa"/>
            <w:tcBorders>
              <w:right w:val="nil"/>
            </w:tcBorders>
            <w:vAlign w:val="top"/>
          </w:tcPr>
          <w:p>
            <w:pPr>
              <w:spacing w:before="189" w:line="217" w:lineRule="auto"/>
              <w:ind w:left="243"/>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15" w:hRule="atLeast"/>
        </w:trPr>
        <w:tc>
          <w:tcPr>
            <w:tcW w:w="998" w:type="dxa"/>
            <w:tcBorders>
              <w:left w:val="nil"/>
              <w:bottom w:val="single" w:color="000000" w:sz="12" w:space="0"/>
            </w:tcBorders>
            <w:vAlign w:val="top"/>
          </w:tcPr>
          <w:p>
            <w:pPr>
              <w:spacing w:line="438" w:lineRule="auto"/>
              <w:rPr>
                <w:rFonts w:ascii="Arial"/>
                <w:sz w:val="21"/>
              </w:rPr>
            </w:pPr>
          </w:p>
          <w:p>
            <w:pPr>
              <w:pStyle w:val="6"/>
              <w:spacing w:before="60" w:line="188" w:lineRule="auto"/>
              <w:ind w:left="428"/>
            </w:pPr>
            <w:r>
              <w:rPr>
                <w:spacing w:val="-9"/>
              </w:rPr>
              <w:t>11</w:t>
            </w:r>
          </w:p>
        </w:tc>
        <w:tc>
          <w:tcPr>
            <w:tcW w:w="5306" w:type="dxa"/>
            <w:tcBorders>
              <w:bottom w:val="single" w:color="000000" w:sz="12" w:space="0"/>
            </w:tcBorders>
            <w:vAlign w:val="top"/>
          </w:tcPr>
          <w:p>
            <w:pPr>
              <w:spacing w:before="58" w:line="230" w:lineRule="auto"/>
              <w:ind w:left="123" w:right="108"/>
              <w:jc w:val="both"/>
              <w:rPr>
                <w:rFonts w:ascii="仿宋" w:hAnsi="仿宋" w:eastAsia="仿宋" w:cs="仿宋"/>
                <w:sz w:val="21"/>
                <w:szCs w:val="21"/>
              </w:rPr>
            </w:pPr>
            <w:r>
              <w:rPr>
                <w:rFonts w:ascii="仿宋" w:hAnsi="仿宋" w:eastAsia="仿宋" w:cs="仿宋"/>
                <w:spacing w:val="1"/>
                <w:sz w:val="21"/>
                <w:szCs w:val="21"/>
              </w:rPr>
              <w:t>禁止新建、扩建法律法规和相关政策明令禁止的落后产</w:t>
            </w:r>
            <w:r>
              <w:rPr>
                <w:rFonts w:ascii="仿宋" w:hAnsi="仿宋" w:eastAsia="仿宋" w:cs="仿宋"/>
                <w:sz w:val="21"/>
                <w:szCs w:val="21"/>
              </w:rPr>
              <w:t xml:space="preserve"> </w:t>
            </w:r>
            <w:r>
              <w:rPr>
                <w:rFonts w:ascii="仿宋" w:hAnsi="仿宋" w:eastAsia="仿宋" w:cs="仿宋"/>
                <w:spacing w:val="1"/>
                <w:sz w:val="21"/>
                <w:szCs w:val="21"/>
              </w:rPr>
              <w:t>能项目。禁止新建、扩建不符合国家产能置换要求</w:t>
            </w:r>
            <w:r>
              <w:rPr>
                <w:rFonts w:ascii="仿宋" w:hAnsi="仿宋" w:eastAsia="仿宋" w:cs="仿宋"/>
                <w:sz w:val="21"/>
                <w:szCs w:val="21"/>
              </w:rPr>
              <w:t xml:space="preserve">的严 </w:t>
            </w:r>
            <w:r>
              <w:rPr>
                <w:rFonts w:ascii="仿宋" w:hAnsi="仿宋" w:eastAsia="仿宋" w:cs="仿宋"/>
                <w:spacing w:val="1"/>
                <w:sz w:val="21"/>
                <w:szCs w:val="21"/>
              </w:rPr>
              <w:t>重过剩产能行业的项目。禁止新建、扩建不符合要</w:t>
            </w:r>
            <w:r>
              <w:rPr>
                <w:rFonts w:ascii="仿宋" w:hAnsi="仿宋" w:eastAsia="仿宋" w:cs="仿宋"/>
                <w:sz w:val="21"/>
                <w:szCs w:val="21"/>
              </w:rPr>
              <w:t xml:space="preserve">求的 </w:t>
            </w:r>
            <w:r>
              <w:rPr>
                <w:rFonts w:ascii="仿宋" w:hAnsi="仿宋" w:eastAsia="仿宋" w:cs="仿宋"/>
                <w:spacing w:val="-5"/>
                <w:sz w:val="21"/>
                <w:szCs w:val="21"/>
              </w:rPr>
              <w:t>高耗能高排放项目。</w:t>
            </w:r>
          </w:p>
        </w:tc>
        <w:tc>
          <w:tcPr>
            <w:tcW w:w="1550" w:type="dxa"/>
            <w:tcBorders>
              <w:bottom w:val="single" w:color="000000" w:sz="12" w:space="0"/>
            </w:tcBorders>
            <w:vAlign w:val="top"/>
          </w:tcPr>
          <w:p>
            <w:pPr>
              <w:spacing w:before="191" w:line="219" w:lineRule="auto"/>
              <w:ind w:left="154"/>
              <w:rPr>
                <w:rFonts w:ascii="仿宋" w:hAnsi="仿宋" w:eastAsia="仿宋" w:cs="仿宋"/>
                <w:sz w:val="21"/>
                <w:szCs w:val="21"/>
              </w:rPr>
            </w:pPr>
            <w:r>
              <w:rPr>
                <w:rFonts w:ascii="仿宋" w:hAnsi="仿宋" w:eastAsia="仿宋" w:cs="仿宋"/>
                <w:spacing w:val="-3"/>
                <w:sz w:val="21"/>
                <w:szCs w:val="21"/>
              </w:rPr>
              <w:t>项目属于基础</w:t>
            </w:r>
          </w:p>
          <w:p>
            <w:pPr>
              <w:spacing w:before="23" w:line="219" w:lineRule="auto"/>
              <w:ind w:left="152"/>
              <w:rPr>
                <w:rFonts w:ascii="仿宋" w:hAnsi="仿宋" w:eastAsia="仿宋" w:cs="仿宋"/>
                <w:sz w:val="21"/>
                <w:szCs w:val="21"/>
              </w:rPr>
            </w:pPr>
            <w:r>
              <w:rPr>
                <w:rFonts w:ascii="仿宋" w:hAnsi="仿宋" w:eastAsia="仿宋" w:cs="仿宋"/>
                <w:spacing w:val="-21"/>
                <w:sz w:val="21"/>
                <w:szCs w:val="21"/>
              </w:rPr>
              <w:t>设施，</w:t>
            </w:r>
            <w:r>
              <w:rPr>
                <w:rFonts w:ascii="仿宋" w:hAnsi="仿宋" w:eastAsia="仿宋" w:cs="仿宋"/>
                <w:spacing w:val="13"/>
                <w:sz w:val="21"/>
                <w:szCs w:val="21"/>
              </w:rPr>
              <w:t xml:space="preserve"> </w:t>
            </w:r>
            <w:r>
              <w:rPr>
                <w:rFonts w:ascii="仿宋" w:hAnsi="仿宋" w:eastAsia="仿宋" w:cs="仿宋"/>
                <w:spacing w:val="-21"/>
                <w:sz w:val="21"/>
                <w:szCs w:val="21"/>
              </w:rPr>
              <w:t>为鼓励</w:t>
            </w:r>
          </w:p>
          <w:p>
            <w:pPr>
              <w:spacing w:before="22" w:line="220" w:lineRule="auto"/>
              <w:ind w:left="470"/>
              <w:rPr>
                <w:rFonts w:ascii="仿宋" w:hAnsi="仿宋" w:eastAsia="仿宋" w:cs="仿宋"/>
                <w:sz w:val="21"/>
                <w:szCs w:val="21"/>
              </w:rPr>
            </w:pPr>
            <w:r>
              <w:rPr>
                <w:rFonts w:ascii="仿宋" w:hAnsi="仿宋" w:eastAsia="仿宋" w:cs="仿宋"/>
                <w:spacing w:val="-4"/>
                <w:sz w:val="21"/>
                <w:szCs w:val="21"/>
              </w:rPr>
              <w:t>类项目</w:t>
            </w:r>
          </w:p>
        </w:tc>
        <w:tc>
          <w:tcPr>
            <w:tcW w:w="881" w:type="dxa"/>
            <w:tcBorders>
              <w:bottom w:val="single" w:color="000000" w:sz="12" w:space="0"/>
              <w:right w:val="nil"/>
            </w:tcBorders>
            <w:vAlign w:val="top"/>
          </w:tcPr>
          <w:p>
            <w:pPr>
              <w:spacing w:line="393" w:lineRule="auto"/>
              <w:rPr>
                <w:rFonts w:ascii="Arial"/>
                <w:sz w:val="21"/>
              </w:rPr>
            </w:pPr>
          </w:p>
          <w:p>
            <w:pPr>
              <w:spacing w:before="68" w:line="217" w:lineRule="auto"/>
              <w:ind w:left="243"/>
              <w:rPr>
                <w:rFonts w:ascii="仿宋" w:hAnsi="仿宋" w:eastAsia="仿宋" w:cs="仿宋"/>
                <w:sz w:val="21"/>
                <w:szCs w:val="21"/>
              </w:rPr>
            </w:pPr>
            <w:r>
              <w:rPr>
                <w:rFonts w:ascii="仿宋" w:hAnsi="仿宋" w:eastAsia="仿宋" w:cs="仿宋"/>
                <w:spacing w:val="-5"/>
                <w:sz w:val="21"/>
                <w:szCs w:val="21"/>
              </w:rPr>
              <w:t>符合</w:t>
            </w:r>
          </w:p>
        </w:tc>
      </w:tr>
    </w:tbl>
    <w:p>
      <w:pPr>
        <w:spacing w:before="36" w:line="221" w:lineRule="auto"/>
        <w:ind w:left="519"/>
        <w:rPr>
          <w:rFonts w:ascii="宋体" w:hAnsi="宋体" w:eastAsia="宋体" w:cs="宋体"/>
          <w:sz w:val="24"/>
          <w:szCs w:val="24"/>
        </w:rPr>
      </w:pPr>
      <w:r>
        <w:rPr>
          <w:rFonts w:ascii="宋体" w:hAnsi="宋体" w:eastAsia="宋体" w:cs="宋体"/>
          <w:spacing w:val="-3"/>
          <w:sz w:val="24"/>
          <w:szCs w:val="24"/>
        </w:rPr>
        <w:t>根据表</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2.4-2</w:t>
      </w:r>
      <w:r>
        <w:rPr>
          <w:rFonts w:ascii="宋体" w:hAnsi="宋体" w:eastAsia="宋体" w:cs="宋体"/>
          <w:spacing w:val="-3"/>
          <w:sz w:val="24"/>
          <w:szCs w:val="24"/>
        </w:rPr>
        <w:t>，项目不属于《长江经济带发展负面清单指南（试行</w:t>
      </w:r>
      <w:r>
        <w:rPr>
          <w:rFonts w:ascii="Times New Roman" w:hAnsi="Times New Roman" w:eastAsia="Times New Roman" w:cs="Times New Roman"/>
          <w:spacing w:val="-3"/>
          <w:sz w:val="24"/>
          <w:szCs w:val="24"/>
        </w:rPr>
        <w:t>,2022</w:t>
      </w:r>
      <w:r>
        <w:rPr>
          <w:rFonts w:ascii="宋体" w:hAnsi="宋体" w:eastAsia="宋体" w:cs="宋体"/>
          <w:spacing w:val="-3"/>
          <w:sz w:val="24"/>
          <w:szCs w:val="24"/>
        </w:rPr>
        <w:t>）》中内</w:t>
      </w:r>
    </w:p>
    <w:p>
      <w:pPr>
        <w:spacing w:before="179" w:line="220" w:lineRule="auto"/>
        <w:ind w:left="42"/>
        <w:rPr>
          <w:rFonts w:ascii="宋体" w:hAnsi="宋体" w:eastAsia="宋体" w:cs="宋体"/>
          <w:sz w:val="24"/>
          <w:szCs w:val="24"/>
        </w:rPr>
      </w:pPr>
      <w:r>
        <w:rPr>
          <w:rFonts w:ascii="宋体" w:hAnsi="宋体" w:eastAsia="宋体" w:cs="宋体"/>
          <w:spacing w:val="-7"/>
          <w:sz w:val="24"/>
          <w:szCs w:val="24"/>
        </w:rPr>
        <w:t>容。</w:t>
      </w:r>
    </w:p>
    <w:p>
      <w:pPr>
        <w:spacing w:before="180"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）与《长江经济带生态环境保护规划》符合性</w:t>
      </w:r>
    </w:p>
    <w:p>
      <w:pPr>
        <w:spacing w:before="180" w:line="220" w:lineRule="auto"/>
        <w:ind w:left="523"/>
        <w:rPr>
          <w:rFonts w:ascii="宋体" w:hAnsi="宋体" w:eastAsia="宋体" w:cs="宋体"/>
          <w:sz w:val="24"/>
          <w:szCs w:val="24"/>
        </w:rPr>
      </w:pPr>
      <w:r>
        <w:rPr>
          <w:rFonts w:ascii="宋体" w:hAnsi="宋体" w:eastAsia="宋体" w:cs="宋体"/>
          <w:spacing w:val="-1"/>
          <w:sz w:val="24"/>
          <w:szCs w:val="24"/>
        </w:rPr>
        <w:t>项目与《长江经济带生态环境保护规划》的相</w:t>
      </w:r>
      <w:r>
        <w:rPr>
          <w:rFonts w:ascii="宋体" w:hAnsi="宋体" w:eastAsia="宋体" w:cs="宋体"/>
          <w:spacing w:val="-2"/>
          <w:sz w:val="24"/>
          <w:szCs w:val="24"/>
        </w:rPr>
        <w:t>关规定对照情况如下表所示。</w:t>
      </w:r>
    </w:p>
    <w:p>
      <w:pPr>
        <w:pStyle w:val="2"/>
        <w:spacing w:before="177" w:line="219" w:lineRule="auto"/>
        <w:ind w:left="1839"/>
      </w:pPr>
      <w:r>
        <w:rPr>
          <w14:textOutline w14:w="3810" w14:cap="flat" w14:cmpd="sng">
            <w14:solidFill>
              <w14:srgbClr w14:val="000000"/>
            </w14:solidFill>
            <w14:prstDash w14:val="solid"/>
            <w14:miter w14:val="0"/>
          </w14:textOutline>
        </w:rPr>
        <w:t>表</w:t>
      </w:r>
      <w:r>
        <w:rPr>
          <w:spacing w:val="-46"/>
        </w:rPr>
        <w:t xml:space="preserve"> </w:t>
      </w:r>
      <w:r>
        <w:rPr>
          <w:rFonts w:ascii="Times New Roman" w:hAnsi="Times New Roman" w:eastAsia="Times New Roman" w:cs="Times New Roman"/>
          <w:b/>
          <w:bCs/>
        </w:rPr>
        <w:t xml:space="preserve">2.5-3    </w:t>
      </w:r>
      <w:r>
        <w:rPr>
          <w14:textOutline w14:w="3810" w14:cap="flat" w14:cmpd="sng">
            <w14:solidFill>
              <w14:srgbClr w14:val="000000"/>
            </w14:solidFill>
            <w14:prstDash w14:val="solid"/>
            <w14:miter w14:val="0"/>
          </w14:textOutline>
        </w:rPr>
        <w:t>项目与《长江经济带生态环境保护规划》对</w:t>
      </w:r>
      <w:r>
        <w:rPr>
          <w:spacing w:val="-1"/>
          <w14:textOutline w14:w="3810" w14:cap="flat" w14:cmpd="sng">
            <w14:solidFill>
              <w14:srgbClr w14:val="000000"/>
            </w14:solidFill>
            <w14:prstDash w14:val="solid"/>
            <w14:miter w14:val="0"/>
          </w14:textOutline>
        </w:rPr>
        <w:t>照分析</w:t>
      </w:r>
    </w:p>
    <w:p>
      <w:pPr>
        <w:spacing w:line="128" w:lineRule="exact"/>
      </w:pPr>
    </w:p>
    <w:tbl>
      <w:tblPr>
        <w:tblStyle w:val="5"/>
        <w:tblW w:w="8735"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7"/>
        <w:gridCol w:w="4706"/>
        <w:gridCol w:w="2234"/>
        <w:gridCol w:w="6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9" w:hRule="atLeast"/>
        </w:trPr>
        <w:tc>
          <w:tcPr>
            <w:tcW w:w="5823" w:type="dxa"/>
            <w:gridSpan w:val="2"/>
            <w:tcBorders>
              <w:top w:val="single" w:color="000000" w:sz="12" w:space="0"/>
              <w:left w:val="nil"/>
            </w:tcBorders>
            <w:vAlign w:val="top"/>
          </w:tcPr>
          <w:p>
            <w:pPr>
              <w:spacing w:before="168" w:line="217" w:lineRule="auto"/>
              <w:ind w:left="251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相关内容</w:t>
            </w:r>
          </w:p>
        </w:tc>
        <w:tc>
          <w:tcPr>
            <w:tcW w:w="2234" w:type="dxa"/>
            <w:tcBorders>
              <w:top w:val="single" w:color="000000" w:sz="12" w:space="0"/>
            </w:tcBorders>
            <w:vAlign w:val="top"/>
          </w:tcPr>
          <w:p>
            <w:pPr>
              <w:spacing w:before="167" w:line="218" w:lineRule="auto"/>
              <w:ind w:left="81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本项目</w:t>
            </w:r>
          </w:p>
        </w:tc>
        <w:tc>
          <w:tcPr>
            <w:tcW w:w="678" w:type="dxa"/>
            <w:tcBorders>
              <w:top w:val="single" w:color="000000" w:sz="12" w:space="0"/>
              <w:right w:val="nil"/>
            </w:tcBorders>
            <w:vAlign w:val="top"/>
          </w:tcPr>
          <w:p>
            <w:pPr>
              <w:spacing w:before="30" w:line="219" w:lineRule="auto"/>
              <w:ind w:left="247" w:right="127" w:hanging="102"/>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符合</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9" w:hRule="atLeast"/>
        </w:trPr>
        <w:tc>
          <w:tcPr>
            <w:tcW w:w="1117" w:type="dxa"/>
            <w:tcBorders>
              <w:left w:val="nil"/>
              <w:bottom w:val="single" w:color="000000" w:sz="12" w:space="0"/>
            </w:tcBorders>
            <w:vAlign w:val="top"/>
          </w:tcPr>
          <w:p>
            <w:pPr>
              <w:spacing w:before="42" w:line="230" w:lineRule="auto"/>
              <w:ind w:left="159" w:right="129"/>
              <w:jc w:val="both"/>
              <w:rPr>
                <w:rFonts w:ascii="仿宋" w:hAnsi="仿宋" w:eastAsia="仿宋" w:cs="仿宋"/>
                <w:sz w:val="21"/>
                <w:szCs w:val="21"/>
              </w:rPr>
            </w:pPr>
            <w:r>
              <w:rPr>
                <w:rFonts w:ascii="仿宋" w:hAnsi="仿宋" w:eastAsia="仿宋" w:cs="仿宋"/>
                <w:spacing w:val="-4"/>
                <w:sz w:val="21"/>
                <w:szCs w:val="21"/>
              </w:rPr>
              <w:t>确立水资</w:t>
            </w:r>
            <w:r>
              <w:rPr>
                <w:rFonts w:ascii="仿宋" w:hAnsi="仿宋" w:eastAsia="仿宋" w:cs="仿宋"/>
                <w:sz w:val="21"/>
                <w:szCs w:val="21"/>
              </w:rPr>
              <w:t xml:space="preserve"> </w:t>
            </w:r>
            <w:r>
              <w:rPr>
                <w:rFonts w:ascii="仿宋" w:hAnsi="仿宋" w:eastAsia="仿宋" w:cs="仿宋"/>
                <w:spacing w:val="-4"/>
                <w:sz w:val="21"/>
                <w:szCs w:val="21"/>
              </w:rPr>
              <w:t>源利用上</w:t>
            </w:r>
            <w:r>
              <w:rPr>
                <w:rFonts w:ascii="仿宋" w:hAnsi="仿宋" w:eastAsia="仿宋" w:cs="仿宋"/>
                <w:sz w:val="21"/>
                <w:szCs w:val="21"/>
              </w:rPr>
              <w:t xml:space="preserve"> </w:t>
            </w:r>
            <w:r>
              <w:rPr>
                <w:rFonts w:ascii="仿宋" w:hAnsi="仿宋" w:eastAsia="仿宋" w:cs="仿宋"/>
                <w:spacing w:val="-4"/>
                <w:sz w:val="21"/>
                <w:szCs w:val="21"/>
              </w:rPr>
              <w:t>线，妥善</w:t>
            </w:r>
            <w:r>
              <w:rPr>
                <w:rFonts w:ascii="仿宋" w:hAnsi="仿宋" w:eastAsia="仿宋" w:cs="仿宋"/>
                <w:sz w:val="21"/>
                <w:szCs w:val="21"/>
              </w:rPr>
              <w:t xml:space="preserve"> </w:t>
            </w:r>
            <w:r>
              <w:rPr>
                <w:rFonts w:ascii="仿宋" w:hAnsi="仿宋" w:eastAsia="仿宋" w:cs="仿宋"/>
                <w:spacing w:val="-4"/>
                <w:sz w:val="21"/>
                <w:szCs w:val="21"/>
              </w:rPr>
              <w:t>处理江河</w:t>
            </w:r>
          </w:p>
        </w:tc>
        <w:tc>
          <w:tcPr>
            <w:tcW w:w="4706" w:type="dxa"/>
            <w:tcBorders>
              <w:bottom w:val="single" w:color="000000" w:sz="12" w:space="0"/>
            </w:tcBorders>
            <w:vAlign w:val="top"/>
          </w:tcPr>
          <w:p>
            <w:pPr>
              <w:spacing w:before="42" w:line="230" w:lineRule="auto"/>
              <w:ind w:left="120" w:right="104" w:firstLine="4"/>
              <w:rPr>
                <w:rFonts w:ascii="仿宋" w:hAnsi="仿宋" w:eastAsia="仿宋" w:cs="仿宋"/>
                <w:sz w:val="21"/>
                <w:szCs w:val="21"/>
              </w:rPr>
            </w:pPr>
            <w:r>
              <w:rPr>
                <w:rFonts w:ascii="仿宋" w:hAnsi="仿宋" w:eastAsia="仿宋" w:cs="仿宋"/>
                <w:spacing w:val="-7"/>
                <w:sz w:val="21"/>
                <w:szCs w:val="21"/>
              </w:rPr>
              <w:t>统筹流域水资源开发利用。重庆、贵州、云南等省</w:t>
            </w:r>
            <w:r>
              <w:rPr>
                <w:rFonts w:ascii="仿宋" w:hAnsi="仿宋" w:eastAsia="仿宋" w:cs="仿宋"/>
                <w:spacing w:val="3"/>
                <w:sz w:val="21"/>
                <w:szCs w:val="21"/>
              </w:rPr>
              <w:t xml:space="preserve"> </w:t>
            </w:r>
            <w:r>
              <w:rPr>
                <w:rFonts w:ascii="仿宋" w:hAnsi="仿宋" w:eastAsia="仿宋" w:cs="仿宋"/>
                <w:spacing w:val="2"/>
                <w:sz w:val="21"/>
                <w:szCs w:val="21"/>
              </w:rPr>
              <w:t>市水利基础设施建设要与生态环境保护相协调，</w:t>
            </w:r>
            <w:r>
              <w:rPr>
                <w:rFonts w:ascii="仿宋" w:hAnsi="仿宋" w:eastAsia="仿宋" w:cs="仿宋"/>
                <w:spacing w:val="11"/>
                <w:sz w:val="21"/>
                <w:szCs w:val="21"/>
              </w:rPr>
              <w:t xml:space="preserve"> </w:t>
            </w:r>
            <w:r>
              <w:rPr>
                <w:rFonts w:ascii="仿宋" w:hAnsi="仿宋" w:eastAsia="仿宋" w:cs="仿宋"/>
                <w:spacing w:val="2"/>
                <w:sz w:val="21"/>
                <w:szCs w:val="21"/>
              </w:rPr>
              <w:t>落实生态环境保护措施，加快水资源配置工程建</w:t>
            </w:r>
            <w:r>
              <w:rPr>
                <w:rFonts w:ascii="仿宋" w:hAnsi="仿宋" w:eastAsia="仿宋" w:cs="仿宋"/>
                <w:spacing w:val="17"/>
                <w:sz w:val="21"/>
                <w:szCs w:val="21"/>
              </w:rPr>
              <w:t xml:space="preserve"> </w:t>
            </w:r>
            <w:r>
              <w:rPr>
                <w:rFonts w:ascii="仿宋" w:hAnsi="仿宋" w:eastAsia="仿宋" w:cs="仿宋"/>
                <w:spacing w:val="-11"/>
                <w:sz w:val="21"/>
                <w:szCs w:val="21"/>
              </w:rPr>
              <w:t>设，解决部分地区工程型缺水问题， 提升城乡供水</w:t>
            </w:r>
          </w:p>
        </w:tc>
        <w:tc>
          <w:tcPr>
            <w:tcW w:w="2234" w:type="dxa"/>
            <w:tcBorders>
              <w:bottom w:val="single" w:color="000000" w:sz="12" w:space="0"/>
            </w:tcBorders>
            <w:vAlign w:val="top"/>
          </w:tcPr>
          <w:p>
            <w:pPr>
              <w:spacing w:before="42" w:line="230" w:lineRule="auto"/>
              <w:ind w:left="118" w:right="233" w:firstLine="421"/>
              <w:rPr>
                <w:rFonts w:ascii="仿宋" w:hAnsi="仿宋" w:eastAsia="仿宋" w:cs="仿宋"/>
                <w:sz w:val="21"/>
                <w:szCs w:val="21"/>
              </w:rPr>
            </w:pPr>
            <w:r>
              <w:rPr>
                <w:rFonts w:ascii="仿宋" w:hAnsi="仿宋" w:eastAsia="仿宋" w:cs="仿宋"/>
                <w:spacing w:val="-3"/>
                <w:sz w:val="21"/>
                <w:szCs w:val="21"/>
              </w:rPr>
              <w:t>项目属于水利基</w:t>
            </w:r>
            <w:r>
              <w:rPr>
                <w:rFonts w:ascii="仿宋" w:hAnsi="仿宋" w:eastAsia="仿宋" w:cs="仿宋"/>
                <w:spacing w:val="5"/>
                <w:sz w:val="21"/>
                <w:szCs w:val="21"/>
              </w:rPr>
              <w:t xml:space="preserve"> </w:t>
            </w:r>
            <w:r>
              <w:rPr>
                <w:rFonts w:ascii="仿宋" w:hAnsi="仿宋" w:eastAsia="仿宋" w:cs="仿宋"/>
                <w:spacing w:val="-15"/>
                <w:sz w:val="21"/>
                <w:szCs w:val="21"/>
              </w:rPr>
              <w:t>础设施，</w:t>
            </w:r>
            <w:r>
              <w:rPr>
                <w:rFonts w:ascii="仿宋" w:hAnsi="仿宋" w:eastAsia="仿宋" w:cs="仿宋"/>
                <w:spacing w:val="15"/>
                <w:sz w:val="21"/>
                <w:szCs w:val="21"/>
              </w:rPr>
              <w:t xml:space="preserve"> </w:t>
            </w:r>
            <w:r>
              <w:rPr>
                <w:rFonts w:ascii="仿宋" w:hAnsi="仿宋" w:eastAsia="仿宋" w:cs="仿宋"/>
                <w:spacing w:val="-15"/>
                <w:sz w:val="21"/>
                <w:szCs w:val="21"/>
              </w:rPr>
              <w:t>主要功能为</w:t>
            </w:r>
            <w:r>
              <w:rPr>
                <w:rFonts w:ascii="仿宋" w:hAnsi="仿宋" w:eastAsia="仿宋" w:cs="仿宋"/>
                <w:sz w:val="21"/>
                <w:szCs w:val="21"/>
              </w:rPr>
              <w:t xml:space="preserve"> </w:t>
            </w:r>
            <w:r>
              <w:rPr>
                <w:rFonts w:ascii="仿宋" w:hAnsi="仿宋" w:eastAsia="仿宋" w:cs="仿宋"/>
                <w:spacing w:val="-7"/>
                <w:sz w:val="21"/>
                <w:szCs w:val="21"/>
              </w:rPr>
              <w:t>解决区域缺水问题，</w:t>
            </w:r>
            <w:r>
              <w:rPr>
                <w:rFonts w:ascii="仿宋" w:hAnsi="仿宋" w:eastAsia="仿宋" w:cs="仿宋"/>
                <w:spacing w:val="5"/>
                <w:sz w:val="21"/>
                <w:szCs w:val="21"/>
              </w:rPr>
              <w:t xml:space="preserve"> </w:t>
            </w:r>
            <w:r>
              <w:rPr>
                <w:rFonts w:ascii="仿宋" w:hAnsi="仿宋" w:eastAsia="仿宋" w:cs="仿宋"/>
                <w:spacing w:val="-4"/>
                <w:sz w:val="21"/>
                <w:szCs w:val="21"/>
              </w:rPr>
              <w:t>提升城乡供水保障。</w:t>
            </w:r>
          </w:p>
        </w:tc>
        <w:tc>
          <w:tcPr>
            <w:tcW w:w="678" w:type="dxa"/>
            <w:tcBorders>
              <w:bottom w:val="single" w:color="000000" w:sz="12" w:space="0"/>
              <w:right w:val="nil"/>
            </w:tcBorders>
            <w:vAlign w:val="top"/>
          </w:tcPr>
          <w:p>
            <w:pPr>
              <w:spacing w:line="379" w:lineRule="auto"/>
              <w:rPr>
                <w:rFonts w:ascii="Arial"/>
                <w:sz w:val="21"/>
              </w:rPr>
            </w:pPr>
          </w:p>
          <w:p>
            <w:pPr>
              <w:spacing w:before="68" w:line="217" w:lineRule="auto"/>
              <w:ind w:left="145"/>
              <w:rPr>
                <w:rFonts w:ascii="仿宋" w:hAnsi="仿宋" w:eastAsia="仿宋" w:cs="仿宋"/>
                <w:sz w:val="21"/>
                <w:szCs w:val="21"/>
              </w:rPr>
            </w:pPr>
            <w:r>
              <w:rPr>
                <w:rFonts w:ascii="仿宋" w:hAnsi="仿宋" w:eastAsia="仿宋" w:cs="仿宋"/>
                <w:spacing w:val="-5"/>
                <w:sz w:val="21"/>
                <w:szCs w:val="21"/>
              </w:rPr>
              <w:t>符合</w:t>
            </w:r>
          </w:p>
        </w:tc>
      </w:tr>
    </w:tbl>
    <w:p>
      <w:pPr>
        <w:rPr>
          <w:rFonts w:ascii="Arial"/>
          <w:sz w:val="21"/>
        </w:rPr>
      </w:pPr>
    </w:p>
    <w:p>
      <w:pPr>
        <w:rPr>
          <w:rFonts w:ascii="Arial" w:hAnsi="Arial" w:eastAsia="Arial" w:cs="Arial"/>
          <w:sz w:val="21"/>
          <w:szCs w:val="21"/>
        </w:rPr>
        <w:sectPr>
          <w:footerReference r:id="rId136" w:type="default"/>
          <w:pgSz w:w="11920" w:h="16840"/>
          <w:pgMar w:top="1183" w:right="1426" w:bottom="1358" w:left="1629" w:header="908" w:footer="1195" w:gutter="0"/>
        </w:sectPr>
      </w:pPr>
    </w:p>
    <w:tbl>
      <w:tblPr>
        <w:tblStyle w:val="5"/>
        <w:tblW w:w="8735"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7"/>
        <w:gridCol w:w="4706"/>
        <w:gridCol w:w="2234"/>
        <w:gridCol w:w="6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88" w:hRule="atLeast"/>
        </w:trPr>
        <w:tc>
          <w:tcPr>
            <w:tcW w:w="1117" w:type="dxa"/>
            <w:tcBorders>
              <w:top w:val="single" w:color="000000" w:sz="12" w:space="0"/>
              <w:left w:val="nil"/>
            </w:tcBorders>
            <w:vAlign w:val="top"/>
          </w:tcPr>
          <w:p>
            <w:pPr>
              <w:spacing w:before="30" w:line="218" w:lineRule="auto"/>
              <w:ind w:left="164"/>
              <w:rPr>
                <w:rFonts w:ascii="仿宋" w:hAnsi="仿宋" w:eastAsia="仿宋" w:cs="仿宋"/>
                <w:sz w:val="21"/>
                <w:szCs w:val="21"/>
              </w:rPr>
            </w:pPr>
            <w:r>
              <w:rPr>
                <w:rFonts w:ascii="仿宋" w:hAnsi="仿宋" w:eastAsia="仿宋" w:cs="仿宋"/>
                <w:spacing w:val="-4"/>
                <w:sz w:val="21"/>
                <w:szCs w:val="21"/>
              </w:rPr>
              <w:t>湖库关系</w:t>
            </w:r>
          </w:p>
        </w:tc>
        <w:tc>
          <w:tcPr>
            <w:tcW w:w="4706" w:type="dxa"/>
            <w:tcBorders>
              <w:top w:val="single" w:color="000000" w:sz="12" w:space="0"/>
            </w:tcBorders>
            <w:vAlign w:val="top"/>
          </w:tcPr>
          <w:p>
            <w:pPr>
              <w:spacing w:before="30" w:line="217" w:lineRule="auto"/>
              <w:ind w:left="121"/>
              <w:rPr>
                <w:rFonts w:ascii="仿宋" w:hAnsi="仿宋" w:eastAsia="仿宋" w:cs="仿宋"/>
                <w:sz w:val="21"/>
                <w:szCs w:val="21"/>
              </w:rPr>
            </w:pPr>
            <w:r>
              <w:rPr>
                <w:rFonts w:ascii="仿宋" w:hAnsi="仿宋" w:eastAsia="仿宋" w:cs="仿宋"/>
                <w:spacing w:val="-10"/>
                <w:sz w:val="21"/>
                <w:szCs w:val="21"/>
              </w:rPr>
              <w:t>保障。</w:t>
            </w:r>
          </w:p>
        </w:tc>
        <w:tc>
          <w:tcPr>
            <w:tcW w:w="2234" w:type="dxa"/>
            <w:tcBorders>
              <w:top w:val="single" w:color="000000" w:sz="12" w:space="0"/>
            </w:tcBorders>
            <w:vAlign w:val="top"/>
          </w:tcPr>
          <w:p>
            <w:pPr>
              <w:spacing w:before="31" w:line="230" w:lineRule="auto"/>
              <w:ind w:left="119" w:right="233"/>
              <w:rPr>
                <w:rFonts w:ascii="仿宋" w:hAnsi="仿宋" w:eastAsia="仿宋" w:cs="仿宋"/>
                <w:sz w:val="21"/>
                <w:szCs w:val="21"/>
              </w:rPr>
            </w:pPr>
            <w:r>
              <w:rPr>
                <w:rFonts w:ascii="仿宋" w:hAnsi="仿宋" w:eastAsia="仿宋" w:cs="仿宋"/>
                <w:spacing w:val="-2"/>
                <w:sz w:val="21"/>
                <w:szCs w:val="21"/>
              </w:rPr>
              <w:t>项目施工期严格落实</w:t>
            </w:r>
            <w:r>
              <w:rPr>
                <w:rFonts w:ascii="仿宋" w:hAnsi="仿宋" w:eastAsia="仿宋" w:cs="仿宋"/>
                <w:spacing w:val="2"/>
                <w:sz w:val="21"/>
                <w:szCs w:val="21"/>
              </w:rPr>
              <w:t xml:space="preserve"> </w:t>
            </w:r>
            <w:r>
              <w:rPr>
                <w:rFonts w:ascii="仿宋" w:hAnsi="仿宋" w:eastAsia="仿宋" w:cs="仿宋"/>
                <w:spacing w:val="-7"/>
                <w:sz w:val="21"/>
                <w:szCs w:val="21"/>
              </w:rPr>
              <w:t>相关环境保护措施，</w:t>
            </w:r>
            <w:r>
              <w:rPr>
                <w:rFonts w:ascii="仿宋" w:hAnsi="仿宋" w:eastAsia="仿宋" w:cs="仿宋"/>
                <w:spacing w:val="4"/>
                <w:sz w:val="21"/>
                <w:szCs w:val="21"/>
              </w:rPr>
              <w:t xml:space="preserve"> </w:t>
            </w:r>
            <w:r>
              <w:rPr>
                <w:rFonts w:ascii="仿宋" w:hAnsi="仿宋" w:eastAsia="仿宋" w:cs="仿宋"/>
                <w:spacing w:val="-2"/>
                <w:sz w:val="21"/>
                <w:szCs w:val="21"/>
              </w:rPr>
              <w:t>运营期严格执行生态</w:t>
            </w:r>
            <w:r>
              <w:rPr>
                <w:rFonts w:ascii="仿宋" w:hAnsi="仿宋" w:eastAsia="仿宋" w:cs="仿宋"/>
                <w:spacing w:val="3"/>
                <w:sz w:val="21"/>
                <w:szCs w:val="21"/>
              </w:rPr>
              <w:t xml:space="preserve"> </w:t>
            </w:r>
            <w:r>
              <w:rPr>
                <w:rFonts w:ascii="仿宋" w:hAnsi="仿宋" w:eastAsia="仿宋" w:cs="仿宋"/>
                <w:spacing w:val="-6"/>
                <w:sz w:val="21"/>
                <w:szCs w:val="21"/>
              </w:rPr>
              <w:t>流量下泄措施。</w:t>
            </w:r>
          </w:p>
        </w:tc>
        <w:tc>
          <w:tcPr>
            <w:tcW w:w="678" w:type="dxa"/>
            <w:tcBorders>
              <w:top w:val="single" w:color="000000" w:sz="1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19" w:hRule="atLeast"/>
        </w:trPr>
        <w:tc>
          <w:tcPr>
            <w:tcW w:w="1117" w:type="dxa"/>
            <w:tcBorders>
              <w:left w:val="nil"/>
              <w:bottom w:val="single" w:color="000000" w:sz="12"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68" w:line="220" w:lineRule="auto"/>
              <w:ind w:left="161"/>
              <w:rPr>
                <w:rFonts w:ascii="仿宋" w:hAnsi="仿宋" w:eastAsia="仿宋" w:cs="仿宋"/>
                <w:sz w:val="21"/>
                <w:szCs w:val="21"/>
              </w:rPr>
            </w:pPr>
            <w:r>
              <w:rPr>
                <w:rFonts w:ascii="仿宋" w:hAnsi="仿宋" w:eastAsia="仿宋" w:cs="仿宋"/>
                <w:spacing w:val="-4"/>
                <w:sz w:val="21"/>
                <w:szCs w:val="21"/>
              </w:rPr>
              <w:t>划定生态</w:t>
            </w:r>
          </w:p>
          <w:p>
            <w:pPr>
              <w:spacing w:before="22" w:line="217" w:lineRule="auto"/>
              <w:ind w:left="265"/>
              <w:rPr>
                <w:rFonts w:ascii="仿宋" w:hAnsi="仿宋" w:eastAsia="仿宋" w:cs="仿宋"/>
                <w:sz w:val="21"/>
                <w:szCs w:val="21"/>
              </w:rPr>
            </w:pPr>
            <w:r>
              <w:rPr>
                <w:rFonts w:ascii="仿宋" w:hAnsi="仿宋" w:eastAsia="仿宋" w:cs="仿宋"/>
                <w:spacing w:val="-4"/>
                <w:sz w:val="21"/>
                <w:szCs w:val="21"/>
              </w:rPr>
              <w:t>保护红</w:t>
            </w:r>
          </w:p>
          <w:p>
            <w:pPr>
              <w:spacing w:before="26" w:line="218" w:lineRule="auto"/>
              <w:ind w:left="165"/>
              <w:rPr>
                <w:rFonts w:ascii="仿宋" w:hAnsi="仿宋" w:eastAsia="仿宋" w:cs="仿宋"/>
                <w:sz w:val="21"/>
                <w:szCs w:val="21"/>
              </w:rPr>
            </w:pPr>
            <w:r>
              <w:rPr>
                <w:rFonts w:ascii="仿宋" w:hAnsi="仿宋" w:eastAsia="仿宋" w:cs="仿宋"/>
                <w:spacing w:val="-4"/>
                <w:sz w:val="21"/>
                <w:szCs w:val="21"/>
              </w:rPr>
              <w:t>线，实施</w:t>
            </w:r>
          </w:p>
          <w:p>
            <w:pPr>
              <w:spacing w:before="23" w:line="217" w:lineRule="auto"/>
              <w:ind w:left="171"/>
              <w:rPr>
                <w:rFonts w:ascii="仿宋" w:hAnsi="仿宋" w:eastAsia="仿宋" w:cs="仿宋"/>
                <w:sz w:val="21"/>
                <w:szCs w:val="21"/>
              </w:rPr>
            </w:pPr>
            <w:r>
              <w:rPr>
                <w:rFonts w:ascii="仿宋" w:hAnsi="仿宋" w:eastAsia="仿宋" w:cs="仿宋"/>
                <w:spacing w:val="-5"/>
                <w:sz w:val="21"/>
                <w:szCs w:val="21"/>
              </w:rPr>
              <w:t>生态保护</w:t>
            </w:r>
          </w:p>
          <w:p>
            <w:pPr>
              <w:spacing w:before="26" w:line="218" w:lineRule="auto"/>
              <w:ind w:left="272"/>
              <w:rPr>
                <w:rFonts w:ascii="仿宋" w:hAnsi="仿宋" w:eastAsia="仿宋" w:cs="仿宋"/>
                <w:sz w:val="21"/>
                <w:szCs w:val="21"/>
              </w:rPr>
            </w:pPr>
            <w:r>
              <w:rPr>
                <w:rFonts w:ascii="仿宋" w:hAnsi="仿宋" w:eastAsia="仿宋" w:cs="仿宋"/>
                <w:spacing w:val="-5"/>
                <w:sz w:val="21"/>
                <w:szCs w:val="21"/>
              </w:rPr>
              <w:t>与修复</w:t>
            </w:r>
          </w:p>
        </w:tc>
        <w:tc>
          <w:tcPr>
            <w:tcW w:w="4706" w:type="dxa"/>
            <w:tcBorders>
              <w:bottom w:val="single" w:color="000000" w:sz="12" w:space="0"/>
            </w:tcBorders>
            <w:vAlign w:val="top"/>
          </w:tcPr>
          <w:p>
            <w:pPr>
              <w:spacing w:before="37" w:line="236" w:lineRule="auto"/>
              <w:ind w:left="120" w:right="105" w:firstLine="2"/>
              <w:jc w:val="both"/>
              <w:rPr>
                <w:rFonts w:ascii="仿宋" w:hAnsi="仿宋" w:eastAsia="仿宋" w:cs="仿宋"/>
                <w:sz w:val="21"/>
                <w:szCs w:val="21"/>
              </w:rPr>
            </w:pPr>
            <w:r>
              <w:rPr>
                <w:rFonts w:ascii="仿宋" w:hAnsi="仿宋" w:eastAsia="仿宋" w:cs="仿宋"/>
                <w:spacing w:val="2"/>
                <w:sz w:val="21"/>
                <w:szCs w:val="21"/>
              </w:rPr>
              <w:t>严守生态保护红线。要将生态保护红线作为空间</w:t>
            </w:r>
            <w:r>
              <w:rPr>
                <w:rFonts w:ascii="仿宋" w:hAnsi="仿宋" w:eastAsia="仿宋" w:cs="仿宋"/>
                <w:spacing w:val="14"/>
                <w:sz w:val="21"/>
                <w:szCs w:val="21"/>
              </w:rPr>
              <w:t xml:space="preserve"> </w:t>
            </w:r>
            <w:r>
              <w:rPr>
                <w:rFonts w:ascii="仿宋" w:hAnsi="仿宋" w:eastAsia="仿宋" w:cs="仿宋"/>
                <w:spacing w:val="2"/>
                <w:sz w:val="21"/>
                <w:szCs w:val="21"/>
              </w:rPr>
              <w:t>规划编制的重要基础，相关规划要符合生态保护</w:t>
            </w:r>
            <w:r>
              <w:rPr>
                <w:rFonts w:ascii="仿宋" w:hAnsi="仿宋" w:eastAsia="仿宋" w:cs="仿宋"/>
                <w:spacing w:val="17"/>
                <w:sz w:val="21"/>
                <w:szCs w:val="21"/>
              </w:rPr>
              <w:t xml:space="preserve"> </w:t>
            </w:r>
            <w:r>
              <w:rPr>
                <w:rFonts w:ascii="仿宋" w:hAnsi="仿宋" w:eastAsia="仿宋" w:cs="仿宋"/>
                <w:spacing w:val="-11"/>
                <w:sz w:val="21"/>
                <w:szCs w:val="21"/>
              </w:rPr>
              <w:t>红线空间管控要求， 不符合的要及时进行调整。生</w:t>
            </w:r>
            <w:r>
              <w:rPr>
                <w:rFonts w:ascii="仿宋" w:hAnsi="仿宋" w:eastAsia="仿宋" w:cs="仿宋"/>
                <w:spacing w:val="1"/>
                <w:sz w:val="21"/>
                <w:szCs w:val="21"/>
              </w:rPr>
              <w:t xml:space="preserve"> </w:t>
            </w:r>
            <w:r>
              <w:rPr>
                <w:rFonts w:ascii="仿宋" w:hAnsi="仿宋" w:eastAsia="仿宋" w:cs="仿宋"/>
                <w:spacing w:val="2"/>
                <w:sz w:val="21"/>
                <w:szCs w:val="21"/>
              </w:rPr>
              <w:t>态保护红线原则上按禁止开发区域的要求进行管</w:t>
            </w:r>
            <w:r>
              <w:rPr>
                <w:rFonts w:ascii="仿宋" w:hAnsi="仿宋" w:eastAsia="仿宋" w:cs="仿宋"/>
                <w:spacing w:val="17"/>
                <w:sz w:val="21"/>
                <w:szCs w:val="21"/>
              </w:rPr>
              <w:t xml:space="preserve"> </w:t>
            </w:r>
            <w:r>
              <w:rPr>
                <w:rFonts w:ascii="仿宋" w:hAnsi="仿宋" w:eastAsia="仿宋" w:cs="仿宋"/>
                <w:spacing w:val="-11"/>
                <w:sz w:val="21"/>
                <w:szCs w:val="21"/>
              </w:rPr>
              <w:t>理，严禁不符合主体功能定位的各类开发活动， 严</w:t>
            </w:r>
            <w:r>
              <w:rPr>
                <w:rFonts w:ascii="仿宋" w:hAnsi="仿宋" w:eastAsia="仿宋" w:cs="仿宋"/>
                <w:spacing w:val="1"/>
                <w:sz w:val="21"/>
                <w:szCs w:val="21"/>
              </w:rPr>
              <w:t xml:space="preserve"> </w:t>
            </w:r>
            <w:r>
              <w:rPr>
                <w:rFonts w:ascii="仿宋" w:hAnsi="仿宋" w:eastAsia="仿宋" w:cs="仿宋"/>
                <w:spacing w:val="-14"/>
                <w:sz w:val="21"/>
                <w:szCs w:val="21"/>
              </w:rPr>
              <w:t>禁任意改变用途。。</w:t>
            </w:r>
          </w:p>
        </w:tc>
        <w:tc>
          <w:tcPr>
            <w:tcW w:w="2234" w:type="dxa"/>
            <w:tcBorders>
              <w:bottom w:val="single" w:color="000000" w:sz="12" w:space="0"/>
            </w:tcBorders>
            <w:vAlign w:val="top"/>
          </w:tcPr>
          <w:p>
            <w:pPr>
              <w:spacing w:before="36" w:line="232" w:lineRule="auto"/>
              <w:ind w:left="119" w:right="233" w:firstLine="420"/>
              <w:rPr>
                <w:rFonts w:ascii="仿宋" w:hAnsi="仿宋" w:eastAsia="仿宋" w:cs="仿宋"/>
                <w:sz w:val="21"/>
                <w:szCs w:val="21"/>
              </w:rPr>
            </w:pPr>
            <w:r>
              <w:rPr>
                <w:rFonts w:ascii="仿宋" w:hAnsi="仿宋" w:eastAsia="仿宋" w:cs="仿宋"/>
                <w:spacing w:val="-3"/>
                <w:sz w:val="21"/>
                <w:szCs w:val="21"/>
              </w:rPr>
              <w:t>项目库区枢纽工</w:t>
            </w:r>
            <w:r>
              <w:rPr>
                <w:rFonts w:ascii="仿宋" w:hAnsi="仿宋" w:eastAsia="仿宋" w:cs="仿宋"/>
                <w:spacing w:val="5"/>
                <w:sz w:val="21"/>
                <w:szCs w:val="21"/>
              </w:rPr>
              <w:t xml:space="preserve"> </w:t>
            </w:r>
            <w:r>
              <w:rPr>
                <w:rFonts w:ascii="仿宋" w:hAnsi="仿宋" w:eastAsia="仿宋" w:cs="仿宋"/>
                <w:spacing w:val="-2"/>
                <w:sz w:val="21"/>
                <w:szCs w:val="21"/>
              </w:rPr>
              <w:t>程征地范围内涉及大</w:t>
            </w:r>
            <w:r>
              <w:rPr>
                <w:rFonts w:ascii="仿宋" w:hAnsi="仿宋" w:eastAsia="仿宋" w:cs="仿宋"/>
                <w:spacing w:val="3"/>
                <w:sz w:val="21"/>
                <w:szCs w:val="21"/>
              </w:rPr>
              <w:t xml:space="preserve"> </w:t>
            </w:r>
            <w:r>
              <w:rPr>
                <w:rFonts w:ascii="仿宋" w:hAnsi="仿宋" w:eastAsia="仿宋" w:cs="仿宋"/>
                <w:spacing w:val="-2"/>
                <w:sz w:val="21"/>
                <w:szCs w:val="21"/>
              </w:rPr>
              <w:t>姚县生态保护红线</w:t>
            </w:r>
          </w:p>
          <w:p>
            <w:pPr>
              <w:spacing w:before="26" w:line="218" w:lineRule="auto"/>
              <w:ind w:left="119"/>
              <w:rPr>
                <w:rFonts w:ascii="仿宋" w:hAnsi="仿宋" w:eastAsia="仿宋" w:cs="仿宋"/>
                <w:sz w:val="21"/>
                <w:szCs w:val="21"/>
              </w:rPr>
            </w:pPr>
            <w:r>
              <w:rPr>
                <w:rFonts w:ascii="仿宋" w:hAnsi="仿宋" w:eastAsia="仿宋" w:cs="仿宋"/>
                <w:spacing w:val="-5"/>
                <w:sz w:val="21"/>
                <w:szCs w:val="21"/>
              </w:rPr>
              <w:t>（公开版）</w:t>
            </w:r>
          </w:p>
          <w:p>
            <w:pPr>
              <w:pStyle w:val="6"/>
              <w:spacing w:before="21" w:line="236" w:lineRule="auto"/>
              <w:ind w:left="116" w:right="233" w:firstLine="2"/>
              <w:rPr>
                <w:rFonts w:ascii="仿宋" w:hAnsi="仿宋" w:eastAsia="仿宋" w:cs="仿宋"/>
              </w:rPr>
            </w:pPr>
            <w:r>
              <w:rPr>
                <w:spacing w:val="-4"/>
              </w:rPr>
              <w:t>8.5929hm</w:t>
            </w:r>
            <w:r>
              <w:rPr>
                <w:spacing w:val="-4"/>
                <w:position w:val="7"/>
                <w:sz w:val="14"/>
                <w:szCs w:val="14"/>
              </w:rPr>
              <w:t xml:space="preserve">2 </w:t>
            </w:r>
            <w:r>
              <w:rPr>
                <w:rFonts w:ascii="仿宋" w:hAnsi="仿宋" w:eastAsia="仿宋" w:cs="仿宋"/>
                <w:spacing w:val="-4"/>
              </w:rPr>
              <w:t>，输水工</w:t>
            </w:r>
            <w:r>
              <w:rPr>
                <w:rFonts w:ascii="仿宋" w:hAnsi="仿宋" w:eastAsia="仿宋" w:cs="仿宋"/>
                <w:spacing w:val="3"/>
              </w:rPr>
              <w:t xml:space="preserve">  </w:t>
            </w:r>
            <w:r>
              <w:rPr>
                <w:rFonts w:ascii="仿宋" w:hAnsi="仿宋" w:eastAsia="仿宋" w:cs="仿宋"/>
                <w:spacing w:val="-2"/>
              </w:rPr>
              <w:t>程、引水工程、弃渣</w:t>
            </w:r>
            <w:r>
              <w:rPr>
                <w:rFonts w:ascii="仿宋" w:hAnsi="仿宋" w:eastAsia="仿宋" w:cs="仿宋"/>
                <w:spacing w:val="6"/>
              </w:rPr>
              <w:t xml:space="preserve"> </w:t>
            </w:r>
            <w:r>
              <w:rPr>
                <w:rFonts w:ascii="仿宋" w:hAnsi="仿宋" w:eastAsia="仿宋" w:cs="仿宋"/>
                <w:spacing w:val="-2"/>
              </w:rPr>
              <w:t>场、料场不涉及大姚</w:t>
            </w:r>
            <w:r>
              <w:rPr>
                <w:rFonts w:ascii="仿宋" w:hAnsi="仿宋" w:eastAsia="仿宋" w:cs="仿宋"/>
                <w:spacing w:val="6"/>
              </w:rPr>
              <w:t xml:space="preserve"> </w:t>
            </w:r>
            <w:r>
              <w:rPr>
                <w:rFonts w:ascii="仿宋" w:hAnsi="仿宋" w:eastAsia="仿宋" w:cs="仿宋"/>
                <w:spacing w:val="-2"/>
              </w:rPr>
              <w:t>县生态保护红线。目</w:t>
            </w:r>
            <w:r>
              <w:rPr>
                <w:rFonts w:ascii="仿宋" w:hAnsi="仿宋" w:eastAsia="仿宋" w:cs="仿宋"/>
                <w:spacing w:val="6"/>
              </w:rPr>
              <w:t xml:space="preserve"> </w:t>
            </w:r>
            <w:r>
              <w:rPr>
                <w:rFonts w:ascii="仿宋" w:hAnsi="仿宋" w:eastAsia="仿宋" w:cs="仿宋"/>
                <w:spacing w:val="-2"/>
              </w:rPr>
              <w:t>前生态红线最终调整</w:t>
            </w:r>
            <w:r>
              <w:rPr>
                <w:rFonts w:ascii="仿宋" w:hAnsi="仿宋" w:eastAsia="仿宋" w:cs="仿宋"/>
                <w:spacing w:val="6"/>
              </w:rPr>
              <w:t xml:space="preserve"> </w:t>
            </w:r>
            <w:r>
              <w:rPr>
                <w:rFonts w:ascii="仿宋" w:hAnsi="仿宋" w:eastAsia="仿宋" w:cs="仿宋"/>
                <w:spacing w:val="-2"/>
              </w:rPr>
              <w:t>版已将库区枢纽工程</w:t>
            </w:r>
            <w:r>
              <w:rPr>
                <w:rFonts w:ascii="仿宋" w:hAnsi="仿宋" w:eastAsia="仿宋" w:cs="仿宋"/>
                <w:spacing w:val="6"/>
              </w:rPr>
              <w:t xml:space="preserve"> </w:t>
            </w:r>
            <w:r>
              <w:rPr>
                <w:rFonts w:ascii="仿宋" w:hAnsi="仿宋" w:eastAsia="仿宋" w:cs="仿宋"/>
                <w:spacing w:val="-2"/>
              </w:rPr>
              <w:t>征地范围内涉及的生</w:t>
            </w:r>
            <w:r>
              <w:rPr>
                <w:rFonts w:ascii="仿宋" w:hAnsi="仿宋" w:eastAsia="仿宋" w:cs="仿宋"/>
                <w:spacing w:val="6"/>
              </w:rPr>
              <w:t xml:space="preserve"> </w:t>
            </w:r>
            <w:r>
              <w:rPr>
                <w:rFonts w:ascii="仿宋" w:hAnsi="仿宋" w:eastAsia="仿宋" w:cs="仿宋"/>
                <w:spacing w:val="-2"/>
              </w:rPr>
              <w:t>态保护红线调出，项</w:t>
            </w:r>
            <w:r>
              <w:rPr>
                <w:rFonts w:ascii="仿宋" w:hAnsi="仿宋" w:eastAsia="仿宋" w:cs="仿宋"/>
                <w:spacing w:val="6"/>
              </w:rPr>
              <w:t xml:space="preserve"> </w:t>
            </w:r>
            <w:r>
              <w:rPr>
                <w:rFonts w:ascii="仿宋" w:hAnsi="仿宋" w:eastAsia="仿宋" w:cs="仿宋"/>
                <w:spacing w:val="-2"/>
              </w:rPr>
              <w:t>目已不涉及生态保护</w:t>
            </w:r>
            <w:r>
              <w:rPr>
                <w:rFonts w:ascii="仿宋" w:hAnsi="仿宋" w:eastAsia="仿宋" w:cs="仿宋"/>
                <w:spacing w:val="6"/>
              </w:rPr>
              <w:t xml:space="preserve"> </w:t>
            </w:r>
            <w:r>
              <w:rPr>
                <w:rFonts w:ascii="仿宋" w:hAnsi="仿宋" w:eastAsia="仿宋" w:cs="仿宋"/>
                <w:spacing w:val="-9"/>
              </w:rPr>
              <w:t>红线。</w:t>
            </w:r>
          </w:p>
        </w:tc>
        <w:tc>
          <w:tcPr>
            <w:tcW w:w="678" w:type="dxa"/>
            <w:tcBorders>
              <w:bottom w:val="single" w:color="000000" w:sz="12" w:space="0"/>
              <w:right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68" w:line="217" w:lineRule="auto"/>
              <w:ind w:left="145"/>
              <w:rPr>
                <w:rFonts w:ascii="仿宋" w:hAnsi="仿宋" w:eastAsia="仿宋" w:cs="仿宋"/>
                <w:sz w:val="21"/>
                <w:szCs w:val="21"/>
              </w:rPr>
            </w:pPr>
            <w:r>
              <w:rPr>
                <w:rFonts w:ascii="仿宋" w:hAnsi="仿宋" w:eastAsia="仿宋" w:cs="仿宋"/>
                <w:spacing w:val="-5"/>
                <w:sz w:val="21"/>
                <w:szCs w:val="21"/>
              </w:rPr>
              <w:t>符合</w:t>
            </w:r>
          </w:p>
        </w:tc>
      </w:tr>
    </w:tbl>
    <w:p>
      <w:pPr>
        <w:spacing w:before="35" w:line="220" w:lineRule="auto"/>
        <w:ind w:left="519"/>
        <w:rPr>
          <w:rFonts w:ascii="宋体" w:hAnsi="宋体" w:eastAsia="宋体" w:cs="宋体"/>
          <w:sz w:val="24"/>
          <w:szCs w:val="24"/>
        </w:rPr>
      </w:pPr>
      <w:r>
        <w:rPr>
          <w:rFonts w:ascii="宋体" w:hAnsi="宋体" w:eastAsia="宋体" w:cs="宋体"/>
          <w:spacing w:val="-5"/>
          <w:sz w:val="24"/>
          <w:szCs w:val="24"/>
        </w:rPr>
        <w:t>根据表</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2.4-3</w:t>
      </w:r>
      <w:r>
        <w:rPr>
          <w:rFonts w:ascii="宋体" w:hAnsi="宋体" w:eastAsia="宋体" w:cs="宋体"/>
          <w:spacing w:val="-5"/>
          <w:sz w:val="24"/>
          <w:szCs w:val="24"/>
        </w:rPr>
        <w:t>，项目建设不违反《长江经济带生态环境</w:t>
      </w:r>
      <w:r>
        <w:rPr>
          <w:rFonts w:ascii="宋体" w:hAnsi="宋体" w:eastAsia="宋体" w:cs="宋体"/>
          <w:spacing w:val="-6"/>
          <w:sz w:val="24"/>
          <w:szCs w:val="24"/>
        </w:rPr>
        <w:t>保护规划》</w:t>
      </w:r>
      <w:r>
        <w:rPr>
          <w:rFonts w:ascii="宋体" w:hAnsi="宋体" w:eastAsia="宋体" w:cs="宋体"/>
          <w:spacing w:val="39"/>
          <w:sz w:val="24"/>
          <w:szCs w:val="24"/>
        </w:rPr>
        <w:t xml:space="preserve"> </w:t>
      </w:r>
      <w:r>
        <w:rPr>
          <w:rFonts w:ascii="宋体" w:hAnsi="宋体" w:eastAsia="宋体" w:cs="宋体"/>
          <w:spacing w:val="-6"/>
          <w:sz w:val="24"/>
          <w:szCs w:val="24"/>
        </w:rPr>
        <w:t>的相关规定。</w:t>
      </w:r>
    </w:p>
    <w:p>
      <w:pPr>
        <w:spacing w:before="181"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）与《云南省生物多样性保护条例》符合</w:t>
      </w:r>
      <w:r>
        <w:rPr>
          <w:rFonts w:ascii="宋体" w:hAnsi="宋体" w:eastAsia="宋体" w:cs="宋体"/>
          <w:spacing w:val="-2"/>
          <w:sz w:val="24"/>
          <w:szCs w:val="24"/>
        </w:rPr>
        <w:t>性分析</w:t>
      </w:r>
    </w:p>
    <w:p>
      <w:pPr>
        <w:spacing w:before="181" w:line="220" w:lineRule="auto"/>
        <w:ind w:left="523"/>
        <w:rPr>
          <w:rFonts w:ascii="宋体" w:hAnsi="宋体" w:eastAsia="宋体" w:cs="宋体"/>
          <w:sz w:val="24"/>
          <w:szCs w:val="24"/>
        </w:rPr>
      </w:pPr>
      <w:r>
        <w:rPr>
          <w:rFonts w:ascii="宋体" w:hAnsi="宋体" w:eastAsia="宋体" w:cs="宋体"/>
          <w:spacing w:val="-2"/>
          <w:sz w:val="24"/>
          <w:szCs w:val="24"/>
        </w:rPr>
        <w:t>项目与《云南省生物多样性保护条例》对照分析见下表。</w:t>
      </w:r>
    </w:p>
    <w:p>
      <w:pPr>
        <w:pStyle w:val="2"/>
        <w:spacing w:before="176" w:line="219" w:lineRule="auto"/>
        <w:ind w:left="1945"/>
      </w:pPr>
      <w:r>
        <w:rPr>
          <w14:textOutline w14:w="3810" w14:cap="flat" w14:cmpd="sng">
            <w14:solidFill>
              <w14:srgbClr w14:val="000000"/>
            </w14:solidFill>
            <w14:prstDash w14:val="solid"/>
            <w14:miter w14:val="0"/>
          </w14:textOutline>
        </w:rPr>
        <w:t>表</w:t>
      </w:r>
      <w:r>
        <w:rPr>
          <w:spacing w:val="-46"/>
        </w:rPr>
        <w:t xml:space="preserve"> </w:t>
      </w:r>
      <w:r>
        <w:rPr>
          <w:rFonts w:ascii="Times New Roman" w:hAnsi="Times New Roman" w:eastAsia="Times New Roman" w:cs="Times New Roman"/>
          <w:b/>
          <w:bCs/>
        </w:rPr>
        <w:t xml:space="preserve">2.4-4    </w:t>
      </w:r>
      <w:r>
        <w:rPr>
          <w14:textOutline w14:w="3810" w14:cap="flat" w14:cmpd="sng">
            <w14:solidFill>
              <w14:srgbClr w14:val="000000"/>
            </w14:solidFill>
            <w14:prstDash w14:val="solid"/>
            <w14:miter w14:val="0"/>
          </w14:textOutline>
        </w:rPr>
        <w:t>项目与《云南省生物多样性保护条例》对</w:t>
      </w:r>
      <w:r>
        <w:rPr>
          <w:spacing w:val="-1"/>
          <w14:textOutline w14:w="3810" w14:cap="flat" w14:cmpd="sng">
            <w14:solidFill>
              <w14:srgbClr w14:val="000000"/>
            </w14:solidFill>
            <w14:prstDash w14:val="solid"/>
            <w14:miter w14:val="0"/>
          </w14:textOutline>
        </w:rPr>
        <w:t>照分析</w:t>
      </w:r>
    </w:p>
    <w:p>
      <w:pPr>
        <w:spacing w:line="128" w:lineRule="exact"/>
      </w:pPr>
    </w:p>
    <w:tbl>
      <w:tblPr>
        <w:tblStyle w:val="5"/>
        <w:tblW w:w="8735"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2"/>
        <w:gridCol w:w="3938"/>
        <w:gridCol w:w="3425"/>
        <w:gridCol w:w="6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4630" w:type="dxa"/>
            <w:gridSpan w:val="2"/>
            <w:tcBorders>
              <w:top w:val="single" w:color="000000" w:sz="12" w:space="0"/>
              <w:left w:val="nil"/>
            </w:tcBorders>
            <w:vAlign w:val="top"/>
          </w:tcPr>
          <w:p>
            <w:pPr>
              <w:spacing w:before="167" w:line="217" w:lineRule="auto"/>
              <w:ind w:left="191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相关内容</w:t>
            </w:r>
          </w:p>
        </w:tc>
        <w:tc>
          <w:tcPr>
            <w:tcW w:w="3425" w:type="dxa"/>
            <w:tcBorders>
              <w:top w:val="single" w:color="000000" w:sz="12" w:space="0"/>
            </w:tcBorders>
            <w:vAlign w:val="top"/>
          </w:tcPr>
          <w:p>
            <w:pPr>
              <w:spacing w:before="166" w:line="218" w:lineRule="auto"/>
              <w:ind w:left="140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本项目</w:t>
            </w:r>
          </w:p>
        </w:tc>
        <w:tc>
          <w:tcPr>
            <w:tcW w:w="680" w:type="dxa"/>
            <w:tcBorders>
              <w:top w:val="single" w:color="000000" w:sz="12" w:space="0"/>
              <w:right w:val="nil"/>
            </w:tcBorders>
            <w:vAlign w:val="top"/>
          </w:tcPr>
          <w:p>
            <w:pPr>
              <w:spacing w:before="31" w:line="222" w:lineRule="auto"/>
              <w:ind w:left="248" w:right="129" w:hanging="102"/>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符合</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0" w:hRule="atLeast"/>
        </w:trPr>
        <w:tc>
          <w:tcPr>
            <w:tcW w:w="692" w:type="dxa"/>
            <w:tcBorders>
              <w:left w:val="nil"/>
            </w:tcBorders>
            <w:vAlign w:val="top"/>
          </w:tcPr>
          <w:p>
            <w:pPr>
              <w:spacing w:before="169" w:line="233" w:lineRule="auto"/>
              <w:ind w:left="162" w:right="126" w:firstLine="3"/>
              <w:jc w:val="both"/>
              <w:rPr>
                <w:rFonts w:ascii="仿宋" w:hAnsi="仿宋" w:eastAsia="仿宋" w:cs="仿宋"/>
                <w:sz w:val="21"/>
                <w:szCs w:val="21"/>
              </w:rPr>
            </w:pPr>
            <w:r>
              <w:rPr>
                <w:rFonts w:ascii="仿宋" w:hAnsi="仿宋" w:eastAsia="仿宋" w:cs="仿宋"/>
                <w:spacing w:val="-12"/>
                <w:sz w:val="21"/>
                <w:szCs w:val="21"/>
              </w:rPr>
              <w:t>第二</w:t>
            </w:r>
            <w:r>
              <w:rPr>
                <w:rFonts w:ascii="仿宋" w:hAnsi="仿宋" w:eastAsia="仿宋" w:cs="仿宋"/>
                <w:sz w:val="21"/>
                <w:szCs w:val="21"/>
              </w:rPr>
              <w:t xml:space="preserve"> </w:t>
            </w:r>
            <w:r>
              <w:rPr>
                <w:rFonts w:ascii="仿宋" w:hAnsi="仿宋" w:eastAsia="仿宋" w:cs="仿宋"/>
                <w:spacing w:val="-10"/>
                <w:sz w:val="21"/>
                <w:szCs w:val="21"/>
              </w:rPr>
              <w:t>十五</w:t>
            </w:r>
            <w:r>
              <w:rPr>
                <w:rFonts w:ascii="仿宋" w:hAnsi="仿宋" w:eastAsia="仿宋" w:cs="仿宋"/>
                <w:sz w:val="21"/>
                <w:szCs w:val="21"/>
              </w:rPr>
              <w:t xml:space="preserve"> </w:t>
            </w:r>
            <w:r>
              <w:rPr>
                <w:rFonts w:ascii="仿宋" w:hAnsi="仿宋" w:eastAsia="仿宋" w:cs="仿宋"/>
                <w:spacing w:val="32"/>
                <w:w w:val="125"/>
                <w:sz w:val="21"/>
                <w:szCs w:val="21"/>
              </w:rPr>
              <w:t>条</w:t>
            </w:r>
          </w:p>
        </w:tc>
        <w:tc>
          <w:tcPr>
            <w:tcW w:w="3938" w:type="dxa"/>
            <w:vAlign w:val="top"/>
          </w:tcPr>
          <w:p>
            <w:pPr>
              <w:spacing w:before="306" w:line="228" w:lineRule="auto"/>
              <w:ind w:left="121" w:right="256" w:firstLine="425"/>
              <w:rPr>
                <w:rFonts w:ascii="仿宋" w:hAnsi="仿宋" w:eastAsia="仿宋" w:cs="仿宋"/>
                <w:sz w:val="21"/>
                <w:szCs w:val="21"/>
              </w:rPr>
            </w:pPr>
            <w:r>
              <w:rPr>
                <w:rFonts w:ascii="仿宋" w:hAnsi="仿宋" w:eastAsia="仿宋" w:cs="仿宋"/>
                <w:spacing w:val="-2"/>
                <w:sz w:val="21"/>
                <w:szCs w:val="21"/>
              </w:rPr>
              <w:t>禁止扩散、放生或者丢弃外来入侵</w:t>
            </w:r>
            <w:r>
              <w:rPr>
                <w:rFonts w:ascii="仿宋" w:hAnsi="仿宋" w:eastAsia="仿宋" w:cs="仿宋"/>
                <w:spacing w:val="9"/>
                <w:sz w:val="21"/>
                <w:szCs w:val="21"/>
              </w:rPr>
              <w:t xml:space="preserve"> </w:t>
            </w:r>
            <w:r>
              <w:rPr>
                <w:rFonts w:ascii="仿宋" w:hAnsi="仿宋" w:eastAsia="仿宋" w:cs="仿宋"/>
                <w:spacing w:val="-10"/>
                <w:sz w:val="21"/>
                <w:szCs w:val="21"/>
              </w:rPr>
              <w:t>物种。</w:t>
            </w:r>
          </w:p>
        </w:tc>
        <w:tc>
          <w:tcPr>
            <w:tcW w:w="3425" w:type="dxa"/>
            <w:vAlign w:val="top"/>
          </w:tcPr>
          <w:p>
            <w:pPr>
              <w:spacing w:before="33" w:line="230" w:lineRule="auto"/>
              <w:ind w:left="120" w:right="164" w:firstLine="420"/>
              <w:jc w:val="both"/>
              <w:rPr>
                <w:rFonts w:ascii="仿宋" w:hAnsi="仿宋" w:eastAsia="仿宋" w:cs="仿宋"/>
                <w:sz w:val="21"/>
                <w:szCs w:val="21"/>
              </w:rPr>
            </w:pPr>
            <w:r>
              <w:rPr>
                <w:rFonts w:ascii="仿宋" w:hAnsi="仿宋" w:eastAsia="仿宋" w:cs="仿宋"/>
                <w:spacing w:val="-2"/>
                <w:sz w:val="21"/>
                <w:szCs w:val="21"/>
              </w:rPr>
              <w:t>项目区临时占地植被恢复物种</w:t>
            </w:r>
            <w:r>
              <w:rPr>
                <w:rFonts w:ascii="仿宋" w:hAnsi="仿宋" w:eastAsia="仿宋" w:cs="仿宋"/>
                <w:spacing w:val="10"/>
                <w:sz w:val="21"/>
                <w:szCs w:val="21"/>
              </w:rPr>
              <w:t xml:space="preserve"> </w:t>
            </w:r>
            <w:r>
              <w:rPr>
                <w:rFonts w:ascii="仿宋" w:hAnsi="仿宋" w:eastAsia="仿宋" w:cs="仿宋"/>
                <w:spacing w:val="-8"/>
                <w:sz w:val="21"/>
                <w:szCs w:val="21"/>
              </w:rPr>
              <w:t>为当地物种， 不引进外来物种；施</w:t>
            </w:r>
            <w:r>
              <w:rPr>
                <w:rFonts w:ascii="仿宋" w:hAnsi="仿宋" w:eastAsia="仿宋" w:cs="仿宋"/>
                <w:spacing w:val="7"/>
                <w:sz w:val="21"/>
                <w:szCs w:val="21"/>
              </w:rPr>
              <w:t xml:space="preserve"> </w:t>
            </w:r>
            <w:r>
              <w:rPr>
                <w:rFonts w:ascii="仿宋" w:hAnsi="仿宋" w:eastAsia="仿宋" w:cs="仿宋"/>
                <w:spacing w:val="-1"/>
                <w:sz w:val="21"/>
                <w:szCs w:val="21"/>
              </w:rPr>
              <w:t>工过程中严格管理，禁止带入外来</w:t>
            </w:r>
            <w:r>
              <w:rPr>
                <w:rFonts w:ascii="仿宋" w:hAnsi="仿宋" w:eastAsia="仿宋" w:cs="仿宋"/>
                <w:sz w:val="21"/>
                <w:szCs w:val="21"/>
              </w:rPr>
              <w:t xml:space="preserve"> </w:t>
            </w:r>
            <w:r>
              <w:rPr>
                <w:rFonts w:ascii="仿宋" w:hAnsi="仿宋" w:eastAsia="仿宋" w:cs="仿宋"/>
                <w:spacing w:val="-10"/>
                <w:sz w:val="21"/>
                <w:szCs w:val="21"/>
              </w:rPr>
              <w:t>物种。</w:t>
            </w:r>
          </w:p>
        </w:tc>
        <w:tc>
          <w:tcPr>
            <w:tcW w:w="680" w:type="dxa"/>
            <w:tcBorders>
              <w:right w:val="nil"/>
            </w:tcBorders>
            <w:vAlign w:val="top"/>
          </w:tcPr>
          <w:p>
            <w:pPr>
              <w:spacing w:line="371" w:lineRule="auto"/>
              <w:rPr>
                <w:rFonts w:ascii="Arial"/>
                <w:sz w:val="21"/>
              </w:rPr>
            </w:pPr>
          </w:p>
          <w:p>
            <w:pPr>
              <w:spacing w:before="69" w:line="217" w:lineRule="auto"/>
              <w:ind w:left="146"/>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26" w:hRule="atLeast"/>
        </w:trPr>
        <w:tc>
          <w:tcPr>
            <w:tcW w:w="692" w:type="dxa"/>
            <w:tcBorders>
              <w:left w:val="nil"/>
              <w:bottom w:val="single" w:color="000000" w:sz="1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8" w:line="233" w:lineRule="auto"/>
              <w:ind w:left="138" w:right="106" w:firstLine="6"/>
              <w:jc w:val="both"/>
              <w:rPr>
                <w:rFonts w:ascii="仿宋" w:hAnsi="仿宋" w:eastAsia="仿宋" w:cs="仿宋"/>
                <w:sz w:val="21"/>
                <w:szCs w:val="21"/>
              </w:rPr>
            </w:pPr>
            <w:r>
              <w:rPr>
                <w:rFonts w:ascii="仿宋" w:hAnsi="仿宋" w:eastAsia="仿宋" w:cs="仿宋"/>
                <w:spacing w:val="8"/>
                <w:sz w:val="21"/>
                <w:szCs w:val="21"/>
              </w:rPr>
              <w:t>第二</w:t>
            </w:r>
            <w:r>
              <w:rPr>
                <w:rFonts w:ascii="仿宋" w:hAnsi="仿宋" w:eastAsia="仿宋" w:cs="仿宋"/>
                <w:sz w:val="21"/>
                <w:szCs w:val="21"/>
              </w:rPr>
              <w:t xml:space="preserve"> </w:t>
            </w:r>
            <w:r>
              <w:rPr>
                <w:rFonts w:ascii="仿宋" w:hAnsi="仿宋" w:eastAsia="仿宋" w:cs="仿宋"/>
                <w:spacing w:val="12"/>
                <w:sz w:val="21"/>
                <w:szCs w:val="21"/>
              </w:rPr>
              <w:t>十九</w:t>
            </w:r>
            <w:r>
              <w:rPr>
                <w:rFonts w:ascii="仿宋" w:hAnsi="仿宋" w:eastAsia="仿宋" w:cs="仿宋"/>
                <w:sz w:val="21"/>
                <w:szCs w:val="21"/>
              </w:rPr>
              <w:t xml:space="preserve"> 条</w:t>
            </w:r>
          </w:p>
        </w:tc>
        <w:tc>
          <w:tcPr>
            <w:tcW w:w="3938" w:type="dxa"/>
            <w:tcBorders>
              <w:bottom w:val="single" w:color="000000" w:sz="12"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9" w:line="236" w:lineRule="auto"/>
              <w:ind w:left="121" w:right="74" w:firstLine="418"/>
              <w:jc w:val="both"/>
              <w:rPr>
                <w:rFonts w:ascii="仿宋" w:hAnsi="仿宋" w:eastAsia="仿宋" w:cs="仿宋"/>
                <w:sz w:val="21"/>
                <w:szCs w:val="21"/>
              </w:rPr>
            </w:pPr>
            <w:r>
              <w:rPr>
                <w:rFonts w:ascii="仿宋" w:hAnsi="仿宋" w:eastAsia="仿宋" w:cs="仿宋"/>
                <w:spacing w:val="-5"/>
                <w:sz w:val="21"/>
                <w:szCs w:val="21"/>
              </w:rPr>
              <w:t>新建、改建、扩建建设项目以及开发</w:t>
            </w:r>
            <w:r>
              <w:rPr>
                <w:rFonts w:ascii="仿宋" w:hAnsi="仿宋" w:eastAsia="仿宋" w:cs="仿宋"/>
                <w:spacing w:val="8"/>
                <w:sz w:val="21"/>
                <w:szCs w:val="21"/>
              </w:rPr>
              <w:t xml:space="preserve"> </w:t>
            </w:r>
            <w:r>
              <w:rPr>
                <w:rFonts w:ascii="仿宋" w:hAnsi="仿宋" w:eastAsia="仿宋" w:cs="仿宋"/>
                <w:spacing w:val="-3"/>
                <w:sz w:val="21"/>
                <w:szCs w:val="21"/>
              </w:rPr>
              <w:t>自然资源，应当依法开展环境影响评价。</w:t>
            </w:r>
            <w:r>
              <w:rPr>
                <w:rFonts w:ascii="仿宋" w:hAnsi="仿宋" w:eastAsia="仿宋" w:cs="仿宋"/>
                <w:spacing w:val="10"/>
                <w:sz w:val="21"/>
                <w:szCs w:val="21"/>
              </w:rPr>
              <w:t xml:space="preserve"> </w:t>
            </w:r>
            <w:r>
              <w:rPr>
                <w:rFonts w:ascii="仿宋" w:hAnsi="仿宋" w:eastAsia="仿宋" w:cs="仿宋"/>
                <w:spacing w:val="-5"/>
                <w:sz w:val="21"/>
                <w:szCs w:val="21"/>
              </w:rPr>
              <w:t>对可能造成重要生态系统破坏、损害重要</w:t>
            </w:r>
            <w:r>
              <w:rPr>
                <w:rFonts w:ascii="仿宋" w:hAnsi="仿宋" w:eastAsia="仿宋" w:cs="仿宋"/>
                <w:spacing w:val="16"/>
                <w:sz w:val="21"/>
                <w:szCs w:val="21"/>
              </w:rPr>
              <w:t xml:space="preserve"> </w:t>
            </w:r>
            <w:r>
              <w:rPr>
                <w:rFonts w:ascii="仿宋" w:hAnsi="仿宋" w:eastAsia="仿宋" w:cs="仿宋"/>
                <w:spacing w:val="-10"/>
                <w:sz w:val="21"/>
                <w:szCs w:val="21"/>
              </w:rPr>
              <w:t>物种及其栖息地和生境的， 应当制定专项</w:t>
            </w:r>
            <w:r>
              <w:rPr>
                <w:rFonts w:ascii="仿宋" w:hAnsi="仿宋" w:eastAsia="仿宋" w:cs="仿宋"/>
                <w:spacing w:val="11"/>
                <w:sz w:val="21"/>
                <w:szCs w:val="21"/>
              </w:rPr>
              <w:t xml:space="preserve"> </w:t>
            </w:r>
            <w:r>
              <w:rPr>
                <w:rFonts w:ascii="仿宋" w:hAnsi="仿宋" w:eastAsia="仿宋" w:cs="仿宋"/>
                <w:spacing w:val="-12"/>
                <w:sz w:val="21"/>
                <w:szCs w:val="21"/>
              </w:rPr>
              <w:t>保护、恢复和补偿方案，</w:t>
            </w:r>
            <w:r>
              <w:rPr>
                <w:rFonts w:ascii="仿宋" w:hAnsi="仿宋" w:eastAsia="仿宋" w:cs="仿宋"/>
                <w:spacing w:val="37"/>
                <w:sz w:val="21"/>
                <w:szCs w:val="21"/>
              </w:rPr>
              <w:t xml:space="preserve"> </w:t>
            </w:r>
            <w:r>
              <w:rPr>
                <w:rFonts w:ascii="仿宋" w:hAnsi="仿宋" w:eastAsia="仿宋" w:cs="仿宋"/>
                <w:spacing w:val="-12"/>
                <w:sz w:val="21"/>
                <w:szCs w:val="21"/>
              </w:rPr>
              <w:t>纳入环境影响评</w:t>
            </w:r>
            <w:r>
              <w:rPr>
                <w:rFonts w:ascii="仿宋" w:hAnsi="仿宋" w:eastAsia="仿宋" w:cs="仿宋"/>
                <w:sz w:val="21"/>
                <w:szCs w:val="21"/>
              </w:rPr>
              <w:t xml:space="preserve"> </w:t>
            </w:r>
            <w:r>
              <w:rPr>
                <w:rFonts w:ascii="仿宋" w:hAnsi="仿宋" w:eastAsia="仿宋" w:cs="仿宋"/>
                <w:spacing w:val="-11"/>
                <w:sz w:val="21"/>
                <w:szCs w:val="21"/>
              </w:rPr>
              <w:t>价。</w:t>
            </w:r>
          </w:p>
        </w:tc>
        <w:tc>
          <w:tcPr>
            <w:tcW w:w="3425" w:type="dxa"/>
            <w:tcBorders>
              <w:bottom w:val="single" w:color="000000" w:sz="12" w:space="0"/>
            </w:tcBorders>
            <w:vAlign w:val="top"/>
          </w:tcPr>
          <w:p>
            <w:pPr>
              <w:spacing w:before="39" w:line="231" w:lineRule="auto"/>
              <w:ind w:left="118" w:right="164" w:firstLine="421"/>
              <w:rPr>
                <w:rFonts w:ascii="仿宋" w:hAnsi="仿宋" w:eastAsia="仿宋" w:cs="仿宋"/>
                <w:sz w:val="21"/>
                <w:szCs w:val="21"/>
              </w:rPr>
            </w:pPr>
            <w:r>
              <w:rPr>
                <w:rFonts w:ascii="仿宋" w:hAnsi="仿宋" w:eastAsia="仿宋" w:cs="仿宋"/>
                <w:spacing w:val="-2"/>
                <w:sz w:val="21"/>
                <w:szCs w:val="21"/>
              </w:rPr>
              <w:t>项目占地范围未涉及保护和濒</w:t>
            </w:r>
            <w:r>
              <w:rPr>
                <w:rFonts w:ascii="仿宋" w:hAnsi="仿宋" w:eastAsia="仿宋" w:cs="仿宋"/>
                <w:spacing w:val="10"/>
                <w:sz w:val="21"/>
                <w:szCs w:val="21"/>
              </w:rPr>
              <w:t xml:space="preserve"> </w:t>
            </w:r>
            <w:r>
              <w:rPr>
                <w:rFonts w:ascii="仿宋" w:hAnsi="仿宋" w:eastAsia="仿宋" w:cs="仿宋"/>
                <w:spacing w:val="-1"/>
                <w:sz w:val="21"/>
                <w:szCs w:val="21"/>
              </w:rPr>
              <w:t>危植物，项目占地受影响的植被及</w:t>
            </w:r>
            <w:r>
              <w:rPr>
                <w:rFonts w:ascii="仿宋" w:hAnsi="仿宋" w:eastAsia="仿宋" w:cs="仿宋"/>
                <w:sz w:val="21"/>
                <w:szCs w:val="21"/>
              </w:rPr>
              <w:t xml:space="preserve"> </w:t>
            </w:r>
            <w:r>
              <w:rPr>
                <w:rFonts w:ascii="仿宋" w:hAnsi="仿宋" w:eastAsia="仿宋" w:cs="仿宋"/>
                <w:spacing w:val="-1"/>
                <w:sz w:val="21"/>
                <w:szCs w:val="21"/>
              </w:rPr>
              <w:t>植物在该地区分布较广、面积较</w:t>
            </w:r>
          </w:p>
          <w:p>
            <w:pPr>
              <w:spacing w:before="27" w:line="229" w:lineRule="auto"/>
              <w:ind w:left="122" w:right="164" w:hanging="1"/>
              <w:rPr>
                <w:rFonts w:ascii="仿宋" w:hAnsi="仿宋" w:eastAsia="仿宋" w:cs="仿宋"/>
                <w:sz w:val="21"/>
                <w:szCs w:val="21"/>
              </w:rPr>
            </w:pPr>
            <w:r>
              <w:rPr>
                <w:rFonts w:ascii="仿宋" w:hAnsi="仿宋" w:eastAsia="仿宋" w:cs="仿宋"/>
                <w:spacing w:val="-2"/>
                <w:sz w:val="21"/>
                <w:szCs w:val="21"/>
              </w:rPr>
              <w:t>大，项目建设不会造成重要生态系</w:t>
            </w:r>
            <w:r>
              <w:rPr>
                <w:rFonts w:ascii="仿宋" w:hAnsi="仿宋" w:eastAsia="仿宋" w:cs="仿宋"/>
                <w:spacing w:val="13"/>
                <w:sz w:val="21"/>
                <w:szCs w:val="21"/>
              </w:rPr>
              <w:t xml:space="preserve"> </w:t>
            </w:r>
            <w:r>
              <w:rPr>
                <w:rFonts w:ascii="仿宋" w:hAnsi="仿宋" w:eastAsia="仿宋" w:cs="仿宋"/>
                <w:spacing w:val="-9"/>
                <w:sz w:val="21"/>
                <w:szCs w:val="21"/>
              </w:rPr>
              <w:t>统破坏。</w:t>
            </w:r>
          </w:p>
          <w:p>
            <w:pPr>
              <w:spacing w:before="28" w:line="236" w:lineRule="auto"/>
              <w:ind w:left="121" w:right="164" w:firstLine="419"/>
              <w:rPr>
                <w:rFonts w:ascii="仿宋" w:hAnsi="仿宋" w:eastAsia="仿宋" w:cs="仿宋"/>
                <w:sz w:val="21"/>
                <w:szCs w:val="21"/>
              </w:rPr>
            </w:pPr>
            <w:r>
              <w:rPr>
                <w:rFonts w:ascii="仿宋" w:hAnsi="仿宋" w:eastAsia="仿宋" w:cs="仿宋"/>
                <w:spacing w:val="-2"/>
                <w:sz w:val="21"/>
                <w:szCs w:val="21"/>
              </w:rPr>
              <w:t>项目占地及其影响范围内无重</w:t>
            </w:r>
            <w:r>
              <w:rPr>
                <w:rFonts w:ascii="仿宋" w:hAnsi="仿宋" w:eastAsia="仿宋" w:cs="仿宋"/>
                <w:spacing w:val="10"/>
                <w:sz w:val="21"/>
                <w:szCs w:val="21"/>
              </w:rPr>
              <w:t xml:space="preserve"> </w:t>
            </w:r>
            <w:r>
              <w:rPr>
                <w:rFonts w:ascii="仿宋" w:hAnsi="仿宋" w:eastAsia="仿宋" w:cs="仿宋"/>
                <w:spacing w:val="-2"/>
                <w:sz w:val="21"/>
                <w:szCs w:val="21"/>
              </w:rPr>
              <w:t>要物种栖息地及其生境，项目建设</w:t>
            </w:r>
            <w:r>
              <w:rPr>
                <w:rFonts w:ascii="仿宋" w:hAnsi="仿宋" w:eastAsia="仿宋" w:cs="仿宋"/>
                <w:spacing w:val="13"/>
                <w:sz w:val="21"/>
                <w:szCs w:val="21"/>
              </w:rPr>
              <w:t xml:space="preserve"> </w:t>
            </w:r>
            <w:r>
              <w:rPr>
                <w:rFonts w:ascii="仿宋" w:hAnsi="仿宋" w:eastAsia="仿宋" w:cs="仿宋"/>
                <w:spacing w:val="-2"/>
                <w:sz w:val="21"/>
                <w:szCs w:val="21"/>
              </w:rPr>
              <w:t>不会损害重要物种及其栖息地和生</w:t>
            </w:r>
            <w:r>
              <w:rPr>
                <w:rFonts w:ascii="仿宋" w:hAnsi="仿宋" w:eastAsia="仿宋" w:cs="仿宋"/>
                <w:spacing w:val="13"/>
                <w:sz w:val="21"/>
                <w:szCs w:val="21"/>
              </w:rPr>
              <w:t xml:space="preserve"> </w:t>
            </w:r>
            <w:r>
              <w:rPr>
                <w:rFonts w:ascii="仿宋" w:hAnsi="仿宋" w:eastAsia="仿宋" w:cs="仿宋"/>
                <w:spacing w:val="-2"/>
                <w:sz w:val="21"/>
                <w:szCs w:val="21"/>
              </w:rPr>
              <w:t>境。工程建设将使动物的栖息和活</w:t>
            </w:r>
            <w:r>
              <w:rPr>
                <w:rFonts w:ascii="仿宋" w:hAnsi="仿宋" w:eastAsia="仿宋" w:cs="仿宋"/>
                <w:spacing w:val="13"/>
                <w:sz w:val="21"/>
                <w:szCs w:val="21"/>
              </w:rPr>
              <w:t xml:space="preserve"> </w:t>
            </w:r>
            <w:r>
              <w:rPr>
                <w:rFonts w:ascii="仿宋" w:hAnsi="仿宋" w:eastAsia="仿宋" w:cs="仿宋"/>
                <w:spacing w:val="-8"/>
                <w:sz w:val="21"/>
                <w:szCs w:val="21"/>
              </w:rPr>
              <w:t>动场所缩小， 结果迫使原栖息在这</w:t>
            </w:r>
            <w:r>
              <w:rPr>
                <w:rFonts w:ascii="仿宋" w:hAnsi="仿宋" w:eastAsia="仿宋" w:cs="仿宋"/>
                <w:spacing w:val="6"/>
                <w:sz w:val="21"/>
                <w:szCs w:val="21"/>
              </w:rPr>
              <w:t xml:space="preserve"> </w:t>
            </w:r>
            <w:r>
              <w:rPr>
                <w:rFonts w:ascii="仿宋" w:hAnsi="仿宋" w:eastAsia="仿宋" w:cs="仿宋"/>
                <w:spacing w:val="-2"/>
                <w:sz w:val="21"/>
                <w:szCs w:val="21"/>
              </w:rPr>
              <w:t>一带的动物迁往其他生境适宜的地</w:t>
            </w:r>
            <w:r>
              <w:rPr>
                <w:rFonts w:ascii="仿宋" w:hAnsi="仿宋" w:eastAsia="仿宋" w:cs="仿宋"/>
                <w:spacing w:val="13"/>
                <w:sz w:val="21"/>
                <w:szCs w:val="21"/>
              </w:rPr>
              <w:t xml:space="preserve"> </w:t>
            </w:r>
            <w:r>
              <w:rPr>
                <w:rFonts w:ascii="仿宋" w:hAnsi="仿宋" w:eastAsia="仿宋" w:cs="仿宋"/>
                <w:spacing w:val="-4"/>
                <w:sz w:val="21"/>
                <w:szCs w:val="21"/>
              </w:rPr>
              <w:t>区，但不会导致任何物种的消失，</w:t>
            </w:r>
            <w:r>
              <w:rPr>
                <w:rFonts w:ascii="仿宋" w:hAnsi="仿宋" w:eastAsia="仿宋" w:cs="仿宋"/>
                <w:sz w:val="21"/>
                <w:szCs w:val="21"/>
              </w:rPr>
              <w:t xml:space="preserve"> </w:t>
            </w:r>
            <w:r>
              <w:rPr>
                <w:rFonts w:ascii="仿宋" w:hAnsi="仿宋" w:eastAsia="仿宋" w:cs="仿宋"/>
                <w:spacing w:val="-2"/>
                <w:sz w:val="21"/>
                <w:szCs w:val="21"/>
              </w:rPr>
              <w:t>种群在一段时间内将会有大的波</w:t>
            </w:r>
          </w:p>
          <w:p>
            <w:pPr>
              <w:spacing w:before="26" w:line="235" w:lineRule="auto"/>
              <w:ind w:left="120" w:right="164" w:firstLine="1"/>
              <w:rPr>
                <w:rFonts w:ascii="仿宋" w:hAnsi="仿宋" w:eastAsia="仿宋" w:cs="仿宋"/>
                <w:sz w:val="21"/>
                <w:szCs w:val="21"/>
              </w:rPr>
            </w:pPr>
            <w:r>
              <w:rPr>
                <w:rFonts w:ascii="仿宋" w:hAnsi="仿宋" w:eastAsia="仿宋" w:cs="仿宋"/>
                <w:spacing w:val="-2"/>
                <w:sz w:val="21"/>
                <w:szCs w:val="21"/>
              </w:rPr>
              <w:t>动，最后随着工程建设的结束，生</w:t>
            </w:r>
            <w:r>
              <w:rPr>
                <w:rFonts w:ascii="仿宋" w:hAnsi="仿宋" w:eastAsia="仿宋" w:cs="仿宋"/>
                <w:spacing w:val="13"/>
                <w:sz w:val="21"/>
                <w:szCs w:val="21"/>
              </w:rPr>
              <w:t xml:space="preserve"> </w:t>
            </w:r>
            <w:r>
              <w:rPr>
                <w:rFonts w:ascii="仿宋" w:hAnsi="仿宋" w:eastAsia="仿宋" w:cs="仿宋"/>
                <w:spacing w:val="-1"/>
                <w:sz w:val="21"/>
                <w:szCs w:val="21"/>
              </w:rPr>
              <w:t>态环境逐渐恢复，种群又会得以恢</w:t>
            </w:r>
            <w:r>
              <w:rPr>
                <w:rFonts w:ascii="仿宋" w:hAnsi="仿宋" w:eastAsia="仿宋" w:cs="仿宋"/>
                <w:sz w:val="21"/>
                <w:szCs w:val="21"/>
              </w:rPr>
              <w:t xml:space="preserve"> </w:t>
            </w:r>
            <w:r>
              <w:rPr>
                <w:rFonts w:ascii="仿宋" w:hAnsi="仿宋" w:eastAsia="仿宋" w:cs="仿宋"/>
                <w:spacing w:val="-6"/>
                <w:sz w:val="21"/>
                <w:szCs w:val="21"/>
              </w:rPr>
              <w:t>复。</w:t>
            </w:r>
            <w:r>
              <w:rPr>
                <w:rFonts w:ascii="仿宋" w:hAnsi="仿宋" w:eastAsia="仿宋" w:cs="仿宋"/>
                <w:spacing w:val="-31"/>
                <w:sz w:val="21"/>
                <w:szCs w:val="21"/>
              </w:rPr>
              <w:t xml:space="preserve"> </w:t>
            </w:r>
            <w:r>
              <w:rPr>
                <w:rFonts w:ascii="仿宋" w:hAnsi="仿宋" w:eastAsia="仿宋" w:cs="仿宋"/>
                <w:spacing w:val="-6"/>
                <w:sz w:val="21"/>
                <w:szCs w:val="21"/>
              </w:rPr>
              <w:t>评价区水域未发现明显的、集</w:t>
            </w:r>
            <w:r>
              <w:rPr>
                <w:rFonts w:ascii="仿宋" w:hAnsi="仿宋" w:eastAsia="仿宋" w:cs="仿宋"/>
                <w:sz w:val="21"/>
                <w:szCs w:val="21"/>
              </w:rPr>
              <w:t xml:space="preserve"> </w:t>
            </w:r>
            <w:r>
              <w:rPr>
                <w:rFonts w:ascii="仿宋" w:hAnsi="仿宋" w:eastAsia="仿宋" w:cs="仿宋"/>
                <w:spacing w:val="-1"/>
                <w:sz w:val="21"/>
                <w:szCs w:val="21"/>
              </w:rPr>
              <w:t>中式的鱼类“三场”等重要的鱼类</w:t>
            </w:r>
            <w:r>
              <w:rPr>
                <w:rFonts w:ascii="仿宋" w:hAnsi="仿宋" w:eastAsia="仿宋" w:cs="仿宋"/>
                <w:sz w:val="21"/>
                <w:szCs w:val="21"/>
              </w:rPr>
              <w:t xml:space="preserve"> </w:t>
            </w:r>
            <w:r>
              <w:rPr>
                <w:rFonts w:ascii="仿宋" w:hAnsi="仿宋" w:eastAsia="仿宋" w:cs="仿宋"/>
                <w:spacing w:val="-1"/>
                <w:sz w:val="21"/>
                <w:szCs w:val="21"/>
              </w:rPr>
              <w:t>生境分布，库区河段水文条件的改</w:t>
            </w:r>
            <w:r>
              <w:rPr>
                <w:rFonts w:ascii="仿宋" w:hAnsi="仿宋" w:eastAsia="仿宋" w:cs="仿宋"/>
                <w:sz w:val="21"/>
                <w:szCs w:val="21"/>
              </w:rPr>
              <w:t xml:space="preserve"> </w:t>
            </w:r>
            <w:r>
              <w:rPr>
                <w:rFonts w:ascii="仿宋" w:hAnsi="仿宋" w:eastAsia="仿宋" w:cs="仿宋"/>
                <w:spacing w:val="-1"/>
                <w:sz w:val="21"/>
                <w:szCs w:val="21"/>
              </w:rPr>
              <w:t>变导致鱼类栖息条件、繁殖条件变</w:t>
            </w:r>
            <w:r>
              <w:rPr>
                <w:rFonts w:ascii="仿宋" w:hAnsi="仿宋" w:eastAsia="仿宋" w:cs="仿宋"/>
                <w:sz w:val="21"/>
                <w:szCs w:val="21"/>
              </w:rPr>
              <w:t xml:space="preserve"> </w:t>
            </w:r>
            <w:r>
              <w:rPr>
                <w:rFonts w:ascii="仿宋" w:hAnsi="仿宋" w:eastAsia="仿宋" w:cs="仿宋"/>
                <w:spacing w:val="-1"/>
                <w:sz w:val="21"/>
                <w:szCs w:val="21"/>
              </w:rPr>
              <w:t>化、水体初级生产力的提高和饵料</w:t>
            </w:r>
            <w:r>
              <w:rPr>
                <w:rFonts w:ascii="仿宋" w:hAnsi="仿宋" w:eastAsia="仿宋" w:cs="仿宋"/>
                <w:sz w:val="21"/>
                <w:szCs w:val="21"/>
              </w:rPr>
              <w:t xml:space="preserve"> </w:t>
            </w:r>
            <w:r>
              <w:rPr>
                <w:rFonts w:ascii="仿宋" w:hAnsi="仿宋" w:eastAsia="仿宋" w:cs="仿宋"/>
                <w:spacing w:val="-1"/>
                <w:sz w:val="21"/>
                <w:szCs w:val="21"/>
              </w:rPr>
              <w:t>生物构成变化，将直接或间接地影</w:t>
            </w:r>
          </w:p>
        </w:tc>
        <w:tc>
          <w:tcPr>
            <w:tcW w:w="680" w:type="dxa"/>
            <w:tcBorders>
              <w:bottom w:val="single" w:color="000000" w:sz="12" w:space="0"/>
              <w:right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8" w:line="217" w:lineRule="auto"/>
              <w:ind w:left="146"/>
              <w:rPr>
                <w:rFonts w:ascii="仿宋" w:hAnsi="仿宋" w:eastAsia="仿宋" w:cs="仿宋"/>
                <w:sz w:val="21"/>
                <w:szCs w:val="21"/>
              </w:rPr>
            </w:pPr>
            <w:r>
              <w:rPr>
                <w:rFonts w:ascii="仿宋" w:hAnsi="仿宋" w:eastAsia="仿宋" w:cs="仿宋"/>
                <w:spacing w:val="-5"/>
                <w:sz w:val="21"/>
                <w:szCs w:val="21"/>
              </w:rPr>
              <w:t>符合</w:t>
            </w:r>
          </w:p>
        </w:tc>
      </w:tr>
    </w:tbl>
    <w:p>
      <w:pPr>
        <w:spacing w:line="72" w:lineRule="exact"/>
        <w:rPr>
          <w:rFonts w:ascii="Arial"/>
          <w:sz w:val="6"/>
        </w:rPr>
      </w:pPr>
    </w:p>
    <w:p>
      <w:pPr>
        <w:spacing w:line="72" w:lineRule="exact"/>
        <w:rPr>
          <w:rFonts w:ascii="Arial" w:hAnsi="Arial" w:eastAsia="Arial" w:cs="Arial"/>
          <w:sz w:val="6"/>
          <w:szCs w:val="6"/>
        </w:rPr>
        <w:sectPr>
          <w:footerReference r:id="rId137" w:type="default"/>
          <w:pgSz w:w="11920" w:h="16840"/>
          <w:pgMar w:top="1183" w:right="1426" w:bottom="1358" w:left="1629" w:header="908" w:footer="1195" w:gutter="0"/>
        </w:sectPr>
      </w:pPr>
    </w:p>
    <w:tbl>
      <w:tblPr>
        <w:tblStyle w:val="5"/>
        <w:tblW w:w="8735"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2"/>
        <w:gridCol w:w="3938"/>
        <w:gridCol w:w="3425"/>
        <w:gridCol w:w="6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5" w:hRule="atLeast"/>
        </w:trPr>
        <w:tc>
          <w:tcPr>
            <w:tcW w:w="4630" w:type="dxa"/>
            <w:gridSpan w:val="2"/>
            <w:tcBorders>
              <w:top w:val="single" w:color="000000" w:sz="12" w:space="0"/>
              <w:left w:val="nil"/>
            </w:tcBorders>
            <w:vAlign w:val="top"/>
          </w:tcPr>
          <w:p>
            <w:pPr>
              <w:spacing w:before="166" w:line="217" w:lineRule="auto"/>
              <w:ind w:left="191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相关内容</w:t>
            </w:r>
          </w:p>
        </w:tc>
        <w:tc>
          <w:tcPr>
            <w:tcW w:w="3425" w:type="dxa"/>
            <w:tcBorders>
              <w:top w:val="single" w:color="000000" w:sz="12" w:space="0"/>
            </w:tcBorders>
            <w:vAlign w:val="top"/>
          </w:tcPr>
          <w:p>
            <w:pPr>
              <w:spacing w:before="166" w:line="218" w:lineRule="auto"/>
              <w:ind w:left="140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本项目</w:t>
            </w:r>
          </w:p>
        </w:tc>
        <w:tc>
          <w:tcPr>
            <w:tcW w:w="680" w:type="dxa"/>
            <w:tcBorders>
              <w:top w:val="single" w:color="000000" w:sz="12" w:space="0"/>
              <w:right w:val="nil"/>
            </w:tcBorders>
            <w:vAlign w:val="top"/>
          </w:tcPr>
          <w:p>
            <w:pPr>
              <w:spacing w:before="31" w:line="217" w:lineRule="auto"/>
              <w:ind w:left="248" w:right="129" w:hanging="102"/>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符合</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9" w:hRule="atLeast"/>
        </w:trPr>
        <w:tc>
          <w:tcPr>
            <w:tcW w:w="692" w:type="dxa"/>
            <w:tcBorders>
              <w:left w:val="nil"/>
              <w:bottom w:val="single" w:color="000000" w:sz="12" w:space="0"/>
            </w:tcBorders>
            <w:vAlign w:val="top"/>
          </w:tcPr>
          <w:p>
            <w:pPr>
              <w:rPr>
                <w:rFonts w:ascii="Arial"/>
                <w:sz w:val="21"/>
              </w:rPr>
            </w:pPr>
          </w:p>
        </w:tc>
        <w:tc>
          <w:tcPr>
            <w:tcW w:w="3938" w:type="dxa"/>
            <w:tcBorders>
              <w:bottom w:val="single" w:color="000000" w:sz="12" w:space="0"/>
            </w:tcBorders>
            <w:vAlign w:val="top"/>
          </w:tcPr>
          <w:p>
            <w:pPr>
              <w:rPr>
                <w:rFonts w:ascii="Arial"/>
                <w:sz w:val="21"/>
              </w:rPr>
            </w:pPr>
          </w:p>
        </w:tc>
        <w:tc>
          <w:tcPr>
            <w:tcW w:w="3425" w:type="dxa"/>
            <w:tcBorders>
              <w:bottom w:val="single" w:color="000000" w:sz="12" w:space="0"/>
            </w:tcBorders>
            <w:vAlign w:val="top"/>
          </w:tcPr>
          <w:p>
            <w:pPr>
              <w:spacing w:before="66" w:line="221" w:lineRule="auto"/>
              <w:ind w:left="121" w:right="164" w:firstLine="5"/>
              <w:rPr>
                <w:rFonts w:ascii="仿宋" w:hAnsi="仿宋" w:eastAsia="仿宋" w:cs="仿宋"/>
                <w:sz w:val="21"/>
                <w:szCs w:val="21"/>
              </w:rPr>
            </w:pPr>
            <w:r>
              <w:rPr>
                <w:rFonts w:ascii="仿宋" w:hAnsi="仿宋" w:eastAsia="仿宋" w:cs="仿宋"/>
                <w:spacing w:val="-2"/>
                <w:sz w:val="21"/>
                <w:szCs w:val="21"/>
              </w:rPr>
              <w:t>响库区及下游河段鱼类种类组成及</w:t>
            </w:r>
            <w:r>
              <w:rPr>
                <w:rFonts w:ascii="仿宋" w:hAnsi="仿宋" w:eastAsia="仿宋" w:cs="仿宋"/>
                <w:spacing w:val="8"/>
                <w:sz w:val="21"/>
                <w:szCs w:val="21"/>
              </w:rPr>
              <w:t xml:space="preserve"> </w:t>
            </w:r>
            <w:r>
              <w:rPr>
                <w:rFonts w:ascii="仿宋" w:hAnsi="仿宋" w:eastAsia="仿宋" w:cs="仿宋"/>
                <w:spacing w:val="-3"/>
                <w:sz w:val="21"/>
                <w:szCs w:val="21"/>
              </w:rPr>
              <w:t>其资源量，但不会导致物种灭绝。</w:t>
            </w:r>
          </w:p>
        </w:tc>
        <w:tc>
          <w:tcPr>
            <w:tcW w:w="680" w:type="dxa"/>
            <w:tcBorders>
              <w:bottom w:val="single" w:color="000000" w:sz="12" w:space="0"/>
              <w:right w:val="nil"/>
            </w:tcBorders>
            <w:vAlign w:val="top"/>
          </w:tcPr>
          <w:p>
            <w:pPr>
              <w:rPr>
                <w:rFonts w:ascii="Arial"/>
                <w:sz w:val="21"/>
              </w:rPr>
            </w:pPr>
          </w:p>
        </w:tc>
      </w:tr>
    </w:tbl>
    <w:p>
      <w:pPr>
        <w:spacing w:before="35" w:line="220" w:lineRule="auto"/>
        <w:ind w:left="519"/>
        <w:rPr>
          <w:rFonts w:ascii="宋体" w:hAnsi="宋体" w:eastAsia="宋体" w:cs="宋体"/>
          <w:sz w:val="24"/>
          <w:szCs w:val="24"/>
        </w:rPr>
      </w:pPr>
      <w:r>
        <w:rPr>
          <w:rFonts w:ascii="宋体" w:hAnsi="宋体" w:eastAsia="宋体" w:cs="宋体"/>
          <w:spacing w:val="-2"/>
          <w:sz w:val="24"/>
          <w:szCs w:val="24"/>
        </w:rPr>
        <w:t>根据表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2.4-4</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，项目建设不违反《云南省生物多样性保护条例》的相关规定。</w:t>
      </w:r>
    </w:p>
    <w:p>
      <w:pPr>
        <w:spacing w:line="257" w:lineRule="auto"/>
        <w:rPr>
          <w:rFonts w:ascii="Arial"/>
          <w:sz w:val="21"/>
        </w:rPr>
      </w:pPr>
    </w:p>
    <w:p>
      <w:pPr>
        <w:spacing w:line="257" w:lineRule="auto"/>
        <w:rPr>
          <w:rFonts w:ascii="Arial"/>
          <w:sz w:val="21"/>
        </w:rPr>
      </w:pPr>
    </w:p>
    <w:p>
      <w:pPr>
        <w:spacing w:before="78"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）与《云南省主体功能区规划》的符合性分析</w:t>
      </w:r>
    </w:p>
    <w:p>
      <w:pPr>
        <w:spacing w:before="181" w:line="359" w:lineRule="auto"/>
        <w:ind w:left="38" w:right="28" w:firstLine="484"/>
        <w:rPr>
          <w:rFonts w:ascii="宋体" w:hAnsi="宋体" w:eastAsia="宋体" w:cs="宋体"/>
          <w:sz w:val="24"/>
          <w:szCs w:val="24"/>
        </w:rPr>
      </w:pPr>
      <w:r>
        <w:rPr>
          <w:rFonts w:ascii="宋体" w:hAnsi="宋体" w:eastAsia="宋体" w:cs="宋体"/>
          <w:spacing w:val="-8"/>
          <w:sz w:val="24"/>
          <w:szCs w:val="24"/>
        </w:rPr>
        <w:t>项目位于《云南省主体功能区划》中的省级重点生态功能区， 属于沿金</w:t>
      </w:r>
      <w:r>
        <w:rPr>
          <w:rFonts w:ascii="宋体" w:hAnsi="宋体" w:eastAsia="宋体" w:cs="宋体"/>
          <w:spacing w:val="-9"/>
          <w:sz w:val="24"/>
          <w:szCs w:val="24"/>
        </w:rPr>
        <w:t>沙江河谷</w:t>
      </w:r>
      <w:r>
        <w:rPr>
          <w:rFonts w:ascii="宋体" w:hAnsi="宋体" w:eastAsia="宋体" w:cs="宋体"/>
          <w:sz w:val="24"/>
          <w:szCs w:val="24"/>
        </w:rPr>
        <w:t xml:space="preserve"> </w:t>
      </w:r>
      <w:r>
        <w:rPr>
          <w:rFonts w:ascii="宋体" w:hAnsi="宋体" w:eastAsia="宋体" w:cs="宋体"/>
          <w:spacing w:val="-9"/>
          <w:sz w:val="24"/>
          <w:szCs w:val="24"/>
        </w:rPr>
        <w:t>干流生态功能区，类型为水土保持型。发展方向为：</w:t>
      </w:r>
      <w:r>
        <w:rPr>
          <w:rFonts w:ascii="宋体" w:hAnsi="宋体" w:eastAsia="宋体" w:cs="宋体"/>
          <w:spacing w:val="43"/>
          <w:sz w:val="24"/>
          <w:szCs w:val="24"/>
        </w:rPr>
        <w:t xml:space="preserve"> </w:t>
      </w:r>
      <w:r>
        <w:rPr>
          <w:rFonts w:ascii="宋体" w:hAnsi="宋体" w:eastAsia="宋体" w:cs="宋体"/>
          <w:spacing w:val="-9"/>
          <w:sz w:val="24"/>
          <w:szCs w:val="24"/>
        </w:rPr>
        <w:t>大力推行节水灌溉和“五小”水</w:t>
      </w:r>
      <w:r>
        <w:rPr>
          <w:rFonts w:ascii="宋体" w:hAnsi="宋体" w:eastAsia="宋体" w:cs="宋体"/>
          <w:sz w:val="24"/>
          <w:szCs w:val="24"/>
        </w:rPr>
        <w:t xml:space="preserve"> </w:t>
      </w:r>
      <w:r>
        <w:rPr>
          <w:rFonts w:ascii="宋体" w:hAnsi="宋体" w:eastAsia="宋体" w:cs="宋体"/>
          <w:spacing w:val="-17"/>
          <w:sz w:val="24"/>
          <w:szCs w:val="24"/>
        </w:rPr>
        <w:t>利工程建设，</w:t>
      </w:r>
      <w:r>
        <w:rPr>
          <w:rFonts w:ascii="宋体" w:hAnsi="宋体" w:eastAsia="宋体" w:cs="宋体"/>
          <w:spacing w:val="35"/>
          <w:sz w:val="24"/>
          <w:szCs w:val="24"/>
        </w:rPr>
        <w:t xml:space="preserve"> </w:t>
      </w:r>
      <w:r>
        <w:rPr>
          <w:rFonts w:ascii="宋体" w:hAnsi="宋体" w:eastAsia="宋体" w:cs="宋体"/>
          <w:spacing w:val="-17"/>
          <w:sz w:val="24"/>
          <w:szCs w:val="24"/>
        </w:rPr>
        <w:t>发展旱作节水农业，</w:t>
      </w:r>
      <w:r>
        <w:rPr>
          <w:rFonts w:ascii="宋体" w:hAnsi="宋体" w:eastAsia="宋体" w:cs="宋体"/>
          <w:spacing w:val="39"/>
          <w:sz w:val="24"/>
          <w:szCs w:val="24"/>
        </w:rPr>
        <w:t xml:space="preserve"> </w:t>
      </w:r>
      <w:r>
        <w:rPr>
          <w:rFonts w:ascii="宋体" w:hAnsi="宋体" w:eastAsia="宋体" w:cs="宋体"/>
          <w:spacing w:val="-17"/>
          <w:sz w:val="24"/>
          <w:szCs w:val="24"/>
        </w:rPr>
        <w:t>限制陡坡垦殖。加强小流域综合治理，</w:t>
      </w:r>
      <w:r>
        <w:rPr>
          <w:rFonts w:ascii="宋体" w:hAnsi="宋体" w:eastAsia="宋体" w:cs="宋体"/>
          <w:spacing w:val="27"/>
          <w:sz w:val="24"/>
          <w:szCs w:val="24"/>
        </w:rPr>
        <w:t xml:space="preserve"> </w:t>
      </w:r>
      <w:r>
        <w:rPr>
          <w:rFonts w:ascii="宋体" w:hAnsi="宋体" w:eastAsia="宋体" w:cs="宋体"/>
          <w:spacing w:val="-17"/>
          <w:sz w:val="24"/>
          <w:szCs w:val="24"/>
        </w:rPr>
        <w:t>实行封山禁</w:t>
      </w:r>
      <w:r>
        <w:rPr>
          <w:rFonts w:ascii="宋体" w:hAnsi="宋体" w:eastAsia="宋体" w:cs="宋体"/>
          <w:sz w:val="24"/>
          <w:szCs w:val="24"/>
        </w:rPr>
        <w:t xml:space="preserve"> </w:t>
      </w:r>
      <w:r>
        <w:rPr>
          <w:rFonts w:ascii="宋体" w:hAnsi="宋体" w:eastAsia="宋体" w:cs="宋体"/>
          <w:spacing w:val="-8"/>
          <w:sz w:val="24"/>
          <w:szCs w:val="24"/>
        </w:rPr>
        <w:t>牧，恢复退化植被。加强对能源和矿产资源开发及建设项目的监管， 加大矿山环境整</w:t>
      </w:r>
      <w:r>
        <w:rPr>
          <w:rFonts w:ascii="宋体" w:hAnsi="宋体" w:eastAsia="宋体" w:cs="宋体"/>
          <w:spacing w:val="16"/>
          <w:sz w:val="24"/>
          <w:szCs w:val="24"/>
        </w:rPr>
        <w:t xml:space="preserve"> </w:t>
      </w:r>
      <w:r>
        <w:rPr>
          <w:rFonts w:ascii="宋体" w:hAnsi="宋体" w:eastAsia="宋体" w:cs="宋体"/>
          <w:spacing w:val="2"/>
          <w:sz w:val="24"/>
          <w:szCs w:val="24"/>
        </w:rPr>
        <w:t>治和生态修复力度，最大限度地减少人为因素造成新的水</w:t>
      </w:r>
      <w:r>
        <w:rPr>
          <w:rFonts w:ascii="宋体" w:hAnsi="宋体" w:eastAsia="宋体" w:cs="宋体"/>
          <w:spacing w:val="1"/>
          <w:sz w:val="24"/>
          <w:szCs w:val="24"/>
        </w:rPr>
        <w:t>土流失。拓宽农民增收渠</w:t>
      </w:r>
    </w:p>
    <w:p>
      <w:pPr>
        <w:spacing w:before="1" w:line="219" w:lineRule="auto"/>
        <w:ind w:left="38"/>
        <w:rPr>
          <w:rFonts w:ascii="宋体" w:hAnsi="宋体" w:eastAsia="宋体" w:cs="宋体"/>
          <w:sz w:val="24"/>
          <w:szCs w:val="24"/>
        </w:rPr>
      </w:pPr>
      <w:r>
        <w:rPr>
          <w:rFonts w:ascii="宋体" w:hAnsi="宋体" w:eastAsia="宋体" w:cs="宋体"/>
          <w:spacing w:val="-4"/>
          <w:sz w:val="24"/>
          <w:szCs w:val="24"/>
        </w:rPr>
        <w:t>道，解决农民长远生计。</w:t>
      </w:r>
    </w:p>
    <w:p>
      <w:pPr>
        <w:spacing w:before="183" w:line="359" w:lineRule="auto"/>
        <w:ind w:left="38" w:right="29" w:firstLine="484"/>
        <w:rPr>
          <w:rFonts w:ascii="宋体" w:hAnsi="宋体" w:eastAsia="宋体" w:cs="宋体"/>
          <w:sz w:val="24"/>
          <w:szCs w:val="24"/>
        </w:rPr>
      </w:pPr>
      <w:r>
        <w:rPr>
          <w:rFonts w:ascii="宋体" w:hAnsi="宋体" w:eastAsia="宋体" w:cs="宋体"/>
          <w:spacing w:val="2"/>
          <w:sz w:val="24"/>
          <w:szCs w:val="24"/>
        </w:rPr>
        <w:t>项目属于水利工程，项目建设可保障工程范围内人畜饮用水安全并提供</w:t>
      </w:r>
      <w:r>
        <w:rPr>
          <w:rFonts w:ascii="宋体" w:hAnsi="宋体" w:eastAsia="宋体" w:cs="宋体"/>
          <w:spacing w:val="1"/>
          <w:sz w:val="24"/>
          <w:szCs w:val="24"/>
        </w:rPr>
        <w:t>灌溉用</w:t>
      </w:r>
      <w:r>
        <w:rPr>
          <w:rFonts w:ascii="宋体" w:hAnsi="宋体" w:eastAsia="宋体" w:cs="宋体"/>
          <w:sz w:val="24"/>
          <w:szCs w:val="24"/>
        </w:rPr>
        <w:t xml:space="preserve"> </w:t>
      </w:r>
      <w:r>
        <w:rPr>
          <w:rFonts w:ascii="宋体" w:hAnsi="宋体" w:eastAsia="宋体" w:cs="宋体"/>
          <w:spacing w:val="-7"/>
          <w:sz w:val="24"/>
          <w:szCs w:val="24"/>
        </w:rPr>
        <w:t>水保障，</w:t>
      </w:r>
      <w:r>
        <w:rPr>
          <w:rFonts w:ascii="宋体" w:hAnsi="宋体" w:eastAsia="宋体" w:cs="宋体"/>
          <w:spacing w:val="-30"/>
          <w:sz w:val="24"/>
          <w:szCs w:val="24"/>
        </w:rPr>
        <w:t xml:space="preserve"> </w:t>
      </w:r>
      <w:r>
        <w:rPr>
          <w:rFonts w:ascii="宋体" w:hAnsi="宋体" w:eastAsia="宋体" w:cs="宋体"/>
          <w:spacing w:val="-7"/>
          <w:sz w:val="24"/>
          <w:szCs w:val="24"/>
        </w:rPr>
        <w:t>工程的建设可促进保护区居民的生活水平的提高。根据《大姚县桂花水库工</w:t>
      </w:r>
      <w:r>
        <w:rPr>
          <w:rFonts w:ascii="宋体" w:hAnsi="宋体" w:eastAsia="宋体" w:cs="宋体"/>
          <w:sz w:val="24"/>
          <w:szCs w:val="24"/>
        </w:rPr>
        <w:t xml:space="preserve"> </w:t>
      </w:r>
      <w:r>
        <w:rPr>
          <w:rFonts w:ascii="宋体" w:hAnsi="宋体" w:eastAsia="宋体" w:cs="宋体"/>
          <w:spacing w:val="-8"/>
          <w:sz w:val="24"/>
          <w:szCs w:val="24"/>
        </w:rPr>
        <w:t>程水土保持方案可行性研究报告书》，项目水土保持措施后， 使工程占地区域内扰动</w:t>
      </w:r>
      <w:r>
        <w:rPr>
          <w:rFonts w:ascii="宋体" w:hAnsi="宋体" w:eastAsia="宋体" w:cs="宋体"/>
          <w:spacing w:val="14"/>
          <w:sz w:val="24"/>
          <w:szCs w:val="24"/>
        </w:rPr>
        <w:t xml:space="preserve"> </w:t>
      </w:r>
      <w:r>
        <w:rPr>
          <w:rFonts w:ascii="宋体" w:hAnsi="宋体" w:eastAsia="宋体" w:cs="宋体"/>
          <w:spacing w:val="-2"/>
          <w:sz w:val="24"/>
          <w:szCs w:val="24"/>
        </w:rPr>
        <w:t>的土地整治率达到</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96.10%</w:t>
      </w:r>
      <w:r>
        <w:rPr>
          <w:rFonts w:ascii="宋体" w:hAnsi="宋体" w:eastAsia="宋体" w:cs="宋体"/>
          <w:spacing w:val="-2"/>
          <w:sz w:val="24"/>
          <w:szCs w:val="24"/>
        </w:rPr>
        <w:t>，水土流失总治理度</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95.40%</w:t>
      </w:r>
      <w:r>
        <w:rPr>
          <w:rFonts w:ascii="宋体" w:hAnsi="宋体" w:eastAsia="宋体" w:cs="宋体"/>
          <w:spacing w:val="-2"/>
          <w:sz w:val="24"/>
          <w:szCs w:val="24"/>
        </w:rPr>
        <w:t>，土壤</w:t>
      </w:r>
      <w:r>
        <w:rPr>
          <w:rFonts w:ascii="宋体" w:hAnsi="宋体" w:eastAsia="宋体" w:cs="宋体"/>
          <w:spacing w:val="-3"/>
          <w:sz w:val="24"/>
          <w:szCs w:val="24"/>
        </w:rPr>
        <w:t xml:space="preserve">流失控制达 </w:t>
      </w:r>
      <w:r>
        <w:rPr>
          <w:rFonts w:ascii="Times New Roman" w:hAnsi="Times New Roman" w:eastAsia="Times New Roman" w:cs="Times New Roman"/>
          <w:spacing w:val="-3"/>
          <w:sz w:val="24"/>
          <w:szCs w:val="24"/>
        </w:rPr>
        <w:t>1.0</w:t>
      </w:r>
      <w:r>
        <w:rPr>
          <w:rFonts w:ascii="宋体" w:hAnsi="宋体" w:eastAsia="宋体" w:cs="宋体"/>
          <w:spacing w:val="-3"/>
          <w:sz w:val="24"/>
          <w:szCs w:val="24"/>
        </w:rPr>
        <w:t>，拦渣</w:t>
      </w:r>
      <w:r>
        <w:rPr>
          <w:rFonts w:ascii="宋体" w:hAnsi="宋体" w:eastAsia="宋体" w:cs="宋体"/>
          <w:sz w:val="24"/>
          <w:szCs w:val="24"/>
        </w:rPr>
        <w:t xml:space="preserve"> </w:t>
      </w:r>
      <w:r>
        <w:rPr>
          <w:rFonts w:ascii="宋体" w:hAnsi="宋体" w:eastAsia="宋体" w:cs="宋体"/>
          <w:spacing w:val="-2"/>
          <w:sz w:val="24"/>
          <w:szCs w:val="24"/>
        </w:rPr>
        <w:t>率</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99.99%</w:t>
      </w:r>
      <w:r>
        <w:rPr>
          <w:rFonts w:ascii="宋体" w:hAnsi="宋体" w:eastAsia="宋体" w:cs="宋体"/>
          <w:spacing w:val="-2"/>
          <w:sz w:val="24"/>
          <w:szCs w:val="24"/>
        </w:rPr>
        <w:t xml:space="preserve">，林草植被恢复率达到 </w:t>
      </w:r>
      <w:r>
        <w:rPr>
          <w:rFonts w:ascii="Times New Roman" w:hAnsi="Times New Roman" w:eastAsia="Times New Roman" w:cs="Times New Roman"/>
          <w:spacing w:val="-2"/>
          <w:sz w:val="24"/>
          <w:szCs w:val="24"/>
        </w:rPr>
        <w:t>99.99%</w:t>
      </w:r>
      <w:r>
        <w:rPr>
          <w:rFonts w:ascii="宋体" w:hAnsi="宋体" w:eastAsia="宋体" w:cs="宋体"/>
          <w:spacing w:val="-2"/>
          <w:sz w:val="24"/>
          <w:szCs w:val="24"/>
        </w:rPr>
        <w:t xml:space="preserve">，林草覆盖率 </w:t>
      </w:r>
      <w:r>
        <w:rPr>
          <w:rFonts w:ascii="Times New Roman" w:hAnsi="Times New Roman" w:eastAsia="Times New Roman" w:cs="Times New Roman"/>
          <w:spacing w:val="-2"/>
          <w:sz w:val="24"/>
          <w:szCs w:val="24"/>
        </w:rPr>
        <w:t>26.70%</w:t>
      </w:r>
      <w:r>
        <w:rPr>
          <w:rFonts w:ascii="宋体" w:hAnsi="宋体" w:eastAsia="宋体" w:cs="宋体"/>
          <w:spacing w:val="-2"/>
          <w:sz w:val="24"/>
          <w:szCs w:val="24"/>
        </w:rPr>
        <w:t>，通过有效实</w:t>
      </w:r>
      <w:r>
        <w:rPr>
          <w:rFonts w:ascii="宋体" w:hAnsi="宋体" w:eastAsia="宋体" w:cs="宋体"/>
          <w:spacing w:val="-3"/>
          <w:sz w:val="24"/>
          <w:szCs w:val="24"/>
        </w:rPr>
        <w:t>施本水</w:t>
      </w:r>
    </w:p>
    <w:p>
      <w:pPr>
        <w:spacing w:before="1" w:line="219" w:lineRule="auto"/>
        <w:ind w:left="40"/>
        <w:rPr>
          <w:rFonts w:ascii="宋体" w:hAnsi="宋体" w:eastAsia="宋体" w:cs="宋体"/>
          <w:sz w:val="24"/>
          <w:szCs w:val="24"/>
        </w:rPr>
      </w:pPr>
      <w:r>
        <w:rPr>
          <w:rFonts w:ascii="宋体" w:hAnsi="宋体" w:eastAsia="宋体" w:cs="宋体"/>
          <w:spacing w:val="-1"/>
          <w:sz w:val="24"/>
          <w:szCs w:val="24"/>
        </w:rPr>
        <w:t>土保持方案，工程建设造成的水土流失影响可</w:t>
      </w:r>
      <w:r>
        <w:rPr>
          <w:rFonts w:ascii="宋体" w:hAnsi="宋体" w:eastAsia="宋体" w:cs="宋体"/>
          <w:spacing w:val="-2"/>
          <w:sz w:val="24"/>
          <w:szCs w:val="24"/>
        </w:rPr>
        <w:t>以得到消除或有效的减轻。</w:t>
      </w:r>
    </w:p>
    <w:p>
      <w:pPr>
        <w:spacing w:before="181" w:line="220" w:lineRule="auto"/>
        <w:ind w:left="523"/>
        <w:rPr>
          <w:rFonts w:ascii="宋体" w:hAnsi="宋体" w:eastAsia="宋体" w:cs="宋体"/>
          <w:sz w:val="24"/>
          <w:szCs w:val="24"/>
        </w:rPr>
      </w:pPr>
      <w:r>
        <w:rPr>
          <w:rFonts w:ascii="宋体" w:hAnsi="宋体" w:eastAsia="宋体" w:cs="宋体"/>
          <w:spacing w:val="-1"/>
          <w:sz w:val="24"/>
          <w:szCs w:val="24"/>
        </w:rPr>
        <w:t>项目与《云南省主体功能区划》不冲突。</w:t>
      </w:r>
    </w:p>
    <w:p>
      <w:pPr>
        <w:spacing w:before="181"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）与云南省生态功能区划的符合性分析</w:t>
      </w:r>
    </w:p>
    <w:p>
      <w:pPr>
        <w:spacing w:before="182" w:line="359" w:lineRule="auto"/>
        <w:ind w:left="43" w:right="28" w:firstLine="480"/>
        <w:rPr>
          <w:rFonts w:ascii="宋体" w:hAnsi="宋体" w:eastAsia="宋体" w:cs="宋体"/>
          <w:sz w:val="24"/>
          <w:szCs w:val="24"/>
        </w:rPr>
      </w:pPr>
      <w:r>
        <w:rPr>
          <w:rFonts w:ascii="宋体" w:hAnsi="宋体" w:eastAsia="宋体" w:cs="宋体"/>
          <w:spacing w:val="-2"/>
          <w:sz w:val="24"/>
          <w:szCs w:val="24"/>
        </w:rPr>
        <w:t>项目属于《云南省生态功能区划》中的Ⅲ</w:t>
      </w:r>
      <w:r>
        <w:rPr>
          <w:rFonts w:ascii="Times New Roman" w:hAnsi="Times New Roman" w:eastAsia="Times New Roman" w:cs="Times New Roman"/>
          <w:spacing w:val="-2"/>
          <w:sz w:val="24"/>
          <w:szCs w:val="24"/>
        </w:rPr>
        <w:t xml:space="preserve">2-4 </w:t>
      </w:r>
      <w:r>
        <w:rPr>
          <w:rFonts w:ascii="宋体" w:hAnsi="宋体" w:eastAsia="宋体" w:cs="宋体"/>
          <w:spacing w:val="-2"/>
          <w:sz w:val="24"/>
          <w:szCs w:val="24"/>
        </w:rPr>
        <w:t>元谋龙川江干热河谷农业生态功能</w:t>
      </w:r>
      <w:r>
        <w:rPr>
          <w:rFonts w:ascii="宋体" w:hAnsi="宋体" w:eastAsia="宋体" w:cs="宋体"/>
          <w:spacing w:val="1"/>
          <w:sz w:val="24"/>
          <w:szCs w:val="24"/>
        </w:rPr>
        <w:t xml:space="preserve"> </w:t>
      </w:r>
      <w:r>
        <w:rPr>
          <w:rFonts w:ascii="宋体" w:hAnsi="宋体" w:eastAsia="宋体" w:cs="宋体"/>
          <w:spacing w:val="-8"/>
          <w:sz w:val="24"/>
          <w:szCs w:val="24"/>
        </w:rPr>
        <w:t>区，保护措施与发展方向为调整产业结构、增加沿江河谷面山的森林覆盖率， 发展热</w:t>
      </w:r>
      <w:r>
        <w:rPr>
          <w:rFonts w:ascii="宋体" w:hAnsi="宋体" w:eastAsia="宋体" w:cs="宋体"/>
          <w:spacing w:val="11"/>
          <w:sz w:val="24"/>
          <w:szCs w:val="24"/>
        </w:rPr>
        <w:t xml:space="preserve"> </w:t>
      </w:r>
      <w:r>
        <w:rPr>
          <w:rFonts w:ascii="宋体" w:hAnsi="宋体" w:eastAsia="宋体" w:cs="宋体"/>
          <w:spacing w:val="-10"/>
          <w:sz w:val="24"/>
          <w:szCs w:val="24"/>
        </w:rPr>
        <w:t>带经济林木，</w:t>
      </w:r>
      <w:r>
        <w:rPr>
          <w:rFonts w:ascii="宋体" w:hAnsi="宋体" w:eastAsia="宋体" w:cs="宋体"/>
          <w:spacing w:val="30"/>
          <w:sz w:val="24"/>
          <w:szCs w:val="24"/>
        </w:rPr>
        <w:t xml:space="preserve"> </w:t>
      </w:r>
      <w:r>
        <w:rPr>
          <w:rFonts w:ascii="宋体" w:hAnsi="宋体" w:eastAsia="宋体" w:cs="宋体"/>
          <w:spacing w:val="-10"/>
          <w:sz w:val="24"/>
          <w:szCs w:val="24"/>
        </w:rPr>
        <w:t>改善区域的水环境条件，</w:t>
      </w:r>
      <w:r>
        <w:rPr>
          <w:rFonts w:ascii="宋体" w:hAnsi="宋体" w:eastAsia="宋体" w:cs="宋体"/>
          <w:spacing w:val="-60"/>
          <w:sz w:val="24"/>
          <w:szCs w:val="24"/>
        </w:rPr>
        <w:t xml:space="preserve"> </w:t>
      </w:r>
      <w:r>
        <w:rPr>
          <w:rFonts w:ascii="宋体" w:hAnsi="宋体" w:eastAsia="宋体" w:cs="宋体"/>
          <w:spacing w:val="-10"/>
          <w:sz w:val="24"/>
          <w:szCs w:val="24"/>
        </w:rPr>
        <w:t>发展庭院经济，防</w:t>
      </w:r>
      <w:r>
        <w:rPr>
          <w:rFonts w:ascii="宋体" w:hAnsi="宋体" w:eastAsia="宋体" w:cs="宋体"/>
          <w:spacing w:val="-11"/>
          <w:sz w:val="24"/>
          <w:szCs w:val="24"/>
        </w:rPr>
        <w:t>止生态环境荒漠化。项目建</w:t>
      </w:r>
      <w:r>
        <w:rPr>
          <w:rFonts w:ascii="宋体" w:hAnsi="宋体" w:eastAsia="宋体" w:cs="宋体"/>
          <w:sz w:val="24"/>
          <w:szCs w:val="24"/>
        </w:rPr>
        <w:t xml:space="preserve"> </w:t>
      </w:r>
      <w:r>
        <w:rPr>
          <w:rFonts w:ascii="宋体" w:hAnsi="宋体" w:eastAsia="宋体" w:cs="宋体"/>
          <w:spacing w:val="2"/>
          <w:sz w:val="24"/>
          <w:szCs w:val="24"/>
        </w:rPr>
        <w:t>设对自然植被破坏小，不属于所在区域生态功能区中需要禁止建设</w:t>
      </w:r>
      <w:r>
        <w:rPr>
          <w:rFonts w:ascii="宋体" w:hAnsi="宋体" w:eastAsia="宋体" w:cs="宋体"/>
          <w:spacing w:val="1"/>
          <w:sz w:val="24"/>
          <w:szCs w:val="24"/>
        </w:rPr>
        <w:t>的项目，工程建</w:t>
      </w:r>
    </w:p>
    <w:p>
      <w:pPr>
        <w:spacing w:line="219" w:lineRule="auto"/>
        <w:ind w:left="41"/>
        <w:rPr>
          <w:rFonts w:ascii="宋体" w:hAnsi="宋体" w:eastAsia="宋体" w:cs="宋体"/>
          <w:sz w:val="24"/>
          <w:szCs w:val="24"/>
        </w:rPr>
      </w:pPr>
      <w:r>
        <w:rPr>
          <w:rFonts w:ascii="宋体" w:hAnsi="宋体" w:eastAsia="宋体" w:cs="宋体"/>
          <w:sz w:val="24"/>
          <w:szCs w:val="24"/>
        </w:rPr>
        <w:t>成后有利于调整灌区种植结构、保护农田生态环</w:t>
      </w:r>
      <w:r>
        <w:rPr>
          <w:rFonts w:ascii="宋体" w:hAnsi="宋体" w:eastAsia="宋体" w:cs="宋体"/>
          <w:spacing w:val="-1"/>
          <w:sz w:val="24"/>
          <w:szCs w:val="24"/>
        </w:rPr>
        <w:t>境及改善灌区森林覆盖率。</w:t>
      </w:r>
    </w:p>
    <w:p>
      <w:pPr>
        <w:spacing w:before="182" w:line="218" w:lineRule="auto"/>
        <w:ind w:left="538"/>
        <w:rPr>
          <w:rFonts w:ascii="宋体" w:hAnsi="宋体" w:eastAsia="宋体" w:cs="宋体"/>
          <w:sz w:val="24"/>
          <w:szCs w:val="24"/>
        </w:rPr>
      </w:pPr>
      <w:r>
        <w:rPr>
          <w:rFonts w:ascii="宋体" w:hAnsi="宋体" w:eastAsia="宋体" w:cs="宋体"/>
          <w:spacing w:val="-2"/>
          <w:sz w:val="24"/>
          <w:szCs w:val="24"/>
        </w:rPr>
        <w:t>因此不违反《云南省生态功能区划报告》的相关规定。</w:t>
      </w:r>
    </w:p>
    <w:p>
      <w:pPr>
        <w:spacing w:before="183"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）与云南省生态功能区划的符合性分析</w:t>
      </w:r>
    </w:p>
    <w:p>
      <w:pPr>
        <w:spacing w:before="182" w:line="359" w:lineRule="auto"/>
        <w:ind w:left="43" w:right="28" w:firstLine="480"/>
        <w:rPr>
          <w:rFonts w:ascii="宋体" w:hAnsi="宋体" w:eastAsia="宋体" w:cs="宋体"/>
          <w:sz w:val="24"/>
          <w:szCs w:val="24"/>
        </w:rPr>
      </w:pPr>
      <w:r>
        <w:rPr>
          <w:rFonts w:ascii="宋体" w:hAnsi="宋体" w:eastAsia="宋体" w:cs="宋体"/>
          <w:spacing w:val="-2"/>
          <w:sz w:val="24"/>
          <w:szCs w:val="24"/>
        </w:rPr>
        <w:t>项目属于《云南省生态功能区划》中的Ⅲ</w:t>
      </w:r>
      <w:r>
        <w:rPr>
          <w:rFonts w:ascii="Times New Roman" w:hAnsi="Times New Roman" w:eastAsia="Times New Roman" w:cs="Times New Roman"/>
          <w:spacing w:val="-2"/>
          <w:sz w:val="24"/>
          <w:szCs w:val="24"/>
        </w:rPr>
        <w:t xml:space="preserve">2-4 </w:t>
      </w:r>
      <w:r>
        <w:rPr>
          <w:rFonts w:ascii="宋体" w:hAnsi="宋体" w:eastAsia="宋体" w:cs="宋体"/>
          <w:spacing w:val="-2"/>
          <w:sz w:val="24"/>
          <w:szCs w:val="24"/>
        </w:rPr>
        <w:t>元谋龙川江干热河谷农业生态功能</w:t>
      </w:r>
      <w:r>
        <w:rPr>
          <w:rFonts w:ascii="宋体" w:hAnsi="宋体" w:eastAsia="宋体" w:cs="宋体"/>
          <w:spacing w:val="1"/>
          <w:sz w:val="24"/>
          <w:szCs w:val="24"/>
        </w:rPr>
        <w:t xml:space="preserve"> </w:t>
      </w:r>
      <w:r>
        <w:rPr>
          <w:rFonts w:ascii="宋体" w:hAnsi="宋体" w:eastAsia="宋体" w:cs="宋体"/>
          <w:spacing w:val="-8"/>
          <w:sz w:val="24"/>
          <w:szCs w:val="24"/>
        </w:rPr>
        <w:t>区，保护措施与发展方向为调整产业结构、增加沿江河谷面山的森林覆盖率， 发展热</w:t>
      </w:r>
      <w:r>
        <w:rPr>
          <w:rFonts w:ascii="宋体" w:hAnsi="宋体" w:eastAsia="宋体" w:cs="宋体"/>
          <w:spacing w:val="11"/>
          <w:sz w:val="24"/>
          <w:szCs w:val="24"/>
        </w:rPr>
        <w:t xml:space="preserve"> </w:t>
      </w:r>
      <w:r>
        <w:rPr>
          <w:rFonts w:ascii="宋体" w:hAnsi="宋体" w:eastAsia="宋体" w:cs="宋体"/>
          <w:spacing w:val="-17"/>
          <w:sz w:val="24"/>
          <w:szCs w:val="24"/>
        </w:rPr>
        <w:t>带经济林木，</w:t>
      </w:r>
      <w:r>
        <w:rPr>
          <w:rFonts w:ascii="宋体" w:hAnsi="宋体" w:eastAsia="宋体" w:cs="宋体"/>
          <w:spacing w:val="35"/>
          <w:sz w:val="24"/>
          <w:szCs w:val="24"/>
        </w:rPr>
        <w:t xml:space="preserve"> </w:t>
      </w:r>
      <w:r>
        <w:rPr>
          <w:rFonts w:ascii="宋体" w:hAnsi="宋体" w:eastAsia="宋体" w:cs="宋体"/>
          <w:spacing w:val="-17"/>
          <w:sz w:val="24"/>
          <w:szCs w:val="24"/>
        </w:rPr>
        <w:t>改善区域的水环境条件，</w:t>
      </w:r>
      <w:r>
        <w:rPr>
          <w:rFonts w:ascii="宋体" w:hAnsi="宋体" w:eastAsia="宋体" w:cs="宋体"/>
          <w:spacing w:val="25"/>
          <w:sz w:val="24"/>
          <w:szCs w:val="24"/>
        </w:rPr>
        <w:t xml:space="preserve"> </w:t>
      </w:r>
      <w:r>
        <w:rPr>
          <w:rFonts w:ascii="宋体" w:hAnsi="宋体" w:eastAsia="宋体" w:cs="宋体"/>
          <w:spacing w:val="-17"/>
          <w:sz w:val="24"/>
          <w:szCs w:val="24"/>
        </w:rPr>
        <w:t>发展庭院经济，</w:t>
      </w:r>
      <w:r>
        <w:rPr>
          <w:rFonts w:ascii="宋体" w:hAnsi="宋体" w:eastAsia="宋体" w:cs="宋体"/>
          <w:spacing w:val="37"/>
          <w:sz w:val="24"/>
          <w:szCs w:val="24"/>
        </w:rPr>
        <w:t xml:space="preserve"> </w:t>
      </w:r>
      <w:r>
        <w:rPr>
          <w:rFonts w:ascii="宋体" w:hAnsi="宋体" w:eastAsia="宋体" w:cs="宋体"/>
          <w:spacing w:val="-17"/>
          <w:sz w:val="24"/>
          <w:szCs w:val="24"/>
        </w:rPr>
        <w:t>防止生态环境荒漠化。项目建</w:t>
      </w:r>
    </w:p>
    <w:p>
      <w:pPr>
        <w:spacing w:line="219" w:lineRule="auto"/>
        <w:ind w:left="43"/>
        <w:rPr>
          <w:rFonts w:ascii="宋体" w:hAnsi="宋体" w:eastAsia="宋体" w:cs="宋体"/>
          <w:sz w:val="24"/>
          <w:szCs w:val="24"/>
        </w:rPr>
      </w:pPr>
      <w:r>
        <w:rPr>
          <w:rFonts w:ascii="宋体" w:hAnsi="宋体" w:eastAsia="宋体" w:cs="宋体"/>
          <w:spacing w:val="2"/>
          <w:sz w:val="24"/>
          <w:szCs w:val="24"/>
        </w:rPr>
        <w:t>设对自然植被破坏小，不属于所在区域生态功能区中需要禁止建设</w:t>
      </w:r>
      <w:r>
        <w:rPr>
          <w:rFonts w:ascii="宋体" w:hAnsi="宋体" w:eastAsia="宋体" w:cs="宋体"/>
          <w:spacing w:val="1"/>
          <w:sz w:val="24"/>
          <w:szCs w:val="24"/>
        </w:rPr>
        <w:t>的项目，工程建</w:t>
      </w:r>
    </w:p>
    <w:p>
      <w:pPr>
        <w:spacing w:line="219" w:lineRule="auto"/>
        <w:rPr>
          <w:rFonts w:ascii="宋体" w:hAnsi="宋体" w:eastAsia="宋体" w:cs="宋体"/>
          <w:sz w:val="24"/>
          <w:szCs w:val="24"/>
        </w:rPr>
        <w:sectPr>
          <w:headerReference r:id="rId138" w:type="default"/>
          <w:footerReference r:id="rId139" w:type="default"/>
          <w:pgSz w:w="11920" w:h="16840"/>
          <w:pgMar w:top="1183" w:right="1508" w:bottom="1358" w:left="1629" w:header="908" w:footer="1195" w:gutter="0"/>
        </w:sectPr>
      </w:pPr>
    </w:p>
    <w:p>
      <w:pPr>
        <w:spacing w:before="37" w:line="467" w:lineRule="exact"/>
        <w:ind w:left="41"/>
        <w:rPr>
          <w:rFonts w:ascii="宋体" w:hAnsi="宋体" w:eastAsia="宋体" w:cs="宋体"/>
          <w:sz w:val="24"/>
          <w:szCs w:val="24"/>
        </w:rPr>
      </w:pPr>
      <w:r>
        <w:rPr>
          <w:rFonts w:ascii="宋体" w:hAnsi="宋体" w:eastAsia="宋体" w:cs="宋体"/>
          <w:position w:val="17"/>
          <w:sz w:val="24"/>
          <w:szCs w:val="24"/>
        </w:rPr>
        <w:t>成后有利于调整灌区种植结构、保护农田生态环</w:t>
      </w:r>
      <w:r>
        <w:rPr>
          <w:rFonts w:ascii="宋体" w:hAnsi="宋体" w:eastAsia="宋体" w:cs="宋体"/>
          <w:spacing w:val="-1"/>
          <w:position w:val="17"/>
          <w:sz w:val="24"/>
          <w:szCs w:val="24"/>
        </w:rPr>
        <w:t>境及改善灌区森林覆盖率。</w:t>
      </w:r>
    </w:p>
    <w:p>
      <w:pPr>
        <w:spacing w:line="218" w:lineRule="auto"/>
        <w:ind w:left="538"/>
        <w:rPr>
          <w:rFonts w:ascii="宋体" w:hAnsi="宋体" w:eastAsia="宋体" w:cs="宋体"/>
          <w:sz w:val="24"/>
          <w:szCs w:val="24"/>
        </w:rPr>
      </w:pPr>
      <w:r>
        <w:rPr>
          <w:rFonts w:ascii="宋体" w:hAnsi="宋体" w:eastAsia="宋体" w:cs="宋体"/>
          <w:spacing w:val="-2"/>
          <w:sz w:val="24"/>
          <w:szCs w:val="24"/>
        </w:rPr>
        <w:t>因此不违反《云南省生态功能区划报告》的相关规定。</w:t>
      </w:r>
    </w:p>
    <w:p>
      <w:pPr>
        <w:spacing w:before="182"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）与公益林相关法律法规符合性</w:t>
      </w:r>
    </w:p>
    <w:p>
      <w:pPr>
        <w:spacing w:before="182" w:line="359" w:lineRule="auto"/>
        <w:ind w:left="42" w:right="68" w:firstLine="480"/>
        <w:rPr>
          <w:rFonts w:ascii="宋体" w:hAnsi="宋体" w:eastAsia="宋体" w:cs="宋体"/>
          <w:sz w:val="24"/>
          <w:szCs w:val="24"/>
        </w:rPr>
      </w:pPr>
      <w:r>
        <w:rPr>
          <w:rFonts w:ascii="宋体" w:hAnsi="宋体" w:eastAsia="宋体" w:cs="宋体"/>
          <w:spacing w:val="-1"/>
          <w:sz w:val="24"/>
          <w:szCs w:val="24"/>
        </w:rPr>
        <w:t>项目占用公益林地面积</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21.7hm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1"/>
          <w:sz w:val="24"/>
          <w:szCs w:val="24"/>
        </w:rPr>
        <w:t>，其中：国家二级公</w:t>
      </w:r>
      <w:r>
        <w:rPr>
          <w:rFonts w:ascii="宋体" w:hAnsi="宋体" w:eastAsia="宋体" w:cs="宋体"/>
          <w:spacing w:val="-2"/>
          <w:sz w:val="24"/>
          <w:szCs w:val="24"/>
        </w:rPr>
        <w:t>益林地面积</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7.2812hm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（永</w:t>
      </w:r>
      <w:r>
        <w:rPr>
          <w:rFonts w:ascii="宋体" w:hAnsi="宋体" w:eastAsia="宋体" w:cs="宋体"/>
          <w:sz w:val="24"/>
          <w:szCs w:val="24"/>
        </w:rPr>
        <w:t xml:space="preserve"> </w:t>
      </w:r>
      <w:r>
        <w:rPr>
          <w:rFonts w:ascii="宋体" w:hAnsi="宋体" w:eastAsia="宋体" w:cs="宋体"/>
          <w:spacing w:val="-2"/>
          <w:sz w:val="24"/>
          <w:szCs w:val="24"/>
        </w:rPr>
        <w:t xml:space="preserve">久占用 </w:t>
      </w:r>
      <w:r>
        <w:rPr>
          <w:rFonts w:ascii="Times New Roman" w:hAnsi="Times New Roman" w:eastAsia="Times New Roman" w:cs="Times New Roman"/>
          <w:spacing w:val="-2"/>
          <w:sz w:val="24"/>
          <w:szCs w:val="24"/>
        </w:rPr>
        <w:t>6.7437hm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2"/>
          <w:sz w:val="24"/>
          <w:szCs w:val="24"/>
        </w:rPr>
        <w:t xml:space="preserve">，临时占用 </w:t>
      </w:r>
      <w:r>
        <w:rPr>
          <w:rFonts w:ascii="Times New Roman" w:hAnsi="Times New Roman" w:eastAsia="Times New Roman" w:cs="Times New Roman"/>
          <w:spacing w:val="-2"/>
          <w:sz w:val="24"/>
          <w:szCs w:val="24"/>
        </w:rPr>
        <w:t>0.5375hm</w:t>
      </w:r>
      <w:r>
        <w:rPr>
          <w:rFonts w:ascii="Times New Roman" w:hAnsi="Times New Roman" w:eastAsia="Times New Roman" w:cs="Times New Roman"/>
          <w:spacing w:val="-2"/>
          <w:position w:val="8"/>
          <w:sz w:val="15"/>
          <w:szCs w:val="15"/>
        </w:rPr>
        <w:t>2</w:t>
      </w:r>
      <w:r>
        <w:rPr>
          <w:rFonts w:ascii="宋体" w:hAnsi="宋体" w:eastAsia="宋体" w:cs="宋体"/>
          <w:spacing w:val="-52"/>
          <w:sz w:val="24"/>
          <w:szCs w:val="24"/>
        </w:rPr>
        <w:t>），</w:t>
      </w:r>
      <w:r>
        <w:rPr>
          <w:rFonts w:ascii="宋体" w:hAnsi="宋体" w:eastAsia="宋体" w:cs="宋体"/>
          <w:spacing w:val="-2"/>
          <w:sz w:val="24"/>
          <w:szCs w:val="24"/>
        </w:rPr>
        <w:t xml:space="preserve">省级公益林面积 </w:t>
      </w:r>
      <w:r>
        <w:rPr>
          <w:rFonts w:ascii="Times New Roman" w:hAnsi="Times New Roman" w:eastAsia="Times New Roman" w:cs="Times New Roman"/>
          <w:spacing w:val="-2"/>
          <w:sz w:val="24"/>
          <w:szCs w:val="24"/>
        </w:rPr>
        <w:t>14.4188hm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（永久占用</w:t>
      </w:r>
    </w:p>
    <w:p>
      <w:pPr>
        <w:spacing w:line="233" w:lineRule="auto"/>
        <w:ind w:left="58"/>
        <w:rPr>
          <w:rFonts w:ascii="宋体" w:hAnsi="宋体" w:eastAsia="宋体" w:cs="宋体"/>
          <w:sz w:val="24"/>
          <w:szCs w:val="24"/>
        </w:rPr>
      </w:pPr>
      <w:r>
        <w:rPr>
          <w:rFonts w:ascii="Times New Roman" w:hAnsi="Times New Roman" w:eastAsia="Times New Roman" w:cs="Times New Roman"/>
          <w:spacing w:val="-7"/>
          <w:sz w:val="24"/>
          <w:szCs w:val="24"/>
        </w:rPr>
        <w:t>13.7397hm</w:t>
      </w:r>
      <w:r>
        <w:rPr>
          <w:rFonts w:ascii="Times New Roman" w:hAnsi="Times New Roman" w:eastAsia="Times New Roman" w:cs="Times New Roman"/>
          <w:spacing w:val="-7"/>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7"/>
          <w:sz w:val="24"/>
          <w:szCs w:val="24"/>
        </w:rPr>
        <w:t xml:space="preserve">，临时占用 </w:t>
      </w:r>
      <w:r>
        <w:rPr>
          <w:rFonts w:ascii="Times New Roman" w:hAnsi="Times New Roman" w:eastAsia="Times New Roman" w:cs="Times New Roman"/>
          <w:spacing w:val="-7"/>
          <w:sz w:val="24"/>
          <w:szCs w:val="24"/>
        </w:rPr>
        <w:t>0.6791hm</w:t>
      </w:r>
      <w:r>
        <w:rPr>
          <w:rFonts w:ascii="Times New Roman" w:hAnsi="Times New Roman" w:eastAsia="Times New Roman" w:cs="Times New Roman"/>
          <w:spacing w:val="-7"/>
          <w:position w:val="8"/>
          <w:sz w:val="15"/>
          <w:szCs w:val="15"/>
        </w:rPr>
        <w:t>2</w:t>
      </w:r>
      <w:r>
        <w:rPr>
          <w:rFonts w:ascii="宋体" w:hAnsi="宋体" w:eastAsia="宋体" w:cs="宋体"/>
          <w:spacing w:val="-8"/>
          <w:sz w:val="24"/>
          <w:szCs w:val="24"/>
        </w:rPr>
        <w:t>）。</w:t>
      </w:r>
    </w:p>
    <w:p>
      <w:pPr>
        <w:spacing w:before="163" w:line="467" w:lineRule="exact"/>
        <w:ind w:right="68"/>
        <w:jc w:val="right"/>
        <w:rPr>
          <w:rFonts w:ascii="宋体" w:hAnsi="宋体" w:eastAsia="宋体" w:cs="宋体"/>
          <w:sz w:val="24"/>
          <w:szCs w:val="24"/>
        </w:rPr>
      </w:pPr>
      <w:r>
        <w:rPr>
          <w:rFonts w:ascii="宋体" w:hAnsi="宋体" w:eastAsia="宋体" w:cs="宋体"/>
          <w:spacing w:val="-10"/>
          <w:position w:val="17"/>
          <w:sz w:val="24"/>
          <w:szCs w:val="24"/>
        </w:rPr>
        <w:t>项目与《国家级公益林管理办法》（林资发</w:t>
      </w:r>
      <w:r>
        <w:rPr>
          <w:rFonts w:ascii="Times New Roman" w:hAnsi="Times New Roman" w:eastAsia="Times New Roman" w:cs="Times New Roman"/>
          <w:spacing w:val="-10"/>
          <w:position w:val="17"/>
          <w:sz w:val="24"/>
          <w:szCs w:val="24"/>
        </w:rPr>
        <w:t>[2013]71</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10"/>
          <w:position w:val="17"/>
          <w:sz w:val="24"/>
          <w:szCs w:val="24"/>
        </w:rPr>
        <w:t>号）、</w:t>
      </w:r>
      <w:r>
        <w:rPr>
          <w:rFonts w:ascii="宋体" w:hAnsi="宋体" w:eastAsia="宋体" w:cs="宋体"/>
          <w:spacing w:val="-11"/>
          <w:position w:val="17"/>
          <w:sz w:val="24"/>
          <w:szCs w:val="24"/>
        </w:rPr>
        <w:t>《云南省地方公益林管</w:t>
      </w:r>
    </w:p>
    <w:p>
      <w:pPr>
        <w:spacing w:line="215" w:lineRule="auto"/>
        <w:ind w:left="42"/>
        <w:rPr>
          <w:rFonts w:ascii="宋体" w:hAnsi="宋体" w:eastAsia="宋体" w:cs="宋体"/>
          <w:sz w:val="24"/>
          <w:szCs w:val="24"/>
        </w:rPr>
      </w:pPr>
      <w:r>
        <w:rPr>
          <w:rFonts w:ascii="宋体" w:hAnsi="宋体" w:eastAsia="宋体" w:cs="宋体"/>
          <w:spacing w:val="-6"/>
          <w:sz w:val="24"/>
          <w:szCs w:val="24"/>
        </w:rPr>
        <w:t>理办法》（云林规</w:t>
      </w:r>
      <w:r>
        <w:rPr>
          <w:rFonts w:ascii="Times New Roman" w:hAnsi="Times New Roman" w:eastAsia="Times New Roman" w:cs="Times New Roman"/>
          <w:spacing w:val="-6"/>
          <w:sz w:val="24"/>
          <w:szCs w:val="24"/>
        </w:rPr>
        <w:t>[2019]2</w:t>
      </w:r>
      <w:r>
        <w:rPr>
          <w:rFonts w:ascii="Times New Roman" w:hAnsi="Times New Roman" w:eastAsia="Times New Roman" w:cs="Times New Roman"/>
          <w:spacing w:val="24"/>
          <w:sz w:val="24"/>
          <w:szCs w:val="24"/>
        </w:rPr>
        <w:t xml:space="preserve"> </w:t>
      </w:r>
      <w:r>
        <w:rPr>
          <w:rFonts w:ascii="宋体" w:hAnsi="宋体" w:eastAsia="宋体" w:cs="宋体"/>
          <w:spacing w:val="-6"/>
          <w:sz w:val="24"/>
          <w:szCs w:val="24"/>
        </w:rPr>
        <w:t>号）符合性分析见下表。</w:t>
      </w:r>
    </w:p>
    <w:p>
      <w:pPr>
        <w:pStyle w:val="2"/>
        <w:spacing w:before="181" w:line="219" w:lineRule="auto"/>
        <w:ind w:left="2471"/>
      </w:pPr>
      <w:r>
        <w:rPr>
          <w14:textOutline w14:w="3810" w14:cap="flat" w14:cmpd="sng">
            <w14:solidFill>
              <w14:srgbClr w14:val="000000"/>
            </w14:solidFill>
            <w14:prstDash w14:val="solid"/>
            <w14:miter w14:val="0"/>
          </w14:textOutline>
        </w:rPr>
        <w:t>表</w:t>
      </w:r>
      <w:r>
        <w:rPr>
          <w:spacing w:val="-46"/>
        </w:rPr>
        <w:t xml:space="preserve"> </w:t>
      </w:r>
      <w:r>
        <w:rPr>
          <w:rFonts w:ascii="Times New Roman" w:hAnsi="Times New Roman" w:eastAsia="Times New Roman" w:cs="Times New Roman"/>
          <w:b/>
          <w:bCs/>
        </w:rPr>
        <w:t xml:space="preserve">2.4-5    </w:t>
      </w:r>
      <w:r>
        <w:rPr>
          <w14:textOutline w14:w="3810" w14:cap="flat" w14:cmpd="sng">
            <w14:solidFill>
              <w14:srgbClr w14:val="000000"/>
            </w14:solidFill>
            <w14:prstDash w14:val="solid"/>
            <w14:miter w14:val="0"/>
          </w14:textOutline>
        </w:rPr>
        <w:t>项目与公益林相关法</w:t>
      </w:r>
      <w:r>
        <w:rPr>
          <w:spacing w:val="-1"/>
          <w14:textOutline w14:w="3810" w14:cap="flat" w14:cmpd="sng">
            <w14:solidFill>
              <w14:srgbClr w14:val="000000"/>
            </w14:solidFill>
            <w14:prstDash w14:val="solid"/>
            <w14:miter w14:val="0"/>
          </w14:textOutline>
        </w:rPr>
        <w:t>律法规对照分析</w:t>
      </w:r>
    </w:p>
    <w:p>
      <w:pPr>
        <w:spacing w:line="129" w:lineRule="exact"/>
      </w:pPr>
    </w:p>
    <w:tbl>
      <w:tblPr>
        <w:tblStyle w:val="5"/>
        <w:tblW w:w="8735"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9"/>
        <w:gridCol w:w="4013"/>
        <w:gridCol w:w="2551"/>
        <w:gridCol w:w="1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959" w:type="dxa"/>
            <w:tcBorders>
              <w:left w:val="nil"/>
            </w:tcBorders>
            <w:vAlign w:val="top"/>
          </w:tcPr>
          <w:p>
            <w:pPr>
              <w:spacing w:before="36" w:line="209" w:lineRule="auto"/>
              <w:ind w:left="289"/>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4013" w:type="dxa"/>
            <w:vAlign w:val="top"/>
          </w:tcPr>
          <w:p>
            <w:pPr>
              <w:spacing w:before="36" w:line="209" w:lineRule="auto"/>
              <w:ind w:left="159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相关要求</w:t>
            </w:r>
          </w:p>
        </w:tc>
        <w:tc>
          <w:tcPr>
            <w:tcW w:w="2551" w:type="dxa"/>
            <w:vAlign w:val="top"/>
          </w:tcPr>
          <w:p>
            <w:pPr>
              <w:spacing w:before="36" w:line="209" w:lineRule="auto"/>
              <w:ind w:left="86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项目情况</w:t>
            </w:r>
          </w:p>
        </w:tc>
        <w:tc>
          <w:tcPr>
            <w:tcW w:w="1212" w:type="dxa"/>
            <w:tcBorders>
              <w:right w:val="nil"/>
            </w:tcBorders>
            <w:vAlign w:val="top"/>
          </w:tcPr>
          <w:p>
            <w:pPr>
              <w:spacing w:before="36" w:line="209" w:lineRule="auto"/>
              <w:ind w:left="30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543" w:hRule="atLeast"/>
        </w:trPr>
        <w:tc>
          <w:tcPr>
            <w:tcW w:w="959" w:type="dxa"/>
            <w:tcBorders>
              <w:left w:val="nil"/>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before="68" w:line="219" w:lineRule="auto"/>
              <w:ind w:left="209"/>
              <w:rPr>
                <w:rFonts w:ascii="仿宋" w:hAnsi="仿宋" w:eastAsia="仿宋" w:cs="仿宋"/>
                <w:sz w:val="21"/>
                <w:szCs w:val="21"/>
              </w:rPr>
            </w:pPr>
            <w:r>
              <w:rPr>
                <w:rFonts w:ascii="仿宋" w:hAnsi="仿宋" w:eastAsia="仿宋" w:cs="仿宋"/>
                <w:spacing w:val="-9"/>
                <w:sz w:val="21"/>
                <w:szCs w:val="21"/>
              </w:rPr>
              <w:t>国家级</w:t>
            </w:r>
          </w:p>
          <w:p>
            <w:pPr>
              <w:spacing w:before="23" w:line="218" w:lineRule="auto"/>
              <w:ind w:left="189"/>
              <w:rPr>
                <w:rFonts w:ascii="仿宋" w:hAnsi="仿宋" w:eastAsia="仿宋" w:cs="仿宋"/>
                <w:sz w:val="21"/>
                <w:szCs w:val="21"/>
              </w:rPr>
            </w:pPr>
            <w:r>
              <w:rPr>
                <w:rFonts w:ascii="仿宋" w:hAnsi="仿宋" w:eastAsia="仿宋" w:cs="仿宋"/>
                <w:spacing w:val="-5"/>
                <w:sz w:val="21"/>
                <w:szCs w:val="21"/>
              </w:rPr>
              <w:t>公益林</w:t>
            </w:r>
          </w:p>
          <w:p>
            <w:pPr>
              <w:spacing w:before="23" w:line="220" w:lineRule="auto"/>
              <w:ind w:left="197"/>
              <w:rPr>
                <w:rFonts w:ascii="仿宋" w:hAnsi="仿宋" w:eastAsia="仿宋" w:cs="仿宋"/>
                <w:sz w:val="21"/>
                <w:szCs w:val="21"/>
              </w:rPr>
            </w:pPr>
            <w:r>
              <w:rPr>
                <w:rFonts w:ascii="仿宋" w:hAnsi="仿宋" w:eastAsia="仿宋" w:cs="仿宋"/>
                <w:spacing w:val="-6"/>
                <w:sz w:val="21"/>
                <w:szCs w:val="21"/>
              </w:rPr>
              <w:t>管理办</w:t>
            </w:r>
          </w:p>
          <w:p>
            <w:pPr>
              <w:spacing w:before="23" w:line="222" w:lineRule="auto"/>
              <w:ind w:left="402"/>
              <w:rPr>
                <w:rFonts w:ascii="仿宋" w:hAnsi="仿宋" w:eastAsia="仿宋" w:cs="仿宋"/>
                <w:sz w:val="21"/>
                <w:szCs w:val="21"/>
              </w:rPr>
            </w:pPr>
            <w:r>
              <w:rPr>
                <w:rFonts w:ascii="仿宋" w:hAnsi="仿宋" w:eastAsia="仿宋" w:cs="仿宋"/>
                <w:sz w:val="21"/>
                <w:szCs w:val="21"/>
              </w:rPr>
              <w:t>法</w:t>
            </w:r>
          </w:p>
        </w:tc>
        <w:tc>
          <w:tcPr>
            <w:tcW w:w="4013"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68" w:line="235" w:lineRule="auto"/>
              <w:ind w:left="127" w:right="113" w:firstLine="9"/>
              <w:rPr>
                <w:rFonts w:ascii="仿宋" w:hAnsi="仿宋" w:eastAsia="仿宋" w:cs="仿宋"/>
                <w:sz w:val="21"/>
                <w:szCs w:val="21"/>
              </w:rPr>
            </w:pPr>
            <w:r>
              <w:rPr>
                <w:rFonts w:ascii="仿宋" w:hAnsi="仿宋" w:eastAsia="仿宋" w:cs="仿宋"/>
                <w:spacing w:val="-3"/>
                <w:sz w:val="21"/>
                <w:szCs w:val="21"/>
              </w:rPr>
              <w:t>第十一条  禁止在国家级公益林地开垦、</w:t>
            </w:r>
            <w:r>
              <w:rPr>
                <w:rFonts w:ascii="仿宋" w:hAnsi="仿宋" w:eastAsia="仿宋" w:cs="仿宋"/>
                <w:sz w:val="21"/>
                <w:szCs w:val="21"/>
              </w:rPr>
              <w:t xml:space="preserve"> </w:t>
            </w:r>
            <w:r>
              <w:rPr>
                <w:rFonts w:ascii="仿宋" w:hAnsi="仿宋" w:eastAsia="仿宋" w:cs="仿宋"/>
                <w:spacing w:val="-1"/>
                <w:sz w:val="21"/>
                <w:szCs w:val="21"/>
              </w:rPr>
              <w:t>采石、采沙、取土，严格控制勘查、开采</w:t>
            </w:r>
            <w:r>
              <w:rPr>
                <w:rFonts w:ascii="仿宋" w:hAnsi="仿宋" w:eastAsia="仿宋" w:cs="仿宋"/>
                <w:spacing w:val="3"/>
                <w:sz w:val="21"/>
                <w:szCs w:val="21"/>
              </w:rPr>
              <w:t xml:space="preserve"> </w:t>
            </w:r>
            <w:r>
              <w:rPr>
                <w:rFonts w:ascii="仿宋" w:hAnsi="仿宋" w:eastAsia="仿宋" w:cs="仿宋"/>
                <w:spacing w:val="-1"/>
                <w:sz w:val="21"/>
                <w:szCs w:val="21"/>
              </w:rPr>
              <w:t>矿藏和工程建设征收、征用、占用国家级</w:t>
            </w:r>
            <w:r>
              <w:rPr>
                <w:rFonts w:ascii="仿宋" w:hAnsi="仿宋" w:eastAsia="仿宋" w:cs="仿宋"/>
                <w:spacing w:val="3"/>
                <w:sz w:val="21"/>
                <w:szCs w:val="21"/>
              </w:rPr>
              <w:t xml:space="preserve"> </w:t>
            </w:r>
            <w:r>
              <w:rPr>
                <w:rFonts w:ascii="仿宋" w:hAnsi="仿宋" w:eastAsia="仿宋" w:cs="仿宋"/>
                <w:spacing w:val="-1"/>
                <w:sz w:val="21"/>
                <w:szCs w:val="21"/>
              </w:rPr>
              <w:t>公益林地。除国务院有关部门和省级人民</w:t>
            </w:r>
            <w:r>
              <w:rPr>
                <w:rFonts w:ascii="仿宋" w:hAnsi="仿宋" w:eastAsia="仿宋" w:cs="仿宋"/>
                <w:spacing w:val="3"/>
                <w:sz w:val="21"/>
                <w:szCs w:val="21"/>
              </w:rPr>
              <w:t xml:space="preserve"> </w:t>
            </w:r>
            <w:r>
              <w:rPr>
                <w:rFonts w:ascii="仿宋" w:hAnsi="仿宋" w:eastAsia="仿宋" w:cs="仿宋"/>
                <w:spacing w:val="-1"/>
                <w:sz w:val="21"/>
                <w:szCs w:val="21"/>
              </w:rPr>
              <w:t>政府批准的基础设施建设项目外，不得征</w:t>
            </w:r>
          </w:p>
          <w:p>
            <w:pPr>
              <w:spacing w:before="24" w:line="218" w:lineRule="auto"/>
              <w:ind w:left="243"/>
              <w:rPr>
                <w:rFonts w:ascii="仿宋" w:hAnsi="仿宋" w:eastAsia="仿宋" w:cs="仿宋"/>
                <w:sz w:val="21"/>
                <w:szCs w:val="21"/>
              </w:rPr>
            </w:pPr>
            <w:r>
              <w:rPr>
                <w:rFonts w:ascii="仿宋" w:hAnsi="仿宋" w:eastAsia="仿宋" w:cs="仿宋"/>
                <w:spacing w:val="-3"/>
                <w:sz w:val="21"/>
                <w:szCs w:val="21"/>
              </w:rPr>
              <w:t>收、征用、占用一级国家级公益林地。</w:t>
            </w:r>
          </w:p>
        </w:tc>
        <w:tc>
          <w:tcPr>
            <w:tcW w:w="2551" w:type="dxa"/>
            <w:vAlign w:val="top"/>
          </w:tcPr>
          <w:p>
            <w:pPr>
              <w:spacing w:before="31" w:line="219" w:lineRule="auto"/>
              <w:ind w:left="132"/>
              <w:rPr>
                <w:rFonts w:ascii="仿宋" w:hAnsi="仿宋" w:eastAsia="仿宋" w:cs="仿宋"/>
                <w:sz w:val="21"/>
                <w:szCs w:val="21"/>
              </w:rPr>
            </w:pPr>
            <w:r>
              <w:rPr>
                <w:rFonts w:ascii="仿宋" w:hAnsi="仿宋" w:eastAsia="仿宋" w:cs="仿宋"/>
                <w:spacing w:val="-5"/>
                <w:sz w:val="21"/>
                <w:szCs w:val="21"/>
              </w:rPr>
              <w:t>项目属于基础设施建设，</w:t>
            </w:r>
          </w:p>
          <w:p>
            <w:pPr>
              <w:spacing w:before="23" w:line="218" w:lineRule="auto"/>
              <w:ind w:left="136"/>
              <w:rPr>
                <w:rFonts w:ascii="仿宋" w:hAnsi="仿宋" w:eastAsia="仿宋" w:cs="仿宋"/>
                <w:sz w:val="21"/>
                <w:szCs w:val="21"/>
              </w:rPr>
            </w:pPr>
            <w:r>
              <w:rPr>
                <w:rFonts w:ascii="仿宋" w:hAnsi="仿宋" w:eastAsia="仿宋" w:cs="仿宋"/>
                <w:spacing w:val="-2"/>
                <w:sz w:val="21"/>
                <w:szCs w:val="21"/>
              </w:rPr>
              <w:t>不属于国家二级公益林禁</w:t>
            </w:r>
          </w:p>
          <w:p>
            <w:pPr>
              <w:spacing w:before="24" w:line="218" w:lineRule="auto"/>
              <w:ind w:left="131"/>
              <w:rPr>
                <w:rFonts w:ascii="仿宋" w:hAnsi="仿宋" w:eastAsia="仿宋" w:cs="仿宋"/>
                <w:sz w:val="21"/>
                <w:szCs w:val="21"/>
              </w:rPr>
            </w:pPr>
            <w:r>
              <w:rPr>
                <w:rFonts w:ascii="仿宋" w:hAnsi="仿宋" w:eastAsia="仿宋" w:cs="仿宋"/>
                <w:spacing w:val="-2"/>
                <w:sz w:val="21"/>
                <w:szCs w:val="21"/>
              </w:rPr>
              <w:t>止建设内容，不占用国家</w:t>
            </w:r>
          </w:p>
          <w:p>
            <w:pPr>
              <w:spacing w:before="24" w:line="218" w:lineRule="auto"/>
              <w:ind w:left="135"/>
              <w:rPr>
                <w:rFonts w:ascii="仿宋" w:hAnsi="仿宋" w:eastAsia="仿宋" w:cs="仿宋"/>
                <w:sz w:val="21"/>
                <w:szCs w:val="21"/>
              </w:rPr>
            </w:pPr>
            <w:r>
              <w:rPr>
                <w:rFonts w:ascii="仿宋" w:hAnsi="仿宋" w:eastAsia="仿宋" w:cs="仿宋"/>
                <w:spacing w:val="-2"/>
                <w:sz w:val="21"/>
                <w:szCs w:val="21"/>
              </w:rPr>
              <w:t>一级公益林。项目永久占</w:t>
            </w:r>
          </w:p>
          <w:p>
            <w:pPr>
              <w:spacing w:before="23" w:line="218" w:lineRule="auto"/>
              <w:ind w:left="131"/>
              <w:rPr>
                <w:rFonts w:ascii="仿宋" w:hAnsi="仿宋" w:eastAsia="仿宋" w:cs="仿宋"/>
                <w:sz w:val="21"/>
                <w:szCs w:val="21"/>
              </w:rPr>
            </w:pPr>
            <w:r>
              <w:rPr>
                <w:rFonts w:ascii="仿宋" w:hAnsi="仿宋" w:eastAsia="仿宋" w:cs="仿宋"/>
                <w:spacing w:val="-2"/>
                <w:sz w:val="21"/>
                <w:szCs w:val="21"/>
              </w:rPr>
              <w:t>用林地已取得得国家林业</w:t>
            </w:r>
          </w:p>
          <w:p>
            <w:pPr>
              <w:spacing w:before="24" w:line="218" w:lineRule="auto"/>
              <w:ind w:left="131"/>
              <w:rPr>
                <w:rFonts w:ascii="仿宋" w:hAnsi="仿宋" w:eastAsia="仿宋" w:cs="仿宋"/>
                <w:sz w:val="21"/>
                <w:szCs w:val="21"/>
              </w:rPr>
            </w:pPr>
            <w:r>
              <w:rPr>
                <w:rFonts w:ascii="仿宋" w:hAnsi="仿宋" w:eastAsia="仿宋" w:cs="仿宋"/>
                <w:spacing w:val="-2"/>
                <w:sz w:val="21"/>
                <w:szCs w:val="21"/>
              </w:rPr>
              <w:t>和草原局《使用林地审核</w:t>
            </w:r>
          </w:p>
          <w:p>
            <w:pPr>
              <w:spacing w:before="25" w:line="218" w:lineRule="auto"/>
              <w:ind w:left="419"/>
              <w:rPr>
                <w:rFonts w:ascii="仿宋" w:hAnsi="仿宋" w:eastAsia="仿宋" w:cs="仿宋"/>
                <w:sz w:val="21"/>
                <w:szCs w:val="21"/>
              </w:rPr>
            </w:pPr>
            <w:r>
              <w:rPr>
                <w:rFonts w:ascii="仿宋" w:hAnsi="仿宋" w:eastAsia="仿宋" w:cs="仿宋"/>
                <w:spacing w:val="-17"/>
                <w:sz w:val="21"/>
                <w:szCs w:val="21"/>
              </w:rPr>
              <w:t>同意书》（林资许准</w:t>
            </w:r>
          </w:p>
          <w:p>
            <w:pPr>
              <w:pStyle w:val="6"/>
              <w:spacing w:before="25" w:line="215" w:lineRule="auto"/>
              <w:ind w:left="144"/>
              <w:rPr>
                <w:rFonts w:ascii="仿宋" w:hAnsi="仿宋" w:eastAsia="仿宋" w:cs="仿宋"/>
              </w:rPr>
            </w:pPr>
            <w:r>
              <w:rPr>
                <w:spacing w:val="-8"/>
              </w:rPr>
              <w:t>[2019]523</w:t>
            </w:r>
            <w:r>
              <w:rPr>
                <w:spacing w:val="20"/>
              </w:rPr>
              <w:t xml:space="preserve"> </w:t>
            </w:r>
            <w:r>
              <w:rPr>
                <w:rFonts w:ascii="仿宋" w:hAnsi="仿宋" w:eastAsia="仿宋" w:cs="仿宋"/>
                <w:spacing w:val="-8"/>
              </w:rPr>
              <w:t>号</w:t>
            </w:r>
            <w:r>
              <w:rPr>
                <w:rFonts w:ascii="仿宋" w:hAnsi="仿宋" w:eastAsia="仿宋" w:cs="仿宋"/>
                <w:spacing w:val="-32"/>
              </w:rPr>
              <w:t>），</w:t>
            </w:r>
            <w:r>
              <w:rPr>
                <w:rFonts w:ascii="仿宋" w:hAnsi="仿宋" w:eastAsia="仿宋" w:cs="仿宋"/>
                <w:spacing w:val="-8"/>
              </w:rPr>
              <w:t>临时占用</w:t>
            </w:r>
          </w:p>
          <w:p>
            <w:pPr>
              <w:spacing w:before="27" w:line="218" w:lineRule="auto"/>
              <w:ind w:left="131"/>
              <w:rPr>
                <w:rFonts w:ascii="仿宋" w:hAnsi="仿宋" w:eastAsia="仿宋" w:cs="仿宋"/>
                <w:sz w:val="21"/>
                <w:szCs w:val="21"/>
              </w:rPr>
            </w:pPr>
            <w:r>
              <w:rPr>
                <w:rFonts w:ascii="仿宋" w:hAnsi="仿宋" w:eastAsia="仿宋" w:cs="仿宋"/>
                <w:spacing w:val="-2"/>
                <w:sz w:val="21"/>
                <w:szCs w:val="21"/>
              </w:rPr>
              <w:t>林地已取得云南省林业和</w:t>
            </w:r>
          </w:p>
          <w:p>
            <w:pPr>
              <w:spacing w:before="25" w:line="216" w:lineRule="auto"/>
              <w:ind w:left="135"/>
              <w:rPr>
                <w:rFonts w:ascii="仿宋" w:hAnsi="仿宋" w:eastAsia="仿宋" w:cs="仿宋"/>
                <w:sz w:val="21"/>
                <w:szCs w:val="21"/>
              </w:rPr>
            </w:pPr>
            <w:r>
              <w:rPr>
                <w:rFonts w:ascii="仿宋" w:hAnsi="仿宋" w:eastAsia="仿宋" w:cs="仿宋"/>
                <w:spacing w:val="-2"/>
                <w:sz w:val="21"/>
                <w:szCs w:val="21"/>
              </w:rPr>
              <w:t>草原局《关于大姚县桂花</w:t>
            </w:r>
          </w:p>
          <w:p>
            <w:pPr>
              <w:spacing w:before="27" w:line="218" w:lineRule="auto"/>
              <w:ind w:left="131"/>
              <w:rPr>
                <w:rFonts w:ascii="仿宋" w:hAnsi="仿宋" w:eastAsia="仿宋" w:cs="仿宋"/>
                <w:sz w:val="21"/>
                <w:szCs w:val="21"/>
              </w:rPr>
            </w:pPr>
            <w:r>
              <w:rPr>
                <w:rFonts w:ascii="仿宋" w:hAnsi="仿宋" w:eastAsia="仿宋" w:cs="仿宋"/>
                <w:spacing w:val="-2"/>
                <w:sz w:val="21"/>
                <w:szCs w:val="21"/>
              </w:rPr>
              <w:t>水库工程临时占用林地的</w:t>
            </w:r>
          </w:p>
          <w:p>
            <w:pPr>
              <w:pStyle w:val="6"/>
              <w:spacing w:before="24" w:line="222" w:lineRule="auto"/>
              <w:ind w:left="406" w:right="189" w:hanging="220"/>
              <w:rPr>
                <w:rFonts w:ascii="仿宋" w:hAnsi="仿宋" w:eastAsia="仿宋" w:cs="仿宋"/>
              </w:rPr>
            </w:pPr>
            <w:r>
              <w:rPr>
                <w:rFonts w:ascii="仿宋" w:hAnsi="仿宋" w:eastAsia="仿宋" w:cs="仿宋"/>
                <w:spacing w:val="-13"/>
              </w:rPr>
              <w:t>行政许可决定》（云林审</w:t>
            </w:r>
            <w:r>
              <w:rPr>
                <w:rFonts w:ascii="仿宋" w:hAnsi="仿宋" w:eastAsia="仿宋" w:cs="仿宋"/>
                <w:spacing w:val="2"/>
              </w:rPr>
              <w:t xml:space="preserve"> </w:t>
            </w:r>
            <w:r>
              <w:rPr>
                <w:rFonts w:ascii="仿宋" w:hAnsi="仿宋" w:eastAsia="仿宋" w:cs="仿宋"/>
                <w:spacing w:val="-9"/>
              </w:rPr>
              <w:t>批</w:t>
            </w:r>
            <w:r>
              <w:rPr>
                <w:spacing w:val="-9"/>
              </w:rPr>
              <w:t>[2019]1167</w:t>
            </w:r>
            <w:r>
              <w:rPr>
                <w:spacing w:val="29"/>
                <w:w w:val="101"/>
              </w:rPr>
              <w:t xml:space="preserve"> </w:t>
            </w:r>
            <w:r>
              <w:rPr>
                <w:rFonts w:ascii="仿宋" w:hAnsi="仿宋" w:eastAsia="仿宋" w:cs="仿宋"/>
                <w:spacing w:val="-9"/>
              </w:rPr>
              <w:t>号）。</w:t>
            </w:r>
          </w:p>
        </w:tc>
        <w:tc>
          <w:tcPr>
            <w:tcW w:w="1212" w:type="dxa"/>
            <w:tcBorders>
              <w:right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69" w:line="217" w:lineRule="auto"/>
              <w:ind w:left="413"/>
              <w:rPr>
                <w:rFonts w:ascii="仿宋" w:hAnsi="仿宋" w:eastAsia="仿宋" w:cs="仿宋"/>
                <w:sz w:val="21"/>
                <w:szCs w:val="21"/>
              </w:rPr>
            </w:pPr>
            <w:r>
              <w:rPr>
                <w:rFonts w:ascii="仿宋" w:hAnsi="仿宋" w:eastAsia="仿宋" w:cs="仿宋"/>
                <w:spacing w:val="-5"/>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59" w:hRule="atLeast"/>
        </w:trPr>
        <w:tc>
          <w:tcPr>
            <w:tcW w:w="959" w:type="dxa"/>
            <w:tcBorders>
              <w:left w:val="nil"/>
            </w:tcBorders>
            <w:vAlign w:val="top"/>
          </w:tcPr>
          <w:p>
            <w:pPr>
              <w:spacing w:line="320" w:lineRule="auto"/>
              <w:rPr>
                <w:rFonts w:ascii="Arial"/>
                <w:sz w:val="21"/>
              </w:rPr>
            </w:pPr>
          </w:p>
          <w:p>
            <w:pPr>
              <w:spacing w:line="321" w:lineRule="auto"/>
              <w:rPr>
                <w:rFonts w:ascii="Arial"/>
                <w:sz w:val="21"/>
              </w:rPr>
            </w:pPr>
          </w:p>
          <w:p>
            <w:pPr>
              <w:spacing w:before="69" w:line="235" w:lineRule="auto"/>
              <w:ind w:left="186" w:right="154"/>
              <w:jc w:val="both"/>
              <w:rPr>
                <w:rFonts w:ascii="仿宋" w:hAnsi="仿宋" w:eastAsia="仿宋" w:cs="仿宋"/>
                <w:sz w:val="21"/>
                <w:szCs w:val="21"/>
              </w:rPr>
            </w:pPr>
            <w:r>
              <w:rPr>
                <w:rFonts w:ascii="仿宋" w:hAnsi="仿宋" w:eastAsia="仿宋" w:cs="仿宋"/>
                <w:spacing w:val="-5"/>
                <w:sz w:val="21"/>
                <w:szCs w:val="21"/>
              </w:rPr>
              <w:t>云南省</w:t>
            </w:r>
            <w:r>
              <w:rPr>
                <w:rFonts w:ascii="仿宋" w:hAnsi="仿宋" w:eastAsia="仿宋" w:cs="仿宋"/>
                <w:sz w:val="21"/>
                <w:szCs w:val="21"/>
              </w:rPr>
              <w:t xml:space="preserve"> </w:t>
            </w:r>
            <w:r>
              <w:rPr>
                <w:rFonts w:ascii="仿宋" w:hAnsi="仿宋" w:eastAsia="仿宋" w:cs="仿宋"/>
                <w:spacing w:val="-5"/>
                <w:sz w:val="21"/>
                <w:szCs w:val="21"/>
              </w:rPr>
              <w:t>地方公</w:t>
            </w:r>
            <w:r>
              <w:rPr>
                <w:rFonts w:ascii="仿宋" w:hAnsi="仿宋" w:eastAsia="仿宋" w:cs="仿宋"/>
                <w:sz w:val="21"/>
                <w:szCs w:val="21"/>
              </w:rPr>
              <w:t xml:space="preserve"> </w:t>
            </w:r>
            <w:r>
              <w:rPr>
                <w:rFonts w:ascii="仿宋" w:hAnsi="仿宋" w:eastAsia="仿宋" w:cs="仿宋"/>
                <w:spacing w:val="-5"/>
                <w:sz w:val="21"/>
                <w:szCs w:val="21"/>
              </w:rPr>
              <w:t>益林管</w:t>
            </w:r>
            <w:r>
              <w:rPr>
                <w:rFonts w:ascii="仿宋" w:hAnsi="仿宋" w:eastAsia="仿宋" w:cs="仿宋"/>
                <w:sz w:val="21"/>
                <w:szCs w:val="21"/>
              </w:rPr>
              <w:t xml:space="preserve"> </w:t>
            </w:r>
            <w:r>
              <w:rPr>
                <w:rFonts w:ascii="仿宋" w:hAnsi="仿宋" w:eastAsia="仿宋" w:cs="仿宋"/>
                <w:spacing w:val="-5"/>
                <w:sz w:val="21"/>
                <w:szCs w:val="21"/>
              </w:rPr>
              <w:t>理办法</w:t>
            </w:r>
          </w:p>
        </w:tc>
        <w:tc>
          <w:tcPr>
            <w:tcW w:w="4013" w:type="dxa"/>
            <w:vAlign w:val="top"/>
          </w:tcPr>
          <w:p>
            <w:pPr>
              <w:spacing w:before="34" w:line="234" w:lineRule="auto"/>
              <w:ind w:left="119" w:right="122" w:firstLine="9"/>
              <w:rPr>
                <w:rFonts w:ascii="仿宋" w:hAnsi="仿宋" w:eastAsia="仿宋" w:cs="仿宋"/>
                <w:sz w:val="21"/>
                <w:szCs w:val="21"/>
              </w:rPr>
            </w:pPr>
            <w:r>
              <w:rPr>
                <w:rFonts w:ascii="仿宋" w:hAnsi="仿宋" w:eastAsia="仿宋" w:cs="仿宋"/>
                <w:spacing w:val="-2"/>
                <w:sz w:val="21"/>
                <w:szCs w:val="21"/>
              </w:rPr>
              <w:t>第二十五条  严格控制勘查、采矿和工程</w:t>
            </w:r>
            <w:r>
              <w:rPr>
                <w:rFonts w:ascii="仿宋" w:hAnsi="仿宋" w:eastAsia="仿宋" w:cs="仿宋"/>
                <w:spacing w:val="12"/>
                <w:sz w:val="21"/>
                <w:szCs w:val="21"/>
              </w:rPr>
              <w:t xml:space="preserve"> </w:t>
            </w:r>
            <w:r>
              <w:rPr>
                <w:rFonts w:ascii="仿宋" w:hAnsi="仿宋" w:eastAsia="仿宋" w:cs="仿宋"/>
                <w:spacing w:val="-1"/>
                <w:sz w:val="21"/>
                <w:szCs w:val="21"/>
              </w:rPr>
              <w:t>建设使用公益林地。纳入生态红线范围的</w:t>
            </w:r>
            <w:r>
              <w:rPr>
                <w:rFonts w:ascii="仿宋" w:hAnsi="仿宋" w:eastAsia="仿宋" w:cs="仿宋"/>
                <w:spacing w:val="3"/>
                <w:sz w:val="21"/>
                <w:szCs w:val="21"/>
              </w:rPr>
              <w:t xml:space="preserve"> </w:t>
            </w:r>
            <w:r>
              <w:rPr>
                <w:rFonts w:ascii="仿宋" w:hAnsi="仿宋" w:eastAsia="仿宋" w:cs="仿宋"/>
                <w:spacing w:val="-4"/>
                <w:sz w:val="21"/>
                <w:szCs w:val="21"/>
              </w:rPr>
              <w:t>公益林，按生态管控红线相关要求执行；</w:t>
            </w:r>
            <w:r>
              <w:rPr>
                <w:rFonts w:ascii="仿宋" w:hAnsi="仿宋" w:eastAsia="仿宋" w:cs="仿宋"/>
                <w:spacing w:val="11"/>
                <w:sz w:val="21"/>
                <w:szCs w:val="21"/>
              </w:rPr>
              <w:t xml:space="preserve"> </w:t>
            </w:r>
            <w:r>
              <w:rPr>
                <w:rFonts w:ascii="仿宋" w:hAnsi="仿宋" w:eastAsia="仿宋" w:cs="仿宋"/>
                <w:spacing w:val="-1"/>
                <w:sz w:val="21"/>
                <w:szCs w:val="21"/>
              </w:rPr>
              <w:t>未纳入生态红线范围、确需使用的公益</w:t>
            </w:r>
          </w:p>
          <w:p>
            <w:pPr>
              <w:spacing w:before="24" w:line="233" w:lineRule="auto"/>
              <w:ind w:left="118" w:right="122"/>
              <w:rPr>
                <w:rFonts w:ascii="仿宋" w:hAnsi="仿宋" w:eastAsia="仿宋" w:cs="仿宋"/>
                <w:sz w:val="21"/>
                <w:szCs w:val="21"/>
              </w:rPr>
            </w:pPr>
            <w:r>
              <w:rPr>
                <w:rFonts w:ascii="仿宋" w:hAnsi="仿宋" w:eastAsia="仿宋" w:cs="仿宋"/>
                <w:spacing w:val="-1"/>
                <w:sz w:val="21"/>
                <w:szCs w:val="21"/>
              </w:rPr>
              <w:t>林，由县级以上林业和草原主管部门进行</w:t>
            </w:r>
            <w:r>
              <w:rPr>
                <w:rFonts w:ascii="仿宋" w:hAnsi="仿宋" w:eastAsia="仿宋" w:cs="仿宋"/>
                <w:spacing w:val="3"/>
                <w:sz w:val="21"/>
                <w:szCs w:val="21"/>
              </w:rPr>
              <w:t xml:space="preserve"> </w:t>
            </w:r>
            <w:r>
              <w:rPr>
                <w:rFonts w:ascii="仿宋" w:hAnsi="仿宋" w:eastAsia="仿宋" w:cs="仿宋"/>
                <w:spacing w:val="-1"/>
                <w:sz w:val="21"/>
                <w:szCs w:val="21"/>
              </w:rPr>
              <w:t>核查，严格按照相关规定办理使用林地和</w:t>
            </w:r>
            <w:r>
              <w:rPr>
                <w:rFonts w:ascii="仿宋" w:hAnsi="仿宋" w:eastAsia="仿宋" w:cs="仿宋"/>
                <w:spacing w:val="3"/>
                <w:sz w:val="21"/>
                <w:szCs w:val="21"/>
              </w:rPr>
              <w:t xml:space="preserve"> </w:t>
            </w:r>
            <w:r>
              <w:rPr>
                <w:rFonts w:ascii="仿宋" w:hAnsi="仿宋" w:eastAsia="仿宋" w:cs="仿宋"/>
                <w:spacing w:val="-1"/>
                <w:sz w:val="21"/>
                <w:szCs w:val="21"/>
              </w:rPr>
              <w:t>林木采伐手续。经同意使用的国家级和省</w:t>
            </w:r>
            <w:r>
              <w:rPr>
                <w:rFonts w:ascii="仿宋" w:hAnsi="仿宋" w:eastAsia="仿宋" w:cs="仿宋"/>
                <w:spacing w:val="3"/>
                <w:sz w:val="21"/>
                <w:szCs w:val="21"/>
              </w:rPr>
              <w:t xml:space="preserve"> </w:t>
            </w:r>
            <w:r>
              <w:rPr>
                <w:rFonts w:ascii="仿宋" w:hAnsi="仿宋" w:eastAsia="仿宋" w:cs="仿宋"/>
                <w:spacing w:val="-1"/>
                <w:sz w:val="21"/>
                <w:szCs w:val="21"/>
              </w:rPr>
              <w:t>级公益林地，应当实行占补平衡并按本办</w:t>
            </w:r>
            <w:r>
              <w:rPr>
                <w:rFonts w:ascii="仿宋" w:hAnsi="仿宋" w:eastAsia="仿宋" w:cs="仿宋"/>
                <w:spacing w:val="3"/>
                <w:sz w:val="21"/>
                <w:szCs w:val="21"/>
              </w:rPr>
              <w:t xml:space="preserve"> </w:t>
            </w:r>
            <w:r>
              <w:rPr>
                <w:rFonts w:ascii="仿宋" w:hAnsi="仿宋" w:eastAsia="仿宋" w:cs="仿宋"/>
                <w:spacing w:val="-2"/>
                <w:sz w:val="21"/>
                <w:szCs w:val="21"/>
              </w:rPr>
              <w:t>法相关规定完善手续。</w:t>
            </w:r>
          </w:p>
        </w:tc>
        <w:tc>
          <w:tcPr>
            <w:tcW w:w="2551" w:type="dxa"/>
            <w:vAlign w:val="top"/>
          </w:tcPr>
          <w:p>
            <w:pPr>
              <w:spacing w:before="35" w:line="235" w:lineRule="auto"/>
              <w:ind w:left="131" w:right="118"/>
              <w:rPr>
                <w:rFonts w:ascii="仿宋" w:hAnsi="仿宋" w:eastAsia="仿宋" w:cs="仿宋"/>
                <w:sz w:val="21"/>
                <w:szCs w:val="21"/>
              </w:rPr>
            </w:pPr>
            <w:r>
              <w:rPr>
                <w:rFonts w:ascii="仿宋" w:hAnsi="仿宋" w:eastAsia="仿宋" w:cs="仿宋"/>
                <w:spacing w:val="-2"/>
                <w:sz w:val="21"/>
                <w:szCs w:val="21"/>
              </w:rPr>
              <w:t>项目属于基础设施建设，</w:t>
            </w:r>
            <w:r>
              <w:rPr>
                <w:rFonts w:ascii="仿宋" w:hAnsi="仿宋" w:eastAsia="仿宋" w:cs="仿宋"/>
                <w:spacing w:val="6"/>
                <w:sz w:val="21"/>
                <w:szCs w:val="21"/>
              </w:rPr>
              <w:t xml:space="preserve"> </w:t>
            </w:r>
            <w:r>
              <w:rPr>
                <w:rFonts w:ascii="仿宋" w:hAnsi="仿宋" w:eastAsia="仿宋" w:cs="仿宋"/>
                <w:spacing w:val="-2"/>
                <w:sz w:val="21"/>
                <w:szCs w:val="21"/>
              </w:rPr>
              <w:t>占用的公益林不属于生态</w:t>
            </w:r>
            <w:r>
              <w:rPr>
                <w:rFonts w:ascii="仿宋" w:hAnsi="仿宋" w:eastAsia="仿宋" w:cs="仿宋"/>
                <w:spacing w:val="7"/>
                <w:sz w:val="21"/>
                <w:szCs w:val="21"/>
              </w:rPr>
              <w:t xml:space="preserve"> </w:t>
            </w:r>
            <w:r>
              <w:rPr>
                <w:rFonts w:ascii="仿宋" w:hAnsi="仿宋" w:eastAsia="仿宋" w:cs="仿宋"/>
                <w:spacing w:val="-2"/>
                <w:sz w:val="21"/>
                <w:szCs w:val="21"/>
              </w:rPr>
              <w:t>红线保护范围。项目严格</w:t>
            </w:r>
            <w:r>
              <w:rPr>
                <w:rFonts w:ascii="仿宋" w:hAnsi="仿宋" w:eastAsia="仿宋" w:cs="仿宋"/>
                <w:spacing w:val="7"/>
                <w:sz w:val="21"/>
                <w:szCs w:val="21"/>
              </w:rPr>
              <w:t xml:space="preserve"> </w:t>
            </w:r>
            <w:r>
              <w:rPr>
                <w:rFonts w:ascii="仿宋" w:hAnsi="仿宋" w:eastAsia="仿宋" w:cs="仿宋"/>
                <w:spacing w:val="-2"/>
                <w:sz w:val="21"/>
                <w:szCs w:val="21"/>
              </w:rPr>
              <w:t>按照《建设项目使用林地</w:t>
            </w:r>
            <w:r>
              <w:rPr>
                <w:rFonts w:ascii="仿宋" w:hAnsi="仿宋" w:eastAsia="仿宋" w:cs="仿宋"/>
                <w:spacing w:val="7"/>
                <w:sz w:val="21"/>
                <w:szCs w:val="21"/>
              </w:rPr>
              <w:t xml:space="preserve"> </w:t>
            </w:r>
            <w:r>
              <w:rPr>
                <w:rFonts w:ascii="仿宋" w:hAnsi="仿宋" w:eastAsia="仿宋" w:cs="仿宋"/>
                <w:spacing w:val="-2"/>
                <w:sz w:val="21"/>
                <w:szCs w:val="21"/>
              </w:rPr>
              <w:t>审核审批管理办法》有关</w:t>
            </w:r>
          </w:p>
          <w:p>
            <w:pPr>
              <w:spacing w:before="23" w:line="229" w:lineRule="auto"/>
              <w:ind w:left="446" w:right="118" w:hanging="315"/>
              <w:rPr>
                <w:rFonts w:ascii="仿宋" w:hAnsi="仿宋" w:eastAsia="仿宋" w:cs="仿宋"/>
                <w:sz w:val="21"/>
                <w:szCs w:val="21"/>
              </w:rPr>
            </w:pPr>
            <w:r>
              <w:rPr>
                <w:rFonts w:ascii="仿宋" w:hAnsi="仿宋" w:eastAsia="仿宋" w:cs="仿宋"/>
                <w:spacing w:val="-2"/>
                <w:sz w:val="21"/>
                <w:szCs w:val="21"/>
              </w:rPr>
              <w:t>规定，已办理使用林地审</w:t>
            </w:r>
            <w:r>
              <w:rPr>
                <w:rFonts w:ascii="仿宋" w:hAnsi="仿宋" w:eastAsia="仿宋" w:cs="仿宋"/>
                <w:spacing w:val="7"/>
                <w:sz w:val="21"/>
                <w:szCs w:val="21"/>
              </w:rPr>
              <w:t xml:space="preserve"> </w:t>
            </w:r>
            <w:r>
              <w:rPr>
                <w:rFonts w:ascii="仿宋" w:hAnsi="仿宋" w:eastAsia="仿宋" w:cs="仿宋"/>
                <w:spacing w:val="-2"/>
                <w:sz w:val="21"/>
                <w:szCs w:val="21"/>
              </w:rPr>
              <w:t>核手续（林资许准</w:t>
            </w:r>
          </w:p>
          <w:p>
            <w:pPr>
              <w:pStyle w:val="6"/>
              <w:spacing w:before="25" w:line="223" w:lineRule="auto"/>
              <w:ind w:left="406" w:right="197" w:hanging="210"/>
              <w:rPr>
                <w:rFonts w:ascii="仿宋" w:hAnsi="仿宋" w:eastAsia="仿宋" w:cs="仿宋"/>
              </w:rPr>
            </w:pPr>
            <w:r>
              <w:rPr>
                <w:spacing w:val="-17"/>
              </w:rPr>
              <w:t>[2019]523</w:t>
            </w:r>
            <w:r>
              <w:rPr>
                <w:spacing w:val="25"/>
              </w:rPr>
              <w:t xml:space="preserve"> </w:t>
            </w:r>
            <w:r>
              <w:rPr>
                <w:rFonts w:ascii="仿宋" w:hAnsi="仿宋" w:eastAsia="仿宋" w:cs="仿宋"/>
                <w:spacing w:val="-17"/>
              </w:rPr>
              <w:t>号）、（云林审</w:t>
            </w:r>
            <w:r>
              <w:rPr>
                <w:rFonts w:ascii="仿宋" w:hAnsi="仿宋" w:eastAsia="仿宋" w:cs="仿宋"/>
              </w:rPr>
              <w:t xml:space="preserve"> </w:t>
            </w:r>
            <w:r>
              <w:rPr>
                <w:rFonts w:ascii="仿宋" w:hAnsi="仿宋" w:eastAsia="仿宋" w:cs="仿宋"/>
                <w:spacing w:val="-9"/>
              </w:rPr>
              <w:t>批</w:t>
            </w:r>
            <w:r>
              <w:rPr>
                <w:spacing w:val="-9"/>
              </w:rPr>
              <w:t>[2019]1167</w:t>
            </w:r>
            <w:r>
              <w:rPr>
                <w:spacing w:val="29"/>
                <w:w w:val="101"/>
              </w:rPr>
              <w:t xml:space="preserve"> </w:t>
            </w:r>
            <w:r>
              <w:rPr>
                <w:rFonts w:ascii="仿宋" w:hAnsi="仿宋" w:eastAsia="仿宋" w:cs="仿宋"/>
                <w:spacing w:val="-9"/>
              </w:rPr>
              <w:t>号）。</w:t>
            </w:r>
          </w:p>
        </w:tc>
        <w:tc>
          <w:tcPr>
            <w:tcW w:w="1212" w:type="dxa"/>
            <w:tcBorders>
              <w:right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8" w:line="217" w:lineRule="auto"/>
              <w:ind w:left="413"/>
              <w:rPr>
                <w:rFonts w:ascii="仿宋" w:hAnsi="仿宋" w:eastAsia="仿宋" w:cs="仿宋"/>
                <w:sz w:val="21"/>
                <w:szCs w:val="21"/>
              </w:rPr>
            </w:pPr>
            <w:r>
              <w:rPr>
                <w:rFonts w:ascii="仿宋" w:hAnsi="仿宋" w:eastAsia="仿宋" w:cs="仿宋"/>
                <w:spacing w:val="-5"/>
                <w:sz w:val="21"/>
                <w:szCs w:val="21"/>
              </w:rPr>
              <w:t>符合</w:t>
            </w:r>
          </w:p>
        </w:tc>
      </w:tr>
    </w:tbl>
    <w:p>
      <w:pPr>
        <w:spacing w:before="37" w:line="215" w:lineRule="auto"/>
        <w:ind w:left="519"/>
        <w:rPr>
          <w:rFonts w:ascii="宋体" w:hAnsi="宋体" w:eastAsia="宋体" w:cs="宋体"/>
          <w:sz w:val="24"/>
          <w:szCs w:val="24"/>
        </w:rPr>
      </w:pPr>
      <w:r>
        <w:rPr>
          <w:rFonts w:ascii="宋体" w:hAnsi="宋体" w:eastAsia="宋体" w:cs="宋体"/>
          <w:spacing w:val="-12"/>
          <w:sz w:val="24"/>
          <w:szCs w:val="24"/>
        </w:rPr>
        <w:t>根据表</w:t>
      </w:r>
      <w:r>
        <w:rPr>
          <w:rFonts w:ascii="宋体" w:hAnsi="宋体" w:eastAsia="宋体" w:cs="宋体"/>
          <w:spacing w:val="-41"/>
          <w:sz w:val="24"/>
          <w:szCs w:val="24"/>
        </w:rPr>
        <w:t xml:space="preserve"> </w:t>
      </w:r>
      <w:r>
        <w:rPr>
          <w:rFonts w:ascii="Times New Roman" w:hAnsi="Times New Roman" w:eastAsia="Times New Roman" w:cs="Times New Roman"/>
          <w:spacing w:val="-12"/>
          <w:sz w:val="24"/>
          <w:szCs w:val="24"/>
        </w:rPr>
        <w:t>2.4-5</w:t>
      </w:r>
      <w:r>
        <w:rPr>
          <w:rFonts w:ascii="宋体" w:hAnsi="宋体" w:eastAsia="宋体" w:cs="宋体"/>
          <w:spacing w:val="-12"/>
          <w:sz w:val="24"/>
          <w:szCs w:val="24"/>
        </w:rPr>
        <w:t>，项目符合《国家级公益林管理办法》（林资发</w:t>
      </w:r>
      <w:r>
        <w:rPr>
          <w:rFonts w:ascii="Times New Roman" w:hAnsi="Times New Roman" w:eastAsia="Times New Roman" w:cs="Times New Roman"/>
          <w:spacing w:val="-12"/>
          <w:sz w:val="24"/>
          <w:szCs w:val="24"/>
        </w:rPr>
        <w:t>[2013]71</w:t>
      </w:r>
      <w:r>
        <w:rPr>
          <w:rFonts w:ascii="Times New Roman" w:hAnsi="Times New Roman" w:eastAsia="Times New Roman" w:cs="Times New Roman"/>
          <w:spacing w:val="15"/>
          <w:sz w:val="24"/>
          <w:szCs w:val="24"/>
        </w:rPr>
        <w:t xml:space="preserve"> </w:t>
      </w:r>
      <w:r>
        <w:rPr>
          <w:rFonts w:ascii="宋体" w:hAnsi="宋体" w:eastAsia="宋体" w:cs="宋体"/>
          <w:spacing w:val="-12"/>
          <w:sz w:val="24"/>
          <w:szCs w:val="24"/>
        </w:rPr>
        <w:t>号）、《云南</w:t>
      </w:r>
    </w:p>
    <w:p>
      <w:pPr>
        <w:spacing w:before="187" w:line="215" w:lineRule="auto"/>
        <w:ind w:left="43"/>
        <w:rPr>
          <w:rFonts w:ascii="宋体" w:hAnsi="宋体" w:eastAsia="宋体" w:cs="宋体"/>
          <w:sz w:val="24"/>
          <w:szCs w:val="24"/>
        </w:rPr>
      </w:pPr>
      <w:r>
        <w:rPr>
          <w:rFonts w:ascii="宋体" w:hAnsi="宋体" w:eastAsia="宋体" w:cs="宋体"/>
          <w:spacing w:val="-5"/>
          <w:sz w:val="24"/>
          <w:szCs w:val="24"/>
        </w:rPr>
        <w:t>省地方公益林管理办法》（云林规</w:t>
      </w:r>
      <w:r>
        <w:rPr>
          <w:rFonts w:ascii="Times New Roman" w:hAnsi="Times New Roman" w:eastAsia="Times New Roman" w:cs="Times New Roman"/>
          <w:spacing w:val="-5"/>
          <w:sz w:val="24"/>
          <w:szCs w:val="24"/>
        </w:rPr>
        <w:t>[2019]2</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号）中相关保护要求。</w:t>
      </w:r>
    </w:p>
    <w:p>
      <w:pPr>
        <w:spacing w:line="400" w:lineRule="auto"/>
        <w:rPr>
          <w:rFonts w:ascii="Arial"/>
          <w:sz w:val="21"/>
        </w:rPr>
      </w:pPr>
    </w:p>
    <w:p>
      <w:pPr>
        <w:pStyle w:val="2"/>
        <w:spacing w:before="79" w:line="219" w:lineRule="auto"/>
        <w:ind w:left="35"/>
        <w:outlineLvl w:val="2"/>
        <w:rPr>
          <w:sz w:val="24"/>
          <w:szCs w:val="24"/>
        </w:rPr>
      </w:pPr>
      <w:r>
        <w:rPr>
          <w:rFonts w:ascii="Times New Roman" w:hAnsi="Times New Roman" w:eastAsia="Times New Roman" w:cs="Times New Roman"/>
          <w:b/>
          <w:bCs/>
          <w:spacing w:val="-1"/>
          <w:sz w:val="24"/>
          <w:szCs w:val="24"/>
        </w:rPr>
        <w:t>2.4.3</w:t>
      </w:r>
      <w:r>
        <w:rPr>
          <w:rFonts w:ascii="Times New Roman" w:hAnsi="Times New Roman" w:eastAsia="Times New Roman" w:cs="Times New Roman"/>
          <w:b/>
          <w:bCs/>
          <w:spacing w:val="20"/>
          <w:sz w:val="24"/>
          <w:szCs w:val="24"/>
        </w:rPr>
        <w:t xml:space="preserve"> </w:t>
      </w:r>
      <w:r>
        <w:rPr>
          <w:spacing w:val="-1"/>
          <w:sz w:val="24"/>
          <w:szCs w:val="24"/>
          <w14:textOutline w14:w="4354" w14:cap="flat" w14:cmpd="sng">
            <w14:solidFill>
              <w14:srgbClr w14:val="000000"/>
            </w14:solidFill>
            <w14:prstDash w14:val="solid"/>
            <w14:miter w14:val="0"/>
          </w14:textOutline>
        </w:rPr>
        <w:t>与相关规划的符合性分析</w:t>
      </w:r>
    </w:p>
    <w:p>
      <w:pPr>
        <w:spacing w:before="182" w:line="219"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）与《云南省百件骨干水源工程建设规划》符合性</w:t>
      </w:r>
    </w:p>
    <w:p>
      <w:pPr>
        <w:spacing w:before="183" w:line="359" w:lineRule="auto"/>
        <w:ind w:left="42" w:right="68" w:firstLine="477"/>
        <w:jc w:val="both"/>
        <w:rPr>
          <w:rFonts w:ascii="宋体" w:hAnsi="宋体" w:eastAsia="宋体" w:cs="宋体"/>
          <w:sz w:val="24"/>
          <w:szCs w:val="24"/>
        </w:rPr>
      </w:pPr>
      <w:r>
        <w:rPr>
          <w:rFonts w:ascii="宋体" w:hAnsi="宋体" w:eastAsia="宋体" w:cs="宋体"/>
          <w:spacing w:val="-5"/>
          <w:sz w:val="24"/>
          <w:szCs w:val="24"/>
        </w:rPr>
        <w:t>根据《云南省百件骨干水源工程建设规划》，列入本次规划的重点水源工程包括</w:t>
      </w:r>
      <w:r>
        <w:rPr>
          <w:rFonts w:ascii="宋体" w:hAnsi="宋体" w:eastAsia="宋体" w:cs="宋体"/>
          <w:spacing w:val="4"/>
          <w:sz w:val="24"/>
          <w:szCs w:val="24"/>
        </w:rPr>
        <w:t xml:space="preserve"> </w:t>
      </w:r>
      <w:r>
        <w:rPr>
          <w:rFonts w:ascii="宋体" w:hAnsi="宋体" w:eastAsia="宋体" w:cs="宋体"/>
          <w:spacing w:val="-1"/>
          <w:sz w:val="24"/>
          <w:szCs w:val="24"/>
        </w:rPr>
        <w:t>大型水库、中型水库、小（</w:t>
      </w:r>
      <w:r>
        <w:rPr>
          <w:rFonts w:ascii="Times New Roman" w:hAnsi="Times New Roman" w:eastAsia="Times New Roman" w:cs="Times New Roman"/>
          <w:spacing w:val="-1"/>
          <w:sz w:val="24"/>
          <w:szCs w:val="24"/>
        </w:rPr>
        <w:t>1</w:t>
      </w:r>
      <w:r>
        <w:rPr>
          <w:rFonts w:ascii="宋体" w:hAnsi="宋体" w:eastAsia="宋体" w:cs="宋体"/>
          <w:spacing w:val="-1"/>
          <w:sz w:val="24"/>
          <w:szCs w:val="24"/>
        </w:rPr>
        <w:t>）型水库、引</w:t>
      </w:r>
      <w:r>
        <w:rPr>
          <w:rFonts w:ascii="宋体" w:hAnsi="宋体" w:eastAsia="宋体" w:cs="宋体"/>
          <w:spacing w:val="-2"/>
          <w:sz w:val="24"/>
          <w:szCs w:val="24"/>
        </w:rPr>
        <w:t>提水工程、连通工程和具有一定规模的集</w:t>
      </w:r>
    </w:p>
    <w:p>
      <w:pPr>
        <w:spacing w:before="1" w:line="218" w:lineRule="auto"/>
        <w:jc w:val="right"/>
        <w:rPr>
          <w:rFonts w:ascii="宋体" w:hAnsi="宋体" w:eastAsia="宋体" w:cs="宋体"/>
          <w:sz w:val="24"/>
          <w:szCs w:val="24"/>
        </w:rPr>
      </w:pPr>
      <w:r>
        <w:rPr>
          <w:rFonts w:ascii="宋体" w:hAnsi="宋体" w:eastAsia="宋体" w:cs="宋体"/>
          <w:spacing w:val="-12"/>
          <w:sz w:val="24"/>
          <w:szCs w:val="24"/>
        </w:rPr>
        <w:t>中供水的水井工程。其中：</w:t>
      </w:r>
      <w:r>
        <w:rPr>
          <w:rFonts w:ascii="宋体" w:hAnsi="宋体" w:eastAsia="宋体" w:cs="宋体"/>
          <w:spacing w:val="71"/>
          <w:sz w:val="24"/>
          <w:szCs w:val="24"/>
        </w:rPr>
        <w:t xml:space="preserve"> </w:t>
      </w:r>
      <w:r>
        <w:rPr>
          <w:rFonts w:ascii="宋体" w:hAnsi="宋体" w:eastAsia="宋体" w:cs="宋体"/>
          <w:spacing w:val="-12"/>
          <w:sz w:val="24"/>
          <w:szCs w:val="24"/>
        </w:rPr>
        <w:t>大型水库</w:t>
      </w:r>
      <w:r>
        <w:rPr>
          <w:rFonts w:ascii="宋体" w:hAnsi="宋体" w:eastAsia="宋体" w:cs="宋体"/>
          <w:spacing w:val="-38"/>
          <w:sz w:val="24"/>
          <w:szCs w:val="24"/>
        </w:rPr>
        <w:t xml:space="preserve"> </w:t>
      </w:r>
      <w:r>
        <w:rPr>
          <w:rFonts w:ascii="Times New Roman" w:hAnsi="Times New Roman" w:eastAsia="Times New Roman" w:cs="Times New Roman"/>
          <w:spacing w:val="-12"/>
          <w:sz w:val="24"/>
          <w:szCs w:val="24"/>
        </w:rPr>
        <w:t>7</w:t>
      </w:r>
      <w:r>
        <w:rPr>
          <w:rFonts w:ascii="Times New Roman" w:hAnsi="Times New Roman" w:eastAsia="Times New Roman" w:cs="Times New Roman"/>
          <w:spacing w:val="22"/>
          <w:sz w:val="24"/>
          <w:szCs w:val="24"/>
        </w:rPr>
        <w:t xml:space="preserve"> </w:t>
      </w:r>
      <w:r>
        <w:rPr>
          <w:rFonts w:ascii="宋体" w:hAnsi="宋体" w:eastAsia="宋体" w:cs="宋体"/>
          <w:spacing w:val="-12"/>
          <w:sz w:val="24"/>
          <w:szCs w:val="24"/>
        </w:rPr>
        <w:t xml:space="preserve">件，中型水库 </w:t>
      </w:r>
      <w:r>
        <w:rPr>
          <w:rFonts w:ascii="Times New Roman" w:hAnsi="Times New Roman" w:eastAsia="Times New Roman" w:cs="Times New Roman"/>
          <w:spacing w:val="-12"/>
          <w:sz w:val="24"/>
          <w:szCs w:val="24"/>
        </w:rPr>
        <w:t>138</w:t>
      </w:r>
      <w:r>
        <w:rPr>
          <w:rFonts w:ascii="Times New Roman" w:hAnsi="Times New Roman" w:eastAsia="Times New Roman" w:cs="Times New Roman"/>
          <w:spacing w:val="21"/>
          <w:w w:val="101"/>
          <w:sz w:val="24"/>
          <w:szCs w:val="24"/>
        </w:rPr>
        <w:t xml:space="preserve"> </w:t>
      </w:r>
      <w:r>
        <w:rPr>
          <w:rFonts w:ascii="宋体" w:hAnsi="宋体" w:eastAsia="宋体" w:cs="宋体"/>
          <w:spacing w:val="-12"/>
          <w:sz w:val="24"/>
          <w:szCs w:val="24"/>
        </w:rPr>
        <w:t>件， 引、提水工程</w:t>
      </w:r>
      <w:r>
        <w:rPr>
          <w:rFonts w:ascii="宋体" w:hAnsi="宋体" w:eastAsia="宋体" w:cs="宋体"/>
          <w:spacing w:val="-43"/>
          <w:sz w:val="24"/>
          <w:szCs w:val="24"/>
        </w:rPr>
        <w:t xml:space="preserve"> </w:t>
      </w:r>
      <w:r>
        <w:rPr>
          <w:rFonts w:ascii="Times New Roman" w:hAnsi="Times New Roman" w:eastAsia="Times New Roman" w:cs="Times New Roman"/>
          <w:spacing w:val="-12"/>
          <w:sz w:val="24"/>
          <w:szCs w:val="24"/>
        </w:rPr>
        <w:t>48</w:t>
      </w:r>
      <w:r>
        <w:rPr>
          <w:rFonts w:ascii="Times New Roman" w:hAnsi="Times New Roman" w:eastAsia="Times New Roman" w:cs="Times New Roman"/>
          <w:spacing w:val="21"/>
          <w:w w:val="101"/>
          <w:sz w:val="24"/>
          <w:szCs w:val="24"/>
        </w:rPr>
        <w:t xml:space="preserve"> </w:t>
      </w:r>
      <w:r>
        <w:rPr>
          <w:rFonts w:ascii="宋体" w:hAnsi="宋体" w:eastAsia="宋体" w:cs="宋体"/>
          <w:spacing w:val="-12"/>
          <w:sz w:val="24"/>
          <w:szCs w:val="24"/>
        </w:rPr>
        <w:t>件，</w:t>
      </w:r>
    </w:p>
    <w:p>
      <w:pPr>
        <w:spacing w:line="218" w:lineRule="auto"/>
        <w:rPr>
          <w:rFonts w:ascii="宋体" w:hAnsi="宋体" w:eastAsia="宋体" w:cs="宋体"/>
          <w:sz w:val="24"/>
          <w:szCs w:val="24"/>
        </w:rPr>
        <w:sectPr>
          <w:headerReference r:id="rId140" w:type="default"/>
          <w:footerReference r:id="rId141" w:type="default"/>
          <w:pgSz w:w="11920" w:h="16840"/>
          <w:pgMar w:top="1183" w:right="1471" w:bottom="1358" w:left="1629" w:header="908" w:footer="1195" w:gutter="0"/>
        </w:sectPr>
      </w:pPr>
    </w:p>
    <w:p>
      <w:pPr>
        <w:spacing w:before="37" w:line="467" w:lineRule="exact"/>
        <w:ind w:left="45"/>
        <w:rPr>
          <w:rFonts w:ascii="宋体" w:hAnsi="宋体" w:eastAsia="宋体" w:cs="宋体"/>
          <w:sz w:val="24"/>
          <w:szCs w:val="24"/>
        </w:rPr>
      </w:pPr>
      <w:r>
        <w:rPr>
          <w:rFonts w:ascii="宋体" w:hAnsi="宋体" w:eastAsia="宋体" w:cs="宋体"/>
          <w:spacing w:val="-5"/>
          <w:position w:val="17"/>
          <w:sz w:val="24"/>
          <w:szCs w:val="24"/>
        </w:rPr>
        <w:t>小型水库</w:t>
      </w:r>
      <w:r>
        <w:rPr>
          <w:rFonts w:ascii="宋体" w:hAnsi="宋体" w:eastAsia="宋体" w:cs="宋体"/>
          <w:spacing w:val="-49"/>
          <w:position w:val="17"/>
          <w:sz w:val="24"/>
          <w:szCs w:val="24"/>
        </w:rPr>
        <w:t xml:space="preserve"> </w:t>
      </w:r>
      <w:r>
        <w:rPr>
          <w:rFonts w:ascii="Times New Roman" w:hAnsi="Times New Roman" w:eastAsia="Times New Roman" w:cs="Times New Roman"/>
          <w:spacing w:val="-5"/>
          <w:position w:val="17"/>
          <w:sz w:val="24"/>
          <w:szCs w:val="24"/>
        </w:rPr>
        <w:t xml:space="preserve">331 </w:t>
      </w:r>
      <w:r>
        <w:rPr>
          <w:rFonts w:ascii="宋体" w:hAnsi="宋体" w:eastAsia="宋体" w:cs="宋体"/>
          <w:spacing w:val="-5"/>
          <w:position w:val="17"/>
          <w:sz w:val="24"/>
          <w:szCs w:val="24"/>
        </w:rPr>
        <w:t>件，联通工程</w:t>
      </w:r>
      <w:r>
        <w:rPr>
          <w:rFonts w:ascii="宋体" w:hAnsi="宋体" w:eastAsia="宋体" w:cs="宋体"/>
          <w:spacing w:val="-48"/>
          <w:position w:val="17"/>
          <w:sz w:val="24"/>
          <w:szCs w:val="24"/>
        </w:rPr>
        <w:t xml:space="preserve"> </w:t>
      </w:r>
      <w:r>
        <w:rPr>
          <w:rFonts w:ascii="Times New Roman" w:hAnsi="Times New Roman" w:eastAsia="Times New Roman" w:cs="Times New Roman"/>
          <w:spacing w:val="-5"/>
          <w:position w:val="17"/>
          <w:sz w:val="24"/>
          <w:szCs w:val="24"/>
        </w:rPr>
        <w:t>533km</w:t>
      </w:r>
      <w:r>
        <w:rPr>
          <w:rFonts w:ascii="宋体" w:hAnsi="宋体" w:eastAsia="宋体" w:cs="宋体"/>
          <w:spacing w:val="-5"/>
          <w:position w:val="17"/>
          <w:sz w:val="24"/>
          <w:szCs w:val="24"/>
        </w:rPr>
        <w:t>。大姚县桂花水库为本规划中的位于的中型水库。</w:t>
      </w:r>
    </w:p>
    <w:p>
      <w:pPr>
        <w:spacing w:line="219"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）与《大姚县蜻蛉河流域及相关地区水资源配置规划》符合性</w:t>
      </w:r>
    </w:p>
    <w:p>
      <w:pPr>
        <w:spacing w:before="182" w:line="359" w:lineRule="auto"/>
        <w:ind w:left="41" w:right="29" w:firstLine="478"/>
        <w:rPr>
          <w:rFonts w:ascii="宋体" w:hAnsi="宋体" w:eastAsia="宋体" w:cs="宋体"/>
          <w:sz w:val="24"/>
          <w:szCs w:val="24"/>
        </w:rPr>
      </w:pPr>
      <w:r>
        <w:rPr>
          <w:rFonts w:ascii="宋体" w:hAnsi="宋体" w:eastAsia="宋体" w:cs="宋体"/>
          <w:spacing w:val="-5"/>
          <w:sz w:val="24"/>
          <w:szCs w:val="24"/>
        </w:rPr>
        <w:t>根据《大姚县蜻蛉河流域及相关地区水资源配置规划》，提出建设桂花水库（中</w:t>
      </w:r>
      <w:r>
        <w:rPr>
          <w:rFonts w:ascii="宋体" w:hAnsi="宋体" w:eastAsia="宋体" w:cs="宋体"/>
          <w:spacing w:val="5"/>
          <w:sz w:val="24"/>
          <w:szCs w:val="24"/>
        </w:rPr>
        <w:t xml:space="preserve"> </w:t>
      </w:r>
      <w:r>
        <w:rPr>
          <w:rFonts w:ascii="宋体" w:hAnsi="宋体" w:eastAsia="宋体" w:cs="宋体"/>
          <w:spacing w:val="-7"/>
          <w:sz w:val="24"/>
          <w:szCs w:val="24"/>
        </w:rPr>
        <w:t>型）以及小村小（</w:t>
      </w:r>
      <w:r>
        <w:rPr>
          <w:rFonts w:ascii="Times New Roman" w:hAnsi="Times New Roman" w:eastAsia="Times New Roman" w:cs="Times New Roman"/>
          <w:spacing w:val="-7"/>
          <w:sz w:val="24"/>
          <w:szCs w:val="24"/>
        </w:rPr>
        <w:t>1</w:t>
      </w:r>
      <w:r>
        <w:rPr>
          <w:rFonts w:ascii="宋体" w:hAnsi="宋体" w:eastAsia="宋体" w:cs="宋体"/>
          <w:spacing w:val="-7"/>
          <w:sz w:val="24"/>
          <w:szCs w:val="24"/>
        </w:rPr>
        <w:t>）型水库。桂花水库与大罗古水库联合调度供水，</w:t>
      </w:r>
      <w:r>
        <w:rPr>
          <w:rFonts w:ascii="宋体" w:hAnsi="宋体" w:eastAsia="宋体" w:cs="宋体"/>
          <w:spacing w:val="86"/>
          <w:sz w:val="24"/>
          <w:szCs w:val="24"/>
        </w:rPr>
        <w:t xml:space="preserve"> </w:t>
      </w:r>
      <w:r>
        <w:rPr>
          <w:rFonts w:ascii="宋体" w:hAnsi="宋体" w:eastAsia="宋体" w:cs="宋体"/>
          <w:spacing w:val="-7"/>
          <w:sz w:val="24"/>
          <w:szCs w:val="24"/>
        </w:rPr>
        <w:t>引水工程引水</w:t>
      </w:r>
      <w:r>
        <w:rPr>
          <w:rFonts w:ascii="宋体" w:hAnsi="宋体" w:eastAsia="宋体" w:cs="宋体"/>
          <w:sz w:val="24"/>
          <w:szCs w:val="24"/>
        </w:rPr>
        <w:t xml:space="preserve"> </w:t>
      </w:r>
      <w:r>
        <w:rPr>
          <w:rFonts w:ascii="宋体" w:hAnsi="宋体" w:eastAsia="宋体" w:cs="宋体"/>
          <w:spacing w:val="-11"/>
          <w:sz w:val="24"/>
          <w:szCs w:val="24"/>
        </w:rPr>
        <w:t>至规划水库调蓄； 为充分发挥大罗古水库效益， 沿途引入引洪</w:t>
      </w:r>
      <w:r>
        <w:rPr>
          <w:rFonts w:ascii="宋体" w:hAnsi="宋体" w:eastAsia="宋体" w:cs="宋体"/>
          <w:spacing w:val="-12"/>
          <w:sz w:val="24"/>
          <w:szCs w:val="24"/>
        </w:rPr>
        <w:t>工程</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 xml:space="preserve">4 </w:t>
      </w:r>
      <w:r>
        <w:rPr>
          <w:rFonts w:ascii="宋体" w:hAnsi="宋体" w:eastAsia="宋体" w:cs="宋体"/>
          <w:spacing w:val="-12"/>
          <w:sz w:val="24"/>
          <w:szCs w:val="24"/>
        </w:rPr>
        <w:t>个取水坝洪量，</w:t>
      </w:r>
    </w:p>
    <w:p>
      <w:pPr>
        <w:spacing w:line="219" w:lineRule="auto"/>
        <w:ind w:left="45"/>
        <w:rPr>
          <w:rFonts w:ascii="宋体" w:hAnsi="宋体" w:eastAsia="宋体" w:cs="宋体"/>
          <w:sz w:val="24"/>
          <w:szCs w:val="24"/>
        </w:rPr>
      </w:pPr>
      <w:r>
        <w:rPr>
          <w:rFonts w:ascii="宋体" w:hAnsi="宋体" w:eastAsia="宋体" w:cs="宋体"/>
          <w:spacing w:val="-2"/>
          <w:sz w:val="24"/>
          <w:szCs w:val="24"/>
        </w:rPr>
        <w:t>并从桂花水库汛期均匀补水至大罗古水库使之蓄</w:t>
      </w:r>
      <w:r>
        <w:rPr>
          <w:rFonts w:ascii="宋体" w:hAnsi="宋体" w:eastAsia="宋体" w:cs="宋体"/>
          <w:spacing w:val="-3"/>
          <w:sz w:val="24"/>
          <w:szCs w:val="24"/>
        </w:rPr>
        <w:t>满。</w:t>
      </w:r>
    </w:p>
    <w:p>
      <w:pPr>
        <w:spacing w:before="180"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）与《楚雄北部片区水资源综合利用规划》符合性</w:t>
      </w:r>
    </w:p>
    <w:p>
      <w:pPr>
        <w:spacing w:before="183" w:line="359" w:lineRule="auto"/>
        <w:ind w:left="42" w:right="29" w:firstLine="477"/>
        <w:rPr>
          <w:rFonts w:ascii="宋体" w:hAnsi="宋体" w:eastAsia="宋体" w:cs="宋体"/>
          <w:sz w:val="24"/>
          <w:szCs w:val="24"/>
        </w:rPr>
      </w:pPr>
      <w:r>
        <w:rPr>
          <w:rFonts w:ascii="宋体" w:hAnsi="宋体" w:eastAsia="宋体" w:cs="宋体"/>
          <w:spacing w:val="-7"/>
          <w:sz w:val="24"/>
          <w:szCs w:val="24"/>
        </w:rPr>
        <w:t>根据《楚雄北部片区水资源综合利用规划》，</w:t>
      </w:r>
      <w:r>
        <w:rPr>
          <w:rFonts w:ascii="宋体" w:hAnsi="宋体" w:eastAsia="宋体" w:cs="宋体"/>
          <w:spacing w:val="-8"/>
          <w:sz w:val="24"/>
          <w:szCs w:val="24"/>
        </w:rPr>
        <w:t>提出蓄水工程</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148 </w:t>
      </w:r>
      <w:r>
        <w:rPr>
          <w:rFonts w:ascii="宋体" w:hAnsi="宋体" w:eastAsia="宋体" w:cs="宋体"/>
          <w:spacing w:val="-8"/>
          <w:sz w:val="24"/>
          <w:szCs w:val="24"/>
        </w:rPr>
        <w:t>件，</w:t>
      </w:r>
      <w:r>
        <w:rPr>
          <w:rFonts w:ascii="宋体" w:hAnsi="宋体" w:eastAsia="宋体" w:cs="宋体"/>
          <w:spacing w:val="-42"/>
          <w:sz w:val="24"/>
          <w:szCs w:val="24"/>
        </w:rPr>
        <w:t xml:space="preserve"> </w:t>
      </w:r>
      <w:r>
        <w:rPr>
          <w:rFonts w:ascii="宋体" w:hAnsi="宋体" w:eastAsia="宋体" w:cs="宋体"/>
          <w:spacing w:val="-8"/>
          <w:sz w:val="24"/>
          <w:szCs w:val="24"/>
        </w:rPr>
        <w:t>重点对其中</w:t>
      </w:r>
      <w:r>
        <w:rPr>
          <w:rFonts w:ascii="宋体" w:hAnsi="宋体" w:eastAsia="宋体" w:cs="宋体"/>
          <w:sz w:val="24"/>
          <w:szCs w:val="24"/>
        </w:rPr>
        <w:t xml:space="preserve"> </w:t>
      </w:r>
      <w:r>
        <w:rPr>
          <w:rFonts w:ascii="宋体" w:hAnsi="宋体" w:eastAsia="宋体" w:cs="宋体"/>
          <w:spacing w:val="-9"/>
          <w:sz w:val="24"/>
          <w:szCs w:val="24"/>
        </w:rPr>
        <w:t>小（</w:t>
      </w:r>
      <w:r>
        <w:rPr>
          <w:rFonts w:ascii="Times New Roman" w:hAnsi="Times New Roman" w:eastAsia="Times New Roman" w:cs="Times New Roman"/>
          <w:spacing w:val="-9"/>
          <w:sz w:val="24"/>
          <w:szCs w:val="24"/>
        </w:rPr>
        <w:t>1</w:t>
      </w:r>
      <w:r>
        <w:rPr>
          <w:rFonts w:ascii="宋体" w:hAnsi="宋体" w:eastAsia="宋体" w:cs="宋体"/>
          <w:spacing w:val="-9"/>
          <w:sz w:val="24"/>
          <w:szCs w:val="24"/>
        </w:rPr>
        <w:t>）型以上的</w:t>
      </w:r>
      <w:r>
        <w:rPr>
          <w:rFonts w:ascii="宋体" w:hAnsi="宋体" w:eastAsia="宋体" w:cs="宋体"/>
          <w:spacing w:val="-45"/>
          <w:sz w:val="24"/>
          <w:szCs w:val="24"/>
        </w:rPr>
        <w:t xml:space="preserve"> </w:t>
      </w:r>
      <w:r>
        <w:rPr>
          <w:rFonts w:ascii="Times New Roman" w:hAnsi="Times New Roman" w:eastAsia="Times New Roman" w:cs="Times New Roman"/>
          <w:spacing w:val="-9"/>
          <w:sz w:val="24"/>
          <w:szCs w:val="24"/>
        </w:rPr>
        <w:t xml:space="preserve">43 </w:t>
      </w:r>
      <w:r>
        <w:rPr>
          <w:rFonts w:ascii="宋体" w:hAnsi="宋体" w:eastAsia="宋体" w:cs="宋体"/>
          <w:spacing w:val="-9"/>
          <w:sz w:val="24"/>
          <w:szCs w:val="24"/>
        </w:rPr>
        <w:t>件水利工程进行规划设计，</w:t>
      </w:r>
      <w:r>
        <w:rPr>
          <w:rFonts w:ascii="宋体" w:hAnsi="宋体" w:eastAsia="宋体" w:cs="宋体"/>
          <w:spacing w:val="55"/>
          <w:sz w:val="24"/>
          <w:szCs w:val="24"/>
        </w:rPr>
        <w:t xml:space="preserve"> </w:t>
      </w:r>
      <w:r>
        <w:rPr>
          <w:rFonts w:ascii="宋体" w:hAnsi="宋体" w:eastAsia="宋体" w:cs="宋体"/>
          <w:spacing w:val="-9"/>
          <w:sz w:val="24"/>
          <w:szCs w:val="24"/>
        </w:rPr>
        <w:t>其中大（</w:t>
      </w:r>
      <w:r>
        <w:rPr>
          <w:rFonts w:ascii="Times New Roman" w:hAnsi="Times New Roman" w:eastAsia="Times New Roman" w:cs="Times New Roman"/>
          <w:spacing w:val="-9"/>
          <w:sz w:val="24"/>
          <w:szCs w:val="24"/>
        </w:rPr>
        <w:t>2</w:t>
      </w:r>
      <w:r>
        <w:rPr>
          <w:rFonts w:ascii="宋体" w:hAnsi="宋体" w:eastAsia="宋体" w:cs="宋体"/>
          <w:spacing w:val="-9"/>
          <w:sz w:val="24"/>
          <w:szCs w:val="24"/>
        </w:rPr>
        <w:t>）型水库</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 xml:space="preserve">2 </w:t>
      </w:r>
      <w:r>
        <w:rPr>
          <w:rFonts w:ascii="宋体" w:hAnsi="宋体" w:eastAsia="宋体" w:cs="宋体"/>
          <w:spacing w:val="-9"/>
          <w:sz w:val="24"/>
          <w:szCs w:val="24"/>
        </w:rPr>
        <w:t>件， 中型水库</w:t>
      </w:r>
      <w:r>
        <w:rPr>
          <w:rFonts w:ascii="宋体" w:hAnsi="宋体" w:eastAsia="宋体" w:cs="宋体"/>
          <w:sz w:val="24"/>
          <w:szCs w:val="24"/>
        </w:rPr>
        <w:t xml:space="preserve"> </w:t>
      </w:r>
      <w:r>
        <w:rPr>
          <w:rFonts w:ascii="Times New Roman" w:hAnsi="Times New Roman" w:eastAsia="Times New Roman" w:cs="Times New Roman"/>
          <w:spacing w:val="-4"/>
          <w:sz w:val="24"/>
          <w:szCs w:val="24"/>
        </w:rPr>
        <w:t xml:space="preserve">14 </w:t>
      </w:r>
      <w:r>
        <w:rPr>
          <w:rFonts w:ascii="宋体" w:hAnsi="宋体" w:eastAsia="宋体" w:cs="宋体"/>
          <w:spacing w:val="-4"/>
          <w:sz w:val="24"/>
          <w:szCs w:val="24"/>
        </w:rPr>
        <w:t>件，</w:t>
      </w:r>
      <w:r>
        <w:rPr>
          <w:rFonts w:ascii="宋体" w:hAnsi="宋体" w:eastAsia="宋体" w:cs="宋体"/>
          <w:spacing w:val="-48"/>
          <w:sz w:val="24"/>
          <w:szCs w:val="24"/>
        </w:rPr>
        <w:t xml:space="preserve"> </w:t>
      </w:r>
      <w:r>
        <w:rPr>
          <w:rFonts w:ascii="宋体" w:hAnsi="宋体" w:eastAsia="宋体" w:cs="宋体"/>
          <w:spacing w:val="-4"/>
          <w:sz w:val="24"/>
          <w:szCs w:val="24"/>
        </w:rPr>
        <w:t>小（</w:t>
      </w:r>
      <w:r>
        <w:rPr>
          <w:rFonts w:ascii="Times New Roman" w:hAnsi="Times New Roman" w:eastAsia="Times New Roman" w:cs="Times New Roman"/>
          <w:spacing w:val="-4"/>
          <w:sz w:val="24"/>
          <w:szCs w:val="24"/>
        </w:rPr>
        <w:t>1</w:t>
      </w:r>
      <w:r>
        <w:rPr>
          <w:rFonts w:ascii="宋体" w:hAnsi="宋体" w:eastAsia="宋体" w:cs="宋体"/>
          <w:spacing w:val="-4"/>
          <w:sz w:val="24"/>
          <w:szCs w:val="24"/>
        </w:rPr>
        <w:t>）型水库</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27 </w:t>
      </w:r>
      <w:r>
        <w:rPr>
          <w:rFonts w:ascii="宋体" w:hAnsi="宋体" w:eastAsia="宋体" w:cs="宋体"/>
          <w:spacing w:val="-4"/>
          <w:sz w:val="24"/>
          <w:szCs w:val="24"/>
        </w:rPr>
        <w:t>件。大姚</w:t>
      </w:r>
      <w:r>
        <w:rPr>
          <w:rFonts w:ascii="宋体" w:hAnsi="宋体" w:eastAsia="宋体" w:cs="宋体"/>
          <w:spacing w:val="-5"/>
          <w:sz w:val="24"/>
          <w:szCs w:val="24"/>
        </w:rPr>
        <w:t>县到</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2020 </w:t>
      </w:r>
      <w:r>
        <w:rPr>
          <w:rFonts w:ascii="宋体" w:hAnsi="宋体" w:eastAsia="宋体" w:cs="宋体"/>
          <w:spacing w:val="-5"/>
          <w:sz w:val="24"/>
          <w:szCs w:val="24"/>
        </w:rPr>
        <w:t>年规划兴建红豆树中型水库和桂花中型</w:t>
      </w:r>
      <w:r>
        <w:rPr>
          <w:rFonts w:ascii="宋体" w:hAnsi="宋体" w:eastAsia="宋体" w:cs="宋体"/>
          <w:sz w:val="24"/>
          <w:szCs w:val="24"/>
        </w:rPr>
        <w:t xml:space="preserve"> </w:t>
      </w:r>
      <w:r>
        <w:rPr>
          <w:rFonts w:ascii="宋体" w:hAnsi="宋体" w:eastAsia="宋体" w:cs="宋体"/>
          <w:spacing w:val="-8"/>
          <w:sz w:val="24"/>
          <w:szCs w:val="24"/>
        </w:rPr>
        <w:t>水库， 以及大坡、河底、木卡拉、扩建小村小（</w:t>
      </w:r>
      <w:r>
        <w:rPr>
          <w:rFonts w:ascii="Times New Roman" w:hAnsi="Times New Roman" w:eastAsia="Times New Roman" w:cs="Times New Roman"/>
          <w:spacing w:val="-8"/>
          <w:sz w:val="24"/>
          <w:szCs w:val="24"/>
        </w:rPr>
        <w:t>2</w:t>
      </w:r>
      <w:r>
        <w:rPr>
          <w:rFonts w:ascii="宋体" w:hAnsi="宋体" w:eastAsia="宋体" w:cs="宋体"/>
          <w:spacing w:val="-8"/>
          <w:sz w:val="24"/>
          <w:szCs w:val="24"/>
        </w:rPr>
        <w:t>）型水库为小（</w:t>
      </w:r>
      <w:r>
        <w:rPr>
          <w:rFonts w:ascii="Times New Roman" w:hAnsi="Times New Roman" w:eastAsia="Times New Roman" w:cs="Times New Roman"/>
          <w:spacing w:val="-8"/>
          <w:sz w:val="24"/>
          <w:szCs w:val="24"/>
        </w:rPr>
        <w:t>1</w:t>
      </w:r>
      <w:r>
        <w:rPr>
          <w:rFonts w:ascii="宋体" w:hAnsi="宋体" w:eastAsia="宋体" w:cs="宋体"/>
          <w:spacing w:val="-8"/>
          <w:sz w:val="24"/>
          <w:szCs w:val="24"/>
        </w:rPr>
        <w:t>）型水库等</w:t>
      </w:r>
      <w:r>
        <w:rPr>
          <w:rFonts w:ascii="宋体" w:hAnsi="宋体" w:eastAsia="宋体" w:cs="宋体"/>
          <w:spacing w:val="-34"/>
          <w:sz w:val="24"/>
          <w:szCs w:val="24"/>
        </w:rPr>
        <w:t xml:space="preserve"> </w:t>
      </w:r>
      <w:r>
        <w:rPr>
          <w:rFonts w:ascii="Times New Roman" w:hAnsi="Times New Roman" w:eastAsia="Times New Roman" w:cs="Times New Roman"/>
          <w:spacing w:val="-8"/>
          <w:sz w:val="24"/>
          <w:szCs w:val="24"/>
        </w:rPr>
        <w:t xml:space="preserve">3 </w:t>
      </w:r>
      <w:r>
        <w:rPr>
          <w:rFonts w:ascii="宋体" w:hAnsi="宋体" w:eastAsia="宋体" w:cs="宋体"/>
          <w:spacing w:val="-8"/>
          <w:sz w:val="24"/>
          <w:szCs w:val="24"/>
        </w:rPr>
        <w:t>件重</w:t>
      </w:r>
    </w:p>
    <w:p>
      <w:pPr>
        <w:spacing w:before="1" w:line="219" w:lineRule="auto"/>
        <w:ind w:left="47"/>
        <w:rPr>
          <w:rFonts w:ascii="宋体" w:hAnsi="宋体" w:eastAsia="宋体" w:cs="宋体"/>
          <w:sz w:val="24"/>
          <w:szCs w:val="24"/>
        </w:rPr>
      </w:pPr>
      <w:r>
        <w:rPr>
          <w:rFonts w:ascii="宋体" w:hAnsi="宋体" w:eastAsia="宋体" w:cs="宋体"/>
          <w:spacing w:val="-2"/>
          <w:sz w:val="24"/>
          <w:szCs w:val="24"/>
        </w:rPr>
        <w:t>点小（</w:t>
      </w:r>
      <w:r>
        <w:rPr>
          <w:rFonts w:ascii="Times New Roman" w:hAnsi="Times New Roman" w:eastAsia="Times New Roman" w:cs="Times New Roman"/>
          <w:spacing w:val="-2"/>
          <w:sz w:val="24"/>
          <w:szCs w:val="24"/>
        </w:rPr>
        <w:t>1</w:t>
      </w:r>
      <w:r>
        <w:rPr>
          <w:rFonts w:ascii="宋体" w:hAnsi="宋体" w:eastAsia="宋体" w:cs="宋体"/>
          <w:spacing w:val="-2"/>
          <w:sz w:val="24"/>
          <w:szCs w:val="24"/>
        </w:rPr>
        <w:t>）型水库；并辅以其它小（</w:t>
      </w:r>
      <w:r>
        <w:rPr>
          <w:rFonts w:ascii="Times New Roman" w:hAnsi="Times New Roman" w:eastAsia="Times New Roman" w:cs="Times New Roman"/>
          <w:spacing w:val="-2"/>
          <w:sz w:val="24"/>
          <w:szCs w:val="24"/>
        </w:rPr>
        <w:t>2</w:t>
      </w:r>
      <w:r>
        <w:rPr>
          <w:rFonts w:ascii="宋体" w:hAnsi="宋体" w:eastAsia="宋体" w:cs="宋体"/>
          <w:spacing w:val="-2"/>
          <w:sz w:val="24"/>
          <w:szCs w:val="24"/>
        </w:rPr>
        <w:t>）型水库和五小水利工程的建设。</w:t>
      </w:r>
    </w:p>
    <w:p>
      <w:pPr>
        <w:spacing w:before="181" w:line="219" w:lineRule="auto"/>
        <w:ind w:left="52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）《楚雄州“十四五”水安全保障规划》</w:t>
      </w:r>
    </w:p>
    <w:p>
      <w:pPr>
        <w:spacing w:before="183" w:line="359" w:lineRule="auto"/>
        <w:ind w:left="39" w:right="31" w:firstLine="480"/>
        <w:rPr>
          <w:rFonts w:ascii="宋体" w:hAnsi="宋体" w:eastAsia="宋体" w:cs="宋体"/>
          <w:sz w:val="24"/>
          <w:szCs w:val="24"/>
        </w:rPr>
      </w:pPr>
      <w:r>
        <w:rPr>
          <w:rFonts w:ascii="宋体" w:hAnsi="宋体" w:eastAsia="宋体" w:cs="宋体"/>
          <w:spacing w:val="-5"/>
          <w:sz w:val="24"/>
          <w:szCs w:val="24"/>
        </w:rPr>
        <w:t>根据《楚雄州“十四五”水安全保障规划》，新开工大姚桂花、南华小箐河、楚</w:t>
      </w:r>
      <w:r>
        <w:rPr>
          <w:rFonts w:ascii="宋体" w:hAnsi="宋体" w:eastAsia="宋体" w:cs="宋体"/>
          <w:spacing w:val="4"/>
          <w:sz w:val="24"/>
          <w:szCs w:val="24"/>
        </w:rPr>
        <w:t xml:space="preserve"> </w:t>
      </w:r>
      <w:r>
        <w:rPr>
          <w:rFonts w:ascii="宋体" w:hAnsi="宋体" w:eastAsia="宋体" w:cs="宋体"/>
          <w:spacing w:val="-10"/>
          <w:sz w:val="24"/>
          <w:szCs w:val="24"/>
        </w:rPr>
        <w:t>雄白衣河、双柏白水河、元谋麻柳扩建</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5 </w:t>
      </w:r>
      <w:r>
        <w:rPr>
          <w:rFonts w:ascii="宋体" w:hAnsi="宋体" w:eastAsia="宋体" w:cs="宋体"/>
          <w:spacing w:val="-10"/>
          <w:sz w:val="24"/>
          <w:szCs w:val="24"/>
        </w:rPr>
        <w:t>座中型水库，</w:t>
      </w:r>
      <w:r>
        <w:rPr>
          <w:rFonts w:ascii="宋体" w:hAnsi="宋体" w:eastAsia="宋体" w:cs="宋体"/>
          <w:spacing w:val="36"/>
          <w:sz w:val="24"/>
          <w:szCs w:val="24"/>
        </w:rPr>
        <w:t xml:space="preserve"> </w:t>
      </w:r>
      <w:r>
        <w:rPr>
          <w:rFonts w:ascii="宋体" w:hAnsi="宋体" w:eastAsia="宋体" w:cs="宋体"/>
          <w:spacing w:val="-10"/>
          <w:sz w:val="24"/>
          <w:szCs w:val="24"/>
        </w:rPr>
        <w:t>楚雄响水箐等</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14 </w:t>
      </w:r>
      <w:r>
        <w:rPr>
          <w:rFonts w:ascii="宋体" w:hAnsi="宋体" w:eastAsia="宋体" w:cs="宋体"/>
          <w:spacing w:val="-10"/>
          <w:sz w:val="24"/>
          <w:szCs w:val="24"/>
        </w:rPr>
        <w:t>座小（</w:t>
      </w:r>
      <w:r>
        <w:rPr>
          <w:rFonts w:ascii="Times New Roman" w:hAnsi="Times New Roman" w:eastAsia="Times New Roman" w:cs="Times New Roman"/>
          <w:spacing w:val="-10"/>
          <w:sz w:val="24"/>
          <w:szCs w:val="24"/>
        </w:rPr>
        <w:t>1</w:t>
      </w:r>
      <w:r>
        <w:rPr>
          <w:rFonts w:ascii="宋体" w:hAnsi="宋体" w:eastAsia="宋体" w:cs="宋体"/>
          <w:spacing w:val="-10"/>
          <w:sz w:val="24"/>
          <w:szCs w:val="24"/>
        </w:rPr>
        <w:t>）型</w:t>
      </w:r>
    </w:p>
    <w:p>
      <w:pPr>
        <w:spacing w:before="1" w:line="219" w:lineRule="auto"/>
        <w:ind w:left="42"/>
        <w:rPr>
          <w:rFonts w:ascii="宋体" w:hAnsi="宋体" w:eastAsia="宋体" w:cs="宋体"/>
          <w:sz w:val="24"/>
          <w:szCs w:val="24"/>
        </w:rPr>
      </w:pPr>
      <w:r>
        <w:rPr>
          <w:rFonts w:ascii="宋体" w:hAnsi="宋体" w:eastAsia="宋体" w:cs="宋体"/>
          <w:spacing w:val="-11"/>
          <w:sz w:val="24"/>
          <w:szCs w:val="24"/>
        </w:rPr>
        <w:t>水库。</w:t>
      </w:r>
    </w:p>
    <w:p>
      <w:pPr>
        <w:spacing w:before="181" w:line="359" w:lineRule="auto"/>
        <w:ind w:left="43" w:right="39" w:firstLine="479"/>
        <w:rPr>
          <w:rFonts w:ascii="宋体" w:hAnsi="宋体" w:eastAsia="宋体" w:cs="宋体"/>
          <w:sz w:val="24"/>
          <w:szCs w:val="24"/>
        </w:rPr>
      </w:pPr>
      <w:r>
        <w:rPr>
          <w:rFonts w:ascii="宋体" w:hAnsi="宋体" w:eastAsia="宋体" w:cs="宋体"/>
          <w:spacing w:val="-14"/>
          <w:sz w:val="24"/>
          <w:szCs w:val="24"/>
        </w:rPr>
        <w:t>综上，</w:t>
      </w:r>
      <w:r>
        <w:rPr>
          <w:rFonts w:ascii="宋体" w:hAnsi="宋体" w:eastAsia="宋体" w:cs="宋体"/>
          <w:spacing w:val="-47"/>
          <w:sz w:val="24"/>
          <w:szCs w:val="24"/>
        </w:rPr>
        <w:t xml:space="preserve"> </w:t>
      </w:r>
      <w:r>
        <w:rPr>
          <w:rFonts w:ascii="宋体" w:hAnsi="宋体" w:eastAsia="宋体" w:cs="宋体"/>
          <w:spacing w:val="-14"/>
          <w:sz w:val="24"/>
          <w:szCs w:val="24"/>
        </w:rPr>
        <w:t>项目属于《云南省百件骨干水源工程建设规划》、《大姚县蜻蛉河流域及相</w:t>
      </w:r>
      <w:r>
        <w:rPr>
          <w:rFonts w:ascii="宋体" w:hAnsi="宋体" w:eastAsia="宋体" w:cs="宋体"/>
          <w:sz w:val="24"/>
          <w:szCs w:val="24"/>
        </w:rPr>
        <w:t xml:space="preserve"> </w:t>
      </w:r>
      <w:r>
        <w:rPr>
          <w:rFonts w:ascii="宋体" w:hAnsi="宋体" w:eastAsia="宋体" w:cs="宋体"/>
          <w:spacing w:val="-11"/>
          <w:sz w:val="24"/>
          <w:szCs w:val="24"/>
        </w:rPr>
        <w:t>关地区水资源配置规划》、《大姚县蜻蛉河流域及相关地区水资源配置规划</w:t>
      </w:r>
      <w:r>
        <w:rPr>
          <w:rFonts w:ascii="宋体" w:hAnsi="宋体" w:eastAsia="宋体" w:cs="宋体"/>
          <w:spacing w:val="-12"/>
          <w:sz w:val="24"/>
          <w:szCs w:val="24"/>
        </w:rPr>
        <w:t>》、《楚雄</w:t>
      </w:r>
    </w:p>
    <w:p>
      <w:pPr>
        <w:spacing w:before="1" w:line="219" w:lineRule="auto"/>
        <w:ind w:left="43"/>
        <w:rPr>
          <w:rFonts w:ascii="宋体" w:hAnsi="宋体" w:eastAsia="宋体" w:cs="宋体"/>
          <w:sz w:val="24"/>
          <w:szCs w:val="24"/>
        </w:rPr>
      </w:pPr>
      <w:r>
        <w:rPr>
          <w:rFonts w:ascii="宋体" w:hAnsi="宋体" w:eastAsia="宋体" w:cs="宋体"/>
          <w:spacing w:val="-2"/>
          <w:sz w:val="24"/>
          <w:szCs w:val="24"/>
        </w:rPr>
        <w:t>北部片区水资源综合利用规划》中的水利工程，符合相关水利规划。</w:t>
      </w:r>
    </w:p>
    <w:p>
      <w:pPr>
        <w:spacing w:line="394" w:lineRule="auto"/>
        <w:rPr>
          <w:rFonts w:ascii="Arial"/>
          <w:sz w:val="21"/>
        </w:rPr>
      </w:pPr>
    </w:p>
    <w:p>
      <w:pPr>
        <w:pStyle w:val="2"/>
        <w:spacing w:before="78" w:line="217" w:lineRule="auto"/>
        <w:ind w:left="35"/>
        <w:outlineLvl w:val="2"/>
        <w:rPr>
          <w:sz w:val="24"/>
          <w:szCs w:val="24"/>
        </w:rPr>
      </w:pPr>
      <w:r>
        <w:rPr>
          <w:rFonts w:ascii="Times New Roman" w:hAnsi="Times New Roman" w:eastAsia="Times New Roman" w:cs="Times New Roman"/>
          <w:b/>
          <w:bCs/>
          <w:sz w:val="24"/>
          <w:szCs w:val="24"/>
        </w:rPr>
        <w:t xml:space="preserve">2.4.4 </w:t>
      </w:r>
      <w:r>
        <w:rPr>
          <w:sz w:val="24"/>
          <w:szCs w:val="24"/>
          <w14:textOutline w14:w="4354" w14:cap="flat" w14:cmpd="sng">
            <w14:solidFill>
              <w14:srgbClr w14:val="000000"/>
            </w14:solidFill>
            <w14:prstDash w14:val="solid"/>
            <w14:miter w14:val="0"/>
          </w14:textOutline>
        </w:rPr>
        <w:t>工程选址选线及布局的环境合理性分析</w:t>
      </w:r>
    </w:p>
    <w:p>
      <w:pPr>
        <w:spacing w:before="184" w:line="221"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）坝址比选</w:t>
      </w:r>
    </w:p>
    <w:p>
      <w:pPr>
        <w:spacing w:before="181" w:line="359" w:lineRule="auto"/>
        <w:ind w:left="39" w:right="36" w:firstLine="480"/>
        <w:rPr>
          <w:rFonts w:ascii="宋体" w:hAnsi="宋体" w:eastAsia="宋体" w:cs="宋体"/>
          <w:sz w:val="24"/>
          <w:szCs w:val="24"/>
        </w:rPr>
      </w:pPr>
      <w:r>
        <w:rPr>
          <w:rFonts w:ascii="宋体" w:hAnsi="宋体" w:eastAsia="宋体" w:cs="宋体"/>
          <w:spacing w:val="-11"/>
          <w:sz w:val="24"/>
          <w:szCs w:val="24"/>
        </w:rPr>
        <w:t>根据可研，</w:t>
      </w:r>
      <w:r>
        <w:rPr>
          <w:rFonts w:ascii="宋体" w:hAnsi="宋体" w:eastAsia="宋体" w:cs="宋体"/>
          <w:spacing w:val="-49"/>
          <w:sz w:val="24"/>
          <w:szCs w:val="24"/>
        </w:rPr>
        <w:t xml:space="preserve"> </w:t>
      </w:r>
      <w:r>
        <w:rPr>
          <w:rFonts w:ascii="宋体" w:hAnsi="宋体" w:eastAsia="宋体" w:cs="宋体"/>
          <w:spacing w:val="-11"/>
          <w:sz w:val="24"/>
          <w:szCs w:val="24"/>
        </w:rPr>
        <w:t>坝段内根据地形地貌粗选有两个坝址可供比较， 即上坝址和下坝址。</w:t>
      </w:r>
      <w:r>
        <w:rPr>
          <w:rFonts w:ascii="宋体" w:hAnsi="宋体" w:eastAsia="宋体" w:cs="宋体"/>
          <w:sz w:val="24"/>
          <w:szCs w:val="24"/>
        </w:rPr>
        <w:t xml:space="preserve"> </w:t>
      </w:r>
      <w:r>
        <w:rPr>
          <w:rFonts w:ascii="宋体" w:hAnsi="宋体" w:eastAsia="宋体" w:cs="宋体"/>
          <w:spacing w:val="2"/>
          <w:sz w:val="24"/>
          <w:szCs w:val="24"/>
        </w:rPr>
        <w:t>根据河段地形条件，上坝址位于大姚县桂花乡皮左黑村委会皮左</w:t>
      </w:r>
      <w:r>
        <w:rPr>
          <w:rFonts w:ascii="宋体" w:hAnsi="宋体" w:eastAsia="宋体" w:cs="宋体"/>
          <w:spacing w:val="1"/>
          <w:sz w:val="24"/>
          <w:szCs w:val="24"/>
        </w:rPr>
        <w:t>黑村下方的桂花河</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上，下坝址距上坝址</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2.3km</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。两处坝址环境比选分析见表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2.4-6</w:t>
      </w:r>
      <w:r>
        <w:rPr>
          <w:rFonts w:ascii="宋体" w:hAnsi="宋体" w:eastAsia="宋体" w:cs="宋体"/>
          <w:spacing w:val="-2"/>
          <w:sz w:val="24"/>
          <w:szCs w:val="24"/>
        </w:rPr>
        <w:t>。</w:t>
      </w:r>
    </w:p>
    <w:p>
      <w:pPr>
        <w:pStyle w:val="2"/>
        <w:spacing w:before="176" w:line="218" w:lineRule="auto"/>
        <w:ind w:left="3208"/>
      </w:pPr>
      <w:r>
        <w:rPr>
          <w:spacing w:val="-1"/>
          <w14:textOutline w14:w="3810" w14:cap="flat" w14:cmpd="sng">
            <w14:solidFill>
              <w14:srgbClr w14:val="000000"/>
            </w14:solidFill>
            <w14:prstDash w14:val="solid"/>
            <w14:miter w14:val="0"/>
          </w14:textOutline>
        </w:rPr>
        <w:t>表</w:t>
      </w:r>
      <w:r>
        <w:rPr>
          <w:spacing w:val="-39"/>
        </w:rPr>
        <w:t xml:space="preserve"> </w:t>
      </w:r>
      <w:r>
        <w:rPr>
          <w:rFonts w:ascii="Times New Roman" w:hAnsi="Times New Roman" w:eastAsia="Times New Roman" w:cs="Times New Roman"/>
          <w:b/>
          <w:bCs/>
          <w:spacing w:val="-1"/>
        </w:rPr>
        <w:t xml:space="preserve">2.4-6    </w:t>
      </w:r>
      <w:r>
        <w:rPr>
          <w:spacing w:val="-1"/>
          <w14:textOutline w14:w="3810" w14:cap="flat" w14:cmpd="sng">
            <w14:solidFill>
              <w14:srgbClr w14:val="000000"/>
            </w14:solidFill>
            <w14:prstDash w14:val="solid"/>
            <w14:miter w14:val="0"/>
          </w14:textOutline>
        </w:rPr>
        <w:t>坝址环境比选方案表</w:t>
      </w:r>
    </w:p>
    <w:p>
      <w:pPr>
        <w:spacing w:line="129" w:lineRule="exact"/>
      </w:pPr>
    </w:p>
    <w:tbl>
      <w:tblPr>
        <w:tblStyle w:val="5"/>
        <w:tblW w:w="8735"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9"/>
        <w:gridCol w:w="3181"/>
        <w:gridCol w:w="3253"/>
        <w:gridCol w:w="1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089" w:type="dxa"/>
            <w:tcBorders>
              <w:left w:val="nil"/>
            </w:tcBorders>
            <w:vAlign w:val="top"/>
          </w:tcPr>
          <w:p>
            <w:pPr>
              <w:spacing w:before="38" w:line="208" w:lineRule="auto"/>
              <w:ind w:left="167"/>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比选内容</w:t>
            </w:r>
          </w:p>
        </w:tc>
        <w:tc>
          <w:tcPr>
            <w:tcW w:w="3181" w:type="dxa"/>
            <w:vAlign w:val="top"/>
          </w:tcPr>
          <w:p>
            <w:pPr>
              <w:spacing w:before="38" w:line="208" w:lineRule="auto"/>
              <w:ind w:left="128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上坝址</w:t>
            </w:r>
          </w:p>
        </w:tc>
        <w:tc>
          <w:tcPr>
            <w:tcW w:w="3253" w:type="dxa"/>
            <w:vAlign w:val="top"/>
          </w:tcPr>
          <w:p>
            <w:pPr>
              <w:spacing w:before="38" w:line="208" w:lineRule="auto"/>
              <w:ind w:left="132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下坝址</w:t>
            </w:r>
          </w:p>
        </w:tc>
        <w:tc>
          <w:tcPr>
            <w:tcW w:w="1212" w:type="dxa"/>
            <w:tcBorders>
              <w:right w:val="nil"/>
            </w:tcBorders>
            <w:vAlign w:val="top"/>
          </w:tcPr>
          <w:p>
            <w:pPr>
              <w:spacing w:before="38" w:line="208" w:lineRule="auto"/>
              <w:ind w:left="219"/>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比选情况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12" w:hRule="atLeast"/>
        </w:trPr>
        <w:tc>
          <w:tcPr>
            <w:tcW w:w="1089" w:type="dxa"/>
            <w:tcBorders>
              <w:left w:val="nil"/>
            </w:tcBorders>
            <w:vAlign w:val="top"/>
          </w:tcPr>
          <w:p>
            <w:pPr>
              <w:spacing w:line="320" w:lineRule="auto"/>
              <w:rPr>
                <w:rFonts w:ascii="Arial"/>
                <w:sz w:val="21"/>
              </w:rPr>
            </w:pPr>
          </w:p>
          <w:p>
            <w:pPr>
              <w:spacing w:line="320" w:lineRule="auto"/>
              <w:rPr>
                <w:rFonts w:ascii="Arial"/>
                <w:sz w:val="21"/>
              </w:rPr>
            </w:pPr>
          </w:p>
          <w:p>
            <w:pPr>
              <w:spacing w:before="68" w:line="234" w:lineRule="auto"/>
              <w:ind w:left="477" w:right="115" w:hanging="333"/>
              <w:rPr>
                <w:rFonts w:ascii="仿宋" w:hAnsi="仿宋" w:eastAsia="仿宋" w:cs="仿宋"/>
                <w:sz w:val="21"/>
                <w:szCs w:val="21"/>
              </w:rPr>
            </w:pPr>
            <w:r>
              <w:rPr>
                <w:rFonts w:ascii="仿宋" w:hAnsi="仿宋" w:eastAsia="仿宋" w:cs="仿宋"/>
                <w:spacing w:val="-4"/>
                <w:sz w:val="21"/>
                <w:szCs w:val="21"/>
              </w:rPr>
              <w:t>环境敏感</w:t>
            </w:r>
            <w:r>
              <w:rPr>
                <w:rFonts w:ascii="仿宋" w:hAnsi="仿宋" w:eastAsia="仿宋" w:cs="仿宋"/>
                <w:spacing w:val="1"/>
                <w:sz w:val="21"/>
                <w:szCs w:val="21"/>
              </w:rPr>
              <w:t xml:space="preserve"> </w:t>
            </w:r>
            <w:r>
              <w:rPr>
                <w:rFonts w:ascii="仿宋" w:hAnsi="仿宋" w:eastAsia="仿宋" w:cs="仿宋"/>
                <w:sz w:val="21"/>
                <w:szCs w:val="21"/>
              </w:rPr>
              <w:t>区</w:t>
            </w:r>
          </w:p>
        </w:tc>
        <w:tc>
          <w:tcPr>
            <w:tcW w:w="3181" w:type="dxa"/>
            <w:vAlign w:val="top"/>
          </w:tcPr>
          <w:p>
            <w:pPr>
              <w:spacing w:before="32" w:line="235" w:lineRule="auto"/>
              <w:ind w:left="130" w:right="118" w:firstLine="5"/>
              <w:rPr>
                <w:rFonts w:ascii="仿宋" w:hAnsi="仿宋" w:eastAsia="仿宋" w:cs="仿宋"/>
                <w:sz w:val="21"/>
                <w:szCs w:val="21"/>
              </w:rPr>
            </w:pPr>
            <w:r>
              <w:rPr>
                <w:rFonts w:ascii="仿宋" w:hAnsi="仿宋" w:eastAsia="仿宋" w:cs="仿宋"/>
                <w:spacing w:val="-4"/>
                <w:sz w:val="21"/>
                <w:szCs w:val="21"/>
              </w:rPr>
              <w:t>不涉及国家公园、自然保护区、</w:t>
            </w:r>
            <w:r>
              <w:rPr>
                <w:rFonts w:ascii="仿宋" w:hAnsi="仿宋" w:eastAsia="仿宋" w:cs="仿宋"/>
                <w:spacing w:val="2"/>
                <w:sz w:val="21"/>
                <w:szCs w:val="21"/>
              </w:rPr>
              <w:t xml:space="preserve"> </w:t>
            </w:r>
            <w:r>
              <w:rPr>
                <w:rFonts w:ascii="仿宋" w:hAnsi="仿宋" w:eastAsia="仿宋" w:cs="仿宋"/>
                <w:spacing w:val="-1"/>
                <w:sz w:val="21"/>
                <w:szCs w:val="21"/>
              </w:rPr>
              <w:t>风景名胜区、世界文化和自然遗</w:t>
            </w:r>
            <w:r>
              <w:rPr>
                <w:rFonts w:ascii="仿宋" w:hAnsi="仿宋" w:eastAsia="仿宋" w:cs="仿宋"/>
                <w:sz w:val="21"/>
                <w:szCs w:val="21"/>
              </w:rPr>
              <w:t xml:space="preserve"> </w:t>
            </w:r>
            <w:r>
              <w:rPr>
                <w:rFonts w:ascii="仿宋" w:hAnsi="仿宋" w:eastAsia="仿宋" w:cs="仿宋"/>
                <w:spacing w:val="-1"/>
                <w:sz w:val="21"/>
                <w:szCs w:val="21"/>
              </w:rPr>
              <w:t>产地、海洋特别保护区、饮用水</w:t>
            </w:r>
            <w:r>
              <w:rPr>
                <w:rFonts w:ascii="仿宋" w:hAnsi="仿宋" w:eastAsia="仿宋" w:cs="仿宋"/>
                <w:sz w:val="21"/>
                <w:szCs w:val="21"/>
              </w:rPr>
              <w:t xml:space="preserve"> </w:t>
            </w:r>
            <w:r>
              <w:rPr>
                <w:rFonts w:ascii="仿宋" w:hAnsi="仿宋" w:eastAsia="仿宋" w:cs="仿宋"/>
                <w:spacing w:val="-1"/>
                <w:sz w:val="21"/>
                <w:szCs w:val="21"/>
              </w:rPr>
              <w:t>水源保护区，不涉及永久基本农</w:t>
            </w:r>
            <w:r>
              <w:rPr>
                <w:rFonts w:ascii="仿宋" w:hAnsi="仿宋" w:eastAsia="仿宋" w:cs="仿宋"/>
                <w:sz w:val="21"/>
                <w:szCs w:val="21"/>
              </w:rPr>
              <w:t xml:space="preserve"> </w:t>
            </w:r>
            <w:r>
              <w:rPr>
                <w:rFonts w:ascii="仿宋" w:hAnsi="仿宋" w:eastAsia="仿宋" w:cs="仿宋"/>
                <w:spacing w:val="-1"/>
                <w:sz w:val="21"/>
                <w:szCs w:val="21"/>
              </w:rPr>
              <w:t>田、基本草原、自然公园（森林</w:t>
            </w:r>
          </w:p>
          <w:p>
            <w:pPr>
              <w:spacing w:before="23" w:line="224" w:lineRule="auto"/>
              <w:ind w:left="191" w:right="171" w:firstLine="153"/>
              <w:rPr>
                <w:rFonts w:ascii="仿宋" w:hAnsi="仿宋" w:eastAsia="仿宋" w:cs="仿宋"/>
                <w:sz w:val="21"/>
                <w:szCs w:val="21"/>
              </w:rPr>
            </w:pPr>
            <w:r>
              <w:rPr>
                <w:rFonts w:ascii="仿宋" w:hAnsi="仿宋" w:eastAsia="仿宋" w:cs="仿宋"/>
                <w:spacing w:val="-2"/>
                <w:sz w:val="21"/>
                <w:szCs w:val="21"/>
              </w:rPr>
              <w:t>公园、地质公园、海洋公园</w:t>
            </w:r>
            <w:r>
              <w:rPr>
                <w:rFonts w:ascii="仿宋" w:hAnsi="仿宋" w:eastAsia="仿宋" w:cs="仿宋"/>
                <w:spacing w:val="2"/>
                <w:sz w:val="21"/>
                <w:szCs w:val="21"/>
              </w:rPr>
              <w:t xml:space="preserve">  </w:t>
            </w:r>
            <w:r>
              <w:rPr>
                <w:rFonts w:ascii="仿宋" w:hAnsi="仿宋" w:eastAsia="仿宋" w:cs="仿宋"/>
                <w:spacing w:val="-10"/>
                <w:sz w:val="21"/>
                <w:szCs w:val="21"/>
              </w:rPr>
              <w:t>等）、重要湿地、天然林，重点</w:t>
            </w:r>
          </w:p>
        </w:tc>
        <w:tc>
          <w:tcPr>
            <w:tcW w:w="3253" w:type="dxa"/>
            <w:vAlign w:val="top"/>
          </w:tcPr>
          <w:p>
            <w:pPr>
              <w:spacing w:before="32" w:line="235" w:lineRule="auto"/>
              <w:ind w:left="166" w:right="154" w:firstLine="5"/>
              <w:rPr>
                <w:rFonts w:ascii="仿宋" w:hAnsi="仿宋" w:eastAsia="仿宋" w:cs="仿宋"/>
                <w:sz w:val="21"/>
                <w:szCs w:val="21"/>
              </w:rPr>
            </w:pPr>
            <w:r>
              <w:rPr>
                <w:rFonts w:ascii="仿宋" w:hAnsi="仿宋" w:eastAsia="仿宋" w:cs="仿宋"/>
                <w:spacing w:val="-15"/>
                <w:sz w:val="21"/>
                <w:szCs w:val="21"/>
              </w:rPr>
              <w:t>不涉及国家公园、</w:t>
            </w:r>
            <w:r>
              <w:rPr>
                <w:rFonts w:ascii="仿宋" w:hAnsi="仿宋" w:eastAsia="仿宋" w:cs="仿宋"/>
                <w:spacing w:val="52"/>
                <w:sz w:val="21"/>
                <w:szCs w:val="21"/>
              </w:rPr>
              <w:t xml:space="preserve"> </w:t>
            </w:r>
            <w:r>
              <w:rPr>
                <w:rFonts w:ascii="仿宋" w:hAnsi="仿宋" w:eastAsia="仿宋" w:cs="仿宋"/>
                <w:spacing w:val="-15"/>
                <w:sz w:val="21"/>
                <w:szCs w:val="21"/>
              </w:rPr>
              <w:t>自然保护区、</w:t>
            </w:r>
            <w:r>
              <w:rPr>
                <w:rFonts w:ascii="仿宋" w:hAnsi="仿宋" w:eastAsia="仿宋" w:cs="仿宋"/>
                <w:sz w:val="21"/>
                <w:szCs w:val="21"/>
              </w:rPr>
              <w:t xml:space="preserve"> </w:t>
            </w:r>
            <w:r>
              <w:rPr>
                <w:rFonts w:ascii="仿宋" w:hAnsi="仿宋" w:eastAsia="仿宋" w:cs="仿宋"/>
                <w:spacing w:val="-1"/>
                <w:sz w:val="21"/>
                <w:szCs w:val="21"/>
              </w:rPr>
              <w:t>风景名胜区、世界文化和自然遗</w:t>
            </w:r>
            <w:r>
              <w:rPr>
                <w:rFonts w:ascii="仿宋" w:hAnsi="仿宋" w:eastAsia="仿宋" w:cs="仿宋"/>
                <w:sz w:val="21"/>
                <w:szCs w:val="21"/>
              </w:rPr>
              <w:t xml:space="preserve"> </w:t>
            </w:r>
            <w:r>
              <w:rPr>
                <w:rFonts w:ascii="仿宋" w:hAnsi="仿宋" w:eastAsia="仿宋" w:cs="仿宋"/>
                <w:spacing w:val="-1"/>
                <w:sz w:val="21"/>
                <w:szCs w:val="21"/>
              </w:rPr>
              <w:t>产地、海洋特别保护区、饮用水</w:t>
            </w:r>
            <w:r>
              <w:rPr>
                <w:rFonts w:ascii="仿宋" w:hAnsi="仿宋" w:eastAsia="仿宋" w:cs="仿宋"/>
                <w:sz w:val="21"/>
                <w:szCs w:val="21"/>
              </w:rPr>
              <w:t xml:space="preserve"> </w:t>
            </w:r>
            <w:r>
              <w:rPr>
                <w:rFonts w:ascii="仿宋" w:hAnsi="仿宋" w:eastAsia="仿宋" w:cs="仿宋"/>
                <w:spacing w:val="-1"/>
                <w:sz w:val="21"/>
                <w:szCs w:val="21"/>
              </w:rPr>
              <w:t>水源保护区，不涉及永久基本农</w:t>
            </w:r>
            <w:r>
              <w:rPr>
                <w:rFonts w:ascii="仿宋" w:hAnsi="仿宋" w:eastAsia="仿宋" w:cs="仿宋"/>
                <w:sz w:val="21"/>
                <w:szCs w:val="21"/>
              </w:rPr>
              <w:t xml:space="preserve"> </w:t>
            </w:r>
            <w:r>
              <w:rPr>
                <w:rFonts w:ascii="仿宋" w:hAnsi="仿宋" w:eastAsia="仿宋" w:cs="仿宋"/>
                <w:spacing w:val="-1"/>
                <w:sz w:val="21"/>
                <w:szCs w:val="21"/>
              </w:rPr>
              <w:t>田、基本草原、自然公园（森林</w:t>
            </w:r>
          </w:p>
          <w:p>
            <w:pPr>
              <w:spacing w:before="23" w:line="224" w:lineRule="auto"/>
              <w:ind w:left="227" w:right="207" w:firstLine="153"/>
              <w:rPr>
                <w:rFonts w:ascii="仿宋" w:hAnsi="仿宋" w:eastAsia="仿宋" w:cs="仿宋"/>
                <w:sz w:val="21"/>
                <w:szCs w:val="21"/>
              </w:rPr>
            </w:pPr>
            <w:r>
              <w:rPr>
                <w:rFonts w:ascii="仿宋" w:hAnsi="仿宋" w:eastAsia="仿宋" w:cs="仿宋"/>
                <w:spacing w:val="-2"/>
                <w:sz w:val="21"/>
                <w:szCs w:val="21"/>
              </w:rPr>
              <w:t>公园、地质公园、海洋公园</w:t>
            </w:r>
            <w:r>
              <w:rPr>
                <w:rFonts w:ascii="仿宋" w:hAnsi="仿宋" w:eastAsia="仿宋" w:cs="仿宋"/>
                <w:spacing w:val="2"/>
                <w:sz w:val="21"/>
                <w:szCs w:val="21"/>
              </w:rPr>
              <w:t xml:space="preserve">  </w:t>
            </w:r>
            <w:r>
              <w:rPr>
                <w:rFonts w:ascii="仿宋" w:hAnsi="仿宋" w:eastAsia="仿宋" w:cs="仿宋"/>
                <w:spacing w:val="-10"/>
                <w:sz w:val="21"/>
                <w:szCs w:val="21"/>
              </w:rPr>
              <w:t>等）、重要湿地、天然林，重点</w:t>
            </w:r>
          </w:p>
        </w:tc>
        <w:tc>
          <w:tcPr>
            <w:tcW w:w="1212" w:type="dxa"/>
            <w:tcBorders>
              <w:right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69" w:line="217" w:lineRule="auto"/>
              <w:ind w:left="409"/>
              <w:rPr>
                <w:rFonts w:ascii="仿宋" w:hAnsi="仿宋" w:eastAsia="仿宋" w:cs="仿宋"/>
                <w:sz w:val="21"/>
                <w:szCs w:val="21"/>
              </w:rPr>
            </w:pPr>
            <w:r>
              <w:rPr>
                <w:rFonts w:ascii="仿宋" w:hAnsi="仿宋" w:eastAsia="仿宋" w:cs="仿宋"/>
                <w:spacing w:val="-4"/>
                <w:sz w:val="21"/>
                <w:szCs w:val="21"/>
              </w:rPr>
              <w:t>相同</w:t>
            </w:r>
          </w:p>
        </w:tc>
      </w:tr>
    </w:tbl>
    <w:p>
      <w:pPr>
        <w:spacing w:line="168" w:lineRule="exact"/>
        <w:rPr>
          <w:rFonts w:ascii="Arial"/>
          <w:sz w:val="14"/>
        </w:rPr>
      </w:pPr>
    </w:p>
    <w:p>
      <w:pPr>
        <w:spacing w:line="168" w:lineRule="exact"/>
        <w:rPr>
          <w:rFonts w:ascii="Arial" w:hAnsi="Arial" w:eastAsia="Arial" w:cs="Arial"/>
          <w:sz w:val="14"/>
          <w:szCs w:val="14"/>
        </w:rPr>
        <w:sectPr>
          <w:headerReference r:id="rId142" w:type="default"/>
          <w:footerReference r:id="rId143" w:type="default"/>
          <w:pgSz w:w="11920" w:h="16840"/>
          <w:pgMar w:top="1183" w:right="1508" w:bottom="1358" w:left="1629" w:header="908" w:footer="1195" w:gutter="0"/>
        </w:sectPr>
      </w:pPr>
    </w:p>
    <w:tbl>
      <w:tblPr>
        <w:tblStyle w:val="5"/>
        <w:tblW w:w="8735"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9"/>
        <w:gridCol w:w="3181"/>
        <w:gridCol w:w="3253"/>
        <w:gridCol w:w="12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1089" w:type="dxa"/>
            <w:tcBorders>
              <w:left w:val="nil"/>
            </w:tcBorders>
            <w:vAlign w:val="top"/>
          </w:tcPr>
          <w:p>
            <w:pPr>
              <w:spacing w:before="36" w:line="209" w:lineRule="auto"/>
              <w:ind w:left="167"/>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比选内容</w:t>
            </w:r>
          </w:p>
        </w:tc>
        <w:tc>
          <w:tcPr>
            <w:tcW w:w="3181" w:type="dxa"/>
            <w:vAlign w:val="top"/>
          </w:tcPr>
          <w:p>
            <w:pPr>
              <w:spacing w:before="36" w:line="209" w:lineRule="auto"/>
              <w:ind w:left="128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上坝址</w:t>
            </w:r>
          </w:p>
        </w:tc>
        <w:tc>
          <w:tcPr>
            <w:tcW w:w="3253" w:type="dxa"/>
            <w:vAlign w:val="top"/>
          </w:tcPr>
          <w:p>
            <w:pPr>
              <w:spacing w:before="36" w:line="209" w:lineRule="auto"/>
              <w:ind w:left="132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下坝址</w:t>
            </w:r>
          </w:p>
        </w:tc>
        <w:tc>
          <w:tcPr>
            <w:tcW w:w="1212" w:type="dxa"/>
            <w:tcBorders>
              <w:right w:val="nil"/>
            </w:tcBorders>
            <w:vAlign w:val="top"/>
          </w:tcPr>
          <w:p>
            <w:pPr>
              <w:spacing w:before="36" w:line="209" w:lineRule="auto"/>
              <w:ind w:left="219"/>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比选情况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5" w:hRule="atLeast"/>
        </w:trPr>
        <w:tc>
          <w:tcPr>
            <w:tcW w:w="1089" w:type="dxa"/>
            <w:tcBorders>
              <w:left w:val="nil"/>
            </w:tcBorders>
            <w:vAlign w:val="top"/>
          </w:tcPr>
          <w:p>
            <w:pPr>
              <w:rPr>
                <w:rFonts w:ascii="Arial"/>
                <w:sz w:val="21"/>
              </w:rPr>
            </w:pPr>
          </w:p>
        </w:tc>
        <w:tc>
          <w:tcPr>
            <w:tcW w:w="3181" w:type="dxa"/>
            <w:vAlign w:val="top"/>
          </w:tcPr>
          <w:p>
            <w:pPr>
              <w:spacing w:before="32" w:line="228" w:lineRule="auto"/>
              <w:ind w:left="131" w:right="118"/>
              <w:rPr>
                <w:rFonts w:ascii="仿宋" w:hAnsi="仿宋" w:eastAsia="仿宋" w:cs="仿宋"/>
                <w:sz w:val="21"/>
                <w:szCs w:val="21"/>
              </w:rPr>
            </w:pPr>
            <w:r>
              <w:rPr>
                <w:rFonts w:ascii="仿宋" w:hAnsi="仿宋" w:eastAsia="仿宋" w:cs="仿宋"/>
                <w:spacing w:val="-2"/>
                <w:sz w:val="21"/>
                <w:szCs w:val="21"/>
              </w:rPr>
              <w:t>保护野生动物栖息地，重点保护</w:t>
            </w:r>
            <w:r>
              <w:rPr>
                <w:rFonts w:ascii="仿宋" w:hAnsi="仿宋" w:eastAsia="仿宋" w:cs="仿宋"/>
                <w:spacing w:val="12"/>
                <w:sz w:val="21"/>
                <w:szCs w:val="21"/>
              </w:rPr>
              <w:t xml:space="preserve"> </w:t>
            </w:r>
            <w:r>
              <w:rPr>
                <w:rFonts w:ascii="仿宋" w:hAnsi="仿宋" w:eastAsia="仿宋" w:cs="仿宋"/>
                <w:spacing w:val="-1"/>
                <w:sz w:val="21"/>
                <w:szCs w:val="21"/>
              </w:rPr>
              <w:t>野生植物生长繁殖地，重要水生</w:t>
            </w:r>
          </w:p>
          <w:p>
            <w:pPr>
              <w:spacing w:before="26" w:line="223" w:lineRule="auto"/>
              <w:ind w:left="237" w:right="118" w:hanging="94"/>
              <w:rPr>
                <w:rFonts w:ascii="仿宋" w:hAnsi="仿宋" w:eastAsia="仿宋" w:cs="仿宋"/>
                <w:sz w:val="21"/>
                <w:szCs w:val="21"/>
              </w:rPr>
            </w:pPr>
            <w:r>
              <w:rPr>
                <w:rFonts w:ascii="仿宋" w:hAnsi="仿宋" w:eastAsia="仿宋" w:cs="仿宋"/>
                <w:spacing w:val="-2"/>
                <w:sz w:val="21"/>
                <w:szCs w:val="21"/>
              </w:rPr>
              <w:t>生物的自然产卵场、索饵场、越</w:t>
            </w:r>
            <w:r>
              <w:rPr>
                <w:rFonts w:ascii="仿宋" w:hAnsi="仿宋" w:eastAsia="仿宋" w:cs="仿宋"/>
                <w:sz w:val="21"/>
                <w:szCs w:val="21"/>
              </w:rPr>
              <w:t xml:space="preserve"> </w:t>
            </w:r>
            <w:r>
              <w:rPr>
                <w:rFonts w:ascii="仿宋" w:hAnsi="仿宋" w:eastAsia="仿宋" w:cs="仿宋"/>
                <w:spacing w:val="-3"/>
                <w:sz w:val="21"/>
                <w:szCs w:val="21"/>
              </w:rPr>
              <w:t>冬场和洄游通道，天然渔场。</w:t>
            </w:r>
          </w:p>
        </w:tc>
        <w:tc>
          <w:tcPr>
            <w:tcW w:w="3253" w:type="dxa"/>
            <w:vAlign w:val="top"/>
          </w:tcPr>
          <w:p>
            <w:pPr>
              <w:spacing w:before="32" w:line="228" w:lineRule="auto"/>
              <w:ind w:left="167" w:right="154"/>
              <w:rPr>
                <w:rFonts w:ascii="仿宋" w:hAnsi="仿宋" w:eastAsia="仿宋" w:cs="仿宋"/>
                <w:sz w:val="21"/>
                <w:szCs w:val="21"/>
              </w:rPr>
            </w:pPr>
            <w:r>
              <w:rPr>
                <w:rFonts w:ascii="仿宋" w:hAnsi="仿宋" w:eastAsia="仿宋" w:cs="仿宋"/>
                <w:spacing w:val="-2"/>
                <w:sz w:val="21"/>
                <w:szCs w:val="21"/>
              </w:rPr>
              <w:t>保护野生动物栖息地，重点保护</w:t>
            </w:r>
            <w:r>
              <w:rPr>
                <w:rFonts w:ascii="仿宋" w:hAnsi="仿宋" w:eastAsia="仿宋" w:cs="仿宋"/>
                <w:spacing w:val="12"/>
                <w:sz w:val="21"/>
                <w:szCs w:val="21"/>
              </w:rPr>
              <w:t xml:space="preserve"> </w:t>
            </w:r>
            <w:r>
              <w:rPr>
                <w:rFonts w:ascii="仿宋" w:hAnsi="仿宋" w:eastAsia="仿宋" w:cs="仿宋"/>
                <w:spacing w:val="-1"/>
                <w:sz w:val="21"/>
                <w:szCs w:val="21"/>
              </w:rPr>
              <w:t>野生植物生长繁殖地，重要水生</w:t>
            </w:r>
          </w:p>
          <w:p>
            <w:pPr>
              <w:spacing w:before="26" w:line="223" w:lineRule="auto"/>
              <w:ind w:left="273" w:right="154" w:hanging="94"/>
              <w:rPr>
                <w:rFonts w:ascii="仿宋" w:hAnsi="仿宋" w:eastAsia="仿宋" w:cs="仿宋"/>
                <w:sz w:val="21"/>
                <w:szCs w:val="21"/>
              </w:rPr>
            </w:pPr>
            <w:r>
              <w:rPr>
                <w:rFonts w:ascii="仿宋" w:hAnsi="仿宋" w:eastAsia="仿宋" w:cs="仿宋"/>
                <w:spacing w:val="-2"/>
                <w:sz w:val="21"/>
                <w:szCs w:val="21"/>
              </w:rPr>
              <w:t>生物的自然产卵场、索饵场、越</w:t>
            </w:r>
            <w:r>
              <w:rPr>
                <w:rFonts w:ascii="仿宋" w:hAnsi="仿宋" w:eastAsia="仿宋" w:cs="仿宋"/>
                <w:sz w:val="21"/>
                <w:szCs w:val="21"/>
              </w:rPr>
              <w:t xml:space="preserve"> </w:t>
            </w:r>
            <w:r>
              <w:rPr>
                <w:rFonts w:ascii="仿宋" w:hAnsi="仿宋" w:eastAsia="仿宋" w:cs="仿宋"/>
                <w:spacing w:val="-4"/>
                <w:sz w:val="21"/>
                <w:szCs w:val="21"/>
              </w:rPr>
              <w:t>冬场和洄游通道，天然渔场。</w:t>
            </w:r>
          </w:p>
        </w:tc>
        <w:tc>
          <w:tcPr>
            <w:tcW w:w="1212"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089" w:type="dxa"/>
            <w:tcBorders>
              <w:left w:val="nil"/>
            </w:tcBorders>
            <w:vAlign w:val="top"/>
          </w:tcPr>
          <w:p>
            <w:pPr>
              <w:spacing w:before="166" w:line="219" w:lineRule="auto"/>
              <w:ind w:left="149"/>
              <w:rPr>
                <w:rFonts w:ascii="仿宋" w:hAnsi="仿宋" w:eastAsia="仿宋" w:cs="仿宋"/>
                <w:sz w:val="21"/>
                <w:szCs w:val="21"/>
              </w:rPr>
            </w:pPr>
            <w:r>
              <w:rPr>
                <w:rFonts w:ascii="仿宋" w:hAnsi="仿宋" w:eastAsia="仿宋" w:cs="仿宋"/>
                <w:spacing w:val="-4"/>
                <w:sz w:val="21"/>
                <w:szCs w:val="21"/>
              </w:rPr>
              <w:t>工程占地</w:t>
            </w:r>
          </w:p>
        </w:tc>
        <w:tc>
          <w:tcPr>
            <w:tcW w:w="3181" w:type="dxa"/>
            <w:vAlign w:val="top"/>
          </w:tcPr>
          <w:p>
            <w:pPr>
              <w:pStyle w:val="6"/>
              <w:spacing w:before="167" w:line="218" w:lineRule="auto"/>
              <w:ind w:left="438"/>
              <w:rPr>
                <w:rFonts w:ascii="仿宋" w:hAnsi="仿宋" w:eastAsia="仿宋" w:cs="仿宋"/>
              </w:rPr>
            </w:pPr>
            <w:r>
              <w:rPr>
                <w:rFonts w:ascii="仿宋" w:hAnsi="仿宋" w:eastAsia="仿宋" w:cs="仿宋"/>
                <w:spacing w:val="-2"/>
              </w:rPr>
              <w:t>库区永久占地</w:t>
            </w:r>
            <w:r>
              <w:rPr>
                <w:rFonts w:ascii="仿宋" w:hAnsi="仿宋" w:eastAsia="仿宋" w:cs="仿宋"/>
                <w:spacing w:val="-41"/>
              </w:rPr>
              <w:t xml:space="preserve"> </w:t>
            </w:r>
            <w:r>
              <w:rPr>
                <w:spacing w:val="-2"/>
              </w:rPr>
              <w:t>49.98hm</w:t>
            </w:r>
            <w:r>
              <w:rPr>
                <w:spacing w:val="-2"/>
                <w:position w:val="7"/>
                <w:sz w:val="14"/>
                <w:szCs w:val="14"/>
              </w:rPr>
              <w:t>2</w:t>
            </w:r>
            <w:r>
              <w:rPr>
                <w:rFonts w:ascii="仿宋" w:hAnsi="仿宋" w:eastAsia="仿宋" w:cs="仿宋"/>
                <w:spacing w:val="-2"/>
              </w:rPr>
              <w:t>。</w:t>
            </w:r>
          </w:p>
        </w:tc>
        <w:tc>
          <w:tcPr>
            <w:tcW w:w="3253" w:type="dxa"/>
            <w:vAlign w:val="top"/>
          </w:tcPr>
          <w:p>
            <w:pPr>
              <w:pStyle w:val="6"/>
              <w:spacing w:before="167" w:line="232" w:lineRule="auto"/>
              <w:ind w:left="527"/>
              <w:rPr>
                <w:rFonts w:ascii="仿宋" w:hAnsi="仿宋" w:eastAsia="仿宋" w:cs="仿宋"/>
              </w:rPr>
            </w:pPr>
            <w:r>
              <w:rPr>
                <w:rFonts w:ascii="仿宋" w:hAnsi="仿宋" w:eastAsia="仿宋" w:cs="仿宋"/>
                <w:spacing w:val="-2"/>
              </w:rPr>
              <w:t>库区永久占地</w:t>
            </w:r>
            <w:r>
              <w:rPr>
                <w:rFonts w:ascii="仿宋" w:hAnsi="仿宋" w:eastAsia="仿宋" w:cs="仿宋"/>
                <w:spacing w:val="-42"/>
              </w:rPr>
              <w:t xml:space="preserve"> </w:t>
            </w:r>
            <w:r>
              <w:rPr>
                <w:spacing w:val="-2"/>
              </w:rPr>
              <w:t>55.2hm</w:t>
            </w:r>
            <w:r>
              <w:rPr>
                <w:spacing w:val="-2"/>
                <w:position w:val="7"/>
                <w:sz w:val="14"/>
                <w:szCs w:val="14"/>
              </w:rPr>
              <w:t>2</w:t>
            </w:r>
            <w:r>
              <w:rPr>
                <w:rFonts w:ascii="仿宋" w:hAnsi="仿宋" w:eastAsia="仿宋" w:cs="仿宋"/>
                <w:spacing w:val="-2"/>
              </w:rPr>
              <w:t>。</w:t>
            </w:r>
          </w:p>
        </w:tc>
        <w:tc>
          <w:tcPr>
            <w:tcW w:w="1212" w:type="dxa"/>
            <w:tcBorders>
              <w:right w:val="nil"/>
            </w:tcBorders>
            <w:vAlign w:val="top"/>
          </w:tcPr>
          <w:p>
            <w:pPr>
              <w:spacing w:before="31" w:line="223" w:lineRule="auto"/>
              <w:ind w:left="511" w:right="185" w:hanging="312"/>
              <w:rPr>
                <w:rFonts w:ascii="仿宋" w:hAnsi="仿宋" w:eastAsia="仿宋" w:cs="仿宋"/>
                <w:sz w:val="21"/>
                <w:szCs w:val="21"/>
              </w:rPr>
            </w:pPr>
            <w:r>
              <w:rPr>
                <w:rFonts w:ascii="仿宋" w:hAnsi="仿宋" w:eastAsia="仿宋" w:cs="仿宋"/>
                <w:spacing w:val="-4"/>
                <w:sz w:val="21"/>
                <w:szCs w:val="21"/>
              </w:rPr>
              <w:t>上坝址最</w:t>
            </w:r>
            <w:r>
              <w:rPr>
                <w:rFonts w:ascii="仿宋" w:hAnsi="仿宋" w:eastAsia="仿宋" w:cs="仿宋"/>
                <w:sz w:val="21"/>
                <w:szCs w:val="21"/>
              </w:rPr>
              <w:t xml:space="preserve"> 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1089" w:type="dxa"/>
            <w:tcBorders>
              <w:left w:val="nil"/>
            </w:tcBorders>
            <w:vAlign w:val="top"/>
          </w:tcPr>
          <w:p>
            <w:pPr>
              <w:spacing w:before="168" w:line="220" w:lineRule="auto"/>
              <w:ind w:left="146"/>
              <w:rPr>
                <w:rFonts w:ascii="仿宋" w:hAnsi="仿宋" w:eastAsia="仿宋" w:cs="仿宋"/>
                <w:sz w:val="21"/>
                <w:szCs w:val="21"/>
              </w:rPr>
            </w:pPr>
            <w:r>
              <w:rPr>
                <w:rFonts w:ascii="仿宋" w:hAnsi="仿宋" w:eastAsia="仿宋" w:cs="仿宋"/>
                <w:spacing w:val="-3"/>
                <w:sz w:val="21"/>
                <w:szCs w:val="21"/>
              </w:rPr>
              <w:t>搬迁安置</w:t>
            </w:r>
          </w:p>
        </w:tc>
        <w:tc>
          <w:tcPr>
            <w:tcW w:w="3181" w:type="dxa"/>
            <w:vAlign w:val="top"/>
          </w:tcPr>
          <w:p>
            <w:pPr>
              <w:spacing w:before="168" w:line="220" w:lineRule="auto"/>
              <w:ind w:left="1079"/>
              <w:rPr>
                <w:rFonts w:ascii="仿宋" w:hAnsi="仿宋" w:eastAsia="仿宋" w:cs="仿宋"/>
                <w:sz w:val="21"/>
                <w:szCs w:val="21"/>
              </w:rPr>
            </w:pPr>
            <w:r>
              <w:rPr>
                <w:rFonts w:ascii="仿宋" w:hAnsi="仿宋" w:eastAsia="仿宋" w:cs="仿宋"/>
                <w:spacing w:val="-4"/>
                <w:sz w:val="21"/>
                <w:szCs w:val="21"/>
              </w:rPr>
              <w:t>无搬迁人口</w:t>
            </w:r>
          </w:p>
        </w:tc>
        <w:tc>
          <w:tcPr>
            <w:tcW w:w="3253" w:type="dxa"/>
            <w:vAlign w:val="top"/>
          </w:tcPr>
          <w:p>
            <w:pPr>
              <w:pStyle w:val="6"/>
              <w:spacing w:before="168" w:line="220" w:lineRule="auto"/>
              <w:ind w:left="1009"/>
              <w:rPr>
                <w:rFonts w:ascii="仿宋" w:hAnsi="仿宋" w:eastAsia="仿宋" w:cs="仿宋"/>
              </w:rPr>
            </w:pPr>
            <w:r>
              <w:rPr>
                <w:rFonts w:ascii="仿宋" w:hAnsi="仿宋" w:eastAsia="仿宋" w:cs="仿宋"/>
                <w:spacing w:val="-5"/>
              </w:rPr>
              <w:t>搬迁人口</w:t>
            </w:r>
            <w:r>
              <w:rPr>
                <w:rFonts w:ascii="仿宋" w:hAnsi="仿宋" w:eastAsia="仿宋" w:cs="仿宋"/>
                <w:spacing w:val="-39"/>
              </w:rPr>
              <w:t xml:space="preserve"> </w:t>
            </w:r>
            <w:r>
              <w:rPr>
                <w:spacing w:val="-5"/>
              </w:rPr>
              <w:t>6</w:t>
            </w:r>
            <w:r>
              <w:rPr>
                <w:spacing w:val="17"/>
              </w:rPr>
              <w:t xml:space="preserve"> </w:t>
            </w:r>
            <w:r>
              <w:rPr>
                <w:rFonts w:ascii="仿宋" w:hAnsi="仿宋" w:eastAsia="仿宋" w:cs="仿宋"/>
                <w:spacing w:val="-5"/>
              </w:rPr>
              <w:t>人</w:t>
            </w:r>
          </w:p>
        </w:tc>
        <w:tc>
          <w:tcPr>
            <w:tcW w:w="1212" w:type="dxa"/>
            <w:tcBorders>
              <w:right w:val="nil"/>
            </w:tcBorders>
            <w:vAlign w:val="top"/>
          </w:tcPr>
          <w:p>
            <w:pPr>
              <w:spacing w:before="31" w:line="223" w:lineRule="auto"/>
              <w:ind w:left="511" w:right="185" w:hanging="312"/>
              <w:rPr>
                <w:rFonts w:ascii="仿宋" w:hAnsi="仿宋" w:eastAsia="仿宋" w:cs="仿宋"/>
                <w:sz w:val="21"/>
                <w:szCs w:val="21"/>
              </w:rPr>
            </w:pPr>
            <w:r>
              <w:rPr>
                <w:rFonts w:ascii="仿宋" w:hAnsi="仿宋" w:eastAsia="仿宋" w:cs="仿宋"/>
                <w:spacing w:val="-4"/>
                <w:sz w:val="21"/>
                <w:szCs w:val="21"/>
              </w:rPr>
              <w:t>上坝址最</w:t>
            </w:r>
            <w:r>
              <w:rPr>
                <w:rFonts w:ascii="仿宋" w:hAnsi="仿宋" w:eastAsia="仿宋" w:cs="仿宋"/>
                <w:sz w:val="21"/>
                <w:szCs w:val="21"/>
              </w:rPr>
              <w:t xml:space="preserve"> 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1089" w:type="dxa"/>
            <w:tcBorders>
              <w:left w:val="nil"/>
            </w:tcBorders>
            <w:vAlign w:val="top"/>
          </w:tcPr>
          <w:p>
            <w:pPr>
              <w:spacing w:before="169" w:line="231" w:lineRule="auto"/>
              <w:ind w:left="463" w:right="115" w:hanging="301"/>
              <w:rPr>
                <w:rFonts w:ascii="仿宋" w:hAnsi="仿宋" w:eastAsia="仿宋" w:cs="仿宋"/>
                <w:sz w:val="21"/>
                <w:szCs w:val="21"/>
              </w:rPr>
            </w:pPr>
            <w:r>
              <w:rPr>
                <w:rFonts w:ascii="仿宋" w:hAnsi="仿宋" w:eastAsia="仿宋" w:cs="仿宋"/>
                <w:spacing w:val="-8"/>
                <w:sz w:val="21"/>
                <w:szCs w:val="21"/>
              </w:rPr>
              <w:t>区域污染</w:t>
            </w:r>
            <w:r>
              <w:rPr>
                <w:rFonts w:ascii="仿宋" w:hAnsi="仿宋" w:eastAsia="仿宋" w:cs="仿宋"/>
                <w:sz w:val="21"/>
                <w:szCs w:val="21"/>
              </w:rPr>
              <w:t xml:space="preserve"> 源</w:t>
            </w:r>
          </w:p>
        </w:tc>
        <w:tc>
          <w:tcPr>
            <w:tcW w:w="3181" w:type="dxa"/>
            <w:vAlign w:val="top"/>
          </w:tcPr>
          <w:p>
            <w:pPr>
              <w:spacing w:before="32" w:line="217" w:lineRule="auto"/>
              <w:ind w:left="138"/>
              <w:rPr>
                <w:rFonts w:ascii="仿宋" w:hAnsi="仿宋" w:eastAsia="仿宋" w:cs="仿宋"/>
                <w:sz w:val="21"/>
                <w:szCs w:val="21"/>
              </w:rPr>
            </w:pPr>
            <w:r>
              <w:rPr>
                <w:rFonts w:ascii="仿宋" w:hAnsi="仿宋" w:eastAsia="仿宋" w:cs="仿宋"/>
                <w:spacing w:val="-2"/>
                <w:sz w:val="21"/>
                <w:szCs w:val="21"/>
              </w:rPr>
              <w:t>汇水面积较下游坝址小，流域内</w:t>
            </w:r>
          </w:p>
          <w:p>
            <w:pPr>
              <w:spacing w:before="24" w:line="223" w:lineRule="auto"/>
              <w:ind w:left="1080" w:right="118" w:hanging="949"/>
              <w:rPr>
                <w:rFonts w:ascii="仿宋" w:hAnsi="仿宋" w:eastAsia="仿宋" w:cs="仿宋"/>
                <w:sz w:val="21"/>
                <w:szCs w:val="21"/>
              </w:rPr>
            </w:pPr>
            <w:r>
              <w:rPr>
                <w:rFonts w:ascii="仿宋" w:hAnsi="仿宋" w:eastAsia="仿宋" w:cs="仿宋"/>
                <w:spacing w:val="-8"/>
                <w:sz w:val="21"/>
                <w:szCs w:val="21"/>
              </w:rPr>
              <w:t>耕地面积较下游坝址小， 农业面</w:t>
            </w:r>
            <w:r>
              <w:rPr>
                <w:rFonts w:ascii="仿宋" w:hAnsi="仿宋" w:eastAsia="仿宋" w:cs="仿宋"/>
                <w:sz w:val="21"/>
                <w:szCs w:val="21"/>
              </w:rPr>
              <w:t xml:space="preserve"> </w:t>
            </w:r>
            <w:r>
              <w:rPr>
                <w:rFonts w:ascii="仿宋" w:hAnsi="仿宋" w:eastAsia="仿宋" w:cs="仿宋"/>
                <w:spacing w:val="-7"/>
                <w:sz w:val="21"/>
                <w:szCs w:val="21"/>
              </w:rPr>
              <w:t>源污染小。</w:t>
            </w:r>
          </w:p>
        </w:tc>
        <w:tc>
          <w:tcPr>
            <w:tcW w:w="3253" w:type="dxa"/>
            <w:vAlign w:val="top"/>
          </w:tcPr>
          <w:p>
            <w:pPr>
              <w:spacing w:before="32" w:line="217" w:lineRule="auto"/>
              <w:ind w:left="174"/>
              <w:rPr>
                <w:rFonts w:ascii="仿宋" w:hAnsi="仿宋" w:eastAsia="仿宋" w:cs="仿宋"/>
                <w:sz w:val="21"/>
                <w:szCs w:val="21"/>
              </w:rPr>
            </w:pPr>
            <w:r>
              <w:rPr>
                <w:rFonts w:ascii="仿宋" w:hAnsi="仿宋" w:eastAsia="仿宋" w:cs="仿宋"/>
                <w:spacing w:val="-2"/>
                <w:sz w:val="21"/>
                <w:szCs w:val="21"/>
              </w:rPr>
              <w:t>汇水面积较上游坝址大，流域内</w:t>
            </w:r>
          </w:p>
          <w:p>
            <w:pPr>
              <w:spacing w:before="24" w:line="223" w:lineRule="auto"/>
              <w:ind w:left="1117" w:right="154" w:hanging="950"/>
              <w:rPr>
                <w:rFonts w:ascii="仿宋" w:hAnsi="仿宋" w:eastAsia="仿宋" w:cs="仿宋"/>
                <w:sz w:val="21"/>
                <w:szCs w:val="21"/>
              </w:rPr>
            </w:pPr>
            <w:r>
              <w:rPr>
                <w:rFonts w:ascii="仿宋" w:hAnsi="仿宋" w:eastAsia="仿宋" w:cs="仿宋"/>
                <w:spacing w:val="-1"/>
                <w:sz w:val="21"/>
                <w:szCs w:val="21"/>
              </w:rPr>
              <w:t>耕地面积较上游坝址大，农业面</w:t>
            </w:r>
            <w:r>
              <w:rPr>
                <w:rFonts w:ascii="仿宋" w:hAnsi="仿宋" w:eastAsia="仿宋" w:cs="仿宋"/>
                <w:sz w:val="21"/>
                <w:szCs w:val="21"/>
              </w:rPr>
              <w:t xml:space="preserve"> </w:t>
            </w:r>
            <w:r>
              <w:rPr>
                <w:rFonts w:ascii="仿宋" w:hAnsi="仿宋" w:eastAsia="仿宋" w:cs="仿宋"/>
                <w:spacing w:val="-4"/>
                <w:sz w:val="21"/>
                <w:szCs w:val="21"/>
              </w:rPr>
              <w:t>源污染大。</w:t>
            </w:r>
          </w:p>
        </w:tc>
        <w:tc>
          <w:tcPr>
            <w:tcW w:w="1212" w:type="dxa"/>
            <w:tcBorders>
              <w:right w:val="nil"/>
            </w:tcBorders>
            <w:vAlign w:val="top"/>
          </w:tcPr>
          <w:p>
            <w:pPr>
              <w:spacing w:before="168" w:line="229" w:lineRule="auto"/>
              <w:ind w:left="511" w:right="185" w:hanging="312"/>
              <w:rPr>
                <w:rFonts w:ascii="仿宋" w:hAnsi="仿宋" w:eastAsia="仿宋" w:cs="仿宋"/>
                <w:sz w:val="21"/>
                <w:szCs w:val="21"/>
              </w:rPr>
            </w:pPr>
            <w:r>
              <w:rPr>
                <w:rFonts w:ascii="仿宋" w:hAnsi="仿宋" w:eastAsia="仿宋" w:cs="仿宋"/>
                <w:spacing w:val="-4"/>
                <w:sz w:val="21"/>
                <w:szCs w:val="21"/>
              </w:rPr>
              <w:t>上坝址最</w:t>
            </w:r>
            <w:r>
              <w:rPr>
                <w:rFonts w:ascii="仿宋" w:hAnsi="仿宋" w:eastAsia="仿宋" w:cs="仿宋"/>
                <w:sz w:val="21"/>
                <w:szCs w:val="21"/>
              </w:rPr>
              <w:t xml:space="preserve"> 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5" w:hRule="atLeast"/>
        </w:trPr>
        <w:tc>
          <w:tcPr>
            <w:tcW w:w="1089" w:type="dxa"/>
            <w:tcBorders>
              <w:left w:val="nil"/>
            </w:tcBorders>
            <w:vAlign w:val="top"/>
          </w:tcPr>
          <w:p>
            <w:pPr>
              <w:spacing w:line="253" w:lineRule="auto"/>
              <w:rPr>
                <w:rFonts w:ascii="Arial"/>
                <w:sz w:val="21"/>
              </w:rPr>
            </w:pPr>
          </w:p>
          <w:p>
            <w:pPr>
              <w:spacing w:line="253" w:lineRule="auto"/>
              <w:rPr>
                <w:rFonts w:ascii="Arial"/>
                <w:sz w:val="21"/>
              </w:rPr>
            </w:pPr>
          </w:p>
          <w:p>
            <w:pPr>
              <w:spacing w:before="68" w:line="219" w:lineRule="auto"/>
              <w:ind w:left="146"/>
              <w:rPr>
                <w:rFonts w:ascii="仿宋" w:hAnsi="仿宋" w:eastAsia="仿宋" w:cs="仿宋"/>
                <w:sz w:val="21"/>
                <w:szCs w:val="21"/>
              </w:rPr>
            </w:pPr>
            <w:r>
              <w:rPr>
                <w:rFonts w:ascii="仿宋" w:hAnsi="仿宋" w:eastAsia="仿宋" w:cs="仿宋"/>
                <w:spacing w:val="-3"/>
                <w:sz w:val="21"/>
                <w:szCs w:val="21"/>
              </w:rPr>
              <w:t>输水管道</w:t>
            </w:r>
          </w:p>
        </w:tc>
        <w:tc>
          <w:tcPr>
            <w:tcW w:w="3181" w:type="dxa"/>
            <w:vAlign w:val="top"/>
          </w:tcPr>
          <w:p>
            <w:pPr>
              <w:spacing w:line="371" w:lineRule="auto"/>
              <w:rPr>
                <w:rFonts w:ascii="Arial"/>
                <w:sz w:val="21"/>
              </w:rPr>
            </w:pPr>
          </w:p>
          <w:p>
            <w:pPr>
              <w:pStyle w:val="6"/>
              <w:spacing w:before="68" w:line="226" w:lineRule="auto"/>
              <w:ind w:left="1082" w:right="404" w:hanging="665"/>
              <w:rPr>
                <w:rFonts w:ascii="仿宋" w:hAnsi="仿宋" w:eastAsia="仿宋" w:cs="仿宋"/>
              </w:rPr>
            </w:pPr>
            <w:r>
              <w:rPr>
                <w:rFonts w:ascii="仿宋" w:hAnsi="仿宋" w:eastAsia="仿宋" w:cs="仿宋"/>
                <w:spacing w:val="-4"/>
              </w:rPr>
              <w:t>长度</w:t>
            </w:r>
            <w:r>
              <w:rPr>
                <w:rFonts w:ascii="仿宋" w:hAnsi="仿宋" w:eastAsia="仿宋" w:cs="仿宋"/>
                <w:spacing w:val="-37"/>
              </w:rPr>
              <w:t xml:space="preserve"> </w:t>
            </w:r>
            <w:r>
              <w:rPr>
                <w:spacing w:val="-4"/>
              </w:rPr>
              <w:t>26.944km</w:t>
            </w:r>
            <w:r>
              <w:rPr>
                <w:spacing w:val="-24"/>
              </w:rPr>
              <w:t xml:space="preserve"> </w:t>
            </w:r>
            <w:r>
              <w:rPr>
                <w:rFonts w:ascii="仿宋" w:hAnsi="仿宋" w:eastAsia="仿宋" w:cs="仿宋"/>
                <w:spacing w:val="-4"/>
              </w:rPr>
              <w:t>，隧洞长度</w:t>
            </w:r>
            <w:r>
              <w:rPr>
                <w:rFonts w:ascii="仿宋" w:hAnsi="仿宋" w:eastAsia="仿宋" w:cs="仿宋"/>
              </w:rPr>
              <w:t xml:space="preserve"> </w:t>
            </w:r>
            <w:r>
              <w:rPr>
                <w:spacing w:val="-3"/>
              </w:rPr>
              <w:t>15.084km</w:t>
            </w:r>
            <w:r>
              <w:rPr>
                <w:rFonts w:ascii="仿宋" w:hAnsi="仿宋" w:eastAsia="仿宋" w:cs="仿宋"/>
                <w:spacing w:val="-3"/>
              </w:rPr>
              <w:t>。</w:t>
            </w:r>
          </w:p>
        </w:tc>
        <w:tc>
          <w:tcPr>
            <w:tcW w:w="3253" w:type="dxa"/>
            <w:vAlign w:val="top"/>
          </w:tcPr>
          <w:p>
            <w:pPr>
              <w:pStyle w:val="6"/>
              <w:spacing w:before="35" w:line="232" w:lineRule="auto"/>
              <w:ind w:left="138" w:right="124" w:firstLine="83"/>
              <w:rPr>
                <w:rFonts w:ascii="仿宋" w:hAnsi="仿宋" w:eastAsia="仿宋" w:cs="仿宋"/>
              </w:rPr>
            </w:pPr>
            <w:r>
              <w:rPr>
                <w:rFonts w:ascii="仿宋" w:hAnsi="仿宋" w:eastAsia="仿宋" w:cs="仿宋"/>
                <w:spacing w:val="-3"/>
              </w:rPr>
              <w:t>输水工程长度</w:t>
            </w:r>
            <w:r>
              <w:rPr>
                <w:rFonts w:ascii="仿宋" w:hAnsi="仿宋" w:eastAsia="仿宋" w:cs="仿宋"/>
                <w:spacing w:val="-46"/>
              </w:rPr>
              <w:t xml:space="preserve"> </w:t>
            </w:r>
            <w:r>
              <w:rPr>
                <w:spacing w:val="-3"/>
              </w:rPr>
              <w:t>26.099k</w:t>
            </w:r>
            <w:r>
              <w:rPr>
                <w:spacing w:val="-24"/>
              </w:rPr>
              <w:t xml:space="preserve"> </w:t>
            </w:r>
            <w:r>
              <w:rPr>
                <w:rFonts w:ascii="仿宋" w:hAnsi="仿宋" w:eastAsia="仿宋" w:cs="仿宋"/>
                <w:spacing w:val="-3"/>
              </w:rPr>
              <w:t>，隧洞长 度</w:t>
            </w:r>
            <w:r>
              <w:rPr>
                <w:rFonts w:ascii="仿宋" w:hAnsi="仿宋" w:eastAsia="仿宋" w:cs="仿宋"/>
                <w:spacing w:val="-43"/>
              </w:rPr>
              <w:t xml:space="preserve"> </w:t>
            </w:r>
            <w:r>
              <w:rPr>
                <w:spacing w:val="-3"/>
              </w:rPr>
              <w:t>24.245km</w:t>
            </w:r>
            <w:r>
              <w:rPr>
                <w:spacing w:val="-23"/>
              </w:rPr>
              <w:t xml:space="preserve"> </w:t>
            </w:r>
            <w:r>
              <w:rPr>
                <w:rFonts w:ascii="仿宋" w:hAnsi="仿宋" w:eastAsia="仿宋" w:cs="仿宋"/>
                <w:spacing w:val="-3"/>
              </w:rPr>
              <w:t>。隧洞长度较上坝址</w:t>
            </w:r>
            <w:r>
              <w:rPr>
                <w:rFonts w:ascii="仿宋" w:hAnsi="仿宋" w:eastAsia="仿宋" w:cs="仿宋"/>
              </w:rPr>
              <w:t xml:space="preserve"> 增加</w:t>
            </w:r>
            <w:r>
              <w:rPr>
                <w:rFonts w:ascii="仿宋" w:hAnsi="仿宋" w:eastAsia="仿宋" w:cs="仿宋"/>
                <w:spacing w:val="-43"/>
              </w:rPr>
              <w:t xml:space="preserve"> </w:t>
            </w:r>
            <w:r>
              <w:t>9.161km</w:t>
            </w:r>
            <w:r>
              <w:rPr>
                <w:spacing w:val="-24"/>
              </w:rPr>
              <w:t xml:space="preserve"> </w:t>
            </w:r>
            <w:r>
              <w:rPr>
                <w:rFonts w:ascii="仿宋" w:hAnsi="仿宋" w:eastAsia="仿宋" w:cs="仿宋"/>
              </w:rPr>
              <w:t>，土石方量增大，</w:t>
            </w:r>
          </w:p>
          <w:p>
            <w:pPr>
              <w:spacing w:before="23" w:line="217" w:lineRule="auto"/>
              <w:ind w:left="192"/>
              <w:rPr>
                <w:rFonts w:ascii="仿宋" w:hAnsi="仿宋" w:eastAsia="仿宋" w:cs="仿宋"/>
                <w:sz w:val="21"/>
                <w:szCs w:val="21"/>
              </w:rPr>
            </w:pPr>
            <w:r>
              <w:rPr>
                <w:rFonts w:ascii="仿宋" w:hAnsi="仿宋" w:eastAsia="仿宋" w:cs="仿宋"/>
                <w:spacing w:val="-3"/>
                <w:sz w:val="21"/>
                <w:szCs w:val="21"/>
              </w:rPr>
              <w:t>同时隧洞施工对区域地下水影响</w:t>
            </w:r>
          </w:p>
          <w:p>
            <w:pPr>
              <w:spacing w:before="25" w:line="204" w:lineRule="auto"/>
              <w:ind w:left="1008"/>
              <w:rPr>
                <w:rFonts w:ascii="仿宋" w:hAnsi="仿宋" w:eastAsia="仿宋" w:cs="仿宋"/>
                <w:sz w:val="21"/>
                <w:szCs w:val="21"/>
              </w:rPr>
            </w:pPr>
            <w:r>
              <w:rPr>
                <w:rFonts w:ascii="仿宋" w:hAnsi="仿宋" w:eastAsia="仿宋" w:cs="仿宋"/>
                <w:spacing w:val="-3"/>
                <w:sz w:val="21"/>
                <w:szCs w:val="21"/>
              </w:rPr>
              <w:t>较上坝址大。</w:t>
            </w:r>
          </w:p>
        </w:tc>
        <w:tc>
          <w:tcPr>
            <w:tcW w:w="1212" w:type="dxa"/>
            <w:tcBorders>
              <w:right w:val="nil"/>
            </w:tcBorders>
            <w:vAlign w:val="top"/>
          </w:tcPr>
          <w:p>
            <w:pPr>
              <w:spacing w:line="371" w:lineRule="auto"/>
              <w:rPr>
                <w:rFonts w:ascii="Arial"/>
                <w:sz w:val="21"/>
              </w:rPr>
            </w:pPr>
          </w:p>
          <w:p>
            <w:pPr>
              <w:spacing w:before="68" w:line="229" w:lineRule="auto"/>
              <w:ind w:left="511" w:right="185" w:hanging="312"/>
              <w:rPr>
                <w:rFonts w:ascii="仿宋" w:hAnsi="仿宋" w:eastAsia="仿宋" w:cs="仿宋"/>
                <w:sz w:val="21"/>
                <w:szCs w:val="21"/>
              </w:rPr>
            </w:pPr>
            <w:r>
              <w:rPr>
                <w:rFonts w:ascii="仿宋" w:hAnsi="仿宋" w:eastAsia="仿宋" w:cs="仿宋"/>
                <w:spacing w:val="-4"/>
                <w:sz w:val="21"/>
                <w:szCs w:val="21"/>
              </w:rPr>
              <w:t>上坝址最</w:t>
            </w:r>
            <w:r>
              <w:rPr>
                <w:rFonts w:ascii="仿宋" w:hAnsi="仿宋" w:eastAsia="仿宋" w:cs="仿宋"/>
                <w:sz w:val="21"/>
                <w:szCs w:val="21"/>
              </w:rPr>
              <w:t xml:space="preserve"> 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1089" w:type="dxa"/>
            <w:tcBorders>
              <w:left w:val="nil"/>
            </w:tcBorders>
            <w:vAlign w:val="top"/>
          </w:tcPr>
          <w:p>
            <w:pPr>
              <w:spacing w:before="171" w:line="219" w:lineRule="auto"/>
              <w:ind w:left="144"/>
              <w:rPr>
                <w:rFonts w:ascii="仿宋" w:hAnsi="仿宋" w:eastAsia="仿宋" w:cs="仿宋"/>
                <w:sz w:val="21"/>
                <w:szCs w:val="21"/>
              </w:rPr>
            </w:pPr>
            <w:r>
              <w:rPr>
                <w:rFonts w:ascii="仿宋" w:hAnsi="仿宋" w:eastAsia="仿宋" w:cs="仿宋"/>
                <w:spacing w:val="-3"/>
                <w:sz w:val="21"/>
                <w:szCs w:val="21"/>
              </w:rPr>
              <w:t>施工周期</w:t>
            </w:r>
          </w:p>
        </w:tc>
        <w:tc>
          <w:tcPr>
            <w:tcW w:w="3181" w:type="dxa"/>
            <w:vAlign w:val="top"/>
          </w:tcPr>
          <w:p>
            <w:pPr>
              <w:pStyle w:val="6"/>
              <w:spacing w:before="171" w:line="219" w:lineRule="auto"/>
              <w:ind w:left="1256"/>
              <w:rPr>
                <w:rFonts w:ascii="仿宋" w:hAnsi="仿宋" w:eastAsia="仿宋" w:cs="仿宋"/>
              </w:rPr>
            </w:pPr>
            <w:r>
              <w:rPr>
                <w:spacing w:val="-5"/>
              </w:rPr>
              <w:t>54</w:t>
            </w:r>
            <w:r>
              <w:rPr>
                <w:spacing w:val="17"/>
                <w:w w:val="101"/>
              </w:rPr>
              <w:t xml:space="preserve"> </w:t>
            </w:r>
            <w:r>
              <w:rPr>
                <w:rFonts w:ascii="仿宋" w:hAnsi="仿宋" w:eastAsia="仿宋" w:cs="仿宋"/>
                <w:spacing w:val="-5"/>
              </w:rPr>
              <w:t>个月</w:t>
            </w:r>
          </w:p>
        </w:tc>
        <w:tc>
          <w:tcPr>
            <w:tcW w:w="3253" w:type="dxa"/>
            <w:vAlign w:val="top"/>
          </w:tcPr>
          <w:p>
            <w:pPr>
              <w:pStyle w:val="6"/>
              <w:spacing w:before="171" w:line="219" w:lineRule="auto"/>
              <w:ind w:left="344"/>
              <w:rPr>
                <w:rFonts w:ascii="仿宋" w:hAnsi="仿宋" w:eastAsia="仿宋" w:cs="仿宋"/>
              </w:rPr>
            </w:pPr>
            <w:r>
              <w:rPr>
                <w:spacing w:val="-2"/>
              </w:rPr>
              <w:t>72</w:t>
            </w:r>
            <w:r>
              <w:rPr>
                <w:spacing w:val="17"/>
                <w:w w:val="101"/>
              </w:rPr>
              <w:t xml:space="preserve"> </w:t>
            </w:r>
            <w:r>
              <w:rPr>
                <w:rFonts w:ascii="仿宋" w:hAnsi="仿宋" w:eastAsia="仿宋" w:cs="仿宋"/>
                <w:spacing w:val="-2"/>
              </w:rPr>
              <w:t>个月，施工期影响周期长</w:t>
            </w:r>
          </w:p>
        </w:tc>
        <w:tc>
          <w:tcPr>
            <w:tcW w:w="1212" w:type="dxa"/>
            <w:tcBorders>
              <w:right w:val="nil"/>
            </w:tcBorders>
            <w:vAlign w:val="top"/>
          </w:tcPr>
          <w:p>
            <w:pPr>
              <w:spacing w:before="34" w:line="222" w:lineRule="auto"/>
              <w:ind w:left="511" w:right="185" w:hanging="312"/>
              <w:rPr>
                <w:rFonts w:ascii="仿宋" w:hAnsi="仿宋" w:eastAsia="仿宋" w:cs="仿宋"/>
                <w:sz w:val="21"/>
                <w:szCs w:val="21"/>
              </w:rPr>
            </w:pPr>
            <w:r>
              <w:rPr>
                <w:rFonts w:ascii="仿宋" w:hAnsi="仿宋" w:eastAsia="仿宋" w:cs="仿宋"/>
                <w:spacing w:val="-4"/>
                <w:sz w:val="21"/>
                <w:szCs w:val="21"/>
              </w:rPr>
              <w:t>上坝址最</w:t>
            </w:r>
            <w:r>
              <w:rPr>
                <w:rFonts w:ascii="仿宋" w:hAnsi="仿宋" w:eastAsia="仿宋" w:cs="仿宋"/>
                <w:sz w:val="21"/>
                <w:szCs w:val="21"/>
              </w:rPr>
              <w:t xml:space="preserve"> 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4" w:hRule="atLeast"/>
        </w:trPr>
        <w:tc>
          <w:tcPr>
            <w:tcW w:w="1089" w:type="dxa"/>
            <w:tcBorders>
              <w:left w:val="nil"/>
            </w:tcBorders>
            <w:vAlign w:val="top"/>
          </w:tcPr>
          <w:p>
            <w:pPr>
              <w:spacing w:before="34" w:line="224" w:lineRule="auto"/>
              <w:ind w:left="358" w:right="115" w:hanging="209"/>
              <w:rPr>
                <w:rFonts w:ascii="仿宋" w:hAnsi="仿宋" w:eastAsia="仿宋" w:cs="仿宋"/>
                <w:sz w:val="21"/>
                <w:szCs w:val="21"/>
              </w:rPr>
            </w:pPr>
            <w:r>
              <w:rPr>
                <w:rFonts w:ascii="仿宋" w:hAnsi="仿宋" w:eastAsia="仿宋" w:cs="仿宋"/>
                <w:spacing w:val="-5"/>
                <w:sz w:val="21"/>
                <w:szCs w:val="21"/>
              </w:rPr>
              <w:t>工程比选</w:t>
            </w:r>
            <w:r>
              <w:rPr>
                <w:rFonts w:ascii="仿宋" w:hAnsi="仿宋" w:eastAsia="仿宋" w:cs="仿宋"/>
                <w:sz w:val="21"/>
                <w:szCs w:val="21"/>
              </w:rPr>
              <w:t xml:space="preserve"> </w:t>
            </w:r>
            <w:r>
              <w:rPr>
                <w:rFonts w:ascii="仿宋" w:hAnsi="仿宋" w:eastAsia="仿宋" w:cs="仿宋"/>
                <w:spacing w:val="-5"/>
                <w:sz w:val="21"/>
                <w:szCs w:val="21"/>
              </w:rPr>
              <w:t>结果</w:t>
            </w:r>
          </w:p>
        </w:tc>
        <w:tc>
          <w:tcPr>
            <w:tcW w:w="3181" w:type="dxa"/>
            <w:vAlign w:val="top"/>
          </w:tcPr>
          <w:p>
            <w:pPr>
              <w:spacing w:before="34" w:line="224" w:lineRule="auto"/>
              <w:ind w:left="657" w:right="118" w:hanging="527"/>
              <w:rPr>
                <w:rFonts w:ascii="仿宋" w:hAnsi="仿宋" w:eastAsia="仿宋" w:cs="仿宋"/>
                <w:sz w:val="21"/>
                <w:szCs w:val="21"/>
              </w:rPr>
            </w:pPr>
            <w:r>
              <w:rPr>
                <w:rFonts w:ascii="仿宋" w:hAnsi="仿宋" w:eastAsia="仿宋" w:cs="仿宋"/>
                <w:spacing w:val="-1"/>
                <w:sz w:val="21"/>
                <w:szCs w:val="21"/>
              </w:rPr>
              <w:t>投资小、单位供水成本低、施工</w:t>
            </w:r>
            <w:r>
              <w:rPr>
                <w:rFonts w:ascii="仿宋" w:hAnsi="仿宋" w:eastAsia="仿宋" w:cs="仿宋"/>
                <w:sz w:val="21"/>
                <w:szCs w:val="21"/>
              </w:rPr>
              <w:t xml:space="preserve"> </w:t>
            </w:r>
            <w:r>
              <w:rPr>
                <w:rFonts w:ascii="仿宋" w:hAnsi="仿宋" w:eastAsia="仿宋" w:cs="仿宋"/>
                <w:spacing w:val="-2"/>
                <w:sz w:val="21"/>
                <w:szCs w:val="21"/>
              </w:rPr>
              <w:t>难度小、施工周期短</w:t>
            </w:r>
          </w:p>
        </w:tc>
        <w:tc>
          <w:tcPr>
            <w:tcW w:w="3253" w:type="dxa"/>
            <w:vAlign w:val="top"/>
          </w:tcPr>
          <w:p>
            <w:pPr>
              <w:spacing w:before="34" w:line="224" w:lineRule="auto"/>
              <w:ind w:left="693" w:right="167" w:hanging="527"/>
              <w:rPr>
                <w:rFonts w:ascii="仿宋" w:hAnsi="仿宋" w:eastAsia="仿宋" w:cs="仿宋"/>
                <w:sz w:val="21"/>
                <w:szCs w:val="21"/>
              </w:rPr>
            </w:pPr>
            <w:r>
              <w:rPr>
                <w:rFonts w:ascii="仿宋" w:hAnsi="仿宋" w:eastAsia="仿宋" w:cs="仿宋"/>
                <w:spacing w:val="-2"/>
                <w:sz w:val="21"/>
                <w:szCs w:val="21"/>
              </w:rPr>
              <w:t>投资大、单位供水成本高、施工</w:t>
            </w:r>
            <w:r>
              <w:rPr>
                <w:rFonts w:ascii="仿宋" w:hAnsi="仿宋" w:eastAsia="仿宋" w:cs="仿宋"/>
                <w:sz w:val="21"/>
                <w:szCs w:val="21"/>
              </w:rPr>
              <w:t xml:space="preserve"> </w:t>
            </w:r>
            <w:r>
              <w:rPr>
                <w:rFonts w:ascii="仿宋" w:hAnsi="仿宋" w:eastAsia="仿宋" w:cs="仿宋"/>
                <w:spacing w:val="-4"/>
                <w:sz w:val="21"/>
                <w:szCs w:val="21"/>
              </w:rPr>
              <w:t>难度大、施工周期短</w:t>
            </w:r>
          </w:p>
        </w:tc>
        <w:tc>
          <w:tcPr>
            <w:tcW w:w="1212" w:type="dxa"/>
            <w:tcBorders>
              <w:right w:val="nil"/>
            </w:tcBorders>
            <w:vAlign w:val="top"/>
          </w:tcPr>
          <w:p>
            <w:pPr>
              <w:spacing w:before="34" w:line="224" w:lineRule="auto"/>
              <w:ind w:left="511" w:right="185" w:hanging="312"/>
              <w:rPr>
                <w:rFonts w:ascii="仿宋" w:hAnsi="仿宋" w:eastAsia="仿宋" w:cs="仿宋"/>
                <w:sz w:val="21"/>
                <w:szCs w:val="21"/>
              </w:rPr>
            </w:pPr>
            <w:r>
              <w:rPr>
                <w:rFonts w:ascii="仿宋" w:hAnsi="仿宋" w:eastAsia="仿宋" w:cs="仿宋"/>
                <w:spacing w:val="-4"/>
                <w:sz w:val="21"/>
                <w:szCs w:val="21"/>
              </w:rPr>
              <w:t>上坝址最</w:t>
            </w:r>
            <w:r>
              <w:rPr>
                <w:rFonts w:ascii="仿宋" w:hAnsi="仿宋" w:eastAsia="仿宋" w:cs="仿宋"/>
                <w:sz w:val="21"/>
                <w:szCs w:val="21"/>
              </w:rPr>
              <w:t xml:space="preserve"> 优</w:t>
            </w:r>
          </w:p>
        </w:tc>
      </w:tr>
    </w:tbl>
    <w:p>
      <w:pPr>
        <w:spacing w:before="36" w:line="218" w:lineRule="auto"/>
        <w:ind w:left="519"/>
        <w:rPr>
          <w:rFonts w:ascii="宋体" w:hAnsi="宋体" w:eastAsia="宋体" w:cs="宋体"/>
          <w:sz w:val="24"/>
          <w:szCs w:val="24"/>
        </w:rPr>
      </w:pPr>
      <w:r>
        <w:rPr>
          <w:rFonts w:ascii="宋体" w:hAnsi="宋体" w:eastAsia="宋体" w:cs="宋体"/>
          <w:spacing w:val="-2"/>
          <w:sz w:val="24"/>
          <w:szCs w:val="24"/>
        </w:rPr>
        <w:t>根据表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2.4-6</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，从环境影响角度评价，上坝</w:t>
      </w:r>
      <w:r>
        <w:rPr>
          <w:rFonts w:ascii="宋体" w:hAnsi="宋体" w:eastAsia="宋体" w:cs="宋体"/>
          <w:spacing w:val="-3"/>
          <w:sz w:val="24"/>
          <w:szCs w:val="24"/>
        </w:rPr>
        <w:t>址选址优于下坝址。</w:t>
      </w:r>
    </w:p>
    <w:p>
      <w:pPr>
        <w:spacing w:before="183" w:line="467" w:lineRule="exact"/>
        <w:ind w:left="525"/>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2</w:t>
      </w:r>
      <w:r>
        <w:rPr>
          <w:rFonts w:ascii="宋体" w:hAnsi="宋体" w:eastAsia="宋体" w:cs="宋体"/>
          <w:spacing w:val="-2"/>
          <w:position w:val="17"/>
          <w:sz w:val="24"/>
          <w:szCs w:val="24"/>
        </w:rPr>
        <w:t>）取水坝环境合理性分析</w:t>
      </w:r>
    </w:p>
    <w:p>
      <w:pPr>
        <w:spacing w:line="219" w:lineRule="auto"/>
        <w:ind w:left="523"/>
        <w:rPr>
          <w:rFonts w:ascii="宋体" w:hAnsi="宋体" w:eastAsia="宋体" w:cs="宋体"/>
          <w:sz w:val="24"/>
          <w:szCs w:val="24"/>
        </w:rPr>
      </w:pPr>
      <w:r>
        <w:rPr>
          <w:rFonts w:ascii="宋体" w:hAnsi="宋体" w:eastAsia="宋体" w:cs="宋体"/>
          <w:spacing w:val="-2"/>
          <w:sz w:val="24"/>
          <w:szCs w:val="24"/>
        </w:rPr>
        <w:t>项目取水坝无比选方案。</w:t>
      </w:r>
    </w:p>
    <w:p>
      <w:pPr>
        <w:spacing w:before="183" w:line="359" w:lineRule="auto"/>
        <w:ind w:left="39" w:right="29" w:firstLine="483"/>
        <w:rPr>
          <w:rFonts w:ascii="宋体" w:hAnsi="宋体" w:eastAsia="宋体" w:cs="宋体"/>
          <w:sz w:val="24"/>
          <w:szCs w:val="24"/>
        </w:rPr>
      </w:pPr>
      <w:r>
        <w:rPr>
          <w:rFonts w:ascii="宋体" w:hAnsi="宋体" w:eastAsia="宋体" w:cs="宋体"/>
          <w:spacing w:val="-5"/>
          <w:sz w:val="24"/>
          <w:szCs w:val="24"/>
        </w:rPr>
        <w:t>项目取水坝选址不涉及国家公园、自然保护区、风景名胜区、世界文化和自然遗</w:t>
      </w:r>
      <w:r>
        <w:rPr>
          <w:rFonts w:ascii="宋体" w:hAnsi="宋体" w:eastAsia="宋体" w:cs="宋体"/>
          <w:spacing w:val="2"/>
          <w:sz w:val="24"/>
          <w:szCs w:val="24"/>
        </w:rPr>
        <w:t xml:space="preserve"> </w:t>
      </w:r>
      <w:r>
        <w:rPr>
          <w:rFonts w:ascii="宋体" w:hAnsi="宋体" w:eastAsia="宋体" w:cs="宋体"/>
          <w:spacing w:val="-9"/>
          <w:sz w:val="24"/>
          <w:szCs w:val="24"/>
        </w:rPr>
        <w:t>产地、海洋特别保护区、饮用水水源保护区，</w:t>
      </w:r>
      <w:r>
        <w:rPr>
          <w:rFonts w:ascii="宋体" w:hAnsi="宋体" w:eastAsia="宋体" w:cs="宋体"/>
          <w:spacing w:val="41"/>
          <w:sz w:val="24"/>
          <w:szCs w:val="24"/>
        </w:rPr>
        <w:t xml:space="preserve"> </w:t>
      </w:r>
      <w:r>
        <w:rPr>
          <w:rFonts w:ascii="宋体" w:hAnsi="宋体" w:eastAsia="宋体" w:cs="宋体"/>
          <w:spacing w:val="-9"/>
          <w:sz w:val="24"/>
          <w:szCs w:val="24"/>
        </w:rPr>
        <w:t>不涉及永久基本农田、基本草原、自然</w:t>
      </w:r>
      <w:r>
        <w:rPr>
          <w:rFonts w:ascii="宋体" w:hAnsi="宋体" w:eastAsia="宋体" w:cs="宋体"/>
          <w:sz w:val="24"/>
          <w:szCs w:val="24"/>
        </w:rPr>
        <w:t xml:space="preserve"> </w:t>
      </w:r>
      <w:r>
        <w:rPr>
          <w:rFonts w:ascii="宋体" w:hAnsi="宋体" w:eastAsia="宋体" w:cs="宋体"/>
          <w:spacing w:val="-9"/>
          <w:sz w:val="24"/>
          <w:szCs w:val="24"/>
        </w:rPr>
        <w:t>公园（森林公园、地质公园、海洋公园等）、重要湿</w:t>
      </w:r>
      <w:r>
        <w:rPr>
          <w:rFonts w:ascii="宋体" w:hAnsi="宋体" w:eastAsia="宋体" w:cs="宋体"/>
          <w:spacing w:val="-10"/>
          <w:sz w:val="24"/>
          <w:szCs w:val="24"/>
        </w:rPr>
        <w:t>地、天然林，</w:t>
      </w:r>
      <w:r>
        <w:rPr>
          <w:rFonts w:ascii="宋体" w:hAnsi="宋体" w:eastAsia="宋体" w:cs="宋体"/>
          <w:spacing w:val="55"/>
          <w:sz w:val="24"/>
          <w:szCs w:val="24"/>
        </w:rPr>
        <w:t xml:space="preserve"> </w:t>
      </w:r>
      <w:r>
        <w:rPr>
          <w:rFonts w:ascii="宋体" w:hAnsi="宋体" w:eastAsia="宋体" w:cs="宋体"/>
          <w:spacing w:val="-10"/>
          <w:sz w:val="24"/>
          <w:szCs w:val="24"/>
        </w:rPr>
        <w:t>重点保护野生动物</w:t>
      </w:r>
      <w:r>
        <w:rPr>
          <w:rFonts w:ascii="宋体" w:hAnsi="宋体" w:eastAsia="宋体" w:cs="宋体"/>
          <w:sz w:val="24"/>
          <w:szCs w:val="24"/>
        </w:rPr>
        <w:t xml:space="preserve"> </w:t>
      </w:r>
      <w:r>
        <w:rPr>
          <w:rFonts w:ascii="宋体" w:hAnsi="宋体" w:eastAsia="宋体" w:cs="宋体"/>
          <w:spacing w:val="-10"/>
          <w:sz w:val="24"/>
          <w:szCs w:val="24"/>
        </w:rPr>
        <w:t>栖息地， 重点保护野生植物生长繁殖地，</w:t>
      </w:r>
      <w:r>
        <w:rPr>
          <w:rFonts w:ascii="宋体" w:hAnsi="宋体" w:eastAsia="宋体" w:cs="宋体"/>
          <w:spacing w:val="-11"/>
          <w:sz w:val="24"/>
          <w:szCs w:val="24"/>
        </w:rPr>
        <w:t xml:space="preserve"> 重要水生生物的自然产卵场、索饵场、越冬</w:t>
      </w:r>
    </w:p>
    <w:p>
      <w:pPr>
        <w:spacing w:before="1" w:line="220" w:lineRule="auto"/>
        <w:ind w:left="38"/>
        <w:rPr>
          <w:rFonts w:ascii="宋体" w:hAnsi="宋体" w:eastAsia="宋体" w:cs="宋体"/>
          <w:sz w:val="24"/>
          <w:szCs w:val="24"/>
        </w:rPr>
      </w:pPr>
      <w:r>
        <w:rPr>
          <w:rFonts w:ascii="宋体" w:hAnsi="宋体" w:eastAsia="宋体" w:cs="宋体"/>
          <w:spacing w:val="-4"/>
          <w:sz w:val="24"/>
          <w:szCs w:val="24"/>
        </w:rPr>
        <w:t>场和洄游通道，天然渔场。</w:t>
      </w:r>
    </w:p>
    <w:p>
      <w:pPr>
        <w:spacing w:before="180" w:line="219" w:lineRule="auto"/>
        <w:ind w:left="522"/>
        <w:rPr>
          <w:rFonts w:ascii="宋体" w:hAnsi="宋体" w:eastAsia="宋体" w:cs="宋体"/>
          <w:sz w:val="24"/>
          <w:szCs w:val="24"/>
        </w:rPr>
      </w:pPr>
      <w:r>
        <w:rPr>
          <w:rFonts w:ascii="宋体" w:hAnsi="宋体" w:eastAsia="宋体" w:cs="宋体"/>
          <w:spacing w:val="-1"/>
          <w:sz w:val="24"/>
          <w:szCs w:val="24"/>
        </w:rPr>
        <w:t>取水坝址周边</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范围内无声、大气环境</w:t>
      </w:r>
      <w:r>
        <w:rPr>
          <w:rFonts w:ascii="宋体" w:hAnsi="宋体" w:eastAsia="宋体" w:cs="宋体"/>
          <w:spacing w:val="-2"/>
          <w:sz w:val="24"/>
          <w:szCs w:val="24"/>
        </w:rPr>
        <w:t>敏感点分布，施工期环境影响小。</w:t>
      </w:r>
    </w:p>
    <w:p>
      <w:pPr>
        <w:spacing w:before="182" w:line="220" w:lineRule="auto"/>
        <w:ind w:left="522"/>
        <w:rPr>
          <w:rFonts w:ascii="宋体" w:hAnsi="宋体" w:eastAsia="宋体" w:cs="宋体"/>
          <w:sz w:val="24"/>
          <w:szCs w:val="24"/>
        </w:rPr>
      </w:pPr>
      <w:r>
        <w:rPr>
          <w:rFonts w:ascii="宋体" w:hAnsi="宋体" w:eastAsia="宋体" w:cs="宋体"/>
          <w:spacing w:val="-4"/>
          <w:sz w:val="24"/>
          <w:szCs w:val="24"/>
        </w:rPr>
        <w:t>取水坝占地不涉及公益林。</w:t>
      </w:r>
    </w:p>
    <w:p>
      <w:pPr>
        <w:spacing w:before="180" w:line="220" w:lineRule="auto"/>
        <w:ind w:left="522"/>
        <w:rPr>
          <w:rFonts w:ascii="宋体" w:hAnsi="宋体" w:eastAsia="宋体" w:cs="宋体"/>
          <w:sz w:val="24"/>
          <w:szCs w:val="24"/>
        </w:rPr>
      </w:pPr>
      <w:r>
        <w:rPr>
          <w:rFonts w:ascii="宋体" w:hAnsi="宋体" w:eastAsia="宋体" w:cs="宋体"/>
          <w:spacing w:val="-4"/>
          <w:sz w:val="24"/>
          <w:szCs w:val="24"/>
        </w:rPr>
        <w:t>综上，项目取水坝选址合理。</w:t>
      </w:r>
    </w:p>
    <w:p>
      <w:pPr>
        <w:spacing w:before="181"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）输水线路环境合理性分析</w:t>
      </w:r>
    </w:p>
    <w:p>
      <w:pPr>
        <w:spacing w:before="182" w:line="467" w:lineRule="exact"/>
        <w:ind w:right="45"/>
        <w:jc w:val="right"/>
        <w:rPr>
          <w:rFonts w:ascii="宋体" w:hAnsi="宋体" w:eastAsia="宋体" w:cs="宋体"/>
          <w:sz w:val="24"/>
          <w:szCs w:val="24"/>
        </w:rPr>
      </w:pPr>
      <w:r>
        <w:rPr>
          <w:rFonts w:ascii="宋体" w:hAnsi="宋体" w:eastAsia="宋体" w:cs="宋体"/>
          <w:spacing w:val="-9"/>
          <w:position w:val="17"/>
          <w:sz w:val="24"/>
          <w:szCs w:val="24"/>
        </w:rPr>
        <w:t>输水线路全长</w:t>
      </w:r>
      <w:r>
        <w:rPr>
          <w:rFonts w:ascii="宋体" w:hAnsi="宋体" w:eastAsia="宋体" w:cs="宋体"/>
          <w:spacing w:val="-55"/>
          <w:position w:val="17"/>
          <w:sz w:val="24"/>
          <w:szCs w:val="24"/>
        </w:rPr>
        <w:t xml:space="preserve"> </w:t>
      </w:r>
      <w:r>
        <w:rPr>
          <w:rFonts w:ascii="Times New Roman" w:hAnsi="Times New Roman" w:eastAsia="Times New Roman" w:cs="Times New Roman"/>
          <w:spacing w:val="-9"/>
          <w:position w:val="17"/>
          <w:sz w:val="24"/>
          <w:szCs w:val="24"/>
        </w:rPr>
        <w:t>26.944km</w:t>
      </w:r>
      <w:r>
        <w:rPr>
          <w:rFonts w:ascii="宋体" w:hAnsi="宋体" w:eastAsia="宋体" w:cs="宋体"/>
          <w:spacing w:val="-9"/>
          <w:position w:val="17"/>
          <w:sz w:val="24"/>
          <w:szCs w:val="24"/>
        </w:rPr>
        <w:t>，其中管道</w:t>
      </w:r>
      <w:r>
        <w:rPr>
          <w:rFonts w:ascii="宋体" w:hAnsi="宋体" w:eastAsia="宋体" w:cs="宋体"/>
          <w:spacing w:val="-32"/>
          <w:position w:val="17"/>
          <w:sz w:val="24"/>
          <w:szCs w:val="24"/>
        </w:rPr>
        <w:t xml:space="preserve"> </w:t>
      </w:r>
      <w:r>
        <w:rPr>
          <w:rFonts w:ascii="Times New Roman" w:hAnsi="Times New Roman" w:eastAsia="Times New Roman" w:cs="Times New Roman"/>
          <w:spacing w:val="-9"/>
          <w:position w:val="17"/>
          <w:sz w:val="24"/>
          <w:szCs w:val="24"/>
        </w:rPr>
        <w:t>1</w:t>
      </w:r>
      <w:r>
        <w:rPr>
          <w:rFonts w:ascii="Times New Roman" w:hAnsi="Times New Roman" w:eastAsia="Times New Roman" w:cs="Times New Roman"/>
          <w:spacing w:val="12"/>
          <w:position w:val="17"/>
          <w:sz w:val="24"/>
          <w:szCs w:val="24"/>
        </w:rPr>
        <w:t xml:space="preserve"> </w:t>
      </w:r>
      <w:r>
        <w:rPr>
          <w:rFonts w:ascii="宋体" w:hAnsi="宋体" w:eastAsia="宋体" w:cs="宋体"/>
          <w:spacing w:val="-9"/>
          <w:position w:val="17"/>
          <w:sz w:val="24"/>
          <w:szCs w:val="24"/>
        </w:rPr>
        <w:t>条长</w:t>
      </w:r>
      <w:r>
        <w:rPr>
          <w:rFonts w:ascii="宋体" w:hAnsi="宋体" w:eastAsia="宋体" w:cs="宋体"/>
          <w:spacing w:val="-32"/>
          <w:position w:val="17"/>
          <w:sz w:val="24"/>
          <w:szCs w:val="24"/>
        </w:rPr>
        <w:t xml:space="preserve"> </w:t>
      </w:r>
      <w:r>
        <w:rPr>
          <w:rFonts w:ascii="Times New Roman" w:hAnsi="Times New Roman" w:eastAsia="Times New Roman" w:cs="Times New Roman"/>
          <w:spacing w:val="-10"/>
          <w:position w:val="17"/>
          <w:sz w:val="24"/>
          <w:szCs w:val="24"/>
        </w:rPr>
        <w:t>1.435km</w:t>
      </w:r>
      <w:r>
        <w:rPr>
          <w:rFonts w:ascii="宋体" w:hAnsi="宋体" w:eastAsia="宋体" w:cs="宋体"/>
          <w:spacing w:val="-10"/>
          <w:position w:val="17"/>
          <w:sz w:val="24"/>
          <w:szCs w:val="24"/>
        </w:rPr>
        <w:t>，渠道总长</w:t>
      </w:r>
      <w:r>
        <w:rPr>
          <w:rFonts w:ascii="宋体" w:hAnsi="宋体" w:eastAsia="宋体" w:cs="宋体"/>
          <w:spacing w:val="-46"/>
          <w:position w:val="17"/>
          <w:sz w:val="24"/>
          <w:szCs w:val="24"/>
        </w:rPr>
        <w:t xml:space="preserve"> </w:t>
      </w:r>
      <w:r>
        <w:rPr>
          <w:rFonts w:ascii="Times New Roman" w:hAnsi="Times New Roman" w:eastAsia="Times New Roman" w:cs="Times New Roman"/>
          <w:spacing w:val="-10"/>
          <w:position w:val="17"/>
          <w:sz w:val="24"/>
          <w:szCs w:val="24"/>
        </w:rPr>
        <w:t>8.975km</w:t>
      </w:r>
      <w:r>
        <w:rPr>
          <w:rFonts w:ascii="宋体" w:hAnsi="宋体" w:eastAsia="宋体" w:cs="宋体"/>
          <w:spacing w:val="-10"/>
          <w:position w:val="17"/>
          <w:sz w:val="24"/>
          <w:szCs w:val="24"/>
        </w:rPr>
        <w:t>（暗渠</w:t>
      </w:r>
      <w:r>
        <w:rPr>
          <w:rFonts w:ascii="宋体" w:hAnsi="宋体" w:eastAsia="宋体" w:cs="宋体"/>
          <w:spacing w:val="-27"/>
          <w:position w:val="17"/>
          <w:sz w:val="24"/>
          <w:szCs w:val="24"/>
        </w:rPr>
        <w:t>），</w:t>
      </w:r>
    </w:p>
    <w:p>
      <w:pPr>
        <w:spacing w:line="219" w:lineRule="auto"/>
        <w:ind w:left="51"/>
        <w:rPr>
          <w:rFonts w:ascii="宋体" w:hAnsi="宋体" w:eastAsia="宋体" w:cs="宋体"/>
          <w:sz w:val="24"/>
          <w:szCs w:val="24"/>
        </w:rPr>
      </w:pPr>
      <w:r>
        <w:rPr>
          <w:rFonts w:ascii="宋体" w:hAnsi="宋体" w:eastAsia="宋体" w:cs="宋体"/>
          <w:spacing w:val="-3"/>
          <w:sz w:val="24"/>
          <w:szCs w:val="24"/>
        </w:rPr>
        <w:t>隧洞</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条长</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15.084km</w:t>
      </w:r>
      <w:r>
        <w:rPr>
          <w:rFonts w:ascii="宋体" w:hAnsi="宋体" w:eastAsia="宋体" w:cs="宋体"/>
          <w:spacing w:val="-3"/>
          <w:sz w:val="24"/>
          <w:szCs w:val="24"/>
        </w:rPr>
        <w:t>，倒虹吸</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 xml:space="preserve">8 </w:t>
      </w:r>
      <w:r>
        <w:rPr>
          <w:rFonts w:ascii="宋体" w:hAnsi="宋体" w:eastAsia="宋体" w:cs="宋体"/>
          <w:spacing w:val="-3"/>
          <w:sz w:val="24"/>
          <w:szCs w:val="24"/>
        </w:rPr>
        <w:t>座总长</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1.382km</w:t>
      </w:r>
      <w:r>
        <w:rPr>
          <w:rFonts w:ascii="宋体" w:hAnsi="宋体" w:eastAsia="宋体" w:cs="宋体"/>
          <w:spacing w:val="-3"/>
          <w:sz w:val="24"/>
          <w:szCs w:val="24"/>
        </w:rPr>
        <w:t>，</w:t>
      </w:r>
      <w:r>
        <w:rPr>
          <w:rFonts w:ascii="宋体" w:hAnsi="宋体" w:eastAsia="宋体" w:cs="宋体"/>
          <w:spacing w:val="-4"/>
          <w:sz w:val="24"/>
          <w:szCs w:val="24"/>
        </w:rPr>
        <w:t>渡槽</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座总长</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68m</w:t>
      </w:r>
      <w:r>
        <w:rPr>
          <w:rFonts w:ascii="宋体" w:hAnsi="宋体" w:eastAsia="宋体" w:cs="宋体"/>
          <w:spacing w:val="-4"/>
          <w:sz w:val="24"/>
          <w:szCs w:val="24"/>
        </w:rPr>
        <w:t>。</w:t>
      </w:r>
    </w:p>
    <w:p>
      <w:pPr>
        <w:spacing w:before="182" w:line="467" w:lineRule="exact"/>
        <w:ind w:right="22"/>
        <w:jc w:val="right"/>
        <w:rPr>
          <w:rFonts w:ascii="宋体" w:hAnsi="宋体" w:eastAsia="宋体" w:cs="宋体"/>
          <w:sz w:val="24"/>
          <w:szCs w:val="24"/>
        </w:rPr>
      </w:pPr>
      <w:r>
        <w:rPr>
          <w:rFonts w:ascii="宋体" w:hAnsi="宋体" w:eastAsia="宋体" w:cs="宋体"/>
          <w:spacing w:val="-6"/>
          <w:position w:val="16"/>
          <w:sz w:val="24"/>
          <w:szCs w:val="24"/>
        </w:rPr>
        <w:t>输水线路大部分采用隧洞，倒虹吸采用埋管</w:t>
      </w:r>
      <w:r>
        <w:rPr>
          <w:rFonts w:ascii="Times New Roman" w:hAnsi="Times New Roman" w:eastAsia="Times New Roman" w:cs="Times New Roman"/>
          <w:spacing w:val="-6"/>
          <w:position w:val="16"/>
          <w:sz w:val="24"/>
          <w:szCs w:val="24"/>
        </w:rPr>
        <w:t>+</w:t>
      </w:r>
      <w:r>
        <w:rPr>
          <w:rFonts w:ascii="宋体" w:hAnsi="宋体" w:eastAsia="宋体" w:cs="宋体"/>
          <w:spacing w:val="-6"/>
          <w:position w:val="16"/>
          <w:sz w:val="24"/>
          <w:szCs w:val="24"/>
        </w:rPr>
        <w:t>管桥</w:t>
      </w:r>
      <w:r>
        <w:rPr>
          <w:rFonts w:ascii="宋体" w:hAnsi="宋体" w:eastAsia="宋体" w:cs="宋体"/>
          <w:spacing w:val="-7"/>
          <w:position w:val="16"/>
          <w:sz w:val="24"/>
          <w:szCs w:val="24"/>
        </w:rPr>
        <w:t>，大大减少土地的占用，</w:t>
      </w:r>
      <w:r>
        <w:rPr>
          <w:rFonts w:ascii="宋体" w:hAnsi="宋体" w:eastAsia="宋体" w:cs="宋体"/>
          <w:spacing w:val="46"/>
          <w:position w:val="16"/>
          <w:sz w:val="24"/>
          <w:szCs w:val="24"/>
        </w:rPr>
        <w:t xml:space="preserve"> </w:t>
      </w:r>
      <w:r>
        <w:rPr>
          <w:rFonts w:ascii="宋体" w:hAnsi="宋体" w:eastAsia="宋体" w:cs="宋体"/>
          <w:spacing w:val="-7"/>
          <w:position w:val="16"/>
          <w:sz w:val="24"/>
          <w:szCs w:val="24"/>
        </w:rPr>
        <w:t>从而</w:t>
      </w:r>
    </w:p>
    <w:p>
      <w:pPr>
        <w:spacing w:line="219" w:lineRule="auto"/>
        <w:ind w:left="39"/>
        <w:rPr>
          <w:rFonts w:ascii="宋体" w:hAnsi="宋体" w:eastAsia="宋体" w:cs="宋体"/>
          <w:sz w:val="24"/>
          <w:szCs w:val="24"/>
        </w:rPr>
      </w:pPr>
      <w:r>
        <w:rPr>
          <w:rFonts w:ascii="宋体" w:hAnsi="宋体" w:eastAsia="宋体" w:cs="宋体"/>
          <w:spacing w:val="-3"/>
          <w:sz w:val="24"/>
          <w:szCs w:val="24"/>
        </w:rPr>
        <w:t>减轻管道工程对生态环境的破坏。</w:t>
      </w:r>
    </w:p>
    <w:p>
      <w:pPr>
        <w:spacing w:before="181" w:line="219" w:lineRule="auto"/>
        <w:ind w:left="518"/>
        <w:rPr>
          <w:rFonts w:ascii="宋体" w:hAnsi="宋体" w:eastAsia="宋体" w:cs="宋体"/>
          <w:sz w:val="24"/>
          <w:szCs w:val="24"/>
        </w:rPr>
      </w:pPr>
      <w:r>
        <w:rPr>
          <w:rFonts w:ascii="宋体" w:hAnsi="宋体" w:eastAsia="宋体" w:cs="宋体"/>
          <w:spacing w:val="-1"/>
          <w:sz w:val="24"/>
          <w:szCs w:val="24"/>
        </w:rPr>
        <w:t>输水线路沿线</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200m</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范围内居民点分布少，施工期环境影响小。</w:t>
      </w:r>
    </w:p>
    <w:p>
      <w:pPr>
        <w:spacing w:before="183" w:line="219" w:lineRule="auto"/>
        <w:ind w:right="24"/>
        <w:jc w:val="right"/>
        <w:rPr>
          <w:rFonts w:ascii="宋体" w:hAnsi="宋体" w:eastAsia="宋体" w:cs="宋体"/>
          <w:sz w:val="24"/>
          <w:szCs w:val="24"/>
        </w:rPr>
      </w:pPr>
      <w:r>
        <w:rPr>
          <w:rFonts w:ascii="Times New Roman" w:hAnsi="Times New Roman" w:eastAsia="Times New Roman" w:cs="Times New Roman"/>
          <w:spacing w:val="-7"/>
          <w:sz w:val="24"/>
          <w:szCs w:val="24"/>
        </w:rPr>
        <w:t>2#</w:t>
      </w:r>
      <w:r>
        <w:rPr>
          <w:rFonts w:ascii="宋体" w:hAnsi="宋体" w:eastAsia="宋体" w:cs="宋体"/>
          <w:spacing w:val="-7"/>
          <w:sz w:val="24"/>
          <w:szCs w:val="24"/>
        </w:rPr>
        <w:t>马茨河隧洞、</w:t>
      </w:r>
      <w:r>
        <w:rPr>
          <w:rFonts w:ascii="Times New Roman" w:hAnsi="Times New Roman" w:eastAsia="Times New Roman" w:cs="Times New Roman"/>
          <w:spacing w:val="-7"/>
          <w:sz w:val="24"/>
          <w:szCs w:val="24"/>
        </w:rPr>
        <w:t>3#</w:t>
      </w:r>
      <w:r>
        <w:rPr>
          <w:rFonts w:ascii="宋体" w:hAnsi="宋体" w:eastAsia="宋体" w:cs="宋体"/>
          <w:spacing w:val="-7"/>
          <w:sz w:val="24"/>
          <w:szCs w:val="24"/>
        </w:rPr>
        <w:t>六姑乍箐隧洞、</w:t>
      </w:r>
      <w:r>
        <w:rPr>
          <w:rFonts w:ascii="Times New Roman" w:hAnsi="Times New Roman" w:eastAsia="Times New Roman" w:cs="Times New Roman"/>
          <w:spacing w:val="-7"/>
          <w:sz w:val="24"/>
          <w:szCs w:val="24"/>
        </w:rPr>
        <w:t>4#</w:t>
      </w:r>
      <w:r>
        <w:rPr>
          <w:rFonts w:ascii="宋体" w:hAnsi="宋体" w:eastAsia="宋体" w:cs="宋体"/>
          <w:spacing w:val="-7"/>
          <w:sz w:val="24"/>
          <w:szCs w:val="24"/>
        </w:rPr>
        <w:t>独格里排隧洞施工期会产生隧</w:t>
      </w:r>
      <w:r>
        <w:rPr>
          <w:rFonts w:ascii="宋体" w:hAnsi="宋体" w:eastAsia="宋体" w:cs="宋体"/>
          <w:spacing w:val="-8"/>
          <w:sz w:val="24"/>
          <w:szCs w:val="24"/>
        </w:rPr>
        <w:t>洞涌水， 对区</w:t>
      </w:r>
    </w:p>
    <w:p>
      <w:pPr>
        <w:spacing w:line="219" w:lineRule="auto"/>
        <w:rPr>
          <w:rFonts w:ascii="宋体" w:hAnsi="宋体" w:eastAsia="宋体" w:cs="宋体"/>
          <w:sz w:val="24"/>
          <w:szCs w:val="24"/>
        </w:rPr>
        <w:sectPr>
          <w:footerReference r:id="rId144" w:type="default"/>
          <w:pgSz w:w="11920" w:h="16840"/>
          <w:pgMar w:top="1183" w:right="1508" w:bottom="1358" w:left="1629" w:header="908" w:footer="1195" w:gutter="0"/>
        </w:sectPr>
      </w:pPr>
    </w:p>
    <w:p>
      <w:pPr>
        <w:spacing w:before="37" w:line="359" w:lineRule="auto"/>
        <w:ind w:left="39" w:right="28"/>
        <w:jc w:val="both"/>
        <w:rPr>
          <w:rFonts w:ascii="宋体" w:hAnsi="宋体" w:eastAsia="宋体" w:cs="宋体"/>
          <w:sz w:val="24"/>
          <w:szCs w:val="24"/>
        </w:rPr>
      </w:pPr>
      <w:r>
        <w:rPr>
          <w:rFonts w:ascii="宋体" w:hAnsi="宋体" w:eastAsia="宋体" w:cs="宋体"/>
          <w:spacing w:val="-6"/>
          <w:sz w:val="24"/>
          <w:szCs w:val="24"/>
        </w:rPr>
        <w:t>域地下水水位有一定影响。根据区域水文地质资料，</w:t>
      </w:r>
      <w:r>
        <w:rPr>
          <w:rFonts w:ascii="宋体" w:hAnsi="宋体" w:eastAsia="宋体" w:cs="宋体"/>
          <w:spacing w:val="-56"/>
          <w:sz w:val="24"/>
          <w:szCs w:val="24"/>
        </w:rPr>
        <w:t xml:space="preserve"> </w:t>
      </w:r>
      <w:r>
        <w:rPr>
          <w:rFonts w:ascii="宋体" w:hAnsi="宋体" w:eastAsia="宋体" w:cs="宋体"/>
          <w:spacing w:val="-6"/>
          <w:sz w:val="24"/>
          <w:szCs w:val="24"/>
        </w:rPr>
        <w:t>马茨河</w:t>
      </w:r>
      <w:r>
        <w:rPr>
          <w:rFonts w:ascii="宋体" w:hAnsi="宋体" w:eastAsia="宋体" w:cs="宋体"/>
          <w:spacing w:val="-7"/>
          <w:sz w:val="24"/>
          <w:szCs w:val="24"/>
        </w:rPr>
        <w:t>隧洞、六姑乍箐隧洞、独</w:t>
      </w:r>
      <w:r>
        <w:rPr>
          <w:rFonts w:ascii="宋体" w:hAnsi="宋体" w:eastAsia="宋体" w:cs="宋体"/>
          <w:sz w:val="24"/>
          <w:szCs w:val="24"/>
        </w:rPr>
        <w:t xml:space="preserve"> </w:t>
      </w:r>
      <w:r>
        <w:rPr>
          <w:rFonts w:ascii="宋体" w:hAnsi="宋体" w:eastAsia="宋体" w:cs="宋体"/>
          <w:spacing w:val="2"/>
          <w:sz w:val="24"/>
          <w:szCs w:val="24"/>
        </w:rPr>
        <w:t>格里排隧洞上方及地下水疏干影响范围内无泉点分布，隧洞沿线居民点饮</w:t>
      </w:r>
      <w:r>
        <w:rPr>
          <w:rFonts w:ascii="宋体" w:hAnsi="宋体" w:eastAsia="宋体" w:cs="宋体"/>
          <w:spacing w:val="1"/>
          <w:sz w:val="24"/>
          <w:szCs w:val="24"/>
        </w:rPr>
        <w:t>用水为山</w:t>
      </w:r>
    </w:p>
    <w:p>
      <w:pPr>
        <w:spacing w:line="219" w:lineRule="auto"/>
        <w:ind w:left="44"/>
        <w:rPr>
          <w:rFonts w:ascii="宋体" w:hAnsi="宋体" w:eastAsia="宋体" w:cs="宋体"/>
          <w:sz w:val="24"/>
          <w:szCs w:val="24"/>
        </w:rPr>
      </w:pPr>
      <w:r>
        <w:rPr>
          <w:rFonts w:ascii="宋体" w:hAnsi="宋体" w:eastAsia="宋体" w:cs="宋体"/>
          <w:spacing w:val="-9"/>
          <w:sz w:val="24"/>
          <w:szCs w:val="24"/>
        </w:rPr>
        <w:t>箐水， 隧洞施工对周边居民点用水影响小。</w:t>
      </w:r>
    </w:p>
    <w:p>
      <w:pPr>
        <w:spacing w:before="181" w:line="219" w:lineRule="auto"/>
        <w:ind w:left="538"/>
        <w:rPr>
          <w:rFonts w:ascii="宋体" w:hAnsi="宋体" w:eastAsia="宋体" w:cs="宋体"/>
          <w:sz w:val="24"/>
          <w:szCs w:val="24"/>
        </w:rPr>
      </w:pPr>
      <w:r>
        <w:rPr>
          <w:rFonts w:ascii="宋体" w:hAnsi="宋体" w:eastAsia="宋体" w:cs="宋体"/>
          <w:spacing w:val="-2"/>
          <w:sz w:val="24"/>
          <w:szCs w:val="24"/>
        </w:rPr>
        <w:t>因此从环境的角度综合分析，输水管线的布置</w:t>
      </w:r>
      <w:r>
        <w:rPr>
          <w:rFonts w:ascii="宋体" w:hAnsi="宋体" w:eastAsia="宋体" w:cs="宋体"/>
          <w:spacing w:val="-3"/>
          <w:sz w:val="24"/>
          <w:szCs w:val="24"/>
        </w:rPr>
        <w:t>是合理可行的。</w:t>
      </w:r>
    </w:p>
    <w:p>
      <w:pPr>
        <w:spacing w:before="182"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）料场选址合理性分析</w:t>
      </w:r>
    </w:p>
    <w:p>
      <w:pPr>
        <w:spacing w:before="181" w:line="359" w:lineRule="auto"/>
        <w:ind w:left="57" w:right="28" w:firstLine="462"/>
        <w:rPr>
          <w:rFonts w:ascii="宋体" w:hAnsi="宋体" w:eastAsia="宋体" w:cs="宋体"/>
          <w:sz w:val="24"/>
          <w:szCs w:val="24"/>
        </w:rPr>
      </w:pPr>
      <w:r>
        <w:rPr>
          <w:rFonts w:ascii="宋体" w:hAnsi="宋体" w:eastAsia="宋体" w:cs="宋体"/>
          <w:spacing w:val="-5"/>
          <w:sz w:val="24"/>
          <w:szCs w:val="24"/>
        </w:rPr>
        <w:t>料场（风化料场、粘土料场、砂石料场）不涉及自然保护区、水源地、风景名胜</w:t>
      </w:r>
      <w:r>
        <w:rPr>
          <w:rFonts w:ascii="宋体" w:hAnsi="宋体" w:eastAsia="宋体" w:cs="宋体"/>
          <w:spacing w:val="6"/>
          <w:sz w:val="24"/>
          <w:szCs w:val="24"/>
        </w:rPr>
        <w:t xml:space="preserve"> </w:t>
      </w:r>
      <w:r>
        <w:rPr>
          <w:rFonts w:ascii="宋体" w:hAnsi="宋体" w:eastAsia="宋体" w:cs="宋体"/>
          <w:spacing w:val="-7"/>
          <w:sz w:val="24"/>
          <w:szCs w:val="24"/>
        </w:rPr>
        <w:t>区、名木古树及文物古迹保护单位、保护动植物、世界自然遗产地等环境敏感区，</w:t>
      </w:r>
      <w:r>
        <w:rPr>
          <w:rFonts w:ascii="宋体" w:hAnsi="宋体" w:eastAsia="宋体" w:cs="宋体"/>
          <w:spacing w:val="-47"/>
          <w:sz w:val="24"/>
          <w:szCs w:val="24"/>
        </w:rPr>
        <w:t xml:space="preserve"> </w:t>
      </w:r>
      <w:r>
        <w:rPr>
          <w:rFonts w:ascii="宋体" w:hAnsi="宋体" w:eastAsia="宋体" w:cs="宋体"/>
          <w:spacing w:val="-7"/>
          <w:sz w:val="24"/>
          <w:szCs w:val="24"/>
        </w:rPr>
        <w:t>不</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涉及基本农田及公益林，不涉及生态保护红线。</w:t>
      </w:r>
    </w:p>
    <w:p>
      <w:pPr>
        <w:spacing w:before="184" w:line="359" w:lineRule="auto"/>
        <w:ind w:left="38" w:right="28" w:firstLine="480"/>
        <w:rPr>
          <w:rFonts w:ascii="宋体" w:hAnsi="宋体" w:eastAsia="宋体" w:cs="宋体"/>
          <w:sz w:val="24"/>
          <w:szCs w:val="24"/>
        </w:rPr>
      </w:pPr>
      <w:r>
        <w:rPr>
          <w:rFonts w:ascii="宋体" w:hAnsi="宋体" w:eastAsia="宋体" w:cs="宋体"/>
          <w:spacing w:val="2"/>
          <w:sz w:val="24"/>
          <w:szCs w:val="24"/>
        </w:rPr>
        <w:t xml:space="preserve">砂石料场爆破作业产生的瞬时噪声经测算要达到《建筑施工场界环境噪声排放 </w:t>
      </w:r>
      <w:r>
        <w:rPr>
          <w:rFonts w:ascii="宋体" w:hAnsi="宋体" w:eastAsia="宋体" w:cs="宋体"/>
          <w:spacing w:val="-9"/>
          <w:sz w:val="24"/>
          <w:szCs w:val="24"/>
        </w:rPr>
        <w:t>标准》（</w:t>
      </w:r>
      <w:r>
        <w:rPr>
          <w:rFonts w:ascii="Times New Roman" w:hAnsi="Times New Roman" w:eastAsia="Times New Roman" w:cs="Times New Roman"/>
          <w:spacing w:val="-9"/>
          <w:sz w:val="24"/>
          <w:szCs w:val="24"/>
        </w:rPr>
        <w:t>GB12523-2011</w:t>
      </w:r>
      <w:r>
        <w:rPr>
          <w:rFonts w:ascii="宋体" w:hAnsi="宋体" w:eastAsia="宋体" w:cs="宋体"/>
          <w:spacing w:val="-58"/>
          <w:w w:val="87"/>
          <w:sz w:val="24"/>
          <w:szCs w:val="24"/>
        </w:rPr>
        <w:t>）（</w:t>
      </w:r>
      <w:r>
        <w:rPr>
          <w:rFonts w:ascii="宋体" w:hAnsi="宋体" w:eastAsia="宋体" w:cs="宋体"/>
          <w:spacing w:val="-9"/>
          <w:sz w:val="24"/>
          <w:szCs w:val="24"/>
        </w:rPr>
        <w:t>昼间</w:t>
      </w:r>
      <w:r>
        <w:rPr>
          <w:rFonts w:ascii="宋体" w:hAnsi="宋体" w:eastAsia="宋体" w:cs="宋体"/>
          <w:spacing w:val="-20"/>
          <w:sz w:val="24"/>
          <w:szCs w:val="24"/>
        </w:rPr>
        <w:t xml:space="preserve"> </w:t>
      </w:r>
      <w:r>
        <w:rPr>
          <w:rFonts w:ascii="Times New Roman" w:hAnsi="Times New Roman" w:eastAsia="Times New Roman" w:cs="Times New Roman"/>
          <w:spacing w:val="-9"/>
          <w:sz w:val="24"/>
          <w:szCs w:val="24"/>
        </w:rPr>
        <w:t>70d</w:t>
      </w:r>
      <w:r>
        <w:rPr>
          <w:rFonts w:ascii="Times New Roman" w:hAnsi="Times New Roman" w:eastAsia="Times New Roman" w:cs="Times New Roman"/>
          <w:spacing w:val="-10"/>
          <w:sz w:val="24"/>
          <w:szCs w:val="24"/>
        </w:rPr>
        <w:t>B(A)</w:t>
      </w:r>
      <w:r>
        <w:rPr>
          <w:rFonts w:ascii="宋体" w:hAnsi="宋体" w:eastAsia="宋体" w:cs="宋体"/>
          <w:spacing w:val="-10"/>
          <w:sz w:val="24"/>
          <w:szCs w:val="24"/>
        </w:rPr>
        <w:t>，夜间</w:t>
      </w:r>
      <w:r>
        <w:rPr>
          <w:rFonts w:ascii="宋体" w:hAnsi="宋体" w:eastAsia="宋体" w:cs="宋体"/>
          <w:spacing w:val="-48"/>
          <w:sz w:val="24"/>
          <w:szCs w:val="24"/>
        </w:rPr>
        <w:t xml:space="preserve"> </w:t>
      </w:r>
      <w:r>
        <w:rPr>
          <w:rFonts w:ascii="Times New Roman" w:hAnsi="Times New Roman" w:eastAsia="Times New Roman" w:cs="Times New Roman"/>
          <w:spacing w:val="-10"/>
          <w:sz w:val="24"/>
          <w:szCs w:val="24"/>
        </w:rPr>
        <w:t>55dB(A)</w:t>
      </w:r>
      <w:r>
        <w:rPr>
          <w:rFonts w:ascii="宋体" w:hAnsi="宋体" w:eastAsia="宋体" w:cs="宋体"/>
          <w:spacing w:val="-58"/>
          <w:w w:val="87"/>
          <w:sz w:val="24"/>
          <w:szCs w:val="24"/>
        </w:rPr>
        <w:t>），</w:t>
      </w:r>
      <w:r>
        <w:rPr>
          <w:rFonts w:ascii="宋体" w:hAnsi="宋体" w:eastAsia="宋体" w:cs="宋体"/>
          <w:spacing w:val="-10"/>
          <w:sz w:val="24"/>
          <w:szCs w:val="24"/>
        </w:rPr>
        <w:t>达标距离需在</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1000m</w:t>
      </w:r>
      <w:r>
        <w:rPr>
          <w:rFonts w:ascii="Times New Roman" w:hAnsi="Times New Roman" w:eastAsia="Times New Roman" w:cs="Times New Roman"/>
          <w:spacing w:val="37"/>
          <w:sz w:val="24"/>
          <w:szCs w:val="24"/>
        </w:rPr>
        <w:t xml:space="preserve"> </w:t>
      </w:r>
      <w:r>
        <w:rPr>
          <w:rFonts w:ascii="宋体" w:hAnsi="宋体" w:eastAsia="宋体" w:cs="宋体"/>
          <w:spacing w:val="-10"/>
          <w:sz w:val="24"/>
          <w:szCs w:val="24"/>
        </w:rPr>
        <w:t>以外。</w:t>
      </w:r>
      <w:r>
        <w:rPr>
          <w:rFonts w:ascii="宋体" w:hAnsi="宋体" w:eastAsia="宋体" w:cs="宋体"/>
          <w:sz w:val="24"/>
          <w:szCs w:val="24"/>
        </w:rPr>
        <w:t xml:space="preserve"> </w:t>
      </w:r>
      <w:r>
        <w:rPr>
          <w:rFonts w:ascii="宋体" w:hAnsi="宋体" w:eastAsia="宋体" w:cs="宋体"/>
          <w:spacing w:val="-5"/>
          <w:sz w:val="24"/>
          <w:szCs w:val="24"/>
        </w:rPr>
        <w:t>砂石料场周边</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1km</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范围内仅分布岔处地</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处居</w:t>
      </w:r>
      <w:r>
        <w:rPr>
          <w:rFonts w:ascii="宋体" w:hAnsi="宋体" w:eastAsia="宋体" w:cs="宋体"/>
          <w:spacing w:val="-6"/>
          <w:sz w:val="24"/>
          <w:szCs w:val="24"/>
        </w:rPr>
        <w:t>民点，距离采区</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210m</w:t>
      </w:r>
      <w:r>
        <w:rPr>
          <w:rFonts w:ascii="宋体" w:hAnsi="宋体" w:eastAsia="宋体" w:cs="宋体"/>
          <w:spacing w:val="-6"/>
          <w:sz w:val="24"/>
          <w:szCs w:val="24"/>
        </w:rPr>
        <w:t>，爆破噪声对其</w:t>
      </w:r>
      <w:r>
        <w:rPr>
          <w:rFonts w:ascii="宋体" w:hAnsi="宋体" w:eastAsia="宋体" w:cs="宋体"/>
          <w:sz w:val="24"/>
          <w:szCs w:val="24"/>
        </w:rPr>
        <w:t xml:space="preserve"> </w:t>
      </w:r>
      <w:r>
        <w:rPr>
          <w:rFonts w:ascii="宋体" w:hAnsi="宋体" w:eastAsia="宋体" w:cs="宋体"/>
          <w:spacing w:val="-10"/>
          <w:sz w:val="24"/>
          <w:szCs w:val="24"/>
        </w:rPr>
        <w:t>影响大，</w:t>
      </w:r>
      <w:r>
        <w:rPr>
          <w:rFonts w:ascii="宋体" w:hAnsi="宋体" w:eastAsia="宋体" w:cs="宋体"/>
          <w:spacing w:val="-28"/>
          <w:sz w:val="24"/>
          <w:szCs w:val="24"/>
        </w:rPr>
        <w:t xml:space="preserve"> </w:t>
      </w:r>
      <w:r>
        <w:rPr>
          <w:rFonts w:ascii="宋体" w:hAnsi="宋体" w:eastAsia="宋体" w:cs="宋体"/>
          <w:spacing w:val="-10"/>
          <w:sz w:val="24"/>
          <w:szCs w:val="24"/>
        </w:rPr>
        <w:t>但随爆破作业结束影响消失。同时砂石料加工会产生噪声和粉尘， 其影响范</w:t>
      </w:r>
      <w:r>
        <w:rPr>
          <w:rFonts w:ascii="宋体" w:hAnsi="宋体" w:eastAsia="宋体" w:cs="宋体"/>
          <w:sz w:val="24"/>
          <w:szCs w:val="24"/>
        </w:rPr>
        <w:t xml:space="preserve"> </w:t>
      </w:r>
      <w:r>
        <w:rPr>
          <w:rFonts w:ascii="宋体" w:hAnsi="宋体" w:eastAsia="宋体" w:cs="宋体"/>
          <w:spacing w:val="-8"/>
          <w:sz w:val="24"/>
          <w:szCs w:val="24"/>
        </w:rPr>
        <w:t>围内的居民点仅为岔处地，通过采取减振、隔声以及洒水降尘措施， 砂石料加工区噪</w:t>
      </w:r>
    </w:p>
    <w:p>
      <w:pPr>
        <w:spacing w:before="1" w:line="219" w:lineRule="auto"/>
        <w:ind w:left="44"/>
        <w:rPr>
          <w:rFonts w:ascii="宋体" w:hAnsi="宋体" w:eastAsia="宋体" w:cs="宋体"/>
          <w:sz w:val="24"/>
          <w:szCs w:val="24"/>
        </w:rPr>
      </w:pPr>
      <w:r>
        <w:rPr>
          <w:rFonts w:ascii="宋体" w:hAnsi="宋体" w:eastAsia="宋体" w:cs="宋体"/>
          <w:spacing w:val="-12"/>
          <w:sz w:val="24"/>
          <w:szCs w:val="24"/>
        </w:rPr>
        <w:t>声、</w:t>
      </w:r>
      <w:r>
        <w:rPr>
          <w:rFonts w:ascii="宋体" w:hAnsi="宋体" w:eastAsia="宋体" w:cs="宋体"/>
          <w:spacing w:val="-33"/>
          <w:sz w:val="24"/>
          <w:szCs w:val="24"/>
        </w:rPr>
        <w:t xml:space="preserve"> </w:t>
      </w:r>
      <w:r>
        <w:rPr>
          <w:rFonts w:ascii="宋体" w:hAnsi="宋体" w:eastAsia="宋体" w:cs="宋体"/>
          <w:spacing w:val="-12"/>
          <w:sz w:val="24"/>
          <w:szCs w:val="24"/>
        </w:rPr>
        <w:t>粉尘对其影响降低。</w:t>
      </w:r>
    </w:p>
    <w:p>
      <w:pPr>
        <w:spacing w:before="182" w:line="359" w:lineRule="auto"/>
        <w:ind w:left="38" w:right="28" w:firstLine="480"/>
        <w:rPr>
          <w:rFonts w:ascii="宋体" w:hAnsi="宋体" w:eastAsia="宋体" w:cs="宋体"/>
          <w:sz w:val="24"/>
          <w:szCs w:val="24"/>
        </w:rPr>
      </w:pPr>
      <w:r>
        <w:rPr>
          <w:rFonts w:ascii="宋体" w:hAnsi="宋体" w:eastAsia="宋体" w:cs="宋体"/>
          <w:spacing w:val="-4"/>
          <w:sz w:val="24"/>
          <w:szCs w:val="24"/>
        </w:rPr>
        <w:t>粘土料场、风化料场周边</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500m</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范围内居民点仅为皮左黑村，通过采取合理安排</w:t>
      </w:r>
      <w:r>
        <w:rPr>
          <w:rFonts w:ascii="宋体" w:hAnsi="宋体" w:eastAsia="宋体" w:cs="宋体"/>
          <w:sz w:val="24"/>
          <w:szCs w:val="24"/>
        </w:rPr>
        <w:t xml:space="preserve"> </w:t>
      </w:r>
      <w:r>
        <w:rPr>
          <w:rFonts w:ascii="宋体" w:hAnsi="宋体" w:eastAsia="宋体" w:cs="宋体"/>
          <w:spacing w:val="-7"/>
          <w:sz w:val="24"/>
          <w:szCs w:val="24"/>
        </w:rPr>
        <w:t>施工时间、加强施工管理、洒水降尘等措施，</w:t>
      </w:r>
      <w:r>
        <w:rPr>
          <w:rFonts w:ascii="宋体" w:hAnsi="宋体" w:eastAsia="宋体" w:cs="宋体"/>
          <w:spacing w:val="-28"/>
          <w:sz w:val="24"/>
          <w:szCs w:val="24"/>
        </w:rPr>
        <w:t xml:space="preserve"> </w:t>
      </w:r>
      <w:r>
        <w:rPr>
          <w:rFonts w:ascii="宋体" w:hAnsi="宋体" w:eastAsia="宋体" w:cs="宋体"/>
          <w:spacing w:val="-7"/>
          <w:sz w:val="24"/>
          <w:szCs w:val="24"/>
        </w:rPr>
        <w:t>粘土料场、风化料场噪声、粉尘</w:t>
      </w:r>
      <w:r>
        <w:rPr>
          <w:rFonts w:ascii="宋体" w:hAnsi="宋体" w:eastAsia="宋体" w:cs="宋体"/>
          <w:spacing w:val="-8"/>
          <w:sz w:val="24"/>
          <w:szCs w:val="24"/>
        </w:rPr>
        <w:t>对其影</w:t>
      </w:r>
    </w:p>
    <w:p>
      <w:pPr>
        <w:spacing w:line="219" w:lineRule="auto"/>
        <w:ind w:left="51"/>
        <w:rPr>
          <w:rFonts w:ascii="宋体" w:hAnsi="宋体" w:eastAsia="宋体" w:cs="宋体"/>
          <w:sz w:val="24"/>
          <w:szCs w:val="24"/>
        </w:rPr>
      </w:pPr>
      <w:r>
        <w:rPr>
          <w:rFonts w:ascii="宋体" w:hAnsi="宋体" w:eastAsia="宋体" w:cs="宋体"/>
          <w:spacing w:val="-11"/>
          <w:sz w:val="24"/>
          <w:szCs w:val="24"/>
        </w:rPr>
        <w:t>响降低。</w:t>
      </w:r>
    </w:p>
    <w:p>
      <w:pPr>
        <w:spacing w:before="182" w:line="220" w:lineRule="auto"/>
        <w:ind w:left="522"/>
        <w:rPr>
          <w:rFonts w:ascii="宋体" w:hAnsi="宋体" w:eastAsia="宋体" w:cs="宋体"/>
          <w:sz w:val="24"/>
          <w:szCs w:val="24"/>
        </w:rPr>
      </w:pPr>
      <w:r>
        <w:rPr>
          <w:rFonts w:ascii="宋体" w:hAnsi="宋体" w:eastAsia="宋体" w:cs="宋体"/>
          <w:spacing w:val="-3"/>
          <w:sz w:val="24"/>
          <w:szCs w:val="24"/>
        </w:rPr>
        <w:t>综上，项目料场选址环境合理。</w:t>
      </w:r>
    </w:p>
    <w:p>
      <w:pPr>
        <w:spacing w:before="181"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）渣场选址合理性</w:t>
      </w:r>
    </w:p>
    <w:p>
      <w:pPr>
        <w:spacing w:before="180" w:line="219" w:lineRule="auto"/>
        <w:ind w:left="519"/>
        <w:rPr>
          <w:rFonts w:ascii="宋体" w:hAnsi="宋体" w:eastAsia="宋体" w:cs="宋体"/>
          <w:sz w:val="24"/>
          <w:szCs w:val="24"/>
        </w:rPr>
      </w:pPr>
      <w:r>
        <w:rPr>
          <w:rFonts w:ascii="宋体" w:hAnsi="宋体" w:eastAsia="宋体" w:cs="宋体"/>
          <w:spacing w:val="-3"/>
          <w:sz w:val="24"/>
          <w:szCs w:val="24"/>
        </w:rPr>
        <w:t>根据施工区地形及弃渣量规划情况，共布置</w:t>
      </w:r>
      <w:r>
        <w:rPr>
          <w:rFonts w:ascii="宋体" w:hAnsi="宋体" w:eastAsia="宋体" w:cs="宋体"/>
          <w:spacing w:val="-16"/>
          <w:sz w:val="24"/>
          <w:szCs w:val="24"/>
        </w:rPr>
        <w:t xml:space="preserve"> </w:t>
      </w:r>
      <w:r>
        <w:rPr>
          <w:rFonts w:ascii="Times New Roman" w:hAnsi="Times New Roman" w:eastAsia="Times New Roman" w:cs="Times New Roman"/>
          <w:spacing w:val="-3"/>
          <w:sz w:val="24"/>
          <w:szCs w:val="24"/>
        </w:rPr>
        <w:t>18#</w:t>
      </w:r>
      <w:r>
        <w:rPr>
          <w:rFonts w:ascii="宋体" w:hAnsi="宋体" w:eastAsia="宋体" w:cs="宋体"/>
          <w:spacing w:val="-3"/>
          <w:sz w:val="24"/>
          <w:szCs w:val="24"/>
        </w:rPr>
        <w:t>座弃渣场。</w:t>
      </w:r>
    </w:p>
    <w:p>
      <w:pPr>
        <w:spacing w:before="183" w:line="359" w:lineRule="auto"/>
        <w:ind w:left="39" w:right="28" w:firstLine="483"/>
        <w:rPr>
          <w:rFonts w:ascii="宋体" w:hAnsi="宋体" w:eastAsia="宋体" w:cs="宋体"/>
          <w:sz w:val="24"/>
          <w:szCs w:val="24"/>
        </w:rPr>
      </w:pPr>
      <w:r>
        <w:rPr>
          <w:rFonts w:ascii="宋体" w:hAnsi="宋体" w:eastAsia="宋体" w:cs="宋体"/>
          <w:spacing w:val="-5"/>
          <w:sz w:val="24"/>
          <w:szCs w:val="24"/>
        </w:rPr>
        <w:t>项目渣场不涉及自然保护区、水源地、风景名胜区、名木古树及文物古迹保护单</w:t>
      </w:r>
      <w:r>
        <w:rPr>
          <w:rFonts w:ascii="宋体" w:hAnsi="宋体" w:eastAsia="宋体" w:cs="宋体"/>
          <w:spacing w:val="3"/>
          <w:sz w:val="24"/>
          <w:szCs w:val="24"/>
        </w:rPr>
        <w:t xml:space="preserve"> </w:t>
      </w:r>
      <w:r>
        <w:rPr>
          <w:rFonts w:ascii="宋体" w:hAnsi="宋体" w:eastAsia="宋体" w:cs="宋体"/>
          <w:spacing w:val="-6"/>
          <w:sz w:val="24"/>
          <w:szCs w:val="24"/>
        </w:rPr>
        <w:t>位、保护动植物、世界自然遗产地等环境敏感区，</w:t>
      </w:r>
      <w:r>
        <w:rPr>
          <w:rFonts w:ascii="宋体" w:hAnsi="宋体" w:eastAsia="宋体" w:cs="宋体"/>
          <w:spacing w:val="-61"/>
          <w:sz w:val="24"/>
          <w:szCs w:val="24"/>
        </w:rPr>
        <w:t xml:space="preserve"> </w:t>
      </w:r>
      <w:r>
        <w:rPr>
          <w:rFonts w:ascii="宋体" w:hAnsi="宋体" w:eastAsia="宋体" w:cs="宋体"/>
          <w:spacing w:val="-6"/>
          <w:sz w:val="24"/>
          <w:szCs w:val="24"/>
        </w:rPr>
        <w:t>不涉及基本农田及公益林，不涉及</w:t>
      </w:r>
    </w:p>
    <w:p>
      <w:pPr>
        <w:spacing w:line="219" w:lineRule="auto"/>
        <w:ind w:left="41"/>
        <w:rPr>
          <w:rFonts w:ascii="宋体" w:hAnsi="宋体" w:eastAsia="宋体" w:cs="宋体"/>
          <w:sz w:val="24"/>
          <w:szCs w:val="24"/>
        </w:rPr>
      </w:pPr>
      <w:r>
        <w:rPr>
          <w:rFonts w:ascii="宋体" w:hAnsi="宋体" w:eastAsia="宋体" w:cs="宋体"/>
          <w:spacing w:val="-3"/>
          <w:sz w:val="24"/>
          <w:szCs w:val="24"/>
        </w:rPr>
        <w:t>生态保护红线。渣场不在库区淹没区范围。</w:t>
      </w:r>
    </w:p>
    <w:p>
      <w:pPr>
        <w:spacing w:before="182" w:line="466" w:lineRule="exact"/>
        <w:ind w:right="32"/>
        <w:jc w:val="right"/>
        <w:rPr>
          <w:rFonts w:ascii="宋体" w:hAnsi="宋体" w:eastAsia="宋体" w:cs="宋体"/>
          <w:sz w:val="24"/>
          <w:szCs w:val="24"/>
        </w:rPr>
      </w:pPr>
      <w:r>
        <w:rPr>
          <w:rFonts w:ascii="宋体" w:hAnsi="宋体" w:eastAsia="宋体" w:cs="宋体"/>
          <w:spacing w:val="-13"/>
          <w:position w:val="17"/>
          <w:sz w:val="24"/>
          <w:szCs w:val="24"/>
        </w:rPr>
        <w:t>经实地调查，弃渣场为沟谷型，</w:t>
      </w:r>
      <w:r>
        <w:rPr>
          <w:rFonts w:ascii="宋体" w:hAnsi="宋体" w:eastAsia="宋体" w:cs="宋体"/>
          <w:spacing w:val="25"/>
          <w:position w:val="17"/>
          <w:sz w:val="24"/>
          <w:szCs w:val="24"/>
        </w:rPr>
        <w:t xml:space="preserve"> </w:t>
      </w:r>
      <w:r>
        <w:rPr>
          <w:rFonts w:ascii="宋体" w:hAnsi="宋体" w:eastAsia="宋体" w:cs="宋体"/>
          <w:spacing w:val="-13"/>
          <w:position w:val="17"/>
          <w:sz w:val="24"/>
          <w:szCs w:val="24"/>
        </w:rPr>
        <w:t>不占用河道范围，</w:t>
      </w:r>
      <w:r>
        <w:rPr>
          <w:rFonts w:ascii="宋体" w:hAnsi="宋体" w:eastAsia="宋体" w:cs="宋体"/>
          <w:spacing w:val="26"/>
          <w:position w:val="17"/>
          <w:sz w:val="24"/>
          <w:szCs w:val="24"/>
        </w:rPr>
        <w:t xml:space="preserve"> </w:t>
      </w:r>
      <w:r>
        <w:rPr>
          <w:rFonts w:ascii="宋体" w:hAnsi="宋体" w:eastAsia="宋体" w:cs="宋体"/>
          <w:spacing w:val="-13"/>
          <w:position w:val="17"/>
          <w:sz w:val="24"/>
          <w:szCs w:val="24"/>
        </w:rPr>
        <w:t>弃渣场</w:t>
      </w:r>
      <w:r>
        <w:rPr>
          <w:rFonts w:ascii="宋体" w:hAnsi="宋体" w:eastAsia="宋体" w:cs="宋体"/>
          <w:spacing w:val="-14"/>
          <w:position w:val="17"/>
          <w:sz w:val="24"/>
          <w:szCs w:val="24"/>
        </w:rPr>
        <w:t>下方无居民点，无重大</w:t>
      </w:r>
    </w:p>
    <w:p>
      <w:pPr>
        <w:spacing w:before="1" w:line="219" w:lineRule="auto"/>
        <w:ind w:left="39"/>
        <w:rPr>
          <w:rFonts w:ascii="宋体" w:hAnsi="宋体" w:eastAsia="宋体" w:cs="宋体"/>
          <w:sz w:val="24"/>
          <w:szCs w:val="24"/>
        </w:rPr>
      </w:pPr>
      <w:r>
        <w:rPr>
          <w:rFonts w:ascii="宋体" w:hAnsi="宋体" w:eastAsia="宋体" w:cs="宋体"/>
          <w:spacing w:val="-6"/>
          <w:sz w:val="24"/>
          <w:szCs w:val="24"/>
        </w:rPr>
        <w:t>环境制约因素。</w:t>
      </w:r>
    </w:p>
    <w:p>
      <w:pPr>
        <w:spacing w:before="183" w:line="467" w:lineRule="exact"/>
        <w:ind w:right="32"/>
        <w:jc w:val="right"/>
        <w:rPr>
          <w:rFonts w:ascii="宋体" w:hAnsi="宋体" w:eastAsia="宋体" w:cs="宋体"/>
          <w:sz w:val="24"/>
          <w:szCs w:val="24"/>
        </w:rPr>
      </w:pPr>
      <w:r>
        <w:rPr>
          <w:rFonts w:ascii="宋体" w:hAnsi="宋体" w:eastAsia="宋体" w:cs="宋体"/>
          <w:spacing w:val="2"/>
          <w:position w:val="17"/>
          <w:sz w:val="24"/>
          <w:szCs w:val="24"/>
        </w:rPr>
        <w:t>弃渣场占地性质为临时占地，堆渣结束后，可通过复耕及植被恢复的</w:t>
      </w:r>
      <w:r>
        <w:rPr>
          <w:rFonts w:ascii="宋体" w:hAnsi="宋体" w:eastAsia="宋体" w:cs="宋体"/>
          <w:spacing w:val="1"/>
          <w:position w:val="17"/>
          <w:sz w:val="24"/>
          <w:szCs w:val="24"/>
        </w:rPr>
        <w:t>方式使弃</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渣对当地耕地及植被的不利影响得以减免或消除。</w:t>
      </w:r>
    </w:p>
    <w:p>
      <w:pPr>
        <w:spacing w:before="183" w:line="359" w:lineRule="auto"/>
        <w:ind w:left="39" w:right="28" w:firstLine="480"/>
        <w:rPr>
          <w:rFonts w:ascii="宋体" w:hAnsi="宋体" w:eastAsia="宋体" w:cs="宋体"/>
          <w:sz w:val="24"/>
          <w:szCs w:val="24"/>
        </w:rPr>
      </w:pPr>
      <w:r>
        <w:rPr>
          <w:rFonts w:ascii="宋体" w:hAnsi="宋体" w:eastAsia="宋体" w:cs="宋体"/>
          <w:spacing w:val="2"/>
          <w:sz w:val="24"/>
          <w:szCs w:val="24"/>
        </w:rPr>
        <w:t>渣场位置的选取结合了环境保护，综合考虑了地形、堆渣条件、渣料来源和渣</w:t>
      </w:r>
      <w:r>
        <w:rPr>
          <w:rFonts w:ascii="宋体" w:hAnsi="宋体" w:eastAsia="宋体" w:cs="宋体"/>
          <w:spacing w:val="1"/>
          <w:sz w:val="24"/>
          <w:szCs w:val="24"/>
        </w:rPr>
        <w:t xml:space="preserve"> </w:t>
      </w:r>
      <w:r>
        <w:rPr>
          <w:rFonts w:ascii="宋体" w:hAnsi="宋体" w:eastAsia="宋体" w:cs="宋体"/>
          <w:spacing w:val="-5"/>
          <w:sz w:val="24"/>
          <w:szCs w:val="24"/>
        </w:rPr>
        <w:t>量、环境敏感目标、运距等方面。各弃渣场的选择不涉及环境敏感区，只要按照工程</w:t>
      </w:r>
    </w:p>
    <w:p>
      <w:pPr>
        <w:spacing w:line="219" w:lineRule="auto"/>
        <w:ind w:left="41"/>
        <w:rPr>
          <w:rFonts w:ascii="宋体" w:hAnsi="宋体" w:eastAsia="宋体" w:cs="宋体"/>
          <w:sz w:val="24"/>
          <w:szCs w:val="24"/>
        </w:rPr>
      </w:pPr>
      <w:r>
        <w:rPr>
          <w:rFonts w:ascii="宋体" w:hAnsi="宋体" w:eastAsia="宋体" w:cs="宋体"/>
          <w:spacing w:val="-10"/>
          <w:sz w:val="24"/>
          <w:szCs w:val="24"/>
        </w:rPr>
        <w:t>主体设计、水土保持方案和环评要求做好渣场的挡护和排水工程， 加</w:t>
      </w:r>
      <w:r>
        <w:rPr>
          <w:rFonts w:ascii="宋体" w:hAnsi="宋体" w:eastAsia="宋体" w:cs="宋体"/>
          <w:spacing w:val="-11"/>
          <w:sz w:val="24"/>
          <w:szCs w:val="24"/>
        </w:rPr>
        <w:t>强施工管理， 弃</w:t>
      </w:r>
    </w:p>
    <w:p>
      <w:pPr>
        <w:spacing w:line="219" w:lineRule="auto"/>
        <w:rPr>
          <w:rFonts w:ascii="宋体" w:hAnsi="宋体" w:eastAsia="宋体" w:cs="宋体"/>
          <w:sz w:val="24"/>
          <w:szCs w:val="24"/>
        </w:rPr>
        <w:sectPr>
          <w:footerReference r:id="rId145" w:type="default"/>
          <w:pgSz w:w="11920" w:h="16840"/>
          <w:pgMar w:top="1183" w:right="1508" w:bottom="1358" w:left="1629" w:header="908" w:footer="1195" w:gutter="0"/>
        </w:sectPr>
      </w:pPr>
    </w:p>
    <w:p>
      <w:pPr>
        <w:spacing w:before="37" w:line="467" w:lineRule="exact"/>
        <w:ind w:left="39"/>
        <w:rPr>
          <w:rFonts w:ascii="宋体" w:hAnsi="宋体" w:eastAsia="宋体" w:cs="宋体"/>
          <w:sz w:val="24"/>
          <w:szCs w:val="24"/>
        </w:rPr>
      </w:pPr>
      <w:r>
        <w:rPr>
          <w:rFonts w:ascii="宋体" w:hAnsi="宋体" w:eastAsia="宋体" w:cs="宋体"/>
          <w:spacing w:val="-10"/>
          <w:position w:val="17"/>
          <w:sz w:val="24"/>
          <w:szCs w:val="24"/>
        </w:rPr>
        <w:t>渣场不会产生严重的水土流失， 不会影响河道</w:t>
      </w:r>
      <w:r>
        <w:rPr>
          <w:rFonts w:ascii="宋体" w:hAnsi="宋体" w:eastAsia="宋体" w:cs="宋体"/>
          <w:spacing w:val="-11"/>
          <w:position w:val="17"/>
          <w:sz w:val="24"/>
          <w:szCs w:val="24"/>
        </w:rPr>
        <w:t>行洪， 从环境保护角度看，弃渣场的选</w:t>
      </w:r>
    </w:p>
    <w:p>
      <w:pPr>
        <w:spacing w:line="220" w:lineRule="auto"/>
        <w:ind w:left="40"/>
        <w:rPr>
          <w:rFonts w:ascii="宋体" w:hAnsi="宋体" w:eastAsia="宋体" w:cs="宋体"/>
          <w:sz w:val="24"/>
          <w:szCs w:val="24"/>
        </w:rPr>
      </w:pPr>
      <w:r>
        <w:rPr>
          <w:rFonts w:ascii="宋体" w:hAnsi="宋体" w:eastAsia="宋体" w:cs="宋体"/>
          <w:spacing w:val="-7"/>
          <w:sz w:val="24"/>
          <w:szCs w:val="24"/>
        </w:rPr>
        <w:t>址可行。</w:t>
      </w:r>
    </w:p>
    <w:p>
      <w:pPr>
        <w:spacing w:before="180" w:line="219"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宋体" w:hAnsi="宋体" w:eastAsia="宋体" w:cs="宋体"/>
          <w:spacing w:val="-1"/>
          <w:sz w:val="24"/>
          <w:szCs w:val="24"/>
        </w:rPr>
        <w:t>）施工生产生活区布置选址环境合理性分析</w:t>
      </w:r>
    </w:p>
    <w:p>
      <w:pPr>
        <w:spacing w:before="183" w:line="359" w:lineRule="auto"/>
        <w:ind w:left="37" w:right="668" w:firstLine="480"/>
        <w:rPr>
          <w:rFonts w:ascii="宋体" w:hAnsi="宋体" w:eastAsia="宋体" w:cs="宋体"/>
          <w:sz w:val="24"/>
          <w:szCs w:val="24"/>
        </w:rPr>
      </w:pPr>
      <w:r>
        <w:rPr>
          <w:rFonts w:ascii="宋体" w:hAnsi="宋体" w:eastAsia="宋体" w:cs="宋体"/>
          <w:spacing w:val="-1"/>
          <w:sz w:val="24"/>
          <w:szCs w:val="24"/>
        </w:rPr>
        <w:t>枢纽施工区设置</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处生产生活区，供部分施工人员食宿。引水工程施工</w:t>
      </w:r>
      <w:r>
        <w:rPr>
          <w:rFonts w:ascii="宋体" w:hAnsi="宋体" w:eastAsia="宋体" w:cs="宋体"/>
          <w:spacing w:val="-2"/>
          <w:sz w:val="24"/>
          <w:szCs w:val="24"/>
        </w:rPr>
        <w:t>区设置</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1 </w:t>
      </w:r>
      <w:r>
        <w:rPr>
          <w:rFonts w:ascii="宋体" w:hAnsi="宋体" w:eastAsia="宋体" w:cs="宋体"/>
          <w:sz w:val="24"/>
          <w:szCs w:val="24"/>
        </w:rPr>
        <w:t>处生产生活区，引洪工程施工区设置</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4 </w:t>
      </w:r>
      <w:r>
        <w:rPr>
          <w:rFonts w:ascii="宋体" w:hAnsi="宋体" w:eastAsia="宋体" w:cs="宋体"/>
          <w:sz w:val="24"/>
          <w:szCs w:val="24"/>
        </w:rPr>
        <w:t>处施工生产生</w:t>
      </w:r>
      <w:r>
        <w:rPr>
          <w:rFonts w:ascii="宋体" w:hAnsi="宋体" w:eastAsia="宋体" w:cs="宋体"/>
          <w:spacing w:val="-1"/>
          <w:sz w:val="24"/>
          <w:szCs w:val="24"/>
        </w:rPr>
        <w:t>活区区，输水工程施工区设</w:t>
      </w:r>
      <w:r>
        <w:rPr>
          <w:rFonts w:ascii="宋体" w:hAnsi="宋体" w:eastAsia="宋体" w:cs="宋体"/>
          <w:sz w:val="24"/>
          <w:szCs w:val="24"/>
        </w:rPr>
        <w:t xml:space="preserve"> </w:t>
      </w:r>
      <w:r>
        <w:rPr>
          <w:rFonts w:ascii="宋体" w:hAnsi="宋体" w:eastAsia="宋体" w:cs="宋体"/>
          <w:spacing w:val="-6"/>
          <w:sz w:val="24"/>
          <w:szCs w:val="24"/>
        </w:rPr>
        <w:t>置</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处施工生产生活区，均无食宿。</w:t>
      </w:r>
      <w:r>
        <w:rPr>
          <w:rFonts w:ascii="宋体" w:hAnsi="宋体" w:eastAsia="宋体" w:cs="宋体"/>
          <w:spacing w:val="42"/>
          <w:sz w:val="24"/>
          <w:szCs w:val="24"/>
        </w:rPr>
        <w:t xml:space="preserve"> </w:t>
      </w:r>
      <w:r>
        <w:rPr>
          <w:rFonts w:ascii="宋体" w:hAnsi="宋体" w:eastAsia="宋体" w:cs="宋体"/>
          <w:spacing w:val="-6"/>
          <w:sz w:val="24"/>
          <w:szCs w:val="24"/>
        </w:rPr>
        <w:t>施工生产生</w:t>
      </w:r>
      <w:r>
        <w:rPr>
          <w:rFonts w:ascii="宋体" w:hAnsi="宋体" w:eastAsia="宋体" w:cs="宋体"/>
          <w:spacing w:val="-7"/>
          <w:sz w:val="24"/>
          <w:szCs w:val="24"/>
        </w:rPr>
        <w:t>活区不涉及自然保护区、水源地、</w:t>
      </w:r>
      <w:r>
        <w:rPr>
          <w:rFonts w:ascii="宋体" w:hAnsi="宋体" w:eastAsia="宋体" w:cs="宋体"/>
          <w:sz w:val="24"/>
          <w:szCs w:val="24"/>
        </w:rPr>
        <w:t xml:space="preserve"> 风景名胜区、名木古树及文物古迹保护单位、保护动植物、世界</w:t>
      </w:r>
      <w:r>
        <w:rPr>
          <w:rFonts w:ascii="宋体" w:hAnsi="宋体" w:eastAsia="宋体" w:cs="宋体"/>
          <w:spacing w:val="-1"/>
          <w:sz w:val="24"/>
          <w:szCs w:val="24"/>
        </w:rPr>
        <w:t>自然遗产地等环境</w:t>
      </w:r>
    </w:p>
    <w:p>
      <w:pPr>
        <w:spacing w:before="1" w:line="218" w:lineRule="auto"/>
        <w:ind w:left="40"/>
        <w:rPr>
          <w:rFonts w:ascii="宋体" w:hAnsi="宋体" w:eastAsia="宋体" w:cs="宋体"/>
          <w:sz w:val="24"/>
          <w:szCs w:val="24"/>
        </w:rPr>
      </w:pPr>
      <w:r>
        <w:rPr>
          <w:rFonts w:ascii="宋体" w:hAnsi="宋体" w:eastAsia="宋体" w:cs="宋体"/>
          <w:spacing w:val="-1"/>
          <w:sz w:val="24"/>
          <w:szCs w:val="24"/>
        </w:rPr>
        <w:t>敏感区，不涉及基本农田及公益林，不涉及生态保护红线。</w:t>
      </w:r>
    </w:p>
    <w:p>
      <w:pPr>
        <w:spacing w:before="182" w:line="468" w:lineRule="exact"/>
        <w:ind w:left="518"/>
        <w:rPr>
          <w:rFonts w:ascii="宋体" w:hAnsi="宋体" w:eastAsia="宋体" w:cs="宋体"/>
          <w:sz w:val="24"/>
          <w:szCs w:val="24"/>
        </w:rPr>
      </w:pPr>
      <w:r>
        <w:rPr>
          <w:rFonts w:ascii="宋体" w:hAnsi="宋体" w:eastAsia="宋体" w:cs="宋体"/>
          <w:spacing w:val="2"/>
          <w:position w:val="17"/>
          <w:sz w:val="24"/>
          <w:szCs w:val="24"/>
        </w:rPr>
        <w:t>施工生产生活区占地性质为临时占地，施工结束后，可通过植被恢复的方式使</w:t>
      </w:r>
    </w:p>
    <w:p>
      <w:pPr>
        <w:spacing w:line="219" w:lineRule="auto"/>
        <w:ind w:left="38"/>
        <w:rPr>
          <w:rFonts w:ascii="宋体" w:hAnsi="宋体" w:eastAsia="宋体" w:cs="宋体"/>
          <w:sz w:val="24"/>
          <w:szCs w:val="24"/>
        </w:rPr>
      </w:pPr>
      <w:r>
        <w:rPr>
          <w:rFonts w:ascii="宋体" w:hAnsi="宋体" w:eastAsia="宋体" w:cs="宋体"/>
          <w:spacing w:val="-1"/>
          <w:sz w:val="24"/>
          <w:szCs w:val="24"/>
        </w:rPr>
        <w:t>施工区对当地植被的不利影响得以减免或消除。</w:t>
      </w:r>
    </w:p>
    <w:p>
      <w:pPr>
        <w:spacing w:line="394" w:lineRule="auto"/>
        <w:rPr>
          <w:rFonts w:ascii="Arial"/>
          <w:sz w:val="21"/>
        </w:rPr>
      </w:pPr>
    </w:p>
    <w:p>
      <w:pPr>
        <w:pStyle w:val="2"/>
        <w:spacing w:before="78" w:line="232" w:lineRule="auto"/>
        <w:ind w:left="35"/>
        <w:outlineLvl w:val="2"/>
        <w:rPr>
          <w:sz w:val="24"/>
          <w:szCs w:val="24"/>
        </w:rPr>
      </w:pPr>
      <w:r>
        <w:rPr>
          <w:rFonts w:ascii="Times New Roman" w:hAnsi="Times New Roman" w:eastAsia="Times New Roman" w:cs="Times New Roman"/>
          <w:b/>
          <w:bCs/>
          <w:sz w:val="24"/>
          <w:szCs w:val="24"/>
        </w:rPr>
        <w:t xml:space="preserve">2.4.5 </w:t>
      </w:r>
      <w:r>
        <w:rPr>
          <w:sz w:val="24"/>
          <w:szCs w:val="24"/>
          <w14:textOutline w14:w="4354" w14:cap="flat" w14:cmpd="sng">
            <w14:solidFill>
              <w14:srgbClr w14:val="000000"/>
            </w14:solidFill>
            <w14:prstDash w14:val="solid"/>
            <w14:miter w14:val="0"/>
          </w14:textOutline>
        </w:rPr>
        <w:t>施工期污染源分析</w:t>
      </w:r>
    </w:p>
    <w:p>
      <w:pPr>
        <w:spacing w:before="165" w:line="220" w:lineRule="auto"/>
        <w:ind w:left="518"/>
        <w:rPr>
          <w:rFonts w:ascii="宋体" w:hAnsi="宋体" w:eastAsia="宋体" w:cs="宋体"/>
          <w:sz w:val="24"/>
          <w:szCs w:val="24"/>
        </w:rPr>
      </w:pPr>
      <w:r>
        <w:rPr>
          <w:rFonts w:ascii="宋体" w:hAnsi="宋体" w:eastAsia="宋体" w:cs="宋体"/>
          <w:spacing w:val="-2"/>
          <w:sz w:val="24"/>
          <w:szCs w:val="24"/>
        </w:rPr>
        <w:t>施工期工艺流程</w:t>
      </w:r>
    </w:p>
    <w:p>
      <w:pPr>
        <w:spacing w:before="144" w:line="3326" w:lineRule="exact"/>
        <w:ind w:firstLine="510"/>
      </w:pPr>
      <w:r>
        <w:rPr>
          <w:position w:val="-66"/>
        </w:rPr>
        <w:drawing>
          <wp:inline distT="0" distB="0" distL="0" distR="0">
            <wp:extent cx="5605780" cy="21113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95"/>
                    <a:stretch>
                      <a:fillRect/>
                    </a:stretch>
                  </pic:blipFill>
                  <pic:spPr>
                    <a:xfrm>
                      <a:off x="0" y="0"/>
                      <a:ext cx="5606414" cy="2112009"/>
                    </a:xfrm>
                    <a:prstGeom prst="rect">
                      <a:avLst/>
                    </a:prstGeom>
                  </pic:spPr>
                </pic:pic>
              </a:graphicData>
            </a:graphic>
          </wp:inline>
        </w:drawing>
      </w:r>
    </w:p>
    <w:p>
      <w:pPr>
        <w:spacing w:before="188" w:line="220" w:lineRule="auto"/>
        <w:ind w:left="2827"/>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图</w:t>
      </w:r>
      <w:r>
        <w:rPr>
          <w:rFonts w:ascii="Times New Roman" w:hAnsi="Times New Roman" w:eastAsia="Times New Roman" w:cs="Times New Roman"/>
          <w:b/>
          <w:bCs/>
          <w:sz w:val="21"/>
          <w:szCs w:val="21"/>
        </w:rPr>
        <w:t xml:space="preserve">2.4.1    </w:t>
      </w:r>
      <w:r>
        <w:rPr>
          <w:rFonts w:ascii="宋体" w:hAnsi="宋体" w:eastAsia="宋体" w:cs="宋体"/>
          <w:sz w:val="21"/>
          <w:szCs w:val="21"/>
          <w14:textOutline w14:w="3810" w14:cap="flat" w14:cmpd="sng">
            <w14:solidFill>
              <w14:srgbClr w14:val="000000"/>
            </w14:solidFill>
            <w14:prstDash w14:val="solid"/>
            <w14:miter w14:val="0"/>
          </w14:textOutline>
        </w:rPr>
        <w:t>施工期工艺流程及产污节点图</w:t>
      </w:r>
    </w:p>
    <w:p>
      <w:pPr>
        <w:spacing w:before="193" w:line="234" w:lineRule="auto"/>
        <w:ind w:left="2013"/>
        <w:rPr>
          <w:rFonts w:ascii="宋体" w:hAnsi="宋体" w:eastAsia="宋体" w:cs="宋体"/>
          <w:sz w:val="12"/>
          <w:szCs w:val="12"/>
        </w:rPr>
      </w:pPr>
      <w:r>
        <w:rPr>
          <w:rFonts w:ascii="宋体" w:hAnsi="宋体" w:eastAsia="宋体" w:cs="宋体"/>
          <w:sz w:val="12"/>
          <w:szCs w:val="12"/>
        </w:rPr>
        <w:t>悬</w:t>
      </w:r>
    </w:p>
    <w:p>
      <w:pPr>
        <w:spacing w:before="1" w:line="220" w:lineRule="auto"/>
        <w:ind w:left="1950"/>
        <w:rPr>
          <w:rFonts w:ascii="宋体" w:hAnsi="宋体" w:eastAsia="宋体" w:cs="宋体"/>
          <w:sz w:val="12"/>
          <w:szCs w:val="12"/>
        </w:rPr>
      </w:pPr>
      <w:r>
        <w:rPr>
          <w:rFonts w:ascii="宋体" w:hAnsi="宋体" w:eastAsia="宋体" w:cs="宋体"/>
          <w:sz w:val="12"/>
          <w:szCs w:val="12"/>
        </w:rPr>
        <w:t>浮</w:t>
      </w:r>
    </w:p>
    <w:p>
      <w:pPr>
        <w:spacing w:before="7" w:line="221" w:lineRule="auto"/>
        <w:ind w:left="1949"/>
        <w:rPr>
          <w:rFonts w:ascii="宋体" w:hAnsi="宋体" w:eastAsia="宋体" w:cs="宋体"/>
          <w:sz w:val="12"/>
          <w:szCs w:val="12"/>
        </w:rPr>
      </w:pPr>
      <w:r>
        <w:rPr>
          <w:rFonts w:ascii="宋体" w:hAnsi="宋体" w:eastAsia="宋体" w:cs="宋体"/>
          <w:sz w:val="12"/>
          <w:szCs w:val="12"/>
        </w:rPr>
        <w:t>物</w:t>
      </w:r>
    </w:p>
    <w:p>
      <w:pPr>
        <w:spacing w:line="221" w:lineRule="auto"/>
        <w:rPr>
          <w:rFonts w:ascii="宋体" w:hAnsi="宋体" w:eastAsia="宋体" w:cs="宋体"/>
          <w:sz w:val="12"/>
          <w:szCs w:val="12"/>
        </w:rPr>
        <w:sectPr>
          <w:headerReference r:id="rId146" w:type="default"/>
          <w:footerReference r:id="rId147" w:type="default"/>
          <w:pgSz w:w="11920" w:h="16840"/>
          <w:pgMar w:top="1183" w:right="950" w:bottom="1358" w:left="1629" w:header="908" w:footer="1195" w:gutter="0"/>
        </w:sectPr>
      </w:pPr>
    </w:p>
    <w:p>
      <w:pPr>
        <w:spacing w:before="186" w:line="222" w:lineRule="auto"/>
        <w:ind w:left="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）施工导流</w:t>
      </w:r>
    </w:p>
    <w:p>
      <w:pPr>
        <w:spacing w:before="180" w:line="359" w:lineRule="auto"/>
        <w:ind w:left="7" w:right="162" w:firstLine="472"/>
        <w:rPr>
          <w:rFonts w:ascii="宋体" w:hAnsi="宋体" w:eastAsia="宋体" w:cs="宋体"/>
          <w:sz w:val="24"/>
          <w:szCs w:val="24"/>
        </w:rPr>
      </w:pPr>
      <w:r>
        <w:rPr>
          <w:rFonts w:ascii="宋体" w:hAnsi="宋体" w:eastAsia="宋体" w:cs="宋体"/>
          <w:spacing w:val="1"/>
          <w:sz w:val="24"/>
          <w:szCs w:val="24"/>
        </w:rPr>
        <w:t>枢纽工程施工导流分为两期导流，一期为枯期导流，导流为围堰、导流沟配合</w:t>
      </w:r>
      <w:r>
        <w:rPr>
          <w:rFonts w:ascii="宋体" w:hAnsi="宋体" w:eastAsia="宋体" w:cs="宋体"/>
          <w:spacing w:val="11"/>
          <w:sz w:val="24"/>
          <w:szCs w:val="24"/>
        </w:rPr>
        <w:t xml:space="preserve"> </w:t>
      </w:r>
      <w:r>
        <w:rPr>
          <w:rFonts w:ascii="宋体" w:hAnsi="宋体" w:eastAsia="宋体" w:cs="宋体"/>
          <w:spacing w:val="1"/>
          <w:sz w:val="24"/>
          <w:szCs w:val="24"/>
        </w:rPr>
        <w:t>导流输水放空隧洞导流段导流；二期为汛期导流，导流为抬头坝配合导流输</w:t>
      </w:r>
      <w:r>
        <w:rPr>
          <w:rFonts w:ascii="宋体" w:hAnsi="宋体" w:eastAsia="宋体" w:cs="宋体"/>
          <w:sz w:val="24"/>
          <w:szCs w:val="24"/>
        </w:rPr>
        <w:t xml:space="preserve">水放空 </w:t>
      </w:r>
      <w:r>
        <w:rPr>
          <w:rFonts w:ascii="宋体" w:hAnsi="宋体" w:eastAsia="宋体" w:cs="宋体"/>
          <w:spacing w:val="1"/>
          <w:sz w:val="24"/>
          <w:szCs w:val="24"/>
        </w:rPr>
        <w:t>隧洞导流段导流。引水、引洪工程导流前期利用纵向围堰挡水导流，后期利用冲沙</w:t>
      </w:r>
    </w:p>
    <w:p>
      <w:pPr>
        <w:spacing w:line="221" w:lineRule="auto"/>
        <w:ind w:left="22"/>
        <w:rPr>
          <w:rFonts w:ascii="宋体" w:hAnsi="宋体" w:eastAsia="宋体" w:cs="宋体"/>
          <w:sz w:val="24"/>
          <w:szCs w:val="24"/>
        </w:rPr>
      </w:pPr>
      <w:r>
        <w:rPr>
          <w:rFonts w:ascii="宋体" w:hAnsi="宋体" w:eastAsia="宋体" w:cs="宋体"/>
          <w:spacing w:val="-8"/>
          <w:sz w:val="24"/>
          <w:szCs w:val="24"/>
        </w:rPr>
        <w:t>闸导流。</w:t>
      </w:r>
    </w:p>
    <w:p>
      <w:pPr>
        <w:spacing w:before="178" w:line="467" w:lineRule="exact"/>
        <w:ind w:left="487"/>
        <w:rPr>
          <w:rFonts w:ascii="宋体" w:hAnsi="宋体" w:eastAsia="宋体" w:cs="宋体"/>
          <w:sz w:val="24"/>
          <w:szCs w:val="24"/>
        </w:rPr>
      </w:pPr>
      <w:r>
        <w:rPr>
          <w:rFonts w:ascii="宋体" w:hAnsi="宋体" w:eastAsia="宋体" w:cs="宋体"/>
          <w:spacing w:val="1"/>
          <w:position w:val="17"/>
          <w:sz w:val="24"/>
          <w:szCs w:val="24"/>
        </w:rPr>
        <w:t>导流洞导流能力满足施工期导流要求，对坝下游水文情势影响仅局限于近坝区</w:t>
      </w:r>
    </w:p>
    <w:p>
      <w:pPr>
        <w:spacing w:line="219" w:lineRule="auto"/>
        <w:rPr>
          <w:rFonts w:ascii="宋体" w:hAnsi="宋体" w:eastAsia="宋体" w:cs="宋体"/>
          <w:sz w:val="24"/>
          <w:szCs w:val="24"/>
        </w:rPr>
      </w:pPr>
      <w:r>
        <w:rPr>
          <w:rFonts w:ascii="宋体" w:hAnsi="宋体" w:eastAsia="宋体" w:cs="宋体"/>
          <w:spacing w:val="-7"/>
          <w:sz w:val="24"/>
          <w:szCs w:val="24"/>
        </w:rPr>
        <w:t>河段，但影响范围有限。</w:t>
      </w:r>
      <w:r>
        <w:rPr>
          <w:rFonts w:ascii="宋体" w:hAnsi="宋体" w:eastAsia="宋体" w:cs="宋体"/>
          <w:spacing w:val="67"/>
          <w:sz w:val="24"/>
          <w:szCs w:val="24"/>
        </w:rPr>
        <w:t xml:space="preserve"> </w:t>
      </w:r>
      <w:r>
        <w:rPr>
          <w:rFonts w:ascii="宋体" w:hAnsi="宋体" w:eastAsia="宋体" w:cs="宋体"/>
          <w:spacing w:val="-7"/>
          <w:sz w:val="24"/>
          <w:szCs w:val="24"/>
        </w:rPr>
        <w:t>因此，工程导流期间对坝下游水文情势影响小。</w:t>
      </w:r>
    </w:p>
    <w:p>
      <w:pPr>
        <w:spacing w:before="180"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）废水</w:t>
      </w:r>
    </w:p>
    <w:p>
      <w:pPr>
        <w:spacing w:before="183" w:line="468" w:lineRule="exact"/>
        <w:ind w:left="480"/>
        <w:rPr>
          <w:rFonts w:ascii="宋体" w:hAnsi="宋体" w:eastAsia="宋体" w:cs="宋体"/>
          <w:sz w:val="24"/>
          <w:szCs w:val="24"/>
        </w:rPr>
      </w:pPr>
      <w:r>
        <w:rPr>
          <w:rFonts w:ascii="宋体" w:hAnsi="宋体" w:eastAsia="宋体" w:cs="宋体"/>
          <w:spacing w:val="1"/>
          <w:position w:val="17"/>
          <w:sz w:val="24"/>
          <w:szCs w:val="24"/>
        </w:rPr>
        <w:t>拟建水库工程施工期废水主要包括生产废水和生活污水。生产废水主要来源于</w:t>
      </w:r>
    </w:p>
    <w:p>
      <w:pPr>
        <w:spacing w:line="219" w:lineRule="auto"/>
        <w:ind w:left="3"/>
        <w:rPr>
          <w:rFonts w:ascii="宋体" w:hAnsi="宋体" w:eastAsia="宋体" w:cs="宋体"/>
          <w:sz w:val="24"/>
          <w:szCs w:val="24"/>
        </w:rPr>
      </w:pPr>
      <w:r>
        <w:rPr>
          <w:rFonts w:ascii="宋体" w:hAnsi="宋体" w:eastAsia="宋体" w:cs="宋体"/>
          <w:spacing w:val="-3"/>
          <w:sz w:val="24"/>
          <w:szCs w:val="24"/>
        </w:rPr>
        <w:t>混凝土拌合系统废水等；生活污水主要来源于施工期施工人员生活污水。</w:t>
      </w:r>
    </w:p>
    <w:p>
      <w:pPr>
        <w:spacing w:before="182" w:line="217" w:lineRule="auto"/>
        <w:ind w:left="480"/>
        <w:rPr>
          <w:rFonts w:ascii="宋体" w:hAnsi="宋体" w:eastAsia="宋体" w:cs="宋体"/>
          <w:sz w:val="24"/>
          <w:szCs w:val="24"/>
        </w:rPr>
      </w:pPr>
      <w:r>
        <w:rPr>
          <w:rFonts w:ascii="宋体" w:hAnsi="宋体" w:eastAsia="宋体" w:cs="宋体"/>
          <w:spacing w:val="-1"/>
          <w:sz w:val="24"/>
          <w:szCs w:val="24"/>
        </w:rPr>
        <w:t>①混凝土拌合系统废水</w:t>
      </w:r>
    </w:p>
    <w:p>
      <w:pPr>
        <w:spacing w:before="184" w:line="467" w:lineRule="exact"/>
        <w:ind w:left="480"/>
        <w:rPr>
          <w:rFonts w:ascii="宋体" w:hAnsi="宋体" w:eastAsia="宋体" w:cs="宋体"/>
          <w:sz w:val="24"/>
          <w:szCs w:val="24"/>
        </w:rPr>
      </w:pPr>
      <w:r>
        <w:rPr>
          <w:rFonts w:ascii="宋体" w:hAnsi="宋体" w:eastAsia="宋体" w:cs="宋体"/>
          <w:spacing w:val="1"/>
          <w:position w:val="17"/>
          <w:sz w:val="24"/>
          <w:szCs w:val="24"/>
        </w:rPr>
        <w:t>根据施工组织设计，水库枢纽工程布置混凝土拌合站，其余施工段布置小型移</w:t>
      </w:r>
    </w:p>
    <w:p>
      <w:pPr>
        <w:spacing w:before="1" w:line="219" w:lineRule="auto"/>
        <w:ind w:left="1"/>
        <w:rPr>
          <w:rFonts w:ascii="宋体" w:hAnsi="宋体" w:eastAsia="宋体" w:cs="宋体"/>
          <w:sz w:val="24"/>
          <w:szCs w:val="24"/>
        </w:rPr>
      </w:pPr>
      <w:r>
        <w:rPr>
          <w:rFonts w:ascii="宋体" w:hAnsi="宋体" w:eastAsia="宋体" w:cs="宋体"/>
          <w:spacing w:val="-1"/>
          <w:sz w:val="24"/>
          <w:szCs w:val="24"/>
        </w:rPr>
        <w:t>动式混凝土搅拌设备。</w:t>
      </w:r>
    </w:p>
    <w:p>
      <w:pPr>
        <w:spacing w:before="182" w:line="359" w:lineRule="auto"/>
        <w:ind w:right="90" w:firstLine="483"/>
        <w:rPr>
          <w:rFonts w:ascii="宋体" w:hAnsi="宋体" w:eastAsia="宋体" w:cs="宋体"/>
          <w:sz w:val="24"/>
          <w:szCs w:val="24"/>
        </w:rPr>
      </w:pPr>
      <w:r>
        <w:rPr>
          <w:rFonts w:ascii="宋体" w:hAnsi="宋体" w:eastAsia="宋体" w:cs="宋体"/>
          <w:spacing w:val="-5"/>
          <w:sz w:val="24"/>
          <w:szCs w:val="24"/>
        </w:rPr>
        <w:t>混凝土拌合站生产期间会产生拌合站料罐冲洗废水，</w:t>
      </w:r>
      <w:r>
        <w:rPr>
          <w:rFonts w:ascii="宋体" w:hAnsi="宋体" w:eastAsia="宋体" w:cs="宋体"/>
          <w:spacing w:val="72"/>
          <w:sz w:val="24"/>
          <w:szCs w:val="24"/>
        </w:rPr>
        <w:t xml:space="preserve"> </w:t>
      </w:r>
      <w:r>
        <w:rPr>
          <w:rFonts w:ascii="宋体" w:hAnsi="宋体" w:eastAsia="宋体" w:cs="宋体"/>
          <w:spacing w:val="-5"/>
          <w:sz w:val="24"/>
          <w:szCs w:val="24"/>
        </w:rPr>
        <w:t xml:space="preserve">按每天冲洗一次，每次冲 </w:t>
      </w:r>
      <w:r>
        <w:rPr>
          <w:rFonts w:ascii="宋体" w:hAnsi="宋体" w:eastAsia="宋体" w:cs="宋体"/>
          <w:spacing w:val="3"/>
          <w:sz w:val="24"/>
          <w:szCs w:val="24"/>
        </w:rPr>
        <w:t xml:space="preserve">洗产生的废水量约 </w:t>
      </w:r>
      <w:r>
        <w:rPr>
          <w:rFonts w:ascii="Times New Roman" w:hAnsi="Times New Roman" w:eastAsia="Times New Roman" w:cs="Times New Roman"/>
          <w:spacing w:val="3"/>
          <w:sz w:val="24"/>
          <w:szCs w:val="24"/>
        </w:rPr>
        <w:t>8m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6"/>
          <w:position w:val="8"/>
          <w:sz w:val="15"/>
          <w:szCs w:val="15"/>
        </w:rPr>
        <w:t xml:space="preserve"> </w:t>
      </w:r>
      <w:r>
        <w:rPr>
          <w:rFonts w:ascii="宋体" w:hAnsi="宋体" w:eastAsia="宋体" w:cs="宋体"/>
          <w:spacing w:val="3"/>
          <w:sz w:val="24"/>
          <w:szCs w:val="24"/>
        </w:rPr>
        <w:t>，废水主要污染因子为</w:t>
      </w:r>
      <w:r>
        <w:rPr>
          <w:rFonts w:ascii="Times New Roman" w:hAnsi="Times New Roman" w:eastAsia="Times New Roman" w:cs="Times New Roman"/>
          <w:sz w:val="24"/>
          <w:szCs w:val="24"/>
        </w:rPr>
        <w:t>SS</w:t>
      </w:r>
      <w:r>
        <w:rPr>
          <w:rFonts w:ascii="Times New Roman" w:hAnsi="Times New Roman" w:eastAsia="Times New Roman" w:cs="Times New Roman"/>
          <w:spacing w:val="56"/>
          <w:sz w:val="24"/>
          <w:szCs w:val="24"/>
        </w:rPr>
        <w:t xml:space="preserve"> </w:t>
      </w:r>
      <w:r>
        <w:rPr>
          <w:rFonts w:ascii="宋体" w:hAnsi="宋体" w:eastAsia="宋体" w:cs="宋体"/>
          <w:spacing w:val="3"/>
          <w:sz w:val="24"/>
          <w:szCs w:val="24"/>
        </w:rPr>
        <w:t>和</w:t>
      </w:r>
      <w:r>
        <w:rPr>
          <w:rFonts w:ascii="Times New Roman" w:hAnsi="Times New Roman" w:eastAsia="Times New Roman" w:cs="Times New Roman"/>
          <w:sz w:val="24"/>
          <w:szCs w:val="24"/>
        </w:rPr>
        <w:t>pH</w:t>
      </w:r>
      <w:r>
        <w:rPr>
          <w:rFonts w:ascii="宋体" w:hAnsi="宋体" w:eastAsia="宋体" w:cs="宋体"/>
          <w:spacing w:val="3"/>
          <w:sz w:val="24"/>
          <w:szCs w:val="24"/>
        </w:rPr>
        <w:t>，废水</w:t>
      </w:r>
      <w:r>
        <w:rPr>
          <w:rFonts w:ascii="Times New Roman" w:hAnsi="Times New Roman" w:eastAsia="Times New Roman" w:cs="Times New Roman"/>
          <w:sz w:val="24"/>
          <w:szCs w:val="24"/>
        </w:rPr>
        <w:t>pH</w:t>
      </w:r>
      <w:r>
        <w:rPr>
          <w:rFonts w:ascii="Times New Roman" w:hAnsi="Times New Roman" w:eastAsia="Times New Roman" w:cs="Times New Roman"/>
          <w:spacing w:val="51"/>
          <w:sz w:val="24"/>
          <w:szCs w:val="24"/>
        </w:rPr>
        <w:t xml:space="preserve"> </w:t>
      </w:r>
      <w:r>
        <w:rPr>
          <w:rFonts w:ascii="宋体" w:hAnsi="宋体" w:eastAsia="宋体" w:cs="宋体"/>
          <w:spacing w:val="3"/>
          <w:sz w:val="24"/>
          <w:szCs w:val="24"/>
        </w:rPr>
        <w:t>值一般大于</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6"/>
          <w:sz w:val="24"/>
          <w:szCs w:val="24"/>
        </w:rPr>
        <w:t>悬浮物浓度约</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5000mg/L</w:t>
      </w:r>
      <w:r>
        <w:rPr>
          <w:rFonts w:ascii="宋体" w:hAnsi="宋体" w:eastAsia="宋体" w:cs="宋体"/>
          <w:spacing w:val="-6"/>
          <w:sz w:val="24"/>
          <w:szCs w:val="24"/>
        </w:rPr>
        <w:t>。混凝土拌合站设置</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个冲洗废水沉淀池，</w:t>
      </w:r>
      <w:r>
        <w:rPr>
          <w:rFonts w:ascii="宋体" w:hAnsi="宋体" w:eastAsia="宋体" w:cs="宋体"/>
          <w:spacing w:val="43"/>
          <w:sz w:val="24"/>
          <w:szCs w:val="24"/>
        </w:rPr>
        <w:t xml:space="preserve"> </w:t>
      </w:r>
      <w:r>
        <w:rPr>
          <w:rFonts w:ascii="宋体" w:hAnsi="宋体" w:eastAsia="宋体" w:cs="宋体"/>
          <w:spacing w:val="-6"/>
          <w:sz w:val="24"/>
          <w:szCs w:val="24"/>
        </w:rPr>
        <w:t>冲洗</w:t>
      </w:r>
      <w:r>
        <w:rPr>
          <w:rFonts w:ascii="宋体" w:hAnsi="宋体" w:eastAsia="宋体" w:cs="宋体"/>
          <w:spacing w:val="-7"/>
          <w:sz w:val="24"/>
          <w:szCs w:val="24"/>
        </w:rPr>
        <w:t>废水经沉淀</w:t>
      </w:r>
      <w:r>
        <w:rPr>
          <w:rFonts w:ascii="宋体" w:hAnsi="宋体" w:eastAsia="宋体" w:cs="宋体"/>
          <w:sz w:val="24"/>
          <w:szCs w:val="24"/>
        </w:rPr>
        <w:t xml:space="preserve"> </w:t>
      </w:r>
      <w:r>
        <w:rPr>
          <w:rFonts w:ascii="宋体" w:hAnsi="宋体" w:eastAsia="宋体" w:cs="宋体"/>
          <w:spacing w:val="-15"/>
          <w:sz w:val="24"/>
          <w:szCs w:val="24"/>
        </w:rPr>
        <w:t>处理后回用于</w:t>
      </w:r>
      <w:r>
        <w:rPr>
          <w:rFonts w:hint="eastAsia" w:ascii="宋体" w:hAnsi="宋体" w:eastAsia="宋体" w:cs="宋体"/>
          <w:spacing w:val="-15"/>
          <w:sz w:val="24"/>
          <w:szCs w:val="24"/>
          <w:lang w:eastAsia="zh-CN"/>
        </w:rPr>
        <w:t>混凝土</w:t>
      </w:r>
      <w:r>
        <w:rPr>
          <w:rFonts w:ascii="宋体" w:hAnsi="宋体" w:eastAsia="宋体" w:cs="宋体"/>
          <w:spacing w:val="-15"/>
          <w:sz w:val="24"/>
          <w:szCs w:val="24"/>
        </w:rPr>
        <w:t>拌合，</w:t>
      </w:r>
      <w:r>
        <w:rPr>
          <w:rFonts w:ascii="宋体" w:hAnsi="宋体" w:eastAsia="宋体" w:cs="宋体"/>
          <w:spacing w:val="34"/>
          <w:sz w:val="24"/>
          <w:szCs w:val="24"/>
        </w:rPr>
        <w:t xml:space="preserve"> </w:t>
      </w:r>
      <w:r>
        <w:rPr>
          <w:rFonts w:ascii="宋体" w:hAnsi="宋体" w:eastAsia="宋体" w:cs="宋体"/>
          <w:spacing w:val="-15"/>
          <w:sz w:val="24"/>
          <w:szCs w:val="24"/>
        </w:rPr>
        <w:t>不外排。沉淀池为混凝土结构， 采用三级沉淀处理， 总容</w:t>
      </w:r>
      <w:r>
        <w:rPr>
          <w:rFonts w:ascii="宋体" w:hAnsi="宋体" w:eastAsia="宋体" w:cs="宋体"/>
          <w:sz w:val="24"/>
          <w:szCs w:val="24"/>
        </w:rPr>
        <w:t xml:space="preserve"> </w:t>
      </w:r>
      <w:r>
        <w:rPr>
          <w:rFonts w:ascii="宋体" w:hAnsi="宋体" w:eastAsia="宋体" w:cs="宋体"/>
          <w:spacing w:val="-5"/>
          <w:sz w:val="24"/>
          <w:szCs w:val="24"/>
        </w:rPr>
        <w:t xml:space="preserve">积 </w:t>
      </w:r>
      <w:r>
        <w:rPr>
          <w:rFonts w:ascii="Times New Roman" w:hAnsi="Times New Roman" w:eastAsia="Times New Roman" w:cs="Times New Roman"/>
          <w:spacing w:val="-5"/>
          <w:sz w:val="24"/>
          <w:szCs w:val="24"/>
        </w:rPr>
        <w:t>10m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4"/>
          <w:szCs w:val="24"/>
        </w:rPr>
        <w:t xml:space="preserve">。其余施工段布置小型移动式混凝土搅拌设备设置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7"/>
          <w:w w:val="101"/>
          <w:sz w:val="24"/>
          <w:szCs w:val="24"/>
        </w:rPr>
        <w:t xml:space="preserve"> </w:t>
      </w:r>
      <w:r>
        <w:rPr>
          <w:rFonts w:ascii="宋体" w:hAnsi="宋体" w:eastAsia="宋体" w:cs="宋体"/>
          <w:spacing w:val="-5"/>
          <w:sz w:val="24"/>
          <w:szCs w:val="24"/>
        </w:rPr>
        <w:t>个容积</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5m</w:t>
      </w:r>
      <w:r>
        <w:rPr>
          <w:rFonts w:ascii="Times New Roman" w:hAnsi="Times New Roman" w:eastAsia="Times New Roman" w:cs="Times New Roman"/>
          <w:spacing w:val="-5"/>
          <w:position w:val="8"/>
          <w:sz w:val="15"/>
          <w:szCs w:val="15"/>
        </w:rPr>
        <w:t xml:space="preserve">3  </w:t>
      </w:r>
      <w:r>
        <w:rPr>
          <w:rFonts w:ascii="宋体" w:hAnsi="宋体" w:eastAsia="宋体" w:cs="宋体"/>
          <w:spacing w:val="-5"/>
          <w:sz w:val="24"/>
          <w:szCs w:val="24"/>
        </w:rPr>
        <w:t>的沉淀池，</w:t>
      </w:r>
    </w:p>
    <w:p>
      <w:pPr>
        <w:spacing w:before="1" w:line="219" w:lineRule="auto"/>
        <w:rPr>
          <w:rFonts w:ascii="宋体" w:hAnsi="宋体" w:eastAsia="宋体" w:cs="宋体"/>
          <w:sz w:val="24"/>
          <w:szCs w:val="24"/>
        </w:rPr>
      </w:pPr>
      <w:r>
        <w:rPr>
          <w:rFonts w:ascii="宋体" w:hAnsi="宋体" w:eastAsia="宋体" w:cs="宋体"/>
          <w:spacing w:val="-1"/>
          <w:sz w:val="24"/>
          <w:szCs w:val="24"/>
        </w:rPr>
        <w:t>废水经沉淀处理后回用于</w:t>
      </w:r>
      <w:r>
        <w:rPr>
          <w:rFonts w:hint="eastAsia" w:ascii="宋体" w:hAnsi="宋体" w:eastAsia="宋体" w:cs="宋体"/>
          <w:spacing w:val="-1"/>
          <w:sz w:val="24"/>
          <w:szCs w:val="24"/>
          <w:lang w:eastAsia="zh-CN"/>
        </w:rPr>
        <w:t>混凝土</w:t>
      </w:r>
      <w:r>
        <w:rPr>
          <w:rFonts w:ascii="宋体" w:hAnsi="宋体" w:eastAsia="宋体" w:cs="宋体"/>
          <w:spacing w:val="-1"/>
          <w:sz w:val="24"/>
          <w:szCs w:val="24"/>
        </w:rPr>
        <w:t>拌合，不外排。</w:t>
      </w:r>
    </w:p>
    <w:p>
      <w:pPr>
        <w:spacing w:before="182" w:line="217" w:lineRule="auto"/>
        <w:ind w:left="479"/>
        <w:rPr>
          <w:rFonts w:ascii="宋体" w:hAnsi="宋体" w:eastAsia="宋体" w:cs="宋体"/>
          <w:sz w:val="24"/>
          <w:szCs w:val="24"/>
        </w:rPr>
      </w:pPr>
      <w:r>
        <w:rPr>
          <w:rFonts w:ascii="宋体" w:hAnsi="宋体" w:eastAsia="宋体" w:cs="宋体"/>
          <w:spacing w:val="-1"/>
          <w:sz w:val="24"/>
          <w:szCs w:val="24"/>
        </w:rPr>
        <w:t>②砂石料加工系统废水</w:t>
      </w:r>
    </w:p>
    <w:p>
      <w:pPr>
        <w:spacing w:before="184" w:line="359" w:lineRule="auto"/>
        <w:ind w:right="160" w:firstLine="480"/>
        <w:rPr>
          <w:rFonts w:ascii="宋体" w:hAnsi="宋体" w:eastAsia="宋体" w:cs="宋体"/>
          <w:sz w:val="24"/>
          <w:szCs w:val="24"/>
        </w:rPr>
      </w:pPr>
      <w:r>
        <w:rPr>
          <w:rFonts w:ascii="宋体" w:hAnsi="宋体" w:eastAsia="宋体" w:cs="宋体"/>
          <w:spacing w:val="1"/>
          <w:sz w:val="24"/>
          <w:szCs w:val="24"/>
        </w:rPr>
        <w:t>料场开采石料进入砂石料加工系统前会进行清洗，去除石料上附带的泥土。砂</w:t>
      </w:r>
      <w:r>
        <w:rPr>
          <w:rFonts w:ascii="宋体" w:hAnsi="宋体" w:eastAsia="宋体" w:cs="宋体"/>
          <w:spacing w:val="12"/>
          <w:sz w:val="24"/>
          <w:szCs w:val="24"/>
        </w:rPr>
        <w:t xml:space="preserve"> </w:t>
      </w:r>
      <w:r>
        <w:rPr>
          <w:rFonts w:ascii="宋体" w:hAnsi="宋体" w:eastAsia="宋体" w:cs="宋体"/>
          <w:spacing w:val="-7"/>
          <w:sz w:val="24"/>
          <w:szCs w:val="24"/>
        </w:rPr>
        <w:t>石料生产系统处理能力为</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60t/h</w:t>
      </w:r>
      <w:r>
        <w:rPr>
          <w:rFonts w:ascii="宋体" w:hAnsi="宋体" w:eastAsia="宋体" w:cs="宋体"/>
          <w:spacing w:val="-7"/>
          <w:sz w:val="24"/>
          <w:szCs w:val="24"/>
        </w:rPr>
        <w:t>（约</w:t>
      </w:r>
      <w:r>
        <w:rPr>
          <w:rFonts w:ascii="宋体" w:hAnsi="宋体" w:eastAsia="宋体" w:cs="宋体"/>
          <w:spacing w:val="-35"/>
          <w:sz w:val="24"/>
          <w:szCs w:val="24"/>
        </w:rPr>
        <w:t xml:space="preserve"> </w:t>
      </w:r>
      <w:r>
        <w:rPr>
          <w:rFonts w:ascii="Times New Roman" w:hAnsi="Times New Roman" w:eastAsia="Times New Roman" w:cs="Times New Roman"/>
          <w:spacing w:val="-7"/>
          <w:sz w:val="24"/>
          <w:szCs w:val="24"/>
        </w:rPr>
        <w:t>24m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4"/>
          <w:szCs w:val="24"/>
        </w:rPr>
        <w:t>/h</w:t>
      </w:r>
      <w:r>
        <w:rPr>
          <w:rFonts w:ascii="宋体" w:hAnsi="宋体" w:eastAsia="宋体" w:cs="宋体"/>
          <w:spacing w:val="-51"/>
          <w:w w:val="80"/>
          <w:sz w:val="24"/>
          <w:szCs w:val="24"/>
        </w:rPr>
        <w:t>），</w:t>
      </w:r>
      <w:r>
        <w:rPr>
          <w:rFonts w:ascii="宋体" w:hAnsi="宋体" w:eastAsia="宋体" w:cs="宋体"/>
          <w:spacing w:val="-7"/>
          <w:sz w:val="24"/>
          <w:szCs w:val="24"/>
        </w:rPr>
        <w:t>石料清洗用水比例为</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0.5</w:t>
      </w:r>
      <w:r>
        <w:rPr>
          <w:rFonts w:ascii="宋体" w:hAnsi="宋体" w:eastAsia="宋体" w:cs="宋体"/>
          <w:spacing w:val="-7"/>
          <w:sz w:val="24"/>
          <w:szCs w:val="24"/>
        </w:rPr>
        <w:t>（水</w:t>
      </w:r>
      <w:r>
        <w:rPr>
          <w:rFonts w:ascii="宋体" w:hAnsi="宋体" w:eastAsia="宋体" w:cs="宋体"/>
          <w:spacing w:val="-51"/>
          <w:w w:val="80"/>
          <w:sz w:val="24"/>
          <w:szCs w:val="24"/>
        </w:rPr>
        <w:t>）：</w:t>
      </w:r>
      <w:r>
        <w:rPr>
          <w:rFonts w:ascii="Times New Roman" w:hAnsi="Times New Roman" w:eastAsia="Times New Roman" w:cs="Times New Roman"/>
          <w:spacing w:val="-7"/>
          <w:sz w:val="24"/>
          <w:szCs w:val="24"/>
        </w:rPr>
        <w:t>1.0</w:t>
      </w:r>
      <w:r>
        <w:rPr>
          <w:rFonts w:ascii="宋体" w:hAnsi="宋体" w:eastAsia="宋体" w:cs="宋体"/>
          <w:spacing w:val="-36"/>
          <w:w w:val="79"/>
          <w:sz w:val="24"/>
          <w:szCs w:val="24"/>
        </w:rPr>
        <w:t>（石</w:t>
      </w:r>
      <w:r>
        <w:rPr>
          <w:rFonts w:ascii="宋体" w:hAnsi="宋体" w:eastAsia="宋体" w:cs="宋体"/>
          <w:spacing w:val="-51"/>
          <w:w w:val="80"/>
          <w:sz w:val="24"/>
          <w:szCs w:val="24"/>
        </w:rPr>
        <w:t>），</w:t>
      </w:r>
      <w:r>
        <w:rPr>
          <w:rFonts w:ascii="宋体" w:hAnsi="宋体" w:eastAsia="宋体" w:cs="宋体"/>
          <w:sz w:val="24"/>
          <w:szCs w:val="24"/>
        </w:rPr>
        <w:t xml:space="preserve"> </w:t>
      </w:r>
      <w:r>
        <w:rPr>
          <w:rFonts w:ascii="宋体" w:hAnsi="宋体" w:eastAsia="宋体" w:cs="宋体"/>
          <w:spacing w:val="-6"/>
          <w:sz w:val="24"/>
          <w:szCs w:val="24"/>
        </w:rPr>
        <w:t>则用水量为</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12m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6"/>
          <w:sz w:val="24"/>
          <w:szCs w:val="24"/>
        </w:rPr>
        <w:t>/h</w:t>
      </w:r>
      <w:r>
        <w:rPr>
          <w:rFonts w:ascii="宋体" w:hAnsi="宋体" w:eastAsia="宋体" w:cs="宋体"/>
          <w:spacing w:val="-6"/>
          <w:sz w:val="24"/>
          <w:szCs w:val="24"/>
        </w:rPr>
        <w:t>。冲洗废水中主要污染物为</w:t>
      </w:r>
      <w:r>
        <w:rPr>
          <w:rFonts w:ascii="宋体" w:hAnsi="宋体" w:eastAsia="宋体" w:cs="宋体"/>
          <w:spacing w:val="-7"/>
          <w:sz w:val="24"/>
          <w:szCs w:val="24"/>
        </w:rPr>
        <w:t>悬浮物，</w:t>
      </w:r>
      <w:r>
        <w:rPr>
          <w:rFonts w:ascii="宋体" w:hAnsi="宋体" w:eastAsia="宋体" w:cs="宋体"/>
          <w:spacing w:val="37"/>
          <w:sz w:val="24"/>
          <w:szCs w:val="24"/>
        </w:rPr>
        <w:t xml:space="preserve"> </w:t>
      </w:r>
      <w:r>
        <w:rPr>
          <w:rFonts w:ascii="宋体" w:hAnsi="宋体" w:eastAsia="宋体" w:cs="宋体"/>
          <w:spacing w:val="-7"/>
          <w:sz w:val="24"/>
          <w:szCs w:val="24"/>
        </w:rPr>
        <w:t>浓度约</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8000mg/L</w:t>
      </w:r>
      <w:r>
        <w:rPr>
          <w:rFonts w:ascii="宋体" w:hAnsi="宋体" w:eastAsia="宋体" w:cs="宋体"/>
          <w:spacing w:val="-7"/>
          <w:sz w:val="24"/>
          <w:szCs w:val="24"/>
        </w:rPr>
        <w:t>。石料清洗</w:t>
      </w:r>
      <w:r>
        <w:rPr>
          <w:rFonts w:ascii="宋体" w:hAnsi="宋体" w:eastAsia="宋体" w:cs="宋体"/>
          <w:sz w:val="24"/>
          <w:szCs w:val="24"/>
        </w:rPr>
        <w:t xml:space="preserve"> </w:t>
      </w:r>
      <w:r>
        <w:rPr>
          <w:rFonts w:ascii="宋体" w:hAnsi="宋体" w:eastAsia="宋体" w:cs="宋体"/>
          <w:spacing w:val="1"/>
          <w:sz w:val="24"/>
          <w:szCs w:val="24"/>
        </w:rPr>
        <w:t>废经三级沉淀池处理后循环利用，不外排。沉淀池为混凝土结构，采用三级沉淀处</w:t>
      </w:r>
    </w:p>
    <w:p>
      <w:pPr>
        <w:spacing w:line="234" w:lineRule="auto"/>
        <w:ind w:left="3"/>
        <w:rPr>
          <w:rFonts w:ascii="宋体" w:hAnsi="宋体" w:eastAsia="宋体" w:cs="宋体"/>
          <w:sz w:val="24"/>
          <w:szCs w:val="24"/>
        </w:rPr>
      </w:pPr>
      <w:r>
        <w:rPr>
          <w:rFonts w:ascii="宋体" w:hAnsi="宋体" w:eastAsia="宋体" w:cs="宋体"/>
          <w:spacing w:val="-3"/>
          <w:sz w:val="24"/>
          <w:szCs w:val="24"/>
        </w:rPr>
        <w:t>理，总容积</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30m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w:t>
      </w:r>
    </w:p>
    <w:p>
      <w:pPr>
        <w:spacing w:before="165" w:line="217" w:lineRule="auto"/>
        <w:ind w:left="479"/>
        <w:rPr>
          <w:rFonts w:ascii="宋体" w:hAnsi="宋体" w:eastAsia="宋体" w:cs="宋体"/>
          <w:sz w:val="24"/>
          <w:szCs w:val="24"/>
        </w:rPr>
      </w:pPr>
      <w:r>
        <w:rPr>
          <w:rFonts w:ascii="宋体" w:hAnsi="宋体" w:eastAsia="宋体" w:cs="宋体"/>
          <w:spacing w:val="-2"/>
          <w:sz w:val="24"/>
          <w:szCs w:val="24"/>
        </w:rPr>
        <w:t>③基坑排水</w:t>
      </w:r>
    </w:p>
    <w:p>
      <w:pPr>
        <w:spacing w:before="184" w:line="467" w:lineRule="exact"/>
        <w:ind w:left="480"/>
        <w:rPr>
          <w:rFonts w:ascii="宋体" w:hAnsi="宋体" w:eastAsia="宋体" w:cs="宋体"/>
          <w:sz w:val="24"/>
          <w:szCs w:val="24"/>
        </w:rPr>
      </w:pPr>
      <w:r>
        <w:rPr>
          <w:rFonts w:ascii="宋体" w:hAnsi="宋体" w:eastAsia="宋体" w:cs="宋体"/>
          <w:spacing w:val="1"/>
          <w:position w:val="17"/>
          <w:sz w:val="24"/>
          <w:szCs w:val="24"/>
        </w:rPr>
        <w:t>基坑排水主要为坝址开挖产生的基坑渗水，基坑渗水主要为坝基水下部分开挖</w:t>
      </w:r>
    </w:p>
    <w:p>
      <w:pPr>
        <w:spacing w:line="220" w:lineRule="auto"/>
        <w:ind w:left="3"/>
        <w:rPr>
          <w:rFonts w:ascii="宋体" w:hAnsi="宋体" w:eastAsia="宋体" w:cs="宋体"/>
          <w:sz w:val="24"/>
          <w:szCs w:val="24"/>
        </w:rPr>
      </w:pPr>
      <w:r>
        <w:rPr>
          <w:rFonts w:ascii="宋体" w:hAnsi="宋体" w:eastAsia="宋体" w:cs="宋体"/>
          <w:spacing w:val="-5"/>
          <w:sz w:val="24"/>
          <w:szCs w:val="24"/>
        </w:rPr>
        <w:t>期间。</w:t>
      </w:r>
    </w:p>
    <w:p>
      <w:pPr>
        <w:spacing w:before="181" w:line="467" w:lineRule="exact"/>
        <w:ind w:right="57"/>
        <w:jc w:val="right"/>
        <w:rPr>
          <w:rFonts w:ascii="宋体" w:hAnsi="宋体" w:eastAsia="宋体" w:cs="宋体"/>
          <w:sz w:val="24"/>
          <w:szCs w:val="24"/>
        </w:rPr>
      </w:pPr>
      <w:r>
        <w:rPr>
          <w:rFonts w:ascii="宋体" w:hAnsi="宋体" w:eastAsia="宋体" w:cs="宋体"/>
          <w:spacing w:val="-6"/>
          <w:position w:val="17"/>
          <w:sz w:val="24"/>
          <w:szCs w:val="24"/>
        </w:rPr>
        <w:t xml:space="preserve">坝址处开挖深度不超过 </w:t>
      </w:r>
      <w:r>
        <w:rPr>
          <w:rFonts w:ascii="Times New Roman" w:hAnsi="Times New Roman" w:eastAsia="Times New Roman" w:cs="Times New Roman"/>
          <w:spacing w:val="-6"/>
          <w:position w:val="17"/>
          <w:sz w:val="24"/>
          <w:szCs w:val="24"/>
        </w:rPr>
        <w:t>3m</w:t>
      </w:r>
      <w:r>
        <w:rPr>
          <w:rFonts w:ascii="宋体" w:hAnsi="宋体" w:eastAsia="宋体" w:cs="宋体"/>
          <w:spacing w:val="-6"/>
          <w:position w:val="17"/>
          <w:sz w:val="24"/>
          <w:szCs w:val="24"/>
        </w:rPr>
        <w:t>，由于围堰堰身及基础均采用高喷防渗，</w:t>
      </w:r>
      <w:r>
        <w:rPr>
          <w:rFonts w:ascii="宋体" w:hAnsi="宋体" w:eastAsia="宋体" w:cs="宋体"/>
          <w:spacing w:val="63"/>
          <w:position w:val="17"/>
          <w:sz w:val="24"/>
          <w:szCs w:val="24"/>
        </w:rPr>
        <w:t xml:space="preserve"> </w:t>
      </w:r>
      <w:r>
        <w:rPr>
          <w:rFonts w:ascii="宋体" w:hAnsi="宋体" w:eastAsia="宋体" w:cs="宋体"/>
          <w:spacing w:val="-6"/>
          <w:position w:val="17"/>
          <w:sz w:val="24"/>
          <w:szCs w:val="24"/>
        </w:rPr>
        <w:t>渗水量小。</w:t>
      </w:r>
    </w:p>
    <w:p>
      <w:pPr>
        <w:spacing w:before="1" w:line="231" w:lineRule="auto"/>
        <w:rPr>
          <w:rFonts w:ascii="宋体" w:hAnsi="宋体" w:eastAsia="宋体" w:cs="宋体"/>
          <w:sz w:val="24"/>
          <w:szCs w:val="24"/>
        </w:rPr>
      </w:pPr>
      <w:r>
        <w:rPr>
          <w:rFonts w:ascii="宋体" w:hAnsi="宋体" w:eastAsia="宋体" w:cs="宋体"/>
          <w:spacing w:val="-7"/>
          <w:sz w:val="24"/>
          <w:szCs w:val="24"/>
        </w:rPr>
        <w:t>根据岩土工程勘查报告，基坑排水强度约为</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2m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4"/>
          <w:szCs w:val="24"/>
        </w:rPr>
        <w:t>/h</w:t>
      </w:r>
      <w:r>
        <w:rPr>
          <w:rFonts w:ascii="宋体" w:hAnsi="宋体" w:eastAsia="宋体" w:cs="宋体"/>
          <w:spacing w:val="-7"/>
          <w:sz w:val="24"/>
          <w:szCs w:val="24"/>
        </w:rPr>
        <w:t>。基坑排水的主要污染物是悬浮物，</w:t>
      </w:r>
    </w:p>
    <w:p>
      <w:pPr>
        <w:spacing w:line="231" w:lineRule="auto"/>
        <w:rPr>
          <w:rFonts w:ascii="宋体" w:hAnsi="宋体" w:eastAsia="宋体" w:cs="宋体"/>
          <w:sz w:val="24"/>
          <w:szCs w:val="24"/>
        </w:rPr>
        <w:sectPr>
          <w:headerReference r:id="rId148" w:type="default"/>
          <w:footerReference r:id="rId149" w:type="default"/>
          <w:pgSz w:w="11920" w:h="16840"/>
          <w:pgMar w:top="1066" w:right="1398" w:bottom="1358" w:left="1668" w:header="865" w:footer="1195" w:gutter="0"/>
        </w:sectPr>
      </w:pPr>
    </w:p>
    <w:p>
      <w:pPr>
        <w:spacing w:before="70" w:line="212" w:lineRule="auto"/>
        <w:ind w:left="12"/>
        <w:rPr>
          <w:rFonts w:ascii="宋体" w:hAnsi="宋体" w:eastAsia="宋体" w:cs="宋体"/>
          <w:sz w:val="24"/>
          <w:szCs w:val="24"/>
        </w:rPr>
      </w:pPr>
      <w:r>
        <w:rPr>
          <w:rFonts w:ascii="宋体" w:hAnsi="宋体" w:eastAsia="宋体" w:cs="宋体"/>
          <w:spacing w:val="-2"/>
          <w:sz w:val="24"/>
          <w:szCs w:val="24"/>
        </w:rPr>
        <w:t>悬浮物浓度约</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2000mg/L</w:t>
      </w:r>
      <w:r>
        <w:rPr>
          <w:rFonts w:ascii="宋体" w:hAnsi="宋体" w:eastAsia="宋体" w:cs="宋体"/>
          <w:spacing w:val="-2"/>
          <w:sz w:val="24"/>
          <w:szCs w:val="24"/>
        </w:rPr>
        <w:t>。</w:t>
      </w:r>
    </w:p>
    <w:p>
      <w:pPr>
        <w:spacing w:before="191" w:line="466" w:lineRule="exact"/>
        <w:ind w:left="489"/>
        <w:rPr>
          <w:rFonts w:ascii="宋体" w:hAnsi="宋体" w:eastAsia="宋体" w:cs="宋体"/>
          <w:sz w:val="24"/>
          <w:szCs w:val="24"/>
        </w:rPr>
      </w:pPr>
      <w:r>
        <w:rPr>
          <w:rFonts w:ascii="宋体" w:hAnsi="宋体" w:eastAsia="宋体" w:cs="宋体"/>
          <w:spacing w:val="-5"/>
          <w:position w:val="17"/>
          <w:sz w:val="24"/>
          <w:szCs w:val="24"/>
        </w:rPr>
        <w:t xml:space="preserve">基坑排水设置 </w:t>
      </w:r>
      <w:r>
        <w:rPr>
          <w:rFonts w:ascii="Times New Roman" w:hAnsi="Times New Roman" w:eastAsia="Times New Roman" w:cs="Times New Roman"/>
          <w:spacing w:val="-5"/>
          <w:position w:val="17"/>
          <w:sz w:val="24"/>
          <w:szCs w:val="24"/>
        </w:rPr>
        <w:t>1</w:t>
      </w:r>
      <w:r>
        <w:rPr>
          <w:rFonts w:ascii="Times New Roman" w:hAnsi="Times New Roman" w:eastAsia="Times New Roman" w:cs="Times New Roman"/>
          <w:spacing w:val="41"/>
          <w:position w:val="17"/>
          <w:sz w:val="24"/>
          <w:szCs w:val="24"/>
        </w:rPr>
        <w:t xml:space="preserve"> </w:t>
      </w:r>
      <w:r>
        <w:rPr>
          <w:rFonts w:ascii="宋体" w:hAnsi="宋体" w:eastAsia="宋体" w:cs="宋体"/>
          <w:spacing w:val="-5"/>
          <w:position w:val="17"/>
          <w:sz w:val="24"/>
          <w:szCs w:val="24"/>
        </w:rPr>
        <w:t>个沉淀池， 基坑排水经沉淀处理后回用于</w:t>
      </w:r>
      <w:r>
        <w:rPr>
          <w:rFonts w:hint="eastAsia" w:ascii="宋体" w:hAnsi="宋体" w:eastAsia="宋体" w:cs="宋体"/>
          <w:spacing w:val="-5"/>
          <w:position w:val="17"/>
          <w:sz w:val="24"/>
          <w:szCs w:val="24"/>
          <w:lang w:eastAsia="zh-CN"/>
        </w:rPr>
        <w:t>混凝土</w:t>
      </w:r>
      <w:r>
        <w:rPr>
          <w:rFonts w:ascii="宋体" w:hAnsi="宋体" w:eastAsia="宋体" w:cs="宋体"/>
          <w:spacing w:val="-5"/>
          <w:position w:val="17"/>
          <w:sz w:val="24"/>
          <w:szCs w:val="24"/>
        </w:rPr>
        <w:t>拌合、洒水降</w:t>
      </w:r>
    </w:p>
    <w:p>
      <w:pPr>
        <w:spacing w:line="232" w:lineRule="auto"/>
        <w:ind w:left="11"/>
        <w:rPr>
          <w:rFonts w:ascii="宋体" w:hAnsi="宋体" w:eastAsia="宋体" w:cs="宋体"/>
          <w:sz w:val="24"/>
          <w:szCs w:val="24"/>
        </w:rPr>
      </w:pPr>
      <w:r>
        <w:rPr>
          <w:rFonts w:ascii="宋体" w:hAnsi="宋体" w:eastAsia="宋体" w:cs="宋体"/>
          <w:spacing w:val="-15"/>
          <w:sz w:val="24"/>
          <w:szCs w:val="24"/>
        </w:rPr>
        <w:t>尘及其他施工用水，不外排。沉淀池为混凝土结构，</w:t>
      </w:r>
      <w:r>
        <w:rPr>
          <w:rFonts w:ascii="宋体" w:hAnsi="宋体" w:eastAsia="宋体" w:cs="宋体"/>
          <w:spacing w:val="-38"/>
          <w:sz w:val="24"/>
          <w:szCs w:val="24"/>
        </w:rPr>
        <w:t xml:space="preserve"> </w:t>
      </w:r>
      <w:r>
        <w:rPr>
          <w:rFonts w:ascii="宋体" w:hAnsi="宋体" w:eastAsia="宋体" w:cs="宋体"/>
          <w:spacing w:val="-15"/>
          <w:sz w:val="24"/>
          <w:szCs w:val="24"/>
        </w:rPr>
        <w:t>采</w:t>
      </w:r>
      <w:r>
        <w:rPr>
          <w:rFonts w:ascii="宋体" w:hAnsi="宋体" w:eastAsia="宋体" w:cs="宋体"/>
          <w:spacing w:val="-16"/>
          <w:sz w:val="24"/>
          <w:szCs w:val="24"/>
        </w:rPr>
        <w:t>用三级沉淀处理，</w:t>
      </w:r>
      <w:r>
        <w:rPr>
          <w:rFonts w:ascii="宋体" w:hAnsi="宋体" w:eastAsia="宋体" w:cs="宋体"/>
          <w:spacing w:val="-35"/>
          <w:sz w:val="24"/>
          <w:szCs w:val="24"/>
        </w:rPr>
        <w:t xml:space="preserve"> </w:t>
      </w:r>
      <w:r>
        <w:rPr>
          <w:rFonts w:ascii="宋体" w:hAnsi="宋体" w:eastAsia="宋体" w:cs="宋体"/>
          <w:spacing w:val="-16"/>
          <w:sz w:val="24"/>
          <w:szCs w:val="24"/>
        </w:rPr>
        <w:t>总容积</w:t>
      </w:r>
      <w:r>
        <w:rPr>
          <w:rFonts w:ascii="宋体" w:hAnsi="宋体" w:eastAsia="宋体" w:cs="宋体"/>
          <w:spacing w:val="-48"/>
          <w:sz w:val="24"/>
          <w:szCs w:val="24"/>
        </w:rPr>
        <w:t xml:space="preserve"> </w:t>
      </w:r>
      <w:r>
        <w:rPr>
          <w:rFonts w:ascii="Times New Roman" w:hAnsi="Times New Roman" w:eastAsia="Times New Roman" w:cs="Times New Roman"/>
          <w:spacing w:val="-16"/>
          <w:sz w:val="24"/>
          <w:szCs w:val="24"/>
        </w:rPr>
        <w:t>50m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w:t>
      </w:r>
    </w:p>
    <w:p>
      <w:pPr>
        <w:spacing w:before="165" w:line="217" w:lineRule="auto"/>
        <w:ind w:left="487"/>
        <w:rPr>
          <w:rFonts w:ascii="宋体" w:hAnsi="宋体" w:eastAsia="宋体" w:cs="宋体"/>
          <w:sz w:val="24"/>
          <w:szCs w:val="24"/>
        </w:rPr>
      </w:pPr>
      <w:r>
        <w:rPr>
          <w:rFonts w:ascii="宋体" w:hAnsi="宋体" w:eastAsia="宋体" w:cs="宋体"/>
          <w:spacing w:val="-1"/>
          <w:sz w:val="24"/>
          <w:szCs w:val="24"/>
        </w:rPr>
        <w:t>④施工人员生活污水</w:t>
      </w:r>
    </w:p>
    <w:p>
      <w:pPr>
        <w:spacing w:before="184" w:line="359" w:lineRule="auto"/>
        <w:ind w:left="11" w:right="161" w:firstLine="479"/>
        <w:rPr>
          <w:rFonts w:ascii="宋体" w:hAnsi="宋体" w:eastAsia="宋体" w:cs="宋体"/>
          <w:sz w:val="24"/>
          <w:szCs w:val="24"/>
        </w:rPr>
      </w:pPr>
      <w:r>
        <w:rPr>
          <w:rFonts w:ascii="宋体" w:hAnsi="宋体" w:eastAsia="宋体" w:cs="宋体"/>
          <w:spacing w:val="-5"/>
          <w:sz w:val="24"/>
          <w:szCs w:val="24"/>
        </w:rPr>
        <w:t>本工程建设施工期将设置施工人员生活、办公营地，施工期平均施工</w:t>
      </w:r>
      <w:r>
        <w:rPr>
          <w:rFonts w:ascii="宋体" w:hAnsi="宋体" w:eastAsia="宋体" w:cs="宋体"/>
          <w:spacing w:val="-6"/>
          <w:sz w:val="24"/>
          <w:szCs w:val="24"/>
        </w:rPr>
        <w:t xml:space="preserve">人员为 </w:t>
      </w:r>
      <w:r>
        <w:rPr>
          <w:rFonts w:ascii="Times New Roman" w:hAnsi="Times New Roman" w:eastAsia="Times New Roman" w:cs="Times New Roman"/>
          <w:spacing w:val="-6"/>
          <w:sz w:val="24"/>
          <w:szCs w:val="24"/>
        </w:rPr>
        <w:t>120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人。枢纽区施工生活区、砂石料场生活区设置食宿，食宿人</w:t>
      </w:r>
      <w:r>
        <w:rPr>
          <w:rFonts w:ascii="宋体" w:hAnsi="宋体" w:eastAsia="宋体" w:cs="宋体"/>
          <w:spacing w:val="2"/>
          <w:sz w:val="24"/>
          <w:szCs w:val="24"/>
        </w:rPr>
        <w:t>员</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40</w:t>
      </w:r>
      <w:r>
        <w:rPr>
          <w:rFonts w:ascii="Times New Roman" w:hAnsi="Times New Roman" w:eastAsia="Times New Roman" w:cs="Times New Roman"/>
          <w:spacing w:val="34"/>
          <w:w w:val="101"/>
          <w:sz w:val="24"/>
          <w:szCs w:val="24"/>
        </w:rPr>
        <w:t xml:space="preserve"> </w:t>
      </w:r>
      <w:r>
        <w:rPr>
          <w:rFonts w:ascii="宋体" w:hAnsi="宋体" w:eastAsia="宋体" w:cs="宋体"/>
          <w:spacing w:val="2"/>
          <w:sz w:val="24"/>
          <w:szCs w:val="24"/>
        </w:rPr>
        <w:t>人，其余施工生</w:t>
      </w:r>
    </w:p>
    <w:p>
      <w:pPr>
        <w:spacing w:before="1" w:line="219" w:lineRule="auto"/>
        <w:ind w:left="13"/>
        <w:rPr>
          <w:rFonts w:ascii="宋体" w:hAnsi="宋体" w:eastAsia="宋体" w:cs="宋体"/>
          <w:sz w:val="24"/>
          <w:szCs w:val="24"/>
        </w:rPr>
      </w:pPr>
      <w:r>
        <w:rPr>
          <w:rFonts w:ascii="宋体" w:hAnsi="宋体" w:eastAsia="宋体" w:cs="宋体"/>
          <w:sz w:val="24"/>
          <w:szCs w:val="24"/>
        </w:rPr>
        <w:t>活区无食宿。</w:t>
      </w:r>
    </w:p>
    <w:p>
      <w:pPr>
        <w:spacing w:before="181" w:line="467" w:lineRule="exact"/>
        <w:ind w:left="496"/>
        <w:rPr>
          <w:rFonts w:ascii="Times New Roman" w:hAnsi="Times New Roman" w:eastAsia="Times New Roman" w:cs="Times New Roman"/>
          <w:sz w:val="24"/>
          <w:szCs w:val="24"/>
        </w:rPr>
      </w:pPr>
      <w:r>
        <w:rPr>
          <w:rFonts w:ascii="宋体" w:hAnsi="宋体" w:eastAsia="宋体" w:cs="宋体"/>
          <w:spacing w:val="4"/>
          <w:position w:val="16"/>
          <w:sz w:val="24"/>
          <w:szCs w:val="24"/>
        </w:rPr>
        <w:t>枢纽区施工生活区、砂石料场生活区生活用水量</w:t>
      </w:r>
      <w:r>
        <w:rPr>
          <w:rFonts w:ascii="宋体" w:hAnsi="宋体" w:eastAsia="宋体" w:cs="宋体"/>
          <w:spacing w:val="3"/>
          <w:position w:val="16"/>
          <w:sz w:val="24"/>
          <w:szCs w:val="24"/>
        </w:rPr>
        <w:t>取</w:t>
      </w:r>
      <w:r>
        <w:rPr>
          <w:rFonts w:ascii="Times New Roman" w:hAnsi="Times New Roman" w:eastAsia="Times New Roman" w:cs="Times New Roman"/>
          <w:spacing w:val="3"/>
          <w:position w:val="16"/>
          <w:sz w:val="24"/>
          <w:szCs w:val="24"/>
        </w:rPr>
        <w:t>110L/</w:t>
      </w:r>
      <w:r>
        <w:rPr>
          <w:rFonts w:ascii="宋体" w:hAnsi="宋体" w:eastAsia="宋体" w:cs="宋体"/>
          <w:spacing w:val="3"/>
          <w:position w:val="16"/>
          <w:sz w:val="24"/>
          <w:szCs w:val="24"/>
        </w:rPr>
        <w:t>人</w:t>
      </w:r>
      <w:r>
        <w:rPr>
          <w:rFonts w:ascii="Times New Roman" w:hAnsi="Times New Roman" w:eastAsia="Times New Roman" w:cs="Times New Roman"/>
          <w:spacing w:val="3"/>
          <w:position w:val="16"/>
          <w:sz w:val="24"/>
          <w:szCs w:val="24"/>
        </w:rPr>
        <w:t>•d</w:t>
      </w:r>
      <w:r>
        <w:rPr>
          <w:rFonts w:ascii="Times New Roman" w:hAnsi="Times New Roman" w:eastAsia="Times New Roman" w:cs="Times New Roman"/>
          <w:spacing w:val="-34"/>
          <w:position w:val="16"/>
          <w:sz w:val="24"/>
          <w:szCs w:val="24"/>
        </w:rPr>
        <w:t xml:space="preserve"> </w:t>
      </w:r>
      <w:r>
        <w:rPr>
          <w:rFonts w:ascii="宋体" w:hAnsi="宋体" w:eastAsia="宋体" w:cs="宋体"/>
          <w:spacing w:val="3"/>
          <w:position w:val="16"/>
          <w:sz w:val="24"/>
          <w:szCs w:val="24"/>
        </w:rPr>
        <w:t>，排放系数按</w:t>
      </w:r>
      <w:r>
        <w:rPr>
          <w:rFonts w:ascii="Times New Roman" w:hAnsi="Times New Roman" w:eastAsia="Times New Roman" w:cs="Times New Roman"/>
          <w:spacing w:val="3"/>
          <w:position w:val="16"/>
          <w:sz w:val="24"/>
          <w:szCs w:val="24"/>
        </w:rPr>
        <w:t>0.8</w:t>
      </w:r>
    </w:p>
    <w:p>
      <w:pPr>
        <w:spacing w:before="1" w:line="233" w:lineRule="auto"/>
        <w:ind w:left="9"/>
        <w:rPr>
          <w:rFonts w:ascii="宋体" w:hAnsi="宋体" w:eastAsia="宋体" w:cs="宋体"/>
          <w:sz w:val="24"/>
          <w:szCs w:val="24"/>
        </w:rPr>
      </w:pPr>
      <w:r>
        <w:rPr>
          <w:rFonts w:ascii="宋体" w:hAnsi="宋体" w:eastAsia="宋体" w:cs="宋体"/>
          <w:spacing w:val="-4"/>
          <w:sz w:val="24"/>
          <w:szCs w:val="24"/>
        </w:rPr>
        <w:t>计算，则施工期平均生活污水产生量为</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3.5m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/d</w:t>
      </w:r>
      <w:r>
        <w:rPr>
          <w:rFonts w:ascii="宋体" w:hAnsi="宋体" w:eastAsia="宋体" w:cs="宋体"/>
          <w:spacing w:val="-4"/>
          <w:sz w:val="24"/>
          <w:szCs w:val="24"/>
        </w:rPr>
        <w:t>。</w:t>
      </w:r>
    </w:p>
    <w:p>
      <w:pPr>
        <w:spacing w:before="163" w:line="364" w:lineRule="auto"/>
        <w:ind w:left="8" w:right="86" w:firstLine="479"/>
        <w:rPr>
          <w:rFonts w:ascii="宋体" w:hAnsi="宋体" w:eastAsia="宋体" w:cs="宋体"/>
          <w:sz w:val="24"/>
          <w:szCs w:val="24"/>
        </w:rPr>
      </w:pPr>
      <w:r>
        <w:rPr>
          <w:rFonts w:ascii="宋体" w:hAnsi="宋体" w:eastAsia="宋体" w:cs="宋体"/>
          <w:spacing w:val="-4"/>
          <w:sz w:val="24"/>
          <w:szCs w:val="24"/>
        </w:rPr>
        <w:t>施工期生活污水主要污染物为</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COD</w:t>
      </w:r>
      <w:r>
        <w:rPr>
          <w:rFonts w:ascii="宋体" w:hAnsi="宋体" w:eastAsia="宋体" w:cs="宋体"/>
          <w:spacing w:val="-4"/>
          <w:sz w:val="24"/>
          <w:szCs w:val="24"/>
        </w:rPr>
        <w:t>、</w:t>
      </w:r>
      <w:r>
        <w:rPr>
          <w:rFonts w:ascii="Times New Roman" w:hAnsi="Times New Roman" w:eastAsia="Times New Roman" w:cs="Times New Roman"/>
          <w:spacing w:val="-4"/>
          <w:sz w:val="24"/>
          <w:szCs w:val="24"/>
        </w:rPr>
        <w:t>BO</w:t>
      </w:r>
      <w:r>
        <w:rPr>
          <w:rFonts w:ascii="Times New Roman" w:hAnsi="Times New Roman" w:eastAsia="Times New Roman" w:cs="Times New Roman"/>
          <w:spacing w:val="-5"/>
          <w:sz w:val="24"/>
          <w:szCs w:val="24"/>
        </w:rPr>
        <w:t>D</w:t>
      </w:r>
      <w:r>
        <w:rPr>
          <w:rFonts w:ascii="Times New Roman" w:hAnsi="Times New Roman" w:eastAsia="Times New Roman" w:cs="Times New Roman"/>
          <w:spacing w:val="-5"/>
          <w:position w:val="-3"/>
          <w:sz w:val="15"/>
          <w:szCs w:val="15"/>
        </w:rPr>
        <w:t>5</w:t>
      </w:r>
      <w:r>
        <w:rPr>
          <w:rFonts w:ascii="宋体" w:hAnsi="宋体" w:eastAsia="宋体" w:cs="宋体"/>
          <w:spacing w:val="-5"/>
          <w:sz w:val="24"/>
          <w:szCs w:val="24"/>
        </w:rPr>
        <w:t>、</w:t>
      </w:r>
      <w:r>
        <w:rPr>
          <w:rFonts w:ascii="Times New Roman" w:hAnsi="Times New Roman" w:eastAsia="Times New Roman" w:cs="Times New Roman"/>
          <w:spacing w:val="-5"/>
          <w:sz w:val="24"/>
          <w:szCs w:val="24"/>
        </w:rPr>
        <w:t>NH</w:t>
      </w:r>
      <w:r>
        <w:rPr>
          <w:rFonts w:ascii="Times New Roman" w:hAnsi="Times New Roman" w:eastAsia="Times New Roman" w:cs="Times New Roman"/>
          <w:spacing w:val="-5"/>
          <w:position w:val="-3"/>
          <w:sz w:val="15"/>
          <w:szCs w:val="15"/>
        </w:rPr>
        <w:t>3</w:t>
      </w:r>
      <w:r>
        <w:rPr>
          <w:rFonts w:ascii="Times New Roman" w:hAnsi="Times New Roman" w:eastAsia="Times New Roman" w:cs="Times New Roman"/>
          <w:spacing w:val="-5"/>
          <w:sz w:val="24"/>
          <w:szCs w:val="24"/>
        </w:rPr>
        <w:t>-N</w:t>
      </w:r>
      <w:r>
        <w:rPr>
          <w:rFonts w:ascii="宋体" w:hAnsi="宋体" w:eastAsia="宋体" w:cs="宋体"/>
          <w:spacing w:val="-5"/>
          <w:sz w:val="24"/>
          <w:szCs w:val="24"/>
        </w:rPr>
        <w:t>、磷酸盐等，</w:t>
      </w:r>
      <w:r>
        <w:rPr>
          <w:rFonts w:ascii="宋体" w:hAnsi="宋体" w:eastAsia="宋体" w:cs="宋体"/>
          <w:spacing w:val="-47"/>
          <w:sz w:val="24"/>
          <w:szCs w:val="24"/>
        </w:rPr>
        <w:t xml:space="preserve"> </w:t>
      </w:r>
      <w:r>
        <w:rPr>
          <w:rFonts w:ascii="宋体" w:hAnsi="宋体" w:eastAsia="宋体" w:cs="宋体"/>
          <w:spacing w:val="-5"/>
          <w:sz w:val="24"/>
          <w:szCs w:val="24"/>
        </w:rPr>
        <w:t>类比同类性质</w:t>
      </w:r>
      <w:r>
        <w:rPr>
          <w:rFonts w:ascii="宋体" w:hAnsi="宋体" w:eastAsia="宋体" w:cs="宋体"/>
          <w:sz w:val="24"/>
          <w:szCs w:val="24"/>
        </w:rPr>
        <w:t xml:space="preserve"> </w:t>
      </w:r>
      <w:r>
        <w:rPr>
          <w:rFonts w:ascii="宋体" w:hAnsi="宋体" w:eastAsia="宋体" w:cs="宋体"/>
          <w:spacing w:val="-4"/>
          <w:sz w:val="24"/>
          <w:szCs w:val="24"/>
        </w:rPr>
        <w:t>污水，</w:t>
      </w:r>
      <w:r>
        <w:rPr>
          <w:rFonts w:ascii="Times New Roman" w:hAnsi="Times New Roman" w:eastAsia="Times New Roman" w:cs="Times New Roman"/>
          <w:spacing w:val="-4"/>
          <w:sz w:val="24"/>
          <w:szCs w:val="24"/>
        </w:rPr>
        <w:t>COD</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 xml:space="preserve">约为 </w:t>
      </w:r>
      <w:r>
        <w:rPr>
          <w:rFonts w:ascii="Times New Roman" w:hAnsi="Times New Roman" w:eastAsia="Times New Roman" w:cs="Times New Roman"/>
          <w:spacing w:val="-4"/>
          <w:sz w:val="24"/>
          <w:szCs w:val="24"/>
        </w:rPr>
        <w:t>280mg/L</w:t>
      </w:r>
      <w:r>
        <w:rPr>
          <w:rFonts w:ascii="宋体" w:hAnsi="宋体" w:eastAsia="宋体" w:cs="宋体"/>
          <w:spacing w:val="-4"/>
          <w:sz w:val="24"/>
          <w:szCs w:val="24"/>
        </w:rPr>
        <w:t>，</w:t>
      </w:r>
      <w:r>
        <w:rPr>
          <w:rFonts w:ascii="Times New Roman" w:hAnsi="Times New Roman" w:eastAsia="Times New Roman" w:cs="Times New Roman"/>
          <w:spacing w:val="-4"/>
          <w:sz w:val="24"/>
          <w:szCs w:val="24"/>
        </w:rPr>
        <w:t>BOD</w:t>
      </w:r>
      <w:r>
        <w:rPr>
          <w:rFonts w:ascii="Times New Roman" w:hAnsi="Times New Roman" w:eastAsia="Times New Roman" w:cs="Times New Roman"/>
          <w:spacing w:val="-4"/>
          <w:position w:val="-3"/>
          <w:sz w:val="15"/>
          <w:szCs w:val="15"/>
        </w:rPr>
        <w:t>5</w:t>
      </w:r>
      <w:r>
        <w:rPr>
          <w:rFonts w:ascii="Times New Roman" w:hAnsi="Times New Roman" w:eastAsia="Times New Roman" w:cs="Times New Roman"/>
          <w:spacing w:val="14"/>
          <w:w w:val="102"/>
          <w:position w:val="-3"/>
          <w:sz w:val="15"/>
          <w:szCs w:val="15"/>
        </w:rPr>
        <w:t xml:space="preserve">  </w:t>
      </w:r>
      <w:r>
        <w:rPr>
          <w:rFonts w:ascii="宋体" w:hAnsi="宋体" w:eastAsia="宋体" w:cs="宋体"/>
          <w:spacing w:val="-4"/>
          <w:sz w:val="24"/>
          <w:szCs w:val="24"/>
        </w:rPr>
        <w:t>约为</w:t>
      </w:r>
      <w:r>
        <w:rPr>
          <w:rFonts w:ascii="Times New Roman" w:hAnsi="Times New Roman" w:eastAsia="Times New Roman" w:cs="Times New Roman"/>
          <w:spacing w:val="-4"/>
          <w:sz w:val="24"/>
          <w:szCs w:val="24"/>
        </w:rPr>
        <w:t>100mg/L</w:t>
      </w:r>
      <w:r>
        <w:rPr>
          <w:rFonts w:ascii="宋体" w:hAnsi="宋体" w:eastAsia="宋体" w:cs="宋体"/>
          <w:spacing w:val="-4"/>
          <w:sz w:val="24"/>
          <w:szCs w:val="24"/>
        </w:rPr>
        <w:t>，</w:t>
      </w:r>
      <w:r>
        <w:rPr>
          <w:rFonts w:ascii="Times New Roman" w:hAnsi="Times New Roman" w:eastAsia="Times New Roman" w:cs="Times New Roman"/>
          <w:spacing w:val="-4"/>
          <w:sz w:val="24"/>
          <w:szCs w:val="24"/>
        </w:rPr>
        <w:t>NH</w:t>
      </w:r>
      <w:r>
        <w:rPr>
          <w:rFonts w:ascii="Times New Roman" w:hAnsi="Times New Roman" w:eastAsia="Times New Roman" w:cs="Times New Roman"/>
          <w:spacing w:val="-4"/>
          <w:position w:val="-3"/>
          <w:sz w:val="15"/>
          <w:szCs w:val="15"/>
        </w:rPr>
        <w:t>3</w:t>
      </w:r>
      <w:r>
        <w:rPr>
          <w:rFonts w:ascii="Times New Roman" w:hAnsi="Times New Roman" w:eastAsia="Times New Roman" w:cs="Times New Roman"/>
          <w:spacing w:val="-4"/>
          <w:sz w:val="24"/>
          <w:szCs w:val="24"/>
        </w:rPr>
        <w:t>-N</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 xml:space="preserve">约为 </w:t>
      </w:r>
      <w:r>
        <w:rPr>
          <w:rFonts w:ascii="Times New Roman" w:hAnsi="Times New Roman" w:eastAsia="Times New Roman" w:cs="Times New Roman"/>
          <w:spacing w:val="-4"/>
          <w:sz w:val="24"/>
          <w:szCs w:val="24"/>
        </w:rPr>
        <w:t>20mg/L</w:t>
      </w:r>
      <w:r>
        <w:rPr>
          <w:rFonts w:ascii="宋体" w:hAnsi="宋体" w:eastAsia="宋体" w:cs="宋体"/>
          <w:spacing w:val="-4"/>
          <w:sz w:val="24"/>
          <w:szCs w:val="24"/>
        </w:rPr>
        <w:t>，磷酸盐</w:t>
      </w:r>
      <w:r>
        <w:rPr>
          <w:rFonts w:ascii="宋体" w:hAnsi="宋体" w:eastAsia="宋体" w:cs="宋体"/>
          <w:spacing w:val="-5"/>
          <w:sz w:val="24"/>
          <w:szCs w:val="24"/>
        </w:rPr>
        <w:t>约为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0.6mg/L</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。枢纽区施工生活区、砂石料场生活区分别设置</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个隔油池和</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个化粪池，</w:t>
      </w:r>
      <w:r>
        <w:rPr>
          <w:rFonts w:ascii="宋体" w:hAnsi="宋体" w:eastAsia="宋体" w:cs="宋体"/>
          <w:sz w:val="24"/>
          <w:szCs w:val="24"/>
        </w:rPr>
        <w:t xml:space="preserve"> </w:t>
      </w:r>
      <w:r>
        <w:rPr>
          <w:rFonts w:ascii="宋体" w:hAnsi="宋体" w:eastAsia="宋体" w:cs="宋体"/>
          <w:spacing w:val="-12"/>
          <w:sz w:val="24"/>
          <w:szCs w:val="24"/>
        </w:rPr>
        <w:t>隔油池容积</w:t>
      </w:r>
      <w:r>
        <w:rPr>
          <w:rFonts w:ascii="宋体" w:hAnsi="宋体" w:eastAsia="宋体" w:cs="宋体"/>
          <w:spacing w:val="-36"/>
          <w:sz w:val="24"/>
          <w:szCs w:val="24"/>
        </w:rPr>
        <w:t xml:space="preserve"> </w:t>
      </w:r>
      <w:r>
        <w:rPr>
          <w:rFonts w:ascii="Times New Roman" w:hAnsi="Times New Roman" w:eastAsia="Times New Roman" w:cs="Times New Roman"/>
          <w:spacing w:val="-12"/>
          <w:sz w:val="24"/>
          <w:szCs w:val="24"/>
        </w:rPr>
        <w:t>1m</w:t>
      </w:r>
      <w:r>
        <w:rPr>
          <w:rFonts w:ascii="Times New Roman" w:hAnsi="Times New Roman" w:eastAsia="Times New Roman" w:cs="Times New Roman"/>
          <w:spacing w:val="2"/>
          <w:position w:val="8"/>
          <w:sz w:val="15"/>
          <w:szCs w:val="15"/>
        </w:rPr>
        <w:t>3</w:t>
      </w:r>
      <w:r>
        <w:rPr>
          <w:rFonts w:ascii="宋体" w:hAnsi="宋体" w:eastAsia="宋体" w:cs="宋体"/>
          <w:spacing w:val="-13"/>
          <w:sz w:val="24"/>
          <w:szCs w:val="24"/>
        </w:rPr>
        <w:t>，化粪池采用三格化粪池，混凝土结构，容积</w:t>
      </w:r>
      <w:r>
        <w:rPr>
          <w:rFonts w:ascii="宋体" w:hAnsi="宋体" w:eastAsia="宋体" w:cs="宋体"/>
          <w:spacing w:val="-62"/>
          <w:sz w:val="24"/>
          <w:szCs w:val="24"/>
        </w:rPr>
        <w:t xml:space="preserve"> </w:t>
      </w:r>
      <w:r>
        <w:rPr>
          <w:rFonts w:ascii="Times New Roman" w:hAnsi="Times New Roman" w:eastAsia="Times New Roman" w:cs="Times New Roman"/>
          <w:spacing w:val="-14"/>
          <w:sz w:val="24"/>
          <w:szCs w:val="24"/>
        </w:rPr>
        <w:t>30m</w:t>
      </w:r>
      <w:r>
        <w:rPr>
          <w:rFonts w:ascii="Times New Roman" w:hAnsi="Times New Roman" w:eastAsia="Times New Roman" w:cs="Times New Roman"/>
          <w:spacing w:val="-9"/>
          <w:position w:val="8"/>
          <w:sz w:val="15"/>
          <w:szCs w:val="15"/>
        </w:rPr>
        <w:t>3</w:t>
      </w:r>
      <w:r>
        <w:rPr>
          <w:rFonts w:ascii="宋体" w:hAnsi="宋体" w:eastAsia="宋体" w:cs="宋体"/>
          <w:spacing w:val="-9"/>
          <w:sz w:val="24"/>
          <w:szCs w:val="24"/>
        </w:rPr>
        <w:t>。生活污水进入化粪</w:t>
      </w:r>
    </w:p>
    <w:p>
      <w:pPr>
        <w:spacing w:before="1" w:line="218" w:lineRule="auto"/>
        <w:ind w:left="9"/>
        <w:rPr>
          <w:rFonts w:ascii="宋体" w:hAnsi="宋体" w:eastAsia="宋体" w:cs="宋体"/>
          <w:sz w:val="24"/>
          <w:szCs w:val="24"/>
        </w:rPr>
      </w:pPr>
      <w:r>
        <w:rPr>
          <w:rFonts w:ascii="宋体" w:hAnsi="宋体" w:eastAsia="宋体" w:cs="宋体"/>
          <w:spacing w:val="-10"/>
          <w:sz w:val="24"/>
          <w:szCs w:val="24"/>
        </w:rPr>
        <w:t>池处理，并雇用当地村民定期清运用作农业肥料，生活污水不外排。</w:t>
      </w:r>
    </w:p>
    <w:p>
      <w:pPr>
        <w:spacing w:before="182" w:line="220" w:lineRule="auto"/>
        <w:ind w:left="49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）废气</w:t>
      </w:r>
    </w:p>
    <w:p>
      <w:pPr>
        <w:spacing w:before="183" w:line="466" w:lineRule="exact"/>
        <w:ind w:left="490"/>
        <w:rPr>
          <w:rFonts w:ascii="宋体" w:hAnsi="宋体" w:eastAsia="宋体" w:cs="宋体"/>
          <w:sz w:val="24"/>
          <w:szCs w:val="24"/>
        </w:rPr>
      </w:pPr>
      <w:r>
        <w:rPr>
          <w:rFonts w:ascii="宋体" w:hAnsi="宋体" w:eastAsia="宋体" w:cs="宋体"/>
          <w:spacing w:val="-9"/>
          <w:position w:val="17"/>
          <w:sz w:val="24"/>
          <w:szCs w:val="24"/>
        </w:rPr>
        <w:t>本工程施工期产生的废气主要有： 施工扬尘、燃油废气、爆破废气。产生的大气</w:t>
      </w:r>
    </w:p>
    <w:p>
      <w:pPr>
        <w:spacing w:before="1" w:line="219" w:lineRule="auto"/>
        <w:ind w:left="11"/>
        <w:rPr>
          <w:rFonts w:ascii="宋体" w:hAnsi="宋体" w:eastAsia="宋体" w:cs="宋体"/>
          <w:sz w:val="24"/>
          <w:szCs w:val="24"/>
        </w:rPr>
      </w:pPr>
      <w:r>
        <w:rPr>
          <w:rFonts w:ascii="宋体" w:hAnsi="宋体" w:eastAsia="宋体" w:cs="宋体"/>
          <w:spacing w:val="-15"/>
          <w:sz w:val="24"/>
          <w:szCs w:val="24"/>
        </w:rPr>
        <w:t>污染物主要是扬尘、</w:t>
      </w:r>
      <w:r>
        <w:rPr>
          <w:rFonts w:ascii="宋体" w:hAnsi="宋体" w:eastAsia="宋体" w:cs="宋体"/>
          <w:spacing w:val="45"/>
          <w:sz w:val="24"/>
          <w:szCs w:val="24"/>
        </w:rPr>
        <w:t xml:space="preserve"> </w:t>
      </w:r>
      <w:r>
        <w:rPr>
          <w:rFonts w:ascii="Times New Roman" w:hAnsi="Times New Roman" w:eastAsia="Times New Roman" w:cs="Times New Roman"/>
          <w:spacing w:val="-15"/>
          <w:sz w:val="24"/>
          <w:szCs w:val="24"/>
        </w:rPr>
        <w:t>CO</w:t>
      </w:r>
      <w:r>
        <w:rPr>
          <w:rFonts w:ascii="Times New Roman" w:hAnsi="Times New Roman" w:eastAsia="Times New Roman" w:cs="Times New Roman"/>
          <w:spacing w:val="-35"/>
          <w:sz w:val="24"/>
          <w:szCs w:val="24"/>
        </w:rPr>
        <w:t xml:space="preserve"> </w:t>
      </w:r>
      <w:r>
        <w:rPr>
          <w:rFonts w:ascii="宋体" w:hAnsi="宋体" w:eastAsia="宋体" w:cs="宋体"/>
          <w:spacing w:val="-15"/>
          <w:sz w:val="24"/>
          <w:szCs w:val="24"/>
        </w:rPr>
        <w:t>、</w:t>
      </w:r>
      <w:r>
        <w:rPr>
          <w:rFonts w:ascii="Times New Roman" w:hAnsi="Times New Roman" w:eastAsia="Times New Roman" w:cs="Times New Roman"/>
          <w:spacing w:val="-15"/>
          <w:sz w:val="24"/>
          <w:szCs w:val="24"/>
        </w:rPr>
        <w:t>NO</w:t>
      </w:r>
      <w:r>
        <w:rPr>
          <w:rFonts w:ascii="Times New Roman" w:hAnsi="Times New Roman" w:eastAsia="Times New Roman" w:cs="Times New Roman"/>
          <w:spacing w:val="-4"/>
          <w:sz w:val="15"/>
          <w:szCs w:val="15"/>
        </w:rPr>
        <w:t>2</w:t>
      </w:r>
      <w:r>
        <w:rPr>
          <w:rFonts w:ascii="Times New Roman" w:hAnsi="Times New Roman" w:eastAsia="Times New Roman" w:cs="Times New Roman"/>
          <w:spacing w:val="9"/>
          <w:sz w:val="15"/>
          <w:szCs w:val="15"/>
        </w:rPr>
        <w:t xml:space="preserve">  </w:t>
      </w:r>
      <w:r>
        <w:rPr>
          <w:rFonts w:ascii="宋体" w:hAnsi="宋体" w:eastAsia="宋体" w:cs="宋体"/>
          <w:spacing w:val="-4"/>
          <w:sz w:val="24"/>
          <w:szCs w:val="24"/>
        </w:rPr>
        <w:t>等。</w:t>
      </w:r>
    </w:p>
    <w:p>
      <w:pPr>
        <w:spacing w:before="182" w:line="359" w:lineRule="auto"/>
        <w:ind w:left="8" w:right="160" w:firstLine="480"/>
        <w:rPr>
          <w:rFonts w:ascii="宋体" w:hAnsi="宋体" w:eastAsia="宋体" w:cs="宋体"/>
          <w:sz w:val="24"/>
          <w:szCs w:val="24"/>
        </w:rPr>
      </w:pPr>
      <w:r>
        <w:rPr>
          <w:rFonts w:ascii="宋体" w:hAnsi="宋体" w:eastAsia="宋体" w:cs="宋体"/>
          <w:spacing w:val="1"/>
          <w:sz w:val="24"/>
          <w:szCs w:val="24"/>
        </w:rPr>
        <w:t>燃油废气主要来自施工车辆运输和施工设备运行，排放方式具有分散性；根据</w:t>
      </w:r>
      <w:r>
        <w:rPr>
          <w:rFonts w:ascii="宋体" w:hAnsi="宋体" w:eastAsia="宋体" w:cs="宋体"/>
          <w:spacing w:val="11"/>
          <w:sz w:val="24"/>
          <w:szCs w:val="24"/>
        </w:rPr>
        <w:t xml:space="preserve"> </w:t>
      </w:r>
      <w:r>
        <w:rPr>
          <w:rFonts w:ascii="宋体" w:hAnsi="宋体" w:eastAsia="宋体" w:cs="宋体"/>
          <w:spacing w:val="-4"/>
          <w:sz w:val="24"/>
          <w:szCs w:val="24"/>
        </w:rPr>
        <w:t xml:space="preserve">《大姚县桂花水库工程可行性研究报告》，本工程施工中各种机械需耗油料 </w:t>
      </w:r>
      <w:r>
        <w:rPr>
          <w:rFonts w:ascii="Times New Roman" w:hAnsi="Times New Roman" w:eastAsia="Times New Roman" w:cs="Times New Roman"/>
          <w:spacing w:val="-4"/>
          <w:sz w:val="24"/>
          <w:szCs w:val="24"/>
        </w:rPr>
        <w:t>5604</w:t>
      </w:r>
      <w:r>
        <w:rPr>
          <w:rFonts w:ascii="Times New Roman" w:hAnsi="Times New Roman" w:eastAsia="Times New Roman" w:cs="Times New Roman"/>
          <w:spacing w:val="-5"/>
          <w:sz w:val="24"/>
          <w:szCs w:val="24"/>
        </w:rPr>
        <w:t>t</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3"/>
          <w:sz w:val="24"/>
          <w:szCs w:val="24"/>
        </w:rPr>
        <w:t>施工开挖爆破需炸药</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959t</w:t>
      </w:r>
      <w:r>
        <w:rPr>
          <w:rFonts w:ascii="宋体" w:hAnsi="宋体" w:eastAsia="宋体" w:cs="宋体"/>
          <w:spacing w:val="-3"/>
          <w:sz w:val="24"/>
          <w:szCs w:val="24"/>
        </w:rPr>
        <w:t>。施工机械燃油排放的废气主要含</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CO</w:t>
      </w:r>
      <w:r>
        <w:rPr>
          <w:rFonts w:ascii="宋体" w:hAnsi="宋体" w:eastAsia="宋体" w:cs="宋体"/>
          <w:spacing w:val="-3"/>
          <w:sz w:val="24"/>
          <w:szCs w:val="24"/>
        </w:rPr>
        <w:t>、</w:t>
      </w:r>
      <w:r>
        <w:rPr>
          <w:rFonts w:ascii="Times New Roman" w:hAnsi="Times New Roman" w:eastAsia="Times New Roman" w:cs="Times New Roman"/>
          <w:spacing w:val="-3"/>
          <w:sz w:val="24"/>
          <w:szCs w:val="24"/>
        </w:rPr>
        <w:t>NO</w:t>
      </w:r>
      <w:r>
        <w:rPr>
          <w:rFonts w:ascii="Times New Roman" w:hAnsi="Times New Roman" w:eastAsia="Times New Roman" w:cs="Times New Roman"/>
          <w:spacing w:val="-3"/>
          <w:sz w:val="15"/>
          <w:szCs w:val="15"/>
        </w:rPr>
        <w:t>2</w:t>
      </w:r>
      <w:r>
        <w:rPr>
          <w:rFonts w:ascii="宋体" w:hAnsi="宋体" w:eastAsia="宋体" w:cs="宋体"/>
          <w:spacing w:val="-3"/>
          <w:sz w:val="24"/>
          <w:szCs w:val="24"/>
        </w:rPr>
        <w:t>、</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sz w:val="15"/>
          <w:szCs w:val="15"/>
        </w:rPr>
        <w:t>2</w:t>
      </w:r>
      <w:r>
        <w:rPr>
          <w:rFonts w:ascii="宋体" w:hAnsi="宋体" w:eastAsia="宋体" w:cs="宋体"/>
          <w:spacing w:val="-3"/>
          <w:sz w:val="24"/>
          <w:szCs w:val="24"/>
        </w:rPr>
        <w:t>、</w:t>
      </w:r>
      <w:r>
        <w:rPr>
          <w:rFonts w:ascii="Times New Roman" w:hAnsi="Times New Roman" w:eastAsia="Times New Roman" w:cs="Times New Roman"/>
          <w:spacing w:val="-4"/>
          <w:sz w:val="24"/>
          <w:szCs w:val="24"/>
        </w:rPr>
        <w:t>CmHn</w:t>
      </w:r>
      <w:r>
        <w:rPr>
          <w:rFonts w:ascii="Times New Roman" w:hAnsi="Times New Roman" w:eastAsia="Times New Roman" w:cs="Times New Roman"/>
          <w:sz w:val="24"/>
          <w:szCs w:val="24"/>
        </w:rPr>
        <w:t xml:space="preserve"> </w:t>
      </w:r>
      <w:r>
        <w:rPr>
          <w:rFonts w:ascii="宋体" w:hAnsi="宋体" w:eastAsia="宋体" w:cs="宋体"/>
          <w:spacing w:val="-8"/>
          <w:sz w:val="24"/>
          <w:szCs w:val="24"/>
        </w:rPr>
        <w:t>等污染物； 炸药在爆炸过程中产生高温高压膨胀气体（炮烟</w:t>
      </w:r>
      <w:r>
        <w:rPr>
          <w:rFonts w:ascii="宋体" w:hAnsi="宋体" w:eastAsia="宋体" w:cs="宋体"/>
          <w:spacing w:val="-12"/>
          <w:sz w:val="24"/>
          <w:szCs w:val="24"/>
        </w:rPr>
        <w:t>），</w:t>
      </w:r>
      <w:r>
        <w:rPr>
          <w:rFonts w:ascii="宋体" w:hAnsi="宋体" w:eastAsia="宋体" w:cs="宋体"/>
          <w:spacing w:val="-8"/>
          <w:sz w:val="24"/>
          <w:szCs w:val="24"/>
        </w:rPr>
        <w:t>其中除含有大量粉尘</w:t>
      </w:r>
      <w:r>
        <w:rPr>
          <w:rFonts w:ascii="宋体" w:hAnsi="宋体" w:eastAsia="宋体" w:cs="宋体"/>
          <w:spacing w:val="1"/>
          <w:sz w:val="24"/>
          <w:szCs w:val="24"/>
        </w:rPr>
        <w:t xml:space="preserve"> </w:t>
      </w:r>
      <w:r>
        <w:rPr>
          <w:rFonts w:ascii="宋体" w:hAnsi="宋体" w:eastAsia="宋体" w:cs="宋体"/>
          <w:spacing w:val="-13"/>
          <w:sz w:val="24"/>
          <w:szCs w:val="24"/>
        </w:rPr>
        <w:t>外，</w:t>
      </w:r>
      <w:r>
        <w:rPr>
          <w:rFonts w:ascii="宋体" w:hAnsi="宋体" w:eastAsia="宋体" w:cs="宋体"/>
          <w:spacing w:val="-31"/>
          <w:sz w:val="24"/>
          <w:szCs w:val="24"/>
        </w:rPr>
        <w:t xml:space="preserve"> </w:t>
      </w:r>
      <w:r>
        <w:rPr>
          <w:rFonts w:ascii="宋体" w:hAnsi="宋体" w:eastAsia="宋体" w:cs="宋体"/>
          <w:spacing w:val="-13"/>
          <w:sz w:val="24"/>
          <w:szCs w:val="24"/>
        </w:rPr>
        <w:t>还含有</w:t>
      </w:r>
      <w:r>
        <w:rPr>
          <w:rFonts w:ascii="宋体" w:hAnsi="宋体" w:eastAsia="宋体" w:cs="宋体"/>
          <w:spacing w:val="-51"/>
          <w:sz w:val="24"/>
          <w:szCs w:val="24"/>
        </w:rPr>
        <w:t xml:space="preserve"> </w:t>
      </w:r>
      <w:r>
        <w:rPr>
          <w:rFonts w:ascii="Times New Roman" w:hAnsi="Times New Roman" w:eastAsia="Times New Roman" w:cs="Times New Roman"/>
          <w:spacing w:val="-13"/>
          <w:sz w:val="24"/>
          <w:szCs w:val="24"/>
        </w:rPr>
        <w:t>CO</w:t>
      </w:r>
      <w:r>
        <w:rPr>
          <w:rFonts w:ascii="宋体" w:hAnsi="宋体" w:eastAsia="宋体" w:cs="宋体"/>
          <w:spacing w:val="-13"/>
          <w:sz w:val="24"/>
          <w:szCs w:val="24"/>
        </w:rPr>
        <w:t>、</w:t>
      </w:r>
      <w:r>
        <w:rPr>
          <w:rFonts w:ascii="Times New Roman" w:hAnsi="Times New Roman" w:eastAsia="Times New Roman" w:cs="Times New Roman"/>
          <w:spacing w:val="-13"/>
          <w:sz w:val="24"/>
          <w:szCs w:val="24"/>
        </w:rPr>
        <w:t>NO</w:t>
      </w:r>
      <w:r>
        <w:rPr>
          <w:rFonts w:ascii="Times New Roman" w:hAnsi="Times New Roman" w:eastAsia="Times New Roman" w:cs="Times New Roman"/>
          <w:spacing w:val="9"/>
          <w:sz w:val="15"/>
          <w:szCs w:val="15"/>
        </w:rPr>
        <w:t>2</w:t>
      </w:r>
      <w:r>
        <w:rPr>
          <w:rFonts w:ascii="Times New Roman" w:hAnsi="Times New Roman" w:eastAsia="Times New Roman" w:cs="Times New Roman"/>
          <w:spacing w:val="-10"/>
          <w:sz w:val="15"/>
          <w:szCs w:val="15"/>
        </w:rPr>
        <w:t xml:space="preserve"> </w:t>
      </w:r>
      <w:r>
        <w:rPr>
          <w:rFonts w:ascii="宋体" w:hAnsi="宋体" w:eastAsia="宋体" w:cs="宋体"/>
          <w:spacing w:val="-15"/>
          <w:sz w:val="24"/>
          <w:szCs w:val="24"/>
        </w:rPr>
        <w:t>、</w:t>
      </w:r>
      <w:r>
        <w:rPr>
          <w:rFonts w:ascii="Times New Roman" w:hAnsi="Times New Roman" w:eastAsia="Times New Roman" w:cs="Times New Roman"/>
          <w:spacing w:val="-15"/>
          <w:sz w:val="24"/>
          <w:szCs w:val="24"/>
        </w:rPr>
        <w:t>SO</w:t>
      </w:r>
      <w:r>
        <w:rPr>
          <w:rFonts w:ascii="Times New Roman" w:hAnsi="Times New Roman" w:eastAsia="Times New Roman" w:cs="Times New Roman"/>
          <w:spacing w:val="4"/>
          <w:sz w:val="15"/>
          <w:szCs w:val="15"/>
        </w:rPr>
        <w:t>2</w:t>
      </w:r>
      <w:r>
        <w:rPr>
          <w:rFonts w:ascii="Times New Roman" w:hAnsi="Times New Roman" w:eastAsia="Times New Roman" w:cs="Times New Roman"/>
          <w:spacing w:val="-11"/>
          <w:sz w:val="15"/>
          <w:szCs w:val="15"/>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CmHn</w:t>
      </w:r>
      <w:r>
        <w:rPr>
          <w:rFonts w:ascii="宋体" w:hAnsi="宋体" w:eastAsia="宋体" w:cs="宋体"/>
          <w:spacing w:val="-8"/>
          <w:sz w:val="24"/>
          <w:szCs w:val="24"/>
        </w:rPr>
        <w:t>、等污染物， 根据机械燃油及炸药在爆炸过程中</w:t>
      </w:r>
    </w:p>
    <w:p>
      <w:pPr>
        <w:spacing w:line="218" w:lineRule="auto"/>
        <w:ind w:left="9"/>
        <w:rPr>
          <w:rFonts w:ascii="宋体" w:hAnsi="宋体" w:eastAsia="宋体" w:cs="宋体"/>
          <w:sz w:val="24"/>
          <w:szCs w:val="24"/>
        </w:rPr>
      </w:pPr>
      <w:r>
        <w:rPr>
          <w:rFonts w:ascii="宋体" w:hAnsi="宋体" w:eastAsia="宋体" w:cs="宋体"/>
          <w:spacing w:val="-1"/>
          <w:sz w:val="24"/>
          <w:szCs w:val="24"/>
        </w:rPr>
        <w:t>产生的污染物定额估算有害气体的产生量，见表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2.4-7</w:t>
      </w:r>
      <w:r>
        <w:rPr>
          <w:rFonts w:ascii="宋体" w:hAnsi="宋体" w:eastAsia="宋体" w:cs="宋体"/>
          <w:spacing w:val="-1"/>
          <w:sz w:val="24"/>
          <w:szCs w:val="24"/>
        </w:rPr>
        <w:t>。</w:t>
      </w:r>
    </w:p>
    <w:p>
      <w:pPr>
        <w:spacing w:before="177" w:line="220" w:lineRule="auto"/>
        <w:ind w:left="1898"/>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round/>
          </w14:textOutline>
        </w:rPr>
        <w:t>表</w:t>
      </w:r>
      <w:r>
        <w:rPr>
          <w:rFonts w:ascii="宋体" w:hAnsi="宋体" w:eastAsia="宋体" w:cs="宋体"/>
          <w:spacing w:val="-46"/>
          <w:sz w:val="21"/>
          <w:szCs w:val="21"/>
        </w:rPr>
        <w:t xml:space="preserve"> </w:t>
      </w:r>
      <w:r>
        <w:rPr>
          <w:rFonts w:ascii="Times New Roman" w:hAnsi="Times New Roman" w:eastAsia="Times New Roman" w:cs="Times New Roman"/>
          <w:b/>
          <w:bCs/>
          <w:spacing w:val="2"/>
          <w:sz w:val="21"/>
          <w:szCs w:val="21"/>
        </w:rPr>
        <w:t xml:space="preserve">2.4-7   </w:t>
      </w:r>
      <w:r>
        <w:rPr>
          <w:rFonts w:ascii="宋体" w:hAnsi="宋体" w:eastAsia="宋体" w:cs="宋体"/>
          <w:spacing w:val="2"/>
          <w:sz w:val="21"/>
          <w:szCs w:val="21"/>
          <w14:textOutline w14:w="3810" w14:cap="flat" w14:cmpd="sng">
            <w14:solidFill>
              <w14:srgbClr w14:val="000000"/>
            </w14:solidFill>
            <w14:prstDash w14:val="solid"/>
            <w14:round/>
          </w14:textOutline>
        </w:rPr>
        <w:t>工程施工期燃油、炸药产生的有害气体</w:t>
      </w:r>
      <w:r>
        <w:rPr>
          <w:rFonts w:ascii="宋体" w:hAnsi="宋体" w:eastAsia="宋体" w:cs="宋体"/>
          <w:spacing w:val="1"/>
          <w:sz w:val="21"/>
          <w:szCs w:val="21"/>
          <w14:textOutline w14:w="3810" w14:cap="flat" w14:cmpd="sng">
            <w14:solidFill>
              <w14:srgbClr w14:val="000000"/>
            </w14:solidFill>
            <w14:prstDash w14:val="solid"/>
            <w14:round/>
          </w14:textOutline>
        </w:rPr>
        <w:t>情况</w:t>
      </w:r>
    </w:p>
    <w:p>
      <w:pPr>
        <w:spacing w:line="128" w:lineRule="exact"/>
      </w:pPr>
    </w:p>
    <w:tbl>
      <w:tblPr>
        <w:tblStyle w:val="5"/>
        <w:tblW w:w="870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8"/>
        <w:gridCol w:w="1472"/>
        <w:gridCol w:w="2087"/>
        <w:gridCol w:w="1147"/>
        <w:gridCol w:w="1022"/>
        <w:gridCol w:w="1021"/>
        <w:gridCol w:w="10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938" w:type="dxa"/>
            <w:tcBorders>
              <w:top w:val="single" w:color="000000" w:sz="12" w:space="0"/>
              <w:left w:val="nil"/>
            </w:tcBorders>
            <w:vAlign w:val="top"/>
          </w:tcPr>
          <w:p>
            <w:pPr>
              <w:spacing w:before="36" w:line="206" w:lineRule="auto"/>
              <w:ind w:left="263"/>
              <w:rPr>
                <w:rFonts w:ascii="宋体" w:hAnsi="宋体" w:eastAsia="宋体" w:cs="宋体"/>
                <w:sz w:val="21"/>
                <w:szCs w:val="21"/>
              </w:rPr>
            </w:pPr>
            <w:r>
              <w:rPr>
                <w:rFonts w:ascii="宋体" w:hAnsi="宋体" w:eastAsia="宋体" w:cs="宋体"/>
                <w:spacing w:val="-3"/>
                <w:sz w:val="21"/>
                <w:szCs w:val="21"/>
              </w:rPr>
              <w:t>材料</w:t>
            </w:r>
          </w:p>
        </w:tc>
        <w:tc>
          <w:tcPr>
            <w:tcW w:w="1472" w:type="dxa"/>
            <w:tcBorders>
              <w:top w:val="single" w:color="000000" w:sz="12" w:space="0"/>
            </w:tcBorders>
            <w:vAlign w:val="top"/>
          </w:tcPr>
          <w:p>
            <w:pPr>
              <w:pStyle w:val="6"/>
              <w:spacing w:before="30" w:line="211" w:lineRule="auto"/>
              <w:ind w:left="191"/>
              <w:rPr>
                <w:rFonts w:ascii="宋体" w:hAnsi="宋体" w:eastAsia="宋体" w:cs="宋体"/>
              </w:rPr>
            </w:pPr>
            <w:r>
              <w:rPr>
                <w:rFonts w:ascii="宋体" w:hAnsi="宋体" w:eastAsia="宋体" w:cs="宋体"/>
                <w:spacing w:val="-3"/>
              </w:rPr>
              <w:t>消耗量（</w:t>
            </w:r>
            <w:r>
              <w:rPr>
                <w:spacing w:val="-3"/>
              </w:rPr>
              <w:t>t</w:t>
            </w:r>
            <w:r>
              <w:rPr>
                <w:rFonts w:ascii="宋体" w:hAnsi="宋体" w:eastAsia="宋体" w:cs="宋体"/>
                <w:spacing w:val="-3"/>
              </w:rPr>
              <w:t>）</w:t>
            </w:r>
          </w:p>
        </w:tc>
        <w:tc>
          <w:tcPr>
            <w:tcW w:w="2087" w:type="dxa"/>
            <w:tcBorders>
              <w:top w:val="single" w:color="000000" w:sz="12" w:space="0"/>
            </w:tcBorders>
            <w:vAlign w:val="top"/>
          </w:tcPr>
          <w:p>
            <w:pPr>
              <w:spacing w:before="37" w:line="205" w:lineRule="auto"/>
              <w:ind w:left="735"/>
              <w:rPr>
                <w:rFonts w:ascii="宋体" w:hAnsi="宋体" w:eastAsia="宋体" w:cs="宋体"/>
                <w:sz w:val="21"/>
                <w:szCs w:val="21"/>
              </w:rPr>
            </w:pPr>
            <w:r>
              <w:rPr>
                <w:rFonts w:ascii="宋体" w:hAnsi="宋体" w:eastAsia="宋体" w:cs="宋体"/>
                <w:spacing w:val="-3"/>
                <w:sz w:val="21"/>
                <w:szCs w:val="21"/>
              </w:rPr>
              <w:t>污染物</w:t>
            </w:r>
          </w:p>
        </w:tc>
        <w:tc>
          <w:tcPr>
            <w:tcW w:w="1147" w:type="dxa"/>
            <w:tcBorders>
              <w:top w:val="single" w:color="000000" w:sz="12" w:space="0"/>
            </w:tcBorders>
            <w:vAlign w:val="top"/>
          </w:tcPr>
          <w:p>
            <w:pPr>
              <w:pStyle w:val="6"/>
              <w:spacing w:before="72" w:line="188" w:lineRule="auto"/>
              <w:ind w:left="429"/>
            </w:pPr>
            <w:r>
              <w:rPr>
                <w:spacing w:val="-2"/>
              </w:rPr>
              <w:t>CO</w:t>
            </w:r>
          </w:p>
        </w:tc>
        <w:tc>
          <w:tcPr>
            <w:tcW w:w="1022" w:type="dxa"/>
            <w:tcBorders>
              <w:top w:val="single" w:color="000000" w:sz="12" w:space="0"/>
            </w:tcBorders>
            <w:vAlign w:val="top"/>
          </w:tcPr>
          <w:p>
            <w:pPr>
              <w:pStyle w:val="6"/>
              <w:spacing w:before="56" w:line="188" w:lineRule="auto"/>
              <w:ind w:left="319"/>
              <w:rPr>
                <w:sz w:val="14"/>
                <w:szCs w:val="14"/>
              </w:rPr>
            </w:pPr>
            <w:r>
              <w:t>NO</w:t>
            </w:r>
            <w:r>
              <w:rPr>
                <w:spacing w:val="2"/>
                <w:position w:val="-4"/>
                <w:sz w:val="14"/>
                <w:szCs w:val="14"/>
              </w:rPr>
              <w:t>2</w:t>
            </w:r>
          </w:p>
        </w:tc>
        <w:tc>
          <w:tcPr>
            <w:tcW w:w="1021" w:type="dxa"/>
            <w:tcBorders>
              <w:top w:val="single" w:color="000000" w:sz="12" w:space="0"/>
            </w:tcBorders>
            <w:vAlign w:val="top"/>
          </w:tcPr>
          <w:p>
            <w:pPr>
              <w:pStyle w:val="6"/>
              <w:spacing w:before="56" w:line="188" w:lineRule="auto"/>
              <w:ind w:left="352"/>
              <w:rPr>
                <w:sz w:val="14"/>
                <w:szCs w:val="14"/>
              </w:rPr>
            </w:pPr>
            <w:r>
              <w:rPr>
                <w:spacing w:val="-5"/>
              </w:rPr>
              <w:t>SO</w:t>
            </w:r>
            <w:r>
              <w:rPr>
                <w:spacing w:val="-5"/>
                <w:position w:val="-4"/>
                <w:sz w:val="14"/>
                <w:szCs w:val="14"/>
              </w:rPr>
              <w:t>2</w:t>
            </w:r>
          </w:p>
        </w:tc>
        <w:tc>
          <w:tcPr>
            <w:tcW w:w="1013" w:type="dxa"/>
            <w:tcBorders>
              <w:top w:val="single" w:color="000000" w:sz="12" w:space="0"/>
              <w:right w:val="nil"/>
            </w:tcBorders>
            <w:vAlign w:val="top"/>
          </w:tcPr>
          <w:p>
            <w:pPr>
              <w:pStyle w:val="6"/>
              <w:spacing w:before="72" w:line="188" w:lineRule="auto"/>
              <w:ind w:left="235"/>
            </w:pPr>
            <w:r>
              <w:rPr>
                <w:spacing w:val="-2"/>
              </w:rPr>
              <w:t>CmHn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 w:hRule="atLeast"/>
        </w:trPr>
        <w:tc>
          <w:tcPr>
            <w:tcW w:w="938" w:type="dxa"/>
            <w:vMerge w:val="restart"/>
            <w:tcBorders>
              <w:left w:val="nil"/>
              <w:bottom w:val="nil"/>
            </w:tcBorders>
            <w:vAlign w:val="top"/>
          </w:tcPr>
          <w:p>
            <w:pPr>
              <w:spacing w:before="179" w:line="220" w:lineRule="auto"/>
              <w:ind w:left="267"/>
              <w:rPr>
                <w:rFonts w:ascii="宋体" w:hAnsi="宋体" w:eastAsia="宋体" w:cs="宋体"/>
                <w:sz w:val="21"/>
                <w:szCs w:val="21"/>
              </w:rPr>
            </w:pPr>
            <w:r>
              <w:rPr>
                <w:rFonts w:ascii="宋体" w:hAnsi="宋体" w:eastAsia="宋体" w:cs="宋体"/>
                <w:spacing w:val="-3"/>
                <w:sz w:val="21"/>
                <w:szCs w:val="21"/>
              </w:rPr>
              <w:t>油料</w:t>
            </w:r>
          </w:p>
        </w:tc>
        <w:tc>
          <w:tcPr>
            <w:tcW w:w="1472" w:type="dxa"/>
            <w:vMerge w:val="restart"/>
            <w:tcBorders>
              <w:bottom w:val="nil"/>
            </w:tcBorders>
            <w:vAlign w:val="top"/>
          </w:tcPr>
          <w:p>
            <w:pPr>
              <w:pStyle w:val="6"/>
              <w:spacing w:before="215" w:line="188" w:lineRule="auto"/>
              <w:ind w:left="528"/>
            </w:pPr>
            <w:r>
              <w:rPr>
                <w:spacing w:val="-1"/>
              </w:rPr>
              <w:t>2400</w:t>
            </w:r>
          </w:p>
        </w:tc>
        <w:tc>
          <w:tcPr>
            <w:tcW w:w="2087" w:type="dxa"/>
            <w:vAlign w:val="top"/>
          </w:tcPr>
          <w:p>
            <w:pPr>
              <w:pStyle w:val="6"/>
              <w:spacing w:before="38" w:line="196" w:lineRule="auto"/>
              <w:ind w:left="256"/>
              <w:rPr>
                <w:rFonts w:ascii="宋体" w:hAnsi="宋体" w:eastAsia="宋体" w:cs="宋体"/>
              </w:rPr>
            </w:pPr>
            <w:r>
              <w:rPr>
                <w:rFonts w:ascii="宋体" w:hAnsi="宋体" w:eastAsia="宋体" w:cs="宋体"/>
                <w:spacing w:val="-1"/>
              </w:rPr>
              <w:t>排放系数（</w:t>
            </w:r>
            <w:r>
              <w:rPr>
                <w:spacing w:val="-1"/>
              </w:rPr>
              <w:t>kg/t</w:t>
            </w:r>
            <w:r>
              <w:rPr>
                <w:rFonts w:ascii="宋体" w:hAnsi="宋体" w:eastAsia="宋体" w:cs="宋体"/>
                <w:spacing w:val="-1"/>
              </w:rPr>
              <w:t>）</w:t>
            </w:r>
          </w:p>
        </w:tc>
        <w:tc>
          <w:tcPr>
            <w:tcW w:w="1147" w:type="dxa"/>
            <w:vAlign w:val="top"/>
          </w:tcPr>
          <w:p>
            <w:pPr>
              <w:pStyle w:val="6"/>
              <w:spacing w:before="73" w:line="186" w:lineRule="auto"/>
              <w:ind w:left="390"/>
            </w:pPr>
            <w:r>
              <w:rPr>
                <w:spacing w:val="-1"/>
              </w:rPr>
              <w:t>29.4</w:t>
            </w:r>
          </w:p>
        </w:tc>
        <w:tc>
          <w:tcPr>
            <w:tcW w:w="1022" w:type="dxa"/>
            <w:vAlign w:val="top"/>
          </w:tcPr>
          <w:p>
            <w:pPr>
              <w:pStyle w:val="6"/>
              <w:spacing w:before="73" w:line="186" w:lineRule="auto"/>
              <w:ind w:left="327"/>
            </w:pPr>
            <w:r>
              <w:rPr>
                <w:spacing w:val="-1"/>
              </w:rPr>
              <w:t>48.3</w:t>
            </w:r>
          </w:p>
        </w:tc>
        <w:tc>
          <w:tcPr>
            <w:tcW w:w="1021" w:type="dxa"/>
            <w:vAlign w:val="top"/>
          </w:tcPr>
          <w:p>
            <w:pPr>
              <w:pStyle w:val="6"/>
              <w:spacing w:before="73" w:line="186" w:lineRule="auto"/>
              <w:ind w:left="386"/>
            </w:pPr>
            <w:r>
              <w:rPr>
                <w:spacing w:val="-3"/>
              </w:rPr>
              <w:t>3.5</w:t>
            </w:r>
          </w:p>
        </w:tc>
        <w:tc>
          <w:tcPr>
            <w:tcW w:w="1013" w:type="dxa"/>
            <w:tcBorders>
              <w:right w:val="nil"/>
            </w:tcBorders>
            <w:vAlign w:val="top"/>
          </w:tcPr>
          <w:p>
            <w:pPr>
              <w:pStyle w:val="6"/>
              <w:spacing w:before="73" w:line="186" w:lineRule="auto"/>
              <w:ind w:left="379"/>
            </w:pPr>
            <w:r>
              <w:rPr>
                <w:spacing w:val="-1"/>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 w:hRule="atLeast"/>
        </w:trPr>
        <w:tc>
          <w:tcPr>
            <w:tcW w:w="938" w:type="dxa"/>
            <w:vMerge w:val="continue"/>
            <w:tcBorders>
              <w:top w:val="nil"/>
              <w:left w:val="nil"/>
            </w:tcBorders>
            <w:vAlign w:val="top"/>
          </w:tcPr>
          <w:p>
            <w:pPr>
              <w:rPr>
                <w:rFonts w:ascii="Arial"/>
                <w:sz w:val="21"/>
              </w:rPr>
            </w:pPr>
          </w:p>
        </w:tc>
        <w:tc>
          <w:tcPr>
            <w:tcW w:w="1472" w:type="dxa"/>
            <w:vMerge w:val="continue"/>
            <w:tcBorders>
              <w:top w:val="nil"/>
            </w:tcBorders>
            <w:vAlign w:val="top"/>
          </w:tcPr>
          <w:p>
            <w:pPr>
              <w:rPr>
                <w:rFonts w:ascii="Arial"/>
                <w:sz w:val="21"/>
              </w:rPr>
            </w:pPr>
          </w:p>
        </w:tc>
        <w:tc>
          <w:tcPr>
            <w:tcW w:w="2087" w:type="dxa"/>
            <w:vAlign w:val="top"/>
          </w:tcPr>
          <w:p>
            <w:pPr>
              <w:pStyle w:val="6"/>
              <w:spacing w:before="44" w:line="190" w:lineRule="auto"/>
              <w:ind w:left="494"/>
              <w:rPr>
                <w:rFonts w:ascii="宋体" w:hAnsi="宋体" w:eastAsia="宋体" w:cs="宋体"/>
              </w:rPr>
            </w:pPr>
            <w:r>
              <w:rPr>
                <w:rFonts w:ascii="宋体" w:hAnsi="宋体" w:eastAsia="宋体" w:cs="宋体"/>
                <w:spacing w:val="-2"/>
              </w:rPr>
              <w:t>排放量（</w:t>
            </w:r>
            <w:r>
              <w:rPr>
                <w:spacing w:val="-2"/>
              </w:rPr>
              <w:t>t</w:t>
            </w:r>
            <w:r>
              <w:rPr>
                <w:rFonts w:ascii="宋体" w:hAnsi="宋体" w:eastAsia="宋体" w:cs="宋体"/>
                <w:spacing w:val="-2"/>
              </w:rPr>
              <w:t>）</w:t>
            </w:r>
          </w:p>
        </w:tc>
        <w:tc>
          <w:tcPr>
            <w:tcW w:w="1147" w:type="dxa"/>
            <w:vAlign w:val="top"/>
          </w:tcPr>
          <w:p>
            <w:pPr>
              <w:pStyle w:val="6"/>
              <w:spacing w:before="79" w:line="180" w:lineRule="auto"/>
              <w:ind w:left="357"/>
            </w:pPr>
            <w:r>
              <w:rPr>
                <w:spacing w:val="-5"/>
              </w:rPr>
              <w:t>164.8</w:t>
            </w:r>
          </w:p>
        </w:tc>
        <w:tc>
          <w:tcPr>
            <w:tcW w:w="1022" w:type="dxa"/>
            <w:vAlign w:val="top"/>
          </w:tcPr>
          <w:p>
            <w:pPr>
              <w:pStyle w:val="6"/>
              <w:spacing w:before="79" w:line="180" w:lineRule="auto"/>
              <w:ind w:left="301"/>
            </w:pPr>
            <w:r>
              <w:rPr>
                <w:spacing w:val="-7"/>
              </w:rPr>
              <w:t>270.6</w:t>
            </w:r>
          </w:p>
        </w:tc>
        <w:tc>
          <w:tcPr>
            <w:tcW w:w="1021" w:type="dxa"/>
            <w:vAlign w:val="top"/>
          </w:tcPr>
          <w:p>
            <w:pPr>
              <w:pStyle w:val="6"/>
              <w:spacing w:before="79" w:line="180" w:lineRule="auto"/>
              <w:ind w:left="349"/>
            </w:pPr>
            <w:r>
              <w:rPr>
                <w:spacing w:val="-6"/>
              </w:rPr>
              <w:t>19.8</w:t>
            </w:r>
          </w:p>
        </w:tc>
        <w:tc>
          <w:tcPr>
            <w:tcW w:w="1013" w:type="dxa"/>
            <w:tcBorders>
              <w:right w:val="nil"/>
            </w:tcBorders>
            <w:vAlign w:val="top"/>
          </w:tcPr>
          <w:p>
            <w:pPr>
              <w:pStyle w:val="6"/>
              <w:spacing w:before="79" w:line="180" w:lineRule="auto"/>
              <w:ind w:left="348"/>
            </w:pPr>
            <w:r>
              <w:rPr>
                <w:spacing w:val="-6"/>
              </w:rPr>
              <w:t>26.9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938" w:type="dxa"/>
            <w:vMerge w:val="restart"/>
            <w:tcBorders>
              <w:left w:val="nil"/>
              <w:bottom w:val="nil"/>
            </w:tcBorders>
            <w:vAlign w:val="top"/>
          </w:tcPr>
          <w:p>
            <w:pPr>
              <w:spacing w:before="191" w:line="220" w:lineRule="auto"/>
              <w:ind w:left="266"/>
              <w:rPr>
                <w:rFonts w:ascii="宋体" w:hAnsi="宋体" w:eastAsia="宋体" w:cs="宋体"/>
                <w:sz w:val="21"/>
                <w:szCs w:val="21"/>
              </w:rPr>
            </w:pPr>
            <w:r>
              <w:rPr>
                <w:rFonts w:ascii="宋体" w:hAnsi="宋体" w:eastAsia="宋体" w:cs="宋体"/>
                <w:spacing w:val="-3"/>
                <w:sz w:val="21"/>
                <w:szCs w:val="21"/>
              </w:rPr>
              <w:t>炸药</w:t>
            </w:r>
          </w:p>
        </w:tc>
        <w:tc>
          <w:tcPr>
            <w:tcW w:w="1472" w:type="dxa"/>
            <w:vMerge w:val="restart"/>
            <w:tcBorders>
              <w:bottom w:val="nil"/>
            </w:tcBorders>
            <w:vAlign w:val="top"/>
          </w:tcPr>
          <w:p>
            <w:pPr>
              <w:pStyle w:val="6"/>
              <w:spacing w:before="228" w:line="188" w:lineRule="auto"/>
              <w:ind w:left="641"/>
            </w:pPr>
            <w:r>
              <w:rPr>
                <w:spacing w:val="-4"/>
              </w:rPr>
              <w:t>80</w:t>
            </w:r>
          </w:p>
        </w:tc>
        <w:tc>
          <w:tcPr>
            <w:tcW w:w="2087" w:type="dxa"/>
            <w:vAlign w:val="top"/>
          </w:tcPr>
          <w:p>
            <w:pPr>
              <w:pStyle w:val="6"/>
              <w:spacing w:before="52" w:line="185" w:lineRule="auto"/>
              <w:ind w:left="256"/>
              <w:rPr>
                <w:rFonts w:ascii="宋体" w:hAnsi="宋体" w:eastAsia="宋体" w:cs="宋体"/>
              </w:rPr>
            </w:pPr>
            <w:r>
              <w:rPr>
                <w:rFonts w:ascii="宋体" w:hAnsi="宋体" w:eastAsia="宋体" w:cs="宋体"/>
                <w:spacing w:val="-1"/>
              </w:rPr>
              <w:t>排放系数（</w:t>
            </w:r>
            <w:r>
              <w:rPr>
                <w:spacing w:val="-1"/>
              </w:rPr>
              <w:t>kg/t</w:t>
            </w:r>
            <w:r>
              <w:rPr>
                <w:rFonts w:ascii="宋体" w:hAnsi="宋体" w:eastAsia="宋体" w:cs="宋体"/>
                <w:spacing w:val="-1"/>
              </w:rPr>
              <w:t>）</w:t>
            </w:r>
          </w:p>
        </w:tc>
        <w:tc>
          <w:tcPr>
            <w:tcW w:w="1147" w:type="dxa"/>
            <w:vAlign w:val="top"/>
          </w:tcPr>
          <w:p>
            <w:pPr>
              <w:pStyle w:val="6"/>
              <w:spacing w:before="85" w:line="176" w:lineRule="auto"/>
              <w:ind w:left="389"/>
            </w:pPr>
            <w:r>
              <w:rPr>
                <w:spacing w:val="-1"/>
              </w:rPr>
              <w:t>44.7</w:t>
            </w:r>
          </w:p>
        </w:tc>
        <w:tc>
          <w:tcPr>
            <w:tcW w:w="1022" w:type="dxa"/>
            <w:vAlign w:val="top"/>
          </w:tcPr>
          <w:p>
            <w:pPr>
              <w:pStyle w:val="6"/>
              <w:spacing w:before="85" w:line="176" w:lineRule="auto"/>
              <w:ind w:left="384"/>
            </w:pPr>
            <w:r>
              <w:rPr>
                <w:spacing w:val="-3"/>
              </w:rPr>
              <w:t>3.5</w:t>
            </w:r>
          </w:p>
        </w:tc>
        <w:tc>
          <w:tcPr>
            <w:tcW w:w="1021" w:type="dxa"/>
            <w:vAlign w:val="top"/>
          </w:tcPr>
          <w:p>
            <w:pPr>
              <w:tabs>
                <w:tab w:val="left" w:pos="612"/>
              </w:tabs>
              <w:spacing w:line="199" w:lineRule="exact"/>
              <w:ind w:left="410"/>
              <w:rPr>
                <w:rFonts w:ascii="Arial"/>
                <w:sz w:val="21"/>
              </w:rPr>
            </w:pPr>
            <w:r>
              <w:rPr>
                <w:rFonts w:ascii="Arial" w:hAnsi="Arial" w:eastAsia="Arial" w:cs="Arial"/>
                <w:position w:val="-2"/>
                <w:sz w:val="21"/>
                <w:szCs w:val="21"/>
                <w:u w:val="single" w:color="auto"/>
              </w:rPr>
              <w:tab/>
            </w:r>
          </w:p>
        </w:tc>
        <w:tc>
          <w:tcPr>
            <w:tcW w:w="1013" w:type="dxa"/>
            <w:tcBorders>
              <w:right w:val="nil"/>
            </w:tcBorders>
            <w:vAlign w:val="top"/>
          </w:tcPr>
          <w:p>
            <w:pPr>
              <w:pStyle w:val="6"/>
              <w:spacing w:before="85" w:line="176" w:lineRule="auto"/>
              <w:ind w:left="278"/>
            </w:pPr>
            <w:r>
              <w:rPr>
                <w:spacing w:val="-2"/>
              </w:rPr>
              <w:t>0.037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6" w:hRule="atLeast"/>
        </w:trPr>
        <w:tc>
          <w:tcPr>
            <w:tcW w:w="938" w:type="dxa"/>
            <w:vMerge w:val="continue"/>
            <w:tcBorders>
              <w:top w:val="nil"/>
              <w:left w:val="nil"/>
              <w:bottom w:val="single" w:color="000000" w:sz="12" w:space="0"/>
            </w:tcBorders>
            <w:vAlign w:val="top"/>
          </w:tcPr>
          <w:p>
            <w:pPr>
              <w:rPr>
                <w:rFonts w:ascii="Arial"/>
                <w:sz w:val="21"/>
              </w:rPr>
            </w:pPr>
          </w:p>
        </w:tc>
        <w:tc>
          <w:tcPr>
            <w:tcW w:w="1472" w:type="dxa"/>
            <w:vMerge w:val="continue"/>
            <w:tcBorders>
              <w:top w:val="nil"/>
              <w:bottom w:val="single" w:color="000000" w:sz="12" w:space="0"/>
            </w:tcBorders>
            <w:vAlign w:val="top"/>
          </w:tcPr>
          <w:p>
            <w:pPr>
              <w:rPr>
                <w:rFonts w:ascii="Arial"/>
                <w:sz w:val="21"/>
              </w:rPr>
            </w:pPr>
          </w:p>
        </w:tc>
        <w:tc>
          <w:tcPr>
            <w:tcW w:w="2087" w:type="dxa"/>
            <w:tcBorders>
              <w:bottom w:val="single" w:color="000000" w:sz="12" w:space="0"/>
            </w:tcBorders>
            <w:vAlign w:val="top"/>
          </w:tcPr>
          <w:p>
            <w:pPr>
              <w:pStyle w:val="6"/>
              <w:spacing w:before="56" w:line="202" w:lineRule="auto"/>
              <w:ind w:left="494"/>
              <w:rPr>
                <w:rFonts w:ascii="宋体" w:hAnsi="宋体" w:eastAsia="宋体" w:cs="宋体"/>
              </w:rPr>
            </w:pPr>
            <w:r>
              <w:rPr>
                <w:rFonts w:ascii="宋体" w:hAnsi="宋体" w:eastAsia="宋体" w:cs="宋体"/>
                <w:spacing w:val="-2"/>
              </w:rPr>
              <w:t>排放量（</w:t>
            </w:r>
            <w:r>
              <w:rPr>
                <w:spacing w:val="-2"/>
              </w:rPr>
              <w:t>t</w:t>
            </w:r>
            <w:r>
              <w:rPr>
                <w:rFonts w:ascii="宋体" w:hAnsi="宋体" w:eastAsia="宋体" w:cs="宋体"/>
                <w:spacing w:val="-2"/>
              </w:rPr>
              <w:t>）</w:t>
            </w:r>
          </w:p>
        </w:tc>
        <w:tc>
          <w:tcPr>
            <w:tcW w:w="1147" w:type="dxa"/>
            <w:tcBorders>
              <w:bottom w:val="single" w:color="000000" w:sz="12" w:space="0"/>
            </w:tcBorders>
            <w:vAlign w:val="top"/>
          </w:tcPr>
          <w:p>
            <w:pPr>
              <w:pStyle w:val="6"/>
              <w:spacing w:before="91" w:line="188" w:lineRule="auto"/>
              <w:ind w:left="336"/>
            </w:pPr>
            <w:r>
              <w:rPr>
                <w:spacing w:val="-1"/>
              </w:rPr>
              <w:t>42.89</w:t>
            </w:r>
          </w:p>
        </w:tc>
        <w:tc>
          <w:tcPr>
            <w:tcW w:w="1022" w:type="dxa"/>
            <w:tcBorders>
              <w:bottom w:val="single" w:color="000000" w:sz="12" w:space="0"/>
            </w:tcBorders>
            <w:vAlign w:val="top"/>
          </w:tcPr>
          <w:p>
            <w:pPr>
              <w:pStyle w:val="6"/>
              <w:spacing w:before="91" w:line="188" w:lineRule="auto"/>
              <w:ind w:left="332"/>
            </w:pPr>
            <w:r>
              <w:rPr>
                <w:spacing w:val="-2"/>
              </w:rPr>
              <w:t>3.35</w:t>
            </w:r>
          </w:p>
        </w:tc>
        <w:tc>
          <w:tcPr>
            <w:tcW w:w="1021" w:type="dxa"/>
            <w:tcBorders>
              <w:bottom w:val="single" w:color="000000" w:sz="12" w:space="0"/>
            </w:tcBorders>
            <w:vAlign w:val="top"/>
          </w:tcPr>
          <w:p>
            <w:pPr>
              <w:spacing w:before="154" w:line="132" w:lineRule="exact"/>
              <w:ind w:left="410"/>
              <w:rPr>
                <w:rFonts w:ascii="宋体" w:hAnsi="宋体" w:eastAsia="宋体" w:cs="宋体"/>
                <w:sz w:val="21"/>
                <w:szCs w:val="21"/>
              </w:rPr>
            </w:pPr>
            <w:r>
              <w:rPr>
                <w:rFonts w:ascii="宋体" w:hAnsi="宋体" w:eastAsia="宋体" w:cs="宋体"/>
                <w:position w:val="-4"/>
                <w:sz w:val="21"/>
                <w:szCs w:val="21"/>
              </w:rPr>
              <w:t>—</w:t>
            </w:r>
          </w:p>
        </w:tc>
        <w:tc>
          <w:tcPr>
            <w:tcW w:w="1013" w:type="dxa"/>
            <w:tcBorders>
              <w:bottom w:val="single" w:color="000000" w:sz="12" w:space="0"/>
              <w:right w:val="nil"/>
            </w:tcBorders>
            <w:vAlign w:val="top"/>
          </w:tcPr>
          <w:p>
            <w:pPr>
              <w:pStyle w:val="6"/>
              <w:spacing w:before="91" w:line="188" w:lineRule="auto"/>
              <w:ind w:left="331"/>
            </w:pPr>
            <w:r>
              <w:rPr>
                <w:spacing w:val="-2"/>
              </w:rPr>
              <w:t>0.03</w:t>
            </w:r>
          </w:p>
        </w:tc>
      </w:tr>
    </w:tbl>
    <w:p>
      <w:pPr>
        <w:spacing w:before="36" w:line="359" w:lineRule="auto"/>
        <w:ind w:left="10" w:right="170" w:firstLine="478"/>
        <w:jc w:val="both"/>
        <w:rPr>
          <w:rFonts w:ascii="宋体" w:hAnsi="宋体" w:eastAsia="宋体" w:cs="宋体"/>
          <w:sz w:val="24"/>
          <w:szCs w:val="24"/>
        </w:rPr>
      </w:pPr>
      <w:r>
        <w:rPr>
          <w:rFonts w:ascii="宋体" w:hAnsi="宋体" w:eastAsia="宋体" w:cs="宋体"/>
          <w:spacing w:val="-2"/>
          <w:sz w:val="24"/>
          <w:szCs w:val="24"/>
        </w:rPr>
        <w:t>砂石料加工过程中的破碎、筛分工艺会产生粉尘。</w:t>
      </w:r>
      <w:r>
        <w:rPr>
          <w:rFonts w:ascii="宋体" w:hAnsi="宋体" w:eastAsia="宋体" w:cs="宋体"/>
          <w:spacing w:val="-11"/>
          <w:sz w:val="24"/>
          <w:szCs w:val="24"/>
        </w:rPr>
        <w:t xml:space="preserve"> </w:t>
      </w:r>
      <w:r>
        <w:rPr>
          <w:rFonts w:ascii="宋体" w:hAnsi="宋体" w:eastAsia="宋体" w:cs="宋体"/>
          <w:spacing w:val="-2"/>
          <w:sz w:val="24"/>
          <w:szCs w:val="24"/>
        </w:rPr>
        <w:t>根据《逸散性工业粉尘控制</w:t>
      </w:r>
      <w:r>
        <w:rPr>
          <w:rFonts w:ascii="宋体" w:hAnsi="宋体" w:eastAsia="宋体" w:cs="宋体"/>
          <w:sz w:val="24"/>
          <w:szCs w:val="24"/>
        </w:rPr>
        <w:t xml:space="preserve"> 技术》中粒料加工厂逸散尘排放系数，砂石</w:t>
      </w:r>
      <w:r>
        <w:rPr>
          <w:rFonts w:ascii="宋体" w:hAnsi="宋体" w:eastAsia="宋体" w:cs="宋体"/>
          <w:spacing w:val="-1"/>
          <w:sz w:val="24"/>
          <w:szCs w:val="24"/>
        </w:rPr>
        <w:t xml:space="preserve">料加工系统粉尘排放强度为 </w:t>
      </w:r>
      <w:r>
        <w:rPr>
          <w:rFonts w:ascii="Times New Roman" w:hAnsi="Times New Roman" w:eastAsia="Times New Roman" w:cs="Times New Roman"/>
          <w:spacing w:val="-1"/>
          <w:sz w:val="24"/>
          <w:szCs w:val="24"/>
        </w:rPr>
        <w:t>0.05kg</w:t>
      </w:r>
      <w:r>
        <w:rPr>
          <w:rFonts w:ascii="宋体" w:hAnsi="宋体" w:eastAsia="宋体" w:cs="宋体"/>
          <w:spacing w:val="-1"/>
          <w:sz w:val="24"/>
          <w:szCs w:val="24"/>
        </w:rPr>
        <w:t>（粉</w:t>
      </w:r>
    </w:p>
    <w:p>
      <w:pPr>
        <w:spacing w:before="1" w:line="233" w:lineRule="auto"/>
        <w:ind w:left="11"/>
        <w:rPr>
          <w:rFonts w:ascii="宋体" w:hAnsi="宋体" w:eastAsia="宋体" w:cs="宋体"/>
          <w:sz w:val="24"/>
          <w:szCs w:val="24"/>
        </w:rPr>
      </w:pPr>
      <w:r>
        <w:rPr>
          <w:rFonts w:ascii="宋体" w:hAnsi="宋体" w:eastAsia="宋体" w:cs="宋体"/>
          <w:spacing w:val="-5"/>
          <w:sz w:val="24"/>
          <w:szCs w:val="24"/>
        </w:rPr>
        <w:t>尘</w:t>
      </w:r>
      <w:r>
        <w:rPr>
          <w:rFonts w:ascii="Times New Roman" w:hAnsi="Times New Roman" w:eastAsia="Times New Roman" w:cs="Times New Roman"/>
          <w:spacing w:val="-5"/>
          <w:sz w:val="24"/>
          <w:szCs w:val="24"/>
        </w:rPr>
        <w:t xml:space="preserve">/t </w:t>
      </w:r>
      <w:r>
        <w:rPr>
          <w:rFonts w:ascii="宋体" w:hAnsi="宋体" w:eastAsia="宋体" w:cs="宋体"/>
          <w:spacing w:val="-5"/>
          <w:sz w:val="24"/>
          <w:szCs w:val="24"/>
        </w:rPr>
        <w:t>砂子）。项目砂石料生产系统处理能力为</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6"/>
          <w:sz w:val="24"/>
          <w:szCs w:val="24"/>
        </w:rPr>
        <w:t>0t/h</w:t>
      </w:r>
      <w:r>
        <w:rPr>
          <w:rFonts w:ascii="宋体" w:hAnsi="宋体" w:eastAsia="宋体" w:cs="宋体"/>
          <w:spacing w:val="-6"/>
          <w:sz w:val="24"/>
          <w:szCs w:val="24"/>
        </w:rPr>
        <w:t>，相应的砂石料加工粉尘产生量为</w:t>
      </w:r>
    </w:p>
    <w:p>
      <w:pPr>
        <w:spacing w:line="233" w:lineRule="auto"/>
        <w:rPr>
          <w:rFonts w:ascii="宋体" w:hAnsi="宋体" w:eastAsia="宋体" w:cs="宋体"/>
          <w:sz w:val="24"/>
          <w:szCs w:val="24"/>
        </w:rPr>
        <w:sectPr>
          <w:headerReference r:id="rId150" w:type="default"/>
          <w:footerReference r:id="rId151" w:type="default"/>
          <w:pgSz w:w="11920" w:h="16840"/>
          <w:pgMar w:top="1066" w:right="1398" w:bottom="1358" w:left="1659" w:header="865" w:footer="1195" w:gutter="0"/>
        </w:sectPr>
      </w:pPr>
    </w:p>
    <w:p>
      <w:pPr>
        <w:spacing w:before="71" w:line="373" w:lineRule="auto"/>
        <w:ind w:left="29" w:right="160" w:hanging="5"/>
        <w:jc w:val="both"/>
        <w:rPr>
          <w:rFonts w:ascii="宋体" w:hAnsi="宋体" w:eastAsia="宋体" w:cs="宋体"/>
          <w:sz w:val="24"/>
          <w:szCs w:val="24"/>
        </w:rPr>
      </w:pPr>
      <w:r>
        <w:rPr>
          <w:rFonts w:ascii="Times New Roman" w:hAnsi="Times New Roman" w:eastAsia="Times New Roman" w:cs="Times New Roman"/>
          <w:spacing w:val="-2"/>
          <w:sz w:val="24"/>
          <w:szCs w:val="24"/>
        </w:rPr>
        <w:t>3.0kg/h</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 xml:space="preserve">，施工期粉尘产生量约 </w:t>
      </w:r>
      <w:r>
        <w:rPr>
          <w:rFonts w:ascii="Times New Roman" w:hAnsi="Times New Roman" w:eastAsia="Times New Roman" w:cs="Times New Roman"/>
          <w:spacing w:val="-2"/>
          <w:sz w:val="24"/>
          <w:szCs w:val="24"/>
        </w:rPr>
        <w:t>7.2t/a</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。砂石料加工区采取</w:t>
      </w:r>
      <w:r>
        <w:rPr>
          <w:rFonts w:ascii="宋体" w:hAnsi="宋体" w:eastAsia="宋体" w:cs="宋体"/>
          <w:spacing w:val="-3"/>
          <w:sz w:val="24"/>
          <w:szCs w:val="24"/>
        </w:rPr>
        <w:t>封闭</w:t>
      </w:r>
      <w:r>
        <w:rPr>
          <w:rFonts w:ascii="Times New Roman" w:hAnsi="Times New Roman" w:eastAsia="Times New Roman" w:cs="Times New Roman"/>
          <w:spacing w:val="-3"/>
          <w:sz w:val="24"/>
          <w:szCs w:val="24"/>
        </w:rPr>
        <w:t>+</w:t>
      </w:r>
      <w:r>
        <w:rPr>
          <w:rFonts w:ascii="宋体" w:hAnsi="宋体" w:eastAsia="宋体" w:cs="宋体"/>
          <w:spacing w:val="-3"/>
          <w:sz w:val="24"/>
          <w:szCs w:val="24"/>
        </w:rPr>
        <w:t>洒水降尘措施，除尘</w:t>
      </w:r>
      <w:r>
        <w:rPr>
          <w:rFonts w:ascii="宋体" w:hAnsi="宋体" w:eastAsia="宋体" w:cs="宋体"/>
          <w:sz w:val="24"/>
          <w:szCs w:val="24"/>
        </w:rPr>
        <w:t xml:space="preserve"> </w:t>
      </w:r>
      <w:r>
        <w:rPr>
          <w:rFonts w:ascii="宋体" w:hAnsi="宋体" w:eastAsia="宋体" w:cs="宋体"/>
          <w:spacing w:val="-5"/>
          <w:sz w:val="24"/>
          <w:szCs w:val="24"/>
        </w:rPr>
        <w:t>效率按照</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90%</w:t>
      </w:r>
      <w:r>
        <w:rPr>
          <w:rFonts w:ascii="宋体" w:hAnsi="宋体" w:eastAsia="宋体" w:cs="宋体"/>
          <w:spacing w:val="-5"/>
          <w:sz w:val="24"/>
          <w:szCs w:val="24"/>
        </w:rPr>
        <w:t>计算， 则石料加工粉尘排放量为</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0.3kg/h</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，施工区施工期粉尘产生量约</w:t>
      </w:r>
    </w:p>
    <w:p>
      <w:pPr>
        <w:spacing w:line="183" w:lineRule="auto"/>
        <w:ind w:left="23"/>
        <w:rPr>
          <w:rFonts w:ascii="宋体" w:hAnsi="宋体" w:eastAsia="宋体" w:cs="宋体"/>
          <w:sz w:val="24"/>
          <w:szCs w:val="24"/>
        </w:rPr>
      </w:pPr>
      <w:r>
        <w:rPr>
          <w:rFonts w:ascii="Times New Roman" w:hAnsi="Times New Roman" w:eastAsia="Times New Roman" w:cs="Times New Roman"/>
          <w:spacing w:val="-1"/>
          <w:sz w:val="24"/>
          <w:szCs w:val="24"/>
        </w:rPr>
        <w:t>0.72t/a</w:t>
      </w:r>
      <w:r>
        <w:rPr>
          <w:rFonts w:ascii="宋体" w:hAnsi="宋体" w:eastAsia="宋体" w:cs="宋体"/>
          <w:spacing w:val="-1"/>
          <w:sz w:val="24"/>
          <w:szCs w:val="24"/>
        </w:rPr>
        <w:t>。</w:t>
      </w:r>
    </w:p>
    <w:p>
      <w:pPr>
        <w:spacing w:before="191" w:line="359" w:lineRule="auto"/>
        <w:ind w:left="24" w:right="158" w:firstLine="481"/>
        <w:rPr>
          <w:rFonts w:ascii="宋体" w:hAnsi="宋体" w:eastAsia="宋体" w:cs="宋体"/>
          <w:sz w:val="24"/>
          <w:szCs w:val="24"/>
        </w:rPr>
      </w:pPr>
      <w:r>
        <w:rPr>
          <w:rFonts w:ascii="宋体" w:hAnsi="宋体" w:eastAsia="宋体" w:cs="宋体"/>
          <w:spacing w:val="1"/>
          <w:sz w:val="24"/>
          <w:szCs w:val="24"/>
        </w:rPr>
        <w:t>工程施工中扬尘量的大小与风速、运输车辆的车次、道路的清洁度、松散土粒</w:t>
      </w:r>
      <w:r>
        <w:rPr>
          <w:rFonts w:ascii="宋体" w:hAnsi="宋体" w:eastAsia="宋体" w:cs="宋体"/>
          <w:spacing w:val="15"/>
          <w:sz w:val="24"/>
          <w:szCs w:val="24"/>
        </w:rPr>
        <w:t xml:space="preserve"> </w:t>
      </w:r>
      <w:r>
        <w:rPr>
          <w:rFonts w:ascii="宋体" w:hAnsi="宋体" w:eastAsia="宋体" w:cs="宋体"/>
          <w:spacing w:val="1"/>
          <w:sz w:val="24"/>
          <w:szCs w:val="24"/>
        </w:rPr>
        <w:t>的数量等有密切关系。易形成扬尘的工区主要是砂、石料堆放场、开挖场地等。另</w:t>
      </w:r>
      <w:r>
        <w:rPr>
          <w:rFonts w:ascii="宋体" w:hAnsi="宋体" w:eastAsia="宋体" w:cs="宋体"/>
          <w:spacing w:val="5"/>
          <w:sz w:val="24"/>
          <w:szCs w:val="24"/>
        </w:rPr>
        <w:t xml:space="preserve"> </w:t>
      </w:r>
      <w:r>
        <w:rPr>
          <w:rFonts w:ascii="宋体" w:hAnsi="宋体" w:eastAsia="宋体" w:cs="宋体"/>
          <w:spacing w:val="1"/>
          <w:sz w:val="24"/>
          <w:szCs w:val="24"/>
        </w:rPr>
        <w:t>外，材料运输过程中施工道路沿线也易产生扬尘，本工程的施工道路主要为泥结碎</w:t>
      </w:r>
      <w:r>
        <w:rPr>
          <w:rFonts w:ascii="宋体" w:hAnsi="宋体" w:eastAsia="宋体" w:cs="宋体"/>
          <w:spacing w:val="3"/>
          <w:sz w:val="24"/>
          <w:szCs w:val="24"/>
        </w:rPr>
        <w:t xml:space="preserve"> </w:t>
      </w:r>
      <w:r>
        <w:rPr>
          <w:rFonts w:ascii="宋体" w:hAnsi="宋体" w:eastAsia="宋体" w:cs="宋体"/>
          <w:spacing w:val="1"/>
          <w:sz w:val="24"/>
          <w:szCs w:val="24"/>
        </w:rPr>
        <w:t>石路面，在干燥的天气情况下，运输车辆经过泥结碎石路面时会产生一定量的道路</w:t>
      </w:r>
    </w:p>
    <w:p>
      <w:pPr>
        <w:spacing w:before="1" w:line="218" w:lineRule="auto"/>
        <w:ind w:left="22"/>
        <w:rPr>
          <w:rFonts w:ascii="宋体" w:hAnsi="宋体" w:eastAsia="宋体" w:cs="宋体"/>
          <w:sz w:val="24"/>
          <w:szCs w:val="24"/>
        </w:rPr>
      </w:pPr>
      <w:r>
        <w:rPr>
          <w:rFonts w:ascii="宋体" w:hAnsi="宋体" w:eastAsia="宋体" w:cs="宋体"/>
          <w:spacing w:val="-1"/>
          <w:sz w:val="24"/>
          <w:szCs w:val="24"/>
        </w:rPr>
        <w:t>扬尘，尤其是道路局部积尘较多的地方，载重汽车经过时会掀起</w:t>
      </w:r>
      <w:r>
        <w:rPr>
          <w:rFonts w:ascii="宋体" w:hAnsi="宋体" w:eastAsia="宋体" w:cs="宋体"/>
          <w:spacing w:val="-2"/>
          <w:sz w:val="24"/>
          <w:szCs w:val="24"/>
        </w:rPr>
        <w:t>较大的扬尘。</w:t>
      </w:r>
    </w:p>
    <w:p>
      <w:pPr>
        <w:spacing w:before="182" w:line="220" w:lineRule="auto"/>
        <w:ind w:left="51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4</w:t>
      </w:r>
      <w:r>
        <w:rPr>
          <w:rFonts w:ascii="宋体" w:hAnsi="宋体" w:eastAsia="宋体" w:cs="宋体"/>
          <w:spacing w:val="-6"/>
          <w:sz w:val="24"/>
          <w:szCs w:val="24"/>
        </w:rPr>
        <w:t>）噪声</w:t>
      </w:r>
    </w:p>
    <w:p>
      <w:pPr>
        <w:spacing w:before="181" w:line="218" w:lineRule="auto"/>
        <w:ind w:left="502"/>
        <w:rPr>
          <w:rFonts w:ascii="宋体" w:hAnsi="宋体" w:eastAsia="宋体" w:cs="宋体"/>
          <w:sz w:val="24"/>
          <w:szCs w:val="24"/>
        </w:rPr>
      </w:pPr>
      <w:r>
        <w:rPr>
          <w:rFonts w:ascii="宋体" w:hAnsi="宋体" w:eastAsia="宋体" w:cs="宋体"/>
          <w:spacing w:val="-1"/>
          <w:sz w:val="24"/>
          <w:szCs w:val="24"/>
        </w:rPr>
        <w:t>施工噪声主要来自施工开挖、钻孔、爆破、混凝土拌和、交通运输</w:t>
      </w:r>
      <w:r>
        <w:rPr>
          <w:rFonts w:ascii="宋体" w:hAnsi="宋体" w:eastAsia="宋体" w:cs="宋体"/>
          <w:spacing w:val="-2"/>
          <w:sz w:val="24"/>
          <w:szCs w:val="24"/>
        </w:rPr>
        <w:t>等活动。</w:t>
      </w:r>
    </w:p>
    <w:p>
      <w:pPr>
        <w:spacing w:before="185" w:line="359" w:lineRule="auto"/>
        <w:ind w:left="22" w:right="158" w:firstLine="483"/>
        <w:rPr>
          <w:rFonts w:ascii="宋体" w:hAnsi="宋体" w:eastAsia="宋体" w:cs="宋体"/>
          <w:sz w:val="24"/>
          <w:szCs w:val="24"/>
        </w:rPr>
      </w:pPr>
      <w:r>
        <w:rPr>
          <w:rFonts w:ascii="宋体" w:hAnsi="宋体" w:eastAsia="宋体" w:cs="宋体"/>
          <w:spacing w:val="1"/>
          <w:sz w:val="24"/>
          <w:szCs w:val="24"/>
        </w:rPr>
        <w:t>水库施工期产生噪声的主要区域是爆破作业区、混凝土拌合区、水库大坝建设</w:t>
      </w:r>
      <w:r>
        <w:rPr>
          <w:rFonts w:ascii="宋体" w:hAnsi="宋体" w:eastAsia="宋体" w:cs="宋体"/>
          <w:spacing w:val="15"/>
          <w:sz w:val="24"/>
          <w:szCs w:val="24"/>
        </w:rPr>
        <w:t xml:space="preserve"> </w:t>
      </w:r>
      <w:r>
        <w:rPr>
          <w:rFonts w:ascii="宋体" w:hAnsi="宋体" w:eastAsia="宋体" w:cs="宋体"/>
          <w:spacing w:val="-6"/>
          <w:sz w:val="24"/>
          <w:szCs w:val="24"/>
        </w:rPr>
        <w:t>区、输水管线施工区及场内道路附近区域。本工程施工主要产生噪声的机械为风</w:t>
      </w:r>
      <w:r>
        <w:rPr>
          <w:rFonts w:ascii="宋体" w:hAnsi="宋体" w:eastAsia="宋体" w:cs="宋体"/>
          <w:spacing w:val="-7"/>
          <w:sz w:val="24"/>
          <w:szCs w:val="24"/>
        </w:rPr>
        <w:t>钻、</w:t>
      </w:r>
      <w:r>
        <w:rPr>
          <w:rFonts w:ascii="宋体" w:hAnsi="宋体" w:eastAsia="宋体" w:cs="宋体"/>
          <w:sz w:val="24"/>
          <w:szCs w:val="24"/>
        </w:rPr>
        <w:t xml:space="preserve"> </w:t>
      </w:r>
      <w:r>
        <w:rPr>
          <w:rFonts w:ascii="宋体" w:hAnsi="宋体" w:eastAsia="宋体" w:cs="宋体"/>
          <w:spacing w:val="-5"/>
          <w:sz w:val="24"/>
          <w:szCs w:val="24"/>
        </w:rPr>
        <w:t>破碎机、挖掘机、搅拌机等，主要流动噪声源为载重汽车和推土机参照</w:t>
      </w:r>
      <w:r>
        <w:rPr>
          <w:rFonts w:ascii="宋体" w:hAnsi="宋体" w:eastAsia="宋体" w:cs="宋体"/>
          <w:spacing w:val="-6"/>
          <w:sz w:val="24"/>
          <w:szCs w:val="24"/>
        </w:rPr>
        <w:t>《交通部环保</w:t>
      </w:r>
      <w:r>
        <w:rPr>
          <w:rFonts w:ascii="宋体" w:hAnsi="宋体" w:eastAsia="宋体" w:cs="宋体"/>
          <w:sz w:val="24"/>
          <w:szCs w:val="24"/>
        </w:rPr>
        <w:t xml:space="preserve"> </w:t>
      </w:r>
      <w:r>
        <w:rPr>
          <w:rFonts w:ascii="宋体" w:hAnsi="宋体" w:eastAsia="宋体" w:cs="宋体"/>
          <w:spacing w:val="-11"/>
          <w:sz w:val="24"/>
          <w:szCs w:val="24"/>
        </w:rPr>
        <w:t>设计规范》、《水利水电工程环境影响评价技术手册》、</w:t>
      </w:r>
      <w:r>
        <w:rPr>
          <w:rFonts w:ascii="宋体" w:hAnsi="宋体" w:eastAsia="宋体" w:cs="宋体"/>
          <w:spacing w:val="-12"/>
          <w:sz w:val="24"/>
          <w:szCs w:val="24"/>
        </w:rPr>
        <w:t>《环境噪声与振动控制工程技</w:t>
      </w:r>
    </w:p>
    <w:p>
      <w:pPr>
        <w:spacing w:before="1" w:line="218" w:lineRule="auto"/>
        <w:ind w:left="25"/>
        <w:rPr>
          <w:rFonts w:ascii="宋体" w:hAnsi="宋体" w:eastAsia="宋体" w:cs="宋体"/>
          <w:sz w:val="24"/>
          <w:szCs w:val="24"/>
        </w:rPr>
      </w:pPr>
      <w:r>
        <w:rPr>
          <w:rFonts w:ascii="宋体" w:hAnsi="宋体" w:eastAsia="宋体" w:cs="宋体"/>
          <w:spacing w:val="-1"/>
          <w:sz w:val="24"/>
          <w:szCs w:val="24"/>
        </w:rPr>
        <w:t>术导则》等资料，主要施工机械设备单机噪声级见下表</w:t>
      </w:r>
      <w:r>
        <w:rPr>
          <w:rFonts w:ascii="宋体" w:hAnsi="宋体" w:eastAsia="宋体" w:cs="宋体"/>
          <w:spacing w:val="-42"/>
          <w:sz w:val="24"/>
          <w:szCs w:val="24"/>
        </w:rPr>
        <w:t xml:space="preserve"> </w:t>
      </w:r>
      <w:r>
        <w:rPr>
          <w:rFonts w:ascii="Times New Roman" w:hAnsi="Times New Roman" w:eastAsia="Times New Roman" w:cs="Times New Roman"/>
          <w:spacing w:val="-1"/>
          <w:sz w:val="24"/>
          <w:szCs w:val="24"/>
        </w:rPr>
        <w:t>2.4-8</w:t>
      </w:r>
      <w:r>
        <w:rPr>
          <w:rFonts w:ascii="宋体" w:hAnsi="宋体" w:eastAsia="宋体" w:cs="宋体"/>
          <w:spacing w:val="-1"/>
          <w:sz w:val="24"/>
          <w:szCs w:val="24"/>
        </w:rPr>
        <w:t>。</w:t>
      </w:r>
    </w:p>
    <w:p>
      <w:pPr>
        <w:spacing w:before="177" w:line="219" w:lineRule="auto"/>
        <w:ind w:left="2098"/>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round/>
          </w14:textOutline>
        </w:rPr>
        <w:t>表</w:t>
      </w:r>
      <w:r>
        <w:rPr>
          <w:rFonts w:ascii="宋体" w:hAnsi="宋体" w:eastAsia="宋体" w:cs="宋体"/>
          <w:spacing w:val="-36"/>
          <w:sz w:val="21"/>
          <w:szCs w:val="21"/>
        </w:rPr>
        <w:t xml:space="preserve"> </w:t>
      </w:r>
      <w:r>
        <w:rPr>
          <w:rFonts w:ascii="Times New Roman" w:hAnsi="Times New Roman" w:eastAsia="Times New Roman" w:cs="Times New Roman"/>
          <w:b/>
          <w:bCs/>
          <w:spacing w:val="2"/>
          <w:sz w:val="21"/>
          <w:szCs w:val="21"/>
        </w:rPr>
        <w:t>2.4-8</w:t>
      </w:r>
      <w:r>
        <w:rPr>
          <w:rFonts w:ascii="Times New Roman" w:hAnsi="Times New Roman" w:eastAsia="Times New Roman" w:cs="Times New Roman"/>
          <w:b/>
          <w:bCs/>
          <w:spacing w:val="14"/>
          <w:w w:val="101"/>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round/>
          </w14:textOutline>
        </w:rPr>
        <w:t>施工期主要机械设备及车辆噪声源强表</w:t>
      </w:r>
    </w:p>
    <w:p>
      <w:pPr>
        <w:spacing w:line="128" w:lineRule="exact"/>
      </w:pPr>
    </w:p>
    <w:tbl>
      <w:tblPr>
        <w:tblStyle w:val="5"/>
        <w:tblW w:w="871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3"/>
        <w:gridCol w:w="2902"/>
        <w:gridCol w:w="29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tcBorders>
              <w:top w:val="single" w:color="000000" w:sz="12" w:space="0"/>
              <w:left w:val="nil"/>
            </w:tcBorders>
            <w:vAlign w:val="top"/>
          </w:tcPr>
          <w:p>
            <w:pPr>
              <w:spacing w:before="31" w:line="205" w:lineRule="auto"/>
              <w:ind w:left="126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round/>
                </w14:textOutline>
              </w:rPr>
              <w:t>声源</w:t>
            </w:r>
          </w:p>
        </w:tc>
        <w:tc>
          <w:tcPr>
            <w:tcW w:w="2902" w:type="dxa"/>
            <w:tcBorders>
              <w:top w:val="single" w:color="000000" w:sz="12" w:space="0"/>
            </w:tcBorders>
            <w:vAlign w:val="top"/>
          </w:tcPr>
          <w:p>
            <w:pPr>
              <w:spacing w:before="31" w:line="205" w:lineRule="auto"/>
              <w:ind w:left="1038"/>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round/>
                </w14:textOutline>
              </w:rPr>
              <w:t>设备名称</w:t>
            </w:r>
          </w:p>
        </w:tc>
        <w:tc>
          <w:tcPr>
            <w:tcW w:w="2900" w:type="dxa"/>
            <w:tcBorders>
              <w:top w:val="single" w:color="000000" w:sz="12" w:space="0"/>
              <w:right w:val="nil"/>
            </w:tcBorders>
            <w:vAlign w:val="top"/>
          </w:tcPr>
          <w:p>
            <w:pPr>
              <w:pStyle w:val="6"/>
              <w:spacing w:before="30" w:line="206" w:lineRule="auto"/>
              <w:ind w:left="567"/>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round/>
                </w14:textOutline>
              </w:rPr>
              <w:t>噪声强度（</w:t>
            </w:r>
            <w:r>
              <w:rPr>
                <w:b/>
                <w:bCs/>
                <w:spacing w:val="-2"/>
              </w:rPr>
              <w:t>dB(A)</w:t>
            </w:r>
            <w:r>
              <w:rPr>
                <w:rFonts w:ascii="仿宋" w:hAnsi="仿宋" w:eastAsia="仿宋" w:cs="仿宋"/>
                <w:spacing w:val="-2"/>
                <w14:textOutline w14:w="3810" w14:cap="flat" w14:cmpd="sng">
                  <w14:solidFill>
                    <w14:srgbClr w14:val="000000"/>
                  </w14:solidFill>
                  <w14:prstDash w14:val="solid"/>
                  <w14:round/>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vMerge w:val="restart"/>
            <w:tcBorders>
              <w:left w:val="nil"/>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68" w:line="219" w:lineRule="auto"/>
              <w:ind w:left="1079"/>
              <w:rPr>
                <w:rFonts w:ascii="仿宋" w:hAnsi="仿宋" w:eastAsia="仿宋" w:cs="仿宋"/>
                <w:sz w:val="21"/>
                <w:szCs w:val="21"/>
              </w:rPr>
            </w:pPr>
            <w:r>
              <w:rPr>
                <w:rFonts w:ascii="仿宋" w:hAnsi="仿宋" w:eastAsia="仿宋" w:cs="仿宋"/>
                <w:spacing w:val="-10"/>
                <w:sz w:val="21"/>
                <w:szCs w:val="21"/>
              </w:rPr>
              <w:t>固定声源</w:t>
            </w:r>
          </w:p>
        </w:tc>
        <w:tc>
          <w:tcPr>
            <w:tcW w:w="2902" w:type="dxa"/>
            <w:vAlign w:val="top"/>
          </w:tcPr>
          <w:p>
            <w:pPr>
              <w:spacing w:before="34" w:line="203" w:lineRule="auto"/>
              <w:ind w:left="838"/>
              <w:rPr>
                <w:rFonts w:ascii="仿宋" w:hAnsi="仿宋" w:eastAsia="仿宋" w:cs="仿宋"/>
                <w:sz w:val="21"/>
                <w:szCs w:val="21"/>
              </w:rPr>
            </w:pPr>
            <w:r>
              <w:rPr>
                <w:rFonts w:ascii="仿宋" w:hAnsi="仿宋" w:eastAsia="仿宋" w:cs="仿宋"/>
                <w:spacing w:val="-4"/>
                <w:sz w:val="21"/>
                <w:szCs w:val="21"/>
              </w:rPr>
              <w:t>混凝土搅拌机</w:t>
            </w:r>
          </w:p>
        </w:tc>
        <w:tc>
          <w:tcPr>
            <w:tcW w:w="2900" w:type="dxa"/>
            <w:tcBorders>
              <w:right w:val="nil"/>
            </w:tcBorders>
            <w:vAlign w:val="top"/>
          </w:tcPr>
          <w:p>
            <w:pPr>
              <w:pStyle w:val="6"/>
              <w:spacing w:before="67" w:line="196" w:lineRule="auto"/>
              <w:ind w:left="1190"/>
            </w:pPr>
            <w:r>
              <w:rPr>
                <w:spacing w:val="-2"/>
              </w:rPr>
              <w:t>75~88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913" w:type="dxa"/>
            <w:vMerge w:val="continue"/>
            <w:tcBorders>
              <w:top w:val="nil"/>
              <w:left w:val="nil"/>
              <w:bottom w:val="nil"/>
            </w:tcBorders>
            <w:vAlign w:val="top"/>
          </w:tcPr>
          <w:p>
            <w:pPr>
              <w:rPr>
                <w:rFonts w:ascii="Arial"/>
                <w:sz w:val="21"/>
              </w:rPr>
            </w:pPr>
          </w:p>
        </w:tc>
        <w:tc>
          <w:tcPr>
            <w:tcW w:w="2902" w:type="dxa"/>
            <w:vAlign w:val="top"/>
          </w:tcPr>
          <w:p>
            <w:pPr>
              <w:spacing w:before="37" w:line="202" w:lineRule="auto"/>
              <w:ind w:left="838"/>
              <w:rPr>
                <w:rFonts w:ascii="仿宋" w:hAnsi="仿宋" w:eastAsia="仿宋" w:cs="仿宋"/>
                <w:sz w:val="21"/>
                <w:szCs w:val="21"/>
              </w:rPr>
            </w:pPr>
            <w:r>
              <w:rPr>
                <w:rFonts w:ascii="仿宋" w:hAnsi="仿宋" w:eastAsia="仿宋" w:cs="仿宋"/>
                <w:spacing w:val="-4"/>
                <w:sz w:val="21"/>
                <w:szCs w:val="21"/>
              </w:rPr>
              <w:t>混凝土拌和机</w:t>
            </w:r>
          </w:p>
        </w:tc>
        <w:tc>
          <w:tcPr>
            <w:tcW w:w="2900" w:type="dxa"/>
            <w:tcBorders>
              <w:right w:val="nil"/>
            </w:tcBorders>
            <w:vAlign w:val="top"/>
          </w:tcPr>
          <w:p>
            <w:pPr>
              <w:pStyle w:val="6"/>
              <w:spacing w:before="69" w:line="196" w:lineRule="auto"/>
              <w:ind w:left="1190"/>
            </w:pPr>
            <w:r>
              <w:rPr>
                <w:spacing w:val="-2"/>
              </w:rPr>
              <w:t>79~99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vMerge w:val="continue"/>
            <w:tcBorders>
              <w:top w:val="nil"/>
              <w:left w:val="nil"/>
              <w:bottom w:val="nil"/>
            </w:tcBorders>
            <w:vAlign w:val="top"/>
          </w:tcPr>
          <w:p>
            <w:pPr>
              <w:rPr>
                <w:rFonts w:ascii="Arial"/>
                <w:sz w:val="21"/>
              </w:rPr>
            </w:pPr>
          </w:p>
        </w:tc>
        <w:tc>
          <w:tcPr>
            <w:tcW w:w="2902" w:type="dxa"/>
            <w:vAlign w:val="top"/>
          </w:tcPr>
          <w:p>
            <w:pPr>
              <w:spacing w:before="37" w:line="200" w:lineRule="auto"/>
              <w:ind w:left="1046"/>
              <w:rPr>
                <w:rFonts w:ascii="仿宋" w:hAnsi="仿宋" w:eastAsia="仿宋" w:cs="仿宋"/>
                <w:sz w:val="21"/>
                <w:szCs w:val="21"/>
              </w:rPr>
            </w:pPr>
            <w:r>
              <w:rPr>
                <w:rFonts w:ascii="仿宋" w:hAnsi="仿宋" w:eastAsia="仿宋" w:cs="仿宋"/>
                <w:spacing w:val="-5"/>
                <w:sz w:val="21"/>
                <w:szCs w:val="21"/>
              </w:rPr>
              <w:t>混凝土泵</w:t>
            </w:r>
          </w:p>
        </w:tc>
        <w:tc>
          <w:tcPr>
            <w:tcW w:w="2900" w:type="dxa"/>
            <w:tcBorders>
              <w:right w:val="nil"/>
            </w:tcBorders>
            <w:vAlign w:val="top"/>
          </w:tcPr>
          <w:p>
            <w:pPr>
              <w:pStyle w:val="6"/>
              <w:spacing w:before="70" w:line="193" w:lineRule="auto"/>
              <w:ind w:left="1195"/>
            </w:pPr>
            <w:r>
              <w:rPr>
                <w:spacing w:val="-3"/>
              </w:rPr>
              <w:t>88~95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vMerge w:val="continue"/>
            <w:tcBorders>
              <w:top w:val="nil"/>
              <w:left w:val="nil"/>
              <w:bottom w:val="nil"/>
            </w:tcBorders>
            <w:vAlign w:val="top"/>
          </w:tcPr>
          <w:p>
            <w:pPr>
              <w:rPr>
                <w:rFonts w:ascii="Arial"/>
                <w:sz w:val="21"/>
              </w:rPr>
            </w:pPr>
          </w:p>
        </w:tc>
        <w:tc>
          <w:tcPr>
            <w:tcW w:w="2902" w:type="dxa"/>
            <w:vAlign w:val="top"/>
          </w:tcPr>
          <w:p>
            <w:pPr>
              <w:spacing w:before="39" w:line="198" w:lineRule="auto"/>
              <w:ind w:left="838"/>
              <w:rPr>
                <w:rFonts w:ascii="仿宋" w:hAnsi="仿宋" w:eastAsia="仿宋" w:cs="仿宋"/>
                <w:sz w:val="21"/>
                <w:szCs w:val="21"/>
              </w:rPr>
            </w:pPr>
            <w:r>
              <w:rPr>
                <w:rFonts w:ascii="仿宋" w:hAnsi="仿宋" w:eastAsia="仿宋" w:cs="仿宋"/>
                <w:spacing w:val="-4"/>
                <w:sz w:val="21"/>
                <w:szCs w:val="21"/>
              </w:rPr>
              <w:t>混凝土喷射机</w:t>
            </w:r>
          </w:p>
        </w:tc>
        <w:tc>
          <w:tcPr>
            <w:tcW w:w="2900" w:type="dxa"/>
            <w:tcBorders>
              <w:right w:val="nil"/>
            </w:tcBorders>
            <w:vAlign w:val="top"/>
          </w:tcPr>
          <w:p>
            <w:pPr>
              <w:pStyle w:val="6"/>
              <w:spacing w:before="72" w:line="191" w:lineRule="auto"/>
              <w:ind w:left="1191"/>
            </w:pPr>
            <w:r>
              <w:rPr>
                <w:spacing w:val="-2"/>
              </w:rPr>
              <w:t>90~95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vMerge w:val="continue"/>
            <w:tcBorders>
              <w:top w:val="nil"/>
              <w:left w:val="nil"/>
              <w:bottom w:val="nil"/>
            </w:tcBorders>
            <w:vAlign w:val="top"/>
          </w:tcPr>
          <w:p>
            <w:pPr>
              <w:rPr>
                <w:rFonts w:ascii="Arial"/>
                <w:sz w:val="21"/>
              </w:rPr>
            </w:pPr>
          </w:p>
        </w:tc>
        <w:tc>
          <w:tcPr>
            <w:tcW w:w="2902" w:type="dxa"/>
            <w:vAlign w:val="top"/>
          </w:tcPr>
          <w:p>
            <w:pPr>
              <w:spacing w:before="40" w:line="197" w:lineRule="auto"/>
              <w:ind w:left="1145"/>
              <w:rPr>
                <w:rFonts w:ascii="仿宋" w:hAnsi="仿宋" w:eastAsia="仿宋" w:cs="仿宋"/>
                <w:sz w:val="21"/>
                <w:szCs w:val="21"/>
              </w:rPr>
            </w:pPr>
            <w:r>
              <w:rPr>
                <w:rFonts w:ascii="仿宋" w:hAnsi="仿宋" w:eastAsia="仿宋" w:cs="仿宋"/>
                <w:spacing w:val="-3"/>
                <w:sz w:val="21"/>
                <w:szCs w:val="21"/>
              </w:rPr>
              <w:t>振捣机</w:t>
            </w:r>
          </w:p>
        </w:tc>
        <w:tc>
          <w:tcPr>
            <w:tcW w:w="2900" w:type="dxa"/>
            <w:tcBorders>
              <w:right w:val="nil"/>
            </w:tcBorders>
            <w:vAlign w:val="top"/>
          </w:tcPr>
          <w:p>
            <w:pPr>
              <w:pStyle w:val="6"/>
              <w:spacing w:before="75" w:line="188" w:lineRule="auto"/>
              <w:ind w:left="1195"/>
            </w:pPr>
            <w:r>
              <w:rPr>
                <w:spacing w:val="-3"/>
              </w:rPr>
              <w:t>80~88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2913" w:type="dxa"/>
            <w:vMerge w:val="continue"/>
            <w:tcBorders>
              <w:top w:val="nil"/>
              <w:left w:val="nil"/>
              <w:bottom w:val="nil"/>
            </w:tcBorders>
            <w:vAlign w:val="top"/>
          </w:tcPr>
          <w:p>
            <w:pPr>
              <w:rPr>
                <w:rFonts w:ascii="Arial"/>
                <w:sz w:val="21"/>
              </w:rPr>
            </w:pPr>
          </w:p>
        </w:tc>
        <w:tc>
          <w:tcPr>
            <w:tcW w:w="2902" w:type="dxa"/>
            <w:vAlign w:val="top"/>
          </w:tcPr>
          <w:p>
            <w:pPr>
              <w:spacing w:before="44" w:line="195" w:lineRule="auto"/>
              <w:ind w:left="1146"/>
              <w:rPr>
                <w:rFonts w:ascii="仿宋" w:hAnsi="仿宋" w:eastAsia="仿宋" w:cs="仿宋"/>
                <w:sz w:val="21"/>
                <w:szCs w:val="21"/>
              </w:rPr>
            </w:pPr>
            <w:r>
              <w:rPr>
                <w:rFonts w:ascii="仿宋" w:hAnsi="仿宋" w:eastAsia="仿宋" w:cs="仿宋"/>
                <w:spacing w:val="-5"/>
                <w:sz w:val="21"/>
                <w:szCs w:val="21"/>
              </w:rPr>
              <w:t>卷扬机</w:t>
            </w:r>
          </w:p>
        </w:tc>
        <w:tc>
          <w:tcPr>
            <w:tcW w:w="2900" w:type="dxa"/>
            <w:tcBorders>
              <w:right w:val="nil"/>
            </w:tcBorders>
            <w:vAlign w:val="top"/>
          </w:tcPr>
          <w:p>
            <w:pPr>
              <w:pStyle w:val="6"/>
              <w:spacing w:before="77" w:line="187" w:lineRule="auto"/>
              <w:ind w:left="1139"/>
            </w:pPr>
            <w:r>
              <w:rPr>
                <w:spacing w:val="-2"/>
              </w:rPr>
              <w:t>95~105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vMerge w:val="continue"/>
            <w:tcBorders>
              <w:top w:val="nil"/>
              <w:left w:val="nil"/>
            </w:tcBorders>
            <w:vAlign w:val="top"/>
          </w:tcPr>
          <w:p>
            <w:pPr>
              <w:rPr>
                <w:rFonts w:ascii="Arial"/>
                <w:sz w:val="21"/>
              </w:rPr>
            </w:pPr>
          </w:p>
        </w:tc>
        <w:tc>
          <w:tcPr>
            <w:tcW w:w="2902" w:type="dxa"/>
            <w:vAlign w:val="top"/>
          </w:tcPr>
          <w:p>
            <w:pPr>
              <w:spacing w:before="45" w:line="193" w:lineRule="auto"/>
              <w:ind w:left="1145"/>
              <w:rPr>
                <w:rFonts w:ascii="仿宋" w:hAnsi="仿宋" w:eastAsia="仿宋" w:cs="仿宋"/>
                <w:sz w:val="21"/>
                <w:szCs w:val="21"/>
              </w:rPr>
            </w:pPr>
            <w:r>
              <w:rPr>
                <w:rFonts w:ascii="仿宋" w:hAnsi="仿宋" w:eastAsia="仿宋" w:cs="仿宋"/>
                <w:spacing w:val="-3"/>
                <w:sz w:val="21"/>
                <w:szCs w:val="21"/>
              </w:rPr>
              <w:t>钻孔机</w:t>
            </w:r>
          </w:p>
        </w:tc>
        <w:tc>
          <w:tcPr>
            <w:tcW w:w="2900" w:type="dxa"/>
            <w:tcBorders>
              <w:right w:val="nil"/>
            </w:tcBorders>
            <w:vAlign w:val="top"/>
          </w:tcPr>
          <w:p>
            <w:pPr>
              <w:pStyle w:val="6"/>
              <w:spacing w:before="80" w:line="183" w:lineRule="auto"/>
              <w:ind w:left="1320"/>
            </w:pPr>
            <w:r>
              <w:rPr>
                <w:spacing w:val="-11"/>
              </w:rPr>
              <w:t>110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vMerge w:val="restart"/>
            <w:tcBorders>
              <w:left w:val="nil"/>
              <w:bottom w:val="nil"/>
            </w:tcBorders>
            <w:vAlign w:val="top"/>
          </w:tcPr>
          <w:p>
            <w:pPr>
              <w:spacing w:line="294" w:lineRule="auto"/>
              <w:rPr>
                <w:rFonts w:ascii="Arial"/>
                <w:sz w:val="21"/>
              </w:rPr>
            </w:pPr>
          </w:p>
          <w:p>
            <w:pPr>
              <w:spacing w:line="294" w:lineRule="auto"/>
              <w:rPr>
                <w:rFonts w:ascii="Arial"/>
                <w:sz w:val="21"/>
              </w:rPr>
            </w:pPr>
          </w:p>
          <w:p>
            <w:pPr>
              <w:spacing w:line="295" w:lineRule="auto"/>
              <w:rPr>
                <w:rFonts w:ascii="Arial"/>
                <w:sz w:val="21"/>
              </w:rPr>
            </w:pPr>
          </w:p>
          <w:p>
            <w:pPr>
              <w:spacing w:before="68" w:line="219" w:lineRule="auto"/>
              <w:ind w:left="1057"/>
              <w:rPr>
                <w:rFonts w:ascii="仿宋" w:hAnsi="仿宋" w:eastAsia="仿宋" w:cs="仿宋"/>
                <w:sz w:val="21"/>
                <w:szCs w:val="21"/>
              </w:rPr>
            </w:pPr>
            <w:r>
              <w:rPr>
                <w:rFonts w:ascii="仿宋" w:hAnsi="仿宋" w:eastAsia="仿宋" w:cs="仿宋"/>
                <w:spacing w:val="-4"/>
                <w:sz w:val="21"/>
                <w:szCs w:val="21"/>
              </w:rPr>
              <w:t>流动声源</w:t>
            </w:r>
          </w:p>
        </w:tc>
        <w:tc>
          <w:tcPr>
            <w:tcW w:w="2902" w:type="dxa"/>
            <w:vAlign w:val="top"/>
          </w:tcPr>
          <w:p>
            <w:pPr>
              <w:spacing w:before="47" w:line="191" w:lineRule="auto"/>
              <w:ind w:left="1043"/>
              <w:rPr>
                <w:rFonts w:ascii="仿宋" w:hAnsi="仿宋" w:eastAsia="仿宋" w:cs="仿宋"/>
                <w:sz w:val="21"/>
                <w:szCs w:val="21"/>
              </w:rPr>
            </w:pPr>
            <w:r>
              <w:rPr>
                <w:rFonts w:ascii="仿宋" w:hAnsi="仿宋" w:eastAsia="仿宋" w:cs="仿宋"/>
                <w:spacing w:val="-4"/>
                <w:sz w:val="21"/>
                <w:szCs w:val="21"/>
              </w:rPr>
              <w:t>载重汽车</w:t>
            </w:r>
          </w:p>
        </w:tc>
        <w:tc>
          <w:tcPr>
            <w:tcW w:w="2900" w:type="dxa"/>
            <w:tcBorders>
              <w:right w:val="nil"/>
            </w:tcBorders>
            <w:vAlign w:val="top"/>
          </w:tcPr>
          <w:p>
            <w:pPr>
              <w:pStyle w:val="6"/>
              <w:spacing w:before="80" w:line="183" w:lineRule="auto"/>
              <w:ind w:left="1195"/>
            </w:pPr>
            <w:r>
              <w:rPr>
                <w:spacing w:val="-3"/>
              </w:rPr>
              <w:t>82~90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913" w:type="dxa"/>
            <w:vMerge w:val="continue"/>
            <w:tcBorders>
              <w:top w:val="nil"/>
              <w:left w:val="nil"/>
              <w:bottom w:val="nil"/>
            </w:tcBorders>
            <w:vAlign w:val="top"/>
          </w:tcPr>
          <w:p>
            <w:pPr>
              <w:rPr>
                <w:rFonts w:ascii="Arial"/>
                <w:sz w:val="21"/>
              </w:rPr>
            </w:pPr>
          </w:p>
        </w:tc>
        <w:tc>
          <w:tcPr>
            <w:tcW w:w="2902" w:type="dxa"/>
            <w:vAlign w:val="top"/>
          </w:tcPr>
          <w:p>
            <w:pPr>
              <w:spacing w:before="50" w:line="190" w:lineRule="auto"/>
              <w:ind w:left="1145"/>
              <w:rPr>
                <w:rFonts w:ascii="仿宋" w:hAnsi="仿宋" w:eastAsia="仿宋" w:cs="仿宋"/>
                <w:sz w:val="21"/>
                <w:szCs w:val="21"/>
              </w:rPr>
            </w:pPr>
            <w:r>
              <w:rPr>
                <w:rFonts w:ascii="仿宋" w:hAnsi="仿宋" w:eastAsia="仿宋" w:cs="仿宋"/>
                <w:spacing w:val="-3"/>
                <w:sz w:val="21"/>
                <w:szCs w:val="21"/>
              </w:rPr>
              <w:t>拖拉机</w:t>
            </w:r>
          </w:p>
        </w:tc>
        <w:tc>
          <w:tcPr>
            <w:tcW w:w="2900" w:type="dxa"/>
            <w:tcBorders>
              <w:right w:val="nil"/>
            </w:tcBorders>
            <w:vAlign w:val="top"/>
          </w:tcPr>
          <w:p>
            <w:pPr>
              <w:pStyle w:val="6"/>
              <w:spacing w:before="82" w:line="183" w:lineRule="auto"/>
              <w:ind w:left="1195"/>
            </w:pPr>
            <w:r>
              <w:rPr>
                <w:spacing w:val="-3"/>
              </w:rPr>
              <w:t>82~85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vMerge w:val="continue"/>
            <w:tcBorders>
              <w:top w:val="nil"/>
              <w:left w:val="nil"/>
              <w:bottom w:val="nil"/>
            </w:tcBorders>
            <w:vAlign w:val="top"/>
          </w:tcPr>
          <w:p>
            <w:pPr>
              <w:rPr>
                <w:rFonts w:ascii="Arial"/>
                <w:sz w:val="21"/>
              </w:rPr>
            </w:pPr>
          </w:p>
        </w:tc>
        <w:tc>
          <w:tcPr>
            <w:tcW w:w="2902" w:type="dxa"/>
            <w:vAlign w:val="top"/>
          </w:tcPr>
          <w:p>
            <w:pPr>
              <w:spacing w:before="51" w:line="188" w:lineRule="auto"/>
              <w:ind w:left="1148"/>
              <w:rPr>
                <w:rFonts w:ascii="仿宋" w:hAnsi="仿宋" w:eastAsia="仿宋" w:cs="仿宋"/>
                <w:sz w:val="21"/>
                <w:szCs w:val="21"/>
              </w:rPr>
            </w:pPr>
            <w:r>
              <w:rPr>
                <w:rFonts w:ascii="仿宋" w:hAnsi="仿宋" w:eastAsia="仿宋" w:cs="仿宋"/>
                <w:spacing w:val="-4"/>
                <w:sz w:val="21"/>
                <w:szCs w:val="21"/>
              </w:rPr>
              <w:t>推土机</w:t>
            </w:r>
          </w:p>
        </w:tc>
        <w:tc>
          <w:tcPr>
            <w:tcW w:w="2900" w:type="dxa"/>
            <w:tcBorders>
              <w:right w:val="nil"/>
            </w:tcBorders>
            <w:vAlign w:val="top"/>
          </w:tcPr>
          <w:p>
            <w:pPr>
              <w:pStyle w:val="6"/>
              <w:spacing w:before="83" w:line="180" w:lineRule="auto"/>
              <w:ind w:left="1196"/>
            </w:pPr>
            <w:r>
              <w:rPr>
                <w:spacing w:val="-3"/>
              </w:rPr>
              <w:t>83~88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vMerge w:val="continue"/>
            <w:tcBorders>
              <w:top w:val="nil"/>
              <w:left w:val="nil"/>
              <w:bottom w:val="nil"/>
            </w:tcBorders>
            <w:vAlign w:val="top"/>
          </w:tcPr>
          <w:p>
            <w:pPr>
              <w:rPr>
                <w:rFonts w:ascii="Arial"/>
                <w:sz w:val="21"/>
              </w:rPr>
            </w:pPr>
          </w:p>
        </w:tc>
        <w:tc>
          <w:tcPr>
            <w:tcW w:w="2902" w:type="dxa"/>
            <w:vAlign w:val="top"/>
          </w:tcPr>
          <w:p>
            <w:pPr>
              <w:spacing w:before="52" w:line="187" w:lineRule="auto"/>
              <w:ind w:left="1149"/>
              <w:rPr>
                <w:rFonts w:ascii="仿宋" w:hAnsi="仿宋" w:eastAsia="仿宋" w:cs="仿宋"/>
                <w:sz w:val="21"/>
                <w:szCs w:val="21"/>
              </w:rPr>
            </w:pPr>
            <w:r>
              <w:rPr>
                <w:rFonts w:ascii="仿宋" w:hAnsi="仿宋" w:eastAsia="仿宋" w:cs="仿宋"/>
                <w:spacing w:val="-4"/>
                <w:sz w:val="21"/>
                <w:szCs w:val="21"/>
              </w:rPr>
              <w:t>装载机</w:t>
            </w:r>
          </w:p>
        </w:tc>
        <w:tc>
          <w:tcPr>
            <w:tcW w:w="2900" w:type="dxa"/>
            <w:tcBorders>
              <w:right w:val="nil"/>
            </w:tcBorders>
            <w:vAlign w:val="top"/>
          </w:tcPr>
          <w:p>
            <w:pPr>
              <w:pStyle w:val="6"/>
              <w:spacing w:before="85" w:line="178" w:lineRule="auto"/>
              <w:ind w:left="1191"/>
            </w:pPr>
            <w:r>
              <w:rPr>
                <w:spacing w:val="-2"/>
              </w:rPr>
              <w:t>90~95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vMerge w:val="continue"/>
            <w:tcBorders>
              <w:top w:val="nil"/>
              <w:left w:val="nil"/>
              <w:bottom w:val="nil"/>
            </w:tcBorders>
            <w:vAlign w:val="top"/>
          </w:tcPr>
          <w:p>
            <w:pPr>
              <w:rPr>
                <w:rFonts w:ascii="Arial"/>
                <w:sz w:val="21"/>
              </w:rPr>
            </w:pPr>
          </w:p>
        </w:tc>
        <w:tc>
          <w:tcPr>
            <w:tcW w:w="2902" w:type="dxa"/>
            <w:vAlign w:val="top"/>
          </w:tcPr>
          <w:p>
            <w:pPr>
              <w:spacing w:before="54" w:line="185" w:lineRule="auto"/>
              <w:ind w:left="1147"/>
              <w:rPr>
                <w:rFonts w:ascii="仿宋" w:hAnsi="仿宋" w:eastAsia="仿宋" w:cs="仿宋"/>
                <w:sz w:val="21"/>
                <w:szCs w:val="21"/>
              </w:rPr>
            </w:pPr>
            <w:r>
              <w:rPr>
                <w:rFonts w:ascii="仿宋" w:hAnsi="仿宋" w:eastAsia="仿宋" w:cs="仿宋"/>
                <w:spacing w:val="-4"/>
                <w:sz w:val="21"/>
                <w:szCs w:val="21"/>
              </w:rPr>
              <w:t>起重机</w:t>
            </w:r>
          </w:p>
        </w:tc>
        <w:tc>
          <w:tcPr>
            <w:tcW w:w="2900" w:type="dxa"/>
            <w:tcBorders>
              <w:right w:val="nil"/>
            </w:tcBorders>
            <w:vAlign w:val="top"/>
          </w:tcPr>
          <w:p>
            <w:pPr>
              <w:pStyle w:val="6"/>
              <w:spacing w:before="87" w:line="176" w:lineRule="auto"/>
              <w:ind w:left="1195"/>
            </w:pPr>
            <w:r>
              <w:rPr>
                <w:spacing w:val="-3"/>
              </w:rPr>
              <w:t>85~90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2913" w:type="dxa"/>
            <w:vMerge w:val="continue"/>
            <w:tcBorders>
              <w:top w:val="nil"/>
              <w:left w:val="nil"/>
              <w:bottom w:val="nil"/>
            </w:tcBorders>
            <w:vAlign w:val="top"/>
          </w:tcPr>
          <w:p>
            <w:pPr>
              <w:rPr>
                <w:rFonts w:ascii="Arial"/>
                <w:sz w:val="21"/>
              </w:rPr>
            </w:pPr>
          </w:p>
        </w:tc>
        <w:tc>
          <w:tcPr>
            <w:tcW w:w="2902" w:type="dxa"/>
            <w:vAlign w:val="top"/>
          </w:tcPr>
          <w:p>
            <w:pPr>
              <w:spacing w:before="57" w:line="184" w:lineRule="auto"/>
              <w:ind w:left="1145"/>
              <w:rPr>
                <w:rFonts w:ascii="仿宋" w:hAnsi="仿宋" w:eastAsia="仿宋" w:cs="仿宋"/>
                <w:sz w:val="21"/>
                <w:szCs w:val="21"/>
              </w:rPr>
            </w:pPr>
            <w:r>
              <w:rPr>
                <w:rFonts w:ascii="仿宋" w:hAnsi="仿宋" w:eastAsia="仿宋" w:cs="仿宋"/>
                <w:spacing w:val="-3"/>
                <w:sz w:val="21"/>
                <w:szCs w:val="21"/>
              </w:rPr>
              <w:t>挖掘机</w:t>
            </w:r>
          </w:p>
        </w:tc>
        <w:tc>
          <w:tcPr>
            <w:tcW w:w="2900" w:type="dxa"/>
            <w:tcBorders>
              <w:right w:val="nil"/>
            </w:tcBorders>
            <w:vAlign w:val="top"/>
          </w:tcPr>
          <w:p>
            <w:pPr>
              <w:pStyle w:val="6"/>
              <w:spacing w:before="91" w:line="174" w:lineRule="auto"/>
              <w:ind w:left="1196"/>
            </w:pPr>
            <w:r>
              <w:rPr>
                <w:spacing w:val="-3"/>
              </w:rPr>
              <w:t>82~90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2913" w:type="dxa"/>
            <w:vMerge w:val="continue"/>
            <w:tcBorders>
              <w:top w:val="nil"/>
              <w:left w:val="nil"/>
            </w:tcBorders>
            <w:vAlign w:val="top"/>
          </w:tcPr>
          <w:p>
            <w:pPr>
              <w:rPr>
                <w:rFonts w:ascii="Arial"/>
                <w:sz w:val="21"/>
              </w:rPr>
            </w:pPr>
          </w:p>
        </w:tc>
        <w:tc>
          <w:tcPr>
            <w:tcW w:w="2902" w:type="dxa"/>
            <w:vAlign w:val="top"/>
          </w:tcPr>
          <w:p>
            <w:pPr>
              <w:spacing w:before="57" w:line="182" w:lineRule="auto"/>
              <w:ind w:left="1042"/>
              <w:rPr>
                <w:rFonts w:ascii="仿宋" w:hAnsi="仿宋" w:eastAsia="仿宋" w:cs="仿宋"/>
                <w:sz w:val="21"/>
                <w:szCs w:val="21"/>
              </w:rPr>
            </w:pPr>
            <w:r>
              <w:rPr>
                <w:rFonts w:ascii="仿宋" w:hAnsi="仿宋" w:eastAsia="仿宋" w:cs="仿宋"/>
                <w:spacing w:val="-4"/>
                <w:sz w:val="21"/>
                <w:szCs w:val="21"/>
              </w:rPr>
              <w:t>振动平碾</w:t>
            </w:r>
          </w:p>
        </w:tc>
        <w:tc>
          <w:tcPr>
            <w:tcW w:w="2900" w:type="dxa"/>
            <w:tcBorders>
              <w:right w:val="nil"/>
            </w:tcBorders>
            <w:vAlign w:val="top"/>
          </w:tcPr>
          <w:p>
            <w:pPr>
              <w:pStyle w:val="6"/>
              <w:spacing w:before="91" w:line="172" w:lineRule="auto"/>
              <w:ind w:left="1196"/>
            </w:pPr>
            <w:r>
              <w:rPr>
                <w:spacing w:val="-3"/>
              </w:rPr>
              <w:t>80~90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0" w:hRule="atLeast"/>
        </w:trPr>
        <w:tc>
          <w:tcPr>
            <w:tcW w:w="2913" w:type="dxa"/>
            <w:tcBorders>
              <w:left w:val="nil"/>
              <w:bottom w:val="single" w:color="000000" w:sz="12" w:space="0"/>
            </w:tcBorders>
            <w:vAlign w:val="top"/>
          </w:tcPr>
          <w:p>
            <w:pPr>
              <w:spacing w:before="60" w:line="202" w:lineRule="auto"/>
              <w:ind w:left="1066"/>
              <w:rPr>
                <w:rFonts w:ascii="仿宋" w:hAnsi="仿宋" w:eastAsia="仿宋" w:cs="仿宋"/>
                <w:sz w:val="21"/>
                <w:szCs w:val="21"/>
              </w:rPr>
            </w:pPr>
            <w:r>
              <w:rPr>
                <w:rFonts w:ascii="仿宋" w:hAnsi="仿宋" w:eastAsia="仿宋" w:cs="仿宋"/>
                <w:spacing w:val="-6"/>
                <w:sz w:val="21"/>
                <w:szCs w:val="21"/>
              </w:rPr>
              <w:t>瞬时声源</w:t>
            </w:r>
          </w:p>
        </w:tc>
        <w:tc>
          <w:tcPr>
            <w:tcW w:w="2902" w:type="dxa"/>
            <w:tcBorders>
              <w:bottom w:val="single" w:color="000000" w:sz="12" w:space="0"/>
            </w:tcBorders>
            <w:vAlign w:val="top"/>
          </w:tcPr>
          <w:p>
            <w:pPr>
              <w:spacing w:before="60" w:line="202" w:lineRule="auto"/>
              <w:ind w:left="1250"/>
              <w:rPr>
                <w:rFonts w:ascii="仿宋" w:hAnsi="仿宋" w:eastAsia="仿宋" w:cs="仿宋"/>
                <w:sz w:val="21"/>
                <w:szCs w:val="21"/>
              </w:rPr>
            </w:pPr>
            <w:r>
              <w:rPr>
                <w:rFonts w:ascii="仿宋" w:hAnsi="仿宋" w:eastAsia="仿宋" w:cs="仿宋"/>
                <w:spacing w:val="-4"/>
                <w:sz w:val="21"/>
                <w:szCs w:val="21"/>
              </w:rPr>
              <w:t>爆破</w:t>
            </w:r>
          </w:p>
        </w:tc>
        <w:tc>
          <w:tcPr>
            <w:tcW w:w="2900" w:type="dxa"/>
            <w:tcBorders>
              <w:bottom w:val="single" w:color="000000" w:sz="12" w:space="0"/>
              <w:right w:val="nil"/>
            </w:tcBorders>
            <w:vAlign w:val="top"/>
          </w:tcPr>
          <w:p>
            <w:pPr>
              <w:pStyle w:val="6"/>
              <w:spacing w:before="59" w:line="203" w:lineRule="auto"/>
              <w:ind w:left="1083"/>
              <w:rPr>
                <w:rFonts w:ascii="仿宋" w:hAnsi="仿宋" w:eastAsia="仿宋" w:cs="仿宋"/>
              </w:rPr>
            </w:pPr>
            <w:r>
              <w:rPr>
                <w:spacing w:val="-9"/>
              </w:rPr>
              <w:t>120</w:t>
            </w:r>
            <w:r>
              <w:rPr>
                <w:spacing w:val="36"/>
              </w:rPr>
              <w:t xml:space="preserve"> </w:t>
            </w:r>
            <w:r>
              <w:rPr>
                <w:rFonts w:ascii="仿宋" w:hAnsi="仿宋" w:eastAsia="仿宋" w:cs="仿宋"/>
                <w:spacing w:val="-9"/>
              </w:rPr>
              <w:t>以上</w:t>
            </w:r>
          </w:p>
        </w:tc>
      </w:tr>
    </w:tbl>
    <w:p>
      <w:pPr>
        <w:spacing w:before="37" w:line="220" w:lineRule="auto"/>
        <w:ind w:left="51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）固体废物</w:t>
      </w:r>
    </w:p>
    <w:p>
      <w:pPr>
        <w:spacing w:before="182" w:line="359" w:lineRule="auto"/>
        <w:ind w:left="22" w:right="160" w:firstLine="484"/>
        <w:rPr>
          <w:rFonts w:ascii="宋体" w:hAnsi="宋体" w:eastAsia="宋体" w:cs="宋体"/>
          <w:sz w:val="24"/>
          <w:szCs w:val="24"/>
        </w:rPr>
      </w:pPr>
      <w:r>
        <w:rPr>
          <w:rFonts w:ascii="宋体" w:hAnsi="宋体" w:eastAsia="宋体" w:cs="宋体"/>
          <w:spacing w:val="-8"/>
          <w:sz w:val="24"/>
          <w:szCs w:val="24"/>
        </w:rPr>
        <w:t>项目施工期产生的生活垃圾具有点多分散的特点，</w:t>
      </w:r>
      <w:r>
        <w:rPr>
          <w:rFonts w:ascii="宋体" w:hAnsi="宋体" w:eastAsia="宋体" w:cs="宋体"/>
          <w:spacing w:val="61"/>
          <w:sz w:val="24"/>
          <w:szCs w:val="24"/>
        </w:rPr>
        <w:t xml:space="preserve"> </w:t>
      </w:r>
      <w:r>
        <w:rPr>
          <w:rFonts w:ascii="宋体" w:hAnsi="宋体" w:eastAsia="宋体" w:cs="宋体"/>
          <w:spacing w:val="-8"/>
          <w:sz w:val="24"/>
          <w:szCs w:val="24"/>
        </w:rPr>
        <w:t xml:space="preserve">施工期平均人数为 </w:t>
      </w:r>
      <w:r>
        <w:rPr>
          <w:rFonts w:ascii="Times New Roman" w:hAnsi="Times New Roman" w:eastAsia="Times New Roman" w:cs="Times New Roman"/>
          <w:spacing w:val="-8"/>
          <w:sz w:val="24"/>
          <w:szCs w:val="24"/>
        </w:rPr>
        <w:t>120</w:t>
      </w:r>
      <w:r>
        <w:rPr>
          <w:rFonts w:ascii="Times New Roman" w:hAnsi="Times New Roman" w:eastAsia="Times New Roman" w:cs="Times New Roman"/>
          <w:spacing w:val="42"/>
          <w:sz w:val="24"/>
          <w:szCs w:val="24"/>
        </w:rPr>
        <w:t xml:space="preserve"> </w:t>
      </w:r>
      <w:r>
        <w:rPr>
          <w:rFonts w:ascii="宋体" w:hAnsi="宋体" w:eastAsia="宋体" w:cs="宋体"/>
          <w:spacing w:val="-8"/>
          <w:sz w:val="24"/>
          <w:szCs w:val="24"/>
        </w:rPr>
        <w:t>人，</w:t>
      </w:r>
      <w:r>
        <w:rPr>
          <w:rFonts w:ascii="宋体" w:hAnsi="宋体" w:eastAsia="宋体" w:cs="宋体"/>
          <w:sz w:val="24"/>
          <w:szCs w:val="24"/>
        </w:rPr>
        <w:t xml:space="preserve"> </w:t>
      </w:r>
      <w:r>
        <w:rPr>
          <w:rFonts w:ascii="宋体" w:hAnsi="宋体" w:eastAsia="宋体" w:cs="宋体"/>
          <w:spacing w:val="-2"/>
          <w:sz w:val="24"/>
          <w:szCs w:val="24"/>
        </w:rPr>
        <w:t xml:space="preserve">生活垃圾产生量以人均 </w:t>
      </w:r>
      <w:r>
        <w:rPr>
          <w:rFonts w:ascii="Times New Roman" w:hAnsi="Times New Roman" w:eastAsia="Times New Roman" w:cs="Times New Roman"/>
          <w:spacing w:val="-2"/>
          <w:sz w:val="24"/>
          <w:szCs w:val="24"/>
        </w:rPr>
        <w:t xml:space="preserve">1kg/d  </w:t>
      </w:r>
      <w:r>
        <w:rPr>
          <w:rFonts w:ascii="宋体" w:hAnsi="宋体" w:eastAsia="宋体" w:cs="宋体"/>
          <w:spacing w:val="-2"/>
          <w:sz w:val="24"/>
          <w:szCs w:val="24"/>
        </w:rPr>
        <w:t>计，则工程施工期生活垃圾的平均产生量为</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0.12t/d</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施工期生活垃圾产生量为</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36t/a</w:t>
      </w:r>
      <w:r>
        <w:rPr>
          <w:rFonts w:ascii="宋体" w:hAnsi="宋体" w:eastAsia="宋体" w:cs="宋体"/>
          <w:sz w:val="24"/>
          <w:szCs w:val="24"/>
        </w:rPr>
        <w:t>。项目施</w:t>
      </w:r>
      <w:r>
        <w:rPr>
          <w:rFonts w:ascii="宋体" w:hAnsi="宋体" w:eastAsia="宋体" w:cs="宋体"/>
          <w:spacing w:val="-1"/>
          <w:sz w:val="24"/>
          <w:szCs w:val="24"/>
        </w:rPr>
        <w:t>工期应在施工生产生活区设置垃圾桶，统一</w:t>
      </w:r>
    </w:p>
    <w:p>
      <w:pPr>
        <w:spacing w:before="1" w:line="219" w:lineRule="auto"/>
        <w:ind w:left="32"/>
        <w:rPr>
          <w:rFonts w:ascii="宋体" w:hAnsi="宋体" w:eastAsia="宋体" w:cs="宋体"/>
          <w:sz w:val="24"/>
          <w:szCs w:val="24"/>
        </w:rPr>
      </w:pPr>
      <w:r>
        <w:rPr>
          <w:rFonts w:ascii="宋体" w:hAnsi="宋体" w:eastAsia="宋体" w:cs="宋体"/>
          <w:spacing w:val="-8"/>
          <w:sz w:val="24"/>
          <w:szCs w:val="24"/>
        </w:rPr>
        <w:t>收集后， 与桂花镇生活垃圾一并处置。</w:t>
      </w:r>
    </w:p>
    <w:p>
      <w:pPr>
        <w:spacing w:line="219" w:lineRule="auto"/>
        <w:rPr>
          <w:rFonts w:ascii="宋体" w:hAnsi="宋体" w:eastAsia="宋体" w:cs="宋体"/>
          <w:sz w:val="24"/>
          <w:szCs w:val="24"/>
        </w:rPr>
        <w:sectPr>
          <w:headerReference r:id="rId152" w:type="default"/>
          <w:footerReference r:id="rId153" w:type="default"/>
          <w:pgSz w:w="11920" w:h="16840"/>
          <w:pgMar w:top="1066" w:right="1398" w:bottom="1358" w:left="1645" w:header="865" w:footer="1195" w:gutter="0"/>
        </w:sectPr>
      </w:pPr>
    </w:p>
    <w:p>
      <w:pPr>
        <w:spacing w:before="70" w:line="467" w:lineRule="exact"/>
        <w:ind w:left="483"/>
        <w:rPr>
          <w:rFonts w:ascii="宋体" w:hAnsi="宋体" w:eastAsia="宋体" w:cs="宋体"/>
          <w:sz w:val="24"/>
          <w:szCs w:val="24"/>
        </w:rPr>
      </w:pPr>
      <w:r>
        <w:rPr>
          <w:rFonts w:ascii="宋体" w:hAnsi="宋体" w:eastAsia="宋体" w:cs="宋体"/>
          <w:spacing w:val="1"/>
          <w:position w:val="17"/>
          <w:sz w:val="24"/>
          <w:szCs w:val="24"/>
        </w:rPr>
        <w:t>工程建设过程中产生的弃渣量较大的部位主要为大坝、溢洪道、输水管线和施</w:t>
      </w:r>
    </w:p>
    <w:p>
      <w:pPr>
        <w:spacing w:line="233" w:lineRule="auto"/>
        <w:ind w:left="3"/>
        <w:rPr>
          <w:rFonts w:ascii="宋体" w:hAnsi="宋体" w:eastAsia="宋体" w:cs="宋体"/>
          <w:sz w:val="24"/>
          <w:szCs w:val="24"/>
        </w:rPr>
      </w:pPr>
      <w:r>
        <w:rPr>
          <w:rFonts w:ascii="宋体" w:hAnsi="宋体" w:eastAsia="宋体" w:cs="宋体"/>
          <w:spacing w:val="-7"/>
          <w:sz w:val="24"/>
          <w:szCs w:val="24"/>
        </w:rPr>
        <w:t>工导流开挖。弃渣总量为</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95.12</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12"/>
          <w:w w:val="101"/>
          <w:position w:val="8"/>
          <w:sz w:val="15"/>
          <w:szCs w:val="15"/>
        </w:rPr>
        <w:t xml:space="preserve">  </w:t>
      </w:r>
      <w:r>
        <w:rPr>
          <w:rFonts w:ascii="宋体" w:hAnsi="宋体" w:eastAsia="宋体" w:cs="宋体"/>
          <w:spacing w:val="-7"/>
          <w:sz w:val="24"/>
          <w:szCs w:val="24"/>
        </w:rPr>
        <w:t>（自然方）</w:t>
      </w:r>
      <w:r>
        <w:rPr>
          <w:rFonts w:ascii="宋体" w:hAnsi="宋体" w:eastAsia="宋体" w:cs="宋体"/>
          <w:spacing w:val="-8"/>
          <w:sz w:val="24"/>
          <w:szCs w:val="24"/>
        </w:rPr>
        <w:t>。项目弃渣运至规划弃渣场堆存。</w:t>
      </w:r>
    </w:p>
    <w:p>
      <w:pPr>
        <w:spacing w:before="164" w:line="359" w:lineRule="auto"/>
        <w:ind w:right="164" w:firstLine="479"/>
        <w:rPr>
          <w:rFonts w:ascii="宋体" w:hAnsi="宋体" w:eastAsia="宋体" w:cs="宋体"/>
          <w:sz w:val="24"/>
          <w:szCs w:val="24"/>
        </w:rPr>
      </w:pPr>
      <w:r>
        <w:rPr>
          <w:rFonts w:ascii="宋体" w:hAnsi="宋体" w:eastAsia="宋体" w:cs="宋体"/>
          <w:spacing w:val="1"/>
          <w:sz w:val="24"/>
          <w:szCs w:val="24"/>
        </w:rPr>
        <w:t>在工程施工过程中会产生一些建筑垃圾，如碎砖块、废石料、水泥块及混凝土</w:t>
      </w:r>
      <w:r>
        <w:rPr>
          <w:rFonts w:ascii="宋体" w:hAnsi="宋体" w:eastAsia="宋体" w:cs="宋体"/>
          <w:spacing w:val="11"/>
          <w:sz w:val="24"/>
          <w:szCs w:val="24"/>
        </w:rPr>
        <w:t xml:space="preserve"> </w:t>
      </w:r>
      <w:r>
        <w:rPr>
          <w:rFonts w:ascii="宋体" w:hAnsi="宋体" w:eastAsia="宋体" w:cs="宋体"/>
          <w:spacing w:val="1"/>
          <w:sz w:val="24"/>
          <w:szCs w:val="24"/>
        </w:rPr>
        <w:t>残渣等，还有部分废钢筋等建筑垃圾等。对建筑垃圾尽量再利用，不能利用建筑垃</w:t>
      </w:r>
    </w:p>
    <w:p>
      <w:pPr>
        <w:spacing w:line="219" w:lineRule="auto"/>
        <w:ind w:left="1"/>
        <w:rPr>
          <w:rFonts w:ascii="宋体" w:hAnsi="宋体" w:eastAsia="宋体" w:cs="宋体"/>
          <w:sz w:val="24"/>
          <w:szCs w:val="24"/>
        </w:rPr>
      </w:pPr>
      <w:r>
        <w:rPr>
          <w:rFonts w:ascii="宋体" w:hAnsi="宋体" w:eastAsia="宋体" w:cs="宋体"/>
          <w:spacing w:val="-2"/>
          <w:sz w:val="24"/>
          <w:szCs w:val="24"/>
        </w:rPr>
        <w:t>圾运至弃渣场堆放。</w:t>
      </w:r>
    </w:p>
    <w:p>
      <w:pPr>
        <w:spacing w:before="180"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）地下水影响因素</w:t>
      </w:r>
    </w:p>
    <w:p>
      <w:pPr>
        <w:spacing w:before="181" w:line="467" w:lineRule="exact"/>
        <w:ind w:left="480"/>
        <w:rPr>
          <w:rFonts w:ascii="宋体" w:hAnsi="宋体" w:eastAsia="宋体" w:cs="宋体"/>
          <w:sz w:val="24"/>
          <w:szCs w:val="24"/>
        </w:rPr>
      </w:pPr>
      <w:r>
        <w:rPr>
          <w:rFonts w:ascii="宋体" w:hAnsi="宋体" w:eastAsia="宋体" w:cs="宋体"/>
          <w:spacing w:val="1"/>
          <w:position w:val="17"/>
          <w:sz w:val="24"/>
          <w:szCs w:val="24"/>
        </w:rPr>
        <w:t>输水隧洞开挖时会有渗水现象，不可避免地会增加地下水的排量从而影响原有</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水位和排泄量，对地下水水位产生影响。</w:t>
      </w:r>
    </w:p>
    <w:p>
      <w:pPr>
        <w:spacing w:before="181" w:line="467" w:lineRule="exact"/>
        <w:ind w:left="487"/>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7</w:t>
      </w:r>
      <w:r>
        <w:rPr>
          <w:rFonts w:ascii="宋体" w:hAnsi="宋体" w:eastAsia="宋体" w:cs="宋体"/>
          <w:spacing w:val="-2"/>
          <w:position w:val="17"/>
          <w:sz w:val="24"/>
          <w:szCs w:val="24"/>
        </w:rPr>
        <w:t>）生态影响源</w:t>
      </w:r>
    </w:p>
    <w:p>
      <w:pPr>
        <w:spacing w:line="217" w:lineRule="auto"/>
        <w:ind w:left="480"/>
        <w:rPr>
          <w:rFonts w:ascii="宋体" w:hAnsi="宋体" w:eastAsia="宋体" w:cs="宋体"/>
          <w:sz w:val="24"/>
          <w:szCs w:val="24"/>
        </w:rPr>
      </w:pPr>
      <w:r>
        <w:rPr>
          <w:rFonts w:ascii="宋体" w:hAnsi="宋体" w:eastAsia="宋体" w:cs="宋体"/>
          <w:spacing w:val="-2"/>
          <w:sz w:val="24"/>
          <w:szCs w:val="24"/>
        </w:rPr>
        <w:t>①工程占地</w:t>
      </w:r>
    </w:p>
    <w:p>
      <w:pPr>
        <w:spacing w:before="185" w:line="359" w:lineRule="auto"/>
        <w:ind w:left="1" w:right="170" w:firstLine="481"/>
        <w:rPr>
          <w:rFonts w:ascii="宋体" w:hAnsi="宋体" w:eastAsia="宋体" w:cs="宋体"/>
          <w:sz w:val="24"/>
          <w:szCs w:val="24"/>
        </w:rPr>
      </w:pPr>
      <w:r>
        <w:rPr>
          <w:rFonts w:ascii="宋体" w:hAnsi="宋体" w:eastAsia="宋体" w:cs="宋体"/>
          <w:spacing w:val="1"/>
          <w:sz w:val="24"/>
          <w:szCs w:val="24"/>
        </w:rPr>
        <w:t>工程占地分为永久占地和临时占地，工程占地将扰动地表，破坏现有的植被，</w:t>
      </w:r>
      <w:r>
        <w:rPr>
          <w:rFonts w:ascii="宋体" w:hAnsi="宋体" w:eastAsia="宋体" w:cs="宋体"/>
          <w:spacing w:val="3"/>
          <w:sz w:val="24"/>
          <w:szCs w:val="24"/>
        </w:rPr>
        <w:t xml:space="preserve"> </w:t>
      </w:r>
      <w:r>
        <w:rPr>
          <w:rFonts w:ascii="宋体" w:hAnsi="宋体" w:eastAsia="宋体" w:cs="宋体"/>
          <w:spacing w:val="1"/>
          <w:sz w:val="24"/>
          <w:szCs w:val="24"/>
        </w:rPr>
        <w:t>生态影响造成一定量的植物生物量损失；且对周围动物生境及活动区域造成影响，</w:t>
      </w:r>
      <w:r>
        <w:rPr>
          <w:rFonts w:ascii="宋体" w:hAnsi="宋体" w:eastAsia="宋体" w:cs="宋体"/>
          <w:sz w:val="24"/>
          <w:szCs w:val="24"/>
        </w:rPr>
        <w:t xml:space="preserve"> </w:t>
      </w:r>
      <w:r>
        <w:rPr>
          <w:rFonts w:ascii="宋体" w:hAnsi="宋体" w:eastAsia="宋体" w:cs="宋体"/>
          <w:spacing w:val="1"/>
          <w:sz w:val="24"/>
          <w:szCs w:val="24"/>
        </w:rPr>
        <w:t>其中永久占地的影响属于长期的，临时占地的影响属于短暂的，待项目建成后将对</w:t>
      </w:r>
    </w:p>
    <w:p>
      <w:pPr>
        <w:spacing w:line="219" w:lineRule="auto"/>
        <w:ind w:left="14"/>
        <w:rPr>
          <w:rFonts w:ascii="宋体" w:hAnsi="宋体" w:eastAsia="宋体" w:cs="宋体"/>
          <w:sz w:val="24"/>
          <w:szCs w:val="24"/>
        </w:rPr>
      </w:pPr>
      <w:r>
        <w:rPr>
          <w:rFonts w:ascii="宋体" w:hAnsi="宋体" w:eastAsia="宋体" w:cs="宋体"/>
          <w:spacing w:val="-5"/>
          <w:sz w:val="24"/>
          <w:szCs w:val="24"/>
        </w:rPr>
        <w:t>临时占地区域进行植被恢复。</w:t>
      </w:r>
    </w:p>
    <w:p>
      <w:pPr>
        <w:spacing w:before="184" w:line="217" w:lineRule="auto"/>
        <w:ind w:left="479"/>
        <w:rPr>
          <w:rFonts w:ascii="宋体" w:hAnsi="宋体" w:eastAsia="宋体" w:cs="宋体"/>
          <w:sz w:val="24"/>
          <w:szCs w:val="24"/>
        </w:rPr>
      </w:pPr>
      <w:r>
        <w:rPr>
          <w:rFonts w:ascii="宋体" w:hAnsi="宋体" w:eastAsia="宋体" w:cs="宋体"/>
          <w:spacing w:val="-2"/>
          <w:sz w:val="24"/>
          <w:szCs w:val="24"/>
        </w:rPr>
        <w:t>②施工活动</w:t>
      </w:r>
    </w:p>
    <w:p>
      <w:pPr>
        <w:spacing w:before="184" w:line="359" w:lineRule="auto"/>
        <w:ind w:right="163" w:firstLine="480"/>
        <w:rPr>
          <w:rFonts w:ascii="宋体" w:hAnsi="宋体" w:eastAsia="宋体" w:cs="宋体"/>
          <w:sz w:val="24"/>
          <w:szCs w:val="24"/>
        </w:rPr>
      </w:pPr>
      <w:r>
        <w:rPr>
          <w:rFonts w:ascii="宋体" w:hAnsi="宋体" w:eastAsia="宋体" w:cs="宋体"/>
          <w:sz w:val="24"/>
          <w:szCs w:val="24"/>
        </w:rPr>
        <w:t>施工队伍进驻施工场地带来的人类活动频繁，以及各类施工活动产生的噪声、</w:t>
      </w:r>
      <w:r>
        <w:rPr>
          <w:rFonts w:ascii="宋体" w:hAnsi="宋体" w:eastAsia="宋体" w:cs="宋体"/>
          <w:spacing w:val="10"/>
          <w:sz w:val="24"/>
          <w:szCs w:val="24"/>
        </w:rPr>
        <w:t xml:space="preserve"> </w:t>
      </w:r>
      <w:r>
        <w:rPr>
          <w:rFonts w:ascii="宋体" w:hAnsi="宋体" w:eastAsia="宋体" w:cs="宋体"/>
          <w:spacing w:val="1"/>
          <w:sz w:val="24"/>
          <w:szCs w:val="24"/>
        </w:rPr>
        <w:t>扬尘、废气等，都将对施工区及其附近的野生动物产生惊吓和干扰，使该区域动物</w:t>
      </w:r>
    </w:p>
    <w:p>
      <w:pPr>
        <w:spacing w:before="1" w:line="219" w:lineRule="auto"/>
        <w:ind w:left="20"/>
        <w:rPr>
          <w:rFonts w:ascii="宋体" w:hAnsi="宋体" w:eastAsia="宋体" w:cs="宋体"/>
          <w:sz w:val="24"/>
          <w:szCs w:val="24"/>
        </w:rPr>
      </w:pPr>
      <w:r>
        <w:rPr>
          <w:rFonts w:ascii="宋体" w:hAnsi="宋体" w:eastAsia="宋体" w:cs="宋体"/>
          <w:spacing w:val="-7"/>
          <w:sz w:val="24"/>
          <w:szCs w:val="24"/>
        </w:rPr>
        <w:t>的栖息适宜度降低。</w:t>
      </w:r>
    </w:p>
    <w:p>
      <w:pPr>
        <w:spacing w:line="395" w:lineRule="auto"/>
        <w:rPr>
          <w:rFonts w:ascii="Arial"/>
          <w:sz w:val="21"/>
        </w:rPr>
      </w:pPr>
    </w:p>
    <w:p>
      <w:pPr>
        <w:pStyle w:val="2"/>
        <w:spacing w:before="78" w:line="218" w:lineRule="auto"/>
        <w:ind w:left="222"/>
        <w:outlineLvl w:val="2"/>
        <w:rPr>
          <w:sz w:val="24"/>
          <w:szCs w:val="24"/>
        </w:rPr>
      </w:pPr>
      <w:r>
        <w:rPr>
          <w:rFonts w:ascii="Times New Roman" w:hAnsi="Times New Roman" w:eastAsia="Times New Roman" w:cs="Times New Roman"/>
          <w:b/>
          <w:bCs/>
          <w:sz w:val="24"/>
          <w:szCs w:val="24"/>
        </w:rPr>
        <w:t xml:space="preserve">2.4.6 </w:t>
      </w:r>
      <w:r>
        <w:rPr>
          <w:sz w:val="24"/>
          <w:szCs w:val="24"/>
          <w14:textOutline w14:w="4354" w14:cap="flat" w14:cmpd="sng">
            <w14:solidFill>
              <w14:srgbClr w14:val="000000"/>
            </w14:solidFill>
            <w14:prstDash w14:val="solid"/>
            <w14:round/>
          </w14:textOutline>
        </w:rPr>
        <w:t>运营期污染源分析</w:t>
      </w:r>
    </w:p>
    <w:p>
      <w:pPr>
        <w:spacing w:before="182" w:line="220" w:lineRule="auto"/>
        <w:ind w:left="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）水库初期蓄水</w:t>
      </w:r>
    </w:p>
    <w:p>
      <w:pPr>
        <w:spacing w:before="181" w:line="219" w:lineRule="auto"/>
        <w:ind w:left="481"/>
        <w:rPr>
          <w:rFonts w:ascii="宋体" w:hAnsi="宋体" w:eastAsia="宋体" w:cs="宋体"/>
          <w:sz w:val="24"/>
          <w:szCs w:val="24"/>
        </w:rPr>
      </w:pPr>
      <w:r>
        <w:rPr>
          <w:rFonts w:ascii="宋体" w:hAnsi="宋体" w:eastAsia="宋体" w:cs="宋体"/>
          <w:spacing w:val="-2"/>
          <w:sz w:val="24"/>
          <w:szCs w:val="24"/>
        </w:rPr>
        <w:t>本工程拟定第</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月初导流洞下闸，下闸标准为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年一遇的月平均流量。</w:t>
      </w:r>
    </w:p>
    <w:p>
      <w:pPr>
        <w:spacing w:before="184" w:line="359" w:lineRule="auto"/>
        <w:ind w:right="160" w:firstLine="480"/>
        <w:rPr>
          <w:rFonts w:ascii="宋体" w:hAnsi="宋体" w:eastAsia="宋体" w:cs="宋体"/>
          <w:sz w:val="24"/>
          <w:szCs w:val="24"/>
        </w:rPr>
      </w:pPr>
      <w:r>
        <w:rPr>
          <w:rFonts w:ascii="宋体" w:hAnsi="宋体" w:eastAsia="宋体" w:cs="宋体"/>
          <w:spacing w:val="-10"/>
          <w:sz w:val="24"/>
          <w:szCs w:val="24"/>
        </w:rPr>
        <w:t>初期蓄水分为两个阶段，</w:t>
      </w:r>
      <w:r>
        <w:rPr>
          <w:rFonts w:ascii="宋体" w:hAnsi="宋体" w:eastAsia="宋体" w:cs="宋体"/>
          <w:spacing w:val="-11"/>
          <w:sz w:val="24"/>
          <w:szCs w:val="24"/>
        </w:rPr>
        <w:t xml:space="preserve"> </w:t>
      </w:r>
      <w:r>
        <w:rPr>
          <w:rFonts w:ascii="宋体" w:hAnsi="宋体" w:eastAsia="宋体" w:cs="宋体"/>
          <w:spacing w:val="-10"/>
          <w:sz w:val="24"/>
          <w:szCs w:val="24"/>
        </w:rPr>
        <w:t>一阶段是封闭导流隧洞，至水库开始发挥效益的时段，</w:t>
      </w:r>
      <w:r>
        <w:rPr>
          <w:rFonts w:ascii="宋体" w:hAnsi="宋体" w:eastAsia="宋体" w:cs="宋体"/>
          <w:sz w:val="24"/>
          <w:szCs w:val="24"/>
        </w:rPr>
        <w:t xml:space="preserve"> </w:t>
      </w:r>
      <w:r>
        <w:rPr>
          <w:rFonts w:ascii="宋体" w:hAnsi="宋体" w:eastAsia="宋体" w:cs="宋体"/>
          <w:spacing w:val="-7"/>
          <w:sz w:val="24"/>
          <w:szCs w:val="24"/>
        </w:rPr>
        <w:t>即水库开始蓄水（</w:t>
      </w:r>
      <w:r>
        <w:rPr>
          <w:rFonts w:ascii="Times New Roman" w:hAnsi="Times New Roman" w:eastAsia="Times New Roman" w:cs="Times New Roman"/>
          <w:spacing w:val="-7"/>
          <w:sz w:val="24"/>
          <w:szCs w:val="24"/>
        </w:rPr>
        <w:t>2019.5m</w:t>
      </w:r>
      <w:r>
        <w:rPr>
          <w:rFonts w:ascii="宋体" w:hAnsi="宋体" w:eastAsia="宋体" w:cs="宋体"/>
          <w:spacing w:val="-7"/>
          <w:sz w:val="24"/>
          <w:szCs w:val="24"/>
        </w:rPr>
        <w:t>）到至死水位（</w:t>
      </w:r>
      <w:r>
        <w:rPr>
          <w:rFonts w:ascii="Times New Roman" w:hAnsi="Times New Roman" w:eastAsia="Times New Roman" w:cs="Times New Roman"/>
          <w:spacing w:val="-7"/>
          <w:sz w:val="24"/>
          <w:szCs w:val="24"/>
        </w:rPr>
        <w:t>2058.8m</w:t>
      </w:r>
      <w:r>
        <w:rPr>
          <w:rFonts w:ascii="宋体" w:hAnsi="宋体" w:eastAsia="宋体" w:cs="宋体"/>
          <w:spacing w:val="-7"/>
          <w:sz w:val="24"/>
          <w:szCs w:val="24"/>
        </w:rPr>
        <w:t>）部分；</w:t>
      </w:r>
      <w:r>
        <w:rPr>
          <w:rFonts w:ascii="宋体" w:hAnsi="宋体" w:eastAsia="宋体" w:cs="宋体"/>
          <w:spacing w:val="-14"/>
          <w:sz w:val="24"/>
          <w:szCs w:val="24"/>
        </w:rPr>
        <w:t xml:space="preserve"> </w:t>
      </w:r>
      <w:r>
        <w:rPr>
          <w:rFonts w:ascii="宋体" w:hAnsi="宋体" w:eastAsia="宋体" w:cs="宋体"/>
          <w:spacing w:val="-7"/>
          <w:sz w:val="24"/>
          <w:szCs w:val="24"/>
        </w:rPr>
        <w:t>另一阶段是由水库开始发</w:t>
      </w:r>
      <w:r>
        <w:rPr>
          <w:rFonts w:ascii="宋体" w:hAnsi="宋体" w:eastAsia="宋体" w:cs="宋体"/>
          <w:sz w:val="24"/>
          <w:szCs w:val="24"/>
        </w:rPr>
        <w:t xml:space="preserve"> </w:t>
      </w:r>
      <w:r>
        <w:rPr>
          <w:rFonts w:ascii="宋体" w:hAnsi="宋体" w:eastAsia="宋体" w:cs="宋体"/>
          <w:spacing w:val="4"/>
          <w:sz w:val="24"/>
          <w:szCs w:val="24"/>
        </w:rPr>
        <w:t>挥效益至正常运行时段，即水库由死水位（</w:t>
      </w:r>
      <w:r>
        <w:rPr>
          <w:rFonts w:ascii="Times New Roman" w:hAnsi="Times New Roman" w:eastAsia="Times New Roman" w:cs="Times New Roman"/>
          <w:spacing w:val="4"/>
          <w:sz w:val="24"/>
          <w:szCs w:val="24"/>
        </w:rPr>
        <w:t>2058.8m</w:t>
      </w:r>
      <w:r>
        <w:rPr>
          <w:rFonts w:ascii="宋体" w:hAnsi="宋体" w:eastAsia="宋体" w:cs="宋体"/>
          <w:spacing w:val="4"/>
          <w:sz w:val="24"/>
          <w:szCs w:val="24"/>
        </w:rPr>
        <w:t>）向上蓄水至达到正常蓄水位</w:t>
      </w:r>
      <w:r>
        <w:rPr>
          <w:rFonts w:ascii="宋体" w:hAnsi="宋体" w:eastAsia="宋体" w:cs="宋体"/>
          <w:spacing w:val="7"/>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2094.15m</w:t>
      </w:r>
      <w:r>
        <w:rPr>
          <w:rFonts w:ascii="宋体" w:hAnsi="宋体" w:eastAsia="宋体" w:cs="宋体"/>
          <w:spacing w:val="-5"/>
          <w:sz w:val="24"/>
          <w:szCs w:val="24"/>
        </w:rPr>
        <w:t>）时段。在此期间， 不下泄生态流量将会导致坝下</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 xml:space="preserve">1.63km </w:t>
      </w:r>
      <w:r>
        <w:rPr>
          <w:rFonts w:ascii="宋体" w:hAnsi="宋体" w:eastAsia="宋体" w:cs="宋体"/>
          <w:spacing w:val="-6"/>
          <w:sz w:val="24"/>
          <w:szCs w:val="24"/>
        </w:rPr>
        <w:t>河段（至罗子</w:t>
      </w:r>
    </w:p>
    <w:p>
      <w:pPr>
        <w:spacing w:before="1" w:line="219" w:lineRule="auto"/>
        <w:ind w:left="2"/>
        <w:rPr>
          <w:rFonts w:ascii="宋体" w:hAnsi="宋体" w:eastAsia="宋体" w:cs="宋体"/>
          <w:sz w:val="24"/>
          <w:szCs w:val="24"/>
        </w:rPr>
      </w:pPr>
      <w:r>
        <w:rPr>
          <w:rFonts w:ascii="宋体" w:hAnsi="宋体" w:eastAsia="宋体" w:cs="宋体"/>
          <w:spacing w:val="-3"/>
          <w:sz w:val="24"/>
          <w:szCs w:val="24"/>
        </w:rPr>
        <w:t>左河汇入口）产生脱水影响。</w:t>
      </w:r>
    </w:p>
    <w:p>
      <w:pPr>
        <w:spacing w:before="182" w:line="359" w:lineRule="auto"/>
        <w:ind w:left="3" w:right="90" w:firstLine="480"/>
        <w:rPr>
          <w:rFonts w:ascii="宋体" w:hAnsi="宋体" w:eastAsia="宋体" w:cs="宋体"/>
          <w:sz w:val="24"/>
          <w:szCs w:val="24"/>
        </w:rPr>
      </w:pPr>
      <w:r>
        <w:rPr>
          <w:rFonts w:ascii="宋体" w:hAnsi="宋体" w:eastAsia="宋体" w:cs="宋体"/>
          <w:spacing w:val="-5"/>
          <w:sz w:val="24"/>
          <w:szCs w:val="24"/>
        </w:rPr>
        <w:t>从水库开始蓄水（</w:t>
      </w:r>
      <w:r>
        <w:rPr>
          <w:rFonts w:ascii="Times New Roman" w:hAnsi="Times New Roman" w:eastAsia="Times New Roman" w:cs="Times New Roman"/>
          <w:spacing w:val="-5"/>
          <w:sz w:val="24"/>
          <w:szCs w:val="24"/>
        </w:rPr>
        <w:t>2019.5m</w:t>
      </w:r>
      <w:r>
        <w:rPr>
          <w:rFonts w:ascii="宋体" w:hAnsi="宋体" w:eastAsia="宋体" w:cs="宋体"/>
          <w:spacing w:val="-5"/>
          <w:sz w:val="24"/>
          <w:szCs w:val="24"/>
        </w:rPr>
        <w:t>）至导流输水放空隧洞进口底板高程（</w:t>
      </w:r>
      <w:r>
        <w:rPr>
          <w:rFonts w:ascii="Times New Roman" w:hAnsi="Times New Roman" w:eastAsia="Times New Roman" w:cs="Times New Roman"/>
          <w:spacing w:val="-5"/>
          <w:sz w:val="24"/>
          <w:szCs w:val="24"/>
        </w:rPr>
        <w:t>2058.8m</w:t>
      </w:r>
      <w:r>
        <w:rPr>
          <w:rFonts w:ascii="宋体" w:hAnsi="宋体" w:eastAsia="宋体" w:cs="宋体"/>
          <w:spacing w:val="-5"/>
          <w:sz w:val="24"/>
          <w:szCs w:val="24"/>
        </w:rPr>
        <w:t>，死库</w:t>
      </w:r>
      <w:r>
        <w:rPr>
          <w:rFonts w:ascii="宋体" w:hAnsi="宋体" w:eastAsia="宋体" w:cs="宋体"/>
          <w:spacing w:val="5"/>
          <w:sz w:val="24"/>
          <w:szCs w:val="24"/>
        </w:rPr>
        <w:t xml:space="preserve"> </w:t>
      </w:r>
      <w:r>
        <w:rPr>
          <w:rFonts w:ascii="宋体" w:hAnsi="宋体" w:eastAsia="宋体" w:cs="宋体"/>
          <w:spacing w:val="-2"/>
          <w:sz w:val="24"/>
          <w:szCs w:val="24"/>
        </w:rPr>
        <w:t xml:space="preserve">容 </w:t>
      </w:r>
      <w:r>
        <w:rPr>
          <w:rFonts w:ascii="Times New Roman" w:hAnsi="Times New Roman" w:eastAsia="Times New Roman" w:cs="Times New Roman"/>
          <w:spacing w:val="-2"/>
          <w:sz w:val="24"/>
          <w:szCs w:val="24"/>
        </w:rPr>
        <w:t>152.7</w:t>
      </w:r>
      <w:r>
        <w:rPr>
          <w:rFonts w:ascii="Times New Roman" w:hAnsi="Times New Roman" w:eastAsia="Times New Roman" w:cs="Times New Roman"/>
          <w:spacing w:val="40"/>
          <w:sz w:val="24"/>
          <w:szCs w:val="24"/>
        </w:rPr>
        <w:t xml:space="preserve"> </w:t>
      </w:r>
      <w:r>
        <w:rPr>
          <w:rFonts w:ascii="宋体" w:hAnsi="宋体" w:eastAsia="宋体" w:cs="宋体"/>
          <w:spacing w:val="-2"/>
          <w:sz w:val="24"/>
          <w:szCs w:val="24"/>
        </w:rPr>
        <w:t>万</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宋体" w:hAnsi="宋体" w:eastAsia="宋体" w:cs="宋体"/>
          <w:spacing w:val="-59"/>
          <w:w w:val="93"/>
          <w:sz w:val="24"/>
          <w:szCs w:val="24"/>
        </w:rPr>
        <w:t>），</w:t>
      </w:r>
      <w:r>
        <w:rPr>
          <w:rFonts w:ascii="宋体" w:hAnsi="宋体" w:eastAsia="宋体" w:cs="宋体"/>
          <w:spacing w:val="-2"/>
          <w:sz w:val="24"/>
          <w:szCs w:val="24"/>
        </w:rPr>
        <w:t>所需蓄水时间为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36d</w:t>
      </w:r>
      <w:r>
        <w:rPr>
          <w:rFonts w:ascii="宋体" w:hAnsi="宋体" w:eastAsia="宋体" w:cs="宋体"/>
          <w:spacing w:val="-2"/>
          <w:sz w:val="24"/>
          <w:szCs w:val="24"/>
        </w:rPr>
        <w:t>（考虑罗子左河取水坝取水，取水系数</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0.6</w:t>
      </w:r>
      <w:r>
        <w:rPr>
          <w:rFonts w:ascii="宋体" w:hAnsi="宋体" w:eastAsia="宋体" w:cs="宋体"/>
          <w:spacing w:val="-59"/>
          <w:w w:val="93"/>
          <w:sz w:val="24"/>
          <w:szCs w:val="24"/>
        </w:rPr>
        <w:t>），</w:t>
      </w:r>
      <w:r>
        <w:rPr>
          <w:rFonts w:ascii="宋体" w:hAnsi="宋体" w:eastAsia="宋体" w:cs="宋体"/>
          <w:sz w:val="24"/>
          <w:szCs w:val="24"/>
        </w:rPr>
        <w:t xml:space="preserve"> </w:t>
      </w:r>
      <w:r>
        <w:rPr>
          <w:rFonts w:ascii="宋体" w:hAnsi="宋体" w:eastAsia="宋体" w:cs="宋体"/>
          <w:spacing w:val="-3"/>
          <w:sz w:val="24"/>
          <w:szCs w:val="24"/>
        </w:rPr>
        <w:t>蓄水至正常蓄水位</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2094.15m</w:t>
      </w:r>
      <w:r>
        <w:rPr>
          <w:rFonts w:ascii="宋体" w:hAnsi="宋体" w:eastAsia="宋体" w:cs="宋体"/>
          <w:spacing w:val="-3"/>
          <w:sz w:val="24"/>
          <w:szCs w:val="24"/>
        </w:rPr>
        <w:t>（正常蓄水库容</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1067.2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）所需时间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98</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天（考虑罗</w:t>
      </w:r>
    </w:p>
    <w:p>
      <w:pPr>
        <w:spacing w:line="219" w:lineRule="auto"/>
        <w:ind w:left="1"/>
        <w:rPr>
          <w:rFonts w:ascii="宋体" w:hAnsi="宋体" w:eastAsia="宋体" w:cs="宋体"/>
          <w:sz w:val="24"/>
          <w:szCs w:val="24"/>
        </w:rPr>
      </w:pPr>
      <w:r>
        <w:rPr>
          <w:rFonts w:ascii="宋体" w:hAnsi="宋体" w:eastAsia="宋体" w:cs="宋体"/>
          <w:spacing w:val="-6"/>
          <w:sz w:val="24"/>
          <w:szCs w:val="24"/>
        </w:rPr>
        <w:t>子左河取水坝</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6~10</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月取水，取水系数</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0.6</w:t>
      </w:r>
      <w:r>
        <w:rPr>
          <w:rFonts w:ascii="宋体" w:hAnsi="宋体" w:eastAsia="宋体" w:cs="宋体"/>
          <w:spacing w:val="-6"/>
          <w:sz w:val="24"/>
          <w:szCs w:val="24"/>
        </w:rPr>
        <w:t>）。</w:t>
      </w:r>
    </w:p>
    <w:p>
      <w:pPr>
        <w:spacing w:line="219" w:lineRule="auto"/>
        <w:rPr>
          <w:rFonts w:ascii="宋体" w:hAnsi="宋体" w:eastAsia="宋体" w:cs="宋体"/>
          <w:sz w:val="24"/>
          <w:szCs w:val="24"/>
        </w:rPr>
        <w:sectPr>
          <w:headerReference r:id="rId154" w:type="default"/>
          <w:footerReference r:id="rId155" w:type="default"/>
          <w:pgSz w:w="11920" w:h="16840"/>
          <w:pgMar w:top="1066" w:right="1398" w:bottom="1358" w:left="1668" w:header="865" w:footer="1195" w:gutter="0"/>
        </w:sectPr>
      </w:pPr>
    </w:p>
    <w:p>
      <w:pPr>
        <w:spacing w:before="71" w:line="359" w:lineRule="auto"/>
        <w:ind w:right="160" w:firstLine="480"/>
        <w:rPr>
          <w:rFonts w:ascii="宋体" w:hAnsi="宋体" w:eastAsia="宋体" w:cs="宋体"/>
          <w:sz w:val="24"/>
          <w:szCs w:val="24"/>
        </w:rPr>
      </w:pPr>
      <w:r>
        <w:rPr>
          <w:rFonts w:ascii="宋体" w:hAnsi="宋体" w:eastAsia="宋体" w:cs="宋体"/>
          <w:spacing w:val="-6"/>
          <w:sz w:val="24"/>
          <w:szCs w:val="24"/>
        </w:rPr>
        <w:t>初期蓄水时导流隧洞封闭，</w:t>
      </w:r>
      <w:r>
        <w:rPr>
          <w:rFonts w:ascii="宋体" w:hAnsi="宋体" w:eastAsia="宋体" w:cs="宋体"/>
          <w:spacing w:val="44"/>
          <w:sz w:val="24"/>
          <w:szCs w:val="24"/>
        </w:rPr>
        <w:t xml:space="preserve"> </w:t>
      </w:r>
      <w:r>
        <w:rPr>
          <w:rFonts w:ascii="宋体" w:hAnsi="宋体" w:eastAsia="宋体" w:cs="宋体"/>
          <w:spacing w:val="-6"/>
          <w:sz w:val="24"/>
          <w:szCs w:val="24"/>
        </w:rPr>
        <w:t>由导流输水放空隧洞预埋的</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 xml:space="preserve">DN325 </w:t>
      </w:r>
      <w:r>
        <w:rPr>
          <w:rFonts w:ascii="宋体" w:hAnsi="宋体" w:eastAsia="宋体" w:cs="宋体"/>
          <w:spacing w:val="-6"/>
          <w:sz w:val="24"/>
          <w:szCs w:val="24"/>
        </w:rPr>
        <w:t>钢管下泄</w:t>
      </w:r>
      <w:r>
        <w:rPr>
          <w:rFonts w:ascii="宋体" w:hAnsi="宋体" w:eastAsia="宋体" w:cs="宋体"/>
          <w:spacing w:val="-7"/>
          <w:sz w:val="24"/>
          <w:szCs w:val="24"/>
        </w:rPr>
        <w:t>生态流</w:t>
      </w:r>
      <w:r>
        <w:rPr>
          <w:rFonts w:ascii="宋体" w:hAnsi="宋体" w:eastAsia="宋体" w:cs="宋体"/>
          <w:sz w:val="24"/>
          <w:szCs w:val="24"/>
        </w:rPr>
        <w:t xml:space="preserve"> </w:t>
      </w:r>
      <w:r>
        <w:rPr>
          <w:rFonts w:ascii="宋体" w:hAnsi="宋体" w:eastAsia="宋体" w:cs="宋体"/>
          <w:spacing w:val="1"/>
          <w:sz w:val="24"/>
          <w:szCs w:val="24"/>
        </w:rPr>
        <w:t>量。初期蓄水至死水位期间无法通过导流输水放空隧洞直接取水，须采用临时供水</w:t>
      </w:r>
      <w:r>
        <w:rPr>
          <w:rFonts w:ascii="宋体" w:hAnsi="宋体" w:eastAsia="宋体" w:cs="宋体"/>
          <w:spacing w:val="13"/>
          <w:sz w:val="24"/>
          <w:szCs w:val="24"/>
        </w:rPr>
        <w:t xml:space="preserve"> </w:t>
      </w:r>
      <w:r>
        <w:rPr>
          <w:rFonts w:ascii="宋体" w:hAnsi="宋体" w:eastAsia="宋体" w:cs="宋体"/>
          <w:spacing w:val="1"/>
          <w:sz w:val="24"/>
          <w:szCs w:val="24"/>
        </w:rPr>
        <w:t>水泵抽水至生态下泄管道。蓄水期间处于汛期，下泄水量只考虑坝下至罗子左河汇</w:t>
      </w:r>
      <w:r>
        <w:rPr>
          <w:rFonts w:ascii="宋体" w:hAnsi="宋体" w:eastAsia="宋体" w:cs="宋体"/>
          <w:spacing w:val="13"/>
          <w:sz w:val="24"/>
          <w:szCs w:val="24"/>
        </w:rPr>
        <w:t xml:space="preserve"> </w:t>
      </w:r>
      <w:r>
        <w:rPr>
          <w:rFonts w:ascii="宋体" w:hAnsi="宋体" w:eastAsia="宋体" w:cs="宋体"/>
          <w:spacing w:val="-7"/>
          <w:sz w:val="24"/>
          <w:szCs w:val="24"/>
        </w:rPr>
        <w:t>入口之间生态用水量（</w:t>
      </w:r>
      <w:r>
        <w:rPr>
          <w:rFonts w:ascii="Times New Roman" w:hAnsi="Times New Roman" w:eastAsia="Times New Roman" w:cs="Times New Roman"/>
          <w:spacing w:val="-7"/>
          <w:sz w:val="24"/>
          <w:szCs w:val="24"/>
        </w:rPr>
        <w:t>0.074m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4"/>
          <w:szCs w:val="24"/>
        </w:rPr>
        <w:t>/s</w:t>
      </w:r>
      <w:r>
        <w:rPr>
          <w:rFonts w:ascii="宋体" w:hAnsi="宋体" w:eastAsia="宋体" w:cs="宋体"/>
          <w:spacing w:val="-47"/>
          <w:sz w:val="24"/>
          <w:szCs w:val="24"/>
        </w:rPr>
        <w:t>），</w:t>
      </w:r>
      <w:r>
        <w:rPr>
          <w:rFonts w:ascii="宋体" w:hAnsi="宋体" w:eastAsia="宋体" w:cs="宋体"/>
          <w:spacing w:val="-7"/>
          <w:sz w:val="24"/>
          <w:szCs w:val="24"/>
        </w:rPr>
        <w:t>因此供水水泵设置</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7"/>
          <w:sz w:val="24"/>
          <w:szCs w:val="24"/>
        </w:rPr>
        <w:t>台，</w:t>
      </w:r>
      <w:r>
        <w:rPr>
          <w:rFonts w:ascii="宋体" w:hAnsi="宋体" w:eastAsia="宋体" w:cs="宋体"/>
          <w:spacing w:val="-52"/>
          <w:sz w:val="24"/>
          <w:szCs w:val="24"/>
        </w:rPr>
        <w:t xml:space="preserve"> </w:t>
      </w:r>
      <w:r>
        <w:rPr>
          <w:rFonts w:ascii="宋体" w:hAnsi="宋体" w:eastAsia="宋体" w:cs="宋体"/>
          <w:spacing w:val="-7"/>
          <w:sz w:val="24"/>
          <w:szCs w:val="24"/>
        </w:rPr>
        <w:t>一备一用，</w:t>
      </w:r>
      <w:r>
        <w:rPr>
          <w:rFonts w:ascii="宋体" w:hAnsi="宋体" w:eastAsia="宋体" w:cs="宋体"/>
          <w:spacing w:val="-39"/>
          <w:sz w:val="24"/>
          <w:szCs w:val="24"/>
        </w:rPr>
        <w:t xml:space="preserve"> </w:t>
      </w:r>
      <w:r>
        <w:rPr>
          <w:rFonts w:ascii="宋体" w:hAnsi="宋体" w:eastAsia="宋体" w:cs="宋体"/>
          <w:spacing w:val="-7"/>
          <w:sz w:val="24"/>
          <w:szCs w:val="24"/>
        </w:rPr>
        <w:t>水量不得小</w:t>
      </w:r>
    </w:p>
    <w:p>
      <w:pPr>
        <w:spacing w:before="1" w:line="215" w:lineRule="auto"/>
        <w:ind w:left="4"/>
        <w:rPr>
          <w:rFonts w:ascii="宋体" w:hAnsi="宋体" w:eastAsia="宋体" w:cs="宋体"/>
          <w:sz w:val="24"/>
          <w:szCs w:val="24"/>
        </w:rPr>
      </w:pPr>
      <w:r>
        <w:rPr>
          <w:rFonts w:ascii="宋体" w:hAnsi="宋体" w:eastAsia="宋体" w:cs="宋体"/>
          <w:spacing w:val="-1"/>
          <w:sz w:val="24"/>
          <w:szCs w:val="24"/>
        </w:rPr>
        <w:t>于下游用水量，即</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Q</w:t>
      </w:r>
      <w:r>
        <w:rPr>
          <w:rFonts w:ascii="宋体" w:hAnsi="宋体" w:eastAsia="宋体" w:cs="宋体"/>
          <w:spacing w:val="-1"/>
          <w:sz w:val="24"/>
          <w:szCs w:val="24"/>
        </w:rPr>
        <w:t>≥</w:t>
      </w:r>
      <w:r>
        <w:rPr>
          <w:rFonts w:ascii="Times New Roman" w:hAnsi="Times New Roman" w:eastAsia="Times New Roman" w:cs="Times New Roman"/>
          <w:spacing w:val="-1"/>
          <w:sz w:val="24"/>
          <w:szCs w:val="24"/>
        </w:rPr>
        <w:t>0.074m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pPr>
        <w:spacing w:before="186" w:line="359" w:lineRule="auto"/>
        <w:ind w:left="3" w:right="158" w:firstLine="480"/>
        <w:rPr>
          <w:rFonts w:ascii="宋体" w:hAnsi="宋体" w:eastAsia="宋体" w:cs="宋体"/>
          <w:sz w:val="24"/>
          <w:szCs w:val="24"/>
        </w:rPr>
      </w:pPr>
      <w:r>
        <w:rPr>
          <w:rFonts w:ascii="宋体" w:hAnsi="宋体" w:eastAsia="宋体" w:cs="宋体"/>
          <w:spacing w:val="1"/>
          <w:sz w:val="24"/>
          <w:szCs w:val="24"/>
        </w:rPr>
        <w:t>水库下闸蓄水后，仅通过生态放流管下泄生态流量，较天然河道相比，导流输</w:t>
      </w:r>
      <w:r>
        <w:rPr>
          <w:rFonts w:ascii="宋体" w:hAnsi="宋体" w:eastAsia="宋体" w:cs="宋体"/>
          <w:spacing w:val="15"/>
          <w:sz w:val="24"/>
          <w:szCs w:val="24"/>
        </w:rPr>
        <w:t xml:space="preserve"> </w:t>
      </w:r>
      <w:r>
        <w:rPr>
          <w:rFonts w:ascii="宋体" w:hAnsi="宋体" w:eastAsia="宋体" w:cs="宋体"/>
          <w:spacing w:val="-9"/>
          <w:sz w:val="24"/>
          <w:szCs w:val="24"/>
        </w:rPr>
        <w:t>水放空隧洞出口至汇入下游河道的水量、水深、水位、流速、流量</w:t>
      </w:r>
      <w:r>
        <w:rPr>
          <w:rFonts w:ascii="宋体" w:hAnsi="宋体" w:eastAsia="宋体" w:cs="宋体"/>
          <w:spacing w:val="-10"/>
          <w:sz w:val="24"/>
          <w:szCs w:val="24"/>
        </w:rPr>
        <w:t>等将发生变化，</w:t>
      </w:r>
      <w:r>
        <w:rPr>
          <w:rFonts w:ascii="宋体" w:hAnsi="宋体" w:eastAsia="宋体" w:cs="宋体"/>
          <w:spacing w:val="28"/>
          <w:sz w:val="24"/>
          <w:szCs w:val="24"/>
        </w:rPr>
        <w:t xml:space="preserve"> </w:t>
      </w:r>
      <w:r>
        <w:rPr>
          <w:rFonts w:ascii="宋体" w:hAnsi="宋体" w:eastAsia="宋体" w:cs="宋体"/>
          <w:spacing w:val="-10"/>
          <w:sz w:val="24"/>
          <w:szCs w:val="24"/>
        </w:rPr>
        <w:t>形</w:t>
      </w:r>
    </w:p>
    <w:p>
      <w:pPr>
        <w:spacing w:line="219" w:lineRule="auto"/>
        <w:ind w:left="2"/>
        <w:rPr>
          <w:rFonts w:ascii="宋体" w:hAnsi="宋体" w:eastAsia="宋体" w:cs="宋体"/>
          <w:sz w:val="24"/>
          <w:szCs w:val="24"/>
        </w:rPr>
      </w:pPr>
      <w:r>
        <w:rPr>
          <w:rFonts w:ascii="宋体" w:hAnsi="宋体" w:eastAsia="宋体" w:cs="宋体"/>
          <w:spacing w:val="-6"/>
          <w:sz w:val="24"/>
          <w:szCs w:val="24"/>
        </w:rPr>
        <w:t>成</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 xml:space="preserve">30.61km </w:t>
      </w:r>
      <w:r>
        <w:rPr>
          <w:rFonts w:ascii="宋体" w:hAnsi="宋体" w:eastAsia="宋体" w:cs="宋体"/>
          <w:spacing w:val="-6"/>
          <w:sz w:val="24"/>
          <w:szCs w:val="24"/>
        </w:rPr>
        <w:t>减水河道（含罗子左河）。</w:t>
      </w:r>
    </w:p>
    <w:p>
      <w:pPr>
        <w:spacing w:before="180"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）水库库区运行期水文情势</w:t>
      </w:r>
    </w:p>
    <w:p>
      <w:pPr>
        <w:spacing w:before="181" w:line="359" w:lineRule="auto"/>
        <w:ind w:right="160" w:firstLine="481"/>
        <w:rPr>
          <w:rFonts w:ascii="宋体" w:hAnsi="宋体" w:eastAsia="宋体" w:cs="宋体"/>
          <w:sz w:val="24"/>
          <w:szCs w:val="24"/>
        </w:rPr>
      </w:pPr>
      <w:r>
        <w:rPr>
          <w:rFonts w:ascii="宋体" w:hAnsi="宋体" w:eastAsia="宋体" w:cs="宋体"/>
          <w:spacing w:val="-14"/>
          <w:sz w:val="24"/>
          <w:szCs w:val="24"/>
        </w:rPr>
        <w:t>桂花水库库区形成后，</w:t>
      </w:r>
      <w:r>
        <w:rPr>
          <w:rFonts w:ascii="宋体" w:hAnsi="宋体" w:eastAsia="宋体" w:cs="宋体"/>
          <w:spacing w:val="-29"/>
          <w:sz w:val="24"/>
          <w:szCs w:val="24"/>
        </w:rPr>
        <w:t xml:space="preserve"> </w:t>
      </w:r>
      <w:r>
        <w:rPr>
          <w:rFonts w:ascii="宋体" w:hAnsi="宋体" w:eastAsia="宋体" w:cs="宋体"/>
          <w:spacing w:val="-14"/>
          <w:sz w:val="24"/>
          <w:szCs w:val="24"/>
        </w:rPr>
        <w:t>库区水面扩大，水深增加，</w:t>
      </w:r>
      <w:r>
        <w:rPr>
          <w:rFonts w:ascii="宋体" w:hAnsi="宋体" w:eastAsia="宋体" w:cs="宋体"/>
          <w:spacing w:val="-69"/>
          <w:sz w:val="24"/>
          <w:szCs w:val="24"/>
        </w:rPr>
        <w:t xml:space="preserve"> </w:t>
      </w:r>
      <w:r>
        <w:rPr>
          <w:rFonts w:ascii="宋体" w:hAnsi="宋体" w:eastAsia="宋体" w:cs="宋体"/>
          <w:spacing w:val="-14"/>
          <w:sz w:val="24"/>
          <w:szCs w:val="24"/>
        </w:rPr>
        <w:t>库内流速将明显变缓；</w:t>
      </w:r>
      <w:r>
        <w:rPr>
          <w:rFonts w:ascii="宋体" w:hAnsi="宋体" w:eastAsia="宋体" w:cs="宋体"/>
          <w:spacing w:val="35"/>
          <w:sz w:val="24"/>
          <w:szCs w:val="24"/>
        </w:rPr>
        <w:t xml:space="preserve"> </w:t>
      </w:r>
      <w:r>
        <w:rPr>
          <w:rFonts w:ascii="宋体" w:hAnsi="宋体" w:eastAsia="宋体" w:cs="宋体"/>
          <w:spacing w:val="-14"/>
          <w:sz w:val="24"/>
          <w:szCs w:val="24"/>
        </w:rPr>
        <w:t>当正常</w:t>
      </w:r>
      <w:r>
        <w:rPr>
          <w:rFonts w:ascii="宋体" w:hAnsi="宋体" w:eastAsia="宋体" w:cs="宋体"/>
          <w:sz w:val="24"/>
          <w:szCs w:val="24"/>
        </w:rPr>
        <w:t xml:space="preserve"> </w:t>
      </w:r>
      <w:r>
        <w:rPr>
          <w:rFonts w:ascii="宋体" w:hAnsi="宋体" w:eastAsia="宋体" w:cs="宋体"/>
          <w:spacing w:val="-8"/>
          <w:sz w:val="24"/>
          <w:szCs w:val="24"/>
        </w:rPr>
        <w:t>蓄水位</w:t>
      </w:r>
      <w:r>
        <w:rPr>
          <w:rFonts w:ascii="宋体" w:hAnsi="宋体" w:eastAsia="宋体" w:cs="宋体"/>
          <w:spacing w:val="-39"/>
          <w:sz w:val="24"/>
          <w:szCs w:val="24"/>
        </w:rPr>
        <w:t xml:space="preserve"> </w:t>
      </w:r>
      <w:r>
        <w:rPr>
          <w:rFonts w:ascii="Times New Roman" w:hAnsi="Times New Roman" w:eastAsia="Times New Roman" w:cs="Times New Roman"/>
          <w:spacing w:val="-8"/>
          <w:sz w:val="24"/>
          <w:szCs w:val="24"/>
        </w:rPr>
        <w:t>2094.15m</w:t>
      </w:r>
      <w:r>
        <w:rPr>
          <w:rFonts w:ascii="Times New Roman" w:hAnsi="Times New Roman" w:eastAsia="Times New Roman" w:cs="Times New Roman"/>
          <w:spacing w:val="21"/>
          <w:w w:val="101"/>
          <w:sz w:val="24"/>
          <w:szCs w:val="24"/>
        </w:rPr>
        <w:t xml:space="preserve"> </w:t>
      </w:r>
      <w:r>
        <w:rPr>
          <w:rFonts w:ascii="宋体" w:hAnsi="宋体" w:eastAsia="宋体" w:cs="宋体"/>
          <w:spacing w:val="-8"/>
          <w:sz w:val="24"/>
          <w:szCs w:val="24"/>
        </w:rPr>
        <w:t>时，</w:t>
      </w:r>
      <w:r>
        <w:rPr>
          <w:rFonts w:ascii="宋体" w:hAnsi="宋体" w:eastAsia="宋体" w:cs="宋体"/>
          <w:spacing w:val="-68"/>
          <w:sz w:val="24"/>
          <w:szCs w:val="24"/>
        </w:rPr>
        <w:t xml:space="preserve"> </w:t>
      </w:r>
      <w:r>
        <w:rPr>
          <w:rFonts w:ascii="宋体" w:hAnsi="宋体" w:eastAsia="宋体" w:cs="宋体"/>
          <w:spacing w:val="-8"/>
          <w:sz w:val="24"/>
          <w:szCs w:val="24"/>
        </w:rPr>
        <w:t>库区水面面积相对于天然河道明显增加，</w:t>
      </w:r>
      <w:r>
        <w:rPr>
          <w:rFonts w:ascii="宋体" w:hAnsi="宋体" w:eastAsia="宋体" w:cs="宋体"/>
          <w:spacing w:val="28"/>
          <w:sz w:val="24"/>
          <w:szCs w:val="24"/>
        </w:rPr>
        <w:t xml:space="preserve"> </w:t>
      </w:r>
      <w:r>
        <w:rPr>
          <w:rFonts w:ascii="宋体" w:hAnsi="宋体" w:eastAsia="宋体" w:cs="宋体"/>
          <w:spacing w:val="-8"/>
          <w:sz w:val="24"/>
          <w:szCs w:val="24"/>
        </w:rPr>
        <w:t>库区滞洪能力明显增</w:t>
      </w:r>
      <w:r>
        <w:rPr>
          <w:rFonts w:ascii="宋体" w:hAnsi="宋体" w:eastAsia="宋体" w:cs="宋体"/>
          <w:sz w:val="24"/>
          <w:szCs w:val="24"/>
        </w:rPr>
        <w:t xml:space="preserve"> </w:t>
      </w:r>
      <w:r>
        <w:rPr>
          <w:rFonts w:ascii="宋体" w:hAnsi="宋体" w:eastAsia="宋体" w:cs="宋体"/>
          <w:spacing w:val="-6"/>
          <w:sz w:val="24"/>
          <w:szCs w:val="24"/>
        </w:rPr>
        <w:t>强；</w:t>
      </w:r>
      <w:r>
        <w:rPr>
          <w:rFonts w:ascii="宋体" w:hAnsi="宋体" w:eastAsia="宋体" w:cs="宋体"/>
          <w:spacing w:val="-62"/>
          <w:sz w:val="24"/>
          <w:szCs w:val="24"/>
        </w:rPr>
        <w:t xml:space="preserve"> </w:t>
      </w:r>
      <w:r>
        <w:rPr>
          <w:rFonts w:ascii="宋体" w:hAnsi="宋体" w:eastAsia="宋体" w:cs="宋体"/>
          <w:spacing w:val="-6"/>
          <w:sz w:val="24"/>
          <w:szCs w:val="24"/>
        </w:rPr>
        <w:t>水库调度运行时水位在正常蓄水位</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2094.15m</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与死水</w:t>
      </w:r>
      <w:r>
        <w:rPr>
          <w:rFonts w:ascii="宋体" w:hAnsi="宋体" w:eastAsia="宋体" w:cs="宋体"/>
          <w:spacing w:val="-7"/>
          <w:sz w:val="24"/>
          <w:szCs w:val="24"/>
        </w:rPr>
        <w:t>位</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2058.8m </w:t>
      </w:r>
      <w:r>
        <w:rPr>
          <w:rFonts w:ascii="宋体" w:hAnsi="宋体" w:eastAsia="宋体" w:cs="宋体"/>
          <w:spacing w:val="-7"/>
          <w:sz w:val="24"/>
          <w:szCs w:val="24"/>
        </w:rPr>
        <w:t>之间变化， 水位</w:t>
      </w:r>
      <w:r>
        <w:rPr>
          <w:rFonts w:ascii="宋体" w:hAnsi="宋体" w:eastAsia="宋体" w:cs="宋体"/>
          <w:sz w:val="24"/>
          <w:szCs w:val="24"/>
        </w:rPr>
        <w:t xml:space="preserve"> </w:t>
      </w:r>
      <w:r>
        <w:rPr>
          <w:rFonts w:ascii="宋体" w:hAnsi="宋体" w:eastAsia="宋体" w:cs="宋体"/>
          <w:spacing w:val="-2"/>
          <w:sz w:val="24"/>
          <w:szCs w:val="24"/>
        </w:rPr>
        <w:t>变幅</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35.35m</w:t>
      </w:r>
      <w:r>
        <w:rPr>
          <w:rFonts w:ascii="宋体" w:hAnsi="宋体" w:eastAsia="宋体" w:cs="宋体"/>
          <w:spacing w:val="-2"/>
          <w:sz w:val="24"/>
          <w:szCs w:val="24"/>
        </w:rPr>
        <w:t>；桂花水库库区回水段</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3.88k</w:t>
      </w:r>
      <w:r>
        <w:rPr>
          <w:rFonts w:ascii="Times New Roman" w:hAnsi="Times New Roman" w:eastAsia="Times New Roman" w:cs="Times New Roman"/>
          <w:spacing w:val="-3"/>
          <w:sz w:val="24"/>
          <w:szCs w:val="24"/>
        </w:rPr>
        <w:t>m</w:t>
      </w:r>
      <w:r>
        <w:rPr>
          <w:rFonts w:ascii="宋体" w:hAnsi="宋体" w:eastAsia="宋体" w:cs="宋体"/>
          <w:spacing w:val="-3"/>
          <w:sz w:val="24"/>
          <w:szCs w:val="24"/>
        </w:rPr>
        <w:t>，水库水位、水流速度、水面面积均产生</w:t>
      </w:r>
    </w:p>
    <w:p>
      <w:pPr>
        <w:spacing w:before="2" w:line="220" w:lineRule="auto"/>
        <w:rPr>
          <w:rFonts w:ascii="宋体" w:hAnsi="宋体" w:eastAsia="宋体" w:cs="宋体"/>
          <w:sz w:val="24"/>
          <w:szCs w:val="24"/>
        </w:rPr>
      </w:pPr>
      <w:r>
        <w:rPr>
          <w:rFonts w:ascii="宋体" w:hAnsi="宋体" w:eastAsia="宋体" w:cs="宋体"/>
          <w:spacing w:val="-7"/>
          <w:sz w:val="24"/>
          <w:szCs w:val="24"/>
        </w:rPr>
        <w:t>相应变化。</w:t>
      </w:r>
    </w:p>
    <w:p>
      <w:pPr>
        <w:spacing w:before="181" w:line="217" w:lineRule="auto"/>
        <w:ind w:left="480"/>
        <w:rPr>
          <w:rFonts w:ascii="宋体" w:hAnsi="宋体" w:eastAsia="宋体" w:cs="宋体"/>
          <w:sz w:val="24"/>
          <w:szCs w:val="24"/>
        </w:rPr>
      </w:pPr>
      <w:r>
        <w:rPr>
          <w:rFonts w:ascii="宋体" w:hAnsi="宋体" w:eastAsia="宋体" w:cs="宋体"/>
          <w:spacing w:val="-1"/>
          <w:sz w:val="24"/>
          <w:szCs w:val="24"/>
        </w:rPr>
        <w:t>①对泥沙情势的分析</w:t>
      </w:r>
    </w:p>
    <w:p>
      <w:pPr>
        <w:spacing w:before="184" w:line="233" w:lineRule="auto"/>
        <w:ind w:left="482"/>
        <w:rPr>
          <w:rFonts w:ascii="宋体" w:hAnsi="宋体" w:eastAsia="宋体" w:cs="宋体"/>
          <w:sz w:val="24"/>
          <w:szCs w:val="24"/>
        </w:rPr>
      </w:pPr>
      <w:r>
        <w:rPr>
          <w:rFonts w:ascii="宋体" w:hAnsi="宋体" w:eastAsia="宋体" w:cs="宋体"/>
          <w:spacing w:val="-2"/>
          <w:sz w:val="24"/>
          <w:szCs w:val="24"/>
        </w:rPr>
        <w:t>桂花水库本区多年平均泥沙量（推移质）为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1.83</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，引水区引入的泥沙量</w:t>
      </w:r>
    </w:p>
    <w:p>
      <w:pPr>
        <w:spacing w:before="165" w:line="366" w:lineRule="auto"/>
        <w:ind w:left="3" w:right="236" w:firstLine="3"/>
        <w:rPr>
          <w:rFonts w:ascii="宋体" w:hAnsi="宋体" w:eastAsia="宋体" w:cs="宋体"/>
          <w:sz w:val="24"/>
          <w:szCs w:val="24"/>
        </w:rPr>
      </w:pPr>
      <w:r>
        <w:rPr>
          <w:rFonts w:ascii="宋体" w:hAnsi="宋体" w:eastAsia="宋体" w:cs="宋体"/>
          <w:sz w:val="24"/>
          <w:szCs w:val="24"/>
        </w:rPr>
        <w:t>（推移质）为</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0.85</w:t>
      </w:r>
      <w:r>
        <w:rPr>
          <w:rFonts w:ascii="Times New Roman" w:hAnsi="Times New Roman" w:eastAsia="Times New Roman" w:cs="Times New Roman"/>
          <w:spacing w:val="15"/>
          <w:sz w:val="24"/>
          <w:szCs w:val="24"/>
        </w:rPr>
        <w:t xml:space="preserve"> </w:t>
      </w:r>
      <w:r>
        <w:rPr>
          <w:rFonts w:ascii="宋体" w:hAnsi="宋体" w:eastAsia="宋体" w:cs="宋体"/>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t</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，合计</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2.68</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，推移质取</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1.7t/m</w:t>
      </w:r>
      <w:r>
        <w:rPr>
          <w:rFonts w:ascii="宋体" w:hAnsi="宋体" w:eastAsia="宋体" w:cs="宋体"/>
          <w:spacing w:val="-1"/>
          <w:sz w:val="24"/>
          <w:szCs w:val="24"/>
        </w:rPr>
        <w:t>³,则桂花水库年入库泥沙</w:t>
      </w:r>
      <w:r>
        <w:rPr>
          <w:rFonts w:ascii="宋体" w:hAnsi="宋体" w:eastAsia="宋体" w:cs="宋体"/>
          <w:sz w:val="24"/>
          <w:szCs w:val="24"/>
        </w:rPr>
        <w:t xml:space="preserve"> </w:t>
      </w:r>
      <w:r>
        <w:rPr>
          <w:rFonts w:ascii="宋体" w:hAnsi="宋体" w:eastAsia="宋体" w:cs="宋体"/>
          <w:spacing w:val="-5"/>
          <w:sz w:val="24"/>
          <w:szCs w:val="24"/>
        </w:rPr>
        <w:t>总量为</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1.58</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m³</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。水库运行</w:t>
      </w:r>
      <w:r>
        <w:rPr>
          <w:rFonts w:ascii="Times New Roman" w:hAnsi="Times New Roman" w:eastAsia="Times New Roman" w:cs="Times New Roman"/>
          <w:spacing w:val="-5"/>
          <w:sz w:val="24"/>
          <w:szCs w:val="24"/>
        </w:rPr>
        <w:t xml:space="preserve">50 </w:t>
      </w:r>
      <w:r>
        <w:rPr>
          <w:rFonts w:ascii="宋体" w:hAnsi="宋体" w:eastAsia="宋体" w:cs="宋体"/>
          <w:spacing w:val="-5"/>
          <w:sz w:val="24"/>
          <w:szCs w:val="24"/>
        </w:rPr>
        <w:t>年后</w:t>
      </w:r>
      <w:r>
        <w:rPr>
          <w:rFonts w:ascii="宋体" w:hAnsi="宋体" w:eastAsia="宋体" w:cs="宋体"/>
          <w:spacing w:val="-6"/>
          <w:sz w:val="24"/>
          <w:szCs w:val="24"/>
        </w:rPr>
        <w:t>，淤积库容</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79</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万</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11"/>
          <w:sz w:val="15"/>
          <w:szCs w:val="15"/>
        </w:rPr>
        <w:t>3</w:t>
      </w:r>
      <w:r>
        <w:rPr>
          <w:rFonts w:ascii="宋体" w:hAnsi="宋体" w:eastAsia="宋体" w:cs="宋体"/>
          <w:spacing w:val="-6"/>
          <w:sz w:val="24"/>
          <w:szCs w:val="24"/>
        </w:rPr>
        <w:t>，低于死库容，水库在设计</w:t>
      </w:r>
    </w:p>
    <w:p>
      <w:pPr>
        <w:spacing w:before="1" w:line="219" w:lineRule="auto"/>
        <w:rPr>
          <w:rFonts w:ascii="宋体" w:hAnsi="宋体" w:eastAsia="宋体" w:cs="宋体"/>
          <w:sz w:val="24"/>
          <w:szCs w:val="24"/>
        </w:rPr>
      </w:pPr>
      <w:r>
        <w:rPr>
          <w:rFonts w:ascii="宋体" w:hAnsi="宋体" w:eastAsia="宋体" w:cs="宋体"/>
          <w:spacing w:val="-4"/>
          <w:sz w:val="24"/>
          <w:szCs w:val="24"/>
        </w:rPr>
        <w:t>运行期内不存在淤塞风险。</w:t>
      </w:r>
    </w:p>
    <w:p>
      <w:pPr>
        <w:spacing w:before="183" w:line="359" w:lineRule="auto"/>
        <w:ind w:left="3" w:right="167" w:firstLine="480"/>
        <w:rPr>
          <w:rFonts w:ascii="宋体" w:hAnsi="宋体" w:eastAsia="宋体" w:cs="宋体"/>
          <w:sz w:val="24"/>
          <w:szCs w:val="24"/>
        </w:rPr>
      </w:pPr>
      <w:r>
        <w:rPr>
          <w:rFonts w:ascii="宋体" w:hAnsi="宋体" w:eastAsia="宋体" w:cs="宋体"/>
          <w:sz w:val="24"/>
          <w:szCs w:val="24"/>
        </w:rPr>
        <w:t>水库建成运行后，推移质移动过程将发生变化，</w:t>
      </w:r>
      <w:r>
        <w:rPr>
          <w:rFonts w:ascii="宋体" w:hAnsi="宋体" w:eastAsia="宋体" w:cs="宋体"/>
          <w:spacing w:val="-1"/>
          <w:sz w:val="24"/>
          <w:szCs w:val="24"/>
        </w:rPr>
        <w:t>大量泥沙将沉积在库区，下泄</w:t>
      </w:r>
      <w:r>
        <w:rPr>
          <w:rFonts w:ascii="宋体" w:hAnsi="宋体" w:eastAsia="宋体" w:cs="宋体"/>
          <w:sz w:val="24"/>
          <w:szCs w:val="24"/>
        </w:rPr>
        <w:t xml:space="preserve"> </w:t>
      </w:r>
      <w:r>
        <w:rPr>
          <w:rFonts w:ascii="宋体" w:hAnsi="宋体" w:eastAsia="宋体" w:cs="宋体"/>
          <w:spacing w:val="-5"/>
          <w:sz w:val="24"/>
          <w:szCs w:val="24"/>
        </w:rPr>
        <w:t>水含沙量大大降低。水库出水泥沙会明显减少，对</w:t>
      </w:r>
      <w:r>
        <w:rPr>
          <w:rFonts w:ascii="宋体" w:hAnsi="宋体" w:eastAsia="宋体" w:cs="宋体"/>
          <w:spacing w:val="-6"/>
          <w:sz w:val="24"/>
          <w:szCs w:val="24"/>
        </w:rPr>
        <w:t>水质改善是有利的，这种影响要持</w:t>
      </w:r>
    </w:p>
    <w:p>
      <w:pPr>
        <w:spacing w:before="1" w:line="218" w:lineRule="auto"/>
        <w:ind w:left="3"/>
        <w:rPr>
          <w:rFonts w:ascii="宋体" w:hAnsi="宋体" w:eastAsia="宋体" w:cs="宋体"/>
          <w:sz w:val="24"/>
          <w:szCs w:val="24"/>
        </w:rPr>
      </w:pPr>
      <w:r>
        <w:rPr>
          <w:rFonts w:ascii="宋体" w:hAnsi="宋体" w:eastAsia="宋体" w:cs="宋体"/>
          <w:spacing w:val="-6"/>
          <w:sz w:val="24"/>
          <w:szCs w:val="24"/>
        </w:rPr>
        <w:t>续较长一段时间， 直到水库淤积库容淤满后才会消除其影响。</w:t>
      </w:r>
    </w:p>
    <w:p>
      <w:pPr>
        <w:spacing w:before="182" w:line="217" w:lineRule="auto"/>
        <w:ind w:left="479"/>
        <w:rPr>
          <w:rFonts w:ascii="宋体" w:hAnsi="宋体" w:eastAsia="宋体" w:cs="宋体"/>
          <w:sz w:val="24"/>
          <w:szCs w:val="24"/>
        </w:rPr>
      </w:pPr>
      <w:r>
        <w:rPr>
          <w:rFonts w:ascii="宋体" w:hAnsi="宋体" w:eastAsia="宋体" w:cs="宋体"/>
          <w:spacing w:val="-1"/>
          <w:sz w:val="24"/>
          <w:szCs w:val="24"/>
        </w:rPr>
        <w:t>②水库库区水文情势</w:t>
      </w:r>
    </w:p>
    <w:p>
      <w:pPr>
        <w:spacing w:before="185" w:line="359" w:lineRule="auto"/>
        <w:ind w:left="3" w:right="358" w:firstLine="479"/>
        <w:rPr>
          <w:rFonts w:ascii="宋体" w:hAnsi="宋体" w:eastAsia="宋体" w:cs="宋体"/>
          <w:sz w:val="24"/>
          <w:szCs w:val="24"/>
        </w:rPr>
      </w:pPr>
      <w:r>
        <w:rPr>
          <w:rFonts w:ascii="宋体" w:hAnsi="宋体" w:eastAsia="宋体" w:cs="宋体"/>
          <w:spacing w:val="-1"/>
          <w:sz w:val="24"/>
          <w:szCs w:val="24"/>
        </w:rPr>
        <w:t>桂花水库正常蓄水位</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2094.15m</w:t>
      </w:r>
      <w:r>
        <w:rPr>
          <w:rFonts w:ascii="宋体" w:hAnsi="宋体" w:eastAsia="宋体" w:cs="宋体"/>
          <w:spacing w:val="-1"/>
          <w:sz w:val="24"/>
          <w:szCs w:val="24"/>
        </w:rPr>
        <w:t>，死水位</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2058.8m</w:t>
      </w:r>
      <w:r>
        <w:rPr>
          <w:rFonts w:ascii="宋体" w:hAnsi="宋体" w:eastAsia="宋体" w:cs="宋体"/>
          <w:spacing w:val="-1"/>
          <w:sz w:val="24"/>
          <w:szCs w:val="24"/>
        </w:rPr>
        <w:t>，设计洪水位</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2096.21m</w:t>
      </w:r>
      <w:r>
        <w:rPr>
          <w:rFonts w:ascii="宋体" w:hAnsi="宋体" w:eastAsia="宋体" w:cs="宋体"/>
          <w:spacing w:val="-2"/>
          <w:sz w:val="24"/>
          <w:szCs w:val="24"/>
        </w:rPr>
        <w:t>，校</w:t>
      </w:r>
      <w:r>
        <w:rPr>
          <w:rFonts w:ascii="宋体" w:hAnsi="宋体" w:eastAsia="宋体" w:cs="宋体"/>
          <w:sz w:val="24"/>
          <w:szCs w:val="24"/>
        </w:rPr>
        <w:t xml:space="preserve"> </w:t>
      </w:r>
      <w:r>
        <w:rPr>
          <w:rFonts w:ascii="宋体" w:hAnsi="宋体" w:eastAsia="宋体" w:cs="宋体"/>
          <w:spacing w:val="-4"/>
          <w:sz w:val="24"/>
          <w:szCs w:val="24"/>
        </w:rPr>
        <w:t>核洪水位</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2097.09m</w:t>
      </w:r>
      <w:r>
        <w:rPr>
          <w:rFonts w:ascii="宋体" w:hAnsi="宋体" w:eastAsia="宋体" w:cs="宋体"/>
          <w:spacing w:val="-4"/>
          <w:sz w:val="24"/>
          <w:szCs w:val="24"/>
        </w:rPr>
        <w:t xml:space="preserve">，总库容 </w:t>
      </w:r>
      <w:r>
        <w:rPr>
          <w:rFonts w:ascii="Times New Roman" w:hAnsi="Times New Roman" w:eastAsia="Times New Roman" w:cs="Times New Roman"/>
          <w:spacing w:val="-4"/>
          <w:sz w:val="24"/>
          <w:szCs w:val="24"/>
        </w:rPr>
        <w:t>1192.70</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2"/>
          <w:position w:val="8"/>
          <w:sz w:val="15"/>
          <w:szCs w:val="15"/>
        </w:rPr>
        <w:t xml:space="preserve"> </w:t>
      </w:r>
      <w:r>
        <w:rPr>
          <w:rFonts w:ascii="宋体" w:hAnsi="宋体" w:eastAsia="宋体" w:cs="宋体"/>
          <w:spacing w:val="-4"/>
          <w:sz w:val="24"/>
          <w:szCs w:val="24"/>
        </w:rPr>
        <w:t>，兴利库容</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914.5</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5"/>
          <w:sz w:val="24"/>
          <w:szCs w:val="24"/>
        </w:rPr>
        <w:t>，水库年供水量</w:t>
      </w:r>
    </w:p>
    <w:p>
      <w:pPr>
        <w:spacing w:line="233" w:lineRule="auto"/>
        <w:ind w:left="19"/>
        <w:rPr>
          <w:rFonts w:ascii="宋体" w:hAnsi="宋体" w:eastAsia="宋体" w:cs="宋体"/>
          <w:sz w:val="24"/>
          <w:szCs w:val="24"/>
        </w:rPr>
      </w:pPr>
      <w:r>
        <w:rPr>
          <w:rFonts w:ascii="Times New Roman" w:hAnsi="Times New Roman" w:eastAsia="Times New Roman" w:cs="Times New Roman"/>
          <w:spacing w:val="-4"/>
          <w:sz w:val="24"/>
          <w:szCs w:val="24"/>
        </w:rPr>
        <w:t>1942.2</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万</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，水库属年调节水库。</w:t>
      </w:r>
    </w:p>
    <w:p>
      <w:pPr>
        <w:spacing w:before="165" w:line="233" w:lineRule="auto"/>
        <w:ind w:left="480"/>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2"/>
          <w:sz w:val="24"/>
          <w:szCs w:val="24"/>
        </w:rPr>
        <w:t>水位</w:t>
      </w:r>
    </w:p>
    <w:p>
      <w:pPr>
        <w:spacing w:before="163" w:line="359" w:lineRule="auto"/>
        <w:ind w:left="3" w:right="266" w:firstLine="481"/>
        <w:rPr>
          <w:rFonts w:ascii="宋体" w:hAnsi="宋体" w:eastAsia="宋体" w:cs="宋体"/>
          <w:sz w:val="24"/>
          <w:szCs w:val="24"/>
        </w:rPr>
      </w:pPr>
      <w:r>
        <w:rPr>
          <w:rFonts w:ascii="宋体" w:hAnsi="宋体" w:eastAsia="宋体" w:cs="宋体"/>
          <w:spacing w:val="-10"/>
          <w:sz w:val="24"/>
          <w:szCs w:val="24"/>
        </w:rPr>
        <w:t>天然情况下，</w:t>
      </w:r>
      <w:r>
        <w:rPr>
          <w:rFonts w:ascii="宋体" w:hAnsi="宋体" w:eastAsia="宋体" w:cs="宋体"/>
          <w:spacing w:val="63"/>
          <w:sz w:val="24"/>
          <w:szCs w:val="24"/>
        </w:rPr>
        <w:t xml:space="preserve"> </w:t>
      </w:r>
      <w:r>
        <w:rPr>
          <w:rFonts w:ascii="宋体" w:hAnsi="宋体" w:eastAsia="宋体" w:cs="宋体"/>
          <w:spacing w:val="-10"/>
          <w:sz w:val="24"/>
          <w:szCs w:val="24"/>
        </w:rPr>
        <w:t>桂花河河流水深均小于</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1.0m</w:t>
      </w:r>
      <w:r>
        <w:rPr>
          <w:rFonts w:ascii="宋体" w:hAnsi="宋体" w:eastAsia="宋体" w:cs="宋体"/>
          <w:spacing w:val="-10"/>
          <w:sz w:val="24"/>
          <w:szCs w:val="24"/>
        </w:rPr>
        <w:t>，河道水位</w:t>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2019.5m</w:t>
      </w:r>
      <w:r>
        <w:rPr>
          <w:rFonts w:ascii="宋体" w:hAnsi="宋体" w:eastAsia="宋体" w:cs="宋体"/>
          <w:spacing w:val="-10"/>
          <w:sz w:val="24"/>
          <w:szCs w:val="24"/>
        </w:rPr>
        <w:t xml:space="preserve">（坝前水位）。 </w:t>
      </w:r>
      <w:r>
        <w:rPr>
          <w:rFonts w:ascii="宋体" w:hAnsi="宋体" w:eastAsia="宋体" w:cs="宋体"/>
          <w:spacing w:val="-6"/>
          <w:sz w:val="24"/>
          <w:szCs w:val="24"/>
        </w:rPr>
        <w:t>水库建成后，</w:t>
      </w:r>
      <w:r>
        <w:rPr>
          <w:rFonts w:ascii="宋体" w:hAnsi="宋体" w:eastAsia="宋体" w:cs="宋体"/>
          <w:spacing w:val="62"/>
          <w:sz w:val="24"/>
          <w:szCs w:val="24"/>
        </w:rPr>
        <w:t xml:space="preserve"> </w:t>
      </w:r>
      <w:r>
        <w:rPr>
          <w:rFonts w:ascii="宋体" w:hAnsi="宋体" w:eastAsia="宋体" w:cs="宋体"/>
          <w:spacing w:val="-6"/>
          <w:sz w:val="24"/>
          <w:szCs w:val="24"/>
        </w:rPr>
        <w:t>库区水位上升，正常蓄水位</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2094.15m</w:t>
      </w:r>
      <w:r>
        <w:rPr>
          <w:rFonts w:ascii="Times New Roman" w:hAnsi="Times New Roman" w:eastAsia="Times New Roman" w:cs="Times New Roman"/>
          <w:spacing w:val="22"/>
          <w:sz w:val="24"/>
          <w:szCs w:val="24"/>
        </w:rPr>
        <w:t xml:space="preserve"> </w:t>
      </w:r>
      <w:r>
        <w:rPr>
          <w:rFonts w:ascii="宋体" w:hAnsi="宋体" w:eastAsia="宋体" w:cs="宋体"/>
          <w:spacing w:val="-6"/>
          <w:sz w:val="24"/>
          <w:szCs w:val="24"/>
        </w:rPr>
        <w:t>时坝前水位上升</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74.65</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，死水</w:t>
      </w:r>
    </w:p>
    <w:p>
      <w:pPr>
        <w:spacing w:before="1" w:line="233" w:lineRule="auto"/>
        <w:rPr>
          <w:rFonts w:ascii="宋体" w:hAnsi="宋体" w:eastAsia="宋体" w:cs="宋体"/>
          <w:sz w:val="24"/>
          <w:szCs w:val="24"/>
        </w:rPr>
      </w:pPr>
      <w:r>
        <w:rPr>
          <w:rFonts w:ascii="宋体" w:hAnsi="宋体" w:eastAsia="宋体" w:cs="宋体"/>
          <w:spacing w:val="-3"/>
          <w:sz w:val="24"/>
          <w:szCs w:val="24"/>
        </w:rPr>
        <w:t>位</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2058.8m</w:t>
      </w:r>
      <w:r>
        <w:rPr>
          <w:rFonts w:ascii="Times New Roman" w:hAnsi="Times New Roman" w:eastAsia="Times New Roman" w:cs="Times New Roman"/>
          <w:spacing w:val="21"/>
          <w:w w:val="101"/>
          <w:sz w:val="24"/>
          <w:szCs w:val="24"/>
        </w:rPr>
        <w:t xml:space="preserve"> </w:t>
      </w:r>
      <w:r>
        <w:rPr>
          <w:rFonts w:ascii="宋体" w:hAnsi="宋体" w:eastAsia="宋体" w:cs="宋体"/>
          <w:spacing w:val="-3"/>
          <w:sz w:val="24"/>
          <w:szCs w:val="24"/>
        </w:rPr>
        <w:t>时坝前水位上升</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39.3m</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。坝前水位壅高</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39.3~74.65m</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。桂花水库运行</w:t>
      </w:r>
    </w:p>
    <w:p>
      <w:pPr>
        <w:spacing w:line="233" w:lineRule="auto"/>
        <w:rPr>
          <w:rFonts w:ascii="宋体" w:hAnsi="宋体" w:eastAsia="宋体" w:cs="宋体"/>
          <w:sz w:val="24"/>
          <w:szCs w:val="24"/>
        </w:rPr>
        <w:sectPr>
          <w:footerReference r:id="rId156" w:type="default"/>
          <w:pgSz w:w="11920" w:h="16840"/>
          <w:pgMar w:top="1066" w:right="1398" w:bottom="1358" w:left="1668" w:header="865" w:footer="1195" w:gutter="0"/>
        </w:sectPr>
      </w:pPr>
    </w:p>
    <w:p>
      <w:pPr>
        <w:spacing w:before="70" w:line="467" w:lineRule="exact"/>
        <w:ind w:left="3"/>
        <w:rPr>
          <w:rFonts w:ascii="Times New Roman" w:hAnsi="Times New Roman" w:eastAsia="Times New Roman" w:cs="Times New Roman"/>
          <w:sz w:val="24"/>
          <w:szCs w:val="24"/>
        </w:rPr>
      </w:pPr>
      <w:r>
        <w:rPr>
          <w:rFonts w:ascii="宋体" w:hAnsi="宋体" w:eastAsia="宋体" w:cs="宋体"/>
          <w:spacing w:val="-2"/>
          <w:position w:val="16"/>
          <w:sz w:val="24"/>
          <w:szCs w:val="24"/>
        </w:rPr>
        <w:t>期，年内水库水位将随入库流量及出库流量的变化而变化，</w:t>
      </w:r>
      <w:r>
        <w:rPr>
          <w:rFonts w:ascii="宋体" w:hAnsi="宋体" w:eastAsia="宋体" w:cs="宋体"/>
          <w:spacing w:val="-3"/>
          <w:position w:val="16"/>
          <w:sz w:val="24"/>
          <w:szCs w:val="24"/>
        </w:rPr>
        <w:t xml:space="preserve">总体变化趋势为 </w:t>
      </w:r>
      <w:r>
        <w:rPr>
          <w:rFonts w:ascii="Times New Roman" w:hAnsi="Times New Roman" w:eastAsia="Times New Roman" w:cs="Times New Roman"/>
          <w:spacing w:val="-3"/>
          <w:position w:val="16"/>
          <w:sz w:val="24"/>
          <w:szCs w:val="24"/>
        </w:rPr>
        <w:t>12</w:t>
      </w:r>
      <w:r>
        <w:rPr>
          <w:rFonts w:ascii="Times New Roman" w:hAnsi="Times New Roman" w:eastAsia="Times New Roman" w:cs="Times New Roman"/>
          <w:spacing w:val="15"/>
          <w:position w:val="16"/>
          <w:sz w:val="24"/>
          <w:szCs w:val="24"/>
        </w:rPr>
        <w:t xml:space="preserve"> </w:t>
      </w:r>
      <w:r>
        <w:rPr>
          <w:rFonts w:ascii="宋体" w:hAnsi="宋体" w:eastAsia="宋体" w:cs="宋体"/>
          <w:spacing w:val="-3"/>
          <w:position w:val="16"/>
          <w:sz w:val="24"/>
          <w:szCs w:val="24"/>
        </w:rPr>
        <w:t>月</w:t>
      </w:r>
      <w:r>
        <w:rPr>
          <w:rFonts w:ascii="Times New Roman" w:hAnsi="Times New Roman" w:eastAsia="Times New Roman" w:cs="Times New Roman"/>
          <w:spacing w:val="-3"/>
          <w:position w:val="16"/>
          <w:sz w:val="24"/>
          <w:szCs w:val="24"/>
        </w:rPr>
        <w:t>~</w:t>
      </w:r>
    </w:p>
    <w:p>
      <w:pPr>
        <w:spacing w:line="219" w:lineRule="auto"/>
        <w:ind w:left="7"/>
        <w:rPr>
          <w:rFonts w:ascii="宋体" w:hAnsi="宋体" w:eastAsia="宋体" w:cs="宋体"/>
          <w:sz w:val="24"/>
          <w:szCs w:val="24"/>
        </w:rPr>
      </w:pPr>
      <w:r>
        <w:rPr>
          <w:rFonts w:ascii="宋体" w:hAnsi="宋体" w:eastAsia="宋体" w:cs="宋体"/>
          <w:spacing w:val="-3"/>
          <w:sz w:val="24"/>
          <w:szCs w:val="24"/>
        </w:rPr>
        <w:t>次年</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月水位逐渐降低，降至最低后又缓慢上升，汛期</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月开始水位迅速上升，</w:t>
      </w:r>
    </w:p>
    <w:p>
      <w:pPr>
        <w:spacing w:before="181" w:line="233" w:lineRule="auto"/>
        <w:rPr>
          <w:rFonts w:ascii="宋体" w:hAnsi="宋体" w:eastAsia="宋体" w:cs="宋体"/>
          <w:sz w:val="24"/>
          <w:szCs w:val="24"/>
        </w:rPr>
      </w:pPr>
      <w:r>
        <w:rPr>
          <w:rFonts w:ascii="Times New Roman" w:hAnsi="Times New Roman" w:eastAsia="Times New Roman" w:cs="Times New Roman"/>
          <w:spacing w:val="-10"/>
          <w:sz w:val="24"/>
          <w:szCs w:val="24"/>
        </w:rPr>
        <w:t>7~9</w:t>
      </w:r>
      <w:r>
        <w:rPr>
          <w:rFonts w:ascii="Times New Roman" w:hAnsi="Times New Roman" w:eastAsia="Times New Roman" w:cs="Times New Roman"/>
          <w:spacing w:val="24"/>
          <w:sz w:val="24"/>
          <w:szCs w:val="24"/>
        </w:rPr>
        <w:t xml:space="preserve"> </w:t>
      </w:r>
      <w:r>
        <w:rPr>
          <w:rFonts w:ascii="宋体" w:hAnsi="宋体" w:eastAsia="宋体" w:cs="宋体"/>
          <w:spacing w:val="-10"/>
          <w:sz w:val="24"/>
          <w:szCs w:val="24"/>
        </w:rPr>
        <w:t>月份蓄至最高（正常蓄水位）。</w:t>
      </w:r>
    </w:p>
    <w:p>
      <w:pPr>
        <w:spacing w:before="164" w:line="233" w:lineRule="auto"/>
        <w:ind w:left="471"/>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水面面积</w:t>
      </w:r>
    </w:p>
    <w:p>
      <w:pPr>
        <w:spacing w:before="163" w:line="467" w:lineRule="exact"/>
        <w:ind w:left="481"/>
        <w:rPr>
          <w:rFonts w:ascii="宋体" w:hAnsi="宋体" w:eastAsia="宋体" w:cs="宋体"/>
          <w:sz w:val="24"/>
          <w:szCs w:val="24"/>
        </w:rPr>
      </w:pPr>
      <w:r>
        <w:rPr>
          <w:rFonts w:ascii="宋体" w:hAnsi="宋体" w:eastAsia="宋体" w:cs="宋体"/>
          <w:spacing w:val="-2"/>
          <w:position w:val="16"/>
          <w:sz w:val="24"/>
          <w:szCs w:val="24"/>
        </w:rPr>
        <w:t>库区天然河道面积约</w:t>
      </w:r>
      <w:r>
        <w:rPr>
          <w:rFonts w:ascii="宋体" w:hAnsi="宋体" w:eastAsia="宋体" w:cs="宋体"/>
          <w:spacing w:val="-38"/>
          <w:position w:val="16"/>
          <w:sz w:val="24"/>
          <w:szCs w:val="24"/>
        </w:rPr>
        <w:t xml:space="preserve"> </w:t>
      </w:r>
      <w:r>
        <w:rPr>
          <w:rFonts w:ascii="Times New Roman" w:hAnsi="Times New Roman" w:eastAsia="Times New Roman" w:cs="Times New Roman"/>
          <w:spacing w:val="-2"/>
          <w:position w:val="16"/>
          <w:sz w:val="24"/>
          <w:szCs w:val="24"/>
        </w:rPr>
        <w:t>2.32hm</w:t>
      </w:r>
      <w:r>
        <w:rPr>
          <w:rFonts w:ascii="Times New Roman" w:hAnsi="Times New Roman" w:eastAsia="Times New Roman" w:cs="Times New Roman"/>
          <w:spacing w:val="-2"/>
          <w:position w:val="24"/>
          <w:sz w:val="15"/>
          <w:szCs w:val="15"/>
        </w:rPr>
        <w:t xml:space="preserve">2 </w:t>
      </w:r>
      <w:r>
        <w:rPr>
          <w:rFonts w:ascii="宋体" w:hAnsi="宋体" w:eastAsia="宋体" w:cs="宋体"/>
          <w:spacing w:val="-2"/>
          <w:position w:val="16"/>
          <w:sz w:val="24"/>
          <w:szCs w:val="24"/>
        </w:rPr>
        <w:t>。正常蓄水位</w:t>
      </w:r>
      <w:r>
        <w:rPr>
          <w:rFonts w:ascii="宋体" w:hAnsi="宋体" w:eastAsia="宋体" w:cs="宋体"/>
          <w:spacing w:val="-55"/>
          <w:position w:val="16"/>
          <w:sz w:val="24"/>
          <w:szCs w:val="24"/>
        </w:rPr>
        <w:t xml:space="preserve"> </w:t>
      </w:r>
      <w:r>
        <w:rPr>
          <w:rFonts w:ascii="Times New Roman" w:hAnsi="Times New Roman" w:eastAsia="Times New Roman" w:cs="Times New Roman"/>
          <w:spacing w:val="-2"/>
          <w:position w:val="16"/>
          <w:sz w:val="24"/>
          <w:szCs w:val="24"/>
        </w:rPr>
        <w:t>2094.15m</w:t>
      </w:r>
      <w:r>
        <w:rPr>
          <w:rFonts w:ascii="Times New Roman" w:hAnsi="Times New Roman" w:eastAsia="Times New Roman" w:cs="Times New Roman"/>
          <w:spacing w:val="21"/>
          <w:w w:val="101"/>
          <w:position w:val="16"/>
          <w:sz w:val="24"/>
          <w:szCs w:val="24"/>
        </w:rPr>
        <w:t xml:space="preserve"> </w:t>
      </w:r>
      <w:r>
        <w:rPr>
          <w:rFonts w:ascii="宋体" w:hAnsi="宋体" w:eastAsia="宋体" w:cs="宋体"/>
          <w:spacing w:val="-2"/>
          <w:position w:val="16"/>
          <w:sz w:val="24"/>
          <w:szCs w:val="24"/>
        </w:rPr>
        <w:t>时水库面积</w:t>
      </w:r>
      <w:r>
        <w:rPr>
          <w:rFonts w:ascii="宋体" w:hAnsi="宋体" w:eastAsia="宋体" w:cs="宋体"/>
          <w:spacing w:val="-57"/>
          <w:position w:val="16"/>
          <w:sz w:val="24"/>
          <w:szCs w:val="24"/>
        </w:rPr>
        <w:t xml:space="preserve"> </w:t>
      </w:r>
      <w:r>
        <w:rPr>
          <w:rFonts w:ascii="Times New Roman" w:hAnsi="Times New Roman" w:eastAsia="Times New Roman" w:cs="Times New Roman"/>
          <w:spacing w:val="-2"/>
          <w:position w:val="16"/>
          <w:sz w:val="24"/>
          <w:szCs w:val="24"/>
        </w:rPr>
        <w:t>40.72hm</w:t>
      </w:r>
      <w:r>
        <w:rPr>
          <w:rFonts w:ascii="Times New Roman" w:hAnsi="Times New Roman" w:eastAsia="Times New Roman" w:cs="Times New Roman"/>
          <w:spacing w:val="-2"/>
          <w:position w:val="24"/>
          <w:sz w:val="15"/>
          <w:szCs w:val="15"/>
        </w:rPr>
        <w:t>2</w:t>
      </w:r>
      <w:r>
        <w:rPr>
          <w:rFonts w:ascii="宋体" w:hAnsi="宋体" w:eastAsia="宋体" w:cs="宋体"/>
          <w:spacing w:val="-2"/>
          <w:position w:val="16"/>
          <w:sz w:val="24"/>
          <w:szCs w:val="24"/>
        </w:rPr>
        <w:t>，</w:t>
      </w:r>
    </w:p>
    <w:p>
      <w:pPr>
        <w:spacing w:line="233" w:lineRule="auto"/>
        <w:ind w:left="1"/>
        <w:rPr>
          <w:rFonts w:ascii="宋体" w:hAnsi="宋体" w:eastAsia="宋体" w:cs="宋体"/>
          <w:sz w:val="24"/>
          <w:szCs w:val="24"/>
        </w:rPr>
      </w:pPr>
      <w:r>
        <w:rPr>
          <w:rFonts w:ascii="宋体" w:hAnsi="宋体" w:eastAsia="宋体" w:cs="宋体"/>
          <w:spacing w:val="-3"/>
          <w:sz w:val="24"/>
          <w:szCs w:val="24"/>
        </w:rPr>
        <w:t>死水位</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2058.8m</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时水库面积</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12.13hm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4"/>
          <w:szCs w:val="24"/>
        </w:rPr>
        <w:t>。库区水面面积相对于天然河道明显增加。</w:t>
      </w:r>
    </w:p>
    <w:p>
      <w:pPr>
        <w:spacing w:before="164" w:line="233" w:lineRule="auto"/>
        <w:ind w:left="479"/>
        <w:rPr>
          <w:rFonts w:ascii="宋体" w:hAnsi="宋体" w:eastAsia="宋体" w:cs="宋体"/>
          <w:sz w:val="24"/>
          <w:szCs w:val="24"/>
        </w:rPr>
      </w:pPr>
      <w:r>
        <w:rPr>
          <w:rFonts w:ascii="Times New Roman" w:hAnsi="Times New Roman" w:eastAsia="Times New Roman" w:cs="Times New Roman"/>
          <w:spacing w:val="-2"/>
          <w:sz w:val="24"/>
          <w:szCs w:val="24"/>
        </w:rPr>
        <w:t>c.</w:t>
      </w:r>
      <w:r>
        <w:rPr>
          <w:rFonts w:ascii="宋体" w:hAnsi="宋体" w:eastAsia="宋体" w:cs="宋体"/>
          <w:spacing w:val="-2"/>
          <w:sz w:val="24"/>
          <w:szCs w:val="24"/>
        </w:rPr>
        <w:t>水流速度</w:t>
      </w:r>
    </w:p>
    <w:p>
      <w:pPr>
        <w:spacing w:before="164" w:line="466" w:lineRule="exact"/>
        <w:ind w:left="483"/>
        <w:rPr>
          <w:rFonts w:ascii="宋体" w:hAnsi="宋体" w:eastAsia="宋体" w:cs="宋体"/>
          <w:sz w:val="24"/>
          <w:szCs w:val="24"/>
        </w:rPr>
      </w:pPr>
      <w:r>
        <w:rPr>
          <w:rFonts w:ascii="宋体" w:hAnsi="宋体" w:eastAsia="宋体" w:cs="宋体"/>
          <w:spacing w:val="-4"/>
          <w:position w:val="17"/>
          <w:sz w:val="24"/>
          <w:szCs w:val="24"/>
        </w:rPr>
        <w:t>水库库区形成后， 库区水位明显增高，库内流速将明显减缓，水域环境从急流</w:t>
      </w:r>
    </w:p>
    <w:p>
      <w:pPr>
        <w:spacing w:before="1" w:line="219" w:lineRule="auto"/>
        <w:rPr>
          <w:rFonts w:ascii="宋体" w:hAnsi="宋体" w:eastAsia="宋体" w:cs="宋体"/>
          <w:sz w:val="24"/>
          <w:szCs w:val="24"/>
        </w:rPr>
      </w:pPr>
      <w:r>
        <w:rPr>
          <w:rFonts w:ascii="宋体" w:hAnsi="宋体" w:eastAsia="宋体" w:cs="宋体"/>
          <w:spacing w:val="-3"/>
          <w:sz w:val="24"/>
          <w:szCs w:val="24"/>
        </w:rPr>
        <w:t>河道型转为缓流型。</w:t>
      </w:r>
    </w:p>
    <w:p>
      <w:pPr>
        <w:spacing w:before="181"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）坝下河段水文情势</w:t>
      </w:r>
    </w:p>
    <w:p>
      <w:pPr>
        <w:spacing w:before="181" w:line="467" w:lineRule="exact"/>
        <w:ind w:left="483"/>
        <w:rPr>
          <w:rFonts w:ascii="宋体" w:hAnsi="宋体" w:eastAsia="宋体" w:cs="宋体"/>
          <w:sz w:val="24"/>
          <w:szCs w:val="24"/>
        </w:rPr>
      </w:pPr>
      <w:r>
        <w:rPr>
          <w:rFonts w:ascii="宋体" w:hAnsi="宋体" w:eastAsia="宋体" w:cs="宋体"/>
          <w:spacing w:val="-7"/>
          <w:position w:val="17"/>
          <w:sz w:val="24"/>
          <w:szCs w:val="24"/>
        </w:rPr>
        <w:t>水库建成运行后， 将造成下游河道流量发生很大变化。同时， 各代表年各月出</w:t>
      </w:r>
    </w:p>
    <w:p>
      <w:pPr>
        <w:spacing w:before="1" w:line="219" w:lineRule="auto"/>
        <w:ind w:left="1"/>
        <w:rPr>
          <w:rFonts w:ascii="宋体" w:hAnsi="宋体" w:eastAsia="宋体" w:cs="宋体"/>
          <w:sz w:val="24"/>
          <w:szCs w:val="24"/>
        </w:rPr>
      </w:pPr>
      <w:r>
        <w:rPr>
          <w:rFonts w:ascii="宋体" w:hAnsi="宋体" w:eastAsia="宋体" w:cs="宋体"/>
          <w:sz w:val="24"/>
          <w:szCs w:val="24"/>
        </w:rPr>
        <w:t>库流量均较入库流量减少，将造成生态放流管道出口至</w:t>
      </w:r>
      <w:r>
        <w:rPr>
          <w:rFonts w:ascii="宋体" w:hAnsi="宋体" w:eastAsia="宋体" w:cs="宋体"/>
          <w:spacing w:val="-1"/>
          <w:sz w:val="24"/>
          <w:szCs w:val="24"/>
        </w:rPr>
        <w:t>下游汇入万马河处（中和</w:t>
      </w:r>
    </w:p>
    <w:p>
      <w:pPr>
        <w:spacing w:before="181" w:line="467" w:lineRule="exact"/>
        <w:rPr>
          <w:rFonts w:ascii="宋体" w:hAnsi="宋体" w:eastAsia="宋体" w:cs="宋体"/>
          <w:sz w:val="24"/>
          <w:szCs w:val="24"/>
        </w:rPr>
      </w:pPr>
      <w:r>
        <w:rPr>
          <w:rFonts w:ascii="宋体" w:hAnsi="宋体" w:eastAsia="宋体" w:cs="宋体"/>
          <w:spacing w:val="-6"/>
          <w:position w:val="16"/>
          <w:sz w:val="24"/>
          <w:szCs w:val="24"/>
        </w:rPr>
        <w:t>镇）</w:t>
      </w:r>
      <w:r>
        <w:rPr>
          <w:rFonts w:ascii="Times New Roman" w:hAnsi="Times New Roman" w:eastAsia="Times New Roman" w:cs="Times New Roman"/>
          <w:spacing w:val="-6"/>
          <w:position w:val="16"/>
          <w:sz w:val="24"/>
          <w:szCs w:val="24"/>
        </w:rPr>
        <w:t>27.78km</w:t>
      </w:r>
      <w:r>
        <w:rPr>
          <w:rFonts w:ascii="Times New Roman" w:hAnsi="Times New Roman" w:eastAsia="Times New Roman" w:cs="Times New Roman"/>
          <w:spacing w:val="36"/>
          <w:position w:val="16"/>
          <w:sz w:val="24"/>
          <w:szCs w:val="24"/>
        </w:rPr>
        <w:t xml:space="preserve"> </w:t>
      </w:r>
      <w:r>
        <w:rPr>
          <w:rFonts w:ascii="宋体" w:hAnsi="宋体" w:eastAsia="宋体" w:cs="宋体"/>
          <w:spacing w:val="-6"/>
          <w:position w:val="16"/>
          <w:sz w:val="24"/>
          <w:szCs w:val="24"/>
        </w:rPr>
        <w:t>的河段减水。</w:t>
      </w:r>
      <w:r>
        <w:rPr>
          <w:rFonts w:ascii="宋体" w:hAnsi="宋体" w:eastAsia="宋体" w:cs="宋体"/>
          <w:spacing w:val="46"/>
          <w:position w:val="16"/>
          <w:sz w:val="24"/>
          <w:szCs w:val="24"/>
        </w:rPr>
        <w:t xml:space="preserve"> </w:t>
      </w:r>
      <w:r>
        <w:rPr>
          <w:rFonts w:ascii="宋体" w:hAnsi="宋体" w:eastAsia="宋体" w:cs="宋体"/>
          <w:spacing w:val="-6"/>
          <w:position w:val="16"/>
          <w:sz w:val="24"/>
          <w:szCs w:val="24"/>
        </w:rPr>
        <w:t>各取水坝仅在汛期</w:t>
      </w:r>
      <w:r>
        <w:rPr>
          <w:rFonts w:ascii="宋体" w:hAnsi="宋体" w:eastAsia="宋体" w:cs="宋体"/>
          <w:spacing w:val="-50"/>
          <w:position w:val="16"/>
          <w:sz w:val="24"/>
          <w:szCs w:val="24"/>
        </w:rPr>
        <w:t xml:space="preserve"> </w:t>
      </w:r>
      <w:r>
        <w:rPr>
          <w:rFonts w:ascii="Times New Roman" w:hAnsi="Times New Roman" w:eastAsia="Times New Roman" w:cs="Times New Roman"/>
          <w:spacing w:val="-6"/>
          <w:position w:val="16"/>
          <w:sz w:val="24"/>
          <w:szCs w:val="24"/>
        </w:rPr>
        <w:t>6~10</w:t>
      </w:r>
      <w:r>
        <w:rPr>
          <w:rFonts w:ascii="Times New Roman" w:hAnsi="Times New Roman" w:eastAsia="Times New Roman" w:cs="Times New Roman"/>
          <w:spacing w:val="15"/>
          <w:w w:val="101"/>
          <w:position w:val="16"/>
          <w:sz w:val="24"/>
          <w:szCs w:val="24"/>
        </w:rPr>
        <w:t xml:space="preserve"> </w:t>
      </w:r>
      <w:r>
        <w:rPr>
          <w:rFonts w:ascii="宋体" w:hAnsi="宋体" w:eastAsia="宋体" w:cs="宋体"/>
          <w:spacing w:val="-6"/>
          <w:position w:val="16"/>
          <w:sz w:val="24"/>
          <w:szCs w:val="24"/>
        </w:rPr>
        <w:t>月份取水，取水系数为</w:t>
      </w:r>
      <w:r>
        <w:rPr>
          <w:rFonts w:ascii="宋体" w:hAnsi="宋体" w:eastAsia="宋体" w:cs="宋体"/>
          <w:spacing w:val="-52"/>
          <w:position w:val="16"/>
          <w:sz w:val="24"/>
          <w:szCs w:val="24"/>
        </w:rPr>
        <w:t xml:space="preserve"> </w:t>
      </w:r>
      <w:r>
        <w:rPr>
          <w:rFonts w:ascii="Times New Roman" w:hAnsi="Times New Roman" w:eastAsia="Times New Roman" w:cs="Times New Roman"/>
          <w:spacing w:val="-6"/>
          <w:position w:val="16"/>
          <w:sz w:val="24"/>
          <w:szCs w:val="24"/>
        </w:rPr>
        <w:t>0.6</w:t>
      </w:r>
      <w:r>
        <w:rPr>
          <w:rFonts w:ascii="宋体" w:hAnsi="宋体" w:eastAsia="宋体" w:cs="宋体"/>
          <w:spacing w:val="-6"/>
          <w:position w:val="16"/>
          <w:sz w:val="24"/>
          <w:szCs w:val="24"/>
        </w:rPr>
        <w:t>，汛</w:t>
      </w:r>
    </w:p>
    <w:p>
      <w:pPr>
        <w:spacing w:before="1" w:line="219" w:lineRule="auto"/>
        <w:ind w:left="3"/>
        <w:rPr>
          <w:rFonts w:ascii="宋体" w:hAnsi="宋体" w:eastAsia="宋体" w:cs="宋体"/>
          <w:sz w:val="24"/>
          <w:szCs w:val="24"/>
        </w:rPr>
      </w:pPr>
      <w:r>
        <w:rPr>
          <w:rFonts w:ascii="宋体" w:hAnsi="宋体" w:eastAsia="宋体" w:cs="宋体"/>
          <w:spacing w:val="-2"/>
          <w:sz w:val="24"/>
          <w:szCs w:val="24"/>
        </w:rPr>
        <w:t>期各取水坝下游河段减水率为</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60%</w:t>
      </w:r>
      <w:r>
        <w:rPr>
          <w:rFonts w:ascii="宋体" w:hAnsi="宋体" w:eastAsia="宋体" w:cs="宋体"/>
          <w:spacing w:val="-2"/>
          <w:sz w:val="24"/>
          <w:szCs w:val="24"/>
        </w:rPr>
        <w:t>，其余月份不减水。</w:t>
      </w:r>
    </w:p>
    <w:p>
      <w:pPr>
        <w:spacing w:before="183" w:line="359" w:lineRule="auto"/>
        <w:ind w:left="1" w:right="220" w:firstLine="481"/>
        <w:rPr>
          <w:rFonts w:ascii="宋体" w:hAnsi="宋体" w:eastAsia="宋体" w:cs="宋体"/>
          <w:sz w:val="24"/>
          <w:szCs w:val="24"/>
        </w:rPr>
      </w:pPr>
      <w:r>
        <w:rPr>
          <w:rFonts w:ascii="宋体" w:hAnsi="宋体" w:eastAsia="宋体" w:cs="宋体"/>
          <w:sz w:val="24"/>
          <w:szCs w:val="24"/>
        </w:rPr>
        <w:t>为了避免桂花水库坝下游水资源利用影响和河道</w:t>
      </w:r>
      <w:r>
        <w:rPr>
          <w:rFonts w:ascii="宋体" w:hAnsi="宋体" w:eastAsia="宋体" w:cs="宋体"/>
          <w:spacing w:val="-1"/>
          <w:sz w:val="24"/>
          <w:szCs w:val="24"/>
        </w:rPr>
        <w:t>生态用水的影响，工程可研已</w:t>
      </w:r>
      <w:r>
        <w:rPr>
          <w:rFonts w:ascii="宋体" w:hAnsi="宋体" w:eastAsia="宋体" w:cs="宋体"/>
          <w:sz w:val="24"/>
          <w:szCs w:val="24"/>
        </w:rPr>
        <w:t xml:space="preserve"> 提出，通过在导流输水放空隧洞预埋的</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DN325 </w:t>
      </w:r>
      <w:r>
        <w:rPr>
          <w:rFonts w:ascii="宋体" w:hAnsi="宋体" w:eastAsia="宋体" w:cs="宋体"/>
          <w:sz w:val="24"/>
          <w:szCs w:val="24"/>
        </w:rPr>
        <w:t>钢</w:t>
      </w:r>
      <w:r>
        <w:rPr>
          <w:rFonts w:ascii="宋体" w:hAnsi="宋体" w:eastAsia="宋体" w:cs="宋体"/>
          <w:spacing w:val="-1"/>
          <w:sz w:val="24"/>
          <w:szCs w:val="24"/>
        </w:rPr>
        <w:t>管下泄生态流量。坝址下游生态</w:t>
      </w:r>
    </w:p>
    <w:p>
      <w:pPr>
        <w:spacing w:line="233" w:lineRule="auto"/>
        <w:ind w:left="12"/>
        <w:rPr>
          <w:rFonts w:ascii="宋体" w:hAnsi="宋体" w:eastAsia="宋体" w:cs="宋体"/>
          <w:sz w:val="24"/>
          <w:szCs w:val="24"/>
        </w:rPr>
      </w:pPr>
      <w:r>
        <w:rPr>
          <w:rFonts w:ascii="宋体" w:hAnsi="宋体" w:eastAsia="宋体" w:cs="宋体"/>
          <w:spacing w:val="-3"/>
          <w:sz w:val="24"/>
          <w:szCs w:val="24"/>
        </w:rPr>
        <w:t>需水量为多年平均径流量的</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10%</w:t>
      </w:r>
      <w:r>
        <w:rPr>
          <w:rFonts w:ascii="宋体" w:hAnsi="宋体" w:eastAsia="宋体" w:cs="宋体"/>
          <w:spacing w:val="-3"/>
          <w:sz w:val="24"/>
          <w:szCs w:val="24"/>
        </w:rPr>
        <w:t>，即</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0.075m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/s</w:t>
      </w:r>
      <w:r>
        <w:rPr>
          <w:rFonts w:ascii="宋体" w:hAnsi="宋体" w:eastAsia="宋体" w:cs="宋体"/>
          <w:spacing w:val="-3"/>
          <w:sz w:val="24"/>
          <w:szCs w:val="24"/>
        </w:rPr>
        <w:t>。</w:t>
      </w:r>
    </w:p>
    <w:p>
      <w:pPr>
        <w:spacing w:before="164" w:line="359" w:lineRule="auto"/>
        <w:ind w:left="3" w:right="230" w:firstLine="476"/>
        <w:rPr>
          <w:rFonts w:ascii="宋体" w:hAnsi="宋体" w:eastAsia="宋体" w:cs="宋体"/>
          <w:sz w:val="24"/>
          <w:szCs w:val="24"/>
        </w:rPr>
      </w:pPr>
      <w:r>
        <w:rPr>
          <w:rFonts w:ascii="宋体" w:hAnsi="宋体" w:eastAsia="宋体" w:cs="宋体"/>
          <w:spacing w:val="-3"/>
          <w:sz w:val="24"/>
          <w:szCs w:val="24"/>
        </w:rPr>
        <w:t>在确保生态流量的情况下，</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P=75%</w:t>
      </w:r>
      <w:r>
        <w:rPr>
          <w:rFonts w:ascii="宋体" w:hAnsi="宋体" w:eastAsia="宋体" w:cs="宋体"/>
          <w:spacing w:val="-3"/>
          <w:sz w:val="24"/>
          <w:szCs w:val="24"/>
        </w:rPr>
        <w:t>时桂花河下游河段（至罗子左河汇入口）减</w:t>
      </w:r>
      <w:r>
        <w:rPr>
          <w:rFonts w:ascii="宋体" w:hAnsi="宋体" w:eastAsia="宋体" w:cs="宋体"/>
          <w:sz w:val="24"/>
          <w:szCs w:val="24"/>
        </w:rPr>
        <w:t xml:space="preserve"> 水率为</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63.74%~96.12%</w:t>
      </w:r>
      <w:r>
        <w:rPr>
          <w:rFonts w:ascii="宋体" w:hAnsi="宋体" w:eastAsia="宋体" w:cs="宋体"/>
          <w:sz w:val="24"/>
          <w:szCs w:val="24"/>
        </w:rPr>
        <w:t>；</w:t>
      </w:r>
      <w:r>
        <w:rPr>
          <w:rFonts w:ascii="Times New Roman" w:hAnsi="Times New Roman" w:eastAsia="Times New Roman" w:cs="Times New Roman"/>
          <w:sz w:val="24"/>
          <w:szCs w:val="24"/>
        </w:rPr>
        <w:t>P=7</w:t>
      </w:r>
      <w:r>
        <w:rPr>
          <w:rFonts w:ascii="Times New Roman" w:hAnsi="Times New Roman" w:eastAsia="Times New Roman" w:cs="Times New Roman"/>
          <w:spacing w:val="-1"/>
          <w:sz w:val="24"/>
          <w:szCs w:val="24"/>
        </w:rPr>
        <w:t>5%</w:t>
      </w:r>
      <w:r>
        <w:rPr>
          <w:rFonts w:ascii="宋体" w:hAnsi="宋体" w:eastAsia="宋体" w:cs="宋体"/>
          <w:spacing w:val="-1"/>
          <w:sz w:val="24"/>
          <w:szCs w:val="24"/>
        </w:rPr>
        <w:t>时桂花河下游河段（罗子左河汇入口至叭拉河汇入</w:t>
      </w:r>
      <w:r>
        <w:rPr>
          <w:rFonts w:ascii="宋体" w:hAnsi="宋体" w:eastAsia="宋体" w:cs="宋体"/>
          <w:sz w:val="24"/>
          <w:szCs w:val="24"/>
        </w:rPr>
        <w:t xml:space="preserve"> </w:t>
      </w:r>
      <w:r>
        <w:rPr>
          <w:rFonts w:ascii="宋体" w:hAnsi="宋体" w:eastAsia="宋体" w:cs="宋体"/>
          <w:spacing w:val="-1"/>
          <w:sz w:val="24"/>
          <w:szCs w:val="24"/>
        </w:rPr>
        <w:t>口，途中有马茨河汇入）减水率为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39.75%~82.54%</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项目生态流量下泄口至汇入万</w:t>
      </w:r>
    </w:p>
    <w:p>
      <w:pPr>
        <w:spacing w:before="1" w:line="218" w:lineRule="auto"/>
        <w:ind w:left="8"/>
        <w:rPr>
          <w:rFonts w:ascii="宋体" w:hAnsi="宋体" w:eastAsia="宋体" w:cs="宋体"/>
          <w:sz w:val="24"/>
          <w:szCs w:val="24"/>
        </w:rPr>
      </w:pPr>
      <w:r>
        <w:rPr>
          <w:rFonts w:ascii="宋体" w:hAnsi="宋体" w:eastAsia="宋体" w:cs="宋体"/>
          <w:spacing w:val="-1"/>
          <w:sz w:val="24"/>
          <w:szCs w:val="24"/>
        </w:rPr>
        <w:t>马河之间还有叭拉河、小河、芭蕉箐河等几条较大支流汇入以及其他小型支流汇</w:t>
      </w:r>
    </w:p>
    <w:p>
      <w:pPr>
        <w:spacing w:before="182" w:line="220" w:lineRule="auto"/>
        <w:rPr>
          <w:rFonts w:ascii="宋体" w:hAnsi="宋体" w:eastAsia="宋体" w:cs="宋体"/>
          <w:sz w:val="24"/>
          <w:szCs w:val="24"/>
        </w:rPr>
      </w:pPr>
      <w:r>
        <w:rPr>
          <w:rFonts w:ascii="宋体" w:hAnsi="宋体" w:eastAsia="宋体" w:cs="宋体"/>
          <w:spacing w:val="-4"/>
          <w:sz w:val="24"/>
          <w:szCs w:val="24"/>
        </w:rPr>
        <w:t>入，河道减水率逐渐降低。</w:t>
      </w:r>
    </w:p>
    <w:p>
      <w:pPr>
        <w:spacing w:before="181" w:line="220" w:lineRule="auto"/>
        <w:ind w:left="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）灌溉回归水对河流水文情势</w:t>
      </w:r>
    </w:p>
    <w:p>
      <w:pPr>
        <w:spacing w:before="182" w:line="359" w:lineRule="auto"/>
        <w:ind w:left="1" w:right="161" w:firstLine="480"/>
        <w:rPr>
          <w:rFonts w:ascii="宋体" w:hAnsi="宋体" w:eastAsia="宋体" w:cs="宋体"/>
          <w:sz w:val="24"/>
          <w:szCs w:val="24"/>
        </w:rPr>
      </w:pPr>
      <w:r>
        <w:rPr>
          <w:rFonts w:ascii="宋体" w:hAnsi="宋体" w:eastAsia="宋体" w:cs="宋体"/>
          <w:spacing w:val="-4"/>
          <w:sz w:val="24"/>
          <w:szCs w:val="24"/>
        </w:rPr>
        <w:t>桂花灌溉片区回归水受纳水体为桂花河，</w:t>
      </w:r>
      <w:r>
        <w:rPr>
          <w:rFonts w:ascii="宋体" w:hAnsi="宋体" w:eastAsia="宋体" w:cs="宋体"/>
          <w:spacing w:val="-12"/>
          <w:sz w:val="24"/>
          <w:szCs w:val="24"/>
        </w:rPr>
        <w:t xml:space="preserve"> </w:t>
      </w:r>
      <w:r>
        <w:rPr>
          <w:rFonts w:ascii="宋体" w:hAnsi="宋体" w:eastAsia="宋体" w:cs="宋体"/>
          <w:spacing w:val="-4"/>
          <w:sz w:val="24"/>
          <w:szCs w:val="24"/>
        </w:rPr>
        <w:t>影响河段长度为</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12.56km</w:t>
      </w:r>
      <w:r>
        <w:rPr>
          <w:rFonts w:ascii="宋体" w:hAnsi="宋体" w:eastAsia="宋体" w:cs="宋体"/>
          <w:spacing w:val="-4"/>
          <w:sz w:val="24"/>
          <w:szCs w:val="24"/>
        </w:rPr>
        <w:t>（灌区起点</w:t>
      </w:r>
      <w:r>
        <w:rPr>
          <w:rFonts w:ascii="宋体" w:hAnsi="宋体" w:eastAsia="宋体" w:cs="宋体"/>
          <w:sz w:val="24"/>
          <w:szCs w:val="24"/>
        </w:rPr>
        <w:t xml:space="preserve">  </w:t>
      </w:r>
      <w:r>
        <w:rPr>
          <w:rFonts w:ascii="宋体" w:hAnsi="宋体" w:eastAsia="宋体" w:cs="宋体"/>
          <w:spacing w:val="-4"/>
          <w:sz w:val="24"/>
          <w:szCs w:val="24"/>
        </w:rPr>
        <w:t>至桂花河汇入万马河处</w:t>
      </w:r>
      <w:r>
        <w:rPr>
          <w:rFonts w:ascii="宋体" w:hAnsi="宋体" w:eastAsia="宋体" w:cs="宋体"/>
          <w:spacing w:val="-54"/>
          <w:sz w:val="24"/>
          <w:szCs w:val="24"/>
        </w:rPr>
        <w:t>），</w:t>
      </w:r>
      <w:r>
        <w:rPr>
          <w:rFonts w:ascii="宋体" w:hAnsi="宋体" w:eastAsia="宋体" w:cs="宋体"/>
          <w:spacing w:val="-4"/>
          <w:sz w:val="24"/>
          <w:szCs w:val="24"/>
        </w:rPr>
        <w:t>者纳么灌溉片区回归水受</w:t>
      </w:r>
      <w:r>
        <w:rPr>
          <w:rFonts w:ascii="宋体" w:hAnsi="宋体" w:eastAsia="宋体" w:cs="宋体"/>
          <w:spacing w:val="-5"/>
          <w:sz w:val="24"/>
          <w:szCs w:val="24"/>
        </w:rPr>
        <w:t>纳水体为者纳么河，</w:t>
      </w:r>
      <w:r>
        <w:rPr>
          <w:rFonts w:ascii="宋体" w:hAnsi="宋体" w:eastAsia="宋体" w:cs="宋体"/>
          <w:spacing w:val="-25"/>
          <w:sz w:val="24"/>
          <w:szCs w:val="24"/>
        </w:rPr>
        <w:t xml:space="preserve"> </w:t>
      </w:r>
      <w:r>
        <w:rPr>
          <w:rFonts w:ascii="宋体" w:hAnsi="宋体" w:eastAsia="宋体" w:cs="宋体"/>
          <w:spacing w:val="-5"/>
          <w:sz w:val="24"/>
          <w:szCs w:val="24"/>
        </w:rPr>
        <w:t xml:space="preserve">影响河段  </w:t>
      </w:r>
      <w:r>
        <w:rPr>
          <w:rFonts w:ascii="宋体" w:hAnsi="宋体" w:eastAsia="宋体" w:cs="宋体"/>
          <w:spacing w:val="-2"/>
          <w:sz w:val="24"/>
          <w:szCs w:val="24"/>
        </w:rPr>
        <w:t>长度为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12.11km</w:t>
      </w:r>
      <w:r>
        <w:rPr>
          <w:rFonts w:ascii="宋体" w:hAnsi="宋体" w:eastAsia="宋体" w:cs="宋体"/>
          <w:spacing w:val="-2"/>
          <w:sz w:val="24"/>
          <w:szCs w:val="24"/>
        </w:rPr>
        <w:t>（下灌区起点至汇入者纳么村附近大水箐汇入处</w:t>
      </w:r>
      <w:r>
        <w:rPr>
          <w:rFonts w:ascii="宋体" w:hAnsi="宋体" w:eastAsia="宋体" w:cs="宋体"/>
          <w:spacing w:val="-46"/>
          <w:sz w:val="24"/>
          <w:szCs w:val="24"/>
        </w:rPr>
        <w:t>），</w:t>
      </w:r>
      <w:r>
        <w:rPr>
          <w:rFonts w:ascii="宋体" w:hAnsi="宋体" w:eastAsia="宋体" w:cs="宋体"/>
          <w:spacing w:val="-2"/>
          <w:sz w:val="24"/>
          <w:szCs w:val="24"/>
        </w:rPr>
        <w:t>六苴灌溉片区回</w:t>
      </w:r>
      <w:r>
        <w:rPr>
          <w:rFonts w:ascii="宋体" w:hAnsi="宋体" w:eastAsia="宋体" w:cs="宋体"/>
          <w:sz w:val="24"/>
          <w:szCs w:val="24"/>
        </w:rPr>
        <w:t xml:space="preserve"> </w:t>
      </w:r>
      <w:r>
        <w:rPr>
          <w:rFonts w:ascii="宋体" w:hAnsi="宋体" w:eastAsia="宋体" w:cs="宋体"/>
          <w:spacing w:val="-3"/>
          <w:sz w:val="24"/>
          <w:szCs w:val="24"/>
        </w:rPr>
        <w:t>归水受纳水体为六苴河，</w:t>
      </w:r>
      <w:r>
        <w:rPr>
          <w:rFonts w:ascii="宋体" w:hAnsi="宋体" w:eastAsia="宋体" w:cs="宋体"/>
          <w:spacing w:val="-25"/>
          <w:sz w:val="24"/>
          <w:szCs w:val="24"/>
        </w:rPr>
        <w:t xml:space="preserve"> </w:t>
      </w:r>
      <w:r>
        <w:rPr>
          <w:rFonts w:ascii="宋体" w:hAnsi="宋体" w:eastAsia="宋体" w:cs="宋体"/>
          <w:spacing w:val="-3"/>
          <w:sz w:val="24"/>
          <w:szCs w:val="24"/>
        </w:rPr>
        <w:t>影响河段长度为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3.38km</w:t>
      </w:r>
      <w:r>
        <w:rPr>
          <w:rFonts w:ascii="宋体" w:hAnsi="宋体" w:eastAsia="宋体" w:cs="宋体"/>
          <w:spacing w:val="-3"/>
          <w:sz w:val="24"/>
          <w:szCs w:val="24"/>
        </w:rPr>
        <w:t>（灌区起点至汇入者纳么村附近</w:t>
      </w:r>
    </w:p>
    <w:p>
      <w:pPr>
        <w:spacing w:before="1" w:line="219" w:lineRule="auto"/>
        <w:ind w:left="3"/>
        <w:rPr>
          <w:rFonts w:ascii="宋体" w:hAnsi="宋体" w:eastAsia="宋体" w:cs="宋体"/>
          <w:sz w:val="24"/>
          <w:szCs w:val="24"/>
        </w:rPr>
      </w:pPr>
      <w:r>
        <w:rPr>
          <w:rFonts w:ascii="宋体" w:hAnsi="宋体" w:eastAsia="宋体" w:cs="宋体"/>
          <w:spacing w:val="-13"/>
          <w:sz w:val="24"/>
          <w:szCs w:val="24"/>
        </w:rPr>
        <w:t>大水箐汇入处）。</w:t>
      </w:r>
    </w:p>
    <w:p>
      <w:pPr>
        <w:spacing w:before="181" w:line="232" w:lineRule="auto"/>
        <w:ind w:left="480"/>
        <w:rPr>
          <w:rFonts w:ascii="宋体" w:hAnsi="宋体" w:eastAsia="宋体" w:cs="宋体"/>
          <w:sz w:val="24"/>
          <w:szCs w:val="24"/>
        </w:rPr>
      </w:pPr>
      <w:r>
        <w:rPr>
          <w:rFonts w:ascii="宋体" w:hAnsi="宋体" w:eastAsia="宋体" w:cs="宋体"/>
          <w:spacing w:val="-6"/>
          <w:sz w:val="24"/>
          <w:szCs w:val="24"/>
        </w:rPr>
        <w:t>根据水资源论证报告，</w:t>
      </w:r>
      <w:r>
        <w:rPr>
          <w:rFonts w:ascii="宋体" w:hAnsi="宋体" w:eastAsia="宋体" w:cs="宋体"/>
          <w:spacing w:val="65"/>
          <w:sz w:val="24"/>
          <w:szCs w:val="24"/>
        </w:rPr>
        <w:t xml:space="preserve"> </w:t>
      </w:r>
      <w:r>
        <w:rPr>
          <w:rFonts w:ascii="宋体" w:hAnsi="宋体" w:eastAsia="宋体" w:cs="宋体"/>
          <w:spacing w:val="-6"/>
          <w:sz w:val="24"/>
          <w:szCs w:val="24"/>
        </w:rPr>
        <w:t>项目农业灌溉回归水</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68.5</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宋体" w:hAnsi="宋体" w:eastAsia="宋体" w:cs="宋体"/>
          <w:spacing w:val="-6"/>
          <w:sz w:val="24"/>
          <w:szCs w:val="24"/>
        </w:rPr>
        <w:t>（</w:t>
      </w:r>
      <w:r>
        <w:rPr>
          <w:rFonts w:ascii="宋体" w:hAnsi="宋体" w:eastAsia="宋体" w:cs="宋体"/>
          <w:spacing w:val="-7"/>
          <w:sz w:val="24"/>
          <w:szCs w:val="24"/>
        </w:rPr>
        <w:t>不含新街、金碧片</w:t>
      </w:r>
    </w:p>
    <w:p>
      <w:pPr>
        <w:spacing w:before="165" w:line="468" w:lineRule="exact"/>
        <w:ind w:left="18"/>
        <w:rPr>
          <w:rFonts w:ascii="宋体" w:hAnsi="宋体" w:eastAsia="宋体" w:cs="宋体"/>
          <w:sz w:val="24"/>
          <w:szCs w:val="24"/>
        </w:rPr>
      </w:pPr>
      <w:r>
        <w:rPr>
          <w:rFonts w:ascii="宋体" w:hAnsi="宋体" w:eastAsia="宋体" w:cs="宋体"/>
          <w:spacing w:val="-2"/>
          <w:position w:val="16"/>
          <w:sz w:val="24"/>
          <w:szCs w:val="24"/>
        </w:rPr>
        <w:t>区</w:t>
      </w:r>
      <w:r>
        <w:rPr>
          <w:rFonts w:ascii="宋体" w:hAnsi="宋体" w:eastAsia="宋体" w:cs="宋体"/>
          <w:spacing w:val="-62"/>
          <w:position w:val="16"/>
          <w:sz w:val="24"/>
          <w:szCs w:val="24"/>
        </w:rPr>
        <w:t>），</w:t>
      </w:r>
      <w:r>
        <w:rPr>
          <w:rFonts w:ascii="宋体" w:hAnsi="宋体" w:eastAsia="宋体" w:cs="宋体"/>
          <w:spacing w:val="-2"/>
          <w:position w:val="16"/>
          <w:sz w:val="24"/>
          <w:szCs w:val="24"/>
        </w:rPr>
        <w:t>其中万马河（桂花河）流域的灌溉回归水量为</w:t>
      </w:r>
      <w:r>
        <w:rPr>
          <w:rFonts w:ascii="宋体" w:hAnsi="宋体" w:eastAsia="宋体" w:cs="宋体"/>
          <w:spacing w:val="-49"/>
          <w:position w:val="16"/>
          <w:sz w:val="24"/>
          <w:szCs w:val="24"/>
        </w:rPr>
        <w:t xml:space="preserve"> </w:t>
      </w:r>
      <w:r>
        <w:rPr>
          <w:rFonts w:ascii="Times New Roman" w:hAnsi="Times New Roman" w:eastAsia="Times New Roman" w:cs="Times New Roman"/>
          <w:spacing w:val="-2"/>
          <w:position w:val="16"/>
          <w:sz w:val="24"/>
          <w:szCs w:val="24"/>
        </w:rPr>
        <w:t>37.4</w:t>
      </w:r>
      <w:r>
        <w:rPr>
          <w:rFonts w:ascii="Times New Roman" w:hAnsi="Times New Roman" w:eastAsia="Times New Roman" w:cs="Times New Roman"/>
          <w:spacing w:val="15"/>
          <w:w w:val="101"/>
          <w:position w:val="16"/>
          <w:sz w:val="24"/>
          <w:szCs w:val="24"/>
        </w:rPr>
        <w:t xml:space="preserve"> </w:t>
      </w:r>
      <w:r>
        <w:rPr>
          <w:rFonts w:ascii="宋体" w:hAnsi="宋体" w:eastAsia="宋体" w:cs="宋体"/>
          <w:spacing w:val="-2"/>
          <w:position w:val="16"/>
          <w:sz w:val="24"/>
          <w:szCs w:val="24"/>
        </w:rPr>
        <w:t>万</w:t>
      </w:r>
      <w:r>
        <w:rPr>
          <w:rFonts w:ascii="宋体" w:hAnsi="宋体" w:eastAsia="宋体" w:cs="宋体"/>
          <w:spacing w:val="-58"/>
          <w:position w:val="16"/>
          <w:sz w:val="24"/>
          <w:szCs w:val="24"/>
        </w:rPr>
        <w:t xml:space="preserve"> </w:t>
      </w:r>
      <w:r>
        <w:rPr>
          <w:rFonts w:ascii="Times New Roman" w:hAnsi="Times New Roman" w:eastAsia="Times New Roman" w:cs="Times New Roman"/>
          <w:spacing w:val="-2"/>
          <w:position w:val="16"/>
          <w:sz w:val="24"/>
          <w:szCs w:val="24"/>
        </w:rPr>
        <w:t>m</w:t>
      </w:r>
      <w:r>
        <w:rPr>
          <w:rFonts w:ascii="Times New Roman" w:hAnsi="Times New Roman" w:eastAsia="Times New Roman" w:cs="Times New Roman"/>
          <w:spacing w:val="-2"/>
          <w:position w:val="24"/>
          <w:sz w:val="15"/>
          <w:szCs w:val="15"/>
        </w:rPr>
        <w:t>3</w:t>
      </w:r>
      <w:r>
        <w:rPr>
          <w:rFonts w:ascii="Times New Roman" w:hAnsi="Times New Roman" w:eastAsia="Times New Roman" w:cs="Times New Roman"/>
          <w:spacing w:val="-11"/>
          <w:position w:val="24"/>
          <w:sz w:val="15"/>
          <w:szCs w:val="15"/>
        </w:rPr>
        <w:t xml:space="preserve"> </w:t>
      </w:r>
      <w:r>
        <w:rPr>
          <w:rFonts w:ascii="宋体" w:hAnsi="宋体" w:eastAsia="宋体" w:cs="宋体"/>
          <w:spacing w:val="-2"/>
          <w:position w:val="16"/>
          <w:sz w:val="24"/>
          <w:szCs w:val="24"/>
        </w:rPr>
        <w:t>，六苴河流域（含者</w:t>
      </w:r>
    </w:p>
    <w:p>
      <w:pPr>
        <w:spacing w:before="1" w:line="233" w:lineRule="auto"/>
        <w:ind w:left="2"/>
        <w:rPr>
          <w:rFonts w:ascii="宋体" w:hAnsi="宋体" w:eastAsia="宋体" w:cs="宋体"/>
          <w:sz w:val="24"/>
          <w:szCs w:val="24"/>
        </w:rPr>
      </w:pPr>
      <w:r>
        <w:rPr>
          <w:rFonts w:ascii="宋体" w:hAnsi="宋体" w:eastAsia="宋体" w:cs="宋体"/>
          <w:spacing w:val="-2"/>
          <w:sz w:val="24"/>
          <w:szCs w:val="24"/>
        </w:rPr>
        <w:t>纳么河）的灌溉回归水量为</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31.1</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2"/>
          <w:sz w:val="24"/>
          <w:szCs w:val="24"/>
        </w:rPr>
        <w:t>，万马河流域灌溉回归水量占全流域水资源</w:t>
      </w:r>
    </w:p>
    <w:p>
      <w:pPr>
        <w:spacing w:line="233" w:lineRule="auto"/>
        <w:rPr>
          <w:rFonts w:ascii="宋体" w:hAnsi="宋体" w:eastAsia="宋体" w:cs="宋体"/>
          <w:sz w:val="24"/>
          <w:szCs w:val="24"/>
        </w:rPr>
        <w:sectPr>
          <w:footerReference r:id="rId157" w:type="default"/>
          <w:pgSz w:w="11920" w:h="16840"/>
          <w:pgMar w:top="1066" w:right="1398" w:bottom="1358" w:left="1668" w:header="865" w:footer="1195" w:gutter="0"/>
        </w:sectPr>
      </w:pPr>
    </w:p>
    <w:p>
      <w:pPr>
        <w:spacing w:before="70" w:line="467" w:lineRule="exact"/>
        <w:rPr>
          <w:rFonts w:ascii="宋体" w:hAnsi="宋体" w:eastAsia="宋体" w:cs="宋体"/>
          <w:sz w:val="24"/>
          <w:szCs w:val="24"/>
        </w:rPr>
      </w:pPr>
      <w:r>
        <w:rPr>
          <w:rFonts w:ascii="宋体" w:hAnsi="宋体" w:eastAsia="宋体" w:cs="宋体"/>
          <w:spacing w:val="-1"/>
          <w:position w:val="17"/>
          <w:sz w:val="24"/>
          <w:szCs w:val="24"/>
        </w:rPr>
        <w:t>量的</w:t>
      </w:r>
      <w:r>
        <w:rPr>
          <w:rFonts w:ascii="宋体" w:hAnsi="宋体" w:eastAsia="宋体" w:cs="宋体"/>
          <w:spacing w:val="-47"/>
          <w:position w:val="17"/>
          <w:sz w:val="24"/>
          <w:szCs w:val="24"/>
        </w:rPr>
        <w:t xml:space="preserve"> </w:t>
      </w:r>
      <w:r>
        <w:rPr>
          <w:rFonts w:ascii="Times New Roman" w:hAnsi="Times New Roman" w:eastAsia="Times New Roman" w:cs="Times New Roman"/>
          <w:spacing w:val="-1"/>
          <w:position w:val="17"/>
          <w:sz w:val="24"/>
          <w:szCs w:val="24"/>
        </w:rPr>
        <w:t>0.1%</w:t>
      </w:r>
      <w:r>
        <w:rPr>
          <w:rFonts w:ascii="宋体" w:hAnsi="宋体" w:eastAsia="宋体" w:cs="宋体"/>
          <w:spacing w:val="-1"/>
          <w:position w:val="17"/>
          <w:sz w:val="24"/>
          <w:szCs w:val="24"/>
        </w:rPr>
        <w:t>，六苴河流域（含者纳么河）回归水量占全流域水资源量的</w:t>
      </w:r>
      <w:r>
        <w:rPr>
          <w:rFonts w:ascii="宋体" w:hAnsi="宋体" w:eastAsia="宋体" w:cs="宋体"/>
          <w:spacing w:val="-51"/>
          <w:position w:val="17"/>
          <w:sz w:val="24"/>
          <w:szCs w:val="24"/>
        </w:rPr>
        <w:t xml:space="preserve"> </w:t>
      </w:r>
      <w:r>
        <w:rPr>
          <w:rFonts w:ascii="Times New Roman" w:hAnsi="Times New Roman" w:eastAsia="Times New Roman" w:cs="Times New Roman"/>
          <w:spacing w:val="-1"/>
          <w:position w:val="17"/>
          <w:sz w:val="24"/>
          <w:szCs w:val="24"/>
        </w:rPr>
        <w:t>0.2%</w:t>
      </w:r>
      <w:r>
        <w:rPr>
          <w:rFonts w:ascii="Times New Roman" w:hAnsi="Times New Roman" w:eastAsia="Times New Roman" w:cs="Times New Roman"/>
          <w:spacing w:val="-33"/>
          <w:position w:val="17"/>
          <w:sz w:val="24"/>
          <w:szCs w:val="24"/>
        </w:rPr>
        <w:t xml:space="preserve"> </w:t>
      </w:r>
      <w:r>
        <w:rPr>
          <w:rFonts w:ascii="宋体" w:hAnsi="宋体" w:eastAsia="宋体" w:cs="宋体"/>
          <w:spacing w:val="-1"/>
          <w:position w:val="17"/>
          <w:sz w:val="24"/>
          <w:szCs w:val="24"/>
        </w:rPr>
        <w:t>，由于</w:t>
      </w:r>
    </w:p>
    <w:p>
      <w:pPr>
        <w:spacing w:line="219" w:lineRule="auto"/>
        <w:ind w:left="3"/>
        <w:rPr>
          <w:rFonts w:ascii="宋体" w:hAnsi="宋体" w:eastAsia="宋体" w:cs="宋体"/>
          <w:sz w:val="24"/>
          <w:szCs w:val="24"/>
        </w:rPr>
      </w:pPr>
      <w:r>
        <w:rPr>
          <w:rFonts w:ascii="宋体" w:hAnsi="宋体" w:eastAsia="宋体" w:cs="宋体"/>
          <w:sz w:val="24"/>
          <w:szCs w:val="24"/>
        </w:rPr>
        <w:t>灌区退水量小，灌溉回归水引起的万马河、六苴河</w:t>
      </w:r>
      <w:r>
        <w:rPr>
          <w:rFonts w:ascii="宋体" w:hAnsi="宋体" w:eastAsia="宋体" w:cs="宋体"/>
          <w:spacing w:val="-1"/>
          <w:sz w:val="24"/>
          <w:szCs w:val="24"/>
        </w:rPr>
        <w:t>水位变化甚小，可忽略不计。</w:t>
      </w:r>
    </w:p>
    <w:p>
      <w:pPr>
        <w:spacing w:before="180" w:line="220" w:lineRule="auto"/>
        <w:ind w:left="487"/>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）水库水温改变分析</w:t>
      </w:r>
    </w:p>
    <w:p>
      <w:pPr>
        <w:spacing w:before="181" w:line="467" w:lineRule="exact"/>
        <w:ind w:left="492"/>
        <w:rPr>
          <w:rFonts w:ascii="宋体" w:hAnsi="宋体" w:eastAsia="宋体" w:cs="宋体"/>
          <w:sz w:val="24"/>
          <w:szCs w:val="24"/>
        </w:rPr>
      </w:pPr>
      <w:r>
        <w:rPr>
          <w:rFonts w:ascii="宋体" w:hAnsi="宋体" w:eastAsia="宋体" w:cs="宋体"/>
          <w:spacing w:val="2"/>
          <w:position w:val="17"/>
          <w:sz w:val="24"/>
          <w:szCs w:val="24"/>
        </w:rPr>
        <w:t>水库水温结构判别通常有参数</w:t>
      </w:r>
      <w:r>
        <w:rPr>
          <w:rFonts w:ascii="宋体" w:hAnsi="宋体" w:eastAsia="宋体" w:cs="宋体"/>
          <w:spacing w:val="-29"/>
          <w:position w:val="17"/>
          <w:sz w:val="24"/>
          <w:szCs w:val="24"/>
        </w:rPr>
        <w:t xml:space="preserve"> </w:t>
      </w:r>
      <w:r>
        <w:rPr>
          <w:rFonts w:ascii="Times New Roman" w:hAnsi="Times New Roman" w:eastAsia="Times New Roman" w:cs="Times New Roman"/>
          <w:spacing w:val="2"/>
          <w:position w:val="17"/>
          <w:sz w:val="24"/>
          <w:szCs w:val="24"/>
        </w:rPr>
        <w:t>α-</w:t>
      </w:r>
      <w:r>
        <w:rPr>
          <w:rFonts w:ascii="Times New Roman" w:hAnsi="Times New Roman" w:eastAsia="Times New Roman" w:cs="Times New Roman"/>
          <w:spacing w:val="-45"/>
          <w:position w:val="17"/>
          <w:sz w:val="24"/>
          <w:szCs w:val="24"/>
        </w:rPr>
        <w:t xml:space="preserve"> </w:t>
      </w:r>
      <w:r>
        <w:rPr>
          <w:rFonts w:ascii="Times New Roman" w:hAnsi="Times New Roman" w:eastAsia="Times New Roman" w:cs="Times New Roman"/>
          <w:spacing w:val="2"/>
          <w:position w:val="17"/>
          <w:sz w:val="24"/>
          <w:szCs w:val="24"/>
        </w:rPr>
        <w:t xml:space="preserve">β </w:t>
      </w:r>
      <w:r>
        <w:rPr>
          <w:rFonts w:ascii="宋体" w:hAnsi="宋体" w:eastAsia="宋体" w:cs="宋体"/>
          <w:spacing w:val="2"/>
          <w:position w:val="17"/>
          <w:sz w:val="24"/>
          <w:szCs w:val="24"/>
        </w:rPr>
        <w:t>判别法和</w:t>
      </w:r>
      <w:r>
        <w:rPr>
          <w:rFonts w:ascii="宋体" w:hAnsi="宋体" w:eastAsia="宋体" w:cs="宋体"/>
          <w:spacing w:val="-56"/>
          <w:position w:val="17"/>
          <w:sz w:val="24"/>
          <w:szCs w:val="24"/>
        </w:rPr>
        <w:t xml:space="preserve"> </w:t>
      </w:r>
      <w:r>
        <w:rPr>
          <w:rFonts w:ascii="Times New Roman" w:hAnsi="Times New Roman" w:eastAsia="Times New Roman" w:cs="Times New Roman"/>
          <w:position w:val="17"/>
          <w:sz w:val="24"/>
          <w:szCs w:val="24"/>
        </w:rPr>
        <w:t>Norton</w:t>
      </w:r>
      <w:r>
        <w:rPr>
          <w:rFonts w:ascii="Times New Roman" w:hAnsi="Times New Roman" w:eastAsia="Times New Roman" w:cs="Times New Roman"/>
          <w:spacing w:val="2"/>
          <w:position w:val="17"/>
          <w:sz w:val="24"/>
          <w:szCs w:val="24"/>
        </w:rPr>
        <w:t xml:space="preserve"> </w:t>
      </w:r>
      <w:r>
        <w:rPr>
          <w:rFonts w:ascii="宋体" w:hAnsi="宋体" w:eastAsia="宋体" w:cs="宋体"/>
          <w:spacing w:val="2"/>
          <w:position w:val="17"/>
          <w:sz w:val="24"/>
          <w:szCs w:val="24"/>
        </w:rPr>
        <w:t>密度佛汝德数判别法。本</w:t>
      </w:r>
    </w:p>
    <w:p>
      <w:pPr>
        <w:spacing w:line="218" w:lineRule="auto"/>
        <w:rPr>
          <w:rFonts w:ascii="宋体" w:hAnsi="宋体" w:eastAsia="宋体" w:cs="宋体"/>
          <w:sz w:val="24"/>
          <w:szCs w:val="24"/>
        </w:rPr>
      </w:pPr>
      <w:r>
        <w:rPr>
          <w:rFonts w:ascii="宋体" w:hAnsi="宋体" w:eastAsia="宋体" w:cs="宋体"/>
          <w:spacing w:val="3"/>
          <w:sz w:val="24"/>
          <w:szCs w:val="24"/>
        </w:rPr>
        <w:t>评价分别采用两种方法判别水库水温结构。</w:t>
      </w:r>
    </w:p>
    <w:p>
      <w:pPr>
        <w:spacing w:before="183" w:line="213" w:lineRule="auto"/>
        <w:ind w:left="488"/>
        <w:rPr>
          <w:rFonts w:ascii="宋体" w:hAnsi="宋体" w:eastAsia="宋体" w:cs="宋体"/>
          <w:sz w:val="24"/>
          <w:szCs w:val="24"/>
        </w:rPr>
      </w:pPr>
      <w:r>
        <w:rPr>
          <w:rFonts w:ascii="Times New Roman" w:hAnsi="Times New Roman" w:eastAsia="Times New Roman" w:cs="Times New Roman"/>
          <w:spacing w:val="-4"/>
          <w:sz w:val="24"/>
          <w:szCs w:val="24"/>
        </w:rPr>
        <w:t>a.</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4"/>
          <w:sz w:val="24"/>
          <w:szCs w:val="24"/>
        </w:rPr>
        <w:t>α-</w:t>
      </w:r>
      <w:r>
        <w:rPr>
          <w:rFonts w:ascii="Times New Roman" w:hAnsi="Times New Roman" w:eastAsia="Times New Roman" w:cs="Times New Roman"/>
          <w:spacing w:val="-45"/>
          <w:sz w:val="24"/>
          <w:szCs w:val="24"/>
        </w:rPr>
        <w:t xml:space="preserve"> </w:t>
      </w:r>
      <w:r>
        <w:rPr>
          <w:rFonts w:ascii="Times New Roman" w:hAnsi="Times New Roman" w:eastAsia="Times New Roman" w:cs="Times New Roman"/>
          <w:spacing w:val="-4"/>
          <w:sz w:val="24"/>
          <w:szCs w:val="24"/>
        </w:rPr>
        <w:t>β</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判别法</w:t>
      </w:r>
    </w:p>
    <w:p>
      <w:pPr>
        <w:spacing w:before="190" w:line="213" w:lineRule="auto"/>
        <w:ind w:left="484"/>
        <w:rPr>
          <w:rFonts w:ascii="宋体" w:hAnsi="宋体" w:eastAsia="宋体" w:cs="宋体"/>
          <w:sz w:val="24"/>
          <w:szCs w:val="24"/>
        </w:rPr>
      </w:pPr>
      <w:r>
        <w:rPr>
          <w:rFonts w:ascii="宋体" w:hAnsi="宋体" w:eastAsia="宋体" w:cs="宋体"/>
          <w:spacing w:val="-1"/>
          <w:sz w:val="24"/>
          <w:szCs w:val="24"/>
        </w:rPr>
        <w:t xml:space="preserve">项目采用 </w:t>
      </w:r>
      <w:r>
        <w:rPr>
          <w:rFonts w:ascii="Times New Roman" w:hAnsi="Times New Roman" w:eastAsia="Times New Roman" w:cs="Times New Roman"/>
          <w:spacing w:val="-1"/>
          <w:sz w:val="24"/>
          <w:szCs w:val="24"/>
        </w:rPr>
        <w:t>α-</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1"/>
          <w:sz w:val="24"/>
          <w:szCs w:val="24"/>
        </w:rPr>
        <w:t xml:space="preserve">β  </w:t>
      </w:r>
      <w:r>
        <w:rPr>
          <w:rFonts w:ascii="宋体" w:hAnsi="宋体" w:eastAsia="宋体" w:cs="宋体"/>
          <w:spacing w:val="-1"/>
          <w:sz w:val="24"/>
          <w:szCs w:val="24"/>
        </w:rPr>
        <w:t>参数判别法，对水库水温结构进行判别：</w:t>
      </w:r>
    </w:p>
    <w:p>
      <w:pPr>
        <w:spacing w:before="153" w:line="1620" w:lineRule="exact"/>
        <w:ind w:firstLine="3185"/>
      </w:pPr>
      <w:r>
        <w:rPr>
          <w:position w:val="-32"/>
        </w:rPr>
        <w:drawing>
          <wp:inline distT="0" distB="0" distL="0" distR="0">
            <wp:extent cx="1467485" cy="10287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96"/>
                    <a:stretch>
                      <a:fillRect/>
                    </a:stretch>
                  </pic:blipFill>
                  <pic:spPr>
                    <a:xfrm>
                      <a:off x="0" y="0"/>
                      <a:ext cx="1467485" cy="1028700"/>
                    </a:xfrm>
                    <a:prstGeom prst="rect">
                      <a:avLst/>
                    </a:prstGeom>
                  </pic:spPr>
                </pic:pic>
              </a:graphicData>
            </a:graphic>
          </wp:inline>
        </w:drawing>
      </w:r>
    </w:p>
    <w:p>
      <w:pPr>
        <w:spacing w:before="37" w:line="467" w:lineRule="exact"/>
        <w:ind w:left="420"/>
        <w:rPr>
          <w:rFonts w:ascii="宋体" w:hAnsi="宋体" w:eastAsia="宋体" w:cs="宋体"/>
          <w:sz w:val="24"/>
          <w:szCs w:val="24"/>
        </w:rPr>
      </w:pPr>
      <w:r>
        <w:rPr>
          <w:rFonts w:ascii="Times New Roman" w:hAnsi="Times New Roman" w:eastAsia="Times New Roman" w:cs="Times New Roman"/>
          <w:spacing w:val="-1"/>
          <w:position w:val="16"/>
          <w:sz w:val="21"/>
          <w:szCs w:val="21"/>
        </w:rPr>
        <w:t>α</w:t>
      </w:r>
      <w:r>
        <w:rPr>
          <w:rFonts w:ascii="Times New Roman" w:hAnsi="Times New Roman" w:eastAsia="Times New Roman" w:cs="Times New Roman"/>
          <w:spacing w:val="-1"/>
          <w:position w:val="16"/>
          <w:sz w:val="24"/>
          <w:szCs w:val="24"/>
        </w:rPr>
        <w:t>=</w:t>
      </w:r>
      <w:r>
        <w:rPr>
          <w:rFonts w:ascii="宋体" w:hAnsi="宋体" w:eastAsia="宋体" w:cs="宋体"/>
          <w:spacing w:val="-1"/>
          <w:position w:val="16"/>
          <w:sz w:val="24"/>
          <w:szCs w:val="24"/>
        </w:rPr>
        <w:t>多年平均径流量</w:t>
      </w:r>
      <w:r>
        <w:rPr>
          <w:rFonts w:ascii="Times New Roman" w:hAnsi="Times New Roman" w:eastAsia="Times New Roman" w:cs="Times New Roman"/>
          <w:spacing w:val="-1"/>
          <w:position w:val="16"/>
          <w:sz w:val="24"/>
          <w:szCs w:val="24"/>
        </w:rPr>
        <w:t>/</w:t>
      </w:r>
      <w:r>
        <w:rPr>
          <w:rFonts w:ascii="宋体" w:hAnsi="宋体" w:eastAsia="宋体" w:cs="宋体"/>
          <w:spacing w:val="-1"/>
          <w:position w:val="16"/>
          <w:sz w:val="24"/>
          <w:szCs w:val="24"/>
        </w:rPr>
        <w:t>水库总库容</w:t>
      </w:r>
    </w:p>
    <w:p>
      <w:pPr>
        <w:spacing w:line="228" w:lineRule="auto"/>
        <w:ind w:left="496"/>
        <w:rPr>
          <w:rFonts w:ascii="宋体" w:hAnsi="宋体" w:eastAsia="宋体" w:cs="宋体"/>
          <w:sz w:val="24"/>
          <w:szCs w:val="24"/>
        </w:rPr>
      </w:pPr>
      <w:r>
        <w:rPr>
          <w:rFonts w:ascii="宋体" w:hAnsi="宋体" w:eastAsia="宋体" w:cs="宋体"/>
          <w:spacing w:val="-7"/>
          <w:sz w:val="24"/>
          <w:szCs w:val="24"/>
        </w:rPr>
        <w:t>当</w:t>
      </w:r>
      <w:r>
        <w:rPr>
          <w:rFonts w:ascii="宋体" w:hAnsi="宋体" w:eastAsia="宋体" w:cs="宋体"/>
          <w:spacing w:val="-43"/>
          <w:sz w:val="24"/>
          <w:szCs w:val="24"/>
        </w:rPr>
        <w:t xml:space="preserve"> </w:t>
      </w:r>
      <w:r>
        <w:rPr>
          <w:rFonts w:ascii="Times New Roman" w:hAnsi="Times New Roman" w:eastAsia="Times New Roman" w:cs="Times New Roman"/>
          <w:spacing w:val="-7"/>
          <w:sz w:val="21"/>
          <w:szCs w:val="21"/>
        </w:rPr>
        <w:t>α</w:t>
      </w:r>
      <w:r>
        <w:rPr>
          <w:rFonts w:ascii="宋体" w:hAnsi="宋体" w:eastAsia="宋体" w:cs="宋体"/>
          <w:spacing w:val="-7"/>
          <w:sz w:val="24"/>
          <w:szCs w:val="24"/>
        </w:rPr>
        <w:t>＜</w:t>
      </w:r>
      <w:r>
        <w:rPr>
          <w:rFonts w:ascii="Times New Roman" w:hAnsi="Times New Roman" w:eastAsia="Times New Roman" w:cs="Times New Roman"/>
          <w:spacing w:val="-7"/>
          <w:sz w:val="24"/>
          <w:szCs w:val="24"/>
        </w:rPr>
        <w:t>10</w:t>
      </w:r>
      <w:r>
        <w:rPr>
          <w:rFonts w:ascii="宋体" w:hAnsi="宋体" w:eastAsia="宋体" w:cs="宋体"/>
          <w:spacing w:val="-7"/>
          <w:sz w:val="24"/>
          <w:szCs w:val="24"/>
        </w:rPr>
        <w:t>，水库为分层型；</w:t>
      </w:r>
    </w:p>
    <w:p>
      <w:pPr>
        <w:spacing w:before="170" w:line="467" w:lineRule="exact"/>
        <w:ind w:left="496"/>
        <w:rPr>
          <w:rFonts w:ascii="宋体" w:hAnsi="宋体" w:eastAsia="宋体" w:cs="宋体"/>
          <w:sz w:val="24"/>
          <w:szCs w:val="24"/>
        </w:rPr>
      </w:pPr>
      <w:r>
        <w:rPr>
          <w:rFonts w:ascii="宋体" w:hAnsi="宋体" w:eastAsia="宋体" w:cs="宋体"/>
          <w:spacing w:val="2"/>
          <w:position w:val="16"/>
          <w:sz w:val="24"/>
          <w:szCs w:val="24"/>
        </w:rPr>
        <w:t>当</w:t>
      </w:r>
      <w:r>
        <w:rPr>
          <w:rFonts w:ascii="Times New Roman" w:hAnsi="Times New Roman" w:eastAsia="Times New Roman" w:cs="Times New Roman"/>
          <w:spacing w:val="2"/>
          <w:position w:val="16"/>
          <w:sz w:val="24"/>
          <w:szCs w:val="24"/>
        </w:rPr>
        <w:t>10</w:t>
      </w:r>
      <w:r>
        <w:rPr>
          <w:rFonts w:ascii="宋体" w:hAnsi="宋体" w:eastAsia="宋体" w:cs="宋体"/>
          <w:spacing w:val="2"/>
          <w:position w:val="16"/>
          <w:sz w:val="24"/>
          <w:szCs w:val="24"/>
        </w:rPr>
        <w:t>&lt;</w:t>
      </w:r>
      <w:r>
        <w:rPr>
          <w:rFonts w:ascii="Times New Roman" w:hAnsi="Times New Roman" w:eastAsia="Times New Roman" w:cs="Times New Roman"/>
          <w:spacing w:val="2"/>
          <w:position w:val="16"/>
          <w:sz w:val="21"/>
          <w:szCs w:val="21"/>
        </w:rPr>
        <w:t>α</w:t>
      </w:r>
      <w:r>
        <w:rPr>
          <w:rFonts w:ascii="宋体" w:hAnsi="宋体" w:eastAsia="宋体" w:cs="宋体"/>
          <w:spacing w:val="2"/>
          <w:position w:val="16"/>
          <w:sz w:val="24"/>
          <w:szCs w:val="24"/>
        </w:rPr>
        <w:t>＜</w:t>
      </w:r>
      <w:r>
        <w:rPr>
          <w:rFonts w:ascii="Times New Roman" w:hAnsi="Times New Roman" w:eastAsia="Times New Roman" w:cs="Times New Roman"/>
          <w:spacing w:val="2"/>
          <w:position w:val="16"/>
          <w:sz w:val="24"/>
          <w:szCs w:val="24"/>
        </w:rPr>
        <w:t>20</w:t>
      </w:r>
      <w:r>
        <w:rPr>
          <w:rFonts w:ascii="宋体" w:hAnsi="宋体" w:eastAsia="宋体" w:cs="宋体"/>
          <w:spacing w:val="2"/>
          <w:position w:val="16"/>
          <w:sz w:val="24"/>
          <w:szCs w:val="24"/>
        </w:rPr>
        <w:t>，水库为过渡型；</w:t>
      </w:r>
    </w:p>
    <w:p>
      <w:pPr>
        <w:spacing w:line="228" w:lineRule="auto"/>
        <w:ind w:left="496"/>
        <w:rPr>
          <w:rFonts w:ascii="宋体" w:hAnsi="宋体" w:eastAsia="宋体" w:cs="宋体"/>
          <w:sz w:val="24"/>
          <w:szCs w:val="24"/>
        </w:rPr>
      </w:pPr>
      <w:r>
        <w:rPr>
          <w:rFonts w:ascii="宋体" w:hAnsi="宋体" w:eastAsia="宋体" w:cs="宋体"/>
          <w:spacing w:val="2"/>
          <w:sz w:val="24"/>
          <w:szCs w:val="24"/>
        </w:rPr>
        <w:t>当</w:t>
      </w:r>
      <w:r>
        <w:rPr>
          <w:rFonts w:ascii="宋体" w:hAnsi="宋体" w:eastAsia="宋体" w:cs="宋体"/>
          <w:spacing w:val="-40"/>
          <w:sz w:val="24"/>
          <w:szCs w:val="24"/>
        </w:rPr>
        <w:t xml:space="preserve"> </w:t>
      </w:r>
      <w:r>
        <w:rPr>
          <w:rFonts w:ascii="Times New Roman" w:hAnsi="Times New Roman" w:eastAsia="Times New Roman" w:cs="Times New Roman"/>
          <w:spacing w:val="2"/>
          <w:sz w:val="21"/>
          <w:szCs w:val="21"/>
        </w:rPr>
        <w:t>α</w:t>
      </w:r>
      <w:r>
        <w:rPr>
          <w:rFonts w:ascii="宋体" w:hAnsi="宋体" w:eastAsia="宋体" w:cs="宋体"/>
          <w:spacing w:val="2"/>
          <w:sz w:val="24"/>
          <w:szCs w:val="24"/>
        </w:rPr>
        <w:t>&gt;</w:t>
      </w:r>
      <w:r>
        <w:rPr>
          <w:rFonts w:ascii="Times New Roman" w:hAnsi="Times New Roman" w:eastAsia="Times New Roman" w:cs="Times New Roman"/>
          <w:spacing w:val="2"/>
          <w:sz w:val="24"/>
          <w:szCs w:val="24"/>
        </w:rPr>
        <w:t>20</w:t>
      </w:r>
      <w:r>
        <w:rPr>
          <w:rFonts w:ascii="宋体" w:hAnsi="宋体" w:eastAsia="宋体" w:cs="宋体"/>
          <w:spacing w:val="2"/>
          <w:sz w:val="24"/>
          <w:szCs w:val="24"/>
        </w:rPr>
        <w:t>，水库为混合型；</w:t>
      </w:r>
    </w:p>
    <w:p>
      <w:pPr>
        <w:spacing w:before="170" w:line="213" w:lineRule="auto"/>
        <w:ind w:left="484"/>
        <w:rPr>
          <w:rFonts w:ascii="宋体" w:hAnsi="宋体" w:eastAsia="宋体" w:cs="宋体"/>
          <w:sz w:val="24"/>
          <w:szCs w:val="24"/>
        </w:rPr>
      </w:pPr>
      <w:r>
        <w:rPr>
          <w:rFonts w:ascii="Times New Roman" w:hAnsi="Times New Roman" w:eastAsia="Times New Roman" w:cs="Times New Roman"/>
          <w:spacing w:val="-2"/>
          <w:sz w:val="24"/>
          <w:szCs w:val="24"/>
        </w:rPr>
        <w:t>β=</w:t>
      </w:r>
      <w:r>
        <w:rPr>
          <w:rFonts w:ascii="宋体" w:hAnsi="宋体" w:eastAsia="宋体" w:cs="宋体"/>
          <w:spacing w:val="-2"/>
          <w:sz w:val="24"/>
          <w:szCs w:val="24"/>
        </w:rPr>
        <w:t>一次洪量</w:t>
      </w:r>
      <w:r>
        <w:rPr>
          <w:rFonts w:ascii="Times New Roman" w:hAnsi="Times New Roman" w:eastAsia="Times New Roman" w:cs="Times New Roman"/>
          <w:spacing w:val="-2"/>
          <w:sz w:val="24"/>
          <w:szCs w:val="24"/>
        </w:rPr>
        <w:t>/</w:t>
      </w:r>
      <w:r>
        <w:rPr>
          <w:rFonts w:ascii="宋体" w:hAnsi="宋体" w:eastAsia="宋体" w:cs="宋体"/>
          <w:spacing w:val="-2"/>
          <w:sz w:val="24"/>
          <w:szCs w:val="24"/>
        </w:rPr>
        <w:t>水库总库容</w:t>
      </w:r>
    </w:p>
    <w:p>
      <w:pPr>
        <w:spacing w:before="191" w:line="477" w:lineRule="exact"/>
        <w:ind w:left="484"/>
        <w:rPr>
          <w:rFonts w:ascii="宋体" w:hAnsi="宋体" w:eastAsia="宋体" w:cs="宋体"/>
          <w:sz w:val="24"/>
          <w:szCs w:val="24"/>
        </w:rPr>
      </w:pPr>
      <w:r>
        <w:rPr>
          <w:rFonts w:ascii="宋体" w:hAnsi="宋体" w:eastAsia="宋体" w:cs="宋体"/>
          <w:spacing w:val="-1"/>
          <w:position w:val="16"/>
          <w:sz w:val="24"/>
          <w:szCs w:val="24"/>
        </w:rPr>
        <w:t>项目坝址断面多年平均流量为</w:t>
      </w:r>
      <w:r>
        <w:rPr>
          <w:rFonts w:ascii="宋体" w:hAnsi="宋体" w:eastAsia="宋体" w:cs="宋体"/>
          <w:spacing w:val="-51"/>
          <w:position w:val="16"/>
          <w:sz w:val="24"/>
          <w:szCs w:val="24"/>
        </w:rPr>
        <w:t xml:space="preserve"> </w:t>
      </w:r>
      <w:r>
        <w:rPr>
          <w:rFonts w:ascii="Times New Roman" w:hAnsi="Times New Roman" w:eastAsia="Times New Roman" w:cs="Times New Roman"/>
          <w:spacing w:val="-1"/>
          <w:position w:val="16"/>
          <w:sz w:val="24"/>
          <w:szCs w:val="24"/>
        </w:rPr>
        <w:t>0.74m</w:t>
      </w:r>
      <w:r>
        <w:rPr>
          <w:rFonts w:ascii="Times New Roman" w:hAnsi="Times New Roman" w:eastAsia="Times New Roman" w:cs="Times New Roman"/>
          <w:spacing w:val="-1"/>
          <w:position w:val="25"/>
          <w:sz w:val="15"/>
          <w:szCs w:val="15"/>
        </w:rPr>
        <w:t>3</w:t>
      </w:r>
      <w:r>
        <w:rPr>
          <w:rFonts w:ascii="Times New Roman" w:hAnsi="Times New Roman" w:eastAsia="Times New Roman" w:cs="Times New Roman"/>
          <w:spacing w:val="-1"/>
          <w:position w:val="16"/>
          <w:sz w:val="24"/>
          <w:szCs w:val="24"/>
        </w:rPr>
        <w:t>/s</w:t>
      </w:r>
      <w:r>
        <w:rPr>
          <w:rFonts w:ascii="宋体" w:hAnsi="宋体" w:eastAsia="宋体" w:cs="宋体"/>
          <w:spacing w:val="-1"/>
          <w:position w:val="16"/>
          <w:sz w:val="24"/>
          <w:szCs w:val="24"/>
        </w:rPr>
        <w:t>，多年平</w:t>
      </w:r>
      <w:r>
        <w:rPr>
          <w:rFonts w:ascii="宋体" w:hAnsi="宋体" w:eastAsia="宋体" w:cs="宋体"/>
          <w:spacing w:val="-2"/>
          <w:position w:val="16"/>
          <w:sz w:val="24"/>
          <w:szCs w:val="24"/>
        </w:rPr>
        <w:t>均径流量为</w:t>
      </w:r>
      <w:r>
        <w:rPr>
          <w:rFonts w:ascii="宋体" w:hAnsi="宋体" w:eastAsia="宋体" w:cs="宋体"/>
          <w:spacing w:val="-55"/>
          <w:position w:val="16"/>
          <w:sz w:val="24"/>
          <w:szCs w:val="24"/>
        </w:rPr>
        <w:t xml:space="preserve"> </w:t>
      </w:r>
      <w:r>
        <w:rPr>
          <w:rFonts w:ascii="Times New Roman" w:hAnsi="Times New Roman" w:eastAsia="Times New Roman" w:cs="Times New Roman"/>
          <w:spacing w:val="-2"/>
          <w:position w:val="16"/>
          <w:sz w:val="24"/>
          <w:szCs w:val="24"/>
        </w:rPr>
        <w:t>2357</w:t>
      </w:r>
      <w:r>
        <w:rPr>
          <w:rFonts w:ascii="Times New Roman" w:hAnsi="Times New Roman" w:eastAsia="Times New Roman" w:cs="Times New Roman"/>
          <w:spacing w:val="15"/>
          <w:position w:val="16"/>
          <w:sz w:val="24"/>
          <w:szCs w:val="24"/>
        </w:rPr>
        <w:t xml:space="preserve"> </w:t>
      </w:r>
      <w:r>
        <w:rPr>
          <w:rFonts w:ascii="宋体" w:hAnsi="宋体" w:eastAsia="宋体" w:cs="宋体"/>
          <w:spacing w:val="-2"/>
          <w:position w:val="16"/>
          <w:sz w:val="24"/>
          <w:szCs w:val="24"/>
        </w:rPr>
        <w:t>万</w:t>
      </w:r>
      <w:r>
        <w:rPr>
          <w:rFonts w:ascii="宋体" w:hAnsi="宋体" w:eastAsia="宋体" w:cs="宋体"/>
          <w:spacing w:val="-58"/>
          <w:position w:val="16"/>
          <w:sz w:val="24"/>
          <w:szCs w:val="24"/>
        </w:rPr>
        <w:t xml:space="preserve"> </w:t>
      </w:r>
      <w:r>
        <w:rPr>
          <w:rFonts w:ascii="Times New Roman" w:hAnsi="Times New Roman" w:eastAsia="Times New Roman" w:cs="Times New Roman"/>
          <w:spacing w:val="-2"/>
          <w:position w:val="16"/>
          <w:sz w:val="24"/>
          <w:szCs w:val="24"/>
        </w:rPr>
        <w:t>m</w:t>
      </w:r>
      <w:r>
        <w:rPr>
          <w:rFonts w:ascii="Times New Roman" w:hAnsi="Times New Roman" w:eastAsia="Times New Roman" w:cs="Times New Roman"/>
          <w:spacing w:val="-2"/>
          <w:position w:val="25"/>
          <w:sz w:val="15"/>
          <w:szCs w:val="15"/>
        </w:rPr>
        <w:t>3</w:t>
      </w:r>
      <w:r>
        <w:rPr>
          <w:rFonts w:ascii="Times New Roman" w:hAnsi="Times New Roman" w:eastAsia="Times New Roman" w:cs="Times New Roman"/>
          <w:spacing w:val="-11"/>
          <w:position w:val="25"/>
          <w:sz w:val="15"/>
          <w:szCs w:val="15"/>
        </w:rPr>
        <w:t xml:space="preserve"> </w:t>
      </w:r>
      <w:r>
        <w:rPr>
          <w:rFonts w:ascii="宋体" w:hAnsi="宋体" w:eastAsia="宋体" w:cs="宋体"/>
          <w:spacing w:val="-2"/>
          <w:position w:val="16"/>
          <w:sz w:val="24"/>
          <w:szCs w:val="24"/>
        </w:rPr>
        <w:t>，库区</w:t>
      </w:r>
    </w:p>
    <w:p>
      <w:pPr>
        <w:spacing w:before="1"/>
        <w:ind w:left="3"/>
        <w:rPr>
          <w:rFonts w:ascii="宋体" w:hAnsi="宋体" w:eastAsia="宋体" w:cs="宋体"/>
          <w:sz w:val="24"/>
          <w:szCs w:val="24"/>
        </w:rPr>
      </w:pPr>
      <w:r>
        <w:rPr>
          <w:rFonts w:ascii="宋体" w:hAnsi="宋体" w:eastAsia="宋体" w:cs="宋体"/>
          <w:spacing w:val="-5"/>
          <w:sz w:val="24"/>
          <w:szCs w:val="24"/>
        </w:rPr>
        <w:t>总库容为</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1192.7</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9"/>
          <w:sz w:val="15"/>
          <w:szCs w:val="15"/>
        </w:rPr>
        <w:t>3</w:t>
      </w:r>
      <w:r>
        <w:rPr>
          <w:rFonts w:ascii="Times New Roman" w:hAnsi="Times New Roman" w:eastAsia="Times New Roman" w:cs="Times New Roman"/>
          <w:spacing w:val="-12"/>
          <w:position w:val="9"/>
          <w:sz w:val="15"/>
          <w:szCs w:val="15"/>
        </w:rPr>
        <w:t xml:space="preserve"> </w:t>
      </w:r>
      <w:r>
        <w:rPr>
          <w:rFonts w:ascii="宋体" w:hAnsi="宋体" w:eastAsia="宋体" w:cs="宋体"/>
          <w:spacing w:val="-8"/>
          <w:sz w:val="24"/>
          <w:szCs w:val="24"/>
        </w:rPr>
        <w:t xml:space="preserve">，经计算， </w:t>
      </w:r>
      <w:r>
        <w:rPr>
          <w:rFonts w:ascii="Times New Roman" w:hAnsi="Times New Roman" w:eastAsia="Times New Roman" w:cs="Times New Roman"/>
          <w:spacing w:val="-8"/>
          <w:sz w:val="24"/>
          <w:szCs w:val="24"/>
        </w:rPr>
        <w:t xml:space="preserve">α </w:t>
      </w:r>
      <w:r>
        <w:rPr>
          <w:rFonts w:ascii="宋体" w:hAnsi="宋体" w:eastAsia="宋体" w:cs="宋体"/>
          <w:spacing w:val="-8"/>
          <w:sz w:val="24"/>
          <w:szCs w:val="24"/>
        </w:rPr>
        <w:t>等于</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1.98</w:t>
      </w:r>
      <w:r>
        <w:rPr>
          <w:rFonts w:ascii="宋体" w:hAnsi="宋体" w:eastAsia="宋体" w:cs="宋体"/>
          <w:spacing w:val="-8"/>
          <w:sz w:val="24"/>
          <w:szCs w:val="24"/>
        </w:rPr>
        <w:t>，水库水温结构为分层型。</w:t>
      </w:r>
    </w:p>
    <w:p>
      <w:pPr>
        <w:spacing w:before="163" w:line="359" w:lineRule="auto"/>
        <w:ind w:left="19" w:right="358" w:firstLine="460"/>
        <w:rPr>
          <w:rFonts w:ascii="宋体" w:hAnsi="宋体" w:eastAsia="宋体" w:cs="宋体"/>
          <w:sz w:val="24"/>
          <w:szCs w:val="24"/>
        </w:rPr>
      </w:pPr>
      <w:r>
        <w:rPr>
          <w:rFonts w:ascii="宋体" w:hAnsi="宋体" w:eastAsia="宋体" w:cs="宋体"/>
          <w:spacing w:val="-4"/>
          <w:sz w:val="24"/>
          <w:szCs w:val="24"/>
        </w:rPr>
        <w:t>选取设计洪水</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P=3.33%</w:t>
      </w:r>
      <w:r>
        <w:rPr>
          <w:rFonts w:ascii="宋体" w:hAnsi="宋体" w:eastAsia="宋体" w:cs="宋体"/>
          <w:spacing w:val="-4"/>
          <w:sz w:val="24"/>
          <w:szCs w:val="24"/>
        </w:rPr>
        <w:t>的</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1"/>
          <w:sz w:val="24"/>
          <w:szCs w:val="24"/>
        </w:rPr>
        <w:t xml:space="preserve"> </w:t>
      </w:r>
      <w:r>
        <w:rPr>
          <w:rFonts w:ascii="宋体" w:hAnsi="宋体" w:eastAsia="宋体" w:cs="宋体"/>
          <w:spacing w:val="-4"/>
          <w:sz w:val="24"/>
          <w:szCs w:val="24"/>
        </w:rPr>
        <w:t>日一次洪</w:t>
      </w:r>
      <w:r>
        <w:rPr>
          <w:rFonts w:ascii="宋体" w:hAnsi="宋体" w:eastAsia="宋体" w:cs="宋体"/>
          <w:spacing w:val="-5"/>
          <w:sz w:val="24"/>
          <w:szCs w:val="24"/>
        </w:rPr>
        <w:t>量分别为</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821</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5"/>
          <w:sz w:val="24"/>
          <w:szCs w:val="24"/>
        </w:rPr>
        <w:t>，计算水库的</w:t>
      </w:r>
      <w:r>
        <w:rPr>
          <w:rFonts w:ascii="宋体" w:hAnsi="宋体" w:eastAsia="宋体" w:cs="宋体"/>
          <w:spacing w:val="-29"/>
          <w:sz w:val="24"/>
          <w:szCs w:val="24"/>
        </w:rPr>
        <w:t xml:space="preserve"> </w:t>
      </w:r>
      <w:r>
        <w:rPr>
          <w:rFonts w:ascii="Times New Roman" w:hAnsi="Times New Roman" w:eastAsia="Times New Roman" w:cs="Times New Roman"/>
          <w:spacing w:val="-5"/>
          <w:sz w:val="24"/>
          <w:szCs w:val="24"/>
        </w:rPr>
        <w:t xml:space="preserve">β </w:t>
      </w:r>
      <w:r>
        <w:rPr>
          <w:rFonts w:ascii="宋体" w:hAnsi="宋体" w:eastAsia="宋体" w:cs="宋体"/>
          <w:spacing w:val="-5"/>
          <w:sz w:val="24"/>
          <w:szCs w:val="24"/>
        </w:rPr>
        <w:t>值为</w:t>
      </w:r>
      <w:r>
        <w:rPr>
          <w:rFonts w:ascii="宋体" w:hAnsi="宋体" w:eastAsia="宋体" w:cs="宋体"/>
          <w:sz w:val="24"/>
          <w:szCs w:val="24"/>
        </w:rPr>
        <w:t xml:space="preserve"> </w:t>
      </w:r>
      <w:r>
        <w:rPr>
          <w:rFonts w:ascii="Times New Roman" w:hAnsi="Times New Roman" w:eastAsia="Times New Roman" w:cs="Times New Roman"/>
          <w:sz w:val="24"/>
          <w:szCs w:val="24"/>
        </w:rPr>
        <w:t>1.19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0.69</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w:t>
      </w:r>
      <w:r>
        <w:rPr>
          <w:rFonts w:ascii="Times New Roman" w:hAnsi="Times New Roman" w:eastAsia="Times New Roman" w:cs="Times New Roman"/>
          <w:sz w:val="24"/>
          <w:szCs w:val="24"/>
        </w:rPr>
        <w:t xml:space="preserve">β </w:t>
      </w:r>
      <w:r>
        <w:rPr>
          <w:rFonts w:ascii="宋体" w:hAnsi="宋体" w:eastAsia="宋体" w:cs="宋体"/>
          <w:sz w:val="24"/>
          <w:szCs w:val="24"/>
        </w:rPr>
        <w:t>值均大于</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0.5</w:t>
      </w:r>
      <w:r>
        <w:rPr>
          <w:rFonts w:ascii="宋体" w:hAnsi="宋体" w:eastAsia="宋体" w:cs="宋体"/>
          <w:sz w:val="24"/>
          <w:szCs w:val="24"/>
        </w:rPr>
        <w:t>，说明洪水对水库水温结构有一定影响，如遇</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β</w:t>
      </w:r>
      <w:r>
        <w:rPr>
          <w:rFonts w:ascii="宋体" w:hAnsi="宋体" w:eastAsia="宋体" w:cs="宋体"/>
          <w:spacing w:val="-1"/>
          <w:sz w:val="24"/>
          <w:szCs w:val="24"/>
        </w:rPr>
        <w:t>&gt;</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的</w:t>
      </w:r>
    </w:p>
    <w:p>
      <w:pPr>
        <w:spacing w:line="219" w:lineRule="auto"/>
        <w:ind w:left="2"/>
        <w:rPr>
          <w:rFonts w:ascii="宋体" w:hAnsi="宋体" w:eastAsia="宋体" w:cs="宋体"/>
          <w:sz w:val="24"/>
          <w:szCs w:val="24"/>
        </w:rPr>
      </w:pPr>
      <w:r>
        <w:rPr>
          <w:rFonts w:ascii="宋体" w:hAnsi="宋体" w:eastAsia="宋体" w:cs="宋体"/>
          <w:spacing w:val="-1"/>
          <w:sz w:val="24"/>
          <w:szCs w:val="24"/>
        </w:rPr>
        <w:t>洪水，将出现临时混合现象。</w:t>
      </w:r>
    </w:p>
    <w:p>
      <w:pPr>
        <w:spacing w:before="183" w:line="233" w:lineRule="auto"/>
        <w:ind w:left="479"/>
        <w:rPr>
          <w:rFonts w:ascii="宋体" w:hAnsi="宋体" w:eastAsia="宋体" w:cs="宋体"/>
          <w:sz w:val="24"/>
          <w:szCs w:val="24"/>
        </w:rPr>
      </w:pPr>
      <w:r>
        <w:rPr>
          <w:rFonts w:ascii="Times New Roman" w:hAnsi="Times New Roman" w:eastAsia="Times New Roman" w:cs="Times New Roman"/>
          <w:spacing w:val="1"/>
          <w:sz w:val="24"/>
          <w:szCs w:val="24"/>
        </w:rPr>
        <w:t>b.</w:t>
      </w:r>
      <w:r>
        <w:rPr>
          <w:rFonts w:ascii="Times New Roman" w:hAnsi="Times New Roman" w:eastAsia="Times New Roman" w:cs="Times New Roman"/>
          <w:spacing w:val="62"/>
          <w:sz w:val="24"/>
          <w:szCs w:val="24"/>
        </w:rPr>
        <w:t xml:space="preserve"> </w:t>
      </w:r>
      <w:r>
        <w:rPr>
          <w:rFonts w:ascii="宋体" w:hAnsi="宋体" w:eastAsia="宋体" w:cs="宋体"/>
          <w:spacing w:val="1"/>
          <w:sz w:val="24"/>
          <w:szCs w:val="24"/>
        </w:rPr>
        <w:t>密度弗劳德数法</w:t>
      </w:r>
    </w:p>
    <w:p>
      <w:pPr>
        <w:spacing w:before="162" w:line="220" w:lineRule="auto"/>
        <w:ind w:left="481"/>
        <w:rPr>
          <w:rFonts w:ascii="宋体" w:hAnsi="宋体" w:eastAsia="宋体" w:cs="宋体"/>
          <w:sz w:val="24"/>
          <w:szCs w:val="24"/>
        </w:rPr>
      </w:pPr>
      <w:r>
        <w:rPr>
          <w:rFonts w:ascii="宋体" w:hAnsi="宋体" w:eastAsia="宋体" w:cs="宋体"/>
          <w:spacing w:val="-5"/>
          <w:sz w:val="24"/>
          <w:szCs w:val="24"/>
        </w:rPr>
        <w:t>密度弗劳德数法计算公式为：</w:t>
      </w:r>
    </w:p>
    <w:p>
      <w:pPr>
        <w:spacing w:before="202" w:line="196" w:lineRule="auto"/>
        <w:ind w:left="374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Fr =</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1"/>
          <w:sz w:val="24"/>
          <w:szCs w:val="24"/>
        </w:rPr>
        <w:t>320 LQ /HV</w:t>
      </w:r>
    </w:p>
    <w:p>
      <w:pPr>
        <w:spacing w:before="167" w:line="220" w:lineRule="auto"/>
        <w:ind w:left="485"/>
        <w:rPr>
          <w:rFonts w:ascii="宋体" w:hAnsi="宋体" w:eastAsia="宋体" w:cs="宋体"/>
          <w:sz w:val="24"/>
          <w:szCs w:val="24"/>
        </w:rPr>
      </w:pPr>
      <w:r>
        <w:rPr>
          <w:rFonts w:ascii="宋体" w:hAnsi="宋体" w:eastAsia="宋体" w:cs="宋体"/>
          <w:spacing w:val="-14"/>
          <w:sz w:val="24"/>
          <w:szCs w:val="24"/>
        </w:rPr>
        <w:t xml:space="preserve">式中： </w:t>
      </w:r>
      <w:r>
        <w:rPr>
          <w:rFonts w:ascii="Times New Roman" w:hAnsi="Times New Roman" w:eastAsia="Times New Roman" w:cs="Times New Roman"/>
          <w:spacing w:val="-14"/>
          <w:sz w:val="24"/>
          <w:szCs w:val="24"/>
        </w:rPr>
        <w:t>Fr-</w:t>
      </w:r>
      <w:r>
        <w:rPr>
          <w:rFonts w:ascii="宋体" w:hAnsi="宋体" w:eastAsia="宋体" w:cs="宋体"/>
          <w:spacing w:val="-14"/>
          <w:sz w:val="24"/>
          <w:szCs w:val="24"/>
        </w:rPr>
        <w:t>密度弗劳德数；</w:t>
      </w:r>
    </w:p>
    <w:p>
      <w:pPr>
        <w:spacing w:before="184" w:line="233" w:lineRule="auto"/>
        <w:ind w:left="1196"/>
        <w:rPr>
          <w:rFonts w:ascii="宋体" w:hAnsi="宋体" w:eastAsia="宋体" w:cs="宋体"/>
          <w:sz w:val="24"/>
          <w:szCs w:val="24"/>
        </w:rPr>
      </w:pPr>
      <w:r>
        <w:rPr>
          <w:rFonts w:ascii="Times New Roman" w:hAnsi="Times New Roman" w:eastAsia="Times New Roman" w:cs="Times New Roman"/>
          <w:spacing w:val="-1"/>
          <w:sz w:val="24"/>
          <w:szCs w:val="24"/>
        </w:rPr>
        <w:t>L-</w:t>
      </w:r>
      <w:r>
        <w:rPr>
          <w:rFonts w:ascii="宋体" w:hAnsi="宋体" w:eastAsia="宋体" w:cs="宋体"/>
          <w:spacing w:val="-1"/>
          <w:sz w:val="24"/>
          <w:szCs w:val="24"/>
        </w:rPr>
        <w:t>水库长度（</w:t>
      </w:r>
      <w:r>
        <w:rPr>
          <w:rFonts w:ascii="Times New Roman" w:hAnsi="Times New Roman" w:eastAsia="Times New Roman" w:cs="Times New Roman"/>
          <w:spacing w:val="-1"/>
          <w:sz w:val="24"/>
          <w:szCs w:val="24"/>
        </w:rPr>
        <w:t>m</w:t>
      </w:r>
      <w:r>
        <w:rPr>
          <w:rFonts w:ascii="宋体" w:hAnsi="宋体" w:eastAsia="宋体" w:cs="宋体"/>
          <w:spacing w:val="-43"/>
          <w:sz w:val="24"/>
          <w:szCs w:val="24"/>
        </w:rPr>
        <w:t>）；</w:t>
      </w:r>
    </w:p>
    <w:p>
      <w:pPr>
        <w:spacing w:before="163" w:line="216" w:lineRule="auto"/>
        <w:ind w:left="1200"/>
        <w:rPr>
          <w:rFonts w:ascii="宋体" w:hAnsi="宋体" w:eastAsia="宋体" w:cs="宋体"/>
          <w:sz w:val="24"/>
          <w:szCs w:val="24"/>
        </w:rPr>
      </w:pPr>
      <w:r>
        <w:rPr>
          <w:rFonts w:ascii="Times New Roman" w:hAnsi="Times New Roman" w:eastAsia="Times New Roman" w:cs="Times New Roman"/>
          <w:spacing w:val="-1"/>
          <w:sz w:val="24"/>
          <w:szCs w:val="24"/>
        </w:rPr>
        <w:t>Q-</w:t>
      </w:r>
      <w:r>
        <w:rPr>
          <w:rFonts w:ascii="宋体" w:hAnsi="宋体" w:eastAsia="宋体" w:cs="宋体"/>
          <w:spacing w:val="-1"/>
          <w:sz w:val="24"/>
          <w:szCs w:val="24"/>
        </w:rPr>
        <w:t>入流量（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41"/>
          <w:sz w:val="24"/>
          <w:szCs w:val="24"/>
        </w:rPr>
        <w:t>）；</w:t>
      </w:r>
    </w:p>
    <w:p>
      <w:pPr>
        <w:spacing w:before="187" w:line="233" w:lineRule="auto"/>
        <w:ind w:left="1196"/>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平均水深（</w:t>
      </w:r>
      <w:r>
        <w:rPr>
          <w:rFonts w:ascii="Times New Roman" w:hAnsi="Times New Roman" w:eastAsia="Times New Roman" w:cs="Times New Roman"/>
          <w:spacing w:val="-1"/>
          <w:sz w:val="24"/>
          <w:szCs w:val="24"/>
        </w:rPr>
        <w:t>m</w:t>
      </w:r>
      <w:r>
        <w:rPr>
          <w:rFonts w:ascii="宋体" w:hAnsi="宋体" w:eastAsia="宋体" w:cs="宋体"/>
          <w:spacing w:val="-43"/>
          <w:sz w:val="24"/>
          <w:szCs w:val="24"/>
        </w:rPr>
        <w:t>）；</w:t>
      </w:r>
    </w:p>
    <w:p>
      <w:pPr>
        <w:spacing w:before="164" w:line="233" w:lineRule="auto"/>
        <w:ind w:left="1194"/>
        <w:rPr>
          <w:rFonts w:ascii="宋体" w:hAnsi="宋体" w:eastAsia="宋体" w:cs="宋体"/>
          <w:sz w:val="24"/>
          <w:szCs w:val="24"/>
        </w:rPr>
      </w:pPr>
      <w:r>
        <w:rPr>
          <w:rFonts w:ascii="Times New Roman" w:hAnsi="Times New Roman" w:eastAsia="Times New Roman" w:cs="Times New Roman"/>
          <w:spacing w:val="-7"/>
          <w:sz w:val="24"/>
          <w:szCs w:val="24"/>
        </w:rPr>
        <w:t>V-</w:t>
      </w:r>
      <w:r>
        <w:rPr>
          <w:rFonts w:ascii="宋体" w:hAnsi="宋体" w:eastAsia="宋体" w:cs="宋体"/>
          <w:spacing w:val="-7"/>
          <w:sz w:val="24"/>
          <w:szCs w:val="24"/>
        </w:rPr>
        <w:t>蓄水体的体积（</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8"/>
          <w:sz w:val="15"/>
          <w:szCs w:val="15"/>
        </w:rPr>
        <w:t>3</w:t>
      </w:r>
      <w:r>
        <w:rPr>
          <w:rFonts w:ascii="宋体" w:hAnsi="宋体" w:eastAsia="宋体" w:cs="宋体"/>
          <w:spacing w:val="-7"/>
          <w:sz w:val="24"/>
          <w:szCs w:val="24"/>
        </w:rPr>
        <w:t>）。</w:t>
      </w:r>
    </w:p>
    <w:p>
      <w:pPr>
        <w:spacing w:before="163" w:line="467" w:lineRule="exact"/>
        <w:ind w:left="1216"/>
        <w:rPr>
          <w:rFonts w:ascii="宋体" w:hAnsi="宋体" w:eastAsia="宋体" w:cs="宋体"/>
          <w:sz w:val="24"/>
          <w:szCs w:val="24"/>
        </w:rPr>
      </w:pPr>
      <w:r>
        <w:rPr>
          <w:rFonts w:ascii="宋体" w:hAnsi="宋体" w:eastAsia="宋体" w:cs="宋体"/>
          <w:spacing w:val="-5"/>
          <w:position w:val="17"/>
          <w:sz w:val="24"/>
          <w:szCs w:val="24"/>
        </w:rPr>
        <w:t xml:space="preserve">当 </w:t>
      </w:r>
      <w:r>
        <w:rPr>
          <w:rFonts w:ascii="Times New Roman" w:hAnsi="Times New Roman" w:eastAsia="Times New Roman" w:cs="Times New Roman"/>
          <w:spacing w:val="-5"/>
          <w:position w:val="17"/>
          <w:sz w:val="24"/>
          <w:szCs w:val="24"/>
        </w:rPr>
        <w:t>Fr&lt;0.1</w:t>
      </w:r>
      <w:r>
        <w:rPr>
          <w:rFonts w:ascii="宋体" w:hAnsi="宋体" w:eastAsia="宋体" w:cs="宋体"/>
          <w:spacing w:val="-5"/>
          <w:position w:val="17"/>
          <w:sz w:val="24"/>
          <w:szCs w:val="24"/>
        </w:rPr>
        <w:t>，水库为分层型；</w:t>
      </w:r>
    </w:p>
    <w:p>
      <w:pPr>
        <w:spacing w:before="1" w:line="219" w:lineRule="auto"/>
        <w:ind w:left="1200"/>
        <w:rPr>
          <w:rFonts w:ascii="宋体" w:hAnsi="宋体" w:eastAsia="宋体" w:cs="宋体"/>
          <w:sz w:val="24"/>
          <w:szCs w:val="24"/>
        </w:rPr>
      </w:pPr>
      <w:r>
        <w:rPr>
          <w:rFonts w:ascii="Times New Roman" w:hAnsi="Times New Roman" w:eastAsia="Times New Roman" w:cs="Times New Roman"/>
          <w:spacing w:val="-3"/>
          <w:sz w:val="24"/>
          <w:szCs w:val="24"/>
        </w:rPr>
        <w:t>0.1&lt;Fr&lt;1.0</w:t>
      </w:r>
      <w:r>
        <w:rPr>
          <w:rFonts w:ascii="宋体" w:hAnsi="宋体" w:eastAsia="宋体" w:cs="宋体"/>
          <w:spacing w:val="-3"/>
          <w:sz w:val="24"/>
          <w:szCs w:val="24"/>
        </w:rPr>
        <w:t>，水库为过渡性；</w:t>
      </w:r>
    </w:p>
    <w:p>
      <w:pPr>
        <w:spacing w:line="219" w:lineRule="auto"/>
        <w:rPr>
          <w:rFonts w:ascii="宋体" w:hAnsi="宋体" w:eastAsia="宋体" w:cs="宋体"/>
          <w:sz w:val="24"/>
          <w:szCs w:val="24"/>
        </w:rPr>
        <w:sectPr>
          <w:footerReference r:id="rId158" w:type="default"/>
          <w:pgSz w:w="11920" w:h="16840"/>
          <w:pgMar w:top="1066" w:right="1398" w:bottom="1358" w:left="1668" w:header="865" w:footer="1195" w:gutter="0"/>
        </w:sectPr>
      </w:pPr>
    </w:p>
    <w:p>
      <w:pPr>
        <w:spacing w:before="68" w:line="220" w:lineRule="auto"/>
        <w:ind w:left="1218"/>
        <w:rPr>
          <w:rFonts w:ascii="宋体" w:hAnsi="宋体" w:eastAsia="宋体" w:cs="宋体"/>
          <w:sz w:val="24"/>
          <w:szCs w:val="24"/>
        </w:rPr>
      </w:pPr>
      <w:r>
        <w:rPr>
          <w:rFonts w:ascii="Times New Roman" w:hAnsi="Times New Roman" w:eastAsia="Times New Roman" w:cs="Times New Roman"/>
          <w:spacing w:val="-3"/>
          <w:sz w:val="24"/>
          <w:szCs w:val="24"/>
        </w:rPr>
        <w:t>Fr&gt;1.0</w:t>
      </w:r>
      <w:r>
        <w:rPr>
          <w:rFonts w:ascii="宋体" w:hAnsi="宋体" w:eastAsia="宋体" w:cs="宋体"/>
          <w:spacing w:val="-3"/>
          <w:sz w:val="24"/>
          <w:szCs w:val="24"/>
        </w:rPr>
        <w:t>，水库为混合型。</w:t>
      </w:r>
    </w:p>
    <w:p>
      <w:pPr>
        <w:spacing w:before="182" w:line="359" w:lineRule="auto"/>
        <w:ind w:left="25" w:right="159" w:firstLine="480"/>
        <w:jc w:val="both"/>
        <w:rPr>
          <w:rFonts w:ascii="宋体" w:hAnsi="宋体" w:eastAsia="宋体" w:cs="宋体"/>
          <w:sz w:val="24"/>
          <w:szCs w:val="24"/>
        </w:rPr>
      </w:pPr>
      <w:r>
        <w:rPr>
          <w:rFonts w:ascii="宋体" w:hAnsi="宋体" w:eastAsia="宋体" w:cs="宋体"/>
          <w:spacing w:val="-3"/>
          <w:sz w:val="24"/>
          <w:szCs w:val="24"/>
        </w:rPr>
        <w:t xml:space="preserve">水库正常蓄水位时回水长度为 </w:t>
      </w:r>
      <w:r>
        <w:rPr>
          <w:rFonts w:ascii="Times New Roman" w:hAnsi="Times New Roman" w:eastAsia="Times New Roman" w:cs="Times New Roman"/>
          <w:spacing w:val="-3"/>
          <w:sz w:val="24"/>
          <w:szCs w:val="24"/>
        </w:rPr>
        <w:t>3.88m</w:t>
      </w:r>
      <w:r>
        <w:rPr>
          <w:rFonts w:ascii="宋体" w:hAnsi="宋体" w:eastAsia="宋体" w:cs="宋体"/>
          <w:spacing w:val="-3"/>
          <w:sz w:val="24"/>
          <w:szCs w:val="24"/>
        </w:rPr>
        <w:t>，水库总库容</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1192.7  </w:t>
      </w:r>
      <w:r>
        <w:rPr>
          <w:rFonts w:ascii="宋体" w:hAnsi="宋体" w:eastAsia="宋体" w:cs="宋体"/>
          <w:spacing w:val="-3"/>
          <w:sz w:val="24"/>
          <w:szCs w:val="24"/>
        </w:rPr>
        <w:t xml:space="preserve">万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2"/>
          <w:position w:val="8"/>
          <w:sz w:val="15"/>
          <w:szCs w:val="15"/>
        </w:rPr>
        <w:t xml:space="preserve"> </w:t>
      </w:r>
      <w:r>
        <w:rPr>
          <w:rFonts w:ascii="宋体" w:hAnsi="宋体" w:eastAsia="宋体" w:cs="宋体"/>
          <w:spacing w:val="-3"/>
          <w:sz w:val="24"/>
          <w:szCs w:val="24"/>
        </w:rPr>
        <w:t>，平均水深为</w:t>
      </w:r>
      <w:r>
        <w:rPr>
          <w:rFonts w:ascii="宋体" w:hAnsi="宋体" w:eastAsia="宋体" w:cs="宋体"/>
          <w:sz w:val="24"/>
          <w:szCs w:val="24"/>
        </w:rPr>
        <w:t xml:space="preserve"> </w:t>
      </w:r>
      <w:r>
        <w:rPr>
          <w:rFonts w:ascii="Times New Roman" w:hAnsi="Times New Roman" w:eastAsia="Times New Roman" w:cs="Times New Roman"/>
          <w:spacing w:val="-3"/>
          <w:sz w:val="24"/>
          <w:szCs w:val="24"/>
        </w:rPr>
        <w:t>56.8m</w:t>
      </w:r>
      <w:r>
        <w:rPr>
          <w:rFonts w:ascii="宋体" w:hAnsi="宋体" w:eastAsia="宋体" w:cs="宋体"/>
          <w:spacing w:val="-3"/>
          <w:sz w:val="24"/>
          <w:szCs w:val="24"/>
        </w:rPr>
        <w:t>，多年平均流量为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0.74m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/s</w:t>
      </w:r>
      <w:r>
        <w:rPr>
          <w:rFonts w:ascii="宋体" w:hAnsi="宋体" w:eastAsia="宋体" w:cs="宋体"/>
          <w:spacing w:val="-9"/>
          <w:sz w:val="24"/>
          <w:szCs w:val="24"/>
        </w:rPr>
        <w:t xml:space="preserve">。经计算， </w:t>
      </w:r>
      <w:r>
        <w:rPr>
          <w:rFonts w:ascii="Times New Roman" w:hAnsi="Times New Roman" w:eastAsia="Times New Roman" w:cs="Times New Roman"/>
          <w:spacing w:val="-9"/>
          <w:sz w:val="24"/>
          <w:szCs w:val="24"/>
        </w:rPr>
        <w:t>Fr=0.001</w:t>
      </w:r>
      <w:r>
        <w:rPr>
          <w:rFonts w:ascii="宋体" w:hAnsi="宋体" w:eastAsia="宋体" w:cs="宋体"/>
          <w:spacing w:val="-9"/>
          <w:sz w:val="24"/>
          <w:szCs w:val="24"/>
        </w:rPr>
        <w:t>，初步判断水库水温结构</w:t>
      </w:r>
      <w:r>
        <w:rPr>
          <w:rFonts w:ascii="宋体" w:hAnsi="宋体" w:eastAsia="宋体" w:cs="宋体"/>
          <w:spacing w:val="-10"/>
          <w:sz w:val="24"/>
          <w:szCs w:val="24"/>
        </w:rPr>
        <w:t>为分层</w:t>
      </w:r>
    </w:p>
    <w:p>
      <w:pPr>
        <w:spacing w:line="227" w:lineRule="auto"/>
        <w:ind w:left="31"/>
        <w:rPr>
          <w:rFonts w:ascii="宋体" w:hAnsi="宋体" w:eastAsia="宋体" w:cs="宋体"/>
          <w:sz w:val="24"/>
          <w:szCs w:val="24"/>
        </w:rPr>
      </w:pPr>
      <w:r>
        <w:rPr>
          <w:rFonts w:ascii="宋体" w:hAnsi="宋体" w:eastAsia="宋体" w:cs="宋体"/>
          <w:spacing w:val="-13"/>
          <w:sz w:val="24"/>
          <w:szCs w:val="24"/>
        </w:rPr>
        <w:t>型。</w:t>
      </w:r>
    </w:p>
    <w:p>
      <w:pPr>
        <w:spacing w:before="170" w:line="213" w:lineRule="auto"/>
        <w:ind w:left="506"/>
        <w:rPr>
          <w:rFonts w:ascii="宋体" w:hAnsi="宋体" w:eastAsia="宋体" w:cs="宋体"/>
          <w:sz w:val="24"/>
          <w:szCs w:val="24"/>
        </w:rPr>
      </w:pPr>
      <w:r>
        <w:rPr>
          <w:rFonts w:ascii="宋体" w:hAnsi="宋体" w:eastAsia="宋体" w:cs="宋体"/>
          <w:spacing w:val="-4"/>
          <w:sz w:val="24"/>
          <w:szCs w:val="24"/>
        </w:rPr>
        <w:t xml:space="preserve">综上所示， 采用 </w:t>
      </w:r>
      <w:r>
        <w:rPr>
          <w:rFonts w:ascii="Times New Roman" w:hAnsi="Times New Roman" w:eastAsia="Times New Roman" w:cs="Times New Roman"/>
          <w:spacing w:val="-4"/>
          <w:sz w:val="24"/>
          <w:szCs w:val="24"/>
        </w:rPr>
        <w:t>α-</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4"/>
          <w:sz w:val="24"/>
          <w:szCs w:val="24"/>
        </w:rPr>
        <w:t xml:space="preserve">β  </w:t>
      </w:r>
      <w:r>
        <w:rPr>
          <w:rFonts w:ascii="宋体" w:hAnsi="宋体" w:eastAsia="宋体" w:cs="宋体"/>
          <w:spacing w:val="-4"/>
          <w:sz w:val="24"/>
          <w:szCs w:val="24"/>
        </w:rPr>
        <w:t>指数法、密度佛汝德数法计算的结果见表</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2.4-9</w:t>
      </w:r>
      <w:r>
        <w:rPr>
          <w:rFonts w:ascii="宋体" w:hAnsi="宋体" w:eastAsia="宋体" w:cs="宋体"/>
          <w:spacing w:val="-4"/>
          <w:sz w:val="24"/>
          <w:szCs w:val="24"/>
        </w:rPr>
        <w:t>。</w:t>
      </w:r>
    </w:p>
    <w:p>
      <w:pPr>
        <w:spacing w:before="186" w:line="212" w:lineRule="auto"/>
        <w:ind w:left="2730"/>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round/>
          </w14:textOutline>
        </w:rPr>
        <w:t>表</w:t>
      </w:r>
      <w:r>
        <w:rPr>
          <w:rFonts w:ascii="宋体" w:hAnsi="宋体" w:eastAsia="宋体" w:cs="宋体"/>
          <w:sz w:val="21"/>
          <w:szCs w:val="21"/>
        </w:rPr>
        <w:t xml:space="preserve"> </w:t>
      </w:r>
      <w:r>
        <w:rPr>
          <w:rFonts w:ascii="Times New Roman" w:hAnsi="Times New Roman" w:eastAsia="Times New Roman" w:cs="Times New Roman"/>
          <w:b/>
          <w:bCs/>
          <w:sz w:val="21"/>
          <w:szCs w:val="21"/>
        </w:rPr>
        <w:t xml:space="preserve">2.4-9    </w:t>
      </w:r>
      <w:r>
        <w:rPr>
          <w:rFonts w:ascii="宋体" w:hAnsi="宋体" w:eastAsia="宋体" w:cs="宋体"/>
          <w:sz w:val="21"/>
          <w:szCs w:val="21"/>
          <w14:textOutline w14:w="3810" w14:cap="flat" w14:cmpd="sng">
            <w14:solidFill>
              <w14:srgbClr w14:val="000000"/>
            </w14:solidFill>
            <w14:prstDash w14:val="solid"/>
            <w14:round/>
          </w14:textOutline>
        </w:rPr>
        <w:t>水库水温结构的经验判别</w:t>
      </w:r>
    </w:p>
    <w:tbl>
      <w:tblPr>
        <w:tblStyle w:val="5"/>
        <w:tblW w:w="871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8"/>
        <w:gridCol w:w="1174"/>
        <w:gridCol w:w="1695"/>
        <w:gridCol w:w="1042"/>
        <w:gridCol w:w="1825"/>
        <w:gridCol w:w="14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1548" w:type="dxa"/>
            <w:vMerge w:val="restart"/>
            <w:tcBorders>
              <w:top w:val="single" w:color="000000" w:sz="6" w:space="0"/>
              <w:left w:val="nil"/>
              <w:bottom w:val="nil"/>
            </w:tcBorders>
            <w:vAlign w:val="top"/>
          </w:tcPr>
          <w:p>
            <w:pPr>
              <w:spacing w:before="223" w:line="218" w:lineRule="auto"/>
              <w:ind w:left="58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round/>
                </w14:textOutline>
              </w:rPr>
              <w:t>水库</w:t>
            </w:r>
          </w:p>
        </w:tc>
        <w:tc>
          <w:tcPr>
            <w:tcW w:w="2869" w:type="dxa"/>
            <w:gridSpan w:val="2"/>
            <w:tcBorders>
              <w:top w:val="single" w:color="000000" w:sz="6" w:space="0"/>
            </w:tcBorders>
            <w:vAlign w:val="top"/>
          </w:tcPr>
          <w:p>
            <w:pPr>
              <w:pStyle w:val="6"/>
              <w:spacing w:before="35" w:line="204" w:lineRule="auto"/>
              <w:ind w:left="334"/>
            </w:pPr>
            <w:r>
              <w:rPr>
                <w:rFonts w:ascii="仿宋" w:hAnsi="仿宋" w:eastAsia="仿宋" w:cs="仿宋"/>
                <w:spacing w:val="-1"/>
                <w14:textOutline w14:w="3810" w14:cap="flat" w14:cmpd="sng">
                  <w14:solidFill>
                    <w14:srgbClr w14:val="000000"/>
                  </w14:solidFill>
                  <w14:prstDash w14:val="solid"/>
                  <w14:round/>
                </w14:textOutline>
              </w:rPr>
              <w:t>交换次数法</w:t>
            </w:r>
            <w:r>
              <w:rPr>
                <w:b/>
                <w:bCs/>
                <w:spacing w:val="-1"/>
              </w:rPr>
              <w:t xml:space="preserve">(α-β  </w:t>
            </w:r>
            <w:r>
              <w:rPr>
                <w:rFonts w:ascii="仿宋" w:hAnsi="仿宋" w:eastAsia="仿宋" w:cs="仿宋"/>
                <w:spacing w:val="-1"/>
                <w14:textOutline w14:w="3810" w14:cap="flat" w14:cmpd="sng">
                  <w14:solidFill>
                    <w14:srgbClr w14:val="000000"/>
                  </w14:solidFill>
                  <w14:prstDash w14:val="solid"/>
                  <w14:round/>
                </w14:textOutline>
              </w:rPr>
              <w:t>指数法</w:t>
            </w:r>
            <w:r>
              <w:rPr>
                <w:b/>
                <w:bCs/>
                <w:spacing w:val="-1"/>
              </w:rPr>
              <w:t>)</w:t>
            </w:r>
          </w:p>
        </w:tc>
        <w:tc>
          <w:tcPr>
            <w:tcW w:w="2867" w:type="dxa"/>
            <w:gridSpan w:val="2"/>
            <w:tcBorders>
              <w:top w:val="single" w:color="000000" w:sz="6" w:space="0"/>
            </w:tcBorders>
            <w:vAlign w:val="top"/>
          </w:tcPr>
          <w:p>
            <w:pPr>
              <w:spacing w:before="35" w:line="204" w:lineRule="auto"/>
              <w:ind w:left="92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round/>
                </w14:textOutline>
              </w:rPr>
              <w:t>佛汝德数法</w:t>
            </w:r>
          </w:p>
        </w:tc>
        <w:tc>
          <w:tcPr>
            <w:tcW w:w="1431" w:type="dxa"/>
            <w:vMerge w:val="restart"/>
            <w:tcBorders>
              <w:top w:val="single" w:color="000000" w:sz="6" w:space="0"/>
              <w:bottom w:val="nil"/>
              <w:right w:val="nil"/>
            </w:tcBorders>
            <w:vAlign w:val="top"/>
          </w:tcPr>
          <w:p>
            <w:pPr>
              <w:spacing w:before="222" w:line="217" w:lineRule="auto"/>
              <w:ind w:left="31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round/>
                </w14:textOutline>
              </w:rPr>
              <w:t>综合判断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4" w:hRule="atLeast"/>
        </w:trPr>
        <w:tc>
          <w:tcPr>
            <w:tcW w:w="1548" w:type="dxa"/>
            <w:vMerge w:val="continue"/>
            <w:tcBorders>
              <w:top w:val="nil"/>
              <w:left w:val="nil"/>
            </w:tcBorders>
            <w:vAlign w:val="top"/>
          </w:tcPr>
          <w:p>
            <w:pPr>
              <w:rPr>
                <w:rFonts w:ascii="Arial"/>
                <w:sz w:val="21"/>
              </w:rPr>
            </w:pPr>
          </w:p>
        </w:tc>
        <w:tc>
          <w:tcPr>
            <w:tcW w:w="1174" w:type="dxa"/>
            <w:vAlign w:val="top"/>
          </w:tcPr>
          <w:p>
            <w:pPr>
              <w:pStyle w:val="6"/>
              <w:spacing w:before="182" w:line="170" w:lineRule="auto"/>
              <w:ind w:left="543"/>
            </w:pPr>
            <w:r>
              <w:rPr>
                <w:b/>
                <w:bCs/>
              </w:rPr>
              <w:t>α</w:t>
            </w:r>
          </w:p>
        </w:tc>
        <w:tc>
          <w:tcPr>
            <w:tcW w:w="1695" w:type="dxa"/>
            <w:vAlign w:val="top"/>
          </w:tcPr>
          <w:p>
            <w:pPr>
              <w:spacing w:before="119" w:line="206" w:lineRule="auto"/>
              <w:ind w:left="443"/>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round/>
                </w14:textOutline>
              </w:rPr>
              <w:t>水温结构</w:t>
            </w:r>
          </w:p>
        </w:tc>
        <w:tc>
          <w:tcPr>
            <w:tcW w:w="1042" w:type="dxa"/>
            <w:vAlign w:val="top"/>
          </w:tcPr>
          <w:p>
            <w:pPr>
              <w:pStyle w:val="6"/>
              <w:spacing w:before="183" w:line="169" w:lineRule="auto"/>
              <w:ind w:left="420"/>
            </w:pPr>
            <w:r>
              <w:rPr>
                <w:b/>
                <w:bCs/>
                <w:spacing w:val="-2"/>
              </w:rPr>
              <w:t>Fr</w:t>
            </w:r>
          </w:p>
        </w:tc>
        <w:tc>
          <w:tcPr>
            <w:tcW w:w="1825" w:type="dxa"/>
            <w:vAlign w:val="top"/>
          </w:tcPr>
          <w:p>
            <w:pPr>
              <w:spacing w:before="119" w:line="206" w:lineRule="auto"/>
              <w:ind w:left="509"/>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round/>
                </w14:textOutline>
              </w:rPr>
              <w:t>水温结构</w:t>
            </w:r>
          </w:p>
        </w:tc>
        <w:tc>
          <w:tcPr>
            <w:tcW w:w="1431"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8" w:hRule="atLeast"/>
        </w:trPr>
        <w:tc>
          <w:tcPr>
            <w:tcW w:w="1548" w:type="dxa"/>
            <w:tcBorders>
              <w:left w:val="nil"/>
              <w:bottom w:val="single" w:color="000000" w:sz="6" w:space="0"/>
            </w:tcBorders>
            <w:vAlign w:val="top"/>
          </w:tcPr>
          <w:p>
            <w:pPr>
              <w:spacing w:before="42" w:line="207" w:lineRule="auto"/>
              <w:ind w:left="371"/>
              <w:rPr>
                <w:rFonts w:ascii="仿宋" w:hAnsi="仿宋" w:eastAsia="仿宋" w:cs="仿宋"/>
                <w:sz w:val="21"/>
                <w:szCs w:val="21"/>
              </w:rPr>
            </w:pPr>
            <w:r>
              <w:rPr>
                <w:rFonts w:ascii="仿宋" w:hAnsi="仿宋" w:eastAsia="仿宋" w:cs="仿宋"/>
                <w:spacing w:val="-3"/>
                <w:sz w:val="21"/>
                <w:szCs w:val="21"/>
              </w:rPr>
              <w:t>桂花水库</w:t>
            </w:r>
          </w:p>
        </w:tc>
        <w:tc>
          <w:tcPr>
            <w:tcW w:w="1174" w:type="dxa"/>
            <w:tcBorders>
              <w:bottom w:val="single" w:color="000000" w:sz="6" w:space="0"/>
            </w:tcBorders>
            <w:vAlign w:val="top"/>
          </w:tcPr>
          <w:p>
            <w:pPr>
              <w:pStyle w:val="6"/>
              <w:spacing w:before="78" w:line="188" w:lineRule="auto"/>
              <w:ind w:left="425"/>
            </w:pPr>
            <w:r>
              <w:rPr>
                <w:spacing w:val="-6"/>
              </w:rPr>
              <w:t>1.98</w:t>
            </w:r>
          </w:p>
        </w:tc>
        <w:tc>
          <w:tcPr>
            <w:tcW w:w="1695" w:type="dxa"/>
            <w:tcBorders>
              <w:bottom w:val="single" w:color="000000" w:sz="6" w:space="0"/>
            </w:tcBorders>
            <w:vAlign w:val="top"/>
          </w:tcPr>
          <w:p>
            <w:pPr>
              <w:spacing w:before="42" w:line="207" w:lineRule="auto"/>
              <w:ind w:left="651"/>
              <w:rPr>
                <w:rFonts w:ascii="仿宋" w:hAnsi="仿宋" w:eastAsia="仿宋" w:cs="仿宋"/>
                <w:sz w:val="21"/>
                <w:szCs w:val="21"/>
              </w:rPr>
            </w:pPr>
            <w:r>
              <w:rPr>
                <w:rFonts w:ascii="仿宋" w:hAnsi="仿宋" w:eastAsia="仿宋" w:cs="仿宋"/>
                <w:spacing w:val="-5"/>
                <w:sz w:val="21"/>
                <w:szCs w:val="21"/>
              </w:rPr>
              <w:t>分层</w:t>
            </w:r>
          </w:p>
        </w:tc>
        <w:tc>
          <w:tcPr>
            <w:tcW w:w="1042" w:type="dxa"/>
            <w:tcBorders>
              <w:bottom w:val="single" w:color="000000" w:sz="6" w:space="0"/>
            </w:tcBorders>
            <w:vAlign w:val="top"/>
          </w:tcPr>
          <w:p>
            <w:pPr>
              <w:pStyle w:val="6"/>
              <w:spacing w:before="78" w:line="188" w:lineRule="auto"/>
              <w:ind w:left="290"/>
            </w:pPr>
            <w:r>
              <w:rPr>
                <w:spacing w:val="-2"/>
              </w:rPr>
              <w:t>0.001</w:t>
            </w:r>
          </w:p>
        </w:tc>
        <w:tc>
          <w:tcPr>
            <w:tcW w:w="1825" w:type="dxa"/>
            <w:tcBorders>
              <w:bottom w:val="single" w:color="000000" w:sz="6" w:space="0"/>
            </w:tcBorders>
            <w:vAlign w:val="top"/>
          </w:tcPr>
          <w:p>
            <w:pPr>
              <w:spacing w:before="42" w:line="207" w:lineRule="auto"/>
              <w:ind w:left="717"/>
              <w:rPr>
                <w:rFonts w:ascii="仿宋" w:hAnsi="仿宋" w:eastAsia="仿宋" w:cs="仿宋"/>
                <w:sz w:val="21"/>
                <w:szCs w:val="21"/>
              </w:rPr>
            </w:pPr>
            <w:r>
              <w:rPr>
                <w:rFonts w:ascii="仿宋" w:hAnsi="仿宋" w:eastAsia="仿宋" w:cs="仿宋"/>
                <w:spacing w:val="-5"/>
                <w:sz w:val="21"/>
                <w:szCs w:val="21"/>
              </w:rPr>
              <w:t>分层</w:t>
            </w:r>
          </w:p>
        </w:tc>
        <w:tc>
          <w:tcPr>
            <w:tcW w:w="1431" w:type="dxa"/>
            <w:tcBorders>
              <w:bottom w:val="single" w:color="000000" w:sz="6" w:space="0"/>
              <w:right w:val="nil"/>
            </w:tcBorders>
            <w:vAlign w:val="top"/>
          </w:tcPr>
          <w:p>
            <w:pPr>
              <w:spacing w:before="42" w:line="207" w:lineRule="auto"/>
              <w:ind w:left="523"/>
              <w:rPr>
                <w:rFonts w:ascii="仿宋" w:hAnsi="仿宋" w:eastAsia="仿宋" w:cs="仿宋"/>
                <w:sz w:val="21"/>
                <w:szCs w:val="21"/>
              </w:rPr>
            </w:pPr>
            <w:r>
              <w:rPr>
                <w:rFonts w:ascii="仿宋" w:hAnsi="仿宋" w:eastAsia="仿宋" w:cs="仿宋"/>
                <w:spacing w:val="-5"/>
                <w:sz w:val="21"/>
                <w:szCs w:val="21"/>
              </w:rPr>
              <w:t>分层</w:t>
            </w:r>
          </w:p>
        </w:tc>
      </w:tr>
    </w:tbl>
    <w:p>
      <w:pPr>
        <w:spacing w:before="36" w:line="478" w:lineRule="exact"/>
        <w:ind w:left="522"/>
        <w:rPr>
          <w:rFonts w:ascii="宋体" w:hAnsi="宋体" w:eastAsia="宋体" w:cs="宋体"/>
          <w:sz w:val="24"/>
          <w:szCs w:val="24"/>
        </w:rPr>
      </w:pPr>
      <w:r>
        <w:rPr>
          <w:rFonts w:ascii="宋体" w:hAnsi="宋体" w:eastAsia="宋体" w:cs="宋体"/>
          <w:spacing w:val="-2"/>
          <w:position w:val="17"/>
          <w:sz w:val="24"/>
          <w:szCs w:val="24"/>
        </w:rPr>
        <w:t>因此可以确定桂花水库的水温结构为稳定分层型。水库水温分层形成低温</w:t>
      </w:r>
      <w:r>
        <w:rPr>
          <w:rFonts w:ascii="宋体" w:hAnsi="宋体" w:eastAsia="宋体" w:cs="宋体"/>
          <w:spacing w:val="-3"/>
          <w:position w:val="17"/>
          <w:sz w:val="24"/>
          <w:szCs w:val="24"/>
        </w:rPr>
        <w:t>水，</w:t>
      </w:r>
    </w:p>
    <w:p>
      <w:pPr>
        <w:spacing w:line="219" w:lineRule="auto"/>
        <w:ind w:left="24"/>
        <w:rPr>
          <w:rFonts w:ascii="宋体" w:hAnsi="宋体" w:eastAsia="宋体" w:cs="宋体"/>
          <w:sz w:val="24"/>
          <w:szCs w:val="24"/>
        </w:rPr>
      </w:pPr>
      <w:r>
        <w:rPr>
          <w:rFonts w:ascii="宋体" w:hAnsi="宋体" w:eastAsia="宋体" w:cs="宋体"/>
          <w:spacing w:val="-3"/>
          <w:sz w:val="24"/>
          <w:szCs w:val="24"/>
        </w:rPr>
        <w:t>若取水和泄水不当，对生态环境和农业用水产生不利影响，其影响是长久</w:t>
      </w:r>
      <w:r>
        <w:rPr>
          <w:rFonts w:ascii="宋体" w:hAnsi="宋体" w:eastAsia="宋体" w:cs="宋体"/>
          <w:spacing w:val="-4"/>
          <w:sz w:val="24"/>
          <w:szCs w:val="24"/>
        </w:rPr>
        <w:t>的。</w:t>
      </w:r>
    </w:p>
    <w:p>
      <w:pPr>
        <w:spacing w:before="180" w:line="220"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）运行期水质和富营养化分析</w:t>
      </w:r>
    </w:p>
    <w:p>
      <w:pPr>
        <w:spacing w:before="184" w:line="359" w:lineRule="auto"/>
        <w:ind w:left="24" w:right="163" w:firstLine="488"/>
        <w:rPr>
          <w:rFonts w:ascii="宋体" w:hAnsi="宋体" w:eastAsia="宋体" w:cs="宋体"/>
          <w:sz w:val="24"/>
          <w:szCs w:val="24"/>
        </w:rPr>
      </w:pPr>
      <w:r>
        <w:rPr>
          <w:rFonts w:ascii="宋体" w:hAnsi="宋体" w:eastAsia="宋体" w:cs="宋体"/>
          <w:spacing w:val="1"/>
          <w:sz w:val="24"/>
          <w:szCs w:val="24"/>
        </w:rPr>
        <w:t>尽管水库蓄水前将对淹没区进行库区清理，不存在大量有机物质在库内腐烂而</w:t>
      </w:r>
      <w:r>
        <w:rPr>
          <w:rFonts w:ascii="宋体" w:hAnsi="宋体" w:eastAsia="宋体" w:cs="宋体"/>
          <w:spacing w:val="2"/>
          <w:sz w:val="24"/>
          <w:szCs w:val="24"/>
        </w:rPr>
        <w:t xml:space="preserve"> </w:t>
      </w:r>
      <w:r>
        <w:rPr>
          <w:rFonts w:ascii="宋体" w:hAnsi="宋体" w:eastAsia="宋体" w:cs="宋体"/>
          <w:spacing w:val="1"/>
          <w:sz w:val="24"/>
          <w:szCs w:val="24"/>
        </w:rPr>
        <w:t>导致水库水质恶化的可能。但在水库蓄水初期，可能有机营养物质将进入水体，短</w:t>
      </w:r>
      <w:r>
        <w:rPr>
          <w:rFonts w:ascii="宋体" w:hAnsi="宋体" w:eastAsia="宋体" w:cs="宋体"/>
          <w:spacing w:val="3"/>
          <w:sz w:val="24"/>
          <w:szCs w:val="24"/>
        </w:rPr>
        <w:t xml:space="preserve"> </w:t>
      </w:r>
      <w:r>
        <w:rPr>
          <w:rFonts w:ascii="宋体" w:hAnsi="宋体" w:eastAsia="宋体" w:cs="宋体"/>
          <w:spacing w:val="1"/>
          <w:sz w:val="24"/>
          <w:szCs w:val="24"/>
        </w:rPr>
        <w:t>期内库区水质</w:t>
      </w:r>
      <w:r>
        <w:rPr>
          <w:rFonts w:ascii="宋体" w:hAnsi="宋体" w:eastAsia="宋体" w:cs="宋体"/>
          <w:spacing w:val="-57"/>
          <w:sz w:val="24"/>
          <w:szCs w:val="24"/>
        </w:rPr>
        <w:t xml:space="preserve"> </w:t>
      </w:r>
      <w:r>
        <w:rPr>
          <w:rFonts w:ascii="Times New Roman" w:hAnsi="Times New Roman" w:eastAsia="Times New Roman" w:cs="Times New Roman"/>
          <w:spacing w:val="1"/>
          <w:sz w:val="24"/>
          <w:szCs w:val="24"/>
        </w:rPr>
        <w:t>N</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P  </w:t>
      </w:r>
      <w:r>
        <w:rPr>
          <w:rFonts w:ascii="宋体" w:hAnsi="宋体" w:eastAsia="宋体" w:cs="宋体"/>
          <w:spacing w:val="1"/>
          <w:sz w:val="24"/>
          <w:szCs w:val="24"/>
        </w:rPr>
        <w:t>等有机物含量将明显增高，随着水流流态结构</w:t>
      </w:r>
      <w:r>
        <w:rPr>
          <w:rFonts w:ascii="宋体" w:hAnsi="宋体" w:eastAsia="宋体" w:cs="宋体"/>
          <w:sz w:val="24"/>
          <w:szCs w:val="24"/>
        </w:rPr>
        <w:t xml:space="preserve">的变化（流速变 </w:t>
      </w:r>
      <w:r>
        <w:rPr>
          <w:rFonts w:ascii="宋体" w:hAnsi="宋体" w:eastAsia="宋体" w:cs="宋体"/>
          <w:spacing w:val="1"/>
          <w:sz w:val="24"/>
          <w:szCs w:val="24"/>
        </w:rPr>
        <w:t>缓，水深加大）以及被淹没的植被和土壤逐渐释放出有机物和氮磷营养盐，为富营</w:t>
      </w:r>
      <w:r>
        <w:rPr>
          <w:rFonts w:ascii="宋体" w:hAnsi="宋体" w:eastAsia="宋体" w:cs="宋体"/>
          <w:spacing w:val="8"/>
          <w:sz w:val="24"/>
          <w:szCs w:val="24"/>
        </w:rPr>
        <w:t xml:space="preserve"> </w:t>
      </w:r>
      <w:r>
        <w:rPr>
          <w:rFonts w:ascii="宋体" w:hAnsi="宋体" w:eastAsia="宋体" w:cs="宋体"/>
          <w:spacing w:val="1"/>
          <w:sz w:val="24"/>
          <w:szCs w:val="24"/>
        </w:rPr>
        <w:t>养化发生发展提供有利的水流结构和营养条件，库区水体诱发富营养化的可能性加</w:t>
      </w:r>
    </w:p>
    <w:p>
      <w:pPr>
        <w:spacing w:line="219" w:lineRule="auto"/>
        <w:ind w:left="26"/>
        <w:rPr>
          <w:rFonts w:ascii="宋体" w:hAnsi="宋体" w:eastAsia="宋体" w:cs="宋体"/>
          <w:sz w:val="24"/>
          <w:szCs w:val="24"/>
        </w:rPr>
      </w:pPr>
      <w:r>
        <w:rPr>
          <w:rFonts w:ascii="宋体" w:hAnsi="宋体" w:eastAsia="宋体" w:cs="宋体"/>
          <w:spacing w:val="2"/>
          <w:sz w:val="24"/>
          <w:szCs w:val="24"/>
        </w:rPr>
        <w:t>大，影响水库及下游河段水质。</w:t>
      </w:r>
    </w:p>
    <w:p>
      <w:pPr>
        <w:spacing w:before="182" w:line="220"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）大坝阻隔分析</w:t>
      </w:r>
    </w:p>
    <w:p>
      <w:pPr>
        <w:spacing w:before="181" w:line="359" w:lineRule="auto"/>
        <w:ind w:left="23" w:right="160" w:firstLine="521"/>
        <w:rPr>
          <w:rFonts w:ascii="宋体" w:hAnsi="宋体" w:eastAsia="宋体" w:cs="宋体"/>
          <w:sz w:val="24"/>
          <w:szCs w:val="24"/>
        </w:rPr>
      </w:pPr>
      <w:r>
        <w:rPr>
          <w:rFonts w:ascii="宋体" w:hAnsi="宋体" w:eastAsia="宋体" w:cs="宋体"/>
          <w:spacing w:val="1"/>
          <w:sz w:val="24"/>
          <w:szCs w:val="24"/>
        </w:rPr>
        <w:t>桂花水库最大坝高</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93.1m</w:t>
      </w:r>
      <w:r>
        <w:rPr>
          <w:rFonts w:ascii="宋体" w:hAnsi="宋体" w:eastAsia="宋体" w:cs="宋体"/>
          <w:spacing w:val="1"/>
          <w:sz w:val="24"/>
          <w:szCs w:val="24"/>
        </w:rPr>
        <w:t>，坝顶宽</w:t>
      </w:r>
      <w:r>
        <w:rPr>
          <w:rFonts w:ascii="Times New Roman" w:hAnsi="Times New Roman" w:eastAsia="Times New Roman" w:cs="Times New Roman"/>
          <w:spacing w:val="1"/>
          <w:sz w:val="24"/>
          <w:szCs w:val="24"/>
        </w:rPr>
        <w:t>10m</w:t>
      </w:r>
      <w:r>
        <w:rPr>
          <w:rFonts w:ascii="宋体" w:hAnsi="宋体" w:eastAsia="宋体" w:cs="宋体"/>
          <w:spacing w:val="1"/>
          <w:sz w:val="24"/>
          <w:szCs w:val="24"/>
        </w:rPr>
        <w:t>，坝顶长</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261.5m</w:t>
      </w:r>
      <w:r>
        <w:rPr>
          <w:rFonts w:ascii="宋体" w:hAnsi="宋体" w:eastAsia="宋体" w:cs="宋体"/>
          <w:spacing w:val="1"/>
          <w:sz w:val="24"/>
          <w:szCs w:val="24"/>
        </w:rPr>
        <w:t>。水库</w:t>
      </w:r>
      <w:r>
        <w:rPr>
          <w:rFonts w:ascii="宋体" w:hAnsi="宋体" w:eastAsia="宋体" w:cs="宋体"/>
          <w:sz w:val="24"/>
          <w:szCs w:val="24"/>
        </w:rPr>
        <w:t>下闸蓄水后，阻 断了上下游鱼类交流的自然通道，对上下游水生生物物种的交流产生了阻隔</w:t>
      </w:r>
      <w:r>
        <w:rPr>
          <w:rFonts w:ascii="宋体" w:hAnsi="宋体" w:eastAsia="宋体" w:cs="宋体"/>
          <w:spacing w:val="-1"/>
          <w:sz w:val="24"/>
          <w:szCs w:val="24"/>
        </w:rPr>
        <w:t>影响，</w:t>
      </w:r>
      <w:r>
        <w:rPr>
          <w:rFonts w:ascii="宋体" w:hAnsi="宋体" w:eastAsia="宋体" w:cs="宋体"/>
          <w:sz w:val="24"/>
          <w:szCs w:val="24"/>
        </w:rPr>
        <w:t xml:space="preserve"> </w:t>
      </w:r>
      <w:r>
        <w:rPr>
          <w:rFonts w:ascii="宋体" w:hAnsi="宋体" w:eastAsia="宋体" w:cs="宋体"/>
          <w:spacing w:val="1"/>
          <w:sz w:val="24"/>
          <w:szCs w:val="24"/>
        </w:rPr>
        <w:t>其影响是长期的，不可逆的。同时，引起坝下游局部河段和蓄水区流速、泥沙、水</w:t>
      </w:r>
      <w:r>
        <w:rPr>
          <w:rFonts w:ascii="宋体" w:hAnsi="宋体" w:eastAsia="宋体" w:cs="宋体"/>
          <w:spacing w:val="7"/>
          <w:sz w:val="24"/>
          <w:szCs w:val="24"/>
        </w:rPr>
        <w:t xml:space="preserve"> </w:t>
      </w:r>
      <w:r>
        <w:rPr>
          <w:rFonts w:ascii="宋体" w:hAnsi="宋体" w:eastAsia="宋体" w:cs="宋体"/>
          <w:spacing w:val="-13"/>
          <w:sz w:val="24"/>
          <w:szCs w:val="24"/>
        </w:rPr>
        <w:t>深、水位等水文条件改变，</w:t>
      </w:r>
      <w:r>
        <w:rPr>
          <w:rFonts w:ascii="宋体" w:hAnsi="宋体" w:eastAsia="宋体" w:cs="宋体"/>
          <w:spacing w:val="-40"/>
          <w:sz w:val="24"/>
          <w:szCs w:val="24"/>
        </w:rPr>
        <w:t xml:space="preserve"> </w:t>
      </w:r>
      <w:r>
        <w:rPr>
          <w:rFonts w:ascii="宋体" w:hAnsi="宋体" w:eastAsia="宋体" w:cs="宋体"/>
          <w:spacing w:val="-13"/>
          <w:sz w:val="24"/>
          <w:szCs w:val="24"/>
        </w:rPr>
        <w:t xml:space="preserve">使得水环境发生变化， 改变水生生物的生境， </w:t>
      </w:r>
      <w:r>
        <w:rPr>
          <w:rFonts w:ascii="宋体" w:hAnsi="宋体" w:eastAsia="宋体" w:cs="宋体"/>
          <w:spacing w:val="-14"/>
          <w:sz w:val="24"/>
          <w:szCs w:val="24"/>
        </w:rPr>
        <w:t>对水生生物</w:t>
      </w:r>
    </w:p>
    <w:p>
      <w:pPr>
        <w:spacing w:before="1" w:line="219" w:lineRule="auto"/>
        <w:ind w:left="43"/>
        <w:rPr>
          <w:rFonts w:ascii="宋体" w:hAnsi="宋体" w:eastAsia="宋体" w:cs="宋体"/>
          <w:sz w:val="24"/>
          <w:szCs w:val="24"/>
        </w:rPr>
      </w:pPr>
      <w:r>
        <w:rPr>
          <w:rFonts w:ascii="宋体" w:hAnsi="宋体" w:eastAsia="宋体" w:cs="宋体"/>
          <w:spacing w:val="-5"/>
          <w:sz w:val="24"/>
          <w:szCs w:val="24"/>
        </w:rPr>
        <w:t>的生活环境将带来一定的影响。</w:t>
      </w:r>
    </w:p>
    <w:p>
      <w:pPr>
        <w:spacing w:before="182" w:line="220"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）水资源利用</w:t>
      </w:r>
    </w:p>
    <w:p>
      <w:pPr>
        <w:spacing w:before="182" w:line="359" w:lineRule="auto"/>
        <w:ind w:left="24" w:right="161" w:firstLine="480"/>
        <w:rPr>
          <w:rFonts w:ascii="宋体" w:hAnsi="宋体" w:eastAsia="宋体" w:cs="宋体"/>
          <w:sz w:val="24"/>
          <w:szCs w:val="24"/>
        </w:rPr>
      </w:pPr>
      <w:r>
        <w:rPr>
          <w:rFonts w:ascii="宋体" w:hAnsi="宋体" w:eastAsia="宋体" w:cs="宋体"/>
          <w:spacing w:val="1"/>
          <w:sz w:val="24"/>
          <w:szCs w:val="24"/>
        </w:rPr>
        <w:t>桂花水库从桂花河上取水后，桂花河段水量减少。桂花水库建成后，可供给桂</w:t>
      </w:r>
      <w:r>
        <w:rPr>
          <w:rFonts w:ascii="宋体" w:hAnsi="宋体" w:eastAsia="宋体" w:cs="宋体"/>
          <w:spacing w:val="8"/>
          <w:sz w:val="24"/>
          <w:szCs w:val="24"/>
        </w:rPr>
        <w:t xml:space="preserve"> </w:t>
      </w:r>
      <w:r>
        <w:rPr>
          <w:rFonts w:ascii="宋体" w:hAnsi="宋体" w:eastAsia="宋体" w:cs="宋体"/>
          <w:spacing w:val="-4"/>
          <w:sz w:val="24"/>
          <w:szCs w:val="24"/>
        </w:rPr>
        <w:t>花灌片供水量</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248.6</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，其中生活用水</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29.1</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，工业供水量</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57.7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，农业</w:t>
      </w:r>
      <w:r>
        <w:rPr>
          <w:rFonts w:ascii="宋体" w:hAnsi="宋体" w:eastAsia="宋体" w:cs="宋体"/>
          <w:sz w:val="24"/>
          <w:szCs w:val="24"/>
        </w:rPr>
        <w:t xml:space="preserve"> </w:t>
      </w:r>
      <w:r>
        <w:rPr>
          <w:rFonts w:ascii="宋体" w:hAnsi="宋体" w:eastAsia="宋体" w:cs="宋体"/>
          <w:spacing w:val="-7"/>
          <w:sz w:val="24"/>
          <w:szCs w:val="24"/>
        </w:rPr>
        <w:t xml:space="preserve">灌溉供水量 </w:t>
      </w:r>
      <w:r>
        <w:rPr>
          <w:rFonts w:ascii="Times New Roman" w:hAnsi="Times New Roman" w:eastAsia="Times New Roman" w:cs="Times New Roman"/>
          <w:spacing w:val="-7"/>
          <w:sz w:val="24"/>
          <w:szCs w:val="24"/>
        </w:rPr>
        <w:t>161.8</w:t>
      </w:r>
      <w:r>
        <w:rPr>
          <w:rFonts w:ascii="Times New Roman" w:hAnsi="Times New Roman" w:eastAsia="Times New Roman" w:cs="Times New Roman"/>
          <w:spacing w:val="37"/>
          <w:w w:val="101"/>
          <w:sz w:val="24"/>
          <w:szCs w:val="24"/>
        </w:rPr>
        <w:t xml:space="preserve"> </w:t>
      </w:r>
      <w:r>
        <w:rPr>
          <w:rFonts w:ascii="宋体" w:hAnsi="宋体" w:eastAsia="宋体" w:cs="宋体"/>
          <w:spacing w:val="-7"/>
          <w:sz w:val="24"/>
          <w:szCs w:val="24"/>
        </w:rPr>
        <w:t>万</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8"/>
          <w:sz w:val="15"/>
          <w:szCs w:val="15"/>
        </w:rPr>
        <w:t xml:space="preserve">3 </w:t>
      </w:r>
      <w:r>
        <w:rPr>
          <w:rFonts w:ascii="宋体" w:hAnsi="宋体" w:eastAsia="宋体" w:cs="宋体"/>
          <w:spacing w:val="-7"/>
          <w:sz w:val="24"/>
          <w:szCs w:val="24"/>
        </w:rPr>
        <w:t>。桂花灌片内水资源供需基本平衡。</w:t>
      </w:r>
      <w:r>
        <w:rPr>
          <w:rFonts w:ascii="宋体" w:hAnsi="宋体" w:eastAsia="宋体" w:cs="宋体"/>
          <w:spacing w:val="46"/>
          <w:sz w:val="24"/>
          <w:szCs w:val="24"/>
        </w:rPr>
        <w:t xml:space="preserve"> </w:t>
      </w:r>
      <w:r>
        <w:rPr>
          <w:rFonts w:ascii="宋体" w:hAnsi="宋体" w:eastAsia="宋体" w:cs="宋体"/>
          <w:spacing w:val="-7"/>
          <w:sz w:val="24"/>
          <w:szCs w:val="24"/>
        </w:rPr>
        <w:t>桂花水库建成后，预留</w:t>
      </w:r>
    </w:p>
    <w:p>
      <w:pPr>
        <w:spacing w:line="219" w:lineRule="auto"/>
        <w:ind w:left="31"/>
        <w:rPr>
          <w:rFonts w:ascii="宋体" w:hAnsi="宋体" w:eastAsia="宋体" w:cs="宋体"/>
          <w:sz w:val="24"/>
          <w:szCs w:val="24"/>
        </w:rPr>
      </w:pPr>
      <w:r>
        <w:rPr>
          <w:rFonts w:ascii="宋体" w:hAnsi="宋体" w:eastAsia="宋体" w:cs="宋体"/>
          <w:spacing w:val="-5"/>
          <w:sz w:val="24"/>
          <w:szCs w:val="24"/>
        </w:rPr>
        <w:t>下游生活、工业及灌溉用水， 对该河段的水资源利用影响小。</w:t>
      </w:r>
    </w:p>
    <w:p>
      <w:pPr>
        <w:spacing w:before="182" w:line="359" w:lineRule="auto"/>
        <w:ind w:left="26" w:right="159" w:firstLine="494"/>
        <w:rPr>
          <w:rFonts w:ascii="宋体" w:hAnsi="宋体" w:eastAsia="宋体" w:cs="宋体"/>
          <w:sz w:val="24"/>
          <w:szCs w:val="24"/>
        </w:rPr>
      </w:pPr>
      <w:r>
        <w:rPr>
          <w:rFonts w:ascii="宋体" w:hAnsi="宋体" w:eastAsia="宋体" w:cs="宋体"/>
          <w:spacing w:val="1"/>
          <w:sz w:val="24"/>
          <w:szCs w:val="24"/>
        </w:rPr>
        <w:t>引洪工程从者纳么河取水后，下游河道水量减少，但规划年水库建成后，桂花</w:t>
      </w:r>
      <w:r>
        <w:rPr>
          <w:rFonts w:ascii="宋体" w:hAnsi="宋体" w:eastAsia="宋体" w:cs="宋体"/>
          <w:sz w:val="24"/>
          <w:szCs w:val="24"/>
        </w:rPr>
        <w:t xml:space="preserve"> </w:t>
      </w:r>
      <w:r>
        <w:rPr>
          <w:rFonts w:ascii="宋体" w:hAnsi="宋体" w:eastAsia="宋体" w:cs="宋体"/>
          <w:spacing w:val="-2"/>
          <w:sz w:val="24"/>
          <w:szCs w:val="24"/>
        </w:rPr>
        <w:t>水库可供给者纳么灌片农业灌溉供水</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98.2</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万</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0"/>
          <w:position w:val="8"/>
          <w:sz w:val="15"/>
          <w:szCs w:val="15"/>
        </w:rPr>
        <w:t xml:space="preserve"> </w:t>
      </w:r>
      <w:r>
        <w:rPr>
          <w:rFonts w:ascii="宋体" w:hAnsi="宋体" w:eastAsia="宋体" w:cs="宋体"/>
          <w:spacing w:val="-2"/>
          <w:sz w:val="24"/>
          <w:szCs w:val="24"/>
        </w:rPr>
        <w:t>，且取</w:t>
      </w:r>
      <w:r>
        <w:rPr>
          <w:rFonts w:ascii="宋体" w:hAnsi="宋体" w:eastAsia="宋体" w:cs="宋体"/>
          <w:spacing w:val="-3"/>
          <w:sz w:val="24"/>
          <w:szCs w:val="24"/>
        </w:rPr>
        <w:t>水坝汛期</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6~10</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月取水，其余</w:t>
      </w:r>
    </w:p>
    <w:p>
      <w:pPr>
        <w:spacing w:before="1" w:line="219" w:lineRule="auto"/>
        <w:ind w:left="24"/>
        <w:rPr>
          <w:rFonts w:ascii="宋体" w:hAnsi="宋体" w:eastAsia="宋体" w:cs="宋体"/>
          <w:sz w:val="24"/>
          <w:szCs w:val="24"/>
        </w:rPr>
      </w:pPr>
      <w:r>
        <w:rPr>
          <w:rFonts w:ascii="宋体" w:hAnsi="宋体" w:eastAsia="宋体" w:cs="宋体"/>
          <w:spacing w:val="-11"/>
          <w:sz w:val="24"/>
          <w:szCs w:val="24"/>
        </w:rPr>
        <w:t>季节不取水，</w:t>
      </w:r>
      <w:r>
        <w:rPr>
          <w:rFonts w:ascii="宋体" w:hAnsi="宋体" w:eastAsia="宋体" w:cs="宋体"/>
          <w:spacing w:val="53"/>
          <w:sz w:val="24"/>
          <w:szCs w:val="24"/>
        </w:rPr>
        <w:t xml:space="preserve"> </w:t>
      </w:r>
      <w:r>
        <w:rPr>
          <w:rFonts w:ascii="宋体" w:hAnsi="宋体" w:eastAsia="宋体" w:cs="宋体"/>
          <w:spacing w:val="-11"/>
          <w:sz w:val="24"/>
          <w:szCs w:val="24"/>
        </w:rPr>
        <w:t>汛期取水系数</w:t>
      </w:r>
      <w:r>
        <w:rPr>
          <w:rFonts w:ascii="宋体" w:hAnsi="宋体" w:eastAsia="宋体" w:cs="宋体"/>
          <w:spacing w:val="-51"/>
          <w:sz w:val="24"/>
          <w:szCs w:val="24"/>
        </w:rPr>
        <w:t xml:space="preserve"> </w:t>
      </w:r>
      <w:r>
        <w:rPr>
          <w:rFonts w:ascii="Times New Roman" w:hAnsi="Times New Roman" w:eastAsia="Times New Roman" w:cs="Times New Roman"/>
          <w:spacing w:val="-11"/>
          <w:sz w:val="24"/>
          <w:szCs w:val="24"/>
        </w:rPr>
        <w:t>0.6</w:t>
      </w:r>
      <w:r>
        <w:rPr>
          <w:rFonts w:ascii="宋体" w:hAnsi="宋体" w:eastAsia="宋体" w:cs="宋体"/>
          <w:spacing w:val="-11"/>
          <w:sz w:val="24"/>
          <w:szCs w:val="24"/>
        </w:rPr>
        <w:t>，枯期不引水，</w:t>
      </w:r>
      <w:r>
        <w:rPr>
          <w:rFonts w:ascii="宋体" w:hAnsi="宋体" w:eastAsia="宋体" w:cs="宋体"/>
          <w:spacing w:val="44"/>
          <w:sz w:val="24"/>
          <w:szCs w:val="24"/>
        </w:rPr>
        <w:t xml:space="preserve"> </w:t>
      </w:r>
      <w:r>
        <w:rPr>
          <w:rFonts w:ascii="宋体" w:hAnsi="宋体" w:eastAsia="宋体" w:cs="宋体"/>
          <w:spacing w:val="-11"/>
          <w:sz w:val="24"/>
          <w:szCs w:val="24"/>
        </w:rPr>
        <w:t>从者纳么河取水对该河段的水资源利</w:t>
      </w:r>
    </w:p>
    <w:p>
      <w:pPr>
        <w:spacing w:line="219" w:lineRule="auto"/>
        <w:rPr>
          <w:rFonts w:ascii="宋体" w:hAnsi="宋体" w:eastAsia="宋体" w:cs="宋体"/>
          <w:sz w:val="24"/>
          <w:szCs w:val="24"/>
        </w:rPr>
        <w:sectPr>
          <w:headerReference r:id="rId159" w:type="default"/>
          <w:footerReference r:id="rId160" w:type="default"/>
          <w:pgSz w:w="11920" w:h="16840"/>
          <w:pgMar w:top="1066" w:right="1398" w:bottom="1358" w:left="1645" w:header="865" w:footer="1195" w:gutter="0"/>
        </w:sectPr>
      </w:pPr>
    </w:p>
    <w:p>
      <w:pPr>
        <w:spacing w:before="70" w:line="221" w:lineRule="auto"/>
        <w:ind w:left="3"/>
        <w:rPr>
          <w:rFonts w:ascii="宋体" w:hAnsi="宋体" w:eastAsia="宋体" w:cs="宋体"/>
          <w:sz w:val="24"/>
          <w:szCs w:val="24"/>
        </w:rPr>
      </w:pPr>
      <w:r>
        <w:rPr>
          <w:rFonts w:ascii="宋体" w:hAnsi="宋体" w:eastAsia="宋体" w:cs="宋体"/>
          <w:spacing w:val="-3"/>
          <w:sz w:val="24"/>
          <w:szCs w:val="24"/>
        </w:rPr>
        <w:t>用影响小。</w:t>
      </w:r>
    </w:p>
    <w:p>
      <w:pPr>
        <w:spacing w:before="178" w:line="220" w:lineRule="auto"/>
        <w:ind w:left="49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9</w:t>
      </w:r>
      <w:r>
        <w:rPr>
          <w:rFonts w:ascii="宋体" w:hAnsi="宋体" w:eastAsia="宋体" w:cs="宋体"/>
          <w:sz w:val="24"/>
          <w:szCs w:val="24"/>
        </w:rPr>
        <w:t>）水污染源</w:t>
      </w:r>
    </w:p>
    <w:p>
      <w:pPr>
        <w:spacing w:before="182" w:line="359" w:lineRule="auto"/>
        <w:ind w:right="70" w:firstLine="550"/>
        <w:rPr>
          <w:rFonts w:ascii="宋体" w:hAnsi="宋体" w:eastAsia="宋体" w:cs="宋体"/>
          <w:sz w:val="24"/>
          <w:szCs w:val="24"/>
        </w:rPr>
      </w:pPr>
      <w:r>
        <w:rPr>
          <w:rFonts w:ascii="宋体" w:hAnsi="宋体" w:eastAsia="宋体" w:cs="宋体"/>
          <w:spacing w:val="4"/>
          <w:sz w:val="24"/>
          <w:szCs w:val="24"/>
        </w:rPr>
        <w:t>运</w:t>
      </w:r>
      <w:r>
        <w:rPr>
          <w:rFonts w:ascii="宋体" w:hAnsi="宋体" w:eastAsia="宋体" w:cs="宋体"/>
          <w:spacing w:val="-68"/>
          <w:sz w:val="24"/>
          <w:szCs w:val="24"/>
        </w:rPr>
        <w:t xml:space="preserve"> </w:t>
      </w:r>
      <w:r>
        <w:rPr>
          <w:rFonts w:ascii="宋体" w:hAnsi="宋体" w:eastAsia="宋体" w:cs="宋体"/>
          <w:spacing w:val="4"/>
          <w:sz w:val="24"/>
          <w:szCs w:val="24"/>
        </w:rPr>
        <w:t>营期库</w:t>
      </w:r>
      <w:r>
        <w:rPr>
          <w:rFonts w:ascii="宋体" w:hAnsi="宋体" w:eastAsia="宋体" w:cs="宋体"/>
          <w:spacing w:val="-59"/>
          <w:sz w:val="24"/>
          <w:szCs w:val="24"/>
        </w:rPr>
        <w:t xml:space="preserve"> </w:t>
      </w:r>
      <w:r>
        <w:rPr>
          <w:rFonts w:ascii="宋体" w:hAnsi="宋体" w:eastAsia="宋体" w:cs="宋体"/>
          <w:spacing w:val="4"/>
          <w:sz w:val="24"/>
          <w:szCs w:val="24"/>
        </w:rPr>
        <w:t>区值班人</w:t>
      </w:r>
      <w:r>
        <w:rPr>
          <w:rFonts w:ascii="宋体" w:hAnsi="宋体" w:eastAsia="宋体" w:cs="宋体"/>
          <w:spacing w:val="-66"/>
          <w:sz w:val="24"/>
          <w:szCs w:val="24"/>
        </w:rPr>
        <w:t xml:space="preserve"> </w:t>
      </w:r>
      <w:r>
        <w:rPr>
          <w:rFonts w:ascii="宋体" w:hAnsi="宋体" w:eastAsia="宋体" w:cs="宋体"/>
          <w:spacing w:val="4"/>
          <w:sz w:val="24"/>
          <w:szCs w:val="24"/>
        </w:rPr>
        <w:t xml:space="preserve">员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36"/>
          <w:w w:val="101"/>
          <w:sz w:val="24"/>
          <w:szCs w:val="24"/>
        </w:rPr>
        <w:t xml:space="preserve"> </w:t>
      </w:r>
      <w:r>
        <w:rPr>
          <w:rFonts w:ascii="宋体" w:hAnsi="宋体" w:eastAsia="宋体" w:cs="宋体"/>
          <w:spacing w:val="4"/>
          <w:sz w:val="24"/>
          <w:szCs w:val="24"/>
        </w:rPr>
        <w:t>人</w:t>
      </w:r>
      <w:r>
        <w:rPr>
          <w:rFonts w:ascii="宋体" w:hAnsi="宋体" w:eastAsia="宋体" w:cs="宋体"/>
          <w:spacing w:val="-61"/>
          <w:sz w:val="24"/>
          <w:szCs w:val="24"/>
        </w:rPr>
        <w:t xml:space="preserve"> </w:t>
      </w:r>
      <w:r>
        <w:rPr>
          <w:rFonts w:ascii="宋体" w:hAnsi="宋体" w:eastAsia="宋体" w:cs="宋体"/>
          <w:spacing w:val="4"/>
          <w:sz w:val="24"/>
          <w:szCs w:val="24"/>
        </w:rPr>
        <w:t>，均</w:t>
      </w:r>
      <w:r>
        <w:rPr>
          <w:rFonts w:ascii="宋体" w:hAnsi="宋体" w:eastAsia="宋体" w:cs="宋体"/>
          <w:spacing w:val="-48"/>
          <w:sz w:val="24"/>
          <w:szCs w:val="24"/>
        </w:rPr>
        <w:t xml:space="preserve"> </w:t>
      </w:r>
      <w:r>
        <w:rPr>
          <w:rFonts w:ascii="宋体" w:hAnsi="宋体" w:eastAsia="宋体" w:cs="宋体"/>
          <w:spacing w:val="4"/>
          <w:sz w:val="24"/>
          <w:szCs w:val="24"/>
        </w:rPr>
        <w:t>由</w:t>
      </w:r>
      <w:r>
        <w:rPr>
          <w:rFonts w:ascii="宋体" w:hAnsi="宋体" w:eastAsia="宋体" w:cs="宋体"/>
          <w:spacing w:val="-62"/>
          <w:sz w:val="24"/>
          <w:szCs w:val="24"/>
        </w:rPr>
        <w:t xml:space="preserve"> </w:t>
      </w:r>
      <w:r>
        <w:rPr>
          <w:rFonts w:ascii="宋体" w:hAnsi="宋体" w:eastAsia="宋体" w:cs="宋体"/>
          <w:spacing w:val="4"/>
          <w:sz w:val="24"/>
          <w:szCs w:val="24"/>
        </w:rPr>
        <w:t>当地居</w:t>
      </w:r>
      <w:r>
        <w:rPr>
          <w:rFonts w:ascii="宋体" w:hAnsi="宋体" w:eastAsia="宋体" w:cs="宋体"/>
          <w:spacing w:val="-54"/>
          <w:sz w:val="24"/>
          <w:szCs w:val="24"/>
        </w:rPr>
        <w:t xml:space="preserve"> </w:t>
      </w:r>
      <w:r>
        <w:rPr>
          <w:rFonts w:ascii="宋体" w:hAnsi="宋体" w:eastAsia="宋体" w:cs="宋体"/>
          <w:spacing w:val="4"/>
          <w:sz w:val="24"/>
          <w:szCs w:val="24"/>
        </w:rPr>
        <w:t>民担任</w:t>
      </w:r>
      <w:r>
        <w:rPr>
          <w:rFonts w:ascii="宋体" w:hAnsi="宋体" w:eastAsia="宋体" w:cs="宋体"/>
          <w:spacing w:val="-59"/>
          <w:sz w:val="24"/>
          <w:szCs w:val="24"/>
        </w:rPr>
        <w:t xml:space="preserve"> </w:t>
      </w:r>
      <w:r>
        <w:rPr>
          <w:rFonts w:ascii="宋体" w:hAnsi="宋体" w:eastAsia="宋体" w:cs="宋体"/>
          <w:spacing w:val="4"/>
          <w:sz w:val="24"/>
          <w:szCs w:val="24"/>
        </w:rPr>
        <w:t>，食宿</w:t>
      </w:r>
      <w:r>
        <w:rPr>
          <w:rFonts w:ascii="宋体" w:hAnsi="宋体" w:eastAsia="宋体" w:cs="宋体"/>
          <w:spacing w:val="-38"/>
          <w:sz w:val="24"/>
          <w:szCs w:val="24"/>
        </w:rPr>
        <w:t xml:space="preserve"> </w:t>
      </w:r>
      <w:r>
        <w:rPr>
          <w:rFonts w:ascii="宋体" w:hAnsi="宋体" w:eastAsia="宋体" w:cs="宋体"/>
          <w:spacing w:val="4"/>
          <w:sz w:val="24"/>
          <w:szCs w:val="24"/>
        </w:rPr>
        <w:t>自理</w:t>
      </w:r>
      <w:r>
        <w:rPr>
          <w:rFonts w:ascii="宋体" w:hAnsi="宋体" w:eastAsia="宋体" w:cs="宋体"/>
          <w:spacing w:val="-61"/>
          <w:sz w:val="24"/>
          <w:szCs w:val="24"/>
        </w:rPr>
        <w:t xml:space="preserve"> </w:t>
      </w:r>
      <w:r>
        <w:rPr>
          <w:rFonts w:ascii="宋体" w:hAnsi="宋体" w:eastAsia="宋体" w:cs="宋体"/>
          <w:spacing w:val="4"/>
          <w:sz w:val="24"/>
          <w:szCs w:val="24"/>
        </w:rPr>
        <w:t>，库</w:t>
      </w:r>
      <w:r>
        <w:rPr>
          <w:rFonts w:ascii="宋体" w:hAnsi="宋体" w:eastAsia="宋体" w:cs="宋体"/>
          <w:spacing w:val="-59"/>
          <w:sz w:val="24"/>
          <w:szCs w:val="24"/>
        </w:rPr>
        <w:t xml:space="preserve"> </w:t>
      </w:r>
      <w:r>
        <w:rPr>
          <w:rFonts w:ascii="宋体" w:hAnsi="宋体" w:eastAsia="宋体" w:cs="宋体"/>
          <w:spacing w:val="4"/>
          <w:sz w:val="24"/>
          <w:szCs w:val="24"/>
        </w:rPr>
        <w:t>区不设</w:t>
      </w:r>
      <w:r>
        <w:rPr>
          <w:rFonts w:ascii="宋体" w:hAnsi="宋体" w:eastAsia="宋体" w:cs="宋体"/>
          <w:sz w:val="24"/>
          <w:szCs w:val="24"/>
        </w:rPr>
        <w:t xml:space="preserve">  </w:t>
      </w:r>
      <w:r>
        <w:rPr>
          <w:rFonts w:ascii="宋体" w:hAnsi="宋体" w:eastAsia="宋体" w:cs="宋体"/>
          <w:spacing w:val="10"/>
          <w:sz w:val="24"/>
          <w:szCs w:val="24"/>
        </w:rPr>
        <w:t>置食宿，</w:t>
      </w:r>
      <w:r>
        <w:rPr>
          <w:rFonts w:ascii="宋体" w:hAnsi="宋体" w:eastAsia="宋体" w:cs="宋体"/>
          <w:spacing w:val="108"/>
          <w:sz w:val="24"/>
          <w:szCs w:val="24"/>
        </w:rPr>
        <w:t xml:space="preserve"> </w:t>
      </w:r>
      <w:r>
        <w:rPr>
          <w:rFonts w:ascii="宋体" w:hAnsi="宋体" w:eastAsia="宋体" w:cs="宋体"/>
          <w:spacing w:val="10"/>
          <w:sz w:val="24"/>
          <w:szCs w:val="24"/>
        </w:rPr>
        <w:t>生活污水</w:t>
      </w:r>
      <w:r>
        <w:rPr>
          <w:rFonts w:ascii="宋体" w:hAnsi="宋体" w:eastAsia="宋体" w:cs="宋体"/>
          <w:spacing w:val="-72"/>
          <w:sz w:val="24"/>
          <w:szCs w:val="24"/>
        </w:rPr>
        <w:t xml:space="preserve"> </w:t>
      </w:r>
      <w:r>
        <w:rPr>
          <w:rFonts w:ascii="宋体" w:hAnsi="宋体" w:eastAsia="宋体" w:cs="宋体"/>
          <w:spacing w:val="10"/>
          <w:sz w:val="24"/>
          <w:szCs w:val="24"/>
        </w:rPr>
        <w:t>主要为卫</w:t>
      </w:r>
      <w:r>
        <w:rPr>
          <w:rFonts w:ascii="宋体" w:hAnsi="宋体" w:eastAsia="宋体" w:cs="宋体"/>
          <w:spacing w:val="-71"/>
          <w:sz w:val="24"/>
          <w:szCs w:val="24"/>
        </w:rPr>
        <w:t xml:space="preserve"> </w:t>
      </w:r>
      <w:r>
        <w:rPr>
          <w:rFonts w:ascii="宋体" w:hAnsi="宋体" w:eastAsia="宋体" w:cs="宋体"/>
          <w:spacing w:val="10"/>
          <w:sz w:val="24"/>
          <w:szCs w:val="24"/>
        </w:rPr>
        <w:t>生</w:t>
      </w:r>
      <w:r>
        <w:rPr>
          <w:rFonts w:ascii="宋体" w:hAnsi="宋体" w:eastAsia="宋体" w:cs="宋体"/>
          <w:spacing w:val="-56"/>
          <w:sz w:val="24"/>
          <w:szCs w:val="24"/>
        </w:rPr>
        <w:t xml:space="preserve"> </w:t>
      </w:r>
      <w:r>
        <w:rPr>
          <w:rFonts w:ascii="宋体" w:hAnsi="宋体" w:eastAsia="宋体" w:cs="宋体"/>
          <w:spacing w:val="10"/>
          <w:sz w:val="24"/>
          <w:szCs w:val="24"/>
        </w:rPr>
        <w:t>间污水</w:t>
      </w:r>
      <w:r>
        <w:rPr>
          <w:rFonts w:ascii="宋体" w:hAnsi="宋体" w:eastAsia="宋体" w:cs="宋体"/>
          <w:spacing w:val="-57"/>
          <w:sz w:val="24"/>
          <w:szCs w:val="24"/>
        </w:rPr>
        <w:t xml:space="preserve"> </w:t>
      </w:r>
      <w:r>
        <w:rPr>
          <w:rFonts w:ascii="宋体" w:hAnsi="宋体" w:eastAsia="宋体" w:cs="宋体"/>
          <w:spacing w:val="10"/>
          <w:sz w:val="24"/>
          <w:szCs w:val="24"/>
        </w:rPr>
        <w:t>，根据《</w:t>
      </w:r>
      <w:r>
        <w:rPr>
          <w:rFonts w:ascii="宋体" w:hAnsi="宋体" w:eastAsia="宋体" w:cs="宋体"/>
          <w:spacing w:val="-44"/>
          <w:sz w:val="24"/>
          <w:szCs w:val="24"/>
        </w:rPr>
        <w:t xml:space="preserve"> </w:t>
      </w:r>
      <w:r>
        <w:rPr>
          <w:rFonts w:ascii="宋体" w:hAnsi="宋体" w:eastAsia="宋体" w:cs="宋体"/>
          <w:spacing w:val="10"/>
          <w:sz w:val="24"/>
          <w:szCs w:val="24"/>
        </w:rPr>
        <w:t>云</w:t>
      </w:r>
      <w:r>
        <w:rPr>
          <w:rFonts w:ascii="宋体" w:hAnsi="宋体" w:eastAsia="宋体" w:cs="宋体"/>
          <w:spacing w:val="-72"/>
          <w:sz w:val="24"/>
          <w:szCs w:val="24"/>
        </w:rPr>
        <w:t xml:space="preserve"> </w:t>
      </w:r>
      <w:r>
        <w:rPr>
          <w:rFonts w:ascii="宋体" w:hAnsi="宋体" w:eastAsia="宋体" w:cs="宋体"/>
          <w:spacing w:val="10"/>
          <w:sz w:val="24"/>
          <w:szCs w:val="24"/>
        </w:rPr>
        <w:t>南</w:t>
      </w:r>
      <w:r>
        <w:rPr>
          <w:rFonts w:ascii="宋体" w:hAnsi="宋体" w:eastAsia="宋体" w:cs="宋体"/>
          <w:spacing w:val="-71"/>
          <w:sz w:val="24"/>
          <w:szCs w:val="24"/>
        </w:rPr>
        <w:t xml:space="preserve"> </w:t>
      </w:r>
      <w:r>
        <w:rPr>
          <w:rFonts w:ascii="宋体" w:hAnsi="宋体" w:eastAsia="宋体" w:cs="宋体"/>
          <w:spacing w:val="10"/>
          <w:sz w:val="24"/>
          <w:szCs w:val="24"/>
        </w:rPr>
        <w:t>省地方标准用</w:t>
      </w:r>
      <w:r>
        <w:rPr>
          <w:rFonts w:ascii="宋体" w:hAnsi="宋体" w:eastAsia="宋体" w:cs="宋体"/>
          <w:spacing w:val="-71"/>
          <w:sz w:val="24"/>
          <w:szCs w:val="24"/>
        </w:rPr>
        <w:t xml:space="preserve"> </w:t>
      </w:r>
      <w:r>
        <w:rPr>
          <w:rFonts w:ascii="宋体" w:hAnsi="宋体" w:eastAsia="宋体" w:cs="宋体"/>
          <w:spacing w:val="10"/>
          <w:sz w:val="24"/>
          <w:szCs w:val="24"/>
        </w:rPr>
        <w:t>水</w:t>
      </w:r>
      <w:r>
        <w:rPr>
          <w:rFonts w:ascii="宋体" w:hAnsi="宋体" w:eastAsia="宋体" w:cs="宋体"/>
          <w:spacing w:val="-69"/>
          <w:sz w:val="24"/>
          <w:szCs w:val="24"/>
        </w:rPr>
        <w:t xml:space="preserve"> </w:t>
      </w:r>
      <w:r>
        <w:rPr>
          <w:rFonts w:ascii="宋体" w:hAnsi="宋体" w:eastAsia="宋体" w:cs="宋体"/>
          <w:spacing w:val="10"/>
          <w:sz w:val="24"/>
          <w:szCs w:val="24"/>
        </w:rPr>
        <w:t>定额</w:t>
      </w:r>
      <w:r>
        <w:rPr>
          <w:rFonts w:ascii="宋体" w:hAnsi="宋体" w:eastAsia="宋体" w:cs="宋体"/>
          <w:spacing w:val="-63"/>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17"/>
          <w:sz w:val="24"/>
          <w:szCs w:val="24"/>
        </w:rPr>
        <w:t>（</w:t>
      </w:r>
      <w:r>
        <w:rPr>
          <w:rFonts w:ascii="Times New Roman" w:hAnsi="Times New Roman" w:eastAsia="Times New Roman" w:cs="Times New Roman"/>
          <w:sz w:val="24"/>
          <w:szCs w:val="24"/>
        </w:rPr>
        <w:t>DB</w:t>
      </w:r>
      <w:r>
        <w:rPr>
          <w:rFonts w:ascii="Times New Roman" w:hAnsi="Times New Roman" w:eastAsia="Times New Roman" w:cs="Times New Roman"/>
          <w:spacing w:val="17"/>
          <w:sz w:val="24"/>
          <w:szCs w:val="24"/>
        </w:rPr>
        <w:t>53T168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7"/>
          <w:sz w:val="24"/>
          <w:szCs w:val="24"/>
        </w:rPr>
        <w:t>-2019</w:t>
      </w:r>
      <w:r>
        <w:rPr>
          <w:rFonts w:ascii="宋体" w:hAnsi="宋体" w:eastAsia="宋体" w:cs="宋体"/>
          <w:spacing w:val="-59"/>
          <w:sz w:val="24"/>
          <w:szCs w:val="24"/>
        </w:rPr>
        <w:t>），</w:t>
      </w:r>
      <w:r>
        <w:rPr>
          <w:rFonts w:ascii="宋体" w:hAnsi="宋体" w:eastAsia="宋体" w:cs="宋体"/>
          <w:spacing w:val="-40"/>
          <w:sz w:val="24"/>
          <w:szCs w:val="24"/>
        </w:rPr>
        <w:t xml:space="preserve"> </w:t>
      </w:r>
      <w:r>
        <w:rPr>
          <w:rFonts w:ascii="宋体" w:hAnsi="宋体" w:eastAsia="宋体" w:cs="宋体"/>
          <w:spacing w:val="17"/>
          <w:sz w:val="24"/>
          <w:szCs w:val="24"/>
        </w:rPr>
        <w:t>人均生活用水量</w:t>
      </w:r>
      <w:r>
        <w:rPr>
          <w:rFonts w:ascii="宋体" w:hAnsi="宋体" w:eastAsia="宋体" w:cs="宋体"/>
          <w:spacing w:val="-49"/>
          <w:sz w:val="24"/>
          <w:szCs w:val="24"/>
        </w:rPr>
        <w:t xml:space="preserve"> </w:t>
      </w:r>
      <w:r>
        <w:rPr>
          <w:rFonts w:ascii="宋体" w:hAnsi="宋体" w:eastAsia="宋体" w:cs="宋体"/>
          <w:spacing w:val="17"/>
          <w:sz w:val="24"/>
          <w:szCs w:val="24"/>
        </w:rPr>
        <w:t>以</w:t>
      </w:r>
      <w:r>
        <w:rPr>
          <w:rFonts w:ascii="宋体" w:hAnsi="宋体" w:eastAsia="宋体" w:cs="宋体"/>
          <w:spacing w:val="56"/>
          <w:sz w:val="24"/>
          <w:szCs w:val="24"/>
        </w:rPr>
        <w:t xml:space="preserve"> </w:t>
      </w:r>
      <w:r>
        <w:rPr>
          <w:rFonts w:ascii="Times New Roman" w:hAnsi="Times New Roman" w:eastAsia="Times New Roman" w:cs="Times New Roman"/>
          <w:spacing w:val="17"/>
          <w:sz w:val="24"/>
          <w:szCs w:val="24"/>
        </w:rPr>
        <w:t>40L/</w:t>
      </w:r>
      <w:r>
        <w:rPr>
          <w:rFonts w:ascii="宋体" w:hAnsi="宋体" w:eastAsia="宋体" w:cs="宋体"/>
          <w:spacing w:val="17"/>
          <w:sz w:val="24"/>
          <w:szCs w:val="24"/>
        </w:rPr>
        <w:t>人 ·</w:t>
      </w:r>
      <w:r>
        <w:rPr>
          <w:rFonts w:ascii="Times New Roman" w:hAnsi="Times New Roman" w:eastAsia="Times New Roman" w:cs="Times New Roman"/>
          <w:spacing w:val="17"/>
          <w:sz w:val="24"/>
          <w:szCs w:val="24"/>
        </w:rPr>
        <w:t>d</w:t>
      </w:r>
      <w:r>
        <w:rPr>
          <w:rFonts w:ascii="Times New Roman" w:hAnsi="Times New Roman" w:eastAsia="Times New Roman" w:cs="Times New Roman"/>
          <w:spacing w:val="29"/>
          <w:w w:val="101"/>
          <w:sz w:val="24"/>
          <w:szCs w:val="24"/>
        </w:rPr>
        <w:t xml:space="preserve">  </w:t>
      </w:r>
      <w:r>
        <w:rPr>
          <w:rFonts w:ascii="宋体" w:hAnsi="宋体" w:eastAsia="宋体" w:cs="宋体"/>
          <w:spacing w:val="17"/>
          <w:sz w:val="24"/>
          <w:szCs w:val="24"/>
        </w:rPr>
        <w:t>计，污水排放系数为</w:t>
      </w:r>
      <w:r>
        <w:rPr>
          <w:rFonts w:ascii="宋体" w:hAnsi="宋体" w:eastAsia="宋体" w:cs="宋体"/>
          <w:sz w:val="24"/>
          <w:szCs w:val="24"/>
        </w:rPr>
        <w:t xml:space="preserve">  </w:t>
      </w:r>
      <w:r>
        <w:rPr>
          <w:rFonts w:ascii="Times New Roman" w:hAnsi="Times New Roman" w:eastAsia="Times New Roman" w:cs="Times New Roman"/>
          <w:spacing w:val="17"/>
          <w:sz w:val="24"/>
          <w:szCs w:val="24"/>
        </w:rPr>
        <w:t>0.8</w:t>
      </w:r>
      <w:r>
        <w:rPr>
          <w:rFonts w:ascii="宋体" w:hAnsi="宋体" w:eastAsia="宋体" w:cs="宋体"/>
          <w:spacing w:val="17"/>
          <w:sz w:val="24"/>
          <w:szCs w:val="24"/>
        </w:rPr>
        <w:t>，</w:t>
      </w:r>
      <w:r>
        <w:rPr>
          <w:rFonts w:ascii="宋体" w:hAnsi="宋体" w:eastAsia="宋体" w:cs="宋体"/>
          <w:spacing w:val="-47"/>
          <w:sz w:val="24"/>
          <w:szCs w:val="24"/>
        </w:rPr>
        <w:t xml:space="preserve"> </w:t>
      </w:r>
      <w:r>
        <w:rPr>
          <w:rFonts w:ascii="宋体" w:hAnsi="宋体" w:eastAsia="宋体" w:cs="宋体"/>
          <w:spacing w:val="17"/>
          <w:sz w:val="24"/>
          <w:szCs w:val="24"/>
        </w:rPr>
        <w:t xml:space="preserve">则生活污水产生量为 </w:t>
      </w:r>
      <w:r>
        <w:rPr>
          <w:rFonts w:ascii="Times New Roman" w:hAnsi="Times New Roman" w:eastAsia="Times New Roman" w:cs="Times New Roman"/>
          <w:spacing w:val="17"/>
          <w:sz w:val="24"/>
          <w:szCs w:val="24"/>
        </w:rPr>
        <w:t>0.06m</w:t>
      </w:r>
      <w:r>
        <w:rPr>
          <w:rFonts w:ascii="Times New Roman" w:hAnsi="Times New Roman" w:eastAsia="Times New Roman" w:cs="Times New Roman"/>
          <w:spacing w:val="17"/>
          <w:position w:val="8"/>
          <w:sz w:val="15"/>
          <w:szCs w:val="15"/>
        </w:rPr>
        <w:t>3</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17"/>
          <w:sz w:val="24"/>
          <w:szCs w:val="24"/>
        </w:rPr>
        <w:t>/d</w:t>
      </w:r>
      <w:r>
        <w:rPr>
          <w:rFonts w:ascii="Times New Roman" w:hAnsi="Times New Roman" w:eastAsia="Times New Roman" w:cs="Times New Roman"/>
          <w:spacing w:val="-18"/>
          <w:sz w:val="24"/>
          <w:szCs w:val="24"/>
        </w:rPr>
        <w:t xml:space="preserve"> </w:t>
      </w:r>
      <w:r>
        <w:rPr>
          <w:rFonts w:ascii="宋体" w:hAnsi="宋体" w:eastAsia="宋体" w:cs="宋体"/>
          <w:spacing w:val="17"/>
          <w:sz w:val="24"/>
          <w:szCs w:val="24"/>
        </w:rPr>
        <w:t>、</w:t>
      </w:r>
      <w:r>
        <w:rPr>
          <w:rFonts w:ascii="Times New Roman" w:hAnsi="Times New Roman" w:eastAsia="Times New Roman" w:cs="Times New Roman"/>
          <w:spacing w:val="17"/>
          <w:sz w:val="24"/>
          <w:szCs w:val="24"/>
        </w:rPr>
        <w:t>21.9m</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17"/>
          <w:position w:val="8"/>
          <w:sz w:val="15"/>
          <w:szCs w:val="15"/>
        </w:rPr>
        <w:t>3</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17"/>
          <w:sz w:val="24"/>
          <w:szCs w:val="24"/>
        </w:rPr>
        <w:t>/a</w:t>
      </w:r>
      <w:r>
        <w:rPr>
          <w:rFonts w:ascii="Times New Roman" w:hAnsi="Times New Roman" w:eastAsia="Times New Roman" w:cs="Times New Roman"/>
          <w:spacing w:val="-10"/>
          <w:sz w:val="24"/>
          <w:szCs w:val="24"/>
        </w:rPr>
        <w:t xml:space="preserve"> </w:t>
      </w:r>
      <w:r>
        <w:rPr>
          <w:rFonts w:ascii="宋体" w:hAnsi="宋体" w:eastAsia="宋体" w:cs="宋体"/>
          <w:spacing w:val="17"/>
          <w:sz w:val="24"/>
          <w:szCs w:val="24"/>
        </w:rPr>
        <w:t>。污水经化粪池处理后</w:t>
      </w:r>
      <w:r>
        <w:rPr>
          <w:rFonts w:ascii="宋体" w:hAnsi="宋体" w:eastAsia="宋体" w:cs="宋体"/>
          <w:spacing w:val="-72"/>
          <w:sz w:val="24"/>
          <w:szCs w:val="24"/>
        </w:rPr>
        <w:t xml:space="preserve"> </w:t>
      </w:r>
      <w:r>
        <w:rPr>
          <w:rFonts w:ascii="宋体" w:hAnsi="宋体" w:eastAsia="宋体" w:cs="宋体"/>
          <w:spacing w:val="17"/>
          <w:sz w:val="24"/>
          <w:szCs w:val="24"/>
        </w:rPr>
        <w:t>定期</w:t>
      </w:r>
    </w:p>
    <w:p>
      <w:pPr>
        <w:spacing w:before="1" w:line="218" w:lineRule="auto"/>
        <w:rPr>
          <w:rFonts w:ascii="宋体" w:hAnsi="宋体" w:eastAsia="宋体" w:cs="宋体"/>
          <w:sz w:val="24"/>
          <w:szCs w:val="24"/>
        </w:rPr>
      </w:pPr>
      <w:r>
        <w:rPr>
          <w:rFonts w:ascii="宋体" w:hAnsi="宋体" w:eastAsia="宋体" w:cs="宋体"/>
          <w:spacing w:val="23"/>
          <w:sz w:val="24"/>
          <w:szCs w:val="24"/>
        </w:rPr>
        <w:t>委托周边居</w:t>
      </w:r>
      <w:r>
        <w:rPr>
          <w:rFonts w:ascii="宋体" w:hAnsi="宋体" w:eastAsia="宋体" w:cs="宋体"/>
          <w:spacing w:val="-40"/>
          <w:sz w:val="24"/>
          <w:szCs w:val="24"/>
        </w:rPr>
        <w:t xml:space="preserve"> </w:t>
      </w:r>
      <w:r>
        <w:rPr>
          <w:rFonts w:ascii="宋体" w:hAnsi="宋体" w:eastAsia="宋体" w:cs="宋体"/>
          <w:spacing w:val="23"/>
          <w:sz w:val="24"/>
          <w:szCs w:val="24"/>
        </w:rPr>
        <w:t>民清掏用于农肥</w:t>
      </w:r>
      <w:r>
        <w:rPr>
          <w:rFonts w:ascii="宋体" w:hAnsi="宋体" w:eastAsia="宋体" w:cs="宋体"/>
          <w:spacing w:val="-59"/>
          <w:sz w:val="24"/>
          <w:szCs w:val="24"/>
        </w:rPr>
        <w:t xml:space="preserve"> </w:t>
      </w:r>
      <w:r>
        <w:rPr>
          <w:rFonts w:ascii="宋体" w:hAnsi="宋体" w:eastAsia="宋体" w:cs="宋体"/>
          <w:spacing w:val="23"/>
          <w:sz w:val="24"/>
          <w:szCs w:val="24"/>
        </w:rPr>
        <w:t>，不外排。</w:t>
      </w:r>
    </w:p>
    <w:p>
      <w:pPr>
        <w:spacing w:before="182" w:line="220" w:lineRule="auto"/>
        <w:ind w:left="556"/>
        <w:rPr>
          <w:rFonts w:ascii="宋体" w:hAnsi="宋体" w:eastAsia="宋体" w:cs="宋体"/>
          <w:sz w:val="24"/>
          <w:szCs w:val="24"/>
        </w:rPr>
      </w:pPr>
      <w:r>
        <w:rPr>
          <w:rFonts w:ascii="宋体" w:hAnsi="宋体" w:eastAsia="宋体" w:cs="宋体"/>
          <w:spacing w:val="15"/>
          <w:sz w:val="24"/>
          <w:szCs w:val="24"/>
        </w:rPr>
        <w:t>（</w:t>
      </w:r>
      <w:r>
        <w:rPr>
          <w:rFonts w:ascii="Times New Roman" w:hAnsi="Times New Roman" w:eastAsia="Times New Roman" w:cs="Times New Roman"/>
          <w:spacing w:val="15"/>
          <w:sz w:val="24"/>
          <w:szCs w:val="24"/>
        </w:rPr>
        <w:t>10</w:t>
      </w:r>
      <w:r>
        <w:rPr>
          <w:rFonts w:ascii="宋体" w:hAnsi="宋体" w:eastAsia="宋体" w:cs="宋体"/>
          <w:spacing w:val="15"/>
          <w:sz w:val="24"/>
          <w:szCs w:val="24"/>
        </w:rPr>
        <w:t>）</w:t>
      </w:r>
      <w:r>
        <w:rPr>
          <w:rFonts w:ascii="宋体" w:hAnsi="宋体" w:eastAsia="宋体" w:cs="宋体"/>
          <w:spacing w:val="-54"/>
          <w:sz w:val="24"/>
          <w:szCs w:val="24"/>
        </w:rPr>
        <w:t xml:space="preserve"> </w:t>
      </w:r>
      <w:r>
        <w:rPr>
          <w:rFonts w:ascii="宋体" w:hAnsi="宋体" w:eastAsia="宋体" w:cs="宋体"/>
          <w:spacing w:val="15"/>
          <w:sz w:val="24"/>
          <w:szCs w:val="24"/>
        </w:rPr>
        <w:t>生活垃圾</w:t>
      </w:r>
    </w:p>
    <w:p>
      <w:pPr>
        <w:spacing w:before="180" w:line="467" w:lineRule="exact"/>
        <w:ind w:left="483"/>
        <w:rPr>
          <w:rFonts w:ascii="宋体" w:hAnsi="宋体" w:eastAsia="宋体" w:cs="宋体"/>
          <w:sz w:val="24"/>
          <w:szCs w:val="24"/>
        </w:rPr>
      </w:pPr>
      <w:r>
        <w:rPr>
          <w:rFonts w:ascii="宋体" w:hAnsi="宋体" w:eastAsia="宋体" w:cs="宋体"/>
          <w:spacing w:val="6"/>
          <w:position w:val="17"/>
          <w:sz w:val="24"/>
          <w:szCs w:val="24"/>
        </w:rPr>
        <w:t xml:space="preserve">生活垃圾以每人每天产生垃圾 </w:t>
      </w:r>
      <w:r>
        <w:rPr>
          <w:rFonts w:ascii="Times New Roman" w:hAnsi="Times New Roman" w:eastAsia="Times New Roman" w:cs="Times New Roman"/>
          <w:spacing w:val="6"/>
          <w:position w:val="17"/>
          <w:sz w:val="24"/>
          <w:szCs w:val="24"/>
        </w:rPr>
        <w:t>0.5</w:t>
      </w:r>
      <w:r>
        <w:rPr>
          <w:rFonts w:ascii="Times New Roman" w:hAnsi="Times New Roman" w:eastAsia="Times New Roman" w:cs="Times New Roman"/>
          <w:position w:val="17"/>
          <w:sz w:val="24"/>
          <w:szCs w:val="24"/>
        </w:rPr>
        <w:t>kg</w:t>
      </w:r>
      <w:r>
        <w:rPr>
          <w:rFonts w:ascii="Times New Roman" w:hAnsi="Times New Roman" w:eastAsia="Times New Roman" w:cs="Times New Roman"/>
          <w:spacing w:val="6"/>
          <w:position w:val="17"/>
          <w:sz w:val="24"/>
          <w:szCs w:val="24"/>
        </w:rPr>
        <w:t xml:space="preserve">  </w:t>
      </w:r>
      <w:r>
        <w:rPr>
          <w:rFonts w:ascii="宋体" w:hAnsi="宋体" w:eastAsia="宋体" w:cs="宋体"/>
          <w:spacing w:val="6"/>
          <w:position w:val="17"/>
          <w:sz w:val="24"/>
          <w:szCs w:val="24"/>
        </w:rPr>
        <w:t>计，则水库值班室日产生生活垃圾量为</w:t>
      </w:r>
    </w:p>
    <w:p>
      <w:pPr>
        <w:spacing w:line="212" w:lineRule="auto"/>
        <w:ind w:left="20"/>
        <w:rPr>
          <w:rFonts w:ascii="宋体" w:hAnsi="宋体" w:eastAsia="宋体" w:cs="宋体"/>
          <w:sz w:val="24"/>
          <w:szCs w:val="24"/>
        </w:rPr>
      </w:pPr>
      <w:r>
        <w:rPr>
          <w:rFonts w:ascii="Times New Roman" w:hAnsi="Times New Roman" w:eastAsia="Times New Roman" w:cs="Times New Roman"/>
          <w:spacing w:val="-1"/>
          <w:sz w:val="24"/>
          <w:szCs w:val="24"/>
        </w:rPr>
        <w:t>1kg/d</w:t>
      </w:r>
      <w:r>
        <w:rPr>
          <w:rFonts w:ascii="宋体" w:hAnsi="宋体" w:eastAsia="宋体" w:cs="宋体"/>
          <w:spacing w:val="-1"/>
          <w:sz w:val="24"/>
          <w:szCs w:val="24"/>
        </w:rPr>
        <w:t>，在水库管值班室设置垃圾桶收集后交由当地环卫部门处置。</w:t>
      </w:r>
    </w:p>
    <w:p>
      <w:pPr>
        <w:spacing w:before="191" w:line="222"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11</w:t>
      </w:r>
      <w:r>
        <w:rPr>
          <w:rFonts w:ascii="宋体" w:hAnsi="宋体" w:eastAsia="宋体" w:cs="宋体"/>
          <w:spacing w:val="-4"/>
          <w:sz w:val="24"/>
          <w:szCs w:val="24"/>
        </w:rPr>
        <w:t>）生态影响源</w:t>
      </w:r>
    </w:p>
    <w:p>
      <w:pPr>
        <w:spacing w:before="178" w:line="220" w:lineRule="auto"/>
        <w:ind w:left="489"/>
        <w:rPr>
          <w:rFonts w:ascii="宋体" w:hAnsi="宋体" w:eastAsia="宋体" w:cs="宋体"/>
          <w:sz w:val="24"/>
          <w:szCs w:val="24"/>
        </w:rPr>
      </w:pPr>
      <w:r>
        <w:rPr>
          <w:rFonts w:ascii="宋体" w:hAnsi="宋体" w:eastAsia="宋体" w:cs="宋体"/>
          <w:spacing w:val="-3"/>
          <w:sz w:val="24"/>
          <w:szCs w:val="24"/>
        </w:rPr>
        <w:t>营运期对生态造成影响的主要内容是水库淹没。</w:t>
      </w:r>
    </w:p>
    <w:p>
      <w:pPr>
        <w:spacing w:before="180" w:line="360" w:lineRule="auto"/>
        <w:ind w:left="1" w:right="158" w:firstLine="482"/>
        <w:rPr>
          <w:rFonts w:ascii="宋体" w:hAnsi="宋体" w:eastAsia="宋体" w:cs="宋体"/>
          <w:sz w:val="24"/>
          <w:szCs w:val="24"/>
        </w:rPr>
      </w:pPr>
      <w:r>
        <w:rPr>
          <w:rFonts w:ascii="宋体" w:hAnsi="宋体" w:eastAsia="宋体" w:cs="宋体"/>
          <w:spacing w:val="1"/>
          <w:sz w:val="24"/>
          <w:szCs w:val="24"/>
        </w:rPr>
        <w:t>水库淹没将导致一定区域内土地利用结构发生变化，将使现有的草地、林地等</w:t>
      </w:r>
      <w:r>
        <w:rPr>
          <w:rFonts w:ascii="宋体" w:hAnsi="宋体" w:eastAsia="宋体" w:cs="宋体"/>
          <w:spacing w:val="15"/>
          <w:sz w:val="24"/>
          <w:szCs w:val="24"/>
        </w:rPr>
        <w:t xml:space="preserve"> </w:t>
      </w:r>
      <w:r>
        <w:rPr>
          <w:rFonts w:ascii="宋体" w:hAnsi="宋体" w:eastAsia="宋体" w:cs="宋体"/>
          <w:sz w:val="24"/>
          <w:szCs w:val="24"/>
        </w:rPr>
        <w:t>变为水域，</w:t>
      </w:r>
      <w:r>
        <w:rPr>
          <w:rFonts w:ascii="宋体" w:hAnsi="宋体" w:eastAsia="宋体" w:cs="宋体"/>
          <w:spacing w:val="-68"/>
          <w:sz w:val="24"/>
          <w:szCs w:val="24"/>
        </w:rPr>
        <w:t xml:space="preserve"> </w:t>
      </w:r>
      <w:r>
        <w:rPr>
          <w:rFonts w:ascii="宋体" w:hAnsi="宋体" w:eastAsia="宋体" w:cs="宋体"/>
          <w:sz w:val="24"/>
          <w:szCs w:val="24"/>
        </w:rPr>
        <w:t>占用一定的土地资源，植物资源的损失会导</w:t>
      </w:r>
      <w:r>
        <w:rPr>
          <w:rFonts w:ascii="宋体" w:hAnsi="宋体" w:eastAsia="宋体" w:cs="宋体"/>
          <w:spacing w:val="-1"/>
          <w:sz w:val="24"/>
          <w:szCs w:val="24"/>
        </w:rPr>
        <w:t>致水土流失加剧、恶化生态</w:t>
      </w:r>
    </w:p>
    <w:p>
      <w:pPr>
        <w:spacing w:line="220" w:lineRule="auto"/>
        <w:ind w:left="1"/>
        <w:rPr>
          <w:rFonts w:ascii="宋体" w:hAnsi="宋体" w:eastAsia="宋体" w:cs="宋体"/>
          <w:sz w:val="24"/>
          <w:szCs w:val="24"/>
        </w:rPr>
      </w:pPr>
      <w:r>
        <w:rPr>
          <w:rFonts w:ascii="宋体" w:hAnsi="宋体" w:eastAsia="宋体" w:cs="宋体"/>
          <w:spacing w:val="-10"/>
          <w:sz w:val="24"/>
          <w:szCs w:val="24"/>
        </w:rPr>
        <w:t>环境。</w:t>
      </w:r>
    </w:p>
    <w:p>
      <w:pPr>
        <w:spacing w:before="181" w:line="359" w:lineRule="auto"/>
        <w:ind w:left="1" w:right="161" w:firstLine="482"/>
        <w:rPr>
          <w:rFonts w:ascii="宋体" w:hAnsi="宋体" w:eastAsia="宋体" w:cs="宋体"/>
          <w:sz w:val="24"/>
          <w:szCs w:val="24"/>
        </w:rPr>
      </w:pPr>
      <w:r>
        <w:rPr>
          <w:rFonts w:ascii="宋体" w:hAnsi="宋体" w:eastAsia="宋体" w:cs="宋体"/>
          <w:spacing w:val="1"/>
          <w:sz w:val="24"/>
          <w:szCs w:val="24"/>
        </w:rPr>
        <w:t>水库淹没使陆生动物栖息地及活动面积有所减少，但由于减少面积在评价区内</w:t>
      </w:r>
      <w:r>
        <w:rPr>
          <w:rFonts w:ascii="宋体" w:hAnsi="宋体" w:eastAsia="宋体" w:cs="宋体"/>
          <w:spacing w:val="7"/>
          <w:sz w:val="24"/>
          <w:szCs w:val="24"/>
        </w:rPr>
        <w:t xml:space="preserve"> </w:t>
      </w:r>
      <w:r>
        <w:rPr>
          <w:rFonts w:ascii="宋体" w:hAnsi="宋体" w:eastAsia="宋体" w:cs="宋体"/>
          <w:spacing w:val="1"/>
          <w:sz w:val="24"/>
          <w:szCs w:val="24"/>
        </w:rPr>
        <w:t>所占比例不大，因此，不会从根本上影响陆生脊椎动物的生存状况。水库运行。期</w:t>
      </w:r>
    </w:p>
    <w:p>
      <w:pPr>
        <w:spacing w:before="1" w:line="218" w:lineRule="auto"/>
        <w:ind w:left="20"/>
        <w:rPr>
          <w:rFonts w:ascii="宋体" w:hAnsi="宋体" w:eastAsia="宋体" w:cs="宋体"/>
          <w:sz w:val="24"/>
          <w:szCs w:val="24"/>
        </w:rPr>
      </w:pPr>
      <w:r>
        <w:rPr>
          <w:rFonts w:ascii="宋体" w:hAnsi="宋体" w:eastAsia="宋体" w:cs="宋体"/>
          <w:spacing w:val="-7"/>
          <w:sz w:val="24"/>
          <w:szCs w:val="24"/>
        </w:rPr>
        <w:t>间，由于水域面积增加，因此，</w:t>
      </w:r>
      <w:r>
        <w:rPr>
          <w:rFonts w:ascii="宋体" w:hAnsi="宋体" w:eastAsia="宋体" w:cs="宋体"/>
          <w:spacing w:val="64"/>
          <w:sz w:val="24"/>
          <w:szCs w:val="24"/>
        </w:rPr>
        <w:t xml:space="preserve"> </w:t>
      </w:r>
      <w:r>
        <w:rPr>
          <w:rFonts w:ascii="宋体" w:hAnsi="宋体" w:eastAsia="宋体" w:cs="宋体"/>
          <w:spacing w:val="-7"/>
          <w:sz w:val="24"/>
          <w:szCs w:val="24"/>
        </w:rPr>
        <w:t>鱼类资源及两栖类动物的个体数量会有所增加。</w:t>
      </w:r>
    </w:p>
    <w:p>
      <w:pPr>
        <w:spacing w:before="182" w:line="220" w:lineRule="auto"/>
        <w:ind w:left="488"/>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12</w:t>
      </w:r>
      <w:r>
        <w:rPr>
          <w:rFonts w:ascii="宋体" w:hAnsi="宋体" w:eastAsia="宋体" w:cs="宋体"/>
          <w:spacing w:val="-4"/>
          <w:sz w:val="24"/>
          <w:szCs w:val="24"/>
        </w:rPr>
        <w:t>）回归水</w:t>
      </w:r>
    </w:p>
    <w:p>
      <w:pPr>
        <w:spacing w:before="182" w:line="359" w:lineRule="auto"/>
        <w:ind w:left="3" w:right="160" w:firstLine="481"/>
        <w:rPr>
          <w:rFonts w:ascii="宋体" w:hAnsi="宋体" w:eastAsia="宋体" w:cs="宋体"/>
          <w:sz w:val="24"/>
          <w:szCs w:val="24"/>
        </w:rPr>
      </w:pPr>
      <w:r>
        <w:rPr>
          <w:rFonts w:ascii="宋体" w:hAnsi="宋体" w:eastAsia="宋体" w:cs="宋体"/>
          <w:spacing w:val="-2"/>
          <w:sz w:val="24"/>
          <w:szCs w:val="24"/>
        </w:rPr>
        <w:t xml:space="preserve">项目运营期回归水由生活用水回归水、灌溉回归水、工业用水回归水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56"/>
          <w:w w:val="101"/>
          <w:sz w:val="24"/>
          <w:szCs w:val="24"/>
        </w:rPr>
        <w:t xml:space="preserve"> </w:t>
      </w:r>
      <w:r>
        <w:rPr>
          <w:rFonts w:ascii="宋体" w:hAnsi="宋体" w:eastAsia="宋体" w:cs="宋体"/>
          <w:spacing w:val="-2"/>
          <w:sz w:val="24"/>
          <w:szCs w:val="24"/>
        </w:rPr>
        <w:t>部分组</w:t>
      </w:r>
      <w:r>
        <w:rPr>
          <w:rFonts w:ascii="宋体" w:hAnsi="宋体" w:eastAsia="宋体" w:cs="宋体"/>
          <w:sz w:val="24"/>
          <w:szCs w:val="24"/>
        </w:rPr>
        <w:t xml:space="preserve"> </w:t>
      </w:r>
      <w:r>
        <w:rPr>
          <w:rFonts w:ascii="宋体" w:hAnsi="宋体" w:eastAsia="宋体" w:cs="宋体"/>
          <w:spacing w:val="-8"/>
          <w:sz w:val="24"/>
          <w:szCs w:val="24"/>
        </w:rPr>
        <w:t>成。新街灌片、金碧灌片不由桂花水库直接供水， 本次不评价新</w:t>
      </w:r>
      <w:r>
        <w:rPr>
          <w:rFonts w:ascii="宋体" w:hAnsi="宋体" w:eastAsia="宋体" w:cs="宋体"/>
          <w:spacing w:val="-9"/>
          <w:sz w:val="24"/>
          <w:szCs w:val="24"/>
        </w:rPr>
        <w:t>街灌片、金碧灌片回</w:t>
      </w:r>
    </w:p>
    <w:p>
      <w:pPr>
        <w:spacing w:line="219" w:lineRule="auto"/>
        <w:ind w:left="11"/>
        <w:rPr>
          <w:rFonts w:ascii="宋体" w:hAnsi="宋体" w:eastAsia="宋体" w:cs="宋体"/>
          <w:sz w:val="24"/>
          <w:szCs w:val="24"/>
        </w:rPr>
      </w:pPr>
      <w:r>
        <w:rPr>
          <w:rFonts w:ascii="宋体" w:hAnsi="宋体" w:eastAsia="宋体" w:cs="宋体"/>
          <w:spacing w:val="-9"/>
          <w:sz w:val="24"/>
          <w:szCs w:val="24"/>
        </w:rPr>
        <w:t>归水影响。</w:t>
      </w:r>
    </w:p>
    <w:p>
      <w:pPr>
        <w:spacing w:before="182" w:line="217" w:lineRule="auto"/>
        <w:ind w:left="480"/>
        <w:rPr>
          <w:rFonts w:ascii="宋体" w:hAnsi="宋体" w:eastAsia="宋体" w:cs="宋体"/>
          <w:sz w:val="24"/>
          <w:szCs w:val="24"/>
        </w:rPr>
      </w:pPr>
      <w:r>
        <w:rPr>
          <w:rFonts w:ascii="宋体" w:hAnsi="宋体" w:eastAsia="宋体" w:cs="宋体"/>
          <w:spacing w:val="-2"/>
          <w:sz w:val="24"/>
          <w:szCs w:val="24"/>
        </w:rPr>
        <w:t>①生活用水回归水</w:t>
      </w:r>
    </w:p>
    <w:p>
      <w:pPr>
        <w:spacing w:before="185" w:line="359" w:lineRule="auto"/>
        <w:ind w:left="7" w:right="159" w:firstLine="476"/>
        <w:rPr>
          <w:rFonts w:ascii="宋体" w:hAnsi="宋体" w:eastAsia="宋体" w:cs="宋体"/>
          <w:sz w:val="24"/>
          <w:szCs w:val="24"/>
        </w:rPr>
      </w:pPr>
      <w:r>
        <w:rPr>
          <w:rFonts w:ascii="宋体" w:hAnsi="宋体" w:eastAsia="宋体" w:cs="宋体"/>
          <w:spacing w:val="-1"/>
          <w:sz w:val="24"/>
          <w:szCs w:val="24"/>
        </w:rPr>
        <w:t>桂花水库未新增桂花灌片、</w:t>
      </w:r>
      <w:r>
        <w:rPr>
          <w:rFonts w:ascii="宋体" w:hAnsi="宋体" w:eastAsia="宋体" w:cs="宋体"/>
          <w:spacing w:val="-28"/>
          <w:sz w:val="24"/>
          <w:szCs w:val="24"/>
        </w:rPr>
        <w:t xml:space="preserve"> </w:t>
      </w:r>
      <w:r>
        <w:rPr>
          <w:rFonts w:ascii="宋体" w:hAnsi="宋体" w:eastAsia="宋体" w:cs="宋体"/>
          <w:spacing w:val="-1"/>
          <w:sz w:val="24"/>
          <w:szCs w:val="24"/>
        </w:rPr>
        <w:t>者纳么灌片、六苴灌片生活用</w:t>
      </w:r>
      <w:r>
        <w:rPr>
          <w:rFonts w:ascii="宋体" w:hAnsi="宋体" w:eastAsia="宋体" w:cs="宋体"/>
          <w:spacing w:val="-2"/>
          <w:sz w:val="24"/>
          <w:szCs w:val="24"/>
        </w:rPr>
        <w:t>水量，仅改善上述灌</w:t>
      </w:r>
      <w:r>
        <w:rPr>
          <w:rFonts w:ascii="宋体" w:hAnsi="宋体" w:eastAsia="宋体" w:cs="宋体"/>
          <w:sz w:val="24"/>
          <w:szCs w:val="24"/>
        </w:rPr>
        <w:t xml:space="preserve"> </w:t>
      </w:r>
      <w:r>
        <w:rPr>
          <w:rFonts w:ascii="宋体" w:hAnsi="宋体" w:eastAsia="宋体" w:cs="宋体"/>
          <w:spacing w:val="1"/>
          <w:sz w:val="24"/>
          <w:szCs w:val="24"/>
        </w:rPr>
        <w:t>片生活用水供水条件。农村生活污水未建设有污水收集和处理设施，一般经自家化</w:t>
      </w:r>
    </w:p>
    <w:p>
      <w:pPr>
        <w:spacing w:before="1" w:line="218" w:lineRule="auto"/>
        <w:ind w:left="3"/>
        <w:rPr>
          <w:rFonts w:ascii="宋体" w:hAnsi="宋体" w:eastAsia="宋体" w:cs="宋体"/>
          <w:sz w:val="24"/>
          <w:szCs w:val="24"/>
        </w:rPr>
      </w:pPr>
      <w:r>
        <w:rPr>
          <w:rFonts w:ascii="宋体" w:hAnsi="宋体" w:eastAsia="宋体" w:cs="宋体"/>
          <w:spacing w:val="-3"/>
          <w:sz w:val="24"/>
          <w:szCs w:val="24"/>
        </w:rPr>
        <w:t>粪池处理后，定期清掏用于农肥。</w:t>
      </w:r>
    </w:p>
    <w:p>
      <w:pPr>
        <w:spacing w:before="183" w:line="217" w:lineRule="auto"/>
        <w:ind w:left="480"/>
        <w:rPr>
          <w:rFonts w:ascii="宋体" w:hAnsi="宋体" w:eastAsia="宋体" w:cs="宋体"/>
          <w:sz w:val="24"/>
          <w:szCs w:val="24"/>
        </w:rPr>
      </w:pPr>
      <w:r>
        <w:rPr>
          <w:rFonts w:ascii="宋体" w:hAnsi="宋体" w:eastAsia="宋体" w:cs="宋体"/>
          <w:spacing w:val="-1"/>
          <w:sz w:val="24"/>
          <w:szCs w:val="24"/>
        </w:rPr>
        <w:t>②工业用水回归水</w:t>
      </w:r>
    </w:p>
    <w:p>
      <w:pPr>
        <w:spacing w:before="186" w:line="359" w:lineRule="auto"/>
        <w:ind w:left="3" w:right="159" w:firstLine="480"/>
        <w:rPr>
          <w:rFonts w:ascii="宋体" w:hAnsi="宋体" w:eastAsia="宋体" w:cs="宋体"/>
          <w:sz w:val="24"/>
          <w:szCs w:val="24"/>
        </w:rPr>
      </w:pPr>
      <w:r>
        <w:rPr>
          <w:rFonts w:ascii="宋体" w:hAnsi="宋体" w:eastAsia="宋体" w:cs="宋体"/>
          <w:spacing w:val="-3"/>
          <w:sz w:val="24"/>
          <w:szCs w:val="24"/>
        </w:rPr>
        <w:t>桂花水库工业供水主要涉及桂花灌片，可供桂花灌片供水量</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4"/>
          <w:sz w:val="24"/>
          <w:szCs w:val="24"/>
        </w:rPr>
        <w:t>7.7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宋体" w:hAnsi="宋体" w:eastAsia="宋体" w:cs="宋体"/>
          <w:spacing w:val="-4"/>
          <w:sz w:val="24"/>
          <w:szCs w:val="24"/>
        </w:rPr>
        <w:t>。工业污</w:t>
      </w:r>
      <w:r>
        <w:rPr>
          <w:rFonts w:ascii="宋体" w:hAnsi="宋体" w:eastAsia="宋体" w:cs="宋体"/>
          <w:sz w:val="24"/>
          <w:szCs w:val="24"/>
        </w:rPr>
        <w:t xml:space="preserve"> 水主要为桂花铜选厂。</w:t>
      </w:r>
      <w:r>
        <w:rPr>
          <w:rFonts w:ascii="宋体" w:hAnsi="宋体" w:eastAsia="宋体" w:cs="宋体"/>
          <w:spacing w:val="-63"/>
          <w:sz w:val="24"/>
          <w:szCs w:val="24"/>
        </w:rPr>
        <w:t xml:space="preserve"> </w:t>
      </w:r>
      <w:r>
        <w:rPr>
          <w:rFonts w:ascii="宋体" w:hAnsi="宋体" w:eastAsia="宋体" w:cs="宋体"/>
          <w:sz w:val="24"/>
          <w:szCs w:val="24"/>
        </w:rPr>
        <w:t>目前桂花铜选厂均有专门的污水处理</w:t>
      </w:r>
      <w:r>
        <w:rPr>
          <w:rFonts w:ascii="宋体" w:hAnsi="宋体" w:eastAsia="宋体" w:cs="宋体"/>
          <w:spacing w:val="-1"/>
          <w:sz w:val="24"/>
          <w:szCs w:val="24"/>
        </w:rPr>
        <w:t>设备，且入河排污口已</w:t>
      </w:r>
      <w:r>
        <w:rPr>
          <w:rFonts w:ascii="宋体" w:hAnsi="宋体" w:eastAsia="宋体" w:cs="宋体"/>
          <w:sz w:val="24"/>
          <w:szCs w:val="24"/>
        </w:rPr>
        <w:t xml:space="preserve"> </w:t>
      </w:r>
      <w:r>
        <w:rPr>
          <w:rFonts w:ascii="宋体" w:hAnsi="宋体" w:eastAsia="宋体" w:cs="宋体"/>
          <w:spacing w:val="1"/>
          <w:sz w:val="24"/>
          <w:szCs w:val="24"/>
        </w:rPr>
        <w:t>经大姚县水务局和大姚县环境保护局审批并备案，污水经处理达相关标准后排入桂</w:t>
      </w:r>
    </w:p>
    <w:p>
      <w:pPr>
        <w:spacing w:before="1" w:line="218" w:lineRule="auto"/>
        <w:ind w:left="2"/>
        <w:rPr>
          <w:rFonts w:ascii="宋体" w:hAnsi="宋体" w:eastAsia="宋体" w:cs="宋体"/>
          <w:sz w:val="24"/>
          <w:szCs w:val="24"/>
        </w:rPr>
      </w:pPr>
      <w:r>
        <w:rPr>
          <w:rFonts w:ascii="宋体" w:hAnsi="宋体" w:eastAsia="宋体" w:cs="宋体"/>
          <w:spacing w:val="-1"/>
          <w:sz w:val="24"/>
          <w:szCs w:val="24"/>
        </w:rPr>
        <w:t>花河。本工程不新增入河排污口以及排污量。</w:t>
      </w:r>
    </w:p>
    <w:p>
      <w:pPr>
        <w:spacing w:line="218" w:lineRule="auto"/>
        <w:rPr>
          <w:rFonts w:ascii="宋体" w:hAnsi="宋体" w:eastAsia="宋体" w:cs="宋体"/>
          <w:sz w:val="24"/>
          <w:szCs w:val="24"/>
        </w:rPr>
        <w:sectPr>
          <w:headerReference r:id="rId161" w:type="default"/>
          <w:footerReference r:id="rId162" w:type="default"/>
          <w:pgSz w:w="11920" w:h="16840"/>
          <w:pgMar w:top="1066" w:right="1398" w:bottom="1358" w:left="1667" w:header="865" w:footer="1195" w:gutter="0"/>
        </w:sectPr>
      </w:pPr>
    </w:p>
    <w:p>
      <w:pPr>
        <w:spacing w:before="70" w:line="217" w:lineRule="auto"/>
        <w:ind w:left="477"/>
        <w:rPr>
          <w:rFonts w:ascii="宋体" w:hAnsi="宋体" w:eastAsia="宋体" w:cs="宋体"/>
          <w:sz w:val="24"/>
          <w:szCs w:val="24"/>
        </w:rPr>
      </w:pPr>
      <w:r>
        <w:rPr>
          <w:rFonts w:ascii="宋体" w:hAnsi="宋体" w:eastAsia="宋体" w:cs="宋体"/>
          <w:spacing w:val="-2"/>
          <w:sz w:val="24"/>
          <w:szCs w:val="24"/>
        </w:rPr>
        <w:t>③灌溉回归水</w:t>
      </w:r>
    </w:p>
    <w:p>
      <w:pPr>
        <w:spacing w:before="184" w:line="359" w:lineRule="auto"/>
        <w:ind w:right="160" w:firstLine="482"/>
        <w:rPr>
          <w:rFonts w:ascii="宋体" w:hAnsi="宋体" w:eastAsia="宋体" w:cs="宋体"/>
          <w:sz w:val="24"/>
          <w:szCs w:val="24"/>
        </w:rPr>
      </w:pPr>
      <w:r>
        <w:rPr>
          <w:rFonts w:ascii="宋体" w:hAnsi="宋体" w:eastAsia="宋体" w:cs="宋体"/>
          <w:spacing w:val="-6"/>
          <w:sz w:val="24"/>
          <w:szCs w:val="24"/>
        </w:rPr>
        <w:t>项目农业灌溉回归水</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68.5</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宋体" w:hAnsi="宋体" w:eastAsia="宋体" w:cs="宋体"/>
          <w:spacing w:val="-6"/>
          <w:sz w:val="24"/>
          <w:szCs w:val="24"/>
        </w:rPr>
        <w:t>（不含新街、金碧片区</w:t>
      </w:r>
      <w:r>
        <w:rPr>
          <w:rFonts w:ascii="宋体" w:hAnsi="宋体" w:eastAsia="宋体" w:cs="宋体"/>
          <w:spacing w:val="-56"/>
          <w:w w:val="89"/>
          <w:sz w:val="24"/>
          <w:szCs w:val="24"/>
        </w:rPr>
        <w:t>），</w:t>
      </w:r>
      <w:r>
        <w:rPr>
          <w:rFonts w:ascii="宋体" w:hAnsi="宋体" w:eastAsia="宋体" w:cs="宋体"/>
          <w:spacing w:val="-6"/>
          <w:sz w:val="24"/>
          <w:szCs w:val="24"/>
        </w:rPr>
        <w:t>其中万马河（桂花</w:t>
      </w:r>
      <w:r>
        <w:rPr>
          <w:rFonts w:ascii="宋体" w:hAnsi="宋体" w:eastAsia="宋体" w:cs="宋体"/>
          <w:spacing w:val="-7"/>
          <w:sz w:val="24"/>
          <w:szCs w:val="24"/>
        </w:rPr>
        <w:t>河）</w:t>
      </w:r>
      <w:r>
        <w:rPr>
          <w:rFonts w:ascii="宋体" w:hAnsi="宋体" w:eastAsia="宋体" w:cs="宋体"/>
          <w:sz w:val="24"/>
          <w:szCs w:val="24"/>
        </w:rPr>
        <w:t xml:space="preserve"> </w:t>
      </w:r>
      <w:r>
        <w:rPr>
          <w:rFonts w:ascii="宋体" w:hAnsi="宋体" w:eastAsia="宋体" w:cs="宋体"/>
          <w:spacing w:val="-1"/>
          <w:sz w:val="24"/>
          <w:szCs w:val="24"/>
        </w:rPr>
        <w:t xml:space="preserve">流域的灌溉回归水量为 </w:t>
      </w:r>
      <w:r>
        <w:rPr>
          <w:rFonts w:ascii="Times New Roman" w:hAnsi="Times New Roman" w:eastAsia="Times New Roman" w:cs="Times New Roman"/>
          <w:spacing w:val="-1"/>
          <w:sz w:val="24"/>
          <w:szCs w:val="24"/>
        </w:rPr>
        <w:t xml:space="preserve">37.4  </w:t>
      </w:r>
      <w:r>
        <w:rPr>
          <w:rFonts w:ascii="宋体" w:hAnsi="宋体" w:eastAsia="宋体" w:cs="宋体"/>
          <w:spacing w:val="-1"/>
          <w:sz w:val="24"/>
          <w:szCs w:val="24"/>
        </w:rPr>
        <w:t xml:space="preserve">万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1"/>
          <w:sz w:val="24"/>
          <w:szCs w:val="24"/>
        </w:rPr>
        <w:t>，六苴河</w:t>
      </w:r>
      <w:r>
        <w:rPr>
          <w:rFonts w:ascii="宋体" w:hAnsi="宋体" w:eastAsia="宋体" w:cs="宋体"/>
          <w:spacing w:val="-2"/>
          <w:sz w:val="24"/>
          <w:szCs w:val="24"/>
        </w:rPr>
        <w:t>流域（含者纳么河）的灌溉回归水量为</w:t>
      </w:r>
    </w:p>
    <w:p>
      <w:pPr>
        <w:spacing w:line="234" w:lineRule="auto"/>
        <w:rPr>
          <w:rFonts w:ascii="宋体" w:hAnsi="宋体" w:eastAsia="宋体" w:cs="宋体"/>
          <w:sz w:val="24"/>
          <w:szCs w:val="24"/>
        </w:rPr>
      </w:pPr>
      <w:r>
        <w:rPr>
          <w:rFonts w:ascii="Times New Roman" w:hAnsi="Times New Roman" w:eastAsia="Times New Roman" w:cs="Times New Roman"/>
          <w:spacing w:val="-3"/>
          <w:sz w:val="24"/>
          <w:szCs w:val="24"/>
        </w:rPr>
        <w:t>31.1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w:t>
      </w:r>
    </w:p>
    <w:p>
      <w:pPr>
        <w:spacing w:before="162" w:line="359" w:lineRule="auto"/>
        <w:ind w:left="3" w:right="160" w:firstLine="499"/>
        <w:rPr>
          <w:rFonts w:ascii="宋体" w:hAnsi="宋体" w:eastAsia="宋体" w:cs="宋体"/>
          <w:sz w:val="24"/>
          <w:szCs w:val="24"/>
        </w:rPr>
      </w:pPr>
      <w:r>
        <w:rPr>
          <w:rFonts w:ascii="宋体" w:hAnsi="宋体" w:eastAsia="宋体" w:cs="宋体"/>
          <w:spacing w:val="-2"/>
          <w:sz w:val="24"/>
          <w:szCs w:val="24"/>
        </w:rPr>
        <w:t>回归过程为本月用水当月不回归，下月回归</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60%</w:t>
      </w:r>
      <w:r>
        <w:rPr>
          <w:rFonts w:ascii="宋体" w:hAnsi="宋体" w:eastAsia="宋体" w:cs="宋体"/>
          <w:spacing w:val="-2"/>
          <w:sz w:val="24"/>
          <w:szCs w:val="24"/>
        </w:rPr>
        <w:t>，再</w:t>
      </w:r>
      <w:r>
        <w:rPr>
          <w:rFonts w:ascii="宋体" w:hAnsi="宋体" w:eastAsia="宋体" w:cs="宋体"/>
          <w:spacing w:val="-3"/>
          <w:sz w:val="24"/>
          <w:szCs w:val="24"/>
        </w:rPr>
        <w:t>下月回归</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40%</w:t>
      </w:r>
      <w:r>
        <w:rPr>
          <w:rFonts w:ascii="宋体" w:hAnsi="宋体" w:eastAsia="宋体" w:cs="宋体"/>
          <w:spacing w:val="-3"/>
          <w:sz w:val="24"/>
          <w:szCs w:val="24"/>
        </w:rPr>
        <w:t>，回归峰期</w:t>
      </w:r>
      <w:r>
        <w:rPr>
          <w:rFonts w:ascii="宋体" w:hAnsi="宋体" w:eastAsia="宋体" w:cs="宋体"/>
          <w:sz w:val="24"/>
          <w:szCs w:val="24"/>
        </w:rPr>
        <w:t xml:space="preserve"> </w:t>
      </w:r>
      <w:r>
        <w:rPr>
          <w:rFonts w:ascii="宋体" w:hAnsi="宋体" w:eastAsia="宋体" w:cs="宋体"/>
          <w:spacing w:val="-2"/>
          <w:sz w:val="24"/>
          <w:szCs w:val="24"/>
        </w:rPr>
        <w:t>发生于每年的</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45"/>
          <w:sz w:val="24"/>
          <w:szCs w:val="24"/>
        </w:rPr>
        <w:t xml:space="preserve"> </w:t>
      </w:r>
      <w:r>
        <w:rPr>
          <w:rFonts w:ascii="宋体" w:hAnsi="宋体" w:eastAsia="宋体" w:cs="宋体"/>
          <w:spacing w:val="-2"/>
          <w:sz w:val="24"/>
          <w:szCs w:val="24"/>
        </w:rPr>
        <w:t>月。由于作物种植中化肥、农药</w:t>
      </w:r>
      <w:r>
        <w:rPr>
          <w:rFonts w:ascii="宋体" w:hAnsi="宋体" w:eastAsia="宋体" w:cs="宋体"/>
          <w:spacing w:val="-3"/>
          <w:sz w:val="24"/>
          <w:szCs w:val="24"/>
        </w:rPr>
        <w:t>的施用，回归水中将存在一</w:t>
      </w:r>
    </w:p>
    <w:p>
      <w:pPr>
        <w:spacing w:before="1" w:line="218" w:lineRule="auto"/>
        <w:ind w:left="5"/>
        <w:rPr>
          <w:rFonts w:ascii="宋体" w:hAnsi="宋体" w:eastAsia="宋体" w:cs="宋体"/>
          <w:sz w:val="24"/>
          <w:szCs w:val="24"/>
        </w:rPr>
      </w:pPr>
      <w:r>
        <w:rPr>
          <w:rFonts w:ascii="宋体" w:hAnsi="宋体" w:eastAsia="宋体" w:cs="宋体"/>
          <w:spacing w:val="-2"/>
          <w:sz w:val="24"/>
          <w:szCs w:val="24"/>
        </w:rPr>
        <w:t>定的氮、磷污染，通过沿途渠系排入河道后，增加河水中氮、磷含量。</w:t>
      </w:r>
    </w:p>
    <w:p>
      <w:pPr>
        <w:spacing w:line="218" w:lineRule="auto"/>
        <w:rPr>
          <w:rFonts w:ascii="宋体" w:hAnsi="宋体" w:eastAsia="宋体" w:cs="宋体"/>
          <w:sz w:val="24"/>
          <w:szCs w:val="24"/>
        </w:rPr>
        <w:sectPr>
          <w:headerReference r:id="rId163" w:type="default"/>
          <w:footerReference r:id="rId164" w:type="default"/>
          <w:pgSz w:w="11920" w:h="16840"/>
          <w:pgMar w:top="1066" w:right="1398" w:bottom="1358" w:left="1669" w:header="865" w:footer="1195" w:gutter="0"/>
        </w:sectPr>
      </w:pPr>
    </w:p>
    <w:p>
      <w:pPr>
        <w:spacing w:line="304" w:lineRule="auto"/>
        <w:rPr>
          <w:rFonts w:ascii="Arial"/>
          <w:sz w:val="21"/>
        </w:rPr>
      </w:pPr>
    </w:p>
    <w:p>
      <w:pPr>
        <w:spacing w:line="304" w:lineRule="auto"/>
        <w:rPr>
          <w:rFonts w:ascii="Arial"/>
          <w:sz w:val="21"/>
        </w:rPr>
      </w:pPr>
    </w:p>
    <w:p>
      <w:pPr>
        <w:pStyle w:val="2"/>
        <w:spacing w:before="97" w:line="693" w:lineRule="exact"/>
        <w:ind w:left="34"/>
        <w:rPr>
          <w:sz w:val="30"/>
          <w:szCs w:val="30"/>
        </w:rPr>
      </w:pPr>
      <w:bookmarkStart w:id="23" w:name="bookmark25"/>
      <w:bookmarkEnd w:id="23"/>
      <w:bookmarkStart w:id="24" w:name="bookmark24"/>
      <w:bookmarkEnd w:id="24"/>
      <w:r>
        <w:rPr>
          <w:rFonts w:ascii="Times New Roman" w:hAnsi="Times New Roman" w:eastAsia="Times New Roman" w:cs="Times New Roman"/>
          <w:b/>
          <w:bCs/>
          <w:position w:val="30"/>
          <w:sz w:val="30"/>
          <w:szCs w:val="30"/>
        </w:rPr>
        <w:t xml:space="preserve">3 </w:t>
      </w:r>
      <w:r>
        <w:rPr>
          <w:position w:val="30"/>
          <w:sz w:val="30"/>
          <w:szCs w:val="30"/>
          <w14:textOutline w14:w="5442" w14:cap="flat" w14:cmpd="sng">
            <w14:solidFill>
              <w14:srgbClr w14:val="000000"/>
            </w14:solidFill>
            <w14:prstDash w14:val="solid"/>
            <w14:miter w14:val="0"/>
          </w14:textOutline>
        </w:rPr>
        <w:t>环境现状调查与评价</w:t>
      </w:r>
    </w:p>
    <w:p>
      <w:pPr>
        <w:pStyle w:val="2"/>
        <w:spacing w:line="224" w:lineRule="auto"/>
        <w:ind w:left="34"/>
        <w:rPr>
          <w:sz w:val="27"/>
          <w:szCs w:val="27"/>
        </w:rPr>
      </w:pPr>
      <w:r>
        <w:rPr>
          <w:rFonts w:ascii="Times New Roman" w:hAnsi="Times New Roman" w:eastAsia="Times New Roman" w:cs="Times New Roman"/>
          <w:b/>
          <w:bCs/>
          <w:spacing w:val="2"/>
          <w:sz w:val="27"/>
          <w:szCs w:val="27"/>
        </w:rPr>
        <w:t>3.1</w:t>
      </w:r>
      <w:r>
        <w:rPr>
          <w:rFonts w:ascii="Times New Roman" w:hAnsi="Times New Roman" w:eastAsia="Times New Roman" w:cs="Times New Roman"/>
          <w:b/>
          <w:bCs/>
          <w:spacing w:val="56"/>
          <w:sz w:val="27"/>
          <w:szCs w:val="27"/>
        </w:rPr>
        <w:t xml:space="preserve"> </w:t>
      </w:r>
      <w:r>
        <w:rPr>
          <w:spacing w:val="2"/>
          <w:sz w:val="27"/>
          <w:szCs w:val="27"/>
          <w14:textOutline w14:w="5072" w14:cap="flat" w14:cmpd="sng">
            <w14:solidFill>
              <w14:srgbClr w14:val="000000"/>
            </w14:solidFill>
            <w14:prstDash w14:val="solid"/>
            <w14:miter w14:val="0"/>
          </w14:textOutline>
        </w:rPr>
        <w:t>自然环境概况</w:t>
      </w:r>
    </w:p>
    <w:p>
      <w:pPr>
        <w:spacing w:line="300" w:lineRule="auto"/>
        <w:rPr>
          <w:rFonts w:ascii="Arial"/>
          <w:sz w:val="21"/>
        </w:rPr>
      </w:pPr>
    </w:p>
    <w:p>
      <w:pPr>
        <w:pStyle w:val="2"/>
        <w:spacing w:before="79" w:line="220" w:lineRule="auto"/>
        <w:ind w:left="33"/>
        <w:outlineLvl w:val="2"/>
        <w:rPr>
          <w:sz w:val="24"/>
          <w:szCs w:val="24"/>
        </w:rPr>
      </w:pPr>
      <w:r>
        <w:rPr>
          <w:rFonts w:ascii="Times New Roman" w:hAnsi="Times New Roman" w:eastAsia="Times New Roman" w:cs="Times New Roman"/>
          <w:b/>
          <w:bCs/>
          <w:sz w:val="24"/>
          <w:szCs w:val="24"/>
        </w:rPr>
        <w:t xml:space="preserve">3.1.1 </w:t>
      </w:r>
      <w:r>
        <w:rPr>
          <w:sz w:val="24"/>
          <w:szCs w:val="24"/>
          <w14:textOutline w14:w="4354" w14:cap="flat" w14:cmpd="sng">
            <w14:solidFill>
              <w14:srgbClr w14:val="000000"/>
            </w14:solidFill>
            <w14:prstDash w14:val="solid"/>
            <w14:miter w14:val="0"/>
          </w14:textOutline>
        </w:rPr>
        <w:t>地理位置</w:t>
      </w:r>
    </w:p>
    <w:p>
      <w:pPr>
        <w:spacing w:before="294" w:line="360" w:lineRule="auto"/>
        <w:ind w:left="41" w:right="239" w:firstLine="480"/>
        <w:jc w:val="both"/>
        <w:rPr>
          <w:rFonts w:ascii="宋体" w:hAnsi="宋体" w:eastAsia="宋体" w:cs="宋体"/>
          <w:sz w:val="24"/>
          <w:szCs w:val="24"/>
        </w:rPr>
      </w:pPr>
      <w:r>
        <w:rPr>
          <w:rFonts w:ascii="宋体" w:hAnsi="宋体" w:eastAsia="宋体" w:cs="宋体"/>
          <w:spacing w:val="-6"/>
          <w:sz w:val="24"/>
          <w:szCs w:val="24"/>
        </w:rPr>
        <w:t>桂花水库位于大姚县桂花镇皮左黑村委会皮左黑村下方的桂花河上，</w:t>
      </w:r>
      <w:r>
        <w:rPr>
          <w:rFonts w:ascii="宋体" w:hAnsi="宋体" w:eastAsia="宋体" w:cs="宋体"/>
          <w:spacing w:val="-28"/>
          <w:sz w:val="24"/>
          <w:szCs w:val="24"/>
        </w:rPr>
        <w:t xml:space="preserve"> </w:t>
      </w:r>
      <w:r>
        <w:rPr>
          <w:rFonts w:ascii="宋体" w:hAnsi="宋体" w:eastAsia="宋体" w:cs="宋体"/>
          <w:spacing w:val="-6"/>
          <w:sz w:val="24"/>
          <w:szCs w:val="24"/>
        </w:rPr>
        <w:t>属于金</w:t>
      </w:r>
      <w:r>
        <w:rPr>
          <w:rFonts w:ascii="宋体" w:hAnsi="宋体" w:eastAsia="宋体" w:cs="宋体"/>
          <w:sz w:val="24"/>
          <w:szCs w:val="24"/>
        </w:rPr>
        <w:t xml:space="preserve"> </w:t>
      </w:r>
      <w:r>
        <w:rPr>
          <w:rFonts w:ascii="宋体" w:hAnsi="宋体" w:eastAsia="宋体" w:cs="宋体"/>
          <w:spacing w:val="-10"/>
          <w:sz w:val="24"/>
          <w:szCs w:val="24"/>
        </w:rPr>
        <w:t>沙江一级支流万马河上游右支流。水库坝址位于东经</w:t>
      </w:r>
      <w:r>
        <w:rPr>
          <w:rFonts w:ascii="宋体" w:hAnsi="宋体" w:eastAsia="宋体" w:cs="宋体"/>
          <w:spacing w:val="-48"/>
          <w:sz w:val="24"/>
          <w:szCs w:val="24"/>
        </w:rPr>
        <w:t xml:space="preserve"> </w:t>
      </w:r>
      <w:r>
        <w:rPr>
          <w:rFonts w:ascii="Times New Roman" w:hAnsi="Times New Roman" w:eastAsia="Times New Roman" w:cs="Times New Roman"/>
          <w:spacing w:val="-10"/>
          <w:sz w:val="24"/>
          <w:szCs w:val="24"/>
        </w:rPr>
        <w:t>101</w:t>
      </w:r>
      <w:r>
        <w:rPr>
          <w:rFonts w:ascii="Times New Roman" w:hAnsi="Times New Roman" w:eastAsia="Times New Roman" w:cs="Times New Roman"/>
          <w:spacing w:val="-29"/>
          <w:sz w:val="24"/>
          <w:szCs w:val="24"/>
        </w:rPr>
        <w:t xml:space="preserve"> </w:t>
      </w:r>
      <w:r>
        <w:rPr>
          <w:rFonts w:ascii="宋体" w:hAnsi="宋体" w:eastAsia="宋体" w:cs="宋体"/>
          <w:spacing w:val="-10"/>
          <w:sz w:val="24"/>
          <w:szCs w:val="24"/>
        </w:rPr>
        <w:t>°</w:t>
      </w:r>
      <w:r>
        <w:rPr>
          <w:rFonts w:ascii="宋体" w:hAnsi="宋体" w:eastAsia="宋体" w:cs="宋体"/>
          <w:spacing w:val="-92"/>
          <w:sz w:val="24"/>
          <w:szCs w:val="24"/>
        </w:rPr>
        <w:t xml:space="preserve"> </w:t>
      </w:r>
      <w:r>
        <w:rPr>
          <w:rFonts w:ascii="Times New Roman" w:hAnsi="Times New Roman" w:eastAsia="Times New Roman" w:cs="Times New Roman"/>
          <w:spacing w:val="-10"/>
          <w:sz w:val="24"/>
          <w:szCs w:val="24"/>
        </w:rPr>
        <w:t>16</w:t>
      </w:r>
      <w:r>
        <w:rPr>
          <w:rFonts w:ascii="Times New Roman" w:hAnsi="Times New Roman" w:eastAsia="Times New Roman" w:cs="Times New Roman"/>
          <w:spacing w:val="-17"/>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Times New Roman" w:hAnsi="Times New Roman" w:eastAsia="Times New Roman" w:cs="Times New Roman"/>
          <w:spacing w:val="-11"/>
          <w:sz w:val="24"/>
          <w:szCs w:val="24"/>
        </w:rPr>
        <w:t>98</w:t>
      </w:r>
      <w:r>
        <w:rPr>
          <w:rFonts w:ascii="宋体" w:hAnsi="宋体" w:eastAsia="宋体" w:cs="宋体"/>
          <w:spacing w:val="-11"/>
          <w:sz w:val="24"/>
          <w:szCs w:val="24"/>
        </w:rPr>
        <w:t>″，北纬</w:t>
      </w:r>
      <w:r>
        <w:rPr>
          <w:rFonts w:ascii="宋体" w:hAnsi="宋体" w:eastAsia="宋体" w:cs="宋体"/>
          <w:spacing w:val="-72"/>
          <w:sz w:val="24"/>
          <w:szCs w:val="24"/>
        </w:rPr>
        <w:t xml:space="preserve"> </w:t>
      </w:r>
      <w:r>
        <w:rPr>
          <w:rFonts w:ascii="Times New Roman" w:hAnsi="Times New Roman" w:eastAsia="Times New Roman" w:cs="Times New Roman"/>
          <w:spacing w:val="-11"/>
          <w:sz w:val="24"/>
          <w:szCs w:val="24"/>
        </w:rPr>
        <w:t>26</w:t>
      </w:r>
      <w:r>
        <w:rPr>
          <w:rFonts w:ascii="Times New Roman" w:hAnsi="Times New Roman" w:eastAsia="Times New Roman" w:cs="Times New Roman"/>
          <w:spacing w:val="-29"/>
          <w:sz w:val="24"/>
          <w:szCs w:val="24"/>
        </w:rPr>
        <w:t xml:space="preserve"> </w:t>
      </w:r>
      <w:r>
        <w:rPr>
          <w:rFonts w:ascii="宋体" w:hAnsi="宋体" w:eastAsia="宋体" w:cs="宋体"/>
          <w:spacing w:val="-11"/>
          <w:sz w:val="24"/>
          <w:szCs w:val="24"/>
        </w:rPr>
        <w:t>°</w:t>
      </w:r>
    </w:p>
    <w:p>
      <w:pPr>
        <w:spacing w:before="1" w:line="218" w:lineRule="auto"/>
        <w:ind w:left="35"/>
        <w:rPr>
          <w:rFonts w:ascii="宋体" w:hAnsi="宋体" w:eastAsia="宋体" w:cs="宋体"/>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w:t>
      </w:r>
      <w:r>
        <w:rPr>
          <w:rFonts w:ascii="宋体" w:hAnsi="宋体" w:eastAsia="宋体" w:cs="宋体"/>
          <w:spacing w:val="-92"/>
          <w:sz w:val="24"/>
          <w:szCs w:val="24"/>
        </w:rPr>
        <w:t xml:space="preserve"> </w:t>
      </w:r>
      <w:r>
        <w:rPr>
          <w:rFonts w:ascii="Times New Roman" w:hAnsi="Times New Roman" w:eastAsia="Times New Roman" w:cs="Times New Roman"/>
          <w:spacing w:val="-4"/>
          <w:sz w:val="24"/>
          <w:szCs w:val="24"/>
        </w:rPr>
        <w:t>11.27</w:t>
      </w:r>
      <w:r>
        <w:rPr>
          <w:rFonts w:ascii="宋体" w:hAnsi="宋体" w:eastAsia="宋体" w:cs="宋体"/>
          <w:spacing w:val="-4"/>
          <w:sz w:val="24"/>
          <w:szCs w:val="24"/>
        </w:rPr>
        <w:t>″。桂花水库坝址距离大姚县城</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74km</w:t>
      </w:r>
      <w:r>
        <w:rPr>
          <w:rFonts w:ascii="宋体" w:hAnsi="宋体" w:eastAsia="宋体" w:cs="宋体"/>
          <w:spacing w:val="-4"/>
          <w:sz w:val="24"/>
          <w:szCs w:val="24"/>
        </w:rPr>
        <w:t xml:space="preserve">，距桂花镇镇政府 </w:t>
      </w:r>
      <w:r>
        <w:rPr>
          <w:rFonts w:ascii="Times New Roman" w:hAnsi="Times New Roman" w:eastAsia="Times New Roman" w:cs="Times New Roman"/>
          <w:spacing w:val="-4"/>
          <w:sz w:val="24"/>
          <w:szCs w:val="24"/>
        </w:rPr>
        <w:t>12km</w:t>
      </w:r>
      <w:r>
        <w:rPr>
          <w:rFonts w:ascii="宋体" w:hAnsi="宋体" w:eastAsia="宋体" w:cs="宋体"/>
          <w:spacing w:val="-4"/>
          <w:sz w:val="24"/>
          <w:szCs w:val="24"/>
        </w:rPr>
        <w:t>。</w:t>
      </w:r>
    </w:p>
    <w:p>
      <w:pPr>
        <w:spacing w:before="183" w:line="360" w:lineRule="auto"/>
        <w:ind w:left="57" w:right="239" w:firstLine="464"/>
        <w:jc w:val="both"/>
        <w:rPr>
          <w:rFonts w:ascii="宋体" w:hAnsi="宋体" w:eastAsia="宋体" w:cs="宋体"/>
          <w:sz w:val="24"/>
          <w:szCs w:val="24"/>
        </w:rPr>
      </w:pPr>
      <w:r>
        <w:rPr>
          <w:rFonts w:ascii="宋体" w:hAnsi="宋体" w:eastAsia="宋体" w:cs="宋体"/>
          <w:spacing w:val="-6"/>
          <w:sz w:val="24"/>
          <w:szCs w:val="24"/>
        </w:rPr>
        <w:t>桂花水库在北部万马河支流桂花河上建库，</w:t>
      </w:r>
      <w:r>
        <w:rPr>
          <w:rFonts w:ascii="宋体" w:hAnsi="宋体" w:eastAsia="宋体" w:cs="宋体"/>
          <w:spacing w:val="-26"/>
          <w:sz w:val="24"/>
          <w:szCs w:val="24"/>
        </w:rPr>
        <w:t xml:space="preserve"> </w:t>
      </w:r>
      <w:r>
        <w:rPr>
          <w:rFonts w:ascii="宋体" w:hAnsi="宋体" w:eastAsia="宋体" w:cs="宋体"/>
          <w:spacing w:val="-6"/>
          <w:sz w:val="24"/>
          <w:szCs w:val="24"/>
        </w:rPr>
        <w:t>并从水库下游临近左岸罗子</w:t>
      </w:r>
      <w:r>
        <w:rPr>
          <w:rFonts w:ascii="宋体" w:hAnsi="宋体" w:eastAsia="宋体" w:cs="宋体"/>
          <w:spacing w:val="-7"/>
          <w:sz w:val="24"/>
          <w:szCs w:val="24"/>
        </w:rPr>
        <w:t>左河</w:t>
      </w:r>
      <w:r>
        <w:rPr>
          <w:rFonts w:ascii="宋体" w:hAnsi="宋体" w:eastAsia="宋体" w:cs="宋体"/>
          <w:sz w:val="24"/>
          <w:szCs w:val="24"/>
        </w:rPr>
        <w:t xml:space="preserve"> </w:t>
      </w:r>
      <w:r>
        <w:rPr>
          <w:rFonts w:ascii="宋体" w:hAnsi="宋体" w:eastAsia="宋体" w:cs="宋体"/>
          <w:spacing w:val="-7"/>
          <w:sz w:val="24"/>
          <w:szCs w:val="24"/>
        </w:rPr>
        <w:t>引水入库， 引洪工程在桂花水库下游输水工程沿途经过的马茨河、六姑乍箐、昔</w:t>
      </w:r>
    </w:p>
    <w:p>
      <w:pPr>
        <w:spacing w:before="1" w:line="219" w:lineRule="auto"/>
        <w:ind w:left="40"/>
        <w:rPr>
          <w:rFonts w:ascii="宋体" w:hAnsi="宋体" w:eastAsia="宋体" w:cs="宋体"/>
          <w:sz w:val="24"/>
          <w:szCs w:val="24"/>
        </w:rPr>
      </w:pPr>
      <w:r>
        <w:rPr>
          <w:rFonts w:ascii="宋体" w:hAnsi="宋体" w:eastAsia="宋体" w:cs="宋体"/>
          <w:spacing w:val="-1"/>
          <w:sz w:val="24"/>
          <w:szCs w:val="24"/>
        </w:rPr>
        <w:t>木乍箐、见簸箐建坝引洪。输水工程起始于桂</w:t>
      </w:r>
      <w:r>
        <w:rPr>
          <w:rFonts w:ascii="宋体" w:hAnsi="宋体" w:eastAsia="宋体" w:cs="宋体"/>
          <w:spacing w:val="-2"/>
          <w:sz w:val="24"/>
          <w:szCs w:val="24"/>
        </w:rPr>
        <w:t>花水库终至碧么水库。</w:t>
      </w:r>
    </w:p>
    <w:p>
      <w:pPr>
        <w:spacing w:before="182" w:line="219" w:lineRule="auto"/>
        <w:ind w:left="523"/>
        <w:rPr>
          <w:rFonts w:ascii="宋体" w:hAnsi="宋体" w:eastAsia="宋体" w:cs="宋体"/>
          <w:sz w:val="24"/>
          <w:szCs w:val="24"/>
        </w:rPr>
      </w:pPr>
      <w:r>
        <w:rPr>
          <w:rFonts w:ascii="宋体" w:hAnsi="宋体" w:eastAsia="宋体" w:cs="宋体"/>
          <w:spacing w:val="-4"/>
          <w:sz w:val="24"/>
          <w:szCs w:val="24"/>
        </w:rPr>
        <w:t>项目地理位置图见附图</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pPr>
        <w:spacing w:line="354" w:lineRule="auto"/>
        <w:rPr>
          <w:rFonts w:ascii="Arial"/>
          <w:sz w:val="21"/>
        </w:rPr>
      </w:pPr>
    </w:p>
    <w:p>
      <w:pPr>
        <w:pStyle w:val="2"/>
        <w:spacing w:before="79" w:line="220" w:lineRule="auto"/>
        <w:ind w:left="33"/>
        <w:outlineLvl w:val="2"/>
        <w:rPr>
          <w:sz w:val="24"/>
          <w:szCs w:val="24"/>
        </w:rPr>
      </w:pPr>
      <w:r>
        <w:rPr>
          <w:rFonts w:ascii="Times New Roman" w:hAnsi="Times New Roman" w:eastAsia="Times New Roman" w:cs="Times New Roman"/>
          <w:b/>
          <w:bCs/>
          <w:spacing w:val="-13"/>
          <w:sz w:val="24"/>
          <w:szCs w:val="24"/>
        </w:rPr>
        <w:t>3.1.2</w:t>
      </w:r>
      <w:r>
        <w:rPr>
          <w:rFonts w:ascii="Times New Roman" w:hAnsi="Times New Roman" w:eastAsia="Times New Roman" w:cs="Times New Roman"/>
          <w:b/>
          <w:bCs/>
          <w:spacing w:val="12"/>
          <w:sz w:val="24"/>
          <w:szCs w:val="24"/>
        </w:rPr>
        <w:t xml:space="preserve"> </w:t>
      </w:r>
      <w:r>
        <w:rPr>
          <w:spacing w:val="-13"/>
          <w:sz w:val="24"/>
          <w:szCs w:val="24"/>
          <w14:textOutline w14:w="4354" w14:cap="flat" w14:cmpd="sng">
            <w14:solidFill>
              <w14:srgbClr w14:val="000000"/>
            </w14:solidFill>
            <w14:prstDash w14:val="solid"/>
            <w14:miter w14:val="0"/>
          </w14:textOutline>
        </w:rPr>
        <w:t>地形、地貌、</w:t>
      </w:r>
      <w:r>
        <w:rPr>
          <w:spacing w:val="44"/>
          <w:sz w:val="24"/>
          <w:szCs w:val="24"/>
        </w:rPr>
        <w:t xml:space="preserve"> </w:t>
      </w:r>
      <w:r>
        <w:rPr>
          <w:spacing w:val="-13"/>
          <w:sz w:val="24"/>
          <w:szCs w:val="24"/>
          <w14:textOutline w14:w="4354" w14:cap="flat" w14:cmpd="sng">
            <w14:solidFill>
              <w14:srgbClr w14:val="000000"/>
            </w14:solidFill>
            <w14:prstDash w14:val="solid"/>
            <w14:miter w14:val="0"/>
          </w14:textOutline>
        </w:rPr>
        <w:t>地质</w:t>
      </w:r>
    </w:p>
    <w:p>
      <w:pPr>
        <w:spacing w:before="295"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）地形地貌</w:t>
      </w:r>
    </w:p>
    <w:p>
      <w:pPr>
        <w:spacing w:before="184" w:line="360" w:lineRule="auto"/>
        <w:ind w:left="37" w:right="52" w:firstLine="484"/>
        <w:rPr>
          <w:rFonts w:ascii="宋体" w:hAnsi="宋体" w:eastAsia="宋体" w:cs="宋体"/>
          <w:sz w:val="24"/>
          <w:szCs w:val="24"/>
        </w:rPr>
      </w:pPr>
      <w:r>
        <w:rPr>
          <w:rFonts w:ascii="宋体" w:hAnsi="宋体" w:eastAsia="宋体" w:cs="宋体"/>
          <w:spacing w:val="-8"/>
          <w:sz w:val="24"/>
          <w:szCs w:val="24"/>
        </w:rPr>
        <w:t>水库位于桂花河上、皮左黑村，</w:t>
      </w:r>
      <w:r>
        <w:rPr>
          <w:rFonts w:ascii="宋体" w:hAnsi="宋体" w:eastAsia="宋体" w:cs="宋体"/>
          <w:spacing w:val="47"/>
          <w:sz w:val="24"/>
          <w:szCs w:val="24"/>
        </w:rPr>
        <w:t xml:space="preserve"> </w:t>
      </w:r>
      <w:r>
        <w:rPr>
          <w:rFonts w:ascii="宋体" w:hAnsi="宋体" w:eastAsia="宋体" w:cs="宋体"/>
          <w:spacing w:val="-8"/>
          <w:sz w:val="24"/>
          <w:szCs w:val="24"/>
        </w:rPr>
        <w:t>本区径流面积</w:t>
      </w:r>
      <w:r>
        <w:rPr>
          <w:rFonts w:ascii="宋体" w:hAnsi="宋体" w:eastAsia="宋体" w:cs="宋体"/>
          <w:spacing w:val="-48"/>
          <w:sz w:val="24"/>
          <w:szCs w:val="24"/>
        </w:rPr>
        <w:t xml:space="preserve"> </w:t>
      </w:r>
      <w:r>
        <w:rPr>
          <w:rFonts w:ascii="Times New Roman" w:hAnsi="Times New Roman" w:eastAsia="Times New Roman" w:cs="Times New Roman"/>
          <w:spacing w:val="-8"/>
          <w:sz w:val="24"/>
          <w:szCs w:val="24"/>
        </w:rPr>
        <w:t>55.6km</w:t>
      </w:r>
      <w:r>
        <w:rPr>
          <w:rFonts w:ascii="Times New Roman" w:hAnsi="Times New Roman" w:eastAsia="Times New Roman" w:cs="Times New Roman"/>
          <w:spacing w:val="-8"/>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8"/>
          <w:sz w:val="24"/>
          <w:szCs w:val="24"/>
        </w:rPr>
        <w:t>，</w:t>
      </w:r>
      <w:r>
        <w:rPr>
          <w:rFonts w:ascii="宋体" w:hAnsi="宋体" w:eastAsia="宋体" w:cs="宋体"/>
          <w:spacing w:val="-9"/>
          <w:sz w:val="24"/>
          <w:szCs w:val="24"/>
        </w:rPr>
        <w:t>河段长</w:t>
      </w:r>
      <w:r>
        <w:rPr>
          <w:rFonts w:ascii="宋体" w:hAnsi="宋体" w:eastAsia="宋体" w:cs="宋体"/>
          <w:spacing w:val="-31"/>
          <w:sz w:val="24"/>
          <w:szCs w:val="24"/>
        </w:rPr>
        <w:t xml:space="preserve"> </w:t>
      </w:r>
      <w:r>
        <w:rPr>
          <w:rFonts w:ascii="Times New Roman" w:hAnsi="Times New Roman" w:eastAsia="Times New Roman" w:cs="Times New Roman"/>
          <w:spacing w:val="-9"/>
          <w:sz w:val="24"/>
          <w:szCs w:val="24"/>
        </w:rPr>
        <w:t>11.9km</w:t>
      </w:r>
      <w:r>
        <w:rPr>
          <w:rFonts w:ascii="宋体" w:hAnsi="宋体" w:eastAsia="宋体" w:cs="宋体"/>
          <w:spacing w:val="-9"/>
          <w:sz w:val="24"/>
          <w:szCs w:val="24"/>
        </w:rPr>
        <w:t xml:space="preserve">，河  </w:t>
      </w:r>
      <w:r>
        <w:rPr>
          <w:rFonts w:ascii="宋体" w:hAnsi="宋体" w:eastAsia="宋体" w:cs="宋体"/>
          <w:spacing w:val="-1"/>
          <w:sz w:val="24"/>
          <w:szCs w:val="24"/>
        </w:rPr>
        <w:t>床坡降</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48.34</w:t>
      </w:r>
      <w:r>
        <w:rPr>
          <w:rFonts w:ascii="宋体" w:hAnsi="宋体" w:eastAsia="宋体" w:cs="宋体"/>
          <w:spacing w:val="-1"/>
          <w:sz w:val="24"/>
          <w:szCs w:val="24"/>
        </w:rPr>
        <w:t>‰。桂花河由南向北径流，河道委婉呈“蛇曲”状，岩层</w:t>
      </w:r>
      <w:r>
        <w:rPr>
          <w:rFonts w:ascii="宋体" w:hAnsi="宋体" w:eastAsia="宋体" w:cs="宋体"/>
          <w:spacing w:val="-2"/>
          <w:sz w:val="24"/>
          <w:szCs w:val="24"/>
        </w:rPr>
        <w:t xml:space="preserve">走向与河  </w:t>
      </w:r>
      <w:r>
        <w:rPr>
          <w:rFonts w:ascii="宋体" w:hAnsi="宋体" w:eastAsia="宋体" w:cs="宋体"/>
          <w:spacing w:val="2"/>
          <w:sz w:val="24"/>
          <w:szCs w:val="24"/>
        </w:rPr>
        <w:t>道近于直交，呈单斜倾向上游，为横向“</w:t>
      </w:r>
      <w:r>
        <w:rPr>
          <w:rFonts w:ascii="Times New Roman" w:hAnsi="Times New Roman" w:eastAsia="Times New Roman" w:cs="Times New Roman"/>
          <w:spacing w:val="2"/>
          <w:sz w:val="24"/>
          <w:szCs w:val="24"/>
        </w:rPr>
        <w:t>V</w:t>
      </w:r>
      <w:r>
        <w:rPr>
          <w:rFonts w:ascii="宋体" w:hAnsi="宋体" w:eastAsia="宋体" w:cs="宋体"/>
          <w:spacing w:val="2"/>
          <w:sz w:val="24"/>
          <w:szCs w:val="24"/>
        </w:rPr>
        <w:t>”型河谷。河流两岸地形基本对称，</w:t>
      </w:r>
      <w:r>
        <w:rPr>
          <w:rFonts w:ascii="宋体" w:hAnsi="宋体" w:eastAsia="宋体" w:cs="宋体"/>
          <w:spacing w:val="5"/>
          <w:sz w:val="24"/>
          <w:szCs w:val="24"/>
        </w:rPr>
        <w:t xml:space="preserve"> </w:t>
      </w:r>
      <w:r>
        <w:rPr>
          <w:rFonts w:ascii="宋体" w:hAnsi="宋体" w:eastAsia="宋体" w:cs="宋体"/>
          <w:spacing w:val="3"/>
          <w:sz w:val="24"/>
          <w:szCs w:val="24"/>
        </w:rPr>
        <w:t>自然边坡顺流左岸</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33°</w:t>
      </w:r>
      <w:r>
        <w:rPr>
          <w:rFonts w:ascii="宋体" w:hAnsi="宋体" w:eastAsia="宋体" w:cs="宋体"/>
          <w:spacing w:val="3"/>
          <w:sz w:val="24"/>
          <w:szCs w:val="24"/>
        </w:rPr>
        <w:t>~</w:t>
      </w:r>
      <w:r>
        <w:rPr>
          <w:rFonts w:ascii="Times New Roman" w:hAnsi="Times New Roman" w:eastAsia="Times New Roman" w:cs="Times New Roman"/>
          <w:spacing w:val="3"/>
          <w:sz w:val="24"/>
          <w:szCs w:val="24"/>
        </w:rPr>
        <w:t>38°</w:t>
      </w:r>
      <w:r>
        <w:rPr>
          <w:rFonts w:ascii="宋体" w:hAnsi="宋体" w:eastAsia="宋体" w:cs="宋体"/>
          <w:spacing w:val="3"/>
          <w:sz w:val="24"/>
          <w:szCs w:val="24"/>
        </w:rPr>
        <w:t>,顺流右岸</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35°</w:t>
      </w:r>
      <w:r>
        <w:rPr>
          <w:rFonts w:ascii="宋体" w:hAnsi="宋体" w:eastAsia="宋体" w:cs="宋体"/>
          <w:spacing w:val="2"/>
          <w:sz w:val="24"/>
          <w:szCs w:val="24"/>
        </w:rPr>
        <w:t>~</w:t>
      </w:r>
      <w:r>
        <w:rPr>
          <w:rFonts w:ascii="Times New Roman" w:hAnsi="Times New Roman" w:eastAsia="Times New Roman" w:cs="Times New Roman"/>
          <w:spacing w:val="2"/>
          <w:sz w:val="24"/>
          <w:szCs w:val="24"/>
        </w:rPr>
        <w:t>40°</w:t>
      </w:r>
      <w:r>
        <w:rPr>
          <w:rFonts w:ascii="宋体" w:hAnsi="宋体" w:eastAsia="宋体" w:cs="宋体"/>
          <w:spacing w:val="2"/>
          <w:sz w:val="24"/>
          <w:szCs w:val="24"/>
        </w:rPr>
        <w:t>,河床分布第四系冲洪积层（</w:t>
      </w:r>
      <w:r>
        <w:rPr>
          <w:rFonts w:ascii="Times New Roman" w:hAnsi="Times New Roman" w:eastAsia="Times New Roman" w:cs="Times New Roman"/>
          <w:sz w:val="24"/>
          <w:szCs w:val="24"/>
        </w:rPr>
        <w:t>Q</w:t>
      </w:r>
      <w:r>
        <w:rPr>
          <w:rFonts w:ascii="Times New Roman" w:hAnsi="Times New Roman" w:eastAsia="Times New Roman" w:cs="Times New Roman"/>
          <w:position w:val="8"/>
          <w:sz w:val="15"/>
          <w:szCs w:val="15"/>
        </w:rPr>
        <w:t>alp</w:t>
      </w:r>
      <w:r>
        <w:rPr>
          <w:rFonts w:ascii="宋体" w:hAnsi="宋体" w:eastAsia="宋体" w:cs="宋体"/>
          <w:spacing w:val="-54"/>
          <w:w w:val="87"/>
          <w:sz w:val="24"/>
          <w:szCs w:val="24"/>
        </w:rPr>
        <w:t>），</w:t>
      </w:r>
      <w:r>
        <w:rPr>
          <w:rFonts w:ascii="宋体" w:hAnsi="宋体" w:eastAsia="宋体" w:cs="宋体"/>
          <w:sz w:val="24"/>
          <w:szCs w:val="24"/>
        </w:rPr>
        <w:t xml:space="preserve"> </w:t>
      </w:r>
      <w:r>
        <w:rPr>
          <w:rFonts w:ascii="宋体" w:hAnsi="宋体" w:eastAsia="宋体" w:cs="宋体"/>
          <w:spacing w:val="-11"/>
          <w:sz w:val="24"/>
          <w:szCs w:val="24"/>
        </w:rPr>
        <w:t>为粘土细纱砾石、结构疏松，</w:t>
      </w:r>
      <w:r>
        <w:rPr>
          <w:rFonts w:ascii="宋体" w:hAnsi="宋体" w:eastAsia="宋体" w:cs="宋体"/>
          <w:spacing w:val="43"/>
          <w:sz w:val="24"/>
          <w:szCs w:val="24"/>
        </w:rPr>
        <w:t xml:space="preserve"> </w:t>
      </w:r>
      <w:r>
        <w:rPr>
          <w:rFonts w:ascii="宋体" w:hAnsi="宋体" w:eastAsia="宋体" w:cs="宋体"/>
          <w:spacing w:val="-11"/>
          <w:sz w:val="24"/>
          <w:szCs w:val="24"/>
        </w:rPr>
        <w:t xml:space="preserve">受河水冲刷侵蚀河岸阶地发育不全，连续性差， 阶  </w:t>
      </w:r>
      <w:r>
        <w:rPr>
          <w:rFonts w:ascii="宋体" w:hAnsi="宋体" w:eastAsia="宋体" w:cs="宋体"/>
          <w:spacing w:val="6"/>
          <w:sz w:val="24"/>
          <w:szCs w:val="24"/>
        </w:rPr>
        <w:t xml:space="preserve">地高出河床 </w:t>
      </w:r>
      <w:r>
        <w:rPr>
          <w:rFonts w:ascii="Times New Roman" w:hAnsi="Times New Roman" w:eastAsia="Times New Roman" w:cs="Times New Roman"/>
          <w:spacing w:val="6"/>
          <w:sz w:val="24"/>
          <w:szCs w:val="24"/>
        </w:rPr>
        <w:t>1</w:t>
      </w:r>
      <w:r>
        <w:rPr>
          <w:rFonts w:ascii="宋体" w:hAnsi="宋体" w:eastAsia="宋体" w:cs="宋体"/>
          <w:spacing w:val="6"/>
          <w:sz w:val="24"/>
          <w:szCs w:val="24"/>
        </w:rPr>
        <w:t>～</w:t>
      </w:r>
      <w:r>
        <w:rPr>
          <w:rFonts w:ascii="Times New Roman" w:hAnsi="Times New Roman" w:eastAsia="Times New Roman" w:cs="Times New Roman"/>
          <w:spacing w:val="6"/>
          <w:sz w:val="24"/>
          <w:szCs w:val="24"/>
        </w:rPr>
        <w:t>3m</w:t>
      </w:r>
      <w:r>
        <w:rPr>
          <w:rFonts w:ascii="宋体" w:hAnsi="宋体" w:eastAsia="宋体" w:cs="宋体"/>
          <w:spacing w:val="6"/>
          <w:sz w:val="24"/>
          <w:szCs w:val="24"/>
        </w:rPr>
        <w:t>，支沟水系与河交汇</w:t>
      </w:r>
      <w:r>
        <w:rPr>
          <w:rFonts w:ascii="宋体" w:hAnsi="宋体" w:eastAsia="宋体" w:cs="宋体"/>
          <w:spacing w:val="5"/>
          <w:sz w:val="24"/>
          <w:szCs w:val="24"/>
        </w:rPr>
        <w:t xml:space="preserve">口和河流弯道处河漫滩高出河床 </w:t>
      </w:r>
      <w:r>
        <w:rPr>
          <w:rFonts w:ascii="Times New Roman" w:hAnsi="Times New Roman" w:eastAsia="Times New Roman" w:cs="Times New Roman"/>
          <w:spacing w:val="5"/>
          <w:sz w:val="24"/>
          <w:szCs w:val="24"/>
        </w:rPr>
        <w:t>0.5</w:t>
      </w:r>
      <w:r>
        <w:rPr>
          <w:rFonts w:ascii="宋体" w:hAnsi="宋体" w:eastAsia="宋体" w:cs="宋体"/>
          <w:spacing w:val="5"/>
          <w:sz w:val="24"/>
          <w:szCs w:val="24"/>
        </w:rPr>
        <w:t xml:space="preserve">~  </w:t>
      </w:r>
      <w:r>
        <w:rPr>
          <w:rFonts w:ascii="Times New Roman" w:hAnsi="Times New Roman" w:eastAsia="Times New Roman" w:cs="Times New Roman"/>
          <w:spacing w:val="-7"/>
          <w:sz w:val="24"/>
          <w:szCs w:val="24"/>
        </w:rPr>
        <w:t>1.0m</w:t>
      </w:r>
      <w:r>
        <w:rPr>
          <w:rFonts w:ascii="宋体" w:hAnsi="宋体" w:eastAsia="宋体" w:cs="宋体"/>
          <w:spacing w:val="-7"/>
          <w:sz w:val="24"/>
          <w:szCs w:val="24"/>
        </w:rPr>
        <w:t>，河流冲刷及侧向侵蚀仍在继续。河谷</w:t>
      </w:r>
      <w:r>
        <w:rPr>
          <w:rFonts w:ascii="宋体" w:hAnsi="宋体" w:eastAsia="宋体" w:cs="宋体"/>
          <w:spacing w:val="-8"/>
          <w:sz w:val="24"/>
          <w:szCs w:val="24"/>
        </w:rPr>
        <w:t>两岸坡岩层走向与河流近于直交，</w:t>
      </w:r>
      <w:r>
        <w:rPr>
          <w:rFonts w:ascii="宋体" w:hAnsi="宋体" w:eastAsia="宋体" w:cs="宋体"/>
          <w:spacing w:val="30"/>
          <w:sz w:val="24"/>
          <w:szCs w:val="24"/>
        </w:rPr>
        <w:t xml:space="preserve"> </w:t>
      </w:r>
      <w:r>
        <w:rPr>
          <w:rFonts w:ascii="宋体" w:hAnsi="宋体" w:eastAsia="宋体" w:cs="宋体"/>
          <w:spacing w:val="-8"/>
          <w:sz w:val="24"/>
          <w:szCs w:val="24"/>
        </w:rPr>
        <w:t xml:space="preserve">为  </w:t>
      </w:r>
      <w:r>
        <w:rPr>
          <w:rFonts w:ascii="宋体" w:hAnsi="宋体" w:eastAsia="宋体" w:cs="宋体"/>
          <w:sz w:val="24"/>
          <w:szCs w:val="24"/>
        </w:rPr>
        <w:t>斜向～横向岩石结构边坡，河床以冲刷侧蚀为主，两岸坡侵蚀、风化剥蚀为主，</w:t>
      </w:r>
    </w:p>
    <w:p>
      <w:pPr>
        <w:spacing w:before="1" w:line="219" w:lineRule="auto"/>
        <w:ind w:left="41"/>
        <w:rPr>
          <w:rFonts w:ascii="宋体" w:hAnsi="宋体" w:eastAsia="宋体" w:cs="宋体"/>
          <w:sz w:val="24"/>
          <w:szCs w:val="24"/>
        </w:rPr>
      </w:pPr>
      <w:r>
        <w:rPr>
          <w:rFonts w:ascii="宋体" w:hAnsi="宋体" w:eastAsia="宋体" w:cs="宋体"/>
          <w:spacing w:val="-4"/>
          <w:sz w:val="24"/>
          <w:szCs w:val="24"/>
        </w:rPr>
        <w:t>属高中山侵蚀构造地形。</w:t>
      </w:r>
    </w:p>
    <w:p>
      <w:pPr>
        <w:spacing w:before="183" w:line="360" w:lineRule="auto"/>
        <w:ind w:left="40" w:firstLine="482"/>
        <w:rPr>
          <w:rFonts w:ascii="宋体" w:hAnsi="宋体" w:eastAsia="宋体" w:cs="宋体"/>
          <w:sz w:val="24"/>
          <w:szCs w:val="24"/>
        </w:rPr>
      </w:pPr>
      <w:r>
        <w:rPr>
          <w:rFonts w:ascii="宋体" w:hAnsi="宋体" w:eastAsia="宋体" w:cs="宋体"/>
          <w:spacing w:val="2"/>
          <w:sz w:val="24"/>
          <w:szCs w:val="24"/>
        </w:rPr>
        <w:t>皮左黑村河段，库盆呈长条状，在坝址上游</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z w:val="24"/>
          <w:szCs w:val="24"/>
        </w:rPr>
        <w:t>km</w:t>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处分为两条支，呈</w:t>
      </w:r>
      <w:r>
        <w:rPr>
          <w:rFonts w:ascii="宋体" w:hAnsi="宋体" w:eastAsia="宋体" w:cs="宋体"/>
          <w:spacing w:val="1"/>
          <w:sz w:val="24"/>
          <w:szCs w:val="24"/>
        </w:rPr>
        <w:t>“丫”</w:t>
      </w:r>
      <w:r>
        <w:rPr>
          <w:rFonts w:ascii="宋体" w:hAnsi="宋体" w:eastAsia="宋体" w:cs="宋体"/>
          <w:sz w:val="24"/>
          <w:szCs w:val="24"/>
        </w:rPr>
        <w:t xml:space="preserve"> </w:t>
      </w:r>
      <w:r>
        <w:rPr>
          <w:rFonts w:ascii="宋体" w:hAnsi="宋体" w:eastAsia="宋体" w:cs="宋体"/>
          <w:spacing w:val="-10"/>
          <w:sz w:val="24"/>
          <w:szCs w:val="24"/>
        </w:rPr>
        <w:t>字形， 顺流左支为如扎拉河，</w:t>
      </w:r>
      <w:r>
        <w:rPr>
          <w:rFonts w:ascii="宋体" w:hAnsi="宋体" w:eastAsia="宋体" w:cs="宋体"/>
          <w:spacing w:val="43"/>
          <w:sz w:val="24"/>
          <w:szCs w:val="24"/>
        </w:rPr>
        <w:t xml:space="preserve"> </w:t>
      </w:r>
      <w:r>
        <w:rPr>
          <w:rFonts w:ascii="宋体" w:hAnsi="宋体" w:eastAsia="宋体" w:cs="宋体"/>
          <w:spacing w:val="-10"/>
          <w:sz w:val="24"/>
          <w:szCs w:val="24"/>
        </w:rPr>
        <w:t>右支为拉扎河。库盆长</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2.3</w:t>
      </w:r>
      <w:r>
        <w:rPr>
          <w:rFonts w:ascii="宋体" w:hAnsi="宋体" w:eastAsia="宋体" w:cs="宋体"/>
          <w:spacing w:val="-10"/>
          <w:sz w:val="24"/>
          <w:szCs w:val="24"/>
        </w:rPr>
        <w:t>～</w:t>
      </w:r>
      <w:r>
        <w:rPr>
          <w:rFonts w:ascii="Times New Roman" w:hAnsi="Times New Roman" w:eastAsia="Times New Roman" w:cs="Times New Roman"/>
          <w:spacing w:val="-10"/>
          <w:sz w:val="24"/>
          <w:szCs w:val="24"/>
        </w:rPr>
        <w:t>2.5km</w:t>
      </w:r>
      <w:r>
        <w:rPr>
          <w:rFonts w:ascii="宋体" w:hAnsi="宋体" w:eastAsia="宋体" w:cs="宋体"/>
          <w:spacing w:val="-10"/>
          <w:sz w:val="24"/>
          <w:szCs w:val="24"/>
        </w:rPr>
        <w:t>，顺流左岸岸顶</w:t>
      </w:r>
      <w:r>
        <w:rPr>
          <w:rFonts w:ascii="宋体" w:hAnsi="宋体" w:eastAsia="宋体" w:cs="宋体"/>
          <w:sz w:val="24"/>
          <w:szCs w:val="24"/>
        </w:rPr>
        <w:t xml:space="preserve">   </w:t>
      </w:r>
      <w:r>
        <w:rPr>
          <w:rFonts w:ascii="宋体" w:hAnsi="宋体" w:eastAsia="宋体" w:cs="宋体"/>
          <w:spacing w:val="-1"/>
          <w:sz w:val="24"/>
          <w:szCs w:val="24"/>
        </w:rPr>
        <w:t>高程</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2665.0m</w:t>
      </w:r>
      <w:r>
        <w:rPr>
          <w:rFonts w:ascii="宋体" w:hAnsi="宋体" w:eastAsia="宋体" w:cs="宋体"/>
          <w:spacing w:val="-1"/>
          <w:sz w:val="24"/>
          <w:szCs w:val="24"/>
        </w:rPr>
        <w:t>～</w:t>
      </w:r>
      <w:r>
        <w:rPr>
          <w:rFonts w:ascii="Times New Roman" w:hAnsi="Times New Roman" w:eastAsia="Times New Roman" w:cs="Times New Roman"/>
          <w:spacing w:val="-1"/>
          <w:sz w:val="24"/>
          <w:szCs w:val="24"/>
        </w:rPr>
        <w:t>2827.0m</w:t>
      </w:r>
      <w:r>
        <w:rPr>
          <w:rFonts w:ascii="宋体" w:hAnsi="宋体" w:eastAsia="宋体" w:cs="宋体"/>
          <w:spacing w:val="-1"/>
          <w:sz w:val="24"/>
          <w:szCs w:val="24"/>
        </w:rPr>
        <w:t>，顺流右岸岸顶高程</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2641.0m</w:t>
      </w:r>
      <w:r>
        <w:rPr>
          <w:rFonts w:ascii="宋体" w:hAnsi="宋体" w:eastAsia="宋体" w:cs="宋体"/>
          <w:spacing w:val="-1"/>
          <w:sz w:val="24"/>
          <w:szCs w:val="24"/>
        </w:rPr>
        <w:t>～</w:t>
      </w:r>
      <w:r>
        <w:rPr>
          <w:rFonts w:ascii="Times New Roman" w:hAnsi="Times New Roman" w:eastAsia="Times New Roman" w:cs="Times New Roman"/>
          <w:spacing w:val="-1"/>
          <w:sz w:val="24"/>
          <w:szCs w:val="24"/>
        </w:rPr>
        <w:t>2700.0m</w:t>
      </w:r>
      <w:r>
        <w:rPr>
          <w:rFonts w:ascii="宋体" w:hAnsi="宋体" w:eastAsia="宋体" w:cs="宋体"/>
          <w:spacing w:val="-1"/>
          <w:sz w:val="24"/>
          <w:szCs w:val="24"/>
        </w:rPr>
        <w:t>，最低点上坝址</w:t>
      </w:r>
    </w:p>
    <w:p>
      <w:pPr>
        <w:spacing w:line="219" w:lineRule="auto"/>
        <w:ind w:left="38"/>
        <w:rPr>
          <w:rFonts w:ascii="宋体" w:hAnsi="宋体" w:eastAsia="宋体" w:cs="宋体"/>
          <w:sz w:val="24"/>
          <w:szCs w:val="24"/>
        </w:rPr>
      </w:pPr>
      <w:r>
        <w:rPr>
          <w:rFonts w:ascii="宋体" w:hAnsi="宋体" w:eastAsia="宋体" w:cs="宋体"/>
          <w:spacing w:val="-2"/>
          <w:sz w:val="24"/>
          <w:szCs w:val="24"/>
        </w:rPr>
        <w:t>河床</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2012.0m</w:t>
      </w:r>
      <w:r>
        <w:rPr>
          <w:rFonts w:ascii="宋体" w:hAnsi="宋体" w:eastAsia="宋体" w:cs="宋体"/>
          <w:spacing w:val="-2"/>
          <w:sz w:val="24"/>
          <w:szCs w:val="24"/>
        </w:rPr>
        <w:t>，相对高差</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668m</w:t>
      </w:r>
      <w:r>
        <w:rPr>
          <w:rFonts w:ascii="宋体" w:hAnsi="宋体" w:eastAsia="宋体" w:cs="宋体"/>
          <w:spacing w:val="-2"/>
          <w:sz w:val="24"/>
          <w:szCs w:val="24"/>
        </w:rPr>
        <w:t>～</w:t>
      </w:r>
      <w:r>
        <w:rPr>
          <w:rFonts w:ascii="Times New Roman" w:hAnsi="Times New Roman" w:eastAsia="Times New Roman" w:cs="Times New Roman"/>
          <w:spacing w:val="-2"/>
          <w:sz w:val="24"/>
          <w:szCs w:val="24"/>
        </w:rPr>
        <w:t>815m</w:t>
      </w:r>
      <w:r>
        <w:rPr>
          <w:rFonts w:ascii="宋体" w:hAnsi="宋体" w:eastAsia="宋体" w:cs="宋体"/>
          <w:spacing w:val="-2"/>
          <w:sz w:val="24"/>
          <w:szCs w:val="24"/>
        </w:rPr>
        <w:t>，地势西高东低、南高北低。如扎拉河、</w:t>
      </w:r>
    </w:p>
    <w:p>
      <w:pPr>
        <w:spacing w:before="183" w:line="468" w:lineRule="exact"/>
        <w:ind w:left="41"/>
        <w:rPr>
          <w:rFonts w:ascii="宋体" w:hAnsi="宋体" w:eastAsia="宋体" w:cs="宋体"/>
          <w:sz w:val="24"/>
          <w:szCs w:val="24"/>
        </w:rPr>
      </w:pPr>
      <w:r>
        <w:rPr>
          <w:rFonts w:ascii="宋体" w:hAnsi="宋体" w:eastAsia="宋体" w:cs="宋体"/>
          <w:spacing w:val="-17"/>
          <w:position w:val="17"/>
          <w:sz w:val="24"/>
          <w:szCs w:val="24"/>
        </w:rPr>
        <w:t>拉扎河河谷狭窄，</w:t>
      </w:r>
      <w:r>
        <w:rPr>
          <w:rFonts w:ascii="宋体" w:hAnsi="宋体" w:eastAsia="宋体" w:cs="宋体"/>
          <w:spacing w:val="47"/>
          <w:position w:val="17"/>
          <w:sz w:val="24"/>
          <w:szCs w:val="24"/>
        </w:rPr>
        <w:t xml:space="preserve"> </w:t>
      </w:r>
      <w:r>
        <w:rPr>
          <w:rFonts w:ascii="宋体" w:hAnsi="宋体" w:eastAsia="宋体" w:cs="宋体"/>
          <w:spacing w:val="-17"/>
          <w:position w:val="17"/>
          <w:sz w:val="24"/>
          <w:szCs w:val="24"/>
        </w:rPr>
        <w:t>阶地不发育，河道外弯以侧向</w:t>
      </w:r>
      <w:r>
        <w:rPr>
          <w:rFonts w:ascii="宋体" w:hAnsi="宋体" w:eastAsia="宋体" w:cs="宋体"/>
          <w:spacing w:val="-18"/>
          <w:position w:val="17"/>
          <w:sz w:val="24"/>
          <w:szCs w:val="24"/>
        </w:rPr>
        <w:t>侵蚀为主，</w:t>
      </w:r>
      <w:r>
        <w:rPr>
          <w:rFonts w:ascii="宋体" w:hAnsi="宋体" w:eastAsia="宋体" w:cs="宋体"/>
          <w:spacing w:val="66"/>
          <w:position w:val="17"/>
          <w:sz w:val="24"/>
          <w:szCs w:val="24"/>
        </w:rPr>
        <w:t xml:space="preserve"> </w:t>
      </w:r>
      <w:r>
        <w:rPr>
          <w:rFonts w:ascii="宋体" w:hAnsi="宋体" w:eastAsia="宋体" w:cs="宋体"/>
          <w:spacing w:val="-18"/>
          <w:position w:val="17"/>
          <w:sz w:val="24"/>
          <w:szCs w:val="24"/>
        </w:rPr>
        <w:t>内弯以冲刷为主，</w:t>
      </w:r>
      <w:r>
        <w:rPr>
          <w:rFonts w:ascii="宋体" w:hAnsi="宋体" w:eastAsia="宋体" w:cs="宋体"/>
          <w:spacing w:val="39"/>
          <w:position w:val="17"/>
          <w:sz w:val="24"/>
          <w:szCs w:val="24"/>
        </w:rPr>
        <w:t xml:space="preserve"> </w:t>
      </w:r>
      <w:r>
        <w:rPr>
          <w:rFonts w:ascii="宋体" w:hAnsi="宋体" w:eastAsia="宋体" w:cs="宋体"/>
          <w:spacing w:val="-18"/>
          <w:position w:val="17"/>
          <w:sz w:val="24"/>
          <w:szCs w:val="24"/>
        </w:rPr>
        <w:t>支</w:t>
      </w:r>
    </w:p>
    <w:p>
      <w:pPr>
        <w:spacing w:before="1" w:line="219" w:lineRule="auto"/>
        <w:ind w:left="39"/>
        <w:rPr>
          <w:rFonts w:ascii="宋体" w:hAnsi="宋体" w:eastAsia="宋体" w:cs="宋体"/>
          <w:sz w:val="24"/>
          <w:szCs w:val="24"/>
        </w:rPr>
      </w:pPr>
      <w:r>
        <w:rPr>
          <w:rFonts w:ascii="宋体" w:hAnsi="宋体" w:eastAsia="宋体" w:cs="宋体"/>
          <w:spacing w:val="-16"/>
          <w:sz w:val="24"/>
          <w:szCs w:val="24"/>
        </w:rPr>
        <w:t>沟水系与库盆近于垂直，</w:t>
      </w:r>
      <w:r>
        <w:rPr>
          <w:rFonts w:ascii="宋体" w:hAnsi="宋体" w:eastAsia="宋体" w:cs="宋体"/>
          <w:spacing w:val="36"/>
          <w:sz w:val="24"/>
          <w:szCs w:val="24"/>
        </w:rPr>
        <w:t xml:space="preserve"> </w:t>
      </w:r>
      <w:r>
        <w:rPr>
          <w:rFonts w:ascii="宋体" w:hAnsi="宋体" w:eastAsia="宋体" w:cs="宋体"/>
          <w:spacing w:val="-16"/>
          <w:sz w:val="24"/>
          <w:szCs w:val="24"/>
        </w:rPr>
        <w:t>源头岩石裸露、溯源侵蚀强烈，</w:t>
      </w:r>
      <w:r>
        <w:rPr>
          <w:rFonts w:ascii="宋体" w:hAnsi="宋体" w:eastAsia="宋体" w:cs="宋体"/>
          <w:spacing w:val="38"/>
          <w:sz w:val="24"/>
          <w:szCs w:val="24"/>
        </w:rPr>
        <w:t xml:space="preserve"> </w:t>
      </w:r>
      <w:r>
        <w:rPr>
          <w:rFonts w:ascii="宋体" w:hAnsi="宋体" w:eastAsia="宋体" w:cs="宋体"/>
          <w:spacing w:val="-16"/>
          <w:sz w:val="24"/>
          <w:szCs w:val="24"/>
        </w:rPr>
        <w:t>靠近</w:t>
      </w:r>
      <w:r>
        <w:rPr>
          <w:rFonts w:ascii="宋体" w:hAnsi="宋体" w:eastAsia="宋体" w:cs="宋体"/>
          <w:spacing w:val="-17"/>
          <w:sz w:val="24"/>
          <w:szCs w:val="24"/>
        </w:rPr>
        <w:t>汇口沟壁陡峻，</w:t>
      </w:r>
      <w:r>
        <w:rPr>
          <w:rFonts w:ascii="宋体" w:hAnsi="宋体" w:eastAsia="宋体" w:cs="宋体"/>
          <w:spacing w:val="49"/>
          <w:sz w:val="24"/>
          <w:szCs w:val="24"/>
        </w:rPr>
        <w:t xml:space="preserve"> </w:t>
      </w:r>
      <w:r>
        <w:rPr>
          <w:rFonts w:ascii="宋体" w:hAnsi="宋体" w:eastAsia="宋体" w:cs="宋体"/>
          <w:spacing w:val="-17"/>
          <w:sz w:val="24"/>
          <w:szCs w:val="24"/>
        </w:rPr>
        <w:t>时</w:t>
      </w:r>
    </w:p>
    <w:p>
      <w:pPr>
        <w:spacing w:line="219" w:lineRule="auto"/>
        <w:rPr>
          <w:rFonts w:ascii="宋体" w:hAnsi="宋体" w:eastAsia="宋体" w:cs="宋体"/>
          <w:sz w:val="24"/>
          <w:szCs w:val="24"/>
        </w:rPr>
        <w:sectPr>
          <w:headerReference r:id="rId165" w:type="default"/>
          <w:footerReference r:id="rId166" w:type="default"/>
          <w:pgSz w:w="11907" w:h="16839"/>
          <w:pgMar w:top="1156" w:right="1559" w:bottom="1374" w:left="1770" w:header="881" w:footer="1210" w:gutter="0"/>
        </w:sectPr>
      </w:pPr>
    </w:p>
    <w:p>
      <w:pPr>
        <w:spacing w:line="317" w:lineRule="auto"/>
        <w:rPr>
          <w:rFonts w:ascii="Arial"/>
          <w:sz w:val="21"/>
        </w:rPr>
      </w:pPr>
    </w:p>
    <w:p>
      <w:pPr>
        <w:spacing w:before="78" w:line="468" w:lineRule="exact"/>
        <w:ind w:left="40"/>
        <w:rPr>
          <w:rFonts w:ascii="宋体" w:hAnsi="宋体" w:eastAsia="宋体" w:cs="宋体"/>
          <w:sz w:val="24"/>
          <w:szCs w:val="24"/>
        </w:rPr>
      </w:pPr>
      <w:r>
        <w:rPr>
          <w:rFonts w:ascii="宋体" w:hAnsi="宋体" w:eastAsia="宋体" w:cs="宋体"/>
          <w:spacing w:val="-7"/>
          <w:position w:val="17"/>
          <w:sz w:val="24"/>
          <w:szCs w:val="24"/>
        </w:rPr>
        <w:t>有岩块崩落发生。如扎拉河、拉扎河汇口下游河段河谷微开阔</w:t>
      </w:r>
      <w:r>
        <w:rPr>
          <w:rFonts w:ascii="宋体" w:hAnsi="宋体" w:eastAsia="宋体" w:cs="宋体"/>
          <w:spacing w:val="-8"/>
          <w:position w:val="17"/>
          <w:sz w:val="24"/>
          <w:szCs w:val="24"/>
        </w:rPr>
        <w:t>，</w:t>
      </w:r>
      <w:r>
        <w:rPr>
          <w:rFonts w:ascii="宋体" w:hAnsi="宋体" w:eastAsia="宋体" w:cs="宋体"/>
          <w:spacing w:val="29"/>
          <w:position w:val="17"/>
          <w:sz w:val="24"/>
          <w:szCs w:val="24"/>
        </w:rPr>
        <w:t xml:space="preserve"> </w:t>
      </w:r>
      <w:r>
        <w:rPr>
          <w:rFonts w:ascii="宋体" w:hAnsi="宋体" w:eastAsia="宋体" w:cs="宋体"/>
          <w:spacing w:val="-8"/>
          <w:position w:val="17"/>
          <w:sz w:val="24"/>
          <w:szCs w:val="24"/>
        </w:rPr>
        <w:t>河谷断面呈平缓</w:t>
      </w:r>
    </w:p>
    <w:p>
      <w:pPr>
        <w:spacing w:line="219" w:lineRule="auto"/>
        <w:ind w:left="59"/>
        <w:rPr>
          <w:rFonts w:ascii="宋体" w:hAnsi="宋体" w:eastAsia="宋体" w:cs="宋体"/>
          <w:sz w:val="24"/>
          <w:szCs w:val="24"/>
        </w:rPr>
      </w:pPr>
      <w:r>
        <w:rPr>
          <w:rFonts w:ascii="宋体" w:hAnsi="宋体" w:eastAsia="宋体" w:cs="宋体"/>
          <w:spacing w:val="-5"/>
          <w:sz w:val="24"/>
          <w:szCs w:val="24"/>
        </w:rPr>
        <w:t>的“</w:t>
      </w:r>
      <w:r>
        <w:rPr>
          <w:rFonts w:ascii="Times New Roman" w:hAnsi="Times New Roman" w:eastAsia="Times New Roman" w:cs="Times New Roman"/>
          <w:spacing w:val="-5"/>
          <w:sz w:val="24"/>
          <w:szCs w:val="24"/>
        </w:rPr>
        <w:t>U</w:t>
      </w:r>
      <w:r>
        <w:rPr>
          <w:rFonts w:ascii="宋体" w:hAnsi="宋体" w:eastAsia="宋体" w:cs="宋体"/>
          <w:spacing w:val="-5"/>
          <w:sz w:val="24"/>
          <w:szCs w:val="24"/>
        </w:rPr>
        <w:t>”字形，两岸阶地不连续。</w:t>
      </w:r>
    </w:p>
    <w:p>
      <w:pPr>
        <w:spacing w:before="182"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）地质构造</w:t>
      </w:r>
    </w:p>
    <w:p>
      <w:pPr>
        <w:spacing w:before="182" w:line="360" w:lineRule="auto"/>
        <w:ind w:left="38" w:right="17" w:firstLine="483"/>
        <w:rPr>
          <w:rFonts w:ascii="宋体" w:hAnsi="宋体" w:eastAsia="宋体" w:cs="宋体"/>
          <w:sz w:val="24"/>
          <w:szCs w:val="24"/>
        </w:rPr>
      </w:pPr>
      <w:r>
        <w:rPr>
          <w:rFonts w:ascii="宋体" w:hAnsi="宋体" w:eastAsia="宋体" w:cs="宋体"/>
          <w:spacing w:val="1"/>
          <w:sz w:val="24"/>
          <w:szCs w:val="24"/>
        </w:rPr>
        <w:t>水库位于桂花</w:t>
      </w:r>
      <w:r>
        <w:rPr>
          <w:rFonts w:ascii="Times New Roman" w:hAnsi="Times New Roman" w:eastAsia="Times New Roman" w:cs="Times New Roman"/>
          <w:spacing w:val="1"/>
          <w:sz w:val="24"/>
          <w:szCs w:val="24"/>
        </w:rPr>
        <w:t>-</w:t>
      </w:r>
      <w:r>
        <w:rPr>
          <w:rFonts w:ascii="宋体" w:hAnsi="宋体" w:eastAsia="宋体" w:cs="宋体"/>
          <w:spacing w:val="1"/>
          <w:sz w:val="24"/>
          <w:szCs w:val="24"/>
        </w:rPr>
        <w:t>树皮厂向斜南段与昙华山向斜北段之间的过渡带上。库区主</w:t>
      </w:r>
      <w:r>
        <w:rPr>
          <w:rFonts w:ascii="宋体" w:hAnsi="宋体" w:eastAsia="宋体" w:cs="宋体"/>
          <w:spacing w:val="16"/>
          <w:sz w:val="24"/>
          <w:szCs w:val="24"/>
        </w:rPr>
        <w:t xml:space="preserve"> </w:t>
      </w:r>
      <w:r>
        <w:rPr>
          <w:rFonts w:ascii="宋体" w:hAnsi="宋体" w:eastAsia="宋体" w:cs="宋体"/>
          <w:spacing w:val="-1"/>
          <w:sz w:val="24"/>
          <w:szCs w:val="24"/>
        </w:rPr>
        <w:t>要分布白垩系江底河组上杂色泥岩段（</w:t>
      </w:r>
      <w:r>
        <w:rPr>
          <w:rFonts w:ascii="Times New Roman" w:hAnsi="Times New Roman" w:eastAsia="Times New Roman" w:cs="Times New Roman"/>
          <w:spacing w:val="-1"/>
          <w:sz w:val="24"/>
          <w:szCs w:val="24"/>
        </w:rPr>
        <w:t>K</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j</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4"/>
          <w:szCs w:val="24"/>
        </w:rPr>
        <w:t>）地层</w:t>
      </w:r>
      <w:r>
        <w:rPr>
          <w:rFonts w:ascii="宋体" w:hAnsi="宋体" w:eastAsia="宋体" w:cs="宋体"/>
          <w:spacing w:val="-2"/>
          <w:sz w:val="24"/>
          <w:szCs w:val="24"/>
        </w:rPr>
        <w:t>。岩层走向与主要褶皱构造线</w:t>
      </w:r>
      <w:r>
        <w:rPr>
          <w:rFonts w:ascii="宋体" w:hAnsi="宋体" w:eastAsia="宋体" w:cs="宋体"/>
          <w:sz w:val="24"/>
          <w:szCs w:val="24"/>
        </w:rPr>
        <w:t xml:space="preserve"> </w:t>
      </w:r>
      <w:r>
        <w:rPr>
          <w:rFonts w:ascii="宋体" w:hAnsi="宋体" w:eastAsia="宋体" w:cs="宋体"/>
          <w:spacing w:val="-2"/>
          <w:sz w:val="24"/>
          <w:szCs w:val="24"/>
        </w:rPr>
        <w:t>方向一致，</w:t>
      </w:r>
      <w:r>
        <w:rPr>
          <w:rFonts w:ascii="宋体" w:hAnsi="宋体" w:eastAsia="宋体" w:cs="宋体"/>
          <w:spacing w:val="-62"/>
          <w:sz w:val="24"/>
          <w:szCs w:val="24"/>
        </w:rPr>
        <w:t xml:space="preserve"> </w:t>
      </w:r>
      <w:r>
        <w:rPr>
          <w:rFonts w:ascii="宋体" w:hAnsi="宋体" w:eastAsia="宋体" w:cs="宋体"/>
          <w:spacing w:val="-2"/>
          <w:sz w:val="24"/>
          <w:szCs w:val="24"/>
        </w:rPr>
        <w:t>呈单斜倾向水库上游， 倾向</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190°</w:t>
      </w:r>
      <w:r>
        <w:rPr>
          <w:rFonts w:ascii="宋体" w:hAnsi="宋体" w:eastAsia="宋体" w:cs="宋体"/>
          <w:spacing w:val="-2"/>
          <w:sz w:val="24"/>
          <w:szCs w:val="24"/>
        </w:rPr>
        <w:t>~</w:t>
      </w:r>
      <w:r>
        <w:rPr>
          <w:rFonts w:ascii="Times New Roman" w:hAnsi="Times New Roman" w:eastAsia="Times New Roman" w:cs="Times New Roman"/>
          <w:spacing w:val="-2"/>
          <w:sz w:val="24"/>
          <w:szCs w:val="24"/>
        </w:rPr>
        <w:t>230°</w:t>
      </w:r>
      <w:r>
        <w:rPr>
          <w:rFonts w:ascii="宋体" w:hAnsi="宋体" w:eastAsia="宋体" w:cs="宋体"/>
          <w:spacing w:val="-2"/>
          <w:sz w:val="24"/>
          <w:szCs w:val="24"/>
        </w:rPr>
        <w:t>倾角</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
          <w:sz w:val="24"/>
          <w:szCs w:val="24"/>
        </w:rPr>
        <w:t>5°</w:t>
      </w:r>
      <w:r>
        <w:rPr>
          <w:rFonts w:ascii="宋体" w:hAnsi="宋体" w:eastAsia="宋体" w:cs="宋体"/>
          <w:spacing w:val="-3"/>
          <w:sz w:val="24"/>
          <w:szCs w:val="24"/>
        </w:rPr>
        <w:t>~</w:t>
      </w:r>
      <w:r>
        <w:rPr>
          <w:rFonts w:ascii="Times New Roman" w:hAnsi="Times New Roman" w:eastAsia="Times New Roman" w:cs="Times New Roman"/>
          <w:spacing w:val="-3"/>
          <w:sz w:val="24"/>
          <w:szCs w:val="24"/>
        </w:rPr>
        <w:t>30°</w:t>
      </w:r>
      <w:r>
        <w:rPr>
          <w:rFonts w:ascii="宋体" w:hAnsi="宋体" w:eastAsia="宋体" w:cs="宋体"/>
          <w:spacing w:val="-3"/>
          <w:sz w:val="24"/>
          <w:szCs w:val="24"/>
        </w:rPr>
        <w:t>。库区地层分布</w:t>
      </w:r>
      <w:r>
        <w:rPr>
          <w:rFonts w:ascii="宋体" w:hAnsi="宋体" w:eastAsia="宋体" w:cs="宋体"/>
          <w:sz w:val="24"/>
          <w:szCs w:val="24"/>
        </w:rPr>
        <w:t xml:space="preserve"> </w:t>
      </w:r>
      <w:r>
        <w:rPr>
          <w:rFonts w:ascii="宋体" w:hAnsi="宋体" w:eastAsia="宋体" w:cs="宋体"/>
          <w:spacing w:val="-1"/>
          <w:sz w:val="24"/>
          <w:szCs w:val="24"/>
        </w:rPr>
        <w:t>连续、相变小、局部层间绕曲发育、未发现断裂构造，经统计最发育的</w:t>
      </w:r>
      <w:r>
        <w:rPr>
          <w:rFonts w:ascii="宋体" w:hAnsi="宋体" w:eastAsia="宋体" w:cs="宋体"/>
          <w:spacing w:val="-2"/>
          <w:sz w:val="24"/>
          <w:szCs w:val="24"/>
        </w:rPr>
        <w:t>节理为：</w:t>
      </w:r>
      <w:r>
        <w:rPr>
          <w:rFonts w:ascii="宋体" w:hAnsi="宋体" w:eastAsia="宋体" w:cs="宋体"/>
          <w:sz w:val="24"/>
          <w:szCs w:val="24"/>
        </w:rPr>
        <w:t xml:space="preserve"> </w:t>
      </w:r>
      <w:r>
        <w:rPr>
          <w:rFonts w:ascii="宋体" w:hAnsi="宋体" w:eastAsia="宋体" w:cs="宋体"/>
          <w:spacing w:val="9"/>
          <w:sz w:val="24"/>
          <w:szCs w:val="24"/>
        </w:rPr>
        <w:t>①</w:t>
      </w:r>
      <w:r>
        <w:rPr>
          <w:rFonts w:ascii="Times New Roman" w:hAnsi="Times New Roman" w:eastAsia="Times New Roman" w:cs="Times New Roman"/>
          <w:spacing w:val="9"/>
          <w:sz w:val="24"/>
          <w:szCs w:val="24"/>
        </w:rPr>
        <w:t>340°</w:t>
      </w:r>
      <w:r>
        <w:rPr>
          <w:rFonts w:ascii="宋体" w:hAnsi="宋体" w:eastAsia="宋体" w:cs="宋体"/>
          <w:spacing w:val="9"/>
          <w:sz w:val="24"/>
          <w:szCs w:val="24"/>
        </w:rPr>
        <w:t>~</w:t>
      </w:r>
      <w:r>
        <w:rPr>
          <w:rFonts w:ascii="Times New Roman" w:hAnsi="Times New Roman" w:eastAsia="Times New Roman" w:cs="Times New Roman"/>
          <w:spacing w:val="9"/>
          <w:sz w:val="24"/>
          <w:szCs w:val="24"/>
        </w:rPr>
        <w:t>355°</w:t>
      </w:r>
      <w:r>
        <w:rPr>
          <w:rFonts w:ascii="宋体" w:hAnsi="宋体" w:eastAsia="宋体" w:cs="宋体"/>
          <w:spacing w:val="9"/>
          <w:sz w:val="24"/>
          <w:szCs w:val="24"/>
        </w:rPr>
        <w:t>∠</w:t>
      </w:r>
      <w:r>
        <w:rPr>
          <w:rFonts w:ascii="Times New Roman" w:hAnsi="Times New Roman" w:eastAsia="Times New Roman" w:cs="Times New Roman"/>
          <w:spacing w:val="9"/>
          <w:sz w:val="24"/>
          <w:szCs w:val="24"/>
        </w:rPr>
        <w:t>56°</w:t>
      </w:r>
      <w:r>
        <w:rPr>
          <w:rFonts w:ascii="宋体" w:hAnsi="宋体" w:eastAsia="宋体" w:cs="宋体"/>
          <w:spacing w:val="9"/>
          <w:sz w:val="24"/>
          <w:szCs w:val="24"/>
        </w:rPr>
        <w:t>~</w:t>
      </w:r>
      <w:r>
        <w:rPr>
          <w:rFonts w:ascii="Times New Roman" w:hAnsi="Times New Roman" w:eastAsia="Times New Roman" w:cs="Times New Roman"/>
          <w:spacing w:val="9"/>
          <w:sz w:val="24"/>
          <w:szCs w:val="24"/>
        </w:rPr>
        <w:t>76°</w:t>
      </w:r>
      <w:r>
        <w:rPr>
          <w:rFonts w:ascii="Times New Roman" w:hAnsi="Times New Roman" w:eastAsia="Times New Roman" w:cs="Times New Roman"/>
          <w:spacing w:val="-34"/>
          <w:sz w:val="24"/>
          <w:szCs w:val="24"/>
        </w:rPr>
        <w:t xml:space="preserve"> </w:t>
      </w:r>
      <w:r>
        <w:rPr>
          <w:rFonts w:ascii="宋体" w:hAnsi="宋体" w:eastAsia="宋体" w:cs="宋体"/>
          <w:spacing w:val="9"/>
          <w:sz w:val="24"/>
          <w:szCs w:val="24"/>
        </w:rPr>
        <w:t>, ②</w:t>
      </w:r>
      <w:r>
        <w:rPr>
          <w:rFonts w:ascii="Times New Roman" w:hAnsi="Times New Roman" w:eastAsia="Times New Roman" w:cs="Times New Roman"/>
          <w:spacing w:val="8"/>
          <w:sz w:val="24"/>
          <w:szCs w:val="24"/>
        </w:rPr>
        <w:t>5°</w:t>
      </w:r>
      <w:r>
        <w:rPr>
          <w:rFonts w:ascii="宋体" w:hAnsi="宋体" w:eastAsia="宋体" w:cs="宋体"/>
          <w:spacing w:val="8"/>
          <w:sz w:val="24"/>
          <w:szCs w:val="24"/>
        </w:rPr>
        <w:t>~</w:t>
      </w:r>
      <w:r>
        <w:rPr>
          <w:rFonts w:ascii="Times New Roman" w:hAnsi="Times New Roman" w:eastAsia="Times New Roman" w:cs="Times New Roman"/>
          <w:spacing w:val="8"/>
          <w:sz w:val="24"/>
          <w:szCs w:val="24"/>
        </w:rPr>
        <w:t>10°</w:t>
      </w:r>
      <w:r>
        <w:rPr>
          <w:rFonts w:ascii="宋体" w:hAnsi="宋体" w:eastAsia="宋体" w:cs="宋体"/>
          <w:spacing w:val="8"/>
          <w:sz w:val="24"/>
          <w:szCs w:val="24"/>
        </w:rPr>
        <w:t>∠</w:t>
      </w:r>
      <w:r>
        <w:rPr>
          <w:rFonts w:ascii="Times New Roman" w:hAnsi="Times New Roman" w:eastAsia="Times New Roman" w:cs="Times New Roman"/>
          <w:spacing w:val="8"/>
          <w:sz w:val="24"/>
          <w:szCs w:val="24"/>
        </w:rPr>
        <w:t>56°</w:t>
      </w:r>
      <w:r>
        <w:rPr>
          <w:rFonts w:ascii="宋体" w:hAnsi="宋体" w:eastAsia="宋体" w:cs="宋体"/>
          <w:spacing w:val="8"/>
          <w:sz w:val="24"/>
          <w:szCs w:val="24"/>
        </w:rPr>
        <w:t>~</w:t>
      </w:r>
      <w:r>
        <w:rPr>
          <w:rFonts w:ascii="Times New Roman" w:hAnsi="Times New Roman" w:eastAsia="Times New Roman" w:cs="Times New Roman"/>
          <w:spacing w:val="8"/>
          <w:sz w:val="24"/>
          <w:szCs w:val="24"/>
        </w:rPr>
        <w:t>75°</w:t>
      </w:r>
      <w:r>
        <w:rPr>
          <w:rFonts w:ascii="Times New Roman" w:hAnsi="Times New Roman" w:eastAsia="Times New Roman" w:cs="Times New Roman"/>
          <w:spacing w:val="-33"/>
          <w:sz w:val="24"/>
          <w:szCs w:val="24"/>
        </w:rPr>
        <w:t xml:space="preserve"> </w:t>
      </w:r>
      <w:r>
        <w:rPr>
          <w:rFonts w:ascii="宋体" w:hAnsi="宋体" w:eastAsia="宋体" w:cs="宋体"/>
          <w:spacing w:val="8"/>
          <w:sz w:val="24"/>
          <w:szCs w:val="24"/>
        </w:rPr>
        <w:t>, ③</w:t>
      </w:r>
      <w:r>
        <w:rPr>
          <w:rFonts w:ascii="Times New Roman" w:hAnsi="Times New Roman" w:eastAsia="Times New Roman" w:cs="Times New Roman"/>
          <w:spacing w:val="8"/>
          <w:sz w:val="24"/>
          <w:szCs w:val="24"/>
        </w:rPr>
        <w:t>200°</w:t>
      </w:r>
      <w:r>
        <w:rPr>
          <w:rFonts w:ascii="宋体" w:hAnsi="宋体" w:eastAsia="宋体" w:cs="宋体"/>
          <w:spacing w:val="8"/>
          <w:sz w:val="24"/>
          <w:szCs w:val="24"/>
        </w:rPr>
        <w:t>~</w:t>
      </w:r>
      <w:r>
        <w:rPr>
          <w:rFonts w:ascii="Times New Roman" w:hAnsi="Times New Roman" w:eastAsia="Times New Roman" w:cs="Times New Roman"/>
          <w:spacing w:val="8"/>
          <w:sz w:val="24"/>
          <w:szCs w:val="24"/>
        </w:rPr>
        <w:t>230°</w:t>
      </w:r>
      <w:r>
        <w:rPr>
          <w:rFonts w:ascii="宋体" w:hAnsi="宋体" w:eastAsia="宋体" w:cs="宋体"/>
          <w:spacing w:val="8"/>
          <w:sz w:val="24"/>
          <w:szCs w:val="24"/>
        </w:rPr>
        <w:t>∠</w:t>
      </w:r>
      <w:r>
        <w:rPr>
          <w:rFonts w:ascii="Times New Roman" w:hAnsi="Times New Roman" w:eastAsia="Times New Roman" w:cs="Times New Roman"/>
          <w:spacing w:val="8"/>
          <w:sz w:val="24"/>
          <w:szCs w:val="24"/>
        </w:rPr>
        <w:t>68°</w:t>
      </w:r>
      <w:r>
        <w:rPr>
          <w:rFonts w:ascii="宋体" w:hAnsi="宋体" w:eastAsia="宋体" w:cs="宋体"/>
          <w:spacing w:val="8"/>
          <w:sz w:val="24"/>
          <w:szCs w:val="24"/>
        </w:rPr>
        <w:t>~</w:t>
      </w:r>
      <w:r>
        <w:rPr>
          <w:rFonts w:ascii="Times New Roman" w:hAnsi="Times New Roman" w:eastAsia="Times New Roman" w:cs="Times New Roman"/>
          <w:spacing w:val="8"/>
          <w:sz w:val="24"/>
          <w:szCs w:val="24"/>
        </w:rPr>
        <w:t>85°</w:t>
      </w:r>
      <w:r>
        <w:rPr>
          <w:rFonts w:ascii="宋体" w:hAnsi="宋体" w:eastAsia="宋体" w:cs="宋体"/>
          <w:spacing w:val="8"/>
          <w:sz w:val="24"/>
          <w:szCs w:val="24"/>
        </w:rPr>
        <w:t>, 裂面</w:t>
      </w:r>
      <w:r>
        <w:rPr>
          <w:rFonts w:ascii="宋体" w:hAnsi="宋体" w:eastAsia="宋体" w:cs="宋体"/>
          <w:sz w:val="24"/>
          <w:szCs w:val="24"/>
        </w:rPr>
        <w:t xml:space="preserve"> </w:t>
      </w:r>
      <w:r>
        <w:rPr>
          <w:rFonts w:ascii="宋体" w:hAnsi="宋体" w:eastAsia="宋体" w:cs="宋体"/>
          <w:spacing w:val="-20"/>
          <w:sz w:val="24"/>
          <w:szCs w:val="24"/>
        </w:rPr>
        <w:t>平直， 属剪性节理，</w:t>
      </w:r>
      <w:r>
        <w:rPr>
          <w:rFonts w:ascii="宋体" w:hAnsi="宋体" w:eastAsia="宋体" w:cs="宋体"/>
          <w:spacing w:val="75"/>
          <w:sz w:val="24"/>
          <w:szCs w:val="24"/>
        </w:rPr>
        <w:t xml:space="preserve"> </w:t>
      </w:r>
      <w:r>
        <w:rPr>
          <w:rFonts w:ascii="宋体" w:hAnsi="宋体" w:eastAsia="宋体" w:cs="宋体"/>
          <w:spacing w:val="-20"/>
          <w:sz w:val="24"/>
          <w:szCs w:val="24"/>
        </w:rPr>
        <w:t>多数充填钙质、泥质，</w:t>
      </w:r>
      <w:r>
        <w:rPr>
          <w:rFonts w:ascii="宋体" w:hAnsi="宋体" w:eastAsia="宋体" w:cs="宋体"/>
          <w:spacing w:val="53"/>
          <w:sz w:val="24"/>
          <w:szCs w:val="24"/>
        </w:rPr>
        <w:t xml:space="preserve"> </w:t>
      </w:r>
      <w:r>
        <w:rPr>
          <w:rFonts w:ascii="宋体" w:hAnsi="宋体" w:eastAsia="宋体" w:cs="宋体"/>
          <w:spacing w:val="-20"/>
          <w:sz w:val="24"/>
          <w:szCs w:val="24"/>
        </w:rPr>
        <w:t>少部分张开，</w:t>
      </w:r>
      <w:r>
        <w:rPr>
          <w:rFonts w:ascii="宋体" w:hAnsi="宋体" w:eastAsia="宋体" w:cs="宋体"/>
          <w:spacing w:val="69"/>
          <w:sz w:val="24"/>
          <w:szCs w:val="24"/>
        </w:rPr>
        <w:t xml:space="preserve"> </w:t>
      </w:r>
      <w:r>
        <w:rPr>
          <w:rFonts w:ascii="宋体" w:hAnsi="宋体" w:eastAsia="宋体" w:cs="宋体"/>
          <w:spacing w:val="-20"/>
          <w:sz w:val="24"/>
          <w:szCs w:val="24"/>
        </w:rPr>
        <w:t>隙宽</w:t>
      </w:r>
      <w:r>
        <w:rPr>
          <w:rFonts w:ascii="宋体" w:hAnsi="宋体" w:eastAsia="宋体" w:cs="宋体"/>
          <w:spacing w:val="-54"/>
          <w:sz w:val="24"/>
          <w:szCs w:val="24"/>
        </w:rPr>
        <w:t xml:space="preserve"> </w:t>
      </w:r>
      <w:r>
        <w:rPr>
          <w:rFonts w:ascii="Times New Roman" w:hAnsi="Times New Roman" w:eastAsia="Times New Roman" w:cs="Times New Roman"/>
          <w:spacing w:val="-20"/>
          <w:sz w:val="24"/>
          <w:szCs w:val="24"/>
        </w:rPr>
        <w:t>2</w:t>
      </w:r>
      <w:r>
        <w:rPr>
          <w:rFonts w:ascii="宋体" w:hAnsi="宋体" w:eastAsia="宋体" w:cs="宋体"/>
          <w:spacing w:val="-20"/>
          <w:sz w:val="24"/>
          <w:szCs w:val="24"/>
        </w:rPr>
        <w:t>～</w:t>
      </w:r>
      <w:r>
        <w:rPr>
          <w:rFonts w:ascii="Times New Roman" w:hAnsi="Times New Roman" w:eastAsia="Times New Roman" w:cs="Times New Roman"/>
          <w:spacing w:val="-20"/>
          <w:sz w:val="24"/>
          <w:szCs w:val="24"/>
        </w:rPr>
        <w:t>4mm</w:t>
      </w:r>
      <w:r>
        <w:rPr>
          <w:rFonts w:ascii="宋体" w:hAnsi="宋体" w:eastAsia="宋体" w:cs="宋体"/>
          <w:spacing w:val="-20"/>
          <w:sz w:val="24"/>
          <w:szCs w:val="24"/>
        </w:rPr>
        <w:t>、少部分</w:t>
      </w:r>
    </w:p>
    <w:p>
      <w:pPr>
        <w:spacing w:line="233" w:lineRule="auto"/>
        <w:ind w:left="39"/>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w:t>
      </w:r>
      <w:r>
        <w:rPr>
          <w:rFonts w:ascii="Times New Roman" w:hAnsi="Times New Roman" w:eastAsia="Times New Roman" w:cs="Times New Roman"/>
          <w:spacing w:val="-2"/>
          <w:sz w:val="24"/>
          <w:szCs w:val="24"/>
        </w:rPr>
        <w:t>5mm</w:t>
      </w:r>
      <w:r>
        <w:rPr>
          <w:rFonts w:ascii="宋体" w:hAnsi="宋体" w:eastAsia="宋体" w:cs="宋体"/>
          <w:spacing w:val="-2"/>
          <w:sz w:val="24"/>
          <w:szCs w:val="24"/>
        </w:rPr>
        <w:t>，密度</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4</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条</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2"/>
          <w:sz w:val="24"/>
          <w:szCs w:val="24"/>
        </w:rPr>
        <w:t>，局部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条</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w:t>
      </w:r>
    </w:p>
    <w:p>
      <w:pPr>
        <w:spacing w:before="229" w:line="369" w:lineRule="auto"/>
        <w:ind w:left="40" w:right="94" w:firstLine="480"/>
        <w:rPr>
          <w:rFonts w:ascii="宋体" w:hAnsi="宋体" w:eastAsia="宋体" w:cs="宋体"/>
          <w:sz w:val="24"/>
          <w:szCs w:val="24"/>
        </w:rPr>
      </w:pPr>
      <w:r>
        <w:rPr>
          <w:rFonts w:ascii="宋体" w:hAnsi="宋体" w:eastAsia="宋体" w:cs="宋体"/>
          <w:spacing w:val="-7"/>
          <w:sz w:val="24"/>
          <w:szCs w:val="24"/>
        </w:rPr>
        <w:t>库区主要分布白垩系上统江底河组上杂色泥岩段</w:t>
      </w:r>
      <w:r>
        <w:rPr>
          <w:rFonts w:ascii="宋体" w:hAnsi="宋体" w:eastAsia="宋体" w:cs="宋体"/>
          <w:spacing w:val="-8"/>
          <w:sz w:val="24"/>
          <w:szCs w:val="24"/>
        </w:rPr>
        <w:t>（</w:t>
      </w:r>
      <w:r>
        <w:rPr>
          <w:rFonts w:ascii="Times New Roman" w:hAnsi="Times New Roman" w:eastAsia="Times New Roman" w:cs="Times New Roman"/>
          <w:spacing w:val="-8"/>
          <w:sz w:val="24"/>
          <w:szCs w:val="24"/>
        </w:rPr>
        <w:t>K</w:t>
      </w:r>
      <w:r>
        <w:rPr>
          <w:rFonts w:ascii="Times New Roman" w:hAnsi="Times New Roman" w:eastAsia="Times New Roman" w:cs="Times New Roman"/>
          <w:spacing w:val="-8"/>
          <w:position w:val="-1"/>
          <w:sz w:val="15"/>
          <w:szCs w:val="15"/>
        </w:rPr>
        <w:t>2</w:t>
      </w:r>
      <w:r>
        <w:rPr>
          <w:rFonts w:ascii="Times New Roman" w:hAnsi="Times New Roman" w:eastAsia="Times New Roman" w:cs="Times New Roman"/>
          <w:spacing w:val="-8"/>
          <w:sz w:val="24"/>
          <w:szCs w:val="24"/>
        </w:rPr>
        <w:t>j</w:t>
      </w:r>
      <w:r>
        <w:rPr>
          <w:rFonts w:ascii="Times New Roman" w:hAnsi="Times New Roman" w:eastAsia="Times New Roman" w:cs="Times New Roman"/>
          <w:spacing w:val="-8"/>
          <w:position w:val="8"/>
          <w:sz w:val="15"/>
          <w:szCs w:val="15"/>
        </w:rPr>
        <w:t>3</w:t>
      </w:r>
      <w:r>
        <w:rPr>
          <w:rFonts w:ascii="宋体" w:hAnsi="宋体" w:eastAsia="宋体" w:cs="宋体"/>
          <w:spacing w:val="-8"/>
          <w:sz w:val="24"/>
          <w:szCs w:val="24"/>
        </w:rPr>
        <w:t>）、第四系全新统泥石</w:t>
      </w:r>
      <w:r>
        <w:rPr>
          <w:rFonts w:ascii="宋体" w:hAnsi="宋体" w:eastAsia="宋体" w:cs="宋体"/>
          <w:sz w:val="24"/>
          <w:szCs w:val="24"/>
        </w:rPr>
        <w:t xml:space="preserve"> </w:t>
      </w:r>
      <w:r>
        <w:rPr>
          <w:rFonts w:ascii="宋体" w:hAnsi="宋体" w:eastAsia="宋体" w:cs="宋体"/>
          <w:spacing w:val="-12"/>
          <w:sz w:val="24"/>
          <w:szCs w:val="24"/>
        </w:rPr>
        <w:t>流堆积层（</w:t>
      </w:r>
      <w:r>
        <w:rPr>
          <w:rFonts w:ascii="Times New Roman" w:hAnsi="Times New Roman" w:eastAsia="Times New Roman" w:cs="Times New Roman"/>
          <w:spacing w:val="-12"/>
          <w:sz w:val="24"/>
          <w:szCs w:val="24"/>
        </w:rPr>
        <w:t>Q</w:t>
      </w:r>
      <w:r>
        <w:rPr>
          <w:rFonts w:ascii="Times New Roman" w:hAnsi="Times New Roman" w:eastAsia="Times New Roman" w:cs="Times New Roman"/>
          <w:spacing w:val="-12"/>
          <w:position w:val="8"/>
          <w:sz w:val="15"/>
          <w:szCs w:val="15"/>
        </w:rPr>
        <w:t>df</w:t>
      </w:r>
      <w:r>
        <w:rPr>
          <w:rFonts w:ascii="宋体" w:hAnsi="宋体" w:eastAsia="宋体" w:cs="宋体"/>
          <w:spacing w:val="-12"/>
          <w:sz w:val="24"/>
          <w:szCs w:val="24"/>
        </w:rPr>
        <w:t>）、冲洪积层（</w:t>
      </w:r>
      <w:r>
        <w:rPr>
          <w:rFonts w:ascii="Times New Roman" w:hAnsi="Times New Roman" w:eastAsia="Times New Roman" w:cs="Times New Roman"/>
          <w:spacing w:val="-12"/>
          <w:sz w:val="24"/>
          <w:szCs w:val="24"/>
        </w:rPr>
        <w:t>Q</w:t>
      </w:r>
      <w:r>
        <w:rPr>
          <w:rFonts w:ascii="Times New Roman" w:hAnsi="Times New Roman" w:eastAsia="Times New Roman" w:cs="Times New Roman"/>
          <w:spacing w:val="4"/>
          <w:position w:val="8"/>
          <w:sz w:val="15"/>
          <w:szCs w:val="15"/>
        </w:rPr>
        <w:t>alp</w:t>
      </w:r>
      <w:r>
        <w:rPr>
          <w:rFonts w:ascii="宋体" w:hAnsi="宋体" w:eastAsia="宋体" w:cs="宋体"/>
          <w:spacing w:val="-21"/>
          <w:sz w:val="24"/>
          <w:szCs w:val="24"/>
        </w:rPr>
        <w:t>）、残坡积层（</w:t>
      </w:r>
      <w:r>
        <w:rPr>
          <w:rFonts w:ascii="Times New Roman" w:hAnsi="Times New Roman" w:eastAsia="Times New Roman" w:cs="Times New Roman"/>
          <w:spacing w:val="-21"/>
          <w:sz w:val="24"/>
          <w:szCs w:val="24"/>
        </w:rPr>
        <w:t>Q</w:t>
      </w:r>
      <w:r>
        <w:rPr>
          <w:rFonts w:ascii="Times New Roman" w:hAnsi="Times New Roman" w:eastAsia="Times New Roman" w:cs="Times New Roman"/>
          <w:spacing w:val="5"/>
          <w:position w:val="8"/>
          <w:sz w:val="15"/>
          <w:szCs w:val="15"/>
        </w:rPr>
        <w:t>eld</w:t>
      </w:r>
      <w:r>
        <w:rPr>
          <w:rFonts w:ascii="宋体" w:hAnsi="宋体" w:eastAsia="宋体" w:cs="宋体"/>
          <w:spacing w:val="-14"/>
          <w:sz w:val="24"/>
          <w:szCs w:val="24"/>
        </w:rPr>
        <w:t>）等地层， 根据分布范围、岩</w:t>
      </w:r>
    </w:p>
    <w:p>
      <w:pPr>
        <w:spacing w:before="1" w:line="219" w:lineRule="auto"/>
        <w:ind w:left="39"/>
        <w:rPr>
          <w:rFonts w:ascii="宋体" w:hAnsi="宋体" w:eastAsia="宋体" w:cs="宋体"/>
          <w:sz w:val="24"/>
          <w:szCs w:val="24"/>
        </w:rPr>
      </w:pPr>
      <w:r>
        <w:rPr>
          <w:rFonts w:ascii="宋体" w:hAnsi="宋体" w:eastAsia="宋体" w:cs="宋体"/>
          <w:spacing w:val="-5"/>
          <w:sz w:val="24"/>
          <w:szCs w:val="24"/>
        </w:rPr>
        <w:t>性特征由新至老分述如下：</w:t>
      </w:r>
    </w:p>
    <w:p>
      <w:pPr>
        <w:spacing w:before="195" w:line="369" w:lineRule="auto"/>
        <w:ind w:left="43" w:right="81" w:firstLine="478"/>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第四系冲洪积层（</w:t>
      </w:r>
      <w:r>
        <w:rPr>
          <w:rFonts w:ascii="Times New Roman" w:hAnsi="Times New Roman" w:eastAsia="Times New Roman" w:cs="Times New Roman"/>
          <w:b/>
          <w:bCs/>
          <w:spacing w:val="-4"/>
          <w:sz w:val="24"/>
          <w:szCs w:val="24"/>
        </w:rPr>
        <w:t>Q</w:t>
      </w:r>
      <w:r>
        <w:rPr>
          <w:rFonts w:ascii="Times New Roman" w:hAnsi="Times New Roman" w:eastAsia="Times New Roman" w:cs="Times New Roman"/>
          <w:b/>
          <w:bCs/>
          <w:spacing w:val="-4"/>
          <w:position w:val="7"/>
          <w:sz w:val="15"/>
          <w:szCs w:val="15"/>
        </w:rPr>
        <w:t>alp</w:t>
      </w:r>
      <w:r>
        <w:rPr>
          <w:rFonts w:ascii="宋体" w:hAnsi="宋体" w:eastAsia="宋体" w:cs="宋体"/>
          <w:spacing w:val="-60"/>
          <w:w w:val="93"/>
          <w:sz w:val="24"/>
          <w:szCs w:val="24"/>
          <w14:textOutline w14:w="4354" w14:cap="flat" w14:cmpd="sng">
            <w14:solidFill>
              <w14:srgbClr w14:val="000000"/>
            </w14:solidFill>
            <w14:prstDash w14:val="solid"/>
            <w14:miter w14:val="0"/>
          </w14:textOutline>
        </w:rPr>
        <w:t>）：</w:t>
      </w:r>
      <w:r>
        <w:rPr>
          <w:rFonts w:ascii="宋体" w:hAnsi="宋体" w:eastAsia="宋体" w:cs="宋体"/>
          <w:spacing w:val="-4"/>
          <w:sz w:val="24"/>
          <w:szCs w:val="24"/>
          <w14:textOutline w14:w="4354" w14:cap="flat" w14:cmpd="sng">
            <w14:solidFill>
              <w14:srgbClr w14:val="000000"/>
            </w14:solidFill>
            <w14:prstDash w14:val="solid"/>
            <w14:miter w14:val="0"/>
          </w14:textOutline>
        </w:rPr>
        <w:t>厚度</w:t>
      </w:r>
      <w:r>
        <w:rPr>
          <w:rFonts w:ascii="宋体" w:hAnsi="宋体" w:eastAsia="宋体" w:cs="宋体"/>
          <w:spacing w:val="-39"/>
          <w:sz w:val="24"/>
          <w:szCs w:val="24"/>
        </w:rPr>
        <w:t xml:space="preserve"> </w:t>
      </w:r>
      <w:r>
        <w:rPr>
          <w:rFonts w:ascii="Times New Roman" w:hAnsi="Times New Roman" w:eastAsia="Times New Roman" w:cs="Times New Roman"/>
          <w:b/>
          <w:bCs/>
          <w:spacing w:val="-4"/>
          <w:sz w:val="24"/>
          <w:szCs w:val="24"/>
        </w:rPr>
        <w:t>1</w:t>
      </w:r>
      <w:r>
        <w:rPr>
          <w:rFonts w:ascii="宋体" w:hAnsi="宋体" w:eastAsia="宋体" w:cs="宋体"/>
          <w:spacing w:val="-4"/>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4"/>
          <w:sz w:val="24"/>
          <w:szCs w:val="24"/>
        </w:rPr>
        <w:t>7m</w:t>
      </w:r>
      <w:r>
        <w:rPr>
          <w:rFonts w:ascii="宋体" w:hAnsi="宋体" w:eastAsia="宋体" w:cs="宋体"/>
          <w:spacing w:val="-4"/>
          <w:sz w:val="24"/>
          <w:szCs w:val="24"/>
          <w14:textOutline w14:w="4354" w14:cap="flat" w14:cmpd="sng">
            <w14:solidFill>
              <w14:srgbClr w14:val="000000"/>
            </w14:solidFill>
            <w14:prstDash w14:val="solid"/>
            <w14:miter w14:val="0"/>
          </w14:textOutline>
        </w:rPr>
        <w:t>，分布于库区河床，</w:t>
      </w:r>
      <w:r>
        <w:rPr>
          <w:rFonts w:ascii="宋体" w:hAnsi="宋体" w:eastAsia="宋体" w:cs="宋体"/>
          <w:spacing w:val="-4"/>
          <w:sz w:val="24"/>
          <w:szCs w:val="24"/>
        </w:rPr>
        <w:t>为紫红色含粘土细</w:t>
      </w:r>
      <w:r>
        <w:rPr>
          <w:rFonts w:ascii="宋体" w:hAnsi="宋体" w:eastAsia="宋体" w:cs="宋体"/>
          <w:sz w:val="24"/>
          <w:szCs w:val="24"/>
        </w:rPr>
        <w:t xml:space="preserve"> </w:t>
      </w:r>
      <w:r>
        <w:rPr>
          <w:rFonts w:ascii="宋体" w:hAnsi="宋体" w:eastAsia="宋体" w:cs="宋体"/>
          <w:spacing w:val="-11"/>
          <w:sz w:val="24"/>
          <w:szCs w:val="24"/>
        </w:rPr>
        <w:t>纱砾石层， 局部夹粉质粘土透镜体，</w:t>
      </w:r>
      <w:r>
        <w:rPr>
          <w:rFonts w:ascii="宋体" w:hAnsi="宋体" w:eastAsia="宋体" w:cs="宋体"/>
          <w:spacing w:val="45"/>
          <w:sz w:val="24"/>
          <w:szCs w:val="24"/>
        </w:rPr>
        <w:t xml:space="preserve"> </w:t>
      </w:r>
      <w:r>
        <w:rPr>
          <w:rFonts w:ascii="宋体" w:hAnsi="宋体" w:eastAsia="宋体" w:cs="宋体"/>
          <w:spacing w:val="-11"/>
          <w:sz w:val="24"/>
          <w:szCs w:val="24"/>
        </w:rPr>
        <w:t>砾石成分为粉砂质泥岩、粉砂岩、泥岩、相</w:t>
      </w:r>
    </w:p>
    <w:p>
      <w:pPr>
        <w:spacing w:before="1" w:line="220" w:lineRule="auto"/>
        <w:ind w:left="39"/>
        <w:rPr>
          <w:rFonts w:ascii="宋体" w:hAnsi="宋体" w:eastAsia="宋体" w:cs="宋体"/>
          <w:sz w:val="24"/>
          <w:szCs w:val="24"/>
        </w:rPr>
      </w:pPr>
      <w:r>
        <w:rPr>
          <w:rFonts w:ascii="宋体" w:hAnsi="宋体" w:eastAsia="宋体" w:cs="宋体"/>
          <w:spacing w:val="-5"/>
          <w:sz w:val="24"/>
          <w:szCs w:val="24"/>
        </w:rPr>
        <w:t>变大，厚度不均。</w:t>
      </w:r>
    </w:p>
    <w:p>
      <w:pPr>
        <w:spacing w:before="193" w:line="480" w:lineRule="exact"/>
        <w:ind w:left="521"/>
        <w:rPr>
          <w:rFonts w:ascii="宋体" w:hAnsi="宋体" w:eastAsia="宋体" w:cs="宋体"/>
          <w:sz w:val="24"/>
          <w:szCs w:val="24"/>
        </w:rPr>
      </w:pPr>
      <w:r>
        <w:rPr>
          <w:rFonts w:ascii="宋体" w:hAnsi="宋体" w:eastAsia="宋体" w:cs="宋体"/>
          <w:position w:val="18"/>
          <w:sz w:val="24"/>
          <w:szCs w:val="24"/>
          <w14:textOutline w14:w="4354" w14:cap="flat" w14:cmpd="sng">
            <w14:solidFill>
              <w14:srgbClr w14:val="000000"/>
            </w14:solidFill>
            <w14:prstDash w14:val="solid"/>
            <w14:miter w14:val="0"/>
          </w14:textOutline>
        </w:rPr>
        <w:t>第四系残坡积层（</w:t>
      </w:r>
      <w:r>
        <w:rPr>
          <w:rFonts w:ascii="Times New Roman" w:hAnsi="Times New Roman" w:eastAsia="Times New Roman" w:cs="Times New Roman"/>
          <w:b/>
          <w:bCs/>
          <w:position w:val="18"/>
          <w:sz w:val="24"/>
          <w:szCs w:val="24"/>
        </w:rPr>
        <w:t>Q</w:t>
      </w:r>
      <w:r>
        <w:rPr>
          <w:rFonts w:ascii="Times New Roman" w:hAnsi="Times New Roman" w:eastAsia="Times New Roman" w:cs="Times New Roman"/>
          <w:b/>
          <w:bCs/>
          <w:position w:val="25"/>
          <w:sz w:val="15"/>
          <w:szCs w:val="15"/>
        </w:rPr>
        <w:t>alp</w:t>
      </w:r>
      <w:r>
        <w:rPr>
          <w:rFonts w:ascii="宋体" w:hAnsi="宋体" w:eastAsia="宋体" w:cs="宋体"/>
          <w:spacing w:val="-44"/>
          <w:position w:val="18"/>
          <w:sz w:val="24"/>
          <w:szCs w:val="24"/>
          <w14:textOutline w14:w="4354" w14:cap="flat" w14:cmpd="sng">
            <w14:solidFill>
              <w14:srgbClr w14:val="000000"/>
            </w14:solidFill>
            <w14:prstDash w14:val="solid"/>
            <w14:miter w14:val="0"/>
          </w14:textOutline>
        </w:rPr>
        <w:t>）：</w:t>
      </w:r>
      <w:r>
        <w:rPr>
          <w:rFonts w:ascii="宋体" w:hAnsi="宋体" w:eastAsia="宋体" w:cs="宋体"/>
          <w:position w:val="18"/>
          <w:sz w:val="24"/>
          <w:szCs w:val="24"/>
          <w14:textOutline w14:w="4354" w14:cap="flat" w14:cmpd="sng">
            <w14:solidFill>
              <w14:srgbClr w14:val="000000"/>
            </w14:solidFill>
            <w14:prstDash w14:val="solid"/>
            <w14:miter w14:val="0"/>
          </w14:textOutline>
        </w:rPr>
        <w:t>厚度</w:t>
      </w:r>
      <w:r>
        <w:rPr>
          <w:rFonts w:ascii="宋体" w:hAnsi="宋体" w:eastAsia="宋体" w:cs="宋体"/>
          <w:position w:val="18"/>
          <w:sz w:val="24"/>
          <w:szCs w:val="24"/>
        </w:rPr>
        <w:t xml:space="preserve"> </w:t>
      </w:r>
      <w:r>
        <w:rPr>
          <w:rFonts w:ascii="Times New Roman" w:hAnsi="Times New Roman" w:eastAsia="Times New Roman" w:cs="Times New Roman"/>
          <w:b/>
          <w:bCs/>
          <w:position w:val="18"/>
          <w:sz w:val="24"/>
          <w:szCs w:val="24"/>
        </w:rPr>
        <w:t>1</w:t>
      </w:r>
      <w:r>
        <w:rPr>
          <w:rFonts w:ascii="宋体" w:hAnsi="宋体" w:eastAsia="宋体" w:cs="宋体"/>
          <w:position w:val="18"/>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position w:val="18"/>
          <w:sz w:val="24"/>
          <w:szCs w:val="24"/>
        </w:rPr>
        <w:t>6m</w:t>
      </w:r>
      <w:r>
        <w:rPr>
          <w:rFonts w:ascii="宋体" w:hAnsi="宋体" w:eastAsia="宋体" w:cs="宋体"/>
          <w:position w:val="18"/>
          <w:sz w:val="24"/>
          <w:szCs w:val="24"/>
          <w14:textOutline w14:w="4354" w14:cap="flat" w14:cmpd="sng">
            <w14:solidFill>
              <w14:srgbClr w14:val="000000"/>
            </w14:solidFill>
            <w14:prstDash w14:val="solid"/>
            <w14:miter w14:val="0"/>
          </w14:textOutline>
        </w:rPr>
        <w:t>，分布于水库河床两岸凹地，</w:t>
      </w:r>
      <w:r>
        <w:rPr>
          <w:rFonts w:ascii="宋体" w:hAnsi="宋体" w:eastAsia="宋体" w:cs="宋体"/>
          <w:position w:val="18"/>
          <w:sz w:val="24"/>
          <w:szCs w:val="24"/>
        </w:rPr>
        <w:t>为紫红</w:t>
      </w:r>
    </w:p>
    <w:p>
      <w:pPr>
        <w:spacing w:before="1" w:line="219" w:lineRule="auto"/>
        <w:ind w:left="42"/>
        <w:rPr>
          <w:rFonts w:ascii="宋体" w:hAnsi="宋体" w:eastAsia="宋体" w:cs="宋体"/>
          <w:sz w:val="24"/>
          <w:szCs w:val="24"/>
        </w:rPr>
      </w:pPr>
      <w:r>
        <w:rPr>
          <w:rFonts w:ascii="宋体" w:hAnsi="宋体" w:eastAsia="宋体" w:cs="宋体"/>
          <w:spacing w:val="-3"/>
          <w:sz w:val="24"/>
          <w:szCs w:val="24"/>
        </w:rPr>
        <w:t>色、含碎石粘土、砂质粘土、粉质粘土。</w:t>
      </w:r>
    </w:p>
    <w:p>
      <w:pPr>
        <w:spacing w:before="195" w:line="480" w:lineRule="exact"/>
        <w:ind w:left="523"/>
        <w:rPr>
          <w:rFonts w:ascii="宋体" w:hAnsi="宋体" w:eastAsia="宋体" w:cs="宋体"/>
          <w:sz w:val="24"/>
          <w:szCs w:val="24"/>
        </w:rPr>
      </w:pPr>
      <w:r>
        <w:rPr>
          <w:rFonts w:ascii="宋体" w:hAnsi="宋体" w:eastAsia="宋体" w:cs="宋体"/>
          <w:spacing w:val="-2"/>
          <w:position w:val="18"/>
          <w:sz w:val="24"/>
          <w:szCs w:val="24"/>
          <w14:textOutline w14:w="4354" w14:cap="flat" w14:cmpd="sng">
            <w14:solidFill>
              <w14:srgbClr w14:val="000000"/>
            </w14:solidFill>
            <w14:prstDash w14:val="solid"/>
            <w14:miter w14:val="0"/>
          </w14:textOutline>
        </w:rPr>
        <w:t>泥石流堆积层（</w:t>
      </w:r>
      <w:r>
        <w:rPr>
          <w:rFonts w:ascii="Times New Roman" w:hAnsi="Times New Roman" w:eastAsia="Times New Roman" w:cs="Times New Roman"/>
          <w:b/>
          <w:bCs/>
          <w:spacing w:val="-2"/>
          <w:position w:val="18"/>
          <w:sz w:val="24"/>
          <w:szCs w:val="24"/>
        </w:rPr>
        <w:t>Q</w:t>
      </w:r>
      <w:r>
        <w:rPr>
          <w:rFonts w:ascii="Times New Roman" w:hAnsi="Times New Roman" w:eastAsia="Times New Roman" w:cs="Times New Roman"/>
          <w:b/>
          <w:bCs/>
          <w:spacing w:val="-2"/>
          <w:position w:val="25"/>
          <w:sz w:val="15"/>
          <w:szCs w:val="15"/>
        </w:rPr>
        <w:t>df</w:t>
      </w:r>
      <w:r>
        <w:rPr>
          <w:rFonts w:ascii="宋体" w:hAnsi="宋体" w:eastAsia="宋体" w:cs="宋体"/>
          <w:spacing w:val="-62"/>
          <w:w w:val="97"/>
          <w:position w:val="18"/>
          <w:sz w:val="24"/>
          <w:szCs w:val="24"/>
          <w14:textOutline w14:w="4354" w14:cap="flat" w14:cmpd="sng">
            <w14:solidFill>
              <w14:srgbClr w14:val="000000"/>
            </w14:solidFill>
            <w14:prstDash w14:val="solid"/>
            <w14:miter w14:val="0"/>
          </w14:textOutline>
        </w:rPr>
        <w:t>）：</w:t>
      </w:r>
      <w:r>
        <w:rPr>
          <w:rFonts w:ascii="宋体" w:hAnsi="宋体" w:eastAsia="宋体" w:cs="宋体"/>
          <w:spacing w:val="-2"/>
          <w:position w:val="18"/>
          <w:sz w:val="24"/>
          <w:szCs w:val="24"/>
          <w14:textOutline w14:w="4354" w14:cap="flat" w14:cmpd="sng">
            <w14:solidFill>
              <w14:srgbClr w14:val="000000"/>
            </w14:solidFill>
            <w14:prstDash w14:val="solid"/>
            <w14:miter w14:val="0"/>
          </w14:textOutline>
        </w:rPr>
        <w:t>厚度</w:t>
      </w:r>
      <w:r>
        <w:rPr>
          <w:rFonts w:ascii="宋体" w:hAnsi="宋体" w:eastAsia="宋体" w:cs="宋体"/>
          <w:spacing w:val="-52"/>
          <w:position w:val="18"/>
          <w:sz w:val="24"/>
          <w:szCs w:val="24"/>
        </w:rPr>
        <w:t xml:space="preserve"> </w:t>
      </w:r>
      <w:r>
        <w:rPr>
          <w:rFonts w:ascii="Times New Roman" w:hAnsi="Times New Roman" w:eastAsia="Times New Roman" w:cs="Times New Roman"/>
          <w:b/>
          <w:bCs/>
          <w:spacing w:val="-2"/>
          <w:position w:val="18"/>
          <w:sz w:val="24"/>
          <w:szCs w:val="24"/>
        </w:rPr>
        <w:t>4</w:t>
      </w:r>
      <w:r>
        <w:rPr>
          <w:rFonts w:ascii="宋体" w:hAnsi="宋体" w:eastAsia="宋体" w:cs="宋体"/>
          <w:spacing w:val="-2"/>
          <w:position w:val="18"/>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2"/>
          <w:position w:val="18"/>
          <w:sz w:val="24"/>
          <w:szCs w:val="24"/>
        </w:rPr>
        <w:t>9m</w:t>
      </w:r>
      <w:r>
        <w:rPr>
          <w:rFonts w:ascii="宋体" w:hAnsi="宋体" w:eastAsia="宋体" w:cs="宋体"/>
          <w:spacing w:val="-2"/>
          <w:position w:val="18"/>
          <w:sz w:val="24"/>
          <w:szCs w:val="24"/>
          <w14:textOutline w14:w="4354" w14:cap="flat" w14:cmpd="sng">
            <w14:solidFill>
              <w14:srgbClr w14:val="000000"/>
            </w14:solidFill>
            <w14:prstDash w14:val="solid"/>
            <w14:miter w14:val="0"/>
          </w14:textOutline>
        </w:rPr>
        <w:t>，分布于且磨刀泥</w:t>
      </w:r>
      <w:r>
        <w:rPr>
          <w:rFonts w:ascii="宋体" w:hAnsi="宋体" w:eastAsia="宋体" w:cs="宋体"/>
          <w:spacing w:val="-3"/>
          <w:position w:val="18"/>
          <w:sz w:val="24"/>
          <w:szCs w:val="24"/>
          <w14:textOutline w14:w="4354" w14:cap="flat" w14:cmpd="sng">
            <w14:solidFill>
              <w14:srgbClr w14:val="000000"/>
            </w14:solidFill>
            <w14:prstDash w14:val="solid"/>
            <w14:miter w14:val="0"/>
          </w14:textOutline>
        </w:rPr>
        <w:t>石流沟，</w:t>
      </w:r>
      <w:r>
        <w:rPr>
          <w:rFonts w:ascii="宋体" w:hAnsi="宋体" w:eastAsia="宋体" w:cs="宋体"/>
          <w:spacing w:val="-3"/>
          <w:position w:val="18"/>
          <w:sz w:val="24"/>
          <w:szCs w:val="24"/>
        </w:rPr>
        <w:t>为紫红、浅灰</w:t>
      </w:r>
    </w:p>
    <w:p>
      <w:pPr>
        <w:spacing w:line="219" w:lineRule="auto"/>
        <w:ind w:left="45"/>
        <w:rPr>
          <w:rFonts w:ascii="宋体" w:hAnsi="宋体" w:eastAsia="宋体" w:cs="宋体"/>
          <w:sz w:val="24"/>
          <w:szCs w:val="24"/>
        </w:rPr>
      </w:pPr>
      <w:r>
        <w:rPr>
          <w:rFonts w:ascii="宋体" w:hAnsi="宋体" w:eastAsia="宋体" w:cs="宋体"/>
          <w:spacing w:val="-2"/>
          <w:sz w:val="24"/>
          <w:szCs w:val="24"/>
        </w:rPr>
        <w:t>紫色块石、碎石、粘土质泥砂块、碎石，局部夹粘土质砂透镜体。</w:t>
      </w:r>
    </w:p>
    <w:p>
      <w:pPr>
        <w:spacing w:before="195" w:line="480" w:lineRule="exact"/>
        <w:ind w:left="522"/>
        <w:rPr>
          <w:rFonts w:ascii="宋体" w:hAnsi="宋体" w:eastAsia="宋体" w:cs="宋体"/>
          <w:sz w:val="24"/>
          <w:szCs w:val="24"/>
        </w:rPr>
      </w:pPr>
      <w:r>
        <w:rPr>
          <w:rFonts w:ascii="宋体" w:hAnsi="宋体" w:eastAsia="宋体" w:cs="宋体"/>
          <w:spacing w:val="-3"/>
          <w:position w:val="18"/>
          <w:sz w:val="24"/>
          <w:szCs w:val="24"/>
          <w14:textOutline w14:w="4354" w14:cap="flat" w14:cmpd="sng">
            <w14:solidFill>
              <w14:srgbClr w14:val="000000"/>
            </w14:solidFill>
            <w14:prstDash w14:val="solid"/>
            <w14:miter w14:val="0"/>
          </w14:textOutline>
        </w:rPr>
        <w:t>江底河组上杂色泥岩段（</w:t>
      </w:r>
      <w:r>
        <w:rPr>
          <w:rFonts w:ascii="Times New Roman" w:hAnsi="Times New Roman" w:eastAsia="Times New Roman" w:cs="Times New Roman"/>
          <w:b/>
          <w:bCs/>
          <w:spacing w:val="-3"/>
          <w:position w:val="18"/>
          <w:sz w:val="24"/>
          <w:szCs w:val="24"/>
        </w:rPr>
        <w:t>K</w:t>
      </w:r>
      <w:r>
        <w:rPr>
          <w:rFonts w:ascii="Times New Roman" w:hAnsi="Times New Roman" w:eastAsia="Times New Roman" w:cs="Times New Roman"/>
          <w:b/>
          <w:bCs/>
          <w:spacing w:val="-3"/>
          <w:position w:val="16"/>
          <w:sz w:val="15"/>
          <w:szCs w:val="15"/>
        </w:rPr>
        <w:t>2</w:t>
      </w:r>
      <w:r>
        <w:rPr>
          <w:rFonts w:ascii="Times New Roman" w:hAnsi="Times New Roman" w:eastAsia="Times New Roman" w:cs="Times New Roman"/>
          <w:b/>
          <w:bCs/>
          <w:spacing w:val="-3"/>
          <w:position w:val="18"/>
          <w:sz w:val="24"/>
          <w:szCs w:val="24"/>
        </w:rPr>
        <w:t>j</w:t>
      </w:r>
      <w:r>
        <w:rPr>
          <w:rFonts w:ascii="Times New Roman" w:hAnsi="Times New Roman" w:eastAsia="Times New Roman" w:cs="Times New Roman"/>
          <w:b/>
          <w:bCs/>
          <w:spacing w:val="-3"/>
          <w:position w:val="26"/>
          <w:sz w:val="15"/>
          <w:szCs w:val="15"/>
        </w:rPr>
        <w:t>3</w:t>
      </w:r>
      <w:r>
        <w:rPr>
          <w:rFonts w:ascii="宋体" w:hAnsi="宋体" w:eastAsia="宋体" w:cs="宋体"/>
          <w:spacing w:val="-60"/>
          <w:w w:val="95"/>
          <w:position w:val="18"/>
          <w:sz w:val="24"/>
          <w:szCs w:val="24"/>
          <w14:textOutline w14:w="4354" w14:cap="flat" w14:cmpd="sng">
            <w14:solidFill>
              <w14:srgbClr w14:val="000000"/>
            </w14:solidFill>
            <w14:prstDash w14:val="solid"/>
            <w14:miter w14:val="0"/>
          </w14:textOutline>
        </w:rPr>
        <w:t>），</w:t>
      </w:r>
      <w:r>
        <w:rPr>
          <w:rFonts w:ascii="宋体" w:hAnsi="宋体" w:eastAsia="宋体" w:cs="宋体"/>
          <w:spacing w:val="-3"/>
          <w:position w:val="18"/>
          <w:sz w:val="24"/>
          <w:szCs w:val="24"/>
          <w14:textOutline w14:w="4354" w14:cap="flat" w14:cmpd="sng">
            <w14:solidFill>
              <w14:srgbClr w14:val="000000"/>
            </w14:solidFill>
            <w14:prstDash w14:val="solid"/>
            <w14:miter w14:val="0"/>
          </w14:textOutline>
        </w:rPr>
        <w:t>厚度</w:t>
      </w:r>
      <w:r>
        <w:rPr>
          <w:rFonts w:ascii="宋体" w:hAnsi="宋体" w:eastAsia="宋体" w:cs="宋体"/>
          <w:spacing w:val="-46"/>
          <w:position w:val="18"/>
          <w:sz w:val="24"/>
          <w:szCs w:val="24"/>
        </w:rPr>
        <w:t xml:space="preserve"> </w:t>
      </w:r>
      <w:r>
        <w:rPr>
          <w:rFonts w:ascii="Times New Roman" w:hAnsi="Times New Roman" w:eastAsia="Times New Roman" w:cs="Times New Roman"/>
          <w:b/>
          <w:bCs/>
          <w:spacing w:val="-3"/>
          <w:position w:val="18"/>
          <w:sz w:val="24"/>
          <w:szCs w:val="24"/>
        </w:rPr>
        <w:t>90</w:t>
      </w:r>
      <w:r>
        <w:rPr>
          <w:rFonts w:ascii="宋体" w:hAnsi="宋体" w:eastAsia="宋体" w:cs="宋体"/>
          <w:spacing w:val="-3"/>
          <w:position w:val="18"/>
          <w:sz w:val="24"/>
          <w:szCs w:val="24"/>
          <w14:textOutline w14:w="4354" w14:cap="flat" w14:cmpd="sng">
            <w14:solidFill>
              <w14:srgbClr w14:val="000000"/>
            </w14:solidFill>
            <w14:prstDash w14:val="solid"/>
            <w14:miter w14:val="0"/>
          </w14:textOutline>
        </w:rPr>
        <w:t>～</w:t>
      </w:r>
      <w:r>
        <w:rPr>
          <w:rFonts w:ascii="Times New Roman" w:hAnsi="Times New Roman" w:eastAsia="Times New Roman" w:cs="Times New Roman"/>
          <w:b/>
          <w:bCs/>
          <w:spacing w:val="-3"/>
          <w:position w:val="18"/>
          <w:sz w:val="24"/>
          <w:szCs w:val="24"/>
        </w:rPr>
        <w:t>477.7m</w:t>
      </w:r>
      <w:r>
        <w:rPr>
          <w:rFonts w:ascii="宋体" w:hAnsi="宋体" w:eastAsia="宋体" w:cs="宋体"/>
          <w:spacing w:val="-3"/>
          <w:position w:val="18"/>
          <w:sz w:val="24"/>
          <w:szCs w:val="24"/>
          <w14:textOutline w14:w="4354" w14:cap="flat" w14:cmpd="sng">
            <w14:solidFill>
              <w14:srgbClr w14:val="000000"/>
            </w14:solidFill>
            <w14:prstDash w14:val="solid"/>
            <w14:miter w14:val="0"/>
          </w14:textOutline>
        </w:rPr>
        <w:t>（库区范围未见顶和底</w:t>
      </w:r>
      <w:r>
        <w:rPr>
          <w:rFonts w:ascii="宋体" w:hAnsi="宋体" w:eastAsia="宋体" w:cs="宋体"/>
          <w:spacing w:val="-60"/>
          <w:w w:val="95"/>
          <w:position w:val="18"/>
          <w:sz w:val="24"/>
          <w:szCs w:val="24"/>
          <w14:textOutline w14:w="4354" w14:cap="flat" w14:cmpd="sng">
            <w14:solidFill>
              <w14:srgbClr w14:val="000000"/>
            </w14:solidFill>
            <w14:prstDash w14:val="solid"/>
            <w14:miter w14:val="0"/>
          </w14:textOutline>
        </w:rPr>
        <w:t>），</w:t>
      </w:r>
    </w:p>
    <w:p>
      <w:pPr>
        <w:spacing w:before="1" w:line="219" w:lineRule="auto"/>
        <w:ind w:left="41"/>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0"/>
          </w14:textOutline>
        </w:rPr>
        <w:t>按岩性、岩相组合特征分为十二小层：</w:t>
      </w:r>
    </w:p>
    <w:p>
      <w:pPr>
        <w:spacing w:before="194" w:line="480" w:lineRule="exact"/>
        <w:ind w:left="519"/>
        <w:rPr>
          <w:rFonts w:ascii="宋体" w:hAnsi="宋体" w:eastAsia="宋体" w:cs="宋体"/>
          <w:sz w:val="24"/>
          <w:szCs w:val="24"/>
        </w:rPr>
      </w:pPr>
      <w:r>
        <w:rPr>
          <w:rFonts w:ascii="宋体" w:hAnsi="宋体" w:eastAsia="宋体" w:cs="宋体"/>
          <w:spacing w:val="-3"/>
          <w:position w:val="18"/>
          <w:sz w:val="24"/>
          <w:szCs w:val="24"/>
        </w:rPr>
        <w:t>第十二层（</w:t>
      </w:r>
      <w:r>
        <w:rPr>
          <w:rFonts w:ascii="Times New Roman" w:hAnsi="Times New Roman" w:eastAsia="Times New Roman" w:cs="Times New Roman"/>
          <w:spacing w:val="-3"/>
          <w:position w:val="18"/>
          <w:sz w:val="24"/>
          <w:szCs w:val="24"/>
        </w:rPr>
        <w:t>K</w:t>
      </w:r>
      <w:r>
        <w:rPr>
          <w:rFonts w:ascii="Times New Roman" w:hAnsi="Times New Roman" w:eastAsia="Times New Roman" w:cs="Times New Roman"/>
          <w:spacing w:val="-3"/>
          <w:position w:val="17"/>
          <w:sz w:val="15"/>
          <w:szCs w:val="15"/>
        </w:rPr>
        <w:t>2</w:t>
      </w:r>
      <w:r>
        <w:rPr>
          <w:rFonts w:ascii="Times New Roman" w:hAnsi="Times New Roman" w:eastAsia="Times New Roman" w:cs="Times New Roman"/>
          <w:spacing w:val="-3"/>
          <w:position w:val="18"/>
          <w:sz w:val="24"/>
          <w:szCs w:val="24"/>
        </w:rPr>
        <w:t>j</w:t>
      </w:r>
      <w:r>
        <w:rPr>
          <w:rFonts w:ascii="Times New Roman" w:hAnsi="Times New Roman" w:eastAsia="Times New Roman" w:cs="Times New Roman"/>
          <w:spacing w:val="-3"/>
          <w:position w:val="26"/>
          <w:sz w:val="15"/>
          <w:szCs w:val="15"/>
        </w:rPr>
        <w:t>3-</w:t>
      </w:r>
      <w:r>
        <w:rPr>
          <w:rFonts w:ascii="Times New Roman" w:hAnsi="Times New Roman" w:eastAsia="Times New Roman" w:cs="Times New Roman"/>
          <w:spacing w:val="-16"/>
          <w:position w:val="26"/>
          <w:sz w:val="15"/>
          <w:szCs w:val="15"/>
        </w:rPr>
        <w:t xml:space="preserve"> </w:t>
      </w:r>
      <w:r>
        <w:rPr>
          <w:rFonts w:ascii="Times New Roman" w:hAnsi="Times New Roman" w:eastAsia="Times New Roman" w:cs="Times New Roman"/>
          <w:spacing w:val="-3"/>
          <w:position w:val="26"/>
          <w:sz w:val="15"/>
          <w:szCs w:val="15"/>
        </w:rPr>
        <w:t>12</w:t>
      </w:r>
      <w:r>
        <w:rPr>
          <w:rFonts w:ascii="宋体" w:hAnsi="宋体" w:eastAsia="宋体" w:cs="宋体"/>
          <w:spacing w:val="-62"/>
          <w:w w:val="96"/>
          <w:position w:val="18"/>
          <w:sz w:val="24"/>
          <w:szCs w:val="24"/>
        </w:rPr>
        <w:t>）：</w:t>
      </w:r>
      <w:r>
        <w:rPr>
          <w:rFonts w:ascii="宋体" w:hAnsi="宋体" w:eastAsia="宋体" w:cs="宋体"/>
          <w:spacing w:val="-3"/>
          <w:position w:val="18"/>
          <w:sz w:val="24"/>
          <w:szCs w:val="24"/>
        </w:rPr>
        <w:t>紫红色厚层～块状粉砂质</w:t>
      </w:r>
      <w:r>
        <w:rPr>
          <w:rFonts w:ascii="宋体" w:hAnsi="宋体" w:eastAsia="宋体" w:cs="宋体"/>
          <w:spacing w:val="-4"/>
          <w:position w:val="18"/>
          <w:sz w:val="24"/>
          <w:szCs w:val="24"/>
        </w:rPr>
        <w:t>泥岩、局部夹薄层灰绿色灰质</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泥岩、紫红色中厚层状长石石英细砂岩。</w:t>
      </w:r>
    </w:p>
    <w:p>
      <w:pPr>
        <w:spacing w:before="195" w:line="212" w:lineRule="auto"/>
        <w:ind w:left="519"/>
        <w:rPr>
          <w:rFonts w:ascii="宋体" w:hAnsi="宋体" w:eastAsia="宋体" w:cs="宋体"/>
          <w:sz w:val="24"/>
          <w:szCs w:val="24"/>
        </w:rPr>
      </w:pPr>
      <w:r>
        <w:rPr>
          <w:rFonts w:ascii="宋体" w:hAnsi="宋体" w:eastAsia="宋体" w:cs="宋体"/>
          <w:spacing w:val="-21"/>
          <w:sz w:val="24"/>
          <w:szCs w:val="24"/>
        </w:rPr>
        <w:t>第十一层（</w:t>
      </w:r>
      <w:r>
        <w:rPr>
          <w:rFonts w:ascii="Times New Roman" w:hAnsi="Times New Roman" w:eastAsia="Times New Roman" w:cs="Times New Roman"/>
          <w:spacing w:val="-21"/>
          <w:sz w:val="24"/>
          <w:szCs w:val="24"/>
        </w:rPr>
        <w:t>K</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pacing w:val="-7"/>
          <w:sz w:val="24"/>
          <w:szCs w:val="24"/>
        </w:rPr>
        <w:t>j</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16"/>
          <w:position w:val="8"/>
          <w:sz w:val="15"/>
          <w:szCs w:val="15"/>
        </w:rPr>
        <w:t xml:space="preserve"> </w:t>
      </w:r>
      <w:r>
        <w:rPr>
          <w:rFonts w:ascii="Times New Roman" w:hAnsi="Times New Roman" w:eastAsia="Times New Roman" w:cs="Times New Roman"/>
          <w:spacing w:val="-7"/>
          <w:position w:val="8"/>
          <w:sz w:val="15"/>
          <w:szCs w:val="15"/>
        </w:rPr>
        <w:t>11</w:t>
      </w:r>
      <w:r>
        <w:rPr>
          <w:rFonts w:ascii="宋体" w:hAnsi="宋体" w:eastAsia="宋体" w:cs="宋体"/>
          <w:spacing w:val="-48"/>
          <w:w w:val="74"/>
          <w:sz w:val="24"/>
          <w:szCs w:val="24"/>
        </w:rPr>
        <w:t>）：</w:t>
      </w:r>
      <w:r>
        <w:rPr>
          <w:rFonts w:ascii="宋体" w:hAnsi="宋体" w:eastAsia="宋体" w:cs="宋体"/>
          <w:spacing w:val="-7"/>
          <w:sz w:val="24"/>
          <w:szCs w:val="24"/>
        </w:rPr>
        <w:t>紫红色中厚层状粉砂质泥岩夹</w:t>
      </w:r>
      <w:r>
        <w:rPr>
          <w:rFonts w:ascii="宋体" w:hAnsi="宋体" w:eastAsia="宋体" w:cs="宋体"/>
          <w:spacing w:val="-8"/>
          <w:sz w:val="24"/>
          <w:szCs w:val="24"/>
        </w:rPr>
        <w:t>泥岩，</w:t>
      </w:r>
      <w:r>
        <w:rPr>
          <w:rFonts w:ascii="宋体" w:hAnsi="宋体" w:eastAsia="宋体" w:cs="宋体"/>
          <w:spacing w:val="-50"/>
          <w:sz w:val="24"/>
          <w:szCs w:val="24"/>
        </w:rPr>
        <w:t xml:space="preserve"> </w:t>
      </w:r>
      <w:r>
        <w:rPr>
          <w:rFonts w:ascii="宋体" w:hAnsi="宋体" w:eastAsia="宋体" w:cs="宋体"/>
          <w:spacing w:val="-8"/>
          <w:sz w:val="24"/>
          <w:szCs w:val="24"/>
        </w:rPr>
        <w:t>局部夹薄层粉砂岩。</w:t>
      </w:r>
    </w:p>
    <w:p>
      <w:pPr>
        <w:spacing w:before="204" w:line="480" w:lineRule="exact"/>
        <w:ind w:left="519"/>
        <w:rPr>
          <w:rFonts w:ascii="宋体" w:hAnsi="宋体" w:eastAsia="宋体" w:cs="宋体"/>
          <w:sz w:val="24"/>
          <w:szCs w:val="24"/>
        </w:rPr>
      </w:pPr>
      <w:r>
        <w:rPr>
          <w:rFonts w:ascii="宋体" w:hAnsi="宋体" w:eastAsia="宋体" w:cs="宋体"/>
          <w:spacing w:val="-3"/>
          <w:position w:val="18"/>
          <w:sz w:val="24"/>
          <w:szCs w:val="24"/>
        </w:rPr>
        <w:t>第十层（</w:t>
      </w:r>
      <w:r>
        <w:rPr>
          <w:rFonts w:ascii="Times New Roman" w:hAnsi="Times New Roman" w:eastAsia="Times New Roman" w:cs="Times New Roman"/>
          <w:spacing w:val="-3"/>
          <w:position w:val="18"/>
          <w:sz w:val="24"/>
          <w:szCs w:val="24"/>
        </w:rPr>
        <w:t>K</w:t>
      </w:r>
      <w:r>
        <w:rPr>
          <w:rFonts w:ascii="Times New Roman" w:hAnsi="Times New Roman" w:eastAsia="Times New Roman" w:cs="Times New Roman"/>
          <w:spacing w:val="-3"/>
          <w:position w:val="17"/>
          <w:sz w:val="15"/>
          <w:szCs w:val="15"/>
        </w:rPr>
        <w:t>2</w:t>
      </w:r>
      <w:r>
        <w:rPr>
          <w:rFonts w:ascii="Times New Roman" w:hAnsi="Times New Roman" w:eastAsia="Times New Roman" w:cs="Times New Roman"/>
          <w:spacing w:val="-3"/>
          <w:position w:val="18"/>
          <w:sz w:val="24"/>
          <w:szCs w:val="24"/>
        </w:rPr>
        <w:t>j</w:t>
      </w:r>
      <w:r>
        <w:rPr>
          <w:rFonts w:ascii="Times New Roman" w:hAnsi="Times New Roman" w:eastAsia="Times New Roman" w:cs="Times New Roman"/>
          <w:spacing w:val="-3"/>
          <w:position w:val="26"/>
          <w:sz w:val="15"/>
          <w:szCs w:val="15"/>
        </w:rPr>
        <w:t>3-</w:t>
      </w:r>
      <w:r>
        <w:rPr>
          <w:rFonts w:ascii="Times New Roman" w:hAnsi="Times New Roman" w:eastAsia="Times New Roman" w:cs="Times New Roman"/>
          <w:spacing w:val="-19"/>
          <w:position w:val="26"/>
          <w:sz w:val="15"/>
          <w:szCs w:val="15"/>
        </w:rPr>
        <w:t xml:space="preserve"> </w:t>
      </w:r>
      <w:r>
        <w:rPr>
          <w:rFonts w:ascii="Times New Roman" w:hAnsi="Times New Roman" w:eastAsia="Times New Roman" w:cs="Times New Roman"/>
          <w:spacing w:val="-3"/>
          <w:position w:val="26"/>
          <w:sz w:val="15"/>
          <w:szCs w:val="15"/>
        </w:rPr>
        <w:t>10</w:t>
      </w:r>
      <w:r>
        <w:rPr>
          <w:rFonts w:ascii="宋体" w:hAnsi="宋体" w:eastAsia="宋体" w:cs="宋体"/>
          <w:spacing w:val="-61"/>
          <w:position w:val="18"/>
          <w:sz w:val="24"/>
          <w:szCs w:val="24"/>
        </w:rPr>
        <w:t>）：</w:t>
      </w:r>
      <w:r>
        <w:rPr>
          <w:rFonts w:ascii="宋体" w:hAnsi="宋体" w:eastAsia="宋体" w:cs="宋体"/>
          <w:spacing w:val="-3"/>
          <w:position w:val="18"/>
          <w:sz w:val="24"/>
          <w:szCs w:val="24"/>
        </w:rPr>
        <w:t>紫红色厚层～中厚层状粉砂质泥岩、泥岩夹灰绿色（风化</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呈姜黄色）中厚层状钙质泥岩、粉砂质条带。</w:t>
      </w:r>
    </w:p>
    <w:p>
      <w:pPr>
        <w:spacing w:before="195" w:line="480" w:lineRule="exact"/>
        <w:jc w:val="right"/>
        <w:rPr>
          <w:rFonts w:ascii="宋体" w:hAnsi="宋体" w:eastAsia="宋体" w:cs="宋体"/>
          <w:sz w:val="24"/>
          <w:szCs w:val="24"/>
        </w:rPr>
      </w:pPr>
      <w:r>
        <w:rPr>
          <w:rFonts w:ascii="宋体" w:hAnsi="宋体" w:eastAsia="宋体" w:cs="宋体"/>
          <w:spacing w:val="1"/>
          <w:position w:val="18"/>
          <w:sz w:val="24"/>
          <w:szCs w:val="24"/>
        </w:rPr>
        <w:t>第九层（</w:t>
      </w:r>
      <w:r>
        <w:rPr>
          <w:rFonts w:ascii="Times New Roman" w:hAnsi="Times New Roman" w:eastAsia="Times New Roman" w:cs="Times New Roman"/>
          <w:spacing w:val="1"/>
          <w:position w:val="18"/>
          <w:sz w:val="24"/>
          <w:szCs w:val="24"/>
        </w:rPr>
        <w:t>K</w:t>
      </w:r>
      <w:r>
        <w:rPr>
          <w:rFonts w:ascii="Times New Roman" w:hAnsi="Times New Roman" w:eastAsia="Times New Roman" w:cs="Times New Roman"/>
          <w:spacing w:val="1"/>
          <w:position w:val="17"/>
          <w:sz w:val="15"/>
          <w:szCs w:val="15"/>
        </w:rPr>
        <w:t>2</w:t>
      </w:r>
      <w:r>
        <w:rPr>
          <w:rFonts w:ascii="Times New Roman" w:hAnsi="Times New Roman" w:eastAsia="Times New Roman" w:cs="Times New Roman"/>
          <w:spacing w:val="1"/>
          <w:position w:val="18"/>
          <w:sz w:val="24"/>
          <w:szCs w:val="24"/>
        </w:rPr>
        <w:t>j</w:t>
      </w:r>
      <w:r>
        <w:rPr>
          <w:rFonts w:ascii="Times New Roman" w:hAnsi="Times New Roman" w:eastAsia="Times New Roman" w:cs="Times New Roman"/>
          <w:spacing w:val="1"/>
          <w:position w:val="26"/>
          <w:sz w:val="15"/>
          <w:szCs w:val="15"/>
        </w:rPr>
        <w:t>3-9</w:t>
      </w:r>
      <w:r>
        <w:rPr>
          <w:rFonts w:ascii="宋体" w:hAnsi="宋体" w:eastAsia="宋体" w:cs="宋体"/>
          <w:spacing w:val="-46"/>
          <w:position w:val="18"/>
          <w:sz w:val="24"/>
          <w:szCs w:val="24"/>
        </w:rPr>
        <w:t>）：</w:t>
      </w:r>
      <w:r>
        <w:rPr>
          <w:rFonts w:ascii="宋体" w:hAnsi="宋体" w:eastAsia="宋体" w:cs="宋体"/>
          <w:spacing w:val="1"/>
          <w:position w:val="18"/>
          <w:sz w:val="24"/>
          <w:szCs w:val="24"/>
        </w:rPr>
        <w:t>紫红色中厚层状粉砂质泥岩、泥岩，局部夹薄层粉砂岩。</w:t>
      </w:r>
    </w:p>
    <w:p>
      <w:pPr>
        <w:spacing w:line="212" w:lineRule="auto"/>
        <w:ind w:left="519"/>
        <w:rPr>
          <w:rFonts w:ascii="宋体" w:hAnsi="宋体" w:eastAsia="宋体" w:cs="宋体"/>
          <w:sz w:val="24"/>
          <w:szCs w:val="24"/>
        </w:rPr>
      </w:pPr>
      <w:r>
        <w:rPr>
          <w:rFonts w:ascii="宋体" w:hAnsi="宋体" w:eastAsia="宋体" w:cs="宋体"/>
          <w:spacing w:val="-2"/>
          <w:sz w:val="24"/>
          <w:szCs w:val="24"/>
        </w:rPr>
        <w:t>第八层（</w:t>
      </w:r>
      <w:r>
        <w:rPr>
          <w:rFonts w:ascii="Times New Roman" w:hAnsi="Times New Roman" w:eastAsia="Times New Roman" w:cs="Times New Roman"/>
          <w:spacing w:val="-2"/>
          <w:sz w:val="24"/>
          <w:szCs w:val="24"/>
        </w:rPr>
        <w:t>K</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j</w:t>
      </w:r>
      <w:r>
        <w:rPr>
          <w:rFonts w:ascii="Times New Roman" w:hAnsi="Times New Roman" w:eastAsia="Times New Roman" w:cs="Times New Roman"/>
          <w:spacing w:val="-2"/>
          <w:position w:val="8"/>
          <w:sz w:val="15"/>
          <w:szCs w:val="15"/>
        </w:rPr>
        <w:t>3-8</w:t>
      </w:r>
      <w:r>
        <w:rPr>
          <w:rFonts w:ascii="宋体" w:hAnsi="宋体" w:eastAsia="宋体" w:cs="宋体"/>
          <w:spacing w:val="-49"/>
          <w:sz w:val="24"/>
          <w:szCs w:val="24"/>
        </w:rPr>
        <w:t>）：</w:t>
      </w:r>
      <w:r>
        <w:rPr>
          <w:rFonts w:ascii="宋体" w:hAnsi="宋体" w:eastAsia="宋体" w:cs="宋体"/>
          <w:spacing w:val="-2"/>
          <w:sz w:val="24"/>
          <w:szCs w:val="24"/>
        </w:rPr>
        <w:t>紫红色厚层状粉砂质泥岩夹薄～中厚层粉砂岩、薄层钙质</w:t>
      </w:r>
    </w:p>
    <w:p>
      <w:pPr>
        <w:spacing w:line="212" w:lineRule="auto"/>
        <w:rPr>
          <w:rFonts w:ascii="宋体" w:hAnsi="宋体" w:eastAsia="宋体" w:cs="宋体"/>
          <w:sz w:val="24"/>
          <w:szCs w:val="24"/>
        </w:rPr>
        <w:sectPr>
          <w:headerReference r:id="rId167" w:type="default"/>
          <w:footerReference r:id="rId168" w:type="default"/>
          <w:pgSz w:w="11907" w:h="16839"/>
          <w:pgMar w:top="1156" w:right="1717" w:bottom="1374" w:left="1770" w:header="881" w:footer="1210" w:gutter="0"/>
        </w:sectPr>
      </w:pPr>
    </w:p>
    <w:p>
      <w:pPr>
        <w:spacing w:line="381" w:lineRule="auto"/>
        <w:rPr>
          <w:rFonts w:ascii="Arial"/>
          <w:sz w:val="21"/>
        </w:rPr>
      </w:pPr>
    </w:p>
    <w:p>
      <w:pPr>
        <w:spacing w:before="78" w:line="220" w:lineRule="auto"/>
        <w:ind w:left="41"/>
        <w:rPr>
          <w:rFonts w:ascii="宋体" w:hAnsi="宋体" w:eastAsia="宋体" w:cs="宋体"/>
          <w:sz w:val="24"/>
          <w:szCs w:val="24"/>
        </w:rPr>
      </w:pPr>
      <w:r>
        <w:rPr>
          <w:rFonts w:ascii="宋体" w:hAnsi="宋体" w:eastAsia="宋体" w:cs="宋体"/>
          <w:spacing w:val="-11"/>
          <w:sz w:val="24"/>
          <w:szCs w:val="24"/>
        </w:rPr>
        <w:t>泥岩。</w:t>
      </w:r>
    </w:p>
    <w:p>
      <w:pPr>
        <w:spacing w:before="193" w:line="212" w:lineRule="auto"/>
        <w:ind w:left="519"/>
        <w:rPr>
          <w:rFonts w:ascii="宋体" w:hAnsi="宋体" w:eastAsia="宋体" w:cs="宋体"/>
          <w:sz w:val="24"/>
          <w:szCs w:val="24"/>
        </w:rPr>
      </w:pPr>
      <w:r>
        <w:rPr>
          <w:rFonts w:ascii="宋体" w:hAnsi="宋体" w:eastAsia="宋体" w:cs="宋体"/>
          <w:spacing w:val="-1"/>
          <w:sz w:val="24"/>
          <w:szCs w:val="24"/>
        </w:rPr>
        <w:t>第七层（</w:t>
      </w:r>
      <w:r>
        <w:rPr>
          <w:rFonts w:ascii="Times New Roman" w:hAnsi="Times New Roman" w:eastAsia="Times New Roman" w:cs="Times New Roman"/>
          <w:spacing w:val="-1"/>
          <w:sz w:val="24"/>
          <w:szCs w:val="24"/>
        </w:rPr>
        <w:t>K</w:t>
      </w:r>
      <w:r>
        <w:rPr>
          <w:rFonts w:ascii="Times New Roman" w:hAnsi="Times New Roman" w:eastAsia="Times New Roman" w:cs="Times New Roman"/>
          <w:spacing w:val="-1"/>
          <w:position w:val="-1"/>
          <w:sz w:val="15"/>
          <w:szCs w:val="15"/>
        </w:rPr>
        <w:t>2</w:t>
      </w:r>
      <w:r>
        <w:rPr>
          <w:rFonts w:ascii="Times New Roman" w:hAnsi="Times New Roman" w:eastAsia="Times New Roman" w:cs="Times New Roman"/>
          <w:spacing w:val="-1"/>
          <w:sz w:val="24"/>
          <w:szCs w:val="24"/>
        </w:rPr>
        <w:t>j</w:t>
      </w:r>
      <w:r>
        <w:rPr>
          <w:rFonts w:ascii="Times New Roman" w:hAnsi="Times New Roman" w:eastAsia="Times New Roman" w:cs="Times New Roman"/>
          <w:spacing w:val="-1"/>
          <w:position w:val="8"/>
          <w:sz w:val="15"/>
          <w:szCs w:val="15"/>
        </w:rPr>
        <w:t>3-7</w:t>
      </w:r>
      <w:r>
        <w:rPr>
          <w:rFonts w:ascii="宋体" w:hAnsi="宋体" w:eastAsia="宋体" w:cs="宋体"/>
          <w:spacing w:val="-59"/>
          <w:sz w:val="24"/>
          <w:szCs w:val="24"/>
        </w:rPr>
        <w:t>）：</w:t>
      </w:r>
      <w:r>
        <w:rPr>
          <w:rFonts w:ascii="宋体" w:hAnsi="宋体" w:eastAsia="宋体" w:cs="宋体"/>
          <w:spacing w:val="-1"/>
          <w:sz w:val="24"/>
          <w:szCs w:val="24"/>
        </w:rPr>
        <w:t>紫红色厚层～块状粉砂质泥岩、泥岩。</w:t>
      </w:r>
    </w:p>
    <w:p>
      <w:pPr>
        <w:spacing w:before="204" w:line="480" w:lineRule="exact"/>
        <w:ind w:left="519"/>
        <w:rPr>
          <w:rFonts w:ascii="宋体" w:hAnsi="宋体" w:eastAsia="宋体" w:cs="宋体"/>
          <w:sz w:val="24"/>
          <w:szCs w:val="24"/>
        </w:rPr>
      </w:pPr>
      <w:r>
        <w:rPr>
          <w:rFonts w:ascii="宋体" w:hAnsi="宋体" w:eastAsia="宋体" w:cs="宋体"/>
          <w:spacing w:val="-15"/>
          <w:position w:val="18"/>
          <w:sz w:val="24"/>
          <w:szCs w:val="24"/>
        </w:rPr>
        <w:t>第六层（</w:t>
      </w:r>
      <w:r>
        <w:rPr>
          <w:rFonts w:ascii="Times New Roman" w:hAnsi="Times New Roman" w:eastAsia="Times New Roman" w:cs="Times New Roman"/>
          <w:spacing w:val="-15"/>
          <w:position w:val="18"/>
          <w:sz w:val="24"/>
          <w:szCs w:val="24"/>
        </w:rPr>
        <w:t>K</w:t>
      </w:r>
      <w:r>
        <w:rPr>
          <w:rFonts w:ascii="Times New Roman" w:hAnsi="Times New Roman" w:eastAsia="Times New Roman" w:cs="Times New Roman"/>
          <w:spacing w:val="3"/>
          <w:position w:val="17"/>
          <w:sz w:val="15"/>
          <w:szCs w:val="15"/>
        </w:rPr>
        <w:t>2</w:t>
      </w:r>
      <w:r>
        <w:rPr>
          <w:rFonts w:ascii="Times New Roman" w:hAnsi="Times New Roman" w:eastAsia="Times New Roman" w:cs="Times New Roman"/>
          <w:spacing w:val="3"/>
          <w:position w:val="18"/>
          <w:sz w:val="24"/>
          <w:szCs w:val="24"/>
        </w:rPr>
        <w:t>j</w:t>
      </w:r>
      <w:r>
        <w:rPr>
          <w:rFonts w:ascii="Times New Roman" w:hAnsi="Times New Roman" w:eastAsia="Times New Roman" w:cs="Times New Roman"/>
          <w:spacing w:val="3"/>
          <w:position w:val="26"/>
          <w:sz w:val="15"/>
          <w:szCs w:val="15"/>
        </w:rPr>
        <w:t>3-6</w:t>
      </w:r>
      <w:r>
        <w:rPr>
          <w:rFonts w:ascii="宋体" w:hAnsi="宋体" w:eastAsia="宋体" w:cs="宋体"/>
          <w:spacing w:val="-57"/>
          <w:w w:val="89"/>
          <w:position w:val="18"/>
          <w:sz w:val="24"/>
          <w:szCs w:val="24"/>
        </w:rPr>
        <w:t>）：</w:t>
      </w:r>
      <w:r>
        <w:rPr>
          <w:rFonts w:ascii="宋体" w:hAnsi="宋体" w:eastAsia="宋体" w:cs="宋体"/>
          <w:spacing w:val="-12"/>
          <w:position w:val="18"/>
          <w:sz w:val="24"/>
          <w:szCs w:val="24"/>
        </w:rPr>
        <w:t>灰绿色（风化呈姜黄色） 中厚层状钙质泥岩夹粉砂质条带，</w:t>
      </w:r>
    </w:p>
    <w:p>
      <w:pPr>
        <w:spacing w:line="219" w:lineRule="auto"/>
        <w:ind w:left="39"/>
        <w:rPr>
          <w:rFonts w:ascii="宋体" w:hAnsi="宋体" w:eastAsia="宋体" w:cs="宋体"/>
          <w:sz w:val="24"/>
          <w:szCs w:val="24"/>
        </w:rPr>
      </w:pPr>
      <w:r>
        <w:rPr>
          <w:rFonts w:ascii="宋体" w:hAnsi="宋体" w:eastAsia="宋体" w:cs="宋体"/>
          <w:spacing w:val="-6"/>
          <w:sz w:val="24"/>
          <w:szCs w:val="24"/>
        </w:rPr>
        <w:t>微细层理发育。</w:t>
      </w:r>
    </w:p>
    <w:p>
      <w:pPr>
        <w:spacing w:before="194" w:line="480" w:lineRule="exact"/>
        <w:ind w:right="67"/>
        <w:jc w:val="right"/>
        <w:rPr>
          <w:rFonts w:ascii="宋体" w:hAnsi="宋体" w:eastAsia="宋体" w:cs="宋体"/>
          <w:sz w:val="24"/>
          <w:szCs w:val="24"/>
        </w:rPr>
      </w:pPr>
      <w:r>
        <w:rPr>
          <w:rFonts w:ascii="宋体" w:hAnsi="宋体" w:eastAsia="宋体" w:cs="宋体"/>
          <w:spacing w:val="-7"/>
          <w:position w:val="18"/>
          <w:sz w:val="24"/>
          <w:szCs w:val="24"/>
        </w:rPr>
        <w:t>第五层（</w:t>
      </w:r>
      <w:r>
        <w:rPr>
          <w:rFonts w:ascii="Times New Roman" w:hAnsi="Times New Roman" w:eastAsia="Times New Roman" w:cs="Times New Roman"/>
          <w:spacing w:val="-7"/>
          <w:position w:val="18"/>
          <w:sz w:val="24"/>
          <w:szCs w:val="24"/>
        </w:rPr>
        <w:t>K</w:t>
      </w:r>
      <w:r>
        <w:rPr>
          <w:rFonts w:ascii="Times New Roman" w:hAnsi="Times New Roman" w:eastAsia="Times New Roman" w:cs="Times New Roman"/>
          <w:spacing w:val="-7"/>
          <w:position w:val="17"/>
          <w:sz w:val="15"/>
          <w:szCs w:val="15"/>
        </w:rPr>
        <w:t>2</w:t>
      </w:r>
      <w:r>
        <w:rPr>
          <w:rFonts w:ascii="Times New Roman" w:hAnsi="Times New Roman" w:eastAsia="Times New Roman" w:cs="Times New Roman"/>
          <w:spacing w:val="-7"/>
          <w:position w:val="18"/>
          <w:sz w:val="24"/>
          <w:szCs w:val="24"/>
        </w:rPr>
        <w:t>j</w:t>
      </w:r>
      <w:r>
        <w:rPr>
          <w:rFonts w:ascii="Times New Roman" w:hAnsi="Times New Roman" w:eastAsia="Times New Roman" w:cs="Times New Roman"/>
          <w:spacing w:val="-7"/>
          <w:position w:val="26"/>
          <w:sz w:val="15"/>
          <w:szCs w:val="15"/>
        </w:rPr>
        <w:t>3-5</w:t>
      </w:r>
      <w:r>
        <w:rPr>
          <w:rFonts w:ascii="宋体" w:hAnsi="宋体" w:eastAsia="宋体" w:cs="宋体"/>
          <w:spacing w:val="-54"/>
          <w:position w:val="18"/>
          <w:sz w:val="24"/>
          <w:szCs w:val="24"/>
        </w:rPr>
        <w:t>）：</w:t>
      </w:r>
      <w:r>
        <w:rPr>
          <w:rFonts w:ascii="宋体" w:hAnsi="宋体" w:eastAsia="宋体" w:cs="宋体"/>
          <w:spacing w:val="-7"/>
          <w:position w:val="18"/>
          <w:sz w:val="24"/>
          <w:szCs w:val="24"/>
        </w:rPr>
        <w:t>紫红色厚层～块状粉砂质泥岩、泥岩，</w:t>
      </w:r>
      <w:r>
        <w:rPr>
          <w:rFonts w:ascii="宋体" w:hAnsi="宋体" w:eastAsia="宋体" w:cs="宋体"/>
          <w:spacing w:val="56"/>
          <w:position w:val="18"/>
          <w:sz w:val="24"/>
          <w:szCs w:val="24"/>
        </w:rPr>
        <w:t xml:space="preserve"> </w:t>
      </w:r>
      <w:r>
        <w:rPr>
          <w:rFonts w:ascii="宋体" w:hAnsi="宋体" w:eastAsia="宋体" w:cs="宋体"/>
          <w:spacing w:val="-23"/>
          <w:position w:val="18"/>
          <w:sz w:val="24"/>
          <w:szCs w:val="24"/>
        </w:rPr>
        <w:t>微细层理发育，</w:t>
      </w:r>
      <w:r>
        <w:rPr>
          <w:rFonts w:ascii="宋体" w:hAnsi="宋体" w:eastAsia="宋体" w:cs="宋体"/>
          <w:spacing w:val="58"/>
          <w:position w:val="18"/>
          <w:sz w:val="24"/>
          <w:szCs w:val="24"/>
        </w:rPr>
        <w:t xml:space="preserve"> </w:t>
      </w:r>
      <w:r>
        <w:rPr>
          <w:rFonts w:ascii="宋体" w:hAnsi="宋体" w:eastAsia="宋体" w:cs="宋体"/>
          <w:spacing w:val="-23"/>
          <w:position w:val="18"/>
          <w:sz w:val="24"/>
          <w:szCs w:val="24"/>
        </w:rPr>
        <w:t>局</w:t>
      </w:r>
    </w:p>
    <w:p>
      <w:pPr>
        <w:spacing w:before="1" w:line="219" w:lineRule="auto"/>
        <w:ind w:left="42"/>
        <w:rPr>
          <w:rFonts w:ascii="宋体" w:hAnsi="宋体" w:eastAsia="宋体" w:cs="宋体"/>
          <w:sz w:val="24"/>
          <w:szCs w:val="24"/>
        </w:rPr>
      </w:pPr>
      <w:r>
        <w:rPr>
          <w:rFonts w:ascii="宋体" w:hAnsi="宋体" w:eastAsia="宋体" w:cs="宋体"/>
          <w:spacing w:val="-6"/>
          <w:sz w:val="24"/>
          <w:szCs w:val="24"/>
        </w:rPr>
        <w:t>部夹薄层粉砂岩。</w:t>
      </w:r>
    </w:p>
    <w:p>
      <w:pPr>
        <w:spacing w:before="195" w:line="480" w:lineRule="exact"/>
        <w:ind w:left="519"/>
        <w:rPr>
          <w:rFonts w:ascii="宋体" w:hAnsi="宋体" w:eastAsia="宋体" w:cs="宋体"/>
          <w:sz w:val="24"/>
          <w:szCs w:val="24"/>
        </w:rPr>
      </w:pPr>
      <w:r>
        <w:rPr>
          <w:rFonts w:ascii="宋体" w:hAnsi="宋体" w:eastAsia="宋体" w:cs="宋体"/>
          <w:spacing w:val="-1"/>
          <w:position w:val="18"/>
          <w:sz w:val="24"/>
          <w:szCs w:val="24"/>
        </w:rPr>
        <w:t>第四层（</w:t>
      </w:r>
      <w:r>
        <w:rPr>
          <w:rFonts w:ascii="Times New Roman" w:hAnsi="Times New Roman" w:eastAsia="Times New Roman" w:cs="Times New Roman"/>
          <w:spacing w:val="-1"/>
          <w:position w:val="18"/>
          <w:sz w:val="24"/>
          <w:szCs w:val="24"/>
        </w:rPr>
        <w:t>K</w:t>
      </w:r>
      <w:r>
        <w:rPr>
          <w:rFonts w:ascii="Times New Roman" w:hAnsi="Times New Roman" w:eastAsia="Times New Roman" w:cs="Times New Roman"/>
          <w:spacing w:val="-1"/>
          <w:position w:val="17"/>
          <w:sz w:val="15"/>
          <w:szCs w:val="15"/>
        </w:rPr>
        <w:t>2</w:t>
      </w:r>
      <w:r>
        <w:rPr>
          <w:rFonts w:ascii="Times New Roman" w:hAnsi="Times New Roman" w:eastAsia="Times New Roman" w:cs="Times New Roman"/>
          <w:spacing w:val="-1"/>
          <w:position w:val="18"/>
          <w:sz w:val="24"/>
          <w:szCs w:val="24"/>
        </w:rPr>
        <w:t>j</w:t>
      </w:r>
      <w:r>
        <w:rPr>
          <w:rFonts w:ascii="Times New Roman" w:hAnsi="Times New Roman" w:eastAsia="Times New Roman" w:cs="Times New Roman"/>
          <w:spacing w:val="-1"/>
          <w:position w:val="26"/>
          <w:sz w:val="15"/>
          <w:szCs w:val="15"/>
        </w:rPr>
        <w:t>3-4</w:t>
      </w:r>
      <w:r>
        <w:rPr>
          <w:rFonts w:ascii="宋体" w:hAnsi="宋体" w:eastAsia="宋体" w:cs="宋体"/>
          <w:spacing w:val="-56"/>
          <w:position w:val="18"/>
          <w:sz w:val="24"/>
          <w:szCs w:val="24"/>
        </w:rPr>
        <w:t>）：</w:t>
      </w:r>
      <w:r>
        <w:rPr>
          <w:rFonts w:ascii="宋体" w:hAnsi="宋体" w:eastAsia="宋体" w:cs="宋体"/>
          <w:spacing w:val="-1"/>
          <w:position w:val="18"/>
          <w:sz w:val="24"/>
          <w:szCs w:val="24"/>
        </w:rPr>
        <w:t>紫红色厚层～块状粉砂质泥岩、泥岩夹灰绿色（风化</w:t>
      </w:r>
      <w:r>
        <w:rPr>
          <w:rFonts w:ascii="宋体" w:hAnsi="宋体" w:eastAsia="宋体" w:cs="宋体"/>
          <w:spacing w:val="-2"/>
          <w:position w:val="18"/>
          <w:sz w:val="24"/>
          <w:szCs w:val="24"/>
        </w:rPr>
        <w:t>呈姜</w:t>
      </w:r>
    </w:p>
    <w:p>
      <w:pPr>
        <w:spacing w:line="219" w:lineRule="auto"/>
        <w:ind w:left="38"/>
        <w:rPr>
          <w:rFonts w:ascii="宋体" w:hAnsi="宋体" w:eastAsia="宋体" w:cs="宋体"/>
          <w:sz w:val="24"/>
          <w:szCs w:val="24"/>
        </w:rPr>
      </w:pPr>
      <w:r>
        <w:rPr>
          <w:rFonts w:ascii="宋体" w:hAnsi="宋体" w:eastAsia="宋体" w:cs="宋体"/>
          <w:spacing w:val="-2"/>
          <w:sz w:val="24"/>
          <w:szCs w:val="24"/>
        </w:rPr>
        <w:t>黄色）中厚层状钙质泥岩、粉砂质条带及钙质结核。</w:t>
      </w:r>
    </w:p>
    <w:p>
      <w:pPr>
        <w:spacing w:before="195" w:line="212" w:lineRule="auto"/>
        <w:ind w:left="519"/>
        <w:rPr>
          <w:rFonts w:ascii="宋体" w:hAnsi="宋体" w:eastAsia="宋体" w:cs="宋体"/>
          <w:sz w:val="24"/>
          <w:szCs w:val="24"/>
        </w:rPr>
      </w:pPr>
      <w:r>
        <w:rPr>
          <w:rFonts w:ascii="宋体" w:hAnsi="宋体" w:eastAsia="宋体" w:cs="宋体"/>
          <w:spacing w:val="-5"/>
          <w:sz w:val="24"/>
          <w:szCs w:val="24"/>
        </w:rPr>
        <w:t>第三层（</w:t>
      </w:r>
      <w:r>
        <w:rPr>
          <w:rFonts w:ascii="Times New Roman" w:hAnsi="Times New Roman" w:eastAsia="Times New Roman" w:cs="Times New Roman"/>
          <w:spacing w:val="-5"/>
          <w:sz w:val="24"/>
          <w:szCs w:val="24"/>
        </w:rPr>
        <w:t>K</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5"/>
          <w:sz w:val="24"/>
          <w:szCs w:val="24"/>
        </w:rPr>
        <w:t>j</w:t>
      </w:r>
      <w:r>
        <w:rPr>
          <w:rFonts w:ascii="Times New Roman" w:hAnsi="Times New Roman" w:eastAsia="Times New Roman" w:cs="Times New Roman"/>
          <w:spacing w:val="-5"/>
          <w:position w:val="8"/>
          <w:sz w:val="15"/>
          <w:szCs w:val="15"/>
        </w:rPr>
        <w:t>3-3</w:t>
      </w:r>
      <w:r>
        <w:rPr>
          <w:rFonts w:ascii="宋体" w:hAnsi="宋体" w:eastAsia="宋体" w:cs="宋体"/>
          <w:spacing w:val="-63"/>
          <w:w w:val="98"/>
          <w:sz w:val="24"/>
          <w:szCs w:val="24"/>
        </w:rPr>
        <w:t>）：</w:t>
      </w:r>
      <w:r>
        <w:rPr>
          <w:rFonts w:ascii="宋体" w:hAnsi="宋体" w:eastAsia="宋体" w:cs="宋体"/>
          <w:spacing w:val="-5"/>
          <w:sz w:val="24"/>
          <w:szCs w:val="24"/>
        </w:rPr>
        <w:t>紫红色厚层状粉砂质泥岩夹薄层粉砂岩、</w:t>
      </w:r>
      <w:r>
        <w:rPr>
          <w:rFonts w:ascii="宋体" w:hAnsi="宋体" w:eastAsia="宋体" w:cs="宋体"/>
          <w:spacing w:val="46"/>
          <w:sz w:val="24"/>
          <w:szCs w:val="24"/>
        </w:rPr>
        <w:t xml:space="preserve"> </w:t>
      </w:r>
      <w:r>
        <w:rPr>
          <w:rFonts w:ascii="宋体" w:hAnsi="宋体" w:eastAsia="宋体" w:cs="宋体"/>
          <w:spacing w:val="-5"/>
          <w:sz w:val="24"/>
          <w:szCs w:val="24"/>
        </w:rPr>
        <w:t>钙质</w:t>
      </w:r>
      <w:r>
        <w:rPr>
          <w:rFonts w:ascii="宋体" w:hAnsi="宋体" w:eastAsia="宋体" w:cs="宋体"/>
          <w:spacing w:val="-6"/>
          <w:sz w:val="24"/>
          <w:szCs w:val="24"/>
        </w:rPr>
        <w:t>泥岩。</w:t>
      </w:r>
    </w:p>
    <w:p>
      <w:pPr>
        <w:spacing w:before="204" w:line="480" w:lineRule="exact"/>
        <w:ind w:left="519"/>
        <w:rPr>
          <w:rFonts w:ascii="宋体" w:hAnsi="宋体" w:eastAsia="宋体" w:cs="宋体"/>
          <w:sz w:val="24"/>
          <w:szCs w:val="24"/>
        </w:rPr>
      </w:pPr>
      <w:r>
        <w:rPr>
          <w:rFonts w:ascii="宋体" w:hAnsi="宋体" w:eastAsia="宋体" w:cs="宋体"/>
          <w:spacing w:val="-4"/>
          <w:position w:val="18"/>
          <w:sz w:val="24"/>
          <w:szCs w:val="24"/>
        </w:rPr>
        <w:t>第二层（</w:t>
      </w:r>
      <w:r>
        <w:rPr>
          <w:rFonts w:ascii="Times New Roman" w:hAnsi="Times New Roman" w:eastAsia="Times New Roman" w:cs="Times New Roman"/>
          <w:spacing w:val="-4"/>
          <w:position w:val="18"/>
          <w:sz w:val="24"/>
          <w:szCs w:val="24"/>
        </w:rPr>
        <w:t>K</w:t>
      </w:r>
      <w:r>
        <w:rPr>
          <w:rFonts w:ascii="Times New Roman" w:hAnsi="Times New Roman" w:eastAsia="Times New Roman" w:cs="Times New Roman"/>
          <w:spacing w:val="-4"/>
          <w:position w:val="17"/>
          <w:sz w:val="15"/>
          <w:szCs w:val="15"/>
        </w:rPr>
        <w:t>2</w:t>
      </w:r>
      <w:r>
        <w:rPr>
          <w:rFonts w:ascii="Times New Roman" w:hAnsi="Times New Roman" w:eastAsia="Times New Roman" w:cs="Times New Roman"/>
          <w:spacing w:val="-4"/>
          <w:position w:val="18"/>
          <w:sz w:val="24"/>
          <w:szCs w:val="24"/>
        </w:rPr>
        <w:t>j</w:t>
      </w:r>
      <w:r>
        <w:rPr>
          <w:rFonts w:ascii="Times New Roman" w:hAnsi="Times New Roman" w:eastAsia="Times New Roman" w:cs="Times New Roman"/>
          <w:spacing w:val="-4"/>
          <w:position w:val="26"/>
          <w:sz w:val="15"/>
          <w:szCs w:val="15"/>
        </w:rPr>
        <w:t>3-2</w:t>
      </w:r>
      <w:r>
        <w:rPr>
          <w:rFonts w:ascii="宋体" w:hAnsi="宋体" w:eastAsia="宋体" w:cs="宋体"/>
          <w:spacing w:val="-58"/>
          <w:position w:val="18"/>
          <w:sz w:val="24"/>
          <w:szCs w:val="24"/>
        </w:rPr>
        <w:t>）：</w:t>
      </w:r>
      <w:r>
        <w:rPr>
          <w:rFonts w:ascii="宋体" w:hAnsi="宋体" w:eastAsia="宋体" w:cs="宋体"/>
          <w:spacing w:val="-4"/>
          <w:position w:val="18"/>
          <w:sz w:val="24"/>
          <w:szCs w:val="24"/>
        </w:rPr>
        <w:t>灰绿色（风化呈姜黄色） 厚层状钙</w:t>
      </w:r>
      <w:r>
        <w:rPr>
          <w:rFonts w:ascii="宋体" w:hAnsi="宋体" w:eastAsia="宋体" w:cs="宋体"/>
          <w:spacing w:val="-5"/>
          <w:position w:val="18"/>
          <w:sz w:val="24"/>
          <w:szCs w:val="24"/>
        </w:rPr>
        <w:t>质泥岩夹紫灰色薄层粉</w:t>
      </w:r>
    </w:p>
    <w:p>
      <w:pPr>
        <w:spacing w:before="1" w:line="220" w:lineRule="auto"/>
        <w:ind w:left="38"/>
        <w:rPr>
          <w:rFonts w:ascii="宋体" w:hAnsi="宋体" w:eastAsia="宋体" w:cs="宋体"/>
          <w:sz w:val="24"/>
          <w:szCs w:val="24"/>
        </w:rPr>
      </w:pPr>
      <w:r>
        <w:rPr>
          <w:rFonts w:ascii="宋体" w:hAnsi="宋体" w:eastAsia="宋体" w:cs="宋体"/>
          <w:spacing w:val="-7"/>
          <w:sz w:val="24"/>
          <w:szCs w:val="24"/>
        </w:rPr>
        <w:t>砂质泥岩。</w:t>
      </w:r>
    </w:p>
    <w:p>
      <w:pPr>
        <w:spacing w:before="176" w:line="497" w:lineRule="exact"/>
        <w:ind w:left="519"/>
        <w:rPr>
          <w:rFonts w:ascii="宋体" w:hAnsi="宋体" w:eastAsia="宋体" w:cs="宋体"/>
          <w:sz w:val="24"/>
          <w:szCs w:val="24"/>
        </w:rPr>
      </w:pPr>
      <w:r>
        <w:rPr>
          <w:rFonts w:ascii="宋体" w:hAnsi="宋体" w:eastAsia="宋体" w:cs="宋体"/>
          <w:spacing w:val="-2"/>
          <w:position w:val="19"/>
          <w:sz w:val="24"/>
          <w:szCs w:val="24"/>
        </w:rPr>
        <w:t>第一层（</w:t>
      </w:r>
      <w:r>
        <w:rPr>
          <w:rFonts w:ascii="Times New Roman" w:hAnsi="Times New Roman" w:eastAsia="Times New Roman" w:cs="Times New Roman"/>
          <w:spacing w:val="-2"/>
          <w:position w:val="19"/>
          <w:sz w:val="24"/>
          <w:szCs w:val="24"/>
        </w:rPr>
        <w:t>K</w:t>
      </w:r>
      <w:r>
        <w:rPr>
          <w:rFonts w:ascii="Times New Roman" w:hAnsi="Times New Roman" w:eastAsia="Times New Roman" w:cs="Times New Roman"/>
          <w:spacing w:val="-2"/>
          <w:position w:val="18"/>
          <w:sz w:val="15"/>
          <w:szCs w:val="15"/>
        </w:rPr>
        <w:t>2</w:t>
      </w:r>
      <w:r>
        <w:rPr>
          <w:rFonts w:ascii="Times New Roman" w:hAnsi="Times New Roman" w:eastAsia="Times New Roman" w:cs="Times New Roman"/>
          <w:spacing w:val="-2"/>
          <w:position w:val="19"/>
          <w:sz w:val="24"/>
          <w:szCs w:val="24"/>
        </w:rPr>
        <w:t>j</w:t>
      </w:r>
      <w:r>
        <w:rPr>
          <w:rFonts w:ascii="Times New Roman" w:hAnsi="Times New Roman" w:eastAsia="Times New Roman" w:cs="Times New Roman"/>
          <w:spacing w:val="-2"/>
          <w:position w:val="28"/>
          <w:sz w:val="15"/>
          <w:szCs w:val="15"/>
        </w:rPr>
        <w:t>3</w:t>
      </w:r>
      <w:r>
        <w:rPr>
          <w:rFonts w:ascii="宋体" w:hAnsi="宋体" w:eastAsia="宋体" w:cs="宋体"/>
          <w:spacing w:val="-2"/>
          <w:position w:val="28"/>
          <w:sz w:val="12"/>
          <w:szCs w:val="12"/>
        </w:rPr>
        <w:t>－</w:t>
      </w:r>
      <w:r>
        <w:rPr>
          <w:rFonts w:ascii="Times New Roman" w:hAnsi="Times New Roman" w:eastAsia="Times New Roman" w:cs="Times New Roman"/>
          <w:spacing w:val="-2"/>
          <w:position w:val="28"/>
          <w:sz w:val="15"/>
          <w:szCs w:val="15"/>
        </w:rPr>
        <w:t>1</w:t>
      </w:r>
      <w:r>
        <w:rPr>
          <w:rFonts w:ascii="宋体" w:hAnsi="宋体" w:eastAsia="宋体" w:cs="宋体"/>
          <w:spacing w:val="-62"/>
          <w:w w:val="97"/>
          <w:position w:val="19"/>
          <w:sz w:val="24"/>
          <w:szCs w:val="24"/>
        </w:rPr>
        <w:t>）：</w:t>
      </w:r>
      <w:r>
        <w:rPr>
          <w:rFonts w:ascii="宋体" w:hAnsi="宋体" w:eastAsia="宋体" w:cs="宋体"/>
          <w:spacing w:val="-2"/>
          <w:position w:val="19"/>
          <w:sz w:val="24"/>
          <w:szCs w:val="24"/>
        </w:rPr>
        <w:t>紫红色厚层状粉砂质泥岩夹灰绿色薄层钙质泥岩、</w:t>
      </w:r>
      <w:r>
        <w:rPr>
          <w:rFonts w:ascii="宋体" w:hAnsi="宋体" w:eastAsia="宋体" w:cs="宋体"/>
          <w:spacing w:val="-3"/>
          <w:position w:val="19"/>
          <w:sz w:val="24"/>
          <w:szCs w:val="24"/>
        </w:rPr>
        <w:t>局部为</w:t>
      </w:r>
    </w:p>
    <w:p>
      <w:pPr>
        <w:spacing w:before="1" w:line="219" w:lineRule="auto"/>
        <w:ind w:left="43"/>
        <w:rPr>
          <w:rFonts w:ascii="宋体" w:hAnsi="宋体" w:eastAsia="宋体" w:cs="宋体"/>
          <w:sz w:val="24"/>
          <w:szCs w:val="24"/>
        </w:rPr>
      </w:pPr>
      <w:r>
        <w:rPr>
          <w:rFonts w:ascii="宋体" w:hAnsi="宋体" w:eastAsia="宋体" w:cs="宋体"/>
          <w:spacing w:val="-7"/>
          <w:sz w:val="24"/>
          <w:szCs w:val="24"/>
        </w:rPr>
        <w:t>不等厚互层。</w:t>
      </w:r>
    </w:p>
    <w:p>
      <w:pPr>
        <w:spacing w:before="131" w:line="360" w:lineRule="auto"/>
        <w:ind w:left="41" w:firstLine="480"/>
        <w:rPr>
          <w:rFonts w:ascii="宋体" w:hAnsi="宋体" w:eastAsia="宋体" w:cs="宋体"/>
          <w:sz w:val="24"/>
          <w:szCs w:val="24"/>
        </w:rPr>
      </w:pPr>
      <w:r>
        <w:rPr>
          <w:rFonts w:ascii="宋体" w:hAnsi="宋体" w:eastAsia="宋体" w:cs="宋体"/>
          <w:spacing w:val="-8"/>
          <w:sz w:val="24"/>
          <w:szCs w:val="24"/>
          <w14:textOutline w14:w="4354" w14:cap="flat" w14:cmpd="sng">
            <w14:solidFill>
              <w14:srgbClr w14:val="000000"/>
            </w14:solidFill>
            <w14:prstDash w14:val="solid"/>
            <w14:miter w14:val="0"/>
          </w14:textOutline>
        </w:rPr>
        <w:t>燕山期岩浆岩(</w:t>
      </w:r>
      <w:r>
        <w:rPr>
          <w:rFonts w:ascii="Times New Roman" w:hAnsi="Times New Roman" w:eastAsia="Times New Roman" w:cs="Times New Roman"/>
          <w:b/>
          <w:bCs/>
          <w:spacing w:val="-8"/>
          <w:sz w:val="24"/>
          <w:szCs w:val="24"/>
        </w:rPr>
        <w:t>επ</w:t>
      </w:r>
      <w:r>
        <w:rPr>
          <w:rFonts w:ascii="Times New Roman" w:hAnsi="Times New Roman" w:eastAsia="Times New Roman" w:cs="Times New Roman"/>
          <w:b/>
          <w:bCs/>
          <w:spacing w:val="-8"/>
          <w:position w:val="-2"/>
          <w:sz w:val="15"/>
          <w:szCs w:val="15"/>
        </w:rPr>
        <w:t>5</w:t>
      </w:r>
      <w:r>
        <w:rPr>
          <w:rFonts w:ascii="Times New Roman" w:hAnsi="Times New Roman" w:eastAsia="Times New Roman" w:cs="Times New Roman"/>
          <w:b/>
          <w:bCs/>
          <w:spacing w:val="-8"/>
          <w:position w:val="8"/>
          <w:sz w:val="15"/>
          <w:szCs w:val="15"/>
        </w:rPr>
        <w:t>3</w:t>
      </w:r>
      <w:r>
        <w:rPr>
          <w:rFonts w:ascii="宋体" w:hAnsi="宋体" w:eastAsia="宋体" w:cs="宋体"/>
          <w:spacing w:val="-55"/>
          <w:w w:val="85"/>
          <w:sz w:val="24"/>
          <w:szCs w:val="24"/>
          <w14:textOutline w14:w="4354" w14:cap="flat" w14:cmpd="sng">
            <w14:solidFill>
              <w14:srgbClr w14:val="000000"/>
            </w14:solidFill>
            <w14:prstDash w14:val="solid"/>
            <w14:miter w14:val="0"/>
          </w14:textOutline>
        </w:rPr>
        <w:t>）：</w:t>
      </w:r>
      <w:r>
        <w:rPr>
          <w:rFonts w:ascii="宋体" w:hAnsi="宋体" w:eastAsia="宋体" w:cs="宋体"/>
          <w:spacing w:val="-8"/>
          <w:sz w:val="24"/>
          <w:szCs w:val="24"/>
        </w:rPr>
        <w:t xml:space="preserve">黑云母花岗斑岩， </w:t>
      </w:r>
      <w:r>
        <w:rPr>
          <w:rFonts w:ascii="宋体" w:hAnsi="宋体" w:eastAsia="宋体" w:cs="宋体"/>
          <w:spacing w:val="-18"/>
          <w:sz w:val="24"/>
          <w:szCs w:val="24"/>
        </w:rPr>
        <w:t>结晶分异差， 斑状结构、块状构造。</w:t>
      </w:r>
      <w:r>
        <w:rPr>
          <w:rFonts w:ascii="宋体" w:hAnsi="宋体" w:eastAsia="宋体" w:cs="宋体"/>
          <w:spacing w:val="1"/>
          <w:sz w:val="24"/>
          <w:szCs w:val="24"/>
        </w:rPr>
        <w:t xml:space="preserve">  </w:t>
      </w:r>
      <w:r>
        <w:rPr>
          <w:rFonts w:ascii="宋体" w:hAnsi="宋体" w:eastAsia="宋体" w:cs="宋体"/>
          <w:spacing w:val="-1"/>
          <w:sz w:val="24"/>
          <w:szCs w:val="24"/>
        </w:rPr>
        <w:t>主要矿物成分：钾长石、碱性长石、黑云母、石英等，副矿物：锆石、磷灰石、</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金红石等。顺层侵入、呈岩脉产出、与围岩呈突变、无围岩蚀变。</w:t>
      </w:r>
    </w:p>
    <w:p>
      <w:pPr>
        <w:spacing w:line="353" w:lineRule="auto"/>
        <w:rPr>
          <w:rFonts w:ascii="Arial"/>
          <w:sz w:val="21"/>
        </w:rPr>
      </w:pPr>
    </w:p>
    <w:p>
      <w:pPr>
        <w:pStyle w:val="2"/>
        <w:spacing w:before="79" w:line="220" w:lineRule="auto"/>
        <w:ind w:left="33"/>
        <w:outlineLvl w:val="2"/>
        <w:rPr>
          <w:sz w:val="24"/>
          <w:szCs w:val="24"/>
        </w:rPr>
      </w:pPr>
      <w:r>
        <w:rPr>
          <w:rFonts w:ascii="Times New Roman" w:hAnsi="Times New Roman" w:eastAsia="Times New Roman" w:cs="Times New Roman"/>
          <w:b/>
          <w:bCs/>
          <w:spacing w:val="-2"/>
          <w:sz w:val="24"/>
          <w:szCs w:val="24"/>
        </w:rPr>
        <w:t>3.1.3</w:t>
      </w:r>
      <w:r>
        <w:rPr>
          <w:rFonts w:ascii="Times New Roman" w:hAnsi="Times New Roman" w:eastAsia="Times New Roman" w:cs="Times New Roman"/>
          <w:b/>
          <w:bCs/>
          <w:spacing w:val="19"/>
          <w:sz w:val="24"/>
          <w:szCs w:val="24"/>
        </w:rPr>
        <w:t xml:space="preserve"> </w:t>
      </w:r>
      <w:r>
        <w:rPr>
          <w:spacing w:val="-2"/>
          <w:sz w:val="24"/>
          <w:szCs w:val="24"/>
          <w14:textOutline w14:w="4354" w14:cap="flat" w14:cmpd="sng">
            <w14:solidFill>
              <w14:srgbClr w14:val="000000"/>
            </w14:solidFill>
            <w14:prstDash w14:val="solid"/>
            <w14:miter w14:val="0"/>
          </w14:textOutline>
        </w:rPr>
        <w:t>气象条件</w:t>
      </w:r>
    </w:p>
    <w:p>
      <w:pPr>
        <w:tabs>
          <w:tab w:val="left" w:pos="165"/>
        </w:tabs>
        <w:spacing w:before="294" w:line="360" w:lineRule="auto"/>
        <w:ind w:left="40" w:right="79" w:firstLine="482"/>
        <w:rPr>
          <w:rFonts w:ascii="宋体" w:hAnsi="宋体" w:eastAsia="宋体" w:cs="宋体"/>
          <w:sz w:val="24"/>
          <w:szCs w:val="24"/>
        </w:rPr>
      </w:pPr>
      <w:r>
        <w:rPr>
          <w:rFonts w:ascii="宋体" w:hAnsi="宋体" w:eastAsia="宋体" w:cs="宋体"/>
          <w:spacing w:val="-7"/>
          <w:sz w:val="24"/>
          <w:szCs w:val="24"/>
        </w:rPr>
        <w:t>项目范围内流域属属亚热带季风气候区， 由于受海拔高低差异性和季风气候</w:t>
      </w:r>
      <w:r>
        <w:rPr>
          <w:rFonts w:ascii="宋体" w:hAnsi="宋体" w:eastAsia="宋体" w:cs="宋体"/>
          <w:spacing w:val="10"/>
          <w:sz w:val="24"/>
          <w:szCs w:val="24"/>
        </w:rPr>
        <w:t xml:space="preserve"> </w:t>
      </w:r>
      <w:r>
        <w:rPr>
          <w:rFonts w:ascii="宋体" w:hAnsi="宋体" w:eastAsia="宋体" w:cs="宋体"/>
          <w:spacing w:val="-13"/>
          <w:sz w:val="24"/>
          <w:szCs w:val="24"/>
        </w:rPr>
        <w:t>的影响，</w:t>
      </w:r>
      <w:r>
        <w:rPr>
          <w:rFonts w:ascii="宋体" w:hAnsi="宋体" w:eastAsia="宋体" w:cs="宋体"/>
          <w:spacing w:val="-31"/>
          <w:sz w:val="24"/>
          <w:szCs w:val="24"/>
        </w:rPr>
        <w:t xml:space="preserve"> </w:t>
      </w:r>
      <w:r>
        <w:rPr>
          <w:rFonts w:ascii="宋体" w:hAnsi="宋体" w:eastAsia="宋体" w:cs="宋体"/>
          <w:spacing w:val="-13"/>
          <w:sz w:val="24"/>
          <w:szCs w:val="24"/>
        </w:rPr>
        <w:t>形成夏无酷暑、冬无严寒、春暖干旱、秋凉湿润、年温差小、日温差大、</w:t>
      </w:r>
      <w:r>
        <w:rPr>
          <w:rFonts w:ascii="宋体" w:hAnsi="宋体" w:eastAsia="宋体" w:cs="宋体"/>
          <w:sz w:val="24"/>
          <w:szCs w:val="24"/>
        </w:rPr>
        <w:t xml:space="preserve"> </w:t>
      </w:r>
      <w:r>
        <w:rPr>
          <w:rFonts w:ascii="宋体" w:hAnsi="宋体" w:eastAsia="宋体" w:cs="宋体"/>
          <w:spacing w:val="-3"/>
          <w:sz w:val="24"/>
          <w:szCs w:val="24"/>
        </w:rPr>
        <w:t>降水集中、干湿分明、降水随高程增加而增加的立体气候特征。根据大姚县气象</w:t>
      </w:r>
      <w:r>
        <w:rPr>
          <w:rFonts w:ascii="宋体" w:hAnsi="宋体" w:eastAsia="宋体" w:cs="宋体"/>
          <w:sz w:val="24"/>
          <w:szCs w:val="24"/>
        </w:rPr>
        <w:t xml:space="preserve"> </w:t>
      </w:r>
      <w:r>
        <w:rPr>
          <w:rFonts w:ascii="宋体" w:hAnsi="宋体" w:eastAsia="宋体" w:cs="宋体"/>
          <w:spacing w:val="-10"/>
          <w:sz w:val="24"/>
          <w:szCs w:val="24"/>
        </w:rPr>
        <w:t xml:space="preserve">站（海拔高程 </w:t>
      </w:r>
      <w:r>
        <w:rPr>
          <w:rFonts w:ascii="Times New Roman" w:hAnsi="Times New Roman" w:eastAsia="Times New Roman" w:cs="Times New Roman"/>
          <w:spacing w:val="-10"/>
          <w:sz w:val="24"/>
          <w:szCs w:val="24"/>
        </w:rPr>
        <w:t>1879m</w:t>
      </w:r>
      <w:r>
        <w:rPr>
          <w:rFonts w:ascii="宋体" w:hAnsi="宋体" w:eastAsia="宋体" w:cs="宋体"/>
          <w:spacing w:val="-10"/>
          <w:sz w:val="24"/>
          <w:szCs w:val="24"/>
        </w:rPr>
        <w:t>）多年实测资料统计，</w:t>
      </w:r>
      <w:r>
        <w:rPr>
          <w:rFonts w:ascii="宋体" w:hAnsi="宋体" w:eastAsia="宋体" w:cs="宋体"/>
          <w:spacing w:val="47"/>
          <w:sz w:val="24"/>
          <w:szCs w:val="24"/>
        </w:rPr>
        <w:t xml:space="preserve"> </w:t>
      </w:r>
      <w:r>
        <w:rPr>
          <w:rFonts w:ascii="宋体" w:hAnsi="宋体" w:eastAsia="宋体" w:cs="宋体"/>
          <w:spacing w:val="-10"/>
          <w:sz w:val="24"/>
          <w:szCs w:val="24"/>
        </w:rPr>
        <w:t>多年平均气温</w:t>
      </w:r>
      <w:r>
        <w:rPr>
          <w:rFonts w:ascii="宋体" w:hAnsi="宋体" w:eastAsia="宋体" w:cs="宋体"/>
          <w:spacing w:val="-31"/>
          <w:sz w:val="24"/>
          <w:szCs w:val="24"/>
        </w:rPr>
        <w:t xml:space="preserve"> </w:t>
      </w:r>
      <w:r>
        <w:rPr>
          <w:rFonts w:ascii="Times New Roman" w:hAnsi="Times New Roman" w:eastAsia="Times New Roman" w:cs="Times New Roman"/>
          <w:spacing w:val="-10"/>
          <w:sz w:val="24"/>
          <w:szCs w:val="24"/>
        </w:rPr>
        <w:t>15.6</w:t>
      </w:r>
      <w:r>
        <w:rPr>
          <w:rFonts w:ascii="宋体" w:hAnsi="宋体" w:eastAsia="宋体" w:cs="宋体"/>
          <w:spacing w:val="-10"/>
          <w:sz w:val="24"/>
          <w:szCs w:val="24"/>
        </w:rPr>
        <w:t>℃,</w:t>
      </w:r>
      <w:r>
        <w:rPr>
          <w:rFonts w:ascii="宋体" w:hAnsi="宋体" w:eastAsia="宋体" w:cs="宋体"/>
          <w:spacing w:val="35"/>
          <w:sz w:val="24"/>
          <w:szCs w:val="24"/>
        </w:rPr>
        <w:t xml:space="preserve"> </w:t>
      </w:r>
      <w:r>
        <w:rPr>
          <w:rFonts w:ascii="宋体" w:hAnsi="宋体" w:eastAsia="宋体" w:cs="宋体"/>
          <w:spacing w:val="-10"/>
          <w:sz w:val="24"/>
          <w:szCs w:val="24"/>
        </w:rPr>
        <w:t>平均日照</w:t>
      </w:r>
      <w:r>
        <w:rPr>
          <w:rFonts w:ascii="宋体" w:hAnsi="宋体" w:eastAsia="宋体" w:cs="宋体"/>
          <w:spacing w:val="-11"/>
          <w:sz w:val="24"/>
          <w:szCs w:val="24"/>
        </w:rPr>
        <w:t>时数</w:t>
      </w:r>
      <w:r>
        <w:rPr>
          <w:rFonts w:ascii="宋体" w:hAnsi="宋体" w:eastAsia="宋体" w:cs="宋体"/>
          <w:sz w:val="24"/>
          <w:szCs w:val="24"/>
        </w:rPr>
        <w:t xml:space="preserve"> </w:t>
      </w:r>
      <w:r>
        <w:rPr>
          <w:rFonts w:ascii="宋体" w:hAnsi="宋体" w:eastAsia="宋体" w:cs="宋体"/>
          <w:spacing w:val="-4"/>
          <w:sz w:val="24"/>
          <w:szCs w:val="24"/>
        </w:rPr>
        <w:t xml:space="preserve">为 </w:t>
      </w:r>
      <w:r>
        <w:rPr>
          <w:rFonts w:ascii="Times New Roman" w:hAnsi="Times New Roman" w:eastAsia="Times New Roman" w:cs="Times New Roman"/>
          <w:spacing w:val="-4"/>
          <w:sz w:val="24"/>
          <w:szCs w:val="24"/>
        </w:rPr>
        <w:t>2570</w:t>
      </w:r>
      <w:r>
        <w:rPr>
          <w:rFonts w:ascii="Times New Roman" w:hAnsi="Times New Roman" w:eastAsia="Times New Roman" w:cs="Times New Roman"/>
          <w:spacing w:val="54"/>
          <w:w w:val="101"/>
          <w:sz w:val="24"/>
          <w:szCs w:val="24"/>
        </w:rPr>
        <w:t xml:space="preserve"> </w:t>
      </w:r>
      <w:r>
        <w:rPr>
          <w:rFonts w:ascii="宋体" w:hAnsi="宋体" w:eastAsia="宋体" w:cs="宋体"/>
          <w:spacing w:val="-4"/>
          <w:sz w:val="24"/>
          <w:szCs w:val="24"/>
        </w:rPr>
        <w:t xml:space="preserve">小时。极端最高气温 </w:t>
      </w:r>
      <w:r>
        <w:rPr>
          <w:rFonts w:ascii="Times New Roman" w:hAnsi="Times New Roman" w:eastAsia="Times New Roman" w:cs="Times New Roman"/>
          <w:spacing w:val="-4"/>
          <w:sz w:val="24"/>
          <w:szCs w:val="24"/>
        </w:rPr>
        <w:t>33.0</w:t>
      </w:r>
      <w:r>
        <w:rPr>
          <w:rFonts w:ascii="宋体" w:hAnsi="宋体" w:eastAsia="宋体" w:cs="宋体"/>
          <w:spacing w:val="-4"/>
          <w:sz w:val="24"/>
          <w:szCs w:val="24"/>
        </w:rPr>
        <w:t>℃（</w:t>
      </w:r>
      <w:r>
        <w:rPr>
          <w:rFonts w:ascii="Times New Roman" w:hAnsi="Times New Roman" w:eastAsia="Times New Roman" w:cs="Times New Roman"/>
          <w:spacing w:val="-4"/>
          <w:sz w:val="24"/>
          <w:szCs w:val="24"/>
        </w:rPr>
        <w:t>1993</w:t>
      </w:r>
      <w:r>
        <w:rPr>
          <w:rFonts w:ascii="Times New Roman" w:hAnsi="Times New Roman" w:eastAsia="Times New Roman" w:cs="Times New Roman"/>
          <w:spacing w:val="48"/>
          <w:w w:val="101"/>
          <w:sz w:val="24"/>
          <w:szCs w:val="24"/>
        </w:rPr>
        <w:t xml:space="preserve"> </w:t>
      </w:r>
      <w:r>
        <w:rPr>
          <w:rFonts w:ascii="宋体" w:hAnsi="宋体" w:eastAsia="宋体" w:cs="宋体"/>
          <w:spacing w:val="-4"/>
          <w:sz w:val="24"/>
          <w:szCs w:val="24"/>
        </w:rPr>
        <w:t xml:space="preserve">年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53"/>
          <w:w w:val="101"/>
          <w:sz w:val="24"/>
          <w:szCs w:val="24"/>
        </w:rPr>
        <w:t xml:space="preserve"> </w:t>
      </w:r>
      <w:r>
        <w:rPr>
          <w:rFonts w:ascii="宋体" w:hAnsi="宋体" w:eastAsia="宋体" w:cs="宋体"/>
          <w:spacing w:val="-4"/>
          <w:sz w:val="24"/>
          <w:szCs w:val="24"/>
        </w:rPr>
        <w:t xml:space="preserve">月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日）极端</w:t>
      </w:r>
      <w:r>
        <w:rPr>
          <w:rFonts w:ascii="宋体" w:hAnsi="宋体" w:eastAsia="宋体" w:cs="宋体"/>
          <w:spacing w:val="-5"/>
          <w:sz w:val="24"/>
          <w:szCs w:val="24"/>
        </w:rPr>
        <w:t>最低气温</w:t>
      </w:r>
      <w:r>
        <w:rPr>
          <w:rFonts w:ascii="Times New Roman" w:hAnsi="Times New Roman" w:eastAsia="Times New Roman" w:cs="Times New Roman"/>
          <w:spacing w:val="-5"/>
          <w:sz w:val="24"/>
          <w:szCs w:val="24"/>
        </w:rPr>
        <w:t>-6.1</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1982</w:t>
      </w:r>
      <w:r>
        <w:rPr>
          <w:rFonts w:ascii="Times New Roman" w:hAnsi="Times New Roman" w:eastAsia="Times New Roman" w:cs="Times New Roman"/>
          <w:spacing w:val="-16"/>
          <w:sz w:val="24"/>
          <w:szCs w:val="24"/>
        </w:rPr>
        <w:t xml:space="preserve"> </w:t>
      </w:r>
      <w:r>
        <w:rPr>
          <w:rFonts w:ascii="宋体" w:hAnsi="宋体" w:eastAsia="宋体" w:cs="宋体"/>
          <w:spacing w:val="-8"/>
          <w:sz w:val="24"/>
          <w:szCs w:val="24"/>
        </w:rPr>
        <w:t>年</w:t>
      </w:r>
      <w:r>
        <w:rPr>
          <w:rFonts w:ascii="宋体" w:hAnsi="宋体" w:eastAsia="宋体" w:cs="宋体"/>
          <w:spacing w:val="-59"/>
          <w:sz w:val="24"/>
          <w:szCs w:val="24"/>
        </w:rPr>
        <w:t xml:space="preserve"> </w:t>
      </w:r>
      <w:r>
        <w:rPr>
          <w:rFonts w:ascii="Times New Roman" w:hAnsi="Times New Roman" w:eastAsia="Times New Roman" w:cs="Times New Roman"/>
          <w:spacing w:val="-8"/>
          <w:sz w:val="24"/>
          <w:szCs w:val="24"/>
        </w:rPr>
        <w:t xml:space="preserve">12 </w:t>
      </w:r>
      <w:r>
        <w:rPr>
          <w:rFonts w:ascii="宋体" w:hAnsi="宋体" w:eastAsia="宋体" w:cs="宋体"/>
          <w:spacing w:val="-8"/>
          <w:sz w:val="24"/>
          <w:szCs w:val="24"/>
        </w:rPr>
        <w:t>月</w:t>
      </w:r>
      <w:r>
        <w:rPr>
          <w:rFonts w:ascii="Times New Roman" w:hAnsi="Times New Roman" w:eastAsia="Times New Roman" w:cs="Times New Roman"/>
          <w:spacing w:val="-8"/>
          <w:sz w:val="24"/>
          <w:szCs w:val="24"/>
        </w:rPr>
        <w:t>20</w:t>
      </w:r>
      <w:r>
        <w:rPr>
          <w:rFonts w:ascii="Times New Roman" w:hAnsi="Times New Roman" w:eastAsia="Times New Roman" w:cs="Times New Roman"/>
          <w:spacing w:val="25"/>
          <w:sz w:val="24"/>
          <w:szCs w:val="24"/>
        </w:rPr>
        <w:t xml:space="preserve"> </w:t>
      </w:r>
      <w:r>
        <w:rPr>
          <w:rFonts w:ascii="宋体" w:hAnsi="宋体" w:eastAsia="宋体" w:cs="宋体"/>
          <w:spacing w:val="-8"/>
          <w:sz w:val="24"/>
          <w:szCs w:val="24"/>
        </w:rPr>
        <w:t>日）。多年平均降水量</w:t>
      </w:r>
      <w:r>
        <w:rPr>
          <w:rFonts w:ascii="Times New Roman" w:hAnsi="Times New Roman" w:eastAsia="Times New Roman" w:cs="Times New Roman"/>
          <w:spacing w:val="-8"/>
          <w:sz w:val="24"/>
          <w:szCs w:val="24"/>
        </w:rPr>
        <w:t>795.9mm</w:t>
      </w:r>
      <w:r>
        <w:rPr>
          <w:rFonts w:ascii="宋体" w:hAnsi="宋体" w:eastAsia="宋体" w:cs="宋体"/>
          <w:spacing w:val="-8"/>
          <w:sz w:val="24"/>
          <w:szCs w:val="24"/>
        </w:rPr>
        <w:t>，多年平均水面蒸发量</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9"/>
          <w:sz w:val="24"/>
          <w:szCs w:val="24"/>
        </w:rPr>
        <w:t>526.5mm</w:t>
      </w:r>
      <w:r>
        <w:rPr>
          <w:rFonts w:ascii="Times New Roman" w:hAnsi="Times New Roman" w:eastAsia="Times New Roman" w:cs="Times New Roman"/>
          <w:sz w:val="24"/>
          <w:szCs w:val="24"/>
        </w:rPr>
        <w:t xml:space="preserve"> </w:t>
      </w:r>
      <w:r>
        <w:rPr>
          <w:rFonts w:ascii="宋体" w:hAnsi="宋体" w:eastAsia="宋体" w:cs="宋体"/>
          <w:sz w:val="24"/>
          <w:szCs w:val="24"/>
        </w:rPr>
        <w:tab/>
      </w:r>
      <w:r>
        <w:rPr>
          <w:rFonts w:ascii="宋体" w:hAnsi="宋体" w:eastAsia="宋体" w:cs="宋体"/>
          <w:spacing w:val="-2"/>
          <w:sz w:val="24"/>
          <w:szCs w:val="24"/>
        </w:rPr>
        <w:t>(Φ</w:t>
      </w:r>
      <w:r>
        <w:rPr>
          <w:rFonts w:ascii="Times New Roman" w:hAnsi="Times New Roman" w:eastAsia="Times New Roman" w:cs="Times New Roman"/>
          <w:spacing w:val="-2"/>
          <w:sz w:val="24"/>
          <w:szCs w:val="24"/>
        </w:rPr>
        <w:t>20cm</w:t>
      </w:r>
      <w:r>
        <w:rPr>
          <w:rFonts w:ascii="宋体" w:hAnsi="宋体" w:eastAsia="宋体" w:cs="宋体"/>
          <w:spacing w:val="-56"/>
          <w:sz w:val="24"/>
          <w:szCs w:val="24"/>
        </w:rPr>
        <w:t>），</w:t>
      </w:r>
      <w:r>
        <w:rPr>
          <w:rFonts w:ascii="宋体" w:hAnsi="宋体" w:eastAsia="宋体" w:cs="宋体"/>
          <w:spacing w:val="-2"/>
          <w:sz w:val="24"/>
          <w:szCs w:val="24"/>
        </w:rPr>
        <w:t>多年平均相对湿度</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65%</w:t>
      </w:r>
      <w:r>
        <w:rPr>
          <w:rFonts w:ascii="宋体" w:hAnsi="宋体" w:eastAsia="宋体" w:cs="宋体"/>
          <w:spacing w:val="-2"/>
          <w:sz w:val="24"/>
          <w:szCs w:val="24"/>
        </w:rPr>
        <w:t>。多年平均风速</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3.5m/s</w:t>
      </w:r>
      <w:r>
        <w:rPr>
          <w:rFonts w:ascii="宋体" w:hAnsi="宋体" w:eastAsia="宋体" w:cs="宋体"/>
          <w:spacing w:val="-2"/>
          <w:sz w:val="24"/>
          <w:szCs w:val="24"/>
        </w:rPr>
        <w:t>，主风向为西南和偏</w:t>
      </w:r>
    </w:p>
    <w:p>
      <w:pPr>
        <w:spacing w:before="1" w:line="219" w:lineRule="auto"/>
        <w:ind w:left="42"/>
        <w:rPr>
          <w:rFonts w:ascii="宋体" w:hAnsi="宋体" w:eastAsia="宋体" w:cs="宋体"/>
          <w:sz w:val="24"/>
          <w:szCs w:val="24"/>
        </w:rPr>
      </w:pPr>
      <w:r>
        <w:rPr>
          <w:rFonts w:ascii="宋体" w:hAnsi="宋体" w:eastAsia="宋体" w:cs="宋体"/>
          <w:spacing w:val="-4"/>
          <w:sz w:val="24"/>
          <w:szCs w:val="24"/>
        </w:rPr>
        <w:t>南风。年无霜期</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220</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天左右。</w:t>
      </w:r>
    </w:p>
    <w:p>
      <w:pPr>
        <w:spacing w:before="183" w:line="360" w:lineRule="auto"/>
        <w:ind w:left="40" w:right="79" w:firstLine="496"/>
        <w:rPr>
          <w:rFonts w:ascii="宋体" w:hAnsi="宋体" w:eastAsia="宋体" w:cs="宋体"/>
          <w:sz w:val="24"/>
          <w:szCs w:val="24"/>
        </w:rPr>
      </w:pPr>
      <w:r>
        <w:rPr>
          <w:rFonts w:ascii="宋体" w:hAnsi="宋体" w:eastAsia="宋体" w:cs="宋体"/>
          <w:spacing w:val="-12"/>
          <w:sz w:val="24"/>
          <w:szCs w:val="24"/>
        </w:rPr>
        <w:t>区域径流来源于降水， 降水量的年际变化大， 根据大姚县气象站</w:t>
      </w:r>
      <w:r>
        <w:rPr>
          <w:rFonts w:ascii="宋体" w:hAnsi="宋体" w:eastAsia="宋体" w:cs="宋体"/>
          <w:spacing w:val="-13"/>
          <w:sz w:val="24"/>
          <w:szCs w:val="24"/>
        </w:rPr>
        <w:t xml:space="preserve"> </w:t>
      </w:r>
      <w:r>
        <w:rPr>
          <w:rFonts w:ascii="Times New Roman" w:hAnsi="Times New Roman" w:eastAsia="Times New Roman" w:cs="Times New Roman"/>
          <w:spacing w:val="-12"/>
          <w:sz w:val="24"/>
          <w:szCs w:val="24"/>
        </w:rPr>
        <w:t>1959</w:t>
      </w:r>
      <w:r>
        <w:rPr>
          <w:rFonts w:ascii="宋体" w:hAnsi="宋体" w:eastAsia="宋体" w:cs="宋体"/>
          <w:spacing w:val="-12"/>
          <w:sz w:val="24"/>
          <w:szCs w:val="24"/>
        </w:rPr>
        <w:t>～</w:t>
      </w:r>
      <w:r>
        <w:rPr>
          <w:rFonts w:ascii="Times New Roman" w:hAnsi="Times New Roman" w:eastAsia="Times New Roman" w:cs="Times New Roman"/>
          <w:spacing w:val="-12"/>
          <w:sz w:val="24"/>
          <w:szCs w:val="24"/>
        </w:rPr>
        <w:t>2015</w:t>
      </w:r>
      <w:r>
        <w:rPr>
          <w:rFonts w:ascii="Times New Roman" w:hAnsi="Times New Roman" w:eastAsia="Times New Roman" w:cs="Times New Roman"/>
          <w:sz w:val="24"/>
          <w:szCs w:val="24"/>
        </w:rPr>
        <w:t xml:space="preserve"> </w:t>
      </w:r>
      <w:r>
        <w:rPr>
          <w:rFonts w:ascii="宋体" w:hAnsi="宋体" w:eastAsia="宋体" w:cs="宋体"/>
          <w:spacing w:val="3"/>
          <w:sz w:val="24"/>
          <w:szCs w:val="24"/>
        </w:rPr>
        <w:t xml:space="preserve">年共 </w:t>
      </w:r>
      <w:r>
        <w:rPr>
          <w:rFonts w:ascii="Times New Roman" w:hAnsi="Times New Roman" w:eastAsia="Times New Roman" w:cs="Times New Roman"/>
          <w:spacing w:val="3"/>
          <w:sz w:val="24"/>
          <w:szCs w:val="24"/>
        </w:rPr>
        <w:t xml:space="preserve">57  </w:t>
      </w:r>
      <w:r>
        <w:rPr>
          <w:rFonts w:ascii="宋体" w:hAnsi="宋体" w:eastAsia="宋体" w:cs="宋体"/>
          <w:spacing w:val="3"/>
          <w:sz w:val="24"/>
          <w:szCs w:val="24"/>
        </w:rPr>
        <w:t>年实测资料，最大年降水量</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1078.6</w:t>
      </w:r>
      <w:r>
        <w:rPr>
          <w:rFonts w:ascii="Times New Roman" w:hAnsi="Times New Roman" w:eastAsia="Times New Roman" w:cs="Times New Roman"/>
          <w:sz w:val="24"/>
          <w:szCs w:val="24"/>
        </w:rPr>
        <w:t>mm</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1961 </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年</w:t>
      </w:r>
      <w:r>
        <w:rPr>
          <w:rFonts w:ascii="宋体" w:hAnsi="宋体" w:eastAsia="宋体" w:cs="宋体"/>
          <w:spacing w:val="-43"/>
          <w:sz w:val="24"/>
          <w:szCs w:val="24"/>
        </w:rPr>
        <w:t>），</w:t>
      </w:r>
      <w:r>
        <w:rPr>
          <w:rFonts w:ascii="宋体" w:hAnsi="宋体" w:eastAsia="宋体" w:cs="宋体"/>
          <w:spacing w:val="2"/>
          <w:sz w:val="24"/>
          <w:szCs w:val="24"/>
        </w:rPr>
        <w:t>最小年降水量为</w:t>
      </w:r>
    </w:p>
    <w:p>
      <w:pPr>
        <w:spacing w:line="219" w:lineRule="auto"/>
        <w:ind w:left="33"/>
        <w:rPr>
          <w:rFonts w:ascii="宋体" w:hAnsi="宋体" w:eastAsia="宋体" w:cs="宋体"/>
          <w:sz w:val="24"/>
          <w:szCs w:val="24"/>
        </w:rPr>
      </w:pPr>
      <w:r>
        <w:rPr>
          <w:rFonts w:ascii="Times New Roman" w:hAnsi="Times New Roman" w:eastAsia="Times New Roman" w:cs="Times New Roman"/>
          <w:spacing w:val="-1"/>
          <w:sz w:val="24"/>
          <w:szCs w:val="24"/>
        </w:rPr>
        <w:t>461.3mm</w:t>
      </w:r>
      <w:r>
        <w:rPr>
          <w:rFonts w:ascii="宋体" w:hAnsi="宋体" w:eastAsia="宋体" w:cs="宋体"/>
          <w:spacing w:val="-1"/>
          <w:sz w:val="24"/>
          <w:szCs w:val="24"/>
        </w:rPr>
        <w:t>（</w:t>
      </w:r>
      <w:r>
        <w:rPr>
          <w:rFonts w:ascii="Times New Roman" w:hAnsi="Times New Roman" w:eastAsia="Times New Roman" w:cs="Times New Roman"/>
          <w:spacing w:val="-1"/>
          <w:sz w:val="24"/>
          <w:szCs w:val="24"/>
        </w:rPr>
        <w:t>2009</w:t>
      </w:r>
      <w:r>
        <w:rPr>
          <w:rFonts w:ascii="Times New Roman" w:hAnsi="Times New Roman" w:eastAsia="Times New Roman" w:cs="Times New Roman"/>
          <w:spacing w:val="29"/>
          <w:w w:val="101"/>
          <w:sz w:val="24"/>
          <w:szCs w:val="24"/>
        </w:rPr>
        <w:t xml:space="preserve"> </w:t>
      </w:r>
      <w:r>
        <w:rPr>
          <w:rFonts w:ascii="宋体" w:hAnsi="宋体" w:eastAsia="宋体" w:cs="宋体"/>
          <w:spacing w:val="-1"/>
          <w:sz w:val="24"/>
          <w:szCs w:val="24"/>
        </w:rPr>
        <w:t>年</w:t>
      </w:r>
      <w:r>
        <w:rPr>
          <w:rFonts w:ascii="宋体" w:hAnsi="宋体" w:eastAsia="宋体" w:cs="宋体"/>
          <w:spacing w:val="-30"/>
          <w:sz w:val="24"/>
          <w:szCs w:val="24"/>
        </w:rPr>
        <w:t>），</w:t>
      </w:r>
      <w:r>
        <w:rPr>
          <w:rFonts w:ascii="宋体" w:hAnsi="宋体" w:eastAsia="宋体" w:cs="宋体"/>
          <w:spacing w:val="-1"/>
          <w:sz w:val="24"/>
          <w:szCs w:val="24"/>
        </w:rPr>
        <w:t xml:space="preserve">最大最小值相差近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7"/>
          <w:w w:val="101"/>
          <w:sz w:val="24"/>
          <w:szCs w:val="24"/>
        </w:rPr>
        <w:t xml:space="preserve"> </w:t>
      </w:r>
      <w:r>
        <w:rPr>
          <w:rFonts w:ascii="宋体" w:hAnsi="宋体" w:eastAsia="宋体" w:cs="宋体"/>
          <w:spacing w:val="-1"/>
          <w:sz w:val="24"/>
          <w:szCs w:val="24"/>
        </w:rPr>
        <w:t>倍；年内分配也极不均匀，雨季</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5</w:t>
      </w:r>
      <w:r>
        <w:rPr>
          <w:rFonts w:ascii="宋体" w:hAnsi="宋体" w:eastAsia="宋体" w:cs="宋体"/>
          <w:spacing w:val="-1"/>
          <w:sz w:val="24"/>
          <w:szCs w:val="24"/>
        </w:rPr>
        <w:t>~</w:t>
      </w:r>
    </w:p>
    <w:p>
      <w:pPr>
        <w:spacing w:line="219" w:lineRule="auto"/>
        <w:rPr>
          <w:rFonts w:ascii="宋体" w:hAnsi="宋体" w:eastAsia="宋体" w:cs="宋体"/>
          <w:sz w:val="24"/>
          <w:szCs w:val="24"/>
        </w:rPr>
        <w:sectPr>
          <w:headerReference r:id="rId169" w:type="default"/>
          <w:footerReference r:id="rId170" w:type="default"/>
          <w:pgSz w:w="11907" w:h="16839"/>
          <w:pgMar w:top="1156" w:right="1719" w:bottom="1374" w:left="1770" w:header="881" w:footer="1210" w:gutter="0"/>
        </w:sectPr>
      </w:pPr>
    </w:p>
    <w:p>
      <w:pPr>
        <w:spacing w:line="317" w:lineRule="auto"/>
        <w:rPr>
          <w:rFonts w:ascii="Arial"/>
          <w:sz w:val="21"/>
        </w:rPr>
      </w:pPr>
    </w:p>
    <w:p>
      <w:pPr>
        <w:spacing w:before="78" w:line="468" w:lineRule="exact"/>
        <w:ind w:left="58"/>
        <w:rPr>
          <w:rFonts w:ascii="宋体" w:hAnsi="宋体" w:eastAsia="宋体" w:cs="宋体"/>
          <w:sz w:val="24"/>
          <w:szCs w:val="24"/>
        </w:rPr>
      </w:pPr>
      <w:r>
        <w:rPr>
          <w:rFonts w:ascii="Times New Roman" w:hAnsi="Times New Roman" w:eastAsia="Times New Roman" w:cs="Times New Roman"/>
          <w:spacing w:val="-4"/>
          <w:position w:val="17"/>
          <w:sz w:val="24"/>
          <w:szCs w:val="24"/>
        </w:rPr>
        <w:t>10</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4"/>
          <w:position w:val="17"/>
          <w:sz w:val="24"/>
          <w:szCs w:val="24"/>
        </w:rPr>
        <w:t>月降水量约占年降水量的</w:t>
      </w:r>
      <w:r>
        <w:rPr>
          <w:rFonts w:ascii="宋体" w:hAnsi="宋体" w:eastAsia="宋体" w:cs="宋体"/>
          <w:spacing w:val="-51"/>
          <w:position w:val="17"/>
          <w:sz w:val="24"/>
          <w:szCs w:val="24"/>
        </w:rPr>
        <w:t xml:space="preserve"> </w:t>
      </w:r>
      <w:r>
        <w:rPr>
          <w:rFonts w:ascii="Times New Roman" w:hAnsi="Times New Roman" w:eastAsia="Times New Roman" w:cs="Times New Roman"/>
          <w:spacing w:val="-4"/>
          <w:position w:val="17"/>
          <w:sz w:val="24"/>
          <w:szCs w:val="24"/>
        </w:rPr>
        <w:t>91.4%</w:t>
      </w:r>
      <w:r>
        <w:rPr>
          <w:rFonts w:ascii="Times New Roman" w:hAnsi="Times New Roman" w:eastAsia="Times New Roman" w:cs="Times New Roman"/>
          <w:spacing w:val="-33"/>
          <w:position w:val="17"/>
          <w:sz w:val="24"/>
          <w:szCs w:val="24"/>
        </w:rPr>
        <w:t xml:space="preserve"> </w:t>
      </w: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7</w:t>
      </w:r>
      <w:r>
        <w:rPr>
          <w:rFonts w:ascii="Times New Roman" w:hAnsi="Times New Roman" w:eastAsia="Times New Roman" w:cs="Times New Roman"/>
          <w:spacing w:val="-33"/>
          <w:position w:val="17"/>
          <w:sz w:val="24"/>
          <w:szCs w:val="24"/>
        </w:rPr>
        <w:t xml:space="preserve"> </w:t>
      </w: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8</w:t>
      </w:r>
      <w:r>
        <w:rPr>
          <w:rFonts w:ascii="Times New Roman" w:hAnsi="Times New Roman" w:eastAsia="Times New Roman" w:cs="Times New Roman"/>
          <w:spacing w:val="15"/>
          <w:position w:val="17"/>
          <w:sz w:val="24"/>
          <w:szCs w:val="24"/>
        </w:rPr>
        <w:t xml:space="preserve"> </w:t>
      </w:r>
      <w:r>
        <w:rPr>
          <w:rFonts w:ascii="宋体" w:hAnsi="宋体" w:eastAsia="宋体" w:cs="宋体"/>
          <w:spacing w:val="-4"/>
          <w:position w:val="17"/>
          <w:sz w:val="24"/>
          <w:szCs w:val="24"/>
        </w:rPr>
        <w:t>月两个月占</w:t>
      </w:r>
      <w:r>
        <w:rPr>
          <w:rFonts w:ascii="宋体" w:hAnsi="宋体" w:eastAsia="宋体" w:cs="宋体"/>
          <w:spacing w:val="-56"/>
          <w:position w:val="17"/>
          <w:sz w:val="24"/>
          <w:szCs w:val="24"/>
        </w:rPr>
        <w:t xml:space="preserve"> </w:t>
      </w:r>
      <w:r>
        <w:rPr>
          <w:rFonts w:ascii="Times New Roman" w:hAnsi="Times New Roman" w:eastAsia="Times New Roman" w:cs="Times New Roman"/>
          <w:spacing w:val="-5"/>
          <w:position w:val="17"/>
          <w:sz w:val="24"/>
          <w:szCs w:val="24"/>
        </w:rPr>
        <w:t>43.7%</w:t>
      </w:r>
      <w:r>
        <w:rPr>
          <w:rFonts w:ascii="宋体" w:hAnsi="宋体" w:eastAsia="宋体" w:cs="宋体"/>
          <w:spacing w:val="-5"/>
          <w:position w:val="17"/>
          <w:sz w:val="24"/>
          <w:szCs w:val="24"/>
        </w:rPr>
        <w:t>，而干季</w:t>
      </w:r>
      <w:r>
        <w:rPr>
          <w:rFonts w:ascii="宋体" w:hAnsi="宋体" w:eastAsia="宋体" w:cs="宋体"/>
          <w:spacing w:val="-32"/>
          <w:position w:val="17"/>
          <w:sz w:val="24"/>
          <w:szCs w:val="24"/>
        </w:rPr>
        <w:t xml:space="preserve"> </w:t>
      </w:r>
      <w:r>
        <w:rPr>
          <w:rFonts w:ascii="Times New Roman" w:hAnsi="Times New Roman" w:eastAsia="Times New Roman" w:cs="Times New Roman"/>
          <w:spacing w:val="-5"/>
          <w:position w:val="17"/>
          <w:sz w:val="24"/>
          <w:szCs w:val="24"/>
        </w:rPr>
        <w:t>11</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5"/>
          <w:position w:val="17"/>
          <w:sz w:val="24"/>
          <w:szCs w:val="24"/>
        </w:rPr>
        <w:t>月至次</w:t>
      </w:r>
    </w:p>
    <w:p>
      <w:pPr>
        <w:spacing w:line="219" w:lineRule="auto"/>
        <w:ind w:left="40"/>
        <w:rPr>
          <w:rFonts w:ascii="宋体" w:hAnsi="宋体" w:eastAsia="宋体" w:cs="宋体"/>
          <w:sz w:val="24"/>
          <w:szCs w:val="24"/>
        </w:rPr>
      </w:pPr>
      <w:r>
        <w:rPr>
          <w:rFonts w:ascii="宋体" w:hAnsi="宋体" w:eastAsia="宋体" w:cs="宋体"/>
          <w:spacing w:val="-6"/>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月仅占</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8.6%</w:t>
      </w:r>
      <w:r>
        <w:rPr>
          <w:rFonts w:ascii="宋体" w:hAnsi="宋体" w:eastAsia="宋体" w:cs="宋体"/>
          <w:spacing w:val="-6"/>
          <w:sz w:val="24"/>
          <w:szCs w:val="24"/>
        </w:rPr>
        <w:t>左右。</w:t>
      </w:r>
    </w:p>
    <w:p>
      <w:pPr>
        <w:spacing w:before="183" w:line="360" w:lineRule="auto"/>
        <w:ind w:left="39" w:right="18" w:firstLine="480"/>
        <w:jc w:val="both"/>
        <w:rPr>
          <w:rFonts w:ascii="宋体" w:hAnsi="宋体" w:eastAsia="宋体" w:cs="宋体"/>
          <w:sz w:val="24"/>
          <w:szCs w:val="24"/>
        </w:rPr>
      </w:pPr>
      <w:r>
        <w:rPr>
          <w:rFonts w:ascii="宋体" w:hAnsi="宋体" w:eastAsia="宋体" w:cs="宋体"/>
          <w:spacing w:val="-3"/>
          <w:sz w:val="24"/>
          <w:szCs w:val="24"/>
        </w:rPr>
        <w:t>根据拟建桂花水库下游中和街水文站</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1967</w:t>
      </w:r>
      <w:r>
        <w:rPr>
          <w:rFonts w:ascii="宋体" w:hAnsi="宋体" w:eastAsia="宋体" w:cs="宋体"/>
          <w:spacing w:val="-3"/>
          <w:sz w:val="24"/>
          <w:szCs w:val="24"/>
        </w:rPr>
        <w:t>～</w:t>
      </w:r>
      <w:r>
        <w:rPr>
          <w:rFonts w:ascii="Times New Roman" w:hAnsi="Times New Roman" w:eastAsia="Times New Roman" w:cs="Times New Roman"/>
          <w:spacing w:val="-3"/>
          <w:sz w:val="24"/>
          <w:szCs w:val="24"/>
        </w:rPr>
        <w:t>2015</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年共</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49</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年实测降水</w:t>
      </w:r>
      <w:r>
        <w:rPr>
          <w:rFonts w:ascii="宋体" w:hAnsi="宋体" w:eastAsia="宋体" w:cs="宋体"/>
          <w:spacing w:val="-4"/>
          <w:sz w:val="24"/>
          <w:szCs w:val="24"/>
        </w:rPr>
        <w:t>资料，</w:t>
      </w:r>
      <w:r>
        <w:rPr>
          <w:rFonts w:ascii="宋体" w:hAnsi="宋体" w:eastAsia="宋体" w:cs="宋体"/>
          <w:sz w:val="24"/>
          <w:szCs w:val="24"/>
        </w:rPr>
        <w:t xml:space="preserve"> </w:t>
      </w:r>
      <w:r>
        <w:rPr>
          <w:rFonts w:ascii="宋体" w:hAnsi="宋体" w:eastAsia="宋体" w:cs="宋体"/>
          <w:spacing w:val="-3"/>
          <w:sz w:val="24"/>
          <w:szCs w:val="24"/>
        </w:rPr>
        <w:t>多年平均降水量</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929.9mm</w:t>
      </w:r>
      <w:r>
        <w:rPr>
          <w:rFonts w:ascii="宋体" w:hAnsi="宋体" w:eastAsia="宋体" w:cs="宋体"/>
          <w:spacing w:val="-3"/>
          <w:sz w:val="24"/>
          <w:szCs w:val="24"/>
        </w:rPr>
        <w:t xml:space="preserve">，最大年降水量为 </w:t>
      </w:r>
      <w:r>
        <w:rPr>
          <w:rFonts w:ascii="Times New Roman" w:hAnsi="Times New Roman" w:eastAsia="Times New Roman" w:cs="Times New Roman"/>
          <w:spacing w:val="-4"/>
          <w:sz w:val="24"/>
          <w:szCs w:val="24"/>
        </w:rPr>
        <w:t>1257.2mm</w:t>
      </w:r>
      <w:r>
        <w:rPr>
          <w:rFonts w:ascii="宋体" w:hAnsi="宋体" w:eastAsia="宋体" w:cs="宋体"/>
          <w:spacing w:val="-4"/>
          <w:sz w:val="24"/>
          <w:szCs w:val="24"/>
        </w:rPr>
        <w:t>（</w:t>
      </w:r>
      <w:r>
        <w:rPr>
          <w:rFonts w:ascii="Times New Roman" w:hAnsi="Times New Roman" w:eastAsia="Times New Roman" w:cs="Times New Roman"/>
          <w:spacing w:val="-4"/>
          <w:sz w:val="24"/>
          <w:szCs w:val="24"/>
        </w:rPr>
        <w:t>1986</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年</w:t>
      </w:r>
      <w:r>
        <w:rPr>
          <w:rFonts w:ascii="宋体" w:hAnsi="宋体" w:eastAsia="宋体" w:cs="宋体"/>
          <w:spacing w:val="-36"/>
          <w:sz w:val="24"/>
          <w:szCs w:val="24"/>
        </w:rPr>
        <w:t>），</w:t>
      </w:r>
      <w:r>
        <w:rPr>
          <w:rFonts w:ascii="宋体" w:hAnsi="宋体" w:eastAsia="宋体" w:cs="宋体"/>
          <w:spacing w:val="-4"/>
          <w:sz w:val="24"/>
          <w:szCs w:val="24"/>
        </w:rPr>
        <w:t xml:space="preserve">最小年降水 </w:t>
      </w:r>
      <w:r>
        <w:rPr>
          <w:rFonts w:ascii="宋体" w:hAnsi="宋体" w:eastAsia="宋体" w:cs="宋体"/>
          <w:spacing w:val="-5"/>
          <w:sz w:val="24"/>
          <w:szCs w:val="24"/>
        </w:rPr>
        <w:t>量为</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593.5mm</w:t>
      </w:r>
      <w:r>
        <w:rPr>
          <w:rFonts w:ascii="宋体" w:hAnsi="宋体" w:eastAsia="宋体" w:cs="宋体"/>
          <w:spacing w:val="-5"/>
          <w:sz w:val="24"/>
          <w:szCs w:val="24"/>
        </w:rPr>
        <w:t>（</w:t>
      </w:r>
      <w:r>
        <w:rPr>
          <w:rFonts w:ascii="Times New Roman" w:hAnsi="Times New Roman" w:eastAsia="Times New Roman" w:cs="Times New Roman"/>
          <w:spacing w:val="-5"/>
          <w:sz w:val="24"/>
          <w:szCs w:val="24"/>
        </w:rPr>
        <w:t>2011</w:t>
      </w:r>
      <w:r>
        <w:rPr>
          <w:rFonts w:ascii="Times New Roman" w:hAnsi="Times New Roman" w:eastAsia="Times New Roman" w:cs="Times New Roman"/>
          <w:spacing w:val="29"/>
          <w:w w:val="101"/>
          <w:sz w:val="24"/>
          <w:szCs w:val="24"/>
        </w:rPr>
        <w:t xml:space="preserve"> </w:t>
      </w:r>
      <w:r>
        <w:rPr>
          <w:rFonts w:ascii="宋体" w:hAnsi="宋体" w:eastAsia="宋体" w:cs="宋体"/>
          <w:spacing w:val="-5"/>
          <w:sz w:val="24"/>
          <w:szCs w:val="24"/>
        </w:rPr>
        <w:t>年</w:t>
      </w:r>
      <w:r>
        <w:rPr>
          <w:rFonts w:ascii="宋体" w:hAnsi="宋体" w:eastAsia="宋体" w:cs="宋体"/>
          <w:spacing w:val="-33"/>
          <w:sz w:val="24"/>
          <w:szCs w:val="24"/>
        </w:rPr>
        <w:t>），</w:t>
      </w:r>
      <w:r>
        <w:rPr>
          <w:rFonts w:ascii="宋体" w:hAnsi="宋体" w:eastAsia="宋体" w:cs="宋体"/>
          <w:spacing w:val="-5"/>
          <w:sz w:val="24"/>
          <w:szCs w:val="24"/>
        </w:rPr>
        <w:t xml:space="preserve">最大最小值相差也是近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9"/>
          <w:w w:val="101"/>
          <w:sz w:val="24"/>
          <w:szCs w:val="24"/>
        </w:rPr>
        <w:t xml:space="preserve"> </w:t>
      </w:r>
      <w:r>
        <w:rPr>
          <w:rFonts w:ascii="宋体" w:hAnsi="宋体" w:eastAsia="宋体" w:cs="宋体"/>
          <w:spacing w:val="-5"/>
          <w:sz w:val="24"/>
          <w:szCs w:val="24"/>
        </w:rPr>
        <w:t>倍；年内分配也极不均匀，</w:t>
      </w:r>
      <w:r>
        <w:rPr>
          <w:rFonts w:ascii="宋体" w:hAnsi="宋体" w:eastAsia="宋体" w:cs="宋体"/>
          <w:sz w:val="24"/>
          <w:szCs w:val="24"/>
        </w:rPr>
        <w:t xml:space="preserve"> </w:t>
      </w:r>
      <w:r>
        <w:rPr>
          <w:rFonts w:ascii="宋体" w:hAnsi="宋体" w:eastAsia="宋体" w:cs="宋体"/>
          <w:spacing w:val="-4"/>
          <w:sz w:val="24"/>
          <w:szCs w:val="24"/>
        </w:rPr>
        <w:t>雨季</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5</w:t>
      </w:r>
      <w:r>
        <w:rPr>
          <w:rFonts w:ascii="宋体" w:hAnsi="宋体" w:eastAsia="宋体" w:cs="宋体"/>
          <w:spacing w:val="-4"/>
          <w:sz w:val="24"/>
          <w:szCs w:val="24"/>
        </w:rPr>
        <w:t>～</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月降水量约占年降水量的</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94%</w:t>
      </w:r>
      <w:r>
        <w:rPr>
          <w:rFonts w:ascii="宋体" w:hAnsi="宋体" w:eastAsia="宋体" w:cs="宋体"/>
          <w:spacing w:val="-4"/>
          <w:sz w:val="24"/>
          <w:szCs w:val="24"/>
        </w:rPr>
        <w:t xml:space="preserve">，而干季 </w:t>
      </w:r>
      <w:r>
        <w:rPr>
          <w:rFonts w:ascii="Times New Roman" w:hAnsi="Times New Roman" w:eastAsia="Times New Roman" w:cs="Times New Roman"/>
          <w:spacing w:val="-4"/>
          <w:sz w:val="24"/>
          <w:szCs w:val="24"/>
        </w:rPr>
        <w:t>11</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月至次年</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月仅占</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6%</w:t>
      </w:r>
      <w:r>
        <w:rPr>
          <w:rFonts w:ascii="宋体" w:hAnsi="宋体" w:eastAsia="宋体" w:cs="宋体"/>
          <w:spacing w:val="-4"/>
          <w:sz w:val="24"/>
          <w:szCs w:val="24"/>
        </w:rPr>
        <w:t>左</w:t>
      </w:r>
      <w:r>
        <w:rPr>
          <w:rFonts w:ascii="宋体" w:hAnsi="宋体" w:eastAsia="宋体" w:cs="宋体"/>
          <w:sz w:val="24"/>
          <w:szCs w:val="24"/>
        </w:rPr>
        <w:t xml:space="preserve"> </w:t>
      </w:r>
      <w:r>
        <w:rPr>
          <w:rFonts w:ascii="宋体" w:hAnsi="宋体" w:eastAsia="宋体" w:cs="宋体"/>
          <w:spacing w:val="-14"/>
          <w:sz w:val="24"/>
          <w:szCs w:val="24"/>
        </w:rPr>
        <w:t>右；</w:t>
      </w:r>
      <w:r>
        <w:rPr>
          <w:rFonts w:ascii="宋体" w:hAnsi="宋体" w:eastAsia="宋体" w:cs="宋体"/>
          <w:spacing w:val="-18"/>
          <w:sz w:val="24"/>
          <w:szCs w:val="24"/>
        </w:rPr>
        <w:t xml:space="preserve"> </w:t>
      </w:r>
      <w:r>
        <w:rPr>
          <w:rFonts w:ascii="宋体" w:hAnsi="宋体" w:eastAsia="宋体" w:cs="宋体"/>
          <w:spacing w:val="-14"/>
          <w:sz w:val="24"/>
          <w:szCs w:val="24"/>
        </w:rPr>
        <w:t>与降水相应，</w:t>
      </w:r>
      <w:r>
        <w:rPr>
          <w:rFonts w:ascii="宋体" w:hAnsi="宋体" w:eastAsia="宋体" w:cs="宋体"/>
          <w:spacing w:val="53"/>
          <w:sz w:val="24"/>
          <w:szCs w:val="24"/>
        </w:rPr>
        <w:t xml:space="preserve"> </w:t>
      </w:r>
      <w:r>
        <w:rPr>
          <w:rFonts w:ascii="宋体" w:hAnsi="宋体" w:eastAsia="宋体" w:cs="宋体"/>
          <w:spacing w:val="-14"/>
          <w:sz w:val="24"/>
          <w:szCs w:val="24"/>
        </w:rPr>
        <w:t>径流的年内丰枯变化悬殊大，</w:t>
      </w:r>
      <w:r>
        <w:rPr>
          <w:rFonts w:ascii="宋体" w:hAnsi="宋体" w:eastAsia="宋体" w:cs="宋体"/>
          <w:spacing w:val="53"/>
          <w:sz w:val="24"/>
          <w:szCs w:val="24"/>
        </w:rPr>
        <w:t xml:space="preserve"> </w:t>
      </w:r>
      <w:r>
        <w:rPr>
          <w:rFonts w:ascii="Times New Roman" w:hAnsi="Times New Roman" w:eastAsia="Times New Roman" w:cs="Times New Roman"/>
          <w:spacing w:val="-14"/>
          <w:sz w:val="24"/>
          <w:szCs w:val="24"/>
        </w:rPr>
        <w:t>6</w:t>
      </w:r>
      <w:r>
        <w:rPr>
          <w:rFonts w:ascii="宋体" w:hAnsi="宋体" w:eastAsia="宋体" w:cs="宋体"/>
          <w:spacing w:val="-14"/>
          <w:sz w:val="24"/>
          <w:szCs w:val="24"/>
        </w:rPr>
        <w:t>～</w:t>
      </w:r>
      <w:r>
        <w:rPr>
          <w:rFonts w:ascii="Times New Roman" w:hAnsi="Times New Roman" w:eastAsia="Times New Roman" w:cs="Times New Roman"/>
          <w:spacing w:val="-14"/>
          <w:sz w:val="24"/>
          <w:szCs w:val="24"/>
        </w:rPr>
        <w:t>11</w:t>
      </w:r>
      <w:r>
        <w:rPr>
          <w:rFonts w:ascii="Times New Roman" w:hAnsi="Times New Roman" w:eastAsia="Times New Roman" w:cs="Times New Roman"/>
          <w:spacing w:val="16"/>
          <w:sz w:val="24"/>
          <w:szCs w:val="24"/>
        </w:rPr>
        <w:t xml:space="preserve"> </w:t>
      </w:r>
      <w:r>
        <w:rPr>
          <w:rFonts w:ascii="宋体" w:hAnsi="宋体" w:eastAsia="宋体" w:cs="宋体"/>
          <w:spacing w:val="-14"/>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14"/>
          <w:sz w:val="24"/>
          <w:szCs w:val="24"/>
        </w:rPr>
        <w:t xml:space="preserve">6 </w:t>
      </w:r>
      <w:r>
        <w:rPr>
          <w:rFonts w:ascii="宋体" w:hAnsi="宋体" w:eastAsia="宋体" w:cs="宋体"/>
          <w:spacing w:val="-14"/>
          <w:sz w:val="24"/>
          <w:szCs w:val="24"/>
        </w:rPr>
        <w:t>个月径流量占年径流</w:t>
      </w:r>
      <w:r>
        <w:rPr>
          <w:rFonts w:ascii="宋体" w:hAnsi="宋体" w:eastAsia="宋体" w:cs="宋体"/>
          <w:sz w:val="24"/>
          <w:szCs w:val="24"/>
        </w:rPr>
        <w:t xml:space="preserve"> </w:t>
      </w:r>
      <w:r>
        <w:rPr>
          <w:rFonts w:ascii="宋体" w:hAnsi="宋体" w:eastAsia="宋体" w:cs="宋体"/>
          <w:spacing w:val="-3"/>
          <w:sz w:val="24"/>
          <w:szCs w:val="24"/>
        </w:rPr>
        <w:t>量的</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80.3%</w:t>
      </w:r>
      <w:r>
        <w:rPr>
          <w:rFonts w:ascii="宋体" w:hAnsi="宋体" w:eastAsia="宋体" w:cs="宋体"/>
          <w:spacing w:val="-3"/>
          <w:sz w:val="24"/>
          <w:szCs w:val="24"/>
        </w:rPr>
        <w:t>，其中最丰的</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宋体" w:hAnsi="宋体" w:eastAsia="宋体" w:cs="宋体"/>
          <w:spacing w:val="-3"/>
          <w:sz w:val="24"/>
          <w:szCs w:val="24"/>
        </w:rPr>
        <w:t>～</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月三个月径流量约占年径流量的</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54.7%</w:t>
      </w:r>
      <w:r>
        <w:rPr>
          <w:rFonts w:ascii="宋体" w:hAnsi="宋体" w:eastAsia="宋体" w:cs="宋体"/>
          <w:spacing w:val="-4"/>
          <w:sz w:val="24"/>
          <w:szCs w:val="24"/>
        </w:rPr>
        <w:t>；</w:t>
      </w:r>
      <w:r>
        <w:rPr>
          <w:rFonts w:ascii="Times New Roman" w:hAnsi="Times New Roman" w:eastAsia="Times New Roman" w:cs="Times New Roman"/>
          <w:spacing w:val="-4"/>
          <w:sz w:val="24"/>
          <w:szCs w:val="24"/>
        </w:rPr>
        <w:t>12</w:t>
      </w: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月</w:t>
      </w:r>
    </w:p>
    <w:p>
      <w:pPr>
        <w:spacing w:line="233" w:lineRule="auto"/>
        <w:ind w:left="39"/>
        <w:rPr>
          <w:rFonts w:ascii="宋体" w:hAnsi="宋体" w:eastAsia="宋体" w:cs="宋体"/>
          <w:sz w:val="24"/>
          <w:szCs w:val="24"/>
        </w:rPr>
      </w:pPr>
      <w:r>
        <w:rPr>
          <w:rFonts w:ascii="宋体" w:hAnsi="宋体" w:eastAsia="宋体" w:cs="宋体"/>
          <w:spacing w:val="-2"/>
          <w:sz w:val="24"/>
          <w:szCs w:val="24"/>
        </w:rPr>
        <w:t>径流量小，占年径流量的</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19.7%</w:t>
      </w:r>
      <w:r>
        <w:rPr>
          <w:rFonts w:ascii="宋体" w:hAnsi="宋体" w:eastAsia="宋体" w:cs="宋体"/>
          <w:spacing w:val="-2"/>
          <w:sz w:val="24"/>
          <w:szCs w:val="24"/>
        </w:rPr>
        <w:t>，最枯的</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月份径流量</w:t>
      </w:r>
      <w:r>
        <w:rPr>
          <w:rFonts w:ascii="宋体" w:hAnsi="宋体" w:eastAsia="宋体" w:cs="宋体"/>
          <w:spacing w:val="-3"/>
          <w:sz w:val="24"/>
          <w:szCs w:val="24"/>
        </w:rPr>
        <w:t>仅占年径流量的</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2.4%</w:t>
      </w:r>
      <w:r>
        <w:rPr>
          <w:rFonts w:ascii="宋体" w:hAnsi="宋体" w:eastAsia="宋体" w:cs="宋体"/>
          <w:spacing w:val="-3"/>
          <w:sz w:val="24"/>
          <w:szCs w:val="24"/>
        </w:rPr>
        <w:t>。</w:t>
      </w:r>
    </w:p>
    <w:p>
      <w:pPr>
        <w:spacing w:before="164" w:line="360" w:lineRule="auto"/>
        <w:ind w:left="39" w:right="86" w:firstLine="481"/>
        <w:jc w:val="both"/>
        <w:rPr>
          <w:rFonts w:ascii="宋体" w:hAnsi="宋体" w:eastAsia="宋体" w:cs="宋体"/>
          <w:sz w:val="24"/>
          <w:szCs w:val="24"/>
        </w:rPr>
      </w:pPr>
      <w:r>
        <w:rPr>
          <w:rFonts w:ascii="宋体" w:hAnsi="宋体" w:eastAsia="宋体" w:cs="宋体"/>
          <w:spacing w:val="-4"/>
          <w:sz w:val="24"/>
          <w:szCs w:val="24"/>
        </w:rPr>
        <w:t>洪水一般由暴雨形成，发生时间与暴雨对应，多发生</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7</w:t>
      </w:r>
      <w:r>
        <w:rPr>
          <w:rFonts w:ascii="宋体" w:hAnsi="宋体" w:eastAsia="宋体" w:cs="宋体"/>
          <w:spacing w:val="-4"/>
          <w:sz w:val="24"/>
          <w:szCs w:val="24"/>
        </w:rPr>
        <w:t>～</w:t>
      </w:r>
      <w:r>
        <w:rPr>
          <w:rFonts w:ascii="Times New Roman" w:hAnsi="Times New Roman" w:eastAsia="Times New Roman" w:cs="Times New Roman"/>
          <w:spacing w:val="-4"/>
          <w:sz w:val="24"/>
          <w:szCs w:val="24"/>
        </w:rPr>
        <w:t>9</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月，</w:t>
      </w:r>
      <w:r>
        <w:rPr>
          <w:rFonts w:ascii="宋体" w:hAnsi="宋体" w:eastAsia="宋体" w:cs="宋体"/>
          <w:spacing w:val="-29"/>
          <w:sz w:val="24"/>
          <w:szCs w:val="24"/>
        </w:rPr>
        <w:t xml:space="preserve"> </w:t>
      </w:r>
      <w:r>
        <w:rPr>
          <w:rFonts w:ascii="宋体" w:hAnsi="宋体" w:eastAsia="宋体" w:cs="宋体"/>
          <w:spacing w:val="-4"/>
          <w:sz w:val="24"/>
          <w:szCs w:val="24"/>
        </w:rPr>
        <w:t>一场暴雨笼</w:t>
      </w:r>
      <w:r>
        <w:rPr>
          <w:rFonts w:ascii="宋体" w:hAnsi="宋体" w:eastAsia="宋体" w:cs="宋体"/>
          <w:sz w:val="24"/>
          <w:szCs w:val="24"/>
        </w:rPr>
        <w:t xml:space="preserve"> </w:t>
      </w:r>
      <w:r>
        <w:rPr>
          <w:rFonts w:ascii="宋体" w:hAnsi="宋体" w:eastAsia="宋体" w:cs="宋体"/>
          <w:spacing w:val="-14"/>
          <w:sz w:val="24"/>
          <w:szCs w:val="24"/>
        </w:rPr>
        <w:t>罩面积小， 历时短， 多为单一的非连续性暴雨。设计流域属山区性河流，</w:t>
      </w:r>
      <w:r>
        <w:rPr>
          <w:rFonts w:ascii="宋体" w:hAnsi="宋体" w:eastAsia="宋体" w:cs="宋体"/>
          <w:spacing w:val="53"/>
          <w:sz w:val="24"/>
          <w:szCs w:val="24"/>
        </w:rPr>
        <w:t xml:space="preserve"> </w:t>
      </w:r>
      <w:r>
        <w:rPr>
          <w:rFonts w:ascii="宋体" w:hAnsi="宋体" w:eastAsia="宋体" w:cs="宋体"/>
          <w:spacing w:val="-14"/>
          <w:sz w:val="24"/>
          <w:szCs w:val="24"/>
        </w:rPr>
        <w:t>洪水具</w:t>
      </w:r>
    </w:p>
    <w:p>
      <w:pPr>
        <w:spacing w:line="219" w:lineRule="auto"/>
        <w:jc w:val="right"/>
        <w:rPr>
          <w:rFonts w:ascii="宋体" w:hAnsi="宋体" w:eastAsia="宋体" w:cs="宋体"/>
          <w:sz w:val="24"/>
          <w:szCs w:val="24"/>
        </w:rPr>
      </w:pPr>
      <w:r>
        <w:rPr>
          <w:rFonts w:ascii="宋体" w:hAnsi="宋体" w:eastAsia="宋体" w:cs="宋体"/>
          <w:spacing w:val="-1"/>
          <w:sz w:val="24"/>
          <w:szCs w:val="24"/>
        </w:rPr>
        <w:t>有历时短、洪量相对集中、过程陡涨陡落等明显的山区性流域洪水的一般特性。</w:t>
      </w:r>
    </w:p>
    <w:p>
      <w:pPr>
        <w:spacing w:line="354" w:lineRule="auto"/>
        <w:rPr>
          <w:rFonts w:ascii="Arial"/>
          <w:sz w:val="21"/>
        </w:rPr>
      </w:pPr>
    </w:p>
    <w:p>
      <w:pPr>
        <w:pStyle w:val="2"/>
        <w:spacing w:before="79" w:line="218" w:lineRule="auto"/>
        <w:ind w:left="33"/>
        <w:outlineLvl w:val="2"/>
        <w:rPr>
          <w:sz w:val="24"/>
          <w:szCs w:val="24"/>
        </w:rPr>
      </w:pPr>
      <w:r>
        <w:rPr>
          <w:rFonts w:ascii="Times New Roman" w:hAnsi="Times New Roman" w:eastAsia="Times New Roman" w:cs="Times New Roman"/>
          <w:b/>
          <w:bCs/>
          <w:sz w:val="24"/>
          <w:szCs w:val="24"/>
        </w:rPr>
        <w:t xml:space="preserve">3.1.4 </w:t>
      </w:r>
      <w:r>
        <w:rPr>
          <w:sz w:val="24"/>
          <w:szCs w:val="24"/>
          <w14:textOutline w14:w="4354" w14:cap="flat" w14:cmpd="sng">
            <w14:solidFill>
              <w14:srgbClr w14:val="000000"/>
            </w14:solidFill>
            <w14:prstDash w14:val="solid"/>
            <w14:miter w14:val="0"/>
          </w14:textOutline>
        </w:rPr>
        <w:t>河流水系</w:t>
      </w:r>
    </w:p>
    <w:p>
      <w:pPr>
        <w:spacing w:before="297" w:line="360" w:lineRule="auto"/>
        <w:ind w:left="38" w:right="87" w:firstLine="483"/>
        <w:rPr>
          <w:rFonts w:ascii="宋体" w:hAnsi="宋体" w:eastAsia="宋体" w:cs="宋体"/>
          <w:sz w:val="24"/>
          <w:szCs w:val="24"/>
        </w:rPr>
      </w:pPr>
      <w:r>
        <w:rPr>
          <w:rFonts w:ascii="宋体" w:hAnsi="宋体" w:eastAsia="宋体" w:cs="宋体"/>
          <w:spacing w:val="-13"/>
          <w:sz w:val="24"/>
          <w:szCs w:val="24"/>
        </w:rPr>
        <w:t>大姚县所属河流属金沙江水系，</w:t>
      </w:r>
      <w:r>
        <w:rPr>
          <w:rFonts w:ascii="宋体" w:hAnsi="宋体" w:eastAsia="宋体" w:cs="宋体"/>
          <w:spacing w:val="48"/>
          <w:sz w:val="24"/>
          <w:szCs w:val="24"/>
        </w:rPr>
        <w:t xml:space="preserve"> </w:t>
      </w:r>
      <w:r>
        <w:rPr>
          <w:rFonts w:ascii="宋体" w:hAnsi="宋体" w:eastAsia="宋体" w:cs="宋体"/>
          <w:spacing w:val="-13"/>
          <w:sz w:val="24"/>
          <w:szCs w:val="24"/>
        </w:rPr>
        <w:t>多为南、北流向，</w:t>
      </w:r>
      <w:r>
        <w:rPr>
          <w:rFonts w:ascii="宋体" w:hAnsi="宋体" w:eastAsia="宋体" w:cs="宋体"/>
          <w:spacing w:val="39"/>
          <w:sz w:val="24"/>
          <w:szCs w:val="24"/>
        </w:rPr>
        <w:t xml:space="preserve"> </w:t>
      </w:r>
      <w:r>
        <w:rPr>
          <w:rFonts w:ascii="宋体" w:hAnsi="宋体" w:eastAsia="宋体" w:cs="宋体"/>
          <w:spacing w:val="-13"/>
          <w:sz w:val="24"/>
          <w:szCs w:val="24"/>
        </w:rPr>
        <w:t>主要河流有</w:t>
      </w:r>
      <w:r>
        <w:rPr>
          <w:rFonts w:ascii="宋体" w:hAnsi="宋体" w:eastAsia="宋体" w:cs="宋体"/>
          <w:spacing w:val="-14"/>
          <w:sz w:val="24"/>
          <w:szCs w:val="24"/>
        </w:rPr>
        <w:t>桂花河、多底</w:t>
      </w:r>
      <w:r>
        <w:rPr>
          <w:rFonts w:ascii="宋体" w:hAnsi="宋体" w:eastAsia="宋体" w:cs="宋体"/>
          <w:sz w:val="24"/>
          <w:szCs w:val="24"/>
        </w:rPr>
        <w:t xml:space="preserve"> </w:t>
      </w:r>
      <w:r>
        <w:rPr>
          <w:rFonts w:ascii="宋体" w:hAnsi="宋体" w:eastAsia="宋体" w:cs="宋体"/>
          <w:spacing w:val="-11"/>
          <w:sz w:val="24"/>
          <w:szCs w:val="24"/>
        </w:rPr>
        <w:t>河、六苴河、龙街河、渔泡江、蜻蛉河。桂花水库取水影响涉及整个万马河流域，</w:t>
      </w:r>
      <w:r>
        <w:rPr>
          <w:rFonts w:ascii="宋体" w:hAnsi="宋体" w:eastAsia="宋体" w:cs="宋体"/>
          <w:sz w:val="24"/>
          <w:szCs w:val="24"/>
        </w:rPr>
        <w:t xml:space="preserve"> </w:t>
      </w:r>
      <w:r>
        <w:rPr>
          <w:rFonts w:ascii="宋体" w:hAnsi="宋体" w:eastAsia="宋体" w:cs="宋体"/>
          <w:spacing w:val="-11"/>
          <w:sz w:val="24"/>
          <w:szCs w:val="24"/>
        </w:rPr>
        <w:t>地跨大姚、永仁两个行政区域。该项目分析范围内涉及万马河流域、六苴河流域、</w:t>
      </w:r>
    </w:p>
    <w:p>
      <w:pPr>
        <w:spacing w:before="1" w:line="218" w:lineRule="auto"/>
        <w:ind w:left="42"/>
        <w:rPr>
          <w:rFonts w:ascii="宋体" w:hAnsi="宋体" w:eastAsia="宋体" w:cs="宋体"/>
          <w:sz w:val="24"/>
          <w:szCs w:val="24"/>
        </w:rPr>
      </w:pPr>
      <w:r>
        <w:rPr>
          <w:rFonts w:ascii="宋体" w:hAnsi="宋体" w:eastAsia="宋体" w:cs="宋体"/>
          <w:spacing w:val="-1"/>
          <w:sz w:val="24"/>
          <w:szCs w:val="24"/>
        </w:rPr>
        <w:t>大姚县蜻蛉河干流流域，整个分范围流域面积为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2395.5km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w:t>
      </w:r>
    </w:p>
    <w:p>
      <w:pPr>
        <w:spacing w:before="183" w:line="360" w:lineRule="auto"/>
        <w:ind w:left="38" w:right="86" w:firstLine="486"/>
        <w:rPr>
          <w:rFonts w:ascii="Times New Roman" w:hAnsi="Times New Roman" w:eastAsia="Times New Roman" w:cs="Times New Roman"/>
          <w:sz w:val="24"/>
          <w:szCs w:val="24"/>
        </w:rPr>
      </w:pPr>
      <w:r>
        <w:rPr>
          <w:rFonts w:ascii="宋体" w:hAnsi="宋体" w:eastAsia="宋体" w:cs="宋体"/>
          <w:spacing w:val="-12"/>
          <w:sz w:val="24"/>
          <w:szCs w:val="24"/>
        </w:rPr>
        <w:t>万马河位于境内西北部，</w:t>
      </w:r>
      <w:r>
        <w:rPr>
          <w:rFonts w:ascii="宋体" w:hAnsi="宋体" w:eastAsia="宋体" w:cs="宋体"/>
          <w:spacing w:val="35"/>
          <w:sz w:val="24"/>
          <w:szCs w:val="24"/>
        </w:rPr>
        <w:t xml:space="preserve"> </w:t>
      </w:r>
      <w:r>
        <w:rPr>
          <w:rFonts w:ascii="宋体" w:hAnsi="宋体" w:eastAsia="宋体" w:cs="宋体"/>
          <w:spacing w:val="-12"/>
          <w:sz w:val="24"/>
          <w:szCs w:val="24"/>
        </w:rPr>
        <w:t>发源于大姚县昙华山，</w:t>
      </w:r>
      <w:r>
        <w:rPr>
          <w:rFonts w:ascii="宋体" w:hAnsi="宋体" w:eastAsia="宋体" w:cs="宋体"/>
          <w:spacing w:val="30"/>
          <w:sz w:val="24"/>
          <w:szCs w:val="24"/>
        </w:rPr>
        <w:t xml:space="preserve"> </w:t>
      </w:r>
      <w:r>
        <w:rPr>
          <w:rFonts w:ascii="宋体" w:hAnsi="宋体" w:eastAsia="宋体" w:cs="宋体"/>
          <w:spacing w:val="-12"/>
          <w:sz w:val="24"/>
          <w:szCs w:val="24"/>
        </w:rPr>
        <w:t>河</w:t>
      </w:r>
      <w:r>
        <w:rPr>
          <w:rFonts w:ascii="宋体" w:hAnsi="宋体" w:eastAsia="宋体" w:cs="宋体"/>
          <w:spacing w:val="-13"/>
          <w:sz w:val="24"/>
          <w:szCs w:val="24"/>
        </w:rPr>
        <w:t>源海拔</w:t>
      </w:r>
      <w:r>
        <w:rPr>
          <w:rFonts w:ascii="宋体" w:hAnsi="宋体" w:eastAsia="宋体" w:cs="宋体"/>
          <w:spacing w:val="-49"/>
          <w:sz w:val="24"/>
          <w:szCs w:val="24"/>
        </w:rPr>
        <w:t xml:space="preserve"> </w:t>
      </w:r>
      <w:r>
        <w:rPr>
          <w:rFonts w:ascii="Times New Roman" w:hAnsi="Times New Roman" w:eastAsia="Times New Roman" w:cs="Times New Roman"/>
          <w:spacing w:val="-13"/>
          <w:sz w:val="24"/>
          <w:szCs w:val="24"/>
        </w:rPr>
        <w:t>3118m</w:t>
      </w:r>
      <w:r>
        <w:rPr>
          <w:rFonts w:ascii="宋体" w:hAnsi="宋体" w:eastAsia="宋体" w:cs="宋体"/>
          <w:spacing w:val="-13"/>
          <w:sz w:val="24"/>
          <w:szCs w:val="24"/>
        </w:rPr>
        <w:t>，左支流经</w:t>
      </w:r>
      <w:r>
        <w:rPr>
          <w:rFonts w:ascii="宋体" w:hAnsi="宋体" w:eastAsia="宋体" w:cs="宋体"/>
          <w:sz w:val="24"/>
          <w:szCs w:val="24"/>
        </w:rPr>
        <w:t xml:space="preserve"> </w:t>
      </w:r>
      <w:r>
        <w:rPr>
          <w:rFonts w:ascii="宋体" w:hAnsi="宋体" w:eastAsia="宋体" w:cs="宋体"/>
          <w:spacing w:val="-16"/>
          <w:sz w:val="24"/>
          <w:szCs w:val="24"/>
        </w:rPr>
        <w:t>大姚县桂花乡，</w:t>
      </w:r>
      <w:r>
        <w:rPr>
          <w:rFonts w:ascii="宋体" w:hAnsi="宋体" w:eastAsia="宋体" w:cs="宋体"/>
          <w:spacing w:val="31"/>
          <w:sz w:val="24"/>
          <w:szCs w:val="24"/>
        </w:rPr>
        <w:t xml:space="preserve"> </w:t>
      </w:r>
      <w:r>
        <w:rPr>
          <w:rFonts w:ascii="宋体" w:hAnsi="宋体" w:eastAsia="宋体" w:cs="宋体"/>
          <w:spacing w:val="-16"/>
          <w:sz w:val="24"/>
          <w:szCs w:val="24"/>
        </w:rPr>
        <w:t>右支流经大姚县桂花村，</w:t>
      </w:r>
      <w:r>
        <w:rPr>
          <w:rFonts w:ascii="宋体" w:hAnsi="宋体" w:eastAsia="宋体" w:cs="宋体"/>
          <w:spacing w:val="34"/>
          <w:sz w:val="24"/>
          <w:szCs w:val="24"/>
        </w:rPr>
        <w:t xml:space="preserve"> </w:t>
      </w:r>
      <w:r>
        <w:rPr>
          <w:rFonts w:ascii="宋体" w:hAnsi="宋体" w:eastAsia="宋体" w:cs="宋体"/>
          <w:spacing w:val="-16"/>
          <w:sz w:val="24"/>
          <w:szCs w:val="24"/>
        </w:rPr>
        <w:t>于中和街汇合后，</w:t>
      </w:r>
      <w:r>
        <w:rPr>
          <w:rFonts w:ascii="宋体" w:hAnsi="宋体" w:eastAsia="宋体" w:cs="宋体"/>
          <w:spacing w:val="32"/>
          <w:sz w:val="24"/>
          <w:szCs w:val="24"/>
        </w:rPr>
        <w:t xml:space="preserve"> </w:t>
      </w:r>
      <w:r>
        <w:rPr>
          <w:rFonts w:ascii="宋体" w:hAnsi="宋体" w:eastAsia="宋体" w:cs="宋体"/>
          <w:spacing w:val="-16"/>
          <w:sz w:val="24"/>
          <w:szCs w:val="24"/>
        </w:rPr>
        <w:t>经万马乡至河门口汇</w:t>
      </w:r>
      <w:r>
        <w:rPr>
          <w:rFonts w:ascii="宋体" w:hAnsi="宋体" w:eastAsia="宋体" w:cs="宋体"/>
          <w:sz w:val="24"/>
          <w:szCs w:val="24"/>
        </w:rPr>
        <w:t xml:space="preserve"> </w:t>
      </w:r>
      <w:r>
        <w:rPr>
          <w:rFonts w:ascii="宋体" w:hAnsi="宋体" w:eastAsia="宋体" w:cs="宋体"/>
          <w:spacing w:val="-3"/>
          <w:sz w:val="24"/>
          <w:szCs w:val="24"/>
        </w:rPr>
        <w:t xml:space="preserve">入金沙江，主河道长 </w:t>
      </w:r>
      <w:r>
        <w:rPr>
          <w:rFonts w:ascii="Times New Roman" w:hAnsi="Times New Roman" w:eastAsia="Times New Roman" w:cs="Times New Roman"/>
          <w:spacing w:val="-3"/>
          <w:sz w:val="24"/>
          <w:szCs w:val="24"/>
        </w:rPr>
        <w:t>73km</w:t>
      </w:r>
      <w:r>
        <w:rPr>
          <w:rFonts w:ascii="宋体" w:hAnsi="宋体" w:eastAsia="宋体" w:cs="宋体"/>
          <w:spacing w:val="-3"/>
          <w:sz w:val="24"/>
          <w:szCs w:val="24"/>
        </w:rPr>
        <w:t>，全河流域面积为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1097km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3"/>
          <w:sz w:val="24"/>
          <w:szCs w:val="24"/>
        </w:rPr>
        <w:t>，其中大姚县境内</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402.1</w:t>
      </w:r>
    </w:p>
    <w:p>
      <w:pPr>
        <w:spacing w:before="1" w:line="233" w:lineRule="auto"/>
        <w:ind w:left="31"/>
        <w:rPr>
          <w:rFonts w:ascii="宋体" w:hAnsi="宋体" w:eastAsia="宋体" w:cs="宋体"/>
          <w:sz w:val="24"/>
          <w:szCs w:val="24"/>
        </w:rPr>
      </w:pPr>
      <w:r>
        <w:rPr>
          <w:rFonts w:ascii="Times New Roman" w:hAnsi="Times New Roman" w:eastAsia="Times New Roman" w:cs="Times New Roman"/>
          <w:spacing w:val="-2"/>
          <w:sz w:val="24"/>
          <w:szCs w:val="24"/>
        </w:rPr>
        <w:t>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3"/>
          <w:position w:val="8"/>
          <w:sz w:val="15"/>
          <w:szCs w:val="15"/>
        </w:rPr>
        <w:t xml:space="preserve"> </w:t>
      </w:r>
      <w:r>
        <w:rPr>
          <w:rFonts w:ascii="宋体" w:hAnsi="宋体" w:eastAsia="宋体" w:cs="宋体"/>
          <w:spacing w:val="-2"/>
          <w:sz w:val="24"/>
          <w:szCs w:val="24"/>
        </w:rPr>
        <w:t>，永仁县境内</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694.9 km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w:t>
      </w:r>
    </w:p>
    <w:p>
      <w:pPr>
        <w:spacing w:before="164" w:line="360" w:lineRule="auto"/>
        <w:ind w:left="39" w:right="87" w:firstLine="481"/>
        <w:rPr>
          <w:rFonts w:ascii="宋体" w:hAnsi="宋体" w:eastAsia="宋体" w:cs="宋体"/>
          <w:sz w:val="24"/>
          <w:szCs w:val="24"/>
        </w:rPr>
      </w:pPr>
      <w:r>
        <w:rPr>
          <w:rFonts w:ascii="宋体" w:hAnsi="宋体" w:eastAsia="宋体" w:cs="宋体"/>
          <w:spacing w:val="-20"/>
          <w:sz w:val="24"/>
          <w:szCs w:val="24"/>
        </w:rPr>
        <w:t>六苴河， 发源于昙华山东麓，</w:t>
      </w:r>
      <w:r>
        <w:rPr>
          <w:rFonts w:ascii="宋体" w:hAnsi="宋体" w:eastAsia="宋体" w:cs="宋体"/>
          <w:spacing w:val="44"/>
          <w:sz w:val="24"/>
          <w:szCs w:val="24"/>
        </w:rPr>
        <w:t xml:space="preserve"> </w:t>
      </w:r>
      <w:r>
        <w:rPr>
          <w:rFonts w:ascii="宋体" w:hAnsi="宋体" w:eastAsia="宋体" w:cs="宋体"/>
          <w:spacing w:val="-20"/>
          <w:sz w:val="24"/>
          <w:szCs w:val="24"/>
        </w:rPr>
        <w:t>属山中峡谷河流，</w:t>
      </w:r>
      <w:r>
        <w:rPr>
          <w:rFonts w:ascii="宋体" w:hAnsi="宋体" w:eastAsia="宋体" w:cs="宋体"/>
          <w:spacing w:val="71"/>
          <w:sz w:val="24"/>
          <w:szCs w:val="24"/>
        </w:rPr>
        <w:t xml:space="preserve"> </w:t>
      </w:r>
      <w:r>
        <w:rPr>
          <w:rFonts w:ascii="宋体" w:hAnsi="宋体" w:eastAsia="宋体" w:cs="宋体"/>
          <w:spacing w:val="-20"/>
          <w:sz w:val="24"/>
          <w:szCs w:val="24"/>
        </w:rPr>
        <w:t>由西向东， 经外期地、</w:t>
      </w:r>
      <w:r>
        <w:rPr>
          <w:rFonts w:ascii="宋体" w:hAnsi="宋体" w:eastAsia="宋体" w:cs="宋体"/>
          <w:spacing w:val="-21"/>
          <w:sz w:val="24"/>
          <w:szCs w:val="24"/>
        </w:rPr>
        <w:t>六苴</w:t>
      </w:r>
      <w:r>
        <w:rPr>
          <w:rFonts w:ascii="宋体" w:hAnsi="宋体" w:eastAsia="宋体" w:cs="宋体"/>
          <w:sz w:val="24"/>
          <w:szCs w:val="24"/>
        </w:rPr>
        <w:t xml:space="preserve"> </w:t>
      </w:r>
      <w:r>
        <w:rPr>
          <w:rFonts w:ascii="宋体" w:hAnsi="宋体" w:eastAsia="宋体" w:cs="宋体"/>
          <w:spacing w:val="-12"/>
          <w:sz w:val="24"/>
          <w:szCs w:val="24"/>
        </w:rPr>
        <w:t>镇至双河附近汇入蜻蛉河，</w:t>
      </w:r>
      <w:r>
        <w:rPr>
          <w:rFonts w:ascii="宋体" w:hAnsi="宋体" w:eastAsia="宋体" w:cs="宋体"/>
          <w:spacing w:val="38"/>
          <w:sz w:val="24"/>
          <w:szCs w:val="24"/>
        </w:rPr>
        <w:t xml:space="preserve"> </w:t>
      </w:r>
      <w:r>
        <w:rPr>
          <w:rFonts w:ascii="宋体" w:hAnsi="宋体" w:eastAsia="宋体" w:cs="宋体"/>
          <w:spacing w:val="-12"/>
          <w:sz w:val="24"/>
          <w:szCs w:val="24"/>
        </w:rPr>
        <w:t>属山中峡谷河流，</w:t>
      </w:r>
      <w:r>
        <w:rPr>
          <w:rFonts w:ascii="宋体" w:hAnsi="宋体" w:eastAsia="宋体" w:cs="宋体"/>
          <w:spacing w:val="39"/>
          <w:sz w:val="24"/>
          <w:szCs w:val="24"/>
        </w:rPr>
        <w:t xml:space="preserve"> </w:t>
      </w:r>
      <w:r>
        <w:rPr>
          <w:rFonts w:ascii="宋体" w:hAnsi="宋体" w:eastAsia="宋体" w:cs="宋体"/>
          <w:spacing w:val="-12"/>
          <w:sz w:val="24"/>
          <w:szCs w:val="24"/>
        </w:rPr>
        <w:t>主要支流有石房河、木卡拉</w:t>
      </w:r>
      <w:r>
        <w:rPr>
          <w:rFonts w:ascii="宋体" w:hAnsi="宋体" w:eastAsia="宋体" w:cs="宋体"/>
          <w:spacing w:val="-13"/>
          <w:sz w:val="24"/>
          <w:szCs w:val="24"/>
        </w:rPr>
        <w:t>河、簸</w:t>
      </w:r>
    </w:p>
    <w:p>
      <w:pPr>
        <w:spacing w:before="1" w:line="233" w:lineRule="auto"/>
        <w:ind w:left="42"/>
        <w:rPr>
          <w:rFonts w:ascii="宋体" w:hAnsi="宋体" w:eastAsia="宋体" w:cs="宋体"/>
          <w:sz w:val="24"/>
          <w:szCs w:val="24"/>
        </w:rPr>
      </w:pPr>
      <w:r>
        <w:rPr>
          <w:rFonts w:ascii="宋体" w:hAnsi="宋体" w:eastAsia="宋体" w:cs="宋体"/>
          <w:spacing w:val="-1"/>
          <w:sz w:val="24"/>
          <w:szCs w:val="24"/>
        </w:rPr>
        <w:t>箕河、者纳么河，全流域径流面积</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464.9 km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w:t>
      </w:r>
    </w:p>
    <w:p>
      <w:pPr>
        <w:spacing w:before="165" w:line="360" w:lineRule="auto"/>
        <w:ind w:left="40" w:right="86" w:firstLine="479"/>
        <w:rPr>
          <w:rFonts w:ascii="宋体" w:hAnsi="宋体" w:eastAsia="宋体" w:cs="宋体"/>
          <w:sz w:val="24"/>
          <w:szCs w:val="24"/>
        </w:rPr>
      </w:pPr>
      <w:r>
        <w:rPr>
          <w:rFonts w:ascii="宋体" w:hAnsi="宋体" w:eastAsia="宋体" w:cs="宋体"/>
          <w:spacing w:val="-1"/>
          <w:sz w:val="24"/>
          <w:szCs w:val="24"/>
        </w:rPr>
        <w:t xml:space="preserve">蜻蛉河属金沙江水系龙川江一级支流，流域介于东径 </w:t>
      </w:r>
      <w:r>
        <w:rPr>
          <w:rFonts w:ascii="Times New Roman" w:hAnsi="Times New Roman" w:eastAsia="Times New Roman" w:cs="Times New Roman"/>
          <w:spacing w:val="-1"/>
          <w:sz w:val="24"/>
          <w:szCs w:val="24"/>
        </w:rPr>
        <w:t>101°0</w:t>
      </w:r>
      <w:r>
        <w:rPr>
          <w:rFonts w:ascii="Times New Roman" w:hAnsi="Times New Roman" w:eastAsia="Times New Roman" w:cs="Times New Roman"/>
          <w:spacing w:val="-2"/>
          <w:sz w:val="24"/>
          <w:szCs w:val="24"/>
        </w:rPr>
        <w:t>5′</w:t>
      </w:r>
      <w:r>
        <w:rPr>
          <w:rFonts w:ascii="宋体" w:hAnsi="宋体" w:eastAsia="宋体" w:cs="宋体"/>
          <w:spacing w:val="-2"/>
          <w:sz w:val="24"/>
          <w:szCs w:val="24"/>
        </w:rPr>
        <w:t>～</w:t>
      </w:r>
      <w:r>
        <w:rPr>
          <w:rFonts w:ascii="Times New Roman" w:hAnsi="Times New Roman" w:eastAsia="Times New Roman" w:cs="Times New Roman"/>
          <w:spacing w:val="-2"/>
          <w:sz w:val="24"/>
          <w:szCs w:val="24"/>
        </w:rPr>
        <w:t>101°50′</w:t>
      </w:r>
      <w:r>
        <w:rPr>
          <w:rFonts w:ascii="宋体" w:hAnsi="宋体" w:eastAsia="宋体" w:cs="宋体"/>
          <w:spacing w:val="-2"/>
          <w:sz w:val="24"/>
          <w:szCs w:val="24"/>
        </w:rPr>
        <w:t>，北</w:t>
      </w:r>
      <w:r>
        <w:rPr>
          <w:rFonts w:ascii="宋体" w:hAnsi="宋体" w:eastAsia="宋体" w:cs="宋体"/>
          <w:sz w:val="24"/>
          <w:szCs w:val="24"/>
        </w:rPr>
        <w:t xml:space="preserve"> 纬</w:t>
      </w:r>
      <w:r>
        <w:rPr>
          <w:rFonts w:ascii="宋体" w:hAnsi="宋体" w:eastAsia="宋体" w:cs="宋体"/>
          <w:spacing w:val="-26"/>
          <w:sz w:val="24"/>
          <w:szCs w:val="24"/>
        </w:rPr>
        <w:t xml:space="preserve"> </w:t>
      </w:r>
      <w:r>
        <w:rPr>
          <w:rFonts w:ascii="Times New Roman" w:hAnsi="Times New Roman" w:eastAsia="Times New Roman" w:cs="Times New Roman"/>
          <w:sz w:val="24"/>
          <w:szCs w:val="24"/>
        </w:rPr>
        <w:t>25°25′</w:t>
      </w:r>
      <w:r>
        <w:rPr>
          <w:rFonts w:ascii="宋体" w:hAnsi="宋体" w:eastAsia="宋体" w:cs="宋体"/>
          <w:sz w:val="24"/>
          <w:szCs w:val="24"/>
        </w:rPr>
        <w:t>～</w:t>
      </w:r>
      <w:r>
        <w:rPr>
          <w:rFonts w:ascii="Times New Roman" w:hAnsi="Times New Roman" w:eastAsia="Times New Roman" w:cs="Times New Roman"/>
          <w:sz w:val="24"/>
          <w:szCs w:val="24"/>
        </w:rPr>
        <w:t>26°10′</w:t>
      </w:r>
      <w:r>
        <w:rPr>
          <w:rFonts w:ascii="宋体" w:hAnsi="宋体" w:eastAsia="宋体" w:cs="宋体"/>
          <w:sz w:val="24"/>
          <w:szCs w:val="24"/>
        </w:rPr>
        <w:t>之间，分布于楚雄州的姚</w:t>
      </w:r>
      <w:r>
        <w:rPr>
          <w:rFonts w:ascii="宋体" w:hAnsi="宋体" w:eastAsia="宋体" w:cs="宋体"/>
          <w:spacing w:val="-1"/>
          <w:sz w:val="24"/>
          <w:szCs w:val="24"/>
        </w:rPr>
        <w:t>安、大姚、永仁县的大部及元谋县的</w:t>
      </w:r>
      <w:r>
        <w:rPr>
          <w:rFonts w:ascii="宋体" w:hAnsi="宋体" w:eastAsia="宋体" w:cs="宋体"/>
          <w:sz w:val="24"/>
          <w:szCs w:val="24"/>
        </w:rPr>
        <w:t xml:space="preserve"> </w:t>
      </w:r>
      <w:r>
        <w:rPr>
          <w:rFonts w:ascii="宋体" w:hAnsi="宋体" w:eastAsia="宋体" w:cs="宋体"/>
          <w:spacing w:val="8"/>
          <w:sz w:val="24"/>
          <w:szCs w:val="24"/>
        </w:rPr>
        <w:t xml:space="preserve">一小部分地区。与龙川江交汇口以上，蜻蛉河流域面积为 </w:t>
      </w:r>
      <w:r>
        <w:rPr>
          <w:rFonts w:ascii="Times New Roman" w:hAnsi="Times New Roman" w:eastAsia="Times New Roman" w:cs="Times New Roman"/>
          <w:spacing w:val="8"/>
          <w:sz w:val="24"/>
          <w:szCs w:val="24"/>
        </w:rPr>
        <w:t>3585</w:t>
      </w:r>
      <w:r>
        <w:rPr>
          <w:rFonts w:ascii="Times New Roman" w:hAnsi="Times New Roman" w:eastAsia="Times New Roman" w:cs="Times New Roman"/>
          <w:sz w:val="24"/>
          <w:szCs w:val="24"/>
        </w:rPr>
        <w:t>km</w:t>
      </w:r>
      <w:r>
        <w:rPr>
          <w:rFonts w:ascii="Times New Roman" w:hAnsi="Times New Roman" w:eastAsia="Times New Roman" w:cs="Times New Roman"/>
          <w:spacing w:val="8"/>
          <w:position w:val="8"/>
          <w:sz w:val="15"/>
          <w:szCs w:val="15"/>
        </w:rPr>
        <w:t xml:space="preserve">2 </w:t>
      </w:r>
      <w:r>
        <w:rPr>
          <w:rFonts w:ascii="宋体" w:hAnsi="宋体" w:eastAsia="宋体" w:cs="宋体"/>
          <w:spacing w:val="8"/>
          <w:sz w:val="24"/>
          <w:szCs w:val="24"/>
        </w:rPr>
        <w:t>，主河长</w:t>
      </w:r>
      <w:r>
        <w:rPr>
          <w:rFonts w:ascii="宋体" w:hAnsi="宋体" w:eastAsia="宋体" w:cs="宋体"/>
          <w:spacing w:val="16"/>
          <w:sz w:val="24"/>
          <w:szCs w:val="24"/>
        </w:rPr>
        <w:t xml:space="preserve"> </w:t>
      </w:r>
      <w:r>
        <w:rPr>
          <w:rFonts w:ascii="Times New Roman" w:hAnsi="Times New Roman" w:eastAsia="Times New Roman" w:cs="Times New Roman"/>
          <w:spacing w:val="-1"/>
          <w:sz w:val="24"/>
          <w:szCs w:val="24"/>
        </w:rPr>
        <w:t>160.6km</w:t>
      </w:r>
      <w:r>
        <w:rPr>
          <w:rFonts w:ascii="宋体" w:hAnsi="宋体" w:eastAsia="宋体" w:cs="宋体"/>
          <w:spacing w:val="-1"/>
          <w:sz w:val="24"/>
          <w:szCs w:val="24"/>
        </w:rPr>
        <w:t>，河道平均坡降为</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8.25</w:t>
      </w:r>
      <w:r>
        <w:rPr>
          <w:rFonts w:ascii="宋体" w:hAnsi="宋体" w:eastAsia="宋体" w:cs="宋体"/>
          <w:spacing w:val="-1"/>
          <w:sz w:val="24"/>
          <w:szCs w:val="24"/>
        </w:rPr>
        <w:t>‰，流域平均高程为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2085m</w:t>
      </w:r>
      <w:r>
        <w:rPr>
          <w:rFonts w:ascii="宋体" w:hAnsi="宋体" w:eastAsia="宋体" w:cs="宋体"/>
          <w:spacing w:val="-2"/>
          <w:sz w:val="24"/>
          <w:szCs w:val="24"/>
        </w:rPr>
        <w:t>。蜻蛉河发源于楚雄</w:t>
      </w:r>
    </w:p>
    <w:p>
      <w:pPr>
        <w:spacing w:before="1" w:line="218" w:lineRule="auto"/>
        <w:ind w:left="40"/>
        <w:rPr>
          <w:rFonts w:ascii="宋体" w:hAnsi="宋体" w:eastAsia="宋体" w:cs="宋体"/>
          <w:sz w:val="24"/>
          <w:szCs w:val="24"/>
        </w:rPr>
      </w:pPr>
      <w:r>
        <w:rPr>
          <w:rFonts w:ascii="宋体" w:hAnsi="宋体" w:eastAsia="宋体" w:cs="宋体"/>
          <w:sz w:val="24"/>
          <w:szCs w:val="24"/>
        </w:rPr>
        <w:t>州姚安、南华县交界的照壁山以北（高程为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2440m</w:t>
      </w:r>
      <w:r>
        <w:rPr>
          <w:rFonts w:ascii="宋体" w:hAnsi="宋体" w:eastAsia="宋体" w:cs="宋体"/>
          <w:spacing w:val="-61"/>
          <w:w w:val="97"/>
          <w:sz w:val="24"/>
          <w:szCs w:val="24"/>
        </w:rPr>
        <w:t>），</w:t>
      </w:r>
      <w:r>
        <w:rPr>
          <w:rFonts w:ascii="宋体" w:hAnsi="宋体" w:eastAsia="宋体" w:cs="宋体"/>
          <w:spacing w:val="-1"/>
          <w:sz w:val="24"/>
          <w:szCs w:val="24"/>
        </w:rPr>
        <w:t>自南向北经姚安坝，于席</w:t>
      </w:r>
    </w:p>
    <w:p>
      <w:pPr>
        <w:spacing w:line="218" w:lineRule="auto"/>
        <w:rPr>
          <w:rFonts w:ascii="宋体" w:hAnsi="宋体" w:eastAsia="宋体" w:cs="宋体"/>
          <w:sz w:val="24"/>
          <w:szCs w:val="24"/>
        </w:rPr>
        <w:sectPr>
          <w:headerReference r:id="rId171" w:type="default"/>
          <w:footerReference r:id="rId172" w:type="default"/>
          <w:pgSz w:w="11907" w:h="16839"/>
          <w:pgMar w:top="1156" w:right="1712" w:bottom="1374" w:left="1770" w:header="881" w:footer="1210" w:gutter="0"/>
        </w:sectPr>
      </w:pPr>
    </w:p>
    <w:p>
      <w:pPr>
        <w:spacing w:line="315" w:lineRule="auto"/>
        <w:rPr>
          <w:rFonts w:ascii="Arial"/>
          <w:sz w:val="21"/>
        </w:rPr>
      </w:pPr>
    </w:p>
    <w:p>
      <w:pPr>
        <w:spacing w:before="78" w:line="361" w:lineRule="auto"/>
        <w:ind w:left="37" w:right="25"/>
        <w:jc w:val="both"/>
        <w:rPr>
          <w:rFonts w:ascii="宋体" w:hAnsi="宋体" w:eastAsia="宋体" w:cs="宋体"/>
          <w:sz w:val="24"/>
          <w:szCs w:val="24"/>
        </w:rPr>
      </w:pPr>
      <w:r>
        <w:rPr>
          <w:rFonts w:ascii="宋体" w:hAnsi="宋体" w:eastAsia="宋体" w:cs="宋体"/>
          <w:spacing w:val="-12"/>
          <w:sz w:val="24"/>
          <w:szCs w:val="24"/>
        </w:rPr>
        <w:t>坝附近转向东经大姚坝子，</w:t>
      </w:r>
      <w:r>
        <w:rPr>
          <w:rFonts w:ascii="宋体" w:hAnsi="宋体" w:eastAsia="宋体" w:cs="宋体"/>
          <w:spacing w:val="36"/>
          <w:sz w:val="24"/>
          <w:szCs w:val="24"/>
        </w:rPr>
        <w:t xml:space="preserve"> </w:t>
      </w:r>
      <w:r>
        <w:rPr>
          <w:rFonts w:ascii="宋体" w:hAnsi="宋体" w:eastAsia="宋体" w:cs="宋体"/>
          <w:spacing w:val="-12"/>
          <w:sz w:val="24"/>
          <w:szCs w:val="24"/>
        </w:rPr>
        <w:t>坝区内河道平均比降仅为</w:t>
      </w:r>
      <w:r>
        <w:rPr>
          <w:rFonts w:ascii="宋体" w:hAnsi="宋体" w:eastAsia="宋体" w:cs="宋体"/>
          <w:spacing w:val="-55"/>
          <w:sz w:val="24"/>
          <w:szCs w:val="24"/>
        </w:rPr>
        <w:t xml:space="preserve"> </w:t>
      </w:r>
      <w:r>
        <w:rPr>
          <w:rFonts w:ascii="Times New Roman" w:hAnsi="Times New Roman" w:eastAsia="Times New Roman" w:cs="Times New Roman"/>
          <w:spacing w:val="-12"/>
          <w:sz w:val="24"/>
          <w:szCs w:val="24"/>
        </w:rPr>
        <w:t>2.04</w:t>
      </w:r>
      <w:r>
        <w:rPr>
          <w:rFonts w:ascii="宋体" w:hAnsi="宋体" w:eastAsia="宋体" w:cs="宋体"/>
          <w:spacing w:val="-12"/>
          <w:sz w:val="24"/>
          <w:szCs w:val="24"/>
        </w:rPr>
        <w:t>‰，</w:t>
      </w:r>
      <w:r>
        <w:rPr>
          <w:rFonts w:ascii="宋体" w:hAnsi="宋体" w:eastAsia="宋体" w:cs="宋体"/>
          <w:spacing w:val="-57"/>
          <w:sz w:val="24"/>
          <w:szCs w:val="24"/>
        </w:rPr>
        <w:t xml:space="preserve"> </w:t>
      </w:r>
      <w:r>
        <w:rPr>
          <w:rFonts w:ascii="宋体" w:hAnsi="宋体" w:eastAsia="宋体" w:cs="宋体"/>
          <w:spacing w:val="-12"/>
          <w:sz w:val="24"/>
          <w:szCs w:val="24"/>
        </w:rPr>
        <w:t xml:space="preserve">河道宽浅， 水流缓 </w:t>
      </w:r>
      <w:r>
        <w:rPr>
          <w:rFonts w:ascii="宋体" w:hAnsi="宋体" w:eastAsia="宋体" w:cs="宋体"/>
          <w:spacing w:val="-16"/>
          <w:sz w:val="24"/>
          <w:szCs w:val="24"/>
        </w:rPr>
        <w:t>慢，</w:t>
      </w:r>
      <w:r>
        <w:rPr>
          <w:rFonts w:ascii="宋体" w:hAnsi="宋体" w:eastAsia="宋体" w:cs="宋体"/>
          <w:spacing w:val="-35"/>
          <w:sz w:val="24"/>
          <w:szCs w:val="24"/>
        </w:rPr>
        <w:t xml:space="preserve"> </w:t>
      </w:r>
      <w:r>
        <w:rPr>
          <w:rFonts w:ascii="宋体" w:hAnsi="宋体" w:eastAsia="宋体" w:cs="宋体"/>
          <w:spacing w:val="-16"/>
          <w:sz w:val="24"/>
          <w:szCs w:val="24"/>
        </w:rPr>
        <w:t>河床不稳， 冲淤相间， 河道渲泄能力较弱。行至苏海冲附近后，</w:t>
      </w:r>
      <w:r>
        <w:rPr>
          <w:rFonts w:ascii="宋体" w:hAnsi="宋体" w:eastAsia="宋体" w:cs="宋体"/>
          <w:spacing w:val="40"/>
          <w:sz w:val="24"/>
          <w:szCs w:val="24"/>
        </w:rPr>
        <w:t xml:space="preserve"> </w:t>
      </w:r>
      <w:r>
        <w:rPr>
          <w:rFonts w:ascii="宋体" w:hAnsi="宋体" w:eastAsia="宋体" w:cs="宋体"/>
          <w:spacing w:val="-16"/>
          <w:sz w:val="24"/>
          <w:szCs w:val="24"/>
        </w:rPr>
        <w:t>河流转向东 北偏东向复入山谷，</w:t>
      </w:r>
      <w:r>
        <w:rPr>
          <w:rFonts w:ascii="宋体" w:hAnsi="宋体" w:eastAsia="宋体" w:cs="宋体"/>
          <w:spacing w:val="56"/>
          <w:sz w:val="24"/>
          <w:szCs w:val="24"/>
        </w:rPr>
        <w:t xml:space="preserve"> </w:t>
      </w:r>
      <w:r>
        <w:rPr>
          <w:rFonts w:ascii="宋体" w:hAnsi="宋体" w:eastAsia="宋体" w:cs="宋体"/>
          <w:spacing w:val="-16"/>
          <w:sz w:val="24"/>
          <w:szCs w:val="24"/>
        </w:rPr>
        <w:t>河道平均坡降增大至</w:t>
      </w:r>
      <w:r>
        <w:rPr>
          <w:rFonts w:ascii="宋体" w:hAnsi="宋体" w:eastAsia="宋体" w:cs="宋体"/>
          <w:spacing w:val="-31"/>
          <w:sz w:val="24"/>
          <w:szCs w:val="24"/>
        </w:rPr>
        <w:t xml:space="preserve"> </w:t>
      </w:r>
      <w:r>
        <w:rPr>
          <w:rFonts w:ascii="Times New Roman" w:hAnsi="Times New Roman" w:eastAsia="Times New Roman" w:cs="Times New Roman"/>
          <w:spacing w:val="-16"/>
          <w:sz w:val="24"/>
          <w:szCs w:val="24"/>
        </w:rPr>
        <w:t>11.8</w:t>
      </w:r>
      <w:r>
        <w:rPr>
          <w:rFonts w:ascii="宋体" w:hAnsi="宋体" w:eastAsia="宋体" w:cs="宋体"/>
          <w:spacing w:val="-16"/>
          <w:sz w:val="24"/>
          <w:szCs w:val="24"/>
        </w:rPr>
        <w:t>‰，</w:t>
      </w:r>
      <w:r>
        <w:rPr>
          <w:rFonts w:ascii="宋体" w:hAnsi="宋体" w:eastAsia="宋体" w:cs="宋体"/>
          <w:spacing w:val="-48"/>
          <w:sz w:val="24"/>
          <w:szCs w:val="24"/>
        </w:rPr>
        <w:t xml:space="preserve"> </w:t>
      </w:r>
      <w:r>
        <w:rPr>
          <w:rFonts w:ascii="宋体" w:hAnsi="宋体" w:eastAsia="宋体" w:cs="宋体"/>
          <w:spacing w:val="-16"/>
          <w:sz w:val="24"/>
          <w:szCs w:val="24"/>
        </w:rPr>
        <w:t xml:space="preserve">河道束窄， 水流湍急， 过水能 </w:t>
      </w:r>
      <w:r>
        <w:rPr>
          <w:rFonts w:ascii="宋体" w:hAnsi="宋体" w:eastAsia="宋体" w:cs="宋体"/>
          <w:spacing w:val="-7"/>
          <w:sz w:val="24"/>
          <w:szCs w:val="24"/>
        </w:rPr>
        <w:t xml:space="preserve">力加大。蜻蛉河于元谋县大树村附近汇入龙川江， 龙川也于元谋县江边乡汇入金 </w:t>
      </w:r>
      <w:r>
        <w:rPr>
          <w:rFonts w:ascii="宋体" w:hAnsi="宋体" w:eastAsia="宋体" w:cs="宋体"/>
          <w:spacing w:val="-1"/>
          <w:sz w:val="24"/>
          <w:szCs w:val="24"/>
        </w:rPr>
        <w:t>沙江。蜻蛉河域水系发育，多呈羽状分布，其中较大支流左岸有七街河、西河、</w:t>
      </w:r>
      <w:r>
        <w:rPr>
          <w:rFonts w:ascii="宋体" w:hAnsi="宋体" w:eastAsia="宋体" w:cs="宋体"/>
          <w:spacing w:val="12"/>
          <w:sz w:val="24"/>
          <w:szCs w:val="24"/>
        </w:rPr>
        <w:t xml:space="preserve"> </w:t>
      </w:r>
      <w:r>
        <w:rPr>
          <w:rFonts w:ascii="宋体" w:hAnsi="宋体" w:eastAsia="宋体" w:cs="宋体"/>
          <w:spacing w:val="-8"/>
          <w:sz w:val="24"/>
          <w:szCs w:val="24"/>
        </w:rPr>
        <w:t>江底河、羊蹄江、永定河等；</w:t>
      </w:r>
      <w:r>
        <w:rPr>
          <w:rFonts w:ascii="宋体" w:hAnsi="宋体" w:eastAsia="宋体" w:cs="宋体"/>
          <w:spacing w:val="47"/>
          <w:sz w:val="24"/>
          <w:szCs w:val="24"/>
        </w:rPr>
        <w:t xml:space="preserve"> </w:t>
      </w:r>
      <w:r>
        <w:rPr>
          <w:rFonts w:ascii="宋体" w:hAnsi="宋体" w:eastAsia="宋体" w:cs="宋体"/>
          <w:spacing w:val="-8"/>
          <w:sz w:val="24"/>
          <w:szCs w:val="24"/>
        </w:rPr>
        <w:t>右岸主要有龙街河、上庄河等。流域地势自西南</w:t>
      </w:r>
      <w:r>
        <w:rPr>
          <w:rFonts w:ascii="宋体" w:hAnsi="宋体" w:eastAsia="宋体" w:cs="宋体"/>
          <w:spacing w:val="-9"/>
          <w:sz w:val="24"/>
          <w:szCs w:val="24"/>
        </w:rPr>
        <w:t xml:space="preserve">向 </w:t>
      </w:r>
      <w:r>
        <w:rPr>
          <w:rFonts w:ascii="宋体" w:hAnsi="宋体" w:eastAsia="宋体" w:cs="宋体"/>
          <w:spacing w:val="4"/>
          <w:sz w:val="24"/>
          <w:szCs w:val="24"/>
        </w:rPr>
        <w:t>东北呈阶梯状倾斜。本次桂花水库受水区大姚县境内蜻蛉河干流流域径流面积</w:t>
      </w:r>
    </w:p>
    <w:p>
      <w:pPr>
        <w:spacing w:before="1" w:line="206" w:lineRule="auto"/>
        <w:ind w:left="44"/>
        <w:rPr>
          <w:rFonts w:ascii="宋体" w:hAnsi="宋体" w:eastAsia="宋体" w:cs="宋体"/>
          <w:sz w:val="24"/>
          <w:szCs w:val="24"/>
        </w:rPr>
      </w:pPr>
      <w:r>
        <w:rPr>
          <w:rFonts w:ascii="Times New Roman" w:hAnsi="Times New Roman" w:eastAsia="Times New Roman" w:cs="Times New Roman"/>
          <w:spacing w:val="-2"/>
          <w:sz w:val="24"/>
          <w:szCs w:val="24"/>
        </w:rPr>
        <w:t>833.6km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w:t>
      </w:r>
    </w:p>
    <w:p>
      <w:pPr>
        <w:spacing w:before="191" w:line="219" w:lineRule="auto"/>
        <w:ind w:left="523"/>
        <w:rPr>
          <w:rFonts w:ascii="宋体" w:hAnsi="宋体" w:eastAsia="宋体" w:cs="宋体"/>
          <w:sz w:val="24"/>
          <w:szCs w:val="24"/>
        </w:rPr>
      </w:pPr>
      <w:r>
        <w:rPr>
          <w:rFonts w:ascii="宋体" w:hAnsi="宋体" w:eastAsia="宋体" w:cs="宋体"/>
          <w:spacing w:val="-2"/>
          <w:sz w:val="24"/>
          <w:szCs w:val="24"/>
        </w:rPr>
        <w:t>项目区水系见附图</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p>
    <w:p>
      <w:pPr>
        <w:spacing w:line="355" w:lineRule="auto"/>
        <w:rPr>
          <w:rFonts w:ascii="Arial"/>
          <w:sz w:val="21"/>
        </w:rPr>
      </w:pPr>
    </w:p>
    <w:p>
      <w:pPr>
        <w:pStyle w:val="2"/>
        <w:spacing w:before="78" w:line="219" w:lineRule="auto"/>
        <w:ind w:left="33"/>
        <w:outlineLvl w:val="2"/>
        <w:rPr>
          <w:sz w:val="24"/>
          <w:szCs w:val="24"/>
        </w:rPr>
      </w:pPr>
      <w:r>
        <w:rPr>
          <w:rFonts w:ascii="Times New Roman" w:hAnsi="Times New Roman" w:eastAsia="Times New Roman" w:cs="Times New Roman"/>
          <w:b/>
          <w:bCs/>
          <w:sz w:val="24"/>
          <w:szCs w:val="24"/>
        </w:rPr>
        <w:t xml:space="preserve">3.1.5 </w:t>
      </w:r>
      <w:r>
        <w:rPr>
          <w:sz w:val="24"/>
          <w:szCs w:val="24"/>
          <w14:textOutline w14:w="4354" w14:cap="flat" w14:cmpd="sng">
            <w14:solidFill>
              <w14:srgbClr w14:val="000000"/>
            </w14:solidFill>
            <w14:prstDash w14:val="solid"/>
            <w14:miter w14:val="0"/>
          </w14:textOutline>
        </w:rPr>
        <w:t>水文地质</w:t>
      </w:r>
    </w:p>
    <w:p>
      <w:pPr>
        <w:spacing w:before="295" w:line="360" w:lineRule="auto"/>
        <w:ind w:left="40" w:right="116" w:firstLine="480"/>
        <w:rPr>
          <w:rFonts w:ascii="宋体" w:hAnsi="宋体" w:eastAsia="宋体" w:cs="宋体"/>
          <w:sz w:val="24"/>
          <w:szCs w:val="24"/>
        </w:rPr>
      </w:pPr>
      <w:r>
        <w:rPr>
          <w:rFonts w:ascii="宋体" w:hAnsi="宋体" w:eastAsia="宋体" w:cs="宋体"/>
          <w:spacing w:val="-6"/>
          <w:sz w:val="24"/>
          <w:szCs w:val="24"/>
        </w:rPr>
        <w:t>库区地表覆盖层为第四系冲洪积层（</w:t>
      </w:r>
      <w:r>
        <w:rPr>
          <w:rFonts w:ascii="Times New Roman" w:hAnsi="Times New Roman" w:eastAsia="Times New Roman" w:cs="Times New Roman"/>
          <w:spacing w:val="-6"/>
          <w:sz w:val="24"/>
          <w:szCs w:val="24"/>
        </w:rPr>
        <w:t>Q</w:t>
      </w:r>
      <w:r>
        <w:rPr>
          <w:rFonts w:ascii="Times New Roman" w:hAnsi="Times New Roman" w:eastAsia="Times New Roman" w:cs="Times New Roman"/>
          <w:spacing w:val="-6"/>
          <w:position w:val="8"/>
          <w:sz w:val="15"/>
          <w:szCs w:val="15"/>
        </w:rPr>
        <w:t>alp</w:t>
      </w:r>
      <w:r>
        <w:rPr>
          <w:rFonts w:ascii="宋体" w:hAnsi="宋体" w:eastAsia="宋体" w:cs="宋体"/>
          <w:spacing w:val="-6"/>
          <w:sz w:val="24"/>
          <w:szCs w:val="24"/>
        </w:rPr>
        <w:t>）、第四系残坡积层（</w:t>
      </w:r>
      <w:r>
        <w:rPr>
          <w:rFonts w:ascii="Times New Roman" w:hAnsi="Times New Roman" w:eastAsia="Times New Roman" w:cs="Times New Roman"/>
          <w:spacing w:val="-6"/>
          <w:sz w:val="24"/>
          <w:szCs w:val="24"/>
        </w:rPr>
        <w:t>Q</w:t>
      </w:r>
      <w:r>
        <w:rPr>
          <w:rFonts w:ascii="Times New Roman" w:hAnsi="Times New Roman" w:eastAsia="Times New Roman" w:cs="Times New Roman"/>
          <w:spacing w:val="-6"/>
          <w:position w:val="8"/>
          <w:sz w:val="15"/>
          <w:szCs w:val="15"/>
        </w:rPr>
        <w:t>eld</w:t>
      </w:r>
      <w:r>
        <w:rPr>
          <w:rFonts w:ascii="宋体" w:hAnsi="宋体" w:eastAsia="宋体" w:cs="宋体"/>
          <w:spacing w:val="-64"/>
          <w:sz w:val="24"/>
          <w:szCs w:val="24"/>
        </w:rPr>
        <w:t>），</w:t>
      </w:r>
      <w:r>
        <w:rPr>
          <w:rFonts w:ascii="宋体" w:hAnsi="宋体" w:eastAsia="宋体" w:cs="宋体"/>
          <w:spacing w:val="-6"/>
          <w:sz w:val="24"/>
          <w:szCs w:val="24"/>
        </w:rPr>
        <w:t>下伏白</w:t>
      </w:r>
      <w:r>
        <w:rPr>
          <w:rFonts w:ascii="宋体" w:hAnsi="宋体" w:eastAsia="宋体" w:cs="宋体"/>
          <w:sz w:val="24"/>
          <w:szCs w:val="24"/>
        </w:rPr>
        <w:t xml:space="preserve"> </w:t>
      </w:r>
      <w:r>
        <w:rPr>
          <w:rFonts w:ascii="宋体" w:hAnsi="宋体" w:eastAsia="宋体" w:cs="宋体"/>
          <w:spacing w:val="-2"/>
          <w:sz w:val="24"/>
          <w:szCs w:val="24"/>
        </w:rPr>
        <w:t>垩系江底河组上杂色泥岩段（</w:t>
      </w:r>
      <w:r>
        <w:rPr>
          <w:rFonts w:ascii="Times New Roman" w:hAnsi="Times New Roman" w:eastAsia="Times New Roman" w:cs="Times New Roman"/>
          <w:spacing w:val="-2"/>
          <w:sz w:val="24"/>
          <w:szCs w:val="24"/>
        </w:rPr>
        <w:t>K</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j</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4"/>
          <w:szCs w:val="24"/>
        </w:rPr>
        <w:t>）的粉砂质泥岩。库区地下水类型为第四系孔</w:t>
      </w:r>
    </w:p>
    <w:p>
      <w:pPr>
        <w:spacing w:line="219" w:lineRule="auto"/>
        <w:ind w:left="55"/>
        <w:rPr>
          <w:rFonts w:ascii="宋体" w:hAnsi="宋体" w:eastAsia="宋体" w:cs="宋体"/>
          <w:sz w:val="24"/>
          <w:szCs w:val="24"/>
        </w:rPr>
      </w:pPr>
      <w:r>
        <w:rPr>
          <w:rFonts w:ascii="宋体" w:hAnsi="宋体" w:eastAsia="宋体" w:cs="宋体"/>
          <w:spacing w:val="-3"/>
          <w:sz w:val="24"/>
          <w:szCs w:val="24"/>
        </w:rPr>
        <w:t>隙水和碎屑岩孔隙裂隙水，并以碎屑岩孔隙裂隙水为主。</w:t>
      </w:r>
    </w:p>
    <w:p>
      <w:pPr>
        <w:spacing w:before="182"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）松散岩类孔隙水</w:t>
      </w:r>
    </w:p>
    <w:p>
      <w:pPr>
        <w:spacing w:before="183" w:line="360" w:lineRule="auto"/>
        <w:ind w:left="37" w:right="41" w:firstLine="482"/>
        <w:rPr>
          <w:rFonts w:ascii="宋体" w:hAnsi="宋体" w:eastAsia="宋体" w:cs="宋体"/>
          <w:sz w:val="24"/>
          <w:szCs w:val="24"/>
        </w:rPr>
      </w:pPr>
      <w:r>
        <w:rPr>
          <w:rFonts w:ascii="宋体" w:hAnsi="宋体" w:eastAsia="宋体" w:cs="宋体"/>
          <w:spacing w:val="-6"/>
          <w:sz w:val="24"/>
          <w:szCs w:val="24"/>
        </w:rPr>
        <w:t>松散层孔隙水主要为第四系松散堆积层中的孔隙潜水，</w:t>
      </w:r>
      <w:r>
        <w:rPr>
          <w:rFonts w:ascii="宋体" w:hAnsi="宋体" w:eastAsia="宋体" w:cs="宋体"/>
          <w:spacing w:val="-27"/>
          <w:sz w:val="24"/>
          <w:szCs w:val="24"/>
        </w:rPr>
        <w:t xml:space="preserve"> </w:t>
      </w:r>
      <w:r>
        <w:rPr>
          <w:rFonts w:ascii="宋体" w:hAnsi="宋体" w:eastAsia="宋体" w:cs="宋体"/>
          <w:spacing w:val="-6"/>
          <w:sz w:val="24"/>
          <w:szCs w:val="24"/>
        </w:rPr>
        <w:t>主要由第四系河床冲</w:t>
      </w:r>
      <w:r>
        <w:rPr>
          <w:rFonts w:ascii="宋体" w:hAnsi="宋体" w:eastAsia="宋体" w:cs="宋体"/>
          <w:sz w:val="24"/>
          <w:szCs w:val="24"/>
        </w:rPr>
        <w:t xml:space="preserve"> </w:t>
      </w:r>
      <w:r>
        <w:rPr>
          <w:rFonts w:ascii="宋体" w:hAnsi="宋体" w:eastAsia="宋体" w:cs="宋体"/>
          <w:spacing w:val="-3"/>
          <w:sz w:val="24"/>
          <w:szCs w:val="24"/>
        </w:rPr>
        <w:t>洪积层孔隙水和坡前堆积体孔隙潜水构成。其中河床冲洪积层主要分布于库区河</w:t>
      </w:r>
      <w:r>
        <w:rPr>
          <w:rFonts w:ascii="宋体" w:hAnsi="宋体" w:eastAsia="宋体" w:cs="宋体"/>
          <w:spacing w:val="2"/>
          <w:sz w:val="24"/>
          <w:szCs w:val="24"/>
        </w:rPr>
        <w:t xml:space="preserve"> </w:t>
      </w:r>
      <w:r>
        <w:rPr>
          <w:rFonts w:ascii="宋体" w:hAnsi="宋体" w:eastAsia="宋体" w:cs="宋体"/>
          <w:spacing w:val="-18"/>
          <w:sz w:val="24"/>
          <w:szCs w:val="24"/>
        </w:rPr>
        <w:t>床河漫滩、  Ⅰ级阶地的冲洪积层中，</w:t>
      </w:r>
      <w:r>
        <w:rPr>
          <w:rFonts w:ascii="宋体" w:hAnsi="宋体" w:eastAsia="宋体" w:cs="宋体"/>
          <w:spacing w:val="55"/>
          <w:sz w:val="24"/>
          <w:szCs w:val="24"/>
        </w:rPr>
        <w:t xml:space="preserve"> </w:t>
      </w:r>
      <w:r>
        <w:rPr>
          <w:rFonts w:ascii="宋体" w:hAnsi="宋体" w:eastAsia="宋体" w:cs="宋体"/>
          <w:spacing w:val="-18"/>
          <w:sz w:val="24"/>
          <w:szCs w:val="24"/>
        </w:rPr>
        <w:t>主要成分为粘土、卵砾石、粉土、</w:t>
      </w:r>
      <w:r>
        <w:rPr>
          <w:rFonts w:ascii="宋体" w:hAnsi="宋体" w:eastAsia="宋体" w:cs="宋体"/>
          <w:spacing w:val="29"/>
          <w:sz w:val="24"/>
          <w:szCs w:val="24"/>
        </w:rPr>
        <w:t xml:space="preserve"> </w:t>
      </w:r>
      <w:r>
        <w:rPr>
          <w:rFonts w:ascii="宋体" w:hAnsi="宋体" w:eastAsia="宋体" w:cs="宋体"/>
          <w:spacing w:val="-18"/>
          <w:sz w:val="24"/>
          <w:szCs w:val="24"/>
        </w:rPr>
        <w:t>岩屑、砂</w:t>
      </w:r>
      <w:r>
        <w:rPr>
          <w:rFonts w:ascii="宋体" w:hAnsi="宋体" w:eastAsia="宋体" w:cs="宋体"/>
          <w:sz w:val="24"/>
          <w:szCs w:val="24"/>
        </w:rPr>
        <w:t xml:space="preserve"> </w:t>
      </w:r>
      <w:r>
        <w:rPr>
          <w:rFonts w:ascii="宋体" w:hAnsi="宋体" w:eastAsia="宋体" w:cs="宋体"/>
          <w:spacing w:val="-4"/>
          <w:sz w:val="24"/>
          <w:szCs w:val="24"/>
        </w:rPr>
        <w:t>砾石等。 一般厚度</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5.0m</w:t>
      </w:r>
      <w:r>
        <w:rPr>
          <w:rFonts w:ascii="Times New Roman" w:hAnsi="Times New Roman" w:eastAsia="Times New Roman" w:cs="Times New Roman"/>
          <w:spacing w:val="22"/>
          <w:sz w:val="24"/>
          <w:szCs w:val="24"/>
        </w:rPr>
        <w:t xml:space="preserve"> </w:t>
      </w:r>
      <w:r>
        <w:rPr>
          <w:rFonts w:ascii="宋体" w:hAnsi="宋体" w:eastAsia="宋体" w:cs="宋体"/>
          <w:spacing w:val="-4"/>
          <w:sz w:val="24"/>
          <w:szCs w:val="24"/>
        </w:rPr>
        <w:t>左右。主要接受大气降雨和河水补给，漫滩地</w:t>
      </w:r>
      <w:r>
        <w:rPr>
          <w:rFonts w:ascii="宋体" w:hAnsi="宋体" w:eastAsia="宋体" w:cs="宋体"/>
          <w:spacing w:val="-5"/>
          <w:sz w:val="24"/>
          <w:szCs w:val="24"/>
        </w:rPr>
        <w:t>下水位与</w:t>
      </w:r>
      <w:r>
        <w:rPr>
          <w:rFonts w:ascii="宋体" w:hAnsi="宋体" w:eastAsia="宋体" w:cs="宋体"/>
          <w:sz w:val="24"/>
          <w:szCs w:val="24"/>
        </w:rPr>
        <w:t xml:space="preserve"> </w:t>
      </w:r>
      <w:r>
        <w:rPr>
          <w:rFonts w:ascii="宋体" w:hAnsi="宋体" w:eastAsia="宋体" w:cs="宋体"/>
          <w:spacing w:val="-17"/>
          <w:sz w:val="24"/>
          <w:szCs w:val="24"/>
        </w:rPr>
        <w:t>河水位关系密切，</w:t>
      </w:r>
      <w:r>
        <w:rPr>
          <w:rFonts w:ascii="宋体" w:hAnsi="宋体" w:eastAsia="宋体" w:cs="宋体"/>
          <w:spacing w:val="-37"/>
          <w:sz w:val="24"/>
          <w:szCs w:val="24"/>
        </w:rPr>
        <w:t xml:space="preserve"> </w:t>
      </w:r>
      <w:r>
        <w:rPr>
          <w:rFonts w:ascii="宋体" w:hAnsi="宋体" w:eastAsia="宋体" w:cs="宋体"/>
          <w:spacing w:val="-17"/>
          <w:sz w:val="24"/>
          <w:szCs w:val="24"/>
        </w:rPr>
        <w:t>随河水涨落而变化，</w:t>
      </w:r>
      <w:r>
        <w:rPr>
          <w:rFonts w:ascii="宋体" w:hAnsi="宋体" w:eastAsia="宋体" w:cs="宋体"/>
          <w:spacing w:val="-51"/>
          <w:sz w:val="24"/>
          <w:szCs w:val="24"/>
        </w:rPr>
        <w:t xml:space="preserve"> </w:t>
      </w:r>
      <w:r>
        <w:rPr>
          <w:rFonts w:ascii="宋体" w:hAnsi="宋体" w:eastAsia="宋体" w:cs="宋体"/>
          <w:spacing w:val="-17"/>
          <w:sz w:val="24"/>
          <w:szCs w:val="24"/>
        </w:rPr>
        <w:t>地下水埋藏较浅，</w:t>
      </w:r>
      <w:r>
        <w:rPr>
          <w:rFonts w:ascii="宋体" w:hAnsi="宋体" w:eastAsia="宋体" w:cs="宋体"/>
          <w:spacing w:val="-47"/>
          <w:sz w:val="24"/>
          <w:szCs w:val="24"/>
        </w:rPr>
        <w:t xml:space="preserve"> </w:t>
      </w:r>
      <w:r>
        <w:rPr>
          <w:rFonts w:ascii="宋体" w:hAnsi="宋体" w:eastAsia="宋体" w:cs="宋体"/>
          <w:spacing w:val="-17"/>
          <w:sz w:val="24"/>
          <w:szCs w:val="24"/>
        </w:rPr>
        <w:t>水位与</w:t>
      </w:r>
      <w:r>
        <w:rPr>
          <w:rFonts w:ascii="宋体" w:hAnsi="宋体" w:eastAsia="宋体" w:cs="宋体"/>
          <w:spacing w:val="-18"/>
          <w:sz w:val="24"/>
          <w:szCs w:val="24"/>
        </w:rPr>
        <w:t>桂花河水位相当，</w:t>
      </w:r>
      <w:r>
        <w:rPr>
          <w:rFonts w:ascii="宋体" w:hAnsi="宋体" w:eastAsia="宋体" w:cs="宋体"/>
          <w:sz w:val="24"/>
          <w:szCs w:val="24"/>
        </w:rPr>
        <w:t xml:space="preserve">  </w:t>
      </w:r>
      <w:r>
        <w:rPr>
          <w:rFonts w:ascii="宋体" w:hAnsi="宋体" w:eastAsia="宋体" w:cs="宋体"/>
          <w:spacing w:val="-6"/>
          <w:sz w:val="24"/>
          <w:szCs w:val="24"/>
        </w:rPr>
        <w:t>属强透水层，含水丰富。单井涌水量</w:t>
      </w:r>
      <w:r>
        <w:rPr>
          <w:rFonts w:ascii="宋体" w:hAnsi="宋体" w:eastAsia="宋体" w:cs="宋体"/>
          <w:spacing w:val="-10"/>
          <w:sz w:val="24"/>
          <w:szCs w:val="24"/>
        </w:rPr>
        <w:t xml:space="preserve"> </w:t>
      </w:r>
      <w:r>
        <w:rPr>
          <w:rFonts w:ascii="Times New Roman" w:hAnsi="Times New Roman" w:eastAsia="Times New Roman" w:cs="Times New Roman"/>
          <w:spacing w:val="-6"/>
          <w:sz w:val="24"/>
          <w:szCs w:val="24"/>
        </w:rPr>
        <w:t>100</w:t>
      </w:r>
      <w:r>
        <w:rPr>
          <w:rFonts w:ascii="宋体" w:hAnsi="宋体" w:eastAsia="宋体" w:cs="宋体"/>
          <w:spacing w:val="-6"/>
          <w:sz w:val="24"/>
          <w:szCs w:val="24"/>
        </w:rPr>
        <w:t>～</w:t>
      </w:r>
      <w:r>
        <w:rPr>
          <w:rFonts w:ascii="Times New Roman" w:hAnsi="Times New Roman" w:eastAsia="Times New Roman" w:cs="Times New Roman"/>
          <w:spacing w:val="-6"/>
          <w:sz w:val="24"/>
          <w:szCs w:val="24"/>
        </w:rPr>
        <w:t>600</w:t>
      </w:r>
      <w:r>
        <w:rPr>
          <w:rFonts w:ascii="Times New Roman" w:hAnsi="Times New Roman" w:eastAsia="Times New Roman" w:cs="Times New Roman"/>
          <w:spacing w:val="25"/>
          <w:sz w:val="24"/>
          <w:szCs w:val="24"/>
        </w:rPr>
        <w:t xml:space="preserve"> </w:t>
      </w:r>
      <w:r>
        <w:rPr>
          <w:rFonts w:ascii="宋体" w:hAnsi="宋体" w:eastAsia="宋体" w:cs="宋体"/>
          <w:spacing w:val="-6"/>
          <w:sz w:val="24"/>
          <w:szCs w:val="24"/>
        </w:rPr>
        <w:t>吨</w:t>
      </w:r>
      <w:r>
        <w:rPr>
          <w:rFonts w:ascii="Times New Roman" w:hAnsi="Times New Roman" w:eastAsia="Times New Roman" w:cs="Times New Roman"/>
          <w:spacing w:val="-6"/>
          <w:sz w:val="24"/>
          <w:szCs w:val="24"/>
        </w:rPr>
        <w:t>/</w:t>
      </w:r>
      <w:r>
        <w:rPr>
          <w:rFonts w:ascii="宋体" w:hAnsi="宋体" w:eastAsia="宋体" w:cs="宋体"/>
          <w:spacing w:val="-6"/>
          <w:sz w:val="24"/>
          <w:szCs w:val="24"/>
        </w:rPr>
        <w:t>昼夜， 局部地段达</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1000</w:t>
      </w:r>
      <w:r>
        <w:rPr>
          <w:rFonts w:ascii="Times New Roman" w:hAnsi="Times New Roman" w:eastAsia="Times New Roman" w:cs="Times New Roman"/>
          <w:spacing w:val="24"/>
          <w:sz w:val="24"/>
          <w:szCs w:val="24"/>
        </w:rPr>
        <w:t xml:space="preserve"> </w:t>
      </w:r>
      <w:r>
        <w:rPr>
          <w:rFonts w:ascii="宋体" w:hAnsi="宋体" w:eastAsia="宋体" w:cs="宋体"/>
          <w:spacing w:val="-6"/>
          <w:sz w:val="24"/>
          <w:szCs w:val="24"/>
        </w:rPr>
        <w:t>吨</w:t>
      </w:r>
      <w:r>
        <w:rPr>
          <w:rFonts w:ascii="Times New Roman" w:hAnsi="Times New Roman" w:eastAsia="Times New Roman" w:cs="Times New Roman"/>
          <w:spacing w:val="-6"/>
          <w:sz w:val="24"/>
          <w:szCs w:val="24"/>
        </w:rPr>
        <w:t>/</w:t>
      </w:r>
      <w:r>
        <w:rPr>
          <w:rFonts w:ascii="宋体" w:hAnsi="宋体" w:eastAsia="宋体" w:cs="宋体"/>
          <w:spacing w:val="-6"/>
          <w:sz w:val="24"/>
          <w:szCs w:val="24"/>
        </w:rPr>
        <w:t>昼</w:t>
      </w:r>
      <w:r>
        <w:rPr>
          <w:rFonts w:ascii="宋体" w:hAnsi="宋体" w:eastAsia="宋体" w:cs="宋体"/>
          <w:sz w:val="24"/>
          <w:szCs w:val="24"/>
        </w:rPr>
        <w:t xml:space="preserve"> </w:t>
      </w:r>
      <w:r>
        <w:rPr>
          <w:rFonts w:ascii="宋体" w:hAnsi="宋体" w:eastAsia="宋体" w:cs="宋体"/>
          <w:spacing w:val="-9"/>
          <w:sz w:val="24"/>
          <w:szCs w:val="24"/>
        </w:rPr>
        <w:t>夜，</w:t>
      </w:r>
      <w:r>
        <w:rPr>
          <w:rFonts w:ascii="宋体" w:hAnsi="宋体" w:eastAsia="宋体" w:cs="宋体"/>
          <w:spacing w:val="-50"/>
          <w:sz w:val="24"/>
          <w:szCs w:val="24"/>
        </w:rPr>
        <w:t xml:space="preserve"> </w:t>
      </w:r>
      <w:r>
        <w:rPr>
          <w:rFonts w:ascii="宋体" w:hAnsi="宋体" w:eastAsia="宋体" w:cs="宋体"/>
          <w:spacing w:val="-9"/>
          <w:sz w:val="24"/>
          <w:szCs w:val="24"/>
        </w:rPr>
        <w:t>富水性中等。坡前堆积体主要分布于河床两岸斜坡</w:t>
      </w:r>
      <w:r>
        <w:rPr>
          <w:rFonts w:ascii="宋体" w:hAnsi="宋体" w:eastAsia="宋体" w:cs="宋体"/>
          <w:spacing w:val="-10"/>
          <w:sz w:val="24"/>
          <w:szCs w:val="24"/>
        </w:rPr>
        <w:t>坡脚平缓地带，</w:t>
      </w:r>
      <w:r>
        <w:rPr>
          <w:rFonts w:ascii="宋体" w:hAnsi="宋体" w:eastAsia="宋体" w:cs="宋体"/>
          <w:spacing w:val="33"/>
          <w:sz w:val="24"/>
          <w:szCs w:val="24"/>
        </w:rPr>
        <w:t xml:space="preserve"> </w:t>
      </w:r>
      <w:r>
        <w:rPr>
          <w:rFonts w:ascii="宋体" w:hAnsi="宋体" w:eastAsia="宋体" w:cs="宋体"/>
          <w:spacing w:val="-10"/>
          <w:sz w:val="24"/>
          <w:szCs w:val="24"/>
        </w:rPr>
        <w:t>一般厚度</w:t>
      </w:r>
      <w:r>
        <w:rPr>
          <w:rFonts w:ascii="宋体" w:hAnsi="宋体" w:eastAsia="宋体" w:cs="宋体"/>
          <w:sz w:val="24"/>
          <w:szCs w:val="24"/>
        </w:rPr>
        <w:t xml:space="preserve"> </w:t>
      </w:r>
      <w:r>
        <w:rPr>
          <w:rFonts w:ascii="Times New Roman" w:hAnsi="Times New Roman" w:eastAsia="Times New Roman" w:cs="Times New Roman"/>
          <w:spacing w:val="-1"/>
          <w:sz w:val="24"/>
          <w:szCs w:val="24"/>
        </w:rPr>
        <w:t>3.0</w:t>
      </w:r>
      <w:r>
        <w:rPr>
          <w:rFonts w:ascii="宋体" w:hAnsi="宋体" w:eastAsia="宋体" w:cs="宋体"/>
          <w:spacing w:val="-1"/>
          <w:sz w:val="24"/>
          <w:szCs w:val="24"/>
        </w:rPr>
        <w:t>～</w:t>
      </w:r>
      <w:r>
        <w:rPr>
          <w:rFonts w:ascii="Times New Roman" w:hAnsi="Times New Roman" w:eastAsia="Times New Roman" w:cs="Times New Roman"/>
          <w:spacing w:val="-1"/>
          <w:sz w:val="24"/>
          <w:szCs w:val="24"/>
        </w:rPr>
        <w:t>5.0m</w:t>
      </w:r>
      <w:r>
        <w:rPr>
          <w:rFonts w:ascii="Times New Roman" w:hAnsi="Times New Roman" w:eastAsia="Times New Roman" w:cs="Times New Roman"/>
          <w:spacing w:val="48"/>
          <w:w w:val="101"/>
          <w:sz w:val="24"/>
          <w:szCs w:val="24"/>
        </w:rPr>
        <w:t xml:space="preserve"> </w:t>
      </w:r>
      <w:r>
        <w:rPr>
          <w:rFonts w:ascii="宋体" w:hAnsi="宋体" w:eastAsia="宋体" w:cs="宋体"/>
          <w:spacing w:val="-1"/>
          <w:sz w:val="24"/>
          <w:szCs w:val="24"/>
        </w:rPr>
        <w:t xml:space="preserve">之间，局部地段厚度达 </w:t>
      </w:r>
      <w:r>
        <w:rPr>
          <w:rFonts w:ascii="Times New Roman" w:hAnsi="Times New Roman" w:eastAsia="Times New Roman" w:cs="Times New Roman"/>
          <w:spacing w:val="-1"/>
          <w:sz w:val="24"/>
          <w:szCs w:val="24"/>
        </w:rPr>
        <w:t>12.0m</w:t>
      </w:r>
      <w:r>
        <w:rPr>
          <w:rFonts w:ascii="宋体" w:hAnsi="宋体" w:eastAsia="宋体" w:cs="宋体"/>
          <w:spacing w:val="-1"/>
          <w:sz w:val="24"/>
          <w:szCs w:val="24"/>
        </w:rPr>
        <w:t>。主</w:t>
      </w:r>
      <w:r>
        <w:rPr>
          <w:rFonts w:ascii="宋体" w:hAnsi="宋体" w:eastAsia="宋体" w:cs="宋体"/>
          <w:spacing w:val="-2"/>
          <w:sz w:val="24"/>
          <w:szCs w:val="24"/>
        </w:rPr>
        <w:t>要接受大气降雨补给，其水位与降</w:t>
      </w:r>
      <w:r>
        <w:rPr>
          <w:rFonts w:ascii="宋体" w:hAnsi="宋体" w:eastAsia="宋体" w:cs="宋体"/>
          <w:sz w:val="24"/>
          <w:szCs w:val="24"/>
        </w:rPr>
        <w:t xml:space="preserve"> </w:t>
      </w:r>
      <w:r>
        <w:rPr>
          <w:rFonts w:ascii="宋体" w:hAnsi="宋体" w:eastAsia="宋体" w:cs="宋体"/>
          <w:spacing w:val="-4"/>
          <w:sz w:val="24"/>
          <w:szCs w:val="24"/>
        </w:rPr>
        <w:t>雨密切相关， 属季节性孔隙潜水，雨季含水，</w:t>
      </w:r>
      <w:r>
        <w:rPr>
          <w:rFonts w:ascii="宋体" w:hAnsi="宋体" w:eastAsia="宋体" w:cs="宋体"/>
          <w:spacing w:val="-5"/>
          <w:sz w:val="24"/>
          <w:szCs w:val="24"/>
        </w:rPr>
        <w:t>旱季贫水，地下水循环周期较短，</w:t>
      </w:r>
    </w:p>
    <w:p>
      <w:pPr>
        <w:spacing w:before="1" w:line="233" w:lineRule="auto"/>
        <w:ind w:left="39"/>
        <w:rPr>
          <w:rFonts w:ascii="宋体" w:hAnsi="宋体" w:eastAsia="宋体" w:cs="宋体"/>
          <w:sz w:val="24"/>
          <w:szCs w:val="24"/>
        </w:rPr>
      </w:pPr>
      <w:r>
        <w:rPr>
          <w:rFonts w:ascii="宋体" w:hAnsi="宋体" w:eastAsia="宋体" w:cs="宋体"/>
          <w:spacing w:val="-4"/>
          <w:sz w:val="24"/>
          <w:szCs w:val="24"/>
        </w:rPr>
        <w:t>含水贫乏。单井涌水量小于</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100</w:t>
      </w:r>
      <w:r>
        <w:rPr>
          <w:rFonts w:ascii="Times New Roman" w:hAnsi="Times New Roman" w:eastAsia="Times New Roman" w:cs="Times New Roman"/>
          <w:spacing w:val="21"/>
          <w:w w:val="101"/>
          <w:sz w:val="24"/>
          <w:szCs w:val="24"/>
        </w:rPr>
        <w:t xml:space="preserve"> </w:t>
      </w:r>
      <w:r>
        <w:rPr>
          <w:rFonts w:ascii="宋体" w:hAnsi="宋体" w:eastAsia="宋体" w:cs="宋体"/>
          <w:spacing w:val="-4"/>
          <w:sz w:val="24"/>
          <w:szCs w:val="24"/>
        </w:rPr>
        <w:t>吨</w:t>
      </w:r>
      <w:r>
        <w:rPr>
          <w:rFonts w:ascii="Times New Roman" w:hAnsi="Times New Roman" w:eastAsia="Times New Roman" w:cs="Times New Roman"/>
          <w:spacing w:val="-4"/>
          <w:sz w:val="24"/>
          <w:szCs w:val="24"/>
        </w:rPr>
        <w:t>/</w:t>
      </w:r>
      <w:r>
        <w:rPr>
          <w:rFonts w:ascii="宋体" w:hAnsi="宋体" w:eastAsia="宋体" w:cs="宋体"/>
          <w:spacing w:val="-4"/>
          <w:sz w:val="24"/>
          <w:szCs w:val="24"/>
        </w:rPr>
        <w:t>昼夜，富水性弱。</w:t>
      </w:r>
    </w:p>
    <w:p>
      <w:pPr>
        <w:spacing w:before="164"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）碎屑岩孔隙裂隙水</w:t>
      </w:r>
    </w:p>
    <w:p>
      <w:pPr>
        <w:spacing w:before="183" w:line="360" w:lineRule="auto"/>
        <w:ind w:left="39" w:firstLine="479"/>
        <w:rPr>
          <w:rFonts w:ascii="宋体" w:hAnsi="宋体" w:eastAsia="宋体" w:cs="宋体"/>
          <w:sz w:val="24"/>
          <w:szCs w:val="24"/>
        </w:rPr>
      </w:pPr>
      <w:r>
        <w:rPr>
          <w:rFonts w:ascii="宋体" w:hAnsi="宋体" w:eastAsia="宋体" w:cs="宋体"/>
          <w:spacing w:val="3"/>
          <w:sz w:val="24"/>
          <w:szCs w:val="24"/>
        </w:rPr>
        <w:t>碎屑岩类孔隙裂隙水分布于库区白垩系上统江底</w:t>
      </w:r>
      <w:r>
        <w:rPr>
          <w:rFonts w:ascii="宋体" w:hAnsi="宋体" w:eastAsia="宋体" w:cs="宋体"/>
          <w:spacing w:val="2"/>
          <w:sz w:val="24"/>
          <w:szCs w:val="24"/>
        </w:rPr>
        <w:t>河组上杂色泥岩段（</w:t>
      </w:r>
      <w:r>
        <w:rPr>
          <w:rFonts w:ascii="Times New Roman" w:hAnsi="Times New Roman" w:eastAsia="Times New Roman" w:cs="Times New Roman"/>
          <w:spacing w:val="2"/>
          <w:sz w:val="24"/>
          <w:szCs w:val="24"/>
        </w:rPr>
        <w:t>K</w:t>
      </w:r>
      <w:r>
        <w:rPr>
          <w:rFonts w:ascii="Times New Roman" w:hAnsi="Times New Roman" w:eastAsia="Times New Roman" w:cs="Times New Roman"/>
          <w:spacing w:val="2"/>
          <w:position w:val="-1"/>
          <w:sz w:val="15"/>
          <w:szCs w:val="15"/>
        </w:rPr>
        <w:t>2</w:t>
      </w:r>
      <w:r>
        <w:rPr>
          <w:rFonts w:ascii="Times New Roman" w:hAnsi="Times New Roman" w:eastAsia="Times New Roman" w:cs="Times New Roman"/>
          <w:spacing w:val="2"/>
          <w:sz w:val="24"/>
          <w:szCs w:val="24"/>
        </w:rPr>
        <w:t>j</w:t>
      </w:r>
      <w:r>
        <w:rPr>
          <w:rFonts w:ascii="Times New Roman" w:hAnsi="Times New Roman" w:eastAsia="Times New Roman" w:cs="Times New Roman"/>
          <w:spacing w:val="2"/>
          <w:position w:val="8"/>
          <w:sz w:val="15"/>
          <w:szCs w:val="15"/>
        </w:rPr>
        <w:t>3</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1"/>
          <w:sz w:val="24"/>
          <w:szCs w:val="24"/>
        </w:rPr>
        <w:t>地层中， 岩性为厚层状紫红色泥岩、粉砂质泥岩</w:t>
      </w:r>
      <w:r>
        <w:rPr>
          <w:rFonts w:ascii="宋体" w:hAnsi="宋体" w:eastAsia="宋体" w:cs="宋体"/>
          <w:spacing w:val="-12"/>
          <w:sz w:val="24"/>
          <w:szCs w:val="24"/>
        </w:rPr>
        <w:t>夹钙质泥岩，</w:t>
      </w:r>
      <w:r>
        <w:rPr>
          <w:rFonts w:ascii="宋体" w:hAnsi="宋体" w:eastAsia="宋体" w:cs="宋体"/>
          <w:spacing w:val="64"/>
          <w:sz w:val="24"/>
          <w:szCs w:val="24"/>
        </w:rPr>
        <w:t xml:space="preserve"> </w:t>
      </w:r>
      <w:r>
        <w:rPr>
          <w:rFonts w:ascii="宋体" w:hAnsi="宋体" w:eastAsia="宋体" w:cs="宋体"/>
          <w:spacing w:val="-12"/>
          <w:sz w:val="24"/>
          <w:szCs w:val="24"/>
        </w:rPr>
        <w:t>以裂隙水、溶孔水</w:t>
      </w:r>
      <w:r>
        <w:rPr>
          <w:rFonts w:ascii="宋体" w:hAnsi="宋体" w:eastAsia="宋体" w:cs="宋体"/>
          <w:sz w:val="24"/>
          <w:szCs w:val="24"/>
        </w:rPr>
        <w:t xml:space="preserve">  </w:t>
      </w:r>
      <w:r>
        <w:rPr>
          <w:rFonts w:ascii="宋体" w:hAnsi="宋体" w:eastAsia="宋体" w:cs="宋体"/>
          <w:spacing w:val="-14"/>
          <w:sz w:val="24"/>
          <w:szCs w:val="24"/>
        </w:rPr>
        <w:t>为主，</w:t>
      </w:r>
      <w:r>
        <w:rPr>
          <w:rFonts w:ascii="宋体" w:hAnsi="宋体" w:eastAsia="宋体" w:cs="宋体"/>
          <w:spacing w:val="-29"/>
          <w:sz w:val="24"/>
          <w:szCs w:val="24"/>
        </w:rPr>
        <w:t xml:space="preserve"> </w:t>
      </w:r>
      <w:r>
        <w:rPr>
          <w:rFonts w:ascii="宋体" w:hAnsi="宋体" w:eastAsia="宋体" w:cs="宋体"/>
          <w:spacing w:val="-14"/>
          <w:sz w:val="24"/>
          <w:szCs w:val="24"/>
        </w:rPr>
        <w:t>其富水性与钙质含量及溶蚀程度密切相关，</w:t>
      </w:r>
      <w:r>
        <w:rPr>
          <w:rFonts w:ascii="宋体" w:hAnsi="宋体" w:eastAsia="宋体" w:cs="宋体"/>
          <w:spacing w:val="32"/>
          <w:sz w:val="24"/>
          <w:szCs w:val="24"/>
        </w:rPr>
        <w:t xml:space="preserve"> </w:t>
      </w:r>
      <w:r>
        <w:rPr>
          <w:rFonts w:ascii="宋体" w:hAnsi="宋体" w:eastAsia="宋体" w:cs="宋体"/>
          <w:spacing w:val="-14"/>
          <w:sz w:val="24"/>
          <w:szCs w:val="24"/>
        </w:rPr>
        <w:t>主要接受大气降水补给，</w:t>
      </w:r>
      <w:r>
        <w:rPr>
          <w:rFonts w:ascii="宋体" w:hAnsi="宋体" w:eastAsia="宋体" w:cs="宋体"/>
          <w:spacing w:val="30"/>
          <w:sz w:val="24"/>
          <w:szCs w:val="24"/>
        </w:rPr>
        <w:t xml:space="preserve"> </w:t>
      </w:r>
      <w:r>
        <w:rPr>
          <w:rFonts w:ascii="宋体" w:hAnsi="宋体" w:eastAsia="宋体" w:cs="宋体"/>
          <w:spacing w:val="-15"/>
          <w:sz w:val="24"/>
          <w:szCs w:val="24"/>
        </w:rPr>
        <w:t>地下</w:t>
      </w:r>
    </w:p>
    <w:p>
      <w:pPr>
        <w:spacing w:line="233" w:lineRule="auto"/>
        <w:ind w:left="42"/>
        <w:rPr>
          <w:rFonts w:ascii="宋体" w:hAnsi="宋体" w:eastAsia="宋体" w:cs="宋体"/>
          <w:sz w:val="24"/>
          <w:szCs w:val="24"/>
        </w:rPr>
      </w:pPr>
      <w:r>
        <w:rPr>
          <w:rFonts w:ascii="宋体" w:hAnsi="宋体" w:eastAsia="宋体" w:cs="宋体"/>
          <w:spacing w:val="-2"/>
          <w:sz w:val="24"/>
          <w:szCs w:val="24"/>
        </w:rPr>
        <w:t>水径流模数为</w:t>
      </w:r>
      <w:r>
        <w:rPr>
          <w:rFonts w:ascii="宋体" w:hAnsi="宋体" w:eastAsia="宋体" w:cs="宋体"/>
          <w:spacing w:val="-9"/>
          <w:sz w:val="24"/>
          <w:szCs w:val="24"/>
        </w:rPr>
        <w:t xml:space="preserve"> </w:t>
      </w:r>
      <w:r>
        <w:rPr>
          <w:rFonts w:ascii="Times New Roman" w:hAnsi="Times New Roman" w:eastAsia="Times New Roman" w:cs="Times New Roman"/>
          <w:spacing w:val="-2"/>
          <w:sz w:val="24"/>
          <w:szCs w:val="24"/>
        </w:rPr>
        <w:t>0.4</w:t>
      </w:r>
      <w:r>
        <w:rPr>
          <w:rFonts w:ascii="宋体" w:hAnsi="宋体" w:eastAsia="宋体" w:cs="宋体"/>
          <w:spacing w:val="-2"/>
          <w:sz w:val="24"/>
          <w:szCs w:val="24"/>
        </w:rPr>
        <w:t>～</w:t>
      </w:r>
      <w:r>
        <w:rPr>
          <w:rFonts w:ascii="Times New Roman" w:hAnsi="Times New Roman" w:eastAsia="Times New Roman" w:cs="Times New Roman"/>
          <w:spacing w:val="-2"/>
          <w:sz w:val="24"/>
          <w:szCs w:val="24"/>
        </w:rPr>
        <w:t>0.9L/s·km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2"/>
          <w:sz w:val="24"/>
          <w:szCs w:val="24"/>
        </w:rPr>
        <w:t>，泉水流量</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0.2</w:t>
      </w:r>
      <w:r>
        <w:rPr>
          <w:rFonts w:ascii="宋体" w:hAnsi="宋体" w:eastAsia="宋体" w:cs="宋体"/>
          <w:spacing w:val="-2"/>
          <w:sz w:val="24"/>
          <w:szCs w:val="24"/>
        </w:rPr>
        <w:t>～</w:t>
      </w:r>
      <w:r>
        <w:rPr>
          <w:rFonts w:ascii="Times New Roman" w:hAnsi="Times New Roman" w:eastAsia="Times New Roman" w:cs="Times New Roman"/>
          <w:spacing w:val="-2"/>
          <w:sz w:val="24"/>
          <w:szCs w:val="24"/>
        </w:rPr>
        <w:t>1.2L/s</w:t>
      </w:r>
      <w:r>
        <w:rPr>
          <w:rFonts w:ascii="宋体" w:hAnsi="宋体" w:eastAsia="宋体" w:cs="宋体"/>
          <w:spacing w:val="-2"/>
          <w:sz w:val="24"/>
          <w:szCs w:val="24"/>
        </w:rPr>
        <w:t xml:space="preserve">，局部泉流量达 </w:t>
      </w:r>
      <w:r>
        <w:rPr>
          <w:rFonts w:ascii="Times New Roman" w:hAnsi="Times New Roman" w:eastAsia="Times New Roman" w:cs="Times New Roman"/>
          <w:spacing w:val="-2"/>
          <w:sz w:val="24"/>
          <w:szCs w:val="24"/>
        </w:rPr>
        <w:t>10.0L/s</w:t>
      </w:r>
      <w:r>
        <w:rPr>
          <w:rFonts w:ascii="宋体" w:hAnsi="宋体" w:eastAsia="宋体" w:cs="宋体"/>
          <w:spacing w:val="-2"/>
          <w:sz w:val="24"/>
          <w:szCs w:val="24"/>
        </w:rPr>
        <w:t>，</w:t>
      </w:r>
    </w:p>
    <w:p>
      <w:pPr>
        <w:spacing w:line="233" w:lineRule="auto"/>
        <w:rPr>
          <w:rFonts w:ascii="宋体" w:hAnsi="宋体" w:eastAsia="宋体" w:cs="宋体"/>
          <w:sz w:val="24"/>
          <w:szCs w:val="24"/>
        </w:rPr>
        <w:sectPr>
          <w:headerReference r:id="rId173" w:type="default"/>
          <w:footerReference r:id="rId174" w:type="default"/>
          <w:pgSz w:w="11907" w:h="16839"/>
          <w:pgMar w:top="1156" w:right="1694" w:bottom="1374" w:left="1770" w:header="881" w:footer="1210" w:gutter="0"/>
        </w:sectPr>
      </w:pPr>
    </w:p>
    <w:p>
      <w:pPr>
        <w:spacing w:line="317" w:lineRule="auto"/>
        <w:rPr>
          <w:rFonts w:ascii="Arial"/>
          <w:sz w:val="21"/>
        </w:rPr>
      </w:pPr>
    </w:p>
    <w:p>
      <w:pPr>
        <w:spacing w:before="78" w:line="468" w:lineRule="exact"/>
        <w:ind w:left="41"/>
        <w:rPr>
          <w:rFonts w:ascii="宋体" w:hAnsi="宋体" w:eastAsia="宋体" w:cs="宋体"/>
          <w:sz w:val="24"/>
          <w:szCs w:val="24"/>
        </w:rPr>
      </w:pPr>
      <w:r>
        <w:rPr>
          <w:rFonts w:ascii="宋体" w:hAnsi="宋体" w:eastAsia="宋体" w:cs="宋体"/>
          <w:spacing w:val="-4"/>
          <w:position w:val="16"/>
          <w:sz w:val="24"/>
          <w:szCs w:val="24"/>
        </w:rPr>
        <w:t>单井涌水量</w:t>
      </w:r>
      <w:r>
        <w:rPr>
          <w:rFonts w:ascii="宋体" w:hAnsi="宋体" w:eastAsia="宋体" w:cs="宋体"/>
          <w:spacing w:val="-31"/>
          <w:position w:val="16"/>
          <w:sz w:val="24"/>
          <w:szCs w:val="24"/>
        </w:rPr>
        <w:t xml:space="preserve"> </w:t>
      </w:r>
      <w:r>
        <w:rPr>
          <w:rFonts w:ascii="Times New Roman" w:hAnsi="Times New Roman" w:eastAsia="Times New Roman" w:cs="Times New Roman"/>
          <w:spacing w:val="-4"/>
          <w:position w:val="16"/>
          <w:sz w:val="24"/>
          <w:szCs w:val="24"/>
        </w:rPr>
        <w:t>100</w:t>
      </w:r>
      <w:r>
        <w:rPr>
          <w:rFonts w:ascii="宋体" w:hAnsi="宋体" w:eastAsia="宋体" w:cs="宋体"/>
          <w:spacing w:val="-4"/>
          <w:position w:val="16"/>
          <w:sz w:val="24"/>
          <w:szCs w:val="24"/>
        </w:rPr>
        <w:t>～</w:t>
      </w:r>
      <w:r>
        <w:rPr>
          <w:rFonts w:ascii="Times New Roman" w:hAnsi="Times New Roman" w:eastAsia="Times New Roman" w:cs="Times New Roman"/>
          <w:spacing w:val="-4"/>
          <w:position w:val="16"/>
          <w:sz w:val="24"/>
          <w:szCs w:val="24"/>
        </w:rPr>
        <w:t>300</w:t>
      </w:r>
      <w:r>
        <w:rPr>
          <w:rFonts w:ascii="Times New Roman" w:hAnsi="Times New Roman" w:eastAsia="Times New Roman" w:cs="Times New Roman"/>
          <w:spacing w:val="21"/>
          <w:position w:val="16"/>
          <w:sz w:val="24"/>
          <w:szCs w:val="24"/>
        </w:rPr>
        <w:t xml:space="preserve"> </w:t>
      </w:r>
      <w:r>
        <w:rPr>
          <w:rFonts w:ascii="宋体" w:hAnsi="宋体" w:eastAsia="宋体" w:cs="宋体"/>
          <w:spacing w:val="-4"/>
          <w:position w:val="16"/>
          <w:sz w:val="24"/>
          <w:szCs w:val="24"/>
        </w:rPr>
        <w:t>吨</w:t>
      </w:r>
      <w:r>
        <w:rPr>
          <w:rFonts w:ascii="Times New Roman" w:hAnsi="Times New Roman" w:eastAsia="Times New Roman" w:cs="Times New Roman"/>
          <w:spacing w:val="-4"/>
          <w:position w:val="16"/>
          <w:sz w:val="24"/>
          <w:szCs w:val="24"/>
        </w:rPr>
        <w:t>/</w:t>
      </w:r>
      <w:r>
        <w:rPr>
          <w:rFonts w:ascii="宋体" w:hAnsi="宋体" w:eastAsia="宋体" w:cs="宋体"/>
          <w:spacing w:val="-4"/>
          <w:position w:val="16"/>
          <w:sz w:val="24"/>
          <w:szCs w:val="24"/>
        </w:rPr>
        <w:t>昼夜，富水性中等。</w:t>
      </w:r>
    </w:p>
    <w:p>
      <w:pPr>
        <w:spacing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）地下补给与排泄</w:t>
      </w:r>
    </w:p>
    <w:p>
      <w:pPr>
        <w:spacing w:before="182" w:line="360" w:lineRule="auto"/>
        <w:ind w:left="39" w:right="30" w:firstLine="480"/>
        <w:jc w:val="both"/>
        <w:rPr>
          <w:rFonts w:ascii="宋体" w:hAnsi="宋体" w:eastAsia="宋体" w:cs="宋体"/>
          <w:sz w:val="24"/>
          <w:szCs w:val="24"/>
        </w:rPr>
      </w:pPr>
      <w:r>
        <w:rPr>
          <w:rFonts w:ascii="宋体" w:hAnsi="宋体" w:eastAsia="宋体" w:cs="宋体"/>
          <w:spacing w:val="-10"/>
          <w:sz w:val="24"/>
          <w:szCs w:val="24"/>
        </w:rPr>
        <w:t>库区所在的桂花河是整个研究区最低侵蚀基准面，</w:t>
      </w:r>
      <w:r>
        <w:rPr>
          <w:rFonts w:ascii="宋体" w:hAnsi="宋体" w:eastAsia="宋体" w:cs="宋体"/>
          <w:spacing w:val="35"/>
          <w:sz w:val="24"/>
          <w:szCs w:val="24"/>
        </w:rPr>
        <w:t xml:space="preserve"> </w:t>
      </w:r>
      <w:r>
        <w:rPr>
          <w:rFonts w:ascii="宋体" w:hAnsi="宋体" w:eastAsia="宋体" w:cs="宋体"/>
          <w:spacing w:val="-10"/>
          <w:sz w:val="24"/>
          <w:szCs w:val="24"/>
        </w:rPr>
        <w:t>因此，</w:t>
      </w:r>
      <w:r>
        <w:rPr>
          <w:rFonts w:ascii="宋体" w:hAnsi="宋体" w:eastAsia="宋体" w:cs="宋体"/>
          <w:spacing w:val="-50"/>
          <w:sz w:val="24"/>
          <w:szCs w:val="24"/>
        </w:rPr>
        <w:t xml:space="preserve"> </w:t>
      </w:r>
      <w:r>
        <w:rPr>
          <w:rFonts w:ascii="宋体" w:hAnsi="宋体" w:eastAsia="宋体" w:cs="宋体"/>
          <w:spacing w:val="-10"/>
          <w:sz w:val="24"/>
          <w:szCs w:val="24"/>
        </w:rPr>
        <w:t>桂花河是研究区地</w:t>
      </w:r>
      <w:r>
        <w:rPr>
          <w:rFonts w:ascii="宋体" w:hAnsi="宋体" w:eastAsia="宋体" w:cs="宋体"/>
          <w:sz w:val="24"/>
          <w:szCs w:val="24"/>
        </w:rPr>
        <w:t xml:space="preserve"> </w:t>
      </w:r>
      <w:r>
        <w:rPr>
          <w:rFonts w:ascii="宋体" w:hAnsi="宋体" w:eastAsia="宋体" w:cs="宋体"/>
          <w:spacing w:val="-3"/>
          <w:sz w:val="24"/>
          <w:szCs w:val="24"/>
        </w:rPr>
        <w:t>下水最终排泄基准面。区内地下水主要接受大气降水补给，两岸地下水分水岭与</w:t>
      </w:r>
      <w:r>
        <w:rPr>
          <w:rFonts w:ascii="宋体" w:hAnsi="宋体" w:eastAsia="宋体" w:cs="宋体"/>
          <w:spacing w:val="1"/>
          <w:sz w:val="24"/>
          <w:szCs w:val="24"/>
        </w:rPr>
        <w:t xml:space="preserve"> </w:t>
      </w:r>
      <w:r>
        <w:rPr>
          <w:rFonts w:ascii="宋体" w:hAnsi="宋体" w:eastAsia="宋体" w:cs="宋体"/>
          <w:spacing w:val="-12"/>
          <w:sz w:val="24"/>
          <w:szCs w:val="24"/>
        </w:rPr>
        <w:t>地形分水岭基本一致，</w:t>
      </w:r>
      <w:r>
        <w:rPr>
          <w:rFonts w:ascii="宋体" w:hAnsi="宋体" w:eastAsia="宋体" w:cs="宋体"/>
          <w:spacing w:val="-55"/>
          <w:sz w:val="24"/>
          <w:szCs w:val="24"/>
        </w:rPr>
        <w:t xml:space="preserve"> </w:t>
      </w:r>
      <w:r>
        <w:rPr>
          <w:rFonts w:ascii="宋体" w:hAnsi="宋体" w:eastAsia="宋体" w:cs="宋体"/>
          <w:spacing w:val="-12"/>
          <w:sz w:val="24"/>
          <w:szCs w:val="24"/>
        </w:rPr>
        <w:t>两岸地下水分水岭水位高于水库正常蓄水位，</w:t>
      </w:r>
      <w:r>
        <w:rPr>
          <w:rFonts w:ascii="宋体" w:hAnsi="宋体" w:eastAsia="宋体" w:cs="宋体"/>
          <w:spacing w:val="48"/>
          <w:sz w:val="24"/>
          <w:szCs w:val="24"/>
        </w:rPr>
        <w:t xml:space="preserve"> </w:t>
      </w:r>
      <w:r>
        <w:rPr>
          <w:rFonts w:ascii="宋体" w:hAnsi="宋体" w:eastAsia="宋体" w:cs="宋体"/>
          <w:spacing w:val="-12"/>
          <w:sz w:val="24"/>
          <w:szCs w:val="24"/>
        </w:rPr>
        <w:t>因此，</w:t>
      </w:r>
      <w:r>
        <w:rPr>
          <w:rFonts w:ascii="宋体" w:hAnsi="宋体" w:eastAsia="宋体" w:cs="宋体"/>
          <w:spacing w:val="-35"/>
          <w:sz w:val="24"/>
          <w:szCs w:val="24"/>
        </w:rPr>
        <w:t xml:space="preserve"> </w:t>
      </w:r>
      <w:r>
        <w:rPr>
          <w:rFonts w:ascii="宋体" w:hAnsi="宋体" w:eastAsia="宋体" w:cs="宋体"/>
          <w:spacing w:val="-13"/>
          <w:sz w:val="24"/>
          <w:szCs w:val="24"/>
        </w:rPr>
        <w:t>库区</w:t>
      </w:r>
      <w:r>
        <w:rPr>
          <w:rFonts w:ascii="宋体" w:hAnsi="宋体" w:eastAsia="宋体" w:cs="宋体"/>
          <w:sz w:val="24"/>
          <w:szCs w:val="24"/>
        </w:rPr>
        <w:t xml:space="preserve"> </w:t>
      </w:r>
      <w:r>
        <w:rPr>
          <w:rFonts w:ascii="宋体" w:hAnsi="宋体" w:eastAsia="宋体" w:cs="宋体"/>
          <w:spacing w:val="-8"/>
          <w:sz w:val="24"/>
          <w:szCs w:val="24"/>
        </w:rPr>
        <w:t>两岸地下水通过第四系松散层、基岩中的裂隙下渗，</w:t>
      </w:r>
      <w:r>
        <w:rPr>
          <w:rFonts w:ascii="宋体" w:hAnsi="宋体" w:eastAsia="宋体" w:cs="宋体"/>
          <w:spacing w:val="59"/>
          <w:sz w:val="24"/>
          <w:szCs w:val="24"/>
        </w:rPr>
        <w:t xml:space="preserve"> </w:t>
      </w:r>
      <w:r>
        <w:rPr>
          <w:rFonts w:ascii="宋体" w:hAnsi="宋体" w:eastAsia="宋体" w:cs="宋体"/>
          <w:spacing w:val="-8"/>
          <w:sz w:val="24"/>
          <w:szCs w:val="24"/>
        </w:rPr>
        <w:t>以泉和泄流的形式向水库排</w:t>
      </w:r>
    </w:p>
    <w:p>
      <w:pPr>
        <w:spacing w:line="226" w:lineRule="auto"/>
        <w:ind w:left="43"/>
        <w:rPr>
          <w:rFonts w:ascii="宋体" w:hAnsi="宋体" w:eastAsia="宋体" w:cs="宋体"/>
          <w:sz w:val="24"/>
          <w:szCs w:val="24"/>
        </w:rPr>
      </w:pPr>
      <w:r>
        <w:rPr>
          <w:rFonts w:ascii="宋体" w:hAnsi="宋体" w:eastAsia="宋体" w:cs="宋体"/>
          <w:spacing w:val="-12"/>
          <w:sz w:val="24"/>
          <w:szCs w:val="24"/>
        </w:rPr>
        <w:t>泄。</w:t>
      </w:r>
    </w:p>
    <w:p>
      <w:pPr>
        <w:spacing w:line="345" w:lineRule="auto"/>
        <w:rPr>
          <w:rFonts w:ascii="Arial"/>
          <w:sz w:val="21"/>
        </w:rPr>
      </w:pPr>
    </w:p>
    <w:p>
      <w:pPr>
        <w:pStyle w:val="2"/>
        <w:spacing w:before="78" w:line="220" w:lineRule="auto"/>
        <w:ind w:left="33"/>
        <w:outlineLvl w:val="2"/>
        <w:rPr>
          <w:sz w:val="24"/>
          <w:szCs w:val="24"/>
        </w:rPr>
      </w:pPr>
      <w:r>
        <w:rPr>
          <w:rFonts w:ascii="Times New Roman" w:hAnsi="Times New Roman" w:eastAsia="Times New Roman" w:cs="Times New Roman"/>
          <w:b/>
          <w:bCs/>
          <w:spacing w:val="-2"/>
          <w:sz w:val="24"/>
          <w:szCs w:val="24"/>
        </w:rPr>
        <w:t>3.1.6</w:t>
      </w:r>
      <w:r>
        <w:rPr>
          <w:rFonts w:ascii="Times New Roman" w:hAnsi="Times New Roman" w:eastAsia="Times New Roman" w:cs="Times New Roman"/>
          <w:b/>
          <w:bCs/>
          <w:spacing w:val="14"/>
          <w:sz w:val="24"/>
          <w:szCs w:val="24"/>
        </w:rPr>
        <w:t xml:space="preserve"> </w:t>
      </w:r>
      <w:r>
        <w:rPr>
          <w:spacing w:val="-2"/>
          <w:sz w:val="24"/>
          <w:szCs w:val="24"/>
          <w14:textOutline w14:w="4354" w14:cap="flat" w14:cmpd="sng">
            <w14:solidFill>
              <w14:srgbClr w14:val="000000"/>
            </w14:solidFill>
            <w14:prstDash w14:val="solid"/>
            <w14:miter w14:val="0"/>
          </w14:textOutline>
        </w:rPr>
        <w:t>土壤</w:t>
      </w:r>
    </w:p>
    <w:p>
      <w:pPr>
        <w:spacing w:line="248" w:lineRule="auto"/>
        <w:rPr>
          <w:rFonts w:ascii="Arial"/>
          <w:sz w:val="21"/>
        </w:rPr>
      </w:pPr>
    </w:p>
    <w:p>
      <w:pPr>
        <w:spacing w:before="78" w:line="338" w:lineRule="auto"/>
        <w:ind w:left="40" w:right="30" w:firstLine="478"/>
        <w:jc w:val="both"/>
        <w:rPr>
          <w:rFonts w:ascii="宋体" w:hAnsi="宋体" w:eastAsia="宋体" w:cs="宋体"/>
          <w:sz w:val="24"/>
          <w:szCs w:val="24"/>
        </w:rPr>
      </w:pPr>
      <w:r>
        <w:rPr>
          <w:rFonts w:ascii="宋体" w:hAnsi="宋体" w:eastAsia="宋体" w:cs="宋体"/>
          <w:spacing w:val="-7"/>
          <w:sz w:val="24"/>
          <w:szCs w:val="24"/>
        </w:rPr>
        <w:t>据大姚县土壤普查资料，全县土壤按其发生条件， 主要特点和生产性能共分</w:t>
      </w:r>
      <w:r>
        <w:rPr>
          <w:rFonts w:ascii="宋体" w:hAnsi="宋体" w:eastAsia="宋体" w:cs="宋体"/>
          <w:spacing w:val="15"/>
          <w:sz w:val="24"/>
          <w:szCs w:val="24"/>
        </w:rPr>
        <w:t xml:space="preserve"> </w:t>
      </w:r>
      <w:r>
        <w:rPr>
          <w:rFonts w:ascii="Times New Roman" w:hAnsi="Times New Roman" w:eastAsia="Times New Roman" w:cs="Times New Roman"/>
          <w:spacing w:val="-11"/>
          <w:sz w:val="24"/>
          <w:szCs w:val="24"/>
        </w:rPr>
        <w:t xml:space="preserve">6 </w:t>
      </w:r>
      <w:r>
        <w:rPr>
          <w:rFonts w:ascii="宋体" w:hAnsi="宋体" w:eastAsia="宋体" w:cs="宋体"/>
          <w:spacing w:val="-11"/>
          <w:sz w:val="24"/>
          <w:szCs w:val="24"/>
        </w:rPr>
        <w:t xml:space="preserve">个土类， </w:t>
      </w:r>
      <w:r>
        <w:rPr>
          <w:rFonts w:ascii="Times New Roman" w:hAnsi="Times New Roman" w:eastAsia="Times New Roman" w:cs="Times New Roman"/>
          <w:spacing w:val="-11"/>
          <w:sz w:val="24"/>
          <w:szCs w:val="24"/>
        </w:rPr>
        <w:t xml:space="preserve">9 </w:t>
      </w:r>
      <w:r>
        <w:rPr>
          <w:rFonts w:ascii="宋体" w:hAnsi="宋体" w:eastAsia="宋体" w:cs="宋体"/>
          <w:spacing w:val="-11"/>
          <w:sz w:val="24"/>
          <w:szCs w:val="24"/>
        </w:rPr>
        <w:t xml:space="preserve">个亚类， </w:t>
      </w:r>
      <w:r>
        <w:rPr>
          <w:rFonts w:ascii="Times New Roman" w:hAnsi="Times New Roman" w:eastAsia="Times New Roman" w:cs="Times New Roman"/>
          <w:spacing w:val="-11"/>
          <w:sz w:val="24"/>
          <w:szCs w:val="24"/>
        </w:rPr>
        <w:t>16</w:t>
      </w:r>
      <w:r>
        <w:rPr>
          <w:rFonts w:ascii="Times New Roman" w:hAnsi="Times New Roman" w:eastAsia="Times New Roman" w:cs="Times New Roman"/>
          <w:spacing w:val="9"/>
          <w:sz w:val="24"/>
          <w:szCs w:val="24"/>
        </w:rPr>
        <w:t xml:space="preserve"> </w:t>
      </w:r>
      <w:r>
        <w:rPr>
          <w:rFonts w:ascii="宋体" w:hAnsi="宋体" w:eastAsia="宋体" w:cs="宋体"/>
          <w:spacing w:val="-11"/>
          <w:sz w:val="24"/>
          <w:szCs w:val="24"/>
        </w:rPr>
        <w:t>个土属</w:t>
      </w:r>
      <w:r>
        <w:rPr>
          <w:rFonts w:ascii="宋体" w:hAnsi="宋体" w:eastAsia="宋体" w:cs="宋体"/>
          <w:spacing w:val="-12"/>
          <w:sz w:val="24"/>
          <w:szCs w:val="24"/>
        </w:rPr>
        <w:t xml:space="preserve">， </w:t>
      </w:r>
      <w:r>
        <w:rPr>
          <w:rFonts w:ascii="Times New Roman" w:hAnsi="Times New Roman" w:eastAsia="Times New Roman" w:cs="Times New Roman"/>
          <w:spacing w:val="-12"/>
          <w:sz w:val="24"/>
          <w:szCs w:val="24"/>
        </w:rPr>
        <w:t>32</w:t>
      </w:r>
      <w:r>
        <w:rPr>
          <w:rFonts w:ascii="Times New Roman" w:hAnsi="Times New Roman" w:eastAsia="Times New Roman" w:cs="Times New Roman"/>
          <w:spacing w:val="10"/>
          <w:sz w:val="24"/>
          <w:szCs w:val="24"/>
        </w:rPr>
        <w:t xml:space="preserve"> </w:t>
      </w:r>
      <w:r>
        <w:rPr>
          <w:rFonts w:ascii="宋体" w:hAnsi="宋体" w:eastAsia="宋体" w:cs="宋体"/>
          <w:spacing w:val="-12"/>
          <w:sz w:val="24"/>
          <w:szCs w:val="24"/>
        </w:rPr>
        <w:t>个土种。耕作土壤多为红紫土、紫砂砂土及</w:t>
      </w:r>
      <w:r>
        <w:rPr>
          <w:rFonts w:ascii="宋体" w:hAnsi="宋体" w:eastAsia="宋体" w:cs="宋体"/>
          <w:sz w:val="24"/>
          <w:szCs w:val="24"/>
        </w:rPr>
        <w:t xml:space="preserve"> </w:t>
      </w:r>
      <w:r>
        <w:rPr>
          <w:rFonts w:ascii="宋体" w:hAnsi="宋体" w:eastAsia="宋体" w:cs="宋体"/>
          <w:spacing w:val="-5"/>
          <w:sz w:val="24"/>
          <w:szCs w:val="24"/>
        </w:rPr>
        <w:t>羊肝土</w:t>
      </w:r>
      <w:r>
        <w:rPr>
          <w:rFonts w:ascii="Times New Roman" w:hAnsi="Times New Roman" w:eastAsia="Times New Roman" w:cs="Times New Roman"/>
          <w:spacing w:val="-5"/>
          <w:sz w:val="24"/>
          <w:szCs w:val="24"/>
        </w:rPr>
        <w:t>,</w:t>
      </w:r>
      <w:r>
        <w:rPr>
          <w:rFonts w:ascii="宋体" w:hAnsi="宋体" w:eastAsia="宋体" w:cs="宋体"/>
          <w:spacing w:val="-5"/>
          <w:sz w:val="24"/>
          <w:szCs w:val="24"/>
        </w:rPr>
        <w:t>水田土壤多为紫泥田、紫沙泥田等的水稻土。主要土壤类型按分布面积大</w:t>
      </w:r>
    </w:p>
    <w:p>
      <w:pPr>
        <w:spacing w:before="1" w:line="218" w:lineRule="auto"/>
        <w:ind w:left="45"/>
        <w:rPr>
          <w:rFonts w:ascii="宋体" w:hAnsi="宋体" w:eastAsia="宋体" w:cs="宋体"/>
          <w:sz w:val="24"/>
          <w:szCs w:val="24"/>
        </w:rPr>
      </w:pPr>
      <w:r>
        <w:rPr>
          <w:rFonts w:ascii="宋体" w:hAnsi="宋体" w:eastAsia="宋体" w:cs="宋体"/>
          <w:spacing w:val="-2"/>
          <w:sz w:val="24"/>
          <w:szCs w:val="24"/>
        </w:rPr>
        <w:t>小排序依次为棕壤、黄棕壤、红壤、紫色土、冲击土、水稻土。</w:t>
      </w:r>
    </w:p>
    <w:p>
      <w:pPr>
        <w:spacing w:before="124" w:line="360" w:lineRule="auto"/>
        <w:ind w:left="39" w:right="29" w:firstLine="483"/>
        <w:jc w:val="both"/>
        <w:rPr>
          <w:rFonts w:ascii="宋体" w:hAnsi="宋体" w:eastAsia="宋体" w:cs="宋体"/>
          <w:sz w:val="24"/>
          <w:szCs w:val="24"/>
        </w:rPr>
      </w:pPr>
      <w:r>
        <w:rPr>
          <w:rFonts w:ascii="宋体" w:hAnsi="宋体" w:eastAsia="宋体" w:cs="宋体"/>
          <w:spacing w:val="-11"/>
          <w:sz w:val="24"/>
          <w:szCs w:val="24"/>
        </w:rPr>
        <w:t>项目区土壤有紫色土、冲积土、水稻土</w:t>
      </w:r>
      <w:r>
        <w:rPr>
          <w:rFonts w:ascii="宋体" w:hAnsi="宋体" w:eastAsia="宋体" w:cs="宋体"/>
          <w:spacing w:val="-44"/>
          <w:sz w:val="24"/>
          <w:szCs w:val="24"/>
        </w:rPr>
        <w:t xml:space="preserve"> </w:t>
      </w:r>
      <w:r>
        <w:rPr>
          <w:rFonts w:ascii="Times New Roman" w:hAnsi="Times New Roman" w:eastAsia="Times New Roman" w:cs="Times New Roman"/>
          <w:spacing w:val="-11"/>
          <w:sz w:val="24"/>
          <w:szCs w:val="24"/>
        </w:rPr>
        <w:t>3</w:t>
      </w:r>
      <w:r>
        <w:rPr>
          <w:rFonts w:ascii="Times New Roman" w:hAnsi="Times New Roman" w:eastAsia="Times New Roman" w:cs="Times New Roman"/>
          <w:spacing w:val="16"/>
          <w:sz w:val="24"/>
          <w:szCs w:val="24"/>
        </w:rPr>
        <w:t xml:space="preserve"> </w:t>
      </w:r>
      <w:r>
        <w:rPr>
          <w:rFonts w:ascii="宋体" w:hAnsi="宋体" w:eastAsia="宋体" w:cs="宋体"/>
          <w:spacing w:val="-11"/>
          <w:sz w:val="24"/>
          <w:szCs w:val="24"/>
        </w:rPr>
        <w:t xml:space="preserve">个土类， </w:t>
      </w:r>
      <w:r>
        <w:rPr>
          <w:rFonts w:ascii="Times New Roman" w:hAnsi="Times New Roman" w:eastAsia="Times New Roman" w:cs="Times New Roman"/>
          <w:spacing w:val="-11"/>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 xml:space="preserve">个亚类， </w:t>
      </w:r>
      <w:r>
        <w:rPr>
          <w:rFonts w:ascii="Times New Roman" w:hAnsi="Times New Roman" w:eastAsia="Times New Roman" w:cs="Times New Roman"/>
          <w:spacing w:val="-11"/>
          <w:sz w:val="24"/>
          <w:szCs w:val="24"/>
        </w:rPr>
        <w:t>7</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个土属</w:t>
      </w:r>
      <w:r>
        <w:rPr>
          <w:rFonts w:ascii="宋体" w:hAnsi="宋体" w:eastAsia="宋体" w:cs="宋体"/>
          <w:spacing w:val="-12"/>
          <w:sz w:val="24"/>
          <w:szCs w:val="24"/>
        </w:rPr>
        <w:t xml:space="preserve">， </w:t>
      </w:r>
      <w:r>
        <w:rPr>
          <w:rFonts w:ascii="Times New Roman" w:hAnsi="Times New Roman" w:eastAsia="Times New Roman" w:cs="Times New Roman"/>
          <w:spacing w:val="-12"/>
          <w:sz w:val="24"/>
          <w:szCs w:val="24"/>
        </w:rPr>
        <w:t>10</w:t>
      </w:r>
      <w:r>
        <w:rPr>
          <w:rFonts w:ascii="Times New Roman" w:hAnsi="Times New Roman" w:eastAsia="Times New Roman" w:cs="Times New Roman"/>
          <w:sz w:val="24"/>
          <w:szCs w:val="24"/>
        </w:rPr>
        <w:t xml:space="preserve"> </w:t>
      </w:r>
      <w:r>
        <w:rPr>
          <w:rFonts w:ascii="宋体" w:hAnsi="宋体" w:eastAsia="宋体" w:cs="宋体"/>
          <w:spacing w:val="-7"/>
          <w:sz w:val="24"/>
          <w:szCs w:val="24"/>
        </w:rPr>
        <w:t xml:space="preserve">个土种。 </w:t>
      </w:r>
      <w:r>
        <w:rPr>
          <w:rFonts w:ascii="Times New Roman" w:hAnsi="Times New Roman" w:eastAsia="Times New Roman" w:cs="Times New Roman"/>
          <w:spacing w:val="-7"/>
          <w:sz w:val="24"/>
          <w:szCs w:val="24"/>
        </w:rPr>
        <w:t xml:space="preserve">10 </w:t>
      </w:r>
      <w:r>
        <w:rPr>
          <w:rFonts w:ascii="宋体" w:hAnsi="宋体" w:eastAsia="宋体" w:cs="宋体"/>
          <w:spacing w:val="-7"/>
          <w:sz w:val="24"/>
          <w:szCs w:val="24"/>
        </w:rPr>
        <w:t>个土种为紫砂土、红紫泥土、</w:t>
      </w:r>
      <w:r>
        <w:rPr>
          <w:rFonts w:ascii="宋体" w:hAnsi="宋体" w:eastAsia="宋体" w:cs="宋体"/>
          <w:spacing w:val="-8"/>
          <w:sz w:val="24"/>
          <w:szCs w:val="24"/>
        </w:rPr>
        <w:t>红羊肝土、暗紫泥土、紫羊肝土、鸡粪</w:t>
      </w:r>
      <w:r>
        <w:rPr>
          <w:rFonts w:ascii="宋体" w:hAnsi="宋体" w:eastAsia="宋体" w:cs="宋体"/>
          <w:sz w:val="24"/>
          <w:szCs w:val="24"/>
        </w:rPr>
        <w:t xml:space="preserve"> </w:t>
      </w:r>
      <w:r>
        <w:rPr>
          <w:rFonts w:ascii="宋体" w:hAnsi="宋体" w:eastAsia="宋体" w:cs="宋体"/>
          <w:spacing w:val="-8"/>
          <w:sz w:val="24"/>
          <w:szCs w:val="24"/>
        </w:rPr>
        <w:t>土、羊肝土田、羊毛砂土田、紫泥田、灰砂泥田。其中：</w:t>
      </w:r>
      <w:r>
        <w:rPr>
          <w:rFonts w:ascii="宋体" w:hAnsi="宋体" w:eastAsia="宋体" w:cs="宋体"/>
          <w:spacing w:val="58"/>
          <w:sz w:val="24"/>
          <w:szCs w:val="24"/>
        </w:rPr>
        <w:t xml:space="preserve"> </w:t>
      </w:r>
      <w:r>
        <w:rPr>
          <w:rFonts w:ascii="宋体" w:hAnsi="宋体" w:eastAsia="宋体" w:cs="宋体"/>
          <w:spacing w:val="-8"/>
          <w:sz w:val="24"/>
          <w:szCs w:val="24"/>
        </w:rPr>
        <w:t>紫砂土、红紫</w:t>
      </w:r>
      <w:r>
        <w:rPr>
          <w:rFonts w:ascii="宋体" w:hAnsi="宋体" w:eastAsia="宋体" w:cs="宋体"/>
          <w:spacing w:val="-9"/>
          <w:sz w:val="24"/>
          <w:szCs w:val="24"/>
        </w:rPr>
        <w:t>泥土、暗</w:t>
      </w:r>
      <w:r>
        <w:rPr>
          <w:rFonts w:ascii="宋体" w:hAnsi="宋体" w:eastAsia="宋体" w:cs="宋体"/>
          <w:sz w:val="24"/>
          <w:szCs w:val="24"/>
        </w:rPr>
        <w:t xml:space="preserve"> </w:t>
      </w:r>
      <w:r>
        <w:rPr>
          <w:rFonts w:ascii="宋体" w:hAnsi="宋体" w:eastAsia="宋体" w:cs="宋体"/>
          <w:spacing w:val="-13"/>
          <w:sz w:val="24"/>
          <w:szCs w:val="24"/>
        </w:rPr>
        <w:t>紫泥土为自然土壤；</w:t>
      </w:r>
      <w:r>
        <w:rPr>
          <w:rFonts w:ascii="宋体" w:hAnsi="宋体" w:eastAsia="宋体" w:cs="宋体"/>
          <w:spacing w:val="56"/>
          <w:sz w:val="24"/>
          <w:szCs w:val="24"/>
        </w:rPr>
        <w:t xml:space="preserve"> </w:t>
      </w:r>
      <w:r>
        <w:rPr>
          <w:rFonts w:ascii="宋体" w:hAnsi="宋体" w:eastAsia="宋体" w:cs="宋体"/>
          <w:spacing w:val="-13"/>
          <w:sz w:val="24"/>
          <w:szCs w:val="24"/>
        </w:rPr>
        <w:t>红羊肝土、紫羊肝土、鸡粪土为旱地土壤；</w:t>
      </w:r>
      <w:r>
        <w:rPr>
          <w:rFonts w:ascii="宋体" w:hAnsi="宋体" w:eastAsia="宋体" w:cs="宋体"/>
          <w:spacing w:val="53"/>
          <w:sz w:val="24"/>
          <w:szCs w:val="24"/>
        </w:rPr>
        <w:t xml:space="preserve"> </w:t>
      </w:r>
      <w:r>
        <w:rPr>
          <w:rFonts w:ascii="宋体" w:hAnsi="宋体" w:eastAsia="宋体" w:cs="宋体"/>
          <w:spacing w:val="-13"/>
          <w:sz w:val="24"/>
          <w:szCs w:val="24"/>
        </w:rPr>
        <w:t>羊肝土田、羊毛</w:t>
      </w:r>
    </w:p>
    <w:p>
      <w:pPr>
        <w:spacing w:line="219" w:lineRule="auto"/>
        <w:ind w:left="38"/>
        <w:rPr>
          <w:rFonts w:ascii="宋体" w:hAnsi="宋体" w:eastAsia="宋体" w:cs="宋体"/>
          <w:sz w:val="24"/>
          <w:szCs w:val="24"/>
        </w:rPr>
      </w:pPr>
      <w:r>
        <w:rPr>
          <w:rFonts w:ascii="宋体" w:hAnsi="宋体" w:eastAsia="宋体" w:cs="宋体"/>
          <w:spacing w:val="-1"/>
          <w:sz w:val="24"/>
          <w:szCs w:val="24"/>
        </w:rPr>
        <w:t>砂土田、紫泥田、灰砂泥田为水田土壤。</w:t>
      </w:r>
    </w:p>
    <w:p>
      <w:pPr>
        <w:spacing w:line="219" w:lineRule="auto"/>
        <w:rPr>
          <w:rFonts w:ascii="宋体" w:hAnsi="宋体" w:eastAsia="宋体" w:cs="宋体"/>
          <w:sz w:val="24"/>
          <w:szCs w:val="24"/>
        </w:rPr>
        <w:sectPr>
          <w:headerReference r:id="rId175" w:type="default"/>
          <w:footerReference r:id="rId176" w:type="default"/>
          <w:pgSz w:w="11907" w:h="16839"/>
          <w:pgMar w:top="1156" w:right="1768" w:bottom="1374" w:left="1770" w:header="881" w:footer="1210" w:gutter="0"/>
        </w:sectPr>
      </w:pPr>
    </w:p>
    <w:p>
      <w:pPr>
        <w:spacing w:line="262" w:lineRule="auto"/>
        <w:rPr>
          <w:rFonts w:ascii="Arial"/>
          <w:sz w:val="21"/>
        </w:rPr>
      </w:pPr>
    </w:p>
    <w:p>
      <w:pPr>
        <w:spacing w:line="262" w:lineRule="auto"/>
        <w:rPr>
          <w:rFonts w:ascii="Arial"/>
          <w:sz w:val="21"/>
        </w:rPr>
      </w:pPr>
    </w:p>
    <w:p>
      <w:pPr>
        <w:pStyle w:val="2"/>
        <w:spacing w:before="87"/>
        <w:ind w:left="34"/>
        <w:outlineLvl w:val="1"/>
        <w:rPr>
          <w:sz w:val="27"/>
          <w:szCs w:val="27"/>
        </w:rPr>
      </w:pPr>
      <w:bookmarkStart w:id="25" w:name="bookmark26"/>
      <w:bookmarkEnd w:id="25"/>
      <w:r>
        <w:rPr>
          <w:rFonts w:ascii="Times New Roman" w:hAnsi="Times New Roman" w:eastAsia="Times New Roman" w:cs="Times New Roman"/>
          <w:b/>
          <w:bCs/>
          <w:spacing w:val="8"/>
          <w:sz w:val="27"/>
          <w:szCs w:val="27"/>
        </w:rPr>
        <w:t xml:space="preserve">3.2 </w:t>
      </w:r>
      <w:r>
        <w:rPr>
          <w:spacing w:val="8"/>
          <w:sz w:val="27"/>
          <w:szCs w:val="27"/>
          <w14:textOutline w14:w="5072" w14:cap="flat" w14:cmpd="sng">
            <w14:solidFill>
              <w14:srgbClr w14:val="000000"/>
            </w14:solidFill>
            <w14:prstDash w14:val="solid"/>
            <w14:miter w14:val="0"/>
          </w14:textOutline>
        </w:rPr>
        <w:t>环境质量现状调查与评价</w:t>
      </w:r>
    </w:p>
    <w:p>
      <w:pPr>
        <w:spacing w:line="278" w:lineRule="auto"/>
        <w:rPr>
          <w:rFonts w:ascii="Arial"/>
          <w:sz w:val="21"/>
        </w:rPr>
      </w:pPr>
    </w:p>
    <w:p>
      <w:pPr>
        <w:pStyle w:val="2"/>
        <w:spacing w:before="78" w:line="233" w:lineRule="auto"/>
        <w:ind w:left="33"/>
        <w:outlineLvl w:val="2"/>
        <w:rPr>
          <w:sz w:val="24"/>
          <w:szCs w:val="24"/>
        </w:rPr>
      </w:pPr>
      <w:r>
        <w:rPr>
          <w:rFonts w:ascii="Times New Roman" w:hAnsi="Times New Roman" w:eastAsia="Times New Roman" w:cs="Times New Roman"/>
          <w:b/>
          <w:bCs/>
          <w:sz w:val="24"/>
          <w:szCs w:val="24"/>
        </w:rPr>
        <w:t xml:space="preserve">3.2.1 </w:t>
      </w:r>
      <w:r>
        <w:rPr>
          <w:sz w:val="24"/>
          <w:szCs w:val="24"/>
          <w14:textOutline w14:w="4354" w14:cap="flat" w14:cmpd="sng">
            <w14:solidFill>
              <w14:srgbClr w14:val="000000"/>
            </w14:solidFill>
            <w14:prstDash w14:val="solid"/>
            <w14:miter w14:val="0"/>
          </w14:textOutline>
        </w:rPr>
        <w:t>地表水环境质量</w:t>
      </w:r>
    </w:p>
    <w:p>
      <w:pPr>
        <w:spacing w:before="278"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）区域水环境达标分析</w:t>
      </w:r>
    </w:p>
    <w:p>
      <w:pPr>
        <w:spacing w:before="182" w:line="360" w:lineRule="auto"/>
        <w:ind w:left="40" w:right="30" w:firstLine="479"/>
        <w:rPr>
          <w:rFonts w:ascii="宋体" w:hAnsi="宋体" w:eastAsia="宋体" w:cs="宋体"/>
          <w:sz w:val="24"/>
          <w:szCs w:val="24"/>
        </w:rPr>
      </w:pPr>
      <w:r>
        <w:rPr>
          <w:rFonts w:ascii="宋体" w:hAnsi="宋体" w:eastAsia="宋体" w:cs="宋体"/>
          <w:spacing w:val="-5"/>
          <w:sz w:val="24"/>
          <w:szCs w:val="24"/>
        </w:rPr>
        <w:t>根据《</w:t>
      </w:r>
      <w:r>
        <w:rPr>
          <w:rFonts w:ascii="Times New Roman" w:hAnsi="Times New Roman" w:eastAsia="Times New Roman" w:cs="Times New Roman"/>
          <w:spacing w:val="-5"/>
          <w:sz w:val="24"/>
          <w:szCs w:val="24"/>
        </w:rPr>
        <w:t>2021</w:t>
      </w:r>
      <w:r>
        <w:rPr>
          <w:rFonts w:ascii="Times New Roman" w:hAnsi="Times New Roman" w:eastAsia="Times New Roman" w:cs="Times New Roman"/>
          <w:spacing w:val="45"/>
          <w:w w:val="101"/>
          <w:sz w:val="24"/>
          <w:szCs w:val="24"/>
        </w:rPr>
        <w:t xml:space="preserve"> </w:t>
      </w:r>
      <w:r>
        <w:rPr>
          <w:rFonts w:ascii="宋体" w:hAnsi="宋体" w:eastAsia="宋体" w:cs="宋体"/>
          <w:spacing w:val="-5"/>
          <w:sz w:val="24"/>
          <w:szCs w:val="24"/>
        </w:rPr>
        <w:t xml:space="preserve">楚雄州生态环境状况公报》，长江流域监测的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6"/>
          <w:sz w:val="24"/>
          <w:szCs w:val="24"/>
        </w:rPr>
        <w:t>0</w:t>
      </w:r>
      <w:r>
        <w:rPr>
          <w:rFonts w:ascii="Times New Roman" w:hAnsi="Times New Roman" w:eastAsia="Times New Roman" w:cs="Times New Roman"/>
          <w:spacing w:val="38"/>
          <w:sz w:val="24"/>
          <w:szCs w:val="24"/>
        </w:rPr>
        <w:t xml:space="preserve"> </w:t>
      </w:r>
      <w:r>
        <w:rPr>
          <w:rFonts w:ascii="宋体" w:hAnsi="宋体" w:eastAsia="宋体" w:cs="宋体"/>
          <w:spacing w:val="-6"/>
          <w:sz w:val="24"/>
          <w:szCs w:val="24"/>
        </w:rPr>
        <w:t>个断面中，达</w:t>
      </w:r>
      <w:r>
        <w:rPr>
          <w:rFonts w:ascii="宋体" w:hAnsi="宋体" w:eastAsia="宋体" w:cs="宋体"/>
          <w:sz w:val="24"/>
          <w:szCs w:val="24"/>
        </w:rPr>
        <w:t xml:space="preserve"> </w:t>
      </w:r>
      <w:r>
        <w:rPr>
          <w:rFonts w:ascii="宋体" w:hAnsi="宋体" w:eastAsia="宋体" w:cs="宋体"/>
          <w:spacing w:val="-4"/>
          <w:sz w:val="24"/>
          <w:szCs w:val="24"/>
        </w:rPr>
        <w:t>标的监测断面为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20 </w:t>
      </w:r>
      <w:r>
        <w:rPr>
          <w:rFonts w:ascii="宋体" w:hAnsi="宋体" w:eastAsia="宋体" w:cs="宋体"/>
          <w:spacing w:val="-4"/>
          <w:sz w:val="24"/>
          <w:szCs w:val="24"/>
        </w:rPr>
        <w:t>个，达标率为</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66.7%</w:t>
      </w:r>
      <w:r>
        <w:rPr>
          <w:rFonts w:ascii="宋体" w:hAnsi="宋体" w:eastAsia="宋体" w:cs="宋体"/>
          <w:spacing w:val="-4"/>
          <w:sz w:val="24"/>
          <w:szCs w:val="24"/>
        </w:rPr>
        <w:t>，优良率为</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83.</w:t>
      </w:r>
      <w:r>
        <w:rPr>
          <w:rFonts w:ascii="Times New Roman" w:hAnsi="Times New Roman" w:eastAsia="Times New Roman" w:cs="Times New Roman"/>
          <w:spacing w:val="-5"/>
          <w:sz w:val="24"/>
          <w:szCs w:val="24"/>
        </w:rPr>
        <w:t>3%</w:t>
      </w:r>
      <w:r>
        <w:rPr>
          <w:rFonts w:ascii="宋体" w:hAnsi="宋体" w:eastAsia="宋体" w:cs="宋体"/>
          <w:spacing w:val="-5"/>
          <w:sz w:val="24"/>
          <w:szCs w:val="24"/>
        </w:rPr>
        <w:t>，长江流域水质定性评</w:t>
      </w:r>
    </w:p>
    <w:p>
      <w:pPr>
        <w:spacing w:line="218" w:lineRule="auto"/>
        <w:ind w:left="40"/>
        <w:rPr>
          <w:rFonts w:ascii="宋体" w:hAnsi="宋体" w:eastAsia="宋体" w:cs="宋体"/>
          <w:sz w:val="24"/>
          <w:szCs w:val="24"/>
        </w:rPr>
      </w:pPr>
      <w:r>
        <w:rPr>
          <w:rFonts w:ascii="宋体" w:hAnsi="宋体" w:eastAsia="宋体" w:cs="宋体"/>
          <w:spacing w:val="-10"/>
          <w:sz w:val="24"/>
          <w:szCs w:val="24"/>
        </w:rPr>
        <w:t>价为良好。</w:t>
      </w:r>
      <w:r>
        <w:rPr>
          <w:rFonts w:ascii="宋体" w:hAnsi="宋体" w:eastAsia="宋体" w:cs="宋体"/>
          <w:spacing w:val="78"/>
          <w:sz w:val="24"/>
          <w:szCs w:val="24"/>
        </w:rPr>
        <w:t xml:space="preserve"> </w:t>
      </w:r>
      <w:r>
        <w:rPr>
          <w:rFonts w:ascii="宋体" w:hAnsi="宋体" w:eastAsia="宋体" w:cs="宋体"/>
          <w:spacing w:val="-10"/>
          <w:sz w:val="24"/>
          <w:szCs w:val="24"/>
        </w:rPr>
        <w:t>因此，项目区金沙江达到水环境功能要求。</w:t>
      </w:r>
    </w:p>
    <w:p>
      <w:pPr>
        <w:spacing w:before="185"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）补充监测</w:t>
      </w:r>
    </w:p>
    <w:p>
      <w:pPr>
        <w:spacing w:before="181" w:line="468" w:lineRule="exact"/>
        <w:ind w:right="31"/>
        <w:jc w:val="right"/>
        <w:rPr>
          <w:rFonts w:ascii="宋体" w:hAnsi="宋体" w:eastAsia="宋体" w:cs="宋体"/>
          <w:sz w:val="24"/>
          <w:szCs w:val="24"/>
        </w:rPr>
      </w:pPr>
      <w:r>
        <w:rPr>
          <w:rFonts w:ascii="宋体" w:hAnsi="宋体" w:eastAsia="宋体" w:cs="宋体"/>
          <w:spacing w:val="-5"/>
          <w:position w:val="17"/>
          <w:sz w:val="24"/>
          <w:szCs w:val="24"/>
        </w:rPr>
        <w:t>本次评价委托中博源检测（云南）有限公司于</w:t>
      </w:r>
      <w:r>
        <w:rPr>
          <w:rFonts w:ascii="宋体" w:hAnsi="宋体" w:eastAsia="宋体" w:cs="宋体"/>
          <w:spacing w:val="-36"/>
          <w:position w:val="17"/>
          <w:sz w:val="24"/>
          <w:szCs w:val="24"/>
        </w:rPr>
        <w:t xml:space="preserve"> </w:t>
      </w:r>
      <w:r>
        <w:rPr>
          <w:rFonts w:ascii="Times New Roman" w:hAnsi="Times New Roman" w:eastAsia="Times New Roman" w:cs="Times New Roman"/>
          <w:spacing w:val="-5"/>
          <w:position w:val="17"/>
          <w:sz w:val="24"/>
          <w:szCs w:val="24"/>
        </w:rPr>
        <w:t xml:space="preserve">2023 </w:t>
      </w:r>
      <w:r>
        <w:rPr>
          <w:rFonts w:ascii="宋体" w:hAnsi="宋体" w:eastAsia="宋体" w:cs="宋体"/>
          <w:spacing w:val="-5"/>
          <w:position w:val="17"/>
          <w:sz w:val="24"/>
          <w:szCs w:val="24"/>
        </w:rPr>
        <w:t>年</w:t>
      </w:r>
      <w:r>
        <w:rPr>
          <w:rFonts w:ascii="宋体" w:hAnsi="宋体" w:eastAsia="宋体" w:cs="宋体"/>
          <w:spacing w:val="-56"/>
          <w:position w:val="17"/>
          <w:sz w:val="24"/>
          <w:szCs w:val="24"/>
        </w:rPr>
        <w:t xml:space="preserve"> </w:t>
      </w:r>
      <w:r>
        <w:rPr>
          <w:rFonts w:ascii="Times New Roman" w:hAnsi="Times New Roman" w:eastAsia="Times New Roman" w:cs="Times New Roman"/>
          <w:spacing w:val="-5"/>
          <w:position w:val="17"/>
          <w:sz w:val="24"/>
          <w:szCs w:val="24"/>
        </w:rPr>
        <w:t>4</w:t>
      </w:r>
      <w:r>
        <w:rPr>
          <w:rFonts w:ascii="Times New Roman" w:hAnsi="Times New Roman" w:eastAsia="Times New Roman" w:cs="Times New Roman"/>
          <w:spacing w:val="17"/>
          <w:position w:val="17"/>
          <w:sz w:val="24"/>
          <w:szCs w:val="24"/>
        </w:rPr>
        <w:t xml:space="preserve"> </w:t>
      </w:r>
      <w:r>
        <w:rPr>
          <w:rFonts w:ascii="宋体" w:hAnsi="宋体" w:eastAsia="宋体" w:cs="宋体"/>
          <w:spacing w:val="-5"/>
          <w:position w:val="17"/>
          <w:sz w:val="24"/>
          <w:szCs w:val="24"/>
        </w:rPr>
        <w:t>月</w:t>
      </w:r>
      <w:r>
        <w:rPr>
          <w:rFonts w:ascii="宋体" w:hAnsi="宋体" w:eastAsia="宋体" w:cs="宋体"/>
          <w:spacing w:val="-31"/>
          <w:position w:val="17"/>
          <w:sz w:val="24"/>
          <w:szCs w:val="24"/>
        </w:rPr>
        <w:t xml:space="preserve"> </w:t>
      </w:r>
      <w:r>
        <w:rPr>
          <w:rFonts w:ascii="Times New Roman" w:hAnsi="Times New Roman" w:eastAsia="Times New Roman" w:cs="Times New Roman"/>
          <w:spacing w:val="-5"/>
          <w:position w:val="17"/>
          <w:sz w:val="24"/>
          <w:szCs w:val="24"/>
        </w:rPr>
        <w:t xml:space="preserve">1  </w:t>
      </w:r>
      <w:r>
        <w:rPr>
          <w:rFonts w:ascii="宋体" w:hAnsi="宋体" w:eastAsia="宋体" w:cs="宋体"/>
          <w:spacing w:val="-5"/>
          <w:position w:val="17"/>
          <w:sz w:val="24"/>
          <w:szCs w:val="24"/>
        </w:rPr>
        <w:t>日</w:t>
      </w:r>
      <w:r>
        <w:rPr>
          <w:rFonts w:ascii="Times New Roman" w:hAnsi="Times New Roman" w:eastAsia="Times New Roman" w:cs="Times New Roman"/>
          <w:spacing w:val="-5"/>
          <w:position w:val="17"/>
          <w:sz w:val="24"/>
          <w:szCs w:val="24"/>
        </w:rPr>
        <w:t xml:space="preserve">-3  </w:t>
      </w:r>
      <w:r>
        <w:rPr>
          <w:rFonts w:ascii="宋体" w:hAnsi="宋体" w:eastAsia="宋体" w:cs="宋体"/>
          <w:spacing w:val="-5"/>
          <w:position w:val="17"/>
          <w:sz w:val="24"/>
          <w:szCs w:val="24"/>
        </w:rPr>
        <w:t>日对评价</w:t>
      </w:r>
    </w:p>
    <w:p>
      <w:pPr>
        <w:spacing w:before="2" w:line="218" w:lineRule="auto"/>
        <w:ind w:left="45"/>
        <w:rPr>
          <w:rFonts w:ascii="宋体" w:hAnsi="宋体" w:eastAsia="宋体" w:cs="宋体"/>
          <w:sz w:val="24"/>
          <w:szCs w:val="24"/>
        </w:rPr>
      </w:pPr>
      <w:r>
        <w:rPr>
          <w:rFonts w:ascii="宋体" w:hAnsi="宋体" w:eastAsia="宋体" w:cs="宋体"/>
          <w:spacing w:val="-2"/>
          <w:sz w:val="24"/>
          <w:szCs w:val="24"/>
        </w:rPr>
        <w:t>范围内的</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11 </w:t>
      </w:r>
      <w:r>
        <w:rPr>
          <w:rFonts w:ascii="宋体" w:hAnsi="宋体" w:eastAsia="宋体" w:cs="宋体"/>
          <w:spacing w:val="-2"/>
          <w:sz w:val="24"/>
          <w:szCs w:val="24"/>
        </w:rPr>
        <w:t>个断面进行了水质检测，具体监测点位见附图</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p>
    <w:p>
      <w:pPr>
        <w:spacing w:before="184" w:line="217" w:lineRule="auto"/>
        <w:ind w:left="518"/>
        <w:rPr>
          <w:rFonts w:ascii="宋体" w:hAnsi="宋体" w:eastAsia="宋体" w:cs="宋体"/>
          <w:sz w:val="24"/>
          <w:szCs w:val="24"/>
        </w:rPr>
      </w:pPr>
      <w:r>
        <w:rPr>
          <w:rFonts w:ascii="宋体" w:hAnsi="宋体" w:eastAsia="宋体" w:cs="宋体"/>
          <w:spacing w:val="-1"/>
          <w:sz w:val="24"/>
          <w:szCs w:val="24"/>
        </w:rPr>
        <w:t>①监测点位及监测因子</w:t>
      </w:r>
    </w:p>
    <w:p>
      <w:pPr>
        <w:spacing w:before="184" w:line="220" w:lineRule="auto"/>
        <w:ind w:left="520"/>
        <w:rPr>
          <w:rFonts w:ascii="宋体" w:hAnsi="宋体" w:eastAsia="宋体" w:cs="宋体"/>
          <w:sz w:val="24"/>
          <w:szCs w:val="24"/>
        </w:rPr>
      </w:pPr>
      <w:r>
        <w:rPr>
          <w:rFonts w:ascii="宋体" w:hAnsi="宋体" w:eastAsia="宋体" w:cs="宋体"/>
          <w:spacing w:val="-3"/>
          <w:sz w:val="24"/>
          <w:szCs w:val="24"/>
        </w:rPr>
        <w:t>监测点位及监测因子见表</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3.2-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119" w:line="220" w:lineRule="auto"/>
        <w:ind w:left="3128"/>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Times New Roman" w:hAnsi="Times New Roman" w:eastAsia="Times New Roman" w:cs="Times New Roman"/>
          <w:b/>
          <w:bCs/>
          <w:spacing w:val="-1"/>
          <w:sz w:val="21"/>
          <w:szCs w:val="21"/>
        </w:rPr>
        <w:t xml:space="preserve">3.2-1    </w:t>
      </w:r>
      <w:r>
        <w:rPr>
          <w:rFonts w:ascii="宋体" w:hAnsi="宋体" w:eastAsia="宋体" w:cs="宋体"/>
          <w:spacing w:val="-1"/>
          <w:sz w:val="21"/>
          <w:szCs w:val="21"/>
          <w14:textOutline w14:w="3810" w14:cap="flat" w14:cmpd="sng">
            <w14:solidFill>
              <w14:srgbClr w14:val="000000"/>
            </w14:solidFill>
            <w14:prstDash w14:val="solid"/>
            <w14:miter w14:val="0"/>
          </w14:textOutline>
        </w:rPr>
        <w:t>水质监测点位</w:t>
      </w:r>
    </w:p>
    <w:p>
      <w:pPr>
        <w:spacing w:line="125" w:lineRule="auto"/>
        <w:rPr>
          <w:rFonts w:ascii="Arial"/>
          <w:sz w:val="2"/>
        </w:rPr>
      </w:pPr>
    </w:p>
    <w:tbl>
      <w:tblPr>
        <w:tblStyle w:val="5"/>
        <w:tblW w:w="8321"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3316"/>
        <w:gridCol w:w="41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78" w:hRule="atLeast"/>
        </w:trPr>
        <w:tc>
          <w:tcPr>
            <w:tcW w:w="810" w:type="dxa"/>
            <w:tcBorders>
              <w:top w:val="single" w:color="000000" w:sz="12" w:space="0"/>
              <w:left w:val="nil"/>
            </w:tcBorders>
            <w:vAlign w:val="top"/>
          </w:tcPr>
          <w:p>
            <w:pPr>
              <w:spacing w:before="30" w:line="209" w:lineRule="auto"/>
              <w:ind w:left="21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3316" w:type="dxa"/>
            <w:tcBorders>
              <w:top w:val="single" w:color="000000" w:sz="12" w:space="0"/>
            </w:tcBorders>
            <w:vAlign w:val="top"/>
          </w:tcPr>
          <w:p>
            <w:pPr>
              <w:spacing w:before="30" w:line="209" w:lineRule="auto"/>
              <w:ind w:left="125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监测点位</w:t>
            </w:r>
          </w:p>
        </w:tc>
        <w:tc>
          <w:tcPr>
            <w:tcW w:w="4195" w:type="dxa"/>
            <w:tcBorders>
              <w:top w:val="single" w:color="000000" w:sz="12" w:space="0"/>
              <w:right w:val="nil"/>
            </w:tcBorders>
            <w:vAlign w:val="top"/>
          </w:tcPr>
          <w:p>
            <w:pPr>
              <w:spacing w:before="30" w:line="209" w:lineRule="auto"/>
              <w:ind w:left="1689"/>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810" w:type="dxa"/>
            <w:tcBorders>
              <w:left w:val="nil"/>
            </w:tcBorders>
            <w:vAlign w:val="top"/>
          </w:tcPr>
          <w:p>
            <w:pPr>
              <w:pStyle w:val="6"/>
              <w:spacing w:before="68" w:line="186" w:lineRule="auto"/>
              <w:ind w:left="383"/>
            </w:pPr>
            <w:r>
              <w:t>1</w:t>
            </w:r>
          </w:p>
        </w:tc>
        <w:tc>
          <w:tcPr>
            <w:tcW w:w="3316" w:type="dxa"/>
            <w:vAlign w:val="top"/>
          </w:tcPr>
          <w:p>
            <w:pPr>
              <w:spacing w:before="29" w:line="207" w:lineRule="auto"/>
              <w:ind w:left="1461"/>
              <w:rPr>
                <w:rFonts w:ascii="仿宋" w:hAnsi="仿宋" w:eastAsia="仿宋" w:cs="仿宋"/>
                <w:sz w:val="21"/>
                <w:szCs w:val="21"/>
              </w:rPr>
            </w:pPr>
            <w:r>
              <w:rPr>
                <w:rFonts w:ascii="仿宋" w:hAnsi="仿宋" w:eastAsia="仿宋" w:cs="仿宋"/>
                <w:spacing w:val="-5"/>
                <w:sz w:val="21"/>
                <w:szCs w:val="21"/>
              </w:rPr>
              <w:t>坝址</w:t>
            </w:r>
          </w:p>
        </w:tc>
        <w:tc>
          <w:tcPr>
            <w:tcW w:w="4195" w:type="dxa"/>
            <w:vMerge w:val="restart"/>
            <w:tcBorders>
              <w:bottom w:val="nil"/>
              <w:right w:val="nil"/>
            </w:tcBorders>
            <w:vAlign w:val="top"/>
          </w:tcPr>
          <w:p>
            <w:pPr>
              <w:pStyle w:val="6"/>
              <w:spacing w:before="28" w:line="234" w:lineRule="auto"/>
              <w:ind w:left="216" w:right="241" w:firstLine="67"/>
              <w:jc w:val="right"/>
              <w:rPr>
                <w:rFonts w:ascii="仿宋" w:hAnsi="仿宋" w:eastAsia="仿宋" w:cs="仿宋"/>
              </w:rPr>
            </w:pPr>
            <w:r>
              <w:rPr>
                <w:spacing w:val="-1"/>
              </w:rPr>
              <w:t>pH</w:t>
            </w:r>
            <w:r>
              <w:rPr>
                <w:rFonts w:ascii="仿宋" w:hAnsi="仿宋" w:eastAsia="仿宋" w:cs="仿宋"/>
                <w:spacing w:val="-1"/>
              </w:rPr>
              <w:t>、溶解氧、水温、石油类、化学需氧</w:t>
            </w:r>
            <w:r>
              <w:rPr>
                <w:rFonts w:ascii="仿宋" w:hAnsi="仿宋" w:eastAsia="仿宋" w:cs="仿宋"/>
                <w:spacing w:val="3"/>
              </w:rPr>
              <w:t xml:space="preserve"> </w:t>
            </w:r>
            <w:r>
              <w:rPr>
                <w:rFonts w:ascii="仿宋" w:hAnsi="仿宋" w:eastAsia="仿宋" w:cs="仿宋"/>
                <w:spacing w:val="4"/>
              </w:rPr>
              <w:t xml:space="preserve">量、五日生化需氧量、阴离子表面活性 </w:t>
            </w:r>
            <w:r>
              <w:rPr>
                <w:rFonts w:ascii="仿宋" w:hAnsi="仿宋" w:eastAsia="仿宋" w:cs="仿宋"/>
                <w:spacing w:val="-3"/>
              </w:rPr>
              <w:t>剂、氯化物、铜、铅、锌、镉、硒、汞、</w:t>
            </w:r>
            <w:r>
              <w:rPr>
                <w:rFonts w:ascii="仿宋" w:hAnsi="仿宋" w:eastAsia="仿宋" w:cs="仿宋"/>
                <w:spacing w:val="5"/>
              </w:rPr>
              <w:t xml:space="preserve"> </w:t>
            </w:r>
            <w:r>
              <w:rPr>
                <w:rFonts w:ascii="仿宋" w:hAnsi="仿宋" w:eastAsia="仿宋" w:cs="仿宋"/>
                <w:spacing w:val="-3"/>
              </w:rPr>
              <w:t>砷、粪大肠杆菌、六价铬、氟化物、铁、</w:t>
            </w:r>
          </w:p>
          <w:p>
            <w:pPr>
              <w:spacing w:before="26" w:line="217" w:lineRule="auto"/>
              <w:ind w:left="216"/>
              <w:rPr>
                <w:rFonts w:ascii="仿宋" w:hAnsi="仿宋" w:eastAsia="仿宋" w:cs="仿宋"/>
                <w:sz w:val="21"/>
                <w:szCs w:val="21"/>
              </w:rPr>
            </w:pPr>
            <w:r>
              <w:rPr>
                <w:rFonts w:ascii="仿宋" w:hAnsi="仿宋" w:eastAsia="仿宋" w:cs="仿宋"/>
                <w:spacing w:val="-1"/>
                <w:sz w:val="21"/>
                <w:szCs w:val="21"/>
              </w:rPr>
              <w:t>锰、氰化物、挥发酚、氨氮、总磷、高锰</w:t>
            </w:r>
          </w:p>
          <w:p>
            <w:pPr>
              <w:spacing w:before="26" w:line="215" w:lineRule="auto"/>
              <w:ind w:left="216"/>
              <w:rPr>
                <w:rFonts w:ascii="仿宋" w:hAnsi="仿宋" w:eastAsia="仿宋" w:cs="仿宋"/>
                <w:sz w:val="21"/>
                <w:szCs w:val="21"/>
              </w:rPr>
            </w:pPr>
            <w:r>
              <w:rPr>
                <w:rFonts w:ascii="仿宋" w:hAnsi="仿宋" w:eastAsia="仿宋" w:cs="仿宋"/>
                <w:spacing w:val="-9"/>
                <w:sz w:val="21"/>
                <w:szCs w:val="21"/>
              </w:rPr>
              <w:t>酸钾指数、总氮、硝酸盐、硫酸盐、</w:t>
            </w:r>
            <w:r>
              <w:rPr>
                <w:rFonts w:ascii="仿宋" w:hAnsi="仿宋" w:eastAsia="仿宋" w:cs="仿宋"/>
                <w:spacing w:val="49"/>
                <w:sz w:val="21"/>
                <w:szCs w:val="21"/>
              </w:rPr>
              <w:t xml:space="preserve"> </w:t>
            </w:r>
            <w:r>
              <w:rPr>
                <w:rFonts w:ascii="仿宋" w:hAnsi="仿宋" w:eastAsia="仿宋" w:cs="仿宋"/>
                <w:spacing w:val="-9"/>
                <w:sz w:val="21"/>
                <w:szCs w:val="21"/>
              </w:rPr>
              <w:t>硫化</w:t>
            </w:r>
          </w:p>
          <w:p>
            <w:pPr>
              <w:pStyle w:val="6"/>
              <w:spacing w:before="27" w:line="202" w:lineRule="auto"/>
              <w:ind w:left="1089"/>
            </w:pPr>
            <w:r>
              <w:rPr>
                <w:rFonts w:ascii="仿宋" w:hAnsi="仿宋" w:eastAsia="仿宋" w:cs="仿宋"/>
                <w:spacing w:val="-2"/>
              </w:rPr>
              <w:t>物、透明度、叶绿素</w:t>
            </w:r>
            <w:r>
              <w:rPr>
                <w:rFonts w:ascii="仿宋" w:hAnsi="仿宋" w:eastAsia="仿宋" w:cs="仿宋"/>
                <w:spacing w:val="-40"/>
              </w:rPr>
              <w:t xml:space="preserve"> </w:t>
            </w:r>
            <w:r>
              <w:rPr>
                <w:spacing w:val="-2"/>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19" w:hRule="atLeast"/>
        </w:trPr>
        <w:tc>
          <w:tcPr>
            <w:tcW w:w="810" w:type="dxa"/>
            <w:tcBorders>
              <w:left w:val="nil"/>
            </w:tcBorders>
            <w:vAlign w:val="top"/>
          </w:tcPr>
          <w:p>
            <w:pPr>
              <w:spacing w:line="340" w:lineRule="auto"/>
              <w:rPr>
                <w:rFonts w:ascii="Arial"/>
                <w:sz w:val="21"/>
              </w:rPr>
            </w:pPr>
          </w:p>
          <w:p>
            <w:pPr>
              <w:spacing w:line="340" w:lineRule="auto"/>
              <w:rPr>
                <w:rFonts w:ascii="Arial"/>
                <w:sz w:val="21"/>
              </w:rPr>
            </w:pPr>
          </w:p>
          <w:p>
            <w:pPr>
              <w:pStyle w:val="6"/>
              <w:spacing w:before="60" w:line="186" w:lineRule="auto"/>
              <w:ind w:left="363"/>
            </w:pPr>
            <w:r>
              <w:t>2</w:t>
            </w:r>
          </w:p>
        </w:tc>
        <w:tc>
          <w:tcPr>
            <w:tcW w:w="3316" w:type="dxa"/>
            <w:vAlign w:val="top"/>
          </w:tcPr>
          <w:p>
            <w:pPr>
              <w:spacing w:line="317" w:lineRule="auto"/>
              <w:rPr>
                <w:rFonts w:ascii="Arial"/>
                <w:sz w:val="21"/>
              </w:rPr>
            </w:pPr>
          </w:p>
          <w:p>
            <w:pPr>
              <w:spacing w:line="317" w:lineRule="auto"/>
              <w:rPr>
                <w:rFonts w:ascii="Arial"/>
                <w:sz w:val="21"/>
              </w:rPr>
            </w:pPr>
          </w:p>
          <w:p>
            <w:pPr>
              <w:spacing w:before="68" w:line="218" w:lineRule="auto"/>
              <w:ind w:left="1459"/>
              <w:rPr>
                <w:rFonts w:ascii="仿宋" w:hAnsi="仿宋" w:eastAsia="仿宋" w:cs="仿宋"/>
                <w:sz w:val="21"/>
                <w:szCs w:val="21"/>
              </w:rPr>
            </w:pPr>
            <w:r>
              <w:rPr>
                <w:rFonts w:ascii="仿宋" w:hAnsi="仿宋" w:eastAsia="仿宋" w:cs="仿宋"/>
                <w:spacing w:val="-5"/>
                <w:sz w:val="21"/>
                <w:szCs w:val="21"/>
              </w:rPr>
              <w:t>库尾</w:t>
            </w:r>
          </w:p>
        </w:tc>
        <w:tc>
          <w:tcPr>
            <w:tcW w:w="4195"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7" w:hRule="atLeast"/>
        </w:trPr>
        <w:tc>
          <w:tcPr>
            <w:tcW w:w="810" w:type="dxa"/>
            <w:tcBorders>
              <w:left w:val="nil"/>
            </w:tcBorders>
            <w:vAlign w:val="top"/>
          </w:tcPr>
          <w:p>
            <w:pPr>
              <w:pStyle w:val="6"/>
              <w:spacing w:before="212" w:line="186" w:lineRule="auto"/>
              <w:ind w:left="367"/>
            </w:pPr>
            <w:r>
              <w:t>3</w:t>
            </w:r>
          </w:p>
        </w:tc>
        <w:tc>
          <w:tcPr>
            <w:tcW w:w="3316" w:type="dxa"/>
            <w:vAlign w:val="top"/>
          </w:tcPr>
          <w:p>
            <w:pPr>
              <w:pStyle w:val="6"/>
              <w:spacing w:before="36" w:line="220" w:lineRule="auto"/>
              <w:ind w:left="1562" w:right="231" w:hanging="1310"/>
              <w:rPr>
                <w:rFonts w:ascii="仿宋" w:hAnsi="仿宋" w:eastAsia="仿宋" w:cs="仿宋"/>
              </w:rPr>
            </w:pPr>
            <w:r>
              <w:rPr>
                <w:rFonts w:ascii="仿宋" w:hAnsi="仿宋" w:eastAsia="仿宋" w:cs="仿宋"/>
                <w:spacing w:val="-2"/>
              </w:rPr>
              <w:t>罗子左河汇入万马河上游</w:t>
            </w:r>
            <w:r>
              <w:rPr>
                <w:rFonts w:ascii="仿宋" w:hAnsi="仿宋" w:eastAsia="仿宋" w:cs="仿宋"/>
                <w:spacing w:val="-42"/>
              </w:rPr>
              <w:t xml:space="preserve"> </w:t>
            </w:r>
            <w:r>
              <w:rPr>
                <w:spacing w:val="-2"/>
              </w:rPr>
              <w:t>500m</w:t>
            </w:r>
            <w:r>
              <w:t xml:space="preserve"> </w:t>
            </w:r>
            <w:r>
              <w:rPr>
                <w:rFonts w:ascii="仿宋" w:hAnsi="仿宋" w:eastAsia="仿宋" w:cs="仿宋"/>
              </w:rPr>
              <w:t>处</w:t>
            </w:r>
          </w:p>
        </w:tc>
        <w:tc>
          <w:tcPr>
            <w:tcW w:w="4195" w:type="dxa"/>
            <w:vMerge w:val="restart"/>
            <w:tcBorders>
              <w:bottom w:val="nil"/>
              <w:right w:val="nil"/>
            </w:tcBorders>
            <w:vAlign w:val="top"/>
          </w:tcPr>
          <w:p>
            <w:pPr>
              <w:spacing w:line="425" w:lineRule="auto"/>
              <w:rPr>
                <w:rFonts w:ascii="Arial"/>
                <w:sz w:val="21"/>
              </w:rPr>
            </w:pPr>
          </w:p>
          <w:p>
            <w:pPr>
              <w:pStyle w:val="6"/>
              <w:spacing w:before="68" w:line="234" w:lineRule="auto"/>
              <w:ind w:left="216" w:right="241" w:firstLine="67"/>
              <w:jc w:val="right"/>
              <w:rPr>
                <w:rFonts w:ascii="仿宋" w:hAnsi="仿宋" w:eastAsia="仿宋" w:cs="仿宋"/>
              </w:rPr>
            </w:pPr>
            <w:r>
              <w:rPr>
                <w:spacing w:val="-1"/>
              </w:rPr>
              <w:t>pH</w:t>
            </w:r>
            <w:r>
              <w:rPr>
                <w:rFonts w:ascii="仿宋" w:hAnsi="仿宋" w:eastAsia="仿宋" w:cs="仿宋"/>
                <w:spacing w:val="-1"/>
              </w:rPr>
              <w:t>、溶解氧、水温、石油类、化学需氧</w:t>
            </w:r>
            <w:r>
              <w:rPr>
                <w:rFonts w:ascii="仿宋" w:hAnsi="仿宋" w:eastAsia="仿宋" w:cs="仿宋"/>
                <w:spacing w:val="3"/>
              </w:rPr>
              <w:t xml:space="preserve"> </w:t>
            </w:r>
            <w:r>
              <w:rPr>
                <w:rFonts w:ascii="仿宋" w:hAnsi="仿宋" w:eastAsia="仿宋" w:cs="仿宋"/>
                <w:spacing w:val="4"/>
              </w:rPr>
              <w:t xml:space="preserve">量、五日生化需氧量、阴离子表面活性 </w:t>
            </w:r>
            <w:r>
              <w:rPr>
                <w:rFonts w:ascii="仿宋" w:hAnsi="仿宋" w:eastAsia="仿宋" w:cs="仿宋"/>
                <w:spacing w:val="-3"/>
              </w:rPr>
              <w:t>剂、氯化物、铜、铅、锌、镉、硒、汞、</w:t>
            </w:r>
            <w:r>
              <w:rPr>
                <w:rFonts w:ascii="仿宋" w:hAnsi="仿宋" w:eastAsia="仿宋" w:cs="仿宋"/>
                <w:spacing w:val="5"/>
              </w:rPr>
              <w:t xml:space="preserve"> </w:t>
            </w:r>
            <w:r>
              <w:rPr>
                <w:rFonts w:ascii="仿宋" w:hAnsi="仿宋" w:eastAsia="仿宋" w:cs="仿宋"/>
                <w:spacing w:val="-3"/>
              </w:rPr>
              <w:t>砷、粪大肠杆菌、六价铬、氟化物、铁、</w:t>
            </w:r>
          </w:p>
          <w:p>
            <w:pPr>
              <w:spacing w:before="26" w:line="217" w:lineRule="auto"/>
              <w:ind w:left="216"/>
              <w:rPr>
                <w:rFonts w:ascii="仿宋" w:hAnsi="仿宋" w:eastAsia="仿宋" w:cs="仿宋"/>
                <w:sz w:val="21"/>
                <w:szCs w:val="21"/>
              </w:rPr>
            </w:pPr>
            <w:r>
              <w:rPr>
                <w:rFonts w:ascii="仿宋" w:hAnsi="仿宋" w:eastAsia="仿宋" w:cs="仿宋"/>
                <w:spacing w:val="-1"/>
                <w:sz w:val="21"/>
                <w:szCs w:val="21"/>
              </w:rPr>
              <w:t>锰、氰化物、挥发酚、氨氮、总磷、高锰</w:t>
            </w:r>
          </w:p>
          <w:p>
            <w:pPr>
              <w:spacing w:before="26" w:line="215" w:lineRule="auto"/>
              <w:ind w:left="216"/>
              <w:rPr>
                <w:rFonts w:ascii="仿宋" w:hAnsi="仿宋" w:eastAsia="仿宋" w:cs="仿宋"/>
                <w:sz w:val="21"/>
                <w:szCs w:val="21"/>
              </w:rPr>
            </w:pPr>
            <w:r>
              <w:rPr>
                <w:rFonts w:ascii="仿宋" w:hAnsi="仿宋" w:eastAsia="仿宋" w:cs="仿宋"/>
                <w:spacing w:val="-1"/>
                <w:sz w:val="21"/>
                <w:szCs w:val="21"/>
              </w:rPr>
              <w:t>酸钾指数、总氮、硝酸盐、硫酸盐、硫化</w:t>
            </w:r>
          </w:p>
          <w:p>
            <w:pPr>
              <w:spacing w:before="27" w:line="217" w:lineRule="auto"/>
              <w:ind w:left="2001"/>
              <w:rPr>
                <w:rFonts w:ascii="仿宋" w:hAnsi="仿宋" w:eastAsia="仿宋" w:cs="仿宋"/>
                <w:sz w:val="21"/>
                <w:szCs w:val="21"/>
              </w:rPr>
            </w:pPr>
            <w:r>
              <w:rPr>
                <w:rFonts w:ascii="仿宋" w:hAnsi="仿宋" w:eastAsia="仿宋" w:cs="仿宋"/>
                <w:sz w:val="21"/>
                <w:szCs w:val="21"/>
              </w:rPr>
              <w:t>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810" w:type="dxa"/>
            <w:tcBorders>
              <w:left w:val="nil"/>
            </w:tcBorders>
            <w:vAlign w:val="top"/>
          </w:tcPr>
          <w:p>
            <w:pPr>
              <w:pStyle w:val="6"/>
              <w:spacing w:before="78" w:line="186" w:lineRule="auto"/>
              <w:ind w:left="362"/>
            </w:pPr>
            <w:r>
              <w:t>4</w:t>
            </w:r>
          </w:p>
        </w:tc>
        <w:tc>
          <w:tcPr>
            <w:tcW w:w="3316" w:type="dxa"/>
            <w:vAlign w:val="top"/>
          </w:tcPr>
          <w:p>
            <w:pPr>
              <w:spacing w:before="40" w:line="198" w:lineRule="auto"/>
              <w:ind w:left="935"/>
              <w:rPr>
                <w:rFonts w:ascii="仿宋" w:hAnsi="仿宋" w:eastAsia="仿宋" w:cs="仿宋"/>
                <w:sz w:val="21"/>
                <w:szCs w:val="21"/>
              </w:rPr>
            </w:pPr>
            <w:r>
              <w:rPr>
                <w:rFonts w:ascii="仿宋" w:hAnsi="仿宋" w:eastAsia="仿宋" w:cs="仿宋"/>
                <w:spacing w:val="-3"/>
                <w:sz w:val="21"/>
                <w:szCs w:val="21"/>
              </w:rPr>
              <w:t>马茨河取水坝处</w:t>
            </w:r>
          </w:p>
        </w:tc>
        <w:tc>
          <w:tcPr>
            <w:tcW w:w="4195"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810" w:type="dxa"/>
            <w:tcBorders>
              <w:left w:val="nil"/>
            </w:tcBorders>
            <w:vAlign w:val="top"/>
          </w:tcPr>
          <w:p>
            <w:pPr>
              <w:pStyle w:val="6"/>
              <w:spacing w:before="82" w:line="181" w:lineRule="auto"/>
              <w:ind w:left="368"/>
            </w:pPr>
            <w:r>
              <w:t>5</w:t>
            </w:r>
          </w:p>
        </w:tc>
        <w:tc>
          <w:tcPr>
            <w:tcW w:w="3316" w:type="dxa"/>
            <w:vAlign w:val="top"/>
          </w:tcPr>
          <w:p>
            <w:pPr>
              <w:spacing w:before="40" w:line="197" w:lineRule="auto"/>
              <w:ind w:left="512"/>
              <w:rPr>
                <w:rFonts w:ascii="仿宋" w:hAnsi="仿宋" w:eastAsia="仿宋" w:cs="仿宋"/>
                <w:sz w:val="21"/>
                <w:szCs w:val="21"/>
              </w:rPr>
            </w:pPr>
            <w:r>
              <w:rPr>
                <w:rFonts w:ascii="仿宋" w:hAnsi="仿宋" w:eastAsia="仿宋" w:cs="仿宋"/>
                <w:spacing w:val="-2"/>
                <w:sz w:val="21"/>
                <w:szCs w:val="21"/>
              </w:rPr>
              <w:t>昔木乍箐与见簸箐交汇口</w:t>
            </w:r>
          </w:p>
        </w:tc>
        <w:tc>
          <w:tcPr>
            <w:tcW w:w="4195"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810" w:type="dxa"/>
            <w:tcBorders>
              <w:left w:val="nil"/>
            </w:tcBorders>
            <w:vAlign w:val="top"/>
          </w:tcPr>
          <w:p>
            <w:pPr>
              <w:pStyle w:val="6"/>
              <w:spacing w:before="81" w:line="183" w:lineRule="auto"/>
              <w:ind w:left="367"/>
            </w:pPr>
            <w:r>
              <w:t>6</w:t>
            </w:r>
          </w:p>
        </w:tc>
        <w:tc>
          <w:tcPr>
            <w:tcW w:w="3316" w:type="dxa"/>
            <w:vAlign w:val="top"/>
          </w:tcPr>
          <w:p>
            <w:pPr>
              <w:spacing w:before="44" w:line="195" w:lineRule="auto"/>
              <w:ind w:left="827"/>
              <w:rPr>
                <w:rFonts w:ascii="仿宋" w:hAnsi="仿宋" w:eastAsia="仿宋" w:cs="仿宋"/>
                <w:sz w:val="21"/>
                <w:szCs w:val="21"/>
              </w:rPr>
            </w:pPr>
            <w:r>
              <w:rPr>
                <w:rFonts w:ascii="仿宋" w:hAnsi="仿宋" w:eastAsia="仿宋" w:cs="仿宋"/>
                <w:spacing w:val="-2"/>
                <w:sz w:val="21"/>
                <w:szCs w:val="21"/>
              </w:rPr>
              <w:t>六姑乍箐取水坝处</w:t>
            </w:r>
          </w:p>
        </w:tc>
        <w:tc>
          <w:tcPr>
            <w:tcW w:w="4195"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 w:hRule="atLeast"/>
        </w:trPr>
        <w:tc>
          <w:tcPr>
            <w:tcW w:w="810" w:type="dxa"/>
            <w:tcBorders>
              <w:left w:val="nil"/>
            </w:tcBorders>
            <w:vAlign w:val="top"/>
          </w:tcPr>
          <w:p>
            <w:pPr>
              <w:pStyle w:val="6"/>
              <w:spacing w:before="86" w:line="177" w:lineRule="auto"/>
              <w:ind w:left="366"/>
            </w:pPr>
            <w:r>
              <w:t>7</w:t>
            </w:r>
          </w:p>
        </w:tc>
        <w:tc>
          <w:tcPr>
            <w:tcW w:w="3316" w:type="dxa"/>
            <w:vAlign w:val="top"/>
          </w:tcPr>
          <w:p>
            <w:pPr>
              <w:spacing w:before="45" w:line="193" w:lineRule="auto"/>
              <w:ind w:left="196"/>
              <w:rPr>
                <w:rFonts w:ascii="仿宋" w:hAnsi="仿宋" w:eastAsia="仿宋" w:cs="仿宋"/>
                <w:sz w:val="21"/>
                <w:szCs w:val="21"/>
              </w:rPr>
            </w:pPr>
            <w:r>
              <w:rPr>
                <w:rFonts w:ascii="仿宋" w:hAnsi="仿宋" w:eastAsia="仿宋" w:cs="仿宋"/>
                <w:spacing w:val="-2"/>
                <w:sz w:val="21"/>
                <w:szCs w:val="21"/>
              </w:rPr>
              <w:t>桂花灌片退水区下游（万马河）</w:t>
            </w:r>
          </w:p>
        </w:tc>
        <w:tc>
          <w:tcPr>
            <w:tcW w:w="4195"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7" w:hRule="atLeast"/>
        </w:trPr>
        <w:tc>
          <w:tcPr>
            <w:tcW w:w="810" w:type="dxa"/>
            <w:tcBorders>
              <w:left w:val="nil"/>
            </w:tcBorders>
            <w:vAlign w:val="top"/>
          </w:tcPr>
          <w:p>
            <w:pPr>
              <w:pStyle w:val="6"/>
              <w:spacing w:before="222" w:line="186" w:lineRule="auto"/>
              <w:ind w:left="371"/>
            </w:pPr>
            <w:r>
              <w:t>8</w:t>
            </w:r>
          </w:p>
        </w:tc>
        <w:tc>
          <w:tcPr>
            <w:tcW w:w="3316" w:type="dxa"/>
            <w:vAlign w:val="top"/>
          </w:tcPr>
          <w:p>
            <w:pPr>
              <w:spacing w:before="47" w:line="215" w:lineRule="auto"/>
              <w:ind w:left="1461" w:right="183" w:hanging="1262"/>
              <w:rPr>
                <w:rFonts w:ascii="仿宋" w:hAnsi="仿宋" w:eastAsia="仿宋" w:cs="仿宋"/>
                <w:sz w:val="21"/>
                <w:szCs w:val="21"/>
              </w:rPr>
            </w:pPr>
            <w:r>
              <w:rPr>
                <w:rFonts w:ascii="仿宋" w:hAnsi="仿宋" w:eastAsia="仿宋" w:cs="仿宋"/>
                <w:spacing w:val="-2"/>
                <w:sz w:val="21"/>
                <w:szCs w:val="21"/>
              </w:rPr>
              <w:t>者纳么灌区退水区下游（者纳么</w:t>
            </w:r>
            <w:r>
              <w:rPr>
                <w:rFonts w:ascii="仿宋" w:hAnsi="仿宋" w:eastAsia="仿宋" w:cs="仿宋"/>
                <w:spacing w:val="9"/>
                <w:sz w:val="21"/>
                <w:szCs w:val="21"/>
              </w:rPr>
              <w:t xml:space="preserve"> </w:t>
            </w:r>
            <w:r>
              <w:rPr>
                <w:rFonts w:ascii="仿宋" w:hAnsi="仿宋" w:eastAsia="仿宋" w:cs="仿宋"/>
                <w:spacing w:val="-9"/>
                <w:sz w:val="21"/>
                <w:szCs w:val="21"/>
              </w:rPr>
              <w:t>河）</w:t>
            </w:r>
          </w:p>
        </w:tc>
        <w:tc>
          <w:tcPr>
            <w:tcW w:w="4195"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6" w:hRule="atLeast"/>
        </w:trPr>
        <w:tc>
          <w:tcPr>
            <w:tcW w:w="810" w:type="dxa"/>
            <w:tcBorders>
              <w:left w:val="nil"/>
            </w:tcBorders>
            <w:vAlign w:val="top"/>
          </w:tcPr>
          <w:p>
            <w:pPr>
              <w:pStyle w:val="6"/>
              <w:spacing w:before="88" w:line="176" w:lineRule="auto"/>
              <w:ind w:left="367"/>
            </w:pPr>
            <w:r>
              <w:t>9</w:t>
            </w:r>
          </w:p>
        </w:tc>
        <w:tc>
          <w:tcPr>
            <w:tcW w:w="3316" w:type="dxa"/>
            <w:vAlign w:val="top"/>
          </w:tcPr>
          <w:p>
            <w:pPr>
              <w:spacing w:before="49" w:line="190" w:lineRule="auto"/>
              <w:ind w:left="197"/>
              <w:rPr>
                <w:rFonts w:ascii="仿宋" w:hAnsi="仿宋" w:eastAsia="仿宋" w:cs="仿宋"/>
                <w:sz w:val="21"/>
                <w:szCs w:val="21"/>
              </w:rPr>
            </w:pPr>
            <w:r>
              <w:rPr>
                <w:rFonts w:ascii="仿宋" w:hAnsi="仿宋" w:eastAsia="仿宋" w:cs="仿宋"/>
                <w:spacing w:val="-2"/>
                <w:sz w:val="21"/>
                <w:szCs w:val="21"/>
              </w:rPr>
              <w:t>六苴灌片退水区下游（六苴河）</w:t>
            </w:r>
          </w:p>
        </w:tc>
        <w:tc>
          <w:tcPr>
            <w:tcW w:w="4195"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7" w:hRule="atLeast"/>
        </w:trPr>
        <w:tc>
          <w:tcPr>
            <w:tcW w:w="810" w:type="dxa"/>
            <w:tcBorders>
              <w:left w:val="nil"/>
            </w:tcBorders>
            <w:vAlign w:val="top"/>
          </w:tcPr>
          <w:p>
            <w:pPr>
              <w:pStyle w:val="6"/>
              <w:spacing w:before="89" w:line="176" w:lineRule="auto"/>
              <w:ind w:left="330"/>
            </w:pPr>
            <w:r>
              <w:rPr>
                <w:spacing w:val="-12"/>
              </w:rPr>
              <w:t>10</w:t>
            </w:r>
          </w:p>
        </w:tc>
        <w:tc>
          <w:tcPr>
            <w:tcW w:w="3316" w:type="dxa"/>
            <w:vAlign w:val="top"/>
          </w:tcPr>
          <w:p>
            <w:pPr>
              <w:pStyle w:val="6"/>
              <w:spacing w:before="50" w:line="190" w:lineRule="auto"/>
              <w:ind w:left="221"/>
              <w:rPr>
                <w:rFonts w:ascii="仿宋" w:hAnsi="仿宋" w:eastAsia="仿宋" w:cs="仿宋"/>
              </w:rPr>
            </w:pPr>
            <w:r>
              <w:rPr>
                <w:rFonts w:ascii="仿宋" w:hAnsi="仿宋" w:eastAsia="仿宋" w:cs="仿宋"/>
                <w:spacing w:val="-2"/>
              </w:rPr>
              <w:t>输水线汇入碧么水库前</w:t>
            </w:r>
            <w:r>
              <w:rPr>
                <w:rFonts w:ascii="仿宋" w:hAnsi="仿宋" w:eastAsia="仿宋" w:cs="仿宋"/>
                <w:spacing w:val="-39"/>
              </w:rPr>
              <w:t xml:space="preserve"> </w:t>
            </w:r>
            <w:r>
              <w:rPr>
                <w:spacing w:val="-2"/>
              </w:rPr>
              <w:t>500m</w:t>
            </w:r>
            <w:r>
              <w:rPr>
                <w:spacing w:val="16"/>
              </w:rPr>
              <w:t xml:space="preserve"> </w:t>
            </w:r>
            <w:r>
              <w:rPr>
                <w:rFonts w:ascii="仿宋" w:hAnsi="仿宋" w:eastAsia="仿宋" w:cs="仿宋"/>
                <w:spacing w:val="-2"/>
              </w:rPr>
              <w:t>处</w:t>
            </w:r>
          </w:p>
        </w:tc>
        <w:tc>
          <w:tcPr>
            <w:tcW w:w="4195"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27" w:hRule="atLeast"/>
        </w:trPr>
        <w:tc>
          <w:tcPr>
            <w:tcW w:w="810" w:type="dxa"/>
            <w:tcBorders>
              <w:left w:val="nil"/>
              <w:bottom w:val="single" w:color="000000" w:sz="12" w:space="0"/>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pStyle w:val="6"/>
              <w:spacing w:before="60" w:line="186" w:lineRule="auto"/>
              <w:ind w:left="330"/>
            </w:pPr>
            <w:r>
              <w:rPr>
                <w:spacing w:val="-12"/>
              </w:rPr>
              <w:t>11</w:t>
            </w:r>
          </w:p>
        </w:tc>
        <w:tc>
          <w:tcPr>
            <w:tcW w:w="3316" w:type="dxa"/>
            <w:tcBorders>
              <w:bottom w:val="single" w:color="000000" w:sz="12" w:space="0"/>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8" w:line="218" w:lineRule="auto"/>
              <w:ind w:left="1254"/>
              <w:rPr>
                <w:rFonts w:ascii="仿宋" w:hAnsi="仿宋" w:eastAsia="仿宋" w:cs="仿宋"/>
                <w:sz w:val="21"/>
                <w:szCs w:val="21"/>
              </w:rPr>
            </w:pPr>
            <w:r>
              <w:rPr>
                <w:rFonts w:ascii="仿宋" w:hAnsi="仿宋" w:eastAsia="仿宋" w:cs="仿宋"/>
                <w:spacing w:val="-5"/>
                <w:sz w:val="21"/>
                <w:szCs w:val="21"/>
              </w:rPr>
              <w:t>碧么水库</w:t>
            </w:r>
          </w:p>
        </w:tc>
        <w:tc>
          <w:tcPr>
            <w:tcW w:w="4195" w:type="dxa"/>
            <w:tcBorders>
              <w:bottom w:val="single" w:color="000000" w:sz="12" w:space="0"/>
              <w:right w:val="nil"/>
            </w:tcBorders>
            <w:vAlign w:val="top"/>
          </w:tcPr>
          <w:p>
            <w:pPr>
              <w:pStyle w:val="6"/>
              <w:spacing w:before="50" w:line="234" w:lineRule="auto"/>
              <w:ind w:left="216" w:right="241" w:firstLine="67"/>
              <w:jc w:val="right"/>
              <w:rPr>
                <w:rFonts w:ascii="仿宋" w:hAnsi="仿宋" w:eastAsia="仿宋" w:cs="仿宋"/>
              </w:rPr>
            </w:pPr>
            <w:r>
              <w:rPr>
                <w:spacing w:val="-1"/>
              </w:rPr>
              <w:t>pH</w:t>
            </w:r>
            <w:r>
              <w:rPr>
                <w:rFonts w:ascii="仿宋" w:hAnsi="仿宋" w:eastAsia="仿宋" w:cs="仿宋"/>
                <w:spacing w:val="-1"/>
              </w:rPr>
              <w:t>、溶解氧、水温、石油类、化学需氧</w:t>
            </w:r>
            <w:r>
              <w:rPr>
                <w:rFonts w:ascii="仿宋" w:hAnsi="仿宋" w:eastAsia="仿宋" w:cs="仿宋"/>
                <w:spacing w:val="3"/>
              </w:rPr>
              <w:t xml:space="preserve"> </w:t>
            </w:r>
            <w:r>
              <w:rPr>
                <w:rFonts w:ascii="仿宋" w:hAnsi="仿宋" w:eastAsia="仿宋" w:cs="仿宋"/>
                <w:spacing w:val="4"/>
              </w:rPr>
              <w:t xml:space="preserve">量、五日生化需氧量、阴离子表面活性 </w:t>
            </w:r>
            <w:r>
              <w:rPr>
                <w:rFonts w:ascii="仿宋" w:hAnsi="仿宋" w:eastAsia="仿宋" w:cs="仿宋"/>
                <w:spacing w:val="-3"/>
              </w:rPr>
              <w:t>剂、氯化物、铜、铅、锌、镉、硒、汞、</w:t>
            </w:r>
            <w:r>
              <w:rPr>
                <w:rFonts w:ascii="仿宋" w:hAnsi="仿宋" w:eastAsia="仿宋" w:cs="仿宋"/>
                <w:spacing w:val="5"/>
              </w:rPr>
              <w:t xml:space="preserve"> </w:t>
            </w:r>
            <w:r>
              <w:rPr>
                <w:rFonts w:ascii="仿宋" w:hAnsi="仿宋" w:eastAsia="仿宋" w:cs="仿宋"/>
                <w:spacing w:val="-3"/>
              </w:rPr>
              <w:t>砷、粪大肠杆菌、六价铬、氟化物、铁、</w:t>
            </w:r>
          </w:p>
          <w:p>
            <w:pPr>
              <w:spacing w:before="26" w:line="217" w:lineRule="auto"/>
              <w:ind w:left="216"/>
              <w:rPr>
                <w:rFonts w:ascii="仿宋" w:hAnsi="仿宋" w:eastAsia="仿宋" w:cs="仿宋"/>
                <w:sz w:val="21"/>
                <w:szCs w:val="21"/>
              </w:rPr>
            </w:pPr>
            <w:r>
              <w:rPr>
                <w:rFonts w:ascii="仿宋" w:hAnsi="仿宋" w:eastAsia="仿宋" w:cs="仿宋"/>
                <w:spacing w:val="-1"/>
                <w:sz w:val="21"/>
                <w:szCs w:val="21"/>
              </w:rPr>
              <w:t>锰、氰化物、挥发酚、氨氮、总磷、高锰</w:t>
            </w:r>
          </w:p>
          <w:p>
            <w:pPr>
              <w:spacing w:before="25" w:line="215" w:lineRule="auto"/>
              <w:ind w:left="216"/>
              <w:rPr>
                <w:rFonts w:ascii="仿宋" w:hAnsi="仿宋" w:eastAsia="仿宋" w:cs="仿宋"/>
                <w:sz w:val="21"/>
                <w:szCs w:val="21"/>
              </w:rPr>
            </w:pPr>
            <w:r>
              <w:rPr>
                <w:rFonts w:ascii="仿宋" w:hAnsi="仿宋" w:eastAsia="仿宋" w:cs="仿宋"/>
                <w:spacing w:val="-1"/>
                <w:sz w:val="21"/>
                <w:szCs w:val="21"/>
              </w:rPr>
              <w:t>酸钾指数、总氮、硝酸盐、硫酸盐、硫化</w:t>
            </w:r>
          </w:p>
          <w:p>
            <w:pPr>
              <w:pStyle w:val="6"/>
              <w:spacing w:before="27" w:line="203" w:lineRule="auto"/>
              <w:ind w:left="1089"/>
            </w:pPr>
            <w:r>
              <w:rPr>
                <w:rFonts w:ascii="仿宋" w:hAnsi="仿宋" w:eastAsia="仿宋" w:cs="仿宋"/>
                <w:spacing w:val="-2"/>
              </w:rPr>
              <w:t>物、透明度、叶绿素</w:t>
            </w:r>
            <w:r>
              <w:rPr>
                <w:rFonts w:ascii="仿宋" w:hAnsi="仿宋" w:eastAsia="仿宋" w:cs="仿宋"/>
                <w:spacing w:val="-40"/>
              </w:rPr>
              <w:t xml:space="preserve"> </w:t>
            </w:r>
            <w:r>
              <w:rPr>
                <w:spacing w:val="-2"/>
              </w:rPr>
              <w:t>a</w:t>
            </w:r>
          </w:p>
        </w:tc>
      </w:tr>
    </w:tbl>
    <w:p>
      <w:pPr>
        <w:spacing w:before="114" w:line="217" w:lineRule="auto"/>
        <w:ind w:left="517"/>
        <w:rPr>
          <w:rFonts w:ascii="宋体" w:hAnsi="宋体" w:eastAsia="宋体" w:cs="宋体"/>
          <w:sz w:val="24"/>
          <w:szCs w:val="24"/>
        </w:rPr>
      </w:pPr>
      <w:r>
        <w:rPr>
          <w:rFonts w:ascii="宋体" w:hAnsi="宋体" w:eastAsia="宋体" w:cs="宋体"/>
          <w:spacing w:val="-2"/>
          <w:sz w:val="24"/>
          <w:szCs w:val="24"/>
        </w:rPr>
        <w:t>②监测时间</w:t>
      </w:r>
    </w:p>
    <w:p>
      <w:pPr>
        <w:spacing w:before="186" w:line="233" w:lineRule="auto"/>
        <w:ind w:left="520"/>
        <w:rPr>
          <w:rFonts w:ascii="宋体" w:hAnsi="宋体" w:eastAsia="宋体" w:cs="宋体"/>
          <w:sz w:val="24"/>
          <w:szCs w:val="24"/>
        </w:rPr>
      </w:pPr>
      <w:r>
        <w:rPr>
          <w:rFonts w:ascii="宋体" w:hAnsi="宋体" w:eastAsia="宋体" w:cs="宋体"/>
          <w:spacing w:val="-8"/>
          <w:sz w:val="24"/>
          <w:szCs w:val="24"/>
        </w:rPr>
        <w:t>监测时间为</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2023 </w:t>
      </w:r>
      <w:r>
        <w:rPr>
          <w:rFonts w:ascii="宋体" w:hAnsi="宋体" w:eastAsia="宋体" w:cs="宋体"/>
          <w:spacing w:val="-8"/>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8"/>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日</w:t>
      </w:r>
      <w:r>
        <w:rPr>
          <w:rFonts w:ascii="Times New Roman" w:hAnsi="Times New Roman" w:eastAsia="Times New Roman" w:cs="Times New Roman"/>
          <w:spacing w:val="-8"/>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 xml:space="preserve">3  </w:t>
      </w:r>
      <w:r>
        <w:rPr>
          <w:rFonts w:ascii="宋体" w:hAnsi="宋体" w:eastAsia="宋体" w:cs="宋体"/>
          <w:spacing w:val="-8"/>
          <w:sz w:val="24"/>
          <w:szCs w:val="24"/>
        </w:rPr>
        <w:t>日。</w:t>
      </w:r>
    </w:p>
    <w:p>
      <w:pPr>
        <w:spacing w:line="233" w:lineRule="auto"/>
        <w:rPr>
          <w:rFonts w:ascii="宋体" w:hAnsi="宋体" w:eastAsia="宋体" w:cs="宋体"/>
          <w:sz w:val="24"/>
          <w:szCs w:val="24"/>
        </w:rPr>
        <w:sectPr>
          <w:footerReference r:id="rId177" w:type="default"/>
          <w:pgSz w:w="11907" w:h="16839"/>
          <w:pgMar w:top="1156" w:right="1768" w:bottom="1374" w:left="1770" w:header="881" w:footer="1210" w:gutter="0"/>
        </w:sectPr>
      </w:pPr>
    </w:p>
    <w:p>
      <w:pPr>
        <w:spacing w:line="317" w:lineRule="auto"/>
        <w:rPr>
          <w:rFonts w:ascii="Arial"/>
          <w:sz w:val="21"/>
        </w:rPr>
      </w:pPr>
    </w:p>
    <w:p>
      <w:pPr>
        <w:spacing w:before="78" w:line="217" w:lineRule="auto"/>
        <w:ind w:left="517"/>
        <w:rPr>
          <w:rFonts w:ascii="宋体" w:hAnsi="宋体" w:eastAsia="宋体" w:cs="宋体"/>
          <w:sz w:val="24"/>
          <w:szCs w:val="24"/>
        </w:rPr>
      </w:pPr>
      <w:r>
        <w:rPr>
          <w:rFonts w:ascii="宋体" w:hAnsi="宋体" w:eastAsia="宋体" w:cs="宋体"/>
          <w:spacing w:val="-2"/>
          <w:sz w:val="24"/>
          <w:szCs w:val="24"/>
        </w:rPr>
        <w:t>③监测频次</w:t>
      </w:r>
    </w:p>
    <w:p>
      <w:pPr>
        <w:spacing w:before="185" w:line="468" w:lineRule="exact"/>
        <w:ind w:left="520"/>
        <w:rPr>
          <w:rFonts w:ascii="宋体" w:hAnsi="宋体" w:eastAsia="宋体" w:cs="宋体"/>
          <w:sz w:val="24"/>
          <w:szCs w:val="24"/>
        </w:rPr>
      </w:pPr>
      <w:r>
        <w:rPr>
          <w:rFonts w:ascii="宋体" w:hAnsi="宋体" w:eastAsia="宋体" w:cs="宋体"/>
          <w:spacing w:val="-3"/>
          <w:position w:val="17"/>
          <w:sz w:val="24"/>
          <w:szCs w:val="24"/>
        </w:rPr>
        <w:t>连续</w:t>
      </w:r>
      <w:r>
        <w:rPr>
          <w:rFonts w:ascii="宋体" w:hAnsi="宋体" w:eastAsia="宋体" w:cs="宋体"/>
          <w:spacing w:val="-38"/>
          <w:position w:val="17"/>
          <w:sz w:val="24"/>
          <w:szCs w:val="24"/>
        </w:rPr>
        <w:t xml:space="preserve"> </w:t>
      </w:r>
      <w:r>
        <w:rPr>
          <w:rFonts w:ascii="Times New Roman" w:hAnsi="Times New Roman" w:eastAsia="Times New Roman" w:cs="Times New Roman"/>
          <w:spacing w:val="-3"/>
          <w:position w:val="17"/>
          <w:sz w:val="24"/>
          <w:szCs w:val="24"/>
        </w:rPr>
        <w:t xml:space="preserve">3 </w:t>
      </w:r>
      <w:r>
        <w:rPr>
          <w:rFonts w:ascii="宋体" w:hAnsi="宋体" w:eastAsia="宋体" w:cs="宋体"/>
          <w:spacing w:val="-3"/>
          <w:position w:val="17"/>
          <w:sz w:val="24"/>
          <w:szCs w:val="24"/>
        </w:rPr>
        <w:t>天；每天各断面各采样一次。</w:t>
      </w:r>
    </w:p>
    <w:p>
      <w:pPr>
        <w:spacing w:line="217" w:lineRule="auto"/>
        <w:ind w:left="517"/>
        <w:rPr>
          <w:rFonts w:ascii="宋体" w:hAnsi="宋体" w:eastAsia="宋体" w:cs="宋体"/>
          <w:sz w:val="24"/>
          <w:szCs w:val="24"/>
        </w:rPr>
      </w:pPr>
      <w:r>
        <w:rPr>
          <w:rFonts w:ascii="宋体" w:hAnsi="宋体" w:eastAsia="宋体" w:cs="宋体"/>
          <w:spacing w:val="-2"/>
          <w:sz w:val="24"/>
          <w:szCs w:val="24"/>
        </w:rPr>
        <w:t>④监测结果</w:t>
      </w:r>
    </w:p>
    <w:p>
      <w:pPr>
        <w:spacing w:before="185" w:line="234" w:lineRule="auto"/>
        <w:ind w:left="520"/>
        <w:rPr>
          <w:rFonts w:ascii="宋体" w:hAnsi="宋体" w:eastAsia="宋体" w:cs="宋体"/>
          <w:sz w:val="24"/>
          <w:szCs w:val="24"/>
        </w:rPr>
      </w:pPr>
      <w:r>
        <w:rPr>
          <w:rFonts w:ascii="宋体" w:hAnsi="宋体" w:eastAsia="宋体" w:cs="宋体"/>
          <w:spacing w:val="-3"/>
          <w:sz w:val="24"/>
          <w:szCs w:val="24"/>
        </w:rPr>
        <w:t>监测结果如表</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3.2-2~</w:t>
      </w:r>
      <w:r>
        <w:rPr>
          <w:rFonts w:ascii="宋体" w:hAnsi="宋体" w:eastAsia="宋体" w:cs="宋体"/>
          <w:spacing w:val="-3"/>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3.2-3 </w:t>
      </w:r>
      <w:r>
        <w:rPr>
          <w:rFonts w:ascii="宋体" w:hAnsi="宋体" w:eastAsia="宋体" w:cs="宋体"/>
          <w:spacing w:val="-3"/>
          <w:sz w:val="24"/>
          <w:szCs w:val="24"/>
        </w:rPr>
        <w:t>所示。</w:t>
      </w:r>
    </w:p>
    <w:p>
      <w:pPr>
        <w:spacing w:line="234" w:lineRule="auto"/>
        <w:rPr>
          <w:rFonts w:ascii="宋体" w:hAnsi="宋体" w:eastAsia="宋体" w:cs="宋体"/>
          <w:sz w:val="24"/>
          <w:szCs w:val="24"/>
        </w:rPr>
        <w:sectPr>
          <w:footerReference r:id="rId178" w:type="default"/>
          <w:pgSz w:w="11907" w:h="16839"/>
          <w:pgMar w:top="1156" w:right="1768" w:bottom="1374" w:left="1770" w:header="881" w:footer="1210" w:gutter="0"/>
        </w:sectPr>
      </w:pPr>
    </w:p>
    <w:p>
      <w:pPr>
        <w:spacing w:line="311" w:lineRule="auto"/>
        <w:rPr>
          <w:rFonts w:ascii="Arial"/>
          <w:sz w:val="21"/>
        </w:rPr>
      </w:pPr>
    </w:p>
    <w:p>
      <w:pPr>
        <w:spacing w:line="312" w:lineRule="auto"/>
        <w:rPr>
          <w:rFonts w:ascii="Arial"/>
          <w:sz w:val="21"/>
        </w:rPr>
      </w:pPr>
    </w:p>
    <w:p>
      <w:pPr>
        <w:spacing w:before="68" w:line="212" w:lineRule="auto"/>
        <w:ind w:left="4451"/>
        <w:rPr>
          <w:rFonts w:ascii="Times New Roman" w:hAnsi="Times New Roman" w:eastAsia="Times New Roman" w:cs="Times New Roman"/>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Times New Roman" w:hAnsi="Times New Roman" w:eastAsia="Times New Roman" w:cs="Times New Roman"/>
          <w:b/>
          <w:bCs/>
          <w:sz w:val="21"/>
          <w:szCs w:val="21"/>
        </w:rPr>
        <w:t xml:space="preserve">3.2-2    </w:t>
      </w:r>
      <w:r>
        <w:rPr>
          <w:rFonts w:ascii="宋体" w:hAnsi="宋体" w:eastAsia="宋体" w:cs="宋体"/>
          <w:sz w:val="21"/>
          <w:szCs w:val="21"/>
          <w14:textOutline w14:w="3810" w14:cap="flat" w14:cmpd="sng">
            <w14:solidFill>
              <w14:srgbClr w14:val="000000"/>
            </w14:solidFill>
            <w14:prstDash w14:val="solid"/>
            <w14:miter w14:val="0"/>
          </w14:textOutline>
        </w:rPr>
        <w:t>项目区域水环境质量现状监测结果单位：</w:t>
      </w:r>
      <w:r>
        <w:rPr>
          <w:rFonts w:ascii="Times New Roman" w:hAnsi="Times New Roman" w:eastAsia="Times New Roman" w:cs="Times New Roman"/>
          <w:b/>
          <w:bCs/>
          <w:sz w:val="21"/>
          <w:szCs w:val="21"/>
        </w:rPr>
        <w:t>mg/L</w:t>
      </w:r>
    </w:p>
    <w:p>
      <w:pPr>
        <w:spacing w:line="19" w:lineRule="exact"/>
      </w:pPr>
    </w:p>
    <w:tbl>
      <w:tblPr>
        <w:tblStyle w:val="5"/>
        <w:tblW w:w="1397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1"/>
        <w:gridCol w:w="2141"/>
        <w:gridCol w:w="2486"/>
        <w:gridCol w:w="2488"/>
        <w:gridCol w:w="2486"/>
        <w:gridCol w:w="2071"/>
        <w:gridCol w:w="1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731" w:type="dxa"/>
            <w:vMerge w:val="restart"/>
            <w:tcBorders>
              <w:top w:val="single" w:color="000000" w:sz="12" w:space="0"/>
              <w:left w:val="nil"/>
              <w:bottom w:val="nil"/>
            </w:tcBorders>
            <w:vAlign w:val="top"/>
          </w:tcPr>
          <w:p>
            <w:pPr>
              <w:spacing w:line="300" w:lineRule="auto"/>
              <w:rPr>
                <w:rFonts w:ascii="Arial"/>
                <w:sz w:val="21"/>
              </w:rPr>
            </w:pPr>
          </w:p>
          <w:p>
            <w:pPr>
              <w:spacing w:before="68" w:line="218" w:lineRule="auto"/>
              <w:ind w:left="17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2141" w:type="dxa"/>
            <w:vMerge w:val="restart"/>
            <w:tcBorders>
              <w:top w:val="single" w:color="000000" w:sz="12" w:space="0"/>
              <w:bottom w:val="nil"/>
            </w:tcBorders>
            <w:vAlign w:val="top"/>
          </w:tcPr>
          <w:p>
            <w:pPr>
              <w:spacing w:line="300" w:lineRule="auto"/>
              <w:rPr>
                <w:rFonts w:ascii="Arial"/>
                <w:sz w:val="21"/>
              </w:rPr>
            </w:pPr>
          </w:p>
          <w:p>
            <w:pPr>
              <w:spacing w:before="68" w:line="219" w:lineRule="auto"/>
              <w:ind w:left="662"/>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监测因子</w:t>
            </w:r>
          </w:p>
        </w:tc>
        <w:tc>
          <w:tcPr>
            <w:tcW w:w="9531" w:type="dxa"/>
            <w:gridSpan w:val="4"/>
            <w:tcBorders>
              <w:top w:val="single" w:color="000000" w:sz="12" w:space="0"/>
            </w:tcBorders>
            <w:vAlign w:val="top"/>
          </w:tcPr>
          <w:p>
            <w:pPr>
              <w:spacing w:before="50" w:line="219" w:lineRule="auto"/>
              <w:ind w:left="446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570" w:type="dxa"/>
            <w:vMerge w:val="restart"/>
            <w:tcBorders>
              <w:top w:val="single" w:color="000000" w:sz="12" w:space="0"/>
              <w:bottom w:val="nil"/>
              <w:right w:val="nil"/>
            </w:tcBorders>
            <w:vAlign w:val="top"/>
          </w:tcPr>
          <w:p>
            <w:pPr>
              <w:pStyle w:val="6"/>
              <w:spacing w:before="215" w:line="247" w:lineRule="auto"/>
              <w:ind w:left="585" w:right="134" w:hanging="442"/>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标准限值（</w:t>
            </w:r>
            <w:r>
              <w:rPr>
                <w:b/>
                <w:bCs/>
                <w:spacing w:val="-2"/>
              </w:rPr>
              <w:t>III</w:t>
            </w:r>
            <w:r>
              <w:rPr>
                <w:b/>
                <w:bCs/>
                <w:spacing w:val="6"/>
              </w:rPr>
              <w:t xml:space="preserve"> </w:t>
            </w:r>
            <w:r>
              <w:rPr>
                <w:rFonts w:ascii="仿宋" w:hAnsi="仿宋" w:eastAsia="仿宋" w:cs="仿宋"/>
                <w:spacing w:val="-9"/>
                <w14:textOutline w14:w="3810" w14:cap="flat" w14:cmpd="sng">
                  <w14:solidFill>
                    <w14:srgbClr w14:val="000000"/>
                  </w14:solidFill>
                  <w14:prstDash w14:val="solid"/>
                  <w14:miter w14:val="0"/>
                </w14:textOutline>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731" w:type="dxa"/>
            <w:vMerge w:val="continue"/>
            <w:tcBorders>
              <w:top w:val="nil"/>
              <w:left w:val="nil"/>
            </w:tcBorders>
            <w:vAlign w:val="top"/>
          </w:tcPr>
          <w:p>
            <w:pPr>
              <w:rPr>
                <w:rFonts w:ascii="Arial"/>
                <w:sz w:val="21"/>
              </w:rPr>
            </w:pPr>
          </w:p>
        </w:tc>
        <w:tc>
          <w:tcPr>
            <w:tcW w:w="2141" w:type="dxa"/>
            <w:vMerge w:val="continue"/>
            <w:tcBorders>
              <w:top w:val="nil"/>
            </w:tcBorders>
            <w:vAlign w:val="top"/>
          </w:tcPr>
          <w:p>
            <w:pPr>
              <w:rPr>
                <w:rFonts w:ascii="Arial"/>
                <w:sz w:val="21"/>
              </w:rPr>
            </w:pPr>
          </w:p>
        </w:tc>
        <w:tc>
          <w:tcPr>
            <w:tcW w:w="2486" w:type="dxa"/>
            <w:vAlign w:val="top"/>
          </w:tcPr>
          <w:p>
            <w:pPr>
              <w:spacing w:before="205" w:line="220" w:lineRule="auto"/>
              <w:ind w:left="1047"/>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坝址</w:t>
            </w:r>
          </w:p>
        </w:tc>
        <w:tc>
          <w:tcPr>
            <w:tcW w:w="2488" w:type="dxa"/>
            <w:vAlign w:val="top"/>
          </w:tcPr>
          <w:p>
            <w:pPr>
              <w:spacing w:before="205" w:line="218" w:lineRule="auto"/>
              <w:ind w:left="104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库尾</w:t>
            </w:r>
          </w:p>
        </w:tc>
        <w:tc>
          <w:tcPr>
            <w:tcW w:w="2486" w:type="dxa"/>
            <w:vAlign w:val="top"/>
          </w:tcPr>
          <w:p>
            <w:pPr>
              <w:pStyle w:val="6"/>
              <w:spacing w:before="48" w:line="247" w:lineRule="auto"/>
              <w:ind w:left="746" w:right="184" w:hanging="542"/>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罗子左河汇入万马河上</w:t>
            </w:r>
            <w:r>
              <w:rPr>
                <w:rFonts w:ascii="仿宋" w:hAnsi="仿宋" w:eastAsia="仿宋" w:cs="仿宋"/>
                <w:spacing w:val="5"/>
              </w:rPr>
              <w:t xml:space="preserve"> </w:t>
            </w:r>
            <w:r>
              <w:rPr>
                <w:rFonts w:ascii="仿宋" w:hAnsi="仿宋" w:eastAsia="仿宋" w:cs="仿宋"/>
                <w:spacing w:val="-4"/>
                <w14:textOutline w14:w="3810" w14:cap="flat" w14:cmpd="sng">
                  <w14:solidFill>
                    <w14:srgbClr w14:val="000000"/>
                  </w14:solidFill>
                  <w14:prstDash w14:val="solid"/>
                  <w14:miter w14:val="0"/>
                </w14:textOutline>
              </w:rPr>
              <w:t>游</w:t>
            </w:r>
            <w:r>
              <w:rPr>
                <w:rFonts w:ascii="仿宋" w:hAnsi="仿宋" w:eastAsia="仿宋" w:cs="仿宋"/>
                <w:spacing w:val="-44"/>
              </w:rPr>
              <w:t xml:space="preserve"> </w:t>
            </w:r>
            <w:r>
              <w:rPr>
                <w:b/>
                <w:bCs/>
                <w:spacing w:val="-4"/>
              </w:rPr>
              <w:t>500m</w:t>
            </w:r>
            <w:r>
              <w:rPr>
                <w:b/>
                <w:bCs/>
                <w:spacing w:val="1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处</w:t>
            </w:r>
          </w:p>
        </w:tc>
        <w:tc>
          <w:tcPr>
            <w:tcW w:w="2071" w:type="dxa"/>
            <w:vAlign w:val="top"/>
          </w:tcPr>
          <w:p>
            <w:pPr>
              <w:spacing w:before="205" w:line="218" w:lineRule="auto"/>
              <w:ind w:left="31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马茨河取水坝处</w:t>
            </w:r>
          </w:p>
        </w:tc>
        <w:tc>
          <w:tcPr>
            <w:tcW w:w="1570"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88" w:line="188" w:lineRule="auto"/>
              <w:ind w:left="344"/>
            </w:pPr>
            <w:r>
              <w:t>1</w:t>
            </w:r>
          </w:p>
        </w:tc>
        <w:tc>
          <w:tcPr>
            <w:tcW w:w="2141" w:type="dxa"/>
            <w:vAlign w:val="top"/>
          </w:tcPr>
          <w:p>
            <w:pPr>
              <w:spacing w:before="51" w:line="219" w:lineRule="auto"/>
              <w:ind w:left="552"/>
              <w:rPr>
                <w:rFonts w:ascii="仿宋" w:hAnsi="仿宋" w:eastAsia="仿宋" w:cs="仿宋"/>
                <w:sz w:val="21"/>
                <w:szCs w:val="21"/>
              </w:rPr>
            </w:pPr>
            <w:r>
              <w:rPr>
                <w:rFonts w:ascii="仿宋" w:hAnsi="仿宋" w:eastAsia="仿宋" w:cs="仿宋"/>
                <w:spacing w:val="18"/>
                <w:sz w:val="21"/>
                <w:szCs w:val="21"/>
              </w:rPr>
              <w:t>水温(</w:t>
            </w:r>
            <w:r>
              <w:rPr>
                <w:rFonts w:ascii="宋体" w:hAnsi="宋体" w:eastAsia="宋体" w:cs="宋体"/>
                <w:spacing w:val="18"/>
                <w:sz w:val="21"/>
                <w:szCs w:val="21"/>
              </w:rPr>
              <w:t>℃</w:t>
            </w:r>
            <w:r>
              <w:rPr>
                <w:rFonts w:ascii="仿宋" w:hAnsi="仿宋" w:eastAsia="仿宋" w:cs="仿宋"/>
                <w:spacing w:val="18"/>
                <w:sz w:val="21"/>
                <w:szCs w:val="21"/>
              </w:rPr>
              <w:t>)</w:t>
            </w:r>
          </w:p>
        </w:tc>
        <w:tc>
          <w:tcPr>
            <w:tcW w:w="2486" w:type="dxa"/>
            <w:vAlign w:val="top"/>
          </w:tcPr>
          <w:p>
            <w:pPr>
              <w:pStyle w:val="6"/>
              <w:spacing w:before="88" w:line="188" w:lineRule="auto"/>
              <w:ind w:left="839"/>
            </w:pPr>
            <w:r>
              <w:rPr>
                <w:spacing w:val="-3"/>
              </w:rPr>
              <w:t>16.6~17.2</w:t>
            </w:r>
          </w:p>
        </w:tc>
        <w:tc>
          <w:tcPr>
            <w:tcW w:w="2488" w:type="dxa"/>
            <w:vAlign w:val="top"/>
          </w:tcPr>
          <w:p>
            <w:pPr>
              <w:pStyle w:val="6"/>
              <w:spacing w:before="88" w:line="188" w:lineRule="auto"/>
              <w:ind w:left="839"/>
            </w:pPr>
            <w:r>
              <w:rPr>
                <w:spacing w:val="-3"/>
              </w:rPr>
              <w:t>16.2~16.8</w:t>
            </w:r>
          </w:p>
        </w:tc>
        <w:tc>
          <w:tcPr>
            <w:tcW w:w="2486" w:type="dxa"/>
            <w:vAlign w:val="top"/>
          </w:tcPr>
          <w:p>
            <w:pPr>
              <w:pStyle w:val="6"/>
              <w:spacing w:before="88" w:line="188" w:lineRule="auto"/>
              <w:ind w:left="839"/>
            </w:pPr>
            <w:r>
              <w:rPr>
                <w:spacing w:val="-3"/>
              </w:rPr>
              <w:t>16.4~17.6</w:t>
            </w:r>
          </w:p>
        </w:tc>
        <w:tc>
          <w:tcPr>
            <w:tcW w:w="2071" w:type="dxa"/>
            <w:vAlign w:val="top"/>
          </w:tcPr>
          <w:p>
            <w:pPr>
              <w:pStyle w:val="6"/>
              <w:spacing w:before="88" w:line="188" w:lineRule="auto"/>
              <w:ind w:left="631"/>
            </w:pPr>
            <w:r>
              <w:rPr>
                <w:spacing w:val="-3"/>
              </w:rPr>
              <w:t>15.8~16.6</w:t>
            </w:r>
          </w:p>
        </w:tc>
        <w:tc>
          <w:tcPr>
            <w:tcW w:w="1570" w:type="dxa"/>
            <w:tcBorders>
              <w:right w:val="nil"/>
            </w:tcBorders>
            <w:vAlign w:val="top"/>
          </w:tcPr>
          <w:p>
            <w:pPr>
              <w:pStyle w:val="6"/>
              <w:spacing w:before="86" w:line="218" w:lineRule="auto"/>
              <w:ind w:left="751"/>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89" w:line="188" w:lineRule="auto"/>
              <w:ind w:left="324"/>
            </w:pPr>
            <w:r>
              <w:t>2</w:t>
            </w:r>
          </w:p>
        </w:tc>
        <w:tc>
          <w:tcPr>
            <w:tcW w:w="2141" w:type="dxa"/>
            <w:vAlign w:val="top"/>
          </w:tcPr>
          <w:p>
            <w:pPr>
              <w:pStyle w:val="6"/>
              <w:spacing w:before="52" w:line="213" w:lineRule="auto"/>
              <w:ind w:left="410"/>
              <w:rPr>
                <w:rFonts w:ascii="仿宋" w:hAnsi="仿宋" w:eastAsia="仿宋" w:cs="仿宋"/>
              </w:rPr>
            </w:pPr>
            <w:r>
              <w:rPr>
                <w:spacing w:val="-2"/>
              </w:rPr>
              <w:t>pH</w:t>
            </w:r>
            <w:r>
              <w:rPr>
                <w:rFonts w:ascii="仿宋" w:hAnsi="仿宋" w:eastAsia="仿宋" w:cs="仿宋"/>
                <w:spacing w:val="-2"/>
              </w:rPr>
              <w:t>（无量纲）</w:t>
            </w:r>
          </w:p>
        </w:tc>
        <w:tc>
          <w:tcPr>
            <w:tcW w:w="2486" w:type="dxa"/>
            <w:vAlign w:val="top"/>
          </w:tcPr>
          <w:p>
            <w:pPr>
              <w:pStyle w:val="6"/>
              <w:spacing w:before="89" w:line="188" w:lineRule="auto"/>
              <w:ind w:left="926"/>
            </w:pPr>
            <w:r>
              <w:rPr>
                <w:spacing w:val="-1"/>
              </w:rPr>
              <w:t>7.5~7.6</w:t>
            </w:r>
          </w:p>
        </w:tc>
        <w:tc>
          <w:tcPr>
            <w:tcW w:w="2488" w:type="dxa"/>
            <w:vAlign w:val="top"/>
          </w:tcPr>
          <w:p>
            <w:pPr>
              <w:pStyle w:val="6"/>
              <w:spacing w:before="89" w:line="188" w:lineRule="auto"/>
              <w:ind w:left="927"/>
            </w:pPr>
            <w:r>
              <w:rPr>
                <w:spacing w:val="-1"/>
              </w:rPr>
              <w:t>7.7~7.8</w:t>
            </w:r>
          </w:p>
        </w:tc>
        <w:tc>
          <w:tcPr>
            <w:tcW w:w="2486" w:type="dxa"/>
            <w:vAlign w:val="top"/>
          </w:tcPr>
          <w:p>
            <w:pPr>
              <w:pStyle w:val="6"/>
              <w:spacing w:before="89" w:line="188" w:lineRule="auto"/>
              <w:ind w:left="927"/>
            </w:pPr>
            <w:r>
              <w:rPr>
                <w:spacing w:val="-1"/>
              </w:rPr>
              <w:t>7.4~7.5</w:t>
            </w:r>
          </w:p>
        </w:tc>
        <w:tc>
          <w:tcPr>
            <w:tcW w:w="2071" w:type="dxa"/>
            <w:vAlign w:val="top"/>
          </w:tcPr>
          <w:p>
            <w:pPr>
              <w:pStyle w:val="6"/>
              <w:spacing w:before="89" w:line="188" w:lineRule="auto"/>
              <w:ind w:left="719"/>
            </w:pPr>
            <w:r>
              <w:rPr>
                <w:spacing w:val="-1"/>
              </w:rPr>
              <w:t>7.1~7.4</w:t>
            </w:r>
          </w:p>
        </w:tc>
        <w:tc>
          <w:tcPr>
            <w:tcW w:w="1570" w:type="dxa"/>
            <w:tcBorders>
              <w:right w:val="nil"/>
            </w:tcBorders>
            <w:vAlign w:val="top"/>
          </w:tcPr>
          <w:p>
            <w:pPr>
              <w:pStyle w:val="6"/>
              <w:spacing w:before="89" w:line="188" w:lineRule="auto"/>
              <w:ind w:left="627"/>
            </w:pPr>
            <w:r>
              <w:rPr>
                <w:spacing w:val="-3"/>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91" w:line="188" w:lineRule="auto"/>
              <w:ind w:left="329"/>
            </w:pPr>
            <w:r>
              <w:t>3</w:t>
            </w:r>
          </w:p>
        </w:tc>
        <w:tc>
          <w:tcPr>
            <w:tcW w:w="2141" w:type="dxa"/>
            <w:vAlign w:val="top"/>
          </w:tcPr>
          <w:p>
            <w:pPr>
              <w:spacing w:before="55" w:line="218" w:lineRule="auto"/>
              <w:ind w:left="763"/>
              <w:rPr>
                <w:rFonts w:ascii="仿宋" w:hAnsi="仿宋" w:eastAsia="仿宋" w:cs="仿宋"/>
                <w:sz w:val="21"/>
                <w:szCs w:val="21"/>
              </w:rPr>
            </w:pPr>
            <w:r>
              <w:rPr>
                <w:rFonts w:ascii="仿宋" w:hAnsi="仿宋" w:eastAsia="仿宋" w:cs="仿宋"/>
                <w:spacing w:val="-3"/>
                <w:sz w:val="21"/>
                <w:szCs w:val="21"/>
              </w:rPr>
              <w:t>溶解氧</w:t>
            </w:r>
          </w:p>
        </w:tc>
        <w:tc>
          <w:tcPr>
            <w:tcW w:w="2486" w:type="dxa"/>
            <w:vAlign w:val="top"/>
          </w:tcPr>
          <w:p>
            <w:pPr>
              <w:pStyle w:val="6"/>
              <w:spacing w:before="91" w:line="188" w:lineRule="auto"/>
              <w:ind w:left="928"/>
            </w:pPr>
            <w:r>
              <w:rPr>
                <w:spacing w:val="-2"/>
              </w:rPr>
              <w:t>6.9~7.2</w:t>
            </w:r>
          </w:p>
        </w:tc>
        <w:tc>
          <w:tcPr>
            <w:tcW w:w="2488" w:type="dxa"/>
            <w:vAlign w:val="top"/>
          </w:tcPr>
          <w:p>
            <w:pPr>
              <w:pStyle w:val="6"/>
              <w:spacing w:before="91" w:line="188" w:lineRule="auto"/>
              <w:ind w:left="929"/>
            </w:pPr>
            <w:r>
              <w:rPr>
                <w:spacing w:val="-2"/>
              </w:rPr>
              <w:t>5.2~6.0</w:t>
            </w:r>
          </w:p>
        </w:tc>
        <w:tc>
          <w:tcPr>
            <w:tcW w:w="2486" w:type="dxa"/>
            <w:vAlign w:val="top"/>
          </w:tcPr>
          <w:p>
            <w:pPr>
              <w:pStyle w:val="6"/>
              <w:spacing w:before="91" w:line="188" w:lineRule="auto"/>
              <w:ind w:left="929"/>
            </w:pPr>
            <w:r>
              <w:rPr>
                <w:spacing w:val="-2"/>
              </w:rPr>
              <w:t>5.3~6.0</w:t>
            </w:r>
          </w:p>
        </w:tc>
        <w:tc>
          <w:tcPr>
            <w:tcW w:w="2071" w:type="dxa"/>
            <w:vAlign w:val="top"/>
          </w:tcPr>
          <w:p>
            <w:pPr>
              <w:pStyle w:val="6"/>
              <w:spacing w:before="91" w:line="188" w:lineRule="auto"/>
              <w:ind w:left="722"/>
            </w:pPr>
            <w:r>
              <w:rPr>
                <w:spacing w:val="-2"/>
              </w:rPr>
              <w:t>5.9~6.8</w:t>
            </w:r>
          </w:p>
        </w:tc>
        <w:tc>
          <w:tcPr>
            <w:tcW w:w="1570" w:type="dxa"/>
            <w:tcBorders>
              <w:right w:val="nil"/>
            </w:tcBorders>
            <w:vAlign w:val="top"/>
          </w:tcPr>
          <w:p>
            <w:pPr>
              <w:pStyle w:val="6"/>
              <w:spacing w:before="94" w:line="185" w:lineRule="auto"/>
              <w:ind w:left="738"/>
            </w:pPr>
            <w: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92" w:line="188" w:lineRule="auto"/>
              <w:ind w:left="323"/>
            </w:pPr>
            <w:r>
              <w:t>4</w:t>
            </w:r>
          </w:p>
        </w:tc>
        <w:tc>
          <w:tcPr>
            <w:tcW w:w="2141" w:type="dxa"/>
            <w:vAlign w:val="top"/>
          </w:tcPr>
          <w:p>
            <w:pPr>
              <w:spacing w:before="55" w:line="219" w:lineRule="auto"/>
              <w:ind w:left="763"/>
              <w:rPr>
                <w:rFonts w:ascii="仿宋" w:hAnsi="仿宋" w:eastAsia="仿宋" w:cs="仿宋"/>
                <w:sz w:val="21"/>
                <w:szCs w:val="21"/>
              </w:rPr>
            </w:pPr>
            <w:r>
              <w:rPr>
                <w:rFonts w:ascii="仿宋" w:hAnsi="仿宋" w:eastAsia="仿宋" w:cs="仿宋"/>
                <w:spacing w:val="-4"/>
                <w:sz w:val="21"/>
                <w:szCs w:val="21"/>
              </w:rPr>
              <w:t>石油类</w:t>
            </w:r>
          </w:p>
        </w:tc>
        <w:tc>
          <w:tcPr>
            <w:tcW w:w="2486" w:type="dxa"/>
            <w:vAlign w:val="top"/>
          </w:tcPr>
          <w:p>
            <w:pPr>
              <w:pStyle w:val="6"/>
              <w:spacing w:before="92" w:line="188" w:lineRule="auto"/>
              <w:ind w:left="998"/>
            </w:pPr>
            <w:r>
              <w:rPr>
                <w:spacing w:val="-2"/>
              </w:rPr>
              <w:t>0.01L</w:t>
            </w:r>
          </w:p>
        </w:tc>
        <w:tc>
          <w:tcPr>
            <w:tcW w:w="2488" w:type="dxa"/>
            <w:vAlign w:val="top"/>
          </w:tcPr>
          <w:p>
            <w:pPr>
              <w:pStyle w:val="6"/>
              <w:spacing w:before="92" w:line="188" w:lineRule="auto"/>
              <w:ind w:left="998"/>
            </w:pPr>
            <w:r>
              <w:rPr>
                <w:spacing w:val="-2"/>
              </w:rPr>
              <w:t>0.01L</w:t>
            </w:r>
          </w:p>
        </w:tc>
        <w:tc>
          <w:tcPr>
            <w:tcW w:w="2486" w:type="dxa"/>
            <w:vAlign w:val="top"/>
          </w:tcPr>
          <w:p>
            <w:pPr>
              <w:pStyle w:val="6"/>
              <w:spacing w:before="92" w:line="188" w:lineRule="auto"/>
              <w:ind w:left="998"/>
            </w:pPr>
            <w:r>
              <w:rPr>
                <w:spacing w:val="-2"/>
              </w:rPr>
              <w:t>0.01L</w:t>
            </w:r>
          </w:p>
        </w:tc>
        <w:tc>
          <w:tcPr>
            <w:tcW w:w="2071" w:type="dxa"/>
            <w:vAlign w:val="top"/>
          </w:tcPr>
          <w:p>
            <w:pPr>
              <w:pStyle w:val="6"/>
              <w:spacing w:before="92" w:line="188" w:lineRule="auto"/>
              <w:ind w:left="790"/>
            </w:pPr>
            <w:r>
              <w:rPr>
                <w:spacing w:val="-2"/>
              </w:rPr>
              <w:t>0.01L</w:t>
            </w:r>
          </w:p>
        </w:tc>
        <w:tc>
          <w:tcPr>
            <w:tcW w:w="1570" w:type="dxa"/>
            <w:tcBorders>
              <w:right w:val="nil"/>
            </w:tcBorders>
            <w:vAlign w:val="top"/>
          </w:tcPr>
          <w:p>
            <w:pPr>
              <w:pStyle w:val="6"/>
              <w:spacing w:before="92" w:line="188" w:lineRule="auto"/>
              <w:ind w:left="603"/>
            </w:pPr>
            <w:r>
              <w:rPr>
                <w:spacing w:val="-2"/>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97" w:line="185" w:lineRule="auto"/>
              <w:ind w:left="330"/>
            </w:pPr>
            <w:r>
              <w:t>5</w:t>
            </w:r>
          </w:p>
        </w:tc>
        <w:tc>
          <w:tcPr>
            <w:tcW w:w="2141" w:type="dxa"/>
            <w:vAlign w:val="top"/>
          </w:tcPr>
          <w:p>
            <w:pPr>
              <w:spacing w:before="58" w:line="218" w:lineRule="auto"/>
              <w:ind w:left="554"/>
              <w:rPr>
                <w:rFonts w:ascii="仿宋" w:hAnsi="仿宋" w:eastAsia="仿宋" w:cs="仿宋"/>
                <w:sz w:val="21"/>
                <w:szCs w:val="21"/>
              </w:rPr>
            </w:pPr>
            <w:r>
              <w:rPr>
                <w:rFonts w:ascii="仿宋" w:hAnsi="仿宋" w:eastAsia="仿宋" w:cs="仿宋"/>
                <w:spacing w:val="-3"/>
                <w:sz w:val="21"/>
                <w:szCs w:val="21"/>
              </w:rPr>
              <w:t>化学需氧量</w:t>
            </w:r>
          </w:p>
        </w:tc>
        <w:tc>
          <w:tcPr>
            <w:tcW w:w="2486" w:type="dxa"/>
            <w:vAlign w:val="top"/>
          </w:tcPr>
          <w:p>
            <w:pPr>
              <w:pStyle w:val="6"/>
              <w:spacing w:before="94" w:line="188" w:lineRule="auto"/>
              <w:ind w:left="1125"/>
            </w:pPr>
            <w:r>
              <w:rPr>
                <w:spacing w:val="-1"/>
              </w:rPr>
              <w:t>4L</w:t>
            </w:r>
          </w:p>
        </w:tc>
        <w:tc>
          <w:tcPr>
            <w:tcW w:w="2488" w:type="dxa"/>
            <w:vAlign w:val="top"/>
          </w:tcPr>
          <w:p>
            <w:pPr>
              <w:pStyle w:val="6"/>
              <w:spacing w:before="94" w:line="188" w:lineRule="auto"/>
              <w:ind w:left="1086"/>
            </w:pPr>
            <w:r>
              <w:rPr>
                <w:spacing w:val="-4"/>
              </w:rPr>
              <w:t>5~6</w:t>
            </w:r>
          </w:p>
        </w:tc>
        <w:tc>
          <w:tcPr>
            <w:tcW w:w="2486" w:type="dxa"/>
            <w:vAlign w:val="top"/>
          </w:tcPr>
          <w:p>
            <w:pPr>
              <w:pStyle w:val="6"/>
              <w:spacing w:before="94" w:line="188" w:lineRule="auto"/>
              <w:ind w:left="1125"/>
            </w:pPr>
            <w:r>
              <w:rPr>
                <w:spacing w:val="-1"/>
              </w:rPr>
              <w:t>4L</w:t>
            </w:r>
          </w:p>
        </w:tc>
        <w:tc>
          <w:tcPr>
            <w:tcW w:w="2071" w:type="dxa"/>
            <w:vAlign w:val="top"/>
          </w:tcPr>
          <w:p>
            <w:pPr>
              <w:pStyle w:val="6"/>
              <w:spacing w:before="94" w:line="188" w:lineRule="auto"/>
              <w:ind w:left="872"/>
            </w:pPr>
            <w:r>
              <w:rPr>
                <w:spacing w:val="-1"/>
              </w:rPr>
              <w:t>4~5</w:t>
            </w:r>
          </w:p>
        </w:tc>
        <w:tc>
          <w:tcPr>
            <w:tcW w:w="1570" w:type="dxa"/>
            <w:tcBorders>
              <w:right w:val="nil"/>
            </w:tcBorders>
            <w:vAlign w:val="top"/>
          </w:tcPr>
          <w:p>
            <w:pPr>
              <w:pStyle w:val="6"/>
              <w:spacing w:before="94" w:line="188" w:lineRule="auto"/>
              <w:ind w:left="680"/>
            </w:pPr>
            <w:r>
              <w:rPr>
                <w:spacing w:val="-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95" w:line="188" w:lineRule="auto"/>
              <w:ind w:left="329"/>
            </w:pPr>
            <w:r>
              <w:t>6</w:t>
            </w:r>
          </w:p>
        </w:tc>
        <w:tc>
          <w:tcPr>
            <w:tcW w:w="2141" w:type="dxa"/>
            <w:vAlign w:val="top"/>
          </w:tcPr>
          <w:p>
            <w:pPr>
              <w:spacing w:before="59" w:line="217" w:lineRule="auto"/>
              <w:ind w:left="346"/>
              <w:rPr>
                <w:rFonts w:ascii="仿宋" w:hAnsi="仿宋" w:eastAsia="仿宋" w:cs="仿宋"/>
                <w:sz w:val="21"/>
                <w:szCs w:val="21"/>
              </w:rPr>
            </w:pPr>
            <w:r>
              <w:rPr>
                <w:rFonts w:ascii="仿宋" w:hAnsi="仿宋" w:eastAsia="仿宋" w:cs="仿宋"/>
                <w:spacing w:val="-3"/>
                <w:sz w:val="21"/>
                <w:szCs w:val="21"/>
              </w:rPr>
              <w:t>五日生化需氧量</w:t>
            </w:r>
          </w:p>
        </w:tc>
        <w:tc>
          <w:tcPr>
            <w:tcW w:w="2486" w:type="dxa"/>
            <w:vAlign w:val="top"/>
          </w:tcPr>
          <w:p>
            <w:pPr>
              <w:pStyle w:val="6"/>
              <w:spacing w:before="95" w:line="188" w:lineRule="auto"/>
              <w:ind w:left="1050"/>
            </w:pPr>
            <w:r>
              <w:rPr>
                <w:spacing w:val="-2"/>
              </w:rPr>
              <w:t>0.5L</w:t>
            </w:r>
          </w:p>
        </w:tc>
        <w:tc>
          <w:tcPr>
            <w:tcW w:w="2488" w:type="dxa"/>
            <w:vAlign w:val="top"/>
          </w:tcPr>
          <w:p>
            <w:pPr>
              <w:pStyle w:val="6"/>
              <w:spacing w:before="95" w:line="188" w:lineRule="auto"/>
              <w:ind w:left="926"/>
            </w:pPr>
            <w:r>
              <w:rPr>
                <w:spacing w:val="-1"/>
              </w:rPr>
              <w:t>0.5~0.6</w:t>
            </w:r>
          </w:p>
        </w:tc>
        <w:tc>
          <w:tcPr>
            <w:tcW w:w="2486" w:type="dxa"/>
            <w:vAlign w:val="top"/>
          </w:tcPr>
          <w:p>
            <w:pPr>
              <w:pStyle w:val="6"/>
              <w:spacing w:before="95" w:line="188" w:lineRule="auto"/>
              <w:ind w:left="1050"/>
            </w:pPr>
            <w:r>
              <w:rPr>
                <w:spacing w:val="-2"/>
              </w:rPr>
              <w:t>0.5L</w:t>
            </w:r>
          </w:p>
        </w:tc>
        <w:tc>
          <w:tcPr>
            <w:tcW w:w="2071" w:type="dxa"/>
            <w:vAlign w:val="top"/>
          </w:tcPr>
          <w:p>
            <w:pPr>
              <w:pStyle w:val="6"/>
              <w:spacing w:before="95" w:line="188" w:lineRule="auto"/>
              <w:ind w:left="719"/>
            </w:pPr>
            <w:r>
              <w:rPr>
                <w:spacing w:val="-1"/>
              </w:rPr>
              <w:t>0.9~1.0</w:t>
            </w:r>
          </w:p>
        </w:tc>
        <w:tc>
          <w:tcPr>
            <w:tcW w:w="1570" w:type="dxa"/>
            <w:tcBorders>
              <w:right w:val="nil"/>
            </w:tcBorders>
            <w:vAlign w:val="top"/>
          </w:tcPr>
          <w:p>
            <w:pPr>
              <w:pStyle w:val="6"/>
              <w:spacing w:before="95" w:line="188" w:lineRule="auto"/>
              <w:ind w:left="731"/>
            </w:pPr>
            <w: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00" w:line="185" w:lineRule="auto"/>
              <w:ind w:left="328"/>
            </w:pPr>
            <w:r>
              <w:t>7</w:t>
            </w:r>
          </w:p>
        </w:tc>
        <w:tc>
          <w:tcPr>
            <w:tcW w:w="2141" w:type="dxa"/>
            <w:vAlign w:val="top"/>
          </w:tcPr>
          <w:p>
            <w:pPr>
              <w:spacing w:before="60" w:line="216" w:lineRule="auto"/>
              <w:ind w:left="253"/>
              <w:rPr>
                <w:rFonts w:ascii="仿宋" w:hAnsi="仿宋" w:eastAsia="仿宋" w:cs="仿宋"/>
                <w:sz w:val="21"/>
                <w:szCs w:val="21"/>
              </w:rPr>
            </w:pPr>
            <w:r>
              <w:rPr>
                <w:rFonts w:ascii="仿宋" w:hAnsi="仿宋" w:eastAsia="仿宋" w:cs="仿宋"/>
                <w:spacing w:val="-4"/>
                <w:sz w:val="21"/>
                <w:szCs w:val="21"/>
              </w:rPr>
              <w:t>阴离子表面活性剂</w:t>
            </w:r>
          </w:p>
        </w:tc>
        <w:tc>
          <w:tcPr>
            <w:tcW w:w="2486" w:type="dxa"/>
            <w:vAlign w:val="top"/>
          </w:tcPr>
          <w:p>
            <w:pPr>
              <w:pStyle w:val="6"/>
              <w:spacing w:before="97" w:line="188" w:lineRule="auto"/>
              <w:ind w:left="998"/>
            </w:pPr>
            <w:r>
              <w:rPr>
                <w:spacing w:val="-2"/>
              </w:rPr>
              <w:t>0.05L</w:t>
            </w:r>
          </w:p>
        </w:tc>
        <w:tc>
          <w:tcPr>
            <w:tcW w:w="2488" w:type="dxa"/>
            <w:vAlign w:val="top"/>
          </w:tcPr>
          <w:p>
            <w:pPr>
              <w:pStyle w:val="6"/>
              <w:spacing w:before="97" w:line="188" w:lineRule="auto"/>
              <w:ind w:left="998"/>
            </w:pPr>
            <w:r>
              <w:rPr>
                <w:spacing w:val="-2"/>
              </w:rPr>
              <w:t>0.05L</w:t>
            </w:r>
          </w:p>
        </w:tc>
        <w:tc>
          <w:tcPr>
            <w:tcW w:w="2486" w:type="dxa"/>
            <w:vAlign w:val="top"/>
          </w:tcPr>
          <w:p>
            <w:pPr>
              <w:pStyle w:val="6"/>
              <w:spacing w:before="97" w:line="188" w:lineRule="auto"/>
              <w:ind w:left="998"/>
            </w:pPr>
            <w:r>
              <w:rPr>
                <w:spacing w:val="-2"/>
              </w:rPr>
              <w:t>0.05L</w:t>
            </w:r>
          </w:p>
        </w:tc>
        <w:tc>
          <w:tcPr>
            <w:tcW w:w="2071" w:type="dxa"/>
            <w:vAlign w:val="top"/>
          </w:tcPr>
          <w:p>
            <w:pPr>
              <w:pStyle w:val="6"/>
              <w:spacing w:before="97" w:line="188" w:lineRule="auto"/>
              <w:ind w:left="790"/>
            </w:pPr>
            <w:r>
              <w:rPr>
                <w:spacing w:val="-2"/>
              </w:rPr>
              <w:t>0.05L</w:t>
            </w:r>
          </w:p>
        </w:tc>
        <w:tc>
          <w:tcPr>
            <w:tcW w:w="1570" w:type="dxa"/>
            <w:tcBorders>
              <w:right w:val="nil"/>
            </w:tcBorders>
            <w:vAlign w:val="top"/>
          </w:tcPr>
          <w:p>
            <w:pPr>
              <w:pStyle w:val="6"/>
              <w:spacing w:before="97" w:line="188" w:lineRule="auto"/>
              <w:ind w:left="656"/>
            </w:pPr>
            <w:r>
              <w:rPr>
                <w:spacing w:val="-3"/>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97" w:line="188" w:lineRule="auto"/>
              <w:ind w:left="333"/>
            </w:pPr>
            <w:r>
              <w:t>8</w:t>
            </w:r>
          </w:p>
        </w:tc>
        <w:tc>
          <w:tcPr>
            <w:tcW w:w="2141" w:type="dxa"/>
            <w:vAlign w:val="top"/>
          </w:tcPr>
          <w:p>
            <w:pPr>
              <w:spacing w:before="61" w:line="214" w:lineRule="auto"/>
              <w:ind w:left="768"/>
              <w:rPr>
                <w:rFonts w:ascii="仿宋" w:hAnsi="仿宋" w:eastAsia="仿宋" w:cs="仿宋"/>
                <w:sz w:val="21"/>
                <w:szCs w:val="21"/>
              </w:rPr>
            </w:pPr>
            <w:r>
              <w:rPr>
                <w:rFonts w:ascii="仿宋" w:hAnsi="仿宋" w:eastAsia="仿宋" w:cs="仿宋"/>
                <w:spacing w:val="-5"/>
                <w:sz w:val="21"/>
                <w:szCs w:val="21"/>
              </w:rPr>
              <w:t>氯化物</w:t>
            </w:r>
          </w:p>
        </w:tc>
        <w:tc>
          <w:tcPr>
            <w:tcW w:w="2486" w:type="dxa"/>
            <w:vAlign w:val="top"/>
          </w:tcPr>
          <w:p>
            <w:pPr>
              <w:pStyle w:val="6"/>
              <w:spacing w:before="97" w:line="188" w:lineRule="auto"/>
              <w:ind w:left="1093"/>
            </w:pPr>
            <w:r>
              <w:rPr>
                <w:spacing w:val="-5"/>
              </w:rPr>
              <w:t>10L</w:t>
            </w:r>
          </w:p>
        </w:tc>
        <w:tc>
          <w:tcPr>
            <w:tcW w:w="2488" w:type="dxa"/>
            <w:vAlign w:val="top"/>
          </w:tcPr>
          <w:p>
            <w:pPr>
              <w:pStyle w:val="6"/>
              <w:spacing w:before="97" w:line="188" w:lineRule="auto"/>
              <w:ind w:left="1093"/>
            </w:pPr>
            <w:r>
              <w:rPr>
                <w:spacing w:val="-5"/>
              </w:rPr>
              <w:t>10L</w:t>
            </w:r>
          </w:p>
        </w:tc>
        <w:tc>
          <w:tcPr>
            <w:tcW w:w="2486" w:type="dxa"/>
            <w:vAlign w:val="top"/>
          </w:tcPr>
          <w:p>
            <w:pPr>
              <w:pStyle w:val="6"/>
              <w:spacing w:before="97" w:line="188" w:lineRule="auto"/>
              <w:ind w:left="1093"/>
            </w:pPr>
            <w:r>
              <w:rPr>
                <w:spacing w:val="-5"/>
              </w:rPr>
              <w:t>10L</w:t>
            </w:r>
          </w:p>
        </w:tc>
        <w:tc>
          <w:tcPr>
            <w:tcW w:w="2071" w:type="dxa"/>
            <w:vAlign w:val="top"/>
          </w:tcPr>
          <w:p>
            <w:pPr>
              <w:pStyle w:val="6"/>
              <w:spacing w:before="97" w:line="188" w:lineRule="auto"/>
              <w:ind w:left="886"/>
            </w:pPr>
            <w:r>
              <w:rPr>
                <w:spacing w:val="-5"/>
              </w:rPr>
              <w:t>10L</w:t>
            </w:r>
          </w:p>
        </w:tc>
        <w:tc>
          <w:tcPr>
            <w:tcW w:w="1570" w:type="dxa"/>
            <w:tcBorders>
              <w:right w:val="nil"/>
            </w:tcBorders>
            <w:vAlign w:val="top"/>
          </w:tcPr>
          <w:p>
            <w:pPr>
              <w:pStyle w:val="6"/>
              <w:spacing w:before="97" w:line="188" w:lineRule="auto"/>
              <w:ind w:left="627"/>
            </w:pPr>
            <w:r>
              <w:rPr>
                <w:spacing w:val="-2"/>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trPr>
        <w:tc>
          <w:tcPr>
            <w:tcW w:w="731" w:type="dxa"/>
            <w:tcBorders>
              <w:left w:val="nil"/>
            </w:tcBorders>
            <w:vAlign w:val="top"/>
          </w:tcPr>
          <w:p>
            <w:pPr>
              <w:pStyle w:val="6"/>
              <w:spacing w:before="161" w:line="188" w:lineRule="auto"/>
              <w:ind w:left="328"/>
            </w:pPr>
            <w:r>
              <w:t>9</w:t>
            </w:r>
          </w:p>
        </w:tc>
        <w:tc>
          <w:tcPr>
            <w:tcW w:w="2141" w:type="dxa"/>
            <w:vAlign w:val="top"/>
          </w:tcPr>
          <w:p>
            <w:pPr>
              <w:spacing w:before="124" w:line="219" w:lineRule="auto"/>
              <w:ind w:left="975"/>
              <w:rPr>
                <w:rFonts w:ascii="仿宋" w:hAnsi="仿宋" w:eastAsia="仿宋" w:cs="仿宋"/>
                <w:sz w:val="21"/>
                <w:szCs w:val="21"/>
              </w:rPr>
            </w:pPr>
            <w:r>
              <w:rPr>
                <w:rFonts w:ascii="仿宋" w:hAnsi="仿宋" w:eastAsia="仿宋" w:cs="仿宋"/>
                <w:sz w:val="21"/>
                <w:szCs w:val="21"/>
              </w:rPr>
              <w:t>铜</w:t>
            </w:r>
          </w:p>
        </w:tc>
        <w:tc>
          <w:tcPr>
            <w:tcW w:w="2486" w:type="dxa"/>
            <w:vAlign w:val="top"/>
          </w:tcPr>
          <w:p>
            <w:pPr>
              <w:pStyle w:val="6"/>
              <w:spacing w:before="161" w:line="188" w:lineRule="auto"/>
              <w:ind w:left="945"/>
            </w:pPr>
            <w:r>
              <w:rPr>
                <w:spacing w:val="-2"/>
              </w:rPr>
              <w:t>0.006L</w:t>
            </w:r>
          </w:p>
        </w:tc>
        <w:tc>
          <w:tcPr>
            <w:tcW w:w="2488" w:type="dxa"/>
            <w:vAlign w:val="top"/>
          </w:tcPr>
          <w:p>
            <w:pPr>
              <w:pStyle w:val="6"/>
              <w:spacing w:before="161" w:line="188" w:lineRule="auto"/>
              <w:ind w:left="946"/>
            </w:pPr>
            <w:r>
              <w:rPr>
                <w:spacing w:val="-2"/>
              </w:rPr>
              <w:t>0.006L</w:t>
            </w:r>
          </w:p>
        </w:tc>
        <w:tc>
          <w:tcPr>
            <w:tcW w:w="2486" w:type="dxa"/>
            <w:vAlign w:val="top"/>
          </w:tcPr>
          <w:p>
            <w:pPr>
              <w:pStyle w:val="6"/>
              <w:spacing w:before="161" w:line="188" w:lineRule="auto"/>
              <w:ind w:left="946"/>
            </w:pPr>
            <w:r>
              <w:rPr>
                <w:spacing w:val="-2"/>
              </w:rPr>
              <w:t>0.006L</w:t>
            </w:r>
          </w:p>
        </w:tc>
        <w:tc>
          <w:tcPr>
            <w:tcW w:w="2071" w:type="dxa"/>
            <w:vAlign w:val="top"/>
          </w:tcPr>
          <w:p>
            <w:pPr>
              <w:pStyle w:val="6"/>
              <w:spacing w:before="161" w:line="188" w:lineRule="auto"/>
              <w:ind w:left="737"/>
            </w:pPr>
            <w:r>
              <w:rPr>
                <w:spacing w:val="-2"/>
              </w:rPr>
              <w:t>0.006L</w:t>
            </w:r>
          </w:p>
        </w:tc>
        <w:tc>
          <w:tcPr>
            <w:tcW w:w="1570" w:type="dxa"/>
            <w:tcBorders>
              <w:right w:val="nil"/>
            </w:tcBorders>
            <w:vAlign w:val="top"/>
          </w:tcPr>
          <w:p>
            <w:pPr>
              <w:pStyle w:val="6"/>
              <w:spacing w:before="161" w:line="188" w:lineRule="auto"/>
              <w:ind w:left="673"/>
            </w:pPr>
            <w:r>
              <w:rPr>
                <w:spacing w:val="-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01" w:line="188" w:lineRule="auto"/>
              <w:ind w:left="292"/>
            </w:pPr>
            <w:r>
              <w:rPr>
                <w:spacing w:val="-12"/>
              </w:rPr>
              <w:t>10</w:t>
            </w:r>
          </w:p>
        </w:tc>
        <w:tc>
          <w:tcPr>
            <w:tcW w:w="2141" w:type="dxa"/>
            <w:vAlign w:val="top"/>
          </w:tcPr>
          <w:p>
            <w:pPr>
              <w:spacing w:before="64" w:line="212" w:lineRule="auto"/>
              <w:ind w:left="973"/>
              <w:rPr>
                <w:rFonts w:ascii="仿宋" w:hAnsi="仿宋" w:eastAsia="仿宋" w:cs="仿宋"/>
                <w:sz w:val="21"/>
                <w:szCs w:val="21"/>
              </w:rPr>
            </w:pPr>
            <w:r>
              <w:rPr>
                <w:rFonts w:ascii="仿宋" w:hAnsi="仿宋" w:eastAsia="仿宋" w:cs="仿宋"/>
                <w:sz w:val="21"/>
                <w:szCs w:val="21"/>
              </w:rPr>
              <w:t>铅</w:t>
            </w:r>
          </w:p>
        </w:tc>
        <w:tc>
          <w:tcPr>
            <w:tcW w:w="2486" w:type="dxa"/>
            <w:vAlign w:val="top"/>
          </w:tcPr>
          <w:p>
            <w:pPr>
              <w:pStyle w:val="6"/>
              <w:spacing w:before="101" w:line="188" w:lineRule="auto"/>
              <w:ind w:left="945"/>
            </w:pPr>
            <w:r>
              <w:rPr>
                <w:spacing w:val="-2"/>
              </w:rPr>
              <w:t>0.010L</w:t>
            </w:r>
          </w:p>
        </w:tc>
        <w:tc>
          <w:tcPr>
            <w:tcW w:w="2488" w:type="dxa"/>
            <w:vAlign w:val="top"/>
          </w:tcPr>
          <w:p>
            <w:pPr>
              <w:pStyle w:val="6"/>
              <w:spacing w:before="101" w:line="188" w:lineRule="auto"/>
              <w:ind w:left="946"/>
            </w:pPr>
            <w:r>
              <w:rPr>
                <w:spacing w:val="-2"/>
              </w:rPr>
              <w:t>0.010L</w:t>
            </w:r>
          </w:p>
        </w:tc>
        <w:tc>
          <w:tcPr>
            <w:tcW w:w="2486" w:type="dxa"/>
            <w:vAlign w:val="top"/>
          </w:tcPr>
          <w:p>
            <w:pPr>
              <w:pStyle w:val="6"/>
              <w:spacing w:before="101" w:line="188" w:lineRule="auto"/>
              <w:ind w:left="946"/>
            </w:pPr>
            <w:r>
              <w:rPr>
                <w:spacing w:val="-2"/>
              </w:rPr>
              <w:t>0.010L</w:t>
            </w:r>
          </w:p>
        </w:tc>
        <w:tc>
          <w:tcPr>
            <w:tcW w:w="2071" w:type="dxa"/>
            <w:vAlign w:val="top"/>
          </w:tcPr>
          <w:p>
            <w:pPr>
              <w:pStyle w:val="6"/>
              <w:spacing w:before="101" w:line="188" w:lineRule="auto"/>
              <w:ind w:left="737"/>
            </w:pPr>
            <w:r>
              <w:rPr>
                <w:spacing w:val="-2"/>
              </w:rPr>
              <w:t>0.010L</w:t>
            </w:r>
          </w:p>
        </w:tc>
        <w:tc>
          <w:tcPr>
            <w:tcW w:w="1570" w:type="dxa"/>
            <w:tcBorders>
              <w:right w:val="nil"/>
            </w:tcBorders>
            <w:vAlign w:val="top"/>
          </w:tcPr>
          <w:p>
            <w:pPr>
              <w:pStyle w:val="6"/>
              <w:spacing w:before="101" w:line="188" w:lineRule="auto"/>
              <w:ind w:left="603"/>
            </w:pPr>
            <w:r>
              <w:rPr>
                <w:spacing w:val="-2"/>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01" w:line="188" w:lineRule="auto"/>
              <w:ind w:left="295"/>
            </w:pPr>
            <w:r>
              <w:rPr>
                <w:spacing w:val="-13"/>
              </w:rPr>
              <w:t>11</w:t>
            </w:r>
          </w:p>
        </w:tc>
        <w:tc>
          <w:tcPr>
            <w:tcW w:w="2141" w:type="dxa"/>
            <w:vAlign w:val="top"/>
          </w:tcPr>
          <w:p>
            <w:pPr>
              <w:spacing w:before="64" w:line="211" w:lineRule="auto"/>
              <w:ind w:left="973"/>
              <w:rPr>
                <w:rFonts w:ascii="仿宋" w:hAnsi="仿宋" w:eastAsia="仿宋" w:cs="仿宋"/>
                <w:sz w:val="21"/>
                <w:szCs w:val="21"/>
              </w:rPr>
            </w:pPr>
            <w:r>
              <w:rPr>
                <w:rFonts w:ascii="仿宋" w:hAnsi="仿宋" w:eastAsia="仿宋" w:cs="仿宋"/>
                <w:sz w:val="21"/>
                <w:szCs w:val="21"/>
              </w:rPr>
              <w:t>锌</w:t>
            </w:r>
          </w:p>
        </w:tc>
        <w:tc>
          <w:tcPr>
            <w:tcW w:w="2486" w:type="dxa"/>
            <w:vAlign w:val="top"/>
          </w:tcPr>
          <w:p>
            <w:pPr>
              <w:pStyle w:val="6"/>
              <w:spacing w:before="101" w:line="188" w:lineRule="auto"/>
              <w:ind w:left="945"/>
            </w:pPr>
            <w:r>
              <w:rPr>
                <w:spacing w:val="-2"/>
              </w:rPr>
              <w:t>0.004L</w:t>
            </w:r>
          </w:p>
        </w:tc>
        <w:tc>
          <w:tcPr>
            <w:tcW w:w="2488" w:type="dxa"/>
            <w:vAlign w:val="top"/>
          </w:tcPr>
          <w:p>
            <w:pPr>
              <w:pStyle w:val="6"/>
              <w:spacing w:before="101" w:line="188" w:lineRule="auto"/>
              <w:ind w:left="946"/>
            </w:pPr>
            <w:r>
              <w:rPr>
                <w:spacing w:val="-2"/>
              </w:rPr>
              <w:t>0.004L</w:t>
            </w:r>
          </w:p>
        </w:tc>
        <w:tc>
          <w:tcPr>
            <w:tcW w:w="2486" w:type="dxa"/>
            <w:vAlign w:val="top"/>
          </w:tcPr>
          <w:p>
            <w:pPr>
              <w:pStyle w:val="6"/>
              <w:spacing w:before="101" w:line="188" w:lineRule="auto"/>
              <w:ind w:left="946"/>
            </w:pPr>
            <w:r>
              <w:rPr>
                <w:spacing w:val="-2"/>
              </w:rPr>
              <w:t>0.004L</w:t>
            </w:r>
          </w:p>
        </w:tc>
        <w:tc>
          <w:tcPr>
            <w:tcW w:w="2071" w:type="dxa"/>
            <w:vAlign w:val="top"/>
          </w:tcPr>
          <w:p>
            <w:pPr>
              <w:pStyle w:val="6"/>
              <w:spacing w:before="101" w:line="188" w:lineRule="auto"/>
              <w:ind w:left="737"/>
            </w:pPr>
            <w:r>
              <w:rPr>
                <w:spacing w:val="-2"/>
              </w:rPr>
              <w:t>0.004L</w:t>
            </w:r>
          </w:p>
        </w:tc>
        <w:tc>
          <w:tcPr>
            <w:tcW w:w="1570" w:type="dxa"/>
            <w:tcBorders>
              <w:right w:val="nil"/>
            </w:tcBorders>
            <w:vAlign w:val="top"/>
          </w:tcPr>
          <w:p>
            <w:pPr>
              <w:pStyle w:val="6"/>
              <w:spacing w:before="101" w:line="188" w:lineRule="auto"/>
              <w:ind w:left="673"/>
            </w:pPr>
            <w:r>
              <w:rPr>
                <w:spacing w:val="-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04" w:line="188" w:lineRule="auto"/>
              <w:ind w:left="292"/>
            </w:pPr>
            <w:r>
              <w:rPr>
                <w:spacing w:val="-12"/>
              </w:rPr>
              <w:t>12</w:t>
            </w:r>
          </w:p>
        </w:tc>
        <w:tc>
          <w:tcPr>
            <w:tcW w:w="2141" w:type="dxa"/>
            <w:vAlign w:val="top"/>
          </w:tcPr>
          <w:p>
            <w:pPr>
              <w:spacing w:before="67" w:line="210" w:lineRule="auto"/>
              <w:ind w:left="974"/>
              <w:rPr>
                <w:rFonts w:ascii="仿宋" w:hAnsi="仿宋" w:eastAsia="仿宋" w:cs="仿宋"/>
                <w:sz w:val="21"/>
                <w:szCs w:val="21"/>
              </w:rPr>
            </w:pPr>
            <w:r>
              <w:rPr>
                <w:rFonts w:ascii="仿宋" w:hAnsi="仿宋" w:eastAsia="仿宋" w:cs="仿宋"/>
                <w:sz w:val="21"/>
                <w:szCs w:val="21"/>
              </w:rPr>
              <w:t>镉</w:t>
            </w:r>
          </w:p>
        </w:tc>
        <w:tc>
          <w:tcPr>
            <w:tcW w:w="2486" w:type="dxa"/>
            <w:vAlign w:val="top"/>
          </w:tcPr>
          <w:p>
            <w:pPr>
              <w:pStyle w:val="6"/>
              <w:spacing w:before="104" w:line="188" w:lineRule="auto"/>
              <w:ind w:left="945"/>
            </w:pPr>
            <w:r>
              <w:rPr>
                <w:spacing w:val="-2"/>
              </w:rPr>
              <w:t>0.001L</w:t>
            </w:r>
          </w:p>
        </w:tc>
        <w:tc>
          <w:tcPr>
            <w:tcW w:w="2488" w:type="dxa"/>
            <w:vAlign w:val="top"/>
          </w:tcPr>
          <w:p>
            <w:pPr>
              <w:pStyle w:val="6"/>
              <w:spacing w:before="104" w:line="188" w:lineRule="auto"/>
              <w:ind w:left="946"/>
            </w:pPr>
            <w:r>
              <w:rPr>
                <w:spacing w:val="-2"/>
              </w:rPr>
              <w:t>0.001L</w:t>
            </w:r>
          </w:p>
        </w:tc>
        <w:tc>
          <w:tcPr>
            <w:tcW w:w="2486" w:type="dxa"/>
            <w:vAlign w:val="top"/>
          </w:tcPr>
          <w:p>
            <w:pPr>
              <w:pStyle w:val="6"/>
              <w:spacing w:before="104" w:line="188" w:lineRule="auto"/>
              <w:ind w:left="946"/>
            </w:pPr>
            <w:r>
              <w:rPr>
                <w:spacing w:val="-2"/>
              </w:rPr>
              <w:t>0.001L</w:t>
            </w:r>
          </w:p>
        </w:tc>
        <w:tc>
          <w:tcPr>
            <w:tcW w:w="2071" w:type="dxa"/>
            <w:vAlign w:val="top"/>
          </w:tcPr>
          <w:p>
            <w:pPr>
              <w:pStyle w:val="6"/>
              <w:spacing w:before="104" w:line="188" w:lineRule="auto"/>
              <w:ind w:left="737"/>
            </w:pPr>
            <w:r>
              <w:rPr>
                <w:spacing w:val="-2"/>
              </w:rPr>
              <w:t>0.001L</w:t>
            </w:r>
          </w:p>
        </w:tc>
        <w:tc>
          <w:tcPr>
            <w:tcW w:w="1570" w:type="dxa"/>
            <w:tcBorders>
              <w:right w:val="nil"/>
            </w:tcBorders>
            <w:vAlign w:val="top"/>
          </w:tcPr>
          <w:p>
            <w:pPr>
              <w:pStyle w:val="6"/>
              <w:spacing w:before="104" w:line="188" w:lineRule="auto"/>
              <w:ind w:left="551"/>
            </w:pPr>
            <w:r>
              <w:rPr>
                <w:spacing w:val="-2"/>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04" w:line="188" w:lineRule="auto"/>
              <w:ind w:left="292"/>
            </w:pPr>
            <w:r>
              <w:rPr>
                <w:spacing w:val="-12"/>
              </w:rPr>
              <w:t>13</w:t>
            </w:r>
          </w:p>
        </w:tc>
        <w:tc>
          <w:tcPr>
            <w:tcW w:w="2141" w:type="dxa"/>
            <w:vAlign w:val="top"/>
          </w:tcPr>
          <w:p>
            <w:pPr>
              <w:spacing w:before="68" w:line="208" w:lineRule="auto"/>
              <w:ind w:left="973"/>
              <w:rPr>
                <w:rFonts w:ascii="仿宋" w:hAnsi="仿宋" w:eastAsia="仿宋" w:cs="仿宋"/>
                <w:sz w:val="21"/>
                <w:szCs w:val="21"/>
              </w:rPr>
            </w:pPr>
            <w:r>
              <w:rPr>
                <w:rFonts w:ascii="仿宋" w:hAnsi="仿宋" w:eastAsia="仿宋" w:cs="仿宋"/>
                <w:sz w:val="21"/>
                <w:szCs w:val="21"/>
              </w:rPr>
              <w:t>硒</w:t>
            </w:r>
          </w:p>
        </w:tc>
        <w:tc>
          <w:tcPr>
            <w:tcW w:w="2486" w:type="dxa"/>
            <w:vAlign w:val="top"/>
          </w:tcPr>
          <w:p>
            <w:pPr>
              <w:pStyle w:val="6"/>
              <w:spacing w:before="104" w:line="188" w:lineRule="auto"/>
              <w:ind w:left="1050"/>
            </w:pPr>
            <w:r>
              <w:rPr>
                <w:spacing w:val="-2"/>
              </w:rPr>
              <w:t>0.4L</w:t>
            </w:r>
          </w:p>
        </w:tc>
        <w:tc>
          <w:tcPr>
            <w:tcW w:w="2488" w:type="dxa"/>
            <w:vAlign w:val="top"/>
          </w:tcPr>
          <w:p>
            <w:pPr>
              <w:pStyle w:val="6"/>
              <w:spacing w:before="104" w:line="188" w:lineRule="auto"/>
              <w:ind w:left="1050"/>
            </w:pPr>
            <w:r>
              <w:rPr>
                <w:spacing w:val="-2"/>
              </w:rPr>
              <w:t>0.4L</w:t>
            </w:r>
          </w:p>
        </w:tc>
        <w:tc>
          <w:tcPr>
            <w:tcW w:w="2486" w:type="dxa"/>
            <w:vAlign w:val="top"/>
          </w:tcPr>
          <w:p>
            <w:pPr>
              <w:pStyle w:val="6"/>
              <w:spacing w:before="104" w:line="188" w:lineRule="auto"/>
              <w:ind w:left="1050"/>
            </w:pPr>
            <w:r>
              <w:rPr>
                <w:spacing w:val="-2"/>
              </w:rPr>
              <w:t>0.4L</w:t>
            </w:r>
          </w:p>
        </w:tc>
        <w:tc>
          <w:tcPr>
            <w:tcW w:w="2071" w:type="dxa"/>
            <w:vAlign w:val="top"/>
          </w:tcPr>
          <w:p>
            <w:pPr>
              <w:pStyle w:val="6"/>
              <w:spacing w:before="104" w:line="188" w:lineRule="auto"/>
              <w:ind w:left="843"/>
            </w:pPr>
            <w:r>
              <w:rPr>
                <w:spacing w:val="-2"/>
              </w:rPr>
              <w:t>0.4L</w:t>
            </w:r>
          </w:p>
        </w:tc>
        <w:tc>
          <w:tcPr>
            <w:tcW w:w="1570" w:type="dxa"/>
            <w:tcBorders>
              <w:right w:val="nil"/>
            </w:tcBorders>
            <w:vAlign w:val="top"/>
          </w:tcPr>
          <w:p>
            <w:pPr>
              <w:pStyle w:val="6"/>
              <w:spacing w:before="104" w:line="188" w:lineRule="auto"/>
              <w:ind w:left="603"/>
            </w:pPr>
            <w:r>
              <w:rPr>
                <w:spacing w:val="-2"/>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07" w:line="188" w:lineRule="auto"/>
              <w:ind w:left="292"/>
            </w:pPr>
            <w:r>
              <w:rPr>
                <w:spacing w:val="-12"/>
              </w:rPr>
              <w:t>14</w:t>
            </w:r>
          </w:p>
        </w:tc>
        <w:tc>
          <w:tcPr>
            <w:tcW w:w="2141" w:type="dxa"/>
            <w:vAlign w:val="top"/>
          </w:tcPr>
          <w:p>
            <w:pPr>
              <w:spacing w:before="70" w:line="207" w:lineRule="auto"/>
              <w:ind w:left="973"/>
              <w:rPr>
                <w:rFonts w:ascii="仿宋" w:hAnsi="仿宋" w:eastAsia="仿宋" w:cs="仿宋"/>
                <w:sz w:val="21"/>
                <w:szCs w:val="21"/>
              </w:rPr>
            </w:pPr>
            <w:r>
              <w:rPr>
                <w:rFonts w:ascii="仿宋" w:hAnsi="仿宋" w:eastAsia="仿宋" w:cs="仿宋"/>
                <w:sz w:val="21"/>
                <w:szCs w:val="21"/>
              </w:rPr>
              <w:t>砷</w:t>
            </w:r>
          </w:p>
        </w:tc>
        <w:tc>
          <w:tcPr>
            <w:tcW w:w="2486" w:type="dxa"/>
            <w:vAlign w:val="top"/>
          </w:tcPr>
          <w:p>
            <w:pPr>
              <w:pStyle w:val="6"/>
              <w:spacing w:before="107" w:line="188" w:lineRule="auto"/>
              <w:ind w:left="612"/>
            </w:pPr>
            <w:r>
              <w:rPr>
                <w:spacing w:val="-1"/>
              </w:rPr>
              <w:t>0.0027~0.0028</w:t>
            </w:r>
          </w:p>
        </w:tc>
        <w:tc>
          <w:tcPr>
            <w:tcW w:w="2488" w:type="dxa"/>
            <w:vAlign w:val="top"/>
          </w:tcPr>
          <w:p>
            <w:pPr>
              <w:pStyle w:val="6"/>
              <w:spacing w:before="107" w:line="188" w:lineRule="auto"/>
              <w:ind w:left="612"/>
            </w:pPr>
            <w:r>
              <w:rPr>
                <w:spacing w:val="-1"/>
              </w:rPr>
              <w:t>0.0031~0.0035</w:t>
            </w:r>
          </w:p>
        </w:tc>
        <w:tc>
          <w:tcPr>
            <w:tcW w:w="2486" w:type="dxa"/>
            <w:vAlign w:val="top"/>
          </w:tcPr>
          <w:p>
            <w:pPr>
              <w:pStyle w:val="6"/>
              <w:spacing w:before="107" w:line="188" w:lineRule="auto"/>
              <w:ind w:left="612"/>
            </w:pPr>
            <w:r>
              <w:rPr>
                <w:spacing w:val="-1"/>
              </w:rPr>
              <w:t>0.0025~0.0027</w:t>
            </w:r>
          </w:p>
        </w:tc>
        <w:tc>
          <w:tcPr>
            <w:tcW w:w="2071" w:type="dxa"/>
            <w:vAlign w:val="top"/>
          </w:tcPr>
          <w:p>
            <w:pPr>
              <w:pStyle w:val="6"/>
              <w:spacing w:before="107" w:line="188" w:lineRule="auto"/>
              <w:ind w:left="404"/>
            </w:pPr>
            <w:r>
              <w:rPr>
                <w:spacing w:val="-1"/>
              </w:rPr>
              <w:t>0.0026~0.0033</w:t>
            </w:r>
          </w:p>
        </w:tc>
        <w:tc>
          <w:tcPr>
            <w:tcW w:w="1570" w:type="dxa"/>
            <w:tcBorders>
              <w:right w:val="nil"/>
            </w:tcBorders>
            <w:vAlign w:val="top"/>
          </w:tcPr>
          <w:p>
            <w:pPr>
              <w:pStyle w:val="6"/>
              <w:spacing w:before="107" w:line="188" w:lineRule="auto"/>
              <w:ind w:left="603"/>
            </w:pPr>
            <w:r>
              <w:rPr>
                <w:spacing w:val="-2"/>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07" w:line="188" w:lineRule="auto"/>
              <w:ind w:left="292"/>
            </w:pPr>
            <w:r>
              <w:rPr>
                <w:spacing w:val="-12"/>
              </w:rPr>
              <w:t>15</w:t>
            </w:r>
          </w:p>
        </w:tc>
        <w:tc>
          <w:tcPr>
            <w:tcW w:w="2141" w:type="dxa"/>
            <w:vAlign w:val="top"/>
          </w:tcPr>
          <w:p>
            <w:pPr>
              <w:spacing w:before="70" w:line="207" w:lineRule="auto"/>
              <w:ind w:left="974"/>
              <w:rPr>
                <w:rFonts w:ascii="仿宋" w:hAnsi="仿宋" w:eastAsia="仿宋" w:cs="仿宋"/>
                <w:sz w:val="21"/>
                <w:szCs w:val="21"/>
              </w:rPr>
            </w:pPr>
            <w:r>
              <w:rPr>
                <w:rFonts w:ascii="仿宋" w:hAnsi="仿宋" w:eastAsia="仿宋" w:cs="仿宋"/>
                <w:sz w:val="21"/>
                <w:szCs w:val="21"/>
              </w:rPr>
              <w:t>汞</w:t>
            </w:r>
          </w:p>
        </w:tc>
        <w:tc>
          <w:tcPr>
            <w:tcW w:w="2486" w:type="dxa"/>
            <w:vAlign w:val="top"/>
          </w:tcPr>
          <w:p>
            <w:pPr>
              <w:pStyle w:val="6"/>
              <w:spacing w:before="107" w:line="188" w:lineRule="auto"/>
              <w:ind w:left="998"/>
            </w:pPr>
            <w:r>
              <w:rPr>
                <w:spacing w:val="-2"/>
              </w:rPr>
              <w:t>0.04L</w:t>
            </w:r>
          </w:p>
        </w:tc>
        <w:tc>
          <w:tcPr>
            <w:tcW w:w="2488" w:type="dxa"/>
            <w:vAlign w:val="top"/>
          </w:tcPr>
          <w:p>
            <w:pPr>
              <w:pStyle w:val="6"/>
              <w:spacing w:before="107" w:line="188" w:lineRule="auto"/>
              <w:ind w:left="998"/>
            </w:pPr>
            <w:r>
              <w:rPr>
                <w:spacing w:val="-2"/>
              </w:rPr>
              <w:t>0.04L</w:t>
            </w:r>
          </w:p>
        </w:tc>
        <w:tc>
          <w:tcPr>
            <w:tcW w:w="2486" w:type="dxa"/>
            <w:vAlign w:val="top"/>
          </w:tcPr>
          <w:p>
            <w:pPr>
              <w:pStyle w:val="6"/>
              <w:spacing w:before="107" w:line="188" w:lineRule="auto"/>
              <w:ind w:left="998"/>
            </w:pPr>
            <w:r>
              <w:rPr>
                <w:spacing w:val="-2"/>
              </w:rPr>
              <w:t>0.04L</w:t>
            </w:r>
          </w:p>
        </w:tc>
        <w:tc>
          <w:tcPr>
            <w:tcW w:w="2071" w:type="dxa"/>
            <w:vAlign w:val="top"/>
          </w:tcPr>
          <w:p>
            <w:pPr>
              <w:pStyle w:val="6"/>
              <w:spacing w:before="107" w:line="188" w:lineRule="auto"/>
              <w:ind w:left="790"/>
            </w:pPr>
            <w:r>
              <w:rPr>
                <w:spacing w:val="-2"/>
              </w:rPr>
              <w:t>0.04L</w:t>
            </w:r>
          </w:p>
        </w:tc>
        <w:tc>
          <w:tcPr>
            <w:tcW w:w="1570" w:type="dxa"/>
            <w:tcBorders>
              <w:right w:val="nil"/>
            </w:tcBorders>
            <w:vAlign w:val="top"/>
          </w:tcPr>
          <w:p>
            <w:pPr>
              <w:pStyle w:val="6"/>
              <w:spacing w:before="107" w:line="188" w:lineRule="auto"/>
              <w:ind w:left="499"/>
            </w:pPr>
            <w:r>
              <w:rPr>
                <w:spacing w:val="-2"/>
              </w:rPr>
              <w:t>0.0001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8" w:hRule="atLeast"/>
        </w:trPr>
        <w:tc>
          <w:tcPr>
            <w:tcW w:w="731" w:type="dxa"/>
            <w:tcBorders>
              <w:left w:val="nil"/>
            </w:tcBorders>
            <w:vAlign w:val="top"/>
          </w:tcPr>
          <w:p>
            <w:pPr>
              <w:pStyle w:val="6"/>
              <w:spacing w:before="265" w:line="188" w:lineRule="auto"/>
              <w:ind w:left="292"/>
            </w:pPr>
            <w:r>
              <w:rPr>
                <w:spacing w:val="-12"/>
              </w:rPr>
              <w:t>16</w:t>
            </w:r>
          </w:p>
        </w:tc>
        <w:tc>
          <w:tcPr>
            <w:tcW w:w="2141" w:type="dxa"/>
            <w:vAlign w:val="top"/>
          </w:tcPr>
          <w:p>
            <w:pPr>
              <w:spacing w:before="73" w:line="312" w:lineRule="exact"/>
              <w:ind w:left="559"/>
              <w:rPr>
                <w:rFonts w:ascii="仿宋" w:hAnsi="仿宋" w:eastAsia="仿宋" w:cs="仿宋"/>
                <w:sz w:val="21"/>
                <w:szCs w:val="21"/>
              </w:rPr>
            </w:pPr>
            <w:r>
              <w:rPr>
                <w:rFonts w:ascii="仿宋" w:hAnsi="仿宋" w:eastAsia="仿宋" w:cs="仿宋"/>
                <w:spacing w:val="-4"/>
                <w:position w:val="7"/>
                <w:sz w:val="21"/>
                <w:szCs w:val="21"/>
              </w:rPr>
              <w:t>粪大肠菌群</w:t>
            </w:r>
          </w:p>
          <w:p>
            <w:pPr>
              <w:pStyle w:val="6"/>
              <w:spacing w:line="204" w:lineRule="auto"/>
              <w:ind w:left="547"/>
              <w:rPr>
                <w:rFonts w:ascii="仿宋" w:hAnsi="仿宋" w:eastAsia="仿宋" w:cs="仿宋"/>
              </w:rPr>
            </w:pPr>
            <w:r>
              <w:rPr>
                <w:rFonts w:ascii="仿宋" w:hAnsi="仿宋" w:eastAsia="仿宋" w:cs="仿宋"/>
                <w:spacing w:val="-2"/>
              </w:rPr>
              <w:t>（</w:t>
            </w:r>
            <w:r>
              <w:rPr>
                <w:spacing w:val="-2"/>
              </w:rPr>
              <w:t>MPN/L</w:t>
            </w:r>
            <w:r>
              <w:rPr>
                <w:rFonts w:ascii="仿宋" w:hAnsi="仿宋" w:eastAsia="仿宋" w:cs="仿宋"/>
                <w:spacing w:val="-2"/>
              </w:rPr>
              <w:t>）</w:t>
            </w:r>
          </w:p>
        </w:tc>
        <w:tc>
          <w:tcPr>
            <w:tcW w:w="2486" w:type="dxa"/>
            <w:vAlign w:val="top"/>
          </w:tcPr>
          <w:p>
            <w:pPr>
              <w:pStyle w:val="6"/>
              <w:spacing w:before="265" w:line="188" w:lineRule="auto"/>
              <w:ind w:left="869"/>
            </w:pPr>
            <w:r>
              <w:rPr>
                <w:spacing w:val="-1"/>
              </w:rPr>
              <w:t>440~600</w:t>
            </w:r>
          </w:p>
        </w:tc>
        <w:tc>
          <w:tcPr>
            <w:tcW w:w="2488" w:type="dxa"/>
            <w:vAlign w:val="top"/>
          </w:tcPr>
          <w:p>
            <w:pPr>
              <w:pStyle w:val="6"/>
              <w:spacing w:before="265" w:line="188" w:lineRule="auto"/>
              <w:ind w:left="869"/>
            </w:pPr>
            <w:r>
              <w:rPr>
                <w:spacing w:val="-1"/>
              </w:rPr>
              <w:t>490~690</w:t>
            </w:r>
          </w:p>
        </w:tc>
        <w:tc>
          <w:tcPr>
            <w:tcW w:w="2486" w:type="dxa"/>
            <w:vAlign w:val="top"/>
          </w:tcPr>
          <w:p>
            <w:pPr>
              <w:pStyle w:val="6"/>
              <w:spacing w:before="265" w:line="188" w:lineRule="auto"/>
              <w:ind w:left="875"/>
            </w:pPr>
            <w:r>
              <w:rPr>
                <w:spacing w:val="-2"/>
              </w:rPr>
              <w:t>340~460</w:t>
            </w:r>
          </w:p>
        </w:tc>
        <w:tc>
          <w:tcPr>
            <w:tcW w:w="2071" w:type="dxa"/>
            <w:vAlign w:val="top"/>
          </w:tcPr>
          <w:p>
            <w:pPr>
              <w:pStyle w:val="6"/>
              <w:spacing w:before="265" w:line="188" w:lineRule="auto"/>
              <w:ind w:left="663"/>
            </w:pPr>
            <w:r>
              <w:rPr>
                <w:spacing w:val="-1"/>
              </w:rPr>
              <w:t>280~450</w:t>
            </w:r>
          </w:p>
        </w:tc>
        <w:tc>
          <w:tcPr>
            <w:tcW w:w="1570" w:type="dxa"/>
            <w:tcBorders>
              <w:right w:val="nil"/>
            </w:tcBorders>
            <w:vAlign w:val="top"/>
          </w:tcPr>
          <w:p>
            <w:pPr>
              <w:pStyle w:val="6"/>
              <w:spacing w:before="265" w:line="188" w:lineRule="auto"/>
              <w:ind w:left="542"/>
            </w:pPr>
            <w:r>
              <w:rPr>
                <w:spacing w:val="-5"/>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09" w:line="188" w:lineRule="auto"/>
              <w:ind w:left="292"/>
            </w:pPr>
            <w:r>
              <w:rPr>
                <w:spacing w:val="-12"/>
              </w:rPr>
              <w:t>17</w:t>
            </w:r>
          </w:p>
        </w:tc>
        <w:tc>
          <w:tcPr>
            <w:tcW w:w="2141" w:type="dxa"/>
            <w:vAlign w:val="top"/>
          </w:tcPr>
          <w:p>
            <w:pPr>
              <w:spacing w:before="72" w:line="204" w:lineRule="auto"/>
              <w:ind w:left="765"/>
              <w:rPr>
                <w:rFonts w:ascii="仿宋" w:hAnsi="仿宋" w:eastAsia="仿宋" w:cs="仿宋"/>
                <w:sz w:val="21"/>
                <w:szCs w:val="21"/>
              </w:rPr>
            </w:pPr>
            <w:r>
              <w:rPr>
                <w:rFonts w:ascii="仿宋" w:hAnsi="仿宋" w:eastAsia="仿宋" w:cs="仿宋"/>
                <w:spacing w:val="-4"/>
                <w:sz w:val="21"/>
                <w:szCs w:val="21"/>
              </w:rPr>
              <w:t>六价铬</w:t>
            </w:r>
          </w:p>
        </w:tc>
        <w:tc>
          <w:tcPr>
            <w:tcW w:w="2486" w:type="dxa"/>
            <w:vAlign w:val="top"/>
          </w:tcPr>
          <w:p>
            <w:pPr>
              <w:pStyle w:val="6"/>
              <w:spacing w:before="109" w:line="188" w:lineRule="auto"/>
              <w:ind w:left="945"/>
            </w:pPr>
            <w:r>
              <w:rPr>
                <w:spacing w:val="-2"/>
              </w:rPr>
              <w:t>0.004L</w:t>
            </w:r>
          </w:p>
        </w:tc>
        <w:tc>
          <w:tcPr>
            <w:tcW w:w="2488" w:type="dxa"/>
            <w:vAlign w:val="top"/>
          </w:tcPr>
          <w:p>
            <w:pPr>
              <w:pStyle w:val="6"/>
              <w:spacing w:before="109" w:line="188" w:lineRule="auto"/>
              <w:ind w:left="946"/>
            </w:pPr>
            <w:r>
              <w:rPr>
                <w:spacing w:val="-2"/>
              </w:rPr>
              <w:t>0.004L</w:t>
            </w:r>
          </w:p>
        </w:tc>
        <w:tc>
          <w:tcPr>
            <w:tcW w:w="2486" w:type="dxa"/>
            <w:vAlign w:val="top"/>
          </w:tcPr>
          <w:p>
            <w:pPr>
              <w:pStyle w:val="6"/>
              <w:spacing w:before="109" w:line="188" w:lineRule="auto"/>
              <w:ind w:left="946"/>
            </w:pPr>
            <w:r>
              <w:rPr>
                <w:spacing w:val="-2"/>
              </w:rPr>
              <w:t>0.004L</w:t>
            </w:r>
          </w:p>
        </w:tc>
        <w:tc>
          <w:tcPr>
            <w:tcW w:w="2071" w:type="dxa"/>
            <w:vAlign w:val="top"/>
          </w:tcPr>
          <w:p>
            <w:pPr>
              <w:pStyle w:val="6"/>
              <w:spacing w:before="109" w:line="188" w:lineRule="auto"/>
              <w:ind w:left="737"/>
            </w:pPr>
            <w:r>
              <w:rPr>
                <w:spacing w:val="-2"/>
              </w:rPr>
              <w:t>0.004L</w:t>
            </w:r>
          </w:p>
        </w:tc>
        <w:tc>
          <w:tcPr>
            <w:tcW w:w="1570" w:type="dxa"/>
            <w:tcBorders>
              <w:right w:val="nil"/>
            </w:tcBorders>
            <w:vAlign w:val="top"/>
          </w:tcPr>
          <w:p>
            <w:pPr>
              <w:pStyle w:val="6"/>
              <w:spacing w:before="109" w:line="188" w:lineRule="auto"/>
              <w:ind w:left="603"/>
            </w:pPr>
            <w:r>
              <w:rPr>
                <w:spacing w:val="-2"/>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12" w:line="188" w:lineRule="auto"/>
              <w:ind w:left="292"/>
            </w:pPr>
            <w:r>
              <w:rPr>
                <w:spacing w:val="-12"/>
              </w:rPr>
              <w:t>18</w:t>
            </w:r>
          </w:p>
        </w:tc>
        <w:tc>
          <w:tcPr>
            <w:tcW w:w="2141" w:type="dxa"/>
            <w:vAlign w:val="top"/>
          </w:tcPr>
          <w:p>
            <w:pPr>
              <w:spacing w:before="76" w:line="202" w:lineRule="auto"/>
              <w:ind w:left="769"/>
              <w:rPr>
                <w:rFonts w:ascii="仿宋" w:hAnsi="仿宋" w:eastAsia="仿宋" w:cs="仿宋"/>
                <w:sz w:val="21"/>
                <w:szCs w:val="21"/>
              </w:rPr>
            </w:pPr>
            <w:r>
              <w:rPr>
                <w:rFonts w:ascii="仿宋" w:hAnsi="仿宋" w:eastAsia="仿宋" w:cs="仿宋"/>
                <w:spacing w:val="-7"/>
                <w:sz w:val="21"/>
                <w:szCs w:val="21"/>
              </w:rPr>
              <w:t>氟化物</w:t>
            </w:r>
          </w:p>
        </w:tc>
        <w:tc>
          <w:tcPr>
            <w:tcW w:w="2486" w:type="dxa"/>
            <w:vAlign w:val="top"/>
          </w:tcPr>
          <w:p>
            <w:pPr>
              <w:pStyle w:val="6"/>
              <w:spacing w:before="112" w:line="188" w:lineRule="auto"/>
              <w:ind w:left="825"/>
            </w:pPr>
            <w:r>
              <w:rPr>
                <w:spacing w:val="-1"/>
              </w:rPr>
              <w:t>0.09~0.11</w:t>
            </w:r>
          </w:p>
        </w:tc>
        <w:tc>
          <w:tcPr>
            <w:tcW w:w="2488" w:type="dxa"/>
            <w:vAlign w:val="top"/>
          </w:tcPr>
          <w:p>
            <w:pPr>
              <w:pStyle w:val="6"/>
              <w:spacing w:before="112" w:line="188" w:lineRule="auto"/>
              <w:ind w:left="822"/>
            </w:pPr>
            <w:r>
              <w:rPr>
                <w:spacing w:val="-1"/>
              </w:rPr>
              <w:t>0.05~0.09</w:t>
            </w:r>
          </w:p>
        </w:tc>
        <w:tc>
          <w:tcPr>
            <w:tcW w:w="2486" w:type="dxa"/>
            <w:vAlign w:val="top"/>
          </w:tcPr>
          <w:p>
            <w:pPr>
              <w:pStyle w:val="6"/>
              <w:spacing w:before="112" w:line="188" w:lineRule="auto"/>
              <w:ind w:left="822"/>
            </w:pPr>
            <w:r>
              <w:rPr>
                <w:spacing w:val="-1"/>
              </w:rPr>
              <w:t>0.13~0.16</w:t>
            </w:r>
          </w:p>
        </w:tc>
        <w:tc>
          <w:tcPr>
            <w:tcW w:w="2071" w:type="dxa"/>
            <w:vAlign w:val="top"/>
          </w:tcPr>
          <w:p>
            <w:pPr>
              <w:pStyle w:val="6"/>
              <w:spacing w:before="112" w:line="188" w:lineRule="auto"/>
              <w:ind w:left="614"/>
            </w:pPr>
            <w:r>
              <w:rPr>
                <w:spacing w:val="-1"/>
              </w:rPr>
              <w:t>0.08~0.10</w:t>
            </w:r>
          </w:p>
        </w:tc>
        <w:tc>
          <w:tcPr>
            <w:tcW w:w="1570" w:type="dxa"/>
            <w:tcBorders>
              <w:right w:val="nil"/>
            </w:tcBorders>
            <w:vAlign w:val="top"/>
          </w:tcPr>
          <w:p>
            <w:pPr>
              <w:pStyle w:val="6"/>
              <w:spacing w:before="112" w:line="188" w:lineRule="auto"/>
              <w:ind w:left="673"/>
            </w:pPr>
            <w:r>
              <w:rPr>
                <w:spacing w:val="-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12" w:line="188" w:lineRule="auto"/>
              <w:ind w:left="292"/>
            </w:pPr>
            <w:r>
              <w:rPr>
                <w:spacing w:val="-12"/>
              </w:rPr>
              <w:t>19</w:t>
            </w:r>
          </w:p>
        </w:tc>
        <w:tc>
          <w:tcPr>
            <w:tcW w:w="2141" w:type="dxa"/>
            <w:vAlign w:val="top"/>
          </w:tcPr>
          <w:p>
            <w:pPr>
              <w:spacing w:before="76" w:line="201" w:lineRule="auto"/>
              <w:ind w:left="976"/>
              <w:rPr>
                <w:rFonts w:ascii="仿宋" w:hAnsi="仿宋" w:eastAsia="仿宋" w:cs="仿宋"/>
                <w:sz w:val="21"/>
                <w:szCs w:val="21"/>
              </w:rPr>
            </w:pPr>
            <w:r>
              <w:rPr>
                <w:rFonts w:ascii="仿宋" w:hAnsi="仿宋" w:eastAsia="仿宋" w:cs="仿宋"/>
                <w:sz w:val="21"/>
                <w:szCs w:val="21"/>
              </w:rPr>
              <w:t>铁</w:t>
            </w:r>
          </w:p>
        </w:tc>
        <w:tc>
          <w:tcPr>
            <w:tcW w:w="2486" w:type="dxa"/>
            <w:vAlign w:val="top"/>
          </w:tcPr>
          <w:p>
            <w:pPr>
              <w:pStyle w:val="6"/>
              <w:spacing w:before="112" w:line="188" w:lineRule="auto"/>
              <w:ind w:left="998"/>
            </w:pPr>
            <w:r>
              <w:rPr>
                <w:spacing w:val="-2"/>
              </w:rPr>
              <w:t>0.01L</w:t>
            </w:r>
          </w:p>
        </w:tc>
        <w:tc>
          <w:tcPr>
            <w:tcW w:w="2488" w:type="dxa"/>
            <w:vAlign w:val="top"/>
          </w:tcPr>
          <w:p>
            <w:pPr>
              <w:pStyle w:val="6"/>
              <w:spacing w:before="112" w:line="188" w:lineRule="auto"/>
              <w:ind w:left="998"/>
            </w:pPr>
            <w:r>
              <w:rPr>
                <w:spacing w:val="-2"/>
              </w:rPr>
              <w:t>0.01L</w:t>
            </w:r>
          </w:p>
        </w:tc>
        <w:tc>
          <w:tcPr>
            <w:tcW w:w="2486" w:type="dxa"/>
            <w:vAlign w:val="top"/>
          </w:tcPr>
          <w:p>
            <w:pPr>
              <w:pStyle w:val="6"/>
              <w:spacing w:before="112" w:line="188" w:lineRule="auto"/>
              <w:ind w:left="998"/>
            </w:pPr>
            <w:r>
              <w:rPr>
                <w:spacing w:val="-2"/>
              </w:rPr>
              <w:t>0.01L</w:t>
            </w:r>
          </w:p>
        </w:tc>
        <w:tc>
          <w:tcPr>
            <w:tcW w:w="2071" w:type="dxa"/>
            <w:vAlign w:val="top"/>
          </w:tcPr>
          <w:p>
            <w:pPr>
              <w:pStyle w:val="6"/>
              <w:spacing w:before="112" w:line="188" w:lineRule="auto"/>
              <w:ind w:left="790"/>
            </w:pPr>
            <w:r>
              <w:rPr>
                <w:spacing w:val="-2"/>
              </w:rPr>
              <w:t>0.01L</w:t>
            </w:r>
          </w:p>
        </w:tc>
        <w:tc>
          <w:tcPr>
            <w:tcW w:w="1570" w:type="dxa"/>
            <w:tcBorders>
              <w:right w:val="nil"/>
            </w:tcBorders>
            <w:vAlign w:val="top"/>
          </w:tcPr>
          <w:p>
            <w:pPr>
              <w:pStyle w:val="6"/>
              <w:spacing w:before="112" w:line="188" w:lineRule="auto"/>
              <w:ind w:left="656"/>
            </w:pPr>
            <w:r>
              <w:rPr>
                <w:spacing w:val="-3"/>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trPr>
        <w:tc>
          <w:tcPr>
            <w:tcW w:w="731" w:type="dxa"/>
            <w:tcBorders>
              <w:left w:val="nil"/>
              <w:bottom w:val="single" w:color="000000" w:sz="12" w:space="0"/>
            </w:tcBorders>
            <w:vAlign w:val="top"/>
          </w:tcPr>
          <w:p>
            <w:pPr>
              <w:pStyle w:val="6"/>
              <w:spacing w:before="115" w:line="188" w:lineRule="auto"/>
              <w:ind w:left="272"/>
            </w:pPr>
            <w:r>
              <w:rPr>
                <w:spacing w:val="-2"/>
              </w:rPr>
              <w:t>20</w:t>
            </w:r>
          </w:p>
        </w:tc>
        <w:tc>
          <w:tcPr>
            <w:tcW w:w="2141" w:type="dxa"/>
            <w:tcBorders>
              <w:bottom w:val="single" w:color="000000" w:sz="12" w:space="0"/>
            </w:tcBorders>
            <w:vAlign w:val="top"/>
          </w:tcPr>
          <w:p>
            <w:pPr>
              <w:spacing w:before="78" w:line="220" w:lineRule="auto"/>
              <w:ind w:left="973"/>
              <w:rPr>
                <w:rFonts w:ascii="仿宋" w:hAnsi="仿宋" w:eastAsia="仿宋" w:cs="仿宋"/>
                <w:sz w:val="21"/>
                <w:szCs w:val="21"/>
              </w:rPr>
            </w:pPr>
            <w:r>
              <w:rPr>
                <w:rFonts w:ascii="仿宋" w:hAnsi="仿宋" w:eastAsia="仿宋" w:cs="仿宋"/>
                <w:sz w:val="21"/>
                <w:szCs w:val="21"/>
              </w:rPr>
              <w:t>锰</w:t>
            </w:r>
          </w:p>
        </w:tc>
        <w:tc>
          <w:tcPr>
            <w:tcW w:w="2486" w:type="dxa"/>
            <w:tcBorders>
              <w:bottom w:val="single" w:color="000000" w:sz="12" w:space="0"/>
            </w:tcBorders>
            <w:vAlign w:val="top"/>
          </w:tcPr>
          <w:p>
            <w:pPr>
              <w:pStyle w:val="6"/>
              <w:spacing w:before="115" w:line="188" w:lineRule="auto"/>
              <w:ind w:left="945"/>
            </w:pPr>
            <w:r>
              <w:rPr>
                <w:spacing w:val="-2"/>
              </w:rPr>
              <w:t>0.004L</w:t>
            </w:r>
          </w:p>
        </w:tc>
        <w:tc>
          <w:tcPr>
            <w:tcW w:w="2488" w:type="dxa"/>
            <w:tcBorders>
              <w:bottom w:val="single" w:color="000000" w:sz="12" w:space="0"/>
            </w:tcBorders>
            <w:vAlign w:val="top"/>
          </w:tcPr>
          <w:p>
            <w:pPr>
              <w:pStyle w:val="6"/>
              <w:spacing w:before="115" w:line="188" w:lineRule="auto"/>
              <w:ind w:left="946"/>
            </w:pPr>
            <w:r>
              <w:rPr>
                <w:spacing w:val="-2"/>
              </w:rPr>
              <w:t>0.004L</w:t>
            </w:r>
          </w:p>
        </w:tc>
        <w:tc>
          <w:tcPr>
            <w:tcW w:w="2486" w:type="dxa"/>
            <w:tcBorders>
              <w:bottom w:val="single" w:color="000000" w:sz="12" w:space="0"/>
            </w:tcBorders>
            <w:vAlign w:val="top"/>
          </w:tcPr>
          <w:p>
            <w:pPr>
              <w:pStyle w:val="6"/>
              <w:spacing w:before="115" w:line="188" w:lineRule="auto"/>
              <w:ind w:left="946"/>
            </w:pPr>
            <w:r>
              <w:rPr>
                <w:spacing w:val="-2"/>
              </w:rPr>
              <w:t>0.004L</w:t>
            </w:r>
          </w:p>
        </w:tc>
        <w:tc>
          <w:tcPr>
            <w:tcW w:w="2071" w:type="dxa"/>
            <w:tcBorders>
              <w:bottom w:val="single" w:color="000000" w:sz="12" w:space="0"/>
            </w:tcBorders>
            <w:vAlign w:val="top"/>
          </w:tcPr>
          <w:p>
            <w:pPr>
              <w:pStyle w:val="6"/>
              <w:spacing w:before="115" w:line="188" w:lineRule="auto"/>
              <w:ind w:left="737"/>
            </w:pPr>
            <w:r>
              <w:rPr>
                <w:spacing w:val="-2"/>
              </w:rPr>
              <w:t>0.004L</w:t>
            </w:r>
          </w:p>
        </w:tc>
        <w:tc>
          <w:tcPr>
            <w:tcW w:w="1570" w:type="dxa"/>
            <w:tcBorders>
              <w:bottom w:val="single" w:color="000000" w:sz="12" w:space="0"/>
              <w:right w:val="nil"/>
            </w:tcBorders>
            <w:vAlign w:val="top"/>
          </w:tcPr>
          <w:p>
            <w:pPr>
              <w:pStyle w:val="6"/>
              <w:spacing w:before="115" w:line="188" w:lineRule="auto"/>
              <w:ind w:left="656"/>
            </w:pPr>
            <w:r>
              <w:rPr>
                <w:spacing w:val="-3"/>
              </w:rPr>
              <w:t>0.1</w:t>
            </w:r>
          </w:p>
        </w:tc>
      </w:tr>
    </w:tbl>
    <w:p>
      <w:pPr>
        <w:rPr>
          <w:rFonts w:ascii="Arial"/>
          <w:sz w:val="21"/>
        </w:rPr>
      </w:pPr>
    </w:p>
    <w:p>
      <w:pPr>
        <w:rPr>
          <w:rFonts w:ascii="Arial" w:hAnsi="Arial" w:eastAsia="Arial" w:cs="Arial"/>
          <w:sz w:val="21"/>
          <w:szCs w:val="21"/>
        </w:rPr>
        <w:sectPr>
          <w:headerReference r:id="rId179" w:type="default"/>
          <w:footerReference r:id="rId180" w:type="default"/>
          <w:pgSz w:w="16839" w:h="11907"/>
          <w:pgMar w:top="1156" w:right="1408" w:bottom="1374" w:left="1410" w:header="881" w:footer="1210" w:gutter="0"/>
        </w:sectPr>
      </w:pPr>
    </w:p>
    <w:p>
      <w:pPr>
        <w:spacing w:before="80"/>
      </w:pPr>
    </w:p>
    <w:p>
      <w:pPr>
        <w:spacing w:before="80"/>
      </w:pPr>
    </w:p>
    <w:tbl>
      <w:tblPr>
        <w:tblStyle w:val="5"/>
        <w:tblW w:w="1397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1"/>
        <w:gridCol w:w="2141"/>
        <w:gridCol w:w="2486"/>
        <w:gridCol w:w="2488"/>
        <w:gridCol w:w="2486"/>
        <w:gridCol w:w="2071"/>
        <w:gridCol w:w="1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731" w:type="dxa"/>
            <w:vMerge w:val="restart"/>
            <w:tcBorders>
              <w:top w:val="single" w:color="000000" w:sz="12" w:space="0"/>
              <w:left w:val="nil"/>
              <w:bottom w:val="nil"/>
            </w:tcBorders>
            <w:vAlign w:val="top"/>
          </w:tcPr>
          <w:p>
            <w:pPr>
              <w:spacing w:line="300" w:lineRule="auto"/>
              <w:rPr>
                <w:rFonts w:ascii="Arial"/>
                <w:sz w:val="21"/>
              </w:rPr>
            </w:pPr>
          </w:p>
          <w:p>
            <w:pPr>
              <w:spacing w:before="68" w:line="218" w:lineRule="auto"/>
              <w:ind w:left="17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2141" w:type="dxa"/>
            <w:vMerge w:val="restart"/>
            <w:tcBorders>
              <w:top w:val="single" w:color="000000" w:sz="12" w:space="0"/>
              <w:bottom w:val="nil"/>
            </w:tcBorders>
            <w:vAlign w:val="top"/>
          </w:tcPr>
          <w:p>
            <w:pPr>
              <w:spacing w:line="300" w:lineRule="auto"/>
              <w:rPr>
                <w:rFonts w:ascii="Arial"/>
                <w:sz w:val="21"/>
              </w:rPr>
            </w:pPr>
          </w:p>
          <w:p>
            <w:pPr>
              <w:spacing w:before="68" w:line="219" w:lineRule="auto"/>
              <w:ind w:left="662"/>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监测因子</w:t>
            </w:r>
          </w:p>
        </w:tc>
        <w:tc>
          <w:tcPr>
            <w:tcW w:w="9531" w:type="dxa"/>
            <w:gridSpan w:val="4"/>
            <w:tcBorders>
              <w:top w:val="single" w:color="000000" w:sz="12" w:space="0"/>
            </w:tcBorders>
            <w:vAlign w:val="top"/>
          </w:tcPr>
          <w:p>
            <w:pPr>
              <w:spacing w:before="50" w:line="219" w:lineRule="auto"/>
              <w:ind w:left="446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570" w:type="dxa"/>
            <w:vMerge w:val="restart"/>
            <w:tcBorders>
              <w:top w:val="single" w:color="000000" w:sz="12" w:space="0"/>
              <w:bottom w:val="nil"/>
              <w:right w:val="nil"/>
            </w:tcBorders>
            <w:vAlign w:val="top"/>
          </w:tcPr>
          <w:p>
            <w:pPr>
              <w:pStyle w:val="6"/>
              <w:spacing w:before="215" w:line="247" w:lineRule="auto"/>
              <w:ind w:left="585" w:right="134" w:hanging="442"/>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标准限值（</w:t>
            </w:r>
            <w:r>
              <w:rPr>
                <w:b/>
                <w:bCs/>
                <w:spacing w:val="-2"/>
              </w:rPr>
              <w:t>III</w:t>
            </w:r>
            <w:r>
              <w:rPr>
                <w:b/>
                <w:bCs/>
                <w:spacing w:val="6"/>
              </w:rPr>
              <w:t xml:space="preserve"> </w:t>
            </w:r>
            <w:r>
              <w:rPr>
                <w:rFonts w:ascii="仿宋" w:hAnsi="仿宋" w:eastAsia="仿宋" w:cs="仿宋"/>
                <w:spacing w:val="-9"/>
                <w14:textOutline w14:w="3810" w14:cap="flat" w14:cmpd="sng">
                  <w14:solidFill>
                    <w14:srgbClr w14:val="000000"/>
                  </w14:solidFill>
                  <w14:prstDash w14:val="solid"/>
                  <w14:miter w14:val="0"/>
                </w14:textOutline>
              </w:rPr>
              <w:t>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731" w:type="dxa"/>
            <w:vMerge w:val="continue"/>
            <w:tcBorders>
              <w:top w:val="nil"/>
              <w:left w:val="nil"/>
            </w:tcBorders>
            <w:vAlign w:val="top"/>
          </w:tcPr>
          <w:p>
            <w:pPr>
              <w:rPr>
                <w:rFonts w:ascii="Arial"/>
                <w:sz w:val="21"/>
              </w:rPr>
            </w:pPr>
          </w:p>
        </w:tc>
        <w:tc>
          <w:tcPr>
            <w:tcW w:w="2141" w:type="dxa"/>
            <w:vMerge w:val="continue"/>
            <w:tcBorders>
              <w:top w:val="nil"/>
            </w:tcBorders>
            <w:vAlign w:val="top"/>
          </w:tcPr>
          <w:p>
            <w:pPr>
              <w:rPr>
                <w:rFonts w:ascii="Arial"/>
                <w:sz w:val="21"/>
              </w:rPr>
            </w:pPr>
          </w:p>
        </w:tc>
        <w:tc>
          <w:tcPr>
            <w:tcW w:w="2486" w:type="dxa"/>
            <w:vAlign w:val="top"/>
          </w:tcPr>
          <w:p>
            <w:pPr>
              <w:spacing w:before="206" w:line="220" w:lineRule="auto"/>
              <w:ind w:left="1047"/>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坝址</w:t>
            </w:r>
          </w:p>
        </w:tc>
        <w:tc>
          <w:tcPr>
            <w:tcW w:w="2488" w:type="dxa"/>
            <w:vAlign w:val="top"/>
          </w:tcPr>
          <w:p>
            <w:pPr>
              <w:spacing w:before="206" w:line="218" w:lineRule="auto"/>
              <w:ind w:left="104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库尾</w:t>
            </w:r>
          </w:p>
        </w:tc>
        <w:tc>
          <w:tcPr>
            <w:tcW w:w="2486" w:type="dxa"/>
            <w:vAlign w:val="top"/>
          </w:tcPr>
          <w:p>
            <w:pPr>
              <w:pStyle w:val="6"/>
              <w:spacing w:before="49" w:line="247" w:lineRule="auto"/>
              <w:ind w:left="746" w:right="184" w:hanging="542"/>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罗子左河汇入万马河上</w:t>
            </w:r>
            <w:r>
              <w:rPr>
                <w:rFonts w:ascii="仿宋" w:hAnsi="仿宋" w:eastAsia="仿宋" w:cs="仿宋"/>
                <w:spacing w:val="5"/>
              </w:rPr>
              <w:t xml:space="preserve"> </w:t>
            </w:r>
            <w:r>
              <w:rPr>
                <w:rFonts w:ascii="仿宋" w:hAnsi="仿宋" w:eastAsia="仿宋" w:cs="仿宋"/>
                <w:spacing w:val="-4"/>
                <w14:textOutline w14:w="3810" w14:cap="flat" w14:cmpd="sng">
                  <w14:solidFill>
                    <w14:srgbClr w14:val="000000"/>
                  </w14:solidFill>
                  <w14:prstDash w14:val="solid"/>
                  <w14:miter w14:val="0"/>
                </w14:textOutline>
              </w:rPr>
              <w:t>游</w:t>
            </w:r>
            <w:r>
              <w:rPr>
                <w:rFonts w:ascii="仿宋" w:hAnsi="仿宋" w:eastAsia="仿宋" w:cs="仿宋"/>
                <w:spacing w:val="-44"/>
              </w:rPr>
              <w:t xml:space="preserve"> </w:t>
            </w:r>
            <w:r>
              <w:rPr>
                <w:b/>
                <w:bCs/>
                <w:spacing w:val="-4"/>
              </w:rPr>
              <w:t>500m</w:t>
            </w:r>
            <w:r>
              <w:rPr>
                <w:b/>
                <w:bCs/>
                <w:spacing w:val="1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处</w:t>
            </w:r>
          </w:p>
        </w:tc>
        <w:tc>
          <w:tcPr>
            <w:tcW w:w="2071" w:type="dxa"/>
            <w:vAlign w:val="top"/>
          </w:tcPr>
          <w:p>
            <w:pPr>
              <w:spacing w:before="206" w:line="218" w:lineRule="auto"/>
              <w:ind w:left="31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马茨河取水坝处</w:t>
            </w:r>
          </w:p>
        </w:tc>
        <w:tc>
          <w:tcPr>
            <w:tcW w:w="1570"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91" w:line="188" w:lineRule="auto"/>
              <w:ind w:left="272"/>
            </w:pPr>
            <w:r>
              <w:rPr>
                <w:spacing w:val="-2"/>
              </w:rPr>
              <w:t>21</w:t>
            </w:r>
          </w:p>
        </w:tc>
        <w:tc>
          <w:tcPr>
            <w:tcW w:w="2141" w:type="dxa"/>
            <w:vAlign w:val="top"/>
          </w:tcPr>
          <w:p>
            <w:pPr>
              <w:spacing w:before="54" w:line="217" w:lineRule="auto"/>
              <w:ind w:left="773"/>
              <w:rPr>
                <w:rFonts w:ascii="仿宋" w:hAnsi="仿宋" w:eastAsia="仿宋" w:cs="仿宋"/>
                <w:sz w:val="21"/>
                <w:szCs w:val="21"/>
              </w:rPr>
            </w:pPr>
            <w:r>
              <w:rPr>
                <w:rFonts w:ascii="仿宋" w:hAnsi="仿宋" w:eastAsia="仿宋" w:cs="仿宋"/>
                <w:spacing w:val="-6"/>
                <w:sz w:val="21"/>
                <w:szCs w:val="21"/>
              </w:rPr>
              <w:t>氰化物</w:t>
            </w:r>
          </w:p>
        </w:tc>
        <w:tc>
          <w:tcPr>
            <w:tcW w:w="2486" w:type="dxa"/>
            <w:vAlign w:val="top"/>
          </w:tcPr>
          <w:p>
            <w:pPr>
              <w:pStyle w:val="6"/>
              <w:spacing w:before="91" w:line="188" w:lineRule="auto"/>
              <w:ind w:left="945"/>
            </w:pPr>
            <w:r>
              <w:rPr>
                <w:spacing w:val="-2"/>
              </w:rPr>
              <w:t>0.004L</w:t>
            </w:r>
          </w:p>
        </w:tc>
        <w:tc>
          <w:tcPr>
            <w:tcW w:w="2488" w:type="dxa"/>
            <w:vAlign w:val="top"/>
          </w:tcPr>
          <w:p>
            <w:pPr>
              <w:pStyle w:val="6"/>
              <w:spacing w:before="91" w:line="188" w:lineRule="auto"/>
              <w:ind w:left="946"/>
            </w:pPr>
            <w:r>
              <w:rPr>
                <w:spacing w:val="-2"/>
              </w:rPr>
              <w:t>0.004L</w:t>
            </w:r>
          </w:p>
        </w:tc>
        <w:tc>
          <w:tcPr>
            <w:tcW w:w="2486" w:type="dxa"/>
            <w:vAlign w:val="top"/>
          </w:tcPr>
          <w:p>
            <w:pPr>
              <w:pStyle w:val="6"/>
              <w:spacing w:before="91" w:line="188" w:lineRule="auto"/>
              <w:ind w:left="946"/>
            </w:pPr>
            <w:r>
              <w:rPr>
                <w:spacing w:val="-2"/>
              </w:rPr>
              <w:t>0.004L</w:t>
            </w:r>
          </w:p>
        </w:tc>
        <w:tc>
          <w:tcPr>
            <w:tcW w:w="2071" w:type="dxa"/>
            <w:vAlign w:val="top"/>
          </w:tcPr>
          <w:p>
            <w:pPr>
              <w:pStyle w:val="6"/>
              <w:spacing w:before="91" w:line="188" w:lineRule="auto"/>
              <w:ind w:left="737"/>
            </w:pPr>
            <w:r>
              <w:rPr>
                <w:spacing w:val="-2"/>
              </w:rPr>
              <w:t>0.004L</w:t>
            </w:r>
          </w:p>
        </w:tc>
        <w:tc>
          <w:tcPr>
            <w:tcW w:w="1570" w:type="dxa"/>
            <w:tcBorders>
              <w:right w:val="nil"/>
            </w:tcBorders>
            <w:vAlign w:val="top"/>
          </w:tcPr>
          <w:p>
            <w:pPr>
              <w:pStyle w:val="6"/>
              <w:spacing w:before="91" w:line="188" w:lineRule="auto"/>
              <w:ind w:left="656"/>
            </w:pPr>
            <w:r>
              <w:rPr>
                <w:spacing w:val="-3"/>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31" w:type="dxa"/>
            <w:tcBorders>
              <w:left w:val="nil"/>
            </w:tcBorders>
            <w:vAlign w:val="top"/>
          </w:tcPr>
          <w:p>
            <w:pPr>
              <w:pStyle w:val="6"/>
              <w:spacing w:before="93" w:line="188" w:lineRule="auto"/>
              <w:ind w:left="272"/>
            </w:pPr>
            <w:r>
              <w:rPr>
                <w:spacing w:val="-2"/>
              </w:rPr>
              <w:t>22</w:t>
            </w:r>
          </w:p>
        </w:tc>
        <w:tc>
          <w:tcPr>
            <w:tcW w:w="2141" w:type="dxa"/>
            <w:vAlign w:val="top"/>
          </w:tcPr>
          <w:p>
            <w:pPr>
              <w:spacing w:before="57" w:line="217" w:lineRule="auto"/>
              <w:ind w:left="765"/>
              <w:rPr>
                <w:rFonts w:ascii="仿宋" w:hAnsi="仿宋" w:eastAsia="仿宋" w:cs="仿宋"/>
                <w:sz w:val="21"/>
                <w:szCs w:val="21"/>
              </w:rPr>
            </w:pPr>
            <w:r>
              <w:rPr>
                <w:rFonts w:ascii="仿宋" w:hAnsi="仿宋" w:eastAsia="仿宋" w:cs="仿宋"/>
                <w:spacing w:val="-4"/>
                <w:sz w:val="21"/>
                <w:szCs w:val="21"/>
              </w:rPr>
              <w:t>挥发酚</w:t>
            </w:r>
          </w:p>
        </w:tc>
        <w:tc>
          <w:tcPr>
            <w:tcW w:w="2486" w:type="dxa"/>
            <w:vAlign w:val="top"/>
          </w:tcPr>
          <w:p>
            <w:pPr>
              <w:pStyle w:val="6"/>
              <w:spacing w:before="93" w:line="188" w:lineRule="auto"/>
              <w:ind w:left="892"/>
            </w:pPr>
            <w:r>
              <w:rPr>
                <w:spacing w:val="-1"/>
              </w:rPr>
              <w:t>0.0003L</w:t>
            </w:r>
          </w:p>
        </w:tc>
        <w:tc>
          <w:tcPr>
            <w:tcW w:w="2488" w:type="dxa"/>
            <w:vAlign w:val="top"/>
          </w:tcPr>
          <w:p>
            <w:pPr>
              <w:pStyle w:val="6"/>
              <w:spacing w:before="93" w:line="188" w:lineRule="auto"/>
              <w:ind w:left="893"/>
            </w:pPr>
            <w:r>
              <w:rPr>
                <w:spacing w:val="-1"/>
              </w:rPr>
              <w:t>0.0003L</w:t>
            </w:r>
          </w:p>
        </w:tc>
        <w:tc>
          <w:tcPr>
            <w:tcW w:w="2486" w:type="dxa"/>
            <w:vAlign w:val="top"/>
          </w:tcPr>
          <w:p>
            <w:pPr>
              <w:pStyle w:val="6"/>
              <w:spacing w:before="93" w:line="188" w:lineRule="auto"/>
              <w:ind w:left="893"/>
            </w:pPr>
            <w:r>
              <w:rPr>
                <w:spacing w:val="-1"/>
              </w:rPr>
              <w:t>0.0003L</w:t>
            </w:r>
          </w:p>
        </w:tc>
        <w:tc>
          <w:tcPr>
            <w:tcW w:w="2071" w:type="dxa"/>
            <w:vAlign w:val="top"/>
          </w:tcPr>
          <w:p>
            <w:pPr>
              <w:pStyle w:val="6"/>
              <w:spacing w:before="93" w:line="188" w:lineRule="auto"/>
              <w:ind w:left="686"/>
            </w:pPr>
            <w:r>
              <w:rPr>
                <w:spacing w:val="-1"/>
              </w:rPr>
              <w:t>0.0003L</w:t>
            </w:r>
          </w:p>
        </w:tc>
        <w:tc>
          <w:tcPr>
            <w:tcW w:w="1570" w:type="dxa"/>
            <w:tcBorders>
              <w:right w:val="nil"/>
            </w:tcBorders>
            <w:vAlign w:val="top"/>
          </w:tcPr>
          <w:p>
            <w:pPr>
              <w:pStyle w:val="6"/>
              <w:spacing w:before="93" w:line="188" w:lineRule="auto"/>
              <w:ind w:left="551"/>
            </w:pPr>
            <w:r>
              <w:rPr>
                <w:spacing w:val="-2"/>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96" w:line="188" w:lineRule="auto"/>
              <w:ind w:left="272"/>
            </w:pPr>
            <w:r>
              <w:rPr>
                <w:spacing w:val="-2"/>
              </w:rPr>
              <w:t>23</w:t>
            </w:r>
          </w:p>
        </w:tc>
        <w:tc>
          <w:tcPr>
            <w:tcW w:w="2141" w:type="dxa"/>
            <w:vAlign w:val="top"/>
          </w:tcPr>
          <w:p>
            <w:pPr>
              <w:spacing w:before="60" w:line="215" w:lineRule="auto"/>
              <w:ind w:left="877"/>
              <w:rPr>
                <w:rFonts w:ascii="仿宋" w:hAnsi="仿宋" w:eastAsia="仿宋" w:cs="仿宋"/>
                <w:sz w:val="21"/>
                <w:szCs w:val="21"/>
              </w:rPr>
            </w:pPr>
            <w:r>
              <w:rPr>
                <w:rFonts w:ascii="仿宋" w:hAnsi="仿宋" w:eastAsia="仿宋" w:cs="仿宋"/>
                <w:spacing w:val="-6"/>
                <w:sz w:val="21"/>
                <w:szCs w:val="21"/>
              </w:rPr>
              <w:t>氨氮</w:t>
            </w:r>
          </w:p>
        </w:tc>
        <w:tc>
          <w:tcPr>
            <w:tcW w:w="2486" w:type="dxa"/>
            <w:vAlign w:val="top"/>
          </w:tcPr>
          <w:p>
            <w:pPr>
              <w:pStyle w:val="6"/>
              <w:spacing w:before="96" w:line="188" w:lineRule="auto"/>
              <w:ind w:left="716"/>
            </w:pPr>
            <w:r>
              <w:rPr>
                <w:spacing w:val="-1"/>
              </w:rPr>
              <w:t>0.134~0.142</w:t>
            </w:r>
          </w:p>
        </w:tc>
        <w:tc>
          <w:tcPr>
            <w:tcW w:w="2488" w:type="dxa"/>
            <w:vAlign w:val="top"/>
          </w:tcPr>
          <w:p>
            <w:pPr>
              <w:pStyle w:val="6"/>
              <w:spacing w:before="96" w:line="188" w:lineRule="auto"/>
              <w:ind w:left="716"/>
            </w:pPr>
            <w:r>
              <w:rPr>
                <w:spacing w:val="-1"/>
              </w:rPr>
              <w:t>0.036~0.044</w:t>
            </w:r>
          </w:p>
        </w:tc>
        <w:tc>
          <w:tcPr>
            <w:tcW w:w="2486" w:type="dxa"/>
            <w:vAlign w:val="top"/>
          </w:tcPr>
          <w:p>
            <w:pPr>
              <w:pStyle w:val="6"/>
              <w:spacing w:before="96" w:line="188" w:lineRule="auto"/>
              <w:ind w:left="716"/>
            </w:pPr>
            <w:r>
              <w:rPr>
                <w:spacing w:val="-1"/>
              </w:rPr>
              <w:t>0.026~0.036</w:t>
            </w:r>
          </w:p>
        </w:tc>
        <w:tc>
          <w:tcPr>
            <w:tcW w:w="2071" w:type="dxa"/>
            <w:vAlign w:val="top"/>
          </w:tcPr>
          <w:p>
            <w:pPr>
              <w:pStyle w:val="6"/>
              <w:spacing w:before="96" w:line="188" w:lineRule="auto"/>
              <w:ind w:left="509"/>
            </w:pPr>
            <w:r>
              <w:rPr>
                <w:spacing w:val="-1"/>
              </w:rPr>
              <w:t>0.066~0.072</w:t>
            </w:r>
          </w:p>
        </w:tc>
        <w:tc>
          <w:tcPr>
            <w:tcW w:w="1570" w:type="dxa"/>
            <w:tcBorders>
              <w:right w:val="nil"/>
            </w:tcBorders>
            <w:vAlign w:val="top"/>
          </w:tcPr>
          <w:p>
            <w:pPr>
              <w:pStyle w:val="6"/>
              <w:spacing w:before="96" w:line="188" w:lineRule="auto"/>
              <w:ind w:left="673"/>
            </w:pPr>
            <w:r>
              <w:rPr>
                <w:spacing w:val="-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31" w:type="dxa"/>
            <w:tcBorders>
              <w:left w:val="nil"/>
            </w:tcBorders>
            <w:vAlign w:val="top"/>
          </w:tcPr>
          <w:p>
            <w:pPr>
              <w:pStyle w:val="6"/>
              <w:spacing w:before="98" w:line="188" w:lineRule="auto"/>
              <w:ind w:left="272"/>
            </w:pPr>
            <w:r>
              <w:rPr>
                <w:spacing w:val="-2"/>
              </w:rPr>
              <w:t>24</w:t>
            </w:r>
          </w:p>
        </w:tc>
        <w:tc>
          <w:tcPr>
            <w:tcW w:w="2141" w:type="dxa"/>
            <w:vAlign w:val="top"/>
          </w:tcPr>
          <w:p>
            <w:pPr>
              <w:spacing w:before="61" w:line="213" w:lineRule="auto"/>
              <w:ind w:left="878"/>
              <w:rPr>
                <w:rFonts w:ascii="仿宋" w:hAnsi="仿宋" w:eastAsia="仿宋" w:cs="仿宋"/>
                <w:sz w:val="21"/>
                <w:szCs w:val="21"/>
              </w:rPr>
            </w:pPr>
            <w:r>
              <w:rPr>
                <w:rFonts w:ascii="仿宋" w:hAnsi="仿宋" w:eastAsia="仿宋" w:cs="仿宋"/>
                <w:spacing w:val="-6"/>
                <w:sz w:val="21"/>
                <w:szCs w:val="21"/>
              </w:rPr>
              <w:t>总磷</w:t>
            </w:r>
          </w:p>
        </w:tc>
        <w:tc>
          <w:tcPr>
            <w:tcW w:w="2486" w:type="dxa"/>
            <w:vAlign w:val="top"/>
          </w:tcPr>
          <w:p>
            <w:pPr>
              <w:pStyle w:val="6"/>
              <w:spacing w:before="98" w:line="188" w:lineRule="auto"/>
              <w:ind w:left="822"/>
            </w:pPr>
            <w:r>
              <w:rPr>
                <w:spacing w:val="-1"/>
              </w:rPr>
              <w:t>0.02~0.03</w:t>
            </w:r>
          </w:p>
        </w:tc>
        <w:tc>
          <w:tcPr>
            <w:tcW w:w="2488" w:type="dxa"/>
            <w:vAlign w:val="top"/>
          </w:tcPr>
          <w:p>
            <w:pPr>
              <w:pStyle w:val="6"/>
              <w:spacing w:before="98" w:line="188" w:lineRule="auto"/>
              <w:ind w:left="716"/>
            </w:pPr>
            <w:r>
              <w:rPr>
                <w:spacing w:val="-1"/>
              </w:rPr>
              <w:t>0.017~0.019</w:t>
            </w:r>
          </w:p>
        </w:tc>
        <w:tc>
          <w:tcPr>
            <w:tcW w:w="2486" w:type="dxa"/>
            <w:vAlign w:val="top"/>
          </w:tcPr>
          <w:p>
            <w:pPr>
              <w:pStyle w:val="6"/>
              <w:spacing w:before="98" w:line="188" w:lineRule="auto"/>
              <w:ind w:left="822"/>
            </w:pPr>
            <w:r>
              <w:rPr>
                <w:spacing w:val="-1"/>
              </w:rPr>
              <w:t>0.04~0.05</w:t>
            </w:r>
          </w:p>
        </w:tc>
        <w:tc>
          <w:tcPr>
            <w:tcW w:w="2071" w:type="dxa"/>
            <w:vAlign w:val="top"/>
          </w:tcPr>
          <w:p>
            <w:pPr>
              <w:pStyle w:val="6"/>
              <w:spacing w:before="98" w:line="188" w:lineRule="auto"/>
              <w:ind w:left="614"/>
            </w:pPr>
            <w:r>
              <w:rPr>
                <w:spacing w:val="-1"/>
              </w:rPr>
              <w:t>0.06~0.07</w:t>
            </w:r>
          </w:p>
        </w:tc>
        <w:tc>
          <w:tcPr>
            <w:tcW w:w="1570" w:type="dxa"/>
            <w:tcBorders>
              <w:right w:val="nil"/>
            </w:tcBorders>
            <w:vAlign w:val="top"/>
          </w:tcPr>
          <w:p>
            <w:pPr>
              <w:pStyle w:val="6"/>
              <w:spacing w:before="61" w:line="213" w:lineRule="auto"/>
              <w:ind w:left="263"/>
              <w:rPr>
                <w:rFonts w:ascii="仿宋" w:hAnsi="仿宋" w:eastAsia="仿宋" w:cs="仿宋"/>
              </w:rPr>
            </w:pPr>
            <w:r>
              <w:rPr>
                <w:spacing w:val="-1"/>
              </w:rPr>
              <w:t>0.2</w:t>
            </w:r>
            <w:r>
              <w:rPr>
                <w:rFonts w:ascii="仿宋" w:hAnsi="仿宋" w:eastAsia="仿宋" w:cs="仿宋"/>
                <w:spacing w:val="-1"/>
              </w:rPr>
              <w:t>（</w:t>
            </w:r>
            <w:r>
              <w:rPr>
                <w:spacing w:val="-1"/>
              </w:rPr>
              <w:t>0.05</w:t>
            </w:r>
            <w:r>
              <w:rPr>
                <w:rFonts w:ascii="仿宋" w:hAnsi="仿宋" w:eastAsia="仿宋" w:cs="仿宋"/>
                <w:spacing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01" w:line="188" w:lineRule="auto"/>
              <w:ind w:left="272"/>
            </w:pPr>
            <w:r>
              <w:rPr>
                <w:spacing w:val="-2"/>
              </w:rPr>
              <w:t>25</w:t>
            </w:r>
          </w:p>
        </w:tc>
        <w:tc>
          <w:tcPr>
            <w:tcW w:w="2141" w:type="dxa"/>
            <w:vAlign w:val="top"/>
          </w:tcPr>
          <w:p>
            <w:pPr>
              <w:spacing w:before="64" w:line="211" w:lineRule="auto"/>
              <w:ind w:left="455"/>
              <w:rPr>
                <w:rFonts w:ascii="仿宋" w:hAnsi="仿宋" w:eastAsia="仿宋" w:cs="仿宋"/>
                <w:sz w:val="21"/>
                <w:szCs w:val="21"/>
              </w:rPr>
            </w:pPr>
            <w:r>
              <w:rPr>
                <w:rFonts w:ascii="仿宋" w:hAnsi="仿宋" w:eastAsia="仿宋" w:cs="仿宋"/>
                <w:spacing w:val="-3"/>
                <w:sz w:val="21"/>
                <w:szCs w:val="21"/>
              </w:rPr>
              <w:t>高锰酸盐指数</w:t>
            </w:r>
          </w:p>
        </w:tc>
        <w:tc>
          <w:tcPr>
            <w:tcW w:w="2486" w:type="dxa"/>
            <w:vAlign w:val="top"/>
          </w:tcPr>
          <w:p>
            <w:pPr>
              <w:pStyle w:val="6"/>
              <w:spacing w:before="101" w:line="188" w:lineRule="auto"/>
              <w:ind w:left="926"/>
            </w:pPr>
            <w:r>
              <w:rPr>
                <w:spacing w:val="-1"/>
              </w:rPr>
              <w:t>0.8~0.9</w:t>
            </w:r>
          </w:p>
        </w:tc>
        <w:tc>
          <w:tcPr>
            <w:tcW w:w="2488" w:type="dxa"/>
            <w:vAlign w:val="top"/>
          </w:tcPr>
          <w:p>
            <w:pPr>
              <w:pStyle w:val="6"/>
              <w:spacing w:before="101" w:line="188" w:lineRule="auto"/>
              <w:ind w:left="926"/>
            </w:pPr>
            <w:r>
              <w:rPr>
                <w:spacing w:val="-1"/>
              </w:rPr>
              <w:t>0.9~1.0</w:t>
            </w:r>
          </w:p>
        </w:tc>
        <w:tc>
          <w:tcPr>
            <w:tcW w:w="2486" w:type="dxa"/>
            <w:vAlign w:val="top"/>
          </w:tcPr>
          <w:p>
            <w:pPr>
              <w:pStyle w:val="6"/>
              <w:spacing w:before="101" w:line="188" w:lineRule="auto"/>
              <w:ind w:left="1115"/>
            </w:pPr>
            <w:r>
              <w:rPr>
                <w:spacing w:val="-3"/>
              </w:rPr>
              <w:t>0.5</w:t>
            </w:r>
          </w:p>
        </w:tc>
        <w:tc>
          <w:tcPr>
            <w:tcW w:w="2071" w:type="dxa"/>
            <w:vAlign w:val="top"/>
          </w:tcPr>
          <w:p>
            <w:pPr>
              <w:pStyle w:val="6"/>
              <w:spacing w:before="101" w:line="188" w:lineRule="auto"/>
              <w:ind w:left="736"/>
            </w:pPr>
            <w:r>
              <w:rPr>
                <w:spacing w:val="-4"/>
              </w:rPr>
              <w:t>1.7~1.8</w:t>
            </w:r>
          </w:p>
        </w:tc>
        <w:tc>
          <w:tcPr>
            <w:tcW w:w="1570" w:type="dxa"/>
            <w:tcBorders>
              <w:right w:val="nil"/>
            </w:tcBorders>
            <w:vAlign w:val="top"/>
          </w:tcPr>
          <w:p>
            <w:pPr>
              <w:pStyle w:val="6"/>
              <w:spacing w:before="101" w:line="188" w:lineRule="auto"/>
              <w:ind w:left="737"/>
            </w:pPr>
            <w: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31" w:type="dxa"/>
            <w:tcBorders>
              <w:left w:val="nil"/>
            </w:tcBorders>
            <w:vAlign w:val="top"/>
          </w:tcPr>
          <w:p>
            <w:pPr>
              <w:pStyle w:val="6"/>
              <w:spacing w:before="103" w:line="188" w:lineRule="auto"/>
              <w:ind w:left="272"/>
            </w:pPr>
            <w:r>
              <w:rPr>
                <w:spacing w:val="-2"/>
              </w:rPr>
              <w:t>26</w:t>
            </w:r>
          </w:p>
        </w:tc>
        <w:tc>
          <w:tcPr>
            <w:tcW w:w="2141" w:type="dxa"/>
            <w:vAlign w:val="top"/>
          </w:tcPr>
          <w:p>
            <w:pPr>
              <w:spacing w:before="66" w:line="209" w:lineRule="auto"/>
              <w:ind w:left="878"/>
              <w:rPr>
                <w:rFonts w:ascii="仿宋" w:hAnsi="仿宋" w:eastAsia="仿宋" w:cs="仿宋"/>
                <w:sz w:val="21"/>
                <w:szCs w:val="21"/>
              </w:rPr>
            </w:pPr>
            <w:r>
              <w:rPr>
                <w:rFonts w:ascii="仿宋" w:hAnsi="仿宋" w:eastAsia="仿宋" w:cs="仿宋"/>
                <w:spacing w:val="-6"/>
                <w:sz w:val="21"/>
                <w:szCs w:val="21"/>
              </w:rPr>
              <w:t>总氮</w:t>
            </w:r>
          </w:p>
        </w:tc>
        <w:tc>
          <w:tcPr>
            <w:tcW w:w="2486" w:type="dxa"/>
            <w:vAlign w:val="top"/>
          </w:tcPr>
          <w:p>
            <w:pPr>
              <w:pStyle w:val="6"/>
              <w:spacing w:before="103" w:line="188" w:lineRule="auto"/>
              <w:ind w:left="873"/>
            </w:pPr>
            <w:r>
              <w:rPr>
                <w:spacing w:val="-1"/>
              </w:rPr>
              <w:t>0.4~0.43</w:t>
            </w:r>
          </w:p>
        </w:tc>
        <w:tc>
          <w:tcPr>
            <w:tcW w:w="2488" w:type="dxa"/>
            <w:vAlign w:val="top"/>
          </w:tcPr>
          <w:p>
            <w:pPr>
              <w:pStyle w:val="6"/>
              <w:spacing w:before="103" w:line="188" w:lineRule="auto"/>
              <w:ind w:left="822"/>
            </w:pPr>
            <w:r>
              <w:rPr>
                <w:spacing w:val="-1"/>
              </w:rPr>
              <w:t>0.31~0.34</w:t>
            </w:r>
          </w:p>
        </w:tc>
        <w:tc>
          <w:tcPr>
            <w:tcW w:w="2486" w:type="dxa"/>
            <w:vAlign w:val="top"/>
          </w:tcPr>
          <w:p>
            <w:pPr>
              <w:pStyle w:val="6"/>
              <w:spacing w:before="103" w:line="188" w:lineRule="auto"/>
              <w:ind w:left="874"/>
            </w:pPr>
            <w:r>
              <w:rPr>
                <w:spacing w:val="-1"/>
              </w:rPr>
              <w:t>0.22~0.3</w:t>
            </w:r>
          </w:p>
        </w:tc>
        <w:tc>
          <w:tcPr>
            <w:tcW w:w="2071" w:type="dxa"/>
            <w:vAlign w:val="top"/>
          </w:tcPr>
          <w:p>
            <w:pPr>
              <w:pStyle w:val="6"/>
              <w:spacing w:before="103" w:line="188" w:lineRule="auto"/>
              <w:ind w:left="614"/>
            </w:pPr>
            <w:r>
              <w:rPr>
                <w:spacing w:val="-1"/>
              </w:rPr>
              <w:t>0.35~0.37</w:t>
            </w:r>
          </w:p>
        </w:tc>
        <w:tc>
          <w:tcPr>
            <w:tcW w:w="1570" w:type="dxa"/>
            <w:tcBorders>
              <w:right w:val="nil"/>
            </w:tcBorders>
            <w:vAlign w:val="top"/>
          </w:tcPr>
          <w:p>
            <w:pPr>
              <w:pStyle w:val="6"/>
              <w:spacing w:before="103" w:line="188" w:lineRule="auto"/>
              <w:ind w:left="673"/>
            </w:pPr>
            <w:r>
              <w:rPr>
                <w:spacing w:val="-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07" w:line="188" w:lineRule="auto"/>
              <w:ind w:left="272"/>
            </w:pPr>
            <w:r>
              <w:rPr>
                <w:spacing w:val="-2"/>
              </w:rPr>
              <w:t>27</w:t>
            </w:r>
          </w:p>
        </w:tc>
        <w:tc>
          <w:tcPr>
            <w:tcW w:w="2141" w:type="dxa"/>
            <w:vAlign w:val="top"/>
          </w:tcPr>
          <w:p>
            <w:pPr>
              <w:spacing w:before="70" w:line="206" w:lineRule="auto"/>
              <w:ind w:left="659"/>
              <w:rPr>
                <w:rFonts w:ascii="仿宋" w:hAnsi="仿宋" w:eastAsia="仿宋" w:cs="仿宋"/>
                <w:sz w:val="21"/>
                <w:szCs w:val="21"/>
              </w:rPr>
            </w:pPr>
            <w:r>
              <w:rPr>
                <w:rFonts w:ascii="仿宋" w:hAnsi="仿宋" w:eastAsia="仿宋" w:cs="仿宋"/>
                <w:spacing w:val="-3"/>
                <w:sz w:val="21"/>
                <w:szCs w:val="21"/>
              </w:rPr>
              <w:t>硝酸盐氮</w:t>
            </w:r>
          </w:p>
        </w:tc>
        <w:tc>
          <w:tcPr>
            <w:tcW w:w="2486" w:type="dxa"/>
            <w:vAlign w:val="top"/>
          </w:tcPr>
          <w:p>
            <w:pPr>
              <w:pStyle w:val="6"/>
              <w:spacing w:before="107" w:line="188" w:lineRule="auto"/>
              <w:ind w:left="822"/>
            </w:pPr>
            <w:r>
              <w:rPr>
                <w:spacing w:val="-1"/>
              </w:rPr>
              <w:t>0.24~0.26</w:t>
            </w:r>
          </w:p>
        </w:tc>
        <w:tc>
          <w:tcPr>
            <w:tcW w:w="2488" w:type="dxa"/>
            <w:vAlign w:val="top"/>
          </w:tcPr>
          <w:p>
            <w:pPr>
              <w:pStyle w:val="6"/>
              <w:spacing w:before="107" w:line="188" w:lineRule="auto"/>
              <w:ind w:left="822"/>
            </w:pPr>
            <w:r>
              <w:rPr>
                <w:spacing w:val="-1"/>
              </w:rPr>
              <w:t>0.24~0.29</w:t>
            </w:r>
          </w:p>
        </w:tc>
        <w:tc>
          <w:tcPr>
            <w:tcW w:w="2486" w:type="dxa"/>
            <w:vAlign w:val="top"/>
          </w:tcPr>
          <w:p>
            <w:pPr>
              <w:pStyle w:val="6"/>
              <w:spacing w:before="107" w:line="188" w:lineRule="auto"/>
              <w:ind w:left="822"/>
            </w:pPr>
            <w:r>
              <w:rPr>
                <w:spacing w:val="-1"/>
              </w:rPr>
              <w:t>0.17~0.21</w:t>
            </w:r>
          </w:p>
        </w:tc>
        <w:tc>
          <w:tcPr>
            <w:tcW w:w="2071" w:type="dxa"/>
            <w:vAlign w:val="top"/>
          </w:tcPr>
          <w:p>
            <w:pPr>
              <w:pStyle w:val="6"/>
              <w:spacing w:before="107" w:line="188" w:lineRule="auto"/>
              <w:ind w:left="614"/>
            </w:pPr>
            <w:r>
              <w:rPr>
                <w:spacing w:val="-1"/>
              </w:rPr>
              <w:t>0.25~0.26</w:t>
            </w:r>
          </w:p>
        </w:tc>
        <w:tc>
          <w:tcPr>
            <w:tcW w:w="1570" w:type="dxa"/>
            <w:tcBorders>
              <w:right w:val="nil"/>
            </w:tcBorders>
            <w:vAlign w:val="top"/>
          </w:tcPr>
          <w:p>
            <w:pPr>
              <w:pStyle w:val="6"/>
              <w:spacing w:before="107" w:line="188" w:lineRule="auto"/>
              <w:ind w:left="700"/>
            </w:pPr>
            <w:r>
              <w:rPr>
                <w:spacing w:val="-1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31" w:type="dxa"/>
            <w:tcBorders>
              <w:left w:val="nil"/>
            </w:tcBorders>
            <w:vAlign w:val="top"/>
          </w:tcPr>
          <w:p>
            <w:pPr>
              <w:pStyle w:val="6"/>
              <w:spacing w:before="108" w:line="188" w:lineRule="auto"/>
              <w:ind w:left="272"/>
            </w:pPr>
            <w:r>
              <w:rPr>
                <w:spacing w:val="-2"/>
              </w:rPr>
              <w:t>28</w:t>
            </w:r>
          </w:p>
        </w:tc>
        <w:tc>
          <w:tcPr>
            <w:tcW w:w="2141" w:type="dxa"/>
            <w:vAlign w:val="top"/>
          </w:tcPr>
          <w:p>
            <w:pPr>
              <w:spacing w:before="71" w:line="204" w:lineRule="auto"/>
              <w:ind w:left="763"/>
              <w:rPr>
                <w:rFonts w:ascii="仿宋" w:hAnsi="仿宋" w:eastAsia="仿宋" w:cs="仿宋"/>
                <w:sz w:val="21"/>
                <w:szCs w:val="21"/>
              </w:rPr>
            </w:pPr>
            <w:r>
              <w:rPr>
                <w:rFonts w:ascii="仿宋" w:hAnsi="仿宋" w:eastAsia="仿宋" w:cs="仿宋"/>
                <w:spacing w:val="-3"/>
                <w:sz w:val="21"/>
                <w:szCs w:val="21"/>
              </w:rPr>
              <w:t>硫酸盐</w:t>
            </w:r>
          </w:p>
        </w:tc>
        <w:tc>
          <w:tcPr>
            <w:tcW w:w="2486" w:type="dxa"/>
            <w:vAlign w:val="top"/>
          </w:tcPr>
          <w:p>
            <w:pPr>
              <w:pStyle w:val="6"/>
              <w:spacing w:before="108" w:line="188" w:lineRule="auto"/>
              <w:ind w:left="1032"/>
            </w:pPr>
            <w:r>
              <w:rPr>
                <w:spacing w:val="-2"/>
              </w:rPr>
              <w:t>9~10</w:t>
            </w:r>
          </w:p>
        </w:tc>
        <w:tc>
          <w:tcPr>
            <w:tcW w:w="2488" w:type="dxa"/>
            <w:vAlign w:val="top"/>
          </w:tcPr>
          <w:p>
            <w:pPr>
              <w:pStyle w:val="6"/>
              <w:spacing w:before="108" w:line="188" w:lineRule="auto"/>
              <w:ind w:left="1000"/>
            </w:pPr>
            <w:r>
              <w:rPr>
                <w:spacing w:val="-7"/>
              </w:rPr>
              <w:t>11~12</w:t>
            </w:r>
          </w:p>
        </w:tc>
        <w:tc>
          <w:tcPr>
            <w:tcW w:w="2486" w:type="dxa"/>
            <w:vAlign w:val="top"/>
          </w:tcPr>
          <w:p>
            <w:pPr>
              <w:pStyle w:val="6"/>
              <w:spacing w:before="108" w:line="188" w:lineRule="auto"/>
              <w:ind w:left="981"/>
            </w:pPr>
            <w:r>
              <w:rPr>
                <w:spacing w:val="-2"/>
              </w:rPr>
              <w:t>65~67</w:t>
            </w:r>
          </w:p>
        </w:tc>
        <w:tc>
          <w:tcPr>
            <w:tcW w:w="2071" w:type="dxa"/>
            <w:vAlign w:val="top"/>
          </w:tcPr>
          <w:p>
            <w:pPr>
              <w:pStyle w:val="6"/>
              <w:spacing w:before="108" w:line="188" w:lineRule="auto"/>
              <w:ind w:left="927"/>
            </w:pPr>
            <w:r>
              <w:rPr>
                <w:spacing w:val="-3"/>
              </w:rPr>
              <w:t>8L</w:t>
            </w:r>
          </w:p>
        </w:tc>
        <w:tc>
          <w:tcPr>
            <w:tcW w:w="1570" w:type="dxa"/>
            <w:tcBorders>
              <w:right w:val="nil"/>
            </w:tcBorders>
            <w:vAlign w:val="top"/>
          </w:tcPr>
          <w:p>
            <w:pPr>
              <w:pStyle w:val="6"/>
              <w:spacing w:before="108" w:line="188" w:lineRule="auto"/>
              <w:ind w:left="627"/>
            </w:pPr>
            <w:r>
              <w:rPr>
                <w:spacing w:val="-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12" w:line="188" w:lineRule="auto"/>
              <w:ind w:left="272"/>
            </w:pPr>
            <w:r>
              <w:rPr>
                <w:spacing w:val="-2"/>
              </w:rPr>
              <w:t>29</w:t>
            </w:r>
          </w:p>
        </w:tc>
        <w:tc>
          <w:tcPr>
            <w:tcW w:w="2141" w:type="dxa"/>
            <w:vAlign w:val="top"/>
          </w:tcPr>
          <w:p>
            <w:pPr>
              <w:spacing w:before="75" w:line="202" w:lineRule="auto"/>
              <w:ind w:left="763"/>
              <w:rPr>
                <w:rFonts w:ascii="仿宋" w:hAnsi="仿宋" w:eastAsia="仿宋" w:cs="仿宋"/>
                <w:sz w:val="21"/>
                <w:szCs w:val="21"/>
              </w:rPr>
            </w:pPr>
            <w:r>
              <w:rPr>
                <w:rFonts w:ascii="仿宋" w:hAnsi="仿宋" w:eastAsia="仿宋" w:cs="仿宋"/>
                <w:spacing w:val="-3"/>
                <w:sz w:val="21"/>
                <w:szCs w:val="21"/>
              </w:rPr>
              <w:t>硫化物</w:t>
            </w:r>
          </w:p>
        </w:tc>
        <w:tc>
          <w:tcPr>
            <w:tcW w:w="2486" w:type="dxa"/>
            <w:vAlign w:val="top"/>
          </w:tcPr>
          <w:p>
            <w:pPr>
              <w:pStyle w:val="6"/>
              <w:spacing w:before="112" w:line="188" w:lineRule="auto"/>
              <w:ind w:left="998"/>
            </w:pPr>
            <w:r>
              <w:rPr>
                <w:spacing w:val="-2"/>
              </w:rPr>
              <w:t>0.01L</w:t>
            </w:r>
          </w:p>
        </w:tc>
        <w:tc>
          <w:tcPr>
            <w:tcW w:w="2488" w:type="dxa"/>
            <w:vAlign w:val="top"/>
          </w:tcPr>
          <w:p>
            <w:pPr>
              <w:pStyle w:val="6"/>
              <w:spacing w:before="112" w:line="188" w:lineRule="auto"/>
              <w:ind w:left="998"/>
            </w:pPr>
            <w:r>
              <w:rPr>
                <w:spacing w:val="-2"/>
              </w:rPr>
              <w:t>0.01L</w:t>
            </w:r>
          </w:p>
        </w:tc>
        <w:tc>
          <w:tcPr>
            <w:tcW w:w="2486" w:type="dxa"/>
            <w:vAlign w:val="top"/>
          </w:tcPr>
          <w:p>
            <w:pPr>
              <w:pStyle w:val="6"/>
              <w:spacing w:before="112" w:line="188" w:lineRule="auto"/>
              <w:ind w:left="998"/>
            </w:pPr>
            <w:r>
              <w:rPr>
                <w:spacing w:val="-2"/>
              </w:rPr>
              <w:t>0.01L</w:t>
            </w:r>
          </w:p>
        </w:tc>
        <w:tc>
          <w:tcPr>
            <w:tcW w:w="2071" w:type="dxa"/>
            <w:vAlign w:val="top"/>
          </w:tcPr>
          <w:p>
            <w:pPr>
              <w:pStyle w:val="6"/>
              <w:spacing w:before="112" w:line="188" w:lineRule="auto"/>
              <w:ind w:left="790"/>
            </w:pPr>
            <w:r>
              <w:rPr>
                <w:spacing w:val="-2"/>
              </w:rPr>
              <w:t>0.01L</w:t>
            </w:r>
          </w:p>
        </w:tc>
        <w:tc>
          <w:tcPr>
            <w:tcW w:w="1570" w:type="dxa"/>
            <w:tcBorders>
              <w:right w:val="nil"/>
            </w:tcBorders>
            <w:vAlign w:val="top"/>
          </w:tcPr>
          <w:p>
            <w:pPr>
              <w:pStyle w:val="6"/>
              <w:spacing w:before="112" w:line="188" w:lineRule="auto"/>
              <w:ind w:left="656"/>
            </w:pPr>
            <w:r>
              <w:rPr>
                <w:spacing w:val="-3"/>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trPr>
        <w:tc>
          <w:tcPr>
            <w:tcW w:w="731" w:type="dxa"/>
            <w:tcBorders>
              <w:left w:val="nil"/>
              <w:bottom w:val="single" w:color="000000" w:sz="12" w:space="0"/>
            </w:tcBorders>
            <w:vAlign w:val="top"/>
          </w:tcPr>
          <w:p>
            <w:pPr>
              <w:pStyle w:val="6"/>
              <w:spacing w:before="113" w:line="188" w:lineRule="auto"/>
              <w:ind w:left="276"/>
            </w:pPr>
            <w:r>
              <w:rPr>
                <w:spacing w:val="-5"/>
              </w:rPr>
              <w:t>30</w:t>
            </w:r>
          </w:p>
        </w:tc>
        <w:tc>
          <w:tcPr>
            <w:tcW w:w="2141" w:type="dxa"/>
            <w:tcBorders>
              <w:bottom w:val="single" w:color="000000" w:sz="12" w:space="0"/>
            </w:tcBorders>
            <w:vAlign w:val="top"/>
          </w:tcPr>
          <w:p>
            <w:pPr>
              <w:pStyle w:val="6"/>
              <w:spacing w:before="76" w:line="220" w:lineRule="auto"/>
              <w:ind w:left="703"/>
            </w:pPr>
            <w:r>
              <w:rPr>
                <w:rFonts w:ascii="仿宋" w:hAnsi="仿宋" w:eastAsia="仿宋" w:cs="仿宋"/>
                <w:spacing w:val="-7"/>
              </w:rPr>
              <w:t>叶绿素</w:t>
            </w:r>
            <w:r>
              <w:rPr>
                <w:rFonts w:ascii="仿宋" w:hAnsi="仿宋" w:eastAsia="仿宋" w:cs="仿宋"/>
                <w:spacing w:val="-44"/>
              </w:rPr>
              <w:t xml:space="preserve"> </w:t>
            </w:r>
            <w:r>
              <w:rPr>
                <w:spacing w:val="-7"/>
              </w:rPr>
              <w:t>a</w:t>
            </w:r>
          </w:p>
        </w:tc>
        <w:tc>
          <w:tcPr>
            <w:tcW w:w="2486" w:type="dxa"/>
            <w:tcBorders>
              <w:bottom w:val="single" w:color="000000" w:sz="12" w:space="0"/>
            </w:tcBorders>
            <w:vAlign w:val="top"/>
          </w:tcPr>
          <w:p>
            <w:pPr>
              <w:pStyle w:val="6"/>
              <w:spacing w:before="113" w:line="188" w:lineRule="auto"/>
              <w:ind w:left="945"/>
            </w:pPr>
            <w:r>
              <w:rPr>
                <w:spacing w:val="-2"/>
              </w:rPr>
              <w:t>0.004L</w:t>
            </w:r>
          </w:p>
        </w:tc>
        <w:tc>
          <w:tcPr>
            <w:tcW w:w="2488" w:type="dxa"/>
            <w:tcBorders>
              <w:bottom w:val="single" w:color="000000" w:sz="12" w:space="0"/>
            </w:tcBorders>
            <w:vAlign w:val="top"/>
          </w:tcPr>
          <w:p>
            <w:pPr>
              <w:pStyle w:val="6"/>
              <w:spacing w:before="113" w:line="188" w:lineRule="auto"/>
              <w:ind w:left="946"/>
            </w:pPr>
            <w:r>
              <w:rPr>
                <w:spacing w:val="-2"/>
              </w:rPr>
              <w:t>0.004L</w:t>
            </w:r>
          </w:p>
        </w:tc>
        <w:tc>
          <w:tcPr>
            <w:tcW w:w="2486" w:type="dxa"/>
            <w:tcBorders>
              <w:bottom w:val="single" w:color="000000" w:sz="12" w:space="0"/>
            </w:tcBorders>
            <w:vAlign w:val="top"/>
          </w:tcPr>
          <w:p>
            <w:pPr>
              <w:pStyle w:val="6"/>
              <w:spacing w:before="111" w:line="214" w:lineRule="auto"/>
              <w:ind w:left="1210"/>
            </w:pPr>
            <w:r>
              <w:t>/</w:t>
            </w:r>
          </w:p>
        </w:tc>
        <w:tc>
          <w:tcPr>
            <w:tcW w:w="2071" w:type="dxa"/>
            <w:tcBorders>
              <w:bottom w:val="single" w:color="000000" w:sz="12" w:space="0"/>
            </w:tcBorders>
            <w:vAlign w:val="top"/>
          </w:tcPr>
          <w:p>
            <w:pPr>
              <w:pStyle w:val="6"/>
              <w:spacing w:before="111" w:line="214" w:lineRule="auto"/>
              <w:ind w:left="1001"/>
            </w:pPr>
            <w:r>
              <w:t>/</w:t>
            </w:r>
          </w:p>
        </w:tc>
        <w:tc>
          <w:tcPr>
            <w:tcW w:w="1570" w:type="dxa"/>
            <w:tcBorders>
              <w:bottom w:val="single" w:color="000000" w:sz="12" w:space="0"/>
              <w:right w:val="nil"/>
            </w:tcBorders>
            <w:vAlign w:val="top"/>
          </w:tcPr>
          <w:p>
            <w:pPr>
              <w:pStyle w:val="6"/>
              <w:spacing w:before="111" w:line="214" w:lineRule="auto"/>
              <w:ind w:left="751"/>
            </w:pPr>
            <w:r>
              <w:t>/</w:t>
            </w:r>
          </w:p>
        </w:tc>
      </w:tr>
    </w:tbl>
    <w:p>
      <w:pPr>
        <w:spacing w:line="293" w:lineRule="auto"/>
        <w:rPr>
          <w:rFonts w:ascii="Arial"/>
          <w:sz w:val="21"/>
        </w:rPr>
      </w:pPr>
    </w:p>
    <w:p>
      <w:pPr>
        <w:spacing w:before="68" w:line="212" w:lineRule="auto"/>
        <w:ind w:left="4451"/>
        <w:rPr>
          <w:rFonts w:ascii="Times New Roman" w:hAnsi="Times New Roman" w:eastAsia="Times New Roman" w:cs="Times New Roman"/>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Times New Roman" w:hAnsi="Times New Roman" w:eastAsia="Times New Roman" w:cs="Times New Roman"/>
          <w:b/>
          <w:bCs/>
          <w:sz w:val="21"/>
          <w:szCs w:val="21"/>
        </w:rPr>
        <w:t xml:space="preserve">3.2-3    </w:t>
      </w:r>
      <w:r>
        <w:rPr>
          <w:rFonts w:ascii="宋体" w:hAnsi="宋体" w:eastAsia="宋体" w:cs="宋体"/>
          <w:sz w:val="21"/>
          <w:szCs w:val="21"/>
          <w14:textOutline w14:w="3810" w14:cap="flat" w14:cmpd="sng">
            <w14:solidFill>
              <w14:srgbClr w14:val="000000"/>
            </w14:solidFill>
            <w14:prstDash w14:val="solid"/>
            <w14:miter w14:val="0"/>
          </w14:textOutline>
        </w:rPr>
        <w:t>项目区域水环境质量现状监测结果单位：</w:t>
      </w:r>
      <w:r>
        <w:rPr>
          <w:rFonts w:ascii="Times New Roman" w:hAnsi="Times New Roman" w:eastAsia="Times New Roman" w:cs="Times New Roman"/>
          <w:b/>
          <w:bCs/>
          <w:sz w:val="21"/>
          <w:szCs w:val="21"/>
        </w:rPr>
        <w:t>mg/L</w:t>
      </w:r>
    </w:p>
    <w:p>
      <w:pPr>
        <w:spacing w:line="19" w:lineRule="exact"/>
      </w:pPr>
    </w:p>
    <w:tbl>
      <w:tblPr>
        <w:tblStyle w:val="5"/>
        <w:tblW w:w="1397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1278"/>
        <w:gridCol w:w="1572"/>
        <w:gridCol w:w="1570"/>
        <w:gridCol w:w="1571"/>
        <w:gridCol w:w="1578"/>
        <w:gridCol w:w="1578"/>
        <w:gridCol w:w="1578"/>
        <w:gridCol w:w="1578"/>
        <w:gridCol w:w="1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555" w:type="dxa"/>
            <w:vMerge w:val="restart"/>
            <w:tcBorders>
              <w:top w:val="single" w:color="000000" w:sz="12" w:space="0"/>
              <w:left w:val="nil"/>
              <w:bottom w:val="nil"/>
            </w:tcBorders>
            <w:textDirection w:val="tbRlV"/>
            <w:vAlign w:val="top"/>
          </w:tcPr>
          <w:p>
            <w:pPr>
              <w:spacing w:before="160" w:line="202" w:lineRule="auto"/>
              <w:ind w:left="37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序</w:t>
            </w:r>
            <w:r>
              <w:rPr>
                <w:rFonts w:ascii="仿宋" w:hAnsi="仿宋" w:eastAsia="仿宋" w:cs="仿宋"/>
                <w:spacing w:val="-2"/>
                <w:sz w:val="21"/>
                <w:szCs w:val="21"/>
              </w:rPr>
              <w:t xml:space="preserve"> </w:t>
            </w:r>
            <w:r>
              <w:rPr>
                <w:rFonts w:ascii="仿宋" w:hAnsi="仿宋" w:eastAsia="仿宋" w:cs="仿宋"/>
                <w:spacing w:val="-2"/>
                <w:sz w:val="21"/>
                <w:szCs w:val="21"/>
                <w14:textOutline w14:w="3810" w14:cap="flat" w14:cmpd="sng">
                  <w14:solidFill>
                    <w14:srgbClr w14:val="000000"/>
                  </w14:solidFill>
                  <w14:prstDash w14:val="solid"/>
                  <w14:miter w14:val="0"/>
                </w14:textOutline>
              </w:rPr>
              <w:t>号</w:t>
            </w:r>
          </w:p>
        </w:tc>
        <w:tc>
          <w:tcPr>
            <w:tcW w:w="1278" w:type="dxa"/>
            <w:vMerge w:val="restart"/>
            <w:tcBorders>
              <w:top w:val="single" w:color="000000" w:sz="12" w:space="0"/>
              <w:bottom w:val="nil"/>
            </w:tcBorders>
            <w:vAlign w:val="top"/>
          </w:tcPr>
          <w:p>
            <w:pPr>
              <w:spacing w:line="456" w:lineRule="auto"/>
              <w:rPr>
                <w:rFonts w:ascii="Arial"/>
                <w:sz w:val="21"/>
              </w:rPr>
            </w:pPr>
          </w:p>
          <w:p>
            <w:pPr>
              <w:spacing w:before="68" w:line="219" w:lineRule="auto"/>
              <w:ind w:left="23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监测因子</w:t>
            </w:r>
          </w:p>
        </w:tc>
        <w:tc>
          <w:tcPr>
            <w:tcW w:w="11025" w:type="dxa"/>
            <w:gridSpan w:val="7"/>
            <w:tcBorders>
              <w:top w:val="single" w:color="000000" w:sz="12" w:space="0"/>
            </w:tcBorders>
            <w:vAlign w:val="top"/>
          </w:tcPr>
          <w:p>
            <w:pPr>
              <w:spacing w:before="50" w:line="219" w:lineRule="auto"/>
              <w:ind w:left="521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115" w:type="dxa"/>
            <w:vMerge w:val="restart"/>
            <w:tcBorders>
              <w:top w:val="single" w:color="000000" w:sz="12" w:space="0"/>
              <w:bottom w:val="nil"/>
              <w:right w:val="nil"/>
            </w:tcBorders>
            <w:vAlign w:val="top"/>
          </w:tcPr>
          <w:p>
            <w:pPr>
              <w:spacing w:line="301" w:lineRule="auto"/>
              <w:rPr>
                <w:rFonts w:ascii="Arial"/>
                <w:sz w:val="21"/>
              </w:rPr>
            </w:pPr>
          </w:p>
          <w:p>
            <w:pPr>
              <w:spacing w:before="68" w:line="218" w:lineRule="auto"/>
              <w:ind w:left="145"/>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标准限值</w:t>
            </w:r>
          </w:p>
          <w:p>
            <w:pPr>
              <w:pStyle w:val="6"/>
              <w:spacing w:before="63" w:line="232" w:lineRule="auto"/>
              <w:ind w:left="274"/>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w:t>
            </w:r>
            <w:r>
              <w:rPr>
                <w:b/>
                <w:bCs/>
                <w:spacing w:val="-4"/>
              </w:rPr>
              <w:t>II</w:t>
            </w:r>
            <w:r>
              <w:rPr>
                <w:rFonts w:ascii="仿宋" w:hAnsi="仿宋" w:eastAsia="仿宋" w:cs="仿宋"/>
                <w:spacing w:val="-4"/>
                <w14:textOutline w14:w="3810" w14:cap="flat" w14:cmpd="sng">
                  <w14:solidFill>
                    <w14:srgbClr w14:val="000000"/>
                  </w14:solidFill>
                  <w14:prstDash w14:val="solid"/>
                  <w14:miter w14:val="0"/>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4" w:hRule="atLeast"/>
        </w:trPr>
        <w:tc>
          <w:tcPr>
            <w:tcW w:w="555" w:type="dxa"/>
            <w:vMerge w:val="continue"/>
            <w:tcBorders>
              <w:top w:val="nil"/>
              <w:left w:val="nil"/>
            </w:tcBorders>
            <w:textDirection w:val="tbRlV"/>
            <w:vAlign w:val="top"/>
          </w:tcPr>
          <w:p>
            <w:pPr>
              <w:rPr>
                <w:rFonts w:ascii="Arial"/>
                <w:sz w:val="21"/>
              </w:rPr>
            </w:pPr>
          </w:p>
        </w:tc>
        <w:tc>
          <w:tcPr>
            <w:tcW w:w="1278" w:type="dxa"/>
            <w:vMerge w:val="continue"/>
            <w:tcBorders>
              <w:top w:val="nil"/>
            </w:tcBorders>
            <w:vAlign w:val="top"/>
          </w:tcPr>
          <w:p>
            <w:pPr>
              <w:rPr>
                <w:rFonts w:ascii="Arial"/>
                <w:sz w:val="21"/>
              </w:rPr>
            </w:pPr>
          </w:p>
        </w:tc>
        <w:tc>
          <w:tcPr>
            <w:tcW w:w="1572" w:type="dxa"/>
            <w:vAlign w:val="top"/>
          </w:tcPr>
          <w:p>
            <w:pPr>
              <w:spacing w:before="208" w:line="217" w:lineRule="auto"/>
              <w:ind w:left="16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昔木乍箐与见</w:t>
            </w:r>
          </w:p>
          <w:p>
            <w:pPr>
              <w:spacing w:before="65" w:line="219" w:lineRule="auto"/>
              <w:ind w:left="27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簸箐交汇口</w:t>
            </w:r>
          </w:p>
        </w:tc>
        <w:tc>
          <w:tcPr>
            <w:tcW w:w="1570" w:type="dxa"/>
            <w:vAlign w:val="top"/>
          </w:tcPr>
          <w:p>
            <w:pPr>
              <w:spacing w:before="208" w:line="247" w:lineRule="auto"/>
              <w:ind w:left="587" w:right="148" w:hanging="42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六姑乍箐取水</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坝处</w:t>
            </w:r>
          </w:p>
        </w:tc>
        <w:tc>
          <w:tcPr>
            <w:tcW w:w="1571" w:type="dxa"/>
            <w:vAlign w:val="top"/>
          </w:tcPr>
          <w:p>
            <w:pPr>
              <w:spacing w:line="294" w:lineRule="auto"/>
              <w:rPr>
                <w:rFonts w:ascii="Arial"/>
                <w:sz w:val="21"/>
              </w:rPr>
            </w:pPr>
          </w:p>
          <w:p>
            <w:pPr>
              <w:spacing w:before="68" w:line="219" w:lineRule="auto"/>
              <w:ind w:left="47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万马河</w:t>
            </w:r>
          </w:p>
        </w:tc>
        <w:tc>
          <w:tcPr>
            <w:tcW w:w="1578" w:type="dxa"/>
            <w:vAlign w:val="top"/>
          </w:tcPr>
          <w:p>
            <w:pPr>
              <w:spacing w:line="294" w:lineRule="auto"/>
              <w:rPr>
                <w:rFonts w:ascii="Arial"/>
                <w:sz w:val="21"/>
              </w:rPr>
            </w:pPr>
          </w:p>
          <w:p>
            <w:pPr>
              <w:spacing w:before="68" w:line="219" w:lineRule="auto"/>
              <w:ind w:left="37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者纳么河</w:t>
            </w:r>
          </w:p>
        </w:tc>
        <w:tc>
          <w:tcPr>
            <w:tcW w:w="1578" w:type="dxa"/>
            <w:vAlign w:val="top"/>
          </w:tcPr>
          <w:p>
            <w:pPr>
              <w:spacing w:line="294" w:lineRule="auto"/>
              <w:rPr>
                <w:rFonts w:ascii="Arial"/>
                <w:sz w:val="21"/>
              </w:rPr>
            </w:pPr>
          </w:p>
          <w:p>
            <w:pPr>
              <w:spacing w:before="68" w:line="219" w:lineRule="auto"/>
              <w:ind w:left="48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六苴河</w:t>
            </w:r>
          </w:p>
        </w:tc>
        <w:tc>
          <w:tcPr>
            <w:tcW w:w="1578" w:type="dxa"/>
            <w:vAlign w:val="top"/>
          </w:tcPr>
          <w:p>
            <w:pPr>
              <w:spacing w:before="52" w:line="246" w:lineRule="auto"/>
              <w:ind w:left="389" w:right="153" w:hanging="22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输水线汇入碧</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么水库前</w:t>
            </w:r>
          </w:p>
          <w:p>
            <w:pPr>
              <w:pStyle w:val="6"/>
              <w:spacing w:before="65" w:line="217" w:lineRule="auto"/>
              <w:ind w:left="414"/>
              <w:rPr>
                <w:rFonts w:ascii="仿宋" w:hAnsi="仿宋" w:eastAsia="仿宋" w:cs="仿宋"/>
              </w:rPr>
            </w:pPr>
            <w:r>
              <w:rPr>
                <w:b/>
                <w:bCs/>
                <w:spacing w:val="-2"/>
              </w:rPr>
              <w:t>500m</w:t>
            </w:r>
            <w:r>
              <w:rPr>
                <w:b/>
                <w:bCs/>
                <w:spacing w:val="17"/>
                <w:w w:val="101"/>
              </w:rPr>
              <w:t xml:space="preserve"> </w:t>
            </w:r>
            <w:r>
              <w:rPr>
                <w:rFonts w:ascii="仿宋" w:hAnsi="仿宋" w:eastAsia="仿宋" w:cs="仿宋"/>
                <w:spacing w:val="-2"/>
                <w14:textOutline w14:w="3810" w14:cap="flat" w14:cmpd="sng">
                  <w14:solidFill>
                    <w14:srgbClr w14:val="000000"/>
                  </w14:solidFill>
                  <w14:prstDash w14:val="solid"/>
                  <w14:miter w14:val="0"/>
                </w14:textOutline>
              </w:rPr>
              <w:t>处</w:t>
            </w:r>
          </w:p>
        </w:tc>
        <w:tc>
          <w:tcPr>
            <w:tcW w:w="1578" w:type="dxa"/>
            <w:vAlign w:val="top"/>
          </w:tcPr>
          <w:p>
            <w:pPr>
              <w:spacing w:line="294" w:lineRule="auto"/>
              <w:rPr>
                <w:rFonts w:ascii="Arial"/>
                <w:sz w:val="21"/>
              </w:rPr>
            </w:pPr>
          </w:p>
          <w:p>
            <w:pPr>
              <w:spacing w:before="69" w:line="218" w:lineRule="auto"/>
              <w:ind w:left="38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碧么水库</w:t>
            </w:r>
          </w:p>
        </w:tc>
        <w:tc>
          <w:tcPr>
            <w:tcW w:w="1115"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555" w:type="dxa"/>
            <w:tcBorders>
              <w:left w:val="nil"/>
            </w:tcBorders>
            <w:vAlign w:val="top"/>
          </w:tcPr>
          <w:p>
            <w:pPr>
              <w:pStyle w:val="6"/>
              <w:spacing w:before="96" w:line="188" w:lineRule="auto"/>
              <w:ind w:left="257"/>
            </w:pPr>
            <w:r>
              <w:t>1</w:t>
            </w:r>
          </w:p>
        </w:tc>
        <w:tc>
          <w:tcPr>
            <w:tcW w:w="1278" w:type="dxa"/>
            <w:vAlign w:val="top"/>
          </w:tcPr>
          <w:p>
            <w:pPr>
              <w:spacing w:before="59" w:line="214" w:lineRule="auto"/>
              <w:ind w:left="120"/>
              <w:rPr>
                <w:rFonts w:ascii="宋体" w:hAnsi="宋体" w:eastAsia="宋体" w:cs="宋体"/>
                <w:sz w:val="21"/>
                <w:szCs w:val="21"/>
              </w:rPr>
            </w:pPr>
            <w:r>
              <w:rPr>
                <w:rFonts w:ascii="宋体" w:hAnsi="宋体" w:eastAsia="宋体" w:cs="宋体"/>
                <w:spacing w:val="16"/>
                <w:sz w:val="21"/>
                <w:szCs w:val="21"/>
              </w:rPr>
              <w:t>水温(℃)</w:t>
            </w:r>
          </w:p>
        </w:tc>
        <w:tc>
          <w:tcPr>
            <w:tcW w:w="1572" w:type="dxa"/>
            <w:vAlign w:val="top"/>
          </w:tcPr>
          <w:p>
            <w:pPr>
              <w:pStyle w:val="6"/>
              <w:spacing w:before="96" w:line="188" w:lineRule="auto"/>
              <w:ind w:left="381"/>
            </w:pPr>
            <w:r>
              <w:rPr>
                <w:spacing w:val="-3"/>
              </w:rPr>
              <w:t>16.8~17.8</w:t>
            </w:r>
          </w:p>
        </w:tc>
        <w:tc>
          <w:tcPr>
            <w:tcW w:w="1570" w:type="dxa"/>
            <w:vAlign w:val="top"/>
          </w:tcPr>
          <w:p>
            <w:pPr>
              <w:pStyle w:val="6"/>
              <w:spacing w:before="96" w:line="188" w:lineRule="auto"/>
              <w:ind w:left="380"/>
            </w:pPr>
            <w:r>
              <w:rPr>
                <w:spacing w:val="-3"/>
              </w:rPr>
              <w:t>16.8~17.4</w:t>
            </w:r>
          </w:p>
        </w:tc>
        <w:tc>
          <w:tcPr>
            <w:tcW w:w="1571" w:type="dxa"/>
            <w:vAlign w:val="top"/>
          </w:tcPr>
          <w:p>
            <w:pPr>
              <w:pStyle w:val="6"/>
              <w:spacing w:before="96" w:line="188" w:lineRule="auto"/>
              <w:ind w:left="380"/>
            </w:pPr>
            <w:r>
              <w:rPr>
                <w:spacing w:val="-3"/>
              </w:rPr>
              <w:t>15.8~16.8</w:t>
            </w:r>
          </w:p>
        </w:tc>
        <w:tc>
          <w:tcPr>
            <w:tcW w:w="1578" w:type="dxa"/>
            <w:vAlign w:val="top"/>
          </w:tcPr>
          <w:p>
            <w:pPr>
              <w:pStyle w:val="6"/>
              <w:spacing w:before="96" w:line="188" w:lineRule="auto"/>
              <w:ind w:left="463"/>
            </w:pPr>
            <w:r>
              <w:rPr>
                <w:spacing w:val="-4"/>
              </w:rPr>
              <w:t>16.8~17</w:t>
            </w:r>
          </w:p>
        </w:tc>
        <w:tc>
          <w:tcPr>
            <w:tcW w:w="1578" w:type="dxa"/>
            <w:vAlign w:val="top"/>
          </w:tcPr>
          <w:p>
            <w:pPr>
              <w:pStyle w:val="6"/>
              <w:spacing w:before="96" w:line="188" w:lineRule="auto"/>
              <w:ind w:left="385"/>
            </w:pPr>
            <w:r>
              <w:rPr>
                <w:spacing w:val="-3"/>
              </w:rPr>
              <w:t>17.0~17.2</w:t>
            </w:r>
          </w:p>
        </w:tc>
        <w:tc>
          <w:tcPr>
            <w:tcW w:w="1578" w:type="dxa"/>
            <w:vAlign w:val="top"/>
          </w:tcPr>
          <w:p>
            <w:pPr>
              <w:pStyle w:val="6"/>
              <w:spacing w:before="96" w:line="188" w:lineRule="auto"/>
              <w:ind w:left="385"/>
            </w:pPr>
            <w:r>
              <w:rPr>
                <w:spacing w:val="-3"/>
              </w:rPr>
              <w:t>16.4~16.8</w:t>
            </w:r>
          </w:p>
        </w:tc>
        <w:tc>
          <w:tcPr>
            <w:tcW w:w="1578" w:type="dxa"/>
            <w:vAlign w:val="top"/>
          </w:tcPr>
          <w:p>
            <w:pPr>
              <w:pStyle w:val="6"/>
              <w:spacing w:before="96" w:line="188" w:lineRule="auto"/>
              <w:ind w:left="385"/>
            </w:pPr>
            <w:r>
              <w:rPr>
                <w:spacing w:val="-3"/>
              </w:rPr>
              <w:t>17.2~17.6</w:t>
            </w:r>
          </w:p>
        </w:tc>
        <w:tc>
          <w:tcPr>
            <w:tcW w:w="1115" w:type="dxa"/>
            <w:tcBorders>
              <w:right w:val="nil"/>
            </w:tcBorders>
            <w:vAlign w:val="top"/>
          </w:tcPr>
          <w:p>
            <w:pPr>
              <w:pStyle w:val="6"/>
              <w:spacing w:before="94" w:line="207" w:lineRule="auto"/>
              <w:ind w:left="524"/>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555" w:type="dxa"/>
            <w:tcBorders>
              <w:left w:val="nil"/>
            </w:tcBorders>
            <w:vAlign w:val="top"/>
          </w:tcPr>
          <w:p>
            <w:pPr>
              <w:pStyle w:val="6"/>
              <w:spacing w:before="256" w:line="188" w:lineRule="auto"/>
              <w:ind w:left="237"/>
            </w:pPr>
            <w:r>
              <w:t>2</w:t>
            </w:r>
          </w:p>
        </w:tc>
        <w:tc>
          <w:tcPr>
            <w:tcW w:w="1278" w:type="dxa"/>
            <w:vAlign w:val="top"/>
          </w:tcPr>
          <w:p>
            <w:pPr>
              <w:pStyle w:val="6"/>
              <w:spacing w:before="63" w:line="213" w:lineRule="auto"/>
              <w:ind w:left="190"/>
              <w:rPr>
                <w:rFonts w:ascii="仿宋" w:hAnsi="仿宋" w:eastAsia="仿宋" w:cs="仿宋"/>
              </w:rPr>
            </w:pPr>
            <w:r>
              <w:rPr>
                <w:spacing w:val="-3"/>
              </w:rPr>
              <w:t>pH</w:t>
            </w:r>
            <w:r>
              <w:rPr>
                <w:rFonts w:ascii="仿宋" w:hAnsi="仿宋" w:eastAsia="仿宋" w:cs="仿宋"/>
                <w:spacing w:val="-3"/>
              </w:rPr>
              <w:t>（无量</w:t>
            </w:r>
          </w:p>
          <w:p>
            <w:pPr>
              <w:spacing w:before="70" w:line="209" w:lineRule="auto"/>
              <w:ind w:left="439"/>
              <w:rPr>
                <w:rFonts w:ascii="仿宋" w:hAnsi="仿宋" w:eastAsia="仿宋" w:cs="仿宋"/>
                <w:sz w:val="21"/>
                <w:szCs w:val="21"/>
              </w:rPr>
            </w:pPr>
            <w:r>
              <w:rPr>
                <w:rFonts w:ascii="仿宋" w:hAnsi="仿宋" w:eastAsia="仿宋" w:cs="仿宋"/>
                <w:spacing w:val="-8"/>
                <w:sz w:val="21"/>
                <w:szCs w:val="21"/>
              </w:rPr>
              <w:t>纲）</w:t>
            </w:r>
          </w:p>
        </w:tc>
        <w:tc>
          <w:tcPr>
            <w:tcW w:w="1572" w:type="dxa"/>
            <w:vAlign w:val="top"/>
          </w:tcPr>
          <w:p>
            <w:pPr>
              <w:pStyle w:val="6"/>
              <w:spacing w:before="256" w:line="188" w:lineRule="auto"/>
              <w:ind w:left="470"/>
            </w:pPr>
            <w:r>
              <w:rPr>
                <w:spacing w:val="-1"/>
              </w:rPr>
              <w:t>7.5~7.6</w:t>
            </w:r>
          </w:p>
        </w:tc>
        <w:tc>
          <w:tcPr>
            <w:tcW w:w="1570" w:type="dxa"/>
            <w:vAlign w:val="top"/>
          </w:tcPr>
          <w:p>
            <w:pPr>
              <w:pStyle w:val="6"/>
              <w:spacing w:before="256" w:line="188" w:lineRule="auto"/>
              <w:ind w:left="469"/>
            </w:pPr>
            <w:r>
              <w:rPr>
                <w:spacing w:val="-1"/>
              </w:rPr>
              <w:t>7.6~7.7</w:t>
            </w:r>
          </w:p>
        </w:tc>
        <w:tc>
          <w:tcPr>
            <w:tcW w:w="1571" w:type="dxa"/>
            <w:vAlign w:val="top"/>
          </w:tcPr>
          <w:p>
            <w:pPr>
              <w:pStyle w:val="6"/>
              <w:spacing w:before="256" w:line="188" w:lineRule="auto"/>
              <w:ind w:left="468"/>
            </w:pPr>
            <w:r>
              <w:rPr>
                <w:spacing w:val="-1"/>
              </w:rPr>
              <w:t>7.5~7.6</w:t>
            </w:r>
          </w:p>
        </w:tc>
        <w:tc>
          <w:tcPr>
            <w:tcW w:w="1578" w:type="dxa"/>
            <w:vAlign w:val="top"/>
          </w:tcPr>
          <w:p>
            <w:pPr>
              <w:pStyle w:val="6"/>
              <w:spacing w:before="256" w:line="188" w:lineRule="auto"/>
              <w:ind w:left="661"/>
            </w:pPr>
            <w:r>
              <w:rPr>
                <w:spacing w:val="-3"/>
              </w:rPr>
              <w:t>7.6</w:t>
            </w:r>
          </w:p>
        </w:tc>
        <w:tc>
          <w:tcPr>
            <w:tcW w:w="1578" w:type="dxa"/>
            <w:vAlign w:val="top"/>
          </w:tcPr>
          <w:p>
            <w:pPr>
              <w:pStyle w:val="6"/>
              <w:spacing w:before="256" w:line="188" w:lineRule="auto"/>
              <w:ind w:left="661"/>
            </w:pPr>
            <w:r>
              <w:rPr>
                <w:spacing w:val="-3"/>
              </w:rPr>
              <w:t>7.6</w:t>
            </w:r>
          </w:p>
        </w:tc>
        <w:tc>
          <w:tcPr>
            <w:tcW w:w="1578" w:type="dxa"/>
            <w:vAlign w:val="top"/>
          </w:tcPr>
          <w:p>
            <w:pPr>
              <w:pStyle w:val="6"/>
              <w:spacing w:before="256" w:line="188" w:lineRule="auto"/>
              <w:ind w:left="472"/>
            </w:pPr>
            <w:r>
              <w:rPr>
                <w:spacing w:val="-1"/>
              </w:rPr>
              <w:t>7.6~7.7</w:t>
            </w:r>
          </w:p>
        </w:tc>
        <w:tc>
          <w:tcPr>
            <w:tcW w:w="1578" w:type="dxa"/>
            <w:vAlign w:val="top"/>
          </w:tcPr>
          <w:p>
            <w:pPr>
              <w:pStyle w:val="6"/>
              <w:spacing w:before="256" w:line="188" w:lineRule="auto"/>
              <w:ind w:left="661"/>
            </w:pPr>
            <w:r>
              <w:rPr>
                <w:spacing w:val="-3"/>
              </w:rPr>
              <w:t>7.6</w:t>
            </w:r>
          </w:p>
        </w:tc>
        <w:tc>
          <w:tcPr>
            <w:tcW w:w="1115" w:type="dxa"/>
            <w:tcBorders>
              <w:right w:val="nil"/>
            </w:tcBorders>
            <w:vAlign w:val="top"/>
          </w:tcPr>
          <w:p>
            <w:pPr>
              <w:pStyle w:val="6"/>
              <w:spacing w:before="256" w:line="188" w:lineRule="auto"/>
              <w:ind w:left="400"/>
            </w:pPr>
            <w:r>
              <w:rPr>
                <w:spacing w:val="-3"/>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555" w:type="dxa"/>
            <w:tcBorders>
              <w:left w:val="nil"/>
            </w:tcBorders>
            <w:vAlign w:val="top"/>
          </w:tcPr>
          <w:p>
            <w:pPr>
              <w:pStyle w:val="6"/>
              <w:spacing w:before="105" w:line="188" w:lineRule="auto"/>
              <w:ind w:left="241"/>
            </w:pPr>
            <w:r>
              <w:t>3</w:t>
            </w:r>
          </w:p>
        </w:tc>
        <w:tc>
          <w:tcPr>
            <w:tcW w:w="1278" w:type="dxa"/>
            <w:vAlign w:val="top"/>
          </w:tcPr>
          <w:p>
            <w:pPr>
              <w:spacing w:before="68" w:line="206" w:lineRule="auto"/>
              <w:ind w:left="330"/>
              <w:rPr>
                <w:rFonts w:ascii="宋体" w:hAnsi="宋体" w:eastAsia="宋体" w:cs="宋体"/>
                <w:sz w:val="21"/>
                <w:szCs w:val="21"/>
              </w:rPr>
            </w:pPr>
            <w:r>
              <w:rPr>
                <w:rFonts w:ascii="宋体" w:hAnsi="宋体" w:eastAsia="宋体" w:cs="宋体"/>
                <w:spacing w:val="-3"/>
                <w:sz w:val="21"/>
                <w:szCs w:val="21"/>
              </w:rPr>
              <w:t>溶解氧</w:t>
            </w:r>
          </w:p>
        </w:tc>
        <w:tc>
          <w:tcPr>
            <w:tcW w:w="1572" w:type="dxa"/>
            <w:vAlign w:val="top"/>
          </w:tcPr>
          <w:p>
            <w:pPr>
              <w:pStyle w:val="6"/>
              <w:spacing w:before="105" w:line="188" w:lineRule="auto"/>
              <w:ind w:left="471"/>
            </w:pPr>
            <w:r>
              <w:rPr>
                <w:spacing w:val="-2"/>
              </w:rPr>
              <w:t>6.3~7.0</w:t>
            </w:r>
          </w:p>
        </w:tc>
        <w:tc>
          <w:tcPr>
            <w:tcW w:w="1570" w:type="dxa"/>
            <w:vAlign w:val="top"/>
          </w:tcPr>
          <w:p>
            <w:pPr>
              <w:pStyle w:val="6"/>
              <w:spacing w:before="105" w:line="188" w:lineRule="auto"/>
              <w:ind w:left="471"/>
            </w:pPr>
            <w:r>
              <w:rPr>
                <w:spacing w:val="-2"/>
              </w:rPr>
              <w:t>5.9~6.2</w:t>
            </w:r>
          </w:p>
        </w:tc>
        <w:tc>
          <w:tcPr>
            <w:tcW w:w="1571" w:type="dxa"/>
            <w:vAlign w:val="top"/>
          </w:tcPr>
          <w:p>
            <w:pPr>
              <w:pStyle w:val="6"/>
              <w:spacing w:before="105" w:line="188" w:lineRule="auto"/>
              <w:ind w:left="471"/>
            </w:pPr>
            <w:r>
              <w:rPr>
                <w:spacing w:val="-2"/>
              </w:rPr>
              <w:t>5.8~6.4</w:t>
            </w:r>
          </w:p>
        </w:tc>
        <w:tc>
          <w:tcPr>
            <w:tcW w:w="1578" w:type="dxa"/>
            <w:vAlign w:val="top"/>
          </w:tcPr>
          <w:p>
            <w:pPr>
              <w:pStyle w:val="6"/>
              <w:spacing w:before="105" w:line="188" w:lineRule="auto"/>
              <w:ind w:left="474"/>
            </w:pPr>
            <w:r>
              <w:rPr>
                <w:spacing w:val="-2"/>
              </w:rPr>
              <w:t>6.9~7.2</w:t>
            </w:r>
          </w:p>
        </w:tc>
        <w:tc>
          <w:tcPr>
            <w:tcW w:w="1578" w:type="dxa"/>
            <w:vAlign w:val="top"/>
          </w:tcPr>
          <w:p>
            <w:pPr>
              <w:pStyle w:val="6"/>
              <w:spacing w:before="105" w:line="188" w:lineRule="auto"/>
              <w:ind w:left="475"/>
            </w:pPr>
            <w:r>
              <w:rPr>
                <w:spacing w:val="-2"/>
              </w:rPr>
              <w:t>5.7~6.3</w:t>
            </w:r>
          </w:p>
        </w:tc>
        <w:tc>
          <w:tcPr>
            <w:tcW w:w="1578" w:type="dxa"/>
            <w:vAlign w:val="top"/>
          </w:tcPr>
          <w:p>
            <w:pPr>
              <w:pStyle w:val="6"/>
              <w:spacing w:before="105" w:line="188" w:lineRule="auto"/>
              <w:ind w:left="475"/>
            </w:pPr>
            <w:r>
              <w:rPr>
                <w:spacing w:val="-2"/>
              </w:rPr>
              <w:t>5.8~6.2</w:t>
            </w:r>
          </w:p>
        </w:tc>
        <w:tc>
          <w:tcPr>
            <w:tcW w:w="1578" w:type="dxa"/>
            <w:vAlign w:val="top"/>
          </w:tcPr>
          <w:p>
            <w:pPr>
              <w:pStyle w:val="6"/>
              <w:spacing w:before="105" w:line="188" w:lineRule="auto"/>
              <w:ind w:left="474"/>
            </w:pPr>
            <w:r>
              <w:rPr>
                <w:spacing w:val="-2"/>
              </w:rPr>
              <w:t>6.9~7.3</w:t>
            </w:r>
          </w:p>
        </w:tc>
        <w:tc>
          <w:tcPr>
            <w:tcW w:w="1115" w:type="dxa"/>
            <w:tcBorders>
              <w:right w:val="nil"/>
            </w:tcBorders>
            <w:vAlign w:val="top"/>
          </w:tcPr>
          <w:p>
            <w:pPr>
              <w:pStyle w:val="6"/>
              <w:spacing w:before="105" w:line="188" w:lineRule="auto"/>
              <w:ind w:left="510"/>
            </w:pPr>
            <w: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555" w:type="dxa"/>
            <w:tcBorders>
              <w:left w:val="nil"/>
            </w:tcBorders>
            <w:vAlign w:val="top"/>
          </w:tcPr>
          <w:p>
            <w:pPr>
              <w:pStyle w:val="6"/>
              <w:spacing w:before="109" w:line="188" w:lineRule="auto"/>
              <w:ind w:left="236"/>
            </w:pPr>
            <w:r>
              <w:t>4</w:t>
            </w:r>
          </w:p>
        </w:tc>
        <w:tc>
          <w:tcPr>
            <w:tcW w:w="1278" w:type="dxa"/>
            <w:vAlign w:val="top"/>
          </w:tcPr>
          <w:p>
            <w:pPr>
              <w:spacing w:before="73" w:line="203" w:lineRule="auto"/>
              <w:ind w:left="328"/>
              <w:rPr>
                <w:rFonts w:ascii="宋体" w:hAnsi="宋体" w:eastAsia="宋体" w:cs="宋体"/>
                <w:sz w:val="21"/>
                <w:szCs w:val="21"/>
              </w:rPr>
            </w:pPr>
            <w:r>
              <w:rPr>
                <w:rFonts w:ascii="宋体" w:hAnsi="宋体" w:eastAsia="宋体" w:cs="宋体"/>
                <w:spacing w:val="-3"/>
                <w:sz w:val="21"/>
                <w:szCs w:val="21"/>
              </w:rPr>
              <w:t>石油类</w:t>
            </w:r>
          </w:p>
        </w:tc>
        <w:tc>
          <w:tcPr>
            <w:tcW w:w="1572" w:type="dxa"/>
            <w:vAlign w:val="top"/>
          </w:tcPr>
          <w:p>
            <w:pPr>
              <w:pStyle w:val="6"/>
              <w:spacing w:before="109" w:line="188" w:lineRule="auto"/>
              <w:ind w:left="605"/>
            </w:pPr>
            <w:r>
              <w:rPr>
                <w:spacing w:val="-2"/>
              </w:rPr>
              <w:t>0.01</w:t>
            </w:r>
          </w:p>
        </w:tc>
        <w:tc>
          <w:tcPr>
            <w:tcW w:w="1570" w:type="dxa"/>
            <w:vAlign w:val="top"/>
          </w:tcPr>
          <w:p>
            <w:pPr>
              <w:pStyle w:val="6"/>
              <w:spacing w:before="109" w:line="188" w:lineRule="auto"/>
              <w:ind w:left="604"/>
            </w:pPr>
            <w:r>
              <w:rPr>
                <w:spacing w:val="-2"/>
              </w:rPr>
              <w:t>0.01</w:t>
            </w:r>
          </w:p>
        </w:tc>
        <w:tc>
          <w:tcPr>
            <w:tcW w:w="1571" w:type="dxa"/>
            <w:vAlign w:val="top"/>
          </w:tcPr>
          <w:p>
            <w:pPr>
              <w:pStyle w:val="6"/>
              <w:spacing w:before="109" w:line="188" w:lineRule="auto"/>
              <w:ind w:left="539"/>
            </w:pPr>
            <w:r>
              <w:rPr>
                <w:spacing w:val="-2"/>
              </w:rPr>
              <w:t>0.01L</w:t>
            </w:r>
          </w:p>
        </w:tc>
        <w:tc>
          <w:tcPr>
            <w:tcW w:w="1578" w:type="dxa"/>
            <w:vAlign w:val="top"/>
          </w:tcPr>
          <w:p>
            <w:pPr>
              <w:pStyle w:val="6"/>
              <w:spacing w:before="109" w:line="188" w:lineRule="auto"/>
              <w:ind w:left="544"/>
            </w:pPr>
            <w:r>
              <w:rPr>
                <w:spacing w:val="-2"/>
              </w:rPr>
              <w:t>0.01L</w:t>
            </w:r>
          </w:p>
        </w:tc>
        <w:tc>
          <w:tcPr>
            <w:tcW w:w="1578" w:type="dxa"/>
            <w:vAlign w:val="top"/>
          </w:tcPr>
          <w:p>
            <w:pPr>
              <w:pStyle w:val="6"/>
              <w:spacing w:before="109" w:line="188" w:lineRule="auto"/>
              <w:ind w:left="544"/>
            </w:pPr>
            <w:r>
              <w:rPr>
                <w:spacing w:val="-2"/>
              </w:rPr>
              <w:t>0.01L</w:t>
            </w:r>
          </w:p>
        </w:tc>
        <w:tc>
          <w:tcPr>
            <w:tcW w:w="1578" w:type="dxa"/>
            <w:vAlign w:val="top"/>
          </w:tcPr>
          <w:p>
            <w:pPr>
              <w:pStyle w:val="6"/>
              <w:spacing w:before="109" w:line="188" w:lineRule="auto"/>
              <w:ind w:left="608"/>
            </w:pPr>
            <w:r>
              <w:rPr>
                <w:spacing w:val="-2"/>
              </w:rPr>
              <w:t>0.02</w:t>
            </w:r>
          </w:p>
        </w:tc>
        <w:tc>
          <w:tcPr>
            <w:tcW w:w="1578" w:type="dxa"/>
            <w:vAlign w:val="top"/>
          </w:tcPr>
          <w:p>
            <w:pPr>
              <w:pStyle w:val="6"/>
              <w:spacing w:before="109" w:line="188" w:lineRule="auto"/>
              <w:ind w:left="544"/>
            </w:pPr>
            <w:r>
              <w:rPr>
                <w:spacing w:val="-2"/>
              </w:rPr>
              <w:t>0.01L</w:t>
            </w:r>
          </w:p>
        </w:tc>
        <w:tc>
          <w:tcPr>
            <w:tcW w:w="1115" w:type="dxa"/>
            <w:tcBorders>
              <w:right w:val="nil"/>
            </w:tcBorders>
            <w:vAlign w:val="top"/>
          </w:tcPr>
          <w:p>
            <w:pPr>
              <w:pStyle w:val="6"/>
              <w:spacing w:before="109" w:line="188" w:lineRule="auto"/>
              <w:ind w:left="376"/>
            </w:pPr>
            <w:r>
              <w:rPr>
                <w:spacing w:val="-2"/>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trPr>
        <w:tc>
          <w:tcPr>
            <w:tcW w:w="555" w:type="dxa"/>
            <w:tcBorders>
              <w:left w:val="nil"/>
              <w:bottom w:val="single" w:color="000000" w:sz="12" w:space="0"/>
            </w:tcBorders>
            <w:vAlign w:val="top"/>
          </w:tcPr>
          <w:p>
            <w:pPr>
              <w:pStyle w:val="6"/>
              <w:spacing w:before="115" w:line="185" w:lineRule="auto"/>
              <w:ind w:left="242"/>
            </w:pPr>
            <w:r>
              <w:t>5</w:t>
            </w:r>
          </w:p>
        </w:tc>
        <w:tc>
          <w:tcPr>
            <w:tcW w:w="1278" w:type="dxa"/>
            <w:tcBorders>
              <w:bottom w:val="single" w:color="000000" w:sz="12" w:space="0"/>
            </w:tcBorders>
            <w:vAlign w:val="top"/>
          </w:tcPr>
          <w:p>
            <w:pPr>
              <w:spacing w:before="75" w:line="218" w:lineRule="auto"/>
              <w:ind w:left="124"/>
              <w:rPr>
                <w:rFonts w:ascii="仿宋" w:hAnsi="仿宋" w:eastAsia="仿宋" w:cs="仿宋"/>
                <w:sz w:val="21"/>
                <w:szCs w:val="21"/>
              </w:rPr>
            </w:pPr>
            <w:r>
              <w:rPr>
                <w:rFonts w:ascii="仿宋" w:hAnsi="仿宋" w:eastAsia="仿宋" w:cs="仿宋"/>
                <w:spacing w:val="-3"/>
                <w:sz w:val="21"/>
                <w:szCs w:val="21"/>
              </w:rPr>
              <w:t>化学需氧量</w:t>
            </w:r>
          </w:p>
        </w:tc>
        <w:tc>
          <w:tcPr>
            <w:tcW w:w="1572" w:type="dxa"/>
            <w:tcBorders>
              <w:bottom w:val="single" w:color="000000" w:sz="12" w:space="0"/>
            </w:tcBorders>
            <w:vAlign w:val="top"/>
          </w:tcPr>
          <w:p>
            <w:pPr>
              <w:pStyle w:val="6"/>
              <w:spacing w:before="112" w:line="188" w:lineRule="auto"/>
              <w:ind w:left="629"/>
            </w:pPr>
            <w:r>
              <w:rPr>
                <w:spacing w:val="-3"/>
              </w:rPr>
              <w:t>6~7</w:t>
            </w:r>
          </w:p>
        </w:tc>
        <w:tc>
          <w:tcPr>
            <w:tcW w:w="1570" w:type="dxa"/>
            <w:tcBorders>
              <w:bottom w:val="single" w:color="000000" w:sz="12" w:space="0"/>
            </w:tcBorders>
            <w:vAlign w:val="top"/>
          </w:tcPr>
          <w:p>
            <w:pPr>
              <w:pStyle w:val="6"/>
              <w:spacing w:before="112" w:line="188" w:lineRule="auto"/>
              <w:ind w:left="628"/>
            </w:pPr>
            <w:r>
              <w:rPr>
                <w:spacing w:val="-4"/>
              </w:rPr>
              <w:t>5~6</w:t>
            </w:r>
          </w:p>
        </w:tc>
        <w:tc>
          <w:tcPr>
            <w:tcW w:w="1571" w:type="dxa"/>
            <w:tcBorders>
              <w:bottom w:val="single" w:color="000000" w:sz="12" w:space="0"/>
            </w:tcBorders>
            <w:vAlign w:val="top"/>
          </w:tcPr>
          <w:p>
            <w:pPr>
              <w:pStyle w:val="6"/>
              <w:spacing w:before="112" w:line="188" w:lineRule="auto"/>
              <w:ind w:left="628"/>
            </w:pPr>
            <w:r>
              <w:rPr>
                <w:spacing w:val="-4"/>
              </w:rPr>
              <w:t>5~6</w:t>
            </w:r>
          </w:p>
        </w:tc>
        <w:tc>
          <w:tcPr>
            <w:tcW w:w="1578" w:type="dxa"/>
            <w:tcBorders>
              <w:bottom w:val="single" w:color="000000" w:sz="12" w:space="0"/>
            </w:tcBorders>
            <w:vAlign w:val="top"/>
          </w:tcPr>
          <w:p>
            <w:pPr>
              <w:pStyle w:val="6"/>
              <w:spacing w:before="112" w:line="188" w:lineRule="auto"/>
              <w:ind w:left="631"/>
            </w:pPr>
            <w:r>
              <w:rPr>
                <w:spacing w:val="-3"/>
              </w:rPr>
              <w:t>6~7</w:t>
            </w:r>
          </w:p>
        </w:tc>
        <w:tc>
          <w:tcPr>
            <w:tcW w:w="1578" w:type="dxa"/>
            <w:tcBorders>
              <w:bottom w:val="single" w:color="000000" w:sz="12" w:space="0"/>
            </w:tcBorders>
            <w:vAlign w:val="top"/>
          </w:tcPr>
          <w:p>
            <w:pPr>
              <w:pStyle w:val="6"/>
              <w:spacing w:before="112" w:line="188" w:lineRule="auto"/>
              <w:ind w:left="635"/>
            </w:pPr>
            <w:r>
              <w:rPr>
                <w:spacing w:val="-4"/>
              </w:rPr>
              <w:t>8~9</w:t>
            </w:r>
          </w:p>
        </w:tc>
        <w:tc>
          <w:tcPr>
            <w:tcW w:w="1578" w:type="dxa"/>
            <w:tcBorders>
              <w:bottom w:val="single" w:color="000000" w:sz="12" w:space="0"/>
            </w:tcBorders>
            <w:vAlign w:val="top"/>
          </w:tcPr>
          <w:p>
            <w:pPr>
              <w:pStyle w:val="6"/>
              <w:spacing w:before="112" w:line="188" w:lineRule="auto"/>
              <w:ind w:left="542"/>
            </w:pPr>
            <w:r>
              <w:rPr>
                <w:spacing w:val="-5"/>
              </w:rPr>
              <w:t>12~13</w:t>
            </w:r>
          </w:p>
        </w:tc>
        <w:tc>
          <w:tcPr>
            <w:tcW w:w="1578" w:type="dxa"/>
            <w:tcBorders>
              <w:bottom w:val="single" w:color="000000" w:sz="12" w:space="0"/>
            </w:tcBorders>
            <w:vAlign w:val="top"/>
          </w:tcPr>
          <w:p>
            <w:pPr>
              <w:pStyle w:val="6"/>
              <w:spacing w:before="112" w:line="188" w:lineRule="auto"/>
              <w:ind w:left="542"/>
            </w:pPr>
            <w:r>
              <w:rPr>
                <w:spacing w:val="-5"/>
              </w:rPr>
              <w:t>10~12</w:t>
            </w:r>
          </w:p>
        </w:tc>
        <w:tc>
          <w:tcPr>
            <w:tcW w:w="1115" w:type="dxa"/>
            <w:tcBorders>
              <w:bottom w:val="single" w:color="000000" w:sz="12" w:space="0"/>
              <w:right w:val="nil"/>
            </w:tcBorders>
            <w:vAlign w:val="top"/>
          </w:tcPr>
          <w:p>
            <w:pPr>
              <w:pStyle w:val="6"/>
              <w:spacing w:before="112" w:line="188" w:lineRule="auto"/>
              <w:ind w:left="473"/>
            </w:pPr>
            <w:r>
              <w:rPr>
                <w:spacing w:val="-12"/>
              </w:rPr>
              <w:t>15</w:t>
            </w:r>
          </w:p>
        </w:tc>
      </w:tr>
    </w:tbl>
    <w:p>
      <w:pPr>
        <w:rPr>
          <w:rFonts w:ascii="Arial"/>
          <w:sz w:val="21"/>
        </w:rPr>
      </w:pPr>
    </w:p>
    <w:p>
      <w:pPr>
        <w:rPr>
          <w:rFonts w:ascii="Arial" w:hAnsi="Arial" w:eastAsia="Arial" w:cs="Arial"/>
          <w:sz w:val="21"/>
          <w:szCs w:val="21"/>
        </w:rPr>
        <w:sectPr>
          <w:footerReference r:id="rId181" w:type="default"/>
          <w:pgSz w:w="16839" w:h="11907"/>
          <w:pgMar w:top="1156" w:right="1408" w:bottom="1374" w:left="1410" w:header="881" w:footer="1210" w:gutter="0"/>
        </w:sectPr>
      </w:pPr>
    </w:p>
    <w:p>
      <w:pPr>
        <w:spacing w:before="80"/>
      </w:pPr>
    </w:p>
    <w:p>
      <w:pPr>
        <w:spacing w:before="80"/>
      </w:pPr>
    </w:p>
    <w:tbl>
      <w:tblPr>
        <w:tblStyle w:val="5"/>
        <w:tblW w:w="1397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6"/>
        <w:gridCol w:w="1278"/>
        <w:gridCol w:w="1572"/>
        <w:gridCol w:w="1569"/>
        <w:gridCol w:w="1571"/>
        <w:gridCol w:w="1578"/>
        <w:gridCol w:w="1578"/>
        <w:gridCol w:w="1578"/>
        <w:gridCol w:w="1578"/>
        <w:gridCol w:w="1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trPr>
        <w:tc>
          <w:tcPr>
            <w:tcW w:w="556" w:type="dxa"/>
            <w:vMerge w:val="restart"/>
            <w:tcBorders>
              <w:top w:val="single" w:color="000000" w:sz="12" w:space="0"/>
              <w:left w:val="nil"/>
              <w:bottom w:val="nil"/>
            </w:tcBorders>
            <w:textDirection w:val="tbRlV"/>
            <w:vAlign w:val="top"/>
          </w:tcPr>
          <w:p>
            <w:pPr>
              <w:spacing w:before="161" w:line="202" w:lineRule="auto"/>
              <w:ind w:left="370"/>
              <w:rPr>
                <w:rFonts w:ascii="仿宋" w:hAnsi="仿宋" w:eastAsia="仿宋" w:cs="仿宋"/>
                <w:sz w:val="21"/>
                <w:szCs w:val="21"/>
              </w:rPr>
            </w:pPr>
            <w:r>
              <w:rPr>
                <w:rFonts w:ascii="仿宋" w:hAnsi="仿宋" w:eastAsia="仿宋" w:cs="仿宋"/>
                <w:spacing w:val="-1"/>
                <w:sz w:val="21"/>
                <w:szCs w:val="21"/>
                <w14:textOutline w14:w="3810" w14:cap="flat" w14:cmpd="sng">
                  <w14:solidFill>
                    <w14:srgbClr w14:val="000000"/>
                  </w14:solidFill>
                  <w14:prstDash w14:val="solid"/>
                  <w14:miter w14:val="0"/>
                </w14:textOutline>
              </w:rPr>
              <w:t>序</w:t>
            </w:r>
            <w:r>
              <w:rPr>
                <w:rFonts w:ascii="仿宋" w:hAnsi="仿宋" w:eastAsia="仿宋" w:cs="仿宋"/>
                <w:spacing w:val="-1"/>
                <w:sz w:val="21"/>
                <w:szCs w:val="21"/>
              </w:rPr>
              <w:t xml:space="preserve"> </w:t>
            </w:r>
            <w:r>
              <w:rPr>
                <w:rFonts w:ascii="仿宋" w:hAnsi="仿宋" w:eastAsia="仿宋" w:cs="仿宋"/>
                <w:spacing w:val="-1"/>
                <w:sz w:val="21"/>
                <w:szCs w:val="21"/>
                <w14:textOutline w14:w="3810" w14:cap="flat" w14:cmpd="sng">
                  <w14:solidFill>
                    <w14:srgbClr w14:val="000000"/>
                  </w14:solidFill>
                  <w14:prstDash w14:val="solid"/>
                  <w14:miter w14:val="0"/>
                </w14:textOutline>
              </w:rPr>
              <w:t>号</w:t>
            </w:r>
          </w:p>
        </w:tc>
        <w:tc>
          <w:tcPr>
            <w:tcW w:w="1278" w:type="dxa"/>
            <w:vMerge w:val="restart"/>
            <w:tcBorders>
              <w:top w:val="single" w:color="000000" w:sz="12" w:space="0"/>
              <w:bottom w:val="nil"/>
            </w:tcBorders>
            <w:vAlign w:val="top"/>
          </w:tcPr>
          <w:p>
            <w:pPr>
              <w:spacing w:line="455" w:lineRule="auto"/>
              <w:rPr>
                <w:rFonts w:ascii="Arial"/>
                <w:sz w:val="21"/>
              </w:rPr>
            </w:pPr>
          </w:p>
          <w:p>
            <w:pPr>
              <w:spacing w:before="68" w:line="219" w:lineRule="auto"/>
              <w:ind w:left="23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监测因子</w:t>
            </w:r>
          </w:p>
        </w:tc>
        <w:tc>
          <w:tcPr>
            <w:tcW w:w="11024" w:type="dxa"/>
            <w:gridSpan w:val="7"/>
            <w:tcBorders>
              <w:top w:val="single" w:color="000000" w:sz="12" w:space="0"/>
            </w:tcBorders>
            <w:vAlign w:val="top"/>
          </w:tcPr>
          <w:p>
            <w:pPr>
              <w:spacing w:before="50" w:line="219" w:lineRule="auto"/>
              <w:ind w:left="521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115" w:type="dxa"/>
            <w:vMerge w:val="restart"/>
            <w:tcBorders>
              <w:top w:val="single" w:color="000000" w:sz="12" w:space="0"/>
              <w:bottom w:val="nil"/>
              <w:right w:val="nil"/>
            </w:tcBorders>
            <w:vAlign w:val="top"/>
          </w:tcPr>
          <w:p>
            <w:pPr>
              <w:spacing w:line="300" w:lineRule="auto"/>
              <w:rPr>
                <w:rFonts w:ascii="Arial"/>
                <w:sz w:val="21"/>
              </w:rPr>
            </w:pPr>
          </w:p>
          <w:p>
            <w:pPr>
              <w:spacing w:before="68" w:line="218" w:lineRule="auto"/>
              <w:ind w:left="145"/>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标准限值</w:t>
            </w:r>
          </w:p>
          <w:p>
            <w:pPr>
              <w:pStyle w:val="6"/>
              <w:spacing w:before="63" w:line="232" w:lineRule="auto"/>
              <w:ind w:left="274"/>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w:t>
            </w:r>
            <w:r>
              <w:rPr>
                <w:b/>
                <w:bCs/>
                <w:spacing w:val="-4"/>
              </w:rPr>
              <w:t>II</w:t>
            </w:r>
            <w:r>
              <w:rPr>
                <w:rFonts w:ascii="仿宋" w:hAnsi="仿宋" w:eastAsia="仿宋" w:cs="仿宋"/>
                <w:spacing w:val="-4"/>
                <w14:textOutline w14:w="3810" w14:cap="flat" w14:cmpd="sng">
                  <w14:solidFill>
                    <w14:srgbClr w14:val="000000"/>
                  </w14:solidFill>
                  <w14:prstDash w14:val="solid"/>
                  <w14:miter w14:val="0"/>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8" w:hRule="atLeast"/>
        </w:trPr>
        <w:tc>
          <w:tcPr>
            <w:tcW w:w="556" w:type="dxa"/>
            <w:vMerge w:val="continue"/>
            <w:tcBorders>
              <w:top w:val="nil"/>
              <w:left w:val="nil"/>
            </w:tcBorders>
            <w:textDirection w:val="tbRlV"/>
            <w:vAlign w:val="top"/>
          </w:tcPr>
          <w:p>
            <w:pPr>
              <w:rPr>
                <w:rFonts w:ascii="Arial"/>
                <w:sz w:val="21"/>
              </w:rPr>
            </w:pPr>
          </w:p>
        </w:tc>
        <w:tc>
          <w:tcPr>
            <w:tcW w:w="1278" w:type="dxa"/>
            <w:vMerge w:val="continue"/>
            <w:tcBorders>
              <w:top w:val="nil"/>
            </w:tcBorders>
            <w:vAlign w:val="top"/>
          </w:tcPr>
          <w:p>
            <w:pPr>
              <w:rPr>
                <w:rFonts w:ascii="Arial"/>
                <w:sz w:val="21"/>
              </w:rPr>
            </w:pPr>
          </w:p>
        </w:tc>
        <w:tc>
          <w:tcPr>
            <w:tcW w:w="1572" w:type="dxa"/>
            <w:vAlign w:val="top"/>
          </w:tcPr>
          <w:p>
            <w:pPr>
              <w:spacing w:before="204" w:line="217" w:lineRule="auto"/>
              <w:ind w:left="163"/>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昔木乍箐与见</w:t>
            </w:r>
          </w:p>
          <w:p>
            <w:pPr>
              <w:spacing w:before="65" w:line="219" w:lineRule="auto"/>
              <w:ind w:left="26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簸箐交汇口</w:t>
            </w:r>
          </w:p>
        </w:tc>
        <w:tc>
          <w:tcPr>
            <w:tcW w:w="1569" w:type="dxa"/>
            <w:vAlign w:val="top"/>
          </w:tcPr>
          <w:p>
            <w:pPr>
              <w:spacing w:before="204" w:line="247" w:lineRule="auto"/>
              <w:ind w:left="586" w:right="148" w:hanging="42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六姑乍箐取水</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坝处</w:t>
            </w:r>
          </w:p>
        </w:tc>
        <w:tc>
          <w:tcPr>
            <w:tcW w:w="1571" w:type="dxa"/>
            <w:vAlign w:val="top"/>
          </w:tcPr>
          <w:p>
            <w:pPr>
              <w:spacing w:line="290" w:lineRule="auto"/>
              <w:rPr>
                <w:rFonts w:ascii="Arial"/>
                <w:sz w:val="21"/>
              </w:rPr>
            </w:pPr>
          </w:p>
          <w:p>
            <w:pPr>
              <w:spacing w:before="68" w:line="219" w:lineRule="auto"/>
              <w:ind w:left="47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万马河</w:t>
            </w:r>
          </w:p>
        </w:tc>
        <w:tc>
          <w:tcPr>
            <w:tcW w:w="1578" w:type="dxa"/>
            <w:vAlign w:val="top"/>
          </w:tcPr>
          <w:p>
            <w:pPr>
              <w:spacing w:line="290" w:lineRule="auto"/>
              <w:rPr>
                <w:rFonts w:ascii="Arial"/>
                <w:sz w:val="21"/>
              </w:rPr>
            </w:pPr>
          </w:p>
          <w:p>
            <w:pPr>
              <w:spacing w:before="68" w:line="219" w:lineRule="auto"/>
              <w:ind w:left="37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者纳么河</w:t>
            </w:r>
          </w:p>
        </w:tc>
        <w:tc>
          <w:tcPr>
            <w:tcW w:w="1578" w:type="dxa"/>
            <w:vAlign w:val="top"/>
          </w:tcPr>
          <w:p>
            <w:pPr>
              <w:spacing w:line="290" w:lineRule="auto"/>
              <w:rPr>
                <w:rFonts w:ascii="Arial"/>
                <w:sz w:val="21"/>
              </w:rPr>
            </w:pPr>
          </w:p>
          <w:p>
            <w:pPr>
              <w:spacing w:before="68" w:line="219" w:lineRule="auto"/>
              <w:ind w:left="48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六苴河</w:t>
            </w:r>
          </w:p>
        </w:tc>
        <w:tc>
          <w:tcPr>
            <w:tcW w:w="1578" w:type="dxa"/>
            <w:vAlign w:val="top"/>
          </w:tcPr>
          <w:p>
            <w:pPr>
              <w:spacing w:before="48" w:line="246" w:lineRule="auto"/>
              <w:ind w:left="389" w:right="153" w:hanging="22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输水线汇入碧</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么水库前</w:t>
            </w:r>
          </w:p>
          <w:p>
            <w:pPr>
              <w:pStyle w:val="6"/>
              <w:spacing w:before="64" w:line="225" w:lineRule="auto"/>
              <w:ind w:left="414"/>
              <w:rPr>
                <w:rFonts w:ascii="仿宋" w:hAnsi="仿宋" w:eastAsia="仿宋" w:cs="仿宋"/>
              </w:rPr>
            </w:pPr>
            <w:r>
              <w:rPr>
                <w:b/>
                <w:bCs/>
                <w:spacing w:val="-2"/>
              </w:rPr>
              <w:t>500m</w:t>
            </w:r>
            <w:r>
              <w:rPr>
                <w:b/>
                <w:bCs/>
                <w:spacing w:val="17"/>
                <w:w w:val="101"/>
              </w:rPr>
              <w:t xml:space="preserve"> </w:t>
            </w:r>
            <w:r>
              <w:rPr>
                <w:rFonts w:ascii="仿宋" w:hAnsi="仿宋" w:eastAsia="仿宋" w:cs="仿宋"/>
                <w:spacing w:val="-2"/>
                <w14:textOutline w14:w="3810" w14:cap="flat" w14:cmpd="sng">
                  <w14:solidFill>
                    <w14:srgbClr w14:val="000000"/>
                  </w14:solidFill>
                  <w14:prstDash w14:val="solid"/>
                  <w14:miter w14:val="0"/>
                </w14:textOutline>
              </w:rPr>
              <w:t>处</w:t>
            </w:r>
          </w:p>
        </w:tc>
        <w:tc>
          <w:tcPr>
            <w:tcW w:w="1578" w:type="dxa"/>
            <w:vAlign w:val="top"/>
          </w:tcPr>
          <w:p>
            <w:pPr>
              <w:spacing w:line="290" w:lineRule="auto"/>
              <w:rPr>
                <w:rFonts w:ascii="Arial"/>
                <w:sz w:val="21"/>
              </w:rPr>
            </w:pPr>
          </w:p>
          <w:p>
            <w:pPr>
              <w:spacing w:before="68" w:line="218" w:lineRule="auto"/>
              <w:ind w:left="38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碧么水库</w:t>
            </w:r>
          </w:p>
        </w:tc>
        <w:tc>
          <w:tcPr>
            <w:tcW w:w="1115"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8" w:hRule="atLeast"/>
        </w:trPr>
        <w:tc>
          <w:tcPr>
            <w:tcW w:w="556" w:type="dxa"/>
            <w:tcBorders>
              <w:left w:val="nil"/>
            </w:tcBorders>
            <w:vAlign w:val="top"/>
          </w:tcPr>
          <w:p>
            <w:pPr>
              <w:pStyle w:val="6"/>
              <w:spacing w:before="244" w:line="188" w:lineRule="auto"/>
              <w:ind w:left="241"/>
            </w:pPr>
            <w:r>
              <w:t>6</w:t>
            </w:r>
          </w:p>
        </w:tc>
        <w:tc>
          <w:tcPr>
            <w:tcW w:w="1278" w:type="dxa"/>
            <w:vAlign w:val="top"/>
          </w:tcPr>
          <w:p>
            <w:pPr>
              <w:spacing w:before="52" w:line="246" w:lineRule="auto"/>
              <w:ind w:left="440" w:right="109" w:hanging="315"/>
              <w:rPr>
                <w:rFonts w:ascii="仿宋" w:hAnsi="仿宋" w:eastAsia="仿宋" w:cs="仿宋"/>
                <w:sz w:val="21"/>
                <w:szCs w:val="21"/>
              </w:rPr>
            </w:pPr>
            <w:r>
              <w:rPr>
                <w:rFonts w:ascii="仿宋" w:hAnsi="仿宋" w:eastAsia="仿宋" w:cs="仿宋"/>
                <w:spacing w:val="-4"/>
                <w:sz w:val="21"/>
                <w:szCs w:val="21"/>
              </w:rPr>
              <w:t>五日生化需</w:t>
            </w:r>
            <w:r>
              <w:rPr>
                <w:rFonts w:ascii="仿宋" w:hAnsi="仿宋" w:eastAsia="仿宋" w:cs="仿宋"/>
                <w:spacing w:val="1"/>
                <w:sz w:val="21"/>
                <w:szCs w:val="21"/>
              </w:rPr>
              <w:t xml:space="preserve"> </w:t>
            </w:r>
            <w:r>
              <w:rPr>
                <w:rFonts w:ascii="仿宋" w:hAnsi="仿宋" w:eastAsia="仿宋" w:cs="仿宋"/>
                <w:spacing w:val="-5"/>
                <w:sz w:val="21"/>
                <w:szCs w:val="21"/>
              </w:rPr>
              <w:t>氧量</w:t>
            </w:r>
          </w:p>
        </w:tc>
        <w:tc>
          <w:tcPr>
            <w:tcW w:w="1572" w:type="dxa"/>
            <w:vAlign w:val="top"/>
          </w:tcPr>
          <w:p>
            <w:pPr>
              <w:pStyle w:val="6"/>
              <w:spacing w:before="244" w:line="188" w:lineRule="auto"/>
              <w:ind w:left="469"/>
            </w:pPr>
            <w:r>
              <w:rPr>
                <w:spacing w:val="-1"/>
              </w:rPr>
              <w:t>0.6~0.8</w:t>
            </w:r>
          </w:p>
        </w:tc>
        <w:tc>
          <w:tcPr>
            <w:tcW w:w="1569" w:type="dxa"/>
            <w:vAlign w:val="top"/>
          </w:tcPr>
          <w:p>
            <w:pPr>
              <w:pStyle w:val="6"/>
              <w:spacing w:before="244" w:line="188" w:lineRule="auto"/>
              <w:ind w:left="591"/>
            </w:pPr>
            <w:r>
              <w:rPr>
                <w:spacing w:val="-2"/>
              </w:rPr>
              <w:t>0.5L</w:t>
            </w:r>
          </w:p>
        </w:tc>
        <w:tc>
          <w:tcPr>
            <w:tcW w:w="1571" w:type="dxa"/>
            <w:vAlign w:val="top"/>
          </w:tcPr>
          <w:p>
            <w:pPr>
              <w:pStyle w:val="6"/>
              <w:spacing w:before="244" w:line="188" w:lineRule="auto"/>
              <w:ind w:left="468"/>
            </w:pPr>
            <w:r>
              <w:rPr>
                <w:spacing w:val="-1"/>
              </w:rPr>
              <w:t>0.6~0.7</w:t>
            </w:r>
          </w:p>
        </w:tc>
        <w:tc>
          <w:tcPr>
            <w:tcW w:w="1578" w:type="dxa"/>
            <w:vAlign w:val="top"/>
          </w:tcPr>
          <w:p>
            <w:pPr>
              <w:pStyle w:val="6"/>
              <w:spacing w:before="244" w:line="188" w:lineRule="auto"/>
              <w:ind w:left="472"/>
            </w:pPr>
            <w:r>
              <w:rPr>
                <w:spacing w:val="-1"/>
              </w:rPr>
              <w:t>0.7~0.8</w:t>
            </w:r>
          </w:p>
        </w:tc>
        <w:tc>
          <w:tcPr>
            <w:tcW w:w="1578" w:type="dxa"/>
            <w:vAlign w:val="top"/>
          </w:tcPr>
          <w:p>
            <w:pPr>
              <w:pStyle w:val="6"/>
              <w:spacing w:before="244" w:line="188" w:lineRule="auto"/>
              <w:ind w:left="472"/>
            </w:pPr>
            <w:r>
              <w:rPr>
                <w:spacing w:val="-1"/>
              </w:rPr>
              <w:t>0.5~0.6</w:t>
            </w:r>
          </w:p>
        </w:tc>
        <w:tc>
          <w:tcPr>
            <w:tcW w:w="1578" w:type="dxa"/>
            <w:vAlign w:val="top"/>
          </w:tcPr>
          <w:p>
            <w:pPr>
              <w:pStyle w:val="6"/>
              <w:spacing w:before="244" w:line="188" w:lineRule="auto"/>
              <w:ind w:left="469"/>
            </w:pPr>
            <w:r>
              <w:rPr>
                <w:spacing w:val="-1"/>
              </w:rPr>
              <w:t>2.4~2.6</w:t>
            </w:r>
          </w:p>
        </w:tc>
        <w:tc>
          <w:tcPr>
            <w:tcW w:w="1578" w:type="dxa"/>
            <w:vAlign w:val="top"/>
          </w:tcPr>
          <w:p>
            <w:pPr>
              <w:pStyle w:val="6"/>
              <w:spacing w:before="244" w:line="188" w:lineRule="auto"/>
              <w:ind w:left="469"/>
            </w:pPr>
            <w:r>
              <w:rPr>
                <w:spacing w:val="-1"/>
              </w:rPr>
              <w:t>2.2~2.4</w:t>
            </w:r>
          </w:p>
        </w:tc>
        <w:tc>
          <w:tcPr>
            <w:tcW w:w="1115" w:type="dxa"/>
            <w:tcBorders>
              <w:right w:val="nil"/>
            </w:tcBorders>
            <w:vAlign w:val="top"/>
          </w:tcPr>
          <w:p>
            <w:pPr>
              <w:pStyle w:val="6"/>
              <w:spacing w:before="244" w:line="188" w:lineRule="auto"/>
              <w:ind w:left="510"/>
            </w:pPr>
            <w: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556" w:type="dxa"/>
            <w:tcBorders>
              <w:left w:val="nil"/>
            </w:tcBorders>
            <w:vAlign w:val="top"/>
          </w:tcPr>
          <w:p>
            <w:pPr>
              <w:pStyle w:val="6"/>
              <w:spacing w:before="248" w:line="185" w:lineRule="auto"/>
              <w:ind w:left="240"/>
            </w:pPr>
            <w:r>
              <w:t>7</w:t>
            </w:r>
          </w:p>
        </w:tc>
        <w:tc>
          <w:tcPr>
            <w:tcW w:w="1278" w:type="dxa"/>
            <w:vAlign w:val="top"/>
          </w:tcPr>
          <w:p>
            <w:pPr>
              <w:spacing w:before="52" w:line="245" w:lineRule="auto"/>
              <w:ind w:left="337" w:right="109" w:hanging="201"/>
              <w:rPr>
                <w:rFonts w:ascii="仿宋" w:hAnsi="仿宋" w:eastAsia="仿宋" w:cs="仿宋"/>
                <w:sz w:val="21"/>
                <w:szCs w:val="21"/>
              </w:rPr>
            </w:pPr>
            <w:r>
              <w:rPr>
                <w:rFonts w:ascii="仿宋" w:hAnsi="仿宋" w:eastAsia="仿宋" w:cs="仿宋"/>
                <w:spacing w:val="-6"/>
                <w:sz w:val="21"/>
                <w:szCs w:val="21"/>
              </w:rPr>
              <w:t>阴离子表面</w:t>
            </w:r>
            <w:r>
              <w:rPr>
                <w:rFonts w:ascii="仿宋" w:hAnsi="仿宋" w:eastAsia="仿宋" w:cs="仿宋"/>
                <w:spacing w:val="1"/>
                <w:sz w:val="21"/>
                <w:szCs w:val="21"/>
              </w:rPr>
              <w:t xml:space="preserve"> </w:t>
            </w:r>
            <w:r>
              <w:rPr>
                <w:rFonts w:ascii="仿宋" w:hAnsi="仿宋" w:eastAsia="仿宋" w:cs="仿宋"/>
                <w:spacing w:val="-5"/>
                <w:sz w:val="21"/>
                <w:szCs w:val="21"/>
              </w:rPr>
              <w:t>活性剂</w:t>
            </w:r>
          </w:p>
        </w:tc>
        <w:tc>
          <w:tcPr>
            <w:tcW w:w="1572" w:type="dxa"/>
            <w:vAlign w:val="top"/>
          </w:tcPr>
          <w:p>
            <w:pPr>
              <w:pStyle w:val="6"/>
              <w:spacing w:before="245" w:line="188" w:lineRule="auto"/>
              <w:ind w:left="540"/>
            </w:pPr>
            <w:r>
              <w:rPr>
                <w:spacing w:val="-2"/>
              </w:rPr>
              <w:t>0.05L</w:t>
            </w:r>
          </w:p>
        </w:tc>
        <w:tc>
          <w:tcPr>
            <w:tcW w:w="1569" w:type="dxa"/>
            <w:vAlign w:val="top"/>
          </w:tcPr>
          <w:p>
            <w:pPr>
              <w:pStyle w:val="6"/>
              <w:spacing w:before="245" w:line="188" w:lineRule="auto"/>
              <w:ind w:left="538"/>
            </w:pPr>
            <w:r>
              <w:rPr>
                <w:spacing w:val="-2"/>
              </w:rPr>
              <w:t>0.05L</w:t>
            </w:r>
          </w:p>
        </w:tc>
        <w:tc>
          <w:tcPr>
            <w:tcW w:w="1571" w:type="dxa"/>
            <w:vAlign w:val="top"/>
          </w:tcPr>
          <w:p>
            <w:pPr>
              <w:pStyle w:val="6"/>
              <w:spacing w:before="245" w:line="188" w:lineRule="auto"/>
              <w:ind w:left="539"/>
            </w:pPr>
            <w:r>
              <w:rPr>
                <w:spacing w:val="-2"/>
              </w:rPr>
              <w:t>0.05L</w:t>
            </w:r>
          </w:p>
        </w:tc>
        <w:tc>
          <w:tcPr>
            <w:tcW w:w="1578" w:type="dxa"/>
            <w:vAlign w:val="top"/>
          </w:tcPr>
          <w:p>
            <w:pPr>
              <w:pStyle w:val="6"/>
              <w:spacing w:before="245" w:line="188" w:lineRule="auto"/>
              <w:ind w:left="544"/>
            </w:pPr>
            <w:r>
              <w:rPr>
                <w:spacing w:val="-2"/>
              </w:rPr>
              <w:t>0.05L</w:t>
            </w:r>
          </w:p>
        </w:tc>
        <w:tc>
          <w:tcPr>
            <w:tcW w:w="1578" w:type="dxa"/>
            <w:vAlign w:val="top"/>
          </w:tcPr>
          <w:p>
            <w:pPr>
              <w:pStyle w:val="6"/>
              <w:spacing w:before="245" w:line="188" w:lineRule="auto"/>
              <w:ind w:left="544"/>
            </w:pPr>
            <w:r>
              <w:rPr>
                <w:spacing w:val="-2"/>
              </w:rPr>
              <w:t>0.05L</w:t>
            </w:r>
          </w:p>
        </w:tc>
        <w:tc>
          <w:tcPr>
            <w:tcW w:w="1578" w:type="dxa"/>
            <w:vAlign w:val="top"/>
          </w:tcPr>
          <w:p>
            <w:pPr>
              <w:pStyle w:val="6"/>
              <w:spacing w:before="245" w:line="188" w:lineRule="auto"/>
              <w:ind w:left="544"/>
            </w:pPr>
            <w:r>
              <w:rPr>
                <w:spacing w:val="-2"/>
              </w:rPr>
              <w:t>0.05L</w:t>
            </w:r>
          </w:p>
        </w:tc>
        <w:tc>
          <w:tcPr>
            <w:tcW w:w="1578" w:type="dxa"/>
            <w:vAlign w:val="top"/>
          </w:tcPr>
          <w:p>
            <w:pPr>
              <w:pStyle w:val="6"/>
              <w:spacing w:before="245" w:line="188" w:lineRule="auto"/>
              <w:ind w:left="544"/>
            </w:pPr>
            <w:r>
              <w:rPr>
                <w:spacing w:val="-2"/>
              </w:rPr>
              <w:t>0.05L</w:t>
            </w:r>
          </w:p>
        </w:tc>
        <w:tc>
          <w:tcPr>
            <w:tcW w:w="1115" w:type="dxa"/>
            <w:tcBorders>
              <w:right w:val="nil"/>
            </w:tcBorders>
            <w:vAlign w:val="top"/>
          </w:tcPr>
          <w:p>
            <w:pPr>
              <w:pStyle w:val="6"/>
              <w:spacing w:before="245" w:line="188" w:lineRule="auto"/>
              <w:ind w:left="429"/>
            </w:pPr>
            <w:r>
              <w:rPr>
                <w:spacing w:val="-3"/>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556" w:type="dxa"/>
            <w:tcBorders>
              <w:left w:val="nil"/>
            </w:tcBorders>
            <w:vAlign w:val="top"/>
          </w:tcPr>
          <w:p>
            <w:pPr>
              <w:pStyle w:val="6"/>
              <w:spacing w:before="92" w:line="188" w:lineRule="auto"/>
              <w:ind w:left="245"/>
            </w:pPr>
            <w:r>
              <w:t>8</w:t>
            </w:r>
          </w:p>
        </w:tc>
        <w:tc>
          <w:tcPr>
            <w:tcW w:w="1278" w:type="dxa"/>
            <w:vAlign w:val="top"/>
          </w:tcPr>
          <w:p>
            <w:pPr>
              <w:spacing w:before="55" w:line="217" w:lineRule="auto"/>
              <w:ind w:left="336"/>
              <w:rPr>
                <w:rFonts w:ascii="仿宋" w:hAnsi="仿宋" w:eastAsia="仿宋" w:cs="仿宋"/>
                <w:sz w:val="21"/>
                <w:szCs w:val="21"/>
              </w:rPr>
            </w:pPr>
            <w:r>
              <w:rPr>
                <w:rFonts w:ascii="仿宋" w:hAnsi="仿宋" w:eastAsia="仿宋" w:cs="仿宋"/>
                <w:spacing w:val="-5"/>
                <w:sz w:val="21"/>
                <w:szCs w:val="21"/>
              </w:rPr>
              <w:t>氯化物</w:t>
            </w:r>
          </w:p>
        </w:tc>
        <w:tc>
          <w:tcPr>
            <w:tcW w:w="1572" w:type="dxa"/>
            <w:vAlign w:val="top"/>
          </w:tcPr>
          <w:p>
            <w:pPr>
              <w:pStyle w:val="6"/>
              <w:spacing w:before="92" w:line="188" w:lineRule="auto"/>
              <w:ind w:left="636"/>
            </w:pPr>
            <w:r>
              <w:rPr>
                <w:spacing w:val="-5"/>
              </w:rPr>
              <w:t>10L</w:t>
            </w:r>
          </w:p>
        </w:tc>
        <w:tc>
          <w:tcPr>
            <w:tcW w:w="1569" w:type="dxa"/>
            <w:vAlign w:val="top"/>
          </w:tcPr>
          <w:p>
            <w:pPr>
              <w:pStyle w:val="6"/>
              <w:spacing w:before="92" w:line="188" w:lineRule="auto"/>
              <w:ind w:left="635"/>
            </w:pPr>
            <w:r>
              <w:rPr>
                <w:spacing w:val="-5"/>
              </w:rPr>
              <w:t>10L</w:t>
            </w:r>
          </w:p>
        </w:tc>
        <w:tc>
          <w:tcPr>
            <w:tcW w:w="1571" w:type="dxa"/>
            <w:vAlign w:val="top"/>
          </w:tcPr>
          <w:p>
            <w:pPr>
              <w:pStyle w:val="6"/>
              <w:spacing w:before="92" w:line="188" w:lineRule="auto"/>
              <w:ind w:left="635"/>
            </w:pPr>
            <w:r>
              <w:rPr>
                <w:spacing w:val="-5"/>
              </w:rPr>
              <w:t>10L</w:t>
            </w:r>
          </w:p>
        </w:tc>
        <w:tc>
          <w:tcPr>
            <w:tcW w:w="1578" w:type="dxa"/>
            <w:vAlign w:val="top"/>
          </w:tcPr>
          <w:p>
            <w:pPr>
              <w:pStyle w:val="6"/>
              <w:spacing w:before="92" w:line="188" w:lineRule="auto"/>
              <w:ind w:left="639"/>
            </w:pPr>
            <w:r>
              <w:rPr>
                <w:spacing w:val="-5"/>
              </w:rPr>
              <w:t>10L</w:t>
            </w:r>
          </w:p>
        </w:tc>
        <w:tc>
          <w:tcPr>
            <w:tcW w:w="1578" w:type="dxa"/>
            <w:vAlign w:val="top"/>
          </w:tcPr>
          <w:p>
            <w:pPr>
              <w:pStyle w:val="6"/>
              <w:spacing w:before="92" w:line="188" w:lineRule="auto"/>
              <w:ind w:left="639"/>
            </w:pPr>
            <w:r>
              <w:rPr>
                <w:spacing w:val="-5"/>
              </w:rPr>
              <w:t>10L</w:t>
            </w:r>
          </w:p>
        </w:tc>
        <w:tc>
          <w:tcPr>
            <w:tcW w:w="1578" w:type="dxa"/>
            <w:vAlign w:val="top"/>
          </w:tcPr>
          <w:p>
            <w:pPr>
              <w:pStyle w:val="6"/>
              <w:spacing w:before="92" w:line="188" w:lineRule="auto"/>
              <w:ind w:left="639"/>
            </w:pPr>
            <w:r>
              <w:rPr>
                <w:spacing w:val="-5"/>
              </w:rPr>
              <w:t>10L</w:t>
            </w:r>
          </w:p>
        </w:tc>
        <w:tc>
          <w:tcPr>
            <w:tcW w:w="1578" w:type="dxa"/>
            <w:vAlign w:val="top"/>
          </w:tcPr>
          <w:p>
            <w:pPr>
              <w:pStyle w:val="6"/>
              <w:spacing w:before="92" w:line="188" w:lineRule="auto"/>
              <w:ind w:left="639"/>
            </w:pPr>
            <w:r>
              <w:rPr>
                <w:spacing w:val="-5"/>
              </w:rPr>
              <w:t>10L</w:t>
            </w:r>
          </w:p>
        </w:tc>
        <w:tc>
          <w:tcPr>
            <w:tcW w:w="1115" w:type="dxa"/>
            <w:tcBorders>
              <w:right w:val="nil"/>
            </w:tcBorders>
            <w:vAlign w:val="top"/>
          </w:tcPr>
          <w:p>
            <w:pPr>
              <w:pStyle w:val="6"/>
              <w:spacing w:before="92" w:line="188" w:lineRule="auto"/>
              <w:ind w:left="400"/>
            </w:pPr>
            <w:r>
              <w:rPr>
                <w:spacing w:val="-2"/>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trPr>
        <w:tc>
          <w:tcPr>
            <w:tcW w:w="556" w:type="dxa"/>
            <w:tcBorders>
              <w:left w:val="nil"/>
            </w:tcBorders>
            <w:vAlign w:val="top"/>
          </w:tcPr>
          <w:p>
            <w:pPr>
              <w:pStyle w:val="6"/>
              <w:spacing w:before="155" w:line="188" w:lineRule="auto"/>
              <w:ind w:left="241"/>
            </w:pPr>
            <w:r>
              <w:t>9</w:t>
            </w:r>
          </w:p>
        </w:tc>
        <w:tc>
          <w:tcPr>
            <w:tcW w:w="1278" w:type="dxa"/>
            <w:vAlign w:val="top"/>
          </w:tcPr>
          <w:p>
            <w:pPr>
              <w:spacing w:before="119" w:line="219" w:lineRule="auto"/>
              <w:ind w:left="544"/>
              <w:rPr>
                <w:rFonts w:ascii="仿宋" w:hAnsi="仿宋" w:eastAsia="仿宋" w:cs="仿宋"/>
                <w:sz w:val="21"/>
                <w:szCs w:val="21"/>
              </w:rPr>
            </w:pPr>
            <w:r>
              <w:rPr>
                <w:rFonts w:ascii="仿宋" w:hAnsi="仿宋" w:eastAsia="仿宋" w:cs="仿宋"/>
                <w:sz w:val="21"/>
                <w:szCs w:val="21"/>
              </w:rPr>
              <w:t>铜</w:t>
            </w:r>
          </w:p>
        </w:tc>
        <w:tc>
          <w:tcPr>
            <w:tcW w:w="1572" w:type="dxa"/>
            <w:vAlign w:val="top"/>
          </w:tcPr>
          <w:p>
            <w:pPr>
              <w:pStyle w:val="6"/>
              <w:spacing w:before="155" w:line="188" w:lineRule="auto"/>
              <w:ind w:left="487"/>
            </w:pPr>
            <w:r>
              <w:rPr>
                <w:spacing w:val="-2"/>
              </w:rPr>
              <w:t>0.006L</w:t>
            </w:r>
          </w:p>
        </w:tc>
        <w:tc>
          <w:tcPr>
            <w:tcW w:w="1569" w:type="dxa"/>
            <w:vAlign w:val="top"/>
          </w:tcPr>
          <w:p>
            <w:pPr>
              <w:pStyle w:val="6"/>
              <w:spacing w:before="155" w:line="188" w:lineRule="auto"/>
              <w:ind w:left="486"/>
            </w:pPr>
            <w:r>
              <w:rPr>
                <w:spacing w:val="-2"/>
              </w:rPr>
              <w:t>0.006L</w:t>
            </w:r>
          </w:p>
        </w:tc>
        <w:tc>
          <w:tcPr>
            <w:tcW w:w="1571" w:type="dxa"/>
            <w:vAlign w:val="top"/>
          </w:tcPr>
          <w:p>
            <w:pPr>
              <w:pStyle w:val="6"/>
              <w:spacing w:before="155" w:line="188" w:lineRule="auto"/>
              <w:ind w:left="486"/>
            </w:pPr>
            <w:r>
              <w:rPr>
                <w:spacing w:val="-2"/>
              </w:rPr>
              <w:t>0.006L</w:t>
            </w:r>
          </w:p>
        </w:tc>
        <w:tc>
          <w:tcPr>
            <w:tcW w:w="1578" w:type="dxa"/>
            <w:vAlign w:val="top"/>
          </w:tcPr>
          <w:p>
            <w:pPr>
              <w:pStyle w:val="6"/>
              <w:spacing w:before="155" w:line="188" w:lineRule="auto"/>
              <w:ind w:left="491"/>
            </w:pPr>
            <w:r>
              <w:rPr>
                <w:spacing w:val="-2"/>
              </w:rPr>
              <w:t>0.006L</w:t>
            </w:r>
          </w:p>
        </w:tc>
        <w:tc>
          <w:tcPr>
            <w:tcW w:w="1578" w:type="dxa"/>
            <w:vAlign w:val="top"/>
          </w:tcPr>
          <w:p>
            <w:pPr>
              <w:pStyle w:val="6"/>
              <w:spacing w:before="155" w:line="188" w:lineRule="auto"/>
              <w:ind w:left="491"/>
            </w:pPr>
            <w:r>
              <w:rPr>
                <w:spacing w:val="-2"/>
              </w:rPr>
              <w:t>0.006L</w:t>
            </w:r>
          </w:p>
        </w:tc>
        <w:tc>
          <w:tcPr>
            <w:tcW w:w="1578" w:type="dxa"/>
            <w:vAlign w:val="top"/>
          </w:tcPr>
          <w:p>
            <w:pPr>
              <w:pStyle w:val="6"/>
              <w:spacing w:before="155" w:line="188" w:lineRule="auto"/>
              <w:ind w:left="491"/>
            </w:pPr>
            <w:r>
              <w:rPr>
                <w:spacing w:val="-2"/>
              </w:rPr>
              <w:t>0.006L</w:t>
            </w:r>
          </w:p>
        </w:tc>
        <w:tc>
          <w:tcPr>
            <w:tcW w:w="1578" w:type="dxa"/>
            <w:vAlign w:val="top"/>
          </w:tcPr>
          <w:p>
            <w:pPr>
              <w:pStyle w:val="6"/>
              <w:spacing w:before="155" w:line="188" w:lineRule="auto"/>
              <w:ind w:left="491"/>
            </w:pPr>
            <w:r>
              <w:rPr>
                <w:spacing w:val="-2"/>
              </w:rPr>
              <w:t>0.006L</w:t>
            </w:r>
          </w:p>
        </w:tc>
        <w:tc>
          <w:tcPr>
            <w:tcW w:w="1115" w:type="dxa"/>
            <w:tcBorders>
              <w:right w:val="nil"/>
            </w:tcBorders>
            <w:vAlign w:val="top"/>
          </w:tcPr>
          <w:p>
            <w:pPr>
              <w:pStyle w:val="6"/>
              <w:spacing w:before="155" w:line="188" w:lineRule="auto"/>
              <w:ind w:left="446"/>
            </w:pPr>
            <w:r>
              <w:rPr>
                <w:spacing w:val="-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56" w:type="dxa"/>
            <w:tcBorders>
              <w:left w:val="nil"/>
            </w:tcBorders>
            <w:vAlign w:val="top"/>
          </w:tcPr>
          <w:p>
            <w:pPr>
              <w:pStyle w:val="6"/>
              <w:spacing w:before="94" w:line="188" w:lineRule="auto"/>
              <w:ind w:left="204"/>
            </w:pPr>
            <w:r>
              <w:rPr>
                <w:spacing w:val="-12"/>
              </w:rPr>
              <w:t>10</w:t>
            </w:r>
          </w:p>
        </w:tc>
        <w:tc>
          <w:tcPr>
            <w:tcW w:w="1278" w:type="dxa"/>
            <w:vAlign w:val="top"/>
          </w:tcPr>
          <w:p>
            <w:pPr>
              <w:spacing w:before="58" w:line="217" w:lineRule="auto"/>
              <w:ind w:left="541"/>
              <w:rPr>
                <w:rFonts w:ascii="仿宋" w:hAnsi="仿宋" w:eastAsia="仿宋" w:cs="仿宋"/>
                <w:sz w:val="21"/>
                <w:szCs w:val="21"/>
              </w:rPr>
            </w:pPr>
            <w:r>
              <w:rPr>
                <w:rFonts w:ascii="仿宋" w:hAnsi="仿宋" w:eastAsia="仿宋" w:cs="仿宋"/>
                <w:sz w:val="21"/>
                <w:szCs w:val="21"/>
              </w:rPr>
              <w:t>铅</w:t>
            </w:r>
          </w:p>
        </w:tc>
        <w:tc>
          <w:tcPr>
            <w:tcW w:w="1572" w:type="dxa"/>
            <w:vAlign w:val="top"/>
          </w:tcPr>
          <w:p>
            <w:pPr>
              <w:pStyle w:val="6"/>
              <w:spacing w:before="94" w:line="188" w:lineRule="auto"/>
              <w:ind w:left="487"/>
            </w:pPr>
            <w:r>
              <w:rPr>
                <w:spacing w:val="-2"/>
              </w:rPr>
              <w:t>0.010L</w:t>
            </w:r>
          </w:p>
        </w:tc>
        <w:tc>
          <w:tcPr>
            <w:tcW w:w="1569" w:type="dxa"/>
            <w:vAlign w:val="top"/>
          </w:tcPr>
          <w:p>
            <w:pPr>
              <w:pStyle w:val="6"/>
              <w:spacing w:before="94" w:line="188" w:lineRule="auto"/>
              <w:ind w:left="486"/>
            </w:pPr>
            <w:r>
              <w:rPr>
                <w:spacing w:val="-2"/>
              </w:rPr>
              <w:t>0.010L</w:t>
            </w:r>
          </w:p>
        </w:tc>
        <w:tc>
          <w:tcPr>
            <w:tcW w:w="1571" w:type="dxa"/>
            <w:vAlign w:val="top"/>
          </w:tcPr>
          <w:p>
            <w:pPr>
              <w:pStyle w:val="6"/>
              <w:spacing w:before="94" w:line="188" w:lineRule="auto"/>
              <w:ind w:left="486"/>
            </w:pPr>
            <w:r>
              <w:rPr>
                <w:spacing w:val="-2"/>
              </w:rPr>
              <w:t>0.010L</w:t>
            </w:r>
          </w:p>
        </w:tc>
        <w:tc>
          <w:tcPr>
            <w:tcW w:w="1578" w:type="dxa"/>
            <w:vAlign w:val="top"/>
          </w:tcPr>
          <w:p>
            <w:pPr>
              <w:pStyle w:val="6"/>
              <w:spacing w:before="94" w:line="188" w:lineRule="auto"/>
              <w:ind w:left="491"/>
            </w:pPr>
            <w:r>
              <w:rPr>
                <w:spacing w:val="-2"/>
              </w:rPr>
              <w:t>0.010L</w:t>
            </w:r>
          </w:p>
        </w:tc>
        <w:tc>
          <w:tcPr>
            <w:tcW w:w="1578" w:type="dxa"/>
            <w:vAlign w:val="top"/>
          </w:tcPr>
          <w:p>
            <w:pPr>
              <w:pStyle w:val="6"/>
              <w:spacing w:before="94" w:line="188" w:lineRule="auto"/>
              <w:ind w:left="491"/>
            </w:pPr>
            <w:r>
              <w:rPr>
                <w:spacing w:val="-2"/>
              </w:rPr>
              <w:t>0.010L</w:t>
            </w:r>
          </w:p>
        </w:tc>
        <w:tc>
          <w:tcPr>
            <w:tcW w:w="1578" w:type="dxa"/>
            <w:vAlign w:val="top"/>
          </w:tcPr>
          <w:p>
            <w:pPr>
              <w:pStyle w:val="6"/>
              <w:spacing w:before="94" w:line="188" w:lineRule="auto"/>
              <w:ind w:left="491"/>
            </w:pPr>
            <w:r>
              <w:rPr>
                <w:spacing w:val="-2"/>
              </w:rPr>
              <w:t>0.010L</w:t>
            </w:r>
          </w:p>
        </w:tc>
        <w:tc>
          <w:tcPr>
            <w:tcW w:w="1578" w:type="dxa"/>
            <w:vAlign w:val="top"/>
          </w:tcPr>
          <w:p>
            <w:pPr>
              <w:pStyle w:val="6"/>
              <w:spacing w:before="94" w:line="188" w:lineRule="auto"/>
              <w:ind w:left="491"/>
            </w:pPr>
            <w:r>
              <w:rPr>
                <w:spacing w:val="-2"/>
              </w:rPr>
              <w:t>0.010L</w:t>
            </w:r>
          </w:p>
        </w:tc>
        <w:tc>
          <w:tcPr>
            <w:tcW w:w="1115" w:type="dxa"/>
            <w:tcBorders>
              <w:right w:val="nil"/>
            </w:tcBorders>
            <w:vAlign w:val="top"/>
          </w:tcPr>
          <w:p>
            <w:pPr>
              <w:pStyle w:val="6"/>
              <w:spacing w:before="94" w:line="188" w:lineRule="auto"/>
              <w:ind w:left="376"/>
            </w:pPr>
            <w:r>
              <w:rPr>
                <w:spacing w:val="-2"/>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556" w:type="dxa"/>
            <w:tcBorders>
              <w:left w:val="nil"/>
            </w:tcBorders>
            <w:vAlign w:val="top"/>
          </w:tcPr>
          <w:p>
            <w:pPr>
              <w:pStyle w:val="6"/>
              <w:spacing w:before="97" w:line="188" w:lineRule="auto"/>
              <w:ind w:left="208"/>
            </w:pPr>
            <w:r>
              <w:rPr>
                <w:spacing w:val="-13"/>
              </w:rPr>
              <w:t>11</w:t>
            </w:r>
          </w:p>
        </w:tc>
        <w:tc>
          <w:tcPr>
            <w:tcW w:w="1278" w:type="dxa"/>
            <w:vAlign w:val="top"/>
          </w:tcPr>
          <w:p>
            <w:pPr>
              <w:spacing w:before="60" w:line="216" w:lineRule="auto"/>
              <w:ind w:left="542"/>
              <w:rPr>
                <w:rFonts w:ascii="仿宋" w:hAnsi="仿宋" w:eastAsia="仿宋" w:cs="仿宋"/>
                <w:sz w:val="21"/>
                <w:szCs w:val="21"/>
              </w:rPr>
            </w:pPr>
            <w:r>
              <w:rPr>
                <w:rFonts w:ascii="仿宋" w:hAnsi="仿宋" w:eastAsia="仿宋" w:cs="仿宋"/>
                <w:sz w:val="21"/>
                <w:szCs w:val="21"/>
              </w:rPr>
              <w:t>锌</w:t>
            </w:r>
          </w:p>
        </w:tc>
        <w:tc>
          <w:tcPr>
            <w:tcW w:w="1572" w:type="dxa"/>
            <w:vAlign w:val="top"/>
          </w:tcPr>
          <w:p>
            <w:pPr>
              <w:pStyle w:val="6"/>
              <w:spacing w:before="97" w:line="188" w:lineRule="auto"/>
              <w:ind w:left="487"/>
            </w:pPr>
            <w:r>
              <w:rPr>
                <w:spacing w:val="-2"/>
              </w:rPr>
              <w:t>0.004L</w:t>
            </w:r>
          </w:p>
        </w:tc>
        <w:tc>
          <w:tcPr>
            <w:tcW w:w="1569" w:type="dxa"/>
            <w:vAlign w:val="top"/>
          </w:tcPr>
          <w:p>
            <w:pPr>
              <w:pStyle w:val="6"/>
              <w:spacing w:before="97" w:line="188" w:lineRule="auto"/>
              <w:ind w:left="486"/>
            </w:pPr>
            <w:r>
              <w:rPr>
                <w:spacing w:val="-2"/>
              </w:rPr>
              <w:t>0.004L</w:t>
            </w:r>
          </w:p>
        </w:tc>
        <w:tc>
          <w:tcPr>
            <w:tcW w:w="1571" w:type="dxa"/>
            <w:vAlign w:val="top"/>
          </w:tcPr>
          <w:p>
            <w:pPr>
              <w:pStyle w:val="6"/>
              <w:spacing w:before="97" w:line="188" w:lineRule="auto"/>
              <w:ind w:left="486"/>
            </w:pPr>
            <w:r>
              <w:rPr>
                <w:spacing w:val="-2"/>
              </w:rPr>
              <w:t>0.004L</w:t>
            </w:r>
          </w:p>
        </w:tc>
        <w:tc>
          <w:tcPr>
            <w:tcW w:w="1578" w:type="dxa"/>
            <w:vAlign w:val="top"/>
          </w:tcPr>
          <w:p>
            <w:pPr>
              <w:pStyle w:val="6"/>
              <w:spacing w:before="97" w:line="188" w:lineRule="auto"/>
              <w:ind w:left="491"/>
            </w:pPr>
            <w:r>
              <w:rPr>
                <w:spacing w:val="-2"/>
              </w:rPr>
              <w:t>0.004L</w:t>
            </w:r>
          </w:p>
        </w:tc>
        <w:tc>
          <w:tcPr>
            <w:tcW w:w="1578" w:type="dxa"/>
            <w:vAlign w:val="top"/>
          </w:tcPr>
          <w:p>
            <w:pPr>
              <w:pStyle w:val="6"/>
              <w:spacing w:before="97" w:line="188" w:lineRule="auto"/>
              <w:ind w:left="491"/>
            </w:pPr>
            <w:r>
              <w:rPr>
                <w:spacing w:val="-2"/>
              </w:rPr>
              <w:t>0.004L</w:t>
            </w:r>
          </w:p>
        </w:tc>
        <w:tc>
          <w:tcPr>
            <w:tcW w:w="1578" w:type="dxa"/>
            <w:vAlign w:val="top"/>
          </w:tcPr>
          <w:p>
            <w:pPr>
              <w:pStyle w:val="6"/>
              <w:spacing w:before="97" w:line="188" w:lineRule="auto"/>
              <w:ind w:left="491"/>
            </w:pPr>
            <w:r>
              <w:rPr>
                <w:spacing w:val="-2"/>
              </w:rPr>
              <w:t>0.004L</w:t>
            </w:r>
          </w:p>
        </w:tc>
        <w:tc>
          <w:tcPr>
            <w:tcW w:w="1578" w:type="dxa"/>
            <w:vAlign w:val="top"/>
          </w:tcPr>
          <w:p>
            <w:pPr>
              <w:pStyle w:val="6"/>
              <w:spacing w:before="97" w:line="188" w:lineRule="auto"/>
              <w:ind w:left="491"/>
            </w:pPr>
            <w:r>
              <w:rPr>
                <w:spacing w:val="-2"/>
              </w:rPr>
              <w:t>0.004L</w:t>
            </w:r>
          </w:p>
        </w:tc>
        <w:tc>
          <w:tcPr>
            <w:tcW w:w="1115" w:type="dxa"/>
            <w:tcBorders>
              <w:right w:val="nil"/>
            </w:tcBorders>
            <w:vAlign w:val="top"/>
          </w:tcPr>
          <w:p>
            <w:pPr>
              <w:pStyle w:val="6"/>
              <w:spacing w:before="97" w:line="188" w:lineRule="auto"/>
              <w:ind w:left="446"/>
            </w:pPr>
            <w:r>
              <w:rPr>
                <w:spacing w:val="-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56" w:type="dxa"/>
            <w:tcBorders>
              <w:left w:val="nil"/>
            </w:tcBorders>
            <w:vAlign w:val="top"/>
          </w:tcPr>
          <w:p>
            <w:pPr>
              <w:pStyle w:val="6"/>
              <w:spacing w:before="97" w:line="188" w:lineRule="auto"/>
              <w:ind w:left="204"/>
            </w:pPr>
            <w:r>
              <w:rPr>
                <w:spacing w:val="-12"/>
              </w:rPr>
              <w:t>12</w:t>
            </w:r>
          </w:p>
        </w:tc>
        <w:tc>
          <w:tcPr>
            <w:tcW w:w="1278" w:type="dxa"/>
            <w:vAlign w:val="top"/>
          </w:tcPr>
          <w:p>
            <w:pPr>
              <w:spacing w:before="61" w:line="214" w:lineRule="auto"/>
              <w:ind w:left="543"/>
              <w:rPr>
                <w:rFonts w:ascii="仿宋" w:hAnsi="仿宋" w:eastAsia="仿宋" w:cs="仿宋"/>
                <w:sz w:val="21"/>
                <w:szCs w:val="21"/>
              </w:rPr>
            </w:pPr>
            <w:r>
              <w:rPr>
                <w:rFonts w:ascii="仿宋" w:hAnsi="仿宋" w:eastAsia="仿宋" w:cs="仿宋"/>
                <w:sz w:val="21"/>
                <w:szCs w:val="21"/>
              </w:rPr>
              <w:t>镉</w:t>
            </w:r>
          </w:p>
        </w:tc>
        <w:tc>
          <w:tcPr>
            <w:tcW w:w="1572" w:type="dxa"/>
            <w:vAlign w:val="top"/>
          </w:tcPr>
          <w:p>
            <w:pPr>
              <w:pStyle w:val="6"/>
              <w:spacing w:before="97" w:line="188" w:lineRule="auto"/>
              <w:ind w:left="487"/>
            </w:pPr>
            <w:r>
              <w:rPr>
                <w:spacing w:val="-2"/>
              </w:rPr>
              <w:t>0.001L</w:t>
            </w:r>
          </w:p>
        </w:tc>
        <w:tc>
          <w:tcPr>
            <w:tcW w:w="1569" w:type="dxa"/>
            <w:vAlign w:val="top"/>
          </w:tcPr>
          <w:p>
            <w:pPr>
              <w:pStyle w:val="6"/>
              <w:spacing w:before="97" w:line="188" w:lineRule="auto"/>
              <w:ind w:left="486"/>
            </w:pPr>
            <w:r>
              <w:rPr>
                <w:spacing w:val="-2"/>
              </w:rPr>
              <w:t>0.001L</w:t>
            </w:r>
          </w:p>
        </w:tc>
        <w:tc>
          <w:tcPr>
            <w:tcW w:w="1571" w:type="dxa"/>
            <w:vAlign w:val="top"/>
          </w:tcPr>
          <w:p>
            <w:pPr>
              <w:pStyle w:val="6"/>
              <w:spacing w:before="97" w:line="188" w:lineRule="auto"/>
              <w:ind w:left="486"/>
            </w:pPr>
            <w:r>
              <w:rPr>
                <w:spacing w:val="-2"/>
              </w:rPr>
              <w:t>0.001L</w:t>
            </w:r>
          </w:p>
        </w:tc>
        <w:tc>
          <w:tcPr>
            <w:tcW w:w="1578" w:type="dxa"/>
            <w:vAlign w:val="top"/>
          </w:tcPr>
          <w:p>
            <w:pPr>
              <w:pStyle w:val="6"/>
              <w:spacing w:before="97" w:line="188" w:lineRule="auto"/>
              <w:ind w:left="491"/>
            </w:pPr>
            <w:r>
              <w:rPr>
                <w:spacing w:val="-2"/>
              </w:rPr>
              <w:t>0.001L</w:t>
            </w:r>
          </w:p>
        </w:tc>
        <w:tc>
          <w:tcPr>
            <w:tcW w:w="1578" w:type="dxa"/>
            <w:vAlign w:val="top"/>
          </w:tcPr>
          <w:p>
            <w:pPr>
              <w:pStyle w:val="6"/>
              <w:spacing w:before="97" w:line="188" w:lineRule="auto"/>
              <w:ind w:left="491"/>
            </w:pPr>
            <w:r>
              <w:rPr>
                <w:spacing w:val="-2"/>
              </w:rPr>
              <w:t>0.001L</w:t>
            </w:r>
          </w:p>
        </w:tc>
        <w:tc>
          <w:tcPr>
            <w:tcW w:w="1578" w:type="dxa"/>
            <w:vAlign w:val="top"/>
          </w:tcPr>
          <w:p>
            <w:pPr>
              <w:pStyle w:val="6"/>
              <w:spacing w:before="97" w:line="188" w:lineRule="auto"/>
              <w:ind w:left="491"/>
            </w:pPr>
            <w:r>
              <w:rPr>
                <w:spacing w:val="-2"/>
              </w:rPr>
              <w:t>0.001L</w:t>
            </w:r>
          </w:p>
        </w:tc>
        <w:tc>
          <w:tcPr>
            <w:tcW w:w="1578" w:type="dxa"/>
            <w:vAlign w:val="top"/>
          </w:tcPr>
          <w:p>
            <w:pPr>
              <w:pStyle w:val="6"/>
              <w:spacing w:before="97" w:line="188" w:lineRule="auto"/>
              <w:ind w:left="491"/>
            </w:pPr>
            <w:r>
              <w:rPr>
                <w:spacing w:val="-2"/>
              </w:rPr>
              <w:t>0.001L</w:t>
            </w:r>
          </w:p>
        </w:tc>
        <w:tc>
          <w:tcPr>
            <w:tcW w:w="1115" w:type="dxa"/>
            <w:tcBorders>
              <w:right w:val="nil"/>
            </w:tcBorders>
            <w:vAlign w:val="top"/>
          </w:tcPr>
          <w:p>
            <w:pPr>
              <w:pStyle w:val="6"/>
              <w:spacing w:before="97" w:line="188" w:lineRule="auto"/>
              <w:ind w:left="324"/>
            </w:pPr>
            <w:r>
              <w:rPr>
                <w:spacing w:val="-2"/>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556" w:type="dxa"/>
            <w:tcBorders>
              <w:left w:val="nil"/>
            </w:tcBorders>
            <w:vAlign w:val="top"/>
          </w:tcPr>
          <w:p>
            <w:pPr>
              <w:pStyle w:val="6"/>
              <w:spacing w:before="100" w:line="188" w:lineRule="auto"/>
              <w:ind w:left="204"/>
            </w:pPr>
            <w:r>
              <w:rPr>
                <w:spacing w:val="-12"/>
              </w:rPr>
              <w:t>13</w:t>
            </w:r>
          </w:p>
        </w:tc>
        <w:tc>
          <w:tcPr>
            <w:tcW w:w="1278" w:type="dxa"/>
            <w:vAlign w:val="top"/>
          </w:tcPr>
          <w:p>
            <w:pPr>
              <w:spacing w:before="63" w:line="213" w:lineRule="auto"/>
              <w:ind w:left="541"/>
              <w:rPr>
                <w:rFonts w:ascii="仿宋" w:hAnsi="仿宋" w:eastAsia="仿宋" w:cs="仿宋"/>
                <w:sz w:val="21"/>
                <w:szCs w:val="21"/>
              </w:rPr>
            </w:pPr>
            <w:r>
              <w:rPr>
                <w:rFonts w:ascii="仿宋" w:hAnsi="仿宋" w:eastAsia="仿宋" w:cs="仿宋"/>
                <w:sz w:val="21"/>
                <w:szCs w:val="21"/>
              </w:rPr>
              <w:t>硒</w:t>
            </w:r>
          </w:p>
        </w:tc>
        <w:tc>
          <w:tcPr>
            <w:tcW w:w="1572" w:type="dxa"/>
            <w:vAlign w:val="top"/>
          </w:tcPr>
          <w:p>
            <w:pPr>
              <w:pStyle w:val="6"/>
              <w:spacing w:before="100" w:line="188" w:lineRule="auto"/>
              <w:ind w:left="592"/>
            </w:pPr>
            <w:r>
              <w:rPr>
                <w:spacing w:val="-2"/>
              </w:rPr>
              <w:t>0.4L</w:t>
            </w:r>
          </w:p>
        </w:tc>
        <w:tc>
          <w:tcPr>
            <w:tcW w:w="1569" w:type="dxa"/>
            <w:vAlign w:val="top"/>
          </w:tcPr>
          <w:p>
            <w:pPr>
              <w:pStyle w:val="6"/>
              <w:spacing w:before="100" w:line="188" w:lineRule="auto"/>
              <w:ind w:left="591"/>
            </w:pPr>
            <w:r>
              <w:rPr>
                <w:spacing w:val="-2"/>
              </w:rPr>
              <w:t>0.4L</w:t>
            </w:r>
          </w:p>
        </w:tc>
        <w:tc>
          <w:tcPr>
            <w:tcW w:w="1571" w:type="dxa"/>
            <w:vAlign w:val="top"/>
          </w:tcPr>
          <w:p>
            <w:pPr>
              <w:pStyle w:val="6"/>
              <w:spacing w:before="100" w:line="188" w:lineRule="auto"/>
              <w:ind w:left="592"/>
            </w:pPr>
            <w:r>
              <w:rPr>
                <w:spacing w:val="-2"/>
              </w:rPr>
              <w:t>0.4L</w:t>
            </w:r>
          </w:p>
        </w:tc>
        <w:tc>
          <w:tcPr>
            <w:tcW w:w="1578" w:type="dxa"/>
            <w:vAlign w:val="top"/>
          </w:tcPr>
          <w:p>
            <w:pPr>
              <w:pStyle w:val="6"/>
              <w:spacing w:before="100" w:line="188" w:lineRule="auto"/>
              <w:ind w:left="596"/>
            </w:pPr>
            <w:r>
              <w:rPr>
                <w:spacing w:val="-2"/>
              </w:rPr>
              <w:t>0.4L</w:t>
            </w:r>
          </w:p>
        </w:tc>
        <w:tc>
          <w:tcPr>
            <w:tcW w:w="1578" w:type="dxa"/>
            <w:vAlign w:val="top"/>
          </w:tcPr>
          <w:p>
            <w:pPr>
              <w:pStyle w:val="6"/>
              <w:spacing w:before="100" w:line="188" w:lineRule="auto"/>
              <w:ind w:left="596"/>
            </w:pPr>
            <w:r>
              <w:rPr>
                <w:spacing w:val="-2"/>
              </w:rPr>
              <w:t>0.4L</w:t>
            </w:r>
          </w:p>
        </w:tc>
        <w:tc>
          <w:tcPr>
            <w:tcW w:w="1578" w:type="dxa"/>
            <w:vAlign w:val="top"/>
          </w:tcPr>
          <w:p>
            <w:pPr>
              <w:pStyle w:val="6"/>
              <w:spacing w:before="100" w:line="188" w:lineRule="auto"/>
              <w:ind w:left="596"/>
            </w:pPr>
            <w:r>
              <w:rPr>
                <w:spacing w:val="-2"/>
              </w:rPr>
              <w:t>0.4L</w:t>
            </w:r>
          </w:p>
        </w:tc>
        <w:tc>
          <w:tcPr>
            <w:tcW w:w="1578" w:type="dxa"/>
            <w:vAlign w:val="top"/>
          </w:tcPr>
          <w:p>
            <w:pPr>
              <w:pStyle w:val="6"/>
              <w:spacing w:before="100" w:line="188" w:lineRule="auto"/>
              <w:ind w:left="596"/>
            </w:pPr>
            <w:r>
              <w:rPr>
                <w:spacing w:val="-2"/>
              </w:rPr>
              <w:t>0.4L</w:t>
            </w:r>
          </w:p>
        </w:tc>
        <w:tc>
          <w:tcPr>
            <w:tcW w:w="1115" w:type="dxa"/>
            <w:tcBorders>
              <w:right w:val="nil"/>
            </w:tcBorders>
            <w:vAlign w:val="top"/>
          </w:tcPr>
          <w:p>
            <w:pPr>
              <w:pStyle w:val="6"/>
              <w:spacing w:before="100" w:line="188" w:lineRule="auto"/>
              <w:ind w:left="376"/>
            </w:pPr>
            <w:r>
              <w:rPr>
                <w:spacing w:val="-2"/>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56" w:type="dxa"/>
            <w:tcBorders>
              <w:left w:val="nil"/>
            </w:tcBorders>
            <w:vAlign w:val="top"/>
          </w:tcPr>
          <w:p>
            <w:pPr>
              <w:pStyle w:val="6"/>
              <w:spacing w:before="100" w:line="188" w:lineRule="auto"/>
              <w:ind w:left="204"/>
            </w:pPr>
            <w:r>
              <w:rPr>
                <w:spacing w:val="-12"/>
              </w:rPr>
              <w:t>14</w:t>
            </w:r>
          </w:p>
        </w:tc>
        <w:tc>
          <w:tcPr>
            <w:tcW w:w="1278" w:type="dxa"/>
            <w:vAlign w:val="top"/>
          </w:tcPr>
          <w:p>
            <w:pPr>
              <w:spacing w:before="63" w:line="212" w:lineRule="auto"/>
              <w:ind w:left="542"/>
              <w:rPr>
                <w:rFonts w:ascii="仿宋" w:hAnsi="仿宋" w:eastAsia="仿宋" w:cs="仿宋"/>
                <w:sz w:val="21"/>
                <w:szCs w:val="21"/>
              </w:rPr>
            </w:pPr>
            <w:r>
              <w:rPr>
                <w:rFonts w:ascii="仿宋" w:hAnsi="仿宋" w:eastAsia="仿宋" w:cs="仿宋"/>
                <w:sz w:val="21"/>
                <w:szCs w:val="21"/>
              </w:rPr>
              <w:t>砷</w:t>
            </w:r>
          </w:p>
        </w:tc>
        <w:tc>
          <w:tcPr>
            <w:tcW w:w="1572" w:type="dxa"/>
            <w:vAlign w:val="top"/>
          </w:tcPr>
          <w:p>
            <w:pPr>
              <w:pStyle w:val="6"/>
              <w:spacing w:before="100" w:line="188" w:lineRule="auto"/>
              <w:ind w:left="153"/>
            </w:pPr>
            <w:r>
              <w:rPr>
                <w:spacing w:val="-1"/>
              </w:rPr>
              <w:t>0.0079~0.0087</w:t>
            </w:r>
          </w:p>
        </w:tc>
        <w:tc>
          <w:tcPr>
            <w:tcW w:w="1569" w:type="dxa"/>
            <w:vAlign w:val="top"/>
          </w:tcPr>
          <w:p>
            <w:pPr>
              <w:pStyle w:val="6"/>
              <w:spacing w:before="100" w:line="188" w:lineRule="auto"/>
              <w:ind w:left="205"/>
            </w:pPr>
            <w:r>
              <w:rPr>
                <w:spacing w:val="-1"/>
              </w:rPr>
              <w:t>0.0083~0.009</w:t>
            </w:r>
          </w:p>
        </w:tc>
        <w:tc>
          <w:tcPr>
            <w:tcW w:w="1571" w:type="dxa"/>
            <w:vAlign w:val="top"/>
          </w:tcPr>
          <w:p>
            <w:pPr>
              <w:pStyle w:val="6"/>
              <w:spacing w:before="100" w:line="188" w:lineRule="auto"/>
              <w:ind w:left="205"/>
            </w:pPr>
            <w:r>
              <w:rPr>
                <w:spacing w:val="-1"/>
              </w:rPr>
              <w:t>0.003~0.0034</w:t>
            </w:r>
          </w:p>
        </w:tc>
        <w:tc>
          <w:tcPr>
            <w:tcW w:w="1578" w:type="dxa"/>
            <w:vAlign w:val="top"/>
          </w:tcPr>
          <w:p>
            <w:pPr>
              <w:pStyle w:val="6"/>
              <w:spacing w:before="100" w:line="188" w:lineRule="auto"/>
              <w:ind w:left="157"/>
            </w:pPr>
            <w:r>
              <w:rPr>
                <w:spacing w:val="-1"/>
              </w:rPr>
              <w:t>0.0137~0.0143</w:t>
            </w:r>
          </w:p>
        </w:tc>
        <w:tc>
          <w:tcPr>
            <w:tcW w:w="1578" w:type="dxa"/>
            <w:vAlign w:val="top"/>
          </w:tcPr>
          <w:p>
            <w:pPr>
              <w:pStyle w:val="6"/>
              <w:spacing w:before="100" w:line="188" w:lineRule="auto"/>
              <w:ind w:left="158"/>
            </w:pPr>
            <w:r>
              <w:rPr>
                <w:spacing w:val="-1"/>
              </w:rPr>
              <w:t>0.0088~0.0093</w:t>
            </w:r>
          </w:p>
        </w:tc>
        <w:tc>
          <w:tcPr>
            <w:tcW w:w="1578" w:type="dxa"/>
            <w:vAlign w:val="top"/>
          </w:tcPr>
          <w:p>
            <w:pPr>
              <w:pStyle w:val="6"/>
              <w:spacing w:before="100" w:line="188" w:lineRule="auto"/>
              <w:ind w:left="158"/>
            </w:pPr>
            <w:r>
              <w:rPr>
                <w:spacing w:val="-1"/>
              </w:rPr>
              <w:t>0.0021~0.0023</w:t>
            </w:r>
          </w:p>
        </w:tc>
        <w:tc>
          <w:tcPr>
            <w:tcW w:w="1578" w:type="dxa"/>
            <w:vAlign w:val="top"/>
          </w:tcPr>
          <w:p>
            <w:pPr>
              <w:pStyle w:val="6"/>
              <w:spacing w:before="100" w:line="188" w:lineRule="auto"/>
              <w:ind w:left="158"/>
            </w:pPr>
            <w:r>
              <w:rPr>
                <w:spacing w:val="-1"/>
              </w:rPr>
              <w:t>0.0021~0.0023</w:t>
            </w:r>
          </w:p>
        </w:tc>
        <w:tc>
          <w:tcPr>
            <w:tcW w:w="1115" w:type="dxa"/>
            <w:tcBorders>
              <w:right w:val="nil"/>
            </w:tcBorders>
            <w:vAlign w:val="top"/>
          </w:tcPr>
          <w:p>
            <w:pPr>
              <w:pStyle w:val="6"/>
              <w:spacing w:before="100" w:line="188" w:lineRule="auto"/>
              <w:ind w:left="376"/>
            </w:pPr>
            <w:r>
              <w:rPr>
                <w:spacing w:val="-2"/>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556" w:type="dxa"/>
            <w:tcBorders>
              <w:left w:val="nil"/>
            </w:tcBorders>
            <w:vAlign w:val="top"/>
          </w:tcPr>
          <w:p>
            <w:pPr>
              <w:pStyle w:val="6"/>
              <w:spacing w:before="103" w:line="188" w:lineRule="auto"/>
              <w:ind w:left="204"/>
            </w:pPr>
            <w:r>
              <w:rPr>
                <w:spacing w:val="-12"/>
              </w:rPr>
              <w:t>15</w:t>
            </w:r>
          </w:p>
        </w:tc>
        <w:tc>
          <w:tcPr>
            <w:tcW w:w="1278" w:type="dxa"/>
            <w:vAlign w:val="top"/>
          </w:tcPr>
          <w:p>
            <w:pPr>
              <w:spacing w:before="67" w:line="210" w:lineRule="auto"/>
              <w:ind w:left="543"/>
              <w:rPr>
                <w:rFonts w:ascii="仿宋" w:hAnsi="仿宋" w:eastAsia="仿宋" w:cs="仿宋"/>
                <w:sz w:val="21"/>
                <w:szCs w:val="21"/>
              </w:rPr>
            </w:pPr>
            <w:r>
              <w:rPr>
                <w:rFonts w:ascii="仿宋" w:hAnsi="仿宋" w:eastAsia="仿宋" w:cs="仿宋"/>
                <w:sz w:val="21"/>
                <w:szCs w:val="21"/>
              </w:rPr>
              <w:t>汞</w:t>
            </w:r>
          </w:p>
        </w:tc>
        <w:tc>
          <w:tcPr>
            <w:tcW w:w="1572" w:type="dxa"/>
            <w:vAlign w:val="top"/>
          </w:tcPr>
          <w:p>
            <w:pPr>
              <w:pStyle w:val="6"/>
              <w:spacing w:before="103" w:line="188" w:lineRule="auto"/>
              <w:ind w:left="540"/>
            </w:pPr>
            <w:r>
              <w:rPr>
                <w:spacing w:val="-2"/>
              </w:rPr>
              <w:t>0.04L</w:t>
            </w:r>
          </w:p>
        </w:tc>
        <w:tc>
          <w:tcPr>
            <w:tcW w:w="1569" w:type="dxa"/>
            <w:vAlign w:val="top"/>
          </w:tcPr>
          <w:p>
            <w:pPr>
              <w:pStyle w:val="6"/>
              <w:spacing w:before="103" w:line="188" w:lineRule="auto"/>
              <w:ind w:left="538"/>
            </w:pPr>
            <w:r>
              <w:rPr>
                <w:spacing w:val="-2"/>
              </w:rPr>
              <w:t>0.04L</w:t>
            </w:r>
          </w:p>
        </w:tc>
        <w:tc>
          <w:tcPr>
            <w:tcW w:w="1571" w:type="dxa"/>
            <w:vAlign w:val="top"/>
          </w:tcPr>
          <w:p>
            <w:pPr>
              <w:pStyle w:val="6"/>
              <w:spacing w:before="103" w:line="188" w:lineRule="auto"/>
              <w:ind w:left="539"/>
            </w:pPr>
            <w:r>
              <w:rPr>
                <w:spacing w:val="-2"/>
              </w:rPr>
              <w:t>0.04L</w:t>
            </w:r>
          </w:p>
        </w:tc>
        <w:tc>
          <w:tcPr>
            <w:tcW w:w="1578" w:type="dxa"/>
            <w:vAlign w:val="top"/>
          </w:tcPr>
          <w:p>
            <w:pPr>
              <w:pStyle w:val="6"/>
              <w:spacing w:before="103" w:line="188" w:lineRule="auto"/>
              <w:ind w:left="544"/>
            </w:pPr>
            <w:r>
              <w:rPr>
                <w:spacing w:val="-2"/>
              </w:rPr>
              <w:t>0.04L</w:t>
            </w:r>
          </w:p>
        </w:tc>
        <w:tc>
          <w:tcPr>
            <w:tcW w:w="1578" w:type="dxa"/>
            <w:vAlign w:val="top"/>
          </w:tcPr>
          <w:p>
            <w:pPr>
              <w:pStyle w:val="6"/>
              <w:spacing w:before="103" w:line="188" w:lineRule="auto"/>
              <w:ind w:left="544"/>
            </w:pPr>
            <w:r>
              <w:rPr>
                <w:spacing w:val="-2"/>
              </w:rPr>
              <w:t>0.04L</w:t>
            </w:r>
          </w:p>
        </w:tc>
        <w:tc>
          <w:tcPr>
            <w:tcW w:w="1578" w:type="dxa"/>
            <w:vAlign w:val="top"/>
          </w:tcPr>
          <w:p>
            <w:pPr>
              <w:pStyle w:val="6"/>
              <w:spacing w:before="103" w:line="188" w:lineRule="auto"/>
              <w:ind w:left="544"/>
            </w:pPr>
            <w:r>
              <w:rPr>
                <w:spacing w:val="-2"/>
              </w:rPr>
              <w:t>0.04L</w:t>
            </w:r>
          </w:p>
        </w:tc>
        <w:tc>
          <w:tcPr>
            <w:tcW w:w="1578" w:type="dxa"/>
            <w:vAlign w:val="top"/>
          </w:tcPr>
          <w:p>
            <w:pPr>
              <w:pStyle w:val="6"/>
              <w:spacing w:before="103" w:line="188" w:lineRule="auto"/>
              <w:ind w:left="544"/>
            </w:pPr>
            <w:r>
              <w:rPr>
                <w:spacing w:val="-2"/>
              </w:rPr>
              <w:t>0.04L</w:t>
            </w:r>
          </w:p>
        </w:tc>
        <w:tc>
          <w:tcPr>
            <w:tcW w:w="1115" w:type="dxa"/>
            <w:tcBorders>
              <w:right w:val="nil"/>
            </w:tcBorders>
            <w:vAlign w:val="top"/>
          </w:tcPr>
          <w:p>
            <w:pPr>
              <w:pStyle w:val="6"/>
              <w:spacing w:before="103" w:line="188" w:lineRule="auto"/>
              <w:ind w:left="219"/>
            </w:pPr>
            <w:r>
              <w:rPr>
                <w:spacing w:val="-1"/>
              </w:rPr>
              <w:t>0.00005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556" w:type="dxa"/>
            <w:tcBorders>
              <w:left w:val="nil"/>
            </w:tcBorders>
            <w:vAlign w:val="top"/>
          </w:tcPr>
          <w:p>
            <w:pPr>
              <w:pStyle w:val="6"/>
              <w:spacing w:before="259" w:line="188" w:lineRule="auto"/>
              <w:ind w:left="204"/>
            </w:pPr>
            <w:r>
              <w:rPr>
                <w:spacing w:val="-12"/>
              </w:rPr>
              <w:t>16</w:t>
            </w:r>
          </w:p>
        </w:tc>
        <w:tc>
          <w:tcPr>
            <w:tcW w:w="1278" w:type="dxa"/>
            <w:vAlign w:val="top"/>
          </w:tcPr>
          <w:p>
            <w:pPr>
              <w:pStyle w:val="6"/>
              <w:spacing w:before="67" w:line="241" w:lineRule="auto"/>
              <w:ind w:left="116" w:right="109" w:firstLine="11"/>
              <w:rPr>
                <w:rFonts w:ascii="仿宋" w:hAnsi="仿宋" w:eastAsia="仿宋" w:cs="仿宋"/>
              </w:rPr>
            </w:pPr>
            <w:r>
              <w:rPr>
                <w:rFonts w:ascii="仿宋" w:hAnsi="仿宋" w:eastAsia="仿宋" w:cs="仿宋"/>
                <w:spacing w:val="-4"/>
              </w:rPr>
              <w:t>粪大肠菌群</w:t>
            </w:r>
            <w:r>
              <w:rPr>
                <w:rFonts w:ascii="仿宋" w:hAnsi="仿宋" w:eastAsia="仿宋" w:cs="仿宋"/>
              </w:rPr>
              <w:t xml:space="preserve"> </w:t>
            </w:r>
            <w:r>
              <w:rPr>
                <w:rFonts w:ascii="仿宋" w:hAnsi="仿宋" w:eastAsia="仿宋" w:cs="仿宋"/>
                <w:spacing w:val="-4"/>
              </w:rPr>
              <w:t>（</w:t>
            </w:r>
            <w:r>
              <w:rPr>
                <w:spacing w:val="-4"/>
              </w:rPr>
              <w:t>MPN/L</w:t>
            </w:r>
            <w:r>
              <w:rPr>
                <w:rFonts w:ascii="仿宋" w:hAnsi="仿宋" w:eastAsia="仿宋" w:cs="仿宋"/>
                <w:spacing w:val="-4"/>
              </w:rPr>
              <w:t>）</w:t>
            </w:r>
          </w:p>
        </w:tc>
        <w:tc>
          <w:tcPr>
            <w:tcW w:w="1572" w:type="dxa"/>
            <w:vAlign w:val="top"/>
          </w:tcPr>
          <w:p>
            <w:pPr>
              <w:pStyle w:val="6"/>
              <w:spacing w:before="259" w:line="188" w:lineRule="auto"/>
              <w:ind w:left="417"/>
            </w:pPr>
            <w:r>
              <w:rPr>
                <w:spacing w:val="-2"/>
              </w:rPr>
              <w:t>360~520</w:t>
            </w:r>
          </w:p>
        </w:tc>
        <w:tc>
          <w:tcPr>
            <w:tcW w:w="1569" w:type="dxa"/>
            <w:vAlign w:val="top"/>
          </w:tcPr>
          <w:p>
            <w:pPr>
              <w:pStyle w:val="6"/>
              <w:spacing w:before="259" w:line="188" w:lineRule="auto"/>
              <w:ind w:left="411"/>
            </w:pPr>
            <w:r>
              <w:rPr>
                <w:spacing w:val="-1"/>
              </w:rPr>
              <w:t>470~620</w:t>
            </w:r>
          </w:p>
        </w:tc>
        <w:tc>
          <w:tcPr>
            <w:tcW w:w="1571" w:type="dxa"/>
            <w:vAlign w:val="top"/>
          </w:tcPr>
          <w:p>
            <w:pPr>
              <w:pStyle w:val="6"/>
              <w:spacing w:before="259" w:line="188" w:lineRule="auto"/>
              <w:ind w:left="417"/>
            </w:pPr>
            <w:r>
              <w:rPr>
                <w:spacing w:val="-2"/>
              </w:rPr>
              <w:t>360~500</w:t>
            </w:r>
          </w:p>
        </w:tc>
        <w:tc>
          <w:tcPr>
            <w:tcW w:w="1578" w:type="dxa"/>
            <w:vAlign w:val="top"/>
          </w:tcPr>
          <w:p>
            <w:pPr>
              <w:pStyle w:val="6"/>
              <w:spacing w:before="259" w:line="188" w:lineRule="auto"/>
              <w:ind w:left="415"/>
            </w:pPr>
            <w:r>
              <w:rPr>
                <w:spacing w:val="-1"/>
              </w:rPr>
              <w:t>490~660</w:t>
            </w:r>
          </w:p>
        </w:tc>
        <w:tc>
          <w:tcPr>
            <w:tcW w:w="1578" w:type="dxa"/>
            <w:vAlign w:val="top"/>
          </w:tcPr>
          <w:p>
            <w:pPr>
              <w:pStyle w:val="6"/>
              <w:spacing w:before="259" w:line="188" w:lineRule="auto"/>
              <w:ind w:left="420"/>
            </w:pPr>
            <w:r>
              <w:rPr>
                <w:spacing w:val="-2"/>
              </w:rPr>
              <w:t>300~450</w:t>
            </w:r>
          </w:p>
        </w:tc>
        <w:tc>
          <w:tcPr>
            <w:tcW w:w="1578" w:type="dxa"/>
            <w:vAlign w:val="top"/>
          </w:tcPr>
          <w:p>
            <w:pPr>
              <w:pStyle w:val="6"/>
              <w:spacing w:before="259" w:line="188" w:lineRule="auto"/>
              <w:ind w:left="377"/>
            </w:pPr>
            <w:r>
              <w:rPr>
                <w:spacing w:val="-3"/>
              </w:rPr>
              <w:t>840~1100</w:t>
            </w:r>
          </w:p>
        </w:tc>
        <w:tc>
          <w:tcPr>
            <w:tcW w:w="1578" w:type="dxa"/>
            <w:vAlign w:val="top"/>
          </w:tcPr>
          <w:p>
            <w:pPr>
              <w:pStyle w:val="6"/>
              <w:spacing w:before="259" w:line="188" w:lineRule="auto"/>
              <w:ind w:left="368"/>
            </w:pPr>
            <w:r>
              <w:rPr>
                <w:spacing w:val="-1"/>
              </w:rPr>
              <w:t>940~1400</w:t>
            </w:r>
          </w:p>
        </w:tc>
        <w:tc>
          <w:tcPr>
            <w:tcW w:w="1115" w:type="dxa"/>
            <w:tcBorders>
              <w:right w:val="nil"/>
            </w:tcBorders>
            <w:vAlign w:val="top"/>
          </w:tcPr>
          <w:p>
            <w:pPr>
              <w:pStyle w:val="6"/>
              <w:spacing w:before="259" w:line="188" w:lineRule="auto"/>
              <w:ind w:left="347"/>
            </w:pPr>
            <w:r>
              <w:rPr>
                <w:spacing w:val="-1"/>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556" w:type="dxa"/>
            <w:tcBorders>
              <w:left w:val="nil"/>
            </w:tcBorders>
            <w:vAlign w:val="top"/>
          </w:tcPr>
          <w:p>
            <w:pPr>
              <w:pStyle w:val="6"/>
              <w:spacing w:before="107" w:line="188" w:lineRule="auto"/>
              <w:ind w:left="204"/>
            </w:pPr>
            <w:r>
              <w:rPr>
                <w:spacing w:val="-12"/>
              </w:rPr>
              <w:t>17</w:t>
            </w:r>
          </w:p>
        </w:tc>
        <w:tc>
          <w:tcPr>
            <w:tcW w:w="1278" w:type="dxa"/>
            <w:vAlign w:val="top"/>
          </w:tcPr>
          <w:p>
            <w:pPr>
              <w:spacing w:before="70" w:line="207" w:lineRule="auto"/>
              <w:ind w:left="334"/>
              <w:rPr>
                <w:rFonts w:ascii="仿宋" w:hAnsi="仿宋" w:eastAsia="仿宋" w:cs="仿宋"/>
                <w:sz w:val="21"/>
                <w:szCs w:val="21"/>
              </w:rPr>
            </w:pPr>
            <w:r>
              <w:rPr>
                <w:rFonts w:ascii="仿宋" w:hAnsi="仿宋" w:eastAsia="仿宋" w:cs="仿宋"/>
                <w:spacing w:val="-4"/>
                <w:sz w:val="21"/>
                <w:szCs w:val="21"/>
              </w:rPr>
              <w:t>六价铬</w:t>
            </w:r>
          </w:p>
        </w:tc>
        <w:tc>
          <w:tcPr>
            <w:tcW w:w="1572" w:type="dxa"/>
            <w:vAlign w:val="top"/>
          </w:tcPr>
          <w:p>
            <w:pPr>
              <w:pStyle w:val="6"/>
              <w:spacing w:before="107" w:line="188" w:lineRule="auto"/>
              <w:ind w:left="487"/>
            </w:pPr>
            <w:r>
              <w:rPr>
                <w:spacing w:val="-2"/>
              </w:rPr>
              <w:t>0.004L</w:t>
            </w:r>
          </w:p>
        </w:tc>
        <w:tc>
          <w:tcPr>
            <w:tcW w:w="1569" w:type="dxa"/>
            <w:vAlign w:val="top"/>
          </w:tcPr>
          <w:p>
            <w:pPr>
              <w:pStyle w:val="6"/>
              <w:spacing w:before="107" w:line="188" w:lineRule="auto"/>
              <w:ind w:left="486"/>
            </w:pPr>
            <w:r>
              <w:rPr>
                <w:spacing w:val="-2"/>
              </w:rPr>
              <w:t>0.004L</w:t>
            </w:r>
          </w:p>
        </w:tc>
        <w:tc>
          <w:tcPr>
            <w:tcW w:w="1571" w:type="dxa"/>
            <w:vAlign w:val="top"/>
          </w:tcPr>
          <w:p>
            <w:pPr>
              <w:pStyle w:val="6"/>
              <w:spacing w:before="107" w:line="188" w:lineRule="auto"/>
              <w:ind w:left="486"/>
            </w:pPr>
            <w:r>
              <w:rPr>
                <w:spacing w:val="-2"/>
              </w:rPr>
              <w:t>0.004L</w:t>
            </w:r>
          </w:p>
        </w:tc>
        <w:tc>
          <w:tcPr>
            <w:tcW w:w="1578" w:type="dxa"/>
            <w:vAlign w:val="top"/>
          </w:tcPr>
          <w:p>
            <w:pPr>
              <w:pStyle w:val="6"/>
              <w:spacing w:before="107" w:line="188" w:lineRule="auto"/>
              <w:ind w:left="491"/>
            </w:pPr>
            <w:r>
              <w:rPr>
                <w:spacing w:val="-2"/>
              </w:rPr>
              <w:t>0.004L</w:t>
            </w:r>
          </w:p>
        </w:tc>
        <w:tc>
          <w:tcPr>
            <w:tcW w:w="1578" w:type="dxa"/>
            <w:vAlign w:val="top"/>
          </w:tcPr>
          <w:p>
            <w:pPr>
              <w:pStyle w:val="6"/>
              <w:spacing w:before="107" w:line="188" w:lineRule="auto"/>
              <w:ind w:left="491"/>
            </w:pPr>
            <w:r>
              <w:rPr>
                <w:spacing w:val="-2"/>
              </w:rPr>
              <w:t>0.004L</w:t>
            </w:r>
          </w:p>
        </w:tc>
        <w:tc>
          <w:tcPr>
            <w:tcW w:w="1578" w:type="dxa"/>
            <w:vAlign w:val="top"/>
          </w:tcPr>
          <w:p>
            <w:pPr>
              <w:pStyle w:val="6"/>
              <w:spacing w:before="107" w:line="188" w:lineRule="auto"/>
              <w:ind w:left="491"/>
            </w:pPr>
            <w:r>
              <w:rPr>
                <w:spacing w:val="-2"/>
              </w:rPr>
              <w:t>0.004L</w:t>
            </w:r>
          </w:p>
        </w:tc>
        <w:tc>
          <w:tcPr>
            <w:tcW w:w="1578" w:type="dxa"/>
            <w:vAlign w:val="top"/>
          </w:tcPr>
          <w:p>
            <w:pPr>
              <w:pStyle w:val="6"/>
              <w:spacing w:before="107" w:line="188" w:lineRule="auto"/>
              <w:ind w:left="491"/>
            </w:pPr>
            <w:r>
              <w:rPr>
                <w:spacing w:val="-2"/>
              </w:rPr>
              <w:t>0.004L</w:t>
            </w:r>
          </w:p>
        </w:tc>
        <w:tc>
          <w:tcPr>
            <w:tcW w:w="1115" w:type="dxa"/>
            <w:tcBorders>
              <w:right w:val="nil"/>
            </w:tcBorders>
            <w:vAlign w:val="top"/>
          </w:tcPr>
          <w:p>
            <w:pPr>
              <w:pStyle w:val="6"/>
              <w:spacing w:before="107" w:line="188" w:lineRule="auto"/>
              <w:ind w:left="376"/>
            </w:pPr>
            <w:r>
              <w:rPr>
                <w:spacing w:val="-2"/>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556" w:type="dxa"/>
            <w:tcBorders>
              <w:left w:val="nil"/>
            </w:tcBorders>
            <w:vAlign w:val="top"/>
          </w:tcPr>
          <w:p>
            <w:pPr>
              <w:pStyle w:val="6"/>
              <w:spacing w:before="107" w:line="188" w:lineRule="auto"/>
              <w:ind w:left="204"/>
            </w:pPr>
            <w:r>
              <w:rPr>
                <w:spacing w:val="-12"/>
              </w:rPr>
              <w:t>18</w:t>
            </w:r>
          </w:p>
        </w:tc>
        <w:tc>
          <w:tcPr>
            <w:tcW w:w="1278" w:type="dxa"/>
            <w:vAlign w:val="top"/>
          </w:tcPr>
          <w:p>
            <w:pPr>
              <w:spacing w:before="71" w:line="206" w:lineRule="auto"/>
              <w:ind w:left="338"/>
              <w:rPr>
                <w:rFonts w:ascii="仿宋" w:hAnsi="仿宋" w:eastAsia="仿宋" w:cs="仿宋"/>
                <w:sz w:val="21"/>
                <w:szCs w:val="21"/>
              </w:rPr>
            </w:pPr>
            <w:r>
              <w:rPr>
                <w:rFonts w:ascii="仿宋" w:hAnsi="仿宋" w:eastAsia="仿宋" w:cs="仿宋"/>
                <w:spacing w:val="-5"/>
                <w:sz w:val="21"/>
                <w:szCs w:val="21"/>
              </w:rPr>
              <w:t>氟化物</w:t>
            </w:r>
          </w:p>
        </w:tc>
        <w:tc>
          <w:tcPr>
            <w:tcW w:w="1572" w:type="dxa"/>
            <w:vAlign w:val="top"/>
          </w:tcPr>
          <w:p>
            <w:pPr>
              <w:pStyle w:val="6"/>
              <w:spacing w:before="107" w:line="188" w:lineRule="auto"/>
              <w:ind w:left="363"/>
            </w:pPr>
            <w:r>
              <w:rPr>
                <w:spacing w:val="-1"/>
              </w:rPr>
              <w:t>0.16~0.20</w:t>
            </w:r>
          </w:p>
        </w:tc>
        <w:tc>
          <w:tcPr>
            <w:tcW w:w="1569" w:type="dxa"/>
            <w:vAlign w:val="top"/>
          </w:tcPr>
          <w:p>
            <w:pPr>
              <w:pStyle w:val="6"/>
              <w:spacing w:before="107" w:line="188" w:lineRule="auto"/>
              <w:ind w:left="362"/>
            </w:pPr>
            <w:r>
              <w:rPr>
                <w:spacing w:val="-1"/>
              </w:rPr>
              <w:t>0.19~0.21</w:t>
            </w:r>
          </w:p>
        </w:tc>
        <w:tc>
          <w:tcPr>
            <w:tcW w:w="1571" w:type="dxa"/>
            <w:vAlign w:val="top"/>
          </w:tcPr>
          <w:p>
            <w:pPr>
              <w:pStyle w:val="6"/>
              <w:spacing w:before="107" w:line="188" w:lineRule="auto"/>
              <w:ind w:left="363"/>
            </w:pPr>
            <w:r>
              <w:rPr>
                <w:spacing w:val="-1"/>
              </w:rPr>
              <w:t>0.21~0.25</w:t>
            </w:r>
          </w:p>
        </w:tc>
        <w:tc>
          <w:tcPr>
            <w:tcW w:w="1578" w:type="dxa"/>
            <w:vAlign w:val="top"/>
          </w:tcPr>
          <w:p>
            <w:pPr>
              <w:pStyle w:val="6"/>
              <w:spacing w:before="107" w:line="188" w:lineRule="auto"/>
              <w:ind w:left="367"/>
            </w:pPr>
            <w:r>
              <w:rPr>
                <w:spacing w:val="-1"/>
              </w:rPr>
              <w:t>0.18~0.22</w:t>
            </w:r>
          </w:p>
        </w:tc>
        <w:tc>
          <w:tcPr>
            <w:tcW w:w="1578" w:type="dxa"/>
            <w:vAlign w:val="top"/>
          </w:tcPr>
          <w:p>
            <w:pPr>
              <w:pStyle w:val="6"/>
              <w:spacing w:before="107" w:line="188" w:lineRule="auto"/>
              <w:ind w:left="368"/>
            </w:pPr>
            <w:r>
              <w:rPr>
                <w:spacing w:val="-1"/>
              </w:rPr>
              <w:t>0.23~0.26</w:t>
            </w:r>
          </w:p>
        </w:tc>
        <w:tc>
          <w:tcPr>
            <w:tcW w:w="1578" w:type="dxa"/>
            <w:vAlign w:val="top"/>
          </w:tcPr>
          <w:p>
            <w:pPr>
              <w:pStyle w:val="6"/>
              <w:spacing w:before="107" w:line="188" w:lineRule="auto"/>
              <w:ind w:left="368"/>
            </w:pPr>
            <w:r>
              <w:rPr>
                <w:spacing w:val="-1"/>
              </w:rPr>
              <w:t>0.32~0.38</w:t>
            </w:r>
          </w:p>
        </w:tc>
        <w:tc>
          <w:tcPr>
            <w:tcW w:w="1578" w:type="dxa"/>
            <w:vAlign w:val="top"/>
          </w:tcPr>
          <w:p>
            <w:pPr>
              <w:pStyle w:val="6"/>
              <w:spacing w:before="107" w:line="188" w:lineRule="auto"/>
              <w:ind w:left="419"/>
            </w:pPr>
            <w:r>
              <w:rPr>
                <w:spacing w:val="-1"/>
              </w:rPr>
              <w:t>0.26~0.3</w:t>
            </w:r>
          </w:p>
        </w:tc>
        <w:tc>
          <w:tcPr>
            <w:tcW w:w="1115" w:type="dxa"/>
            <w:tcBorders>
              <w:right w:val="nil"/>
            </w:tcBorders>
            <w:vAlign w:val="top"/>
          </w:tcPr>
          <w:p>
            <w:pPr>
              <w:pStyle w:val="6"/>
              <w:spacing w:before="107" w:line="188" w:lineRule="auto"/>
              <w:ind w:left="446"/>
            </w:pPr>
            <w:r>
              <w:rPr>
                <w:spacing w:val="-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556" w:type="dxa"/>
            <w:tcBorders>
              <w:left w:val="nil"/>
            </w:tcBorders>
            <w:vAlign w:val="top"/>
          </w:tcPr>
          <w:p>
            <w:pPr>
              <w:pStyle w:val="6"/>
              <w:spacing w:before="109" w:line="188" w:lineRule="auto"/>
              <w:ind w:left="204"/>
            </w:pPr>
            <w:r>
              <w:rPr>
                <w:spacing w:val="-12"/>
              </w:rPr>
              <w:t>19</w:t>
            </w:r>
          </w:p>
        </w:tc>
        <w:tc>
          <w:tcPr>
            <w:tcW w:w="1278" w:type="dxa"/>
            <w:vAlign w:val="top"/>
          </w:tcPr>
          <w:p>
            <w:pPr>
              <w:spacing w:before="72" w:line="205" w:lineRule="auto"/>
              <w:ind w:left="544"/>
              <w:rPr>
                <w:rFonts w:ascii="仿宋" w:hAnsi="仿宋" w:eastAsia="仿宋" w:cs="仿宋"/>
                <w:sz w:val="21"/>
                <w:szCs w:val="21"/>
              </w:rPr>
            </w:pPr>
            <w:r>
              <w:rPr>
                <w:rFonts w:ascii="仿宋" w:hAnsi="仿宋" w:eastAsia="仿宋" w:cs="仿宋"/>
                <w:sz w:val="21"/>
                <w:szCs w:val="21"/>
              </w:rPr>
              <w:t>铁</w:t>
            </w:r>
          </w:p>
        </w:tc>
        <w:tc>
          <w:tcPr>
            <w:tcW w:w="1572" w:type="dxa"/>
            <w:vAlign w:val="top"/>
          </w:tcPr>
          <w:p>
            <w:pPr>
              <w:pStyle w:val="6"/>
              <w:spacing w:before="109" w:line="188" w:lineRule="auto"/>
              <w:ind w:left="540"/>
            </w:pPr>
            <w:r>
              <w:rPr>
                <w:spacing w:val="-2"/>
              </w:rPr>
              <w:t>0.01L</w:t>
            </w:r>
          </w:p>
        </w:tc>
        <w:tc>
          <w:tcPr>
            <w:tcW w:w="1569" w:type="dxa"/>
            <w:vAlign w:val="top"/>
          </w:tcPr>
          <w:p>
            <w:pPr>
              <w:pStyle w:val="6"/>
              <w:spacing w:before="109" w:line="188" w:lineRule="auto"/>
              <w:ind w:left="538"/>
            </w:pPr>
            <w:r>
              <w:rPr>
                <w:spacing w:val="-2"/>
              </w:rPr>
              <w:t>0.01L</w:t>
            </w:r>
          </w:p>
        </w:tc>
        <w:tc>
          <w:tcPr>
            <w:tcW w:w="1571" w:type="dxa"/>
            <w:vAlign w:val="top"/>
          </w:tcPr>
          <w:p>
            <w:pPr>
              <w:pStyle w:val="6"/>
              <w:spacing w:before="109" w:line="188" w:lineRule="auto"/>
              <w:ind w:left="539"/>
            </w:pPr>
            <w:r>
              <w:rPr>
                <w:spacing w:val="-2"/>
              </w:rPr>
              <w:t>0.01L</w:t>
            </w:r>
          </w:p>
        </w:tc>
        <w:tc>
          <w:tcPr>
            <w:tcW w:w="1578" w:type="dxa"/>
            <w:vAlign w:val="top"/>
          </w:tcPr>
          <w:p>
            <w:pPr>
              <w:pStyle w:val="6"/>
              <w:spacing w:before="109" w:line="188" w:lineRule="auto"/>
              <w:ind w:left="544"/>
            </w:pPr>
            <w:r>
              <w:rPr>
                <w:spacing w:val="-2"/>
              </w:rPr>
              <w:t>0.01L</w:t>
            </w:r>
          </w:p>
        </w:tc>
        <w:tc>
          <w:tcPr>
            <w:tcW w:w="1578" w:type="dxa"/>
            <w:vAlign w:val="top"/>
          </w:tcPr>
          <w:p>
            <w:pPr>
              <w:pStyle w:val="6"/>
              <w:spacing w:before="109" w:line="188" w:lineRule="auto"/>
              <w:ind w:left="544"/>
            </w:pPr>
            <w:r>
              <w:rPr>
                <w:spacing w:val="-2"/>
              </w:rPr>
              <w:t>0.01L</w:t>
            </w:r>
          </w:p>
        </w:tc>
        <w:tc>
          <w:tcPr>
            <w:tcW w:w="1578" w:type="dxa"/>
            <w:vAlign w:val="top"/>
          </w:tcPr>
          <w:p>
            <w:pPr>
              <w:pStyle w:val="6"/>
              <w:spacing w:before="109" w:line="188" w:lineRule="auto"/>
              <w:ind w:left="544"/>
            </w:pPr>
            <w:r>
              <w:rPr>
                <w:spacing w:val="-2"/>
              </w:rPr>
              <w:t>0.01L</w:t>
            </w:r>
          </w:p>
        </w:tc>
        <w:tc>
          <w:tcPr>
            <w:tcW w:w="1578" w:type="dxa"/>
            <w:vAlign w:val="top"/>
          </w:tcPr>
          <w:p>
            <w:pPr>
              <w:pStyle w:val="6"/>
              <w:spacing w:before="109" w:line="188" w:lineRule="auto"/>
              <w:ind w:left="544"/>
            </w:pPr>
            <w:r>
              <w:rPr>
                <w:spacing w:val="-2"/>
              </w:rPr>
              <w:t>0.01L</w:t>
            </w:r>
          </w:p>
        </w:tc>
        <w:tc>
          <w:tcPr>
            <w:tcW w:w="1115" w:type="dxa"/>
            <w:tcBorders>
              <w:right w:val="nil"/>
            </w:tcBorders>
            <w:vAlign w:val="top"/>
          </w:tcPr>
          <w:p>
            <w:pPr>
              <w:pStyle w:val="6"/>
              <w:spacing w:before="109" w:line="188" w:lineRule="auto"/>
              <w:ind w:left="429"/>
            </w:pPr>
            <w:r>
              <w:rPr>
                <w:spacing w:val="-3"/>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56" w:type="dxa"/>
            <w:tcBorders>
              <w:left w:val="nil"/>
            </w:tcBorders>
            <w:vAlign w:val="top"/>
          </w:tcPr>
          <w:p>
            <w:pPr>
              <w:pStyle w:val="6"/>
              <w:spacing w:before="109" w:line="188" w:lineRule="auto"/>
              <w:ind w:left="184"/>
            </w:pPr>
            <w:r>
              <w:rPr>
                <w:spacing w:val="-2"/>
              </w:rPr>
              <w:t>20</w:t>
            </w:r>
          </w:p>
        </w:tc>
        <w:tc>
          <w:tcPr>
            <w:tcW w:w="1278" w:type="dxa"/>
            <w:vAlign w:val="top"/>
          </w:tcPr>
          <w:p>
            <w:pPr>
              <w:spacing w:before="72" w:line="204" w:lineRule="auto"/>
              <w:ind w:left="542"/>
              <w:rPr>
                <w:rFonts w:ascii="仿宋" w:hAnsi="仿宋" w:eastAsia="仿宋" w:cs="仿宋"/>
                <w:sz w:val="21"/>
                <w:szCs w:val="21"/>
              </w:rPr>
            </w:pPr>
            <w:r>
              <w:rPr>
                <w:rFonts w:ascii="仿宋" w:hAnsi="仿宋" w:eastAsia="仿宋" w:cs="仿宋"/>
                <w:sz w:val="21"/>
                <w:szCs w:val="21"/>
              </w:rPr>
              <w:t>锰</w:t>
            </w:r>
          </w:p>
        </w:tc>
        <w:tc>
          <w:tcPr>
            <w:tcW w:w="1572" w:type="dxa"/>
            <w:vAlign w:val="top"/>
          </w:tcPr>
          <w:p>
            <w:pPr>
              <w:pStyle w:val="6"/>
              <w:spacing w:before="109" w:line="188" w:lineRule="auto"/>
              <w:ind w:left="487"/>
            </w:pPr>
            <w:r>
              <w:rPr>
                <w:spacing w:val="-2"/>
              </w:rPr>
              <w:t>0.004L</w:t>
            </w:r>
          </w:p>
        </w:tc>
        <w:tc>
          <w:tcPr>
            <w:tcW w:w="1569" w:type="dxa"/>
            <w:vAlign w:val="top"/>
          </w:tcPr>
          <w:p>
            <w:pPr>
              <w:pStyle w:val="6"/>
              <w:spacing w:before="109" w:line="188" w:lineRule="auto"/>
              <w:ind w:left="486"/>
            </w:pPr>
            <w:r>
              <w:rPr>
                <w:spacing w:val="-2"/>
              </w:rPr>
              <w:t>0.004L</w:t>
            </w:r>
          </w:p>
        </w:tc>
        <w:tc>
          <w:tcPr>
            <w:tcW w:w="1571" w:type="dxa"/>
            <w:vAlign w:val="top"/>
          </w:tcPr>
          <w:p>
            <w:pPr>
              <w:pStyle w:val="6"/>
              <w:spacing w:before="109" w:line="188" w:lineRule="auto"/>
              <w:ind w:left="486"/>
            </w:pPr>
            <w:r>
              <w:rPr>
                <w:spacing w:val="-2"/>
              </w:rPr>
              <w:t>0.004L</w:t>
            </w:r>
          </w:p>
        </w:tc>
        <w:tc>
          <w:tcPr>
            <w:tcW w:w="1578" w:type="dxa"/>
            <w:vAlign w:val="top"/>
          </w:tcPr>
          <w:p>
            <w:pPr>
              <w:pStyle w:val="6"/>
              <w:spacing w:before="109" w:line="188" w:lineRule="auto"/>
              <w:ind w:left="491"/>
            </w:pPr>
            <w:r>
              <w:rPr>
                <w:spacing w:val="-2"/>
              </w:rPr>
              <w:t>0.004L</w:t>
            </w:r>
          </w:p>
        </w:tc>
        <w:tc>
          <w:tcPr>
            <w:tcW w:w="1578" w:type="dxa"/>
            <w:vAlign w:val="top"/>
          </w:tcPr>
          <w:p>
            <w:pPr>
              <w:pStyle w:val="6"/>
              <w:spacing w:before="109" w:line="188" w:lineRule="auto"/>
              <w:ind w:left="491"/>
            </w:pPr>
            <w:r>
              <w:rPr>
                <w:spacing w:val="-2"/>
              </w:rPr>
              <w:t>0.004L</w:t>
            </w:r>
          </w:p>
        </w:tc>
        <w:tc>
          <w:tcPr>
            <w:tcW w:w="1578" w:type="dxa"/>
            <w:vAlign w:val="top"/>
          </w:tcPr>
          <w:p>
            <w:pPr>
              <w:pStyle w:val="6"/>
              <w:spacing w:before="109" w:line="188" w:lineRule="auto"/>
              <w:ind w:left="491"/>
            </w:pPr>
            <w:r>
              <w:rPr>
                <w:spacing w:val="-2"/>
              </w:rPr>
              <w:t>0.004L</w:t>
            </w:r>
          </w:p>
        </w:tc>
        <w:tc>
          <w:tcPr>
            <w:tcW w:w="1578" w:type="dxa"/>
            <w:vAlign w:val="top"/>
          </w:tcPr>
          <w:p>
            <w:pPr>
              <w:pStyle w:val="6"/>
              <w:spacing w:before="109" w:line="188" w:lineRule="auto"/>
              <w:ind w:left="491"/>
            </w:pPr>
            <w:r>
              <w:rPr>
                <w:spacing w:val="-2"/>
              </w:rPr>
              <w:t>0.004L</w:t>
            </w:r>
          </w:p>
        </w:tc>
        <w:tc>
          <w:tcPr>
            <w:tcW w:w="1115" w:type="dxa"/>
            <w:tcBorders>
              <w:right w:val="nil"/>
            </w:tcBorders>
            <w:vAlign w:val="top"/>
          </w:tcPr>
          <w:p>
            <w:pPr>
              <w:pStyle w:val="6"/>
              <w:spacing w:before="109" w:line="188" w:lineRule="auto"/>
              <w:ind w:left="429"/>
            </w:pPr>
            <w:r>
              <w:rPr>
                <w:spacing w:val="-3"/>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556" w:type="dxa"/>
            <w:tcBorders>
              <w:left w:val="nil"/>
            </w:tcBorders>
            <w:vAlign w:val="top"/>
          </w:tcPr>
          <w:p>
            <w:pPr>
              <w:pStyle w:val="6"/>
              <w:spacing w:before="112" w:line="188" w:lineRule="auto"/>
              <w:ind w:left="184"/>
            </w:pPr>
            <w:r>
              <w:rPr>
                <w:spacing w:val="-2"/>
              </w:rPr>
              <w:t>21</w:t>
            </w:r>
          </w:p>
        </w:tc>
        <w:tc>
          <w:tcPr>
            <w:tcW w:w="1278" w:type="dxa"/>
            <w:vAlign w:val="top"/>
          </w:tcPr>
          <w:p>
            <w:pPr>
              <w:spacing w:before="76" w:line="202" w:lineRule="auto"/>
              <w:ind w:left="342"/>
              <w:rPr>
                <w:rFonts w:ascii="仿宋" w:hAnsi="仿宋" w:eastAsia="仿宋" w:cs="仿宋"/>
                <w:sz w:val="21"/>
                <w:szCs w:val="21"/>
              </w:rPr>
            </w:pPr>
            <w:r>
              <w:rPr>
                <w:rFonts w:ascii="仿宋" w:hAnsi="仿宋" w:eastAsia="仿宋" w:cs="仿宋"/>
                <w:spacing w:val="-6"/>
                <w:sz w:val="21"/>
                <w:szCs w:val="21"/>
              </w:rPr>
              <w:t>氰化物</w:t>
            </w:r>
          </w:p>
        </w:tc>
        <w:tc>
          <w:tcPr>
            <w:tcW w:w="1572" w:type="dxa"/>
            <w:vAlign w:val="top"/>
          </w:tcPr>
          <w:p>
            <w:pPr>
              <w:pStyle w:val="6"/>
              <w:spacing w:before="112" w:line="188" w:lineRule="auto"/>
              <w:ind w:left="487"/>
            </w:pPr>
            <w:r>
              <w:rPr>
                <w:spacing w:val="-2"/>
              </w:rPr>
              <w:t>0.004L</w:t>
            </w:r>
          </w:p>
        </w:tc>
        <w:tc>
          <w:tcPr>
            <w:tcW w:w="1569" w:type="dxa"/>
            <w:vAlign w:val="top"/>
          </w:tcPr>
          <w:p>
            <w:pPr>
              <w:pStyle w:val="6"/>
              <w:spacing w:before="112" w:line="188" w:lineRule="auto"/>
              <w:ind w:left="486"/>
            </w:pPr>
            <w:r>
              <w:rPr>
                <w:spacing w:val="-2"/>
              </w:rPr>
              <w:t>0.004L</w:t>
            </w:r>
          </w:p>
        </w:tc>
        <w:tc>
          <w:tcPr>
            <w:tcW w:w="1571" w:type="dxa"/>
            <w:vAlign w:val="top"/>
          </w:tcPr>
          <w:p>
            <w:pPr>
              <w:pStyle w:val="6"/>
              <w:spacing w:before="112" w:line="188" w:lineRule="auto"/>
              <w:ind w:left="486"/>
            </w:pPr>
            <w:r>
              <w:rPr>
                <w:spacing w:val="-2"/>
              </w:rPr>
              <w:t>0.004L</w:t>
            </w:r>
          </w:p>
        </w:tc>
        <w:tc>
          <w:tcPr>
            <w:tcW w:w="1578" w:type="dxa"/>
            <w:vAlign w:val="top"/>
          </w:tcPr>
          <w:p>
            <w:pPr>
              <w:pStyle w:val="6"/>
              <w:spacing w:before="112" w:line="188" w:lineRule="auto"/>
              <w:ind w:left="491"/>
            </w:pPr>
            <w:r>
              <w:rPr>
                <w:spacing w:val="-2"/>
              </w:rPr>
              <w:t>0.004L</w:t>
            </w:r>
          </w:p>
        </w:tc>
        <w:tc>
          <w:tcPr>
            <w:tcW w:w="1578" w:type="dxa"/>
            <w:vAlign w:val="top"/>
          </w:tcPr>
          <w:p>
            <w:pPr>
              <w:pStyle w:val="6"/>
              <w:spacing w:before="112" w:line="188" w:lineRule="auto"/>
              <w:ind w:left="491"/>
            </w:pPr>
            <w:r>
              <w:rPr>
                <w:spacing w:val="-2"/>
              </w:rPr>
              <w:t>0.004L</w:t>
            </w:r>
          </w:p>
        </w:tc>
        <w:tc>
          <w:tcPr>
            <w:tcW w:w="1578" w:type="dxa"/>
            <w:vAlign w:val="top"/>
          </w:tcPr>
          <w:p>
            <w:pPr>
              <w:pStyle w:val="6"/>
              <w:spacing w:before="112" w:line="188" w:lineRule="auto"/>
              <w:ind w:left="491"/>
            </w:pPr>
            <w:r>
              <w:rPr>
                <w:spacing w:val="-2"/>
              </w:rPr>
              <w:t>0.004L</w:t>
            </w:r>
          </w:p>
        </w:tc>
        <w:tc>
          <w:tcPr>
            <w:tcW w:w="1578" w:type="dxa"/>
            <w:vAlign w:val="top"/>
          </w:tcPr>
          <w:p>
            <w:pPr>
              <w:pStyle w:val="6"/>
              <w:spacing w:before="112" w:line="188" w:lineRule="auto"/>
              <w:ind w:left="491"/>
            </w:pPr>
            <w:r>
              <w:rPr>
                <w:spacing w:val="-2"/>
              </w:rPr>
              <w:t>0.004L</w:t>
            </w:r>
          </w:p>
        </w:tc>
        <w:tc>
          <w:tcPr>
            <w:tcW w:w="1115" w:type="dxa"/>
            <w:tcBorders>
              <w:right w:val="nil"/>
            </w:tcBorders>
            <w:vAlign w:val="top"/>
          </w:tcPr>
          <w:p>
            <w:pPr>
              <w:pStyle w:val="6"/>
              <w:spacing w:before="112" w:line="188" w:lineRule="auto"/>
              <w:ind w:left="376"/>
            </w:pPr>
            <w:r>
              <w:rPr>
                <w:spacing w:val="-2"/>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56" w:type="dxa"/>
            <w:tcBorders>
              <w:left w:val="nil"/>
            </w:tcBorders>
            <w:vAlign w:val="top"/>
          </w:tcPr>
          <w:p>
            <w:pPr>
              <w:pStyle w:val="6"/>
              <w:spacing w:before="113" w:line="188" w:lineRule="auto"/>
              <w:ind w:left="184"/>
            </w:pPr>
            <w:r>
              <w:rPr>
                <w:spacing w:val="-2"/>
              </w:rPr>
              <w:t>22</w:t>
            </w:r>
          </w:p>
        </w:tc>
        <w:tc>
          <w:tcPr>
            <w:tcW w:w="1278" w:type="dxa"/>
            <w:vAlign w:val="top"/>
          </w:tcPr>
          <w:p>
            <w:pPr>
              <w:spacing w:before="76" w:line="201" w:lineRule="auto"/>
              <w:ind w:left="334"/>
              <w:rPr>
                <w:rFonts w:ascii="仿宋" w:hAnsi="仿宋" w:eastAsia="仿宋" w:cs="仿宋"/>
                <w:sz w:val="21"/>
                <w:szCs w:val="21"/>
              </w:rPr>
            </w:pPr>
            <w:r>
              <w:rPr>
                <w:rFonts w:ascii="仿宋" w:hAnsi="仿宋" w:eastAsia="仿宋" w:cs="仿宋"/>
                <w:spacing w:val="-4"/>
                <w:sz w:val="21"/>
                <w:szCs w:val="21"/>
              </w:rPr>
              <w:t>挥发酚</w:t>
            </w:r>
          </w:p>
        </w:tc>
        <w:tc>
          <w:tcPr>
            <w:tcW w:w="1572" w:type="dxa"/>
            <w:vAlign w:val="top"/>
          </w:tcPr>
          <w:p>
            <w:pPr>
              <w:pStyle w:val="6"/>
              <w:spacing w:before="112" w:line="188" w:lineRule="auto"/>
              <w:ind w:left="435"/>
            </w:pPr>
            <w:r>
              <w:rPr>
                <w:spacing w:val="-1"/>
              </w:rPr>
              <w:t>0.0003L</w:t>
            </w:r>
          </w:p>
        </w:tc>
        <w:tc>
          <w:tcPr>
            <w:tcW w:w="1569" w:type="dxa"/>
            <w:vAlign w:val="top"/>
          </w:tcPr>
          <w:p>
            <w:pPr>
              <w:pStyle w:val="6"/>
              <w:spacing w:before="112" w:line="188" w:lineRule="auto"/>
              <w:ind w:left="434"/>
            </w:pPr>
            <w:r>
              <w:rPr>
                <w:spacing w:val="-1"/>
              </w:rPr>
              <w:t>0.0003L</w:t>
            </w:r>
          </w:p>
        </w:tc>
        <w:tc>
          <w:tcPr>
            <w:tcW w:w="1571" w:type="dxa"/>
            <w:vAlign w:val="top"/>
          </w:tcPr>
          <w:p>
            <w:pPr>
              <w:pStyle w:val="6"/>
              <w:spacing w:before="112" w:line="188" w:lineRule="auto"/>
              <w:ind w:left="435"/>
            </w:pPr>
            <w:r>
              <w:rPr>
                <w:spacing w:val="-1"/>
              </w:rPr>
              <w:t>0.0003L</w:t>
            </w:r>
          </w:p>
        </w:tc>
        <w:tc>
          <w:tcPr>
            <w:tcW w:w="1578" w:type="dxa"/>
            <w:vAlign w:val="top"/>
          </w:tcPr>
          <w:p>
            <w:pPr>
              <w:pStyle w:val="6"/>
              <w:spacing w:before="112" w:line="188" w:lineRule="auto"/>
              <w:ind w:left="438"/>
            </w:pPr>
            <w:r>
              <w:rPr>
                <w:spacing w:val="-1"/>
              </w:rPr>
              <w:t>0.0003L</w:t>
            </w:r>
          </w:p>
        </w:tc>
        <w:tc>
          <w:tcPr>
            <w:tcW w:w="1578" w:type="dxa"/>
            <w:vAlign w:val="top"/>
          </w:tcPr>
          <w:p>
            <w:pPr>
              <w:pStyle w:val="6"/>
              <w:spacing w:before="112" w:line="188" w:lineRule="auto"/>
              <w:ind w:left="438"/>
            </w:pPr>
            <w:r>
              <w:rPr>
                <w:spacing w:val="-1"/>
              </w:rPr>
              <w:t>0.0003L</w:t>
            </w:r>
          </w:p>
        </w:tc>
        <w:tc>
          <w:tcPr>
            <w:tcW w:w="1578" w:type="dxa"/>
            <w:vAlign w:val="top"/>
          </w:tcPr>
          <w:p>
            <w:pPr>
              <w:pStyle w:val="6"/>
              <w:spacing w:before="112" w:line="188" w:lineRule="auto"/>
              <w:ind w:left="438"/>
            </w:pPr>
            <w:r>
              <w:rPr>
                <w:spacing w:val="-1"/>
              </w:rPr>
              <w:t>0.0003L</w:t>
            </w:r>
          </w:p>
        </w:tc>
        <w:tc>
          <w:tcPr>
            <w:tcW w:w="1578" w:type="dxa"/>
            <w:vAlign w:val="top"/>
          </w:tcPr>
          <w:p>
            <w:pPr>
              <w:pStyle w:val="6"/>
              <w:spacing w:before="112" w:line="188" w:lineRule="auto"/>
              <w:ind w:left="438"/>
            </w:pPr>
            <w:r>
              <w:rPr>
                <w:spacing w:val="-1"/>
              </w:rPr>
              <w:t>0.0003L</w:t>
            </w:r>
          </w:p>
        </w:tc>
        <w:tc>
          <w:tcPr>
            <w:tcW w:w="1115" w:type="dxa"/>
            <w:tcBorders>
              <w:right w:val="nil"/>
            </w:tcBorders>
            <w:vAlign w:val="top"/>
          </w:tcPr>
          <w:p>
            <w:pPr>
              <w:pStyle w:val="6"/>
              <w:spacing w:before="112" w:line="188" w:lineRule="auto"/>
              <w:ind w:left="324"/>
            </w:pPr>
            <w:r>
              <w:rPr>
                <w:spacing w:val="-2"/>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trPr>
        <w:tc>
          <w:tcPr>
            <w:tcW w:w="556" w:type="dxa"/>
            <w:tcBorders>
              <w:left w:val="nil"/>
              <w:bottom w:val="single" w:color="000000" w:sz="12" w:space="0"/>
            </w:tcBorders>
            <w:vAlign w:val="top"/>
          </w:tcPr>
          <w:p>
            <w:pPr>
              <w:pStyle w:val="6"/>
              <w:spacing w:before="115" w:line="188" w:lineRule="auto"/>
              <w:ind w:left="184"/>
            </w:pPr>
            <w:r>
              <w:rPr>
                <w:spacing w:val="-2"/>
              </w:rPr>
              <w:t>23</w:t>
            </w:r>
          </w:p>
        </w:tc>
        <w:tc>
          <w:tcPr>
            <w:tcW w:w="1278" w:type="dxa"/>
            <w:tcBorders>
              <w:bottom w:val="single" w:color="000000" w:sz="12" w:space="0"/>
            </w:tcBorders>
            <w:vAlign w:val="top"/>
          </w:tcPr>
          <w:p>
            <w:pPr>
              <w:spacing w:before="78" w:line="220" w:lineRule="auto"/>
              <w:ind w:left="444"/>
              <w:rPr>
                <w:rFonts w:ascii="仿宋" w:hAnsi="仿宋" w:eastAsia="仿宋" w:cs="仿宋"/>
                <w:sz w:val="21"/>
                <w:szCs w:val="21"/>
              </w:rPr>
            </w:pPr>
            <w:r>
              <w:rPr>
                <w:rFonts w:ascii="仿宋" w:hAnsi="仿宋" w:eastAsia="仿宋" w:cs="仿宋"/>
                <w:spacing w:val="-6"/>
                <w:sz w:val="21"/>
                <w:szCs w:val="21"/>
              </w:rPr>
              <w:t>氨氮</w:t>
            </w:r>
          </w:p>
        </w:tc>
        <w:tc>
          <w:tcPr>
            <w:tcW w:w="1572" w:type="dxa"/>
            <w:tcBorders>
              <w:bottom w:val="single" w:color="000000" w:sz="12" w:space="0"/>
            </w:tcBorders>
            <w:vAlign w:val="top"/>
          </w:tcPr>
          <w:p>
            <w:pPr>
              <w:pStyle w:val="6"/>
              <w:spacing w:before="115" w:line="188" w:lineRule="auto"/>
              <w:ind w:left="363"/>
            </w:pPr>
            <w:r>
              <w:rPr>
                <w:spacing w:val="-1"/>
              </w:rPr>
              <w:t>0.28~0.36</w:t>
            </w:r>
          </w:p>
        </w:tc>
        <w:tc>
          <w:tcPr>
            <w:tcW w:w="1569" w:type="dxa"/>
            <w:tcBorders>
              <w:bottom w:val="single" w:color="000000" w:sz="12" w:space="0"/>
            </w:tcBorders>
            <w:vAlign w:val="top"/>
          </w:tcPr>
          <w:p>
            <w:pPr>
              <w:pStyle w:val="6"/>
              <w:spacing w:before="115" w:line="188" w:lineRule="auto"/>
              <w:ind w:left="486"/>
            </w:pPr>
            <w:r>
              <w:rPr>
                <w:spacing w:val="-2"/>
              </w:rPr>
              <w:t>0.025L</w:t>
            </w:r>
          </w:p>
        </w:tc>
        <w:tc>
          <w:tcPr>
            <w:tcW w:w="1571" w:type="dxa"/>
            <w:tcBorders>
              <w:bottom w:val="single" w:color="000000" w:sz="12" w:space="0"/>
            </w:tcBorders>
            <w:vAlign w:val="top"/>
          </w:tcPr>
          <w:p>
            <w:pPr>
              <w:pStyle w:val="6"/>
              <w:spacing w:before="115" w:line="188" w:lineRule="auto"/>
              <w:ind w:left="258"/>
            </w:pPr>
            <w:r>
              <w:rPr>
                <w:spacing w:val="-1"/>
              </w:rPr>
              <w:t>0.088~0.096</w:t>
            </w:r>
          </w:p>
        </w:tc>
        <w:tc>
          <w:tcPr>
            <w:tcW w:w="1578" w:type="dxa"/>
            <w:tcBorders>
              <w:bottom w:val="single" w:color="000000" w:sz="12" w:space="0"/>
            </w:tcBorders>
            <w:vAlign w:val="top"/>
          </w:tcPr>
          <w:p>
            <w:pPr>
              <w:pStyle w:val="6"/>
              <w:spacing w:before="115" w:line="188" w:lineRule="auto"/>
              <w:ind w:left="262"/>
            </w:pPr>
            <w:r>
              <w:rPr>
                <w:spacing w:val="-1"/>
              </w:rPr>
              <w:t>0.026~0.031</w:t>
            </w:r>
          </w:p>
        </w:tc>
        <w:tc>
          <w:tcPr>
            <w:tcW w:w="1578" w:type="dxa"/>
            <w:tcBorders>
              <w:bottom w:val="single" w:color="000000" w:sz="12" w:space="0"/>
            </w:tcBorders>
            <w:vAlign w:val="top"/>
          </w:tcPr>
          <w:p>
            <w:pPr>
              <w:pStyle w:val="6"/>
              <w:spacing w:before="115" w:line="188" w:lineRule="auto"/>
              <w:ind w:left="491"/>
            </w:pPr>
            <w:r>
              <w:rPr>
                <w:spacing w:val="-2"/>
              </w:rPr>
              <w:t>0.025L</w:t>
            </w:r>
          </w:p>
        </w:tc>
        <w:tc>
          <w:tcPr>
            <w:tcW w:w="1578" w:type="dxa"/>
            <w:tcBorders>
              <w:bottom w:val="single" w:color="000000" w:sz="12" w:space="0"/>
            </w:tcBorders>
            <w:vAlign w:val="top"/>
          </w:tcPr>
          <w:p>
            <w:pPr>
              <w:pStyle w:val="6"/>
              <w:spacing w:before="115" w:line="188" w:lineRule="auto"/>
              <w:ind w:left="262"/>
            </w:pPr>
            <w:r>
              <w:rPr>
                <w:spacing w:val="-1"/>
              </w:rPr>
              <w:t>0.142~0.155</w:t>
            </w:r>
          </w:p>
        </w:tc>
        <w:tc>
          <w:tcPr>
            <w:tcW w:w="1578" w:type="dxa"/>
            <w:tcBorders>
              <w:bottom w:val="single" w:color="000000" w:sz="12" w:space="0"/>
            </w:tcBorders>
            <w:vAlign w:val="top"/>
          </w:tcPr>
          <w:p>
            <w:pPr>
              <w:pStyle w:val="6"/>
              <w:spacing w:before="115" w:line="188" w:lineRule="auto"/>
              <w:ind w:left="262"/>
            </w:pPr>
            <w:r>
              <w:rPr>
                <w:spacing w:val="-1"/>
              </w:rPr>
              <w:t>0.139~0.155</w:t>
            </w:r>
          </w:p>
        </w:tc>
        <w:tc>
          <w:tcPr>
            <w:tcW w:w="1115" w:type="dxa"/>
            <w:tcBorders>
              <w:bottom w:val="single" w:color="000000" w:sz="12" w:space="0"/>
              <w:right w:val="nil"/>
            </w:tcBorders>
            <w:vAlign w:val="top"/>
          </w:tcPr>
          <w:p>
            <w:pPr>
              <w:pStyle w:val="6"/>
              <w:spacing w:before="115" w:line="188" w:lineRule="auto"/>
              <w:ind w:left="429"/>
            </w:pPr>
            <w:r>
              <w:rPr>
                <w:spacing w:val="-3"/>
              </w:rPr>
              <w:t>0.5</w:t>
            </w:r>
          </w:p>
        </w:tc>
      </w:tr>
    </w:tbl>
    <w:p>
      <w:pPr>
        <w:rPr>
          <w:rFonts w:ascii="Arial"/>
          <w:sz w:val="21"/>
        </w:rPr>
      </w:pPr>
    </w:p>
    <w:p>
      <w:pPr>
        <w:rPr>
          <w:rFonts w:ascii="Arial" w:hAnsi="Arial" w:eastAsia="Arial" w:cs="Arial"/>
          <w:sz w:val="21"/>
          <w:szCs w:val="21"/>
        </w:rPr>
        <w:sectPr>
          <w:footerReference r:id="rId182" w:type="default"/>
          <w:pgSz w:w="16839" w:h="11907"/>
          <w:pgMar w:top="1156" w:right="1408" w:bottom="1374" w:left="1410" w:header="881" w:footer="1210" w:gutter="0"/>
        </w:sectPr>
      </w:pPr>
    </w:p>
    <w:p>
      <w:pPr>
        <w:spacing w:before="80"/>
      </w:pPr>
    </w:p>
    <w:p>
      <w:pPr>
        <w:spacing w:before="80"/>
      </w:pPr>
    </w:p>
    <w:tbl>
      <w:tblPr>
        <w:tblStyle w:val="5"/>
        <w:tblW w:w="1397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5"/>
        <w:gridCol w:w="1278"/>
        <w:gridCol w:w="1572"/>
        <w:gridCol w:w="1570"/>
        <w:gridCol w:w="1571"/>
        <w:gridCol w:w="1578"/>
        <w:gridCol w:w="1578"/>
        <w:gridCol w:w="1578"/>
        <w:gridCol w:w="1578"/>
        <w:gridCol w:w="11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555" w:type="dxa"/>
            <w:vMerge w:val="restart"/>
            <w:tcBorders>
              <w:top w:val="single" w:color="000000" w:sz="12" w:space="0"/>
              <w:left w:val="nil"/>
              <w:bottom w:val="nil"/>
            </w:tcBorders>
            <w:textDirection w:val="tbRlV"/>
            <w:vAlign w:val="top"/>
          </w:tcPr>
          <w:p>
            <w:pPr>
              <w:spacing w:before="160" w:line="202" w:lineRule="auto"/>
              <w:ind w:left="370"/>
              <w:rPr>
                <w:rFonts w:ascii="仿宋" w:hAnsi="仿宋" w:eastAsia="仿宋" w:cs="仿宋"/>
                <w:sz w:val="21"/>
                <w:szCs w:val="21"/>
              </w:rPr>
            </w:pPr>
            <w:r>
              <w:rPr>
                <w:rFonts w:ascii="仿宋" w:hAnsi="仿宋" w:eastAsia="仿宋" w:cs="仿宋"/>
                <w:spacing w:val="-1"/>
                <w:sz w:val="21"/>
                <w:szCs w:val="21"/>
                <w14:textOutline w14:w="3810" w14:cap="flat" w14:cmpd="sng">
                  <w14:solidFill>
                    <w14:srgbClr w14:val="000000"/>
                  </w14:solidFill>
                  <w14:prstDash w14:val="solid"/>
                  <w14:miter w14:val="0"/>
                </w14:textOutline>
              </w:rPr>
              <w:t>序</w:t>
            </w:r>
            <w:r>
              <w:rPr>
                <w:rFonts w:ascii="仿宋" w:hAnsi="仿宋" w:eastAsia="仿宋" w:cs="仿宋"/>
                <w:spacing w:val="-1"/>
                <w:sz w:val="21"/>
                <w:szCs w:val="21"/>
              </w:rPr>
              <w:t xml:space="preserve"> </w:t>
            </w:r>
            <w:r>
              <w:rPr>
                <w:rFonts w:ascii="仿宋" w:hAnsi="仿宋" w:eastAsia="仿宋" w:cs="仿宋"/>
                <w:spacing w:val="-1"/>
                <w:sz w:val="21"/>
                <w:szCs w:val="21"/>
                <w14:textOutline w14:w="3810" w14:cap="flat" w14:cmpd="sng">
                  <w14:solidFill>
                    <w14:srgbClr w14:val="000000"/>
                  </w14:solidFill>
                  <w14:prstDash w14:val="solid"/>
                  <w14:miter w14:val="0"/>
                </w14:textOutline>
              </w:rPr>
              <w:t>号</w:t>
            </w:r>
          </w:p>
        </w:tc>
        <w:tc>
          <w:tcPr>
            <w:tcW w:w="1278" w:type="dxa"/>
            <w:vMerge w:val="restart"/>
            <w:tcBorders>
              <w:top w:val="single" w:color="000000" w:sz="12" w:space="0"/>
              <w:bottom w:val="nil"/>
            </w:tcBorders>
            <w:vAlign w:val="top"/>
          </w:tcPr>
          <w:p>
            <w:pPr>
              <w:spacing w:line="455" w:lineRule="auto"/>
              <w:rPr>
                <w:rFonts w:ascii="Arial"/>
                <w:sz w:val="21"/>
              </w:rPr>
            </w:pPr>
          </w:p>
          <w:p>
            <w:pPr>
              <w:spacing w:before="68" w:line="219" w:lineRule="auto"/>
              <w:ind w:left="23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监测因子</w:t>
            </w:r>
          </w:p>
        </w:tc>
        <w:tc>
          <w:tcPr>
            <w:tcW w:w="11025" w:type="dxa"/>
            <w:gridSpan w:val="7"/>
            <w:tcBorders>
              <w:top w:val="single" w:color="000000" w:sz="12" w:space="0"/>
            </w:tcBorders>
            <w:vAlign w:val="top"/>
          </w:tcPr>
          <w:p>
            <w:pPr>
              <w:spacing w:before="50" w:line="219" w:lineRule="auto"/>
              <w:ind w:left="521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115" w:type="dxa"/>
            <w:vMerge w:val="restart"/>
            <w:tcBorders>
              <w:top w:val="single" w:color="000000" w:sz="12" w:space="0"/>
              <w:bottom w:val="nil"/>
              <w:right w:val="nil"/>
            </w:tcBorders>
            <w:vAlign w:val="top"/>
          </w:tcPr>
          <w:p>
            <w:pPr>
              <w:spacing w:line="300" w:lineRule="auto"/>
              <w:rPr>
                <w:rFonts w:ascii="Arial"/>
                <w:sz w:val="21"/>
              </w:rPr>
            </w:pPr>
          </w:p>
          <w:p>
            <w:pPr>
              <w:spacing w:before="68" w:line="218" w:lineRule="auto"/>
              <w:ind w:left="145"/>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标准限值</w:t>
            </w:r>
          </w:p>
          <w:p>
            <w:pPr>
              <w:pStyle w:val="6"/>
              <w:spacing w:before="63" w:line="232" w:lineRule="auto"/>
              <w:ind w:left="274"/>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w:t>
            </w:r>
            <w:r>
              <w:rPr>
                <w:b/>
                <w:bCs/>
                <w:spacing w:val="-4"/>
              </w:rPr>
              <w:t>II</w:t>
            </w:r>
            <w:r>
              <w:rPr>
                <w:rFonts w:ascii="仿宋" w:hAnsi="仿宋" w:eastAsia="仿宋" w:cs="仿宋"/>
                <w:spacing w:val="-4"/>
                <w14:textOutline w14:w="3810" w14:cap="flat" w14:cmpd="sng">
                  <w14:solidFill>
                    <w14:srgbClr w14:val="000000"/>
                  </w14:solidFill>
                  <w14:prstDash w14:val="solid"/>
                  <w14:miter w14:val="0"/>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4" w:hRule="atLeast"/>
        </w:trPr>
        <w:tc>
          <w:tcPr>
            <w:tcW w:w="555" w:type="dxa"/>
            <w:vMerge w:val="continue"/>
            <w:tcBorders>
              <w:top w:val="nil"/>
              <w:left w:val="nil"/>
            </w:tcBorders>
            <w:textDirection w:val="tbRlV"/>
            <w:vAlign w:val="top"/>
          </w:tcPr>
          <w:p>
            <w:pPr>
              <w:rPr>
                <w:rFonts w:ascii="Arial"/>
                <w:sz w:val="21"/>
              </w:rPr>
            </w:pPr>
          </w:p>
        </w:tc>
        <w:tc>
          <w:tcPr>
            <w:tcW w:w="1278" w:type="dxa"/>
            <w:vMerge w:val="continue"/>
            <w:tcBorders>
              <w:top w:val="nil"/>
            </w:tcBorders>
            <w:vAlign w:val="top"/>
          </w:tcPr>
          <w:p>
            <w:pPr>
              <w:rPr>
                <w:rFonts w:ascii="Arial"/>
                <w:sz w:val="21"/>
              </w:rPr>
            </w:pPr>
          </w:p>
        </w:tc>
        <w:tc>
          <w:tcPr>
            <w:tcW w:w="1572" w:type="dxa"/>
            <w:vAlign w:val="top"/>
          </w:tcPr>
          <w:p>
            <w:pPr>
              <w:spacing w:before="206" w:line="217" w:lineRule="auto"/>
              <w:ind w:left="16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昔木乍箐与见</w:t>
            </w:r>
          </w:p>
          <w:p>
            <w:pPr>
              <w:spacing w:before="65" w:line="219" w:lineRule="auto"/>
              <w:ind w:left="27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簸箐交汇口</w:t>
            </w:r>
          </w:p>
        </w:tc>
        <w:tc>
          <w:tcPr>
            <w:tcW w:w="1570" w:type="dxa"/>
            <w:vAlign w:val="top"/>
          </w:tcPr>
          <w:p>
            <w:pPr>
              <w:spacing w:before="206" w:line="247" w:lineRule="auto"/>
              <w:ind w:left="587" w:right="148" w:hanging="42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六姑乍箐取水</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坝处</w:t>
            </w:r>
          </w:p>
        </w:tc>
        <w:tc>
          <w:tcPr>
            <w:tcW w:w="1571" w:type="dxa"/>
            <w:vAlign w:val="top"/>
          </w:tcPr>
          <w:p>
            <w:pPr>
              <w:spacing w:line="292" w:lineRule="auto"/>
              <w:rPr>
                <w:rFonts w:ascii="Arial"/>
                <w:sz w:val="21"/>
              </w:rPr>
            </w:pPr>
          </w:p>
          <w:p>
            <w:pPr>
              <w:spacing w:before="68" w:line="219" w:lineRule="auto"/>
              <w:ind w:left="47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万马河</w:t>
            </w:r>
          </w:p>
        </w:tc>
        <w:tc>
          <w:tcPr>
            <w:tcW w:w="1578" w:type="dxa"/>
            <w:vAlign w:val="top"/>
          </w:tcPr>
          <w:p>
            <w:pPr>
              <w:spacing w:line="292" w:lineRule="auto"/>
              <w:rPr>
                <w:rFonts w:ascii="Arial"/>
                <w:sz w:val="21"/>
              </w:rPr>
            </w:pPr>
          </w:p>
          <w:p>
            <w:pPr>
              <w:spacing w:before="68" w:line="219" w:lineRule="auto"/>
              <w:ind w:left="37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者纳么河</w:t>
            </w:r>
          </w:p>
        </w:tc>
        <w:tc>
          <w:tcPr>
            <w:tcW w:w="1578" w:type="dxa"/>
            <w:vAlign w:val="top"/>
          </w:tcPr>
          <w:p>
            <w:pPr>
              <w:spacing w:line="292" w:lineRule="auto"/>
              <w:rPr>
                <w:rFonts w:ascii="Arial"/>
                <w:sz w:val="21"/>
              </w:rPr>
            </w:pPr>
          </w:p>
          <w:p>
            <w:pPr>
              <w:spacing w:before="68" w:line="219" w:lineRule="auto"/>
              <w:ind w:left="48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六苴河</w:t>
            </w:r>
          </w:p>
        </w:tc>
        <w:tc>
          <w:tcPr>
            <w:tcW w:w="1578" w:type="dxa"/>
            <w:vAlign w:val="top"/>
          </w:tcPr>
          <w:p>
            <w:pPr>
              <w:spacing w:before="50" w:line="246" w:lineRule="auto"/>
              <w:ind w:left="389" w:right="153" w:hanging="22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输水线汇入碧</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么水库前</w:t>
            </w:r>
          </w:p>
          <w:p>
            <w:pPr>
              <w:pStyle w:val="6"/>
              <w:spacing w:before="65" w:line="219" w:lineRule="auto"/>
              <w:ind w:left="414"/>
              <w:rPr>
                <w:rFonts w:ascii="仿宋" w:hAnsi="仿宋" w:eastAsia="仿宋" w:cs="仿宋"/>
              </w:rPr>
            </w:pPr>
            <w:r>
              <w:rPr>
                <w:b/>
                <w:bCs/>
                <w:spacing w:val="-2"/>
              </w:rPr>
              <w:t>500m</w:t>
            </w:r>
            <w:r>
              <w:rPr>
                <w:b/>
                <w:bCs/>
                <w:spacing w:val="17"/>
                <w:w w:val="101"/>
              </w:rPr>
              <w:t xml:space="preserve"> </w:t>
            </w:r>
            <w:r>
              <w:rPr>
                <w:rFonts w:ascii="仿宋" w:hAnsi="仿宋" w:eastAsia="仿宋" w:cs="仿宋"/>
                <w:spacing w:val="-2"/>
                <w14:textOutline w14:w="3810" w14:cap="flat" w14:cmpd="sng">
                  <w14:solidFill>
                    <w14:srgbClr w14:val="000000"/>
                  </w14:solidFill>
                  <w14:prstDash w14:val="solid"/>
                  <w14:miter w14:val="0"/>
                </w14:textOutline>
              </w:rPr>
              <w:t>处</w:t>
            </w:r>
          </w:p>
        </w:tc>
        <w:tc>
          <w:tcPr>
            <w:tcW w:w="1578" w:type="dxa"/>
            <w:vAlign w:val="top"/>
          </w:tcPr>
          <w:p>
            <w:pPr>
              <w:spacing w:line="292" w:lineRule="auto"/>
              <w:rPr>
                <w:rFonts w:ascii="Arial"/>
                <w:sz w:val="21"/>
              </w:rPr>
            </w:pPr>
          </w:p>
          <w:p>
            <w:pPr>
              <w:spacing w:before="68" w:line="218" w:lineRule="auto"/>
              <w:ind w:left="38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碧么水库</w:t>
            </w:r>
          </w:p>
        </w:tc>
        <w:tc>
          <w:tcPr>
            <w:tcW w:w="1115"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555" w:type="dxa"/>
            <w:tcBorders>
              <w:left w:val="nil"/>
            </w:tcBorders>
            <w:vAlign w:val="top"/>
          </w:tcPr>
          <w:p>
            <w:pPr>
              <w:pStyle w:val="6"/>
              <w:spacing w:before="250" w:line="188" w:lineRule="auto"/>
              <w:ind w:left="184"/>
            </w:pPr>
            <w:r>
              <w:rPr>
                <w:spacing w:val="-2"/>
              </w:rPr>
              <w:t>24</w:t>
            </w:r>
          </w:p>
        </w:tc>
        <w:tc>
          <w:tcPr>
            <w:tcW w:w="1278" w:type="dxa"/>
            <w:vAlign w:val="top"/>
          </w:tcPr>
          <w:p>
            <w:pPr>
              <w:spacing w:before="213" w:line="217" w:lineRule="auto"/>
              <w:ind w:left="446"/>
              <w:rPr>
                <w:rFonts w:ascii="仿宋" w:hAnsi="仿宋" w:eastAsia="仿宋" w:cs="仿宋"/>
                <w:sz w:val="21"/>
                <w:szCs w:val="21"/>
              </w:rPr>
            </w:pPr>
            <w:r>
              <w:rPr>
                <w:rFonts w:ascii="仿宋" w:hAnsi="仿宋" w:eastAsia="仿宋" w:cs="仿宋"/>
                <w:spacing w:val="-6"/>
                <w:sz w:val="21"/>
                <w:szCs w:val="21"/>
              </w:rPr>
              <w:t>总磷</w:t>
            </w:r>
          </w:p>
        </w:tc>
        <w:tc>
          <w:tcPr>
            <w:tcW w:w="1572" w:type="dxa"/>
            <w:vAlign w:val="top"/>
          </w:tcPr>
          <w:p>
            <w:pPr>
              <w:pStyle w:val="6"/>
              <w:spacing w:before="250" w:line="188" w:lineRule="auto"/>
              <w:ind w:left="364"/>
            </w:pPr>
            <w:r>
              <w:rPr>
                <w:spacing w:val="-1"/>
              </w:rPr>
              <w:t>0.02~0.03</w:t>
            </w:r>
          </w:p>
        </w:tc>
        <w:tc>
          <w:tcPr>
            <w:tcW w:w="1570" w:type="dxa"/>
            <w:vAlign w:val="top"/>
          </w:tcPr>
          <w:p>
            <w:pPr>
              <w:pStyle w:val="6"/>
              <w:spacing w:before="250" w:line="188" w:lineRule="auto"/>
              <w:ind w:left="363"/>
            </w:pPr>
            <w:r>
              <w:rPr>
                <w:spacing w:val="-1"/>
              </w:rPr>
              <w:t>0.03~0.04</w:t>
            </w:r>
          </w:p>
        </w:tc>
        <w:tc>
          <w:tcPr>
            <w:tcW w:w="1571" w:type="dxa"/>
            <w:vAlign w:val="top"/>
          </w:tcPr>
          <w:p>
            <w:pPr>
              <w:pStyle w:val="6"/>
              <w:spacing w:before="250" w:line="188" w:lineRule="auto"/>
              <w:ind w:left="363"/>
            </w:pPr>
            <w:r>
              <w:rPr>
                <w:spacing w:val="-1"/>
              </w:rPr>
              <w:t>0.03~0.04</w:t>
            </w:r>
          </w:p>
        </w:tc>
        <w:tc>
          <w:tcPr>
            <w:tcW w:w="1578" w:type="dxa"/>
            <w:vAlign w:val="top"/>
          </w:tcPr>
          <w:p>
            <w:pPr>
              <w:pStyle w:val="6"/>
              <w:spacing w:before="250" w:line="188" w:lineRule="auto"/>
              <w:ind w:left="367"/>
            </w:pPr>
            <w:r>
              <w:rPr>
                <w:spacing w:val="-1"/>
              </w:rPr>
              <w:t>0.02~0.03</w:t>
            </w:r>
          </w:p>
        </w:tc>
        <w:tc>
          <w:tcPr>
            <w:tcW w:w="1578" w:type="dxa"/>
            <w:vAlign w:val="top"/>
          </w:tcPr>
          <w:p>
            <w:pPr>
              <w:pStyle w:val="6"/>
              <w:spacing w:before="250" w:line="188" w:lineRule="auto"/>
              <w:ind w:left="368"/>
            </w:pPr>
            <w:r>
              <w:rPr>
                <w:spacing w:val="-1"/>
              </w:rPr>
              <w:t>0.02~0.03</w:t>
            </w:r>
          </w:p>
        </w:tc>
        <w:tc>
          <w:tcPr>
            <w:tcW w:w="1578" w:type="dxa"/>
            <w:vAlign w:val="top"/>
          </w:tcPr>
          <w:p>
            <w:pPr>
              <w:pStyle w:val="6"/>
              <w:spacing w:before="250" w:line="188" w:lineRule="auto"/>
              <w:ind w:left="368"/>
            </w:pPr>
            <w:r>
              <w:rPr>
                <w:spacing w:val="-1"/>
              </w:rPr>
              <w:t>0.04~0.05</w:t>
            </w:r>
          </w:p>
        </w:tc>
        <w:tc>
          <w:tcPr>
            <w:tcW w:w="1578" w:type="dxa"/>
            <w:vAlign w:val="top"/>
          </w:tcPr>
          <w:p>
            <w:pPr>
              <w:pStyle w:val="6"/>
              <w:spacing w:before="250" w:line="188" w:lineRule="auto"/>
              <w:ind w:left="262"/>
            </w:pPr>
            <w:r>
              <w:rPr>
                <w:spacing w:val="-1"/>
              </w:rPr>
              <w:t>0.012~0.016</w:t>
            </w:r>
          </w:p>
        </w:tc>
        <w:tc>
          <w:tcPr>
            <w:tcW w:w="1115" w:type="dxa"/>
            <w:tcBorders>
              <w:right w:val="nil"/>
            </w:tcBorders>
            <w:vAlign w:val="top"/>
          </w:tcPr>
          <w:p>
            <w:pPr>
              <w:pStyle w:val="6"/>
              <w:spacing w:before="94" w:line="188" w:lineRule="auto"/>
              <w:ind w:left="429"/>
            </w:pPr>
            <w:r>
              <w:rPr>
                <w:spacing w:val="-3"/>
              </w:rPr>
              <w:t>0.1</w:t>
            </w:r>
          </w:p>
          <w:p>
            <w:pPr>
              <w:pStyle w:val="6"/>
              <w:spacing w:before="86" w:line="215" w:lineRule="auto"/>
              <w:ind w:left="120"/>
              <w:rPr>
                <w:rFonts w:ascii="仿宋" w:hAnsi="仿宋" w:eastAsia="仿宋" w:cs="仿宋"/>
              </w:rPr>
            </w:pPr>
            <w:r>
              <w:rPr>
                <w:rFonts w:ascii="仿宋" w:hAnsi="仿宋" w:eastAsia="仿宋" w:cs="仿宋"/>
                <w:spacing w:val="-2"/>
              </w:rPr>
              <w:t>（</w:t>
            </w:r>
            <w:r>
              <w:rPr>
                <w:spacing w:val="-2"/>
              </w:rPr>
              <w:t>0.025</w:t>
            </w:r>
            <w:r>
              <w:rPr>
                <w:rFonts w:ascii="仿宋" w:hAnsi="仿宋" w:eastAsia="仿宋" w:cs="仿宋"/>
                <w:spacing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555" w:type="dxa"/>
            <w:tcBorders>
              <w:left w:val="nil"/>
            </w:tcBorders>
            <w:vAlign w:val="top"/>
          </w:tcPr>
          <w:p>
            <w:pPr>
              <w:pStyle w:val="6"/>
              <w:spacing w:before="254" w:line="188" w:lineRule="auto"/>
              <w:ind w:left="184"/>
            </w:pPr>
            <w:r>
              <w:rPr>
                <w:spacing w:val="-2"/>
              </w:rPr>
              <w:t>25</w:t>
            </w:r>
          </w:p>
        </w:tc>
        <w:tc>
          <w:tcPr>
            <w:tcW w:w="1278" w:type="dxa"/>
            <w:vAlign w:val="top"/>
          </w:tcPr>
          <w:p>
            <w:pPr>
              <w:spacing w:before="61" w:line="243" w:lineRule="auto"/>
              <w:ind w:left="542" w:right="108" w:hanging="412"/>
              <w:rPr>
                <w:rFonts w:ascii="仿宋" w:hAnsi="仿宋" w:eastAsia="仿宋" w:cs="仿宋"/>
                <w:sz w:val="21"/>
                <w:szCs w:val="21"/>
              </w:rPr>
            </w:pPr>
            <w:r>
              <w:rPr>
                <w:rFonts w:ascii="仿宋" w:hAnsi="仿宋" w:eastAsia="仿宋" w:cs="仿宋"/>
                <w:spacing w:val="-5"/>
                <w:sz w:val="21"/>
                <w:szCs w:val="21"/>
              </w:rPr>
              <w:t>高锰酸盐指</w:t>
            </w:r>
            <w:r>
              <w:rPr>
                <w:rFonts w:ascii="仿宋" w:hAnsi="仿宋" w:eastAsia="仿宋" w:cs="仿宋"/>
                <w:spacing w:val="3"/>
                <w:sz w:val="21"/>
                <w:szCs w:val="21"/>
              </w:rPr>
              <w:t xml:space="preserve"> </w:t>
            </w:r>
            <w:r>
              <w:rPr>
                <w:rFonts w:ascii="仿宋" w:hAnsi="仿宋" w:eastAsia="仿宋" w:cs="仿宋"/>
                <w:sz w:val="21"/>
                <w:szCs w:val="21"/>
              </w:rPr>
              <w:t>数</w:t>
            </w:r>
          </w:p>
        </w:tc>
        <w:tc>
          <w:tcPr>
            <w:tcW w:w="1572" w:type="dxa"/>
            <w:vAlign w:val="top"/>
          </w:tcPr>
          <w:p>
            <w:pPr>
              <w:pStyle w:val="6"/>
              <w:spacing w:before="254" w:line="188" w:lineRule="auto"/>
              <w:ind w:left="487"/>
            </w:pPr>
            <w:r>
              <w:rPr>
                <w:spacing w:val="-4"/>
              </w:rPr>
              <w:t>1.0~1.1</w:t>
            </w:r>
          </w:p>
        </w:tc>
        <w:tc>
          <w:tcPr>
            <w:tcW w:w="1570" w:type="dxa"/>
            <w:vAlign w:val="top"/>
          </w:tcPr>
          <w:p>
            <w:pPr>
              <w:pStyle w:val="6"/>
              <w:spacing w:before="254" w:line="188" w:lineRule="auto"/>
              <w:ind w:left="469"/>
            </w:pPr>
            <w:r>
              <w:rPr>
                <w:spacing w:val="-1"/>
              </w:rPr>
              <w:t>0.6~0.7</w:t>
            </w:r>
          </w:p>
        </w:tc>
        <w:tc>
          <w:tcPr>
            <w:tcW w:w="1571" w:type="dxa"/>
            <w:vAlign w:val="top"/>
          </w:tcPr>
          <w:p>
            <w:pPr>
              <w:pStyle w:val="6"/>
              <w:spacing w:before="254" w:line="188" w:lineRule="auto"/>
              <w:ind w:left="655"/>
            </w:pPr>
            <w:r>
              <w:rPr>
                <w:spacing w:val="-3"/>
              </w:rPr>
              <w:t>0.9</w:t>
            </w:r>
          </w:p>
        </w:tc>
        <w:tc>
          <w:tcPr>
            <w:tcW w:w="1578" w:type="dxa"/>
            <w:vAlign w:val="top"/>
          </w:tcPr>
          <w:p>
            <w:pPr>
              <w:pStyle w:val="6"/>
              <w:spacing w:before="254" w:line="188" w:lineRule="auto"/>
              <w:ind w:left="489"/>
            </w:pPr>
            <w:r>
              <w:rPr>
                <w:spacing w:val="-4"/>
              </w:rPr>
              <w:t>1.0~1.1</w:t>
            </w:r>
          </w:p>
        </w:tc>
        <w:tc>
          <w:tcPr>
            <w:tcW w:w="1578" w:type="dxa"/>
            <w:vAlign w:val="top"/>
          </w:tcPr>
          <w:p>
            <w:pPr>
              <w:pStyle w:val="6"/>
              <w:spacing w:before="254" w:line="188" w:lineRule="auto"/>
              <w:ind w:left="472"/>
            </w:pPr>
            <w:r>
              <w:rPr>
                <w:spacing w:val="-1"/>
              </w:rPr>
              <w:t>0.8~0.9</w:t>
            </w:r>
          </w:p>
        </w:tc>
        <w:tc>
          <w:tcPr>
            <w:tcW w:w="1578" w:type="dxa"/>
            <w:vAlign w:val="top"/>
          </w:tcPr>
          <w:p>
            <w:pPr>
              <w:pStyle w:val="6"/>
              <w:spacing w:before="254" w:line="188" w:lineRule="auto"/>
              <w:ind w:left="473"/>
            </w:pPr>
            <w:r>
              <w:rPr>
                <w:spacing w:val="-2"/>
              </w:rPr>
              <w:t>3.6~3.7</w:t>
            </w:r>
          </w:p>
        </w:tc>
        <w:tc>
          <w:tcPr>
            <w:tcW w:w="1578" w:type="dxa"/>
            <w:vAlign w:val="top"/>
          </w:tcPr>
          <w:p>
            <w:pPr>
              <w:pStyle w:val="6"/>
              <w:spacing w:before="254" w:line="188" w:lineRule="auto"/>
              <w:ind w:left="473"/>
            </w:pPr>
            <w:r>
              <w:rPr>
                <w:spacing w:val="-2"/>
              </w:rPr>
              <w:t>3.4~3.5</w:t>
            </w:r>
          </w:p>
        </w:tc>
        <w:tc>
          <w:tcPr>
            <w:tcW w:w="1115" w:type="dxa"/>
            <w:tcBorders>
              <w:right w:val="nil"/>
            </w:tcBorders>
            <w:vAlign w:val="top"/>
          </w:tcPr>
          <w:p>
            <w:pPr>
              <w:pStyle w:val="6"/>
              <w:spacing w:before="254" w:line="188" w:lineRule="auto"/>
              <w:ind w:left="504"/>
            </w:pPr>
            <w: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55" w:type="dxa"/>
            <w:tcBorders>
              <w:left w:val="nil"/>
            </w:tcBorders>
            <w:vAlign w:val="top"/>
          </w:tcPr>
          <w:p>
            <w:pPr>
              <w:pStyle w:val="6"/>
              <w:spacing w:before="103" w:line="188" w:lineRule="auto"/>
              <w:ind w:left="184"/>
            </w:pPr>
            <w:r>
              <w:rPr>
                <w:spacing w:val="-2"/>
              </w:rPr>
              <w:t>26</w:t>
            </w:r>
          </w:p>
        </w:tc>
        <w:tc>
          <w:tcPr>
            <w:tcW w:w="1278" w:type="dxa"/>
            <w:vAlign w:val="top"/>
          </w:tcPr>
          <w:p>
            <w:pPr>
              <w:spacing w:before="67" w:line="209" w:lineRule="auto"/>
              <w:ind w:left="446"/>
              <w:rPr>
                <w:rFonts w:ascii="仿宋" w:hAnsi="仿宋" w:eastAsia="仿宋" w:cs="仿宋"/>
                <w:sz w:val="21"/>
                <w:szCs w:val="21"/>
              </w:rPr>
            </w:pPr>
            <w:r>
              <w:rPr>
                <w:rFonts w:ascii="仿宋" w:hAnsi="仿宋" w:eastAsia="仿宋" w:cs="仿宋"/>
                <w:spacing w:val="-6"/>
                <w:sz w:val="21"/>
                <w:szCs w:val="21"/>
              </w:rPr>
              <w:t>总氮</w:t>
            </w:r>
          </w:p>
        </w:tc>
        <w:tc>
          <w:tcPr>
            <w:tcW w:w="1572" w:type="dxa"/>
            <w:vAlign w:val="top"/>
          </w:tcPr>
          <w:p>
            <w:pPr>
              <w:pStyle w:val="6"/>
              <w:spacing w:before="103" w:line="188" w:lineRule="auto"/>
              <w:ind w:left="364"/>
            </w:pPr>
            <w:r>
              <w:rPr>
                <w:spacing w:val="-1"/>
              </w:rPr>
              <w:t>0.25~0.30</w:t>
            </w:r>
          </w:p>
        </w:tc>
        <w:tc>
          <w:tcPr>
            <w:tcW w:w="1570" w:type="dxa"/>
            <w:vAlign w:val="top"/>
          </w:tcPr>
          <w:p>
            <w:pPr>
              <w:pStyle w:val="6"/>
              <w:spacing w:before="103" w:line="188" w:lineRule="auto"/>
              <w:ind w:left="363"/>
            </w:pPr>
            <w:r>
              <w:rPr>
                <w:spacing w:val="-1"/>
              </w:rPr>
              <w:t>0.22~0.25</w:t>
            </w:r>
          </w:p>
        </w:tc>
        <w:tc>
          <w:tcPr>
            <w:tcW w:w="1571" w:type="dxa"/>
            <w:vAlign w:val="top"/>
          </w:tcPr>
          <w:p>
            <w:pPr>
              <w:pStyle w:val="6"/>
              <w:spacing w:before="103" w:line="188" w:lineRule="auto"/>
              <w:ind w:left="363"/>
            </w:pPr>
            <w:r>
              <w:rPr>
                <w:spacing w:val="-1"/>
              </w:rPr>
              <w:t>0.35~0.41</w:t>
            </w:r>
          </w:p>
        </w:tc>
        <w:tc>
          <w:tcPr>
            <w:tcW w:w="1578" w:type="dxa"/>
            <w:vAlign w:val="top"/>
          </w:tcPr>
          <w:p>
            <w:pPr>
              <w:pStyle w:val="6"/>
              <w:spacing w:before="103" w:line="188" w:lineRule="auto"/>
              <w:ind w:left="367"/>
            </w:pPr>
            <w:r>
              <w:rPr>
                <w:spacing w:val="-1"/>
              </w:rPr>
              <w:t>0.41~0.48</w:t>
            </w:r>
          </w:p>
        </w:tc>
        <w:tc>
          <w:tcPr>
            <w:tcW w:w="1578" w:type="dxa"/>
            <w:vAlign w:val="top"/>
          </w:tcPr>
          <w:p>
            <w:pPr>
              <w:pStyle w:val="6"/>
              <w:spacing w:before="103" w:line="188" w:lineRule="auto"/>
              <w:ind w:left="368"/>
            </w:pPr>
            <w:r>
              <w:rPr>
                <w:spacing w:val="-1"/>
              </w:rPr>
              <w:t>0.24~0.26</w:t>
            </w:r>
          </w:p>
        </w:tc>
        <w:tc>
          <w:tcPr>
            <w:tcW w:w="1578" w:type="dxa"/>
            <w:vAlign w:val="top"/>
          </w:tcPr>
          <w:p>
            <w:pPr>
              <w:pStyle w:val="6"/>
              <w:spacing w:before="103" w:line="188" w:lineRule="auto"/>
              <w:ind w:left="368"/>
            </w:pPr>
            <w:r>
              <w:rPr>
                <w:spacing w:val="-1"/>
              </w:rPr>
              <w:t>0.37~0.42</w:t>
            </w:r>
          </w:p>
        </w:tc>
        <w:tc>
          <w:tcPr>
            <w:tcW w:w="1578" w:type="dxa"/>
            <w:vAlign w:val="top"/>
          </w:tcPr>
          <w:p>
            <w:pPr>
              <w:pStyle w:val="6"/>
              <w:spacing w:before="103" w:line="188" w:lineRule="auto"/>
              <w:ind w:left="368"/>
            </w:pPr>
            <w:r>
              <w:rPr>
                <w:spacing w:val="-1"/>
              </w:rPr>
              <w:t>0.37~0.43</w:t>
            </w:r>
          </w:p>
        </w:tc>
        <w:tc>
          <w:tcPr>
            <w:tcW w:w="1115" w:type="dxa"/>
            <w:tcBorders>
              <w:right w:val="nil"/>
            </w:tcBorders>
            <w:vAlign w:val="top"/>
          </w:tcPr>
          <w:p>
            <w:pPr>
              <w:pStyle w:val="6"/>
              <w:spacing w:before="103" w:line="188" w:lineRule="auto"/>
              <w:ind w:left="429"/>
            </w:pPr>
            <w:r>
              <w:rPr>
                <w:spacing w:val="-3"/>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555" w:type="dxa"/>
            <w:tcBorders>
              <w:left w:val="nil"/>
            </w:tcBorders>
            <w:vAlign w:val="top"/>
          </w:tcPr>
          <w:p>
            <w:pPr>
              <w:pStyle w:val="6"/>
              <w:spacing w:before="105" w:line="188" w:lineRule="auto"/>
              <w:ind w:left="184"/>
            </w:pPr>
            <w:r>
              <w:rPr>
                <w:spacing w:val="-2"/>
              </w:rPr>
              <w:t>27</w:t>
            </w:r>
          </w:p>
        </w:tc>
        <w:tc>
          <w:tcPr>
            <w:tcW w:w="1278" w:type="dxa"/>
            <w:vAlign w:val="top"/>
          </w:tcPr>
          <w:p>
            <w:pPr>
              <w:spacing w:before="68" w:line="207" w:lineRule="auto"/>
              <w:ind w:left="227"/>
              <w:rPr>
                <w:rFonts w:ascii="仿宋" w:hAnsi="仿宋" w:eastAsia="仿宋" w:cs="仿宋"/>
                <w:sz w:val="21"/>
                <w:szCs w:val="21"/>
              </w:rPr>
            </w:pPr>
            <w:r>
              <w:rPr>
                <w:rFonts w:ascii="仿宋" w:hAnsi="仿宋" w:eastAsia="仿宋" w:cs="仿宋"/>
                <w:spacing w:val="-3"/>
                <w:sz w:val="21"/>
                <w:szCs w:val="21"/>
              </w:rPr>
              <w:t>硝酸盐氮</w:t>
            </w:r>
          </w:p>
        </w:tc>
        <w:tc>
          <w:tcPr>
            <w:tcW w:w="1572" w:type="dxa"/>
            <w:vAlign w:val="top"/>
          </w:tcPr>
          <w:p>
            <w:pPr>
              <w:pStyle w:val="6"/>
              <w:spacing w:before="105" w:line="188" w:lineRule="auto"/>
              <w:ind w:left="364"/>
            </w:pPr>
            <w:r>
              <w:rPr>
                <w:spacing w:val="-1"/>
              </w:rPr>
              <w:t>0.18~0.23</w:t>
            </w:r>
          </w:p>
        </w:tc>
        <w:tc>
          <w:tcPr>
            <w:tcW w:w="1570" w:type="dxa"/>
            <w:vAlign w:val="top"/>
          </w:tcPr>
          <w:p>
            <w:pPr>
              <w:pStyle w:val="6"/>
              <w:spacing w:before="105" w:line="188" w:lineRule="auto"/>
              <w:ind w:left="363"/>
            </w:pPr>
            <w:r>
              <w:rPr>
                <w:spacing w:val="-1"/>
              </w:rPr>
              <w:t>0.18~0.19</w:t>
            </w:r>
          </w:p>
        </w:tc>
        <w:tc>
          <w:tcPr>
            <w:tcW w:w="1571" w:type="dxa"/>
            <w:vAlign w:val="top"/>
          </w:tcPr>
          <w:p>
            <w:pPr>
              <w:pStyle w:val="6"/>
              <w:spacing w:before="105" w:line="188" w:lineRule="auto"/>
              <w:ind w:left="363"/>
            </w:pPr>
            <w:r>
              <w:rPr>
                <w:spacing w:val="-1"/>
              </w:rPr>
              <w:t>0.20~0.22</w:t>
            </w:r>
          </w:p>
        </w:tc>
        <w:tc>
          <w:tcPr>
            <w:tcW w:w="1578" w:type="dxa"/>
            <w:vAlign w:val="top"/>
          </w:tcPr>
          <w:p>
            <w:pPr>
              <w:pStyle w:val="6"/>
              <w:spacing w:before="105" w:line="188" w:lineRule="auto"/>
              <w:ind w:left="367"/>
            </w:pPr>
            <w:r>
              <w:rPr>
                <w:spacing w:val="-1"/>
              </w:rPr>
              <w:t>0.25~0.27</w:t>
            </w:r>
          </w:p>
        </w:tc>
        <w:tc>
          <w:tcPr>
            <w:tcW w:w="1578" w:type="dxa"/>
            <w:vAlign w:val="top"/>
          </w:tcPr>
          <w:p>
            <w:pPr>
              <w:pStyle w:val="6"/>
              <w:spacing w:before="105" w:line="188" w:lineRule="auto"/>
              <w:ind w:left="368"/>
            </w:pPr>
            <w:r>
              <w:rPr>
                <w:spacing w:val="-1"/>
              </w:rPr>
              <w:t>0.19~0.22</w:t>
            </w:r>
          </w:p>
        </w:tc>
        <w:tc>
          <w:tcPr>
            <w:tcW w:w="1578" w:type="dxa"/>
            <w:vAlign w:val="top"/>
          </w:tcPr>
          <w:p>
            <w:pPr>
              <w:pStyle w:val="6"/>
              <w:spacing w:before="105" w:line="188" w:lineRule="auto"/>
              <w:ind w:left="368"/>
            </w:pPr>
            <w:r>
              <w:rPr>
                <w:spacing w:val="-1"/>
              </w:rPr>
              <w:t>0.19~0.22</w:t>
            </w:r>
          </w:p>
        </w:tc>
        <w:tc>
          <w:tcPr>
            <w:tcW w:w="1578" w:type="dxa"/>
            <w:vAlign w:val="top"/>
          </w:tcPr>
          <w:p>
            <w:pPr>
              <w:pStyle w:val="6"/>
              <w:spacing w:before="105" w:line="188" w:lineRule="auto"/>
              <w:ind w:left="368"/>
            </w:pPr>
            <w:r>
              <w:rPr>
                <w:spacing w:val="-1"/>
              </w:rPr>
              <w:t>0.19~0.22</w:t>
            </w:r>
          </w:p>
        </w:tc>
        <w:tc>
          <w:tcPr>
            <w:tcW w:w="1115" w:type="dxa"/>
            <w:tcBorders>
              <w:right w:val="nil"/>
            </w:tcBorders>
            <w:vAlign w:val="top"/>
          </w:tcPr>
          <w:p>
            <w:pPr>
              <w:pStyle w:val="6"/>
              <w:spacing w:before="105" w:line="188" w:lineRule="auto"/>
              <w:ind w:left="473"/>
            </w:pPr>
            <w:r>
              <w:rPr>
                <w:spacing w:val="-1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55" w:type="dxa"/>
            <w:tcBorders>
              <w:left w:val="nil"/>
            </w:tcBorders>
            <w:vAlign w:val="top"/>
          </w:tcPr>
          <w:p>
            <w:pPr>
              <w:pStyle w:val="6"/>
              <w:spacing w:before="109" w:line="188" w:lineRule="auto"/>
              <w:ind w:left="184"/>
            </w:pPr>
            <w:r>
              <w:rPr>
                <w:spacing w:val="-2"/>
              </w:rPr>
              <w:t>28</w:t>
            </w:r>
          </w:p>
        </w:tc>
        <w:tc>
          <w:tcPr>
            <w:tcW w:w="1278" w:type="dxa"/>
            <w:vAlign w:val="top"/>
          </w:tcPr>
          <w:p>
            <w:pPr>
              <w:spacing w:before="72" w:line="204" w:lineRule="auto"/>
              <w:ind w:left="332"/>
              <w:rPr>
                <w:rFonts w:ascii="仿宋" w:hAnsi="仿宋" w:eastAsia="仿宋" w:cs="仿宋"/>
                <w:sz w:val="21"/>
                <w:szCs w:val="21"/>
              </w:rPr>
            </w:pPr>
            <w:r>
              <w:rPr>
                <w:rFonts w:ascii="仿宋" w:hAnsi="仿宋" w:eastAsia="仿宋" w:cs="仿宋"/>
                <w:spacing w:val="-3"/>
                <w:sz w:val="21"/>
                <w:szCs w:val="21"/>
              </w:rPr>
              <w:t>硫酸盐</w:t>
            </w:r>
          </w:p>
        </w:tc>
        <w:tc>
          <w:tcPr>
            <w:tcW w:w="1572" w:type="dxa"/>
            <w:vAlign w:val="top"/>
          </w:tcPr>
          <w:p>
            <w:pPr>
              <w:pStyle w:val="6"/>
              <w:spacing w:before="109" w:line="188" w:lineRule="auto"/>
              <w:ind w:left="414"/>
            </w:pPr>
            <w:r>
              <w:rPr>
                <w:spacing w:val="-1"/>
              </w:rPr>
              <w:t>232~238</w:t>
            </w:r>
          </w:p>
        </w:tc>
        <w:tc>
          <w:tcPr>
            <w:tcW w:w="1570" w:type="dxa"/>
            <w:vAlign w:val="top"/>
          </w:tcPr>
          <w:p>
            <w:pPr>
              <w:pStyle w:val="6"/>
              <w:spacing w:before="109" w:line="188" w:lineRule="auto"/>
              <w:ind w:left="413"/>
            </w:pPr>
            <w:r>
              <w:rPr>
                <w:spacing w:val="-1"/>
              </w:rPr>
              <w:t>219~225</w:t>
            </w:r>
          </w:p>
        </w:tc>
        <w:tc>
          <w:tcPr>
            <w:tcW w:w="1571" w:type="dxa"/>
            <w:vAlign w:val="top"/>
          </w:tcPr>
          <w:p>
            <w:pPr>
              <w:pStyle w:val="6"/>
              <w:spacing w:before="109" w:line="188" w:lineRule="auto"/>
              <w:ind w:left="521"/>
            </w:pPr>
            <w:r>
              <w:rPr>
                <w:spacing w:val="-2"/>
              </w:rPr>
              <w:t>62~64</w:t>
            </w:r>
          </w:p>
        </w:tc>
        <w:tc>
          <w:tcPr>
            <w:tcW w:w="1578" w:type="dxa"/>
            <w:vAlign w:val="top"/>
          </w:tcPr>
          <w:p>
            <w:pPr>
              <w:pStyle w:val="6"/>
              <w:spacing w:before="109" w:line="188" w:lineRule="auto"/>
              <w:ind w:left="416"/>
            </w:pPr>
            <w:r>
              <w:rPr>
                <w:spacing w:val="-1"/>
              </w:rPr>
              <w:t>232~243</w:t>
            </w:r>
          </w:p>
        </w:tc>
        <w:tc>
          <w:tcPr>
            <w:tcW w:w="1578" w:type="dxa"/>
            <w:vAlign w:val="top"/>
          </w:tcPr>
          <w:p>
            <w:pPr>
              <w:pStyle w:val="6"/>
              <w:spacing w:before="109" w:line="188" w:lineRule="auto"/>
              <w:ind w:left="416"/>
            </w:pPr>
            <w:r>
              <w:rPr>
                <w:spacing w:val="-1"/>
              </w:rPr>
              <w:t>228~235</w:t>
            </w:r>
          </w:p>
        </w:tc>
        <w:tc>
          <w:tcPr>
            <w:tcW w:w="1578" w:type="dxa"/>
            <w:vAlign w:val="top"/>
          </w:tcPr>
          <w:p>
            <w:pPr>
              <w:pStyle w:val="6"/>
              <w:spacing w:before="109" w:line="188" w:lineRule="auto"/>
              <w:ind w:left="526"/>
            </w:pPr>
            <w:r>
              <w:rPr>
                <w:spacing w:val="-2"/>
              </w:rPr>
              <w:t>36~40</w:t>
            </w:r>
          </w:p>
        </w:tc>
        <w:tc>
          <w:tcPr>
            <w:tcW w:w="1578" w:type="dxa"/>
            <w:vAlign w:val="top"/>
          </w:tcPr>
          <w:p>
            <w:pPr>
              <w:pStyle w:val="6"/>
              <w:spacing w:before="109" w:line="188" w:lineRule="auto"/>
              <w:ind w:left="526"/>
            </w:pPr>
            <w:r>
              <w:rPr>
                <w:spacing w:val="-2"/>
              </w:rPr>
              <w:t>30~31</w:t>
            </w:r>
          </w:p>
        </w:tc>
        <w:tc>
          <w:tcPr>
            <w:tcW w:w="1115" w:type="dxa"/>
            <w:tcBorders>
              <w:right w:val="nil"/>
            </w:tcBorders>
            <w:vAlign w:val="top"/>
          </w:tcPr>
          <w:p>
            <w:pPr>
              <w:pStyle w:val="6"/>
              <w:spacing w:before="109" w:line="188" w:lineRule="auto"/>
              <w:ind w:left="400"/>
            </w:pPr>
            <w:r>
              <w:rPr>
                <w:spacing w:val="-2"/>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555" w:type="dxa"/>
            <w:tcBorders>
              <w:left w:val="nil"/>
            </w:tcBorders>
            <w:vAlign w:val="top"/>
          </w:tcPr>
          <w:p>
            <w:pPr>
              <w:pStyle w:val="6"/>
              <w:spacing w:before="110" w:line="188" w:lineRule="auto"/>
              <w:ind w:left="184"/>
            </w:pPr>
            <w:r>
              <w:rPr>
                <w:spacing w:val="-2"/>
              </w:rPr>
              <w:t>29</w:t>
            </w:r>
          </w:p>
        </w:tc>
        <w:tc>
          <w:tcPr>
            <w:tcW w:w="1278" w:type="dxa"/>
            <w:vAlign w:val="top"/>
          </w:tcPr>
          <w:p>
            <w:pPr>
              <w:spacing w:before="74" w:line="202" w:lineRule="auto"/>
              <w:ind w:left="332"/>
              <w:rPr>
                <w:rFonts w:ascii="仿宋" w:hAnsi="仿宋" w:eastAsia="仿宋" w:cs="仿宋"/>
                <w:sz w:val="21"/>
                <w:szCs w:val="21"/>
              </w:rPr>
            </w:pPr>
            <w:r>
              <w:rPr>
                <w:rFonts w:ascii="仿宋" w:hAnsi="仿宋" w:eastAsia="仿宋" w:cs="仿宋"/>
                <w:spacing w:val="-3"/>
                <w:sz w:val="21"/>
                <w:szCs w:val="21"/>
              </w:rPr>
              <w:t>硫化物</w:t>
            </w:r>
          </w:p>
        </w:tc>
        <w:tc>
          <w:tcPr>
            <w:tcW w:w="1572" w:type="dxa"/>
            <w:vAlign w:val="top"/>
          </w:tcPr>
          <w:p>
            <w:pPr>
              <w:pStyle w:val="6"/>
              <w:spacing w:before="110" w:line="188" w:lineRule="auto"/>
              <w:ind w:left="541"/>
            </w:pPr>
            <w:r>
              <w:rPr>
                <w:spacing w:val="-2"/>
              </w:rPr>
              <w:t>0.01L</w:t>
            </w:r>
          </w:p>
        </w:tc>
        <w:tc>
          <w:tcPr>
            <w:tcW w:w="1570" w:type="dxa"/>
            <w:vAlign w:val="top"/>
          </w:tcPr>
          <w:p>
            <w:pPr>
              <w:pStyle w:val="6"/>
              <w:spacing w:before="110" w:line="188" w:lineRule="auto"/>
              <w:ind w:left="539"/>
            </w:pPr>
            <w:r>
              <w:rPr>
                <w:spacing w:val="-2"/>
              </w:rPr>
              <w:t>0.01L</w:t>
            </w:r>
          </w:p>
        </w:tc>
        <w:tc>
          <w:tcPr>
            <w:tcW w:w="1571" w:type="dxa"/>
            <w:vAlign w:val="top"/>
          </w:tcPr>
          <w:p>
            <w:pPr>
              <w:pStyle w:val="6"/>
              <w:spacing w:before="110" w:line="188" w:lineRule="auto"/>
              <w:ind w:left="539"/>
            </w:pPr>
            <w:r>
              <w:rPr>
                <w:spacing w:val="-2"/>
              </w:rPr>
              <w:t>0.01L</w:t>
            </w:r>
          </w:p>
        </w:tc>
        <w:tc>
          <w:tcPr>
            <w:tcW w:w="1578" w:type="dxa"/>
            <w:vAlign w:val="top"/>
          </w:tcPr>
          <w:p>
            <w:pPr>
              <w:pStyle w:val="6"/>
              <w:spacing w:before="110" w:line="188" w:lineRule="auto"/>
              <w:ind w:left="544"/>
            </w:pPr>
            <w:r>
              <w:rPr>
                <w:spacing w:val="-2"/>
              </w:rPr>
              <w:t>0.01L</w:t>
            </w:r>
          </w:p>
        </w:tc>
        <w:tc>
          <w:tcPr>
            <w:tcW w:w="1578" w:type="dxa"/>
            <w:vAlign w:val="top"/>
          </w:tcPr>
          <w:p>
            <w:pPr>
              <w:pStyle w:val="6"/>
              <w:spacing w:before="110" w:line="188" w:lineRule="auto"/>
              <w:ind w:left="544"/>
            </w:pPr>
            <w:r>
              <w:rPr>
                <w:spacing w:val="-2"/>
              </w:rPr>
              <w:t>0.01L</w:t>
            </w:r>
          </w:p>
        </w:tc>
        <w:tc>
          <w:tcPr>
            <w:tcW w:w="1578" w:type="dxa"/>
            <w:vAlign w:val="top"/>
          </w:tcPr>
          <w:p>
            <w:pPr>
              <w:pStyle w:val="6"/>
              <w:spacing w:before="110" w:line="188" w:lineRule="auto"/>
              <w:ind w:left="544"/>
            </w:pPr>
            <w:r>
              <w:rPr>
                <w:spacing w:val="-2"/>
              </w:rPr>
              <w:t>0.01L</w:t>
            </w:r>
          </w:p>
        </w:tc>
        <w:tc>
          <w:tcPr>
            <w:tcW w:w="1578" w:type="dxa"/>
            <w:vAlign w:val="top"/>
          </w:tcPr>
          <w:p>
            <w:pPr>
              <w:pStyle w:val="6"/>
              <w:spacing w:before="110" w:line="188" w:lineRule="auto"/>
              <w:ind w:left="544"/>
            </w:pPr>
            <w:r>
              <w:rPr>
                <w:spacing w:val="-2"/>
              </w:rPr>
              <w:t>0.01L</w:t>
            </w:r>
          </w:p>
        </w:tc>
        <w:tc>
          <w:tcPr>
            <w:tcW w:w="1115" w:type="dxa"/>
            <w:tcBorders>
              <w:right w:val="nil"/>
            </w:tcBorders>
            <w:vAlign w:val="top"/>
          </w:tcPr>
          <w:p>
            <w:pPr>
              <w:pStyle w:val="6"/>
              <w:spacing w:before="110" w:line="188" w:lineRule="auto"/>
              <w:ind w:left="429"/>
            </w:pPr>
            <w:r>
              <w:rPr>
                <w:spacing w:val="-3"/>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8" w:hRule="atLeast"/>
        </w:trPr>
        <w:tc>
          <w:tcPr>
            <w:tcW w:w="555" w:type="dxa"/>
            <w:tcBorders>
              <w:left w:val="nil"/>
              <w:bottom w:val="single" w:color="000000" w:sz="12" w:space="0"/>
            </w:tcBorders>
            <w:vAlign w:val="top"/>
          </w:tcPr>
          <w:p>
            <w:pPr>
              <w:pStyle w:val="6"/>
              <w:spacing w:before="114" w:line="188" w:lineRule="auto"/>
              <w:ind w:left="188"/>
            </w:pPr>
            <w:r>
              <w:rPr>
                <w:spacing w:val="-5"/>
              </w:rPr>
              <w:t>30</w:t>
            </w:r>
          </w:p>
        </w:tc>
        <w:tc>
          <w:tcPr>
            <w:tcW w:w="1278" w:type="dxa"/>
            <w:tcBorders>
              <w:bottom w:val="single" w:color="000000" w:sz="12" w:space="0"/>
            </w:tcBorders>
            <w:vAlign w:val="top"/>
          </w:tcPr>
          <w:p>
            <w:pPr>
              <w:pStyle w:val="6"/>
              <w:spacing w:before="77" w:line="220" w:lineRule="auto"/>
              <w:ind w:left="271"/>
            </w:pPr>
            <w:r>
              <w:rPr>
                <w:rFonts w:ascii="仿宋" w:hAnsi="仿宋" w:eastAsia="仿宋" w:cs="仿宋"/>
                <w:spacing w:val="-7"/>
              </w:rPr>
              <w:t>叶绿素</w:t>
            </w:r>
            <w:r>
              <w:rPr>
                <w:rFonts w:ascii="仿宋" w:hAnsi="仿宋" w:eastAsia="仿宋" w:cs="仿宋"/>
                <w:spacing w:val="-43"/>
              </w:rPr>
              <w:t xml:space="preserve"> </w:t>
            </w:r>
            <w:r>
              <w:rPr>
                <w:spacing w:val="-7"/>
              </w:rPr>
              <w:t>a</w:t>
            </w:r>
          </w:p>
        </w:tc>
        <w:tc>
          <w:tcPr>
            <w:tcW w:w="1572" w:type="dxa"/>
            <w:tcBorders>
              <w:bottom w:val="single" w:color="000000" w:sz="12" w:space="0"/>
            </w:tcBorders>
            <w:vAlign w:val="top"/>
          </w:tcPr>
          <w:p>
            <w:pPr>
              <w:pStyle w:val="6"/>
              <w:spacing w:before="112" w:line="214" w:lineRule="auto"/>
              <w:ind w:left="752"/>
            </w:pPr>
            <w:r>
              <w:t>/</w:t>
            </w:r>
          </w:p>
        </w:tc>
        <w:tc>
          <w:tcPr>
            <w:tcW w:w="1570" w:type="dxa"/>
            <w:tcBorders>
              <w:bottom w:val="single" w:color="000000" w:sz="12" w:space="0"/>
            </w:tcBorders>
            <w:vAlign w:val="top"/>
          </w:tcPr>
          <w:p>
            <w:pPr>
              <w:pStyle w:val="6"/>
              <w:spacing w:before="112" w:line="214" w:lineRule="auto"/>
              <w:ind w:left="751"/>
            </w:pPr>
            <w:r>
              <w:t>/</w:t>
            </w:r>
          </w:p>
        </w:tc>
        <w:tc>
          <w:tcPr>
            <w:tcW w:w="1571" w:type="dxa"/>
            <w:tcBorders>
              <w:bottom w:val="single" w:color="000000" w:sz="12" w:space="0"/>
            </w:tcBorders>
            <w:vAlign w:val="top"/>
          </w:tcPr>
          <w:p>
            <w:pPr>
              <w:pStyle w:val="6"/>
              <w:spacing w:before="112" w:line="214" w:lineRule="auto"/>
              <w:ind w:left="750"/>
            </w:pPr>
            <w:r>
              <w:t>/</w:t>
            </w:r>
          </w:p>
        </w:tc>
        <w:tc>
          <w:tcPr>
            <w:tcW w:w="1578" w:type="dxa"/>
            <w:tcBorders>
              <w:bottom w:val="single" w:color="000000" w:sz="12" w:space="0"/>
            </w:tcBorders>
            <w:vAlign w:val="top"/>
          </w:tcPr>
          <w:p>
            <w:pPr>
              <w:pStyle w:val="6"/>
              <w:spacing w:before="112" w:line="214" w:lineRule="auto"/>
              <w:ind w:left="755"/>
            </w:pPr>
            <w:r>
              <w:t>/</w:t>
            </w:r>
          </w:p>
        </w:tc>
        <w:tc>
          <w:tcPr>
            <w:tcW w:w="1578" w:type="dxa"/>
            <w:tcBorders>
              <w:bottom w:val="single" w:color="000000" w:sz="12" w:space="0"/>
            </w:tcBorders>
            <w:vAlign w:val="top"/>
          </w:tcPr>
          <w:p>
            <w:pPr>
              <w:pStyle w:val="6"/>
              <w:spacing w:before="112" w:line="214" w:lineRule="auto"/>
              <w:ind w:left="755"/>
            </w:pPr>
            <w:r>
              <w:t>/</w:t>
            </w:r>
          </w:p>
        </w:tc>
        <w:tc>
          <w:tcPr>
            <w:tcW w:w="1578" w:type="dxa"/>
            <w:tcBorders>
              <w:bottom w:val="single" w:color="000000" w:sz="12" w:space="0"/>
            </w:tcBorders>
            <w:vAlign w:val="top"/>
          </w:tcPr>
          <w:p>
            <w:pPr>
              <w:pStyle w:val="6"/>
              <w:spacing w:before="112" w:line="214" w:lineRule="auto"/>
              <w:ind w:left="755"/>
            </w:pPr>
            <w:r>
              <w:t>/</w:t>
            </w:r>
          </w:p>
        </w:tc>
        <w:tc>
          <w:tcPr>
            <w:tcW w:w="1578" w:type="dxa"/>
            <w:tcBorders>
              <w:bottom w:val="single" w:color="000000" w:sz="12" w:space="0"/>
            </w:tcBorders>
            <w:vAlign w:val="top"/>
          </w:tcPr>
          <w:p>
            <w:pPr>
              <w:pStyle w:val="6"/>
              <w:spacing w:before="114" w:line="188" w:lineRule="auto"/>
              <w:ind w:left="491"/>
            </w:pPr>
            <w:r>
              <w:rPr>
                <w:spacing w:val="-2"/>
              </w:rPr>
              <w:t>0.004L</w:t>
            </w:r>
          </w:p>
        </w:tc>
        <w:tc>
          <w:tcPr>
            <w:tcW w:w="1115" w:type="dxa"/>
            <w:tcBorders>
              <w:bottom w:val="single" w:color="000000" w:sz="12" w:space="0"/>
              <w:right w:val="nil"/>
            </w:tcBorders>
            <w:vAlign w:val="top"/>
          </w:tcPr>
          <w:p>
            <w:pPr>
              <w:pStyle w:val="6"/>
              <w:spacing w:before="112" w:line="214" w:lineRule="auto"/>
              <w:ind w:left="524"/>
            </w:pPr>
            <w:r>
              <w:t>/</w:t>
            </w:r>
          </w:p>
        </w:tc>
      </w:tr>
    </w:tbl>
    <w:p>
      <w:pPr>
        <w:rPr>
          <w:rFonts w:ascii="Arial"/>
          <w:sz w:val="21"/>
        </w:rPr>
      </w:pPr>
    </w:p>
    <w:p>
      <w:pPr>
        <w:rPr>
          <w:rFonts w:ascii="Arial" w:hAnsi="Arial" w:eastAsia="Arial" w:cs="Arial"/>
          <w:sz w:val="21"/>
          <w:szCs w:val="21"/>
        </w:rPr>
        <w:sectPr>
          <w:footerReference r:id="rId183" w:type="default"/>
          <w:pgSz w:w="16839" w:h="11907"/>
          <w:pgMar w:top="1156" w:right="1408" w:bottom="1374" w:left="1410" w:header="881" w:footer="1210" w:gutter="0"/>
        </w:sectPr>
      </w:pPr>
    </w:p>
    <w:p>
      <w:pPr>
        <w:spacing w:line="317" w:lineRule="auto"/>
        <w:rPr>
          <w:rFonts w:ascii="Arial"/>
          <w:sz w:val="21"/>
        </w:rPr>
      </w:pPr>
    </w:p>
    <w:p>
      <w:pPr>
        <w:spacing w:before="78" w:line="217" w:lineRule="auto"/>
        <w:ind w:left="519"/>
        <w:rPr>
          <w:rFonts w:ascii="宋体" w:hAnsi="宋体" w:eastAsia="宋体" w:cs="宋体"/>
          <w:sz w:val="24"/>
          <w:szCs w:val="24"/>
        </w:rPr>
      </w:pPr>
      <w:r>
        <w:rPr>
          <w:rFonts w:ascii="宋体" w:hAnsi="宋体" w:eastAsia="宋体" w:cs="宋体"/>
          <w:spacing w:val="-2"/>
          <w:sz w:val="24"/>
          <w:szCs w:val="24"/>
        </w:rPr>
        <w:t>⑤评价标准</w:t>
      </w:r>
    </w:p>
    <w:p>
      <w:pPr>
        <w:spacing w:before="185" w:line="360" w:lineRule="auto"/>
        <w:ind w:left="42" w:right="30" w:firstLine="478"/>
        <w:rPr>
          <w:rFonts w:ascii="宋体" w:hAnsi="宋体" w:eastAsia="宋体" w:cs="宋体"/>
          <w:sz w:val="24"/>
          <w:szCs w:val="24"/>
        </w:rPr>
      </w:pPr>
      <w:r>
        <w:rPr>
          <w:rFonts w:ascii="宋体" w:hAnsi="宋体" w:eastAsia="宋体" w:cs="宋体"/>
          <w:spacing w:val="-3"/>
          <w:sz w:val="24"/>
          <w:szCs w:val="24"/>
        </w:rPr>
        <w:t>坝址、库尾、罗子左河汇入万马河上游</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500m</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处和马茨河取水坝执行《地表</w:t>
      </w:r>
      <w:r>
        <w:rPr>
          <w:rFonts w:ascii="宋体" w:hAnsi="宋体" w:eastAsia="宋体" w:cs="宋体"/>
          <w:sz w:val="24"/>
          <w:szCs w:val="24"/>
        </w:rPr>
        <w:t xml:space="preserve"> </w:t>
      </w:r>
      <w:r>
        <w:rPr>
          <w:rFonts w:ascii="宋体" w:hAnsi="宋体" w:eastAsia="宋体" w:cs="宋体"/>
          <w:spacing w:val="-9"/>
          <w:sz w:val="24"/>
          <w:szCs w:val="24"/>
        </w:rPr>
        <w:t>水环境质量标准》（</w:t>
      </w:r>
      <w:r>
        <w:rPr>
          <w:rFonts w:ascii="Times New Roman" w:hAnsi="Times New Roman" w:eastAsia="Times New Roman" w:cs="Times New Roman"/>
          <w:spacing w:val="-9"/>
          <w:sz w:val="24"/>
          <w:szCs w:val="24"/>
        </w:rPr>
        <w:t>GB3838-2002</w:t>
      </w:r>
      <w:r>
        <w:rPr>
          <w:rFonts w:ascii="宋体" w:hAnsi="宋体" w:eastAsia="宋体" w:cs="宋体"/>
          <w:spacing w:val="-9"/>
          <w:sz w:val="24"/>
          <w:szCs w:val="24"/>
        </w:rPr>
        <w:t>）Ⅲ类水质标准及表</w:t>
      </w:r>
      <w:r>
        <w:rPr>
          <w:rFonts w:ascii="宋体" w:hAnsi="宋体" w:eastAsia="宋体" w:cs="宋体"/>
          <w:spacing w:val="-39"/>
          <w:sz w:val="24"/>
          <w:szCs w:val="24"/>
        </w:rPr>
        <w:t xml:space="preserve"> </w:t>
      </w:r>
      <w:r>
        <w:rPr>
          <w:rFonts w:ascii="Times New Roman" w:hAnsi="Times New Roman" w:eastAsia="Times New Roman" w:cs="Times New Roman"/>
          <w:spacing w:val="-9"/>
          <w:sz w:val="24"/>
          <w:szCs w:val="24"/>
        </w:rPr>
        <w:t xml:space="preserve">2 </w:t>
      </w:r>
      <w:r>
        <w:rPr>
          <w:rFonts w:ascii="宋体" w:hAnsi="宋体" w:eastAsia="宋体" w:cs="宋体"/>
          <w:spacing w:val="-9"/>
          <w:sz w:val="24"/>
          <w:szCs w:val="24"/>
        </w:rPr>
        <w:t>标准；</w:t>
      </w:r>
      <w:r>
        <w:rPr>
          <w:rFonts w:ascii="宋体" w:hAnsi="宋体" w:eastAsia="宋体" w:cs="宋体"/>
          <w:spacing w:val="-43"/>
          <w:sz w:val="24"/>
          <w:szCs w:val="24"/>
        </w:rPr>
        <w:t xml:space="preserve"> </w:t>
      </w:r>
      <w:r>
        <w:rPr>
          <w:rFonts w:ascii="宋体" w:hAnsi="宋体" w:eastAsia="宋体" w:cs="宋体"/>
          <w:spacing w:val="-9"/>
          <w:sz w:val="24"/>
          <w:szCs w:val="24"/>
        </w:rPr>
        <w:t>昔木乍箐与见簸箐</w:t>
      </w:r>
      <w:r>
        <w:rPr>
          <w:rFonts w:ascii="宋体" w:hAnsi="宋体" w:eastAsia="宋体" w:cs="宋体"/>
          <w:sz w:val="24"/>
          <w:szCs w:val="24"/>
        </w:rPr>
        <w:t xml:space="preserve"> </w:t>
      </w:r>
      <w:r>
        <w:rPr>
          <w:rFonts w:ascii="宋体" w:hAnsi="宋体" w:eastAsia="宋体" w:cs="宋体"/>
          <w:spacing w:val="-3"/>
          <w:sz w:val="24"/>
          <w:szCs w:val="24"/>
        </w:rPr>
        <w:t>交汇口、六姑乍箐取水坝处、万马河、者纳么河、六苴河、输水线汇入</w:t>
      </w:r>
      <w:r>
        <w:rPr>
          <w:rFonts w:ascii="宋体" w:hAnsi="宋体" w:eastAsia="宋体" w:cs="宋体"/>
          <w:spacing w:val="-4"/>
          <w:sz w:val="24"/>
          <w:szCs w:val="24"/>
        </w:rPr>
        <w:t>碧么水库</w:t>
      </w:r>
      <w:r>
        <w:rPr>
          <w:rFonts w:ascii="宋体" w:hAnsi="宋体" w:eastAsia="宋体" w:cs="宋体"/>
          <w:sz w:val="24"/>
          <w:szCs w:val="24"/>
        </w:rPr>
        <w:t xml:space="preserve"> </w:t>
      </w:r>
      <w:r>
        <w:rPr>
          <w:rFonts w:ascii="宋体" w:hAnsi="宋体" w:eastAsia="宋体" w:cs="宋体"/>
          <w:spacing w:val="-6"/>
          <w:sz w:val="24"/>
          <w:szCs w:val="24"/>
        </w:rPr>
        <w:t>前</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500m</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处和碧么水库执行《地表水环境质量标准》（</w:t>
      </w:r>
      <w:r>
        <w:rPr>
          <w:rFonts w:ascii="Times New Roman" w:hAnsi="Times New Roman" w:eastAsia="Times New Roman" w:cs="Times New Roman"/>
          <w:spacing w:val="-6"/>
          <w:sz w:val="24"/>
          <w:szCs w:val="24"/>
        </w:rPr>
        <w:t>GB3838-2002</w:t>
      </w:r>
      <w:r>
        <w:rPr>
          <w:rFonts w:ascii="宋体" w:hAnsi="宋体" w:eastAsia="宋体" w:cs="宋体"/>
          <w:spacing w:val="-6"/>
          <w:sz w:val="24"/>
          <w:szCs w:val="24"/>
        </w:rPr>
        <w:t>）Ⅱ类水质标</w:t>
      </w:r>
    </w:p>
    <w:p>
      <w:pPr>
        <w:spacing w:line="220" w:lineRule="auto"/>
        <w:ind w:left="41"/>
        <w:rPr>
          <w:rFonts w:ascii="宋体" w:hAnsi="宋体" w:eastAsia="宋体" w:cs="宋体"/>
          <w:sz w:val="24"/>
          <w:szCs w:val="24"/>
        </w:rPr>
      </w:pPr>
      <w:r>
        <w:rPr>
          <w:rFonts w:ascii="宋体" w:hAnsi="宋体" w:eastAsia="宋体" w:cs="宋体"/>
          <w:spacing w:val="-5"/>
          <w:sz w:val="24"/>
          <w:szCs w:val="24"/>
        </w:rPr>
        <w:t>准及表</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标准。</w:t>
      </w:r>
    </w:p>
    <w:p>
      <w:pPr>
        <w:spacing w:before="182" w:line="217" w:lineRule="auto"/>
        <w:ind w:left="519"/>
        <w:rPr>
          <w:rFonts w:ascii="宋体" w:hAnsi="宋体" w:eastAsia="宋体" w:cs="宋体"/>
          <w:sz w:val="24"/>
          <w:szCs w:val="24"/>
        </w:rPr>
      </w:pPr>
      <w:r>
        <w:rPr>
          <w:rFonts w:ascii="宋体" w:hAnsi="宋体" w:eastAsia="宋体" w:cs="宋体"/>
          <w:spacing w:val="-2"/>
          <w:sz w:val="24"/>
          <w:szCs w:val="24"/>
        </w:rPr>
        <w:t>⑥评价方法</w:t>
      </w:r>
    </w:p>
    <w:p>
      <w:pPr>
        <w:spacing w:before="185" w:line="219" w:lineRule="auto"/>
        <w:ind w:left="520"/>
        <w:rPr>
          <w:rFonts w:ascii="宋体" w:hAnsi="宋体" w:eastAsia="宋体" w:cs="宋体"/>
          <w:sz w:val="24"/>
          <w:szCs w:val="24"/>
        </w:rPr>
      </w:pPr>
      <w:r>
        <w:rPr>
          <w:rFonts w:ascii="宋体" w:hAnsi="宋体" w:eastAsia="宋体" w:cs="宋体"/>
          <w:spacing w:val="-4"/>
          <w:sz w:val="24"/>
          <w:szCs w:val="24"/>
        </w:rPr>
        <w:t>采用水质标准指数法，其公式为：</w:t>
      </w:r>
    </w:p>
    <w:p>
      <w:pPr>
        <w:spacing w:before="145" w:line="138" w:lineRule="auto"/>
        <w:ind w:left="3721"/>
        <w:rPr>
          <w:rFonts w:ascii="Times New Roman" w:hAnsi="Times New Roman" w:eastAsia="Times New Roman" w:cs="Times New Roman"/>
          <w:sz w:val="13"/>
          <w:szCs w:val="13"/>
        </w:rPr>
      </w:pPr>
      <w:r>
        <w:rPr>
          <w:rFonts w:ascii="Times New Roman" w:hAnsi="Times New Roman" w:eastAsia="Times New Roman" w:cs="Times New Roman"/>
          <w:i/>
          <w:iCs/>
          <w:spacing w:val="-3"/>
          <w:position w:val="-9"/>
          <w:sz w:val="24"/>
          <w:szCs w:val="24"/>
        </w:rPr>
        <w:t xml:space="preserve">S    </w:t>
      </w:r>
      <w:r>
        <w:rPr>
          <w:rFonts w:ascii="微软雅黑" w:hAnsi="微软雅黑" w:eastAsia="微软雅黑" w:cs="微软雅黑"/>
          <w:spacing w:val="-3"/>
          <w:position w:val="-9"/>
          <w:sz w:val="24"/>
          <w:szCs w:val="24"/>
        </w:rPr>
        <w:t>=</w:t>
      </w:r>
      <w:r>
        <w:rPr>
          <w:rFonts w:ascii="微软雅黑" w:hAnsi="微软雅黑" w:eastAsia="微软雅黑" w:cs="微软雅黑"/>
          <w:spacing w:val="-13"/>
          <w:position w:val="-9"/>
          <w:sz w:val="24"/>
          <w:szCs w:val="24"/>
        </w:rPr>
        <w:t xml:space="preserve"> </w:t>
      </w:r>
      <w:r>
        <w:rPr>
          <w:rFonts w:ascii="Times New Roman" w:hAnsi="Times New Roman" w:eastAsia="Times New Roman" w:cs="Times New Roman"/>
          <w:i/>
          <w:iCs/>
          <w:spacing w:val="-36"/>
          <w:position w:val="8"/>
          <w:sz w:val="24"/>
          <w:szCs w:val="24"/>
          <w:u w:val="single" w:color="auto"/>
        </w:rPr>
        <w:t xml:space="preserve"> </w:t>
      </w:r>
      <w:r>
        <w:rPr>
          <w:rFonts w:ascii="Times New Roman" w:hAnsi="Times New Roman" w:eastAsia="Times New Roman" w:cs="Times New Roman"/>
          <w:i/>
          <w:iCs/>
          <w:spacing w:val="-3"/>
          <w:position w:val="8"/>
          <w:sz w:val="24"/>
          <w:szCs w:val="24"/>
          <w:u w:val="single" w:color="auto"/>
        </w:rPr>
        <w:t>C</w:t>
      </w:r>
      <w:r>
        <w:rPr>
          <w:rFonts w:ascii="Times New Roman" w:hAnsi="Times New Roman" w:eastAsia="Times New Roman" w:cs="Times New Roman"/>
          <w:i/>
          <w:iCs/>
          <w:spacing w:val="-3"/>
          <w:position w:val="2"/>
          <w:sz w:val="13"/>
          <w:szCs w:val="13"/>
          <w:u w:val="single" w:color="auto"/>
        </w:rPr>
        <w:t>i</w:t>
      </w:r>
      <w:r>
        <w:rPr>
          <w:rFonts w:ascii="Times New Roman" w:hAnsi="Times New Roman" w:eastAsia="Times New Roman" w:cs="Times New Roman"/>
          <w:i/>
          <w:iCs/>
          <w:spacing w:val="-16"/>
          <w:position w:val="2"/>
          <w:sz w:val="13"/>
          <w:szCs w:val="13"/>
          <w:u w:val="single" w:color="auto"/>
        </w:rPr>
        <w:t xml:space="preserve"> </w:t>
      </w:r>
      <w:r>
        <w:rPr>
          <w:rFonts w:ascii="Times New Roman" w:hAnsi="Times New Roman" w:eastAsia="Times New Roman" w:cs="Times New Roman"/>
          <w:spacing w:val="-3"/>
          <w:position w:val="2"/>
          <w:sz w:val="13"/>
          <w:szCs w:val="13"/>
          <w:u w:val="single" w:color="auto"/>
        </w:rPr>
        <w:t>,</w:t>
      </w:r>
      <w:r>
        <w:rPr>
          <w:rFonts w:ascii="Times New Roman" w:hAnsi="Times New Roman" w:eastAsia="Times New Roman" w:cs="Times New Roman"/>
          <w:i/>
          <w:iCs/>
          <w:spacing w:val="-3"/>
          <w:position w:val="2"/>
          <w:sz w:val="13"/>
          <w:szCs w:val="13"/>
          <w:u w:val="single" w:color="auto"/>
        </w:rPr>
        <w:t>j</w:t>
      </w:r>
    </w:p>
    <w:p>
      <w:pPr>
        <w:spacing w:before="1" w:line="157" w:lineRule="auto"/>
        <w:ind w:left="3849"/>
        <w:rPr>
          <w:rFonts w:ascii="Times New Roman" w:hAnsi="Times New Roman" w:eastAsia="Times New Roman" w:cs="Times New Roman"/>
          <w:sz w:val="24"/>
          <w:szCs w:val="24"/>
        </w:rPr>
      </w:pPr>
      <w:r>
        <w:rPr>
          <w:rFonts w:ascii="Times New Roman" w:hAnsi="Times New Roman" w:eastAsia="Times New Roman" w:cs="Times New Roman"/>
          <w:i/>
          <w:iCs/>
          <w:spacing w:val="6"/>
          <w:position w:val="5"/>
          <w:sz w:val="13"/>
          <w:szCs w:val="13"/>
        </w:rPr>
        <w:t>i</w:t>
      </w:r>
      <w:r>
        <w:rPr>
          <w:rFonts w:ascii="Times New Roman" w:hAnsi="Times New Roman" w:eastAsia="Times New Roman" w:cs="Times New Roman"/>
          <w:i/>
          <w:iCs/>
          <w:spacing w:val="-14"/>
          <w:position w:val="5"/>
          <w:sz w:val="13"/>
          <w:szCs w:val="13"/>
        </w:rPr>
        <w:t xml:space="preserve"> </w:t>
      </w:r>
      <w:r>
        <w:rPr>
          <w:rFonts w:ascii="Times New Roman" w:hAnsi="Times New Roman" w:eastAsia="Times New Roman" w:cs="Times New Roman"/>
          <w:spacing w:val="6"/>
          <w:position w:val="5"/>
          <w:sz w:val="13"/>
          <w:szCs w:val="13"/>
        </w:rPr>
        <w:t>,</w:t>
      </w:r>
      <w:r>
        <w:rPr>
          <w:rFonts w:ascii="Times New Roman" w:hAnsi="Times New Roman" w:eastAsia="Times New Roman" w:cs="Times New Roman"/>
          <w:i/>
          <w:iCs/>
          <w:spacing w:val="6"/>
          <w:position w:val="5"/>
          <w:sz w:val="13"/>
          <w:szCs w:val="13"/>
        </w:rPr>
        <w:t>j</w:t>
      </w:r>
      <w:r>
        <w:rPr>
          <w:rFonts w:ascii="Times New Roman" w:hAnsi="Times New Roman" w:eastAsia="Times New Roman" w:cs="Times New Roman"/>
          <w:i/>
          <w:iCs/>
          <w:position w:val="5"/>
          <w:sz w:val="13"/>
          <w:szCs w:val="13"/>
        </w:rPr>
        <w:t xml:space="preserve">          </w:t>
      </w:r>
      <w:r>
        <w:rPr>
          <w:rFonts w:ascii="Times New Roman" w:hAnsi="Times New Roman" w:eastAsia="Times New Roman" w:cs="Times New Roman"/>
          <w:i/>
          <w:iCs/>
          <w:spacing w:val="6"/>
          <w:position w:val="-6"/>
          <w:sz w:val="24"/>
          <w:szCs w:val="24"/>
        </w:rPr>
        <w:t>C</w:t>
      </w:r>
    </w:p>
    <w:p>
      <w:pPr>
        <w:spacing w:before="1" w:line="215" w:lineRule="auto"/>
        <w:ind w:left="4474"/>
        <w:rPr>
          <w:rFonts w:ascii="Times New Roman" w:hAnsi="Times New Roman" w:eastAsia="Times New Roman" w:cs="Times New Roman"/>
          <w:sz w:val="13"/>
          <w:szCs w:val="13"/>
        </w:rPr>
      </w:pPr>
      <w:r>
        <w:rPr>
          <w:rFonts w:ascii="Times New Roman" w:hAnsi="Times New Roman" w:eastAsia="Times New Roman" w:cs="Times New Roman"/>
          <w:i/>
          <w:iCs/>
          <w:spacing w:val="3"/>
          <w:sz w:val="13"/>
          <w:szCs w:val="13"/>
        </w:rPr>
        <w:t>si</w:t>
      </w:r>
    </w:p>
    <w:p>
      <w:pPr>
        <w:spacing w:before="244" w:line="227" w:lineRule="auto"/>
        <w:ind w:left="644"/>
        <w:rPr>
          <w:rFonts w:ascii="宋体" w:hAnsi="宋体" w:eastAsia="宋体" w:cs="宋体"/>
          <w:sz w:val="24"/>
          <w:szCs w:val="24"/>
        </w:rPr>
      </w:pPr>
      <w:r>
        <w:rPr>
          <w:rFonts w:ascii="宋体" w:hAnsi="宋体" w:eastAsia="宋体" w:cs="宋体"/>
          <w:spacing w:val="-36"/>
          <w:sz w:val="24"/>
          <w:szCs w:val="24"/>
        </w:rPr>
        <w:t>式中：</w:t>
      </w:r>
      <w:r>
        <w:rPr>
          <w:rFonts w:ascii="宋体" w:hAnsi="宋体" w:eastAsia="宋体" w:cs="宋体"/>
          <w:spacing w:val="17"/>
          <w:sz w:val="24"/>
          <w:szCs w:val="24"/>
        </w:rPr>
        <w:t xml:space="preserve"> </w:t>
      </w:r>
      <w:r>
        <w:rPr>
          <w:rFonts w:ascii="Times New Roman" w:hAnsi="Times New Roman" w:eastAsia="Times New Roman" w:cs="Times New Roman"/>
          <w:spacing w:val="-36"/>
          <w:sz w:val="24"/>
          <w:szCs w:val="24"/>
        </w:rPr>
        <w:t>S</w:t>
      </w:r>
      <w:r>
        <w:rPr>
          <w:rFonts w:ascii="Times New Roman" w:hAnsi="Times New Roman" w:eastAsia="Times New Roman" w:cs="Times New Roman"/>
          <w:spacing w:val="-5"/>
          <w:sz w:val="15"/>
          <w:szCs w:val="15"/>
        </w:rPr>
        <w:t xml:space="preserve">i,j </w:t>
      </w:r>
      <w:r>
        <w:rPr>
          <w:rFonts w:ascii="宋体" w:hAnsi="宋体" w:eastAsia="宋体" w:cs="宋体"/>
          <w:spacing w:val="-5"/>
          <w:sz w:val="24"/>
          <w:szCs w:val="24"/>
        </w:rPr>
        <w:t>－评价因子</w:t>
      </w:r>
      <w:r>
        <w:rPr>
          <w:rFonts w:ascii="宋体" w:hAnsi="宋体" w:eastAsia="宋体" w:cs="宋体"/>
          <w:spacing w:val="-53"/>
          <w:sz w:val="24"/>
          <w:szCs w:val="24"/>
        </w:rPr>
        <w:t xml:space="preserve"> </w:t>
      </w:r>
      <w:r>
        <w:rPr>
          <w:rFonts w:ascii="Times New Roman" w:hAnsi="Times New Roman" w:eastAsia="Times New Roman" w:cs="Times New Roman"/>
          <w:spacing w:val="-5"/>
          <w:sz w:val="24"/>
          <w:szCs w:val="24"/>
        </w:rPr>
        <w:t>i</w:t>
      </w:r>
      <w:r>
        <w:rPr>
          <w:rFonts w:ascii="Times New Roman" w:hAnsi="Times New Roman" w:eastAsia="Times New Roman" w:cs="Times New Roman"/>
          <w:spacing w:val="29"/>
          <w:w w:val="101"/>
          <w:sz w:val="24"/>
          <w:szCs w:val="24"/>
        </w:rPr>
        <w:t xml:space="preserve"> </w:t>
      </w:r>
      <w:r>
        <w:rPr>
          <w:rFonts w:ascii="宋体" w:hAnsi="宋体" w:eastAsia="宋体" w:cs="宋体"/>
          <w:spacing w:val="-5"/>
          <w:sz w:val="24"/>
          <w:szCs w:val="24"/>
        </w:rPr>
        <w:t>的水质指数，大于</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表面该水质因子超标；</w:t>
      </w:r>
    </w:p>
    <w:p>
      <w:pPr>
        <w:spacing w:before="172" w:line="468" w:lineRule="exact"/>
        <w:ind w:left="1358"/>
        <w:rPr>
          <w:rFonts w:ascii="宋体" w:hAnsi="宋体" w:eastAsia="宋体" w:cs="宋体"/>
          <w:sz w:val="24"/>
          <w:szCs w:val="24"/>
        </w:rPr>
      </w:pPr>
      <w:r>
        <w:rPr>
          <w:rFonts w:ascii="Times New Roman" w:hAnsi="Times New Roman" w:eastAsia="Times New Roman" w:cs="Times New Roman"/>
          <w:spacing w:val="-6"/>
          <w:position w:val="17"/>
          <w:sz w:val="24"/>
          <w:szCs w:val="24"/>
        </w:rPr>
        <w:t>C</w:t>
      </w:r>
      <w:r>
        <w:rPr>
          <w:rFonts w:ascii="Times New Roman" w:hAnsi="Times New Roman" w:eastAsia="Times New Roman" w:cs="Times New Roman"/>
          <w:spacing w:val="-6"/>
          <w:position w:val="17"/>
          <w:sz w:val="15"/>
          <w:szCs w:val="15"/>
        </w:rPr>
        <w:t xml:space="preserve">i,j </w:t>
      </w:r>
      <w:r>
        <w:rPr>
          <w:rFonts w:ascii="宋体" w:hAnsi="宋体" w:eastAsia="宋体" w:cs="宋体"/>
          <w:spacing w:val="-6"/>
          <w:position w:val="17"/>
          <w:sz w:val="24"/>
          <w:szCs w:val="24"/>
        </w:rPr>
        <w:t>－评价因子</w:t>
      </w:r>
      <w:r>
        <w:rPr>
          <w:rFonts w:ascii="宋体" w:hAnsi="宋体" w:eastAsia="宋体" w:cs="宋体"/>
          <w:spacing w:val="-53"/>
          <w:position w:val="17"/>
          <w:sz w:val="24"/>
          <w:szCs w:val="24"/>
        </w:rPr>
        <w:t xml:space="preserve"> </w:t>
      </w:r>
      <w:r>
        <w:rPr>
          <w:rFonts w:ascii="Times New Roman" w:hAnsi="Times New Roman" w:eastAsia="Times New Roman" w:cs="Times New Roman"/>
          <w:spacing w:val="-6"/>
          <w:position w:val="17"/>
          <w:sz w:val="24"/>
          <w:szCs w:val="24"/>
        </w:rPr>
        <w:t xml:space="preserve">i </w:t>
      </w:r>
      <w:r>
        <w:rPr>
          <w:rFonts w:ascii="宋体" w:hAnsi="宋体" w:eastAsia="宋体" w:cs="宋体"/>
          <w:spacing w:val="-6"/>
          <w:position w:val="17"/>
          <w:sz w:val="24"/>
          <w:szCs w:val="24"/>
        </w:rPr>
        <w:t>在</w:t>
      </w:r>
      <w:r>
        <w:rPr>
          <w:rFonts w:ascii="Times New Roman" w:hAnsi="Times New Roman" w:eastAsia="Times New Roman" w:cs="Times New Roman"/>
          <w:spacing w:val="-6"/>
          <w:position w:val="17"/>
          <w:sz w:val="24"/>
          <w:szCs w:val="24"/>
        </w:rPr>
        <w:t>j</w:t>
      </w:r>
      <w:r>
        <w:rPr>
          <w:rFonts w:ascii="Times New Roman" w:hAnsi="Times New Roman" w:eastAsia="Times New Roman" w:cs="Times New Roman"/>
          <w:spacing w:val="17"/>
          <w:w w:val="101"/>
          <w:position w:val="17"/>
          <w:sz w:val="24"/>
          <w:szCs w:val="24"/>
        </w:rPr>
        <w:t xml:space="preserve"> </w:t>
      </w:r>
      <w:r>
        <w:rPr>
          <w:rFonts w:ascii="宋体" w:hAnsi="宋体" w:eastAsia="宋体" w:cs="宋体"/>
          <w:spacing w:val="-6"/>
          <w:position w:val="17"/>
          <w:sz w:val="24"/>
          <w:szCs w:val="24"/>
        </w:rPr>
        <w:t>点的实测统计代表值，</w:t>
      </w:r>
      <w:r>
        <w:rPr>
          <w:rFonts w:ascii="宋体" w:hAnsi="宋体" w:eastAsia="宋体" w:cs="宋体"/>
          <w:spacing w:val="53"/>
          <w:position w:val="17"/>
          <w:sz w:val="24"/>
          <w:szCs w:val="24"/>
        </w:rPr>
        <w:t xml:space="preserve"> </w:t>
      </w:r>
      <w:r>
        <w:rPr>
          <w:rFonts w:ascii="Times New Roman" w:hAnsi="Times New Roman" w:eastAsia="Times New Roman" w:cs="Times New Roman"/>
          <w:spacing w:val="-6"/>
          <w:position w:val="17"/>
          <w:sz w:val="24"/>
          <w:szCs w:val="24"/>
        </w:rPr>
        <w:t>mg/</w:t>
      </w:r>
      <w:r>
        <w:rPr>
          <w:rFonts w:ascii="Times New Roman" w:hAnsi="Times New Roman" w:eastAsia="Times New Roman" w:cs="Times New Roman"/>
          <w:spacing w:val="-7"/>
          <w:position w:val="17"/>
          <w:sz w:val="24"/>
          <w:szCs w:val="24"/>
        </w:rPr>
        <w:t>L</w:t>
      </w:r>
      <w:r>
        <w:rPr>
          <w:rFonts w:ascii="宋体" w:hAnsi="宋体" w:eastAsia="宋体" w:cs="宋体"/>
          <w:spacing w:val="-7"/>
          <w:position w:val="17"/>
          <w:sz w:val="24"/>
          <w:szCs w:val="24"/>
        </w:rPr>
        <w:t>；</w:t>
      </w:r>
    </w:p>
    <w:p>
      <w:pPr>
        <w:spacing w:before="1" w:line="231" w:lineRule="auto"/>
        <w:ind w:left="1358"/>
        <w:rPr>
          <w:rFonts w:ascii="宋体" w:hAnsi="宋体" w:eastAsia="宋体" w:cs="宋体"/>
          <w:sz w:val="24"/>
          <w:szCs w:val="24"/>
        </w:rPr>
      </w:pPr>
      <w:r>
        <w:rPr>
          <w:rFonts w:ascii="Times New Roman" w:hAnsi="Times New Roman" w:eastAsia="Times New Roman" w:cs="Times New Roman"/>
          <w:spacing w:val="-6"/>
          <w:sz w:val="24"/>
          <w:szCs w:val="24"/>
        </w:rPr>
        <w:t>C</w:t>
      </w:r>
      <w:r>
        <w:rPr>
          <w:rFonts w:ascii="Times New Roman" w:hAnsi="Times New Roman" w:eastAsia="Times New Roman" w:cs="Times New Roman"/>
          <w:spacing w:val="-6"/>
          <w:sz w:val="15"/>
          <w:szCs w:val="15"/>
        </w:rPr>
        <w:t xml:space="preserve">si </w:t>
      </w:r>
      <w:r>
        <w:rPr>
          <w:rFonts w:ascii="宋体" w:hAnsi="宋体" w:eastAsia="宋体" w:cs="宋体"/>
          <w:spacing w:val="-6"/>
          <w:sz w:val="24"/>
          <w:szCs w:val="24"/>
        </w:rPr>
        <w:t>－评价因子</w:t>
      </w:r>
      <w:r>
        <w:rPr>
          <w:rFonts w:ascii="宋体" w:hAnsi="宋体" w:eastAsia="宋体" w:cs="宋体"/>
          <w:spacing w:val="-38"/>
          <w:sz w:val="24"/>
          <w:szCs w:val="24"/>
        </w:rPr>
        <w:t xml:space="preserve"> </w:t>
      </w:r>
      <w:r>
        <w:rPr>
          <w:rFonts w:ascii="Times New Roman" w:hAnsi="Times New Roman" w:eastAsia="Times New Roman" w:cs="Times New Roman"/>
          <w:spacing w:val="-6"/>
          <w:sz w:val="24"/>
          <w:szCs w:val="24"/>
        </w:rPr>
        <w:t>i</w:t>
      </w:r>
      <w:r>
        <w:rPr>
          <w:rFonts w:ascii="Times New Roman" w:hAnsi="Times New Roman" w:eastAsia="Times New Roman" w:cs="Times New Roman"/>
          <w:spacing w:val="30"/>
          <w:sz w:val="24"/>
          <w:szCs w:val="24"/>
        </w:rPr>
        <w:t xml:space="preserve"> </w:t>
      </w:r>
      <w:r>
        <w:rPr>
          <w:rFonts w:ascii="宋体" w:hAnsi="宋体" w:eastAsia="宋体" w:cs="宋体"/>
          <w:spacing w:val="-6"/>
          <w:sz w:val="24"/>
          <w:szCs w:val="24"/>
        </w:rPr>
        <w:t>的水质评价标准限值。</w:t>
      </w:r>
    </w:p>
    <w:p>
      <w:pPr>
        <w:spacing w:line="115" w:lineRule="exact"/>
      </w:pPr>
    </w:p>
    <w:p>
      <w:pPr>
        <w:spacing w:line="115" w:lineRule="exact"/>
        <w:sectPr>
          <w:headerReference r:id="rId184" w:type="default"/>
          <w:footerReference r:id="rId185" w:type="default"/>
          <w:pgSz w:w="11907" w:h="16839"/>
          <w:pgMar w:top="1156" w:right="1768" w:bottom="1374" w:left="1770" w:header="881" w:footer="1210" w:gutter="0"/>
          <w:cols w:equalWidth="0" w:num="1">
            <w:col w:w="8368"/>
          </w:cols>
        </w:sectPr>
      </w:pPr>
    </w:p>
    <w:p>
      <w:pPr>
        <w:spacing w:before="51" w:line="213" w:lineRule="auto"/>
        <w:ind w:left="509"/>
        <w:rPr>
          <w:rFonts w:ascii="宋体" w:hAnsi="宋体" w:eastAsia="宋体" w:cs="宋体"/>
          <w:sz w:val="24"/>
          <w:szCs w:val="24"/>
        </w:rPr>
      </w:pPr>
      <w:r>
        <w:rPr>
          <w:rFonts w:ascii="Times New Roman" w:hAnsi="Times New Roman" w:eastAsia="Times New Roman" w:cs="Times New Roman"/>
          <w:spacing w:val="-6"/>
          <w:sz w:val="24"/>
          <w:szCs w:val="24"/>
        </w:rPr>
        <w:t>pH</w:t>
      </w:r>
      <w:r>
        <w:rPr>
          <w:rFonts w:ascii="Times New Roman" w:hAnsi="Times New Roman" w:eastAsia="Times New Roman" w:cs="Times New Roman"/>
          <w:spacing w:val="29"/>
          <w:sz w:val="24"/>
          <w:szCs w:val="24"/>
        </w:rPr>
        <w:t xml:space="preserve"> </w:t>
      </w:r>
      <w:r>
        <w:rPr>
          <w:rFonts w:ascii="宋体" w:hAnsi="宋体" w:eastAsia="宋体" w:cs="宋体"/>
          <w:spacing w:val="-6"/>
          <w:sz w:val="24"/>
          <w:szCs w:val="24"/>
        </w:rPr>
        <w:t>的标准指数计算公式为：</w:t>
      </w:r>
    </w:p>
    <w:p>
      <w:pPr>
        <w:spacing w:before="188" w:line="229" w:lineRule="auto"/>
        <w:ind w:left="2453"/>
        <w:rPr>
          <w:rFonts w:ascii="微软雅黑" w:hAnsi="微软雅黑" w:eastAsia="微软雅黑" w:cs="微软雅黑"/>
          <w:sz w:val="31"/>
          <w:szCs w:val="31"/>
        </w:rPr>
      </w:pPr>
      <w:r>
        <w:rPr>
          <w:rFonts w:ascii="Times New Roman" w:hAnsi="Times New Roman" w:eastAsia="Times New Roman" w:cs="Times New Roman"/>
          <w:i/>
          <w:iCs/>
          <w:position w:val="1"/>
          <w:sz w:val="23"/>
          <w:szCs w:val="23"/>
        </w:rPr>
        <w:t>S</w:t>
      </w:r>
      <w:r>
        <w:rPr>
          <w:rFonts w:ascii="Times New Roman" w:hAnsi="Times New Roman" w:eastAsia="Times New Roman" w:cs="Times New Roman"/>
          <w:i/>
          <w:iCs/>
          <w:position w:val="-4"/>
          <w:sz w:val="13"/>
          <w:szCs w:val="13"/>
        </w:rPr>
        <w:t>pH</w:t>
      </w:r>
      <w:r>
        <w:rPr>
          <w:rFonts w:ascii="Times New Roman" w:hAnsi="Times New Roman" w:eastAsia="Times New Roman" w:cs="Times New Roman"/>
          <w:i/>
          <w:iCs/>
          <w:spacing w:val="-9"/>
          <w:position w:val="-4"/>
          <w:sz w:val="13"/>
          <w:szCs w:val="13"/>
        </w:rPr>
        <w:t xml:space="preserve"> </w:t>
      </w:r>
      <w:r>
        <w:rPr>
          <w:rFonts w:ascii="Times New Roman" w:hAnsi="Times New Roman" w:eastAsia="Times New Roman" w:cs="Times New Roman"/>
          <w:spacing w:val="3"/>
          <w:position w:val="-4"/>
          <w:sz w:val="13"/>
          <w:szCs w:val="13"/>
        </w:rPr>
        <w:t>,</w:t>
      </w:r>
      <w:r>
        <w:rPr>
          <w:rFonts w:ascii="Times New Roman" w:hAnsi="Times New Roman" w:eastAsia="Times New Roman" w:cs="Times New Roman"/>
          <w:i/>
          <w:iCs/>
          <w:spacing w:val="3"/>
          <w:position w:val="-4"/>
          <w:sz w:val="13"/>
          <w:szCs w:val="13"/>
        </w:rPr>
        <w:t>j</w:t>
      </w:r>
      <w:r>
        <w:rPr>
          <w:rFonts w:ascii="Times New Roman" w:hAnsi="Times New Roman" w:eastAsia="Times New Roman" w:cs="Times New Roman"/>
          <w:i/>
          <w:iCs/>
          <w:spacing w:val="12"/>
          <w:position w:val="-4"/>
          <w:sz w:val="13"/>
          <w:szCs w:val="13"/>
        </w:rPr>
        <w:t xml:space="preserve">  </w:t>
      </w:r>
      <w:r>
        <w:rPr>
          <w:rFonts w:ascii="微软雅黑" w:hAnsi="微软雅黑" w:eastAsia="微软雅黑" w:cs="微软雅黑"/>
          <w:spacing w:val="3"/>
          <w:position w:val="1"/>
          <w:sz w:val="23"/>
          <w:szCs w:val="23"/>
        </w:rPr>
        <w:t>=</w:t>
      </w:r>
      <w:r>
        <w:rPr>
          <w:rFonts w:ascii="微软雅黑" w:hAnsi="微软雅黑" w:eastAsia="微软雅黑" w:cs="微软雅黑"/>
          <w:spacing w:val="-15"/>
          <w:position w:val="1"/>
          <w:sz w:val="23"/>
          <w:szCs w:val="23"/>
        </w:rPr>
        <w:t xml:space="preserve"> </w:t>
      </w:r>
      <w:r>
        <w:rPr>
          <w:rFonts w:ascii="微软雅黑" w:hAnsi="微软雅黑" w:eastAsia="微软雅黑" w:cs="微软雅黑"/>
          <w:spacing w:val="3"/>
          <w:position w:val="-1"/>
          <w:sz w:val="37"/>
          <w:szCs w:val="37"/>
        </w:rPr>
        <w:t>(</w:t>
      </w:r>
      <w:r>
        <w:rPr>
          <w:rFonts w:ascii="Times New Roman" w:hAnsi="Times New Roman" w:eastAsia="Times New Roman" w:cs="Times New Roman"/>
          <w:spacing w:val="3"/>
          <w:position w:val="1"/>
          <w:sz w:val="23"/>
          <w:szCs w:val="23"/>
        </w:rPr>
        <w:t>7.0</w:t>
      </w:r>
      <w:r>
        <w:rPr>
          <w:rFonts w:ascii="Times New Roman" w:hAnsi="Times New Roman" w:eastAsia="Times New Roman" w:cs="Times New Roman"/>
          <w:spacing w:val="-21"/>
          <w:position w:val="1"/>
          <w:sz w:val="23"/>
          <w:szCs w:val="23"/>
        </w:rPr>
        <w:t xml:space="preserve"> </w:t>
      </w:r>
      <w:r>
        <w:rPr>
          <w:rFonts w:ascii="微软雅黑" w:hAnsi="微软雅黑" w:eastAsia="微软雅黑" w:cs="微软雅黑"/>
          <w:spacing w:val="3"/>
          <w:position w:val="1"/>
          <w:sz w:val="23"/>
          <w:szCs w:val="23"/>
        </w:rPr>
        <w:t>−</w:t>
      </w:r>
      <w:r>
        <w:rPr>
          <w:rFonts w:ascii="微软雅黑" w:hAnsi="微软雅黑" w:eastAsia="微软雅黑" w:cs="微软雅黑"/>
          <w:spacing w:val="-30"/>
          <w:position w:val="1"/>
          <w:sz w:val="23"/>
          <w:szCs w:val="23"/>
        </w:rPr>
        <w:t xml:space="preserve"> </w:t>
      </w:r>
      <w:r>
        <w:rPr>
          <w:rFonts w:ascii="Times New Roman" w:hAnsi="Times New Roman" w:eastAsia="Times New Roman" w:cs="Times New Roman"/>
          <w:i/>
          <w:iCs/>
          <w:position w:val="1"/>
          <w:sz w:val="23"/>
          <w:szCs w:val="23"/>
        </w:rPr>
        <w:t>pH</w:t>
      </w:r>
      <w:r>
        <w:rPr>
          <w:rFonts w:ascii="Times New Roman" w:hAnsi="Times New Roman" w:eastAsia="Times New Roman" w:cs="Times New Roman"/>
          <w:i/>
          <w:iCs/>
          <w:position w:val="-4"/>
          <w:sz w:val="13"/>
          <w:szCs w:val="13"/>
        </w:rPr>
        <w:t>j</w:t>
      </w:r>
      <w:r>
        <w:rPr>
          <w:rFonts w:ascii="Times New Roman" w:hAnsi="Times New Roman" w:eastAsia="Times New Roman" w:cs="Times New Roman"/>
          <w:i/>
          <w:iCs/>
          <w:spacing w:val="18"/>
          <w:w w:val="101"/>
          <w:position w:val="-4"/>
          <w:sz w:val="13"/>
          <w:szCs w:val="13"/>
        </w:rPr>
        <w:t xml:space="preserve"> </w:t>
      </w:r>
      <w:r>
        <w:rPr>
          <w:rFonts w:ascii="微软雅黑" w:hAnsi="微软雅黑" w:eastAsia="微软雅黑" w:cs="微软雅黑"/>
          <w:spacing w:val="3"/>
          <w:sz w:val="37"/>
          <w:szCs w:val="37"/>
        </w:rPr>
        <w:t xml:space="preserve">) </w:t>
      </w:r>
      <w:r>
        <w:rPr>
          <w:rFonts w:ascii="微软雅黑" w:hAnsi="微软雅黑" w:eastAsia="微软雅黑" w:cs="微软雅黑"/>
          <w:spacing w:val="3"/>
          <w:sz w:val="31"/>
          <w:szCs w:val="31"/>
        </w:rPr>
        <w:t>(</w:t>
      </w:r>
      <w:r>
        <w:rPr>
          <w:position w:val="-9"/>
          <w:sz w:val="31"/>
          <w:szCs w:val="31"/>
        </w:rPr>
        <w:drawing>
          <wp:inline distT="0" distB="0" distL="0" distR="0">
            <wp:extent cx="0" cy="21653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97"/>
                    <a:stretch>
                      <a:fillRect/>
                    </a:stretch>
                  </pic:blipFill>
                  <pic:spPr>
                    <a:xfrm>
                      <a:off x="0" y="0"/>
                      <a:ext cx="0" cy="216795"/>
                    </a:xfrm>
                    <a:prstGeom prst="rect">
                      <a:avLst/>
                    </a:prstGeom>
                  </pic:spPr>
                </pic:pic>
              </a:graphicData>
            </a:graphic>
          </wp:inline>
        </w:drawing>
      </w:r>
      <w:r>
        <w:rPr>
          <w:rFonts w:ascii="微软雅黑" w:hAnsi="微软雅黑" w:eastAsia="微软雅黑" w:cs="微软雅黑"/>
          <w:spacing w:val="-69"/>
          <w:sz w:val="31"/>
          <w:szCs w:val="31"/>
        </w:rPr>
        <w:t xml:space="preserve"> </w:t>
      </w:r>
      <w:r>
        <w:rPr>
          <w:rFonts w:ascii="Times New Roman" w:hAnsi="Times New Roman" w:eastAsia="Times New Roman" w:cs="Times New Roman"/>
          <w:spacing w:val="3"/>
          <w:position w:val="1"/>
          <w:sz w:val="23"/>
          <w:szCs w:val="23"/>
        </w:rPr>
        <w:t>7.0</w:t>
      </w:r>
      <w:r>
        <w:rPr>
          <w:rFonts w:ascii="Times New Roman" w:hAnsi="Times New Roman" w:eastAsia="Times New Roman" w:cs="Times New Roman"/>
          <w:spacing w:val="-21"/>
          <w:position w:val="1"/>
          <w:sz w:val="23"/>
          <w:szCs w:val="23"/>
        </w:rPr>
        <w:t xml:space="preserve"> </w:t>
      </w:r>
      <w:r>
        <w:rPr>
          <w:rFonts w:ascii="微软雅黑" w:hAnsi="微软雅黑" w:eastAsia="微软雅黑" w:cs="微软雅黑"/>
          <w:spacing w:val="3"/>
          <w:position w:val="1"/>
          <w:sz w:val="23"/>
          <w:szCs w:val="23"/>
        </w:rPr>
        <w:t>−</w:t>
      </w:r>
      <w:r>
        <w:rPr>
          <w:rFonts w:ascii="微软雅黑" w:hAnsi="微软雅黑" w:eastAsia="微软雅黑" w:cs="微软雅黑"/>
          <w:spacing w:val="-31"/>
          <w:position w:val="1"/>
          <w:sz w:val="23"/>
          <w:szCs w:val="23"/>
        </w:rPr>
        <w:t xml:space="preserve"> </w:t>
      </w:r>
      <w:r>
        <w:rPr>
          <w:rFonts w:ascii="Times New Roman" w:hAnsi="Times New Roman" w:eastAsia="Times New Roman" w:cs="Times New Roman"/>
          <w:i/>
          <w:iCs/>
          <w:position w:val="1"/>
          <w:sz w:val="23"/>
          <w:szCs w:val="23"/>
        </w:rPr>
        <w:t>pH</w:t>
      </w:r>
      <w:r>
        <w:rPr>
          <w:rFonts w:ascii="Times New Roman" w:hAnsi="Times New Roman" w:eastAsia="Times New Roman" w:cs="Times New Roman"/>
          <w:i/>
          <w:iCs/>
          <w:position w:val="-4"/>
          <w:sz w:val="13"/>
          <w:szCs w:val="13"/>
        </w:rPr>
        <w:t>sd</w:t>
      </w:r>
      <w:r>
        <w:rPr>
          <w:rFonts w:ascii="Times New Roman" w:hAnsi="Times New Roman" w:eastAsia="Times New Roman" w:cs="Times New Roman"/>
          <w:i/>
          <w:iCs/>
          <w:spacing w:val="19"/>
          <w:w w:val="102"/>
          <w:position w:val="-4"/>
          <w:sz w:val="13"/>
          <w:szCs w:val="13"/>
        </w:rPr>
        <w:t xml:space="preserve"> </w:t>
      </w:r>
      <w:r>
        <w:rPr>
          <w:rFonts w:ascii="微软雅黑" w:hAnsi="微软雅黑" w:eastAsia="微软雅黑" w:cs="微软雅黑"/>
          <w:spacing w:val="3"/>
          <w:sz w:val="31"/>
          <w:szCs w:val="31"/>
        </w:rPr>
        <w:t>)</w:t>
      </w:r>
    </w:p>
    <w:p>
      <w:pPr>
        <w:spacing w:before="2" w:line="160" w:lineRule="auto"/>
        <w:ind w:left="2339"/>
        <w:rPr>
          <w:rFonts w:ascii="微软雅黑" w:hAnsi="微软雅黑" w:eastAsia="微软雅黑" w:cs="微软雅黑"/>
          <w:sz w:val="31"/>
          <w:szCs w:val="31"/>
        </w:rPr>
      </w:pPr>
      <w:r>
        <w:rPr>
          <w:rFonts w:ascii="Times New Roman" w:hAnsi="Times New Roman" w:eastAsia="Times New Roman" w:cs="Times New Roman"/>
          <w:i/>
          <w:iCs/>
          <w:position w:val="1"/>
          <w:sz w:val="23"/>
          <w:szCs w:val="23"/>
        </w:rPr>
        <w:t>S</w:t>
      </w:r>
      <w:r>
        <w:rPr>
          <w:rFonts w:ascii="Times New Roman" w:hAnsi="Times New Roman" w:eastAsia="Times New Roman" w:cs="Times New Roman"/>
          <w:i/>
          <w:iCs/>
          <w:position w:val="-4"/>
          <w:sz w:val="13"/>
          <w:szCs w:val="13"/>
        </w:rPr>
        <w:t>pH</w:t>
      </w:r>
      <w:r>
        <w:rPr>
          <w:rFonts w:ascii="Times New Roman" w:hAnsi="Times New Roman" w:eastAsia="Times New Roman" w:cs="Times New Roman"/>
          <w:i/>
          <w:iCs/>
          <w:spacing w:val="-4"/>
          <w:position w:val="-4"/>
          <w:sz w:val="13"/>
          <w:szCs w:val="13"/>
        </w:rPr>
        <w:t xml:space="preserve"> </w:t>
      </w:r>
      <w:r>
        <w:rPr>
          <w:rFonts w:ascii="Times New Roman" w:hAnsi="Times New Roman" w:eastAsia="Times New Roman" w:cs="Times New Roman"/>
          <w:spacing w:val="4"/>
          <w:position w:val="-4"/>
          <w:sz w:val="13"/>
          <w:szCs w:val="13"/>
        </w:rPr>
        <w:t>,</w:t>
      </w:r>
      <w:r>
        <w:rPr>
          <w:rFonts w:ascii="Times New Roman" w:hAnsi="Times New Roman" w:eastAsia="Times New Roman" w:cs="Times New Roman"/>
          <w:i/>
          <w:iCs/>
          <w:spacing w:val="4"/>
          <w:position w:val="-4"/>
          <w:sz w:val="13"/>
          <w:szCs w:val="13"/>
        </w:rPr>
        <w:t>j</w:t>
      </w:r>
      <w:r>
        <w:rPr>
          <w:rFonts w:ascii="Times New Roman" w:hAnsi="Times New Roman" w:eastAsia="Times New Roman" w:cs="Times New Roman"/>
          <w:i/>
          <w:iCs/>
          <w:spacing w:val="12"/>
          <w:w w:val="101"/>
          <w:position w:val="-4"/>
          <w:sz w:val="13"/>
          <w:szCs w:val="13"/>
        </w:rPr>
        <w:t xml:space="preserve">  </w:t>
      </w:r>
      <w:r>
        <w:rPr>
          <w:rFonts w:ascii="微软雅黑" w:hAnsi="微软雅黑" w:eastAsia="微软雅黑" w:cs="微软雅黑"/>
          <w:spacing w:val="4"/>
          <w:position w:val="1"/>
          <w:sz w:val="23"/>
          <w:szCs w:val="23"/>
        </w:rPr>
        <w:t>=</w:t>
      </w:r>
      <w:r>
        <w:rPr>
          <w:rFonts w:ascii="微软雅黑" w:hAnsi="微软雅黑" w:eastAsia="微软雅黑" w:cs="微软雅黑"/>
          <w:spacing w:val="-15"/>
          <w:position w:val="1"/>
          <w:sz w:val="23"/>
          <w:szCs w:val="23"/>
        </w:rPr>
        <w:t xml:space="preserve"> </w:t>
      </w:r>
      <w:r>
        <w:rPr>
          <w:rFonts w:ascii="微软雅黑" w:hAnsi="微软雅黑" w:eastAsia="微软雅黑" w:cs="微软雅黑"/>
          <w:spacing w:val="4"/>
          <w:position w:val="-1"/>
          <w:sz w:val="37"/>
          <w:szCs w:val="37"/>
        </w:rPr>
        <w:t>(</w:t>
      </w:r>
      <w:r>
        <w:rPr>
          <w:rFonts w:ascii="Times New Roman" w:hAnsi="Times New Roman" w:eastAsia="Times New Roman" w:cs="Times New Roman"/>
          <w:i/>
          <w:iCs/>
          <w:position w:val="1"/>
          <w:sz w:val="23"/>
          <w:szCs w:val="23"/>
        </w:rPr>
        <w:t>pH</w:t>
      </w:r>
      <w:r>
        <w:rPr>
          <w:rFonts w:ascii="Times New Roman" w:hAnsi="Times New Roman" w:eastAsia="Times New Roman" w:cs="Times New Roman"/>
          <w:i/>
          <w:iCs/>
          <w:position w:val="-4"/>
          <w:sz w:val="13"/>
          <w:szCs w:val="13"/>
        </w:rPr>
        <w:t>j</w:t>
      </w:r>
      <w:r>
        <w:rPr>
          <w:rFonts w:ascii="Times New Roman" w:hAnsi="Times New Roman" w:eastAsia="Times New Roman" w:cs="Times New Roman"/>
          <w:i/>
          <w:iCs/>
          <w:spacing w:val="4"/>
          <w:position w:val="-4"/>
          <w:sz w:val="13"/>
          <w:szCs w:val="13"/>
        </w:rPr>
        <w:t xml:space="preserve">  </w:t>
      </w:r>
      <w:r>
        <w:rPr>
          <w:rFonts w:ascii="微软雅黑" w:hAnsi="微软雅黑" w:eastAsia="微软雅黑" w:cs="微软雅黑"/>
          <w:spacing w:val="4"/>
          <w:position w:val="1"/>
          <w:sz w:val="23"/>
          <w:szCs w:val="23"/>
        </w:rPr>
        <w:t>−</w:t>
      </w:r>
      <w:r>
        <w:rPr>
          <w:rFonts w:ascii="微软雅黑" w:hAnsi="微软雅黑" w:eastAsia="微软雅黑" w:cs="微软雅黑"/>
          <w:spacing w:val="-27"/>
          <w:position w:val="1"/>
          <w:sz w:val="23"/>
          <w:szCs w:val="23"/>
        </w:rPr>
        <w:t xml:space="preserve"> </w:t>
      </w:r>
      <w:r>
        <w:rPr>
          <w:rFonts w:ascii="Times New Roman" w:hAnsi="Times New Roman" w:eastAsia="Times New Roman" w:cs="Times New Roman"/>
          <w:spacing w:val="4"/>
          <w:position w:val="1"/>
          <w:sz w:val="23"/>
          <w:szCs w:val="23"/>
        </w:rPr>
        <w:t>7.0</w:t>
      </w:r>
      <w:r>
        <w:rPr>
          <w:rFonts w:ascii="微软雅黑" w:hAnsi="微软雅黑" w:eastAsia="微软雅黑" w:cs="微软雅黑"/>
          <w:spacing w:val="4"/>
          <w:sz w:val="37"/>
          <w:szCs w:val="37"/>
        </w:rPr>
        <w:t>)</w:t>
      </w:r>
      <w:r>
        <w:rPr>
          <w:rFonts w:ascii="微软雅黑" w:hAnsi="微软雅黑" w:eastAsia="微软雅黑" w:cs="微软雅黑"/>
          <w:spacing w:val="25"/>
          <w:sz w:val="37"/>
          <w:szCs w:val="37"/>
        </w:rPr>
        <w:t xml:space="preserve"> </w:t>
      </w:r>
      <w:r>
        <w:rPr>
          <w:rFonts w:ascii="微软雅黑" w:hAnsi="微软雅黑" w:eastAsia="微软雅黑" w:cs="微软雅黑"/>
          <w:spacing w:val="4"/>
          <w:sz w:val="31"/>
          <w:szCs w:val="31"/>
        </w:rPr>
        <w:t>(</w:t>
      </w:r>
      <w:r>
        <w:rPr>
          <w:rFonts w:ascii="Times New Roman" w:hAnsi="Times New Roman" w:eastAsia="Times New Roman" w:cs="Times New Roman"/>
          <w:i/>
          <w:iCs/>
          <w:sz w:val="23"/>
          <w:szCs w:val="23"/>
        </w:rPr>
        <w:t>pH</w:t>
      </w:r>
      <w:r>
        <w:rPr>
          <w:position w:val="-9"/>
          <w:sz w:val="23"/>
          <w:szCs w:val="23"/>
        </w:rPr>
        <w:drawing>
          <wp:inline distT="0" distB="0" distL="0" distR="0">
            <wp:extent cx="0" cy="21653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98"/>
                    <a:stretch>
                      <a:fillRect/>
                    </a:stretch>
                  </pic:blipFill>
                  <pic:spPr>
                    <a:xfrm>
                      <a:off x="0" y="0"/>
                      <a:ext cx="0" cy="216795"/>
                    </a:xfrm>
                    <a:prstGeom prst="rect">
                      <a:avLst/>
                    </a:prstGeom>
                  </pic:spPr>
                </pic:pic>
              </a:graphicData>
            </a:graphic>
          </wp:inline>
        </w:drawing>
      </w:r>
      <w:r>
        <w:rPr>
          <w:rFonts w:ascii="Times New Roman" w:hAnsi="Times New Roman" w:eastAsia="Times New Roman" w:cs="Times New Roman"/>
          <w:i/>
          <w:iCs/>
          <w:position w:val="-4"/>
          <w:sz w:val="13"/>
          <w:szCs w:val="13"/>
        </w:rPr>
        <w:t>su</w:t>
      </w:r>
      <w:r>
        <w:rPr>
          <w:rFonts w:ascii="Times New Roman" w:hAnsi="Times New Roman" w:eastAsia="Times New Roman" w:cs="Times New Roman"/>
          <w:i/>
          <w:iCs/>
          <w:spacing w:val="4"/>
          <w:position w:val="-4"/>
          <w:sz w:val="13"/>
          <w:szCs w:val="13"/>
        </w:rPr>
        <w:t xml:space="preserve">  </w:t>
      </w:r>
      <w:r>
        <w:rPr>
          <w:rFonts w:ascii="微软雅黑" w:hAnsi="微软雅黑" w:eastAsia="微软雅黑" w:cs="微软雅黑"/>
          <w:spacing w:val="4"/>
          <w:position w:val="1"/>
          <w:sz w:val="23"/>
          <w:szCs w:val="23"/>
        </w:rPr>
        <w:t>−</w:t>
      </w:r>
      <w:r>
        <w:rPr>
          <w:rFonts w:ascii="微软雅黑" w:hAnsi="微软雅黑" w:eastAsia="微软雅黑" w:cs="微软雅黑"/>
          <w:spacing w:val="-26"/>
          <w:position w:val="1"/>
          <w:sz w:val="23"/>
          <w:szCs w:val="23"/>
        </w:rPr>
        <w:t xml:space="preserve"> </w:t>
      </w:r>
      <w:r>
        <w:rPr>
          <w:rFonts w:ascii="Times New Roman" w:hAnsi="Times New Roman" w:eastAsia="Times New Roman" w:cs="Times New Roman"/>
          <w:spacing w:val="4"/>
          <w:position w:val="1"/>
          <w:sz w:val="23"/>
          <w:szCs w:val="23"/>
        </w:rPr>
        <w:t>7.0</w:t>
      </w:r>
      <w:r>
        <w:rPr>
          <w:rFonts w:ascii="微软雅黑" w:hAnsi="微软雅黑" w:eastAsia="微软雅黑" w:cs="微软雅黑"/>
          <w:spacing w:val="4"/>
          <w:sz w:val="31"/>
          <w:szCs w:val="31"/>
        </w:rPr>
        <w:t>)</w:t>
      </w:r>
    </w:p>
    <w:p>
      <w:pPr>
        <w:spacing w:line="14" w:lineRule="auto"/>
        <w:rPr>
          <w:rFonts w:ascii="Arial"/>
          <w:sz w:val="2"/>
        </w:rPr>
      </w:pPr>
      <w:r>
        <w:rPr>
          <w:rFonts w:ascii="Arial" w:hAnsi="Arial" w:eastAsia="Arial" w:cs="Arial"/>
          <w:sz w:val="2"/>
          <w:szCs w:val="2"/>
        </w:rPr>
        <w:br w:type="column"/>
      </w:r>
    </w:p>
    <w:p>
      <w:pPr>
        <w:spacing w:line="334" w:lineRule="auto"/>
        <w:rPr>
          <w:rFonts w:ascii="Arial"/>
          <w:sz w:val="21"/>
        </w:rPr>
      </w:pPr>
    </w:p>
    <w:p>
      <w:pPr>
        <w:spacing w:line="334" w:lineRule="auto"/>
        <w:rPr>
          <w:rFonts w:ascii="Arial"/>
          <w:sz w:val="21"/>
        </w:rPr>
      </w:pPr>
    </w:p>
    <w:p>
      <w:pPr>
        <w:spacing w:before="70" w:line="576" w:lineRule="exact"/>
        <w:ind w:left="114"/>
        <w:rPr>
          <w:rFonts w:ascii="Times New Roman" w:hAnsi="Times New Roman" w:eastAsia="Times New Roman" w:cs="Times New Roman"/>
          <w:sz w:val="24"/>
          <w:szCs w:val="24"/>
        </w:rPr>
      </w:pPr>
      <w:r>
        <w:rPr>
          <w:rFonts w:ascii="Times New Roman" w:hAnsi="Times New Roman" w:eastAsia="Times New Roman" w:cs="Times New Roman"/>
          <w:position w:val="30"/>
          <w:sz w:val="24"/>
          <w:szCs w:val="24"/>
        </w:rPr>
        <w:t>pH</w:t>
      </w:r>
      <w:r>
        <w:rPr>
          <w:rFonts w:ascii="Times New Roman" w:hAnsi="Times New Roman" w:eastAsia="Times New Roman" w:cs="Times New Roman"/>
          <w:position w:val="30"/>
          <w:sz w:val="15"/>
          <w:szCs w:val="15"/>
        </w:rPr>
        <w:t>j</w:t>
      </w:r>
      <w:r>
        <w:rPr>
          <w:rFonts w:ascii="Times New Roman" w:hAnsi="Times New Roman" w:eastAsia="Times New Roman" w:cs="Times New Roman"/>
          <w:position w:val="30"/>
          <w:sz w:val="24"/>
          <w:szCs w:val="24"/>
        </w:rPr>
        <w:t>≤7.0</w:t>
      </w:r>
    </w:p>
    <w:p>
      <w:pPr>
        <w:spacing w:before="1" w:line="19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pH</w:t>
      </w:r>
      <w:r>
        <w:rPr>
          <w:rFonts w:ascii="Times New Roman" w:hAnsi="Times New Roman" w:eastAsia="Times New Roman" w:cs="Times New Roman"/>
          <w:sz w:val="15"/>
          <w:szCs w:val="15"/>
        </w:rPr>
        <w:t>j</w:t>
      </w:r>
      <w:r>
        <w:rPr>
          <w:rFonts w:ascii="宋体" w:hAnsi="宋体" w:eastAsia="宋体" w:cs="宋体"/>
          <w:sz w:val="24"/>
          <w:szCs w:val="24"/>
        </w:rPr>
        <w:t>＞</w:t>
      </w:r>
      <w:r>
        <w:rPr>
          <w:rFonts w:ascii="Times New Roman" w:hAnsi="Times New Roman" w:eastAsia="Times New Roman" w:cs="Times New Roman"/>
          <w:sz w:val="24"/>
          <w:szCs w:val="24"/>
        </w:rPr>
        <w:t>7.0</w:t>
      </w:r>
    </w:p>
    <w:p>
      <w:pPr>
        <w:spacing w:line="198" w:lineRule="auto"/>
        <w:rPr>
          <w:rFonts w:ascii="Times New Roman" w:hAnsi="Times New Roman" w:eastAsia="Times New Roman" w:cs="Times New Roman"/>
          <w:sz w:val="24"/>
          <w:szCs w:val="24"/>
        </w:rPr>
        <w:sectPr>
          <w:type w:val="continuous"/>
          <w:pgSz w:w="11907" w:h="16839"/>
          <w:pgMar w:top="1156" w:right="1768" w:bottom="1374" w:left="1770" w:header="881" w:footer="1210" w:gutter="0"/>
          <w:cols w:equalWidth="0" w:num="2">
            <w:col w:w="5930" w:space="100"/>
            <w:col w:w="2338"/>
          </w:cols>
        </w:sectPr>
      </w:pPr>
    </w:p>
    <w:p>
      <w:pPr>
        <w:spacing w:before="190" w:line="468" w:lineRule="exact"/>
        <w:ind w:left="524"/>
        <w:rPr>
          <w:rFonts w:ascii="宋体" w:hAnsi="宋体" w:eastAsia="宋体" w:cs="宋体"/>
          <w:sz w:val="24"/>
          <w:szCs w:val="24"/>
        </w:rPr>
      </w:pPr>
      <w:r>
        <w:rPr>
          <w:rFonts w:ascii="宋体" w:hAnsi="宋体" w:eastAsia="宋体" w:cs="宋体"/>
          <w:spacing w:val="-36"/>
          <w:position w:val="17"/>
          <w:sz w:val="24"/>
          <w:szCs w:val="24"/>
        </w:rPr>
        <w:t>式中：</w:t>
      </w:r>
      <w:r>
        <w:rPr>
          <w:rFonts w:ascii="宋体" w:hAnsi="宋体" w:eastAsia="宋体" w:cs="宋体"/>
          <w:spacing w:val="24"/>
          <w:position w:val="17"/>
          <w:sz w:val="24"/>
          <w:szCs w:val="24"/>
        </w:rPr>
        <w:t xml:space="preserve"> </w:t>
      </w:r>
      <w:r>
        <w:rPr>
          <w:rFonts w:ascii="Times New Roman" w:hAnsi="Times New Roman" w:eastAsia="Times New Roman" w:cs="Times New Roman"/>
          <w:spacing w:val="-36"/>
          <w:position w:val="17"/>
          <w:sz w:val="24"/>
          <w:szCs w:val="24"/>
        </w:rPr>
        <w:t>S</w:t>
      </w:r>
      <w:r>
        <w:rPr>
          <w:rFonts w:ascii="Times New Roman" w:hAnsi="Times New Roman" w:eastAsia="Times New Roman" w:cs="Times New Roman"/>
          <w:spacing w:val="-4"/>
          <w:position w:val="17"/>
          <w:sz w:val="15"/>
          <w:szCs w:val="15"/>
        </w:rPr>
        <w:t>pH,j</w:t>
      </w:r>
      <w:r>
        <w:rPr>
          <w:rFonts w:ascii="宋体" w:hAnsi="宋体" w:eastAsia="宋体" w:cs="宋体"/>
          <w:spacing w:val="-4"/>
          <w:position w:val="16"/>
          <w:sz w:val="12"/>
          <w:szCs w:val="12"/>
        </w:rPr>
        <w:t>—</w:t>
      </w:r>
      <w:r>
        <w:rPr>
          <w:rFonts w:ascii="Times New Roman" w:hAnsi="Times New Roman" w:eastAsia="Times New Roman" w:cs="Times New Roman"/>
          <w:spacing w:val="-4"/>
          <w:position w:val="17"/>
          <w:sz w:val="24"/>
          <w:szCs w:val="24"/>
        </w:rPr>
        <w:t>pH</w:t>
      </w:r>
      <w:r>
        <w:rPr>
          <w:rFonts w:ascii="Times New Roman" w:hAnsi="Times New Roman" w:eastAsia="Times New Roman" w:cs="Times New Roman"/>
          <w:spacing w:val="29"/>
          <w:position w:val="17"/>
          <w:sz w:val="24"/>
          <w:szCs w:val="24"/>
        </w:rPr>
        <w:t xml:space="preserve"> </w:t>
      </w:r>
      <w:r>
        <w:rPr>
          <w:rFonts w:ascii="宋体" w:hAnsi="宋体" w:eastAsia="宋体" w:cs="宋体"/>
          <w:spacing w:val="-4"/>
          <w:position w:val="17"/>
          <w:sz w:val="24"/>
          <w:szCs w:val="24"/>
        </w:rPr>
        <w:t>的指数，大于</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 xml:space="preserve">1  </w:t>
      </w:r>
      <w:r>
        <w:rPr>
          <w:rFonts w:ascii="宋体" w:hAnsi="宋体" w:eastAsia="宋体" w:cs="宋体"/>
          <w:spacing w:val="-4"/>
          <w:position w:val="17"/>
          <w:sz w:val="24"/>
          <w:szCs w:val="24"/>
        </w:rPr>
        <w:t>表面该水质因子超标；</w:t>
      </w:r>
    </w:p>
    <w:p>
      <w:pPr>
        <w:spacing w:before="1" w:line="212" w:lineRule="auto"/>
        <w:ind w:left="1229"/>
        <w:rPr>
          <w:rFonts w:ascii="宋体" w:hAnsi="宋体" w:eastAsia="宋体" w:cs="宋体"/>
          <w:sz w:val="24"/>
          <w:szCs w:val="24"/>
        </w:rPr>
      </w:pPr>
      <w:r>
        <w:rPr>
          <w:rFonts w:ascii="Times New Roman" w:hAnsi="Times New Roman" w:eastAsia="Times New Roman" w:cs="Times New Roman"/>
          <w:spacing w:val="-3"/>
          <w:sz w:val="24"/>
          <w:szCs w:val="24"/>
        </w:rPr>
        <w:t>pH</w:t>
      </w:r>
      <w:r>
        <w:rPr>
          <w:rFonts w:ascii="Times New Roman" w:hAnsi="Times New Roman" w:eastAsia="Times New Roman" w:cs="Times New Roman"/>
          <w:spacing w:val="-3"/>
          <w:sz w:val="15"/>
          <w:szCs w:val="15"/>
        </w:rPr>
        <w:t>j</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pH </w:t>
      </w:r>
      <w:r>
        <w:rPr>
          <w:rFonts w:ascii="宋体" w:hAnsi="宋体" w:eastAsia="宋体" w:cs="宋体"/>
          <w:spacing w:val="-3"/>
          <w:sz w:val="24"/>
          <w:szCs w:val="24"/>
        </w:rPr>
        <w:t>值实测统计代表值；</w:t>
      </w:r>
    </w:p>
    <w:p>
      <w:pPr>
        <w:spacing w:before="191" w:line="213" w:lineRule="auto"/>
        <w:ind w:left="1229"/>
        <w:rPr>
          <w:rFonts w:ascii="宋体" w:hAnsi="宋体" w:eastAsia="宋体" w:cs="宋体"/>
          <w:sz w:val="24"/>
          <w:szCs w:val="24"/>
        </w:rPr>
      </w:pPr>
      <w:r>
        <w:rPr>
          <w:rFonts w:ascii="Times New Roman" w:hAnsi="Times New Roman" w:eastAsia="Times New Roman" w:cs="Times New Roman"/>
          <w:spacing w:val="-2"/>
          <w:sz w:val="24"/>
          <w:szCs w:val="24"/>
        </w:rPr>
        <w:t>pH</w:t>
      </w:r>
      <w:r>
        <w:rPr>
          <w:rFonts w:ascii="Times New Roman" w:hAnsi="Times New Roman" w:eastAsia="Times New Roman" w:cs="Times New Roman"/>
          <w:spacing w:val="-2"/>
          <w:sz w:val="15"/>
          <w:szCs w:val="15"/>
        </w:rPr>
        <w:t>sd</w:t>
      </w:r>
      <w:r>
        <w:rPr>
          <w:rFonts w:ascii="宋体" w:hAnsi="宋体" w:eastAsia="宋体" w:cs="宋体"/>
          <w:spacing w:val="-2"/>
          <w:sz w:val="24"/>
          <w:szCs w:val="24"/>
        </w:rPr>
        <w:t>—评价标准中</w:t>
      </w:r>
      <w:r>
        <w:rPr>
          <w:rFonts w:ascii="宋体" w:hAnsi="宋体" w:eastAsia="宋体" w:cs="宋体"/>
          <w:spacing w:val="-59"/>
          <w:sz w:val="24"/>
          <w:szCs w:val="24"/>
        </w:rPr>
        <w:t xml:space="preserve"> </w:t>
      </w:r>
      <w:r>
        <w:rPr>
          <w:rFonts w:ascii="Times New Roman" w:hAnsi="Times New Roman" w:eastAsia="Times New Roman" w:cs="Times New Roman"/>
          <w:spacing w:val="-2"/>
          <w:sz w:val="24"/>
          <w:szCs w:val="24"/>
        </w:rPr>
        <w:t xml:space="preserve">pH </w:t>
      </w:r>
      <w:r>
        <w:rPr>
          <w:rFonts w:ascii="宋体" w:hAnsi="宋体" w:eastAsia="宋体" w:cs="宋体"/>
          <w:spacing w:val="-2"/>
          <w:sz w:val="24"/>
          <w:szCs w:val="24"/>
        </w:rPr>
        <w:t>值的下限值；</w:t>
      </w:r>
    </w:p>
    <w:p>
      <w:pPr>
        <w:spacing w:before="192" w:line="468" w:lineRule="exact"/>
        <w:ind w:left="1229"/>
        <w:rPr>
          <w:rFonts w:ascii="宋体" w:hAnsi="宋体" w:eastAsia="宋体" w:cs="宋体"/>
          <w:sz w:val="24"/>
          <w:szCs w:val="24"/>
        </w:rPr>
      </w:pPr>
      <w:r>
        <w:rPr>
          <w:rFonts w:ascii="Times New Roman" w:hAnsi="Times New Roman" w:eastAsia="Times New Roman" w:cs="Times New Roman"/>
          <w:spacing w:val="-1"/>
          <w:position w:val="17"/>
          <w:sz w:val="24"/>
          <w:szCs w:val="24"/>
        </w:rPr>
        <w:t>pH</w:t>
      </w:r>
      <w:r>
        <w:rPr>
          <w:rFonts w:ascii="Times New Roman" w:hAnsi="Times New Roman" w:eastAsia="Times New Roman" w:cs="Times New Roman"/>
          <w:spacing w:val="-1"/>
          <w:position w:val="17"/>
          <w:sz w:val="15"/>
          <w:szCs w:val="15"/>
        </w:rPr>
        <w:t>su</w:t>
      </w:r>
      <w:r>
        <w:rPr>
          <w:rFonts w:ascii="宋体" w:hAnsi="宋体" w:eastAsia="宋体" w:cs="宋体"/>
          <w:spacing w:val="-1"/>
          <w:position w:val="17"/>
          <w:sz w:val="24"/>
          <w:szCs w:val="24"/>
        </w:rPr>
        <w:t>—评价标准中</w:t>
      </w:r>
      <w:r>
        <w:rPr>
          <w:rFonts w:ascii="宋体" w:hAnsi="宋体" w:eastAsia="宋体" w:cs="宋体"/>
          <w:spacing w:val="-60"/>
          <w:position w:val="17"/>
          <w:sz w:val="24"/>
          <w:szCs w:val="24"/>
        </w:rPr>
        <w:t xml:space="preserve"> </w:t>
      </w:r>
      <w:r>
        <w:rPr>
          <w:rFonts w:ascii="Times New Roman" w:hAnsi="Times New Roman" w:eastAsia="Times New Roman" w:cs="Times New Roman"/>
          <w:spacing w:val="-1"/>
          <w:position w:val="17"/>
          <w:sz w:val="24"/>
          <w:szCs w:val="24"/>
        </w:rPr>
        <w:t xml:space="preserve">pH </w:t>
      </w:r>
      <w:r>
        <w:rPr>
          <w:rFonts w:ascii="宋体" w:hAnsi="宋体" w:eastAsia="宋体" w:cs="宋体"/>
          <w:spacing w:val="-1"/>
          <w:position w:val="17"/>
          <w:sz w:val="24"/>
          <w:szCs w:val="24"/>
        </w:rPr>
        <w:t>值的上限值。</w:t>
      </w:r>
    </w:p>
    <w:p>
      <w:pPr>
        <w:spacing w:before="1" w:line="218" w:lineRule="auto"/>
        <w:ind w:left="522"/>
        <w:rPr>
          <w:rFonts w:ascii="宋体" w:hAnsi="宋体" w:eastAsia="宋体" w:cs="宋体"/>
          <w:sz w:val="24"/>
          <w:szCs w:val="24"/>
        </w:rPr>
      </w:pPr>
      <w:r>
        <w:rPr>
          <w:rFonts w:ascii="宋体" w:hAnsi="宋体" w:eastAsia="宋体" w:cs="宋体"/>
          <w:spacing w:val="-4"/>
          <w:sz w:val="24"/>
          <w:szCs w:val="24"/>
        </w:rPr>
        <w:t>溶解氧（</w:t>
      </w:r>
      <w:r>
        <w:rPr>
          <w:rFonts w:ascii="Times New Roman" w:hAnsi="Times New Roman" w:eastAsia="Times New Roman" w:cs="Times New Roman"/>
          <w:spacing w:val="-4"/>
          <w:sz w:val="24"/>
          <w:szCs w:val="24"/>
        </w:rPr>
        <w:t>DO</w:t>
      </w:r>
      <w:r>
        <w:rPr>
          <w:rFonts w:ascii="宋体" w:hAnsi="宋体" w:eastAsia="宋体" w:cs="宋体"/>
          <w:spacing w:val="-4"/>
          <w:sz w:val="24"/>
          <w:szCs w:val="24"/>
        </w:rPr>
        <w:t>）的标准指数计算公式：</w:t>
      </w:r>
    </w:p>
    <w:p>
      <w:pPr>
        <w:spacing w:before="101" w:line="1183" w:lineRule="exact"/>
        <w:ind w:firstLine="2366"/>
      </w:pPr>
      <w:r>
        <w:rPr>
          <w:position w:val="-23"/>
        </w:rPr>
        <w:drawing>
          <wp:inline distT="0" distB="0" distL="0" distR="0">
            <wp:extent cx="2611755" cy="7512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99"/>
                    <a:stretch>
                      <a:fillRect/>
                    </a:stretch>
                  </pic:blipFill>
                  <pic:spPr>
                    <a:xfrm>
                      <a:off x="0" y="0"/>
                      <a:ext cx="2611755" cy="751205"/>
                    </a:xfrm>
                    <a:prstGeom prst="rect">
                      <a:avLst/>
                    </a:prstGeom>
                  </pic:spPr>
                </pic:pic>
              </a:graphicData>
            </a:graphic>
          </wp:inline>
        </w:drawing>
      </w:r>
    </w:p>
    <w:p>
      <w:pPr>
        <w:spacing w:before="148" w:line="468" w:lineRule="exact"/>
        <w:ind w:left="524"/>
        <w:rPr>
          <w:rFonts w:ascii="宋体" w:hAnsi="宋体" w:eastAsia="宋体" w:cs="宋体"/>
          <w:sz w:val="24"/>
          <w:szCs w:val="24"/>
        </w:rPr>
      </w:pPr>
      <w:r>
        <w:rPr>
          <w:rFonts w:ascii="宋体" w:hAnsi="宋体" w:eastAsia="宋体" w:cs="宋体"/>
          <w:spacing w:val="-30"/>
          <w:position w:val="17"/>
          <w:sz w:val="24"/>
          <w:szCs w:val="24"/>
        </w:rPr>
        <w:t>式中：</w:t>
      </w:r>
      <w:r>
        <w:rPr>
          <w:rFonts w:ascii="宋体" w:hAnsi="宋体" w:eastAsia="宋体" w:cs="宋体"/>
          <w:spacing w:val="-5"/>
          <w:position w:val="17"/>
          <w:sz w:val="24"/>
          <w:szCs w:val="24"/>
        </w:rPr>
        <w:t xml:space="preserve"> </w:t>
      </w:r>
      <w:r>
        <w:rPr>
          <w:rFonts w:ascii="Times New Roman" w:hAnsi="Times New Roman" w:eastAsia="Times New Roman" w:cs="Times New Roman"/>
          <w:i/>
          <w:iCs/>
          <w:spacing w:val="-30"/>
          <w:position w:val="17"/>
          <w:sz w:val="24"/>
          <w:szCs w:val="24"/>
        </w:rPr>
        <w:t>S</w:t>
      </w:r>
      <w:r>
        <w:rPr>
          <w:rFonts w:ascii="Times New Roman" w:hAnsi="Times New Roman" w:eastAsia="Times New Roman" w:cs="Times New Roman"/>
          <w:position w:val="17"/>
          <w:sz w:val="15"/>
          <w:szCs w:val="15"/>
        </w:rPr>
        <w:t>DO</w:t>
      </w:r>
      <w:r>
        <w:rPr>
          <w:rFonts w:ascii="Times New Roman" w:hAnsi="Times New Roman" w:eastAsia="Times New Roman" w:cs="Times New Roman"/>
          <w:spacing w:val="2"/>
          <w:position w:val="17"/>
          <w:sz w:val="15"/>
          <w:szCs w:val="15"/>
        </w:rPr>
        <w:t>,</w:t>
      </w:r>
      <w:r>
        <w:rPr>
          <w:rFonts w:ascii="Times New Roman" w:hAnsi="Times New Roman" w:eastAsia="Times New Roman" w:cs="Times New Roman"/>
          <w:i/>
          <w:iCs/>
          <w:spacing w:val="2"/>
          <w:position w:val="17"/>
          <w:sz w:val="15"/>
          <w:szCs w:val="15"/>
        </w:rPr>
        <w:t>j</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 xml:space="preserve">溶解氧的标准指数，大于 </w:t>
      </w:r>
      <w:r>
        <w:rPr>
          <w:rFonts w:ascii="Times New Roman" w:hAnsi="Times New Roman" w:eastAsia="Times New Roman" w:cs="Times New Roman"/>
          <w:spacing w:val="2"/>
          <w:position w:val="17"/>
          <w:sz w:val="24"/>
          <w:szCs w:val="24"/>
        </w:rPr>
        <w:t xml:space="preserve">1  </w:t>
      </w:r>
      <w:r>
        <w:rPr>
          <w:rFonts w:ascii="宋体" w:hAnsi="宋体" w:eastAsia="宋体" w:cs="宋体"/>
          <w:spacing w:val="2"/>
          <w:position w:val="17"/>
          <w:sz w:val="24"/>
          <w:szCs w:val="24"/>
        </w:rPr>
        <w:t>表</w:t>
      </w:r>
      <w:r>
        <w:rPr>
          <w:rFonts w:ascii="宋体" w:hAnsi="宋体" w:eastAsia="宋体" w:cs="宋体"/>
          <w:spacing w:val="1"/>
          <w:position w:val="17"/>
          <w:sz w:val="24"/>
          <w:szCs w:val="24"/>
        </w:rPr>
        <w:t>明该水质因子超标；</w:t>
      </w:r>
    </w:p>
    <w:p>
      <w:pPr>
        <w:spacing w:line="212" w:lineRule="auto"/>
        <w:ind w:left="1234"/>
        <w:rPr>
          <w:rFonts w:ascii="宋体" w:hAnsi="宋体" w:eastAsia="宋体" w:cs="宋体"/>
          <w:sz w:val="24"/>
          <w:szCs w:val="24"/>
        </w:rPr>
      </w:pPr>
      <w:r>
        <w:rPr>
          <w:rFonts w:ascii="Times New Roman" w:hAnsi="Times New Roman" w:eastAsia="Times New Roman" w:cs="Times New Roman"/>
          <w:spacing w:val="-7"/>
          <w:sz w:val="24"/>
          <w:szCs w:val="24"/>
        </w:rPr>
        <w:t>DO</w:t>
      </w:r>
      <w:r>
        <w:rPr>
          <w:rFonts w:ascii="Times New Roman" w:hAnsi="Times New Roman" w:eastAsia="Times New Roman" w:cs="Times New Roman"/>
          <w:i/>
          <w:iCs/>
          <w:spacing w:val="-7"/>
          <w:sz w:val="15"/>
          <w:szCs w:val="15"/>
        </w:rPr>
        <w:t>j</w:t>
      </w:r>
      <w:r>
        <w:rPr>
          <w:rFonts w:ascii="Times New Roman" w:hAnsi="Times New Roman" w:eastAsia="Times New Roman" w:cs="Times New Roman"/>
          <w:spacing w:val="-7"/>
          <w:sz w:val="24"/>
          <w:szCs w:val="24"/>
        </w:rPr>
        <w:t>——</w:t>
      </w:r>
      <w:r>
        <w:rPr>
          <w:rFonts w:ascii="宋体" w:hAnsi="宋体" w:eastAsia="宋体" w:cs="宋体"/>
          <w:spacing w:val="-7"/>
          <w:sz w:val="24"/>
          <w:szCs w:val="24"/>
        </w:rPr>
        <w:t>溶解氧在</w:t>
      </w:r>
      <w:r>
        <w:rPr>
          <w:rFonts w:ascii="Times New Roman" w:hAnsi="Times New Roman" w:eastAsia="Times New Roman" w:cs="Times New Roman"/>
          <w:i/>
          <w:iCs/>
          <w:spacing w:val="-7"/>
          <w:sz w:val="24"/>
          <w:szCs w:val="24"/>
        </w:rPr>
        <w:t xml:space="preserve">j  </w:t>
      </w:r>
      <w:r>
        <w:rPr>
          <w:rFonts w:ascii="宋体" w:hAnsi="宋体" w:eastAsia="宋体" w:cs="宋体"/>
          <w:spacing w:val="-7"/>
          <w:sz w:val="24"/>
          <w:szCs w:val="24"/>
        </w:rPr>
        <w:t>点的实测统计代表值，</w:t>
      </w:r>
      <w:r>
        <w:rPr>
          <w:rFonts w:ascii="宋体" w:hAnsi="宋体" w:eastAsia="宋体" w:cs="宋体"/>
          <w:spacing w:val="68"/>
          <w:sz w:val="24"/>
          <w:szCs w:val="24"/>
        </w:rPr>
        <w:t xml:space="preserve"> </w:t>
      </w:r>
      <w:r>
        <w:rPr>
          <w:rFonts w:ascii="Times New Roman" w:hAnsi="Times New Roman" w:eastAsia="Times New Roman" w:cs="Times New Roman"/>
          <w:spacing w:val="-7"/>
          <w:sz w:val="24"/>
          <w:szCs w:val="24"/>
        </w:rPr>
        <w:t>mg/L</w:t>
      </w:r>
      <w:r>
        <w:rPr>
          <w:rFonts w:ascii="宋体" w:hAnsi="宋体" w:eastAsia="宋体" w:cs="宋体"/>
          <w:spacing w:val="-7"/>
          <w:sz w:val="24"/>
          <w:szCs w:val="24"/>
        </w:rPr>
        <w:t>；</w:t>
      </w:r>
    </w:p>
    <w:p>
      <w:pPr>
        <w:spacing w:before="192" w:line="212" w:lineRule="auto"/>
        <w:ind w:left="1234"/>
        <w:rPr>
          <w:rFonts w:ascii="宋体" w:hAnsi="宋体" w:eastAsia="宋体" w:cs="宋体"/>
          <w:sz w:val="24"/>
          <w:szCs w:val="24"/>
        </w:rPr>
      </w:pPr>
      <w:r>
        <w:rPr>
          <w:rFonts w:ascii="Times New Roman" w:hAnsi="Times New Roman" w:eastAsia="Times New Roman" w:cs="Times New Roman"/>
          <w:spacing w:val="-8"/>
          <w:sz w:val="24"/>
          <w:szCs w:val="24"/>
        </w:rPr>
        <w:t>DO</w:t>
      </w:r>
      <w:r>
        <w:rPr>
          <w:rFonts w:ascii="Times New Roman" w:hAnsi="Times New Roman" w:eastAsia="Times New Roman" w:cs="Times New Roman"/>
          <w:i/>
          <w:iCs/>
          <w:spacing w:val="-8"/>
          <w:sz w:val="15"/>
          <w:szCs w:val="15"/>
        </w:rPr>
        <w:t>s</w:t>
      </w:r>
      <w:r>
        <w:rPr>
          <w:rFonts w:ascii="Times New Roman" w:hAnsi="Times New Roman" w:eastAsia="Times New Roman" w:cs="Times New Roman"/>
          <w:spacing w:val="-8"/>
          <w:sz w:val="24"/>
          <w:szCs w:val="24"/>
        </w:rPr>
        <w:t>——</w:t>
      </w:r>
      <w:r>
        <w:rPr>
          <w:rFonts w:ascii="宋体" w:hAnsi="宋体" w:eastAsia="宋体" w:cs="宋体"/>
          <w:spacing w:val="-8"/>
          <w:sz w:val="24"/>
          <w:szCs w:val="24"/>
        </w:rPr>
        <w:t>溶解氧的水质评价标准限值，</w:t>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mg/L</w:t>
      </w:r>
      <w:r>
        <w:rPr>
          <w:rFonts w:ascii="宋体" w:hAnsi="宋体" w:eastAsia="宋体" w:cs="宋体"/>
          <w:spacing w:val="-8"/>
          <w:sz w:val="24"/>
          <w:szCs w:val="24"/>
        </w:rPr>
        <w:t>；</w:t>
      </w:r>
    </w:p>
    <w:p>
      <w:pPr>
        <w:spacing w:before="193" w:line="468" w:lineRule="exact"/>
        <w:ind w:right="5"/>
        <w:jc w:val="right"/>
        <w:rPr>
          <w:rFonts w:ascii="宋体" w:hAnsi="宋体" w:eastAsia="宋体" w:cs="宋体"/>
          <w:sz w:val="24"/>
          <w:szCs w:val="24"/>
        </w:rPr>
      </w:pPr>
      <w:r>
        <w:rPr>
          <w:rFonts w:ascii="Times New Roman" w:hAnsi="Times New Roman" w:eastAsia="Times New Roman" w:cs="Times New Roman"/>
          <w:spacing w:val="-15"/>
          <w:position w:val="17"/>
          <w:sz w:val="24"/>
          <w:szCs w:val="24"/>
        </w:rPr>
        <w:t xml:space="preserve">DO </w:t>
      </w:r>
      <w:r>
        <w:rPr>
          <w:rFonts w:ascii="Times New Roman" w:hAnsi="Times New Roman" w:eastAsia="Times New Roman" w:cs="Times New Roman"/>
          <w:spacing w:val="-15"/>
          <w:position w:val="17"/>
          <w:sz w:val="15"/>
          <w:szCs w:val="15"/>
        </w:rPr>
        <w:t>f</w:t>
      </w:r>
      <w:r>
        <w:rPr>
          <w:rFonts w:ascii="Times New Roman" w:hAnsi="Times New Roman" w:eastAsia="Times New Roman" w:cs="Times New Roman"/>
          <w:spacing w:val="-10"/>
          <w:position w:val="17"/>
          <w:sz w:val="15"/>
          <w:szCs w:val="15"/>
        </w:rPr>
        <w:t xml:space="preserve"> </w:t>
      </w:r>
      <w:r>
        <w:rPr>
          <w:rFonts w:ascii="Times New Roman" w:hAnsi="Times New Roman" w:eastAsia="Times New Roman" w:cs="Times New Roman"/>
          <w:spacing w:val="-15"/>
          <w:position w:val="17"/>
          <w:sz w:val="24"/>
          <w:szCs w:val="24"/>
        </w:rPr>
        <w:t>——</w:t>
      </w:r>
      <w:r>
        <w:rPr>
          <w:rFonts w:ascii="宋体" w:hAnsi="宋体" w:eastAsia="宋体" w:cs="宋体"/>
          <w:spacing w:val="-15"/>
          <w:position w:val="17"/>
          <w:sz w:val="24"/>
          <w:szCs w:val="24"/>
        </w:rPr>
        <w:t>饱和溶解氧浓度，</w:t>
      </w:r>
      <w:r>
        <w:rPr>
          <w:rFonts w:ascii="宋体" w:hAnsi="宋体" w:eastAsia="宋体" w:cs="宋体"/>
          <w:spacing w:val="-52"/>
          <w:position w:val="17"/>
          <w:sz w:val="24"/>
          <w:szCs w:val="24"/>
        </w:rPr>
        <w:t xml:space="preserve"> </w:t>
      </w:r>
      <w:r>
        <w:rPr>
          <w:rFonts w:ascii="Times New Roman" w:hAnsi="Times New Roman" w:eastAsia="Times New Roman" w:cs="Times New Roman"/>
          <w:spacing w:val="-15"/>
          <w:position w:val="17"/>
          <w:sz w:val="24"/>
          <w:szCs w:val="24"/>
        </w:rPr>
        <w:t>mg/L</w:t>
      </w:r>
      <w:r>
        <w:rPr>
          <w:rFonts w:ascii="宋体" w:hAnsi="宋体" w:eastAsia="宋体" w:cs="宋体"/>
          <w:spacing w:val="-15"/>
          <w:position w:val="17"/>
          <w:sz w:val="24"/>
          <w:szCs w:val="24"/>
        </w:rPr>
        <w:t>，对于河流，</w:t>
      </w:r>
      <w:r>
        <w:rPr>
          <w:rFonts w:ascii="Times New Roman" w:hAnsi="Times New Roman" w:eastAsia="Times New Roman" w:cs="Times New Roman"/>
          <w:spacing w:val="-15"/>
          <w:position w:val="17"/>
          <w:sz w:val="24"/>
          <w:szCs w:val="24"/>
        </w:rPr>
        <w:t xml:space="preserve">DO </w:t>
      </w:r>
      <w:r>
        <w:rPr>
          <w:rFonts w:ascii="Times New Roman" w:hAnsi="Times New Roman" w:eastAsia="Times New Roman" w:cs="Times New Roman"/>
          <w:spacing w:val="12"/>
          <w:w w:val="125"/>
          <w:position w:val="17"/>
          <w:sz w:val="15"/>
          <w:szCs w:val="15"/>
        </w:rPr>
        <w:t>f</w:t>
      </w:r>
      <w:r>
        <w:rPr>
          <w:rFonts w:ascii="Times New Roman" w:hAnsi="Times New Roman" w:eastAsia="Times New Roman" w:cs="Times New Roman"/>
          <w:spacing w:val="-4"/>
          <w:position w:val="17"/>
          <w:sz w:val="15"/>
          <w:szCs w:val="15"/>
        </w:rPr>
        <w:t xml:space="preserve"> </w:t>
      </w:r>
      <w:r>
        <w:rPr>
          <w:rFonts w:ascii="微软雅黑" w:hAnsi="微软雅黑" w:eastAsia="微软雅黑" w:cs="微软雅黑"/>
          <w:spacing w:val="-7"/>
          <w:position w:val="17"/>
          <w:sz w:val="24"/>
          <w:szCs w:val="24"/>
        </w:rPr>
        <w:t xml:space="preserve">= </w:t>
      </w:r>
      <w:r>
        <w:rPr>
          <w:rFonts w:ascii="Times New Roman" w:hAnsi="Times New Roman" w:eastAsia="Times New Roman" w:cs="Times New Roman"/>
          <w:spacing w:val="-7"/>
          <w:position w:val="17"/>
          <w:sz w:val="24"/>
          <w:szCs w:val="24"/>
        </w:rPr>
        <w:t>468</w:t>
      </w:r>
      <w:r>
        <w:rPr>
          <w:rFonts w:ascii="Times New Roman" w:hAnsi="Times New Roman" w:eastAsia="Times New Roman" w:cs="Times New Roman"/>
          <w:spacing w:val="-14"/>
          <w:position w:val="17"/>
          <w:sz w:val="24"/>
          <w:szCs w:val="24"/>
        </w:rPr>
        <w:t xml:space="preserve"> </w:t>
      </w:r>
      <w:r>
        <w:rPr>
          <w:rFonts w:ascii="Times New Roman" w:hAnsi="Times New Roman" w:eastAsia="Times New Roman" w:cs="Times New Roman"/>
          <w:spacing w:val="-7"/>
          <w:position w:val="17"/>
          <w:sz w:val="24"/>
          <w:szCs w:val="24"/>
        </w:rPr>
        <w:t>/</w:t>
      </w:r>
      <w:r>
        <w:rPr>
          <w:rFonts w:ascii="宋体" w:hAnsi="宋体" w:eastAsia="宋体" w:cs="宋体"/>
          <w:spacing w:val="-7"/>
          <w:position w:val="17"/>
          <w:sz w:val="24"/>
          <w:szCs w:val="24"/>
        </w:rPr>
        <w:t>（</w:t>
      </w:r>
      <w:r>
        <w:rPr>
          <w:rFonts w:ascii="Times New Roman" w:hAnsi="Times New Roman" w:eastAsia="Times New Roman" w:cs="Times New Roman"/>
          <w:spacing w:val="-7"/>
          <w:position w:val="17"/>
          <w:sz w:val="24"/>
          <w:szCs w:val="24"/>
        </w:rPr>
        <w:t xml:space="preserve">31.6 </w:t>
      </w:r>
      <w:r>
        <w:rPr>
          <w:rFonts w:ascii="微软雅黑" w:hAnsi="微软雅黑" w:eastAsia="微软雅黑" w:cs="微软雅黑"/>
          <w:spacing w:val="-7"/>
          <w:position w:val="17"/>
          <w:sz w:val="24"/>
          <w:szCs w:val="24"/>
        </w:rPr>
        <w:t xml:space="preserve">+ </w:t>
      </w:r>
      <w:r>
        <w:rPr>
          <w:rFonts w:ascii="Times New Roman" w:hAnsi="Times New Roman" w:eastAsia="Times New Roman" w:cs="Times New Roman"/>
          <w:i/>
          <w:iCs/>
          <w:spacing w:val="-7"/>
          <w:position w:val="17"/>
          <w:sz w:val="24"/>
          <w:szCs w:val="24"/>
        </w:rPr>
        <w:t>T</w:t>
      </w:r>
      <w:r>
        <w:rPr>
          <w:rFonts w:ascii="宋体" w:hAnsi="宋体" w:eastAsia="宋体" w:cs="宋体"/>
          <w:spacing w:val="-47"/>
          <w:position w:val="17"/>
          <w:sz w:val="24"/>
          <w:szCs w:val="24"/>
        </w:rPr>
        <w:t>），</w:t>
      </w:r>
    </w:p>
    <w:p>
      <w:pPr>
        <w:spacing w:line="258" w:lineRule="exact"/>
        <w:ind w:left="38"/>
        <w:rPr>
          <w:rFonts w:ascii="Times New Roman" w:hAnsi="Times New Roman" w:eastAsia="Times New Roman" w:cs="Times New Roman"/>
          <w:sz w:val="24"/>
          <w:szCs w:val="24"/>
        </w:rPr>
      </w:pPr>
      <w:r>
        <w:rPr>
          <w:rFonts w:ascii="宋体" w:hAnsi="宋体" w:eastAsia="宋体" w:cs="宋体"/>
          <w:spacing w:val="-14"/>
          <w:position w:val="-1"/>
          <w:sz w:val="24"/>
          <w:szCs w:val="24"/>
        </w:rPr>
        <w:t>对于盐度比较高的湖泊、水库及入海河口、近岸海域，</w:t>
      </w:r>
      <w:r>
        <w:rPr>
          <w:rFonts w:ascii="宋体" w:hAnsi="宋体" w:eastAsia="宋体" w:cs="宋体"/>
          <w:spacing w:val="-22"/>
          <w:position w:val="-1"/>
          <w:sz w:val="24"/>
          <w:szCs w:val="24"/>
        </w:rPr>
        <w:t xml:space="preserve"> </w:t>
      </w:r>
      <w:r>
        <w:rPr>
          <w:rFonts w:ascii="Times New Roman" w:hAnsi="Times New Roman" w:eastAsia="Times New Roman" w:cs="Times New Roman"/>
          <w:spacing w:val="-14"/>
          <w:position w:val="-1"/>
          <w:sz w:val="24"/>
          <w:szCs w:val="24"/>
        </w:rPr>
        <w:t xml:space="preserve">DO </w:t>
      </w:r>
      <w:r>
        <w:rPr>
          <w:rFonts w:ascii="Times New Roman" w:hAnsi="Times New Roman" w:eastAsia="Times New Roman" w:cs="Times New Roman"/>
          <w:spacing w:val="12"/>
          <w:w w:val="102"/>
          <w:position w:val="-1"/>
          <w:sz w:val="15"/>
          <w:szCs w:val="15"/>
        </w:rPr>
        <w:t>f</w:t>
      </w:r>
      <w:r>
        <w:rPr>
          <w:rFonts w:ascii="Times New Roman" w:hAnsi="Times New Roman" w:eastAsia="Times New Roman" w:cs="Times New Roman"/>
          <w:spacing w:val="-4"/>
          <w:position w:val="-1"/>
          <w:sz w:val="15"/>
          <w:szCs w:val="15"/>
        </w:rPr>
        <w:t xml:space="preserve"> </w:t>
      </w:r>
      <w:r>
        <w:rPr>
          <w:rFonts w:ascii="微软雅黑" w:hAnsi="微软雅黑" w:eastAsia="微软雅黑" w:cs="微软雅黑"/>
          <w:spacing w:val="-13"/>
          <w:position w:val="-1"/>
          <w:sz w:val="24"/>
          <w:szCs w:val="24"/>
        </w:rPr>
        <w:t>=</w:t>
      </w:r>
      <w:r>
        <w:rPr>
          <w:rFonts w:ascii="宋体" w:hAnsi="宋体" w:eastAsia="宋体" w:cs="宋体"/>
          <w:spacing w:val="-13"/>
          <w:position w:val="-1"/>
          <w:sz w:val="24"/>
          <w:szCs w:val="24"/>
        </w:rPr>
        <w:t>（</w:t>
      </w:r>
      <w:r>
        <w:rPr>
          <w:rFonts w:ascii="Times New Roman" w:hAnsi="Times New Roman" w:eastAsia="Times New Roman" w:cs="Times New Roman"/>
          <w:spacing w:val="-13"/>
          <w:position w:val="-1"/>
          <w:sz w:val="24"/>
          <w:szCs w:val="24"/>
        </w:rPr>
        <w:t>491</w:t>
      </w:r>
      <w:r>
        <w:rPr>
          <w:rFonts w:ascii="微软雅黑" w:hAnsi="微软雅黑" w:eastAsia="微软雅黑" w:cs="微软雅黑"/>
          <w:spacing w:val="-13"/>
          <w:position w:val="-1"/>
          <w:sz w:val="24"/>
          <w:szCs w:val="24"/>
        </w:rPr>
        <w:t xml:space="preserve">− </w:t>
      </w:r>
      <w:r>
        <w:rPr>
          <w:rFonts w:ascii="Times New Roman" w:hAnsi="Times New Roman" w:eastAsia="Times New Roman" w:cs="Times New Roman"/>
          <w:spacing w:val="-13"/>
          <w:position w:val="-1"/>
          <w:sz w:val="24"/>
          <w:szCs w:val="24"/>
        </w:rPr>
        <w:t>2.65</w:t>
      </w:r>
      <w:r>
        <w:rPr>
          <w:rFonts w:ascii="Times New Roman" w:hAnsi="Times New Roman" w:eastAsia="Times New Roman" w:cs="Times New Roman"/>
          <w:i/>
          <w:iCs/>
          <w:spacing w:val="-13"/>
          <w:position w:val="-1"/>
          <w:sz w:val="24"/>
          <w:szCs w:val="24"/>
        </w:rPr>
        <w:t>S</w:t>
      </w:r>
      <w:r>
        <w:rPr>
          <w:rFonts w:ascii="宋体" w:hAnsi="宋体" w:eastAsia="宋体" w:cs="宋体"/>
          <w:spacing w:val="-13"/>
          <w:position w:val="-1"/>
          <w:sz w:val="24"/>
          <w:szCs w:val="24"/>
        </w:rPr>
        <w:t>）</w:t>
      </w:r>
      <w:r>
        <w:rPr>
          <w:rFonts w:ascii="Times New Roman" w:hAnsi="Times New Roman" w:eastAsia="Times New Roman" w:cs="Times New Roman"/>
          <w:spacing w:val="-13"/>
          <w:position w:val="-1"/>
          <w:sz w:val="24"/>
          <w:szCs w:val="24"/>
        </w:rPr>
        <w:t>/</w:t>
      </w:r>
      <w:r>
        <w:rPr>
          <w:rFonts w:ascii="Times New Roman" w:hAnsi="Times New Roman" w:eastAsia="Times New Roman" w:cs="Times New Roman"/>
          <w:spacing w:val="-33"/>
          <w:position w:val="-1"/>
          <w:sz w:val="24"/>
          <w:szCs w:val="24"/>
        </w:rPr>
        <w:t xml:space="preserve"> </w:t>
      </w:r>
      <w:r>
        <w:rPr>
          <w:rFonts w:ascii="宋体" w:hAnsi="宋体" w:eastAsia="宋体" w:cs="宋体"/>
          <w:spacing w:val="-13"/>
          <w:position w:val="-1"/>
          <w:sz w:val="24"/>
          <w:szCs w:val="24"/>
        </w:rPr>
        <w:t>（</w:t>
      </w:r>
      <w:r>
        <w:rPr>
          <w:rFonts w:ascii="Times New Roman" w:hAnsi="Times New Roman" w:eastAsia="Times New Roman" w:cs="Times New Roman"/>
          <w:spacing w:val="-13"/>
          <w:position w:val="-1"/>
          <w:sz w:val="24"/>
          <w:szCs w:val="24"/>
        </w:rPr>
        <w:t>33.5</w:t>
      </w:r>
    </w:p>
    <w:p>
      <w:pPr>
        <w:spacing w:line="258" w:lineRule="exact"/>
        <w:rPr>
          <w:rFonts w:ascii="Times New Roman" w:hAnsi="Times New Roman" w:eastAsia="Times New Roman" w:cs="Times New Roman"/>
          <w:sz w:val="24"/>
          <w:szCs w:val="24"/>
        </w:rPr>
        <w:sectPr>
          <w:type w:val="continuous"/>
          <w:pgSz w:w="11907" w:h="16839"/>
          <w:pgMar w:top="1156" w:right="1768" w:bottom="1374" w:left="1770" w:header="881" w:footer="1210" w:gutter="0"/>
          <w:cols w:equalWidth="0" w:num="1">
            <w:col w:w="8368"/>
          </w:cols>
        </w:sectPr>
      </w:pPr>
    </w:p>
    <w:p>
      <w:pPr>
        <w:spacing w:line="292" w:lineRule="auto"/>
        <w:rPr>
          <w:rFonts w:ascii="Arial"/>
          <w:sz w:val="21"/>
        </w:rPr>
      </w:pPr>
    </w:p>
    <w:p>
      <w:pPr>
        <w:spacing w:before="103" w:line="202" w:lineRule="auto"/>
        <w:ind w:left="34"/>
        <w:rPr>
          <w:rFonts w:ascii="宋体" w:hAnsi="宋体" w:eastAsia="宋体" w:cs="宋体"/>
          <w:sz w:val="24"/>
          <w:szCs w:val="24"/>
        </w:rPr>
      </w:pPr>
      <w:r>
        <w:rPr>
          <w:rFonts w:ascii="微软雅黑" w:hAnsi="微软雅黑" w:eastAsia="微软雅黑" w:cs="微软雅黑"/>
          <w:spacing w:val="-5"/>
          <w:w w:val="88"/>
          <w:sz w:val="24"/>
          <w:szCs w:val="24"/>
        </w:rPr>
        <w:t>+</w:t>
      </w:r>
      <w:r>
        <w:rPr>
          <w:rFonts w:ascii="微软雅黑" w:hAnsi="微软雅黑" w:eastAsia="微软雅黑" w:cs="微软雅黑"/>
          <w:spacing w:val="6"/>
          <w:sz w:val="24"/>
          <w:szCs w:val="24"/>
        </w:rPr>
        <w:t xml:space="preserve"> </w:t>
      </w:r>
      <w:r>
        <w:rPr>
          <w:rFonts w:ascii="Times New Roman" w:hAnsi="Times New Roman" w:eastAsia="Times New Roman" w:cs="Times New Roman"/>
          <w:i/>
          <w:iCs/>
          <w:spacing w:val="-5"/>
          <w:w w:val="88"/>
          <w:sz w:val="24"/>
          <w:szCs w:val="24"/>
        </w:rPr>
        <w:t>T</w:t>
      </w:r>
      <w:r>
        <w:rPr>
          <w:rFonts w:ascii="宋体" w:hAnsi="宋体" w:eastAsia="宋体" w:cs="宋体"/>
          <w:spacing w:val="-11"/>
          <w:sz w:val="24"/>
          <w:szCs w:val="24"/>
        </w:rPr>
        <w:t>）；</w:t>
      </w:r>
    </w:p>
    <w:p>
      <w:pPr>
        <w:spacing w:before="120" w:line="220" w:lineRule="auto"/>
        <w:ind w:left="1231"/>
        <w:rPr>
          <w:rFonts w:ascii="宋体" w:hAnsi="宋体" w:eastAsia="宋体" w:cs="宋体"/>
          <w:sz w:val="24"/>
          <w:szCs w:val="24"/>
        </w:rPr>
      </w:pPr>
      <w:r>
        <w:rPr>
          <w:rFonts w:ascii="Times New Roman" w:hAnsi="Times New Roman" w:eastAsia="Times New Roman" w:cs="Times New Roman"/>
          <w:i/>
          <w:iCs/>
          <w:sz w:val="24"/>
          <w:szCs w:val="24"/>
        </w:rPr>
        <w:t>S</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sz w:val="24"/>
          <w:szCs w:val="24"/>
        </w:rPr>
        <w:t>——</w:t>
      </w:r>
      <w:r>
        <w:rPr>
          <w:rFonts w:ascii="宋体" w:hAnsi="宋体" w:eastAsia="宋体" w:cs="宋体"/>
          <w:sz w:val="24"/>
          <w:szCs w:val="24"/>
        </w:rPr>
        <w:t>实用盐度符号，量纲一；</w:t>
      </w:r>
    </w:p>
    <w:p>
      <w:pPr>
        <w:spacing w:before="182" w:line="469" w:lineRule="exact"/>
        <w:ind w:left="1246"/>
        <w:rPr>
          <w:rFonts w:ascii="宋体" w:hAnsi="宋体" w:eastAsia="宋体" w:cs="宋体"/>
          <w:sz w:val="24"/>
          <w:szCs w:val="24"/>
        </w:rPr>
      </w:pPr>
      <w:r>
        <w:rPr>
          <w:rFonts w:ascii="Times New Roman" w:hAnsi="Times New Roman" w:eastAsia="Times New Roman" w:cs="Times New Roman"/>
          <w:i/>
          <w:iCs/>
          <w:spacing w:val="-3"/>
          <w:position w:val="17"/>
          <w:sz w:val="24"/>
          <w:szCs w:val="24"/>
        </w:rPr>
        <w:t>T</w:t>
      </w:r>
      <w:r>
        <w:rPr>
          <w:rFonts w:ascii="Times New Roman" w:hAnsi="Times New Roman" w:eastAsia="Times New Roman" w:cs="Times New Roman"/>
          <w:i/>
          <w:iCs/>
          <w:spacing w:val="-19"/>
          <w:position w:val="17"/>
          <w:sz w:val="24"/>
          <w:szCs w:val="24"/>
        </w:rPr>
        <w:t xml:space="preserve"> </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水温，℃。</w:t>
      </w:r>
    </w:p>
    <w:p>
      <w:pPr>
        <w:spacing w:line="217" w:lineRule="auto"/>
        <w:ind w:left="517"/>
        <w:rPr>
          <w:rFonts w:ascii="宋体" w:hAnsi="宋体" w:eastAsia="宋体" w:cs="宋体"/>
          <w:sz w:val="24"/>
          <w:szCs w:val="24"/>
        </w:rPr>
      </w:pPr>
      <w:r>
        <w:rPr>
          <w:rFonts w:ascii="宋体" w:hAnsi="宋体" w:eastAsia="宋体" w:cs="宋体"/>
          <w:spacing w:val="-2"/>
          <w:sz w:val="24"/>
          <w:szCs w:val="24"/>
        </w:rPr>
        <w:t>⑦评价结果</w:t>
      </w:r>
    </w:p>
    <w:p>
      <w:pPr>
        <w:spacing w:before="185" w:line="218" w:lineRule="auto"/>
        <w:ind w:left="519"/>
        <w:rPr>
          <w:rFonts w:ascii="宋体" w:hAnsi="宋体" w:eastAsia="宋体" w:cs="宋体"/>
          <w:sz w:val="24"/>
          <w:szCs w:val="24"/>
        </w:rPr>
      </w:pPr>
      <w:r>
        <w:rPr>
          <w:rFonts w:ascii="宋体" w:hAnsi="宋体" w:eastAsia="宋体" w:cs="宋体"/>
          <w:spacing w:val="-1"/>
          <w:sz w:val="24"/>
          <w:szCs w:val="24"/>
        </w:rPr>
        <w:t>地表水现状评价统计结果见表</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3.2-4~3.2-5</w:t>
      </w:r>
      <w:r>
        <w:rPr>
          <w:rFonts w:ascii="宋体" w:hAnsi="宋体" w:eastAsia="宋体" w:cs="宋体"/>
          <w:spacing w:val="-1"/>
          <w:sz w:val="24"/>
          <w:szCs w:val="24"/>
        </w:rPr>
        <w:t>。</w:t>
      </w:r>
    </w:p>
    <w:p>
      <w:pPr>
        <w:spacing w:line="218" w:lineRule="auto"/>
        <w:rPr>
          <w:rFonts w:ascii="宋体" w:hAnsi="宋体" w:eastAsia="宋体" w:cs="宋体"/>
          <w:sz w:val="24"/>
          <w:szCs w:val="24"/>
        </w:rPr>
        <w:sectPr>
          <w:footerReference r:id="rId186" w:type="default"/>
          <w:pgSz w:w="11907" w:h="16839"/>
          <w:pgMar w:top="1156" w:right="1768" w:bottom="1373" w:left="1770" w:header="881" w:footer="1210" w:gutter="0"/>
        </w:sectPr>
      </w:pPr>
    </w:p>
    <w:p>
      <w:pPr>
        <w:spacing w:line="311" w:lineRule="auto"/>
        <w:rPr>
          <w:rFonts w:ascii="Arial"/>
          <w:sz w:val="21"/>
        </w:rPr>
      </w:pPr>
    </w:p>
    <w:p>
      <w:pPr>
        <w:spacing w:line="311" w:lineRule="auto"/>
        <w:rPr>
          <w:rFonts w:ascii="Arial"/>
          <w:sz w:val="21"/>
        </w:rPr>
      </w:pPr>
    </w:p>
    <w:p>
      <w:pPr>
        <w:spacing w:before="69" w:line="218" w:lineRule="auto"/>
        <w:ind w:left="5743"/>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Times New Roman" w:hAnsi="Times New Roman" w:eastAsia="Times New Roman" w:cs="Times New Roman"/>
          <w:b/>
          <w:bCs/>
          <w:spacing w:val="-1"/>
          <w:sz w:val="21"/>
          <w:szCs w:val="21"/>
        </w:rPr>
        <w:t xml:space="preserve">3.2-4    </w:t>
      </w:r>
      <w:r>
        <w:rPr>
          <w:rFonts w:ascii="宋体" w:hAnsi="宋体" w:eastAsia="宋体" w:cs="宋体"/>
          <w:spacing w:val="-1"/>
          <w:sz w:val="21"/>
          <w:szCs w:val="21"/>
          <w14:textOutline w14:w="3810" w14:cap="flat" w14:cmpd="sng">
            <w14:solidFill>
              <w14:srgbClr w14:val="000000"/>
            </w14:solidFill>
            <w14:prstDash w14:val="solid"/>
            <w14:miter w14:val="0"/>
          </w14:textOutline>
        </w:rPr>
        <w:t>水质指数评价结果</w:t>
      </w:r>
    </w:p>
    <w:p>
      <w:pPr>
        <w:spacing w:line="132" w:lineRule="auto"/>
        <w:rPr>
          <w:rFonts w:ascii="Arial"/>
          <w:sz w:val="2"/>
        </w:rPr>
      </w:pPr>
    </w:p>
    <w:tbl>
      <w:tblPr>
        <w:tblStyle w:val="5"/>
        <w:tblW w:w="1397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1"/>
        <w:gridCol w:w="2141"/>
        <w:gridCol w:w="2486"/>
        <w:gridCol w:w="2488"/>
        <w:gridCol w:w="2486"/>
        <w:gridCol w:w="2071"/>
        <w:gridCol w:w="1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731" w:type="dxa"/>
            <w:vMerge w:val="restart"/>
            <w:tcBorders>
              <w:top w:val="single" w:color="000000" w:sz="12" w:space="0"/>
              <w:left w:val="nil"/>
              <w:bottom w:val="nil"/>
            </w:tcBorders>
            <w:vAlign w:val="top"/>
          </w:tcPr>
          <w:p>
            <w:pPr>
              <w:spacing w:line="300" w:lineRule="auto"/>
              <w:rPr>
                <w:rFonts w:ascii="Arial"/>
                <w:sz w:val="21"/>
              </w:rPr>
            </w:pPr>
          </w:p>
          <w:p>
            <w:pPr>
              <w:spacing w:before="68" w:line="218" w:lineRule="auto"/>
              <w:ind w:left="17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2141" w:type="dxa"/>
            <w:vMerge w:val="restart"/>
            <w:tcBorders>
              <w:top w:val="single" w:color="000000" w:sz="12" w:space="0"/>
              <w:bottom w:val="nil"/>
            </w:tcBorders>
            <w:vAlign w:val="top"/>
          </w:tcPr>
          <w:p>
            <w:pPr>
              <w:spacing w:line="300" w:lineRule="auto"/>
              <w:rPr>
                <w:rFonts w:ascii="Arial"/>
                <w:sz w:val="21"/>
              </w:rPr>
            </w:pPr>
          </w:p>
          <w:p>
            <w:pPr>
              <w:spacing w:before="68" w:line="219" w:lineRule="auto"/>
              <w:ind w:left="66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监测因子</w:t>
            </w:r>
          </w:p>
        </w:tc>
        <w:tc>
          <w:tcPr>
            <w:tcW w:w="9531" w:type="dxa"/>
            <w:gridSpan w:val="4"/>
            <w:tcBorders>
              <w:top w:val="single" w:color="000000" w:sz="12" w:space="0"/>
            </w:tcBorders>
            <w:vAlign w:val="top"/>
          </w:tcPr>
          <w:p>
            <w:pPr>
              <w:spacing w:before="50" w:line="219" w:lineRule="auto"/>
              <w:ind w:left="4352"/>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水质指数</w:t>
            </w:r>
          </w:p>
        </w:tc>
        <w:tc>
          <w:tcPr>
            <w:tcW w:w="1570" w:type="dxa"/>
            <w:vMerge w:val="restart"/>
            <w:tcBorders>
              <w:top w:val="single" w:color="000000" w:sz="12" w:space="0"/>
              <w:bottom w:val="nil"/>
              <w:right w:val="nil"/>
            </w:tcBorders>
            <w:vAlign w:val="top"/>
          </w:tcPr>
          <w:p>
            <w:pPr>
              <w:spacing w:line="300" w:lineRule="auto"/>
              <w:rPr>
                <w:rFonts w:ascii="Arial"/>
                <w:sz w:val="21"/>
              </w:rPr>
            </w:pPr>
          </w:p>
          <w:p>
            <w:pPr>
              <w:spacing w:before="68" w:line="218" w:lineRule="auto"/>
              <w:ind w:left="37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731" w:type="dxa"/>
            <w:vMerge w:val="continue"/>
            <w:tcBorders>
              <w:top w:val="nil"/>
              <w:left w:val="nil"/>
            </w:tcBorders>
            <w:vAlign w:val="top"/>
          </w:tcPr>
          <w:p>
            <w:pPr>
              <w:rPr>
                <w:rFonts w:ascii="Arial"/>
                <w:sz w:val="21"/>
              </w:rPr>
            </w:pPr>
          </w:p>
        </w:tc>
        <w:tc>
          <w:tcPr>
            <w:tcW w:w="2141" w:type="dxa"/>
            <w:vMerge w:val="continue"/>
            <w:tcBorders>
              <w:top w:val="nil"/>
            </w:tcBorders>
            <w:vAlign w:val="top"/>
          </w:tcPr>
          <w:p>
            <w:pPr>
              <w:rPr>
                <w:rFonts w:ascii="Arial"/>
                <w:sz w:val="21"/>
              </w:rPr>
            </w:pPr>
          </w:p>
        </w:tc>
        <w:tc>
          <w:tcPr>
            <w:tcW w:w="2486" w:type="dxa"/>
            <w:vAlign w:val="top"/>
          </w:tcPr>
          <w:p>
            <w:pPr>
              <w:spacing w:before="205" w:line="220" w:lineRule="auto"/>
              <w:ind w:left="1047"/>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坝址</w:t>
            </w:r>
          </w:p>
        </w:tc>
        <w:tc>
          <w:tcPr>
            <w:tcW w:w="2488" w:type="dxa"/>
            <w:vAlign w:val="top"/>
          </w:tcPr>
          <w:p>
            <w:pPr>
              <w:spacing w:before="205" w:line="218" w:lineRule="auto"/>
              <w:ind w:left="104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库尾</w:t>
            </w:r>
          </w:p>
        </w:tc>
        <w:tc>
          <w:tcPr>
            <w:tcW w:w="2486" w:type="dxa"/>
            <w:vAlign w:val="top"/>
          </w:tcPr>
          <w:p>
            <w:pPr>
              <w:pStyle w:val="6"/>
              <w:spacing w:before="48" w:line="247" w:lineRule="auto"/>
              <w:ind w:left="746" w:right="184" w:hanging="542"/>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罗子左河汇入万马河上</w:t>
            </w:r>
            <w:r>
              <w:rPr>
                <w:rFonts w:ascii="仿宋" w:hAnsi="仿宋" w:eastAsia="仿宋" w:cs="仿宋"/>
                <w:spacing w:val="5"/>
              </w:rPr>
              <w:t xml:space="preserve"> </w:t>
            </w:r>
            <w:r>
              <w:rPr>
                <w:rFonts w:ascii="仿宋" w:hAnsi="仿宋" w:eastAsia="仿宋" w:cs="仿宋"/>
                <w:spacing w:val="-4"/>
                <w14:textOutline w14:w="3810" w14:cap="flat" w14:cmpd="sng">
                  <w14:solidFill>
                    <w14:srgbClr w14:val="000000"/>
                  </w14:solidFill>
                  <w14:prstDash w14:val="solid"/>
                  <w14:miter w14:val="0"/>
                </w14:textOutline>
              </w:rPr>
              <w:t>游</w:t>
            </w:r>
            <w:r>
              <w:rPr>
                <w:rFonts w:ascii="仿宋" w:hAnsi="仿宋" w:eastAsia="仿宋" w:cs="仿宋"/>
                <w:spacing w:val="-44"/>
              </w:rPr>
              <w:t xml:space="preserve"> </w:t>
            </w:r>
            <w:r>
              <w:rPr>
                <w:b/>
                <w:bCs/>
                <w:spacing w:val="-4"/>
              </w:rPr>
              <w:t>500m</w:t>
            </w:r>
            <w:r>
              <w:rPr>
                <w:b/>
                <w:bCs/>
                <w:spacing w:val="1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处</w:t>
            </w:r>
          </w:p>
        </w:tc>
        <w:tc>
          <w:tcPr>
            <w:tcW w:w="2071" w:type="dxa"/>
            <w:vAlign w:val="top"/>
          </w:tcPr>
          <w:p>
            <w:pPr>
              <w:spacing w:before="205" w:line="218" w:lineRule="auto"/>
              <w:ind w:left="31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马茨河取水坝处</w:t>
            </w:r>
          </w:p>
        </w:tc>
        <w:tc>
          <w:tcPr>
            <w:tcW w:w="1570"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88" w:line="188" w:lineRule="auto"/>
              <w:ind w:left="344"/>
            </w:pPr>
            <w:r>
              <w:t>1</w:t>
            </w:r>
          </w:p>
        </w:tc>
        <w:tc>
          <w:tcPr>
            <w:tcW w:w="2141" w:type="dxa"/>
            <w:vAlign w:val="top"/>
          </w:tcPr>
          <w:p>
            <w:pPr>
              <w:spacing w:before="51" w:line="220" w:lineRule="auto"/>
              <w:ind w:left="550"/>
              <w:rPr>
                <w:rFonts w:ascii="宋体" w:hAnsi="宋体" w:eastAsia="宋体" w:cs="宋体"/>
                <w:sz w:val="21"/>
                <w:szCs w:val="21"/>
              </w:rPr>
            </w:pPr>
            <w:r>
              <w:rPr>
                <w:rFonts w:ascii="宋体" w:hAnsi="宋体" w:eastAsia="宋体" w:cs="宋体"/>
                <w:spacing w:val="16"/>
                <w:sz w:val="21"/>
                <w:szCs w:val="21"/>
              </w:rPr>
              <w:t>水温(℃)</w:t>
            </w:r>
          </w:p>
        </w:tc>
        <w:tc>
          <w:tcPr>
            <w:tcW w:w="2486" w:type="dxa"/>
            <w:vAlign w:val="top"/>
          </w:tcPr>
          <w:p>
            <w:pPr>
              <w:pStyle w:val="6"/>
              <w:spacing w:before="88" w:line="188" w:lineRule="auto"/>
              <w:ind w:left="839"/>
            </w:pPr>
            <w:r>
              <w:rPr>
                <w:spacing w:val="-3"/>
              </w:rPr>
              <w:t>16.6~17.2</w:t>
            </w:r>
          </w:p>
        </w:tc>
        <w:tc>
          <w:tcPr>
            <w:tcW w:w="2488" w:type="dxa"/>
            <w:vAlign w:val="top"/>
          </w:tcPr>
          <w:p>
            <w:pPr>
              <w:pStyle w:val="6"/>
              <w:spacing w:before="88" w:line="188" w:lineRule="auto"/>
              <w:ind w:left="839"/>
            </w:pPr>
            <w:r>
              <w:rPr>
                <w:spacing w:val="-3"/>
              </w:rPr>
              <w:t>16.2~16.8</w:t>
            </w:r>
          </w:p>
        </w:tc>
        <w:tc>
          <w:tcPr>
            <w:tcW w:w="2486" w:type="dxa"/>
            <w:vAlign w:val="top"/>
          </w:tcPr>
          <w:p>
            <w:pPr>
              <w:pStyle w:val="6"/>
              <w:spacing w:before="88" w:line="188" w:lineRule="auto"/>
              <w:ind w:left="839"/>
            </w:pPr>
            <w:r>
              <w:rPr>
                <w:spacing w:val="-3"/>
              </w:rPr>
              <w:t>16.4~17.6</w:t>
            </w:r>
          </w:p>
        </w:tc>
        <w:tc>
          <w:tcPr>
            <w:tcW w:w="2071" w:type="dxa"/>
            <w:vAlign w:val="top"/>
          </w:tcPr>
          <w:p>
            <w:pPr>
              <w:pStyle w:val="6"/>
              <w:spacing w:before="88" w:line="188" w:lineRule="auto"/>
              <w:ind w:left="631"/>
            </w:pPr>
            <w:r>
              <w:rPr>
                <w:spacing w:val="-3"/>
              </w:rPr>
              <w:t>15.8~16.6</w:t>
            </w:r>
          </w:p>
        </w:tc>
        <w:tc>
          <w:tcPr>
            <w:tcW w:w="1570" w:type="dxa"/>
            <w:tcBorders>
              <w:right w:val="nil"/>
            </w:tcBorders>
            <w:vAlign w:val="top"/>
          </w:tcPr>
          <w:p>
            <w:pPr>
              <w:pStyle w:val="6"/>
              <w:spacing w:before="86" w:line="218" w:lineRule="auto"/>
              <w:ind w:left="751"/>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89" w:line="188" w:lineRule="auto"/>
              <w:ind w:left="324"/>
            </w:pPr>
            <w:r>
              <w:t>2</w:t>
            </w:r>
          </w:p>
        </w:tc>
        <w:tc>
          <w:tcPr>
            <w:tcW w:w="2141" w:type="dxa"/>
            <w:vAlign w:val="top"/>
          </w:tcPr>
          <w:p>
            <w:pPr>
              <w:pStyle w:val="6"/>
              <w:spacing w:before="52" w:line="213" w:lineRule="auto"/>
              <w:ind w:left="410"/>
              <w:rPr>
                <w:rFonts w:ascii="仿宋" w:hAnsi="仿宋" w:eastAsia="仿宋" w:cs="仿宋"/>
              </w:rPr>
            </w:pPr>
            <w:r>
              <w:rPr>
                <w:spacing w:val="-2"/>
              </w:rPr>
              <w:t>pH</w:t>
            </w:r>
            <w:r>
              <w:rPr>
                <w:rFonts w:ascii="仿宋" w:hAnsi="仿宋" w:eastAsia="仿宋" w:cs="仿宋"/>
                <w:spacing w:val="-2"/>
              </w:rPr>
              <w:t>（无量纲）</w:t>
            </w:r>
          </w:p>
        </w:tc>
        <w:tc>
          <w:tcPr>
            <w:tcW w:w="2486" w:type="dxa"/>
            <w:vAlign w:val="top"/>
          </w:tcPr>
          <w:p>
            <w:pPr>
              <w:pStyle w:val="6"/>
              <w:spacing w:before="89" w:line="188" w:lineRule="auto"/>
              <w:ind w:left="873"/>
            </w:pPr>
            <w:r>
              <w:rPr>
                <w:spacing w:val="-1"/>
              </w:rPr>
              <w:t>0.25~0.3</w:t>
            </w:r>
          </w:p>
        </w:tc>
        <w:tc>
          <w:tcPr>
            <w:tcW w:w="2488" w:type="dxa"/>
            <w:vAlign w:val="top"/>
          </w:tcPr>
          <w:p>
            <w:pPr>
              <w:pStyle w:val="6"/>
              <w:spacing w:before="89" w:line="188" w:lineRule="auto"/>
              <w:ind w:left="874"/>
            </w:pPr>
            <w:r>
              <w:rPr>
                <w:spacing w:val="-1"/>
              </w:rPr>
              <w:t>0.34~0.4</w:t>
            </w:r>
          </w:p>
        </w:tc>
        <w:tc>
          <w:tcPr>
            <w:tcW w:w="2486" w:type="dxa"/>
            <w:vAlign w:val="top"/>
          </w:tcPr>
          <w:p>
            <w:pPr>
              <w:pStyle w:val="6"/>
              <w:spacing w:before="89" w:line="188" w:lineRule="auto"/>
              <w:ind w:left="874"/>
            </w:pPr>
            <w:r>
              <w:rPr>
                <w:spacing w:val="-1"/>
              </w:rPr>
              <w:t>0.2~0.25</w:t>
            </w:r>
          </w:p>
        </w:tc>
        <w:tc>
          <w:tcPr>
            <w:tcW w:w="2071" w:type="dxa"/>
            <w:vAlign w:val="top"/>
          </w:tcPr>
          <w:p>
            <w:pPr>
              <w:pStyle w:val="6"/>
              <w:spacing w:before="89" w:line="188" w:lineRule="auto"/>
              <w:ind w:left="666"/>
            </w:pPr>
            <w:r>
              <w:rPr>
                <w:spacing w:val="-1"/>
              </w:rPr>
              <w:t>0.05~0.2</w:t>
            </w:r>
          </w:p>
        </w:tc>
        <w:tc>
          <w:tcPr>
            <w:tcW w:w="1570" w:type="dxa"/>
            <w:tcBorders>
              <w:right w:val="nil"/>
            </w:tcBorders>
            <w:vAlign w:val="top"/>
          </w:tcPr>
          <w:p>
            <w:pPr>
              <w:spacing w:before="52" w:line="218"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91" w:line="188" w:lineRule="auto"/>
              <w:ind w:left="329"/>
            </w:pPr>
            <w:r>
              <w:t>3</w:t>
            </w:r>
          </w:p>
        </w:tc>
        <w:tc>
          <w:tcPr>
            <w:tcW w:w="2141" w:type="dxa"/>
            <w:vAlign w:val="top"/>
          </w:tcPr>
          <w:p>
            <w:pPr>
              <w:spacing w:before="54" w:line="219" w:lineRule="auto"/>
              <w:ind w:left="760"/>
              <w:rPr>
                <w:rFonts w:ascii="宋体" w:hAnsi="宋体" w:eastAsia="宋体" w:cs="宋体"/>
                <w:sz w:val="21"/>
                <w:szCs w:val="21"/>
              </w:rPr>
            </w:pPr>
            <w:r>
              <w:rPr>
                <w:rFonts w:ascii="宋体" w:hAnsi="宋体" w:eastAsia="宋体" w:cs="宋体"/>
                <w:spacing w:val="-3"/>
                <w:sz w:val="21"/>
                <w:szCs w:val="21"/>
              </w:rPr>
              <w:t>溶解氧</w:t>
            </w:r>
          </w:p>
        </w:tc>
        <w:tc>
          <w:tcPr>
            <w:tcW w:w="2486" w:type="dxa"/>
            <w:vAlign w:val="top"/>
          </w:tcPr>
          <w:p>
            <w:pPr>
              <w:pStyle w:val="6"/>
              <w:spacing w:before="89" w:line="215" w:lineRule="auto"/>
              <w:ind w:left="822"/>
            </w:pPr>
            <w:r>
              <w:rPr>
                <w:spacing w:val="-1"/>
              </w:rPr>
              <w:t>0.69~0.72</w:t>
            </w:r>
          </w:p>
        </w:tc>
        <w:tc>
          <w:tcPr>
            <w:tcW w:w="2488" w:type="dxa"/>
            <w:vAlign w:val="top"/>
          </w:tcPr>
          <w:p>
            <w:pPr>
              <w:pStyle w:val="6"/>
              <w:spacing w:before="89" w:line="215" w:lineRule="auto"/>
              <w:ind w:left="822"/>
            </w:pPr>
            <w:r>
              <w:rPr>
                <w:spacing w:val="-1"/>
              </w:rPr>
              <w:t>0.83~0.96</w:t>
            </w:r>
          </w:p>
        </w:tc>
        <w:tc>
          <w:tcPr>
            <w:tcW w:w="2486" w:type="dxa"/>
            <w:vAlign w:val="top"/>
          </w:tcPr>
          <w:p>
            <w:pPr>
              <w:pStyle w:val="6"/>
              <w:spacing w:before="89" w:line="215" w:lineRule="auto"/>
              <w:ind w:left="822"/>
            </w:pPr>
            <w:r>
              <w:rPr>
                <w:spacing w:val="-1"/>
              </w:rPr>
              <w:t>0.83~0.94</w:t>
            </w:r>
          </w:p>
        </w:tc>
        <w:tc>
          <w:tcPr>
            <w:tcW w:w="2071" w:type="dxa"/>
            <w:vAlign w:val="top"/>
          </w:tcPr>
          <w:p>
            <w:pPr>
              <w:pStyle w:val="6"/>
              <w:spacing w:before="89" w:line="215" w:lineRule="auto"/>
              <w:ind w:left="614"/>
            </w:pPr>
            <w:r>
              <w:rPr>
                <w:spacing w:val="-1"/>
              </w:rPr>
              <w:t>0.73~0.84</w:t>
            </w:r>
          </w:p>
        </w:tc>
        <w:tc>
          <w:tcPr>
            <w:tcW w:w="1570" w:type="dxa"/>
            <w:tcBorders>
              <w:right w:val="nil"/>
            </w:tcBorders>
            <w:vAlign w:val="top"/>
          </w:tcPr>
          <w:p>
            <w:pPr>
              <w:spacing w:before="55" w:line="218"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92" w:line="188" w:lineRule="auto"/>
              <w:ind w:left="323"/>
            </w:pPr>
            <w:r>
              <w:t>4</w:t>
            </w:r>
          </w:p>
        </w:tc>
        <w:tc>
          <w:tcPr>
            <w:tcW w:w="2141" w:type="dxa"/>
            <w:vAlign w:val="top"/>
          </w:tcPr>
          <w:p>
            <w:pPr>
              <w:spacing w:before="55" w:line="219" w:lineRule="auto"/>
              <w:ind w:left="759"/>
              <w:rPr>
                <w:rFonts w:ascii="宋体" w:hAnsi="宋体" w:eastAsia="宋体" w:cs="宋体"/>
                <w:sz w:val="21"/>
                <w:szCs w:val="21"/>
              </w:rPr>
            </w:pPr>
            <w:r>
              <w:rPr>
                <w:rFonts w:ascii="宋体" w:hAnsi="宋体" w:eastAsia="宋体" w:cs="宋体"/>
                <w:spacing w:val="-3"/>
                <w:sz w:val="21"/>
                <w:szCs w:val="21"/>
              </w:rPr>
              <w:t>石油类</w:t>
            </w:r>
          </w:p>
        </w:tc>
        <w:tc>
          <w:tcPr>
            <w:tcW w:w="2486" w:type="dxa"/>
            <w:vAlign w:val="top"/>
          </w:tcPr>
          <w:p>
            <w:pPr>
              <w:pStyle w:val="6"/>
              <w:spacing w:before="90" w:line="213" w:lineRule="auto"/>
              <w:ind w:left="1209"/>
            </w:pPr>
            <w:r>
              <w:t>/</w:t>
            </w:r>
          </w:p>
        </w:tc>
        <w:tc>
          <w:tcPr>
            <w:tcW w:w="2488" w:type="dxa"/>
            <w:vAlign w:val="top"/>
          </w:tcPr>
          <w:p>
            <w:pPr>
              <w:pStyle w:val="6"/>
              <w:spacing w:before="90" w:line="213" w:lineRule="auto"/>
              <w:ind w:left="1210"/>
            </w:pPr>
            <w:r>
              <w:t>/</w:t>
            </w:r>
          </w:p>
        </w:tc>
        <w:tc>
          <w:tcPr>
            <w:tcW w:w="2486" w:type="dxa"/>
            <w:vAlign w:val="top"/>
          </w:tcPr>
          <w:p>
            <w:pPr>
              <w:pStyle w:val="6"/>
              <w:spacing w:before="90" w:line="213" w:lineRule="auto"/>
              <w:ind w:left="1210"/>
            </w:pPr>
            <w:r>
              <w:t>/</w:t>
            </w:r>
          </w:p>
        </w:tc>
        <w:tc>
          <w:tcPr>
            <w:tcW w:w="2071" w:type="dxa"/>
            <w:vAlign w:val="top"/>
          </w:tcPr>
          <w:p>
            <w:pPr>
              <w:pStyle w:val="6"/>
              <w:spacing w:before="90" w:line="213" w:lineRule="auto"/>
              <w:ind w:left="1001"/>
            </w:pPr>
            <w:r>
              <w:t>/</w:t>
            </w:r>
          </w:p>
        </w:tc>
        <w:tc>
          <w:tcPr>
            <w:tcW w:w="1570" w:type="dxa"/>
            <w:tcBorders>
              <w:right w:val="nil"/>
            </w:tcBorders>
            <w:vAlign w:val="top"/>
          </w:tcPr>
          <w:p>
            <w:pPr>
              <w:spacing w:before="55" w:line="218"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97" w:line="185" w:lineRule="auto"/>
              <w:ind w:left="330"/>
            </w:pPr>
            <w:r>
              <w:t>5</w:t>
            </w:r>
          </w:p>
        </w:tc>
        <w:tc>
          <w:tcPr>
            <w:tcW w:w="2141" w:type="dxa"/>
            <w:vAlign w:val="top"/>
          </w:tcPr>
          <w:p>
            <w:pPr>
              <w:spacing w:before="58" w:line="218" w:lineRule="auto"/>
              <w:ind w:left="554"/>
              <w:rPr>
                <w:rFonts w:ascii="仿宋" w:hAnsi="仿宋" w:eastAsia="仿宋" w:cs="仿宋"/>
                <w:sz w:val="21"/>
                <w:szCs w:val="21"/>
              </w:rPr>
            </w:pPr>
            <w:r>
              <w:rPr>
                <w:rFonts w:ascii="仿宋" w:hAnsi="仿宋" w:eastAsia="仿宋" w:cs="仿宋"/>
                <w:spacing w:val="-3"/>
                <w:sz w:val="21"/>
                <w:szCs w:val="21"/>
              </w:rPr>
              <w:t>化学需氧量</w:t>
            </w:r>
          </w:p>
        </w:tc>
        <w:tc>
          <w:tcPr>
            <w:tcW w:w="2486" w:type="dxa"/>
            <w:vAlign w:val="top"/>
          </w:tcPr>
          <w:p>
            <w:pPr>
              <w:pStyle w:val="6"/>
              <w:spacing w:before="92" w:line="212" w:lineRule="auto"/>
              <w:ind w:left="1209"/>
            </w:pPr>
            <w:r>
              <w:t>/</w:t>
            </w:r>
          </w:p>
        </w:tc>
        <w:tc>
          <w:tcPr>
            <w:tcW w:w="2488" w:type="dxa"/>
            <w:vAlign w:val="top"/>
          </w:tcPr>
          <w:p>
            <w:pPr>
              <w:pStyle w:val="6"/>
              <w:spacing w:before="92" w:line="212" w:lineRule="auto"/>
              <w:ind w:left="874"/>
            </w:pPr>
            <w:r>
              <w:rPr>
                <w:spacing w:val="-1"/>
              </w:rPr>
              <w:t>0.25~0.3</w:t>
            </w:r>
          </w:p>
        </w:tc>
        <w:tc>
          <w:tcPr>
            <w:tcW w:w="2486" w:type="dxa"/>
            <w:vAlign w:val="top"/>
          </w:tcPr>
          <w:p>
            <w:pPr>
              <w:pStyle w:val="6"/>
              <w:spacing w:before="92" w:line="212" w:lineRule="auto"/>
              <w:ind w:left="1210"/>
            </w:pPr>
            <w:r>
              <w:t>/</w:t>
            </w:r>
          </w:p>
        </w:tc>
        <w:tc>
          <w:tcPr>
            <w:tcW w:w="2071" w:type="dxa"/>
            <w:vAlign w:val="top"/>
          </w:tcPr>
          <w:p>
            <w:pPr>
              <w:pStyle w:val="6"/>
              <w:spacing w:before="92" w:line="212" w:lineRule="auto"/>
              <w:ind w:left="666"/>
            </w:pPr>
            <w:r>
              <w:rPr>
                <w:spacing w:val="-1"/>
              </w:rPr>
              <w:t>0.2~0.25</w:t>
            </w:r>
          </w:p>
        </w:tc>
        <w:tc>
          <w:tcPr>
            <w:tcW w:w="1570" w:type="dxa"/>
            <w:tcBorders>
              <w:right w:val="nil"/>
            </w:tcBorders>
            <w:vAlign w:val="top"/>
          </w:tcPr>
          <w:p>
            <w:pPr>
              <w:spacing w:before="58" w:line="218"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95" w:line="188" w:lineRule="auto"/>
              <w:ind w:left="329"/>
            </w:pPr>
            <w:r>
              <w:t>6</w:t>
            </w:r>
          </w:p>
        </w:tc>
        <w:tc>
          <w:tcPr>
            <w:tcW w:w="2141" w:type="dxa"/>
            <w:vAlign w:val="top"/>
          </w:tcPr>
          <w:p>
            <w:pPr>
              <w:spacing w:before="59" w:line="217" w:lineRule="auto"/>
              <w:ind w:left="346"/>
              <w:rPr>
                <w:rFonts w:ascii="仿宋" w:hAnsi="仿宋" w:eastAsia="仿宋" w:cs="仿宋"/>
                <w:sz w:val="21"/>
                <w:szCs w:val="21"/>
              </w:rPr>
            </w:pPr>
            <w:r>
              <w:rPr>
                <w:rFonts w:ascii="仿宋" w:hAnsi="仿宋" w:eastAsia="仿宋" w:cs="仿宋"/>
                <w:spacing w:val="-3"/>
                <w:sz w:val="21"/>
                <w:szCs w:val="21"/>
              </w:rPr>
              <w:t>五日生化需氧量</w:t>
            </w:r>
          </w:p>
        </w:tc>
        <w:tc>
          <w:tcPr>
            <w:tcW w:w="2486" w:type="dxa"/>
            <w:vAlign w:val="top"/>
          </w:tcPr>
          <w:p>
            <w:pPr>
              <w:pStyle w:val="6"/>
              <w:spacing w:before="93" w:line="211" w:lineRule="auto"/>
              <w:ind w:left="1209"/>
            </w:pPr>
            <w:r>
              <w:t>/</w:t>
            </w:r>
          </w:p>
        </w:tc>
        <w:tc>
          <w:tcPr>
            <w:tcW w:w="2488" w:type="dxa"/>
            <w:vAlign w:val="top"/>
          </w:tcPr>
          <w:p>
            <w:pPr>
              <w:pStyle w:val="6"/>
              <w:spacing w:before="93" w:line="211" w:lineRule="auto"/>
              <w:ind w:left="769"/>
            </w:pPr>
            <w:r>
              <w:rPr>
                <w:spacing w:val="-1"/>
              </w:rPr>
              <w:t>0.125~0.15</w:t>
            </w:r>
          </w:p>
        </w:tc>
        <w:tc>
          <w:tcPr>
            <w:tcW w:w="2486" w:type="dxa"/>
            <w:vAlign w:val="top"/>
          </w:tcPr>
          <w:p>
            <w:pPr>
              <w:pStyle w:val="6"/>
              <w:spacing w:before="93" w:line="211" w:lineRule="auto"/>
              <w:ind w:left="1210"/>
            </w:pPr>
            <w:r>
              <w:t>/</w:t>
            </w:r>
          </w:p>
        </w:tc>
        <w:tc>
          <w:tcPr>
            <w:tcW w:w="2071" w:type="dxa"/>
            <w:vAlign w:val="top"/>
          </w:tcPr>
          <w:p>
            <w:pPr>
              <w:pStyle w:val="6"/>
              <w:spacing w:before="93" w:line="211" w:lineRule="auto"/>
              <w:ind w:left="561"/>
            </w:pPr>
            <w:r>
              <w:rPr>
                <w:spacing w:val="-1"/>
              </w:rPr>
              <w:t>0.225~0.25</w:t>
            </w:r>
          </w:p>
        </w:tc>
        <w:tc>
          <w:tcPr>
            <w:tcW w:w="1570" w:type="dxa"/>
            <w:tcBorders>
              <w:right w:val="nil"/>
            </w:tcBorders>
            <w:vAlign w:val="top"/>
          </w:tcPr>
          <w:p>
            <w:pPr>
              <w:spacing w:before="59" w:line="217"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00" w:line="185" w:lineRule="auto"/>
              <w:ind w:left="328"/>
            </w:pPr>
            <w:r>
              <w:t>7</w:t>
            </w:r>
          </w:p>
        </w:tc>
        <w:tc>
          <w:tcPr>
            <w:tcW w:w="2141" w:type="dxa"/>
            <w:vAlign w:val="top"/>
          </w:tcPr>
          <w:p>
            <w:pPr>
              <w:spacing w:before="60" w:line="216" w:lineRule="auto"/>
              <w:ind w:left="253"/>
              <w:rPr>
                <w:rFonts w:ascii="仿宋" w:hAnsi="仿宋" w:eastAsia="仿宋" w:cs="仿宋"/>
                <w:sz w:val="21"/>
                <w:szCs w:val="21"/>
              </w:rPr>
            </w:pPr>
            <w:r>
              <w:rPr>
                <w:rFonts w:ascii="仿宋" w:hAnsi="仿宋" w:eastAsia="仿宋" w:cs="仿宋"/>
                <w:spacing w:val="-4"/>
                <w:sz w:val="21"/>
                <w:szCs w:val="21"/>
              </w:rPr>
              <w:t>阴离子表面活性剂</w:t>
            </w:r>
          </w:p>
        </w:tc>
        <w:tc>
          <w:tcPr>
            <w:tcW w:w="2486" w:type="dxa"/>
            <w:vAlign w:val="top"/>
          </w:tcPr>
          <w:p>
            <w:pPr>
              <w:pStyle w:val="6"/>
              <w:spacing w:before="95" w:line="209" w:lineRule="auto"/>
              <w:ind w:left="1209"/>
            </w:pPr>
            <w:r>
              <w:t>/</w:t>
            </w:r>
          </w:p>
        </w:tc>
        <w:tc>
          <w:tcPr>
            <w:tcW w:w="2488" w:type="dxa"/>
            <w:vAlign w:val="top"/>
          </w:tcPr>
          <w:p>
            <w:pPr>
              <w:pStyle w:val="6"/>
              <w:spacing w:before="95" w:line="209" w:lineRule="auto"/>
              <w:ind w:left="1210"/>
            </w:pPr>
            <w:r>
              <w:t>/</w:t>
            </w:r>
          </w:p>
        </w:tc>
        <w:tc>
          <w:tcPr>
            <w:tcW w:w="2486" w:type="dxa"/>
            <w:vAlign w:val="top"/>
          </w:tcPr>
          <w:p>
            <w:pPr>
              <w:pStyle w:val="6"/>
              <w:spacing w:before="95" w:line="209" w:lineRule="auto"/>
              <w:ind w:left="1210"/>
            </w:pPr>
            <w:r>
              <w:t>/</w:t>
            </w:r>
          </w:p>
        </w:tc>
        <w:tc>
          <w:tcPr>
            <w:tcW w:w="2071" w:type="dxa"/>
            <w:vAlign w:val="top"/>
          </w:tcPr>
          <w:p>
            <w:pPr>
              <w:pStyle w:val="6"/>
              <w:spacing w:before="95" w:line="209" w:lineRule="auto"/>
              <w:ind w:left="1001"/>
            </w:pPr>
            <w:r>
              <w:t>/</w:t>
            </w:r>
          </w:p>
        </w:tc>
        <w:tc>
          <w:tcPr>
            <w:tcW w:w="1570" w:type="dxa"/>
            <w:tcBorders>
              <w:right w:val="nil"/>
            </w:tcBorders>
            <w:vAlign w:val="top"/>
          </w:tcPr>
          <w:p>
            <w:pPr>
              <w:spacing w:before="60" w:line="216"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97" w:line="188" w:lineRule="auto"/>
              <w:ind w:left="333"/>
            </w:pPr>
            <w:r>
              <w:t>8</w:t>
            </w:r>
          </w:p>
        </w:tc>
        <w:tc>
          <w:tcPr>
            <w:tcW w:w="2141" w:type="dxa"/>
            <w:vAlign w:val="top"/>
          </w:tcPr>
          <w:p>
            <w:pPr>
              <w:spacing w:before="61" w:line="214" w:lineRule="auto"/>
              <w:ind w:left="768"/>
              <w:rPr>
                <w:rFonts w:ascii="仿宋" w:hAnsi="仿宋" w:eastAsia="仿宋" w:cs="仿宋"/>
                <w:sz w:val="21"/>
                <w:szCs w:val="21"/>
              </w:rPr>
            </w:pPr>
            <w:r>
              <w:rPr>
                <w:rFonts w:ascii="仿宋" w:hAnsi="仿宋" w:eastAsia="仿宋" w:cs="仿宋"/>
                <w:spacing w:val="-5"/>
                <w:sz w:val="21"/>
                <w:szCs w:val="21"/>
              </w:rPr>
              <w:t>氯化物</w:t>
            </w:r>
          </w:p>
        </w:tc>
        <w:tc>
          <w:tcPr>
            <w:tcW w:w="2486" w:type="dxa"/>
            <w:vAlign w:val="top"/>
          </w:tcPr>
          <w:p>
            <w:pPr>
              <w:pStyle w:val="6"/>
              <w:spacing w:before="95" w:line="208" w:lineRule="auto"/>
              <w:ind w:left="1209"/>
            </w:pPr>
            <w:r>
              <w:t>/</w:t>
            </w:r>
          </w:p>
        </w:tc>
        <w:tc>
          <w:tcPr>
            <w:tcW w:w="2488" w:type="dxa"/>
            <w:vAlign w:val="top"/>
          </w:tcPr>
          <w:p>
            <w:pPr>
              <w:pStyle w:val="6"/>
              <w:spacing w:before="95" w:line="208" w:lineRule="auto"/>
              <w:ind w:left="1210"/>
            </w:pPr>
            <w:r>
              <w:t>/</w:t>
            </w:r>
          </w:p>
        </w:tc>
        <w:tc>
          <w:tcPr>
            <w:tcW w:w="2486" w:type="dxa"/>
            <w:vAlign w:val="top"/>
          </w:tcPr>
          <w:p>
            <w:pPr>
              <w:pStyle w:val="6"/>
              <w:spacing w:before="95" w:line="208" w:lineRule="auto"/>
              <w:ind w:left="1210"/>
            </w:pPr>
            <w:r>
              <w:t>/</w:t>
            </w:r>
          </w:p>
        </w:tc>
        <w:tc>
          <w:tcPr>
            <w:tcW w:w="2071" w:type="dxa"/>
            <w:vAlign w:val="top"/>
          </w:tcPr>
          <w:p>
            <w:pPr>
              <w:pStyle w:val="6"/>
              <w:spacing w:before="95" w:line="208" w:lineRule="auto"/>
              <w:ind w:left="1001"/>
            </w:pPr>
            <w:r>
              <w:t>/</w:t>
            </w:r>
          </w:p>
        </w:tc>
        <w:tc>
          <w:tcPr>
            <w:tcW w:w="1570" w:type="dxa"/>
            <w:tcBorders>
              <w:right w:val="nil"/>
            </w:tcBorders>
            <w:vAlign w:val="top"/>
          </w:tcPr>
          <w:p>
            <w:pPr>
              <w:spacing w:before="61" w:line="214"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9" w:hRule="atLeast"/>
        </w:trPr>
        <w:tc>
          <w:tcPr>
            <w:tcW w:w="731" w:type="dxa"/>
            <w:tcBorders>
              <w:left w:val="nil"/>
            </w:tcBorders>
            <w:vAlign w:val="top"/>
          </w:tcPr>
          <w:p>
            <w:pPr>
              <w:pStyle w:val="6"/>
              <w:spacing w:before="161" w:line="188" w:lineRule="auto"/>
              <w:ind w:left="328"/>
            </w:pPr>
            <w:r>
              <w:t>9</w:t>
            </w:r>
          </w:p>
        </w:tc>
        <w:tc>
          <w:tcPr>
            <w:tcW w:w="2141" w:type="dxa"/>
            <w:vAlign w:val="top"/>
          </w:tcPr>
          <w:p>
            <w:pPr>
              <w:spacing w:before="124" w:line="219" w:lineRule="auto"/>
              <w:ind w:left="975"/>
              <w:rPr>
                <w:rFonts w:ascii="仿宋" w:hAnsi="仿宋" w:eastAsia="仿宋" w:cs="仿宋"/>
                <w:sz w:val="21"/>
                <w:szCs w:val="21"/>
              </w:rPr>
            </w:pPr>
            <w:r>
              <w:rPr>
                <w:rFonts w:ascii="仿宋" w:hAnsi="仿宋" w:eastAsia="仿宋" w:cs="仿宋"/>
                <w:sz w:val="21"/>
                <w:szCs w:val="21"/>
              </w:rPr>
              <w:t>铜</w:t>
            </w:r>
          </w:p>
        </w:tc>
        <w:tc>
          <w:tcPr>
            <w:tcW w:w="2486" w:type="dxa"/>
            <w:vAlign w:val="top"/>
          </w:tcPr>
          <w:p>
            <w:pPr>
              <w:pStyle w:val="6"/>
              <w:spacing w:before="159" w:line="232" w:lineRule="auto"/>
              <w:ind w:left="1209"/>
            </w:pPr>
            <w:r>
              <w:t>/</w:t>
            </w:r>
          </w:p>
        </w:tc>
        <w:tc>
          <w:tcPr>
            <w:tcW w:w="2488" w:type="dxa"/>
            <w:vAlign w:val="top"/>
          </w:tcPr>
          <w:p>
            <w:pPr>
              <w:pStyle w:val="6"/>
              <w:spacing w:before="159" w:line="232" w:lineRule="auto"/>
              <w:ind w:left="1210"/>
            </w:pPr>
            <w:r>
              <w:t>/</w:t>
            </w:r>
          </w:p>
        </w:tc>
        <w:tc>
          <w:tcPr>
            <w:tcW w:w="2486" w:type="dxa"/>
            <w:vAlign w:val="top"/>
          </w:tcPr>
          <w:p>
            <w:pPr>
              <w:pStyle w:val="6"/>
              <w:spacing w:before="159" w:line="232" w:lineRule="auto"/>
              <w:ind w:left="1210"/>
            </w:pPr>
            <w:r>
              <w:t>/</w:t>
            </w:r>
          </w:p>
        </w:tc>
        <w:tc>
          <w:tcPr>
            <w:tcW w:w="2071" w:type="dxa"/>
            <w:vAlign w:val="top"/>
          </w:tcPr>
          <w:p>
            <w:pPr>
              <w:pStyle w:val="6"/>
              <w:spacing w:before="159" w:line="232" w:lineRule="auto"/>
              <w:ind w:left="1001"/>
            </w:pPr>
            <w:r>
              <w:t>/</w:t>
            </w:r>
          </w:p>
        </w:tc>
        <w:tc>
          <w:tcPr>
            <w:tcW w:w="1570" w:type="dxa"/>
            <w:tcBorders>
              <w:right w:val="nil"/>
            </w:tcBorders>
            <w:vAlign w:val="top"/>
          </w:tcPr>
          <w:p>
            <w:pPr>
              <w:spacing w:before="124" w:line="218"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01" w:line="188" w:lineRule="auto"/>
              <w:ind w:left="292"/>
            </w:pPr>
            <w:r>
              <w:rPr>
                <w:spacing w:val="-12"/>
              </w:rPr>
              <w:t>10</w:t>
            </w:r>
          </w:p>
        </w:tc>
        <w:tc>
          <w:tcPr>
            <w:tcW w:w="2141" w:type="dxa"/>
            <w:vAlign w:val="top"/>
          </w:tcPr>
          <w:p>
            <w:pPr>
              <w:spacing w:before="64" w:line="212" w:lineRule="auto"/>
              <w:ind w:left="973"/>
              <w:rPr>
                <w:rFonts w:ascii="仿宋" w:hAnsi="仿宋" w:eastAsia="仿宋" w:cs="仿宋"/>
                <w:sz w:val="21"/>
                <w:szCs w:val="21"/>
              </w:rPr>
            </w:pPr>
            <w:r>
              <w:rPr>
                <w:rFonts w:ascii="仿宋" w:hAnsi="仿宋" w:eastAsia="仿宋" w:cs="仿宋"/>
                <w:sz w:val="21"/>
                <w:szCs w:val="21"/>
              </w:rPr>
              <w:t>铅</w:t>
            </w:r>
          </w:p>
        </w:tc>
        <w:tc>
          <w:tcPr>
            <w:tcW w:w="2486" w:type="dxa"/>
            <w:vAlign w:val="top"/>
          </w:tcPr>
          <w:p>
            <w:pPr>
              <w:pStyle w:val="6"/>
              <w:spacing w:before="99" w:line="205" w:lineRule="auto"/>
              <w:ind w:left="1209"/>
            </w:pPr>
            <w:r>
              <w:t>/</w:t>
            </w:r>
          </w:p>
        </w:tc>
        <w:tc>
          <w:tcPr>
            <w:tcW w:w="2488" w:type="dxa"/>
            <w:vAlign w:val="top"/>
          </w:tcPr>
          <w:p>
            <w:pPr>
              <w:pStyle w:val="6"/>
              <w:spacing w:before="99" w:line="205" w:lineRule="auto"/>
              <w:ind w:left="1210"/>
            </w:pPr>
            <w:r>
              <w:t>/</w:t>
            </w:r>
          </w:p>
        </w:tc>
        <w:tc>
          <w:tcPr>
            <w:tcW w:w="2486" w:type="dxa"/>
            <w:vAlign w:val="top"/>
          </w:tcPr>
          <w:p>
            <w:pPr>
              <w:pStyle w:val="6"/>
              <w:spacing w:before="99" w:line="205" w:lineRule="auto"/>
              <w:ind w:left="1210"/>
            </w:pPr>
            <w:r>
              <w:t>/</w:t>
            </w:r>
          </w:p>
        </w:tc>
        <w:tc>
          <w:tcPr>
            <w:tcW w:w="2071" w:type="dxa"/>
            <w:vAlign w:val="top"/>
          </w:tcPr>
          <w:p>
            <w:pPr>
              <w:pStyle w:val="6"/>
              <w:spacing w:before="99" w:line="205" w:lineRule="auto"/>
              <w:ind w:left="1001"/>
            </w:pPr>
            <w:r>
              <w:t>/</w:t>
            </w:r>
          </w:p>
        </w:tc>
        <w:tc>
          <w:tcPr>
            <w:tcW w:w="1570" w:type="dxa"/>
            <w:tcBorders>
              <w:right w:val="nil"/>
            </w:tcBorders>
            <w:vAlign w:val="top"/>
          </w:tcPr>
          <w:p>
            <w:pPr>
              <w:spacing w:before="64" w:line="212"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01" w:line="188" w:lineRule="auto"/>
              <w:ind w:left="295"/>
            </w:pPr>
            <w:r>
              <w:rPr>
                <w:spacing w:val="-13"/>
              </w:rPr>
              <w:t>11</w:t>
            </w:r>
          </w:p>
        </w:tc>
        <w:tc>
          <w:tcPr>
            <w:tcW w:w="2141" w:type="dxa"/>
            <w:vAlign w:val="top"/>
          </w:tcPr>
          <w:p>
            <w:pPr>
              <w:spacing w:before="64" w:line="211" w:lineRule="auto"/>
              <w:ind w:left="973"/>
              <w:rPr>
                <w:rFonts w:ascii="仿宋" w:hAnsi="仿宋" w:eastAsia="仿宋" w:cs="仿宋"/>
                <w:sz w:val="21"/>
                <w:szCs w:val="21"/>
              </w:rPr>
            </w:pPr>
            <w:r>
              <w:rPr>
                <w:rFonts w:ascii="仿宋" w:hAnsi="仿宋" w:eastAsia="仿宋" w:cs="仿宋"/>
                <w:sz w:val="21"/>
                <w:szCs w:val="21"/>
              </w:rPr>
              <w:t>锌</w:t>
            </w:r>
          </w:p>
        </w:tc>
        <w:tc>
          <w:tcPr>
            <w:tcW w:w="2486" w:type="dxa"/>
            <w:vAlign w:val="top"/>
          </w:tcPr>
          <w:p>
            <w:pPr>
              <w:pStyle w:val="6"/>
              <w:spacing w:before="99" w:line="204" w:lineRule="auto"/>
              <w:ind w:left="1209"/>
            </w:pPr>
            <w:r>
              <w:t>/</w:t>
            </w:r>
          </w:p>
        </w:tc>
        <w:tc>
          <w:tcPr>
            <w:tcW w:w="2488" w:type="dxa"/>
            <w:vAlign w:val="top"/>
          </w:tcPr>
          <w:p>
            <w:pPr>
              <w:pStyle w:val="6"/>
              <w:spacing w:before="99" w:line="204" w:lineRule="auto"/>
              <w:ind w:left="1210"/>
            </w:pPr>
            <w:r>
              <w:t>/</w:t>
            </w:r>
          </w:p>
        </w:tc>
        <w:tc>
          <w:tcPr>
            <w:tcW w:w="2486" w:type="dxa"/>
            <w:vAlign w:val="top"/>
          </w:tcPr>
          <w:p>
            <w:pPr>
              <w:pStyle w:val="6"/>
              <w:spacing w:before="99" w:line="204" w:lineRule="auto"/>
              <w:ind w:left="1210"/>
            </w:pPr>
            <w:r>
              <w:t>/</w:t>
            </w:r>
          </w:p>
        </w:tc>
        <w:tc>
          <w:tcPr>
            <w:tcW w:w="2071" w:type="dxa"/>
            <w:vAlign w:val="top"/>
          </w:tcPr>
          <w:p>
            <w:pPr>
              <w:pStyle w:val="6"/>
              <w:spacing w:before="99" w:line="204" w:lineRule="auto"/>
              <w:ind w:left="1001"/>
            </w:pPr>
            <w:r>
              <w:t>/</w:t>
            </w:r>
          </w:p>
        </w:tc>
        <w:tc>
          <w:tcPr>
            <w:tcW w:w="1570" w:type="dxa"/>
            <w:tcBorders>
              <w:right w:val="nil"/>
            </w:tcBorders>
            <w:vAlign w:val="top"/>
          </w:tcPr>
          <w:p>
            <w:pPr>
              <w:spacing w:before="64" w:line="211"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04" w:line="188" w:lineRule="auto"/>
              <w:ind w:left="292"/>
            </w:pPr>
            <w:r>
              <w:rPr>
                <w:spacing w:val="-12"/>
              </w:rPr>
              <w:t>12</w:t>
            </w:r>
          </w:p>
        </w:tc>
        <w:tc>
          <w:tcPr>
            <w:tcW w:w="2141" w:type="dxa"/>
            <w:vAlign w:val="top"/>
          </w:tcPr>
          <w:p>
            <w:pPr>
              <w:spacing w:before="67" w:line="210" w:lineRule="auto"/>
              <w:ind w:left="974"/>
              <w:rPr>
                <w:rFonts w:ascii="仿宋" w:hAnsi="仿宋" w:eastAsia="仿宋" w:cs="仿宋"/>
                <w:sz w:val="21"/>
                <w:szCs w:val="21"/>
              </w:rPr>
            </w:pPr>
            <w:r>
              <w:rPr>
                <w:rFonts w:ascii="仿宋" w:hAnsi="仿宋" w:eastAsia="仿宋" w:cs="仿宋"/>
                <w:sz w:val="21"/>
                <w:szCs w:val="21"/>
              </w:rPr>
              <w:t>镉</w:t>
            </w:r>
          </w:p>
        </w:tc>
        <w:tc>
          <w:tcPr>
            <w:tcW w:w="2486" w:type="dxa"/>
            <w:vAlign w:val="top"/>
          </w:tcPr>
          <w:p>
            <w:pPr>
              <w:pStyle w:val="6"/>
              <w:spacing w:before="102" w:line="202" w:lineRule="auto"/>
              <w:ind w:left="1209"/>
            </w:pPr>
            <w:r>
              <w:t>/</w:t>
            </w:r>
          </w:p>
        </w:tc>
        <w:tc>
          <w:tcPr>
            <w:tcW w:w="2488" w:type="dxa"/>
            <w:vAlign w:val="top"/>
          </w:tcPr>
          <w:p>
            <w:pPr>
              <w:pStyle w:val="6"/>
              <w:spacing w:before="102" w:line="202" w:lineRule="auto"/>
              <w:ind w:left="1210"/>
            </w:pPr>
            <w:r>
              <w:t>/</w:t>
            </w:r>
          </w:p>
        </w:tc>
        <w:tc>
          <w:tcPr>
            <w:tcW w:w="2486" w:type="dxa"/>
            <w:vAlign w:val="top"/>
          </w:tcPr>
          <w:p>
            <w:pPr>
              <w:pStyle w:val="6"/>
              <w:spacing w:before="102" w:line="202" w:lineRule="auto"/>
              <w:ind w:left="1210"/>
            </w:pPr>
            <w:r>
              <w:t>/</w:t>
            </w:r>
          </w:p>
        </w:tc>
        <w:tc>
          <w:tcPr>
            <w:tcW w:w="2071" w:type="dxa"/>
            <w:vAlign w:val="top"/>
          </w:tcPr>
          <w:p>
            <w:pPr>
              <w:pStyle w:val="6"/>
              <w:spacing w:before="102" w:line="202" w:lineRule="auto"/>
              <w:ind w:left="1001"/>
            </w:pPr>
            <w:r>
              <w:t>/</w:t>
            </w:r>
          </w:p>
        </w:tc>
        <w:tc>
          <w:tcPr>
            <w:tcW w:w="1570" w:type="dxa"/>
            <w:tcBorders>
              <w:right w:val="nil"/>
            </w:tcBorders>
            <w:vAlign w:val="top"/>
          </w:tcPr>
          <w:p>
            <w:pPr>
              <w:spacing w:before="67" w:line="210"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04" w:line="188" w:lineRule="auto"/>
              <w:ind w:left="292"/>
            </w:pPr>
            <w:r>
              <w:rPr>
                <w:spacing w:val="-12"/>
              </w:rPr>
              <w:t>13</w:t>
            </w:r>
          </w:p>
        </w:tc>
        <w:tc>
          <w:tcPr>
            <w:tcW w:w="2141" w:type="dxa"/>
            <w:vAlign w:val="top"/>
          </w:tcPr>
          <w:p>
            <w:pPr>
              <w:spacing w:before="68" w:line="208" w:lineRule="auto"/>
              <w:ind w:left="973"/>
              <w:rPr>
                <w:rFonts w:ascii="仿宋" w:hAnsi="仿宋" w:eastAsia="仿宋" w:cs="仿宋"/>
                <w:sz w:val="21"/>
                <w:szCs w:val="21"/>
              </w:rPr>
            </w:pPr>
            <w:r>
              <w:rPr>
                <w:rFonts w:ascii="仿宋" w:hAnsi="仿宋" w:eastAsia="仿宋" w:cs="仿宋"/>
                <w:sz w:val="21"/>
                <w:szCs w:val="21"/>
              </w:rPr>
              <w:t>硒</w:t>
            </w:r>
          </w:p>
        </w:tc>
        <w:tc>
          <w:tcPr>
            <w:tcW w:w="2486" w:type="dxa"/>
            <w:vAlign w:val="top"/>
          </w:tcPr>
          <w:p>
            <w:pPr>
              <w:pStyle w:val="6"/>
              <w:spacing w:before="102" w:line="201" w:lineRule="auto"/>
              <w:ind w:left="1209"/>
            </w:pPr>
            <w:r>
              <w:t>/</w:t>
            </w:r>
          </w:p>
        </w:tc>
        <w:tc>
          <w:tcPr>
            <w:tcW w:w="2488" w:type="dxa"/>
            <w:vAlign w:val="top"/>
          </w:tcPr>
          <w:p>
            <w:pPr>
              <w:pStyle w:val="6"/>
              <w:spacing w:before="102" w:line="201" w:lineRule="auto"/>
              <w:ind w:left="1210"/>
            </w:pPr>
            <w:r>
              <w:t>/</w:t>
            </w:r>
          </w:p>
        </w:tc>
        <w:tc>
          <w:tcPr>
            <w:tcW w:w="2486" w:type="dxa"/>
            <w:vAlign w:val="top"/>
          </w:tcPr>
          <w:p>
            <w:pPr>
              <w:pStyle w:val="6"/>
              <w:spacing w:before="102" w:line="201" w:lineRule="auto"/>
              <w:ind w:left="1210"/>
            </w:pPr>
            <w:r>
              <w:t>/</w:t>
            </w:r>
          </w:p>
        </w:tc>
        <w:tc>
          <w:tcPr>
            <w:tcW w:w="2071" w:type="dxa"/>
            <w:vAlign w:val="top"/>
          </w:tcPr>
          <w:p>
            <w:pPr>
              <w:pStyle w:val="6"/>
              <w:spacing w:before="102" w:line="201" w:lineRule="auto"/>
              <w:ind w:left="1001"/>
            </w:pPr>
            <w:r>
              <w:t>/</w:t>
            </w:r>
          </w:p>
        </w:tc>
        <w:tc>
          <w:tcPr>
            <w:tcW w:w="1570" w:type="dxa"/>
            <w:tcBorders>
              <w:right w:val="nil"/>
            </w:tcBorders>
            <w:vAlign w:val="top"/>
          </w:tcPr>
          <w:p>
            <w:pPr>
              <w:spacing w:before="68" w:line="208"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07" w:line="188" w:lineRule="auto"/>
              <w:ind w:left="292"/>
            </w:pPr>
            <w:r>
              <w:rPr>
                <w:spacing w:val="-12"/>
              </w:rPr>
              <w:t>14</w:t>
            </w:r>
          </w:p>
        </w:tc>
        <w:tc>
          <w:tcPr>
            <w:tcW w:w="2141" w:type="dxa"/>
            <w:vAlign w:val="top"/>
          </w:tcPr>
          <w:p>
            <w:pPr>
              <w:spacing w:before="70" w:line="207" w:lineRule="auto"/>
              <w:ind w:left="973"/>
              <w:rPr>
                <w:rFonts w:ascii="仿宋" w:hAnsi="仿宋" w:eastAsia="仿宋" w:cs="仿宋"/>
                <w:sz w:val="21"/>
                <w:szCs w:val="21"/>
              </w:rPr>
            </w:pPr>
            <w:r>
              <w:rPr>
                <w:rFonts w:ascii="仿宋" w:hAnsi="仿宋" w:eastAsia="仿宋" w:cs="仿宋"/>
                <w:sz w:val="21"/>
                <w:szCs w:val="21"/>
              </w:rPr>
              <w:t>砷</w:t>
            </w:r>
          </w:p>
        </w:tc>
        <w:tc>
          <w:tcPr>
            <w:tcW w:w="2486" w:type="dxa"/>
            <w:vAlign w:val="top"/>
          </w:tcPr>
          <w:p>
            <w:pPr>
              <w:pStyle w:val="6"/>
              <w:spacing w:before="105" w:line="199" w:lineRule="auto"/>
              <w:ind w:left="716"/>
            </w:pPr>
            <w:r>
              <w:rPr>
                <w:spacing w:val="-1"/>
              </w:rPr>
              <w:t>0.054~0.056</w:t>
            </w:r>
          </w:p>
        </w:tc>
        <w:tc>
          <w:tcPr>
            <w:tcW w:w="2488" w:type="dxa"/>
            <w:vAlign w:val="top"/>
          </w:tcPr>
          <w:p>
            <w:pPr>
              <w:pStyle w:val="6"/>
              <w:spacing w:before="105" w:line="199" w:lineRule="auto"/>
              <w:ind w:left="769"/>
            </w:pPr>
            <w:r>
              <w:rPr>
                <w:spacing w:val="-1"/>
              </w:rPr>
              <w:t>0.062~0.07</w:t>
            </w:r>
          </w:p>
        </w:tc>
        <w:tc>
          <w:tcPr>
            <w:tcW w:w="2486" w:type="dxa"/>
            <w:vAlign w:val="top"/>
          </w:tcPr>
          <w:p>
            <w:pPr>
              <w:pStyle w:val="6"/>
              <w:spacing w:before="105" w:line="199" w:lineRule="auto"/>
              <w:ind w:left="769"/>
            </w:pPr>
            <w:r>
              <w:rPr>
                <w:spacing w:val="-1"/>
              </w:rPr>
              <w:t>0.05~0.054</w:t>
            </w:r>
          </w:p>
        </w:tc>
        <w:tc>
          <w:tcPr>
            <w:tcW w:w="2071" w:type="dxa"/>
            <w:vAlign w:val="top"/>
          </w:tcPr>
          <w:p>
            <w:pPr>
              <w:pStyle w:val="6"/>
              <w:spacing w:before="105" w:line="199" w:lineRule="auto"/>
              <w:ind w:left="509"/>
            </w:pPr>
            <w:r>
              <w:rPr>
                <w:spacing w:val="-1"/>
              </w:rPr>
              <w:t>0.052~0.066</w:t>
            </w:r>
          </w:p>
        </w:tc>
        <w:tc>
          <w:tcPr>
            <w:tcW w:w="1570" w:type="dxa"/>
            <w:tcBorders>
              <w:right w:val="nil"/>
            </w:tcBorders>
            <w:vAlign w:val="top"/>
          </w:tcPr>
          <w:p>
            <w:pPr>
              <w:spacing w:before="70" w:line="207"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07" w:line="188" w:lineRule="auto"/>
              <w:ind w:left="292"/>
            </w:pPr>
            <w:r>
              <w:rPr>
                <w:spacing w:val="-12"/>
              </w:rPr>
              <w:t>15</w:t>
            </w:r>
          </w:p>
        </w:tc>
        <w:tc>
          <w:tcPr>
            <w:tcW w:w="2141" w:type="dxa"/>
            <w:vAlign w:val="top"/>
          </w:tcPr>
          <w:p>
            <w:pPr>
              <w:spacing w:before="70" w:line="207" w:lineRule="auto"/>
              <w:ind w:left="974"/>
              <w:rPr>
                <w:rFonts w:ascii="仿宋" w:hAnsi="仿宋" w:eastAsia="仿宋" w:cs="仿宋"/>
                <w:sz w:val="21"/>
                <w:szCs w:val="21"/>
              </w:rPr>
            </w:pPr>
            <w:r>
              <w:rPr>
                <w:rFonts w:ascii="仿宋" w:hAnsi="仿宋" w:eastAsia="仿宋" w:cs="仿宋"/>
                <w:sz w:val="21"/>
                <w:szCs w:val="21"/>
              </w:rPr>
              <w:t>汞</w:t>
            </w:r>
          </w:p>
        </w:tc>
        <w:tc>
          <w:tcPr>
            <w:tcW w:w="2486" w:type="dxa"/>
            <w:vAlign w:val="top"/>
          </w:tcPr>
          <w:p>
            <w:pPr>
              <w:pStyle w:val="6"/>
              <w:spacing w:before="105" w:line="199" w:lineRule="auto"/>
              <w:ind w:left="1209"/>
            </w:pPr>
            <w:r>
              <w:t>/</w:t>
            </w:r>
          </w:p>
        </w:tc>
        <w:tc>
          <w:tcPr>
            <w:tcW w:w="2488" w:type="dxa"/>
            <w:vAlign w:val="top"/>
          </w:tcPr>
          <w:p>
            <w:pPr>
              <w:pStyle w:val="6"/>
              <w:spacing w:before="105" w:line="199" w:lineRule="auto"/>
              <w:ind w:left="1210"/>
            </w:pPr>
            <w:r>
              <w:t>/</w:t>
            </w:r>
          </w:p>
        </w:tc>
        <w:tc>
          <w:tcPr>
            <w:tcW w:w="2486" w:type="dxa"/>
            <w:vAlign w:val="top"/>
          </w:tcPr>
          <w:p>
            <w:pPr>
              <w:pStyle w:val="6"/>
              <w:spacing w:before="105" w:line="199" w:lineRule="auto"/>
              <w:ind w:left="1210"/>
            </w:pPr>
            <w:r>
              <w:t>/</w:t>
            </w:r>
          </w:p>
        </w:tc>
        <w:tc>
          <w:tcPr>
            <w:tcW w:w="2071" w:type="dxa"/>
            <w:vAlign w:val="top"/>
          </w:tcPr>
          <w:p>
            <w:pPr>
              <w:pStyle w:val="6"/>
              <w:spacing w:before="105" w:line="199" w:lineRule="auto"/>
              <w:ind w:left="1001"/>
            </w:pPr>
            <w:r>
              <w:t>/</w:t>
            </w:r>
          </w:p>
        </w:tc>
        <w:tc>
          <w:tcPr>
            <w:tcW w:w="1570" w:type="dxa"/>
            <w:tcBorders>
              <w:right w:val="nil"/>
            </w:tcBorders>
            <w:vAlign w:val="top"/>
          </w:tcPr>
          <w:p>
            <w:pPr>
              <w:spacing w:before="70" w:line="207"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8" w:hRule="atLeast"/>
        </w:trPr>
        <w:tc>
          <w:tcPr>
            <w:tcW w:w="731" w:type="dxa"/>
            <w:tcBorders>
              <w:left w:val="nil"/>
            </w:tcBorders>
            <w:vAlign w:val="top"/>
          </w:tcPr>
          <w:p>
            <w:pPr>
              <w:pStyle w:val="6"/>
              <w:spacing w:before="265" w:line="188" w:lineRule="auto"/>
              <w:ind w:left="292"/>
            </w:pPr>
            <w:r>
              <w:rPr>
                <w:spacing w:val="-12"/>
              </w:rPr>
              <w:t>16</w:t>
            </w:r>
          </w:p>
        </w:tc>
        <w:tc>
          <w:tcPr>
            <w:tcW w:w="2141" w:type="dxa"/>
            <w:vAlign w:val="top"/>
          </w:tcPr>
          <w:p>
            <w:pPr>
              <w:spacing w:before="73" w:line="312" w:lineRule="exact"/>
              <w:ind w:left="559"/>
              <w:rPr>
                <w:rFonts w:ascii="仿宋" w:hAnsi="仿宋" w:eastAsia="仿宋" w:cs="仿宋"/>
                <w:sz w:val="21"/>
                <w:szCs w:val="21"/>
              </w:rPr>
            </w:pPr>
            <w:r>
              <w:rPr>
                <w:rFonts w:ascii="仿宋" w:hAnsi="仿宋" w:eastAsia="仿宋" w:cs="仿宋"/>
                <w:spacing w:val="-4"/>
                <w:position w:val="7"/>
                <w:sz w:val="21"/>
                <w:szCs w:val="21"/>
              </w:rPr>
              <w:t>粪大肠菌群</w:t>
            </w:r>
          </w:p>
          <w:p>
            <w:pPr>
              <w:pStyle w:val="6"/>
              <w:spacing w:line="204" w:lineRule="auto"/>
              <w:ind w:left="547"/>
              <w:rPr>
                <w:rFonts w:ascii="仿宋" w:hAnsi="仿宋" w:eastAsia="仿宋" w:cs="仿宋"/>
              </w:rPr>
            </w:pPr>
            <w:r>
              <w:rPr>
                <w:rFonts w:ascii="仿宋" w:hAnsi="仿宋" w:eastAsia="仿宋" w:cs="仿宋"/>
                <w:spacing w:val="-2"/>
              </w:rPr>
              <w:t>（</w:t>
            </w:r>
            <w:r>
              <w:rPr>
                <w:spacing w:val="-2"/>
              </w:rPr>
              <w:t>MPN/L</w:t>
            </w:r>
            <w:r>
              <w:rPr>
                <w:rFonts w:ascii="仿宋" w:hAnsi="仿宋" w:eastAsia="仿宋" w:cs="仿宋"/>
                <w:spacing w:val="-2"/>
              </w:rPr>
              <w:t>）</w:t>
            </w:r>
          </w:p>
        </w:tc>
        <w:tc>
          <w:tcPr>
            <w:tcW w:w="2486" w:type="dxa"/>
            <w:vAlign w:val="top"/>
          </w:tcPr>
          <w:p>
            <w:pPr>
              <w:pStyle w:val="6"/>
              <w:spacing w:before="265" w:line="188" w:lineRule="auto"/>
              <w:ind w:left="769"/>
            </w:pPr>
            <w:r>
              <w:rPr>
                <w:spacing w:val="-1"/>
              </w:rPr>
              <w:t>0.044~0.60</w:t>
            </w:r>
          </w:p>
        </w:tc>
        <w:tc>
          <w:tcPr>
            <w:tcW w:w="2488" w:type="dxa"/>
            <w:vAlign w:val="top"/>
          </w:tcPr>
          <w:p>
            <w:pPr>
              <w:pStyle w:val="6"/>
              <w:spacing w:before="263" w:line="232" w:lineRule="auto"/>
              <w:ind w:left="716"/>
            </w:pPr>
            <w:r>
              <w:rPr>
                <w:spacing w:val="-1"/>
              </w:rPr>
              <w:t>0.049~0.069</w:t>
            </w:r>
          </w:p>
        </w:tc>
        <w:tc>
          <w:tcPr>
            <w:tcW w:w="2486" w:type="dxa"/>
            <w:vAlign w:val="top"/>
          </w:tcPr>
          <w:p>
            <w:pPr>
              <w:pStyle w:val="6"/>
              <w:spacing w:before="263" w:line="232" w:lineRule="auto"/>
              <w:ind w:left="716"/>
            </w:pPr>
            <w:r>
              <w:rPr>
                <w:spacing w:val="-1"/>
              </w:rPr>
              <w:t>0.034~0.046</w:t>
            </w:r>
          </w:p>
        </w:tc>
        <w:tc>
          <w:tcPr>
            <w:tcW w:w="2071" w:type="dxa"/>
            <w:vAlign w:val="top"/>
          </w:tcPr>
          <w:p>
            <w:pPr>
              <w:pStyle w:val="6"/>
              <w:spacing w:before="265" w:line="188" w:lineRule="auto"/>
              <w:ind w:left="509"/>
            </w:pPr>
            <w:r>
              <w:rPr>
                <w:spacing w:val="-1"/>
              </w:rPr>
              <w:t>0.028~0.045</w:t>
            </w:r>
          </w:p>
        </w:tc>
        <w:tc>
          <w:tcPr>
            <w:tcW w:w="1570" w:type="dxa"/>
            <w:tcBorders>
              <w:right w:val="nil"/>
            </w:tcBorders>
            <w:vAlign w:val="top"/>
          </w:tcPr>
          <w:p>
            <w:pPr>
              <w:spacing w:before="229" w:line="218"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09" w:line="188" w:lineRule="auto"/>
              <w:ind w:left="292"/>
            </w:pPr>
            <w:r>
              <w:rPr>
                <w:spacing w:val="-12"/>
              </w:rPr>
              <w:t>17</w:t>
            </w:r>
          </w:p>
        </w:tc>
        <w:tc>
          <w:tcPr>
            <w:tcW w:w="2141" w:type="dxa"/>
            <w:vAlign w:val="top"/>
          </w:tcPr>
          <w:p>
            <w:pPr>
              <w:spacing w:before="72" w:line="204" w:lineRule="auto"/>
              <w:ind w:left="765"/>
              <w:rPr>
                <w:rFonts w:ascii="仿宋" w:hAnsi="仿宋" w:eastAsia="仿宋" w:cs="仿宋"/>
                <w:sz w:val="21"/>
                <w:szCs w:val="21"/>
              </w:rPr>
            </w:pPr>
            <w:r>
              <w:rPr>
                <w:rFonts w:ascii="仿宋" w:hAnsi="仿宋" w:eastAsia="仿宋" w:cs="仿宋"/>
                <w:spacing w:val="-4"/>
                <w:sz w:val="21"/>
                <w:szCs w:val="21"/>
              </w:rPr>
              <w:t>六价铬</w:t>
            </w:r>
          </w:p>
        </w:tc>
        <w:tc>
          <w:tcPr>
            <w:tcW w:w="2486" w:type="dxa"/>
            <w:vAlign w:val="top"/>
          </w:tcPr>
          <w:p>
            <w:pPr>
              <w:pStyle w:val="6"/>
              <w:spacing w:before="107" w:line="196" w:lineRule="auto"/>
              <w:ind w:left="1209"/>
            </w:pPr>
            <w:r>
              <w:t>/</w:t>
            </w:r>
          </w:p>
        </w:tc>
        <w:tc>
          <w:tcPr>
            <w:tcW w:w="2488" w:type="dxa"/>
            <w:vAlign w:val="top"/>
          </w:tcPr>
          <w:p>
            <w:pPr>
              <w:pStyle w:val="6"/>
              <w:spacing w:before="107" w:line="196" w:lineRule="auto"/>
              <w:ind w:left="1210"/>
            </w:pPr>
            <w:r>
              <w:t>/</w:t>
            </w:r>
          </w:p>
        </w:tc>
        <w:tc>
          <w:tcPr>
            <w:tcW w:w="2486" w:type="dxa"/>
            <w:vAlign w:val="top"/>
          </w:tcPr>
          <w:p>
            <w:pPr>
              <w:pStyle w:val="6"/>
              <w:spacing w:before="107" w:line="196" w:lineRule="auto"/>
              <w:ind w:left="1210"/>
            </w:pPr>
            <w:r>
              <w:t>/</w:t>
            </w:r>
          </w:p>
        </w:tc>
        <w:tc>
          <w:tcPr>
            <w:tcW w:w="2071" w:type="dxa"/>
            <w:vAlign w:val="top"/>
          </w:tcPr>
          <w:p>
            <w:pPr>
              <w:pStyle w:val="6"/>
              <w:spacing w:before="107" w:line="196" w:lineRule="auto"/>
              <w:ind w:left="1001"/>
            </w:pPr>
            <w:r>
              <w:t>/</w:t>
            </w:r>
          </w:p>
        </w:tc>
        <w:tc>
          <w:tcPr>
            <w:tcW w:w="1570" w:type="dxa"/>
            <w:tcBorders>
              <w:right w:val="nil"/>
            </w:tcBorders>
            <w:vAlign w:val="top"/>
          </w:tcPr>
          <w:p>
            <w:pPr>
              <w:spacing w:before="72" w:line="204"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31" w:type="dxa"/>
            <w:tcBorders>
              <w:left w:val="nil"/>
            </w:tcBorders>
            <w:vAlign w:val="top"/>
          </w:tcPr>
          <w:p>
            <w:pPr>
              <w:pStyle w:val="6"/>
              <w:spacing w:before="112" w:line="188" w:lineRule="auto"/>
              <w:ind w:left="292"/>
            </w:pPr>
            <w:r>
              <w:rPr>
                <w:spacing w:val="-12"/>
              </w:rPr>
              <w:t>18</w:t>
            </w:r>
          </w:p>
        </w:tc>
        <w:tc>
          <w:tcPr>
            <w:tcW w:w="2141" w:type="dxa"/>
            <w:vAlign w:val="top"/>
          </w:tcPr>
          <w:p>
            <w:pPr>
              <w:spacing w:before="76" w:line="202" w:lineRule="auto"/>
              <w:ind w:left="769"/>
              <w:rPr>
                <w:rFonts w:ascii="仿宋" w:hAnsi="仿宋" w:eastAsia="仿宋" w:cs="仿宋"/>
                <w:sz w:val="21"/>
                <w:szCs w:val="21"/>
              </w:rPr>
            </w:pPr>
            <w:r>
              <w:rPr>
                <w:rFonts w:ascii="仿宋" w:hAnsi="仿宋" w:eastAsia="仿宋" w:cs="仿宋"/>
                <w:spacing w:val="-5"/>
                <w:sz w:val="21"/>
                <w:szCs w:val="21"/>
              </w:rPr>
              <w:t>氟化物</w:t>
            </w:r>
          </w:p>
        </w:tc>
        <w:tc>
          <w:tcPr>
            <w:tcW w:w="2486" w:type="dxa"/>
            <w:vAlign w:val="top"/>
          </w:tcPr>
          <w:p>
            <w:pPr>
              <w:pStyle w:val="6"/>
              <w:spacing w:before="112" w:line="188" w:lineRule="auto"/>
              <w:ind w:left="825"/>
            </w:pPr>
            <w:r>
              <w:rPr>
                <w:spacing w:val="-1"/>
              </w:rPr>
              <w:t>0.09~0.11</w:t>
            </w:r>
          </w:p>
        </w:tc>
        <w:tc>
          <w:tcPr>
            <w:tcW w:w="2488" w:type="dxa"/>
            <w:vAlign w:val="top"/>
          </w:tcPr>
          <w:p>
            <w:pPr>
              <w:pStyle w:val="6"/>
              <w:spacing w:before="112" w:line="188" w:lineRule="auto"/>
              <w:ind w:left="822"/>
            </w:pPr>
            <w:r>
              <w:rPr>
                <w:spacing w:val="-1"/>
              </w:rPr>
              <w:t>0.05~0.09</w:t>
            </w:r>
          </w:p>
        </w:tc>
        <w:tc>
          <w:tcPr>
            <w:tcW w:w="2486" w:type="dxa"/>
            <w:vAlign w:val="top"/>
          </w:tcPr>
          <w:p>
            <w:pPr>
              <w:pStyle w:val="6"/>
              <w:spacing w:before="112" w:line="188" w:lineRule="auto"/>
              <w:ind w:left="822"/>
            </w:pPr>
            <w:r>
              <w:rPr>
                <w:spacing w:val="-1"/>
              </w:rPr>
              <w:t>0.13~0.16</w:t>
            </w:r>
          </w:p>
        </w:tc>
        <w:tc>
          <w:tcPr>
            <w:tcW w:w="2071" w:type="dxa"/>
            <w:vAlign w:val="top"/>
          </w:tcPr>
          <w:p>
            <w:pPr>
              <w:pStyle w:val="6"/>
              <w:spacing w:before="112" w:line="188" w:lineRule="auto"/>
              <w:ind w:left="614"/>
            </w:pPr>
            <w:r>
              <w:rPr>
                <w:spacing w:val="-1"/>
              </w:rPr>
              <w:t>0.08~0.10</w:t>
            </w:r>
          </w:p>
        </w:tc>
        <w:tc>
          <w:tcPr>
            <w:tcW w:w="1570" w:type="dxa"/>
            <w:tcBorders>
              <w:right w:val="nil"/>
            </w:tcBorders>
            <w:vAlign w:val="top"/>
          </w:tcPr>
          <w:p>
            <w:pPr>
              <w:spacing w:before="76" w:line="202"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12" w:line="188" w:lineRule="auto"/>
              <w:ind w:left="292"/>
            </w:pPr>
            <w:r>
              <w:rPr>
                <w:spacing w:val="-12"/>
              </w:rPr>
              <w:t>19</w:t>
            </w:r>
          </w:p>
        </w:tc>
        <w:tc>
          <w:tcPr>
            <w:tcW w:w="2141" w:type="dxa"/>
            <w:vAlign w:val="top"/>
          </w:tcPr>
          <w:p>
            <w:pPr>
              <w:spacing w:before="76" w:line="201" w:lineRule="auto"/>
              <w:ind w:left="976"/>
              <w:rPr>
                <w:rFonts w:ascii="仿宋" w:hAnsi="仿宋" w:eastAsia="仿宋" w:cs="仿宋"/>
                <w:sz w:val="21"/>
                <w:szCs w:val="21"/>
              </w:rPr>
            </w:pPr>
            <w:r>
              <w:rPr>
                <w:rFonts w:ascii="仿宋" w:hAnsi="仿宋" w:eastAsia="仿宋" w:cs="仿宋"/>
                <w:sz w:val="21"/>
                <w:szCs w:val="21"/>
              </w:rPr>
              <w:t>铁</w:t>
            </w:r>
          </w:p>
        </w:tc>
        <w:tc>
          <w:tcPr>
            <w:tcW w:w="2486" w:type="dxa"/>
            <w:vAlign w:val="top"/>
          </w:tcPr>
          <w:p>
            <w:pPr>
              <w:pStyle w:val="6"/>
              <w:spacing w:before="110" w:line="193" w:lineRule="auto"/>
              <w:ind w:left="1209"/>
            </w:pPr>
            <w:r>
              <w:t>/</w:t>
            </w:r>
          </w:p>
        </w:tc>
        <w:tc>
          <w:tcPr>
            <w:tcW w:w="2488" w:type="dxa"/>
            <w:vAlign w:val="top"/>
          </w:tcPr>
          <w:p>
            <w:pPr>
              <w:pStyle w:val="6"/>
              <w:spacing w:before="110" w:line="193" w:lineRule="auto"/>
              <w:ind w:left="1210"/>
            </w:pPr>
            <w:r>
              <w:t>/</w:t>
            </w:r>
          </w:p>
        </w:tc>
        <w:tc>
          <w:tcPr>
            <w:tcW w:w="2486" w:type="dxa"/>
            <w:vAlign w:val="top"/>
          </w:tcPr>
          <w:p>
            <w:pPr>
              <w:pStyle w:val="6"/>
              <w:spacing w:before="110" w:line="193" w:lineRule="auto"/>
              <w:ind w:left="1210"/>
            </w:pPr>
            <w:r>
              <w:t>/</w:t>
            </w:r>
          </w:p>
        </w:tc>
        <w:tc>
          <w:tcPr>
            <w:tcW w:w="2071" w:type="dxa"/>
            <w:vAlign w:val="top"/>
          </w:tcPr>
          <w:p>
            <w:pPr>
              <w:pStyle w:val="6"/>
              <w:spacing w:before="110" w:line="193" w:lineRule="auto"/>
              <w:ind w:left="1001"/>
            </w:pPr>
            <w:r>
              <w:t>/</w:t>
            </w:r>
          </w:p>
        </w:tc>
        <w:tc>
          <w:tcPr>
            <w:tcW w:w="1570" w:type="dxa"/>
            <w:tcBorders>
              <w:right w:val="nil"/>
            </w:tcBorders>
            <w:vAlign w:val="top"/>
          </w:tcPr>
          <w:p>
            <w:pPr>
              <w:spacing w:before="76" w:line="201"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trPr>
        <w:tc>
          <w:tcPr>
            <w:tcW w:w="731" w:type="dxa"/>
            <w:tcBorders>
              <w:left w:val="nil"/>
              <w:bottom w:val="single" w:color="000000" w:sz="12" w:space="0"/>
            </w:tcBorders>
            <w:vAlign w:val="top"/>
          </w:tcPr>
          <w:p>
            <w:pPr>
              <w:pStyle w:val="6"/>
              <w:spacing w:before="115" w:line="188" w:lineRule="auto"/>
              <w:ind w:left="272"/>
            </w:pPr>
            <w:r>
              <w:rPr>
                <w:spacing w:val="-2"/>
              </w:rPr>
              <w:t>20</w:t>
            </w:r>
          </w:p>
        </w:tc>
        <w:tc>
          <w:tcPr>
            <w:tcW w:w="2141" w:type="dxa"/>
            <w:tcBorders>
              <w:bottom w:val="single" w:color="000000" w:sz="12" w:space="0"/>
            </w:tcBorders>
            <w:vAlign w:val="top"/>
          </w:tcPr>
          <w:p>
            <w:pPr>
              <w:spacing w:before="78" w:line="220" w:lineRule="auto"/>
              <w:ind w:left="973"/>
              <w:rPr>
                <w:rFonts w:ascii="仿宋" w:hAnsi="仿宋" w:eastAsia="仿宋" w:cs="仿宋"/>
                <w:sz w:val="21"/>
                <w:szCs w:val="21"/>
              </w:rPr>
            </w:pPr>
            <w:r>
              <w:rPr>
                <w:rFonts w:ascii="仿宋" w:hAnsi="仿宋" w:eastAsia="仿宋" w:cs="仿宋"/>
                <w:sz w:val="21"/>
                <w:szCs w:val="21"/>
              </w:rPr>
              <w:t>锰</w:t>
            </w:r>
          </w:p>
        </w:tc>
        <w:tc>
          <w:tcPr>
            <w:tcW w:w="2486" w:type="dxa"/>
            <w:tcBorders>
              <w:bottom w:val="single" w:color="000000" w:sz="12" w:space="0"/>
            </w:tcBorders>
            <w:vAlign w:val="top"/>
          </w:tcPr>
          <w:p>
            <w:pPr>
              <w:pStyle w:val="6"/>
              <w:spacing w:before="113" w:line="214" w:lineRule="auto"/>
              <w:ind w:left="1209"/>
            </w:pPr>
            <w:r>
              <w:t>/</w:t>
            </w:r>
          </w:p>
        </w:tc>
        <w:tc>
          <w:tcPr>
            <w:tcW w:w="2488" w:type="dxa"/>
            <w:tcBorders>
              <w:bottom w:val="single" w:color="000000" w:sz="12" w:space="0"/>
            </w:tcBorders>
            <w:vAlign w:val="top"/>
          </w:tcPr>
          <w:p>
            <w:pPr>
              <w:pStyle w:val="6"/>
              <w:spacing w:before="113" w:line="214" w:lineRule="auto"/>
              <w:ind w:left="1210"/>
            </w:pPr>
            <w:r>
              <w:t>/</w:t>
            </w:r>
          </w:p>
        </w:tc>
        <w:tc>
          <w:tcPr>
            <w:tcW w:w="2486" w:type="dxa"/>
            <w:tcBorders>
              <w:bottom w:val="single" w:color="000000" w:sz="12" w:space="0"/>
            </w:tcBorders>
            <w:vAlign w:val="top"/>
          </w:tcPr>
          <w:p>
            <w:pPr>
              <w:pStyle w:val="6"/>
              <w:spacing w:before="113" w:line="214" w:lineRule="auto"/>
              <w:ind w:left="1210"/>
            </w:pPr>
            <w:r>
              <w:t>/</w:t>
            </w:r>
          </w:p>
        </w:tc>
        <w:tc>
          <w:tcPr>
            <w:tcW w:w="2071" w:type="dxa"/>
            <w:tcBorders>
              <w:bottom w:val="single" w:color="000000" w:sz="12" w:space="0"/>
            </w:tcBorders>
            <w:vAlign w:val="top"/>
          </w:tcPr>
          <w:p>
            <w:pPr>
              <w:pStyle w:val="6"/>
              <w:spacing w:before="113" w:line="214" w:lineRule="auto"/>
              <w:ind w:left="1001"/>
            </w:pPr>
            <w:r>
              <w:t>/</w:t>
            </w:r>
          </w:p>
        </w:tc>
        <w:tc>
          <w:tcPr>
            <w:tcW w:w="1570" w:type="dxa"/>
            <w:tcBorders>
              <w:bottom w:val="single" w:color="000000" w:sz="12" w:space="0"/>
              <w:right w:val="nil"/>
            </w:tcBorders>
            <w:vAlign w:val="top"/>
          </w:tcPr>
          <w:p>
            <w:pPr>
              <w:spacing w:before="79" w:line="218" w:lineRule="auto"/>
              <w:ind w:left="586"/>
              <w:rPr>
                <w:rFonts w:ascii="仿宋" w:hAnsi="仿宋" w:eastAsia="仿宋" w:cs="仿宋"/>
                <w:sz w:val="21"/>
                <w:szCs w:val="21"/>
              </w:rPr>
            </w:pPr>
            <w:r>
              <w:rPr>
                <w:rFonts w:ascii="仿宋" w:hAnsi="仿宋" w:eastAsia="仿宋" w:cs="仿宋"/>
                <w:spacing w:val="-5"/>
                <w:sz w:val="21"/>
                <w:szCs w:val="21"/>
              </w:rPr>
              <w:t>达标</w:t>
            </w:r>
          </w:p>
        </w:tc>
      </w:tr>
    </w:tbl>
    <w:p>
      <w:pPr>
        <w:rPr>
          <w:rFonts w:ascii="Arial"/>
          <w:sz w:val="21"/>
        </w:rPr>
      </w:pPr>
    </w:p>
    <w:p>
      <w:pPr>
        <w:rPr>
          <w:rFonts w:ascii="Arial" w:hAnsi="Arial" w:eastAsia="Arial" w:cs="Arial"/>
          <w:sz w:val="21"/>
          <w:szCs w:val="21"/>
        </w:rPr>
        <w:sectPr>
          <w:headerReference r:id="rId187" w:type="default"/>
          <w:footerReference r:id="rId188" w:type="default"/>
          <w:pgSz w:w="16839" w:h="11907"/>
          <w:pgMar w:top="1156" w:right="1408" w:bottom="1374" w:left="1410" w:header="881" w:footer="1210" w:gutter="0"/>
        </w:sectPr>
      </w:pPr>
    </w:p>
    <w:p>
      <w:pPr>
        <w:spacing w:before="80"/>
      </w:pPr>
    </w:p>
    <w:p>
      <w:pPr>
        <w:spacing w:before="80"/>
      </w:pPr>
    </w:p>
    <w:tbl>
      <w:tblPr>
        <w:tblStyle w:val="5"/>
        <w:tblW w:w="1397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1"/>
        <w:gridCol w:w="2141"/>
        <w:gridCol w:w="2486"/>
        <w:gridCol w:w="2488"/>
        <w:gridCol w:w="2486"/>
        <w:gridCol w:w="2071"/>
        <w:gridCol w:w="15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731" w:type="dxa"/>
            <w:vMerge w:val="restart"/>
            <w:tcBorders>
              <w:top w:val="single" w:color="000000" w:sz="12" w:space="0"/>
              <w:left w:val="nil"/>
              <w:bottom w:val="nil"/>
            </w:tcBorders>
            <w:vAlign w:val="top"/>
          </w:tcPr>
          <w:p>
            <w:pPr>
              <w:spacing w:line="300" w:lineRule="auto"/>
              <w:rPr>
                <w:rFonts w:ascii="Arial"/>
                <w:sz w:val="21"/>
              </w:rPr>
            </w:pPr>
          </w:p>
          <w:p>
            <w:pPr>
              <w:spacing w:before="68" w:line="218" w:lineRule="auto"/>
              <w:ind w:left="17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2141" w:type="dxa"/>
            <w:vMerge w:val="restart"/>
            <w:tcBorders>
              <w:top w:val="single" w:color="000000" w:sz="12" w:space="0"/>
              <w:bottom w:val="nil"/>
            </w:tcBorders>
            <w:vAlign w:val="top"/>
          </w:tcPr>
          <w:p>
            <w:pPr>
              <w:spacing w:line="300" w:lineRule="auto"/>
              <w:rPr>
                <w:rFonts w:ascii="Arial"/>
                <w:sz w:val="21"/>
              </w:rPr>
            </w:pPr>
          </w:p>
          <w:p>
            <w:pPr>
              <w:spacing w:before="68" w:line="219" w:lineRule="auto"/>
              <w:ind w:left="66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监测因子</w:t>
            </w:r>
          </w:p>
        </w:tc>
        <w:tc>
          <w:tcPr>
            <w:tcW w:w="9531" w:type="dxa"/>
            <w:gridSpan w:val="4"/>
            <w:tcBorders>
              <w:top w:val="single" w:color="000000" w:sz="12" w:space="0"/>
            </w:tcBorders>
            <w:vAlign w:val="top"/>
          </w:tcPr>
          <w:p>
            <w:pPr>
              <w:spacing w:before="50" w:line="219" w:lineRule="auto"/>
              <w:ind w:left="4352"/>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水质指数</w:t>
            </w:r>
          </w:p>
        </w:tc>
        <w:tc>
          <w:tcPr>
            <w:tcW w:w="1570" w:type="dxa"/>
            <w:vMerge w:val="restart"/>
            <w:tcBorders>
              <w:top w:val="single" w:color="000000" w:sz="12" w:space="0"/>
              <w:bottom w:val="nil"/>
              <w:right w:val="nil"/>
            </w:tcBorders>
            <w:vAlign w:val="top"/>
          </w:tcPr>
          <w:p>
            <w:pPr>
              <w:spacing w:line="300" w:lineRule="auto"/>
              <w:rPr>
                <w:rFonts w:ascii="Arial"/>
                <w:sz w:val="21"/>
              </w:rPr>
            </w:pPr>
          </w:p>
          <w:p>
            <w:pPr>
              <w:spacing w:before="68" w:line="218" w:lineRule="auto"/>
              <w:ind w:left="37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731" w:type="dxa"/>
            <w:vMerge w:val="continue"/>
            <w:tcBorders>
              <w:top w:val="nil"/>
              <w:left w:val="nil"/>
            </w:tcBorders>
            <w:vAlign w:val="top"/>
          </w:tcPr>
          <w:p>
            <w:pPr>
              <w:rPr>
                <w:rFonts w:ascii="Arial"/>
                <w:sz w:val="21"/>
              </w:rPr>
            </w:pPr>
          </w:p>
        </w:tc>
        <w:tc>
          <w:tcPr>
            <w:tcW w:w="2141" w:type="dxa"/>
            <w:vMerge w:val="continue"/>
            <w:tcBorders>
              <w:top w:val="nil"/>
            </w:tcBorders>
            <w:vAlign w:val="top"/>
          </w:tcPr>
          <w:p>
            <w:pPr>
              <w:rPr>
                <w:rFonts w:ascii="Arial"/>
                <w:sz w:val="21"/>
              </w:rPr>
            </w:pPr>
          </w:p>
        </w:tc>
        <w:tc>
          <w:tcPr>
            <w:tcW w:w="2486" w:type="dxa"/>
            <w:vAlign w:val="top"/>
          </w:tcPr>
          <w:p>
            <w:pPr>
              <w:spacing w:before="206" w:line="220" w:lineRule="auto"/>
              <w:ind w:left="1047"/>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坝址</w:t>
            </w:r>
          </w:p>
        </w:tc>
        <w:tc>
          <w:tcPr>
            <w:tcW w:w="2488" w:type="dxa"/>
            <w:vAlign w:val="top"/>
          </w:tcPr>
          <w:p>
            <w:pPr>
              <w:spacing w:before="206" w:line="218" w:lineRule="auto"/>
              <w:ind w:left="104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库尾</w:t>
            </w:r>
          </w:p>
        </w:tc>
        <w:tc>
          <w:tcPr>
            <w:tcW w:w="2486" w:type="dxa"/>
            <w:vAlign w:val="top"/>
          </w:tcPr>
          <w:p>
            <w:pPr>
              <w:pStyle w:val="6"/>
              <w:spacing w:before="49" w:line="247" w:lineRule="auto"/>
              <w:ind w:left="746" w:right="184" w:hanging="542"/>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罗子左河汇入万马河上</w:t>
            </w:r>
            <w:r>
              <w:rPr>
                <w:rFonts w:ascii="仿宋" w:hAnsi="仿宋" w:eastAsia="仿宋" w:cs="仿宋"/>
                <w:spacing w:val="5"/>
              </w:rPr>
              <w:t xml:space="preserve"> </w:t>
            </w:r>
            <w:r>
              <w:rPr>
                <w:rFonts w:ascii="仿宋" w:hAnsi="仿宋" w:eastAsia="仿宋" w:cs="仿宋"/>
                <w:spacing w:val="-4"/>
                <w14:textOutline w14:w="3810" w14:cap="flat" w14:cmpd="sng">
                  <w14:solidFill>
                    <w14:srgbClr w14:val="000000"/>
                  </w14:solidFill>
                  <w14:prstDash w14:val="solid"/>
                  <w14:miter w14:val="0"/>
                </w14:textOutline>
              </w:rPr>
              <w:t>游</w:t>
            </w:r>
            <w:r>
              <w:rPr>
                <w:rFonts w:ascii="仿宋" w:hAnsi="仿宋" w:eastAsia="仿宋" w:cs="仿宋"/>
                <w:spacing w:val="-44"/>
              </w:rPr>
              <w:t xml:space="preserve"> </w:t>
            </w:r>
            <w:r>
              <w:rPr>
                <w:b/>
                <w:bCs/>
                <w:spacing w:val="-4"/>
              </w:rPr>
              <w:t>500m</w:t>
            </w:r>
            <w:r>
              <w:rPr>
                <w:b/>
                <w:bCs/>
                <w:spacing w:val="1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处</w:t>
            </w:r>
          </w:p>
        </w:tc>
        <w:tc>
          <w:tcPr>
            <w:tcW w:w="2071" w:type="dxa"/>
            <w:vAlign w:val="top"/>
          </w:tcPr>
          <w:p>
            <w:pPr>
              <w:spacing w:before="206" w:line="218" w:lineRule="auto"/>
              <w:ind w:left="31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马茨河取水坝处</w:t>
            </w:r>
          </w:p>
        </w:tc>
        <w:tc>
          <w:tcPr>
            <w:tcW w:w="1570"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91" w:line="188" w:lineRule="auto"/>
              <w:ind w:left="272"/>
            </w:pPr>
            <w:r>
              <w:rPr>
                <w:spacing w:val="-2"/>
              </w:rPr>
              <w:t>21</w:t>
            </w:r>
          </w:p>
        </w:tc>
        <w:tc>
          <w:tcPr>
            <w:tcW w:w="2141" w:type="dxa"/>
            <w:vAlign w:val="top"/>
          </w:tcPr>
          <w:p>
            <w:pPr>
              <w:spacing w:before="54" w:line="217" w:lineRule="auto"/>
              <w:ind w:left="773"/>
              <w:rPr>
                <w:rFonts w:ascii="仿宋" w:hAnsi="仿宋" w:eastAsia="仿宋" w:cs="仿宋"/>
                <w:sz w:val="21"/>
                <w:szCs w:val="21"/>
              </w:rPr>
            </w:pPr>
            <w:r>
              <w:rPr>
                <w:rFonts w:ascii="仿宋" w:hAnsi="仿宋" w:eastAsia="仿宋" w:cs="仿宋"/>
                <w:spacing w:val="-6"/>
                <w:sz w:val="21"/>
                <w:szCs w:val="21"/>
              </w:rPr>
              <w:t>氰化物</w:t>
            </w:r>
          </w:p>
        </w:tc>
        <w:tc>
          <w:tcPr>
            <w:tcW w:w="2486" w:type="dxa"/>
            <w:vAlign w:val="top"/>
          </w:tcPr>
          <w:p>
            <w:pPr>
              <w:pStyle w:val="6"/>
              <w:spacing w:before="89" w:line="214" w:lineRule="auto"/>
              <w:ind w:left="1209"/>
            </w:pPr>
            <w:r>
              <w:t>/</w:t>
            </w:r>
          </w:p>
        </w:tc>
        <w:tc>
          <w:tcPr>
            <w:tcW w:w="2488" w:type="dxa"/>
            <w:vAlign w:val="top"/>
          </w:tcPr>
          <w:p>
            <w:pPr>
              <w:pStyle w:val="6"/>
              <w:spacing w:before="89" w:line="214" w:lineRule="auto"/>
              <w:ind w:left="1210"/>
            </w:pPr>
            <w:r>
              <w:t>/</w:t>
            </w:r>
          </w:p>
        </w:tc>
        <w:tc>
          <w:tcPr>
            <w:tcW w:w="2486" w:type="dxa"/>
            <w:vAlign w:val="top"/>
          </w:tcPr>
          <w:p>
            <w:pPr>
              <w:pStyle w:val="6"/>
              <w:spacing w:before="89" w:line="214" w:lineRule="auto"/>
              <w:ind w:left="1210"/>
            </w:pPr>
            <w:r>
              <w:t>/</w:t>
            </w:r>
          </w:p>
        </w:tc>
        <w:tc>
          <w:tcPr>
            <w:tcW w:w="2071" w:type="dxa"/>
            <w:vAlign w:val="top"/>
          </w:tcPr>
          <w:p>
            <w:pPr>
              <w:pStyle w:val="6"/>
              <w:spacing w:before="89" w:line="214" w:lineRule="auto"/>
              <w:ind w:left="1001"/>
            </w:pPr>
            <w:r>
              <w:t>/</w:t>
            </w:r>
          </w:p>
        </w:tc>
        <w:tc>
          <w:tcPr>
            <w:tcW w:w="1570" w:type="dxa"/>
            <w:tcBorders>
              <w:right w:val="nil"/>
            </w:tcBorders>
            <w:vAlign w:val="top"/>
          </w:tcPr>
          <w:p>
            <w:pPr>
              <w:spacing w:before="55" w:line="218"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31" w:type="dxa"/>
            <w:tcBorders>
              <w:left w:val="nil"/>
            </w:tcBorders>
            <w:vAlign w:val="top"/>
          </w:tcPr>
          <w:p>
            <w:pPr>
              <w:pStyle w:val="6"/>
              <w:spacing w:before="93" w:line="188" w:lineRule="auto"/>
              <w:ind w:left="272"/>
            </w:pPr>
            <w:r>
              <w:rPr>
                <w:spacing w:val="-2"/>
              </w:rPr>
              <w:t>22</w:t>
            </w:r>
          </w:p>
        </w:tc>
        <w:tc>
          <w:tcPr>
            <w:tcW w:w="2141" w:type="dxa"/>
            <w:vAlign w:val="top"/>
          </w:tcPr>
          <w:p>
            <w:pPr>
              <w:spacing w:before="57" w:line="217" w:lineRule="auto"/>
              <w:ind w:left="765"/>
              <w:rPr>
                <w:rFonts w:ascii="仿宋" w:hAnsi="仿宋" w:eastAsia="仿宋" w:cs="仿宋"/>
                <w:sz w:val="21"/>
                <w:szCs w:val="21"/>
              </w:rPr>
            </w:pPr>
            <w:r>
              <w:rPr>
                <w:rFonts w:ascii="仿宋" w:hAnsi="仿宋" w:eastAsia="仿宋" w:cs="仿宋"/>
                <w:spacing w:val="-4"/>
                <w:sz w:val="21"/>
                <w:szCs w:val="21"/>
              </w:rPr>
              <w:t>挥发酚</w:t>
            </w:r>
          </w:p>
        </w:tc>
        <w:tc>
          <w:tcPr>
            <w:tcW w:w="2486" w:type="dxa"/>
            <w:vAlign w:val="top"/>
          </w:tcPr>
          <w:p>
            <w:pPr>
              <w:pStyle w:val="6"/>
              <w:spacing w:before="91" w:line="211" w:lineRule="auto"/>
              <w:ind w:left="1209"/>
            </w:pPr>
            <w:r>
              <w:t>/</w:t>
            </w:r>
          </w:p>
        </w:tc>
        <w:tc>
          <w:tcPr>
            <w:tcW w:w="2488" w:type="dxa"/>
            <w:vAlign w:val="top"/>
          </w:tcPr>
          <w:p>
            <w:pPr>
              <w:pStyle w:val="6"/>
              <w:spacing w:before="91" w:line="211" w:lineRule="auto"/>
              <w:ind w:left="1210"/>
            </w:pPr>
            <w:r>
              <w:t>/</w:t>
            </w:r>
          </w:p>
        </w:tc>
        <w:tc>
          <w:tcPr>
            <w:tcW w:w="2486" w:type="dxa"/>
            <w:vAlign w:val="top"/>
          </w:tcPr>
          <w:p>
            <w:pPr>
              <w:pStyle w:val="6"/>
              <w:spacing w:before="91" w:line="211" w:lineRule="auto"/>
              <w:ind w:left="1210"/>
            </w:pPr>
            <w:r>
              <w:t>/</w:t>
            </w:r>
          </w:p>
        </w:tc>
        <w:tc>
          <w:tcPr>
            <w:tcW w:w="2071" w:type="dxa"/>
            <w:vAlign w:val="top"/>
          </w:tcPr>
          <w:p>
            <w:pPr>
              <w:pStyle w:val="6"/>
              <w:spacing w:before="91" w:line="211" w:lineRule="auto"/>
              <w:ind w:left="1001"/>
            </w:pPr>
            <w:r>
              <w:t>/</w:t>
            </w:r>
          </w:p>
        </w:tc>
        <w:tc>
          <w:tcPr>
            <w:tcW w:w="1570" w:type="dxa"/>
            <w:tcBorders>
              <w:right w:val="nil"/>
            </w:tcBorders>
            <w:vAlign w:val="top"/>
          </w:tcPr>
          <w:p>
            <w:pPr>
              <w:spacing w:before="57" w:line="217"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96" w:line="188" w:lineRule="auto"/>
              <w:ind w:left="272"/>
            </w:pPr>
            <w:r>
              <w:rPr>
                <w:spacing w:val="-2"/>
              </w:rPr>
              <w:t>23</w:t>
            </w:r>
          </w:p>
        </w:tc>
        <w:tc>
          <w:tcPr>
            <w:tcW w:w="2141" w:type="dxa"/>
            <w:vAlign w:val="top"/>
          </w:tcPr>
          <w:p>
            <w:pPr>
              <w:spacing w:before="60" w:line="215" w:lineRule="auto"/>
              <w:ind w:left="877"/>
              <w:rPr>
                <w:rFonts w:ascii="仿宋" w:hAnsi="仿宋" w:eastAsia="仿宋" w:cs="仿宋"/>
                <w:sz w:val="21"/>
                <w:szCs w:val="21"/>
              </w:rPr>
            </w:pPr>
            <w:r>
              <w:rPr>
                <w:rFonts w:ascii="仿宋" w:hAnsi="仿宋" w:eastAsia="仿宋" w:cs="仿宋"/>
                <w:spacing w:val="-6"/>
                <w:sz w:val="21"/>
                <w:szCs w:val="21"/>
              </w:rPr>
              <w:t>氨氮</w:t>
            </w:r>
          </w:p>
        </w:tc>
        <w:tc>
          <w:tcPr>
            <w:tcW w:w="2486" w:type="dxa"/>
            <w:vAlign w:val="top"/>
          </w:tcPr>
          <w:p>
            <w:pPr>
              <w:pStyle w:val="6"/>
              <w:spacing w:before="96" w:line="188" w:lineRule="auto"/>
              <w:ind w:left="716"/>
            </w:pPr>
            <w:r>
              <w:rPr>
                <w:spacing w:val="-1"/>
              </w:rPr>
              <w:t>0.134~0.142</w:t>
            </w:r>
          </w:p>
        </w:tc>
        <w:tc>
          <w:tcPr>
            <w:tcW w:w="2488" w:type="dxa"/>
            <w:vAlign w:val="top"/>
          </w:tcPr>
          <w:p>
            <w:pPr>
              <w:pStyle w:val="6"/>
              <w:spacing w:before="96" w:line="188" w:lineRule="auto"/>
              <w:ind w:left="716"/>
            </w:pPr>
            <w:r>
              <w:rPr>
                <w:spacing w:val="-1"/>
              </w:rPr>
              <w:t>0.036~0.044</w:t>
            </w:r>
          </w:p>
        </w:tc>
        <w:tc>
          <w:tcPr>
            <w:tcW w:w="2486" w:type="dxa"/>
            <w:vAlign w:val="top"/>
          </w:tcPr>
          <w:p>
            <w:pPr>
              <w:pStyle w:val="6"/>
              <w:spacing w:before="96" w:line="188" w:lineRule="auto"/>
              <w:ind w:left="716"/>
            </w:pPr>
            <w:r>
              <w:rPr>
                <w:spacing w:val="-1"/>
              </w:rPr>
              <w:t>0.026~0.036</w:t>
            </w:r>
          </w:p>
        </w:tc>
        <w:tc>
          <w:tcPr>
            <w:tcW w:w="2071" w:type="dxa"/>
            <w:vAlign w:val="top"/>
          </w:tcPr>
          <w:p>
            <w:pPr>
              <w:pStyle w:val="6"/>
              <w:spacing w:before="96" w:line="188" w:lineRule="auto"/>
              <w:ind w:left="509"/>
            </w:pPr>
            <w:r>
              <w:rPr>
                <w:spacing w:val="-1"/>
              </w:rPr>
              <w:t>0.066~0.072</w:t>
            </w:r>
          </w:p>
        </w:tc>
        <w:tc>
          <w:tcPr>
            <w:tcW w:w="1570" w:type="dxa"/>
            <w:tcBorders>
              <w:right w:val="nil"/>
            </w:tcBorders>
            <w:vAlign w:val="top"/>
          </w:tcPr>
          <w:p>
            <w:pPr>
              <w:spacing w:before="60" w:line="215"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31" w:type="dxa"/>
            <w:tcBorders>
              <w:left w:val="nil"/>
            </w:tcBorders>
            <w:vAlign w:val="top"/>
          </w:tcPr>
          <w:p>
            <w:pPr>
              <w:pStyle w:val="6"/>
              <w:spacing w:before="98" w:line="188" w:lineRule="auto"/>
              <w:ind w:left="272"/>
            </w:pPr>
            <w:r>
              <w:rPr>
                <w:spacing w:val="-2"/>
              </w:rPr>
              <w:t>24</w:t>
            </w:r>
          </w:p>
        </w:tc>
        <w:tc>
          <w:tcPr>
            <w:tcW w:w="2141" w:type="dxa"/>
            <w:vAlign w:val="top"/>
          </w:tcPr>
          <w:p>
            <w:pPr>
              <w:spacing w:before="61" w:line="213" w:lineRule="auto"/>
              <w:ind w:left="878"/>
              <w:rPr>
                <w:rFonts w:ascii="仿宋" w:hAnsi="仿宋" w:eastAsia="仿宋" w:cs="仿宋"/>
                <w:sz w:val="21"/>
                <w:szCs w:val="21"/>
              </w:rPr>
            </w:pPr>
            <w:r>
              <w:rPr>
                <w:rFonts w:ascii="仿宋" w:hAnsi="仿宋" w:eastAsia="仿宋" w:cs="仿宋"/>
                <w:spacing w:val="-6"/>
                <w:sz w:val="21"/>
                <w:szCs w:val="21"/>
              </w:rPr>
              <w:t>总磷</w:t>
            </w:r>
          </w:p>
        </w:tc>
        <w:tc>
          <w:tcPr>
            <w:tcW w:w="2486" w:type="dxa"/>
            <w:vAlign w:val="top"/>
          </w:tcPr>
          <w:p>
            <w:pPr>
              <w:pStyle w:val="6"/>
              <w:spacing w:before="96" w:line="206" w:lineRule="auto"/>
              <w:ind w:left="926"/>
            </w:pPr>
            <w:r>
              <w:rPr>
                <w:spacing w:val="-1"/>
              </w:rPr>
              <w:t>0.4~0.6</w:t>
            </w:r>
          </w:p>
        </w:tc>
        <w:tc>
          <w:tcPr>
            <w:tcW w:w="2488" w:type="dxa"/>
            <w:vAlign w:val="top"/>
          </w:tcPr>
          <w:p>
            <w:pPr>
              <w:pStyle w:val="6"/>
              <w:spacing w:before="96" w:line="206" w:lineRule="auto"/>
              <w:ind w:left="822"/>
            </w:pPr>
            <w:r>
              <w:rPr>
                <w:spacing w:val="-1"/>
              </w:rPr>
              <w:t>0.34~0.38</w:t>
            </w:r>
          </w:p>
        </w:tc>
        <w:tc>
          <w:tcPr>
            <w:tcW w:w="2486" w:type="dxa"/>
            <w:vAlign w:val="top"/>
          </w:tcPr>
          <w:p>
            <w:pPr>
              <w:pStyle w:val="6"/>
              <w:spacing w:before="96" w:line="206" w:lineRule="auto"/>
              <w:ind w:left="874"/>
            </w:pPr>
            <w:r>
              <w:rPr>
                <w:spacing w:val="-1"/>
              </w:rPr>
              <w:t>0.2~0.25</w:t>
            </w:r>
          </w:p>
        </w:tc>
        <w:tc>
          <w:tcPr>
            <w:tcW w:w="2071" w:type="dxa"/>
            <w:vAlign w:val="top"/>
          </w:tcPr>
          <w:p>
            <w:pPr>
              <w:pStyle w:val="6"/>
              <w:spacing w:before="96" w:line="206" w:lineRule="auto"/>
              <w:ind w:left="666"/>
            </w:pPr>
            <w:r>
              <w:rPr>
                <w:spacing w:val="-1"/>
              </w:rPr>
              <w:t>0.3~0.35</w:t>
            </w:r>
          </w:p>
        </w:tc>
        <w:tc>
          <w:tcPr>
            <w:tcW w:w="1570" w:type="dxa"/>
            <w:tcBorders>
              <w:right w:val="nil"/>
            </w:tcBorders>
            <w:vAlign w:val="top"/>
          </w:tcPr>
          <w:p>
            <w:pPr>
              <w:spacing w:before="61" w:line="213"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01" w:line="188" w:lineRule="auto"/>
              <w:ind w:left="272"/>
            </w:pPr>
            <w:r>
              <w:rPr>
                <w:spacing w:val="-2"/>
              </w:rPr>
              <w:t>25</w:t>
            </w:r>
          </w:p>
        </w:tc>
        <w:tc>
          <w:tcPr>
            <w:tcW w:w="2141" w:type="dxa"/>
            <w:vAlign w:val="top"/>
          </w:tcPr>
          <w:p>
            <w:pPr>
              <w:spacing w:before="64" w:line="211" w:lineRule="auto"/>
              <w:ind w:left="455"/>
              <w:rPr>
                <w:rFonts w:ascii="仿宋" w:hAnsi="仿宋" w:eastAsia="仿宋" w:cs="仿宋"/>
                <w:sz w:val="21"/>
                <w:szCs w:val="21"/>
              </w:rPr>
            </w:pPr>
            <w:r>
              <w:rPr>
                <w:rFonts w:ascii="仿宋" w:hAnsi="仿宋" w:eastAsia="仿宋" w:cs="仿宋"/>
                <w:spacing w:val="-3"/>
                <w:sz w:val="21"/>
                <w:szCs w:val="21"/>
              </w:rPr>
              <w:t>高锰酸盐指数</w:t>
            </w:r>
          </w:p>
        </w:tc>
        <w:tc>
          <w:tcPr>
            <w:tcW w:w="2486" w:type="dxa"/>
            <w:vAlign w:val="top"/>
          </w:tcPr>
          <w:p>
            <w:pPr>
              <w:pStyle w:val="6"/>
              <w:spacing w:before="99" w:line="204" w:lineRule="auto"/>
              <w:ind w:left="769"/>
            </w:pPr>
            <w:r>
              <w:rPr>
                <w:spacing w:val="-1"/>
              </w:rPr>
              <w:t>0.133~0.15</w:t>
            </w:r>
          </w:p>
        </w:tc>
        <w:tc>
          <w:tcPr>
            <w:tcW w:w="2488" w:type="dxa"/>
            <w:vAlign w:val="top"/>
          </w:tcPr>
          <w:p>
            <w:pPr>
              <w:pStyle w:val="6"/>
              <w:spacing w:before="99" w:line="204" w:lineRule="auto"/>
              <w:ind w:left="769"/>
            </w:pPr>
            <w:r>
              <w:rPr>
                <w:spacing w:val="-1"/>
              </w:rPr>
              <w:t>0.15~0.167</w:t>
            </w:r>
          </w:p>
        </w:tc>
        <w:tc>
          <w:tcPr>
            <w:tcW w:w="2486" w:type="dxa"/>
            <w:vAlign w:val="top"/>
          </w:tcPr>
          <w:p>
            <w:pPr>
              <w:pStyle w:val="6"/>
              <w:spacing w:before="101" w:line="188" w:lineRule="auto"/>
              <w:ind w:left="1009"/>
            </w:pPr>
            <w:r>
              <w:rPr>
                <w:spacing w:val="-2"/>
              </w:rPr>
              <w:t>0.083</w:t>
            </w:r>
          </w:p>
        </w:tc>
        <w:tc>
          <w:tcPr>
            <w:tcW w:w="2071" w:type="dxa"/>
            <w:vAlign w:val="top"/>
          </w:tcPr>
          <w:p>
            <w:pPr>
              <w:pStyle w:val="6"/>
              <w:spacing w:before="99" w:line="204" w:lineRule="auto"/>
              <w:ind w:left="614"/>
            </w:pPr>
            <w:r>
              <w:rPr>
                <w:spacing w:val="-1"/>
              </w:rPr>
              <w:t>0.283~0.3</w:t>
            </w:r>
          </w:p>
        </w:tc>
        <w:tc>
          <w:tcPr>
            <w:tcW w:w="1570" w:type="dxa"/>
            <w:tcBorders>
              <w:right w:val="nil"/>
            </w:tcBorders>
            <w:vAlign w:val="top"/>
          </w:tcPr>
          <w:p>
            <w:pPr>
              <w:spacing w:before="64" w:line="211"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31" w:type="dxa"/>
            <w:tcBorders>
              <w:left w:val="nil"/>
            </w:tcBorders>
            <w:vAlign w:val="top"/>
          </w:tcPr>
          <w:p>
            <w:pPr>
              <w:pStyle w:val="6"/>
              <w:spacing w:before="103" w:line="188" w:lineRule="auto"/>
              <w:ind w:left="272"/>
            </w:pPr>
            <w:r>
              <w:rPr>
                <w:spacing w:val="-2"/>
              </w:rPr>
              <w:t>26</w:t>
            </w:r>
          </w:p>
        </w:tc>
        <w:tc>
          <w:tcPr>
            <w:tcW w:w="2141" w:type="dxa"/>
            <w:vAlign w:val="top"/>
          </w:tcPr>
          <w:p>
            <w:pPr>
              <w:spacing w:before="66" w:line="209" w:lineRule="auto"/>
              <w:ind w:left="878"/>
              <w:rPr>
                <w:rFonts w:ascii="仿宋" w:hAnsi="仿宋" w:eastAsia="仿宋" w:cs="仿宋"/>
                <w:sz w:val="21"/>
                <w:szCs w:val="21"/>
              </w:rPr>
            </w:pPr>
            <w:r>
              <w:rPr>
                <w:rFonts w:ascii="仿宋" w:hAnsi="仿宋" w:eastAsia="仿宋" w:cs="仿宋"/>
                <w:spacing w:val="-6"/>
                <w:sz w:val="21"/>
                <w:szCs w:val="21"/>
              </w:rPr>
              <w:t>总氮</w:t>
            </w:r>
          </w:p>
        </w:tc>
        <w:tc>
          <w:tcPr>
            <w:tcW w:w="2486" w:type="dxa"/>
            <w:vAlign w:val="top"/>
          </w:tcPr>
          <w:p>
            <w:pPr>
              <w:pStyle w:val="6"/>
              <w:spacing w:before="103" w:line="188" w:lineRule="auto"/>
              <w:ind w:left="873"/>
            </w:pPr>
            <w:r>
              <w:rPr>
                <w:spacing w:val="-1"/>
              </w:rPr>
              <w:t>0.4~0.43</w:t>
            </w:r>
          </w:p>
        </w:tc>
        <w:tc>
          <w:tcPr>
            <w:tcW w:w="2488" w:type="dxa"/>
            <w:vAlign w:val="top"/>
          </w:tcPr>
          <w:p>
            <w:pPr>
              <w:pStyle w:val="6"/>
              <w:spacing w:before="103" w:line="188" w:lineRule="auto"/>
              <w:ind w:left="822"/>
            </w:pPr>
            <w:r>
              <w:rPr>
                <w:spacing w:val="-1"/>
              </w:rPr>
              <w:t>0.31~0.34</w:t>
            </w:r>
          </w:p>
        </w:tc>
        <w:tc>
          <w:tcPr>
            <w:tcW w:w="2486" w:type="dxa"/>
            <w:vAlign w:val="top"/>
          </w:tcPr>
          <w:p>
            <w:pPr>
              <w:pStyle w:val="6"/>
              <w:spacing w:before="103" w:line="188" w:lineRule="auto"/>
              <w:ind w:left="874"/>
            </w:pPr>
            <w:r>
              <w:rPr>
                <w:spacing w:val="-1"/>
              </w:rPr>
              <w:t>0.22~0.3</w:t>
            </w:r>
          </w:p>
        </w:tc>
        <w:tc>
          <w:tcPr>
            <w:tcW w:w="2071" w:type="dxa"/>
            <w:vAlign w:val="top"/>
          </w:tcPr>
          <w:p>
            <w:pPr>
              <w:pStyle w:val="6"/>
              <w:spacing w:before="103" w:line="188" w:lineRule="auto"/>
              <w:ind w:left="614"/>
            </w:pPr>
            <w:r>
              <w:rPr>
                <w:spacing w:val="-1"/>
              </w:rPr>
              <w:t>0.35~0.37</w:t>
            </w:r>
          </w:p>
        </w:tc>
        <w:tc>
          <w:tcPr>
            <w:tcW w:w="1570" w:type="dxa"/>
            <w:tcBorders>
              <w:right w:val="nil"/>
            </w:tcBorders>
            <w:vAlign w:val="top"/>
          </w:tcPr>
          <w:p>
            <w:pPr>
              <w:spacing w:before="66" w:line="209"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07" w:line="188" w:lineRule="auto"/>
              <w:ind w:left="272"/>
            </w:pPr>
            <w:r>
              <w:rPr>
                <w:spacing w:val="-2"/>
              </w:rPr>
              <w:t>27</w:t>
            </w:r>
          </w:p>
        </w:tc>
        <w:tc>
          <w:tcPr>
            <w:tcW w:w="2141" w:type="dxa"/>
            <w:vAlign w:val="top"/>
          </w:tcPr>
          <w:p>
            <w:pPr>
              <w:spacing w:before="70" w:line="206" w:lineRule="auto"/>
              <w:ind w:left="659"/>
              <w:rPr>
                <w:rFonts w:ascii="仿宋" w:hAnsi="仿宋" w:eastAsia="仿宋" w:cs="仿宋"/>
                <w:sz w:val="21"/>
                <w:szCs w:val="21"/>
              </w:rPr>
            </w:pPr>
            <w:r>
              <w:rPr>
                <w:rFonts w:ascii="仿宋" w:hAnsi="仿宋" w:eastAsia="仿宋" w:cs="仿宋"/>
                <w:spacing w:val="-3"/>
                <w:sz w:val="21"/>
                <w:szCs w:val="21"/>
              </w:rPr>
              <w:t>硝酸盐氮</w:t>
            </w:r>
          </w:p>
        </w:tc>
        <w:tc>
          <w:tcPr>
            <w:tcW w:w="2486" w:type="dxa"/>
            <w:vAlign w:val="top"/>
          </w:tcPr>
          <w:p>
            <w:pPr>
              <w:pStyle w:val="6"/>
              <w:spacing w:before="107" w:line="188" w:lineRule="auto"/>
              <w:ind w:left="716"/>
            </w:pPr>
            <w:r>
              <w:rPr>
                <w:spacing w:val="-1"/>
              </w:rPr>
              <w:t>0.024~0.026</w:t>
            </w:r>
          </w:p>
        </w:tc>
        <w:tc>
          <w:tcPr>
            <w:tcW w:w="2488" w:type="dxa"/>
            <w:vAlign w:val="top"/>
          </w:tcPr>
          <w:p>
            <w:pPr>
              <w:pStyle w:val="6"/>
              <w:spacing w:before="107" w:line="188" w:lineRule="auto"/>
              <w:ind w:left="716"/>
            </w:pPr>
            <w:r>
              <w:rPr>
                <w:spacing w:val="-1"/>
              </w:rPr>
              <w:t>0.024~0.029</w:t>
            </w:r>
          </w:p>
        </w:tc>
        <w:tc>
          <w:tcPr>
            <w:tcW w:w="2486" w:type="dxa"/>
            <w:vAlign w:val="top"/>
          </w:tcPr>
          <w:p>
            <w:pPr>
              <w:pStyle w:val="6"/>
              <w:spacing w:before="107" w:line="188" w:lineRule="auto"/>
              <w:ind w:left="716"/>
            </w:pPr>
            <w:r>
              <w:rPr>
                <w:spacing w:val="-1"/>
              </w:rPr>
              <w:t>0.017~0.021</w:t>
            </w:r>
          </w:p>
        </w:tc>
        <w:tc>
          <w:tcPr>
            <w:tcW w:w="2071" w:type="dxa"/>
            <w:vAlign w:val="top"/>
          </w:tcPr>
          <w:p>
            <w:pPr>
              <w:pStyle w:val="6"/>
              <w:spacing w:before="107" w:line="188" w:lineRule="auto"/>
              <w:ind w:left="509"/>
            </w:pPr>
            <w:r>
              <w:rPr>
                <w:spacing w:val="-1"/>
              </w:rPr>
              <w:t>0.025~0.026</w:t>
            </w:r>
          </w:p>
        </w:tc>
        <w:tc>
          <w:tcPr>
            <w:tcW w:w="1570" w:type="dxa"/>
            <w:tcBorders>
              <w:right w:val="nil"/>
            </w:tcBorders>
            <w:vAlign w:val="top"/>
          </w:tcPr>
          <w:p>
            <w:pPr>
              <w:spacing w:before="70" w:line="206"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31" w:type="dxa"/>
            <w:tcBorders>
              <w:left w:val="nil"/>
            </w:tcBorders>
            <w:vAlign w:val="top"/>
          </w:tcPr>
          <w:p>
            <w:pPr>
              <w:pStyle w:val="6"/>
              <w:spacing w:before="108" w:line="188" w:lineRule="auto"/>
              <w:ind w:left="272"/>
            </w:pPr>
            <w:r>
              <w:rPr>
                <w:spacing w:val="-2"/>
              </w:rPr>
              <w:t>28</w:t>
            </w:r>
          </w:p>
        </w:tc>
        <w:tc>
          <w:tcPr>
            <w:tcW w:w="2141" w:type="dxa"/>
            <w:vAlign w:val="top"/>
          </w:tcPr>
          <w:p>
            <w:pPr>
              <w:spacing w:before="71" w:line="204" w:lineRule="auto"/>
              <w:ind w:left="763"/>
              <w:rPr>
                <w:rFonts w:ascii="仿宋" w:hAnsi="仿宋" w:eastAsia="仿宋" w:cs="仿宋"/>
                <w:sz w:val="21"/>
                <w:szCs w:val="21"/>
              </w:rPr>
            </w:pPr>
            <w:r>
              <w:rPr>
                <w:rFonts w:ascii="仿宋" w:hAnsi="仿宋" w:eastAsia="仿宋" w:cs="仿宋"/>
                <w:spacing w:val="-3"/>
                <w:sz w:val="21"/>
                <w:szCs w:val="21"/>
              </w:rPr>
              <w:t>硫酸盐</w:t>
            </w:r>
          </w:p>
        </w:tc>
        <w:tc>
          <w:tcPr>
            <w:tcW w:w="2486" w:type="dxa"/>
            <w:vAlign w:val="top"/>
          </w:tcPr>
          <w:p>
            <w:pPr>
              <w:pStyle w:val="6"/>
              <w:spacing w:before="106" w:line="196" w:lineRule="auto"/>
              <w:ind w:left="769"/>
            </w:pPr>
            <w:r>
              <w:rPr>
                <w:spacing w:val="-1"/>
              </w:rPr>
              <w:t>0.036~0.04</w:t>
            </w:r>
          </w:p>
        </w:tc>
        <w:tc>
          <w:tcPr>
            <w:tcW w:w="2488" w:type="dxa"/>
            <w:vAlign w:val="top"/>
          </w:tcPr>
          <w:p>
            <w:pPr>
              <w:pStyle w:val="6"/>
              <w:spacing w:before="106" w:line="196" w:lineRule="auto"/>
              <w:ind w:left="716"/>
            </w:pPr>
            <w:r>
              <w:rPr>
                <w:spacing w:val="-1"/>
              </w:rPr>
              <w:t>0.044~0.048</w:t>
            </w:r>
          </w:p>
        </w:tc>
        <w:tc>
          <w:tcPr>
            <w:tcW w:w="2486" w:type="dxa"/>
            <w:vAlign w:val="top"/>
          </w:tcPr>
          <w:p>
            <w:pPr>
              <w:pStyle w:val="6"/>
              <w:spacing w:before="106" w:line="196" w:lineRule="auto"/>
              <w:ind w:left="769"/>
            </w:pPr>
            <w:r>
              <w:rPr>
                <w:spacing w:val="-1"/>
              </w:rPr>
              <w:t>0.26~0.268</w:t>
            </w:r>
          </w:p>
        </w:tc>
        <w:tc>
          <w:tcPr>
            <w:tcW w:w="2071" w:type="dxa"/>
            <w:vAlign w:val="top"/>
          </w:tcPr>
          <w:p>
            <w:pPr>
              <w:pStyle w:val="6"/>
              <w:spacing w:before="106" w:line="196" w:lineRule="auto"/>
              <w:ind w:left="1001"/>
            </w:pPr>
            <w:r>
              <w:t>/</w:t>
            </w:r>
          </w:p>
        </w:tc>
        <w:tc>
          <w:tcPr>
            <w:tcW w:w="1570" w:type="dxa"/>
            <w:tcBorders>
              <w:right w:val="nil"/>
            </w:tcBorders>
            <w:vAlign w:val="top"/>
          </w:tcPr>
          <w:p>
            <w:pPr>
              <w:spacing w:before="71" w:line="204"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31" w:type="dxa"/>
            <w:tcBorders>
              <w:left w:val="nil"/>
            </w:tcBorders>
            <w:vAlign w:val="top"/>
          </w:tcPr>
          <w:p>
            <w:pPr>
              <w:pStyle w:val="6"/>
              <w:spacing w:before="112" w:line="188" w:lineRule="auto"/>
              <w:ind w:left="272"/>
            </w:pPr>
            <w:r>
              <w:rPr>
                <w:spacing w:val="-2"/>
              </w:rPr>
              <w:t>29</w:t>
            </w:r>
          </w:p>
        </w:tc>
        <w:tc>
          <w:tcPr>
            <w:tcW w:w="2141" w:type="dxa"/>
            <w:vAlign w:val="top"/>
          </w:tcPr>
          <w:p>
            <w:pPr>
              <w:spacing w:before="75" w:line="202" w:lineRule="auto"/>
              <w:ind w:left="763"/>
              <w:rPr>
                <w:rFonts w:ascii="仿宋" w:hAnsi="仿宋" w:eastAsia="仿宋" w:cs="仿宋"/>
                <w:sz w:val="21"/>
                <w:szCs w:val="21"/>
              </w:rPr>
            </w:pPr>
            <w:r>
              <w:rPr>
                <w:rFonts w:ascii="仿宋" w:hAnsi="仿宋" w:eastAsia="仿宋" w:cs="仿宋"/>
                <w:spacing w:val="-3"/>
                <w:sz w:val="21"/>
                <w:szCs w:val="21"/>
              </w:rPr>
              <w:t>硫化物</w:t>
            </w:r>
          </w:p>
        </w:tc>
        <w:tc>
          <w:tcPr>
            <w:tcW w:w="2486" w:type="dxa"/>
            <w:vAlign w:val="top"/>
          </w:tcPr>
          <w:p>
            <w:pPr>
              <w:pStyle w:val="6"/>
              <w:spacing w:before="110" w:line="193" w:lineRule="auto"/>
              <w:ind w:left="1209"/>
            </w:pPr>
            <w:r>
              <w:t>/</w:t>
            </w:r>
          </w:p>
        </w:tc>
        <w:tc>
          <w:tcPr>
            <w:tcW w:w="2488" w:type="dxa"/>
            <w:vAlign w:val="top"/>
          </w:tcPr>
          <w:p>
            <w:pPr>
              <w:pStyle w:val="6"/>
              <w:spacing w:before="110" w:line="193" w:lineRule="auto"/>
              <w:ind w:left="1210"/>
            </w:pPr>
            <w:r>
              <w:t>/</w:t>
            </w:r>
          </w:p>
        </w:tc>
        <w:tc>
          <w:tcPr>
            <w:tcW w:w="2486" w:type="dxa"/>
            <w:vAlign w:val="top"/>
          </w:tcPr>
          <w:p>
            <w:pPr>
              <w:pStyle w:val="6"/>
              <w:spacing w:before="110" w:line="193" w:lineRule="auto"/>
              <w:ind w:left="1210"/>
            </w:pPr>
            <w:r>
              <w:t>/</w:t>
            </w:r>
          </w:p>
        </w:tc>
        <w:tc>
          <w:tcPr>
            <w:tcW w:w="2071" w:type="dxa"/>
            <w:vAlign w:val="top"/>
          </w:tcPr>
          <w:p>
            <w:pPr>
              <w:pStyle w:val="6"/>
              <w:spacing w:before="110" w:line="193" w:lineRule="auto"/>
              <w:ind w:left="1001"/>
            </w:pPr>
            <w:r>
              <w:t>/</w:t>
            </w:r>
          </w:p>
        </w:tc>
        <w:tc>
          <w:tcPr>
            <w:tcW w:w="1570" w:type="dxa"/>
            <w:tcBorders>
              <w:right w:val="nil"/>
            </w:tcBorders>
            <w:vAlign w:val="top"/>
          </w:tcPr>
          <w:p>
            <w:pPr>
              <w:spacing w:before="75" w:line="202" w:lineRule="auto"/>
              <w:ind w:left="586"/>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trPr>
        <w:tc>
          <w:tcPr>
            <w:tcW w:w="731" w:type="dxa"/>
            <w:tcBorders>
              <w:left w:val="nil"/>
              <w:bottom w:val="single" w:color="000000" w:sz="12" w:space="0"/>
            </w:tcBorders>
            <w:vAlign w:val="top"/>
          </w:tcPr>
          <w:p>
            <w:pPr>
              <w:pStyle w:val="6"/>
              <w:spacing w:before="113" w:line="188" w:lineRule="auto"/>
              <w:ind w:left="276"/>
            </w:pPr>
            <w:r>
              <w:rPr>
                <w:spacing w:val="-5"/>
              </w:rPr>
              <w:t>30</w:t>
            </w:r>
          </w:p>
        </w:tc>
        <w:tc>
          <w:tcPr>
            <w:tcW w:w="2141" w:type="dxa"/>
            <w:tcBorders>
              <w:bottom w:val="single" w:color="000000" w:sz="12" w:space="0"/>
            </w:tcBorders>
            <w:vAlign w:val="top"/>
          </w:tcPr>
          <w:p>
            <w:pPr>
              <w:pStyle w:val="6"/>
              <w:spacing w:before="76" w:line="220" w:lineRule="auto"/>
              <w:ind w:left="703"/>
            </w:pPr>
            <w:r>
              <w:rPr>
                <w:rFonts w:ascii="仿宋" w:hAnsi="仿宋" w:eastAsia="仿宋" w:cs="仿宋"/>
                <w:spacing w:val="-7"/>
              </w:rPr>
              <w:t>叶绿素</w:t>
            </w:r>
            <w:r>
              <w:rPr>
                <w:rFonts w:ascii="仿宋" w:hAnsi="仿宋" w:eastAsia="仿宋" w:cs="仿宋"/>
                <w:spacing w:val="-44"/>
              </w:rPr>
              <w:t xml:space="preserve"> </w:t>
            </w:r>
            <w:r>
              <w:rPr>
                <w:spacing w:val="-7"/>
              </w:rPr>
              <w:t>a</w:t>
            </w:r>
          </w:p>
        </w:tc>
        <w:tc>
          <w:tcPr>
            <w:tcW w:w="2486" w:type="dxa"/>
            <w:tcBorders>
              <w:bottom w:val="single" w:color="000000" w:sz="12" w:space="0"/>
            </w:tcBorders>
            <w:vAlign w:val="top"/>
          </w:tcPr>
          <w:p>
            <w:pPr>
              <w:pStyle w:val="6"/>
              <w:spacing w:before="113" w:line="188" w:lineRule="auto"/>
              <w:ind w:left="945"/>
            </w:pPr>
            <w:r>
              <w:rPr>
                <w:spacing w:val="-2"/>
              </w:rPr>
              <w:t>0.004L</w:t>
            </w:r>
          </w:p>
        </w:tc>
        <w:tc>
          <w:tcPr>
            <w:tcW w:w="2488" w:type="dxa"/>
            <w:tcBorders>
              <w:bottom w:val="single" w:color="000000" w:sz="12" w:space="0"/>
            </w:tcBorders>
            <w:vAlign w:val="top"/>
          </w:tcPr>
          <w:p>
            <w:pPr>
              <w:pStyle w:val="6"/>
              <w:spacing w:before="113" w:line="188" w:lineRule="auto"/>
              <w:ind w:left="946"/>
            </w:pPr>
            <w:r>
              <w:rPr>
                <w:spacing w:val="-2"/>
              </w:rPr>
              <w:t>0.004L</w:t>
            </w:r>
          </w:p>
        </w:tc>
        <w:tc>
          <w:tcPr>
            <w:tcW w:w="2486" w:type="dxa"/>
            <w:tcBorders>
              <w:bottom w:val="single" w:color="000000" w:sz="12" w:space="0"/>
            </w:tcBorders>
            <w:vAlign w:val="top"/>
          </w:tcPr>
          <w:p>
            <w:pPr>
              <w:pStyle w:val="6"/>
              <w:spacing w:before="111" w:line="214" w:lineRule="auto"/>
              <w:ind w:left="1210"/>
            </w:pPr>
            <w:r>
              <w:t>/</w:t>
            </w:r>
          </w:p>
        </w:tc>
        <w:tc>
          <w:tcPr>
            <w:tcW w:w="2071" w:type="dxa"/>
            <w:tcBorders>
              <w:bottom w:val="single" w:color="000000" w:sz="12" w:space="0"/>
            </w:tcBorders>
            <w:vAlign w:val="top"/>
          </w:tcPr>
          <w:p>
            <w:pPr>
              <w:pStyle w:val="6"/>
              <w:spacing w:before="111" w:line="214" w:lineRule="auto"/>
              <w:ind w:left="1001"/>
            </w:pPr>
            <w:r>
              <w:t>/</w:t>
            </w:r>
          </w:p>
        </w:tc>
        <w:tc>
          <w:tcPr>
            <w:tcW w:w="1570" w:type="dxa"/>
            <w:tcBorders>
              <w:bottom w:val="single" w:color="000000" w:sz="12" w:space="0"/>
              <w:right w:val="nil"/>
            </w:tcBorders>
            <w:vAlign w:val="top"/>
          </w:tcPr>
          <w:p>
            <w:pPr>
              <w:pStyle w:val="6"/>
              <w:spacing w:before="111" w:line="214" w:lineRule="auto"/>
              <w:ind w:left="751"/>
            </w:pPr>
            <w:r>
              <w:t>/</w:t>
            </w:r>
          </w:p>
        </w:tc>
      </w:tr>
    </w:tbl>
    <w:p>
      <w:pPr>
        <w:spacing w:line="293" w:lineRule="auto"/>
        <w:rPr>
          <w:rFonts w:ascii="Arial"/>
          <w:sz w:val="21"/>
        </w:rPr>
      </w:pPr>
    </w:p>
    <w:p>
      <w:pPr>
        <w:spacing w:before="68" w:line="218" w:lineRule="auto"/>
        <w:ind w:left="5743"/>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Times New Roman" w:hAnsi="Times New Roman" w:eastAsia="Times New Roman" w:cs="Times New Roman"/>
          <w:b/>
          <w:bCs/>
          <w:spacing w:val="-1"/>
          <w:sz w:val="21"/>
          <w:szCs w:val="21"/>
        </w:rPr>
        <w:t xml:space="preserve">3.2-5    </w:t>
      </w:r>
      <w:r>
        <w:rPr>
          <w:rFonts w:ascii="宋体" w:hAnsi="宋体" w:eastAsia="宋体" w:cs="宋体"/>
          <w:spacing w:val="-1"/>
          <w:sz w:val="21"/>
          <w:szCs w:val="21"/>
          <w14:textOutline w14:w="3810" w14:cap="flat" w14:cmpd="sng">
            <w14:solidFill>
              <w14:srgbClr w14:val="000000"/>
            </w14:solidFill>
            <w14:prstDash w14:val="solid"/>
            <w14:miter w14:val="0"/>
          </w14:textOutline>
        </w:rPr>
        <w:t>水质指数评价结果</w:t>
      </w:r>
    </w:p>
    <w:p>
      <w:pPr>
        <w:spacing w:line="132" w:lineRule="auto"/>
        <w:rPr>
          <w:rFonts w:ascii="Arial"/>
          <w:sz w:val="2"/>
        </w:rPr>
      </w:pPr>
    </w:p>
    <w:tbl>
      <w:tblPr>
        <w:tblStyle w:val="5"/>
        <w:tblW w:w="13974"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1661"/>
        <w:gridCol w:w="1383"/>
        <w:gridCol w:w="1519"/>
        <w:gridCol w:w="1519"/>
        <w:gridCol w:w="1527"/>
        <w:gridCol w:w="1524"/>
        <w:gridCol w:w="1528"/>
        <w:gridCol w:w="1516"/>
        <w:gridCol w:w="1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22" w:type="dxa"/>
            <w:vMerge w:val="restart"/>
            <w:tcBorders>
              <w:top w:val="single" w:color="000000" w:sz="12" w:space="0"/>
              <w:left w:val="nil"/>
              <w:bottom w:val="nil"/>
            </w:tcBorders>
            <w:vAlign w:val="top"/>
          </w:tcPr>
          <w:p>
            <w:pPr>
              <w:spacing w:line="456" w:lineRule="auto"/>
              <w:rPr>
                <w:rFonts w:ascii="Arial"/>
                <w:sz w:val="21"/>
              </w:rPr>
            </w:pPr>
          </w:p>
          <w:p>
            <w:pPr>
              <w:spacing w:before="68" w:line="218" w:lineRule="auto"/>
              <w:ind w:left="17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1661" w:type="dxa"/>
            <w:vMerge w:val="restart"/>
            <w:tcBorders>
              <w:top w:val="single" w:color="000000" w:sz="12" w:space="0"/>
              <w:bottom w:val="nil"/>
            </w:tcBorders>
            <w:vAlign w:val="top"/>
          </w:tcPr>
          <w:p>
            <w:pPr>
              <w:spacing w:line="456" w:lineRule="auto"/>
              <w:rPr>
                <w:rFonts w:ascii="Arial"/>
                <w:sz w:val="21"/>
              </w:rPr>
            </w:pPr>
          </w:p>
          <w:p>
            <w:pPr>
              <w:spacing w:before="68" w:line="219" w:lineRule="auto"/>
              <w:ind w:left="42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监测因子</w:t>
            </w:r>
          </w:p>
        </w:tc>
        <w:tc>
          <w:tcPr>
            <w:tcW w:w="10516" w:type="dxa"/>
            <w:gridSpan w:val="7"/>
            <w:tcBorders>
              <w:top w:val="single" w:color="000000" w:sz="12" w:space="0"/>
            </w:tcBorders>
            <w:vAlign w:val="top"/>
          </w:tcPr>
          <w:p>
            <w:pPr>
              <w:spacing w:before="50" w:line="219" w:lineRule="auto"/>
              <w:ind w:left="484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水质指数</w:t>
            </w:r>
          </w:p>
        </w:tc>
        <w:tc>
          <w:tcPr>
            <w:tcW w:w="1075" w:type="dxa"/>
            <w:vMerge w:val="restart"/>
            <w:tcBorders>
              <w:top w:val="single" w:color="000000" w:sz="12" w:space="0"/>
              <w:bottom w:val="nil"/>
              <w:right w:val="nil"/>
            </w:tcBorders>
            <w:vAlign w:val="top"/>
          </w:tcPr>
          <w:p>
            <w:pPr>
              <w:spacing w:line="456" w:lineRule="auto"/>
              <w:rPr>
                <w:rFonts w:ascii="Arial"/>
                <w:sz w:val="21"/>
              </w:rPr>
            </w:pPr>
          </w:p>
          <w:p>
            <w:pPr>
              <w:spacing w:before="68" w:line="218" w:lineRule="auto"/>
              <w:ind w:left="126"/>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4" w:hRule="atLeast"/>
        </w:trPr>
        <w:tc>
          <w:tcPr>
            <w:tcW w:w="722" w:type="dxa"/>
            <w:vMerge w:val="continue"/>
            <w:tcBorders>
              <w:top w:val="nil"/>
              <w:left w:val="nil"/>
            </w:tcBorders>
            <w:vAlign w:val="top"/>
          </w:tcPr>
          <w:p>
            <w:pPr>
              <w:rPr>
                <w:rFonts w:ascii="Arial"/>
                <w:sz w:val="21"/>
              </w:rPr>
            </w:pPr>
          </w:p>
        </w:tc>
        <w:tc>
          <w:tcPr>
            <w:tcW w:w="1661" w:type="dxa"/>
            <w:vMerge w:val="continue"/>
            <w:tcBorders>
              <w:top w:val="nil"/>
            </w:tcBorders>
            <w:vAlign w:val="top"/>
          </w:tcPr>
          <w:p>
            <w:pPr>
              <w:rPr>
                <w:rFonts w:ascii="Arial"/>
                <w:sz w:val="21"/>
              </w:rPr>
            </w:pPr>
          </w:p>
        </w:tc>
        <w:tc>
          <w:tcPr>
            <w:tcW w:w="1383" w:type="dxa"/>
            <w:vAlign w:val="top"/>
          </w:tcPr>
          <w:p>
            <w:pPr>
              <w:spacing w:before="52" w:line="217" w:lineRule="auto"/>
              <w:ind w:left="17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昔木乍箐与</w:t>
            </w:r>
          </w:p>
          <w:p>
            <w:pPr>
              <w:spacing w:before="65" w:line="219" w:lineRule="auto"/>
              <w:ind w:left="17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见簸箐交汇</w:t>
            </w:r>
          </w:p>
          <w:p>
            <w:pPr>
              <w:spacing w:before="100" w:line="179" w:lineRule="auto"/>
              <w:ind w:left="632"/>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口</w:t>
            </w:r>
          </w:p>
        </w:tc>
        <w:tc>
          <w:tcPr>
            <w:tcW w:w="1519" w:type="dxa"/>
            <w:vAlign w:val="top"/>
          </w:tcPr>
          <w:p>
            <w:pPr>
              <w:spacing w:before="208" w:line="247" w:lineRule="auto"/>
              <w:ind w:left="561" w:right="123" w:hanging="42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六姑乍箐取水</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坝处</w:t>
            </w:r>
          </w:p>
        </w:tc>
        <w:tc>
          <w:tcPr>
            <w:tcW w:w="1519" w:type="dxa"/>
            <w:vAlign w:val="top"/>
          </w:tcPr>
          <w:p>
            <w:pPr>
              <w:spacing w:line="294" w:lineRule="auto"/>
              <w:rPr>
                <w:rFonts w:ascii="Arial"/>
                <w:sz w:val="21"/>
              </w:rPr>
            </w:pPr>
          </w:p>
          <w:p>
            <w:pPr>
              <w:spacing w:before="68" w:line="219" w:lineRule="auto"/>
              <w:ind w:left="45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万马河</w:t>
            </w:r>
          </w:p>
        </w:tc>
        <w:tc>
          <w:tcPr>
            <w:tcW w:w="1527" w:type="dxa"/>
            <w:vAlign w:val="top"/>
          </w:tcPr>
          <w:p>
            <w:pPr>
              <w:spacing w:line="294" w:lineRule="auto"/>
              <w:rPr>
                <w:rFonts w:ascii="Arial"/>
                <w:sz w:val="21"/>
              </w:rPr>
            </w:pPr>
          </w:p>
          <w:p>
            <w:pPr>
              <w:spacing w:before="68" w:line="219" w:lineRule="auto"/>
              <w:ind w:left="35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者纳么河</w:t>
            </w:r>
          </w:p>
        </w:tc>
        <w:tc>
          <w:tcPr>
            <w:tcW w:w="1524" w:type="dxa"/>
            <w:vAlign w:val="top"/>
          </w:tcPr>
          <w:p>
            <w:pPr>
              <w:spacing w:line="294" w:lineRule="auto"/>
              <w:rPr>
                <w:rFonts w:ascii="Arial"/>
                <w:sz w:val="21"/>
              </w:rPr>
            </w:pPr>
          </w:p>
          <w:p>
            <w:pPr>
              <w:spacing w:before="68" w:line="219" w:lineRule="auto"/>
              <w:ind w:left="45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六苴河</w:t>
            </w:r>
          </w:p>
        </w:tc>
        <w:tc>
          <w:tcPr>
            <w:tcW w:w="1528" w:type="dxa"/>
            <w:vAlign w:val="top"/>
          </w:tcPr>
          <w:p>
            <w:pPr>
              <w:spacing w:before="52" w:line="246" w:lineRule="auto"/>
              <w:ind w:left="363" w:right="128" w:hanging="22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输水线汇入碧</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么水库前</w:t>
            </w:r>
          </w:p>
          <w:p>
            <w:pPr>
              <w:pStyle w:val="6"/>
              <w:spacing w:before="65" w:line="217" w:lineRule="auto"/>
              <w:ind w:left="388"/>
              <w:rPr>
                <w:rFonts w:ascii="仿宋" w:hAnsi="仿宋" w:eastAsia="仿宋" w:cs="仿宋"/>
              </w:rPr>
            </w:pPr>
            <w:r>
              <w:rPr>
                <w:b/>
                <w:bCs/>
                <w:spacing w:val="-2"/>
              </w:rPr>
              <w:t>500m</w:t>
            </w:r>
            <w:r>
              <w:rPr>
                <w:b/>
                <w:bCs/>
                <w:spacing w:val="17"/>
                <w:w w:val="101"/>
              </w:rPr>
              <w:t xml:space="preserve"> </w:t>
            </w:r>
            <w:r>
              <w:rPr>
                <w:rFonts w:ascii="仿宋" w:hAnsi="仿宋" w:eastAsia="仿宋" w:cs="仿宋"/>
                <w:spacing w:val="-2"/>
                <w14:textOutline w14:w="3810" w14:cap="flat" w14:cmpd="sng">
                  <w14:solidFill>
                    <w14:srgbClr w14:val="000000"/>
                  </w14:solidFill>
                  <w14:prstDash w14:val="solid"/>
                  <w14:miter w14:val="0"/>
                </w14:textOutline>
              </w:rPr>
              <w:t>处</w:t>
            </w:r>
          </w:p>
        </w:tc>
        <w:tc>
          <w:tcPr>
            <w:tcW w:w="1516" w:type="dxa"/>
            <w:vAlign w:val="top"/>
          </w:tcPr>
          <w:p>
            <w:pPr>
              <w:spacing w:line="294" w:lineRule="auto"/>
              <w:rPr>
                <w:rFonts w:ascii="Arial"/>
                <w:sz w:val="21"/>
              </w:rPr>
            </w:pPr>
          </w:p>
          <w:p>
            <w:pPr>
              <w:spacing w:before="69" w:line="218" w:lineRule="auto"/>
              <w:ind w:left="35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碧么水库</w:t>
            </w:r>
          </w:p>
        </w:tc>
        <w:tc>
          <w:tcPr>
            <w:tcW w:w="1075"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22" w:type="dxa"/>
            <w:tcBorders>
              <w:left w:val="nil"/>
            </w:tcBorders>
            <w:vAlign w:val="top"/>
          </w:tcPr>
          <w:p>
            <w:pPr>
              <w:pStyle w:val="6"/>
              <w:spacing w:before="96" w:line="188" w:lineRule="auto"/>
              <w:ind w:left="340"/>
            </w:pPr>
            <w:r>
              <w:t>1</w:t>
            </w:r>
          </w:p>
        </w:tc>
        <w:tc>
          <w:tcPr>
            <w:tcW w:w="1661" w:type="dxa"/>
            <w:vAlign w:val="top"/>
          </w:tcPr>
          <w:p>
            <w:pPr>
              <w:spacing w:before="59" w:line="215" w:lineRule="auto"/>
              <w:ind w:left="626"/>
              <w:rPr>
                <w:rFonts w:ascii="宋体" w:hAnsi="宋体" w:eastAsia="宋体" w:cs="宋体"/>
                <w:sz w:val="21"/>
                <w:szCs w:val="21"/>
              </w:rPr>
            </w:pPr>
            <w:r>
              <w:rPr>
                <w:rFonts w:ascii="宋体" w:hAnsi="宋体" w:eastAsia="宋体" w:cs="宋体"/>
                <w:spacing w:val="-3"/>
                <w:sz w:val="21"/>
                <w:szCs w:val="21"/>
              </w:rPr>
              <w:t>水温</w:t>
            </w:r>
          </w:p>
        </w:tc>
        <w:tc>
          <w:tcPr>
            <w:tcW w:w="1383" w:type="dxa"/>
            <w:vAlign w:val="top"/>
          </w:tcPr>
          <w:p>
            <w:pPr>
              <w:pStyle w:val="6"/>
              <w:spacing w:before="96" w:line="188" w:lineRule="auto"/>
              <w:ind w:left="286"/>
            </w:pPr>
            <w:r>
              <w:rPr>
                <w:spacing w:val="-3"/>
              </w:rPr>
              <w:t>16.8~17.8</w:t>
            </w:r>
          </w:p>
        </w:tc>
        <w:tc>
          <w:tcPr>
            <w:tcW w:w="1519" w:type="dxa"/>
            <w:vAlign w:val="top"/>
          </w:tcPr>
          <w:p>
            <w:pPr>
              <w:pStyle w:val="6"/>
              <w:spacing w:before="96" w:line="188" w:lineRule="auto"/>
              <w:ind w:left="354"/>
            </w:pPr>
            <w:r>
              <w:rPr>
                <w:spacing w:val="-3"/>
              </w:rPr>
              <w:t>16.8~17.4</w:t>
            </w:r>
          </w:p>
        </w:tc>
        <w:tc>
          <w:tcPr>
            <w:tcW w:w="1519" w:type="dxa"/>
            <w:vAlign w:val="top"/>
          </w:tcPr>
          <w:p>
            <w:pPr>
              <w:pStyle w:val="6"/>
              <w:spacing w:before="96" w:line="188" w:lineRule="auto"/>
              <w:ind w:left="354"/>
            </w:pPr>
            <w:r>
              <w:rPr>
                <w:spacing w:val="-3"/>
              </w:rPr>
              <w:t>15.8~16.8</w:t>
            </w:r>
          </w:p>
        </w:tc>
        <w:tc>
          <w:tcPr>
            <w:tcW w:w="1527" w:type="dxa"/>
            <w:vAlign w:val="top"/>
          </w:tcPr>
          <w:p>
            <w:pPr>
              <w:pStyle w:val="6"/>
              <w:spacing w:before="96" w:line="188" w:lineRule="auto"/>
              <w:ind w:left="437"/>
            </w:pPr>
            <w:r>
              <w:rPr>
                <w:spacing w:val="-4"/>
              </w:rPr>
              <w:t>16.8~17</w:t>
            </w:r>
          </w:p>
        </w:tc>
        <w:tc>
          <w:tcPr>
            <w:tcW w:w="1524" w:type="dxa"/>
            <w:vAlign w:val="top"/>
          </w:tcPr>
          <w:p>
            <w:pPr>
              <w:pStyle w:val="6"/>
              <w:spacing w:before="96" w:line="188" w:lineRule="auto"/>
              <w:ind w:left="356"/>
            </w:pPr>
            <w:r>
              <w:rPr>
                <w:spacing w:val="-3"/>
              </w:rPr>
              <w:t>17.0~17.2</w:t>
            </w:r>
          </w:p>
        </w:tc>
        <w:tc>
          <w:tcPr>
            <w:tcW w:w="1528" w:type="dxa"/>
            <w:vAlign w:val="top"/>
          </w:tcPr>
          <w:p>
            <w:pPr>
              <w:pStyle w:val="6"/>
              <w:spacing w:before="96" w:line="188" w:lineRule="auto"/>
              <w:ind w:left="359"/>
            </w:pPr>
            <w:r>
              <w:rPr>
                <w:spacing w:val="-3"/>
              </w:rPr>
              <w:t>16.4~16.8</w:t>
            </w:r>
          </w:p>
        </w:tc>
        <w:tc>
          <w:tcPr>
            <w:tcW w:w="1516" w:type="dxa"/>
            <w:vAlign w:val="top"/>
          </w:tcPr>
          <w:p>
            <w:pPr>
              <w:pStyle w:val="6"/>
              <w:spacing w:before="96" w:line="188" w:lineRule="auto"/>
              <w:ind w:left="352"/>
            </w:pPr>
            <w:r>
              <w:rPr>
                <w:spacing w:val="-3"/>
              </w:rPr>
              <w:t>17.2~17.6</w:t>
            </w:r>
          </w:p>
        </w:tc>
        <w:tc>
          <w:tcPr>
            <w:tcW w:w="1075" w:type="dxa"/>
            <w:tcBorders>
              <w:right w:val="nil"/>
            </w:tcBorders>
            <w:vAlign w:val="top"/>
          </w:tcPr>
          <w:p>
            <w:pPr>
              <w:pStyle w:val="6"/>
              <w:spacing w:before="94" w:line="208" w:lineRule="auto"/>
              <w:ind w:left="502"/>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22" w:type="dxa"/>
            <w:tcBorders>
              <w:left w:val="nil"/>
            </w:tcBorders>
            <w:vAlign w:val="top"/>
          </w:tcPr>
          <w:p>
            <w:pPr>
              <w:pStyle w:val="6"/>
              <w:spacing w:before="99" w:line="188" w:lineRule="auto"/>
              <w:ind w:left="320"/>
            </w:pPr>
            <w:r>
              <w:t>2</w:t>
            </w:r>
          </w:p>
        </w:tc>
        <w:tc>
          <w:tcPr>
            <w:tcW w:w="1661" w:type="dxa"/>
            <w:vAlign w:val="top"/>
          </w:tcPr>
          <w:p>
            <w:pPr>
              <w:pStyle w:val="6"/>
              <w:spacing w:before="98" w:line="190" w:lineRule="auto"/>
              <w:ind w:left="697"/>
            </w:pPr>
            <w:r>
              <w:t>pH</w:t>
            </w:r>
          </w:p>
        </w:tc>
        <w:tc>
          <w:tcPr>
            <w:tcW w:w="1383" w:type="dxa"/>
            <w:vAlign w:val="top"/>
          </w:tcPr>
          <w:p>
            <w:pPr>
              <w:pStyle w:val="6"/>
              <w:spacing w:before="99" w:line="188" w:lineRule="auto"/>
              <w:ind w:left="322"/>
            </w:pPr>
            <w:r>
              <w:rPr>
                <w:spacing w:val="-1"/>
              </w:rPr>
              <w:t>0.25~0.3</w:t>
            </w:r>
          </w:p>
        </w:tc>
        <w:tc>
          <w:tcPr>
            <w:tcW w:w="1519" w:type="dxa"/>
            <w:vAlign w:val="top"/>
          </w:tcPr>
          <w:p>
            <w:pPr>
              <w:pStyle w:val="6"/>
              <w:spacing w:before="99" w:line="188" w:lineRule="auto"/>
              <w:ind w:left="390"/>
            </w:pPr>
            <w:r>
              <w:rPr>
                <w:spacing w:val="-1"/>
              </w:rPr>
              <w:t>0.3~0.35</w:t>
            </w:r>
          </w:p>
        </w:tc>
        <w:tc>
          <w:tcPr>
            <w:tcW w:w="1519" w:type="dxa"/>
            <w:vAlign w:val="top"/>
          </w:tcPr>
          <w:p>
            <w:pPr>
              <w:pStyle w:val="6"/>
              <w:spacing w:before="99" w:line="188" w:lineRule="auto"/>
              <w:ind w:left="390"/>
            </w:pPr>
            <w:r>
              <w:rPr>
                <w:spacing w:val="-1"/>
              </w:rPr>
              <w:t>0.25~0.3</w:t>
            </w:r>
          </w:p>
        </w:tc>
        <w:tc>
          <w:tcPr>
            <w:tcW w:w="1527" w:type="dxa"/>
            <w:vAlign w:val="top"/>
          </w:tcPr>
          <w:p>
            <w:pPr>
              <w:pStyle w:val="6"/>
              <w:spacing w:before="99" w:line="188" w:lineRule="auto"/>
              <w:ind w:left="635"/>
            </w:pPr>
            <w:r>
              <w:rPr>
                <w:spacing w:val="-3"/>
              </w:rPr>
              <w:t>0.3</w:t>
            </w:r>
          </w:p>
        </w:tc>
        <w:tc>
          <w:tcPr>
            <w:tcW w:w="1524" w:type="dxa"/>
            <w:vAlign w:val="top"/>
          </w:tcPr>
          <w:p>
            <w:pPr>
              <w:pStyle w:val="6"/>
              <w:spacing w:before="99" w:line="188" w:lineRule="auto"/>
              <w:ind w:left="632"/>
            </w:pPr>
            <w:r>
              <w:rPr>
                <w:spacing w:val="-3"/>
              </w:rPr>
              <w:t>0.3</w:t>
            </w:r>
          </w:p>
        </w:tc>
        <w:tc>
          <w:tcPr>
            <w:tcW w:w="1528" w:type="dxa"/>
            <w:vAlign w:val="top"/>
          </w:tcPr>
          <w:p>
            <w:pPr>
              <w:pStyle w:val="6"/>
              <w:spacing w:before="99" w:line="188" w:lineRule="auto"/>
              <w:ind w:left="393"/>
            </w:pPr>
            <w:r>
              <w:rPr>
                <w:spacing w:val="-1"/>
              </w:rPr>
              <w:t>0.3~0.35</w:t>
            </w:r>
          </w:p>
        </w:tc>
        <w:tc>
          <w:tcPr>
            <w:tcW w:w="1516" w:type="dxa"/>
            <w:vAlign w:val="top"/>
          </w:tcPr>
          <w:p>
            <w:pPr>
              <w:pStyle w:val="6"/>
              <w:spacing w:before="99" w:line="188" w:lineRule="auto"/>
              <w:ind w:left="628"/>
            </w:pPr>
            <w:r>
              <w:rPr>
                <w:spacing w:val="-3"/>
              </w:rPr>
              <w:t>0.3</w:t>
            </w:r>
          </w:p>
        </w:tc>
        <w:tc>
          <w:tcPr>
            <w:tcW w:w="1075" w:type="dxa"/>
            <w:tcBorders>
              <w:right w:val="nil"/>
            </w:tcBorders>
            <w:vAlign w:val="top"/>
          </w:tcPr>
          <w:p>
            <w:pPr>
              <w:spacing w:before="62" w:line="212"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722" w:type="dxa"/>
            <w:tcBorders>
              <w:left w:val="nil"/>
            </w:tcBorders>
            <w:vAlign w:val="top"/>
          </w:tcPr>
          <w:p>
            <w:pPr>
              <w:pStyle w:val="6"/>
              <w:spacing w:before="102" w:line="188" w:lineRule="auto"/>
              <w:ind w:left="324"/>
            </w:pPr>
            <w:r>
              <w:t>3</w:t>
            </w:r>
          </w:p>
        </w:tc>
        <w:tc>
          <w:tcPr>
            <w:tcW w:w="1661" w:type="dxa"/>
            <w:vAlign w:val="top"/>
          </w:tcPr>
          <w:p>
            <w:pPr>
              <w:spacing w:before="65" w:line="209" w:lineRule="auto"/>
              <w:ind w:left="520"/>
              <w:rPr>
                <w:rFonts w:ascii="宋体" w:hAnsi="宋体" w:eastAsia="宋体" w:cs="宋体"/>
                <w:sz w:val="21"/>
                <w:szCs w:val="21"/>
              </w:rPr>
            </w:pPr>
            <w:r>
              <w:rPr>
                <w:rFonts w:ascii="宋体" w:hAnsi="宋体" w:eastAsia="宋体" w:cs="宋体"/>
                <w:spacing w:val="-3"/>
                <w:sz w:val="21"/>
                <w:szCs w:val="21"/>
              </w:rPr>
              <w:t>溶解氧</w:t>
            </w:r>
          </w:p>
        </w:tc>
        <w:tc>
          <w:tcPr>
            <w:tcW w:w="1383" w:type="dxa"/>
            <w:vAlign w:val="top"/>
          </w:tcPr>
          <w:p>
            <w:pPr>
              <w:pStyle w:val="6"/>
              <w:spacing w:before="100" w:line="201" w:lineRule="auto"/>
              <w:ind w:left="269"/>
            </w:pPr>
            <w:r>
              <w:rPr>
                <w:spacing w:val="-1"/>
              </w:rPr>
              <w:t>0.85~0.95</w:t>
            </w:r>
          </w:p>
        </w:tc>
        <w:tc>
          <w:tcPr>
            <w:tcW w:w="1519" w:type="dxa"/>
            <w:vAlign w:val="top"/>
          </w:tcPr>
          <w:p>
            <w:pPr>
              <w:pStyle w:val="6"/>
              <w:spacing w:before="100" w:line="201" w:lineRule="auto"/>
              <w:ind w:left="390"/>
            </w:pPr>
            <w:r>
              <w:rPr>
                <w:spacing w:val="-1"/>
              </w:rPr>
              <w:t>0.96~1.0</w:t>
            </w:r>
          </w:p>
        </w:tc>
        <w:tc>
          <w:tcPr>
            <w:tcW w:w="1519" w:type="dxa"/>
            <w:vAlign w:val="top"/>
          </w:tcPr>
          <w:p>
            <w:pPr>
              <w:pStyle w:val="6"/>
              <w:spacing w:before="100" w:line="201" w:lineRule="auto"/>
              <w:ind w:left="390"/>
            </w:pPr>
            <w:r>
              <w:rPr>
                <w:spacing w:val="-1"/>
              </w:rPr>
              <w:t>0.93~1.0</w:t>
            </w:r>
          </w:p>
        </w:tc>
        <w:tc>
          <w:tcPr>
            <w:tcW w:w="1527" w:type="dxa"/>
            <w:vAlign w:val="top"/>
          </w:tcPr>
          <w:p>
            <w:pPr>
              <w:pStyle w:val="6"/>
              <w:spacing w:before="100" w:line="201" w:lineRule="auto"/>
              <w:ind w:left="342"/>
            </w:pPr>
            <w:r>
              <w:rPr>
                <w:spacing w:val="-1"/>
              </w:rPr>
              <w:t>0.83~0.86</w:t>
            </w:r>
          </w:p>
        </w:tc>
        <w:tc>
          <w:tcPr>
            <w:tcW w:w="1524" w:type="dxa"/>
            <w:vAlign w:val="top"/>
          </w:tcPr>
          <w:p>
            <w:pPr>
              <w:pStyle w:val="6"/>
              <w:spacing w:before="100" w:line="201" w:lineRule="auto"/>
              <w:ind w:left="392"/>
            </w:pPr>
            <w:r>
              <w:rPr>
                <w:spacing w:val="-1"/>
              </w:rPr>
              <w:t>0.95~1.0</w:t>
            </w:r>
          </w:p>
        </w:tc>
        <w:tc>
          <w:tcPr>
            <w:tcW w:w="1528" w:type="dxa"/>
            <w:vAlign w:val="top"/>
          </w:tcPr>
          <w:p>
            <w:pPr>
              <w:pStyle w:val="6"/>
              <w:spacing w:before="100" w:line="201" w:lineRule="auto"/>
              <w:ind w:left="393"/>
            </w:pPr>
            <w:r>
              <w:rPr>
                <w:spacing w:val="-1"/>
              </w:rPr>
              <w:t>0.96~1.0</w:t>
            </w:r>
          </w:p>
        </w:tc>
        <w:tc>
          <w:tcPr>
            <w:tcW w:w="1516" w:type="dxa"/>
            <w:vAlign w:val="top"/>
          </w:tcPr>
          <w:p>
            <w:pPr>
              <w:pStyle w:val="6"/>
              <w:spacing w:before="100" w:line="201" w:lineRule="auto"/>
              <w:ind w:left="335"/>
            </w:pPr>
            <w:r>
              <w:rPr>
                <w:spacing w:val="-1"/>
              </w:rPr>
              <w:t>0.82~0.86</w:t>
            </w:r>
          </w:p>
        </w:tc>
        <w:tc>
          <w:tcPr>
            <w:tcW w:w="1075" w:type="dxa"/>
            <w:tcBorders>
              <w:right w:val="nil"/>
            </w:tcBorders>
            <w:vAlign w:val="top"/>
          </w:tcPr>
          <w:p>
            <w:pPr>
              <w:spacing w:before="65" w:line="209"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22" w:type="dxa"/>
            <w:tcBorders>
              <w:left w:val="nil"/>
            </w:tcBorders>
            <w:vAlign w:val="top"/>
          </w:tcPr>
          <w:p>
            <w:pPr>
              <w:pStyle w:val="6"/>
              <w:spacing w:before="106" w:line="188" w:lineRule="auto"/>
              <w:ind w:left="318"/>
            </w:pPr>
            <w:r>
              <w:t>4</w:t>
            </w:r>
          </w:p>
        </w:tc>
        <w:tc>
          <w:tcPr>
            <w:tcW w:w="1661" w:type="dxa"/>
            <w:vAlign w:val="top"/>
          </w:tcPr>
          <w:p>
            <w:pPr>
              <w:spacing w:before="69" w:line="206" w:lineRule="auto"/>
              <w:ind w:left="519"/>
              <w:rPr>
                <w:rFonts w:ascii="宋体" w:hAnsi="宋体" w:eastAsia="宋体" w:cs="宋体"/>
                <w:sz w:val="21"/>
                <w:szCs w:val="21"/>
              </w:rPr>
            </w:pPr>
            <w:r>
              <w:rPr>
                <w:rFonts w:ascii="宋体" w:hAnsi="宋体" w:eastAsia="宋体" w:cs="宋体"/>
                <w:spacing w:val="-3"/>
                <w:sz w:val="21"/>
                <w:szCs w:val="21"/>
              </w:rPr>
              <w:t>石油类</w:t>
            </w:r>
          </w:p>
        </w:tc>
        <w:tc>
          <w:tcPr>
            <w:tcW w:w="1383" w:type="dxa"/>
            <w:vAlign w:val="top"/>
          </w:tcPr>
          <w:p>
            <w:pPr>
              <w:pStyle w:val="6"/>
              <w:spacing w:before="106" w:line="188" w:lineRule="auto"/>
              <w:ind w:left="562"/>
            </w:pPr>
            <w:r>
              <w:rPr>
                <w:spacing w:val="-3"/>
              </w:rPr>
              <w:t>0.2</w:t>
            </w:r>
          </w:p>
        </w:tc>
        <w:tc>
          <w:tcPr>
            <w:tcW w:w="1519" w:type="dxa"/>
            <w:vAlign w:val="top"/>
          </w:tcPr>
          <w:p>
            <w:pPr>
              <w:pStyle w:val="6"/>
              <w:spacing w:before="106" w:line="188" w:lineRule="auto"/>
              <w:ind w:left="630"/>
            </w:pPr>
            <w:r>
              <w:rPr>
                <w:spacing w:val="-3"/>
              </w:rPr>
              <w:t>0.2</w:t>
            </w:r>
          </w:p>
        </w:tc>
        <w:tc>
          <w:tcPr>
            <w:tcW w:w="1519" w:type="dxa"/>
            <w:vAlign w:val="top"/>
          </w:tcPr>
          <w:p>
            <w:pPr>
              <w:pStyle w:val="6"/>
              <w:spacing w:before="104" w:line="198" w:lineRule="auto"/>
              <w:ind w:left="725"/>
            </w:pPr>
            <w:r>
              <w:t>/</w:t>
            </w:r>
          </w:p>
        </w:tc>
        <w:tc>
          <w:tcPr>
            <w:tcW w:w="1527" w:type="dxa"/>
            <w:vAlign w:val="top"/>
          </w:tcPr>
          <w:p>
            <w:pPr>
              <w:pStyle w:val="6"/>
              <w:spacing w:before="104" w:line="198" w:lineRule="auto"/>
              <w:ind w:left="730"/>
            </w:pPr>
            <w:r>
              <w:t>/</w:t>
            </w:r>
          </w:p>
        </w:tc>
        <w:tc>
          <w:tcPr>
            <w:tcW w:w="1524" w:type="dxa"/>
            <w:vAlign w:val="top"/>
          </w:tcPr>
          <w:p>
            <w:pPr>
              <w:pStyle w:val="6"/>
              <w:spacing w:before="104" w:line="198" w:lineRule="auto"/>
              <w:ind w:left="727"/>
            </w:pPr>
            <w:r>
              <w:t>/</w:t>
            </w:r>
          </w:p>
        </w:tc>
        <w:tc>
          <w:tcPr>
            <w:tcW w:w="1528" w:type="dxa"/>
            <w:vAlign w:val="top"/>
          </w:tcPr>
          <w:p>
            <w:pPr>
              <w:pStyle w:val="6"/>
              <w:spacing w:before="106" w:line="188" w:lineRule="auto"/>
              <w:ind w:left="635"/>
            </w:pPr>
            <w:r>
              <w:rPr>
                <w:spacing w:val="-3"/>
              </w:rPr>
              <w:t>0.4</w:t>
            </w:r>
          </w:p>
        </w:tc>
        <w:tc>
          <w:tcPr>
            <w:tcW w:w="1516" w:type="dxa"/>
            <w:vAlign w:val="top"/>
          </w:tcPr>
          <w:p>
            <w:pPr>
              <w:pStyle w:val="6"/>
              <w:spacing w:before="104" w:line="198" w:lineRule="auto"/>
              <w:ind w:left="723"/>
            </w:pPr>
            <w:r>
              <w:t>/</w:t>
            </w:r>
          </w:p>
        </w:tc>
        <w:tc>
          <w:tcPr>
            <w:tcW w:w="1075" w:type="dxa"/>
            <w:tcBorders>
              <w:right w:val="nil"/>
            </w:tcBorders>
            <w:vAlign w:val="top"/>
          </w:tcPr>
          <w:p>
            <w:pPr>
              <w:spacing w:before="69" w:line="206"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722" w:type="dxa"/>
            <w:tcBorders>
              <w:left w:val="nil"/>
            </w:tcBorders>
            <w:vAlign w:val="top"/>
          </w:tcPr>
          <w:p>
            <w:pPr>
              <w:pStyle w:val="6"/>
              <w:spacing w:before="112" w:line="185" w:lineRule="auto"/>
              <w:ind w:left="325"/>
            </w:pPr>
            <w:r>
              <w:t>5</w:t>
            </w:r>
          </w:p>
        </w:tc>
        <w:tc>
          <w:tcPr>
            <w:tcW w:w="1661" w:type="dxa"/>
            <w:vAlign w:val="top"/>
          </w:tcPr>
          <w:p>
            <w:pPr>
              <w:spacing w:before="72" w:line="203" w:lineRule="auto"/>
              <w:ind w:left="314"/>
              <w:rPr>
                <w:rFonts w:ascii="仿宋" w:hAnsi="仿宋" w:eastAsia="仿宋" w:cs="仿宋"/>
                <w:sz w:val="21"/>
                <w:szCs w:val="21"/>
              </w:rPr>
            </w:pPr>
            <w:r>
              <w:rPr>
                <w:rFonts w:ascii="仿宋" w:hAnsi="仿宋" w:eastAsia="仿宋" w:cs="仿宋"/>
                <w:spacing w:val="-3"/>
                <w:sz w:val="21"/>
                <w:szCs w:val="21"/>
              </w:rPr>
              <w:t>化学需氧量</w:t>
            </w:r>
          </w:p>
        </w:tc>
        <w:tc>
          <w:tcPr>
            <w:tcW w:w="1383" w:type="dxa"/>
            <w:vAlign w:val="top"/>
          </w:tcPr>
          <w:p>
            <w:pPr>
              <w:pStyle w:val="6"/>
              <w:spacing w:before="109" w:line="188" w:lineRule="auto"/>
              <w:ind w:left="322"/>
            </w:pPr>
            <w:r>
              <w:rPr>
                <w:spacing w:val="-1"/>
              </w:rPr>
              <w:t>0.4~0.47</w:t>
            </w:r>
          </w:p>
        </w:tc>
        <w:tc>
          <w:tcPr>
            <w:tcW w:w="1519" w:type="dxa"/>
            <w:vAlign w:val="top"/>
          </w:tcPr>
          <w:p>
            <w:pPr>
              <w:pStyle w:val="6"/>
              <w:spacing w:before="109" w:line="188" w:lineRule="auto"/>
              <w:ind w:left="390"/>
            </w:pPr>
            <w:r>
              <w:rPr>
                <w:spacing w:val="-1"/>
              </w:rPr>
              <w:t>0.33~0.4</w:t>
            </w:r>
          </w:p>
        </w:tc>
        <w:tc>
          <w:tcPr>
            <w:tcW w:w="1519" w:type="dxa"/>
            <w:vAlign w:val="top"/>
          </w:tcPr>
          <w:p>
            <w:pPr>
              <w:pStyle w:val="6"/>
              <w:spacing w:before="109" w:line="188" w:lineRule="auto"/>
              <w:ind w:left="390"/>
            </w:pPr>
            <w:r>
              <w:rPr>
                <w:spacing w:val="-1"/>
              </w:rPr>
              <w:t>0.33~0.4</w:t>
            </w:r>
          </w:p>
        </w:tc>
        <w:tc>
          <w:tcPr>
            <w:tcW w:w="1527" w:type="dxa"/>
            <w:vAlign w:val="top"/>
          </w:tcPr>
          <w:p>
            <w:pPr>
              <w:pStyle w:val="6"/>
              <w:spacing w:before="109" w:line="188" w:lineRule="auto"/>
              <w:ind w:left="394"/>
            </w:pPr>
            <w:r>
              <w:rPr>
                <w:spacing w:val="-1"/>
              </w:rPr>
              <w:t>0.4~0.47</w:t>
            </w:r>
          </w:p>
        </w:tc>
        <w:tc>
          <w:tcPr>
            <w:tcW w:w="1524" w:type="dxa"/>
            <w:vAlign w:val="top"/>
          </w:tcPr>
          <w:p>
            <w:pPr>
              <w:pStyle w:val="6"/>
              <w:spacing w:before="109" w:line="188" w:lineRule="auto"/>
              <w:ind w:left="392"/>
            </w:pPr>
            <w:r>
              <w:rPr>
                <w:spacing w:val="-1"/>
              </w:rPr>
              <w:t>0.53~0.6</w:t>
            </w:r>
          </w:p>
        </w:tc>
        <w:tc>
          <w:tcPr>
            <w:tcW w:w="1528" w:type="dxa"/>
            <w:vAlign w:val="top"/>
          </w:tcPr>
          <w:p>
            <w:pPr>
              <w:pStyle w:val="6"/>
              <w:spacing w:before="109" w:line="188" w:lineRule="auto"/>
              <w:ind w:left="393"/>
            </w:pPr>
            <w:r>
              <w:rPr>
                <w:spacing w:val="-1"/>
              </w:rPr>
              <w:t>0.8~0.87</w:t>
            </w:r>
          </w:p>
        </w:tc>
        <w:tc>
          <w:tcPr>
            <w:tcW w:w="1516" w:type="dxa"/>
            <w:vAlign w:val="top"/>
          </w:tcPr>
          <w:p>
            <w:pPr>
              <w:pStyle w:val="6"/>
              <w:spacing w:before="109" w:line="188" w:lineRule="auto"/>
              <w:ind w:left="387"/>
            </w:pPr>
            <w:r>
              <w:rPr>
                <w:spacing w:val="-1"/>
              </w:rPr>
              <w:t>0.67~0.8</w:t>
            </w:r>
          </w:p>
        </w:tc>
        <w:tc>
          <w:tcPr>
            <w:tcW w:w="1075" w:type="dxa"/>
            <w:tcBorders>
              <w:right w:val="nil"/>
            </w:tcBorders>
            <w:vAlign w:val="top"/>
          </w:tcPr>
          <w:p>
            <w:pPr>
              <w:spacing w:before="72" w:line="203"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trPr>
        <w:tc>
          <w:tcPr>
            <w:tcW w:w="722" w:type="dxa"/>
            <w:tcBorders>
              <w:left w:val="nil"/>
              <w:bottom w:val="single" w:color="000000" w:sz="12" w:space="0"/>
            </w:tcBorders>
            <w:vAlign w:val="top"/>
          </w:tcPr>
          <w:p>
            <w:pPr>
              <w:pStyle w:val="6"/>
              <w:spacing w:before="113" w:line="188" w:lineRule="auto"/>
              <w:ind w:left="324"/>
            </w:pPr>
            <w:r>
              <w:t>6</w:t>
            </w:r>
          </w:p>
        </w:tc>
        <w:tc>
          <w:tcPr>
            <w:tcW w:w="1661" w:type="dxa"/>
            <w:tcBorders>
              <w:bottom w:val="single" w:color="000000" w:sz="12" w:space="0"/>
            </w:tcBorders>
            <w:vAlign w:val="top"/>
          </w:tcPr>
          <w:p>
            <w:pPr>
              <w:spacing w:before="77" w:line="218" w:lineRule="auto"/>
              <w:ind w:left="213"/>
              <w:rPr>
                <w:rFonts w:ascii="仿宋" w:hAnsi="仿宋" w:eastAsia="仿宋" w:cs="仿宋"/>
                <w:sz w:val="21"/>
                <w:szCs w:val="21"/>
              </w:rPr>
            </w:pPr>
            <w:r>
              <w:rPr>
                <w:rFonts w:ascii="仿宋" w:hAnsi="仿宋" w:eastAsia="仿宋" w:cs="仿宋"/>
                <w:spacing w:val="-3"/>
                <w:sz w:val="21"/>
                <w:szCs w:val="21"/>
              </w:rPr>
              <w:t>五日生化需氧</w:t>
            </w:r>
          </w:p>
        </w:tc>
        <w:tc>
          <w:tcPr>
            <w:tcW w:w="1383" w:type="dxa"/>
            <w:tcBorders>
              <w:bottom w:val="single" w:color="000000" w:sz="12" w:space="0"/>
            </w:tcBorders>
            <w:vAlign w:val="top"/>
          </w:tcPr>
          <w:p>
            <w:pPr>
              <w:pStyle w:val="6"/>
              <w:spacing w:before="113" w:line="188" w:lineRule="auto"/>
              <w:ind w:left="322"/>
            </w:pPr>
            <w:r>
              <w:rPr>
                <w:spacing w:val="-1"/>
              </w:rPr>
              <w:t>0.2~0.27</w:t>
            </w:r>
          </w:p>
        </w:tc>
        <w:tc>
          <w:tcPr>
            <w:tcW w:w="1519" w:type="dxa"/>
            <w:tcBorders>
              <w:bottom w:val="single" w:color="000000" w:sz="12" w:space="0"/>
            </w:tcBorders>
            <w:vAlign w:val="top"/>
          </w:tcPr>
          <w:p>
            <w:pPr>
              <w:pStyle w:val="6"/>
              <w:spacing w:before="111" w:line="214" w:lineRule="auto"/>
              <w:ind w:left="724"/>
            </w:pPr>
            <w:r>
              <w:t>/</w:t>
            </w:r>
          </w:p>
        </w:tc>
        <w:tc>
          <w:tcPr>
            <w:tcW w:w="1519" w:type="dxa"/>
            <w:tcBorders>
              <w:bottom w:val="single" w:color="000000" w:sz="12" w:space="0"/>
            </w:tcBorders>
            <w:vAlign w:val="top"/>
          </w:tcPr>
          <w:p>
            <w:pPr>
              <w:pStyle w:val="6"/>
              <w:spacing w:before="113" w:line="188" w:lineRule="auto"/>
              <w:ind w:left="390"/>
            </w:pPr>
            <w:r>
              <w:rPr>
                <w:spacing w:val="-1"/>
              </w:rPr>
              <w:t>0.2~0.23</w:t>
            </w:r>
          </w:p>
        </w:tc>
        <w:tc>
          <w:tcPr>
            <w:tcW w:w="1527" w:type="dxa"/>
            <w:tcBorders>
              <w:bottom w:val="single" w:color="000000" w:sz="12" w:space="0"/>
            </w:tcBorders>
            <w:vAlign w:val="top"/>
          </w:tcPr>
          <w:p>
            <w:pPr>
              <w:pStyle w:val="6"/>
              <w:spacing w:before="113" w:line="188" w:lineRule="auto"/>
              <w:ind w:left="342"/>
            </w:pPr>
            <w:r>
              <w:rPr>
                <w:spacing w:val="-1"/>
              </w:rPr>
              <w:t>0.23~0.27</w:t>
            </w:r>
          </w:p>
        </w:tc>
        <w:tc>
          <w:tcPr>
            <w:tcW w:w="1524" w:type="dxa"/>
            <w:tcBorders>
              <w:bottom w:val="single" w:color="000000" w:sz="12" w:space="0"/>
            </w:tcBorders>
            <w:vAlign w:val="top"/>
          </w:tcPr>
          <w:p>
            <w:pPr>
              <w:pStyle w:val="6"/>
              <w:spacing w:before="113" w:line="188" w:lineRule="auto"/>
              <w:ind w:left="392"/>
            </w:pPr>
            <w:r>
              <w:rPr>
                <w:spacing w:val="-1"/>
              </w:rPr>
              <w:t>0.17~0.2</w:t>
            </w:r>
          </w:p>
        </w:tc>
        <w:tc>
          <w:tcPr>
            <w:tcW w:w="1528" w:type="dxa"/>
            <w:tcBorders>
              <w:bottom w:val="single" w:color="000000" w:sz="12" w:space="0"/>
            </w:tcBorders>
            <w:vAlign w:val="top"/>
          </w:tcPr>
          <w:p>
            <w:pPr>
              <w:pStyle w:val="6"/>
              <w:spacing w:before="113" w:line="188" w:lineRule="auto"/>
              <w:ind w:left="393"/>
            </w:pPr>
            <w:r>
              <w:rPr>
                <w:spacing w:val="-1"/>
              </w:rPr>
              <w:t>0.8~0.87</w:t>
            </w:r>
          </w:p>
        </w:tc>
        <w:tc>
          <w:tcPr>
            <w:tcW w:w="1516" w:type="dxa"/>
            <w:tcBorders>
              <w:bottom w:val="single" w:color="000000" w:sz="12" w:space="0"/>
            </w:tcBorders>
            <w:vAlign w:val="top"/>
          </w:tcPr>
          <w:p>
            <w:pPr>
              <w:pStyle w:val="6"/>
              <w:spacing w:before="113" w:line="188" w:lineRule="auto"/>
              <w:ind w:left="387"/>
            </w:pPr>
            <w:r>
              <w:rPr>
                <w:spacing w:val="-1"/>
              </w:rPr>
              <w:t>0.73~0.8</w:t>
            </w:r>
          </w:p>
        </w:tc>
        <w:tc>
          <w:tcPr>
            <w:tcW w:w="1075" w:type="dxa"/>
            <w:tcBorders>
              <w:bottom w:val="single" w:color="000000" w:sz="12" w:space="0"/>
              <w:right w:val="nil"/>
            </w:tcBorders>
            <w:vAlign w:val="top"/>
          </w:tcPr>
          <w:p>
            <w:pPr>
              <w:spacing w:before="77" w:line="218" w:lineRule="auto"/>
              <w:ind w:left="338"/>
              <w:rPr>
                <w:rFonts w:ascii="仿宋" w:hAnsi="仿宋" w:eastAsia="仿宋" w:cs="仿宋"/>
                <w:sz w:val="21"/>
                <w:szCs w:val="21"/>
              </w:rPr>
            </w:pPr>
            <w:r>
              <w:rPr>
                <w:rFonts w:ascii="仿宋" w:hAnsi="仿宋" w:eastAsia="仿宋" w:cs="仿宋"/>
                <w:spacing w:val="-5"/>
                <w:sz w:val="21"/>
                <w:szCs w:val="21"/>
              </w:rPr>
              <w:t>达标</w:t>
            </w:r>
          </w:p>
        </w:tc>
      </w:tr>
    </w:tbl>
    <w:p>
      <w:pPr>
        <w:rPr>
          <w:rFonts w:ascii="Arial"/>
          <w:sz w:val="21"/>
        </w:rPr>
      </w:pPr>
    </w:p>
    <w:p>
      <w:pPr>
        <w:rPr>
          <w:rFonts w:ascii="Arial" w:hAnsi="Arial" w:eastAsia="Arial" w:cs="Arial"/>
          <w:sz w:val="21"/>
          <w:szCs w:val="21"/>
        </w:rPr>
        <w:sectPr>
          <w:footerReference r:id="rId189" w:type="default"/>
          <w:pgSz w:w="16839" w:h="11907"/>
          <w:pgMar w:top="1156" w:right="1408" w:bottom="1374" w:left="1410" w:header="881" w:footer="1210" w:gutter="0"/>
        </w:sectPr>
      </w:pPr>
    </w:p>
    <w:p>
      <w:pPr>
        <w:spacing w:before="80"/>
      </w:pPr>
    </w:p>
    <w:p>
      <w:pPr>
        <w:spacing w:before="80"/>
      </w:pPr>
    </w:p>
    <w:tbl>
      <w:tblPr>
        <w:tblStyle w:val="5"/>
        <w:tblW w:w="13974"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1661"/>
        <w:gridCol w:w="1383"/>
        <w:gridCol w:w="1519"/>
        <w:gridCol w:w="1519"/>
        <w:gridCol w:w="1527"/>
        <w:gridCol w:w="1524"/>
        <w:gridCol w:w="1528"/>
        <w:gridCol w:w="1516"/>
        <w:gridCol w:w="1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722" w:type="dxa"/>
            <w:vMerge w:val="restart"/>
            <w:tcBorders>
              <w:top w:val="single" w:color="000000" w:sz="12" w:space="0"/>
              <w:left w:val="nil"/>
              <w:bottom w:val="nil"/>
            </w:tcBorders>
            <w:vAlign w:val="top"/>
          </w:tcPr>
          <w:p>
            <w:pPr>
              <w:spacing w:line="455" w:lineRule="auto"/>
              <w:rPr>
                <w:rFonts w:ascii="Arial"/>
                <w:sz w:val="21"/>
              </w:rPr>
            </w:pPr>
          </w:p>
          <w:p>
            <w:pPr>
              <w:spacing w:before="68" w:line="218" w:lineRule="auto"/>
              <w:ind w:left="17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1661" w:type="dxa"/>
            <w:vMerge w:val="restart"/>
            <w:tcBorders>
              <w:top w:val="single" w:color="000000" w:sz="12" w:space="0"/>
              <w:bottom w:val="nil"/>
            </w:tcBorders>
            <w:vAlign w:val="top"/>
          </w:tcPr>
          <w:p>
            <w:pPr>
              <w:spacing w:line="455" w:lineRule="auto"/>
              <w:rPr>
                <w:rFonts w:ascii="Arial"/>
                <w:sz w:val="21"/>
              </w:rPr>
            </w:pPr>
          </w:p>
          <w:p>
            <w:pPr>
              <w:spacing w:before="68" w:line="219" w:lineRule="auto"/>
              <w:ind w:left="42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监测因子</w:t>
            </w:r>
          </w:p>
        </w:tc>
        <w:tc>
          <w:tcPr>
            <w:tcW w:w="10516" w:type="dxa"/>
            <w:gridSpan w:val="7"/>
            <w:tcBorders>
              <w:top w:val="single" w:color="000000" w:sz="12" w:space="0"/>
            </w:tcBorders>
            <w:vAlign w:val="top"/>
          </w:tcPr>
          <w:p>
            <w:pPr>
              <w:spacing w:before="50" w:line="219" w:lineRule="auto"/>
              <w:ind w:left="484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水质指数</w:t>
            </w:r>
          </w:p>
        </w:tc>
        <w:tc>
          <w:tcPr>
            <w:tcW w:w="1075" w:type="dxa"/>
            <w:vMerge w:val="restart"/>
            <w:tcBorders>
              <w:top w:val="single" w:color="000000" w:sz="12" w:space="0"/>
              <w:bottom w:val="nil"/>
              <w:right w:val="nil"/>
            </w:tcBorders>
            <w:vAlign w:val="top"/>
          </w:tcPr>
          <w:p>
            <w:pPr>
              <w:spacing w:line="455" w:lineRule="auto"/>
              <w:rPr>
                <w:rFonts w:ascii="Arial"/>
                <w:sz w:val="21"/>
              </w:rPr>
            </w:pPr>
          </w:p>
          <w:p>
            <w:pPr>
              <w:spacing w:before="68" w:line="218" w:lineRule="auto"/>
              <w:ind w:left="126"/>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8" w:hRule="atLeast"/>
        </w:trPr>
        <w:tc>
          <w:tcPr>
            <w:tcW w:w="722" w:type="dxa"/>
            <w:vMerge w:val="continue"/>
            <w:tcBorders>
              <w:top w:val="nil"/>
              <w:left w:val="nil"/>
            </w:tcBorders>
            <w:vAlign w:val="top"/>
          </w:tcPr>
          <w:p>
            <w:pPr>
              <w:rPr>
                <w:rFonts w:ascii="Arial"/>
                <w:sz w:val="21"/>
              </w:rPr>
            </w:pPr>
          </w:p>
        </w:tc>
        <w:tc>
          <w:tcPr>
            <w:tcW w:w="1661" w:type="dxa"/>
            <w:vMerge w:val="continue"/>
            <w:tcBorders>
              <w:top w:val="nil"/>
            </w:tcBorders>
            <w:vAlign w:val="top"/>
          </w:tcPr>
          <w:p>
            <w:pPr>
              <w:rPr>
                <w:rFonts w:ascii="Arial"/>
                <w:sz w:val="21"/>
              </w:rPr>
            </w:pPr>
          </w:p>
        </w:tc>
        <w:tc>
          <w:tcPr>
            <w:tcW w:w="1383" w:type="dxa"/>
            <w:vAlign w:val="top"/>
          </w:tcPr>
          <w:p>
            <w:pPr>
              <w:spacing w:before="49" w:line="217" w:lineRule="auto"/>
              <w:ind w:left="17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昔木乍箐与</w:t>
            </w:r>
          </w:p>
          <w:p>
            <w:pPr>
              <w:spacing w:before="65" w:line="219" w:lineRule="auto"/>
              <w:ind w:left="17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见簸箐交汇</w:t>
            </w:r>
          </w:p>
          <w:p>
            <w:pPr>
              <w:spacing w:before="100" w:line="179" w:lineRule="auto"/>
              <w:ind w:left="632"/>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口</w:t>
            </w:r>
          </w:p>
        </w:tc>
        <w:tc>
          <w:tcPr>
            <w:tcW w:w="1519" w:type="dxa"/>
            <w:vAlign w:val="top"/>
          </w:tcPr>
          <w:p>
            <w:pPr>
              <w:spacing w:before="205" w:line="247" w:lineRule="auto"/>
              <w:ind w:left="561" w:right="123" w:hanging="42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六姑乍箐取水</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坝处</w:t>
            </w:r>
          </w:p>
        </w:tc>
        <w:tc>
          <w:tcPr>
            <w:tcW w:w="1519" w:type="dxa"/>
            <w:vAlign w:val="top"/>
          </w:tcPr>
          <w:p>
            <w:pPr>
              <w:spacing w:line="291" w:lineRule="auto"/>
              <w:rPr>
                <w:rFonts w:ascii="Arial"/>
                <w:sz w:val="21"/>
              </w:rPr>
            </w:pPr>
          </w:p>
          <w:p>
            <w:pPr>
              <w:spacing w:before="68" w:line="219" w:lineRule="auto"/>
              <w:ind w:left="45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万马河</w:t>
            </w:r>
          </w:p>
        </w:tc>
        <w:tc>
          <w:tcPr>
            <w:tcW w:w="1527" w:type="dxa"/>
            <w:vAlign w:val="top"/>
          </w:tcPr>
          <w:p>
            <w:pPr>
              <w:spacing w:line="291" w:lineRule="auto"/>
              <w:rPr>
                <w:rFonts w:ascii="Arial"/>
                <w:sz w:val="21"/>
              </w:rPr>
            </w:pPr>
          </w:p>
          <w:p>
            <w:pPr>
              <w:spacing w:before="68" w:line="219" w:lineRule="auto"/>
              <w:ind w:left="35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者纳么河</w:t>
            </w:r>
          </w:p>
        </w:tc>
        <w:tc>
          <w:tcPr>
            <w:tcW w:w="1524" w:type="dxa"/>
            <w:vAlign w:val="top"/>
          </w:tcPr>
          <w:p>
            <w:pPr>
              <w:spacing w:line="291" w:lineRule="auto"/>
              <w:rPr>
                <w:rFonts w:ascii="Arial"/>
                <w:sz w:val="21"/>
              </w:rPr>
            </w:pPr>
          </w:p>
          <w:p>
            <w:pPr>
              <w:spacing w:before="68" w:line="219" w:lineRule="auto"/>
              <w:ind w:left="45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六苴河</w:t>
            </w:r>
          </w:p>
        </w:tc>
        <w:tc>
          <w:tcPr>
            <w:tcW w:w="1528" w:type="dxa"/>
            <w:vAlign w:val="top"/>
          </w:tcPr>
          <w:p>
            <w:pPr>
              <w:spacing w:before="49" w:line="246" w:lineRule="auto"/>
              <w:ind w:left="363" w:right="128" w:hanging="22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输水线汇入碧</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么水库前</w:t>
            </w:r>
          </w:p>
          <w:p>
            <w:pPr>
              <w:pStyle w:val="6"/>
              <w:spacing w:before="64" w:line="224" w:lineRule="auto"/>
              <w:ind w:left="388"/>
              <w:rPr>
                <w:rFonts w:ascii="仿宋" w:hAnsi="仿宋" w:eastAsia="仿宋" w:cs="仿宋"/>
              </w:rPr>
            </w:pPr>
            <w:r>
              <w:rPr>
                <w:b/>
                <w:bCs/>
                <w:spacing w:val="-2"/>
              </w:rPr>
              <w:t>500m</w:t>
            </w:r>
            <w:r>
              <w:rPr>
                <w:b/>
                <w:bCs/>
                <w:spacing w:val="17"/>
                <w:w w:val="101"/>
              </w:rPr>
              <w:t xml:space="preserve"> </w:t>
            </w:r>
            <w:r>
              <w:rPr>
                <w:rFonts w:ascii="仿宋" w:hAnsi="仿宋" w:eastAsia="仿宋" w:cs="仿宋"/>
                <w:spacing w:val="-2"/>
                <w14:textOutline w14:w="3810" w14:cap="flat" w14:cmpd="sng">
                  <w14:solidFill>
                    <w14:srgbClr w14:val="000000"/>
                  </w14:solidFill>
                  <w14:prstDash w14:val="solid"/>
                  <w14:miter w14:val="0"/>
                </w14:textOutline>
              </w:rPr>
              <w:t>处</w:t>
            </w:r>
          </w:p>
        </w:tc>
        <w:tc>
          <w:tcPr>
            <w:tcW w:w="1516" w:type="dxa"/>
            <w:vAlign w:val="top"/>
          </w:tcPr>
          <w:p>
            <w:pPr>
              <w:spacing w:line="291" w:lineRule="auto"/>
              <w:rPr>
                <w:rFonts w:ascii="Arial"/>
                <w:sz w:val="21"/>
              </w:rPr>
            </w:pPr>
          </w:p>
          <w:p>
            <w:pPr>
              <w:spacing w:before="68" w:line="218" w:lineRule="auto"/>
              <w:ind w:left="35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碧么水库</w:t>
            </w:r>
          </w:p>
        </w:tc>
        <w:tc>
          <w:tcPr>
            <w:tcW w:w="1075"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1" w:hRule="atLeast"/>
        </w:trPr>
        <w:tc>
          <w:tcPr>
            <w:tcW w:w="722" w:type="dxa"/>
            <w:tcBorders>
              <w:left w:val="nil"/>
            </w:tcBorders>
            <w:vAlign w:val="top"/>
          </w:tcPr>
          <w:p>
            <w:pPr>
              <w:rPr>
                <w:rFonts w:ascii="Arial"/>
                <w:sz w:val="21"/>
              </w:rPr>
            </w:pPr>
          </w:p>
        </w:tc>
        <w:tc>
          <w:tcPr>
            <w:tcW w:w="1661" w:type="dxa"/>
            <w:vAlign w:val="top"/>
          </w:tcPr>
          <w:p>
            <w:pPr>
              <w:spacing w:before="68" w:line="222" w:lineRule="auto"/>
              <w:ind w:left="737"/>
              <w:rPr>
                <w:rFonts w:ascii="仿宋" w:hAnsi="仿宋" w:eastAsia="仿宋" w:cs="仿宋"/>
                <w:sz w:val="21"/>
                <w:szCs w:val="21"/>
              </w:rPr>
            </w:pPr>
            <w:r>
              <w:rPr>
                <w:rFonts w:ascii="仿宋" w:hAnsi="仿宋" w:eastAsia="仿宋" w:cs="仿宋"/>
                <w:sz w:val="21"/>
                <w:szCs w:val="21"/>
              </w:rPr>
              <w:t>量</w:t>
            </w:r>
          </w:p>
        </w:tc>
        <w:tc>
          <w:tcPr>
            <w:tcW w:w="1383" w:type="dxa"/>
            <w:vAlign w:val="top"/>
          </w:tcPr>
          <w:p>
            <w:pPr>
              <w:rPr>
                <w:rFonts w:ascii="Arial"/>
                <w:sz w:val="21"/>
              </w:rPr>
            </w:pPr>
          </w:p>
        </w:tc>
        <w:tc>
          <w:tcPr>
            <w:tcW w:w="1519" w:type="dxa"/>
            <w:vAlign w:val="top"/>
          </w:tcPr>
          <w:p>
            <w:pPr>
              <w:rPr>
                <w:rFonts w:ascii="Arial"/>
                <w:sz w:val="21"/>
              </w:rPr>
            </w:pPr>
          </w:p>
        </w:tc>
        <w:tc>
          <w:tcPr>
            <w:tcW w:w="1519" w:type="dxa"/>
            <w:vAlign w:val="top"/>
          </w:tcPr>
          <w:p>
            <w:pPr>
              <w:rPr>
                <w:rFonts w:ascii="Arial"/>
                <w:sz w:val="21"/>
              </w:rPr>
            </w:pPr>
          </w:p>
        </w:tc>
        <w:tc>
          <w:tcPr>
            <w:tcW w:w="1527" w:type="dxa"/>
            <w:vAlign w:val="top"/>
          </w:tcPr>
          <w:p>
            <w:pPr>
              <w:rPr>
                <w:rFonts w:ascii="Arial"/>
                <w:sz w:val="21"/>
              </w:rPr>
            </w:pPr>
          </w:p>
        </w:tc>
        <w:tc>
          <w:tcPr>
            <w:tcW w:w="1524" w:type="dxa"/>
            <w:vAlign w:val="top"/>
          </w:tcPr>
          <w:p>
            <w:pPr>
              <w:rPr>
                <w:rFonts w:ascii="Arial"/>
                <w:sz w:val="21"/>
              </w:rPr>
            </w:pPr>
          </w:p>
        </w:tc>
        <w:tc>
          <w:tcPr>
            <w:tcW w:w="1528" w:type="dxa"/>
            <w:vAlign w:val="top"/>
          </w:tcPr>
          <w:p>
            <w:pPr>
              <w:rPr>
                <w:rFonts w:ascii="Arial"/>
                <w:sz w:val="21"/>
              </w:rPr>
            </w:pPr>
          </w:p>
        </w:tc>
        <w:tc>
          <w:tcPr>
            <w:tcW w:w="1516" w:type="dxa"/>
            <w:vAlign w:val="top"/>
          </w:tcPr>
          <w:p>
            <w:pPr>
              <w:rPr>
                <w:rFonts w:ascii="Arial"/>
                <w:sz w:val="21"/>
              </w:rPr>
            </w:pPr>
          </w:p>
        </w:tc>
        <w:tc>
          <w:tcPr>
            <w:tcW w:w="1075"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8" w:hRule="atLeast"/>
        </w:trPr>
        <w:tc>
          <w:tcPr>
            <w:tcW w:w="722" w:type="dxa"/>
            <w:tcBorders>
              <w:left w:val="nil"/>
            </w:tcBorders>
            <w:vAlign w:val="top"/>
          </w:tcPr>
          <w:p>
            <w:pPr>
              <w:pStyle w:val="6"/>
              <w:spacing w:before="249" w:line="185" w:lineRule="auto"/>
              <w:ind w:left="323"/>
            </w:pPr>
            <w:r>
              <w:t>7</w:t>
            </w:r>
          </w:p>
        </w:tc>
        <w:tc>
          <w:tcPr>
            <w:tcW w:w="1661" w:type="dxa"/>
            <w:vAlign w:val="top"/>
          </w:tcPr>
          <w:p>
            <w:pPr>
              <w:spacing w:before="54" w:line="245" w:lineRule="auto"/>
              <w:ind w:left="632" w:right="195" w:hanging="409"/>
              <w:rPr>
                <w:rFonts w:ascii="仿宋" w:hAnsi="仿宋" w:eastAsia="仿宋" w:cs="仿宋"/>
                <w:sz w:val="21"/>
                <w:szCs w:val="21"/>
              </w:rPr>
            </w:pPr>
            <w:r>
              <w:rPr>
                <w:rFonts w:ascii="仿宋" w:hAnsi="仿宋" w:eastAsia="仿宋" w:cs="仿宋"/>
                <w:spacing w:val="-5"/>
                <w:sz w:val="21"/>
                <w:szCs w:val="21"/>
              </w:rPr>
              <w:t>阴离子表面活</w:t>
            </w:r>
            <w:r>
              <w:rPr>
                <w:rFonts w:ascii="仿宋" w:hAnsi="仿宋" w:eastAsia="仿宋" w:cs="仿宋"/>
                <w:spacing w:val="1"/>
                <w:sz w:val="21"/>
                <w:szCs w:val="21"/>
              </w:rPr>
              <w:t xml:space="preserve"> </w:t>
            </w:r>
            <w:r>
              <w:rPr>
                <w:rFonts w:ascii="仿宋" w:hAnsi="仿宋" w:eastAsia="仿宋" w:cs="仿宋"/>
                <w:spacing w:val="-5"/>
                <w:sz w:val="21"/>
                <w:szCs w:val="21"/>
              </w:rPr>
              <w:t>性剂</w:t>
            </w:r>
          </w:p>
        </w:tc>
        <w:tc>
          <w:tcPr>
            <w:tcW w:w="1383" w:type="dxa"/>
            <w:vAlign w:val="top"/>
          </w:tcPr>
          <w:p>
            <w:pPr>
              <w:pStyle w:val="6"/>
              <w:spacing w:before="245" w:line="232" w:lineRule="auto"/>
              <w:ind w:left="657"/>
            </w:pPr>
            <w:r>
              <w:t>/</w:t>
            </w:r>
          </w:p>
        </w:tc>
        <w:tc>
          <w:tcPr>
            <w:tcW w:w="1519" w:type="dxa"/>
            <w:vAlign w:val="top"/>
          </w:tcPr>
          <w:p>
            <w:pPr>
              <w:pStyle w:val="6"/>
              <w:spacing w:before="245" w:line="232" w:lineRule="auto"/>
              <w:ind w:left="724"/>
            </w:pPr>
            <w:r>
              <w:t>/</w:t>
            </w:r>
          </w:p>
        </w:tc>
        <w:tc>
          <w:tcPr>
            <w:tcW w:w="1519" w:type="dxa"/>
            <w:vAlign w:val="top"/>
          </w:tcPr>
          <w:p>
            <w:pPr>
              <w:pStyle w:val="6"/>
              <w:spacing w:before="245" w:line="232" w:lineRule="auto"/>
              <w:ind w:left="725"/>
            </w:pPr>
            <w:r>
              <w:t>/</w:t>
            </w:r>
          </w:p>
        </w:tc>
        <w:tc>
          <w:tcPr>
            <w:tcW w:w="1527" w:type="dxa"/>
            <w:vAlign w:val="top"/>
          </w:tcPr>
          <w:p>
            <w:pPr>
              <w:pStyle w:val="6"/>
              <w:spacing w:before="245" w:line="232" w:lineRule="auto"/>
              <w:ind w:left="730"/>
            </w:pPr>
            <w:r>
              <w:t>/</w:t>
            </w:r>
          </w:p>
        </w:tc>
        <w:tc>
          <w:tcPr>
            <w:tcW w:w="1524" w:type="dxa"/>
            <w:vAlign w:val="top"/>
          </w:tcPr>
          <w:p>
            <w:pPr>
              <w:pStyle w:val="6"/>
              <w:spacing w:before="245" w:line="232" w:lineRule="auto"/>
              <w:ind w:left="727"/>
            </w:pPr>
            <w:r>
              <w:t>/</w:t>
            </w:r>
          </w:p>
        </w:tc>
        <w:tc>
          <w:tcPr>
            <w:tcW w:w="1528" w:type="dxa"/>
            <w:vAlign w:val="top"/>
          </w:tcPr>
          <w:p>
            <w:pPr>
              <w:pStyle w:val="6"/>
              <w:spacing w:before="245" w:line="232" w:lineRule="auto"/>
              <w:ind w:left="729"/>
            </w:pPr>
            <w:r>
              <w:t>/</w:t>
            </w:r>
          </w:p>
        </w:tc>
        <w:tc>
          <w:tcPr>
            <w:tcW w:w="1516" w:type="dxa"/>
            <w:vAlign w:val="top"/>
          </w:tcPr>
          <w:p>
            <w:pPr>
              <w:pStyle w:val="6"/>
              <w:spacing w:before="245" w:line="232" w:lineRule="auto"/>
              <w:ind w:left="723"/>
            </w:pPr>
            <w:r>
              <w:t>/</w:t>
            </w:r>
          </w:p>
        </w:tc>
        <w:tc>
          <w:tcPr>
            <w:tcW w:w="1075" w:type="dxa"/>
            <w:tcBorders>
              <w:right w:val="nil"/>
            </w:tcBorders>
            <w:vAlign w:val="top"/>
          </w:tcPr>
          <w:p>
            <w:pPr>
              <w:spacing w:before="210" w:line="218"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22" w:type="dxa"/>
            <w:tcBorders>
              <w:left w:val="nil"/>
            </w:tcBorders>
            <w:vAlign w:val="top"/>
          </w:tcPr>
          <w:p>
            <w:pPr>
              <w:pStyle w:val="6"/>
              <w:spacing w:before="91" w:line="188" w:lineRule="auto"/>
              <w:ind w:left="328"/>
            </w:pPr>
            <w:r>
              <w:t>8</w:t>
            </w:r>
          </w:p>
        </w:tc>
        <w:tc>
          <w:tcPr>
            <w:tcW w:w="1661" w:type="dxa"/>
            <w:vAlign w:val="top"/>
          </w:tcPr>
          <w:p>
            <w:pPr>
              <w:spacing w:before="54" w:line="217" w:lineRule="auto"/>
              <w:ind w:left="528"/>
              <w:rPr>
                <w:rFonts w:ascii="仿宋" w:hAnsi="仿宋" w:eastAsia="仿宋" w:cs="仿宋"/>
                <w:sz w:val="21"/>
                <w:szCs w:val="21"/>
              </w:rPr>
            </w:pPr>
            <w:r>
              <w:rPr>
                <w:rFonts w:ascii="仿宋" w:hAnsi="仿宋" w:eastAsia="仿宋" w:cs="仿宋"/>
                <w:spacing w:val="-5"/>
                <w:sz w:val="21"/>
                <w:szCs w:val="21"/>
              </w:rPr>
              <w:t>氯化物</w:t>
            </w:r>
          </w:p>
        </w:tc>
        <w:tc>
          <w:tcPr>
            <w:tcW w:w="1383" w:type="dxa"/>
            <w:vAlign w:val="top"/>
          </w:tcPr>
          <w:p>
            <w:pPr>
              <w:pStyle w:val="6"/>
              <w:spacing w:before="89" w:line="214" w:lineRule="auto"/>
              <w:ind w:left="657"/>
            </w:pPr>
            <w:r>
              <w:t>/</w:t>
            </w:r>
          </w:p>
        </w:tc>
        <w:tc>
          <w:tcPr>
            <w:tcW w:w="1519" w:type="dxa"/>
            <w:vAlign w:val="top"/>
          </w:tcPr>
          <w:p>
            <w:pPr>
              <w:pStyle w:val="6"/>
              <w:spacing w:before="89" w:line="214" w:lineRule="auto"/>
              <w:ind w:left="724"/>
            </w:pPr>
            <w:r>
              <w:t>/</w:t>
            </w:r>
          </w:p>
        </w:tc>
        <w:tc>
          <w:tcPr>
            <w:tcW w:w="1519" w:type="dxa"/>
            <w:vAlign w:val="top"/>
          </w:tcPr>
          <w:p>
            <w:pPr>
              <w:pStyle w:val="6"/>
              <w:spacing w:before="89" w:line="214" w:lineRule="auto"/>
              <w:ind w:left="725"/>
            </w:pPr>
            <w:r>
              <w:t>/</w:t>
            </w:r>
          </w:p>
        </w:tc>
        <w:tc>
          <w:tcPr>
            <w:tcW w:w="1527" w:type="dxa"/>
            <w:vAlign w:val="top"/>
          </w:tcPr>
          <w:p>
            <w:pPr>
              <w:pStyle w:val="6"/>
              <w:spacing w:before="89" w:line="214" w:lineRule="auto"/>
              <w:ind w:left="730"/>
            </w:pPr>
            <w:r>
              <w:t>/</w:t>
            </w:r>
          </w:p>
        </w:tc>
        <w:tc>
          <w:tcPr>
            <w:tcW w:w="1524" w:type="dxa"/>
            <w:vAlign w:val="top"/>
          </w:tcPr>
          <w:p>
            <w:pPr>
              <w:pStyle w:val="6"/>
              <w:spacing w:before="89" w:line="214" w:lineRule="auto"/>
              <w:ind w:left="727"/>
            </w:pPr>
            <w:r>
              <w:t>/</w:t>
            </w:r>
          </w:p>
        </w:tc>
        <w:tc>
          <w:tcPr>
            <w:tcW w:w="1528" w:type="dxa"/>
            <w:vAlign w:val="top"/>
          </w:tcPr>
          <w:p>
            <w:pPr>
              <w:pStyle w:val="6"/>
              <w:spacing w:before="89" w:line="214" w:lineRule="auto"/>
              <w:ind w:left="729"/>
            </w:pPr>
            <w:r>
              <w:t>/</w:t>
            </w:r>
          </w:p>
        </w:tc>
        <w:tc>
          <w:tcPr>
            <w:tcW w:w="1516" w:type="dxa"/>
            <w:vAlign w:val="top"/>
          </w:tcPr>
          <w:p>
            <w:pPr>
              <w:pStyle w:val="6"/>
              <w:spacing w:before="89" w:line="214" w:lineRule="auto"/>
              <w:ind w:left="723"/>
            </w:pPr>
            <w:r>
              <w:t>/</w:t>
            </w:r>
          </w:p>
        </w:tc>
        <w:tc>
          <w:tcPr>
            <w:tcW w:w="1075" w:type="dxa"/>
            <w:tcBorders>
              <w:right w:val="nil"/>
            </w:tcBorders>
            <w:vAlign w:val="top"/>
          </w:tcPr>
          <w:p>
            <w:pPr>
              <w:spacing w:before="54" w:line="218"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8" w:hRule="atLeast"/>
        </w:trPr>
        <w:tc>
          <w:tcPr>
            <w:tcW w:w="722" w:type="dxa"/>
            <w:tcBorders>
              <w:left w:val="nil"/>
            </w:tcBorders>
            <w:vAlign w:val="top"/>
          </w:tcPr>
          <w:p>
            <w:pPr>
              <w:pStyle w:val="6"/>
              <w:spacing w:before="154" w:line="188" w:lineRule="auto"/>
              <w:ind w:left="323"/>
            </w:pPr>
            <w:r>
              <w:t>9</w:t>
            </w:r>
          </w:p>
        </w:tc>
        <w:tc>
          <w:tcPr>
            <w:tcW w:w="1661" w:type="dxa"/>
            <w:vAlign w:val="top"/>
          </w:tcPr>
          <w:p>
            <w:pPr>
              <w:spacing w:before="118" w:line="219" w:lineRule="auto"/>
              <w:ind w:left="736"/>
              <w:rPr>
                <w:rFonts w:ascii="仿宋" w:hAnsi="仿宋" w:eastAsia="仿宋" w:cs="仿宋"/>
                <w:sz w:val="21"/>
                <w:szCs w:val="21"/>
              </w:rPr>
            </w:pPr>
            <w:r>
              <w:rPr>
                <w:rFonts w:ascii="仿宋" w:hAnsi="仿宋" w:eastAsia="仿宋" w:cs="仿宋"/>
                <w:sz w:val="21"/>
                <w:szCs w:val="21"/>
              </w:rPr>
              <w:t>铜</w:t>
            </w:r>
          </w:p>
        </w:tc>
        <w:tc>
          <w:tcPr>
            <w:tcW w:w="1383" w:type="dxa"/>
            <w:vAlign w:val="top"/>
          </w:tcPr>
          <w:p>
            <w:pPr>
              <w:pStyle w:val="6"/>
              <w:spacing w:before="153" w:line="232" w:lineRule="auto"/>
              <w:ind w:left="657"/>
            </w:pPr>
            <w:r>
              <w:t>/</w:t>
            </w:r>
          </w:p>
        </w:tc>
        <w:tc>
          <w:tcPr>
            <w:tcW w:w="1519" w:type="dxa"/>
            <w:vAlign w:val="top"/>
          </w:tcPr>
          <w:p>
            <w:pPr>
              <w:pStyle w:val="6"/>
              <w:spacing w:before="153" w:line="232" w:lineRule="auto"/>
              <w:ind w:left="724"/>
            </w:pPr>
            <w:r>
              <w:t>/</w:t>
            </w:r>
          </w:p>
        </w:tc>
        <w:tc>
          <w:tcPr>
            <w:tcW w:w="1519" w:type="dxa"/>
            <w:vAlign w:val="top"/>
          </w:tcPr>
          <w:p>
            <w:pPr>
              <w:pStyle w:val="6"/>
              <w:spacing w:before="153" w:line="232" w:lineRule="auto"/>
              <w:ind w:left="725"/>
            </w:pPr>
            <w:r>
              <w:t>/</w:t>
            </w:r>
          </w:p>
        </w:tc>
        <w:tc>
          <w:tcPr>
            <w:tcW w:w="1527" w:type="dxa"/>
            <w:vAlign w:val="top"/>
          </w:tcPr>
          <w:p>
            <w:pPr>
              <w:pStyle w:val="6"/>
              <w:spacing w:before="153" w:line="232" w:lineRule="auto"/>
              <w:ind w:left="730"/>
            </w:pPr>
            <w:r>
              <w:t>/</w:t>
            </w:r>
          </w:p>
        </w:tc>
        <w:tc>
          <w:tcPr>
            <w:tcW w:w="1524" w:type="dxa"/>
            <w:vAlign w:val="top"/>
          </w:tcPr>
          <w:p>
            <w:pPr>
              <w:pStyle w:val="6"/>
              <w:spacing w:before="153" w:line="232" w:lineRule="auto"/>
              <w:ind w:left="727"/>
            </w:pPr>
            <w:r>
              <w:t>/</w:t>
            </w:r>
          </w:p>
        </w:tc>
        <w:tc>
          <w:tcPr>
            <w:tcW w:w="1528" w:type="dxa"/>
            <w:vAlign w:val="top"/>
          </w:tcPr>
          <w:p>
            <w:pPr>
              <w:pStyle w:val="6"/>
              <w:spacing w:before="153" w:line="232" w:lineRule="auto"/>
              <w:ind w:left="729"/>
            </w:pPr>
            <w:r>
              <w:t>/</w:t>
            </w:r>
          </w:p>
        </w:tc>
        <w:tc>
          <w:tcPr>
            <w:tcW w:w="1516" w:type="dxa"/>
            <w:vAlign w:val="top"/>
          </w:tcPr>
          <w:p>
            <w:pPr>
              <w:pStyle w:val="6"/>
              <w:spacing w:before="153" w:line="232" w:lineRule="auto"/>
              <w:ind w:left="723"/>
            </w:pPr>
            <w:r>
              <w:t>/</w:t>
            </w:r>
          </w:p>
        </w:tc>
        <w:tc>
          <w:tcPr>
            <w:tcW w:w="1075" w:type="dxa"/>
            <w:tcBorders>
              <w:right w:val="nil"/>
            </w:tcBorders>
            <w:vAlign w:val="top"/>
          </w:tcPr>
          <w:p>
            <w:pPr>
              <w:spacing w:before="118" w:line="218"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722" w:type="dxa"/>
            <w:tcBorders>
              <w:left w:val="nil"/>
            </w:tcBorders>
            <w:vAlign w:val="top"/>
          </w:tcPr>
          <w:p>
            <w:pPr>
              <w:pStyle w:val="6"/>
              <w:spacing w:before="96" w:line="188" w:lineRule="auto"/>
              <w:ind w:left="287"/>
            </w:pPr>
            <w:r>
              <w:rPr>
                <w:spacing w:val="-12"/>
              </w:rPr>
              <w:t>10</w:t>
            </w:r>
          </w:p>
        </w:tc>
        <w:tc>
          <w:tcPr>
            <w:tcW w:w="1661" w:type="dxa"/>
            <w:vAlign w:val="top"/>
          </w:tcPr>
          <w:p>
            <w:pPr>
              <w:spacing w:before="60" w:line="217" w:lineRule="auto"/>
              <w:ind w:left="733"/>
              <w:rPr>
                <w:rFonts w:ascii="仿宋" w:hAnsi="仿宋" w:eastAsia="仿宋" w:cs="仿宋"/>
                <w:sz w:val="21"/>
                <w:szCs w:val="21"/>
              </w:rPr>
            </w:pPr>
            <w:r>
              <w:rPr>
                <w:rFonts w:ascii="仿宋" w:hAnsi="仿宋" w:eastAsia="仿宋" w:cs="仿宋"/>
                <w:sz w:val="21"/>
                <w:szCs w:val="21"/>
              </w:rPr>
              <w:t>铅</w:t>
            </w:r>
          </w:p>
        </w:tc>
        <w:tc>
          <w:tcPr>
            <w:tcW w:w="1383" w:type="dxa"/>
            <w:vAlign w:val="top"/>
          </w:tcPr>
          <w:p>
            <w:pPr>
              <w:pStyle w:val="6"/>
              <w:spacing w:before="94" w:line="211" w:lineRule="auto"/>
              <w:ind w:left="657"/>
            </w:pPr>
            <w:r>
              <w:t>/</w:t>
            </w:r>
          </w:p>
        </w:tc>
        <w:tc>
          <w:tcPr>
            <w:tcW w:w="1519" w:type="dxa"/>
            <w:vAlign w:val="top"/>
          </w:tcPr>
          <w:p>
            <w:pPr>
              <w:pStyle w:val="6"/>
              <w:spacing w:before="94" w:line="211" w:lineRule="auto"/>
              <w:ind w:left="724"/>
            </w:pPr>
            <w:r>
              <w:t>/</w:t>
            </w:r>
          </w:p>
        </w:tc>
        <w:tc>
          <w:tcPr>
            <w:tcW w:w="1519" w:type="dxa"/>
            <w:vAlign w:val="top"/>
          </w:tcPr>
          <w:p>
            <w:pPr>
              <w:pStyle w:val="6"/>
              <w:spacing w:before="94" w:line="211" w:lineRule="auto"/>
              <w:ind w:left="725"/>
            </w:pPr>
            <w:r>
              <w:t>/</w:t>
            </w:r>
          </w:p>
        </w:tc>
        <w:tc>
          <w:tcPr>
            <w:tcW w:w="1527" w:type="dxa"/>
            <w:vAlign w:val="top"/>
          </w:tcPr>
          <w:p>
            <w:pPr>
              <w:pStyle w:val="6"/>
              <w:spacing w:before="94" w:line="211" w:lineRule="auto"/>
              <w:ind w:left="730"/>
            </w:pPr>
            <w:r>
              <w:t>/</w:t>
            </w:r>
          </w:p>
        </w:tc>
        <w:tc>
          <w:tcPr>
            <w:tcW w:w="1524" w:type="dxa"/>
            <w:vAlign w:val="top"/>
          </w:tcPr>
          <w:p>
            <w:pPr>
              <w:pStyle w:val="6"/>
              <w:spacing w:before="94" w:line="211" w:lineRule="auto"/>
              <w:ind w:left="727"/>
            </w:pPr>
            <w:r>
              <w:t>/</w:t>
            </w:r>
          </w:p>
        </w:tc>
        <w:tc>
          <w:tcPr>
            <w:tcW w:w="1528" w:type="dxa"/>
            <w:vAlign w:val="top"/>
          </w:tcPr>
          <w:p>
            <w:pPr>
              <w:pStyle w:val="6"/>
              <w:spacing w:before="94" w:line="211" w:lineRule="auto"/>
              <w:ind w:left="729"/>
            </w:pPr>
            <w:r>
              <w:t>/</w:t>
            </w:r>
          </w:p>
        </w:tc>
        <w:tc>
          <w:tcPr>
            <w:tcW w:w="1516" w:type="dxa"/>
            <w:vAlign w:val="top"/>
          </w:tcPr>
          <w:p>
            <w:pPr>
              <w:pStyle w:val="6"/>
              <w:spacing w:before="94" w:line="211" w:lineRule="auto"/>
              <w:ind w:left="723"/>
            </w:pPr>
            <w:r>
              <w:t>/</w:t>
            </w:r>
          </w:p>
        </w:tc>
        <w:tc>
          <w:tcPr>
            <w:tcW w:w="1075" w:type="dxa"/>
            <w:tcBorders>
              <w:right w:val="nil"/>
            </w:tcBorders>
            <w:vAlign w:val="top"/>
          </w:tcPr>
          <w:p>
            <w:pPr>
              <w:spacing w:before="60" w:line="217"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22" w:type="dxa"/>
            <w:tcBorders>
              <w:left w:val="nil"/>
            </w:tcBorders>
            <w:vAlign w:val="top"/>
          </w:tcPr>
          <w:p>
            <w:pPr>
              <w:pStyle w:val="6"/>
              <w:spacing w:before="95" w:line="188" w:lineRule="auto"/>
              <w:ind w:left="292"/>
            </w:pPr>
            <w:r>
              <w:rPr>
                <w:spacing w:val="-13"/>
              </w:rPr>
              <w:t>11</w:t>
            </w:r>
          </w:p>
        </w:tc>
        <w:tc>
          <w:tcPr>
            <w:tcW w:w="1661" w:type="dxa"/>
            <w:vAlign w:val="top"/>
          </w:tcPr>
          <w:p>
            <w:pPr>
              <w:spacing w:before="59" w:line="216" w:lineRule="auto"/>
              <w:ind w:left="734"/>
              <w:rPr>
                <w:rFonts w:ascii="仿宋" w:hAnsi="仿宋" w:eastAsia="仿宋" w:cs="仿宋"/>
                <w:sz w:val="21"/>
                <w:szCs w:val="21"/>
              </w:rPr>
            </w:pPr>
            <w:r>
              <w:rPr>
                <w:rFonts w:ascii="仿宋" w:hAnsi="仿宋" w:eastAsia="仿宋" w:cs="仿宋"/>
                <w:sz w:val="21"/>
                <w:szCs w:val="21"/>
              </w:rPr>
              <w:t>锌</w:t>
            </w:r>
          </w:p>
        </w:tc>
        <w:tc>
          <w:tcPr>
            <w:tcW w:w="1383" w:type="dxa"/>
            <w:vAlign w:val="top"/>
          </w:tcPr>
          <w:p>
            <w:pPr>
              <w:pStyle w:val="6"/>
              <w:spacing w:before="93" w:line="210" w:lineRule="auto"/>
              <w:ind w:left="657"/>
            </w:pPr>
            <w:r>
              <w:t>/</w:t>
            </w:r>
          </w:p>
        </w:tc>
        <w:tc>
          <w:tcPr>
            <w:tcW w:w="1519" w:type="dxa"/>
            <w:vAlign w:val="top"/>
          </w:tcPr>
          <w:p>
            <w:pPr>
              <w:pStyle w:val="6"/>
              <w:spacing w:before="93" w:line="210" w:lineRule="auto"/>
              <w:ind w:left="724"/>
            </w:pPr>
            <w:r>
              <w:t>/</w:t>
            </w:r>
          </w:p>
        </w:tc>
        <w:tc>
          <w:tcPr>
            <w:tcW w:w="1519" w:type="dxa"/>
            <w:vAlign w:val="top"/>
          </w:tcPr>
          <w:p>
            <w:pPr>
              <w:pStyle w:val="6"/>
              <w:spacing w:before="93" w:line="210" w:lineRule="auto"/>
              <w:ind w:left="725"/>
            </w:pPr>
            <w:r>
              <w:t>/</w:t>
            </w:r>
          </w:p>
        </w:tc>
        <w:tc>
          <w:tcPr>
            <w:tcW w:w="1527" w:type="dxa"/>
            <w:vAlign w:val="top"/>
          </w:tcPr>
          <w:p>
            <w:pPr>
              <w:pStyle w:val="6"/>
              <w:spacing w:before="93" w:line="210" w:lineRule="auto"/>
              <w:ind w:left="730"/>
            </w:pPr>
            <w:r>
              <w:t>/</w:t>
            </w:r>
          </w:p>
        </w:tc>
        <w:tc>
          <w:tcPr>
            <w:tcW w:w="1524" w:type="dxa"/>
            <w:vAlign w:val="top"/>
          </w:tcPr>
          <w:p>
            <w:pPr>
              <w:pStyle w:val="6"/>
              <w:spacing w:before="93" w:line="210" w:lineRule="auto"/>
              <w:ind w:left="727"/>
            </w:pPr>
            <w:r>
              <w:t>/</w:t>
            </w:r>
          </w:p>
        </w:tc>
        <w:tc>
          <w:tcPr>
            <w:tcW w:w="1528" w:type="dxa"/>
            <w:vAlign w:val="top"/>
          </w:tcPr>
          <w:p>
            <w:pPr>
              <w:pStyle w:val="6"/>
              <w:spacing w:before="93" w:line="210" w:lineRule="auto"/>
              <w:ind w:left="729"/>
            </w:pPr>
            <w:r>
              <w:t>/</w:t>
            </w:r>
          </w:p>
        </w:tc>
        <w:tc>
          <w:tcPr>
            <w:tcW w:w="1516" w:type="dxa"/>
            <w:vAlign w:val="top"/>
          </w:tcPr>
          <w:p>
            <w:pPr>
              <w:pStyle w:val="6"/>
              <w:spacing w:before="93" w:line="210" w:lineRule="auto"/>
              <w:ind w:left="723"/>
            </w:pPr>
            <w:r>
              <w:t>/</w:t>
            </w:r>
          </w:p>
        </w:tc>
        <w:tc>
          <w:tcPr>
            <w:tcW w:w="1075" w:type="dxa"/>
            <w:tcBorders>
              <w:right w:val="nil"/>
            </w:tcBorders>
            <w:vAlign w:val="top"/>
          </w:tcPr>
          <w:p>
            <w:pPr>
              <w:spacing w:before="59" w:line="216"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22" w:type="dxa"/>
            <w:tcBorders>
              <w:left w:val="nil"/>
            </w:tcBorders>
            <w:vAlign w:val="top"/>
          </w:tcPr>
          <w:p>
            <w:pPr>
              <w:pStyle w:val="6"/>
              <w:spacing w:before="98" w:line="188" w:lineRule="auto"/>
              <w:ind w:left="287"/>
            </w:pPr>
            <w:r>
              <w:rPr>
                <w:spacing w:val="-12"/>
              </w:rPr>
              <w:t>12</w:t>
            </w:r>
          </w:p>
        </w:tc>
        <w:tc>
          <w:tcPr>
            <w:tcW w:w="1661" w:type="dxa"/>
            <w:vAlign w:val="top"/>
          </w:tcPr>
          <w:p>
            <w:pPr>
              <w:spacing w:before="61" w:line="215" w:lineRule="auto"/>
              <w:ind w:left="735"/>
              <w:rPr>
                <w:rFonts w:ascii="仿宋" w:hAnsi="仿宋" w:eastAsia="仿宋" w:cs="仿宋"/>
                <w:sz w:val="21"/>
                <w:szCs w:val="21"/>
              </w:rPr>
            </w:pPr>
            <w:r>
              <w:rPr>
                <w:rFonts w:ascii="仿宋" w:hAnsi="仿宋" w:eastAsia="仿宋" w:cs="仿宋"/>
                <w:sz w:val="21"/>
                <w:szCs w:val="21"/>
              </w:rPr>
              <w:t>镉</w:t>
            </w:r>
          </w:p>
        </w:tc>
        <w:tc>
          <w:tcPr>
            <w:tcW w:w="1383" w:type="dxa"/>
            <w:vAlign w:val="top"/>
          </w:tcPr>
          <w:p>
            <w:pPr>
              <w:pStyle w:val="6"/>
              <w:spacing w:before="96" w:line="208" w:lineRule="auto"/>
              <w:ind w:left="657"/>
            </w:pPr>
            <w:r>
              <w:t>/</w:t>
            </w:r>
          </w:p>
        </w:tc>
        <w:tc>
          <w:tcPr>
            <w:tcW w:w="1519" w:type="dxa"/>
            <w:vAlign w:val="top"/>
          </w:tcPr>
          <w:p>
            <w:pPr>
              <w:pStyle w:val="6"/>
              <w:spacing w:before="96" w:line="208" w:lineRule="auto"/>
              <w:ind w:left="724"/>
            </w:pPr>
            <w:r>
              <w:t>/</w:t>
            </w:r>
          </w:p>
        </w:tc>
        <w:tc>
          <w:tcPr>
            <w:tcW w:w="1519" w:type="dxa"/>
            <w:vAlign w:val="top"/>
          </w:tcPr>
          <w:p>
            <w:pPr>
              <w:pStyle w:val="6"/>
              <w:spacing w:before="96" w:line="208" w:lineRule="auto"/>
              <w:ind w:left="725"/>
            </w:pPr>
            <w:r>
              <w:t>/</w:t>
            </w:r>
          </w:p>
        </w:tc>
        <w:tc>
          <w:tcPr>
            <w:tcW w:w="1527" w:type="dxa"/>
            <w:vAlign w:val="top"/>
          </w:tcPr>
          <w:p>
            <w:pPr>
              <w:pStyle w:val="6"/>
              <w:spacing w:before="96" w:line="208" w:lineRule="auto"/>
              <w:ind w:left="730"/>
            </w:pPr>
            <w:r>
              <w:t>/</w:t>
            </w:r>
          </w:p>
        </w:tc>
        <w:tc>
          <w:tcPr>
            <w:tcW w:w="1524" w:type="dxa"/>
            <w:vAlign w:val="top"/>
          </w:tcPr>
          <w:p>
            <w:pPr>
              <w:pStyle w:val="6"/>
              <w:spacing w:before="96" w:line="208" w:lineRule="auto"/>
              <w:ind w:left="727"/>
            </w:pPr>
            <w:r>
              <w:t>/</w:t>
            </w:r>
          </w:p>
        </w:tc>
        <w:tc>
          <w:tcPr>
            <w:tcW w:w="1528" w:type="dxa"/>
            <w:vAlign w:val="top"/>
          </w:tcPr>
          <w:p>
            <w:pPr>
              <w:pStyle w:val="6"/>
              <w:spacing w:before="96" w:line="208" w:lineRule="auto"/>
              <w:ind w:left="729"/>
            </w:pPr>
            <w:r>
              <w:t>/</w:t>
            </w:r>
          </w:p>
        </w:tc>
        <w:tc>
          <w:tcPr>
            <w:tcW w:w="1516" w:type="dxa"/>
            <w:vAlign w:val="top"/>
          </w:tcPr>
          <w:p>
            <w:pPr>
              <w:pStyle w:val="6"/>
              <w:spacing w:before="96" w:line="208" w:lineRule="auto"/>
              <w:ind w:left="723"/>
            </w:pPr>
            <w:r>
              <w:t>/</w:t>
            </w:r>
          </w:p>
        </w:tc>
        <w:tc>
          <w:tcPr>
            <w:tcW w:w="1075" w:type="dxa"/>
            <w:tcBorders>
              <w:right w:val="nil"/>
            </w:tcBorders>
            <w:vAlign w:val="top"/>
          </w:tcPr>
          <w:p>
            <w:pPr>
              <w:spacing w:before="61" w:line="215"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22" w:type="dxa"/>
            <w:tcBorders>
              <w:left w:val="nil"/>
            </w:tcBorders>
            <w:vAlign w:val="top"/>
          </w:tcPr>
          <w:p>
            <w:pPr>
              <w:pStyle w:val="6"/>
              <w:spacing w:before="98" w:line="188" w:lineRule="auto"/>
              <w:ind w:left="287"/>
            </w:pPr>
            <w:r>
              <w:rPr>
                <w:spacing w:val="-12"/>
              </w:rPr>
              <w:t>13</w:t>
            </w:r>
          </w:p>
        </w:tc>
        <w:tc>
          <w:tcPr>
            <w:tcW w:w="1661" w:type="dxa"/>
            <w:vAlign w:val="top"/>
          </w:tcPr>
          <w:p>
            <w:pPr>
              <w:spacing w:before="61" w:line="214" w:lineRule="auto"/>
              <w:ind w:left="733"/>
              <w:rPr>
                <w:rFonts w:ascii="仿宋" w:hAnsi="仿宋" w:eastAsia="仿宋" w:cs="仿宋"/>
                <w:sz w:val="21"/>
                <w:szCs w:val="21"/>
              </w:rPr>
            </w:pPr>
            <w:r>
              <w:rPr>
                <w:rFonts w:ascii="仿宋" w:hAnsi="仿宋" w:eastAsia="仿宋" w:cs="仿宋"/>
                <w:sz w:val="21"/>
                <w:szCs w:val="21"/>
              </w:rPr>
              <w:t>硒</w:t>
            </w:r>
          </w:p>
        </w:tc>
        <w:tc>
          <w:tcPr>
            <w:tcW w:w="1383" w:type="dxa"/>
            <w:vAlign w:val="top"/>
          </w:tcPr>
          <w:p>
            <w:pPr>
              <w:pStyle w:val="6"/>
              <w:spacing w:before="96" w:line="207" w:lineRule="auto"/>
              <w:ind w:left="657"/>
            </w:pPr>
            <w:r>
              <w:t>/</w:t>
            </w:r>
          </w:p>
        </w:tc>
        <w:tc>
          <w:tcPr>
            <w:tcW w:w="1519" w:type="dxa"/>
            <w:vAlign w:val="top"/>
          </w:tcPr>
          <w:p>
            <w:pPr>
              <w:pStyle w:val="6"/>
              <w:spacing w:before="96" w:line="207" w:lineRule="auto"/>
              <w:ind w:left="724"/>
            </w:pPr>
            <w:r>
              <w:t>/</w:t>
            </w:r>
          </w:p>
        </w:tc>
        <w:tc>
          <w:tcPr>
            <w:tcW w:w="1519" w:type="dxa"/>
            <w:vAlign w:val="top"/>
          </w:tcPr>
          <w:p>
            <w:pPr>
              <w:pStyle w:val="6"/>
              <w:spacing w:before="96" w:line="207" w:lineRule="auto"/>
              <w:ind w:left="725"/>
            </w:pPr>
            <w:r>
              <w:t>/</w:t>
            </w:r>
          </w:p>
        </w:tc>
        <w:tc>
          <w:tcPr>
            <w:tcW w:w="1527" w:type="dxa"/>
            <w:vAlign w:val="top"/>
          </w:tcPr>
          <w:p>
            <w:pPr>
              <w:pStyle w:val="6"/>
              <w:spacing w:before="96" w:line="207" w:lineRule="auto"/>
              <w:ind w:left="730"/>
            </w:pPr>
            <w:r>
              <w:t>/</w:t>
            </w:r>
          </w:p>
        </w:tc>
        <w:tc>
          <w:tcPr>
            <w:tcW w:w="1524" w:type="dxa"/>
            <w:vAlign w:val="top"/>
          </w:tcPr>
          <w:p>
            <w:pPr>
              <w:pStyle w:val="6"/>
              <w:spacing w:before="96" w:line="207" w:lineRule="auto"/>
              <w:ind w:left="727"/>
            </w:pPr>
            <w:r>
              <w:t>/</w:t>
            </w:r>
          </w:p>
        </w:tc>
        <w:tc>
          <w:tcPr>
            <w:tcW w:w="1528" w:type="dxa"/>
            <w:vAlign w:val="top"/>
          </w:tcPr>
          <w:p>
            <w:pPr>
              <w:pStyle w:val="6"/>
              <w:spacing w:before="96" w:line="207" w:lineRule="auto"/>
              <w:ind w:left="729"/>
            </w:pPr>
            <w:r>
              <w:t>/</w:t>
            </w:r>
          </w:p>
        </w:tc>
        <w:tc>
          <w:tcPr>
            <w:tcW w:w="1516" w:type="dxa"/>
            <w:vAlign w:val="top"/>
          </w:tcPr>
          <w:p>
            <w:pPr>
              <w:pStyle w:val="6"/>
              <w:spacing w:before="96" w:line="207" w:lineRule="auto"/>
              <w:ind w:left="723"/>
            </w:pPr>
            <w:r>
              <w:t>/</w:t>
            </w:r>
          </w:p>
        </w:tc>
        <w:tc>
          <w:tcPr>
            <w:tcW w:w="1075" w:type="dxa"/>
            <w:tcBorders>
              <w:right w:val="nil"/>
            </w:tcBorders>
            <w:vAlign w:val="top"/>
          </w:tcPr>
          <w:p>
            <w:pPr>
              <w:spacing w:before="61" w:line="214"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22" w:type="dxa"/>
            <w:tcBorders>
              <w:left w:val="nil"/>
            </w:tcBorders>
            <w:vAlign w:val="top"/>
          </w:tcPr>
          <w:p>
            <w:pPr>
              <w:pStyle w:val="6"/>
              <w:spacing w:before="101" w:line="188" w:lineRule="auto"/>
              <w:ind w:left="287"/>
            </w:pPr>
            <w:r>
              <w:rPr>
                <w:spacing w:val="-12"/>
              </w:rPr>
              <w:t>14</w:t>
            </w:r>
          </w:p>
        </w:tc>
        <w:tc>
          <w:tcPr>
            <w:tcW w:w="1661" w:type="dxa"/>
            <w:vAlign w:val="top"/>
          </w:tcPr>
          <w:p>
            <w:pPr>
              <w:spacing w:before="64" w:line="212" w:lineRule="auto"/>
              <w:ind w:left="734"/>
              <w:rPr>
                <w:rFonts w:ascii="仿宋" w:hAnsi="仿宋" w:eastAsia="仿宋" w:cs="仿宋"/>
                <w:sz w:val="21"/>
                <w:szCs w:val="21"/>
              </w:rPr>
            </w:pPr>
            <w:r>
              <w:rPr>
                <w:rFonts w:ascii="仿宋" w:hAnsi="仿宋" w:eastAsia="仿宋" w:cs="仿宋"/>
                <w:sz w:val="21"/>
                <w:szCs w:val="21"/>
              </w:rPr>
              <w:t>砷</w:t>
            </w:r>
          </w:p>
        </w:tc>
        <w:tc>
          <w:tcPr>
            <w:tcW w:w="1383" w:type="dxa"/>
            <w:vAlign w:val="top"/>
          </w:tcPr>
          <w:p>
            <w:pPr>
              <w:pStyle w:val="6"/>
              <w:spacing w:before="101" w:line="188" w:lineRule="auto"/>
              <w:ind w:left="165"/>
            </w:pPr>
            <w:r>
              <w:rPr>
                <w:spacing w:val="-1"/>
              </w:rPr>
              <w:t>0.158~0.174</w:t>
            </w:r>
          </w:p>
        </w:tc>
        <w:tc>
          <w:tcPr>
            <w:tcW w:w="1519" w:type="dxa"/>
            <w:vAlign w:val="top"/>
          </w:tcPr>
          <w:p>
            <w:pPr>
              <w:pStyle w:val="6"/>
              <w:spacing w:before="101" w:line="188" w:lineRule="auto"/>
              <w:ind w:left="284"/>
            </w:pPr>
            <w:r>
              <w:rPr>
                <w:spacing w:val="-1"/>
              </w:rPr>
              <w:t>0.166~0.18</w:t>
            </w:r>
          </w:p>
        </w:tc>
        <w:tc>
          <w:tcPr>
            <w:tcW w:w="1519" w:type="dxa"/>
            <w:vAlign w:val="top"/>
          </w:tcPr>
          <w:p>
            <w:pPr>
              <w:pStyle w:val="6"/>
              <w:spacing w:before="101" w:line="188" w:lineRule="auto"/>
              <w:ind w:left="284"/>
            </w:pPr>
            <w:r>
              <w:rPr>
                <w:spacing w:val="-1"/>
              </w:rPr>
              <w:t>0.06~0.068</w:t>
            </w:r>
          </w:p>
        </w:tc>
        <w:tc>
          <w:tcPr>
            <w:tcW w:w="1527" w:type="dxa"/>
            <w:vAlign w:val="top"/>
          </w:tcPr>
          <w:p>
            <w:pPr>
              <w:pStyle w:val="6"/>
              <w:spacing w:before="101" w:line="188" w:lineRule="auto"/>
              <w:ind w:left="237"/>
            </w:pPr>
            <w:r>
              <w:rPr>
                <w:spacing w:val="-1"/>
              </w:rPr>
              <w:t>0.274~0.286</w:t>
            </w:r>
          </w:p>
        </w:tc>
        <w:tc>
          <w:tcPr>
            <w:tcW w:w="1524" w:type="dxa"/>
            <w:vAlign w:val="top"/>
          </w:tcPr>
          <w:p>
            <w:pPr>
              <w:pStyle w:val="6"/>
              <w:spacing w:before="101" w:line="188" w:lineRule="auto"/>
              <w:ind w:left="235"/>
            </w:pPr>
            <w:r>
              <w:rPr>
                <w:spacing w:val="-1"/>
              </w:rPr>
              <w:t>0.176~0.186</w:t>
            </w:r>
          </w:p>
        </w:tc>
        <w:tc>
          <w:tcPr>
            <w:tcW w:w="1528" w:type="dxa"/>
            <w:vAlign w:val="top"/>
          </w:tcPr>
          <w:p>
            <w:pPr>
              <w:pStyle w:val="6"/>
              <w:spacing w:before="101" w:line="188" w:lineRule="auto"/>
              <w:ind w:left="236"/>
            </w:pPr>
            <w:r>
              <w:rPr>
                <w:spacing w:val="-1"/>
              </w:rPr>
              <w:t>0.042~0.046</w:t>
            </w:r>
          </w:p>
        </w:tc>
        <w:tc>
          <w:tcPr>
            <w:tcW w:w="1516" w:type="dxa"/>
            <w:vAlign w:val="top"/>
          </w:tcPr>
          <w:p>
            <w:pPr>
              <w:pStyle w:val="6"/>
              <w:spacing w:before="101" w:line="188" w:lineRule="auto"/>
              <w:ind w:left="230"/>
            </w:pPr>
            <w:r>
              <w:rPr>
                <w:spacing w:val="-1"/>
              </w:rPr>
              <w:t>0.042~0.046</w:t>
            </w:r>
          </w:p>
        </w:tc>
        <w:tc>
          <w:tcPr>
            <w:tcW w:w="1075" w:type="dxa"/>
            <w:tcBorders>
              <w:right w:val="nil"/>
            </w:tcBorders>
            <w:vAlign w:val="top"/>
          </w:tcPr>
          <w:p>
            <w:pPr>
              <w:spacing w:before="64" w:line="212"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22" w:type="dxa"/>
            <w:tcBorders>
              <w:left w:val="nil"/>
            </w:tcBorders>
            <w:vAlign w:val="top"/>
          </w:tcPr>
          <w:p>
            <w:pPr>
              <w:pStyle w:val="6"/>
              <w:spacing w:before="101" w:line="188" w:lineRule="auto"/>
              <w:ind w:left="287"/>
            </w:pPr>
            <w:r>
              <w:rPr>
                <w:spacing w:val="-12"/>
              </w:rPr>
              <w:t>15</w:t>
            </w:r>
          </w:p>
        </w:tc>
        <w:tc>
          <w:tcPr>
            <w:tcW w:w="1661" w:type="dxa"/>
            <w:vAlign w:val="top"/>
          </w:tcPr>
          <w:p>
            <w:pPr>
              <w:spacing w:before="64" w:line="211" w:lineRule="auto"/>
              <w:ind w:left="735"/>
              <w:rPr>
                <w:rFonts w:ascii="仿宋" w:hAnsi="仿宋" w:eastAsia="仿宋" w:cs="仿宋"/>
                <w:sz w:val="21"/>
                <w:szCs w:val="21"/>
              </w:rPr>
            </w:pPr>
            <w:r>
              <w:rPr>
                <w:rFonts w:ascii="仿宋" w:hAnsi="仿宋" w:eastAsia="仿宋" w:cs="仿宋"/>
                <w:sz w:val="21"/>
                <w:szCs w:val="21"/>
              </w:rPr>
              <w:t>汞</w:t>
            </w:r>
          </w:p>
        </w:tc>
        <w:tc>
          <w:tcPr>
            <w:tcW w:w="1383" w:type="dxa"/>
            <w:vAlign w:val="top"/>
          </w:tcPr>
          <w:p>
            <w:pPr>
              <w:pStyle w:val="6"/>
              <w:spacing w:before="99" w:line="204" w:lineRule="auto"/>
              <w:ind w:left="657"/>
            </w:pPr>
            <w:r>
              <w:t>/</w:t>
            </w:r>
          </w:p>
        </w:tc>
        <w:tc>
          <w:tcPr>
            <w:tcW w:w="1519" w:type="dxa"/>
            <w:vAlign w:val="top"/>
          </w:tcPr>
          <w:p>
            <w:pPr>
              <w:pStyle w:val="6"/>
              <w:spacing w:before="99" w:line="204" w:lineRule="auto"/>
              <w:ind w:left="724"/>
            </w:pPr>
            <w:r>
              <w:t>/</w:t>
            </w:r>
          </w:p>
        </w:tc>
        <w:tc>
          <w:tcPr>
            <w:tcW w:w="1519" w:type="dxa"/>
            <w:vAlign w:val="top"/>
          </w:tcPr>
          <w:p>
            <w:pPr>
              <w:spacing w:before="83" w:line="207" w:lineRule="auto"/>
              <w:ind w:left="714"/>
              <w:rPr>
                <w:rFonts w:ascii="Calibri" w:hAnsi="Calibri" w:eastAsia="Calibri" w:cs="Calibri"/>
                <w:sz w:val="21"/>
                <w:szCs w:val="21"/>
              </w:rPr>
            </w:pPr>
            <w:r>
              <w:rPr>
                <w:rFonts w:ascii="Calibri" w:hAnsi="Calibri" w:eastAsia="Calibri" w:cs="Calibri"/>
                <w:sz w:val="21"/>
                <w:szCs w:val="21"/>
              </w:rPr>
              <w:t>/</w:t>
            </w:r>
          </w:p>
        </w:tc>
        <w:tc>
          <w:tcPr>
            <w:tcW w:w="1527" w:type="dxa"/>
            <w:vAlign w:val="top"/>
          </w:tcPr>
          <w:p>
            <w:pPr>
              <w:spacing w:before="83" w:line="207" w:lineRule="auto"/>
              <w:ind w:left="718"/>
              <w:rPr>
                <w:rFonts w:ascii="Calibri" w:hAnsi="Calibri" w:eastAsia="Calibri" w:cs="Calibri"/>
                <w:sz w:val="21"/>
                <w:szCs w:val="21"/>
              </w:rPr>
            </w:pPr>
            <w:r>
              <w:rPr>
                <w:rFonts w:ascii="Calibri" w:hAnsi="Calibri" w:eastAsia="Calibri" w:cs="Calibri"/>
                <w:sz w:val="21"/>
                <w:szCs w:val="21"/>
              </w:rPr>
              <w:t>/</w:t>
            </w:r>
          </w:p>
        </w:tc>
        <w:tc>
          <w:tcPr>
            <w:tcW w:w="1524" w:type="dxa"/>
            <w:vAlign w:val="top"/>
          </w:tcPr>
          <w:p>
            <w:pPr>
              <w:spacing w:before="83" w:line="207" w:lineRule="auto"/>
              <w:ind w:left="716"/>
              <w:rPr>
                <w:rFonts w:ascii="Calibri" w:hAnsi="Calibri" w:eastAsia="Calibri" w:cs="Calibri"/>
                <w:sz w:val="21"/>
                <w:szCs w:val="21"/>
              </w:rPr>
            </w:pPr>
            <w:r>
              <w:rPr>
                <w:rFonts w:ascii="Calibri" w:hAnsi="Calibri" w:eastAsia="Calibri" w:cs="Calibri"/>
                <w:sz w:val="21"/>
                <w:szCs w:val="21"/>
              </w:rPr>
              <w:t>/</w:t>
            </w:r>
          </w:p>
        </w:tc>
        <w:tc>
          <w:tcPr>
            <w:tcW w:w="1528" w:type="dxa"/>
            <w:vAlign w:val="top"/>
          </w:tcPr>
          <w:p>
            <w:pPr>
              <w:spacing w:before="83" w:line="207" w:lineRule="auto"/>
              <w:ind w:left="717"/>
              <w:rPr>
                <w:rFonts w:ascii="Calibri" w:hAnsi="Calibri" w:eastAsia="Calibri" w:cs="Calibri"/>
                <w:sz w:val="21"/>
                <w:szCs w:val="21"/>
              </w:rPr>
            </w:pPr>
            <w:r>
              <w:rPr>
                <w:rFonts w:ascii="Calibri" w:hAnsi="Calibri" w:eastAsia="Calibri" w:cs="Calibri"/>
                <w:sz w:val="21"/>
                <w:szCs w:val="21"/>
              </w:rPr>
              <w:t>/</w:t>
            </w:r>
          </w:p>
        </w:tc>
        <w:tc>
          <w:tcPr>
            <w:tcW w:w="1516" w:type="dxa"/>
            <w:vAlign w:val="top"/>
          </w:tcPr>
          <w:p>
            <w:pPr>
              <w:spacing w:before="83" w:line="207" w:lineRule="auto"/>
              <w:ind w:left="711"/>
              <w:rPr>
                <w:rFonts w:ascii="Calibri" w:hAnsi="Calibri" w:eastAsia="Calibri" w:cs="Calibri"/>
                <w:sz w:val="21"/>
                <w:szCs w:val="21"/>
              </w:rPr>
            </w:pPr>
            <w:r>
              <w:rPr>
                <w:rFonts w:ascii="Calibri" w:hAnsi="Calibri" w:eastAsia="Calibri" w:cs="Calibri"/>
                <w:sz w:val="21"/>
                <w:szCs w:val="21"/>
              </w:rPr>
              <w:t>/</w:t>
            </w:r>
          </w:p>
        </w:tc>
        <w:tc>
          <w:tcPr>
            <w:tcW w:w="1075" w:type="dxa"/>
            <w:tcBorders>
              <w:right w:val="nil"/>
            </w:tcBorders>
            <w:vAlign w:val="top"/>
          </w:tcPr>
          <w:p>
            <w:pPr>
              <w:spacing w:before="64" w:line="211"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8" w:hRule="atLeast"/>
        </w:trPr>
        <w:tc>
          <w:tcPr>
            <w:tcW w:w="722" w:type="dxa"/>
            <w:tcBorders>
              <w:left w:val="nil"/>
            </w:tcBorders>
            <w:vAlign w:val="top"/>
          </w:tcPr>
          <w:p>
            <w:pPr>
              <w:pStyle w:val="6"/>
              <w:spacing w:before="260" w:line="188" w:lineRule="auto"/>
              <w:ind w:left="287"/>
            </w:pPr>
            <w:r>
              <w:rPr>
                <w:spacing w:val="-12"/>
              </w:rPr>
              <w:t>16</w:t>
            </w:r>
          </w:p>
        </w:tc>
        <w:tc>
          <w:tcPr>
            <w:tcW w:w="1661" w:type="dxa"/>
            <w:vAlign w:val="top"/>
          </w:tcPr>
          <w:p>
            <w:pPr>
              <w:pStyle w:val="6"/>
              <w:spacing w:before="67" w:line="242" w:lineRule="auto"/>
              <w:ind w:left="308" w:right="300" w:firstLine="11"/>
              <w:rPr>
                <w:rFonts w:ascii="仿宋" w:hAnsi="仿宋" w:eastAsia="仿宋" w:cs="仿宋"/>
              </w:rPr>
            </w:pPr>
            <w:r>
              <w:rPr>
                <w:rFonts w:ascii="仿宋" w:hAnsi="仿宋" w:eastAsia="仿宋" w:cs="仿宋"/>
                <w:spacing w:val="-4"/>
              </w:rPr>
              <w:t>粪大肠菌群</w:t>
            </w:r>
            <w:r>
              <w:rPr>
                <w:rFonts w:ascii="仿宋" w:hAnsi="仿宋" w:eastAsia="仿宋" w:cs="仿宋"/>
              </w:rPr>
              <w:t xml:space="preserve"> </w:t>
            </w:r>
            <w:r>
              <w:rPr>
                <w:rFonts w:ascii="仿宋" w:hAnsi="仿宋" w:eastAsia="仿宋" w:cs="仿宋"/>
                <w:spacing w:val="-4"/>
              </w:rPr>
              <w:t>（</w:t>
            </w:r>
            <w:r>
              <w:rPr>
                <w:spacing w:val="-4"/>
              </w:rPr>
              <w:t>MPN/L</w:t>
            </w:r>
            <w:r>
              <w:rPr>
                <w:rFonts w:ascii="仿宋" w:hAnsi="仿宋" w:eastAsia="仿宋" w:cs="仿宋"/>
                <w:spacing w:val="-4"/>
              </w:rPr>
              <w:t>）</w:t>
            </w:r>
          </w:p>
        </w:tc>
        <w:tc>
          <w:tcPr>
            <w:tcW w:w="1383" w:type="dxa"/>
            <w:vAlign w:val="top"/>
          </w:tcPr>
          <w:p>
            <w:pPr>
              <w:pStyle w:val="6"/>
              <w:spacing w:before="260" w:line="188" w:lineRule="auto"/>
              <w:ind w:left="269"/>
            </w:pPr>
            <w:r>
              <w:rPr>
                <w:spacing w:val="-1"/>
              </w:rPr>
              <w:t>0.18~0.26</w:t>
            </w:r>
          </w:p>
        </w:tc>
        <w:tc>
          <w:tcPr>
            <w:tcW w:w="1519" w:type="dxa"/>
            <w:vAlign w:val="top"/>
          </w:tcPr>
          <w:p>
            <w:pPr>
              <w:pStyle w:val="6"/>
              <w:spacing w:before="260" w:line="188" w:lineRule="auto"/>
              <w:ind w:left="284"/>
            </w:pPr>
            <w:r>
              <w:rPr>
                <w:spacing w:val="-1"/>
              </w:rPr>
              <w:t>0.235~0.31</w:t>
            </w:r>
          </w:p>
        </w:tc>
        <w:tc>
          <w:tcPr>
            <w:tcW w:w="1519" w:type="dxa"/>
            <w:vAlign w:val="top"/>
          </w:tcPr>
          <w:p>
            <w:pPr>
              <w:pStyle w:val="6"/>
              <w:spacing w:before="260" w:line="188" w:lineRule="auto"/>
              <w:ind w:left="337"/>
            </w:pPr>
            <w:r>
              <w:rPr>
                <w:spacing w:val="-1"/>
              </w:rPr>
              <w:t>0.18~0.25</w:t>
            </w:r>
          </w:p>
        </w:tc>
        <w:tc>
          <w:tcPr>
            <w:tcW w:w="1527" w:type="dxa"/>
            <w:vAlign w:val="top"/>
          </w:tcPr>
          <w:p>
            <w:pPr>
              <w:pStyle w:val="6"/>
              <w:spacing w:before="251" w:line="237" w:lineRule="auto"/>
              <w:ind w:left="285"/>
            </w:pPr>
            <w:r>
              <w:rPr>
                <w:spacing w:val="-1"/>
              </w:rPr>
              <w:t>0.245</w:t>
            </w:r>
            <w:r>
              <w:rPr>
                <w:rFonts w:ascii="Arial" w:hAnsi="Arial" w:eastAsia="Arial" w:cs="Arial"/>
                <w:spacing w:val="-1"/>
              </w:rPr>
              <w:t>~</w:t>
            </w:r>
            <w:r>
              <w:rPr>
                <w:spacing w:val="-1"/>
              </w:rPr>
              <w:t>0.33</w:t>
            </w:r>
          </w:p>
        </w:tc>
        <w:tc>
          <w:tcPr>
            <w:tcW w:w="1524" w:type="dxa"/>
            <w:vAlign w:val="top"/>
          </w:tcPr>
          <w:p>
            <w:pPr>
              <w:pStyle w:val="6"/>
              <w:spacing w:before="260" w:line="188" w:lineRule="auto"/>
              <w:ind w:left="287"/>
            </w:pPr>
            <w:r>
              <w:rPr>
                <w:spacing w:val="-1"/>
              </w:rPr>
              <w:t>0.15~0.225</w:t>
            </w:r>
          </w:p>
        </w:tc>
        <w:tc>
          <w:tcPr>
            <w:tcW w:w="1528" w:type="dxa"/>
            <w:vAlign w:val="top"/>
          </w:tcPr>
          <w:p>
            <w:pPr>
              <w:pStyle w:val="6"/>
              <w:spacing w:before="260" w:line="188" w:lineRule="auto"/>
              <w:ind w:left="342"/>
            </w:pPr>
            <w:r>
              <w:rPr>
                <w:spacing w:val="-1"/>
              </w:rPr>
              <w:t>0.42~0.55</w:t>
            </w:r>
          </w:p>
        </w:tc>
        <w:tc>
          <w:tcPr>
            <w:tcW w:w="1516" w:type="dxa"/>
            <w:vAlign w:val="top"/>
          </w:tcPr>
          <w:p>
            <w:pPr>
              <w:pStyle w:val="6"/>
              <w:spacing w:before="260" w:line="188" w:lineRule="auto"/>
              <w:ind w:left="387"/>
            </w:pPr>
            <w:r>
              <w:rPr>
                <w:spacing w:val="-1"/>
              </w:rPr>
              <w:t>0.47~0.7</w:t>
            </w:r>
          </w:p>
        </w:tc>
        <w:tc>
          <w:tcPr>
            <w:tcW w:w="1075" w:type="dxa"/>
            <w:tcBorders>
              <w:right w:val="nil"/>
            </w:tcBorders>
            <w:vAlign w:val="top"/>
          </w:tcPr>
          <w:p>
            <w:pPr>
              <w:spacing w:before="223" w:line="218"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22" w:type="dxa"/>
            <w:tcBorders>
              <w:left w:val="nil"/>
            </w:tcBorders>
            <w:vAlign w:val="top"/>
          </w:tcPr>
          <w:p>
            <w:pPr>
              <w:pStyle w:val="6"/>
              <w:spacing w:before="104" w:line="188" w:lineRule="auto"/>
              <w:ind w:left="287"/>
            </w:pPr>
            <w:r>
              <w:rPr>
                <w:spacing w:val="-12"/>
              </w:rPr>
              <w:t>17</w:t>
            </w:r>
          </w:p>
        </w:tc>
        <w:tc>
          <w:tcPr>
            <w:tcW w:w="1661" w:type="dxa"/>
            <w:vAlign w:val="top"/>
          </w:tcPr>
          <w:p>
            <w:pPr>
              <w:spacing w:before="68" w:line="208" w:lineRule="auto"/>
              <w:ind w:left="525"/>
              <w:rPr>
                <w:rFonts w:ascii="仿宋" w:hAnsi="仿宋" w:eastAsia="仿宋" w:cs="仿宋"/>
                <w:sz w:val="21"/>
                <w:szCs w:val="21"/>
              </w:rPr>
            </w:pPr>
            <w:r>
              <w:rPr>
                <w:rFonts w:ascii="仿宋" w:hAnsi="仿宋" w:eastAsia="仿宋" w:cs="仿宋"/>
                <w:spacing w:val="-4"/>
                <w:sz w:val="21"/>
                <w:szCs w:val="21"/>
              </w:rPr>
              <w:t>六价铬</w:t>
            </w:r>
          </w:p>
        </w:tc>
        <w:tc>
          <w:tcPr>
            <w:tcW w:w="1383" w:type="dxa"/>
            <w:vAlign w:val="top"/>
          </w:tcPr>
          <w:p>
            <w:pPr>
              <w:pStyle w:val="6"/>
              <w:spacing w:before="102" w:line="201" w:lineRule="auto"/>
              <w:ind w:left="657"/>
            </w:pPr>
            <w:r>
              <w:t>/</w:t>
            </w:r>
          </w:p>
        </w:tc>
        <w:tc>
          <w:tcPr>
            <w:tcW w:w="1519" w:type="dxa"/>
            <w:vAlign w:val="top"/>
          </w:tcPr>
          <w:p>
            <w:pPr>
              <w:pStyle w:val="6"/>
              <w:spacing w:before="102" w:line="201" w:lineRule="auto"/>
              <w:ind w:left="724"/>
            </w:pPr>
            <w:r>
              <w:t>/</w:t>
            </w:r>
          </w:p>
        </w:tc>
        <w:tc>
          <w:tcPr>
            <w:tcW w:w="1519" w:type="dxa"/>
            <w:vAlign w:val="top"/>
          </w:tcPr>
          <w:p>
            <w:pPr>
              <w:pStyle w:val="6"/>
              <w:spacing w:before="102" w:line="201" w:lineRule="auto"/>
              <w:ind w:left="725"/>
            </w:pPr>
            <w:r>
              <w:t>/</w:t>
            </w:r>
          </w:p>
        </w:tc>
        <w:tc>
          <w:tcPr>
            <w:tcW w:w="1527" w:type="dxa"/>
            <w:vAlign w:val="top"/>
          </w:tcPr>
          <w:p>
            <w:pPr>
              <w:pStyle w:val="6"/>
              <w:spacing w:before="102" w:line="201" w:lineRule="auto"/>
              <w:ind w:left="730"/>
            </w:pPr>
            <w:r>
              <w:t>/</w:t>
            </w:r>
          </w:p>
        </w:tc>
        <w:tc>
          <w:tcPr>
            <w:tcW w:w="1524" w:type="dxa"/>
            <w:vAlign w:val="top"/>
          </w:tcPr>
          <w:p>
            <w:pPr>
              <w:pStyle w:val="6"/>
              <w:spacing w:before="102" w:line="201" w:lineRule="auto"/>
              <w:ind w:left="727"/>
            </w:pPr>
            <w:r>
              <w:t>/</w:t>
            </w:r>
          </w:p>
        </w:tc>
        <w:tc>
          <w:tcPr>
            <w:tcW w:w="1528" w:type="dxa"/>
            <w:vAlign w:val="top"/>
          </w:tcPr>
          <w:p>
            <w:pPr>
              <w:pStyle w:val="6"/>
              <w:spacing w:before="102" w:line="201" w:lineRule="auto"/>
              <w:ind w:left="729"/>
            </w:pPr>
            <w:r>
              <w:t>/</w:t>
            </w:r>
          </w:p>
        </w:tc>
        <w:tc>
          <w:tcPr>
            <w:tcW w:w="1516" w:type="dxa"/>
            <w:vAlign w:val="top"/>
          </w:tcPr>
          <w:p>
            <w:pPr>
              <w:pStyle w:val="6"/>
              <w:spacing w:before="102" w:line="201" w:lineRule="auto"/>
              <w:ind w:left="723"/>
            </w:pPr>
            <w:r>
              <w:t>/</w:t>
            </w:r>
          </w:p>
        </w:tc>
        <w:tc>
          <w:tcPr>
            <w:tcW w:w="1075" w:type="dxa"/>
            <w:tcBorders>
              <w:right w:val="nil"/>
            </w:tcBorders>
            <w:vAlign w:val="top"/>
          </w:tcPr>
          <w:p>
            <w:pPr>
              <w:spacing w:before="68" w:line="208"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722" w:type="dxa"/>
            <w:tcBorders>
              <w:left w:val="nil"/>
            </w:tcBorders>
            <w:vAlign w:val="top"/>
          </w:tcPr>
          <w:p>
            <w:pPr>
              <w:pStyle w:val="6"/>
              <w:spacing w:before="107" w:line="188" w:lineRule="auto"/>
              <w:ind w:left="287"/>
            </w:pPr>
            <w:r>
              <w:rPr>
                <w:spacing w:val="-12"/>
              </w:rPr>
              <w:t>18</w:t>
            </w:r>
          </w:p>
        </w:tc>
        <w:tc>
          <w:tcPr>
            <w:tcW w:w="1661" w:type="dxa"/>
            <w:vAlign w:val="top"/>
          </w:tcPr>
          <w:p>
            <w:pPr>
              <w:spacing w:before="70" w:line="208" w:lineRule="auto"/>
              <w:ind w:left="529"/>
              <w:rPr>
                <w:rFonts w:ascii="仿宋" w:hAnsi="仿宋" w:eastAsia="仿宋" w:cs="仿宋"/>
                <w:sz w:val="21"/>
                <w:szCs w:val="21"/>
              </w:rPr>
            </w:pPr>
            <w:r>
              <w:rPr>
                <w:rFonts w:ascii="仿宋" w:hAnsi="仿宋" w:eastAsia="仿宋" w:cs="仿宋"/>
                <w:spacing w:val="-5"/>
                <w:sz w:val="21"/>
                <w:szCs w:val="21"/>
              </w:rPr>
              <w:t>氟化物</w:t>
            </w:r>
          </w:p>
        </w:tc>
        <w:tc>
          <w:tcPr>
            <w:tcW w:w="1383" w:type="dxa"/>
            <w:vAlign w:val="top"/>
          </w:tcPr>
          <w:p>
            <w:pPr>
              <w:pStyle w:val="6"/>
              <w:spacing w:before="107" w:line="188" w:lineRule="auto"/>
              <w:ind w:left="269"/>
            </w:pPr>
            <w:r>
              <w:rPr>
                <w:spacing w:val="-1"/>
              </w:rPr>
              <w:t>0.16~0.20</w:t>
            </w:r>
          </w:p>
        </w:tc>
        <w:tc>
          <w:tcPr>
            <w:tcW w:w="1519" w:type="dxa"/>
            <w:vAlign w:val="top"/>
          </w:tcPr>
          <w:p>
            <w:pPr>
              <w:pStyle w:val="6"/>
              <w:spacing w:before="107" w:line="188" w:lineRule="auto"/>
              <w:ind w:left="337"/>
            </w:pPr>
            <w:r>
              <w:rPr>
                <w:spacing w:val="-1"/>
              </w:rPr>
              <w:t>0.19~0.21</w:t>
            </w:r>
          </w:p>
        </w:tc>
        <w:tc>
          <w:tcPr>
            <w:tcW w:w="1519" w:type="dxa"/>
            <w:vAlign w:val="top"/>
          </w:tcPr>
          <w:p>
            <w:pPr>
              <w:pStyle w:val="6"/>
              <w:spacing w:before="107" w:line="188" w:lineRule="auto"/>
              <w:ind w:left="337"/>
            </w:pPr>
            <w:r>
              <w:rPr>
                <w:spacing w:val="-1"/>
              </w:rPr>
              <w:t>0.21~0.25</w:t>
            </w:r>
          </w:p>
        </w:tc>
        <w:tc>
          <w:tcPr>
            <w:tcW w:w="1527" w:type="dxa"/>
            <w:vAlign w:val="top"/>
          </w:tcPr>
          <w:p>
            <w:pPr>
              <w:pStyle w:val="6"/>
              <w:spacing w:before="107" w:line="188" w:lineRule="auto"/>
              <w:ind w:left="342"/>
            </w:pPr>
            <w:r>
              <w:rPr>
                <w:spacing w:val="-1"/>
              </w:rPr>
              <w:t>0.18~0.22</w:t>
            </w:r>
          </w:p>
        </w:tc>
        <w:tc>
          <w:tcPr>
            <w:tcW w:w="1524" w:type="dxa"/>
            <w:vAlign w:val="top"/>
          </w:tcPr>
          <w:p>
            <w:pPr>
              <w:pStyle w:val="6"/>
              <w:spacing w:before="107" w:line="188" w:lineRule="auto"/>
              <w:ind w:left="339"/>
            </w:pPr>
            <w:r>
              <w:rPr>
                <w:spacing w:val="-1"/>
              </w:rPr>
              <w:t>0.23~0.26</w:t>
            </w:r>
          </w:p>
        </w:tc>
        <w:tc>
          <w:tcPr>
            <w:tcW w:w="1528" w:type="dxa"/>
            <w:vAlign w:val="top"/>
          </w:tcPr>
          <w:p>
            <w:pPr>
              <w:pStyle w:val="6"/>
              <w:spacing w:before="107" w:line="188" w:lineRule="auto"/>
              <w:ind w:left="342"/>
            </w:pPr>
            <w:r>
              <w:rPr>
                <w:spacing w:val="-1"/>
              </w:rPr>
              <w:t>0.32~0.38</w:t>
            </w:r>
          </w:p>
        </w:tc>
        <w:tc>
          <w:tcPr>
            <w:tcW w:w="1516" w:type="dxa"/>
            <w:vAlign w:val="top"/>
          </w:tcPr>
          <w:p>
            <w:pPr>
              <w:pStyle w:val="6"/>
              <w:spacing w:before="107" w:line="188" w:lineRule="auto"/>
              <w:ind w:left="387"/>
            </w:pPr>
            <w:r>
              <w:rPr>
                <w:spacing w:val="-1"/>
              </w:rPr>
              <w:t>0.26~0.3</w:t>
            </w:r>
          </w:p>
        </w:tc>
        <w:tc>
          <w:tcPr>
            <w:tcW w:w="1075" w:type="dxa"/>
            <w:tcBorders>
              <w:right w:val="nil"/>
            </w:tcBorders>
            <w:vAlign w:val="top"/>
          </w:tcPr>
          <w:p>
            <w:pPr>
              <w:spacing w:before="70" w:line="208"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22" w:type="dxa"/>
            <w:tcBorders>
              <w:left w:val="nil"/>
            </w:tcBorders>
            <w:vAlign w:val="top"/>
          </w:tcPr>
          <w:p>
            <w:pPr>
              <w:pStyle w:val="6"/>
              <w:spacing w:before="106" w:line="188" w:lineRule="auto"/>
              <w:ind w:left="287"/>
            </w:pPr>
            <w:r>
              <w:rPr>
                <w:spacing w:val="-12"/>
              </w:rPr>
              <w:t>19</w:t>
            </w:r>
          </w:p>
        </w:tc>
        <w:tc>
          <w:tcPr>
            <w:tcW w:w="1661" w:type="dxa"/>
            <w:vAlign w:val="top"/>
          </w:tcPr>
          <w:p>
            <w:pPr>
              <w:spacing w:before="70" w:line="206" w:lineRule="auto"/>
              <w:ind w:left="736"/>
              <w:rPr>
                <w:rFonts w:ascii="仿宋" w:hAnsi="仿宋" w:eastAsia="仿宋" w:cs="仿宋"/>
                <w:sz w:val="21"/>
                <w:szCs w:val="21"/>
              </w:rPr>
            </w:pPr>
            <w:r>
              <w:rPr>
                <w:rFonts w:ascii="仿宋" w:hAnsi="仿宋" w:eastAsia="仿宋" w:cs="仿宋"/>
                <w:sz w:val="21"/>
                <w:szCs w:val="21"/>
              </w:rPr>
              <w:t>铁</w:t>
            </w:r>
          </w:p>
        </w:tc>
        <w:tc>
          <w:tcPr>
            <w:tcW w:w="1383" w:type="dxa"/>
            <w:vAlign w:val="top"/>
          </w:tcPr>
          <w:p>
            <w:pPr>
              <w:pStyle w:val="6"/>
              <w:spacing w:before="104" w:line="199" w:lineRule="auto"/>
              <w:ind w:left="657"/>
            </w:pPr>
            <w:r>
              <w:t>/</w:t>
            </w:r>
          </w:p>
        </w:tc>
        <w:tc>
          <w:tcPr>
            <w:tcW w:w="1519" w:type="dxa"/>
            <w:vAlign w:val="top"/>
          </w:tcPr>
          <w:p>
            <w:pPr>
              <w:pStyle w:val="6"/>
              <w:spacing w:before="104" w:line="199" w:lineRule="auto"/>
              <w:ind w:left="724"/>
            </w:pPr>
            <w:r>
              <w:t>/</w:t>
            </w:r>
          </w:p>
        </w:tc>
        <w:tc>
          <w:tcPr>
            <w:tcW w:w="1519" w:type="dxa"/>
            <w:vAlign w:val="top"/>
          </w:tcPr>
          <w:p>
            <w:pPr>
              <w:pStyle w:val="6"/>
              <w:spacing w:before="104" w:line="199" w:lineRule="auto"/>
              <w:ind w:left="725"/>
            </w:pPr>
            <w:r>
              <w:t>/</w:t>
            </w:r>
          </w:p>
        </w:tc>
        <w:tc>
          <w:tcPr>
            <w:tcW w:w="1527" w:type="dxa"/>
            <w:vAlign w:val="top"/>
          </w:tcPr>
          <w:p>
            <w:pPr>
              <w:pStyle w:val="6"/>
              <w:spacing w:before="104" w:line="199" w:lineRule="auto"/>
              <w:ind w:left="730"/>
            </w:pPr>
            <w:r>
              <w:t>/</w:t>
            </w:r>
          </w:p>
        </w:tc>
        <w:tc>
          <w:tcPr>
            <w:tcW w:w="1524" w:type="dxa"/>
            <w:vAlign w:val="top"/>
          </w:tcPr>
          <w:p>
            <w:pPr>
              <w:pStyle w:val="6"/>
              <w:spacing w:before="104" w:line="199" w:lineRule="auto"/>
              <w:ind w:left="727"/>
            </w:pPr>
            <w:r>
              <w:t>/</w:t>
            </w:r>
          </w:p>
        </w:tc>
        <w:tc>
          <w:tcPr>
            <w:tcW w:w="1528" w:type="dxa"/>
            <w:vAlign w:val="top"/>
          </w:tcPr>
          <w:p>
            <w:pPr>
              <w:pStyle w:val="6"/>
              <w:spacing w:before="104" w:line="199" w:lineRule="auto"/>
              <w:ind w:left="729"/>
            </w:pPr>
            <w:r>
              <w:t>/</w:t>
            </w:r>
          </w:p>
        </w:tc>
        <w:tc>
          <w:tcPr>
            <w:tcW w:w="1516" w:type="dxa"/>
            <w:vAlign w:val="top"/>
          </w:tcPr>
          <w:p>
            <w:pPr>
              <w:pStyle w:val="6"/>
              <w:spacing w:before="104" w:line="199" w:lineRule="auto"/>
              <w:ind w:left="723"/>
            </w:pPr>
            <w:r>
              <w:t>/</w:t>
            </w:r>
          </w:p>
        </w:tc>
        <w:tc>
          <w:tcPr>
            <w:tcW w:w="1075" w:type="dxa"/>
            <w:tcBorders>
              <w:right w:val="nil"/>
            </w:tcBorders>
            <w:vAlign w:val="top"/>
          </w:tcPr>
          <w:p>
            <w:pPr>
              <w:spacing w:before="70" w:line="206"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22" w:type="dxa"/>
            <w:tcBorders>
              <w:left w:val="nil"/>
            </w:tcBorders>
            <w:vAlign w:val="top"/>
          </w:tcPr>
          <w:p>
            <w:pPr>
              <w:pStyle w:val="6"/>
              <w:spacing w:before="109" w:line="188" w:lineRule="auto"/>
              <w:ind w:left="267"/>
            </w:pPr>
            <w:r>
              <w:rPr>
                <w:spacing w:val="-2"/>
              </w:rPr>
              <w:t>20</w:t>
            </w:r>
          </w:p>
        </w:tc>
        <w:tc>
          <w:tcPr>
            <w:tcW w:w="1661" w:type="dxa"/>
            <w:vAlign w:val="top"/>
          </w:tcPr>
          <w:p>
            <w:pPr>
              <w:spacing w:before="72" w:line="205" w:lineRule="auto"/>
              <w:ind w:left="734"/>
              <w:rPr>
                <w:rFonts w:ascii="仿宋" w:hAnsi="仿宋" w:eastAsia="仿宋" w:cs="仿宋"/>
                <w:sz w:val="21"/>
                <w:szCs w:val="21"/>
              </w:rPr>
            </w:pPr>
            <w:r>
              <w:rPr>
                <w:rFonts w:ascii="仿宋" w:hAnsi="仿宋" w:eastAsia="仿宋" w:cs="仿宋"/>
                <w:sz w:val="21"/>
                <w:szCs w:val="21"/>
              </w:rPr>
              <w:t>锰</w:t>
            </w:r>
          </w:p>
        </w:tc>
        <w:tc>
          <w:tcPr>
            <w:tcW w:w="1383" w:type="dxa"/>
            <w:vAlign w:val="top"/>
          </w:tcPr>
          <w:p>
            <w:pPr>
              <w:pStyle w:val="6"/>
              <w:spacing w:before="107" w:line="197" w:lineRule="auto"/>
              <w:ind w:left="657"/>
            </w:pPr>
            <w:r>
              <w:t>/</w:t>
            </w:r>
          </w:p>
        </w:tc>
        <w:tc>
          <w:tcPr>
            <w:tcW w:w="1519" w:type="dxa"/>
            <w:vAlign w:val="top"/>
          </w:tcPr>
          <w:p>
            <w:pPr>
              <w:pStyle w:val="6"/>
              <w:spacing w:before="107" w:line="197" w:lineRule="auto"/>
              <w:ind w:left="724"/>
            </w:pPr>
            <w:r>
              <w:t>/</w:t>
            </w:r>
          </w:p>
        </w:tc>
        <w:tc>
          <w:tcPr>
            <w:tcW w:w="1519" w:type="dxa"/>
            <w:vAlign w:val="top"/>
          </w:tcPr>
          <w:p>
            <w:pPr>
              <w:pStyle w:val="6"/>
              <w:spacing w:before="107" w:line="197" w:lineRule="auto"/>
              <w:ind w:left="725"/>
            </w:pPr>
            <w:r>
              <w:t>/</w:t>
            </w:r>
          </w:p>
        </w:tc>
        <w:tc>
          <w:tcPr>
            <w:tcW w:w="1527" w:type="dxa"/>
            <w:vAlign w:val="top"/>
          </w:tcPr>
          <w:p>
            <w:pPr>
              <w:pStyle w:val="6"/>
              <w:spacing w:before="107" w:line="197" w:lineRule="auto"/>
              <w:ind w:left="730"/>
            </w:pPr>
            <w:r>
              <w:t>/</w:t>
            </w:r>
          </w:p>
        </w:tc>
        <w:tc>
          <w:tcPr>
            <w:tcW w:w="1524" w:type="dxa"/>
            <w:vAlign w:val="top"/>
          </w:tcPr>
          <w:p>
            <w:pPr>
              <w:pStyle w:val="6"/>
              <w:spacing w:before="107" w:line="197" w:lineRule="auto"/>
              <w:ind w:left="727"/>
            </w:pPr>
            <w:r>
              <w:t>/</w:t>
            </w:r>
          </w:p>
        </w:tc>
        <w:tc>
          <w:tcPr>
            <w:tcW w:w="1528" w:type="dxa"/>
            <w:vAlign w:val="top"/>
          </w:tcPr>
          <w:p>
            <w:pPr>
              <w:pStyle w:val="6"/>
              <w:spacing w:before="107" w:line="197" w:lineRule="auto"/>
              <w:ind w:left="729"/>
            </w:pPr>
            <w:r>
              <w:t>/</w:t>
            </w:r>
          </w:p>
        </w:tc>
        <w:tc>
          <w:tcPr>
            <w:tcW w:w="1516" w:type="dxa"/>
            <w:vAlign w:val="top"/>
          </w:tcPr>
          <w:p>
            <w:pPr>
              <w:pStyle w:val="6"/>
              <w:spacing w:before="107" w:line="197" w:lineRule="auto"/>
              <w:ind w:left="723"/>
            </w:pPr>
            <w:r>
              <w:t>/</w:t>
            </w:r>
          </w:p>
        </w:tc>
        <w:tc>
          <w:tcPr>
            <w:tcW w:w="1075" w:type="dxa"/>
            <w:tcBorders>
              <w:right w:val="nil"/>
            </w:tcBorders>
            <w:vAlign w:val="top"/>
          </w:tcPr>
          <w:p>
            <w:pPr>
              <w:spacing w:before="72" w:line="205"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22" w:type="dxa"/>
            <w:tcBorders>
              <w:left w:val="nil"/>
            </w:tcBorders>
            <w:vAlign w:val="top"/>
          </w:tcPr>
          <w:p>
            <w:pPr>
              <w:pStyle w:val="6"/>
              <w:spacing w:before="110" w:line="188" w:lineRule="auto"/>
              <w:ind w:left="267"/>
            </w:pPr>
            <w:r>
              <w:rPr>
                <w:spacing w:val="-2"/>
              </w:rPr>
              <w:t>21</w:t>
            </w:r>
          </w:p>
        </w:tc>
        <w:tc>
          <w:tcPr>
            <w:tcW w:w="1661" w:type="dxa"/>
            <w:vAlign w:val="top"/>
          </w:tcPr>
          <w:p>
            <w:pPr>
              <w:spacing w:before="72" w:line="204" w:lineRule="auto"/>
              <w:ind w:left="533"/>
              <w:rPr>
                <w:rFonts w:ascii="仿宋" w:hAnsi="仿宋" w:eastAsia="仿宋" w:cs="仿宋"/>
                <w:sz w:val="21"/>
                <w:szCs w:val="21"/>
              </w:rPr>
            </w:pPr>
            <w:r>
              <w:rPr>
                <w:rFonts w:ascii="仿宋" w:hAnsi="仿宋" w:eastAsia="仿宋" w:cs="仿宋"/>
                <w:spacing w:val="-6"/>
                <w:sz w:val="21"/>
                <w:szCs w:val="21"/>
              </w:rPr>
              <w:t>氰化物</w:t>
            </w:r>
          </w:p>
        </w:tc>
        <w:tc>
          <w:tcPr>
            <w:tcW w:w="1383" w:type="dxa"/>
            <w:vAlign w:val="top"/>
          </w:tcPr>
          <w:p>
            <w:pPr>
              <w:pStyle w:val="6"/>
              <w:spacing w:before="107" w:line="196" w:lineRule="auto"/>
              <w:ind w:left="657"/>
            </w:pPr>
            <w:r>
              <w:t>/</w:t>
            </w:r>
          </w:p>
        </w:tc>
        <w:tc>
          <w:tcPr>
            <w:tcW w:w="1519" w:type="dxa"/>
            <w:vAlign w:val="top"/>
          </w:tcPr>
          <w:p>
            <w:pPr>
              <w:pStyle w:val="6"/>
              <w:spacing w:before="107" w:line="196" w:lineRule="auto"/>
              <w:ind w:left="724"/>
            </w:pPr>
            <w:r>
              <w:t>/</w:t>
            </w:r>
          </w:p>
        </w:tc>
        <w:tc>
          <w:tcPr>
            <w:tcW w:w="1519" w:type="dxa"/>
            <w:vAlign w:val="top"/>
          </w:tcPr>
          <w:p>
            <w:pPr>
              <w:pStyle w:val="6"/>
              <w:spacing w:before="107" w:line="196" w:lineRule="auto"/>
              <w:ind w:left="725"/>
            </w:pPr>
            <w:r>
              <w:t>/</w:t>
            </w:r>
          </w:p>
        </w:tc>
        <w:tc>
          <w:tcPr>
            <w:tcW w:w="1527" w:type="dxa"/>
            <w:vAlign w:val="top"/>
          </w:tcPr>
          <w:p>
            <w:pPr>
              <w:pStyle w:val="6"/>
              <w:spacing w:before="107" w:line="196" w:lineRule="auto"/>
              <w:ind w:left="730"/>
            </w:pPr>
            <w:r>
              <w:t>/</w:t>
            </w:r>
          </w:p>
        </w:tc>
        <w:tc>
          <w:tcPr>
            <w:tcW w:w="1524" w:type="dxa"/>
            <w:vAlign w:val="top"/>
          </w:tcPr>
          <w:p>
            <w:pPr>
              <w:pStyle w:val="6"/>
              <w:spacing w:before="107" w:line="196" w:lineRule="auto"/>
              <w:ind w:left="727"/>
            </w:pPr>
            <w:r>
              <w:t>/</w:t>
            </w:r>
          </w:p>
        </w:tc>
        <w:tc>
          <w:tcPr>
            <w:tcW w:w="1528" w:type="dxa"/>
            <w:vAlign w:val="top"/>
          </w:tcPr>
          <w:p>
            <w:pPr>
              <w:pStyle w:val="6"/>
              <w:spacing w:before="107" w:line="196" w:lineRule="auto"/>
              <w:ind w:left="729"/>
            </w:pPr>
            <w:r>
              <w:t>/</w:t>
            </w:r>
          </w:p>
        </w:tc>
        <w:tc>
          <w:tcPr>
            <w:tcW w:w="1516" w:type="dxa"/>
            <w:vAlign w:val="top"/>
          </w:tcPr>
          <w:p>
            <w:pPr>
              <w:pStyle w:val="6"/>
              <w:spacing w:before="107" w:line="196" w:lineRule="auto"/>
              <w:ind w:left="723"/>
            </w:pPr>
            <w:r>
              <w:t>/</w:t>
            </w:r>
          </w:p>
        </w:tc>
        <w:tc>
          <w:tcPr>
            <w:tcW w:w="1075" w:type="dxa"/>
            <w:tcBorders>
              <w:right w:val="nil"/>
            </w:tcBorders>
            <w:vAlign w:val="top"/>
          </w:tcPr>
          <w:p>
            <w:pPr>
              <w:spacing w:before="72" w:line="204"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22" w:type="dxa"/>
            <w:tcBorders>
              <w:left w:val="nil"/>
            </w:tcBorders>
            <w:vAlign w:val="top"/>
          </w:tcPr>
          <w:p>
            <w:pPr>
              <w:pStyle w:val="6"/>
              <w:spacing w:before="112" w:line="188" w:lineRule="auto"/>
              <w:ind w:left="267"/>
            </w:pPr>
            <w:r>
              <w:rPr>
                <w:spacing w:val="-2"/>
              </w:rPr>
              <w:t>22</w:t>
            </w:r>
          </w:p>
        </w:tc>
        <w:tc>
          <w:tcPr>
            <w:tcW w:w="1661" w:type="dxa"/>
            <w:vAlign w:val="top"/>
          </w:tcPr>
          <w:p>
            <w:pPr>
              <w:spacing w:before="76" w:line="202" w:lineRule="auto"/>
              <w:ind w:left="525"/>
              <w:rPr>
                <w:rFonts w:ascii="仿宋" w:hAnsi="仿宋" w:eastAsia="仿宋" w:cs="仿宋"/>
                <w:sz w:val="21"/>
                <w:szCs w:val="21"/>
              </w:rPr>
            </w:pPr>
            <w:r>
              <w:rPr>
                <w:rFonts w:ascii="仿宋" w:hAnsi="仿宋" w:eastAsia="仿宋" w:cs="仿宋"/>
                <w:spacing w:val="-4"/>
                <w:sz w:val="21"/>
                <w:szCs w:val="21"/>
              </w:rPr>
              <w:t>挥发酚</w:t>
            </w:r>
          </w:p>
        </w:tc>
        <w:tc>
          <w:tcPr>
            <w:tcW w:w="1383" w:type="dxa"/>
            <w:vAlign w:val="top"/>
          </w:tcPr>
          <w:p>
            <w:pPr>
              <w:pStyle w:val="6"/>
              <w:spacing w:before="110" w:line="194" w:lineRule="auto"/>
              <w:ind w:left="657"/>
            </w:pPr>
            <w:r>
              <w:t>/</w:t>
            </w:r>
          </w:p>
        </w:tc>
        <w:tc>
          <w:tcPr>
            <w:tcW w:w="1519" w:type="dxa"/>
            <w:vAlign w:val="top"/>
          </w:tcPr>
          <w:p>
            <w:pPr>
              <w:pStyle w:val="6"/>
              <w:spacing w:before="110" w:line="194" w:lineRule="auto"/>
              <w:ind w:left="724"/>
            </w:pPr>
            <w:r>
              <w:t>/</w:t>
            </w:r>
          </w:p>
        </w:tc>
        <w:tc>
          <w:tcPr>
            <w:tcW w:w="1519" w:type="dxa"/>
            <w:vAlign w:val="top"/>
          </w:tcPr>
          <w:p>
            <w:pPr>
              <w:pStyle w:val="6"/>
              <w:spacing w:before="110" w:line="194" w:lineRule="auto"/>
              <w:ind w:left="725"/>
            </w:pPr>
            <w:r>
              <w:t>/</w:t>
            </w:r>
          </w:p>
        </w:tc>
        <w:tc>
          <w:tcPr>
            <w:tcW w:w="1527" w:type="dxa"/>
            <w:vAlign w:val="top"/>
          </w:tcPr>
          <w:p>
            <w:pPr>
              <w:pStyle w:val="6"/>
              <w:spacing w:before="110" w:line="194" w:lineRule="auto"/>
              <w:ind w:left="730"/>
            </w:pPr>
            <w:r>
              <w:t>/</w:t>
            </w:r>
          </w:p>
        </w:tc>
        <w:tc>
          <w:tcPr>
            <w:tcW w:w="1524" w:type="dxa"/>
            <w:vAlign w:val="top"/>
          </w:tcPr>
          <w:p>
            <w:pPr>
              <w:pStyle w:val="6"/>
              <w:spacing w:before="110" w:line="194" w:lineRule="auto"/>
              <w:ind w:left="727"/>
            </w:pPr>
            <w:r>
              <w:t>/</w:t>
            </w:r>
          </w:p>
        </w:tc>
        <w:tc>
          <w:tcPr>
            <w:tcW w:w="1528" w:type="dxa"/>
            <w:vAlign w:val="top"/>
          </w:tcPr>
          <w:p>
            <w:pPr>
              <w:pStyle w:val="6"/>
              <w:spacing w:before="110" w:line="194" w:lineRule="auto"/>
              <w:ind w:left="729"/>
            </w:pPr>
            <w:r>
              <w:t>/</w:t>
            </w:r>
          </w:p>
        </w:tc>
        <w:tc>
          <w:tcPr>
            <w:tcW w:w="1516" w:type="dxa"/>
            <w:vAlign w:val="top"/>
          </w:tcPr>
          <w:p>
            <w:pPr>
              <w:pStyle w:val="6"/>
              <w:spacing w:before="110" w:line="194" w:lineRule="auto"/>
              <w:ind w:left="723"/>
            </w:pPr>
            <w:r>
              <w:t>/</w:t>
            </w:r>
          </w:p>
        </w:tc>
        <w:tc>
          <w:tcPr>
            <w:tcW w:w="1075" w:type="dxa"/>
            <w:tcBorders>
              <w:right w:val="nil"/>
            </w:tcBorders>
            <w:vAlign w:val="top"/>
          </w:tcPr>
          <w:p>
            <w:pPr>
              <w:spacing w:before="76" w:line="202"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22" w:type="dxa"/>
            <w:tcBorders>
              <w:left w:val="nil"/>
            </w:tcBorders>
            <w:vAlign w:val="top"/>
          </w:tcPr>
          <w:p>
            <w:pPr>
              <w:pStyle w:val="6"/>
              <w:spacing w:before="112" w:line="188" w:lineRule="auto"/>
              <w:ind w:left="267"/>
            </w:pPr>
            <w:r>
              <w:rPr>
                <w:spacing w:val="-2"/>
              </w:rPr>
              <w:t>23</w:t>
            </w:r>
          </w:p>
        </w:tc>
        <w:tc>
          <w:tcPr>
            <w:tcW w:w="1661" w:type="dxa"/>
            <w:vAlign w:val="top"/>
          </w:tcPr>
          <w:p>
            <w:pPr>
              <w:spacing w:before="76" w:line="201" w:lineRule="auto"/>
              <w:ind w:left="637"/>
              <w:rPr>
                <w:rFonts w:ascii="仿宋" w:hAnsi="仿宋" w:eastAsia="仿宋" w:cs="仿宋"/>
                <w:sz w:val="21"/>
                <w:szCs w:val="21"/>
              </w:rPr>
            </w:pPr>
            <w:r>
              <w:rPr>
                <w:rFonts w:ascii="仿宋" w:hAnsi="仿宋" w:eastAsia="仿宋" w:cs="仿宋"/>
                <w:spacing w:val="-6"/>
                <w:sz w:val="21"/>
                <w:szCs w:val="21"/>
              </w:rPr>
              <w:t>氨氮</w:t>
            </w:r>
          </w:p>
        </w:tc>
        <w:tc>
          <w:tcPr>
            <w:tcW w:w="1383" w:type="dxa"/>
            <w:vAlign w:val="top"/>
          </w:tcPr>
          <w:p>
            <w:pPr>
              <w:pStyle w:val="6"/>
              <w:spacing w:before="112" w:line="188" w:lineRule="auto"/>
              <w:ind w:left="269"/>
            </w:pPr>
            <w:r>
              <w:rPr>
                <w:spacing w:val="-1"/>
              </w:rPr>
              <w:t>0.56~0.72</w:t>
            </w:r>
          </w:p>
        </w:tc>
        <w:tc>
          <w:tcPr>
            <w:tcW w:w="1519" w:type="dxa"/>
            <w:vAlign w:val="top"/>
          </w:tcPr>
          <w:p>
            <w:pPr>
              <w:pStyle w:val="6"/>
              <w:spacing w:before="110" w:line="193" w:lineRule="auto"/>
              <w:ind w:left="724"/>
            </w:pPr>
            <w:r>
              <w:t>/</w:t>
            </w:r>
          </w:p>
        </w:tc>
        <w:tc>
          <w:tcPr>
            <w:tcW w:w="1519" w:type="dxa"/>
            <w:vAlign w:val="top"/>
          </w:tcPr>
          <w:p>
            <w:pPr>
              <w:pStyle w:val="6"/>
              <w:spacing w:before="112" w:line="188" w:lineRule="auto"/>
              <w:ind w:left="233"/>
            </w:pPr>
            <w:r>
              <w:rPr>
                <w:spacing w:val="-1"/>
              </w:rPr>
              <w:t>0.176~0.192</w:t>
            </w:r>
          </w:p>
        </w:tc>
        <w:tc>
          <w:tcPr>
            <w:tcW w:w="1527" w:type="dxa"/>
            <w:vAlign w:val="top"/>
          </w:tcPr>
          <w:p>
            <w:pPr>
              <w:pStyle w:val="6"/>
              <w:spacing w:before="112" w:line="188" w:lineRule="auto"/>
              <w:ind w:left="237"/>
            </w:pPr>
            <w:r>
              <w:rPr>
                <w:spacing w:val="-1"/>
              </w:rPr>
              <w:t>0.052~0.062</w:t>
            </w:r>
          </w:p>
        </w:tc>
        <w:tc>
          <w:tcPr>
            <w:tcW w:w="1524" w:type="dxa"/>
            <w:vAlign w:val="top"/>
          </w:tcPr>
          <w:p>
            <w:pPr>
              <w:pStyle w:val="6"/>
              <w:spacing w:before="110" w:line="193" w:lineRule="auto"/>
              <w:ind w:left="727"/>
            </w:pPr>
            <w:r>
              <w:t>/</w:t>
            </w:r>
          </w:p>
        </w:tc>
        <w:tc>
          <w:tcPr>
            <w:tcW w:w="1528" w:type="dxa"/>
            <w:vAlign w:val="top"/>
          </w:tcPr>
          <w:p>
            <w:pPr>
              <w:pStyle w:val="6"/>
              <w:spacing w:before="112" w:line="188" w:lineRule="auto"/>
              <w:ind w:left="289"/>
            </w:pPr>
            <w:r>
              <w:rPr>
                <w:spacing w:val="-1"/>
              </w:rPr>
              <w:t>0.284~0.31</w:t>
            </w:r>
          </w:p>
        </w:tc>
        <w:tc>
          <w:tcPr>
            <w:tcW w:w="1516" w:type="dxa"/>
            <w:vAlign w:val="top"/>
          </w:tcPr>
          <w:p>
            <w:pPr>
              <w:pStyle w:val="6"/>
              <w:spacing w:before="112" w:line="188" w:lineRule="auto"/>
              <w:ind w:left="283"/>
            </w:pPr>
            <w:r>
              <w:rPr>
                <w:spacing w:val="-1"/>
              </w:rPr>
              <w:t>0.278~0.31</w:t>
            </w:r>
          </w:p>
        </w:tc>
        <w:tc>
          <w:tcPr>
            <w:tcW w:w="1075" w:type="dxa"/>
            <w:tcBorders>
              <w:right w:val="nil"/>
            </w:tcBorders>
            <w:vAlign w:val="top"/>
          </w:tcPr>
          <w:p>
            <w:pPr>
              <w:spacing w:before="76" w:line="201"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trPr>
        <w:tc>
          <w:tcPr>
            <w:tcW w:w="722" w:type="dxa"/>
            <w:tcBorders>
              <w:left w:val="nil"/>
              <w:bottom w:val="single" w:color="000000" w:sz="12" w:space="0"/>
            </w:tcBorders>
            <w:vAlign w:val="top"/>
          </w:tcPr>
          <w:p>
            <w:pPr>
              <w:pStyle w:val="6"/>
              <w:spacing w:before="115" w:line="188" w:lineRule="auto"/>
              <w:ind w:left="267"/>
            </w:pPr>
            <w:r>
              <w:rPr>
                <w:spacing w:val="-2"/>
              </w:rPr>
              <w:t>24</w:t>
            </w:r>
          </w:p>
        </w:tc>
        <w:tc>
          <w:tcPr>
            <w:tcW w:w="1661" w:type="dxa"/>
            <w:tcBorders>
              <w:bottom w:val="single" w:color="000000" w:sz="12" w:space="0"/>
            </w:tcBorders>
            <w:vAlign w:val="top"/>
          </w:tcPr>
          <w:p>
            <w:pPr>
              <w:spacing w:before="78" w:line="217" w:lineRule="auto"/>
              <w:ind w:left="638"/>
              <w:rPr>
                <w:rFonts w:ascii="仿宋" w:hAnsi="仿宋" w:eastAsia="仿宋" w:cs="仿宋"/>
                <w:sz w:val="21"/>
                <w:szCs w:val="21"/>
              </w:rPr>
            </w:pPr>
            <w:r>
              <w:rPr>
                <w:rFonts w:ascii="仿宋" w:hAnsi="仿宋" w:eastAsia="仿宋" w:cs="仿宋"/>
                <w:spacing w:val="-6"/>
                <w:sz w:val="21"/>
                <w:szCs w:val="21"/>
              </w:rPr>
              <w:t>总磷</w:t>
            </w:r>
          </w:p>
        </w:tc>
        <w:tc>
          <w:tcPr>
            <w:tcW w:w="1383" w:type="dxa"/>
            <w:tcBorders>
              <w:bottom w:val="single" w:color="000000" w:sz="12" w:space="0"/>
            </w:tcBorders>
            <w:vAlign w:val="top"/>
          </w:tcPr>
          <w:p>
            <w:pPr>
              <w:pStyle w:val="6"/>
              <w:spacing w:before="113" w:line="214" w:lineRule="auto"/>
              <w:ind w:left="375"/>
            </w:pPr>
            <w:r>
              <w:rPr>
                <w:spacing w:val="-1"/>
              </w:rPr>
              <w:t>0.2~0.3</w:t>
            </w:r>
          </w:p>
        </w:tc>
        <w:tc>
          <w:tcPr>
            <w:tcW w:w="1519" w:type="dxa"/>
            <w:tcBorders>
              <w:bottom w:val="single" w:color="000000" w:sz="12" w:space="0"/>
            </w:tcBorders>
            <w:vAlign w:val="top"/>
          </w:tcPr>
          <w:p>
            <w:pPr>
              <w:pStyle w:val="6"/>
              <w:spacing w:before="113" w:line="214" w:lineRule="auto"/>
              <w:ind w:left="442"/>
            </w:pPr>
            <w:r>
              <w:rPr>
                <w:spacing w:val="-1"/>
              </w:rPr>
              <w:t>0.3~0.4</w:t>
            </w:r>
          </w:p>
        </w:tc>
        <w:tc>
          <w:tcPr>
            <w:tcW w:w="1519" w:type="dxa"/>
            <w:tcBorders>
              <w:bottom w:val="single" w:color="000000" w:sz="12" w:space="0"/>
            </w:tcBorders>
            <w:vAlign w:val="top"/>
          </w:tcPr>
          <w:p>
            <w:pPr>
              <w:pStyle w:val="6"/>
              <w:spacing w:before="113" w:line="214" w:lineRule="auto"/>
              <w:ind w:left="443"/>
            </w:pPr>
            <w:r>
              <w:rPr>
                <w:spacing w:val="-1"/>
              </w:rPr>
              <w:t>0.3~0.4</w:t>
            </w:r>
          </w:p>
        </w:tc>
        <w:tc>
          <w:tcPr>
            <w:tcW w:w="1527" w:type="dxa"/>
            <w:tcBorders>
              <w:bottom w:val="single" w:color="000000" w:sz="12" w:space="0"/>
            </w:tcBorders>
            <w:vAlign w:val="top"/>
          </w:tcPr>
          <w:p>
            <w:pPr>
              <w:pStyle w:val="6"/>
              <w:spacing w:before="115" w:line="188" w:lineRule="auto"/>
              <w:ind w:left="447"/>
            </w:pPr>
            <w:r>
              <w:rPr>
                <w:spacing w:val="-1"/>
              </w:rPr>
              <w:t>0.2~0.3</w:t>
            </w:r>
          </w:p>
        </w:tc>
        <w:tc>
          <w:tcPr>
            <w:tcW w:w="1524" w:type="dxa"/>
            <w:tcBorders>
              <w:bottom w:val="single" w:color="000000" w:sz="12" w:space="0"/>
            </w:tcBorders>
            <w:vAlign w:val="top"/>
          </w:tcPr>
          <w:p>
            <w:pPr>
              <w:pStyle w:val="6"/>
              <w:spacing w:before="115" w:line="188" w:lineRule="auto"/>
              <w:ind w:left="445"/>
            </w:pPr>
            <w:r>
              <w:rPr>
                <w:spacing w:val="-1"/>
              </w:rPr>
              <w:t>0.2~0.3</w:t>
            </w:r>
          </w:p>
        </w:tc>
        <w:tc>
          <w:tcPr>
            <w:tcW w:w="1528" w:type="dxa"/>
            <w:tcBorders>
              <w:bottom w:val="single" w:color="000000" w:sz="12" w:space="0"/>
            </w:tcBorders>
            <w:vAlign w:val="top"/>
          </w:tcPr>
          <w:p>
            <w:pPr>
              <w:pStyle w:val="6"/>
              <w:spacing w:before="115" w:line="188" w:lineRule="auto"/>
              <w:ind w:left="446"/>
            </w:pPr>
            <w:r>
              <w:rPr>
                <w:spacing w:val="-1"/>
              </w:rPr>
              <w:t>0.4~0.5</w:t>
            </w:r>
          </w:p>
        </w:tc>
        <w:tc>
          <w:tcPr>
            <w:tcW w:w="1516" w:type="dxa"/>
            <w:tcBorders>
              <w:bottom w:val="single" w:color="000000" w:sz="12" w:space="0"/>
            </w:tcBorders>
            <w:vAlign w:val="top"/>
          </w:tcPr>
          <w:p>
            <w:pPr>
              <w:pStyle w:val="6"/>
              <w:spacing w:before="113" w:line="214" w:lineRule="auto"/>
              <w:ind w:left="335"/>
            </w:pPr>
            <w:r>
              <w:rPr>
                <w:spacing w:val="-1"/>
              </w:rPr>
              <w:t>0.48~0.64</w:t>
            </w:r>
          </w:p>
        </w:tc>
        <w:tc>
          <w:tcPr>
            <w:tcW w:w="1075" w:type="dxa"/>
            <w:tcBorders>
              <w:bottom w:val="single" w:color="000000" w:sz="12" w:space="0"/>
              <w:right w:val="nil"/>
            </w:tcBorders>
            <w:vAlign w:val="top"/>
          </w:tcPr>
          <w:p>
            <w:pPr>
              <w:spacing w:before="79" w:line="218" w:lineRule="auto"/>
              <w:ind w:left="338"/>
              <w:rPr>
                <w:rFonts w:ascii="仿宋" w:hAnsi="仿宋" w:eastAsia="仿宋" w:cs="仿宋"/>
                <w:sz w:val="21"/>
                <w:szCs w:val="21"/>
              </w:rPr>
            </w:pPr>
            <w:r>
              <w:rPr>
                <w:rFonts w:ascii="仿宋" w:hAnsi="仿宋" w:eastAsia="仿宋" w:cs="仿宋"/>
                <w:spacing w:val="-5"/>
                <w:sz w:val="21"/>
                <w:szCs w:val="21"/>
              </w:rPr>
              <w:t>达标</w:t>
            </w:r>
          </w:p>
        </w:tc>
      </w:tr>
    </w:tbl>
    <w:p>
      <w:pPr>
        <w:rPr>
          <w:rFonts w:ascii="Arial"/>
          <w:sz w:val="21"/>
        </w:rPr>
      </w:pPr>
    </w:p>
    <w:p>
      <w:pPr>
        <w:rPr>
          <w:rFonts w:ascii="Arial" w:hAnsi="Arial" w:eastAsia="Arial" w:cs="Arial"/>
          <w:sz w:val="21"/>
          <w:szCs w:val="21"/>
        </w:rPr>
        <w:sectPr>
          <w:footerReference r:id="rId190" w:type="default"/>
          <w:pgSz w:w="16839" w:h="11907"/>
          <w:pgMar w:top="1156" w:right="1408" w:bottom="1373" w:left="1410" w:header="881" w:footer="1210" w:gutter="0"/>
        </w:sectPr>
      </w:pPr>
    </w:p>
    <w:p>
      <w:pPr>
        <w:spacing w:before="80"/>
      </w:pPr>
    </w:p>
    <w:p>
      <w:pPr>
        <w:spacing w:before="80"/>
      </w:pPr>
    </w:p>
    <w:tbl>
      <w:tblPr>
        <w:tblStyle w:val="5"/>
        <w:tblW w:w="13974"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2"/>
        <w:gridCol w:w="1661"/>
        <w:gridCol w:w="1383"/>
        <w:gridCol w:w="1519"/>
        <w:gridCol w:w="1519"/>
        <w:gridCol w:w="1527"/>
        <w:gridCol w:w="1524"/>
        <w:gridCol w:w="1528"/>
        <w:gridCol w:w="1516"/>
        <w:gridCol w:w="10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722" w:type="dxa"/>
            <w:vMerge w:val="restart"/>
            <w:tcBorders>
              <w:top w:val="single" w:color="000000" w:sz="12" w:space="0"/>
              <w:left w:val="nil"/>
              <w:bottom w:val="nil"/>
            </w:tcBorders>
            <w:vAlign w:val="top"/>
          </w:tcPr>
          <w:p>
            <w:pPr>
              <w:spacing w:line="455" w:lineRule="auto"/>
              <w:rPr>
                <w:rFonts w:ascii="Arial"/>
                <w:sz w:val="21"/>
              </w:rPr>
            </w:pPr>
          </w:p>
          <w:p>
            <w:pPr>
              <w:spacing w:before="68" w:line="218" w:lineRule="auto"/>
              <w:ind w:left="17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1661" w:type="dxa"/>
            <w:vMerge w:val="restart"/>
            <w:tcBorders>
              <w:top w:val="single" w:color="000000" w:sz="12" w:space="0"/>
              <w:bottom w:val="nil"/>
            </w:tcBorders>
            <w:vAlign w:val="top"/>
          </w:tcPr>
          <w:p>
            <w:pPr>
              <w:spacing w:line="455" w:lineRule="auto"/>
              <w:rPr>
                <w:rFonts w:ascii="Arial"/>
                <w:sz w:val="21"/>
              </w:rPr>
            </w:pPr>
          </w:p>
          <w:p>
            <w:pPr>
              <w:spacing w:before="68" w:line="219" w:lineRule="auto"/>
              <w:ind w:left="42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监测因子</w:t>
            </w:r>
          </w:p>
        </w:tc>
        <w:tc>
          <w:tcPr>
            <w:tcW w:w="10516" w:type="dxa"/>
            <w:gridSpan w:val="7"/>
            <w:tcBorders>
              <w:top w:val="single" w:color="000000" w:sz="12" w:space="0"/>
            </w:tcBorders>
            <w:vAlign w:val="top"/>
          </w:tcPr>
          <w:p>
            <w:pPr>
              <w:spacing w:before="50" w:line="219" w:lineRule="auto"/>
              <w:ind w:left="484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水质指数</w:t>
            </w:r>
          </w:p>
        </w:tc>
        <w:tc>
          <w:tcPr>
            <w:tcW w:w="1075" w:type="dxa"/>
            <w:vMerge w:val="restart"/>
            <w:tcBorders>
              <w:top w:val="single" w:color="000000" w:sz="12" w:space="0"/>
              <w:bottom w:val="nil"/>
              <w:right w:val="nil"/>
            </w:tcBorders>
            <w:vAlign w:val="top"/>
          </w:tcPr>
          <w:p>
            <w:pPr>
              <w:spacing w:line="455" w:lineRule="auto"/>
              <w:rPr>
                <w:rFonts w:ascii="Arial"/>
                <w:sz w:val="21"/>
              </w:rPr>
            </w:pPr>
          </w:p>
          <w:p>
            <w:pPr>
              <w:spacing w:before="68" w:line="218" w:lineRule="auto"/>
              <w:ind w:left="126"/>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3" w:hRule="atLeast"/>
        </w:trPr>
        <w:tc>
          <w:tcPr>
            <w:tcW w:w="722" w:type="dxa"/>
            <w:vMerge w:val="continue"/>
            <w:tcBorders>
              <w:top w:val="nil"/>
              <w:left w:val="nil"/>
            </w:tcBorders>
            <w:vAlign w:val="top"/>
          </w:tcPr>
          <w:p>
            <w:pPr>
              <w:rPr>
                <w:rFonts w:ascii="Arial"/>
                <w:sz w:val="21"/>
              </w:rPr>
            </w:pPr>
          </w:p>
        </w:tc>
        <w:tc>
          <w:tcPr>
            <w:tcW w:w="1661" w:type="dxa"/>
            <w:vMerge w:val="continue"/>
            <w:tcBorders>
              <w:top w:val="nil"/>
            </w:tcBorders>
            <w:vAlign w:val="top"/>
          </w:tcPr>
          <w:p>
            <w:pPr>
              <w:rPr>
                <w:rFonts w:ascii="Arial"/>
                <w:sz w:val="21"/>
              </w:rPr>
            </w:pPr>
          </w:p>
        </w:tc>
        <w:tc>
          <w:tcPr>
            <w:tcW w:w="1383" w:type="dxa"/>
            <w:vAlign w:val="top"/>
          </w:tcPr>
          <w:p>
            <w:pPr>
              <w:spacing w:before="51" w:line="217" w:lineRule="auto"/>
              <w:ind w:left="17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昔木乍箐与</w:t>
            </w:r>
          </w:p>
          <w:p>
            <w:pPr>
              <w:spacing w:before="65" w:line="219" w:lineRule="auto"/>
              <w:ind w:left="17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见簸箐交汇</w:t>
            </w:r>
          </w:p>
          <w:p>
            <w:pPr>
              <w:spacing w:before="100" w:line="179" w:lineRule="auto"/>
              <w:ind w:left="632"/>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口</w:t>
            </w:r>
          </w:p>
        </w:tc>
        <w:tc>
          <w:tcPr>
            <w:tcW w:w="1519" w:type="dxa"/>
            <w:vAlign w:val="top"/>
          </w:tcPr>
          <w:p>
            <w:pPr>
              <w:spacing w:before="207" w:line="247" w:lineRule="auto"/>
              <w:ind w:left="561" w:right="123" w:hanging="42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六姑乍箐取水</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坝处</w:t>
            </w:r>
          </w:p>
        </w:tc>
        <w:tc>
          <w:tcPr>
            <w:tcW w:w="1519" w:type="dxa"/>
            <w:vAlign w:val="top"/>
          </w:tcPr>
          <w:p>
            <w:pPr>
              <w:spacing w:line="293" w:lineRule="auto"/>
              <w:rPr>
                <w:rFonts w:ascii="Arial"/>
                <w:sz w:val="21"/>
              </w:rPr>
            </w:pPr>
          </w:p>
          <w:p>
            <w:pPr>
              <w:spacing w:before="68" w:line="219" w:lineRule="auto"/>
              <w:ind w:left="45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万马河</w:t>
            </w:r>
          </w:p>
        </w:tc>
        <w:tc>
          <w:tcPr>
            <w:tcW w:w="1527" w:type="dxa"/>
            <w:vAlign w:val="top"/>
          </w:tcPr>
          <w:p>
            <w:pPr>
              <w:spacing w:line="293" w:lineRule="auto"/>
              <w:rPr>
                <w:rFonts w:ascii="Arial"/>
                <w:sz w:val="21"/>
              </w:rPr>
            </w:pPr>
          </w:p>
          <w:p>
            <w:pPr>
              <w:spacing w:before="68" w:line="219" w:lineRule="auto"/>
              <w:ind w:left="35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者纳么河</w:t>
            </w:r>
          </w:p>
        </w:tc>
        <w:tc>
          <w:tcPr>
            <w:tcW w:w="1524" w:type="dxa"/>
            <w:vAlign w:val="top"/>
          </w:tcPr>
          <w:p>
            <w:pPr>
              <w:spacing w:line="293" w:lineRule="auto"/>
              <w:rPr>
                <w:rFonts w:ascii="Arial"/>
                <w:sz w:val="21"/>
              </w:rPr>
            </w:pPr>
          </w:p>
          <w:p>
            <w:pPr>
              <w:spacing w:before="68" w:line="219" w:lineRule="auto"/>
              <w:ind w:left="45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六苴河</w:t>
            </w:r>
          </w:p>
        </w:tc>
        <w:tc>
          <w:tcPr>
            <w:tcW w:w="1528" w:type="dxa"/>
            <w:vAlign w:val="top"/>
          </w:tcPr>
          <w:p>
            <w:pPr>
              <w:spacing w:before="51" w:line="246" w:lineRule="auto"/>
              <w:ind w:left="363" w:right="128" w:hanging="22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输水线汇入碧</w:t>
            </w:r>
            <w:r>
              <w:rPr>
                <w:rFonts w:ascii="仿宋" w:hAnsi="仿宋" w:eastAsia="仿宋" w:cs="仿宋"/>
                <w:spacing w:val="4"/>
                <w:sz w:val="21"/>
                <w:szCs w:val="21"/>
              </w:rPr>
              <w:t xml:space="preserve"> </w:t>
            </w:r>
            <w:r>
              <w:rPr>
                <w:rFonts w:ascii="仿宋" w:hAnsi="仿宋" w:eastAsia="仿宋" w:cs="仿宋"/>
                <w:spacing w:val="-5"/>
                <w:sz w:val="21"/>
                <w:szCs w:val="21"/>
                <w14:textOutline w14:w="3810" w14:cap="flat" w14:cmpd="sng">
                  <w14:solidFill>
                    <w14:srgbClr w14:val="000000"/>
                  </w14:solidFill>
                  <w14:prstDash w14:val="solid"/>
                  <w14:miter w14:val="0"/>
                </w14:textOutline>
              </w:rPr>
              <w:t>么水库前</w:t>
            </w:r>
          </w:p>
          <w:p>
            <w:pPr>
              <w:pStyle w:val="6"/>
              <w:spacing w:before="65" w:line="217" w:lineRule="auto"/>
              <w:ind w:left="388"/>
              <w:rPr>
                <w:rFonts w:ascii="仿宋" w:hAnsi="仿宋" w:eastAsia="仿宋" w:cs="仿宋"/>
              </w:rPr>
            </w:pPr>
            <w:r>
              <w:rPr>
                <w:b/>
                <w:bCs/>
                <w:spacing w:val="-2"/>
              </w:rPr>
              <w:t>500m</w:t>
            </w:r>
            <w:r>
              <w:rPr>
                <w:b/>
                <w:bCs/>
                <w:spacing w:val="17"/>
                <w:w w:val="101"/>
              </w:rPr>
              <w:t xml:space="preserve"> </w:t>
            </w:r>
            <w:r>
              <w:rPr>
                <w:rFonts w:ascii="仿宋" w:hAnsi="仿宋" w:eastAsia="仿宋" w:cs="仿宋"/>
                <w:spacing w:val="-2"/>
                <w14:textOutline w14:w="3810" w14:cap="flat" w14:cmpd="sng">
                  <w14:solidFill>
                    <w14:srgbClr w14:val="000000"/>
                  </w14:solidFill>
                  <w14:prstDash w14:val="solid"/>
                  <w14:miter w14:val="0"/>
                </w14:textOutline>
              </w:rPr>
              <w:t>处</w:t>
            </w:r>
          </w:p>
        </w:tc>
        <w:tc>
          <w:tcPr>
            <w:tcW w:w="1516" w:type="dxa"/>
            <w:vAlign w:val="top"/>
          </w:tcPr>
          <w:p>
            <w:pPr>
              <w:spacing w:line="293" w:lineRule="auto"/>
              <w:rPr>
                <w:rFonts w:ascii="Arial"/>
                <w:sz w:val="21"/>
              </w:rPr>
            </w:pPr>
          </w:p>
          <w:p>
            <w:pPr>
              <w:spacing w:before="68" w:line="218" w:lineRule="auto"/>
              <w:ind w:left="35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碧么水库</w:t>
            </w:r>
          </w:p>
        </w:tc>
        <w:tc>
          <w:tcPr>
            <w:tcW w:w="1075" w:type="dxa"/>
            <w:vMerge w:val="continue"/>
            <w:tcBorders>
              <w:top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22" w:type="dxa"/>
            <w:tcBorders>
              <w:left w:val="nil"/>
            </w:tcBorders>
            <w:vAlign w:val="top"/>
          </w:tcPr>
          <w:p>
            <w:pPr>
              <w:pStyle w:val="6"/>
              <w:spacing w:before="96" w:line="188" w:lineRule="auto"/>
              <w:ind w:left="267"/>
            </w:pPr>
            <w:r>
              <w:rPr>
                <w:spacing w:val="-2"/>
              </w:rPr>
              <w:t>25</w:t>
            </w:r>
          </w:p>
        </w:tc>
        <w:tc>
          <w:tcPr>
            <w:tcW w:w="1661" w:type="dxa"/>
            <w:vAlign w:val="top"/>
          </w:tcPr>
          <w:p>
            <w:pPr>
              <w:spacing w:before="60" w:line="214" w:lineRule="auto"/>
              <w:ind w:left="216"/>
              <w:rPr>
                <w:rFonts w:ascii="仿宋" w:hAnsi="仿宋" w:eastAsia="仿宋" w:cs="仿宋"/>
                <w:sz w:val="21"/>
                <w:szCs w:val="21"/>
              </w:rPr>
            </w:pPr>
            <w:r>
              <w:rPr>
                <w:rFonts w:ascii="仿宋" w:hAnsi="仿宋" w:eastAsia="仿宋" w:cs="仿宋"/>
                <w:spacing w:val="-3"/>
                <w:sz w:val="21"/>
                <w:szCs w:val="21"/>
              </w:rPr>
              <w:t>高锰酸盐指数</w:t>
            </w:r>
          </w:p>
        </w:tc>
        <w:tc>
          <w:tcPr>
            <w:tcW w:w="1383" w:type="dxa"/>
            <w:vAlign w:val="top"/>
          </w:tcPr>
          <w:p>
            <w:pPr>
              <w:pStyle w:val="6"/>
              <w:spacing w:before="94" w:line="208" w:lineRule="auto"/>
              <w:ind w:left="216"/>
            </w:pPr>
            <w:r>
              <w:rPr>
                <w:spacing w:val="-1"/>
              </w:rPr>
              <w:t>0.25~0.275</w:t>
            </w:r>
          </w:p>
        </w:tc>
        <w:tc>
          <w:tcPr>
            <w:tcW w:w="1519" w:type="dxa"/>
            <w:vAlign w:val="top"/>
          </w:tcPr>
          <w:p>
            <w:pPr>
              <w:pStyle w:val="6"/>
              <w:spacing w:before="96" w:line="188" w:lineRule="auto"/>
              <w:ind w:left="284"/>
            </w:pPr>
            <w:r>
              <w:rPr>
                <w:spacing w:val="-1"/>
              </w:rPr>
              <w:t>0.15~0.175</w:t>
            </w:r>
          </w:p>
        </w:tc>
        <w:tc>
          <w:tcPr>
            <w:tcW w:w="1519" w:type="dxa"/>
            <w:vAlign w:val="top"/>
          </w:tcPr>
          <w:p>
            <w:pPr>
              <w:pStyle w:val="6"/>
              <w:spacing w:before="96" w:line="188" w:lineRule="auto"/>
              <w:ind w:left="525"/>
            </w:pPr>
            <w:r>
              <w:rPr>
                <w:spacing w:val="-2"/>
              </w:rPr>
              <w:t>0.225</w:t>
            </w:r>
          </w:p>
        </w:tc>
        <w:tc>
          <w:tcPr>
            <w:tcW w:w="1527" w:type="dxa"/>
            <w:vAlign w:val="top"/>
          </w:tcPr>
          <w:p>
            <w:pPr>
              <w:pStyle w:val="6"/>
              <w:spacing w:before="94" w:line="208" w:lineRule="auto"/>
              <w:ind w:left="290"/>
            </w:pPr>
            <w:r>
              <w:rPr>
                <w:spacing w:val="-1"/>
              </w:rPr>
              <w:t>0.25~0.275</w:t>
            </w:r>
          </w:p>
        </w:tc>
        <w:tc>
          <w:tcPr>
            <w:tcW w:w="1524" w:type="dxa"/>
            <w:vAlign w:val="top"/>
          </w:tcPr>
          <w:p>
            <w:pPr>
              <w:pStyle w:val="6"/>
              <w:spacing w:before="94" w:line="208" w:lineRule="auto"/>
              <w:ind w:left="339"/>
            </w:pPr>
            <w:r>
              <w:rPr>
                <w:spacing w:val="-1"/>
              </w:rPr>
              <w:t>0.2~0.225</w:t>
            </w:r>
          </w:p>
        </w:tc>
        <w:tc>
          <w:tcPr>
            <w:tcW w:w="1528" w:type="dxa"/>
            <w:vAlign w:val="top"/>
          </w:tcPr>
          <w:p>
            <w:pPr>
              <w:pStyle w:val="6"/>
              <w:spacing w:before="94" w:line="208" w:lineRule="auto"/>
              <w:ind w:left="342"/>
            </w:pPr>
            <w:r>
              <w:rPr>
                <w:spacing w:val="-1"/>
              </w:rPr>
              <w:t>0.9~0.925</w:t>
            </w:r>
          </w:p>
        </w:tc>
        <w:tc>
          <w:tcPr>
            <w:tcW w:w="1516" w:type="dxa"/>
            <w:vAlign w:val="top"/>
          </w:tcPr>
          <w:p>
            <w:pPr>
              <w:pStyle w:val="6"/>
              <w:spacing w:before="94" w:line="208" w:lineRule="auto"/>
              <w:ind w:left="283"/>
            </w:pPr>
            <w:r>
              <w:rPr>
                <w:spacing w:val="-1"/>
              </w:rPr>
              <w:t>0.85~0.875</w:t>
            </w:r>
          </w:p>
        </w:tc>
        <w:tc>
          <w:tcPr>
            <w:tcW w:w="1075" w:type="dxa"/>
            <w:tcBorders>
              <w:right w:val="nil"/>
            </w:tcBorders>
            <w:vAlign w:val="top"/>
          </w:tcPr>
          <w:p>
            <w:pPr>
              <w:spacing w:before="60" w:line="214"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722" w:type="dxa"/>
            <w:tcBorders>
              <w:left w:val="nil"/>
            </w:tcBorders>
            <w:vAlign w:val="top"/>
          </w:tcPr>
          <w:p>
            <w:pPr>
              <w:pStyle w:val="6"/>
              <w:spacing w:before="99" w:line="188" w:lineRule="auto"/>
              <w:ind w:left="267"/>
            </w:pPr>
            <w:r>
              <w:rPr>
                <w:spacing w:val="-2"/>
              </w:rPr>
              <w:t>26</w:t>
            </w:r>
          </w:p>
        </w:tc>
        <w:tc>
          <w:tcPr>
            <w:tcW w:w="1661" w:type="dxa"/>
            <w:vAlign w:val="top"/>
          </w:tcPr>
          <w:p>
            <w:pPr>
              <w:spacing w:before="62" w:line="211" w:lineRule="auto"/>
              <w:ind w:left="638"/>
              <w:rPr>
                <w:rFonts w:ascii="仿宋" w:hAnsi="仿宋" w:eastAsia="仿宋" w:cs="仿宋"/>
                <w:sz w:val="21"/>
                <w:szCs w:val="21"/>
              </w:rPr>
            </w:pPr>
            <w:r>
              <w:rPr>
                <w:rFonts w:ascii="仿宋" w:hAnsi="仿宋" w:eastAsia="仿宋" w:cs="仿宋"/>
                <w:spacing w:val="-6"/>
                <w:sz w:val="21"/>
                <w:szCs w:val="21"/>
              </w:rPr>
              <w:t>总氮</w:t>
            </w:r>
          </w:p>
        </w:tc>
        <w:tc>
          <w:tcPr>
            <w:tcW w:w="1383" w:type="dxa"/>
            <w:vAlign w:val="top"/>
          </w:tcPr>
          <w:p>
            <w:pPr>
              <w:pStyle w:val="6"/>
              <w:spacing w:before="97" w:line="204" w:lineRule="auto"/>
              <w:ind w:left="375"/>
            </w:pPr>
            <w:r>
              <w:rPr>
                <w:spacing w:val="-1"/>
              </w:rPr>
              <w:t>0.5~0.6</w:t>
            </w:r>
          </w:p>
        </w:tc>
        <w:tc>
          <w:tcPr>
            <w:tcW w:w="1519" w:type="dxa"/>
            <w:vAlign w:val="top"/>
          </w:tcPr>
          <w:p>
            <w:pPr>
              <w:pStyle w:val="6"/>
              <w:spacing w:before="97" w:line="204" w:lineRule="auto"/>
              <w:ind w:left="390"/>
            </w:pPr>
            <w:r>
              <w:rPr>
                <w:spacing w:val="-1"/>
              </w:rPr>
              <w:t>0.44~0.5</w:t>
            </w:r>
          </w:p>
        </w:tc>
        <w:tc>
          <w:tcPr>
            <w:tcW w:w="1519" w:type="dxa"/>
            <w:vAlign w:val="top"/>
          </w:tcPr>
          <w:p>
            <w:pPr>
              <w:pStyle w:val="6"/>
              <w:spacing w:before="97" w:line="204" w:lineRule="auto"/>
              <w:ind w:left="390"/>
            </w:pPr>
            <w:r>
              <w:rPr>
                <w:spacing w:val="-1"/>
              </w:rPr>
              <w:t>0.7~0.82</w:t>
            </w:r>
          </w:p>
        </w:tc>
        <w:tc>
          <w:tcPr>
            <w:tcW w:w="1527" w:type="dxa"/>
            <w:vAlign w:val="top"/>
          </w:tcPr>
          <w:p>
            <w:pPr>
              <w:pStyle w:val="6"/>
              <w:spacing w:before="99" w:line="188" w:lineRule="auto"/>
              <w:ind w:left="290"/>
            </w:pPr>
            <w:r>
              <w:rPr>
                <w:spacing w:val="-1"/>
              </w:rPr>
              <w:t>0.82~0.096</w:t>
            </w:r>
          </w:p>
        </w:tc>
        <w:tc>
          <w:tcPr>
            <w:tcW w:w="1524" w:type="dxa"/>
            <w:vAlign w:val="top"/>
          </w:tcPr>
          <w:p>
            <w:pPr>
              <w:pStyle w:val="6"/>
              <w:spacing w:before="97" w:line="204" w:lineRule="auto"/>
              <w:ind w:left="339"/>
            </w:pPr>
            <w:r>
              <w:rPr>
                <w:spacing w:val="-1"/>
              </w:rPr>
              <w:t>0.48~0.52</w:t>
            </w:r>
          </w:p>
        </w:tc>
        <w:tc>
          <w:tcPr>
            <w:tcW w:w="1528" w:type="dxa"/>
            <w:vAlign w:val="top"/>
          </w:tcPr>
          <w:p>
            <w:pPr>
              <w:pStyle w:val="6"/>
              <w:spacing w:before="97" w:line="204" w:lineRule="auto"/>
              <w:ind w:left="342"/>
            </w:pPr>
            <w:r>
              <w:rPr>
                <w:spacing w:val="-1"/>
              </w:rPr>
              <w:t>0.74~0.84</w:t>
            </w:r>
          </w:p>
        </w:tc>
        <w:tc>
          <w:tcPr>
            <w:tcW w:w="1516" w:type="dxa"/>
            <w:vAlign w:val="top"/>
          </w:tcPr>
          <w:p>
            <w:pPr>
              <w:pStyle w:val="6"/>
              <w:spacing w:before="97" w:line="204" w:lineRule="auto"/>
              <w:ind w:left="335"/>
            </w:pPr>
            <w:r>
              <w:rPr>
                <w:spacing w:val="-1"/>
              </w:rPr>
              <w:t>0.74~0.86</w:t>
            </w:r>
          </w:p>
        </w:tc>
        <w:tc>
          <w:tcPr>
            <w:tcW w:w="1075" w:type="dxa"/>
            <w:tcBorders>
              <w:right w:val="nil"/>
            </w:tcBorders>
            <w:vAlign w:val="top"/>
          </w:tcPr>
          <w:p>
            <w:pPr>
              <w:spacing w:before="62" w:line="211"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722" w:type="dxa"/>
            <w:tcBorders>
              <w:left w:val="nil"/>
            </w:tcBorders>
            <w:vAlign w:val="top"/>
          </w:tcPr>
          <w:p>
            <w:pPr>
              <w:pStyle w:val="6"/>
              <w:spacing w:before="103" w:line="188" w:lineRule="auto"/>
              <w:ind w:left="267"/>
            </w:pPr>
            <w:r>
              <w:rPr>
                <w:spacing w:val="-2"/>
              </w:rPr>
              <w:t>27</w:t>
            </w:r>
          </w:p>
        </w:tc>
        <w:tc>
          <w:tcPr>
            <w:tcW w:w="1661" w:type="dxa"/>
            <w:vAlign w:val="top"/>
          </w:tcPr>
          <w:p>
            <w:pPr>
              <w:spacing w:before="67" w:line="208" w:lineRule="auto"/>
              <w:ind w:left="419"/>
              <w:rPr>
                <w:rFonts w:ascii="仿宋" w:hAnsi="仿宋" w:eastAsia="仿宋" w:cs="仿宋"/>
                <w:sz w:val="21"/>
                <w:szCs w:val="21"/>
              </w:rPr>
            </w:pPr>
            <w:r>
              <w:rPr>
                <w:rFonts w:ascii="仿宋" w:hAnsi="仿宋" w:eastAsia="仿宋" w:cs="仿宋"/>
                <w:spacing w:val="-3"/>
                <w:sz w:val="21"/>
                <w:szCs w:val="21"/>
              </w:rPr>
              <w:t>硝酸盐氮</w:t>
            </w:r>
          </w:p>
        </w:tc>
        <w:tc>
          <w:tcPr>
            <w:tcW w:w="1383" w:type="dxa"/>
            <w:vAlign w:val="top"/>
          </w:tcPr>
          <w:p>
            <w:pPr>
              <w:pStyle w:val="6"/>
              <w:spacing w:before="103" w:line="188" w:lineRule="auto"/>
              <w:ind w:left="165"/>
            </w:pPr>
            <w:r>
              <w:rPr>
                <w:spacing w:val="-1"/>
              </w:rPr>
              <w:t>0.018~0.023</w:t>
            </w:r>
          </w:p>
        </w:tc>
        <w:tc>
          <w:tcPr>
            <w:tcW w:w="1519" w:type="dxa"/>
            <w:vAlign w:val="top"/>
          </w:tcPr>
          <w:p>
            <w:pPr>
              <w:pStyle w:val="6"/>
              <w:spacing w:before="103" w:line="188" w:lineRule="auto"/>
              <w:ind w:left="232"/>
            </w:pPr>
            <w:r>
              <w:rPr>
                <w:spacing w:val="-1"/>
              </w:rPr>
              <w:t>0.018~0.019</w:t>
            </w:r>
          </w:p>
        </w:tc>
        <w:tc>
          <w:tcPr>
            <w:tcW w:w="1519" w:type="dxa"/>
            <w:vAlign w:val="top"/>
          </w:tcPr>
          <w:p>
            <w:pPr>
              <w:pStyle w:val="6"/>
              <w:spacing w:before="103" w:line="188" w:lineRule="auto"/>
              <w:ind w:left="233"/>
            </w:pPr>
            <w:r>
              <w:rPr>
                <w:spacing w:val="-1"/>
              </w:rPr>
              <w:t>0.020~0.022</w:t>
            </w:r>
          </w:p>
        </w:tc>
        <w:tc>
          <w:tcPr>
            <w:tcW w:w="1527" w:type="dxa"/>
            <w:vAlign w:val="top"/>
          </w:tcPr>
          <w:p>
            <w:pPr>
              <w:pStyle w:val="6"/>
              <w:spacing w:before="103" w:line="188" w:lineRule="auto"/>
              <w:ind w:left="237"/>
            </w:pPr>
            <w:r>
              <w:rPr>
                <w:spacing w:val="-1"/>
              </w:rPr>
              <w:t>0.025~0.027</w:t>
            </w:r>
          </w:p>
        </w:tc>
        <w:tc>
          <w:tcPr>
            <w:tcW w:w="1524" w:type="dxa"/>
            <w:vAlign w:val="top"/>
          </w:tcPr>
          <w:p>
            <w:pPr>
              <w:pStyle w:val="6"/>
              <w:spacing w:before="103" w:line="188" w:lineRule="auto"/>
              <w:ind w:left="235"/>
            </w:pPr>
            <w:r>
              <w:rPr>
                <w:spacing w:val="-1"/>
              </w:rPr>
              <w:t>0.019~0.022</w:t>
            </w:r>
          </w:p>
        </w:tc>
        <w:tc>
          <w:tcPr>
            <w:tcW w:w="1528" w:type="dxa"/>
            <w:vAlign w:val="top"/>
          </w:tcPr>
          <w:p>
            <w:pPr>
              <w:pStyle w:val="6"/>
              <w:spacing w:before="103" w:line="188" w:lineRule="auto"/>
              <w:ind w:left="236"/>
            </w:pPr>
            <w:r>
              <w:rPr>
                <w:spacing w:val="-1"/>
              </w:rPr>
              <w:t>0.019~0.022</w:t>
            </w:r>
          </w:p>
        </w:tc>
        <w:tc>
          <w:tcPr>
            <w:tcW w:w="1516" w:type="dxa"/>
            <w:vAlign w:val="top"/>
          </w:tcPr>
          <w:p>
            <w:pPr>
              <w:pStyle w:val="6"/>
              <w:spacing w:before="103" w:line="188" w:lineRule="auto"/>
              <w:ind w:left="230"/>
            </w:pPr>
            <w:r>
              <w:rPr>
                <w:spacing w:val="-1"/>
              </w:rPr>
              <w:t>0.019~0.022</w:t>
            </w:r>
          </w:p>
        </w:tc>
        <w:tc>
          <w:tcPr>
            <w:tcW w:w="1075" w:type="dxa"/>
            <w:tcBorders>
              <w:right w:val="nil"/>
            </w:tcBorders>
            <w:vAlign w:val="top"/>
          </w:tcPr>
          <w:p>
            <w:pPr>
              <w:spacing w:before="67" w:line="208"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722" w:type="dxa"/>
            <w:tcBorders>
              <w:left w:val="nil"/>
            </w:tcBorders>
            <w:vAlign w:val="top"/>
          </w:tcPr>
          <w:p>
            <w:pPr>
              <w:pStyle w:val="6"/>
              <w:spacing w:before="106" w:line="188" w:lineRule="auto"/>
              <w:ind w:left="267"/>
            </w:pPr>
            <w:r>
              <w:rPr>
                <w:spacing w:val="-2"/>
              </w:rPr>
              <w:t>28</w:t>
            </w:r>
          </w:p>
        </w:tc>
        <w:tc>
          <w:tcPr>
            <w:tcW w:w="1661" w:type="dxa"/>
            <w:vAlign w:val="top"/>
          </w:tcPr>
          <w:p>
            <w:pPr>
              <w:spacing w:before="69" w:line="205" w:lineRule="auto"/>
              <w:ind w:left="523"/>
              <w:rPr>
                <w:rFonts w:ascii="仿宋" w:hAnsi="仿宋" w:eastAsia="仿宋" w:cs="仿宋"/>
                <w:sz w:val="21"/>
                <w:szCs w:val="21"/>
              </w:rPr>
            </w:pPr>
            <w:r>
              <w:rPr>
                <w:rFonts w:ascii="仿宋" w:hAnsi="仿宋" w:eastAsia="仿宋" w:cs="仿宋"/>
                <w:spacing w:val="-3"/>
                <w:sz w:val="21"/>
                <w:szCs w:val="21"/>
              </w:rPr>
              <w:t>硫酸盐</w:t>
            </w:r>
          </w:p>
        </w:tc>
        <w:tc>
          <w:tcPr>
            <w:tcW w:w="1383" w:type="dxa"/>
            <w:vAlign w:val="top"/>
          </w:tcPr>
          <w:p>
            <w:pPr>
              <w:pStyle w:val="6"/>
              <w:spacing w:before="104" w:line="197" w:lineRule="auto"/>
              <w:ind w:left="165"/>
            </w:pPr>
            <w:r>
              <w:rPr>
                <w:spacing w:val="-1"/>
              </w:rPr>
              <w:t>0.928~0.952</w:t>
            </w:r>
          </w:p>
        </w:tc>
        <w:tc>
          <w:tcPr>
            <w:tcW w:w="1519" w:type="dxa"/>
            <w:vAlign w:val="top"/>
          </w:tcPr>
          <w:p>
            <w:pPr>
              <w:pStyle w:val="6"/>
              <w:spacing w:before="104" w:line="197" w:lineRule="auto"/>
              <w:ind w:left="337"/>
            </w:pPr>
            <w:r>
              <w:rPr>
                <w:spacing w:val="-1"/>
              </w:rPr>
              <w:t>0.876~0.9</w:t>
            </w:r>
          </w:p>
        </w:tc>
        <w:tc>
          <w:tcPr>
            <w:tcW w:w="1519" w:type="dxa"/>
            <w:vAlign w:val="top"/>
          </w:tcPr>
          <w:p>
            <w:pPr>
              <w:pStyle w:val="6"/>
              <w:spacing w:before="104" w:line="197" w:lineRule="auto"/>
              <w:ind w:left="284"/>
            </w:pPr>
            <w:r>
              <w:rPr>
                <w:spacing w:val="-1"/>
              </w:rPr>
              <w:t>0.248~0.26</w:t>
            </w:r>
          </w:p>
        </w:tc>
        <w:tc>
          <w:tcPr>
            <w:tcW w:w="1527" w:type="dxa"/>
            <w:vAlign w:val="top"/>
          </w:tcPr>
          <w:p>
            <w:pPr>
              <w:pStyle w:val="6"/>
              <w:spacing w:before="104" w:line="197" w:lineRule="auto"/>
              <w:ind w:left="237"/>
            </w:pPr>
            <w:r>
              <w:rPr>
                <w:spacing w:val="-1"/>
              </w:rPr>
              <w:t>0.928~0.972</w:t>
            </w:r>
          </w:p>
        </w:tc>
        <w:tc>
          <w:tcPr>
            <w:tcW w:w="1524" w:type="dxa"/>
            <w:vAlign w:val="top"/>
          </w:tcPr>
          <w:p>
            <w:pPr>
              <w:pStyle w:val="6"/>
              <w:spacing w:before="104" w:line="197" w:lineRule="auto"/>
              <w:ind w:left="287"/>
            </w:pPr>
            <w:r>
              <w:rPr>
                <w:spacing w:val="-1"/>
              </w:rPr>
              <w:t>0.912~0.94</w:t>
            </w:r>
          </w:p>
        </w:tc>
        <w:tc>
          <w:tcPr>
            <w:tcW w:w="1528" w:type="dxa"/>
            <w:vAlign w:val="top"/>
          </w:tcPr>
          <w:p>
            <w:pPr>
              <w:pStyle w:val="6"/>
              <w:spacing w:before="106" w:line="188" w:lineRule="auto"/>
              <w:ind w:left="289"/>
            </w:pPr>
            <w:r>
              <w:rPr>
                <w:spacing w:val="-1"/>
              </w:rPr>
              <w:t>0.144~0.16</w:t>
            </w:r>
          </w:p>
        </w:tc>
        <w:tc>
          <w:tcPr>
            <w:tcW w:w="1516" w:type="dxa"/>
            <w:vAlign w:val="top"/>
          </w:tcPr>
          <w:p>
            <w:pPr>
              <w:pStyle w:val="6"/>
              <w:spacing w:before="106" w:line="188" w:lineRule="auto"/>
              <w:ind w:left="283"/>
            </w:pPr>
            <w:r>
              <w:rPr>
                <w:spacing w:val="-1"/>
              </w:rPr>
              <w:t>0.12~0.124</w:t>
            </w:r>
          </w:p>
        </w:tc>
        <w:tc>
          <w:tcPr>
            <w:tcW w:w="1075" w:type="dxa"/>
            <w:tcBorders>
              <w:right w:val="nil"/>
            </w:tcBorders>
            <w:vAlign w:val="top"/>
          </w:tcPr>
          <w:p>
            <w:pPr>
              <w:spacing w:before="69" w:line="205"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722" w:type="dxa"/>
            <w:tcBorders>
              <w:left w:val="nil"/>
            </w:tcBorders>
            <w:vAlign w:val="top"/>
          </w:tcPr>
          <w:p>
            <w:pPr>
              <w:pStyle w:val="6"/>
              <w:spacing w:before="110" w:line="188" w:lineRule="auto"/>
              <w:ind w:left="267"/>
            </w:pPr>
            <w:r>
              <w:rPr>
                <w:spacing w:val="-2"/>
              </w:rPr>
              <w:t>29</w:t>
            </w:r>
          </w:p>
        </w:tc>
        <w:tc>
          <w:tcPr>
            <w:tcW w:w="1661" w:type="dxa"/>
            <w:vAlign w:val="top"/>
          </w:tcPr>
          <w:p>
            <w:pPr>
              <w:spacing w:before="74" w:line="203" w:lineRule="auto"/>
              <w:ind w:left="523"/>
              <w:rPr>
                <w:rFonts w:ascii="仿宋" w:hAnsi="仿宋" w:eastAsia="仿宋" w:cs="仿宋"/>
                <w:sz w:val="21"/>
                <w:szCs w:val="21"/>
              </w:rPr>
            </w:pPr>
            <w:r>
              <w:rPr>
                <w:rFonts w:ascii="仿宋" w:hAnsi="仿宋" w:eastAsia="仿宋" w:cs="仿宋"/>
                <w:spacing w:val="-3"/>
                <w:sz w:val="21"/>
                <w:szCs w:val="21"/>
              </w:rPr>
              <w:t>硫化物</w:t>
            </w:r>
          </w:p>
        </w:tc>
        <w:tc>
          <w:tcPr>
            <w:tcW w:w="1383" w:type="dxa"/>
            <w:vAlign w:val="top"/>
          </w:tcPr>
          <w:p>
            <w:pPr>
              <w:pStyle w:val="6"/>
              <w:spacing w:before="108" w:line="195" w:lineRule="auto"/>
              <w:ind w:left="657"/>
            </w:pPr>
            <w:r>
              <w:t>/</w:t>
            </w:r>
          </w:p>
        </w:tc>
        <w:tc>
          <w:tcPr>
            <w:tcW w:w="1519" w:type="dxa"/>
            <w:vAlign w:val="top"/>
          </w:tcPr>
          <w:p>
            <w:pPr>
              <w:pStyle w:val="6"/>
              <w:spacing w:before="108" w:line="195" w:lineRule="auto"/>
              <w:ind w:left="724"/>
            </w:pPr>
            <w:r>
              <w:t>/</w:t>
            </w:r>
          </w:p>
        </w:tc>
        <w:tc>
          <w:tcPr>
            <w:tcW w:w="1519" w:type="dxa"/>
            <w:vAlign w:val="top"/>
          </w:tcPr>
          <w:p>
            <w:pPr>
              <w:pStyle w:val="6"/>
              <w:spacing w:before="108" w:line="195" w:lineRule="auto"/>
              <w:ind w:left="725"/>
            </w:pPr>
            <w:r>
              <w:t>/</w:t>
            </w:r>
          </w:p>
        </w:tc>
        <w:tc>
          <w:tcPr>
            <w:tcW w:w="1527" w:type="dxa"/>
            <w:vAlign w:val="top"/>
          </w:tcPr>
          <w:p>
            <w:pPr>
              <w:pStyle w:val="6"/>
              <w:spacing w:before="108" w:line="195" w:lineRule="auto"/>
              <w:ind w:left="730"/>
            </w:pPr>
            <w:r>
              <w:t>/</w:t>
            </w:r>
          </w:p>
        </w:tc>
        <w:tc>
          <w:tcPr>
            <w:tcW w:w="1524" w:type="dxa"/>
            <w:vAlign w:val="top"/>
          </w:tcPr>
          <w:p>
            <w:pPr>
              <w:pStyle w:val="6"/>
              <w:spacing w:before="108" w:line="195" w:lineRule="auto"/>
              <w:ind w:left="727"/>
            </w:pPr>
            <w:r>
              <w:t>/</w:t>
            </w:r>
          </w:p>
        </w:tc>
        <w:tc>
          <w:tcPr>
            <w:tcW w:w="1528" w:type="dxa"/>
            <w:vAlign w:val="top"/>
          </w:tcPr>
          <w:p>
            <w:pPr>
              <w:pStyle w:val="6"/>
              <w:spacing w:before="108" w:line="195" w:lineRule="auto"/>
              <w:ind w:left="729"/>
            </w:pPr>
            <w:r>
              <w:t>/</w:t>
            </w:r>
          </w:p>
        </w:tc>
        <w:tc>
          <w:tcPr>
            <w:tcW w:w="1516" w:type="dxa"/>
            <w:vAlign w:val="top"/>
          </w:tcPr>
          <w:p>
            <w:pPr>
              <w:pStyle w:val="6"/>
              <w:spacing w:before="108" w:line="195" w:lineRule="auto"/>
              <w:ind w:left="723"/>
            </w:pPr>
            <w:r>
              <w:t>/</w:t>
            </w:r>
          </w:p>
        </w:tc>
        <w:tc>
          <w:tcPr>
            <w:tcW w:w="1075" w:type="dxa"/>
            <w:tcBorders>
              <w:right w:val="nil"/>
            </w:tcBorders>
            <w:vAlign w:val="top"/>
          </w:tcPr>
          <w:p>
            <w:pPr>
              <w:spacing w:before="74" w:line="203" w:lineRule="auto"/>
              <w:ind w:left="338"/>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trPr>
        <w:tc>
          <w:tcPr>
            <w:tcW w:w="722" w:type="dxa"/>
            <w:tcBorders>
              <w:left w:val="nil"/>
              <w:bottom w:val="single" w:color="000000" w:sz="12" w:space="0"/>
            </w:tcBorders>
            <w:vAlign w:val="top"/>
          </w:tcPr>
          <w:p>
            <w:pPr>
              <w:pStyle w:val="6"/>
              <w:spacing w:before="112" w:line="188" w:lineRule="auto"/>
              <w:ind w:left="271"/>
            </w:pPr>
            <w:r>
              <w:rPr>
                <w:spacing w:val="-5"/>
              </w:rPr>
              <w:t>30</w:t>
            </w:r>
          </w:p>
        </w:tc>
        <w:tc>
          <w:tcPr>
            <w:tcW w:w="1661" w:type="dxa"/>
            <w:tcBorders>
              <w:bottom w:val="single" w:color="000000" w:sz="12" w:space="0"/>
            </w:tcBorders>
            <w:vAlign w:val="top"/>
          </w:tcPr>
          <w:p>
            <w:pPr>
              <w:pStyle w:val="6"/>
              <w:spacing w:before="75" w:line="220" w:lineRule="auto"/>
              <w:ind w:left="463"/>
            </w:pPr>
            <w:r>
              <w:rPr>
                <w:rFonts w:ascii="仿宋" w:hAnsi="仿宋" w:eastAsia="仿宋" w:cs="仿宋"/>
                <w:spacing w:val="-7"/>
              </w:rPr>
              <w:t>叶绿素</w:t>
            </w:r>
            <w:r>
              <w:rPr>
                <w:rFonts w:ascii="仿宋" w:hAnsi="仿宋" w:eastAsia="仿宋" w:cs="仿宋"/>
                <w:spacing w:val="-43"/>
              </w:rPr>
              <w:t xml:space="preserve"> </w:t>
            </w:r>
            <w:r>
              <w:rPr>
                <w:spacing w:val="-7"/>
              </w:rPr>
              <w:t>a</w:t>
            </w:r>
          </w:p>
        </w:tc>
        <w:tc>
          <w:tcPr>
            <w:tcW w:w="1383" w:type="dxa"/>
            <w:tcBorders>
              <w:bottom w:val="single" w:color="000000" w:sz="12" w:space="0"/>
            </w:tcBorders>
            <w:vAlign w:val="top"/>
          </w:tcPr>
          <w:p>
            <w:pPr>
              <w:pStyle w:val="6"/>
              <w:spacing w:before="110" w:line="214" w:lineRule="auto"/>
              <w:ind w:left="657"/>
            </w:pPr>
            <w:r>
              <w:t>/</w:t>
            </w:r>
          </w:p>
        </w:tc>
        <w:tc>
          <w:tcPr>
            <w:tcW w:w="1519" w:type="dxa"/>
            <w:tcBorders>
              <w:bottom w:val="single" w:color="000000" w:sz="12" w:space="0"/>
            </w:tcBorders>
            <w:vAlign w:val="top"/>
          </w:tcPr>
          <w:p>
            <w:pPr>
              <w:pStyle w:val="6"/>
              <w:spacing w:before="110" w:line="214" w:lineRule="auto"/>
              <w:ind w:left="724"/>
            </w:pPr>
            <w:r>
              <w:t>/</w:t>
            </w:r>
          </w:p>
        </w:tc>
        <w:tc>
          <w:tcPr>
            <w:tcW w:w="1519" w:type="dxa"/>
            <w:tcBorders>
              <w:bottom w:val="single" w:color="000000" w:sz="12" w:space="0"/>
            </w:tcBorders>
            <w:vAlign w:val="top"/>
          </w:tcPr>
          <w:p>
            <w:pPr>
              <w:pStyle w:val="6"/>
              <w:spacing w:before="110" w:line="214" w:lineRule="auto"/>
              <w:ind w:left="725"/>
            </w:pPr>
            <w:r>
              <w:t>/</w:t>
            </w:r>
          </w:p>
        </w:tc>
        <w:tc>
          <w:tcPr>
            <w:tcW w:w="1527" w:type="dxa"/>
            <w:tcBorders>
              <w:bottom w:val="single" w:color="000000" w:sz="12" w:space="0"/>
            </w:tcBorders>
            <w:vAlign w:val="top"/>
          </w:tcPr>
          <w:p>
            <w:pPr>
              <w:pStyle w:val="6"/>
              <w:spacing w:before="110" w:line="214" w:lineRule="auto"/>
              <w:ind w:left="730"/>
            </w:pPr>
            <w:r>
              <w:t>/</w:t>
            </w:r>
          </w:p>
        </w:tc>
        <w:tc>
          <w:tcPr>
            <w:tcW w:w="1524" w:type="dxa"/>
            <w:tcBorders>
              <w:bottom w:val="single" w:color="000000" w:sz="12" w:space="0"/>
            </w:tcBorders>
            <w:vAlign w:val="top"/>
          </w:tcPr>
          <w:p>
            <w:pPr>
              <w:pStyle w:val="6"/>
              <w:spacing w:before="110" w:line="214" w:lineRule="auto"/>
              <w:ind w:left="727"/>
            </w:pPr>
            <w:r>
              <w:t>/</w:t>
            </w:r>
          </w:p>
        </w:tc>
        <w:tc>
          <w:tcPr>
            <w:tcW w:w="1528" w:type="dxa"/>
            <w:tcBorders>
              <w:bottom w:val="single" w:color="000000" w:sz="12" w:space="0"/>
            </w:tcBorders>
            <w:vAlign w:val="top"/>
          </w:tcPr>
          <w:p>
            <w:pPr>
              <w:pStyle w:val="6"/>
              <w:spacing w:before="110" w:line="214" w:lineRule="auto"/>
              <w:ind w:left="729"/>
            </w:pPr>
            <w:r>
              <w:t>/</w:t>
            </w:r>
          </w:p>
        </w:tc>
        <w:tc>
          <w:tcPr>
            <w:tcW w:w="1516" w:type="dxa"/>
            <w:tcBorders>
              <w:bottom w:val="single" w:color="000000" w:sz="12" w:space="0"/>
            </w:tcBorders>
            <w:vAlign w:val="top"/>
          </w:tcPr>
          <w:p>
            <w:pPr>
              <w:pStyle w:val="6"/>
              <w:spacing w:before="112" w:line="188" w:lineRule="auto"/>
              <w:ind w:left="459"/>
            </w:pPr>
            <w:r>
              <w:rPr>
                <w:spacing w:val="-2"/>
              </w:rPr>
              <w:t>0.004L</w:t>
            </w:r>
          </w:p>
        </w:tc>
        <w:tc>
          <w:tcPr>
            <w:tcW w:w="1075" w:type="dxa"/>
            <w:tcBorders>
              <w:bottom w:val="single" w:color="000000" w:sz="12" w:space="0"/>
              <w:right w:val="nil"/>
            </w:tcBorders>
            <w:vAlign w:val="top"/>
          </w:tcPr>
          <w:p>
            <w:pPr>
              <w:pStyle w:val="6"/>
              <w:spacing w:before="110" w:line="214" w:lineRule="auto"/>
              <w:ind w:left="502"/>
            </w:pPr>
            <w:r>
              <w:t>/</w:t>
            </w:r>
          </w:p>
        </w:tc>
      </w:tr>
    </w:tbl>
    <w:p>
      <w:pPr>
        <w:spacing w:before="114" w:line="360" w:lineRule="auto"/>
        <w:ind w:left="45" w:right="40" w:firstLine="473"/>
        <w:jc w:val="both"/>
        <w:rPr>
          <w:rFonts w:ascii="宋体" w:hAnsi="宋体" w:eastAsia="宋体" w:cs="宋体"/>
          <w:sz w:val="24"/>
          <w:szCs w:val="24"/>
        </w:rPr>
      </w:pPr>
      <w:r>
        <w:rPr>
          <w:rFonts w:ascii="宋体" w:hAnsi="宋体" w:eastAsia="宋体" w:cs="宋体"/>
          <w:spacing w:val="-5"/>
          <w:sz w:val="24"/>
          <w:szCs w:val="24"/>
        </w:rPr>
        <w:t>根据监测结果， 坝址、库尾、罗子左河汇入万马河上游</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500m</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处和马茨河取水坝处各项</w:t>
      </w:r>
      <w:r>
        <w:rPr>
          <w:rFonts w:ascii="宋体" w:hAnsi="宋体" w:eastAsia="宋体" w:cs="宋体"/>
          <w:spacing w:val="-6"/>
          <w:sz w:val="24"/>
          <w:szCs w:val="24"/>
        </w:rPr>
        <w:t>水质指标均能满足《地表水环境质量标准》</w:t>
      </w:r>
      <w:r>
        <w:rPr>
          <w:rFonts w:ascii="宋体" w:hAnsi="宋体" w:eastAsia="宋体" w:cs="宋体"/>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GB3838-2002</w:t>
      </w:r>
      <w:r>
        <w:rPr>
          <w:rFonts w:ascii="宋体" w:hAnsi="宋体" w:eastAsia="宋体" w:cs="宋体"/>
          <w:spacing w:val="-4"/>
          <w:sz w:val="24"/>
          <w:szCs w:val="24"/>
        </w:rPr>
        <w:t>）Ⅲ类水质标准及表</w:t>
      </w:r>
      <w:r>
        <w:rPr>
          <w:rFonts w:ascii="宋体" w:hAnsi="宋体" w:eastAsia="宋体" w:cs="宋体"/>
          <w:spacing w:val="-33"/>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标准；昔木乍箐与见簸箐交汇口、六姑乍箐取水坝处、万马河、者纳么河</w:t>
      </w:r>
      <w:r>
        <w:rPr>
          <w:rFonts w:ascii="宋体" w:hAnsi="宋体" w:eastAsia="宋体" w:cs="宋体"/>
          <w:spacing w:val="-48"/>
          <w:sz w:val="24"/>
          <w:szCs w:val="24"/>
        </w:rPr>
        <w:t xml:space="preserve"> </w:t>
      </w:r>
      <w:r>
        <w:rPr>
          <w:rFonts w:ascii="宋体" w:hAnsi="宋体" w:eastAsia="宋体" w:cs="宋体"/>
          <w:spacing w:val="-4"/>
          <w:sz w:val="24"/>
          <w:szCs w:val="24"/>
        </w:rPr>
        <w:t>、六苴河、输水线汇入</w:t>
      </w:r>
    </w:p>
    <w:p>
      <w:pPr>
        <w:spacing w:line="219" w:lineRule="auto"/>
        <w:ind w:left="42"/>
        <w:rPr>
          <w:rFonts w:ascii="宋体" w:hAnsi="宋体" w:eastAsia="宋体" w:cs="宋体"/>
          <w:sz w:val="24"/>
          <w:szCs w:val="24"/>
        </w:rPr>
      </w:pPr>
      <w:r>
        <w:rPr>
          <w:rFonts w:ascii="宋体" w:hAnsi="宋体" w:eastAsia="宋体" w:cs="宋体"/>
          <w:spacing w:val="-4"/>
          <w:sz w:val="24"/>
          <w:szCs w:val="24"/>
        </w:rPr>
        <w:t>碧么水库前</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500m</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处和碧么水库各项水质指标均能满足《地表水环境质量标准》（</w:t>
      </w:r>
      <w:r>
        <w:rPr>
          <w:rFonts w:ascii="Times New Roman" w:hAnsi="Times New Roman" w:eastAsia="Times New Roman" w:cs="Times New Roman"/>
          <w:spacing w:val="-4"/>
          <w:sz w:val="24"/>
          <w:szCs w:val="24"/>
        </w:rPr>
        <w:t>GB3838-2002</w:t>
      </w:r>
      <w:r>
        <w:rPr>
          <w:rFonts w:ascii="宋体" w:hAnsi="宋体" w:eastAsia="宋体" w:cs="宋体"/>
          <w:spacing w:val="-4"/>
          <w:sz w:val="24"/>
          <w:szCs w:val="24"/>
        </w:rPr>
        <w:t>）</w:t>
      </w:r>
      <w:r>
        <w:rPr>
          <w:rFonts w:ascii="宋体" w:hAnsi="宋体" w:eastAsia="宋体" w:cs="宋体"/>
          <w:spacing w:val="-70"/>
          <w:sz w:val="24"/>
          <w:szCs w:val="24"/>
        </w:rPr>
        <w:t xml:space="preserve"> </w:t>
      </w:r>
      <w:r>
        <w:rPr>
          <w:rFonts w:ascii="宋体" w:hAnsi="宋体" w:eastAsia="宋体" w:cs="宋体"/>
          <w:spacing w:val="-4"/>
          <w:sz w:val="24"/>
          <w:szCs w:val="24"/>
        </w:rPr>
        <w:t>Ⅱ类水质标准及表</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标准。</w:t>
      </w:r>
    </w:p>
    <w:p>
      <w:pPr>
        <w:spacing w:line="219" w:lineRule="auto"/>
        <w:rPr>
          <w:rFonts w:ascii="宋体" w:hAnsi="宋体" w:eastAsia="宋体" w:cs="宋体"/>
          <w:sz w:val="24"/>
          <w:szCs w:val="24"/>
        </w:rPr>
        <w:sectPr>
          <w:footerReference r:id="rId191" w:type="default"/>
          <w:pgSz w:w="16839" w:h="11907"/>
          <w:pgMar w:top="1156" w:right="1408" w:bottom="1373" w:left="1410" w:header="881" w:footer="1210" w:gutter="0"/>
        </w:sectPr>
      </w:pPr>
    </w:p>
    <w:p>
      <w:pPr>
        <w:spacing w:line="283" w:lineRule="auto"/>
        <w:rPr>
          <w:rFonts w:ascii="Arial"/>
          <w:sz w:val="21"/>
        </w:rPr>
      </w:pPr>
    </w:p>
    <w:p>
      <w:pPr>
        <w:spacing w:line="284" w:lineRule="auto"/>
        <w:rPr>
          <w:rFonts w:ascii="Arial"/>
          <w:sz w:val="21"/>
        </w:rPr>
      </w:pPr>
    </w:p>
    <w:p>
      <w:pPr>
        <w:pStyle w:val="2"/>
        <w:spacing w:before="78" w:line="233" w:lineRule="auto"/>
        <w:ind w:left="33"/>
        <w:outlineLvl w:val="2"/>
        <w:rPr>
          <w:sz w:val="24"/>
          <w:szCs w:val="24"/>
        </w:rPr>
      </w:pPr>
      <w:r>
        <w:rPr>
          <w:rFonts w:ascii="Times New Roman" w:hAnsi="Times New Roman" w:eastAsia="Times New Roman" w:cs="Times New Roman"/>
          <w:b/>
          <w:bCs/>
          <w:sz w:val="24"/>
          <w:szCs w:val="24"/>
        </w:rPr>
        <w:t xml:space="preserve">3.2.2 </w:t>
      </w:r>
      <w:r>
        <w:rPr>
          <w:sz w:val="24"/>
          <w:szCs w:val="24"/>
          <w14:textOutline w14:w="4354" w14:cap="flat" w14:cmpd="sng">
            <w14:solidFill>
              <w14:srgbClr w14:val="000000"/>
            </w14:solidFill>
            <w14:prstDash w14:val="solid"/>
            <w14:miter w14:val="0"/>
          </w14:textOutline>
        </w:rPr>
        <w:t>环境空气质量</w:t>
      </w:r>
    </w:p>
    <w:p>
      <w:pPr>
        <w:spacing w:before="277"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）达标区判定</w:t>
      </w:r>
    </w:p>
    <w:p>
      <w:pPr>
        <w:spacing w:before="182" w:line="360" w:lineRule="auto"/>
        <w:ind w:left="40" w:right="30" w:firstLine="482"/>
        <w:rPr>
          <w:rFonts w:ascii="宋体" w:hAnsi="宋体" w:eastAsia="宋体" w:cs="宋体"/>
          <w:sz w:val="24"/>
          <w:szCs w:val="24"/>
        </w:rPr>
      </w:pPr>
      <w:r>
        <w:rPr>
          <w:rFonts w:ascii="宋体" w:hAnsi="宋体" w:eastAsia="宋体" w:cs="宋体"/>
          <w:spacing w:val="-6"/>
          <w:sz w:val="24"/>
          <w:szCs w:val="24"/>
        </w:rPr>
        <w:t>项目区位于大姚县桂花镇皮左黑村委会皮左黑村下方的桂花河上，</w:t>
      </w:r>
      <w:r>
        <w:rPr>
          <w:rFonts w:ascii="宋体" w:hAnsi="宋体" w:eastAsia="宋体" w:cs="宋体"/>
          <w:spacing w:val="-30"/>
          <w:sz w:val="24"/>
          <w:szCs w:val="24"/>
        </w:rPr>
        <w:t xml:space="preserve"> </w:t>
      </w:r>
      <w:r>
        <w:rPr>
          <w:rFonts w:ascii="宋体" w:hAnsi="宋体" w:eastAsia="宋体" w:cs="宋体"/>
          <w:spacing w:val="-6"/>
          <w:sz w:val="24"/>
          <w:szCs w:val="24"/>
        </w:rPr>
        <w:t>根据楚雄</w:t>
      </w:r>
      <w:r>
        <w:rPr>
          <w:rFonts w:ascii="宋体" w:hAnsi="宋体" w:eastAsia="宋体" w:cs="宋体"/>
          <w:sz w:val="24"/>
          <w:szCs w:val="24"/>
        </w:rPr>
        <w:t xml:space="preserve"> </w:t>
      </w:r>
      <w:r>
        <w:rPr>
          <w:rFonts w:ascii="宋体" w:hAnsi="宋体" w:eastAsia="宋体" w:cs="宋体"/>
          <w:spacing w:val="-6"/>
          <w:sz w:val="24"/>
          <w:szCs w:val="24"/>
        </w:rPr>
        <w:t>州生态环境局公布的《</w:t>
      </w:r>
      <w:r>
        <w:rPr>
          <w:rFonts w:ascii="Times New Roman" w:hAnsi="Times New Roman" w:eastAsia="Times New Roman" w:cs="Times New Roman"/>
          <w:spacing w:val="-6"/>
          <w:sz w:val="24"/>
          <w:szCs w:val="24"/>
        </w:rPr>
        <w:t xml:space="preserve">2021  </w:t>
      </w:r>
      <w:r>
        <w:rPr>
          <w:rFonts w:ascii="宋体" w:hAnsi="宋体" w:eastAsia="宋体" w:cs="宋体"/>
          <w:spacing w:val="-6"/>
          <w:sz w:val="24"/>
          <w:szCs w:val="24"/>
        </w:rPr>
        <w:t>楚雄州生态环境状况公报》，</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 xml:space="preserve">2021  </w:t>
      </w:r>
      <w:r>
        <w:rPr>
          <w:rFonts w:ascii="宋体" w:hAnsi="宋体" w:eastAsia="宋体" w:cs="宋体"/>
          <w:spacing w:val="-7"/>
          <w:sz w:val="24"/>
          <w:szCs w:val="24"/>
        </w:rPr>
        <w:t>年，</w:t>
      </w:r>
      <w:r>
        <w:rPr>
          <w:rFonts w:ascii="宋体" w:hAnsi="宋体" w:eastAsia="宋体" w:cs="宋体"/>
          <w:spacing w:val="-54"/>
          <w:sz w:val="24"/>
          <w:szCs w:val="24"/>
        </w:rPr>
        <w:t xml:space="preserve"> </w:t>
      </w:r>
      <w:r>
        <w:rPr>
          <w:rFonts w:ascii="宋体" w:hAnsi="宋体" w:eastAsia="宋体" w:cs="宋体"/>
          <w:spacing w:val="-7"/>
          <w:sz w:val="24"/>
          <w:szCs w:val="24"/>
        </w:rPr>
        <w:t>全州环境空</w:t>
      </w:r>
      <w:r>
        <w:rPr>
          <w:rFonts w:ascii="宋体" w:hAnsi="宋体" w:eastAsia="宋体" w:cs="宋体"/>
          <w:sz w:val="24"/>
          <w:szCs w:val="24"/>
        </w:rPr>
        <w:t xml:space="preserve"> </w:t>
      </w:r>
      <w:r>
        <w:rPr>
          <w:rFonts w:ascii="宋体" w:hAnsi="宋体" w:eastAsia="宋体" w:cs="宋体"/>
          <w:spacing w:val="-2"/>
          <w:sz w:val="24"/>
          <w:szCs w:val="24"/>
        </w:rPr>
        <w:t xml:space="preserve">气质量优良天数为 </w:t>
      </w:r>
      <w:r>
        <w:rPr>
          <w:rFonts w:ascii="Times New Roman" w:hAnsi="Times New Roman" w:eastAsia="Times New Roman" w:cs="Times New Roman"/>
          <w:spacing w:val="-2"/>
          <w:sz w:val="24"/>
          <w:szCs w:val="24"/>
        </w:rPr>
        <w:t xml:space="preserve">364  </w:t>
      </w:r>
      <w:r>
        <w:rPr>
          <w:rFonts w:ascii="宋体" w:hAnsi="宋体" w:eastAsia="宋体" w:cs="宋体"/>
          <w:spacing w:val="-2"/>
          <w:sz w:val="24"/>
          <w:szCs w:val="24"/>
        </w:rPr>
        <w:t xml:space="preserve">天，总体优良率为 </w:t>
      </w:r>
      <w:r>
        <w:rPr>
          <w:rFonts w:ascii="Times New Roman" w:hAnsi="Times New Roman" w:eastAsia="Times New Roman" w:cs="Times New Roman"/>
          <w:spacing w:val="-2"/>
          <w:sz w:val="24"/>
          <w:szCs w:val="24"/>
        </w:rPr>
        <w:t>99.7%</w:t>
      </w:r>
      <w:r>
        <w:rPr>
          <w:rFonts w:ascii="宋体" w:hAnsi="宋体" w:eastAsia="宋体" w:cs="宋体"/>
          <w:spacing w:val="-2"/>
          <w:sz w:val="24"/>
          <w:szCs w:val="24"/>
        </w:rPr>
        <w:t>，较上年下降</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 xml:space="preserve">0.3  </w:t>
      </w:r>
      <w:r>
        <w:rPr>
          <w:rFonts w:ascii="宋体" w:hAnsi="宋体" w:eastAsia="宋体" w:cs="宋体"/>
          <w:spacing w:val="-2"/>
          <w:sz w:val="24"/>
          <w:szCs w:val="24"/>
        </w:rPr>
        <w:t>个百分点，</w:t>
      </w:r>
      <w:r>
        <w:rPr>
          <w:rFonts w:ascii="宋体" w:hAnsi="宋体" w:eastAsia="宋体" w:cs="宋体"/>
          <w:sz w:val="24"/>
          <w:szCs w:val="24"/>
        </w:rPr>
        <w:t xml:space="preserve"> </w:t>
      </w:r>
      <w:r>
        <w:rPr>
          <w:rFonts w:ascii="宋体" w:hAnsi="宋体" w:eastAsia="宋体" w:cs="宋体"/>
          <w:spacing w:val="-3"/>
          <w:sz w:val="24"/>
          <w:szCs w:val="24"/>
        </w:rPr>
        <w:t>其中双柏县、永仁县、南华县、大姚县、武定县等</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个县的优良率为</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100%</w:t>
      </w:r>
      <w:r>
        <w:rPr>
          <w:rFonts w:ascii="宋体" w:hAnsi="宋体" w:eastAsia="宋体" w:cs="宋体"/>
          <w:spacing w:val="-3"/>
          <w:sz w:val="24"/>
          <w:szCs w:val="24"/>
        </w:rPr>
        <w:t>，与</w:t>
      </w:r>
    </w:p>
    <w:p>
      <w:pPr>
        <w:spacing w:line="219" w:lineRule="auto"/>
        <w:ind w:left="41"/>
        <w:rPr>
          <w:rFonts w:ascii="宋体" w:hAnsi="宋体" w:eastAsia="宋体" w:cs="宋体"/>
          <w:sz w:val="24"/>
          <w:szCs w:val="24"/>
        </w:rPr>
      </w:pPr>
      <w:r>
        <w:rPr>
          <w:rFonts w:ascii="宋体" w:hAnsi="宋体" w:eastAsia="宋体" w:cs="宋体"/>
          <w:spacing w:val="-4"/>
          <w:sz w:val="24"/>
          <w:szCs w:val="24"/>
        </w:rPr>
        <w:t>上年一致，持续保持优良。</w:t>
      </w:r>
    </w:p>
    <w:p>
      <w:pPr>
        <w:spacing w:before="182" w:line="468" w:lineRule="exact"/>
        <w:ind w:right="21"/>
        <w:jc w:val="right"/>
        <w:rPr>
          <w:rFonts w:ascii="Times New Roman" w:hAnsi="Times New Roman" w:eastAsia="Times New Roman" w:cs="Times New Roman"/>
          <w:sz w:val="24"/>
          <w:szCs w:val="24"/>
        </w:rPr>
      </w:pPr>
      <w:r>
        <w:rPr>
          <w:rFonts w:ascii="宋体" w:hAnsi="宋体" w:eastAsia="宋体" w:cs="宋体"/>
          <w:spacing w:val="-5"/>
          <w:position w:val="17"/>
          <w:sz w:val="24"/>
          <w:szCs w:val="24"/>
        </w:rPr>
        <w:t>因此， 项目所在区域环境空气质量能达到《环境空气质量标准》（</w:t>
      </w:r>
      <w:r>
        <w:rPr>
          <w:rFonts w:ascii="Times New Roman" w:hAnsi="Times New Roman" w:eastAsia="Times New Roman" w:cs="Times New Roman"/>
          <w:spacing w:val="-5"/>
          <w:position w:val="17"/>
          <w:sz w:val="24"/>
          <w:szCs w:val="24"/>
        </w:rPr>
        <w:t>GB3095-</w:t>
      </w:r>
    </w:p>
    <w:p>
      <w:pPr>
        <w:spacing w:before="1" w:line="219" w:lineRule="auto"/>
        <w:ind w:left="35"/>
        <w:rPr>
          <w:rFonts w:ascii="宋体" w:hAnsi="宋体" w:eastAsia="宋体" w:cs="宋体"/>
          <w:sz w:val="24"/>
          <w:szCs w:val="24"/>
        </w:rPr>
      </w:pPr>
      <w:r>
        <w:rPr>
          <w:rFonts w:ascii="Times New Roman" w:hAnsi="Times New Roman" w:eastAsia="Times New Roman" w:cs="Times New Roman"/>
          <w:spacing w:val="-2"/>
          <w:sz w:val="24"/>
          <w:szCs w:val="24"/>
        </w:rPr>
        <w:t>2012</w:t>
      </w:r>
      <w:r>
        <w:rPr>
          <w:rFonts w:ascii="宋体" w:hAnsi="宋体" w:eastAsia="宋体" w:cs="宋体"/>
          <w:spacing w:val="-2"/>
          <w:sz w:val="24"/>
          <w:szCs w:val="24"/>
        </w:rPr>
        <w:t>）修改单中二级标准，属达标区。</w:t>
      </w:r>
    </w:p>
    <w:p>
      <w:pPr>
        <w:spacing w:before="18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）其它污染物补充监测</w:t>
      </w:r>
    </w:p>
    <w:p>
      <w:pPr>
        <w:spacing w:before="182" w:line="360" w:lineRule="auto"/>
        <w:ind w:left="42" w:right="17" w:firstLine="456"/>
        <w:rPr>
          <w:rFonts w:ascii="宋体" w:hAnsi="宋体" w:eastAsia="宋体" w:cs="宋体"/>
          <w:sz w:val="24"/>
          <w:szCs w:val="24"/>
        </w:rPr>
      </w:pPr>
      <w:r>
        <w:rPr>
          <w:rFonts w:ascii="宋体" w:hAnsi="宋体" w:eastAsia="宋体" w:cs="宋体"/>
          <w:spacing w:val="-16"/>
          <w:sz w:val="24"/>
          <w:szCs w:val="24"/>
        </w:rPr>
        <w:t>项目主要废气污染物为施工期的扬尘（</w:t>
      </w:r>
      <w:r>
        <w:rPr>
          <w:rFonts w:ascii="Times New Roman" w:hAnsi="Times New Roman" w:eastAsia="Times New Roman" w:cs="Times New Roman"/>
          <w:spacing w:val="-16"/>
          <w:sz w:val="24"/>
          <w:szCs w:val="24"/>
        </w:rPr>
        <w:t>TSP</w:t>
      </w:r>
      <w:r>
        <w:rPr>
          <w:rFonts w:ascii="宋体" w:hAnsi="宋体" w:eastAsia="宋体" w:cs="宋体"/>
          <w:spacing w:val="-56"/>
          <w:w w:val="89"/>
          <w:sz w:val="24"/>
          <w:szCs w:val="24"/>
        </w:rPr>
        <w:t>），</w:t>
      </w:r>
      <w:r>
        <w:rPr>
          <w:rFonts w:ascii="宋体" w:hAnsi="宋体" w:eastAsia="宋体" w:cs="宋体"/>
          <w:spacing w:val="-16"/>
          <w:sz w:val="24"/>
          <w:szCs w:val="24"/>
        </w:rPr>
        <w:t>因此，本评价委托中博源</w:t>
      </w:r>
      <w:r>
        <w:rPr>
          <w:rFonts w:ascii="宋体" w:hAnsi="宋体" w:eastAsia="宋体" w:cs="宋体"/>
          <w:spacing w:val="-17"/>
          <w:sz w:val="24"/>
          <w:szCs w:val="24"/>
        </w:rPr>
        <w:t>检测（云</w:t>
      </w:r>
      <w:r>
        <w:rPr>
          <w:rFonts w:ascii="宋体" w:hAnsi="宋体" w:eastAsia="宋体" w:cs="宋体"/>
          <w:spacing w:val="3"/>
          <w:sz w:val="24"/>
          <w:szCs w:val="24"/>
        </w:rPr>
        <w:t xml:space="preserve"> </w:t>
      </w:r>
      <w:r>
        <w:rPr>
          <w:rFonts w:ascii="宋体" w:hAnsi="宋体" w:eastAsia="宋体" w:cs="宋体"/>
          <w:spacing w:val="-14"/>
          <w:sz w:val="24"/>
          <w:szCs w:val="24"/>
        </w:rPr>
        <w:t>南）有限公司对坝址枢纽区和坝址下风向东</w:t>
      </w:r>
      <w:r>
        <w:rPr>
          <w:rFonts w:ascii="宋体" w:hAnsi="宋体" w:eastAsia="宋体" w:cs="宋体"/>
          <w:spacing w:val="-15"/>
          <w:sz w:val="24"/>
          <w:szCs w:val="24"/>
        </w:rPr>
        <w:t>北侧（</w:t>
      </w:r>
      <w:r>
        <w:rPr>
          <w:rFonts w:ascii="Times New Roman" w:hAnsi="Times New Roman" w:eastAsia="Times New Roman" w:cs="Times New Roman"/>
          <w:spacing w:val="-15"/>
          <w:sz w:val="24"/>
          <w:szCs w:val="24"/>
        </w:rPr>
        <w:t xml:space="preserve">950m </w:t>
      </w:r>
      <w:r>
        <w:rPr>
          <w:rFonts w:ascii="宋体" w:hAnsi="宋体" w:eastAsia="宋体" w:cs="宋体"/>
          <w:spacing w:val="-15"/>
          <w:sz w:val="24"/>
          <w:szCs w:val="24"/>
        </w:rPr>
        <w:t>处的么他苴村） 进行了补充</w:t>
      </w:r>
    </w:p>
    <w:p>
      <w:pPr>
        <w:spacing w:before="1" w:line="220" w:lineRule="auto"/>
        <w:ind w:left="40"/>
        <w:rPr>
          <w:rFonts w:ascii="宋体" w:hAnsi="宋体" w:eastAsia="宋体" w:cs="宋体"/>
          <w:sz w:val="24"/>
          <w:szCs w:val="24"/>
        </w:rPr>
      </w:pPr>
      <w:r>
        <w:rPr>
          <w:rFonts w:ascii="宋体" w:hAnsi="宋体" w:eastAsia="宋体" w:cs="宋体"/>
          <w:spacing w:val="-16"/>
          <w:sz w:val="24"/>
          <w:szCs w:val="24"/>
        </w:rPr>
        <w:t>监测。</w:t>
      </w:r>
    </w:p>
    <w:p>
      <w:pPr>
        <w:spacing w:before="182" w:line="217" w:lineRule="auto"/>
        <w:ind w:left="494"/>
        <w:rPr>
          <w:rFonts w:ascii="宋体" w:hAnsi="宋体" w:eastAsia="宋体" w:cs="宋体"/>
          <w:sz w:val="24"/>
          <w:szCs w:val="24"/>
        </w:rPr>
      </w:pPr>
      <w:r>
        <w:rPr>
          <w:rFonts w:ascii="宋体" w:hAnsi="宋体" w:eastAsia="宋体" w:cs="宋体"/>
          <w:spacing w:val="-19"/>
          <w:sz w:val="24"/>
          <w:szCs w:val="24"/>
        </w:rPr>
        <w:t xml:space="preserve">①检测项目： </w:t>
      </w:r>
      <w:r>
        <w:rPr>
          <w:rFonts w:ascii="Times New Roman" w:hAnsi="Times New Roman" w:eastAsia="Times New Roman" w:cs="Times New Roman"/>
          <w:spacing w:val="-19"/>
          <w:sz w:val="24"/>
          <w:szCs w:val="24"/>
        </w:rPr>
        <w:t>TSP</w:t>
      </w:r>
      <w:r>
        <w:rPr>
          <w:rFonts w:ascii="宋体" w:hAnsi="宋体" w:eastAsia="宋体" w:cs="宋体"/>
          <w:spacing w:val="-19"/>
          <w:sz w:val="24"/>
          <w:szCs w:val="24"/>
        </w:rPr>
        <w:t>，共</w:t>
      </w:r>
      <w:r>
        <w:rPr>
          <w:rFonts w:ascii="宋体" w:hAnsi="宋体" w:eastAsia="宋体" w:cs="宋体"/>
          <w:spacing w:val="-29"/>
          <w:sz w:val="24"/>
          <w:szCs w:val="24"/>
        </w:rPr>
        <w:t xml:space="preserve"> </w:t>
      </w:r>
      <w:r>
        <w:rPr>
          <w:rFonts w:ascii="Times New Roman" w:hAnsi="Times New Roman" w:eastAsia="Times New Roman" w:cs="Times New Roman"/>
          <w:spacing w:val="-19"/>
          <w:sz w:val="24"/>
          <w:szCs w:val="24"/>
        </w:rPr>
        <w:t xml:space="preserve">1 </w:t>
      </w:r>
      <w:r>
        <w:rPr>
          <w:rFonts w:ascii="宋体" w:hAnsi="宋体" w:eastAsia="宋体" w:cs="宋体"/>
          <w:spacing w:val="-19"/>
          <w:sz w:val="24"/>
          <w:szCs w:val="24"/>
        </w:rPr>
        <w:t>项。</w:t>
      </w:r>
    </w:p>
    <w:p>
      <w:pPr>
        <w:spacing w:before="185" w:line="468" w:lineRule="exact"/>
        <w:ind w:right="8"/>
        <w:jc w:val="right"/>
        <w:rPr>
          <w:rFonts w:ascii="宋体" w:hAnsi="宋体" w:eastAsia="宋体" w:cs="宋体"/>
          <w:sz w:val="24"/>
          <w:szCs w:val="24"/>
        </w:rPr>
      </w:pPr>
      <w:r>
        <w:rPr>
          <w:rFonts w:ascii="宋体" w:hAnsi="宋体" w:eastAsia="宋体" w:cs="宋体"/>
          <w:spacing w:val="-19"/>
          <w:position w:val="17"/>
          <w:sz w:val="24"/>
          <w:szCs w:val="24"/>
        </w:rPr>
        <w:t>②检测点位：</w:t>
      </w:r>
      <w:r>
        <w:rPr>
          <w:rFonts w:ascii="宋体" w:hAnsi="宋体" w:eastAsia="宋体" w:cs="宋体"/>
          <w:spacing w:val="-30"/>
          <w:position w:val="17"/>
          <w:sz w:val="24"/>
          <w:szCs w:val="24"/>
        </w:rPr>
        <w:t xml:space="preserve"> </w:t>
      </w:r>
      <w:r>
        <w:rPr>
          <w:rFonts w:ascii="宋体" w:hAnsi="宋体" w:eastAsia="宋体" w:cs="宋体"/>
          <w:spacing w:val="-19"/>
          <w:position w:val="17"/>
          <w:sz w:val="24"/>
          <w:szCs w:val="24"/>
        </w:rPr>
        <w:t>坝址枢纽区、坝址下风向东北侧（</w:t>
      </w:r>
      <w:r>
        <w:rPr>
          <w:rFonts w:ascii="Times New Roman" w:hAnsi="Times New Roman" w:eastAsia="Times New Roman" w:cs="Times New Roman"/>
          <w:spacing w:val="-19"/>
          <w:position w:val="17"/>
          <w:sz w:val="24"/>
          <w:szCs w:val="24"/>
        </w:rPr>
        <w:t xml:space="preserve">950m </w:t>
      </w:r>
      <w:r>
        <w:rPr>
          <w:rFonts w:ascii="宋体" w:hAnsi="宋体" w:eastAsia="宋体" w:cs="宋体"/>
          <w:spacing w:val="-19"/>
          <w:position w:val="17"/>
          <w:sz w:val="24"/>
          <w:szCs w:val="24"/>
        </w:rPr>
        <w:t>处的么他苴村</w:t>
      </w:r>
      <w:r>
        <w:rPr>
          <w:rFonts w:ascii="宋体" w:hAnsi="宋体" w:eastAsia="宋体" w:cs="宋体"/>
          <w:spacing w:val="-25"/>
          <w:position w:val="17"/>
          <w:sz w:val="24"/>
          <w:szCs w:val="24"/>
        </w:rPr>
        <w:t>），</w:t>
      </w:r>
      <w:r>
        <w:rPr>
          <w:rFonts w:ascii="宋体" w:hAnsi="宋体" w:eastAsia="宋体" w:cs="宋体"/>
          <w:spacing w:val="-19"/>
          <w:position w:val="17"/>
          <w:sz w:val="24"/>
          <w:szCs w:val="24"/>
        </w:rPr>
        <w:t>共</w:t>
      </w:r>
      <w:r>
        <w:rPr>
          <w:rFonts w:ascii="宋体" w:hAnsi="宋体" w:eastAsia="宋体" w:cs="宋体"/>
          <w:spacing w:val="-60"/>
          <w:position w:val="17"/>
          <w:sz w:val="24"/>
          <w:szCs w:val="24"/>
        </w:rPr>
        <w:t xml:space="preserve"> </w:t>
      </w:r>
      <w:r>
        <w:rPr>
          <w:rFonts w:ascii="Times New Roman" w:hAnsi="Times New Roman" w:eastAsia="Times New Roman" w:cs="Times New Roman"/>
          <w:spacing w:val="-19"/>
          <w:position w:val="17"/>
          <w:sz w:val="24"/>
          <w:szCs w:val="24"/>
        </w:rPr>
        <w:t xml:space="preserve">2 </w:t>
      </w:r>
      <w:r>
        <w:rPr>
          <w:rFonts w:ascii="宋体" w:hAnsi="宋体" w:eastAsia="宋体" w:cs="宋体"/>
          <w:spacing w:val="-19"/>
          <w:position w:val="17"/>
          <w:sz w:val="24"/>
          <w:szCs w:val="24"/>
        </w:rPr>
        <w:t>个检</w:t>
      </w:r>
    </w:p>
    <w:p>
      <w:pPr>
        <w:spacing w:before="2" w:line="220" w:lineRule="auto"/>
        <w:ind w:left="40"/>
        <w:rPr>
          <w:rFonts w:ascii="宋体" w:hAnsi="宋体" w:eastAsia="宋体" w:cs="宋体"/>
          <w:sz w:val="24"/>
          <w:szCs w:val="24"/>
        </w:rPr>
      </w:pPr>
      <w:r>
        <w:rPr>
          <w:rFonts w:ascii="宋体" w:hAnsi="宋体" w:eastAsia="宋体" w:cs="宋体"/>
          <w:spacing w:val="-16"/>
          <w:sz w:val="24"/>
          <w:szCs w:val="24"/>
        </w:rPr>
        <w:t>测点位。</w:t>
      </w:r>
    </w:p>
    <w:p>
      <w:pPr>
        <w:spacing w:before="181" w:line="217" w:lineRule="auto"/>
        <w:ind w:left="493"/>
        <w:rPr>
          <w:rFonts w:ascii="宋体" w:hAnsi="宋体" w:eastAsia="宋体" w:cs="宋体"/>
          <w:sz w:val="24"/>
          <w:szCs w:val="24"/>
        </w:rPr>
      </w:pPr>
      <w:r>
        <w:rPr>
          <w:rFonts w:ascii="宋体" w:hAnsi="宋体" w:eastAsia="宋体" w:cs="宋体"/>
          <w:spacing w:val="-14"/>
          <w:sz w:val="24"/>
          <w:szCs w:val="24"/>
        </w:rPr>
        <w:t xml:space="preserve">③检测频率： </w:t>
      </w:r>
      <w:r>
        <w:rPr>
          <w:rFonts w:ascii="Times New Roman" w:hAnsi="Times New Roman" w:eastAsia="Times New Roman" w:cs="Times New Roman"/>
          <w:spacing w:val="-14"/>
          <w:sz w:val="24"/>
          <w:szCs w:val="24"/>
        </w:rPr>
        <w:t xml:space="preserve">2023 </w:t>
      </w:r>
      <w:r>
        <w:rPr>
          <w:rFonts w:ascii="宋体" w:hAnsi="宋体" w:eastAsia="宋体" w:cs="宋体"/>
          <w:spacing w:val="-14"/>
          <w:sz w:val="24"/>
          <w:szCs w:val="24"/>
        </w:rPr>
        <w:t>年</w:t>
      </w:r>
      <w:r>
        <w:rPr>
          <w:rFonts w:ascii="宋体" w:hAnsi="宋体" w:eastAsia="宋体" w:cs="宋体"/>
          <w:spacing w:val="-59"/>
          <w:sz w:val="24"/>
          <w:szCs w:val="24"/>
        </w:rPr>
        <w:t xml:space="preserve"> </w:t>
      </w:r>
      <w:r>
        <w:rPr>
          <w:rFonts w:ascii="Times New Roman" w:hAnsi="Times New Roman" w:eastAsia="Times New Roman" w:cs="Times New Roman"/>
          <w:spacing w:val="-14"/>
          <w:sz w:val="24"/>
          <w:szCs w:val="24"/>
        </w:rPr>
        <w:t xml:space="preserve">3 </w:t>
      </w:r>
      <w:r>
        <w:rPr>
          <w:rFonts w:ascii="宋体" w:hAnsi="宋体" w:eastAsia="宋体" w:cs="宋体"/>
          <w:spacing w:val="-14"/>
          <w:sz w:val="24"/>
          <w:szCs w:val="24"/>
        </w:rPr>
        <w:t>月</w:t>
      </w:r>
      <w:r>
        <w:rPr>
          <w:rFonts w:ascii="宋体" w:hAnsi="宋体" w:eastAsia="宋体" w:cs="宋体"/>
          <w:spacing w:val="-71"/>
          <w:sz w:val="24"/>
          <w:szCs w:val="24"/>
        </w:rPr>
        <w:t xml:space="preserve"> </w:t>
      </w:r>
      <w:r>
        <w:rPr>
          <w:rFonts w:ascii="Times New Roman" w:hAnsi="Times New Roman" w:eastAsia="Times New Roman" w:cs="Times New Roman"/>
          <w:spacing w:val="-14"/>
          <w:sz w:val="24"/>
          <w:szCs w:val="24"/>
        </w:rPr>
        <w:t xml:space="preserve">28  </w:t>
      </w:r>
      <w:r>
        <w:rPr>
          <w:rFonts w:ascii="宋体" w:hAnsi="宋体" w:eastAsia="宋体" w:cs="宋体"/>
          <w:spacing w:val="-14"/>
          <w:sz w:val="24"/>
          <w:szCs w:val="24"/>
        </w:rPr>
        <w:t>日至</w:t>
      </w:r>
      <w:r>
        <w:rPr>
          <w:rFonts w:ascii="宋体" w:hAnsi="宋体" w:eastAsia="宋体" w:cs="宋体"/>
          <w:spacing w:val="-70"/>
          <w:sz w:val="24"/>
          <w:szCs w:val="24"/>
        </w:rPr>
        <w:t xml:space="preserve"> </w:t>
      </w:r>
      <w:r>
        <w:rPr>
          <w:rFonts w:ascii="Times New Roman" w:hAnsi="Times New Roman" w:eastAsia="Times New Roman" w:cs="Times New Roman"/>
          <w:spacing w:val="-14"/>
          <w:sz w:val="24"/>
          <w:szCs w:val="24"/>
        </w:rPr>
        <w:t xml:space="preserve">4 </w:t>
      </w:r>
      <w:r>
        <w:rPr>
          <w:rFonts w:ascii="宋体" w:hAnsi="宋体" w:eastAsia="宋体" w:cs="宋体"/>
          <w:spacing w:val="-14"/>
          <w:sz w:val="24"/>
          <w:szCs w:val="24"/>
        </w:rPr>
        <w:t>月</w:t>
      </w:r>
      <w:r>
        <w:rPr>
          <w:rFonts w:ascii="宋体" w:hAnsi="宋体" w:eastAsia="宋体" w:cs="宋体"/>
          <w:spacing w:val="-66"/>
          <w:sz w:val="24"/>
          <w:szCs w:val="24"/>
        </w:rPr>
        <w:t xml:space="preserve"> </w:t>
      </w:r>
      <w:r>
        <w:rPr>
          <w:rFonts w:ascii="Times New Roman" w:hAnsi="Times New Roman" w:eastAsia="Times New Roman" w:cs="Times New Roman"/>
          <w:spacing w:val="-14"/>
          <w:sz w:val="24"/>
          <w:szCs w:val="24"/>
        </w:rPr>
        <w:t xml:space="preserve">3  </w:t>
      </w:r>
      <w:r>
        <w:rPr>
          <w:rFonts w:ascii="宋体" w:hAnsi="宋体" w:eastAsia="宋体" w:cs="宋体"/>
          <w:spacing w:val="-14"/>
          <w:sz w:val="24"/>
          <w:szCs w:val="24"/>
        </w:rPr>
        <w:t>日，连续检测</w:t>
      </w:r>
      <w:r>
        <w:rPr>
          <w:rFonts w:ascii="宋体" w:hAnsi="宋体" w:eastAsia="宋体" w:cs="宋体"/>
          <w:spacing w:val="-67"/>
          <w:sz w:val="24"/>
          <w:szCs w:val="24"/>
        </w:rPr>
        <w:t xml:space="preserve"> </w:t>
      </w:r>
      <w:r>
        <w:rPr>
          <w:rFonts w:ascii="Times New Roman" w:hAnsi="Times New Roman" w:eastAsia="Times New Roman" w:cs="Times New Roman"/>
          <w:spacing w:val="-14"/>
          <w:sz w:val="24"/>
          <w:szCs w:val="24"/>
        </w:rPr>
        <w:t xml:space="preserve">7 </w:t>
      </w:r>
      <w:r>
        <w:rPr>
          <w:rFonts w:ascii="宋体" w:hAnsi="宋体" w:eastAsia="宋体" w:cs="宋体"/>
          <w:spacing w:val="-14"/>
          <w:sz w:val="24"/>
          <w:szCs w:val="24"/>
        </w:rPr>
        <w:t>天，检测日均值。</w:t>
      </w:r>
    </w:p>
    <w:p>
      <w:pPr>
        <w:spacing w:before="186" w:line="217" w:lineRule="auto"/>
        <w:ind w:left="493"/>
        <w:rPr>
          <w:rFonts w:ascii="宋体" w:hAnsi="宋体" w:eastAsia="宋体" w:cs="宋体"/>
          <w:sz w:val="24"/>
          <w:szCs w:val="24"/>
        </w:rPr>
      </w:pPr>
      <w:r>
        <w:rPr>
          <w:rFonts w:ascii="宋体" w:hAnsi="宋体" w:eastAsia="宋体" w:cs="宋体"/>
          <w:spacing w:val="-2"/>
          <w:sz w:val="24"/>
          <w:szCs w:val="24"/>
        </w:rPr>
        <w:t>④监测结果：监测结果见表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3.2-6</w:t>
      </w:r>
      <w:r>
        <w:rPr>
          <w:rFonts w:ascii="宋体" w:hAnsi="宋体" w:eastAsia="宋体" w:cs="宋体"/>
          <w:spacing w:val="-2"/>
          <w:sz w:val="24"/>
          <w:szCs w:val="24"/>
        </w:rPr>
        <w:t>。</w:t>
      </w:r>
    </w:p>
    <w:p>
      <w:pPr>
        <w:spacing w:before="200" w:line="212" w:lineRule="auto"/>
        <w:ind w:left="1261"/>
        <w:rPr>
          <w:rFonts w:ascii="Times New Roman" w:hAnsi="Times New Roman" w:eastAsia="Times New Roman" w:cs="Times New Roman"/>
          <w:sz w:val="21"/>
          <w:szCs w:val="21"/>
        </w:rPr>
      </w:pPr>
      <w:r>
        <w:rPr>
          <w:rFonts w:ascii="宋体" w:hAnsi="宋体" w:eastAsia="宋体" w:cs="宋体"/>
          <w:spacing w:val="-3"/>
          <w:sz w:val="21"/>
          <w:szCs w:val="21"/>
          <w14:textOutline w14:w="3810" w14:cap="flat" w14:cmpd="sng">
            <w14:solidFill>
              <w14:srgbClr w14:val="000000"/>
            </w14:solidFill>
            <w14:prstDash w14:val="solid"/>
            <w14:miter w14:val="0"/>
          </w14:textOutline>
        </w:rPr>
        <w:t>表</w:t>
      </w:r>
      <w:r>
        <w:rPr>
          <w:rFonts w:ascii="宋体" w:hAnsi="宋体" w:eastAsia="宋体" w:cs="宋体"/>
          <w:spacing w:val="-34"/>
          <w:sz w:val="21"/>
          <w:szCs w:val="21"/>
        </w:rPr>
        <w:t xml:space="preserve"> </w:t>
      </w:r>
      <w:r>
        <w:rPr>
          <w:rFonts w:ascii="Times New Roman" w:hAnsi="Times New Roman" w:eastAsia="Times New Roman" w:cs="Times New Roman"/>
          <w:b/>
          <w:bCs/>
          <w:spacing w:val="-3"/>
          <w:sz w:val="21"/>
          <w:szCs w:val="21"/>
        </w:rPr>
        <w:t xml:space="preserve">3.2-6    </w:t>
      </w:r>
      <w:r>
        <w:rPr>
          <w:rFonts w:ascii="宋体" w:hAnsi="宋体" w:eastAsia="宋体" w:cs="宋体"/>
          <w:spacing w:val="-3"/>
          <w:sz w:val="21"/>
          <w:szCs w:val="21"/>
          <w14:textOutline w14:w="3810" w14:cap="flat" w14:cmpd="sng">
            <w14:solidFill>
              <w14:srgbClr w14:val="000000"/>
            </w14:solidFill>
            <w14:prstDash w14:val="solid"/>
            <w14:miter w14:val="0"/>
          </w14:textOutline>
        </w:rPr>
        <w:t>评价区域环境空气质量现状监测结果表</w:t>
      </w:r>
      <w:r>
        <w:rPr>
          <w:rFonts w:ascii="宋体" w:hAnsi="宋体" w:eastAsia="宋体" w:cs="宋体"/>
          <w:spacing w:val="-3"/>
          <w:sz w:val="21"/>
          <w:szCs w:val="21"/>
        </w:rPr>
        <w:t xml:space="preserve">  </w:t>
      </w:r>
      <w:r>
        <w:rPr>
          <w:rFonts w:ascii="宋体" w:hAnsi="宋体" w:eastAsia="宋体" w:cs="宋体"/>
          <w:spacing w:val="-3"/>
          <w:sz w:val="21"/>
          <w:szCs w:val="21"/>
          <w14:textOutline w14:w="3810" w14:cap="flat" w14:cmpd="sng">
            <w14:solidFill>
              <w14:srgbClr w14:val="000000"/>
            </w14:solidFill>
            <w14:prstDash w14:val="solid"/>
            <w14:miter w14:val="0"/>
          </w14:textOutline>
        </w:rPr>
        <w:t>单位：</w:t>
      </w:r>
      <w:r>
        <w:rPr>
          <w:rFonts w:ascii="宋体" w:hAnsi="宋体" w:eastAsia="宋体" w:cs="宋体"/>
          <w:spacing w:val="-3"/>
          <w:sz w:val="21"/>
          <w:szCs w:val="21"/>
        </w:rPr>
        <w:t xml:space="preserve"> </w:t>
      </w:r>
      <w:r>
        <w:rPr>
          <w:rFonts w:ascii="Times New Roman" w:hAnsi="Times New Roman" w:eastAsia="Times New Roman" w:cs="Times New Roman"/>
          <w:b/>
          <w:bCs/>
          <w:spacing w:val="-3"/>
          <w:sz w:val="21"/>
          <w:szCs w:val="21"/>
        </w:rPr>
        <w:t>µg/m³</w:t>
      </w:r>
    </w:p>
    <w:p>
      <w:pPr>
        <w:spacing w:line="98" w:lineRule="exact"/>
      </w:pPr>
    </w:p>
    <w:tbl>
      <w:tblPr>
        <w:tblStyle w:val="5"/>
        <w:tblW w:w="8307"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2010"/>
        <w:gridCol w:w="1288"/>
        <w:gridCol w:w="730"/>
        <w:gridCol w:w="919"/>
        <w:gridCol w:w="821"/>
        <w:gridCol w:w="821"/>
        <w:gridCol w:w="8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2" w:hRule="atLeast"/>
        </w:trPr>
        <w:tc>
          <w:tcPr>
            <w:tcW w:w="905" w:type="dxa"/>
            <w:tcBorders>
              <w:top w:val="single" w:color="000000" w:sz="12" w:space="0"/>
              <w:left w:val="nil"/>
            </w:tcBorders>
            <w:vAlign w:val="top"/>
          </w:tcPr>
          <w:p>
            <w:pPr>
              <w:spacing w:before="270" w:line="216" w:lineRule="auto"/>
              <w:ind w:left="46"/>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检测点位</w:t>
            </w:r>
          </w:p>
        </w:tc>
        <w:tc>
          <w:tcPr>
            <w:tcW w:w="2010" w:type="dxa"/>
            <w:tcBorders>
              <w:top w:val="single" w:color="000000" w:sz="12" w:space="0"/>
            </w:tcBorders>
            <w:vAlign w:val="top"/>
          </w:tcPr>
          <w:p>
            <w:pPr>
              <w:spacing w:before="270" w:line="219" w:lineRule="auto"/>
              <w:ind w:left="847"/>
              <w:rPr>
                <w:rFonts w:ascii="仿宋" w:hAnsi="仿宋" w:eastAsia="仿宋" w:cs="仿宋"/>
                <w:sz w:val="21"/>
                <w:szCs w:val="21"/>
              </w:rPr>
            </w:pPr>
            <w:r>
              <w:rPr>
                <w:rFonts w:ascii="仿宋" w:hAnsi="仿宋" w:eastAsia="仿宋" w:cs="仿宋"/>
                <w:spacing w:val="-15"/>
                <w:sz w:val="21"/>
                <w:szCs w:val="21"/>
                <w14:textOutline w14:w="3810" w14:cap="flat" w14:cmpd="sng">
                  <w14:solidFill>
                    <w14:srgbClr w14:val="000000"/>
                  </w14:solidFill>
                  <w14:prstDash w14:val="solid"/>
                  <w14:miter w14:val="0"/>
                </w14:textOutline>
              </w:rPr>
              <w:t>日期</w:t>
            </w:r>
          </w:p>
        </w:tc>
        <w:tc>
          <w:tcPr>
            <w:tcW w:w="1288" w:type="dxa"/>
            <w:tcBorders>
              <w:top w:val="single" w:color="000000" w:sz="12" w:space="0"/>
            </w:tcBorders>
            <w:vAlign w:val="top"/>
          </w:tcPr>
          <w:p>
            <w:pPr>
              <w:spacing w:before="270" w:line="219" w:lineRule="auto"/>
              <w:ind w:left="457"/>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时间</w:t>
            </w:r>
          </w:p>
        </w:tc>
        <w:tc>
          <w:tcPr>
            <w:tcW w:w="730" w:type="dxa"/>
            <w:tcBorders>
              <w:top w:val="single" w:color="000000" w:sz="12" w:space="0"/>
            </w:tcBorders>
            <w:vAlign w:val="top"/>
          </w:tcPr>
          <w:p>
            <w:pPr>
              <w:spacing w:line="245" w:lineRule="auto"/>
              <w:rPr>
                <w:rFonts w:ascii="Arial"/>
                <w:sz w:val="21"/>
              </w:rPr>
            </w:pPr>
          </w:p>
          <w:p>
            <w:pPr>
              <w:pStyle w:val="6"/>
              <w:spacing w:before="60" w:line="188" w:lineRule="auto"/>
              <w:ind w:left="173"/>
            </w:pPr>
            <w:r>
              <w:rPr>
                <w:b/>
                <w:bCs/>
                <w:spacing w:val="-2"/>
              </w:rPr>
              <w:t>TSP</w:t>
            </w:r>
          </w:p>
        </w:tc>
        <w:tc>
          <w:tcPr>
            <w:tcW w:w="919" w:type="dxa"/>
            <w:tcBorders>
              <w:top w:val="single" w:color="000000" w:sz="12" w:space="0"/>
            </w:tcBorders>
            <w:vAlign w:val="top"/>
          </w:tcPr>
          <w:p>
            <w:pPr>
              <w:pStyle w:val="6"/>
              <w:spacing w:before="134" w:line="247" w:lineRule="auto"/>
              <w:ind w:left="286" w:right="139" w:hanging="135"/>
            </w:pPr>
            <w:r>
              <w:rPr>
                <w:rFonts w:ascii="仿宋" w:hAnsi="仿宋" w:eastAsia="仿宋" w:cs="仿宋"/>
                <w:spacing w:val="-5"/>
                <w14:textOutline w14:w="3810" w14:cap="flat" w14:cmpd="sng">
                  <w14:solidFill>
                    <w14:srgbClr w14:val="000000"/>
                  </w14:solidFill>
                  <w14:prstDash w14:val="solid"/>
                  <w14:miter w14:val="0"/>
                </w14:textOutline>
              </w:rPr>
              <w:t>超标率</w:t>
            </w:r>
            <w:r>
              <w:rPr>
                <w:rFonts w:ascii="仿宋" w:hAnsi="仿宋" w:eastAsia="仿宋" w:cs="仿宋"/>
                <w:spacing w:val="1"/>
              </w:rPr>
              <w:t xml:space="preserve"> </w:t>
            </w:r>
            <w:r>
              <w:rPr>
                <w:b/>
                <w:bCs/>
                <w:spacing w:val="-3"/>
              </w:rPr>
              <w:t>(%)</w:t>
            </w:r>
          </w:p>
        </w:tc>
        <w:tc>
          <w:tcPr>
            <w:tcW w:w="821" w:type="dxa"/>
            <w:tcBorders>
              <w:top w:val="single" w:color="000000" w:sz="12" w:space="0"/>
            </w:tcBorders>
            <w:vAlign w:val="top"/>
          </w:tcPr>
          <w:p>
            <w:pPr>
              <w:spacing w:before="135" w:line="300" w:lineRule="exact"/>
              <w:ind w:left="208"/>
              <w:rPr>
                <w:rFonts w:ascii="仿宋" w:hAnsi="仿宋" w:eastAsia="仿宋" w:cs="仿宋"/>
                <w:sz w:val="21"/>
                <w:szCs w:val="21"/>
              </w:rPr>
            </w:pPr>
            <w:r>
              <w:rPr>
                <w:rFonts w:ascii="仿宋" w:hAnsi="仿宋" w:eastAsia="仿宋" w:cs="仿宋"/>
                <w:spacing w:val="-4"/>
                <w:position w:val="6"/>
                <w:sz w:val="21"/>
                <w:szCs w:val="21"/>
                <w14:textOutline w14:w="3810" w14:cap="flat" w14:cmpd="sng">
                  <w14:solidFill>
                    <w14:srgbClr w14:val="000000"/>
                  </w14:solidFill>
                  <w14:prstDash w14:val="solid"/>
                  <w14:miter w14:val="0"/>
                </w14:textOutline>
              </w:rPr>
              <w:t>超标</w:t>
            </w:r>
          </w:p>
          <w:p>
            <w:pPr>
              <w:spacing w:line="218" w:lineRule="auto"/>
              <w:ind w:left="209"/>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倍数</w:t>
            </w:r>
          </w:p>
        </w:tc>
        <w:tc>
          <w:tcPr>
            <w:tcW w:w="821" w:type="dxa"/>
            <w:tcBorders>
              <w:top w:val="single" w:color="000000" w:sz="12" w:space="0"/>
            </w:tcBorders>
            <w:vAlign w:val="top"/>
          </w:tcPr>
          <w:p>
            <w:pPr>
              <w:spacing w:before="135" w:line="300" w:lineRule="exact"/>
              <w:ind w:left="207"/>
              <w:rPr>
                <w:rFonts w:ascii="仿宋" w:hAnsi="仿宋" w:eastAsia="仿宋" w:cs="仿宋"/>
                <w:sz w:val="21"/>
                <w:szCs w:val="21"/>
              </w:rPr>
            </w:pPr>
            <w:r>
              <w:rPr>
                <w:rFonts w:ascii="仿宋" w:hAnsi="仿宋" w:eastAsia="仿宋" w:cs="仿宋"/>
                <w:spacing w:val="-4"/>
                <w:position w:val="6"/>
                <w:sz w:val="21"/>
                <w:szCs w:val="21"/>
                <w14:textOutline w14:w="3810" w14:cap="flat" w14:cmpd="sng">
                  <w14:solidFill>
                    <w14:srgbClr w14:val="000000"/>
                  </w14:solidFill>
                  <w14:prstDash w14:val="solid"/>
                  <w14:miter w14:val="0"/>
                </w14:textOutline>
              </w:rPr>
              <w:t>标准</w:t>
            </w:r>
          </w:p>
          <w:p>
            <w:pPr>
              <w:spacing w:line="218" w:lineRule="auto"/>
              <w:ind w:left="221"/>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限值</w:t>
            </w:r>
          </w:p>
        </w:tc>
        <w:tc>
          <w:tcPr>
            <w:tcW w:w="813" w:type="dxa"/>
            <w:tcBorders>
              <w:top w:val="single" w:color="000000" w:sz="12" w:space="0"/>
              <w:right w:val="nil"/>
            </w:tcBorders>
            <w:vAlign w:val="top"/>
          </w:tcPr>
          <w:p>
            <w:pPr>
              <w:spacing w:before="135" w:line="300" w:lineRule="exact"/>
              <w:ind w:left="206"/>
              <w:rPr>
                <w:rFonts w:ascii="仿宋" w:hAnsi="仿宋" w:eastAsia="仿宋" w:cs="仿宋"/>
                <w:sz w:val="21"/>
                <w:szCs w:val="21"/>
              </w:rPr>
            </w:pPr>
            <w:r>
              <w:rPr>
                <w:rFonts w:ascii="仿宋" w:hAnsi="仿宋" w:eastAsia="仿宋" w:cs="仿宋"/>
                <w:spacing w:val="-4"/>
                <w:position w:val="6"/>
                <w:sz w:val="21"/>
                <w:szCs w:val="21"/>
                <w14:textOutline w14:w="3810" w14:cap="flat" w14:cmpd="sng">
                  <w14:solidFill>
                    <w14:srgbClr w14:val="000000"/>
                  </w14:solidFill>
                  <w14:prstDash w14:val="solid"/>
                  <w14:miter w14:val="0"/>
                </w14:textOutline>
              </w:rPr>
              <w:t>达标</w:t>
            </w:r>
          </w:p>
          <w:p>
            <w:pPr>
              <w:spacing w:line="218" w:lineRule="auto"/>
              <w:ind w:left="209"/>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trPr>
        <w:tc>
          <w:tcPr>
            <w:tcW w:w="905" w:type="dxa"/>
            <w:vMerge w:val="restart"/>
            <w:tcBorders>
              <w:left w:val="nil"/>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8" w:line="246" w:lineRule="auto"/>
              <w:ind w:left="150" w:right="26" w:hanging="94"/>
              <w:rPr>
                <w:rFonts w:ascii="仿宋" w:hAnsi="仿宋" w:eastAsia="仿宋" w:cs="仿宋"/>
              </w:rPr>
            </w:pPr>
            <w:r>
              <w:rPr>
                <w:spacing w:val="-5"/>
              </w:rPr>
              <w:t>1#</w:t>
            </w:r>
            <w:r>
              <w:rPr>
                <w:rFonts w:ascii="仿宋" w:hAnsi="仿宋" w:eastAsia="仿宋" w:cs="仿宋"/>
                <w:spacing w:val="-5"/>
              </w:rPr>
              <w:t>为坝址</w:t>
            </w:r>
            <w:r>
              <w:rPr>
                <w:rFonts w:ascii="仿宋" w:hAnsi="仿宋" w:eastAsia="仿宋" w:cs="仿宋"/>
              </w:rPr>
              <w:t xml:space="preserve"> </w:t>
            </w:r>
            <w:r>
              <w:rPr>
                <w:rFonts w:ascii="仿宋" w:hAnsi="仿宋" w:eastAsia="仿宋" w:cs="仿宋"/>
                <w:spacing w:val="-3"/>
              </w:rPr>
              <w:t>枢纽区</w:t>
            </w:r>
          </w:p>
        </w:tc>
        <w:tc>
          <w:tcPr>
            <w:tcW w:w="2010" w:type="dxa"/>
            <w:vAlign w:val="top"/>
          </w:tcPr>
          <w:p>
            <w:pPr>
              <w:pStyle w:val="6"/>
              <w:spacing w:before="261" w:line="188" w:lineRule="auto"/>
              <w:ind w:left="107"/>
            </w:pPr>
            <w:r>
              <w:rPr>
                <w:spacing w:val="-1"/>
              </w:rPr>
              <w:t>2023.3.28~2023.3.29</w:t>
            </w:r>
          </w:p>
        </w:tc>
        <w:tc>
          <w:tcPr>
            <w:tcW w:w="1288" w:type="dxa"/>
            <w:vAlign w:val="top"/>
          </w:tcPr>
          <w:p>
            <w:pPr>
              <w:pStyle w:val="6"/>
              <w:spacing w:before="68" w:line="251" w:lineRule="auto"/>
              <w:ind w:left="406" w:right="153" w:hanging="244"/>
            </w:pPr>
            <w:r>
              <w:rPr>
                <w:spacing w:val="-1"/>
              </w:rPr>
              <w:t>08:00-</w:t>
            </w:r>
            <w:r>
              <w:rPr>
                <w:rFonts w:ascii="仿宋" w:hAnsi="仿宋" w:eastAsia="仿宋" w:cs="仿宋"/>
                <w:spacing w:val="-1"/>
              </w:rPr>
              <w:t>次日</w:t>
            </w:r>
            <w:r>
              <w:rPr>
                <w:rFonts w:ascii="仿宋" w:hAnsi="仿宋" w:eastAsia="仿宋" w:cs="仿宋"/>
              </w:rPr>
              <w:t xml:space="preserve"> </w:t>
            </w:r>
            <w:r>
              <w:rPr>
                <w:spacing w:val="-2"/>
              </w:rPr>
              <w:t>08:00</w:t>
            </w:r>
          </w:p>
        </w:tc>
        <w:tc>
          <w:tcPr>
            <w:tcW w:w="730" w:type="dxa"/>
            <w:vAlign w:val="top"/>
          </w:tcPr>
          <w:p>
            <w:pPr>
              <w:pStyle w:val="6"/>
              <w:spacing w:before="261" w:line="188" w:lineRule="auto"/>
              <w:ind w:left="229"/>
            </w:pPr>
            <w:r>
              <w:rPr>
                <w:spacing w:val="-10"/>
              </w:rPr>
              <w:t>114</w:t>
            </w:r>
          </w:p>
        </w:tc>
        <w:tc>
          <w:tcPr>
            <w:tcW w:w="919" w:type="dxa"/>
            <w:vAlign w:val="top"/>
          </w:tcPr>
          <w:p>
            <w:pPr>
              <w:pStyle w:val="6"/>
              <w:spacing w:before="261" w:line="188" w:lineRule="auto"/>
              <w:ind w:left="408"/>
            </w:pPr>
            <w:r>
              <w:t>0</w:t>
            </w:r>
          </w:p>
        </w:tc>
        <w:tc>
          <w:tcPr>
            <w:tcW w:w="821" w:type="dxa"/>
            <w:vAlign w:val="top"/>
          </w:tcPr>
          <w:p>
            <w:pPr>
              <w:pStyle w:val="6"/>
              <w:spacing w:before="261" w:line="188" w:lineRule="auto"/>
              <w:ind w:left="359"/>
            </w:pPr>
            <w:r>
              <w:t>0</w:t>
            </w:r>
          </w:p>
        </w:tc>
        <w:tc>
          <w:tcPr>
            <w:tcW w:w="821"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61" w:line="188" w:lineRule="auto"/>
              <w:ind w:left="256"/>
            </w:pPr>
            <w:r>
              <w:rPr>
                <w:spacing w:val="-2"/>
              </w:rPr>
              <w:t>300</w:t>
            </w:r>
          </w:p>
        </w:tc>
        <w:tc>
          <w:tcPr>
            <w:tcW w:w="813" w:type="dxa"/>
            <w:tcBorders>
              <w:right w:val="nil"/>
            </w:tcBorders>
            <w:vAlign w:val="top"/>
          </w:tcPr>
          <w:p>
            <w:pPr>
              <w:spacing w:before="225"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4" w:hRule="atLeast"/>
        </w:trPr>
        <w:tc>
          <w:tcPr>
            <w:tcW w:w="905" w:type="dxa"/>
            <w:vMerge w:val="continue"/>
            <w:tcBorders>
              <w:top w:val="nil"/>
              <w:left w:val="nil"/>
              <w:bottom w:val="nil"/>
            </w:tcBorders>
            <w:vAlign w:val="top"/>
          </w:tcPr>
          <w:p>
            <w:pPr>
              <w:rPr>
                <w:rFonts w:ascii="Arial"/>
                <w:sz w:val="21"/>
              </w:rPr>
            </w:pPr>
          </w:p>
        </w:tc>
        <w:tc>
          <w:tcPr>
            <w:tcW w:w="2010" w:type="dxa"/>
            <w:vAlign w:val="top"/>
          </w:tcPr>
          <w:p>
            <w:pPr>
              <w:pStyle w:val="6"/>
              <w:spacing w:before="266" w:line="188" w:lineRule="auto"/>
              <w:ind w:left="107"/>
            </w:pPr>
            <w:r>
              <w:rPr>
                <w:spacing w:val="-1"/>
              </w:rPr>
              <w:t>2023.3.29~2023.3.30</w:t>
            </w:r>
          </w:p>
        </w:tc>
        <w:tc>
          <w:tcPr>
            <w:tcW w:w="1288" w:type="dxa"/>
            <w:vAlign w:val="top"/>
          </w:tcPr>
          <w:p>
            <w:pPr>
              <w:pStyle w:val="6"/>
              <w:spacing w:before="73" w:line="251" w:lineRule="auto"/>
              <w:ind w:left="406" w:right="153" w:hanging="244"/>
            </w:pPr>
            <w:r>
              <w:rPr>
                <w:spacing w:val="-1"/>
              </w:rPr>
              <w:t>08:30-</w:t>
            </w:r>
            <w:r>
              <w:rPr>
                <w:rFonts w:ascii="仿宋" w:hAnsi="仿宋" w:eastAsia="仿宋" w:cs="仿宋"/>
                <w:spacing w:val="-1"/>
              </w:rPr>
              <w:t>次日</w:t>
            </w:r>
            <w:r>
              <w:rPr>
                <w:rFonts w:ascii="仿宋" w:hAnsi="仿宋" w:eastAsia="仿宋" w:cs="仿宋"/>
              </w:rPr>
              <w:t xml:space="preserve"> </w:t>
            </w:r>
            <w:r>
              <w:rPr>
                <w:spacing w:val="-2"/>
              </w:rPr>
              <w:t>08:30</w:t>
            </w:r>
          </w:p>
        </w:tc>
        <w:tc>
          <w:tcPr>
            <w:tcW w:w="730" w:type="dxa"/>
            <w:vAlign w:val="top"/>
          </w:tcPr>
          <w:p>
            <w:pPr>
              <w:pStyle w:val="6"/>
              <w:spacing w:before="266" w:line="188" w:lineRule="auto"/>
              <w:ind w:left="229"/>
            </w:pPr>
            <w:r>
              <w:rPr>
                <w:spacing w:val="-10"/>
              </w:rPr>
              <w:t>117</w:t>
            </w:r>
          </w:p>
        </w:tc>
        <w:tc>
          <w:tcPr>
            <w:tcW w:w="919" w:type="dxa"/>
            <w:vAlign w:val="top"/>
          </w:tcPr>
          <w:p>
            <w:pPr>
              <w:pStyle w:val="6"/>
              <w:spacing w:before="266" w:line="188" w:lineRule="auto"/>
              <w:ind w:left="408"/>
            </w:pPr>
            <w:r>
              <w:t>0</w:t>
            </w:r>
          </w:p>
        </w:tc>
        <w:tc>
          <w:tcPr>
            <w:tcW w:w="821" w:type="dxa"/>
            <w:vAlign w:val="top"/>
          </w:tcPr>
          <w:p>
            <w:pPr>
              <w:pStyle w:val="6"/>
              <w:spacing w:before="266"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29"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trPr>
        <w:tc>
          <w:tcPr>
            <w:tcW w:w="905" w:type="dxa"/>
            <w:vMerge w:val="continue"/>
            <w:tcBorders>
              <w:top w:val="nil"/>
              <w:left w:val="nil"/>
              <w:bottom w:val="nil"/>
            </w:tcBorders>
            <w:vAlign w:val="top"/>
          </w:tcPr>
          <w:p>
            <w:pPr>
              <w:rPr>
                <w:rFonts w:ascii="Arial"/>
                <w:sz w:val="21"/>
              </w:rPr>
            </w:pPr>
          </w:p>
        </w:tc>
        <w:tc>
          <w:tcPr>
            <w:tcW w:w="2010" w:type="dxa"/>
            <w:vAlign w:val="top"/>
          </w:tcPr>
          <w:p>
            <w:pPr>
              <w:pStyle w:val="6"/>
              <w:spacing w:before="270" w:line="188" w:lineRule="auto"/>
              <w:ind w:left="107"/>
            </w:pPr>
            <w:r>
              <w:rPr>
                <w:spacing w:val="-1"/>
              </w:rPr>
              <w:t>2023.3.30~2023.3.31</w:t>
            </w:r>
          </w:p>
        </w:tc>
        <w:tc>
          <w:tcPr>
            <w:tcW w:w="1288" w:type="dxa"/>
            <w:vAlign w:val="top"/>
          </w:tcPr>
          <w:p>
            <w:pPr>
              <w:pStyle w:val="6"/>
              <w:spacing w:before="77" w:line="251" w:lineRule="auto"/>
              <w:ind w:left="406" w:right="153" w:hanging="244"/>
            </w:pPr>
            <w:r>
              <w:rPr>
                <w:spacing w:val="-1"/>
              </w:rPr>
              <w:t>09:00-</w:t>
            </w:r>
            <w:r>
              <w:rPr>
                <w:rFonts w:ascii="仿宋" w:hAnsi="仿宋" w:eastAsia="仿宋" w:cs="仿宋"/>
                <w:spacing w:val="-1"/>
              </w:rPr>
              <w:t>次日</w:t>
            </w:r>
            <w:r>
              <w:rPr>
                <w:rFonts w:ascii="仿宋" w:hAnsi="仿宋" w:eastAsia="仿宋" w:cs="仿宋"/>
              </w:rPr>
              <w:t xml:space="preserve"> </w:t>
            </w:r>
            <w:r>
              <w:rPr>
                <w:spacing w:val="-2"/>
              </w:rPr>
              <w:t>09:00</w:t>
            </w:r>
          </w:p>
        </w:tc>
        <w:tc>
          <w:tcPr>
            <w:tcW w:w="730" w:type="dxa"/>
            <w:vAlign w:val="top"/>
          </w:tcPr>
          <w:p>
            <w:pPr>
              <w:pStyle w:val="6"/>
              <w:spacing w:before="270" w:line="188" w:lineRule="auto"/>
              <w:ind w:left="229"/>
            </w:pPr>
            <w:r>
              <w:rPr>
                <w:spacing w:val="-10"/>
              </w:rPr>
              <w:t>118</w:t>
            </w:r>
          </w:p>
        </w:tc>
        <w:tc>
          <w:tcPr>
            <w:tcW w:w="919" w:type="dxa"/>
            <w:vAlign w:val="top"/>
          </w:tcPr>
          <w:p>
            <w:pPr>
              <w:pStyle w:val="6"/>
              <w:spacing w:before="270" w:line="188" w:lineRule="auto"/>
              <w:ind w:left="408"/>
            </w:pPr>
            <w:r>
              <w:t>0</w:t>
            </w:r>
          </w:p>
        </w:tc>
        <w:tc>
          <w:tcPr>
            <w:tcW w:w="821" w:type="dxa"/>
            <w:vAlign w:val="top"/>
          </w:tcPr>
          <w:p>
            <w:pPr>
              <w:pStyle w:val="6"/>
              <w:spacing w:before="270"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34"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905" w:type="dxa"/>
            <w:vMerge w:val="continue"/>
            <w:tcBorders>
              <w:top w:val="nil"/>
              <w:left w:val="nil"/>
              <w:bottom w:val="nil"/>
            </w:tcBorders>
            <w:vAlign w:val="top"/>
          </w:tcPr>
          <w:p>
            <w:pPr>
              <w:rPr>
                <w:rFonts w:ascii="Arial"/>
                <w:sz w:val="21"/>
              </w:rPr>
            </w:pPr>
          </w:p>
        </w:tc>
        <w:tc>
          <w:tcPr>
            <w:tcW w:w="2010" w:type="dxa"/>
            <w:vAlign w:val="top"/>
          </w:tcPr>
          <w:p>
            <w:pPr>
              <w:pStyle w:val="6"/>
              <w:spacing w:before="259" w:line="188" w:lineRule="auto"/>
              <w:ind w:left="107"/>
            </w:pPr>
            <w:r>
              <w:rPr>
                <w:spacing w:val="-1"/>
              </w:rPr>
              <w:t>2023.3.31~2023.4.01</w:t>
            </w:r>
          </w:p>
        </w:tc>
        <w:tc>
          <w:tcPr>
            <w:tcW w:w="1288" w:type="dxa"/>
            <w:vAlign w:val="top"/>
          </w:tcPr>
          <w:p>
            <w:pPr>
              <w:pStyle w:val="6"/>
              <w:spacing w:before="67" w:line="251" w:lineRule="auto"/>
              <w:ind w:left="406" w:right="153" w:hanging="244"/>
            </w:pPr>
            <w:r>
              <w:rPr>
                <w:spacing w:val="-1"/>
              </w:rPr>
              <w:t>09:30-</w:t>
            </w:r>
            <w:r>
              <w:rPr>
                <w:rFonts w:ascii="仿宋" w:hAnsi="仿宋" w:eastAsia="仿宋" w:cs="仿宋"/>
                <w:spacing w:val="-1"/>
              </w:rPr>
              <w:t>次日</w:t>
            </w:r>
            <w:r>
              <w:rPr>
                <w:rFonts w:ascii="仿宋" w:hAnsi="仿宋" w:eastAsia="仿宋" w:cs="仿宋"/>
              </w:rPr>
              <w:t xml:space="preserve"> </w:t>
            </w:r>
            <w:r>
              <w:rPr>
                <w:spacing w:val="-2"/>
              </w:rPr>
              <w:t>09:30</w:t>
            </w:r>
          </w:p>
        </w:tc>
        <w:tc>
          <w:tcPr>
            <w:tcW w:w="730" w:type="dxa"/>
            <w:vAlign w:val="top"/>
          </w:tcPr>
          <w:p>
            <w:pPr>
              <w:pStyle w:val="6"/>
              <w:spacing w:before="259" w:line="188" w:lineRule="auto"/>
              <w:ind w:left="230"/>
            </w:pPr>
            <w:r>
              <w:rPr>
                <w:spacing w:val="-10"/>
              </w:rPr>
              <w:t>110</w:t>
            </w:r>
          </w:p>
        </w:tc>
        <w:tc>
          <w:tcPr>
            <w:tcW w:w="919" w:type="dxa"/>
            <w:vAlign w:val="top"/>
          </w:tcPr>
          <w:p>
            <w:pPr>
              <w:pStyle w:val="6"/>
              <w:spacing w:before="259" w:line="188" w:lineRule="auto"/>
              <w:ind w:left="408"/>
            </w:pPr>
            <w:r>
              <w:t>0</w:t>
            </w:r>
          </w:p>
        </w:tc>
        <w:tc>
          <w:tcPr>
            <w:tcW w:w="821" w:type="dxa"/>
            <w:vAlign w:val="top"/>
          </w:tcPr>
          <w:p>
            <w:pPr>
              <w:pStyle w:val="6"/>
              <w:spacing w:before="259"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23"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905" w:type="dxa"/>
            <w:vMerge w:val="continue"/>
            <w:tcBorders>
              <w:top w:val="nil"/>
              <w:left w:val="nil"/>
              <w:bottom w:val="nil"/>
            </w:tcBorders>
            <w:vAlign w:val="top"/>
          </w:tcPr>
          <w:p>
            <w:pPr>
              <w:rPr>
                <w:rFonts w:ascii="Arial"/>
                <w:sz w:val="21"/>
              </w:rPr>
            </w:pPr>
          </w:p>
        </w:tc>
        <w:tc>
          <w:tcPr>
            <w:tcW w:w="2010" w:type="dxa"/>
            <w:vAlign w:val="top"/>
          </w:tcPr>
          <w:p>
            <w:pPr>
              <w:pStyle w:val="6"/>
              <w:spacing w:before="265" w:line="188" w:lineRule="auto"/>
              <w:ind w:left="107"/>
            </w:pPr>
            <w:r>
              <w:rPr>
                <w:spacing w:val="-1"/>
              </w:rPr>
              <w:t>2023.4.01~2023.4.02</w:t>
            </w:r>
          </w:p>
        </w:tc>
        <w:tc>
          <w:tcPr>
            <w:tcW w:w="1288" w:type="dxa"/>
            <w:vAlign w:val="top"/>
          </w:tcPr>
          <w:p>
            <w:pPr>
              <w:pStyle w:val="6"/>
              <w:spacing w:before="72" w:line="251" w:lineRule="auto"/>
              <w:ind w:left="423" w:right="153" w:hanging="244"/>
            </w:pPr>
            <w:r>
              <w:rPr>
                <w:spacing w:val="-3"/>
              </w:rPr>
              <w:t>10:00-</w:t>
            </w:r>
            <w:r>
              <w:rPr>
                <w:rFonts w:ascii="仿宋" w:hAnsi="仿宋" w:eastAsia="仿宋" w:cs="仿宋"/>
                <w:spacing w:val="-3"/>
              </w:rPr>
              <w:t>次日</w:t>
            </w:r>
            <w:r>
              <w:rPr>
                <w:rFonts w:ascii="仿宋" w:hAnsi="仿宋" w:eastAsia="仿宋" w:cs="仿宋"/>
              </w:rPr>
              <w:t xml:space="preserve"> </w:t>
            </w:r>
            <w:r>
              <w:rPr>
                <w:spacing w:val="-5"/>
              </w:rPr>
              <w:t>10:00</w:t>
            </w:r>
          </w:p>
        </w:tc>
        <w:tc>
          <w:tcPr>
            <w:tcW w:w="730" w:type="dxa"/>
            <w:vAlign w:val="top"/>
          </w:tcPr>
          <w:p>
            <w:pPr>
              <w:pStyle w:val="6"/>
              <w:spacing w:before="265" w:line="188" w:lineRule="auto"/>
              <w:ind w:left="234"/>
            </w:pPr>
            <w:r>
              <w:rPr>
                <w:spacing w:val="-9"/>
              </w:rPr>
              <w:t>111</w:t>
            </w:r>
          </w:p>
        </w:tc>
        <w:tc>
          <w:tcPr>
            <w:tcW w:w="919" w:type="dxa"/>
            <w:vAlign w:val="top"/>
          </w:tcPr>
          <w:p>
            <w:pPr>
              <w:pStyle w:val="6"/>
              <w:spacing w:before="265" w:line="188" w:lineRule="auto"/>
              <w:ind w:left="408"/>
            </w:pPr>
            <w:r>
              <w:t>0</w:t>
            </w:r>
          </w:p>
        </w:tc>
        <w:tc>
          <w:tcPr>
            <w:tcW w:w="821" w:type="dxa"/>
            <w:vAlign w:val="top"/>
          </w:tcPr>
          <w:p>
            <w:pPr>
              <w:pStyle w:val="6"/>
              <w:spacing w:before="265"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29"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6" w:hRule="atLeast"/>
        </w:trPr>
        <w:tc>
          <w:tcPr>
            <w:tcW w:w="905" w:type="dxa"/>
            <w:vMerge w:val="continue"/>
            <w:tcBorders>
              <w:top w:val="nil"/>
              <w:left w:val="nil"/>
              <w:bottom w:val="single" w:color="000000" w:sz="12" w:space="0"/>
            </w:tcBorders>
            <w:vAlign w:val="top"/>
          </w:tcPr>
          <w:p>
            <w:pPr>
              <w:rPr>
                <w:rFonts w:ascii="Arial"/>
                <w:sz w:val="21"/>
              </w:rPr>
            </w:pPr>
          </w:p>
        </w:tc>
        <w:tc>
          <w:tcPr>
            <w:tcW w:w="2010" w:type="dxa"/>
            <w:tcBorders>
              <w:bottom w:val="single" w:color="000000" w:sz="12" w:space="0"/>
            </w:tcBorders>
            <w:vAlign w:val="top"/>
          </w:tcPr>
          <w:p>
            <w:pPr>
              <w:pStyle w:val="6"/>
              <w:spacing w:before="127" w:line="188" w:lineRule="auto"/>
              <w:ind w:left="107"/>
            </w:pPr>
            <w:r>
              <w:rPr>
                <w:spacing w:val="-1"/>
              </w:rPr>
              <w:t>2023.4.02~2023.4.03</w:t>
            </w:r>
          </w:p>
        </w:tc>
        <w:tc>
          <w:tcPr>
            <w:tcW w:w="1288" w:type="dxa"/>
            <w:tcBorders>
              <w:bottom w:val="single" w:color="000000" w:sz="12" w:space="0"/>
            </w:tcBorders>
            <w:vAlign w:val="top"/>
          </w:tcPr>
          <w:p>
            <w:pPr>
              <w:pStyle w:val="6"/>
              <w:spacing w:before="90" w:line="219" w:lineRule="auto"/>
              <w:ind w:left="179"/>
              <w:rPr>
                <w:rFonts w:ascii="仿宋" w:hAnsi="仿宋" w:eastAsia="仿宋" w:cs="仿宋"/>
              </w:rPr>
            </w:pPr>
            <w:r>
              <w:rPr>
                <w:spacing w:val="-3"/>
              </w:rPr>
              <w:t>10:30-</w:t>
            </w:r>
            <w:r>
              <w:rPr>
                <w:rFonts w:ascii="仿宋" w:hAnsi="仿宋" w:eastAsia="仿宋" w:cs="仿宋"/>
                <w:spacing w:val="-3"/>
              </w:rPr>
              <w:t>次日</w:t>
            </w:r>
          </w:p>
        </w:tc>
        <w:tc>
          <w:tcPr>
            <w:tcW w:w="730" w:type="dxa"/>
            <w:tcBorders>
              <w:bottom w:val="single" w:color="000000" w:sz="12" w:space="0"/>
            </w:tcBorders>
            <w:vAlign w:val="top"/>
          </w:tcPr>
          <w:p>
            <w:pPr>
              <w:pStyle w:val="6"/>
              <w:spacing w:before="127" w:line="188" w:lineRule="auto"/>
              <w:ind w:left="226"/>
            </w:pPr>
            <w:r>
              <w:rPr>
                <w:spacing w:val="-6"/>
              </w:rPr>
              <w:t>107</w:t>
            </w:r>
          </w:p>
        </w:tc>
        <w:tc>
          <w:tcPr>
            <w:tcW w:w="919" w:type="dxa"/>
            <w:tcBorders>
              <w:bottom w:val="single" w:color="000000" w:sz="12" w:space="0"/>
            </w:tcBorders>
            <w:vAlign w:val="top"/>
          </w:tcPr>
          <w:p>
            <w:pPr>
              <w:pStyle w:val="6"/>
              <w:spacing w:before="127" w:line="188" w:lineRule="auto"/>
              <w:ind w:left="408"/>
            </w:pPr>
            <w:r>
              <w:t>0</w:t>
            </w:r>
          </w:p>
        </w:tc>
        <w:tc>
          <w:tcPr>
            <w:tcW w:w="821" w:type="dxa"/>
            <w:tcBorders>
              <w:bottom w:val="single" w:color="000000" w:sz="12" w:space="0"/>
            </w:tcBorders>
            <w:vAlign w:val="top"/>
          </w:tcPr>
          <w:p>
            <w:pPr>
              <w:pStyle w:val="6"/>
              <w:spacing w:before="127" w:line="188" w:lineRule="auto"/>
              <w:ind w:left="359"/>
            </w:pPr>
            <w:r>
              <w:t>0</w:t>
            </w:r>
          </w:p>
        </w:tc>
        <w:tc>
          <w:tcPr>
            <w:tcW w:w="821" w:type="dxa"/>
            <w:vMerge w:val="continue"/>
            <w:tcBorders>
              <w:top w:val="nil"/>
              <w:bottom w:val="single" w:color="000000" w:sz="12" w:space="0"/>
            </w:tcBorders>
            <w:vAlign w:val="top"/>
          </w:tcPr>
          <w:p>
            <w:pPr>
              <w:rPr>
                <w:rFonts w:ascii="Arial"/>
                <w:sz w:val="21"/>
              </w:rPr>
            </w:pPr>
          </w:p>
        </w:tc>
        <w:tc>
          <w:tcPr>
            <w:tcW w:w="813" w:type="dxa"/>
            <w:tcBorders>
              <w:bottom w:val="single" w:color="000000" w:sz="12" w:space="0"/>
              <w:right w:val="nil"/>
            </w:tcBorders>
            <w:vAlign w:val="top"/>
          </w:tcPr>
          <w:p>
            <w:pPr>
              <w:spacing w:before="91" w:line="218" w:lineRule="auto"/>
              <w:ind w:left="207"/>
              <w:rPr>
                <w:rFonts w:ascii="仿宋" w:hAnsi="仿宋" w:eastAsia="仿宋" w:cs="仿宋"/>
                <w:sz w:val="21"/>
                <w:szCs w:val="21"/>
              </w:rPr>
            </w:pPr>
            <w:r>
              <w:rPr>
                <w:rFonts w:ascii="仿宋" w:hAnsi="仿宋" w:eastAsia="仿宋" w:cs="仿宋"/>
                <w:spacing w:val="-5"/>
                <w:sz w:val="21"/>
                <w:szCs w:val="21"/>
              </w:rPr>
              <w:t>达标</w:t>
            </w:r>
          </w:p>
        </w:tc>
      </w:tr>
    </w:tbl>
    <w:p>
      <w:pPr>
        <w:rPr>
          <w:rFonts w:ascii="Arial"/>
          <w:sz w:val="21"/>
        </w:rPr>
      </w:pPr>
    </w:p>
    <w:p>
      <w:pPr>
        <w:rPr>
          <w:rFonts w:ascii="Arial" w:hAnsi="Arial" w:eastAsia="Arial" w:cs="Arial"/>
          <w:sz w:val="21"/>
          <w:szCs w:val="21"/>
        </w:rPr>
        <w:sectPr>
          <w:headerReference r:id="rId192" w:type="default"/>
          <w:footerReference r:id="rId193" w:type="default"/>
          <w:pgSz w:w="11907" w:h="16839"/>
          <w:pgMar w:top="1156" w:right="1768" w:bottom="1374" w:left="1770" w:header="881" w:footer="1210" w:gutter="0"/>
        </w:sectPr>
      </w:pPr>
    </w:p>
    <w:p>
      <w:pPr>
        <w:spacing w:before="41"/>
      </w:pPr>
    </w:p>
    <w:tbl>
      <w:tblPr>
        <w:tblStyle w:val="5"/>
        <w:tblW w:w="8307"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2010"/>
        <w:gridCol w:w="1288"/>
        <w:gridCol w:w="730"/>
        <w:gridCol w:w="919"/>
        <w:gridCol w:w="821"/>
        <w:gridCol w:w="821"/>
        <w:gridCol w:w="8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5" w:hRule="atLeast"/>
        </w:trPr>
        <w:tc>
          <w:tcPr>
            <w:tcW w:w="905" w:type="dxa"/>
            <w:vMerge w:val="restart"/>
            <w:tcBorders>
              <w:top w:val="single" w:color="000000" w:sz="12" w:space="0"/>
              <w:left w:val="nil"/>
              <w:bottom w:val="nil"/>
            </w:tcBorders>
            <w:vAlign w:val="top"/>
          </w:tcPr>
          <w:p>
            <w:pPr>
              <w:rPr>
                <w:rFonts w:ascii="Arial"/>
                <w:sz w:val="21"/>
              </w:rPr>
            </w:pPr>
          </w:p>
        </w:tc>
        <w:tc>
          <w:tcPr>
            <w:tcW w:w="2010" w:type="dxa"/>
            <w:tcBorders>
              <w:top w:val="single" w:color="000000" w:sz="12" w:space="0"/>
            </w:tcBorders>
            <w:vAlign w:val="top"/>
          </w:tcPr>
          <w:p>
            <w:pPr>
              <w:rPr>
                <w:rFonts w:ascii="Arial"/>
                <w:sz w:val="21"/>
              </w:rPr>
            </w:pPr>
          </w:p>
        </w:tc>
        <w:tc>
          <w:tcPr>
            <w:tcW w:w="1288" w:type="dxa"/>
            <w:tcBorders>
              <w:top w:val="single" w:color="000000" w:sz="12" w:space="0"/>
            </w:tcBorders>
            <w:vAlign w:val="top"/>
          </w:tcPr>
          <w:p>
            <w:pPr>
              <w:pStyle w:val="6"/>
              <w:spacing w:before="87" w:line="188" w:lineRule="auto"/>
              <w:ind w:left="424"/>
            </w:pPr>
            <w:r>
              <w:rPr>
                <w:spacing w:val="-5"/>
              </w:rPr>
              <w:t>10:30</w:t>
            </w:r>
          </w:p>
        </w:tc>
        <w:tc>
          <w:tcPr>
            <w:tcW w:w="730" w:type="dxa"/>
            <w:tcBorders>
              <w:top w:val="single" w:color="000000" w:sz="12" w:space="0"/>
            </w:tcBorders>
            <w:vAlign w:val="top"/>
          </w:tcPr>
          <w:p>
            <w:pPr>
              <w:rPr>
                <w:rFonts w:ascii="Arial"/>
                <w:sz w:val="21"/>
              </w:rPr>
            </w:pPr>
          </w:p>
        </w:tc>
        <w:tc>
          <w:tcPr>
            <w:tcW w:w="919" w:type="dxa"/>
            <w:tcBorders>
              <w:top w:val="single" w:color="000000" w:sz="12" w:space="0"/>
            </w:tcBorders>
            <w:vAlign w:val="top"/>
          </w:tcPr>
          <w:p>
            <w:pPr>
              <w:rPr>
                <w:rFonts w:ascii="Arial"/>
                <w:sz w:val="21"/>
              </w:rPr>
            </w:pPr>
          </w:p>
        </w:tc>
        <w:tc>
          <w:tcPr>
            <w:tcW w:w="821" w:type="dxa"/>
            <w:tcBorders>
              <w:top w:val="single" w:color="000000" w:sz="12" w:space="0"/>
            </w:tcBorders>
            <w:vAlign w:val="top"/>
          </w:tcPr>
          <w:p>
            <w:pPr>
              <w:rPr>
                <w:rFonts w:ascii="Arial"/>
                <w:sz w:val="21"/>
              </w:rPr>
            </w:pPr>
          </w:p>
        </w:tc>
        <w:tc>
          <w:tcPr>
            <w:tcW w:w="821" w:type="dxa"/>
            <w:vMerge w:val="restart"/>
            <w:tcBorders>
              <w:top w:val="single" w:color="000000" w:sz="12" w:space="0"/>
              <w:bottom w:val="nil"/>
            </w:tcBorders>
            <w:vAlign w:val="top"/>
          </w:tcPr>
          <w:p>
            <w:pPr>
              <w:rPr>
                <w:rFonts w:ascii="Arial"/>
                <w:sz w:val="21"/>
              </w:rPr>
            </w:pPr>
          </w:p>
        </w:tc>
        <w:tc>
          <w:tcPr>
            <w:tcW w:w="813" w:type="dxa"/>
            <w:tcBorders>
              <w:top w:val="single" w:color="000000" w:sz="12" w:space="0"/>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905" w:type="dxa"/>
            <w:vMerge w:val="continue"/>
            <w:tcBorders>
              <w:top w:val="nil"/>
              <w:left w:val="nil"/>
            </w:tcBorders>
            <w:vAlign w:val="top"/>
          </w:tcPr>
          <w:p>
            <w:pPr>
              <w:rPr>
                <w:rFonts w:ascii="Arial"/>
                <w:sz w:val="21"/>
              </w:rPr>
            </w:pPr>
          </w:p>
        </w:tc>
        <w:tc>
          <w:tcPr>
            <w:tcW w:w="2010" w:type="dxa"/>
            <w:vAlign w:val="top"/>
          </w:tcPr>
          <w:p>
            <w:pPr>
              <w:pStyle w:val="6"/>
              <w:spacing w:before="243" w:line="188" w:lineRule="auto"/>
              <w:ind w:left="107"/>
            </w:pPr>
            <w:r>
              <w:rPr>
                <w:spacing w:val="-1"/>
              </w:rPr>
              <w:t>2023.4.03~2023.4.04</w:t>
            </w:r>
          </w:p>
        </w:tc>
        <w:tc>
          <w:tcPr>
            <w:tcW w:w="1288" w:type="dxa"/>
            <w:vAlign w:val="top"/>
          </w:tcPr>
          <w:p>
            <w:pPr>
              <w:pStyle w:val="6"/>
              <w:spacing w:before="51" w:line="251" w:lineRule="auto"/>
              <w:ind w:left="426" w:right="158" w:hanging="244"/>
            </w:pPr>
            <w:r>
              <w:rPr>
                <w:spacing w:val="-4"/>
              </w:rPr>
              <w:t>11:10-</w:t>
            </w:r>
            <w:r>
              <w:rPr>
                <w:rFonts w:ascii="仿宋" w:hAnsi="仿宋" w:eastAsia="仿宋" w:cs="仿宋"/>
                <w:spacing w:val="-4"/>
              </w:rPr>
              <w:t>次日</w:t>
            </w:r>
            <w:r>
              <w:rPr>
                <w:rFonts w:ascii="仿宋" w:hAnsi="仿宋" w:eastAsia="仿宋" w:cs="仿宋"/>
              </w:rPr>
              <w:t xml:space="preserve"> </w:t>
            </w:r>
            <w:r>
              <w:rPr>
                <w:spacing w:val="-7"/>
              </w:rPr>
              <w:t>11:10</w:t>
            </w:r>
          </w:p>
        </w:tc>
        <w:tc>
          <w:tcPr>
            <w:tcW w:w="730" w:type="dxa"/>
            <w:vAlign w:val="top"/>
          </w:tcPr>
          <w:p>
            <w:pPr>
              <w:pStyle w:val="6"/>
              <w:spacing w:before="243" w:line="188" w:lineRule="auto"/>
              <w:ind w:left="230"/>
            </w:pPr>
            <w:r>
              <w:rPr>
                <w:spacing w:val="-10"/>
              </w:rPr>
              <w:t>113</w:t>
            </w:r>
          </w:p>
        </w:tc>
        <w:tc>
          <w:tcPr>
            <w:tcW w:w="919" w:type="dxa"/>
            <w:vAlign w:val="top"/>
          </w:tcPr>
          <w:p>
            <w:pPr>
              <w:pStyle w:val="6"/>
              <w:spacing w:before="243" w:line="188" w:lineRule="auto"/>
              <w:ind w:left="408"/>
            </w:pPr>
            <w:r>
              <w:t>0</w:t>
            </w:r>
          </w:p>
        </w:tc>
        <w:tc>
          <w:tcPr>
            <w:tcW w:w="821" w:type="dxa"/>
            <w:vAlign w:val="top"/>
          </w:tcPr>
          <w:p>
            <w:pPr>
              <w:pStyle w:val="6"/>
              <w:spacing w:before="243"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07"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905" w:type="dxa"/>
            <w:vMerge w:val="restart"/>
            <w:tcBorders>
              <w:left w:val="nil"/>
              <w:bottom w:val="nil"/>
            </w:tcBorders>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pStyle w:val="6"/>
              <w:spacing w:before="68" w:line="266" w:lineRule="auto"/>
              <w:ind w:left="121" w:right="103" w:firstLine="19"/>
              <w:jc w:val="both"/>
              <w:rPr>
                <w:rFonts w:ascii="仿宋" w:hAnsi="仿宋" w:eastAsia="仿宋" w:cs="仿宋"/>
              </w:rPr>
            </w:pPr>
            <w:r>
              <w:rPr>
                <w:spacing w:val="-1"/>
              </w:rPr>
              <w:t>2#</w:t>
            </w:r>
            <w:r>
              <w:rPr>
                <w:rFonts w:ascii="仿宋" w:hAnsi="仿宋" w:eastAsia="仿宋" w:cs="仿宋"/>
                <w:spacing w:val="-1"/>
              </w:rPr>
              <w:t>为项</w:t>
            </w:r>
            <w:r>
              <w:rPr>
                <w:rFonts w:ascii="仿宋" w:hAnsi="仿宋" w:eastAsia="仿宋" w:cs="仿宋"/>
              </w:rPr>
              <w:t xml:space="preserve"> </w:t>
            </w:r>
            <w:r>
              <w:rPr>
                <w:rFonts w:ascii="仿宋" w:hAnsi="仿宋" w:eastAsia="仿宋" w:cs="仿宋"/>
                <w:spacing w:val="4"/>
              </w:rPr>
              <w:t>目坝址</w:t>
            </w:r>
            <w:r>
              <w:rPr>
                <w:rFonts w:ascii="仿宋" w:hAnsi="仿宋" w:eastAsia="仿宋" w:cs="仿宋"/>
                <w:spacing w:val="1"/>
              </w:rPr>
              <w:t xml:space="preserve"> </w:t>
            </w:r>
            <w:r>
              <w:rPr>
                <w:rFonts w:ascii="仿宋" w:hAnsi="仿宋" w:eastAsia="仿宋" w:cs="仿宋"/>
                <w:spacing w:val="4"/>
              </w:rPr>
              <w:t>下风向</w:t>
            </w:r>
            <w:r>
              <w:rPr>
                <w:rFonts w:ascii="仿宋" w:hAnsi="仿宋" w:eastAsia="仿宋" w:cs="仿宋"/>
                <w:spacing w:val="1"/>
              </w:rPr>
              <w:t xml:space="preserve"> </w:t>
            </w:r>
            <w:r>
              <w:rPr>
                <w:rFonts w:ascii="仿宋" w:hAnsi="仿宋" w:eastAsia="仿宋" w:cs="仿宋"/>
                <w:spacing w:val="4"/>
              </w:rPr>
              <w:t>东北侧</w:t>
            </w:r>
            <w:r>
              <w:rPr>
                <w:rFonts w:ascii="仿宋" w:hAnsi="仿宋" w:eastAsia="仿宋" w:cs="仿宋"/>
                <w:spacing w:val="1"/>
              </w:rPr>
              <w:t xml:space="preserve"> </w:t>
            </w:r>
            <w:r>
              <w:rPr>
                <w:rFonts w:ascii="仿宋" w:hAnsi="仿宋" w:eastAsia="仿宋" w:cs="仿宋"/>
                <w:spacing w:val="-3"/>
              </w:rPr>
              <w:t>（</w:t>
            </w:r>
            <w:r>
              <w:rPr>
                <w:spacing w:val="-3"/>
              </w:rPr>
              <w:t>950m</w:t>
            </w:r>
            <w:r>
              <w:t xml:space="preserve"> </w:t>
            </w:r>
            <w:r>
              <w:rPr>
                <w:rFonts w:ascii="仿宋" w:hAnsi="仿宋" w:eastAsia="仿宋" w:cs="仿宋"/>
                <w:spacing w:val="4"/>
              </w:rPr>
              <w:t>处的么</w:t>
            </w:r>
          </w:p>
          <w:p>
            <w:pPr>
              <w:spacing w:before="59" w:line="312" w:lineRule="exact"/>
              <w:ind w:left="257"/>
              <w:rPr>
                <w:rFonts w:ascii="仿宋" w:hAnsi="仿宋" w:eastAsia="仿宋" w:cs="仿宋"/>
                <w:sz w:val="21"/>
                <w:szCs w:val="21"/>
              </w:rPr>
            </w:pPr>
            <w:r>
              <w:rPr>
                <w:rFonts w:ascii="仿宋" w:hAnsi="仿宋" w:eastAsia="仿宋" w:cs="仿宋"/>
                <w:spacing w:val="-4"/>
                <w:position w:val="7"/>
                <w:sz w:val="21"/>
                <w:szCs w:val="21"/>
              </w:rPr>
              <w:t>他苴</w:t>
            </w:r>
          </w:p>
          <w:p>
            <w:pPr>
              <w:spacing w:line="217" w:lineRule="auto"/>
              <w:ind w:left="255"/>
              <w:rPr>
                <w:rFonts w:ascii="仿宋" w:hAnsi="仿宋" w:eastAsia="仿宋" w:cs="仿宋"/>
                <w:sz w:val="21"/>
                <w:szCs w:val="21"/>
              </w:rPr>
            </w:pPr>
            <w:r>
              <w:rPr>
                <w:rFonts w:ascii="仿宋" w:hAnsi="仿宋" w:eastAsia="仿宋" w:cs="仿宋"/>
                <w:spacing w:val="-7"/>
                <w:sz w:val="21"/>
                <w:szCs w:val="21"/>
              </w:rPr>
              <w:t>村）</w:t>
            </w:r>
          </w:p>
        </w:tc>
        <w:tc>
          <w:tcPr>
            <w:tcW w:w="2010" w:type="dxa"/>
            <w:vAlign w:val="top"/>
          </w:tcPr>
          <w:p>
            <w:pPr>
              <w:pStyle w:val="6"/>
              <w:spacing w:before="246" w:line="188" w:lineRule="auto"/>
              <w:ind w:left="107"/>
            </w:pPr>
            <w:r>
              <w:rPr>
                <w:spacing w:val="-1"/>
              </w:rPr>
              <w:t>2023.3.28~2023.3.29</w:t>
            </w:r>
          </w:p>
        </w:tc>
        <w:tc>
          <w:tcPr>
            <w:tcW w:w="1288" w:type="dxa"/>
            <w:vAlign w:val="top"/>
          </w:tcPr>
          <w:p>
            <w:pPr>
              <w:pStyle w:val="6"/>
              <w:spacing w:before="53" w:line="251" w:lineRule="auto"/>
              <w:ind w:left="406" w:right="153" w:hanging="244"/>
            </w:pPr>
            <w:r>
              <w:rPr>
                <w:spacing w:val="-1"/>
              </w:rPr>
              <w:t>08:40-</w:t>
            </w:r>
            <w:r>
              <w:rPr>
                <w:rFonts w:ascii="仿宋" w:hAnsi="仿宋" w:eastAsia="仿宋" w:cs="仿宋"/>
                <w:spacing w:val="-1"/>
              </w:rPr>
              <w:t>次日</w:t>
            </w:r>
            <w:r>
              <w:rPr>
                <w:rFonts w:ascii="仿宋" w:hAnsi="仿宋" w:eastAsia="仿宋" w:cs="仿宋"/>
              </w:rPr>
              <w:t xml:space="preserve"> </w:t>
            </w:r>
            <w:r>
              <w:rPr>
                <w:spacing w:val="-2"/>
              </w:rPr>
              <w:t>08:40</w:t>
            </w:r>
          </w:p>
        </w:tc>
        <w:tc>
          <w:tcPr>
            <w:tcW w:w="730" w:type="dxa"/>
            <w:vAlign w:val="top"/>
          </w:tcPr>
          <w:p>
            <w:pPr>
              <w:pStyle w:val="6"/>
              <w:spacing w:before="246" w:line="188" w:lineRule="auto"/>
              <w:ind w:left="230"/>
            </w:pPr>
            <w:r>
              <w:rPr>
                <w:spacing w:val="-10"/>
              </w:rPr>
              <w:t>119</w:t>
            </w:r>
          </w:p>
        </w:tc>
        <w:tc>
          <w:tcPr>
            <w:tcW w:w="919" w:type="dxa"/>
            <w:vAlign w:val="top"/>
          </w:tcPr>
          <w:p>
            <w:pPr>
              <w:pStyle w:val="6"/>
              <w:spacing w:before="246" w:line="188" w:lineRule="auto"/>
              <w:ind w:left="408"/>
            </w:pPr>
            <w:r>
              <w:t>0</w:t>
            </w:r>
          </w:p>
        </w:tc>
        <w:tc>
          <w:tcPr>
            <w:tcW w:w="821" w:type="dxa"/>
            <w:vAlign w:val="top"/>
          </w:tcPr>
          <w:p>
            <w:pPr>
              <w:pStyle w:val="6"/>
              <w:spacing w:before="246"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10"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905" w:type="dxa"/>
            <w:vMerge w:val="continue"/>
            <w:tcBorders>
              <w:top w:val="nil"/>
              <w:left w:val="nil"/>
              <w:bottom w:val="nil"/>
            </w:tcBorders>
            <w:vAlign w:val="top"/>
          </w:tcPr>
          <w:p>
            <w:pPr>
              <w:rPr>
                <w:rFonts w:ascii="Arial"/>
                <w:sz w:val="21"/>
              </w:rPr>
            </w:pPr>
          </w:p>
        </w:tc>
        <w:tc>
          <w:tcPr>
            <w:tcW w:w="2010" w:type="dxa"/>
            <w:vAlign w:val="top"/>
          </w:tcPr>
          <w:p>
            <w:pPr>
              <w:pStyle w:val="6"/>
              <w:spacing w:before="251" w:line="188" w:lineRule="auto"/>
              <w:ind w:left="107"/>
            </w:pPr>
            <w:r>
              <w:rPr>
                <w:spacing w:val="-1"/>
              </w:rPr>
              <w:t>2023.3.29~2023.3.30</w:t>
            </w:r>
          </w:p>
        </w:tc>
        <w:tc>
          <w:tcPr>
            <w:tcW w:w="1288" w:type="dxa"/>
            <w:vAlign w:val="top"/>
          </w:tcPr>
          <w:p>
            <w:pPr>
              <w:pStyle w:val="6"/>
              <w:spacing w:before="58" w:line="251" w:lineRule="auto"/>
              <w:ind w:left="406" w:right="153" w:hanging="244"/>
            </w:pPr>
            <w:r>
              <w:rPr>
                <w:spacing w:val="-1"/>
              </w:rPr>
              <w:t>09:03-</w:t>
            </w:r>
            <w:r>
              <w:rPr>
                <w:rFonts w:ascii="仿宋" w:hAnsi="仿宋" w:eastAsia="仿宋" w:cs="仿宋"/>
                <w:spacing w:val="-1"/>
              </w:rPr>
              <w:t>次日</w:t>
            </w:r>
            <w:r>
              <w:rPr>
                <w:rFonts w:ascii="仿宋" w:hAnsi="仿宋" w:eastAsia="仿宋" w:cs="仿宋"/>
              </w:rPr>
              <w:t xml:space="preserve"> </w:t>
            </w:r>
            <w:r>
              <w:rPr>
                <w:spacing w:val="-2"/>
              </w:rPr>
              <w:t>09:03</w:t>
            </w:r>
          </w:p>
        </w:tc>
        <w:tc>
          <w:tcPr>
            <w:tcW w:w="730" w:type="dxa"/>
            <w:vAlign w:val="top"/>
          </w:tcPr>
          <w:p>
            <w:pPr>
              <w:pStyle w:val="6"/>
              <w:spacing w:before="251" w:line="188" w:lineRule="auto"/>
              <w:ind w:left="226"/>
            </w:pPr>
            <w:r>
              <w:rPr>
                <w:spacing w:val="-6"/>
              </w:rPr>
              <w:t>125</w:t>
            </w:r>
          </w:p>
        </w:tc>
        <w:tc>
          <w:tcPr>
            <w:tcW w:w="919" w:type="dxa"/>
            <w:vAlign w:val="top"/>
          </w:tcPr>
          <w:p>
            <w:pPr>
              <w:pStyle w:val="6"/>
              <w:spacing w:before="251" w:line="188" w:lineRule="auto"/>
              <w:ind w:left="408"/>
            </w:pPr>
            <w:r>
              <w:t>0</w:t>
            </w:r>
          </w:p>
        </w:tc>
        <w:tc>
          <w:tcPr>
            <w:tcW w:w="821" w:type="dxa"/>
            <w:vAlign w:val="top"/>
          </w:tcPr>
          <w:p>
            <w:pPr>
              <w:pStyle w:val="6"/>
              <w:spacing w:before="251"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14"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905" w:type="dxa"/>
            <w:vMerge w:val="continue"/>
            <w:tcBorders>
              <w:top w:val="nil"/>
              <w:left w:val="nil"/>
              <w:bottom w:val="nil"/>
            </w:tcBorders>
            <w:vAlign w:val="top"/>
          </w:tcPr>
          <w:p>
            <w:pPr>
              <w:rPr>
                <w:rFonts w:ascii="Arial"/>
                <w:sz w:val="21"/>
              </w:rPr>
            </w:pPr>
          </w:p>
        </w:tc>
        <w:tc>
          <w:tcPr>
            <w:tcW w:w="2010" w:type="dxa"/>
            <w:vAlign w:val="top"/>
          </w:tcPr>
          <w:p>
            <w:pPr>
              <w:pStyle w:val="6"/>
              <w:spacing w:before="253" w:line="188" w:lineRule="auto"/>
              <w:ind w:left="107"/>
            </w:pPr>
            <w:r>
              <w:rPr>
                <w:spacing w:val="-1"/>
              </w:rPr>
              <w:t>2023.3.30~2023.3.31</w:t>
            </w:r>
          </w:p>
        </w:tc>
        <w:tc>
          <w:tcPr>
            <w:tcW w:w="1288" w:type="dxa"/>
            <w:vAlign w:val="top"/>
          </w:tcPr>
          <w:p>
            <w:pPr>
              <w:pStyle w:val="6"/>
              <w:spacing w:before="60" w:line="251" w:lineRule="auto"/>
              <w:ind w:left="406" w:right="153" w:hanging="244"/>
            </w:pPr>
            <w:r>
              <w:rPr>
                <w:spacing w:val="-1"/>
              </w:rPr>
              <w:t>09:36-</w:t>
            </w:r>
            <w:r>
              <w:rPr>
                <w:rFonts w:ascii="仿宋" w:hAnsi="仿宋" w:eastAsia="仿宋" w:cs="仿宋"/>
                <w:spacing w:val="-1"/>
              </w:rPr>
              <w:t>次日</w:t>
            </w:r>
            <w:r>
              <w:rPr>
                <w:rFonts w:ascii="仿宋" w:hAnsi="仿宋" w:eastAsia="仿宋" w:cs="仿宋"/>
              </w:rPr>
              <w:t xml:space="preserve"> </w:t>
            </w:r>
            <w:r>
              <w:rPr>
                <w:spacing w:val="-2"/>
              </w:rPr>
              <w:t>09:36</w:t>
            </w:r>
          </w:p>
        </w:tc>
        <w:tc>
          <w:tcPr>
            <w:tcW w:w="730" w:type="dxa"/>
            <w:vAlign w:val="top"/>
          </w:tcPr>
          <w:p>
            <w:pPr>
              <w:pStyle w:val="6"/>
              <w:spacing w:before="253" w:line="188" w:lineRule="auto"/>
              <w:ind w:left="226"/>
            </w:pPr>
            <w:r>
              <w:rPr>
                <w:spacing w:val="-6"/>
              </w:rPr>
              <w:t>121</w:t>
            </w:r>
          </w:p>
        </w:tc>
        <w:tc>
          <w:tcPr>
            <w:tcW w:w="919" w:type="dxa"/>
            <w:vAlign w:val="top"/>
          </w:tcPr>
          <w:p>
            <w:pPr>
              <w:pStyle w:val="6"/>
              <w:spacing w:before="253" w:line="188" w:lineRule="auto"/>
              <w:ind w:left="408"/>
            </w:pPr>
            <w:r>
              <w:t>0</w:t>
            </w:r>
          </w:p>
        </w:tc>
        <w:tc>
          <w:tcPr>
            <w:tcW w:w="821" w:type="dxa"/>
            <w:vAlign w:val="top"/>
          </w:tcPr>
          <w:p>
            <w:pPr>
              <w:pStyle w:val="6"/>
              <w:spacing w:before="253"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17"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905" w:type="dxa"/>
            <w:vMerge w:val="continue"/>
            <w:tcBorders>
              <w:top w:val="nil"/>
              <w:left w:val="nil"/>
              <w:bottom w:val="nil"/>
            </w:tcBorders>
            <w:vAlign w:val="top"/>
          </w:tcPr>
          <w:p>
            <w:pPr>
              <w:rPr>
                <w:rFonts w:ascii="Arial"/>
                <w:sz w:val="21"/>
              </w:rPr>
            </w:pPr>
          </w:p>
        </w:tc>
        <w:tc>
          <w:tcPr>
            <w:tcW w:w="2010" w:type="dxa"/>
            <w:vAlign w:val="top"/>
          </w:tcPr>
          <w:p>
            <w:pPr>
              <w:pStyle w:val="6"/>
              <w:spacing w:before="256" w:line="232" w:lineRule="auto"/>
              <w:ind w:left="107"/>
            </w:pPr>
            <w:r>
              <w:rPr>
                <w:spacing w:val="-1"/>
              </w:rPr>
              <w:t>2023.3.31~2023.4.01</w:t>
            </w:r>
          </w:p>
        </w:tc>
        <w:tc>
          <w:tcPr>
            <w:tcW w:w="1288" w:type="dxa"/>
            <w:vAlign w:val="top"/>
          </w:tcPr>
          <w:p>
            <w:pPr>
              <w:pStyle w:val="6"/>
              <w:spacing w:before="65" w:line="251" w:lineRule="auto"/>
              <w:ind w:left="423" w:right="153" w:hanging="244"/>
            </w:pPr>
            <w:r>
              <w:rPr>
                <w:spacing w:val="-3"/>
              </w:rPr>
              <w:t>10:05-</w:t>
            </w:r>
            <w:r>
              <w:rPr>
                <w:rFonts w:ascii="仿宋" w:hAnsi="仿宋" w:eastAsia="仿宋" w:cs="仿宋"/>
                <w:spacing w:val="-3"/>
              </w:rPr>
              <w:t>次日</w:t>
            </w:r>
            <w:r>
              <w:rPr>
                <w:rFonts w:ascii="仿宋" w:hAnsi="仿宋" w:eastAsia="仿宋" w:cs="仿宋"/>
              </w:rPr>
              <w:t xml:space="preserve"> </w:t>
            </w:r>
            <w:r>
              <w:rPr>
                <w:spacing w:val="-5"/>
              </w:rPr>
              <w:t>10:05</w:t>
            </w:r>
          </w:p>
        </w:tc>
        <w:tc>
          <w:tcPr>
            <w:tcW w:w="730" w:type="dxa"/>
            <w:vAlign w:val="top"/>
          </w:tcPr>
          <w:p>
            <w:pPr>
              <w:pStyle w:val="6"/>
              <w:spacing w:before="258" w:line="188" w:lineRule="auto"/>
              <w:ind w:left="226"/>
            </w:pPr>
            <w:r>
              <w:rPr>
                <w:spacing w:val="-6"/>
              </w:rPr>
              <w:t>123</w:t>
            </w:r>
          </w:p>
        </w:tc>
        <w:tc>
          <w:tcPr>
            <w:tcW w:w="919" w:type="dxa"/>
            <w:vAlign w:val="top"/>
          </w:tcPr>
          <w:p>
            <w:pPr>
              <w:pStyle w:val="6"/>
              <w:spacing w:before="258" w:line="188" w:lineRule="auto"/>
              <w:ind w:left="408"/>
            </w:pPr>
            <w:r>
              <w:t>0</w:t>
            </w:r>
          </w:p>
        </w:tc>
        <w:tc>
          <w:tcPr>
            <w:tcW w:w="821" w:type="dxa"/>
            <w:vAlign w:val="top"/>
          </w:tcPr>
          <w:p>
            <w:pPr>
              <w:pStyle w:val="6"/>
              <w:spacing w:before="258"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21"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905" w:type="dxa"/>
            <w:vMerge w:val="continue"/>
            <w:tcBorders>
              <w:top w:val="nil"/>
              <w:left w:val="nil"/>
              <w:bottom w:val="nil"/>
            </w:tcBorders>
            <w:vAlign w:val="top"/>
          </w:tcPr>
          <w:p>
            <w:pPr>
              <w:rPr>
                <w:rFonts w:ascii="Arial"/>
                <w:sz w:val="21"/>
              </w:rPr>
            </w:pPr>
          </w:p>
        </w:tc>
        <w:tc>
          <w:tcPr>
            <w:tcW w:w="2010" w:type="dxa"/>
            <w:vAlign w:val="top"/>
          </w:tcPr>
          <w:p>
            <w:pPr>
              <w:pStyle w:val="6"/>
              <w:spacing w:before="260" w:line="188" w:lineRule="auto"/>
              <w:ind w:left="107"/>
            </w:pPr>
            <w:r>
              <w:rPr>
                <w:spacing w:val="-1"/>
              </w:rPr>
              <w:t>2023.4.01~2023.4.02</w:t>
            </w:r>
          </w:p>
        </w:tc>
        <w:tc>
          <w:tcPr>
            <w:tcW w:w="1288" w:type="dxa"/>
            <w:vAlign w:val="top"/>
          </w:tcPr>
          <w:p>
            <w:pPr>
              <w:pStyle w:val="6"/>
              <w:spacing w:before="67" w:line="251" w:lineRule="auto"/>
              <w:ind w:left="423" w:right="153" w:hanging="244"/>
            </w:pPr>
            <w:r>
              <w:rPr>
                <w:spacing w:val="-3"/>
              </w:rPr>
              <w:t>12:00-</w:t>
            </w:r>
            <w:r>
              <w:rPr>
                <w:rFonts w:ascii="仿宋" w:hAnsi="仿宋" w:eastAsia="仿宋" w:cs="仿宋"/>
                <w:spacing w:val="-3"/>
              </w:rPr>
              <w:t>次日</w:t>
            </w:r>
            <w:r>
              <w:rPr>
                <w:rFonts w:ascii="仿宋" w:hAnsi="仿宋" w:eastAsia="仿宋" w:cs="仿宋"/>
              </w:rPr>
              <w:t xml:space="preserve"> </w:t>
            </w:r>
            <w:r>
              <w:rPr>
                <w:spacing w:val="-5"/>
              </w:rPr>
              <w:t>12:00</w:t>
            </w:r>
          </w:p>
        </w:tc>
        <w:tc>
          <w:tcPr>
            <w:tcW w:w="730" w:type="dxa"/>
            <w:vAlign w:val="top"/>
          </w:tcPr>
          <w:p>
            <w:pPr>
              <w:pStyle w:val="6"/>
              <w:spacing w:before="260" w:line="188" w:lineRule="auto"/>
              <w:ind w:left="226"/>
            </w:pPr>
            <w:r>
              <w:rPr>
                <w:spacing w:val="-6"/>
              </w:rPr>
              <w:t>124</w:t>
            </w:r>
          </w:p>
        </w:tc>
        <w:tc>
          <w:tcPr>
            <w:tcW w:w="919" w:type="dxa"/>
            <w:vAlign w:val="top"/>
          </w:tcPr>
          <w:p>
            <w:pPr>
              <w:pStyle w:val="6"/>
              <w:spacing w:before="260" w:line="188" w:lineRule="auto"/>
              <w:ind w:left="408"/>
            </w:pPr>
            <w:r>
              <w:t>0</w:t>
            </w:r>
          </w:p>
        </w:tc>
        <w:tc>
          <w:tcPr>
            <w:tcW w:w="821" w:type="dxa"/>
            <w:vAlign w:val="top"/>
          </w:tcPr>
          <w:p>
            <w:pPr>
              <w:pStyle w:val="6"/>
              <w:spacing w:before="260"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24"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905" w:type="dxa"/>
            <w:vMerge w:val="continue"/>
            <w:tcBorders>
              <w:top w:val="nil"/>
              <w:left w:val="nil"/>
              <w:bottom w:val="nil"/>
            </w:tcBorders>
            <w:vAlign w:val="top"/>
          </w:tcPr>
          <w:p>
            <w:pPr>
              <w:rPr>
                <w:rFonts w:ascii="Arial"/>
                <w:sz w:val="21"/>
              </w:rPr>
            </w:pPr>
          </w:p>
        </w:tc>
        <w:tc>
          <w:tcPr>
            <w:tcW w:w="2010" w:type="dxa"/>
            <w:vAlign w:val="top"/>
          </w:tcPr>
          <w:p>
            <w:pPr>
              <w:pStyle w:val="6"/>
              <w:spacing w:before="263" w:line="232" w:lineRule="auto"/>
              <w:ind w:left="107"/>
            </w:pPr>
            <w:r>
              <w:rPr>
                <w:spacing w:val="-1"/>
              </w:rPr>
              <w:t>2023.4.02~2023.4.03</w:t>
            </w:r>
          </w:p>
        </w:tc>
        <w:tc>
          <w:tcPr>
            <w:tcW w:w="1288" w:type="dxa"/>
            <w:vAlign w:val="top"/>
          </w:tcPr>
          <w:p>
            <w:pPr>
              <w:pStyle w:val="6"/>
              <w:spacing w:before="72" w:line="251" w:lineRule="auto"/>
              <w:ind w:left="423" w:right="153" w:hanging="244"/>
            </w:pPr>
            <w:r>
              <w:rPr>
                <w:spacing w:val="-3"/>
              </w:rPr>
              <w:t>12:30-</w:t>
            </w:r>
            <w:r>
              <w:rPr>
                <w:rFonts w:ascii="仿宋" w:hAnsi="仿宋" w:eastAsia="仿宋" w:cs="仿宋"/>
                <w:spacing w:val="-3"/>
              </w:rPr>
              <w:t>次日</w:t>
            </w:r>
            <w:r>
              <w:rPr>
                <w:rFonts w:ascii="仿宋" w:hAnsi="仿宋" w:eastAsia="仿宋" w:cs="仿宋"/>
              </w:rPr>
              <w:t xml:space="preserve"> </w:t>
            </w:r>
            <w:r>
              <w:rPr>
                <w:spacing w:val="-5"/>
              </w:rPr>
              <w:t>12:30</w:t>
            </w:r>
          </w:p>
        </w:tc>
        <w:tc>
          <w:tcPr>
            <w:tcW w:w="730" w:type="dxa"/>
            <w:vAlign w:val="top"/>
          </w:tcPr>
          <w:p>
            <w:pPr>
              <w:pStyle w:val="6"/>
              <w:spacing w:before="265" w:line="188" w:lineRule="auto"/>
              <w:ind w:left="226"/>
            </w:pPr>
            <w:r>
              <w:rPr>
                <w:spacing w:val="-6"/>
              </w:rPr>
              <w:t>126</w:t>
            </w:r>
          </w:p>
        </w:tc>
        <w:tc>
          <w:tcPr>
            <w:tcW w:w="919" w:type="dxa"/>
            <w:vAlign w:val="top"/>
          </w:tcPr>
          <w:p>
            <w:pPr>
              <w:pStyle w:val="6"/>
              <w:spacing w:before="265" w:line="188" w:lineRule="auto"/>
              <w:ind w:left="408"/>
            </w:pPr>
            <w:r>
              <w:t>0</w:t>
            </w:r>
          </w:p>
        </w:tc>
        <w:tc>
          <w:tcPr>
            <w:tcW w:w="821" w:type="dxa"/>
            <w:vAlign w:val="top"/>
          </w:tcPr>
          <w:p>
            <w:pPr>
              <w:pStyle w:val="6"/>
              <w:spacing w:before="265" w:line="188" w:lineRule="auto"/>
              <w:ind w:left="359"/>
            </w:pPr>
            <w:r>
              <w:t>0</w:t>
            </w:r>
          </w:p>
        </w:tc>
        <w:tc>
          <w:tcPr>
            <w:tcW w:w="821" w:type="dxa"/>
            <w:vMerge w:val="continue"/>
            <w:tcBorders>
              <w:top w:val="nil"/>
              <w:bottom w:val="nil"/>
            </w:tcBorders>
            <w:vAlign w:val="top"/>
          </w:tcPr>
          <w:p>
            <w:pPr>
              <w:rPr>
                <w:rFonts w:ascii="Arial"/>
                <w:sz w:val="21"/>
              </w:rPr>
            </w:pPr>
          </w:p>
        </w:tc>
        <w:tc>
          <w:tcPr>
            <w:tcW w:w="813" w:type="dxa"/>
            <w:tcBorders>
              <w:right w:val="nil"/>
            </w:tcBorders>
            <w:vAlign w:val="top"/>
          </w:tcPr>
          <w:p>
            <w:pPr>
              <w:spacing w:before="228" w:line="218" w:lineRule="auto"/>
              <w:ind w:left="207"/>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8" w:hRule="atLeast"/>
        </w:trPr>
        <w:tc>
          <w:tcPr>
            <w:tcW w:w="905" w:type="dxa"/>
            <w:vMerge w:val="continue"/>
            <w:tcBorders>
              <w:top w:val="nil"/>
              <w:left w:val="nil"/>
              <w:bottom w:val="single" w:color="000000" w:sz="12" w:space="0"/>
            </w:tcBorders>
            <w:vAlign w:val="top"/>
          </w:tcPr>
          <w:p>
            <w:pPr>
              <w:rPr>
                <w:rFonts w:ascii="Arial"/>
                <w:sz w:val="21"/>
              </w:rPr>
            </w:pPr>
          </w:p>
        </w:tc>
        <w:tc>
          <w:tcPr>
            <w:tcW w:w="2010" w:type="dxa"/>
            <w:tcBorders>
              <w:bottom w:val="single" w:color="000000" w:sz="12" w:space="0"/>
            </w:tcBorders>
            <w:vAlign w:val="top"/>
          </w:tcPr>
          <w:p>
            <w:pPr>
              <w:pStyle w:val="6"/>
              <w:spacing w:before="267" w:line="188" w:lineRule="auto"/>
              <w:ind w:left="107"/>
            </w:pPr>
            <w:r>
              <w:rPr>
                <w:spacing w:val="-1"/>
              </w:rPr>
              <w:t>2023.4.03~2023.4.04</w:t>
            </w:r>
          </w:p>
        </w:tc>
        <w:tc>
          <w:tcPr>
            <w:tcW w:w="1288" w:type="dxa"/>
            <w:tcBorders>
              <w:bottom w:val="single" w:color="000000" w:sz="12" w:space="0"/>
            </w:tcBorders>
            <w:vAlign w:val="top"/>
          </w:tcPr>
          <w:p>
            <w:pPr>
              <w:pStyle w:val="6"/>
              <w:spacing w:before="74" w:line="251" w:lineRule="auto"/>
              <w:ind w:left="423" w:right="153" w:hanging="244"/>
            </w:pPr>
            <w:r>
              <w:rPr>
                <w:spacing w:val="-3"/>
              </w:rPr>
              <w:t>12:51-</w:t>
            </w:r>
            <w:r>
              <w:rPr>
                <w:rFonts w:ascii="仿宋" w:hAnsi="仿宋" w:eastAsia="仿宋" w:cs="仿宋"/>
                <w:spacing w:val="-3"/>
              </w:rPr>
              <w:t>次日</w:t>
            </w:r>
            <w:r>
              <w:rPr>
                <w:rFonts w:ascii="仿宋" w:hAnsi="仿宋" w:eastAsia="仿宋" w:cs="仿宋"/>
              </w:rPr>
              <w:t xml:space="preserve"> </w:t>
            </w:r>
            <w:r>
              <w:rPr>
                <w:spacing w:val="-5"/>
              </w:rPr>
              <w:t>12:51</w:t>
            </w:r>
          </w:p>
        </w:tc>
        <w:tc>
          <w:tcPr>
            <w:tcW w:w="730" w:type="dxa"/>
            <w:tcBorders>
              <w:bottom w:val="single" w:color="000000" w:sz="12" w:space="0"/>
            </w:tcBorders>
            <w:vAlign w:val="top"/>
          </w:tcPr>
          <w:p>
            <w:pPr>
              <w:pStyle w:val="6"/>
              <w:spacing w:before="267" w:line="188" w:lineRule="auto"/>
              <w:ind w:left="226"/>
            </w:pPr>
            <w:r>
              <w:rPr>
                <w:spacing w:val="-6"/>
              </w:rPr>
              <w:t>128</w:t>
            </w:r>
          </w:p>
        </w:tc>
        <w:tc>
          <w:tcPr>
            <w:tcW w:w="919" w:type="dxa"/>
            <w:tcBorders>
              <w:bottom w:val="single" w:color="000000" w:sz="12" w:space="0"/>
            </w:tcBorders>
            <w:vAlign w:val="top"/>
          </w:tcPr>
          <w:p>
            <w:pPr>
              <w:pStyle w:val="6"/>
              <w:spacing w:before="267" w:line="188" w:lineRule="auto"/>
              <w:ind w:left="408"/>
            </w:pPr>
            <w:r>
              <w:t>0</w:t>
            </w:r>
          </w:p>
        </w:tc>
        <w:tc>
          <w:tcPr>
            <w:tcW w:w="821" w:type="dxa"/>
            <w:tcBorders>
              <w:bottom w:val="single" w:color="000000" w:sz="12" w:space="0"/>
            </w:tcBorders>
            <w:vAlign w:val="top"/>
          </w:tcPr>
          <w:p>
            <w:pPr>
              <w:pStyle w:val="6"/>
              <w:spacing w:before="267" w:line="188" w:lineRule="auto"/>
              <w:ind w:left="359"/>
            </w:pPr>
            <w:r>
              <w:t>0</w:t>
            </w:r>
          </w:p>
        </w:tc>
        <w:tc>
          <w:tcPr>
            <w:tcW w:w="821" w:type="dxa"/>
            <w:vMerge w:val="continue"/>
            <w:tcBorders>
              <w:top w:val="nil"/>
              <w:bottom w:val="single" w:color="000000" w:sz="12" w:space="0"/>
            </w:tcBorders>
            <w:vAlign w:val="top"/>
          </w:tcPr>
          <w:p>
            <w:pPr>
              <w:rPr>
                <w:rFonts w:ascii="Arial"/>
                <w:sz w:val="21"/>
              </w:rPr>
            </w:pPr>
          </w:p>
        </w:tc>
        <w:tc>
          <w:tcPr>
            <w:tcW w:w="813" w:type="dxa"/>
            <w:tcBorders>
              <w:bottom w:val="single" w:color="000000" w:sz="12" w:space="0"/>
              <w:right w:val="nil"/>
            </w:tcBorders>
            <w:vAlign w:val="top"/>
          </w:tcPr>
          <w:p>
            <w:pPr>
              <w:spacing w:before="231" w:line="218" w:lineRule="auto"/>
              <w:ind w:left="207"/>
              <w:rPr>
                <w:rFonts w:ascii="仿宋" w:hAnsi="仿宋" w:eastAsia="仿宋" w:cs="仿宋"/>
                <w:sz w:val="21"/>
                <w:szCs w:val="21"/>
              </w:rPr>
            </w:pPr>
            <w:r>
              <w:rPr>
                <w:rFonts w:ascii="仿宋" w:hAnsi="仿宋" w:eastAsia="仿宋" w:cs="仿宋"/>
                <w:spacing w:val="-5"/>
                <w:sz w:val="21"/>
                <w:szCs w:val="21"/>
              </w:rPr>
              <w:t>达标</w:t>
            </w:r>
          </w:p>
        </w:tc>
      </w:tr>
    </w:tbl>
    <w:p>
      <w:pPr>
        <w:spacing w:before="114" w:line="360" w:lineRule="auto"/>
        <w:ind w:left="37" w:right="41" w:firstLine="482"/>
        <w:rPr>
          <w:rFonts w:ascii="宋体" w:hAnsi="宋体" w:eastAsia="宋体" w:cs="宋体"/>
          <w:sz w:val="24"/>
          <w:szCs w:val="24"/>
        </w:rPr>
      </w:pPr>
      <w:r>
        <w:rPr>
          <w:rFonts w:ascii="宋体" w:hAnsi="宋体" w:eastAsia="宋体" w:cs="宋体"/>
          <w:spacing w:val="-11"/>
          <w:sz w:val="24"/>
          <w:szCs w:val="24"/>
        </w:rPr>
        <w:t>根据上表监测结果， 坝址枢纽区、坝址下风向东北侧（</w:t>
      </w:r>
      <w:r>
        <w:rPr>
          <w:rFonts w:ascii="Times New Roman" w:hAnsi="Times New Roman" w:eastAsia="Times New Roman" w:cs="Times New Roman"/>
          <w:spacing w:val="-11"/>
          <w:sz w:val="24"/>
          <w:szCs w:val="24"/>
        </w:rPr>
        <w:t>950m</w:t>
      </w:r>
      <w:r>
        <w:rPr>
          <w:rFonts w:ascii="Times New Roman" w:hAnsi="Times New Roman" w:eastAsia="Times New Roman" w:cs="Times New Roman"/>
          <w:spacing w:val="31"/>
          <w:sz w:val="24"/>
          <w:szCs w:val="24"/>
        </w:rPr>
        <w:t xml:space="preserve"> </w:t>
      </w:r>
      <w:r>
        <w:rPr>
          <w:rFonts w:ascii="宋体" w:hAnsi="宋体" w:eastAsia="宋体" w:cs="宋体"/>
          <w:spacing w:val="-11"/>
          <w:sz w:val="24"/>
          <w:szCs w:val="24"/>
        </w:rPr>
        <w:t>处的么他苴村）</w:t>
      </w:r>
      <w:r>
        <w:rPr>
          <w:rFonts w:ascii="宋体" w:hAnsi="宋体" w:eastAsia="宋体" w:cs="宋体"/>
          <w:sz w:val="24"/>
          <w:szCs w:val="24"/>
        </w:rPr>
        <w:t xml:space="preserve"> </w:t>
      </w:r>
      <w:r>
        <w:rPr>
          <w:rFonts w:ascii="Times New Roman" w:hAnsi="Times New Roman" w:eastAsia="Times New Roman" w:cs="Times New Roman"/>
          <w:spacing w:val="-10"/>
          <w:sz w:val="24"/>
          <w:szCs w:val="24"/>
        </w:rPr>
        <w:t>TSP</w:t>
      </w:r>
      <w:r>
        <w:rPr>
          <w:rFonts w:ascii="Times New Roman" w:hAnsi="Times New Roman" w:eastAsia="Times New Roman" w:cs="Times New Roman"/>
          <w:spacing w:val="50"/>
          <w:w w:val="101"/>
          <w:sz w:val="24"/>
          <w:szCs w:val="24"/>
        </w:rPr>
        <w:t xml:space="preserve"> </w:t>
      </w:r>
      <w:r>
        <w:rPr>
          <w:rFonts w:ascii="宋体" w:hAnsi="宋体" w:eastAsia="宋体" w:cs="宋体"/>
          <w:spacing w:val="-10"/>
          <w:sz w:val="24"/>
          <w:szCs w:val="24"/>
        </w:rPr>
        <w:t>日均浓度均能满足《环境空气质量标准》（</w:t>
      </w:r>
      <w:r>
        <w:rPr>
          <w:rFonts w:ascii="Times New Roman" w:hAnsi="Times New Roman" w:eastAsia="Times New Roman" w:cs="Times New Roman"/>
          <w:spacing w:val="-10"/>
          <w:sz w:val="24"/>
          <w:szCs w:val="24"/>
        </w:rPr>
        <w:t>G</w:t>
      </w:r>
      <w:r>
        <w:rPr>
          <w:rFonts w:ascii="Times New Roman" w:hAnsi="Times New Roman" w:eastAsia="Times New Roman" w:cs="Times New Roman"/>
          <w:spacing w:val="-11"/>
          <w:sz w:val="24"/>
          <w:szCs w:val="24"/>
        </w:rPr>
        <w:t>B3095-2012</w:t>
      </w:r>
      <w:r>
        <w:rPr>
          <w:rFonts w:ascii="宋体" w:hAnsi="宋体" w:eastAsia="宋体" w:cs="宋体"/>
          <w:spacing w:val="-11"/>
          <w:sz w:val="24"/>
          <w:szCs w:val="24"/>
        </w:rPr>
        <w:t>）二级标准， 满足环</w:t>
      </w:r>
    </w:p>
    <w:p>
      <w:pPr>
        <w:spacing w:line="220" w:lineRule="auto"/>
        <w:ind w:left="40"/>
        <w:rPr>
          <w:rFonts w:ascii="宋体" w:hAnsi="宋体" w:eastAsia="宋体" w:cs="宋体"/>
          <w:sz w:val="24"/>
          <w:szCs w:val="24"/>
        </w:rPr>
      </w:pPr>
      <w:r>
        <w:rPr>
          <w:rFonts w:ascii="宋体" w:hAnsi="宋体" w:eastAsia="宋体" w:cs="宋体"/>
          <w:spacing w:val="-7"/>
          <w:sz w:val="24"/>
          <w:szCs w:val="24"/>
        </w:rPr>
        <w:t>境功能要求。</w:t>
      </w:r>
    </w:p>
    <w:p>
      <w:pPr>
        <w:spacing w:line="353" w:lineRule="auto"/>
        <w:rPr>
          <w:rFonts w:ascii="Arial"/>
          <w:sz w:val="21"/>
        </w:rPr>
      </w:pPr>
    </w:p>
    <w:p>
      <w:pPr>
        <w:pStyle w:val="2"/>
        <w:spacing w:before="78" w:line="233" w:lineRule="auto"/>
        <w:ind w:left="33"/>
        <w:outlineLvl w:val="2"/>
        <w:rPr>
          <w:sz w:val="24"/>
          <w:szCs w:val="24"/>
        </w:rPr>
      </w:pPr>
      <w:r>
        <w:rPr>
          <w:rFonts w:ascii="Times New Roman" w:hAnsi="Times New Roman" w:eastAsia="Times New Roman" w:cs="Times New Roman"/>
          <w:b/>
          <w:bCs/>
          <w:sz w:val="24"/>
          <w:szCs w:val="24"/>
        </w:rPr>
        <w:t xml:space="preserve">3.2.3 </w:t>
      </w:r>
      <w:r>
        <w:rPr>
          <w:sz w:val="24"/>
          <w:szCs w:val="24"/>
          <w14:textOutline w14:w="4354" w14:cap="flat" w14:cmpd="sng">
            <w14:solidFill>
              <w14:srgbClr w14:val="000000"/>
            </w14:solidFill>
            <w14:prstDash w14:val="solid"/>
            <w14:miter w14:val="0"/>
          </w14:textOutline>
        </w:rPr>
        <w:t>声环境质量</w:t>
      </w:r>
    </w:p>
    <w:p>
      <w:pPr>
        <w:spacing w:before="278" w:line="468" w:lineRule="exact"/>
        <w:ind w:right="30"/>
        <w:jc w:val="right"/>
        <w:rPr>
          <w:rFonts w:ascii="宋体" w:hAnsi="宋体" w:eastAsia="宋体" w:cs="宋体"/>
          <w:sz w:val="24"/>
          <w:szCs w:val="24"/>
        </w:rPr>
      </w:pPr>
      <w:r>
        <w:rPr>
          <w:rFonts w:ascii="宋体" w:hAnsi="宋体" w:eastAsia="宋体" w:cs="宋体"/>
          <w:spacing w:val="-5"/>
          <w:position w:val="17"/>
          <w:sz w:val="24"/>
          <w:szCs w:val="24"/>
        </w:rPr>
        <w:t>评价期间建设单位委托中博源检测（云南）</w:t>
      </w:r>
      <w:r>
        <w:rPr>
          <w:rFonts w:ascii="宋体" w:hAnsi="宋体" w:eastAsia="宋体" w:cs="宋体"/>
          <w:spacing w:val="-58"/>
          <w:position w:val="17"/>
          <w:sz w:val="24"/>
          <w:szCs w:val="24"/>
        </w:rPr>
        <w:t xml:space="preserve"> </w:t>
      </w:r>
      <w:r>
        <w:rPr>
          <w:rFonts w:ascii="宋体" w:hAnsi="宋体" w:eastAsia="宋体" w:cs="宋体"/>
          <w:spacing w:val="-5"/>
          <w:position w:val="17"/>
          <w:sz w:val="24"/>
          <w:szCs w:val="24"/>
        </w:rPr>
        <w:t>有限公司对项目区声环境质量进</w:t>
      </w:r>
    </w:p>
    <w:p>
      <w:pPr>
        <w:spacing w:line="219" w:lineRule="auto"/>
        <w:ind w:left="43"/>
        <w:rPr>
          <w:rFonts w:ascii="宋体" w:hAnsi="宋体" w:eastAsia="宋体" w:cs="宋体"/>
          <w:sz w:val="24"/>
          <w:szCs w:val="24"/>
        </w:rPr>
      </w:pPr>
      <w:r>
        <w:rPr>
          <w:rFonts w:ascii="宋体" w:hAnsi="宋体" w:eastAsia="宋体" w:cs="宋体"/>
          <w:spacing w:val="-7"/>
          <w:sz w:val="24"/>
          <w:szCs w:val="24"/>
        </w:rPr>
        <w:t>行现状监测。</w:t>
      </w:r>
    </w:p>
    <w:p>
      <w:pPr>
        <w:spacing w:before="183" w:line="221"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）监测点位</w:t>
      </w:r>
    </w:p>
    <w:p>
      <w:pPr>
        <w:spacing w:before="181" w:line="360" w:lineRule="auto"/>
        <w:ind w:left="39" w:right="30" w:firstLine="480"/>
        <w:rPr>
          <w:rFonts w:ascii="宋体" w:hAnsi="宋体" w:eastAsia="宋体" w:cs="宋体"/>
          <w:sz w:val="24"/>
          <w:szCs w:val="24"/>
        </w:rPr>
      </w:pPr>
      <w:r>
        <w:rPr>
          <w:rFonts w:ascii="宋体" w:hAnsi="宋体" w:eastAsia="宋体" w:cs="宋体"/>
          <w:spacing w:val="-2"/>
          <w:sz w:val="24"/>
          <w:szCs w:val="24"/>
        </w:rPr>
        <w:t xml:space="preserve">根据项目工程布置特点，共选取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4"/>
          <w:sz w:val="24"/>
          <w:szCs w:val="24"/>
        </w:rPr>
        <w:t xml:space="preserve"> </w:t>
      </w:r>
      <w:r>
        <w:rPr>
          <w:rFonts w:ascii="宋体" w:hAnsi="宋体" w:eastAsia="宋体" w:cs="宋体"/>
          <w:spacing w:val="-2"/>
          <w:sz w:val="24"/>
          <w:szCs w:val="24"/>
        </w:rPr>
        <w:t>个声环境监测点位，分别为工程枢纽区</w:t>
      </w:r>
      <w:r>
        <w:rPr>
          <w:rFonts w:ascii="宋体" w:hAnsi="宋体" w:eastAsia="宋体" w:cs="宋体"/>
          <w:sz w:val="24"/>
          <w:szCs w:val="24"/>
        </w:rPr>
        <w:t xml:space="preserve"> </w:t>
      </w:r>
      <w:r>
        <w:rPr>
          <w:rFonts w:ascii="宋体" w:hAnsi="宋体" w:eastAsia="宋体" w:cs="宋体"/>
          <w:spacing w:val="-10"/>
          <w:sz w:val="24"/>
          <w:szCs w:val="24"/>
        </w:rPr>
        <w:t>附近居民点壤能比独、皮左黑村（料场旁）、扯嘿（施工道路旁）、马茨村（</w:t>
      </w:r>
      <w:r>
        <w:rPr>
          <w:rFonts w:ascii="宋体" w:hAnsi="宋体" w:eastAsia="宋体" w:cs="宋体"/>
          <w:spacing w:val="-11"/>
          <w:sz w:val="24"/>
          <w:szCs w:val="24"/>
        </w:rPr>
        <w:t>隧洞</w:t>
      </w:r>
      <w:r>
        <w:rPr>
          <w:rFonts w:ascii="宋体" w:hAnsi="宋体" w:eastAsia="宋体" w:cs="宋体"/>
          <w:sz w:val="24"/>
          <w:szCs w:val="24"/>
        </w:rPr>
        <w:t xml:space="preserve"> </w:t>
      </w:r>
      <w:r>
        <w:rPr>
          <w:rFonts w:ascii="宋体" w:hAnsi="宋体" w:eastAsia="宋体" w:cs="宋体"/>
          <w:spacing w:val="-10"/>
          <w:sz w:val="24"/>
          <w:szCs w:val="24"/>
        </w:rPr>
        <w:t>旁）、罗子左村（取水坝旁）、输水管线旁代表点位么苴簸（施工生产生活区、弃</w:t>
      </w:r>
      <w:r>
        <w:rPr>
          <w:rFonts w:ascii="宋体" w:hAnsi="宋体" w:eastAsia="宋体" w:cs="宋体"/>
          <w:spacing w:val="14"/>
          <w:sz w:val="24"/>
          <w:szCs w:val="24"/>
        </w:rPr>
        <w:t xml:space="preserve"> </w:t>
      </w:r>
      <w:r>
        <w:rPr>
          <w:rFonts w:ascii="宋体" w:hAnsi="宋体" w:eastAsia="宋体" w:cs="宋体"/>
          <w:spacing w:val="-10"/>
          <w:sz w:val="24"/>
          <w:szCs w:val="24"/>
        </w:rPr>
        <w:t>渣场旁）、耳子地（输水线路穿过）、谢老屋基（拌合站旁）、么他苴（施工道路</w:t>
      </w:r>
    </w:p>
    <w:p>
      <w:pPr>
        <w:spacing w:line="219" w:lineRule="auto"/>
        <w:ind w:left="44"/>
        <w:rPr>
          <w:rFonts w:ascii="宋体" w:hAnsi="宋体" w:eastAsia="宋体" w:cs="宋体"/>
          <w:sz w:val="24"/>
          <w:szCs w:val="24"/>
        </w:rPr>
      </w:pPr>
      <w:r>
        <w:rPr>
          <w:rFonts w:ascii="宋体" w:hAnsi="宋体" w:eastAsia="宋体" w:cs="宋体"/>
          <w:spacing w:val="-20"/>
          <w:sz w:val="24"/>
          <w:szCs w:val="24"/>
        </w:rPr>
        <w:t>旁）、孙家山（碧么水库旁）。</w:t>
      </w:r>
    </w:p>
    <w:p>
      <w:pPr>
        <w:spacing w:before="183"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）监测项目</w:t>
      </w:r>
    </w:p>
    <w:p>
      <w:pPr>
        <w:spacing w:before="182" w:line="468" w:lineRule="exact"/>
        <w:ind w:left="521"/>
        <w:rPr>
          <w:rFonts w:ascii="宋体" w:hAnsi="宋体" w:eastAsia="宋体" w:cs="宋体"/>
          <w:sz w:val="24"/>
          <w:szCs w:val="24"/>
        </w:rPr>
      </w:pPr>
      <w:r>
        <w:rPr>
          <w:rFonts w:ascii="宋体" w:hAnsi="宋体" w:eastAsia="宋体" w:cs="宋体"/>
          <w:spacing w:val="-4"/>
          <w:position w:val="17"/>
          <w:sz w:val="24"/>
          <w:szCs w:val="24"/>
        </w:rPr>
        <w:t>等效连续</w:t>
      </w:r>
      <w:r>
        <w:rPr>
          <w:rFonts w:ascii="宋体" w:hAnsi="宋体" w:eastAsia="宋体" w:cs="宋体"/>
          <w:spacing w:val="-55"/>
          <w:position w:val="17"/>
          <w:sz w:val="24"/>
          <w:szCs w:val="24"/>
        </w:rPr>
        <w:t xml:space="preserve"> </w:t>
      </w:r>
      <w:r>
        <w:rPr>
          <w:rFonts w:ascii="Times New Roman" w:hAnsi="Times New Roman" w:eastAsia="Times New Roman" w:cs="Times New Roman"/>
          <w:spacing w:val="-4"/>
          <w:position w:val="17"/>
          <w:sz w:val="24"/>
          <w:szCs w:val="24"/>
        </w:rPr>
        <w:t xml:space="preserve">A </w:t>
      </w:r>
      <w:r>
        <w:rPr>
          <w:rFonts w:ascii="宋体" w:hAnsi="宋体" w:eastAsia="宋体" w:cs="宋体"/>
          <w:spacing w:val="-4"/>
          <w:position w:val="17"/>
          <w:sz w:val="24"/>
          <w:szCs w:val="24"/>
        </w:rPr>
        <w:t>声级。</w:t>
      </w:r>
    </w:p>
    <w:p>
      <w:pPr>
        <w:spacing w:before="2"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）监测时间</w:t>
      </w:r>
    </w:p>
    <w:p>
      <w:pPr>
        <w:spacing w:before="180" w:line="468" w:lineRule="exact"/>
        <w:ind w:left="515"/>
        <w:rPr>
          <w:rFonts w:ascii="宋体" w:hAnsi="宋体" w:eastAsia="宋体" w:cs="宋体"/>
          <w:sz w:val="24"/>
          <w:szCs w:val="24"/>
        </w:rPr>
      </w:pPr>
      <w:r>
        <w:rPr>
          <w:rFonts w:ascii="Times New Roman" w:hAnsi="Times New Roman" w:eastAsia="Times New Roman" w:cs="Times New Roman"/>
          <w:spacing w:val="-8"/>
          <w:position w:val="16"/>
          <w:sz w:val="24"/>
          <w:szCs w:val="24"/>
        </w:rPr>
        <w:t xml:space="preserve">2023 </w:t>
      </w:r>
      <w:r>
        <w:rPr>
          <w:rFonts w:ascii="宋体" w:hAnsi="宋体" w:eastAsia="宋体" w:cs="宋体"/>
          <w:spacing w:val="-8"/>
          <w:position w:val="16"/>
          <w:sz w:val="24"/>
          <w:szCs w:val="24"/>
        </w:rPr>
        <w:t>年</w:t>
      </w:r>
      <w:r>
        <w:rPr>
          <w:rFonts w:ascii="宋体" w:hAnsi="宋体" w:eastAsia="宋体" w:cs="宋体"/>
          <w:spacing w:val="-36"/>
          <w:position w:val="16"/>
          <w:sz w:val="24"/>
          <w:szCs w:val="24"/>
        </w:rPr>
        <w:t xml:space="preserve"> </w:t>
      </w:r>
      <w:r>
        <w:rPr>
          <w:rFonts w:ascii="Times New Roman" w:hAnsi="Times New Roman" w:eastAsia="Times New Roman" w:cs="Times New Roman"/>
          <w:spacing w:val="-8"/>
          <w:position w:val="16"/>
          <w:sz w:val="24"/>
          <w:szCs w:val="24"/>
        </w:rPr>
        <w:t>3</w:t>
      </w:r>
      <w:r>
        <w:rPr>
          <w:rFonts w:ascii="Times New Roman" w:hAnsi="Times New Roman" w:eastAsia="Times New Roman" w:cs="Times New Roman"/>
          <w:spacing w:val="16"/>
          <w:position w:val="16"/>
          <w:sz w:val="24"/>
          <w:szCs w:val="24"/>
        </w:rPr>
        <w:t xml:space="preserve"> </w:t>
      </w:r>
      <w:r>
        <w:rPr>
          <w:rFonts w:ascii="宋体" w:hAnsi="宋体" w:eastAsia="宋体" w:cs="宋体"/>
          <w:spacing w:val="-8"/>
          <w:position w:val="16"/>
          <w:sz w:val="24"/>
          <w:szCs w:val="24"/>
        </w:rPr>
        <w:t>月</w:t>
      </w:r>
      <w:r>
        <w:rPr>
          <w:rFonts w:ascii="宋体" w:hAnsi="宋体" w:eastAsia="宋体" w:cs="宋体"/>
          <w:spacing w:val="-55"/>
          <w:position w:val="16"/>
          <w:sz w:val="24"/>
          <w:szCs w:val="24"/>
        </w:rPr>
        <w:t xml:space="preserve"> </w:t>
      </w:r>
      <w:r>
        <w:rPr>
          <w:rFonts w:ascii="Times New Roman" w:hAnsi="Times New Roman" w:eastAsia="Times New Roman" w:cs="Times New Roman"/>
          <w:spacing w:val="-8"/>
          <w:position w:val="16"/>
          <w:sz w:val="24"/>
          <w:szCs w:val="24"/>
        </w:rPr>
        <w:t xml:space="preserve">28  </w:t>
      </w:r>
      <w:r>
        <w:rPr>
          <w:rFonts w:ascii="宋体" w:hAnsi="宋体" w:eastAsia="宋体" w:cs="宋体"/>
          <w:spacing w:val="-8"/>
          <w:position w:val="16"/>
          <w:sz w:val="24"/>
          <w:szCs w:val="24"/>
        </w:rPr>
        <w:t>日</w:t>
      </w:r>
      <w:r>
        <w:rPr>
          <w:rFonts w:ascii="Times New Roman" w:hAnsi="Times New Roman" w:eastAsia="Times New Roman" w:cs="Times New Roman"/>
          <w:spacing w:val="-8"/>
          <w:position w:val="16"/>
          <w:sz w:val="24"/>
          <w:szCs w:val="24"/>
        </w:rPr>
        <w:t xml:space="preserve">~29  </w:t>
      </w:r>
      <w:r>
        <w:rPr>
          <w:rFonts w:ascii="宋体" w:hAnsi="宋体" w:eastAsia="宋体" w:cs="宋体"/>
          <w:spacing w:val="-8"/>
          <w:position w:val="16"/>
          <w:sz w:val="24"/>
          <w:szCs w:val="24"/>
        </w:rPr>
        <w:t>日，连续监测</w:t>
      </w:r>
      <w:r>
        <w:rPr>
          <w:rFonts w:ascii="宋体" w:hAnsi="宋体" w:eastAsia="宋体" w:cs="宋体"/>
          <w:spacing w:val="-35"/>
          <w:position w:val="16"/>
          <w:sz w:val="24"/>
          <w:szCs w:val="24"/>
        </w:rPr>
        <w:t xml:space="preserve"> </w:t>
      </w:r>
      <w:r>
        <w:rPr>
          <w:rFonts w:ascii="Times New Roman" w:hAnsi="Times New Roman" w:eastAsia="Times New Roman" w:cs="Times New Roman"/>
          <w:spacing w:val="-8"/>
          <w:position w:val="16"/>
          <w:sz w:val="24"/>
          <w:szCs w:val="24"/>
        </w:rPr>
        <w:t>2d</w:t>
      </w:r>
      <w:r>
        <w:rPr>
          <w:rFonts w:ascii="宋体" w:hAnsi="宋体" w:eastAsia="宋体" w:cs="宋体"/>
          <w:spacing w:val="-8"/>
          <w:position w:val="16"/>
          <w:sz w:val="24"/>
          <w:szCs w:val="24"/>
        </w:rPr>
        <w:t xml:space="preserve">，昼夜各 </w:t>
      </w:r>
      <w:r>
        <w:rPr>
          <w:rFonts w:ascii="Times New Roman" w:hAnsi="Times New Roman" w:eastAsia="Times New Roman" w:cs="Times New Roman"/>
          <w:spacing w:val="-8"/>
          <w:position w:val="16"/>
          <w:sz w:val="24"/>
          <w:szCs w:val="24"/>
        </w:rPr>
        <w:t>1</w:t>
      </w:r>
      <w:r>
        <w:rPr>
          <w:rFonts w:ascii="Times New Roman" w:hAnsi="Times New Roman" w:eastAsia="Times New Roman" w:cs="Times New Roman"/>
          <w:spacing w:val="16"/>
          <w:position w:val="16"/>
          <w:sz w:val="24"/>
          <w:szCs w:val="24"/>
        </w:rPr>
        <w:t xml:space="preserve"> </w:t>
      </w:r>
      <w:r>
        <w:rPr>
          <w:rFonts w:ascii="宋体" w:hAnsi="宋体" w:eastAsia="宋体" w:cs="宋体"/>
          <w:spacing w:val="-8"/>
          <w:position w:val="16"/>
          <w:sz w:val="24"/>
          <w:szCs w:val="24"/>
        </w:rPr>
        <w:t>次。</w:t>
      </w:r>
    </w:p>
    <w:p>
      <w:pPr>
        <w:spacing w:line="218"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）监测结果及评价</w:t>
      </w:r>
    </w:p>
    <w:p>
      <w:pPr>
        <w:spacing w:line="218" w:lineRule="auto"/>
        <w:rPr>
          <w:rFonts w:ascii="宋体" w:hAnsi="宋体" w:eastAsia="宋体" w:cs="宋体"/>
          <w:sz w:val="24"/>
          <w:szCs w:val="24"/>
        </w:rPr>
        <w:sectPr>
          <w:footerReference r:id="rId194" w:type="default"/>
          <w:pgSz w:w="11907" w:h="16839"/>
          <w:pgMar w:top="1156" w:right="1768" w:bottom="1373" w:left="1770" w:header="881" w:footer="1210" w:gutter="0"/>
        </w:sectPr>
      </w:pPr>
    </w:p>
    <w:p>
      <w:pPr>
        <w:spacing w:before="107"/>
      </w:pPr>
    </w:p>
    <w:p>
      <w:pPr>
        <w:sectPr>
          <w:headerReference r:id="rId195" w:type="default"/>
          <w:footerReference r:id="rId196" w:type="default"/>
          <w:pgSz w:w="11907" w:h="16839"/>
          <w:pgMar w:top="1156" w:right="1690" w:bottom="1374" w:left="1692" w:header="881" w:footer="1210" w:gutter="0"/>
          <w:cols w:equalWidth="0" w:num="1">
            <w:col w:w="8524"/>
          </w:cols>
        </w:sectPr>
      </w:pPr>
    </w:p>
    <w:p>
      <w:pPr>
        <w:spacing w:before="47" w:line="220" w:lineRule="auto"/>
        <w:ind w:left="598"/>
        <w:rPr>
          <w:rFonts w:ascii="宋体" w:hAnsi="宋体" w:eastAsia="宋体" w:cs="宋体"/>
          <w:sz w:val="24"/>
          <w:szCs w:val="24"/>
        </w:rPr>
      </w:pPr>
      <w:r>
        <w:rPr>
          <w:rFonts w:ascii="宋体" w:hAnsi="宋体" w:eastAsia="宋体" w:cs="宋体"/>
          <w:spacing w:val="-2"/>
          <w:sz w:val="24"/>
          <w:szCs w:val="24"/>
        </w:rPr>
        <w:t>监测结果见表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3.2-7</w:t>
      </w:r>
      <w:r>
        <w:rPr>
          <w:rFonts w:ascii="宋体" w:hAnsi="宋体" w:eastAsia="宋体" w:cs="宋体"/>
          <w:spacing w:val="-2"/>
          <w:sz w:val="24"/>
          <w:szCs w:val="24"/>
        </w:rPr>
        <w:t>。</w:t>
      </w:r>
    </w:p>
    <w:p>
      <w:pPr>
        <w:spacing w:before="197" w:line="185" w:lineRule="auto"/>
        <w:ind w:left="2653"/>
        <w:rPr>
          <w:rFonts w:ascii="Times New Roman" w:hAnsi="Times New Roman" w:eastAsia="Times New Roman" w:cs="Times New Roman"/>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表</w:t>
      </w:r>
      <w:r>
        <w:rPr>
          <w:rFonts w:ascii="宋体" w:hAnsi="宋体" w:eastAsia="宋体" w:cs="宋体"/>
          <w:spacing w:val="-47"/>
          <w:sz w:val="21"/>
          <w:szCs w:val="21"/>
        </w:rPr>
        <w:t xml:space="preserve"> </w:t>
      </w:r>
      <w:r>
        <w:rPr>
          <w:rFonts w:ascii="Times New Roman" w:hAnsi="Times New Roman" w:eastAsia="Times New Roman" w:cs="Times New Roman"/>
          <w:b/>
          <w:bCs/>
          <w:spacing w:val="-2"/>
          <w:sz w:val="21"/>
          <w:szCs w:val="21"/>
        </w:rPr>
        <w:t>3.2-7</w:t>
      </w:r>
    </w:p>
    <w:p>
      <w:pPr>
        <w:spacing w:line="14" w:lineRule="auto"/>
        <w:rPr>
          <w:rFonts w:ascii="Arial"/>
          <w:sz w:val="2"/>
        </w:rPr>
      </w:pPr>
      <w:r>
        <w:rPr>
          <w:rFonts w:ascii="Arial" w:hAnsi="Arial" w:eastAsia="Arial" w:cs="Arial"/>
          <w:sz w:val="2"/>
          <w:szCs w:val="2"/>
        </w:rPr>
        <w:br w:type="column"/>
      </w:r>
    </w:p>
    <w:p>
      <w:pPr>
        <w:spacing w:line="458" w:lineRule="auto"/>
        <w:rPr>
          <w:rFonts w:ascii="Arial"/>
          <w:sz w:val="21"/>
        </w:rPr>
      </w:pPr>
    </w:p>
    <w:p>
      <w:pPr>
        <w:spacing w:before="68" w:line="185" w:lineRule="auto"/>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声环境监测值及评价结果</w:t>
      </w:r>
    </w:p>
    <w:p>
      <w:pPr>
        <w:spacing w:line="185" w:lineRule="auto"/>
        <w:rPr>
          <w:rFonts w:ascii="宋体" w:hAnsi="宋体" w:eastAsia="宋体" w:cs="宋体"/>
          <w:sz w:val="21"/>
          <w:szCs w:val="21"/>
        </w:rPr>
        <w:sectPr>
          <w:type w:val="continuous"/>
          <w:pgSz w:w="11907" w:h="16839"/>
          <w:pgMar w:top="1156" w:right="1690" w:bottom="1374" w:left="1692" w:header="881" w:footer="1210" w:gutter="0"/>
          <w:cols w:equalWidth="0" w:num="2">
            <w:col w:w="3471" w:space="100"/>
            <w:col w:w="4953"/>
          </w:cols>
        </w:sectPr>
      </w:pPr>
    </w:p>
    <w:p>
      <w:pPr>
        <w:spacing w:line="128" w:lineRule="exact"/>
      </w:pPr>
    </w:p>
    <w:tbl>
      <w:tblPr>
        <w:tblStyle w:val="5"/>
        <w:tblW w:w="85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369"/>
        <w:gridCol w:w="1157"/>
        <w:gridCol w:w="1649"/>
        <w:gridCol w:w="1554"/>
        <w:gridCol w:w="1195"/>
        <w:gridCol w:w="7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5" w:hRule="atLeast"/>
        </w:trPr>
        <w:tc>
          <w:tcPr>
            <w:tcW w:w="899" w:type="dxa"/>
            <w:tcBorders>
              <w:top w:val="single" w:color="000000" w:sz="12" w:space="0"/>
              <w:left w:val="nil"/>
            </w:tcBorders>
            <w:vAlign w:val="top"/>
          </w:tcPr>
          <w:p>
            <w:pPr>
              <w:spacing w:before="51" w:line="312" w:lineRule="exact"/>
              <w:ind w:left="258"/>
              <w:rPr>
                <w:rFonts w:ascii="仿宋" w:hAnsi="仿宋" w:eastAsia="仿宋" w:cs="仿宋"/>
                <w:sz w:val="21"/>
                <w:szCs w:val="21"/>
              </w:rPr>
            </w:pPr>
            <w:r>
              <w:rPr>
                <w:rFonts w:ascii="仿宋" w:hAnsi="仿宋" w:eastAsia="仿宋" w:cs="仿宋"/>
                <w:spacing w:val="-5"/>
                <w:position w:val="7"/>
                <w:sz w:val="21"/>
                <w:szCs w:val="21"/>
                <w14:textOutline w14:w="3810" w14:cap="flat" w14:cmpd="sng">
                  <w14:solidFill>
                    <w14:srgbClr w14:val="000000"/>
                  </w14:solidFill>
                  <w14:prstDash w14:val="solid"/>
                  <w14:miter w14:val="0"/>
                </w14:textOutline>
              </w:rPr>
              <w:t>监测</w:t>
            </w:r>
          </w:p>
          <w:p>
            <w:pPr>
              <w:spacing w:line="217" w:lineRule="auto"/>
              <w:ind w:left="264"/>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点位</w:t>
            </w:r>
          </w:p>
        </w:tc>
        <w:tc>
          <w:tcPr>
            <w:tcW w:w="1369" w:type="dxa"/>
            <w:tcBorders>
              <w:top w:val="single" w:color="000000" w:sz="12" w:space="0"/>
            </w:tcBorders>
            <w:vAlign w:val="top"/>
          </w:tcPr>
          <w:p>
            <w:pPr>
              <w:spacing w:before="206" w:line="219" w:lineRule="auto"/>
              <w:ind w:left="279"/>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监测时间</w:t>
            </w:r>
          </w:p>
        </w:tc>
        <w:tc>
          <w:tcPr>
            <w:tcW w:w="1157" w:type="dxa"/>
            <w:tcBorders>
              <w:top w:val="single" w:color="000000" w:sz="12" w:space="0"/>
            </w:tcBorders>
            <w:vAlign w:val="top"/>
          </w:tcPr>
          <w:p>
            <w:pPr>
              <w:spacing w:before="206" w:line="219" w:lineRule="auto"/>
              <w:ind w:left="173"/>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监测时段</w:t>
            </w:r>
          </w:p>
        </w:tc>
        <w:tc>
          <w:tcPr>
            <w:tcW w:w="1649" w:type="dxa"/>
            <w:tcBorders>
              <w:top w:val="single" w:color="000000" w:sz="12" w:space="0"/>
            </w:tcBorders>
            <w:vAlign w:val="top"/>
          </w:tcPr>
          <w:p>
            <w:pPr>
              <w:spacing w:before="207" w:line="218" w:lineRule="auto"/>
              <w:ind w:left="31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主要噪声源</w:t>
            </w:r>
          </w:p>
        </w:tc>
        <w:tc>
          <w:tcPr>
            <w:tcW w:w="1554" w:type="dxa"/>
            <w:tcBorders>
              <w:top w:val="single" w:color="000000" w:sz="12" w:space="0"/>
            </w:tcBorders>
            <w:vAlign w:val="top"/>
          </w:tcPr>
          <w:p>
            <w:pPr>
              <w:pStyle w:val="6"/>
              <w:spacing w:before="245" w:line="186" w:lineRule="auto"/>
              <w:ind w:left="259"/>
            </w:pPr>
            <w:r>
              <w:rPr>
                <w:b/>
                <w:bCs/>
                <w:spacing w:val="-1"/>
              </w:rPr>
              <w:t>Leq[dB(A)]</w:t>
            </w:r>
          </w:p>
        </w:tc>
        <w:tc>
          <w:tcPr>
            <w:tcW w:w="1195" w:type="dxa"/>
            <w:tcBorders>
              <w:top w:val="single" w:color="000000" w:sz="12" w:space="0"/>
            </w:tcBorders>
            <w:vAlign w:val="top"/>
          </w:tcPr>
          <w:p>
            <w:pPr>
              <w:pStyle w:val="6"/>
              <w:spacing w:before="50" w:line="253" w:lineRule="auto"/>
              <w:ind w:left="272" w:right="172" w:hanging="79"/>
            </w:pPr>
            <w:r>
              <w:rPr>
                <w:rFonts w:ascii="仿宋" w:hAnsi="仿宋" w:eastAsia="仿宋" w:cs="仿宋"/>
                <w:spacing w:val="-4"/>
                <w14:textOutline w14:w="3810" w14:cap="flat" w14:cmpd="sng">
                  <w14:solidFill>
                    <w14:srgbClr w14:val="000000"/>
                  </w14:solidFill>
                  <w14:prstDash w14:val="solid"/>
                  <w14:miter w14:val="0"/>
                </w14:textOutline>
              </w:rPr>
              <w:t>质量标准</w:t>
            </w:r>
            <w:r>
              <w:rPr>
                <w:rFonts w:ascii="仿宋" w:hAnsi="仿宋" w:eastAsia="仿宋" w:cs="仿宋"/>
              </w:rPr>
              <w:t xml:space="preserve"> </w:t>
            </w:r>
            <w:r>
              <w:rPr>
                <w:b/>
                <w:bCs/>
                <w:spacing w:val="-4"/>
              </w:rPr>
              <w:t>[dB(A)]</w:t>
            </w:r>
          </w:p>
        </w:tc>
        <w:tc>
          <w:tcPr>
            <w:tcW w:w="700" w:type="dxa"/>
            <w:tcBorders>
              <w:top w:val="single" w:color="000000" w:sz="12" w:space="0"/>
              <w:right w:val="nil"/>
            </w:tcBorders>
            <w:vAlign w:val="top"/>
          </w:tcPr>
          <w:p>
            <w:pPr>
              <w:spacing w:before="51" w:line="312" w:lineRule="exact"/>
              <w:ind w:left="150"/>
              <w:rPr>
                <w:rFonts w:ascii="仿宋" w:hAnsi="仿宋" w:eastAsia="仿宋" w:cs="仿宋"/>
                <w:sz w:val="21"/>
                <w:szCs w:val="21"/>
              </w:rPr>
            </w:pPr>
            <w:r>
              <w:rPr>
                <w:rFonts w:ascii="仿宋" w:hAnsi="仿宋" w:eastAsia="仿宋" w:cs="仿宋"/>
                <w:spacing w:val="-4"/>
                <w:position w:val="7"/>
                <w:sz w:val="21"/>
                <w:szCs w:val="21"/>
                <w14:textOutline w14:w="3810" w14:cap="flat" w14:cmpd="sng">
                  <w14:solidFill>
                    <w14:srgbClr w14:val="000000"/>
                  </w14:solidFill>
                  <w14:prstDash w14:val="solid"/>
                  <w14:miter w14:val="0"/>
                </w14:textOutline>
              </w:rPr>
              <w:t>评价</w:t>
            </w:r>
          </w:p>
          <w:p>
            <w:pPr>
              <w:spacing w:line="219" w:lineRule="auto"/>
              <w:ind w:left="154"/>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结论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restart"/>
            <w:tcBorders>
              <w:left w:val="nil"/>
              <w:bottom w:val="nil"/>
            </w:tcBorders>
            <w:vAlign w:val="top"/>
          </w:tcPr>
          <w:p>
            <w:pPr>
              <w:spacing w:before="115" w:line="260" w:lineRule="auto"/>
              <w:ind w:left="148" w:right="145" w:firstLine="104"/>
              <w:jc w:val="both"/>
              <w:rPr>
                <w:rFonts w:ascii="仿宋" w:hAnsi="仿宋" w:eastAsia="仿宋" w:cs="仿宋"/>
                <w:sz w:val="21"/>
                <w:szCs w:val="21"/>
              </w:rPr>
            </w:pPr>
            <w:r>
              <w:rPr>
                <w:rFonts w:ascii="仿宋" w:hAnsi="仿宋" w:eastAsia="仿宋" w:cs="仿宋"/>
                <w:spacing w:val="-7"/>
                <w:sz w:val="21"/>
                <w:szCs w:val="21"/>
              </w:rPr>
              <w:t>扯嘿</w:t>
            </w:r>
            <w:r>
              <w:rPr>
                <w:rFonts w:ascii="仿宋" w:hAnsi="仿宋" w:eastAsia="仿宋" w:cs="仿宋"/>
                <w:sz w:val="21"/>
                <w:szCs w:val="21"/>
              </w:rPr>
              <w:t xml:space="preserve">  </w:t>
            </w:r>
            <w:r>
              <w:rPr>
                <w:rFonts w:ascii="仿宋" w:hAnsi="仿宋" w:eastAsia="仿宋" w:cs="仿宋"/>
                <w:spacing w:val="-10"/>
                <w:sz w:val="21"/>
                <w:szCs w:val="21"/>
              </w:rPr>
              <w:t>（施工</w:t>
            </w:r>
            <w:r>
              <w:rPr>
                <w:rFonts w:ascii="仿宋" w:hAnsi="仿宋" w:eastAsia="仿宋" w:cs="仿宋"/>
                <w:spacing w:val="1"/>
                <w:sz w:val="21"/>
                <w:szCs w:val="21"/>
              </w:rPr>
              <w:t xml:space="preserve"> </w:t>
            </w:r>
            <w:r>
              <w:rPr>
                <w:rFonts w:ascii="仿宋" w:hAnsi="仿宋" w:eastAsia="仿宋" w:cs="仿宋"/>
                <w:spacing w:val="45"/>
                <w:sz w:val="21"/>
                <w:szCs w:val="21"/>
              </w:rPr>
              <w:t>道路</w:t>
            </w:r>
            <w:r>
              <w:rPr>
                <w:rFonts w:ascii="仿宋" w:hAnsi="仿宋" w:eastAsia="仿宋" w:cs="仿宋"/>
                <w:sz w:val="21"/>
                <w:szCs w:val="21"/>
              </w:rPr>
              <w:t xml:space="preserve">  </w:t>
            </w:r>
            <w:r>
              <w:rPr>
                <w:rFonts w:ascii="仿宋" w:hAnsi="仿宋" w:eastAsia="仿宋" w:cs="仿宋"/>
                <w:spacing w:val="38"/>
                <w:sz w:val="21"/>
                <w:szCs w:val="21"/>
              </w:rPr>
              <w:t>旁）</w:t>
            </w:r>
          </w:p>
        </w:tc>
        <w:tc>
          <w:tcPr>
            <w:tcW w:w="1369" w:type="dxa"/>
            <w:vMerge w:val="restart"/>
            <w:tcBorders>
              <w:bottom w:val="nil"/>
            </w:tcBorders>
            <w:vAlign w:val="top"/>
          </w:tcPr>
          <w:p>
            <w:pPr>
              <w:pStyle w:val="6"/>
              <w:spacing w:before="274" w:line="188" w:lineRule="auto"/>
              <w:ind w:left="265"/>
            </w:pPr>
            <w:r>
              <w:rPr>
                <w:spacing w:val="-1"/>
              </w:rPr>
              <w:t>2023.3.28</w:t>
            </w:r>
          </w:p>
        </w:tc>
        <w:tc>
          <w:tcPr>
            <w:tcW w:w="1157" w:type="dxa"/>
            <w:vAlign w:val="top"/>
          </w:tcPr>
          <w:p>
            <w:pPr>
              <w:spacing w:before="64" w:line="21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before="68" w:line="218" w:lineRule="auto"/>
              <w:ind w:left="414"/>
              <w:rPr>
                <w:rFonts w:ascii="仿宋" w:hAnsi="仿宋" w:eastAsia="仿宋" w:cs="仿宋"/>
                <w:sz w:val="21"/>
                <w:szCs w:val="21"/>
              </w:rPr>
            </w:pPr>
            <w:r>
              <w:rPr>
                <w:rFonts w:ascii="仿宋" w:hAnsi="仿宋" w:eastAsia="仿宋" w:cs="仿宋"/>
                <w:spacing w:val="-3"/>
                <w:sz w:val="21"/>
                <w:szCs w:val="21"/>
              </w:rPr>
              <w:t>环境噪声</w:t>
            </w:r>
          </w:p>
        </w:tc>
        <w:tc>
          <w:tcPr>
            <w:tcW w:w="1554" w:type="dxa"/>
            <w:vAlign w:val="top"/>
          </w:tcPr>
          <w:p>
            <w:pPr>
              <w:pStyle w:val="6"/>
              <w:spacing w:before="101" w:line="188" w:lineRule="auto"/>
              <w:ind w:left="679"/>
            </w:pPr>
            <w:r>
              <w:rPr>
                <w:spacing w:val="-3"/>
              </w:rPr>
              <w:t>52</w:t>
            </w:r>
          </w:p>
        </w:tc>
        <w:tc>
          <w:tcPr>
            <w:tcW w:w="1195"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8" w:line="219" w:lineRule="auto"/>
              <w:ind w:left="189"/>
            </w:pPr>
            <w:r>
              <w:rPr>
                <w:rFonts w:ascii="仿宋" w:hAnsi="仿宋" w:eastAsia="仿宋" w:cs="仿宋"/>
                <w:spacing w:val="-3"/>
              </w:rPr>
              <w:t>昼间：</w:t>
            </w:r>
            <w:r>
              <w:rPr>
                <w:spacing w:val="-3"/>
              </w:rPr>
              <w:t>55</w:t>
            </w:r>
          </w:p>
          <w:p>
            <w:pPr>
              <w:pStyle w:val="6"/>
              <w:spacing w:before="63" w:line="218" w:lineRule="auto"/>
              <w:ind w:left="189"/>
            </w:pPr>
            <w:r>
              <w:rPr>
                <w:rFonts w:ascii="仿宋" w:hAnsi="仿宋" w:eastAsia="仿宋" w:cs="仿宋"/>
                <w:spacing w:val="-23"/>
              </w:rPr>
              <w:t>夜间：</w:t>
            </w:r>
            <w:r>
              <w:rPr>
                <w:rFonts w:ascii="仿宋" w:hAnsi="仿宋" w:eastAsia="仿宋" w:cs="仿宋"/>
                <w:spacing w:val="-5"/>
              </w:rPr>
              <w:t xml:space="preserve"> </w:t>
            </w:r>
            <w:r>
              <w:rPr>
                <w:spacing w:val="-23"/>
              </w:rPr>
              <w:t>45</w:t>
            </w:r>
          </w:p>
        </w:tc>
        <w:tc>
          <w:tcPr>
            <w:tcW w:w="700" w:type="dxa"/>
            <w:vMerge w:val="restart"/>
            <w:tcBorders>
              <w:bottom w:val="nil"/>
              <w:right w:val="nil"/>
            </w:tcBorders>
            <w:vAlign w:val="top"/>
          </w:tcPr>
          <w:p>
            <w:pPr>
              <w:spacing w:line="255" w:lineRule="auto"/>
              <w:rPr>
                <w:rFonts w:ascii="Arial"/>
                <w:sz w:val="21"/>
              </w:rPr>
            </w:pPr>
          </w:p>
          <w:p>
            <w:pPr>
              <w:spacing w:line="255" w:lineRule="auto"/>
              <w:rPr>
                <w:rFonts w:ascii="Arial"/>
                <w:sz w:val="21"/>
              </w:rPr>
            </w:pPr>
          </w:p>
          <w:p>
            <w:pPr>
              <w:spacing w:before="68" w:line="218" w:lineRule="auto"/>
              <w:ind w:left="153"/>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bottom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66"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02" w:line="188" w:lineRule="auto"/>
              <w:ind w:left="672"/>
            </w:pPr>
            <w:r>
              <w:rPr>
                <w:spacing w:val="-1"/>
              </w:rPr>
              <w:t>45</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continue"/>
            <w:tcBorders>
              <w:top w:val="nil"/>
              <w:left w:val="nil"/>
              <w:bottom w:val="nil"/>
            </w:tcBorders>
            <w:vAlign w:val="top"/>
          </w:tcPr>
          <w:p>
            <w:pPr>
              <w:rPr>
                <w:rFonts w:ascii="Arial"/>
                <w:sz w:val="21"/>
              </w:rPr>
            </w:pPr>
          </w:p>
        </w:tc>
        <w:tc>
          <w:tcPr>
            <w:tcW w:w="1369" w:type="dxa"/>
            <w:vMerge w:val="restart"/>
            <w:tcBorders>
              <w:bottom w:val="nil"/>
            </w:tcBorders>
            <w:vAlign w:val="top"/>
          </w:tcPr>
          <w:p>
            <w:pPr>
              <w:pStyle w:val="6"/>
              <w:spacing w:before="276" w:line="188" w:lineRule="auto"/>
              <w:ind w:left="265"/>
            </w:pPr>
            <w:r>
              <w:rPr>
                <w:spacing w:val="-1"/>
              </w:rPr>
              <w:t>2023.3.29</w:t>
            </w:r>
          </w:p>
        </w:tc>
        <w:tc>
          <w:tcPr>
            <w:tcW w:w="1157" w:type="dxa"/>
            <w:vAlign w:val="top"/>
          </w:tcPr>
          <w:p>
            <w:pPr>
              <w:spacing w:before="66" w:line="21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03" w:line="188" w:lineRule="auto"/>
              <w:ind w:left="679"/>
            </w:pPr>
            <w:r>
              <w:rPr>
                <w:spacing w:val="-3"/>
              </w:rPr>
              <w:t>51</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68"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tcBorders>
            <w:vAlign w:val="top"/>
          </w:tcPr>
          <w:p>
            <w:pPr>
              <w:rPr>
                <w:rFonts w:ascii="Arial"/>
                <w:sz w:val="21"/>
              </w:rPr>
            </w:pPr>
          </w:p>
        </w:tc>
        <w:tc>
          <w:tcPr>
            <w:tcW w:w="1554" w:type="dxa"/>
            <w:vAlign w:val="top"/>
          </w:tcPr>
          <w:p>
            <w:pPr>
              <w:pStyle w:val="6"/>
              <w:spacing w:before="104" w:line="188" w:lineRule="auto"/>
              <w:ind w:left="672"/>
            </w:pPr>
            <w:r>
              <w:rPr>
                <w:spacing w:val="-1"/>
              </w:rPr>
              <w:t>42</w:t>
            </w:r>
          </w:p>
        </w:tc>
        <w:tc>
          <w:tcPr>
            <w:tcW w:w="1195" w:type="dxa"/>
            <w:vMerge w:val="continue"/>
            <w:tcBorders>
              <w:top w:val="nil"/>
              <w:bottom w:val="nil"/>
            </w:tcBorders>
            <w:vAlign w:val="top"/>
          </w:tcPr>
          <w:p>
            <w:pPr>
              <w:rPr>
                <w:rFonts w:ascii="Arial"/>
                <w:sz w:val="21"/>
              </w:rPr>
            </w:pPr>
          </w:p>
        </w:tc>
        <w:tc>
          <w:tcPr>
            <w:tcW w:w="700"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restart"/>
            <w:tcBorders>
              <w:left w:val="nil"/>
              <w:bottom w:val="nil"/>
            </w:tcBorders>
            <w:vAlign w:val="top"/>
          </w:tcPr>
          <w:p>
            <w:pPr>
              <w:spacing w:before="274" w:line="217" w:lineRule="auto"/>
              <w:ind w:left="152"/>
              <w:rPr>
                <w:rFonts w:ascii="仿宋" w:hAnsi="仿宋" w:eastAsia="仿宋" w:cs="仿宋"/>
                <w:sz w:val="21"/>
                <w:szCs w:val="21"/>
              </w:rPr>
            </w:pPr>
            <w:r>
              <w:rPr>
                <w:rFonts w:ascii="仿宋" w:hAnsi="仿宋" w:eastAsia="仿宋" w:cs="仿宋"/>
                <w:spacing w:val="-5"/>
                <w:sz w:val="21"/>
                <w:szCs w:val="21"/>
              </w:rPr>
              <w:t>马茨村</w:t>
            </w:r>
          </w:p>
          <w:p>
            <w:pPr>
              <w:spacing w:before="63" w:line="247" w:lineRule="auto"/>
              <w:ind w:left="263" w:right="153" w:hanging="115"/>
              <w:rPr>
                <w:rFonts w:ascii="仿宋" w:hAnsi="仿宋" w:eastAsia="仿宋" w:cs="仿宋"/>
                <w:sz w:val="21"/>
                <w:szCs w:val="21"/>
              </w:rPr>
            </w:pPr>
            <w:r>
              <w:rPr>
                <w:rFonts w:ascii="仿宋" w:hAnsi="仿宋" w:eastAsia="仿宋" w:cs="仿宋"/>
                <w:spacing w:val="-12"/>
                <w:sz w:val="21"/>
                <w:szCs w:val="21"/>
              </w:rPr>
              <w:t>（隧洞</w:t>
            </w:r>
            <w:r>
              <w:rPr>
                <w:rFonts w:ascii="仿宋" w:hAnsi="仿宋" w:eastAsia="仿宋" w:cs="仿宋"/>
                <w:sz w:val="21"/>
                <w:szCs w:val="21"/>
              </w:rPr>
              <w:t xml:space="preserve"> </w:t>
            </w:r>
            <w:r>
              <w:rPr>
                <w:rFonts w:ascii="仿宋" w:hAnsi="仿宋" w:eastAsia="仿宋" w:cs="仿宋"/>
                <w:spacing w:val="-10"/>
                <w:sz w:val="21"/>
                <w:szCs w:val="21"/>
              </w:rPr>
              <w:t>旁）</w:t>
            </w:r>
          </w:p>
        </w:tc>
        <w:tc>
          <w:tcPr>
            <w:tcW w:w="1369" w:type="dxa"/>
            <w:vMerge w:val="restart"/>
            <w:tcBorders>
              <w:bottom w:val="nil"/>
            </w:tcBorders>
            <w:vAlign w:val="top"/>
          </w:tcPr>
          <w:p>
            <w:pPr>
              <w:pStyle w:val="6"/>
              <w:spacing w:before="278" w:line="188" w:lineRule="auto"/>
              <w:ind w:left="265"/>
            </w:pPr>
            <w:r>
              <w:rPr>
                <w:spacing w:val="-1"/>
              </w:rPr>
              <w:t>2023.3.28</w:t>
            </w:r>
          </w:p>
        </w:tc>
        <w:tc>
          <w:tcPr>
            <w:tcW w:w="1157" w:type="dxa"/>
            <w:vAlign w:val="top"/>
          </w:tcPr>
          <w:p>
            <w:pPr>
              <w:spacing w:before="68" w:line="219" w:lineRule="auto"/>
              <w:ind w:left="379"/>
              <w:rPr>
                <w:rFonts w:ascii="仿宋" w:hAnsi="仿宋" w:eastAsia="仿宋" w:cs="仿宋"/>
                <w:sz w:val="21"/>
                <w:szCs w:val="21"/>
              </w:rPr>
            </w:pPr>
            <w:r>
              <w:rPr>
                <w:rFonts w:ascii="仿宋" w:hAnsi="仿宋" w:eastAsia="仿宋" w:cs="仿宋"/>
                <w:spacing w:val="-7"/>
                <w:sz w:val="21"/>
                <w:szCs w:val="21"/>
              </w:rPr>
              <w:t>昼间</w:t>
            </w:r>
          </w:p>
        </w:tc>
        <w:tc>
          <w:tcPr>
            <w:tcW w:w="1649"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before="68" w:line="218" w:lineRule="auto"/>
              <w:ind w:left="414"/>
              <w:rPr>
                <w:rFonts w:ascii="仿宋" w:hAnsi="仿宋" w:eastAsia="仿宋" w:cs="仿宋"/>
                <w:sz w:val="21"/>
                <w:szCs w:val="21"/>
              </w:rPr>
            </w:pPr>
            <w:r>
              <w:rPr>
                <w:rFonts w:ascii="仿宋" w:hAnsi="仿宋" w:eastAsia="仿宋" w:cs="仿宋"/>
                <w:spacing w:val="-3"/>
                <w:sz w:val="21"/>
                <w:szCs w:val="21"/>
              </w:rPr>
              <w:t>环境噪声</w:t>
            </w:r>
          </w:p>
        </w:tc>
        <w:tc>
          <w:tcPr>
            <w:tcW w:w="1554" w:type="dxa"/>
            <w:vAlign w:val="top"/>
          </w:tcPr>
          <w:p>
            <w:pPr>
              <w:pStyle w:val="6"/>
              <w:spacing w:before="105" w:line="188" w:lineRule="auto"/>
              <w:ind w:left="679"/>
            </w:pPr>
            <w:r>
              <w:rPr>
                <w:spacing w:val="-5"/>
              </w:rPr>
              <w:t>51</w:t>
            </w:r>
          </w:p>
        </w:tc>
        <w:tc>
          <w:tcPr>
            <w:tcW w:w="1195" w:type="dxa"/>
            <w:vMerge w:val="continue"/>
            <w:tcBorders>
              <w:top w:val="nil"/>
              <w:bottom w:val="nil"/>
            </w:tcBorders>
            <w:vAlign w:val="top"/>
          </w:tcPr>
          <w:p>
            <w:pPr>
              <w:rPr>
                <w:rFonts w:ascii="Arial"/>
                <w:sz w:val="21"/>
              </w:rPr>
            </w:pPr>
          </w:p>
        </w:tc>
        <w:tc>
          <w:tcPr>
            <w:tcW w:w="700" w:type="dxa"/>
            <w:vMerge w:val="restart"/>
            <w:tcBorders>
              <w:bottom w:val="nil"/>
              <w:right w:val="nil"/>
            </w:tcBorders>
            <w:vAlign w:val="top"/>
          </w:tcPr>
          <w:p>
            <w:pPr>
              <w:spacing w:line="257" w:lineRule="auto"/>
              <w:rPr>
                <w:rFonts w:ascii="Arial"/>
                <w:sz w:val="21"/>
              </w:rPr>
            </w:pPr>
          </w:p>
          <w:p>
            <w:pPr>
              <w:spacing w:line="257" w:lineRule="auto"/>
              <w:rPr>
                <w:rFonts w:ascii="Arial"/>
                <w:sz w:val="21"/>
              </w:rPr>
            </w:pPr>
          </w:p>
          <w:p>
            <w:pPr>
              <w:spacing w:before="68" w:line="218" w:lineRule="auto"/>
              <w:ind w:left="153"/>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bottom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70"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06" w:line="188" w:lineRule="auto"/>
              <w:ind w:left="672"/>
            </w:pPr>
            <w:r>
              <w:rPr>
                <w:spacing w:val="-1"/>
              </w:rPr>
              <w:t>46</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continue"/>
            <w:tcBorders>
              <w:top w:val="nil"/>
              <w:left w:val="nil"/>
              <w:bottom w:val="nil"/>
            </w:tcBorders>
            <w:vAlign w:val="top"/>
          </w:tcPr>
          <w:p>
            <w:pPr>
              <w:rPr>
                <w:rFonts w:ascii="Arial"/>
                <w:sz w:val="21"/>
              </w:rPr>
            </w:pPr>
          </w:p>
        </w:tc>
        <w:tc>
          <w:tcPr>
            <w:tcW w:w="1369" w:type="dxa"/>
            <w:vMerge w:val="restart"/>
            <w:tcBorders>
              <w:bottom w:val="nil"/>
            </w:tcBorders>
            <w:vAlign w:val="top"/>
          </w:tcPr>
          <w:p>
            <w:pPr>
              <w:pStyle w:val="6"/>
              <w:spacing w:before="280" w:line="188" w:lineRule="auto"/>
              <w:ind w:left="265"/>
            </w:pPr>
            <w:r>
              <w:rPr>
                <w:spacing w:val="-1"/>
              </w:rPr>
              <w:t>2023.3.29</w:t>
            </w:r>
          </w:p>
        </w:tc>
        <w:tc>
          <w:tcPr>
            <w:tcW w:w="1157" w:type="dxa"/>
            <w:vAlign w:val="top"/>
          </w:tcPr>
          <w:p>
            <w:pPr>
              <w:spacing w:before="70" w:line="21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07" w:line="188" w:lineRule="auto"/>
              <w:ind w:left="679"/>
            </w:pPr>
            <w:r>
              <w:rPr>
                <w:spacing w:val="-3"/>
              </w:rPr>
              <w:t>51</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72"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tcBorders>
            <w:vAlign w:val="top"/>
          </w:tcPr>
          <w:p>
            <w:pPr>
              <w:rPr>
                <w:rFonts w:ascii="Arial"/>
                <w:sz w:val="21"/>
              </w:rPr>
            </w:pPr>
          </w:p>
        </w:tc>
        <w:tc>
          <w:tcPr>
            <w:tcW w:w="1554" w:type="dxa"/>
            <w:vAlign w:val="top"/>
          </w:tcPr>
          <w:p>
            <w:pPr>
              <w:pStyle w:val="6"/>
              <w:spacing w:before="108" w:line="188" w:lineRule="auto"/>
              <w:ind w:left="672"/>
            </w:pPr>
            <w:r>
              <w:rPr>
                <w:spacing w:val="-1"/>
              </w:rPr>
              <w:t>43</w:t>
            </w:r>
          </w:p>
        </w:tc>
        <w:tc>
          <w:tcPr>
            <w:tcW w:w="1195" w:type="dxa"/>
            <w:vMerge w:val="continue"/>
            <w:tcBorders>
              <w:top w:val="nil"/>
              <w:bottom w:val="nil"/>
            </w:tcBorders>
            <w:vAlign w:val="top"/>
          </w:tcPr>
          <w:p>
            <w:pPr>
              <w:rPr>
                <w:rFonts w:ascii="Arial"/>
                <w:sz w:val="21"/>
              </w:rPr>
            </w:pPr>
          </w:p>
        </w:tc>
        <w:tc>
          <w:tcPr>
            <w:tcW w:w="700"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restart"/>
            <w:tcBorders>
              <w:left w:val="nil"/>
              <w:bottom w:val="nil"/>
            </w:tcBorders>
            <w:vAlign w:val="top"/>
          </w:tcPr>
          <w:p>
            <w:pPr>
              <w:spacing w:before="122" w:line="218" w:lineRule="auto"/>
              <w:ind w:left="148"/>
              <w:rPr>
                <w:rFonts w:ascii="仿宋" w:hAnsi="仿宋" w:eastAsia="仿宋" w:cs="仿宋"/>
                <w:sz w:val="21"/>
                <w:szCs w:val="21"/>
              </w:rPr>
            </w:pPr>
            <w:r>
              <w:rPr>
                <w:rFonts w:ascii="仿宋" w:hAnsi="仿宋" w:eastAsia="仿宋" w:cs="仿宋"/>
                <w:spacing w:val="-4"/>
                <w:sz w:val="21"/>
                <w:szCs w:val="21"/>
              </w:rPr>
              <w:t>耳子地</w:t>
            </w:r>
          </w:p>
          <w:p>
            <w:pPr>
              <w:spacing w:before="63" w:line="259" w:lineRule="auto"/>
              <w:ind w:left="154" w:right="132" w:hanging="6"/>
              <w:jc w:val="both"/>
              <w:rPr>
                <w:rFonts w:ascii="仿宋" w:hAnsi="仿宋" w:eastAsia="仿宋" w:cs="仿宋"/>
                <w:sz w:val="21"/>
                <w:szCs w:val="21"/>
              </w:rPr>
            </w:pPr>
            <w:r>
              <w:rPr>
                <w:rFonts w:ascii="仿宋" w:hAnsi="仿宋" w:eastAsia="仿宋" w:cs="仿宋"/>
                <w:spacing w:val="-10"/>
                <w:sz w:val="21"/>
                <w:szCs w:val="21"/>
              </w:rPr>
              <w:t>（输水</w:t>
            </w:r>
            <w:r>
              <w:rPr>
                <w:rFonts w:ascii="仿宋" w:hAnsi="仿宋" w:eastAsia="仿宋" w:cs="仿宋"/>
                <w:spacing w:val="1"/>
                <w:sz w:val="21"/>
                <w:szCs w:val="21"/>
              </w:rPr>
              <w:t xml:space="preserve"> </w:t>
            </w:r>
            <w:r>
              <w:rPr>
                <w:rFonts w:ascii="仿宋" w:hAnsi="仿宋" w:eastAsia="仿宋" w:cs="仿宋"/>
                <w:spacing w:val="-7"/>
                <w:sz w:val="21"/>
                <w:szCs w:val="21"/>
              </w:rPr>
              <w:t>线路穿</w:t>
            </w:r>
            <w:r>
              <w:rPr>
                <w:rFonts w:ascii="仿宋" w:hAnsi="仿宋" w:eastAsia="仿宋" w:cs="仿宋"/>
                <w:sz w:val="21"/>
                <w:szCs w:val="21"/>
              </w:rPr>
              <w:t xml:space="preserve"> </w:t>
            </w:r>
            <w:r>
              <w:rPr>
                <w:rFonts w:ascii="仿宋" w:hAnsi="仿宋" w:eastAsia="仿宋" w:cs="仿宋"/>
                <w:spacing w:val="34"/>
                <w:sz w:val="21"/>
                <w:szCs w:val="21"/>
              </w:rPr>
              <w:t>过）</w:t>
            </w:r>
          </w:p>
        </w:tc>
        <w:tc>
          <w:tcPr>
            <w:tcW w:w="1369" w:type="dxa"/>
            <w:vMerge w:val="restart"/>
            <w:tcBorders>
              <w:bottom w:val="nil"/>
            </w:tcBorders>
            <w:vAlign w:val="top"/>
          </w:tcPr>
          <w:p>
            <w:pPr>
              <w:pStyle w:val="6"/>
              <w:spacing w:before="282" w:line="188" w:lineRule="auto"/>
              <w:ind w:left="265"/>
            </w:pPr>
            <w:r>
              <w:rPr>
                <w:spacing w:val="-1"/>
              </w:rPr>
              <w:t>2023.3.28</w:t>
            </w:r>
          </w:p>
        </w:tc>
        <w:tc>
          <w:tcPr>
            <w:tcW w:w="1157" w:type="dxa"/>
            <w:vAlign w:val="top"/>
          </w:tcPr>
          <w:p>
            <w:pPr>
              <w:spacing w:before="72" w:line="21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before="68" w:line="218" w:lineRule="auto"/>
              <w:ind w:left="414"/>
              <w:rPr>
                <w:rFonts w:ascii="仿宋" w:hAnsi="仿宋" w:eastAsia="仿宋" w:cs="仿宋"/>
                <w:sz w:val="21"/>
                <w:szCs w:val="21"/>
              </w:rPr>
            </w:pPr>
            <w:r>
              <w:rPr>
                <w:rFonts w:ascii="仿宋" w:hAnsi="仿宋" w:eastAsia="仿宋" w:cs="仿宋"/>
                <w:spacing w:val="-3"/>
                <w:sz w:val="21"/>
                <w:szCs w:val="21"/>
              </w:rPr>
              <w:t>环境噪声</w:t>
            </w:r>
          </w:p>
        </w:tc>
        <w:tc>
          <w:tcPr>
            <w:tcW w:w="1554" w:type="dxa"/>
            <w:vAlign w:val="top"/>
          </w:tcPr>
          <w:p>
            <w:pPr>
              <w:pStyle w:val="6"/>
              <w:spacing w:before="109" w:line="188" w:lineRule="auto"/>
              <w:ind w:left="679"/>
            </w:pPr>
            <w:r>
              <w:rPr>
                <w:spacing w:val="-3"/>
              </w:rPr>
              <w:t>51</w:t>
            </w:r>
          </w:p>
        </w:tc>
        <w:tc>
          <w:tcPr>
            <w:tcW w:w="1195" w:type="dxa"/>
            <w:vMerge w:val="continue"/>
            <w:tcBorders>
              <w:top w:val="nil"/>
              <w:bottom w:val="nil"/>
            </w:tcBorders>
            <w:vAlign w:val="top"/>
          </w:tcPr>
          <w:p>
            <w:pPr>
              <w:rPr>
                <w:rFonts w:ascii="Arial"/>
                <w:sz w:val="21"/>
              </w:rPr>
            </w:pPr>
          </w:p>
        </w:tc>
        <w:tc>
          <w:tcPr>
            <w:tcW w:w="700" w:type="dxa"/>
            <w:vMerge w:val="restart"/>
            <w:tcBorders>
              <w:bottom w:val="nil"/>
              <w:right w:val="nil"/>
            </w:tcBorders>
            <w:vAlign w:val="top"/>
          </w:tcPr>
          <w:p>
            <w:pPr>
              <w:spacing w:line="259" w:lineRule="auto"/>
              <w:rPr>
                <w:rFonts w:ascii="Arial"/>
                <w:sz w:val="21"/>
              </w:rPr>
            </w:pPr>
          </w:p>
          <w:p>
            <w:pPr>
              <w:spacing w:line="259" w:lineRule="auto"/>
              <w:rPr>
                <w:rFonts w:ascii="Arial"/>
                <w:sz w:val="21"/>
              </w:rPr>
            </w:pPr>
          </w:p>
          <w:p>
            <w:pPr>
              <w:spacing w:before="68" w:line="218" w:lineRule="auto"/>
              <w:ind w:left="153"/>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bottom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74"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10" w:line="188" w:lineRule="auto"/>
              <w:ind w:left="672"/>
            </w:pPr>
            <w:r>
              <w:rPr>
                <w:spacing w:val="-1"/>
              </w:rPr>
              <w:t>44</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continue"/>
            <w:tcBorders>
              <w:top w:val="nil"/>
              <w:left w:val="nil"/>
              <w:bottom w:val="nil"/>
            </w:tcBorders>
            <w:vAlign w:val="top"/>
          </w:tcPr>
          <w:p>
            <w:pPr>
              <w:rPr>
                <w:rFonts w:ascii="Arial"/>
                <w:sz w:val="21"/>
              </w:rPr>
            </w:pPr>
          </w:p>
        </w:tc>
        <w:tc>
          <w:tcPr>
            <w:tcW w:w="1369" w:type="dxa"/>
            <w:vMerge w:val="restart"/>
            <w:tcBorders>
              <w:bottom w:val="nil"/>
            </w:tcBorders>
            <w:vAlign w:val="top"/>
          </w:tcPr>
          <w:p>
            <w:pPr>
              <w:pStyle w:val="6"/>
              <w:spacing w:before="284" w:line="188" w:lineRule="auto"/>
              <w:ind w:left="265"/>
            </w:pPr>
            <w:r>
              <w:rPr>
                <w:spacing w:val="-1"/>
              </w:rPr>
              <w:t>2023.3.29</w:t>
            </w:r>
          </w:p>
        </w:tc>
        <w:tc>
          <w:tcPr>
            <w:tcW w:w="1157" w:type="dxa"/>
            <w:vAlign w:val="top"/>
          </w:tcPr>
          <w:p>
            <w:pPr>
              <w:spacing w:before="74" w:line="21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11" w:line="188" w:lineRule="auto"/>
              <w:ind w:left="672"/>
            </w:pPr>
            <w:r>
              <w:rPr>
                <w:spacing w:val="-1"/>
              </w:rPr>
              <w:t>48</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76"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tcBorders>
            <w:vAlign w:val="top"/>
          </w:tcPr>
          <w:p>
            <w:pPr>
              <w:rPr>
                <w:rFonts w:ascii="Arial"/>
                <w:sz w:val="21"/>
              </w:rPr>
            </w:pPr>
          </w:p>
        </w:tc>
        <w:tc>
          <w:tcPr>
            <w:tcW w:w="1554" w:type="dxa"/>
            <w:vAlign w:val="top"/>
          </w:tcPr>
          <w:p>
            <w:pPr>
              <w:pStyle w:val="6"/>
              <w:spacing w:before="112" w:line="188" w:lineRule="auto"/>
              <w:ind w:left="672"/>
            </w:pPr>
            <w:r>
              <w:rPr>
                <w:spacing w:val="-1"/>
              </w:rPr>
              <w:t>42</w:t>
            </w:r>
          </w:p>
        </w:tc>
        <w:tc>
          <w:tcPr>
            <w:tcW w:w="1195" w:type="dxa"/>
            <w:vMerge w:val="continue"/>
            <w:tcBorders>
              <w:top w:val="nil"/>
              <w:bottom w:val="nil"/>
            </w:tcBorders>
            <w:vAlign w:val="top"/>
          </w:tcPr>
          <w:p>
            <w:pPr>
              <w:rPr>
                <w:rFonts w:ascii="Arial"/>
                <w:sz w:val="21"/>
              </w:rPr>
            </w:pPr>
          </w:p>
        </w:tc>
        <w:tc>
          <w:tcPr>
            <w:tcW w:w="700"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restart"/>
            <w:tcBorders>
              <w:left w:val="nil"/>
              <w:bottom w:val="nil"/>
            </w:tcBorders>
            <w:vAlign w:val="top"/>
          </w:tcPr>
          <w:p>
            <w:pPr>
              <w:spacing w:before="126" w:line="246" w:lineRule="auto"/>
              <w:ind w:left="147" w:right="132"/>
              <w:rPr>
                <w:rFonts w:ascii="仿宋" w:hAnsi="仿宋" w:eastAsia="仿宋" w:cs="仿宋"/>
                <w:sz w:val="21"/>
                <w:szCs w:val="21"/>
              </w:rPr>
            </w:pPr>
            <w:r>
              <w:rPr>
                <w:rFonts w:ascii="仿宋" w:hAnsi="仿宋" w:eastAsia="仿宋" w:cs="仿宋"/>
                <w:spacing w:val="-5"/>
                <w:sz w:val="21"/>
                <w:szCs w:val="21"/>
              </w:rPr>
              <w:t>谢老屋</w:t>
            </w:r>
            <w:r>
              <w:rPr>
                <w:rFonts w:ascii="仿宋" w:hAnsi="仿宋" w:eastAsia="仿宋" w:cs="仿宋"/>
                <w:sz w:val="21"/>
                <w:szCs w:val="21"/>
              </w:rPr>
              <w:t xml:space="preserve"> </w:t>
            </w:r>
            <w:r>
              <w:rPr>
                <w:rFonts w:ascii="仿宋" w:hAnsi="仿宋" w:eastAsia="仿宋" w:cs="仿宋"/>
                <w:spacing w:val="-5"/>
                <w:sz w:val="21"/>
                <w:szCs w:val="21"/>
              </w:rPr>
              <w:t>基（拌</w:t>
            </w:r>
          </w:p>
          <w:p>
            <w:pPr>
              <w:spacing w:before="63" w:line="312" w:lineRule="exact"/>
              <w:ind w:left="258"/>
              <w:rPr>
                <w:rFonts w:ascii="仿宋" w:hAnsi="仿宋" w:eastAsia="仿宋" w:cs="仿宋"/>
                <w:sz w:val="21"/>
                <w:szCs w:val="21"/>
              </w:rPr>
            </w:pPr>
            <w:r>
              <w:rPr>
                <w:rFonts w:ascii="仿宋" w:hAnsi="仿宋" w:eastAsia="仿宋" w:cs="仿宋"/>
                <w:spacing w:val="-5"/>
                <w:position w:val="7"/>
                <w:sz w:val="21"/>
                <w:szCs w:val="21"/>
              </w:rPr>
              <w:t>合站</w:t>
            </w:r>
          </w:p>
          <w:p>
            <w:pPr>
              <w:spacing w:line="218" w:lineRule="auto"/>
              <w:ind w:left="264"/>
              <w:rPr>
                <w:rFonts w:ascii="仿宋" w:hAnsi="仿宋" w:eastAsia="仿宋" w:cs="仿宋"/>
                <w:sz w:val="21"/>
                <w:szCs w:val="21"/>
              </w:rPr>
            </w:pPr>
            <w:r>
              <w:rPr>
                <w:rFonts w:ascii="仿宋" w:hAnsi="仿宋" w:eastAsia="仿宋" w:cs="仿宋"/>
                <w:spacing w:val="-10"/>
                <w:sz w:val="21"/>
                <w:szCs w:val="21"/>
              </w:rPr>
              <w:t>旁）</w:t>
            </w:r>
          </w:p>
        </w:tc>
        <w:tc>
          <w:tcPr>
            <w:tcW w:w="1369" w:type="dxa"/>
            <w:vMerge w:val="restart"/>
            <w:tcBorders>
              <w:bottom w:val="nil"/>
            </w:tcBorders>
            <w:vAlign w:val="top"/>
          </w:tcPr>
          <w:p>
            <w:pPr>
              <w:pStyle w:val="6"/>
              <w:spacing w:before="286" w:line="188" w:lineRule="auto"/>
              <w:ind w:left="265"/>
            </w:pPr>
            <w:r>
              <w:rPr>
                <w:spacing w:val="-1"/>
              </w:rPr>
              <w:t>2023.3.28</w:t>
            </w:r>
          </w:p>
        </w:tc>
        <w:tc>
          <w:tcPr>
            <w:tcW w:w="1157" w:type="dxa"/>
            <w:vAlign w:val="top"/>
          </w:tcPr>
          <w:p>
            <w:pPr>
              <w:spacing w:before="76" w:line="21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before="68" w:line="218" w:lineRule="auto"/>
              <w:ind w:left="414"/>
              <w:rPr>
                <w:rFonts w:ascii="仿宋" w:hAnsi="仿宋" w:eastAsia="仿宋" w:cs="仿宋"/>
                <w:sz w:val="21"/>
                <w:szCs w:val="21"/>
              </w:rPr>
            </w:pPr>
            <w:r>
              <w:rPr>
                <w:rFonts w:ascii="仿宋" w:hAnsi="仿宋" w:eastAsia="仿宋" w:cs="仿宋"/>
                <w:spacing w:val="-3"/>
                <w:sz w:val="21"/>
                <w:szCs w:val="21"/>
              </w:rPr>
              <w:t>环境噪声</w:t>
            </w:r>
          </w:p>
        </w:tc>
        <w:tc>
          <w:tcPr>
            <w:tcW w:w="1554" w:type="dxa"/>
            <w:vAlign w:val="top"/>
          </w:tcPr>
          <w:p>
            <w:pPr>
              <w:pStyle w:val="6"/>
              <w:spacing w:before="113" w:line="188" w:lineRule="auto"/>
              <w:ind w:left="672"/>
            </w:pPr>
            <w:r>
              <w:rPr>
                <w:spacing w:val="-2"/>
              </w:rPr>
              <w:t>47</w:t>
            </w:r>
          </w:p>
        </w:tc>
        <w:tc>
          <w:tcPr>
            <w:tcW w:w="1195" w:type="dxa"/>
            <w:vMerge w:val="continue"/>
            <w:tcBorders>
              <w:top w:val="nil"/>
              <w:bottom w:val="nil"/>
            </w:tcBorders>
            <w:vAlign w:val="top"/>
          </w:tcPr>
          <w:p>
            <w:pPr>
              <w:rPr>
                <w:rFonts w:ascii="Arial"/>
                <w:sz w:val="21"/>
              </w:rPr>
            </w:pPr>
          </w:p>
        </w:tc>
        <w:tc>
          <w:tcPr>
            <w:tcW w:w="700" w:type="dxa"/>
            <w:vMerge w:val="restart"/>
            <w:tcBorders>
              <w:bottom w:val="nil"/>
              <w:right w:val="nil"/>
            </w:tcBorders>
            <w:vAlign w:val="top"/>
          </w:tcPr>
          <w:p>
            <w:pPr>
              <w:spacing w:line="261" w:lineRule="auto"/>
              <w:rPr>
                <w:rFonts w:ascii="Arial"/>
                <w:sz w:val="21"/>
              </w:rPr>
            </w:pPr>
          </w:p>
          <w:p>
            <w:pPr>
              <w:spacing w:line="261" w:lineRule="auto"/>
              <w:rPr>
                <w:rFonts w:ascii="Arial"/>
                <w:sz w:val="21"/>
              </w:rPr>
            </w:pPr>
          </w:p>
          <w:p>
            <w:pPr>
              <w:spacing w:before="68" w:line="218" w:lineRule="auto"/>
              <w:ind w:left="153"/>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bottom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78"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14" w:line="188" w:lineRule="auto"/>
              <w:ind w:left="672"/>
            </w:pPr>
            <w:r>
              <w:rPr>
                <w:spacing w:val="-1"/>
              </w:rPr>
              <w:t>44</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continue"/>
            <w:tcBorders>
              <w:top w:val="nil"/>
              <w:left w:val="nil"/>
              <w:bottom w:val="nil"/>
            </w:tcBorders>
            <w:vAlign w:val="top"/>
          </w:tcPr>
          <w:p>
            <w:pPr>
              <w:rPr>
                <w:rFonts w:ascii="Arial"/>
                <w:sz w:val="21"/>
              </w:rPr>
            </w:pPr>
          </w:p>
        </w:tc>
        <w:tc>
          <w:tcPr>
            <w:tcW w:w="1369" w:type="dxa"/>
            <w:vMerge w:val="restart"/>
            <w:tcBorders>
              <w:bottom w:val="nil"/>
            </w:tcBorders>
            <w:vAlign w:val="top"/>
          </w:tcPr>
          <w:p>
            <w:pPr>
              <w:pStyle w:val="6"/>
              <w:spacing w:before="288" w:line="188" w:lineRule="auto"/>
              <w:ind w:left="265"/>
            </w:pPr>
            <w:r>
              <w:rPr>
                <w:spacing w:val="-1"/>
              </w:rPr>
              <w:t>2023.3.29</w:t>
            </w:r>
          </w:p>
        </w:tc>
        <w:tc>
          <w:tcPr>
            <w:tcW w:w="1157" w:type="dxa"/>
            <w:vAlign w:val="top"/>
          </w:tcPr>
          <w:p>
            <w:pPr>
              <w:spacing w:before="78" w:line="21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15" w:line="188" w:lineRule="auto"/>
              <w:ind w:left="672"/>
            </w:pPr>
            <w:r>
              <w:rPr>
                <w:spacing w:val="-1"/>
              </w:rPr>
              <w:t>49</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80"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tcBorders>
            <w:vAlign w:val="top"/>
          </w:tcPr>
          <w:p>
            <w:pPr>
              <w:rPr>
                <w:rFonts w:ascii="Arial"/>
                <w:sz w:val="21"/>
              </w:rPr>
            </w:pPr>
          </w:p>
        </w:tc>
        <w:tc>
          <w:tcPr>
            <w:tcW w:w="1554" w:type="dxa"/>
            <w:vAlign w:val="top"/>
          </w:tcPr>
          <w:p>
            <w:pPr>
              <w:pStyle w:val="6"/>
              <w:spacing w:before="117" w:line="188" w:lineRule="auto"/>
              <w:ind w:left="672"/>
            </w:pPr>
            <w:r>
              <w:rPr>
                <w:spacing w:val="-1"/>
              </w:rPr>
              <w:t>41</w:t>
            </w:r>
          </w:p>
        </w:tc>
        <w:tc>
          <w:tcPr>
            <w:tcW w:w="1195" w:type="dxa"/>
            <w:vMerge w:val="continue"/>
            <w:tcBorders>
              <w:top w:val="nil"/>
              <w:bottom w:val="nil"/>
            </w:tcBorders>
            <w:vAlign w:val="top"/>
          </w:tcPr>
          <w:p>
            <w:pPr>
              <w:rPr>
                <w:rFonts w:ascii="Arial"/>
                <w:sz w:val="21"/>
              </w:rPr>
            </w:pPr>
          </w:p>
        </w:tc>
        <w:tc>
          <w:tcPr>
            <w:tcW w:w="700"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899" w:type="dxa"/>
            <w:vMerge w:val="restart"/>
            <w:tcBorders>
              <w:left w:val="nil"/>
              <w:bottom w:val="nil"/>
            </w:tcBorders>
            <w:vAlign w:val="top"/>
          </w:tcPr>
          <w:p>
            <w:pPr>
              <w:spacing w:before="130" w:line="219" w:lineRule="auto"/>
              <w:ind w:left="149"/>
              <w:rPr>
                <w:rFonts w:ascii="仿宋" w:hAnsi="仿宋" w:eastAsia="仿宋" w:cs="仿宋"/>
                <w:sz w:val="21"/>
                <w:szCs w:val="21"/>
              </w:rPr>
            </w:pPr>
            <w:r>
              <w:rPr>
                <w:rFonts w:ascii="仿宋" w:hAnsi="仿宋" w:eastAsia="仿宋" w:cs="仿宋"/>
                <w:spacing w:val="-4"/>
                <w:sz w:val="21"/>
                <w:szCs w:val="21"/>
              </w:rPr>
              <w:t>孙家山</w:t>
            </w:r>
          </w:p>
          <w:p>
            <w:pPr>
              <w:spacing w:before="62" w:line="256" w:lineRule="auto"/>
              <w:ind w:left="251" w:right="154" w:hanging="103"/>
              <w:jc w:val="both"/>
              <w:rPr>
                <w:rFonts w:ascii="仿宋" w:hAnsi="仿宋" w:eastAsia="仿宋" w:cs="仿宋"/>
                <w:sz w:val="21"/>
                <w:szCs w:val="21"/>
              </w:rPr>
            </w:pPr>
            <w:r>
              <w:rPr>
                <w:rFonts w:ascii="仿宋" w:hAnsi="仿宋" w:eastAsia="仿宋" w:cs="仿宋"/>
                <w:spacing w:val="-13"/>
                <w:sz w:val="21"/>
                <w:szCs w:val="21"/>
              </w:rPr>
              <w:t>（碧么</w:t>
            </w:r>
            <w:r>
              <w:rPr>
                <w:rFonts w:ascii="仿宋" w:hAnsi="仿宋" w:eastAsia="仿宋" w:cs="仿宋"/>
                <w:spacing w:val="1"/>
                <w:sz w:val="21"/>
                <w:szCs w:val="21"/>
              </w:rPr>
              <w:t xml:space="preserve"> </w:t>
            </w:r>
            <w:r>
              <w:rPr>
                <w:rFonts w:ascii="仿宋" w:hAnsi="仿宋" w:eastAsia="仿宋" w:cs="仿宋"/>
                <w:spacing w:val="-7"/>
                <w:sz w:val="21"/>
                <w:szCs w:val="21"/>
              </w:rPr>
              <w:t>水库</w:t>
            </w:r>
            <w:r>
              <w:rPr>
                <w:rFonts w:ascii="仿宋" w:hAnsi="仿宋" w:eastAsia="仿宋" w:cs="仿宋"/>
                <w:sz w:val="21"/>
                <w:szCs w:val="21"/>
              </w:rPr>
              <w:t xml:space="preserve"> </w:t>
            </w:r>
            <w:r>
              <w:rPr>
                <w:rFonts w:ascii="仿宋" w:hAnsi="仿宋" w:eastAsia="仿宋" w:cs="仿宋"/>
                <w:spacing w:val="-7"/>
                <w:sz w:val="21"/>
                <w:szCs w:val="21"/>
              </w:rPr>
              <w:t>旁）</w:t>
            </w:r>
          </w:p>
        </w:tc>
        <w:tc>
          <w:tcPr>
            <w:tcW w:w="1369" w:type="dxa"/>
            <w:vAlign w:val="top"/>
          </w:tcPr>
          <w:p>
            <w:pPr>
              <w:pStyle w:val="6"/>
              <w:spacing w:before="117" w:line="188" w:lineRule="auto"/>
              <w:ind w:left="265"/>
            </w:pPr>
            <w:r>
              <w:rPr>
                <w:spacing w:val="-1"/>
              </w:rPr>
              <w:t>2023.3.28</w:t>
            </w:r>
          </w:p>
        </w:tc>
        <w:tc>
          <w:tcPr>
            <w:tcW w:w="1157" w:type="dxa"/>
            <w:vAlign w:val="top"/>
          </w:tcPr>
          <w:p>
            <w:pPr>
              <w:spacing w:before="81" w:line="218"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before="69" w:line="218" w:lineRule="auto"/>
              <w:ind w:left="414"/>
              <w:rPr>
                <w:rFonts w:ascii="仿宋" w:hAnsi="仿宋" w:eastAsia="仿宋" w:cs="仿宋"/>
                <w:sz w:val="21"/>
                <w:szCs w:val="21"/>
              </w:rPr>
            </w:pPr>
            <w:r>
              <w:rPr>
                <w:rFonts w:ascii="仿宋" w:hAnsi="仿宋" w:eastAsia="仿宋" w:cs="仿宋"/>
                <w:spacing w:val="-3"/>
                <w:sz w:val="21"/>
                <w:szCs w:val="21"/>
              </w:rPr>
              <w:t>环境噪声</w:t>
            </w:r>
          </w:p>
        </w:tc>
        <w:tc>
          <w:tcPr>
            <w:tcW w:w="1554" w:type="dxa"/>
            <w:vAlign w:val="top"/>
          </w:tcPr>
          <w:p>
            <w:pPr>
              <w:pStyle w:val="6"/>
              <w:spacing w:before="117" w:line="188" w:lineRule="auto"/>
              <w:ind w:left="679"/>
            </w:pPr>
            <w:r>
              <w:rPr>
                <w:spacing w:val="-5"/>
              </w:rPr>
              <w:t>52</w:t>
            </w:r>
          </w:p>
        </w:tc>
        <w:tc>
          <w:tcPr>
            <w:tcW w:w="1195" w:type="dxa"/>
            <w:vMerge w:val="continue"/>
            <w:tcBorders>
              <w:top w:val="nil"/>
              <w:bottom w:val="nil"/>
            </w:tcBorders>
            <w:vAlign w:val="top"/>
          </w:tcPr>
          <w:p>
            <w:pPr>
              <w:rPr>
                <w:rFonts w:ascii="Arial"/>
                <w:sz w:val="21"/>
              </w:rPr>
            </w:pPr>
          </w:p>
        </w:tc>
        <w:tc>
          <w:tcPr>
            <w:tcW w:w="700" w:type="dxa"/>
            <w:vMerge w:val="restart"/>
            <w:tcBorders>
              <w:bottom w:val="nil"/>
              <w:right w:val="nil"/>
            </w:tcBorders>
            <w:vAlign w:val="top"/>
          </w:tcPr>
          <w:p>
            <w:pPr>
              <w:spacing w:line="263" w:lineRule="auto"/>
              <w:rPr>
                <w:rFonts w:ascii="Arial"/>
                <w:sz w:val="21"/>
              </w:rPr>
            </w:pPr>
          </w:p>
          <w:p>
            <w:pPr>
              <w:spacing w:line="263" w:lineRule="auto"/>
              <w:rPr>
                <w:rFonts w:ascii="Arial"/>
                <w:sz w:val="21"/>
              </w:rPr>
            </w:pPr>
          </w:p>
          <w:p>
            <w:pPr>
              <w:spacing w:before="69" w:line="218" w:lineRule="auto"/>
              <w:ind w:left="153"/>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bottom w:val="nil"/>
            </w:tcBorders>
            <w:vAlign w:val="top"/>
          </w:tcPr>
          <w:p>
            <w:pPr>
              <w:rPr>
                <w:rFonts w:ascii="Arial"/>
                <w:sz w:val="21"/>
              </w:rPr>
            </w:pPr>
          </w:p>
        </w:tc>
        <w:tc>
          <w:tcPr>
            <w:tcW w:w="1369" w:type="dxa"/>
            <w:vAlign w:val="top"/>
          </w:tcPr>
          <w:p>
            <w:pPr>
              <w:pStyle w:val="6"/>
              <w:spacing w:before="118" w:line="188" w:lineRule="auto"/>
              <w:ind w:left="265"/>
            </w:pPr>
            <w:r>
              <w:rPr>
                <w:spacing w:val="-1"/>
              </w:rPr>
              <w:t>2023.3.29</w:t>
            </w:r>
          </w:p>
        </w:tc>
        <w:tc>
          <w:tcPr>
            <w:tcW w:w="1157" w:type="dxa"/>
            <w:vAlign w:val="top"/>
          </w:tcPr>
          <w:p>
            <w:pPr>
              <w:spacing w:before="81"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18" w:line="188" w:lineRule="auto"/>
              <w:ind w:left="672"/>
            </w:pPr>
            <w:r>
              <w:rPr>
                <w:spacing w:val="-1"/>
              </w:rPr>
              <w:t>42</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899" w:type="dxa"/>
            <w:vMerge w:val="continue"/>
            <w:tcBorders>
              <w:top w:val="nil"/>
              <w:left w:val="nil"/>
              <w:bottom w:val="nil"/>
            </w:tcBorders>
            <w:vAlign w:val="top"/>
          </w:tcPr>
          <w:p>
            <w:pPr>
              <w:rPr>
                <w:rFonts w:ascii="Arial"/>
                <w:sz w:val="21"/>
              </w:rPr>
            </w:pPr>
          </w:p>
        </w:tc>
        <w:tc>
          <w:tcPr>
            <w:tcW w:w="1369" w:type="dxa"/>
            <w:vMerge w:val="restart"/>
            <w:tcBorders>
              <w:bottom w:val="nil"/>
            </w:tcBorders>
            <w:vAlign w:val="top"/>
          </w:tcPr>
          <w:p>
            <w:pPr>
              <w:pStyle w:val="6"/>
              <w:spacing w:before="291" w:line="188" w:lineRule="auto"/>
              <w:ind w:left="265"/>
            </w:pPr>
            <w:r>
              <w:rPr>
                <w:spacing w:val="-1"/>
              </w:rPr>
              <w:t>2023.3.29</w:t>
            </w:r>
          </w:p>
        </w:tc>
        <w:tc>
          <w:tcPr>
            <w:tcW w:w="1157" w:type="dxa"/>
            <w:vAlign w:val="top"/>
          </w:tcPr>
          <w:p>
            <w:pPr>
              <w:spacing w:before="82" w:line="217"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18" w:line="188" w:lineRule="auto"/>
              <w:ind w:left="672"/>
            </w:pPr>
            <w:r>
              <w:rPr>
                <w:spacing w:val="-1"/>
              </w:rPr>
              <w:t>49</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83" w:line="217"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tcBorders>
            <w:vAlign w:val="top"/>
          </w:tcPr>
          <w:p>
            <w:pPr>
              <w:rPr>
                <w:rFonts w:ascii="Arial"/>
                <w:sz w:val="21"/>
              </w:rPr>
            </w:pPr>
          </w:p>
        </w:tc>
        <w:tc>
          <w:tcPr>
            <w:tcW w:w="1554" w:type="dxa"/>
            <w:vAlign w:val="top"/>
          </w:tcPr>
          <w:p>
            <w:pPr>
              <w:pStyle w:val="6"/>
              <w:spacing w:before="119" w:line="188" w:lineRule="auto"/>
              <w:ind w:left="672"/>
            </w:pPr>
            <w:r>
              <w:rPr>
                <w:spacing w:val="-1"/>
              </w:rPr>
              <w:t>44</w:t>
            </w:r>
          </w:p>
        </w:tc>
        <w:tc>
          <w:tcPr>
            <w:tcW w:w="1195" w:type="dxa"/>
            <w:vMerge w:val="continue"/>
            <w:tcBorders>
              <w:top w:val="nil"/>
              <w:bottom w:val="nil"/>
            </w:tcBorders>
            <w:vAlign w:val="top"/>
          </w:tcPr>
          <w:p>
            <w:pPr>
              <w:rPr>
                <w:rFonts w:ascii="Arial"/>
                <w:sz w:val="21"/>
              </w:rPr>
            </w:pPr>
          </w:p>
        </w:tc>
        <w:tc>
          <w:tcPr>
            <w:tcW w:w="700"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899" w:type="dxa"/>
            <w:vMerge w:val="restart"/>
            <w:tcBorders>
              <w:left w:val="nil"/>
              <w:bottom w:val="nil"/>
            </w:tcBorders>
            <w:vAlign w:val="top"/>
          </w:tcPr>
          <w:p>
            <w:pPr>
              <w:spacing w:before="131" w:line="246" w:lineRule="auto"/>
              <w:ind w:left="147" w:right="132" w:firstLine="6"/>
              <w:rPr>
                <w:rFonts w:ascii="仿宋" w:hAnsi="仿宋" w:eastAsia="仿宋" w:cs="仿宋"/>
                <w:sz w:val="21"/>
                <w:szCs w:val="21"/>
              </w:rPr>
            </w:pPr>
            <w:r>
              <w:rPr>
                <w:rFonts w:ascii="仿宋" w:hAnsi="仿宋" w:eastAsia="仿宋" w:cs="仿宋"/>
                <w:spacing w:val="-7"/>
                <w:sz w:val="21"/>
                <w:szCs w:val="21"/>
              </w:rPr>
              <w:t>罗子左</w:t>
            </w:r>
            <w:r>
              <w:rPr>
                <w:rFonts w:ascii="仿宋" w:hAnsi="仿宋" w:eastAsia="仿宋" w:cs="仿宋"/>
                <w:sz w:val="21"/>
                <w:szCs w:val="21"/>
              </w:rPr>
              <w:t xml:space="preserve"> </w:t>
            </w:r>
            <w:r>
              <w:rPr>
                <w:rFonts w:ascii="仿宋" w:hAnsi="仿宋" w:eastAsia="仿宋" w:cs="仿宋"/>
                <w:spacing w:val="-5"/>
                <w:sz w:val="21"/>
                <w:szCs w:val="21"/>
              </w:rPr>
              <w:t>村（取</w:t>
            </w:r>
          </w:p>
          <w:p>
            <w:pPr>
              <w:spacing w:before="64" w:line="312" w:lineRule="exact"/>
              <w:ind w:left="252"/>
              <w:rPr>
                <w:rFonts w:ascii="仿宋" w:hAnsi="仿宋" w:eastAsia="仿宋" w:cs="仿宋"/>
                <w:sz w:val="21"/>
                <w:szCs w:val="21"/>
              </w:rPr>
            </w:pPr>
            <w:r>
              <w:rPr>
                <w:rFonts w:ascii="仿宋" w:hAnsi="仿宋" w:eastAsia="仿宋" w:cs="仿宋"/>
                <w:spacing w:val="-4"/>
                <w:position w:val="7"/>
                <w:sz w:val="21"/>
                <w:szCs w:val="21"/>
              </w:rPr>
              <w:t>水坝</w:t>
            </w:r>
          </w:p>
          <w:p>
            <w:pPr>
              <w:spacing w:line="218" w:lineRule="auto"/>
              <w:ind w:left="264"/>
              <w:rPr>
                <w:rFonts w:ascii="仿宋" w:hAnsi="仿宋" w:eastAsia="仿宋" w:cs="仿宋"/>
                <w:sz w:val="21"/>
                <w:szCs w:val="21"/>
              </w:rPr>
            </w:pPr>
            <w:r>
              <w:rPr>
                <w:rFonts w:ascii="仿宋" w:hAnsi="仿宋" w:eastAsia="仿宋" w:cs="仿宋"/>
                <w:spacing w:val="-10"/>
                <w:sz w:val="21"/>
                <w:szCs w:val="21"/>
              </w:rPr>
              <w:t>旁）</w:t>
            </w:r>
          </w:p>
        </w:tc>
        <w:tc>
          <w:tcPr>
            <w:tcW w:w="1369" w:type="dxa"/>
            <w:vMerge w:val="restart"/>
            <w:tcBorders>
              <w:bottom w:val="nil"/>
            </w:tcBorders>
            <w:vAlign w:val="top"/>
          </w:tcPr>
          <w:p>
            <w:pPr>
              <w:pStyle w:val="6"/>
              <w:spacing w:before="292" w:line="188" w:lineRule="auto"/>
              <w:ind w:left="265"/>
            </w:pPr>
            <w:r>
              <w:rPr>
                <w:spacing w:val="-1"/>
              </w:rPr>
              <w:t>2023.3.28</w:t>
            </w:r>
          </w:p>
        </w:tc>
        <w:tc>
          <w:tcPr>
            <w:tcW w:w="1157" w:type="dxa"/>
            <w:vAlign w:val="top"/>
          </w:tcPr>
          <w:p>
            <w:pPr>
              <w:spacing w:before="83" w:line="216"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before="69" w:line="218" w:lineRule="auto"/>
              <w:ind w:left="414"/>
              <w:rPr>
                <w:rFonts w:ascii="仿宋" w:hAnsi="仿宋" w:eastAsia="仿宋" w:cs="仿宋"/>
                <w:sz w:val="21"/>
                <w:szCs w:val="21"/>
              </w:rPr>
            </w:pPr>
            <w:r>
              <w:rPr>
                <w:rFonts w:ascii="仿宋" w:hAnsi="仿宋" w:eastAsia="仿宋" w:cs="仿宋"/>
                <w:spacing w:val="-3"/>
                <w:sz w:val="21"/>
                <w:szCs w:val="21"/>
              </w:rPr>
              <w:t>环境噪声</w:t>
            </w:r>
          </w:p>
        </w:tc>
        <w:tc>
          <w:tcPr>
            <w:tcW w:w="1554" w:type="dxa"/>
            <w:vAlign w:val="top"/>
          </w:tcPr>
          <w:p>
            <w:pPr>
              <w:pStyle w:val="6"/>
              <w:spacing w:before="119" w:line="188" w:lineRule="auto"/>
              <w:ind w:left="672"/>
            </w:pPr>
            <w:r>
              <w:rPr>
                <w:spacing w:val="-1"/>
              </w:rPr>
              <w:t>44</w:t>
            </w:r>
          </w:p>
        </w:tc>
        <w:tc>
          <w:tcPr>
            <w:tcW w:w="1195" w:type="dxa"/>
            <w:vMerge w:val="continue"/>
            <w:tcBorders>
              <w:top w:val="nil"/>
              <w:bottom w:val="nil"/>
            </w:tcBorders>
            <w:vAlign w:val="top"/>
          </w:tcPr>
          <w:p>
            <w:pPr>
              <w:rPr>
                <w:rFonts w:ascii="Arial"/>
                <w:sz w:val="21"/>
              </w:rPr>
            </w:pPr>
          </w:p>
        </w:tc>
        <w:tc>
          <w:tcPr>
            <w:tcW w:w="700" w:type="dxa"/>
            <w:vMerge w:val="restart"/>
            <w:tcBorders>
              <w:bottom w:val="nil"/>
              <w:right w:val="nil"/>
            </w:tcBorders>
            <w:vAlign w:val="top"/>
          </w:tcPr>
          <w:p>
            <w:pPr>
              <w:spacing w:line="264" w:lineRule="auto"/>
              <w:rPr>
                <w:rFonts w:ascii="Arial"/>
                <w:sz w:val="21"/>
              </w:rPr>
            </w:pPr>
          </w:p>
          <w:p>
            <w:pPr>
              <w:spacing w:line="264" w:lineRule="auto"/>
              <w:rPr>
                <w:rFonts w:ascii="Arial"/>
                <w:sz w:val="21"/>
              </w:rPr>
            </w:pPr>
          </w:p>
          <w:p>
            <w:pPr>
              <w:spacing w:before="69" w:line="218" w:lineRule="auto"/>
              <w:ind w:left="153"/>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bottom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83" w:line="217"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20" w:line="188" w:lineRule="auto"/>
              <w:ind w:left="672"/>
            </w:pPr>
            <w:r>
              <w:rPr>
                <w:spacing w:val="-1"/>
              </w:rPr>
              <w:t>41</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899" w:type="dxa"/>
            <w:vMerge w:val="continue"/>
            <w:tcBorders>
              <w:top w:val="nil"/>
              <w:left w:val="nil"/>
              <w:bottom w:val="nil"/>
            </w:tcBorders>
            <w:vAlign w:val="top"/>
          </w:tcPr>
          <w:p>
            <w:pPr>
              <w:rPr>
                <w:rFonts w:ascii="Arial"/>
                <w:sz w:val="21"/>
              </w:rPr>
            </w:pPr>
          </w:p>
        </w:tc>
        <w:tc>
          <w:tcPr>
            <w:tcW w:w="1369" w:type="dxa"/>
            <w:vMerge w:val="restart"/>
            <w:tcBorders>
              <w:bottom w:val="nil"/>
            </w:tcBorders>
            <w:vAlign w:val="top"/>
          </w:tcPr>
          <w:p>
            <w:pPr>
              <w:pStyle w:val="6"/>
              <w:spacing w:before="293" w:line="188" w:lineRule="auto"/>
              <w:ind w:left="265"/>
            </w:pPr>
            <w:r>
              <w:rPr>
                <w:spacing w:val="-1"/>
              </w:rPr>
              <w:t>2023.3.29</w:t>
            </w:r>
          </w:p>
        </w:tc>
        <w:tc>
          <w:tcPr>
            <w:tcW w:w="1157" w:type="dxa"/>
            <w:vAlign w:val="top"/>
          </w:tcPr>
          <w:p>
            <w:pPr>
              <w:spacing w:before="84" w:line="215"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20" w:line="188" w:lineRule="auto"/>
              <w:ind w:left="672"/>
            </w:pPr>
            <w:r>
              <w:rPr>
                <w:spacing w:val="-1"/>
              </w:rPr>
              <w:t>47</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84" w:line="216"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tcBorders>
            <w:vAlign w:val="top"/>
          </w:tcPr>
          <w:p>
            <w:pPr>
              <w:rPr>
                <w:rFonts w:ascii="Arial"/>
                <w:sz w:val="21"/>
              </w:rPr>
            </w:pPr>
          </w:p>
        </w:tc>
        <w:tc>
          <w:tcPr>
            <w:tcW w:w="1554" w:type="dxa"/>
            <w:vAlign w:val="top"/>
          </w:tcPr>
          <w:p>
            <w:pPr>
              <w:pStyle w:val="6"/>
              <w:spacing w:before="121" w:line="188" w:lineRule="auto"/>
              <w:ind w:left="672"/>
            </w:pPr>
            <w:r>
              <w:rPr>
                <w:spacing w:val="-1"/>
              </w:rPr>
              <w:t>42</w:t>
            </w:r>
          </w:p>
        </w:tc>
        <w:tc>
          <w:tcPr>
            <w:tcW w:w="1195" w:type="dxa"/>
            <w:vMerge w:val="continue"/>
            <w:tcBorders>
              <w:top w:val="nil"/>
              <w:bottom w:val="nil"/>
            </w:tcBorders>
            <w:vAlign w:val="top"/>
          </w:tcPr>
          <w:p>
            <w:pPr>
              <w:rPr>
                <w:rFonts w:ascii="Arial"/>
                <w:sz w:val="21"/>
              </w:rPr>
            </w:pPr>
          </w:p>
        </w:tc>
        <w:tc>
          <w:tcPr>
            <w:tcW w:w="700"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899" w:type="dxa"/>
            <w:vMerge w:val="restart"/>
            <w:tcBorders>
              <w:left w:val="nil"/>
              <w:bottom w:val="nil"/>
            </w:tcBorders>
            <w:vAlign w:val="top"/>
          </w:tcPr>
          <w:p>
            <w:pPr>
              <w:spacing w:line="376" w:lineRule="auto"/>
              <w:rPr>
                <w:rFonts w:ascii="Arial"/>
                <w:sz w:val="21"/>
              </w:rPr>
            </w:pPr>
          </w:p>
          <w:p>
            <w:pPr>
              <w:spacing w:before="68" w:line="247" w:lineRule="auto"/>
              <w:ind w:left="357" w:right="132" w:hanging="210"/>
              <w:rPr>
                <w:rFonts w:ascii="仿宋" w:hAnsi="仿宋" w:eastAsia="仿宋" w:cs="仿宋"/>
                <w:sz w:val="21"/>
                <w:szCs w:val="21"/>
              </w:rPr>
            </w:pPr>
            <w:r>
              <w:rPr>
                <w:rFonts w:ascii="仿宋" w:hAnsi="仿宋" w:eastAsia="仿宋" w:cs="仿宋"/>
                <w:spacing w:val="-5"/>
                <w:sz w:val="21"/>
                <w:szCs w:val="21"/>
              </w:rPr>
              <w:t>壤能比</w:t>
            </w:r>
            <w:r>
              <w:rPr>
                <w:rFonts w:ascii="仿宋" w:hAnsi="仿宋" w:eastAsia="仿宋" w:cs="仿宋"/>
                <w:sz w:val="21"/>
                <w:szCs w:val="21"/>
              </w:rPr>
              <w:t xml:space="preserve"> 独</w:t>
            </w:r>
          </w:p>
        </w:tc>
        <w:tc>
          <w:tcPr>
            <w:tcW w:w="1369" w:type="dxa"/>
            <w:vMerge w:val="restart"/>
            <w:tcBorders>
              <w:bottom w:val="nil"/>
            </w:tcBorders>
            <w:vAlign w:val="top"/>
          </w:tcPr>
          <w:p>
            <w:pPr>
              <w:pStyle w:val="6"/>
              <w:spacing w:before="294" w:line="188" w:lineRule="auto"/>
              <w:ind w:left="265"/>
            </w:pPr>
            <w:r>
              <w:rPr>
                <w:spacing w:val="-1"/>
              </w:rPr>
              <w:t>2023.3.28</w:t>
            </w:r>
          </w:p>
        </w:tc>
        <w:tc>
          <w:tcPr>
            <w:tcW w:w="1157" w:type="dxa"/>
            <w:vAlign w:val="top"/>
          </w:tcPr>
          <w:p>
            <w:pPr>
              <w:spacing w:before="85" w:line="214"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before="69" w:line="218" w:lineRule="auto"/>
              <w:ind w:left="414"/>
              <w:rPr>
                <w:rFonts w:ascii="仿宋" w:hAnsi="仿宋" w:eastAsia="仿宋" w:cs="仿宋"/>
                <w:sz w:val="21"/>
                <w:szCs w:val="21"/>
              </w:rPr>
            </w:pPr>
            <w:r>
              <w:rPr>
                <w:rFonts w:ascii="仿宋" w:hAnsi="仿宋" w:eastAsia="仿宋" w:cs="仿宋"/>
                <w:spacing w:val="-3"/>
                <w:sz w:val="21"/>
                <w:szCs w:val="21"/>
              </w:rPr>
              <w:t>环境噪声</w:t>
            </w:r>
          </w:p>
        </w:tc>
        <w:tc>
          <w:tcPr>
            <w:tcW w:w="1554" w:type="dxa"/>
            <w:vAlign w:val="top"/>
          </w:tcPr>
          <w:p>
            <w:pPr>
              <w:pStyle w:val="6"/>
              <w:spacing w:before="121" w:line="188" w:lineRule="auto"/>
              <w:ind w:left="679"/>
            </w:pPr>
            <w:r>
              <w:rPr>
                <w:spacing w:val="-3"/>
              </w:rPr>
              <w:t>52</w:t>
            </w:r>
          </w:p>
        </w:tc>
        <w:tc>
          <w:tcPr>
            <w:tcW w:w="1195" w:type="dxa"/>
            <w:vMerge w:val="continue"/>
            <w:tcBorders>
              <w:top w:val="nil"/>
              <w:bottom w:val="nil"/>
            </w:tcBorders>
            <w:vAlign w:val="top"/>
          </w:tcPr>
          <w:p>
            <w:pPr>
              <w:rPr>
                <w:rFonts w:ascii="Arial"/>
                <w:sz w:val="21"/>
              </w:rPr>
            </w:pPr>
          </w:p>
        </w:tc>
        <w:tc>
          <w:tcPr>
            <w:tcW w:w="700" w:type="dxa"/>
            <w:vMerge w:val="restart"/>
            <w:tcBorders>
              <w:bottom w:val="nil"/>
              <w:right w:val="nil"/>
            </w:tcBorders>
            <w:vAlign w:val="top"/>
          </w:tcPr>
          <w:p>
            <w:pPr>
              <w:spacing w:line="265" w:lineRule="auto"/>
              <w:rPr>
                <w:rFonts w:ascii="Arial"/>
                <w:sz w:val="21"/>
              </w:rPr>
            </w:pPr>
          </w:p>
          <w:p>
            <w:pPr>
              <w:spacing w:line="265" w:lineRule="auto"/>
              <w:rPr>
                <w:rFonts w:ascii="Arial"/>
                <w:sz w:val="21"/>
              </w:rPr>
            </w:pPr>
          </w:p>
          <w:p>
            <w:pPr>
              <w:spacing w:before="69" w:line="218" w:lineRule="auto"/>
              <w:ind w:left="153"/>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bottom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85" w:line="215"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22" w:line="188" w:lineRule="auto"/>
              <w:ind w:left="672"/>
            </w:pPr>
            <w:r>
              <w:rPr>
                <w:spacing w:val="-1"/>
              </w:rPr>
              <w:t>44</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continue"/>
            <w:tcBorders>
              <w:top w:val="nil"/>
              <w:left w:val="nil"/>
              <w:bottom w:val="nil"/>
            </w:tcBorders>
            <w:vAlign w:val="top"/>
          </w:tcPr>
          <w:p>
            <w:pPr>
              <w:rPr>
                <w:rFonts w:ascii="Arial"/>
                <w:sz w:val="21"/>
              </w:rPr>
            </w:pPr>
          </w:p>
        </w:tc>
        <w:tc>
          <w:tcPr>
            <w:tcW w:w="1369" w:type="dxa"/>
            <w:vMerge w:val="restart"/>
            <w:tcBorders>
              <w:bottom w:val="nil"/>
            </w:tcBorders>
            <w:vAlign w:val="top"/>
          </w:tcPr>
          <w:p>
            <w:pPr>
              <w:pStyle w:val="6"/>
              <w:spacing w:before="295" w:line="188" w:lineRule="auto"/>
              <w:ind w:left="265"/>
            </w:pPr>
            <w:r>
              <w:rPr>
                <w:spacing w:val="-1"/>
              </w:rPr>
              <w:t>2023.3.29</w:t>
            </w:r>
          </w:p>
        </w:tc>
        <w:tc>
          <w:tcPr>
            <w:tcW w:w="1157" w:type="dxa"/>
            <w:vAlign w:val="top"/>
          </w:tcPr>
          <w:p>
            <w:pPr>
              <w:spacing w:before="85" w:line="213"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22" w:line="188" w:lineRule="auto"/>
              <w:ind w:left="679"/>
            </w:pPr>
            <w:r>
              <w:rPr>
                <w:spacing w:val="-3"/>
              </w:rPr>
              <w:t>52</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87" w:line="213"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tcBorders>
            <w:vAlign w:val="top"/>
          </w:tcPr>
          <w:p>
            <w:pPr>
              <w:rPr>
                <w:rFonts w:ascii="Arial"/>
                <w:sz w:val="21"/>
              </w:rPr>
            </w:pPr>
          </w:p>
        </w:tc>
        <w:tc>
          <w:tcPr>
            <w:tcW w:w="1554" w:type="dxa"/>
            <w:vAlign w:val="top"/>
          </w:tcPr>
          <w:p>
            <w:pPr>
              <w:pStyle w:val="6"/>
              <w:spacing w:before="124" w:line="188" w:lineRule="auto"/>
              <w:ind w:left="672"/>
            </w:pPr>
            <w:r>
              <w:rPr>
                <w:spacing w:val="-1"/>
              </w:rPr>
              <w:t>44</w:t>
            </w:r>
          </w:p>
        </w:tc>
        <w:tc>
          <w:tcPr>
            <w:tcW w:w="1195" w:type="dxa"/>
            <w:vMerge w:val="continue"/>
            <w:tcBorders>
              <w:top w:val="nil"/>
              <w:bottom w:val="nil"/>
            </w:tcBorders>
            <w:vAlign w:val="top"/>
          </w:tcPr>
          <w:p>
            <w:pPr>
              <w:rPr>
                <w:rFonts w:ascii="Arial"/>
                <w:sz w:val="21"/>
              </w:rPr>
            </w:pPr>
          </w:p>
        </w:tc>
        <w:tc>
          <w:tcPr>
            <w:tcW w:w="700"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restart"/>
            <w:tcBorders>
              <w:left w:val="nil"/>
              <w:bottom w:val="nil"/>
            </w:tcBorders>
            <w:vAlign w:val="top"/>
          </w:tcPr>
          <w:p>
            <w:pPr>
              <w:spacing w:before="139" w:line="260" w:lineRule="auto"/>
              <w:ind w:left="148" w:right="132" w:firstLine="13"/>
              <w:rPr>
                <w:rFonts w:ascii="仿宋" w:hAnsi="仿宋" w:eastAsia="仿宋" w:cs="仿宋"/>
                <w:sz w:val="21"/>
                <w:szCs w:val="21"/>
              </w:rPr>
            </w:pPr>
            <w:r>
              <w:rPr>
                <w:rFonts w:ascii="仿宋" w:hAnsi="仿宋" w:eastAsia="仿宋" w:cs="仿宋"/>
                <w:spacing w:val="-10"/>
                <w:sz w:val="21"/>
                <w:szCs w:val="21"/>
              </w:rPr>
              <w:t>么他苴</w:t>
            </w:r>
            <w:r>
              <w:rPr>
                <w:rFonts w:ascii="仿宋" w:hAnsi="仿宋" w:eastAsia="仿宋" w:cs="仿宋"/>
                <w:spacing w:val="1"/>
                <w:sz w:val="21"/>
                <w:szCs w:val="21"/>
              </w:rPr>
              <w:t xml:space="preserve"> </w:t>
            </w:r>
            <w:r>
              <w:rPr>
                <w:rFonts w:ascii="仿宋" w:hAnsi="仿宋" w:eastAsia="仿宋" w:cs="仿宋"/>
                <w:spacing w:val="-10"/>
                <w:sz w:val="21"/>
                <w:szCs w:val="21"/>
              </w:rPr>
              <w:t>（施工</w:t>
            </w:r>
            <w:r>
              <w:rPr>
                <w:rFonts w:ascii="仿宋" w:hAnsi="仿宋" w:eastAsia="仿宋" w:cs="仿宋"/>
                <w:spacing w:val="1"/>
                <w:sz w:val="21"/>
                <w:szCs w:val="21"/>
              </w:rPr>
              <w:t xml:space="preserve"> </w:t>
            </w:r>
            <w:r>
              <w:rPr>
                <w:rFonts w:ascii="仿宋" w:hAnsi="仿宋" w:eastAsia="仿宋" w:cs="仿宋"/>
                <w:spacing w:val="37"/>
                <w:sz w:val="21"/>
                <w:szCs w:val="21"/>
              </w:rPr>
              <w:t xml:space="preserve">道路 </w:t>
            </w:r>
            <w:r>
              <w:rPr>
                <w:rFonts w:ascii="仿宋" w:hAnsi="仿宋" w:eastAsia="仿宋" w:cs="仿宋"/>
                <w:spacing w:val="38"/>
                <w:sz w:val="21"/>
                <w:szCs w:val="21"/>
              </w:rPr>
              <w:t>旁）</w:t>
            </w:r>
          </w:p>
        </w:tc>
        <w:tc>
          <w:tcPr>
            <w:tcW w:w="1369" w:type="dxa"/>
            <w:vMerge w:val="restart"/>
            <w:tcBorders>
              <w:bottom w:val="nil"/>
            </w:tcBorders>
            <w:vAlign w:val="top"/>
          </w:tcPr>
          <w:p>
            <w:pPr>
              <w:pStyle w:val="6"/>
              <w:spacing w:before="297" w:line="188" w:lineRule="auto"/>
              <w:ind w:left="265"/>
            </w:pPr>
            <w:r>
              <w:rPr>
                <w:spacing w:val="-1"/>
              </w:rPr>
              <w:t>2023.3.28</w:t>
            </w:r>
          </w:p>
        </w:tc>
        <w:tc>
          <w:tcPr>
            <w:tcW w:w="1157" w:type="dxa"/>
            <w:vAlign w:val="top"/>
          </w:tcPr>
          <w:p>
            <w:pPr>
              <w:spacing w:before="87" w:line="211"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restart"/>
            <w:tcBorders>
              <w:bottom w:val="nil"/>
            </w:tcBorders>
            <w:vAlign w:val="top"/>
          </w:tcPr>
          <w:p>
            <w:pPr>
              <w:spacing w:line="266" w:lineRule="auto"/>
              <w:rPr>
                <w:rFonts w:ascii="Arial"/>
                <w:sz w:val="21"/>
              </w:rPr>
            </w:pPr>
          </w:p>
          <w:p>
            <w:pPr>
              <w:spacing w:line="267" w:lineRule="auto"/>
              <w:rPr>
                <w:rFonts w:ascii="Arial"/>
                <w:sz w:val="21"/>
              </w:rPr>
            </w:pPr>
          </w:p>
          <w:p>
            <w:pPr>
              <w:spacing w:before="69" w:line="218" w:lineRule="auto"/>
              <w:ind w:left="414"/>
              <w:rPr>
                <w:rFonts w:ascii="仿宋" w:hAnsi="仿宋" w:eastAsia="仿宋" w:cs="仿宋"/>
                <w:sz w:val="21"/>
                <w:szCs w:val="21"/>
              </w:rPr>
            </w:pPr>
            <w:r>
              <w:rPr>
                <w:rFonts w:ascii="仿宋" w:hAnsi="仿宋" w:eastAsia="仿宋" w:cs="仿宋"/>
                <w:spacing w:val="-3"/>
                <w:sz w:val="21"/>
                <w:szCs w:val="21"/>
              </w:rPr>
              <w:t>环境噪声</w:t>
            </w:r>
          </w:p>
        </w:tc>
        <w:tc>
          <w:tcPr>
            <w:tcW w:w="1554" w:type="dxa"/>
            <w:vAlign w:val="top"/>
          </w:tcPr>
          <w:p>
            <w:pPr>
              <w:pStyle w:val="6"/>
              <w:spacing w:before="124" w:line="188" w:lineRule="auto"/>
              <w:ind w:left="672"/>
            </w:pPr>
            <w:r>
              <w:rPr>
                <w:spacing w:val="-1"/>
              </w:rPr>
              <w:t>44</w:t>
            </w:r>
          </w:p>
        </w:tc>
        <w:tc>
          <w:tcPr>
            <w:tcW w:w="1195" w:type="dxa"/>
            <w:vMerge w:val="continue"/>
            <w:tcBorders>
              <w:top w:val="nil"/>
              <w:bottom w:val="nil"/>
            </w:tcBorders>
            <w:vAlign w:val="top"/>
          </w:tcPr>
          <w:p>
            <w:pPr>
              <w:rPr>
                <w:rFonts w:ascii="Arial"/>
                <w:sz w:val="21"/>
              </w:rPr>
            </w:pPr>
          </w:p>
        </w:tc>
        <w:tc>
          <w:tcPr>
            <w:tcW w:w="700" w:type="dxa"/>
            <w:vMerge w:val="restart"/>
            <w:tcBorders>
              <w:bottom w:val="nil"/>
              <w:right w:val="nil"/>
            </w:tcBorders>
            <w:vAlign w:val="top"/>
          </w:tcPr>
          <w:p>
            <w:pPr>
              <w:spacing w:line="266" w:lineRule="auto"/>
              <w:rPr>
                <w:rFonts w:ascii="Arial"/>
                <w:sz w:val="21"/>
              </w:rPr>
            </w:pPr>
          </w:p>
          <w:p>
            <w:pPr>
              <w:spacing w:line="267" w:lineRule="auto"/>
              <w:rPr>
                <w:rFonts w:ascii="Arial"/>
                <w:sz w:val="21"/>
              </w:rPr>
            </w:pPr>
          </w:p>
          <w:p>
            <w:pPr>
              <w:spacing w:before="69" w:line="218" w:lineRule="auto"/>
              <w:ind w:left="153"/>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bottom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89" w:line="211"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26" w:line="188" w:lineRule="auto"/>
              <w:ind w:left="672"/>
            </w:pPr>
            <w:r>
              <w:rPr>
                <w:spacing w:val="-1"/>
              </w:rPr>
              <w:t>42</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899" w:type="dxa"/>
            <w:vMerge w:val="continue"/>
            <w:tcBorders>
              <w:top w:val="nil"/>
              <w:left w:val="nil"/>
              <w:bottom w:val="nil"/>
            </w:tcBorders>
            <w:vAlign w:val="top"/>
          </w:tcPr>
          <w:p>
            <w:pPr>
              <w:rPr>
                <w:rFonts w:ascii="Arial"/>
                <w:sz w:val="21"/>
              </w:rPr>
            </w:pPr>
          </w:p>
        </w:tc>
        <w:tc>
          <w:tcPr>
            <w:tcW w:w="1369" w:type="dxa"/>
            <w:vMerge w:val="restart"/>
            <w:tcBorders>
              <w:bottom w:val="nil"/>
            </w:tcBorders>
            <w:vAlign w:val="top"/>
          </w:tcPr>
          <w:p>
            <w:pPr>
              <w:pStyle w:val="6"/>
              <w:spacing w:before="299" w:line="188" w:lineRule="auto"/>
              <w:ind w:left="265"/>
            </w:pPr>
            <w:r>
              <w:rPr>
                <w:spacing w:val="-1"/>
              </w:rPr>
              <w:t>2023.3.29</w:t>
            </w:r>
          </w:p>
        </w:tc>
        <w:tc>
          <w:tcPr>
            <w:tcW w:w="1157" w:type="dxa"/>
            <w:vAlign w:val="top"/>
          </w:tcPr>
          <w:p>
            <w:pPr>
              <w:spacing w:before="90" w:line="20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26" w:line="188" w:lineRule="auto"/>
              <w:ind w:left="672"/>
            </w:pPr>
            <w:r>
              <w:rPr>
                <w:spacing w:val="-1"/>
              </w:rPr>
              <w:t>46</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91" w:line="210"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tcBorders>
            <w:vAlign w:val="top"/>
          </w:tcPr>
          <w:p>
            <w:pPr>
              <w:rPr>
                <w:rFonts w:ascii="Arial"/>
                <w:sz w:val="21"/>
              </w:rPr>
            </w:pPr>
          </w:p>
        </w:tc>
        <w:tc>
          <w:tcPr>
            <w:tcW w:w="1554" w:type="dxa"/>
            <w:vAlign w:val="top"/>
          </w:tcPr>
          <w:p>
            <w:pPr>
              <w:pStyle w:val="6"/>
              <w:spacing w:before="128" w:line="188" w:lineRule="auto"/>
              <w:ind w:left="672"/>
            </w:pPr>
            <w:r>
              <w:rPr>
                <w:spacing w:val="-1"/>
              </w:rPr>
              <w:t>42</w:t>
            </w:r>
          </w:p>
        </w:tc>
        <w:tc>
          <w:tcPr>
            <w:tcW w:w="1195" w:type="dxa"/>
            <w:vMerge w:val="continue"/>
            <w:tcBorders>
              <w:top w:val="nil"/>
              <w:bottom w:val="nil"/>
            </w:tcBorders>
            <w:vAlign w:val="top"/>
          </w:tcPr>
          <w:p>
            <w:pPr>
              <w:rPr>
                <w:rFonts w:ascii="Arial"/>
                <w:sz w:val="21"/>
              </w:rPr>
            </w:pPr>
          </w:p>
        </w:tc>
        <w:tc>
          <w:tcPr>
            <w:tcW w:w="700"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899" w:type="dxa"/>
            <w:vMerge w:val="restart"/>
            <w:tcBorders>
              <w:left w:val="nil"/>
              <w:bottom w:val="nil"/>
            </w:tcBorders>
            <w:vAlign w:val="top"/>
          </w:tcPr>
          <w:p>
            <w:pPr>
              <w:spacing w:before="124" w:line="256" w:lineRule="auto"/>
              <w:ind w:left="147" w:right="132" w:firstLine="10"/>
              <w:jc w:val="both"/>
              <w:rPr>
                <w:rFonts w:ascii="仿宋" w:hAnsi="仿宋" w:eastAsia="仿宋" w:cs="仿宋"/>
                <w:sz w:val="21"/>
                <w:szCs w:val="21"/>
              </w:rPr>
            </w:pPr>
            <w:r>
              <w:rPr>
                <w:rFonts w:ascii="仿宋" w:hAnsi="仿宋" w:eastAsia="仿宋" w:cs="仿宋"/>
                <w:spacing w:val="-8"/>
                <w:sz w:val="21"/>
                <w:szCs w:val="21"/>
              </w:rPr>
              <w:t>皮左黑</w:t>
            </w:r>
            <w:r>
              <w:rPr>
                <w:rFonts w:ascii="仿宋" w:hAnsi="仿宋" w:eastAsia="仿宋" w:cs="仿宋"/>
                <w:sz w:val="21"/>
                <w:szCs w:val="21"/>
              </w:rPr>
              <w:t xml:space="preserve"> </w:t>
            </w:r>
            <w:r>
              <w:rPr>
                <w:rFonts w:ascii="仿宋" w:hAnsi="仿宋" w:eastAsia="仿宋" w:cs="仿宋"/>
                <w:spacing w:val="-5"/>
                <w:sz w:val="21"/>
                <w:szCs w:val="21"/>
              </w:rPr>
              <w:t>村（料</w:t>
            </w:r>
            <w:r>
              <w:rPr>
                <w:rFonts w:ascii="仿宋" w:hAnsi="仿宋" w:eastAsia="仿宋" w:cs="仿宋"/>
                <w:sz w:val="21"/>
                <w:szCs w:val="21"/>
              </w:rPr>
              <w:t xml:space="preserve"> </w:t>
            </w:r>
            <w:r>
              <w:rPr>
                <w:rFonts w:ascii="仿宋" w:hAnsi="仿宋" w:eastAsia="仿宋" w:cs="仿宋"/>
                <w:spacing w:val="-7"/>
                <w:sz w:val="21"/>
                <w:szCs w:val="21"/>
              </w:rPr>
              <w:t>场旁）</w:t>
            </w:r>
          </w:p>
        </w:tc>
        <w:tc>
          <w:tcPr>
            <w:tcW w:w="1369" w:type="dxa"/>
            <w:vMerge w:val="restart"/>
            <w:tcBorders>
              <w:bottom w:val="nil"/>
            </w:tcBorders>
            <w:vAlign w:val="top"/>
          </w:tcPr>
          <w:p>
            <w:pPr>
              <w:rPr>
                <w:rFonts w:ascii="Arial"/>
                <w:sz w:val="21"/>
              </w:rPr>
            </w:pPr>
          </w:p>
          <w:p>
            <w:pPr>
              <w:pStyle w:val="6"/>
              <w:spacing w:before="60" w:line="188" w:lineRule="auto"/>
              <w:ind w:left="265"/>
            </w:pPr>
            <w:r>
              <w:rPr>
                <w:spacing w:val="-1"/>
              </w:rPr>
              <w:t>2023.3.28</w:t>
            </w:r>
          </w:p>
        </w:tc>
        <w:tc>
          <w:tcPr>
            <w:tcW w:w="1157" w:type="dxa"/>
            <w:vAlign w:val="top"/>
          </w:tcPr>
          <w:p>
            <w:pPr>
              <w:spacing w:before="92" w:line="208"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restart"/>
            <w:tcBorders>
              <w:bottom w:val="nil"/>
            </w:tcBorders>
            <w:vAlign w:val="top"/>
          </w:tcPr>
          <w:p>
            <w:pPr>
              <w:spacing w:line="366" w:lineRule="auto"/>
              <w:rPr>
                <w:rFonts w:ascii="Arial"/>
                <w:sz w:val="21"/>
              </w:rPr>
            </w:pPr>
          </w:p>
          <w:p>
            <w:pPr>
              <w:spacing w:before="68" w:line="218" w:lineRule="auto"/>
              <w:ind w:left="414"/>
              <w:rPr>
                <w:rFonts w:ascii="仿宋" w:hAnsi="仿宋" w:eastAsia="仿宋" w:cs="仿宋"/>
                <w:sz w:val="21"/>
                <w:szCs w:val="21"/>
              </w:rPr>
            </w:pPr>
            <w:r>
              <w:rPr>
                <w:rFonts w:ascii="仿宋" w:hAnsi="仿宋" w:eastAsia="仿宋" w:cs="仿宋"/>
                <w:spacing w:val="-3"/>
                <w:sz w:val="21"/>
                <w:szCs w:val="21"/>
              </w:rPr>
              <w:t>环境噪声</w:t>
            </w:r>
          </w:p>
        </w:tc>
        <w:tc>
          <w:tcPr>
            <w:tcW w:w="1554" w:type="dxa"/>
            <w:vAlign w:val="top"/>
          </w:tcPr>
          <w:p>
            <w:pPr>
              <w:pStyle w:val="6"/>
              <w:spacing w:before="129" w:line="188" w:lineRule="auto"/>
              <w:ind w:left="679"/>
            </w:pPr>
            <w:r>
              <w:rPr>
                <w:spacing w:val="-3"/>
              </w:rPr>
              <w:t>51</w:t>
            </w:r>
          </w:p>
        </w:tc>
        <w:tc>
          <w:tcPr>
            <w:tcW w:w="1195" w:type="dxa"/>
            <w:vMerge w:val="continue"/>
            <w:tcBorders>
              <w:top w:val="nil"/>
              <w:bottom w:val="nil"/>
            </w:tcBorders>
            <w:vAlign w:val="top"/>
          </w:tcPr>
          <w:p>
            <w:pPr>
              <w:rPr>
                <w:rFonts w:ascii="Arial"/>
                <w:sz w:val="21"/>
              </w:rPr>
            </w:pPr>
          </w:p>
        </w:tc>
        <w:tc>
          <w:tcPr>
            <w:tcW w:w="700" w:type="dxa"/>
            <w:vMerge w:val="restart"/>
            <w:tcBorders>
              <w:bottom w:val="nil"/>
              <w:right w:val="nil"/>
            </w:tcBorders>
            <w:vAlign w:val="top"/>
          </w:tcPr>
          <w:p>
            <w:pPr>
              <w:spacing w:line="366" w:lineRule="auto"/>
              <w:rPr>
                <w:rFonts w:ascii="Arial"/>
                <w:sz w:val="21"/>
              </w:rPr>
            </w:pPr>
          </w:p>
          <w:p>
            <w:pPr>
              <w:spacing w:before="68" w:line="218" w:lineRule="auto"/>
              <w:ind w:left="153"/>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99" w:type="dxa"/>
            <w:vMerge w:val="continue"/>
            <w:tcBorders>
              <w:top w:val="nil"/>
              <w:left w:val="nil"/>
              <w:bottom w:val="nil"/>
            </w:tcBorders>
            <w:vAlign w:val="top"/>
          </w:tcPr>
          <w:p>
            <w:pPr>
              <w:rPr>
                <w:rFonts w:ascii="Arial"/>
                <w:sz w:val="21"/>
              </w:rPr>
            </w:pPr>
          </w:p>
        </w:tc>
        <w:tc>
          <w:tcPr>
            <w:tcW w:w="1369" w:type="dxa"/>
            <w:vMerge w:val="continue"/>
            <w:tcBorders>
              <w:top w:val="nil"/>
            </w:tcBorders>
            <w:vAlign w:val="top"/>
          </w:tcPr>
          <w:p>
            <w:pPr>
              <w:rPr>
                <w:rFonts w:ascii="Arial"/>
                <w:sz w:val="21"/>
              </w:rPr>
            </w:pPr>
          </w:p>
        </w:tc>
        <w:tc>
          <w:tcPr>
            <w:tcW w:w="1157" w:type="dxa"/>
            <w:vAlign w:val="top"/>
          </w:tcPr>
          <w:p>
            <w:pPr>
              <w:spacing w:before="93" w:line="20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29" w:line="188" w:lineRule="auto"/>
              <w:ind w:left="672"/>
            </w:pPr>
            <w:r>
              <w:rPr>
                <w:spacing w:val="-1"/>
              </w:rPr>
              <w:t>41</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6" w:hRule="atLeast"/>
        </w:trPr>
        <w:tc>
          <w:tcPr>
            <w:tcW w:w="899" w:type="dxa"/>
            <w:vMerge w:val="continue"/>
            <w:tcBorders>
              <w:top w:val="nil"/>
              <w:left w:val="nil"/>
              <w:bottom w:val="single" w:color="000000" w:sz="12" w:space="0"/>
            </w:tcBorders>
            <w:vAlign w:val="top"/>
          </w:tcPr>
          <w:p>
            <w:pPr>
              <w:rPr>
                <w:rFonts w:ascii="Arial"/>
                <w:sz w:val="21"/>
              </w:rPr>
            </w:pPr>
          </w:p>
        </w:tc>
        <w:tc>
          <w:tcPr>
            <w:tcW w:w="1369" w:type="dxa"/>
            <w:tcBorders>
              <w:bottom w:val="single" w:color="000000" w:sz="12" w:space="0"/>
            </w:tcBorders>
            <w:vAlign w:val="top"/>
          </w:tcPr>
          <w:p>
            <w:pPr>
              <w:pStyle w:val="6"/>
              <w:spacing w:before="130" w:line="188" w:lineRule="auto"/>
              <w:ind w:left="265"/>
            </w:pPr>
            <w:r>
              <w:rPr>
                <w:spacing w:val="-1"/>
              </w:rPr>
              <w:t>2023.3.29</w:t>
            </w:r>
          </w:p>
        </w:tc>
        <w:tc>
          <w:tcPr>
            <w:tcW w:w="1157" w:type="dxa"/>
            <w:tcBorders>
              <w:bottom w:val="single" w:color="000000" w:sz="12" w:space="0"/>
            </w:tcBorders>
            <w:vAlign w:val="top"/>
          </w:tcPr>
          <w:p>
            <w:pPr>
              <w:spacing w:before="93" w:line="21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continue"/>
            <w:tcBorders>
              <w:top w:val="nil"/>
              <w:bottom w:val="single" w:color="000000" w:sz="12" w:space="0"/>
            </w:tcBorders>
            <w:vAlign w:val="top"/>
          </w:tcPr>
          <w:p>
            <w:pPr>
              <w:rPr>
                <w:rFonts w:ascii="Arial"/>
                <w:sz w:val="21"/>
              </w:rPr>
            </w:pPr>
          </w:p>
        </w:tc>
        <w:tc>
          <w:tcPr>
            <w:tcW w:w="1554" w:type="dxa"/>
            <w:tcBorders>
              <w:bottom w:val="single" w:color="000000" w:sz="12" w:space="0"/>
            </w:tcBorders>
            <w:vAlign w:val="top"/>
          </w:tcPr>
          <w:p>
            <w:pPr>
              <w:pStyle w:val="6"/>
              <w:spacing w:before="130" w:line="188" w:lineRule="auto"/>
              <w:ind w:left="672"/>
            </w:pPr>
            <w:r>
              <w:rPr>
                <w:spacing w:val="-1"/>
              </w:rPr>
              <w:t>49</w:t>
            </w:r>
          </w:p>
        </w:tc>
        <w:tc>
          <w:tcPr>
            <w:tcW w:w="1195" w:type="dxa"/>
            <w:vMerge w:val="continue"/>
            <w:tcBorders>
              <w:top w:val="nil"/>
              <w:bottom w:val="single" w:color="000000" w:sz="12" w:space="0"/>
            </w:tcBorders>
            <w:vAlign w:val="top"/>
          </w:tcPr>
          <w:p>
            <w:pPr>
              <w:rPr>
                <w:rFonts w:ascii="Arial"/>
                <w:sz w:val="21"/>
              </w:rPr>
            </w:pPr>
          </w:p>
        </w:tc>
        <w:tc>
          <w:tcPr>
            <w:tcW w:w="700" w:type="dxa"/>
            <w:vMerge w:val="continue"/>
            <w:tcBorders>
              <w:top w:val="nil"/>
              <w:bottom w:val="single" w:color="000000" w:sz="12" w:space="0"/>
              <w:right w:val="nil"/>
            </w:tcBorders>
            <w:vAlign w:val="top"/>
          </w:tcPr>
          <w:p>
            <w:pPr>
              <w:rPr>
                <w:rFonts w:ascii="Arial"/>
                <w:sz w:val="21"/>
              </w:rPr>
            </w:pPr>
          </w:p>
        </w:tc>
      </w:tr>
    </w:tbl>
    <w:p>
      <w:pPr>
        <w:spacing w:line="14" w:lineRule="auto"/>
        <w:rPr>
          <w:rFonts w:ascii="Arial"/>
          <w:sz w:val="2"/>
        </w:rPr>
      </w:pPr>
    </w:p>
    <w:p>
      <w:pPr>
        <w:spacing w:line="14" w:lineRule="auto"/>
        <w:rPr>
          <w:rFonts w:ascii="Arial" w:hAnsi="Arial" w:eastAsia="Arial" w:cs="Arial"/>
          <w:sz w:val="2"/>
          <w:szCs w:val="2"/>
        </w:rPr>
        <w:sectPr>
          <w:type w:val="continuous"/>
          <w:pgSz w:w="11907" w:h="16839"/>
          <w:pgMar w:top="1156" w:right="1690" w:bottom="1374" w:left="1692" w:header="881" w:footer="1210" w:gutter="0"/>
          <w:cols w:equalWidth="0" w:num="1">
            <w:col w:w="8524"/>
          </w:cols>
        </w:sectPr>
      </w:pPr>
    </w:p>
    <w:p>
      <w:pPr>
        <w:spacing w:before="41"/>
      </w:pPr>
    </w:p>
    <w:tbl>
      <w:tblPr>
        <w:tblStyle w:val="5"/>
        <w:tblW w:w="85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9"/>
        <w:gridCol w:w="1369"/>
        <w:gridCol w:w="1157"/>
        <w:gridCol w:w="1649"/>
        <w:gridCol w:w="1554"/>
        <w:gridCol w:w="1195"/>
        <w:gridCol w:w="7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7" w:hRule="atLeast"/>
        </w:trPr>
        <w:tc>
          <w:tcPr>
            <w:tcW w:w="899" w:type="dxa"/>
            <w:tcBorders>
              <w:top w:val="single" w:color="000000" w:sz="12" w:space="0"/>
              <w:left w:val="nil"/>
            </w:tcBorders>
            <w:vAlign w:val="top"/>
          </w:tcPr>
          <w:p>
            <w:pPr>
              <w:rPr>
                <w:rFonts w:ascii="Arial"/>
                <w:sz w:val="21"/>
              </w:rPr>
            </w:pPr>
          </w:p>
        </w:tc>
        <w:tc>
          <w:tcPr>
            <w:tcW w:w="1369" w:type="dxa"/>
            <w:tcBorders>
              <w:top w:val="single" w:color="000000" w:sz="12" w:space="0"/>
            </w:tcBorders>
            <w:vAlign w:val="top"/>
          </w:tcPr>
          <w:p>
            <w:pPr>
              <w:rPr>
                <w:rFonts w:ascii="Arial"/>
                <w:sz w:val="21"/>
              </w:rPr>
            </w:pPr>
          </w:p>
        </w:tc>
        <w:tc>
          <w:tcPr>
            <w:tcW w:w="1157" w:type="dxa"/>
            <w:tcBorders>
              <w:top w:val="single" w:color="000000" w:sz="12" w:space="0"/>
            </w:tcBorders>
            <w:vAlign w:val="top"/>
          </w:tcPr>
          <w:p>
            <w:pPr>
              <w:spacing w:before="65"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tcBorders>
              <w:top w:val="single" w:color="000000" w:sz="12" w:space="0"/>
            </w:tcBorders>
            <w:vAlign w:val="top"/>
          </w:tcPr>
          <w:p>
            <w:pPr>
              <w:rPr>
                <w:rFonts w:ascii="Arial"/>
                <w:sz w:val="21"/>
              </w:rPr>
            </w:pPr>
          </w:p>
        </w:tc>
        <w:tc>
          <w:tcPr>
            <w:tcW w:w="1554" w:type="dxa"/>
            <w:tcBorders>
              <w:top w:val="single" w:color="000000" w:sz="12" w:space="0"/>
            </w:tcBorders>
            <w:vAlign w:val="top"/>
          </w:tcPr>
          <w:p>
            <w:pPr>
              <w:pStyle w:val="6"/>
              <w:spacing w:before="102" w:line="188" w:lineRule="auto"/>
              <w:ind w:left="672"/>
            </w:pPr>
            <w:r>
              <w:rPr>
                <w:spacing w:val="-1"/>
              </w:rPr>
              <w:t>41</w:t>
            </w:r>
          </w:p>
        </w:tc>
        <w:tc>
          <w:tcPr>
            <w:tcW w:w="1195" w:type="dxa"/>
            <w:vMerge w:val="restart"/>
            <w:tcBorders>
              <w:top w:val="single" w:color="000000" w:sz="12" w:space="0"/>
              <w:bottom w:val="nil"/>
            </w:tcBorders>
            <w:vAlign w:val="top"/>
          </w:tcPr>
          <w:p>
            <w:pPr>
              <w:rPr>
                <w:rFonts w:ascii="Arial"/>
                <w:sz w:val="21"/>
              </w:rPr>
            </w:pPr>
          </w:p>
        </w:tc>
        <w:tc>
          <w:tcPr>
            <w:tcW w:w="700" w:type="dxa"/>
            <w:tcBorders>
              <w:top w:val="single" w:color="000000" w:sz="1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6" w:hRule="atLeast"/>
        </w:trPr>
        <w:tc>
          <w:tcPr>
            <w:tcW w:w="899" w:type="dxa"/>
            <w:vMerge w:val="restart"/>
            <w:tcBorders>
              <w:left w:val="nil"/>
              <w:bottom w:val="nil"/>
            </w:tcBorders>
            <w:vAlign w:val="top"/>
          </w:tcPr>
          <w:p>
            <w:pPr>
              <w:spacing w:before="55" w:line="260" w:lineRule="auto"/>
              <w:ind w:left="148" w:right="132" w:firstLine="13"/>
              <w:jc w:val="both"/>
              <w:rPr>
                <w:rFonts w:ascii="仿宋" w:hAnsi="仿宋" w:eastAsia="仿宋" w:cs="仿宋"/>
                <w:sz w:val="21"/>
                <w:szCs w:val="21"/>
              </w:rPr>
            </w:pPr>
            <w:r>
              <w:rPr>
                <w:rFonts w:ascii="仿宋" w:hAnsi="仿宋" w:eastAsia="仿宋" w:cs="仿宋"/>
                <w:spacing w:val="-10"/>
                <w:sz w:val="21"/>
                <w:szCs w:val="21"/>
              </w:rPr>
              <w:t>么苴簸</w:t>
            </w:r>
            <w:r>
              <w:rPr>
                <w:rFonts w:ascii="仿宋" w:hAnsi="仿宋" w:eastAsia="仿宋" w:cs="仿宋"/>
                <w:spacing w:val="1"/>
                <w:sz w:val="21"/>
                <w:szCs w:val="21"/>
              </w:rPr>
              <w:t xml:space="preserve"> </w:t>
            </w:r>
            <w:r>
              <w:rPr>
                <w:rFonts w:ascii="仿宋" w:hAnsi="仿宋" w:eastAsia="仿宋" w:cs="仿宋"/>
                <w:spacing w:val="-10"/>
                <w:sz w:val="21"/>
                <w:szCs w:val="21"/>
              </w:rPr>
              <w:t>（施工</w:t>
            </w:r>
            <w:r>
              <w:rPr>
                <w:rFonts w:ascii="仿宋" w:hAnsi="仿宋" w:eastAsia="仿宋" w:cs="仿宋"/>
                <w:spacing w:val="1"/>
                <w:sz w:val="21"/>
                <w:szCs w:val="21"/>
              </w:rPr>
              <w:t xml:space="preserve"> </w:t>
            </w:r>
            <w:r>
              <w:rPr>
                <w:rFonts w:ascii="仿宋" w:hAnsi="仿宋" w:eastAsia="仿宋" w:cs="仿宋"/>
                <w:spacing w:val="-5"/>
                <w:sz w:val="21"/>
                <w:szCs w:val="21"/>
              </w:rPr>
              <w:t>生产生</w:t>
            </w:r>
            <w:r>
              <w:rPr>
                <w:rFonts w:ascii="仿宋" w:hAnsi="仿宋" w:eastAsia="仿宋" w:cs="仿宋"/>
                <w:sz w:val="21"/>
                <w:szCs w:val="21"/>
              </w:rPr>
              <w:t xml:space="preserve"> </w:t>
            </w:r>
            <w:r>
              <w:rPr>
                <w:rFonts w:ascii="仿宋" w:hAnsi="仿宋" w:eastAsia="仿宋" w:cs="仿宋"/>
                <w:spacing w:val="-5"/>
                <w:sz w:val="21"/>
                <w:szCs w:val="21"/>
              </w:rPr>
              <w:t>活区弃</w:t>
            </w:r>
          </w:p>
          <w:p>
            <w:pPr>
              <w:spacing w:before="63" w:line="312" w:lineRule="exact"/>
              <w:ind w:left="253"/>
              <w:rPr>
                <w:rFonts w:ascii="仿宋" w:hAnsi="仿宋" w:eastAsia="仿宋" w:cs="仿宋"/>
                <w:sz w:val="21"/>
                <w:szCs w:val="21"/>
              </w:rPr>
            </w:pPr>
            <w:r>
              <w:rPr>
                <w:rFonts w:ascii="仿宋" w:hAnsi="仿宋" w:eastAsia="仿宋" w:cs="仿宋"/>
                <w:spacing w:val="-4"/>
                <w:position w:val="7"/>
                <w:sz w:val="21"/>
                <w:szCs w:val="21"/>
              </w:rPr>
              <w:t>渣场</w:t>
            </w:r>
          </w:p>
          <w:p>
            <w:pPr>
              <w:spacing w:line="218" w:lineRule="auto"/>
              <w:ind w:left="264"/>
              <w:rPr>
                <w:rFonts w:ascii="仿宋" w:hAnsi="仿宋" w:eastAsia="仿宋" w:cs="仿宋"/>
                <w:sz w:val="21"/>
                <w:szCs w:val="21"/>
              </w:rPr>
            </w:pPr>
            <w:r>
              <w:rPr>
                <w:rFonts w:ascii="仿宋" w:hAnsi="仿宋" w:eastAsia="仿宋" w:cs="仿宋"/>
                <w:spacing w:val="-10"/>
                <w:sz w:val="21"/>
                <w:szCs w:val="21"/>
              </w:rPr>
              <w:t>旁）</w:t>
            </w:r>
          </w:p>
        </w:tc>
        <w:tc>
          <w:tcPr>
            <w:tcW w:w="1369" w:type="dxa"/>
            <w:vAlign w:val="top"/>
          </w:tcPr>
          <w:p>
            <w:pPr>
              <w:pStyle w:val="6"/>
              <w:spacing w:before="104" w:line="188" w:lineRule="auto"/>
              <w:ind w:left="265"/>
            </w:pPr>
            <w:r>
              <w:rPr>
                <w:spacing w:val="-1"/>
              </w:rPr>
              <w:t>2023.3.28</w:t>
            </w:r>
          </w:p>
        </w:tc>
        <w:tc>
          <w:tcPr>
            <w:tcW w:w="1157" w:type="dxa"/>
            <w:vAlign w:val="top"/>
          </w:tcPr>
          <w:p>
            <w:pPr>
              <w:spacing w:before="67" w:line="21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8" w:line="218" w:lineRule="auto"/>
              <w:ind w:left="414"/>
              <w:rPr>
                <w:rFonts w:ascii="仿宋" w:hAnsi="仿宋" w:eastAsia="仿宋" w:cs="仿宋"/>
                <w:sz w:val="21"/>
                <w:szCs w:val="21"/>
              </w:rPr>
            </w:pPr>
            <w:r>
              <w:rPr>
                <w:rFonts w:ascii="仿宋" w:hAnsi="仿宋" w:eastAsia="仿宋" w:cs="仿宋"/>
                <w:spacing w:val="-3"/>
                <w:sz w:val="21"/>
                <w:szCs w:val="21"/>
              </w:rPr>
              <w:t>环境噪声</w:t>
            </w:r>
          </w:p>
        </w:tc>
        <w:tc>
          <w:tcPr>
            <w:tcW w:w="1554" w:type="dxa"/>
            <w:vAlign w:val="top"/>
          </w:tcPr>
          <w:p>
            <w:pPr>
              <w:pStyle w:val="6"/>
              <w:spacing w:before="104" w:line="188" w:lineRule="auto"/>
              <w:ind w:left="672"/>
            </w:pPr>
            <w:r>
              <w:rPr>
                <w:spacing w:val="-1"/>
              </w:rPr>
              <w:t>48</w:t>
            </w:r>
          </w:p>
        </w:tc>
        <w:tc>
          <w:tcPr>
            <w:tcW w:w="1195" w:type="dxa"/>
            <w:vMerge w:val="continue"/>
            <w:tcBorders>
              <w:top w:val="nil"/>
              <w:bottom w:val="nil"/>
            </w:tcBorders>
            <w:vAlign w:val="top"/>
          </w:tcPr>
          <w:p>
            <w:pPr>
              <w:rPr>
                <w:rFonts w:ascii="Arial"/>
                <w:sz w:val="21"/>
              </w:rPr>
            </w:pPr>
          </w:p>
        </w:tc>
        <w:tc>
          <w:tcPr>
            <w:tcW w:w="700" w:type="dxa"/>
            <w:vMerge w:val="restart"/>
            <w:tcBorders>
              <w:bottom w:val="nil"/>
              <w:right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8" w:line="218" w:lineRule="auto"/>
              <w:ind w:left="153"/>
              <w:rPr>
                <w:rFonts w:ascii="仿宋" w:hAnsi="仿宋" w:eastAsia="仿宋" w:cs="仿宋"/>
                <w:sz w:val="21"/>
                <w:szCs w:val="21"/>
              </w:rPr>
            </w:pPr>
            <w:r>
              <w:rPr>
                <w:rFonts w:ascii="仿宋" w:hAnsi="仿宋" w:eastAsia="仿宋" w:cs="仿宋"/>
                <w:spacing w:val="-5"/>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899" w:type="dxa"/>
            <w:vMerge w:val="continue"/>
            <w:tcBorders>
              <w:top w:val="nil"/>
              <w:left w:val="nil"/>
              <w:bottom w:val="nil"/>
            </w:tcBorders>
            <w:vAlign w:val="top"/>
          </w:tcPr>
          <w:p>
            <w:pPr>
              <w:rPr>
                <w:rFonts w:ascii="Arial"/>
                <w:sz w:val="21"/>
              </w:rPr>
            </w:pPr>
          </w:p>
        </w:tc>
        <w:tc>
          <w:tcPr>
            <w:tcW w:w="1369" w:type="dxa"/>
            <w:vAlign w:val="top"/>
          </w:tcPr>
          <w:p>
            <w:pPr>
              <w:pStyle w:val="6"/>
              <w:spacing w:before="109" w:line="188" w:lineRule="auto"/>
              <w:ind w:left="265"/>
            </w:pPr>
            <w:r>
              <w:rPr>
                <w:spacing w:val="-1"/>
              </w:rPr>
              <w:t>2023.3.29</w:t>
            </w:r>
          </w:p>
        </w:tc>
        <w:tc>
          <w:tcPr>
            <w:tcW w:w="1157" w:type="dxa"/>
            <w:vAlign w:val="top"/>
          </w:tcPr>
          <w:p>
            <w:pPr>
              <w:spacing w:before="72"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09" w:line="188" w:lineRule="auto"/>
              <w:ind w:left="672"/>
            </w:pPr>
            <w:r>
              <w:rPr>
                <w:spacing w:val="-1"/>
              </w:rPr>
              <w:t>41</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6" w:hRule="atLeast"/>
        </w:trPr>
        <w:tc>
          <w:tcPr>
            <w:tcW w:w="899" w:type="dxa"/>
            <w:vMerge w:val="continue"/>
            <w:tcBorders>
              <w:top w:val="nil"/>
              <w:left w:val="nil"/>
              <w:bottom w:val="nil"/>
            </w:tcBorders>
            <w:vAlign w:val="top"/>
          </w:tcPr>
          <w:p>
            <w:pPr>
              <w:rPr>
                <w:rFonts w:ascii="Arial"/>
                <w:sz w:val="21"/>
              </w:rPr>
            </w:pPr>
          </w:p>
        </w:tc>
        <w:tc>
          <w:tcPr>
            <w:tcW w:w="1369" w:type="dxa"/>
            <w:vAlign w:val="top"/>
          </w:tcPr>
          <w:p>
            <w:pPr>
              <w:pStyle w:val="6"/>
              <w:spacing w:before="113" w:line="188" w:lineRule="auto"/>
              <w:ind w:left="265"/>
            </w:pPr>
            <w:r>
              <w:rPr>
                <w:spacing w:val="-1"/>
              </w:rPr>
              <w:t>2023.3.29</w:t>
            </w:r>
          </w:p>
        </w:tc>
        <w:tc>
          <w:tcPr>
            <w:tcW w:w="1157" w:type="dxa"/>
            <w:vAlign w:val="top"/>
          </w:tcPr>
          <w:p>
            <w:pPr>
              <w:spacing w:before="76" w:line="219" w:lineRule="auto"/>
              <w:ind w:left="379"/>
              <w:rPr>
                <w:rFonts w:ascii="仿宋" w:hAnsi="仿宋" w:eastAsia="仿宋" w:cs="仿宋"/>
                <w:sz w:val="21"/>
                <w:szCs w:val="21"/>
              </w:rPr>
            </w:pPr>
            <w:r>
              <w:rPr>
                <w:rFonts w:ascii="仿宋" w:hAnsi="仿宋" w:eastAsia="仿宋" w:cs="仿宋"/>
                <w:spacing w:val="-4"/>
                <w:sz w:val="21"/>
                <w:szCs w:val="21"/>
              </w:rPr>
              <w:t>昼间</w:t>
            </w:r>
          </w:p>
        </w:tc>
        <w:tc>
          <w:tcPr>
            <w:tcW w:w="1649" w:type="dxa"/>
            <w:vMerge w:val="continue"/>
            <w:tcBorders>
              <w:top w:val="nil"/>
              <w:bottom w:val="nil"/>
            </w:tcBorders>
            <w:vAlign w:val="top"/>
          </w:tcPr>
          <w:p>
            <w:pPr>
              <w:rPr>
                <w:rFonts w:ascii="Arial"/>
                <w:sz w:val="21"/>
              </w:rPr>
            </w:pPr>
          </w:p>
        </w:tc>
        <w:tc>
          <w:tcPr>
            <w:tcW w:w="1554" w:type="dxa"/>
            <w:vAlign w:val="top"/>
          </w:tcPr>
          <w:p>
            <w:pPr>
              <w:pStyle w:val="6"/>
              <w:spacing w:before="113" w:line="188" w:lineRule="auto"/>
              <w:ind w:left="672"/>
            </w:pPr>
            <w:r>
              <w:rPr>
                <w:spacing w:val="-1"/>
              </w:rPr>
              <w:t>44</w:t>
            </w:r>
          </w:p>
        </w:tc>
        <w:tc>
          <w:tcPr>
            <w:tcW w:w="1195" w:type="dxa"/>
            <w:vMerge w:val="continue"/>
            <w:tcBorders>
              <w:top w:val="nil"/>
              <w:bottom w:val="nil"/>
            </w:tcBorders>
            <w:vAlign w:val="top"/>
          </w:tcPr>
          <w:p>
            <w:pPr>
              <w:rPr>
                <w:rFonts w:ascii="Arial"/>
                <w:sz w:val="21"/>
              </w:rPr>
            </w:pPr>
          </w:p>
        </w:tc>
        <w:tc>
          <w:tcPr>
            <w:tcW w:w="700"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52" w:hRule="atLeast"/>
        </w:trPr>
        <w:tc>
          <w:tcPr>
            <w:tcW w:w="899" w:type="dxa"/>
            <w:vMerge w:val="continue"/>
            <w:tcBorders>
              <w:top w:val="nil"/>
              <w:left w:val="nil"/>
              <w:bottom w:val="single" w:color="000000" w:sz="12" w:space="0"/>
            </w:tcBorders>
            <w:vAlign w:val="top"/>
          </w:tcPr>
          <w:p>
            <w:pPr>
              <w:rPr>
                <w:rFonts w:ascii="Arial"/>
                <w:sz w:val="21"/>
              </w:rPr>
            </w:pPr>
          </w:p>
        </w:tc>
        <w:tc>
          <w:tcPr>
            <w:tcW w:w="1369" w:type="dxa"/>
            <w:tcBorders>
              <w:bottom w:val="single" w:color="000000" w:sz="12" w:space="0"/>
            </w:tcBorders>
            <w:vAlign w:val="top"/>
          </w:tcPr>
          <w:p>
            <w:pPr>
              <w:spacing w:line="304" w:lineRule="auto"/>
              <w:rPr>
                <w:rFonts w:ascii="Arial"/>
                <w:sz w:val="21"/>
              </w:rPr>
            </w:pPr>
          </w:p>
          <w:p>
            <w:pPr>
              <w:pStyle w:val="6"/>
              <w:spacing w:before="61" w:line="188" w:lineRule="auto"/>
              <w:ind w:left="265"/>
            </w:pPr>
            <w:r>
              <w:rPr>
                <w:spacing w:val="-1"/>
              </w:rPr>
              <w:t>2023.3.30</w:t>
            </w:r>
          </w:p>
        </w:tc>
        <w:tc>
          <w:tcPr>
            <w:tcW w:w="1157" w:type="dxa"/>
            <w:tcBorders>
              <w:bottom w:val="single" w:color="000000" w:sz="12" w:space="0"/>
            </w:tcBorders>
            <w:vAlign w:val="top"/>
          </w:tcPr>
          <w:p>
            <w:pPr>
              <w:spacing w:line="260" w:lineRule="auto"/>
              <w:rPr>
                <w:rFonts w:ascii="Arial"/>
                <w:sz w:val="21"/>
              </w:rPr>
            </w:pPr>
          </w:p>
          <w:p>
            <w:pPr>
              <w:spacing w:before="68" w:line="218" w:lineRule="auto"/>
              <w:ind w:left="379"/>
              <w:rPr>
                <w:rFonts w:ascii="仿宋" w:hAnsi="仿宋" w:eastAsia="仿宋" w:cs="仿宋"/>
                <w:sz w:val="21"/>
                <w:szCs w:val="21"/>
              </w:rPr>
            </w:pPr>
            <w:r>
              <w:rPr>
                <w:rFonts w:ascii="仿宋" w:hAnsi="仿宋" w:eastAsia="仿宋" w:cs="仿宋"/>
                <w:spacing w:val="-4"/>
                <w:sz w:val="21"/>
                <w:szCs w:val="21"/>
              </w:rPr>
              <w:t>夜间</w:t>
            </w:r>
          </w:p>
        </w:tc>
        <w:tc>
          <w:tcPr>
            <w:tcW w:w="1649" w:type="dxa"/>
            <w:vMerge w:val="continue"/>
            <w:tcBorders>
              <w:top w:val="nil"/>
              <w:bottom w:val="single" w:color="000000" w:sz="12" w:space="0"/>
            </w:tcBorders>
            <w:vAlign w:val="top"/>
          </w:tcPr>
          <w:p>
            <w:pPr>
              <w:rPr>
                <w:rFonts w:ascii="Arial"/>
                <w:sz w:val="21"/>
              </w:rPr>
            </w:pPr>
          </w:p>
        </w:tc>
        <w:tc>
          <w:tcPr>
            <w:tcW w:w="1554" w:type="dxa"/>
            <w:tcBorders>
              <w:bottom w:val="single" w:color="000000" w:sz="12" w:space="0"/>
            </w:tcBorders>
            <w:vAlign w:val="top"/>
          </w:tcPr>
          <w:p>
            <w:pPr>
              <w:spacing w:line="304" w:lineRule="auto"/>
              <w:rPr>
                <w:rFonts w:ascii="Arial"/>
                <w:sz w:val="21"/>
              </w:rPr>
            </w:pPr>
          </w:p>
          <w:p>
            <w:pPr>
              <w:pStyle w:val="6"/>
              <w:spacing w:before="61" w:line="188" w:lineRule="auto"/>
              <w:ind w:left="672"/>
            </w:pPr>
            <w:r>
              <w:rPr>
                <w:spacing w:val="-1"/>
              </w:rPr>
              <w:t>42</w:t>
            </w:r>
          </w:p>
        </w:tc>
        <w:tc>
          <w:tcPr>
            <w:tcW w:w="1195" w:type="dxa"/>
            <w:vMerge w:val="continue"/>
            <w:tcBorders>
              <w:top w:val="nil"/>
              <w:bottom w:val="single" w:color="000000" w:sz="12" w:space="0"/>
            </w:tcBorders>
            <w:vAlign w:val="top"/>
          </w:tcPr>
          <w:p>
            <w:pPr>
              <w:rPr>
                <w:rFonts w:ascii="Arial"/>
                <w:sz w:val="21"/>
              </w:rPr>
            </w:pPr>
          </w:p>
        </w:tc>
        <w:tc>
          <w:tcPr>
            <w:tcW w:w="700" w:type="dxa"/>
            <w:vMerge w:val="continue"/>
            <w:tcBorders>
              <w:top w:val="nil"/>
              <w:bottom w:val="single" w:color="000000" w:sz="12" w:space="0"/>
              <w:right w:val="nil"/>
            </w:tcBorders>
            <w:vAlign w:val="top"/>
          </w:tcPr>
          <w:p>
            <w:pPr>
              <w:rPr>
                <w:rFonts w:ascii="Arial"/>
                <w:sz w:val="21"/>
              </w:rPr>
            </w:pPr>
          </w:p>
        </w:tc>
      </w:tr>
    </w:tbl>
    <w:p>
      <w:pPr>
        <w:spacing w:before="114" w:line="360" w:lineRule="auto"/>
        <w:ind w:left="117" w:right="110" w:firstLine="480"/>
        <w:rPr>
          <w:rFonts w:ascii="宋体" w:hAnsi="宋体" w:eastAsia="宋体" w:cs="宋体"/>
          <w:sz w:val="24"/>
          <w:szCs w:val="24"/>
        </w:rPr>
      </w:pPr>
      <w:r>
        <w:rPr>
          <w:rFonts w:ascii="宋体" w:hAnsi="宋体" w:eastAsia="宋体" w:cs="宋体"/>
          <w:spacing w:val="-12"/>
          <w:sz w:val="24"/>
          <w:szCs w:val="24"/>
        </w:rPr>
        <w:t>根据表</w:t>
      </w:r>
      <w:r>
        <w:rPr>
          <w:rFonts w:ascii="宋体" w:hAnsi="宋体" w:eastAsia="宋体" w:cs="宋体"/>
          <w:spacing w:val="-29"/>
          <w:sz w:val="24"/>
          <w:szCs w:val="24"/>
        </w:rPr>
        <w:t xml:space="preserve"> </w:t>
      </w:r>
      <w:r>
        <w:rPr>
          <w:rFonts w:ascii="Times New Roman" w:hAnsi="Times New Roman" w:eastAsia="Times New Roman" w:cs="Times New Roman"/>
          <w:spacing w:val="-12"/>
          <w:sz w:val="24"/>
          <w:szCs w:val="24"/>
        </w:rPr>
        <w:t>3.2-7</w:t>
      </w:r>
      <w:r>
        <w:rPr>
          <w:rFonts w:ascii="Times New Roman" w:hAnsi="Times New Roman" w:eastAsia="Times New Roman" w:cs="Times New Roman"/>
          <w:spacing w:val="13"/>
          <w:sz w:val="24"/>
          <w:szCs w:val="24"/>
        </w:rPr>
        <w:t xml:space="preserve"> </w:t>
      </w:r>
      <w:r>
        <w:rPr>
          <w:rFonts w:ascii="宋体" w:hAnsi="宋体" w:eastAsia="宋体" w:cs="宋体"/>
          <w:spacing w:val="-12"/>
          <w:sz w:val="24"/>
          <w:szCs w:val="24"/>
        </w:rPr>
        <w:t>看出， 壤能比独、皮左黑村（料场旁）、扯嘿（施工道路旁）、</w:t>
      </w:r>
      <w:r>
        <w:rPr>
          <w:rFonts w:ascii="宋体" w:hAnsi="宋体" w:eastAsia="宋体" w:cs="宋体"/>
          <w:sz w:val="24"/>
          <w:szCs w:val="24"/>
        </w:rPr>
        <w:t xml:space="preserve"> </w:t>
      </w:r>
      <w:r>
        <w:rPr>
          <w:rFonts w:ascii="宋体" w:hAnsi="宋体" w:eastAsia="宋体" w:cs="宋体"/>
          <w:spacing w:val="-10"/>
          <w:sz w:val="24"/>
          <w:szCs w:val="24"/>
        </w:rPr>
        <w:t>马茨村（隧洞旁）、罗子左村（取水坝旁）、输水管线旁代表点位么苴簸（施工生</w:t>
      </w:r>
      <w:r>
        <w:rPr>
          <w:rFonts w:ascii="宋体" w:hAnsi="宋体" w:eastAsia="宋体" w:cs="宋体"/>
          <w:spacing w:val="14"/>
          <w:sz w:val="24"/>
          <w:szCs w:val="24"/>
        </w:rPr>
        <w:t xml:space="preserve"> </w:t>
      </w:r>
      <w:r>
        <w:rPr>
          <w:rFonts w:ascii="宋体" w:hAnsi="宋体" w:eastAsia="宋体" w:cs="宋体"/>
          <w:spacing w:val="-10"/>
          <w:sz w:val="24"/>
          <w:szCs w:val="24"/>
        </w:rPr>
        <w:t>产生活区、弃渣场旁）、耳子地（输水线路穿过）、谢老屋基（拌合站旁）、么他</w:t>
      </w:r>
      <w:r>
        <w:rPr>
          <w:rFonts w:ascii="宋体" w:hAnsi="宋体" w:eastAsia="宋体" w:cs="宋体"/>
          <w:spacing w:val="10"/>
          <w:sz w:val="24"/>
          <w:szCs w:val="24"/>
        </w:rPr>
        <w:t xml:space="preserve"> </w:t>
      </w:r>
      <w:r>
        <w:rPr>
          <w:rFonts w:ascii="宋体" w:hAnsi="宋体" w:eastAsia="宋体" w:cs="宋体"/>
          <w:spacing w:val="-3"/>
          <w:sz w:val="24"/>
          <w:szCs w:val="24"/>
        </w:rPr>
        <w:t>苴（施工道路旁）、孙家山（碧么水库旁）昼、夜间声环境能满足《声环境质量</w:t>
      </w:r>
    </w:p>
    <w:p>
      <w:pPr>
        <w:spacing w:line="219" w:lineRule="auto"/>
        <w:ind w:left="118"/>
        <w:rPr>
          <w:rFonts w:ascii="宋体" w:hAnsi="宋体" w:eastAsia="宋体" w:cs="宋体"/>
          <w:sz w:val="24"/>
          <w:szCs w:val="24"/>
        </w:rPr>
      </w:pPr>
      <w:r>
        <w:rPr>
          <w:rFonts w:ascii="宋体" w:hAnsi="宋体" w:eastAsia="宋体" w:cs="宋体"/>
          <w:spacing w:val="-8"/>
          <w:sz w:val="24"/>
          <w:szCs w:val="24"/>
        </w:rPr>
        <w:t>标准》（</w:t>
      </w:r>
      <w:r>
        <w:rPr>
          <w:rFonts w:ascii="Times New Roman" w:hAnsi="Times New Roman" w:eastAsia="Times New Roman" w:cs="Times New Roman"/>
          <w:spacing w:val="-8"/>
          <w:sz w:val="24"/>
          <w:szCs w:val="24"/>
        </w:rPr>
        <w:t>GB3096-2008</w:t>
      </w:r>
      <w:r>
        <w:rPr>
          <w:rFonts w:ascii="宋体" w:hAnsi="宋体" w:eastAsia="宋体" w:cs="宋体"/>
          <w:spacing w:val="-8"/>
          <w:sz w:val="24"/>
          <w:szCs w:val="24"/>
        </w:rPr>
        <w:t xml:space="preserve">）中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类标准要求。</w:t>
      </w:r>
    </w:p>
    <w:p>
      <w:pPr>
        <w:spacing w:line="353" w:lineRule="auto"/>
        <w:rPr>
          <w:rFonts w:ascii="Arial"/>
          <w:sz w:val="21"/>
        </w:rPr>
      </w:pPr>
    </w:p>
    <w:p>
      <w:pPr>
        <w:pStyle w:val="2"/>
        <w:spacing w:before="78" w:line="233" w:lineRule="auto"/>
        <w:ind w:left="111"/>
        <w:outlineLvl w:val="2"/>
        <w:rPr>
          <w:sz w:val="24"/>
          <w:szCs w:val="24"/>
        </w:rPr>
      </w:pPr>
      <w:r>
        <w:rPr>
          <w:rFonts w:ascii="Times New Roman" w:hAnsi="Times New Roman" w:eastAsia="Times New Roman" w:cs="Times New Roman"/>
          <w:b/>
          <w:bCs/>
          <w:sz w:val="24"/>
          <w:szCs w:val="24"/>
        </w:rPr>
        <w:t xml:space="preserve">3.2.4 </w:t>
      </w:r>
      <w:r>
        <w:rPr>
          <w:sz w:val="24"/>
          <w:szCs w:val="24"/>
          <w14:textOutline w14:w="4354" w14:cap="flat" w14:cmpd="sng">
            <w14:solidFill>
              <w14:srgbClr w14:val="000000"/>
            </w14:solidFill>
            <w14:prstDash w14:val="solid"/>
            <w14:miter w14:val="0"/>
          </w14:textOutline>
        </w:rPr>
        <w:t>地下水环境质量</w:t>
      </w:r>
    </w:p>
    <w:p>
      <w:pPr>
        <w:spacing w:before="278" w:line="219" w:lineRule="auto"/>
        <w:ind w:left="603"/>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）监测布点</w:t>
      </w:r>
    </w:p>
    <w:p>
      <w:pPr>
        <w:spacing w:before="184" w:line="468" w:lineRule="exact"/>
        <w:ind w:left="600"/>
        <w:rPr>
          <w:rFonts w:ascii="宋体" w:hAnsi="宋体" w:eastAsia="宋体" w:cs="宋体"/>
          <w:sz w:val="24"/>
          <w:szCs w:val="24"/>
        </w:rPr>
      </w:pPr>
      <w:r>
        <w:rPr>
          <w:rFonts w:ascii="宋体" w:hAnsi="宋体" w:eastAsia="宋体" w:cs="宋体"/>
          <w:position w:val="17"/>
          <w:sz w:val="24"/>
          <w:szCs w:val="24"/>
        </w:rPr>
        <w:t xml:space="preserve">为调查项目区域地下水环境质量现状，本次评价共设置了 </w:t>
      </w:r>
      <w:r>
        <w:rPr>
          <w:rFonts w:ascii="Times New Roman" w:hAnsi="Times New Roman" w:eastAsia="Times New Roman" w:cs="Times New Roman"/>
          <w:position w:val="17"/>
          <w:sz w:val="24"/>
          <w:szCs w:val="24"/>
        </w:rPr>
        <w:t xml:space="preserve">3  </w:t>
      </w:r>
      <w:r>
        <w:rPr>
          <w:rFonts w:ascii="宋体" w:hAnsi="宋体" w:eastAsia="宋体" w:cs="宋体"/>
          <w:position w:val="17"/>
          <w:sz w:val="24"/>
          <w:szCs w:val="24"/>
        </w:rPr>
        <w:t>个地下水监测</w:t>
      </w:r>
    </w:p>
    <w:p>
      <w:pPr>
        <w:spacing w:before="1" w:line="218" w:lineRule="auto"/>
        <w:ind w:left="125"/>
        <w:rPr>
          <w:rFonts w:ascii="宋体" w:hAnsi="宋体" w:eastAsia="宋体" w:cs="宋体"/>
          <w:sz w:val="24"/>
          <w:szCs w:val="24"/>
        </w:rPr>
      </w:pPr>
      <w:r>
        <w:rPr>
          <w:rFonts w:ascii="宋体" w:hAnsi="宋体" w:eastAsia="宋体" w:cs="宋体"/>
          <w:spacing w:val="-7"/>
          <w:sz w:val="24"/>
          <w:szCs w:val="24"/>
        </w:rPr>
        <w:t>点。</w:t>
      </w:r>
      <w:r>
        <w:rPr>
          <w:rFonts w:ascii="宋体" w:hAnsi="宋体" w:eastAsia="宋体" w:cs="宋体"/>
          <w:spacing w:val="-37"/>
          <w:sz w:val="24"/>
          <w:szCs w:val="24"/>
        </w:rPr>
        <w:t xml:space="preserve"> </w:t>
      </w:r>
      <w:r>
        <w:rPr>
          <w:rFonts w:ascii="宋体" w:hAnsi="宋体" w:eastAsia="宋体" w:cs="宋体"/>
          <w:spacing w:val="-7"/>
          <w:sz w:val="24"/>
          <w:szCs w:val="24"/>
        </w:rPr>
        <w:t>具体布置情况见表</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3.2-8</w:t>
      </w:r>
      <w:r>
        <w:rPr>
          <w:rFonts w:ascii="宋体" w:hAnsi="宋体" w:eastAsia="宋体" w:cs="宋体"/>
          <w:spacing w:val="-7"/>
          <w:sz w:val="24"/>
          <w:szCs w:val="24"/>
        </w:rPr>
        <w:t>。</w:t>
      </w:r>
    </w:p>
    <w:p>
      <w:pPr>
        <w:pStyle w:val="2"/>
        <w:spacing w:before="241" w:line="219" w:lineRule="auto"/>
        <w:ind w:left="3027"/>
      </w:pPr>
      <w:r>
        <w:rPr>
          <w:spacing w:val="-1"/>
          <w14:textOutline w14:w="3810" w14:cap="flat" w14:cmpd="sng">
            <w14:solidFill>
              <w14:srgbClr w14:val="000000"/>
            </w14:solidFill>
            <w14:prstDash w14:val="solid"/>
            <w14:miter w14:val="0"/>
          </w14:textOutline>
        </w:rPr>
        <w:t>表</w:t>
      </w:r>
      <w:r>
        <w:rPr>
          <w:spacing w:val="-36"/>
        </w:rPr>
        <w:t xml:space="preserve"> </w:t>
      </w:r>
      <w:r>
        <w:rPr>
          <w:rFonts w:ascii="Times New Roman" w:hAnsi="Times New Roman" w:eastAsia="Times New Roman" w:cs="Times New Roman"/>
          <w:b/>
          <w:bCs/>
          <w:spacing w:val="-1"/>
        </w:rPr>
        <w:t xml:space="preserve">3.2-8      </w:t>
      </w:r>
      <w:r>
        <w:rPr>
          <w:spacing w:val="-1"/>
          <w14:textOutline w14:w="3810" w14:cap="flat" w14:cmpd="sng">
            <w14:solidFill>
              <w14:srgbClr w14:val="000000"/>
            </w14:solidFill>
            <w14:prstDash w14:val="solid"/>
            <w14:miter w14:val="0"/>
          </w14:textOutline>
        </w:rPr>
        <w:t>地下水环境监测布点</w:t>
      </w:r>
    </w:p>
    <w:p>
      <w:pPr>
        <w:spacing w:line="19" w:lineRule="exact"/>
      </w:pPr>
    </w:p>
    <w:tbl>
      <w:tblPr>
        <w:tblStyle w:val="5"/>
        <w:tblW w:w="8321"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82"/>
        <w:gridCol w:w="2536"/>
        <w:gridCol w:w="35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4" w:hRule="atLeast"/>
        </w:trPr>
        <w:tc>
          <w:tcPr>
            <w:tcW w:w="2282" w:type="dxa"/>
            <w:tcBorders>
              <w:top w:val="single" w:color="000000" w:sz="12" w:space="0"/>
              <w:left w:val="nil"/>
            </w:tcBorders>
            <w:vAlign w:val="top"/>
          </w:tcPr>
          <w:p>
            <w:pPr>
              <w:spacing w:before="72" w:line="220" w:lineRule="auto"/>
              <w:ind w:left="947"/>
              <w:rPr>
                <w:rFonts w:ascii="宋体" w:hAnsi="宋体" w:eastAsia="宋体" w:cs="宋体"/>
                <w:sz w:val="21"/>
                <w:szCs w:val="21"/>
              </w:rPr>
            </w:pPr>
            <w:r>
              <w:rPr>
                <w:rFonts w:ascii="宋体" w:hAnsi="宋体" w:eastAsia="宋体" w:cs="宋体"/>
                <w:spacing w:val="-3"/>
                <w:sz w:val="21"/>
                <w:szCs w:val="21"/>
                <w14:textOutline w14:w="3810" w14:cap="flat" w14:cmpd="sng">
                  <w14:solidFill>
                    <w14:srgbClr w14:val="000000"/>
                  </w14:solidFill>
                  <w14:prstDash w14:val="solid"/>
                  <w14:miter w14:val="0"/>
                </w14:textOutline>
              </w:rPr>
              <w:t>编号</w:t>
            </w:r>
          </w:p>
        </w:tc>
        <w:tc>
          <w:tcPr>
            <w:tcW w:w="2536" w:type="dxa"/>
            <w:tcBorders>
              <w:top w:val="single" w:color="000000" w:sz="12" w:space="0"/>
            </w:tcBorders>
            <w:vAlign w:val="top"/>
          </w:tcPr>
          <w:p>
            <w:pPr>
              <w:spacing w:before="72" w:line="221" w:lineRule="auto"/>
              <w:ind w:left="744"/>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监测点名称</w:t>
            </w:r>
          </w:p>
        </w:tc>
        <w:tc>
          <w:tcPr>
            <w:tcW w:w="3503" w:type="dxa"/>
            <w:tcBorders>
              <w:top w:val="single" w:color="000000" w:sz="12" w:space="0"/>
              <w:right w:val="nil"/>
            </w:tcBorders>
            <w:vAlign w:val="top"/>
          </w:tcPr>
          <w:p>
            <w:pPr>
              <w:spacing w:before="72" w:line="221" w:lineRule="auto"/>
              <w:ind w:left="1544"/>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0" w:hRule="atLeast"/>
        </w:trPr>
        <w:tc>
          <w:tcPr>
            <w:tcW w:w="2282" w:type="dxa"/>
            <w:tcBorders>
              <w:left w:val="nil"/>
            </w:tcBorders>
            <w:vAlign w:val="top"/>
          </w:tcPr>
          <w:p>
            <w:pPr>
              <w:pStyle w:val="6"/>
              <w:spacing w:before="94" w:line="188" w:lineRule="auto"/>
              <w:ind w:left="1067"/>
            </w:pPr>
            <w:r>
              <w:rPr>
                <w:spacing w:val="-6"/>
              </w:rPr>
              <w:t>1#</w:t>
            </w:r>
          </w:p>
        </w:tc>
        <w:tc>
          <w:tcPr>
            <w:tcW w:w="2536" w:type="dxa"/>
            <w:vAlign w:val="top"/>
          </w:tcPr>
          <w:p>
            <w:pPr>
              <w:spacing w:before="57" w:line="213" w:lineRule="auto"/>
              <w:ind w:left="643"/>
              <w:rPr>
                <w:rFonts w:ascii="宋体" w:hAnsi="宋体" w:eastAsia="宋体" w:cs="宋体"/>
                <w:sz w:val="21"/>
                <w:szCs w:val="21"/>
              </w:rPr>
            </w:pPr>
            <w:r>
              <w:rPr>
                <w:rFonts w:ascii="宋体" w:hAnsi="宋体" w:eastAsia="宋体" w:cs="宋体"/>
                <w:spacing w:val="-2"/>
                <w:sz w:val="21"/>
                <w:szCs w:val="21"/>
              </w:rPr>
              <w:t>水库上游泉点</w:t>
            </w:r>
          </w:p>
        </w:tc>
        <w:tc>
          <w:tcPr>
            <w:tcW w:w="3503" w:type="dxa"/>
            <w:tcBorders>
              <w:right w:val="nil"/>
            </w:tcBorders>
            <w:vAlign w:val="top"/>
          </w:tcPr>
          <w:p>
            <w:pPr>
              <w:pStyle w:val="6"/>
              <w:spacing w:before="57" w:line="213" w:lineRule="auto"/>
              <w:ind w:left="782"/>
              <w:rPr>
                <w:rFonts w:ascii="宋体" w:hAnsi="宋体" w:eastAsia="宋体" w:cs="宋体"/>
              </w:rPr>
            </w:pPr>
            <w:r>
              <w:rPr>
                <w:rFonts w:ascii="宋体" w:hAnsi="宋体" w:eastAsia="宋体" w:cs="宋体"/>
              </w:rPr>
              <w:t>库区西南测</w:t>
            </w:r>
            <w:r>
              <w:rPr>
                <w:rFonts w:ascii="宋体" w:hAnsi="宋体" w:eastAsia="宋体" w:cs="宋体"/>
                <w:spacing w:val="-49"/>
              </w:rPr>
              <w:t xml:space="preserve"> </w:t>
            </w:r>
            <w:r>
              <w:t xml:space="preserve">4205m </w:t>
            </w:r>
            <w:r>
              <w:rPr>
                <w:rFonts w:ascii="宋体" w:hAnsi="宋体" w:eastAsia="宋体" w:cs="宋体"/>
              </w:rPr>
              <w:t>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9" w:hRule="atLeast"/>
        </w:trPr>
        <w:tc>
          <w:tcPr>
            <w:tcW w:w="2282" w:type="dxa"/>
            <w:tcBorders>
              <w:left w:val="nil"/>
            </w:tcBorders>
            <w:vAlign w:val="top"/>
          </w:tcPr>
          <w:p>
            <w:pPr>
              <w:pStyle w:val="6"/>
              <w:spacing w:before="100" w:line="188" w:lineRule="auto"/>
              <w:ind w:left="1047"/>
            </w:pPr>
            <w:r>
              <w:rPr>
                <w:spacing w:val="-1"/>
              </w:rPr>
              <w:t>2#</w:t>
            </w:r>
          </w:p>
        </w:tc>
        <w:tc>
          <w:tcPr>
            <w:tcW w:w="2536" w:type="dxa"/>
            <w:vAlign w:val="top"/>
          </w:tcPr>
          <w:p>
            <w:pPr>
              <w:spacing w:before="64" w:line="206" w:lineRule="auto"/>
              <w:ind w:left="643"/>
              <w:rPr>
                <w:rFonts w:ascii="宋体" w:hAnsi="宋体" w:eastAsia="宋体" w:cs="宋体"/>
                <w:sz w:val="21"/>
                <w:szCs w:val="21"/>
              </w:rPr>
            </w:pPr>
            <w:r>
              <w:rPr>
                <w:rFonts w:ascii="宋体" w:hAnsi="宋体" w:eastAsia="宋体" w:cs="宋体"/>
                <w:spacing w:val="-2"/>
                <w:sz w:val="21"/>
                <w:szCs w:val="21"/>
              </w:rPr>
              <w:t>水库下游泉点</w:t>
            </w:r>
          </w:p>
        </w:tc>
        <w:tc>
          <w:tcPr>
            <w:tcW w:w="3503" w:type="dxa"/>
            <w:tcBorders>
              <w:right w:val="nil"/>
            </w:tcBorders>
            <w:vAlign w:val="top"/>
          </w:tcPr>
          <w:p>
            <w:pPr>
              <w:pStyle w:val="6"/>
              <w:spacing w:before="64" w:line="206" w:lineRule="auto"/>
              <w:ind w:left="782"/>
              <w:rPr>
                <w:rFonts w:ascii="宋体" w:hAnsi="宋体" w:eastAsia="宋体" w:cs="宋体"/>
              </w:rPr>
            </w:pPr>
            <w:r>
              <w:rPr>
                <w:rFonts w:ascii="宋体" w:hAnsi="宋体" w:eastAsia="宋体" w:cs="宋体"/>
              </w:rPr>
              <w:t>库区东北侧</w:t>
            </w:r>
            <w:r>
              <w:rPr>
                <w:rFonts w:ascii="宋体" w:hAnsi="宋体" w:eastAsia="宋体" w:cs="宋体"/>
                <w:spacing w:val="-49"/>
              </w:rPr>
              <w:t xml:space="preserve"> </w:t>
            </w:r>
            <w:r>
              <w:t xml:space="preserve">4560m </w:t>
            </w:r>
            <w:r>
              <w:rPr>
                <w:rFonts w:ascii="宋体" w:hAnsi="宋体" w:eastAsia="宋体" w:cs="宋体"/>
              </w:rPr>
              <w:t>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trPr>
        <w:tc>
          <w:tcPr>
            <w:tcW w:w="2282" w:type="dxa"/>
            <w:tcBorders>
              <w:left w:val="nil"/>
              <w:bottom w:val="single" w:color="000000" w:sz="12" w:space="0"/>
            </w:tcBorders>
            <w:vAlign w:val="top"/>
          </w:tcPr>
          <w:p>
            <w:pPr>
              <w:pStyle w:val="6"/>
              <w:spacing w:before="109" w:line="188" w:lineRule="auto"/>
              <w:ind w:left="1051"/>
            </w:pPr>
            <w:r>
              <w:rPr>
                <w:spacing w:val="-3"/>
              </w:rPr>
              <w:t>3#</w:t>
            </w:r>
          </w:p>
        </w:tc>
        <w:tc>
          <w:tcPr>
            <w:tcW w:w="2536" w:type="dxa"/>
            <w:tcBorders>
              <w:bottom w:val="single" w:color="000000" w:sz="12" w:space="0"/>
            </w:tcBorders>
            <w:vAlign w:val="top"/>
          </w:tcPr>
          <w:p>
            <w:pPr>
              <w:pStyle w:val="6"/>
              <w:spacing w:before="72" w:line="220" w:lineRule="auto"/>
              <w:ind w:left="741"/>
              <w:rPr>
                <w:rFonts w:ascii="宋体" w:hAnsi="宋体" w:eastAsia="宋体" w:cs="宋体"/>
              </w:rPr>
            </w:pPr>
            <w:r>
              <w:rPr>
                <w:spacing w:val="-1"/>
              </w:rPr>
              <w:t>2#</w:t>
            </w:r>
            <w:r>
              <w:rPr>
                <w:rFonts w:ascii="宋体" w:hAnsi="宋体" w:eastAsia="宋体" w:cs="宋体"/>
                <w:spacing w:val="-1"/>
              </w:rPr>
              <w:t>隧洞钻井</w:t>
            </w:r>
          </w:p>
        </w:tc>
        <w:tc>
          <w:tcPr>
            <w:tcW w:w="3503" w:type="dxa"/>
            <w:tcBorders>
              <w:bottom w:val="single" w:color="000000" w:sz="12" w:space="0"/>
              <w:right w:val="nil"/>
            </w:tcBorders>
            <w:vAlign w:val="top"/>
          </w:tcPr>
          <w:p>
            <w:pPr>
              <w:pStyle w:val="6"/>
              <w:spacing w:before="72" w:line="220" w:lineRule="auto"/>
              <w:ind w:left="782"/>
              <w:rPr>
                <w:rFonts w:ascii="宋体" w:hAnsi="宋体" w:eastAsia="宋体" w:cs="宋体"/>
              </w:rPr>
            </w:pPr>
            <w:r>
              <w:rPr>
                <w:rFonts w:ascii="宋体" w:hAnsi="宋体" w:eastAsia="宋体" w:cs="宋体"/>
                <w:spacing w:val="-1"/>
              </w:rPr>
              <w:t>库区东南侧</w:t>
            </w:r>
            <w:r>
              <w:rPr>
                <w:rFonts w:ascii="宋体" w:hAnsi="宋体" w:eastAsia="宋体" w:cs="宋体"/>
                <w:spacing w:val="-38"/>
              </w:rPr>
              <w:t xml:space="preserve"> </w:t>
            </w:r>
            <w:r>
              <w:rPr>
                <w:spacing w:val="-1"/>
              </w:rPr>
              <w:t xml:space="preserve">2000m </w:t>
            </w:r>
            <w:r>
              <w:rPr>
                <w:rFonts w:ascii="宋体" w:hAnsi="宋体" w:eastAsia="宋体" w:cs="宋体"/>
                <w:spacing w:val="-1"/>
              </w:rPr>
              <w:t>处</w:t>
            </w:r>
          </w:p>
        </w:tc>
      </w:tr>
    </w:tbl>
    <w:p>
      <w:pPr>
        <w:spacing w:before="114" w:line="220" w:lineRule="auto"/>
        <w:ind w:left="60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）监测因子</w:t>
      </w:r>
    </w:p>
    <w:p>
      <w:pPr>
        <w:spacing w:before="182" w:line="360" w:lineRule="auto"/>
        <w:ind w:left="117" w:right="143" w:firstLine="480"/>
        <w:rPr>
          <w:rFonts w:ascii="宋体" w:hAnsi="宋体" w:eastAsia="宋体" w:cs="宋体"/>
          <w:sz w:val="24"/>
          <w:szCs w:val="24"/>
        </w:rPr>
      </w:pPr>
      <w:r>
        <w:rPr>
          <w:rFonts w:ascii="宋体" w:hAnsi="宋体" w:eastAsia="宋体" w:cs="宋体"/>
          <w:spacing w:val="-6"/>
          <w:sz w:val="24"/>
          <w:szCs w:val="24"/>
        </w:rPr>
        <w:t>本次评价监测因子为</w:t>
      </w:r>
      <w:r>
        <w:rPr>
          <w:rFonts w:ascii="宋体" w:hAnsi="宋体" w:eastAsia="宋体" w:cs="宋体"/>
          <w:spacing w:val="-53"/>
          <w:sz w:val="24"/>
          <w:szCs w:val="24"/>
        </w:rPr>
        <w:t xml:space="preserve"> </w:t>
      </w:r>
      <w:r>
        <w:rPr>
          <w:rFonts w:ascii="Times New Roman" w:hAnsi="Times New Roman" w:eastAsia="Times New Roman" w:cs="Times New Roman"/>
          <w:spacing w:val="-6"/>
          <w:sz w:val="24"/>
          <w:szCs w:val="24"/>
        </w:rPr>
        <w:t>K</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spacing w:val="-6"/>
          <w:sz w:val="24"/>
          <w:szCs w:val="24"/>
        </w:rPr>
        <w:t>+Na</w:t>
      </w:r>
      <w:r>
        <w:rPr>
          <w:rFonts w:ascii="Times New Roman" w:hAnsi="Times New Roman" w:eastAsia="Times New Roman" w:cs="Times New Roman"/>
          <w:spacing w:val="-6"/>
          <w:position w:val="8"/>
          <w:sz w:val="15"/>
          <w:szCs w:val="15"/>
        </w:rPr>
        <w:t>+</w:t>
      </w:r>
      <w:r>
        <w:rPr>
          <w:rFonts w:ascii="宋体" w:hAnsi="宋体" w:eastAsia="宋体" w:cs="宋体"/>
          <w:spacing w:val="-6"/>
          <w:sz w:val="24"/>
          <w:szCs w:val="24"/>
        </w:rPr>
        <w:t>、</w:t>
      </w:r>
      <w:r>
        <w:rPr>
          <w:rFonts w:ascii="Times New Roman" w:hAnsi="Times New Roman" w:eastAsia="Times New Roman" w:cs="Times New Roman"/>
          <w:spacing w:val="-6"/>
          <w:sz w:val="24"/>
          <w:szCs w:val="24"/>
        </w:rPr>
        <w:t>Ca</w:t>
      </w:r>
      <w:r>
        <w:rPr>
          <w:rFonts w:ascii="Times New Roman" w:hAnsi="Times New Roman" w:eastAsia="Times New Roman" w:cs="Times New Roman"/>
          <w:spacing w:val="-6"/>
          <w:position w:val="8"/>
          <w:sz w:val="15"/>
          <w:szCs w:val="15"/>
        </w:rPr>
        <w:t>2+</w:t>
      </w:r>
      <w:r>
        <w:rPr>
          <w:rFonts w:ascii="宋体" w:hAnsi="宋体" w:eastAsia="宋体" w:cs="宋体"/>
          <w:spacing w:val="-6"/>
          <w:sz w:val="24"/>
          <w:szCs w:val="24"/>
        </w:rPr>
        <w:t>、</w:t>
      </w:r>
      <w:r>
        <w:rPr>
          <w:rFonts w:ascii="Times New Roman" w:hAnsi="Times New Roman" w:eastAsia="Times New Roman" w:cs="Times New Roman"/>
          <w:spacing w:val="-7"/>
          <w:sz w:val="24"/>
          <w:szCs w:val="24"/>
        </w:rPr>
        <w:t>Mg</w:t>
      </w:r>
      <w:r>
        <w:rPr>
          <w:rFonts w:ascii="Times New Roman" w:hAnsi="Times New Roman" w:eastAsia="Times New Roman" w:cs="Times New Roman"/>
          <w:spacing w:val="-7"/>
          <w:position w:val="8"/>
          <w:sz w:val="15"/>
          <w:szCs w:val="15"/>
        </w:rPr>
        <w:t>2+</w:t>
      </w:r>
      <w:r>
        <w:rPr>
          <w:rFonts w:ascii="宋体" w:hAnsi="宋体" w:eastAsia="宋体" w:cs="宋体"/>
          <w:spacing w:val="-7"/>
          <w:sz w:val="24"/>
          <w:szCs w:val="24"/>
        </w:rPr>
        <w:t>、</w:t>
      </w:r>
      <w:r>
        <w:rPr>
          <w:rFonts w:ascii="Times New Roman" w:hAnsi="Times New Roman" w:eastAsia="Times New Roman" w:cs="Times New Roman"/>
          <w:spacing w:val="-7"/>
          <w:sz w:val="24"/>
          <w:szCs w:val="24"/>
        </w:rPr>
        <w:t>CO</w:t>
      </w:r>
      <w:r>
        <w:rPr>
          <w:rFonts w:ascii="Times New Roman" w:hAnsi="Times New Roman" w:eastAsia="Times New Roman" w:cs="Times New Roman"/>
          <w:spacing w:val="-7"/>
          <w:position w:val="-1"/>
          <w:sz w:val="15"/>
          <w:szCs w:val="15"/>
        </w:rPr>
        <w:t>3</w:t>
      </w:r>
      <w:r>
        <w:rPr>
          <w:rFonts w:ascii="Times New Roman" w:hAnsi="Times New Roman" w:eastAsia="Times New Roman" w:cs="Times New Roman"/>
          <w:spacing w:val="-7"/>
          <w:position w:val="8"/>
          <w:sz w:val="15"/>
          <w:szCs w:val="15"/>
        </w:rPr>
        <w:t>2+</w:t>
      </w:r>
      <w:r>
        <w:rPr>
          <w:rFonts w:ascii="宋体" w:hAnsi="宋体" w:eastAsia="宋体" w:cs="宋体"/>
          <w:spacing w:val="-7"/>
          <w:sz w:val="24"/>
          <w:szCs w:val="24"/>
        </w:rPr>
        <w:t>、</w:t>
      </w:r>
      <w:r>
        <w:rPr>
          <w:rFonts w:ascii="Times New Roman" w:hAnsi="Times New Roman" w:eastAsia="Times New Roman" w:cs="Times New Roman"/>
          <w:spacing w:val="-7"/>
          <w:sz w:val="24"/>
          <w:szCs w:val="24"/>
        </w:rPr>
        <w:t>HCO</w:t>
      </w:r>
      <w:r>
        <w:rPr>
          <w:rFonts w:ascii="Times New Roman" w:hAnsi="Times New Roman" w:eastAsia="Times New Roman" w:cs="Times New Roman"/>
          <w:spacing w:val="-7"/>
          <w:position w:val="-1"/>
          <w:sz w:val="15"/>
          <w:szCs w:val="15"/>
        </w:rPr>
        <w:t>3</w:t>
      </w:r>
      <w:r>
        <w:rPr>
          <w:rFonts w:ascii="Times New Roman" w:hAnsi="Times New Roman" w:eastAsia="Times New Roman" w:cs="Times New Roman"/>
          <w:spacing w:val="-7"/>
          <w:position w:val="8"/>
          <w:sz w:val="15"/>
          <w:szCs w:val="15"/>
        </w:rPr>
        <w:t>-</w:t>
      </w:r>
      <w:r>
        <w:rPr>
          <w:rFonts w:ascii="宋体" w:hAnsi="宋体" w:eastAsia="宋体" w:cs="宋体"/>
          <w:spacing w:val="-7"/>
          <w:sz w:val="24"/>
          <w:szCs w:val="24"/>
        </w:rPr>
        <w:t>、</w:t>
      </w:r>
      <w:r>
        <w:rPr>
          <w:rFonts w:ascii="Times New Roman" w:hAnsi="Times New Roman" w:eastAsia="Times New Roman" w:cs="Times New Roman"/>
          <w:spacing w:val="-7"/>
          <w:sz w:val="24"/>
          <w:szCs w:val="24"/>
        </w:rPr>
        <w:t>Cl</w:t>
      </w:r>
      <w:r>
        <w:rPr>
          <w:rFonts w:ascii="Times New Roman" w:hAnsi="Times New Roman" w:eastAsia="Times New Roman" w:cs="Times New Roman"/>
          <w:spacing w:val="-7"/>
          <w:position w:val="8"/>
          <w:sz w:val="15"/>
          <w:szCs w:val="15"/>
        </w:rPr>
        <w:t>-</w:t>
      </w:r>
      <w:r>
        <w:rPr>
          <w:rFonts w:ascii="宋体" w:hAnsi="宋体" w:eastAsia="宋体" w:cs="宋体"/>
          <w:spacing w:val="-7"/>
          <w:sz w:val="24"/>
          <w:szCs w:val="24"/>
        </w:rPr>
        <w:t>、</w:t>
      </w:r>
      <w:r>
        <w:rPr>
          <w:rFonts w:ascii="Times New Roman" w:hAnsi="Times New Roman" w:eastAsia="Times New Roman" w:cs="Times New Roman"/>
          <w:spacing w:val="-7"/>
          <w:sz w:val="24"/>
          <w:szCs w:val="24"/>
        </w:rPr>
        <w:t>SO</w:t>
      </w:r>
      <w:r>
        <w:rPr>
          <w:rFonts w:ascii="Times New Roman" w:hAnsi="Times New Roman" w:eastAsia="Times New Roman" w:cs="Times New Roman"/>
          <w:spacing w:val="-7"/>
          <w:position w:val="-1"/>
          <w:sz w:val="15"/>
          <w:szCs w:val="15"/>
        </w:rPr>
        <w:t>4</w:t>
      </w:r>
      <w:r>
        <w:rPr>
          <w:rFonts w:ascii="Times New Roman" w:hAnsi="Times New Roman" w:eastAsia="Times New Roman" w:cs="Times New Roman"/>
          <w:spacing w:val="-7"/>
          <w:position w:val="8"/>
          <w:sz w:val="15"/>
          <w:szCs w:val="15"/>
        </w:rPr>
        <w:t xml:space="preserve">2-   </w:t>
      </w:r>
      <w:r>
        <w:rPr>
          <w:rFonts w:ascii="宋体" w:hAnsi="宋体" w:eastAsia="宋体" w:cs="宋体"/>
          <w:spacing w:val="-26"/>
          <w:sz w:val="24"/>
          <w:szCs w:val="24"/>
        </w:rPr>
        <w:t>；</w:t>
      </w:r>
      <w:r>
        <w:rPr>
          <w:rFonts w:ascii="Times New Roman" w:hAnsi="Times New Roman" w:eastAsia="Times New Roman" w:cs="Times New Roman"/>
          <w:spacing w:val="-26"/>
          <w:sz w:val="24"/>
          <w:szCs w:val="24"/>
        </w:rPr>
        <w:t>pH</w:t>
      </w:r>
      <w:r>
        <w:rPr>
          <w:rFonts w:ascii="宋体" w:hAnsi="宋体" w:eastAsia="宋体" w:cs="宋体"/>
          <w:spacing w:val="-26"/>
          <w:sz w:val="24"/>
          <w:szCs w:val="24"/>
        </w:rPr>
        <w:t>、</w:t>
      </w:r>
      <w:r>
        <w:rPr>
          <w:rFonts w:ascii="宋体" w:hAnsi="宋体" w:eastAsia="宋体" w:cs="宋体"/>
          <w:sz w:val="24"/>
          <w:szCs w:val="24"/>
        </w:rPr>
        <w:t xml:space="preserve"> </w:t>
      </w:r>
      <w:r>
        <w:rPr>
          <w:rFonts w:ascii="宋体" w:hAnsi="宋体" w:eastAsia="宋体" w:cs="宋体"/>
          <w:spacing w:val="-12"/>
          <w:sz w:val="24"/>
          <w:szCs w:val="24"/>
        </w:rPr>
        <w:t>氨氮、硝酸盐、亚硝酸盐、挥发性酚、氰化物、砷</w:t>
      </w:r>
      <w:r>
        <w:rPr>
          <w:rFonts w:ascii="宋体" w:hAnsi="宋体" w:eastAsia="宋体" w:cs="宋体"/>
          <w:spacing w:val="-13"/>
          <w:sz w:val="24"/>
          <w:szCs w:val="24"/>
        </w:rPr>
        <w:t>、汞、铬</w:t>
      </w:r>
      <w:r>
        <w:rPr>
          <w:rFonts w:ascii="Times New Roman" w:hAnsi="Times New Roman" w:eastAsia="Times New Roman" w:cs="Times New Roman"/>
          <w:spacing w:val="-13"/>
          <w:sz w:val="24"/>
          <w:szCs w:val="24"/>
        </w:rPr>
        <w:t>(</w:t>
      </w:r>
      <w:r>
        <w:rPr>
          <w:rFonts w:ascii="宋体" w:hAnsi="宋体" w:eastAsia="宋体" w:cs="宋体"/>
          <w:spacing w:val="-13"/>
          <w:sz w:val="24"/>
          <w:szCs w:val="24"/>
        </w:rPr>
        <w:t>六价）、总硬度、铅、</w:t>
      </w:r>
      <w:r>
        <w:rPr>
          <w:rFonts w:ascii="宋体" w:hAnsi="宋体" w:eastAsia="宋体" w:cs="宋体"/>
          <w:sz w:val="24"/>
          <w:szCs w:val="24"/>
        </w:rPr>
        <w:t xml:space="preserve"> </w:t>
      </w:r>
      <w:r>
        <w:rPr>
          <w:rFonts w:ascii="宋体" w:hAnsi="宋体" w:eastAsia="宋体" w:cs="宋体"/>
          <w:spacing w:val="-11"/>
          <w:sz w:val="24"/>
          <w:szCs w:val="24"/>
        </w:rPr>
        <w:t>氟、镉、铁、锰、溶解性总固体、高锰酸盐指数、硫酸盐、氯化物、总大肠菌群、</w:t>
      </w:r>
    </w:p>
    <w:p>
      <w:pPr>
        <w:spacing w:before="1" w:line="219" w:lineRule="auto"/>
        <w:ind w:left="118"/>
        <w:rPr>
          <w:rFonts w:ascii="宋体" w:hAnsi="宋体" w:eastAsia="宋体" w:cs="宋体"/>
          <w:sz w:val="24"/>
          <w:szCs w:val="24"/>
        </w:rPr>
      </w:pPr>
      <w:r>
        <w:rPr>
          <w:rFonts w:ascii="宋体" w:hAnsi="宋体" w:eastAsia="宋体" w:cs="宋体"/>
          <w:spacing w:val="-3"/>
          <w:sz w:val="24"/>
          <w:szCs w:val="24"/>
        </w:rPr>
        <w:t>细菌总数，同步测量水位、流量、流速。</w:t>
      </w:r>
    </w:p>
    <w:p>
      <w:pPr>
        <w:spacing w:before="182" w:line="220" w:lineRule="auto"/>
        <w:ind w:left="60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）监测频次</w:t>
      </w:r>
    </w:p>
    <w:p>
      <w:pPr>
        <w:spacing w:before="182" w:line="219" w:lineRule="auto"/>
        <w:ind w:left="598"/>
        <w:rPr>
          <w:rFonts w:ascii="宋体" w:hAnsi="宋体" w:eastAsia="宋体" w:cs="宋体"/>
          <w:sz w:val="24"/>
          <w:szCs w:val="24"/>
        </w:rPr>
      </w:pPr>
      <w:r>
        <w:rPr>
          <w:rFonts w:ascii="宋体" w:hAnsi="宋体" w:eastAsia="宋体" w:cs="宋体"/>
          <w:spacing w:val="-4"/>
          <w:sz w:val="24"/>
          <w:szCs w:val="24"/>
        </w:rPr>
        <w:t>连续监测</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天，每天采样一次。</w:t>
      </w:r>
    </w:p>
    <w:p>
      <w:pPr>
        <w:spacing w:before="183" w:line="220" w:lineRule="auto"/>
        <w:ind w:left="60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）执行标准</w:t>
      </w:r>
    </w:p>
    <w:p>
      <w:pPr>
        <w:spacing w:before="182" w:line="220" w:lineRule="auto"/>
        <w:ind w:left="598"/>
        <w:rPr>
          <w:rFonts w:ascii="宋体" w:hAnsi="宋体" w:eastAsia="宋体" w:cs="宋体"/>
          <w:sz w:val="24"/>
          <w:szCs w:val="24"/>
        </w:rPr>
      </w:pPr>
      <w:r>
        <w:rPr>
          <w:rFonts w:ascii="宋体" w:hAnsi="宋体" w:eastAsia="宋体" w:cs="宋体"/>
          <w:spacing w:val="-5"/>
          <w:sz w:val="24"/>
          <w:szCs w:val="24"/>
        </w:rPr>
        <w:t>《地下水质量标准》（</w:t>
      </w:r>
      <w:r>
        <w:rPr>
          <w:rFonts w:ascii="Times New Roman" w:hAnsi="Times New Roman" w:eastAsia="Times New Roman" w:cs="Times New Roman"/>
          <w:spacing w:val="-5"/>
          <w:sz w:val="24"/>
          <w:szCs w:val="24"/>
        </w:rPr>
        <w:t>GB/T14848-2017</w:t>
      </w:r>
      <w:r>
        <w:rPr>
          <w:rFonts w:ascii="宋体" w:hAnsi="宋体" w:eastAsia="宋体" w:cs="宋体"/>
          <w:spacing w:val="-5"/>
          <w:sz w:val="24"/>
          <w:szCs w:val="24"/>
        </w:rPr>
        <w:t>）Ⅲ类标准</w:t>
      </w:r>
    </w:p>
    <w:p>
      <w:pPr>
        <w:spacing w:before="183" w:line="220" w:lineRule="auto"/>
        <w:ind w:left="603"/>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5</w:t>
      </w:r>
      <w:r>
        <w:rPr>
          <w:rFonts w:ascii="宋体" w:hAnsi="宋体" w:eastAsia="宋体" w:cs="宋体"/>
          <w:spacing w:val="-4"/>
          <w:sz w:val="24"/>
          <w:szCs w:val="24"/>
        </w:rPr>
        <w:t>）监测结果</w:t>
      </w:r>
    </w:p>
    <w:p>
      <w:pPr>
        <w:spacing w:before="181" w:line="220" w:lineRule="auto"/>
        <w:ind w:left="598"/>
        <w:rPr>
          <w:rFonts w:ascii="宋体" w:hAnsi="宋体" w:eastAsia="宋体" w:cs="宋体"/>
          <w:sz w:val="24"/>
          <w:szCs w:val="24"/>
        </w:rPr>
      </w:pPr>
      <w:r>
        <w:rPr>
          <w:rFonts w:ascii="宋体" w:hAnsi="宋体" w:eastAsia="宋体" w:cs="宋体"/>
          <w:spacing w:val="-2"/>
          <w:sz w:val="24"/>
          <w:szCs w:val="24"/>
        </w:rPr>
        <w:t>监测结果见表</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3.2-9</w:t>
      </w:r>
      <w:r>
        <w:rPr>
          <w:rFonts w:ascii="宋体" w:hAnsi="宋体" w:eastAsia="宋体" w:cs="宋体"/>
          <w:spacing w:val="-2"/>
          <w:sz w:val="24"/>
          <w:szCs w:val="24"/>
        </w:rPr>
        <w:t>。</w:t>
      </w:r>
    </w:p>
    <w:p>
      <w:pPr>
        <w:spacing w:line="220" w:lineRule="auto"/>
        <w:rPr>
          <w:rFonts w:ascii="宋体" w:hAnsi="宋体" w:eastAsia="宋体" w:cs="宋体"/>
          <w:sz w:val="24"/>
          <w:szCs w:val="24"/>
        </w:rPr>
        <w:sectPr>
          <w:footerReference r:id="rId197" w:type="default"/>
          <w:pgSz w:w="11907" w:h="16839"/>
          <w:pgMar w:top="1156" w:right="1690" w:bottom="1374" w:left="1692" w:header="881" w:footer="1210" w:gutter="0"/>
        </w:sect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2"/>
        <w:spacing w:before="68" w:line="212" w:lineRule="auto"/>
        <w:ind w:left="4210"/>
      </w:pPr>
      <w:r>
        <w:rPr>
          <w:spacing w:val="-3"/>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spacing w:val="-3"/>
        </w:rPr>
        <w:t xml:space="preserve">3.2-9    </w:t>
      </w:r>
      <w:r>
        <w:rPr>
          <w:spacing w:val="-3"/>
          <w14:textOutline w14:w="3810" w14:cap="flat" w14:cmpd="sng">
            <w14:solidFill>
              <w14:srgbClr w14:val="000000"/>
            </w14:solidFill>
            <w14:prstDash w14:val="solid"/>
            <w14:miter w14:val="0"/>
          </w14:textOutline>
        </w:rPr>
        <w:t>地下水环境现状监测结果</w:t>
      </w:r>
      <w:r>
        <w:rPr>
          <w:spacing w:val="-3"/>
        </w:rPr>
        <w:t xml:space="preserve">   </w:t>
      </w:r>
      <w:r>
        <w:rPr>
          <w:spacing w:val="-3"/>
          <w14:textOutline w14:w="3810" w14:cap="flat" w14:cmpd="sng">
            <w14:solidFill>
              <w14:srgbClr w14:val="000000"/>
            </w14:solidFill>
            <w14:prstDash w14:val="solid"/>
            <w14:miter w14:val="0"/>
          </w14:textOutline>
        </w:rPr>
        <w:t>单位：</w:t>
      </w:r>
      <w:r>
        <w:rPr>
          <w:spacing w:val="-3"/>
        </w:rPr>
        <w:t xml:space="preserve"> </w:t>
      </w:r>
      <w:r>
        <w:rPr>
          <w:rFonts w:ascii="Times New Roman" w:hAnsi="Times New Roman" w:eastAsia="Times New Roman" w:cs="Times New Roman"/>
          <w:b/>
          <w:bCs/>
          <w:spacing w:val="-3"/>
        </w:rPr>
        <w:t>mg/L</w:t>
      </w:r>
      <w:r>
        <w:rPr>
          <w:spacing w:val="-3"/>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3"/>
        </w:rPr>
        <w:t>pH</w:t>
      </w:r>
      <w:r>
        <w:rPr>
          <w:rFonts w:ascii="Times New Roman" w:hAnsi="Times New Roman" w:eastAsia="Times New Roman" w:cs="Times New Roman"/>
          <w:b/>
          <w:bCs/>
          <w:spacing w:val="13"/>
        </w:rPr>
        <w:t xml:space="preserve"> </w:t>
      </w:r>
      <w:r>
        <w:rPr>
          <w:spacing w:val="-3"/>
          <w14:textOutline w14:w="3810" w14:cap="flat" w14:cmpd="sng">
            <w14:solidFill>
              <w14:srgbClr w14:val="000000"/>
            </w14:solidFill>
            <w14:prstDash w14:val="solid"/>
            <w14:miter w14:val="0"/>
          </w14:textOutline>
        </w:rPr>
        <w:t>无量</w:t>
      </w:r>
      <w:r>
        <w:rPr>
          <w:spacing w:val="-4"/>
          <w14:textOutline w14:w="3810" w14:cap="flat" w14:cmpd="sng">
            <w14:solidFill>
              <w14:srgbClr w14:val="000000"/>
            </w14:solidFill>
            <w14:prstDash w14:val="solid"/>
            <w14:miter w14:val="0"/>
          </w14:textOutline>
        </w:rPr>
        <w:t>纲）</w:t>
      </w:r>
    </w:p>
    <w:p>
      <w:pPr>
        <w:spacing w:line="26" w:lineRule="exact"/>
      </w:pPr>
    </w:p>
    <w:tbl>
      <w:tblPr>
        <w:tblStyle w:val="5"/>
        <w:tblW w:w="13974"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3"/>
        <w:gridCol w:w="661"/>
        <w:gridCol w:w="802"/>
        <w:gridCol w:w="802"/>
        <w:gridCol w:w="803"/>
        <w:gridCol w:w="1100"/>
        <w:gridCol w:w="509"/>
        <w:gridCol w:w="803"/>
        <w:gridCol w:w="802"/>
        <w:gridCol w:w="802"/>
        <w:gridCol w:w="955"/>
        <w:gridCol w:w="509"/>
        <w:gridCol w:w="803"/>
        <w:gridCol w:w="801"/>
        <w:gridCol w:w="802"/>
        <w:gridCol w:w="955"/>
        <w:gridCol w:w="3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18" w:hRule="atLeast"/>
        </w:trPr>
        <w:tc>
          <w:tcPr>
            <w:tcW w:w="1703" w:type="dxa"/>
            <w:vMerge w:val="restart"/>
            <w:tcBorders>
              <w:top w:val="single" w:color="000000" w:sz="12" w:space="0"/>
              <w:left w:val="nil"/>
              <w:bottom w:val="nil"/>
            </w:tcBorders>
            <w:vAlign w:val="top"/>
          </w:tcPr>
          <w:p>
            <w:pPr>
              <w:spacing w:line="324" w:lineRule="auto"/>
              <w:rPr>
                <w:rFonts w:ascii="Arial"/>
                <w:sz w:val="21"/>
              </w:rPr>
            </w:pPr>
          </w:p>
          <w:p>
            <w:pPr>
              <w:spacing w:before="58" w:line="220" w:lineRule="auto"/>
              <w:ind w:left="690"/>
              <w:rPr>
                <w:rFonts w:ascii="仿宋" w:hAnsi="仿宋" w:eastAsia="仿宋" w:cs="仿宋"/>
                <w:sz w:val="18"/>
                <w:szCs w:val="18"/>
              </w:rPr>
            </w:pPr>
            <w:r>
              <w:rPr>
                <w:rFonts w:ascii="仿宋" w:hAnsi="仿宋" w:eastAsia="仿宋" w:cs="仿宋"/>
                <w:spacing w:val="-4"/>
                <w:sz w:val="18"/>
                <w:szCs w:val="18"/>
              </w:rPr>
              <w:t>项目</w:t>
            </w:r>
          </w:p>
        </w:tc>
        <w:tc>
          <w:tcPr>
            <w:tcW w:w="661" w:type="dxa"/>
            <w:vMerge w:val="restart"/>
            <w:tcBorders>
              <w:top w:val="single" w:color="000000" w:sz="12" w:space="0"/>
              <w:bottom w:val="nil"/>
            </w:tcBorders>
            <w:vAlign w:val="top"/>
          </w:tcPr>
          <w:p>
            <w:pPr>
              <w:spacing w:before="229" w:line="312" w:lineRule="exact"/>
              <w:ind w:left="156"/>
              <w:rPr>
                <w:rFonts w:ascii="仿宋" w:hAnsi="仿宋" w:eastAsia="仿宋" w:cs="仿宋"/>
                <w:sz w:val="18"/>
                <w:szCs w:val="18"/>
              </w:rPr>
            </w:pPr>
            <w:r>
              <w:rPr>
                <w:rFonts w:ascii="仿宋" w:hAnsi="仿宋" w:eastAsia="仿宋" w:cs="仿宋"/>
                <w:spacing w:val="-3"/>
                <w:position w:val="10"/>
                <w:sz w:val="18"/>
                <w:szCs w:val="18"/>
              </w:rPr>
              <w:t>标准</w:t>
            </w:r>
          </w:p>
          <w:p>
            <w:pPr>
              <w:spacing w:line="218" w:lineRule="auto"/>
              <w:ind w:left="246"/>
              <w:rPr>
                <w:rFonts w:ascii="仿宋" w:hAnsi="仿宋" w:eastAsia="仿宋" w:cs="仿宋"/>
                <w:sz w:val="18"/>
                <w:szCs w:val="18"/>
              </w:rPr>
            </w:pPr>
            <w:r>
              <w:rPr>
                <w:rFonts w:ascii="仿宋" w:hAnsi="仿宋" w:eastAsia="仿宋" w:cs="仿宋"/>
                <w:sz w:val="18"/>
                <w:szCs w:val="18"/>
              </w:rPr>
              <w:t>值</w:t>
            </w:r>
          </w:p>
        </w:tc>
        <w:tc>
          <w:tcPr>
            <w:tcW w:w="4016" w:type="dxa"/>
            <w:gridSpan w:val="5"/>
            <w:tcBorders>
              <w:top w:val="single" w:color="000000" w:sz="12" w:space="0"/>
            </w:tcBorders>
            <w:vAlign w:val="top"/>
          </w:tcPr>
          <w:p>
            <w:pPr>
              <w:spacing w:before="66" w:line="218" w:lineRule="auto"/>
              <w:ind w:left="1474"/>
              <w:rPr>
                <w:rFonts w:ascii="仿宋" w:hAnsi="仿宋" w:eastAsia="仿宋" w:cs="仿宋"/>
                <w:sz w:val="18"/>
                <w:szCs w:val="18"/>
              </w:rPr>
            </w:pPr>
            <w:r>
              <w:rPr>
                <w:rFonts w:ascii="仿宋" w:hAnsi="仿宋" w:eastAsia="仿宋" w:cs="仿宋"/>
                <w:spacing w:val="-2"/>
                <w:sz w:val="18"/>
                <w:szCs w:val="18"/>
              </w:rPr>
              <w:t>水库上游泉点</w:t>
            </w:r>
          </w:p>
        </w:tc>
        <w:tc>
          <w:tcPr>
            <w:tcW w:w="3871" w:type="dxa"/>
            <w:gridSpan w:val="5"/>
            <w:tcBorders>
              <w:top w:val="single" w:color="000000" w:sz="12" w:space="0"/>
            </w:tcBorders>
            <w:vAlign w:val="top"/>
          </w:tcPr>
          <w:p>
            <w:pPr>
              <w:spacing w:before="66" w:line="218" w:lineRule="auto"/>
              <w:ind w:left="1400"/>
              <w:rPr>
                <w:rFonts w:ascii="仿宋" w:hAnsi="仿宋" w:eastAsia="仿宋" w:cs="仿宋"/>
                <w:sz w:val="18"/>
                <w:szCs w:val="18"/>
              </w:rPr>
            </w:pPr>
            <w:r>
              <w:rPr>
                <w:rFonts w:ascii="仿宋" w:hAnsi="仿宋" w:eastAsia="仿宋" w:cs="仿宋"/>
                <w:spacing w:val="-2"/>
                <w:sz w:val="18"/>
                <w:szCs w:val="18"/>
              </w:rPr>
              <w:t>水库下游泉点</w:t>
            </w:r>
          </w:p>
        </w:tc>
        <w:tc>
          <w:tcPr>
            <w:tcW w:w="3723" w:type="dxa"/>
            <w:gridSpan w:val="5"/>
            <w:tcBorders>
              <w:top w:val="single" w:color="000000" w:sz="12" w:space="0"/>
              <w:right w:val="nil"/>
            </w:tcBorders>
            <w:vAlign w:val="top"/>
          </w:tcPr>
          <w:p>
            <w:pPr>
              <w:pStyle w:val="6"/>
              <w:spacing w:before="66" w:line="217" w:lineRule="auto"/>
              <w:ind w:left="1408"/>
              <w:rPr>
                <w:rFonts w:ascii="仿宋" w:hAnsi="仿宋" w:eastAsia="仿宋" w:cs="仿宋"/>
                <w:sz w:val="18"/>
                <w:szCs w:val="18"/>
              </w:rPr>
            </w:pPr>
            <w:r>
              <w:rPr>
                <w:spacing w:val="-1"/>
                <w:sz w:val="18"/>
                <w:szCs w:val="18"/>
              </w:rPr>
              <w:t>2#</w:t>
            </w:r>
            <w:r>
              <w:rPr>
                <w:rFonts w:ascii="仿宋" w:hAnsi="仿宋" w:eastAsia="仿宋" w:cs="仿宋"/>
                <w:spacing w:val="-1"/>
                <w:sz w:val="18"/>
                <w:szCs w:val="18"/>
              </w:rPr>
              <w:t>隧洞钻井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626" w:hRule="atLeast"/>
        </w:trPr>
        <w:tc>
          <w:tcPr>
            <w:tcW w:w="1703" w:type="dxa"/>
            <w:vMerge w:val="continue"/>
            <w:tcBorders>
              <w:top w:val="nil"/>
              <w:left w:val="nil"/>
            </w:tcBorders>
            <w:vAlign w:val="top"/>
          </w:tcPr>
          <w:p>
            <w:pPr>
              <w:rPr>
                <w:rFonts w:ascii="Arial"/>
                <w:sz w:val="21"/>
              </w:rPr>
            </w:pPr>
          </w:p>
        </w:tc>
        <w:tc>
          <w:tcPr>
            <w:tcW w:w="661" w:type="dxa"/>
            <w:vMerge w:val="continue"/>
            <w:tcBorders>
              <w:top w:val="nil"/>
            </w:tcBorders>
            <w:vAlign w:val="top"/>
          </w:tcPr>
          <w:p>
            <w:pPr>
              <w:rPr>
                <w:rFonts w:ascii="Arial"/>
                <w:sz w:val="21"/>
              </w:rPr>
            </w:pPr>
          </w:p>
        </w:tc>
        <w:tc>
          <w:tcPr>
            <w:tcW w:w="802" w:type="dxa"/>
            <w:vAlign w:val="top"/>
          </w:tcPr>
          <w:p>
            <w:pPr>
              <w:pStyle w:val="6"/>
              <w:spacing w:before="95" w:line="312" w:lineRule="exact"/>
              <w:ind w:left="129"/>
              <w:rPr>
                <w:sz w:val="18"/>
                <w:szCs w:val="18"/>
              </w:rPr>
            </w:pPr>
            <w:r>
              <w:rPr>
                <w:spacing w:val="-1"/>
                <w:position w:val="13"/>
                <w:sz w:val="18"/>
                <w:szCs w:val="18"/>
              </w:rPr>
              <w:t>2023.3.</w:t>
            </w:r>
          </w:p>
          <w:p>
            <w:pPr>
              <w:pStyle w:val="6"/>
              <w:spacing w:line="186" w:lineRule="auto"/>
              <w:ind w:left="309"/>
              <w:rPr>
                <w:sz w:val="18"/>
                <w:szCs w:val="18"/>
              </w:rPr>
            </w:pPr>
            <w:r>
              <w:rPr>
                <w:spacing w:val="-1"/>
                <w:sz w:val="18"/>
                <w:szCs w:val="18"/>
              </w:rPr>
              <w:t>28</w:t>
            </w:r>
          </w:p>
        </w:tc>
        <w:tc>
          <w:tcPr>
            <w:tcW w:w="802" w:type="dxa"/>
            <w:vAlign w:val="top"/>
          </w:tcPr>
          <w:p>
            <w:pPr>
              <w:pStyle w:val="6"/>
              <w:spacing w:before="95" w:line="312" w:lineRule="exact"/>
              <w:ind w:left="129"/>
              <w:rPr>
                <w:sz w:val="18"/>
                <w:szCs w:val="18"/>
              </w:rPr>
            </w:pPr>
            <w:r>
              <w:rPr>
                <w:spacing w:val="-1"/>
                <w:position w:val="13"/>
                <w:sz w:val="18"/>
                <w:szCs w:val="18"/>
              </w:rPr>
              <w:t>2023.3.</w:t>
            </w:r>
          </w:p>
          <w:p>
            <w:pPr>
              <w:pStyle w:val="6"/>
              <w:spacing w:line="186" w:lineRule="auto"/>
              <w:ind w:left="309"/>
              <w:rPr>
                <w:sz w:val="18"/>
                <w:szCs w:val="18"/>
              </w:rPr>
            </w:pPr>
            <w:r>
              <w:rPr>
                <w:spacing w:val="-1"/>
                <w:sz w:val="18"/>
                <w:szCs w:val="18"/>
              </w:rPr>
              <w:t>29</w:t>
            </w:r>
          </w:p>
        </w:tc>
        <w:tc>
          <w:tcPr>
            <w:tcW w:w="803" w:type="dxa"/>
            <w:vAlign w:val="top"/>
          </w:tcPr>
          <w:p>
            <w:pPr>
              <w:pStyle w:val="6"/>
              <w:spacing w:before="93" w:line="312" w:lineRule="exact"/>
              <w:ind w:left="129"/>
              <w:rPr>
                <w:sz w:val="18"/>
                <w:szCs w:val="18"/>
              </w:rPr>
            </w:pPr>
            <w:r>
              <w:rPr>
                <w:spacing w:val="-1"/>
                <w:position w:val="13"/>
                <w:sz w:val="18"/>
                <w:szCs w:val="18"/>
              </w:rPr>
              <w:t>2023.3.</w:t>
            </w:r>
          </w:p>
          <w:p>
            <w:pPr>
              <w:pStyle w:val="6"/>
              <w:spacing w:line="188" w:lineRule="auto"/>
              <w:ind w:left="312"/>
              <w:rPr>
                <w:sz w:val="18"/>
                <w:szCs w:val="18"/>
              </w:rPr>
            </w:pPr>
            <w:r>
              <w:rPr>
                <w:spacing w:val="-2"/>
                <w:sz w:val="18"/>
                <w:szCs w:val="18"/>
              </w:rPr>
              <w:t>30</w:t>
            </w:r>
          </w:p>
        </w:tc>
        <w:tc>
          <w:tcPr>
            <w:tcW w:w="1100" w:type="dxa"/>
            <w:vAlign w:val="top"/>
          </w:tcPr>
          <w:p>
            <w:pPr>
              <w:spacing w:before="220" w:line="218" w:lineRule="auto"/>
              <w:ind w:left="196"/>
              <w:rPr>
                <w:rFonts w:ascii="仿宋" w:hAnsi="仿宋" w:eastAsia="仿宋" w:cs="仿宋"/>
                <w:sz w:val="18"/>
                <w:szCs w:val="18"/>
              </w:rPr>
            </w:pPr>
            <w:r>
              <w:rPr>
                <w:rFonts w:ascii="仿宋" w:hAnsi="仿宋" w:eastAsia="仿宋" w:cs="仿宋"/>
                <w:spacing w:val="-3"/>
                <w:sz w:val="18"/>
                <w:szCs w:val="18"/>
              </w:rPr>
              <w:t>标准指数</w:t>
            </w:r>
          </w:p>
        </w:tc>
        <w:tc>
          <w:tcPr>
            <w:tcW w:w="509" w:type="dxa"/>
            <w:textDirection w:val="tbRlV"/>
            <w:vAlign w:val="top"/>
          </w:tcPr>
          <w:p>
            <w:pPr>
              <w:spacing w:before="159" w:line="201" w:lineRule="auto"/>
              <w:ind w:left="64"/>
              <w:rPr>
                <w:rFonts w:ascii="仿宋" w:hAnsi="仿宋" w:eastAsia="仿宋" w:cs="仿宋"/>
                <w:sz w:val="18"/>
                <w:szCs w:val="18"/>
              </w:rPr>
            </w:pPr>
            <w:r>
              <w:rPr>
                <w:rFonts w:ascii="仿宋" w:hAnsi="仿宋" w:eastAsia="仿宋" w:cs="仿宋"/>
                <w:sz w:val="18"/>
                <w:szCs w:val="18"/>
              </w:rPr>
              <w:t>评</w:t>
            </w:r>
            <w:r>
              <w:rPr>
                <w:rFonts w:ascii="仿宋" w:hAnsi="仿宋" w:eastAsia="仿宋" w:cs="仿宋"/>
                <w:spacing w:val="42"/>
                <w:sz w:val="18"/>
                <w:szCs w:val="18"/>
              </w:rPr>
              <w:t xml:space="preserve"> </w:t>
            </w:r>
            <w:r>
              <w:rPr>
                <w:rFonts w:ascii="仿宋" w:hAnsi="仿宋" w:eastAsia="仿宋" w:cs="仿宋"/>
                <w:sz w:val="18"/>
                <w:szCs w:val="18"/>
              </w:rPr>
              <w:t>价</w:t>
            </w:r>
          </w:p>
        </w:tc>
        <w:tc>
          <w:tcPr>
            <w:tcW w:w="803" w:type="dxa"/>
            <w:vAlign w:val="top"/>
          </w:tcPr>
          <w:p>
            <w:pPr>
              <w:pStyle w:val="6"/>
              <w:spacing w:before="95" w:line="312" w:lineRule="exact"/>
              <w:ind w:left="129"/>
              <w:rPr>
                <w:sz w:val="18"/>
                <w:szCs w:val="18"/>
              </w:rPr>
            </w:pPr>
            <w:r>
              <w:rPr>
                <w:spacing w:val="-1"/>
                <w:position w:val="13"/>
                <w:sz w:val="18"/>
                <w:szCs w:val="18"/>
              </w:rPr>
              <w:t>2023.3.</w:t>
            </w:r>
          </w:p>
          <w:p>
            <w:pPr>
              <w:pStyle w:val="6"/>
              <w:spacing w:line="186" w:lineRule="auto"/>
              <w:ind w:left="309"/>
              <w:rPr>
                <w:sz w:val="18"/>
                <w:szCs w:val="18"/>
              </w:rPr>
            </w:pPr>
            <w:r>
              <w:rPr>
                <w:spacing w:val="-1"/>
                <w:sz w:val="18"/>
                <w:szCs w:val="18"/>
              </w:rPr>
              <w:t>28</w:t>
            </w:r>
          </w:p>
        </w:tc>
        <w:tc>
          <w:tcPr>
            <w:tcW w:w="802" w:type="dxa"/>
            <w:vAlign w:val="top"/>
          </w:tcPr>
          <w:p>
            <w:pPr>
              <w:pStyle w:val="6"/>
              <w:spacing w:before="95" w:line="312" w:lineRule="exact"/>
              <w:ind w:left="129"/>
              <w:rPr>
                <w:sz w:val="18"/>
                <w:szCs w:val="18"/>
              </w:rPr>
            </w:pPr>
            <w:r>
              <w:rPr>
                <w:spacing w:val="-1"/>
                <w:position w:val="13"/>
                <w:sz w:val="18"/>
                <w:szCs w:val="18"/>
              </w:rPr>
              <w:t>2023.3.</w:t>
            </w:r>
          </w:p>
          <w:p>
            <w:pPr>
              <w:pStyle w:val="6"/>
              <w:spacing w:line="186" w:lineRule="auto"/>
              <w:ind w:left="309"/>
              <w:rPr>
                <w:sz w:val="18"/>
                <w:szCs w:val="18"/>
              </w:rPr>
            </w:pPr>
            <w:r>
              <w:rPr>
                <w:spacing w:val="-1"/>
                <w:sz w:val="18"/>
                <w:szCs w:val="18"/>
              </w:rPr>
              <w:t>29</w:t>
            </w:r>
          </w:p>
        </w:tc>
        <w:tc>
          <w:tcPr>
            <w:tcW w:w="802" w:type="dxa"/>
            <w:vAlign w:val="top"/>
          </w:tcPr>
          <w:p>
            <w:pPr>
              <w:pStyle w:val="6"/>
              <w:spacing w:before="93" w:line="312" w:lineRule="exact"/>
              <w:ind w:left="128"/>
              <w:rPr>
                <w:sz w:val="18"/>
                <w:szCs w:val="18"/>
              </w:rPr>
            </w:pPr>
            <w:r>
              <w:rPr>
                <w:spacing w:val="-1"/>
                <w:position w:val="13"/>
                <w:sz w:val="18"/>
                <w:szCs w:val="18"/>
              </w:rPr>
              <w:t>2023.3.</w:t>
            </w:r>
          </w:p>
          <w:p>
            <w:pPr>
              <w:pStyle w:val="6"/>
              <w:spacing w:line="188" w:lineRule="auto"/>
              <w:ind w:left="312"/>
              <w:rPr>
                <w:sz w:val="18"/>
                <w:szCs w:val="18"/>
              </w:rPr>
            </w:pPr>
            <w:r>
              <w:rPr>
                <w:spacing w:val="-2"/>
                <w:sz w:val="18"/>
                <w:szCs w:val="18"/>
              </w:rPr>
              <w:t>30</w:t>
            </w:r>
          </w:p>
        </w:tc>
        <w:tc>
          <w:tcPr>
            <w:tcW w:w="955" w:type="dxa"/>
            <w:vAlign w:val="top"/>
          </w:tcPr>
          <w:p>
            <w:pPr>
              <w:spacing w:before="220" w:line="218" w:lineRule="auto"/>
              <w:ind w:left="122"/>
              <w:rPr>
                <w:rFonts w:ascii="仿宋" w:hAnsi="仿宋" w:eastAsia="仿宋" w:cs="仿宋"/>
                <w:sz w:val="18"/>
                <w:szCs w:val="18"/>
              </w:rPr>
            </w:pPr>
            <w:r>
              <w:rPr>
                <w:rFonts w:ascii="仿宋" w:hAnsi="仿宋" w:eastAsia="仿宋" w:cs="仿宋"/>
                <w:spacing w:val="-3"/>
                <w:sz w:val="18"/>
                <w:szCs w:val="18"/>
              </w:rPr>
              <w:t>标准指数</w:t>
            </w:r>
          </w:p>
        </w:tc>
        <w:tc>
          <w:tcPr>
            <w:tcW w:w="509" w:type="dxa"/>
            <w:textDirection w:val="tbRlV"/>
            <w:vAlign w:val="top"/>
          </w:tcPr>
          <w:p>
            <w:pPr>
              <w:spacing w:before="160" w:line="201" w:lineRule="auto"/>
              <w:ind w:left="64"/>
              <w:rPr>
                <w:rFonts w:ascii="仿宋" w:hAnsi="仿宋" w:eastAsia="仿宋" w:cs="仿宋"/>
                <w:sz w:val="18"/>
                <w:szCs w:val="18"/>
              </w:rPr>
            </w:pPr>
            <w:r>
              <w:rPr>
                <w:rFonts w:ascii="仿宋" w:hAnsi="仿宋" w:eastAsia="仿宋" w:cs="仿宋"/>
                <w:sz w:val="18"/>
                <w:szCs w:val="18"/>
              </w:rPr>
              <w:t>评</w:t>
            </w:r>
            <w:r>
              <w:rPr>
                <w:rFonts w:ascii="仿宋" w:hAnsi="仿宋" w:eastAsia="仿宋" w:cs="仿宋"/>
                <w:spacing w:val="42"/>
                <w:sz w:val="18"/>
                <w:szCs w:val="18"/>
              </w:rPr>
              <w:t xml:space="preserve"> </w:t>
            </w:r>
            <w:r>
              <w:rPr>
                <w:rFonts w:ascii="仿宋" w:hAnsi="仿宋" w:eastAsia="仿宋" w:cs="仿宋"/>
                <w:sz w:val="18"/>
                <w:szCs w:val="18"/>
              </w:rPr>
              <w:t>价</w:t>
            </w:r>
          </w:p>
        </w:tc>
        <w:tc>
          <w:tcPr>
            <w:tcW w:w="803" w:type="dxa"/>
            <w:vAlign w:val="top"/>
          </w:tcPr>
          <w:p>
            <w:pPr>
              <w:pStyle w:val="6"/>
              <w:spacing w:before="95" w:line="312" w:lineRule="exact"/>
              <w:ind w:left="128"/>
              <w:rPr>
                <w:sz w:val="18"/>
                <w:szCs w:val="18"/>
              </w:rPr>
            </w:pPr>
            <w:r>
              <w:rPr>
                <w:spacing w:val="-1"/>
                <w:position w:val="13"/>
                <w:sz w:val="18"/>
                <w:szCs w:val="18"/>
              </w:rPr>
              <w:t>2023.3.</w:t>
            </w:r>
          </w:p>
          <w:p>
            <w:pPr>
              <w:pStyle w:val="6"/>
              <w:spacing w:line="186" w:lineRule="auto"/>
              <w:ind w:left="308"/>
              <w:rPr>
                <w:sz w:val="18"/>
                <w:szCs w:val="18"/>
              </w:rPr>
            </w:pPr>
            <w:r>
              <w:rPr>
                <w:spacing w:val="-1"/>
                <w:sz w:val="18"/>
                <w:szCs w:val="18"/>
              </w:rPr>
              <w:t>28</w:t>
            </w:r>
          </w:p>
        </w:tc>
        <w:tc>
          <w:tcPr>
            <w:tcW w:w="801" w:type="dxa"/>
            <w:vAlign w:val="top"/>
          </w:tcPr>
          <w:p>
            <w:pPr>
              <w:pStyle w:val="6"/>
              <w:spacing w:before="95" w:line="312" w:lineRule="exact"/>
              <w:ind w:left="128"/>
              <w:rPr>
                <w:sz w:val="18"/>
                <w:szCs w:val="18"/>
              </w:rPr>
            </w:pPr>
            <w:r>
              <w:rPr>
                <w:spacing w:val="-1"/>
                <w:position w:val="13"/>
                <w:sz w:val="18"/>
                <w:szCs w:val="18"/>
              </w:rPr>
              <w:t>2023.3.</w:t>
            </w:r>
          </w:p>
          <w:p>
            <w:pPr>
              <w:pStyle w:val="6"/>
              <w:spacing w:line="186" w:lineRule="auto"/>
              <w:ind w:left="308"/>
              <w:rPr>
                <w:sz w:val="18"/>
                <w:szCs w:val="18"/>
              </w:rPr>
            </w:pPr>
            <w:r>
              <w:rPr>
                <w:spacing w:val="-1"/>
                <w:sz w:val="18"/>
                <w:szCs w:val="18"/>
              </w:rPr>
              <w:t>29</w:t>
            </w:r>
          </w:p>
        </w:tc>
        <w:tc>
          <w:tcPr>
            <w:tcW w:w="802" w:type="dxa"/>
            <w:vAlign w:val="top"/>
          </w:tcPr>
          <w:p>
            <w:pPr>
              <w:pStyle w:val="6"/>
              <w:spacing w:before="93" w:line="312" w:lineRule="exact"/>
              <w:ind w:left="128"/>
              <w:rPr>
                <w:sz w:val="18"/>
                <w:szCs w:val="18"/>
              </w:rPr>
            </w:pPr>
            <w:r>
              <w:rPr>
                <w:spacing w:val="-1"/>
                <w:position w:val="13"/>
                <w:sz w:val="18"/>
                <w:szCs w:val="18"/>
              </w:rPr>
              <w:t>2023.3.</w:t>
            </w:r>
          </w:p>
          <w:p>
            <w:pPr>
              <w:pStyle w:val="6"/>
              <w:spacing w:line="188" w:lineRule="auto"/>
              <w:ind w:left="312"/>
              <w:rPr>
                <w:sz w:val="18"/>
                <w:szCs w:val="18"/>
              </w:rPr>
            </w:pPr>
            <w:r>
              <w:rPr>
                <w:spacing w:val="-2"/>
                <w:sz w:val="18"/>
                <w:szCs w:val="18"/>
              </w:rPr>
              <w:t>30</w:t>
            </w:r>
          </w:p>
        </w:tc>
        <w:tc>
          <w:tcPr>
            <w:tcW w:w="955" w:type="dxa"/>
            <w:vAlign w:val="top"/>
          </w:tcPr>
          <w:p>
            <w:pPr>
              <w:spacing w:before="220" w:line="218" w:lineRule="auto"/>
              <w:ind w:left="123"/>
              <w:rPr>
                <w:rFonts w:ascii="仿宋" w:hAnsi="仿宋" w:eastAsia="仿宋" w:cs="仿宋"/>
                <w:sz w:val="18"/>
                <w:szCs w:val="18"/>
              </w:rPr>
            </w:pPr>
            <w:r>
              <w:rPr>
                <w:rFonts w:ascii="仿宋" w:hAnsi="仿宋" w:eastAsia="仿宋" w:cs="仿宋"/>
                <w:spacing w:val="-3"/>
                <w:sz w:val="18"/>
                <w:szCs w:val="18"/>
              </w:rPr>
              <w:t>标准指数</w:t>
            </w:r>
          </w:p>
        </w:tc>
        <w:tc>
          <w:tcPr>
            <w:tcW w:w="362" w:type="dxa"/>
            <w:tcBorders>
              <w:right w:val="nil"/>
            </w:tcBorders>
            <w:textDirection w:val="tbRlV"/>
            <w:vAlign w:val="top"/>
          </w:tcPr>
          <w:p>
            <w:pPr>
              <w:spacing w:before="74" w:line="201" w:lineRule="auto"/>
              <w:ind w:left="64"/>
              <w:rPr>
                <w:rFonts w:ascii="仿宋" w:hAnsi="仿宋" w:eastAsia="仿宋" w:cs="仿宋"/>
                <w:sz w:val="18"/>
                <w:szCs w:val="18"/>
              </w:rPr>
            </w:pPr>
            <w:r>
              <w:rPr>
                <w:rFonts w:ascii="仿宋" w:hAnsi="仿宋" w:eastAsia="仿宋" w:cs="仿宋"/>
                <w:sz w:val="18"/>
                <w:szCs w:val="18"/>
              </w:rPr>
              <w:t>评</w:t>
            </w:r>
            <w:r>
              <w:rPr>
                <w:rFonts w:ascii="仿宋" w:hAnsi="仿宋" w:eastAsia="仿宋" w:cs="仿宋"/>
                <w:spacing w:val="42"/>
                <w:sz w:val="18"/>
                <w:szCs w:val="18"/>
              </w:rPr>
              <w:t xml:space="preserve"> </w:t>
            </w:r>
            <w:r>
              <w:rPr>
                <w:rFonts w:ascii="仿宋" w:hAnsi="仿宋" w:eastAsia="仿宋" w:cs="仿宋"/>
                <w:sz w:val="18"/>
                <w:szCs w:val="18"/>
              </w:rPr>
              <w:t>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703" w:type="dxa"/>
            <w:tcBorders>
              <w:left w:val="nil"/>
            </w:tcBorders>
            <w:vAlign w:val="top"/>
          </w:tcPr>
          <w:p>
            <w:pPr>
              <w:pStyle w:val="6"/>
              <w:spacing w:before="251" w:line="190" w:lineRule="auto"/>
              <w:ind w:left="748"/>
              <w:rPr>
                <w:sz w:val="18"/>
                <w:szCs w:val="18"/>
              </w:rPr>
            </w:pPr>
            <w:r>
              <w:rPr>
                <w:sz w:val="18"/>
                <w:szCs w:val="18"/>
              </w:rPr>
              <w:t>pH</w:t>
            </w:r>
          </w:p>
        </w:tc>
        <w:tc>
          <w:tcPr>
            <w:tcW w:w="661" w:type="dxa"/>
            <w:vAlign w:val="top"/>
          </w:tcPr>
          <w:p>
            <w:pPr>
              <w:pStyle w:val="6"/>
              <w:spacing w:before="98" w:line="315" w:lineRule="exact"/>
              <w:ind w:left="126"/>
              <w:rPr>
                <w:sz w:val="18"/>
                <w:szCs w:val="18"/>
              </w:rPr>
            </w:pPr>
            <w:r>
              <w:rPr>
                <w:spacing w:val="-2"/>
                <w:position w:val="13"/>
                <w:sz w:val="18"/>
                <w:szCs w:val="18"/>
              </w:rPr>
              <w:t>6.5~8</w:t>
            </w:r>
          </w:p>
          <w:p>
            <w:pPr>
              <w:pStyle w:val="6"/>
              <w:spacing w:line="183" w:lineRule="auto"/>
              <w:ind w:left="270"/>
              <w:rPr>
                <w:sz w:val="18"/>
                <w:szCs w:val="18"/>
              </w:rPr>
            </w:pPr>
            <w:r>
              <w:rPr>
                <w:spacing w:val="-3"/>
                <w:sz w:val="18"/>
                <w:szCs w:val="18"/>
              </w:rPr>
              <w:t>.5</w:t>
            </w:r>
          </w:p>
        </w:tc>
        <w:tc>
          <w:tcPr>
            <w:tcW w:w="802" w:type="dxa"/>
            <w:vAlign w:val="top"/>
          </w:tcPr>
          <w:p>
            <w:pPr>
              <w:pStyle w:val="6"/>
              <w:spacing w:before="257" w:line="183" w:lineRule="auto"/>
              <w:ind w:left="290"/>
              <w:rPr>
                <w:sz w:val="18"/>
                <w:szCs w:val="18"/>
              </w:rPr>
            </w:pPr>
            <w:r>
              <w:rPr>
                <w:spacing w:val="-3"/>
                <w:sz w:val="18"/>
                <w:szCs w:val="18"/>
              </w:rPr>
              <w:t>7.5</w:t>
            </w:r>
          </w:p>
        </w:tc>
        <w:tc>
          <w:tcPr>
            <w:tcW w:w="802" w:type="dxa"/>
            <w:vAlign w:val="top"/>
          </w:tcPr>
          <w:p>
            <w:pPr>
              <w:pStyle w:val="6"/>
              <w:spacing w:before="254" w:line="186" w:lineRule="auto"/>
              <w:ind w:left="289"/>
              <w:rPr>
                <w:sz w:val="18"/>
                <w:szCs w:val="18"/>
              </w:rPr>
            </w:pPr>
            <w:r>
              <w:rPr>
                <w:spacing w:val="-3"/>
                <w:sz w:val="18"/>
                <w:szCs w:val="18"/>
              </w:rPr>
              <w:t>7.4</w:t>
            </w:r>
          </w:p>
        </w:tc>
        <w:tc>
          <w:tcPr>
            <w:tcW w:w="803" w:type="dxa"/>
            <w:vAlign w:val="top"/>
          </w:tcPr>
          <w:p>
            <w:pPr>
              <w:pStyle w:val="6"/>
              <w:spacing w:before="257" w:line="183" w:lineRule="auto"/>
              <w:ind w:left="289"/>
              <w:rPr>
                <w:sz w:val="18"/>
                <w:szCs w:val="18"/>
              </w:rPr>
            </w:pPr>
            <w:r>
              <w:rPr>
                <w:spacing w:val="-3"/>
                <w:sz w:val="18"/>
                <w:szCs w:val="18"/>
              </w:rPr>
              <w:t>7.5</w:t>
            </w:r>
          </w:p>
        </w:tc>
        <w:tc>
          <w:tcPr>
            <w:tcW w:w="1100" w:type="dxa"/>
            <w:vAlign w:val="top"/>
          </w:tcPr>
          <w:p>
            <w:pPr>
              <w:pStyle w:val="6"/>
              <w:spacing w:before="254" w:line="186" w:lineRule="auto"/>
              <w:ind w:left="188"/>
              <w:rPr>
                <w:sz w:val="18"/>
                <w:szCs w:val="18"/>
              </w:rPr>
            </w:pPr>
            <w:r>
              <w:rPr>
                <w:spacing w:val="-1"/>
                <w:sz w:val="18"/>
                <w:szCs w:val="18"/>
              </w:rPr>
              <w:t>0.27~0.33</w:t>
            </w:r>
          </w:p>
        </w:tc>
        <w:tc>
          <w:tcPr>
            <w:tcW w:w="509" w:type="dxa"/>
            <w:textDirection w:val="tbRlV"/>
            <w:vAlign w:val="top"/>
          </w:tcPr>
          <w:p>
            <w:pPr>
              <w:spacing w:before="159" w:line="202" w:lineRule="auto"/>
              <w:ind w:left="6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54" w:line="186" w:lineRule="auto"/>
              <w:ind w:left="289"/>
              <w:rPr>
                <w:sz w:val="18"/>
                <w:szCs w:val="18"/>
              </w:rPr>
            </w:pPr>
            <w:r>
              <w:rPr>
                <w:spacing w:val="-3"/>
                <w:sz w:val="18"/>
                <w:szCs w:val="18"/>
              </w:rPr>
              <w:t>7.4</w:t>
            </w:r>
          </w:p>
        </w:tc>
        <w:tc>
          <w:tcPr>
            <w:tcW w:w="802" w:type="dxa"/>
            <w:vAlign w:val="top"/>
          </w:tcPr>
          <w:p>
            <w:pPr>
              <w:pStyle w:val="6"/>
              <w:spacing w:before="254" w:line="186" w:lineRule="auto"/>
              <w:ind w:left="289"/>
              <w:rPr>
                <w:sz w:val="18"/>
                <w:szCs w:val="18"/>
              </w:rPr>
            </w:pPr>
            <w:r>
              <w:rPr>
                <w:spacing w:val="-3"/>
                <w:sz w:val="18"/>
                <w:szCs w:val="18"/>
              </w:rPr>
              <w:t>7.4</w:t>
            </w:r>
          </w:p>
        </w:tc>
        <w:tc>
          <w:tcPr>
            <w:tcW w:w="802" w:type="dxa"/>
            <w:vAlign w:val="top"/>
          </w:tcPr>
          <w:p>
            <w:pPr>
              <w:pStyle w:val="6"/>
              <w:spacing w:before="257" w:line="183" w:lineRule="auto"/>
              <w:ind w:left="289"/>
              <w:rPr>
                <w:sz w:val="18"/>
                <w:szCs w:val="18"/>
              </w:rPr>
            </w:pPr>
            <w:r>
              <w:rPr>
                <w:spacing w:val="-3"/>
                <w:sz w:val="18"/>
                <w:szCs w:val="18"/>
              </w:rPr>
              <w:t>7.5</w:t>
            </w:r>
          </w:p>
        </w:tc>
        <w:tc>
          <w:tcPr>
            <w:tcW w:w="955" w:type="dxa"/>
            <w:vAlign w:val="top"/>
          </w:tcPr>
          <w:p>
            <w:pPr>
              <w:pStyle w:val="6"/>
              <w:spacing w:before="254" w:line="186" w:lineRule="auto"/>
              <w:ind w:left="114"/>
              <w:rPr>
                <w:sz w:val="18"/>
                <w:szCs w:val="18"/>
              </w:rPr>
            </w:pPr>
            <w:r>
              <w:rPr>
                <w:spacing w:val="-1"/>
                <w:sz w:val="18"/>
                <w:szCs w:val="18"/>
              </w:rPr>
              <w:t>0.27~0.33</w:t>
            </w:r>
          </w:p>
        </w:tc>
        <w:tc>
          <w:tcPr>
            <w:tcW w:w="509" w:type="dxa"/>
            <w:textDirection w:val="tbRlV"/>
            <w:vAlign w:val="top"/>
          </w:tcPr>
          <w:p>
            <w:pPr>
              <w:spacing w:before="160" w:line="202" w:lineRule="auto"/>
              <w:ind w:left="6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54" w:line="186" w:lineRule="auto"/>
              <w:ind w:left="288"/>
              <w:rPr>
                <w:sz w:val="18"/>
                <w:szCs w:val="18"/>
              </w:rPr>
            </w:pPr>
            <w:r>
              <w:rPr>
                <w:spacing w:val="-3"/>
                <w:sz w:val="18"/>
                <w:szCs w:val="18"/>
              </w:rPr>
              <w:t>7.4</w:t>
            </w:r>
          </w:p>
        </w:tc>
        <w:tc>
          <w:tcPr>
            <w:tcW w:w="801" w:type="dxa"/>
            <w:vAlign w:val="top"/>
          </w:tcPr>
          <w:p>
            <w:pPr>
              <w:pStyle w:val="6"/>
              <w:spacing w:before="254" w:line="186" w:lineRule="auto"/>
              <w:ind w:left="288"/>
              <w:rPr>
                <w:sz w:val="18"/>
                <w:szCs w:val="18"/>
              </w:rPr>
            </w:pPr>
            <w:r>
              <w:rPr>
                <w:spacing w:val="-3"/>
                <w:sz w:val="18"/>
                <w:szCs w:val="18"/>
              </w:rPr>
              <w:t>7.4</w:t>
            </w:r>
          </w:p>
        </w:tc>
        <w:tc>
          <w:tcPr>
            <w:tcW w:w="802" w:type="dxa"/>
            <w:vAlign w:val="top"/>
          </w:tcPr>
          <w:p>
            <w:pPr>
              <w:pStyle w:val="6"/>
              <w:spacing w:before="257" w:line="183" w:lineRule="auto"/>
              <w:ind w:left="289"/>
              <w:rPr>
                <w:sz w:val="18"/>
                <w:szCs w:val="18"/>
              </w:rPr>
            </w:pPr>
            <w:r>
              <w:rPr>
                <w:spacing w:val="-3"/>
                <w:sz w:val="18"/>
                <w:szCs w:val="18"/>
              </w:rPr>
              <w:t>7.5</w:t>
            </w:r>
          </w:p>
        </w:tc>
        <w:tc>
          <w:tcPr>
            <w:tcW w:w="955" w:type="dxa"/>
            <w:vAlign w:val="top"/>
          </w:tcPr>
          <w:p>
            <w:pPr>
              <w:pStyle w:val="6"/>
              <w:spacing w:before="254" w:line="186" w:lineRule="auto"/>
              <w:ind w:left="114"/>
              <w:rPr>
                <w:sz w:val="18"/>
                <w:szCs w:val="18"/>
              </w:rPr>
            </w:pPr>
            <w:r>
              <w:rPr>
                <w:spacing w:val="-1"/>
                <w:sz w:val="18"/>
                <w:szCs w:val="18"/>
              </w:rPr>
              <w:t>0.27~0.33</w:t>
            </w:r>
          </w:p>
        </w:tc>
        <w:tc>
          <w:tcPr>
            <w:tcW w:w="362" w:type="dxa"/>
            <w:tcBorders>
              <w:right w:val="nil"/>
            </w:tcBorders>
            <w:textDirection w:val="tbRlV"/>
            <w:vAlign w:val="top"/>
          </w:tcPr>
          <w:p>
            <w:pPr>
              <w:spacing w:before="74" w:line="202" w:lineRule="auto"/>
              <w:ind w:left="6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703" w:type="dxa"/>
            <w:tcBorders>
              <w:left w:val="nil"/>
            </w:tcBorders>
            <w:vAlign w:val="top"/>
          </w:tcPr>
          <w:p>
            <w:pPr>
              <w:spacing w:before="225" w:line="220" w:lineRule="auto"/>
              <w:ind w:left="696"/>
              <w:rPr>
                <w:rFonts w:ascii="仿宋" w:hAnsi="仿宋" w:eastAsia="仿宋" w:cs="仿宋"/>
                <w:sz w:val="18"/>
                <w:szCs w:val="18"/>
              </w:rPr>
            </w:pPr>
            <w:r>
              <w:rPr>
                <w:rFonts w:ascii="仿宋" w:hAnsi="仿宋" w:eastAsia="仿宋" w:cs="仿宋"/>
                <w:spacing w:val="-5"/>
                <w:sz w:val="18"/>
                <w:szCs w:val="18"/>
              </w:rPr>
              <w:t>氨氮</w:t>
            </w:r>
          </w:p>
        </w:tc>
        <w:tc>
          <w:tcPr>
            <w:tcW w:w="661" w:type="dxa"/>
            <w:vAlign w:val="top"/>
          </w:tcPr>
          <w:p>
            <w:pPr>
              <w:pStyle w:val="6"/>
              <w:spacing w:before="253" w:line="218" w:lineRule="auto"/>
              <w:ind w:left="165"/>
              <w:rPr>
                <w:sz w:val="18"/>
                <w:szCs w:val="18"/>
              </w:rPr>
            </w:pPr>
            <w:r>
              <w:rPr>
                <w:spacing w:val="-1"/>
                <w:sz w:val="18"/>
                <w:szCs w:val="18"/>
              </w:rPr>
              <w:t>≤0.5</w:t>
            </w:r>
          </w:p>
        </w:tc>
        <w:tc>
          <w:tcPr>
            <w:tcW w:w="802" w:type="dxa"/>
            <w:vAlign w:val="top"/>
          </w:tcPr>
          <w:p>
            <w:pPr>
              <w:pStyle w:val="6"/>
              <w:spacing w:before="254" w:line="188" w:lineRule="auto"/>
              <w:ind w:left="247"/>
              <w:rPr>
                <w:sz w:val="18"/>
                <w:szCs w:val="18"/>
              </w:rPr>
            </w:pPr>
            <w:r>
              <w:rPr>
                <w:spacing w:val="-2"/>
                <w:sz w:val="18"/>
                <w:szCs w:val="18"/>
              </w:rPr>
              <w:t>0.11</w:t>
            </w:r>
          </w:p>
        </w:tc>
        <w:tc>
          <w:tcPr>
            <w:tcW w:w="802" w:type="dxa"/>
            <w:vAlign w:val="top"/>
          </w:tcPr>
          <w:p>
            <w:pPr>
              <w:pStyle w:val="6"/>
              <w:spacing w:before="254" w:line="188" w:lineRule="auto"/>
              <w:ind w:left="245"/>
              <w:rPr>
                <w:sz w:val="18"/>
                <w:szCs w:val="18"/>
              </w:rPr>
            </w:pPr>
            <w:r>
              <w:rPr>
                <w:spacing w:val="-2"/>
                <w:sz w:val="18"/>
                <w:szCs w:val="18"/>
              </w:rPr>
              <w:t>0.14</w:t>
            </w:r>
          </w:p>
        </w:tc>
        <w:tc>
          <w:tcPr>
            <w:tcW w:w="803" w:type="dxa"/>
            <w:vAlign w:val="top"/>
          </w:tcPr>
          <w:p>
            <w:pPr>
              <w:pStyle w:val="6"/>
              <w:spacing w:before="254" w:line="188" w:lineRule="auto"/>
              <w:ind w:left="247"/>
              <w:rPr>
                <w:sz w:val="18"/>
                <w:szCs w:val="18"/>
              </w:rPr>
            </w:pPr>
            <w:r>
              <w:rPr>
                <w:spacing w:val="-2"/>
                <w:sz w:val="18"/>
                <w:szCs w:val="18"/>
              </w:rPr>
              <w:t>0.11</w:t>
            </w:r>
          </w:p>
        </w:tc>
        <w:tc>
          <w:tcPr>
            <w:tcW w:w="1100" w:type="dxa"/>
            <w:vAlign w:val="top"/>
          </w:tcPr>
          <w:p>
            <w:pPr>
              <w:pStyle w:val="6"/>
              <w:spacing w:before="256" w:line="186" w:lineRule="auto"/>
              <w:ind w:left="142"/>
              <w:rPr>
                <w:sz w:val="18"/>
                <w:szCs w:val="18"/>
              </w:rPr>
            </w:pPr>
            <w:r>
              <w:rPr>
                <w:spacing w:val="-1"/>
                <w:sz w:val="18"/>
                <w:szCs w:val="18"/>
              </w:rPr>
              <w:t>0.22~0.028</w:t>
            </w:r>
          </w:p>
        </w:tc>
        <w:tc>
          <w:tcPr>
            <w:tcW w:w="509" w:type="dxa"/>
            <w:textDirection w:val="tbRlV"/>
            <w:vAlign w:val="top"/>
          </w:tcPr>
          <w:p>
            <w:pPr>
              <w:spacing w:before="159" w:line="202" w:lineRule="auto"/>
              <w:ind w:left="6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56" w:line="186" w:lineRule="auto"/>
              <w:ind w:left="244"/>
              <w:rPr>
                <w:sz w:val="18"/>
                <w:szCs w:val="18"/>
              </w:rPr>
            </w:pPr>
            <w:r>
              <w:rPr>
                <w:spacing w:val="-2"/>
                <w:sz w:val="18"/>
                <w:szCs w:val="18"/>
              </w:rPr>
              <w:t>0.09</w:t>
            </w:r>
          </w:p>
        </w:tc>
        <w:tc>
          <w:tcPr>
            <w:tcW w:w="802" w:type="dxa"/>
            <w:vAlign w:val="top"/>
          </w:tcPr>
          <w:p>
            <w:pPr>
              <w:pStyle w:val="6"/>
              <w:spacing w:before="256" w:line="186" w:lineRule="auto"/>
              <w:ind w:left="244"/>
              <w:rPr>
                <w:sz w:val="18"/>
                <w:szCs w:val="18"/>
              </w:rPr>
            </w:pPr>
            <w:r>
              <w:rPr>
                <w:spacing w:val="-2"/>
                <w:sz w:val="18"/>
                <w:szCs w:val="18"/>
              </w:rPr>
              <w:t>0.08</w:t>
            </w:r>
          </w:p>
        </w:tc>
        <w:tc>
          <w:tcPr>
            <w:tcW w:w="802" w:type="dxa"/>
            <w:vAlign w:val="top"/>
          </w:tcPr>
          <w:p>
            <w:pPr>
              <w:pStyle w:val="6"/>
              <w:spacing w:before="256" w:line="186" w:lineRule="auto"/>
              <w:ind w:left="244"/>
              <w:rPr>
                <w:sz w:val="18"/>
                <w:szCs w:val="18"/>
              </w:rPr>
            </w:pPr>
            <w:r>
              <w:rPr>
                <w:spacing w:val="-2"/>
                <w:sz w:val="18"/>
                <w:szCs w:val="18"/>
              </w:rPr>
              <w:t>0.09</w:t>
            </w:r>
          </w:p>
        </w:tc>
        <w:tc>
          <w:tcPr>
            <w:tcW w:w="955" w:type="dxa"/>
            <w:vAlign w:val="top"/>
          </w:tcPr>
          <w:p>
            <w:pPr>
              <w:pStyle w:val="6"/>
              <w:spacing w:before="256" w:line="186" w:lineRule="auto"/>
              <w:ind w:left="114"/>
              <w:rPr>
                <w:sz w:val="18"/>
                <w:szCs w:val="18"/>
              </w:rPr>
            </w:pPr>
            <w:r>
              <w:rPr>
                <w:spacing w:val="-1"/>
                <w:sz w:val="18"/>
                <w:szCs w:val="18"/>
              </w:rPr>
              <w:t>0.15~0.18</w:t>
            </w:r>
          </w:p>
        </w:tc>
        <w:tc>
          <w:tcPr>
            <w:tcW w:w="509" w:type="dxa"/>
            <w:textDirection w:val="tbRlV"/>
            <w:vAlign w:val="top"/>
          </w:tcPr>
          <w:p>
            <w:pPr>
              <w:spacing w:before="160" w:line="202" w:lineRule="auto"/>
              <w:ind w:left="6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56" w:line="186" w:lineRule="auto"/>
              <w:ind w:left="244"/>
              <w:rPr>
                <w:sz w:val="18"/>
                <w:szCs w:val="18"/>
              </w:rPr>
            </w:pPr>
            <w:r>
              <w:rPr>
                <w:spacing w:val="-2"/>
                <w:sz w:val="18"/>
                <w:szCs w:val="18"/>
              </w:rPr>
              <w:t>0.06</w:t>
            </w:r>
          </w:p>
        </w:tc>
        <w:tc>
          <w:tcPr>
            <w:tcW w:w="801" w:type="dxa"/>
            <w:vAlign w:val="top"/>
          </w:tcPr>
          <w:p>
            <w:pPr>
              <w:pStyle w:val="6"/>
              <w:spacing w:before="256" w:line="186" w:lineRule="auto"/>
              <w:ind w:left="243"/>
              <w:rPr>
                <w:sz w:val="18"/>
                <w:szCs w:val="18"/>
              </w:rPr>
            </w:pPr>
            <w:r>
              <w:rPr>
                <w:spacing w:val="-2"/>
                <w:sz w:val="18"/>
                <w:szCs w:val="18"/>
              </w:rPr>
              <w:t>0.09</w:t>
            </w:r>
          </w:p>
        </w:tc>
        <w:tc>
          <w:tcPr>
            <w:tcW w:w="802" w:type="dxa"/>
            <w:vAlign w:val="top"/>
          </w:tcPr>
          <w:p>
            <w:pPr>
              <w:pStyle w:val="6"/>
              <w:spacing w:before="256" w:line="186" w:lineRule="auto"/>
              <w:ind w:left="244"/>
              <w:rPr>
                <w:sz w:val="18"/>
                <w:szCs w:val="18"/>
              </w:rPr>
            </w:pPr>
            <w:r>
              <w:rPr>
                <w:spacing w:val="-2"/>
                <w:sz w:val="18"/>
                <w:szCs w:val="18"/>
              </w:rPr>
              <w:t>0.07</w:t>
            </w:r>
          </w:p>
        </w:tc>
        <w:tc>
          <w:tcPr>
            <w:tcW w:w="955" w:type="dxa"/>
            <w:vAlign w:val="top"/>
          </w:tcPr>
          <w:p>
            <w:pPr>
              <w:pStyle w:val="6"/>
              <w:spacing w:before="256" w:line="186" w:lineRule="auto"/>
              <w:ind w:left="114"/>
              <w:rPr>
                <w:sz w:val="18"/>
                <w:szCs w:val="18"/>
              </w:rPr>
            </w:pPr>
            <w:r>
              <w:rPr>
                <w:spacing w:val="-1"/>
                <w:sz w:val="18"/>
                <w:szCs w:val="18"/>
              </w:rPr>
              <w:t>0.12~0.18</w:t>
            </w:r>
          </w:p>
        </w:tc>
        <w:tc>
          <w:tcPr>
            <w:tcW w:w="362" w:type="dxa"/>
            <w:tcBorders>
              <w:right w:val="nil"/>
            </w:tcBorders>
            <w:textDirection w:val="tbRlV"/>
            <w:vAlign w:val="top"/>
          </w:tcPr>
          <w:p>
            <w:pPr>
              <w:spacing w:before="74" w:line="202" w:lineRule="auto"/>
              <w:ind w:left="6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703" w:type="dxa"/>
            <w:tcBorders>
              <w:left w:val="nil"/>
            </w:tcBorders>
            <w:vAlign w:val="top"/>
          </w:tcPr>
          <w:p>
            <w:pPr>
              <w:spacing w:before="229" w:line="215" w:lineRule="auto"/>
              <w:ind w:left="599"/>
              <w:rPr>
                <w:rFonts w:ascii="仿宋" w:hAnsi="仿宋" w:eastAsia="仿宋" w:cs="仿宋"/>
                <w:sz w:val="18"/>
                <w:szCs w:val="18"/>
              </w:rPr>
            </w:pPr>
            <w:r>
              <w:rPr>
                <w:rFonts w:ascii="仿宋" w:hAnsi="仿宋" w:eastAsia="仿宋" w:cs="仿宋"/>
                <w:spacing w:val="-3"/>
                <w:sz w:val="18"/>
                <w:szCs w:val="18"/>
              </w:rPr>
              <w:t>硝酸盐</w:t>
            </w:r>
          </w:p>
        </w:tc>
        <w:tc>
          <w:tcPr>
            <w:tcW w:w="661" w:type="dxa"/>
            <w:vAlign w:val="top"/>
          </w:tcPr>
          <w:p>
            <w:pPr>
              <w:pStyle w:val="6"/>
              <w:spacing w:before="257" w:line="218" w:lineRule="auto"/>
              <w:ind w:left="188"/>
              <w:rPr>
                <w:sz w:val="18"/>
                <w:szCs w:val="18"/>
              </w:rPr>
            </w:pPr>
            <w:r>
              <w:rPr>
                <w:spacing w:val="-1"/>
                <w:sz w:val="18"/>
                <w:szCs w:val="18"/>
              </w:rPr>
              <w:t>≤20</w:t>
            </w:r>
          </w:p>
        </w:tc>
        <w:tc>
          <w:tcPr>
            <w:tcW w:w="802" w:type="dxa"/>
            <w:vAlign w:val="top"/>
          </w:tcPr>
          <w:p>
            <w:pPr>
              <w:pStyle w:val="6"/>
              <w:spacing w:before="260" w:line="186" w:lineRule="auto"/>
              <w:ind w:left="245"/>
              <w:rPr>
                <w:sz w:val="18"/>
                <w:szCs w:val="18"/>
              </w:rPr>
            </w:pPr>
            <w:r>
              <w:rPr>
                <w:spacing w:val="-2"/>
                <w:sz w:val="18"/>
                <w:szCs w:val="18"/>
              </w:rPr>
              <w:t>0.31</w:t>
            </w:r>
          </w:p>
        </w:tc>
        <w:tc>
          <w:tcPr>
            <w:tcW w:w="802" w:type="dxa"/>
            <w:vAlign w:val="top"/>
          </w:tcPr>
          <w:p>
            <w:pPr>
              <w:pStyle w:val="6"/>
              <w:spacing w:before="260" w:line="186" w:lineRule="auto"/>
              <w:ind w:left="245"/>
              <w:rPr>
                <w:sz w:val="18"/>
                <w:szCs w:val="18"/>
              </w:rPr>
            </w:pPr>
            <w:r>
              <w:rPr>
                <w:spacing w:val="-2"/>
                <w:sz w:val="18"/>
                <w:szCs w:val="18"/>
              </w:rPr>
              <w:t>0.37</w:t>
            </w:r>
          </w:p>
        </w:tc>
        <w:tc>
          <w:tcPr>
            <w:tcW w:w="803" w:type="dxa"/>
            <w:vAlign w:val="top"/>
          </w:tcPr>
          <w:p>
            <w:pPr>
              <w:pStyle w:val="6"/>
              <w:spacing w:before="260" w:line="186" w:lineRule="auto"/>
              <w:ind w:left="244"/>
              <w:rPr>
                <w:sz w:val="18"/>
                <w:szCs w:val="18"/>
              </w:rPr>
            </w:pPr>
            <w:r>
              <w:rPr>
                <w:spacing w:val="-2"/>
                <w:sz w:val="18"/>
                <w:szCs w:val="18"/>
              </w:rPr>
              <w:t>0.35</w:t>
            </w:r>
          </w:p>
        </w:tc>
        <w:tc>
          <w:tcPr>
            <w:tcW w:w="1100" w:type="dxa"/>
            <w:vAlign w:val="top"/>
          </w:tcPr>
          <w:p>
            <w:pPr>
              <w:pStyle w:val="6"/>
              <w:spacing w:before="103" w:line="313" w:lineRule="exact"/>
              <w:ind w:left="142"/>
              <w:rPr>
                <w:sz w:val="18"/>
                <w:szCs w:val="18"/>
              </w:rPr>
            </w:pPr>
            <w:r>
              <w:rPr>
                <w:spacing w:val="-1"/>
                <w:position w:val="13"/>
                <w:sz w:val="18"/>
                <w:szCs w:val="18"/>
              </w:rPr>
              <w:t>0.0155~0.0</w:t>
            </w:r>
          </w:p>
          <w:p>
            <w:pPr>
              <w:pStyle w:val="6"/>
              <w:spacing w:line="186" w:lineRule="auto"/>
              <w:ind w:left="430"/>
              <w:rPr>
                <w:sz w:val="18"/>
                <w:szCs w:val="18"/>
              </w:rPr>
            </w:pPr>
            <w:r>
              <w:rPr>
                <w:spacing w:val="-5"/>
                <w:sz w:val="18"/>
                <w:szCs w:val="18"/>
              </w:rPr>
              <w:t>185</w:t>
            </w:r>
          </w:p>
        </w:tc>
        <w:tc>
          <w:tcPr>
            <w:tcW w:w="509" w:type="dxa"/>
            <w:textDirection w:val="tbRlV"/>
            <w:vAlign w:val="top"/>
          </w:tcPr>
          <w:p>
            <w:pPr>
              <w:spacing w:before="159" w:line="202" w:lineRule="auto"/>
              <w:ind w:left="73"/>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0" w:line="186" w:lineRule="auto"/>
              <w:ind w:left="259"/>
              <w:rPr>
                <w:sz w:val="18"/>
                <w:szCs w:val="18"/>
              </w:rPr>
            </w:pPr>
            <w:r>
              <w:rPr>
                <w:spacing w:val="-6"/>
                <w:sz w:val="18"/>
                <w:szCs w:val="18"/>
              </w:rPr>
              <w:t>1.35</w:t>
            </w:r>
          </w:p>
        </w:tc>
        <w:tc>
          <w:tcPr>
            <w:tcW w:w="802" w:type="dxa"/>
            <w:vAlign w:val="top"/>
          </w:tcPr>
          <w:p>
            <w:pPr>
              <w:pStyle w:val="6"/>
              <w:spacing w:before="260" w:line="186" w:lineRule="auto"/>
              <w:ind w:left="259"/>
              <w:rPr>
                <w:sz w:val="18"/>
                <w:szCs w:val="18"/>
              </w:rPr>
            </w:pPr>
            <w:r>
              <w:rPr>
                <w:spacing w:val="-6"/>
                <w:sz w:val="18"/>
                <w:szCs w:val="18"/>
              </w:rPr>
              <w:t>1.37</w:t>
            </w:r>
          </w:p>
        </w:tc>
        <w:tc>
          <w:tcPr>
            <w:tcW w:w="802" w:type="dxa"/>
            <w:vAlign w:val="top"/>
          </w:tcPr>
          <w:p>
            <w:pPr>
              <w:pStyle w:val="6"/>
              <w:spacing w:before="260" w:line="186" w:lineRule="auto"/>
              <w:ind w:left="259"/>
              <w:rPr>
                <w:sz w:val="18"/>
                <w:szCs w:val="18"/>
              </w:rPr>
            </w:pPr>
            <w:r>
              <w:rPr>
                <w:spacing w:val="-6"/>
                <w:sz w:val="18"/>
                <w:szCs w:val="18"/>
              </w:rPr>
              <w:t>1.41</w:t>
            </w:r>
          </w:p>
        </w:tc>
        <w:tc>
          <w:tcPr>
            <w:tcW w:w="955" w:type="dxa"/>
            <w:vAlign w:val="top"/>
          </w:tcPr>
          <w:p>
            <w:pPr>
              <w:pStyle w:val="6"/>
              <w:spacing w:before="103" w:line="315" w:lineRule="exact"/>
              <w:ind w:left="114"/>
              <w:rPr>
                <w:sz w:val="18"/>
                <w:szCs w:val="18"/>
              </w:rPr>
            </w:pPr>
            <w:r>
              <w:rPr>
                <w:spacing w:val="-1"/>
                <w:position w:val="13"/>
                <w:sz w:val="18"/>
                <w:szCs w:val="18"/>
              </w:rPr>
              <w:t>0.067~0.0</w:t>
            </w:r>
          </w:p>
          <w:p>
            <w:pPr>
              <w:pStyle w:val="6"/>
              <w:spacing w:line="183" w:lineRule="auto"/>
              <w:ind w:left="432"/>
              <w:rPr>
                <w:sz w:val="18"/>
                <w:szCs w:val="18"/>
              </w:rPr>
            </w:pPr>
            <w:r>
              <w:rPr>
                <w:sz w:val="18"/>
                <w:szCs w:val="18"/>
              </w:rPr>
              <w:t>7</w:t>
            </w:r>
          </w:p>
        </w:tc>
        <w:tc>
          <w:tcPr>
            <w:tcW w:w="509" w:type="dxa"/>
            <w:textDirection w:val="tbRlV"/>
            <w:vAlign w:val="top"/>
          </w:tcPr>
          <w:p>
            <w:pPr>
              <w:spacing w:before="160" w:line="202" w:lineRule="auto"/>
              <w:ind w:left="73"/>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0" w:line="186" w:lineRule="auto"/>
              <w:ind w:left="244"/>
              <w:rPr>
                <w:sz w:val="18"/>
                <w:szCs w:val="18"/>
              </w:rPr>
            </w:pPr>
            <w:r>
              <w:rPr>
                <w:spacing w:val="-2"/>
                <w:sz w:val="18"/>
                <w:szCs w:val="18"/>
              </w:rPr>
              <w:t>0.63</w:t>
            </w:r>
          </w:p>
        </w:tc>
        <w:tc>
          <w:tcPr>
            <w:tcW w:w="801" w:type="dxa"/>
            <w:vAlign w:val="top"/>
          </w:tcPr>
          <w:p>
            <w:pPr>
              <w:pStyle w:val="6"/>
              <w:spacing w:before="260" w:line="186" w:lineRule="auto"/>
              <w:ind w:left="243"/>
              <w:rPr>
                <w:sz w:val="18"/>
                <w:szCs w:val="18"/>
              </w:rPr>
            </w:pPr>
            <w:r>
              <w:rPr>
                <w:spacing w:val="-2"/>
                <w:sz w:val="18"/>
                <w:szCs w:val="18"/>
              </w:rPr>
              <w:t>0.68</w:t>
            </w:r>
          </w:p>
        </w:tc>
        <w:tc>
          <w:tcPr>
            <w:tcW w:w="802" w:type="dxa"/>
            <w:vAlign w:val="top"/>
          </w:tcPr>
          <w:p>
            <w:pPr>
              <w:pStyle w:val="6"/>
              <w:spacing w:before="260" w:line="186" w:lineRule="auto"/>
              <w:ind w:left="244"/>
              <w:rPr>
                <w:sz w:val="18"/>
                <w:szCs w:val="18"/>
              </w:rPr>
            </w:pPr>
            <w:r>
              <w:rPr>
                <w:spacing w:val="-2"/>
                <w:sz w:val="18"/>
                <w:szCs w:val="18"/>
              </w:rPr>
              <w:t>0.65</w:t>
            </w:r>
          </w:p>
        </w:tc>
        <w:tc>
          <w:tcPr>
            <w:tcW w:w="955" w:type="dxa"/>
            <w:vAlign w:val="top"/>
          </w:tcPr>
          <w:p>
            <w:pPr>
              <w:pStyle w:val="6"/>
              <w:spacing w:before="103" w:line="313" w:lineRule="exact"/>
              <w:ind w:left="114"/>
              <w:rPr>
                <w:sz w:val="18"/>
                <w:szCs w:val="18"/>
              </w:rPr>
            </w:pPr>
            <w:r>
              <w:rPr>
                <w:spacing w:val="-1"/>
                <w:position w:val="13"/>
                <w:sz w:val="18"/>
                <w:szCs w:val="18"/>
              </w:rPr>
              <w:t>0.032~0.0</w:t>
            </w:r>
          </w:p>
          <w:p>
            <w:pPr>
              <w:pStyle w:val="6"/>
              <w:spacing w:line="186" w:lineRule="auto"/>
              <w:ind w:left="389"/>
              <w:rPr>
                <w:sz w:val="18"/>
                <w:szCs w:val="18"/>
              </w:rPr>
            </w:pPr>
            <w:r>
              <w:rPr>
                <w:spacing w:val="-2"/>
                <w:sz w:val="18"/>
                <w:szCs w:val="18"/>
              </w:rPr>
              <w:t>34</w:t>
            </w:r>
          </w:p>
        </w:tc>
        <w:tc>
          <w:tcPr>
            <w:tcW w:w="362" w:type="dxa"/>
            <w:tcBorders>
              <w:right w:val="nil"/>
            </w:tcBorders>
            <w:textDirection w:val="tbRlV"/>
            <w:vAlign w:val="top"/>
          </w:tcPr>
          <w:p>
            <w:pPr>
              <w:spacing w:before="74" w:line="202" w:lineRule="auto"/>
              <w:ind w:left="73"/>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703" w:type="dxa"/>
            <w:tcBorders>
              <w:left w:val="nil"/>
            </w:tcBorders>
            <w:vAlign w:val="top"/>
          </w:tcPr>
          <w:p>
            <w:pPr>
              <w:spacing w:before="231" w:line="215" w:lineRule="auto"/>
              <w:ind w:left="512"/>
              <w:rPr>
                <w:rFonts w:ascii="仿宋" w:hAnsi="仿宋" w:eastAsia="仿宋" w:cs="仿宋"/>
                <w:sz w:val="18"/>
                <w:szCs w:val="18"/>
              </w:rPr>
            </w:pPr>
            <w:r>
              <w:rPr>
                <w:rFonts w:ascii="仿宋" w:hAnsi="仿宋" w:eastAsia="仿宋" w:cs="仿宋"/>
                <w:spacing w:val="-3"/>
                <w:sz w:val="18"/>
                <w:szCs w:val="18"/>
              </w:rPr>
              <w:t>亚硝酸盐</w:t>
            </w:r>
          </w:p>
        </w:tc>
        <w:tc>
          <w:tcPr>
            <w:tcW w:w="661" w:type="dxa"/>
            <w:vAlign w:val="top"/>
          </w:tcPr>
          <w:p>
            <w:pPr>
              <w:pStyle w:val="6"/>
              <w:spacing w:before="258" w:line="218" w:lineRule="auto"/>
              <w:ind w:left="120"/>
              <w:rPr>
                <w:sz w:val="18"/>
                <w:szCs w:val="18"/>
              </w:rPr>
            </w:pPr>
            <w:r>
              <w:rPr>
                <w:spacing w:val="-1"/>
                <w:sz w:val="18"/>
                <w:szCs w:val="18"/>
              </w:rPr>
              <w:t>≤0.02</w:t>
            </w:r>
          </w:p>
        </w:tc>
        <w:tc>
          <w:tcPr>
            <w:tcW w:w="802" w:type="dxa"/>
            <w:vAlign w:val="top"/>
          </w:tcPr>
          <w:p>
            <w:pPr>
              <w:pStyle w:val="6"/>
              <w:spacing w:before="261" w:line="186" w:lineRule="auto"/>
              <w:ind w:left="199"/>
              <w:rPr>
                <w:sz w:val="18"/>
                <w:szCs w:val="18"/>
              </w:rPr>
            </w:pPr>
            <w:r>
              <w:rPr>
                <w:spacing w:val="-2"/>
                <w:sz w:val="18"/>
                <w:szCs w:val="18"/>
              </w:rPr>
              <w:t>0.001</w:t>
            </w:r>
          </w:p>
        </w:tc>
        <w:tc>
          <w:tcPr>
            <w:tcW w:w="802" w:type="dxa"/>
            <w:vAlign w:val="top"/>
          </w:tcPr>
          <w:p>
            <w:pPr>
              <w:pStyle w:val="6"/>
              <w:spacing w:before="261" w:line="186" w:lineRule="auto"/>
              <w:ind w:left="199"/>
              <w:rPr>
                <w:sz w:val="18"/>
                <w:szCs w:val="18"/>
              </w:rPr>
            </w:pPr>
            <w:r>
              <w:rPr>
                <w:spacing w:val="-2"/>
                <w:sz w:val="18"/>
                <w:szCs w:val="18"/>
              </w:rPr>
              <w:t>0.002</w:t>
            </w:r>
          </w:p>
        </w:tc>
        <w:tc>
          <w:tcPr>
            <w:tcW w:w="803" w:type="dxa"/>
            <w:vAlign w:val="top"/>
          </w:tcPr>
          <w:p>
            <w:pPr>
              <w:pStyle w:val="6"/>
              <w:spacing w:before="261" w:line="186" w:lineRule="auto"/>
              <w:ind w:left="199"/>
              <w:rPr>
                <w:sz w:val="18"/>
                <w:szCs w:val="18"/>
              </w:rPr>
            </w:pPr>
            <w:r>
              <w:rPr>
                <w:spacing w:val="-2"/>
                <w:sz w:val="18"/>
                <w:szCs w:val="18"/>
              </w:rPr>
              <w:t>0.001</w:t>
            </w:r>
          </w:p>
        </w:tc>
        <w:tc>
          <w:tcPr>
            <w:tcW w:w="1100" w:type="dxa"/>
            <w:vAlign w:val="top"/>
          </w:tcPr>
          <w:p>
            <w:pPr>
              <w:pStyle w:val="6"/>
              <w:spacing w:before="261" w:line="186" w:lineRule="auto"/>
              <w:ind w:left="232"/>
              <w:rPr>
                <w:sz w:val="18"/>
                <w:szCs w:val="18"/>
              </w:rPr>
            </w:pPr>
            <w:r>
              <w:rPr>
                <w:spacing w:val="-1"/>
                <w:sz w:val="18"/>
                <w:szCs w:val="18"/>
              </w:rPr>
              <w:t>0.05~0.1</w:t>
            </w:r>
          </w:p>
        </w:tc>
        <w:tc>
          <w:tcPr>
            <w:tcW w:w="509" w:type="dxa"/>
            <w:textDirection w:val="tbRlV"/>
            <w:vAlign w:val="top"/>
          </w:tcPr>
          <w:p>
            <w:pPr>
              <w:spacing w:before="159" w:line="202" w:lineRule="auto"/>
              <w:ind w:left="7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1" w:line="186" w:lineRule="auto"/>
              <w:ind w:left="199"/>
              <w:rPr>
                <w:sz w:val="18"/>
                <w:szCs w:val="18"/>
              </w:rPr>
            </w:pPr>
            <w:r>
              <w:rPr>
                <w:spacing w:val="-2"/>
                <w:sz w:val="18"/>
                <w:szCs w:val="18"/>
              </w:rPr>
              <w:t>0.002</w:t>
            </w:r>
          </w:p>
        </w:tc>
        <w:tc>
          <w:tcPr>
            <w:tcW w:w="802" w:type="dxa"/>
            <w:vAlign w:val="top"/>
          </w:tcPr>
          <w:p>
            <w:pPr>
              <w:pStyle w:val="6"/>
              <w:spacing w:before="261" w:line="186" w:lineRule="auto"/>
              <w:ind w:left="199"/>
              <w:rPr>
                <w:sz w:val="18"/>
                <w:szCs w:val="18"/>
              </w:rPr>
            </w:pPr>
            <w:r>
              <w:rPr>
                <w:spacing w:val="-2"/>
                <w:sz w:val="18"/>
                <w:szCs w:val="18"/>
              </w:rPr>
              <w:t>0.003</w:t>
            </w:r>
          </w:p>
        </w:tc>
        <w:tc>
          <w:tcPr>
            <w:tcW w:w="802" w:type="dxa"/>
            <w:vAlign w:val="top"/>
          </w:tcPr>
          <w:p>
            <w:pPr>
              <w:pStyle w:val="6"/>
              <w:spacing w:before="261" w:line="186" w:lineRule="auto"/>
              <w:ind w:left="198"/>
              <w:rPr>
                <w:sz w:val="18"/>
                <w:szCs w:val="18"/>
              </w:rPr>
            </w:pPr>
            <w:r>
              <w:rPr>
                <w:spacing w:val="-2"/>
                <w:sz w:val="18"/>
                <w:szCs w:val="18"/>
              </w:rPr>
              <w:t>0.002</w:t>
            </w:r>
          </w:p>
        </w:tc>
        <w:tc>
          <w:tcPr>
            <w:tcW w:w="955" w:type="dxa"/>
            <w:vAlign w:val="top"/>
          </w:tcPr>
          <w:p>
            <w:pPr>
              <w:pStyle w:val="6"/>
              <w:spacing w:before="261" w:line="186" w:lineRule="auto"/>
              <w:ind w:left="158"/>
              <w:rPr>
                <w:sz w:val="18"/>
                <w:szCs w:val="18"/>
              </w:rPr>
            </w:pPr>
            <w:r>
              <w:rPr>
                <w:spacing w:val="-1"/>
                <w:sz w:val="18"/>
                <w:szCs w:val="18"/>
              </w:rPr>
              <w:t>0.1~0.15</w:t>
            </w:r>
          </w:p>
        </w:tc>
        <w:tc>
          <w:tcPr>
            <w:tcW w:w="509" w:type="dxa"/>
            <w:textDirection w:val="tbRlV"/>
            <w:vAlign w:val="top"/>
          </w:tcPr>
          <w:p>
            <w:pPr>
              <w:spacing w:before="160" w:line="202" w:lineRule="auto"/>
              <w:ind w:left="7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1" w:line="186" w:lineRule="auto"/>
              <w:ind w:left="198"/>
              <w:rPr>
                <w:sz w:val="18"/>
                <w:szCs w:val="18"/>
              </w:rPr>
            </w:pPr>
            <w:r>
              <w:rPr>
                <w:spacing w:val="-2"/>
                <w:sz w:val="18"/>
                <w:szCs w:val="18"/>
              </w:rPr>
              <w:t>0.001</w:t>
            </w:r>
          </w:p>
        </w:tc>
        <w:tc>
          <w:tcPr>
            <w:tcW w:w="801" w:type="dxa"/>
            <w:vAlign w:val="top"/>
          </w:tcPr>
          <w:p>
            <w:pPr>
              <w:pStyle w:val="6"/>
              <w:spacing w:before="261" w:line="186" w:lineRule="auto"/>
              <w:ind w:left="198"/>
              <w:rPr>
                <w:sz w:val="18"/>
                <w:szCs w:val="18"/>
              </w:rPr>
            </w:pPr>
            <w:r>
              <w:rPr>
                <w:spacing w:val="-2"/>
                <w:sz w:val="18"/>
                <w:szCs w:val="18"/>
              </w:rPr>
              <w:t>0.001</w:t>
            </w:r>
          </w:p>
        </w:tc>
        <w:tc>
          <w:tcPr>
            <w:tcW w:w="802" w:type="dxa"/>
            <w:vAlign w:val="top"/>
          </w:tcPr>
          <w:p>
            <w:pPr>
              <w:pStyle w:val="6"/>
              <w:spacing w:before="261" w:line="186" w:lineRule="auto"/>
              <w:ind w:left="198"/>
              <w:rPr>
                <w:sz w:val="18"/>
                <w:szCs w:val="18"/>
              </w:rPr>
            </w:pPr>
            <w:r>
              <w:rPr>
                <w:spacing w:val="-2"/>
                <w:sz w:val="18"/>
                <w:szCs w:val="18"/>
              </w:rPr>
              <w:t>0.001</w:t>
            </w:r>
          </w:p>
        </w:tc>
        <w:tc>
          <w:tcPr>
            <w:tcW w:w="955" w:type="dxa"/>
            <w:vAlign w:val="top"/>
          </w:tcPr>
          <w:p>
            <w:pPr>
              <w:pStyle w:val="6"/>
              <w:spacing w:before="261" w:line="186" w:lineRule="auto"/>
              <w:ind w:left="321"/>
              <w:rPr>
                <w:sz w:val="18"/>
                <w:szCs w:val="18"/>
              </w:rPr>
            </w:pPr>
            <w:r>
              <w:rPr>
                <w:spacing w:val="-2"/>
                <w:sz w:val="18"/>
                <w:szCs w:val="18"/>
              </w:rPr>
              <w:t>0.05</w:t>
            </w:r>
          </w:p>
        </w:tc>
        <w:tc>
          <w:tcPr>
            <w:tcW w:w="362" w:type="dxa"/>
            <w:tcBorders>
              <w:right w:val="nil"/>
            </w:tcBorders>
            <w:textDirection w:val="tbRlV"/>
            <w:vAlign w:val="top"/>
          </w:tcPr>
          <w:p>
            <w:pPr>
              <w:spacing w:before="74" w:line="202" w:lineRule="auto"/>
              <w:ind w:left="7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703" w:type="dxa"/>
            <w:tcBorders>
              <w:left w:val="nil"/>
            </w:tcBorders>
            <w:vAlign w:val="top"/>
          </w:tcPr>
          <w:p>
            <w:pPr>
              <w:spacing w:before="234" w:line="216" w:lineRule="auto"/>
              <w:ind w:left="421"/>
              <w:rPr>
                <w:rFonts w:ascii="仿宋" w:hAnsi="仿宋" w:eastAsia="仿宋" w:cs="仿宋"/>
                <w:sz w:val="18"/>
                <w:szCs w:val="18"/>
              </w:rPr>
            </w:pPr>
            <w:r>
              <w:rPr>
                <w:rFonts w:ascii="仿宋" w:hAnsi="仿宋" w:eastAsia="仿宋" w:cs="仿宋"/>
                <w:spacing w:val="-3"/>
                <w:sz w:val="18"/>
                <w:szCs w:val="18"/>
              </w:rPr>
              <w:t>挥发性酚类</w:t>
            </w:r>
          </w:p>
        </w:tc>
        <w:tc>
          <w:tcPr>
            <w:tcW w:w="661" w:type="dxa"/>
            <w:vAlign w:val="top"/>
          </w:tcPr>
          <w:p>
            <w:pPr>
              <w:pStyle w:val="6"/>
              <w:spacing w:before="105" w:line="276" w:lineRule="auto"/>
              <w:ind w:left="283" w:right="118" w:hanging="163"/>
              <w:rPr>
                <w:sz w:val="18"/>
                <w:szCs w:val="18"/>
              </w:rPr>
            </w:pPr>
            <w:r>
              <w:rPr>
                <w:spacing w:val="-1"/>
                <w:sz w:val="18"/>
                <w:szCs w:val="18"/>
              </w:rPr>
              <w:t>≤0.00</w:t>
            </w:r>
            <w:r>
              <w:rPr>
                <w:spacing w:val="1"/>
                <w:sz w:val="18"/>
                <w:szCs w:val="18"/>
              </w:rPr>
              <w:t xml:space="preserve"> </w:t>
            </w:r>
            <w:r>
              <w:rPr>
                <w:sz w:val="18"/>
                <w:szCs w:val="18"/>
              </w:rPr>
              <w:t>2</w:t>
            </w:r>
          </w:p>
        </w:tc>
        <w:tc>
          <w:tcPr>
            <w:tcW w:w="802" w:type="dxa"/>
            <w:vAlign w:val="top"/>
          </w:tcPr>
          <w:p>
            <w:pPr>
              <w:pStyle w:val="6"/>
              <w:spacing w:before="107" w:line="314" w:lineRule="exact"/>
              <w:ind w:left="155"/>
              <w:rPr>
                <w:sz w:val="18"/>
                <w:szCs w:val="18"/>
              </w:rPr>
            </w:pPr>
            <w:r>
              <w:rPr>
                <w:spacing w:val="-2"/>
                <w:position w:val="13"/>
                <w:sz w:val="18"/>
                <w:szCs w:val="18"/>
              </w:rPr>
              <w:t>0.0003</w:t>
            </w:r>
          </w:p>
          <w:p>
            <w:pPr>
              <w:pStyle w:val="6"/>
              <w:spacing w:line="185" w:lineRule="auto"/>
              <w:ind w:left="344"/>
              <w:rPr>
                <w:sz w:val="18"/>
                <w:szCs w:val="18"/>
              </w:rPr>
            </w:pPr>
            <w:r>
              <w:rPr>
                <w:sz w:val="18"/>
                <w:szCs w:val="18"/>
              </w:rPr>
              <w:t>L</w:t>
            </w:r>
          </w:p>
        </w:tc>
        <w:tc>
          <w:tcPr>
            <w:tcW w:w="802" w:type="dxa"/>
            <w:vAlign w:val="top"/>
          </w:tcPr>
          <w:p>
            <w:pPr>
              <w:pStyle w:val="6"/>
              <w:spacing w:before="107" w:line="314" w:lineRule="exact"/>
              <w:ind w:left="155"/>
              <w:rPr>
                <w:sz w:val="18"/>
                <w:szCs w:val="18"/>
              </w:rPr>
            </w:pPr>
            <w:r>
              <w:rPr>
                <w:spacing w:val="-2"/>
                <w:position w:val="13"/>
                <w:sz w:val="18"/>
                <w:szCs w:val="18"/>
              </w:rPr>
              <w:t>0.0003</w:t>
            </w:r>
          </w:p>
          <w:p>
            <w:pPr>
              <w:pStyle w:val="6"/>
              <w:spacing w:line="185" w:lineRule="auto"/>
              <w:ind w:left="344"/>
              <w:rPr>
                <w:sz w:val="18"/>
                <w:szCs w:val="18"/>
              </w:rPr>
            </w:pPr>
            <w:r>
              <w:rPr>
                <w:sz w:val="18"/>
                <w:szCs w:val="18"/>
              </w:rPr>
              <w:t>L</w:t>
            </w:r>
          </w:p>
        </w:tc>
        <w:tc>
          <w:tcPr>
            <w:tcW w:w="803" w:type="dxa"/>
            <w:vAlign w:val="top"/>
          </w:tcPr>
          <w:p>
            <w:pPr>
              <w:pStyle w:val="6"/>
              <w:spacing w:before="107" w:line="314" w:lineRule="exact"/>
              <w:ind w:left="154"/>
              <w:rPr>
                <w:sz w:val="18"/>
                <w:szCs w:val="18"/>
              </w:rPr>
            </w:pPr>
            <w:r>
              <w:rPr>
                <w:spacing w:val="-2"/>
                <w:position w:val="13"/>
                <w:sz w:val="18"/>
                <w:szCs w:val="18"/>
              </w:rPr>
              <w:t>0.0003</w:t>
            </w:r>
          </w:p>
          <w:p>
            <w:pPr>
              <w:pStyle w:val="6"/>
              <w:spacing w:line="185" w:lineRule="auto"/>
              <w:ind w:left="343"/>
              <w:rPr>
                <w:sz w:val="18"/>
                <w:szCs w:val="18"/>
              </w:rPr>
            </w:pPr>
            <w:r>
              <w:rPr>
                <w:sz w:val="18"/>
                <w:szCs w:val="18"/>
              </w:rPr>
              <w:t>L</w:t>
            </w:r>
          </w:p>
        </w:tc>
        <w:tc>
          <w:tcPr>
            <w:tcW w:w="1100" w:type="dxa"/>
            <w:vAlign w:val="top"/>
          </w:tcPr>
          <w:p>
            <w:pPr>
              <w:pStyle w:val="6"/>
              <w:spacing w:before="262" w:line="232" w:lineRule="auto"/>
              <w:ind w:left="520"/>
              <w:rPr>
                <w:sz w:val="18"/>
                <w:szCs w:val="18"/>
              </w:rPr>
            </w:pPr>
            <w:r>
              <w:rPr>
                <w:sz w:val="18"/>
                <w:szCs w:val="18"/>
              </w:rPr>
              <w:t>/</w:t>
            </w:r>
          </w:p>
        </w:tc>
        <w:tc>
          <w:tcPr>
            <w:tcW w:w="509" w:type="dxa"/>
            <w:textDirection w:val="tbRlV"/>
            <w:vAlign w:val="top"/>
          </w:tcPr>
          <w:p>
            <w:pPr>
              <w:spacing w:before="159" w:line="202" w:lineRule="auto"/>
              <w:ind w:left="7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107" w:line="314" w:lineRule="exact"/>
              <w:ind w:left="154"/>
              <w:rPr>
                <w:sz w:val="18"/>
                <w:szCs w:val="18"/>
              </w:rPr>
            </w:pPr>
            <w:r>
              <w:rPr>
                <w:spacing w:val="-2"/>
                <w:position w:val="13"/>
                <w:sz w:val="18"/>
                <w:szCs w:val="18"/>
              </w:rPr>
              <w:t>0.0003</w:t>
            </w:r>
          </w:p>
          <w:p>
            <w:pPr>
              <w:pStyle w:val="6"/>
              <w:spacing w:line="185" w:lineRule="auto"/>
              <w:ind w:left="343"/>
              <w:rPr>
                <w:sz w:val="18"/>
                <w:szCs w:val="18"/>
              </w:rPr>
            </w:pPr>
            <w:r>
              <w:rPr>
                <w:sz w:val="18"/>
                <w:szCs w:val="18"/>
              </w:rPr>
              <w:t>L</w:t>
            </w:r>
          </w:p>
        </w:tc>
        <w:tc>
          <w:tcPr>
            <w:tcW w:w="802" w:type="dxa"/>
            <w:vAlign w:val="top"/>
          </w:tcPr>
          <w:p>
            <w:pPr>
              <w:pStyle w:val="6"/>
              <w:spacing w:before="107" w:line="314" w:lineRule="exact"/>
              <w:ind w:left="154"/>
              <w:rPr>
                <w:sz w:val="18"/>
                <w:szCs w:val="18"/>
              </w:rPr>
            </w:pPr>
            <w:r>
              <w:rPr>
                <w:spacing w:val="-2"/>
                <w:position w:val="13"/>
                <w:sz w:val="18"/>
                <w:szCs w:val="18"/>
              </w:rPr>
              <w:t>0.0003</w:t>
            </w:r>
          </w:p>
          <w:p>
            <w:pPr>
              <w:pStyle w:val="6"/>
              <w:spacing w:line="185" w:lineRule="auto"/>
              <w:ind w:left="344"/>
              <w:rPr>
                <w:sz w:val="18"/>
                <w:szCs w:val="18"/>
              </w:rPr>
            </w:pPr>
            <w:r>
              <w:rPr>
                <w:sz w:val="18"/>
                <w:szCs w:val="18"/>
              </w:rPr>
              <w:t>L</w:t>
            </w:r>
          </w:p>
        </w:tc>
        <w:tc>
          <w:tcPr>
            <w:tcW w:w="802" w:type="dxa"/>
            <w:vAlign w:val="top"/>
          </w:tcPr>
          <w:p>
            <w:pPr>
              <w:pStyle w:val="6"/>
              <w:spacing w:before="107" w:line="314" w:lineRule="exact"/>
              <w:ind w:left="154"/>
              <w:rPr>
                <w:sz w:val="18"/>
                <w:szCs w:val="18"/>
              </w:rPr>
            </w:pPr>
            <w:r>
              <w:rPr>
                <w:spacing w:val="-2"/>
                <w:position w:val="13"/>
                <w:sz w:val="18"/>
                <w:szCs w:val="18"/>
              </w:rPr>
              <w:t>0.0003</w:t>
            </w:r>
          </w:p>
          <w:p>
            <w:pPr>
              <w:pStyle w:val="6"/>
              <w:spacing w:line="185" w:lineRule="auto"/>
              <w:ind w:left="343"/>
              <w:rPr>
                <w:sz w:val="18"/>
                <w:szCs w:val="18"/>
              </w:rPr>
            </w:pPr>
            <w:r>
              <w:rPr>
                <w:sz w:val="18"/>
                <w:szCs w:val="18"/>
              </w:rPr>
              <w:t>L</w:t>
            </w:r>
          </w:p>
        </w:tc>
        <w:tc>
          <w:tcPr>
            <w:tcW w:w="955" w:type="dxa"/>
            <w:vAlign w:val="top"/>
          </w:tcPr>
          <w:p>
            <w:pPr>
              <w:pStyle w:val="6"/>
              <w:spacing w:before="262" w:line="232" w:lineRule="auto"/>
              <w:ind w:left="446"/>
              <w:rPr>
                <w:sz w:val="18"/>
                <w:szCs w:val="18"/>
              </w:rPr>
            </w:pPr>
            <w:r>
              <w:rPr>
                <w:sz w:val="18"/>
                <w:szCs w:val="18"/>
              </w:rPr>
              <w:t>/</w:t>
            </w:r>
          </w:p>
        </w:tc>
        <w:tc>
          <w:tcPr>
            <w:tcW w:w="509" w:type="dxa"/>
            <w:textDirection w:val="tbRlV"/>
            <w:vAlign w:val="top"/>
          </w:tcPr>
          <w:p>
            <w:pPr>
              <w:spacing w:before="160" w:line="202" w:lineRule="auto"/>
              <w:ind w:left="7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107" w:line="314" w:lineRule="exact"/>
              <w:ind w:left="154"/>
              <w:rPr>
                <w:sz w:val="18"/>
                <w:szCs w:val="18"/>
              </w:rPr>
            </w:pPr>
            <w:r>
              <w:rPr>
                <w:spacing w:val="-2"/>
                <w:position w:val="13"/>
                <w:sz w:val="18"/>
                <w:szCs w:val="18"/>
              </w:rPr>
              <w:t>0.0003</w:t>
            </w:r>
          </w:p>
          <w:p>
            <w:pPr>
              <w:pStyle w:val="6"/>
              <w:spacing w:line="185" w:lineRule="auto"/>
              <w:ind w:left="343"/>
              <w:rPr>
                <w:sz w:val="18"/>
                <w:szCs w:val="18"/>
              </w:rPr>
            </w:pPr>
            <w:r>
              <w:rPr>
                <w:sz w:val="18"/>
                <w:szCs w:val="18"/>
              </w:rPr>
              <w:t>L</w:t>
            </w:r>
          </w:p>
        </w:tc>
        <w:tc>
          <w:tcPr>
            <w:tcW w:w="801" w:type="dxa"/>
            <w:vAlign w:val="top"/>
          </w:tcPr>
          <w:p>
            <w:pPr>
              <w:pStyle w:val="6"/>
              <w:spacing w:before="107" w:line="314" w:lineRule="exact"/>
              <w:ind w:left="153"/>
              <w:rPr>
                <w:sz w:val="18"/>
                <w:szCs w:val="18"/>
              </w:rPr>
            </w:pPr>
            <w:r>
              <w:rPr>
                <w:spacing w:val="-2"/>
                <w:position w:val="13"/>
                <w:sz w:val="18"/>
                <w:szCs w:val="18"/>
              </w:rPr>
              <w:t>0.0003</w:t>
            </w:r>
          </w:p>
          <w:p>
            <w:pPr>
              <w:pStyle w:val="6"/>
              <w:spacing w:line="185" w:lineRule="auto"/>
              <w:ind w:left="342"/>
              <w:rPr>
                <w:sz w:val="18"/>
                <w:szCs w:val="18"/>
              </w:rPr>
            </w:pPr>
            <w:r>
              <w:rPr>
                <w:sz w:val="18"/>
                <w:szCs w:val="18"/>
              </w:rPr>
              <w:t>L</w:t>
            </w:r>
          </w:p>
        </w:tc>
        <w:tc>
          <w:tcPr>
            <w:tcW w:w="802" w:type="dxa"/>
            <w:vAlign w:val="top"/>
          </w:tcPr>
          <w:p>
            <w:pPr>
              <w:pStyle w:val="6"/>
              <w:spacing w:before="107" w:line="314" w:lineRule="exact"/>
              <w:ind w:left="154"/>
              <w:rPr>
                <w:sz w:val="18"/>
                <w:szCs w:val="18"/>
              </w:rPr>
            </w:pPr>
            <w:r>
              <w:rPr>
                <w:spacing w:val="-2"/>
                <w:position w:val="13"/>
                <w:sz w:val="18"/>
                <w:szCs w:val="18"/>
              </w:rPr>
              <w:t>0.0003</w:t>
            </w:r>
          </w:p>
          <w:p>
            <w:pPr>
              <w:pStyle w:val="6"/>
              <w:spacing w:line="185" w:lineRule="auto"/>
              <w:ind w:left="343"/>
              <w:rPr>
                <w:sz w:val="18"/>
                <w:szCs w:val="18"/>
              </w:rPr>
            </w:pPr>
            <w:r>
              <w:rPr>
                <w:sz w:val="18"/>
                <w:szCs w:val="18"/>
              </w:rPr>
              <w:t>L</w:t>
            </w:r>
          </w:p>
        </w:tc>
        <w:tc>
          <w:tcPr>
            <w:tcW w:w="955" w:type="dxa"/>
            <w:vAlign w:val="top"/>
          </w:tcPr>
          <w:p>
            <w:pPr>
              <w:pStyle w:val="6"/>
              <w:spacing w:before="262" w:line="232" w:lineRule="auto"/>
              <w:ind w:left="446"/>
              <w:rPr>
                <w:sz w:val="18"/>
                <w:szCs w:val="18"/>
              </w:rPr>
            </w:pPr>
            <w:r>
              <w:rPr>
                <w:sz w:val="18"/>
                <w:szCs w:val="18"/>
              </w:rPr>
              <w:t>/</w:t>
            </w:r>
          </w:p>
        </w:tc>
        <w:tc>
          <w:tcPr>
            <w:tcW w:w="362" w:type="dxa"/>
            <w:tcBorders>
              <w:right w:val="nil"/>
            </w:tcBorders>
            <w:textDirection w:val="tbRlV"/>
            <w:vAlign w:val="top"/>
          </w:tcPr>
          <w:p>
            <w:pPr>
              <w:spacing w:before="74" w:line="202" w:lineRule="auto"/>
              <w:ind w:left="7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703" w:type="dxa"/>
            <w:tcBorders>
              <w:left w:val="nil"/>
            </w:tcBorders>
            <w:vAlign w:val="top"/>
          </w:tcPr>
          <w:p>
            <w:pPr>
              <w:spacing w:before="235" w:line="217" w:lineRule="auto"/>
              <w:ind w:left="608"/>
              <w:rPr>
                <w:rFonts w:ascii="仿宋" w:hAnsi="仿宋" w:eastAsia="仿宋" w:cs="仿宋"/>
                <w:sz w:val="18"/>
                <w:szCs w:val="18"/>
              </w:rPr>
            </w:pPr>
            <w:r>
              <w:rPr>
                <w:rFonts w:ascii="仿宋" w:hAnsi="仿宋" w:eastAsia="仿宋" w:cs="仿宋"/>
                <w:spacing w:val="-5"/>
                <w:sz w:val="18"/>
                <w:szCs w:val="18"/>
              </w:rPr>
              <w:t>氰化物</w:t>
            </w:r>
          </w:p>
        </w:tc>
        <w:tc>
          <w:tcPr>
            <w:tcW w:w="661" w:type="dxa"/>
            <w:vAlign w:val="top"/>
          </w:tcPr>
          <w:p>
            <w:pPr>
              <w:pStyle w:val="6"/>
              <w:spacing w:before="263" w:line="218" w:lineRule="auto"/>
              <w:ind w:left="120"/>
              <w:rPr>
                <w:sz w:val="18"/>
                <w:szCs w:val="18"/>
              </w:rPr>
            </w:pPr>
            <w:r>
              <w:rPr>
                <w:spacing w:val="-1"/>
                <w:sz w:val="18"/>
                <w:szCs w:val="18"/>
              </w:rPr>
              <w:t>≤0.05</w:t>
            </w:r>
          </w:p>
        </w:tc>
        <w:tc>
          <w:tcPr>
            <w:tcW w:w="802" w:type="dxa"/>
            <w:vAlign w:val="top"/>
          </w:tcPr>
          <w:p>
            <w:pPr>
              <w:pStyle w:val="6"/>
              <w:spacing w:before="264" w:line="188" w:lineRule="auto"/>
              <w:ind w:left="144"/>
              <w:rPr>
                <w:sz w:val="18"/>
                <w:szCs w:val="18"/>
              </w:rPr>
            </w:pPr>
            <w:r>
              <w:rPr>
                <w:spacing w:val="-2"/>
                <w:sz w:val="18"/>
                <w:szCs w:val="18"/>
              </w:rPr>
              <w:t>0.002L</w:t>
            </w:r>
          </w:p>
        </w:tc>
        <w:tc>
          <w:tcPr>
            <w:tcW w:w="802" w:type="dxa"/>
            <w:vAlign w:val="top"/>
          </w:tcPr>
          <w:p>
            <w:pPr>
              <w:pStyle w:val="6"/>
              <w:spacing w:before="264" w:line="188" w:lineRule="auto"/>
              <w:ind w:left="144"/>
              <w:rPr>
                <w:sz w:val="18"/>
                <w:szCs w:val="18"/>
              </w:rPr>
            </w:pPr>
            <w:r>
              <w:rPr>
                <w:spacing w:val="-2"/>
                <w:sz w:val="18"/>
                <w:szCs w:val="18"/>
              </w:rPr>
              <w:t>0.002L</w:t>
            </w:r>
          </w:p>
        </w:tc>
        <w:tc>
          <w:tcPr>
            <w:tcW w:w="803" w:type="dxa"/>
            <w:vAlign w:val="top"/>
          </w:tcPr>
          <w:p>
            <w:pPr>
              <w:pStyle w:val="6"/>
              <w:spacing w:before="264" w:line="188" w:lineRule="auto"/>
              <w:ind w:left="143"/>
              <w:rPr>
                <w:sz w:val="18"/>
                <w:szCs w:val="18"/>
              </w:rPr>
            </w:pPr>
            <w:r>
              <w:rPr>
                <w:spacing w:val="-2"/>
                <w:sz w:val="18"/>
                <w:szCs w:val="18"/>
              </w:rPr>
              <w:t>0.002L</w:t>
            </w:r>
          </w:p>
        </w:tc>
        <w:tc>
          <w:tcPr>
            <w:tcW w:w="1100" w:type="dxa"/>
            <w:vAlign w:val="top"/>
          </w:tcPr>
          <w:p>
            <w:pPr>
              <w:pStyle w:val="6"/>
              <w:spacing w:before="263" w:line="232" w:lineRule="auto"/>
              <w:ind w:left="520"/>
              <w:rPr>
                <w:sz w:val="18"/>
                <w:szCs w:val="18"/>
              </w:rPr>
            </w:pPr>
            <w:r>
              <w:rPr>
                <w:sz w:val="18"/>
                <w:szCs w:val="18"/>
              </w:rPr>
              <w:t>/</w:t>
            </w:r>
          </w:p>
        </w:tc>
        <w:tc>
          <w:tcPr>
            <w:tcW w:w="509" w:type="dxa"/>
            <w:textDirection w:val="tbRlV"/>
            <w:vAlign w:val="top"/>
          </w:tcPr>
          <w:p>
            <w:pPr>
              <w:spacing w:before="159" w:line="202" w:lineRule="auto"/>
              <w:ind w:left="7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1"/>
                <w:w w:val="101"/>
                <w:sz w:val="18"/>
                <w:szCs w:val="18"/>
              </w:rPr>
              <w:t xml:space="preserve"> </w:t>
            </w:r>
            <w:r>
              <w:rPr>
                <w:rFonts w:ascii="仿宋" w:hAnsi="仿宋" w:eastAsia="仿宋" w:cs="仿宋"/>
                <w:sz w:val="18"/>
                <w:szCs w:val="18"/>
              </w:rPr>
              <w:t>标</w:t>
            </w:r>
          </w:p>
        </w:tc>
        <w:tc>
          <w:tcPr>
            <w:tcW w:w="803" w:type="dxa"/>
            <w:vAlign w:val="top"/>
          </w:tcPr>
          <w:p>
            <w:pPr>
              <w:pStyle w:val="6"/>
              <w:spacing w:before="264" w:line="188" w:lineRule="auto"/>
              <w:ind w:left="143"/>
              <w:rPr>
                <w:sz w:val="18"/>
                <w:szCs w:val="18"/>
              </w:rPr>
            </w:pPr>
            <w:r>
              <w:rPr>
                <w:spacing w:val="-2"/>
                <w:sz w:val="18"/>
                <w:szCs w:val="18"/>
              </w:rPr>
              <w:t>0.002L</w:t>
            </w:r>
          </w:p>
        </w:tc>
        <w:tc>
          <w:tcPr>
            <w:tcW w:w="802" w:type="dxa"/>
            <w:vAlign w:val="top"/>
          </w:tcPr>
          <w:p>
            <w:pPr>
              <w:pStyle w:val="6"/>
              <w:spacing w:before="264" w:line="188" w:lineRule="auto"/>
              <w:ind w:left="144"/>
              <w:rPr>
                <w:sz w:val="18"/>
                <w:szCs w:val="18"/>
              </w:rPr>
            </w:pPr>
            <w:r>
              <w:rPr>
                <w:spacing w:val="-2"/>
                <w:sz w:val="18"/>
                <w:szCs w:val="18"/>
              </w:rPr>
              <w:t>0.002L</w:t>
            </w:r>
          </w:p>
        </w:tc>
        <w:tc>
          <w:tcPr>
            <w:tcW w:w="802" w:type="dxa"/>
            <w:vAlign w:val="top"/>
          </w:tcPr>
          <w:p>
            <w:pPr>
              <w:pStyle w:val="6"/>
              <w:spacing w:before="264" w:line="188" w:lineRule="auto"/>
              <w:ind w:left="143"/>
              <w:rPr>
                <w:sz w:val="18"/>
                <w:szCs w:val="18"/>
              </w:rPr>
            </w:pPr>
            <w:r>
              <w:rPr>
                <w:spacing w:val="-2"/>
                <w:sz w:val="18"/>
                <w:szCs w:val="18"/>
              </w:rPr>
              <w:t>0.002L</w:t>
            </w:r>
          </w:p>
        </w:tc>
        <w:tc>
          <w:tcPr>
            <w:tcW w:w="955" w:type="dxa"/>
            <w:vAlign w:val="top"/>
          </w:tcPr>
          <w:p>
            <w:pPr>
              <w:pStyle w:val="6"/>
              <w:spacing w:before="263" w:line="232" w:lineRule="auto"/>
              <w:ind w:left="446"/>
              <w:rPr>
                <w:sz w:val="18"/>
                <w:szCs w:val="18"/>
              </w:rPr>
            </w:pPr>
            <w:r>
              <w:rPr>
                <w:sz w:val="18"/>
                <w:szCs w:val="18"/>
              </w:rPr>
              <w:t>/</w:t>
            </w:r>
          </w:p>
        </w:tc>
        <w:tc>
          <w:tcPr>
            <w:tcW w:w="509" w:type="dxa"/>
            <w:textDirection w:val="tbRlV"/>
            <w:vAlign w:val="top"/>
          </w:tcPr>
          <w:p>
            <w:pPr>
              <w:spacing w:before="160" w:line="202" w:lineRule="auto"/>
              <w:ind w:left="7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1"/>
                <w:w w:val="101"/>
                <w:sz w:val="18"/>
                <w:szCs w:val="18"/>
              </w:rPr>
              <w:t xml:space="preserve"> </w:t>
            </w:r>
            <w:r>
              <w:rPr>
                <w:rFonts w:ascii="仿宋" w:hAnsi="仿宋" w:eastAsia="仿宋" w:cs="仿宋"/>
                <w:sz w:val="18"/>
                <w:szCs w:val="18"/>
              </w:rPr>
              <w:t>标</w:t>
            </w:r>
          </w:p>
        </w:tc>
        <w:tc>
          <w:tcPr>
            <w:tcW w:w="803" w:type="dxa"/>
            <w:vAlign w:val="top"/>
          </w:tcPr>
          <w:p>
            <w:pPr>
              <w:pStyle w:val="6"/>
              <w:spacing w:before="264" w:line="188" w:lineRule="auto"/>
              <w:ind w:left="143"/>
              <w:rPr>
                <w:sz w:val="18"/>
                <w:szCs w:val="18"/>
              </w:rPr>
            </w:pPr>
            <w:r>
              <w:rPr>
                <w:spacing w:val="-2"/>
                <w:sz w:val="18"/>
                <w:szCs w:val="18"/>
              </w:rPr>
              <w:t>0.002L</w:t>
            </w:r>
          </w:p>
        </w:tc>
        <w:tc>
          <w:tcPr>
            <w:tcW w:w="801" w:type="dxa"/>
            <w:vAlign w:val="top"/>
          </w:tcPr>
          <w:p>
            <w:pPr>
              <w:pStyle w:val="6"/>
              <w:spacing w:before="264" w:line="188" w:lineRule="auto"/>
              <w:ind w:left="143"/>
              <w:rPr>
                <w:sz w:val="18"/>
                <w:szCs w:val="18"/>
              </w:rPr>
            </w:pPr>
            <w:r>
              <w:rPr>
                <w:spacing w:val="-2"/>
                <w:sz w:val="18"/>
                <w:szCs w:val="18"/>
              </w:rPr>
              <w:t>0.002L</w:t>
            </w:r>
          </w:p>
        </w:tc>
        <w:tc>
          <w:tcPr>
            <w:tcW w:w="802" w:type="dxa"/>
            <w:vAlign w:val="top"/>
          </w:tcPr>
          <w:p>
            <w:pPr>
              <w:pStyle w:val="6"/>
              <w:spacing w:before="264" w:line="188" w:lineRule="auto"/>
              <w:ind w:left="143"/>
              <w:rPr>
                <w:sz w:val="18"/>
                <w:szCs w:val="18"/>
              </w:rPr>
            </w:pPr>
            <w:r>
              <w:rPr>
                <w:spacing w:val="-2"/>
                <w:sz w:val="18"/>
                <w:szCs w:val="18"/>
              </w:rPr>
              <w:t>0.002L</w:t>
            </w:r>
          </w:p>
        </w:tc>
        <w:tc>
          <w:tcPr>
            <w:tcW w:w="955" w:type="dxa"/>
            <w:vAlign w:val="top"/>
          </w:tcPr>
          <w:p>
            <w:pPr>
              <w:pStyle w:val="6"/>
              <w:spacing w:before="263" w:line="232" w:lineRule="auto"/>
              <w:ind w:left="446"/>
              <w:rPr>
                <w:sz w:val="18"/>
                <w:szCs w:val="18"/>
              </w:rPr>
            </w:pPr>
            <w:r>
              <w:rPr>
                <w:sz w:val="18"/>
                <w:szCs w:val="18"/>
              </w:rPr>
              <w:t>/</w:t>
            </w:r>
          </w:p>
        </w:tc>
        <w:tc>
          <w:tcPr>
            <w:tcW w:w="362" w:type="dxa"/>
            <w:tcBorders>
              <w:right w:val="nil"/>
            </w:tcBorders>
            <w:textDirection w:val="tbRlV"/>
            <w:vAlign w:val="top"/>
          </w:tcPr>
          <w:p>
            <w:pPr>
              <w:spacing w:before="74" w:line="202" w:lineRule="auto"/>
              <w:ind w:left="7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1"/>
                <w:w w:val="101"/>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703" w:type="dxa"/>
            <w:tcBorders>
              <w:left w:val="nil"/>
            </w:tcBorders>
            <w:vAlign w:val="top"/>
          </w:tcPr>
          <w:p>
            <w:pPr>
              <w:pStyle w:val="6"/>
              <w:spacing w:before="239" w:line="206" w:lineRule="auto"/>
              <w:ind w:left="385"/>
              <w:rPr>
                <w:rFonts w:ascii="仿宋" w:hAnsi="仿宋" w:eastAsia="仿宋" w:cs="仿宋"/>
                <w:sz w:val="18"/>
                <w:szCs w:val="18"/>
              </w:rPr>
            </w:pPr>
            <w:r>
              <w:rPr>
                <w:rFonts w:ascii="仿宋" w:hAnsi="仿宋" w:eastAsia="仿宋" w:cs="仿宋"/>
                <w:spacing w:val="11"/>
                <w:sz w:val="18"/>
                <w:szCs w:val="18"/>
              </w:rPr>
              <w:t>砷(μ</w:t>
            </w:r>
            <w:r>
              <w:rPr>
                <w:spacing w:val="11"/>
                <w:sz w:val="18"/>
                <w:szCs w:val="18"/>
              </w:rPr>
              <w:t>g/L</w:t>
            </w:r>
            <w:r>
              <w:rPr>
                <w:rFonts w:ascii="仿宋" w:hAnsi="仿宋" w:eastAsia="仿宋" w:cs="仿宋"/>
                <w:spacing w:val="11"/>
                <w:sz w:val="18"/>
                <w:szCs w:val="18"/>
              </w:rPr>
              <w:t>）</w:t>
            </w:r>
          </w:p>
        </w:tc>
        <w:tc>
          <w:tcPr>
            <w:tcW w:w="661" w:type="dxa"/>
            <w:vAlign w:val="top"/>
          </w:tcPr>
          <w:p>
            <w:pPr>
              <w:pStyle w:val="6"/>
              <w:spacing w:before="267" w:line="218" w:lineRule="auto"/>
              <w:ind w:left="188"/>
              <w:rPr>
                <w:sz w:val="18"/>
                <w:szCs w:val="18"/>
              </w:rPr>
            </w:pPr>
            <w:r>
              <w:rPr>
                <w:spacing w:val="-1"/>
                <w:sz w:val="18"/>
                <w:szCs w:val="18"/>
              </w:rPr>
              <w:t>≤50</w:t>
            </w:r>
          </w:p>
        </w:tc>
        <w:tc>
          <w:tcPr>
            <w:tcW w:w="802" w:type="dxa"/>
            <w:vAlign w:val="top"/>
          </w:tcPr>
          <w:p>
            <w:pPr>
              <w:pStyle w:val="6"/>
              <w:spacing w:before="268" w:line="188" w:lineRule="auto"/>
              <w:ind w:left="249"/>
              <w:rPr>
                <w:sz w:val="18"/>
                <w:szCs w:val="18"/>
              </w:rPr>
            </w:pPr>
            <w:r>
              <w:rPr>
                <w:spacing w:val="-6"/>
                <w:sz w:val="18"/>
                <w:szCs w:val="18"/>
              </w:rPr>
              <w:t>1.0L</w:t>
            </w:r>
          </w:p>
        </w:tc>
        <w:tc>
          <w:tcPr>
            <w:tcW w:w="802" w:type="dxa"/>
            <w:vAlign w:val="top"/>
          </w:tcPr>
          <w:p>
            <w:pPr>
              <w:pStyle w:val="6"/>
              <w:spacing w:before="268" w:line="188" w:lineRule="auto"/>
              <w:ind w:left="248"/>
              <w:rPr>
                <w:sz w:val="18"/>
                <w:szCs w:val="18"/>
              </w:rPr>
            </w:pPr>
            <w:r>
              <w:rPr>
                <w:spacing w:val="-6"/>
                <w:sz w:val="18"/>
                <w:szCs w:val="18"/>
              </w:rPr>
              <w:t>1.0L</w:t>
            </w:r>
          </w:p>
        </w:tc>
        <w:tc>
          <w:tcPr>
            <w:tcW w:w="803" w:type="dxa"/>
            <w:vAlign w:val="top"/>
          </w:tcPr>
          <w:p>
            <w:pPr>
              <w:pStyle w:val="6"/>
              <w:spacing w:before="268" w:line="188" w:lineRule="auto"/>
              <w:ind w:left="248"/>
              <w:rPr>
                <w:sz w:val="18"/>
                <w:szCs w:val="18"/>
              </w:rPr>
            </w:pPr>
            <w:r>
              <w:rPr>
                <w:spacing w:val="-6"/>
                <w:sz w:val="18"/>
                <w:szCs w:val="18"/>
              </w:rPr>
              <w:t>1.0L</w:t>
            </w:r>
          </w:p>
        </w:tc>
        <w:tc>
          <w:tcPr>
            <w:tcW w:w="1100" w:type="dxa"/>
            <w:vAlign w:val="top"/>
          </w:tcPr>
          <w:p>
            <w:pPr>
              <w:pStyle w:val="6"/>
              <w:spacing w:before="267" w:line="232" w:lineRule="auto"/>
              <w:ind w:left="520"/>
              <w:rPr>
                <w:sz w:val="18"/>
                <w:szCs w:val="18"/>
              </w:rPr>
            </w:pPr>
            <w:r>
              <w:rPr>
                <w:sz w:val="18"/>
                <w:szCs w:val="18"/>
              </w:rPr>
              <w:t>/</w:t>
            </w:r>
          </w:p>
        </w:tc>
        <w:tc>
          <w:tcPr>
            <w:tcW w:w="509" w:type="dxa"/>
            <w:textDirection w:val="tbRlV"/>
            <w:vAlign w:val="top"/>
          </w:tcPr>
          <w:p>
            <w:pPr>
              <w:spacing w:before="159" w:line="202" w:lineRule="auto"/>
              <w:ind w:left="83"/>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1"/>
                <w:w w:val="101"/>
                <w:sz w:val="18"/>
                <w:szCs w:val="18"/>
              </w:rPr>
              <w:t xml:space="preserve"> </w:t>
            </w:r>
            <w:r>
              <w:rPr>
                <w:rFonts w:ascii="仿宋" w:hAnsi="仿宋" w:eastAsia="仿宋" w:cs="仿宋"/>
                <w:sz w:val="18"/>
                <w:szCs w:val="18"/>
              </w:rPr>
              <w:t>标</w:t>
            </w:r>
          </w:p>
        </w:tc>
        <w:tc>
          <w:tcPr>
            <w:tcW w:w="803" w:type="dxa"/>
            <w:vAlign w:val="top"/>
          </w:tcPr>
          <w:p>
            <w:pPr>
              <w:pStyle w:val="6"/>
              <w:spacing w:before="268" w:line="188" w:lineRule="auto"/>
              <w:ind w:left="248"/>
              <w:rPr>
                <w:sz w:val="18"/>
                <w:szCs w:val="18"/>
              </w:rPr>
            </w:pPr>
            <w:r>
              <w:rPr>
                <w:spacing w:val="-6"/>
                <w:sz w:val="18"/>
                <w:szCs w:val="18"/>
              </w:rPr>
              <w:t>1.0L</w:t>
            </w:r>
          </w:p>
        </w:tc>
        <w:tc>
          <w:tcPr>
            <w:tcW w:w="802" w:type="dxa"/>
            <w:vAlign w:val="top"/>
          </w:tcPr>
          <w:p>
            <w:pPr>
              <w:pStyle w:val="6"/>
              <w:spacing w:before="268" w:line="188" w:lineRule="auto"/>
              <w:ind w:left="248"/>
              <w:rPr>
                <w:sz w:val="18"/>
                <w:szCs w:val="18"/>
              </w:rPr>
            </w:pPr>
            <w:r>
              <w:rPr>
                <w:spacing w:val="-6"/>
                <w:sz w:val="18"/>
                <w:szCs w:val="18"/>
              </w:rPr>
              <w:t>1.0L</w:t>
            </w:r>
          </w:p>
        </w:tc>
        <w:tc>
          <w:tcPr>
            <w:tcW w:w="802" w:type="dxa"/>
            <w:vAlign w:val="top"/>
          </w:tcPr>
          <w:p>
            <w:pPr>
              <w:pStyle w:val="6"/>
              <w:spacing w:before="268" w:line="188" w:lineRule="auto"/>
              <w:ind w:left="248"/>
              <w:rPr>
                <w:sz w:val="18"/>
                <w:szCs w:val="18"/>
              </w:rPr>
            </w:pPr>
            <w:r>
              <w:rPr>
                <w:spacing w:val="-6"/>
                <w:sz w:val="18"/>
                <w:szCs w:val="18"/>
              </w:rPr>
              <w:t>1.0L</w:t>
            </w:r>
          </w:p>
        </w:tc>
        <w:tc>
          <w:tcPr>
            <w:tcW w:w="955" w:type="dxa"/>
            <w:vAlign w:val="top"/>
          </w:tcPr>
          <w:p>
            <w:pPr>
              <w:pStyle w:val="6"/>
              <w:spacing w:before="267" w:line="232" w:lineRule="auto"/>
              <w:ind w:left="446"/>
              <w:rPr>
                <w:sz w:val="18"/>
                <w:szCs w:val="18"/>
              </w:rPr>
            </w:pPr>
            <w:r>
              <w:rPr>
                <w:sz w:val="18"/>
                <w:szCs w:val="18"/>
              </w:rPr>
              <w:t>/</w:t>
            </w:r>
          </w:p>
        </w:tc>
        <w:tc>
          <w:tcPr>
            <w:tcW w:w="509" w:type="dxa"/>
            <w:textDirection w:val="tbRlV"/>
            <w:vAlign w:val="top"/>
          </w:tcPr>
          <w:p>
            <w:pPr>
              <w:spacing w:before="160" w:line="202" w:lineRule="auto"/>
              <w:ind w:left="83"/>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1"/>
                <w:w w:val="101"/>
                <w:sz w:val="18"/>
                <w:szCs w:val="18"/>
              </w:rPr>
              <w:t xml:space="preserve"> </w:t>
            </w:r>
            <w:r>
              <w:rPr>
                <w:rFonts w:ascii="仿宋" w:hAnsi="仿宋" w:eastAsia="仿宋" w:cs="仿宋"/>
                <w:sz w:val="18"/>
                <w:szCs w:val="18"/>
              </w:rPr>
              <w:t>标</w:t>
            </w:r>
          </w:p>
        </w:tc>
        <w:tc>
          <w:tcPr>
            <w:tcW w:w="803" w:type="dxa"/>
            <w:vAlign w:val="top"/>
          </w:tcPr>
          <w:p>
            <w:pPr>
              <w:pStyle w:val="6"/>
              <w:spacing w:before="270" w:line="186" w:lineRule="auto"/>
              <w:ind w:left="289"/>
              <w:rPr>
                <w:sz w:val="18"/>
                <w:szCs w:val="18"/>
              </w:rPr>
            </w:pPr>
            <w:r>
              <w:rPr>
                <w:spacing w:val="-3"/>
                <w:sz w:val="18"/>
                <w:szCs w:val="18"/>
              </w:rPr>
              <w:t>3.4</w:t>
            </w:r>
          </w:p>
        </w:tc>
        <w:tc>
          <w:tcPr>
            <w:tcW w:w="801" w:type="dxa"/>
            <w:vAlign w:val="top"/>
          </w:tcPr>
          <w:p>
            <w:pPr>
              <w:pStyle w:val="6"/>
              <w:spacing w:before="270" w:line="186" w:lineRule="auto"/>
              <w:ind w:left="289"/>
              <w:rPr>
                <w:sz w:val="18"/>
                <w:szCs w:val="18"/>
              </w:rPr>
            </w:pPr>
            <w:r>
              <w:rPr>
                <w:spacing w:val="-3"/>
                <w:sz w:val="18"/>
                <w:szCs w:val="18"/>
              </w:rPr>
              <w:t>3.4</w:t>
            </w:r>
          </w:p>
        </w:tc>
        <w:tc>
          <w:tcPr>
            <w:tcW w:w="802" w:type="dxa"/>
            <w:vAlign w:val="top"/>
          </w:tcPr>
          <w:p>
            <w:pPr>
              <w:pStyle w:val="6"/>
              <w:spacing w:before="270" w:line="186" w:lineRule="auto"/>
              <w:ind w:left="289"/>
              <w:rPr>
                <w:sz w:val="18"/>
                <w:szCs w:val="18"/>
              </w:rPr>
            </w:pPr>
            <w:r>
              <w:rPr>
                <w:spacing w:val="-3"/>
                <w:sz w:val="18"/>
                <w:szCs w:val="18"/>
              </w:rPr>
              <w:t>3.4</w:t>
            </w:r>
          </w:p>
        </w:tc>
        <w:tc>
          <w:tcPr>
            <w:tcW w:w="955" w:type="dxa"/>
            <w:vAlign w:val="top"/>
          </w:tcPr>
          <w:p>
            <w:pPr>
              <w:pStyle w:val="6"/>
              <w:spacing w:before="270" w:line="186" w:lineRule="auto"/>
              <w:ind w:left="275"/>
              <w:rPr>
                <w:sz w:val="18"/>
                <w:szCs w:val="18"/>
              </w:rPr>
            </w:pPr>
            <w:r>
              <w:rPr>
                <w:spacing w:val="-2"/>
                <w:sz w:val="18"/>
                <w:szCs w:val="18"/>
              </w:rPr>
              <w:t>0.068</w:t>
            </w:r>
          </w:p>
        </w:tc>
        <w:tc>
          <w:tcPr>
            <w:tcW w:w="362" w:type="dxa"/>
            <w:tcBorders>
              <w:right w:val="nil"/>
            </w:tcBorders>
            <w:textDirection w:val="tbRlV"/>
            <w:vAlign w:val="top"/>
          </w:tcPr>
          <w:p>
            <w:pPr>
              <w:spacing w:before="74" w:line="202" w:lineRule="auto"/>
              <w:ind w:left="83"/>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1"/>
                <w:w w:val="101"/>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703" w:type="dxa"/>
            <w:tcBorders>
              <w:left w:val="nil"/>
            </w:tcBorders>
            <w:vAlign w:val="top"/>
          </w:tcPr>
          <w:p>
            <w:pPr>
              <w:pStyle w:val="6"/>
              <w:spacing w:before="240" w:line="206" w:lineRule="auto"/>
              <w:ind w:left="427"/>
              <w:rPr>
                <w:rFonts w:ascii="仿宋" w:hAnsi="仿宋" w:eastAsia="仿宋" w:cs="仿宋"/>
                <w:sz w:val="18"/>
                <w:szCs w:val="18"/>
              </w:rPr>
            </w:pPr>
            <w:r>
              <w:rPr>
                <w:rFonts w:ascii="仿宋" w:hAnsi="仿宋" w:eastAsia="仿宋" w:cs="仿宋"/>
                <w:spacing w:val="11"/>
                <w:sz w:val="18"/>
                <w:szCs w:val="18"/>
              </w:rPr>
              <w:t>汞(</w:t>
            </w:r>
            <w:r>
              <w:rPr>
                <w:spacing w:val="11"/>
                <w:sz w:val="18"/>
                <w:szCs w:val="18"/>
              </w:rPr>
              <w:t>μg/L</w:t>
            </w:r>
            <w:r>
              <w:rPr>
                <w:rFonts w:ascii="仿宋" w:hAnsi="仿宋" w:eastAsia="仿宋" w:cs="仿宋"/>
                <w:spacing w:val="11"/>
                <w:sz w:val="18"/>
                <w:szCs w:val="18"/>
              </w:rPr>
              <w:t>）</w:t>
            </w:r>
          </w:p>
        </w:tc>
        <w:tc>
          <w:tcPr>
            <w:tcW w:w="661" w:type="dxa"/>
            <w:vAlign w:val="top"/>
          </w:tcPr>
          <w:p>
            <w:pPr>
              <w:pStyle w:val="6"/>
              <w:spacing w:before="268" w:line="218" w:lineRule="auto"/>
              <w:ind w:left="233"/>
              <w:rPr>
                <w:sz w:val="18"/>
                <w:szCs w:val="18"/>
              </w:rPr>
            </w:pPr>
            <w:r>
              <w:rPr>
                <w:spacing w:val="-1"/>
                <w:sz w:val="18"/>
                <w:szCs w:val="18"/>
              </w:rPr>
              <w:t>≤1</w:t>
            </w:r>
          </w:p>
        </w:tc>
        <w:tc>
          <w:tcPr>
            <w:tcW w:w="802" w:type="dxa"/>
            <w:vAlign w:val="top"/>
          </w:tcPr>
          <w:p>
            <w:pPr>
              <w:pStyle w:val="6"/>
              <w:spacing w:before="269" w:line="188" w:lineRule="auto"/>
              <w:ind w:left="289"/>
              <w:rPr>
                <w:sz w:val="18"/>
                <w:szCs w:val="18"/>
              </w:rPr>
            </w:pPr>
            <w:r>
              <w:rPr>
                <w:spacing w:val="-3"/>
                <w:sz w:val="18"/>
                <w:szCs w:val="18"/>
              </w:rPr>
              <w:t>0.2</w:t>
            </w:r>
          </w:p>
        </w:tc>
        <w:tc>
          <w:tcPr>
            <w:tcW w:w="802" w:type="dxa"/>
            <w:vAlign w:val="top"/>
          </w:tcPr>
          <w:p>
            <w:pPr>
              <w:pStyle w:val="6"/>
              <w:spacing w:before="269" w:line="188" w:lineRule="auto"/>
              <w:ind w:left="289"/>
              <w:rPr>
                <w:sz w:val="18"/>
                <w:szCs w:val="18"/>
              </w:rPr>
            </w:pPr>
            <w:r>
              <w:rPr>
                <w:spacing w:val="-3"/>
                <w:sz w:val="18"/>
                <w:szCs w:val="18"/>
              </w:rPr>
              <w:t>0.2</w:t>
            </w:r>
          </w:p>
        </w:tc>
        <w:tc>
          <w:tcPr>
            <w:tcW w:w="803" w:type="dxa"/>
            <w:vAlign w:val="top"/>
          </w:tcPr>
          <w:p>
            <w:pPr>
              <w:pStyle w:val="6"/>
              <w:spacing w:before="269" w:line="188" w:lineRule="auto"/>
              <w:ind w:left="289"/>
              <w:rPr>
                <w:sz w:val="18"/>
                <w:szCs w:val="18"/>
              </w:rPr>
            </w:pPr>
            <w:r>
              <w:rPr>
                <w:spacing w:val="-3"/>
                <w:sz w:val="18"/>
                <w:szCs w:val="18"/>
              </w:rPr>
              <w:t>0.2</w:t>
            </w:r>
          </w:p>
        </w:tc>
        <w:tc>
          <w:tcPr>
            <w:tcW w:w="1100" w:type="dxa"/>
            <w:vAlign w:val="top"/>
          </w:tcPr>
          <w:p>
            <w:pPr>
              <w:pStyle w:val="6"/>
              <w:spacing w:before="271" w:line="186" w:lineRule="auto"/>
              <w:ind w:left="438"/>
              <w:rPr>
                <w:sz w:val="18"/>
                <w:szCs w:val="18"/>
              </w:rPr>
            </w:pPr>
            <w:r>
              <w:rPr>
                <w:spacing w:val="-2"/>
                <w:sz w:val="18"/>
                <w:szCs w:val="18"/>
              </w:rPr>
              <w:t>0.2</w:t>
            </w:r>
          </w:p>
        </w:tc>
        <w:tc>
          <w:tcPr>
            <w:tcW w:w="509" w:type="dxa"/>
            <w:textDirection w:val="tbRlV"/>
            <w:vAlign w:val="top"/>
          </w:tcPr>
          <w:p>
            <w:pPr>
              <w:spacing w:before="159" w:line="202" w:lineRule="auto"/>
              <w:ind w:left="8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71" w:line="186" w:lineRule="auto"/>
              <w:ind w:left="289"/>
              <w:rPr>
                <w:sz w:val="18"/>
                <w:szCs w:val="18"/>
              </w:rPr>
            </w:pPr>
            <w:r>
              <w:rPr>
                <w:spacing w:val="-3"/>
                <w:sz w:val="18"/>
                <w:szCs w:val="18"/>
              </w:rPr>
              <w:t>0.2</w:t>
            </w:r>
          </w:p>
        </w:tc>
        <w:tc>
          <w:tcPr>
            <w:tcW w:w="802" w:type="dxa"/>
            <w:vAlign w:val="top"/>
          </w:tcPr>
          <w:p>
            <w:pPr>
              <w:pStyle w:val="6"/>
              <w:spacing w:before="271" w:line="186" w:lineRule="auto"/>
              <w:ind w:left="289"/>
              <w:rPr>
                <w:sz w:val="18"/>
                <w:szCs w:val="18"/>
              </w:rPr>
            </w:pPr>
            <w:r>
              <w:rPr>
                <w:spacing w:val="-3"/>
                <w:sz w:val="18"/>
                <w:szCs w:val="18"/>
              </w:rPr>
              <w:t>0.2</w:t>
            </w:r>
          </w:p>
        </w:tc>
        <w:tc>
          <w:tcPr>
            <w:tcW w:w="802" w:type="dxa"/>
            <w:vAlign w:val="top"/>
          </w:tcPr>
          <w:p>
            <w:pPr>
              <w:pStyle w:val="6"/>
              <w:spacing w:before="271" w:line="186" w:lineRule="auto"/>
              <w:ind w:left="288"/>
              <w:rPr>
                <w:sz w:val="18"/>
                <w:szCs w:val="18"/>
              </w:rPr>
            </w:pPr>
            <w:r>
              <w:rPr>
                <w:spacing w:val="-3"/>
                <w:sz w:val="18"/>
                <w:szCs w:val="18"/>
              </w:rPr>
              <w:t>0.2</w:t>
            </w:r>
          </w:p>
        </w:tc>
        <w:tc>
          <w:tcPr>
            <w:tcW w:w="955" w:type="dxa"/>
            <w:vAlign w:val="top"/>
          </w:tcPr>
          <w:p>
            <w:pPr>
              <w:pStyle w:val="6"/>
              <w:spacing w:before="271" w:line="186" w:lineRule="auto"/>
              <w:ind w:left="365"/>
              <w:rPr>
                <w:sz w:val="18"/>
                <w:szCs w:val="18"/>
              </w:rPr>
            </w:pPr>
            <w:r>
              <w:rPr>
                <w:spacing w:val="-2"/>
                <w:sz w:val="18"/>
                <w:szCs w:val="18"/>
              </w:rPr>
              <w:t>0.2</w:t>
            </w:r>
          </w:p>
        </w:tc>
        <w:tc>
          <w:tcPr>
            <w:tcW w:w="509" w:type="dxa"/>
            <w:textDirection w:val="tbRlV"/>
            <w:vAlign w:val="top"/>
          </w:tcPr>
          <w:p>
            <w:pPr>
              <w:spacing w:before="160" w:line="202" w:lineRule="auto"/>
              <w:ind w:left="8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71" w:line="186" w:lineRule="auto"/>
              <w:ind w:left="288"/>
              <w:rPr>
                <w:sz w:val="18"/>
                <w:szCs w:val="18"/>
              </w:rPr>
            </w:pPr>
            <w:r>
              <w:rPr>
                <w:spacing w:val="-3"/>
                <w:sz w:val="18"/>
                <w:szCs w:val="18"/>
              </w:rPr>
              <w:t>0.2</w:t>
            </w:r>
          </w:p>
        </w:tc>
        <w:tc>
          <w:tcPr>
            <w:tcW w:w="801" w:type="dxa"/>
            <w:vAlign w:val="top"/>
          </w:tcPr>
          <w:p>
            <w:pPr>
              <w:pStyle w:val="6"/>
              <w:spacing w:before="271" w:line="186" w:lineRule="auto"/>
              <w:ind w:left="288"/>
              <w:rPr>
                <w:sz w:val="18"/>
                <w:szCs w:val="18"/>
              </w:rPr>
            </w:pPr>
            <w:r>
              <w:rPr>
                <w:spacing w:val="-3"/>
                <w:sz w:val="18"/>
                <w:szCs w:val="18"/>
              </w:rPr>
              <w:t>0.2</w:t>
            </w:r>
          </w:p>
        </w:tc>
        <w:tc>
          <w:tcPr>
            <w:tcW w:w="802" w:type="dxa"/>
            <w:vAlign w:val="top"/>
          </w:tcPr>
          <w:p>
            <w:pPr>
              <w:pStyle w:val="6"/>
              <w:spacing w:before="271" w:line="186" w:lineRule="auto"/>
              <w:ind w:left="288"/>
              <w:rPr>
                <w:sz w:val="18"/>
                <w:szCs w:val="18"/>
              </w:rPr>
            </w:pPr>
            <w:r>
              <w:rPr>
                <w:spacing w:val="-3"/>
                <w:sz w:val="18"/>
                <w:szCs w:val="18"/>
              </w:rPr>
              <w:t>0.2</w:t>
            </w:r>
          </w:p>
        </w:tc>
        <w:tc>
          <w:tcPr>
            <w:tcW w:w="955" w:type="dxa"/>
            <w:vAlign w:val="top"/>
          </w:tcPr>
          <w:p>
            <w:pPr>
              <w:pStyle w:val="6"/>
              <w:spacing w:before="271" w:line="186" w:lineRule="auto"/>
              <w:ind w:left="365"/>
              <w:rPr>
                <w:sz w:val="18"/>
                <w:szCs w:val="18"/>
              </w:rPr>
            </w:pPr>
            <w:r>
              <w:rPr>
                <w:spacing w:val="-2"/>
                <w:sz w:val="18"/>
                <w:szCs w:val="18"/>
              </w:rPr>
              <w:t>0.2</w:t>
            </w:r>
          </w:p>
        </w:tc>
        <w:tc>
          <w:tcPr>
            <w:tcW w:w="362" w:type="dxa"/>
            <w:tcBorders>
              <w:right w:val="nil"/>
            </w:tcBorders>
            <w:textDirection w:val="tbRlV"/>
            <w:vAlign w:val="top"/>
          </w:tcPr>
          <w:p>
            <w:pPr>
              <w:spacing w:before="74" w:line="202" w:lineRule="auto"/>
              <w:ind w:left="8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703" w:type="dxa"/>
            <w:tcBorders>
              <w:left w:val="nil"/>
            </w:tcBorders>
            <w:vAlign w:val="top"/>
          </w:tcPr>
          <w:p>
            <w:pPr>
              <w:spacing w:before="245" w:line="217" w:lineRule="auto"/>
              <w:ind w:left="601"/>
              <w:rPr>
                <w:rFonts w:ascii="仿宋" w:hAnsi="仿宋" w:eastAsia="仿宋" w:cs="仿宋"/>
                <w:sz w:val="18"/>
                <w:szCs w:val="18"/>
              </w:rPr>
            </w:pPr>
            <w:r>
              <w:rPr>
                <w:rFonts w:ascii="仿宋" w:hAnsi="仿宋" w:eastAsia="仿宋" w:cs="仿宋"/>
                <w:spacing w:val="-3"/>
                <w:sz w:val="18"/>
                <w:szCs w:val="18"/>
              </w:rPr>
              <w:t>六价铬</w:t>
            </w:r>
          </w:p>
        </w:tc>
        <w:tc>
          <w:tcPr>
            <w:tcW w:w="661" w:type="dxa"/>
            <w:vAlign w:val="top"/>
          </w:tcPr>
          <w:p>
            <w:pPr>
              <w:pStyle w:val="6"/>
              <w:spacing w:before="272" w:line="218" w:lineRule="auto"/>
              <w:ind w:left="120"/>
              <w:rPr>
                <w:sz w:val="18"/>
                <w:szCs w:val="18"/>
              </w:rPr>
            </w:pPr>
            <w:r>
              <w:rPr>
                <w:spacing w:val="-1"/>
                <w:sz w:val="18"/>
                <w:szCs w:val="18"/>
              </w:rPr>
              <w:t>≤0.05</w:t>
            </w:r>
          </w:p>
        </w:tc>
        <w:tc>
          <w:tcPr>
            <w:tcW w:w="802" w:type="dxa"/>
            <w:vAlign w:val="top"/>
          </w:tcPr>
          <w:p>
            <w:pPr>
              <w:pStyle w:val="6"/>
              <w:spacing w:before="273" w:line="188" w:lineRule="auto"/>
              <w:ind w:left="144"/>
              <w:rPr>
                <w:sz w:val="18"/>
                <w:szCs w:val="18"/>
              </w:rPr>
            </w:pPr>
            <w:r>
              <w:rPr>
                <w:spacing w:val="-2"/>
                <w:sz w:val="18"/>
                <w:szCs w:val="18"/>
              </w:rPr>
              <w:t>0.004L</w:t>
            </w:r>
          </w:p>
        </w:tc>
        <w:tc>
          <w:tcPr>
            <w:tcW w:w="802" w:type="dxa"/>
            <w:vAlign w:val="top"/>
          </w:tcPr>
          <w:p>
            <w:pPr>
              <w:pStyle w:val="6"/>
              <w:spacing w:before="273" w:line="188" w:lineRule="auto"/>
              <w:ind w:left="144"/>
              <w:rPr>
                <w:sz w:val="18"/>
                <w:szCs w:val="18"/>
              </w:rPr>
            </w:pPr>
            <w:r>
              <w:rPr>
                <w:spacing w:val="-2"/>
                <w:sz w:val="18"/>
                <w:szCs w:val="18"/>
              </w:rPr>
              <w:t>0.004L</w:t>
            </w:r>
          </w:p>
        </w:tc>
        <w:tc>
          <w:tcPr>
            <w:tcW w:w="803" w:type="dxa"/>
            <w:vAlign w:val="top"/>
          </w:tcPr>
          <w:p>
            <w:pPr>
              <w:pStyle w:val="6"/>
              <w:spacing w:before="273" w:line="188" w:lineRule="auto"/>
              <w:ind w:left="143"/>
              <w:rPr>
                <w:sz w:val="18"/>
                <w:szCs w:val="18"/>
              </w:rPr>
            </w:pPr>
            <w:r>
              <w:rPr>
                <w:spacing w:val="-2"/>
                <w:sz w:val="18"/>
                <w:szCs w:val="18"/>
              </w:rPr>
              <w:t>0.004L</w:t>
            </w:r>
          </w:p>
        </w:tc>
        <w:tc>
          <w:tcPr>
            <w:tcW w:w="1100" w:type="dxa"/>
            <w:vAlign w:val="top"/>
          </w:tcPr>
          <w:p>
            <w:pPr>
              <w:pStyle w:val="6"/>
              <w:spacing w:before="272" w:line="232" w:lineRule="auto"/>
              <w:ind w:left="520"/>
              <w:rPr>
                <w:sz w:val="18"/>
                <w:szCs w:val="18"/>
              </w:rPr>
            </w:pPr>
            <w:r>
              <w:rPr>
                <w:sz w:val="18"/>
                <w:szCs w:val="18"/>
              </w:rPr>
              <w:t>/</w:t>
            </w:r>
          </w:p>
        </w:tc>
        <w:tc>
          <w:tcPr>
            <w:tcW w:w="509" w:type="dxa"/>
            <w:textDirection w:val="tbRlV"/>
            <w:vAlign w:val="top"/>
          </w:tcPr>
          <w:p>
            <w:pPr>
              <w:spacing w:before="159" w:line="202" w:lineRule="auto"/>
              <w:ind w:left="8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73" w:line="188" w:lineRule="auto"/>
              <w:ind w:left="143"/>
              <w:rPr>
                <w:sz w:val="18"/>
                <w:szCs w:val="18"/>
              </w:rPr>
            </w:pPr>
            <w:r>
              <w:rPr>
                <w:spacing w:val="-2"/>
                <w:sz w:val="18"/>
                <w:szCs w:val="18"/>
              </w:rPr>
              <w:t>0.004L</w:t>
            </w:r>
          </w:p>
        </w:tc>
        <w:tc>
          <w:tcPr>
            <w:tcW w:w="802" w:type="dxa"/>
            <w:vAlign w:val="top"/>
          </w:tcPr>
          <w:p>
            <w:pPr>
              <w:pStyle w:val="6"/>
              <w:spacing w:before="273" w:line="188" w:lineRule="auto"/>
              <w:ind w:left="144"/>
              <w:rPr>
                <w:sz w:val="18"/>
                <w:szCs w:val="18"/>
              </w:rPr>
            </w:pPr>
            <w:r>
              <w:rPr>
                <w:spacing w:val="-2"/>
                <w:sz w:val="18"/>
                <w:szCs w:val="18"/>
              </w:rPr>
              <w:t>0.004L</w:t>
            </w:r>
          </w:p>
        </w:tc>
        <w:tc>
          <w:tcPr>
            <w:tcW w:w="802" w:type="dxa"/>
            <w:vAlign w:val="top"/>
          </w:tcPr>
          <w:p>
            <w:pPr>
              <w:pStyle w:val="6"/>
              <w:spacing w:before="273" w:line="188" w:lineRule="auto"/>
              <w:ind w:left="143"/>
              <w:rPr>
                <w:sz w:val="18"/>
                <w:szCs w:val="18"/>
              </w:rPr>
            </w:pPr>
            <w:r>
              <w:rPr>
                <w:spacing w:val="-2"/>
                <w:sz w:val="18"/>
                <w:szCs w:val="18"/>
              </w:rPr>
              <w:t>0.004L</w:t>
            </w:r>
          </w:p>
        </w:tc>
        <w:tc>
          <w:tcPr>
            <w:tcW w:w="955" w:type="dxa"/>
            <w:vAlign w:val="top"/>
          </w:tcPr>
          <w:p>
            <w:pPr>
              <w:pStyle w:val="6"/>
              <w:spacing w:before="272" w:line="232" w:lineRule="auto"/>
              <w:ind w:left="446"/>
              <w:rPr>
                <w:sz w:val="18"/>
                <w:szCs w:val="18"/>
              </w:rPr>
            </w:pPr>
            <w:r>
              <w:rPr>
                <w:sz w:val="18"/>
                <w:szCs w:val="18"/>
              </w:rPr>
              <w:t>/</w:t>
            </w:r>
          </w:p>
        </w:tc>
        <w:tc>
          <w:tcPr>
            <w:tcW w:w="509" w:type="dxa"/>
            <w:textDirection w:val="tbRlV"/>
            <w:vAlign w:val="top"/>
          </w:tcPr>
          <w:p>
            <w:pPr>
              <w:spacing w:before="160" w:line="202" w:lineRule="auto"/>
              <w:ind w:left="8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73" w:line="188" w:lineRule="auto"/>
              <w:ind w:left="143"/>
              <w:rPr>
                <w:sz w:val="18"/>
                <w:szCs w:val="18"/>
              </w:rPr>
            </w:pPr>
            <w:r>
              <w:rPr>
                <w:spacing w:val="-2"/>
                <w:sz w:val="18"/>
                <w:szCs w:val="18"/>
              </w:rPr>
              <w:t>0.004L</w:t>
            </w:r>
          </w:p>
        </w:tc>
        <w:tc>
          <w:tcPr>
            <w:tcW w:w="801" w:type="dxa"/>
            <w:vAlign w:val="top"/>
          </w:tcPr>
          <w:p>
            <w:pPr>
              <w:pStyle w:val="6"/>
              <w:spacing w:before="273" w:line="188" w:lineRule="auto"/>
              <w:ind w:left="143"/>
              <w:rPr>
                <w:sz w:val="18"/>
                <w:szCs w:val="18"/>
              </w:rPr>
            </w:pPr>
            <w:r>
              <w:rPr>
                <w:spacing w:val="-2"/>
                <w:sz w:val="18"/>
                <w:szCs w:val="18"/>
              </w:rPr>
              <w:t>0.004L</w:t>
            </w:r>
          </w:p>
        </w:tc>
        <w:tc>
          <w:tcPr>
            <w:tcW w:w="802" w:type="dxa"/>
            <w:vAlign w:val="top"/>
          </w:tcPr>
          <w:p>
            <w:pPr>
              <w:pStyle w:val="6"/>
              <w:spacing w:before="273" w:line="188" w:lineRule="auto"/>
              <w:ind w:left="143"/>
              <w:rPr>
                <w:sz w:val="18"/>
                <w:szCs w:val="18"/>
              </w:rPr>
            </w:pPr>
            <w:r>
              <w:rPr>
                <w:spacing w:val="-2"/>
                <w:sz w:val="18"/>
                <w:szCs w:val="18"/>
              </w:rPr>
              <w:t>0.004L</w:t>
            </w:r>
          </w:p>
        </w:tc>
        <w:tc>
          <w:tcPr>
            <w:tcW w:w="955" w:type="dxa"/>
            <w:vAlign w:val="top"/>
          </w:tcPr>
          <w:p>
            <w:pPr>
              <w:pStyle w:val="6"/>
              <w:spacing w:before="272" w:line="232" w:lineRule="auto"/>
              <w:ind w:left="446"/>
              <w:rPr>
                <w:sz w:val="18"/>
                <w:szCs w:val="18"/>
              </w:rPr>
            </w:pPr>
            <w:r>
              <w:rPr>
                <w:sz w:val="18"/>
                <w:szCs w:val="18"/>
              </w:rPr>
              <w:t>/</w:t>
            </w:r>
          </w:p>
        </w:tc>
        <w:tc>
          <w:tcPr>
            <w:tcW w:w="362" w:type="dxa"/>
            <w:tcBorders>
              <w:right w:val="nil"/>
            </w:tcBorders>
            <w:textDirection w:val="tbRlV"/>
            <w:vAlign w:val="top"/>
          </w:tcPr>
          <w:p>
            <w:pPr>
              <w:spacing w:before="74" w:line="202" w:lineRule="auto"/>
              <w:ind w:left="8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703" w:type="dxa"/>
            <w:tcBorders>
              <w:left w:val="nil"/>
            </w:tcBorders>
            <w:vAlign w:val="top"/>
          </w:tcPr>
          <w:p>
            <w:pPr>
              <w:spacing w:before="246" w:line="219" w:lineRule="auto"/>
              <w:ind w:left="607"/>
              <w:rPr>
                <w:rFonts w:ascii="仿宋" w:hAnsi="仿宋" w:eastAsia="仿宋" w:cs="仿宋"/>
                <w:sz w:val="18"/>
                <w:szCs w:val="18"/>
              </w:rPr>
            </w:pPr>
            <w:r>
              <w:rPr>
                <w:rFonts w:ascii="仿宋" w:hAnsi="仿宋" w:eastAsia="仿宋" w:cs="仿宋"/>
                <w:spacing w:val="-5"/>
                <w:sz w:val="18"/>
                <w:szCs w:val="18"/>
              </w:rPr>
              <w:t>总硬度</w:t>
            </w:r>
          </w:p>
        </w:tc>
        <w:tc>
          <w:tcPr>
            <w:tcW w:w="661" w:type="dxa"/>
            <w:vAlign w:val="top"/>
          </w:tcPr>
          <w:p>
            <w:pPr>
              <w:pStyle w:val="6"/>
              <w:spacing w:before="274" w:line="218" w:lineRule="auto"/>
              <w:ind w:left="143"/>
              <w:rPr>
                <w:sz w:val="18"/>
                <w:szCs w:val="18"/>
              </w:rPr>
            </w:pPr>
            <w:r>
              <w:rPr>
                <w:spacing w:val="-1"/>
                <w:sz w:val="18"/>
                <w:szCs w:val="18"/>
              </w:rPr>
              <w:t>≤450</w:t>
            </w:r>
          </w:p>
        </w:tc>
        <w:tc>
          <w:tcPr>
            <w:tcW w:w="802" w:type="dxa"/>
            <w:vAlign w:val="top"/>
          </w:tcPr>
          <w:p>
            <w:pPr>
              <w:pStyle w:val="6"/>
              <w:spacing w:before="275" w:line="188" w:lineRule="auto"/>
              <w:ind w:left="281"/>
              <w:rPr>
                <w:sz w:val="18"/>
                <w:szCs w:val="18"/>
              </w:rPr>
            </w:pPr>
            <w:r>
              <w:rPr>
                <w:spacing w:val="-5"/>
                <w:sz w:val="18"/>
                <w:szCs w:val="18"/>
              </w:rPr>
              <w:t>137</w:t>
            </w:r>
          </w:p>
        </w:tc>
        <w:tc>
          <w:tcPr>
            <w:tcW w:w="802" w:type="dxa"/>
            <w:vAlign w:val="top"/>
          </w:tcPr>
          <w:p>
            <w:pPr>
              <w:pStyle w:val="6"/>
              <w:spacing w:before="275" w:line="188" w:lineRule="auto"/>
              <w:ind w:left="281"/>
              <w:rPr>
                <w:sz w:val="18"/>
                <w:szCs w:val="18"/>
              </w:rPr>
            </w:pPr>
            <w:r>
              <w:rPr>
                <w:spacing w:val="-5"/>
                <w:sz w:val="18"/>
                <w:szCs w:val="18"/>
              </w:rPr>
              <w:t>135</w:t>
            </w:r>
          </w:p>
        </w:tc>
        <w:tc>
          <w:tcPr>
            <w:tcW w:w="803" w:type="dxa"/>
            <w:vAlign w:val="top"/>
          </w:tcPr>
          <w:p>
            <w:pPr>
              <w:pStyle w:val="6"/>
              <w:spacing w:before="276" w:line="186" w:lineRule="auto"/>
              <w:ind w:left="280"/>
              <w:rPr>
                <w:sz w:val="18"/>
                <w:szCs w:val="18"/>
              </w:rPr>
            </w:pPr>
            <w:r>
              <w:rPr>
                <w:spacing w:val="-5"/>
                <w:sz w:val="18"/>
                <w:szCs w:val="18"/>
              </w:rPr>
              <w:t>140</w:t>
            </w:r>
          </w:p>
        </w:tc>
        <w:tc>
          <w:tcPr>
            <w:tcW w:w="1100" w:type="dxa"/>
            <w:vAlign w:val="top"/>
          </w:tcPr>
          <w:p>
            <w:pPr>
              <w:pStyle w:val="6"/>
              <w:spacing w:before="277" w:line="186" w:lineRule="auto"/>
              <w:ind w:left="188"/>
              <w:rPr>
                <w:sz w:val="18"/>
                <w:szCs w:val="18"/>
              </w:rPr>
            </w:pPr>
            <w:r>
              <w:rPr>
                <w:spacing w:val="-1"/>
                <w:sz w:val="18"/>
                <w:szCs w:val="18"/>
              </w:rPr>
              <w:t>0.3~0.311</w:t>
            </w:r>
          </w:p>
        </w:tc>
        <w:tc>
          <w:tcPr>
            <w:tcW w:w="509" w:type="dxa"/>
            <w:textDirection w:val="tbRlV"/>
            <w:vAlign w:val="top"/>
          </w:tcPr>
          <w:p>
            <w:pPr>
              <w:spacing w:before="159" w:line="202" w:lineRule="auto"/>
              <w:ind w:left="90"/>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76" w:line="186" w:lineRule="auto"/>
              <w:ind w:left="280"/>
              <w:rPr>
                <w:sz w:val="18"/>
                <w:szCs w:val="18"/>
              </w:rPr>
            </w:pPr>
            <w:r>
              <w:rPr>
                <w:spacing w:val="-5"/>
                <w:sz w:val="18"/>
                <w:szCs w:val="18"/>
              </w:rPr>
              <w:t>151</w:t>
            </w:r>
          </w:p>
        </w:tc>
        <w:tc>
          <w:tcPr>
            <w:tcW w:w="802" w:type="dxa"/>
            <w:vAlign w:val="top"/>
          </w:tcPr>
          <w:p>
            <w:pPr>
              <w:pStyle w:val="6"/>
              <w:spacing w:before="276" w:line="186" w:lineRule="auto"/>
              <w:ind w:left="281"/>
              <w:rPr>
                <w:sz w:val="18"/>
                <w:szCs w:val="18"/>
              </w:rPr>
            </w:pPr>
            <w:r>
              <w:rPr>
                <w:spacing w:val="-5"/>
                <w:sz w:val="18"/>
                <w:szCs w:val="18"/>
              </w:rPr>
              <w:t>153</w:t>
            </w:r>
          </w:p>
        </w:tc>
        <w:tc>
          <w:tcPr>
            <w:tcW w:w="802" w:type="dxa"/>
            <w:vAlign w:val="top"/>
          </w:tcPr>
          <w:p>
            <w:pPr>
              <w:pStyle w:val="6"/>
              <w:spacing w:before="277" w:line="186" w:lineRule="auto"/>
              <w:ind w:left="280"/>
              <w:rPr>
                <w:sz w:val="18"/>
                <w:szCs w:val="18"/>
              </w:rPr>
            </w:pPr>
            <w:r>
              <w:rPr>
                <w:spacing w:val="-5"/>
                <w:sz w:val="18"/>
                <w:szCs w:val="18"/>
              </w:rPr>
              <w:t>157</w:t>
            </w:r>
          </w:p>
        </w:tc>
        <w:tc>
          <w:tcPr>
            <w:tcW w:w="955" w:type="dxa"/>
            <w:vAlign w:val="top"/>
          </w:tcPr>
          <w:p>
            <w:pPr>
              <w:pStyle w:val="6"/>
              <w:spacing w:before="120" w:line="315" w:lineRule="exact"/>
              <w:ind w:left="114"/>
              <w:rPr>
                <w:sz w:val="18"/>
                <w:szCs w:val="18"/>
              </w:rPr>
            </w:pPr>
            <w:r>
              <w:rPr>
                <w:spacing w:val="-1"/>
                <w:position w:val="13"/>
                <w:sz w:val="18"/>
                <w:szCs w:val="18"/>
              </w:rPr>
              <w:t>0.335~0.3</w:t>
            </w:r>
          </w:p>
          <w:p>
            <w:pPr>
              <w:pStyle w:val="6"/>
              <w:spacing w:line="183" w:lineRule="auto"/>
              <w:ind w:left="434"/>
              <w:rPr>
                <w:sz w:val="18"/>
                <w:szCs w:val="18"/>
              </w:rPr>
            </w:pPr>
            <w:r>
              <w:rPr>
                <w:sz w:val="18"/>
                <w:szCs w:val="18"/>
              </w:rPr>
              <w:t>5</w:t>
            </w:r>
          </w:p>
        </w:tc>
        <w:tc>
          <w:tcPr>
            <w:tcW w:w="509" w:type="dxa"/>
            <w:textDirection w:val="tbRlV"/>
            <w:vAlign w:val="top"/>
          </w:tcPr>
          <w:p>
            <w:pPr>
              <w:spacing w:before="160" w:line="202" w:lineRule="auto"/>
              <w:ind w:left="90"/>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76" w:line="186" w:lineRule="auto"/>
              <w:ind w:left="280"/>
              <w:rPr>
                <w:sz w:val="18"/>
                <w:szCs w:val="18"/>
              </w:rPr>
            </w:pPr>
            <w:r>
              <w:rPr>
                <w:spacing w:val="-5"/>
                <w:sz w:val="18"/>
                <w:szCs w:val="18"/>
              </w:rPr>
              <w:t>166</w:t>
            </w:r>
          </w:p>
        </w:tc>
        <w:tc>
          <w:tcPr>
            <w:tcW w:w="801" w:type="dxa"/>
            <w:vAlign w:val="top"/>
          </w:tcPr>
          <w:p>
            <w:pPr>
              <w:pStyle w:val="6"/>
              <w:spacing w:before="277" w:line="186" w:lineRule="auto"/>
              <w:ind w:left="280"/>
              <w:rPr>
                <w:sz w:val="18"/>
                <w:szCs w:val="18"/>
              </w:rPr>
            </w:pPr>
            <w:r>
              <w:rPr>
                <w:spacing w:val="-5"/>
                <w:sz w:val="18"/>
                <w:szCs w:val="18"/>
              </w:rPr>
              <w:t>169</w:t>
            </w:r>
          </w:p>
        </w:tc>
        <w:tc>
          <w:tcPr>
            <w:tcW w:w="802" w:type="dxa"/>
            <w:vAlign w:val="top"/>
          </w:tcPr>
          <w:p>
            <w:pPr>
              <w:pStyle w:val="6"/>
              <w:spacing w:before="277" w:line="186" w:lineRule="auto"/>
              <w:ind w:left="280"/>
              <w:rPr>
                <w:sz w:val="18"/>
                <w:szCs w:val="18"/>
              </w:rPr>
            </w:pPr>
            <w:r>
              <w:rPr>
                <w:spacing w:val="-5"/>
                <w:sz w:val="18"/>
                <w:szCs w:val="18"/>
              </w:rPr>
              <w:t>171</w:t>
            </w:r>
          </w:p>
        </w:tc>
        <w:tc>
          <w:tcPr>
            <w:tcW w:w="955" w:type="dxa"/>
            <w:vAlign w:val="top"/>
          </w:tcPr>
          <w:p>
            <w:pPr>
              <w:pStyle w:val="6"/>
              <w:spacing w:before="277" w:line="186" w:lineRule="auto"/>
              <w:ind w:left="114"/>
              <w:rPr>
                <w:sz w:val="18"/>
                <w:szCs w:val="18"/>
              </w:rPr>
            </w:pPr>
            <w:r>
              <w:rPr>
                <w:spacing w:val="-1"/>
                <w:sz w:val="18"/>
                <w:szCs w:val="18"/>
              </w:rPr>
              <w:t>0.37~0.38</w:t>
            </w:r>
          </w:p>
        </w:tc>
        <w:tc>
          <w:tcPr>
            <w:tcW w:w="362" w:type="dxa"/>
            <w:tcBorders>
              <w:right w:val="nil"/>
            </w:tcBorders>
            <w:textDirection w:val="tbRlV"/>
            <w:vAlign w:val="top"/>
          </w:tcPr>
          <w:p>
            <w:pPr>
              <w:spacing w:before="74" w:line="202" w:lineRule="auto"/>
              <w:ind w:left="90"/>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trPr>
        <w:tc>
          <w:tcPr>
            <w:tcW w:w="1703" w:type="dxa"/>
            <w:tcBorders>
              <w:left w:val="nil"/>
              <w:bottom w:val="single" w:color="000000" w:sz="12" w:space="0"/>
            </w:tcBorders>
            <w:vAlign w:val="top"/>
          </w:tcPr>
          <w:p>
            <w:pPr>
              <w:spacing w:before="94" w:line="218" w:lineRule="auto"/>
              <w:ind w:left="779"/>
              <w:rPr>
                <w:rFonts w:ascii="仿宋" w:hAnsi="仿宋" w:eastAsia="仿宋" w:cs="仿宋"/>
                <w:sz w:val="18"/>
                <w:szCs w:val="18"/>
              </w:rPr>
            </w:pPr>
            <w:r>
              <w:rPr>
                <w:rFonts w:ascii="仿宋" w:hAnsi="仿宋" w:eastAsia="仿宋" w:cs="仿宋"/>
                <w:sz w:val="18"/>
                <w:szCs w:val="18"/>
              </w:rPr>
              <w:t>铅</w:t>
            </w:r>
          </w:p>
        </w:tc>
        <w:tc>
          <w:tcPr>
            <w:tcW w:w="661" w:type="dxa"/>
            <w:tcBorders>
              <w:bottom w:val="single" w:color="000000" w:sz="12" w:space="0"/>
            </w:tcBorders>
            <w:vAlign w:val="top"/>
          </w:tcPr>
          <w:p>
            <w:pPr>
              <w:pStyle w:val="6"/>
              <w:spacing w:before="121" w:line="218" w:lineRule="auto"/>
              <w:ind w:left="120"/>
              <w:rPr>
                <w:sz w:val="18"/>
                <w:szCs w:val="18"/>
              </w:rPr>
            </w:pPr>
            <w:r>
              <w:rPr>
                <w:spacing w:val="-1"/>
                <w:sz w:val="18"/>
                <w:szCs w:val="18"/>
              </w:rPr>
              <w:t>≤0.05</w:t>
            </w:r>
          </w:p>
        </w:tc>
        <w:tc>
          <w:tcPr>
            <w:tcW w:w="802" w:type="dxa"/>
            <w:tcBorders>
              <w:bottom w:val="single" w:color="000000" w:sz="12" w:space="0"/>
            </w:tcBorders>
            <w:vAlign w:val="top"/>
          </w:tcPr>
          <w:p>
            <w:pPr>
              <w:pStyle w:val="6"/>
              <w:spacing w:before="122" w:line="188" w:lineRule="auto"/>
              <w:ind w:left="231"/>
              <w:rPr>
                <w:sz w:val="18"/>
                <w:szCs w:val="18"/>
              </w:rPr>
            </w:pPr>
            <w:r>
              <w:rPr>
                <w:spacing w:val="-1"/>
                <w:sz w:val="18"/>
                <w:szCs w:val="18"/>
              </w:rPr>
              <w:t>2.5L</w:t>
            </w:r>
          </w:p>
        </w:tc>
        <w:tc>
          <w:tcPr>
            <w:tcW w:w="802" w:type="dxa"/>
            <w:tcBorders>
              <w:bottom w:val="single" w:color="000000" w:sz="12" w:space="0"/>
            </w:tcBorders>
            <w:vAlign w:val="top"/>
          </w:tcPr>
          <w:p>
            <w:pPr>
              <w:pStyle w:val="6"/>
              <w:spacing w:before="122" w:line="188" w:lineRule="auto"/>
              <w:ind w:left="231"/>
              <w:rPr>
                <w:sz w:val="18"/>
                <w:szCs w:val="18"/>
              </w:rPr>
            </w:pPr>
            <w:r>
              <w:rPr>
                <w:spacing w:val="-1"/>
                <w:sz w:val="18"/>
                <w:szCs w:val="18"/>
              </w:rPr>
              <w:t>2.5L</w:t>
            </w:r>
          </w:p>
        </w:tc>
        <w:tc>
          <w:tcPr>
            <w:tcW w:w="803" w:type="dxa"/>
            <w:tcBorders>
              <w:bottom w:val="single" w:color="000000" w:sz="12" w:space="0"/>
            </w:tcBorders>
            <w:vAlign w:val="top"/>
          </w:tcPr>
          <w:p>
            <w:pPr>
              <w:pStyle w:val="6"/>
              <w:spacing w:before="122" w:line="188" w:lineRule="auto"/>
              <w:ind w:left="231"/>
              <w:rPr>
                <w:sz w:val="18"/>
                <w:szCs w:val="18"/>
              </w:rPr>
            </w:pPr>
            <w:r>
              <w:rPr>
                <w:spacing w:val="-1"/>
                <w:sz w:val="18"/>
                <w:szCs w:val="18"/>
              </w:rPr>
              <w:t>2.5L</w:t>
            </w:r>
          </w:p>
        </w:tc>
        <w:tc>
          <w:tcPr>
            <w:tcW w:w="1100" w:type="dxa"/>
            <w:tcBorders>
              <w:bottom w:val="single" w:color="000000" w:sz="12" w:space="0"/>
            </w:tcBorders>
            <w:vAlign w:val="top"/>
          </w:tcPr>
          <w:p>
            <w:pPr>
              <w:pStyle w:val="6"/>
              <w:spacing w:before="121" w:line="232" w:lineRule="auto"/>
              <w:ind w:left="520"/>
              <w:rPr>
                <w:sz w:val="18"/>
                <w:szCs w:val="18"/>
              </w:rPr>
            </w:pPr>
            <w:r>
              <w:rPr>
                <w:sz w:val="18"/>
                <w:szCs w:val="18"/>
              </w:rPr>
              <w:t>/</w:t>
            </w:r>
          </w:p>
        </w:tc>
        <w:tc>
          <w:tcPr>
            <w:tcW w:w="509" w:type="dxa"/>
            <w:tcBorders>
              <w:bottom w:val="single" w:color="000000" w:sz="12" w:space="0"/>
            </w:tcBorders>
            <w:vAlign w:val="top"/>
          </w:tcPr>
          <w:p>
            <w:pPr>
              <w:spacing w:before="93" w:line="225" w:lineRule="auto"/>
              <w:ind w:left="173"/>
              <w:rPr>
                <w:rFonts w:ascii="仿宋" w:hAnsi="仿宋" w:eastAsia="仿宋" w:cs="仿宋"/>
                <w:sz w:val="18"/>
                <w:szCs w:val="18"/>
              </w:rPr>
            </w:pPr>
            <w:r>
              <w:rPr>
                <w:rFonts w:ascii="仿宋" w:hAnsi="仿宋" w:eastAsia="仿宋" w:cs="仿宋"/>
                <w:sz w:val="18"/>
                <w:szCs w:val="18"/>
              </w:rPr>
              <w:t>达</w:t>
            </w:r>
          </w:p>
        </w:tc>
        <w:tc>
          <w:tcPr>
            <w:tcW w:w="803" w:type="dxa"/>
            <w:tcBorders>
              <w:bottom w:val="single" w:color="000000" w:sz="12" w:space="0"/>
            </w:tcBorders>
            <w:vAlign w:val="top"/>
          </w:tcPr>
          <w:p>
            <w:pPr>
              <w:pStyle w:val="6"/>
              <w:spacing w:before="122" w:line="188" w:lineRule="auto"/>
              <w:ind w:left="231"/>
              <w:rPr>
                <w:sz w:val="18"/>
                <w:szCs w:val="18"/>
              </w:rPr>
            </w:pPr>
            <w:r>
              <w:rPr>
                <w:spacing w:val="-1"/>
                <w:sz w:val="18"/>
                <w:szCs w:val="18"/>
              </w:rPr>
              <w:t>2.5L</w:t>
            </w:r>
          </w:p>
        </w:tc>
        <w:tc>
          <w:tcPr>
            <w:tcW w:w="802" w:type="dxa"/>
            <w:tcBorders>
              <w:bottom w:val="single" w:color="000000" w:sz="12" w:space="0"/>
            </w:tcBorders>
            <w:vAlign w:val="top"/>
          </w:tcPr>
          <w:p>
            <w:pPr>
              <w:pStyle w:val="6"/>
              <w:spacing w:before="122" w:line="188" w:lineRule="auto"/>
              <w:ind w:left="231"/>
              <w:rPr>
                <w:sz w:val="18"/>
                <w:szCs w:val="18"/>
              </w:rPr>
            </w:pPr>
            <w:r>
              <w:rPr>
                <w:spacing w:val="-1"/>
                <w:sz w:val="18"/>
                <w:szCs w:val="18"/>
              </w:rPr>
              <w:t>2.5L</w:t>
            </w:r>
          </w:p>
        </w:tc>
        <w:tc>
          <w:tcPr>
            <w:tcW w:w="802" w:type="dxa"/>
            <w:tcBorders>
              <w:bottom w:val="single" w:color="000000" w:sz="12" w:space="0"/>
            </w:tcBorders>
            <w:vAlign w:val="top"/>
          </w:tcPr>
          <w:p>
            <w:pPr>
              <w:pStyle w:val="6"/>
              <w:spacing w:before="122" w:line="188" w:lineRule="auto"/>
              <w:ind w:left="230"/>
              <w:rPr>
                <w:sz w:val="18"/>
                <w:szCs w:val="18"/>
              </w:rPr>
            </w:pPr>
            <w:r>
              <w:rPr>
                <w:spacing w:val="-1"/>
                <w:sz w:val="18"/>
                <w:szCs w:val="18"/>
              </w:rPr>
              <w:t>2.5L</w:t>
            </w:r>
          </w:p>
        </w:tc>
        <w:tc>
          <w:tcPr>
            <w:tcW w:w="955" w:type="dxa"/>
            <w:tcBorders>
              <w:bottom w:val="single" w:color="000000" w:sz="12" w:space="0"/>
            </w:tcBorders>
            <w:vAlign w:val="top"/>
          </w:tcPr>
          <w:p>
            <w:pPr>
              <w:pStyle w:val="6"/>
              <w:spacing w:before="121" w:line="232" w:lineRule="auto"/>
              <w:ind w:left="446"/>
              <w:rPr>
                <w:sz w:val="18"/>
                <w:szCs w:val="18"/>
              </w:rPr>
            </w:pPr>
            <w:r>
              <w:rPr>
                <w:sz w:val="18"/>
                <w:szCs w:val="18"/>
              </w:rPr>
              <w:t>/</w:t>
            </w:r>
          </w:p>
        </w:tc>
        <w:tc>
          <w:tcPr>
            <w:tcW w:w="509" w:type="dxa"/>
            <w:tcBorders>
              <w:bottom w:val="single" w:color="000000" w:sz="12" w:space="0"/>
            </w:tcBorders>
            <w:vAlign w:val="top"/>
          </w:tcPr>
          <w:p>
            <w:pPr>
              <w:spacing w:before="93" w:line="225" w:lineRule="auto"/>
              <w:ind w:left="172"/>
              <w:rPr>
                <w:rFonts w:ascii="仿宋" w:hAnsi="仿宋" w:eastAsia="仿宋" w:cs="仿宋"/>
                <w:sz w:val="18"/>
                <w:szCs w:val="18"/>
              </w:rPr>
            </w:pPr>
            <w:r>
              <w:rPr>
                <w:rFonts w:ascii="仿宋" w:hAnsi="仿宋" w:eastAsia="仿宋" w:cs="仿宋"/>
                <w:sz w:val="18"/>
                <w:szCs w:val="18"/>
              </w:rPr>
              <w:t>达</w:t>
            </w:r>
          </w:p>
        </w:tc>
        <w:tc>
          <w:tcPr>
            <w:tcW w:w="803" w:type="dxa"/>
            <w:tcBorders>
              <w:bottom w:val="single" w:color="000000" w:sz="12" w:space="0"/>
            </w:tcBorders>
            <w:vAlign w:val="top"/>
          </w:tcPr>
          <w:p>
            <w:pPr>
              <w:pStyle w:val="6"/>
              <w:spacing w:before="122" w:line="188" w:lineRule="auto"/>
              <w:ind w:left="230"/>
              <w:rPr>
                <w:sz w:val="18"/>
                <w:szCs w:val="18"/>
              </w:rPr>
            </w:pPr>
            <w:r>
              <w:rPr>
                <w:spacing w:val="-1"/>
                <w:sz w:val="18"/>
                <w:szCs w:val="18"/>
              </w:rPr>
              <w:t>2.5L</w:t>
            </w:r>
          </w:p>
        </w:tc>
        <w:tc>
          <w:tcPr>
            <w:tcW w:w="801" w:type="dxa"/>
            <w:tcBorders>
              <w:bottom w:val="single" w:color="000000" w:sz="12" w:space="0"/>
            </w:tcBorders>
            <w:vAlign w:val="top"/>
          </w:tcPr>
          <w:p>
            <w:pPr>
              <w:pStyle w:val="6"/>
              <w:spacing w:before="122" w:line="188" w:lineRule="auto"/>
              <w:ind w:left="230"/>
              <w:rPr>
                <w:sz w:val="18"/>
                <w:szCs w:val="18"/>
              </w:rPr>
            </w:pPr>
            <w:r>
              <w:rPr>
                <w:spacing w:val="-1"/>
                <w:sz w:val="18"/>
                <w:szCs w:val="18"/>
              </w:rPr>
              <w:t>2.5L</w:t>
            </w:r>
          </w:p>
        </w:tc>
        <w:tc>
          <w:tcPr>
            <w:tcW w:w="802" w:type="dxa"/>
            <w:tcBorders>
              <w:bottom w:val="single" w:color="000000" w:sz="12" w:space="0"/>
            </w:tcBorders>
            <w:vAlign w:val="top"/>
          </w:tcPr>
          <w:p>
            <w:pPr>
              <w:pStyle w:val="6"/>
              <w:spacing w:before="122" w:line="188" w:lineRule="auto"/>
              <w:ind w:left="230"/>
              <w:rPr>
                <w:sz w:val="18"/>
                <w:szCs w:val="18"/>
              </w:rPr>
            </w:pPr>
            <w:r>
              <w:rPr>
                <w:spacing w:val="-1"/>
                <w:sz w:val="18"/>
                <w:szCs w:val="18"/>
              </w:rPr>
              <w:t>2.5L</w:t>
            </w:r>
          </w:p>
        </w:tc>
        <w:tc>
          <w:tcPr>
            <w:tcW w:w="955" w:type="dxa"/>
            <w:tcBorders>
              <w:bottom w:val="single" w:color="000000" w:sz="12" w:space="0"/>
            </w:tcBorders>
            <w:vAlign w:val="top"/>
          </w:tcPr>
          <w:p>
            <w:pPr>
              <w:pStyle w:val="6"/>
              <w:spacing w:before="121" w:line="232" w:lineRule="auto"/>
              <w:ind w:left="446"/>
              <w:rPr>
                <w:sz w:val="18"/>
                <w:szCs w:val="18"/>
              </w:rPr>
            </w:pPr>
            <w:r>
              <w:rPr>
                <w:sz w:val="18"/>
                <w:szCs w:val="18"/>
              </w:rPr>
              <w:t>/</w:t>
            </w:r>
          </w:p>
        </w:tc>
        <w:tc>
          <w:tcPr>
            <w:tcW w:w="362" w:type="dxa"/>
            <w:tcBorders>
              <w:bottom w:val="single" w:color="000000" w:sz="12" w:space="0"/>
              <w:right w:val="nil"/>
            </w:tcBorders>
            <w:vAlign w:val="top"/>
          </w:tcPr>
          <w:p>
            <w:pPr>
              <w:spacing w:before="93" w:line="225" w:lineRule="auto"/>
              <w:ind w:left="116"/>
              <w:rPr>
                <w:rFonts w:ascii="仿宋" w:hAnsi="仿宋" w:eastAsia="仿宋" w:cs="仿宋"/>
                <w:sz w:val="18"/>
                <w:szCs w:val="18"/>
              </w:rPr>
            </w:pPr>
            <w:r>
              <w:rPr>
                <w:rFonts w:ascii="仿宋" w:hAnsi="仿宋" w:eastAsia="仿宋" w:cs="仿宋"/>
                <w:sz w:val="18"/>
                <w:szCs w:val="18"/>
              </w:rPr>
              <w:t>达</w:t>
            </w:r>
          </w:p>
        </w:tc>
      </w:tr>
    </w:tbl>
    <w:p>
      <w:pPr>
        <w:rPr>
          <w:rFonts w:ascii="Arial"/>
          <w:sz w:val="21"/>
        </w:rPr>
      </w:pPr>
    </w:p>
    <w:p>
      <w:pPr>
        <w:rPr>
          <w:rFonts w:ascii="Arial" w:hAnsi="Arial" w:eastAsia="Arial" w:cs="Arial"/>
          <w:sz w:val="21"/>
          <w:szCs w:val="21"/>
        </w:rPr>
        <w:sectPr>
          <w:headerReference r:id="rId198" w:type="default"/>
          <w:footerReference r:id="rId199" w:type="default"/>
          <w:pgSz w:w="16839" w:h="11907"/>
          <w:pgMar w:top="1156" w:right="1408" w:bottom="1374" w:left="1410" w:header="881" w:footer="1210" w:gutter="0"/>
        </w:sectPr>
      </w:pPr>
    </w:p>
    <w:p>
      <w:pPr>
        <w:spacing w:before="80"/>
      </w:pPr>
    </w:p>
    <w:p>
      <w:pPr>
        <w:spacing w:before="80"/>
      </w:pPr>
    </w:p>
    <w:tbl>
      <w:tblPr>
        <w:tblStyle w:val="5"/>
        <w:tblW w:w="13974"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3"/>
        <w:gridCol w:w="661"/>
        <w:gridCol w:w="802"/>
        <w:gridCol w:w="802"/>
        <w:gridCol w:w="803"/>
        <w:gridCol w:w="1100"/>
        <w:gridCol w:w="509"/>
        <w:gridCol w:w="803"/>
        <w:gridCol w:w="802"/>
        <w:gridCol w:w="802"/>
        <w:gridCol w:w="955"/>
        <w:gridCol w:w="509"/>
        <w:gridCol w:w="803"/>
        <w:gridCol w:w="801"/>
        <w:gridCol w:w="802"/>
        <w:gridCol w:w="955"/>
        <w:gridCol w:w="3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1703" w:type="dxa"/>
            <w:tcBorders>
              <w:top w:val="single" w:color="000000" w:sz="12" w:space="0"/>
              <w:left w:val="nil"/>
            </w:tcBorders>
            <w:vAlign w:val="top"/>
          </w:tcPr>
          <w:p>
            <w:pPr>
              <w:rPr>
                <w:rFonts w:ascii="Arial"/>
                <w:sz w:val="21"/>
              </w:rPr>
            </w:pPr>
          </w:p>
        </w:tc>
        <w:tc>
          <w:tcPr>
            <w:tcW w:w="661" w:type="dxa"/>
            <w:tcBorders>
              <w:top w:val="single" w:color="000000" w:sz="12" w:space="0"/>
            </w:tcBorders>
            <w:vAlign w:val="top"/>
          </w:tcPr>
          <w:p>
            <w:pPr>
              <w:rPr>
                <w:rFonts w:ascii="Arial"/>
                <w:sz w:val="21"/>
              </w:rPr>
            </w:pPr>
          </w:p>
        </w:tc>
        <w:tc>
          <w:tcPr>
            <w:tcW w:w="802" w:type="dxa"/>
            <w:tcBorders>
              <w:top w:val="single" w:color="000000" w:sz="12" w:space="0"/>
            </w:tcBorders>
            <w:vAlign w:val="top"/>
          </w:tcPr>
          <w:p>
            <w:pPr>
              <w:rPr>
                <w:rFonts w:ascii="Arial"/>
                <w:sz w:val="21"/>
              </w:rPr>
            </w:pPr>
          </w:p>
        </w:tc>
        <w:tc>
          <w:tcPr>
            <w:tcW w:w="802" w:type="dxa"/>
            <w:tcBorders>
              <w:top w:val="single" w:color="000000" w:sz="12" w:space="0"/>
            </w:tcBorders>
            <w:vAlign w:val="top"/>
          </w:tcPr>
          <w:p>
            <w:pPr>
              <w:rPr>
                <w:rFonts w:ascii="Arial"/>
                <w:sz w:val="21"/>
              </w:rPr>
            </w:pPr>
          </w:p>
        </w:tc>
        <w:tc>
          <w:tcPr>
            <w:tcW w:w="803" w:type="dxa"/>
            <w:tcBorders>
              <w:top w:val="single" w:color="000000" w:sz="12" w:space="0"/>
            </w:tcBorders>
            <w:vAlign w:val="top"/>
          </w:tcPr>
          <w:p>
            <w:pPr>
              <w:rPr>
                <w:rFonts w:ascii="Arial"/>
                <w:sz w:val="21"/>
              </w:rPr>
            </w:pPr>
          </w:p>
        </w:tc>
        <w:tc>
          <w:tcPr>
            <w:tcW w:w="1100" w:type="dxa"/>
            <w:tcBorders>
              <w:top w:val="single" w:color="000000" w:sz="12" w:space="0"/>
            </w:tcBorders>
            <w:vAlign w:val="top"/>
          </w:tcPr>
          <w:p>
            <w:pPr>
              <w:rPr>
                <w:rFonts w:ascii="Arial"/>
                <w:sz w:val="21"/>
              </w:rPr>
            </w:pPr>
          </w:p>
        </w:tc>
        <w:tc>
          <w:tcPr>
            <w:tcW w:w="509" w:type="dxa"/>
            <w:tcBorders>
              <w:top w:val="single" w:color="000000" w:sz="12" w:space="0"/>
            </w:tcBorders>
            <w:vAlign w:val="top"/>
          </w:tcPr>
          <w:p>
            <w:pPr>
              <w:spacing w:before="66" w:line="218" w:lineRule="auto"/>
              <w:ind w:left="170"/>
              <w:rPr>
                <w:rFonts w:ascii="仿宋" w:hAnsi="仿宋" w:eastAsia="仿宋" w:cs="仿宋"/>
                <w:sz w:val="18"/>
                <w:szCs w:val="18"/>
              </w:rPr>
            </w:pPr>
            <w:r>
              <w:rPr>
                <w:rFonts w:ascii="仿宋" w:hAnsi="仿宋" w:eastAsia="仿宋" w:cs="仿宋"/>
                <w:sz w:val="18"/>
                <w:szCs w:val="18"/>
              </w:rPr>
              <w:t>标</w:t>
            </w:r>
          </w:p>
        </w:tc>
        <w:tc>
          <w:tcPr>
            <w:tcW w:w="803" w:type="dxa"/>
            <w:tcBorders>
              <w:top w:val="single" w:color="000000" w:sz="12" w:space="0"/>
            </w:tcBorders>
            <w:vAlign w:val="top"/>
          </w:tcPr>
          <w:p>
            <w:pPr>
              <w:rPr>
                <w:rFonts w:ascii="Arial"/>
                <w:sz w:val="21"/>
              </w:rPr>
            </w:pPr>
          </w:p>
        </w:tc>
        <w:tc>
          <w:tcPr>
            <w:tcW w:w="802" w:type="dxa"/>
            <w:tcBorders>
              <w:top w:val="single" w:color="000000" w:sz="12" w:space="0"/>
            </w:tcBorders>
            <w:vAlign w:val="top"/>
          </w:tcPr>
          <w:p>
            <w:pPr>
              <w:rPr>
                <w:rFonts w:ascii="Arial"/>
                <w:sz w:val="21"/>
              </w:rPr>
            </w:pPr>
          </w:p>
        </w:tc>
        <w:tc>
          <w:tcPr>
            <w:tcW w:w="802" w:type="dxa"/>
            <w:tcBorders>
              <w:top w:val="single" w:color="000000" w:sz="12" w:space="0"/>
            </w:tcBorders>
            <w:vAlign w:val="top"/>
          </w:tcPr>
          <w:p>
            <w:pPr>
              <w:rPr>
                <w:rFonts w:ascii="Arial"/>
                <w:sz w:val="21"/>
              </w:rPr>
            </w:pPr>
          </w:p>
        </w:tc>
        <w:tc>
          <w:tcPr>
            <w:tcW w:w="955" w:type="dxa"/>
            <w:tcBorders>
              <w:top w:val="single" w:color="000000" w:sz="12" w:space="0"/>
            </w:tcBorders>
            <w:vAlign w:val="top"/>
          </w:tcPr>
          <w:p>
            <w:pPr>
              <w:rPr>
                <w:rFonts w:ascii="Arial"/>
                <w:sz w:val="21"/>
              </w:rPr>
            </w:pPr>
          </w:p>
        </w:tc>
        <w:tc>
          <w:tcPr>
            <w:tcW w:w="509" w:type="dxa"/>
            <w:tcBorders>
              <w:top w:val="single" w:color="000000" w:sz="12" w:space="0"/>
            </w:tcBorders>
            <w:vAlign w:val="top"/>
          </w:tcPr>
          <w:p>
            <w:pPr>
              <w:spacing w:before="66" w:line="218" w:lineRule="auto"/>
              <w:ind w:left="169"/>
              <w:rPr>
                <w:rFonts w:ascii="仿宋" w:hAnsi="仿宋" w:eastAsia="仿宋" w:cs="仿宋"/>
                <w:sz w:val="18"/>
                <w:szCs w:val="18"/>
              </w:rPr>
            </w:pPr>
            <w:r>
              <w:rPr>
                <w:rFonts w:ascii="仿宋" w:hAnsi="仿宋" w:eastAsia="仿宋" w:cs="仿宋"/>
                <w:sz w:val="18"/>
                <w:szCs w:val="18"/>
              </w:rPr>
              <w:t>标</w:t>
            </w:r>
          </w:p>
        </w:tc>
        <w:tc>
          <w:tcPr>
            <w:tcW w:w="803" w:type="dxa"/>
            <w:tcBorders>
              <w:top w:val="single" w:color="000000" w:sz="12" w:space="0"/>
            </w:tcBorders>
            <w:vAlign w:val="top"/>
          </w:tcPr>
          <w:p>
            <w:pPr>
              <w:rPr>
                <w:rFonts w:ascii="Arial"/>
                <w:sz w:val="21"/>
              </w:rPr>
            </w:pPr>
          </w:p>
        </w:tc>
        <w:tc>
          <w:tcPr>
            <w:tcW w:w="801" w:type="dxa"/>
            <w:tcBorders>
              <w:top w:val="single" w:color="000000" w:sz="12" w:space="0"/>
            </w:tcBorders>
            <w:vAlign w:val="top"/>
          </w:tcPr>
          <w:p>
            <w:pPr>
              <w:rPr>
                <w:rFonts w:ascii="Arial"/>
                <w:sz w:val="21"/>
              </w:rPr>
            </w:pPr>
          </w:p>
        </w:tc>
        <w:tc>
          <w:tcPr>
            <w:tcW w:w="802" w:type="dxa"/>
            <w:tcBorders>
              <w:top w:val="single" w:color="000000" w:sz="12" w:space="0"/>
            </w:tcBorders>
            <w:vAlign w:val="top"/>
          </w:tcPr>
          <w:p>
            <w:pPr>
              <w:rPr>
                <w:rFonts w:ascii="Arial"/>
                <w:sz w:val="21"/>
              </w:rPr>
            </w:pPr>
          </w:p>
        </w:tc>
        <w:tc>
          <w:tcPr>
            <w:tcW w:w="955" w:type="dxa"/>
            <w:tcBorders>
              <w:top w:val="single" w:color="000000" w:sz="12" w:space="0"/>
            </w:tcBorders>
            <w:vAlign w:val="top"/>
          </w:tcPr>
          <w:p>
            <w:pPr>
              <w:rPr>
                <w:rFonts w:ascii="Arial"/>
                <w:sz w:val="21"/>
              </w:rPr>
            </w:pPr>
          </w:p>
        </w:tc>
        <w:tc>
          <w:tcPr>
            <w:tcW w:w="362" w:type="dxa"/>
            <w:tcBorders>
              <w:top w:val="single" w:color="000000" w:sz="12" w:space="0"/>
              <w:right w:val="nil"/>
            </w:tcBorders>
            <w:vAlign w:val="top"/>
          </w:tcPr>
          <w:p>
            <w:pPr>
              <w:spacing w:before="66" w:line="218" w:lineRule="auto"/>
              <w:ind w:left="113"/>
              <w:rPr>
                <w:rFonts w:ascii="仿宋" w:hAnsi="仿宋" w:eastAsia="仿宋" w:cs="仿宋"/>
                <w:sz w:val="18"/>
                <w:szCs w:val="18"/>
              </w:rPr>
            </w:pP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703" w:type="dxa"/>
            <w:tcBorders>
              <w:left w:val="nil"/>
            </w:tcBorders>
            <w:vAlign w:val="top"/>
          </w:tcPr>
          <w:p>
            <w:pPr>
              <w:spacing w:before="220" w:line="217" w:lineRule="auto"/>
              <w:ind w:left="604"/>
              <w:rPr>
                <w:rFonts w:ascii="仿宋" w:hAnsi="仿宋" w:eastAsia="仿宋" w:cs="仿宋"/>
                <w:sz w:val="18"/>
                <w:szCs w:val="18"/>
              </w:rPr>
            </w:pPr>
            <w:r>
              <w:rPr>
                <w:rFonts w:ascii="仿宋" w:hAnsi="仿宋" w:eastAsia="仿宋" w:cs="仿宋"/>
                <w:spacing w:val="-4"/>
                <w:sz w:val="18"/>
                <w:szCs w:val="18"/>
              </w:rPr>
              <w:t>氟化物</w:t>
            </w:r>
          </w:p>
        </w:tc>
        <w:tc>
          <w:tcPr>
            <w:tcW w:w="661" w:type="dxa"/>
            <w:vAlign w:val="top"/>
          </w:tcPr>
          <w:p>
            <w:pPr>
              <w:pStyle w:val="6"/>
              <w:spacing w:before="248" w:line="218" w:lineRule="auto"/>
              <w:ind w:left="233"/>
              <w:rPr>
                <w:sz w:val="18"/>
                <w:szCs w:val="18"/>
              </w:rPr>
            </w:pPr>
            <w:r>
              <w:rPr>
                <w:spacing w:val="-1"/>
                <w:sz w:val="18"/>
                <w:szCs w:val="18"/>
              </w:rPr>
              <w:t>≤1</w:t>
            </w:r>
          </w:p>
        </w:tc>
        <w:tc>
          <w:tcPr>
            <w:tcW w:w="802" w:type="dxa"/>
            <w:vAlign w:val="top"/>
          </w:tcPr>
          <w:p>
            <w:pPr>
              <w:pStyle w:val="6"/>
              <w:spacing w:before="249" w:line="188" w:lineRule="auto"/>
              <w:ind w:left="234"/>
              <w:rPr>
                <w:sz w:val="18"/>
                <w:szCs w:val="18"/>
              </w:rPr>
            </w:pPr>
            <w:r>
              <w:rPr>
                <w:spacing w:val="-2"/>
                <w:sz w:val="18"/>
                <w:szCs w:val="18"/>
              </w:rPr>
              <w:t>0.2L</w:t>
            </w:r>
          </w:p>
        </w:tc>
        <w:tc>
          <w:tcPr>
            <w:tcW w:w="802" w:type="dxa"/>
            <w:vAlign w:val="top"/>
          </w:tcPr>
          <w:p>
            <w:pPr>
              <w:pStyle w:val="6"/>
              <w:spacing w:before="249" w:line="188" w:lineRule="auto"/>
              <w:ind w:left="234"/>
              <w:rPr>
                <w:sz w:val="18"/>
                <w:szCs w:val="18"/>
              </w:rPr>
            </w:pPr>
            <w:r>
              <w:rPr>
                <w:spacing w:val="-2"/>
                <w:sz w:val="18"/>
                <w:szCs w:val="18"/>
              </w:rPr>
              <w:t>0.2L</w:t>
            </w:r>
          </w:p>
        </w:tc>
        <w:tc>
          <w:tcPr>
            <w:tcW w:w="803" w:type="dxa"/>
            <w:vAlign w:val="top"/>
          </w:tcPr>
          <w:p>
            <w:pPr>
              <w:pStyle w:val="6"/>
              <w:spacing w:before="249" w:line="188" w:lineRule="auto"/>
              <w:ind w:left="233"/>
              <w:rPr>
                <w:sz w:val="18"/>
                <w:szCs w:val="18"/>
              </w:rPr>
            </w:pPr>
            <w:r>
              <w:rPr>
                <w:spacing w:val="-2"/>
                <w:sz w:val="18"/>
                <w:szCs w:val="18"/>
              </w:rPr>
              <w:t>0.2L</w:t>
            </w:r>
          </w:p>
        </w:tc>
        <w:tc>
          <w:tcPr>
            <w:tcW w:w="1100" w:type="dxa"/>
            <w:vAlign w:val="top"/>
          </w:tcPr>
          <w:p>
            <w:pPr>
              <w:pStyle w:val="6"/>
              <w:spacing w:before="248" w:line="232" w:lineRule="auto"/>
              <w:ind w:left="520"/>
              <w:rPr>
                <w:sz w:val="18"/>
                <w:szCs w:val="18"/>
              </w:rPr>
            </w:pPr>
            <w:r>
              <w:rPr>
                <w:sz w:val="18"/>
                <w:szCs w:val="18"/>
              </w:rPr>
              <w:t>/</w:t>
            </w:r>
          </w:p>
        </w:tc>
        <w:tc>
          <w:tcPr>
            <w:tcW w:w="509" w:type="dxa"/>
            <w:textDirection w:val="tbRlV"/>
            <w:vAlign w:val="top"/>
          </w:tcPr>
          <w:p>
            <w:pPr>
              <w:spacing w:before="159" w:line="202" w:lineRule="auto"/>
              <w:ind w:left="6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49" w:line="188" w:lineRule="auto"/>
              <w:ind w:left="233"/>
              <w:rPr>
                <w:sz w:val="18"/>
                <w:szCs w:val="18"/>
              </w:rPr>
            </w:pPr>
            <w:r>
              <w:rPr>
                <w:spacing w:val="-2"/>
                <w:sz w:val="18"/>
                <w:szCs w:val="18"/>
              </w:rPr>
              <w:t>0.2L</w:t>
            </w:r>
          </w:p>
        </w:tc>
        <w:tc>
          <w:tcPr>
            <w:tcW w:w="802" w:type="dxa"/>
            <w:vAlign w:val="top"/>
          </w:tcPr>
          <w:p>
            <w:pPr>
              <w:pStyle w:val="6"/>
              <w:spacing w:before="249" w:line="188" w:lineRule="auto"/>
              <w:ind w:left="234"/>
              <w:rPr>
                <w:sz w:val="18"/>
                <w:szCs w:val="18"/>
              </w:rPr>
            </w:pPr>
            <w:r>
              <w:rPr>
                <w:spacing w:val="-2"/>
                <w:sz w:val="18"/>
                <w:szCs w:val="18"/>
              </w:rPr>
              <w:t>0.2L</w:t>
            </w:r>
          </w:p>
        </w:tc>
        <w:tc>
          <w:tcPr>
            <w:tcW w:w="802" w:type="dxa"/>
            <w:vAlign w:val="top"/>
          </w:tcPr>
          <w:p>
            <w:pPr>
              <w:pStyle w:val="6"/>
              <w:spacing w:before="249" w:line="188" w:lineRule="auto"/>
              <w:ind w:left="233"/>
              <w:rPr>
                <w:sz w:val="18"/>
                <w:szCs w:val="18"/>
              </w:rPr>
            </w:pPr>
            <w:r>
              <w:rPr>
                <w:spacing w:val="-2"/>
                <w:sz w:val="18"/>
                <w:szCs w:val="18"/>
              </w:rPr>
              <w:t>0.2L</w:t>
            </w:r>
          </w:p>
        </w:tc>
        <w:tc>
          <w:tcPr>
            <w:tcW w:w="955" w:type="dxa"/>
            <w:vAlign w:val="top"/>
          </w:tcPr>
          <w:p>
            <w:pPr>
              <w:pStyle w:val="6"/>
              <w:spacing w:before="248" w:line="232" w:lineRule="auto"/>
              <w:ind w:left="446"/>
              <w:rPr>
                <w:sz w:val="18"/>
                <w:szCs w:val="18"/>
              </w:rPr>
            </w:pPr>
            <w:r>
              <w:rPr>
                <w:sz w:val="18"/>
                <w:szCs w:val="18"/>
              </w:rPr>
              <w:t>/</w:t>
            </w:r>
          </w:p>
        </w:tc>
        <w:tc>
          <w:tcPr>
            <w:tcW w:w="509" w:type="dxa"/>
            <w:textDirection w:val="tbRlV"/>
            <w:vAlign w:val="top"/>
          </w:tcPr>
          <w:p>
            <w:pPr>
              <w:spacing w:before="160" w:line="202" w:lineRule="auto"/>
              <w:ind w:left="6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49" w:line="188" w:lineRule="auto"/>
              <w:ind w:left="233"/>
              <w:rPr>
                <w:sz w:val="18"/>
                <w:szCs w:val="18"/>
              </w:rPr>
            </w:pPr>
            <w:r>
              <w:rPr>
                <w:spacing w:val="-2"/>
                <w:sz w:val="18"/>
                <w:szCs w:val="18"/>
              </w:rPr>
              <w:t>0.2L</w:t>
            </w:r>
          </w:p>
        </w:tc>
        <w:tc>
          <w:tcPr>
            <w:tcW w:w="801" w:type="dxa"/>
            <w:vAlign w:val="top"/>
          </w:tcPr>
          <w:p>
            <w:pPr>
              <w:pStyle w:val="6"/>
              <w:spacing w:before="249" w:line="188" w:lineRule="auto"/>
              <w:ind w:left="233"/>
              <w:rPr>
                <w:sz w:val="18"/>
                <w:szCs w:val="18"/>
              </w:rPr>
            </w:pPr>
            <w:r>
              <w:rPr>
                <w:spacing w:val="-2"/>
                <w:sz w:val="18"/>
                <w:szCs w:val="18"/>
              </w:rPr>
              <w:t>0.2L</w:t>
            </w:r>
          </w:p>
        </w:tc>
        <w:tc>
          <w:tcPr>
            <w:tcW w:w="802" w:type="dxa"/>
            <w:vAlign w:val="top"/>
          </w:tcPr>
          <w:p>
            <w:pPr>
              <w:pStyle w:val="6"/>
              <w:spacing w:before="249" w:line="188" w:lineRule="auto"/>
              <w:ind w:left="233"/>
              <w:rPr>
                <w:sz w:val="18"/>
                <w:szCs w:val="18"/>
              </w:rPr>
            </w:pPr>
            <w:r>
              <w:rPr>
                <w:spacing w:val="-2"/>
                <w:sz w:val="18"/>
                <w:szCs w:val="18"/>
              </w:rPr>
              <w:t>0.2L</w:t>
            </w:r>
          </w:p>
        </w:tc>
        <w:tc>
          <w:tcPr>
            <w:tcW w:w="955" w:type="dxa"/>
            <w:vAlign w:val="top"/>
          </w:tcPr>
          <w:p>
            <w:pPr>
              <w:pStyle w:val="6"/>
              <w:spacing w:before="248" w:line="232" w:lineRule="auto"/>
              <w:ind w:left="446"/>
              <w:rPr>
                <w:sz w:val="18"/>
                <w:szCs w:val="18"/>
              </w:rPr>
            </w:pPr>
            <w:r>
              <w:rPr>
                <w:sz w:val="18"/>
                <w:szCs w:val="18"/>
              </w:rPr>
              <w:t>/</w:t>
            </w:r>
          </w:p>
        </w:tc>
        <w:tc>
          <w:tcPr>
            <w:tcW w:w="362" w:type="dxa"/>
            <w:tcBorders>
              <w:right w:val="nil"/>
            </w:tcBorders>
            <w:textDirection w:val="tbRlV"/>
            <w:vAlign w:val="top"/>
          </w:tcPr>
          <w:p>
            <w:pPr>
              <w:spacing w:before="74" w:line="202" w:lineRule="auto"/>
              <w:ind w:left="6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703" w:type="dxa"/>
            <w:tcBorders>
              <w:left w:val="nil"/>
            </w:tcBorders>
            <w:vAlign w:val="top"/>
          </w:tcPr>
          <w:p>
            <w:pPr>
              <w:spacing w:before="223" w:line="220" w:lineRule="auto"/>
              <w:ind w:left="780"/>
              <w:rPr>
                <w:rFonts w:ascii="仿宋" w:hAnsi="仿宋" w:eastAsia="仿宋" w:cs="仿宋"/>
                <w:sz w:val="18"/>
                <w:szCs w:val="18"/>
              </w:rPr>
            </w:pPr>
            <w:r>
              <w:rPr>
                <w:rFonts w:ascii="仿宋" w:hAnsi="仿宋" w:eastAsia="仿宋" w:cs="仿宋"/>
                <w:sz w:val="18"/>
                <w:szCs w:val="18"/>
              </w:rPr>
              <w:t>镉</w:t>
            </w:r>
          </w:p>
        </w:tc>
        <w:tc>
          <w:tcPr>
            <w:tcW w:w="661" w:type="dxa"/>
            <w:vAlign w:val="top"/>
          </w:tcPr>
          <w:p>
            <w:pPr>
              <w:pStyle w:val="6"/>
              <w:spacing w:before="251" w:line="218" w:lineRule="auto"/>
              <w:ind w:left="120"/>
              <w:rPr>
                <w:sz w:val="18"/>
                <w:szCs w:val="18"/>
              </w:rPr>
            </w:pPr>
            <w:r>
              <w:rPr>
                <w:spacing w:val="-1"/>
                <w:sz w:val="18"/>
                <w:szCs w:val="18"/>
              </w:rPr>
              <w:t>≤0.01</w:t>
            </w:r>
          </w:p>
        </w:tc>
        <w:tc>
          <w:tcPr>
            <w:tcW w:w="802" w:type="dxa"/>
            <w:vAlign w:val="top"/>
          </w:tcPr>
          <w:p>
            <w:pPr>
              <w:pStyle w:val="6"/>
              <w:spacing w:before="253" w:line="188" w:lineRule="auto"/>
              <w:ind w:left="234"/>
              <w:rPr>
                <w:sz w:val="18"/>
                <w:szCs w:val="18"/>
              </w:rPr>
            </w:pPr>
            <w:r>
              <w:rPr>
                <w:spacing w:val="-2"/>
                <w:sz w:val="18"/>
                <w:szCs w:val="18"/>
              </w:rPr>
              <w:t>0.5L</w:t>
            </w:r>
          </w:p>
        </w:tc>
        <w:tc>
          <w:tcPr>
            <w:tcW w:w="802" w:type="dxa"/>
            <w:vAlign w:val="top"/>
          </w:tcPr>
          <w:p>
            <w:pPr>
              <w:pStyle w:val="6"/>
              <w:spacing w:before="253" w:line="188" w:lineRule="auto"/>
              <w:ind w:left="234"/>
              <w:rPr>
                <w:sz w:val="18"/>
                <w:szCs w:val="18"/>
              </w:rPr>
            </w:pPr>
            <w:r>
              <w:rPr>
                <w:spacing w:val="-2"/>
                <w:sz w:val="18"/>
                <w:szCs w:val="18"/>
              </w:rPr>
              <w:t>0.5L</w:t>
            </w:r>
          </w:p>
        </w:tc>
        <w:tc>
          <w:tcPr>
            <w:tcW w:w="803" w:type="dxa"/>
            <w:vAlign w:val="top"/>
          </w:tcPr>
          <w:p>
            <w:pPr>
              <w:pStyle w:val="6"/>
              <w:spacing w:before="253" w:line="188" w:lineRule="auto"/>
              <w:ind w:left="233"/>
              <w:rPr>
                <w:sz w:val="18"/>
                <w:szCs w:val="18"/>
              </w:rPr>
            </w:pPr>
            <w:r>
              <w:rPr>
                <w:spacing w:val="-2"/>
                <w:sz w:val="18"/>
                <w:szCs w:val="18"/>
              </w:rPr>
              <w:t>0.5L</w:t>
            </w:r>
          </w:p>
        </w:tc>
        <w:tc>
          <w:tcPr>
            <w:tcW w:w="1100" w:type="dxa"/>
            <w:vAlign w:val="top"/>
          </w:tcPr>
          <w:p>
            <w:pPr>
              <w:pStyle w:val="6"/>
              <w:spacing w:before="251" w:line="232" w:lineRule="auto"/>
              <w:ind w:left="520"/>
              <w:rPr>
                <w:sz w:val="18"/>
                <w:szCs w:val="18"/>
              </w:rPr>
            </w:pPr>
            <w:r>
              <w:rPr>
                <w:sz w:val="18"/>
                <w:szCs w:val="18"/>
              </w:rPr>
              <w:t>/</w:t>
            </w:r>
          </w:p>
        </w:tc>
        <w:tc>
          <w:tcPr>
            <w:tcW w:w="509" w:type="dxa"/>
            <w:textDirection w:val="tbRlV"/>
            <w:vAlign w:val="top"/>
          </w:tcPr>
          <w:p>
            <w:pPr>
              <w:spacing w:before="159" w:line="202" w:lineRule="auto"/>
              <w:ind w:left="6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53" w:line="188" w:lineRule="auto"/>
              <w:ind w:left="233"/>
              <w:rPr>
                <w:sz w:val="18"/>
                <w:szCs w:val="18"/>
              </w:rPr>
            </w:pPr>
            <w:r>
              <w:rPr>
                <w:spacing w:val="-2"/>
                <w:sz w:val="18"/>
                <w:szCs w:val="18"/>
              </w:rPr>
              <w:t>0.5L</w:t>
            </w:r>
          </w:p>
        </w:tc>
        <w:tc>
          <w:tcPr>
            <w:tcW w:w="802" w:type="dxa"/>
            <w:vAlign w:val="top"/>
          </w:tcPr>
          <w:p>
            <w:pPr>
              <w:pStyle w:val="6"/>
              <w:spacing w:before="253" w:line="188" w:lineRule="auto"/>
              <w:ind w:left="234"/>
              <w:rPr>
                <w:sz w:val="18"/>
                <w:szCs w:val="18"/>
              </w:rPr>
            </w:pPr>
            <w:r>
              <w:rPr>
                <w:spacing w:val="-2"/>
                <w:sz w:val="18"/>
                <w:szCs w:val="18"/>
              </w:rPr>
              <w:t>0.5L</w:t>
            </w:r>
          </w:p>
        </w:tc>
        <w:tc>
          <w:tcPr>
            <w:tcW w:w="802" w:type="dxa"/>
            <w:vAlign w:val="top"/>
          </w:tcPr>
          <w:p>
            <w:pPr>
              <w:pStyle w:val="6"/>
              <w:spacing w:before="253" w:line="188" w:lineRule="auto"/>
              <w:ind w:left="233"/>
              <w:rPr>
                <w:sz w:val="18"/>
                <w:szCs w:val="18"/>
              </w:rPr>
            </w:pPr>
            <w:r>
              <w:rPr>
                <w:spacing w:val="-2"/>
                <w:sz w:val="18"/>
                <w:szCs w:val="18"/>
              </w:rPr>
              <w:t>0.5L</w:t>
            </w:r>
          </w:p>
        </w:tc>
        <w:tc>
          <w:tcPr>
            <w:tcW w:w="955" w:type="dxa"/>
            <w:vAlign w:val="top"/>
          </w:tcPr>
          <w:p>
            <w:pPr>
              <w:pStyle w:val="6"/>
              <w:spacing w:before="251" w:line="232" w:lineRule="auto"/>
              <w:ind w:left="446"/>
              <w:rPr>
                <w:sz w:val="18"/>
                <w:szCs w:val="18"/>
              </w:rPr>
            </w:pPr>
            <w:r>
              <w:rPr>
                <w:sz w:val="18"/>
                <w:szCs w:val="18"/>
              </w:rPr>
              <w:t>/</w:t>
            </w:r>
          </w:p>
        </w:tc>
        <w:tc>
          <w:tcPr>
            <w:tcW w:w="509" w:type="dxa"/>
            <w:textDirection w:val="tbRlV"/>
            <w:vAlign w:val="top"/>
          </w:tcPr>
          <w:p>
            <w:pPr>
              <w:spacing w:before="160" w:line="202" w:lineRule="auto"/>
              <w:ind w:left="6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53" w:line="188" w:lineRule="auto"/>
              <w:ind w:left="233"/>
              <w:rPr>
                <w:sz w:val="18"/>
                <w:szCs w:val="18"/>
              </w:rPr>
            </w:pPr>
            <w:r>
              <w:rPr>
                <w:spacing w:val="-2"/>
                <w:sz w:val="18"/>
                <w:szCs w:val="18"/>
              </w:rPr>
              <w:t>0.5L</w:t>
            </w:r>
          </w:p>
        </w:tc>
        <w:tc>
          <w:tcPr>
            <w:tcW w:w="801" w:type="dxa"/>
            <w:vAlign w:val="top"/>
          </w:tcPr>
          <w:p>
            <w:pPr>
              <w:pStyle w:val="6"/>
              <w:spacing w:before="253" w:line="188" w:lineRule="auto"/>
              <w:ind w:left="233"/>
              <w:rPr>
                <w:sz w:val="18"/>
                <w:szCs w:val="18"/>
              </w:rPr>
            </w:pPr>
            <w:r>
              <w:rPr>
                <w:spacing w:val="-2"/>
                <w:sz w:val="18"/>
                <w:szCs w:val="18"/>
              </w:rPr>
              <w:t>0.5L</w:t>
            </w:r>
          </w:p>
        </w:tc>
        <w:tc>
          <w:tcPr>
            <w:tcW w:w="802" w:type="dxa"/>
            <w:vAlign w:val="top"/>
          </w:tcPr>
          <w:p>
            <w:pPr>
              <w:pStyle w:val="6"/>
              <w:spacing w:before="253" w:line="188" w:lineRule="auto"/>
              <w:ind w:left="233"/>
              <w:rPr>
                <w:sz w:val="18"/>
                <w:szCs w:val="18"/>
              </w:rPr>
            </w:pPr>
            <w:r>
              <w:rPr>
                <w:spacing w:val="-2"/>
                <w:sz w:val="18"/>
                <w:szCs w:val="18"/>
              </w:rPr>
              <w:t>0.5L</w:t>
            </w:r>
          </w:p>
        </w:tc>
        <w:tc>
          <w:tcPr>
            <w:tcW w:w="955" w:type="dxa"/>
            <w:vAlign w:val="top"/>
          </w:tcPr>
          <w:p>
            <w:pPr>
              <w:pStyle w:val="6"/>
              <w:spacing w:before="251" w:line="232" w:lineRule="auto"/>
              <w:ind w:left="446"/>
              <w:rPr>
                <w:sz w:val="18"/>
                <w:szCs w:val="18"/>
              </w:rPr>
            </w:pPr>
            <w:r>
              <w:rPr>
                <w:sz w:val="18"/>
                <w:szCs w:val="18"/>
              </w:rPr>
              <w:t>/</w:t>
            </w:r>
          </w:p>
        </w:tc>
        <w:tc>
          <w:tcPr>
            <w:tcW w:w="362" w:type="dxa"/>
            <w:tcBorders>
              <w:right w:val="nil"/>
            </w:tcBorders>
            <w:textDirection w:val="tbRlV"/>
            <w:vAlign w:val="top"/>
          </w:tcPr>
          <w:p>
            <w:pPr>
              <w:spacing w:before="74" w:line="202" w:lineRule="auto"/>
              <w:ind w:left="68"/>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1703" w:type="dxa"/>
            <w:tcBorders>
              <w:left w:val="nil"/>
            </w:tcBorders>
            <w:vAlign w:val="top"/>
          </w:tcPr>
          <w:p>
            <w:pPr>
              <w:spacing w:before="225" w:line="220" w:lineRule="auto"/>
              <w:ind w:left="782"/>
              <w:rPr>
                <w:rFonts w:ascii="仿宋" w:hAnsi="仿宋" w:eastAsia="仿宋" w:cs="仿宋"/>
                <w:sz w:val="18"/>
                <w:szCs w:val="18"/>
              </w:rPr>
            </w:pPr>
            <w:r>
              <w:rPr>
                <w:rFonts w:ascii="仿宋" w:hAnsi="仿宋" w:eastAsia="仿宋" w:cs="仿宋"/>
                <w:sz w:val="18"/>
                <w:szCs w:val="18"/>
              </w:rPr>
              <w:t>铁</w:t>
            </w:r>
          </w:p>
        </w:tc>
        <w:tc>
          <w:tcPr>
            <w:tcW w:w="661" w:type="dxa"/>
            <w:vAlign w:val="top"/>
          </w:tcPr>
          <w:p>
            <w:pPr>
              <w:pStyle w:val="6"/>
              <w:spacing w:before="253" w:line="218" w:lineRule="auto"/>
              <w:ind w:left="165"/>
              <w:rPr>
                <w:sz w:val="18"/>
                <w:szCs w:val="18"/>
              </w:rPr>
            </w:pPr>
            <w:r>
              <w:rPr>
                <w:spacing w:val="-1"/>
                <w:sz w:val="18"/>
                <w:szCs w:val="18"/>
              </w:rPr>
              <w:t>≤0.3</w:t>
            </w:r>
          </w:p>
        </w:tc>
        <w:tc>
          <w:tcPr>
            <w:tcW w:w="802" w:type="dxa"/>
            <w:vAlign w:val="top"/>
          </w:tcPr>
          <w:p>
            <w:pPr>
              <w:pStyle w:val="6"/>
              <w:spacing w:before="98" w:line="314" w:lineRule="exact"/>
              <w:ind w:left="155"/>
              <w:rPr>
                <w:sz w:val="18"/>
                <w:szCs w:val="18"/>
              </w:rPr>
            </w:pPr>
            <w:r>
              <w:rPr>
                <w:spacing w:val="-2"/>
                <w:position w:val="13"/>
                <w:sz w:val="18"/>
                <w:szCs w:val="18"/>
              </w:rPr>
              <w:t>0.0045</w:t>
            </w:r>
          </w:p>
          <w:p>
            <w:pPr>
              <w:pStyle w:val="6"/>
              <w:spacing w:line="185" w:lineRule="auto"/>
              <w:ind w:left="344"/>
              <w:rPr>
                <w:sz w:val="18"/>
                <w:szCs w:val="18"/>
              </w:rPr>
            </w:pPr>
            <w:r>
              <w:rPr>
                <w:sz w:val="18"/>
                <w:szCs w:val="18"/>
              </w:rPr>
              <w:t>L</w:t>
            </w:r>
          </w:p>
        </w:tc>
        <w:tc>
          <w:tcPr>
            <w:tcW w:w="802" w:type="dxa"/>
            <w:vAlign w:val="top"/>
          </w:tcPr>
          <w:p>
            <w:pPr>
              <w:pStyle w:val="6"/>
              <w:spacing w:before="98" w:line="314" w:lineRule="exact"/>
              <w:ind w:left="155"/>
              <w:rPr>
                <w:sz w:val="18"/>
                <w:szCs w:val="18"/>
              </w:rPr>
            </w:pPr>
            <w:r>
              <w:rPr>
                <w:spacing w:val="-2"/>
                <w:position w:val="13"/>
                <w:sz w:val="18"/>
                <w:szCs w:val="18"/>
              </w:rPr>
              <w:t>0.0045</w:t>
            </w:r>
          </w:p>
          <w:p>
            <w:pPr>
              <w:pStyle w:val="6"/>
              <w:spacing w:line="185" w:lineRule="auto"/>
              <w:ind w:left="344"/>
              <w:rPr>
                <w:sz w:val="18"/>
                <w:szCs w:val="18"/>
              </w:rPr>
            </w:pPr>
            <w:r>
              <w:rPr>
                <w:sz w:val="18"/>
                <w:szCs w:val="18"/>
              </w:rPr>
              <w:t>L</w:t>
            </w:r>
          </w:p>
        </w:tc>
        <w:tc>
          <w:tcPr>
            <w:tcW w:w="803" w:type="dxa"/>
            <w:vAlign w:val="top"/>
          </w:tcPr>
          <w:p>
            <w:pPr>
              <w:pStyle w:val="6"/>
              <w:spacing w:before="98" w:line="314" w:lineRule="exact"/>
              <w:ind w:left="154"/>
              <w:rPr>
                <w:sz w:val="18"/>
                <w:szCs w:val="18"/>
              </w:rPr>
            </w:pPr>
            <w:r>
              <w:rPr>
                <w:spacing w:val="-2"/>
                <w:position w:val="13"/>
                <w:sz w:val="18"/>
                <w:szCs w:val="18"/>
              </w:rPr>
              <w:t>0.0045</w:t>
            </w:r>
          </w:p>
          <w:p>
            <w:pPr>
              <w:pStyle w:val="6"/>
              <w:spacing w:line="185" w:lineRule="auto"/>
              <w:ind w:left="343"/>
              <w:rPr>
                <w:sz w:val="18"/>
                <w:szCs w:val="18"/>
              </w:rPr>
            </w:pPr>
            <w:r>
              <w:rPr>
                <w:sz w:val="18"/>
                <w:szCs w:val="18"/>
              </w:rPr>
              <w:t>L</w:t>
            </w:r>
          </w:p>
        </w:tc>
        <w:tc>
          <w:tcPr>
            <w:tcW w:w="1100" w:type="dxa"/>
            <w:vAlign w:val="top"/>
          </w:tcPr>
          <w:p>
            <w:pPr>
              <w:pStyle w:val="6"/>
              <w:spacing w:before="253" w:line="232" w:lineRule="auto"/>
              <w:ind w:left="520"/>
              <w:rPr>
                <w:sz w:val="18"/>
                <w:szCs w:val="18"/>
              </w:rPr>
            </w:pPr>
            <w:r>
              <w:rPr>
                <w:sz w:val="18"/>
                <w:szCs w:val="18"/>
              </w:rPr>
              <w:t>/</w:t>
            </w:r>
          </w:p>
        </w:tc>
        <w:tc>
          <w:tcPr>
            <w:tcW w:w="509" w:type="dxa"/>
            <w:textDirection w:val="tbRlV"/>
            <w:vAlign w:val="top"/>
          </w:tcPr>
          <w:p>
            <w:pPr>
              <w:spacing w:before="159" w:line="202" w:lineRule="auto"/>
              <w:ind w:left="6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56" w:line="186" w:lineRule="auto"/>
              <w:ind w:left="199"/>
              <w:rPr>
                <w:sz w:val="18"/>
                <w:szCs w:val="18"/>
              </w:rPr>
            </w:pPr>
            <w:r>
              <w:rPr>
                <w:spacing w:val="-2"/>
                <w:sz w:val="18"/>
                <w:szCs w:val="18"/>
              </w:rPr>
              <w:t>0.009</w:t>
            </w:r>
          </w:p>
        </w:tc>
        <w:tc>
          <w:tcPr>
            <w:tcW w:w="802" w:type="dxa"/>
            <w:vAlign w:val="top"/>
          </w:tcPr>
          <w:p>
            <w:pPr>
              <w:pStyle w:val="6"/>
              <w:spacing w:before="256" w:line="186" w:lineRule="auto"/>
              <w:ind w:left="154"/>
              <w:rPr>
                <w:sz w:val="18"/>
                <w:szCs w:val="18"/>
              </w:rPr>
            </w:pPr>
            <w:r>
              <w:rPr>
                <w:spacing w:val="-2"/>
                <w:sz w:val="18"/>
                <w:szCs w:val="18"/>
              </w:rPr>
              <w:t>0.0089</w:t>
            </w:r>
          </w:p>
        </w:tc>
        <w:tc>
          <w:tcPr>
            <w:tcW w:w="802" w:type="dxa"/>
            <w:vAlign w:val="top"/>
          </w:tcPr>
          <w:p>
            <w:pPr>
              <w:pStyle w:val="6"/>
              <w:spacing w:before="256" w:line="186" w:lineRule="auto"/>
              <w:ind w:left="154"/>
              <w:rPr>
                <w:sz w:val="18"/>
                <w:szCs w:val="18"/>
              </w:rPr>
            </w:pPr>
            <w:r>
              <w:rPr>
                <w:spacing w:val="-2"/>
                <w:sz w:val="18"/>
                <w:szCs w:val="18"/>
              </w:rPr>
              <w:t>0.0093</w:t>
            </w:r>
          </w:p>
        </w:tc>
        <w:tc>
          <w:tcPr>
            <w:tcW w:w="955" w:type="dxa"/>
            <w:vAlign w:val="top"/>
          </w:tcPr>
          <w:p>
            <w:pPr>
              <w:pStyle w:val="6"/>
              <w:spacing w:before="100" w:line="312" w:lineRule="exact"/>
              <w:ind w:left="114"/>
              <w:rPr>
                <w:sz w:val="18"/>
                <w:szCs w:val="18"/>
              </w:rPr>
            </w:pPr>
            <w:r>
              <w:rPr>
                <w:spacing w:val="-1"/>
                <w:position w:val="13"/>
                <w:sz w:val="18"/>
                <w:szCs w:val="18"/>
              </w:rPr>
              <w:t>0.029~0.0</w:t>
            </w:r>
          </w:p>
          <w:p>
            <w:pPr>
              <w:pStyle w:val="6"/>
              <w:spacing w:line="186" w:lineRule="auto"/>
              <w:ind w:left="388"/>
              <w:rPr>
                <w:sz w:val="18"/>
                <w:szCs w:val="18"/>
              </w:rPr>
            </w:pPr>
            <w:r>
              <w:rPr>
                <w:spacing w:val="-2"/>
                <w:sz w:val="18"/>
                <w:szCs w:val="18"/>
              </w:rPr>
              <w:t>31</w:t>
            </w:r>
          </w:p>
        </w:tc>
        <w:tc>
          <w:tcPr>
            <w:tcW w:w="509" w:type="dxa"/>
            <w:textDirection w:val="tbRlV"/>
            <w:vAlign w:val="top"/>
          </w:tcPr>
          <w:p>
            <w:pPr>
              <w:spacing w:before="160" w:line="202" w:lineRule="auto"/>
              <w:ind w:left="6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98" w:line="314" w:lineRule="exact"/>
              <w:ind w:left="154"/>
              <w:rPr>
                <w:sz w:val="18"/>
                <w:szCs w:val="18"/>
              </w:rPr>
            </w:pPr>
            <w:r>
              <w:rPr>
                <w:spacing w:val="-2"/>
                <w:position w:val="13"/>
                <w:sz w:val="18"/>
                <w:szCs w:val="18"/>
              </w:rPr>
              <w:t>0.0045</w:t>
            </w:r>
          </w:p>
          <w:p>
            <w:pPr>
              <w:pStyle w:val="6"/>
              <w:spacing w:line="185" w:lineRule="auto"/>
              <w:ind w:left="343"/>
              <w:rPr>
                <w:sz w:val="18"/>
                <w:szCs w:val="18"/>
              </w:rPr>
            </w:pPr>
            <w:r>
              <w:rPr>
                <w:sz w:val="18"/>
                <w:szCs w:val="18"/>
              </w:rPr>
              <w:t>L</w:t>
            </w:r>
          </w:p>
        </w:tc>
        <w:tc>
          <w:tcPr>
            <w:tcW w:w="801" w:type="dxa"/>
            <w:vAlign w:val="top"/>
          </w:tcPr>
          <w:p>
            <w:pPr>
              <w:pStyle w:val="6"/>
              <w:spacing w:before="98" w:line="314" w:lineRule="exact"/>
              <w:ind w:left="153"/>
              <w:rPr>
                <w:sz w:val="18"/>
                <w:szCs w:val="18"/>
              </w:rPr>
            </w:pPr>
            <w:r>
              <w:rPr>
                <w:spacing w:val="-2"/>
                <w:position w:val="13"/>
                <w:sz w:val="18"/>
                <w:szCs w:val="18"/>
              </w:rPr>
              <w:t>0.0045</w:t>
            </w:r>
          </w:p>
          <w:p>
            <w:pPr>
              <w:pStyle w:val="6"/>
              <w:spacing w:line="185" w:lineRule="auto"/>
              <w:ind w:left="342"/>
              <w:rPr>
                <w:sz w:val="18"/>
                <w:szCs w:val="18"/>
              </w:rPr>
            </w:pPr>
            <w:r>
              <w:rPr>
                <w:sz w:val="18"/>
                <w:szCs w:val="18"/>
              </w:rPr>
              <w:t>L</w:t>
            </w:r>
          </w:p>
        </w:tc>
        <w:tc>
          <w:tcPr>
            <w:tcW w:w="802" w:type="dxa"/>
            <w:vAlign w:val="top"/>
          </w:tcPr>
          <w:p>
            <w:pPr>
              <w:pStyle w:val="6"/>
              <w:spacing w:before="98" w:line="314" w:lineRule="exact"/>
              <w:ind w:left="154"/>
              <w:rPr>
                <w:sz w:val="18"/>
                <w:szCs w:val="18"/>
              </w:rPr>
            </w:pPr>
            <w:r>
              <w:rPr>
                <w:spacing w:val="-2"/>
                <w:position w:val="13"/>
                <w:sz w:val="18"/>
                <w:szCs w:val="18"/>
              </w:rPr>
              <w:t>0.0045</w:t>
            </w:r>
          </w:p>
          <w:p>
            <w:pPr>
              <w:pStyle w:val="6"/>
              <w:spacing w:line="185" w:lineRule="auto"/>
              <w:ind w:left="343"/>
              <w:rPr>
                <w:sz w:val="18"/>
                <w:szCs w:val="18"/>
              </w:rPr>
            </w:pPr>
            <w:r>
              <w:rPr>
                <w:sz w:val="18"/>
                <w:szCs w:val="18"/>
              </w:rPr>
              <w:t>L</w:t>
            </w:r>
          </w:p>
        </w:tc>
        <w:tc>
          <w:tcPr>
            <w:tcW w:w="955" w:type="dxa"/>
            <w:vAlign w:val="top"/>
          </w:tcPr>
          <w:p>
            <w:pPr>
              <w:pStyle w:val="6"/>
              <w:spacing w:before="253" w:line="232" w:lineRule="auto"/>
              <w:ind w:left="446"/>
              <w:rPr>
                <w:sz w:val="18"/>
                <w:szCs w:val="18"/>
              </w:rPr>
            </w:pPr>
            <w:r>
              <w:rPr>
                <w:sz w:val="18"/>
                <w:szCs w:val="18"/>
              </w:rPr>
              <w:t>/</w:t>
            </w:r>
          </w:p>
        </w:tc>
        <w:tc>
          <w:tcPr>
            <w:tcW w:w="362" w:type="dxa"/>
            <w:tcBorders>
              <w:right w:val="nil"/>
            </w:tcBorders>
            <w:textDirection w:val="tbRlV"/>
            <w:vAlign w:val="top"/>
          </w:tcPr>
          <w:p>
            <w:pPr>
              <w:spacing w:before="74" w:line="202" w:lineRule="auto"/>
              <w:ind w:left="6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703" w:type="dxa"/>
            <w:tcBorders>
              <w:left w:val="nil"/>
            </w:tcBorders>
            <w:vAlign w:val="top"/>
          </w:tcPr>
          <w:p>
            <w:pPr>
              <w:spacing w:before="229" w:line="227" w:lineRule="auto"/>
              <w:ind w:left="779"/>
              <w:rPr>
                <w:rFonts w:ascii="仿宋" w:hAnsi="仿宋" w:eastAsia="仿宋" w:cs="仿宋"/>
                <w:sz w:val="18"/>
                <w:szCs w:val="18"/>
              </w:rPr>
            </w:pPr>
            <w:r>
              <w:rPr>
                <w:rFonts w:ascii="仿宋" w:hAnsi="仿宋" w:eastAsia="仿宋" w:cs="仿宋"/>
                <w:sz w:val="18"/>
                <w:szCs w:val="18"/>
              </w:rPr>
              <w:t>锰</w:t>
            </w:r>
          </w:p>
        </w:tc>
        <w:tc>
          <w:tcPr>
            <w:tcW w:w="661" w:type="dxa"/>
            <w:vAlign w:val="top"/>
          </w:tcPr>
          <w:p>
            <w:pPr>
              <w:pStyle w:val="6"/>
              <w:spacing w:before="257" w:line="218" w:lineRule="auto"/>
              <w:ind w:left="165"/>
              <w:rPr>
                <w:sz w:val="18"/>
                <w:szCs w:val="18"/>
              </w:rPr>
            </w:pPr>
            <w:r>
              <w:rPr>
                <w:spacing w:val="-1"/>
                <w:sz w:val="18"/>
                <w:szCs w:val="18"/>
              </w:rPr>
              <w:t>≤0.1</w:t>
            </w:r>
          </w:p>
        </w:tc>
        <w:tc>
          <w:tcPr>
            <w:tcW w:w="802" w:type="dxa"/>
            <w:vAlign w:val="top"/>
          </w:tcPr>
          <w:p>
            <w:pPr>
              <w:pStyle w:val="6"/>
              <w:spacing w:before="102" w:line="315" w:lineRule="exact"/>
              <w:ind w:left="155"/>
              <w:rPr>
                <w:sz w:val="18"/>
                <w:szCs w:val="18"/>
              </w:rPr>
            </w:pPr>
            <w:r>
              <w:rPr>
                <w:spacing w:val="-2"/>
                <w:position w:val="13"/>
                <w:sz w:val="18"/>
                <w:szCs w:val="18"/>
              </w:rPr>
              <w:t>0.0005</w:t>
            </w:r>
          </w:p>
          <w:p>
            <w:pPr>
              <w:pStyle w:val="6"/>
              <w:spacing w:line="185" w:lineRule="auto"/>
              <w:ind w:left="344"/>
              <w:rPr>
                <w:sz w:val="18"/>
                <w:szCs w:val="18"/>
              </w:rPr>
            </w:pPr>
            <w:r>
              <w:rPr>
                <w:sz w:val="18"/>
                <w:szCs w:val="18"/>
              </w:rPr>
              <w:t>L</w:t>
            </w:r>
          </w:p>
        </w:tc>
        <w:tc>
          <w:tcPr>
            <w:tcW w:w="802" w:type="dxa"/>
            <w:vAlign w:val="top"/>
          </w:tcPr>
          <w:p>
            <w:pPr>
              <w:pStyle w:val="6"/>
              <w:spacing w:before="102" w:line="315" w:lineRule="exact"/>
              <w:ind w:left="155"/>
              <w:rPr>
                <w:sz w:val="18"/>
                <w:szCs w:val="18"/>
              </w:rPr>
            </w:pPr>
            <w:r>
              <w:rPr>
                <w:spacing w:val="-2"/>
                <w:position w:val="13"/>
                <w:sz w:val="18"/>
                <w:szCs w:val="18"/>
              </w:rPr>
              <w:t>0.0005</w:t>
            </w:r>
          </w:p>
          <w:p>
            <w:pPr>
              <w:pStyle w:val="6"/>
              <w:spacing w:line="185" w:lineRule="auto"/>
              <w:ind w:left="344"/>
              <w:rPr>
                <w:sz w:val="18"/>
                <w:szCs w:val="18"/>
              </w:rPr>
            </w:pPr>
            <w:r>
              <w:rPr>
                <w:sz w:val="18"/>
                <w:szCs w:val="18"/>
              </w:rPr>
              <w:t>L</w:t>
            </w:r>
          </w:p>
        </w:tc>
        <w:tc>
          <w:tcPr>
            <w:tcW w:w="803" w:type="dxa"/>
            <w:vAlign w:val="top"/>
          </w:tcPr>
          <w:p>
            <w:pPr>
              <w:pStyle w:val="6"/>
              <w:spacing w:before="102" w:line="315" w:lineRule="exact"/>
              <w:ind w:left="154"/>
              <w:rPr>
                <w:sz w:val="18"/>
                <w:szCs w:val="18"/>
              </w:rPr>
            </w:pPr>
            <w:r>
              <w:rPr>
                <w:spacing w:val="-2"/>
                <w:position w:val="13"/>
                <w:sz w:val="18"/>
                <w:szCs w:val="18"/>
              </w:rPr>
              <w:t>0.0005</w:t>
            </w:r>
          </w:p>
          <w:p>
            <w:pPr>
              <w:pStyle w:val="6"/>
              <w:spacing w:line="185" w:lineRule="auto"/>
              <w:ind w:left="343"/>
              <w:rPr>
                <w:sz w:val="18"/>
                <w:szCs w:val="18"/>
              </w:rPr>
            </w:pPr>
            <w:r>
              <w:rPr>
                <w:sz w:val="18"/>
                <w:szCs w:val="18"/>
              </w:rPr>
              <w:t>L</w:t>
            </w:r>
          </w:p>
        </w:tc>
        <w:tc>
          <w:tcPr>
            <w:tcW w:w="1100" w:type="dxa"/>
            <w:vAlign w:val="top"/>
          </w:tcPr>
          <w:p>
            <w:pPr>
              <w:pStyle w:val="6"/>
              <w:spacing w:before="257" w:line="232" w:lineRule="auto"/>
              <w:ind w:left="520"/>
              <w:rPr>
                <w:sz w:val="18"/>
                <w:szCs w:val="18"/>
              </w:rPr>
            </w:pPr>
            <w:r>
              <w:rPr>
                <w:sz w:val="18"/>
                <w:szCs w:val="18"/>
              </w:rPr>
              <w:t>/</w:t>
            </w:r>
          </w:p>
        </w:tc>
        <w:tc>
          <w:tcPr>
            <w:tcW w:w="509" w:type="dxa"/>
            <w:textDirection w:val="tbRlV"/>
            <w:vAlign w:val="top"/>
          </w:tcPr>
          <w:p>
            <w:pPr>
              <w:spacing w:before="159" w:line="202" w:lineRule="auto"/>
              <w:ind w:left="7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0" w:line="186" w:lineRule="auto"/>
              <w:ind w:left="154"/>
              <w:rPr>
                <w:sz w:val="18"/>
                <w:szCs w:val="18"/>
              </w:rPr>
            </w:pPr>
            <w:r>
              <w:rPr>
                <w:spacing w:val="-2"/>
                <w:sz w:val="18"/>
                <w:szCs w:val="18"/>
              </w:rPr>
              <w:t>0.0008</w:t>
            </w:r>
          </w:p>
        </w:tc>
        <w:tc>
          <w:tcPr>
            <w:tcW w:w="802" w:type="dxa"/>
            <w:vAlign w:val="top"/>
          </w:tcPr>
          <w:p>
            <w:pPr>
              <w:pStyle w:val="6"/>
              <w:spacing w:before="260" w:line="186" w:lineRule="auto"/>
              <w:ind w:left="154"/>
              <w:rPr>
                <w:sz w:val="18"/>
                <w:szCs w:val="18"/>
              </w:rPr>
            </w:pPr>
            <w:r>
              <w:rPr>
                <w:spacing w:val="-2"/>
                <w:sz w:val="18"/>
                <w:szCs w:val="18"/>
              </w:rPr>
              <w:t>0.0009</w:t>
            </w:r>
          </w:p>
        </w:tc>
        <w:tc>
          <w:tcPr>
            <w:tcW w:w="802" w:type="dxa"/>
            <w:vAlign w:val="top"/>
          </w:tcPr>
          <w:p>
            <w:pPr>
              <w:pStyle w:val="6"/>
              <w:spacing w:before="260" w:line="186" w:lineRule="auto"/>
              <w:ind w:left="154"/>
              <w:rPr>
                <w:sz w:val="18"/>
                <w:szCs w:val="18"/>
              </w:rPr>
            </w:pPr>
            <w:r>
              <w:rPr>
                <w:spacing w:val="-2"/>
                <w:sz w:val="18"/>
                <w:szCs w:val="18"/>
              </w:rPr>
              <w:t>0.0007</w:t>
            </w:r>
          </w:p>
        </w:tc>
        <w:tc>
          <w:tcPr>
            <w:tcW w:w="955" w:type="dxa"/>
            <w:vAlign w:val="top"/>
          </w:tcPr>
          <w:p>
            <w:pPr>
              <w:pStyle w:val="6"/>
              <w:spacing w:before="104" w:line="312" w:lineRule="exact"/>
              <w:ind w:left="114"/>
              <w:rPr>
                <w:sz w:val="18"/>
                <w:szCs w:val="18"/>
              </w:rPr>
            </w:pPr>
            <w:r>
              <w:rPr>
                <w:spacing w:val="-1"/>
                <w:position w:val="13"/>
                <w:sz w:val="18"/>
                <w:szCs w:val="18"/>
              </w:rPr>
              <w:t>0.007~0.0</w:t>
            </w:r>
          </w:p>
          <w:p>
            <w:pPr>
              <w:pStyle w:val="6"/>
              <w:spacing w:line="186" w:lineRule="auto"/>
              <w:ind w:left="388"/>
              <w:rPr>
                <w:sz w:val="18"/>
                <w:szCs w:val="18"/>
              </w:rPr>
            </w:pPr>
            <w:r>
              <w:rPr>
                <w:spacing w:val="-2"/>
                <w:sz w:val="18"/>
                <w:szCs w:val="18"/>
              </w:rPr>
              <w:t>09</w:t>
            </w:r>
          </w:p>
        </w:tc>
        <w:tc>
          <w:tcPr>
            <w:tcW w:w="509" w:type="dxa"/>
            <w:textDirection w:val="tbRlV"/>
            <w:vAlign w:val="top"/>
          </w:tcPr>
          <w:p>
            <w:pPr>
              <w:spacing w:before="160" w:line="202" w:lineRule="auto"/>
              <w:ind w:left="7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102" w:line="315" w:lineRule="exact"/>
              <w:ind w:left="154"/>
              <w:rPr>
                <w:sz w:val="18"/>
                <w:szCs w:val="18"/>
              </w:rPr>
            </w:pPr>
            <w:r>
              <w:rPr>
                <w:spacing w:val="-2"/>
                <w:position w:val="13"/>
                <w:sz w:val="18"/>
                <w:szCs w:val="18"/>
              </w:rPr>
              <w:t>0.0005</w:t>
            </w:r>
          </w:p>
          <w:p>
            <w:pPr>
              <w:pStyle w:val="6"/>
              <w:spacing w:line="185" w:lineRule="auto"/>
              <w:ind w:left="343"/>
              <w:rPr>
                <w:sz w:val="18"/>
                <w:szCs w:val="18"/>
              </w:rPr>
            </w:pPr>
            <w:r>
              <w:rPr>
                <w:sz w:val="18"/>
                <w:szCs w:val="18"/>
              </w:rPr>
              <w:t>L</w:t>
            </w:r>
          </w:p>
        </w:tc>
        <w:tc>
          <w:tcPr>
            <w:tcW w:w="801" w:type="dxa"/>
            <w:vAlign w:val="top"/>
          </w:tcPr>
          <w:p>
            <w:pPr>
              <w:pStyle w:val="6"/>
              <w:spacing w:before="102" w:line="315" w:lineRule="exact"/>
              <w:ind w:left="153"/>
              <w:rPr>
                <w:sz w:val="18"/>
                <w:szCs w:val="18"/>
              </w:rPr>
            </w:pPr>
            <w:r>
              <w:rPr>
                <w:spacing w:val="-2"/>
                <w:position w:val="13"/>
                <w:sz w:val="18"/>
                <w:szCs w:val="18"/>
              </w:rPr>
              <w:t>0.0005</w:t>
            </w:r>
          </w:p>
          <w:p>
            <w:pPr>
              <w:pStyle w:val="6"/>
              <w:spacing w:line="185" w:lineRule="auto"/>
              <w:ind w:left="342"/>
              <w:rPr>
                <w:sz w:val="18"/>
                <w:szCs w:val="18"/>
              </w:rPr>
            </w:pPr>
            <w:r>
              <w:rPr>
                <w:sz w:val="18"/>
                <w:szCs w:val="18"/>
              </w:rPr>
              <w:t>L</w:t>
            </w:r>
          </w:p>
        </w:tc>
        <w:tc>
          <w:tcPr>
            <w:tcW w:w="802" w:type="dxa"/>
            <w:vAlign w:val="top"/>
          </w:tcPr>
          <w:p>
            <w:pPr>
              <w:pStyle w:val="6"/>
              <w:spacing w:before="102" w:line="315" w:lineRule="exact"/>
              <w:ind w:left="154"/>
              <w:rPr>
                <w:sz w:val="18"/>
                <w:szCs w:val="18"/>
              </w:rPr>
            </w:pPr>
            <w:r>
              <w:rPr>
                <w:spacing w:val="-2"/>
                <w:position w:val="13"/>
                <w:sz w:val="18"/>
                <w:szCs w:val="18"/>
              </w:rPr>
              <w:t>0.0005</w:t>
            </w:r>
          </w:p>
          <w:p>
            <w:pPr>
              <w:pStyle w:val="6"/>
              <w:spacing w:line="185" w:lineRule="auto"/>
              <w:ind w:left="343"/>
              <w:rPr>
                <w:sz w:val="18"/>
                <w:szCs w:val="18"/>
              </w:rPr>
            </w:pPr>
            <w:r>
              <w:rPr>
                <w:sz w:val="18"/>
                <w:szCs w:val="18"/>
              </w:rPr>
              <w:t>L</w:t>
            </w:r>
          </w:p>
        </w:tc>
        <w:tc>
          <w:tcPr>
            <w:tcW w:w="955" w:type="dxa"/>
            <w:vAlign w:val="top"/>
          </w:tcPr>
          <w:p>
            <w:pPr>
              <w:pStyle w:val="6"/>
              <w:spacing w:before="257" w:line="232" w:lineRule="auto"/>
              <w:ind w:left="446"/>
              <w:rPr>
                <w:sz w:val="18"/>
                <w:szCs w:val="18"/>
              </w:rPr>
            </w:pPr>
            <w:r>
              <w:rPr>
                <w:sz w:val="18"/>
                <w:szCs w:val="18"/>
              </w:rPr>
              <w:t>/</w:t>
            </w:r>
          </w:p>
        </w:tc>
        <w:tc>
          <w:tcPr>
            <w:tcW w:w="362" w:type="dxa"/>
            <w:tcBorders>
              <w:right w:val="nil"/>
            </w:tcBorders>
            <w:textDirection w:val="tbRlV"/>
            <w:vAlign w:val="top"/>
          </w:tcPr>
          <w:p>
            <w:pPr>
              <w:spacing w:before="74" w:line="202" w:lineRule="auto"/>
              <w:ind w:left="74"/>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703" w:type="dxa"/>
            <w:tcBorders>
              <w:left w:val="nil"/>
            </w:tcBorders>
            <w:vAlign w:val="top"/>
          </w:tcPr>
          <w:p>
            <w:pPr>
              <w:spacing w:before="231" w:line="216" w:lineRule="auto"/>
              <w:ind w:left="329"/>
              <w:rPr>
                <w:rFonts w:ascii="仿宋" w:hAnsi="仿宋" w:eastAsia="仿宋" w:cs="仿宋"/>
                <w:sz w:val="18"/>
                <w:szCs w:val="18"/>
              </w:rPr>
            </w:pPr>
            <w:r>
              <w:rPr>
                <w:rFonts w:ascii="仿宋" w:hAnsi="仿宋" w:eastAsia="仿宋" w:cs="仿宋"/>
                <w:spacing w:val="-2"/>
                <w:sz w:val="18"/>
                <w:szCs w:val="18"/>
              </w:rPr>
              <w:t>溶解性总固体</w:t>
            </w:r>
          </w:p>
        </w:tc>
        <w:tc>
          <w:tcPr>
            <w:tcW w:w="661" w:type="dxa"/>
            <w:vAlign w:val="top"/>
          </w:tcPr>
          <w:p>
            <w:pPr>
              <w:pStyle w:val="6"/>
              <w:spacing w:before="103" w:line="315" w:lineRule="exact"/>
              <w:ind w:left="143"/>
              <w:rPr>
                <w:sz w:val="18"/>
                <w:szCs w:val="18"/>
              </w:rPr>
            </w:pPr>
            <w:r>
              <w:rPr>
                <w:spacing w:val="-1"/>
                <w:position w:val="12"/>
                <w:sz w:val="18"/>
                <w:szCs w:val="18"/>
              </w:rPr>
              <w:t>≤100</w:t>
            </w:r>
          </w:p>
          <w:p>
            <w:pPr>
              <w:pStyle w:val="6"/>
              <w:spacing w:line="186" w:lineRule="auto"/>
              <w:ind w:left="287"/>
              <w:rPr>
                <w:sz w:val="18"/>
                <w:szCs w:val="18"/>
              </w:rPr>
            </w:pPr>
            <w:r>
              <w:rPr>
                <w:sz w:val="18"/>
                <w:szCs w:val="18"/>
              </w:rPr>
              <w:t>0</w:t>
            </w:r>
          </w:p>
        </w:tc>
        <w:tc>
          <w:tcPr>
            <w:tcW w:w="802" w:type="dxa"/>
            <w:vAlign w:val="top"/>
          </w:tcPr>
          <w:p>
            <w:pPr>
              <w:pStyle w:val="6"/>
              <w:spacing w:before="262" w:line="186" w:lineRule="auto"/>
              <w:ind w:left="264"/>
              <w:rPr>
                <w:sz w:val="18"/>
                <w:szCs w:val="18"/>
              </w:rPr>
            </w:pPr>
            <w:r>
              <w:rPr>
                <w:spacing w:val="-1"/>
                <w:sz w:val="18"/>
                <w:szCs w:val="18"/>
              </w:rPr>
              <w:t>239</w:t>
            </w:r>
          </w:p>
        </w:tc>
        <w:tc>
          <w:tcPr>
            <w:tcW w:w="802" w:type="dxa"/>
            <w:vAlign w:val="top"/>
          </w:tcPr>
          <w:p>
            <w:pPr>
              <w:pStyle w:val="6"/>
              <w:spacing w:before="262" w:line="186" w:lineRule="auto"/>
              <w:ind w:left="263"/>
              <w:rPr>
                <w:sz w:val="18"/>
                <w:szCs w:val="18"/>
              </w:rPr>
            </w:pPr>
            <w:r>
              <w:rPr>
                <w:spacing w:val="-1"/>
                <w:sz w:val="18"/>
                <w:szCs w:val="18"/>
              </w:rPr>
              <w:t>246</w:t>
            </w:r>
          </w:p>
        </w:tc>
        <w:tc>
          <w:tcPr>
            <w:tcW w:w="803" w:type="dxa"/>
            <w:vAlign w:val="top"/>
          </w:tcPr>
          <w:p>
            <w:pPr>
              <w:pStyle w:val="6"/>
              <w:spacing w:before="262" w:line="186" w:lineRule="auto"/>
              <w:ind w:left="263"/>
              <w:rPr>
                <w:sz w:val="18"/>
                <w:szCs w:val="18"/>
              </w:rPr>
            </w:pPr>
            <w:r>
              <w:rPr>
                <w:spacing w:val="-1"/>
                <w:sz w:val="18"/>
                <w:szCs w:val="18"/>
              </w:rPr>
              <w:t>242</w:t>
            </w:r>
          </w:p>
        </w:tc>
        <w:tc>
          <w:tcPr>
            <w:tcW w:w="1100" w:type="dxa"/>
            <w:vAlign w:val="top"/>
          </w:tcPr>
          <w:p>
            <w:pPr>
              <w:pStyle w:val="6"/>
              <w:spacing w:before="106" w:line="312" w:lineRule="exact"/>
              <w:ind w:left="142"/>
              <w:rPr>
                <w:sz w:val="18"/>
                <w:szCs w:val="18"/>
              </w:rPr>
            </w:pPr>
            <w:r>
              <w:rPr>
                <w:spacing w:val="-1"/>
                <w:position w:val="13"/>
                <w:sz w:val="18"/>
                <w:szCs w:val="18"/>
              </w:rPr>
              <w:t>0.239~0.24</w:t>
            </w:r>
          </w:p>
          <w:p>
            <w:pPr>
              <w:pStyle w:val="6"/>
              <w:spacing w:line="186" w:lineRule="auto"/>
              <w:ind w:left="507"/>
              <w:rPr>
                <w:sz w:val="18"/>
                <w:szCs w:val="18"/>
              </w:rPr>
            </w:pPr>
            <w:r>
              <w:rPr>
                <w:sz w:val="18"/>
                <w:szCs w:val="18"/>
              </w:rPr>
              <w:t>6</w:t>
            </w:r>
          </w:p>
        </w:tc>
        <w:tc>
          <w:tcPr>
            <w:tcW w:w="509" w:type="dxa"/>
            <w:textDirection w:val="tbRlV"/>
            <w:vAlign w:val="top"/>
          </w:tcPr>
          <w:p>
            <w:pPr>
              <w:spacing w:before="159" w:line="202" w:lineRule="auto"/>
              <w:ind w:left="75"/>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2" w:line="186" w:lineRule="auto"/>
              <w:ind w:left="263"/>
              <w:rPr>
                <w:sz w:val="18"/>
                <w:szCs w:val="18"/>
              </w:rPr>
            </w:pPr>
            <w:r>
              <w:rPr>
                <w:spacing w:val="-1"/>
                <w:sz w:val="18"/>
                <w:szCs w:val="18"/>
              </w:rPr>
              <w:t>284</w:t>
            </w:r>
          </w:p>
        </w:tc>
        <w:tc>
          <w:tcPr>
            <w:tcW w:w="802" w:type="dxa"/>
            <w:vAlign w:val="top"/>
          </w:tcPr>
          <w:p>
            <w:pPr>
              <w:pStyle w:val="6"/>
              <w:spacing w:before="262" w:line="186" w:lineRule="auto"/>
              <w:ind w:left="263"/>
              <w:rPr>
                <w:sz w:val="18"/>
                <w:szCs w:val="18"/>
              </w:rPr>
            </w:pPr>
            <w:r>
              <w:rPr>
                <w:spacing w:val="-1"/>
                <w:sz w:val="18"/>
                <w:szCs w:val="18"/>
              </w:rPr>
              <w:t>287</w:t>
            </w:r>
          </w:p>
        </w:tc>
        <w:tc>
          <w:tcPr>
            <w:tcW w:w="802" w:type="dxa"/>
            <w:vAlign w:val="top"/>
          </w:tcPr>
          <w:p>
            <w:pPr>
              <w:pStyle w:val="6"/>
              <w:spacing w:before="262" w:line="186" w:lineRule="auto"/>
              <w:ind w:left="263"/>
              <w:rPr>
                <w:sz w:val="18"/>
                <w:szCs w:val="18"/>
              </w:rPr>
            </w:pPr>
            <w:r>
              <w:rPr>
                <w:spacing w:val="-1"/>
                <w:sz w:val="18"/>
                <w:szCs w:val="18"/>
              </w:rPr>
              <w:t>291</w:t>
            </w:r>
          </w:p>
        </w:tc>
        <w:tc>
          <w:tcPr>
            <w:tcW w:w="955" w:type="dxa"/>
            <w:vAlign w:val="top"/>
          </w:tcPr>
          <w:p>
            <w:pPr>
              <w:pStyle w:val="6"/>
              <w:spacing w:before="106" w:line="312" w:lineRule="exact"/>
              <w:ind w:left="114"/>
              <w:rPr>
                <w:sz w:val="18"/>
                <w:szCs w:val="18"/>
              </w:rPr>
            </w:pPr>
            <w:r>
              <w:rPr>
                <w:spacing w:val="-1"/>
                <w:position w:val="13"/>
                <w:sz w:val="18"/>
                <w:szCs w:val="18"/>
              </w:rPr>
              <w:t>0.284~0.2</w:t>
            </w:r>
          </w:p>
          <w:p>
            <w:pPr>
              <w:pStyle w:val="6"/>
              <w:spacing w:line="186" w:lineRule="auto"/>
              <w:ind w:left="388"/>
              <w:rPr>
                <w:sz w:val="18"/>
                <w:szCs w:val="18"/>
              </w:rPr>
            </w:pPr>
            <w:r>
              <w:rPr>
                <w:spacing w:val="-2"/>
                <w:sz w:val="18"/>
                <w:szCs w:val="18"/>
              </w:rPr>
              <w:t>91</w:t>
            </w:r>
          </w:p>
        </w:tc>
        <w:tc>
          <w:tcPr>
            <w:tcW w:w="509" w:type="dxa"/>
            <w:textDirection w:val="tbRlV"/>
            <w:vAlign w:val="top"/>
          </w:tcPr>
          <w:p>
            <w:pPr>
              <w:spacing w:before="160" w:line="202" w:lineRule="auto"/>
              <w:ind w:left="75"/>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2" w:line="186" w:lineRule="auto"/>
              <w:ind w:left="262"/>
              <w:rPr>
                <w:sz w:val="18"/>
                <w:szCs w:val="18"/>
              </w:rPr>
            </w:pPr>
            <w:r>
              <w:rPr>
                <w:spacing w:val="-1"/>
                <w:sz w:val="18"/>
                <w:szCs w:val="18"/>
              </w:rPr>
              <w:t>291</w:t>
            </w:r>
          </w:p>
        </w:tc>
        <w:tc>
          <w:tcPr>
            <w:tcW w:w="801" w:type="dxa"/>
            <w:vAlign w:val="top"/>
          </w:tcPr>
          <w:p>
            <w:pPr>
              <w:pStyle w:val="6"/>
              <w:spacing w:before="262" w:line="186" w:lineRule="auto"/>
              <w:ind w:left="266"/>
              <w:rPr>
                <w:sz w:val="18"/>
                <w:szCs w:val="18"/>
              </w:rPr>
            </w:pPr>
            <w:r>
              <w:rPr>
                <w:spacing w:val="-2"/>
                <w:sz w:val="18"/>
                <w:szCs w:val="18"/>
              </w:rPr>
              <w:t>301</w:t>
            </w:r>
          </w:p>
        </w:tc>
        <w:tc>
          <w:tcPr>
            <w:tcW w:w="802" w:type="dxa"/>
            <w:vAlign w:val="top"/>
          </w:tcPr>
          <w:p>
            <w:pPr>
              <w:pStyle w:val="6"/>
              <w:spacing w:before="262" w:line="186" w:lineRule="auto"/>
              <w:ind w:left="263"/>
              <w:rPr>
                <w:sz w:val="18"/>
                <w:szCs w:val="18"/>
              </w:rPr>
            </w:pPr>
            <w:r>
              <w:rPr>
                <w:spacing w:val="-1"/>
                <w:sz w:val="18"/>
                <w:szCs w:val="18"/>
              </w:rPr>
              <w:t>296</w:t>
            </w:r>
          </w:p>
        </w:tc>
        <w:tc>
          <w:tcPr>
            <w:tcW w:w="955" w:type="dxa"/>
            <w:vAlign w:val="top"/>
          </w:tcPr>
          <w:p>
            <w:pPr>
              <w:pStyle w:val="6"/>
              <w:spacing w:before="106" w:line="312" w:lineRule="exact"/>
              <w:ind w:left="114"/>
              <w:rPr>
                <w:sz w:val="18"/>
                <w:szCs w:val="18"/>
              </w:rPr>
            </w:pPr>
            <w:r>
              <w:rPr>
                <w:spacing w:val="-1"/>
                <w:position w:val="13"/>
                <w:sz w:val="18"/>
                <w:szCs w:val="18"/>
              </w:rPr>
              <w:t>0.291~0.3</w:t>
            </w:r>
          </w:p>
          <w:p>
            <w:pPr>
              <w:pStyle w:val="6"/>
              <w:spacing w:line="186" w:lineRule="auto"/>
              <w:ind w:left="388"/>
              <w:rPr>
                <w:sz w:val="18"/>
                <w:szCs w:val="18"/>
              </w:rPr>
            </w:pPr>
            <w:r>
              <w:rPr>
                <w:spacing w:val="-2"/>
                <w:sz w:val="18"/>
                <w:szCs w:val="18"/>
              </w:rPr>
              <w:t>01</w:t>
            </w:r>
          </w:p>
        </w:tc>
        <w:tc>
          <w:tcPr>
            <w:tcW w:w="362" w:type="dxa"/>
            <w:tcBorders>
              <w:right w:val="nil"/>
            </w:tcBorders>
            <w:textDirection w:val="tbRlV"/>
            <w:vAlign w:val="top"/>
          </w:tcPr>
          <w:p>
            <w:pPr>
              <w:spacing w:before="74" w:line="202" w:lineRule="auto"/>
              <w:ind w:left="75"/>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703" w:type="dxa"/>
            <w:tcBorders>
              <w:left w:val="nil"/>
            </w:tcBorders>
            <w:vAlign w:val="top"/>
          </w:tcPr>
          <w:p>
            <w:pPr>
              <w:spacing w:before="235" w:line="219" w:lineRule="auto"/>
              <w:ind w:left="335"/>
              <w:rPr>
                <w:rFonts w:ascii="仿宋" w:hAnsi="仿宋" w:eastAsia="仿宋" w:cs="仿宋"/>
                <w:sz w:val="18"/>
                <w:szCs w:val="18"/>
              </w:rPr>
            </w:pPr>
            <w:r>
              <w:rPr>
                <w:rFonts w:ascii="仿宋" w:hAnsi="仿宋" w:eastAsia="仿宋" w:cs="仿宋"/>
                <w:spacing w:val="-3"/>
                <w:sz w:val="18"/>
                <w:szCs w:val="18"/>
              </w:rPr>
              <w:t>高锰酸盐指数</w:t>
            </w:r>
          </w:p>
        </w:tc>
        <w:tc>
          <w:tcPr>
            <w:tcW w:w="661" w:type="dxa"/>
            <w:vAlign w:val="top"/>
          </w:tcPr>
          <w:p>
            <w:pPr>
              <w:pStyle w:val="6"/>
              <w:spacing w:before="263" w:line="218" w:lineRule="auto"/>
              <w:ind w:left="233"/>
              <w:rPr>
                <w:sz w:val="18"/>
                <w:szCs w:val="18"/>
              </w:rPr>
            </w:pPr>
            <w:r>
              <w:rPr>
                <w:spacing w:val="-1"/>
                <w:sz w:val="18"/>
                <w:szCs w:val="18"/>
              </w:rPr>
              <w:t>≤3</w:t>
            </w:r>
          </w:p>
        </w:tc>
        <w:tc>
          <w:tcPr>
            <w:tcW w:w="802" w:type="dxa"/>
            <w:vAlign w:val="top"/>
          </w:tcPr>
          <w:p>
            <w:pPr>
              <w:pStyle w:val="6"/>
              <w:spacing w:before="266" w:line="186" w:lineRule="auto"/>
              <w:ind w:left="260"/>
              <w:rPr>
                <w:sz w:val="18"/>
                <w:szCs w:val="18"/>
              </w:rPr>
            </w:pPr>
            <w:r>
              <w:rPr>
                <w:spacing w:val="-6"/>
                <w:sz w:val="18"/>
                <w:szCs w:val="18"/>
              </w:rPr>
              <w:t>1.19</w:t>
            </w:r>
          </w:p>
        </w:tc>
        <w:tc>
          <w:tcPr>
            <w:tcW w:w="802" w:type="dxa"/>
            <w:vAlign w:val="top"/>
          </w:tcPr>
          <w:p>
            <w:pPr>
              <w:pStyle w:val="6"/>
              <w:spacing w:before="266" w:line="186" w:lineRule="auto"/>
              <w:ind w:left="259"/>
              <w:rPr>
                <w:sz w:val="18"/>
                <w:szCs w:val="18"/>
              </w:rPr>
            </w:pPr>
            <w:r>
              <w:rPr>
                <w:spacing w:val="-6"/>
                <w:sz w:val="18"/>
                <w:szCs w:val="18"/>
              </w:rPr>
              <w:t>1.22</w:t>
            </w:r>
          </w:p>
        </w:tc>
        <w:tc>
          <w:tcPr>
            <w:tcW w:w="803" w:type="dxa"/>
            <w:vAlign w:val="top"/>
          </w:tcPr>
          <w:p>
            <w:pPr>
              <w:pStyle w:val="6"/>
              <w:spacing w:before="266" w:line="186" w:lineRule="auto"/>
              <w:ind w:left="259"/>
              <w:rPr>
                <w:sz w:val="18"/>
                <w:szCs w:val="18"/>
              </w:rPr>
            </w:pPr>
            <w:r>
              <w:rPr>
                <w:spacing w:val="-6"/>
                <w:sz w:val="18"/>
                <w:szCs w:val="18"/>
              </w:rPr>
              <w:t>1.14</w:t>
            </w:r>
          </w:p>
        </w:tc>
        <w:tc>
          <w:tcPr>
            <w:tcW w:w="1100" w:type="dxa"/>
            <w:vAlign w:val="top"/>
          </w:tcPr>
          <w:p>
            <w:pPr>
              <w:pStyle w:val="6"/>
              <w:spacing w:before="266" w:line="186" w:lineRule="auto"/>
              <w:ind w:left="188"/>
              <w:rPr>
                <w:sz w:val="18"/>
                <w:szCs w:val="18"/>
              </w:rPr>
            </w:pPr>
            <w:r>
              <w:rPr>
                <w:spacing w:val="-1"/>
                <w:sz w:val="18"/>
                <w:szCs w:val="18"/>
              </w:rPr>
              <w:t>0.38~0.41</w:t>
            </w:r>
          </w:p>
        </w:tc>
        <w:tc>
          <w:tcPr>
            <w:tcW w:w="509" w:type="dxa"/>
            <w:textDirection w:val="tbRlV"/>
            <w:vAlign w:val="top"/>
          </w:tcPr>
          <w:p>
            <w:pPr>
              <w:spacing w:before="159" w:line="202" w:lineRule="auto"/>
              <w:ind w:left="7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6" w:line="186" w:lineRule="auto"/>
              <w:ind w:left="259"/>
              <w:rPr>
                <w:sz w:val="18"/>
                <w:szCs w:val="18"/>
              </w:rPr>
            </w:pPr>
            <w:r>
              <w:rPr>
                <w:spacing w:val="-6"/>
                <w:sz w:val="18"/>
                <w:szCs w:val="18"/>
              </w:rPr>
              <w:t>1.38</w:t>
            </w:r>
          </w:p>
        </w:tc>
        <w:tc>
          <w:tcPr>
            <w:tcW w:w="802" w:type="dxa"/>
            <w:vAlign w:val="top"/>
          </w:tcPr>
          <w:p>
            <w:pPr>
              <w:pStyle w:val="6"/>
              <w:spacing w:before="266" w:line="186" w:lineRule="auto"/>
              <w:ind w:left="259"/>
              <w:rPr>
                <w:sz w:val="18"/>
                <w:szCs w:val="18"/>
              </w:rPr>
            </w:pPr>
            <w:r>
              <w:rPr>
                <w:spacing w:val="-6"/>
                <w:sz w:val="18"/>
                <w:szCs w:val="18"/>
              </w:rPr>
              <w:t>1.40</w:t>
            </w:r>
          </w:p>
        </w:tc>
        <w:tc>
          <w:tcPr>
            <w:tcW w:w="802" w:type="dxa"/>
            <w:vAlign w:val="top"/>
          </w:tcPr>
          <w:p>
            <w:pPr>
              <w:pStyle w:val="6"/>
              <w:spacing w:before="266" w:line="186" w:lineRule="auto"/>
              <w:ind w:left="259"/>
              <w:rPr>
                <w:sz w:val="18"/>
                <w:szCs w:val="18"/>
              </w:rPr>
            </w:pPr>
            <w:r>
              <w:rPr>
                <w:spacing w:val="-6"/>
                <w:sz w:val="18"/>
                <w:szCs w:val="18"/>
              </w:rPr>
              <w:t>1.33</w:t>
            </w:r>
          </w:p>
        </w:tc>
        <w:tc>
          <w:tcPr>
            <w:tcW w:w="955" w:type="dxa"/>
            <w:vAlign w:val="top"/>
          </w:tcPr>
          <w:p>
            <w:pPr>
              <w:pStyle w:val="6"/>
              <w:spacing w:before="266" w:line="186" w:lineRule="auto"/>
              <w:ind w:left="114"/>
              <w:rPr>
                <w:sz w:val="18"/>
                <w:szCs w:val="18"/>
              </w:rPr>
            </w:pPr>
            <w:r>
              <w:rPr>
                <w:spacing w:val="-1"/>
                <w:sz w:val="18"/>
                <w:szCs w:val="18"/>
              </w:rPr>
              <w:t>0.44~0.47</w:t>
            </w:r>
          </w:p>
        </w:tc>
        <w:tc>
          <w:tcPr>
            <w:tcW w:w="509" w:type="dxa"/>
            <w:textDirection w:val="tbRlV"/>
            <w:vAlign w:val="top"/>
          </w:tcPr>
          <w:p>
            <w:pPr>
              <w:spacing w:before="160" w:line="202" w:lineRule="auto"/>
              <w:ind w:left="7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6" w:line="186" w:lineRule="auto"/>
              <w:ind w:left="244"/>
              <w:rPr>
                <w:sz w:val="18"/>
                <w:szCs w:val="18"/>
              </w:rPr>
            </w:pPr>
            <w:r>
              <w:rPr>
                <w:spacing w:val="-2"/>
                <w:sz w:val="18"/>
                <w:szCs w:val="18"/>
              </w:rPr>
              <w:t>0.46</w:t>
            </w:r>
          </w:p>
        </w:tc>
        <w:tc>
          <w:tcPr>
            <w:tcW w:w="801" w:type="dxa"/>
            <w:vAlign w:val="top"/>
          </w:tcPr>
          <w:p>
            <w:pPr>
              <w:pStyle w:val="6"/>
              <w:spacing w:before="266" w:line="186" w:lineRule="auto"/>
              <w:ind w:left="243"/>
              <w:rPr>
                <w:sz w:val="18"/>
                <w:szCs w:val="18"/>
              </w:rPr>
            </w:pPr>
            <w:r>
              <w:rPr>
                <w:spacing w:val="-2"/>
                <w:sz w:val="18"/>
                <w:szCs w:val="18"/>
              </w:rPr>
              <w:t>0.50</w:t>
            </w:r>
          </w:p>
        </w:tc>
        <w:tc>
          <w:tcPr>
            <w:tcW w:w="802" w:type="dxa"/>
            <w:vAlign w:val="top"/>
          </w:tcPr>
          <w:p>
            <w:pPr>
              <w:pStyle w:val="6"/>
              <w:spacing w:before="266" w:line="186" w:lineRule="auto"/>
              <w:ind w:left="244"/>
              <w:rPr>
                <w:sz w:val="18"/>
                <w:szCs w:val="18"/>
              </w:rPr>
            </w:pPr>
            <w:r>
              <w:rPr>
                <w:spacing w:val="-2"/>
                <w:sz w:val="18"/>
                <w:szCs w:val="18"/>
              </w:rPr>
              <w:t>0.46</w:t>
            </w:r>
          </w:p>
        </w:tc>
        <w:tc>
          <w:tcPr>
            <w:tcW w:w="955" w:type="dxa"/>
            <w:vAlign w:val="top"/>
          </w:tcPr>
          <w:p>
            <w:pPr>
              <w:pStyle w:val="6"/>
              <w:spacing w:before="110" w:line="314" w:lineRule="exact"/>
              <w:ind w:left="114"/>
              <w:rPr>
                <w:sz w:val="18"/>
                <w:szCs w:val="18"/>
              </w:rPr>
            </w:pPr>
            <w:r>
              <w:rPr>
                <w:spacing w:val="-1"/>
                <w:position w:val="13"/>
                <w:sz w:val="18"/>
                <w:szCs w:val="18"/>
              </w:rPr>
              <w:t>0.15~0.16</w:t>
            </w:r>
          </w:p>
          <w:p>
            <w:pPr>
              <w:pStyle w:val="6"/>
              <w:spacing w:line="183" w:lineRule="auto"/>
              <w:ind w:left="433"/>
              <w:rPr>
                <w:sz w:val="18"/>
                <w:szCs w:val="18"/>
              </w:rPr>
            </w:pPr>
            <w:r>
              <w:rPr>
                <w:sz w:val="18"/>
                <w:szCs w:val="18"/>
              </w:rPr>
              <w:t>7</w:t>
            </w:r>
          </w:p>
        </w:tc>
        <w:tc>
          <w:tcPr>
            <w:tcW w:w="362" w:type="dxa"/>
            <w:tcBorders>
              <w:right w:val="nil"/>
            </w:tcBorders>
            <w:textDirection w:val="tbRlV"/>
            <w:vAlign w:val="top"/>
          </w:tcPr>
          <w:p>
            <w:pPr>
              <w:spacing w:before="74" w:line="202" w:lineRule="auto"/>
              <w:ind w:left="79"/>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1703" w:type="dxa"/>
            <w:tcBorders>
              <w:left w:val="nil"/>
            </w:tcBorders>
            <w:vAlign w:val="top"/>
          </w:tcPr>
          <w:p>
            <w:pPr>
              <w:spacing w:before="236" w:line="220" w:lineRule="auto"/>
              <w:ind w:left="599"/>
              <w:rPr>
                <w:rFonts w:ascii="仿宋" w:hAnsi="仿宋" w:eastAsia="仿宋" w:cs="仿宋"/>
                <w:sz w:val="18"/>
                <w:szCs w:val="18"/>
              </w:rPr>
            </w:pPr>
            <w:r>
              <w:rPr>
                <w:rFonts w:ascii="仿宋" w:hAnsi="仿宋" w:eastAsia="仿宋" w:cs="仿宋"/>
                <w:spacing w:val="-3"/>
                <w:sz w:val="18"/>
                <w:szCs w:val="18"/>
              </w:rPr>
              <w:t>硫酸盐</w:t>
            </w:r>
          </w:p>
        </w:tc>
        <w:tc>
          <w:tcPr>
            <w:tcW w:w="661" w:type="dxa"/>
            <w:vAlign w:val="top"/>
          </w:tcPr>
          <w:p>
            <w:pPr>
              <w:pStyle w:val="6"/>
              <w:spacing w:before="264" w:line="218" w:lineRule="auto"/>
              <w:ind w:left="143"/>
              <w:rPr>
                <w:sz w:val="18"/>
                <w:szCs w:val="18"/>
              </w:rPr>
            </w:pPr>
            <w:r>
              <w:rPr>
                <w:spacing w:val="-1"/>
                <w:sz w:val="18"/>
                <w:szCs w:val="18"/>
              </w:rPr>
              <w:t>≤250</w:t>
            </w:r>
          </w:p>
        </w:tc>
        <w:tc>
          <w:tcPr>
            <w:tcW w:w="802" w:type="dxa"/>
            <w:vAlign w:val="top"/>
          </w:tcPr>
          <w:p>
            <w:pPr>
              <w:pStyle w:val="6"/>
              <w:spacing w:before="267" w:line="186" w:lineRule="auto"/>
              <w:ind w:left="242"/>
              <w:rPr>
                <w:sz w:val="18"/>
                <w:szCs w:val="18"/>
              </w:rPr>
            </w:pPr>
            <w:r>
              <w:rPr>
                <w:spacing w:val="-1"/>
                <w:sz w:val="18"/>
                <w:szCs w:val="18"/>
              </w:rPr>
              <w:t>23.0</w:t>
            </w:r>
          </w:p>
        </w:tc>
        <w:tc>
          <w:tcPr>
            <w:tcW w:w="802" w:type="dxa"/>
            <w:vAlign w:val="top"/>
          </w:tcPr>
          <w:p>
            <w:pPr>
              <w:pStyle w:val="6"/>
              <w:spacing w:before="267" w:line="186" w:lineRule="auto"/>
              <w:ind w:left="242"/>
              <w:rPr>
                <w:sz w:val="18"/>
                <w:szCs w:val="18"/>
              </w:rPr>
            </w:pPr>
            <w:r>
              <w:rPr>
                <w:spacing w:val="-1"/>
                <w:sz w:val="18"/>
                <w:szCs w:val="18"/>
              </w:rPr>
              <w:t>24.7</w:t>
            </w:r>
          </w:p>
        </w:tc>
        <w:tc>
          <w:tcPr>
            <w:tcW w:w="803" w:type="dxa"/>
            <w:vAlign w:val="top"/>
          </w:tcPr>
          <w:p>
            <w:pPr>
              <w:pStyle w:val="6"/>
              <w:spacing w:before="267" w:line="186" w:lineRule="auto"/>
              <w:ind w:left="241"/>
              <w:rPr>
                <w:sz w:val="18"/>
                <w:szCs w:val="18"/>
              </w:rPr>
            </w:pPr>
            <w:r>
              <w:rPr>
                <w:spacing w:val="-1"/>
                <w:sz w:val="18"/>
                <w:szCs w:val="18"/>
              </w:rPr>
              <w:t>23.6</w:t>
            </w:r>
          </w:p>
        </w:tc>
        <w:tc>
          <w:tcPr>
            <w:tcW w:w="1100" w:type="dxa"/>
            <w:vAlign w:val="top"/>
          </w:tcPr>
          <w:p>
            <w:pPr>
              <w:pStyle w:val="6"/>
              <w:spacing w:before="111" w:line="312" w:lineRule="exact"/>
              <w:ind w:left="142"/>
              <w:rPr>
                <w:sz w:val="18"/>
                <w:szCs w:val="18"/>
              </w:rPr>
            </w:pPr>
            <w:r>
              <w:rPr>
                <w:spacing w:val="-1"/>
                <w:position w:val="13"/>
                <w:sz w:val="18"/>
                <w:szCs w:val="18"/>
              </w:rPr>
              <w:t>0.092~0.09</w:t>
            </w:r>
          </w:p>
          <w:p>
            <w:pPr>
              <w:pStyle w:val="6"/>
              <w:spacing w:line="186" w:lineRule="auto"/>
              <w:ind w:left="506"/>
              <w:rPr>
                <w:sz w:val="18"/>
                <w:szCs w:val="18"/>
              </w:rPr>
            </w:pPr>
            <w:r>
              <w:rPr>
                <w:sz w:val="18"/>
                <w:szCs w:val="18"/>
              </w:rPr>
              <w:t>9</w:t>
            </w:r>
          </w:p>
        </w:tc>
        <w:tc>
          <w:tcPr>
            <w:tcW w:w="509" w:type="dxa"/>
            <w:textDirection w:val="tbRlV"/>
            <w:vAlign w:val="top"/>
          </w:tcPr>
          <w:p>
            <w:pPr>
              <w:spacing w:before="159" w:line="202" w:lineRule="auto"/>
              <w:ind w:left="80"/>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7" w:line="186" w:lineRule="auto"/>
              <w:ind w:left="241"/>
              <w:rPr>
                <w:sz w:val="18"/>
                <w:szCs w:val="18"/>
              </w:rPr>
            </w:pPr>
            <w:r>
              <w:rPr>
                <w:spacing w:val="-1"/>
                <w:sz w:val="18"/>
                <w:szCs w:val="18"/>
              </w:rPr>
              <w:t>23.8</w:t>
            </w:r>
          </w:p>
        </w:tc>
        <w:tc>
          <w:tcPr>
            <w:tcW w:w="802" w:type="dxa"/>
            <w:vAlign w:val="top"/>
          </w:tcPr>
          <w:p>
            <w:pPr>
              <w:pStyle w:val="6"/>
              <w:spacing w:before="267" w:line="186" w:lineRule="auto"/>
              <w:ind w:left="242"/>
              <w:rPr>
                <w:sz w:val="18"/>
                <w:szCs w:val="18"/>
              </w:rPr>
            </w:pPr>
            <w:r>
              <w:rPr>
                <w:spacing w:val="-1"/>
                <w:sz w:val="18"/>
                <w:szCs w:val="18"/>
              </w:rPr>
              <w:t>24.4</w:t>
            </w:r>
          </w:p>
        </w:tc>
        <w:tc>
          <w:tcPr>
            <w:tcW w:w="802" w:type="dxa"/>
            <w:vAlign w:val="top"/>
          </w:tcPr>
          <w:p>
            <w:pPr>
              <w:pStyle w:val="6"/>
              <w:spacing w:before="267" w:line="186" w:lineRule="auto"/>
              <w:ind w:left="241"/>
              <w:rPr>
                <w:sz w:val="18"/>
                <w:szCs w:val="18"/>
              </w:rPr>
            </w:pPr>
            <w:r>
              <w:rPr>
                <w:spacing w:val="-1"/>
                <w:sz w:val="18"/>
                <w:szCs w:val="18"/>
              </w:rPr>
              <w:t>24.6</w:t>
            </w:r>
          </w:p>
        </w:tc>
        <w:tc>
          <w:tcPr>
            <w:tcW w:w="955" w:type="dxa"/>
            <w:vAlign w:val="top"/>
          </w:tcPr>
          <w:p>
            <w:pPr>
              <w:pStyle w:val="6"/>
              <w:spacing w:before="111" w:line="312" w:lineRule="exact"/>
              <w:ind w:left="114"/>
              <w:rPr>
                <w:sz w:val="18"/>
                <w:szCs w:val="18"/>
              </w:rPr>
            </w:pPr>
            <w:r>
              <w:rPr>
                <w:spacing w:val="-1"/>
                <w:position w:val="13"/>
                <w:sz w:val="18"/>
                <w:szCs w:val="18"/>
              </w:rPr>
              <w:t>0.095~0.0</w:t>
            </w:r>
          </w:p>
          <w:p>
            <w:pPr>
              <w:pStyle w:val="6"/>
              <w:spacing w:line="186" w:lineRule="auto"/>
              <w:ind w:left="388"/>
              <w:rPr>
                <w:sz w:val="18"/>
                <w:szCs w:val="18"/>
              </w:rPr>
            </w:pPr>
            <w:r>
              <w:rPr>
                <w:spacing w:val="-2"/>
                <w:sz w:val="18"/>
                <w:szCs w:val="18"/>
              </w:rPr>
              <w:t>98</w:t>
            </w:r>
          </w:p>
        </w:tc>
        <w:tc>
          <w:tcPr>
            <w:tcW w:w="509" w:type="dxa"/>
            <w:textDirection w:val="tbRlV"/>
            <w:vAlign w:val="top"/>
          </w:tcPr>
          <w:p>
            <w:pPr>
              <w:spacing w:before="160" w:line="202" w:lineRule="auto"/>
              <w:ind w:left="80"/>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67" w:line="186" w:lineRule="auto"/>
              <w:ind w:left="244"/>
              <w:rPr>
                <w:sz w:val="18"/>
                <w:szCs w:val="18"/>
              </w:rPr>
            </w:pPr>
            <w:r>
              <w:rPr>
                <w:spacing w:val="-2"/>
                <w:sz w:val="18"/>
                <w:szCs w:val="18"/>
              </w:rPr>
              <w:t>96.6</w:t>
            </w:r>
          </w:p>
        </w:tc>
        <w:tc>
          <w:tcPr>
            <w:tcW w:w="801" w:type="dxa"/>
            <w:vAlign w:val="top"/>
          </w:tcPr>
          <w:p>
            <w:pPr>
              <w:pStyle w:val="6"/>
              <w:spacing w:before="267" w:line="186" w:lineRule="auto"/>
              <w:ind w:left="244"/>
              <w:rPr>
                <w:sz w:val="18"/>
                <w:szCs w:val="18"/>
              </w:rPr>
            </w:pPr>
            <w:r>
              <w:rPr>
                <w:spacing w:val="-2"/>
                <w:sz w:val="18"/>
                <w:szCs w:val="18"/>
              </w:rPr>
              <w:t>98.6</w:t>
            </w:r>
          </w:p>
        </w:tc>
        <w:tc>
          <w:tcPr>
            <w:tcW w:w="802" w:type="dxa"/>
            <w:vAlign w:val="top"/>
          </w:tcPr>
          <w:p>
            <w:pPr>
              <w:pStyle w:val="6"/>
              <w:spacing w:before="267" w:line="186" w:lineRule="auto"/>
              <w:ind w:left="245"/>
              <w:rPr>
                <w:sz w:val="18"/>
                <w:szCs w:val="18"/>
              </w:rPr>
            </w:pPr>
            <w:r>
              <w:rPr>
                <w:spacing w:val="-2"/>
                <w:sz w:val="18"/>
                <w:szCs w:val="18"/>
              </w:rPr>
              <w:t>98.1</w:t>
            </w:r>
          </w:p>
        </w:tc>
        <w:tc>
          <w:tcPr>
            <w:tcW w:w="955" w:type="dxa"/>
            <w:vAlign w:val="top"/>
          </w:tcPr>
          <w:p>
            <w:pPr>
              <w:pStyle w:val="6"/>
              <w:spacing w:before="267" w:line="186" w:lineRule="auto"/>
              <w:ind w:left="114"/>
              <w:rPr>
                <w:sz w:val="18"/>
                <w:szCs w:val="18"/>
              </w:rPr>
            </w:pPr>
            <w:r>
              <w:rPr>
                <w:spacing w:val="-1"/>
                <w:sz w:val="18"/>
                <w:szCs w:val="18"/>
              </w:rPr>
              <w:t>0.21~0.22</w:t>
            </w:r>
          </w:p>
        </w:tc>
        <w:tc>
          <w:tcPr>
            <w:tcW w:w="362" w:type="dxa"/>
            <w:tcBorders>
              <w:right w:val="nil"/>
            </w:tcBorders>
            <w:textDirection w:val="tbRlV"/>
            <w:vAlign w:val="top"/>
          </w:tcPr>
          <w:p>
            <w:pPr>
              <w:spacing w:before="74" w:line="202" w:lineRule="auto"/>
              <w:ind w:left="80"/>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703" w:type="dxa"/>
            <w:tcBorders>
              <w:left w:val="nil"/>
            </w:tcBorders>
            <w:vAlign w:val="top"/>
          </w:tcPr>
          <w:p>
            <w:pPr>
              <w:spacing w:before="241" w:line="217" w:lineRule="auto"/>
              <w:ind w:left="603"/>
              <w:rPr>
                <w:rFonts w:ascii="仿宋" w:hAnsi="仿宋" w:eastAsia="仿宋" w:cs="仿宋"/>
                <w:sz w:val="18"/>
                <w:szCs w:val="18"/>
              </w:rPr>
            </w:pPr>
            <w:r>
              <w:rPr>
                <w:rFonts w:ascii="仿宋" w:hAnsi="仿宋" w:eastAsia="仿宋" w:cs="仿宋"/>
                <w:spacing w:val="-4"/>
                <w:sz w:val="18"/>
                <w:szCs w:val="18"/>
              </w:rPr>
              <w:t>氯化物</w:t>
            </w:r>
          </w:p>
        </w:tc>
        <w:tc>
          <w:tcPr>
            <w:tcW w:w="661" w:type="dxa"/>
            <w:vAlign w:val="top"/>
          </w:tcPr>
          <w:p>
            <w:pPr>
              <w:pStyle w:val="6"/>
              <w:spacing w:before="269" w:line="218" w:lineRule="auto"/>
              <w:ind w:left="143"/>
              <w:rPr>
                <w:sz w:val="18"/>
                <w:szCs w:val="18"/>
              </w:rPr>
            </w:pPr>
            <w:r>
              <w:rPr>
                <w:spacing w:val="-1"/>
                <w:sz w:val="18"/>
                <w:szCs w:val="18"/>
              </w:rPr>
              <w:t>≤250</w:t>
            </w:r>
          </w:p>
        </w:tc>
        <w:tc>
          <w:tcPr>
            <w:tcW w:w="802" w:type="dxa"/>
            <w:vAlign w:val="top"/>
          </w:tcPr>
          <w:p>
            <w:pPr>
              <w:pStyle w:val="6"/>
              <w:spacing w:before="272" w:line="186" w:lineRule="auto"/>
              <w:ind w:left="287"/>
              <w:rPr>
                <w:sz w:val="18"/>
                <w:szCs w:val="18"/>
              </w:rPr>
            </w:pPr>
            <w:r>
              <w:rPr>
                <w:spacing w:val="-2"/>
                <w:sz w:val="18"/>
                <w:szCs w:val="18"/>
              </w:rPr>
              <w:t>2.2</w:t>
            </w:r>
          </w:p>
        </w:tc>
        <w:tc>
          <w:tcPr>
            <w:tcW w:w="802" w:type="dxa"/>
            <w:vAlign w:val="top"/>
          </w:tcPr>
          <w:p>
            <w:pPr>
              <w:pStyle w:val="6"/>
              <w:spacing w:before="272" w:line="186" w:lineRule="auto"/>
              <w:ind w:left="290"/>
              <w:rPr>
                <w:sz w:val="18"/>
                <w:szCs w:val="18"/>
              </w:rPr>
            </w:pPr>
            <w:r>
              <w:rPr>
                <w:spacing w:val="-3"/>
                <w:sz w:val="18"/>
                <w:szCs w:val="18"/>
              </w:rPr>
              <w:t>3.8</w:t>
            </w:r>
          </w:p>
        </w:tc>
        <w:tc>
          <w:tcPr>
            <w:tcW w:w="803" w:type="dxa"/>
            <w:vAlign w:val="top"/>
          </w:tcPr>
          <w:p>
            <w:pPr>
              <w:pStyle w:val="6"/>
              <w:spacing w:before="272" w:line="186" w:lineRule="auto"/>
              <w:ind w:left="286"/>
              <w:rPr>
                <w:sz w:val="18"/>
                <w:szCs w:val="18"/>
              </w:rPr>
            </w:pPr>
            <w:r>
              <w:rPr>
                <w:spacing w:val="-2"/>
                <w:sz w:val="18"/>
                <w:szCs w:val="18"/>
              </w:rPr>
              <w:t>2.2</w:t>
            </w:r>
          </w:p>
        </w:tc>
        <w:tc>
          <w:tcPr>
            <w:tcW w:w="1100" w:type="dxa"/>
            <w:vAlign w:val="top"/>
          </w:tcPr>
          <w:p>
            <w:pPr>
              <w:pStyle w:val="6"/>
              <w:spacing w:before="116" w:line="314" w:lineRule="exact"/>
              <w:ind w:left="142"/>
              <w:rPr>
                <w:sz w:val="18"/>
                <w:szCs w:val="18"/>
              </w:rPr>
            </w:pPr>
            <w:r>
              <w:rPr>
                <w:spacing w:val="-1"/>
                <w:position w:val="13"/>
                <w:sz w:val="18"/>
                <w:szCs w:val="18"/>
              </w:rPr>
              <w:t>0.088~0.01</w:t>
            </w:r>
          </w:p>
          <w:p>
            <w:pPr>
              <w:pStyle w:val="6"/>
              <w:spacing w:line="183" w:lineRule="auto"/>
              <w:ind w:left="508"/>
              <w:rPr>
                <w:sz w:val="18"/>
                <w:szCs w:val="18"/>
              </w:rPr>
            </w:pPr>
            <w:r>
              <w:rPr>
                <w:sz w:val="18"/>
                <w:szCs w:val="18"/>
              </w:rPr>
              <w:t>5</w:t>
            </w:r>
          </w:p>
        </w:tc>
        <w:tc>
          <w:tcPr>
            <w:tcW w:w="509" w:type="dxa"/>
            <w:textDirection w:val="tbRlV"/>
            <w:vAlign w:val="top"/>
          </w:tcPr>
          <w:p>
            <w:pPr>
              <w:spacing w:before="159" w:line="202" w:lineRule="auto"/>
              <w:ind w:left="85"/>
              <w:rPr>
                <w:rFonts w:ascii="仿宋" w:hAnsi="仿宋" w:eastAsia="仿宋" w:cs="仿宋"/>
                <w:sz w:val="18"/>
                <w:szCs w:val="18"/>
              </w:rPr>
            </w:pPr>
            <w:r>
              <w:rPr>
                <w:rFonts w:ascii="仿宋" w:hAnsi="仿宋" w:eastAsia="仿宋" w:cs="仿宋"/>
                <w:spacing w:val="-1"/>
                <w:sz w:val="18"/>
                <w:szCs w:val="18"/>
              </w:rPr>
              <w:t>达</w:t>
            </w:r>
            <w:r>
              <w:rPr>
                <w:rFonts w:ascii="仿宋" w:hAnsi="仿宋" w:eastAsia="仿宋" w:cs="仿宋"/>
                <w:spacing w:val="42"/>
                <w:w w:val="101"/>
                <w:sz w:val="18"/>
                <w:szCs w:val="18"/>
              </w:rPr>
              <w:t xml:space="preserve"> </w:t>
            </w:r>
            <w:r>
              <w:rPr>
                <w:rFonts w:ascii="仿宋" w:hAnsi="仿宋" w:eastAsia="仿宋" w:cs="仿宋"/>
                <w:spacing w:val="-1"/>
                <w:sz w:val="18"/>
                <w:szCs w:val="18"/>
              </w:rPr>
              <w:t>标</w:t>
            </w:r>
          </w:p>
        </w:tc>
        <w:tc>
          <w:tcPr>
            <w:tcW w:w="803" w:type="dxa"/>
            <w:vAlign w:val="top"/>
          </w:tcPr>
          <w:p>
            <w:pPr>
              <w:pStyle w:val="6"/>
              <w:spacing w:before="272" w:line="186" w:lineRule="auto"/>
              <w:ind w:left="291"/>
              <w:rPr>
                <w:sz w:val="18"/>
                <w:szCs w:val="18"/>
              </w:rPr>
            </w:pPr>
            <w:r>
              <w:rPr>
                <w:spacing w:val="-3"/>
                <w:sz w:val="18"/>
                <w:szCs w:val="18"/>
              </w:rPr>
              <w:t>5.0</w:t>
            </w:r>
          </w:p>
        </w:tc>
        <w:tc>
          <w:tcPr>
            <w:tcW w:w="802" w:type="dxa"/>
            <w:vAlign w:val="top"/>
          </w:tcPr>
          <w:p>
            <w:pPr>
              <w:pStyle w:val="6"/>
              <w:spacing w:before="272" w:line="186" w:lineRule="auto"/>
              <w:ind w:left="289"/>
              <w:rPr>
                <w:sz w:val="18"/>
                <w:szCs w:val="18"/>
              </w:rPr>
            </w:pPr>
            <w:r>
              <w:rPr>
                <w:spacing w:val="-3"/>
                <w:sz w:val="18"/>
                <w:szCs w:val="18"/>
              </w:rPr>
              <w:t>7.0</w:t>
            </w:r>
          </w:p>
        </w:tc>
        <w:tc>
          <w:tcPr>
            <w:tcW w:w="802" w:type="dxa"/>
            <w:vAlign w:val="top"/>
          </w:tcPr>
          <w:p>
            <w:pPr>
              <w:pStyle w:val="6"/>
              <w:spacing w:before="272" w:line="186" w:lineRule="auto"/>
              <w:ind w:left="289"/>
              <w:rPr>
                <w:sz w:val="18"/>
                <w:szCs w:val="18"/>
              </w:rPr>
            </w:pPr>
            <w:r>
              <w:rPr>
                <w:spacing w:val="-3"/>
                <w:sz w:val="18"/>
                <w:szCs w:val="18"/>
              </w:rPr>
              <w:t>9.0</w:t>
            </w:r>
          </w:p>
        </w:tc>
        <w:tc>
          <w:tcPr>
            <w:tcW w:w="955" w:type="dxa"/>
            <w:vAlign w:val="top"/>
          </w:tcPr>
          <w:p>
            <w:pPr>
              <w:pStyle w:val="6"/>
              <w:spacing w:before="116" w:line="312" w:lineRule="exact"/>
              <w:ind w:left="114"/>
              <w:rPr>
                <w:sz w:val="18"/>
                <w:szCs w:val="18"/>
              </w:rPr>
            </w:pPr>
            <w:r>
              <w:rPr>
                <w:spacing w:val="-1"/>
                <w:position w:val="13"/>
                <w:sz w:val="18"/>
                <w:szCs w:val="18"/>
              </w:rPr>
              <w:t>0.02~0.03</w:t>
            </w:r>
          </w:p>
          <w:p>
            <w:pPr>
              <w:pStyle w:val="6"/>
              <w:spacing w:line="186" w:lineRule="auto"/>
              <w:ind w:left="433"/>
              <w:rPr>
                <w:sz w:val="18"/>
                <w:szCs w:val="18"/>
              </w:rPr>
            </w:pPr>
            <w:r>
              <w:rPr>
                <w:sz w:val="18"/>
                <w:szCs w:val="18"/>
              </w:rPr>
              <w:t>6</w:t>
            </w:r>
          </w:p>
        </w:tc>
        <w:tc>
          <w:tcPr>
            <w:tcW w:w="509" w:type="dxa"/>
            <w:textDirection w:val="tbRlV"/>
            <w:vAlign w:val="top"/>
          </w:tcPr>
          <w:p>
            <w:pPr>
              <w:spacing w:before="160" w:line="202" w:lineRule="auto"/>
              <w:ind w:left="85"/>
              <w:rPr>
                <w:rFonts w:ascii="仿宋" w:hAnsi="仿宋" w:eastAsia="仿宋" w:cs="仿宋"/>
                <w:sz w:val="18"/>
                <w:szCs w:val="18"/>
              </w:rPr>
            </w:pPr>
            <w:r>
              <w:rPr>
                <w:rFonts w:ascii="仿宋" w:hAnsi="仿宋" w:eastAsia="仿宋" w:cs="仿宋"/>
                <w:spacing w:val="-1"/>
                <w:sz w:val="18"/>
                <w:szCs w:val="18"/>
              </w:rPr>
              <w:t>达</w:t>
            </w:r>
            <w:r>
              <w:rPr>
                <w:rFonts w:ascii="仿宋" w:hAnsi="仿宋" w:eastAsia="仿宋" w:cs="仿宋"/>
                <w:spacing w:val="42"/>
                <w:w w:val="101"/>
                <w:sz w:val="18"/>
                <w:szCs w:val="18"/>
              </w:rPr>
              <w:t xml:space="preserve"> </w:t>
            </w:r>
            <w:r>
              <w:rPr>
                <w:rFonts w:ascii="仿宋" w:hAnsi="仿宋" w:eastAsia="仿宋" w:cs="仿宋"/>
                <w:spacing w:val="-1"/>
                <w:sz w:val="18"/>
                <w:szCs w:val="18"/>
              </w:rPr>
              <w:t>标</w:t>
            </w:r>
          </w:p>
        </w:tc>
        <w:tc>
          <w:tcPr>
            <w:tcW w:w="803" w:type="dxa"/>
            <w:vAlign w:val="top"/>
          </w:tcPr>
          <w:p>
            <w:pPr>
              <w:pStyle w:val="6"/>
              <w:spacing w:before="272" w:line="186" w:lineRule="auto"/>
              <w:ind w:left="284"/>
              <w:rPr>
                <w:sz w:val="18"/>
                <w:szCs w:val="18"/>
              </w:rPr>
            </w:pPr>
            <w:r>
              <w:rPr>
                <w:spacing w:val="-1"/>
                <w:sz w:val="18"/>
                <w:szCs w:val="18"/>
              </w:rPr>
              <w:t>4.0</w:t>
            </w:r>
          </w:p>
        </w:tc>
        <w:tc>
          <w:tcPr>
            <w:tcW w:w="801" w:type="dxa"/>
            <w:vAlign w:val="top"/>
          </w:tcPr>
          <w:p>
            <w:pPr>
              <w:pStyle w:val="6"/>
              <w:spacing w:before="272" w:line="186" w:lineRule="auto"/>
              <w:ind w:left="289"/>
              <w:rPr>
                <w:sz w:val="18"/>
                <w:szCs w:val="18"/>
              </w:rPr>
            </w:pPr>
            <w:r>
              <w:rPr>
                <w:spacing w:val="-3"/>
                <w:sz w:val="18"/>
                <w:szCs w:val="18"/>
              </w:rPr>
              <w:t>6.5</w:t>
            </w:r>
          </w:p>
        </w:tc>
        <w:tc>
          <w:tcPr>
            <w:tcW w:w="802" w:type="dxa"/>
            <w:vAlign w:val="top"/>
          </w:tcPr>
          <w:p>
            <w:pPr>
              <w:pStyle w:val="6"/>
              <w:spacing w:before="272" w:line="186" w:lineRule="auto"/>
              <w:ind w:left="290"/>
              <w:rPr>
                <w:sz w:val="18"/>
                <w:szCs w:val="18"/>
              </w:rPr>
            </w:pPr>
            <w:r>
              <w:rPr>
                <w:spacing w:val="-3"/>
                <w:sz w:val="18"/>
                <w:szCs w:val="18"/>
              </w:rPr>
              <w:t>6.0</w:t>
            </w:r>
          </w:p>
        </w:tc>
        <w:tc>
          <w:tcPr>
            <w:tcW w:w="955" w:type="dxa"/>
            <w:vAlign w:val="top"/>
          </w:tcPr>
          <w:p>
            <w:pPr>
              <w:pStyle w:val="6"/>
              <w:spacing w:before="116" w:line="312" w:lineRule="exact"/>
              <w:ind w:left="114"/>
              <w:rPr>
                <w:sz w:val="18"/>
                <w:szCs w:val="18"/>
              </w:rPr>
            </w:pPr>
            <w:r>
              <w:rPr>
                <w:spacing w:val="-1"/>
                <w:position w:val="13"/>
                <w:sz w:val="18"/>
                <w:szCs w:val="18"/>
              </w:rPr>
              <w:t>0.016~0.0</w:t>
            </w:r>
          </w:p>
          <w:p>
            <w:pPr>
              <w:pStyle w:val="6"/>
              <w:spacing w:line="186" w:lineRule="auto"/>
              <w:ind w:left="403"/>
              <w:rPr>
                <w:sz w:val="18"/>
                <w:szCs w:val="18"/>
              </w:rPr>
            </w:pPr>
            <w:r>
              <w:rPr>
                <w:spacing w:val="-6"/>
                <w:sz w:val="18"/>
                <w:szCs w:val="18"/>
              </w:rPr>
              <w:t>14</w:t>
            </w:r>
          </w:p>
        </w:tc>
        <w:tc>
          <w:tcPr>
            <w:tcW w:w="362" w:type="dxa"/>
            <w:tcBorders>
              <w:right w:val="nil"/>
            </w:tcBorders>
            <w:textDirection w:val="tbRlV"/>
            <w:vAlign w:val="top"/>
          </w:tcPr>
          <w:p>
            <w:pPr>
              <w:spacing w:before="74" w:line="202" w:lineRule="auto"/>
              <w:ind w:left="85"/>
              <w:rPr>
                <w:rFonts w:ascii="仿宋" w:hAnsi="仿宋" w:eastAsia="仿宋" w:cs="仿宋"/>
                <w:sz w:val="18"/>
                <w:szCs w:val="18"/>
              </w:rPr>
            </w:pPr>
            <w:r>
              <w:rPr>
                <w:rFonts w:ascii="仿宋" w:hAnsi="仿宋" w:eastAsia="仿宋" w:cs="仿宋"/>
                <w:spacing w:val="-1"/>
                <w:sz w:val="18"/>
                <w:szCs w:val="18"/>
              </w:rPr>
              <w:t>达</w:t>
            </w:r>
            <w:r>
              <w:rPr>
                <w:rFonts w:ascii="仿宋" w:hAnsi="仿宋" w:eastAsia="仿宋" w:cs="仿宋"/>
                <w:spacing w:val="42"/>
                <w:w w:val="101"/>
                <w:sz w:val="18"/>
                <w:szCs w:val="18"/>
              </w:rPr>
              <w:t xml:space="preserve"> </w:t>
            </w:r>
            <w:r>
              <w:rPr>
                <w:rFonts w:ascii="仿宋" w:hAnsi="仿宋" w:eastAsia="仿宋" w:cs="仿宋"/>
                <w:spacing w:val="-1"/>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1703" w:type="dxa"/>
            <w:tcBorders>
              <w:left w:val="nil"/>
            </w:tcBorders>
            <w:vAlign w:val="top"/>
          </w:tcPr>
          <w:p>
            <w:pPr>
              <w:spacing w:before="87" w:line="312" w:lineRule="exact"/>
              <w:ind w:left="427"/>
              <w:rPr>
                <w:rFonts w:ascii="仿宋" w:hAnsi="仿宋" w:eastAsia="仿宋" w:cs="仿宋"/>
                <w:sz w:val="18"/>
                <w:szCs w:val="18"/>
              </w:rPr>
            </w:pPr>
            <w:r>
              <w:rPr>
                <w:rFonts w:ascii="仿宋" w:hAnsi="仿宋" w:eastAsia="仿宋" w:cs="仿宋"/>
                <w:spacing w:val="-4"/>
                <w:position w:val="10"/>
                <w:sz w:val="18"/>
                <w:szCs w:val="18"/>
              </w:rPr>
              <w:t>总大肠菌群</w:t>
            </w:r>
          </w:p>
          <w:p>
            <w:pPr>
              <w:pStyle w:val="6"/>
              <w:spacing w:line="220" w:lineRule="auto"/>
              <w:ind w:left="415"/>
              <w:rPr>
                <w:rFonts w:ascii="仿宋" w:hAnsi="仿宋" w:eastAsia="仿宋" w:cs="仿宋"/>
                <w:sz w:val="18"/>
                <w:szCs w:val="18"/>
              </w:rPr>
            </w:pPr>
            <w:r>
              <w:rPr>
                <w:rFonts w:ascii="仿宋" w:hAnsi="仿宋" w:eastAsia="仿宋" w:cs="仿宋"/>
                <w:spacing w:val="-2"/>
                <w:sz w:val="18"/>
                <w:szCs w:val="18"/>
              </w:rPr>
              <w:t>（</w:t>
            </w:r>
            <w:r>
              <w:rPr>
                <w:spacing w:val="-2"/>
                <w:sz w:val="18"/>
                <w:szCs w:val="18"/>
              </w:rPr>
              <w:t>MPN/L</w:t>
            </w:r>
            <w:r>
              <w:rPr>
                <w:rFonts w:ascii="仿宋" w:hAnsi="仿宋" w:eastAsia="仿宋" w:cs="仿宋"/>
                <w:spacing w:val="-2"/>
                <w:sz w:val="18"/>
                <w:szCs w:val="18"/>
              </w:rPr>
              <w:t>）</w:t>
            </w:r>
          </w:p>
        </w:tc>
        <w:tc>
          <w:tcPr>
            <w:tcW w:w="661" w:type="dxa"/>
            <w:vAlign w:val="top"/>
          </w:tcPr>
          <w:p>
            <w:pPr>
              <w:pStyle w:val="6"/>
              <w:spacing w:before="271" w:line="218" w:lineRule="auto"/>
              <w:ind w:left="188"/>
              <w:rPr>
                <w:sz w:val="18"/>
                <w:szCs w:val="18"/>
              </w:rPr>
            </w:pPr>
            <w:r>
              <w:rPr>
                <w:spacing w:val="-1"/>
                <w:sz w:val="18"/>
                <w:szCs w:val="18"/>
              </w:rPr>
              <w:t>≤30</w:t>
            </w:r>
          </w:p>
        </w:tc>
        <w:tc>
          <w:tcPr>
            <w:tcW w:w="802" w:type="dxa"/>
            <w:vAlign w:val="top"/>
          </w:tcPr>
          <w:p>
            <w:pPr>
              <w:spacing w:before="243" w:line="216" w:lineRule="auto"/>
              <w:ind w:left="139"/>
              <w:rPr>
                <w:rFonts w:ascii="仿宋" w:hAnsi="仿宋" w:eastAsia="仿宋" w:cs="仿宋"/>
                <w:sz w:val="18"/>
                <w:szCs w:val="18"/>
              </w:rPr>
            </w:pPr>
            <w:r>
              <w:rPr>
                <w:rFonts w:ascii="仿宋" w:hAnsi="仿宋" w:eastAsia="仿宋" w:cs="仿宋"/>
                <w:spacing w:val="-3"/>
                <w:sz w:val="18"/>
                <w:szCs w:val="18"/>
              </w:rPr>
              <w:t>未检出</w:t>
            </w:r>
          </w:p>
        </w:tc>
        <w:tc>
          <w:tcPr>
            <w:tcW w:w="802" w:type="dxa"/>
            <w:vAlign w:val="top"/>
          </w:tcPr>
          <w:p>
            <w:pPr>
              <w:spacing w:before="243" w:line="216" w:lineRule="auto"/>
              <w:ind w:left="139"/>
              <w:rPr>
                <w:rFonts w:ascii="仿宋" w:hAnsi="仿宋" w:eastAsia="仿宋" w:cs="仿宋"/>
                <w:sz w:val="18"/>
                <w:szCs w:val="18"/>
              </w:rPr>
            </w:pPr>
            <w:r>
              <w:rPr>
                <w:rFonts w:ascii="仿宋" w:hAnsi="仿宋" w:eastAsia="仿宋" w:cs="仿宋"/>
                <w:spacing w:val="-3"/>
                <w:sz w:val="18"/>
                <w:szCs w:val="18"/>
              </w:rPr>
              <w:t>未检出</w:t>
            </w:r>
          </w:p>
        </w:tc>
        <w:tc>
          <w:tcPr>
            <w:tcW w:w="803" w:type="dxa"/>
            <w:vAlign w:val="top"/>
          </w:tcPr>
          <w:p>
            <w:pPr>
              <w:spacing w:before="243" w:line="216" w:lineRule="auto"/>
              <w:ind w:left="138"/>
              <w:rPr>
                <w:rFonts w:ascii="仿宋" w:hAnsi="仿宋" w:eastAsia="仿宋" w:cs="仿宋"/>
                <w:sz w:val="18"/>
                <w:szCs w:val="18"/>
              </w:rPr>
            </w:pPr>
            <w:r>
              <w:rPr>
                <w:rFonts w:ascii="仿宋" w:hAnsi="仿宋" w:eastAsia="仿宋" w:cs="仿宋"/>
                <w:spacing w:val="-3"/>
                <w:sz w:val="18"/>
                <w:szCs w:val="18"/>
              </w:rPr>
              <w:t>未检出</w:t>
            </w:r>
          </w:p>
        </w:tc>
        <w:tc>
          <w:tcPr>
            <w:tcW w:w="1100" w:type="dxa"/>
            <w:vAlign w:val="top"/>
          </w:tcPr>
          <w:p>
            <w:pPr>
              <w:pStyle w:val="6"/>
              <w:spacing w:before="271" w:line="232" w:lineRule="auto"/>
              <w:ind w:left="520"/>
              <w:rPr>
                <w:sz w:val="18"/>
                <w:szCs w:val="18"/>
              </w:rPr>
            </w:pPr>
            <w:r>
              <w:rPr>
                <w:sz w:val="18"/>
                <w:szCs w:val="18"/>
              </w:rPr>
              <w:t>/</w:t>
            </w:r>
          </w:p>
        </w:tc>
        <w:tc>
          <w:tcPr>
            <w:tcW w:w="509" w:type="dxa"/>
            <w:textDirection w:val="tbRlV"/>
            <w:vAlign w:val="top"/>
          </w:tcPr>
          <w:p>
            <w:pPr>
              <w:spacing w:before="159" w:line="202" w:lineRule="auto"/>
              <w:ind w:left="87"/>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pStyle w:val="6"/>
              <w:spacing w:before="274" w:line="186" w:lineRule="auto"/>
              <w:ind w:left="353"/>
              <w:rPr>
                <w:sz w:val="18"/>
                <w:szCs w:val="18"/>
              </w:rPr>
            </w:pPr>
            <w:r>
              <w:rPr>
                <w:sz w:val="18"/>
                <w:szCs w:val="18"/>
              </w:rPr>
              <w:t>2</w:t>
            </w:r>
          </w:p>
        </w:tc>
        <w:tc>
          <w:tcPr>
            <w:tcW w:w="802" w:type="dxa"/>
            <w:vAlign w:val="top"/>
          </w:tcPr>
          <w:p>
            <w:pPr>
              <w:spacing w:before="243" w:line="216" w:lineRule="auto"/>
              <w:ind w:left="138"/>
              <w:rPr>
                <w:rFonts w:ascii="仿宋" w:hAnsi="仿宋" w:eastAsia="仿宋" w:cs="仿宋"/>
                <w:sz w:val="18"/>
                <w:szCs w:val="18"/>
              </w:rPr>
            </w:pPr>
            <w:r>
              <w:rPr>
                <w:rFonts w:ascii="仿宋" w:hAnsi="仿宋" w:eastAsia="仿宋" w:cs="仿宋"/>
                <w:spacing w:val="-3"/>
                <w:sz w:val="18"/>
                <w:szCs w:val="18"/>
              </w:rPr>
              <w:t>未检出</w:t>
            </w:r>
          </w:p>
        </w:tc>
        <w:tc>
          <w:tcPr>
            <w:tcW w:w="802" w:type="dxa"/>
            <w:vAlign w:val="top"/>
          </w:tcPr>
          <w:p>
            <w:pPr>
              <w:spacing w:before="243" w:line="216" w:lineRule="auto"/>
              <w:ind w:left="138"/>
              <w:rPr>
                <w:rFonts w:ascii="仿宋" w:hAnsi="仿宋" w:eastAsia="仿宋" w:cs="仿宋"/>
                <w:sz w:val="18"/>
                <w:szCs w:val="18"/>
              </w:rPr>
            </w:pPr>
            <w:r>
              <w:rPr>
                <w:rFonts w:ascii="仿宋" w:hAnsi="仿宋" w:eastAsia="仿宋" w:cs="仿宋"/>
                <w:spacing w:val="-3"/>
                <w:sz w:val="18"/>
                <w:szCs w:val="18"/>
              </w:rPr>
              <w:t>未检出</w:t>
            </w:r>
          </w:p>
        </w:tc>
        <w:tc>
          <w:tcPr>
            <w:tcW w:w="955" w:type="dxa"/>
            <w:vAlign w:val="top"/>
          </w:tcPr>
          <w:p>
            <w:pPr>
              <w:pStyle w:val="6"/>
              <w:spacing w:before="274" w:line="186" w:lineRule="auto"/>
              <w:ind w:left="275"/>
              <w:rPr>
                <w:sz w:val="18"/>
                <w:szCs w:val="18"/>
              </w:rPr>
            </w:pPr>
            <w:r>
              <w:rPr>
                <w:spacing w:val="-2"/>
                <w:sz w:val="18"/>
                <w:szCs w:val="18"/>
              </w:rPr>
              <w:t>0.067</w:t>
            </w:r>
          </w:p>
        </w:tc>
        <w:tc>
          <w:tcPr>
            <w:tcW w:w="509" w:type="dxa"/>
            <w:textDirection w:val="tbRlV"/>
            <w:vAlign w:val="top"/>
          </w:tcPr>
          <w:p>
            <w:pPr>
              <w:spacing w:before="160" w:line="202" w:lineRule="auto"/>
              <w:ind w:left="87"/>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vAlign w:val="top"/>
          </w:tcPr>
          <w:p>
            <w:pPr>
              <w:spacing w:before="243" w:line="216" w:lineRule="auto"/>
              <w:ind w:left="138"/>
              <w:rPr>
                <w:rFonts w:ascii="仿宋" w:hAnsi="仿宋" w:eastAsia="仿宋" w:cs="仿宋"/>
                <w:sz w:val="18"/>
                <w:szCs w:val="18"/>
              </w:rPr>
            </w:pPr>
            <w:r>
              <w:rPr>
                <w:rFonts w:ascii="仿宋" w:hAnsi="仿宋" w:eastAsia="仿宋" w:cs="仿宋"/>
                <w:spacing w:val="-3"/>
                <w:sz w:val="18"/>
                <w:szCs w:val="18"/>
              </w:rPr>
              <w:t>未检出</w:t>
            </w:r>
          </w:p>
        </w:tc>
        <w:tc>
          <w:tcPr>
            <w:tcW w:w="801" w:type="dxa"/>
            <w:vAlign w:val="top"/>
          </w:tcPr>
          <w:p>
            <w:pPr>
              <w:spacing w:before="243" w:line="216" w:lineRule="auto"/>
              <w:ind w:left="137"/>
              <w:rPr>
                <w:rFonts w:ascii="仿宋" w:hAnsi="仿宋" w:eastAsia="仿宋" w:cs="仿宋"/>
                <w:sz w:val="18"/>
                <w:szCs w:val="18"/>
              </w:rPr>
            </w:pPr>
            <w:r>
              <w:rPr>
                <w:rFonts w:ascii="仿宋" w:hAnsi="仿宋" w:eastAsia="仿宋" w:cs="仿宋"/>
                <w:spacing w:val="-3"/>
                <w:sz w:val="18"/>
                <w:szCs w:val="18"/>
              </w:rPr>
              <w:t>未检出</w:t>
            </w:r>
          </w:p>
        </w:tc>
        <w:tc>
          <w:tcPr>
            <w:tcW w:w="802" w:type="dxa"/>
            <w:vAlign w:val="top"/>
          </w:tcPr>
          <w:p>
            <w:pPr>
              <w:pStyle w:val="6"/>
              <w:spacing w:before="274" w:line="186" w:lineRule="auto"/>
              <w:ind w:left="353"/>
              <w:rPr>
                <w:sz w:val="18"/>
                <w:szCs w:val="18"/>
              </w:rPr>
            </w:pPr>
            <w:r>
              <w:rPr>
                <w:sz w:val="18"/>
                <w:szCs w:val="18"/>
              </w:rPr>
              <w:t>2</w:t>
            </w:r>
          </w:p>
        </w:tc>
        <w:tc>
          <w:tcPr>
            <w:tcW w:w="955" w:type="dxa"/>
            <w:vAlign w:val="top"/>
          </w:tcPr>
          <w:p>
            <w:pPr>
              <w:pStyle w:val="6"/>
              <w:spacing w:before="274" w:line="186" w:lineRule="auto"/>
              <w:ind w:left="275"/>
              <w:rPr>
                <w:sz w:val="18"/>
                <w:szCs w:val="18"/>
              </w:rPr>
            </w:pPr>
            <w:r>
              <w:rPr>
                <w:spacing w:val="-2"/>
                <w:sz w:val="18"/>
                <w:szCs w:val="18"/>
              </w:rPr>
              <w:t>0.067</w:t>
            </w:r>
          </w:p>
        </w:tc>
        <w:tc>
          <w:tcPr>
            <w:tcW w:w="362" w:type="dxa"/>
            <w:tcBorders>
              <w:right w:val="nil"/>
            </w:tcBorders>
            <w:textDirection w:val="tbRlV"/>
            <w:vAlign w:val="top"/>
          </w:tcPr>
          <w:p>
            <w:pPr>
              <w:spacing w:before="74" w:line="202" w:lineRule="auto"/>
              <w:ind w:left="87"/>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0" w:hRule="atLeast"/>
        </w:trPr>
        <w:tc>
          <w:tcPr>
            <w:tcW w:w="1703" w:type="dxa"/>
            <w:tcBorders>
              <w:left w:val="nil"/>
              <w:bottom w:val="single" w:color="000000" w:sz="12" w:space="0"/>
            </w:tcBorders>
            <w:vAlign w:val="top"/>
          </w:tcPr>
          <w:p>
            <w:pPr>
              <w:pStyle w:val="6"/>
              <w:spacing w:before="92" w:line="276" w:lineRule="auto"/>
              <w:ind w:left="617" w:right="300" w:hanging="284"/>
              <w:rPr>
                <w:rFonts w:ascii="仿宋" w:hAnsi="仿宋" w:eastAsia="仿宋" w:cs="仿宋"/>
                <w:sz w:val="18"/>
                <w:szCs w:val="18"/>
              </w:rPr>
            </w:pPr>
            <w:r>
              <w:rPr>
                <w:rFonts w:ascii="仿宋" w:hAnsi="仿宋" w:eastAsia="仿宋" w:cs="仿宋"/>
                <w:spacing w:val="-3"/>
                <w:sz w:val="18"/>
                <w:szCs w:val="18"/>
              </w:rPr>
              <w:t>细菌总数（个</w:t>
            </w:r>
            <w:r>
              <w:rPr>
                <w:rFonts w:ascii="仿宋" w:hAnsi="仿宋" w:eastAsia="仿宋" w:cs="仿宋"/>
                <w:spacing w:val="1"/>
                <w:sz w:val="18"/>
                <w:szCs w:val="18"/>
              </w:rPr>
              <w:t xml:space="preserve"> </w:t>
            </w:r>
            <w:r>
              <w:rPr>
                <w:sz w:val="18"/>
                <w:szCs w:val="18"/>
              </w:rPr>
              <w:t>/mL</w:t>
            </w:r>
            <w:r>
              <w:rPr>
                <w:rFonts w:ascii="仿宋" w:hAnsi="仿宋" w:eastAsia="仿宋" w:cs="仿宋"/>
                <w:sz w:val="18"/>
                <w:szCs w:val="18"/>
              </w:rPr>
              <w:t>）</w:t>
            </w:r>
          </w:p>
        </w:tc>
        <w:tc>
          <w:tcPr>
            <w:tcW w:w="661" w:type="dxa"/>
            <w:tcBorders>
              <w:bottom w:val="single" w:color="000000" w:sz="12" w:space="0"/>
            </w:tcBorders>
            <w:vAlign w:val="top"/>
          </w:tcPr>
          <w:p>
            <w:pPr>
              <w:pStyle w:val="6"/>
              <w:spacing w:before="276" w:line="218" w:lineRule="auto"/>
              <w:ind w:left="143"/>
              <w:rPr>
                <w:sz w:val="18"/>
                <w:szCs w:val="18"/>
              </w:rPr>
            </w:pPr>
            <w:r>
              <w:rPr>
                <w:spacing w:val="-1"/>
                <w:sz w:val="18"/>
                <w:szCs w:val="18"/>
              </w:rPr>
              <w:t>≤100</w:t>
            </w:r>
          </w:p>
        </w:tc>
        <w:tc>
          <w:tcPr>
            <w:tcW w:w="802" w:type="dxa"/>
            <w:tcBorders>
              <w:bottom w:val="single" w:color="000000" w:sz="12" w:space="0"/>
            </w:tcBorders>
            <w:vAlign w:val="top"/>
          </w:tcPr>
          <w:p>
            <w:pPr>
              <w:pStyle w:val="6"/>
              <w:spacing w:before="279" w:line="186" w:lineRule="auto"/>
              <w:ind w:left="309"/>
              <w:rPr>
                <w:sz w:val="18"/>
                <w:szCs w:val="18"/>
              </w:rPr>
            </w:pPr>
            <w:r>
              <w:rPr>
                <w:spacing w:val="-1"/>
                <w:sz w:val="18"/>
                <w:szCs w:val="18"/>
              </w:rPr>
              <w:t>41</w:t>
            </w:r>
          </w:p>
        </w:tc>
        <w:tc>
          <w:tcPr>
            <w:tcW w:w="802" w:type="dxa"/>
            <w:tcBorders>
              <w:bottom w:val="single" w:color="000000" w:sz="12" w:space="0"/>
            </w:tcBorders>
            <w:vAlign w:val="top"/>
          </w:tcPr>
          <w:p>
            <w:pPr>
              <w:pStyle w:val="6"/>
              <w:spacing w:before="279" w:line="186" w:lineRule="auto"/>
              <w:ind w:left="308"/>
              <w:rPr>
                <w:sz w:val="18"/>
                <w:szCs w:val="18"/>
              </w:rPr>
            </w:pPr>
            <w:r>
              <w:rPr>
                <w:spacing w:val="-1"/>
                <w:sz w:val="18"/>
                <w:szCs w:val="18"/>
              </w:rPr>
              <w:t>48</w:t>
            </w:r>
          </w:p>
        </w:tc>
        <w:tc>
          <w:tcPr>
            <w:tcW w:w="803" w:type="dxa"/>
            <w:tcBorders>
              <w:bottom w:val="single" w:color="000000" w:sz="12" w:space="0"/>
            </w:tcBorders>
            <w:vAlign w:val="top"/>
          </w:tcPr>
          <w:p>
            <w:pPr>
              <w:pStyle w:val="6"/>
              <w:spacing w:before="279" w:line="186" w:lineRule="auto"/>
              <w:ind w:left="314"/>
              <w:rPr>
                <w:sz w:val="18"/>
                <w:szCs w:val="18"/>
              </w:rPr>
            </w:pPr>
            <w:r>
              <w:rPr>
                <w:spacing w:val="-3"/>
                <w:sz w:val="18"/>
                <w:szCs w:val="18"/>
              </w:rPr>
              <w:t>52</w:t>
            </w:r>
          </w:p>
        </w:tc>
        <w:tc>
          <w:tcPr>
            <w:tcW w:w="1100" w:type="dxa"/>
            <w:tcBorders>
              <w:bottom w:val="single" w:color="000000" w:sz="12" w:space="0"/>
            </w:tcBorders>
            <w:vAlign w:val="top"/>
          </w:tcPr>
          <w:p>
            <w:pPr>
              <w:pStyle w:val="6"/>
              <w:spacing w:before="279" w:line="186" w:lineRule="auto"/>
              <w:ind w:left="188"/>
              <w:rPr>
                <w:sz w:val="18"/>
                <w:szCs w:val="18"/>
              </w:rPr>
            </w:pPr>
            <w:r>
              <w:rPr>
                <w:spacing w:val="-1"/>
                <w:sz w:val="18"/>
                <w:szCs w:val="18"/>
              </w:rPr>
              <w:t>0.41~0.52</w:t>
            </w:r>
          </w:p>
        </w:tc>
        <w:tc>
          <w:tcPr>
            <w:tcW w:w="509" w:type="dxa"/>
            <w:tcBorders>
              <w:bottom w:val="single" w:color="000000" w:sz="12" w:space="0"/>
            </w:tcBorders>
            <w:textDirection w:val="tbRlV"/>
            <w:vAlign w:val="top"/>
          </w:tcPr>
          <w:p>
            <w:pPr>
              <w:spacing w:before="159" w:line="202" w:lineRule="auto"/>
              <w:ind w:left="92"/>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tcBorders>
              <w:bottom w:val="single" w:color="000000" w:sz="12" w:space="0"/>
            </w:tcBorders>
            <w:vAlign w:val="top"/>
          </w:tcPr>
          <w:p>
            <w:pPr>
              <w:pStyle w:val="6"/>
              <w:spacing w:before="279" w:line="186" w:lineRule="auto"/>
              <w:ind w:left="314"/>
              <w:rPr>
                <w:sz w:val="18"/>
                <w:szCs w:val="18"/>
              </w:rPr>
            </w:pPr>
            <w:r>
              <w:rPr>
                <w:spacing w:val="-3"/>
                <w:sz w:val="18"/>
                <w:szCs w:val="18"/>
              </w:rPr>
              <w:t>58</w:t>
            </w:r>
          </w:p>
        </w:tc>
        <w:tc>
          <w:tcPr>
            <w:tcW w:w="802" w:type="dxa"/>
            <w:tcBorders>
              <w:bottom w:val="single" w:color="000000" w:sz="12" w:space="0"/>
            </w:tcBorders>
            <w:vAlign w:val="top"/>
          </w:tcPr>
          <w:p>
            <w:pPr>
              <w:pStyle w:val="6"/>
              <w:spacing w:before="279" w:line="186" w:lineRule="auto"/>
              <w:ind w:left="312"/>
              <w:rPr>
                <w:sz w:val="18"/>
                <w:szCs w:val="18"/>
              </w:rPr>
            </w:pPr>
            <w:r>
              <w:rPr>
                <w:spacing w:val="-2"/>
                <w:sz w:val="18"/>
                <w:szCs w:val="18"/>
              </w:rPr>
              <w:t>72</w:t>
            </w:r>
          </w:p>
        </w:tc>
        <w:tc>
          <w:tcPr>
            <w:tcW w:w="802" w:type="dxa"/>
            <w:tcBorders>
              <w:bottom w:val="single" w:color="000000" w:sz="12" w:space="0"/>
            </w:tcBorders>
            <w:vAlign w:val="top"/>
          </w:tcPr>
          <w:p>
            <w:pPr>
              <w:pStyle w:val="6"/>
              <w:spacing w:before="279" w:line="186" w:lineRule="auto"/>
              <w:ind w:left="312"/>
              <w:rPr>
                <w:sz w:val="18"/>
                <w:szCs w:val="18"/>
              </w:rPr>
            </w:pPr>
            <w:r>
              <w:rPr>
                <w:spacing w:val="-2"/>
                <w:sz w:val="18"/>
                <w:szCs w:val="18"/>
              </w:rPr>
              <w:t>65</w:t>
            </w:r>
          </w:p>
        </w:tc>
        <w:tc>
          <w:tcPr>
            <w:tcW w:w="955" w:type="dxa"/>
            <w:tcBorders>
              <w:bottom w:val="single" w:color="000000" w:sz="12" w:space="0"/>
            </w:tcBorders>
            <w:vAlign w:val="top"/>
          </w:tcPr>
          <w:p>
            <w:pPr>
              <w:pStyle w:val="6"/>
              <w:spacing w:before="279" w:line="186" w:lineRule="auto"/>
              <w:ind w:left="114"/>
              <w:rPr>
                <w:sz w:val="18"/>
                <w:szCs w:val="18"/>
              </w:rPr>
            </w:pPr>
            <w:r>
              <w:rPr>
                <w:spacing w:val="-1"/>
                <w:sz w:val="18"/>
                <w:szCs w:val="18"/>
              </w:rPr>
              <w:t>0.58~0.72</w:t>
            </w:r>
          </w:p>
        </w:tc>
        <w:tc>
          <w:tcPr>
            <w:tcW w:w="509" w:type="dxa"/>
            <w:tcBorders>
              <w:bottom w:val="single" w:color="000000" w:sz="12" w:space="0"/>
            </w:tcBorders>
            <w:textDirection w:val="tbRlV"/>
            <w:vAlign w:val="top"/>
          </w:tcPr>
          <w:p>
            <w:pPr>
              <w:spacing w:before="160" w:line="202" w:lineRule="auto"/>
              <w:ind w:left="92"/>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c>
          <w:tcPr>
            <w:tcW w:w="803" w:type="dxa"/>
            <w:tcBorders>
              <w:bottom w:val="single" w:color="000000" w:sz="12" w:space="0"/>
            </w:tcBorders>
            <w:vAlign w:val="top"/>
          </w:tcPr>
          <w:p>
            <w:pPr>
              <w:pStyle w:val="6"/>
              <w:spacing w:before="279" w:line="186" w:lineRule="auto"/>
              <w:ind w:left="313"/>
              <w:rPr>
                <w:sz w:val="18"/>
                <w:szCs w:val="18"/>
              </w:rPr>
            </w:pPr>
            <w:r>
              <w:rPr>
                <w:spacing w:val="-3"/>
                <w:sz w:val="18"/>
                <w:szCs w:val="18"/>
              </w:rPr>
              <w:t>56</w:t>
            </w:r>
          </w:p>
        </w:tc>
        <w:tc>
          <w:tcPr>
            <w:tcW w:w="801" w:type="dxa"/>
            <w:tcBorders>
              <w:bottom w:val="single" w:color="000000" w:sz="12" w:space="0"/>
            </w:tcBorders>
            <w:vAlign w:val="top"/>
          </w:tcPr>
          <w:p>
            <w:pPr>
              <w:pStyle w:val="6"/>
              <w:spacing w:before="279" w:line="186" w:lineRule="auto"/>
              <w:ind w:left="311"/>
              <w:rPr>
                <w:sz w:val="18"/>
                <w:szCs w:val="18"/>
              </w:rPr>
            </w:pPr>
            <w:r>
              <w:rPr>
                <w:spacing w:val="-2"/>
                <w:sz w:val="18"/>
                <w:szCs w:val="18"/>
              </w:rPr>
              <w:t>70</w:t>
            </w:r>
          </w:p>
        </w:tc>
        <w:tc>
          <w:tcPr>
            <w:tcW w:w="802" w:type="dxa"/>
            <w:tcBorders>
              <w:bottom w:val="single" w:color="000000" w:sz="12" w:space="0"/>
            </w:tcBorders>
            <w:vAlign w:val="top"/>
          </w:tcPr>
          <w:p>
            <w:pPr>
              <w:pStyle w:val="6"/>
              <w:spacing w:before="282" w:line="183" w:lineRule="auto"/>
              <w:ind w:left="311"/>
              <w:rPr>
                <w:sz w:val="18"/>
                <w:szCs w:val="18"/>
              </w:rPr>
            </w:pPr>
            <w:r>
              <w:rPr>
                <w:spacing w:val="-2"/>
                <w:sz w:val="18"/>
                <w:szCs w:val="18"/>
              </w:rPr>
              <w:t>77</w:t>
            </w:r>
          </w:p>
        </w:tc>
        <w:tc>
          <w:tcPr>
            <w:tcW w:w="955" w:type="dxa"/>
            <w:tcBorders>
              <w:bottom w:val="single" w:color="000000" w:sz="12" w:space="0"/>
            </w:tcBorders>
            <w:vAlign w:val="top"/>
          </w:tcPr>
          <w:p>
            <w:pPr>
              <w:pStyle w:val="6"/>
              <w:spacing w:before="279" w:line="186" w:lineRule="auto"/>
              <w:ind w:left="114"/>
              <w:rPr>
                <w:sz w:val="18"/>
                <w:szCs w:val="18"/>
              </w:rPr>
            </w:pPr>
            <w:r>
              <w:rPr>
                <w:spacing w:val="-1"/>
                <w:sz w:val="18"/>
                <w:szCs w:val="18"/>
              </w:rPr>
              <w:t>0.56~0.77</w:t>
            </w:r>
          </w:p>
        </w:tc>
        <w:tc>
          <w:tcPr>
            <w:tcW w:w="362" w:type="dxa"/>
            <w:tcBorders>
              <w:bottom w:val="single" w:color="000000" w:sz="12" w:space="0"/>
              <w:right w:val="nil"/>
            </w:tcBorders>
            <w:textDirection w:val="tbRlV"/>
            <w:vAlign w:val="top"/>
          </w:tcPr>
          <w:p>
            <w:pPr>
              <w:spacing w:before="74" w:line="202" w:lineRule="auto"/>
              <w:ind w:left="92"/>
              <w:rPr>
                <w:rFonts w:ascii="仿宋" w:hAnsi="仿宋" w:eastAsia="仿宋" w:cs="仿宋"/>
                <w:sz w:val="18"/>
                <w:szCs w:val="18"/>
              </w:rPr>
            </w:pPr>
            <w:r>
              <w:rPr>
                <w:rFonts w:ascii="仿宋" w:hAnsi="仿宋" w:eastAsia="仿宋" w:cs="仿宋"/>
                <w:sz w:val="18"/>
                <w:szCs w:val="18"/>
              </w:rPr>
              <w:t>达</w:t>
            </w:r>
            <w:r>
              <w:rPr>
                <w:rFonts w:ascii="仿宋" w:hAnsi="仿宋" w:eastAsia="仿宋" w:cs="仿宋"/>
                <w:spacing w:val="42"/>
                <w:sz w:val="18"/>
                <w:szCs w:val="18"/>
              </w:rPr>
              <w:t xml:space="preserve"> </w:t>
            </w:r>
            <w:r>
              <w:rPr>
                <w:rFonts w:ascii="仿宋" w:hAnsi="仿宋" w:eastAsia="仿宋" w:cs="仿宋"/>
                <w:sz w:val="18"/>
                <w:szCs w:val="18"/>
              </w:rPr>
              <w:t>标</w:t>
            </w:r>
          </w:p>
        </w:tc>
      </w:tr>
    </w:tbl>
    <w:p>
      <w:pPr>
        <w:spacing w:before="113" w:line="220" w:lineRule="auto"/>
        <w:ind w:left="519"/>
        <w:rPr>
          <w:rFonts w:ascii="宋体" w:hAnsi="宋体" w:eastAsia="宋体" w:cs="宋体"/>
          <w:sz w:val="24"/>
          <w:szCs w:val="24"/>
        </w:rPr>
      </w:pPr>
      <w:r>
        <w:rPr>
          <w:rFonts w:ascii="宋体" w:hAnsi="宋体" w:eastAsia="宋体" w:cs="宋体"/>
          <w:spacing w:val="-2"/>
          <w:sz w:val="24"/>
          <w:szCs w:val="24"/>
        </w:rPr>
        <w:t>根据表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3.2-9 </w:t>
      </w:r>
      <w:r>
        <w:rPr>
          <w:rFonts w:ascii="宋体" w:hAnsi="宋体" w:eastAsia="宋体" w:cs="宋体"/>
          <w:spacing w:val="-2"/>
          <w:sz w:val="24"/>
          <w:szCs w:val="24"/>
        </w:rPr>
        <w:t>地下水质量现状监测结果，各监测点各项监测指标</w:t>
      </w:r>
      <w:r>
        <w:rPr>
          <w:rFonts w:ascii="宋体" w:hAnsi="宋体" w:eastAsia="宋体" w:cs="宋体"/>
          <w:spacing w:val="-3"/>
          <w:sz w:val="24"/>
          <w:szCs w:val="24"/>
        </w:rPr>
        <w:t>均满足《地下水质量标准》（</w:t>
      </w:r>
      <w:r>
        <w:rPr>
          <w:rFonts w:ascii="Times New Roman" w:hAnsi="Times New Roman" w:eastAsia="Times New Roman" w:cs="Times New Roman"/>
          <w:spacing w:val="-3"/>
          <w:sz w:val="24"/>
          <w:szCs w:val="24"/>
        </w:rPr>
        <w:t>GB/T14848-2017</w:t>
      </w:r>
      <w:r>
        <w:rPr>
          <w:rFonts w:ascii="宋体" w:hAnsi="宋体" w:eastAsia="宋体" w:cs="宋体"/>
          <w:spacing w:val="-3"/>
          <w:sz w:val="24"/>
          <w:szCs w:val="24"/>
        </w:rPr>
        <w:t>）Ⅲ类水质要求。</w:t>
      </w:r>
    </w:p>
    <w:p>
      <w:pPr>
        <w:spacing w:line="220" w:lineRule="auto"/>
        <w:rPr>
          <w:rFonts w:ascii="宋体" w:hAnsi="宋体" w:eastAsia="宋体" w:cs="宋体"/>
          <w:sz w:val="24"/>
          <w:szCs w:val="24"/>
        </w:rPr>
        <w:sectPr>
          <w:footerReference r:id="rId200" w:type="default"/>
          <w:pgSz w:w="16839" w:h="11907"/>
          <w:pgMar w:top="1156" w:right="1408" w:bottom="1374" w:left="1410" w:header="881" w:footer="1210" w:gutter="0"/>
        </w:sectPr>
      </w:pPr>
    </w:p>
    <w:p>
      <w:pPr>
        <w:spacing w:line="317" w:lineRule="auto"/>
        <w:rPr>
          <w:rFonts w:ascii="Arial"/>
          <w:sz w:val="21"/>
        </w:rPr>
      </w:pPr>
    </w:p>
    <w:p>
      <w:pPr>
        <w:spacing w:before="78"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）阴阳离子平衡分析</w:t>
      </w:r>
    </w:p>
    <w:p>
      <w:pPr>
        <w:spacing w:before="181" w:line="468" w:lineRule="exact"/>
        <w:ind w:right="29"/>
        <w:jc w:val="right"/>
        <w:rPr>
          <w:rFonts w:ascii="宋体" w:hAnsi="宋体" w:eastAsia="宋体" w:cs="宋体"/>
          <w:sz w:val="24"/>
          <w:szCs w:val="24"/>
        </w:rPr>
      </w:pPr>
      <w:r>
        <w:rPr>
          <w:rFonts w:ascii="宋体" w:hAnsi="宋体" w:eastAsia="宋体" w:cs="宋体"/>
          <w:spacing w:val="6"/>
          <w:position w:val="17"/>
          <w:sz w:val="24"/>
          <w:szCs w:val="24"/>
        </w:rPr>
        <w:t>本次评价采用以下公式对项目区地下水环境中阴阳离子平衡关系进行</w:t>
      </w:r>
    </w:p>
    <w:p>
      <w:pPr>
        <w:spacing w:line="219" w:lineRule="auto"/>
        <w:ind w:left="459"/>
        <w:rPr>
          <w:rFonts w:ascii="宋体" w:hAnsi="宋体" w:eastAsia="宋体" w:cs="宋体"/>
          <w:sz w:val="24"/>
          <w:szCs w:val="24"/>
        </w:rPr>
      </w:pPr>
      <w:r>
        <w:rPr>
          <w:rFonts w:ascii="宋体" w:hAnsi="宋体" w:eastAsia="宋体" w:cs="宋体"/>
          <w:spacing w:val="-15"/>
          <w:sz w:val="24"/>
          <w:szCs w:val="24"/>
        </w:rPr>
        <w:t>计算：</w:t>
      </w:r>
    </w:p>
    <w:p>
      <w:pPr>
        <w:spacing w:before="246" w:line="161" w:lineRule="auto"/>
        <w:ind w:left="3163"/>
        <w:rPr>
          <w:rFonts w:ascii="Times New Roman" w:hAnsi="Times New Roman" w:eastAsia="Times New Roman" w:cs="Times New Roman"/>
          <w:sz w:val="20"/>
          <w:szCs w:val="20"/>
        </w:rPr>
      </w:pPr>
      <w:r>
        <w:rPr>
          <w:rFonts w:ascii="Times New Roman" w:hAnsi="Times New Roman" w:eastAsia="Times New Roman" w:cs="Times New Roman"/>
          <w:spacing w:val="8"/>
          <w:position w:val="-7"/>
          <w:sz w:val="20"/>
          <w:szCs w:val="20"/>
        </w:rPr>
        <w:t xml:space="preserve">E </w:t>
      </w:r>
      <w:r>
        <w:rPr>
          <w:rFonts w:ascii="微软雅黑" w:hAnsi="微软雅黑" w:eastAsia="微软雅黑" w:cs="微软雅黑"/>
          <w:spacing w:val="8"/>
          <w:position w:val="-7"/>
          <w:sz w:val="20"/>
          <w:szCs w:val="20"/>
        </w:rPr>
        <w:t>=</w:t>
      </w:r>
      <w:r>
        <w:rPr>
          <w:rFonts w:ascii="微软雅黑" w:hAnsi="微软雅黑" w:eastAsia="微软雅黑" w:cs="微软雅黑"/>
          <w:spacing w:val="-10"/>
          <w:position w:val="-7"/>
          <w:sz w:val="20"/>
          <w:szCs w:val="20"/>
        </w:rPr>
        <w:t xml:space="preserve"> </w:t>
      </w:r>
      <w:r>
        <w:rPr>
          <w:rFonts w:ascii="微软雅黑" w:hAnsi="微软雅黑" w:eastAsia="微软雅黑" w:cs="微软雅黑"/>
          <w:spacing w:val="-67"/>
          <w:position w:val="2"/>
          <w:sz w:val="31"/>
          <w:szCs w:val="31"/>
          <w:u w:val="single" w:color="auto"/>
        </w:rPr>
        <w:t xml:space="preserve"> </w:t>
      </w:r>
      <w:r>
        <w:rPr>
          <w:rFonts w:ascii="微软雅黑" w:hAnsi="微软雅黑" w:eastAsia="微软雅黑" w:cs="微软雅黑"/>
          <w:spacing w:val="8"/>
          <w:position w:val="2"/>
          <w:sz w:val="31"/>
          <w:szCs w:val="31"/>
          <w:u w:val="single" w:color="auto"/>
        </w:rPr>
        <w:t>Σ</w:t>
      </w:r>
      <w:r>
        <w:rPr>
          <w:rFonts w:ascii="微软雅黑" w:hAnsi="微软雅黑" w:eastAsia="微软雅黑" w:cs="微软雅黑"/>
          <w:spacing w:val="-65"/>
          <w:position w:val="2"/>
          <w:sz w:val="31"/>
          <w:szCs w:val="31"/>
          <w:u w:val="single" w:color="auto"/>
        </w:rPr>
        <w:t xml:space="preserve"> </w:t>
      </w:r>
      <w:r>
        <w:rPr>
          <w:rFonts w:ascii="Times New Roman" w:hAnsi="Times New Roman" w:eastAsia="Times New Roman" w:cs="Times New Roman"/>
          <w:i/>
          <w:iCs/>
          <w:position w:val="7"/>
          <w:sz w:val="20"/>
          <w:szCs w:val="20"/>
          <w:u w:val="single" w:color="auto"/>
        </w:rPr>
        <w:t>m</w:t>
      </w:r>
      <w:r>
        <w:rPr>
          <w:rFonts w:ascii="Times New Roman" w:hAnsi="Times New Roman" w:eastAsia="Times New Roman" w:cs="Times New Roman"/>
          <w:position w:val="7"/>
          <w:sz w:val="12"/>
          <w:szCs w:val="12"/>
          <w:u w:val="single" w:color="auto"/>
        </w:rPr>
        <w:t>c</w:t>
      </w:r>
      <w:r>
        <w:rPr>
          <w:rFonts w:ascii="Times New Roman" w:hAnsi="Times New Roman" w:eastAsia="Times New Roman" w:cs="Times New Roman"/>
          <w:spacing w:val="12"/>
          <w:w w:val="101"/>
          <w:position w:val="7"/>
          <w:sz w:val="12"/>
          <w:szCs w:val="12"/>
          <w:u w:val="single" w:color="auto"/>
        </w:rPr>
        <w:t xml:space="preserve"> </w:t>
      </w:r>
      <w:r>
        <w:rPr>
          <w:rFonts w:ascii="Times New Roman" w:hAnsi="Times New Roman" w:eastAsia="Times New Roman" w:cs="Times New Roman"/>
          <w:spacing w:val="8"/>
          <w:position w:val="7"/>
          <w:sz w:val="20"/>
          <w:szCs w:val="20"/>
          <w:u w:val="single" w:color="auto"/>
        </w:rPr>
        <w:t>-</w:t>
      </w:r>
      <w:r>
        <w:rPr>
          <w:rFonts w:ascii="Times New Roman" w:hAnsi="Times New Roman" w:eastAsia="Times New Roman" w:cs="Times New Roman"/>
          <w:spacing w:val="-16"/>
          <w:position w:val="7"/>
          <w:sz w:val="20"/>
          <w:szCs w:val="20"/>
          <w:u w:val="single" w:color="auto"/>
        </w:rPr>
        <w:t xml:space="preserve"> </w:t>
      </w:r>
      <w:r>
        <w:rPr>
          <w:rFonts w:ascii="微软雅黑" w:hAnsi="微软雅黑" w:eastAsia="微软雅黑" w:cs="微软雅黑"/>
          <w:spacing w:val="8"/>
          <w:position w:val="2"/>
          <w:sz w:val="31"/>
          <w:szCs w:val="31"/>
          <w:u w:val="single" w:color="auto"/>
        </w:rPr>
        <w:t>Σ</w:t>
      </w:r>
      <w:r>
        <w:rPr>
          <w:rFonts w:ascii="微软雅黑" w:hAnsi="微软雅黑" w:eastAsia="微软雅黑" w:cs="微软雅黑"/>
          <w:spacing w:val="-66"/>
          <w:position w:val="2"/>
          <w:sz w:val="31"/>
          <w:szCs w:val="31"/>
          <w:u w:val="single" w:color="auto"/>
        </w:rPr>
        <w:t xml:space="preserve"> </w:t>
      </w:r>
      <w:r>
        <w:rPr>
          <w:rFonts w:ascii="Times New Roman" w:hAnsi="Times New Roman" w:eastAsia="Times New Roman" w:cs="Times New Roman"/>
          <w:position w:val="7"/>
          <w:sz w:val="20"/>
          <w:szCs w:val="20"/>
          <w:u w:val="single" w:color="auto"/>
        </w:rPr>
        <w:t>m</w:t>
      </w:r>
      <w:r>
        <w:rPr>
          <w:rFonts w:ascii="Times New Roman" w:hAnsi="Times New Roman" w:eastAsia="Times New Roman" w:cs="Times New Roman"/>
          <w:position w:val="7"/>
          <w:sz w:val="12"/>
          <w:szCs w:val="12"/>
          <w:u w:val="single" w:color="auto"/>
        </w:rPr>
        <w:t>a</w:t>
      </w:r>
      <w:r>
        <w:rPr>
          <w:rFonts w:ascii="Times New Roman" w:hAnsi="Times New Roman" w:eastAsia="Times New Roman" w:cs="Times New Roman"/>
          <w:spacing w:val="-8"/>
          <w:position w:val="7"/>
          <w:sz w:val="12"/>
          <w:szCs w:val="12"/>
          <w:u w:val="single" w:color="auto"/>
        </w:rPr>
        <w:t xml:space="preserve"> </w:t>
      </w:r>
      <w:r>
        <w:rPr>
          <w:rFonts w:ascii="Times New Roman" w:hAnsi="Times New Roman" w:eastAsia="Times New Roman" w:cs="Times New Roman"/>
          <w:spacing w:val="12"/>
          <w:position w:val="7"/>
          <w:sz w:val="12"/>
          <w:szCs w:val="12"/>
        </w:rPr>
        <w:t xml:space="preserve"> </w:t>
      </w:r>
      <w:r>
        <w:rPr>
          <w:position w:val="-12"/>
          <w:sz w:val="12"/>
          <w:szCs w:val="12"/>
        </w:rPr>
        <w:drawing>
          <wp:inline distT="0" distB="0" distL="0" distR="0">
            <wp:extent cx="57150" cy="11938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00"/>
                    <a:stretch>
                      <a:fillRect/>
                    </a:stretch>
                  </pic:blipFill>
                  <pic:spPr>
                    <a:xfrm>
                      <a:off x="0" y="0"/>
                      <a:ext cx="57399" cy="119609"/>
                    </a:xfrm>
                    <a:prstGeom prst="rect">
                      <a:avLst/>
                    </a:prstGeom>
                  </pic:spPr>
                </pic:pic>
              </a:graphicData>
            </a:graphic>
          </wp:inline>
        </w:drawing>
      </w:r>
      <w:r>
        <w:rPr>
          <w:rFonts w:ascii="Times New Roman" w:hAnsi="Times New Roman" w:eastAsia="Times New Roman" w:cs="Times New Roman"/>
          <w:spacing w:val="8"/>
          <w:position w:val="-7"/>
          <w:sz w:val="20"/>
          <w:szCs w:val="20"/>
        </w:rPr>
        <w:t>100%</w:t>
      </w:r>
    </w:p>
    <w:p>
      <w:pPr>
        <w:spacing w:before="1" w:line="206" w:lineRule="auto"/>
        <w:ind w:left="3518"/>
        <w:rPr>
          <w:rFonts w:ascii="Times New Roman" w:hAnsi="Times New Roman" w:eastAsia="Times New Roman" w:cs="Times New Roman"/>
          <w:sz w:val="12"/>
          <w:szCs w:val="12"/>
        </w:rPr>
      </w:pPr>
      <w:r>
        <w:rPr>
          <w:rFonts w:ascii="微软雅黑" w:hAnsi="微软雅黑" w:eastAsia="微软雅黑" w:cs="微软雅黑"/>
          <w:spacing w:val="15"/>
          <w:w w:val="116"/>
          <w:position w:val="-1"/>
          <w:sz w:val="20"/>
          <w:szCs w:val="20"/>
        </w:rPr>
        <w:t>Σ</w:t>
      </w:r>
      <w:r>
        <w:rPr>
          <w:rFonts w:ascii="微软雅黑" w:hAnsi="微软雅黑" w:eastAsia="微软雅黑" w:cs="微软雅黑"/>
          <w:spacing w:val="-32"/>
          <w:position w:val="-1"/>
          <w:sz w:val="20"/>
          <w:szCs w:val="20"/>
        </w:rPr>
        <w:t xml:space="preserve"> </w:t>
      </w:r>
      <w:r>
        <w:rPr>
          <w:rFonts w:ascii="Times New Roman" w:hAnsi="Times New Roman" w:eastAsia="Times New Roman" w:cs="Times New Roman"/>
          <w:i/>
          <w:iCs/>
          <w:spacing w:val="15"/>
          <w:w w:val="116"/>
          <w:position w:val="2"/>
          <w:sz w:val="20"/>
          <w:szCs w:val="20"/>
        </w:rPr>
        <w:t>m</w:t>
      </w:r>
      <w:r>
        <w:rPr>
          <w:rFonts w:ascii="Times New Roman" w:hAnsi="Times New Roman" w:eastAsia="Times New Roman" w:cs="Times New Roman"/>
          <w:spacing w:val="15"/>
          <w:w w:val="116"/>
          <w:position w:val="2"/>
          <w:sz w:val="12"/>
          <w:szCs w:val="12"/>
        </w:rPr>
        <w:t xml:space="preserve">c </w:t>
      </w:r>
      <w:r>
        <w:rPr>
          <w:rFonts w:ascii="微软雅黑" w:hAnsi="微软雅黑" w:eastAsia="微软雅黑" w:cs="微软雅黑"/>
          <w:spacing w:val="15"/>
          <w:w w:val="116"/>
          <w:position w:val="2"/>
          <w:sz w:val="12"/>
          <w:szCs w:val="12"/>
        </w:rPr>
        <w:t xml:space="preserve">+ </w:t>
      </w:r>
      <w:r>
        <w:rPr>
          <w:rFonts w:ascii="微软雅黑" w:hAnsi="微软雅黑" w:eastAsia="微软雅黑" w:cs="微软雅黑"/>
          <w:spacing w:val="15"/>
          <w:w w:val="116"/>
          <w:position w:val="-1"/>
          <w:sz w:val="12"/>
          <w:szCs w:val="12"/>
        </w:rPr>
        <w:t>Σ</w:t>
      </w:r>
      <w:r>
        <w:rPr>
          <w:rFonts w:ascii="微软雅黑" w:hAnsi="微软雅黑" w:eastAsia="微软雅黑" w:cs="微软雅黑"/>
          <w:spacing w:val="-10"/>
          <w:position w:val="-1"/>
          <w:sz w:val="12"/>
          <w:szCs w:val="12"/>
        </w:rPr>
        <w:t xml:space="preserve"> </w:t>
      </w:r>
      <w:r>
        <w:rPr>
          <w:rFonts w:ascii="Times New Roman" w:hAnsi="Times New Roman" w:eastAsia="Times New Roman" w:cs="Times New Roman"/>
          <w:spacing w:val="15"/>
          <w:w w:val="116"/>
          <w:position w:val="2"/>
          <w:sz w:val="20"/>
          <w:szCs w:val="20"/>
        </w:rPr>
        <w:t>m</w:t>
      </w:r>
      <w:r>
        <w:rPr>
          <w:rFonts w:ascii="Times New Roman" w:hAnsi="Times New Roman" w:eastAsia="Times New Roman" w:cs="Times New Roman"/>
          <w:spacing w:val="15"/>
          <w:w w:val="116"/>
          <w:position w:val="2"/>
          <w:sz w:val="12"/>
          <w:szCs w:val="12"/>
        </w:rPr>
        <w:t>a</w:t>
      </w:r>
    </w:p>
    <w:p>
      <w:pPr>
        <w:spacing w:before="168" w:line="220" w:lineRule="auto"/>
        <w:ind w:left="524"/>
        <w:rPr>
          <w:rFonts w:ascii="宋体" w:hAnsi="宋体" w:eastAsia="宋体" w:cs="宋体"/>
          <w:sz w:val="24"/>
          <w:szCs w:val="24"/>
        </w:rPr>
      </w:pPr>
      <w:r>
        <w:rPr>
          <w:rFonts w:ascii="宋体" w:hAnsi="宋体" w:eastAsia="宋体" w:cs="宋体"/>
          <w:spacing w:val="-16"/>
          <w:sz w:val="24"/>
          <w:szCs w:val="24"/>
        </w:rPr>
        <w:t>式中：</w:t>
      </w:r>
    </w:p>
    <w:p>
      <w:pPr>
        <w:spacing w:before="182" w:line="468" w:lineRule="exact"/>
        <w:ind w:right="31"/>
        <w:jc w:val="right"/>
        <w:rPr>
          <w:rFonts w:ascii="宋体" w:hAnsi="宋体" w:eastAsia="宋体" w:cs="宋体"/>
          <w:sz w:val="24"/>
          <w:szCs w:val="24"/>
        </w:rPr>
      </w:pPr>
      <w:r>
        <w:rPr>
          <w:rFonts w:ascii="Calibri" w:hAnsi="Calibri" w:eastAsia="Calibri" w:cs="Calibri"/>
          <w:spacing w:val="-20"/>
          <w:position w:val="17"/>
          <w:sz w:val="24"/>
          <w:szCs w:val="24"/>
        </w:rPr>
        <w:t>E</w:t>
      </w:r>
      <w:r>
        <w:rPr>
          <w:rFonts w:ascii="Calibri" w:hAnsi="Calibri" w:eastAsia="Calibri" w:cs="Calibri"/>
          <w:spacing w:val="-33"/>
          <w:position w:val="17"/>
          <w:sz w:val="24"/>
          <w:szCs w:val="24"/>
        </w:rPr>
        <w:t xml:space="preserve"> </w:t>
      </w:r>
      <w:r>
        <w:rPr>
          <w:rFonts w:ascii="Calibri" w:hAnsi="Calibri" w:eastAsia="Calibri" w:cs="Calibri"/>
          <w:spacing w:val="-20"/>
          <w:position w:val="17"/>
          <w:sz w:val="24"/>
          <w:szCs w:val="24"/>
        </w:rPr>
        <w:t>——</w:t>
      </w:r>
      <w:r>
        <w:rPr>
          <w:rFonts w:ascii="宋体" w:hAnsi="宋体" w:eastAsia="宋体" w:cs="宋体"/>
          <w:spacing w:val="-20"/>
          <w:position w:val="17"/>
          <w:sz w:val="24"/>
          <w:szCs w:val="24"/>
        </w:rPr>
        <w:t>相对误差，</w:t>
      </w:r>
      <w:r>
        <w:rPr>
          <w:rFonts w:ascii="宋体" w:hAnsi="宋体" w:eastAsia="宋体" w:cs="宋体"/>
          <w:spacing w:val="36"/>
          <w:position w:val="17"/>
          <w:sz w:val="24"/>
          <w:szCs w:val="24"/>
        </w:rPr>
        <w:t xml:space="preserve"> </w:t>
      </w:r>
      <w:r>
        <w:rPr>
          <w:rFonts w:ascii="Calibri" w:hAnsi="Calibri" w:eastAsia="Calibri" w:cs="Calibri"/>
          <w:spacing w:val="-20"/>
          <w:position w:val="17"/>
          <w:sz w:val="24"/>
          <w:szCs w:val="24"/>
        </w:rPr>
        <w:t>Na</w:t>
      </w:r>
      <w:r>
        <w:rPr>
          <w:rFonts w:ascii="Calibri" w:hAnsi="Calibri" w:eastAsia="Calibri" w:cs="Calibri"/>
          <w:spacing w:val="-3"/>
          <w:position w:val="24"/>
          <w:sz w:val="15"/>
          <w:szCs w:val="15"/>
        </w:rPr>
        <w:t>+</w:t>
      </w:r>
      <w:r>
        <w:rPr>
          <w:rFonts w:ascii="Calibri" w:hAnsi="Calibri" w:eastAsia="Calibri" w:cs="Calibri"/>
          <w:spacing w:val="-8"/>
          <w:position w:val="24"/>
          <w:sz w:val="15"/>
          <w:szCs w:val="15"/>
        </w:rPr>
        <w:t xml:space="preserve"> </w:t>
      </w:r>
      <w:r>
        <w:rPr>
          <w:rFonts w:ascii="宋体" w:hAnsi="宋体" w:eastAsia="宋体" w:cs="宋体"/>
          <w:spacing w:val="-3"/>
          <w:position w:val="17"/>
          <w:sz w:val="24"/>
          <w:szCs w:val="24"/>
        </w:rPr>
        <w:t>、</w:t>
      </w:r>
      <w:r>
        <w:rPr>
          <w:rFonts w:ascii="Calibri" w:hAnsi="Calibri" w:eastAsia="Calibri" w:cs="Calibri"/>
          <w:spacing w:val="-3"/>
          <w:position w:val="17"/>
          <w:sz w:val="24"/>
          <w:szCs w:val="24"/>
        </w:rPr>
        <w:t>K</w:t>
      </w:r>
      <w:r>
        <w:rPr>
          <w:rFonts w:ascii="Calibri" w:hAnsi="Calibri" w:eastAsia="Calibri" w:cs="Calibri"/>
          <w:spacing w:val="-3"/>
          <w:position w:val="24"/>
          <w:sz w:val="15"/>
          <w:szCs w:val="15"/>
        </w:rPr>
        <w:t>+</w:t>
      </w:r>
      <w:r>
        <w:rPr>
          <w:rFonts w:ascii="宋体" w:hAnsi="宋体" w:eastAsia="宋体" w:cs="宋体"/>
          <w:spacing w:val="-14"/>
          <w:position w:val="17"/>
          <w:sz w:val="24"/>
          <w:szCs w:val="24"/>
        </w:rPr>
        <w:t>为实测值，</w:t>
      </w:r>
      <w:r>
        <w:rPr>
          <w:rFonts w:ascii="宋体" w:hAnsi="宋体" w:eastAsia="宋体" w:cs="宋体"/>
          <w:spacing w:val="72"/>
          <w:position w:val="17"/>
          <w:sz w:val="24"/>
          <w:szCs w:val="24"/>
        </w:rPr>
        <w:t xml:space="preserve"> </w:t>
      </w:r>
      <w:r>
        <w:rPr>
          <w:rFonts w:ascii="Calibri" w:hAnsi="Calibri" w:eastAsia="Calibri" w:cs="Calibri"/>
          <w:spacing w:val="-14"/>
          <w:position w:val="17"/>
          <w:sz w:val="24"/>
          <w:szCs w:val="24"/>
        </w:rPr>
        <w:t>E</w:t>
      </w:r>
      <w:r>
        <w:rPr>
          <w:rFonts w:ascii="Calibri" w:hAnsi="Calibri" w:eastAsia="Calibri" w:cs="Calibri"/>
          <w:spacing w:val="14"/>
          <w:w w:val="101"/>
          <w:position w:val="17"/>
          <w:sz w:val="24"/>
          <w:szCs w:val="24"/>
        </w:rPr>
        <w:t xml:space="preserve"> </w:t>
      </w:r>
      <w:r>
        <w:rPr>
          <w:rFonts w:ascii="宋体" w:hAnsi="宋体" w:eastAsia="宋体" w:cs="宋体"/>
          <w:spacing w:val="-14"/>
          <w:position w:val="17"/>
          <w:sz w:val="24"/>
          <w:szCs w:val="24"/>
        </w:rPr>
        <w:t>应小于</w:t>
      </w:r>
      <w:r>
        <w:rPr>
          <w:rFonts w:ascii="Calibri" w:hAnsi="Calibri" w:eastAsia="Calibri" w:cs="Calibri"/>
          <w:spacing w:val="-14"/>
          <w:position w:val="17"/>
          <w:sz w:val="24"/>
          <w:szCs w:val="24"/>
        </w:rPr>
        <w:t>±5%</w:t>
      </w:r>
      <w:r>
        <w:rPr>
          <w:rFonts w:ascii="宋体" w:hAnsi="宋体" w:eastAsia="宋体" w:cs="宋体"/>
          <w:spacing w:val="-14"/>
          <w:position w:val="17"/>
          <w:sz w:val="24"/>
          <w:szCs w:val="24"/>
        </w:rPr>
        <w:t>，如果</w:t>
      </w:r>
      <w:r>
        <w:rPr>
          <w:rFonts w:ascii="宋体" w:hAnsi="宋体" w:eastAsia="宋体" w:cs="宋体"/>
          <w:spacing w:val="-27"/>
          <w:position w:val="17"/>
          <w:sz w:val="24"/>
          <w:szCs w:val="24"/>
        </w:rPr>
        <w:t xml:space="preserve"> </w:t>
      </w:r>
      <w:r>
        <w:rPr>
          <w:rFonts w:ascii="Calibri" w:hAnsi="Calibri" w:eastAsia="Calibri" w:cs="Calibri"/>
          <w:spacing w:val="-14"/>
          <w:position w:val="17"/>
          <w:sz w:val="24"/>
          <w:szCs w:val="24"/>
        </w:rPr>
        <w:t>Na</w:t>
      </w:r>
      <w:r>
        <w:rPr>
          <w:rFonts w:ascii="Calibri" w:hAnsi="Calibri" w:eastAsia="Calibri" w:cs="Calibri"/>
          <w:spacing w:val="-3"/>
          <w:position w:val="24"/>
          <w:sz w:val="15"/>
          <w:szCs w:val="15"/>
        </w:rPr>
        <w:t>+</w:t>
      </w:r>
      <w:r>
        <w:rPr>
          <w:rFonts w:ascii="Calibri" w:hAnsi="Calibri" w:eastAsia="Calibri" w:cs="Calibri"/>
          <w:spacing w:val="-8"/>
          <w:position w:val="24"/>
          <w:sz w:val="15"/>
          <w:szCs w:val="15"/>
        </w:rPr>
        <w:t xml:space="preserve"> </w:t>
      </w:r>
      <w:r>
        <w:rPr>
          <w:rFonts w:ascii="宋体" w:hAnsi="宋体" w:eastAsia="宋体" w:cs="宋体"/>
          <w:spacing w:val="-3"/>
          <w:position w:val="17"/>
          <w:sz w:val="24"/>
          <w:szCs w:val="24"/>
        </w:rPr>
        <w:t>、</w:t>
      </w:r>
      <w:r>
        <w:rPr>
          <w:rFonts w:ascii="Calibri" w:hAnsi="Calibri" w:eastAsia="Calibri" w:cs="Calibri"/>
          <w:spacing w:val="-3"/>
          <w:position w:val="17"/>
          <w:sz w:val="24"/>
          <w:szCs w:val="24"/>
        </w:rPr>
        <w:t>K</w:t>
      </w:r>
      <w:r>
        <w:rPr>
          <w:rFonts w:ascii="Calibri" w:hAnsi="Calibri" w:eastAsia="Calibri" w:cs="Calibri"/>
          <w:spacing w:val="-3"/>
          <w:position w:val="24"/>
          <w:sz w:val="15"/>
          <w:szCs w:val="15"/>
        </w:rPr>
        <w:t>+</w:t>
      </w:r>
      <w:r>
        <w:rPr>
          <w:rFonts w:ascii="宋体" w:hAnsi="宋体" w:eastAsia="宋体" w:cs="宋体"/>
          <w:spacing w:val="-3"/>
          <w:position w:val="17"/>
          <w:sz w:val="24"/>
          <w:szCs w:val="24"/>
        </w:rPr>
        <w:t>为计</w:t>
      </w:r>
    </w:p>
    <w:p>
      <w:pPr>
        <w:spacing w:line="219" w:lineRule="auto"/>
        <w:ind w:left="41"/>
        <w:rPr>
          <w:rFonts w:ascii="宋体" w:hAnsi="宋体" w:eastAsia="宋体" w:cs="宋体"/>
          <w:sz w:val="24"/>
          <w:szCs w:val="24"/>
        </w:rPr>
      </w:pPr>
      <w:r>
        <w:rPr>
          <w:rFonts w:ascii="宋体" w:hAnsi="宋体" w:eastAsia="宋体" w:cs="宋体"/>
          <w:spacing w:val="-14"/>
          <w:sz w:val="24"/>
          <w:szCs w:val="24"/>
        </w:rPr>
        <w:t xml:space="preserve">算值， </w:t>
      </w:r>
      <w:r>
        <w:rPr>
          <w:rFonts w:ascii="Calibri" w:hAnsi="Calibri" w:eastAsia="Calibri" w:cs="Calibri"/>
          <w:spacing w:val="-14"/>
          <w:sz w:val="24"/>
          <w:szCs w:val="24"/>
        </w:rPr>
        <w:t>E</w:t>
      </w:r>
      <w:r>
        <w:rPr>
          <w:rFonts w:ascii="Calibri" w:hAnsi="Calibri" w:eastAsia="Calibri" w:cs="Calibri"/>
          <w:spacing w:val="27"/>
          <w:sz w:val="24"/>
          <w:szCs w:val="24"/>
        </w:rPr>
        <w:t xml:space="preserve"> </w:t>
      </w:r>
      <w:r>
        <w:rPr>
          <w:rFonts w:ascii="宋体" w:hAnsi="宋体" w:eastAsia="宋体" w:cs="宋体"/>
          <w:spacing w:val="-14"/>
          <w:sz w:val="24"/>
          <w:szCs w:val="24"/>
        </w:rPr>
        <w:t>应为零或接近零。</w:t>
      </w:r>
    </w:p>
    <w:p>
      <w:pPr>
        <w:spacing w:before="183" w:line="468" w:lineRule="exact"/>
        <w:ind w:left="1250"/>
        <w:rPr>
          <w:rFonts w:ascii="宋体" w:hAnsi="宋体" w:eastAsia="宋体" w:cs="宋体"/>
          <w:sz w:val="24"/>
          <w:szCs w:val="24"/>
        </w:rPr>
      </w:pPr>
      <w:r>
        <w:rPr>
          <w:rFonts w:ascii="Calibri" w:hAnsi="Calibri" w:eastAsia="Calibri" w:cs="Calibri"/>
          <w:spacing w:val="-21"/>
          <w:position w:val="16"/>
          <w:sz w:val="24"/>
          <w:szCs w:val="24"/>
        </w:rPr>
        <w:t>M</w:t>
      </w:r>
      <w:r>
        <w:rPr>
          <w:rFonts w:ascii="Calibri" w:hAnsi="Calibri" w:eastAsia="Calibri" w:cs="Calibri"/>
          <w:spacing w:val="-12"/>
          <w:position w:val="15"/>
          <w:sz w:val="15"/>
          <w:szCs w:val="15"/>
        </w:rPr>
        <w:t>c</w:t>
      </w:r>
      <w:r>
        <w:rPr>
          <w:rFonts w:ascii="Calibri" w:hAnsi="Calibri" w:eastAsia="Calibri" w:cs="Calibri"/>
          <w:spacing w:val="-9"/>
          <w:position w:val="15"/>
          <w:sz w:val="15"/>
          <w:szCs w:val="15"/>
        </w:rPr>
        <w:t xml:space="preserve"> </w:t>
      </w:r>
      <w:r>
        <w:rPr>
          <w:rFonts w:ascii="Calibri" w:hAnsi="Calibri" w:eastAsia="Calibri" w:cs="Calibri"/>
          <w:spacing w:val="-12"/>
          <w:position w:val="16"/>
          <w:sz w:val="24"/>
          <w:szCs w:val="24"/>
        </w:rPr>
        <w:t>——</w:t>
      </w:r>
      <w:r>
        <w:rPr>
          <w:rFonts w:ascii="Calibri" w:hAnsi="Calibri" w:eastAsia="Calibri" w:cs="Calibri"/>
          <w:spacing w:val="-26"/>
          <w:position w:val="16"/>
          <w:sz w:val="24"/>
          <w:szCs w:val="24"/>
        </w:rPr>
        <w:t xml:space="preserve"> </w:t>
      </w:r>
      <w:r>
        <w:rPr>
          <w:rFonts w:ascii="宋体" w:hAnsi="宋体" w:eastAsia="宋体" w:cs="宋体"/>
          <w:spacing w:val="-12"/>
          <w:position w:val="16"/>
          <w:sz w:val="24"/>
          <w:szCs w:val="24"/>
        </w:rPr>
        <w:t>阴离子的毫克当量浓度，</w:t>
      </w:r>
      <w:r>
        <w:rPr>
          <w:rFonts w:ascii="宋体" w:hAnsi="宋体" w:eastAsia="宋体" w:cs="宋体"/>
          <w:spacing w:val="70"/>
          <w:position w:val="16"/>
          <w:sz w:val="24"/>
          <w:szCs w:val="24"/>
        </w:rPr>
        <w:t xml:space="preserve"> </w:t>
      </w:r>
      <w:r>
        <w:rPr>
          <w:rFonts w:ascii="Calibri" w:hAnsi="Calibri" w:eastAsia="Calibri" w:cs="Calibri"/>
          <w:spacing w:val="-12"/>
          <w:position w:val="16"/>
          <w:sz w:val="24"/>
          <w:szCs w:val="24"/>
        </w:rPr>
        <w:t>meq/L</w:t>
      </w:r>
      <w:r>
        <w:rPr>
          <w:rFonts w:ascii="宋体" w:hAnsi="宋体" w:eastAsia="宋体" w:cs="宋体"/>
          <w:spacing w:val="-12"/>
          <w:position w:val="16"/>
          <w:sz w:val="24"/>
          <w:szCs w:val="24"/>
        </w:rPr>
        <w:t>；</w:t>
      </w:r>
    </w:p>
    <w:p>
      <w:pPr>
        <w:spacing w:before="1" w:line="225" w:lineRule="auto"/>
        <w:ind w:left="1250"/>
        <w:rPr>
          <w:rFonts w:ascii="宋体" w:hAnsi="宋体" w:eastAsia="宋体" w:cs="宋体"/>
          <w:sz w:val="24"/>
          <w:szCs w:val="24"/>
        </w:rPr>
      </w:pPr>
      <w:r>
        <w:rPr>
          <w:rFonts w:ascii="Calibri" w:hAnsi="Calibri" w:eastAsia="Calibri" w:cs="Calibri"/>
          <w:spacing w:val="-21"/>
          <w:sz w:val="24"/>
          <w:szCs w:val="24"/>
        </w:rPr>
        <w:t>M</w:t>
      </w:r>
      <w:r>
        <w:rPr>
          <w:rFonts w:ascii="Calibri" w:hAnsi="Calibri" w:eastAsia="Calibri" w:cs="Calibri"/>
          <w:spacing w:val="-12"/>
          <w:position w:val="-1"/>
          <w:sz w:val="15"/>
          <w:szCs w:val="15"/>
        </w:rPr>
        <w:t>a</w:t>
      </w:r>
      <w:r>
        <w:rPr>
          <w:rFonts w:ascii="Calibri" w:hAnsi="Calibri" w:eastAsia="Calibri" w:cs="Calibri"/>
          <w:spacing w:val="-7"/>
          <w:position w:val="-1"/>
          <w:sz w:val="15"/>
          <w:szCs w:val="15"/>
        </w:rPr>
        <w:t xml:space="preserve"> </w:t>
      </w:r>
      <w:r>
        <w:rPr>
          <w:rFonts w:ascii="Calibri" w:hAnsi="Calibri" w:eastAsia="Calibri" w:cs="Calibri"/>
          <w:spacing w:val="-12"/>
          <w:sz w:val="24"/>
          <w:szCs w:val="24"/>
        </w:rPr>
        <w:t>——</w:t>
      </w:r>
      <w:r>
        <w:rPr>
          <w:rFonts w:ascii="Calibri" w:hAnsi="Calibri" w:eastAsia="Calibri" w:cs="Calibri"/>
          <w:spacing w:val="-27"/>
          <w:sz w:val="24"/>
          <w:szCs w:val="24"/>
        </w:rPr>
        <w:t xml:space="preserve"> </w:t>
      </w:r>
      <w:r>
        <w:rPr>
          <w:rFonts w:ascii="宋体" w:hAnsi="宋体" w:eastAsia="宋体" w:cs="宋体"/>
          <w:spacing w:val="-12"/>
          <w:sz w:val="24"/>
          <w:szCs w:val="24"/>
        </w:rPr>
        <w:t>阳离子的毫克当量浓度，</w:t>
      </w:r>
      <w:r>
        <w:rPr>
          <w:rFonts w:ascii="宋体" w:hAnsi="宋体" w:eastAsia="宋体" w:cs="宋体"/>
          <w:spacing w:val="70"/>
          <w:sz w:val="24"/>
          <w:szCs w:val="24"/>
        </w:rPr>
        <w:t xml:space="preserve"> </w:t>
      </w:r>
      <w:r>
        <w:rPr>
          <w:rFonts w:ascii="Calibri" w:hAnsi="Calibri" w:eastAsia="Calibri" w:cs="Calibri"/>
          <w:spacing w:val="-12"/>
          <w:sz w:val="24"/>
          <w:szCs w:val="24"/>
        </w:rPr>
        <w:t>meq/L</w:t>
      </w:r>
      <w:r>
        <w:rPr>
          <w:rFonts w:ascii="宋体" w:hAnsi="宋体" w:eastAsia="宋体" w:cs="宋体"/>
          <w:spacing w:val="-12"/>
          <w:sz w:val="24"/>
          <w:szCs w:val="24"/>
        </w:rPr>
        <w:t>；</w:t>
      </w:r>
    </w:p>
    <w:p>
      <w:pPr>
        <w:spacing w:before="175" w:line="225" w:lineRule="auto"/>
        <w:ind w:left="277"/>
        <w:rPr>
          <w:rFonts w:ascii="宋体" w:hAnsi="宋体" w:eastAsia="宋体" w:cs="宋体"/>
          <w:sz w:val="24"/>
          <w:szCs w:val="24"/>
        </w:rPr>
      </w:pPr>
      <w:r>
        <w:rPr>
          <w:rFonts w:ascii="宋体" w:hAnsi="宋体" w:eastAsia="宋体" w:cs="宋体"/>
          <w:sz w:val="24"/>
          <w:szCs w:val="24"/>
        </w:rPr>
        <w:t>毫克当量（</w:t>
      </w:r>
      <w:r>
        <w:rPr>
          <w:rFonts w:ascii="Calibri" w:hAnsi="Calibri" w:eastAsia="Calibri" w:cs="Calibri"/>
          <w:sz w:val="24"/>
          <w:szCs w:val="24"/>
        </w:rPr>
        <w:t>meq/L</w:t>
      </w:r>
      <w:r>
        <w:rPr>
          <w:rFonts w:ascii="宋体" w:hAnsi="宋体" w:eastAsia="宋体" w:cs="宋体"/>
          <w:sz w:val="24"/>
          <w:szCs w:val="24"/>
        </w:rPr>
        <w:t>）</w:t>
      </w:r>
      <w:r>
        <w:rPr>
          <w:rFonts w:ascii="Calibri" w:hAnsi="Calibri" w:eastAsia="Calibri" w:cs="Calibri"/>
          <w:sz w:val="24"/>
          <w:szCs w:val="24"/>
        </w:rPr>
        <w:t>=</w:t>
      </w:r>
      <w:r>
        <w:rPr>
          <w:rFonts w:ascii="宋体" w:hAnsi="宋体" w:eastAsia="宋体" w:cs="宋体"/>
          <w:sz w:val="24"/>
          <w:szCs w:val="24"/>
        </w:rPr>
        <w:t>质量浓度（</w:t>
      </w:r>
      <w:r>
        <w:rPr>
          <w:rFonts w:ascii="Calibri" w:hAnsi="Calibri" w:eastAsia="Calibri" w:cs="Calibri"/>
          <w:sz w:val="24"/>
          <w:szCs w:val="24"/>
        </w:rPr>
        <w:t>mg/L</w:t>
      </w:r>
      <w:r>
        <w:rPr>
          <w:rFonts w:ascii="宋体" w:hAnsi="宋体" w:eastAsia="宋体" w:cs="宋体"/>
          <w:sz w:val="24"/>
          <w:szCs w:val="24"/>
        </w:rPr>
        <w:t>）</w:t>
      </w:r>
      <w:r>
        <w:rPr>
          <w:rFonts w:ascii="Calibri" w:hAnsi="Calibri" w:eastAsia="Calibri" w:cs="Calibri"/>
          <w:sz w:val="24"/>
          <w:szCs w:val="24"/>
        </w:rPr>
        <w:t>×</w:t>
      </w:r>
      <w:r>
        <w:rPr>
          <w:rFonts w:ascii="宋体" w:hAnsi="宋体" w:eastAsia="宋体" w:cs="宋体"/>
          <w:sz w:val="24"/>
          <w:szCs w:val="24"/>
        </w:rPr>
        <w:t>离子的化合价</w:t>
      </w:r>
      <w:r>
        <w:rPr>
          <w:rFonts w:ascii="Calibri" w:hAnsi="Calibri" w:eastAsia="Calibri" w:cs="Calibri"/>
          <w:sz w:val="24"/>
          <w:szCs w:val="24"/>
        </w:rPr>
        <w:t>÷</w:t>
      </w:r>
      <w:r>
        <w:rPr>
          <w:rFonts w:ascii="宋体" w:hAnsi="宋体" w:eastAsia="宋体" w:cs="宋体"/>
          <w:sz w:val="24"/>
          <w:szCs w:val="24"/>
        </w:rPr>
        <w:t>离子的原子量</w:t>
      </w:r>
    </w:p>
    <w:p>
      <w:pPr>
        <w:pStyle w:val="2"/>
        <w:spacing w:before="190" w:line="213" w:lineRule="auto"/>
        <w:ind w:left="1339"/>
        <w:rPr>
          <w:rFonts w:ascii="Times New Roman" w:hAnsi="Times New Roman" w:eastAsia="Times New Roman" w:cs="Times New Roman"/>
        </w:rPr>
      </w:pPr>
      <w:r>
        <w:rPr>
          <w:spacing w:val="-3"/>
          <w14:textOutline w14:w="3810" w14:cap="flat" w14:cmpd="sng">
            <w14:solidFill>
              <w14:srgbClr w14:val="000000"/>
            </w14:solidFill>
            <w14:prstDash w14:val="solid"/>
            <w14:miter w14:val="0"/>
          </w14:textOutline>
        </w:rPr>
        <w:t>表</w:t>
      </w:r>
      <w:r>
        <w:rPr>
          <w:spacing w:val="-42"/>
        </w:rPr>
        <w:t xml:space="preserve"> </w:t>
      </w:r>
      <w:r>
        <w:rPr>
          <w:rFonts w:ascii="Times New Roman" w:hAnsi="Times New Roman" w:eastAsia="Times New Roman" w:cs="Times New Roman"/>
          <w:b/>
          <w:bCs/>
          <w:spacing w:val="-3"/>
        </w:rPr>
        <w:t xml:space="preserve">3.2-10    </w:t>
      </w:r>
      <w:r>
        <w:rPr>
          <w:spacing w:val="-3"/>
          <w14:textOutline w14:w="3810" w14:cap="flat" w14:cmpd="sng">
            <w14:solidFill>
              <w14:srgbClr w14:val="000000"/>
            </w14:solidFill>
            <w14:prstDash w14:val="solid"/>
            <w14:miter w14:val="0"/>
          </w14:textOutline>
        </w:rPr>
        <w:t>地下水环境阴阳离子毫克当量一览表</w:t>
      </w:r>
      <w:r>
        <w:rPr>
          <w:spacing w:val="-3"/>
        </w:rPr>
        <w:t xml:space="preserve"> </w:t>
      </w:r>
      <w:r>
        <w:rPr>
          <w:spacing w:val="-3"/>
          <w14:textOutline w14:w="3810" w14:cap="flat" w14:cmpd="sng">
            <w14:solidFill>
              <w14:srgbClr w14:val="000000"/>
            </w14:solidFill>
            <w14:prstDash w14:val="solid"/>
            <w14:miter w14:val="0"/>
          </w14:textOutline>
        </w:rPr>
        <w:t>单位：</w:t>
      </w:r>
      <w:r>
        <w:rPr>
          <w:spacing w:val="-3"/>
        </w:rPr>
        <w:t xml:space="preserve"> </w:t>
      </w:r>
      <w:r>
        <w:rPr>
          <w:rFonts w:ascii="Times New Roman" w:hAnsi="Times New Roman" w:eastAsia="Times New Roman" w:cs="Times New Roman"/>
          <w:b/>
          <w:bCs/>
          <w:spacing w:val="-3"/>
        </w:rPr>
        <w:t>meq/L</w:t>
      </w:r>
    </w:p>
    <w:p>
      <w:pPr>
        <w:spacing w:line="96" w:lineRule="exact"/>
      </w:pPr>
    </w:p>
    <w:tbl>
      <w:tblPr>
        <w:tblStyle w:val="5"/>
        <w:tblW w:w="8321"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1"/>
        <w:gridCol w:w="820"/>
        <w:gridCol w:w="674"/>
        <w:gridCol w:w="891"/>
        <w:gridCol w:w="892"/>
        <w:gridCol w:w="889"/>
        <w:gridCol w:w="894"/>
        <w:gridCol w:w="890"/>
        <w:gridCol w:w="8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1" w:hRule="atLeast"/>
        </w:trPr>
        <w:tc>
          <w:tcPr>
            <w:tcW w:w="1481" w:type="dxa"/>
            <w:tcBorders>
              <w:top w:val="single" w:color="000000" w:sz="12" w:space="0"/>
              <w:left w:val="nil"/>
            </w:tcBorders>
            <w:vAlign w:val="top"/>
          </w:tcPr>
          <w:p>
            <w:pPr>
              <w:spacing w:before="141" w:line="217" w:lineRule="auto"/>
              <w:ind w:left="346"/>
              <w:rPr>
                <w:rFonts w:ascii="仿宋" w:hAnsi="仿宋" w:eastAsia="仿宋" w:cs="仿宋"/>
                <w:sz w:val="21"/>
                <w:szCs w:val="21"/>
              </w:rPr>
            </w:pPr>
            <w:r>
              <w:rPr>
                <w:rFonts w:ascii="仿宋" w:hAnsi="仿宋" w:eastAsia="仿宋" w:cs="仿宋"/>
                <w:spacing w:val="-4"/>
                <w:sz w:val="21"/>
                <w:szCs w:val="21"/>
              </w:rPr>
              <w:t>离子名称</w:t>
            </w:r>
          </w:p>
        </w:tc>
        <w:tc>
          <w:tcPr>
            <w:tcW w:w="820" w:type="dxa"/>
            <w:tcBorders>
              <w:top w:val="single" w:color="000000" w:sz="12" w:space="0"/>
            </w:tcBorders>
            <w:vAlign w:val="top"/>
          </w:tcPr>
          <w:p>
            <w:pPr>
              <w:pStyle w:val="6"/>
              <w:spacing w:before="145" w:line="217" w:lineRule="auto"/>
              <w:ind w:left="292"/>
              <w:rPr>
                <w:sz w:val="14"/>
                <w:szCs w:val="14"/>
              </w:rPr>
            </w:pPr>
            <w:r>
              <w:rPr>
                <w:spacing w:val="-1"/>
                <w:position w:val="-3"/>
              </w:rPr>
              <w:t>K</w:t>
            </w:r>
            <w:r>
              <w:rPr>
                <w:spacing w:val="-1"/>
                <w:position w:val="4"/>
                <w:sz w:val="14"/>
                <w:szCs w:val="14"/>
              </w:rPr>
              <w:t>+</w:t>
            </w:r>
          </w:p>
        </w:tc>
        <w:tc>
          <w:tcPr>
            <w:tcW w:w="674" w:type="dxa"/>
            <w:tcBorders>
              <w:top w:val="single" w:color="000000" w:sz="12" w:space="0"/>
            </w:tcBorders>
            <w:vAlign w:val="top"/>
          </w:tcPr>
          <w:p>
            <w:pPr>
              <w:pStyle w:val="6"/>
              <w:spacing w:before="145" w:line="217" w:lineRule="auto"/>
              <w:ind w:left="167"/>
              <w:rPr>
                <w:sz w:val="14"/>
                <w:szCs w:val="14"/>
              </w:rPr>
            </w:pPr>
            <w:r>
              <w:rPr>
                <w:position w:val="-2"/>
              </w:rPr>
              <w:t>Na</w:t>
            </w:r>
            <w:r>
              <w:rPr>
                <w:spacing w:val="2"/>
                <w:position w:val="5"/>
                <w:sz w:val="14"/>
                <w:szCs w:val="14"/>
              </w:rPr>
              <w:t>+</w:t>
            </w:r>
          </w:p>
        </w:tc>
        <w:tc>
          <w:tcPr>
            <w:tcW w:w="891" w:type="dxa"/>
            <w:tcBorders>
              <w:top w:val="single" w:color="000000" w:sz="12" w:space="0"/>
            </w:tcBorders>
            <w:vAlign w:val="top"/>
          </w:tcPr>
          <w:p>
            <w:pPr>
              <w:pStyle w:val="6"/>
              <w:spacing w:before="146" w:line="216" w:lineRule="auto"/>
              <w:ind w:left="257"/>
              <w:rPr>
                <w:sz w:val="14"/>
                <w:szCs w:val="14"/>
              </w:rPr>
            </w:pPr>
            <w:r>
              <w:rPr>
                <w:spacing w:val="-2"/>
                <w:position w:val="-2"/>
              </w:rPr>
              <w:t>Ca</w:t>
            </w:r>
            <w:r>
              <w:rPr>
                <w:spacing w:val="-2"/>
                <w:position w:val="5"/>
                <w:sz w:val="14"/>
                <w:szCs w:val="14"/>
              </w:rPr>
              <w:t>2+</w:t>
            </w:r>
          </w:p>
        </w:tc>
        <w:tc>
          <w:tcPr>
            <w:tcW w:w="892" w:type="dxa"/>
            <w:tcBorders>
              <w:top w:val="single" w:color="000000" w:sz="12" w:space="0"/>
            </w:tcBorders>
            <w:vAlign w:val="top"/>
          </w:tcPr>
          <w:p>
            <w:pPr>
              <w:pStyle w:val="6"/>
              <w:spacing w:before="146" w:line="216" w:lineRule="auto"/>
              <w:ind w:left="223"/>
              <w:rPr>
                <w:sz w:val="14"/>
                <w:szCs w:val="14"/>
              </w:rPr>
            </w:pPr>
            <w:r>
              <w:rPr>
                <w:spacing w:val="-1"/>
                <w:position w:val="-1"/>
              </w:rPr>
              <w:t>Mg</w:t>
            </w:r>
            <w:r>
              <w:rPr>
                <w:spacing w:val="-1"/>
                <w:position w:val="6"/>
                <w:sz w:val="14"/>
                <w:szCs w:val="14"/>
              </w:rPr>
              <w:t>2+</w:t>
            </w:r>
          </w:p>
        </w:tc>
        <w:tc>
          <w:tcPr>
            <w:tcW w:w="889" w:type="dxa"/>
            <w:tcBorders>
              <w:top w:val="single" w:color="000000" w:sz="12" w:space="0"/>
            </w:tcBorders>
            <w:vAlign w:val="top"/>
          </w:tcPr>
          <w:p>
            <w:pPr>
              <w:pStyle w:val="6"/>
              <w:spacing w:before="146" w:line="216" w:lineRule="auto"/>
              <w:ind w:left="206"/>
              <w:rPr>
                <w:sz w:val="14"/>
                <w:szCs w:val="14"/>
              </w:rPr>
            </w:pPr>
            <w:r>
              <w:rPr>
                <w:spacing w:val="-2"/>
              </w:rPr>
              <w:t>CO</w:t>
            </w:r>
            <w:r>
              <w:rPr>
                <w:spacing w:val="-2"/>
                <w:position w:val="-2"/>
                <w:sz w:val="14"/>
                <w:szCs w:val="14"/>
              </w:rPr>
              <w:t>3</w:t>
            </w:r>
            <w:r>
              <w:rPr>
                <w:spacing w:val="-2"/>
                <w:position w:val="7"/>
                <w:sz w:val="14"/>
                <w:szCs w:val="14"/>
              </w:rPr>
              <w:t>2-</w:t>
            </w:r>
          </w:p>
        </w:tc>
        <w:tc>
          <w:tcPr>
            <w:tcW w:w="894" w:type="dxa"/>
            <w:tcBorders>
              <w:top w:val="single" w:color="000000" w:sz="12" w:space="0"/>
            </w:tcBorders>
            <w:vAlign w:val="top"/>
          </w:tcPr>
          <w:p>
            <w:pPr>
              <w:pStyle w:val="6"/>
              <w:spacing w:before="178" w:line="184" w:lineRule="auto"/>
              <w:ind w:left="164"/>
              <w:rPr>
                <w:sz w:val="14"/>
                <w:szCs w:val="14"/>
              </w:rPr>
            </w:pPr>
            <w:r>
              <w:rPr>
                <w:spacing w:val="-1"/>
              </w:rPr>
              <w:t>HCO</w:t>
            </w:r>
            <w:r>
              <w:rPr>
                <w:spacing w:val="-1"/>
                <w:position w:val="-1"/>
                <w:sz w:val="14"/>
                <w:szCs w:val="14"/>
              </w:rPr>
              <w:t>3</w:t>
            </w:r>
            <w:r>
              <w:rPr>
                <w:spacing w:val="-1"/>
                <w:position w:val="8"/>
                <w:sz w:val="14"/>
                <w:szCs w:val="14"/>
              </w:rPr>
              <w:t>-</w:t>
            </w:r>
          </w:p>
        </w:tc>
        <w:tc>
          <w:tcPr>
            <w:tcW w:w="890" w:type="dxa"/>
            <w:tcBorders>
              <w:top w:val="single" w:color="000000" w:sz="12" w:space="0"/>
            </w:tcBorders>
            <w:vAlign w:val="top"/>
          </w:tcPr>
          <w:p>
            <w:pPr>
              <w:pStyle w:val="6"/>
              <w:spacing w:before="175" w:line="177" w:lineRule="auto"/>
              <w:ind w:left="325"/>
              <w:rPr>
                <w:sz w:val="14"/>
                <w:szCs w:val="14"/>
              </w:rPr>
            </w:pPr>
            <w:r>
              <w:rPr>
                <w:spacing w:val="-3"/>
              </w:rPr>
              <w:t>Cl</w:t>
            </w:r>
            <w:r>
              <w:rPr>
                <w:spacing w:val="-3"/>
                <w:position w:val="8"/>
                <w:sz w:val="14"/>
                <w:szCs w:val="14"/>
              </w:rPr>
              <w:t>-</w:t>
            </w:r>
          </w:p>
        </w:tc>
        <w:tc>
          <w:tcPr>
            <w:tcW w:w="890" w:type="dxa"/>
            <w:tcBorders>
              <w:top w:val="single" w:color="000000" w:sz="12" w:space="0"/>
              <w:right w:val="nil"/>
            </w:tcBorders>
            <w:vAlign w:val="top"/>
          </w:tcPr>
          <w:p>
            <w:pPr>
              <w:pStyle w:val="6"/>
              <w:spacing w:before="145" w:line="217" w:lineRule="auto"/>
              <w:ind w:left="225"/>
              <w:rPr>
                <w:sz w:val="14"/>
                <w:szCs w:val="14"/>
              </w:rPr>
            </w:pPr>
            <w:r>
              <w:rPr>
                <w:spacing w:val="-3"/>
              </w:rPr>
              <w:t>SO</w:t>
            </w:r>
            <w:r>
              <w:rPr>
                <w:spacing w:val="-3"/>
                <w:position w:val="-2"/>
                <w:sz w:val="14"/>
                <w:szCs w:val="14"/>
              </w:rPr>
              <w:t>4</w:t>
            </w:r>
            <w:r>
              <w:rPr>
                <w:spacing w:val="-3"/>
                <w:position w:val="7"/>
                <w:sz w:val="14"/>
                <w:szCs w:val="1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1481" w:type="dxa"/>
            <w:tcBorders>
              <w:left w:val="nil"/>
            </w:tcBorders>
            <w:vAlign w:val="top"/>
          </w:tcPr>
          <w:p>
            <w:pPr>
              <w:spacing w:before="59" w:line="212" w:lineRule="auto"/>
              <w:ind w:left="240"/>
              <w:rPr>
                <w:rFonts w:ascii="仿宋" w:hAnsi="仿宋" w:eastAsia="仿宋" w:cs="仿宋"/>
                <w:sz w:val="21"/>
                <w:szCs w:val="21"/>
              </w:rPr>
            </w:pPr>
            <w:r>
              <w:rPr>
                <w:rFonts w:ascii="仿宋" w:hAnsi="仿宋" w:eastAsia="仿宋" w:cs="仿宋"/>
                <w:spacing w:val="-4"/>
                <w:sz w:val="21"/>
                <w:szCs w:val="21"/>
              </w:rPr>
              <w:t>离子化合价</w:t>
            </w:r>
          </w:p>
        </w:tc>
        <w:tc>
          <w:tcPr>
            <w:tcW w:w="820" w:type="dxa"/>
            <w:vAlign w:val="top"/>
          </w:tcPr>
          <w:p>
            <w:pPr>
              <w:pStyle w:val="6"/>
              <w:spacing w:before="98" w:line="186" w:lineRule="auto"/>
              <w:ind w:left="376"/>
            </w:pPr>
            <w:r>
              <w:t>1</w:t>
            </w:r>
          </w:p>
        </w:tc>
        <w:tc>
          <w:tcPr>
            <w:tcW w:w="674" w:type="dxa"/>
            <w:vAlign w:val="top"/>
          </w:tcPr>
          <w:p>
            <w:pPr>
              <w:pStyle w:val="6"/>
              <w:spacing w:before="98" w:line="186" w:lineRule="auto"/>
              <w:ind w:left="303"/>
            </w:pPr>
            <w:r>
              <w:t>1</w:t>
            </w:r>
          </w:p>
        </w:tc>
        <w:tc>
          <w:tcPr>
            <w:tcW w:w="891" w:type="dxa"/>
            <w:vAlign w:val="top"/>
          </w:tcPr>
          <w:p>
            <w:pPr>
              <w:pStyle w:val="6"/>
              <w:spacing w:before="98" w:line="186" w:lineRule="auto"/>
              <w:ind w:left="393"/>
            </w:pPr>
            <w:r>
              <w:t>2</w:t>
            </w:r>
          </w:p>
        </w:tc>
        <w:tc>
          <w:tcPr>
            <w:tcW w:w="892" w:type="dxa"/>
            <w:vAlign w:val="top"/>
          </w:tcPr>
          <w:p>
            <w:pPr>
              <w:pStyle w:val="6"/>
              <w:spacing w:before="98" w:line="186" w:lineRule="auto"/>
              <w:ind w:left="392"/>
            </w:pPr>
            <w:r>
              <w:t>2</w:t>
            </w:r>
          </w:p>
        </w:tc>
        <w:tc>
          <w:tcPr>
            <w:tcW w:w="889" w:type="dxa"/>
            <w:vAlign w:val="top"/>
          </w:tcPr>
          <w:p>
            <w:pPr>
              <w:pStyle w:val="6"/>
              <w:spacing w:before="98" w:line="186" w:lineRule="auto"/>
              <w:ind w:left="391"/>
            </w:pPr>
            <w:r>
              <w:t>2</w:t>
            </w:r>
          </w:p>
        </w:tc>
        <w:tc>
          <w:tcPr>
            <w:tcW w:w="894" w:type="dxa"/>
            <w:vAlign w:val="top"/>
          </w:tcPr>
          <w:p>
            <w:pPr>
              <w:pStyle w:val="6"/>
              <w:spacing w:before="98" w:line="186" w:lineRule="auto"/>
              <w:ind w:left="413"/>
            </w:pPr>
            <w:r>
              <w:t>1</w:t>
            </w:r>
          </w:p>
        </w:tc>
        <w:tc>
          <w:tcPr>
            <w:tcW w:w="890" w:type="dxa"/>
            <w:vAlign w:val="top"/>
          </w:tcPr>
          <w:p>
            <w:pPr>
              <w:pStyle w:val="6"/>
              <w:spacing w:before="98" w:line="186" w:lineRule="auto"/>
              <w:ind w:left="411"/>
            </w:pPr>
            <w:r>
              <w:t>1</w:t>
            </w:r>
          </w:p>
        </w:tc>
        <w:tc>
          <w:tcPr>
            <w:tcW w:w="890" w:type="dxa"/>
            <w:tcBorders>
              <w:right w:val="nil"/>
            </w:tcBorders>
            <w:vAlign w:val="top"/>
          </w:tcPr>
          <w:p>
            <w:pPr>
              <w:pStyle w:val="6"/>
              <w:spacing w:before="98" w:line="186" w:lineRule="auto"/>
              <w:ind w:left="392"/>
            </w:pPr>
            <w: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8" w:hRule="atLeast"/>
        </w:trPr>
        <w:tc>
          <w:tcPr>
            <w:tcW w:w="1481" w:type="dxa"/>
            <w:tcBorders>
              <w:left w:val="nil"/>
              <w:bottom w:val="single" w:color="000000" w:sz="12" w:space="0"/>
            </w:tcBorders>
            <w:vAlign w:val="top"/>
          </w:tcPr>
          <w:p>
            <w:pPr>
              <w:spacing w:before="66" w:line="247" w:lineRule="auto"/>
              <w:ind w:left="658" w:right="204" w:hanging="418"/>
              <w:rPr>
                <w:rFonts w:ascii="仿宋" w:hAnsi="仿宋" w:eastAsia="仿宋" w:cs="仿宋"/>
                <w:sz w:val="21"/>
                <w:szCs w:val="21"/>
              </w:rPr>
            </w:pPr>
            <w:r>
              <w:rPr>
                <w:rFonts w:ascii="仿宋" w:hAnsi="仿宋" w:eastAsia="仿宋" w:cs="仿宋"/>
                <w:spacing w:val="-4"/>
                <w:sz w:val="21"/>
                <w:szCs w:val="21"/>
              </w:rPr>
              <w:t>离子原子质</w:t>
            </w:r>
            <w:r>
              <w:rPr>
                <w:rFonts w:ascii="仿宋" w:hAnsi="仿宋" w:eastAsia="仿宋" w:cs="仿宋"/>
                <w:sz w:val="21"/>
                <w:szCs w:val="21"/>
              </w:rPr>
              <w:t xml:space="preserve"> 量</w:t>
            </w:r>
          </w:p>
        </w:tc>
        <w:tc>
          <w:tcPr>
            <w:tcW w:w="820" w:type="dxa"/>
            <w:tcBorders>
              <w:bottom w:val="single" w:color="000000" w:sz="12" w:space="0"/>
            </w:tcBorders>
            <w:vAlign w:val="top"/>
          </w:tcPr>
          <w:p>
            <w:pPr>
              <w:pStyle w:val="6"/>
              <w:spacing w:before="260" w:line="186" w:lineRule="auto"/>
              <w:ind w:left="308"/>
            </w:pPr>
            <w:r>
              <w:rPr>
                <w:spacing w:val="-3"/>
              </w:rPr>
              <w:t>39</w:t>
            </w:r>
          </w:p>
        </w:tc>
        <w:tc>
          <w:tcPr>
            <w:tcW w:w="674" w:type="dxa"/>
            <w:tcBorders>
              <w:bottom w:val="single" w:color="000000" w:sz="12" w:space="0"/>
            </w:tcBorders>
            <w:vAlign w:val="top"/>
          </w:tcPr>
          <w:p>
            <w:pPr>
              <w:pStyle w:val="6"/>
              <w:spacing w:before="260" w:line="186" w:lineRule="auto"/>
              <w:ind w:left="230"/>
            </w:pPr>
            <w:r>
              <w:rPr>
                <w:spacing w:val="-1"/>
              </w:rPr>
              <w:t>23</w:t>
            </w:r>
          </w:p>
        </w:tc>
        <w:tc>
          <w:tcPr>
            <w:tcW w:w="891" w:type="dxa"/>
            <w:tcBorders>
              <w:bottom w:val="single" w:color="000000" w:sz="12" w:space="0"/>
            </w:tcBorders>
            <w:vAlign w:val="top"/>
          </w:tcPr>
          <w:p>
            <w:pPr>
              <w:pStyle w:val="6"/>
              <w:spacing w:before="260" w:line="186" w:lineRule="auto"/>
              <w:ind w:left="339"/>
            </w:pPr>
            <w:r>
              <w:rPr>
                <w:spacing w:val="-1"/>
              </w:rPr>
              <w:t>40</w:t>
            </w:r>
          </w:p>
        </w:tc>
        <w:tc>
          <w:tcPr>
            <w:tcW w:w="892" w:type="dxa"/>
            <w:tcBorders>
              <w:bottom w:val="single" w:color="000000" w:sz="12" w:space="0"/>
            </w:tcBorders>
            <w:vAlign w:val="top"/>
          </w:tcPr>
          <w:p>
            <w:pPr>
              <w:pStyle w:val="6"/>
              <w:spacing w:before="260" w:line="186" w:lineRule="auto"/>
              <w:ind w:left="339"/>
            </w:pPr>
            <w:r>
              <w:rPr>
                <w:spacing w:val="-1"/>
              </w:rPr>
              <w:t>24</w:t>
            </w:r>
          </w:p>
        </w:tc>
        <w:tc>
          <w:tcPr>
            <w:tcW w:w="889" w:type="dxa"/>
            <w:tcBorders>
              <w:bottom w:val="single" w:color="000000" w:sz="12" w:space="0"/>
            </w:tcBorders>
            <w:vAlign w:val="top"/>
          </w:tcPr>
          <w:p>
            <w:pPr>
              <w:pStyle w:val="6"/>
              <w:spacing w:before="260" w:line="186" w:lineRule="auto"/>
              <w:ind w:left="342"/>
            </w:pPr>
            <w:r>
              <w:rPr>
                <w:spacing w:val="-3"/>
              </w:rPr>
              <w:t>60</w:t>
            </w:r>
          </w:p>
        </w:tc>
        <w:tc>
          <w:tcPr>
            <w:tcW w:w="894" w:type="dxa"/>
            <w:tcBorders>
              <w:bottom w:val="single" w:color="000000" w:sz="12" w:space="0"/>
            </w:tcBorders>
            <w:vAlign w:val="top"/>
          </w:tcPr>
          <w:p>
            <w:pPr>
              <w:pStyle w:val="6"/>
              <w:spacing w:before="260" w:line="186" w:lineRule="auto"/>
              <w:ind w:left="345"/>
            </w:pPr>
            <w:r>
              <w:rPr>
                <w:spacing w:val="-3"/>
              </w:rPr>
              <w:t>61</w:t>
            </w:r>
          </w:p>
        </w:tc>
        <w:tc>
          <w:tcPr>
            <w:tcW w:w="890" w:type="dxa"/>
            <w:tcBorders>
              <w:bottom w:val="single" w:color="000000" w:sz="12" w:space="0"/>
            </w:tcBorders>
            <w:vAlign w:val="top"/>
          </w:tcPr>
          <w:p>
            <w:pPr>
              <w:pStyle w:val="6"/>
              <w:spacing w:before="260" w:line="186" w:lineRule="auto"/>
              <w:ind w:left="265"/>
            </w:pPr>
            <w:r>
              <w:rPr>
                <w:spacing w:val="-2"/>
              </w:rPr>
              <w:t>35.5</w:t>
            </w:r>
          </w:p>
        </w:tc>
        <w:tc>
          <w:tcPr>
            <w:tcW w:w="890" w:type="dxa"/>
            <w:tcBorders>
              <w:bottom w:val="single" w:color="000000" w:sz="12" w:space="0"/>
              <w:right w:val="nil"/>
            </w:tcBorders>
            <w:vAlign w:val="top"/>
          </w:tcPr>
          <w:p>
            <w:pPr>
              <w:pStyle w:val="6"/>
              <w:spacing w:before="260" w:line="186" w:lineRule="auto"/>
              <w:ind w:left="343"/>
            </w:pPr>
            <w:r>
              <w:rPr>
                <w:spacing w:val="-2"/>
              </w:rPr>
              <w:t>96</w:t>
            </w:r>
          </w:p>
        </w:tc>
      </w:tr>
    </w:tbl>
    <w:p>
      <w:pPr>
        <w:spacing w:before="115" w:line="468" w:lineRule="exact"/>
        <w:ind w:right="38"/>
        <w:jc w:val="right"/>
        <w:rPr>
          <w:rFonts w:ascii="宋体" w:hAnsi="宋体" w:eastAsia="宋体" w:cs="宋体"/>
          <w:sz w:val="24"/>
          <w:szCs w:val="24"/>
        </w:rPr>
      </w:pPr>
      <w:r>
        <w:rPr>
          <w:rFonts w:ascii="宋体" w:hAnsi="宋体" w:eastAsia="宋体" w:cs="宋体"/>
          <w:spacing w:val="4"/>
          <w:position w:val="17"/>
          <w:sz w:val="24"/>
          <w:szCs w:val="24"/>
        </w:rPr>
        <w:t>根据上述阴离子平衡分析公式及相关内容，本次补充检测的各地下</w:t>
      </w:r>
      <w:r>
        <w:rPr>
          <w:rFonts w:ascii="宋体" w:hAnsi="宋体" w:eastAsia="宋体" w:cs="宋体"/>
          <w:spacing w:val="3"/>
          <w:position w:val="17"/>
          <w:sz w:val="24"/>
          <w:szCs w:val="24"/>
        </w:rPr>
        <w:t>水监测点</w:t>
      </w:r>
    </w:p>
    <w:p>
      <w:pPr>
        <w:spacing w:line="219" w:lineRule="auto"/>
        <w:ind w:left="39"/>
        <w:rPr>
          <w:rFonts w:ascii="宋体" w:hAnsi="宋体" w:eastAsia="宋体" w:cs="宋体"/>
          <w:sz w:val="24"/>
          <w:szCs w:val="24"/>
        </w:rPr>
      </w:pPr>
      <w:r>
        <w:rPr>
          <w:rFonts w:ascii="宋体" w:hAnsi="宋体" w:eastAsia="宋体" w:cs="宋体"/>
          <w:spacing w:val="-4"/>
          <w:sz w:val="24"/>
          <w:szCs w:val="24"/>
        </w:rPr>
        <w:t>位八大离子平衡分析见下表。</w:t>
      </w:r>
    </w:p>
    <w:p>
      <w:pPr>
        <w:spacing w:line="219" w:lineRule="auto"/>
        <w:rPr>
          <w:rFonts w:ascii="宋体" w:hAnsi="宋体" w:eastAsia="宋体" w:cs="宋体"/>
          <w:sz w:val="24"/>
          <w:szCs w:val="24"/>
        </w:rPr>
        <w:sectPr>
          <w:headerReference r:id="rId201" w:type="default"/>
          <w:footerReference r:id="rId202" w:type="default"/>
          <w:pgSz w:w="11907" w:h="16839"/>
          <w:pgMar w:top="1156" w:right="1768" w:bottom="1374" w:left="1770" w:header="881" w:footer="1210" w:gutter="0"/>
        </w:sectPr>
      </w:pPr>
    </w:p>
    <w:p>
      <w:pPr>
        <w:spacing w:line="349" w:lineRule="auto"/>
        <w:rPr>
          <w:rFonts w:ascii="Arial"/>
          <w:sz w:val="21"/>
        </w:rPr>
      </w:pPr>
    </w:p>
    <w:p>
      <w:pPr>
        <w:spacing w:line="350" w:lineRule="auto"/>
        <w:rPr>
          <w:rFonts w:ascii="Arial"/>
          <w:sz w:val="21"/>
        </w:rPr>
      </w:pPr>
    </w:p>
    <w:p>
      <w:pPr>
        <w:spacing w:before="68" w:line="220" w:lineRule="auto"/>
        <w:ind w:left="5144"/>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9"/>
          <w:sz w:val="21"/>
          <w:szCs w:val="21"/>
        </w:rPr>
        <w:t xml:space="preserve"> </w:t>
      </w:r>
      <w:r>
        <w:rPr>
          <w:rFonts w:ascii="Times New Roman" w:hAnsi="Times New Roman" w:eastAsia="Times New Roman" w:cs="Times New Roman"/>
          <w:b/>
          <w:bCs/>
          <w:spacing w:val="-1"/>
          <w:sz w:val="21"/>
          <w:szCs w:val="21"/>
        </w:rPr>
        <w:t xml:space="preserve">3.2-11    </w:t>
      </w:r>
      <w:r>
        <w:rPr>
          <w:rFonts w:ascii="宋体" w:hAnsi="宋体" w:eastAsia="宋体" w:cs="宋体"/>
          <w:spacing w:val="-1"/>
          <w:sz w:val="21"/>
          <w:szCs w:val="21"/>
          <w14:textOutline w14:w="3810" w14:cap="flat" w14:cmpd="sng">
            <w14:solidFill>
              <w14:srgbClr w14:val="000000"/>
            </w14:solidFill>
            <w14:prstDash w14:val="solid"/>
            <w14:miter w14:val="0"/>
          </w14:textOutline>
        </w:rPr>
        <w:t>区域地下水八大离子监测结果</w:t>
      </w:r>
    </w:p>
    <w:p>
      <w:pPr>
        <w:spacing w:line="89" w:lineRule="exact"/>
      </w:pPr>
    </w:p>
    <w:tbl>
      <w:tblPr>
        <w:tblStyle w:val="5"/>
        <w:tblW w:w="13974"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3"/>
        <w:gridCol w:w="1583"/>
        <w:gridCol w:w="1369"/>
        <w:gridCol w:w="1201"/>
        <w:gridCol w:w="1396"/>
        <w:gridCol w:w="1156"/>
        <w:gridCol w:w="1343"/>
        <w:gridCol w:w="1356"/>
        <w:gridCol w:w="1382"/>
        <w:gridCol w:w="13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1793" w:type="dxa"/>
            <w:vMerge w:val="restart"/>
            <w:tcBorders>
              <w:top w:val="single" w:color="000000" w:sz="12" w:space="0"/>
              <w:left w:val="nil"/>
              <w:bottom w:val="nil"/>
            </w:tcBorders>
            <w:vAlign w:val="top"/>
          </w:tcPr>
          <w:p>
            <w:pPr>
              <w:spacing w:before="213" w:line="220" w:lineRule="auto"/>
              <w:ind w:left="708"/>
              <w:rPr>
                <w:rFonts w:ascii="仿宋" w:hAnsi="仿宋" w:eastAsia="仿宋" w:cs="仿宋"/>
                <w:sz w:val="21"/>
                <w:szCs w:val="21"/>
              </w:rPr>
            </w:pPr>
            <w:r>
              <w:rPr>
                <w:rFonts w:ascii="仿宋" w:hAnsi="仿宋" w:eastAsia="仿宋" w:cs="仿宋"/>
                <w:spacing w:val="-4"/>
                <w:sz w:val="21"/>
                <w:szCs w:val="21"/>
              </w:rPr>
              <w:t>项目</w:t>
            </w:r>
          </w:p>
        </w:tc>
        <w:tc>
          <w:tcPr>
            <w:tcW w:w="4153" w:type="dxa"/>
            <w:gridSpan w:val="3"/>
            <w:tcBorders>
              <w:top w:val="single" w:color="000000" w:sz="12" w:space="0"/>
            </w:tcBorders>
            <w:vAlign w:val="top"/>
          </w:tcPr>
          <w:p>
            <w:pPr>
              <w:spacing w:before="51" w:line="218" w:lineRule="auto"/>
              <w:ind w:left="1454"/>
              <w:rPr>
                <w:rFonts w:ascii="仿宋" w:hAnsi="仿宋" w:eastAsia="仿宋" w:cs="仿宋"/>
                <w:sz w:val="21"/>
                <w:szCs w:val="21"/>
              </w:rPr>
            </w:pPr>
            <w:r>
              <w:rPr>
                <w:rFonts w:ascii="仿宋" w:hAnsi="仿宋" w:eastAsia="仿宋" w:cs="仿宋"/>
                <w:spacing w:val="-2"/>
                <w:sz w:val="21"/>
                <w:szCs w:val="21"/>
              </w:rPr>
              <w:t>水库上游泉点</w:t>
            </w:r>
          </w:p>
        </w:tc>
        <w:tc>
          <w:tcPr>
            <w:tcW w:w="3895" w:type="dxa"/>
            <w:gridSpan w:val="3"/>
            <w:tcBorders>
              <w:top w:val="single" w:color="000000" w:sz="12" w:space="0"/>
            </w:tcBorders>
            <w:vAlign w:val="top"/>
          </w:tcPr>
          <w:p>
            <w:pPr>
              <w:spacing w:before="51" w:line="218" w:lineRule="auto"/>
              <w:ind w:left="1325"/>
              <w:rPr>
                <w:rFonts w:ascii="仿宋" w:hAnsi="仿宋" w:eastAsia="仿宋" w:cs="仿宋"/>
                <w:sz w:val="21"/>
                <w:szCs w:val="21"/>
              </w:rPr>
            </w:pPr>
            <w:r>
              <w:rPr>
                <w:rFonts w:ascii="仿宋" w:hAnsi="仿宋" w:eastAsia="仿宋" w:cs="仿宋"/>
                <w:spacing w:val="-2"/>
                <w:sz w:val="21"/>
                <w:szCs w:val="21"/>
              </w:rPr>
              <w:t>水库下游泉点</w:t>
            </w:r>
          </w:p>
        </w:tc>
        <w:tc>
          <w:tcPr>
            <w:tcW w:w="4133" w:type="dxa"/>
            <w:gridSpan w:val="3"/>
            <w:tcBorders>
              <w:top w:val="single" w:color="000000" w:sz="12" w:space="0"/>
              <w:right w:val="nil"/>
            </w:tcBorders>
            <w:vAlign w:val="top"/>
          </w:tcPr>
          <w:p>
            <w:pPr>
              <w:pStyle w:val="6"/>
              <w:spacing w:before="51" w:line="217" w:lineRule="auto"/>
              <w:ind w:left="1540"/>
              <w:rPr>
                <w:rFonts w:ascii="仿宋" w:hAnsi="仿宋" w:eastAsia="仿宋" w:cs="仿宋"/>
              </w:rPr>
            </w:pPr>
            <w:r>
              <w:rPr>
                <w:spacing w:val="-1"/>
              </w:rPr>
              <w:t>2#</w:t>
            </w:r>
            <w:r>
              <w:rPr>
                <w:rFonts w:ascii="仿宋" w:hAnsi="仿宋" w:eastAsia="仿宋" w:cs="仿宋"/>
                <w:spacing w:val="-1"/>
              </w:rPr>
              <w:t>隧洞钻井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1793" w:type="dxa"/>
            <w:vMerge w:val="continue"/>
            <w:tcBorders>
              <w:top w:val="nil"/>
              <w:left w:val="nil"/>
            </w:tcBorders>
            <w:vAlign w:val="top"/>
          </w:tcPr>
          <w:p>
            <w:pPr>
              <w:rPr>
                <w:rFonts w:ascii="Arial"/>
                <w:sz w:val="21"/>
              </w:rPr>
            </w:pPr>
          </w:p>
        </w:tc>
        <w:tc>
          <w:tcPr>
            <w:tcW w:w="1583" w:type="dxa"/>
            <w:vAlign w:val="top"/>
          </w:tcPr>
          <w:p>
            <w:pPr>
              <w:pStyle w:val="6"/>
              <w:spacing w:before="89" w:line="186" w:lineRule="auto"/>
              <w:ind w:left="370"/>
            </w:pPr>
            <w:r>
              <w:rPr>
                <w:spacing w:val="-1"/>
              </w:rPr>
              <w:t>2023.3.28</w:t>
            </w:r>
          </w:p>
        </w:tc>
        <w:tc>
          <w:tcPr>
            <w:tcW w:w="1369" w:type="dxa"/>
            <w:vAlign w:val="top"/>
          </w:tcPr>
          <w:p>
            <w:pPr>
              <w:pStyle w:val="6"/>
              <w:spacing w:before="89" w:line="186" w:lineRule="auto"/>
              <w:ind w:left="263"/>
            </w:pPr>
            <w:r>
              <w:rPr>
                <w:spacing w:val="-1"/>
              </w:rPr>
              <w:t>2023.3.29</w:t>
            </w:r>
          </w:p>
        </w:tc>
        <w:tc>
          <w:tcPr>
            <w:tcW w:w="1201" w:type="dxa"/>
            <w:vAlign w:val="top"/>
          </w:tcPr>
          <w:p>
            <w:pPr>
              <w:pStyle w:val="6"/>
              <w:spacing w:before="87" w:line="188" w:lineRule="auto"/>
              <w:ind w:left="179"/>
            </w:pPr>
            <w:r>
              <w:rPr>
                <w:spacing w:val="-1"/>
              </w:rPr>
              <w:t>2023.3.30</w:t>
            </w:r>
          </w:p>
        </w:tc>
        <w:tc>
          <w:tcPr>
            <w:tcW w:w="1396" w:type="dxa"/>
            <w:vAlign w:val="top"/>
          </w:tcPr>
          <w:p>
            <w:pPr>
              <w:pStyle w:val="6"/>
              <w:spacing w:before="89" w:line="186" w:lineRule="auto"/>
              <w:ind w:left="277"/>
            </w:pPr>
            <w:r>
              <w:rPr>
                <w:spacing w:val="-1"/>
              </w:rPr>
              <w:t>2023.3.28</w:t>
            </w:r>
          </w:p>
        </w:tc>
        <w:tc>
          <w:tcPr>
            <w:tcW w:w="1156" w:type="dxa"/>
            <w:vAlign w:val="top"/>
          </w:tcPr>
          <w:p>
            <w:pPr>
              <w:pStyle w:val="6"/>
              <w:spacing w:before="89" w:line="186" w:lineRule="auto"/>
              <w:ind w:left="157"/>
            </w:pPr>
            <w:r>
              <w:rPr>
                <w:spacing w:val="-1"/>
              </w:rPr>
              <w:t>2023.3.29</w:t>
            </w:r>
          </w:p>
        </w:tc>
        <w:tc>
          <w:tcPr>
            <w:tcW w:w="1343" w:type="dxa"/>
            <w:vAlign w:val="top"/>
          </w:tcPr>
          <w:p>
            <w:pPr>
              <w:pStyle w:val="6"/>
              <w:spacing w:before="87" w:line="188" w:lineRule="auto"/>
              <w:ind w:left="250"/>
            </w:pPr>
            <w:r>
              <w:rPr>
                <w:spacing w:val="-1"/>
              </w:rPr>
              <w:t>2023.3.30</w:t>
            </w:r>
          </w:p>
        </w:tc>
        <w:tc>
          <w:tcPr>
            <w:tcW w:w="1356" w:type="dxa"/>
            <w:vAlign w:val="top"/>
          </w:tcPr>
          <w:p>
            <w:pPr>
              <w:pStyle w:val="6"/>
              <w:spacing w:before="89" w:line="186" w:lineRule="auto"/>
              <w:ind w:left="257"/>
            </w:pPr>
            <w:r>
              <w:rPr>
                <w:spacing w:val="-1"/>
              </w:rPr>
              <w:t>2023.3.28</w:t>
            </w:r>
          </w:p>
        </w:tc>
        <w:tc>
          <w:tcPr>
            <w:tcW w:w="1382" w:type="dxa"/>
            <w:vAlign w:val="top"/>
          </w:tcPr>
          <w:p>
            <w:pPr>
              <w:pStyle w:val="6"/>
              <w:spacing w:before="89" w:line="186" w:lineRule="auto"/>
              <w:ind w:left="270"/>
            </w:pPr>
            <w:r>
              <w:rPr>
                <w:spacing w:val="-1"/>
              </w:rPr>
              <w:t>2023.3.29</w:t>
            </w:r>
          </w:p>
        </w:tc>
        <w:tc>
          <w:tcPr>
            <w:tcW w:w="1395" w:type="dxa"/>
            <w:tcBorders>
              <w:right w:val="nil"/>
            </w:tcBorders>
            <w:vAlign w:val="top"/>
          </w:tcPr>
          <w:p>
            <w:pPr>
              <w:pStyle w:val="6"/>
              <w:spacing w:before="87" w:line="188" w:lineRule="auto"/>
              <w:ind w:left="277"/>
            </w:pPr>
            <w:r>
              <w:rPr>
                <w:spacing w:val="-1"/>
              </w:rPr>
              <w:t>2023.3.30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793" w:type="dxa"/>
            <w:tcBorders>
              <w:left w:val="nil"/>
            </w:tcBorders>
            <w:vAlign w:val="top"/>
          </w:tcPr>
          <w:p>
            <w:pPr>
              <w:pStyle w:val="6"/>
              <w:spacing w:before="72" w:line="206" w:lineRule="auto"/>
              <w:ind w:left="791"/>
              <w:rPr>
                <w:sz w:val="14"/>
                <w:szCs w:val="14"/>
              </w:rPr>
            </w:pPr>
            <w:r>
              <w:rPr>
                <w:spacing w:val="-1"/>
                <w:position w:val="-2"/>
              </w:rPr>
              <w:t>K</w:t>
            </w:r>
            <w:r>
              <w:rPr>
                <w:spacing w:val="-1"/>
                <w:position w:val="3"/>
                <w:sz w:val="14"/>
                <w:szCs w:val="14"/>
              </w:rPr>
              <w:t>+</w:t>
            </w:r>
          </w:p>
        </w:tc>
        <w:tc>
          <w:tcPr>
            <w:tcW w:w="1583" w:type="dxa"/>
            <w:vAlign w:val="top"/>
          </w:tcPr>
          <w:p>
            <w:pPr>
              <w:pStyle w:val="6"/>
              <w:spacing w:before="92" w:line="186" w:lineRule="auto"/>
              <w:ind w:left="609"/>
            </w:pPr>
            <w:r>
              <w:rPr>
                <w:spacing w:val="-2"/>
              </w:rPr>
              <w:t>0.81</w:t>
            </w:r>
          </w:p>
        </w:tc>
        <w:tc>
          <w:tcPr>
            <w:tcW w:w="1369" w:type="dxa"/>
            <w:vAlign w:val="top"/>
          </w:tcPr>
          <w:p>
            <w:pPr>
              <w:pStyle w:val="6"/>
              <w:spacing w:before="92" w:line="186" w:lineRule="auto"/>
              <w:ind w:left="502"/>
            </w:pPr>
            <w:r>
              <w:rPr>
                <w:spacing w:val="-2"/>
              </w:rPr>
              <w:t>0.80</w:t>
            </w:r>
          </w:p>
        </w:tc>
        <w:tc>
          <w:tcPr>
            <w:tcW w:w="1201" w:type="dxa"/>
            <w:vAlign w:val="top"/>
          </w:tcPr>
          <w:p>
            <w:pPr>
              <w:pStyle w:val="6"/>
              <w:spacing w:before="92" w:line="186" w:lineRule="auto"/>
              <w:ind w:left="419"/>
            </w:pPr>
            <w:r>
              <w:rPr>
                <w:spacing w:val="-2"/>
              </w:rPr>
              <w:t>0.82</w:t>
            </w:r>
          </w:p>
        </w:tc>
        <w:tc>
          <w:tcPr>
            <w:tcW w:w="1396" w:type="dxa"/>
            <w:vAlign w:val="top"/>
          </w:tcPr>
          <w:p>
            <w:pPr>
              <w:pStyle w:val="6"/>
              <w:spacing w:before="92" w:line="186" w:lineRule="auto"/>
              <w:ind w:left="516"/>
            </w:pPr>
            <w:r>
              <w:rPr>
                <w:spacing w:val="-2"/>
              </w:rPr>
              <w:t>0.72</w:t>
            </w:r>
          </w:p>
        </w:tc>
        <w:tc>
          <w:tcPr>
            <w:tcW w:w="1156" w:type="dxa"/>
            <w:vAlign w:val="top"/>
          </w:tcPr>
          <w:p>
            <w:pPr>
              <w:pStyle w:val="6"/>
              <w:spacing w:before="92" w:line="186" w:lineRule="auto"/>
              <w:ind w:left="396"/>
            </w:pPr>
            <w:r>
              <w:rPr>
                <w:spacing w:val="-2"/>
              </w:rPr>
              <w:t>0.76</w:t>
            </w:r>
          </w:p>
        </w:tc>
        <w:tc>
          <w:tcPr>
            <w:tcW w:w="1343" w:type="dxa"/>
            <w:vAlign w:val="top"/>
          </w:tcPr>
          <w:p>
            <w:pPr>
              <w:pStyle w:val="6"/>
              <w:spacing w:before="92" w:line="186" w:lineRule="auto"/>
              <w:ind w:left="489"/>
            </w:pPr>
            <w:r>
              <w:rPr>
                <w:spacing w:val="-2"/>
              </w:rPr>
              <w:t>0.77</w:t>
            </w:r>
          </w:p>
        </w:tc>
        <w:tc>
          <w:tcPr>
            <w:tcW w:w="1356" w:type="dxa"/>
            <w:vAlign w:val="top"/>
          </w:tcPr>
          <w:p>
            <w:pPr>
              <w:pStyle w:val="6"/>
              <w:spacing w:before="92" w:line="186" w:lineRule="auto"/>
              <w:ind w:left="513"/>
            </w:pPr>
            <w:r>
              <w:rPr>
                <w:spacing w:val="-6"/>
              </w:rPr>
              <w:t>1.11</w:t>
            </w:r>
          </w:p>
        </w:tc>
        <w:tc>
          <w:tcPr>
            <w:tcW w:w="1382" w:type="dxa"/>
            <w:vAlign w:val="top"/>
          </w:tcPr>
          <w:p>
            <w:pPr>
              <w:pStyle w:val="6"/>
              <w:spacing w:before="92" w:line="186" w:lineRule="auto"/>
              <w:ind w:left="526"/>
            </w:pPr>
            <w:r>
              <w:rPr>
                <w:spacing w:val="-6"/>
              </w:rPr>
              <w:t>1.09</w:t>
            </w:r>
          </w:p>
        </w:tc>
        <w:tc>
          <w:tcPr>
            <w:tcW w:w="1395" w:type="dxa"/>
            <w:tcBorders>
              <w:right w:val="nil"/>
            </w:tcBorders>
            <w:vAlign w:val="top"/>
          </w:tcPr>
          <w:p>
            <w:pPr>
              <w:pStyle w:val="6"/>
              <w:spacing w:before="92" w:line="186" w:lineRule="auto"/>
              <w:ind w:left="533"/>
            </w:pPr>
            <w:r>
              <w:rPr>
                <w:spacing w:val="-6"/>
              </w:rPr>
              <w:t>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1793" w:type="dxa"/>
            <w:tcBorders>
              <w:left w:val="nil"/>
            </w:tcBorders>
            <w:vAlign w:val="top"/>
          </w:tcPr>
          <w:p>
            <w:pPr>
              <w:pStyle w:val="6"/>
              <w:spacing w:before="73" w:line="206" w:lineRule="auto"/>
              <w:ind w:left="739"/>
              <w:rPr>
                <w:sz w:val="14"/>
                <w:szCs w:val="14"/>
              </w:rPr>
            </w:pPr>
            <w:r>
              <w:rPr>
                <w:position w:val="-1"/>
              </w:rPr>
              <w:t>Na</w:t>
            </w:r>
            <w:r>
              <w:rPr>
                <w:spacing w:val="2"/>
                <w:position w:val="4"/>
                <w:sz w:val="14"/>
                <w:szCs w:val="14"/>
              </w:rPr>
              <w:t>+</w:t>
            </w:r>
          </w:p>
        </w:tc>
        <w:tc>
          <w:tcPr>
            <w:tcW w:w="1583" w:type="dxa"/>
            <w:vAlign w:val="top"/>
          </w:tcPr>
          <w:p>
            <w:pPr>
              <w:pStyle w:val="6"/>
              <w:spacing w:before="94" w:line="186" w:lineRule="auto"/>
              <w:ind w:left="626"/>
            </w:pPr>
            <w:r>
              <w:rPr>
                <w:spacing w:val="-6"/>
              </w:rPr>
              <w:t>10.7</w:t>
            </w:r>
          </w:p>
        </w:tc>
        <w:tc>
          <w:tcPr>
            <w:tcW w:w="1369" w:type="dxa"/>
            <w:vAlign w:val="top"/>
          </w:tcPr>
          <w:p>
            <w:pPr>
              <w:pStyle w:val="6"/>
              <w:spacing w:before="94" w:line="186" w:lineRule="auto"/>
              <w:ind w:left="519"/>
            </w:pPr>
            <w:r>
              <w:rPr>
                <w:spacing w:val="-6"/>
              </w:rPr>
              <w:t>10.6</w:t>
            </w:r>
          </w:p>
        </w:tc>
        <w:tc>
          <w:tcPr>
            <w:tcW w:w="1201" w:type="dxa"/>
            <w:vAlign w:val="top"/>
          </w:tcPr>
          <w:p>
            <w:pPr>
              <w:pStyle w:val="6"/>
              <w:spacing w:before="94" w:line="186" w:lineRule="auto"/>
              <w:ind w:left="436"/>
            </w:pPr>
            <w:r>
              <w:rPr>
                <w:spacing w:val="-6"/>
              </w:rPr>
              <w:t>10.7</w:t>
            </w:r>
          </w:p>
        </w:tc>
        <w:tc>
          <w:tcPr>
            <w:tcW w:w="1396" w:type="dxa"/>
            <w:vAlign w:val="top"/>
          </w:tcPr>
          <w:p>
            <w:pPr>
              <w:pStyle w:val="6"/>
              <w:spacing w:before="94" w:line="186" w:lineRule="auto"/>
              <w:ind w:left="521"/>
            </w:pPr>
            <w:r>
              <w:rPr>
                <w:spacing w:val="-4"/>
              </w:rPr>
              <w:t>8.42</w:t>
            </w:r>
          </w:p>
        </w:tc>
        <w:tc>
          <w:tcPr>
            <w:tcW w:w="1156" w:type="dxa"/>
            <w:vAlign w:val="top"/>
          </w:tcPr>
          <w:p>
            <w:pPr>
              <w:pStyle w:val="6"/>
              <w:spacing w:before="94" w:line="186" w:lineRule="auto"/>
              <w:ind w:left="401"/>
            </w:pPr>
            <w:r>
              <w:rPr>
                <w:spacing w:val="-4"/>
              </w:rPr>
              <w:t>8.76</w:t>
            </w:r>
          </w:p>
        </w:tc>
        <w:tc>
          <w:tcPr>
            <w:tcW w:w="1343" w:type="dxa"/>
            <w:vAlign w:val="top"/>
          </w:tcPr>
          <w:p>
            <w:pPr>
              <w:pStyle w:val="6"/>
              <w:spacing w:before="94" w:line="186" w:lineRule="auto"/>
              <w:ind w:left="495"/>
            </w:pPr>
            <w:r>
              <w:rPr>
                <w:spacing w:val="-4"/>
              </w:rPr>
              <w:t>8.58</w:t>
            </w:r>
          </w:p>
        </w:tc>
        <w:tc>
          <w:tcPr>
            <w:tcW w:w="1356" w:type="dxa"/>
            <w:vAlign w:val="top"/>
          </w:tcPr>
          <w:p>
            <w:pPr>
              <w:pStyle w:val="6"/>
              <w:spacing w:before="94" w:line="186" w:lineRule="auto"/>
              <w:ind w:left="513"/>
            </w:pPr>
            <w:r>
              <w:rPr>
                <w:spacing w:val="-6"/>
              </w:rPr>
              <w:t>17.4</w:t>
            </w:r>
          </w:p>
        </w:tc>
        <w:tc>
          <w:tcPr>
            <w:tcW w:w="1382" w:type="dxa"/>
            <w:vAlign w:val="top"/>
          </w:tcPr>
          <w:p>
            <w:pPr>
              <w:pStyle w:val="6"/>
              <w:spacing w:before="94" w:line="186" w:lineRule="auto"/>
              <w:ind w:left="526"/>
            </w:pPr>
            <w:r>
              <w:rPr>
                <w:spacing w:val="-6"/>
              </w:rPr>
              <w:t>17.8</w:t>
            </w:r>
          </w:p>
        </w:tc>
        <w:tc>
          <w:tcPr>
            <w:tcW w:w="1395" w:type="dxa"/>
            <w:tcBorders>
              <w:right w:val="nil"/>
            </w:tcBorders>
            <w:vAlign w:val="top"/>
          </w:tcPr>
          <w:p>
            <w:pPr>
              <w:pStyle w:val="6"/>
              <w:spacing w:before="94" w:line="186" w:lineRule="auto"/>
              <w:ind w:left="533"/>
            </w:pPr>
            <w:r>
              <w:rPr>
                <w:spacing w:val="-6"/>
              </w:rPr>
              <w:t>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793" w:type="dxa"/>
            <w:tcBorders>
              <w:left w:val="nil"/>
            </w:tcBorders>
            <w:vAlign w:val="top"/>
          </w:tcPr>
          <w:p>
            <w:pPr>
              <w:pStyle w:val="6"/>
              <w:spacing w:before="79" w:line="204" w:lineRule="auto"/>
              <w:ind w:left="719"/>
              <w:rPr>
                <w:sz w:val="14"/>
                <w:szCs w:val="14"/>
              </w:rPr>
            </w:pPr>
            <w:r>
              <w:rPr>
                <w:spacing w:val="-2"/>
                <w:position w:val="-1"/>
              </w:rPr>
              <w:t>Ca</w:t>
            </w:r>
            <w:r>
              <w:rPr>
                <w:spacing w:val="-2"/>
                <w:position w:val="4"/>
                <w:sz w:val="14"/>
                <w:szCs w:val="14"/>
              </w:rPr>
              <w:t>2+</w:t>
            </w:r>
          </w:p>
        </w:tc>
        <w:tc>
          <w:tcPr>
            <w:tcW w:w="1583" w:type="dxa"/>
            <w:vAlign w:val="top"/>
          </w:tcPr>
          <w:p>
            <w:pPr>
              <w:pStyle w:val="6"/>
              <w:spacing w:before="97" w:line="186" w:lineRule="auto"/>
              <w:ind w:left="605"/>
            </w:pPr>
            <w:r>
              <w:rPr>
                <w:spacing w:val="-1"/>
              </w:rPr>
              <w:t>41.2</w:t>
            </w:r>
          </w:p>
        </w:tc>
        <w:tc>
          <w:tcPr>
            <w:tcW w:w="1369" w:type="dxa"/>
            <w:vAlign w:val="top"/>
          </w:tcPr>
          <w:p>
            <w:pPr>
              <w:pStyle w:val="6"/>
              <w:spacing w:before="97" w:line="186" w:lineRule="auto"/>
              <w:ind w:left="498"/>
            </w:pPr>
            <w:r>
              <w:rPr>
                <w:spacing w:val="-1"/>
              </w:rPr>
              <w:t>41.8</w:t>
            </w:r>
          </w:p>
        </w:tc>
        <w:tc>
          <w:tcPr>
            <w:tcW w:w="1201" w:type="dxa"/>
            <w:vAlign w:val="top"/>
          </w:tcPr>
          <w:p>
            <w:pPr>
              <w:pStyle w:val="6"/>
              <w:spacing w:before="97" w:line="186" w:lineRule="auto"/>
              <w:ind w:left="414"/>
            </w:pPr>
            <w:r>
              <w:rPr>
                <w:spacing w:val="-1"/>
              </w:rPr>
              <w:t>41.2</w:t>
            </w:r>
          </w:p>
        </w:tc>
        <w:tc>
          <w:tcPr>
            <w:tcW w:w="1396" w:type="dxa"/>
            <w:vAlign w:val="top"/>
          </w:tcPr>
          <w:p>
            <w:pPr>
              <w:pStyle w:val="6"/>
              <w:spacing w:before="97" w:line="186" w:lineRule="auto"/>
              <w:ind w:left="521"/>
            </w:pPr>
            <w:r>
              <w:rPr>
                <w:spacing w:val="-4"/>
              </w:rPr>
              <w:t>8.39</w:t>
            </w:r>
          </w:p>
        </w:tc>
        <w:tc>
          <w:tcPr>
            <w:tcW w:w="1156" w:type="dxa"/>
            <w:vAlign w:val="top"/>
          </w:tcPr>
          <w:p>
            <w:pPr>
              <w:pStyle w:val="6"/>
              <w:spacing w:before="97" w:line="186" w:lineRule="auto"/>
              <w:ind w:left="401"/>
            </w:pPr>
            <w:r>
              <w:rPr>
                <w:spacing w:val="-4"/>
              </w:rPr>
              <w:t>8.51</w:t>
            </w:r>
          </w:p>
        </w:tc>
        <w:tc>
          <w:tcPr>
            <w:tcW w:w="1343" w:type="dxa"/>
            <w:vAlign w:val="top"/>
          </w:tcPr>
          <w:p>
            <w:pPr>
              <w:pStyle w:val="6"/>
              <w:spacing w:before="97" w:line="186" w:lineRule="auto"/>
              <w:ind w:left="495"/>
            </w:pPr>
            <w:r>
              <w:rPr>
                <w:spacing w:val="-4"/>
              </w:rPr>
              <w:t>8.33</w:t>
            </w:r>
          </w:p>
        </w:tc>
        <w:tc>
          <w:tcPr>
            <w:tcW w:w="1356" w:type="dxa"/>
            <w:vAlign w:val="top"/>
          </w:tcPr>
          <w:p>
            <w:pPr>
              <w:pStyle w:val="6"/>
              <w:spacing w:before="97" w:line="186" w:lineRule="auto"/>
              <w:ind w:left="492"/>
            </w:pPr>
            <w:r>
              <w:rPr>
                <w:spacing w:val="-1"/>
              </w:rPr>
              <w:t>40.8</w:t>
            </w:r>
          </w:p>
        </w:tc>
        <w:tc>
          <w:tcPr>
            <w:tcW w:w="1382" w:type="dxa"/>
            <w:vAlign w:val="top"/>
          </w:tcPr>
          <w:p>
            <w:pPr>
              <w:pStyle w:val="6"/>
              <w:spacing w:before="97" w:line="186" w:lineRule="auto"/>
              <w:ind w:left="505"/>
            </w:pPr>
            <w:r>
              <w:rPr>
                <w:spacing w:val="-1"/>
              </w:rPr>
              <w:t>41.3</w:t>
            </w:r>
          </w:p>
        </w:tc>
        <w:tc>
          <w:tcPr>
            <w:tcW w:w="1395" w:type="dxa"/>
            <w:tcBorders>
              <w:right w:val="nil"/>
            </w:tcBorders>
            <w:vAlign w:val="top"/>
          </w:tcPr>
          <w:p>
            <w:pPr>
              <w:pStyle w:val="6"/>
              <w:spacing w:before="97" w:line="186" w:lineRule="auto"/>
              <w:ind w:left="512"/>
            </w:pPr>
            <w:r>
              <w:rPr>
                <w:spacing w:val="-1"/>
              </w:rPr>
              <w:t>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1793" w:type="dxa"/>
            <w:tcBorders>
              <w:left w:val="nil"/>
            </w:tcBorders>
            <w:vAlign w:val="top"/>
          </w:tcPr>
          <w:p>
            <w:pPr>
              <w:pStyle w:val="6"/>
              <w:spacing w:before="79" w:line="206" w:lineRule="auto"/>
              <w:ind w:left="721"/>
              <w:rPr>
                <w:sz w:val="14"/>
                <w:szCs w:val="14"/>
              </w:rPr>
            </w:pPr>
            <w:r>
              <w:rPr>
                <w:spacing w:val="-1"/>
                <w:position w:val="-1"/>
              </w:rPr>
              <w:t>Mg</w:t>
            </w:r>
            <w:r>
              <w:rPr>
                <w:spacing w:val="-1"/>
                <w:position w:val="5"/>
                <w:sz w:val="14"/>
                <w:szCs w:val="14"/>
              </w:rPr>
              <w:t>+</w:t>
            </w:r>
          </w:p>
        </w:tc>
        <w:tc>
          <w:tcPr>
            <w:tcW w:w="1583" w:type="dxa"/>
            <w:vAlign w:val="top"/>
          </w:tcPr>
          <w:p>
            <w:pPr>
              <w:pStyle w:val="6"/>
              <w:spacing w:before="99" w:line="186" w:lineRule="auto"/>
              <w:ind w:left="605"/>
            </w:pPr>
            <w:r>
              <w:rPr>
                <w:spacing w:val="-1"/>
              </w:rPr>
              <w:t>4.75</w:t>
            </w:r>
          </w:p>
        </w:tc>
        <w:tc>
          <w:tcPr>
            <w:tcW w:w="1369" w:type="dxa"/>
            <w:vAlign w:val="top"/>
          </w:tcPr>
          <w:p>
            <w:pPr>
              <w:pStyle w:val="6"/>
              <w:spacing w:before="99" w:line="186" w:lineRule="auto"/>
              <w:ind w:left="498"/>
            </w:pPr>
            <w:r>
              <w:rPr>
                <w:spacing w:val="-1"/>
              </w:rPr>
              <w:t>4.92</w:t>
            </w:r>
          </w:p>
        </w:tc>
        <w:tc>
          <w:tcPr>
            <w:tcW w:w="1201" w:type="dxa"/>
            <w:vAlign w:val="top"/>
          </w:tcPr>
          <w:p>
            <w:pPr>
              <w:pStyle w:val="6"/>
              <w:spacing w:before="99" w:line="186" w:lineRule="auto"/>
              <w:ind w:left="414"/>
            </w:pPr>
            <w:r>
              <w:rPr>
                <w:spacing w:val="-1"/>
              </w:rPr>
              <w:t>4.74</w:t>
            </w:r>
          </w:p>
        </w:tc>
        <w:tc>
          <w:tcPr>
            <w:tcW w:w="1396" w:type="dxa"/>
            <w:vAlign w:val="top"/>
          </w:tcPr>
          <w:p>
            <w:pPr>
              <w:pStyle w:val="6"/>
              <w:spacing w:before="99" w:line="186" w:lineRule="auto"/>
              <w:ind w:left="513"/>
            </w:pPr>
            <w:r>
              <w:rPr>
                <w:spacing w:val="-1"/>
              </w:rPr>
              <w:t>2.33</w:t>
            </w:r>
          </w:p>
        </w:tc>
        <w:tc>
          <w:tcPr>
            <w:tcW w:w="1156" w:type="dxa"/>
            <w:vAlign w:val="top"/>
          </w:tcPr>
          <w:p>
            <w:pPr>
              <w:pStyle w:val="6"/>
              <w:spacing w:before="99" w:line="186" w:lineRule="auto"/>
              <w:ind w:left="393"/>
            </w:pPr>
            <w:r>
              <w:rPr>
                <w:spacing w:val="-1"/>
              </w:rPr>
              <w:t>2.45</w:t>
            </w:r>
          </w:p>
        </w:tc>
        <w:tc>
          <w:tcPr>
            <w:tcW w:w="1343" w:type="dxa"/>
            <w:vAlign w:val="top"/>
          </w:tcPr>
          <w:p>
            <w:pPr>
              <w:pStyle w:val="6"/>
              <w:spacing w:before="99" w:line="186" w:lineRule="auto"/>
              <w:ind w:left="486"/>
            </w:pPr>
            <w:r>
              <w:rPr>
                <w:spacing w:val="-1"/>
              </w:rPr>
              <w:t>2.47</w:t>
            </w:r>
          </w:p>
        </w:tc>
        <w:tc>
          <w:tcPr>
            <w:tcW w:w="1356" w:type="dxa"/>
            <w:vAlign w:val="top"/>
          </w:tcPr>
          <w:p>
            <w:pPr>
              <w:pStyle w:val="6"/>
              <w:spacing w:before="99" w:line="186" w:lineRule="auto"/>
              <w:ind w:left="513"/>
            </w:pPr>
            <w:r>
              <w:rPr>
                <w:spacing w:val="-6"/>
              </w:rPr>
              <w:t>10.2</w:t>
            </w:r>
          </w:p>
        </w:tc>
        <w:tc>
          <w:tcPr>
            <w:tcW w:w="1382" w:type="dxa"/>
            <w:vAlign w:val="top"/>
          </w:tcPr>
          <w:p>
            <w:pPr>
              <w:pStyle w:val="6"/>
              <w:spacing w:before="99" w:line="186" w:lineRule="auto"/>
              <w:ind w:left="526"/>
            </w:pPr>
            <w:r>
              <w:rPr>
                <w:spacing w:val="-6"/>
              </w:rPr>
              <w:t>10.4</w:t>
            </w:r>
          </w:p>
        </w:tc>
        <w:tc>
          <w:tcPr>
            <w:tcW w:w="1395" w:type="dxa"/>
            <w:tcBorders>
              <w:right w:val="nil"/>
            </w:tcBorders>
            <w:vAlign w:val="top"/>
          </w:tcPr>
          <w:p>
            <w:pPr>
              <w:pStyle w:val="6"/>
              <w:spacing w:before="99" w:line="186" w:lineRule="auto"/>
              <w:ind w:left="533"/>
            </w:pPr>
            <w:r>
              <w:rPr>
                <w:spacing w:val="-6"/>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793" w:type="dxa"/>
            <w:tcBorders>
              <w:left w:val="nil"/>
            </w:tcBorders>
            <w:vAlign w:val="top"/>
          </w:tcPr>
          <w:p>
            <w:pPr>
              <w:pStyle w:val="6"/>
              <w:spacing w:before="85" w:line="198" w:lineRule="auto"/>
              <w:ind w:left="671"/>
              <w:rPr>
                <w:sz w:val="14"/>
                <w:szCs w:val="14"/>
              </w:rPr>
            </w:pPr>
            <w:r>
              <w:rPr>
                <w:spacing w:val="-2"/>
              </w:rPr>
              <w:t>CO</w:t>
            </w:r>
            <w:r>
              <w:rPr>
                <w:spacing w:val="-2"/>
                <w:position w:val="-2"/>
                <w:sz w:val="14"/>
                <w:szCs w:val="14"/>
              </w:rPr>
              <w:t>3</w:t>
            </w:r>
            <w:r>
              <w:rPr>
                <w:spacing w:val="-2"/>
                <w:position w:val="5"/>
                <w:sz w:val="14"/>
                <w:szCs w:val="14"/>
              </w:rPr>
              <w:t>2-</w:t>
            </w:r>
          </w:p>
        </w:tc>
        <w:tc>
          <w:tcPr>
            <w:tcW w:w="1583" w:type="dxa"/>
            <w:vAlign w:val="top"/>
          </w:tcPr>
          <w:p>
            <w:pPr>
              <w:pStyle w:val="6"/>
              <w:spacing w:before="105" w:line="183" w:lineRule="auto"/>
              <w:ind w:left="679"/>
            </w:pPr>
            <w:r>
              <w:rPr>
                <w:spacing w:val="-3"/>
              </w:rPr>
              <w:t>5L</w:t>
            </w:r>
          </w:p>
        </w:tc>
        <w:tc>
          <w:tcPr>
            <w:tcW w:w="1369" w:type="dxa"/>
            <w:vAlign w:val="top"/>
          </w:tcPr>
          <w:p>
            <w:pPr>
              <w:pStyle w:val="6"/>
              <w:spacing w:before="105" w:line="183" w:lineRule="auto"/>
              <w:ind w:left="572"/>
            </w:pPr>
            <w:r>
              <w:rPr>
                <w:spacing w:val="-3"/>
              </w:rPr>
              <w:t>5L</w:t>
            </w:r>
          </w:p>
        </w:tc>
        <w:tc>
          <w:tcPr>
            <w:tcW w:w="1201" w:type="dxa"/>
            <w:vAlign w:val="top"/>
          </w:tcPr>
          <w:p>
            <w:pPr>
              <w:pStyle w:val="6"/>
              <w:spacing w:before="105" w:line="183" w:lineRule="auto"/>
              <w:ind w:left="488"/>
            </w:pPr>
            <w:r>
              <w:rPr>
                <w:spacing w:val="-3"/>
              </w:rPr>
              <w:t>5L</w:t>
            </w:r>
          </w:p>
        </w:tc>
        <w:tc>
          <w:tcPr>
            <w:tcW w:w="1396" w:type="dxa"/>
            <w:vAlign w:val="top"/>
          </w:tcPr>
          <w:p>
            <w:pPr>
              <w:pStyle w:val="6"/>
              <w:spacing w:before="105" w:line="183" w:lineRule="auto"/>
              <w:ind w:left="586"/>
            </w:pPr>
            <w:r>
              <w:rPr>
                <w:spacing w:val="-3"/>
              </w:rPr>
              <w:t>5L</w:t>
            </w:r>
          </w:p>
        </w:tc>
        <w:tc>
          <w:tcPr>
            <w:tcW w:w="1156" w:type="dxa"/>
            <w:vAlign w:val="top"/>
          </w:tcPr>
          <w:p>
            <w:pPr>
              <w:pStyle w:val="6"/>
              <w:spacing w:before="105" w:line="183" w:lineRule="auto"/>
              <w:ind w:left="466"/>
            </w:pPr>
            <w:r>
              <w:rPr>
                <w:spacing w:val="-3"/>
              </w:rPr>
              <w:t>5L</w:t>
            </w:r>
          </w:p>
        </w:tc>
        <w:tc>
          <w:tcPr>
            <w:tcW w:w="1343" w:type="dxa"/>
            <w:vAlign w:val="top"/>
          </w:tcPr>
          <w:p>
            <w:pPr>
              <w:pStyle w:val="6"/>
              <w:spacing w:before="105" w:line="183" w:lineRule="auto"/>
              <w:ind w:left="559"/>
            </w:pPr>
            <w:r>
              <w:rPr>
                <w:spacing w:val="-3"/>
              </w:rPr>
              <w:t>5L</w:t>
            </w:r>
          </w:p>
        </w:tc>
        <w:tc>
          <w:tcPr>
            <w:tcW w:w="1356" w:type="dxa"/>
            <w:vAlign w:val="top"/>
          </w:tcPr>
          <w:p>
            <w:pPr>
              <w:pStyle w:val="6"/>
              <w:spacing w:before="105" w:line="183" w:lineRule="auto"/>
              <w:ind w:left="566"/>
            </w:pPr>
            <w:r>
              <w:rPr>
                <w:spacing w:val="-3"/>
              </w:rPr>
              <w:t>5L</w:t>
            </w:r>
          </w:p>
        </w:tc>
        <w:tc>
          <w:tcPr>
            <w:tcW w:w="1382" w:type="dxa"/>
            <w:vAlign w:val="top"/>
          </w:tcPr>
          <w:p>
            <w:pPr>
              <w:pStyle w:val="6"/>
              <w:spacing w:before="105" w:line="183" w:lineRule="auto"/>
              <w:ind w:left="579"/>
            </w:pPr>
            <w:r>
              <w:rPr>
                <w:spacing w:val="-3"/>
              </w:rPr>
              <w:t>5L</w:t>
            </w:r>
          </w:p>
        </w:tc>
        <w:tc>
          <w:tcPr>
            <w:tcW w:w="1395" w:type="dxa"/>
            <w:tcBorders>
              <w:right w:val="nil"/>
            </w:tcBorders>
            <w:vAlign w:val="top"/>
          </w:tcPr>
          <w:p>
            <w:pPr>
              <w:pStyle w:val="6"/>
              <w:spacing w:before="105" w:line="183" w:lineRule="auto"/>
              <w:ind w:left="586"/>
            </w:pPr>
            <w:r>
              <w:rPr>
                <w:spacing w:val="-3"/>
              </w:rPr>
              <w:t>5L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1793" w:type="dxa"/>
            <w:tcBorders>
              <w:left w:val="nil"/>
            </w:tcBorders>
            <w:vAlign w:val="top"/>
          </w:tcPr>
          <w:p>
            <w:pPr>
              <w:pStyle w:val="6"/>
              <w:spacing w:before="103" w:line="191" w:lineRule="auto"/>
              <w:ind w:left="626"/>
              <w:rPr>
                <w:sz w:val="14"/>
                <w:szCs w:val="14"/>
              </w:rPr>
            </w:pPr>
            <w:r>
              <w:rPr>
                <w:spacing w:val="-1"/>
              </w:rPr>
              <w:t>HCO</w:t>
            </w:r>
            <w:r>
              <w:rPr>
                <w:spacing w:val="-1"/>
                <w:position w:val="-1"/>
                <w:sz w:val="14"/>
                <w:szCs w:val="14"/>
              </w:rPr>
              <w:t>3</w:t>
            </w:r>
            <w:r>
              <w:rPr>
                <w:spacing w:val="-1"/>
                <w:position w:val="6"/>
                <w:sz w:val="14"/>
                <w:szCs w:val="14"/>
              </w:rPr>
              <w:t>-</w:t>
            </w:r>
          </w:p>
        </w:tc>
        <w:tc>
          <w:tcPr>
            <w:tcW w:w="1583" w:type="dxa"/>
            <w:vAlign w:val="top"/>
          </w:tcPr>
          <w:p>
            <w:pPr>
              <w:pStyle w:val="6"/>
              <w:spacing w:before="104" w:line="186" w:lineRule="auto"/>
              <w:ind w:left="653"/>
            </w:pPr>
            <w:r>
              <w:rPr>
                <w:spacing w:val="-6"/>
              </w:rPr>
              <w:t>171</w:t>
            </w:r>
          </w:p>
        </w:tc>
        <w:tc>
          <w:tcPr>
            <w:tcW w:w="1369" w:type="dxa"/>
            <w:vAlign w:val="top"/>
          </w:tcPr>
          <w:p>
            <w:pPr>
              <w:pStyle w:val="6"/>
              <w:spacing w:before="104" w:line="186" w:lineRule="auto"/>
              <w:ind w:left="546"/>
            </w:pPr>
            <w:r>
              <w:rPr>
                <w:spacing w:val="-6"/>
              </w:rPr>
              <w:t>161</w:t>
            </w:r>
          </w:p>
        </w:tc>
        <w:tc>
          <w:tcPr>
            <w:tcW w:w="1201" w:type="dxa"/>
            <w:vAlign w:val="top"/>
          </w:tcPr>
          <w:p>
            <w:pPr>
              <w:pStyle w:val="6"/>
              <w:spacing w:before="104" w:line="186" w:lineRule="auto"/>
              <w:ind w:left="462"/>
            </w:pPr>
            <w:r>
              <w:rPr>
                <w:spacing w:val="-6"/>
              </w:rPr>
              <w:t>169</w:t>
            </w:r>
          </w:p>
        </w:tc>
        <w:tc>
          <w:tcPr>
            <w:tcW w:w="1396" w:type="dxa"/>
            <w:vAlign w:val="top"/>
          </w:tcPr>
          <w:p>
            <w:pPr>
              <w:pStyle w:val="6"/>
              <w:spacing w:before="104" w:line="186" w:lineRule="auto"/>
              <w:ind w:left="591"/>
            </w:pPr>
            <w:r>
              <w:rPr>
                <w:spacing w:val="-1"/>
              </w:rPr>
              <w:t>42</w:t>
            </w:r>
          </w:p>
        </w:tc>
        <w:tc>
          <w:tcPr>
            <w:tcW w:w="1156" w:type="dxa"/>
            <w:vAlign w:val="top"/>
          </w:tcPr>
          <w:p>
            <w:pPr>
              <w:pStyle w:val="6"/>
              <w:spacing w:before="104" w:line="186" w:lineRule="auto"/>
              <w:ind w:left="471"/>
            </w:pPr>
            <w:r>
              <w:rPr>
                <w:spacing w:val="-1"/>
              </w:rPr>
              <w:t>46</w:t>
            </w:r>
          </w:p>
        </w:tc>
        <w:tc>
          <w:tcPr>
            <w:tcW w:w="1343" w:type="dxa"/>
            <w:vAlign w:val="top"/>
          </w:tcPr>
          <w:p>
            <w:pPr>
              <w:pStyle w:val="6"/>
              <w:spacing w:before="104" w:line="186" w:lineRule="auto"/>
              <w:ind w:left="563"/>
            </w:pPr>
            <w:r>
              <w:rPr>
                <w:spacing w:val="-1"/>
              </w:rPr>
              <w:t>45</w:t>
            </w:r>
          </w:p>
        </w:tc>
        <w:tc>
          <w:tcPr>
            <w:tcW w:w="1356" w:type="dxa"/>
            <w:vAlign w:val="top"/>
          </w:tcPr>
          <w:p>
            <w:pPr>
              <w:pStyle w:val="6"/>
              <w:spacing w:before="104" w:line="186" w:lineRule="auto"/>
              <w:ind w:left="540"/>
            </w:pPr>
            <w:r>
              <w:rPr>
                <w:spacing w:val="-6"/>
              </w:rPr>
              <w:t>176</w:t>
            </w:r>
          </w:p>
        </w:tc>
        <w:tc>
          <w:tcPr>
            <w:tcW w:w="1382" w:type="dxa"/>
            <w:vAlign w:val="top"/>
          </w:tcPr>
          <w:p>
            <w:pPr>
              <w:pStyle w:val="6"/>
              <w:spacing w:before="104" w:line="186" w:lineRule="auto"/>
              <w:ind w:left="553"/>
            </w:pPr>
            <w:r>
              <w:rPr>
                <w:spacing w:val="-6"/>
              </w:rPr>
              <w:t>167</w:t>
            </w:r>
          </w:p>
        </w:tc>
        <w:tc>
          <w:tcPr>
            <w:tcW w:w="1395" w:type="dxa"/>
            <w:tcBorders>
              <w:right w:val="nil"/>
            </w:tcBorders>
            <w:vAlign w:val="top"/>
          </w:tcPr>
          <w:p>
            <w:pPr>
              <w:pStyle w:val="6"/>
              <w:spacing w:before="104" w:line="186" w:lineRule="auto"/>
              <w:ind w:left="560"/>
            </w:pPr>
            <w:r>
              <w:rPr>
                <w:spacing w:val="-6"/>
              </w:rPr>
              <w:t>161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793" w:type="dxa"/>
            <w:tcBorders>
              <w:left w:val="nil"/>
            </w:tcBorders>
            <w:vAlign w:val="top"/>
          </w:tcPr>
          <w:p>
            <w:pPr>
              <w:pStyle w:val="6"/>
              <w:spacing w:before="104" w:line="190" w:lineRule="auto"/>
              <w:ind w:left="788"/>
              <w:rPr>
                <w:sz w:val="14"/>
                <w:szCs w:val="14"/>
              </w:rPr>
            </w:pPr>
            <w:r>
              <w:rPr>
                <w:spacing w:val="-3"/>
              </w:rPr>
              <w:t>Cl</w:t>
            </w:r>
            <w:r>
              <w:rPr>
                <w:spacing w:val="-3"/>
                <w:position w:val="6"/>
                <w:sz w:val="14"/>
                <w:szCs w:val="14"/>
              </w:rPr>
              <w:t>-</w:t>
            </w:r>
          </w:p>
        </w:tc>
        <w:tc>
          <w:tcPr>
            <w:tcW w:w="1583" w:type="dxa"/>
            <w:vAlign w:val="top"/>
          </w:tcPr>
          <w:p>
            <w:pPr>
              <w:pStyle w:val="6"/>
              <w:spacing w:before="108" w:line="186" w:lineRule="auto"/>
              <w:ind w:left="626"/>
            </w:pPr>
            <w:r>
              <w:rPr>
                <w:spacing w:val="-6"/>
              </w:rPr>
              <w:t>1.46</w:t>
            </w:r>
          </w:p>
        </w:tc>
        <w:tc>
          <w:tcPr>
            <w:tcW w:w="1369" w:type="dxa"/>
            <w:vAlign w:val="top"/>
          </w:tcPr>
          <w:p>
            <w:pPr>
              <w:pStyle w:val="6"/>
              <w:spacing w:before="108" w:line="186" w:lineRule="auto"/>
              <w:ind w:left="519"/>
            </w:pPr>
            <w:r>
              <w:rPr>
                <w:spacing w:val="-6"/>
              </w:rPr>
              <w:t>1.47</w:t>
            </w:r>
          </w:p>
        </w:tc>
        <w:tc>
          <w:tcPr>
            <w:tcW w:w="1201" w:type="dxa"/>
            <w:vAlign w:val="top"/>
          </w:tcPr>
          <w:p>
            <w:pPr>
              <w:pStyle w:val="6"/>
              <w:spacing w:before="108" w:line="186" w:lineRule="auto"/>
              <w:ind w:left="436"/>
            </w:pPr>
            <w:r>
              <w:rPr>
                <w:spacing w:val="-6"/>
              </w:rPr>
              <w:t>1.46</w:t>
            </w:r>
          </w:p>
        </w:tc>
        <w:tc>
          <w:tcPr>
            <w:tcW w:w="1396" w:type="dxa"/>
            <w:vAlign w:val="top"/>
          </w:tcPr>
          <w:p>
            <w:pPr>
              <w:pStyle w:val="6"/>
              <w:spacing w:before="108" w:line="186" w:lineRule="auto"/>
              <w:ind w:left="513"/>
            </w:pPr>
            <w:r>
              <w:rPr>
                <w:spacing w:val="-1"/>
              </w:rPr>
              <w:t>2.03</w:t>
            </w:r>
          </w:p>
        </w:tc>
        <w:tc>
          <w:tcPr>
            <w:tcW w:w="1156" w:type="dxa"/>
            <w:vAlign w:val="top"/>
          </w:tcPr>
          <w:p>
            <w:pPr>
              <w:pStyle w:val="6"/>
              <w:spacing w:before="108" w:line="186" w:lineRule="auto"/>
              <w:ind w:left="393"/>
            </w:pPr>
            <w:r>
              <w:rPr>
                <w:spacing w:val="-1"/>
              </w:rPr>
              <w:t>2.02</w:t>
            </w:r>
          </w:p>
        </w:tc>
        <w:tc>
          <w:tcPr>
            <w:tcW w:w="1343" w:type="dxa"/>
            <w:vAlign w:val="top"/>
          </w:tcPr>
          <w:p>
            <w:pPr>
              <w:pStyle w:val="6"/>
              <w:spacing w:before="108" w:line="186" w:lineRule="auto"/>
              <w:ind w:left="486"/>
            </w:pPr>
            <w:r>
              <w:rPr>
                <w:spacing w:val="-1"/>
              </w:rPr>
              <w:t>2.03</w:t>
            </w:r>
          </w:p>
        </w:tc>
        <w:tc>
          <w:tcPr>
            <w:tcW w:w="1356" w:type="dxa"/>
            <w:vAlign w:val="top"/>
          </w:tcPr>
          <w:p>
            <w:pPr>
              <w:pStyle w:val="6"/>
              <w:spacing w:before="108" w:line="186" w:lineRule="auto"/>
              <w:ind w:left="513"/>
            </w:pPr>
            <w:r>
              <w:rPr>
                <w:spacing w:val="-6"/>
              </w:rPr>
              <w:t>1.91</w:t>
            </w:r>
          </w:p>
        </w:tc>
        <w:tc>
          <w:tcPr>
            <w:tcW w:w="1382" w:type="dxa"/>
            <w:vAlign w:val="top"/>
          </w:tcPr>
          <w:p>
            <w:pPr>
              <w:pStyle w:val="6"/>
              <w:spacing w:before="108" w:line="186" w:lineRule="auto"/>
              <w:ind w:left="526"/>
            </w:pPr>
            <w:r>
              <w:rPr>
                <w:spacing w:val="-6"/>
              </w:rPr>
              <w:t>1.92</w:t>
            </w:r>
          </w:p>
        </w:tc>
        <w:tc>
          <w:tcPr>
            <w:tcW w:w="1395" w:type="dxa"/>
            <w:tcBorders>
              <w:right w:val="nil"/>
            </w:tcBorders>
            <w:vAlign w:val="top"/>
          </w:tcPr>
          <w:p>
            <w:pPr>
              <w:pStyle w:val="6"/>
              <w:spacing w:before="108" w:line="186" w:lineRule="auto"/>
              <w:ind w:left="533"/>
            </w:pPr>
            <w:r>
              <w:rPr>
                <w:spacing w:val="-6"/>
              </w:rPr>
              <w:t>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1793" w:type="dxa"/>
            <w:tcBorders>
              <w:left w:val="nil"/>
            </w:tcBorders>
            <w:vAlign w:val="top"/>
          </w:tcPr>
          <w:p>
            <w:pPr>
              <w:pStyle w:val="6"/>
              <w:spacing w:before="92" w:line="198" w:lineRule="auto"/>
              <w:ind w:left="688"/>
              <w:rPr>
                <w:sz w:val="14"/>
                <w:szCs w:val="14"/>
              </w:rPr>
            </w:pPr>
            <w:r>
              <w:rPr>
                <w:spacing w:val="-3"/>
              </w:rPr>
              <w:t>SO</w:t>
            </w:r>
            <w:r>
              <w:rPr>
                <w:spacing w:val="-3"/>
                <w:position w:val="-2"/>
                <w:sz w:val="14"/>
                <w:szCs w:val="14"/>
              </w:rPr>
              <w:t>4</w:t>
            </w:r>
            <w:r>
              <w:rPr>
                <w:spacing w:val="-3"/>
                <w:position w:val="5"/>
                <w:sz w:val="14"/>
                <w:szCs w:val="14"/>
              </w:rPr>
              <w:t>2-</w:t>
            </w:r>
          </w:p>
        </w:tc>
        <w:tc>
          <w:tcPr>
            <w:tcW w:w="1583" w:type="dxa"/>
            <w:vAlign w:val="top"/>
          </w:tcPr>
          <w:p>
            <w:pPr>
              <w:pStyle w:val="6"/>
              <w:spacing w:before="109" w:line="186" w:lineRule="auto"/>
              <w:ind w:left="626"/>
            </w:pPr>
            <w:r>
              <w:rPr>
                <w:spacing w:val="-6"/>
              </w:rPr>
              <w:t>13.6</w:t>
            </w:r>
          </w:p>
        </w:tc>
        <w:tc>
          <w:tcPr>
            <w:tcW w:w="1369" w:type="dxa"/>
            <w:vAlign w:val="top"/>
          </w:tcPr>
          <w:p>
            <w:pPr>
              <w:pStyle w:val="6"/>
              <w:spacing w:before="109" w:line="186" w:lineRule="auto"/>
              <w:ind w:left="519"/>
            </w:pPr>
            <w:r>
              <w:rPr>
                <w:spacing w:val="-6"/>
              </w:rPr>
              <w:t>13.7</w:t>
            </w:r>
          </w:p>
        </w:tc>
        <w:tc>
          <w:tcPr>
            <w:tcW w:w="1201" w:type="dxa"/>
            <w:vAlign w:val="top"/>
          </w:tcPr>
          <w:p>
            <w:pPr>
              <w:pStyle w:val="6"/>
              <w:spacing w:before="109" w:line="186" w:lineRule="auto"/>
              <w:ind w:left="436"/>
            </w:pPr>
            <w:r>
              <w:rPr>
                <w:spacing w:val="-6"/>
              </w:rPr>
              <w:t>13.8</w:t>
            </w:r>
          </w:p>
        </w:tc>
        <w:tc>
          <w:tcPr>
            <w:tcW w:w="1396" w:type="dxa"/>
            <w:vAlign w:val="top"/>
          </w:tcPr>
          <w:p>
            <w:pPr>
              <w:pStyle w:val="6"/>
              <w:spacing w:before="109" w:line="186" w:lineRule="auto"/>
              <w:ind w:left="533"/>
            </w:pPr>
            <w:r>
              <w:rPr>
                <w:spacing w:val="-6"/>
              </w:rPr>
              <w:t>12.0</w:t>
            </w:r>
          </w:p>
        </w:tc>
        <w:tc>
          <w:tcPr>
            <w:tcW w:w="1156" w:type="dxa"/>
            <w:vAlign w:val="top"/>
          </w:tcPr>
          <w:p>
            <w:pPr>
              <w:pStyle w:val="6"/>
              <w:spacing w:before="109" w:line="186" w:lineRule="auto"/>
              <w:ind w:left="413"/>
            </w:pPr>
            <w:r>
              <w:rPr>
                <w:spacing w:val="-6"/>
              </w:rPr>
              <w:t>12.0</w:t>
            </w:r>
          </w:p>
        </w:tc>
        <w:tc>
          <w:tcPr>
            <w:tcW w:w="1343" w:type="dxa"/>
            <w:vAlign w:val="top"/>
          </w:tcPr>
          <w:p>
            <w:pPr>
              <w:pStyle w:val="6"/>
              <w:spacing w:before="109" w:line="186" w:lineRule="auto"/>
              <w:ind w:left="506"/>
            </w:pPr>
            <w:r>
              <w:rPr>
                <w:spacing w:val="-6"/>
              </w:rPr>
              <w:t>12.0</w:t>
            </w:r>
          </w:p>
        </w:tc>
        <w:tc>
          <w:tcPr>
            <w:tcW w:w="1356" w:type="dxa"/>
            <w:vAlign w:val="top"/>
          </w:tcPr>
          <w:p>
            <w:pPr>
              <w:pStyle w:val="6"/>
              <w:spacing w:before="109" w:line="186" w:lineRule="auto"/>
              <w:ind w:left="492"/>
            </w:pPr>
            <w:r>
              <w:rPr>
                <w:spacing w:val="-1"/>
              </w:rPr>
              <w:t>48.4</w:t>
            </w:r>
          </w:p>
        </w:tc>
        <w:tc>
          <w:tcPr>
            <w:tcW w:w="1382" w:type="dxa"/>
            <w:vAlign w:val="top"/>
          </w:tcPr>
          <w:p>
            <w:pPr>
              <w:pStyle w:val="6"/>
              <w:spacing w:before="109" w:line="186" w:lineRule="auto"/>
              <w:ind w:left="505"/>
            </w:pPr>
            <w:r>
              <w:rPr>
                <w:spacing w:val="-1"/>
              </w:rPr>
              <w:t>48.5</w:t>
            </w:r>
          </w:p>
        </w:tc>
        <w:tc>
          <w:tcPr>
            <w:tcW w:w="1395" w:type="dxa"/>
            <w:tcBorders>
              <w:right w:val="nil"/>
            </w:tcBorders>
            <w:vAlign w:val="top"/>
          </w:tcPr>
          <w:p>
            <w:pPr>
              <w:pStyle w:val="6"/>
              <w:spacing w:before="109" w:line="186" w:lineRule="auto"/>
              <w:ind w:left="512"/>
            </w:pPr>
            <w:r>
              <w:rPr>
                <w:spacing w:val="-1"/>
              </w:rPr>
              <w:t>48.5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793" w:type="dxa"/>
            <w:tcBorders>
              <w:left w:val="nil"/>
            </w:tcBorders>
            <w:vAlign w:val="top"/>
          </w:tcPr>
          <w:p>
            <w:pPr>
              <w:pStyle w:val="6"/>
              <w:spacing w:before="75" w:line="217" w:lineRule="auto"/>
              <w:ind w:left="407"/>
            </w:pPr>
            <w:r>
              <w:rPr>
                <w:rFonts w:ascii="仿宋" w:hAnsi="仿宋" w:eastAsia="仿宋" w:cs="仿宋"/>
                <w:spacing w:val="-4"/>
              </w:rPr>
              <w:t>相对误差</w:t>
            </w:r>
            <w:r>
              <w:rPr>
                <w:rFonts w:ascii="仿宋" w:hAnsi="仿宋" w:eastAsia="仿宋" w:cs="仿宋"/>
                <w:spacing w:val="-45"/>
              </w:rPr>
              <w:t xml:space="preserve"> </w:t>
            </w:r>
            <w:r>
              <w:rPr>
                <w:spacing w:val="-4"/>
              </w:rPr>
              <w:t>E</w:t>
            </w:r>
          </w:p>
          <w:p>
            <w:pPr>
              <w:pStyle w:val="6"/>
              <w:spacing w:before="64" w:line="202" w:lineRule="auto"/>
              <w:ind w:left="619"/>
              <w:rPr>
                <w:rFonts w:ascii="仿宋" w:hAnsi="仿宋" w:eastAsia="仿宋" w:cs="仿宋"/>
              </w:rPr>
            </w:pPr>
            <w:r>
              <w:rPr>
                <w:rFonts w:ascii="仿宋" w:hAnsi="仿宋" w:eastAsia="仿宋" w:cs="仿宋"/>
                <w:spacing w:val="-5"/>
              </w:rPr>
              <w:t>（</w:t>
            </w:r>
            <w:r>
              <w:rPr>
                <w:spacing w:val="-5"/>
              </w:rPr>
              <w:t>%</w:t>
            </w:r>
            <w:r>
              <w:rPr>
                <w:rFonts w:ascii="仿宋" w:hAnsi="仿宋" w:eastAsia="仿宋" w:cs="仿宋"/>
                <w:spacing w:val="-5"/>
              </w:rPr>
              <w:t>）</w:t>
            </w:r>
          </w:p>
        </w:tc>
        <w:tc>
          <w:tcPr>
            <w:tcW w:w="1583" w:type="dxa"/>
            <w:vAlign w:val="top"/>
          </w:tcPr>
          <w:p>
            <w:pPr>
              <w:pStyle w:val="6"/>
              <w:spacing w:before="269" w:line="186" w:lineRule="auto"/>
              <w:ind w:left="611"/>
            </w:pPr>
            <w:r>
              <w:rPr>
                <w:spacing w:val="-2"/>
              </w:rPr>
              <w:t>3.06</w:t>
            </w:r>
          </w:p>
        </w:tc>
        <w:tc>
          <w:tcPr>
            <w:tcW w:w="1369" w:type="dxa"/>
            <w:vAlign w:val="top"/>
          </w:tcPr>
          <w:p>
            <w:pPr>
              <w:pStyle w:val="6"/>
              <w:spacing w:before="269" w:line="186" w:lineRule="auto"/>
              <w:ind w:left="416"/>
            </w:pPr>
            <w:r>
              <w:rPr>
                <w:spacing w:val="-2"/>
              </w:rPr>
              <w:t>-0.256</w:t>
            </w:r>
          </w:p>
        </w:tc>
        <w:tc>
          <w:tcPr>
            <w:tcW w:w="1201" w:type="dxa"/>
            <w:vAlign w:val="top"/>
          </w:tcPr>
          <w:p>
            <w:pPr>
              <w:pStyle w:val="6"/>
              <w:spacing w:before="269" w:line="186" w:lineRule="auto"/>
              <w:ind w:left="416"/>
            </w:pPr>
            <w:r>
              <w:rPr>
                <w:spacing w:val="-1"/>
              </w:rPr>
              <w:t>2.61</w:t>
            </w:r>
          </w:p>
        </w:tc>
        <w:tc>
          <w:tcPr>
            <w:tcW w:w="1396" w:type="dxa"/>
            <w:vAlign w:val="top"/>
          </w:tcPr>
          <w:p>
            <w:pPr>
              <w:pStyle w:val="6"/>
              <w:spacing w:before="269" w:line="186" w:lineRule="auto"/>
              <w:ind w:left="430"/>
            </w:pPr>
            <w:r>
              <w:rPr>
                <w:spacing w:val="-2"/>
              </w:rPr>
              <w:t>-0.126</w:t>
            </w:r>
          </w:p>
        </w:tc>
        <w:tc>
          <w:tcPr>
            <w:tcW w:w="1156" w:type="dxa"/>
            <w:vAlign w:val="top"/>
          </w:tcPr>
          <w:p>
            <w:pPr>
              <w:pStyle w:val="6"/>
              <w:spacing w:before="269" w:line="186" w:lineRule="auto"/>
              <w:ind w:left="413"/>
            </w:pPr>
            <w:r>
              <w:rPr>
                <w:spacing w:val="-6"/>
              </w:rPr>
              <w:t>1.48</w:t>
            </w:r>
          </w:p>
        </w:tc>
        <w:tc>
          <w:tcPr>
            <w:tcW w:w="1343" w:type="dxa"/>
            <w:vAlign w:val="top"/>
          </w:tcPr>
          <w:p>
            <w:pPr>
              <w:pStyle w:val="6"/>
              <w:spacing w:before="269" w:line="186" w:lineRule="auto"/>
              <w:ind w:left="506"/>
            </w:pPr>
            <w:r>
              <w:rPr>
                <w:spacing w:val="-6"/>
              </w:rPr>
              <w:t>1.44</w:t>
            </w:r>
          </w:p>
        </w:tc>
        <w:tc>
          <w:tcPr>
            <w:tcW w:w="1356" w:type="dxa"/>
            <w:vAlign w:val="top"/>
          </w:tcPr>
          <w:p>
            <w:pPr>
              <w:pStyle w:val="6"/>
              <w:spacing w:before="269" w:line="186" w:lineRule="auto"/>
              <w:ind w:left="497"/>
            </w:pPr>
            <w:r>
              <w:rPr>
                <w:spacing w:val="-3"/>
              </w:rPr>
              <w:t>3.57</w:t>
            </w:r>
          </w:p>
        </w:tc>
        <w:tc>
          <w:tcPr>
            <w:tcW w:w="1382" w:type="dxa"/>
            <w:vAlign w:val="top"/>
          </w:tcPr>
          <w:p>
            <w:pPr>
              <w:pStyle w:val="6"/>
              <w:spacing w:before="269" w:line="186" w:lineRule="auto"/>
              <w:ind w:left="457"/>
            </w:pPr>
            <w:r>
              <w:rPr>
                <w:spacing w:val="-2"/>
              </w:rPr>
              <w:t>0.911</w:t>
            </w:r>
          </w:p>
        </w:tc>
        <w:tc>
          <w:tcPr>
            <w:tcW w:w="1395" w:type="dxa"/>
            <w:tcBorders>
              <w:right w:val="nil"/>
            </w:tcBorders>
            <w:vAlign w:val="top"/>
          </w:tcPr>
          <w:p>
            <w:pPr>
              <w:pStyle w:val="6"/>
              <w:spacing w:before="269" w:line="186" w:lineRule="auto"/>
              <w:ind w:left="430"/>
            </w:pPr>
            <w:r>
              <w:rPr>
                <w:spacing w:val="-2"/>
              </w:rPr>
              <w:t>-0.378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7" w:hRule="atLeast"/>
        </w:trPr>
        <w:tc>
          <w:tcPr>
            <w:tcW w:w="1793" w:type="dxa"/>
            <w:tcBorders>
              <w:left w:val="nil"/>
              <w:bottom w:val="single" w:color="000000" w:sz="12" w:space="0"/>
            </w:tcBorders>
            <w:vAlign w:val="top"/>
          </w:tcPr>
          <w:p>
            <w:pPr>
              <w:spacing w:before="77" w:line="218" w:lineRule="auto"/>
              <w:ind w:left="501"/>
              <w:rPr>
                <w:rFonts w:ascii="仿宋" w:hAnsi="仿宋" w:eastAsia="仿宋" w:cs="仿宋"/>
                <w:sz w:val="21"/>
                <w:szCs w:val="21"/>
              </w:rPr>
            </w:pPr>
            <w:r>
              <w:rPr>
                <w:rFonts w:ascii="仿宋" w:hAnsi="仿宋" w:eastAsia="仿宋" w:cs="仿宋"/>
                <w:spacing w:val="-4"/>
                <w:sz w:val="21"/>
                <w:szCs w:val="21"/>
              </w:rPr>
              <w:t>结果判定</w:t>
            </w:r>
          </w:p>
        </w:tc>
        <w:tc>
          <w:tcPr>
            <w:tcW w:w="1583" w:type="dxa"/>
            <w:tcBorders>
              <w:bottom w:val="single" w:color="000000" w:sz="12" w:space="0"/>
            </w:tcBorders>
            <w:vAlign w:val="top"/>
          </w:tcPr>
          <w:p>
            <w:pPr>
              <w:spacing w:before="76" w:line="217" w:lineRule="auto"/>
              <w:ind w:left="594"/>
              <w:rPr>
                <w:rFonts w:ascii="仿宋" w:hAnsi="仿宋" w:eastAsia="仿宋" w:cs="仿宋"/>
                <w:sz w:val="21"/>
                <w:szCs w:val="21"/>
              </w:rPr>
            </w:pPr>
            <w:r>
              <w:rPr>
                <w:rFonts w:ascii="仿宋" w:hAnsi="仿宋" w:eastAsia="仿宋" w:cs="仿宋"/>
                <w:spacing w:val="-5"/>
                <w:sz w:val="21"/>
                <w:szCs w:val="21"/>
              </w:rPr>
              <w:t>符合</w:t>
            </w:r>
          </w:p>
        </w:tc>
        <w:tc>
          <w:tcPr>
            <w:tcW w:w="1369" w:type="dxa"/>
            <w:tcBorders>
              <w:bottom w:val="single" w:color="000000" w:sz="12" w:space="0"/>
            </w:tcBorders>
            <w:vAlign w:val="top"/>
          </w:tcPr>
          <w:p>
            <w:pPr>
              <w:spacing w:before="76" w:line="217" w:lineRule="auto"/>
              <w:ind w:left="487"/>
              <w:rPr>
                <w:rFonts w:ascii="仿宋" w:hAnsi="仿宋" w:eastAsia="仿宋" w:cs="仿宋"/>
                <w:sz w:val="21"/>
                <w:szCs w:val="21"/>
              </w:rPr>
            </w:pPr>
            <w:r>
              <w:rPr>
                <w:rFonts w:ascii="仿宋" w:hAnsi="仿宋" w:eastAsia="仿宋" w:cs="仿宋"/>
                <w:spacing w:val="-5"/>
                <w:sz w:val="21"/>
                <w:szCs w:val="21"/>
              </w:rPr>
              <w:t>符合</w:t>
            </w:r>
          </w:p>
        </w:tc>
        <w:tc>
          <w:tcPr>
            <w:tcW w:w="1201" w:type="dxa"/>
            <w:tcBorders>
              <w:bottom w:val="single" w:color="000000" w:sz="12" w:space="0"/>
            </w:tcBorders>
            <w:vAlign w:val="top"/>
          </w:tcPr>
          <w:p>
            <w:pPr>
              <w:spacing w:before="76" w:line="217" w:lineRule="auto"/>
              <w:ind w:left="404"/>
              <w:rPr>
                <w:rFonts w:ascii="仿宋" w:hAnsi="仿宋" w:eastAsia="仿宋" w:cs="仿宋"/>
                <w:sz w:val="21"/>
                <w:szCs w:val="21"/>
              </w:rPr>
            </w:pPr>
            <w:r>
              <w:rPr>
                <w:rFonts w:ascii="仿宋" w:hAnsi="仿宋" w:eastAsia="仿宋" w:cs="仿宋"/>
                <w:spacing w:val="-5"/>
                <w:sz w:val="21"/>
                <w:szCs w:val="21"/>
              </w:rPr>
              <w:t>符合</w:t>
            </w:r>
          </w:p>
        </w:tc>
        <w:tc>
          <w:tcPr>
            <w:tcW w:w="1396" w:type="dxa"/>
            <w:tcBorders>
              <w:bottom w:val="single" w:color="000000" w:sz="12" w:space="0"/>
            </w:tcBorders>
            <w:vAlign w:val="top"/>
          </w:tcPr>
          <w:p>
            <w:pPr>
              <w:spacing w:before="76" w:line="217" w:lineRule="auto"/>
              <w:ind w:left="501"/>
              <w:rPr>
                <w:rFonts w:ascii="仿宋" w:hAnsi="仿宋" w:eastAsia="仿宋" w:cs="仿宋"/>
                <w:sz w:val="21"/>
                <w:szCs w:val="21"/>
              </w:rPr>
            </w:pPr>
            <w:r>
              <w:rPr>
                <w:rFonts w:ascii="仿宋" w:hAnsi="仿宋" w:eastAsia="仿宋" w:cs="仿宋"/>
                <w:spacing w:val="-5"/>
                <w:sz w:val="21"/>
                <w:szCs w:val="21"/>
              </w:rPr>
              <w:t>符合</w:t>
            </w:r>
          </w:p>
        </w:tc>
        <w:tc>
          <w:tcPr>
            <w:tcW w:w="1156" w:type="dxa"/>
            <w:tcBorders>
              <w:bottom w:val="single" w:color="000000" w:sz="12" w:space="0"/>
            </w:tcBorders>
            <w:vAlign w:val="top"/>
          </w:tcPr>
          <w:p>
            <w:pPr>
              <w:spacing w:before="76" w:line="217" w:lineRule="auto"/>
              <w:ind w:left="381"/>
              <w:rPr>
                <w:rFonts w:ascii="仿宋" w:hAnsi="仿宋" w:eastAsia="仿宋" w:cs="仿宋"/>
                <w:sz w:val="21"/>
                <w:szCs w:val="21"/>
              </w:rPr>
            </w:pPr>
            <w:r>
              <w:rPr>
                <w:rFonts w:ascii="仿宋" w:hAnsi="仿宋" w:eastAsia="仿宋" w:cs="仿宋"/>
                <w:spacing w:val="-5"/>
                <w:sz w:val="21"/>
                <w:szCs w:val="21"/>
              </w:rPr>
              <w:t>符合</w:t>
            </w:r>
          </w:p>
        </w:tc>
        <w:tc>
          <w:tcPr>
            <w:tcW w:w="1343" w:type="dxa"/>
            <w:tcBorders>
              <w:bottom w:val="single" w:color="000000" w:sz="12" w:space="0"/>
            </w:tcBorders>
            <w:vAlign w:val="top"/>
          </w:tcPr>
          <w:p>
            <w:pPr>
              <w:spacing w:before="76" w:line="217" w:lineRule="auto"/>
              <w:ind w:left="474"/>
              <w:rPr>
                <w:rFonts w:ascii="仿宋" w:hAnsi="仿宋" w:eastAsia="仿宋" w:cs="仿宋"/>
                <w:sz w:val="21"/>
                <w:szCs w:val="21"/>
              </w:rPr>
            </w:pPr>
            <w:r>
              <w:rPr>
                <w:rFonts w:ascii="仿宋" w:hAnsi="仿宋" w:eastAsia="仿宋" w:cs="仿宋"/>
                <w:spacing w:val="-5"/>
                <w:sz w:val="21"/>
                <w:szCs w:val="21"/>
              </w:rPr>
              <w:t>符合</w:t>
            </w:r>
          </w:p>
        </w:tc>
        <w:tc>
          <w:tcPr>
            <w:tcW w:w="1356" w:type="dxa"/>
            <w:tcBorders>
              <w:bottom w:val="single" w:color="000000" w:sz="12" w:space="0"/>
            </w:tcBorders>
            <w:vAlign w:val="top"/>
          </w:tcPr>
          <w:p>
            <w:pPr>
              <w:spacing w:before="76" w:line="217" w:lineRule="auto"/>
              <w:ind w:left="481"/>
              <w:rPr>
                <w:rFonts w:ascii="仿宋" w:hAnsi="仿宋" w:eastAsia="仿宋" w:cs="仿宋"/>
                <w:sz w:val="21"/>
                <w:szCs w:val="21"/>
              </w:rPr>
            </w:pPr>
            <w:r>
              <w:rPr>
                <w:rFonts w:ascii="仿宋" w:hAnsi="仿宋" w:eastAsia="仿宋" w:cs="仿宋"/>
                <w:spacing w:val="-5"/>
                <w:sz w:val="21"/>
                <w:szCs w:val="21"/>
              </w:rPr>
              <w:t>符合</w:t>
            </w:r>
          </w:p>
        </w:tc>
        <w:tc>
          <w:tcPr>
            <w:tcW w:w="1382" w:type="dxa"/>
            <w:tcBorders>
              <w:bottom w:val="single" w:color="000000" w:sz="12" w:space="0"/>
            </w:tcBorders>
            <w:vAlign w:val="top"/>
          </w:tcPr>
          <w:p>
            <w:pPr>
              <w:spacing w:before="76" w:line="217" w:lineRule="auto"/>
              <w:ind w:left="494"/>
              <w:rPr>
                <w:rFonts w:ascii="仿宋" w:hAnsi="仿宋" w:eastAsia="仿宋" w:cs="仿宋"/>
                <w:sz w:val="21"/>
                <w:szCs w:val="21"/>
              </w:rPr>
            </w:pPr>
            <w:r>
              <w:rPr>
                <w:rFonts w:ascii="仿宋" w:hAnsi="仿宋" w:eastAsia="仿宋" w:cs="仿宋"/>
                <w:spacing w:val="-5"/>
                <w:sz w:val="21"/>
                <w:szCs w:val="21"/>
              </w:rPr>
              <w:t>符合</w:t>
            </w:r>
          </w:p>
        </w:tc>
        <w:tc>
          <w:tcPr>
            <w:tcW w:w="1395" w:type="dxa"/>
            <w:tcBorders>
              <w:bottom w:val="single" w:color="000000" w:sz="12" w:space="0"/>
              <w:right w:val="nil"/>
            </w:tcBorders>
            <w:vAlign w:val="top"/>
          </w:tcPr>
          <w:p>
            <w:pPr>
              <w:spacing w:before="76" w:line="217" w:lineRule="auto"/>
              <w:ind w:left="501"/>
              <w:rPr>
                <w:rFonts w:ascii="仿宋" w:hAnsi="仿宋" w:eastAsia="仿宋" w:cs="仿宋"/>
                <w:sz w:val="21"/>
                <w:szCs w:val="21"/>
              </w:rPr>
            </w:pPr>
            <w:r>
              <w:rPr>
                <w:rFonts w:ascii="仿宋" w:hAnsi="仿宋" w:eastAsia="仿宋" w:cs="仿宋"/>
                <w:spacing w:val="-5"/>
                <w:sz w:val="21"/>
                <w:szCs w:val="21"/>
              </w:rPr>
              <w:t>符合</w:t>
            </w:r>
          </w:p>
        </w:tc>
      </w:tr>
    </w:tbl>
    <w:p>
      <w:pPr>
        <w:spacing w:before="113" w:line="219" w:lineRule="auto"/>
        <w:ind w:left="908"/>
        <w:rPr>
          <w:rFonts w:ascii="宋体" w:hAnsi="宋体" w:eastAsia="宋体" w:cs="宋体"/>
          <w:sz w:val="24"/>
          <w:szCs w:val="24"/>
        </w:rPr>
      </w:pPr>
      <w:r>
        <w:rPr>
          <w:rFonts w:ascii="宋体" w:hAnsi="宋体" w:eastAsia="宋体" w:cs="宋体"/>
          <w:spacing w:val="-2"/>
          <w:sz w:val="24"/>
          <w:szCs w:val="24"/>
        </w:rPr>
        <w:t>由上述公式计算得，项目监测点相对误差均小于</w:t>
      </w:r>
      <w:r>
        <w:rPr>
          <w:rFonts w:ascii="Calibri" w:hAnsi="Calibri" w:eastAsia="Calibri" w:cs="Calibri"/>
          <w:spacing w:val="-2"/>
          <w:sz w:val="24"/>
          <w:szCs w:val="24"/>
        </w:rPr>
        <w:t>±5%</w:t>
      </w:r>
      <w:r>
        <w:rPr>
          <w:rFonts w:ascii="宋体" w:hAnsi="宋体" w:eastAsia="宋体" w:cs="宋体"/>
          <w:spacing w:val="-2"/>
          <w:sz w:val="24"/>
          <w:szCs w:val="24"/>
        </w:rPr>
        <w:t>，说明本次地下水监测数据有效。</w:t>
      </w:r>
    </w:p>
    <w:p>
      <w:pPr>
        <w:spacing w:line="219" w:lineRule="auto"/>
        <w:rPr>
          <w:rFonts w:ascii="宋体" w:hAnsi="宋体" w:eastAsia="宋体" w:cs="宋体"/>
          <w:sz w:val="24"/>
          <w:szCs w:val="24"/>
        </w:rPr>
        <w:sectPr>
          <w:headerReference r:id="rId203" w:type="default"/>
          <w:footerReference r:id="rId204" w:type="default"/>
          <w:pgSz w:w="16839" w:h="11907"/>
          <w:pgMar w:top="1156" w:right="1408" w:bottom="1374" w:left="1410" w:header="881" w:footer="1210" w:gutter="0"/>
        </w:sectPr>
      </w:pPr>
    </w:p>
    <w:p>
      <w:pPr>
        <w:spacing w:line="283" w:lineRule="auto"/>
        <w:rPr>
          <w:rFonts w:ascii="Arial"/>
          <w:sz w:val="21"/>
        </w:rPr>
      </w:pPr>
    </w:p>
    <w:p>
      <w:pPr>
        <w:spacing w:line="284" w:lineRule="auto"/>
        <w:rPr>
          <w:rFonts w:ascii="Arial"/>
          <w:sz w:val="21"/>
        </w:rPr>
      </w:pPr>
    </w:p>
    <w:p>
      <w:pPr>
        <w:pStyle w:val="2"/>
        <w:spacing w:before="78" w:line="233" w:lineRule="auto"/>
        <w:ind w:left="80"/>
        <w:outlineLvl w:val="2"/>
        <w:rPr>
          <w:sz w:val="24"/>
          <w:szCs w:val="24"/>
        </w:rPr>
      </w:pPr>
      <w:r>
        <w:rPr>
          <w:rFonts w:ascii="Times New Roman" w:hAnsi="Times New Roman" w:eastAsia="Times New Roman" w:cs="Times New Roman"/>
          <w:b/>
          <w:bCs/>
          <w:sz w:val="24"/>
          <w:szCs w:val="24"/>
        </w:rPr>
        <w:t xml:space="preserve">3.2.5 </w:t>
      </w:r>
      <w:r>
        <w:rPr>
          <w:sz w:val="24"/>
          <w:szCs w:val="24"/>
          <w14:textOutline w14:w="4354" w14:cap="flat" w14:cmpd="sng">
            <w14:solidFill>
              <w14:srgbClr w14:val="000000"/>
            </w14:solidFill>
            <w14:prstDash w14:val="solid"/>
            <w14:miter w14:val="0"/>
          </w14:textOutline>
        </w:rPr>
        <w:t>土壤环境质量</w:t>
      </w:r>
    </w:p>
    <w:p>
      <w:pPr>
        <w:spacing w:before="310" w:line="338" w:lineRule="auto"/>
        <w:ind w:left="89" w:firstLine="480"/>
        <w:jc w:val="both"/>
        <w:rPr>
          <w:rFonts w:ascii="宋体" w:hAnsi="宋体" w:eastAsia="宋体" w:cs="宋体"/>
          <w:sz w:val="24"/>
          <w:szCs w:val="24"/>
        </w:rPr>
      </w:pPr>
      <w:r>
        <w:rPr>
          <w:rFonts w:ascii="宋体" w:hAnsi="宋体" w:eastAsia="宋体" w:cs="宋体"/>
          <w:spacing w:val="-11"/>
          <w:sz w:val="24"/>
          <w:szCs w:val="24"/>
        </w:rPr>
        <w:t xml:space="preserve">为了解项目区土壤质量现状， </w:t>
      </w:r>
      <w:r>
        <w:rPr>
          <w:rFonts w:ascii="Times New Roman" w:hAnsi="Times New Roman" w:eastAsia="Times New Roman" w:cs="Times New Roman"/>
          <w:spacing w:val="-11"/>
          <w:sz w:val="24"/>
          <w:szCs w:val="24"/>
        </w:rPr>
        <w:t xml:space="preserve">2023 </w:t>
      </w:r>
      <w:r>
        <w:rPr>
          <w:rFonts w:ascii="宋体" w:hAnsi="宋体" w:eastAsia="宋体" w:cs="宋体"/>
          <w:spacing w:val="-11"/>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11"/>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11"/>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w:t>
      </w:r>
      <w:r>
        <w:rPr>
          <w:rFonts w:ascii="Times New Roman" w:hAnsi="Times New Roman" w:eastAsia="Times New Roman" w:cs="Times New Roman"/>
          <w:spacing w:val="50"/>
          <w:w w:val="101"/>
          <w:sz w:val="24"/>
          <w:szCs w:val="24"/>
        </w:rPr>
        <w:t xml:space="preserve"> </w:t>
      </w:r>
      <w:r>
        <w:rPr>
          <w:rFonts w:ascii="宋体" w:hAnsi="宋体" w:eastAsia="宋体" w:cs="宋体"/>
          <w:spacing w:val="-11"/>
          <w:sz w:val="24"/>
          <w:szCs w:val="24"/>
        </w:rPr>
        <w:t>日建设单位委托中博源检测（云</w:t>
      </w:r>
      <w:r>
        <w:rPr>
          <w:rFonts w:ascii="宋体" w:hAnsi="宋体" w:eastAsia="宋体" w:cs="宋体"/>
          <w:sz w:val="24"/>
          <w:szCs w:val="24"/>
        </w:rPr>
        <w:t xml:space="preserve">  </w:t>
      </w:r>
      <w:r>
        <w:rPr>
          <w:rFonts w:ascii="宋体" w:hAnsi="宋体" w:eastAsia="宋体" w:cs="宋体"/>
          <w:spacing w:val="-7"/>
          <w:sz w:val="24"/>
          <w:szCs w:val="24"/>
        </w:rPr>
        <w:t>南）有限公司对评价范围内的土壤进行监测，</w:t>
      </w:r>
      <w:r>
        <w:rPr>
          <w:rFonts w:ascii="宋体" w:hAnsi="宋体" w:eastAsia="宋体" w:cs="宋体"/>
          <w:spacing w:val="65"/>
          <w:sz w:val="24"/>
          <w:szCs w:val="24"/>
        </w:rPr>
        <w:t xml:space="preserve"> </w:t>
      </w:r>
      <w:r>
        <w:rPr>
          <w:rFonts w:ascii="宋体" w:hAnsi="宋体" w:eastAsia="宋体" w:cs="宋体"/>
          <w:spacing w:val="-7"/>
          <w:sz w:val="24"/>
          <w:szCs w:val="24"/>
        </w:rPr>
        <w:t>本次监测共布设了</w:t>
      </w:r>
      <w:r>
        <w:rPr>
          <w:rFonts w:ascii="宋体" w:hAnsi="宋体" w:eastAsia="宋体" w:cs="宋体"/>
          <w:spacing w:val="-43"/>
          <w:sz w:val="24"/>
          <w:szCs w:val="24"/>
        </w:rPr>
        <w:t xml:space="preserve"> </w:t>
      </w:r>
      <w:r>
        <w:rPr>
          <w:rFonts w:ascii="Times New Roman" w:hAnsi="Times New Roman" w:eastAsia="Times New Roman" w:cs="Times New Roman"/>
          <w:spacing w:val="-7"/>
          <w:sz w:val="24"/>
          <w:szCs w:val="24"/>
        </w:rPr>
        <w:t>4</w:t>
      </w:r>
      <w:r>
        <w:rPr>
          <w:rFonts w:ascii="Times New Roman" w:hAnsi="Times New Roman" w:eastAsia="Times New Roman" w:cs="Times New Roman"/>
          <w:spacing w:val="23"/>
          <w:sz w:val="24"/>
          <w:szCs w:val="24"/>
        </w:rPr>
        <w:t xml:space="preserve"> </w:t>
      </w:r>
      <w:r>
        <w:rPr>
          <w:rFonts w:ascii="宋体" w:hAnsi="宋体" w:eastAsia="宋体" w:cs="宋体"/>
          <w:spacing w:val="-7"/>
          <w:sz w:val="24"/>
          <w:szCs w:val="24"/>
        </w:rPr>
        <w:t>个监测点位。</w:t>
      </w:r>
    </w:p>
    <w:p>
      <w:pPr>
        <w:spacing w:line="219" w:lineRule="auto"/>
        <w:ind w:left="90"/>
        <w:rPr>
          <w:rFonts w:ascii="宋体" w:hAnsi="宋体" w:eastAsia="宋体" w:cs="宋体"/>
          <w:sz w:val="24"/>
          <w:szCs w:val="24"/>
        </w:rPr>
      </w:pPr>
      <w:r>
        <w:rPr>
          <w:rFonts w:ascii="宋体" w:hAnsi="宋体" w:eastAsia="宋体" w:cs="宋体"/>
          <w:spacing w:val="-7"/>
          <w:sz w:val="24"/>
          <w:szCs w:val="24"/>
        </w:rPr>
        <w:t>具体点位情况见下表：</w:t>
      </w:r>
    </w:p>
    <w:p>
      <w:pPr>
        <w:spacing w:before="137" w:line="219" w:lineRule="auto"/>
        <w:ind w:left="2146"/>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48"/>
          <w:sz w:val="21"/>
          <w:szCs w:val="21"/>
        </w:rPr>
        <w:t xml:space="preserve"> </w:t>
      </w:r>
      <w:r>
        <w:rPr>
          <w:rFonts w:ascii="Times New Roman" w:hAnsi="Times New Roman" w:eastAsia="Times New Roman" w:cs="Times New Roman"/>
          <w:b/>
          <w:bCs/>
          <w:sz w:val="21"/>
          <w:szCs w:val="21"/>
        </w:rPr>
        <w:t xml:space="preserve">3.2-12    </w:t>
      </w:r>
      <w:r>
        <w:rPr>
          <w:rFonts w:ascii="宋体" w:hAnsi="宋体" w:eastAsia="宋体" w:cs="宋体"/>
          <w:sz w:val="21"/>
          <w:szCs w:val="21"/>
          <w14:textOutline w14:w="3810" w14:cap="flat" w14:cmpd="sng">
            <w14:solidFill>
              <w14:srgbClr w14:val="000000"/>
            </w14:solidFill>
            <w14:prstDash w14:val="solid"/>
            <w14:miter w14:val="0"/>
          </w14:textOutline>
        </w:rPr>
        <w:t>土壤现状监测布点设置情况一览表</w:t>
      </w:r>
    </w:p>
    <w:p>
      <w:pPr>
        <w:spacing w:line="90" w:lineRule="exact"/>
      </w:pPr>
    </w:p>
    <w:tbl>
      <w:tblPr>
        <w:tblStyle w:val="5"/>
        <w:tblW w:w="8307" w:type="dxa"/>
        <w:tblInd w:w="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1"/>
        <w:gridCol w:w="1567"/>
        <w:gridCol w:w="1126"/>
        <w:gridCol w:w="2704"/>
        <w:gridCol w:w="1425"/>
        <w:gridCol w:w="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2" w:hRule="atLeast"/>
        </w:trPr>
        <w:tc>
          <w:tcPr>
            <w:tcW w:w="561" w:type="dxa"/>
            <w:tcBorders>
              <w:top w:val="single" w:color="000000" w:sz="12" w:space="0"/>
              <w:left w:val="nil"/>
            </w:tcBorders>
            <w:textDirection w:val="tbRlV"/>
            <w:vAlign w:val="top"/>
          </w:tcPr>
          <w:p>
            <w:pPr>
              <w:spacing w:before="170" w:line="202" w:lineRule="auto"/>
              <w:ind w:left="59"/>
              <w:rPr>
                <w:rFonts w:ascii="仿宋" w:hAnsi="仿宋" w:eastAsia="仿宋" w:cs="仿宋"/>
                <w:sz w:val="21"/>
                <w:szCs w:val="21"/>
              </w:rPr>
            </w:pPr>
            <w:r>
              <w:rPr>
                <w:rFonts w:ascii="仿宋" w:hAnsi="仿宋" w:eastAsia="仿宋" w:cs="仿宋"/>
                <w:spacing w:val="-1"/>
                <w:sz w:val="21"/>
                <w:szCs w:val="21"/>
              </w:rPr>
              <w:t>序 号</w:t>
            </w:r>
          </w:p>
        </w:tc>
        <w:tc>
          <w:tcPr>
            <w:tcW w:w="1567" w:type="dxa"/>
            <w:tcBorders>
              <w:top w:val="single" w:color="000000" w:sz="12" w:space="0"/>
            </w:tcBorders>
            <w:vAlign w:val="top"/>
          </w:tcPr>
          <w:p>
            <w:pPr>
              <w:spacing w:before="215" w:line="216" w:lineRule="auto"/>
              <w:ind w:left="374"/>
              <w:rPr>
                <w:rFonts w:ascii="仿宋" w:hAnsi="仿宋" w:eastAsia="仿宋" w:cs="仿宋"/>
                <w:sz w:val="21"/>
                <w:szCs w:val="21"/>
              </w:rPr>
            </w:pPr>
            <w:r>
              <w:rPr>
                <w:rFonts w:ascii="仿宋" w:hAnsi="仿宋" w:eastAsia="仿宋" w:cs="仿宋"/>
                <w:spacing w:val="-3"/>
                <w:sz w:val="21"/>
                <w:szCs w:val="21"/>
              </w:rPr>
              <w:t>布点位置</w:t>
            </w:r>
          </w:p>
        </w:tc>
        <w:tc>
          <w:tcPr>
            <w:tcW w:w="1126" w:type="dxa"/>
            <w:tcBorders>
              <w:top w:val="single" w:color="000000" w:sz="12" w:space="0"/>
            </w:tcBorders>
            <w:vAlign w:val="top"/>
          </w:tcPr>
          <w:p>
            <w:pPr>
              <w:spacing w:before="59" w:line="312" w:lineRule="exact"/>
              <w:ind w:left="362"/>
              <w:rPr>
                <w:rFonts w:ascii="仿宋" w:hAnsi="仿宋" w:eastAsia="仿宋" w:cs="仿宋"/>
                <w:sz w:val="21"/>
                <w:szCs w:val="21"/>
              </w:rPr>
            </w:pPr>
            <w:r>
              <w:rPr>
                <w:rFonts w:ascii="仿宋" w:hAnsi="仿宋" w:eastAsia="仿宋" w:cs="仿宋"/>
                <w:spacing w:val="-4"/>
                <w:position w:val="7"/>
                <w:sz w:val="21"/>
                <w:szCs w:val="21"/>
              </w:rPr>
              <w:t>采样</w:t>
            </w:r>
          </w:p>
          <w:p>
            <w:pPr>
              <w:spacing w:line="218" w:lineRule="auto"/>
              <w:ind w:left="362"/>
              <w:rPr>
                <w:rFonts w:ascii="仿宋" w:hAnsi="仿宋" w:eastAsia="仿宋" w:cs="仿宋"/>
                <w:sz w:val="21"/>
                <w:szCs w:val="21"/>
              </w:rPr>
            </w:pPr>
            <w:r>
              <w:rPr>
                <w:rFonts w:ascii="仿宋" w:hAnsi="仿宋" w:eastAsia="仿宋" w:cs="仿宋"/>
                <w:spacing w:val="-4"/>
                <w:sz w:val="21"/>
                <w:szCs w:val="21"/>
              </w:rPr>
              <w:t>深度</w:t>
            </w:r>
          </w:p>
        </w:tc>
        <w:tc>
          <w:tcPr>
            <w:tcW w:w="2704" w:type="dxa"/>
            <w:tcBorders>
              <w:top w:val="single" w:color="000000" w:sz="12" w:space="0"/>
            </w:tcBorders>
            <w:vAlign w:val="top"/>
          </w:tcPr>
          <w:p>
            <w:pPr>
              <w:spacing w:before="215" w:line="219" w:lineRule="auto"/>
              <w:ind w:left="946"/>
              <w:rPr>
                <w:rFonts w:ascii="仿宋" w:hAnsi="仿宋" w:eastAsia="仿宋" w:cs="仿宋"/>
                <w:sz w:val="21"/>
                <w:szCs w:val="21"/>
              </w:rPr>
            </w:pPr>
            <w:r>
              <w:rPr>
                <w:rFonts w:ascii="仿宋" w:hAnsi="仿宋" w:eastAsia="仿宋" w:cs="仿宋"/>
                <w:spacing w:val="-4"/>
                <w:sz w:val="21"/>
                <w:szCs w:val="21"/>
              </w:rPr>
              <w:t>监测因子</w:t>
            </w:r>
          </w:p>
        </w:tc>
        <w:tc>
          <w:tcPr>
            <w:tcW w:w="1425" w:type="dxa"/>
            <w:tcBorders>
              <w:top w:val="single" w:color="000000" w:sz="12" w:space="0"/>
            </w:tcBorders>
            <w:vAlign w:val="top"/>
          </w:tcPr>
          <w:p>
            <w:pPr>
              <w:spacing w:before="215" w:line="217" w:lineRule="auto"/>
              <w:ind w:left="300"/>
              <w:rPr>
                <w:rFonts w:ascii="仿宋" w:hAnsi="仿宋" w:eastAsia="仿宋" w:cs="仿宋"/>
                <w:sz w:val="21"/>
                <w:szCs w:val="21"/>
              </w:rPr>
            </w:pPr>
            <w:r>
              <w:rPr>
                <w:rFonts w:ascii="仿宋" w:hAnsi="仿宋" w:eastAsia="仿宋" w:cs="仿宋"/>
                <w:spacing w:val="-3"/>
                <w:sz w:val="21"/>
                <w:szCs w:val="21"/>
              </w:rPr>
              <w:t>执行标准</w:t>
            </w:r>
          </w:p>
        </w:tc>
        <w:tc>
          <w:tcPr>
            <w:tcW w:w="924" w:type="dxa"/>
            <w:tcBorders>
              <w:top w:val="single" w:color="000000" w:sz="12" w:space="0"/>
              <w:right w:val="nil"/>
            </w:tcBorders>
            <w:vAlign w:val="top"/>
          </w:tcPr>
          <w:p>
            <w:pPr>
              <w:spacing w:before="215" w:line="220" w:lineRule="auto"/>
              <w:ind w:left="262"/>
              <w:rPr>
                <w:rFonts w:ascii="仿宋" w:hAnsi="仿宋" w:eastAsia="仿宋" w:cs="仿宋"/>
                <w:sz w:val="21"/>
                <w:szCs w:val="21"/>
              </w:rPr>
            </w:pPr>
            <w:r>
              <w:rPr>
                <w:rFonts w:ascii="仿宋" w:hAnsi="仿宋" w:eastAsia="仿宋" w:cs="仿宋"/>
                <w:spacing w:val="-4"/>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 w:hRule="atLeast"/>
        </w:trPr>
        <w:tc>
          <w:tcPr>
            <w:tcW w:w="561" w:type="dxa"/>
            <w:tcBorders>
              <w:left w:val="nil"/>
            </w:tcBorders>
            <w:vAlign w:val="top"/>
          </w:tcPr>
          <w:p>
            <w:pPr>
              <w:pStyle w:val="6"/>
              <w:spacing w:before="146" w:line="188" w:lineRule="auto"/>
              <w:ind w:left="182"/>
            </w:pPr>
            <w:r>
              <w:rPr>
                <w:spacing w:val="-4"/>
              </w:rPr>
              <w:t>S1</w:t>
            </w:r>
          </w:p>
        </w:tc>
        <w:tc>
          <w:tcPr>
            <w:tcW w:w="1567" w:type="dxa"/>
            <w:vAlign w:val="top"/>
          </w:tcPr>
          <w:p>
            <w:pPr>
              <w:spacing w:before="109" w:line="218" w:lineRule="auto"/>
              <w:ind w:left="266"/>
              <w:rPr>
                <w:rFonts w:ascii="仿宋" w:hAnsi="仿宋" w:eastAsia="仿宋" w:cs="仿宋"/>
                <w:sz w:val="21"/>
                <w:szCs w:val="21"/>
              </w:rPr>
            </w:pPr>
            <w:r>
              <w:rPr>
                <w:rFonts w:ascii="仿宋" w:hAnsi="仿宋" w:eastAsia="仿宋" w:cs="仿宋"/>
                <w:spacing w:val="-3"/>
                <w:sz w:val="21"/>
                <w:szCs w:val="21"/>
              </w:rPr>
              <w:t>枢纽区库头</w:t>
            </w:r>
          </w:p>
        </w:tc>
        <w:tc>
          <w:tcPr>
            <w:tcW w:w="1126" w:type="dxa"/>
            <w:vAlign w:val="top"/>
          </w:tcPr>
          <w:p>
            <w:pPr>
              <w:spacing w:before="109" w:line="215" w:lineRule="auto"/>
              <w:ind w:left="258"/>
              <w:rPr>
                <w:rFonts w:ascii="仿宋" w:hAnsi="仿宋" w:eastAsia="仿宋" w:cs="仿宋"/>
                <w:sz w:val="21"/>
                <w:szCs w:val="21"/>
              </w:rPr>
            </w:pPr>
            <w:r>
              <w:rPr>
                <w:rFonts w:ascii="仿宋" w:hAnsi="仿宋" w:eastAsia="仿宋" w:cs="仿宋"/>
                <w:spacing w:val="-4"/>
                <w:sz w:val="21"/>
                <w:szCs w:val="21"/>
              </w:rPr>
              <w:t>表层样</w:t>
            </w:r>
          </w:p>
        </w:tc>
        <w:tc>
          <w:tcPr>
            <w:tcW w:w="2704"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68" w:line="246" w:lineRule="auto"/>
              <w:ind w:left="118" w:right="56" w:hanging="15"/>
              <w:rPr>
                <w:rFonts w:ascii="仿宋" w:hAnsi="仿宋" w:eastAsia="仿宋" w:cs="仿宋"/>
              </w:rPr>
            </w:pPr>
            <w:r>
              <w:rPr>
                <w:spacing w:val="-3"/>
              </w:rPr>
              <w:t>pH</w:t>
            </w:r>
            <w:r>
              <w:rPr>
                <w:rFonts w:ascii="仿宋" w:hAnsi="仿宋" w:eastAsia="仿宋" w:cs="仿宋"/>
                <w:spacing w:val="-3"/>
              </w:rPr>
              <w:t>、镉、汞、砷、铅、铬、</w:t>
            </w:r>
            <w:r>
              <w:rPr>
                <w:rFonts w:ascii="仿宋" w:hAnsi="仿宋" w:eastAsia="仿宋" w:cs="仿宋"/>
                <w:spacing w:val="4"/>
              </w:rPr>
              <w:t xml:space="preserve"> </w:t>
            </w:r>
            <w:r>
              <w:rPr>
                <w:rFonts w:ascii="仿宋" w:hAnsi="仿宋" w:eastAsia="仿宋" w:cs="仿宋"/>
                <w:spacing w:val="-2"/>
              </w:rPr>
              <w:t>铜、镍、锌、全盐量</w:t>
            </w:r>
          </w:p>
        </w:tc>
        <w:tc>
          <w:tcPr>
            <w:tcW w:w="1425" w:type="dxa"/>
            <w:vMerge w:val="restart"/>
            <w:tcBorders>
              <w:bottom w:val="nil"/>
            </w:tcBorders>
            <w:vAlign w:val="top"/>
          </w:tcPr>
          <w:p>
            <w:pPr>
              <w:spacing w:line="287" w:lineRule="auto"/>
              <w:rPr>
                <w:rFonts w:ascii="Arial"/>
                <w:sz w:val="21"/>
              </w:rPr>
            </w:pPr>
          </w:p>
          <w:p>
            <w:pPr>
              <w:spacing w:line="287" w:lineRule="auto"/>
              <w:rPr>
                <w:rFonts w:ascii="Arial"/>
                <w:sz w:val="21"/>
              </w:rPr>
            </w:pPr>
          </w:p>
          <w:p>
            <w:pPr>
              <w:spacing w:before="68" w:line="260" w:lineRule="auto"/>
              <w:ind w:left="196" w:right="182" w:hanging="5"/>
              <w:jc w:val="both"/>
              <w:rPr>
                <w:rFonts w:ascii="仿宋" w:hAnsi="仿宋" w:eastAsia="仿宋" w:cs="仿宋"/>
                <w:sz w:val="21"/>
                <w:szCs w:val="21"/>
              </w:rPr>
            </w:pPr>
            <w:r>
              <w:rPr>
                <w:rFonts w:ascii="仿宋" w:hAnsi="仿宋" w:eastAsia="仿宋" w:cs="仿宋"/>
                <w:spacing w:val="-5"/>
                <w:sz w:val="21"/>
                <w:szCs w:val="21"/>
              </w:rPr>
              <w:t>《土壤环境</w:t>
            </w:r>
            <w:r>
              <w:rPr>
                <w:rFonts w:ascii="仿宋" w:hAnsi="仿宋" w:eastAsia="仿宋" w:cs="仿宋"/>
                <w:spacing w:val="1"/>
                <w:sz w:val="21"/>
                <w:szCs w:val="21"/>
              </w:rPr>
              <w:t xml:space="preserve"> </w:t>
            </w:r>
            <w:r>
              <w:rPr>
                <w:rFonts w:ascii="仿宋" w:hAnsi="仿宋" w:eastAsia="仿宋" w:cs="仿宋"/>
                <w:spacing w:val="-3"/>
                <w:sz w:val="21"/>
                <w:szCs w:val="21"/>
              </w:rPr>
              <w:t>质量农用地</w:t>
            </w:r>
            <w:r>
              <w:rPr>
                <w:rFonts w:ascii="仿宋" w:hAnsi="仿宋" w:eastAsia="仿宋" w:cs="仿宋"/>
                <w:sz w:val="21"/>
                <w:szCs w:val="21"/>
              </w:rPr>
              <w:t xml:space="preserve"> </w:t>
            </w:r>
            <w:r>
              <w:rPr>
                <w:rFonts w:ascii="仿宋" w:hAnsi="仿宋" w:eastAsia="仿宋" w:cs="仿宋"/>
                <w:spacing w:val="-3"/>
                <w:sz w:val="21"/>
                <w:szCs w:val="21"/>
              </w:rPr>
              <w:t>污染风险管</w:t>
            </w:r>
            <w:r>
              <w:rPr>
                <w:rFonts w:ascii="仿宋" w:hAnsi="仿宋" w:eastAsia="仿宋" w:cs="仿宋"/>
                <w:sz w:val="21"/>
                <w:szCs w:val="21"/>
              </w:rPr>
              <w:t xml:space="preserve"> </w:t>
            </w:r>
            <w:r>
              <w:rPr>
                <w:rFonts w:ascii="仿宋" w:hAnsi="仿宋" w:eastAsia="仿宋" w:cs="仿宋"/>
                <w:spacing w:val="-3"/>
                <w:sz w:val="21"/>
                <w:szCs w:val="21"/>
              </w:rPr>
              <w:t>控标准（执</w:t>
            </w:r>
          </w:p>
          <w:p>
            <w:pPr>
              <w:spacing w:before="63" w:line="217" w:lineRule="auto"/>
              <w:ind w:left="461"/>
              <w:rPr>
                <w:rFonts w:ascii="仿宋" w:hAnsi="仿宋" w:eastAsia="仿宋" w:cs="仿宋"/>
                <w:sz w:val="21"/>
                <w:szCs w:val="21"/>
              </w:rPr>
            </w:pPr>
            <w:r>
              <w:rPr>
                <w:rFonts w:ascii="仿宋" w:hAnsi="仿宋" w:eastAsia="仿宋" w:cs="仿宋"/>
                <w:spacing w:val="-43"/>
                <w:sz w:val="21"/>
                <w:szCs w:val="21"/>
              </w:rPr>
              <w:t>行）》</w:t>
            </w:r>
          </w:p>
          <w:p>
            <w:pPr>
              <w:pStyle w:val="6"/>
              <w:spacing w:before="65" w:line="246" w:lineRule="auto"/>
              <w:ind w:left="186" w:right="157" w:hanging="14"/>
              <w:rPr>
                <w:rFonts w:ascii="仿宋" w:hAnsi="仿宋" w:eastAsia="仿宋" w:cs="仿宋"/>
              </w:rPr>
            </w:pPr>
            <w:r>
              <w:rPr>
                <w:rFonts w:ascii="仿宋" w:hAnsi="仿宋" w:eastAsia="仿宋" w:cs="仿宋"/>
                <w:spacing w:val="-2"/>
              </w:rPr>
              <w:t>（</w:t>
            </w:r>
            <w:r>
              <w:rPr>
                <w:spacing w:val="-2"/>
              </w:rPr>
              <w:t>GB15618-</w:t>
            </w:r>
            <w:r>
              <w:rPr>
                <w:spacing w:val="5"/>
              </w:rPr>
              <w:t xml:space="preserve"> </w:t>
            </w:r>
            <w:r>
              <w:rPr>
                <w:spacing w:val="-4"/>
              </w:rPr>
              <w:t>2018</w:t>
            </w:r>
            <w:r>
              <w:rPr>
                <w:rFonts w:ascii="仿宋" w:hAnsi="仿宋" w:eastAsia="仿宋" w:cs="仿宋"/>
                <w:spacing w:val="-4"/>
              </w:rPr>
              <w:t>）</w:t>
            </w:r>
            <w:r>
              <w:rPr>
                <w:rFonts w:ascii="仿宋" w:hAnsi="仿宋" w:eastAsia="仿宋" w:cs="仿宋"/>
                <w:spacing w:val="-61"/>
              </w:rPr>
              <w:t xml:space="preserve"> </w:t>
            </w:r>
            <w:r>
              <w:rPr>
                <w:rFonts w:ascii="仿宋" w:hAnsi="仿宋" w:eastAsia="仿宋" w:cs="仿宋"/>
                <w:spacing w:val="-4"/>
              </w:rPr>
              <w:t>中其</w:t>
            </w:r>
          </w:p>
          <w:p>
            <w:pPr>
              <w:spacing w:before="64" w:line="217" w:lineRule="auto"/>
              <w:ind w:left="617"/>
              <w:rPr>
                <w:rFonts w:ascii="仿宋" w:hAnsi="仿宋" w:eastAsia="仿宋" w:cs="仿宋"/>
                <w:sz w:val="21"/>
                <w:szCs w:val="21"/>
              </w:rPr>
            </w:pPr>
            <w:r>
              <w:rPr>
                <w:rFonts w:ascii="仿宋" w:hAnsi="仿宋" w:eastAsia="仿宋" w:cs="仿宋"/>
                <w:sz w:val="21"/>
                <w:szCs w:val="21"/>
              </w:rPr>
              <w:t>他</w:t>
            </w:r>
          </w:p>
        </w:tc>
        <w:tc>
          <w:tcPr>
            <w:tcW w:w="924" w:type="dxa"/>
            <w:vMerge w:val="restart"/>
            <w:tcBorders>
              <w:bottom w:val="nil"/>
              <w:right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68" w:line="259" w:lineRule="auto"/>
              <w:ind w:left="174" w:right="163" w:firstLine="88"/>
              <w:jc w:val="both"/>
            </w:pPr>
            <w:r>
              <w:rPr>
                <w:rFonts w:ascii="仿宋" w:hAnsi="仿宋" w:eastAsia="仿宋" w:cs="仿宋"/>
                <w:spacing w:val="-8"/>
              </w:rPr>
              <w:t>表层</w:t>
            </w:r>
            <w:r>
              <w:rPr>
                <w:rFonts w:ascii="仿宋" w:hAnsi="仿宋" w:eastAsia="仿宋" w:cs="仿宋"/>
              </w:rPr>
              <w:t xml:space="preserve">  </w:t>
            </w:r>
            <w:r>
              <w:rPr>
                <w:rFonts w:ascii="仿宋" w:hAnsi="仿宋" w:eastAsia="仿宋" w:cs="仿宋"/>
                <w:spacing w:val="-23"/>
              </w:rPr>
              <w:t>样：</w:t>
            </w:r>
            <w:r>
              <w:rPr>
                <w:rFonts w:ascii="仿宋" w:hAnsi="仿宋" w:eastAsia="仿宋" w:cs="仿宋"/>
                <w:spacing w:val="-29"/>
              </w:rPr>
              <w:t xml:space="preserve"> </w:t>
            </w:r>
            <w:r>
              <w:rPr>
                <w:spacing w:val="-23"/>
              </w:rPr>
              <w:t>0-</w:t>
            </w:r>
            <w:r>
              <w:t xml:space="preserve"> </w:t>
            </w:r>
            <w:r>
              <w:rPr>
                <w:spacing w:val="17"/>
              </w:rPr>
              <w:t>0.2m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561" w:type="dxa"/>
            <w:tcBorders>
              <w:left w:val="nil"/>
            </w:tcBorders>
            <w:vAlign w:val="top"/>
          </w:tcPr>
          <w:p>
            <w:pPr>
              <w:pStyle w:val="6"/>
              <w:spacing w:before="92" w:line="188" w:lineRule="auto"/>
              <w:ind w:left="182"/>
            </w:pPr>
            <w:r>
              <w:rPr>
                <w:spacing w:val="-4"/>
              </w:rPr>
              <w:t>S2</w:t>
            </w:r>
          </w:p>
        </w:tc>
        <w:tc>
          <w:tcPr>
            <w:tcW w:w="1567" w:type="dxa"/>
            <w:vAlign w:val="top"/>
          </w:tcPr>
          <w:p>
            <w:pPr>
              <w:spacing w:before="56" w:line="218" w:lineRule="auto"/>
              <w:ind w:left="586"/>
              <w:rPr>
                <w:rFonts w:ascii="仿宋" w:hAnsi="仿宋" w:eastAsia="仿宋" w:cs="仿宋"/>
                <w:sz w:val="21"/>
                <w:szCs w:val="21"/>
              </w:rPr>
            </w:pPr>
            <w:r>
              <w:rPr>
                <w:rFonts w:ascii="仿宋" w:hAnsi="仿宋" w:eastAsia="仿宋" w:cs="仿宋"/>
                <w:spacing w:val="-5"/>
                <w:sz w:val="21"/>
                <w:szCs w:val="21"/>
              </w:rPr>
              <w:t>库中</w:t>
            </w:r>
          </w:p>
        </w:tc>
        <w:tc>
          <w:tcPr>
            <w:tcW w:w="1126" w:type="dxa"/>
            <w:vAlign w:val="top"/>
          </w:tcPr>
          <w:p>
            <w:pPr>
              <w:spacing w:before="56" w:line="215" w:lineRule="auto"/>
              <w:ind w:left="258"/>
              <w:rPr>
                <w:rFonts w:ascii="仿宋" w:hAnsi="仿宋" w:eastAsia="仿宋" w:cs="仿宋"/>
                <w:sz w:val="21"/>
                <w:szCs w:val="21"/>
              </w:rPr>
            </w:pPr>
            <w:r>
              <w:rPr>
                <w:rFonts w:ascii="仿宋" w:hAnsi="仿宋" w:eastAsia="仿宋" w:cs="仿宋"/>
                <w:spacing w:val="-4"/>
                <w:sz w:val="21"/>
                <w:szCs w:val="21"/>
              </w:rPr>
              <w:t>表层样</w:t>
            </w:r>
          </w:p>
        </w:tc>
        <w:tc>
          <w:tcPr>
            <w:tcW w:w="2704" w:type="dxa"/>
            <w:vMerge w:val="continue"/>
            <w:tcBorders>
              <w:top w:val="nil"/>
              <w:bottom w:val="nil"/>
            </w:tcBorders>
            <w:vAlign w:val="top"/>
          </w:tcPr>
          <w:p>
            <w:pPr>
              <w:rPr>
                <w:rFonts w:ascii="Arial"/>
                <w:sz w:val="21"/>
              </w:rPr>
            </w:pPr>
          </w:p>
        </w:tc>
        <w:tc>
          <w:tcPr>
            <w:tcW w:w="1425" w:type="dxa"/>
            <w:vMerge w:val="continue"/>
            <w:tcBorders>
              <w:top w:val="nil"/>
              <w:bottom w:val="nil"/>
            </w:tcBorders>
            <w:vAlign w:val="top"/>
          </w:tcPr>
          <w:p>
            <w:pPr>
              <w:rPr>
                <w:rFonts w:ascii="Arial"/>
                <w:sz w:val="21"/>
              </w:rPr>
            </w:pPr>
          </w:p>
        </w:tc>
        <w:tc>
          <w:tcPr>
            <w:tcW w:w="924"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61" w:type="dxa"/>
            <w:tcBorders>
              <w:left w:val="nil"/>
            </w:tcBorders>
            <w:vAlign w:val="top"/>
          </w:tcPr>
          <w:p>
            <w:pPr>
              <w:pStyle w:val="6"/>
              <w:spacing w:before="96" w:line="188" w:lineRule="auto"/>
              <w:ind w:left="182"/>
            </w:pPr>
            <w:r>
              <w:rPr>
                <w:spacing w:val="-4"/>
              </w:rPr>
              <w:t>S3</w:t>
            </w:r>
          </w:p>
        </w:tc>
        <w:tc>
          <w:tcPr>
            <w:tcW w:w="1567" w:type="dxa"/>
            <w:vAlign w:val="top"/>
          </w:tcPr>
          <w:p>
            <w:pPr>
              <w:spacing w:before="60" w:line="215" w:lineRule="auto"/>
              <w:ind w:left="586"/>
              <w:rPr>
                <w:rFonts w:ascii="仿宋" w:hAnsi="仿宋" w:eastAsia="仿宋" w:cs="仿宋"/>
                <w:sz w:val="21"/>
                <w:szCs w:val="21"/>
              </w:rPr>
            </w:pPr>
            <w:r>
              <w:rPr>
                <w:rFonts w:ascii="仿宋" w:hAnsi="仿宋" w:eastAsia="仿宋" w:cs="仿宋"/>
                <w:spacing w:val="-5"/>
                <w:sz w:val="21"/>
                <w:szCs w:val="21"/>
              </w:rPr>
              <w:t>库尾</w:t>
            </w:r>
          </w:p>
        </w:tc>
        <w:tc>
          <w:tcPr>
            <w:tcW w:w="1126" w:type="dxa"/>
            <w:vAlign w:val="top"/>
          </w:tcPr>
          <w:p>
            <w:pPr>
              <w:spacing w:before="60" w:line="215" w:lineRule="auto"/>
              <w:ind w:left="258"/>
              <w:rPr>
                <w:rFonts w:ascii="仿宋" w:hAnsi="仿宋" w:eastAsia="仿宋" w:cs="仿宋"/>
                <w:sz w:val="21"/>
                <w:szCs w:val="21"/>
              </w:rPr>
            </w:pPr>
            <w:r>
              <w:rPr>
                <w:rFonts w:ascii="仿宋" w:hAnsi="仿宋" w:eastAsia="仿宋" w:cs="仿宋"/>
                <w:spacing w:val="-4"/>
                <w:sz w:val="21"/>
                <w:szCs w:val="21"/>
              </w:rPr>
              <w:t>表层样</w:t>
            </w:r>
          </w:p>
        </w:tc>
        <w:tc>
          <w:tcPr>
            <w:tcW w:w="2704" w:type="dxa"/>
            <w:vMerge w:val="continue"/>
            <w:tcBorders>
              <w:top w:val="nil"/>
              <w:bottom w:val="nil"/>
            </w:tcBorders>
            <w:vAlign w:val="top"/>
          </w:tcPr>
          <w:p>
            <w:pPr>
              <w:rPr>
                <w:rFonts w:ascii="Arial"/>
                <w:sz w:val="21"/>
              </w:rPr>
            </w:pPr>
          </w:p>
        </w:tc>
        <w:tc>
          <w:tcPr>
            <w:tcW w:w="1425" w:type="dxa"/>
            <w:vMerge w:val="continue"/>
            <w:tcBorders>
              <w:top w:val="nil"/>
              <w:bottom w:val="nil"/>
            </w:tcBorders>
            <w:vAlign w:val="top"/>
          </w:tcPr>
          <w:p>
            <w:pPr>
              <w:rPr>
                <w:rFonts w:ascii="Arial"/>
                <w:sz w:val="21"/>
              </w:rPr>
            </w:pPr>
          </w:p>
        </w:tc>
        <w:tc>
          <w:tcPr>
            <w:tcW w:w="924"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4" w:hRule="atLeast"/>
        </w:trPr>
        <w:tc>
          <w:tcPr>
            <w:tcW w:w="561" w:type="dxa"/>
            <w:tcBorders>
              <w:left w:val="nil"/>
            </w:tcBorders>
            <w:vAlign w:val="top"/>
          </w:tcPr>
          <w:p>
            <w:pPr>
              <w:pStyle w:val="6"/>
              <w:spacing w:before="253" w:line="188" w:lineRule="auto"/>
              <w:ind w:left="182"/>
            </w:pPr>
            <w:r>
              <w:rPr>
                <w:spacing w:val="-4"/>
              </w:rPr>
              <w:t>S4</w:t>
            </w:r>
          </w:p>
        </w:tc>
        <w:tc>
          <w:tcPr>
            <w:tcW w:w="1567" w:type="dxa"/>
            <w:vAlign w:val="top"/>
          </w:tcPr>
          <w:p>
            <w:pPr>
              <w:spacing w:before="61" w:line="243" w:lineRule="auto"/>
              <w:ind w:left="687" w:right="147" w:hanging="523"/>
              <w:rPr>
                <w:rFonts w:ascii="仿宋" w:hAnsi="仿宋" w:eastAsia="仿宋" w:cs="仿宋"/>
                <w:sz w:val="21"/>
                <w:szCs w:val="21"/>
              </w:rPr>
            </w:pPr>
            <w:r>
              <w:rPr>
                <w:rFonts w:ascii="仿宋" w:hAnsi="仿宋" w:eastAsia="仿宋" w:cs="仿宋"/>
                <w:spacing w:val="-3"/>
                <w:sz w:val="21"/>
                <w:szCs w:val="21"/>
              </w:rPr>
              <w:t>淹没区扯嘿旱</w:t>
            </w:r>
            <w:r>
              <w:rPr>
                <w:rFonts w:ascii="仿宋" w:hAnsi="仿宋" w:eastAsia="仿宋" w:cs="仿宋"/>
                <w:spacing w:val="1"/>
                <w:sz w:val="21"/>
                <w:szCs w:val="21"/>
              </w:rPr>
              <w:t xml:space="preserve"> </w:t>
            </w:r>
            <w:r>
              <w:rPr>
                <w:rFonts w:ascii="仿宋" w:hAnsi="仿宋" w:eastAsia="仿宋" w:cs="仿宋"/>
                <w:sz w:val="21"/>
                <w:szCs w:val="21"/>
              </w:rPr>
              <w:t>地</w:t>
            </w:r>
          </w:p>
        </w:tc>
        <w:tc>
          <w:tcPr>
            <w:tcW w:w="1126" w:type="dxa"/>
            <w:vAlign w:val="top"/>
          </w:tcPr>
          <w:p>
            <w:pPr>
              <w:spacing w:before="61" w:line="215" w:lineRule="auto"/>
              <w:ind w:left="258"/>
              <w:rPr>
                <w:rFonts w:ascii="仿宋" w:hAnsi="仿宋" w:eastAsia="仿宋" w:cs="仿宋"/>
                <w:sz w:val="21"/>
                <w:szCs w:val="21"/>
              </w:rPr>
            </w:pPr>
            <w:r>
              <w:rPr>
                <w:rFonts w:ascii="仿宋" w:hAnsi="仿宋" w:eastAsia="仿宋" w:cs="仿宋"/>
                <w:spacing w:val="-4"/>
                <w:sz w:val="21"/>
                <w:szCs w:val="21"/>
              </w:rPr>
              <w:t>表层样</w:t>
            </w:r>
          </w:p>
        </w:tc>
        <w:tc>
          <w:tcPr>
            <w:tcW w:w="2704" w:type="dxa"/>
            <w:vMerge w:val="continue"/>
            <w:tcBorders>
              <w:top w:val="nil"/>
              <w:bottom w:val="nil"/>
            </w:tcBorders>
            <w:vAlign w:val="top"/>
          </w:tcPr>
          <w:p>
            <w:pPr>
              <w:rPr>
                <w:rFonts w:ascii="Arial"/>
                <w:sz w:val="21"/>
              </w:rPr>
            </w:pPr>
          </w:p>
        </w:tc>
        <w:tc>
          <w:tcPr>
            <w:tcW w:w="1425" w:type="dxa"/>
            <w:vMerge w:val="continue"/>
            <w:tcBorders>
              <w:top w:val="nil"/>
              <w:bottom w:val="nil"/>
            </w:tcBorders>
            <w:vAlign w:val="top"/>
          </w:tcPr>
          <w:p>
            <w:pPr>
              <w:rPr>
                <w:rFonts w:ascii="Arial"/>
                <w:sz w:val="21"/>
              </w:rPr>
            </w:pPr>
          </w:p>
        </w:tc>
        <w:tc>
          <w:tcPr>
            <w:tcW w:w="924"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9" w:hRule="atLeast"/>
        </w:trPr>
        <w:tc>
          <w:tcPr>
            <w:tcW w:w="561" w:type="dxa"/>
            <w:tcBorders>
              <w:left w:val="nil"/>
            </w:tcBorders>
            <w:vAlign w:val="top"/>
          </w:tcPr>
          <w:p>
            <w:pPr>
              <w:pStyle w:val="6"/>
              <w:spacing w:before="281" w:line="188" w:lineRule="auto"/>
              <w:ind w:left="182"/>
            </w:pPr>
            <w:r>
              <w:rPr>
                <w:spacing w:val="-4"/>
              </w:rPr>
              <w:t>S5</w:t>
            </w:r>
          </w:p>
        </w:tc>
        <w:tc>
          <w:tcPr>
            <w:tcW w:w="1567" w:type="dxa"/>
            <w:vAlign w:val="top"/>
          </w:tcPr>
          <w:p>
            <w:pPr>
              <w:spacing w:before="244" w:line="218" w:lineRule="auto"/>
              <w:ind w:left="269"/>
              <w:rPr>
                <w:rFonts w:ascii="仿宋" w:hAnsi="仿宋" w:eastAsia="仿宋" w:cs="仿宋"/>
                <w:sz w:val="21"/>
                <w:szCs w:val="21"/>
              </w:rPr>
            </w:pPr>
            <w:r>
              <w:rPr>
                <w:rFonts w:ascii="仿宋" w:hAnsi="仿宋" w:eastAsia="仿宋" w:cs="仿宋"/>
                <w:spacing w:val="-3"/>
                <w:sz w:val="21"/>
                <w:szCs w:val="21"/>
              </w:rPr>
              <w:t>淹没区林地</w:t>
            </w:r>
          </w:p>
        </w:tc>
        <w:tc>
          <w:tcPr>
            <w:tcW w:w="1126" w:type="dxa"/>
            <w:vAlign w:val="top"/>
          </w:tcPr>
          <w:p>
            <w:pPr>
              <w:spacing w:before="67" w:line="215" w:lineRule="auto"/>
              <w:ind w:left="258"/>
              <w:rPr>
                <w:rFonts w:ascii="仿宋" w:hAnsi="仿宋" w:eastAsia="仿宋" w:cs="仿宋"/>
                <w:sz w:val="21"/>
                <w:szCs w:val="21"/>
              </w:rPr>
            </w:pPr>
            <w:r>
              <w:rPr>
                <w:rFonts w:ascii="仿宋" w:hAnsi="仿宋" w:eastAsia="仿宋" w:cs="仿宋"/>
                <w:spacing w:val="-4"/>
                <w:sz w:val="21"/>
                <w:szCs w:val="21"/>
              </w:rPr>
              <w:t>表层样</w:t>
            </w:r>
          </w:p>
        </w:tc>
        <w:tc>
          <w:tcPr>
            <w:tcW w:w="2704" w:type="dxa"/>
            <w:vMerge w:val="continue"/>
            <w:tcBorders>
              <w:top w:val="nil"/>
              <w:bottom w:val="nil"/>
            </w:tcBorders>
            <w:vAlign w:val="top"/>
          </w:tcPr>
          <w:p>
            <w:pPr>
              <w:rPr>
                <w:rFonts w:ascii="Arial"/>
                <w:sz w:val="21"/>
              </w:rPr>
            </w:pPr>
          </w:p>
        </w:tc>
        <w:tc>
          <w:tcPr>
            <w:tcW w:w="1425" w:type="dxa"/>
            <w:vMerge w:val="continue"/>
            <w:tcBorders>
              <w:top w:val="nil"/>
              <w:bottom w:val="nil"/>
            </w:tcBorders>
            <w:vAlign w:val="top"/>
          </w:tcPr>
          <w:p>
            <w:pPr>
              <w:rPr>
                <w:rFonts w:ascii="Arial"/>
                <w:sz w:val="21"/>
              </w:rPr>
            </w:pPr>
          </w:p>
        </w:tc>
        <w:tc>
          <w:tcPr>
            <w:tcW w:w="924"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561" w:type="dxa"/>
            <w:tcBorders>
              <w:left w:val="nil"/>
            </w:tcBorders>
            <w:vAlign w:val="top"/>
          </w:tcPr>
          <w:p>
            <w:pPr>
              <w:pStyle w:val="6"/>
              <w:spacing w:before="264" w:line="188" w:lineRule="auto"/>
              <w:ind w:left="182"/>
            </w:pPr>
            <w:r>
              <w:rPr>
                <w:spacing w:val="-4"/>
              </w:rPr>
              <w:t>S6</w:t>
            </w:r>
          </w:p>
        </w:tc>
        <w:tc>
          <w:tcPr>
            <w:tcW w:w="1567" w:type="dxa"/>
            <w:vAlign w:val="top"/>
          </w:tcPr>
          <w:p>
            <w:pPr>
              <w:spacing w:before="71" w:line="239" w:lineRule="auto"/>
              <w:ind w:left="586" w:right="147" w:hanging="423"/>
              <w:rPr>
                <w:rFonts w:ascii="仿宋" w:hAnsi="仿宋" w:eastAsia="仿宋" w:cs="仿宋"/>
                <w:sz w:val="21"/>
                <w:szCs w:val="21"/>
              </w:rPr>
            </w:pPr>
            <w:r>
              <w:rPr>
                <w:rFonts w:ascii="仿宋" w:hAnsi="仿宋" w:eastAsia="仿宋" w:cs="仿宋"/>
                <w:spacing w:val="-3"/>
                <w:sz w:val="21"/>
                <w:szCs w:val="21"/>
              </w:rPr>
              <w:t>桂花灌片大村</w:t>
            </w:r>
            <w:r>
              <w:rPr>
                <w:rFonts w:ascii="仿宋" w:hAnsi="仿宋" w:eastAsia="仿宋" w:cs="仿宋"/>
                <w:spacing w:val="3"/>
                <w:sz w:val="21"/>
                <w:szCs w:val="21"/>
              </w:rPr>
              <w:t xml:space="preserve"> </w:t>
            </w:r>
            <w:r>
              <w:rPr>
                <w:rFonts w:ascii="仿宋" w:hAnsi="仿宋" w:eastAsia="仿宋" w:cs="仿宋"/>
                <w:spacing w:val="-5"/>
                <w:sz w:val="21"/>
                <w:szCs w:val="21"/>
              </w:rPr>
              <w:t>旱地</w:t>
            </w:r>
          </w:p>
        </w:tc>
        <w:tc>
          <w:tcPr>
            <w:tcW w:w="1126" w:type="dxa"/>
            <w:vAlign w:val="top"/>
          </w:tcPr>
          <w:p>
            <w:pPr>
              <w:spacing w:before="72" w:line="215" w:lineRule="auto"/>
              <w:ind w:left="258"/>
              <w:rPr>
                <w:rFonts w:ascii="仿宋" w:hAnsi="仿宋" w:eastAsia="仿宋" w:cs="仿宋"/>
                <w:sz w:val="21"/>
                <w:szCs w:val="21"/>
              </w:rPr>
            </w:pPr>
            <w:r>
              <w:rPr>
                <w:rFonts w:ascii="仿宋" w:hAnsi="仿宋" w:eastAsia="仿宋" w:cs="仿宋"/>
                <w:spacing w:val="-4"/>
                <w:sz w:val="21"/>
                <w:szCs w:val="21"/>
              </w:rPr>
              <w:t>表层样</w:t>
            </w:r>
          </w:p>
        </w:tc>
        <w:tc>
          <w:tcPr>
            <w:tcW w:w="2704" w:type="dxa"/>
            <w:vMerge w:val="continue"/>
            <w:tcBorders>
              <w:top w:val="nil"/>
              <w:bottom w:val="nil"/>
            </w:tcBorders>
            <w:vAlign w:val="top"/>
          </w:tcPr>
          <w:p>
            <w:pPr>
              <w:rPr>
                <w:rFonts w:ascii="Arial"/>
                <w:sz w:val="21"/>
              </w:rPr>
            </w:pPr>
          </w:p>
        </w:tc>
        <w:tc>
          <w:tcPr>
            <w:tcW w:w="1425" w:type="dxa"/>
            <w:vMerge w:val="continue"/>
            <w:tcBorders>
              <w:top w:val="nil"/>
              <w:bottom w:val="nil"/>
            </w:tcBorders>
            <w:vAlign w:val="top"/>
          </w:tcPr>
          <w:p>
            <w:pPr>
              <w:rPr>
                <w:rFonts w:ascii="Arial"/>
                <w:sz w:val="21"/>
              </w:rPr>
            </w:pPr>
          </w:p>
        </w:tc>
        <w:tc>
          <w:tcPr>
            <w:tcW w:w="924" w:type="dxa"/>
            <w:vMerge w:val="continue"/>
            <w:tcBorders>
              <w:top w:val="nil"/>
              <w:bottom w:val="nil"/>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8" w:hRule="atLeast"/>
        </w:trPr>
        <w:tc>
          <w:tcPr>
            <w:tcW w:w="561" w:type="dxa"/>
            <w:tcBorders>
              <w:left w:val="nil"/>
              <w:bottom w:val="single" w:color="000000" w:sz="12" w:space="0"/>
            </w:tcBorders>
            <w:vAlign w:val="top"/>
          </w:tcPr>
          <w:p>
            <w:pPr>
              <w:pStyle w:val="6"/>
              <w:spacing w:before="267" w:line="188" w:lineRule="auto"/>
              <w:ind w:left="182"/>
            </w:pPr>
            <w:r>
              <w:rPr>
                <w:spacing w:val="-4"/>
              </w:rPr>
              <w:t>S7</w:t>
            </w:r>
          </w:p>
        </w:tc>
        <w:tc>
          <w:tcPr>
            <w:tcW w:w="1567" w:type="dxa"/>
            <w:tcBorders>
              <w:bottom w:val="single" w:color="000000" w:sz="12" w:space="0"/>
            </w:tcBorders>
            <w:vAlign w:val="top"/>
          </w:tcPr>
          <w:p>
            <w:pPr>
              <w:spacing w:before="75" w:line="246" w:lineRule="auto"/>
              <w:ind w:left="476" w:right="147" w:hanging="310"/>
              <w:rPr>
                <w:rFonts w:ascii="仿宋" w:hAnsi="仿宋" w:eastAsia="仿宋" w:cs="仿宋"/>
                <w:sz w:val="21"/>
                <w:szCs w:val="21"/>
              </w:rPr>
            </w:pPr>
            <w:r>
              <w:rPr>
                <w:rFonts w:ascii="仿宋" w:hAnsi="仿宋" w:eastAsia="仿宋" w:cs="仿宋"/>
                <w:spacing w:val="-3"/>
                <w:sz w:val="21"/>
                <w:szCs w:val="21"/>
              </w:rPr>
              <w:t>者纳么灌片下</w:t>
            </w:r>
            <w:r>
              <w:rPr>
                <w:rFonts w:ascii="仿宋" w:hAnsi="仿宋" w:eastAsia="仿宋" w:cs="仿宋"/>
                <w:sz w:val="21"/>
                <w:szCs w:val="21"/>
              </w:rPr>
              <w:t xml:space="preserve"> </w:t>
            </w:r>
            <w:r>
              <w:rPr>
                <w:rFonts w:ascii="仿宋" w:hAnsi="仿宋" w:eastAsia="仿宋" w:cs="仿宋"/>
                <w:spacing w:val="-3"/>
                <w:sz w:val="21"/>
                <w:szCs w:val="21"/>
              </w:rPr>
              <w:t>村旱地</w:t>
            </w:r>
          </w:p>
        </w:tc>
        <w:tc>
          <w:tcPr>
            <w:tcW w:w="1126" w:type="dxa"/>
            <w:tcBorders>
              <w:bottom w:val="single" w:color="000000" w:sz="12" w:space="0"/>
            </w:tcBorders>
            <w:vAlign w:val="top"/>
          </w:tcPr>
          <w:p>
            <w:pPr>
              <w:spacing w:before="75" w:line="215" w:lineRule="auto"/>
              <w:ind w:left="258"/>
              <w:rPr>
                <w:rFonts w:ascii="仿宋" w:hAnsi="仿宋" w:eastAsia="仿宋" w:cs="仿宋"/>
                <w:sz w:val="21"/>
                <w:szCs w:val="21"/>
              </w:rPr>
            </w:pPr>
            <w:r>
              <w:rPr>
                <w:rFonts w:ascii="仿宋" w:hAnsi="仿宋" w:eastAsia="仿宋" w:cs="仿宋"/>
                <w:spacing w:val="-4"/>
                <w:sz w:val="21"/>
                <w:szCs w:val="21"/>
              </w:rPr>
              <w:t>表层样</w:t>
            </w:r>
          </w:p>
        </w:tc>
        <w:tc>
          <w:tcPr>
            <w:tcW w:w="2704" w:type="dxa"/>
            <w:vMerge w:val="continue"/>
            <w:tcBorders>
              <w:top w:val="nil"/>
              <w:bottom w:val="single" w:color="000000" w:sz="12" w:space="0"/>
            </w:tcBorders>
            <w:vAlign w:val="top"/>
          </w:tcPr>
          <w:p>
            <w:pPr>
              <w:rPr>
                <w:rFonts w:ascii="Arial"/>
                <w:sz w:val="21"/>
              </w:rPr>
            </w:pPr>
          </w:p>
        </w:tc>
        <w:tc>
          <w:tcPr>
            <w:tcW w:w="1425" w:type="dxa"/>
            <w:vMerge w:val="continue"/>
            <w:tcBorders>
              <w:top w:val="nil"/>
              <w:bottom w:val="single" w:color="000000" w:sz="12" w:space="0"/>
            </w:tcBorders>
            <w:vAlign w:val="top"/>
          </w:tcPr>
          <w:p>
            <w:pPr>
              <w:rPr>
                <w:rFonts w:ascii="Arial"/>
                <w:sz w:val="21"/>
              </w:rPr>
            </w:pPr>
          </w:p>
        </w:tc>
        <w:tc>
          <w:tcPr>
            <w:tcW w:w="924" w:type="dxa"/>
            <w:vMerge w:val="continue"/>
            <w:tcBorders>
              <w:top w:val="nil"/>
              <w:bottom w:val="single" w:color="000000" w:sz="12" w:space="0"/>
              <w:right w:val="nil"/>
            </w:tcBorders>
            <w:vAlign w:val="top"/>
          </w:tcPr>
          <w:p>
            <w:pPr>
              <w:rPr>
                <w:rFonts w:ascii="Arial"/>
                <w:sz w:val="21"/>
              </w:rPr>
            </w:pPr>
          </w:p>
        </w:tc>
      </w:tr>
    </w:tbl>
    <w:p>
      <w:pPr>
        <w:spacing w:before="146" w:line="218" w:lineRule="auto"/>
        <w:ind w:left="572"/>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）监测结果与评价</w:t>
      </w:r>
    </w:p>
    <w:p>
      <w:pPr>
        <w:spacing w:before="125" w:line="468" w:lineRule="exact"/>
        <w:ind w:left="659"/>
        <w:rPr>
          <w:rFonts w:ascii="Times New Roman" w:hAnsi="Times New Roman" w:eastAsia="Times New Roman" w:cs="Times New Roman"/>
          <w:sz w:val="24"/>
          <w:szCs w:val="24"/>
        </w:rPr>
      </w:pPr>
      <w:r>
        <w:rPr>
          <w:rFonts w:ascii="宋体" w:hAnsi="宋体" w:eastAsia="宋体" w:cs="宋体"/>
          <w:spacing w:val="6"/>
          <w:position w:val="17"/>
          <w:sz w:val="24"/>
          <w:szCs w:val="24"/>
        </w:rPr>
        <w:t xml:space="preserve">各监测点的含盐量监测结果见表 </w:t>
      </w:r>
      <w:r>
        <w:rPr>
          <w:rFonts w:ascii="Times New Roman" w:hAnsi="Times New Roman" w:eastAsia="Times New Roman" w:cs="Times New Roman"/>
          <w:spacing w:val="6"/>
          <w:position w:val="17"/>
          <w:sz w:val="24"/>
          <w:szCs w:val="24"/>
        </w:rPr>
        <w:t>3.2-</w:t>
      </w:r>
      <w:r>
        <w:rPr>
          <w:rFonts w:ascii="Times New Roman" w:hAnsi="Times New Roman" w:eastAsia="Times New Roman" w:cs="Times New Roman"/>
          <w:spacing w:val="-31"/>
          <w:position w:val="17"/>
          <w:sz w:val="24"/>
          <w:szCs w:val="24"/>
        </w:rPr>
        <w:t xml:space="preserve"> </w:t>
      </w:r>
      <w:r>
        <w:rPr>
          <w:rFonts w:ascii="Times New Roman" w:hAnsi="Times New Roman" w:eastAsia="Times New Roman" w:cs="Times New Roman"/>
          <w:spacing w:val="6"/>
          <w:position w:val="17"/>
          <w:sz w:val="24"/>
          <w:szCs w:val="24"/>
        </w:rPr>
        <w:t>13</w:t>
      </w:r>
      <w:r>
        <w:rPr>
          <w:rFonts w:ascii="宋体" w:hAnsi="宋体" w:eastAsia="宋体" w:cs="宋体"/>
          <w:spacing w:val="6"/>
          <w:position w:val="17"/>
          <w:sz w:val="24"/>
          <w:szCs w:val="24"/>
        </w:rPr>
        <w:t>，项目区土壤</w:t>
      </w:r>
      <w:r>
        <w:rPr>
          <w:rFonts w:ascii="宋体" w:hAnsi="宋体" w:eastAsia="宋体" w:cs="宋体"/>
          <w:spacing w:val="5"/>
          <w:position w:val="17"/>
          <w:sz w:val="24"/>
          <w:szCs w:val="24"/>
        </w:rPr>
        <w:t xml:space="preserve">理化特性见表 </w:t>
      </w:r>
      <w:r>
        <w:rPr>
          <w:rFonts w:ascii="Times New Roman" w:hAnsi="Times New Roman" w:eastAsia="Times New Roman" w:cs="Times New Roman"/>
          <w:spacing w:val="5"/>
          <w:position w:val="17"/>
          <w:sz w:val="24"/>
          <w:szCs w:val="24"/>
        </w:rPr>
        <w:t>3.2-</w:t>
      </w:r>
    </w:p>
    <w:p>
      <w:pPr>
        <w:spacing w:line="233" w:lineRule="auto"/>
        <w:ind w:left="104"/>
        <w:rPr>
          <w:rFonts w:ascii="宋体" w:hAnsi="宋体" w:eastAsia="宋体" w:cs="宋体"/>
          <w:sz w:val="24"/>
          <w:szCs w:val="24"/>
        </w:rPr>
      </w:pPr>
      <w:r>
        <w:rPr>
          <w:rFonts w:ascii="Times New Roman" w:hAnsi="Times New Roman" w:eastAsia="Times New Roman" w:cs="Times New Roman"/>
          <w:spacing w:val="-5"/>
          <w:sz w:val="24"/>
          <w:szCs w:val="24"/>
        </w:rPr>
        <w:t>14~15</w:t>
      </w:r>
      <w:r>
        <w:rPr>
          <w:rFonts w:ascii="Times New Roman" w:hAnsi="Times New Roman" w:eastAsia="Times New Roman" w:cs="Times New Roman"/>
          <w:spacing w:val="-18"/>
          <w:sz w:val="24"/>
          <w:szCs w:val="24"/>
        </w:rPr>
        <w:t xml:space="preserve"> </w:t>
      </w:r>
      <w:r>
        <w:rPr>
          <w:rFonts w:ascii="宋体" w:hAnsi="宋体" w:eastAsia="宋体" w:cs="宋体"/>
          <w:spacing w:val="-5"/>
          <w:sz w:val="24"/>
          <w:szCs w:val="24"/>
        </w:rPr>
        <w:t>，监测结果见表</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16~17</w:t>
      </w:r>
      <w:r>
        <w:rPr>
          <w:rFonts w:ascii="宋体" w:hAnsi="宋体" w:eastAsia="宋体" w:cs="宋体"/>
          <w:spacing w:val="-5"/>
          <w:sz w:val="24"/>
          <w:szCs w:val="24"/>
        </w:rPr>
        <w:t>。</w:t>
      </w:r>
    </w:p>
    <w:p>
      <w:pPr>
        <w:spacing w:before="180" w:line="220" w:lineRule="auto"/>
        <w:ind w:left="2569"/>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0"/>
          <w:sz w:val="21"/>
          <w:szCs w:val="21"/>
        </w:rPr>
        <w:t xml:space="preserve"> </w:t>
      </w:r>
      <w:r>
        <w:rPr>
          <w:rFonts w:ascii="Times New Roman" w:hAnsi="Times New Roman" w:eastAsia="Times New Roman" w:cs="Times New Roman"/>
          <w:b/>
          <w:bCs/>
          <w:spacing w:val="-1"/>
          <w:sz w:val="21"/>
          <w:szCs w:val="21"/>
        </w:rPr>
        <w:t xml:space="preserve">3.2-13    </w:t>
      </w:r>
      <w:r>
        <w:rPr>
          <w:rFonts w:ascii="宋体" w:hAnsi="宋体" w:eastAsia="宋体" w:cs="宋体"/>
          <w:spacing w:val="-1"/>
          <w:sz w:val="21"/>
          <w:szCs w:val="21"/>
          <w14:textOutline w14:w="3810" w14:cap="flat" w14:cmpd="sng">
            <w14:solidFill>
              <w14:srgbClr w14:val="000000"/>
            </w14:solidFill>
            <w14:prstDash w14:val="solid"/>
            <w14:miter w14:val="0"/>
          </w14:textOutline>
        </w:rPr>
        <w:t>项目全盐量监测结果分析</w:t>
      </w:r>
    </w:p>
    <w:p>
      <w:pPr>
        <w:spacing w:line="89" w:lineRule="exact"/>
      </w:pPr>
    </w:p>
    <w:tbl>
      <w:tblPr>
        <w:tblStyle w:val="5"/>
        <w:tblW w:w="8307" w:type="dxa"/>
        <w:tblInd w:w="7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19"/>
        <w:gridCol w:w="2003"/>
        <w:gridCol w:w="1960"/>
        <w:gridCol w:w="12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2" w:hRule="atLeast"/>
        </w:trPr>
        <w:tc>
          <w:tcPr>
            <w:tcW w:w="3119" w:type="dxa"/>
            <w:tcBorders>
              <w:top w:val="single" w:color="000000" w:sz="12" w:space="0"/>
              <w:left w:val="nil"/>
            </w:tcBorders>
            <w:vAlign w:val="top"/>
          </w:tcPr>
          <w:p>
            <w:pPr>
              <w:spacing w:before="207" w:line="217" w:lineRule="auto"/>
              <w:ind w:left="115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监测点位</w:t>
            </w:r>
          </w:p>
        </w:tc>
        <w:tc>
          <w:tcPr>
            <w:tcW w:w="2003" w:type="dxa"/>
            <w:tcBorders>
              <w:top w:val="single" w:color="000000" w:sz="12" w:space="0"/>
            </w:tcBorders>
            <w:vAlign w:val="top"/>
          </w:tcPr>
          <w:p>
            <w:pPr>
              <w:spacing w:before="207" w:line="215" w:lineRule="auto"/>
              <w:ind w:left="59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采样层位</w:t>
            </w:r>
          </w:p>
        </w:tc>
        <w:tc>
          <w:tcPr>
            <w:tcW w:w="1960" w:type="dxa"/>
            <w:tcBorders>
              <w:top w:val="single" w:color="000000" w:sz="12" w:space="0"/>
            </w:tcBorders>
            <w:vAlign w:val="top"/>
          </w:tcPr>
          <w:p>
            <w:pPr>
              <w:pStyle w:val="6"/>
              <w:spacing w:before="51" w:line="233" w:lineRule="auto"/>
              <w:ind w:left="436"/>
            </w:pPr>
            <w:r>
              <w:rPr>
                <w:rFonts w:ascii="仿宋" w:hAnsi="仿宋" w:eastAsia="仿宋" w:cs="仿宋"/>
                <w:spacing w:val="-2"/>
                <w14:textOutline w14:w="3810" w14:cap="flat" w14:cmpd="sng">
                  <w14:solidFill>
                    <w14:srgbClr w14:val="000000"/>
                  </w14:solidFill>
                  <w14:prstDash w14:val="solid"/>
                  <w14:miter w14:val="0"/>
                </w14:textOutline>
              </w:rPr>
              <w:t>土壤含盐量</w:t>
            </w:r>
            <w:r>
              <w:rPr>
                <w:b/>
                <w:bCs/>
                <w:spacing w:val="-2"/>
              </w:rPr>
              <w:t>/</w:t>
            </w:r>
          </w:p>
          <w:p>
            <w:pPr>
              <w:pStyle w:val="6"/>
              <w:spacing w:before="46" w:line="212" w:lineRule="auto"/>
              <w:ind w:left="586"/>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w:t>
            </w:r>
            <w:r>
              <w:rPr>
                <w:b/>
                <w:bCs/>
                <w:spacing w:val="-2"/>
              </w:rPr>
              <w:t>g/kg</w:t>
            </w:r>
            <w:r>
              <w:rPr>
                <w:rFonts w:ascii="仿宋" w:hAnsi="仿宋" w:eastAsia="仿宋" w:cs="仿宋"/>
                <w:spacing w:val="-2"/>
                <w14:textOutline w14:w="3810" w14:cap="flat" w14:cmpd="sng">
                  <w14:solidFill>
                    <w14:srgbClr w14:val="000000"/>
                  </w14:solidFill>
                  <w14:prstDash w14:val="solid"/>
                  <w14:miter w14:val="0"/>
                </w14:textOutline>
              </w:rPr>
              <w:t>）</w:t>
            </w:r>
          </w:p>
        </w:tc>
        <w:tc>
          <w:tcPr>
            <w:tcW w:w="1225" w:type="dxa"/>
            <w:tcBorders>
              <w:top w:val="single" w:color="000000" w:sz="12" w:space="0"/>
              <w:right w:val="nil"/>
            </w:tcBorders>
            <w:vAlign w:val="top"/>
          </w:tcPr>
          <w:p>
            <w:pPr>
              <w:spacing w:before="207" w:line="217" w:lineRule="auto"/>
              <w:ind w:left="20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分析结果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3" w:hRule="atLeast"/>
        </w:trPr>
        <w:tc>
          <w:tcPr>
            <w:tcW w:w="3119" w:type="dxa"/>
            <w:tcBorders>
              <w:left w:val="nil"/>
            </w:tcBorders>
            <w:vAlign w:val="top"/>
          </w:tcPr>
          <w:p>
            <w:pPr>
              <w:spacing w:before="57" w:line="216" w:lineRule="auto"/>
              <w:ind w:left="1047"/>
              <w:rPr>
                <w:rFonts w:ascii="仿宋" w:hAnsi="仿宋" w:eastAsia="仿宋" w:cs="仿宋"/>
                <w:sz w:val="21"/>
                <w:szCs w:val="21"/>
              </w:rPr>
            </w:pPr>
            <w:r>
              <w:rPr>
                <w:rFonts w:ascii="仿宋" w:hAnsi="仿宋" w:eastAsia="仿宋" w:cs="仿宋"/>
                <w:spacing w:val="-3"/>
                <w:sz w:val="21"/>
                <w:szCs w:val="21"/>
              </w:rPr>
              <w:t>枢纽区库头</w:t>
            </w:r>
          </w:p>
        </w:tc>
        <w:tc>
          <w:tcPr>
            <w:tcW w:w="2003"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61" w:line="188" w:lineRule="auto"/>
              <w:ind w:left="704"/>
            </w:pPr>
            <w:r>
              <w:rPr>
                <w:spacing w:val="-2"/>
              </w:rPr>
              <w:t>0-0.2m</w:t>
            </w:r>
          </w:p>
        </w:tc>
        <w:tc>
          <w:tcPr>
            <w:tcW w:w="1960" w:type="dxa"/>
            <w:vAlign w:val="top"/>
          </w:tcPr>
          <w:p>
            <w:pPr>
              <w:pStyle w:val="6"/>
              <w:spacing w:before="94" w:line="188" w:lineRule="auto"/>
              <w:ind w:left="852"/>
            </w:pPr>
            <w:r>
              <w:rPr>
                <w:spacing w:val="-3"/>
              </w:rPr>
              <w:t>0.3</w:t>
            </w:r>
          </w:p>
        </w:tc>
        <w:tc>
          <w:tcPr>
            <w:tcW w:w="1225" w:type="dxa"/>
            <w:tcBorders>
              <w:right w:val="nil"/>
            </w:tcBorders>
            <w:vAlign w:val="top"/>
          </w:tcPr>
          <w:p>
            <w:pPr>
              <w:spacing w:before="57" w:line="216" w:lineRule="auto"/>
              <w:ind w:left="310"/>
              <w:rPr>
                <w:rFonts w:ascii="仿宋" w:hAnsi="仿宋" w:eastAsia="仿宋" w:cs="仿宋"/>
                <w:sz w:val="21"/>
                <w:szCs w:val="21"/>
              </w:rPr>
            </w:pPr>
            <w:r>
              <w:rPr>
                <w:rFonts w:ascii="仿宋" w:hAnsi="仿宋" w:eastAsia="仿宋" w:cs="仿宋"/>
                <w:spacing w:val="-4"/>
                <w:sz w:val="21"/>
                <w:szCs w:val="21"/>
              </w:rPr>
              <w:t>未盐化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3" w:hRule="atLeast"/>
        </w:trPr>
        <w:tc>
          <w:tcPr>
            <w:tcW w:w="3119" w:type="dxa"/>
            <w:tcBorders>
              <w:left w:val="nil"/>
            </w:tcBorders>
            <w:vAlign w:val="top"/>
          </w:tcPr>
          <w:p>
            <w:pPr>
              <w:spacing w:before="61" w:line="212" w:lineRule="auto"/>
              <w:ind w:left="1366"/>
              <w:rPr>
                <w:rFonts w:ascii="仿宋" w:hAnsi="仿宋" w:eastAsia="仿宋" w:cs="仿宋"/>
                <w:sz w:val="21"/>
                <w:szCs w:val="21"/>
              </w:rPr>
            </w:pPr>
            <w:r>
              <w:rPr>
                <w:rFonts w:ascii="仿宋" w:hAnsi="仿宋" w:eastAsia="仿宋" w:cs="仿宋"/>
                <w:spacing w:val="-5"/>
                <w:sz w:val="21"/>
                <w:szCs w:val="21"/>
              </w:rPr>
              <w:t>库中</w:t>
            </w:r>
          </w:p>
        </w:tc>
        <w:tc>
          <w:tcPr>
            <w:tcW w:w="2003" w:type="dxa"/>
            <w:vMerge w:val="continue"/>
            <w:tcBorders>
              <w:top w:val="nil"/>
              <w:bottom w:val="nil"/>
            </w:tcBorders>
            <w:vAlign w:val="top"/>
          </w:tcPr>
          <w:p>
            <w:pPr>
              <w:rPr>
                <w:rFonts w:ascii="Arial"/>
                <w:sz w:val="21"/>
              </w:rPr>
            </w:pPr>
          </w:p>
        </w:tc>
        <w:tc>
          <w:tcPr>
            <w:tcW w:w="1960" w:type="dxa"/>
            <w:vAlign w:val="top"/>
          </w:tcPr>
          <w:p>
            <w:pPr>
              <w:pStyle w:val="6"/>
              <w:spacing w:before="97" w:line="188" w:lineRule="auto"/>
              <w:ind w:left="852"/>
            </w:pPr>
            <w:r>
              <w:rPr>
                <w:spacing w:val="-3"/>
              </w:rPr>
              <w:t>0.7</w:t>
            </w:r>
          </w:p>
        </w:tc>
        <w:tc>
          <w:tcPr>
            <w:tcW w:w="1225" w:type="dxa"/>
            <w:tcBorders>
              <w:right w:val="nil"/>
            </w:tcBorders>
            <w:vAlign w:val="top"/>
          </w:tcPr>
          <w:p>
            <w:pPr>
              <w:spacing w:before="61" w:line="212" w:lineRule="auto"/>
              <w:ind w:left="310"/>
              <w:rPr>
                <w:rFonts w:ascii="仿宋" w:hAnsi="仿宋" w:eastAsia="仿宋" w:cs="仿宋"/>
                <w:sz w:val="21"/>
                <w:szCs w:val="21"/>
              </w:rPr>
            </w:pPr>
            <w:r>
              <w:rPr>
                <w:rFonts w:ascii="仿宋" w:hAnsi="仿宋" w:eastAsia="仿宋" w:cs="仿宋"/>
                <w:spacing w:val="-4"/>
                <w:sz w:val="21"/>
                <w:szCs w:val="21"/>
              </w:rPr>
              <w:t>未盐化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3119" w:type="dxa"/>
            <w:tcBorders>
              <w:left w:val="nil"/>
            </w:tcBorders>
            <w:vAlign w:val="top"/>
          </w:tcPr>
          <w:p>
            <w:pPr>
              <w:spacing w:before="66" w:line="210" w:lineRule="auto"/>
              <w:ind w:left="1366"/>
              <w:rPr>
                <w:rFonts w:ascii="仿宋" w:hAnsi="仿宋" w:eastAsia="仿宋" w:cs="仿宋"/>
                <w:sz w:val="21"/>
                <w:szCs w:val="21"/>
              </w:rPr>
            </w:pPr>
            <w:r>
              <w:rPr>
                <w:rFonts w:ascii="仿宋" w:hAnsi="仿宋" w:eastAsia="仿宋" w:cs="仿宋"/>
                <w:spacing w:val="-5"/>
                <w:sz w:val="21"/>
                <w:szCs w:val="21"/>
              </w:rPr>
              <w:t>库尾</w:t>
            </w:r>
          </w:p>
        </w:tc>
        <w:tc>
          <w:tcPr>
            <w:tcW w:w="2003" w:type="dxa"/>
            <w:vMerge w:val="continue"/>
            <w:tcBorders>
              <w:top w:val="nil"/>
              <w:bottom w:val="nil"/>
            </w:tcBorders>
            <w:vAlign w:val="top"/>
          </w:tcPr>
          <w:p>
            <w:pPr>
              <w:rPr>
                <w:rFonts w:ascii="Arial"/>
                <w:sz w:val="21"/>
              </w:rPr>
            </w:pPr>
          </w:p>
        </w:tc>
        <w:tc>
          <w:tcPr>
            <w:tcW w:w="1960" w:type="dxa"/>
            <w:vAlign w:val="top"/>
          </w:tcPr>
          <w:p>
            <w:pPr>
              <w:pStyle w:val="6"/>
              <w:spacing w:before="102" w:line="188" w:lineRule="auto"/>
              <w:ind w:left="852"/>
            </w:pPr>
            <w:r>
              <w:rPr>
                <w:spacing w:val="-3"/>
              </w:rPr>
              <w:t>0.4</w:t>
            </w:r>
          </w:p>
        </w:tc>
        <w:tc>
          <w:tcPr>
            <w:tcW w:w="1225" w:type="dxa"/>
            <w:tcBorders>
              <w:right w:val="nil"/>
            </w:tcBorders>
            <w:vAlign w:val="top"/>
          </w:tcPr>
          <w:p>
            <w:pPr>
              <w:spacing w:before="66" w:line="210" w:lineRule="auto"/>
              <w:ind w:left="310"/>
              <w:rPr>
                <w:rFonts w:ascii="仿宋" w:hAnsi="仿宋" w:eastAsia="仿宋" w:cs="仿宋"/>
                <w:sz w:val="21"/>
                <w:szCs w:val="21"/>
              </w:rPr>
            </w:pPr>
            <w:r>
              <w:rPr>
                <w:rFonts w:ascii="仿宋" w:hAnsi="仿宋" w:eastAsia="仿宋" w:cs="仿宋"/>
                <w:spacing w:val="-4"/>
                <w:sz w:val="21"/>
                <w:szCs w:val="21"/>
              </w:rPr>
              <w:t>未盐化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3" w:hRule="atLeast"/>
        </w:trPr>
        <w:tc>
          <w:tcPr>
            <w:tcW w:w="3119" w:type="dxa"/>
            <w:tcBorders>
              <w:left w:val="nil"/>
            </w:tcBorders>
            <w:vAlign w:val="top"/>
          </w:tcPr>
          <w:p>
            <w:pPr>
              <w:spacing w:before="67" w:line="207" w:lineRule="auto"/>
              <w:ind w:left="839"/>
              <w:rPr>
                <w:rFonts w:ascii="仿宋" w:hAnsi="仿宋" w:eastAsia="仿宋" w:cs="仿宋"/>
                <w:sz w:val="21"/>
                <w:szCs w:val="21"/>
              </w:rPr>
            </w:pPr>
            <w:r>
              <w:rPr>
                <w:rFonts w:ascii="仿宋" w:hAnsi="仿宋" w:eastAsia="仿宋" w:cs="仿宋"/>
                <w:spacing w:val="-2"/>
                <w:sz w:val="21"/>
                <w:szCs w:val="21"/>
              </w:rPr>
              <w:t>淹没区扯嘿旱地</w:t>
            </w:r>
          </w:p>
        </w:tc>
        <w:tc>
          <w:tcPr>
            <w:tcW w:w="2003" w:type="dxa"/>
            <w:vMerge w:val="continue"/>
            <w:tcBorders>
              <w:top w:val="nil"/>
              <w:bottom w:val="nil"/>
            </w:tcBorders>
            <w:vAlign w:val="top"/>
          </w:tcPr>
          <w:p>
            <w:pPr>
              <w:rPr>
                <w:rFonts w:ascii="Arial"/>
                <w:sz w:val="21"/>
              </w:rPr>
            </w:pPr>
          </w:p>
        </w:tc>
        <w:tc>
          <w:tcPr>
            <w:tcW w:w="1960" w:type="dxa"/>
            <w:vAlign w:val="top"/>
          </w:tcPr>
          <w:p>
            <w:pPr>
              <w:pStyle w:val="6"/>
              <w:spacing w:before="104" w:line="188" w:lineRule="auto"/>
              <w:ind w:left="852"/>
            </w:pPr>
            <w:r>
              <w:rPr>
                <w:spacing w:val="-3"/>
              </w:rPr>
              <w:t>0.9</w:t>
            </w:r>
          </w:p>
        </w:tc>
        <w:tc>
          <w:tcPr>
            <w:tcW w:w="1225" w:type="dxa"/>
            <w:tcBorders>
              <w:right w:val="nil"/>
            </w:tcBorders>
            <w:vAlign w:val="top"/>
          </w:tcPr>
          <w:p>
            <w:pPr>
              <w:spacing w:before="67" w:line="207" w:lineRule="auto"/>
              <w:ind w:left="310"/>
              <w:rPr>
                <w:rFonts w:ascii="仿宋" w:hAnsi="仿宋" w:eastAsia="仿宋" w:cs="仿宋"/>
                <w:sz w:val="21"/>
                <w:szCs w:val="21"/>
              </w:rPr>
            </w:pPr>
            <w:r>
              <w:rPr>
                <w:rFonts w:ascii="仿宋" w:hAnsi="仿宋" w:eastAsia="仿宋" w:cs="仿宋"/>
                <w:spacing w:val="-4"/>
                <w:sz w:val="21"/>
                <w:szCs w:val="21"/>
              </w:rPr>
              <w:t>未盐化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3" w:hRule="atLeast"/>
        </w:trPr>
        <w:tc>
          <w:tcPr>
            <w:tcW w:w="3119" w:type="dxa"/>
            <w:tcBorders>
              <w:left w:val="nil"/>
            </w:tcBorders>
            <w:vAlign w:val="top"/>
          </w:tcPr>
          <w:p>
            <w:pPr>
              <w:spacing w:before="70" w:line="204" w:lineRule="auto"/>
              <w:ind w:left="1049"/>
              <w:rPr>
                <w:rFonts w:ascii="仿宋" w:hAnsi="仿宋" w:eastAsia="仿宋" w:cs="仿宋"/>
                <w:sz w:val="21"/>
                <w:szCs w:val="21"/>
              </w:rPr>
            </w:pPr>
            <w:r>
              <w:rPr>
                <w:rFonts w:ascii="仿宋" w:hAnsi="仿宋" w:eastAsia="仿宋" w:cs="仿宋"/>
                <w:spacing w:val="-3"/>
                <w:sz w:val="21"/>
                <w:szCs w:val="21"/>
              </w:rPr>
              <w:t>淹没区林地</w:t>
            </w:r>
          </w:p>
        </w:tc>
        <w:tc>
          <w:tcPr>
            <w:tcW w:w="2003" w:type="dxa"/>
            <w:vMerge w:val="continue"/>
            <w:tcBorders>
              <w:top w:val="nil"/>
              <w:bottom w:val="nil"/>
            </w:tcBorders>
            <w:vAlign w:val="top"/>
          </w:tcPr>
          <w:p>
            <w:pPr>
              <w:rPr>
                <w:rFonts w:ascii="Arial"/>
                <w:sz w:val="21"/>
              </w:rPr>
            </w:pPr>
          </w:p>
        </w:tc>
        <w:tc>
          <w:tcPr>
            <w:tcW w:w="1960" w:type="dxa"/>
            <w:vAlign w:val="top"/>
          </w:tcPr>
          <w:p>
            <w:pPr>
              <w:pStyle w:val="6"/>
              <w:spacing w:before="107" w:line="188" w:lineRule="auto"/>
              <w:ind w:left="852"/>
            </w:pPr>
            <w:r>
              <w:rPr>
                <w:spacing w:val="-3"/>
              </w:rPr>
              <w:t>0.3</w:t>
            </w:r>
          </w:p>
        </w:tc>
        <w:tc>
          <w:tcPr>
            <w:tcW w:w="1225" w:type="dxa"/>
            <w:tcBorders>
              <w:right w:val="nil"/>
            </w:tcBorders>
            <w:vAlign w:val="top"/>
          </w:tcPr>
          <w:p>
            <w:pPr>
              <w:spacing w:before="70" w:line="204" w:lineRule="auto"/>
              <w:ind w:left="310"/>
              <w:rPr>
                <w:rFonts w:ascii="仿宋" w:hAnsi="仿宋" w:eastAsia="仿宋" w:cs="仿宋"/>
                <w:sz w:val="21"/>
                <w:szCs w:val="21"/>
              </w:rPr>
            </w:pPr>
            <w:r>
              <w:rPr>
                <w:rFonts w:ascii="仿宋" w:hAnsi="仿宋" w:eastAsia="仿宋" w:cs="仿宋"/>
                <w:spacing w:val="-4"/>
                <w:sz w:val="21"/>
                <w:szCs w:val="21"/>
              </w:rPr>
              <w:t>未盐化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3119" w:type="dxa"/>
            <w:tcBorders>
              <w:left w:val="nil"/>
            </w:tcBorders>
            <w:vAlign w:val="top"/>
          </w:tcPr>
          <w:p>
            <w:pPr>
              <w:spacing w:before="76" w:line="201" w:lineRule="auto"/>
              <w:ind w:left="732"/>
              <w:rPr>
                <w:rFonts w:ascii="仿宋" w:hAnsi="仿宋" w:eastAsia="仿宋" w:cs="仿宋"/>
                <w:sz w:val="21"/>
                <w:szCs w:val="21"/>
              </w:rPr>
            </w:pPr>
            <w:r>
              <w:rPr>
                <w:rFonts w:ascii="仿宋" w:hAnsi="仿宋" w:eastAsia="仿宋" w:cs="仿宋"/>
                <w:spacing w:val="-2"/>
                <w:sz w:val="21"/>
                <w:szCs w:val="21"/>
              </w:rPr>
              <w:t>桂花灌片大村旱地</w:t>
            </w:r>
          </w:p>
        </w:tc>
        <w:tc>
          <w:tcPr>
            <w:tcW w:w="2003" w:type="dxa"/>
            <w:vMerge w:val="continue"/>
            <w:tcBorders>
              <w:top w:val="nil"/>
              <w:bottom w:val="nil"/>
            </w:tcBorders>
            <w:vAlign w:val="top"/>
          </w:tcPr>
          <w:p>
            <w:pPr>
              <w:rPr>
                <w:rFonts w:ascii="Arial"/>
                <w:sz w:val="21"/>
              </w:rPr>
            </w:pPr>
          </w:p>
        </w:tc>
        <w:tc>
          <w:tcPr>
            <w:tcW w:w="1960" w:type="dxa"/>
            <w:vAlign w:val="top"/>
          </w:tcPr>
          <w:p>
            <w:pPr>
              <w:pStyle w:val="6"/>
              <w:spacing w:before="112" w:line="188" w:lineRule="auto"/>
              <w:ind w:left="852"/>
            </w:pPr>
            <w:r>
              <w:rPr>
                <w:spacing w:val="-3"/>
              </w:rPr>
              <w:t>0.6</w:t>
            </w:r>
          </w:p>
        </w:tc>
        <w:tc>
          <w:tcPr>
            <w:tcW w:w="1225" w:type="dxa"/>
            <w:tcBorders>
              <w:right w:val="nil"/>
            </w:tcBorders>
            <w:vAlign w:val="top"/>
          </w:tcPr>
          <w:p>
            <w:pPr>
              <w:spacing w:before="76" w:line="201" w:lineRule="auto"/>
              <w:ind w:left="310"/>
              <w:rPr>
                <w:rFonts w:ascii="仿宋" w:hAnsi="仿宋" w:eastAsia="仿宋" w:cs="仿宋"/>
                <w:sz w:val="21"/>
                <w:szCs w:val="21"/>
              </w:rPr>
            </w:pPr>
            <w:r>
              <w:rPr>
                <w:rFonts w:ascii="仿宋" w:hAnsi="仿宋" w:eastAsia="仿宋" w:cs="仿宋"/>
                <w:spacing w:val="-4"/>
                <w:sz w:val="21"/>
                <w:szCs w:val="21"/>
              </w:rPr>
              <w:t>未盐化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8" w:hRule="atLeast"/>
        </w:trPr>
        <w:tc>
          <w:tcPr>
            <w:tcW w:w="3119" w:type="dxa"/>
            <w:tcBorders>
              <w:left w:val="nil"/>
              <w:bottom w:val="single" w:color="000000" w:sz="12" w:space="0"/>
            </w:tcBorders>
            <w:vAlign w:val="top"/>
          </w:tcPr>
          <w:p>
            <w:pPr>
              <w:spacing w:before="78" w:line="217" w:lineRule="auto"/>
              <w:ind w:left="631"/>
              <w:rPr>
                <w:rFonts w:ascii="仿宋" w:hAnsi="仿宋" w:eastAsia="仿宋" w:cs="仿宋"/>
                <w:sz w:val="21"/>
                <w:szCs w:val="21"/>
              </w:rPr>
            </w:pPr>
            <w:r>
              <w:rPr>
                <w:rFonts w:ascii="仿宋" w:hAnsi="仿宋" w:eastAsia="仿宋" w:cs="仿宋"/>
                <w:spacing w:val="-2"/>
                <w:sz w:val="21"/>
                <w:szCs w:val="21"/>
              </w:rPr>
              <w:t>者纳么灌片下村旱地</w:t>
            </w:r>
          </w:p>
        </w:tc>
        <w:tc>
          <w:tcPr>
            <w:tcW w:w="2003" w:type="dxa"/>
            <w:vMerge w:val="continue"/>
            <w:tcBorders>
              <w:top w:val="nil"/>
              <w:bottom w:val="single" w:color="000000" w:sz="12" w:space="0"/>
            </w:tcBorders>
            <w:vAlign w:val="top"/>
          </w:tcPr>
          <w:p>
            <w:pPr>
              <w:rPr>
                <w:rFonts w:ascii="Arial"/>
                <w:sz w:val="21"/>
              </w:rPr>
            </w:pPr>
          </w:p>
        </w:tc>
        <w:tc>
          <w:tcPr>
            <w:tcW w:w="1960" w:type="dxa"/>
            <w:tcBorders>
              <w:bottom w:val="single" w:color="000000" w:sz="12" w:space="0"/>
            </w:tcBorders>
            <w:vAlign w:val="top"/>
          </w:tcPr>
          <w:p>
            <w:pPr>
              <w:pStyle w:val="6"/>
              <w:spacing w:before="114" w:line="188" w:lineRule="auto"/>
              <w:ind w:left="869"/>
            </w:pPr>
            <w:r>
              <w:rPr>
                <w:spacing w:val="-8"/>
              </w:rPr>
              <w:t>1.1</w:t>
            </w:r>
          </w:p>
        </w:tc>
        <w:tc>
          <w:tcPr>
            <w:tcW w:w="1225" w:type="dxa"/>
            <w:tcBorders>
              <w:bottom w:val="single" w:color="000000" w:sz="12" w:space="0"/>
              <w:right w:val="nil"/>
            </w:tcBorders>
            <w:vAlign w:val="top"/>
          </w:tcPr>
          <w:p>
            <w:pPr>
              <w:spacing w:before="77" w:line="218" w:lineRule="auto"/>
              <w:ind w:left="310"/>
              <w:rPr>
                <w:rFonts w:ascii="仿宋" w:hAnsi="仿宋" w:eastAsia="仿宋" w:cs="仿宋"/>
                <w:sz w:val="21"/>
                <w:szCs w:val="21"/>
              </w:rPr>
            </w:pPr>
            <w:r>
              <w:rPr>
                <w:rFonts w:ascii="仿宋" w:hAnsi="仿宋" w:eastAsia="仿宋" w:cs="仿宋"/>
                <w:spacing w:val="-4"/>
                <w:sz w:val="21"/>
                <w:szCs w:val="21"/>
              </w:rPr>
              <w:t>未盐化</w:t>
            </w:r>
          </w:p>
        </w:tc>
      </w:tr>
    </w:tbl>
    <w:p>
      <w:pPr>
        <w:spacing w:before="128" w:line="220" w:lineRule="auto"/>
        <w:ind w:left="2833"/>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6"/>
          <w:sz w:val="21"/>
          <w:szCs w:val="21"/>
        </w:rPr>
        <w:t xml:space="preserve"> </w:t>
      </w:r>
      <w:r>
        <w:rPr>
          <w:rFonts w:ascii="Times New Roman" w:hAnsi="Times New Roman" w:eastAsia="Times New Roman" w:cs="Times New Roman"/>
          <w:b/>
          <w:bCs/>
          <w:spacing w:val="-1"/>
          <w:sz w:val="21"/>
          <w:szCs w:val="21"/>
        </w:rPr>
        <w:t xml:space="preserve">3.2-14  </w:t>
      </w:r>
      <w:r>
        <w:rPr>
          <w:rFonts w:ascii="宋体" w:hAnsi="宋体" w:eastAsia="宋体" w:cs="宋体"/>
          <w:spacing w:val="-1"/>
          <w:sz w:val="21"/>
          <w:szCs w:val="21"/>
          <w14:textOutline w14:w="3810" w14:cap="flat" w14:cmpd="sng">
            <w14:solidFill>
              <w14:srgbClr w14:val="000000"/>
            </w14:solidFill>
            <w14:prstDash w14:val="solid"/>
            <w14:miter w14:val="0"/>
          </w14:textOutline>
        </w:rPr>
        <w:t>土壤理化特性调查表</w:t>
      </w:r>
    </w:p>
    <w:p>
      <w:pPr>
        <w:spacing w:line="89" w:lineRule="exact"/>
      </w:pPr>
    </w:p>
    <w:tbl>
      <w:tblPr>
        <w:tblStyle w:val="5"/>
        <w:tblW w:w="844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76"/>
        <w:gridCol w:w="1260"/>
        <w:gridCol w:w="1267"/>
        <w:gridCol w:w="1244"/>
        <w:gridCol w:w="1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8" w:hRule="atLeast"/>
        </w:trPr>
        <w:tc>
          <w:tcPr>
            <w:tcW w:w="3576" w:type="dxa"/>
            <w:tcBorders>
              <w:top w:val="single" w:color="000000" w:sz="12" w:space="0"/>
              <w:left w:val="nil"/>
            </w:tcBorders>
            <w:vAlign w:val="top"/>
          </w:tcPr>
          <w:p>
            <w:pPr>
              <w:spacing w:before="207" w:line="220" w:lineRule="auto"/>
              <w:ind w:left="1607"/>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点号</w:t>
            </w:r>
          </w:p>
        </w:tc>
        <w:tc>
          <w:tcPr>
            <w:tcW w:w="1260" w:type="dxa"/>
            <w:tcBorders>
              <w:top w:val="single" w:color="000000" w:sz="12" w:space="0"/>
            </w:tcBorders>
            <w:vAlign w:val="top"/>
          </w:tcPr>
          <w:p>
            <w:pPr>
              <w:pStyle w:val="6"/>
              <w:spacing w:before="51" w:line="312" w:lineRule="exact"/>
              <w:ind w:left="331"/>
            </w:pPr>
            <w:r>
              <w:rPr>
                <w:b/>
                <w:bCs/>
                <w:spacing w:val="-2"/>
                <w:position w:val="7"/>
              </w:rPr>
              <w:t>S1</w:t>
            </w:r>
            <w:r>
              <w:rPr>
                <w:rFonts w:ascii="仿宋" w:hAnsi="仿宋" w:eastAsia="仿宋" w:cs="仿宋"/>
                <w:spacing w:val="-2"/>
                <w:position w:val="7"/>
                <w14:textOutline w14:w="3810" w14:cap="flat" w14:cmpd="sng">
                  <w14:solidFill>
                    <w14:srgbClr w14:val="000000"/>
                  </w14:solidFill>
                  <w14:prstDash w14:val="solid"/>
                  <w14:miter w14:val="0"/>
                </w14:textOutline>
              </w:rPr>
              <w:t>（</w:t>
            </w:r>
            <w:r>
              <w:rPr>
                <w:b/>
                <w:bCs/>
                <w:spacing w:val="-2"/>
                <w:position w:val="7"/>
              </w:rPr>
              <w:t>0-</w:t>
            </w:r>
          </w:p>
          <w:p>
            <w:pPr>
              <w:pStyle w:val="6"/>
              <w:spacing w:line="214" w:lineRule="auto"/>
              <w:ind w:left="284"/>
              <w:rPr>
                <w:rFonts w:ascii="仿宋" w:hAnsi="仿宋" w:eastAsia="仿宋" w:cs="仿宋"/>
              </w:rPr>
            </w:pPr>
            <w:r>
              <w:rPr>
                <w:b/>
                <w:bCs/>
                <w:spacing w:val="-1"/>
              </w:rPr>
              <w:t>20cm</w:t>
            </w:r>
            <w:r>
              <w:rPr>
                <w:rFonts w:ascii="仿宋" w:hAnsi="仿宋" w:eastAsia="仿宋" w:cs="仿宋"/>
                <w:spacing w:val="-1"/>
                <w14:textOutline w14:w="3810" w14:cap="flat" w14:cmpd="sng">
                  <w14:solidFill>
                    <w14:srgbClr w14:val="000000"/>
                  </w14:solidFill>
                  <w14:prstDash w14:val="solid"/>
                  <w14:miter w14:val="0"/>
                </w14:textOutline>
              </w:rPr>
              <w:t>）</w:t>
            </w:r>
          </w:p>
        </w:tc>
        <w:tc>
          <w:tcPr>
            <w:tcW w:w="1267" w:type="dxa"/>
            <w:tcBorders>
              <w:top w:val="single" w:color="000000" w:sz="12" w:space="0"/>
            </w:tcBorders>
            <w:vAlign w:val="top"/>
          </w:tcPr>
          <w:p>
            <w:pPr>
              <w:pStyle w:val="6"/>
              <w:spacing w:before="51" w:line="312" w:lineRule="exact"/>
              <w:ind w:left="335"/>
            </w:pPr>
            <w:r>
              <w:rPr>
                <w:b/>
                <w:bCs/>
                <w:spacing w:val="-2"/>
                <w:position w:val="7"/>
              </w:rPr>
              <w:t>S2</w:t>
            </w:r>
            <w:r>
              <w:rPr>
                <w:rFonts w:ascii="仿宋" w:hAnsi="仿宋" w:eastAsia="仿宋" w:cs="仿宋"/>
                <w:spacing w:val="-2"/>
                <w:position w:val="7"/>
                <w14:textOutline w14:w="3810" w14:cap="flat" w14:cmpd="sng">
                  <w14:solidFill>
                    <w14:srgbClr w14:val="000000"/>
                  </w14:solidFill>
                  <w14:prstDash w14:val="solid"/>
                  <w14:miter w14:val="0"/>
                </w14:textOutline>
              </w:rPr>
              <w:t>（</w:t>
            </w:r>
            <w:r>
              <w:rPr>
                <w:b/>
                <w:bCs/>
                <w:spacing w:val="-2"/>
                <w:position w:val="7"/>
              </w:rPr>
              <w:t>0-</w:t>
            </w:r>
          </w:p>
          <w:p>
            <w:pPr>
              <w:pStyle w:val="6"/>
              <w:spacing w:line="214" w:lineRule="auto"/>
              <w:ind w:left="288"/>
              <w:rPr>
                <w:rFonts w:ascii="仿宋" w:hAnsi="仿宋" w:eastAsia="仿宋" w:cs="仿宋"/>
              </w:rPr>
            </w:pPr>
            <w:r>
              <w:rPr>
                <w:b/>
                <w:bCs/>
                <w:spacing w:val="-1"/>
              </w:rPr>
              <w:t>20cm</w:t>
            </w:r>
            <w:r>
              <w:rPr>
                <w:rFonts w:ascii="仿宋" w:hAnsi="仿宋" w:eastAsia="仿宋" w:cs="仿宋"/>
                <w:spacing w:val="-1"/>
                <w14:textOutline w14:w="3810" w14:cap="flat" w14:cmpd="sng">
                  <w14:solidFill>
                    <w14:srgbClr w14:val="000000"/>
                  </w14:solidFill>
                  <w14:prstDash w14:val="solid"/>
                  <w14:miter w14:val="0"/>
                </w14:textOutline>
              </w:rPr>
              <w:t>）</w:t>
            </w:r>
          </w:p>
        </w:tc>
        <w:tc>
          <w:tcPr>
            <w:tcW w:w="1244" w:type="dxa"/>
            <w:tcBorders>
              <w:top w:val="single" w:color="000000" w:sz="12" w:space="0"/>
            </w:tcBorders>
            <w:vAlign w:val="top"/>
          </w:tcPr>
          <w:p>
            <w:pPr>
              <w:pStyle w:val="6"/>
              <w:spacing w:before="51" w:line="312" w:lineRule="exact"/>
              <w:ind w:left="323"/>
            </w:pPr>
            <w:r>
              <w:rPr>
                <w:b/>
                <w:bCs/>
                <w:spacing w:val="-2"/>
                <w:position w:val="7"/>
              </w:rPr>
              <w:t>S3</w:t>
            </w:r>
            <w:r>
              <w:rPr>
                <w:rFonts w:ascii="仿宋" w:hAnsi="仿宋" w:eastAsia="仿宋" w:cs="仿宋"/>
                <w:spacing w:val="-2"/>
                <w:position w:val="7"/>
                <w14:textOutline w14:w="3810" w14:cap="flat" w14:cmpd="sng">
                  <w14:solidFill>
                    <w14:srgbClr w14:val="000000"/>
                  </w14:solidFill>
                  <w14:prstDash w14:val="solid"/>
                  <w14:miter w14:val="0"/>
                </w14:textOutline>
              </w:rPr>
              <w:t>（</w:t>
            </w:r>
            <w:r>
              <w:rPr>
                <w:b/>
                <w:bCs/>
                <w:spacing w:val="-2"/>
                <w:position w:val="7"/>
              </w:rPr>
              <w:t>0-</w:t>
            </w:r>
          </w:p>
          <w:p>
            <w:pPr>
              <w:pStyle w:val="6"/>
              <w:spacing w:line="214" w:lineRule="auto"/>
              <w:ind w:left="276"/>
              <w:rPr>
                <w:rFonts w:ascii="仿宋" w:hAnsi="仿宋" w:eastAsia="仿宋" w:cs="仿宋"/>
              </w:rPr>
            </w:pPr>
            <w:r>
              <w:rPr>
                <w:b/>
                <w:bCs/>
                <w:spacing w:val="-1"/>
              </w:rPr>
              <w:t>20cm</w:t>
            </w:r>
            <w:r>
              <w:rPr>
                <w:rFonts w:ascii="仿宋" w:hAnsi="仿宋" w:eastAsia="仿宋" w:cs="仿宋"/>
                <w:spacing w:val="-1"/>
                <w14:textOutline w14:w="3810" w14:cap="flat" w14:cmpd="sng">
                  <w14:solidFill>
                    <w14:srgbClr w14:val="000000"/>
                  </w14:solidFill>
                  <w14:prstDash w14:val="solid"/>
                  <w14:miter w14:val="0"/>
                </w14:textOutline>
              </w:rPr>
              <w:t>）</w:t>
            </w:r>
          </w:p>
        </w:tc>
        <w:tc>
          <w:tcPr>
            <w:tcW w:w="1100" w:type="dxa"/>
            <w:tcBorders>
              <w:top w:val="single" w:color="000000" w:sz="12" w:space="0"/>
              <w:right w:val="nil"/>
            </w:tcBorders>
            <w:vAlign w:val="top"/>
          </w:tcPr>
          <w:p>
            <w:pPr>
              <w:pStyle w:val="6"/>
              <w:spacing w:before="50" w:line="245" w:lineRule="auto"/>
              <w:ind w:left="207" w:right="217" w:firstLine="46"/>
              <w:rPr>
                <w:rFonts w:ascii="仿宋" w:hAnsi="仿宋" w:eastAsia="仿宋" w:cs="仿宋"/>
              </w:rPr>
            </w:pPr>
            <w:r>
              <w:rPr>
                <w:b/>
                <w:bCs/>
                <w:spacing w:val="-2"/>
              </w:rPr>
              <w:t>S4</w:t>
            </w:r>
            <w:r>
              <w:rPr>
                <w:rFonts w:ascii="仿宋" w:hAnsi="仿宋" w:eastAsia="仿宋" w:cs="仿宋"/>
                <w:spacing w:val="-2"/>
                <w14:textOutline w14:w="3810" w14:cap="flat" w14:cmpd="sng">
                  <w14:solidFill>
                    <w14:srgbClr w14:val="000000"/>
                  </w14:solidFill>
                  <w14:prstDash w14:val="solid"/>
                  <w14:miter w14:val="0"/>
                </w14:textOutline>
              </w:rPr>
              <w:t>（</w:t>
            </w:r>
            <w:r>
              <w:rPr>
                <w:b/>
                <w:bCs/>
                <w:spacing w:val="-2"/>
              </w:rPr>
              <w:t>0-</w:t>
            </w:r>
            <w:r>
              <w:rPr>
                <w:b/>
                <w:bCs/>
              </w:rPr>
              <w:t xml:space="preserve"> </w:t>
            </w:r>
            <w:r>
              <w:rPr>
                <w:b/>
                <w:bCs/>
                <w:spacing w:val="-4"/>
              </w:rPr>
              <w:t>20cm</w:t>
            </w:r>
            <w:r>
              <w:rPr>
                <w:rFonts w:ascii="仿宋" w:hAnsi="仿宋" w:eastAsia="仿宋" w:cs="仿宋"/>
                <w:spacing w:val="-4"/>
                <w14:textOutline w14:w="3810" w14:cap="flat" w14:cmpd="sng">
                  <w14:solidFill>
                    <w14:srgbClr w14:val="000000"/>
                  </w14:solidFill>
                  <w14:prstDash w14:val="solid"/>
                  <w14:miter w14:val="0"/>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2" w:hRule="atLeast"/>
        </w:trPr>
        <w:tc>
          <w:tcPr>
            <w:tcW w:w="3576" w:type="dxa"/>
            <w:tcBorders>
              <w:left w:val="nil"/>
            </w:tcBorders>
            <w:vAlign w:val="top"/>
          </w:tcPr>
          <w:p>
            <w:pPr>
              <w:spacing w:before="98" w:line="219" w:lineRule="auto"/>
              <w:ind w:left="1610"/>
              <w:rPr>
                <w:rFonts w:ascii="仿宋" w:hAnsi="仿宋" w:eastAsia="仿宋" w:cs="仿宋"/>
                <w:sz w:val="21"/>
                <w:szCs w:val="21"/>
              </w:rPr>
            </w:pPr>
            <w:r>
              <w:rPr>
                <w:rFonts w:ascii="仿宋" w:hAnsi="仿宋" w:eastAsia="仿宋" w:cs="仿宋"/>
                <w:spacing w:val="-8"/>
                <w:sz w:val="21"/>
                <w:szCs w:val="21"/>
              </w:rPr>
              <w:t>时间</w:t>
            </w:r>
          </w:p>
        </w:tc>
        <w:tc>
          <w:tcPr>
            <w:tcW w:w="1260" w:type="dxa"/>
            <w:vAlign w:val="top"/>
          </w:tcPr>
          <w:p>
            <w:pPr>
              <w:pStyle w:val="6"/>
              <w:spacing w:before="135" w:line="188" w:lineRule="auto"/>
              <w:ind w:left="157"/>
            </w:pPr>
            <w:r>
              <w:rPr>
                <w:spacing w:val="-1"/>
              </w:rPr>
              <w:t>2023.03.31</w:t>
            </w:r>
          </w:p>
        </w:tc>
        <w:tc>
          <w:tcPr>
            <w:tcW w:w="1267" w:type="dxa"/>
            <w:vAlign w:val="top"/>
          </w:tcPr>
          <w:p>
            <w:pPr>
              <w:pStyle w:val="6"/>
              <w:spacing w:before="135" w:line="188" w:lineRule="auto"/>
              <w:ind w:left="159"/>
            </w:pPr>
            <w:r>
              <w:rPr>
                <w:spacing w:val="-1"/>
              </w:rPr>
              <w:t>2023.03.31</w:t>
            </w:r>
          </w:p>
        </w:tc>
        <w:tc>
          <w:tcPr>
            <w:tcW w:w="1244" w:type="dxa"/>
            <w:vAlign w:val="top"/>
          </w:tcPr>
          <w:p>
            <w:pPr>
              <w:pStyle w:val="6"/>
              <w:spacing w:before="135" w:line="188" w:lineRule="auto"/>
              <w:ind w:left="148"/>
            </w:pPr>
            <w:r>
              <w:rPr>
                <w:spacing w:val="-1"/>
              </w:rPr>
              <w:t>2023.03.31</w:t>
            </w:r>
          </w:p>
        </w:tc>
        <w:tc>
          <w:tcPr>
            <w:tcW w:w="1100" w:type="dxa"/>
            <w:tcBorders>
              <w:right w:val="nil"/>
            </w:tcBorders>
            <w:vAlign w:val="top"/>
          </w:tcPr>
          <w:p>
            <w:pPr>
              <w:pStyle w:val="6"/>
              <w:spacing w:before="135" w:line="188" w:lineRule="auto"/>
              <w:ind w:left="80"/>
            </w:pPr>
            <w:r>
              <w:rPr>
                <w:spacing w:val="-1"/>
              </w:rPr>
              <w:t>2023.03.31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3576" w:type="dxa"/>
            <w:tcBorders>
              <w:left w:val="nil"/>
              <w:bottom w:val="single" w:color="000000" w:sz="12" w:space="0"/>
            </w:tcBorders>
            <w:vAlign w:val="top"/>
          </w:tcPr>
          <w:p>
            <w:pPr>
              <w:spacing w:before="108" w:line="219" w:lineRule="auto"/>
              <w:ind w:left="1595"/>
              <w:rPr>
                <w:rFonts w:ascii="仿宋" w:hAnsi="仿宋" w:eastAsia="仿宋" w:cs="仿宋"/>
                <w:sz w:val="21"/>
                <w:szCs w:val="21"/>
              </w:rPr>
            </w:pPr>
            <w:r>
              <w:rPr>
                <w:rFonts w:ascii="仿宋" w:hAnsi="仿宋" w:eastAsia="仿宋" w:cs="仿宋"/>
                <w:spacing w:val="-4"/>
                <w:sz w:val="21"/>
                <w:szCs w:val="21"/>
              </w:rPr>
              <w:t>经度</w:t>
            </w:r>
          </w:p>
        </w:tc>
        <w:tc>
          <w:tcPr>
            <w:tcW w:w="1260" w:type="dxa"/>
            <w:tcBorders>
              <w:bottom w:val="single" w:color="000000" w:sz="12" w:space="0"/>
            </w:tcBorders>
            <w:vAlign w:val="top"/>
          </w:tcPr>
          <w:p>
            <w:pPr>
              <w:pStyle w:val="6"/>
              <w:spacing w:before="145" w:line="188" w:lineRule="auto"/>
              <w:jc w:val="right"/>
            </w:pPr>
            <w:r>
              <w:rPr>
                <w:spacing w:val="-6"/>
              </w:rPr>
              <w:t>101°</w:t>
            </w:r>
            <w:r>
              <w:rPr>
                <w:spacing w:val="-24"/>
              </w:rPr>
              <w:t xml:space="preserve"> </w:t>
            </w:r>
            <w:r>
              <w:rPr>
                <w:spacing w:val="-6"/>
              </w:rPr>
              <w:t>16′</w:t>
            </w:r>
            <w:r>
              <w:rPr>
                <w:spacing w:val="-29"/>
              </w:rPr>
              <w:t xml:space="preserve"> </w:t>
            </w:r>
            <w:r>
              <w:rPr>
                <w:spacing w:val="-6"/>
              </w:rPr>
              <w:t>10.05</w:t>
            </w:r>
            <w:r>
              <w:rPr>
                <w:spacing w:val="-35"/>
              </w:rPr>
              <w:t xml:space="preserve"> </w:t>
            </w:r>
            <w:r>
              <w:rPr>
                <w:spacing w:val="-6"/>
              </w:rPr>
              <w:t>″</w:t>
            </w:r>
          </w:p>
        </w:tc>
        <w:tc>
          <w:tcPr>
            <w:tcW w:w="1267" w:type="dxa"/>
            <w:tcBorders>
              <w:bottom w:val="single" w:color="000000" w:sz="12" w:space="0"/>
            </w:tcBorders>
            <w:vAlign w:val="top"/>
          </w:tcPr>
          <w:p>
            <w:pPr>
              <w:pStyle w:val="6"/>
              <w:spacing w:before="145" w:line="188" w:lineRule="auto"/>
              <w:ind w:right="4"/>
              <w:jc w:val="right"/>
            </w:pPr>
            <w:r>
              <w:rPr>
                <w:spacing w:val="-4"/>
              </w:rPr>
              <w:t>101°</w:t>
            </w:r>
            <w:r>
              <w:rPr>
                <w:spacing w:val="-26"/>
              </w:rPr>
              <w:t xml:space="preserve"> </w:t>
            </w:r>
            <w:r>
              <w:rPr>
                <w:spacing w:val="-4"/>
              </w:rPr>
              <w:t>15′58.47</w:t>
            </w:r>
            <w:r>
              <w:rPr>
                <w:spacing w:val="-36"/>
              </w:rPr>
              <w:t xml:space="preserve"> </w:t>
            </w:r>
            <w:r>
              <w:rPr>
                <w:spacing w:val="-4"/>
              </w:rPr>
              <w:t>″</w:t>
            </w:r>
          </w:p>
        </w:tc>
        <w:tc>
          <w:tcPr>
            <w:tcW w:w="1244" w:type="dxa"/>
            <w:tcBorders>
              <w:bottom w:val="single" w:color="000000" w:sz="12" w:space="0"/>
            </w:tcBorders>
            <w:vAlign w:val="top"/>
          </w:tcPr>
          <w:p>
            <w:pPr>
              <w:pStyle w:val="6"/>
              <w:spacing w:before="145" w:line="188" w:lineRule="auto"/>
              <w:jc w:val="right"/>
            </w:pPr>
            <w:r>
              <w:rPr>
                <w:spacing w:val="-5"/>
              </w:rPr>
              <w:t>101°</w:t>
            </w:r>
            <w:r>
              <w:rPr>
                <w:spacing w:val="-28"/>
              </w:rPr>
              <w:t xml:space="preserve"> </w:t>
            </w:r>
            <w:r>
              <w:rPr>
                <w:spacing w:val="-5"/>
              </w:rPr>
              <w:t>15′48.81</w:t>
            </w:r>
            <w:r>
              <w:rPr>
                <w:spacing w:val="-36"/>
              </w:rPr>
              <w:t xml:space="preserve"> </w:t>
            </w:r>
            <w:r>
              <w:rPr>
                <w:spacing w:val="-5"/>
              </w:rPr>
              <w:t>″</w:t>
            </w:r>
          </w:p>
        </w:tc>
        <w:tc>
          <w:tcPr>
            <w:tcW w:w="1100" w:type="dxa"/>
            <w:tcBorders>
              <w:bottom w:val="single" w:color="000000" w:sz="12" w:space="0"/>
              <w:right w:val="nil"/>
            </w:tcBorders>
            <w:vAlign w:val="top"/>
          </w:tcPr>
          <w:p>
            <w:pPr>
              <w:pStyle w:val="6"/>
              <w:spacing w:before="145" w:line="188" w:lineRule="auto"/>
              <w:ind w:left="60"/>
            </w:pPr>
            <w:r>
              <w:rPr>
                <w:spacing w:val="-5"/>
              </w:rPr>
              <w:t>101°</w:t>
            </w:r>
            <w:r>
              <w:rPr>
                <w:spacing w:val="-23"/>
              </w:rPr>
              <w:t xml:space="preserve"> </w:t>
            </w:r>
            <w:r>
              <w:rPr>
                <w:spacing w:val="-5"/>
              </w:rPr>
              <w:t>15′33.7</w:t>
            </w:r>
          </w:p>
        </w:tc>
      </w:tr>
    </w:tbl>
    <w:p>
      <w:pPr>
        <w:rPr>
          <w:rFonts w:ascii="Arial"/>
          <w:sz w:val="21"/>
        </w:rPr>
      </w:pPr>
    </w:p>
    <w:p>
      <w:pPr>
        <w:rPr>
          <w:rFonts w:ascii="Arial" w:hAnsi="Arial" w:eastAsia="Arial" w:cs="Arial"/>
          <w:sz w:val="21"/>
          <w:szCs w:val="21"/>
        </w:rPr>
        <w:sectPr>
          <w:headerReference r:id="rId205" w:type="default"/>
          <w:footerReference r:id="rId206" w:type="default"/>
          <w:pgSz w:w="11907" w:h="16839"/>
          <w:pgMar w:top="1156" w:right="1712" w:bottom="1374" w:left="1723" w:header="881" w:footer="1210" w:gutter="0"/>
        </w:sectPr>
      </w:pPr>
    </w:p>
    <w:p>
      <w:pPr>
        <w:spacing w:before="41"/>
      </w:pPr>
    </w:p>
    <w:tbl>
      <w:tblPr>
        <w:tblStyle w:val="5"/>
        <w:tblW w:w="843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2753"/>
        <w:gridCol w:w="1260"/>
        <w:gridCol w:w="1267"/>
        <w:gridCol w:w="1244"/>
        <w:gridCol w:w="11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2" w:hRule="atLeast"/>
        </w:trPr>
        <w:tc>
          <w:tcPr>
            <w:tcW w:w="3562" w:type="dxa"/>
            <w:gridSpan w:val="2"/>
            <w:tcBorders>
              <w:top w:val="single" w:color="000000" w:sz="12" w:space="0"/>
              <w:left w:val="nil"/>
            </w:tcBorders>
            <w:vAlign w:val="top"/>
          </w:tcPr>
          <w:p>
            <w:pPr>
              <w:rPr>
                <w:rFonts w:ascii="Arial"/>
                <w:sz w:val="21"/>
              </w:rPr>
            </w:pPr>
          </w:p>
        </w:tc>
        <w:tc>
          <w:tcPr>
            <w:tcW w:w="1260" w:type="dxa"/>
            <w:tcBorders>
              <w:top w:val="single" w:color="000000" w:sz="12" w:space="0"/>
            </w:tcBorders>
            <w:vAlign w:val="top"/>
          </w:tcPr>
          <w:p>
            <w:pPr>
              <w:rPr>
                <w:rFonts w:ascii="Arial"/>
                <w:sz w:val="21"/>
              </w:rPr>
            </w:pPr>
          </w:p>
        </w:tc>
        <w:tc>
          <w:tcPr>
            <w:tcW w:w="1267" w:type="dxa"/>
            <w:tcBorders>
              <w:top w:val="single" w:color="000000" w:sz="12" w:space="0"/>
            </w:tcBorders>
            <w:vAlign w:val="top"/>
          </w:tcPr>
          <w:p>
            <w:pPr>
              <w:rPr>
                <w:rFonts w:ascii="Arial"/>
                <w:sz w:val="21"/>
              </w:rPr>
            </w:pPr>
          </w:p>
        </w:tc>
        <w:tc>
          <w:tcPr>
            <w:tcW w:w="1244" w:type="dxa"/>
            <w:tcBorders>
              <w:top w:val="single" w:color="000000" w:sz="12" w:space="0"/>
            </w:tcBorders>
            <w:vAlign w:val="top"/>
          </w:tcPr>
          <w:p>
            <w:pPr>
              <w:rPr>
                <w:rFonts w:ascii="Arial"/>
                <w:sz w:val="21"/>
              </w:rPr>
            </w:pPr>
          </w:p>
        </w:tc>
        <w:tc>
          <w:tcPr>
            <w:tcW w:w="1100" w:type="dxa"/>
            <w:tcBorders>
              <w:top w:val="single" w:color="000000" w:sz="12" w:space="0"/>
              <w:right w:val="nil"/>
            </w:tcBorders>
            <w:vAlign w:val="top"/>
          </w:tcPr>
          <w:p>
            <w:pPr>
              <w:pStyle w:val="6"/>
              <w:spacing w:before="87" w:line="188" w:lineRule="auto"/>
              <w:ind w:left="460"/>
            </w:pPr>
            <w:r>
              <w:rPr>
                <w:spacing w:val="3"/>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3562" w:type="dxa"/>
            <w:gridSpan w:val="2"/>
            <w:tcBorders>
              <w:left w:val="nil"/>
            </w:tcBorders>
            <w:vAlign w:val="top"/>
          </w:tcPr>
          <w:p>
            <w:pPr>
              <w:spacing w:before="86" w:line="217" w:lineRule="auto"/>
              <w:ind w:left="1583"/>
              <w:rPr>
                <w:rFonts w:ascii="仿宋" w:hAnsi="仿宋" w:eastAsia="仿宋" w:cs="仿宋"/>
                <w:sz w:val="21"/>
                <w:szCs w:val="21"/>
              </w:rPr>
            </w:pPr>
            <w:r>
              <w:rPr>
                <w:rFonts w:ascii="仿宋" w:hAnsi="仿宋" w:eastAsia="仿宋" w:cs="仿宋"/>
                <w:spacing w:val="-5"/>
                <w:sz w:val="21"/>
                <w:szCs w:val="21"/>
              </w:rPr>
              <w:t>纬度</w:t>
            </w:r>
          </w:p>
        </w:tc>
        <w:tc>
          <w:tcPr>
            <w:tcW w:w="1260" w:type="dxa"/>
            <w:vAlign w:val="top"/>
          </w:tcPr>
          <w:p>
            <w:pPr>
              <w:pStyle w:val="6"/>
              <w:spacing w:before="123" w:line="188" w:lineRule="auto"/>
              <w:ind w:left="126"/>
            </w:pPr>
            <w:r>
              <w:rPr>
                <w:spacing w:val="-1"/>
              </w:rPr>
              <w:t>26°2′26.35</w:t>
            </w:r>
            <w:r>
              <w:rPr>
                <w:spacing w:val="-30"/>
              </w:rPr>
              <w:t xml:space="preserve"> </w:t>
            </w:r>
            <w:r>
              <w:rPr>
                <w:spacing w:val="-1"/>
              </w:rPr>
              <w:t>″</w:t>
            </w:r>
          </w:p>
        </w:tc>
        <w:tc>
          <w:tcPr>
            <w:tcW w:w="1267" w:type="dxa"/>
            <w:vAlign w:val="top"/>
          </w:tcPr>
          <w:p>
            <w:pPr>
              <w:pStyle w:val="6"/>
              <w:spacing w:before="123" w:line="188" w:lineRule="auto"/>
              <w:ind w:left="129"/>
            </w:pPr>
            <w:r>
              <w:rPr>
                <w:spacing w:val="-3"/>
              </w:rPr>
              <w:t>26°2′</w:t>
            </w:r>
            <w:r>
              <w:rPr>
                <w:spacing w:val="-25"/>
              </w:rPr>
              <w:t xml:space="preserve"> </w:t>
            </w:r>
            <w:r>
              <w:rPr>
                <w:spacing w:val="-3"/>
              </w:rPr>
              <w:t>13.85</w:t>
            </w:r>
            <w:r>
              <w:rPr>
                <w:spacing w:val="-36"/>
              </w:rPr>
              <w:t xml:space="preserve"> </w:t>
            </w:r>
            <w:r>
              <w:rPr>
                <w:spacing w:val="-3"/>
              </w:rPr>
              <w:t>″</w:t>
            </w:r>
          </w:p>
        </w:tc>
        <w:tc>
          <w:tcPr>
            <w:tcW w:w="1244" w:type="dxa"/>
            <w:vAlign w:val="top"/>
          </w:tcPr>
          <w:p>
            <w:pPr>
              <w:pStyle w:val="6"/>
              <w:spacing w:before="123" w:line="188" w:lineRule="auto"/>
              <w:ind w:left="118"/>
            </w:pPr>
            <w:r>
              <w:rPr>
                <w:spacing w:val="-3"/>
              </w:rPr>
              <w:t>26°2′</w:t>
            </w:r>
            <w:r>
              <w:rPr>
                <w:spacing w:val="-25"/>
              </w:rPr>
              <w:t xml:space="preserve"> </w:t>
            </w:r>
            <w:r>
              <w:rPr>
                <w:spacing w:val="-3"/>
              </w:rPr>
              <w:t>13.92</w:t>
            </w:r>
            <w:r>
              <w:rPr>
                <w:spacing w:val="-35"/>
              </w:rPr>
              <w:t xml:space="preserve"> </w:t>
            </w:r>
            <w:r>
              <w:rPr>
                <w:spacing w:val="-3"/>
              </w:rPr>
              <w:t>″</w:t>
            </w:r>
          </w:p>
        </w:tc>
        <w:tc>
          <w:tcPr>
            <w:tcW w:w="1100" w:type="dxa"/>
            <w:tcBorders>
              <w:right w:val="nil"/>
            </w:tcBorders>
            <w:vAlign w:val="top"/>
          </w:tcPr>
          <w:p>
            <w:pPr>
              <w:pStyle w:val="6"/>
              <w:spacing w:before="123" w:line="188" w:lineRule="auto"/>
              <w:ind w:left="49"/>
            </w:pPr>
            <w:r>
              <w:rPr>
                <w:spacing w:val="-3"/>
              </w:rPr>
              <w:t>26°</w:t>
            </w:r>
            <w:r>
              <w:rPr>
                <w:spacing w:val="-25"/>
              </w:rPr>
              <w:t xml:space="preserve"> </w:t>
            </w:r>
            <w:r>
              <w:rPr>
                <w:spacing w:val="-3"/>
              </w:rPr>
              <w:t>1′30.42</w:t>
            </w:r>
            <w:r>
              <w:rPr>
                <w:spacing w:val="-36"/>
              </w:rPr>
              <w:t xml:space="preserve"> </w:t>
            </w:r>
            <w:r>
              <w:rPr>
                <w:spacing w:val="-3"/>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3562" w:type="dxa"/>
            <w:gridSpan w:val="2"/>
            <w:tcBorders>
              <w:left w:val="nil"/>
            </w:tcBorders>
            <w:vAlign w:val="top"/>
          </w:tcPr>
          <w:p>
            <w:pPr>
              <w:spacing w:before="89" w:line="219" w:lineRule="auto"/>
              <w:ind w:left="1582"/>
              <w:rPr>
                <w:rFonts w:ascii="仿宋" w:hAnsi="仿宋" w:eastAsia="仿宋" w:cs="仿宋"/>
                <w:sz w:val="21"/>
                <w:szCs w:val="21"/>
              </w:rPr>
            </w:pPr>
            <w:r>
              <w:rPr>
                <w:rFonts w:ascii="仿宋" w:hAnsi="仿宋" w:eastAsia="仿宋" w:cs="仿宋"/>
                <w:spacing w:val="-4"/>
                <w:sz w:val="21"/>
                <w:szCs w:val="21"/>
              </w:rPr>
              <w:t>层次</w:t>
            </w:r>
          </w:p>
        </w:tc>
        <w:tc>
          <w:tcPr>
            <w:tcW w:w="1260" w:type="dxa"/>
            <w:vAlign w:val="top"/>
          </w:tcPr>
          <w:p>
            <w:pPr>
              <w:pStyle w:val="6"/>
              <w:spacing w:before="124" w:line="232" w:lineRule="auto"/>
              <w:ind w:left="310"/>
            </w:pPr>
            <w:r>
              <w:rPr>
                <w:spacing w:val="-2"/>
              </w:rPr>
              <w:t>0-20cm</w:t>
            </w:r>
          </w:p>
        </w:tc>
        <w:tc>
          <w:tcPr>
            <w:tcW w:w="1267" w:type="dxa"/>
            <w:vAlign w:val="top"/>
          </w:tcPr>
          <w:p>
            <w:pPr>
              <w:pStyle w:val="6"/>
              <w:spacing w:before="124" w:line="232" w:lineRule="auto"/>
              <w:ind w:left="313"/>
            </w:pPr>
            <w:r>
              <w:rPr>
                <w:spacing w:val="-2"/>
              </w:rPr>
              <w:t>0-20cm</w:t>
            </w:r>
          </w:p>
        </w:tc>
        <w:tc>
          <w:tcPr>
            <w:tcW w:w="1244" w:type="dxa"/>
            <w:vAlign w:val="top"/>
          </w:tcPr>
          <w:p>
            <w:pPr>
              <w:pStyle w:val="6"/>
              <w:spacing w:before="124" w:line="232" w:lineRule="auto"/>
              <w:ind w:left="303"/>
            </w:pPr>
            <w:r>
              <w:rPr>
                <w:spacing w:val="-2"/>
              </w:rPr>
              <w:t>0-20cm</w:t>
            </w:r>
          </w:p>
        </w:tc>
        <w:tc>
          <w:tcPr>
            <w:tcW w:w="1100" w:type="dxa"/>
            <w:tcBorders>
              <w:right w:val="nil"/>
            </w:tcBorders>
            <w:vAlign w:val="top"/>
          </w:tcPr>
          <w:p>
            <w:pPr>
              <w:pStyle w:val="6"/>
              <w:spacing w:before="124" w:line="232" w:lineRule="auto"/>
              <w:ind w:left="233"/>
            </w:pPr>
            <w:r>
              <w:rPr>
                <w:spacing w:val="-2"/>
              </w:rPr>
              <w:t>0-20cm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9" w:hRule="atLeast"/>
        </w:trPr>
        <w:tc>
          <w:tcPr>
            <w:tcW w:w="809" w:type="dxa"/>
            <w:vMerge w:val="restart"/>
            <w:tcBorders>
              <w:left w:val="nil"/>
              <w:bottom w:val="nil"/>
            </w:tcBorders>
            <w:vAlign w:val="top"/>
          </w:tcPr>
          <w:p>
            <w:pPr>
              <w:spacing w:line="333" w:lineRule="auto"/>
              <w:rPr>
                <w:rFonts w:ascii="Arial"/>
                <w:sz w:val="21"/>
              </w:rPr>
            </w:pPr>
          </w:p>
          <w:p>
            <w:pPr>
              <w:spacing w:line="333" w:lineRule="auto"/>
              <w:rPr>
                <w:rFonts w:ascii="Arial"/>
                <w:sz w:val="21"/>
              </w:rPr>
            </w:pPr>
          </w:p>
          <w:p>
            <w:pPr>
              <w:spacing w:before="68" w:line="247" w:lineRule="auto"/>
              <w:ind w:left="316" w:right="88" w:hanging="218"/>
              <w:rPr>
                <w:rFonts w:ascii="仿宋" w:hAnsi="仿宋" w:eastAsia="仿宋" w:cs="仿宋"/>
                <w:sz w:val="21"/>
                <w:szCs w:val="21"/>
              </w:rPr>
            </w:pPr>
            <w:r>
              <w:rPr>
                <w:rFonts w:ascii="仿宋" w:hAnsi="仿宋" w:eastAsia="仿宋" w:cs="仿宋"/>
                <w:spacing w:val="-5"/>
                <w:sz w:val="21"/>
                <w:szCs w:val="21"/>
              </w:rPr>
              <w:t>现场记</w:t>
            </w:r>
            <w:r>
              <w:rPr>
                <w:rFonts w:ascii="仿宋" w:hAnsi="仿宋" w:eastAsia="仿宋" w:cs="仿宋"/>
                <w:sz w:val="21"/>
                <w:szCs w:val="21"/>
              </w:rPr>
              <w:t xml:space="preserve"> 录</w:t>
            </w:r>
          </w:p>
        </w:tc>
        <w:tc>
          <w:tcPr>
            <w:tcW w:w="2753" w:type="dxa"/>
            <w:vAlign w:val="top"/>
          </w:tcPr>
          <w:p>
            <w:pPr>
              <w:spacing w:before="93" w:line="220" w:lineRule="auto"/>
              <w:ind w:left="1174"/>
              <w:rPr>
                <w:rFonts w:ascii="仿宋" w:hAnsi="仿宋" w:eastAsia="仿宋" w:cs="仿宋"/>
                <w:sz w:val="21"/>
                <w:szCs w:val="21"/>
              </w:rPr>
            </w:pPr>
            <w:r>
              <w:rPr>
                <w:rFonts w:ascii="仿宋" w:hAnsi="仿宋" w:eastAsia="仿宋" w:cs="仿宋"/>
                <w:spacing w:val="-4"/>
                <w:sz w:val="21"/>
                <w:szCs w:val="21"/>
              </w:rPr>
              <w:t>颜色</w:t>
            </w:r>
          </w:p>
        </w:tc>
        <w:tc>
          <w:tcPr>
            <w:tcW w:w="1260" w:type="dxa"/>
            <w:vAlign w:val="top"/>
          </w:tcPr>
          <w:p>
            <w:pPr>
              <w:spacing w:before="92" w:line="219" w:lineRule="auto"/>
              <w:ind w:left="327"/>
              <w:rPr>
                <w:rFonts w:ascii="仿宋" w:hAnsi="仿宋" w:eastAsia="仿宋" w:cs="仿宋"/>
                <w:sz w:val="21"/>
                <w:szCs w:val="21"/>
              </w:rPr>
            </w:pPr>
            <w:r>
              <w:rPr>
                <w:rFonts w:ascii="仿宋" w:hAnsi="仿宋" w:eastAsia="仿宋" w:cs="仿宋"/>
                <w:spacing w:val="-5"/>
                <w:sz w:val="21"/>
                <w:szCs w:val="21"/>
              </w:rPr>
              <w:t>浅棕色</w:t>
            </w:r>
          </w:p>
        </w:tc>
        <w:tc>
          <w:tcPr>
            <w:tcW w:w="1267" w:type="dxa"/>
            <w:vAlign w:val="top"/>
          </w:tcPr>
          <w:p>
            <w:pPr>
              <w:spacing w:before="92" w:line="219" w:lineRule="auto"/>
              <w:ind w:left="329"/>
              <w:rPr>
                <w:rFonts w:ascii="仿宋" w:hAnsi="仿宋" w:eastAsia="仿宋" w:cs="仿宋"/>
                <w:sz w:val="21"/>
                <w:szCs w:val="21"/>
              </w:rPr>
            </w:pPr>
            <w:r>
              <w:rPr>
                <w:rFonts w:ascii="仿宋" w:hAnsi="仿宋" w:eastAsia="仿宋" w:cs="仿宋"/>
                <w:spacing w:val="-5"/>
                <w:sz w:val="21"/>
                <w:szCs w:val="21"/>
              </w:rPr>
              <w:t>浅棕色</w:t>
            </w:r>
          </w:p>
        </w:tc>
        <w:tc>
          <w:tcPr>
            <w:tcW w:w="1244" w:type="dxa"/>
            <w:vAlign w:val="top"/>
          </w:tcPr>
          <w:p>
            <w:pPr>
              <w:spacing w:before="92" w:line="219" w:lineRule="auto"/>
              <w:ind w:left="319"/>
              <w:rPr>
                <w:rFonts w:ascii="仿宋" w:hAnsi="仿宋" w:eastAsia="仿宋" w:cs="仿宋"/>
                <w:sz w:val="21"/>
                <w:szCs w:val="21"/>
              </w:rPr>
            </w:pPr>
            <w:r>
              <w:rPr>
                <w:rFonts w:ascii="仿宋" w:hAnsi="仿宋" w:eastAsia="仿宋" w:cs="仿宋"/>
                <w:spacing w:val="-5"/>
                <w:sz w:val="21"/>
                <w:szCs w:val="21"/>
              </w:rPr>
              <w:t>浅棕色</w:t>
            </w:r>
          </w:p>
        </w:tc>
        <w:tc>
          <w:tcPr>
            <w:tcW w:w="1100" w:type="dxa"/>
            <w:tcBorders>
              <w:right w:val="nil"/>
            </w:tcBorders>
            <w:vAlign w:val="top"/>
          </w:tcPr>
          <w:p>
            <w:pPr>
              <w:spacing w:before="92" w:line="219" w:lineRule="auto"/>
              <w:ind w:left="250"/>
              <w:rPr>
                <w:rFonts w:ascii="仿宋" w:hAnsi="仿宋" w:eastAsia="仿宋" w:cs="仿宋"/>
                <w:sz w:val="21"/>
                <w:szCs w:val="21"/>
              </w:rPr>
            </w:pPr>
            <w:r>
              <w:rPr>
                <w:rFonts w:ascii="仿宋" w:hAnsi="仿宋" w:eastAsia="仿宋" w:cs="仿宋"/>
                <w:spacing w:val="-5"/>
                <w:sz w:val="21"/>
                <w:szCs w:val="21"/>
              </w:rPr>
              <w:t>浅棕色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809" w:type="dxa"/>
            <w:vMerge w:val="continue"/>
            <w:tcBorders>
              <w:top w:val="nil"/>
              <w:left w:val="nil"/>
              <w:bottom w:val="nil"/>
            </w:tcBorders>
            <w:vAlign w:val="top"/>
          </w:tcPr>
          <w:p>
            <w:pPr>
              <w:rPr>
                <w:rFonts w:ascii="Arial"/>
                <w:sz w:val="21"/>
              </w:rPr>
            </w:pPr>
          </w:p>
        </w:tc>
        <w:tc>
          <w:tcPr>
            <w:tcW w:w="2753" w:type="dxa"/>
            <w:vAlign w:val="top"/>
          </w:tcPr>
          <w:p>
            <w:pPr>
              <w:spacing w:before="95" w:line="219" w:lineRule="auto"/>
              <w:ind w:left="1179"/>
              <w:rPr>
                <w:rFonts w:ascii="仿宋" w:hAnsi="仿宋" w:eastAsia="仿宋" w:cs="仿宋"/>
                <w:sz w:val="21"/>
                <w:szCs w:val="21"/>
              </w:rPr>
            </w:pPr>
            <w:r>
              <w:rPr>
                <w:rFonts w:ascii="仿宋" w:hAnsi="仿宋" w:eastAsia="仿宋" w:cs="仿宋"/>
                <w:spacing w:val="-10"/>
                <w:sz w:val="21"/>
                <w:szCs w:val="21"/>
              </w:rPr>
              <w:t>结构</w:t>
            </w:r>
          </w:p>
        </w:tc>
        <w:tc>
          <w:tcPr>
            <w:tcW w:w="1260" w:type="dxa"/>
            <w:vAlign w:val="top"/>
          </w:tcPr>
          <w:p>
            <w:pPr>
              <w:spacing w:before="95" w:line="217" w:lineRule="auto"/>
              <w:ind w:left="449"/>
              <w:rPr>
                <w:rFonts w:ascii="仿宋" w:hAnsi="仿宋" w:eastAsia="仿宋" w:cs="仿宋"/>
                <w:sz w:val="21"/>
                <w:szCs w:val="21"/>
              </w:rPr>
            </w:pPr>
            <w:r>
              <w:rPr>
                <w:rFonts w:ascii="仿宋" w:hAnsi="仿宋" w:eastAsia="仿宋" w:cs="仿宋"/>
                <w:spacing w:val="-10"/>
                <w:sz w:val="21"/>
                <w:szCs w:val="21"/>
              </w:rPr>
              <w:t>团粒</w:t>
            </w:r>
          </w:p>
        </w:tc>
        <w:tc>
          <w:tcPr>
            <w:tcW w:w="1267" w:type="dxa"/>
            <w:vAlign w:val="top"/>
          </w:tcPr>
          <w:p>
            <w:pPr>
              <w:spacing w:before="95" w:line="217" w:lineRule="auto"/>
              <w:ind w:left="453"/>
              <w:rPr>
                <w:rFonts w:ascii="仿宋" w:hAnsi="仿宋" w:eastAsia="仿宋" w:cs="仿宋"/>
                <w:sz w:val="21"/>
                <w:szCs w:val="21"/>
              </w:rPr>
            </w:pPr>
            <w:r>
              <w:rPr>
                <w:rFonts w:ascii="仿宋" w:hAnsi="仿宋" w:eastAsia="仿宋" w:cs="仿宋"/>
                <w:spacing w:val="-10"/>
                <w:sz w:val="21"/>
                <w:szCs w:val="21"/>
              </w:rPr>
              <w:t>团粒</w:t>
            </w:r>
          </w:p>
        </w:tc>
        <w:tc>
          <w:tcPr>
            <w:tcW w:w="1244" w:type="dxa"/>
            <w:vAlign w:val="top"/>
          </w:tcPr>
          <w:p>
            <w:pPr>
              <w:spacing w:before="95" w:line="217" w:lineRule="auto"/>
              <w:ind w:left="442"/>
              <w:rPr>
                <w:rFonts w:ascii="仿宋" w:hAnsi="仿宋" w:eastAsia="仿宋" w:cs="仿宋"/>
                <w:sz w:val="21"/>
                <w:szCs w:val="21"/>
              </w:rPr>
            </w:pPr>
            <w:r>
              <w:rPr>
                <w:rFonts w:ascii="仿宋" w:hAnsi="仿宋" w:eastAsia="仿宋" w:cs="仿宋"/>
                <w:spacing w:val="-10"/>
                <w:sz w:val="21"/>
                <w:szCs w:val="21"/>
              </w:rPr>
              <w:t>团粒</w:t>
            </w:r>
          </w:p>
        </w:tc>
        <w:tc>
          <w:tcPr>
            <w:tcW w:w="1100" w:type="dxa"/>
            <w:tcBorders>
              <w:right w:val="nil"/>
            </w:tcBorders>
            <w:vAlign w:val="top"/>
          </w:tcPr>
          <w:p>
            <w:pPr>
              <w:spacing w:before="95" w:line="217" w:lineRule="auto"/>
              <w:ind w:left="372"/>
              <w:rPr>
                <w:rFonts w:ascii="仿宋" w:hAnsi="仿宋" w:eastAsia="仿宋" w:cs="仿宋"/>
                <w:sz w:val="21"/>
                <w:szCs w:val="21"/>
              </w:rPr>
            </w:pPr>
            <w:r>
              <w:rPr>
                <w:rFonts w:ascii="仿宋" w:hAnsi="仿宋" w:eastAsia="仿宋" w:cs="仿宋"/>
                <w:spacing w:val="-10"/>
                <w:sz w:val="21"/>
                <w:szCs w:val="21"/>
              </w:rPr>
              <w:t>团粒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trPr>
        <w:tc>
          <w:tcPr>
            <w:tcW w:w="809" w:type="dxa"/>
            <w:vMerge w:val="continue"/>
            <w:tcBorders>
              <w:top w:val="nil"/>
              <w:left w:val="nil"/>
              <w:bottom w:val="nil"/>
            </w:tcBorders>
            <w:vAlign w:val="top"/>
          </w:tcPr>
          <w:p>
            <w:pPr>
              <w:rPr>
                <w:rFonts w:ascii="Arial"/>
                <w:sz w:val="21"/>
              </w:rPr>
            </w:pPr>
          </w:p>
        </w:tc>
        <w:tc>
          <w:tcPr>
            <w:tcW w:w="2753" w:type="dxa"/>
            <w:vAlign w:val="top"/>
          </w:tcPr>
          <w:p>
            <w:pPr>
              <w:spacing w:before="98" w:line="221" w:lineRule="auto"/>
              <w:ind w:left="1180"/>
              <w:rPr>
                <w:rFonts w:ascii="仿宋" w:hAnsi="仿宋" w:eastAsia="仿宋" w:cs="仿宋"/>
                <w:sz w:val="21"/>
                <w:szCs w:val="21"/>
              </w:rPr>
            </w:pPr>
            <w:r>
              <w:rPr>
                <w:rFonts w:ascii="仿宋" w:hAnsi="仿宋" w:eastAsia="仿宋" w:cs="仿宋"/>
                <w:spacing w:val="-5"/>
                <w:sz w:val="21"/>
                <w:szCs w:val="21"/>
              </w:rPr>
              <w:t>质地</w:t>
            </w:r>
          </w:p>
        </w:tc>
        <w:tc>
          <w:tcPr>
            <w:tcW w:w="1260" w:type="dxa"/>
            <w:vAlign w:val="top"/>
          </w:tcPr>
          <w:p>
            <w:pPr>
              <w:spacing w:before="98" w:line="220" w:lineRule="auto"/>
              <w:ind w:left="326"/>
              <w:rPr>
                <w:rFonts w:ascii="仿宋" w:hAnsi="仿宋" w:eastAsia="仿宋" w:cs="仿宋"/>
                <w:sz w:val="21"/>
                <w:szCs w:val="21"/>
              </w:rPr>
            </w:pPr>
            <w:r>
              <w:rPr>
                <w:rFonts w:ascii="仿宋" w:hAnsi="仿宋" w:eastAsia="仿宋" w:cs="仿宋"/>
                <w:spacing w:val="-4"/>
                <w:sz w:val="21"/>
                <w:szCs w:val="21"/>
              </w:rPr>
              <w:t>沙壤土</w:t>
            </w:r>
          </w:p>
        </w:tc>
        <w:tc>
          <w:tcPr>
            <w:tcW w:w="1267" w:type="dxa"/>
            <w:vAlign w:val="top"/>
          </w:tcPr>
          <w:p>
            <w:pPr>
              <w:spacing w:before="98" w:line="220" w:lineRule="auto"/>
              <w:ind w:left="329"/>
              <w:rPr>
                <w:rFonts w:ascii="仿宋" w:hAnsi="仿宋" w:eastAsia="仿宋" w:cs="仿宋"/>
                <w:sz w:val="21"/>
                <w:szCs w:val="21"/>
              </w:rPr>
            </w:pPr>
            <w:r>
              <w:rPr>
                <w:rFonts w:ascii="仿宋" w:hAnsi="仿宋" w:eastAsia="仿宋" w:cs="仿宋"/>
                <w:spacing w:val="-4"/>
                <w:sz w:val="21"/>
                <w:szCs w:val="21"/>
              </w:rPr>
              <w:t>沙壤土</w:t>
            </w:r>
          </w:p>
        </w:tc>
        <w:tc>
          <w:tcPr>
            <w:tcW w:w="1244" w:type="dxa"/>
            <w:vAlign w:val="top"/>
          </w:tcPr>
          <w:p>
            <w:pPr>
              <w:spacing w:before="98" w:line="220" w:lineRule="auto"/>
              <w:ind w:left="318"/>
              <w:rPr>
                <w:rFonts w:ascii="仿宋" w:hAnsi="仿宋" w:eastAsia="仿宋" w:cs="仿宋"/>
                <w:sz w:val="21"/>
                <w:szCs w:val="21"/>
              </w:rPr>
            </w:pPr>
            <w:r>
              <w:rPr>
                <w:rFonts w:ascii="仿宋" w:hAnsi="仿宋" w:eastAsia="仿宋" w:cs="仿宋"/>
                <w:spacing w:val="-4"/>
                <w:sz w:val="21"/>
                <w:szCs w:val="21"/>
              </w:rPr>
              <w:t>沙壤土</w:t>
            </w:r>
          </w:p>
        </w:tc>
        <w:tc>
          <w:tcPr>
            <w:tcW w:w="1100" w:type="dxa"/>
            <w:tcBorders>
              <w:right w:val="nil"/>
            </w:tcBorders>
            <w:vAlign w:val="top"/>
          </w:tcPr>
          <w:p>
            <w:pPr>
              <w:spacing w:before="98" w:line="220" w:lineRule="auto"/>
              <w:ind w:left="249"/>
              <w:rPr>
                <w:rFonts w:ascii="仿宋" w:hAnsi="仿宋" w:eastAsia="仿宋" w:cs="仿宋"/>
                <w:sz w:val="21"/>
                <w:szCs w:val="21"/>
              </w:rPr>
            </w:pPr>
            <w:r>
              <w:rPr>
                <w:rFonts w:ascii="仿宋" w:hAnsi="仿宋" w:eastAsia="仿宋" w:cs="仿宋"/>
                <w:spacing w:val="-4"/>
                <w:sz w:val="21"/>
                <w:szCs w:val="21"/>
              </w:rPr>
              <w:t>沙壤土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809" w:type="dxa"/>
            <w:vMerge w:val="continue"/>
            <w:tcBorders>
              <w:top w:val="nil"/>
              <w:left w:val="nil"/>
              <w:bottom w:val="nil"/>
            </w:tcBorders>
            <w:vAlign w:val="top"/>
          </w:tcPr>
          <w:p>
            <w:pPr>
              <w:rPr>
                <w:rFonts w:ascii="Arial"/>
                <w:sz w:val="21"/>
              </w:rPr>
            </w:pPr>
          </w:p>
        </w:tc>
        <w:tc>
          <w:tcPr>
            <w:tcW w:w="2753" w:type="dxa"/>
            <w:vAlign w:val="top"/>
          </w:tcPr>
          <w:p>
            <w:pPr>
              <w:pStyle w:val="6"/>
              <w:spacing w:before="100" w:line="233" w:lineRule="auto"/>
              <w:ind w:left="876"/>
            </w:pPr>
            <w:r>
              <w:rPr>
                <w:rFonts w:ascii="仿宋" w:hAnsi="仿宋" w:eastAsia="仿宋" w:cs="仿宋"/>
                <w:spacing w:val="-3"/>
              </w:rPr>
              <w:t>砂砾含量</w:t>
            </w:r>
            <w:r>
              <w:rPr>
                <w:spacing w:val="-3"/>
              </w:rPr>
              <w:t>%</w:t>
            </w:r>
          </w:p>
        </w:tc>
        <w:tc>
          <w:tcPr>
            <w:tcW w:w="1260" w:type="dxa"/>
            <w:vAlign w:val="top"/>
          </w:tcPr>
          <w:p>
            <w:pPr>
              <w:pStyle w:val="6"/>
              <w:spacing w:before="139" w:line="185" w:lineRule="auto"/>
              <w:ind w:left="582"/>
            </w:pPr>
            <w:r>
              <w:t>5</w:t>
            </w:r>
          </w:p>
        </w:tc>
        <w:tc>
          <w:tcPr>
            <w:tcW w:w="1267" w:type="dxa"/>
            <w:vAlign w:val="top"/>
          </w:tcPr>
          <w:p>
            <w:pPr>
              <w:pStyle w:val="6"/>
              <w:spacing w:before="136" w:line="188" w:lineRule="auto"/>
              <w:ind w:left="583"/>
            </w:pPr>
            <w:r>
              <w:t>6</w:t>
            </w:r>
          </w:p>
        </w:tc>
        <w:tc>
          <w:tcPr>
            <w:tcW w:w="1244" w:type="dxa"/>
            <w:vAlign w:val="top"/>
          </w:tcPr>
          <w:p>
            <w:pPr>
              <w:pStyle w:val="6"/>
              <w:spacing w:before="136" w:line="188" w:lineRule="auto"/>
              <w:ind w:left="536"/>
            </w:pPr>
            <w:r>
              <w:rPr>
                <w:spacing w:val="-6"/>
              </w:rPr>
              <w:t>10</w:t>
            </w:r>
          </w:p>
        </w:tc>
        <w:tc>
          <w:tcPr>
            <w:tcW w:w="1100" w:type="dxa"/>
            <w:tcBorders>
              <w:right w:val="nil"/>
            </w:tcBorders>
            <w:vAlign w:val="top"/>
          </w:tcPr>
          <w:p>
            <w:pPr>
              <w:pStyle w:val="6"/>
              <w:spacing w:before="139" w:line="185" w:lineRule="auto"/>
              <w:ind w:left="505"/>
            </w:pPr>
            <w: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809" w:type="dxa"/>
            <w:vMerge w:val="continue"/>
            <w:tcBorders>
              <w:top w:val="nil"/>
              <w:left w:val="nil"/>
            </w:tcBorders>
            <w:vAlign w:val="top"/>
          </w:tcPr>
          <w:p>
            <w:pPr>
              <w:rPr>
                <w:rFonts w:ascii="Arial"/>
                <w:sz w:val="21"/>
              </w:rPr>
            </w:pPr>
          </w:p>
        </w:tc>
        <w:tc>
          <w:tcPr>
            <w:tcW w:w="2753" w:type="dxa"/>
            <w:vAlign w:val="top"/>
          </w:tcPr>
          <w:p>
            <w:pPr>
              <w:spacing w:before="102" w:line="217" w:lineRule="auto"/>
              <w:ind w:left="966"/>
              <w:rPr>
                <w:rFonts w:ascii="仿宋" w:hAnsi="仿宋" w:eastAsia="仿宋" w:cs="仿宋"/>
                <w:sz w:val="21"/>
                <w:szCs w:val="21"/>
              </w:rPr>
            </w:pPr>
            <w:r>
              <w:rPr>
                <w:rFonts w:ascii="仿宋" w:hAnsi="仿宋" w:eastAsia="仿宋" w:cs="仿宋"/>
                <w:spacing w:val="-3"/>
                <w:sz w:val="21"/>
                <w:szCs w:val="21"/>
              </w:rPr>
              <w:t>其他异物</w:t>
            </w:r>
          </w:p>
        </w:tc>
        <w:tc>
          <w:tcPr>
            <w:tcW w:w="1260" w:type="dxa"/>
            <w:vAlign w:val="top"/>
          </w:tcPr>
          <w:p>
            <w:pPr>
              <w:spacing w:before="102" w:line="217" w:lineRule="auto"/>
              <w:ind w:left="217"/>
              <w:rPr>
                <w:rFonts w:ascii="仿宋" w:hAnsi="仿宋" w:eastAsia="仿宋" w:cs="仿宋"/>
                <w:sz w:val="21"/>
                <w:szCs w:val="21"/>
              </w:rPr>
            </w:pPr>
            <w:r>
              <w:rPr>
                <w:rFonts w:ascii="仿宋" w:hAnsi="仿宋" w:eastAsia="仿宋" w:cs="仿宋"/>
                <w:spacing w:val="-3"/>
                <w:sz w:val="21"/>
                <w:szCs w:val="21"/>
              </w:rPr>
              <w:t>少量根系</w:t>
            </w:r>
          </w:p>
        </w:tc>
        <w:tc>
          <w:tcPr>
            <w:tcW w:w="1267" w:type="dxa"/>
            <w:vAlign w:val="top"/>
          </w:tcPr>
          <w:p>
            <w:pPr>
              <w:spacing w:before="102" w:line="217" w:lineRule="auto"/>
              <w:ind w:left="221"/>
              <w:rPr>
                <w:rFonts w:ascii="仿宋" w:hAnsi="仿宋" w:eastAsia="仿宋" w:cs="仿宋"/>
                <w:sz w:val="21"/>
                <w:szCs w:val="21"/>
              </w:rPr>
            </w:pPr>
            <w:r>
              <w:rPr>
                <w:rFonts w:ascii="仿宋" w:hAnsi="仿宋" w:eastAsia="仿宋" w:cs="仿宋"/>
                <w:spacing w:val="-3"/>
                <w:sz w:val="21"/>
                <w:szCs w:val="21"/>
              </w:rPr>
              <w:t>少量根系</w:t>
            </w:r>
          </w:p>
        </w:tc>
        <w:tc>
          <w:tcPr>
            <w:tcW w:w="1244" w:type="dxa"/>
            <w:vAlign w:val="top"/>
          </w:tcPr>
          <w:p>
            <w:pPr>
              <w:spacing w:before="102" w:line="217" w:lineRule="auto"/>
              <w:ind w:left="317"/>
              <w:rPr>
                <w:rFonts w:ascii="仿宋" w:hAnsi="仿宋" w:eastAsia="仿宋" w:cs="仿宋"/>
                <w:sz w:val="21"/>
                <w:szCs w:val="21"/>
              </w:rPr>
            </w:pPr>
            <w:r>
              <w:rPr>
                <w:rFonts w:ascii="仿宋" w:hAnsi="仿宋" w:eastAsia="仿宋" w:cs="仿宋"/>
                <w:spacing w:val="-4"/>
                <w:sz w:val="21"/>
                <w:szCs w:val="21"/>
              </w:rPr>
              <w:t>无根系</w:t>
            </w:r>
          </w:p>
        </w:tc>
        <w:tc>
          <w:tcPr>
            <w:tcW w:w="1100" w:type="dxa"/>
            <w:tcBorders>
              <w:right w:val="nil"/>
            </w:tcBorders>
            <w:vAlign w:val="top"/>
          </w:tcPr>
          <w:p>
            <w:pPr>
              <w:spacing w:before="102" w:line="217" w:lineRule="auto"/>
              <w:ind w:left="140"/>
              <w:rPr>
                <w:rFonts w:ascii="仿宋" w:hAnsi="仿宋" w:eastAsia="仿宋" w:cs="仿宋"/>
                <w:sz w:val="21"/>
                <w:szCs w:val="21"/>
              </w:rPr>
            </w:pPr>
            <w:r>
              <w:rPr>
                <w:rFonts w:ascii="仿宋" w:hAnsi="仿宋" w:eastAsia="仿宋" w:cs="仿宋"/>
                <w:spacing w:val="-3"/>
                <w:sz w:val="21"/>
                <w:szCs w:val="21"/>
              </w:rPr>
              <w:t>少量根系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9" w:hRule="atLeast"/>
        </w:trPr>
        <w:tc>
          <w:tcPr>
            <w:tcW w:w="809" w:type="dxa"/>
            <w:vMerge w:val="restart"/>
            <w:tcBorders>
              <w:left w:val="nil"/>
              <w:bottom w:val="nil"/>
            </w:tcBorders>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9" w:line="247" w:lineRule="auto"/>
              <w:ind w:left="204" w:right="88" w:hanging="101"/>
              <w:rPr>
                <w:rFonts w:ascii="仿宋" w:hAnsi="仿宋" w:eastAsia="仿宋" w:cs="仿宋"/>
                <w:sz w:val="21"/>
                <w:szCs w:val="21"/>
              </w:rPr>
            </w:pPr>
            <w:r>
              <w:rPr>
                <w:rFonts w:ascii="仿宋" w:hAnsi="仿宋" w:eastAsia="仿宋" w:cs="仿宋"/>
                <w:spacing w:val="-7"/>
                <w:sz w:val="21"/>
                <w:szCs w:val="21"/>
              </w:rPr>
              <w:t>实验室</w:t>
            </w:r>
            <w:r>
              <w:rPr>
                <w:rFonts w:ascii="仿宋" w:hAnsi="仿宋" w:eastAsia="仿宋" w:cs="仿宋"/>
                <w:spacing w:val="1"/>
                <w:sz w:val="21"/>
                <w:szCs w:val="21"/>
              </w:rPr>
              <w:t xml:space="preserve"> </w:t>
            </w:r>
            <w:r>
              <w:rPr>
                <w:rFonts w:ascii="仿宋" w:hAnsi="仿宋" w:eastAsia="仿宋" w:cs="仿宋"/>
                <w:spacing w:val="-4"/>
                <w:sz w:val="21"/>
                <w:szCs w:val="21"/>
              </w:rPr>
              <w:t>测定</w:t>
            </w:r>
          </w:p>
        </w:tc>
        <w:tc>
          <w:tcPr>
            <w:tcW w:w="2753" w:type="dxa"/>
            <w:vAlign w:val="top"/>
          </w:tcPr>
          <w:p>
            <w:pPr>
              <w:pStyle w:val="6"/>
              <w:spacing w:before="105" w:line="212" w:lineRule="auto"/>
              <w:ind w:left="289"/>
            </w:pPr>
            <w:r>
              <w:rPr>
                <w:rFonts w:ascii="仿宋" w:hAnsi="仿宋" w:eastAsia="仿宋" w:cs="仿宋"/>
                <w:spacing w:val="-2"/>
              </w:rPr>
              <w:t>阳离子交换量</w:t>
            </w:r>
            <w:r>
              <w:rPr>
                <w:spacing w:val="-2"/>
              </w:rPr>
              <w:t>(Cmol</w:t>
            </w:r>
            <w:r>
              <w:rPr>
                <w:spacing w:val="-2"/>
                <w:position w:val="7"/>
                <w:sz w:val="14"/>
                <w:szCs w:val="14"/>
              </w:rPr>
              <w:t>+</w:t>
            </w:r>
            <w:r>
              <w:rPr>
                <w:spacing w:val="-2"/>
              </w:rPr>
              <w:t>/kg)</w:t>
            </w:r>
          </w:p>
        </w:tc>
        <w:tc>
          <w:tcPr>
            <w:tcW w:w="1260" w:type="dxa"/>
            <w:vAlign w:val="top"/>
          </w:tcPr>
          <w:p>
            <w:pPr>
              <w:pStyle w:val="6"/>
              <w:spacing w:before="141" w:line="188" w:lineRule="auto"/>
              <w:ind w:left="501"/>
            </w:pPr>
            <w:r>
              <w:rPr>
                <w:spacing w:val="-3"/>
              </w:rPr>
              <w:t>9.4</w:t>
            </w:r>
          </w:p>
        </w:tc>
        <w:tc>
          <w:tcPr>
            <w:tcW w:w="1267" w:type="dxa"/>
            <w:vAlign w:val="top"/>
          </w:tcPr>
          <w:p>
            <w:pPr>
              <w:pStyle w:val="6"/>
              <w:spacing w:before="141" w:line="188" w:lineRule="auto"/>
              <w:ind w:left="468"/>
            </w:pPr>
            <w:r>
              <w:rPr>
                <w:spacing w:val="-6"/>
              </w:rPr>
              <w:t>14.0</w:t>
            </w:r>
          </w:p>
        </w:tc>
        <w:tc>
          <w:tcPr>
            <w:tcW w:w="1244" w:type="dxa"/>
            <w:vAlign w:val="top"/>
          </w:tcPr>
          <w:p>
            <w:pPr>
              <w:pStyle w:val="6"/>
              <w:spacing w:before="141" w:line="188" w:lineRule="auto"/>
              <w:ind w:left="456"/>
            </w:pPr>
            <w:r>
              <w:rPr>
                <w:spacing w:val="-6"/>
              </w:rPr>
              <w:t>10.4</w:t>
            </w:r>
          </w:p>
        </w:tc>
        <w:tc>
          <w:tcPr>
            <w:tcW w:w="1100" w:type="dxa"/>
            <w:tcBorders>
              <w:right w:val="nil"/>
            </w:tcBorders>
            <w:vAlign w:val="top"/>
          </w:tcPr>
          <w:p>
            <w:pPr>
              <w:pStyle w:val="6"/>
              <w:spacing w:before="141" w:line="188" w:lineRule="auto"/>
              <w:ind w:left="425"/>
            </w:pPr>
            <w:r>
              <w:rPr>
                <w:spacing w:val="-3"/>
              </w:rPr>
              <w:t>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9" w:hRule="atLeast"/>
        </w:trPr>
        <w:tc>
          <w:tcPr>
            <w:tcW w:w="809" w:type="dxa"/>
            <w:vMerge w:val="continue"/>
            <w:tcBorders>
              <w:top w:val="nil"/>
              <w:left w:val="nil"/>
              <w:bottom w:val="nil"/>
            </w:tcBorders>
            <w:vAlign w:val="top"/>
          </w:tcPr>
          <w:p>
            <w:pPr>
              <w:rPr>
                <w:rFonts w:ascii="Arial"/>
                <w:sz w:val="21"/>
              </w:rPr>
            </w:pPr>
          </w:p>
        </w:tc>
        <w:tc>
          <w:tcPr>
            <w:tcW w:w="2753" w:type="dxa"/>
            <w:vAlign w:val="top"/>
          </w:tcPr>
          <w:p>
            <w:pPr>
              <w:pStyle w:val="6"/>
              <w:spacing w:before="107" w:line="217" w:lineRule="auto"/>
              <w:ind w:left="392"/>
              <w:rPr>
                <w:rFonts w:ascii="仿宋" w:hAnsi="仿宋" w:eastAsia="仿宋" w:cs="仿宋"/>
              </w:rPr>
            </w:pPr>
            <w:r>
              <w:rPr>
                <w:rFonts w:ascii="仿宋" w:hAnsi="仿宋" w:eastAsia="仿宋" w:cs="仿宋"/>
                <w:spacing w:val="-2"/>
              </w:rPr>
              <w:t>氧化还原电位（</w:t>
            </w:r>
            <w:r>
              <w:rPr>
                <w:spacing w:val="-2"/>
              </w:rPr>
              <w:t>mV</w:t>
            </w:r>
            <w:r>
              <w:rPr>
                <w:rFonts w:ascii="仿宋" w:hAnsi="仿宋" w:eastAsia="仿宋" w:cs="仿宋"/>
                <w:spacing w:val="-2"/>
              </w:rPr>
              <w:t>）</w:t>
            </w:r>
          </w:p>
        </w:tc>
        <w:tc>
          <w:tcPr>
            <w:tcW w:w="1260" w:type="dxa"/>
            <w:vAlign w:val="top"/>
          </w:tcPr>
          <w:p>
            <w:pPr>
              <w:pStyle w:val="6"/>
              <w:spacing w:before="143" w:line="188" w:lineRule="auto"/>
              <w:ind w:left="475"/>
            </w:pPr>
            <w:r>
              <w:rPr>
                <w:spacing w:val="-3"/>
              </w:rPr>
              <w:t>641</w:t>
            </w:r>
          </w:p>
        </w:tc>
        <w:tc>
          <w:tcPr>
            <w:tcW w:w="1267" w:type="dxa"/>
            <w:vAlign w:val="top"/>
          </w:tcPr>
          <w:p>
            <w:pPr>
              <w:pStyle w:val="6"/>
              <w:spacing w:before="143" w:line="188" w:lineRule="auto"/>
              <w:ind w:left="479"/>
            </w:pPr>
            <w:r>
              <w:rPr>
                <w:spacing w:val="-3"/>
              </w:rPr>
              <w:t>649</w:t>
            </w:r>
          </w:p>
        </w:tc>
        <w:tc>
          <w:tcPr>
            <w:tcW w:w="1244" w:type="dxa"/>
            <w:vAlign w:val="top"/>
          </w:tcPr>
          <w:p>
            <w:pPr>
              <w:pStyle w:val="6"/>
              <w:spacing w:before="143" w:line="188" w:lineRule="auto"/>
              <w:ind w:left="467"/>
            </w:pPr>
            <w:r>
              <w:rPr>
                <w:spacing w:val="-3"/>
              </w:rPr>
              <w:t>636</w:t>
            </w:r>
          </w:p>
        </w:tc>
        <w:tc>
          <w:tcPr>
            <w:tcW w:w="1100" w:type="dxa"/>
            <w:tcBorders>
              <w:right w:val="nil"/>
            </w:tcBorders>
            <w:vAlign w:val="top"/>
          </w:tcPr>
          <w:p>
            <w:pPr>
              <w:pStyle w:val="6"/>
              <w:spacing w:before="143" w:line="188" w:lineRule="auto"/>
              <w:ind w:left="398"/>
            </w:pPr>
            <w:r>
              <w:rPr>
                <w:spacing w:val="-3"/>
              </w:rPr>
              <w:t>649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809" w:type="dxa"/>
            <w:vMerge w:val="continue"/>
            <w:tcBorders>
              <w:top w:val="nil"/>
              <w:left w:val="nil"/>
              <w:bottom w:val="nil"/>
            </w:tcBorders>
            <w:vAlign w:val="top"/>
          </w:tcPr>
          <w:p>
            <w:pPr>
              <w:rPr>
                <w:rFonts w:ascii="Arial"/>
                <w:sz w:val="21"/>
              </w:rPr>
            </w:pPr>
          </w:p>
        </w:tc>
        <w:tc>
          <w:tcPr>
            <w:tcW w:w="2753" w:type="dxa"/>
            <w:vAlign w:val="top"/>
          </w:tcPr>
          <w:p>
            <w:pPr>
              <w:pStyle w:val="6"/>
              <w:spacing w:before="72" w:line="251" w:lineRule="auto"/>
              <w:ind w:left="953" w:right="231" w:hanging="722"/>
            </w:pPr>
            <w:r>
              <w:rPr>
                <w:rFonts w:ascii="仿宋" w:hAnsi="仿宋" w:eastAsia="仿宋" w:cs="仿宋"/>
                <w:spacing w:val="-3"/>
              </w:rPr>
              <w:t>渗透系数（饱和导水率）</w:t>
            </w:r>
            <w:r>
              <w:rPr>
                <w:rFonts w:ascii="仿宋" w:hAnsi="仿宋" w:eastAsia="仿宋" w:cs="仿宋"/>
                <w:spacing w:val="2"/>
              </w:rPr>
              <w:t xml:space="preserve"> </w:t>
            </w:r>
            <w:r>
              <w:rPr>
                <w:spacing w:val="-2"/>
              </w:rPr>
              <w:t>(mm/min)</w:t>
            </w:r>
          </w:p>
        </w:tc>
        <w:tc>
          <w:tcPr>
            <w:tcW w:w="1260" w:type="dxa"/>
            <w:vAlign w:val="top"/>
          </w:tcPr>
          <w:p>
            <w:pPr>
              <w:pStyle w:val="6"/>
              <w:spacing w:before="265" w:line="188" w:lineRule="auto"/>
              <w:ind w:left="464"/>
            </w:pPr>
            <w:r>
              <w:rPr>
                <w:spacing w:val="-6"/>
              </w:rPr>
              <w:t>1.79</w:t>
            </w:r>
          </w:p>
        </w:tc>
        <w:tc>
          <w:tcPr>
            <w:tcW w:w="1267" w:type="dxa"/>
            <w:vAlign w:val="top"/>
          </w:tcPr>
          <w:p>
            <w:pPr>
              <w:pStyle w:val="6"/>
              <w:spacing w:before="265" w:line="188" w:lineRule="auto"/>
              <w:ind w:left="468"/>
            </w:pPr>
            <w:r>
              <w:rPr>
                <w:spacing w:val="-6"/>
              </w:rPr>
              <w:t>1.57</w:t>
            </w:r>
          </w:p>
        </w:tc>
        <w:tc>
          <w:tcPr>
            <w:tcW w:w="1244" w:type="dxa"/>
            <w:vAlign w:val="top"/>
          </w:tcPr>
          <w:p>
            <w:pPr>
              <w:pStyle w:val="6"/>
              <w:spacing w:before="265" w:line="188" w:lineRule="auto"/>
              <w:ind w:left="456"/>
            </w:pPr>
            <w:r>
              <w:rPr>
                <w:spacing w:val="-6"/>
              </w:rPr>
              <w:t>1.70</w:t>
            </w:r>
          </w:p>
        </w:tc>
        <w:tc>
          <w:tcPr>
            <w:tcW w:w="1100" w:type="dxa"/>
            <w:tcBorders>
              <w:right w:val="nil"/>
            </w:tcBorders>
            <w:vAlign w:val="top"/>
          </w:tcPr>
          <w:p>
            <w:pPr>
              <w:pStyle w:val="6"/>
              <w:spacing w:before="265" w:line="188" w:lineRule="auto"/>
              <w:ind w:left="387"/>
            </w:pPr>
            <w:r>
              <w:rPr>
                <w:spacing w:val="-6"/>
              </w:rPr>
              <w:t>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9" w:hRule="atLeast"/>
        </w:trPr>
        <w:tc>
          <w:tcPr>
            <w:tcW w:w="809" w:type="dxa"/>
            <w:vMerge w:val="continue"/>
            <w:tcBorders>
              <w:top w:val="nil"/>
              <w:left w:val="nil"/>
              <w:bottom w:val="nil"/>
            </w:tcBorders>
            <w:vAlign w:val="top"/>
          </w:tcPr>
          <w:p>
            <w:pPr>
              <w:rPr>
                <w:rFonts w:ascii="Arial"/>
                <w:sz w:val="21"/>
              </w:rPr>
            </w:pPr>
          </w:p>
        </w:tc>
        <w:tc>
          <w:tcPr>
            <w:tcW w:w="2753" w:type="dxa"/>
            <w:vAlign w:val="top"/>
          </w:tcPr>
          <w:p>
            <w:pPr>
              <w:pStyle w:val="6"/>
              <w:spacing w:before="112" w:line="212" w:lineRule="auto"/>
              <w:ind w:left="651"/>
            </w:pPr>
            <w:r>
              <w:rPr>
                <w:rFonts w:ascii="仿宋" w:hAnsi="仿宋" w:eastAsia="仿宋" w:cs="仿宋"/>
                <w:spacing w:val="-2"/>
              </w:rPr>
              <w:t>土壤容重</w:t>
            </w:r>
            <w:r>
              <w:rPr>
                <w:spacing w:val="-2"/>
              </w:rPr>
              <w:t>(g/cm</w:t>
            </w:r>
            <w:r>
              <w:rPr>
                <w:spacing w:val="-2"/>
                <w:position w:val="7"/>
                <w:sz w:val="14"/>
                <w:szCs w:val="14"/>
              </w:rPr>
              <w:t>3</w:t>
            </w:r>
            <w:r>
              <w:rPr>
                <w:spacing w:val="-2"/>
              </w:rPr>
              <w:t>)</w:t>
            </w:r>
          </w:p>
        </w:tc>
        <w:tc>
          <w:tcPr>
            <w:tcW w:w="1260" w:type="dxa"/>
            <w:vAlign w:val="top"/>
          </w:tcPr>
          <w:p>
            <w:pPr>
              <w:pStyle w:val="6"/>
              <w:spacing w:before="149" w:line="188" w:lineRule="auto"/>
              <w:ind w:left="464"/>
            </w:pPr>
            <w:r>
              <w:rPr>
                <w:spacing w:val="-6"/>
              </w:rPr>
              <w:t>1.96</w:t>
            </w:r>
          </w:p>
        </w:tc>
        <w:tc>
          <w:tcPr>
            <w:tcW w:w="1267" w:type="dxa"/>
            <w:vAlign w:val="top"/>
          </w:tcPr>
          <w:p>
            <w:pPr>
              <w:pStyle w:val="6"/>
              <w:spacing w:before="149" w:line="188" w:lineRule="auto"/>
              <w:ind w:left="468"/>
            </w:pPr>
            <w:r>
              <w:rPr>
                <w:spacing w:val="-6"/>
              </w:rPr>
              <w:t>1.75</w:t>
            </w:r>
          </w:p>
        </w:tc>
        <w:tc>
          <w:tcPr>
            <w:tcW w:w="1244" w:type="dxa"/>
            <w:vAlign w:val="top"/>
          </w:tcPr>
          <w:p>
            <w:pPr>
              <w:pStyle w:val="6"/>
              <w:spacing w:before="149" w:line="188" w:lineRule="auto"/>
              <w:ind w:left="456"/>
            </w:pPr>
            <w:r>
              <w:rPr>
                <w:spacing w:val="-6"/>
              </w:rPr>
              <w:t>1.84</w:t>
            </w:r>
          </w:p>
        </w:tc>
        <w:tc>
          <w:tcPr>
            <w:tcW w:w="1100" w:type="dxa"/>
            <w:tcBorders>
              <w:right w:val="nil"/>
            </w:tcBorders>
            <w:vAlign w:val="top"/>
          </w:tcPr>
          <w:p>
            <w:pPr>
              <w:pStyle w:val="6"/>
              <w:spacing w:before="149" w:line="188" w:lineRule="auto"/>
              <w:ind w:left="367"/>
            </w:pPr>
            <w:r>
              <w:rPr>
                <w:spacing w:val="-1"/>
              </w:rPr>
              <w:t>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2" w:hRule="atLeast"/>
        </w:trPr>
        <w:tc>
          <w:tcPr>
            <w:tcW w:w="809" w:type="dxa"/>
            <w:vMerge w:val="continue"/>
            <w:tcBorders>
              <w:top w:val="nil"/>
              <w:left w:val="nil"/>
              <w:bottom w:val="single" w:color="000000" w:sz="12" w:space="0"/>
            </w:tcBorders>
            <w:vAlign w:val="top"/>
          </w:tcPr>
          <w:p>
            <w:pPr>
              <w:rPr>
                <w:rFonts w:ascii="Arial"/>
                <w:sz w:val="21"/>
              </w:rPr>
            </w:pPr>
          </w:p>
        </w:tc>
        <w:tc>
          <w:tcPr>
            <w:tcW w:w="2753" w:type="dxa"/>
            <w:tcBorders>
              <w:bottom w:val="single" w:color="000000" w:sz="12" w:space="0"/>
            </w:tcBorders>
            <w:vAlign w:val="top"/>
          </w:tcPr>
          <w:p>
            <w:pPr>
              <w:pStyle w:val="6"/>
              <w:spacing w:before="113" w:line="213" w:lineRule="auto"/>
              <w:ind w:left="912"/>
            </w:pPr>
            <w:r>
              <w:rPr>
                <w:rFonts w:ascii="仿宋" w:hAnsi="仿宋" w:eastAsia="仿宋" w:cs="仿宋"/>
                <w:spacing w:val="-3"/>
              </w:rPr>
              <w:t>孔隙度</w:t>
            </w:r>
            <w:r>
              <w:rPr>
                <w:spacing w:val="-3"/>
              </w:rPr>
              <w:t>(%)</w:t>
            </w:r>
          </w:p>
        </w:tc>
        <w:tc>
          <w:tcPr>
            <w:tcW w:w="1260" w:type="dxa"/>
            <w:tcBorders>
              <w:bottom w:val="single" w:color="000000" w:sz="12" w:space="0"/>
            </w:tcBorders>
            <w:vAlign w:val="top"/>
          </w:tcPr>
          <w:p>
            <w:pPr>
              <w:pStyle w:val="6"/>
              <w:spacing w:before="150" w:line="188" w:lineRule="auto"/>
              <w:ind w:left="397"/>
            </w:pPr>
            <w:r>
              <w:rPr>
                <w:spacing w:val="-2"/>
              </w:rPr>
              <w:t>50.30</w:t>
            </w:r>
          </w:p>
        </w:tc>
        <w:tc>
          <w:tcPr>
            <w:tcW w:w="1267" w:type="dxa"/>
            <w:tcBorders>
              <w:bottom w:val="single" w:color="000000" w:sz="12" w:space="0"/>
            </w:tcBorders>
            <w:vAlign w:val="top"/>
          </w:tcPr>
          <w:p>
            <w:pPr>
              <w:pStyle w:val="6"/>
              <w:spacing w:before="150" w:line="188" w:lineRule="auto"/>
              <w:ind w:left="394"/>
            </w:pPr>
            <w:r>
              <w:rPr>
                <w:spacing w:val="-1"/>
              </w:rPr>
              <w:t>49.78</w:t>
            </w:r>
          </w:p>
        </w:tc>
        <w:tc>
          <w:tcPr>
            <w:tcW w:w="1244" w:type="dxa"/>
            <w:tcBorders>
              <w:bottom w:val="single" w:color="000000" w:sz="12" w:space="0"/>
            </w:tcBorders>
            <w:vAlign w:val="top"/>
          </w:tcPr>
          <w:p>
            <w:pPr>
              <w:pStyle w:val="6"/>
              <w:spacing w:before="150" w:line="188" w:lineRule="auto"/>
              <w:ind w:left="382"/>
            </w:pPr>
            <w:r>
              <w:rPr>
                <w:spacing w:val="-1"/>
              </w:rPr>
              <w:t>48.22</w:t>
            </w:r>
          </w:p>
        </w:tc>
        <w:tc>
          <w:tcPr>
            <w:tcW w:w="1100" w:type="dxa"/>
            <w:tcBorders>
              <w:bottom w:val="single" w:color="000000" w:sz="12" w:space="0"/>
              <w:right w:val="nil"/>
            </w:tcBorders>
            <w:vAlign w:val="top"/>
          </w:tcPr>
          <w:p>
            <w:pPr>
              <w:pStyle w:val="6"/>
              <w:spacing w:before="150" w:line="188" w:lineRule="auto"/>
              <w:ind w:left="320"/>
            </w:pPr>
            <w:r>
              <w:rPr>
                <w:spacing w:val="-2"/>
              </w:rPr>
              <w:t>51.62</w:t>
            </w:r>
          </w:p>
        </w:tc>
      </w:tr>
    </w:tbl>
    <w:p>
      <w:pPr>
        <w:spacing w:before="128" w:line="220" w:lineRule="auto"/>
        <w:ind w:left="2818"/>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6"/>
          <w:sz w:val="21"/>
          <w:szCs w:val="21"/>
        </w:rPr>
        <w:t xml:space="preserve"> </w:t>
      </w:r>
      <w:r>
        <w:rPr>
          <w:rFonts w:ascii="Times New Roman" w:hAnsi="Times New Roman" w:eastAsia="Times New Roman" w:cs="Times New Roman"/>
          <w:b/>
          <w:bCs/>
          <w:spacing w:val="-1"/>
          <w:sz w:val="21"/>
          <w:szCs w:val="21"/>
        </w:rPr>
        <w:t xml:space="preserve">3.2-15  </w:t>
      </w:r>
      <w:r>
        <w:rPr>
          <w:rFonts w:ascii="宋体" w:hAnsi="宋体" w:eastAsia="宋体" w:cs="宋体"/>
          <w:spacing w:val="-1"/>
          <w:sz w:val="21"/>
          <w:szCs w:val="21"/>
          <w14:textOutline w14:w="3810" w14:cap="flat" w14:cmpd="sng">
            <w14:solidFill>
              <w14:srgbClr w14:val="000000"/>
            </w14:solidFill>
            <w14:prstDash w14:val="solid"/>
            <w14:miter w14:val="0"/>
          </w14:textOutline>
        </w:rPr>
        <w:t>土壤理化特性调查表</w:t>
      </w:r>
    </w:p>
    <w:p>
      <w:pPr>
        <w:spacing w:line="89" w:lineRule="exact"/>
      </w:pPr>
    </w:p>
    <w:tbl>
      <w:tblPr>
        <w:tblStyle w:val="5"/>
        <w:tblW w:w="8307" w:type="dxa"/>
        <w:tblInd w:w="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2"/>
        <w:gridCol w:w="2990"/>
        <w:gridCol w:w="1442"/>
        <w:gridCol w:w="1471"/>
        <w:gridCol w:w="1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3" w:hRule="atLeast"/>
        </w:trPr>
        <w:tc>
          <w:tcPr>
            <w:tcW w:w="3892" w:type="dxa"/>
            <w:gridSpan w:val="2"/>
            <w:tcBorders>
              <w:top w:val="single" w:color="000000" w:sz="12" w:space="0"/>
              <w:left w:val="nil"/>
            </w:tcBorders>
            <w:vAlign w:val="top"/>
          </w:tcPr>
          <w:p>
            <w:pPr>
              <w:spacing w:before="92" w:line="220" w:lineRule="auto"/>
              <w:ind w:left="1757"/>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点号</w:t>
            </w:r>
          </w:p>
        </w:tc>
        <w:tc>
          <w:tcPr>
            <w:tcW w:w="1442" w:type="dxa"/>
            <w:tcBorders>
              <w:top w:val="single" w:color="000000" w:sz="12" w:space="0"/>
            </w:tcBorders>
            <w:vAlign w:val="top"/>
          </w:tcPr>
          <w:p>
            <w:pPr>
              <w:pStyle w:val="6"/>
              <w:spacing w:before="92" w:line="232" w:lineRule="auto"/>
              <w:ind w:left="77"/>
              <w:rPr>
                <w:rFonts w:ascii="仿宋" w:hAnsi="仿宋" w:eastAsia="仿宋" w:cs="仿宋"/>
              </w:rPr>
            </w:pPr>
            <w:r>
              <w:rPr>
                <w:b/>
                <w:bCs/>
                <w:spacing w:val="-1"/>
              </w:rPr>
              <w:t>S5</w:t>
            </w:r>
            <w:r>
              <w:rPr>
                <w:rFonts w:ascii="仿宋" w:hAnsi="仿宋" w:eastAsia="仿宋" w:cs="仿宋"/>
                <w:spacing w:val="-1"/>
                <w14:textOutline w14:w="3810" w14:cap="flat" w14:cmpd="sng">
                  <w14:solidFill>
                    <w14:srgbClr w14:val="000000"/>
                  </w14:solidFill>
                  <w14:prstDash w14:val="solid"/>
                  <w14:miter w14:val="0"/>
                </w14:textOutline>
              </w:rPr>
              <w:t>（</w:t>
            </w:r>
            <w:r>
              <w:rPr>
                <w:b/>
                <w:bCs/>
                <w:spacing w:val="-1"/>
              </w:rPr>
              <w:t>0-20cm</w:t>
            </w:r>
            <w:r>
              <w:rPr>
                <w:rFonts w:ascii="仿宋" w:hAnsi="仿宋" w:eastAsia="仿宋" w:cs="仿宋"/>
                <w:spacing w:val="-1"/>
                <w14:textOutline w14:w="3810" w14:cap="flat" w14:cmpd="sng">
                  <w14:solidFill>
                    <w14:srgbClr w14:val="000000"/>
                  </w14:solidFill>
                  <w14:prstDash w14:val="solid"/>
                  <w14:miter w14:val="0"/>
                </w14:textOutline>
              </w:rPr>
              <w:t>）</w:t>
            </w:r>
          </w:p>
        </w:tc>
        <w:tc>
          <w:tcPr>
            <w:tcW w:w="1471" w:type="dxa"/>
            <w:tcBorders>
              <w:top w:val="single" w:color="000000" w:sz="12" w:space="0"/>
            </w:tcBorders>
            <w:vAlign w:val="top"/>
          </w:tcPr>
          <w:p>
            <w:pPr>
              <w:pStyle w:val="6"/>
              <w:spacing w:before="92" w:line="232" w:lineRule="auto"/>
              <w:ind w:left="92"/>
              <w:rPr>
                <w:rFonts w:ascii="仿宋" w:hAnsi="仿宋" w:eastAsia="仿宋" w:cs="仿宋"/>
              </w:rPr>
            </w:pPr>
            <w:r>
              <w:rPr>
                <w:b/>
                <w:bCs/>
                <w:spacing w:val="-1"/>
              </w:rPr>
              <w:t>S6</w:t>
            </w:r>
            <w:r>
              <w:rPr>
                <w:rFonts w:ascii="仿宋" w:hAnsi="仿宋" w:eastAsia="仿宋" w:cs="仿宋"/>
                <w:spacing w:val="-1"/>
                <w14:textOutline w14:w="3810" w14:cap="flat" w14:cmpd="sng">
                  <w14:solidFill>
                    <w14:srgbClr w14:val="000000"/>
                  </w14:solidFill>
                  <w14:prstDash w14:val="solid"/>
                  <w14:miter w14:val="0"/>
                </w14:textOutline>
              </w:rPr>
              <w:t>（</w:t>
            </w:r>
            <w:r>
              <w:rPr>
                <w:b/>
                <w:bCs/>
                <w:spacing w:val="-1"/>
              </w:rPr>
              <w:t>0-20cm</w:t>
            </w:r>
            <w:r>
              <w:rPr>
                <w:rFonts w:ascii="仿宋" w:hAnsi="仿宋" w:eastAsia="仿宋" w:cs="仿宋"/>
                <w:spacing w:val="-1"/>
                <w14:textOutline w14:w="3810" w14:cap="flat" w14:cmpd="sng">
                  <w14:solidFill>
                    <w14:srgbClr w14:val="000000"/>
                  </w14:solidFill>
                  <w14:prstDash w14:val="solid"/>
                  <w14:miter w14:val="0"/>
                </w14:textOutline>
              </w:rPr>
              <w:t>）</w:t>
            </w:r>
          </w:p>
        </w:tc>
        <w:tc>
          <w:tcPr>
            <w:tcW w:w="1502" w:type="dxa"/>
            <w:tcBorders>
              <w:top w:val="single" w:color="000000" w:sz="12" w:space="0"/>
              <w:right w:val="nil"/>
            </w:tcBorders>
            <w:vAlign w:val="top"/>
          </w:tcPr>
          <w:p>
            <w:pPr>
              <w:pStyle w:val="6"/>
              <w:spacing w:before="92" w:line="232" w:lineRule="auto"/>
              <w:ind w:left="111"/>
              <w:rPr>
                <w:rFonts w:ascii="仿宋" w:hAnsi="仿宋" w:eastAsia="仿宋" w:cs="仿宋"/>
              </w:rPr>
            </w:pPr>
            <w:r>
              <w:rPr>
                <w:b/>
                <w:bCs/>
                <w:spacing w:val="-1"/>
              </w:rPr>
              <w:t>S7</w:t>
            </w:r>
            <w:r>
              <w:rPr>
                <w:rFonts w:ascii="仿宋" w:hAnsi="仿宋" w:eastAsia="仿宋" w:cs="仿宋"/>
                <w:spacing w:val="-1"/>
                <w14:textOutline w14:w="3810" w14:cap="flat" w14:cmpd="sng">
                  <w14:solidFill>
                    <w14:srgbClr w14:val="000000"/>
                  </w14:solidFill>
                  <w14:prstDash w14:val="solid"/>
                  <w14:miter w14:val="0"/>
                </w14:textOutline>
              </w:rPr>
              <w:t>（</w:t>
            </w:r>
            <w:r>
              <w:rPr>
                <w:b/>
                <w:bCs/>
                <w:spacing w:val="-1"/>
              </w:rPr>
              <w:t>0-20cm</w:t>
            </w:r>
            <w:r>
              <w:rPr>
                <w:rFonts w:ascii="仿宋" w:hAnsi="仿宋" w:eastAsia="仿宋" w:cs="仿宋"/>
                <w:spacing w:val="-1"/>
                <w14:textOutline w14:w="3810" w14:cap="flat" w14:cmpd="sng">
                  <w14:solidFill>
                    <w14:srgbClr w14:val="000000"/>
                  </w14:solidFill>
                  <w14:prstDash w14:val="solid"/>
                  <w14:miter w14:val="0"/>
                </w14:textOutli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trPr>
        <w:tc>
          <w:tcPr>
            <w:tcW w:w="3892" w:type="dxa"/>
            <w:gridSpan w:val="2"/>
            <w:tcBorders>
              <w:left w:val="nil"/>
            </w:tcBorders>
            <w:vAlign w:val="top"/>
          </w:tcPr>
          <w:p>
            <w:pPr>
              <w:spacing w:before="92" w:line="219" w:lineRule="auto"/>
              <w:ind w:left="1761"/>
              <w:rPr>
                <w:rFonts w:ascii="仿宋" w:hAnsi="仿宋" w:eastAsia="仿宋" w:cs="仿宋"/>
                <w:sz w:val="21"/>
                <w:szCs w:val="21"/>
              </w:rPr>
            </w:pPr>
            <w:r>
              <w:rPr>
                <w:rFonts w:ascii="仿宋" w:hAnsi="仿宋" w:eastAsia="仿宋" w:cs="仿宋"/>
                <w:spacing w:val="-8"/>
                <w:sz w:val="21"/>
                <w:szCs w:val="21"/>
              </w:rPr>
              <w:t>时间</w:t>
            </w:r>
          </w:p>
        </w:tc>
        <w:tc>
          <w:tcPr>
            <w:tcW w:w="1442" w:type="dxa"/>
            <w:vAlign w:val="top"/>
          </w:tcPr>
          <w:p>
            <w:pPr>
              <w:pStyle w:val="6"/>
              <w:spacing w:before="129" w:line="188" w:lineRule="auto"/>
              <w:ind w:left="247"/>
            </w:pPr>
            <w:r>
              <w:rPr>
                <w:spacing w:val="-1"/>
              </w:rPr>
              <w:t>2023.03.31</w:t>
            </w:r>
          </w:p>
        </w:tc>
        <w:tc>
          <w:tcPr>
            <w:tcW w:w="1471" w:type="dxa"/>
            <w:vAlign w:val="top"/>
          </w:tcPr>
          <w:p>
            <w:pPr>
              <w:pStyle w:val="6"/>
              <w:spacing w:before="129" w:line="188" w:lineRule="auto"/>
              <w:ind w:left="262"/>
            </w:pPr>
            <w:r>
              <w:rPr>
                <w:spacing w:val="-1"/>
              </w:rPr>
              <w:t>2023.03.31</w:t>
            </w:r>
          </w:p>
        </w:tc>
        <w:tc>
          <w:tcPr>
            <w:tcW w:w="1502" w:type="dxa"/>
            <w:tcBorders>
              <w:right w:val="nil"/>
            </w:tcBorders>
            <w:vAlign w:val="top"/>
          </w:tcPr>
          <w:p>
            <w:pPr>
              <w:pStyle w:val="6"/>
              <w:spacing w:before="129" w:line="188" w:lineRule="auto"/>
              <w:ind w:left="281"/>
            </w:pPr>
            <w:r>
              <w:rPr>
                <w:spacing w:val="-1"/>
              </w:rPr>
              <w:t>2023.03.31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1" w:hRule="atLeast"/>
        </w:trPr>
        <w:tc>
          <w:tcPr>
            <w:tcW w:w="3892" w:type="dxa"/>
            <w:gridSpan w:val="2"/>
            <w:tcBorders>
              <w:left w:val="nil"/>
            </w:tcBorders>
            <w:vAlign w:val="top"/>
          </w:tcPr>
          <w:p>
            <w:pPr>
              <w:spacing w:before="95" w:line="219" w:lineRule="auto"/>
              <w:ind w:left="1746"/>
              <w:rPr>
                <w:rFonts w:ascii="仿宋" w:hAnsi="仿宋" w:eastAsia="仿宋" w:cs="仿宋"/>
                <w:sz w:val="21"/>
                <w:szCs w:val="21"/>
              </w:rPr>
            </w:pPr>
            <w:r>
              <w:rPr>
                <w:rFonts w:ascii="仿宋" w:hAnsi="仿宋" w:eastAsia="仿宋" w:cs="仿宋"/>
                <w:spacing w:val="-4"/>
                <w:sz w:val="21"/>
                <w:szCs w:val="21"/>
              </w:rPr>
              <w:t>经度</w:t>
            </w:r>
          </w:p>
        </w:tc>
        <w:tc>
          <w:tcPr>
            <w:tcW w:w="1442" w:type="dxa"/>
            <w:vAlign w:val="top"/>
          </w:tcPr>
          <w:p>
            <w:pPr>
              <w:pStyle w:val="6"/>
              <w:spacing w:before="132" w:line="188" w:lineRule="auto"/>
              <w:ind w:left="132"/>
            </w:pPr>
            <w:r>
              <w:rPr>
                <w:spacing w:val="-4"/>
              </w:rPr>
              <w:t>101°</w:t>
            </w:r>
            <w:r>
              <w:rPr>
                <w:spacing w:val="-26"/>
              </w:rPr>
              <w:t xml:space="preserve"> </w:t>
            </w:r>
            <w:r>
              <w:rPr>
                <w:spacing w:val="-4"/>
              </w:rPr>
              <w:t>15′49.90</w:t>
            </w:r>
            <w:r>
              <w:rPr>
                <w:spacing w:val="-36"/>
              </w:rPr>
              <w:t xml:space="preserve"> </w:t>
            </w:r>
            <w:r>
              <w:rPr>
                <w:spacing w:val="-4"/>
              </w:rPr>
              <w:t>″</w:t>
            </w:r>
          </w:p>
        </w:tc>
        <w:tc>
          <w:tcPr>
            <w:tcW w:w="1471" w:type="dxa"/>
            <w:vAlign w:val="top"/>
          </w:tcPr>
          <w:p>
            <w:pPr>
              <w:pStyle w:val="6"/>
              <w:spacing w:before="132" w:line="188" w:lineRule="auto"/>
              <w:ind w:left="147"/>
            </w:pPr>
            <w:r>
              <w:rPr>
                <w:spacing w:val="-4"/>
              </w:rPr>
              <w:t>101°</w:t>
            </w:r>
            <w:r>
              <w:rPr>
                <w:spacing w:val="-26"/>
              </w:rPr>
              <w:t xml:space="preserve"> </w:t>
            </w:r>
            <w:r>
              <w:rPr>
                <w:spacing w:val="-4"/>
              </w:rPr>
              <w:t>18′55.21</w:t>
            </w:r>
            <w:r>
              <w:rPr>
                <w:spacing w:val="-35"/>
              </w:rPr>
              <w:t xml:space="preserve"> </w:t>
            </w:r>
            <w:r>
              <w:rPr>
                <w:spacing w:val="-4"/>
              </w:rPr>
              <w:t>″</w:t>
            </w:r>
          </w:p>
        </w:tc>
        <w:tc>
          <w:tcPr>
            <w:tcW w:w="1502" w:type="dxa"/>
            <w:tcBorders>
              <w:right w:val="nil"/>
            </w:tcBorders>
            <w:vAlign w:val="top"/>
          </w:tcPr>
          <w:p>
            <w:pPr>
              <w:pStyle w:val="6"/>
              <w:spacing w:before="132" w:line="188" w:lineRule="auto"/>
              <w:ind w:left="166"/>
            </w:pPr>
            <w:r>
              <w:rPr>
                <w:spacing w:val="-2"/>
              </w:rPr>
              <w:t>101°20′55.80</w:t>
            </w:r>
            <w:r>
              <w:rPr>
                <w:spacing w:val="-35"/>
              </w:rPr>
              <w:t xml:space="preserve"> </w:t>
            </w:r>
            <w:r>
              <w:rPr>
                <w:spacing w:val="-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trPr>
        <w:tc>
          <w:tcPr>
            <w:tcW w:w="3892" w:type="dxa"/>
            <w:gridSpan w:val="2"/>
            <w:tcBorders>
              <w:left w:val="nil"/>
            </w:tcBorders>
            <w:vAlign w:val="top"/>
          </w:tcPr>
          <w:p>
            <w:pPr>
              <w:spacing w:before="96" w:line="217" w:lineRule="auto"/>
              <w:ind w:left="1749"/>
              <w:rPr>
                <w:rFonts w:ascii="仿宋" w:hAnsi="仿宋" w:eastAsia="仿宋" w:cs="仿宋"/>
                <w:sz w:val="21"/>
                <w:szCs w:val="21"/>
              </w:rPr>
            </w:pPr>
            <w:r>
              <w:rPr>
                <w:rFonts w:ascii="仿宋" w:hAnsi="仿宋" w:eastAsia="仿宋" w:cs="仿宋"/>
                <w:spacing w:val="-5"/>
                <w:sz w:val="21"/>
                <w:szCs w:val="21"/>
              </w:rPr>
              <w:t>纬度</w:t>
            </w:r>
          </w:p>
        </w:tc>
        <w:tc>
          <w:tcPr>
            <w:tcW w:w="1442" w:type="dxa"/>
            <w:vAlign w:val="top"/>
          </w:tcPr>
          <w:p>
            <w:pPr>
              <w:pStyle w:val="6"/>
              <w:spacing w:before="133" w:line="188" w:lineRule="auto"/>
              <w:ind w:left="217"/>
            </w:pPr>
            <w:r>
              <w:rPr>
                <w:spacing w:val="-3"/>
              </w:rPr>
              <w:t>26°</w:t>
            </w:r>
            <w:r>
              <w:rPr>
                <w:spacing w:val="-25"/>
              </w:rPr>
              <w:t xml:space="preserve"> </w:t>
            </w:r>
            <w:r>
              <w:rPr>
                <w:spacing w:val="-3"/>
              </w:rPr>
              <w:t>1′49.13</w:t>
            </w:r>
            <w:r>
              <w:rPr>
                <w:spacing w:val="-36"/>
              </w:rPr>
              <w:t xml:space="preserve"> </w:t>
            </w:r>
            <w:r>
              <w:rPr>
                <w:spacing w:val="-3"/>
              </w:rPr>
              <w:t>″</w:t>
            </w:r>
          </w:p>
        </w:tc>
        <w:tc>
          <w:tcPr>
            <w:tcW w:w="1471" w:type="dxa"/>
            <w:vAlign w:val="top"/>
          </w:tcPr>
          <w:p>
            <w:pPr>
              <w:pStyle w:val="6"/>
              <w:spacing w:before="133" w:line="188" w:lineRule="auto"/>
              <w:ind w:left="232"/>
            </w:pPr>
            <w:r>
              <w:rPr>
                <w:spacing w:val="-1"/>
              </w:rPr>
              <w:t>26°6′42.24</w:t>
            </w:r>
            <w:r>
              <w:rPr>
                <w:spacing w:val="-30"/>
              </w:rPr>
              <w:t xml:space="preserve"> </w:t>
            </w:r>
            <w:r>
              <w:rPr>
                <w:spacing w:val="-1"/>
              </w:rPr>
              <w:t>″</w:t>
            </w:r>
          </w:p>
        </w:tc>
        <w:tc>
          <w:tcPr>
            <w:tcW w:w="1502" w:type="dxa"/>
            <w:tcBorders>
              <w:right w:val="nil"/>
            </w:tcBorders>
            <w:vAlign w:val="top"/>
          </w:tcPr>
          <w:p>
            <w:pPr>
              <w:pStyle w:val="6"/>
              <w:spacing w:before="133" w:line="188" w:lineRule="auto"/>
              <w:ind w:left="251"/>
            </w:pPr>
            <w:r>
              <w:rPr>
                <w:spacing w:val="-1"/>
              </w:rPr>
              <w:t>25°57′7.95</w:t>
            </w:r>
            <w:r>
              <w:rPr>
                <w:spacing w:val="-30"/>
              </w:rPr>
              <w:t xml:space="preserve"> </w:t>
            </w:r>
            <w:r>
              <w:rPr>
                <w:spacing w:val="-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trPr>
        <w:tc>
          <w:tcPr>
            <w:tcW w:w="3892" w:type="dxa"/>
            <w:gridSpan w:val="2"/>
            <w:tcBorders>
              <w:left w:val="nil"/>
            </w:tcBorders>
            <w:vAlign w:val="top"/>
          </w:tcPr>
          <w:p>
            <w:pPr>
              <w:spacing w:before="100" w:line="219" w:lineRule="auto"/>
              <w:ind w:left="1748"/>
              <w:rPr>
                <w:rFonts w:ascii="仿宋" w:hAnsi="仿宋" w:eastAsia="仿宋" w:cs="仿宋"/>
                <w:sz w:val="21"/>
                <w:szCs w:val="21"/>
              </w:rPr>
            </w:pPr>
            <w:r>
              <w:rPr>
                <w:rFonts w:ascii="仿宋" w:hAnsi="仿宋" w:eastAsia="仿宋" w:cs="仿宋"/>
                <w:spacing w:val="-4"/>
                <w:sz w:val="21"/>
                <w:szCs w:val="21"/>
              </w:rPr>
              <w:t>层次</w:t>
            </w:r>
          </w:p>
        </w:tc>
        <w:tc>
          <w:tcPr>
            <w:tcW w:w="1442" w:type="dxa"/>
            <w:vAlign w:val="top"/>
          </w:tcPr>
          <w:p>
            <w:pPr>
              <w:pStyle w:val="6"/>
              <w:spacing w:before="135" w:line="232" w:lineRule="auto"/>
              <w:ind w:left="402"/>
            </w:pPr>
            <w:r>
              <w:rPr>
                <w:spacing w:val="-2"/>
              </w:rPr>
              <w:t>0-20cm</w:t>
            </w:r>
          </w:p>
        </w:tc>
        <w:tc>
          <w:tcPr>
            <w:tcW w:w="1471" w:type="dxa"/>
            <w:vAlign w:val="top"/>
          </w:tcPr>
          <w:p>
            <w:pPr>
              <w:pStyle w:val="6"/>
              <w:spacing w:before="135" w:line="232" w:lineRule="auto"/>
              <w:ind w:left="416"/>
            </w:pPr>
            <w:r>
              <w:rPr>
                <w:spacing w:val="-2"/>
              </w:rPr>
              <w:t>0-20cm</w:t>
            </w:r>
          </w:p>
        </w:tc>
        <w:tc>
          <w:tcPr>
            <w:tcW w:w="1502" w:type="dxa"/>
            <w:tcBorders>
              <w:right w:val="nil"/>
            </w:tcBorders>
            <w:vAlign w:val="top"/>
          </w:tcPr>
          <w:p>
            <w:pPr>
              <w:pStyle w:val="6"/>
              <w:spacing w:before="135" w:line="232" w:lineRule="auto"/>
              <w:ind w:left="435"/>
            </w:pPr>
            <w:r>
              <w:rPr>
                <w:spacing w:val="-2"/>
              </w:rPr>
              <w:t>0-20cm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1" w:hRule="atLeast"/>
        </w:trPr>
        <w:tc>
          <w:tcPr>
            <w:tcW w:w="902" w:type="dxa"/>
            <w:vMerge w:val="restart"/>
            <w:tcBorders>
              <w:left w:val="nil"/>
              <w:bottom w:val="nil"/>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68" w:line="219" w:lineRule="auto"/>
              <w:ind w:left="40"/>
              <w:rPr>
                <w:rFonts w:ascii="仿宋" w:hAnsi="仿宋" w:eastAsia="仿宋" w:cs="仿宋"/>
                <w:sz w:val="21"/>
                <w:szCs w:val="21"/>
              </w:rPr>
            </w:pPr>
            <w:r>
              <w:rPr>
                <w:rFonts w:ascii="仿宋" w:hAnsi="仿宋" w:eastAsia="仿宋" w:cs="仿宋"/>
                <w:spacing w:val="-3"/>
                <w:sz w:val="21"/>
                <w:szCs w:val="21"/>
              </w:rPr>
              <w:t>现场记录</w:t>
            </w:r>
          </w:p>
        </w:tc>
        <w:tc>
          <w:tcPr>
            <w:tcW w:w="2990" w:type="dxa"/>
            <w:vAlign w:val="top"/>
          </w:tcPr>
          <w:p>
            <w:pPr>
              <w:spacing w:before="103" w:line="220" w:lineRule="auto"/>
              <w:ind w:left="1292"/>
              <w:rPr>
                <w:rFonts w:ascii="仿宋" w:hAnsi="仿宋" w:eastAsia="仿宋" w:cs="仿宋"/>
                <w:sz w:val="21"/>
                <w:szCs w:val="21"/>
              </w:rPr>
            </w:pPr>
            <w:r>
              <w:rPr>
                <w:rFonts w:ascii="仿宋" w:hAnsi="仿宋" w:eastAsia="仿宋" w:cs="仿宋"/>
                <w:spacing w:val="-4"/>
                <w:sz w:val="21"/>
                <w:szCs w:val="21"/>
              </w:rPr>
              <w:t>颜色</w:t>
            </w:r>
          </w:p>
        </w:tc>
        <w:tc>
          <w:tcPr>
            <w:tcW w:w="1442" w:type="dxa"/>
            <w:vAlign w:val="top"/>
          </w:tcPr>
          <w:p>
            <w:pPr>
              <w:spacing w:before="102" w:line="219" w:lineRule="auto"/>
              <w:ind w:left="418"/>
              <w:rPr>
                <w:rFonts w:ascii="仿宋" w:hAnsi="仿宋" w:eastAsia="仿宋" w:cs="仿宋"/>
                <w:sz w:val="21"/>
                <w:szCs w:val="21"/>
              </w:rPr>
            </w:pPr>
            <w:r>
              <w:rPr>
                <w:rFonts w:ascii="仿宋" w:hAnsi="仿宋" w:eastAsia="仿宋" w:cs="仿宋"/>
                <w:spacing w:val="-5"/>
                <w:sz w:val="21"/>
                <w:szCs w:val="21"/>
              </w:rPr>
              <w:t>浅棕色</w:t>
            </w:r>
          </w:p>
        </w:tc>
        <w:tc>
          <w:tcPr>
            <w:tcW w:w="1471" w:type="dxa"/>
            <w:vAlign w:val="top"/>
          </w:tcPr>
          <w:p>
            <w:pPr>
              <w:spacing w:before="102" w:line="219" w:lineRule="auto"/>
              <w:ind w:left="433"/>
              <w:rPr>
                <w:rFonts w:ascii="仿宋" w:hAnsi="仿宋" w:eastAsia="仿宋" w:cs="仿宋"/>
                <w:sz w:val="21"/>
                <w:szCs w:val="21"/>
              </w:rPr>
            </w:pPr>
            <w:r>
              <w:rPr>
                <w:rFonts w:ascii="仿宋" w:hAnsi="仿宋" w:eastAsia="仿宋" w:cs="仿宋"/>
                <w:spacing w:val="-5"/>
                <w:sz w:val="21"/>
                <w:szCs w:val="21"/>
              </w:rPr>
              <w:t>浅棕色</w:t>
            </w:r>
          </w:p>
        </w:tc>
        <w:tc>
          <w:tcPr>
            <w:tcW w:w="1502" w:type="dxa"/>
            <w:tcBorders>
              <w:right w:val="nil"/>
            </w:tcBorders>
            <w:vAlign w:val="top"/>
          </w:tcPr>
          <w:p>
            <w:pPr>
              <w:spacing w:before="102" w:line="219" w:lineRule="auto"/>
              <w:ind w:left="452"/>
              <w:rPr>
                <w:rFonts w:ascii="仿宋" w:hAnsi="仿宋" w:eastAsia="仿宋" w:cs="仿宋"/>
                <w:sz w:val="21"/>
                <w:szCs w:val="21"/>
              </w:rPr>
            </w:pPr>
            <w:r>
              <w:rPr>
                <w:rFonts w:ascii="仿宋" w:hAnsi="仿宋" w:eastAsia="仿宋" w:cs="仿宋"/>
                <w:spacing w:val="-5"/>
                <w:sz w:val="21"/>
                <w:szCs w:val="21"/>
              </w:rPr>
              <w:t>浅棕色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902" w:type="dxa"/>
            <w:vMerge w:val="continue"/>
            <w:tcBorders>
              <w:top w:val="nil"/>
              <w:left w:val="nil"/>
              <w:bottom w:val="nil"/>
            </w:tcBorders>
            <w:vAlign w:val="top"/>
          </w:tcPr>
          <w:p>
            <w:pPr>
              <w:rPr>
                <w:rFonts w:ascii="Arial"/>
                <w:sz w:val="21"/>
              </w:rPr>
            </w:pPr>
          </w:p>
        </w:tc>
        <w:tc>
          <w:tcPr>
            <w:tcW w:w="2990" w:type="dxa"/>
            <w:vAlign w:val="top"/>
          </w:tcPr>
          <w:p>
            <w:pPr>
              <w:spacing w:before="124" w:line="219" w:lineRule="auto"/>
              <w:ind w:left="1297"/>
              <w:rPr>
                <w:rFonts w:ascii="仿宋" w:hAnsi="仿宋" w:eastAsia="仿宋" w:cs="仿宋"/>
                <w:sz w:val="21"/>
                <w:szCs w:val="21"/>
              </w:rPr>
            </w:pPr>
            <w:r>
              <w:rPr>
                <w:rFonts w:ascii="仿宋" w:hAnsi="仿宋" w:eastAsia="仿宋" w:cs="仿宋"/>
                <w:spacing w:val="-5"/>
                <w:sz w:val="21"/>
                <w:szCs w:val="21"/>
              </w:rPr>
              <w:t>结构</w:t>
            </w:r>
          </w:p>
        </w:tc>
        <w:tc>
          <w:tcPr>
            <w:tcW w:w="1442" w:type="dxa"/>
            <w:vAlign w:val="top"/>
          </w:tcPr>
          <w:p>
            <w:pPr>
              <w:spacing w:before="124" w:line="217" w:lineRule="auto"/>
              <w:ind w:left="541"/>
              <w:rPr>
                <w:rFonts w:ascii="仿宋" w:hAnsi="仿宋" w:eastAsia="仿宋" w:cs="仿宋"/>
                <w:sz w:val="21"/>
                <w:szCs w:val="21"/>
              </w:rPr>
            </w:pPr>
            <w:r>
              <w:rPr>
                <w:rFonts w:ascii="仿宋" w:hAnsi="仿宋" w:eastAsia="仿宋" w:cs="仿宋"/>
                <w:spacing w:val="-10"/>
                <w:sz w:val="21"/>
                <w:szCs w:val="21"/>
              </w:rPr>
              <w:t>团粒</w:t>
            </w:r>
          </w:p>
        </w:tc>
        <w:tc>
          <w:tcPr>
            <w:tcW w:w="1471" w:type="dxa"/>
            <w:vAlign w:val="top"/>
          </w:tcPr>
          <w:p>
            <w:pPr>
              <w:spacing w:before="124" w:line="217" w:lineRule="auto"/>
              <w:ind w:left="555"/>
              <w:rPr>
                <w:rFonts w:ascii="仿宋" w:hAnsi="仿宋" w:eastAsia="仿宋" w:cs="仿宋"/>
                <w:sz w:val="21"/>
                <w:szCs w:val="21"/>
              </w:rPr>
            </w:pPr>
            <w:r>
              <w:rPr>
                <w:rFonts w:ascii="仿宋" w:hAnsi="仿宋" w:eastAsia="仿宋" w:cs="仿宋"/>
                <w:spacing w:val="-10"/>
                <w:sz w:val="21"/>
                <w:szCs w:val="21"/>
              </w:rPr>
              <w:t>团粒</w:t>
            </w:r>
          </w:p>
        </w:tc>
        <w:tc>
          <w:tcPr>
            <w:tcW w:w="1502" w:type="dxa"/>
            <w:tcBorders>
              <w:right w:val="nil"/>
            </w:tcBorders>
            <w:vAlign w:val="top"/>
          </w:tcPr>
          <w:p>
            <w:pPr>
              <w:spacing w:before="124" w:line="217" w:lineRule="auto"/>
              <w:ind w:left="575"/>
              <w:rPr>
                <w:rFonts w:ascii="仿宋" w:hAnsi="仿宋" w:eastAsia="仿宋" w:cs="仿宋"/>
                <w:sz w:val="21"/>
                <w:szCs w:val="21"/>
              </w:rPr>
            </w:pPr>
            <w:r>
              <w:rPr>
                <w:rFonts w:ascii="仿宋" w:hAnsi="仿宋" w:eastAsia="仿宋" w:cs="仿宋"/>
                <w:spacing w:val="-10"/>
                <w:sz w:val="21"/>
                <w:szCs w:val="21"/>
              </w:rPr>
              <w:t>团粒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902" w:type="dxa"/>
            <w:vMerge w:val="continue"/>
            <w:tcBorders>
              <w:top w:val="nil"/>
              <w:left w:val="nil"/>
              <w:bottom w:val="nil"/>
            </w:tcBorders>
            <w:vAlign w:val="top"/>
          </w:tcPr>
          <w:p>
            <w:pPr>
              <w:rPr>
                <w:rFonts w:ascii="Arial"/>
                <w:sz w:val="21"/>
              </w:rPr>
            </w:pPr>
          </w:p>
        </w:tc>
        <w:tc>
          <w:tcPr>
            <w:tcW w:w="2990" w:type="dxa"/>
            <w:vAlign w:val="top"/>
          </w:tcPr>
          <w:p>
            <w:pPr>
              <w:spacing w:before="126" w:line="221" w:lineRule="auto"/>
              <w:ind w:left="1298"/>
              <w:rPr>
                <w:rFonts w:ascii="仿宋" w:hAnsi="仿宋" w:eastAsia="仿宋" w:cs="仿宋"/>
                <w:sz w:val="21"/>
                <w:szCs w:val="21"/>
              </w:rPr>
            </w:pPr>
            <w:r>
              <w:rPr>
                <w:rFonts w:ascii="仿宋" w:hAnsi="仿宋" w:eastAsia="仿宋" w:cs="仿宋"/>
                <w:spacing w:val="-5"/>
                <w:sz w:val="21"/>
                <w:szCs w:val="21"/>
              </w:rPr>
              <w:t>质地</w:t>
            </w:r>
          </w:p>
        </w:tc>
        <w:tc>
          <w:tcPr>
            <w:tcW w:w="1442" w:type="dxa"/>
            <w:vAlign w:val="top"/>
          </w:tcPr>
          <w:p>
            <w:pPr>
              <w:spacing w:before="126" w:line="220" w:lineRule="auto"/>
              <w:ind w:left="417"/>
              <w:rPr>
                <w:rFonts w:ascii="仿宋" w:hAnsi="仿宋" w:eastAsia="仿宋" w:cs="仿宋"/>
                <w:sz w:val="21"/>
                <w:szCs w:val="21"/>
              </w:rPr>
            </w:pPr>
            <w:r>
              <w:rPr>
                <w:rFonts w:ascii="仿宋" w:hAnsi="仿宋" w:eastAsia="仿宋" w:cs="仿宋"/>
                <w:spacing w:val="-4"/>
                <w:sz w:val="21"/>
                <w:szCs w:val="21"/>
              </w:rPr>
              <w:t>沙壤土</w:t>
            </w:r>
          </w:p>
        </w:tc>
        <w:tc>
          <w:tcPr>
            <w:tcW w:w="1471" w:type="dxa"/>
            <w:vAlign w:val="top"/>
          </w:tcPr>
          <w:p>
            <w:pPr>
              <w:spacing w:before="126" w:line="220" w:lineRule="auto"/>
              <w:ind w:left="432"/>
              <w:rPr>
                <w:rFonts w:ascii="仿宋" w:hAnsi="仿宋" w:eastAsia="仿宋" w:cs="仿宋"/>
                <w:sz w:val="21"/>
                <w:szCs w:val="21"/>
              </w:rPr>
            </w:pPr>
            <w:r>
              <w:rPr>
                <w:rFonts w:ascii="仿宋" w:hAnsi="仿宋" w:eastAsia="仿宋" w:cs="仿宋"/>
                <w:spacing w:val="-4"/>
                <w:sz w:val="21"/>
                <w:szCs w:val="21"/>
              </w:rPr>
              <w:t>沙壤土</w:t>
            </w:r>
          </w:p>
        </w:tc>
        <w:tc>
          <w:tcPr>
            <w:tcW w:w="1502" w:type="dxa"/>
            <w:tcBorders>
              <w:right w:val="nil"/>
            </w:tcBorders>
            <w:vAlign w:val="top"/>
          </w:tcPr>
          <w:p>
            <w:pPr>
              <w:spacing w:before="126" w:line="220" w:lineRule="auto"/>
              <w:ind w:left="451"/>
              <w:rPr>
                <w:rFonts w:ascii="仿宋" w:hAnsi="仿宋" w:eastAsia="仿宋" w:cs="仿宋"/>
                <w:sz w:val="21"/>
                <w:szCs w:val="21"/>
              </w:rPr>
            </w:pPr>
            <w:r>
              <w:rPr>
                <w:rFonts w:ascii="仿宋" w:hAnsi="仿宋" w:eastAsia="仿宋" w:cs="仿宋"/>
                <w:spacing w:val="-6"/>
                <w:sz w:val="21"/>
                <w:szCs w:val="21"/>
              </w:rPr>
              <w:t>沙壤土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1" w:hRule="atLeast"/>
        </w:trPr>
        <w:tc>
          <w:tcPr>
            <w:tcW w:w="902" w:type="dxa"/>
            <w:vMerge w:val="continue"/>
            <w:tcBorders>
              <w:top w:val="nil"/>
              <w:left w:val="nil"/>
              <w:bottom w:val="nil"/>
            </w:tcBorders>
            <w:vAlign w:val="top"/>
          </w:tcPr>
          <w:p>
            <w:pPr>
              <w:rPr>
                <w:rFonts w:ascii="Arial"/>
                <w:sz w:val="21"/>
              </w:rPr>
            </w:pPr>
          </w:p>
        </w:tc>
        <w:tc>
          <w:tcPr>
            <w:tcW w:w="2990" w:type="dxa"/>
            <w:vAlign w:val="top"/>
          </w:tcPr>
          <w:p>
            <w:pPr>
              <w:pStyle w:val="6"/>
              <w:spacing w:before="128" w:line="231" w:lineRule="auto"/>
              <w:ind w:left="995"/>
            </w:pPr>
            <w:r>
              <w:rPr>
                <w:rFonts w:ascii="仿宋" w:hAnsi="仿宋" w:eastAsia="仿宋" w:cs="仿宋"/>
                <w:spacing w:val="-3"/>
              </w:rPr>
              <w:t>砂砾含量</w:t>
            </w:r>
            <w:r>
              <w:rPr>
                <w:spacing w:val="-3"/>
              </w:rPr>
              <w:t>%</w:t>
            </w:r>
          </w:p>
        </w:tc>
        <w:tc>
          <w:tcPr>
            <w:tcW w:w="1442" w:type="dxa"/>
            <w:vAlign w:val="top"/>
          </w:tcPr>
          <w:p>
            <w:pPr>
              <w:pStyle w:val="6"/>
              <w:spacing w:before="164" w:line="188" w:lineRule="auto"/>
              <w:ind w:left="635"/>
            </w:pPr>
            <w:r>
              <w:rPr>
                <w:spacing w:val="-6"/>
              </w:rPr>
              <w:t>15</w:t>
            </w:r>
          </w:p>
        </w:tc>
        <w:tc>
          <w:tcPr>
            <w:tcW w:w="1471" w:type="dxa"/>
            <w:vAlign w:val="top"/>
          </w:tcPr>
          <w:p>
            <w:pPr>
              <w:pStyle w:val="6"/>
              <w:spacing w:before="167" w:line="185" w:lineRule="auto"/>
              <w:ind w:left="688"/>
            </w:pPr>
            <w:r>
              <w:t>5</w:t>
            </w:r>
          </w:p>
        </w:tc>
        <w:tc>
          <w:tcPr>
            <w:tcW w:w="1502" w:type="dxa"/>
            <w:tcBorders>
              <w:right w:val="nil"/>
            </w:tcBorders>
            <w:vAlign w:val="top"/>
          </w:tcPr>
          <w:p>
            <w:pPr>
              <w:pStyle w:val="6"/>
              <w:spacing w:before="164" w:line="188" w:lineRule="auto"/>
              <w:ind w:left="709"/>
            </w:pPr>
            <w: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8" w:hRule="atLeast"/>
        </w:trPr>
        <w:tc>
          <w:tcPr>
            <w:tcW w:w="902" w:type="dxa"/>
            <w:vMerge w:val="continue"/>
            <w:tcBorders>
              <w:top w:val="nil"/>
              <w:left w:val="nil"/>
            </w:tcBorders>
            <w:vAlign w:val="top"/>
          </w:tcPr>
          <w:p>
            <w:pPr>
              <w:rPr>
                <w:rFonts w:ascii="Arial"/>
                <w:sz w:val="21"/>
              </w:rPr>
            </w:pPr>
          </w:p>
        </w:tc>
        <w:tc>
          <w:tcPr>
            <w:tcW w:w="2990" w:type="dxa"/>
            <w:vAlign w:val="top"/>
          </w:tcPr>
          <w:p>
            <w:pPr>
              <w:spacing w:before="129" w:line="217" w:lineRule="auto"/>
              <w:ind w:left="1084"/>
              <w:rPr>
                <w:rFonts w:ascii="仿宋" w:hAnsi="仿宋" w:eastAsia="仿宋" w:cs="仿宋"/>
                <w:sz w:val="21"/>
                <w:szCs w:val="21"/>
              </w:rPr>
            </w:pPr>
            <w:r>
              <w:rPr>
                <w:rFonts w:ascii="仿宋" w:hAnsi="仿宋" w:eastAsia="仿宋" w:cs="仿宋"/>
                <w:spacing w:val="-3"/>
                <w:sz w:val="21"/>
                <w:szCs w:val="21"/>
              </w:rPr>
              <w:t>其他异物</w:t>
            </w:r>
          </w:p>
        </w:tc>
        <w:tc>
          <w:tcPr>
            <w:tcW w:w="1442" w:type="dxa"/>
            <w:vAlign w:val="top"/>
          </w:tcPr>
          <w:p>
            <w:pPr>
              <w:spacing w:before="129" w:line="217" w:lineRule="auto"/>
              <w:ind w:left="308"/>
              <w:rPr>
                <w:rFonts w:ascii="仿宋" w:hAnsi="仿宋" w:eastAsia="仿宋" w:cs="仿宋"/>
                <w:sz w:val="21"/>
                <w:szCs w:val="21"/>
              </w:rPr>
            </w:pPr>
            <w:r>
              <w:rPr>
                <w:rFonts w:ascii="仿宋" w:hAnsi="仿宋" w:eastAsia="仿宋" w:cs="仿宋"/>
                <w:spacing w:val="-3"/>
                <w:sz w:val="21"/>
                <w:szCs w:val="21"/>
              </w:rPr>
              <w:t>少量根系</w:t>
            </w:r>
          </w:p>
        </w:tc>
        <w:tc>
          <w:tcPr>
            <w:tcW w:w="1471" w:type="dxa"/>
            <w:vAlign w:val="top"/>
          </w:tcPr>
          <w:p>
            <w:pPr>
              <w:spacing w:before="129" w:line="217" w:lineRule="auto"/>
              <w:ind w:left="323"/>
              <w:rPr>
                <w:rFonts w:ascii="仿宋" w:hAnsi="仿宋" w:eastAsia="仿宋" w:cs="仿宋"/>
                <w:sz w:val="21"/>
                <w:szCs w:val="21"/>
              </w:rPr>
            </w:pPr>
            <w:r>
              <w:rPr>
                <w:rFonts w:ascii="仿宋" w:hAnsi="仿宋" w:eastAsia="仿宋" w:cs="仿宋"/>
                <w:spacing w:val="-3"/>
                <w:sz w:val="21"/>
                <w:szCs w:val="21"/>
              </w:rPr>
              <w:t>少量根系</w:t>
            </w:r>
          </w:p>
        </w:tc>
        <w:tc>
          <w:tcPr>
            <w:tcW w:w="1502" w:type="dxa"/>
            <w:tcBorders>
              <w:right w:val="nil"/>
            </w:tcBorders>
            <w:vAlign w:val="top"/>
          </w:tcPr>
          <w:p>
            <w:pPr>
              <w:spacing w:before="129" w:line="217" w:lineRule="auto"/>
              <w:ind w:left="343"/>
              <w:rPr>
                <w:rFonts w:ascii="仿宋" w:hAnsi="仿宋" w:eastAsia="仿宋" w:cs="仿宋"/>
                <w:sz w:val="21"/>
                <w:szCs w:val="21"/>
              </w:rPr>
            </w:pPr>
            <w:r>
              <w:rPr>
                <w:rFonts w:ascii="仿宋" w:hAnsi="仿宋" w:eastAsia="仿宋" w:cs="仿宋"/>
                <w:spacing w:val="-3"/>
                <w:sz w:val="21"/>
                <w:szCs w:val="21"/>
              </w:rPr>
              <w:t>少量根系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902" w:type="dxa"/>
            <w:vMerge w:val="restart"/>
            <w:tcBorders>
              <w:left w:val="nil"/>
              <w:bottom w:val="nil"/>
            </w:tcBorders>
            <w:vAlign w:val="top"/>
          </w:tcPr>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before="68" w:line="247" w:lineRule="auto"/>
              <w:ind w:left="251" w:right="135" w:hanging="101"/>
              <w:rPr>
                <w:rFonts w:ascii="仿宋" w:hAnsi="仿宋" w:eastAsia="仿宋" w:cs="仿宋"/>
                <w:sz w:val="21"/>
                <w:szCs w:val="21"/>
              </w:rPr>
            </w:pPr>
            <w:r>
              <w:rPr>
                <w:rFonts w:ascii="仿宋" w:hAnsi="仿宋" w:eastAsia="仿宋" w:cs="仿宋"/>
                <w:spacing w:val="-7"/>
                <w:sz w:val="21"/>
                <w:szCs w:val="21"/>
              </w:rPr>
              <w:t>实验室</w:t>
            </w:r>
            <w:r>
              <w:rPr>
                <w:rFonts w:ascii="仿宋" w:hAnsi="仿宋" w:eastAsia="仿宋" w:cs="仿宋"/>
                <w:spacing w:val="1"/>
                <w:sz w:val="21"/>
                <w:szCs w:val="21"/>
              </w:rPr>
              <w:t xml:space="preserve"> </w:t>
            </w:r>
            <w:r>
              <w:rPr>
                <w:rFonts w:ascii="仿宋" w:hAnsi="仿宋" w:eastAsia="仿宋" w:cs="仿宋"/>
                <w:spacing w:val="-4"/>
                <w:sz w:val="21"/>
                <w:szCs w:val="21"/>
              </w:rPr>
              <w:t>测定</w:t>
            </w:r>
          </w:p>
        </w:tc>
        <w:tc>
          <w:tcPr>
            <w:tcW w:w="2990" w:type="dxa"/>
            <w:vAlign w:val="top"/>
          </w:tcPr>
          <w:p>
            <w:pPr>
              <w:pStyle w:val="6"/>
              <w:spacing w:before="113" w:line="212" w:lineRule="auto"/>
              <w:ind w:left="388"/>
            </w:pPr>
            <w:r>
              <w:rPr>
                <w:rFonts w:ascii="仿宋" w:hAnsi="仿宋" w:eastAsia="仿宋" w:cs="仿宋"/>
                <w:spacing w:val="-2"/>
              </w:rPr>
              <w:t>阳离子交换量</w:t>
            </w:r>
            <w:r>
              <w:rPr>
                <w:spacing w:val="-2"/>
              </w:rPr>
              <w:t>(Cmol+/kg)</w:t>
            </w:r>
          </w:p>
        </w:tc>
        <w:tc>
          <w:tcPr>
            <w:tcW w:w="1442" w:type="dxa"/>
            <w:vAlign w:val="top"/>
          </w:tcPr>
          <w:p>
            <w:pPr>
              <w:pStyle w:val="6"/>
              <w:spacing w:before="149" w:line="188" w:lineRule="auto"/>
              <w:ind w:left="608"/>
            </w:pPr>
            <w:r>
              <w:rPr>
                <w:spacing w:val="-8"/>
              </w:rPr>
              <w:t>1.6</w:t>
            </w:r>
          </w:p>
        </w:tc>
        <w:tc>
          <w:tcPr>
            <w:tcW w:w="1471" w:type="dxa"/>
            <w:vAlign w:val="top"/>
          </w:tcPr>
          <w:p>
            <w:pPr>
              <w:pStyle w:val="6"/>
              <w:spacing w:before="149" w:line="188" w:lineRule="auto"/>
              <w:ind w:left="607"/>
            </w:pPr>
            <w:r>
              <w:rPr>
                <w:spacing w:val="-3"/>
              </w:rPr>
              <w:t>9.4</w:t>
            </w:r>
          </w:p>
        </w:tc>
        <w:tc>
          <w:tcPr>
            <w:tcW w:w="1502" w:type="dxa"/>
            <w:tcBorders>
              <w:right w:val="nil"/>
            </w:tcBorders>
            <w:vAlign w:val="top"/>
          </w:tcPr>
          <w:p>
            <w:pPr>
              <w:pStyle w:val="6"/>
              <w:spacing w:before="149" w:line="188" w:lineRule="auto"/>
              <w:ind w:left="630"/>
            </w:pPr>
            <w:r>
              <w:rPr>
                <w:spacing w:val="-5"/>
              </w:rPr>
              <w:t>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1" w:hRule="atLeast"/>
        </w:trPr>
        <w:tc>
          <w:tcPr>
            <w:tcW w:w="902" w:type="dxa"/>
            <w:vMerge w:val="continue"/>
            <w:tcBorders>
              <w:top w:val="nil"/>
              <w:left w:val="nil"/>
              <w:bottom w:val="nil"/>
            </w:tcBorders>
            <w:vAlign w:val="top"/>
          </w:tcPr>
          <w:p>
            <w:pPr>
              <w:rPr>
                <w:rFonts w:ascii="Arial"/>
                <w:sz w:val="21"/>
              </w:rPr>
            </w:pPr>
          </w:p>
        </w:tc>
        <w:tc>
          <w:tcPr>
            <w:tcW w:w="2990" w:type="dxa"/>
            <w:vAlign w:val="top"/>
          </w:tcPr>
          <w:p>
            <w:pPr>
              <w:pStyle w:val="6"/>
              <w:spacing w:before="115" w:line="217" w:lineRule="auto"/>
              <w:ind w:left="510"/>
              <w:rPr>
                <w:rFonts w:ascii="仿宋" w:hAnsi="仿宋" w:eastAsia="仿宋" w:cs="仿宋"/>
              </w:rPr>
            </w:pPr>
            <w:r>
              <w:rPr>
                <w:rFonts w:ascii="仿宋" w:hAnsi="仿宋" w:eastAsia="仿宋" w:cs="仿宋"/>
                <w:spacing w:val="-2"/>
              </w:rPr>
              <w:t>氧化还原电位（</w:t>
            </w:r>
            <w:r>
              <w:rPr>
                <w:spacing w:val="-2"/>
              </w:rPr>
              <w:t>mV</w:t>
            </w:r>
            <w:r>
              <w:rPr>
                <w:rFonts w:ascii="仿宋" w:hAnsi="仿宋" w:eastAsia="仿宋" w:cs="仿宋"/>
                <w:spacing w:val="-2"/>
              </w:rPr>
              <w:t>）</w:t>
            </w:r>
          </w:p>
        </w:tc>
        <w:tc>
          <w:tcPr>
            <w:tcW w:w="1442" w:type="dxa"/>
            <w:vAlign w:val="top"/>
          </w:tcPr>
          <w:p>
            <w:pPr>
              <w:pStyle w:val="6"/>
              <w:spacing w:before="151" w:line="188" w:lineRule="auto"/>
              <w:ind w:left="567"/>
            </w:pPr>
            <w:r>
              <w:rPr>
                <w:spacing w:val="-3"/>
              </w:rPr>
              <w:t>599</w:t>
            </w:r>
          </w:p>
        </w:tc>
        <w:tc>
          <w:tcPr>
            <w:tcW w:w="1471" w:type="dxa"/>
            <w:vAlign w:val="top"/>
          </w:tcPr>
          <w:p>
            <w:pPr>
              <w:pStyle w:val="6"/>
              <w:spacing w:before="151" w:line="188" w:lineRule="auto"/>
              <w:ind w:left="581"/>
            </w:pPr>
            <w:r>
              <w:rPr>
                <w:spacing w:val="-3"/>
              </w:rPr>
              <w:t>606</w:t>
            </w:r>
          </w:p>
        </w:tc>
        <w:tc>
          <w:tcPr>
            <w:tcW w:w="1502" w:type="dxa"/>
            <w:tcBorders>
              <w:right w:val="nil"/>
            </w:tcBorders>
            <w:vAlign w:val="top"/>
          </w:tcPr>
          <w:p>
            <w:pPr>
              <w:pStyle w:val="6"/>
              <w:spacing w:before="151" w:line="188" w:lineRule="auto"/>
              <w:ind w:left="602"/>
            </w:pPr>
            <w:r>
              <w:rPr>
                <w:spacing w:val="-3"/>
              </w:rPr>
              <w:t>552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902" w:type="dxa"/>
            <w:vMerge w:val="continue"/>
            <w:tcBorders>
              <w:top w:val="nil"/>
              <w:left w:val="nil"/>
              <w:bottom w:val="nil"/>
            </w:tcBorders>
            <w:vAlign w:val="top"/>
          </w:tcPr>
          <w:p>
            <w:pPr>
              <w:rPr>
                <w:rFonts w:ascii="Arial"/>
                <w:sz w:val="21"/>
              </w:rPr>
            </w:pPr>
          </w:p>
        </w:tc>
        <w:tc>
          <w:tcPr>
            <w:tcW w:w="2990" w:type="dxa"/>
            <w:vAlign w:val="top"/>
          </w:tcPr>
          <w:p>
            <w:pPr>
              <w:pStyle w:val="6"/>
              <w:spacing w:before="73" w:line="251" w:lineRule="auto"/>
              <w:ind w:left="1071" w:right="348" w:hanging="721"/>
            </w:pPr>
            <w:r>
              <w:rPr>
                <w:rFonts w:ascii="仿宋" w:hAnsi="仿宋" w:eastAsia="仿宋" w:cs="仿宋"/>
                <w:spacing w:val="-3"/>
              </w:rPr>
              <w:t>渗透系数（饱和导水率）</w:t>
            </w:r>
            <w:r>
              <w:rPr>
                <w:rFonts w:ascii="仿宋" w:hAnsi="仿宋" w:eastAsia="仿宋" w:cs="仿宋"/>
                <w:spacing w:val="3"/>
              </w:rPr>
              <w:t xml:space="preserve"> </w:t>
            </w:r>
            <w:r>
              <w:rPr>
                <w:spacing w:val="-2"/>
              </w:rPr>
              <w:t>(mm/min)</w:t>
            </w:r>
          </w:p>
        </w:tc>
        <w:tc>
          <w:tcPr>
            <w:tcW w:w="1442" w:type="dxa"/>
            <w:vAlign w:val="top"/>
          </w:tcPr>
          <w:p>
            <w:pPr>
              <w:pStyle w:val="6"/>
              <w:spacing w:before="266" w:line="188" w:lineRule="auto"/>
              <w:ind w:left="538"/>
            </w:pPr>
            <w:r>
              <w:rPr>
                <w:spacing w:val="-2"/>
              </w:rPr>
              <w:t>0.99</w:t>
            </w:r>
          </w:p>
        </w:tc>
        <w:tc>
          <w:tcPr>
            <w:tcW w:w="1471" w:type="dxa"/>
            <w:vAlign w:val="top"/>
          </w:tcPr>
          <w:p>
            <w:pPr>
              <w:pStyle w:val="6"/>
              <w:spacing w:before="266" w:line="188" w:lineRule="auto"/>
              <w:ind w:left="570"/>
            </w:pPr>
            <w:r>
              <w:rPr>
                <w:spacing w:val="-6"/>
              </w:rPr>
              <w:t>1.48</w:t>
            </w:r>
          </w:p>
        </w:tc>
        <w:tc>
          <w:tcPr>
            <w:tcW w:w="1502" w:type="dxa"/>
            <w:tcBorders>
              <w:right w:val="nil"/>
            </w:tcBorders>
            <w:vAlign w:val="top"/>
          </w:tcPr>
          <w:p>
            <w:pPr>
              <w:pStyle w:val="6"/>
              <w:spacing w:before="266" w:line="188" w:lineRule="auto"/>
              <w:ind w:left="590"/>
            </w:pPr>
            <w:r>
              <w:rPr>
                <w:spacing w:val="-6"/>
              </w:rPr>
              <w:t>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0" w:hRule="atLeast"/>
        </w:trPr>
        <w:tc>
          <w:tcPr>
            <w:tcW w:w="902" w:type="dxa"/>
            <w:vMerge w:val="continue"/>
            <w:tcBorders>
              <w:top w:val="nil"/>
              <w:left w:val="nil"/>
              <w:bottom w:val="nil"/>
            </w:tcBorders>
            <w:vAlign w:val="top"/>
          </w:tcPr>
          <w:p>
            <w:pPr>
              <w:rPr>
                <w:rFonts w:ascii="Arial"/>
                <w:sz w:val="21"/>
              </w:rPr>
            </w:pPr>
          </w:p>
        </w:tc>
        <w:tc>
          <w:tcPr>
            <w:tcW w:w="2990" w:type="dxa"/>
            <w:vAlign w:val="top"/>
          </w:tcPr>
          <w:p>
            <w:pPr>
              <w:pStyle w:val="6"/>
              <w:spacing w:before="119" w:line="212" w:lineRule="auto"/>
              <w:ind w:left="771"/>
            </w:pPr>
            <w:r>
              <w:rPr>
                <w:rFonts w:ascii="仿宋" w:hAnsi="仿宋" w:eastAsia="仿宋" w:cs="仿宋"/>
                <w:spacing w:val="-2"/>
              </w:rPr>
              <w:t>土壤容重</w:t>
            </w:r>
            <w:r>
              <w:rPr>
                <w:spacing w:val="-2"/>
              </w:rPr>
              <w:t>(g/cm</w:t>
            </w:r>
            <w:r>
              <w:rPr>
                <w:spacing w:val="-2"/>
                <w:position w:val="7"/>
                <w:sz w:val="14"/>
                <w:szCs w:val="14"/>
              </w:rPr>
              <w:t>3</w:t>
            </w:r>
            <w:r>
              <w:rPr>
                <w:spacing w:val="-2"/>
              </w:rPr>
              <w:t>)</w:t>
            </w:r>
          </w:p>
        </w:tc>
        <w:tc>
          <w:tcPr>
            <w:tcW w:w="1442" w:type="dxa"/>
            <w:vAlign w:val="top"/>
          </w:tcPr>
          <w:p>
            <w:pPr>
              <w:pStyle w:val="6"/>
              <w:spacing w:before="155" w:line="188" w:lineRule="auto"/>
              <w:ind w:left="555"/>
            </w:pPr>
            <w:r>
              <w:rPr>
                <w:spacing w:val="-6"/>
              </w:rPr>
              <w:t>1.64</w:t>
            </w:r>
          </w:p>
        </w:tc>
        <w:tc>
          <w:tcPr>
            <w:tcW w:w="1471" w:type="dxa"/>
            <w:vAlign w:val="top"/>
          </w:tcPr>
          <w:p>
            <w:pPr>
              <w:pStyle w:val="6"/>
              <w:spacing w:before="155" w:line="188" w:lineRule="auto"/>
              <w:ind w:left="570"/>
            </w:pPr>
            <w:r>
              <w:rPr>
                <w:spacing w:val="-6"/>
              </w:rPr>
              <w:t>1.86</w:t>
            </w:r>
          </w:p>
        </w:tc>
        <w:tc>
          <w:tcPr>
            <w:tcW w:w="1502" w:type="dxa"/>
            <w:tcBorders>
              <w:right w:val="nil"/>
            </w:tcBorders>
            <w:vAlign w:val="top"/>
          </w:tcPr>
          <w:p>
            <w:pPr>
              <w:pStyle w:val="6"/>
              <w:spacing w:before="155" w:line="188" w:lineRule="auto"/>
              <w:ind w:left="570"/>
            </w:pPr>
            <w:r>
              <w:rPr>
                <w:spacing w:val="-1"/>
              </w:rPr>
              <w:t>2.02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trPr>
        <w:tc>
          <w:tcPr>
            <w:tcW w:w="902" w:type="dxa"/>
            <w:vMerge w:val="continue"/>
            <w:tcBorders>
              <w:top w:val="nil"/>
              <w:left w:val="nil"/>
              <w:bottom w:val="single" w:color="000000" w:sz="12" w:space="0"/>
            </w:tcBorders>
            <w:vAlign w:val="top"/>
          </w:tcPr>
          <w:p>
            <w:pPr>
              <w:rPr>
                <w:rFonts w:ascii="Arial"/>
                <w:sz w:val="21"/>
              </w:rPr>
            </w:pPr>
          </w:p>
        </w:tc>
        <w:tc>
          <w:tcPr>
            <w:tcW w:w="2990" w:type="dxa"/>
            <w:tcBorders>
              <w:bottom w:val="single" w:color="000000" w:sz="12" w:space="0"/>
            </w:tcBorders>
            <w:vAlign w:val="top"/>
          </w:tcPr>
          <w:p>
            <w:pPr>
              <w:pStyle w:val="6"/>
              <w:spacing w:before="120" w:line="212" w:lineRule="auto"/>
              <w:ind w:left="1031"/>
            </w:pPr>
            <w:r>
              <w:rPr>
                <w:rFonts w:ascii="仿宋" w:hAnsi="仿宋" w:eastAsia="仿宋" w:cs="仿宋"/>
                <w:spacing w:val="-3"/>
              </w:rPr>
              <w:t>孔隙度</w:t>
            </w:r>
            <w:r>
              <w:rPr>
                <w:spacing w:val="-3"/>
              </w:rPr>
              <w:t>(%)</w:t>
            </w:r>
          </w:p>
        </w:tc>
        <w:tc>
          <w:tcPr>
            <w:tcW w:w="1442" w:type="dxa"/>
            <w:tcBorders>
              <w:bottom w:val="single" w:color="000000" w:sz="12" w:space="0"/>
            </w:tcBorders>
            <w:vAlign w:val="top"/>
          </w:tcPr>
          <w:p>
            <w:pPr>
              <w:pStyle w:val="6"/>
              <w:spacing w:before="157" w:line="188" w:lineRule="auto"/>
              <w:ind w:left="481"/>
            </w:pPr>
            <w:r>
              <w:rPr>
                <w:spacing w:val="-1"/>
              </w:rPr>
              <w:t>49.79</w:t>
            </w:r>
          </w:p>
        </w:tc>
        <w:tc>
          <w:tcPr>
            <w:tcW w:w="1471" w:type="dxa"/>
            <w:tcBorders>
              <w:bottom w:val="single" w:color="000000" w:sz="12" w:space="0"/>
            </w:tcBorders>
            <w:vAlign w:val="top"/>
          </w:tcPr>
          <w:p>
            <w:pPr>
              <w:pStyle w:val="6"/>
              <w:spacing w:before="157" w:line="188" w:lineRule="auto"/>
              <w:ind w:left="496"/>
            </w:pPr>
            <w:r>
              <w:rPr>
                <w:spacing w:val="-1"/>
              </w:rPr>
              <w:t>48.36</w:t>
            </w:r>
          </w:p>
        </w:tc>
        <w:tc>
          <w:tcPr>
            <w:tcW w:w="1502" w:type="dxa"/>
            <w:tcBorders>
              <w:bottom w:val="single" w:color="000000" w:sz="12" w:space="0"/>
              <w:right w:val="nil"/>
            </w:tcBorders>
            <w:vAlign w:val="top"/>
          </w:tcPr>
          <w:p>
            <w:pPr>
              <w:pStyle w:val="6"/>
              <w:spacing w:before="157" w:line="188" w:lineRule="auto"/>
              <w:ind w:left="516"/>
            </w:pPr>
            <w:r>
              <w:rPr>
                <w:spacing w:val="-1"/>
              </w:rPr>
              <w:t>49.30</w:t>
            </w:r>
          </w:p>
        </w:tc>
      </w:tr>
    </w:tbl>
    <w:p>
      <w:pPr>
        <w:rPr>
          <w:rFonts w:ascii="Arial"/>
          <w:sz w:val="21"/>
        </w:rPr>
      </w:pPr>
    </w:p>
    <w:p>
      <w:pPr>
        <w:rPr>
          <w:rFonts w:ascii="Arial" w:hAnsi="Arial" w:eastAsia="Arial" w:cs="Arial"/>
          <w:sz w:val="21"/>
          <w:szCs w:val="21"/>
        </w:rPr>
        <w:sectPr>
          <w:headerReference r:id="rId207" w:type="default"/>
          <w:footerReference r:id="rId208" w:type="default"/>
          <w:pgSz w:w="11907" w:h="16839"/>
          <w:pgMar w:top="1156" w:right="1735" w:bottom="1374" w:left="1738" w:header="881" w:footer="1210" w:gutter="0"/>
        </w:sectPr>
      </w:pPr>
    </w:p>
    <w:p>
      <w:pPr>
        <w:spacing w:line="350" w:lineRule="auto"/>
        <w:rPr>
          <w:rFonts w:ascii="Arial"/>
          <w:sz w:val="21"/>
        </w:rPr>
      </w:pPr>
    </w:p>
    <w:p>
      <w:pPr>
        <w:spacing w:line="350" w:lineRule="auto"/>
        <w:rPr>
          <w:rFonts w:ascii="Arial"/>
          <w:sz w:val="21"/>
        </w:rPr>
      </w:pPr>
    </w:p>
    <w:p>
      <w:pPr>
        <w:spacing w:before="68" w:line="212" w:lineRule="auto"/>
        <w:ind w:left="3269"/>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表</w:t>
      </w:r>
      <w:r>
        <w:rPr>
          <w:rFonts w:ascii="宋体" w:hAnsi="宋体" w:eastAsia="宋体" w:cs="宋体"/>
          <w:spacing w:val="-38"/>
          <w:sz w:val="21"/>
          <w:szCs w:val="21"/>
        </w:rPr>
        <w:t xml:space="preserve"> </w:t>
      </w:r>
      <w:r>
        <w:rPr>
          <w:rFonts w:ascii="Times New Roman" w:hAnsi="Times New Roman" w:eastAsia="Times New Roman" w:cs="Times New Roman"/>
          <w:b/>
          <w:bCs/>
          <w:spacing w:val="-2"/>
          <w:sz w:val="21"/>
          <w:szCs w:val="21"/>
        </w:rPr>
        <w:t xml:space="preserve">3.2-16    </w:t>
      </w:r>
      <w:r>
        <w:rPr>
          <w:rFonts w:ascii="宋体" w:hAnsi="宋体" w:eastAsia="宋体" w:cs="宋体"/>
          <w:spacing w:val="-2"/>
          <w:sz w:val="21"/>
          <w:szCs w:val="21"/>
          <w14:textOutline w14:w="3810" w14:cap="flat" w14:cmpd="sng">
            <w14:solidFill>
              <w14:srgbClr w14:val="000000"/>
            </w14:solidFill>
            <w14:prstDash w14:val="solid"/>
            <w14:miter w14:val="0"/>
          </w14:textOutline>
        </w:rPr>
        <w:t>评价范围内农用地表层样土壤监测结果</w:t>
      </w:r>
      <w:r>
        <w:rPr>
          <w:rFonts w:ascii="宋体" w:hAnsi="宋体" w:eastAsia="宋体" w:cs="宋体"/>
          <w:spacing w:val="-2"/>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单位：</w:t>
      </w:r>
      <w:r>
        <w:rPr>
          <w:rFonts w:ascii="宋体" w:hAnsi="宋体" w:eastAsia="宋体" w:cs="宋体"/>
          <w:spacing w:val="-20"/>
          <w:sz w:val="21"/>
          <w:szCs w:val="21"/>
        </w:rPr>
        <w:t xml:space="preserve"> </w:t>
      </w:r>
      <w:r>
        <w:rPr>
          <w:rFonts w:ascii="Times New Roman" w:hAnsi="Times New Roman" w:eastAsia="Times New Roman" w:cs="Times New Roman"/>
          <w:b/>
          <w:bCs/>
          <w:spacing w:val="-2"/>
          <w:sz w:val="21"/>
          <w:szCs w:val="21"/>
        </w:rPr>
        <w:t>mg/kg</w:t>
      </w:r>
      <w:r>
        <w:rPr>
          <w:rFonts w:ascii="宋体" w:hAnsi="宋体" w:eastAsia="宋体" w:cs="宋体"/>
          <w:spacing w:val="-2"/>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2"/>
          <w:sz w:val="21"/>
          <w:szCs w:val="21"/>
        </w:rPr>
        <w:t xml:space="preserve">pH </w:t>
      </w:r>
      <w:r>
        <w:rPr>
          <w:rFonts w:ascii="宋体" w:hAnsi="宋体" w:eastAsia="宋体" w:cs="宋体"/>
          <w:spacing w:val="-2"/>
          <w:sz w:val="21"/>
          <w:szCs w:val="21"/>
          <w14:textOutline w14:w="3810" w14:cap="flat" w14:cmpd="sng">
            <w14:solidFill>
              <w14:srgbClr w14:val="000000"/>
            </w14:solidFill>
            <w14:prstDash w14:val="solid"/>
            <w14:miter w14:val="0"/>
          </w14:textOutline>
        </w:rPr>
        <w:t>无量纲）</w:t>
      </w:r>
    </w:p>
    <w:p>
      <w:pPr>
        <w:spacing w:line="97" w:lineRule="exact"/>
      </w:pPr>
    </w:p>
    <w:tbl>
      <w:tblPr>
        <w:tblStyle w:val="5"/>
        <w:tblW w:w="13973"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856"/>
        <w:gridCol w:w="848"/>
        <w:gridCol w:w="1686"/>
        <w:gridCol w:w="850"/>
        <w:gridCol w:w="1686"/>
        <w:gridCol w:w="848"/>
        <w:gridCol w:w="1686"/>
        <w:gridCol w:w="849"/>
        <w:gridCol w:w="1686"/>
        <w:gridCol w:w="778"/>
        <w:gridCol w:w="1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2" w:hRule="atLeast"/>
        </w:trPr>
        <w:tc>
          <w:tcPr>
            <w:tcW w:w="1074" w:type="dxa"/>
            <w:vMerge w:val="restart"/>
            <w:tcBorders>
              <w:top w:val="single" w:color="000000" w:sz="12" w:space="0"/>
              <w:left w:val="nil"/>
              <w:bottom w:val="nil"/>
            </w:tcBorders>
            <w:vAlign w:val="top"/>
          </w:tcPr>
          <w:p>
            <w:pPr>
              <w:spacing w:line="303" w:lineRule="auto"/>
              <w:rPr>
                <w:rFonts w:ascii="Arial"/>
                <w:sz w:val="21"/>
              </w:rPr>
            </w:pPr>
          </w:p>
          <w:p>
            <w:pPr>
              <w:spacing w:before="68" w:line="217" w:lineRule="auto"/>
              <w:ind w:left="13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分析项目</w:t>
            </w:r>
          </w:p>
        </w:tc>
        <w:tc>
          <w:tcPr>
            <w:tcW w:w="856" w:type="dxa"/>
            <w:vMerge w:val="restart"/>
            <w:tcBorders>
              <w:top w:val="single" w:color="000000" w:sz="12" w:space="0"/>
              <w:bottom w:val="nil"/>
            </w:tcBorders>
            <w:vAlign w:val="top"/>
          </w:tcPr>
          <w:p>
            <w:pPr>
              <w:spacing w:line="302" w:lineRule="auto"/>
              <w:rPr>
                <w:rFonts w:ascii="Arial"/>
                <w:sz w:val="21"/>
              </w:rPr>
            </w:pPr>
          </w:p>
          <w:p>
            <w:pPr>
              <w:spacing w:before="69" w:line="218" w:lineRule="auto"/>
              <w:ind w:left="11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标准值</w:t>
            </w:r>
          </w:p>
        </w:tc>
        <w:tc>
          <w:tcPr>
            <w:tcW w:w="2534" w:type="dxa"/>
            <w:gridSpan w:val="2"/>
            <w:tcBorders>
              <w:top w:val="single" w:color="000000" w:sz="12" w:space="0"/>
            </w:tcBorders>
            <w:vAlign w:val="top"/>
          </w:tcPr>
          <w:p>
            <w:pPr>
              <w:pStyle w:val="6"/>
              <w:spacing w:before="90" w:line="188" w:lineRule="auto"/>
              <w:ind w:left="1161"/>
            </w:pPr>
            <w:r>
              <w:rPr>
                <w:b/>
                <w:bCs/>
                <w:spacing w:val="-3"/>
              </w:rPr>
              <w:t>S1</w:t>
            </w:r>
          </w:p>
        </w:tc>
        <w:tc>
          <w:tcPr>
            <w:tcW w:w="2536" w:type="dxa"/>
            <w:gridSpan w:val="2"/>
            <w:tcBorders>
              <w:top w:val="single" w:color="000000" w:sz="12" w:space="0"/>
            </w:tcBorders>
            <w:vAlign w:val="top"/>
          </w:tcPr>
          <w:p>
            <w:pPr>
              <w:pStyle w:val="6"/>
              <w:spacing w:before="90" w:line="188" w:lineRule="auto"/>
              <w:ind w:left="1161"/>
            </w:pPr>
            <w:r>
              <w:rPr>
                <w:b/>
                <w:bCs/>
                <w:spacing w:val="-3"/>
              </w:rPr>
              <w:t>S2</w:t>
            </w:r>
          </w:p>
        </w:tc>
        <w:tc>
          <w:tcPr>
            <w:tcW w:w="2534" w:type="dxa"/>
            <w:gridSpan w:val="2"/>
            <w:tcBorders>
              <w:top w:val="single" w:color="000000" w:sz="12" w:space="0"/>
            </w:tcBorders>
            <w:vAlign w:val="top"/>
          </w:tcPr>
          <w:p>
            <w:pPr>
              <w:pStyle w:val="6"/>
              <w:spacing w:before="90" w:line="188" w:lineRule="auto"/>
              <w:ind w:left="1161"/>
            </w:pPr>
            <w:r>
              <w:rPr>
                <w:b/>
                <w:bCs/>
                <w:spacing w:val="-3"/>
              </w:rPr>
              <w:t>S3</w:t>
            </w:r>
          </w:p>
        </w:tc>
        <w:tc>
          <w:tcPr>
            <w:tcW w:w="2535" w:type="dxa"/>
            <w:gridSpan w:val="2"/>
            <w:tcBorders>
              <w:top w:val="single" w:color="000000" w:sz="12" w:space="0"/>
            </w:tcBorders>
            <w:vAlign w:val="top"/>
          </w:tcPr>
          <w:p>
            <w:pPr>
              <w:pStyle w:val="6"/>
              <w:spacing w:before="90" w:line="188" w:lineRule="auto"/>
              <w:ind w:left="1162"/>
            </w:pPr>
            <w:r>
              <w:rPr>
                <w:b/>
                <w:bCs/>
                <w:spacing w:val="-3"/>
              </w:rPr>
              <w:t>S4</w:t>
            </w:r>
          </w:p>
        </w:tc>
        <w:tc>
          <w:tcPr>
            <w:tcW w:w="1904" w:type="dxa"/>
            <w:gridSpan w:val="2"/>
            <w:tcBorders>
              <w:top w:val="single" w:color="000000" w:sz="12" w:space="0"/>
              <w:right w:val="nil"/>
            </w:tcBorders>
            <w:vAlign w:val="top"/>
          </w:tcPr>
          <w:p>
            <w:pPr>
              <w:pStyle w:val="6"/>
              <w:spacing w:before="87" w:line="188" w:lineRule="auto"/>
              <w:ind w:left="847"/>
            </w:pPr>
            <w:r>
              <w:rPr>
                <w:b/>
                <w:bCs/>
                <w:spacing w:val="-6"/>
              </w:rPr>
              <w:t>S7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074" w:type="dxa"/>
            <w:vMerge w:val="continue"/>
            <w:tcBorders>
              <w:top w:val="nil"/>
              <w:left w:val="nil"/>
            </w:tcBorders>
            <w:vAlign w:val="top"/>
          </w:tcPr>
          <w:p>
            <w:pPr>
              <w:rPr>
                <w:rFonts w:ascii="Arial"/>
                <w:sz w:val="21"/>
              </w:rPr>
            </w:pPr>
          </w:p>
        </w:tc>
        <w:tc>
          <w:tcPr>
            <w:tcW w:w="856" w:type="dxa"/>
            <w:vMerge w:val="continue"/>
            <w:tcBorders>
              <w:top w:val="nil"/>
            </w:tcBorders>
            <w:vAlign w:val="top"/>
          </w:tcPr>
          <w:p>
            <w:pPr>
              <w:rPr>
                <w:rFonts w:ascii="Arial"/>
                <w:sz w:val="21"/>
              </w:rPr>
            </w:pPr>
          </w:p>
        </w:tc>
        <w:tc>
          <w:tcPr>
            <w:tcW w:w="848" w:type="dxa"/>
            <w:vAlign w:val="top"/>
          </w:tcPr>
          <w:p>
            <w:pPr>
              <w:spacing w:before="206" w:line="219" w:lineRule="auto"/>
              <w:ind w:left="12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686" w:type="dxa"/>
            <w:vAlign w:val="top"/>
          </w:tcPr>
          <w:p>
            <w:pPr>
              <w:spacing w:before="206" w:line="218" w:lineRule="auto"/>
              <w:ind w:left="64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结果</w:t>
            </w:r>
          </w:p>
        </w:tc>
        <w:tc>
          <w:tcPr>
            <w:tcW w:w="850" w:type="dxa"/>
            <w:vAlign w:val="top"/>
          </w:tcPr>
          <w:p>
            <w:pPr>
              <w:spacing w:before="206" w:line="219" w:lineRule="auto"/>
              <w:ind w:left="12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686" w:type="dxa"/>
            <w:vAlign w:val="top"/>
          </w:tcPr>
          <w:p>
            <w:pPr>
              <w:spacing w:before="206" w:line="218" w:lineRule="auto"/>
              <w:ind w:left="64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结果</w:t>
            </w:r>
          </w:p>
        </w:tc>
        <w:tc>
          <w:tcPr>
            <w:tcW w:w="848" w:type="dxa"/>
            <w:vAlign w:val="top"/>
          </w:tcPr>
          <w:p>
            <w:pPr>
              <w:spacing w:before="206" w:line="219" w:lineRule="auto"/>
              <w:ind w:left="12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686" w:type="dxa"/>
            <w:vAlign w:val="top"/>
          </w:tcPr>
          <w:p>
            <w:pPr>
              <w:spacing w:before="206" w:line="218" w:lineRule="auto"/>
              <w:ind w:left="646"/>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结果</w:t>
            </w:r>
          </w:p>
        </w:tc>
        <w:tc>
          <w:tcPr>
            <w:tcW w:w="849" w:type="dxa"/>
            <w:vAlign w:val="top"/>
          </w:tcPr>
          <w:p>
            <w:pPr>
              <w:spacing w:before="206" w:line="219" w:lineRule="auto"/>
              <w:ind w:left="12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686" w:type="dxa"/>
            <w:vAlign w:val="top"/>
          </w:tcPr>
          <w:p>
            <w:pPr>
              <w:spacing w:before="206" w:line="218" w:lineRule="auto"/>
              <w:ind w:left="646"/>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结果</w:t>
            </w:r>
          </w:p>
        </w:tc>
        <w:tc>
          <w:tcPr>
            <w:tcW w:w="778" w:type="dxa"/>
            <w:vAlign w:val="top"/>
          </w:tcPr>
          <w:p>
            <w:pPr>
              <w:spacing w:before="50" w:line="312" w:lineRule="exact"/>
              <w:ind w:left="193"/>
              <w:rPr>
                <w:rFonts w:ascii="仿宋" w:hAnsi="仿宋" w:eastAsia="仿宋" w:cs="仿宋"/>
                <w:sz w:val="21"/>
                <w:szCs w:val="21"/>
              </w:rPr>
            </w:pPr>
            <w:r>
              <w:rPr>
                <w:rFonts w:ascii="仿宋" w:hAnsi="仿宋" w:eastAsia="仿宋" w:cs="仿宋"/>
                <w:spacing w:val="-5"/>
                <w:position w:val="7"/>
                <w:sz w:val="21"/>
                <w:szCs w:val="21"/>
                <w14:textOutline w14:w="3810" w14:cap="flat" w14:cmpd="sng">
                  <w14:solidFill>
                    <w14:srgbClr w14:val="000000"/>
                  </w14:solidFill>
                  <w14:prstDash w14:val="solid"/>
                  <w14:miter w14:val="0"/>
                </w14:textOutline>
              </w:rPr>
              <w:t>监测</w:t>
            </w:r>
          </w:p>
          <w:p>
            <w:pPr>
              <w:spacing w:line="218" w:lineRule="auto"/>
              <w:ind w:left="292"/>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值</w:t>
            </w:r>
          </w:p>
        </w:tc>
        <w:tc>
          <w:tcPr>
            <w:tcW w:w="1126" w:type="dxa"/>
            <w:tcBorders>
              <w:right w:val="nil"/>
            </w:tcBorders>
            <w:vAlign w:val="top"/>
          </w:tcPr>
          <w:p>
            <w:pPr>
              <w:spacing w:before="206" w:line="218" w:lineRule="auto"/>
              <w:ind w:left="366"/>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trPr>
        <w:tc>
          <w:tcPr>
            <w:tcW w:w="1074" w:type="dxa"/>
            <w:tcBorders>
              <w:left w:val="nil"/>
            </w:tcBorders>
            <w:vAlign w:val="top"/>
          </w:tcPr>
          <w:p>
            <w:pPr>
              <w:pStyle w:val="6"/>
              <w:spacing w:before="90" w:line="190" w:lineRule="auto"/>
              <w:ind w:left="414"/>
            </w:pPr>
            <w:r>
              <w:t>pH</w:t>
            </w:r>
          </w:p>
        </w:tc>
        <w:tc>
          <w:tcPr>
            <w:tcW w:w="856" w:type="dxa"/>
            <w:vAlign w:val="top"/>
          </w:tcPr>
          <w:p>
            <w:pPr>
              <w:pStyle w:val="6"/>
              <w:spacing w:before="91" w:line="188" w:lineRule="auto"/>
              <w:ind w:left="112"/>
            </w:pPr>
            <w:r>
              <w:rPr>
                <w:spacing w:val="-2"/>
              </w:rPr>
              <w:t>6.5~7.5</w:t>
            </w:r>
          </w:p>
        </w:tc>
        <w:tc>
          <w:tcPr>
            <w:tcW w:w="848" w:type="dxa"/>
            <w:vAlign w:val="top"/>
          </w:tcPr>
          <w:p>
            <w:pPr>
              <w:pStyle w:val="6"/>
              <w:spacing w:before="91" w:line="188" w:lineRule="auto"/>
              <w:ind w:left="244"/>
            </w:pPr>
            <w:r>
              <w:rPr>
                <w:spacing w:val="-3"/>
              </w:rPr>
              <w:t>6.51</w:t>
            </w:r>
          </w:p>
        </w:tc>
        <w:tc>
          <w:tcPr>
            <w:tcW w:w="1686" w:type="dxa"/>
            <w:vAlign w:val="top"/>
          </w:tcPr>
          <w:p>
            <w:pPr>
              <w:pStyle w:val="6"/>
              <w:spacing w:before="89" w:line="218" w:lineRule="auto"/>
              <w:ind w:left="809"/>
            </w:pPr>
            <w:r>
              <w:t>/</w:t>
            </w:r>
          </w:p>
        </w:tc>
        <w:tc>
          <w:tcPr>
            <w:tcW w:w="850" w:type="dxa"/>
            <w:vAlign w:val="top"/>
          </w:tcPr>
          <w:p>
            <w:pPr>
              <w:pStyle w:val="6"/>
              <w:spacing w:before="91" w:line="188" w:lineRule="auto"/>
              <w:ind w:left="243"/>
            </w:pPr>
            <w:r>
              <w:rPr>
                <w:spacing w:val="-2"/>
              </w:rPr>
              <w:t>7.17</w:t>
            </w:r>
          </w:p>
        </w:tc>
        <w:tc>
          <w:tcPr>
            <w:tcW w:w="1686" w:type="dxa"/>
            <w:vAlign w:val="top"/>
          </w:tcPr>
          <w:p>
            <w:pPr>
              <w:pStyle w:val="6"/>
              <w:spacing w:before="89" w:line="218" w:lineRule="auto"/>
              <w:ind w:left="808"/>
            </w:pPr>
            <w:r>
              <w:t>/</w:t>
            </w:r>
          </w:p>
        </w:tc>
        <w:tc>
          <w:tcPr>
            <w:tcW w:w="848" w:type="dxa"/>
            <w:vAlign w:val="top"/>
          </w:tcPr>
          <w:p>
            <w:pPr>
              <w:pStyle w:val="6"/>
              <w:spacing w:before="91" w:line="188" w:lineRule="auto"/>
              <w:ind w:left="243"/>
            </w:pPr>
            <w:r>
              <w:rPr>
                <w:spacing w:val="-2"/>
              </w:rPr>
              <w:t>7.28</w:t>
            </w:r>
          </w:p>
        </w:tc>
        <w:tc>
          <w:tcPr>
            <w:tcW w:w="1686" w:type="dxa"/>
            <w:vAlign w:val="top"/>
          </w:tcPr>
          <w:p>
            <w:pPr>
              <w:pStyle w:val="6"/>
              <w:spacing w:before="89" w:line="218" w:lineRule="auto"/>
              <w:ind w:left="809"/>
            </w:pPr>
            <w:r>
              <w:t>/</w:t>
            </w:r>
          </w:p>
        </w:tc>
        <w:tc>
          <w:tcPr>
            <w:tcW w:w="849" w:type="dxa"/>
            <w:vAlign w:val="top"/>
          </w:tcPr>
          <w:p>
            <w:pPr>
              <w:pStyle w:val="6"/>
              <w:spacing w:before="91" w:line="188" w:lineRule="auto"/>
              <w:ind w:left="244"/>
            </w:pPr>
            <w:r>
              <w:rPr>
                <w:spacing w:val="-3"/>
              </w:rPr>
              <w:t>6.76</w:t>
            </w:r>
          </w:p>
        </w:tc>
        <w:tc>
          <w:tcPr>
            <w:tcW w:w="1686" w:type="dxa"/>
            <w:vAlign w:val="top"/>
          </w:tcPr>
          <w:p>
            <w:pPr>
              <w:pStyle w:val="6"/>
              <w:spacing w:before="89" w:line="218" w:lineRule="auto"/>
              <w:ind w:left="810"/>
            </w:pPr>
            <w:r>
              <w:t>/</w:t>
            </w:r>
          </w:p>
        </w:tc>
        <w:tc>
          <w:tcPr>
            <w:tcW w:w="778" w:type="dxa"/>
            <w:vAlign w:val="top"/>
          </w:tcPr>
          <w:p>
            <w:pPr>
              <w:pStyle w:val="6"/>
              <w:spacing w:before="91" w:line="188" w:lineRule="auto"/>
              <w:ind w:left="210"/>
            </w:pPr>
            <w:r>
              <w:rPr>
                <w:spacing w:val="-3"/>
              </w:rPr>
              <w:t>6.56</w:t>
            </w:r>
          </w:p>
        </w:tc>
        <w:tc>
          <w:tcPr>
            <w:tcW w:w="1126" w:type="dxa"/>
            <w:tcBorders>
              <w:right w:val="nil"/>
            </w:tcBorders>
            <w:vAlign w:val="top"/>
          </w:tcPr>
          <w:p>
            <w:pPr>
              <w:pStyle w:val="6"/>
              <w:spacing w:before="87" w:line="220" w:lineRule="auto"/>
              <w:ind w:left="529"/>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1074" w:type="dxa"/>
            <w:tcBorders>
              <w:left w:val="nil"/>
            </w:tcBorders>
            <w:vAlign w:val="top"/>
          </w:tcPr>
          <w:p>
            <w:pPr>
              <w:spacing w:before="210" w:line="220" w:lineRule="auto"/>
              <w:ind w:left="453"/>
              <w:rPr>
                <w:rFonts w:ascii="仿宋" w:hAnsi="仿宋" w:eastAsia="仿宋" w:cs="仿宋"/>
                <w:sz w:val="21"/>
                <w:szCs w:val="21"/>
              </w:rPr>
            </w:pPr>
            <w:r>
              <w:rPr>
                <w:rFonts w:ascii="仿宋" w:hAnsi="仿宋" w:eastAsia="仿宋" w:cs="仿宋"/>
                <w:sz w:val="21"/>
                <w:szCs w:val="21"/>
              </w:rPr>
              <w:t>镉</w:t>
            </w:r>
          </w:p>
        </w:tc>
        <w:tc>
          <w:tcPr>
            <w:tcW w:w="856" w:type="dxa"/>
            <w:vAlign w:val="top"/>
          </w:tcPr>
          <w:p>
            <w:pPr>
              <w:pStyle w:val="6"/>
              <w:spacing w:before="247" w:line="188" w:lineRule="auto"/>
              <w:ind w:left="297"/>
            </w:pPr>
            <w:r>
              <w:rPr>
                <w:spacing w:val="-3"/>
              </w:rPr>
              <w:t>0.3</w:t>
            </w:r>
          </w:p>
        </w:tc>
        <w:tc>
          <w:tcPr>
            <w:tcW w:w="848" w:type="dxa"/>
            <w:vAlign w:val="top"/>
          </w:tcPr>
          <w:p>
            <w:pPr>
              <w:pStyle w:val="6"/>
              <w:spacing w:before="247" w:line="188" w:lineRule="auto"/>
              <w:ind w:left="242"/>
            </w:pPr>
            <w:r>
              <w:rPr>
                <w:spacing w:val="-2"/>
              </w:rPr>
              <w:t>0.18</w:t>
            </w:r>
          </w:p>
        </w:tc>
        <w:tc>
          <w:tcPr>
            <w:tcW w:w="1686" w:type="dxa"/>
            <w:vAlign w:val="top"/>
          </w:tcPr>
          <w:p>
            <w:pPr>
              <w:spacing w:before="211"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50" w:type="dxa"/>
            <w:vAlign w:val="top"/>
          </w:tcPr>
          <w:p>
            <w:pPr>
              <w:pStyle w:val="6"/>
              <w:spacing w:before="247" w:line="188" w:lineRule="auto"/>
              <w:ind w:left="242"/>
            </w:pPr>
            <w:r>
              <w:rPr>
                <w:spacing w:val="-2"/>
              </w:rPr>
              <w:t>0.12</w:t>
            </w:r>
          </w:p>
        </w:tc>
        <w:tc>
          <w:tcPr>
            <w:tcW w:w="1686" w:type="dxa"/>
            <w:vAlign w:val="top"/>
          </w:tcPr>
          <w:p>
            <w:pPr>
              <w:spacing w:before="211" w:line="218" w:lineRule="auto"/>
              <w:ind w:left="116"/>
              <w:rPr>
                <w:rFonts w:ascii="仿宋" w:hAnsi="仿宋" w:eastAsia="仿宋" w:cs="仿宋"/>
                <w:sz w:val="21"/>
                <w:szCs w:val="21"/>
              </w:rPr>
            </w:pPr>
            <w:r>
              <w:rPr>
                <w:rFonts w:ascii="仿宋" w:hAnsi="仿宋" w:eastAsia="仿宋" w:cs="仿宋"/>
                <w:spacing w:val="-2"/>
                <w:sz w:val="21"/>
                <w:szCs w:val="21"/>
              </w:rPr>
              <w:t>低于风险筛选值</w:t>
            </w:r>
          </w:p>
        </w:tc>
        <w:tc>
          <w:tcPr>
            <w:tcW w:w="848" w:type="dxa"/>
            <w:vAlign w:val="top"/>
          </w:tcPr>
          <w:p>
            <w:pPr>
              <w:pStyle w:val="6"/>
              <w:spacing w:before="247" w:line="188" w:lineRule="auto"/>
              <w:ind w:left="242"/>
            </w:pPr>
            <w:r>
              <w:rPr>
                <w:spacing w:val="-2"/>
              </w:rPr>
              <w:t>0.05</w:t>
            </w:r>
          </w:p>
        </w:tc>
        <w:tc>
          <w:tcPr>
            <w:tcW w:w="1686" w:type="dxa"/>
            <w:vAlign w:val="top"/>
          </w:tcPr>
          <w:p>
            <w:pPr>
              <w:spacing w:before="211"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49" w:type="dxa"/>
            <w:vAlign w:val="top"/>
          </w:tcPr>
          <w:p>
            <w:pPr>
              <w:pStyle w:val="6"/>
              <w:spacing w:before="247" w:line="188" w:lineRule="auto"/>
              <w:ind w:left="243"/>
            </w:pPr>
            <w:r>
              <w:rPr>
                <w:spacing w:val="-2"/>
              </w:rPr>
              <w:t>0.14</w:t>
            </w:r>
          </w:p>
        </w:tc>
        <w:tc>
          <w:tcPr>
            <w:tcW w:w="1686" w:type="dxa"/>
            <w:vAlign w:val="top"/>
          </w:tcPr>
          <w:p>
            <w:pPr>
              <w:spacing w:before="211" w:line="218" w:lineRule="auto"/>
              <w:ind w:left="118"/>
              <w:rPr>
                <w:rFonts w:ascii="仿宋" w:hAnsi="仿宋" w:eastAsia="仿宋" w:cs="仿宋"/>
                <w:sz w:val="21"/>
                <w:szCs w:val="21"/>
              </w:rPr>
            </w:pPr>
            <w:r>
              <w:rPr>
                <w:rFonts w:ascii="仿宋" w:hAnsi="仿宋" w:eastAsia="仿宋" w:cs="仿宋"/>
                <w:spacing w:val="-2"/>
                <w:sz w:val="21"/>
                <w:szCs w:val="21"/>
              </w:rPr>
              <w:t>低于风险筛选值</w:t>
            </w:r>
          </w:p>
        </w:tc>
        <w:tc>
          <w:tcPr>
            <w:tcW w:w="778" w:type="dxa"/>
            <w:vAlign w:val="top"/>
          </w:tcPr>
          <w:p>
            <w:pPr>
              <w:pStyle w:val="6"/>
              <w:spacing w:before="247" w:line="188" w:lineRule="auto"/>
              <w:ind w:left="209"/>
            </w:pPr>
            <w:r>
              <w:rPr>
                <w:spacing w:val="-2"/>
              </w:rPr>
              <w:t>0.21</w:t>
            </w:r>
          </w:p>
        </w:tc>
        <w:tc>
          <w:tcPr>
            <w:tcW w:w="1126" w:type="dxa"/>
            <w:tcBorders>
              <w:right w:val="nil"/>
            </w:tcBorders>
            <w:vAlign w:val="top"/>
          </w:tcPr>
          <w:p>
            <w:pPr>
              <w:spacing w:before="54" w:line="219" w:lineRule="auto"/>
              <w:ind w:left="151"/>
              <w:rPr>
                <w:rFonts w:ascii="仿宋" w:hAnsi="仿宋" w:eastAsia="仿宋" w:cs="仿宋"/>
                <w:sz w:val="21"/>
                <w:szCs w:val="21"/>
              </w:rPr>
            </w:pPr>
            <w:r>
              <w:rPr>
                <w:rFonts w:ascii="仿宋" w:hAnsi="仿宋" w:eastAsia="仿宋" w:cs="仿宋"/>
                <w:spacing w:val="-3"/>
                <w:sz w:val="21"/>
                <w:szCs w:val="21"/>
              </w:rPr>
              <w:t>低于风险</w:t>
            </w:r>
          </w:p>
          <w:p>
            <w:pPr>
              <w:spacing w:before="63" w:line="218" w:lineRule="auto"/>
              <w:ind w:left="259"/>
              <w:rPr>
                <w:rFonts w:ascii="仿宋" w:hAnsi="仿宋" w:eastAsia="仿宋" w:cs="仿宋"/>
                <w:sz w:val="21"/>
                <w:szCs w:val="21"/>
              </w:rPr>
            </w:pPr>
            <w:r>
              <w:rPr>
                <w:rFonts w:ascii="仿宋" w:hAnsi="仿宋" w:eastAsia="仿宋" w:cs="仿宋"/>
                <w:spacing w:val="-4"/>
                <w:sz w:val="21"/>
                <w:szCs w:val="21"/>
              </w:rPr>
              <w:t>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074" w:type="dxa"/>
            <w:tcBorders>
              <w:left w:val="nil"/>
            </w:tcBorders>
            <w:vAlign w:val="top"/>
          </w:tcPr>
          <w:p>
            <w:pPr>
              <w:spacing w:before="215" w:line="220" w:lineRule="auto"/>
              <w:ind w:left="453"/>
              <w:rPr>
                <w:rFonts w:ascii="仿宋" w:hAnsi="仿宋" w:eastAsia="仿宋" w:cs="仿宋"/>
                <w:sz w:val="21"/>
                <w:szCs w:val="21"/>
              </w:rPr>
            </w:pPr>
            <w:r>
              <w:rPr>
                <w:rFonts w:ascii="仿宋" w:hAnsi="仿宋" w:eastAsia="仿宋" w:cs="仿宋"/>
                <w:sz w:val="21"/>
                <w:szCs w:val="21"/>
              </w:rPr>
              <w:t>汞</w:t>
            </w:r>
          </w:p>
        </w:tc>
        <w:tc>
          <w:tcPr>
            <w:tcW w:w="856" w:type="dxa"/>
            <w:vAlign w:val="top"/>
          </w:tcPr>
          <w:p>
            <w:pPr>
              <w:pStyle w:val="6"/>
              <w:spacing w:before="252" w:line="188" w:lineRule="auto"/>
              <w:ind w:left="294"/>
            </w:pPr>
            <w:r>
              <w:rPr>
                <w:spacing w:val="-2"/>
              </w:rPr>
              <w:t>2.4</w:t>
            </w:r>
          </w:p>
        </w:tc>
        <w:tc>
          <w:tcPr>
            <w:tcW w:w="848" w:type="dxa"/>
            <w:vAlign w:val="top"/>
          </w:tcPr>
          <w:p>
            <w:pPr>
              <w:pStyle w:val="6"/>
              <w:spacing w:before="252" w:line="188" w:lineRule="auto"/>
              <w:ind w:left="189"/>
            </w:pPr>
            <w:r>
              <w:rPr>
                <w:spacing w:val="-2"/>
              </w:rPr>
              <w:t>0.507</w:t>
            </w:r>
          </w:p>
        </w:tc>
        <w:tc>
          <w:tcPr>
            <w:tcW w:w="1686" w:type="dxa"/>
            <w:vAlign w:val="top"/>
          </w:tcPr>
          <w:p>
            <w:pPr>
              <w:spacing w:before="59"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50" w:type="dxa"/>
            <w:vAlign w:val="top"/>
          </w:tcPr>
          <w:p>
            <w:pPr>
              <w:pStyle w:val="6"/>
              <w:spacing w:before="252" w:line="188" w:lineRule="auto"/>
              <w:ind w:left="190"/>
            </w:pPr>
            <w:r>
              <w:rPr>
                <w:spacing w:val="-2"/>
              </w:rPr>
              <w:t>0.464</w:t>
            </w:r>
          </w:p>
        </w:tc>
        <w:tc>
          <w:tcPr>
            <w:tcW w:w="1686" w:type="dxa"/>
            <w:vAlign w:val="top"/>
          </w:tcPr>
          <w:p>
            <w:pPr>
              <w:spacing w:before="59" w:line="218" w:lineRule="auto"/>
              <w:ind w:left="116"/>
              <w:rPr>
                <w:rFonts w:ascii="仿宋" w:hAnsi="仿宋" w:eastAsia="仿宋" w:cs="仿宋"/>
                <w:sz w:val="21"/>
                <w:szCs w:val="21"/>
              </w:rPr>
            </w:pPr>
            <w:r>
              <w:rPr>
                <w:rFonts w:ascii="仿宋" w:hAnsi="仿宋" w:eastAsia="仿宋" w:cs="仿宋"/>
                <w:spacing w:val="-2"/>
                <w:sz w:val="21"/>
                <w:szCs w:val="21"/>
              </w:rPr>
              <w:t>低于风险筛选值</w:t>
            </w:r>
          </w:p>
        </w:tc>
        <w:tc>
          <w:tcPr>
            <w:tcW w:w="848" w:type="dxa"/>
            <w:vAlign w:val="top"/>
          </w:tcPr>
          <w:p>
            <w:pPr>
              <w:pStyle w:val="6"/>
              <w:spacing w:before="252" w:line="188" w:lineRule="auto"/>
              <w:ind w:left="190"/>
            </w:pPr>
            <w:r>
              <w:rPr>
                <w:spacing w:val="-2"/>
              </w:rPr>
              <w:t>0.548</w:t>
            </w:r>
          </w:p>
        </w:tc>
        <w:tc>
          <w:tcPr>
            <w:tcW w:w="1686" w:type="dxa"/>
            <w:vAlign w:val="top"/>
          </w:tcPr>
          <w:p>
            <w:pPr>
              <w:spacing w:before="59"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49" w:type="dxa"/>
            <w:vAlign w:val="top"/>
          </w:tcPr>
          <w:p>
            <w:pPr>
              <w:pStyle w:val="6"/>
              <w:spacing w:before="252" w:line="188" w:lineRule="auto"/>
              <w:ind w:left="190"/>
            </w:pPr>
            <w:r>
              <w:rPr>
                <w:spacing w:val="-2"/>
              </w:rPr>
              <w:t>0.514</w:t>
            </w:r>
          </w:p>
        </w:tc>
        <w:tc>
          <w:tcPr>
            <w:tcW w:w="1686" w:type="dxa"/>
            <w:vAlign w:val="top"/>
          </w:tcPr>
          <w:p>
            <w:pPr>
              <w:spacing w:before="59" w:line="218" w:lineRule="auto"/>
              <w:ind w:left="118"/>
              <w:rPr>
                <w:rFonts w:ascii="仿宋" w:hAnsi="仿宋" w:eastAsia="仿宋" w:cs="仿宋"/>
                <w:sz w:val="21"/>
                <w:szCs w:val="21"/>
              </w:rPr>
            </w:pPr>
            <w:r>
              <w:rPr>
                <w:rFonts w:ascii="仿宋" w:hAnsi="仿宋" w:eastAsia="仿宋" w:cs="仿宋"/>
                <w:spacing w:val="-2"/>
                <w:sz w:val="21"/>
                <w:szCs w:val="21"/>
              </w:rPr>
              <w:t>低于风险筛选值</w:t>
            </w:r>
          </w:p>
        </w:tc>
        <w:tc>
          <w:tcPr>
            <w:tcW w:w="778" w:type="dxa"/>
            <w:vAlign w:val="top"/>
          </w:tcPr>
          <w:p>
            <w:pPr>
              <w:pStyle w:val="6"/>
              <w:spacing w:before="252" w:line="188" w:lineRule="auto"/>
              <w:ind w:left="156"/>
            </w:pPr>
            <w:r>
              <w:rPr>
                <w:spacing w:val="-2"/>
              </w:rPr>
              <w:t>0.523</w:t>
            </w:r>
          </w:p>
        </w:tc>
        <w:tc>
          <w:tcPr>
            <w:tcW w:w="1126" w:type="dxa"/>
            <w:tcBorders>
              <w:right w:val="nil"/>
            </w:tcBorders>
            <w:vAlign w:val="top"/>
          </w:tcPr>
          <w:p>
            <w:pPr>
              <w:spacing w:before="59" w:line="219" w:lineRule="auto"/>
              <w:ind w:left="151"/>
              <w:rPr>
                <w:rFonts w:ascii="仿宋" w:hAnsi="仿宋" w:eastAsia="仿宋" w:cs="仿宋"/>
                <w:sz w:val="21"/>
                <w:szCs w:val="21"/>
              </w:rPr>
            </w:pPr>
            <w:r>
              <w:rPr>
                <w:rFonts w:ascii="仿宋" w:hAnsi="仿宋" w:eastAsia="仿宋" w:cs="仿宋"/>
                <w:spacing w:val="-3"/>
                <w:sz w:val="21"/>
                <w:szCs w:val="21"/>
              </w:rPr>
              <w:t>低于风险</w:t>
            </w:r>
          </w:p>
          <w:p>
            <w:pPr>
              <w:spacing w:before="62" w:line="216" w:lineRule="auto"/>
              <w:ind w:left="259"/>
              <w:rPr>
                <w:rFonts w:ascii="仿宋" w:hAnsi="仿宋" w:eastAsia="仿宋" w:cs="仿宋"/>
                <w:sz w:val="21"/>
                <w:szCs w:val="21"/>
              </w:rPr>
            </w:pPr>
            <w:r>
              <w:rPr>
                <w:rFonts w:ascii="仿宋" w:hAnsi="仿宋" w:eastAsia="仿宋" w:cs="仿宋"/>
                <w:spacing w:val="-4"/>
                <w:sz w:val="21"/>
                <w:szCs w:val="21"/>
              </w:rPr>
              <w:t>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6" w:hRule="atLeast"/>
        </w:trPr>
        <w:tc>
          <w:tcPr>
            <w:tcW w:w="1074" w:type="dxa"/>
            <w:tcBorders>
              <w:left w:val="nil"/>
            </w:tcBorders>
            <w:vAlign w:val="top"/>
          </w:tcPr>
          <w:p>
            <w:pPr>
              <w:spacing w:before="217" w:line="216" w:lineRule="auto"/>
              <w:ind w:left="453"/>
              <w:rPr>
                <w:rFonts w:ascii="仿宋" w:hAnsi="仿宋" w:eastAsia="仿宋" w:cs="仿宋"/>
                <w:sz w:val="21"/>
                <w:szCs w:val="21"/>
              </w:rPr>
            </w:pPr>
            <w:r>
              <w:rPr>
                <w:rFonts w:ascii="仿宋" w:hAnsi="仿宋" w:eastAsia="仿宋" w:cs="仿宋"/>
                <w:sz w:val="21"/>
                <w:szCs w:val="21"/>
              </w:rPr>
              <w:t>砷</w:t>
            </w:r>
          </w:p>
        </w:tc>
        <w:tc>
          <w:tcPr>
            <w:tcW w:w="856" w:type="dxa"/>
            <w:vAlign w:val="top"/>
          </w:tcPr>
          <w:p>
            <w:pPr>
              <w:pStyle w:val="6"/>
              <w:spacing w:before="253" w:line="188" w:lineRule="auto"/>
              <w:ind w:left="325"/>
            </w:pPr>
            <w:r>
              <w:rPr>
                <w:spacing w:val="-3"/>
              </w:rPr>
              <w:t>30</w:t>
            </w:r>
          </w:p>
        </w:tc>
        <w:tc>
          <w:tcPr>
            <w:tcW w:w="848" w:type="dxa"/>
            <w:vAlign w:val="top"/>
          </w:tcPr>
          <w:p>
            <w:pPr>
              <w:pStyle w:val="6"/>
              <w:spacing w:before="253" w:line="188" w:lineRule="auto"/>
              <w:ind w:left="259"/>
            </w:pPr>
            <w:r>
              <w:rPr>
                <w:spacing w:val="-6"/>
              </w:rPr>
              <w:t>10.0</w:t>
            </w:r>
          </w:p>
        </w:tc>
        <w:tc>
          <w:tcPr>
            <w:tcW w:w="1686" w:type="dxa"/>
            <w:vAlign w:val="top"/>
          </w:tcPr>
          <w:p>
            <w:pPr>
              <w:spacing w:before="61"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50" w:type="dxa"/>
            <w:vAlign w:val="top"/>
          </w:tcPr>
          <w:p>
            <w:pPr>
              <w:pStyle w:val="6"/>
              <w:spacing w:before="253" w:line="188" w:lineRule="auto"/>
              <w:ind w:left="301"/>
            </w:pPr>
            <w:r>
              <w:rPr>
                <w:spacing w:val="-5"/>
              </w:rPr>
              <w:t>8.8</w:t>
            </w:r>
          </w:p>
        </w:tc>
        <w:tc>
          <w:tcPr>
            <w:tcW w:w="1686" w:type="dxa"/>
            <w:vAlign w:val="top"/>
          </w:tcPr>
          <w:p>
            <w:pPr>
              <w:spacing w:before="61" w:line="218" w:lineRule="auto"/>
              <w:ind w:left="116"/>
              <w:rPr>
                <w:rFonts w:ascii="仿宋" w:hAnsi="仿宋" w:eastAsia="仿宋" w:cs="仿宋"/>
                <w:sz w:val="21"/>
                <w:szCs w:val="21"/>
              </w:rPr>
            </w:pPr>
            <w:r>
              <w:rPr>
                <w:rFonts w:ascii="仿宋" w:hAnsi="仿宋" w:eastAsia="仿宋" w:cs="仿宋"/>
                <w:spacing w:val="-2"/>
                <w:sz w:val="21"/>
                <w:szCs w:val="21"/>
              </w:rPr>
              <w:t>低于风险筛选值</w:t>
            </w:r>
          </w:p>
        </w:tc>
        <w:tc>
          <w:tcPr>
            <w:tcW w:w="848" w:type="dxa"/>
            <w:vAlign w:val="top"/>
          </w:tcPr>
          <w:p>
            <w:pPr>
              <w:pStyle w:val="6"/>
              <w:spacing w:before="253" w:line="188" w:lineRule="auto"/>
              <w:ind w:left="301"/>
            </w:pPr>
            <w:r>
              <w:rPr>
                <w:spacing w:val="-5"/>
              </w:rPr>
              <w:t>8.7</w:t>
            </w:r>
          </w:p>
        </w:tc>
        <w:tc>
          <w:tcPr>
            <w:tcW w:w="1686" w:type="dxa"/>
            <w:vAlign w:val="top"/>
          </w:tcPr>
          <w:p>
            <w:pPr>
              <w:spacing w:before="61"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49" w:type="dxa"/>
            <w:vAlign w:val="top"/>
          </w:tcPr>
          <w:p>
            <w:pPr>
              <w:pStyle w:val="6"/>
              <w:spacing w:before="253" w:line="188" w:lineRule="auto"/>
              <w:ind w:left="260"/>
            </w:pPr>
            <w:r>
              <w:rPr>
                <w:spacing w:val="-6"/>
              </w:rPr>
              <w:t>13.9</w:t>
            </w:r>
          </w:p>
        </w:tc>
        <w:tc>
          <w:tcPr>
            <w:tcW w:w="1686" w:type="dxa"/>
            <w:vAlign w:val="top"/>
          </w:tcPr>
          <w:p>
            <w:pPr>
              <w:spacing w:before="61" w:line="218" w:lineRule="auto"/>
              <w:ind w:left="118"/>
              <w:rPr>
                <w:rFonts w:ascii="仿宋" w:hAnsi="仿宋" w:eastAsia="仿宋" w:cs="仿宋"/>
                <w:sz w:val="21"/>
                <w:szCs w:val="21"/>
              </w:rPr>
            </w:pPr>
            <w:r>
              <w:rPr>
                <w:rFonts w:ascii="仿宋" w:hAnsi="仿宋" w:eastAsia="仿宋" w:cs="仿宋"/>
                <w:spacing w:val="-2"/>
                <w:sz w:val="21"/>
                <w:szCs w:val="21"/>
              </w:rPr>
              <w:t>低于风险筛选值</w:t>
            </w:r>
          </w:p>
        </w:tc>
        <w:tc>
          <w:tcPr>
            <w:tcW w:w="778" w:type="dxa"/>
            <w:vAlign w:val="top"/>
          </w:tcPr>
          <w:p>
            <w:pPr>
              <w:pStyle w:val="6"/>
              <w:spacing w:before="253" w:line="188" w:lineRule="auto"/>
              <w:ind w:left="226"/>
            </w:pPr>
            <w:r>
              <w:rPr>
                <w:spacing w:val="-6"/>
              </w:rPr>
              <w:t>12.6</w:t>
            </w:r>
          </w:p>
        </w:tc>
        <w:tc>
          <w:tcPr>
            <w:tcW w:w="1126" w:type="dxa"/>
            <w:tcBorders>
              <w:right w:val="nil"/>
            </w:tcBorders>
            <w:vAlign w:val="top"/>
          </w:tcPr>
          <w:p>
            <w:pPr>
              <w:spacing w:before="61" w:line="219" w:lineRule="auto"/>
              <w:ind w:left="151"/>
              <w:rPr>
                <w:rFonts w:ascii="仿宋" w:hAnsi="仿宋" w:eastAsia="仿宋" w:cs="仿宋"/>
                <w:sz w:val="21"/>
                <w:szCs w:val="21"/>
              </w:rPr>
            </w:pPr>
            <w:r>
              <w:rPr>
                <w:rFonts w:ascii="仿宋" w:hAnsi="仿宋" w:eastAsia="仿宋" w:cs="仿宋"/>
                <w:spacing w:val="-3"/>
                <w:sz w:val="21"/>
                <w:szCs w:val="21"/>
              </w:rPr>
              <w:t>低于风险</w:t>
            </w:r>
          </w:p>
          <w:p>
            <w:pPr>
              <w:spacing w:before="63" w:line="213" w:lineRule="auto"/>
              <w:ind w:left="259"/>
              <w:rPr>
                <w:rFonts w:ascii="仿宋" w:hAnsi="仿宋" w:eastAsia="仿宋" w:cs="仿宋"/>
                <w:sz w:val="21"/>
                <w:szCs w:val="21"/>
              </w:rPr>
            </w:pPr>
            <w:r>
              <w:rPr>
                <w:rFonts w:ascii="仿宋" w:hAnsi="仿宋" w:eastAsia="仿宋" w:cs="仿宋"/>
                <w:spacing w:val="-4"/>
                <w:sz w:val="21"/>
                <w:szCs w:val="21"/>
              </w:rPr>
              <w:t>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074" w:type="dxa"/>
            <w:tcBorders>
              <w:left w:val="nil"/>
            </w:tcBorders>
            <w:vAlign w:val="top"/>
          </w:tcPr>
          <w:p>
            <w:pPr>
              <w:spacing w:before="221" w:line="218" w:lineRule="auto"/>
              <w:ind w:left="452"/>
              <w:rPr>
                <w:rFonts w:ascii="仿宋" w:hAnsi="仿宋" w:eastAsia="仿宋" w:cs="仿宋"/>
                <w:sz w:val="21"/>
                <w:szCs w:val="21"/>
              </w:rPr>
            </w:pPr>
            <w:r>
              <w:rPr>
                <w:rFonts w:ascii="仿宋" w:hAnsi="仿宋" w:eastAsia="仿宋" w:cs="仿宋"/>
                <w:sz w:val="21"/>
                <w:szCs w:val="21"/>
              </w:rPr>
              <w:t>铅</w:t>
            </w:r>
          </w:p>
        </w:tc>
        <w:tc>
          <w:tcPr>
            <w:tcW w:w="856" w:type="dxa"/>
            <w:vAlign w:val="top"/>
          </w:tcPr>
          <w:p>
            <w:pPr>
              <w:pStyle w:val="6"/>
              <w:spacing w:before="257" w:line="188" w:lineRule="auto"/>
              <w:ind w:left="289"/>
            </w:pPr>
            <w:r>
              <w:rPr>
                <w:spacing w:val="-6"/>
              </w:rPr>
              <w:t>120</w:t>
            </w:r>
          </w:p>
        </w:tc>
        <w:tc>
          <w:tcPr>
            <w:tcW w:w="848" w:type="dxa"/>
            <w:vAlign w:val="top"/>
          </w:tcPr>
          <w:p>
            <w:pPr>
              <w:pStyle w:val="6"/>
              <w:spacing w:before="257" w:line="188" w:lineRule="auto"/>
              <w:ind w:left="273"/>
            </w:pPr>
            <w:r>
              <w:rPr>
                <w:spacing w:val="-5"/>
              </w:rPr>
              <w:t>10L</w:t>
            </w:r>
          </w:p>
        </w:tc>
        <w:tc>
          <w:tcPr>
            <w:tcW w:w="1686" w:type="dxa"/>
            <w:vAlign w:val="top"/>
          </w:tcPr>
          <w:p>
            <w:pPr>
              <w:spacing w:before="65"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50" w:type="dxa"/>
            <w:vAlign w:val="top"/>
          </w:tcPr>
          <w:p>
            <w:pPr>
              <w:pStyle w:val="6"/>
              <w:spacing w:before="257" w:line="188" w:lineRule="auto"/>
              <w:ind w:left="342"/>
            </w:pPr>
            <w:r>
              <w:rPr>
                <w:spacing w:val="-9"/>
              </w:rPr>
              <w:t>11</w:t>
            </w:r>
          </w:p>
        </w:tc>
        <w:tc>
          <w:tcPr>
            <w:tcW w:w="1686" w:type="dxa"/>
            <w:vAlign w:val="top"/>
          </w:tcPr>
          <w:p>
            <w:pPr>
              <w:spacing w:before="65" w:line="218" w:lineRule="auto"/>
              <w:ind w:left="116"/>
              <w:rPr>
                <w:rFonts w:ascii="仿宋" w:hAnsi="仿宋" w:eastAsia="仿宋" w:cs="仿宋"/>
                <w:sz w:val="21"/>
                <w:szCs w:val="21"/>
              </w:rPr>
            </w:pPr>
            <w:r>
              <w:rPr>
                <w:rFonts w:ascii="仿宋" w:hAnsi="仿宋" w:eastAsia="仿宋" w:cs="仿宋"/>
                <w:spacing w:val="-2"/>
                <w:sz w:val="21"/>
                <w:szCs w:val="21"/>
              </w:rPr>
              <w:t>低于风险筛选值</w:t>
            </w:r>
          </w:p>
        </w:tc>
        <w:tc>
          <w:tcPr>
            <w:tcW w:w="848" w:type="dxa"/>
            <w:vAlign w:val="top"/>
          </w:tcPr>
          <w:p>
            <w:pPr>
              <w:pStyle w:val="6"/>
              <w:spacing w:before="257" w:line="188" w:lineRule="auto"/>
              <w:ind w:left="339"/>
            </w:pPr>
            <w:r>
              <w:rPr>
                <w:spacing w:val="-6"/>
              </w:rPr>
              <w:t>10</w:t>
            </w:r>
          </w:p>
        </w:tc>
        <w:tc>
          <w:tcPr>
            <w:tcW w:w="1686" w:type="dxa"/>
            <w:vAlign w:val="top"/>
          </w:tcPr>
          <w:p>
            <w:pPr>
              <w:spacing w:before="65"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49" w:type="dxa"/>
            <w:vAlign w:val="top"/>
          </w:tcPr>
          <w:p>
            <w:pPr>
              <w:pStyle w:val="6"/>
              <w:spacing w:before="257" w:line="188" w:lineRule="auto"/>
              <w:ind w:left="274"/>
            </w:pPr>
            <w:r>
              <w:rPr>
                <w:spacing w:val="-5"/>
              </w:rPr>
              <w:t>10L</w:t>
            </w:r>
          </w:p>
        </w:tc>
        <w:tc>
          <w:tcPr>
            <w:tcW w:w="1686" w:type="dxa"/>
            <w:vAlign w:val="top"/>
          </w:tcPr>
          <w:p>
            <w:pPr>
              <w:spacing w:before="65" w:line="218" w:lineRule="auto"/>
              <w:ind w:left="118"/>
              <w:rPr>
                <w:rFonts w:ascii="仿宋" w:hAnsi="仿宋" w:eastAsia="仿宋" w:cs="仿宋"/>
                <w:sz w:val="21"/>
                <w:szCs w:val="21"/>
              </w:rPr>
            </w:pPr>
            <w:r>
              <w:rPr>
                <w:rFonts w:ascii="仿宋" w:hAnsi="仿宋" w:eastAsia="仿宋" w:cs="仿宋"/>
                <w:spacing w:val="-2"/>
                <w:sz w:val="21"/>
                <w:szCs w:val="21"/>
              </w:rPr>
              <w:t>低于风险筛选值</w:t>
            </w:r>
          </w:p>
        </w:tc>
        <w:tc>
          <w:tcPr>
            <w:tcW w:w="778" w:type="dxa"/>
            <w:vAlign w:val="top"/>
          </w:tcPr>
          <w:p>
            <w:pPr>
              <w:pStyle w:val="6"/>
              <w:spacing w:before="257" w:line="188" w:lineRule="auto"/>
              <w:ind w:left="284"/>
            </w:pPr>
            <w:r>
              <w:rPr>
                <w:spacing w:val="-1"/>
              </w:rPr>
              <w:t>24</w:t>
            </w:r>
          </w:p>
        </w:tc>
        <w:tc>
          <w:tcPr>
            <w:tcW w:w="1126" w:type="dxa"/>
            <w:tcBorders>
              <w:right w:val="nil"/>
            </w:tcBorders>
            <w:vAlign w:val="top"/>
          </w:tcPr>
          <w:p>
            <w:pPr>
              <w:spacing w:before="64" w:line="219" w:lineRule="auto"/>
              <w:ind w:left="151"/>
              <w:rPr>
                <w:rFonts w:ascii="仿宋" w:hAnsi="仿宋" w:eastAsia="仿宋" w:cs="仿宋"/>
                <w:sz w:val="21"/>
                <w:szCs w:val="21"/>
              </w:rPr>
            </w:pPr>
            <w:r>
              <w:rPr>
                <w:rFonts w:ascii="仿宋" w:hAnsi="仿宋" w:eastAsia="仿宋" w:cs="仿宋"/>
                <w:spacing w:val="-3"/>
                <w:sz w:val="21"/>
                <w:szCs w:val="21"/>
              </w:rPr>
              <w:t>低于风险</w:t>
            </w:r>
          </w:p>
          <w:p>
            <w:pPr>
              <w:spacing w:before="63" w:line="211" w:lineRule="auto"/>
              <w:ind w:left="259"/>
              <w:rPr>
                <w:rFonts w:ascii="仿宋" w:hAnsi="仿宋" w:eastAsia="仿宋" w:cs="仿宋"/>
                <w:sz w:val="21"/>
                <w:szCs w:val="21"/>
              </w:rPr>
            </w:pPr>
            <w:r>
              <w:rPr>
                <w:rFonts w:ascii="仿宋" w:hAnsi="仿宋" w:eastAsia="仿宋" w:cs="仿宋"/>
                <w:spacing w:val="-4"/>
                <w:sz w:val="21"/>
                <w:szCs w:val="21"/>
              </w:rPr>
              <w:t>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1074" w:type="dxa"/>
            <w:tcBorders>
              <w:left w:val="nil"/>
            </w:tcBorders>
            <w:vAlign w:val="top"/>
          </w:tcPr>
          <w:p>
            <w:pPr>
              <w:spacing w:before="222" w:line="217" w:lineRule="auto"/>
              <w:ind w:left="453"/>
              <w:rPr>
                <w:rFonts w:ascii="仿宋" w:hAnsi="仿宋" w:eastAsia="仿宋" w:cs="仿宋"/>
                <w:sz w:val="21"/>
                <w:szCs w:val="21"/>
              </w:rPr>
            </w:pPr>
            <w:r>
              <w:rPr>
                <w:rFonts w:ascii="仿宋" w:hAnsi="仿宋" w:eastAsia="仿宋" w:cs="仿宋"/>
                <w:sz w:val="21"/>
                <w:szCs w:val="21"/>
              </w:rPr>
              <w:t>铬</w:t>
            </w:r>
          </w:p>
        </w:tc>
        <w:tc>
          <w:tcPr>
            <w:tcW w:w="856" w:type="dxa"/>
            <w:vAlign w:val="top"/>
          </w:tcPr>
          <w:p>
            <w:pPr>
              <w:pStyle w:val="6"/>
              <w:spacing w:before="258" w:line="188" w:lineRule="auto"/>
              <w:ind w:left="269"/>
            </w:pPr>
            <w:r>
              <w:rPr>
                <w:spacing w:val="-1"/>
              </w:rPr>
              <w:t>200</w:t>
            </w:r>
          </w:p>
        </w:tc>
        <w:tc>
          <w:tcPr>
            <w:tcW w:w="848" w:type="dxa"/>
            <w:vAlign w:val="top"/>
          </w:tcPr>
          <w:p>
            <w:pPr>
              <w:pStyle w:val="6"/>
              <w:spacing w:before="258" w:line="188" w:lineRule="auto"/>
              <w:ind w:left="322"/>
            </w:pPr>
            <w:r>
              <w:rPr>
                <w:spacing w:val="-3"/>
              </w:rPr>
              <w:t>30</w:t>
            </w:r>
          </w:p>
        </w:tc>
        <w:tc>
          <w:tcPr>
            <w:tcW w:w="1686" w:type="dxa"/>
            <w:vAlign w:val="top"/>
          </w:tcPr>
          <w:p>
            <w:pPr>
              <w:spacing w:before="66"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50" w:type="dxa"/>
            <w:vAlign w:val="top"/>
          </w:tcPr>
          <w:p>
            <w:pPr>
              <w:pStyle w:val="6"/>
              <w:spacing w:before="258" w:line="188" w:lineRule="auto"/>
              <w:ind w:left="324"/>
            </w:pPr>
            <w:r>
              <w:rPr>
                <w:spacing w:val="-3"/>
              </w:rPr>
              <w:t>52</w:t>
            </w:r>
          </w:p>
        </w:tc>
        <w:tc>
          <w:tcPr>
            <w:tcW w:w="1686" w:type="dxa"/>
            <w:vAlign w:val="top"/>
          </w:tcPr>
          <w:p>
            <w:pPr>
              <w:spacing w:before="66" w:line="218" w:lineRule="auto"/>
              <w:ind w:left="116"/>
              <w:rPr>
                <w:rFonts w:ascii="仿宋" w:hAnsi="仿宋" w:eastAsia="仿宋" w:cs="仿宋"/>
                <w:sz w:val="21"/>
                <w:szCs w:val="21"/>
              </w:rPr>
            </w:pPr>
            <w:r>
              <w:rPr>
                <w:rFonts w:ascii="仿宋" w:hAnsi="仿宋" w:eastAsia="仿宋" w:cs="仿宋"/>
                <w:spacing w:val="-2"/>
                <w:sz w:val="21"/>
                <w:szCs w:val="21"/>
              </w:rPr>
              <w:t>低于风险筛选值</w:t>
            </w:r>
          </w:p>
        </w:tc>
        <w:tc>
          <w:tcPr>
            <w:tcW w:w="848" w:type="dxa"/>
            <w:vAlign w:val="top"/>
          </w:tcPr>
          <w:p>
            <w:pPr>
              <w:pStyle w:val="6"/>
              <w:spacing w:before="258" w:line="188" w:lineRule="auto"/>
              <w:ind w:left="323"/>
            </w:pPr>
            <w:r>
              <w:rPr>
                <w:spacing w:val="-3"/>
              </w:rPr>
              <w:t>65</w:t>
            </w:r>
          </w:p>
        </w:tc>
        <w:tc>
          <w:tcPr>
            <w:tcW w:w="1686" w:type="dxa"/>
            <w:vAlign w:val="top"/>
          </w:tcPr>
          <w:p>
            <w:pPr>
              <w:spacing w:before="66"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49" w:type="dxa"/>
            <w:vAlign w:val="top"/>
          </w:tcPr>
          <w:p>
            <w:pPr>
              <w:pStyle w:val="6"/>
              <w:spacing w:before="258" w:line="188" w:lineRule="auto"/>
              <w:ind w:left="286"/>
            </w:pPr>
            <w:r>
              <w:rPr>
                <w:spacing w:val="-6"/>
              </w:rPr>
              <w:t>109</w:t>
            </w:r>
          </w:p>
        </w:tc>
        <w:tc>
          <w:tcPr>
            <w:tcW w:w="1686" w:type="dxa"/>
            <w:vAlign w:val="top"/>
          </w:tcPr>
          <w:p>
            <w:pPr>
              <w:spacing w:before="66" w:line="218" w:lineRule="auto"/>
              <w:ind w:left="118"/>
              <w:rPr>
                <w:rFonts w:ascii="仿宋" w:hAnsi="仿宋" w:eastAsia="仿宋" w:cs="仿宋"/>
                <w:sz w:val="21"/>
                <w:szCs w:val="21"/>
              </w:rPr>
            </w:pPr>
            <w:r>
              <w:rPr>
                <w:rFonts w:ascii="仿宋" w:hAnsi="仿宋" w:eastAsia="仿宋" w:cs="仿宋"/>
                <w:spacing w:val="-2"/>
                <w:sz w:val="21"/>
                <w:szCs w:val="21"/>
              </w:rPr>
              <w:t>低于风险筛选值</w:t>
            </w:r>
          </w:p>
        </w:tc>
        <w:tc>
          <w:tcPr>
            <w:tcW w:w="778" w:type="dxa"/>
            <w:vAlign w:val="top"/>
          </w:tcPr>
          <w:p>
            <w:pPr>
              <w:pStyle w:val="6"/>
              <w:spacing w:before="258" w:line="188" w:lineRule="auto"/>
              <w:ind w:left="288"/>
            </w:pPr>
            <w:r>
              <w:rPr>
                <w:spacing w:val="-2"/>
              </w:rPr>
              <w:t>97</w:t>
            </w:r>
          </w:p>
        </w:tc>
        <w:tc>
          <w:tcPr>
            <w:tcW w:w="1126" w:type="dxa"/>
            <w:tcBorders>
              <w:right w:val="nil"/>
            </w:tcBorders>
            <w:vAlign w:val="top"/>
          </w:tcPr>
          <w:p>
            <w:pPr>
              <w:spacing w:before="66" w:line="219" w:lineRule="auto"/>
              <w:ind w:left="151"/>
              <w:rPr>
                <w:rFonts w:ascii="仿宋" w:hAnsi="仿宋" w:eastAsia="仿宋" w:cs="仿宋"/>
                <w:sz w:val="21"/>
                <w:szCs w:val="21"/>
              </w:rPr>
            </w:pPr>
            <w:r>
              <w:rPr>
                <w:rFonts w:ascii="仿宋" w:hAnsi="仿宋" w:eastAsia="仿宋" w:cs="仿宋"/>
                <w:spacing w:val="-3"/>
                <w:sz w:val="21"/>
                <w:szCs w:val="21"/>
              </w:rPr>
              <w:t>低于风险</w:t>
            </w:r>
          </w:p>
          <w:p>
            <w:pPr>
              <w:spacing w:before="63" w:line="208" w:lineRule="auto"/>
              <w:ind w:left="259"/>
              <w:rPr>
                <w:rFonts w:ascii="仿宋" w:hAnsi="仿宋" w:eastAsia="仿宋" w:cs="仿宋"/>
                <w:sz w:val="21"/>
                <w:szCs w:val="21"/>
              </w:rPr>
            </w:pPr>
            <w:r>
              <w:rPr>
                <w:rFonts w:ascii="仿宋" w:hAnsi="仿宋" w:eastAsia="仿宋" w:cs="仿宋"/>
                <w:spacing w:val="-4"/>
                <w:sz w:val="21"/>
                <w:szCs w:val="21"/>
              </w:rPr>
              <w:t>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1074" w:type="dxa"/>
            <w:tcBorders>
              <w:left w:val="nil"/>
            </w:tcBorders>
            <w:vAlign w:val="top"/>
          </w:tcPr>
          <w:p>
            <w:pPr>
              <w:spacing w:before="226" w:line="219" w:lineRule="auto"/>
              <w:ind w:left="454"/>
              <w:rPr>
                <w:rFonts w:ascii="仿宋" w:hAnsi="仿宋" w:eastAsia="仿宋" w:cs="仿宋"/>
                <w:sz w:val="21"/>
                <w:szCs w:val="21"/>
              </w:rPr>
            </w:pPr>
            <w:r>
              <w:rPr>
                <w:rFonts w:ascii="仿宋" w:hAnsi="仿宋" w:eastAsia="仿宋" w:cs="仿宋"/>
                <w:sz w:val="21"/>
                <w:szCs w:val="21"/>
              </w:rPr>
              <w:t>铜</w:t>
            </w:r>
          </w:p>
        </w:tc>
        <w:tc>
          <w:tcPr>
            <w:tcW w:w="856" w:type="dxa"/>
            <w:vAlign w:val="top"/>
          </w:tcPr>
          <w:p>
            <w:pPr>
              <w:pStyle w:val="6"/>
              <w:spacing w:before="263" w:line="188" w:lineRule="auto"/>
              <w:ind w:left="289"/>
            </w:pPr>
            <w:r>
              <w:rPr>
                <w:spacing w:val="-6"/>
              </w:rPr>
              <w:t>100</w:t>
            </w:r>
          </w:p>
        </w:tc>
        <w:tc>
          <w:tcPr>
            <w:tcW w:w="848" w:type="dxa"/>
            <w:vAlign w:val="top"/>
          </w:tcPr>
          <w:p>
            <w:pPr>
              <w:pStyle w:val="6"/>
              <w:spacing w:before="263" w:line="188" w:lineRule="auto"/>
              <w:ind w:left="318"/>
            </w:pPr>
            <w:r>
              <w:rPr>
                <w:spacing w:val="-1"/>
              </w:rPr>
              <w:t>20</w:t>
            </w:r>
          </w:p>
        </w:tc>
        <w:tc>
          <w:tcPr>
            <w:tcW w:w="1686" w:type="dxa"/>
            <w:vAlign w:val="top"/>
          </w:tcPr>
          <w:p>
            <w:pPr>
              <w:spacing w:before="71"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50" w:type="dxa"/>
            <w:vAlign w:val="top"/>
          </w:tcPr>
          <w:p>
            <w:pPr>
              <w:pStyle w:val="6"/>
              <w:spacing w:before="263" w:line="188" w:lineRule="auto"/>
              <w:ind w:left="319"/>
            </w:pPr>
            <w:r>
              <w:rPr>
                <w:spacing w:val="-1"/>
              </w:rPr>
              <w:t>25</w:t>
            </w:r>
          </w:p>
        </w:tc>
        <w:tc>
          <w:tcPr>
            <w:tcW w:w="1686" w:type="dxa"/>
            <w:vAlign w:val="top"/>
          </w:tcPr>
          <w:p>
            <w:pPr>
              <w:spacing w:before="71" w:line="218" w:lineRule="auto"/>
              <w:ind w:left="116"/>
              <w:rPr>
                <w:rFonts w:ascii="仿宋" w:hAnsi="仿宋" w:eastAsia="仿宋" w:cs="仿宋"/>
                <w:sz w:val="21"/>
                <w:szCs w:val="21"/>
              </w:rPr>
            </w:pPr>
            <w:r>
              <w:rPr>
                <w:rFonts w:ascii="仿宋" w:hAnsi="仿宋" w:eastAsia="仿宋" w:cs="仿宋"/>
                <w:spacing w:val="-2"/>
                <w:sz w:val="21"/>
                <w:szCs w:val="21"/>
              </w:rPr>
              <w:t>低于风险筛选值</w:t>
            </w:r>
          </w:p>
        </w:tc>
        <w:tc>
          <w:tcPr>
            <w:tcW w:w="848" w:type="dxa"/>
            <w:vAlign w:val="top"/>
          </w:tcPr>
          <w:p>
            <w:pPr>
              <w:pStyle w:val="6"/>
              <w:spacing w:before="263" w:line="188" w:lineRule="auto"/>
              <w:ind w:left="319"/>
            </w:pPr>
            <w:r>
              <w:rPr>
                <w:spacing w:val="-1"/>
              </w:rPr>
              <w:t>26</w:t>
            </w:r>
          </w:p>
        </w:tc>
        <w:tc>
          <w:tcPr>
            <w:tcW w:w="1686" w:type="dxa"/>
            <w:vAlign w:val="top"/>
          </w:tcPr>
          <w:p>
            <w:pPr>
              <w:spacing w:before="71"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49" w:type="dxa"/>
            <w:vAlign w:val="top"/>
          </w:tcPr>
          <w:p>
            <w:pPr>
              <w:pStyle w:val="6"/>
              <w:spacing w:before="263" w:line="188" w:lineRule="auto"/>
              <w:ind w:left="325"/>
            </w:pPr>
            <w:r>
              <w:rPr>
                <w:spacing w:val="-3"/>
              </w:rPr>
              <w:t>50</w:t>
            </w:r>
          </w:p>
        </w:tc>
        <w:tc>
          <w:tcPr>
            <w:tcW w:w="1686" w:type="dxa"/>
            <w:vAlign w:val="top"/>
          </w:tcPr>
          <w:p>
            <w:pPr>
              <w:spacing w:before="71" w:line="218" w:lineRule="auto"/>
              <w:ind w:left="118"/>
              <w:rPr>
                <w:rFonts w:ascii="仿宋" w:hAnsi="仿宋" w:eastAsia="仿宋" w:cs="仿宋"/>
                <w:sz w:val="21"/>
                <w:szCs w:val="21"/>
              </w:rPr>
            </w:pPr>
            <w:r>
              <w:rPr>
                <w:rFonts w:ascii="仿宋" w:hAnsi="仿宋" w:eastAsia="仿宋" w:cs="仿宋"/>
                <w:spacing w:val="-2"/>
                <w:sz w:val="21"/>
                <w:szCs w:val="21"/>
              </w:rPr>
              <w:t>低于风险筛选值</w:t>
            </w:r>
          </w:p>
        </w:tc>
        <w:tc>
          <w:tcPr>
            <w:tcW w:w="778" w:type="dxa"/>
            <w:vAlign w:val="top"/>
          </w:tcPr>
          <w:p>
            <w:pPr>
              <w:pStyle w:val="6"/>
              <w:spacing w:before="263" w:line="188" w:lineRule="auto"/>
              <w:ind w:left="288"/>
            </w:pPr>
            <w:r>
              <w:rPr>
                <w:spacing w:val="-3"/>
              </w:rPr>
              <w:t>36</w:t>
            </w:r>
          </w:p>
        </w:tc>
        <w:tc>
          <w:tcPr>
            <w:tcW w:w="1126" w:type="dxa"/>
            <w:tcBorders>
              <w:right w:val="nil"/>
            </w:tcBorders>
            <w:vAlign w:val="top"/>
          </w:tcPr>
          <w:p>
            <w:pPr>
              <w:spacing w:before="70" w:line="219" w:lineRule="auto"/>
              <w:ind w:left="151"/>
              <w:rPr>
                <w:rFonts w:ascii="仿宋" w:hAnsi="仿宋" w:eastAsia="仿宋" w:cs="仿宋"/>
                <w:sz w:val="21"/>
                <w:szCs w:val="21"/>
              </w:rPr>
            </w:pPr>
            <w:r>
              <w:rPr>
                <w:rFonts w:ascii="仿宋" w:hAnsi="仿宋" w:eastAsia="仿宋" w:cs="仿宋"/>
                <w:spacing w:val="-3"/>
                <w:sz w:val="21"/>
                <w:szCs w:val="21"/>
              </w:rPr>
              <w:t>低于风险</w:t>
            </w:r>
          </w:p>
          <w:p>
            <w:pPr>
              <w:spacing w:before="62" w:line="206" w:lineRule="auto"/>
              <w:ind w:left="259"/>
              <w:rPr>
                <w:rFonts w:ascii="仿宋" w:hAnsi="仿宋" w:eastAsia="仿宋" w:cs="仿宋"/>
                <w:sz w:val="21"/>
                <w:szCs w:val="21"/>
              </w:rPr>
            </w:pPr>
            <w:r>
              <w:rPr>
                <w:rFonts w:ascii="仿宋" w:hAnsi="仿宋" w:eastAsia="仿宋" w:cs="仿宋"/>
                <w:spacing w:val="-4"/>
                <w:sz w:val="21"/>
                <w:szCs w:val="21"/>
              </w:rPr>
              <w:t>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5" w:hRule="atLeast"/>
        </w:trPr>
        <w:tc>
          <w:tcPr>
            <w:tcW w:w="1074" w:type="dxa"/>
            <w:tcBorders>
              <w:left w:val="nil"/>
            </w:tcBorders>
            <w:vAlign w:val="top"/>
          </w:tcPr>
          <w:p>
            <w:pPr>
              <w:spacing w:before="228" w:line="218" w:lineRule="auto"/>
              <w:ind w:left="454"/>
              <w:rPr>
                <w:rFonts w:ascii="仿宋" w:hAnsi="仿宋" w:eastAsia="仿宋" w:cs="仿宋"/>
                <w:sz w:val="21"/>
                <w:szCs w:val="21"/>
              </w:rPr>
            </w:pPr>
            <w:r>
              <w:rPr>
                <w:rFonts w:ascii="仿宋" w:hAnsi="仿宋" w:eastAsia="仿宋" w:cs="仿宋"/>
                <w:sz w:val="21"/>
                <w:szCs w:val="21"/>
              </w:rPr>
              <w:t>镍</w:t>
            </w:r>
          </w:p>
        </w:tc>
        <w:tc>
          <w:tcPr>
            <w:tcW w:w="856" w:type="dxa"/>
            <w:vAlign w:val="top"/>
          </w:tcPr>
          <w:p>
            <w:pPr>
              <w:pStyle w:val="6"/>
              <w:spacing w:before="264" w:line="188" w:lineRule="auto"/>
              <w:ind w:left="289"/>
            </w:pPr>
            <w:r>
              <w:rPr>
                <w:spacing w:val="-6"/>
              </w:rPr>
              <w:t>100</w:t>
            </w:r>
          </w:p>
        </w:tc>
        <w:tc>
          <w:tcPr>
            <w:tcW w:w="848" w:type="dxa"/>
            <w:vAlign w:val="top"/>
          </w:tcPr>
          <w:p>
            <w:pPr>
              <w:pStyle w:val="6"/>
              <w:spacing w:before="264" w:line="188" w:lineRule="auto"/>
              <w:ind w:left="318"/>
            </w:pPr>
            <w:r>
              <w:rPr>
                <w:spacing w:val="-1"/>
              </w:rPr>
              <w:t>23</w:t>
            </w:r>
          </w:p>
        </w:tc>
        <w:tc>
          <w:tcPr>
            <w:tcW w:w="1686" w:type="dxa"/>
            <w:vAlign w:val="top"/>
          </w:tcPr>
          <w:p>
            <w:pPr>
              <w:spacing w:before="72"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50" w:type="dxa"/>
            <w:vAlign w:val="top"/>
          </w:tcPr>
          <w:p>
            <w:pPr>
              <w:pStyle w:val="6"/>
              <w:spacing w:before="265" w:line="188" w:lineRule="auto"/>
              <w:ind w:left="319"/>
            </w:pPr>
            <w:r>
              <w:rPr>
                <w:spacing w:val="-1"/>
              </w:rPr>
              <w:t>21</w:t>
            </w:r>
          </w:p>
        </w:tc>
        <w:tc>
          <w:tcPr>
            <w:tcW w:w="1686" w:type="dxa"/>
            <w:vAlign w:val="top"/>
          </w:tcPr>
          <w:p>
            <w:pPr>
              <w:spacing w:before="72" w:line="218" w:lineRule="auto"/>
              <w:ind w:left="116"/>
              <w:rPr>
                <w:rFonts w:ascii="仿宋" w:hAnsi="仿宋" w:eastAsia="仿宋" w:cs="仿宋"/>
                <w:sz w:val="21"/>
                <w:szCs w:val="21"/>
              </w:rPr>
            </w:pPr>
            <w:r>
              <w:rPr>
                <w:rFonts w:ascii="仿宋" w:hAnsi="仿宋" w:eastAsia="仿宋" w:cs="仿宋"/>
                <w:spacing w:val="-2"/>
                <w:sz w:val="21"/>
                <w:szCs w:val="21"/>
              </w:rPr>
              <w:t>低于风险筛选值</w:t>
            </w:r>
          </w:p>
        </w:tc>
        <w:tc>
          <w:tcPr>
            <w:tcW w:w="848" w:type="dxa"/>
            <w:vAlign w:val="top"/>
          </w:tcPr>
          <w:p>
            <w:pPr>
              <w:pStyle w:val="6"/>
              <w:spacing w:before="265" w:line="188" w:lineRule="auto"/>
              <w:ind w:left="319"/>
            </w:pPr>
            <w:r>
              <w:rPr>
                <w:spacing w:val="-1"/>
              </w:rPr>
              <w:t>21</w:t>
            </w:r>
          </w:p>
        </w:tc>
        <w:tc>
          <w:tcPr>
            <w:tcW w:w="1686" w:type="dxa"/>
            <w:vAlign w:val="top"/>
          </w:tcPr>
          <w:p>
            <w:pPr>
              <w:spacing w:before="72"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49" w:type="dxa"/>
            <w:vAlign w:val="top"/>
          </w:tcPr>
          <w:p>
            <w:pPr>
              <w:pStyle w:val="6"/>
              <w:spacing w:before="267" w:line="185" w:lineRule="auto"/>
              <w:ind w:left="325"/>
            </w:pPr>
            <w:r>
              <w:rPr>
                <w:spacing w:val="-3"/>
              </w:rPr>
              <w:t>55</w:t>
            </w:r>
          </w:p>
        </w:tc>
        <w:tc>
          <w:tcPr>
            <w:tcW w:w="1686" w:type="dxa"/>
            <w:vAlign w:val="top"/>
          </w:tcPr>
          <w:p>
            <w:pPr>
              <w:spacing w:before="72" w:line="218" w:lineRule="auto"/>
              <w:ind w:left="118"/>
              <w:rPr>
                <w:rFonts w:ascii="仿宋" w:hAnsi="仿宋" w:eastAsia="仿宋" w:cs="仿宋"/>
                <w:sz w:val="21"/>
                <w:szCs w:val="21"/>
              </w:rPr>
            </w:pPr>
            <w:r>
              <w:rPr>
                <w:rFonts w:ascii="仿宋" w:hAnsi="仿宋" w:eastAsia="仿宋" w:cs="仿宋"/>
                <w:spacing w:val="-2"/>
                <w:sz w:val="21"/>
                <w:szCs w:val="21"/>
              </w:rPr>
              <w:t>低于风险筛选值</w:t>
            </w:r>
          </w:p>
        </w:tc>
        <w:tc>
          <w:tcPr>
            <w:tcW w:w="778" w:type="dxa"/>
            <w:vAlign w:val="top"/>
          </w:tcPr>
          <w:p>
            <w:pPr>
              <w:pStyle w:val="6"/>
              <w:spacing w:before="264" w:line="188" w:lineRule="auto"/>
              <w:ind w:left="289"/>
            </w:pPr>
            <w:r>
              <w:rPr>
                <w:spacing w:val="-3"/>
              </w:rPr>
              <w:t>53</w:t>
            </w:r>
          </w:p>
        </w:tc>
        <w:tc>
          <w:tcPr>
            <w:tcW w:w="1126" w:type="dxa"/>
            <w:tcBorders>
              <w:right w:val="nil"/>
            </w:tcBorders>
            <w:vAlign w:val="top"/>
          </w:tcPr>
          <w:p>
            <w:pPr>
              <w:spacing w:before="72" w:line="219" w:lineRule="auto"/>
              <w:ind w:left="151"/>
              <w:rPr>
                <w:rFonts w:ascii="仿宋" w:hAnsi="仿宋" w:eastAsia="仿宋" w:cs="仿宋"/>
                <w:sz w:val="21"/>
                <w:szCs w:val="21"/>
              </w:rPr>
            </w:pPr>
            <w:r>
              <w:rPr>
                <w:rFonts w:ascii="仿宋" w:hAnsi="仿宋" w:eastAsia="仿宋" w:cs="仿宋"/>
                <w:spacing w:val="-3"/>
                <w:sz w:val="21"/>
                <w:szCs w:val="21"/>
              </w:rPr>
              <w:t>低于风险</w:t>
            </w:r>
          </w:p>
          <w:p>
            <w:pPr>
              <w:spacing w:before="62" w:line="203" w:lineRule="auto"/>
              <w:ind w:left="259"/>
              <w:rPr>
                <w:rFonts w:ascii="仿宋" w:hAnsi="仿宋" w:eastAsia="仿宋" w:cs="仿宋"/>
                <w:sz w:val="21"/>
                <w:szCs w:val="21"/>
              </w:rPr>
            </w:pPr>
            <w:r>
              <w:rPr>
                <w:rFonts w:ascii="仿宋" w:hAnsi="仿宋" w:eastAsia="仿宋" w:cs="仿宋"/>
                <w:spacing w:val="-4"/>
                <w:sz w:val="21"/>
                <w:szCs w:val="21"/>
              </w:rPr>
              <w:t>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0" w:hRule="atLeast"/>
        </w:trPr>
        <w:tc>
          <w:tcPr>
            <w:tcW w:w="1074" w:type="dxa"/>
            <w:tcBorders>
              <w:left w:val="nil"/>
              <w:bottom w:val="single" w:color="000000" w:sz="12" w:space="0"/>
            </w:tcBorders>
            <w:vAlign w:val="top"/>
          </w:tcPr>
          <w:p>
            <w:pPr>
              <w:spacing w:before="233" w:line="218" w:lineRule="auto"/>
              <w:ind w:left="453"/>
              <w:rPr>
                <w:rFonts w:ascii="仿宋" w:hAnsi="仿宋" w:eastAsia="仿宋" w:cs="仿宋"/>
                <w:sz w:val="21"/>
                <w:szCs w:val="21"/>
              </w:rPr>
            </w:pPr>
            <w:r>
              <w:rPr>
                <w:rFonts w:ascii="仿宋" w:hAnsi="仿宋" w:eastAsia="仿宋" w:cs="仿宋"/>
                <w:sz w:val="21"/>
                <w:szCs w:val="21"/>
              </w:rPr>
              <w:t>锌</w:t>
            </w:r>
          </w:p>
        </w:tc>
        <w:tc>
          <w:tcPr>
            <w:tcW w:w="856" w:type="dxa"/>
            <w:tcBorders>
              <w:bottom w:val="single" w:color="000000" w:sz="12" w:space="0"/>
            </w:tcBorders>
            <w:vAlign w:val="top"/>
          </w:tcPr>
          <w:p>
            <w:pPr>
              <w:pStyle w:val="6"/>
              <w:spacing w:before="269" w:line="188" w:lineRule="auto"/>
              <w:ind w:left="269"/>
            </w:pPr>
            <w:r>
              <w:rPr>
                <w:spacing w:val="-1"/>
              </w:rPr>
              <w:t>250</w:t>
            </w:r>
          </w:p>
        </w:tc>
        <w:tc>
          <w:tcPr>
            <w:tcW w:w="848" w:type="dxa"/>
            <w:tcBorders>
              <w:bottom w:val="single" w:color="000000" w:sz="12" w:space="0"/>
            </w:tcBorders>
            <w:vAlign w:val="top"/>
          </w:tcPr>
          <w:p>
            <w:pPr>
              <w:pStyle w:val="6"/>
              <w:spacing w:before="269" w:line="188" w:lineRule="auto"/>
              <w:ind w:left="322"/>
            </w:pPr>
            <w:r>
              <w:rPr>
                <w:spacing w:val="-3"/>
              </w:rPr>
              <w:t>36</w:t>
            </w:r>
          </w:p>
        </w:tc>
        <w:tc>
          <w:tcPr>
            <w:tcW w:w="1686" w:type="dxa"/>
            <w:tcBorders>
              <w:bottom w:val="single" w:color="000000" w:sz="12" w:space="0"/>
            </w:tcBorders>
            <w:vAlign w:val="top"/>
          </w:tcPr>
          <w:p>
            <w:pPr>
              <w:spacing w:before="77"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50" w:type="dxa"/>
            <w:tcBorders>
              <w:bottom w:val="single" w:color="000000" w:sz="12" w:space="0"/>
            </w:tcBorders>
            <w:vAlign w:val="top"/>
          </w:tcPr>
          <w:p>
            <w:pPr>
              <w:pStyle w:val="6"/>
              <w:spacing w:before="269" w:line="188" w:lineRule="auto"/>
              <w:ind w:left="323"/>
            </w:pPr>
            <w:r>
              <w:rPr>
                <w:spacing w:val="-3"/>
              </w:rPr>
              <w:t>68</w:t>
            </w:r>
          </w:p>
        </w:tc>
        <w:tc>
          <w:tcPr>
            <w:tcW w:w="1686" w:type="dxa"/>
            <w:tcBorders>
              <w:bottom w:val="single" w:color="000000" w:sz="12" w:space="0"/>
            </w:tcBorders>
            <w:vAlign w:val="top"/>
          </w:tcPr>
          <w:p>
            <w:pPr>
              <w:spacing w:before="77" w:line="218" w:lineRule="auto"/>
              <w:ind w:left="116"/>
              <w:rPr>
                <w:rFonts w:ascii="仿宋" w:hAnsi="仿宋" w:eastAsia="仿宋" w:cs="仿宋"/>
                <w:sz w:val="21"/>
                <w:szCs w:val="21"/>
              </w:rPr>
            </w:pPr>
            <w:r>
              <w:rPr>
                <w:rFonts w:ascii="仿宋" w:hAnsi="仿宋" w:eastAsia="仿宋" w:cs="仿宋"/>
                <w:spacing w:val="-2"/>
                <w:sz w:val="21"/>
                <w:szCs w:val="21"/>
              </w:rPr>
              <w:t>低于风险筛选值</w:t>
            </w:r>
          </w:p>
        </w:tc>
        <w:tc>
          <w:tcPr>
            <w:tcW w:w="848" w:type="dxa"/>
            <w:tcBorders>
              <w:bottom w:val="single" w:color="000000" w:sz="12" w:space="0"/>
            </w:tcBorders>
            <w:vAlign w:val="top"/>
          </w:tcPr>
          <w:p>
            <w:pPr>
              <w:pStyle w:val="6"/>
              <w:spacing w:before="269" w:line="188" w:lineRule="auto"/>
              <w:ind w:left="323"/>
            </w:pPr>
            <w:r>
              <w:rPr>
                <w:spacing w:val="-3"/>
              </w:rPr>
              <w:t>65</w:t>
            </w:r>
          </w:p>
        </w:tc>
        <w:tc>
          <w:tcPr>
            <w:tcW w:w="1686" w:type="dxa"/>
            <w:tcBorders>
              <w:bottom w:val="single" w:color="000000" w:sz="12" w:space="0"/>
            </w:tcBorders>
            <w:vAlign w:val="top"/>
          </w:tcPr>
          <w:p>
            <w:pPr>
              <w:spacing w:before="77" w:line="218" w:lineRule="auto"/>
              <w:ind w:left="117"/>
              <w:rPr>
                <w:rFonts w:ascii="仿宋" w:hAnsi="仿宋" w:eastAsia="仿宋" w:cs="仿宋"/>
                <w:sz w:val="21"/>
                <w:szCs w:val="21"/>
              </w:rPr>
            </w:pPr>
            <w:r>
              <w:rPr>
                <w:rFonts w:ascii="仿宋" w:hAnsi="仿宋" w:eastAsia="仿宋" w:cs="仿宋"/>
                <w:spacing w:val="-2"/>
                <w:sz w:val="21"/>
                <w:szCs w:val="21"/>
              </w:rPr>
              <w:t>低于风险筛选值</w:t>
            </w:r>
          </w:p>
        </w:tc>
        <w:tc>
          <w:tcPr>
            <w:tcW w:w="849" w:type="dxa"/>
            <w:tcBorders>
              <w:bottom w:val="single" w:color="000000" w:sz="12" w:space="0"/>
            </w:tcBorders>
            <w:vAlign w:val="top"/>
          </w:tcPr>
          <w:p>
            <w:pPr>
              <w:pStyle w:val="6"/>
              <w:spacing w:before="269" w:line="188" w:lineRule="auto"/>
              <w:ind w:left="286"/>
            </w:pPr>
            <w:r>
              <w:rPr>
                <w:spacing w:val="-6"/>
              </w:rPr>
              <w:t>138</w:t>
            </w:r>
          </w:p>
        </w:tc>
        <w:tc>
          <w:tcPr>
            <w:tcW w:w="1686" w:type="dxa"/>
            <w:tcBorders>
              <w:bottom w:val="single" w:color="000000" w:sz="12" w:space="0"/>
            </w:tcBorders>
            <w:vAlign w:val="top"/>
          </w:tcPr>
          <w:p>
            <w:pPr>
              <w:spacing w:before="77" w:line="218" w:lineRule="auto"/>
              <w:ind w:left="118"/>
              <w:rPr>
                <w:rFonts w:ascii="仿宋" w:hAnsi="仿宋" w:eastAsia="仿宋" w:cs="仿宋"/>
                <w:sz w:val="21"/>
                <w:szCs w:val="21"/>
              </w:rPr>
            </w:pPr>
            <w:r>
              <w:rPr>
                <w:rFonts w:ascii="仿宋" w:hAnsi="仿宋" w:eastAsia="仿宋" w:cs="仿宋"/>
                <w:spacing w:val="-2"/>
                <w:sz w:val="21"/>
                <w:szCs w:val="21"/>
              </w:rPr>
              <w:t>低于风险筛选值</w:t>
            </w:r>
          </w:p>
        </w:tc>
        <w:tc>
          <w:tcPr>
            <w:tcW w:w="778" w:type="dxa"/>
            <w:tcBorders>
              <w:bottom w:val="single" w:color="000000" w:sz="12" w:space="0"/>
            </w:tcBorders>
            <w:vAlign w:val="top"/>
          </w:tcPr>
          <w:p>
            <w:pPr>
              <w:pStyle w:val="6"/>
              <w:spacing w:before="269" w:line="188" w:lineRule="auto"/>
              <w:ind w:left="252"/>
            </w:pPr>
            <w:r>
              <w:rPr>
                <w:spacing w:val="-6"/>
              </w:rPr>
              <w:t>133</w:t>
            </w:r>
          </w:p>
        </w:tc>
        <w:tc>
          <w:tcPr>
            <w:tcW w:w="1126" w:type="dxa"/>
            <w:tcBorders>
              <w:bottom w:val="single" w:color="000000" w:sz="12" w:space="0"/>
              <w:right w:val="nil"/>
            </w:tcBorders>
            <w:vAlign w:val="top"/>
          </w:tcPr>
          <w:p>
            <w:pPr>
              <w:spacing w:before="77" w:line="219" w:lineRule="auto"/>
              <w:ind w:left="151"/>
              <w:rPr>
                <w:rFonts w:ascii="仿宋" w:hAnsi="仿宋" w:eastAsia="仿宋" w:cs="仿宋"/>
                <w:sz w:val="21"/>
                <w:szCs w:val="21"/>
              </w:rPr>
            </w:pPr>
            <w:r>
              <w:rPr>
                <w:rFonts w:ascii="仿宋" w:hAnsi="仿宋" w:eastAsia="仿宋" w:cs="仿宋"/>
                <w:spacing w:val="-3"/>
                <w:sz w:val="21"/>
                <w:szCs w:val="21"/>
              </w:rPr>
              <w:t>低于风险</w:t>
            </w:r>
          </w:p>
          <w:p>
            <w:pPr>
              <w:spacing w:before="63" w:line="218" w:lineRule="auto"/>
              <w:ind w:left="259"/>
              <w:rPr>
                <w:rFonts w:ascii="仿宋" w:hAnsi="仿宋" w:eastAsia="仿宋" w:cs="仿宋"/>
                <w:sz w:val="21"/>
                <w:szCs w:val="21"/>
              </w:rPr>
            </w:pPr>
            <w:r>
              <w:rPr>
                <w:rFonts w:ascii="仿宋" w:hAnsi="仿宋" w:eastAsia="仿宋" w:cs="仿宋"/>
                <w:spacing w:val="-4"/>
                <w:sz w:val="21"/>
                <w:szCs w:val="21"/>
              </w:rPr>
              <w:t>筛选值</w:t>
            </w:r>
          </w:p>
        </w:tc>
      </w:tr>
    </w:tbl>
    <w:p>
      <w:pPr>
        <w:rPr>
          <w:rFonts w:ascii="Arial"/>
          <w:sz w:val="21"/>
        </w:rPr>
      </w:pPr>
    </w:p>
    <w:p>
      <w:pPr>
        <w:rPr>
          <w:rFonts w:ascii="Arial" w:hAnsi="Arial" w:eastAsia="Arial" w:cs="Arial"/>
          <w:sz w:val="21"/>
          <w:szCs w:val="21"/>
        </w:rPr>
        <w:sectPr>
          <w:headerReference r:id="rId209" w:type="default"/>
          <w:footerReference r:id="rId210" w:type="default"/>
          <w:pgSz w:w="16839" w:h="11907"/>
          <w:pgMar w:top="1156" w:right="1408" w:bottom="1374" w:left="1410" w:header="881" w:footer="1210" w:gutter="0"/>
        </w:sectPr>
      </w:pPr>
    </w:p>
    <w:p>
      <w:pPr>
        <w:spacing w:line="342" w:lineRule="auto"/>
        <w:rPr>
          <w:rFonts w:ascii="Arial"/>
          <w:sz w:val="21"/>
        </w:rPr>
      </w:pPr>
    </w:p>
    <w:p>
      <w:pPr>
        <w:spacing w:before="68" w:line="212" w:lineRule="auto"/>
        <w:ind w:left="495"/>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表</w:t>
      </w:r>
      <w:r>
        <w:rPr>
          <w:rFonts w:ascii="宋体" w:hAnsi="宋体" w:eastAsia="宋体" w:cs="宋体"/>
          <w:spacing w:val="-41"/>
          <w:sz w:val="21"/>
          <w:szCs w:val="21"/>
        </w:rPr>
        <w:t xml:space="preserve"> </w:t>
      </w:r>
      <w:r>
        <w:rPr>
          <w:rFonts w:ascii="Times New Roman" w:hAnsi="Times New Roman" w:eastAsia="Times New Roman" w:cs="Times New Roman"/>
          <w:b/>
          <w:bCs/>
          <w:spacing w:val="-2"/>
          <w:sz w:val="21"/>
          <w:szCs w:val="21"/>
        </w:rPr>
        <w:t xml:space="preserve">3.2-17    </w:t>
      </w:r>
      <w:r>
        <w:rPr>
          <w:rFonts w:ascii="宋体" w:hAnsi="宋体" w:eastAsia="宋体" w:cs="宋体"/>
          <w:spacing w:val="-2"/>
          <w:sz w:val="21"/>
          <w:szCs w:val="21"/>
          <w14:textOutline w14:w="3810" w14:cap="flat" w14:cmpd="sng">
            <w14:solidFill>
              <w14:srgbClr w14:val="000000"/>
            </w14:solidFill>
            <w14:prstDash w14:val="solid"/>
            <w14:miter w14:val="0"/>
          </w14:textOutline>
        </w:rPr>
        <w:t>评价范围内农用地表层样土壤监测结果</w:t>
      </w:r>
      <w:r>
        <w:rPr>
          <w:rFonts w:ascii="宋体" w:hAnsi="宋体" w:eastAsia="宋体" w:cs="宋体"/>
          <w:spacing w:val="-2"/>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单位：</w:t>
      </w:r>
      <w:r>
        <w:rPr>
          <w:rFonts w:ascii="宋体" w:hAnsi="宋体" w:eastAsia="宋体" w:cs="宋体"/>
          <w:spacing w:val="-19"/>
          <w:sz w:val="21"/>
          <w:szCs w:val="21"/>
        </w:rPr>
        <w:t xml:space="preserve"> </w:t>
      </w:r>
      <w:r>
        <w:rPr>
          <w:rFonts w:ascii="Times New Roman" w:hAnsi="Times New Roman" w:eastAsia="Times New Roman" w:cs="Times New Roman"/>
          <w:b/>
          <w:bCs/>
          <w:spacing w:val="-2"/>
          <w:sz w:val="21"/>
          <w:szCs w:val="21"/>
        </w:rPr>
        <w:t>mg/kg</w:t>
      </w:r>
      <w:r>
        <w:rPr>
          <w:rFonts w:ascii="宋体" w:hAnsi="宋体" w:eastAsia="宋体" w:cs="宋体"/>
          <w:spacing w:val="-2"/>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2"/>
          <w:sz w:val="21"/>
          <w:szCs w:val="21"/>
        </w:rPr>
        <w:t xml:space="preserve">pH </w:t>
      </w:r>
      <w:r>
        <w:rPr>
          <w:rFonts w:ascii="宋体" w:hAnsi="宋体" w:eastAsia="宋体" w:cs="宋体"/>
          <w:spacing w:val="-2"/>
          <w:sz w:val="21"/>
          <w:szCs w:val="21"/>
          <w14:textOutline w14:w="3810" w14:cap="flat" w14:cmpd="sng">
            <w14:solidFill>
              <w14:srgbClr w14:val="000000"/>
            </w14:solidFill>
            <w14:prstDash w14:val="solid"/>
            <w14:miter w14:val="0"/>
          </w14:textOutline>
        </w:rPr>
        <w:t>无量纲）</w:t>
      </w:r>
    </w:p>
    <w:p>
      <w:pPr>
        <w:spacing w:line="97" w:lineRule="exact"/>
      </w:pPr>
    </w:p>
    <w:tbl>
      <w:tblPr>
        <w:tblStyle w:val="5"/>
        <w:tblW w:w="8321"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8"/>
        <w:gridCol w:w="1553"/>
        <w:gridCol w:w="935"/>
        <w:gridCol w:w="1861"/>
        <w:gridCol w:w="935"/>
        <w:gridCol w:w="18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trPr>
        <w:tc>
          <w:tcPr>
            <w:tcW w:w="1178" w:type="dxa"/>
            <w:vMerge w:val="restart"/>
            <w:tcBorders>
              <w:top w:val="single" w:color="000000" w:sz="12" w:space="0"/>
              <w:left w:val="nil"/>
              <w:bottom w:val="nil"/>
            </w:tcBorders>
            <w:vAlign w:val="top"/>
          </w:tcPr>
          <w:p>
            <w:pPr>
              <w:spacing w:before="219" w:line="217" w:lineRule="auto"/>
              <w:ind w:left="19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分析项目</w:t>
            </w:r>
          </w:p>
        </w:tc>
        <w:tc>
          <w:tcPr>
            <w:tcW w:w="1553" w:type="dxa"/>
            <w:vMerge w:val="restart"/>
            <w:tcBorders>
              <w:top w:val="single" w:color="000000" w:sz="12" w:space="0"/>
              <w:bottom w:val="nil"/>
            </w:tcBorders>
            <w:vAlign w:val="top"/>
          </w:tcPr>
          <w:p>
            <w:pPr>
              <w:spacing w:before="219" w:line="218" w:lineRule="auto"/>
              <w:ind w:left="46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标准值</w:t>
            </w:r>
          </w:p>
        </w:tc>
        <w:tc>
          <w:tcPr>
            <w:tcW w:w="2796" w:type="dxa"/>
            <w:gridSpan w:val="2"/>
            <w:tcBorders>
              <w:top w:val="single" w:color="000000" w:sz="12" w:space="0"/>
            </w:tcBorders>
            <w:vAlign w:val="top"/>
          </w:tcPr>
          <w:p>
            <w:pPr>
              <w:pStyle w:val="6"/>
              <w:spacing w:before="87" w:line="188" w:lineRule="auto"/>
              <w:ind w:left="1292"/>
            </w:pPr>
            <w:r>
              <w:rPr>
                <w:b/>
                <w:bCs/>
                <w:spacing w:val="-3"/>
              </w:rPr>
              <w:t>S5</w:t>
            </w:r>
          </w:p>
        </w:tc>
        <w:tc>
          <w:tcPr>
            <w:tcW w:w="2794" w:type="dxa"/>
            <w:gridSpan w:val="2"/>
            <w:tcBorders>
              <w:top w:val="single" w:color="000000" w:sz="12" w:space="0"/>
              <w:right w:val="nil"/>
            </w:tcBorders>
            <w:vAlign w:val="top"/>
          </w:tcPr>
          <w:p>
            <w:pPr>
              <w:pStyle w:val="6"/>
              <w:spacing w:before="87" w:line="188" w:lineRule="auto"/>
              <w:ind w:left="1292"/>
            </w:pPr>
            <w:r>
              <w:rPr>
                <w:b/>
                <w:bCs/>
                <w:spacing w:val="-3"/>
              </w:rPr>
              <w:t>S6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8" w:hRule="atLeast"/>
        </w:trPr>
        <w:tc>
          <w:tcPr>
            <w:tcW w:w="1178" w:type="dxa"/>
            <w:vMerge w:val="continue"/>
            <w:tcBorders>
              <w:top w:val="nil"/>
              <w:left w:val="nil"/>
            </w:tcBorders>
            <w:vAlign w:val="top"/>
          </w:tcPr>
          <w:p>
            <w:pPr>
              <w:rPr>
                <w:rFonts w:ascii="Arial"/>
                <w:sz w:val="21"/>
              </w:rPr>
            </w:pPr>
          </w:p>
        </w:tc>
        <w:tc>
          <w:tcPr>
            <w:tcW w:w="1553" w:type="dxa"/>
            <w:vMerge w:val="continue"/>
            <w:tcBorders>
              <w:top w:val="nil"/>
            </w:tcBorders>
            <w:vAlign w:val="top"/>
          </w:tcPr>
          <w:p>
            <w:pPr>
              <w:rPr>
                <w:rFonts w:ascii="Arial"/>
                <w:sz w:val="21"/>
              </w:rPr>
            </w:pPr>
          </w:p>
        </w:tc>
        <w:tc>
          <w:tcPr>
            <w:tcW w:w="935" w:type="dxa"/>
            <w:vAlign w:val="top"/>
          </w:tcPr>
          <w:p>
            <w:pPr>
              <w:spacing w:before="53" w:line="219" w:lineRule="auto"/>
              <w:ind w:left="16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861" w:type="dxa"/>
            <w:vAlign w:val="top"/>
          </w:tcPr>
          <w:p>
            <w:pPr>
              <w:spacing w:before="53" w:line="218" w:lineRule="auto"/>
              <w:ind w:left="733"/>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结果</w:t>
            </w:r>
          </w:p>
        </w:tc>
        <w:tc>
          <w:tcPr>
            <w:tcW w:w="935" w:type="dxa"/>
            <w:vAlign w:val="top"/>
          </w:tcPr>
          <w:p>
            <w:pPr>
              <w:spacing w:before="53" w:line="219" w:lineRule="auto"/>
              <w:ind w:left="16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监测值</w:t>
            </w:r>
          </w:p>
        </w:tc>
        <w:tc>
          <w:tcPr>
            <w:tcW w:w="1859" w:type="dxa"/>
            <w:tcBorders>
              <w:right w:val="nil"/>
            </w:tcBorders>
            <w:vAlign w:val="top"/>
          </w:tcPr>
          <w:p>
            <w:pPr>
              <w:spacing w:before="53" w:line="218" w:lineRule="auto"/>
              <w:ind w:left="732"/>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trPr>
        <w:tc>
          <w:tcPr>
            <w:tcW w:w="1178" w:type="dxa"/>
            <w:tcBorders>
              <w:left w:val="nil"/>
            </w:tcBorders>
            <w:vAlign w:val="top"/>
          </w:tcPr>
          <w:p>
            <w:pPr>
              <w:pStyle w:val="6"/>
              <w:spacing w:before="92" w:line="190" w:lineRule="auto"/>
              <w:ind w:left="467"/>
            </w:pPr>
            <w:r>
              <w:t>pH</w:t>
            </w:r>
          </w:p>
        </w:tc>
        <w:tc>
          <w:tcPr>
            <w:tcW w:w="1553" w:type="dxa"/>
            <w:vAlign w:val="top"/>
          </w:tcPr>
          <w:p>
            <w:pPr>
              <w:pStyle w:val="6"/>
              <w:spacing w:before="56" w:line="213" w:lineRule="auto"/>
              <w:ind w:left="228"/>
            </w:pPr>
            <w:r>
              <w:rPr>
                <w:spacing w:val="-1"/>
              </w:rPr>
              <w:t>5.5</w:t>
            </w:r>
            <w:r>
              <w:rPr>
                <w:rFonts w:ascii="仿宋" w:hAnsi="仿宋" w:eastAsia="仿宋" w:cs="仿宋"/>
                <w:spacing w:val="-1"/>
              </w:rPr>
              <w:t>＜</w:t>
            </w:r>
            <w:r>
              <w:rPr>
                <w:spacing w:val="-1"/>
              </w:rPr>
              <w:t>pH≤6.5</w:t>
            </w:r>
          </w:p>
        </w:tc>
        <w:tc>
          <w:tcPr>
            <w:tcW w:w="935" w:type="dxa"/>
            <w:vAlign w:val="top"/>
          </w:tcPr>
          <w:p>
            <w:pPr>
              <w:pStyle w:val="6"/>
              <w:spacing w:before="93" w:line="188" w:lineRule="auto"/>
              <w:ind w:left="287"/>
            </w:pPr>
            <w:r>
              <w:rPr>
                <w:spacing w:val="-3"/>
              </w:rPr>
              <w:t>6.37</w:t>
            </w:r>
          </w:p>
        </w:tc>
        <w:tc>
          <w:tcPr>
            <w:tcW w:w="1861" w:type="dxa"/>
            <w:vAlign w:val="top"/>
          </w:tcPr>
          <w:p>
            <w:pPr>
              <w:pStyle w:val="6"/>
              <w:spacing w:before="91" w:line="216" w:lineRule="auto"/>
              <w:ind w:left="896"/>
            </w:pPr>
            <w:r>
              <w:t>/</w:t>
            </w:r>
          </w:p>
        </w:tc>
        <w:tc>
          <w:tcPr>
            <w:tcW w:w="935" w:type="dxa"/>
            <w:vAlign w:val="top"/>
          </w:tcPr>
          <w:p>
            <w:pPr>
              <w:pStyle w:val="6"/>
              <w:spacing w:before="93" w:line="188" w:lineRule="auto"/>
              <w:ind w:left="287"/>
            </w:pPr>
            <w:r>
              <w:rPr>
                <w:spacing w:val="-3"/>
              </w:rPr>
              <w:t>6.32</w:t>
            </w:r>
          </w:p>
        </w:tc>
        <w:tc>
          <w:tcPr>
            <w:tcW w:w="1859" w:type="dxa"/>
            <w:tcBorders>
              <w:right w:val="nil"/>
            </w:tcBorders>
            <w:vAlign w:val="top"/>
          </w:tcPr>
          <w:p>
            <w:pPr>
              <w:pStyle w:val="6"/>
              <w:spacing w:before="90" w:line="217" w:lineRule="auto"/>
              <w:ind w:left="896"/>
            </w:pPr>
            <w: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178" w:type="dxa"/>
            <w:tcBorders>
              <w:left w:val="nil"/>
            </w:tcBorders>
            <w:vAlign w:val="top"/>
          </w:tcPr>
          <w:p>
            <w:pPr>
              <w:spacing w:before="58" w:line="218" w:lineRule="auto"/>
              <w:ind w:left="505"/>
              <w:rPr>
                <w:rFonts w:ascii="仿宋" w:hAnsi="仿宋" w:eastAsia="仿宋" w:cs="仿宋"/>
                <w:sz w:val="21"/>
                <w:szCs w:val="21"/>
              </w:rPr>
            </w:pPr>
            <w:r>
              <w:rPr>
                <w:rFonts w:ascii="仿宋" w:hAnsi="仿宋" w:eastAsia="仿宋" w:cs="仿宋"/>
                <w:sz w:val="21"/>
                <w:szCs w:val="21"/>
              </w:rPr>
              <w:t>镉</w:t>
            </w:r>
          </w:p>
        </w:tc>
        <w:tc>
          <w:tcPr>
            <w:tcW w:w="1553" w:type="dxa"/>
            <w:vAlign w:val="top"/>
          </w:tcPr>
          <w:p>
            <w:pPr>
              <w:pStyle w:val="6"/>
              <w:spacing w:before="94" w:line="188" w:lineRule="auto"/>
              <w:ind w:left="647"/>
            </w:pPr>
            <w:r>
              <w:rPr>
                <w:spacing w:val="-3"/>
              </w:rPr>
              <w:t>0.3</w:t>
            </w:r>
          </w:p>
        </w:tc>
        <w:tc>
          <w:tcPr>
            <w:tcW w:w="935" w:type="dxa"/>
            <w:vAlign w:val="top"/>
          </w:tcPr>
          <w:p>
            <w:pPr>
              <w:pStyle w:val="6"/>
              <w:spacing w:before="94" w:line="188" w:lineRule="auto"/>
              <w:ind w:left="285"/>
            </w:pPr>
            <w:r>
              <w:rPr>
                <w:spacing w:val="-2"/>
              </w:rPr>
              <w:t>0.25</w:t>
            </w:r>
          </w:p>
        </w:tc>
        <w:tc>
          <w:tcPr>
            <w:tcW w:w="1861" w:type="dxa"/>
            <w:vAlign w:val="top"/>
          </w:tcPr>
          <w:p>
            <w:pPr>
              <w:spacing w:before="57" w:line="218" w:lineRule="auto"/>
              <w:ind w:left="204"/>
              <w:rPr>
                <w:rFonts w:ascii="仿宋" w:hAnsi="仿宋" w:eastAsia="仿宋" w:cs="仿宋"/>
                <w:sz w:val="21"/>
                <w:szCs w:val="21"/>
              </w:rPr>
            </w:pPr>
            <w:r>
              <w:rPr>
                <w:rFonts w:ascii="仿宋" w:hAnsi="仿宋" w:eastAsia="仿宋" w:cs="仿宋"/>
                <w:spacing w:val="-2"/>
                <w:sz w:val="21"/>
                <w:szCs w:val="21"/>
              </w:rPr>
              <w:t>低于风险筛选值</w:t>
            </w:r>
          </w:p>
        </w:tc>
        <w:tc>
          <w:tcPr>
            <w:tcW w:w="935" w:type="dxa"/>
            <w:vAlign w:val="top"/>
          </w:tcPr>
          <w:p>
            <w:pPr>
              <w:pStyle w:val="6"/>
              <w:spacing w:before="94" w:line="188" w:lineRule="auto"/>
              <w:ind w:left="286"/>
            </w:pPr>
            <w:r>
              <w:rPr>
                <w:spacing w:val="-2"/>
              </w:rPr>
              <w:t>0.13</w:t>
            </w:r>
          </w:p>
        </w:tc>
        <w:tc>
          <w:tcPr>
            <w:tcW w:w="1859" w:type="dxa"/>
            <w:tcBorders>
              <w:right w:val="nil"/>
            </w:tcBorders>
            <w:vAlign w:val="top"/>
          </w:tcPr>
          <w:p>
            <w:pPr>
              <w:spacing w:before="58" w:line="218" w:lineRule="auto"/>
              <w:ind w:left="204"/>
              <w:rPr>
                <w:rFonts w:ascii="仿宋" w:hAnsi="仿宋" w:eastAsia="仿宋" w:cs="仿宋"/>
                <w:sz w:val="21"/>
                <w:szCs w:val="21"/>
              </w:rPr>
            </w:pPr>
            <w:r>
              <w:rPr>
                <w:rFonts w:ascii="仿宋" w:hAnsi="仿宋" w:eastAsia="仿宋" w:cs="仿宋"/>
                <w:spacing w:val="-2"/>
                <w:sz w:val="21"/>
                <w:szCs w:val="21"/>
              </w:rPr>
              <w:t>低于风险筛选值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178" w:type="dxa"/>
            <w:tcBorders>
              <w:left w:val="nil"/>
            </w:tcBorders>
            <w:vAlign w:val="top"/>
          </w:tcPr>
          <w:p>
            <w:pPr>
              <w:spacing w:before="61" w:line="215" w:lineRule="auto"/>
              <w:ind w:left="505"/>
              <w:rPr>
                <w:rFonts w:ascii="仿宋" w:hAnsi="仿宋" w:eastAsia="仿宋" w:cs="仿宋"/>
                <w:sz w:val="21"/>
                <w:szCs w:val="21"/>
              </w:rPr>
            </w:pPr>
            <w:r>
              <w:rPr>
                <w:rFonts w:ascii="仿宋" w:hAnsi="仿宋" w:eastAsia="仿宋" w:cs="仿宋"/>
                <w:sz w:val="21"/>
                <w:szCs w:val="21"/>
              </w:rPr>
              <w:t>汞</w:t>
            </w:r>
          </w:p>
        </w:tc>
        <w:tc>
          <w:tcPr>
            <w:tcW w:w="1553" w:type="dxa"/>
            <w:vAlign w:val="top"/>
          </w:tcPr>
          <w:p>
            <w:pPr>
              <w:pStyle w:val="6"/>
              <w:spacing w:before="97" w:line="188" w:lineRule="auto"/>
              <w:ind w:left="664"/>
            </w:pPr>
            <w:r>
              <w:rPr>
                <w:spacing w:val="-8"/>
              </w:rPr>
              <w:t>1.8</w:t>
            </w:r>
          </w:p>
        </w:tc>
        <w:tc>
          <w:tcPr>
            <w:tcW w:w="935" w:type="dxa"/>
            <w:vAlign w:val="top"/>
          </w:tcPr>
          <w:p>
            <w:pPr>
              <w:pStyle w:val="6"/>
              <w:spacing w:before="97" w:line="188" w:lineRule="auto"/>
              <w:ind w:left="233"/>
            </w:pPr>
            <w:r>
              <w:rPr>
                <w:spacing w:val="-2"/>
              </w:rPr>
              <w:t>0.544</w:t>
            </w:r>
          </w:p>
        </w:tc>
        <w:tc>
          <w:tcPr>
            <w:tcW w:w="1861" w:type="dxa"/>
            <w:vAlign w:val="top"/>
          </w:tcPr>
          <w:p>
            <w:pPr>
              <w:spacing w:before="61" w:line="215" w:lineRule="auto"/>
              <w:ind w:left="204"/>
              <w:rPr>
                <w:rFonts w:ascii="仿宋" w:hAnsi="仿宋" w:eastAsia="仿宋" w:cs="仿宋"/>
                <w:sz w:val="21"/>
                <w:szCs w:val="21"/>
              </w:rPr>
            </w:pPr>
            <w:r>
              <w:rPr>
                <w:rFonts w:ascii="仿宋" w:hAnsi="仿宋" w:eastAsia="仿宋" w:cs="仿宋"/>
                <w:spacing w:val="-2"/>
                <w:sz w:val="21"/>
                <w:szCs w:val="21"/>
              </w:rPr>
              <w:t>低于风险筛选值</w:t>
            </w:r>
          </w:p>
        </w:tc>
        <w:tc>
          <w:tcPr>
            <w:tcW w:w="935" w:type="dxa"/>
            <w:vAlign w:val="top"/>
          </w:tcPr>
          <w:p>
            <w:pPr>
              <w:pStyle w:val="6"/>
              <w:spacing w:before="97" w:line="188" w:lineRule="auto"/>
              <w:ind w:left="233"/>
            </w:pPr>
            <w:r>
              <w:rPr>
                <w:spacing w:val="-2"/>
              </w:rPr>
              <w:t>0.487</w:t>
            </w:r>
          </w:p>
        </w:tc>
        <w:tc>
          <w:tcPr>
            <w:tcW w:w="1859" w:type="dxa"/>
            <w:tcBorders>
              <w:right w:val="nil"/>
            </w:tcBorders>
            <w:vAlign w:val="top"/>
          </w:tcPr>
          <w:p>
            <w:pPr>
              <w:spacing w:before="61" w:line="215" w:lineRule="auto"/>
              <w:ind w:left="204"/>
              <w:rPr>
                <w:rFonts w:ascii="仿宋" w:hAnsi="仿宋" w:eastAsia="仿宋" w:cs="仿宋"/>
                <w:sz w:val="21"/>
                <w:szCs w:val="21"/>
              </w:rPr>
            </w:pPr>
            <w:r>
              <w:rPr>
                <w:rFonts w:ascii="仿宋" w:hAnsi="仿宋" w:eastAsia="仿宋" w:cs="仿宋"/>
                <w:spacing w:val="-2"/>
                <w:sz w:val="21"/>
                <w:szCs w:val="21"/>
              </w:rPr>
              <w:t>低于风险筛选值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178" w:type="dxa"/>
            <w:tcBorders>
              <w:left w:val="nil"/>
            </w:tcBorders>
            <w:vAlign w:val="top"/>
          </w:tcPr>
          <w:p>
            <w:pPr>
              <w:spacing w:before="64" w:line="212" w:lineRule="auto"/>
              <w:ind w:left="504"/>
              <w:rPr>
                <w:rFonts w:ascii="仿宋" w:hAnsi="仿宋" w:eastAsia="仿宋" w:cs="仿宋"/>
                <w:sz w:val="21"/>
                <w:szCs w:val="21"/>
              </w:rPr>
            </w:pPr>
            <w:r>
              <w:rPr>
                <w:rFonts w:ascii="仿宋" w:hAnsi="仿宋" w:eastAsia="仿宋" w:cs="仿宋"/>
                <w:sz w:val="21"/>
                <w:szCs w:val="21"/>
              </w:rPr>
              <w:t>砷</w:t>
            </w:r>
          </w:p>
        </w:tc>
        <w:tc>
          <w:tcPr>
            <w:tcW w:w="1553" w:type="dxa"/>
            <w:vAlign w:val="top"/>
          </w:tcPr>
          <w:p>
            <w:pPr>
              <w:pStyle w:val="6"/>
              <w:spacing w:before="101" w:line="188" w:lineRule="auto"/>
              <w:ind w:left="669"/>
            </w:pPr>
            <w:r>
              <w:rPr>
                <w:spacing w:val="-1"/>
              </w:rPr>
              <w:t>40</w:t>
            </w:r>
          </w:p>
        </w:tc>
        <w:tc>
          <w:tcPr>
            <w:tcW w:w="935" w:type="dxa"/>
            <w:vAlign w:val="top"/>
          </w:tcPr>
          <w:p>
            <w:pPr>
              <w:pStyle w:val="6"/>
              <w:spacing w:before="101" w:line="188" w:lineRule="auto"/>
              <w:ind w:left="302"/>
            </w:pPr>
            <w:r>
              <w:rPr>
                <w:spacing w:val="-6"/>
              </w:rPr>
              <w:t>14.5</w:t>
            </w:r>
          </w:p>
        </w:tc>
        <w:tc>
          <w:tcPr>
            <w:tcW w:w="1861" w:type="dxa"/>
            <w:vAlign w:val="top"/>
          </w:tcPr>
          <w:p>
            <w:pPr>
              <w:spacing w:before="63" w:line="213" w:lineRule="auto"/>
              <w:ind w:left="204"/>
              <w:rPr>
                <w:rFonts w:ascii="仿宋" w:hAnsi="仿宋" w:eastAsia="仿宋" w:cs="仿宋"/>
                <w:sz w:val="21"/>
                <w:szCs w:val="21"/>
              </w:rPr>
            </w:pPr>
            <w:r>
              <w:rPr>
                <w:rFonts w:ascii="仿宋" w:hAnsi="仿宋" w:eastAsia="仿宋" w:cs="仿宋"/>
                <w:spacing w:val="-2"/>
                <w:sz w:val="21"/>
                <w:szCs w:val="21"/>
              </w:rPr>
              <w:t>低于风险筛选值</w:t>
            </w:r>
          </w:p>
        </w:tc>
        <w:tc>
          <w:tcPr>
            <w:tcW w:w="935" w:type="dxa"/>
            <w:vAlign w:val="top"/>
          </w:tcPr>
          <w:p>
            <w:pPr>
              <w:pStyle w:val="6"/>
              <w:spacing w:before="101" w:line="188" w:lineRule="auto"/>
              <w:ind w:left="338"/>
            </w:pPr>
            <w:r>
              <w:rPr>
                <w:spacing w:val="-3"/>
              </w:rPr>
              <w:t>7.8</w:t>
            </w:r>
          </w:p>
        </w:tc>
        <w:tc>
          <w:tcPr>
            <w:tcW w:w="1859" w:type="dxa"/>
            <w:tcBorders>
              <w:right w:val="nil"/>
            </w:tcBorders>
            <w:vAlign w:val="top"/>
          </w:tcPr>
          <w:p>
            <w:pPr>
              <w:spacing w:before="63" w:line="213" w:lineRule="auto"/>
              <w:ind w:left="204"/>
              <w:rPr>
                <w:rFonts w:ascii="仿宋" w:hAnsi="仿宋" w:eastAsia="仿宋" w:cs="仿宋"/>
                <w:sz w:val="21"/>
                <w:szCs w:val="21"/>
              </w:rPr>
            </w:pPr>
            <w:r>
              <w:rPr>
                <w:rFonts w:ascii="仿宋" w:hAnsi="仿宋" w:eastAsia="仿宋" w:cs="仿宋"/>
                <w:spacing w:val="-2"/>
                <w:sz w:val="21"/>
                <w:szCs w:val="21"/>
              </w:rPr>
              <w:t>低于风险筛选值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1178" w:type="dxa"/>
            <w:tcBorders>
              <w:left w:val="nil"/>
            </w:tcBorders>
            <w:vAlign w:val="top"/>
          </w:tcPr>
          <w:p>
            <w:pPr>
              <w:spacing w:before="68" w:line="210" w:lineRule="auto"/>
              <w:ind w:left="504"/>
              <w:rPr>
                <w:rFonts w:ascii="仿宋" w:hAnsi="仿宋" w:eastAsia="仿宋" w:cs="仿宋"/>
                <w:sz w:val="21"/>
                <w:szCs w:val="21"/>
              </w:rPr>
            </w:pPr>
            <w:r>
              <w:rPr>
                <w:rFonts w:ascii="仿宋" w:hAnsi="仿宋" w:eastAsia="仿宋" w:cs="仿宋"/>
                <w:sz w:val="21"/>
                <w:szCs w:val="21"/>
              </w:rPr>
              <w:t>铅</w:t>
            </w:r>
          </w:p>
        </w:tc>
        <w:tc>
          <w:tcPr>
            <w:tcW w:w="1553" w:type="dxa"/>
            <w:vAlign w:val="top"/>
          </w:tcPr>
          <w:p>
            <w:pPr>
              <w:pStyle w:val="6"/>
              <w:spacing w:before="104" w:line="188" w:lineRule="auto"/>
              <w:ind w:left="674"/>
            </w:pPr>
            <w:r>
              <w:rPr>
                <w:spacing w:val="-2"/>
              </w:rPr>
              <w:t>90</w:t>
            </w:r>
          </w:p>
        </w:tc>
        <w:tc>
          <w:tcPr>
            <w:tcW w:w="935" w:type="dxa"/>
            <w:vAlign w:val="top"/>
          </w:tcPr>
          <w:p>
            <w:pPr>
              <w:pStyle w:val="6"/>
              <w:spacing w:before="104" w:line="188" w:lineRule="auto"/>
              <w:ind w:left="365"/>
            </w:pPr>
            <w:r>
              <w:rPr>
                <w:spacing w:val="-3"/>
              </w:rPr>
              <w:t>30</w:t>
            </w:r>
          </w:p>
        </w:tc>
        <w:tc>
          <w:tcPr>
            <w:tcW w:w="1861" w:type="dxa"/>
            <w:vAlign w:val="top"/>
          </w:tcPr>
          <w:p>
            <w:pPr>
              <w:spacing w:before="66" w:line="211" w:lineRule="auto"/>
              <w:ind w:left="204"/>
              <w:rPr>
                <w:rFonts w:ascii="仿宋" w:hAnsi="仿宋" w:eastAsia="仿宋" w:cs="仿宋"/>
                <w:sz w:val="21"/>
                <w:szCs w:val="21"/>
              </w:rPr>
            </w:pPr>
            <w:r>
              <w:rPr>
                <w:rFonts w:ascii="仿宋" w:hAnsi="仿宋" w:eastAsia="仿宋" w:cs="仿宋"/>
                <w:spacing w:val="-2"/>
                <w:sz w:val="21"/>
                <w:szCs w:val="21"/>
              </w:rPr>
              <w:t>低于风险筛选值</w:t>
            </w:r>
          </w:p>
        </w:tc>
        <w:tc>
          <w:tcPr>
            <w:tcW w:w="935" w:type="dxa"/>
            <w:vAlign w:val="top"/>
          </w:tcPr>
          <w:p>
            <w:pPr>
              <w:pStyle w:val="6"/>
              <w:spacing w:before="104" w:line="188" w:lineRule="auto"/>
              <w:ind w:left="360"/>
            </w:pPr>
            <w:r>
              <w:rPr>
                <w:spacing w:val="-1"/>
              </w:rPr>
              <w:t>40</w:t>
            </w:r>
          </w:p>
        </w:tc>
        <w:tc>
          <w:tcPr>
            <w:tcW w:w="1859" w:type="dxa"/>
            <w:tcBorders>
              <w:right w:val="nil"/>
            </w:tcBorders>
            <w:vAlign w:val="top"/>
          </w:tcPr>
          <w:p>
            <w:pPr>
              <w:spacing w:before="66" w:line="211" w:lineRule="auto"/>
              <w:ind w:left="204"/>
              <w:rPr>
                <w:rFonts w:ascii="仿宋" w:hAnsi="仿宋" w:eastAsia="仿宋" w:cs="仿宋"/>
                <w:sz w:val="21"/>
                <w:szCs w:val="21"/>
              </w:rPr>
            </w:pPr>
            <w:r>
              <w:rPr>
                <w:rFonts w:ascii="仿宋" w:hAnsi="仿宋" w:eastAsia="仿宋" w:cs="仿宋"/>
                <w:spacing w:val="-2"/>
                <w:sz w:val="21"/>
                <w:szCs w:val="21"/>
              </w:rPr>
              <w:t>低于风险筛选值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178" w:type="dxa"/>
            <w:tcBorders>
              <w:left w:val="nil"/>
            </w:tcBorders>
            <w:vAlign w:val="top"/>
          </w:tcPr>
          <w:p>
            <w:pPr>
              <w:spacing w:before="69" w:line="208" w:lineRule="auto"/>
              <w:ind w:left="505"/>
              <w:rPr>
                <w:rFonts w:ascii="仿宋" w:hAnsi="仿宋" w:eastAsia="仿宋" w:cs="仿宋"/>
                <w:sz w:val="21"/>
                <w:szCs w:val="21"/>
              </w:rPr>
            </w:pPr>
            <w:r>
              <w:rPr>
                <w:rFonts w:ascii="仿宋" w:hAnsi="仿宋" w:eastAsia="仿宋" w:cs="仿宋"/>
                <w:sz w:val="21"/>
                <w:szCs w:val="21"/>
              </w:rPr>
              <w:t>铬</w:t>
            </w:r>
          </w:p>
        </w:tc>
        <w:tc>
          <w:tcPr>
            <w:tcW w:w="1553" w:type="dxa"/>
            <w:vAlign w:val="top"/>
          </w:tcPr>
          <w:p>
            <w:pPr>
              <w:pStyle w:val="6"/>
              <w:spacing w:before="106" w:line="188" w:lineRule="auto"/>
              <w:ind w:left="639"/>
            </w:pPr>
            <w:r>
              <w:rPr>
                <w:spacing w:val="-6"/>
              </w:rPr>
              <w:t>150</w:t>
            </w:r>
          </w:p>
        </w:tc>
        <w:tc>
          <w:tcPr>
            <w:tcW w:w="935" w:type="dxa"/>
            <w:vAlign w:val="top"/>
          </w:tcPr>
          <w:p>
            <w:pPr>
              <w:pStyle w:val="6"/>
              <w:spacing w:before="106" w:line="188" w:lineRule="auto"/>
              <w:ind w:left="364"/>
            </w:pPr>
            <w:r>
              <w:rPr>
                <w:spacing w:val="-2"/>
              </w:rPr>
              <w:t>70</w:t>
            </w:r>
          </w:p>
        </w:tc>
        <w:tc>
          <w:tcPr>
            <w:tcW w:w="1861" w:type="dxa"/>
            <w:vAlign w:val="top"/>
          </w:tcPr>
          <w:p>
            <w:pPr>
              <w:spacing w:before="68" w:line="209" w:lineRule="auto"/>
              <w:ind w:left="204"/>
              <w:rPr>
                <w:rFonts w:ascii="仿宋" w:hAnsi="仿宋" w:eastAsia="仿宋" w:cs="仿宋"/>
                <w:sz w:val="21"/>
                <w:szCs w:val="21"/>
              </w:rPr>
            </w:pPr>
            <w:r>
              <w:rPr>
                <w:rFonts w:ascii="仿宋" w:hAnsi="仿宋" w:eastAsia="仿宋" w:cs="仿宋"/>
                <w:spacing w:val="-2"/>
                <w:sz w:val="21"/>
                <w:szCs w:val="21"/>
              </w:rPr>
              <w:t>低于风险筛选值</w:t>
            </w:r>
          </w:p>
        </w:tc>
        <w:tc>
          <w:tcPr>
            <w:tcW w:w="935" w:type="dxa"/>
            <w:vAlign w:val="top"/>
          </w:tcPr>
          <w:p>
            <w:pPr>
              <w:pStyle w:val="6"/>
              <w:spacing w:before="106" w:line="188" w:lineRule="auto"/>
              <w:ind w:left="333"/>
            </w:pPr>
            <w:r>
              <w:rPr>
                <w:spacing w:val="-10"/>
              </w:rPr>
              <w:t>113</w:t>
            </w:r>
          </w:p>
        </w:tc>
        <w:tc>
          <w:tcPr>
            <w:tcW w:w="1859" w:type="dxa"/>
            <w:tcBorders>
              <w:right w:val="nil"/>
            </w:tcBorders>
            <w:vAlign w:val="top"/>
          </w:tcPr>
          <w:p>
            <w:pPr>
              <w:spacing w:before="68" w:line="209" w:lineRule="auto"/>
              <w:ind w:left="204"/>
              <w:rPr>
                <w:rFonts w:ascii="仿宋" w:hAnsi="仿宋" w:eastAsia="仿宋" w:cs="仿宋"/>
                <w:sz w:val="21"/>
                <w:szCs w:val="21"/>
              </w:rPr>
            </w:pPr>
            <w:r>
              <w:rPr>
                <w:rFonts w:ascii="仿宋" w:hAnsi="仿宋" w:eastAsia="仿宋" w:cs="仿宋"/>
                <w:spacing w:val="-2"/>
                <w:sz w:val="21"/>
                <w:szCs w:val="21"/>
              </w:rPr>
              <w:t>低于风险筛选值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1178" w:type="dxa"/>
            <w:tcBorders>
              <w:left w:val="nil"/>
            </w:tcBorders>
            <w:vAlign w:val="top"/>
          </w:tcPr>
          <w:p>
            <w:pPr>
              <w:spacing w:before="70" w:line="205" w:lineRule="auto"/>
              <w:ind w:left="506"/>
              <w:rPr>
                <w:rFonts w:ascii="仿宋" w:hAnsi="仿宋" w:eastAsia="仿宋" w:cs="仿宋"/>
                <w:sz w:val="21"/>
                <w:szCs w:val="21"/>
              </w:rPr>
            </w:pPr>
            <w:r>
              <w:rPr>
                <w:rFonts w:ascii="仿宋" w:hAnsi="仿宋" w:eastAsia="仿宋" w:cs="仿宋"/>
                <w:sz w:val="21"/>
                <w:szCs w:val="21"/>
              </w:rPr>
              <w:t>铜</w:t>
            </w:r>
          </w:p>
        </w:tc>
        <w:tc>
          <w:tcPr>
            <w:tcW w:w="1553" w:type="dxa"/>
            <w:vAlign w:val="top"/>
          </w:tcPr>
          <w:p>
            <w:pPr>
              <w:pStyle w:val="6"/>
              <w:spacing w:before="107" w:line="188" w:lineRule="auto"/>
              <w:ind w:left="676"/>
            </w:pPr>
            <w:r>
              <w:rPr>
                <w:spacing w:val="-3"/>
              </w:rPr>
              <w:t>50</w:t>
            </w:r>
          </w:p>
        </w:tc>
        <w:tc>
          <w:tcPr>
            <w:tcW w:w="935" w:type="dxa"/>
            <w:vAlign w:val="top"/>
          </w:tcPr>
          <w:p>
            <w:pPr>
              <w:pStyle w:val="6"/>
              <w:spacing w:before="107" w:line="188" w:lineRule="auto"/>
              <w:ind w:left="366"/>
            </w:pPr>
            <w:r>
              <w:rPr>
                <w:spacing w:val="-3"/>
              </w:rPr>
              <w:t>50</w:t>
            </w:r>
          </w:p>
        </w:tc>
        <w:tc>
          <w:tcPr>
            <w:tcW w:w="1861" w:type="dxa"/>
            <w:vAlign w:val="top"/>
          </w:tcPr>
          <w:p>
            <w:pPr>
              <w:spacing w:before="70" w:line="205" w:lineRule="auto"/>
              <w:ind w:left="204"/>
              <w:rPr>
                <w:rFonts w:ascii="仿宋" w:hAnsi="仿宋" w:eastAsia="仿宋" w:cs="仿宋"/>
                <w:sz w:val="21"/>
                <w:szCs w:val="21"/>
              </w:rPr>
            </w:pPr>
            <w:r>
              <w:rPr>
                <w:rFonts w:ascii="仿宋" w:hAnsi="仿宋" w:eastAsia="仿宋" w:cs="仿宋"/>
                <w:spacing w:val="-2"/>
                <w:sz w:val="21"/>
                <w:szCs w:val="21"/>
              </w:rPr>
              <w:t>低于风险筛选值</w:t>
            </w:r>
          </w:p>
        </w:tc>
        <w:tc>
          <w:tcPr>
            <w:tcW w:w="935" w:type="dxa"/>
            <w:vAlign w:val="top"/>
          </w:tcPr>
          <w:p>
            <w:pPr>
              <w:pStyle w:val="6"/>
              <w:spacing w:before="107" w:line="188" w:lineRule="auto"/>
              <w:ind w:left="360"/>
            </w:pPr>
            <w:r>
              <w:rPr>
                <w:spacing w:val="-1"/>
              </w:rPr>
              <w:t>40</w:t>
            </w:r>
          </w:p>
        </w:tc>
        <w:tc>
          <w:tcPr>
            <w:tcW w:w="1859" w:type="dxa"/>
            <w:tcBorders>
              <w:right w:val="nil"/>
            </w:tcBorders>
            <w:vAlign w:val="top"/>
          </w:tcPr>
          <w:p>
            <w:pPr>
              <w:spacing w:before="70" w:line="205" w:lineRule="auto"/>
              <w:ind w:left="204"/>
              <w:rPr>
                <w:rFonts w:ascii="仿宋" w:hAnsi="仿宋" w:eastAsia="仿宋" w:cs="仿宋"/>
                <w:sz w:val="21"/>
                <w:szCs w:val="21"/>
              </w:rPr>
            </w:pPr>
            <w:r>
              <w:rPr>
                <w:rFonts w:ascii="仿宋" w:hAnsi="仿宋" w:eastAsia="仿宋" w:cs="仿宋"/>
                <w:spacing w:val="-2"/>
                <w:sz w:val="21"/>
                <w:szCs w:val="21"/>
              </w:rPr>
              <w:t>低于风险筛选值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1178" w:type="dxa"/>
            <w:tcBorders>
              <w:left w:val="nil"/>
            </w:tcBorders>
            <w:vAlign w:val="top"/>
          </w:tcPr>
          <w:p>
            <w:pPr>
              <w:spacing w:before="75" w:line="202" w:lineRule="auto"/>
              <w:ind w:left="506"/>
              <w:rPr>
                <w:rFonts w:ascii="仿宋" w:hAnsi="仿宋" w:eastAsia="仿宋" w:cs="仿宋"/>
                <w:sz w:val="21"/>
                <w:szCs w:val="21"/>
              </w:rPr>
            </w:pPr>
            <w:r>
              <w:rPr>
                <w:rFonts w:ascii="仿宋" w:hAnsi="仿宋" w:eastAsia="仿宋" w:cs="仿宋"/>
                <w:sz w:val="21"/>
                <w:szCs w:val="21"/>
              </w:rPr>
              <w:t>镍</w:t>
            </w:r>
          </w:p>
        </w:tc>
        <w:tc>
          <w:tcPr>
            <w:tcW w:w="1553" w:type="dxa"/>
            <w:vAlign w:val="top"/>
          </w:tcPr>
          <w:p>
            <w:pPr>
              <w:pStyle w:val="6"/>
              <w:spacing w:before="111" w:line="188" w:lineRule="auto"/>
              <w:ind w:left="673"/>
            </w:pPr>
            <w:r>
              <w:rPr>
                <w:spacing w:val="-2"/>
              </w:rPr>
              <w:t>70</w:t>
            </w:r>
          </w:p>
        </w:tc>
        <w:tc>
          <w:tcPr>
            <w:tcW w:w="935" w:type="dxa"/>
            <w:vAlign w:val="top"/>
          </w:tcPr>
          <w:p>
            <w:pPr>
              <w:pStyle w:val="6"/>
              <w:spacing w:before="111" w:line="188" w:lineRule="auto"/>
              <w:ind w:left="360"/>
            </w:pPr>
            <w:r>
              <w:rPr>
                <w:spacing w:val="-1"/>
              </w:rPr>
              <w:t>43</w:t>
            </w:r>
          </w:p>
        </w:tc>
        <w:tc>
          <w:tcPr>
            <w:tcW w:w="1861" w:type="dxa"/>
            <w:vAlign w:val="top"/>
          </w:tcPr>
          <w:p>
            <w:pPr>
              <w:spacing w:before="75" w:line="202" w:lineRule="auto"/>
              <w:ind w:left="204"/>
              <w:rPr>
                <w:rFonts w:ascii="仿宋" w:hAnsi="仿宋" w:eastAsia="仿宋" w:cs="仿宋"/>
                <w:sz w:val="21"/>
                <w:szCs w:val="21"/>
              </w:rPr>
            </w:pPr>
            <w:r>
              <w:rPr>
                <w:rFonts w:ascii="仿宋" w:hAnsi="仿宋" w:eastAsia="仿宋" w:cs="仿宋"/>
                <w:spacing w:val="-2"/>
                <w:sz w:val="21"/>
                <w:szCs w:val="21"/>
              </w:rPr>
              <w:t>低于风险筛选值</w:t>
            </w:r>
          </w:p>
        </w:tc>
        <w:tc>
          <w:tcPr>
            <w:tcW w:w="935" w:type="dxa"/>
            <w:vAlign w:val="top"/>
          </w:tcPr>
          <w:p>
            <w:pPr>
              <w:pStyle w:val="6"/>
              <w:spacing w:before="111" w:line="188" w:lineRule="auto"/>
              <w:ind w:left="366"/>
            </w:pPr>
            <w:r>
              <w:rPr>
                <w:spacing w:val="-3"/>
              </w:rPr>
              <w:t>50</w:t>
            </w:r>
          </w:p>
        </w:tc>
        <w:tc>
          <w:tcPr>
            <w:tcW w:w="1859" w:type="dxa"/>
            <w:tcBorders>
              <w:right w:val="nil"/>
            </w:tcBorders>
            <w:vAlign w:val="top"/>
          </w:tcPr>
          <w:p>
            <w:pPr>
              <w:spacing w:before="75" w:line="202" w:lineRule="auto"/>
              <w:ind w:left="204"/>
              <w:rPr>
                <w:rFonts w:ascii="仿宋" w:hAnsi="仿宋" w:eastAsia="仿宋" w:cs="仿宋"/>
                <w:sz w:val="21"/>
                <w:szCs w:val="21"/>
              </w:rPr>
            </w:pPr>
            <w:r>
              <w:rPr>
                <w:rFonts w:ascii="仿宋" w:hAnsi="仿宋" w:eastAsia="仿宋" w:cs="仿宋"/>
                <w:spacing w:val="-2"/>
                <w:sz w:val="21"/>
                <w:szCs w:val="21"/>
              </w:rPr>
              <w:t>低于风险筛选值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9" w:hRule="atLeast"/>
        </w:trPr>
        <w:tc>
          <w:tcPr>
            <w:tcW w:w="1178" w:type="dxa"/>
            <w:tcBorders>
              <w:left w:val="nil"/>
              <w:bottom w:val="single" w:color="000000" w:sz="12" w:space="0"/>
            </w:tcBorders>
            <w:vAlign w:val="top"/>
          </w:tcPr>
          <w:p>
            <w:pPr>
              <w:spacing w:before="77" w:line="218" w:lineRule="auto"/>
              <w:ind w:left="504"/>
              <w:rPr>
                <w:rFonts w:ascii="仿宋" w:hAnsi="仿宋" w:eastAsia="仿宋" w:cs="仿宋"/>
                <w:sz w:val="21"/>
                <w:szCs w:val="21"/>
              </w:rPr>
            </w:pPr>
            <w:r>
              <w:rPr>
                <w:rFonts w:ascii="仿宋" w:hAnsi="仿宋" w:eastAsia="仿宋" w:cs="仿宋"/>
                <w:sz w:val="21"/>
                <w:szCs w:val="21"/>
              </w:rPr>
              <w:t>锌</w:t>
            </w:r>
          </w:p>
        </w:tc>
        <w:tc>
          <w:tcPr>
            <w:tcW w:w="1553" w:type="dxa"/>
            <w:tcBorders>
              <w:bottom w:val="single" w:color="000000" w:sz="12" w:space="0"/>
            </w:tcBorders>
            <w:vAlign w:val="top"/>
          </w:tcPr>
          <w:p>
            <w:pPr>
              <w:pStyle w:val="6"/>
              <w:spacing w:before="113" w:line="188" w:lineRule="auto"/>
              <w:ind w:left="619"/>
            </w:pPr>
            <w:r>
              <w:rPr>
                <w:spacing w:val="-1"/>
              </w:rPr>
              <w:t>200</w:t>
            </w:r>
          </w:p>
        </w:tc>
        <w:tc>
          <w:tcPr>
            <w:tcW w:w="935" w:type="dxa"/>
            <w:tcBorders>
              <w:bottom w:val="single" w:color="000000" w:sz="12" w:space="0"/>
            </w:tcBorders>
            <w:vAlign w:val="top"/>
          </w:tcPr>
          <w:p>
            <w:pPr>
              <w:pStyle w:val="6"/>
              <w:spacing w:before="113" w:line="188" w:lineRule="auto"/>
              <w:ind w:left="365"/>
            </w:pPr>
            <w:r>
              <w:rPr>
                <w:spacing w:val="-2"/>
              </w:rPr>
              <w:t>91</w:t>
            </w:r>
          </w:p>
        </w:tc>
        <w:tc>
          <w:tcPr>
            <w:tcW w:w="1861" w:type="dxa"/>
            <w:tcBorders>
              <w:bottom w:val="single" w:color="000000" w:sz="12" w:space="0"/>
            </w:tcBorders>
            <w:vAlign w:val="top"/>
          </w:tcPr>
          <w:p>
            <w:pPr>
              <w:spacing w:before="77" w:line="218" w:lineRule="auto"/>
              <w:ind w:left="204"/>
              <w:rPr>
                <w:rFonts w:ascii="仿宋" w:hAnsi="仿宋" w:eastAsia="仿宋" w:cs="仿宋"/>
                <w:sz w:val="21"/>
                <w:szCs w:val="21"/>
              </w:rPr>
            </w:pPr>
            <w:r>
              <w:rPr>
                <w:rFonts w:ascii="仿宋" w:hAnsi="仿宋" w:eastAsia="仿宋" w:cs="仿宋"/>
                <w:spacing w:val="-2"/>
                <w:sz w:val="21"/>
                <w:szCs w:val="21"/>
              </w:rPr>
              <w:t>低于风险筛选值</w:t>
            </w:r>
          </w:p>
        </w:tc>
        <w:tc>
          <w:tcPr>
            <w:tcW w:w="935" w:type="dxa"/>
            <w:tcBorders>
              <w:bottom w:val="single" w:color="000000" w:sz="12" w:space="0"/>
            </w:tcBorders>
            <w:vAlign w:val="top"/>
          </w:tcPr>
          <w:p>
            <w:pPr>
              <w:pStyle w:val="6"/>
              <w:spacing w:before="113" w:line="188" w:lineRule="auto"/>
              <w:ind w:left="329"/>
            </w:pPr>
            <w:r>
              <w:rPr>
                <w:spacing w:val="-6"/>
              </w:rPr>
              <w:t>132</w:t>
            </w:r>
          </w:p>
        </w:tc>
        <w:tc>
          <w:tcPr>
            <w:tcW w:w="1859" w:type="dxa"/>
            <w:tcBorders>
              <w:bottom w:val="single" w:color="000000" w:sz="12" w:space="0"/>
              <w:right w:val="nil"/>
            </w:tcBorders>
            <w:vAlign w:val="top"/>
          </w:tcPr>
          <w:p>
            <w:pPr>
              <w:spacing w:before="76" w:line="218" w:lineRule="auto"/>
              <w:ind w:left="204"/>
              <w:rPr>
                <w:rFonts w:ascii="仿宋" w:hAnsi="仿宋" w:eastAsia="仿宋" w:cs="仿宋"/>
                <w:sz w:val="21"/>
                <w:szCs w:val="21"/>
              </w:rPr>
            </w:pPr>
            <w:r>
              <w:rPr>
                <w:rFonts w:ascii="仿宋" w:hAnsi="仿宋" w:eastAsia="仿宋" w:cs="仿宋"/>
                <w:spacing w:val="-2"/>
                <w:sz w:val="21"/>
                <w:szCs w:val="21"/>
              </w:rPr>
              <w:t>低于风险筛选值</w:t>
            </w:r>
          </w:p>
        </w:tc>
      </w:tr>
    </w:tbl>
    <w:p>
      <w:pPr>
        <w:spacing w:before="146" w:line="221"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）监测结论</w:t>
      </w:r>
    </w:p>
    <w:p>
      <w:pPr>
        <w:spacing w:before="151" w:line="339" w:lineRule="auto"/>
        <w:ind w:left="44" w:right="68" w:firstLine="479"/>
        <w:jc w:val="both"/>
        <w:rPr>
          <w:rFonts w:ascii="宋体" w:hAnsi="宋体" w:eastAsia="宋体" w:cs="宋体"/>
          <w:sz w:val="24"/>
          <w:szCs w:val="24"/>
        </w:rPr>
      </w:pPr>
      <w:r>
        <w:rPr>
          <w:rFonts w:ascii="宋体" w:hAnsi="宋体" w:eastAsia="宋体" w:cs="宋体"/>
          <w:spacing w:val="-6"/>
          <w:sz w:val="24"/>
          <w:szCs w:val="24"/>
        </w:rPr>
        <w:t>项目区及周边土壤环境土壤未出现酸化和盐碱化；</w:t>
      </w:r>
      <w:r>
        <w:rPr>
          <w:rFonts w:ascii="宋体" w:hAnsi="宋体" w:eastAsia="宋体" w:cs="宋体"/>
          <w:spacing w:val="-28"/>
          <w:sz w:val="24"/>
          <w:szCs w:val="24"/>
        </w:rPr>
        <w:t xml:space="preserve"> </w:t>
      </w:r>
      <w:r>
        <w:rPr>
          <w:rFonts w:ascii="宋体" w:hAnsi="宋体" w:eastAsia="宋体" w:cs="宋体"/>
          <w:spacing w:val="-6"/>
          <w:sz w:val="24"/>
          <w:szCs w:val="24"/>
        </w:rPr>
        <w:t>库区范围和项目占地</w:t>
      </w:r>
      <w:r>
        <w:rPr>
          <w:rFonts w:ascii="宋体" w:hAnsi="宋体" w:eastAsia="宋体" w:cs="宋体"/>
          <w:spacing w:val="-7"/>
          <w:sz w:val="24"/>
          <w:szCs w:val="24"/>
        </w:rPr>
        <w:t>范围</w:t>
      </w:r>
      <w:r>
        <w:rPr>
          <w:rFonts w:ascii="宋体" w:hAnsi="宋体" w:eastAsia="宋体" w:cs="宋体"/>
          <w:sz w:val="24"/>
          <w:szCs w:val="24"/>
        </w:rPr>
        <w:t xml:space="preserve"> 外的林地和旱地各项监测因子的监测值均低于《土壤环境质量 农用地土壤污染</w:t>
      </w:r>
    </w:p>
    <w:p>
      <w:pPr>
        <w:spacing w:line="219" w:lineRule="auto"/>
        <w:ind w:left="40"/>
        <w:rPr>
          <w:rFonts w:ascii="宋体" w:hAnsi="宋体" w:eastAsia="宋体" w:cs="宋体"/>
          <w:sz w:val="24"/>
          <w:szCs w:val="24"/>
        </w:rPr>
      </w:pPr>
      <w:r>
        <w:rPr>
          <w:rFonts w:ascii="宋体" w:hAnsi="宋体" w:eastAsia="宋体" w:cs="宋体"/>
          <w:spacing w:val="-8"/>
          <w:sz w:val="24"/>
          <w:szCs w:val="24"/>
        </w:rPr>
        <w:t>风险管控标准（试行）》（</w:t>
      </w:r>
      <w:r>
        <w:rPr>
          <w:rFonts w:ascii="Times New Roman" w:hAnsi="Times New Roman" w:eastAsia="Times New Roman" w:cs="Times New Roman"/>
          <w:spacing w:val="-8"/>
          <w:sz w:val="24"/>
          <w:szCs w:val="24"/>
        </w:rPr>
        <w:t>GB15618-</w:t>
      </w:r>
      <w:r>
        <w:rPr>
          <w:rFonts w:ascii="Times New Roman" w:hAnsi="Times New Roman" w:eastAsia="Times New Roman" w:cs="Times New Roman"/>
          <w:spacing w:val="-9"/>
          <w:sz w:val="24"/>
          <w:szCs w:val="24"/>
        </w:rPr>
        <w:t>2018</w:t>
      </w:r>
      <w:r>
        <w:rPr>
          <w:rFonts w:ascii="宋体" w:hAnsi="宋体" w:eastAsia="宋体" w:cs="宋体"/>
          <w:spacing w:val="-9"/>
          <w:sz w:val="24"/>
          <w:szCs w:val="24"/>
        </w:rPr>
        <w:t xml:space="preserve">）中表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土壤污染风险筛选值。</w:t>
      </w:r>
    </w:p>
    <w:p>
      <w:pPr>
        <w:spacing w:line="294" w:lineRule="auto"/>
        <w:rPr>
          <w:rFonts w:ascii="Arial"/>
          <w:sz w:val="21"/>
        </w:rPr>
      </w:pPr>
    </w:p>
    <w:p>
      <w:pPr>
        <w:pStyle w:val="2"/>
        <w:spacing w:before="78" w:line="233" w:lineRule="auto"/>
        <w:ind w:left="33"/>
        <w:outlineLvl w:val="2"/>
        <w:rPr>
          <w:sz w:val="24"/>
          <w:szCs w:val="24"/>
        </w:rPr>
      </w:pPr>
      <w:r>
        <w:rPr>
          <w:rFonts w:ascii="Times New Roman" w:hAnsi="Times New Roman" w:eastAsia="Times New Roman" w:cs="Times New Roman"/>
          <w:b/>
          <w:bCs/>
          <w:sz w:val="24"/>
          <w:szCs w:val="24"/>
        </w:rPr>
        <w:t xml:space="preserve">3.2.6 </w:t>
      </w:r>
      <w:r>
        <w:rPr>
          <w:sz w:val="24"/>
          <w:szCs w:val="24"/>
          <w14:textOutline w14:w="4354" w14:cap="flat" w14:cmpd="sng">
            <w14:solidFill>
              <w14:srgbClr w14:val="000000"/>
            </w14:solidFill>
            <w14:prstDash w14:val="solid"/>
            <w14:miter w14:val="0"/>
          </w14:textOutline>
        </w:rPr>
        <w:t>生态环境</w:t>
      </w:r>
    </w:p>
    <w:p>
      <w:pPr>
        <w:spacing w:before="200" w:line="467" w:lineRule="exact"/>
        <w:ind w:left="525"/>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1</w:t>
      </w:r>
      <w:r>
        <w:rPr>
          <w:rFonts w:ascii="宋体" w:hAnsi="宋体" w:eastAsia="宋体" w:cs="宋体"/>
          <w:spacing w:val="-2"/>
          <w:position w:val="17"/>
          <w:sz w:val="24"/>
          <w:szCs w:val="24"/>
        </w:rPr>
        <w:t>）生态现状调查方法</w:t>
      </w:r>
    </w:p>
    <w:p>
      <w:pPr>
        <w:spacing w:line="217" w:lineRule="auto"/>
        <w:ind w:left="518"/>
        <w:rPr>
          <w:rFonts w:ascii="宋体" w:hAnsi="宋体" w:eastAsia="宋体" w:cs="宋体"/>
          <w:sz w:val="24"/>
          <w:szCs w:val="24"/>
        </w:rPr>
      </w:pPr>
      <w:r>
        <w:rPr>
          <w:rFonts w:ascii="宋体" w:hAnsi="宋体" w:eastAsia="宋体" w:cs="宋体"/>
          <w:spacing w:val="-1"/>
          <w:sz w:val="24"/>
          <w:szCs w:val="24"/>
        </w:rPr>
        <w:t>①生态调查范围和时间</w:t>
      </w:r>
    </w:p>
    <w:p>
      <w:pPr>
        <w:spacing w:before="184" w:line="467" w:lineRule="exact"/>
        <w:ind w:right="67"/>
        <w:jc w:val="right"/>
        <w:rPr>
          <w:rFonts w:ascii="宋体" w:hAnsi="宋体" w:eastAsia="宋体" w:cs="宋体"/>
          <w:sz w:val="24"/>
          <w:szCs w:val="24"/>
        </w:rPr>
      </w:pPr>
      <w:r>
        <w:rPr>
          <w:rFonts w:ascii="宋体" w:hAnsi="宋体" w:eastAsia="宋体" w:cs="宋体"/>
          <w:spacing w:val="4"/>
          <w:position w:val="17"/>
          <w:sz w:val="24"/>
          <w:szCs w:val="24"/>
        </w:rPr>
        <w:t>本次生态现状调查采用样线和样方调查法详细调查和文献资料法相结合的</w:t>
      </w:r>
    </w:p>
    <w:p>
      <w:pPr>
        <w:spacing w:before="1" w:line="220" w:lineRule="auto"/>
        <w:ind w:left="40"/>
        <w:rPr>
          <w:rFonts w:ascii="宋体" w:hAnsi="宋体" w:eastAsia="宋体" w:cs="宋体"/>
          <w:sz w:val="24"/>
          <w:szCs w:val="24"/>
        </w:rPr>
      </w:pPr>
      <w:r>
        <w:rPr>
          <w:rFonts w:ascii="宋体" w:hAnsi="宋体" w:eastAsia="宋体" w:cs="宋体"/>
          <w:spacing w:val="-1"/>
          <w:sz w:val="24"/>
          <w:szCs w:val="24"/>
        </w:rPr>
        <w:t>方式进行，详细调查总面积约</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820.5hm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1"/>
          <w:sz w:val="24"/>
          <w:szCs w:val="24"/>
        </w:rPr>
        <w:t>，淹没区重点调查面积</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50.6hm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w:t>
      </w:r>
    </w:p>
    <w:p>
      <w:pPr>
        <w:spacing w:before="179" w:line="236"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调查时间</w:t>
      </w:r>
    </w:p>
    <w:p>
      <w:pPr>
        <w:spacing w:before="163" w:line="359" w:lineRule="auto"/>
        <w:ind w:left="39" w:right="68" w:firstLine="475"/>
        <w:rPr>
          <w:rFonts w:ascii="宋体" w:hAnsi="宋体" w:eastAsia="宋体" w:cs="宋体"/>
          <w:sz w:val="24"/>
          <w:szCs w:val="24"/>
        </w:rPr>
      </w:pPr>
      <w:r>
        <w:rPr>
          <w:rFonts w:ascii="Times New Roman" w:hAnsi="Times New Roman" w:eastAsia="Times New Roman" w:cs="Times New Roman"/>
          <w:spacing w:val="-3"/>
          <w:sz w:val="24"/>
          <w:szCs w:val="24"/>
        </w:rPr>
        <w:t>2022</w:t>
      </w:r>
      <w:r>
        <w:rPr>
          <w:rFonts w:ascii="Times New Roman" w:hAnsi="Times New Roman" w:eastAsia="Times New Roman" w:cs="Times New Roman"/>
          <w:spacing w:val="25"/>
          <w:w w:val="101"/>
          <w:sz w:val="24"/>
          <w:szCs w:val="24"/>
        </w:rPr>
        <w:t xml:space="preserve"> </w:t>
      </w:r>
      <w:r>
        <w:rPr>
          <w:rFonts w:ascii="宋体" w:hAnsi="宋体" w:eastAsia="宋体" w:cs="宋体"/>
          <w:spacing w:val="-3"/>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 xml:space="preserve">月 </w:t>
      </w:r>
      <w:r>
        <w:rPr>
          <w:rFonts w:ascii="Times New Roman" w:hAnsi="Times New Roman" w:eastAsia="Times New Roman" w:cs="Times New Roman"/>
          <w:spacing w:val="-3"/>
          <w:sz w:val="24"/>
          <w:szCs w:val="24"/>
        </w:rPr>
        <w:t xml:space="preserve">1~3  </w:t>
      </w:r>
      <w:r>
        <w:rPr>
          <w:rFonts w:ascii="宋体" w:hAnsi="宋体" w:eastAsia="宋体" w:cs="宋体"/>
          <w:spacing w:val="-3"/>
          <w:sz w:val="24"/>
          <w:szCs w:val="24"/>
        </w:rPr>
        <w:t>日进行了第一次现状调查，重点针</w:t>
      </w:r>
      <w:r>
        <w:rPr>
          <w:rFonts w:ascii="宋体" w:hAnsi="宋体" w:eastAsia="宋体" w:cs="宋体"/>
          <w:spacing w:val="-4"/>
          <w:sz w:val="24"/>
          <w:szCs w:val="24"/>
        </w:rPr>
        <w:t>对水库淹没区及水生生</w:t>
      </w:r>
      <w:r>
        <w:rPr>
          <w:rFonts w:ascii="宋体" w:hAnsi="宋体" w:eastAsia="宋体" w:cs="宋体"/>
          <w:sz w:val="24"/>
          <w:szCs w:val="24"/>
        </w:rPr>
        <w:t xml:space="preserve"> </w:t>
      </w:r>
      <w:r>
        <w:rPr>
          <w:rFonts w:ascii="宋体" w:hAnsi="宋体" w:eastAsia="宋体" w:cs="宋体"/>
          <w:spacing w:val="-15"/>
          <w:sz w:val="24"/>
          <w:szCs w:val="24"/>
        </w:rPr>
        <w:t>态；</w:t>
      </w:r>
      <w:r>
        <w:rPr>
          <w:rFonts w:ascii="宋体" w:hAnsi="宋体" w:eastAsia="宋体" w:cs="宋体"/>
          <w:spacing w:val="-67"/>
          <w:sz w:val="24"/>
          <w:szCs w:val="24"/>
        </w:rPr>
        <w:t xml:space="preserve"> </w:t>
      </w:r>
      <w:r>
        <w:rPr>
          <w:rFonts w:ascii="Times New Roman" w:hAnsi="Times New Roman" w:eastAsia="Times New Roman" w:cs="Times New Roman"/>
          <w:spacing w:val="-15"/>
          <w:sz w:val="24"/>
          <w:szCs w:val="24"/>
        </w:rPr>
        <w:t>2022</w:t>
      </w:r>
      <w:r>
        <w:rPr>
          <w:rFonts w:ascii="Times New Roman" w:hAnsi="Times New Roman" w:eastAsia="Times New Roman" w:cs="Times New Roman"/>
          <w:spacing w:val="10"/>
          <w:sz w:val="24"/>
          <w:szCs w:val="24"/>
        </w:rPr>
        <w:t xml:space="preserve"> </w:t>
      </w:r>
      <w:r>
        <w:rPr>
          <w:rFonts w:ascii="宋体" w:hAnsi="宋体" w:eastAsia="宋体" w:cs="宋体"/>
          <w:spacing w:val="-15"/>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15"/>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15"/>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5"/>
          <w:sz w:val="24"/>
          <w:szCs w:val="24"/>
        </w:rPr>
        <w:t>2~5</w:t>
      </w:r>
      <w:r>
        <w:rPr>
          <w:rFonts w:ascii="Times New Roman" w:hAnsi="Times New Roman" w:eastAsia="Times New Roman" w:cs="Times New Roman"/>
          <w:spacing w:val="50"/>
          <w:w w:val="101"/>
          <w:sz w:val="24"/>
          <w:szCs w:val="24"/>
        </w:rPr>
        <w:t xml:space="preserve"> </w:t>
      </w:r>
      <w:r>
        <w:rPr>
          <w:rFonts w:ascii="宋体" w:hAnsi="宋体" w:eastAsia="宋体" w:cs="宋体"/>
          <w:spacing w:val="-15"/>
          <w:sz w:val="24"/>
          <w:szCs w:val="24"/>
        </w:rPr>
        <w:t>日进行了第二次调查，</w:t>
      </w:r>
      <w:r>
        <w:rPr>
          <w:rFonts w:ascii="宋体" w:hAnsi="宋体" w:eastAsia="宋体" w:cs="宋体"/>
          <w:spacing w:val="28"/>
          <w:sz w:val="24"/>
          <w:szCs w:val="24"/>
        </w:rPr>
        <w:t xml:space="preserve"> </w:t>
      </w:r>
      <w:r>
        <w:rPr>
          <w:rFonts w:ascii="宋体" w:hAnsi="宋体" w:eastAsia="宋体" w:cs="宋体"/>
          <w:spacing w:val="-15"/>
          <w:sz w:val="24"/>
          <w:szCs w:val="24"/>
        </w:rPr>
        <w:t>主要调查植被和动物；</w:t>
      </w:r>
      <w:r>
        <w:rPr>
          <w:rFonts w:ascii="宋体" w:hAnsi="宋体" w:eastAsia="宋体" w:cs="宋体"/>
          <w:spacing w:val="26"/>
          <w:sz w:val="24"/>
          <w:szCs w:val="24"/>
        </w:rPr>
        <w:t xml:space="preserve"> </w:t>
      </w:r>
      <w:r>
        <w:rPr>
          <w:rFonts w:ascii="Times New Roman" w:hAnsi="Times New Roman" w:eastAsia="Times New Roman" w:cs="Times New Roman"/>
          <w:spacing w:val="-15"/>
          <w:sz w:val="24"/>
          <w:szCs w:val="24"/>
        </w:rPr>
        <w:t>202</w:t>
      </w:r>
      <w:r>
        <w:rPr>
          <w:rFonts w:ascii="Times New Roman" w:hAnsi="Times New Roman" w:eastAsia="Times New Roman" w:cs="Times New Roman"/>
          <w:spacing w:val="-16"/>
          <w:sz w:val="24"/>
          <w:szCs w:val="24"/>
        </w:rPr>
        <w:t>2</w:t>
      </w:r>
      <w:r>
        <w:rPr>
          <w:rFonts w:ascii="Times New Roman" w:hAnsi="Times New Roman" w:eastAsia="Times New Roman" w:cs="Times New Roman"/>
          <w:spacing w:val="10"/>
          <w:sz w:val="24"/>
          <w:szCs w:val="24"/>
        </w:rPr>
        <w:t xml:space="preserve"> </w:t>
      </w:r>
      <w:r>
        <w:rPr>
          <w:rFonts w:ascii="宋体" w:hAnsi="宋体" w:eastAsia="宋体" w:cs="宋体"/>
          <w:spacing w:val="-16"/>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spacing w:val="-16"/>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16"/>
          <w:sz w:val="24"/>
          <w:szCs w:val="24"/>
        </w:rPr>
        <w:t>月</w:t>
      </w:r>
      <w:r>
        <w:rPr>
          <w:rFonts w:ascii="宋体" w:hAnsi="宋体" w:eastAsia="宋体" w:cs="宋体"/>
          <w:sz w:val="24"/>
          <w:szCs w:val="24"/>
        </w:rPr>
        <w:t xml:space="preserve"> </w:t>
      </w:r>
      <w:r>
        <w:rPr>
          <w:rFonts w:ascii="Times New Roman" w:hAnsi="Times New Roman" w:eastAsia="Times New Roman" w:cs="Times New Roman"/>
          <w:spacing w:val="-7"/>
          <w:sz w:val="24"/>
          <w:szCs w:val="24"/>
        </w:rPr>
        <w:t>11~13</w:t>
      </w:r>
      <w:r>
        <w:rPr>
          <w:rFonts w:ascii="Times New Roman" w:hAnsi="Times New Roman" w:eastAsia="Times New Roman" w:cs="Times New Roman"/>
          <w:spacing w:val="51"/>
          <w:sz w:val="24"/>
          <w:szCs w:val="24"/>
        </w:rPr>
        <w:t xml:space="preserve"> </w:t>
      </w:r>
      <w:r>
        <w:rPr>
          <w:rFonts w:ascii="宋体" w:hAnsi="宋体" w:eastAsia="宋体" w:cs="宋体"/>
          <w:spacing w:val="-7"/>
          <w:sz w:val="24"/>
          <w:szCs w:val="24"/>
        </w:rPr>
        <w:t>日进行了第三次补充调查，</w:t>
      </w:r>
      <w:r>
        <w:rPr>
          <w:rFonts w:ascii="宋体" w:hAnsi="宋体" w:eastAsia="宋体" w:cs="宋体"/>
          <w:spacing w:val="43"/>
          <w:sz w:val="24"/>
          <w:szCs w:val="24"/>
        </w:rPr>
        <w:t xml:space="preserve"> </w:t>
      </w:r>
      <w:r>
        <w:rPr>
          <w:rFonts w:ascii="宋体" w:hAnsi="宋体" w:eastAsia="宋体" w:cs="宋体"/>
          <w:spacing w:val="-7"/>
          <w:sz w:val="24"/>
          <w:szCs w:val="24"/>
        </w:rPr>
        <w:t>重点针对保护区、水</w:t>
      </w:r>
      <w:r>
        <w:rPr>
          <w:rFonts w:ascii="宋体" w:hAnsi="宋体" w:eastAsia="宋体" w:cs="宋体"/>
          <w:spacing w:val="-8"/>
          <w:sz w:val="24"/>
          <w:szCs w:val="24"/>
        </w:rPr>
        <w:t>库枢纽和淹没区及输水管</w:t>
      </w:r>
      <w:r>
        <w:rPr>
          <w:rFonts w:ascii="宋体" w:hAnsi="宋体" w:eastAsia="宋体" w:cs="宋体"/>
          <w:sz w:val="24"/>
          <w:szCs w:val="24"/>
        </w:rPr>
        <w:t xml:space="preserve"> </w:t>
      </w:r>
      <w:r>
        <w:rPr>
          <w:rFonts w:ascii="宋体" w:hAnsi="宋体" w:eastAsia="宋体" w:cs="宋体"/>
          <w:spacing w:val="-7"/>
          <w:sz w:val="24"/>
          <w:szCs w:val="24"/>
        </w:rPr>
        <w:t>线沿线等区域；</w:t>
      </w:r>
      <w:r>
        <w:rPr>
          <w:rFonts w:ascii="宋体" w:hAnsi="宋体" w:eastAsia="宋体" w:cs="宋体"/>
          <w:spacing w:val="62"/>
          <w:sz w:val="24"/>
          <w:szCs w:val="24"/>
        </w:rPr>
        <w:t xml:space="preserve"> </w:t>
      </w:r>
      <w:r>
        <w:rPr>
          <w:rFonts w:ascii="Times New Roman" w:hAnsi="Times New Roman" w:eastAsia="Times New Roman" w:cs="Times New Roman"/>
          <w:spacing w:val="-7"/>
          <w:sz w:val="24"/>
          <w:szCs w:val="24"/>
        </w:rPr>
        <w:t>2023</w:t>
      </w:r>
      <w:r>
        <w:rPr>
          <w:rFonts w:ascii="Times New Roman" w:hAnsi="Times New Roman" w:eastAsia="Times New Roman" w:cs="Times New Roman"/>
          <w:spacing w:val="26"/>
          <w:w w:val="101"/>
          <w:sz w:val="24"/>
          <w:szCs w:val="24"/>
        </w:rPr>
        <w:t xml:space="preserve"> </w:t>
      </w:r>
      <w:r>
        <w:rPr>
          <w:rFonts w:ascii="宋体" w:hAnsi="宋体" w:eastAsia="宋体" w:cs="宋体"/>
          <w:spacing w:val="-7"/>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7"/>
          <w:sz w:val="24"/>
          <w:szCs w:val="24"/>
        </w:rPr>
        <w:t>2</w:t>
      </w:r>
      <w:r>
        <w:rPr>
          <w:rFonts w:ascii="Times New Roman" w:hAnsi="Times New Roman" w:eastAsia="Times New Roman" w:cs="Times New Roman"/>
          <w:spacing w:val="31"/>
          <w:sz w:val="24"/>
          <w:szCs w:val="24"/>
        </w:rPr>
        <w:t xml:space="preserve"> </w:t>
      </w:r>
      <w:r>
        <w:rPr>
          <w:rFonts w:ascii="宋体" w:hAnsi="宋体" w:eastAsia="宋体" w:cs="宋体"/>
          <w:spacing w:val="-7"/>
          <w:sz w:val="24"/>
          <w:szCs w:val="24"/>
        </w:rPr>
        <w:t>月</w:t>
      </w:r>
      <w:r>
        <w:rPr>
          <w:rFonts w:ascii="宋体" w:hAnsi="宋体" w:eastAsia="宋体" w:cs="宋体"/>
          <w:spacing w:val="-41"/>
          <w:sz w:val="24"/>
          <w:szCs w:val="24"/>
        </w:rPr>
        <w:t xml:space="preserve"> </w:t>
      </w:r>
      <w:r>
        <w:rPr>
          <w:rFonts w:ascii="Times New Roman" w:hAnsi="Times New Roman" w:eastAsia="Times New Roman" w:cs="Times New Roman"/>
          <w:spacing w:val="-7"/>
          <w:sz w:val="24"/>
          <w:szCs w:val="24"/>
        </w:rPr>
        <w:t xml:space="preserve">4~6  </w:t>
      </w:r>
      <w:r>
        <w:rPr>
          <w:rFonts w:ascii="宋体" w:hAnsi="宋体" w:eastAsia="宋体" w:cs="宋体"/>
          <w:spacing w:val="-7"/>
          <w:sz w:val="24"/>
          <w:szCs w:val="24"/>
        </w:rPr>
        <w:t>日进行了第四次补充调查，主要调查越冬季动</w:t>
      </w:r>
    </w:p>
    <w:p>
      <w:pPr>
        <w:spacing w:before="1" w:line="220" w:lineRule="auto"/>
        <w:ind w:left="39"/>
        <w:rPr>
          <w:rFonts w:ascii="宋体" w:hAnsi="宋体" w:eastAsia="宋体" w:cs="宋体"/>
          <w:sz w:val="24"/>
          <w:szCs w:val="24"/>
        </w:rPr>
      </w:pPr>
      <w:r>
        <w:rPr>
          <w:rFonts w:ascii="宋体" w:hAnsi="宋体" w:eastAsia="宋体" w:cs="宋体"/>
          <w:spacing w:val="-5"/>
          <w:sz w:val="24"/>
          <w:szCs w:val="24"/>
        </w:rPr>
        <w:t>物。</w:t>
      </w:r>
    </w:p>
    <w:p>
      <w:pPr>
        <w:spacing w:before="179" w:line="232"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评价范围</w:t>
      </w:r>
    </w:p>
    <w:p>
      <w:pPr>
        <w:spacing w:before="166" w:line="359" w:lineRule="auto"/>
        <w:ind w:left="40" w:right="77" w:firstLine="479"/>
        <w:rPr>
          <w:rFonts w:ascii="宋体" w:hAnsi="宋体" w:eastAsia="宋体" w:cs="宋体"/>
          <w:sz w:val="24"/>
          <w:szCs w:val="24"/>
        </w:rPr>
      </w:pPr>
      <w:r>
        <w:rPr>
          <w:rFonts w:ascii="宋体" w:hAnsi="宋体" w:eastAsia="宋体" w:cs="宋体"/>
          <w:spacing w:val="-13"/>
          <w:sz w:val="24"/>
          <w:szCs w:val="24"/>
        </w:rPr>
        <w:t>根据《环境影响评价技术导则 生态影响》（</w:t>
      </w:r>
      <w:r>
        <w:rPr>
          <w:rFonts w:ascii="Times New Roman" w:hAnsi="Times New Roman" w:eastAsia="Times New Roman" w:cs="Times New Roman"/>
          <w:spacing w:val="-13"/>
          <w:sz w:val="24"/>
          <w:szCs w:val="24"/>
        </w:rPr>
        <w:t>HJ19</w:t>
      </w:r>
      <w:r>
        <w:rPr>
          <w:rFonts w:ascii="宋体" w:hAnsi="宋体" w:eastAsia="宋体" w:cs="宋体"/>
          <w:spacing w:val="-13"/>
          <w:sz w:val="24"/>
          <w:szCs w:val="24"/>
        </w:rPr>
        <w:t>－</w:t>
      </w:r>
      <w:r>
        <w:rPr>
          <w:rFonts w:ascii="Times New Roman" w:hAnsi="Times New Roman" w:eastAsia="Times New Roman" w:cs="Times New Roman"/>
          <w:spacing w:val="-13"/>
          <w:sz w:val="24"/>
          <w:szCs w:val="24"/>
        </w:rPr>
        <w:t>2022</w:t>
      </w:r>
      <w:r>
        <w:rPr>
          <w:rFonts w:ascii="宋体" w:hAnsi="宋体" w:eastAsia="宋体" w:cs="宋体"/>
          <w:spacing w:val="-13"/>
          <w:sz w:val="24"/>
          <w:szCs w:val="24"/>
        </w:rPr>
        <w:t>）、《《云南省环境影</w:t>
      </w:r>
      <w:r>
        <w:rPr>
          <w:rFonts w:ascii="宋体" w:hAnsi="宋体" w:eastAsia="宋体" w:cs="宋体"/>
          <w:spacing w:val="6"/>
          <w:sz w:val="24"/>
          <w:szCs w:val="24"/>
        </w:rPr>
        <w:t xml:space="preserve"> </w:t>
      </w:r>
      <w:r>
        <w:rPr>
          <w:rFonts w:ascii="宋体" w:hAnsi="宋体" w:eastAsia="宋体" w:cs="宋体"/>
          <w:spacing w:val="-7"/>
          <w:sz w:val="24"/>
          <w:szCs w:val="24"/>
        </w:rPr>
        <w:t>响评价维管植物及植被现状调查技术要求（试行）》（</w:t>
      </w:r>
      <w:r>
        <w:rPr>
          <w:rFonts w:ascii="Times New Roman" w:hAnsi="Times New Roman" w:eastAsia="Times New Roman" w:cs="Times New Roman"/>
          <w:spacing w:val="-7"/>
          <w:sz w:val="24"/>
          <w:szCs w:val="24"/>
        </w:rPr>
        <w:t>2022</w:t>
      </w:r>
      <w:r>
        <w:rPr>
          <w:rFonts w:ascii="宋体" w:hAnsi="宋体" w:eastAsia="宋体" w:cs="宋体"/>
          <w:spacing w:val="-51"/>
          <w:sz w:val="24"/>
          <w:szCs w:val="24"/>
        </w:rPr>
        <w:t>），</w:t>
      </w:r>
      <w:r>
        <w:rPr>
          <w:rFonts w:ascii="宋体" w:hAnsi="宋体" w:eastAsia="宋体" w:cs="宋体"/>
          <w:spacing w:val="-7"/>
          <w:sz w:val="24"/>
          <w:szCs w:val="24"/>
        </w:rPr>
        <w:t>本项目不涉及自然</w:t>
      </w:r>
      <w:r>
        <w:rPr>
          <w:rFonts w:ascii="宋体" w:hAnsi="宋体" w:eastAsia="宋体" w:cs="宋体"/>
          <w:sz w:val="24"/>
          <w:szCs w:val="24"/>
        </w:rPr>
        <w:t xml:space="preserve"> </w:t>
      </w:r>
      <w:r>
        <w:rPr>
          <w:rFonts w:ascii="宋体" w:hAnsi="宋体" w:eastAsia="宋体" w:cs="宋体"/>
          <w:spacing w:val="-8"/>
          <w:sz w:val="24"/>
          <w:szCs w:val="24"/>
        </w:rPr>
        <w:t>保护区、风景名胜区等生态敏感区，</w:t>
      </w:r>
      <w:r>
        <w:rPr>
          <w:rFonts w:ascii="宋体" w:hAnsi="宋体" w:eastAsia="宋体" w:cs="宋体"/>
          <w:spacing w:val="47"/>
          <w:sz w:val="24"/>
          <w:szCs w:val="24"/>
        </w:rPr>
        <w:t xml:space="preserve"> </w:t>
      </w:r>
      <w:r>
        <w:rPr>
          <w:rFonts w:ascii="宋体" w:hAnsi="宋体" w:eastAsia="宋体" w:cs="宋体"/>
          <w:spacing w:val="-8"/>
          <w:sz w:val="24"/>
          <w:szCs w:val="24"/>
        </w:rPr>
        <w:t>按照淹没区、枢纽区、引水区、引洪区、输</w:t>
      </w:r>
    </w:p>
    <w:p>
      <w:pPr>
        <w:spacing w:line="218" w:lineRule="auto"/>
        <w:jc w:val="right"/>
        <w:rPr>
          <w:rFonts w:ascii="宋体" w:hAnsi="宋体" w:eastAsia="宋体" w:cs="宋体"/>
          <w:sz w:val="24"/>
          <w:szCs w:val="24"/>
        </w:rPr>
      </w:pPr>
      <w:r>
        <w:rPr>
          <w:rFonts w:ascii="宋体" w:hAnsi="宋体" w:eastAsia="宋体" w:cs="宋体"/>
          <w:spacing w:val="-3"/>
          <w:sz w:val="24"/>
          <w:szCs w:val="24"/>
        </w:rPr>
        <w:t xml:space="preserve">水管道、施工三场、施工道路等征占地边界外延 </w:t>
      </w:r>
      <w:r>
        <w:rPr>
          <w:rFonts w:ascii="Times New Roman" w:hAnsi="Times New Roman" w:eastAsia="Times New Roman" w:cs="Times New Roman"/>
          <w:spacing w:val="-3"/>
          <w:sz w:val="24"/>
          <w:szCs w:val="24"/>
        </w:rPr>
        <w:t>300m</w:t>
      </w:r>
      <w:r>
        <w:rPr>
          <w:rFonts w:ascii="Times New Roman" w:hAnsi="Times New Roman" w:eastAsia="Times New Roman" w:cs="Times New Roman"/>
          <w:spacing w:val="66"/>
          <w:sz w:val="24"/>
          <w:szCs w:val="24"/>
        </w:rPr>
        <w:t xml:space="preserve"> </w:t>
      </w:r>
      <w:r>
        <w:rPr>
          <w:rFonts w:ascii="宋体" w:hAnsi="宋体" w:eastAsia="宋体" w:cs="宋体"/>
          <w:spacing w:val="-3"/>
          <w:sz w:val="24"/>
          <w:szCs w:val="24"/>
        </w:rPr>
        <w:t>作为评价区的评价范围，</w:t>
      </w:r>
    </w:p>
    <w:p>
      <w:pPr>
        <w:spacing w:line="218" w:lineRule="auto"/>
        <w:rPr>
          <w:rFonts w:ascii="宋体" w:hAnsi="宋体" w:eastAsia="宋体" w:cs="宋体"/>
          <w:sz w:val="24"/>
          <w:szCs w:val="24"/>
        </w:rPr>
        <w:sectPr>
          <w:headerReference r:id="rId211" w:type="default"/>
          <w:footerReference r:id="rId212" w:type="default"/>
          <w:pgSz w:w="11907" w:h="16839"/>
          <w:pgMar w:top="1156" w:right="1730" w:bottom="1374" w:left="1770" w:header="881" w:footer="1210" w:gutter="0"/>
        </w:sectPr>
      </w:pPr>
    </w:p>
    <w:p>
      <w:pPr>
        <w:spacing w:before="319" w:line="467" w:lineRule="exact"/>
        <w:ind w:left="135"/>
        <w:rPr>
          <w:rFonts w:ascii="宋体" w:hAnsi="宋体" w:eastAsia="宋体" w:cs="宋体"/>
          <w:sz w:val="24"/>
          <w:szCs w:val="24"/>
        </w:rPr>
      </w:pPr>
      <w:r>
        <w:rPr>
          <w:rFonts w:ascii="宋体" w:hAnsi="宋体" w:eastAsia="宋体" w:cs="宋体"/>
          <w:spacing w:val="-2"/>
          <w:position w:val="17"/>
          <w:sz w:val="24"/>
          <w:szCs w:val="24"/>
        </w:rPr>
        <w:t>该评价区面积为</w:t>
      </w:r>
      <w:r>
        <w:rPr>
          <w:rFonts w:ascii="宋体" w:hAnsi="宋体" w:eastAsia="宋体" w:cs="宋体"/>
          <w:spacing w:val="-37"/>
          <w:position w:val="17"/>
          <w:sz w:val="24"/>
          <w:szCs w:val="24"/>
        </w:rPr>
        <w:t xml:space="preserve"> </w:t>
      </w:r>
      <w:r>
        <w:rPr>
          <w:rFonts w:ascii="Times New Roman" w:hAnsi="Times New Roman" w:eastAsia="Times New Roman" w:cs="Times New Roman"/>
          <w:spacing w:val="-2"/>
          <w:position w:val="17"/>
          <w:sz w:val="24"/>
          <w:szCs w:val="24"/>
        </w:rPr>
        <w:t>820.5hm</w:t>
      </w:r>
      <w:r>
        <w:rPr>
          <w:rFonts w:ascii="Times New Roman" w:hAnsi="Times New Roman" w:eastAsia="Times New Roman" w:cs="Times New Roman"/>
          <w:spacing w:val="-2"/>
          <w:position w:val="25"/>
          <w:sz w:val="15"/>
          <w:szCs w:val="15"/>
        </w:rPr>
        <w:t>2</w:t>
      </w:r>
      <w:r>
        <w:rPr>
          <w:rFonts w:ascii="宋体" w:hAnsi="宋体" w:eastAsia="宋体" w:cs="宋体"/>
          <w:spacing w:val="-2"/>
          <w:position w:val="17"/>
          <w:sz w:val="24"/>
          <w:szCs w:val="24"/>
        </w:rPr>
        <w:t>。</w:t>
      </w:r>
    </w:p>
    <w:p>
      <w:pPr>
        <w:spacing w:before="1" w:line="234" w:lineRule="auto"/>
        <w:ind w:left="610"/>
        <w:rPr>
          <w:rFonts w:ascii="宋体" w:hAnsi="宋体" w:eastAsia="宋体" w:cs="宋体"/>
          <w:sz w:val="24"/>
          <w:szCs w:val="24"/>
        </w:rPr>
      </w:pPr>
      <w:r>
        <w:rPr>
          <w:rFonts w:ascii="Times New Roman" w:hAnsi="Times New Roman" w:eastAsia="Times New Roman" w:cs="Times New Roman"/>
          <w:spacing w:val="-2"/>
          <w:sz w:val="24"/>
          <w:szCs w:val="24"/>
        </w:rPr>
        <w:t>c.</w:t>
      </w:r>
      <w:r>
        <w:rPr>
          <w:rFonts w:ascii="宋体" w:hAnsi="宋体" w:eastAsia="宋体" w:cs="宋体"/>
          <w:spacing w:val="-2"/>
          <w:sz w:val="24"/>
          <w:szCs w:val="24"/>
        </w:rPr>
        <w:t>调查人员</w:t>
      </w:r>
    </w:p>
    <w:p>
      <w:pPr>
        <w:spacing w:before="162" w:line="359" w:lineRule="auto"/>
        <w:ind w:left="132" w:right="109" w:firstLine="482"/>
        <w:rPr>
          <w:rFonts w:ascii="宋体" w:hAnsi="宋体" w:eastAsia="宋体" w:cs="宋体"/>
          <w:sz w:val="24"/>
          <w:szCs w:val="24"/>
        </w:rPr>
      </w:pPr>
      <w:r>
        <w:rPr>
          <w:rFonts w:ascii="宋体" w:hAnsi="宋体" w:eastAsia="宋体" w:cs="宋体"/>
          <w:spacing w:val="-20"/>
          <w:sz w:val="24"/>
          <w:szCs w:val="24"/>
        </w:rPr>
        <w:t>何华杰， 生态学， 高级工程师，</w:t>
      </w:r>
      <w:r>
        <w:rPr>
          <w:rFonts w:ascii="宋体" w:hAnsi="宋体" w:eastAsia="宋体" w:cs="宋体"/>
          <w:spacing w:val="72"/>
          <w:sz w:val="24"/>
          <w:szCs w:val="24"/>
        </w:rPr>
        <w:t xml:space="preserve"> </w:t>
      </w:r>
      <w:r>
        <w:rPr>
          <w:rFonts w:ascii="宋体" w:hAnsi="宋体" w:eastAsia="宋体" w:cs="宋体"/>
          <w:spacing w:val="-20"/>
          <w:sz w:val="24"/>
          <w:szCs w:val="24"/>
        </w:rPr>
        <w:t>中国科学院昆明植物研究所，</w:t>
      </w:r>
      <w:r>
        <w:rPr>
          <w:rFonts w:ascii="宋体" w:hAnsi="宋体" w:eastAsia="宋体" w:cs="宋体"/>
          <w:spacing w:val="39"/>
          <w:sz w:val="24"/>
          <w:szCs w:val="24"/>
        </w:rPr>
        <w:t xml:space="preserve"> </w:t>
      </w:r>
      <w:r>
        <w:rPr>
          <w:rFonts w:ascii="宋体" w:hAnsi="宋体" w:eastAsia="宋体" w:cs="宋体"/>
          <w:spacing w:val="-20"/>
          <w:sz w:val="24"/>
          <w:szCs w:val="24"/>
        </w:rPr>
        <w:t>主要负责植物</w:t>
      </w:r>
      <w:r>
        <w:rPr>
          <w:rFonts w:ascii="宋体" w:hAnsi="宋体" w:eastAsia="宋体" w:cs="宋体"/>
          <w:sz w:val="24"/>
          <w:szCs w:val="24"/>
        </w:rPr>
        <w:t xml:space="preserve"> </w:t>
      </w:r>
      <w:r>
        <w:rPr>
          <w:rFonts w:ascii="宋体" w:hAnsi="宋体" w:eastAsia="宋体" w:cs="宋体"/>
          <w:spacing w:val="-22"/>
          <w:sz w:val="24"/>
          <w:szCs w:val="24"/>
        </w:rPr>
        <w:t>专题及校核；</w:t>
      </w:r>
      <w:r>
        <w:rPr>
          <w:rFonts w:ascii="宋体" w:hAnsi="宋体" w:eastAsia="宋体" w:cs="宋体"/>
          <w:spacing w:val="58"/>
          <w:sz w:val="24"/>
          <w:szCs w:val="24"/>
        </w:rPr>
        <w:t xml:space="preserve"> </w:t>
      </w:r>
      <w:r>
        <w:rPr>
          <w:rFonts w:ascii="宋体" w:hAnsi="宋体" w:eastAsia="宋体" w:cs="宋体"/>
          <w:spacing w:val="-22"/>
          <w:sz w:val="24"/>
          <w:szCs w:val="24"/>
        </w:rPr>
        <w:t>陈智发， 植物学， 工程师，</w:t>
      </w:r>
      <w:r>
        <w:rPr>
          <w:rFonts w:ascii="宋体" w:hAnsi="宋体" w:eastAsia="宋体" w:cs="宋体"/>
          <w:spacing w:val="19"/>
          <w:sz w:val="24"/>
          <w:szCs w:val="24"/>
        </w:rPr>
        <w:t xml:space="preserve"> </w:t>
      </w:r>
      <w:r>
        <w:rPr>
          <w:rFonts w:ascii="宋体" w:hAnsi="宋体" w:eastAsia="宋体" w:cs="宋体"/>
          <w:spacing w:val="-22"/>
          <w:sz w:val="24"/>
          <w:szCs w:val="24"/>
        </w:rPr>
        <w:t>中国科学</w:t>
      </w:r>
      <w:r>
        <w:rPr>
          <w:rFonts w:ascii="宋体" w:hAnsi="宋体" w:eastAsia="宋体" w:cs="宋体"/>
          <w:spacing w:val="-23"/>
          <w:sz w:val="24"/>
          <w:szCs w:val="24"/>
        </w:rPr>
        <w:t>院昆明植物研究所，</w:t>
      </w:r>
      <w:r>
        <w:rPr>
          <w:rFonts w:ascii="宋体" w:hAnsi="宋体" w:eastAsia="宋体" w:cs="宋体"/>
          <w:spacing w:val="43"/>
          <w:sz w:val="24"/>
          <w:szCs w:val="24"/>
        </w:rPr>
        <w:t xml:space="preserve"> </w:t>
      </w:r>
      <w:r>
        <w:rPr>
          <w:rFonts w:ascii="宋体" w:hAnsi="宋体" w:eastAsia="宋体" w:cs="宋体"/>
          <w:spacing w:val="-23"/>
          <w:sz w:val="24"/>
          <w:szCs w:val="24"/>
        </w:rPr>
        <w:t>主要负责</w:t>
      </w:r>
      <w:r>
        <w:rPr>
          <w:rFonts w:ascii="宋体" w:hAnsi="宋体" w:eastAsia="宋体" w:cs="宋体"/>
          <w:sz w:val="24"/>
          <w:szCs w:val="24"/>
        </w:rPr>
        <w:t xml:space="preserve"> </w:t>
      </w:r>
      <w:r>
        <w:rPr>
          <w:rFonts w:ascii="宋体" w:hAnsi="宋体" w:eastAsia="宋体" w:cs="宋体"/>
          <w:spacing w:val="-7"/>
          <w:sz w:val="24"/>
          <w:szCs w:val="24"/>
        </w:rPr>
        <w:t>植物专题及报告撰写；</w:t>
      </w:r>
      <w:r>
        <w:rPr>
          <w:rFonts w:ascii="宋体" w:hAnsi="宋体" w:eastAsia="宋体" w:cs="宋体"/>
          <w:spacing w:val="32"/>
          <w:sz w:val="24"/>
          <w:szCs w:val="24"/>
        </w:rPr>
        <w:t xml:space="preserve"> </w:t>
      </w:r>
      <w:r>
        <w:rPr>
          <w:rFonts w:ascii="宋体" w:hAnsi="宋体" w:eastAsia="宋体" w:cs="宋体"/>
          <w:spacing w:val="-7"/>
          <w:sz w:val="24"/>
          <w:szCs w:val="24"/>
        </w:rPr>
        <w:t>黄俊玲，云南联创环境工程</w:t>
      </w:r>
      <w:r>
        <w:rPr>
          <w:rFonts w:ascii="宋体" w:hAnsi="宋体" w:eastAsia="宋体" w:cs="宋体"/>
          <w:spacing w:val="-8"/>
          <w:sz w:val="24"/>
          <w:szCs w:val="24"/>
        </w:rPr>
        <w:t>有限公司，主要负责土地利用</w:t>
      </w:r>
      <w:r>
        <w:rPr>
          <w:rFonts w:ascii="宋体" w:hAnsi="宋体" w:eastAsia="宋体" w:cs="宋体"/>
          <w:sz w:val="24"/>
          <w:szCs w:val="24"/>
        </w:rPr>
        <w:t xml:space="preserve"> </w:t>
      </w:r>
      <w:r>
        <w:rPr>
          <w:rFonts w:ascii="宋体" w:hAnsi="宋体" w:eastAsia="宋体" w:cs="宋体"/>
          <w:spacing w:val="-22"/>
          <w:sz w:val="24"/>
          <w:szCs w:val="24"/>
        </w:rPr>
        <w:t>现状调查； 谭治刚， 植物学， 野外调查员，  中国科学院昆明植物研究所，</w:t>
      </w:r>
      <w:r>
        <w:rPr>
          <w:rFonts w:ascii="宋体" w:hAnsi="宋体" w:eastAsia="宋体" w:cs="宋体"/>
          <w:spacing w:val="53"/>
          <w:sz w:val="24"/>
          <w:szCs w:val="24"/>
        </w:rPr>
        <w:t xml:space="preserve"> </w:t>
      </w:r>
      <w:r>
        <w:rPr>
          <w:rFonts w:ascii="宋体" w:hAnsi="宋体" w:eastAsia="宋体" w:cs="宋体"/>
          <w:spacing w:val="-22"/>
          <w:sz w:val="24"/>
          <w:szCs w:val="24"/>
        </w:rPr>
        <w:t>主要负</w:t>
      </w:r>
    </w:p>
    <w:p>
      <w:pPr>
        <w:spacing w:line="219" w:lineRule="auto"/>
        <w:ind w:left="140"/>
        <w:rPr>
          <w:rFonts w:ascii="宋体" w:hAnsi="宋体" w:eastAsia="宋体" w:cs="宋体"/>
          <w:sz w:val="24"/>
          <w:szCs w:val="24"/>
        </w:rPr>
      </w:pPr>
      <w:r>
        <w:rPr>
          <w:rFonts w:ascii="宋体" w:hAnsi="宋体" w:eastAsia="宋体" w:cs="宋体"/>
          <w:spacing w:val="-5"/>
          <w:sz w:val="24"/>
          <w:szCs w:val="24"/>
        </w:rPr>
        <w:t>责野外调查及数据收集。</w:t>
      </w:r>
    </w:p>
    <w:p>
      <w:pPr>
        <w:spacing w:before="181" w:line="468" w:lineRule="exact"/>
        <w:ind w:left="610"/>
        <w:rPr>
          <w:rFonts w:ascii="宋体" w:hAnsi="宋体" w:eastAsia="宋体" w:cs="宋体"/>
          <w:sz w:val="24"/>
          <w:szCs w:val="24"/>
        </w:rPr>
      </w:pPr>
      <w:r>
        <w:rPr>
          <w:rFonts w:ascii="宋体" w:hAnsi="宋体" w:eastAsia="宋体" w:cs="宋体"/>
          <w:spacing w:val="-3"/>
          <w:position w:val="17"/>
          <w:sz w:val="24"/>
          <w:szCs w:val="24"/>
        </w:rPr>
        <w:t>采用样线和样方调查法详细调查和文献资料法相结合的方式，详细</w:t>
      </w:r>
      <w:r>
        <w:rPr>
          <w:rFonts w:ascii="宋体" w:hAnsi="宋体" w:eastAsia="宋体" w:cs="宋体"/>
          <w:spacing w:val="-4"/>
          <w:position w:val="17"/>
          <w:sz w:val="24"/>
          <w:szCs w:val="24"/>
        </w:rPr>
        <w:t>调查总面</w:t>
      </w:r>
    </w:p>
    <w:p>
      <w:pPr>
        <w:spacing w:line="220" w:lineRule="auto"/>
        <w:ind w:left="131"/>
        <w:rPr>
          <w:rFonts w:ascii="宋体" w:hAnsi="宋体" w:eastAsia="宋体" w:cs="宋体"/>
          <w:sz w:val="24"/>
          <w:szCs w:val="24"/>
        </w:rPr>
      </w:pPr>
      <w:r>
        <w:rPr>
          <w:rFonts w:ascii="宋体" w:hAnsi="宋体" w:eastAsia="宋体" w:cs="宋体"/>
          <w:spacing w:val="-2"/>
          <w:sz w:val="24"/>
          <w:szCs w:val="24"/>
        </w:rPr>
        <w:t>积约</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820.5hm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2"/>
          <w:sz w:val="24"/>
          <w:szCs w:val="24"/>
        </w:rPr>
        <w:t>，淹没区重点调查面积</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250.6hm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w:t>
      </w:r>
    </w:p>
    <w:p>
      <w:pPr>
        <w:spacing w:before="181" w:line="217" w:lineRule="auto"/>
        <w:ind w:left="609"/>
        <w:rPr>
          <w:rFonts w:ascii="宋体" w:hAnsi="宋体" w:eastAsia="宋体" w:cs="宋体"/>
          <w:sz w:val="24"/>
          <w:szCs w:val="24"/>
        </w:rPr>
      </w:pPr>
      <w:r>
        <w:rPr>
          <w:rFonts w:ascii="宋体" w:hAnsi="宋体" w:eastAsia="宋体" w:cs="宋体"/>
          <w:spacing w:val="-1"/>
          <w:sz w:val="24"/>
          <w:szCs w:val="24"/>
        </w:rPr>
        <w:t>②感数据源的选择与解译</w:t>
      </w:r>
    </w:p>
    <w:p>
      <w:pPr>
        <w:spacing w:before="184" w:line="359" w:lineRule="auto"/>
        <w:ind w:left="129" w:right="45" w:firstLine="480"/>
        <w:rPr>
          <w:rFonts w:ascii="宋体" w:hAnsi="宋体" w:eastAsia="宋体" w:cs="宋体"/>
          <w:sz w:val="24"/>
          <w:szCs w:val="24"/>
        </w:rPr>
      </w:pPr>
      <w:r>
        <w:rPr>
          <w:rFonts w:ascii="宋体" w:hAnsi="宋体" w:eastAsia="宋体" w:cs="宋体"/>
          <w:spacing w:val="-5"/>
          <w:sz w:val="24"/>
          <w:szCs w:val="24"/>
        </w:rPr>
        <w:t>遥感解译使用的信息源主要为地球观测卫星</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 xml:space="preserve">SPOT-5 </w:t>
      </w:r>
      <w:r>
        <w:rPr>
          <w:rFonts w:ascii="宋体" w:hAnsi="宋体" w:eastAsia="宋体" w:cs="宋体"/>
          <w:spacing w:val="-5"/>
          <w:sz w:val="24"/>
          <w:szCs w:val="24"/>
        </w:rPr>
        <w:t>遥感影像， 立体成像装</w:t>
      </w:r>
      <w:r>
        <w:rPr>
          <w:rFonts w:ascii="宋体" w:hAnsi="宋体" w:eastAsia="宋体" w:cs="宋体"/>
          <w:sz w:val="24"/>
          <w:szCs w:val="24"/>
        </w:rPr>
        <w:t xml:space="preserve"> </w:t>
      </w:r>
      <w:r>
        <w:rPr>
          <w:rFonts w:ascii="宋体" w:hAnsi="宋体" w:eastAsia="宋体" w:cs="宋体"/>
          <w:spacing w:val="-2"/>
          <w:sz w:val="24"/>
          <w:szCs w:val="24"/>
        </w:rPr>
        <w:t>置（</w:t>
      </w:r>
      <w:r>
        <w:rPr>
          <w:rFonts w:ascii="Times New Roman" w:hAnsi="Times New Roman" w:eastAsia="Times New Roman" w:cs="Times New Roman"/>
          <w:spacing w:val="-2"/>
          <w:sz w:val="24"/>
          <w:szCs w:val="24"/>
        </w:rPr>
        <w:t>HRS</w:t>
      </w:r>
      <w:r>
        <w:rPr>
          <w:rFonts w:ascii="宋体" w:hAnsi="宋体" w:eastAsia="宋体" w:cs="宋体"/>
          <w:spacing w:val="-2"/>
          <w:sz w:val="24"/>
          <w:szCs w:val="24"/>
        </w:rPr>
        <w:t>）空间分辨率</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1.5m</w:t>
      </w:r>
      <w:r>
        <w:rPr>
          <w:rFonts w:ascii="宋体" w:hAnsi="宋体" w:eastAsia="宋体" w:cs="宋体"/>
          <w:spacing w:val="-2"/>
          <w:sz w:val="24"/>
          <w:szCs w:val="24"/>
        </w:rPr>
        <w:t>，多光谱波段空间分辨率</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6m</w:t>
      </w:r>
      <w:r>
        <w:rPr>
          <w:rFonts w:ascii="宋体" w:hAnsi="宋体" w:eastAsia="宋体" w:cs="宋体"/>
          <w:spacing w:val="-2"/>
          <w:sz w:val="24"/>
          <w:szCs w:val="24"/>
        </w:rPr>
        <w:t>。数据选</w:t>
      </w:r>
      <w:r>
        <w:rPr>
          <w:rFonts w:ascii="宋体" w:hAnsi="宋体" w:eastAsia="宋体" w:cs="宋体"/>
          <w:spacing w:val="-3"/>
          <w:sz w:val="24"/>
          <w:szCs w:val="24"/>
        </w:rPr>
        <w:t>取地表类型差</w:t>
      </w:r>
      <w:r>
        <w:rPr>
          <w:rFonts w:ascii="宋体" w:hAnsi="宋体" w:eastAsia="宋体" w:cs="宋体"/>
          <w:sz w:val="24"/>
          <w:szCs w:val="24"/>
        </w:rPr>
        <w:t xml:space="preserve"> </w:t>
      </w:r>
      <w:r>
        <w:rPr>
          <w:rFonts w:ascii="宋体" w:hAnsi="宋体" w:eastAsia="宋体" w:cs="宋体"/>
          <w:spacing w:val="-1"/>
          <w:sz w:val="24"/>
          <w:szCs w:val="24"/>
        </w:rPr>
        <w:t>异在一年中最为明显的时期，且该时段具有植被发育好、地表信息丰富</w:t>
      </w:r>
      <w:r>
        <w:rPr>
          <w:rFonts w:ascii="宋体" w:hAnsi="宋体" w:eastAsia="宋体" w:cs="宋体"/>
          <w:spacing w:val="-2"/>
          <w:sz w:val="24"/>
          <w:szCs w:val="24"/>
        </w:rPr>
        <w:t>等特点，</w:t>
      </w:r>
      <w:r>
        <w:rPr>
          <w:rFonts w:ascii="宋体" w:hAnsi="宋体" w:eastAsia="宋体" w:cs="宋体"/>
          <w:sz w:val="24"/>
          <w:szCs w:val="24"/>
        </w:rPr>
        <w:t xml:space="preserve"> </w:t>
      </w:r>
      <w:r>
        <w:rPr>
          <w:rFonts w:ascii="宋体" w:hAnsi="宋体" w:eastAsia="宋体" w:cs="宋体"/>
          <w:spacing w:val="-7"/>
          <w:sz w:val="24"/>
          <w:szCs w:val="24"/>
        </w:rPr>
        <w:t>有利于判读各生态环境因子。</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SPOT-5</w:t>
      </w:r>
      <w:r>
        <w:rPr>
          <w:rFonts w:ascii="Times New Roman" w:hAnsi="Times New Roman" w:eastAsia="Times New Roman" w:cs="Times New Roman"/>
          <w:spacing w:val="50"/>
          <w:sz w:val="24"/>
          <w:szCs w:val="24"/>
        </w:rPr>
        <w:t xml:space="preserve"> </w:t>
      </w:r>
      <w:r>
        <w:rPr>
          <w:rFonts w:ascii="宋体" w:hAnsi="宋体" w:eastAsia="宋体" w:cs="宋体"/>
          <w:spacing w:val="-7"/>
          <w:sz w:val="24"/>
          <w:szCs w:val="24"/>
        </w:rPr>
        <w:t xml:space="preserve">影像各谱段具体用途见表 </w:t>
      </w:r>
      <w:r>
        <w:rPr>
          <w:rFonts w:ascii="Times New Roman" w:hAnsi="Times New Roman" w:eastAsia="Times New Roman" w:cs="Times New Roman"/>
          <w:spacing w:val="-7"/>
          <w:sz w:val="24"/>
          <w:szCs w:val="24"/>
        </w:rPr>
        <w:t>3.2-</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7"/>
          <w:sz w:val="24"/>
          <w:szCs w:val="24"/>
        </w:rPr>
        <w:t>18</w:t>
      </w:r>
      <w:r>
        <w:rPr>
          <w:rFonts w:ascii="Times New Roman" w:hAnsi="Times New Roman" w:eastAsia="Times New Roman" w:cs="Times New Roman"/>
          <w:spacing w:val="-27"/>
          <w:sz w:val="24"/>
          <w:szCs w:val="24"/>
        </w:rPr>
        <w:t xml:space="preserve"> </w:t>
      </w:r>
      <w:r>
        <w:rPr>
          <w:rFonts w:ascii="宋体" w:hAnsi="宋体" w:eastAsia="宋体" w:cs="宋体"/>
          <w:spacing w:val="-7"/>
          <w:sz w:val="24"/>
          <w:szCs w:val="24"/>
        </w:rPr>
        <w:t>。评价区</w:t>
      </w:r>
    </w:p>
    <w:p>
      <w:pPr>
        <w:spacing w:before="1" w:line="218" w:lineRule="auto"/>
        <w:ind w:left="130"/>
        <w:rPr>
          <w:rFonts w:ascii="宋体" w:hAnsi="宋体" w:eastAsia="宋体" w:cs="宋体"/>
          <w:sz w:val="24"/>
          <w:szCs w:val="24"/>
        </w:rPr>
      </w:pPr>
      <w:r>
        <w:rPr>
          <w:rFonts w:ascii="宋体" w:hAnsi="宋体" w:eastAsia="宋体" w:cs="宋体"/>
          <w:spacing w:val="-8"/>
          <w:sz w:val="24"/>
          <w:szCs w:val="24"/>
        </w:rPr>
        <w:t>遥感影像见（波段</w:t>
      </w:r>
      <w:r>
        <w:rPr>
          <w:rFonts w:ascii="宋体" w:hAnsi="宋体" w:eastAsia="宋体" w:cs="宋体"/>
          <w:spacing w:val="-41"/>
          <w:sz w:val="24"/>
          <w:szCs w:val="24"/>
        </w:rPr>
        <w:t xml:space="preserve"> </w:t>
      </w:r>
      <w:r>
        <w:rPr>
          <w:rFonts w:ascii="Times New Roman" w:hAnsi="Times New Roman" w:eastAsia="Times New Roman" w:cs="Times New Roman"/>
          <w:spacing w:val="-8"/>
          <w:sz w:val="24"/>
          <w:szCs w:val="24"/>
        </w:rPr>
        <w:t>4</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假彩色合成）。</w:t>
      </w:r>
    </w:p>
    <w:p>
      <w:pPr>
        <w:spacing w:line="249" w:lineRule="auto"/>
        <w:rPr>
          <w:rFonts w:ascii="Arial"/>
          <w:sz w:val="21"/>
        </w:rPr>
      </w:pPr>
    </w:p>
    <w:p>
      <w:pPr>
        <w:pStyle w:val="2"/>
        <w:spacing w:before="69" w:line="218" w:lineRule="auto"/>
        <w:ind w:left="2547"/>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3.2-18    SPOT-5 </w:t>
      </w:r>
      <w:r>
        <w:rPr>
          <w14:textOutline w14:w="3810" w14:cap="flat" w14:cmpd="sng">
            <w14:solidFill>
              <w14:srgbClr w14:val="000000"/>
            </w14:solidFill>
            <w14:prstDash w14:val="solid"/>
            <w14:miter w14:val="0"/>
          </w14:textOutline>
        </w:rPr>
        <w:t>影像</w:t>
      </w:r>
      <w:r>
        <w:rPr>
          <w:spacing w:val="-1"/>
          <w14:textOutline w14:w="3810" w14:cap="flat" w14:cmpd="sng">
            <w14:solidFill>
              <w14:srgbClr w14:val="000000"/>
            </w14:solidFill>
            <w14:prstDash w14:val="solid"/>
            <w14:miter w14:val="0"/>
          </w14:textOutline>
        </w:rPr>
        <w:t>各谱段具体用途表</w:t>
      </w:r>
    </w:p>
    <w:p>
      <w:pPr>
        <w:spacing w:line="20" w:lineRule="exact"/>
      </w:pPr>
    </w:p>
    <w:tbl>
      <w:tblPr>
        <w:tblStyle w:val="5"/>
        <w:tblW w:w="853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6"/>
        <w:gridCol w:w="2833"/>
        <w:gridCol w:w="45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1116" w:type="dxa"/>
            <w:tcBorders>
              <w:top w:val="single" w:color="000000" w:sz="12" w:space="0"/>
              <w:left w:val="nil"/>
            </w:tcBorders>
            <w:vAlign w:val="top"/>
          </w:tcPr>
          <w:p>
            <w:pPr>
              <w:spacing w:before="64" w:line="218" w:lineRule="auto"/>
              <w:ind w:left="26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光谱段</w:t>
            </w:r>
          </w:p>
        </w:tc>
        <w:tc>
          <w:tcPr>
            <w:tcW w:w="2833" w:type="dxa"/>
            <w:tcBorders>
              <w:top w:val="single" w:color="000000" w:sz="12" w:space="0"/>
            </w:tcBorders>
            <w:vAlign w:val="top"/>
          </w:tcPr>
          <w:p>
            <w:pPr>
              <w:pStyle w:val="6"/>
              <w:spacing w:before="64" w:line="212" w:lineRule="auto"/>
              <w:ind w:left="1046"/>
            </w:pPr>
            <w:r>
              <w:rPr>
                <w:rFonts w:ascii="仿宋" w:hAnsi="仿宋" w:eastAsia="仿宋" w:cs="仿宋"/>
                <w:spacing w:val="-4"/>
                <w14:textOutline w14:w="3810" w14:cap="flat" w14:cmpd="sng">
                  <w14:solidFill>
                    <w14:srgbClr w14:val="000000"/>
                  </w14:solidFill>
                  <w14:prstDash w14:val="solid"/>
                  <w14:miter w14:val="0"/>
                </w14:textOutline>
              </w:rPr>
              <w:t>波长</w:t>
            </w:r>
            <w:r>
              <w:rPr>
                <w:b/>
                <w:bCs/>
                <w:spacing w:val="-4"/>
              </w:rPr>
              <w:t>/μm</w:t>
            </w:r>
          </w:p>
        </w:tc>
        <w:tc>
          <w:tcPr>
            <w:tcW w:w="4588" w:type="dxa"/>
            <w:tcBorders>
              <w:top w:val="single" w:color="000000" w:sz="12" w:space="0"/>
              <w:right w:val="nil"/>
            </w:tcBorders>
            <w:vAlign w:val="top"/>
          </w:tcPr>
          <w:p>
            <w:pPr>
              <w:spacing w:before="64" w:line="217" w:lineRule="auto"/>
              <w:ind w:left="2099"/>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trPr>
        <w:tc>
          <w:tcPr>
            <w:tcW w:w="1116" w:type="dxa"/>
            <w:tcBorders>
              <w:left w:val="nil"/>
            </w:tcBorders>
            <w:vAlign w:val="top"/>
          </w:tcPr>
          <w:p>
            <w:pPr>
              <w:pStyle w:val="6"/>
              <w:spacing w:before="109" w:line="186" w:lineRule="auto"/>
              <w:ind w:left="536"/>
            </w:pPr>
            <w:r>
              <w:t>1</w:t>
            </w:r>
          </w:p>
        </w:tc>
        <w:tc>
          <w:tcPr>
            <w:tcW w:w="2833" w:type="dxa"/>
            <w:vAlign w:val="top"/>
          </w:tcPr>
          <w:p>
            <w:pPr>
              <w:pStyle w:val="6"/>
              <w:spacing w:before="70" w:line="219" w:lineRule="auto"/>
              <w:ind w:left="458"/>
            </w:pPr>
            <w:r>
              <w:rPr>
                <w:rFonts w:ascii="仿宋" w:hAnsi="仿宋" w:eastAsia="仿宋" w:cs="仿宋"/>
                <w:spacing w:val="-2"/>
              </w:rPr>
              <w:t>蓝光波段</w:t>
            </w:r>
            <w:r>
              <w:rPr>
                <w:rFonts w:ascii="仿宋" w:hAnsi="仿宋" w:eastAsia="仿宋" w:cs="仿宋"/>
                <w:spacing w:val="-43"/>
              </w:rPr>
              <w:t xml:space="preserve"> </w:t>
            </w:r>
            <w:r>
              <w:rPr>
                <w:spacing w:val="-2"/>
              </w:rPr>
              <w:t>0.455~0.525</w:t>
            </w:r>
          </w:p>
        </w:tc>
        <w:tc>
          <w:tcPr>
            <w:tcW w:w="4588" w:type="dxa"/>
            <w:tcBorders>
              <w:right w:val="nil"/>
            </w:tcBorders>
            <w:vAlign w:val="top"/>
          </w:tcPr>
          <w:p>
            <w:pPr>
              <w:spacing w:before="71" w:line="217" w:lineRule="auto"/>
              <w:ind w:left="414"/>
              <w:rPr>
                <w:rFonts w:ascii="仿宋" w:hAnsi="仿宋" w:eastAsia="仿宋" w:cs="仿宋"/>
                <w:sz w:val="21"/>
                <w:szCs w:val="21"/>
              </w:rPr>
            </w:pPr>
            <w:r>
              <w:rPr>
                <w:rFonts w:ascii="仿宋" w:hAnsi="仿宋" w:eastAsia="仿宋" w:cs="仿宋"/>
                <w:spacing w:val="-1"/>
                <w:sz w:val="21"/>
                <w:szCs w:val="21"/>
              </w:rPr>
              <w:t>绘制水系图，识别土壤和常绿、落叶植被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1116" w:type="dxa"/>
            <w:tcBorders>
              <w:left w:val="nil"/>
            </w:tcBorders>
            <w:vAlign w:val="top"/>
          </w:tcPr>
          <w:p>
            <w:pPr>
              <w:pStyle w:val="6"/>
              <w:spacing w:before="113" w:line="186" w:lineRule="auto"/>
              <w:ind w:left="516"/>
            </w:pPr>
            <w:r>
              <w:t>2</w:t>
            </w:r>
          </w:p>
        </w:tc>
        <w:tc>
          <w:tcPr>
            <w:tcW w:w="2833" w:type="dxa"/>
            <w:vAlign w:val="top"/>
          </w:tcPr>
          <w:p>
            <w:pPr>
              <w:pStyle w:val="6"/>
              <w:spacing w:before="74" w:line="219" w:lineRule="auto"/>
              <w:ind w:left="456"/>
            </w:pPr>
            <w:r>
              <w:rPr>
                <w:rFonts w:ascii="仿宋" w:hAnsi="仿宋" w:eastAsia="仿宋" w:cs="仿宋"/>
                <w:spacing w:val="-2"/>
              </w:rPr>
              <w:t>绿光波段</w:t>
            </w:r>
            <w:r>
              <w:rPr>
                <w:rFonts w:ascii="仿宋" w:hAnsi="仿宋" w:eastAsia="仿宋" w:cs="仿宋"/>
                <w:spacing w:val="-42"/>
              </w:rPr>
              <w:t xml:space="preserve"> </w:t>
            </w:r>
            <w:r>
              <w:rPr>
                <w:spacing w:val="-2"/>
              </w:rPr>
              <w:t>0.530~0.590</w:t>
            </w:r>
          </w:p>
        </w:tc>
        <w:tc>
          <w:tcPr>
            <w:tcW w:w="4588" w:type="dxa"/>
            <w:tcBorders>
              <w:right w:val="nil"/>
            </w:tcBorders>
            <w:vAlign w:val="top"/>
          </w:tcPr>
          <w:p>
            <w:pPr>
              <w:spacing w:before="75" w:line="218" w:lineRule="auto"/>
              <w:ind w:left="625"/>
              <w:rPr>
                <w:rFonts w:ascii="仿宋" w:hAnsi="仿宋" w:eastAsia="仿宋" w:cs="仿宋"/>
                <w:sz w:val="21"/>
                <w:szCs w:val="21"/>
              </w:rPr>
            </w:pPr>
            <w:r>
              <w:rPr>
                <w:rFonts w:ascii="仿宋" w:hAnsi="仿宋" w:eastAsia="仿宋" w:cs="仿宋"/>
                <w:spacing w:val="-1"/>
                <w:sz w:val="21"/>
                <w:szCs w:val="21"/>
              </w:rPr>
              <w:t>探测植被绿色反射率和反映水下特征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116" w:type="dxa"/>
            <w:tcBorders>
              <w:left w:val="nil"/>
            </w:tcBorders>
            <w:vAlign w:val="top"/>
          </w:tcPr>
          <w:p>
            <w:pPr>
              <w:pStyle w:val="6"/>
              <w:spacing w:before="118" w:line="186" w:lineRule="auto"/>
              <w:ind w:left="521"/>
            </w:pPr>
            <w:r>
              <w:t>3</w:t>
            </w:r>
          </w:p>
        </w:tc>
        <w:tc>
          <w:tcPr>
            <w:tcW w:w="2833" w:type="dxa"/>
            <w:vAlign w:val="top"/>
          </w:tcPr>
          <w:p>
            <w:pPr>
              <w:pStyle w:val="6"/>
              <w:spacing w:before="80" w:line="219" w:lineRule="auto"/>
              <w:ind w:left="453"/>
            </w:pPr>
            <w:r>
              <w:rPr>
                <w:rFonts w:ascii="仿宋" w:hAnsi="仿宋" w:eastAsia="仿宋" w:cs="仿宋"/>
                <w:spacing w:val="-2"/>
              </w:rPr>
              <w:t>红光波段</w:t>
            </w:r>
            <w:r>
              <w:rPr>
                <w:rFonts w:ascii="仿宋" w:hAnsi="仿宋" w:eastAsia="仿宋" w:cs="仿宋"/>
                <w:spacing w:val="-39"/>
              </w:rPr>
              <w:t xml:space="preserve"> </w:t>
            </w:r>
            <w:r>
              <w:rPr>
                <w:spacing w:val="-2"/>
              </w:rPr>
              <w:t>0.625~0.695</w:t>
            </w:r>
          </w:p>
        </w:tc>
        <w:tc>
          <w:tcPr>
            <w:tcW w:w="4588" w:type="dxa"/>
            <w:tcBorders>
              <w:right w:val="nil"/>
            </w:tcBorders>
            <w:vAlign w:val="top"/>
          </w:tcPr>
          <w:p>
            <w:pPr>
              <w:spacing w:before="80" w:line="216" w:lineRule="auto"/>
              <w:ind w:left="626"/>
              <w:rPr>
                <w:rFonts w:ascii="仿宋" w:hAnsi="仿宋" w:eastAsia="仿宋" w:cs="仿宋"/>
                <w:sz w:val="21"/>
                <w:szCs w:val="21"/>
              </w:rPr>
            </w:pPr>
            <w:r>
              <w:rPr>
                <w:rFonts w:ascii="仿宋" w:hAnsi="仿宋" w:eastAsia="仿宋" w:cs="仿宋"/>
                <w:spacing w:val="-1"/>
                <w:sz w:val="21"/>
                <w:szCs w:val="21"/>
              </w:rPr>
              <w:t>进行作物识别、土壤和岩石表面判定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trPr>
        <w:tc>
          <w:tcPr>
            <w:tcW w:w="1116" w:type="dxa"/>
            <w:tcBorders>
              <w:left w:val="nil"/>
            </w:tcBorders>
            <w:vAlign w:val="top"/>
          </w:tcPr>
          <w:p>
            <w:pPr>
              <w:pStyle w:val="6"/>
              <w:spacing w:before="124" w:line="186" w:lineRule="auto"/>
              <w:ind w:left="515"/>
            </w:pPr>
            <w:r>
              <w:t>4</w:t>
            </w:r>
          </w:p>
        </w:tc>
        <w:tc>
          <w:tcPr>
            <w:tcW w:w="2833" w:type="dxa"/>
            <w:vAlign w:val="top"/>
          </w:tcPr>
          <w:p>
            <w:pPr>
              <w:pStyle w:val="6"/>
              <w:spacing w:before="85" w:line="216" w:lineRule="auto"/>
              <w:ind w:left="347"/>
            </w:pPr>
            <w:r>
              <w:rPr>
                <w:rFonts w:ascii="仿宋" w:hAnsi="仿宋" w:eastAsia="仿宋" w:cs="仿宋"/>
                <w:spacing w:val="-2"/>
              </w:rPr>
              <w:t>近红外波段</w:t>
            </w:r>
            <w:r>
              <w:rPr>
                <w:rFonts w:ascii="仿宋" w:hAnsi="仿宋" w:eastAsia="仿宋" w:cs="仿宋"/>
                <w:spacing w:val="-36"/>
              </w:rPr>
              <w:t xml:space="preserve"> </w:t>
            </w:r>
            <w:r>
              <w:rPr>
                <w:spacing w:val="-2"/>
              </w:rPr>
              <w:t>0.790~0.890</w:t>
            </w:r>
          </w:p>
        </w:tc>
        <w:tc>
          <w:tcPr>
            <w:tcW w:w="4588" w:type="dxa"/>
            <w:tcBorders>
              <w:right w:val="nil"/>
            </w:tcBorders>
            <w:vAlign w:val="top"/>
          </w:tcPr>
          <w:p>
            <w:pPr>
              <w:spacing w:before="85" w:line="216" w:lineRule="auto"/>
              <w:ind w:left="940"/>
              <w:rPr>
                <w:rFonts w:ascii="仿宋" w:hAnsi="仿宋" w:eastAsia="仿宋" w:cs="仿宋"/>
                <w:sz w:val="21"/>
                <w:szCs w:val="21"/>
              </w:rPr>
            </w:pPr>
            <w:r>
              <w:rPr>
                <w:rFonts w:ascii="仿宋" w:hAnsi="仿宋" w:eastAsia="仿宋" w:cs="仿宋"/>
                <w:spacing w:val="-1"/>
                <w:sz w:val="21"/>
                <w:szCs w:val="21"/>
              </w:rPr>
              <w:t>用于生物量和作物长势的测定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4" w:hRule="atLeast"/>
        </w:trPr>
        <w:tc>
          <w:tcPr>
            <w:tcW w:w="1116" w:type="dxa"/>
            <w:tcBorders>
              <w:left w:val="nil"/>
              <w:bottom w:val="single" w:color="000000" w:sz="12" w:space="0"/>
            </w:tcBorders>
            <w:vAlign w:val="top"/>
          </w:tcPr>
          <w:p>
            <w:pPr>
              <w:pStyle w:val="6"/>
              <w:spacing w:before="131" w:line="183" w:lineRule="auto"/>
              <w:ind w:left="522"/>
            </w:pPr>
            <w:r>
              <w:t>5</w:t>
            </w:r>
          </w:p>
        </w:tc>
        <w:tc>
          <w:tcPr>
            <w:tcW w:w="2833" w:type="dxa"/>
            <w:tcBorders>
              <w:bottom w:val="single" w:color="000000" w:sz="12" w:space="0"/>
            </w:tcBorders>
            <w:vAlign w:val="top"/>
          </w:tcPr>
          <w:p>
            <w:pPr>
              <w:pStyle w:val="6"/>
              <w:spacing w:before="89" w:line="219" w:lineRule="auto"/>
              <w:ind w:left="458"/>
            </w:pPr>
            <w:r>
              <w:rPr>
                <w:rFonts w:ascii="仿宋" w:hAnsi="仿宋" w:eastAsia="仿宋" w:cs="仿宋"/>
                <w:spacing w:val="-2"/>
              </w:rPr>
              <w:t>全色波段</w:t>
            </w:r>
            <w:r>
              <w:rPr>
                <w:rFonts w:ascii="仿宋" w:hAnsi="仿宋" w:eastAsia="仿宋" w:cs="仿宋"/>
                <w:spacing w:val="-43"/>
              </w:rPr>
              <w:t xml:space="preserve"> </w:t>
            </w:r>
            <w:r>
              <w:rPr>
                <w:spacing w:val="-2"/>
              </w:rPr>
              <w:t>0.455~0.745</w:t>
            </w:r>
          </w:p>
        </w:tc>
        <w:tc>
          <w:tcPr>
            <w:tcW w:w="4588" w:type="dxa"/>
            <w:tcBorders>
              <w:bottom w:val="single" w:color="000000" w:sz="12" w:space="0"/>
              <w:right w:val="nil"/>
            </w:tcBorders>
            <w:vAlign w:val="top"/>
          </w:tcPr>
          <w:p>
            <w:pPr>
              <w:pStyle w:val="6"/>
              <w:spacing w:before="215" w:line="101" w:lineRule="exact"/>
              <w:ind w:left="2079"/>
            </w:pPr>
            <w:r>
              <w:rPr>
                <w:spacing w:val="1"/>
                <w:position w:val="-2"/>
              </w:rPr>
              <w:t>——</w:t>
            </w:r>
          </w:p>
        </w:tc>
      </w:tr>
    </w:tbl>
    <w:p>
      <w:pPr>
        <w:spacing w:before="35" w:line="220" w:lineRule="auto"/>
        <w:ind w:left="611"/>
        <w:rPr>
          <w:rFonts w:ascii="Times New Roman" w:hAnsi="Times New Roman" w:eastAsia="Times New Roman" w:cs="Times New Roman"/>
          <w:sz w:val="24"/>
          <w:szCs w:val="24"/>
        </w:rPr>
      </w:pPr>
      <w:r>
        <w:rPr>
          <w:rFonts w:ascii="宋体" w:hAnsi="宋体" w:eastAsia="宋体" w:cs="宋体"/>
          <w:spacing w:val="-1"/>
          <w:sz w:val="24"/>
          <w:szCs w:val="24"/>
        </w:rPr>
        <w:t>地面调查使用</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50000 </w:t>
      </w:r>
      <w:r>
        <w:rPr>
          <w:rFonts w:ascii="宋体" w:hAnsi="宋体" w:eastAsia="宋体" w:cs="宋体"/>
          <w:spacing w:val="-1"/>
          <w:sz w:val="24"/>
          <w:szCs w:val="24"/>
        </w:rPr>
        <w:t>地形图和</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G</w:t>
      </w:r>
      <w:r>
        <w:rPr>
          <w:rFonts w:ascii="Times New Roman" w:hAnsi="Times New Roman" w:eastAsia="Times New Roman" w:cs="Times New Roman"/>
          <w:spacing w:val="-2"/>
          <w:sz w:val="24"/>
          <w:szCs w:val="24"/>
        </w:rPr>
        <w:t>PS</w:t>
      </w:r>
      <w:r>
        <w:rPr>
          <w:rFonts w:ascii="宋体" w:hAnsi="宋体" w:eastAsia="宋体" w:cs="宋体"/>
          <w:spacing w:val="-2"/>
          <w:sz w:val="24"/>
          <w:szCs w:val="24"/>
        </w:rPr>
        <w:t>，在实地调查的基础上，结合</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SPOT-</w:t>
      </w:r>
    </w:p>
    <w:p>
      <w:pPr>
        <w:spacing w:before="183" w:line="359" w:lineRule="auto"/>
        <w:ind w:left="133" w:right="43"/>
        <w:jc w:val="both"/>
        <w:rPr>
          <w:rFonts w:ascii="宋体" w:hAnsi="宋体" w:eastAsia="宋体" w:cs="宋体"/>
          <w:sz w:val="24"/>
          <w:szCs w:val="24"/>
        </w:rPr>
      </w:pP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影像图，获取植被组成、土地利用现状、地形地貌、土壤地质等第一</w:t>
      </w:r>
      <w:r>
        <w:rPr>
          <w:rFonts w:ascii="宋体" w:hAnsi="宋体" w:eastAsia="宋体" w:cs="宋体"/>
          <w:spacing w:val="-2"/>
          <w:sz w:val="24"/>
          <w:szCs w:val="24"/>
        </w:rPr>
        <w:t>手资料，</w:t>
      </w:r>
      <w:r>
        <w:rPr>
          <w:rFonts w:ascii="宋体" w:hAnsi="宋体" w:eastAsia="宋体" w:cs="宋体"/>
          <w:sz w:val="24"/>
          <w:szCs w:val="24"/>
        </w:rPr>
        <w:t xml:space="preserve"> 经与林业局、土地局等有关部门核对，再次实地调查</w:t>
      </w:r>
      <w:r>
        <w:rPr>
          <w:rFonts w:ascii="宋体" w:hAnsi="宋体" w:eastAsia="宋体" w:cs="宋体"/>
          <w:spacing w:val="-1"/>
          <w:sz w:val="24"/>
          <w:szCs w:val="24"/>
        </w:rPr>
        <w:t>与补充，最后利用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ArcMap</w:t>
      </w:r>
      <w:r>
        <w:rPr>
          <w:rFonts w:ascii="Times New Roman" w:hAnsi="Times New Roman" w:eastAsia="Times New Roman" w:cs="Times New Roman"/>
          <w:sz w:val="24"/>
          <w:szCs w:val="24"/>
        </w:rPr>
        <w:t xml:space="preserve">  </w:t>
      </w:r>
      <w:r>
        <w:rPr>
          <w:rFonts w:ascii="宋体" w:hAnsi="宋体" w:eastAsia="宋体" w:cs="宋体"/>
          <w:spacing w:val="-2"/>
          <w:sz w:val="24"/>
          <w:szCs w:val="24"/>
        </w:rPr>
        <w:t xml:space="preserve">软件绘制评价区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r>
        <w:rPr>
          <w:rFonts w:ascii="Times New Roman" w:hAnsi="Times New Roman" w:eastAsia="Times New Roman" w:cs="Times New Roman"/>
          <w:spacing w:val="-2"/>
          <w:sz w:val="24"/>
          <w:szCs w:val="24"/>
        </w:rPr>
        <w:t>50000</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相关生态图件和数据统计表。地面现场调研核实如下</w:t>
      </w:r>
    </w:p>
    <w:p>
      <w:pPr>
        <w:spacing w:before="1" w:line="219" w:lineRule="auto"/>
        <w:ind w:left="131"/>
        <w:rPr>
          <w:rFonts w:ascii="宋体" w:hAnsi="宋体" w:eastAsia="宋体" w:cs="宋体"/>
          <w:sz w:val="24"/>
          <w:szCs w:val="24"/>
        </w:rPr>
      </w:pPr>
      <w:r>
        <w:rPr>
          <w:rFonts w:ascii="宋体" w:hAnsi="宋体" w:eastAsia="宋体" w:cs="宋体"/>
          <w:spacing w:val="-15"/>
          <w:sz w:val="24"/>
          <w:szCs w:val="24"/>
        </w:rPr>
        <w:t>信息：</w:t>
      </w:r>
    </w:p>
    <w:p>
      <w:pPr>
        <w:spacing w:before="181" w:line="467" w:lineRule="exact"/>
        <w:ind w:left="985"/>
        <w:rPr>
          <w:rFonts w:ascii="宋体" w:hAnsi="宋体" w:eastAsia="宋体" w:cs="宋体"/>
          <w:sz w:val="24"/>
          <w:szCs w:val="24"/>
        </w:rPr>
      </w:pPr>
      <w:r>
        <w:rPr>
          <w:rFonts w:ascii="Times New Roman" w:hAnsi="Times New Roman" w:eastAsia="Times New Roman" w:cs="Times New Roman"/>
          <w:spacing w:val="-9"/>
          <w:position w:val="16"/>
          <w:sz w:val="24"/>
          <w:szCs w:val="24"/>
        </w:rPr>
        <w:t>a.</w:t>
      </w:r>
      <w:r>
        <w:rPr>
          <w:rFonts w:ascii="宋体" w:hAnsi="宋体" w:eastAsia="宋体" w:cs="宋体"/>
          <w:spacing w:val="-9"/>
          <w:position w:val="16"/>
          <w:sz w:val="24"/>
          <w:szCs w:val="24"/>
        </w:rPr>
        <w:t>林地、草地、耕地、</w:t>
      </w:r>
      <w:r>
        <w:rPr>
          <w:rFonts w:ascii="宋体" w:hAnsi="宋体" w:eastAsia="宋体" w:cs="宋体"/>
          <w:spacing w:val="50"/>
          <w:position w:val="16"/>
          <w:sz w:val="24"/>
          <w:szCs w:val="24"/>
        </w:rPr>
        <w:t xml:space="preserve"> </w:t>
      </w:r>
      <w:r>
        <w:rPr>
          <w:rFonts w:ascii="宋体" w:hAnsi="宋体" w:eastAsia="宋体" w:cs="宋体"/>
          <w:spacing w:val="-9"/>
          <w:position w:val="16"/>
          <w:sz w:val="24"/>
          <w:szCs w:val="24"/>
        </w:rPr>
        <w:t>湿地等生态用地的分布及面积；</w:t>
      </w:r>
    </w:p>
    <w:p>
      <w:pPr>
        <w:spacing w:before="1" w:line="233" w:lineRule="auto"/>
        <w:ind w:left="976"/>
        <w:rPr>
          <w:rFonts w:ascii="宋体" w:hAnsi="宋体" w:eastAsia="宋体" w:cs="宋体"/>
          <w:sz w:val="24"/>
          <w:szCs w:val="24"/>
        </w:rPr>
      </w:pPr>
      <w:r>
        <w:rPr>
          <w:rFonts w:ascii="Times New Roman" w:hAnsi="Times New Roman" w:eastAsia="Times New Roman" w:cs="Times New Roman"/>
          <w:spacing w:val="-3"/>
          <w:sz w:val="24"/>
          <w:szCs w:val="24"/>
        </w:rPr>
        <w:t>b.</w:t>
      </w:r>
      <w:r>
        <w:rPr>
          <w:rFonts w:ascii="宋体" w:hAnsi="宋体" w:eastAsia="宋体" w:cs="宋体"/>
          <w:spacing w:val="-3"/>
          <w:sz w:val="24"/>
          <w:szCs w:val="24"/>
        </w:rPr>
        <w:t>生态敏感区（点）的现状及动态变化；</w:t>
      </w:r>
    </w:p>
    <w:p>
      <w:pPr>
        <w:spacing w:before="164" w:line="233" w:lineRule="auto"/>
        <w:ind w:left="984"/>
        <w:rPr>
          <w:rFonts w:ascii="宋体" w:hAnsi="宋体" w:eastAsia="宋体" w:cs="宋体"/>
          <w:sz w:val="24"/>
          <w:szCs w:val="24"/>
        </w:rPr>
      </w:pPr>
      <w:r>
        <w:rPr>
          <w:rFonts w:ascii="Times New Roman" w:hAnsi="Times New Roman" w:eastAsia="Times New Roman" w:cs="Times New Roman"/>
          <w:spacing w:val="-5"/>
          <w:sz w:val="24"/>
          <w:szCs w:val="24"/>
        </w:rPr>
        <w:t>c.</w:t>
      </w:r>
      <w:r>
        <w:rPr>
          <w:rFonts w:ascii="宋体" w:hAnsi="宋体" w:eastAsia="宋体" w:cs="宋体"/>
          <w:spacing w:val="-5"/>
          <w:sz w:val="24"/>
          <w:szCs w:val="24"/>
        </w:rPr>
        <w:t>土地覆被的动态变化；</w:t>
      </w:r>
    </w:p>
    <w:p>
      <w:pPr>
        <w:spacing w:before="164" w:line="233" w:lineRule="auto"/>
        <w:ind w:left="984"/>
        <w:rPr>
          <w:rFonts w:ascii="宋体" w:hAnsi="宋体" w:eastAsia="宋体" w:cs="宋体"/>
          <w:sz w:val="24"/>
          <w:szCs w:val="24"/>
        </w:rPr>
      </w:pPr>
      <w:r>
        <w:rPr>
          <w:rFonts w:ascii="Times New Roman" w:hAnsi="Times New Roman" w:eastAsia="Times New Roman" w:cs="Times New Roman"/>
          <w:spacing w:val="-3"/>
          <w:sz w:val="24"/>
          <w:szCs w:val="24"/>
        </w:rPr>
        <w:t>d.</w:t>
      </w:r>
      <w:r>
        <w:rPr>
          <w:rFonts w:ascii="宋体" w:hAnsi="宋体" w:eastAsia="宋体" w:cs="宋体"/>
          <w:spacing w:val="-3"/>
          <w:sz w:val="24"/>
          <w:szCs w:val="24"/>
        </w:rPr>
        <w:t>河流水系、道路交通等专题信息。</w:t>
      </w:r>
    </w:p>
    <w:p>
      <w:pPr>
        <w:spacing w:line="233" w:lineRule="auto"/>
        <w:rPr>
          <w:rFonts w:ascii="宋体" w:hAnsi="宋体" w:eastAsia="宋体" w:cs="宋体"/>
          <w:sz w:val="24"/>
          <w:szCs w:val="24"/>
        </w:rPr>
        <w:sectPr>
          <w:headerReference r:id="rId213" w:type="default"/>
          <w:footerReference r:id="rId214" w:type="default"/>
          <w:pgSz w:w="11907" w:h="16839"/>
          <w:pgMar w:top="1156" w:right="1690" w:bottom="1374" w:left="1678" w:header="881" w:footer="1210" w:gutter="0"/>
        </w:sectPr>
      </w:pPr>
    </w:p>
    <w:p>
      <w:pPr>
        <w:rPr>
          <w:rFonts w:ascii="Arial"/>
          <w:sz w:val="21"/>
        </w:rPr>
      </w:pPr>
    </w:p>
    <w:p>
      <w:pPr>
        <w:spacing w:before="78" w:line="217" w:lineRule="auto"/>
        <w:ind w:left="517"/>
        <w:rPr>
          <w:rFonts w:ascii="宋体" w:hAnsi="宋体" w:eastAsia="宋体" w:cs="宋体"/>
          <w:sz w:val="24"/>
          <w:szCs w:val="24"/>
        </w:rPr>
      </w:pPr>
      <w:r>
        <w:rPr>
          <w:rFonts w:ascii="宋体" w:hAnsi="宋体" w:eastAsia="宋体" w:cs="宋体"/>
          <w:spacing w:val="-1"/>
          <w:sz w:val="24"/>
          <w:szCs w:val="24"/>
        </w:rPr>
        <w:t>③现场调查方法及内容</w:t>
      </w:r>
    </w:p>
    <w:p>
      <w:pPr>
        <w:spacing w:before="185" w:line="359" w:lineRule="auto"/>
        <w:ind w:left="39" w:right="110" w:firstLine="481"/>
        <w:rPr>
          <w:rFonts w:ascii="宋体" w:hAnsi="宋体" w:eastAsia="宋体" w:cs="宋体"/>
          <w:sz w:val="24"/>
          <w:szCs w:val="24"/>
        </w:rPr>
      </w:pPr>
      <w:r>
        <w:rPr>
          <w:rFonts w:ascii="宋体" w:hAnsi="宋体" w:eastAsia="宋体" w:cs="宋体"/>
          <w:spacing w:val="-3"/>
          <w:sz w:val="24"/>
          <w:szCs w:val="24"/>
        </w:rPr>
        <w:t>现场调查主要采取普查、详查相结合的方法。通过实地调查</w:t>
      </w:r>
      <w:r>
        <w:rPr>
          <w:rFonts w:ascii="宋体" w:hAnsi="宋体" w:eastAsia="宋体" w:cs="宋体"/>
          <w:spacing w:val="-4"/>
          <w:sz w:val="24"/>
          <w:szCs w:val="24"/>
        </w:rPr>
        <w:t>掌握项目区范围</w:t>
      </w:r>
      <w:r>
        <w:rPr>
          <w:rFonts w:ascii="宋体" w:hAnsi="宋体" w:eastAsia="宋体" w:cs="宋体"/>
          <w:sz w:val="24"/>
          <w:szCs w:val="24"/>
        </w:rPr>
        <w:t xml:space="preserve"> </w:t>
      </w:r>
      <w:r>
        <w:rPr>
          <w:rFonts w:ascii="宋体" w:hAnsi="宋体" w:eastAsia="宋体" w:cs="宋体"/>
          <w:spacing w:val="-13"/>
          <w:sz w:val="24"/>
          <w:szCs w:val="24"/>
        </w:rPr>
        <w:t>内自然生态环境的基本情况，</w:t>
      </w:r>
      <w:r>
        <w:rPr>
          <w:rFonts w:ascii="宋体" w:hAnsi="宋体" w:eastAsia="宋体" w:cs="宋体"/>
          <w:spacing w:val="-48"/>
          <w:sz w:val="24"/>
          <w:szCs w:val="24"/>
        </w:rPr>
        <w:t xml:space="preserve"> </w:t>
      </w:r>
      <w:r>
        <w:rPr>
          <w:rFonts w:ascii="宋体" w:hAnsi="宋体" w:eastAsia="宋体" w:cs="宋体"/>
          <w:spacing w:val="-13"/>
          <w:sz w:val="24"/>
          <w:szCs w:val="24"/>
        </w:rPr>
        <w:t>通过对技术人员、政府管理部门、农民等访问调查，</w:t>
      </w:r>
      <w:r>
        <w:rPr>
          <w:rFonts w:ascii="宋体" w:hAnsi="宋体" w:eastAsia="宋体" w:cs="宋体"/>
          <w:sz w:val="24"/>
          <w:szCs w:val="24"/>
        </w:rPr>
        <w:t xml:space="preserve"> </w:t>
      </w:r>
      <w:r>
        <w:rPr>
          <w:rFonts w:ascii="宋体" w:hAnsi="宋体" w:eastAsia="宋体" w:cs="宋体"/>
          <w:spacing w:val="-3"/>
          <w:sz w:val="24"/>
          <w:szCs w:val="24"/>
        </w:rPr>
        <w:t>了解当地森林资源、退耕还林工程、野生植物的种类组成和变动情况。通过走访</w:t>
      </w:r>
      <w:r>
        <w:rPr>
          <w:rFonts w:ascii="宋体" w:hAnsi="宋体" w:eastAsia="宋体" w:cs="宋体"/>
          <w:spacing w:val="1"/>
          <w:sz w:val="24"/>
          <w:szCs w:val="24"/>
        </w:rPr>
        <w:t xml:space="preserve"> </w:t>
      </w:r>
      <w:r>
        <w:rPr>
          <w:rFonts w:ascii="宋体" w:hAnsi="宋体" w:eastAsia="宋体" w:cs="宋体"/>
          <w:spacing w:val="-6"/>
          <w:sz w:val="24"/>
          <w:szCs w:val="24"/>
        </w:rPr>
        <w:t>群众、收集生物考察历史资料和植物记录并查阅文献， 了解野</w:t>
      </w:r>
      <w:r>
        <w:rPr>
          <w:rFonts w:ascii="宋体" w:hAnsi="宋体" w:eastAsia="宋体" w:cs="宋体"/>
          <w:spacing w:val="-7"/>
          <w:sz w:val="24"/>
          <w:szCs w:val="24"/>
        </w:rPr>
        <w:t>生植物的种类现状</w:t>
      </w:r>
    </w:p>
    <w:p>
      <w:pPr>
        <w:spacing w:line="220" w:lineRule="auto"/>
        <w:ind w:left="40"/>
        <w:rPr>
          <w:rFonts w:ascii="宋体" w:hAnsi="宋体" w:eastAsia="宋体" w:cs="宋体"/>
          <w:sz w:val="24"/>
          <w:szCs w:val="24"/>
        </w:rPr>
      </w:pPr>
      <w:r>
        <w:rPr>
          <w:rFonts w:ascii="宋体" w:hAnsi="宋体" w:eastAsia="宋体" w:cs="宋体"/>
          <w:spacing w:val="-2"/>
          <w:sz w:val="24"/>
          <w:szCs w:val="24"/>
        </w:rPr>
        <w:t>和变动情况。</w:t>
      </w:r>
    </w:p>
    <w:p>
      <w:pPr>
        <w:spacing w:before="180"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植物样方、样线设置</w:t>
      </w:r>
    </w:p>
    <w:p>
      <w:pPr>
        <w:spacing w:before="166" w:line="359" w:lineRule="auto"/>
        <w:ind w:left="37" w:right="109" w:firstLine="483"/>
        <w:rPr>
          <w:rFonts w:ascii="宋体" w:hAnsi="宋体" w:eastAsia="宋体" w:cs="宋体"/>
          <w:sz w:val="24"/>
          <w:szCs w:val="24"/>
        </w:rPr>
      </w:pPr>
      <w:r>
        <w:rPr>
          <w:rFonts w:ascii="宋体" w:hAnsi="宋体" w:eastAsia="宋体" w:cs="宋体"/>
          <w:spacing w:val="-3"/>
          <w:sz w:val="24"/>
          <w:szCs w:val="24"/>
        </w:rPr>
        <w:t>调查评价区内植被类型及植物物种，重点关注珍稀濒危保护</w:t>
      </w:r>
      <w:r>
        <w:rPr>
          <w:rFonts w:ascii="宋体" w:hAnsi="宋体" w:eastAsia="宋体" w:cs="宋体"/>
          <w:spacing w:val="-4"/>
          <w:sz w:val="24"/>
          <w:szCs w:val="24"/>
        </w:rPr>
        <w:t>物种、特有种以</w:t>
      </w:r>
      <w:r>
        <w:rPr>
          <w:rFonts w:ascii="宋体" w:hAnsi="宋体" w:eastAsia="宋体" w:cs="宋体"/>
          <w:sz w:val="24"/>
          <w:szCs w:val="24"/>
        </w:rPr>
        <w:t xml:space="preserve"> </w:t>
      </w:r>
      <w:r>
        <w:rPr>
          <w:rFonts w:ascii="宋体" w:hAnsi="宋体" w:eastAsia="宋体" w:cs="宋体"/>
          <w:spacing w:val="-3"/>
          <w:sz w:val="24"/>
          <w:szCs w:val="24"/>
        </w:rPr>
        <w:t>及具有重要经济和科研价值的物种。陆生植物和植被采用路线调查和样方统计相</w:t>
      </w:r>
      <w:r>
        <w:rPr>
          <w:rFonts w:ascii="宋体" w:hAnsi="宋体" w:eastAsia="宋体" w:cs="宋体"/>
          <w:spacing w:val="2"/>
          <w:sz w:val="24"/>
          <w:szCs w:val="24"/>
        </w:rPr>
        <w:t xml:space="preserve"> </w:t>
      </w:r>
      <w:r>
        <w:rPr>
          <w:rFonts w:ascii="宋体" w:hAnsi="宋体" w:eastAsia="宋体" w:cs="宋体"/>
          <w:spacing w:val="-11"/>
          <w:sz w:val="24"/>
          <w:szCs w:val="24"/>
        </w:rPr>
        <w:t>结合的办法，</w:t>
      </w:r>
      <w:r>
        <w:rPr>
          <w:rFonts w:ascii="宋体" w:hAnsi="宋体" w:eastAsia="宋体" w:cs="宋体"/>
          <w:spacing w:val="29"/>
          <w:sz w:val="24"/>
          <w:szCs w:val="24"/>
        </w:rPr>
        <w:t xml:space="preserve"> </w:t>
      </w:r>
      <w:r>
        <w:rPr>
          <w:rFonts w:ascii="宋体" w:hAnsi="宋体" w:eastAsia="宋体" w:cs="宋体"/>
          <w:spacing w:val="-11"/>
          <w:sz w:val="24"/>
          <w:szCs w:val="24"/>
        </w:rPr>
        <w:t>采取线路调查方法确定种类，</w:t>
      </w:r>
      <w:r>
        <w:rPr>
          <w:rFonts w:ascii="宋体" w:hAnsi="宋体" w:eastAsia="宋体" w:cs="宋体"/>
          <w:spacing w:val="28"/>
          <w:sz w:val="24"/>
          <w:szCs w:val="24"/>
        </w:rPr>
        <w:t xml:space="preserve"> </w:t>
      </w:r>
      <w:r>
        <w:rPr>
          <w:rFonts w:ascii="宋体" w:hAnsi="宋体" w:eastAsia="宋体" w:cs="宋体"/>
          <w:spacing w:val="-11"/>
          <w:sz w:val="24"/>
          <w:szCs w:val="24"/>
        </w:rPr>
        <w:t>样</w:t>
      </w:r>
      <w:r>
        <w:rPr>
          <w:rFonts w:ascii="宋体" w:hAnsi="宋体" w:eastAsia="宋体" w:cs="宋体"/>
          <w:spacing w:val="-12"/>
          <w:sz w:val="24"/>
          <w:szCs w:val="24"/>
        </w:rPr>
        <w:t>方法调查植物群落。根据现场踏查</w:t>
      </w:r>
      <w:r>
        <w:rPr>
          <w:rFonts w:ascii="宋体" w:hAnsi="宋体" w:eastAsia="宋体" w:cs="宋体"/>
          <w:sz w:val="24"/>
          <w:szCs w:val="24"/>
        </w:rPr>
        <w:t xml:space="preserve"> </w:t>
      </w:r>
      <w:r>
        <w:rPr>
          <w:rFonts w:ascii="宋体" w:hAnsi="宋体" w:eastAsia="宋体" w:cs="宋体"/>
          <w:spacing w:val="-1"/>
          <w:sz w:val="24"/>
          <w:szCs w:val="24"/>
        </w:rPr>
        <w:t>情况，选取典型群落布设样方，设置样方共</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40</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个，其中干热河谷硬叶常绿栎类</w:t>
      </w:r>
      <w:r>
        <w:rPr>
          <w:rFonts w:ascii="宋体" w:hAnsi="宋体" w:eastAsia="宋体" w:cs="宋体"/>
          <w:sz w:val="24"/>
          <w:szCs w:val="24"/>
        </w:rPr>
        <w:t xml:space="preserve"> </w:t>
      </w:r>
      <w:r>
        <w:rPr>
          <w:rFonts w:ascii="宋体" w:hAnsi="宋体" w:eastAsia="宋体" w:cs="宋体"/>
          <w:spacing w:val="-4"/>
          <w:sz w:val="24"/>
          <w:szCs w:val="24"/>
        </w:rPr>
        <w:t>林</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个、半湿润常绿阔叶林</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个、落叶阔叶林</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个、暖温性针叶林</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个、干热性</w:t>
      </w:r>
      <w:r>
        <w:rPr>
          <w:rFonts w:ascii="宋体" w:hAnsi="宋体" w:eastAsia="宋体" w:cs="宋体"/>
          <w:sz w:val="24"/>
          <w:szCs w:val="24"/>
        </w:rPr>
        <w:t xml:space="preserve"> </w:t>
      </w:r>
      <w:r>
        <w:rPr>
          <w:rFonts w:ascii="宋体" w:hAnsi="宋体" w:eastAsia="宋体" w:cs="宋体"/>
          <w:spacing w:val="-2"/>
          <w:sz w:val="24"/>
          <w:szCs w:val="24"/>
        </w:rPr>
        <w:t>稀树灌木草丛</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个、暖温性稀树灌木草丛</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 xml:space="preserve">个、暖性石灰岩灌丛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个；在水库</w:t>
      </w:r>
      <w:r>
        <w:rPr>
          <w:rFonts w:ascii="宋体" w:hAnsi="宋体" w:eastAsia="宋体" w:cs="宋体"/>
          <w:sz w:val="24"/>
          <w:szCs w:val="24"/>
        </w:rPr>
        <w:t xml:space="preserve"> </w:t>
      </w:r>
      <w:r>
        <w:rPr>
          <w:rFonts w:ascii="宋体" w:hAnsi="宋体" w:eastAsia="宋体" w:cs="宋体"/>
          <w:spacing w:val="-6"/>
          <w:sz w:val="24"/>
          <w:szCs w:val="24"/>
        </w:rPr>
        <w:t>淹没区罗子左河引水工程评价区范围内（样方设置见植被样方设置</w:t>
      </w:r>
      <w:r>
        <w:rPr>
          <w:rFonts w:ascii="宋体" w:hAnsi="宋体" w:eastAsia="宋体" w:cs="宋体"/>
          <w:spacing w:val="-7"/>
          <w:sz w:val="24"/>
          <w:szCs w:val="24"/>
        </w:rPr>
        <w:t>明细表） 所有</w:t>
      </w:r>
      <w:r>
        <w:rPr>
          <w:rFonts w:ascii="宋体" w:hAnsi="宋体" w:eastAsia="宋体" w:cs="宋体"/>
          <w:sz w:val="24"/>
          <w:szCs w:val="24"/>
        </w:rPr>
        <w:t xml:space="preserve"> </w:t>
      </w:r>
      <w:r>
        <w:rPr>
          <w:rFonts w:ascii="宋体" w:hAnsi="宋体" w:eastAsia="宋体" w:cs="宋体"/>
          <w:spacing w:val="-1"/>
          <w:sz w:val="24"/>
          <w:szCs w:val="24"/>
        </w:rPr>
        <w:t>植被类型的样方有</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40</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个，人工植被不稳定未作样地表述。本次调查阔叶林样方</w:t>
      </w:r>
      <w:r>
        <w:rPr>
          <w:rFonts w:ascii="宋体" w:hAnsi="宋体" w:eastAsia="宋体" w:cs="宋体"/>
          <w:sz w:val="24"/>
          <w:szCs w:val="24"/>
        </w:rPr>
        <w:t xml:space="preserve"> 大小设置为</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20m</w:t>
      </w:r>
      <w:r>
        <w:rPr>
          <w:rFonts w:ascii="宋体" w:hAnsi="宋体" w:eastAsia="宋体" w:cs="宋体"/>
          <w:sz w:val="24"/>
          <w:szCs w:val="24"/>
        </w:rPr>
        <w:t>×</w:t>
      </w:r>
      <w:r>
        <w:rPr>
          <w:rFonts w:ascii="Times New Roman" w:hAnsi="Times New Roman" w:eastAsia="Times New Roman" w:cs="Times New Roman"/>
          <w:sz w:val="24"/>
          <w:szCs w:val="24"/>
        </w:rPr>
        <w:t>30m</w:t>
      </w:r>
      <w:r>
        <w:rPr>
          <w:rFonts w:ascii="宋体" w:hAnsi="宋体" w:eastAsia="宋体" w:cs="宋体"/>
          <w:sz w:val="24"/>
          <w:szCs w:val="24"/>
        </w:rPr>
        <w:t>，针叶林样方大小</w:t>
      </w:r>
      <w:r>
        <w:rPr>
          <w:rFonts w:ascii="宋体" w:hAnsi="宋体" w:eastAsia="宋体" w:cs="宋体"/>
          <w:spacing w:val="-1"/>
          <w:sz w:val="24"/>
          <w:szCs w:val="24"/>
        </w:rPr>
        <w:t>设置为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20m</w:t>
      </w:r>
      <w:r>
        <w:rPr>
          <w:rFonts w:ascii="宋体" w:hAnsi="宋体" w:eastAsia="宋体" w:cs="宋体"/>
          <w:spacing w:val="-1"/>
          <w:sz w:val="24"/>
          <w:szCs w:val="24"/>
        </w:rPr>
        <w:t>×</w:t>
      </w:r>
      <w:r>
        <w:rPr>
          <w:rFonts w:ascii="Times New Roman" w:hAnsi="Times New Roman" w:eastAsia="Times New Roman" w:cs="Times New Roman"/>
          <w:spacing w:val="-1"/>
          <w:sz w:val="24"/>
          <w:szCs w:val="24"/>
        </w:rPr>
        <w:t>20m</w:t>
      </w:r>
      <w:r>
        <w:rPr>
          <w:rFonts w:ascii="宋体" w:hAnsi="宋体" w:eastAsia="宋体" w:cs="宋体"/>
          <w:spacing w:val="-1"/>
          <w:sz w:val="24"/>
          <w:szCs w:val="24"/>
        </w:rPr>
        <w:t>，灌丛和稀树灌木草</w:t>
      </w:r>
      <w:r>
        <w:rPr>
          <w:rFonts w:ascii="宋体" w:hAnsi="宋体" w:eastAsia="宋体" w:cs="宋体"/>
          <w:sz w:val="24"/>
          <w:szCs w:val="24"/>
        </w:rPr>
        <w:t xml:space="preserve"> </w:t>
      </w:r>
      <w:r>
        <w:rPr>
          <w:rFonts w:ascii="宋体" w:hAnsi="宋体" w:eastAsia="宋体" w:cs="宋体"/>
          <w:spacing w:val="-11"/>
          <w:sz w:val="24"/>
          <w:szCs w:val="24"/>
        </w:rPr>
        <w:t>丛植被样方大小设置为</w:t>
      </w:r>
      <w:r>
        <w:rPr>
          <w:rFonts w:ascii="宋体" w:hAnsi="宋体" w:eastAsia="宋体" w:cs="宋体"/>
          <w:spacing w:val="-28"/>
          <w:sz w:val="24"/>
          <w:szCs w:val="24"/>
        </w:rPr>
        <w:t xml:space="preserve"> </w:t>
      </w:r>
      <w:r>
        <w:rPr>
          <w:rFonts w:ascii="Times New Roman" w:hAnsi="Times New Roman" w:eastAsia="Times New Roman" w:cs="Times New Roman"/>
          <w:spacing w:val="-11"/>
          <w:sz w:val="24"/>
          <w:szCs w:val="24"/>
        </w:rPr>
        <w:t>10m</w:t>
      </w:r>
      <w:r>
        <w:rPr>
          <w:rFonts w:ascii="宋体" w:hAnsi="宋体" w:eastAsia="宋体" w:cs="宋体"/>
          <w:spacing w:val="-11"/>
          <w:sz w:val="24"/>
          <w:szCs w:val="24"/>
        </w:rPr>
        <w:t>×</w:t>
      </w:r>
      <w:r>
        <w:rPr>
          <w:rFonts w:ascii="Times New Roman" w:hAnsi="Times New Roman" w:eastAsia="Times New Roman" w:cs="Times New Roman"/>
          <w:spacing w:val="-11"/>
          <w:sz w:val="24"/>
          <w:szCs w:val="24"/>
        </w:rPr>
        <w:t>10m</w:t>
      </w:r>
      <w:r>
        <w:rPr>
          <w:rFonts w:ascii="宋体" w:hAnsi="宋体" w:eastAsia="宋体" w:cs="宋体"/>
          <w:spacing w:val="-11"/>
          <w:sz w:val="24"/>
          <w:szCs w:val="24"/>
        </w:rPr>
        <w:t>。植被调查的同时，</w:t>
      </w:r>
      <w:r>
        <w:rPr>
          <w:rFonts w:ascii="宋体" w:hAnsi="宋体" w:eastAsia="宋体" w:cs="宋体"/>
          <w:spacing w:val="44"/>
          <w:sz w:val="24"/>
          <w:szCs w:val="24"/>
        </w:rPr>
        <w:t xml:space="preserve"> </w:t>
      </w:r>
      <w:r>
        <w:rPr>
          <w:rFonts w:ascii="宋体" w:hAnsi="宋体" w:eastAsia="宋体" w:cs="宋体"/>
          <w:spacing w:val="-11"/>
          <w:sz w:val="24"/>
          <w:szCs w:val="24"/>
        </w:rPr>
        <w:t>记下植物物种的组成、</w:t>
      </w:r>
      <w:r>
        <w:rPr>
          <w:rFonts w:ascii="宋体" w:hAnsi="宋体" w:eastAsia="宋体" w:cs="宋体"/>
          <w:spacing w:val="36"/>
          <w:sz w:val="24"/>
          <w:szCs w:val="24"/>
        </w:rPr>
        <w:t xml:space="preserve"> </w:t>
      </w:r>
      <w:r>
        <w:rPr>
          <w:rFonts w:ascii="宋体" w:hAnsi="宋体" w:eastAsia="宋体" w:cs="宋体"/>
          <w:spacing w:val="-11"/>
          <w:sz w:val="24"/>
          <w:szCs w:val="24"/>
        </w:rPr>
        <w:t>高</w:t>
      </w:r>
    </w:p>
    <w:p>
      <w:pPr>
        <w:spacing w:line="220" w:lineRule="auto"/>
        <w:ind w:left="38"/>
        <w:rPr>
          <w:rFonts w:ascii="宋体" w:hAnsi="宋体" w:eastAsia="宋体" w:cs="宋体"/>
          <w:sz w:val="24"/>
          <w:szCs w:val="24"/>
        </w:rPr>
      </w:pPr>
      <w:r>
        <w:rPr>
          <w:rFonts w:ascii="宋体" w:hAnsi="宋体" w:eastAsia="宋体" w:cs="宋体"/>
          <w:spacing w:val="-5"/>
          <w:sz w:val="24"/>
          <w:szCs w:val="24"/>
        </w:rPr>
        <w:t>度、盖度和多度。</w:t>
      </w:r>
    </w:p>
    <w:p>
      <w:pPr>
        <w:spacing w:before="181"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动物现状调查内容</w:t>
      </w:r>
    </w:p>
    <w:p>
      <w:pPr>
        <w:spacing w:before="163" w:line="467" w:lineRule="exact"/>
        <w:ind w:left="521"/>
        <w:rPr>
          <w:rFonts w:ascii="宋体" w:hAnsi="宋体" w:eastAsia="宋体" w:cs="宋体"/>
          <w:sz w:val="24"/>
          <w:szCs w:val="24"/>
        </w:rPr>
      </w:pPr>
      <w:r>
        <w:rPr>
          <w:rFonts w:ascii="宋体" w:hAnsi="宋体" w:eastAsia="宋体" w:cs="宋体"/>
          <w:spacing w:val="-8"/>
          <w:position w:val="17"/>
          <w:sz w:val="24"/>
          <w:szCs w:val="24"/>
        </w:rPr>
        <w:t>调查评价区内动物现状调查包括兽类、鸟类、爬行类和两栖类等，</w:t>
      </w:r>
      <w:r>
        <w:rPr>
          <w:rFonts w:ascii="宋体" w:hAnsi="宋体" w:eastAsia="宋体" w:cs="宋体"/>
          <w:spacing w:val="40"/>
          <w:position w:val="17"/>
          <w:sz w:val="24"/>
          <w:szCs w:val="24"/>
        </w:rPr>
        <w:t xml:space="preserve"> </w:t>
      </w:r>
      <w:r>
        <w:rPr>
          <w:rFonts w:ascii="宋体" w:hAnsi="宋体" w:eastAsia="宋体" w:cs="宋体"/>
          <w:spacing w:val="-8"/>
          <w:position w:val="17"/>
          <w:sz w:val="24"/>
          <w:szCs w:val="24"/>
        </w:rPr>
        <w:t>重点关注</w:t>
      </w:r>
    </w:p>
    <w:p>
      <w:pPr>
        <w:spacing w:line="218" w:lineRule="auto"/>
        <w:ind w:left="41"/>
        <w:rPr>
          <w:rFonts w:ascii="宋体" w:hAnsi="宋体" w:eastAsia="宋体" w:cs="宋体"/>
          <w:sz w:val="24"/>
          <w:szCs w:val="24"/>
        </w:rPr>
      </w:pPr>
      <w:r>
        <w:rPr>
          <w:rFonts w:ascii="宋体" w:hAnsi="宋体" w:eastAsia="宋体" w:cs="宋体"/>
          <w:spacing w:val="-7"/>
          <w:sz w:val="24"/>
          <w:szCs w:val="24"/>
        </w:rPr>
        <w:t>珍稀濒危保护物种、</w:t>
      </w:r>
      <w:r>
        <w:rPr>
          <w:rFonts w:ascii="宋体" w:hAnsi="宋体" w:eastAsia="宋体" w:cs="宋体"/>
          <w:spacing w:val="44"/>
          <w:sz w:val="24"/>
          <w:szCs w:val="24"/>
        </w:rPr>
        <w:t xml:space="preserve"> </w:t>
      </w:r>
      <w:r>
        <w:rPr>
          <w:rFonts w:ascii="宋体" w:hAnsi="宋体" w:eastAsia="宋体" w:cs="宋体"/>
          <w:spacing w:val="-7"/>
          <w:sz w:val="24"/>
          <w:szCs w:val="24"/>
        </w:rPr>
        <w:t>特有种以及具有重要经济和科研价值的物</w:t>
      </w:r>
      <w:r>
        <w:rPr>
          <w:rFonts w:ascii="宋体" w:hAnsi="宋体" w:eastAsia="宋体" w:cs="宋体"/>
          <w:spacing w:val="-8"/>
          <w:sz w:val="24"/>
          <w:szCs w:val="24"/>
        </w:rPr>
        <w:t>种。其中：</w:t>
      </w:r>
    </w:p>
    <w:p>
      <w:pPr>
        <w:spacing w:before="185" w:line="359" w:lineRule="auto"/>
        <w:ind w:left="40" w:right="110" w:firstLine="480"/>
        <w:rPr>
          <w:rFonts w:ascii="宋体" w:hAnsi="宋体" w:eastAsia="宋体" w:cs="宋体"/>
          <w:sz w:val="24"/>
          <w:szCs w:val="24"/>
        </w:rPr>
      </w:pPr>
      <w:r>
        <w:rPr>
          <w:rFonts w:ascii="宋体" w:hAnsi="宋体" w:eastAsia="宋体" w:cs="宋体"/>
          <w:spacing w:val="-7"/>
          <w:sz w:val="24"/>
          <w:szCs w:val="24"/>
        </w:rPr>
        <w:t>兽类利用调查路线直接观察， 调查记录路线两侧</w:t>
      </w:r>
      <w:r>
        <w:rPr>
          <w:rFonts w:ascii="宋体" w:hAnsi="宋体" w:eastAsia="宋体" w:cs="宋体"/>
          <w:spacing w:val="-33"/>
          <w:sz w:val="24"/>
          <w:szCs w:val="24"/>
        </w:rPr>
        <w:t xml:space="preserve"> </w:t>
      </w:r>
      <w:r>
        <w:rPr>
          <w:rFonts w:ascii="Times New Roman" w:hAnsi="Times New Roman" w:eastAsia="Times New Roman" w:cs="Times New Roman"/>
          <w:spacing w:val="-7"/>
          <w:sz w:val="24"/>
          <w:szCs w:val="24"/>
        </w:rPr>
        <w:t xml:space="preserve">300m  </w:t>
      </w:r>
      <w:r>
        <w:rPr>
          <w:rFonts w:ascii="宋体" w:hAnsi="宋体" w:eastAsia="宋体" w:cs="宋体"/>
          <w:spacing w:val="-7"/>
          <w:sz w:val="24"/>
          <w:szCs w:val="24"/>
        </w:rPr>
        <w:t>内所看到的兽类个体</w:t>
      </w:r>
      <w:r>
        <w:rPr>
          <w:rFonts w:ascii="宋体" w:hAnsi="宋体" w:eastAsia="宋体" w:cs="宋体"/>
          <w:sz w:val="24"/>
          <w:szCs w:val="24"/>
        </w:rPr>
        <w:t xml:space="preserve"> </w:t>
      </w:r>
      <w:r>
        <w:rPr>
          <w:rFonts w:ascii="宋体" w:hAnsi="宋体" w:eastAsia="宋体" w:cs="宋体"/>
          <w:spacing w:val="-15"/>
          <w:sz w:val="24"/>
          <w:szCs w:val="24"/>
        </w:rPr>
        <w:t>和数量， 对兽类活动的痕迹，</w:t>
      </w:r>
      <w:r>
        <w:rPr>
          <w:rFonts w:ascii="宋体" w:hAnsi="宋体" w:eastAsia="宋体" w:cs="宋体"/>
          <w:spacing w:val="46"/>
          <w:sz w:val="24"/>
          <w:szCs w:val="24"/>
        </w:rPr>
        <w:t xml:space="preserve"> </w:t>
      </w:r>
      <w:r>
        <w:rPr>
          <w:rFonts w:ascii="宋体" w:hAnsi="宋体" w:eastAsia="宋体" w:cs="宋体"/>
          <w:spacing w:val="-15"/>
          <w:sz w:val="24"/>
          <w:szCs w:val="24"/>
        </w:rPr>
        <w:t>如粪便、足迹、</w:t>
      </w:r>
      <w:r>
        <w:rPr>
          <w:rFonts w:ascii="宋体" w:hAnsi="宋体" w:eastAsia="宋体" w:cs="宋体"/>
          <w:spacing w:val="-16"/>
          <w:sz w:val="24"/>
          <w:szCs w:val="24"/>
        </w:rPr>
        <w:t>取食痕迹也进行观测记录，</w:t>
      </w:r>
      <w:r>
        <w:rPr>
          <w:rFonts w:ascii="宋体" w:hAnsi="宋体" w:eastAsia="宋体" w:cs="宋体"/>
          <w:spacing w:val="42"/>
          <w:sz w:val="24"/>
          <w:szCs w:val="24"/>
        </w:rPr>
        <w:t xml:space="preserve"> </w:t>
      </w:r>
      <w:r>
        <w:rPr>
          <w:rFonts w:ascii="宋体" w:hAnsi="宋体" w:eastAsia="宋体" w:cs="宋体"/>
          <w:spacing w:val="-16"/>
          <w:sz w:val="24"/>
          <w:szCs w:val="24"/>
        </w:rPr>
        <w:t>重点调</w:t>
      </w:r>
      <w:r>
        <w:rPr>
          <w:rFonts w:ascii="宋体" w:hAnsi="宋体" w:eastAsia="宋体" w:cs="宋体"/>
          <w:sz w:val="24"/>
          <w:szCs w:val="24"/>
        </w:rPr>
        <w:t xml:space="preserve"> </w:t>
      </w:r>
      <w:r>
        <w:rPr>
          <w:rFonts w:ascii="宋体" w:hAnsi="宋体" w:eastAsia="宋体" w:cs="宋体"/>
          <w:spacing w:val="-6"/>
          <w:sz w:val="24"/>
          <w:szCs w:val="24"/>
        </w:rPr>
        <w:t>查珍稀保护物种及其栖息地。为弥补有的兽类夜间活动不便观</w:t>
      </w:r>
      <w:r>
        <w:rPr>
          <w:rFonts w:ascii="宋体" w:hAnsi="宋体" w:eastAsia="宋体" w:cs="宋体"/>
          <w:spacing w:val="-7"/>
          <w:sz w:val="24"/>
          <w:szCs w:val="24"/>
        </w:rPr>
        <w:t>测的不足， 还采用</w:t>
      </w:r>
    </w:p>
    <w:p>
      <w:pPr>
        <w:spacing w:line="219" w:lineRule="auto"/>
        <w:ind w:left="60"/>
        <w:rPr>
          <w:rFonts w:ascii="宋体" w:hAnsi="宋体" w:eastAsia="宋体" w:cs="宋体"/>
          <w:sz w:val="24"/>
          <w:szCs w:val="24"/>
        </w:rPr>
      </w:pPr>
      <w:r>
        <w:rPr>
          <w:rFonts w:ascii="宋体" w:hAnsi="宋体" w:eastAsia="宋体" w:cs="宋体"/>
          <w:spacing w:val="-5"/>
          <w:sz w:val="24"/>
          <w:szCs w:val="24"/>
        </w:rPr>
        <w:t>了访问群众的方法收集资料。</w:t>
      </w:r>
    </w:p>
    <w:p>
      <w:pPr>
        <w:spacing w:before="182" w:line="359" w:lineRule="auto"/>
        <w:ind w:left="59" w:firstLine="465"/>
        <w:rPr>
          <w:rFonts w:ascii="宋体" w:hAnsi="宋体" w:eastAsia="宋体" w:cs="宋体"/>
          <w:sz w:val="24"/>
          <w:szCs w:val="24"/>
        </w:rPr>
      </w:pPr>
      <w:r>
        <w:rPr>
          <w:rFonts w:ascii="宋体" w:hAnsi="宋体" w:eastAsia="宋体" w:cs="宋体"/>
          <w:spacing w:val="-9"/>
          <w:sz w:val="24"/>
          <w:szCs w:val="24"/>
        </w:rPr>
        <w:t>鸟类主要采用路线统计法进行调查；</w:t>
      </w:r>
      <w:r>
        <w:rPr>
          <w:rFonts w:ascii="宋体" w:hAnsi="宋体" w:eastAsia="宋体" w:cs="宋体"/>
          <w:spacing w:val="-44"/>
          <w:sz w:val="24"/>
          <w:szCs w:val="24"/>
        </w:rPr>
        <w:t xml:space="preserve"> </w:t>
      </w:r>
      <w:r>
        <w:rPr>
          <w:rFonts w:ascii="宋体" w:hAnsi="宋体" w:eastAsia="宋体" w:cs="宋体"/>
          <w:spacing w:val="-9"/>
          <w:sz w:val="24"/>
          <w:szCs w:val="24"/>
        </w:rPr>
        <w:t>爬行类主要采用查询</w:t>
      </w:r>
      <w:r>
        <w:rPr>
          <w:rFonts w:ascii="宋体" w:hAnsi="宋体" w:eastAsia="宋体" w:cs="宋体"/>
          <w:spacing w:val="-10"/>
          <w:sz w:val="24"/>
          <w:szCs w:val="24"/>
        </w:rPr>
        <w:t>《中国爬行类图谱》</w:t>
      </w:r>
      <w:r>
        <w:rPr>
          <w:rFonts w:ascii="宋体" w:hAnsi="宋体" w:eastAsia="宋体" w:cs="宋体"/>
          <w:sz w:val="24"/>
          <w:szCs w:val="24"/>
        </w:rPr>
        <w:t xml:space="preserve"> </w:t>
      </w:r>
      <w:r>
        <w:rPr>
          <w:rFonts w:ascii="宋体" w:hAnsi="宋体" w:eastAsia="宋体" w:cs="宋体"/>
          <w:spacing w:val="-6"/>
          <w:sz w:val="24"/>
          <w:szCs w:val="24"/>
        </w:rPr>
        <w:t>的方法对收集的资料进行补充；</w:t>
      </w:r>
      <w:r>
        <w:rPr>
          <w:rFonts w:ascii="宋体" w:hAnsi="宋体" w:eastAsia="宋体" w:cs="宋体"/>
          <w:spacing w:val="-28"/>
          <w:sz w:val="24"/>
          <w:szCs w:val="24"/>
        </w:rPr>
        <w:t xml:space="preserve"> </w:t>
      </w:r>
      <w:r>
        <w:rPr>
          <w:rFonts w:ascii="宋体" w:hAnsi="宋体" w:eastAsia="宋体" w:cs="宋体"/>
          <w:spacing w:val="-6"/>
          <w:sz w:val="24"/>
          <w:szCs w:val="24"/>
        </w:rPr>
        <w:t>两栖类用路线法和样方法夜间在河</w:t>
      </w:r>
      <w:r>
        <w:rPr>
          <w:rFonts w:ascii="宋体" w:hAnsi="宋体" w:eastAsia="宋体" w:cs="宋体"/>
          <w:spacing w:val="-7"/>
          <w:sz w:val="24"/>
          <w:szCs w:val="24"/>
        </w:rPr>
        <w:t>边及溪边用手</w:t>
      </w:r>
    </w:p>
    <w:p>
      <w:pPr>
        <w:spacing w:before="1" w:line="219" w:lineRule="auto"/>
        <w:ind w:left="67"/>
        <w:rPr>
          <w:rFonts w:ascii="宋体" w:hAnsi="宋体" w:eastAsia="宋体" w:cs="宋体"/>
          <w:sz w:val="24"/>
          <w:szCs w:val="24"/>
        </w:rPr>
      </w:pPr>
      <w:r>
        <w:rPr>
          <w:rFonts w:ascii="宋体" w:hAnsi="宋体" w:eastAsia="宋体" w:cs="宋体"/>
          <w:spacing w:val="-6"/>
          <w:sz w:val="24"/>
          <w:szCs w:val="24"/>
        </w:rPr>
        <w:t>电照明进行调查和统计。</w:t>
      </w:r>
    </w:p>
    <w:p>
      <w:pPr>
        <w:spacing w:before="182"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桂花水库工程现状调查方法和内容</w:t>
      </w:r>
    </w:p>
    <w:p>
      <w:pPr>
        <w:spacing w:before="163" w:line="218" w:lineRule="auto"/>
        <w:ind w:left="518"/>
        <w:rPr>
          <w:rFonts w:ascii="宋体" w:hAnsi="宋体" w:eastAsia="宋体" w:cs="宋体"/>
          <w:sz w:val="24"/>
          <w:szCs w:val="24"/>
        </w:rPr>
      </w:pPr>
      <w:r>
        <w:rPr>
          <w:rFonts w:ascii="宋体" w:hAnsi="宋体" w:eastAsia="宋体" w:cs="宋体"/>
          <w:spacing w:val="-3"/>
          <w:sz w:val="24"/>
          <w:szCs w:val="24"/>
        </w:rPr>
        <w:t>评价通过向云南省林业调查规划院、楚雄市林草局及大姚县林草局</w:t>
      </w:r>
      <w:r>
        <w:rPr>
          <w:rFonts w:ascii="宋体" w:hAnsi="宋体" w:eastAsia="宋体" w:cs="宋体"/>
          <w:spacing w:val="-4"/>
          <w:sz w:val="24"/>
          <w:szCs w:val="24"/>
        </w:rPr>
        <w:t>的专业技</w:t>
      </w:r>
    </w:p>
    <w:p>
      <w:pPr>
        <w:spacing w:line="218" w:lineRule="auto"/>
        <w:rPr>
          <w:rFonts w:ascii="宋体" w:hAnsi="宋体" w:eastAsia="宋体" w:cs="宋体"/>
          <w:sz w:val="24"/>
          <w:szCs w:val="24"/>
        </w:rPr>
        <w:sectPr>
          <w:headerReference r:id="rId215" w:type="default"/>
          <w:footerReference r:id="rId216" w:type="default"/>
          <w:pgSz w:w="11907" w:h="16839"/>
          <w:pgMar w:top="1156" w:right="1688" w:bottom="1374" w:left="1770" w:header="881" w:footer="1210" w:gutter="0"/>
        </w:sectPr>
      </w:pPr>
    </w:p>
    <w:p>
      <w:pPr>
        <w:rPr>
          <w:rFonts w:ascii="Arial"/>
          <w:sz w:val="21"/>
        </w:rPr>
      </w:pPr>
    </w:p>
    <w:p>
      <w:pPr>
        <w:spacing w:before="78" w:line="359" w:lineRule="auto"/>
        <w:ind w:left="39" w:right="30" w:firstLine="1"/>
        <w:jc w:val="both"/>
        <w:rPr>
          <w:rFonts w:ascii="宋体" w:hAnsi="宋体" w:eastAsia="宋体" w:cs="宋体"/>
          <w:sz w:val="24"/>
          <w:szCs w:val="24"/>
        </w:rPr>
      </w:pPr>
      <w:r>
        <w:rPr>
          <w:rFonts w:ascii="宋体" w:hAnsi="宋体" w:eastAsia="宋体" w:cs="宋体"/>
          <w:spacing w:val="-6"/>
          <w:sz w:val="24"/>
          <w:szCs w:val="24"/>
        </w:rPr>
        <w:t>术人员， 详细了解当地森林资源、退耕还林工程、野生植</w:t>
      </w:r>
      <w:r>
        <w:rPr>
          <w:rFonts w:ascii="宋体" w:hAnsi="宋体" w:eastAsia="宋体" w:cs="宋体"/>
          <w:spacing w:val="-7"/>
          <w:sz w:val="24"/>
          <w:szCs w:val="24"/>
        </w:rPr>
        <w:t>物的种类组成和变动情</w:t>
      </w:r>
      <w:r>
        <w:rPr>
          <w:rFonts w:ascii="宋体" w:hAnsi="宋体" w:eastAsia="宋体" w:cs="宋体"/>
          <w:sz w:val="24"/>
          <w:szCs w:val="24"/>
        </w:rPr>
        <w:t xml:space="preserve"> </w:t>
      </w:r>
      <w:r>
        <w:rPr>
          <w:rFonts w:ascii="宋体" w:hAnsi="宋体" w:eastAsia="宋体" w:cs="宋体"/>
          <w:spacing w:val="-6"/>
          <w:sz w:val="24"/>
          <w:szCs w:val="24"/>
        </w:rPr>
        <w:t>况。由于历史上大姚县境内生物多样性调查极少， 通过收集当</w:t>
      </w:r>
      <w:r>
        <w:rPr>
          <w:rFonts w:ascii="宋体" w:hAnsi="宋体" w:eastAsia="宋体" w:cs="宋体"/>
          <w:spacing w:val="-7"/>
          <w:sz w:val="24"/>
          <w:szCs w:val="24"/>
        </w:rPr>
        <w:t>地及其邻近地区的</w:t>
      </w:r>
      <w:r>
        <w:rPr>
          <w:rFonts w:ascii="宋体" w:hAnsi="宋体" w:eastAsia="宋体" w:cs="宋体"/>
          <w:sz w:val="24"/>
          <w:szCs w:val="24"/>
        </w:rPr>
        <w:t xml:space="preserve"> </w:t>
      </w:r>
      <w:r>
        <w:rPr>
          <w:rFonts w:ascii="宋体" w:hAnsi="宋体" w:eastAsia="宋体" w:cs="宋体"/>
          <w:spacing w:val="-8"/>
          <w:sz w:val="24"/>
          <w:szCs w:val="24"/>
        </w:rPr>
        <w:t>相关生物考察资料和植物记录等， 并尽量结合以下文献，</w:t>
      </w:r>
      <w:r>
        <w:rPr>
          <w:rFonts w:ascii="宋体" w:hAnsi="宋体" w:eastAsia="宋体" w:cs="宋体"/>
          <w:spacing w:val="-56"/>
          <w:sz w:val="24"/>
          <w:szCs w:val="24"/>
        </w:rPr>
        <w:t xml:space="preserve"> </w:t>
      </w:r>
      <w:r>
        <w:rPr>
          <w:rFonts w:ascii="宋体" w:hAnsi="宋体" w:eastAsia="宋体" w:cs="宋体"/>
          <w:spacing w:val="-8"/>
          <w:sz w:val="24"/>
          <w:szCs w:val="24"/>
        </w:rPr>
        <w:t>来开展桂花水库工程评</w:t>
      </w:r>
    </w:p>
    <w:p>
      <w:pPr>
        <w:spacing w:line="218" w:lineRule="auto"/>
        <w:ind w:left="40"/>
        <w:rPr>
          <w:rFonts w:ascii="宋体" w:hAnsi="宋体" w:eastAsia="宋体" w:cs="宋体"/>
          <w:sz w:val="24"/>
          <w:szCs w:val="24"/>
        </w:rPr>
      </w:pPr>
      <w:r>
        <w:rPr>
          <w:rFonts w:ascii="宋体" w:hAnsi="宋体" w:eastAsia="宋体" w:cs="宋体"/>
          <w:spacing w:val="-6"/>
          <w:sz w:val="24"/>
          <w:szCs w:val="24"/>
        </w:rPr>
        <w:t>价区的生态现状调查：</w:t>
      </w:r>
    </w:p>
    <w:p>
      <w:pPr>
        <w:spacing w:before="182" w:line="213" w:lineRule="auto"/>
        <w:ind w:left="521"/>
        <w:rPr>
          <w:rFonts w:ascii="Times New Roman" w:hAnsi="Times New Roman" w:eastAsia="Times New Roman" w:cs="Times New Roman"/>
          <w:sz w:val="24"/>
          <w:szCs w:val="24"/>
        </w:rPr>
      </w:pPr>
      <w:r>
        <w:rPr>
          <w:rFonts w:ascii="宋体" w:hAnsi="宋体" w:eastAsia="宋体" w:cs="宋体"/>
          <w:spacing w:val="-2"/>
          <w:sz w:val="24"/>
          <w:szCs w:val="24"/>
        </w:rPr>
        <w:t>吴征镒</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中国植被编辑委员会</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中国植被</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3"/>
          <w:sz w:val="24"/>
          <w:szCs w:val="24"/>
        </w:rPr>
        <w:t xml:space="preserve">1980,  </w:t>
      </w:r>
      <w:r>
        <w:rPr>
          <w:rFonts w:ascii="宋体" w:hAnsi="宋体" w:eastAsia="宋体" w:cs="宋体"/>
          <w:spacing w:val="-3"/>
          <w:sz w:val="24"/>
          <w:szCs w:val="24"/>
        </w:rPr>
        <w:t>科学出版社</w:t>
      </w:r>
      <w:r>
        <w:rPr>
          <w:rFonts w:ascii="Times New Roman" w:hAnsi="Times New Roman" w:eastAsia="Times New Roman" w:cs="Times New Roman"/>
          <w:spacing w:val="-3"/>
          <w:sz w:val="24"/>
          <w:szCs w:val="24"/>
        </w:rPr>
        <w:t>.</w:t>
      </w:r>
    </w:p>
    <w:p>
      <w:pPr>
        <w:spacing w:before="189" w:line="213" w:lineRule="auto"/>
        <w:ind w:left="521"/>
        <w:rPr>
          <w:rFonts w:ascii="Times New Roman" w:hAnsi="Times New Roman" w:eastAsia="Times New Roman" w:cs="Times New Roman"/>
          <w:sz w:val="24"/>
          <w:szCs w:val="24"/>
        </w:rPr>
      </w:pPr>
      <w:r>
        <w:rPr>
          <w:rFonts w:ascii="宋体" w:hAnsi="宋体" w:eastAsia="宋体" w:cs="宋体"/>
          <w:spacing w:val="-1"/>
          <w:sz w:val="24"/>
          <w:szCs w:val="24"/>
        </w:rPr>
        <w:t>吴征镒</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朱彦丞</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姜汉侨</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云南植被</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pacing w:val="-1"/>
          <w:sz w:val="24"/>
          <w:szCs w:val="24"/>
        </w:rPr>
        <w:t xml:space="preserve">1987,  </w:t>
      </w:r>
      <w:r>
        <w:rPr>
          <w:rFonts w:ascii="宋体" w:hAnsi="宋体" w:eastAsia="宋体" w:cs="宋体"/>
          <w:spacing w:val="-1"/>
          <w:sz w:val="24"/>
          <w:szCs w:val="24"/>
        </w:rPr>
        <w:t>科学出版社</w:t>
      </w:r>
      <w:r>
        <w:rPr>
          <w:rFonts w:ascii="Times New Roman" w:hAnsi="Times New Roman" w:eastAsia="Times New Roman" w:cs="Times New Roman"/>
          <w:spacing w:val="-1"/>
          <w:sz w:val="24"/>
          <w:szCs w:val="24"/>
        </w:rPr>
        <w:t>.</w:t>
      </w:r>
    </w:p>
    <w:p>
      <w:pPr>
        <w:spacing w:before="190" w:line="212" w:lineRule="auto"/>
        <w:ind w:left="521"/>
        <w:rPr>
          <w:rFonts w:ascii="Times New Roman" w:hAnsi="Times New Roman" w:eastAsia="Times New Roman" w:cs="Times New Roman"/>
          <w:sz w:val="24"/>
          <w:szCs w:val="24"/>
        </w:rPr>
      </w:pPr>
      <w:r>
        <w:rPr>
          <w:rFonts w:ascii="宋体" w:hAnsi="宋体" w:eastAsia="宋体" w:cs="宋体"/>
          <w:spacing w:val="-3"/>
          <w:sz w:val="24"/>
          <w:szCs w:val="24"/>
        </w:rPr>
        <w:t>吴征镒</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w w:val="101"/>
          <w:sz w:val="24"/>
          <w:szCs w:val="24"/>
        </w:rPr>
        <w:t xml:space="preserve"> </w:t>
      </w:r>
      <w:r>
        <w:rPr>
          <w:rFonts w:ascii="Times New Roman" w:hAnsi="Times New Roman" w:eastAsia="Times New Roman" w:cs="Times New Roman"/>
          <w:spacing w:val="-3"/>
          <w:sz w:val="24"/>
          <w:szCs w:val="24"/>
        </w:rPr>
        <w:t>1991.</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中国种子植物属的分布区类型</w:t>
      </w:r>
      <w:r>
        <w:rPr>
          <w:rFonts w:ascii="Times New Roman" w:hAnsi="Times New Roman" w:eastAsia="Times New Roman" w:cs="Times New Roman"/>
          <w:spacing w:val="-3"/>
          <w:sz w:val="24"/>
          <w:szCs w:val="24"/>
        </w:rPr>
        <w:t xml:space="preserve">(J),  </w:t>
      </w:r>
      <w:r>
        <w:rPr>
          <w:rFonts w:ascii="宋体" w:hAnsi="宋体" w:eastAsia="宋体" w:cs="宋体"/>
          <w:spacing w:val="-3"/>
          <w:sz w:val="24"/>
          <w:szCs w:val="24"/>
        </w:rPr>
        <w:t>云</w:t>
      </w:r>
      <w:r>
        <w:rPr>
          <w:rFonts w:ascii="宋体" w:hAnsi="宋体" w:eastAsia="宋体" w:cs="宋体"/>
          <w:spacing w:val="-4"/>
          <w:sz w:val="24"/>
          <w:szCs w:val="24"/>
        </w:rPr>
        <w:t>南植物研究</w:t>
      </w:r>
      <w:r>
        <w:rPr>
          <w:rFonts w:ascii="Times New Roman" w:hAnsi="Times New Roman" w:eastAsia="Times New Roman" w:cs="Times New Roman"/>
          <w:spacing w:val="-4"/>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4"/>
          <w:sz w:val="24"/>
          <w:szCs w:val="24"/>
        </w:rPr>
        <w:t>1(9):</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139.</w:t>
      </w:r>
    </w:p>
    <w:p>
      <w:pPr>
        <w:spacing w:before="192" w:line="212" w:lineRule="auto"/>
        <w:ind w:left="521"/>
        <w:rPr>
          <w:rFonts w:ascii="Times New Roman" w:hAnsi="Times New Roman" w:eastAsia="Times New Roman" w:cs="Times New Roman"/>
          <w:sz w:val="24"/>
          <w:szCs w:val="24"/>
        </w:rPr>
      </w:pPr>
      <w:r>
        <w:rPr>
          <w:rFonts w:ascii="宋体" w:hAnsi="宋体" w:eastAsia="宋体" w:cs="宋体"/>
          <w:spacing w:val="-3"/>
          <w:sz w:val="24"/>
          <w:szCs w:val="24"/>
        </w:rPr>
        <w:t>李锡文</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 xml:space="preserve">1995.  </w:t>
      </w:r>
      <w:r>
        <w:rPr>
          <w:rFonts w:ascii="宋体" w:hAnsi="宋体" w:eastAsia="宋体" w:cs="宋体"/>
          <w:spacing w:val="-3"/>
          <w:sz w:val="24"/>
          <w:szCs w:val="24"/>
        </w:rPr>
        <w:t>云南热带种子植物区系</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云南植物研究</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17(2):</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3"/>
          <w:sz w:val="24"/>
          <w:szCs w:val="24"/>
        </w:rPr>
        <w:t>115-</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128.</w:t>
      </w:r>
    </w:p>
    <w:p>
      <w:pPr>
        <w:spacing w:before="192" w:line="467" w:lineRule="exact"/>
        <w:ind w:right="27"/>
        <w:jc w:val="right"/>
        <w:rPr>
          <w:rFonts w:ascii="宋体" w:hAnsi="宋体" w:eastAsia="宋体" w:cs="宋体"/>
          <w:sz w:val="24"/>
          <w:szCs w:val="24"/>
        </w:rPr>
      </w:pPr>
      <w:r>
        <w:rPr>
          <w:rFonts w:ascii="宋体" w:hAnsi="宋体" w:eastAsia="宋体" w:cs="宋体"/>
          <w:spacing w:val="4"/>
          <w:position w:val="17"/>
          <w:sz w:val="24"/>
          <w:szCs w:val="24"/>
        </w:rPr>
        <w:t>李国昌</w:t>
      </w:r>
      <w:r>
        <w:rPr>
          <w:rFonts w:ascii="Times New Roman" w:hAnsi="Times New Roman" w:eastAsia="Times New Roman" w:cs="Times New Roman"/>
          <w:spacing w:val="4"/>
          <w:position w:val="17"/>
          <w:sz w:val="24"/>
          <w:szCs w:val="24"/>
        </w:rPr>
        <w:t xml:space="preserve">,  </w:t>
      </w:r>
      <w:r>
        <w:rPr>
          <w:rFonts w:ascii="宋体" w:hAnsi="宋体" w:eastAsia="宋体" w:cs="宋体"/>
          <w:spacing w:val="4"/>
          <w:position w:val="17"/>
          <w:sz w:val="24"/>
          <w:szCs w:val="24"/>
        </w:rPr>
        <w:t>孟广涛</w:t>
      </w:r>
      <w:r>
        <w:rPr>
          <w:rFonts w:ascii="Times New Roman" w:hAnsi="Times New Roman" w:eastAsia="Times New Roman" w:cs="Times New Roman"/>
          <w:spacing w:val="4"/>
          <w:position w:val="17"/>
          <w:sz w:val="24"/>
          <w:szCs w:val="24"/>
        </w:rPr>
        <w:t xml:space="preserve">,  </w:t>
      </w:r>
      <w:r>
        <w:rPr>
          <w:rFonts w:ascii="宋体" w:hAnsi="宋体" w:eastAsia="宋体" w:cs="宋体"/>
          <w:spacing w:val="4"/>
          <w:position w:val="17"/>
          <w:sz w:val="24"/>
          <w:szCs w:val="24"/>
        </w:rPr>
        <w:t>彭发寿</w:t>
      </w:r>
      <w:r>
        <w:rPr>
          <w:rFonts w:ascii="Times New Roman" w:hAnsi="Times New Roman" w:eastAsia="Times New Roman" w:cs="Times New Roman"/>
          <w:spacing w:val="4"/>
          <w:position w:val="17"/>
          <w:sz w:val="24"/>
          <w:szCs w:val="24"/>
        </w:rPr>
        <w:t xml:space="preserve">,  </w:t>
      </w:r>
      <w:r>
        <w:rPr>
          <w:rFonts w:ascii="宋体" w:hAnsi="宋体" w:eastAsia="宋体" w:cs="宋体"/>
          <w:spacing w:val="4"/>
          <w:position w:val="17"/>
          <w:sz w:val="24"/>
          <w:szCs w:val="24"/>
        </w:rPr>
        <w:t>等</w:t>
      </w:r>
      <w:r>
        <w:rPr>
          <w:rFonts w:ascii="Times New Roman" w:hAnsi="Times New Roman" w:eastAsia="Times New Roman" w:cs="Times New Roman"/>
          <w:spacing w:val="4"/>
          <w:position w:val="17"/>
          <w:sz w:val="24"/>
          <w:szCs w:val="24"/>
        </w:rPr>
        <w:t xml:space="preserve">.  </w:t>
      </w:r>
      <w:r>
        <w:rPr>
          <w:rFonts w:ascii="宋体" w:hAnsi="宋体" w:eastAsia="宋体" w:cs="宋体"/>
          <w:spacing w:val="4"/>
          <w:position w:val="17"/>
          <w:sz w:val="24"/>
          <w:szCs w:val="24"/>
        </w:rPr>
        <w:t>滇中紫溪山维管植物区系初步研究</w:t>
      </w:r>
      <w:r>
        <w:rPr>
          <w:rFonts w:ascii="Times New Roman" w:hAnsi="Times New Roman" w:eastAsia="Times New Roman" w:cs="Times New Roman"/>
          <w:spacing w:val="4"/>
          <w:position w:val="17"/>
          <w:sz w:val="24"/>
          <w:szCs w:val="24"/>
        </w:rPr>
        <w:t xml:space="preserve">(J).  </w:t>
      </w:r>
      <w:r>
        <w:rPr>
          <w:rFonts w:ascii="宋体" w:hAnsi="宋体" w:eastAsia="宋体" w:cs="宋体"/>
          <w:spacing w:val="4"/>
          <w:position w:val="17"/>
          <w:sz w:val="24"/>
          <w:szCs w:val="24"/>
        </w:rPr>
        <w:t>林业</w:t>
      </w:r>
    </w:p>
    <w:p>
      <w:pPr>
        <w:spacing w:line="221" w:lineRule="auto"/>
        <w:ind w:left="38"/>
        <w:rPr>
          <w:rFonts w:ascii="Times New Roman" w:hAnsi="Times New Roman" w:eastAsia="Times New Roman" w:cs="Times New Roman"/>
          <w:sz w:val="24"/>
          <w:szCs w:val="24"/>
        </w:rPr>
      </w:pPr>
      <w:r>
        <w:rPr>
          <w:rFonts w:ascii="宋体" w:hAnsi="宋体" w:eastAsia="宋体" w:cs="宋体"/>
          <w:spacing w:val="-1"/>
          <w:sz w:val="24"/>
          <w:szCs w:val="24"/>
        </w:rPr>
        <w:t>勘查设计</w:t>
      </w:r>
      <w:r>
        <w:rPr>
          <w:rFonts w:ascii="Times New Roman" w:hAnsi="Times New Roman" w:eastAsia="Times New Roman" w:cs="Times New Roman"/>
          <w:spacing w:val="-1"/>
          <w:sz w:val="24"/>
          <w:szCs w:val="24"/>
        </w:rPr>
        <w:t>, 2010, 001:</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pacing w:val="-1"/>
          <w:sz w:val="24"/>
          <w:szCs w:val="24"/>
        </w:rPr>
        <w:t>65-69.</w:t>
      </w:r>
    </w:p>
    <w:p>
      <w:pPr>
        <w:spacing w:before="179" w:line="486" w:lineRule="exact"/>
        <w:ind w:right="28"/>
        <w:jc w:val="right"/>
        <w:rPr>
          <w:rFonts w:ascii="Times New Roman" w:hAnsi="Times New Roman" w:eastAsia="Times New Roman" w:cs="Times New Roman"/>
          <w:sz w:val="24"/>
          <w:szCs w:val="24"/>
        </w:rPr>
      </w:pPr>
      <w:r>
        <w:rPr>
          <w:rFonts w:ascii="宋体" w:hAnsi="宋体" w:eastAsia="宋体" w:cs="宋体"/>
          <w:spacing w:val="1"/>
          <w:position w:val="19"/>
          <w:sz w:val="24"/>
          <w:szCs w:val="24"/>
        </w:rPr>
        <w:t>安科</w:t>
      </w:r>
      <w:r>
        <w:rPr>
          <w:rFonts w:ascii="Times New Roman" w:hAnsi="Times New Roman" w:eastAsia="Times New Roman" w:cs="Times New Roman"/>
          <w:spacing w:val="1"/>
          <w:position w:val="19"/>
          <w:sz w:val="24"/>
          <w:szCs w:val="24"/>
        </w:rPr>
        <w:t xml:space="preserve">.  </w:t>
      </w:r>
      <w:r>
        <w:rPr>
          <w:rFonts w:ascii="宋体" w:hAnsi="宋体" w:eastAsia="宋体" w:cs="宋体"/>
          <w:spacing w:val="1"/>
          <w:position w:val="19"/>
          <w:sz w:val="24"/>
          <w:szCs w:val="24"/>
        </w:rPr>
        <w:t>紫溪山省级自然保护区现状及保护管理建议</w:t>
      </w:r>
      <w:r>
        <w:rPr>
          <w:rFonts w:ascii="Times New Roman" w:hAnsi="Times New Roman" w:eastAsia="Times New Roman" w:cs="Times New Roman"/>
          <w:spacing w:val="1"/>
          <w:position w:val="19"/>
          <w:sz w:val="24"/>
          <w:szCs w:val="24"/>
        </w:rPr>
        <w:t>(</w:t>
      </w:r>
      <w:r>
        <w:rPr>
          <w:rFonts w:ascii="Times New Roman" w:hAnsi="Times New Roman" w:eastAsia="Times New Roman" w:cs="Times New Roman"/>
          <w:position w:val="19"/>
          <w:sz w:val="24"/>
          <w:szCs w:val="24"/>
        </w:rPr>
        <w:t xml:space="preserve">J).  </w:t>
      </w:r>
      <w:r>
        <w:rPr>
          <w:rFonts w:ascii="宋体" w:hAnsi="宋体" w:eastAsia="宋体" w:cs="宋体"/>
          <w:position w:val="19"/>
          <w:sz w:val="24"/>
          <w:szCs w:val="24"/>
        </w:rPr>
        <w:t>林业调查规划</w:t>
      </w:r>
      <w:r>
        <w:rPr>
          <w:rFonts w:ascii="Times New Roman" w:hAnsi="Times New Roman" w:eastAsia="Times New Roman" w:cs="Times New Roman"/>
          <w:position w:val="19"/>
          <w:sz w:val="24"/>
          <w:szCs w:val="24"/>
        </w:rPr>
        <w:t>,</w:t>
      </w:r>
      <w:r>
        <w:rPr>
          <w:rFonts w:ascii="Times New Roman" w:hAnsi="Times New Roman" w:eastAsia="Times New Roman" w:cs="Times New Roman"/>
          <w:spacing w:val="35"/>
          <w:position w:val="19"/>
          <w:sz w:val="24"/>
          <w:szCs w:val="24"/>
        </w:rPr>
        <w:t xml:space="preserve"> </w:t>
      </w:r>
      <w:r>
        <w:rPr>
          <w:rFonts w:ascii="Times New Roman" w:hAnsi="Times New Roman" w:eastAsia="Times New Roman" w:cs="Times New Roman"/>
          <w:position w:val="19"/>
          <w:sz w:val="24"/>
          <w:szCs w:val="24"/>
        </w:rPr>
        <w:t>2018,</w:t>
      </w:r>
    </w:p>
    <w:p>
      <w:pPr>
        <w:spacing w:before="1" w:line="191" w:lineRule="auto"/>
        <w:ind w:left="3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43(05):</w:t>
      </w:r>
      <w:r>
        <w:rPr>
          <w:rFonts w:ascii="Times New Roman" w:hAnsi="Times New Roman" w:eastAsia="Times New Roman" w:cs="Times New Roman"/>
          <w:spacing w:val="41"/>
          <w:sz w:val="24"/>
          <w:szCs w:val="24"/>
        </w:rPr>
        <w:t xml:space="preserve"> </w:t>
      </w:r>
      <w:r>
        <w:rPr>
          <w:rFonts w:ascii="Times New Roman" w:hAnsi="Times New Roman" w:eastAsia="Times New Roman" w:cs="Times New Roman"/>
          <w:spacing w:val="-3"/>
          <w:sz w:val="24"/>
          <w:szCs w:val="24"/>
        </w:rPr>
        <w:t>126-</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129+133.</w:t>
      </w:r>
    </w:p>
    <w:p>
      <w:pPr>
        <w:spacing w:before="174" w:line="467" w:lineRule="exact"/>
        <w:ind w:right="28"/>
        <w:jc w:val="right"/>
        <w:rPr>
          <w:rFonts w:ascii="宋体" w:hAnsi="宋体" w:eastAsia="宋体" w:cs="宋体"/>
          <w:sz w:val="24"/>
          <w:szCs w:val="24"/>
        </w:rPr>
      </w:pPr>
      <w:r>
        <w:rPr>
          <w:rFonts w:ascii="宋体" w:hAnsi="宋体" w:eastAsia="宋体" w:cs="宋体"/>
          <w:position w:val="17"/>
          <w:sz w:val="24"/>
          <w:szCs w:val="24"/>
        </w:rPr>
        <w:t>李光富</w:t>
      </w:r>
      <w:r>
        <w:rPr>
          <w:rFonts w:ascii="Times New Roman" w:hAnsi="Times New Roman" w:eastAsia="Times New Roman" w:cs="Times New Roman"/>
          <w:position w:val="17"/>
          <w:sz w:val="24"/>
          <w:szCs w:val="24"/>
        </w:rPr>
        <w:t xml:space="preserve">.  </w:t>
      </w:r>
      <w:r>
        <w:rPr>
          <w:rFonts w:ascii="宋体" w:hAnsi="宋体" w:eastAsia="宋体" w:cs="宋体"/>
          <w:position w:val="17"/>
          <w:sz w:val="24"/>
          <w:szCs w:val="24"/>
        </w:rPr>
        <w:t>紫溪山珍稀濒危植物区系特征与保护策略的研究</w:t>
      </w:r>
      <w:r>
        <w:rPr>
          <w:rFonts w:ascii="Times New Roman" w:hAnsi="Times New Roman" w:eastAsia="Times New Roman" w:cs="Times New Roman"/>
          <w:position w:val="17"/>
          <w:sz w:val="24"/>
          <w:szCs w:val="24"/>
        </w:rPr>
        <w:t xml:space="preserve">(J).  </w:t>
      </w:r>
      <w:r>
        <w:rPr>
          <w:rFonts w:ascii="宋体" w:hAnsi="宋体" w:eastAsia="宋体" w:cs="宋体"/>
          <w:position w:val="17"/>
          <w:sz w:val="24"/>
          <w:szCs w:val="24"/>
        </w:rPr>
        <w:t>楚雄师范学院</w:t>
      </w:r>
    </w:p>
    <w:p>
      <w:pPr>
        <w:spacing w:before="1" w:line="212" w:lineRule="auto"/>
        <w:ind w:left="44"/>
        <w:rPr>
          <w:rFonts w:ascii="Times New Roman" w:hAnsi="Times New Roman" w:eastAsia="Times New Roman" w:cs="Times New Roman"/>
          <w:sz w:val="24"/>
          <w:szCs w:val="24"/>
        </w:rPr>
      </w:pPr>
      <w:r>
        <w:rPr>
          <w:rFonts w:ascii="宋体" w:hAnsi="宋体" w:eastAsia="宋体" w:cs="宋体"/>
          <w:spacing w:val="-1"/>
          <w:sz w:val="24"/>
          <w:szCs w:val="24"/>
        </w:rPr>
        <w:t>学报</w:t>
      </w:r>
      <w:r>
        <w:rPr>
          <w:rFonts w:ascii="Times New Roman" w:hAnsi="Times New Roman" w:eastAsia="Times New Roman" w:cs="Times New Roman"/>
          <w:spacing w:val="-1"/>
          <w:sz w:val="24"/>
          <w:szCs w:val="24"/>
        </w:rPr>
        <w:t>, 2006, 021(009):</w:t>
      </w:r>
      <w:r>
        <w:rPr>
          <w:rFonts w:ascii="Times New Roman" w:hAnsi="Times New Roman" w:eastAsia="Times New Roman" w:cs="Times New Roman"/>
          <w:spacing w:val="10"/>
          <w:sz w:val="24"/>
          <w:szCs w:val="24"/>
        </w:rPr>
        <w:t xml:space="preserve"> </w:t>
      </w:r>
      <w:r>
        <w:rPr>
          <w:rFonts w:ascii="Times New Roman" w:hAnsi="Times New Roman" w:eastAsia="Times New Roman" w:cs="Times New Roman"/>
          <w:spacing w:val="-1"/>
          <w:sz w:val="24"/>
          <w:szCs w:val="24"/>
        </w:rPr>
        <w:t>65-67.</w:t>
      </w:r>
    </w:p>
    <w:p>
      <w:pPr>
        <w:spacing w:before="190" w:line="468" w:lineRule="exact"/>
        <w:ind w:right="31"/>
        <w:jc w:val="right"/>
        <w:rPr>
          <w:rFonts w:ascii="宋体" w:hAnsi="宋体" w:eastAsia="宋体" w:cs="宋体"/>
          <w:sz w:val="24"/>
          <w:szCs w:val="24"/>
        </w:rPr>
      </w:pPr>
      <w:r>
        <w:rPr>
          <w:rFonts w:ascii="宋体" w:hAnsi="宋体" w:eastAsia="宋体" w:cs="宋体"/>
          <w:spacing w:val="3"/>
          <w:position w:val="17"/>
          <w:sz w:val="24"/>
          <w:szCs w:val="24"/>
        </w:rPr>
        <w:t>韦宇</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李斌</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童绍玉</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等</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楚雄紫溪山南坡植物物种多样性的海拔梯度分布</w:t>
      </w:r>
    </w:p>
    <w:p>
      <w:pPr>
        <w:spacing w:line="212" w:lineRule="auto"/>
        <w:ind w:left="39"/>
        <w:rPr>
          <w:rFonts w:ascii="Times New Roman" w:hAnsi="Times New Roman" w:eastAsia="Times New Roman" w:cs="Times New Roman"/>
          <w:sz w:val="24"/>
          <w:szCs w:val="24"/>
        </w:rPr>
      </w:pPr>
      <w:r>
        <w:rPr>
          <w:rFonts w:ascii="宋体" w:hAnsi="宋体" w:eastAsia="宋体" w:cs="宋体"/>
          <w:spacing w:val="-1"/>
          <w:sz w:val="24"/>
          <w:szCs w:val="24"/>
        </w:rPr>
        <w:t>格局研究</w:t>
      </w:r>
      <w:r>
        <w:rPr>
          <w:rFonts w:ascii="Times New Roman" w:hAnsi="Times New Roman" w:eastAsia="Times New Roman" w:cs="Times New Roman"/>
          <w:spacing w:val="-1"/>
          <w:sz w:val="24"/>
          <w:szCs w:val="24"/>
        </w:rPr>
        <w:t xml:space="preserve">(J).  </w:t>
      </w:r>
      <w:r>
        <w:rPr>
          <w:rFonts w:ascii="宋体" w:hAnsi="宋体" w:eastAsia="宋体" w:cs="宋体"/>
          <w:spacing w:val="-1"/>
          <w:sz w:val="24"/>
          <w:szCs w:val="24"/>
        </w:rPr>
        <w:t>林业资源管理</w:t>
      </w:r>
      <w:r>
        <w:rPr>
          <w:rFonts w:ascii="Times New Roman" w:hAnsi="Times New Roman" w:eastAsia="Times New Roman" w:cs="Times New Roman"/>
          <w:spacing w:val="-1"/>
          <w:sz w:val="24"/>
          <w:szCs w:val="24"/>
        </w:rPr>
        <w:t>, 2012, 000(002): 96-</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spacing w:val="-1"/>
          <w:sz w:val="24"/>
          <w:szCs w:val="24"/>
        </w:rPr>
        <w:t>101.</w:t>
      </w:r>
    </w:p>
    <w:p>
      <w:pPr>
        <w:spacing w:before="191" w:line="467" w:lineRule="exact"/>
        <w:ind w:right="30"/>
        <w:jc w:val="right"/>
        <w:rPr>
          <w:rFonts w:ascii="宋体" w:hAnsi="宋体" w:eastAsia="宋体" w:cs="宋体"/>
          <w:sz w:val="24"/>
          <w:szCs w:val="24"/>
        </w:rPr>
      </w:pPr>
      <w:r>
        <w:rPr>
          <w:rFonts w:ascii="宋体" w:hAnsi="宋体" w:eastAsia="宋体" w:cs="宋体"/>
          <w:spacing w:val="2"/>
          <w:position w:val="17"/>
          <w:sz w:val="24"/>
          <w:szCs w:val="24"/>
        </w:rPr>
        <w:t>李雪玲</w:t>
      </w:r>
      <w:r>
        <w:rPr>
          <w:rFonts w:ascii="Times New Roman" w:hAnsi="Times New Roman" w:eastAsia="Times New Roman" w:cs="Times New Roman"/>
          <w:spacing w:val="2"/>
          <w:position w:val="17"/>
          <w:sz w:val="24"/>
          <w:szCs w:val="24"/>
        </w:rPr>
        <w:t xml:space="preserve">,  </w:t>
      </w:r>
      <w:r>
        <w:rPr>
          <w:rFonts w:ascii="宋体" w:hAnsi="宋体" w:eastAsia="宋体" w:cs="宋体"/>
          <w:spacing w:val="2"/>
          <w:position w:val="17"/>
          <w:sz w:val="24"/>
          <w:szCs w:val="24"/>
        </w:rPr>
        <w:t>徐成东</w:t>
      </w:r>
      <w:r>
        <w:rPr>
          <w:rFonts w:ascii="Times New Roman" w:hAnsi="Times New Roman" w:eastAsia="Times New Roman" w:cs="Times New Roman"/>
          <w:spacing w:val="2"/>
          <w:position w:val="17"/>
          <w:sz w:val="24"/>
          <w:szCs w:val="24"/>
        </w:rPr>
        <w:t xml:space="preserve">.  </w:t>
      </w:r>
      <w:r>
        <w:rPr>
          <w:rFonts w:ascii="宋体" w:hAnsi="宋体" w:eastAsia="宋体" w:cs="宋体"/>
          <w:spacing w:val="2"/>
          <w:position w:val="17"/>
          <w:sz w:val="24"/>
          <w:szCs w:val="24"/>
        </w:rPr>
        <w:t>紫溪山风景区被子</w:t>
      </w:r>
      <w:r>
        <w:rPr>
          <w:rFonts w:ascii="宋体" w:hAnsi="宋体" w:eastAsia="宋体" w:cs="宋体"/>
          <w:spacing w:val="1"/>
          <w:position w:val="17"/>
          <w:sz w:val="24"/>
          <w:szCs w:val="24"/>
        </w:rPr>
        <w:t>植物区系成分分析</w:t>
      </w:r>
      <w:r>
        <w:rPr>
          <w:rFonts w:ascii="Times New Roman" w:hAnsi="Times New Roman" w:eastAsia="Times New Roman" w:cs="Times New Roman"/>
          <w:spacing w:val="1"/>
          <w:position w:val="17"/>
          <w:sz w:val="24"/>
          <w:szCs w:val="24"/>
        </w:rPr>
        <w:t xml:space="preserve">(J).  </w:t>
      </w:r>
      <w:r>
        <w:rPr>
          <w:rFonts w:ascii="宋体" w:hAnsi="宋体" w:eastAsia="宋体" w:cs="宋体"/>
          <w:spacing w:val="1"/>
          <w:position w:val="17"/>
          <w:sz w:val="24"/>
          <w:szCs w:val="24"/>
        </w:rPr>
        <w:t>云南师范大学学</w:t>
      </w:r>
    </w:p>
    <w:p>
      <w:pPr>
        <w:spacing w:line="212" w:lineRule="auto"/>
        <w:ind w:left="37"/>
        <w:rPr>
          <w:rFonts w:ascii="Times New Roman" w:hAnsi="Times New Roman" w:eastAsia="Times New Roman" w:cs="Times New Roman"/>
          <w:sz w:val="24"/>
          <w:szCs w:val="24"/>
        </w:rPr>
      </w:pPr>
      <w:r>
        <w:rPr>
          <w:rFonts w:ascii="宋体" w:hAnsi="宋体" w:eastAsia="宋体" w:cs="宋体"/>
          <w:spacing w:val="-1"/>
          <w:sz w:val="24"/>
          <w:szCs w:val="24"/>
        </w:rPr>
        <w:t>报</w:t>
      </w:r>
      <w:r>
        <w:rPr>
          <w:rFonts w:ascii="Times New Roman" w:hAnsi="Times New Roman" w:eastAsia="Times New Roman" w:cs="Times New Roman"/>
          <w:spacing w:val="-1"/>
          <w:sz w:val="24"/>
          <w:szCs w:val="24"/>
        </w:rPr>
        <w:t>:</w:t>
      </w:r>
      <w:r>
        <w:rPr>
          <w:rFonts w:ascii="宋体" w:hAnsi="宋体" w:eastAsia="宋体" w:cs="宋体"/>
          <w:spacing w:val="-1"/>
          <w:sz w:val="24"/>
          <w:szCs w:val="24"/>
        </w:rPr>
        <w:t>自然科学版</w:t>
      </w:r>
      <w:r>
        <w:rPr>
          <w:rFonts w:ascii="Times New Roman" w:hAnsi="Times New Roman" w:eastAsia="Times New Roman" w:cs="Times New Roman"/>
          <w:spacing w:val="-1"/>
          <w:sz w:val="24"/>
          <w:szCs w:val="24"/>
        </w:rPr>
        <w:t>(4): 54-58.</w:t>
      </w:r>
    </w:p>
    <w:p>
      <w:pPr>
        <w:spacing w:before="191" w:line="467" w:lineRule="exact"/>
        <w:ind w:right="34"/>
        <w:jc w:val="right"/>
        <w:rPr>
          <w:rFonts w:ascii="宋体" w:hAnsi="宋体" w:eastAsia="宋体" w:cs="宋体"/>
          <w:sz w:val="24"/>
          <w:szCs w:val="24"/>
        </w:rPr>
      </w:pPr>
      <w:r>
        <w:rPr>
          <w:rFonts w:ascii="宋体" w:hAnsi="宋体" w:eastAsia="宋体" w:cs="宋体"/>
          <w:spacing w:val="3"/>
          <w:position w:val="17"/>
          <w:sz w:val="24"/>
          <w:szCs w:val="24"/>
        </w:rPr>
        <w:t>王浩波</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马国强</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苏俊彦</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王智飞</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云南大姚昙华山地区种子植物区系调研</w:t>
      </w:r>
    </w:p>
    <w:p>
      <w:pPr>
        <w:spacing w:line="212" w:lineRule="auto"/>
        <w:ind w:left="39"/>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(J).  </w:t>
      </w:r>
      <w:r>
        <w:rPr>
          <w:rFonts w:ascii="宋体" w:hAnsi="宋体" w:eastAsia="宋体" w:cs="宋体"/>
          <w:spacing w:val="-1"/>
          <w:sz w:val="24"/>
          <w:szCs w:val="24"/>
        </w:rPr>
        <w:t>吉林农业</w:t>
      </w:r>
      <w:r>
        <w:rPr>
          <w:rFonts w:ascii="Times New Roman" w:hAnsi="Times New Roman" w:eastAsia="Times New Roman" w:cs="Times New Roman"/>
          <w:spacing w:val="-1"/>
          <w:sz w:val="24"/>
          <w:szCs w:val="24"/>
        </w:rPr>
        <w:t>, 2019,</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1"/>
          <w:sz w:val="24"/>
          <w:szCs w:val="24"/>
        </w:rPr>
        <w:t>26-27.</w:t>
      </w:r>
    </w:p>
    <w:p>
      <w:pPr>
        <w:spacing w:before="191" w:line="467" w:lineRule="exact"/>
        <w:ind w:right="33"/>
        <w:jc w:val="right"/>
        <w:rPr>
          <w:rFonts w:ascii="宋体" w:hAnsi="宋体" w:eastAsia="宋体" w:cs="宋体"/>
          <w:sz w:val="24"/>
          <w:szCs w:val="24"/>
        </w:rPr>
      </w:pPr>
      <w:r>
        <w:rPr>
          <w:rFonts w:ascii="宋体" w:hAnsi="宋体" w:eastAsia="宋体" w:cs="宋体"/>
          <w:spacing w:val="4"/>
          <w:position w:val="17"/>
          <w:sz w:val="24"/>
          <w:szCs w:val="24"/>
        </w:rPr>
        <w:t>侯建伟</w:t>
      </w:r>
      <w:r>
        <w:rPr>
          <w:rFonts w:ascii="Times New Roman" w:hAnsi="Times New Roman" w:eastAsia="Times New Roman" w:cs="Times New Roman"/>
          <w:spacing w:val="4"/>
          <w:position w:val="17"/>
          <w:sz w:val="24"/>
          <w:szCs w:val="24"/>
        </w:rPr>
        <w:t xml:space="preserve">,  </w:t>
      </w:r>
      <w:r>
        <w:rPr>
          <w:rFonts w:ascii="宋体" w:hAnsi="宋体" w:eastAsia="宋体" w:cs="宋体"/>
          <w:spacing w:val="4"/>
          <w:position w:val="17"/>
          <w:sz w:val="24"/>
          <w:szCs w:val="24"/>
        </w:rPr>
        <w:t>钱正富</w:t>
      </w:r>
      <w:r>
        <w:rPr>
          <w:rFonts w:ascii="Times New Roman" w:hAnsi="Times New Roman" w:eastAsia="Times New Roman" w:cs="Times New Roman"/>
          <w:spacing w:val="4"/>
          <w:position w:val="17"/>
          <w:sz w:val="24"/>
          <w:szCs w:val="24"/>
        </w:rPr>
        <w:t>,</w:t>
      </w:r>
      <w:r>
        <w:rPr>
          <w:rFonts w:ascii="Times New Roman" w:hAnsi="Times New Roman" w:eastAsia="Times New Roman" w:cs="Times New Roman"/>
          <w:spacing w:val="22"/>
          <w:position w:val="17"/>
          <w:sz w:val="24"/>
          <w:szCs w:val="24"/>
        </w:rPr>
        <w:t xml:space="preserve">  </w:t>
      </w:r>
      <w:r>
        <w:rPr>
          <w:rFonts w:ascii="宋体" w:hAnsi="宋体" w:eastAsia="宋体" w:cs="宋体"/>
          <w:spacing w:val="4"/>
          <w:position w:val="17"/>
          <w:sz w:val="24"/>
          <w:szCs w:val="24"/>
        </w:rPr>
        <w:t>曾维成</w:t>
      </w:r>
      <w:r>
        <w:rPr>
          <w:rFonts w:ascii="Times New Roman" w:hAnsi="Times New Roman" w:eastAsia="Times New Roman" w:cs="Times New Roman"/>
          <w:spacing w:val="4"/>
          <w:position w:val="17"/>
          <w:sz w:val="24"/>
          <w:szCs w:val="24"/>
        </w:rPr>
        <w:t xml:space="preserve">,  </w:t>
      </w:r>
      <w:r>
        <w:rPr>
          <w:rFonts w:ascii="宋体" w:hAnsi="宋体" w:eastAsia="宋体" w:cs="宋体"/>
          <w:spacing w:val="4"/>
          <w:position w:val="17"/>
          <w:sz w:val="24"/>
          <w:szCs w:val="24"/>
        </w:rPr>
        <w:t>王东</w:t>
      </w:r>
      <w:r>
        <w:rPr>
          <w:rFonts w:ascii="Times New Roman" w:hAnsi="Times New Roman" w:eastAsia="Times New Roman" w:cs="Times New Roman"/>
          <w:spacing w:val="4"/>
          <w:position w:val="17"/>
          <w:sz w:val="24"/>
          <w:szCs w:val="24"/>
        </w:rPr>
        <w:t xml:space="preserve">,  </w:t>
      </w:r>
      <w:r>
        <w:rPr>
          <w:rFonts w:ascii="宋体" w:hAnsi="宋体" w:eastAsia="宋体" w:cs="宋体"/>
          <w:spacing w:val="4"/>
          <w:position w:val="17"/>
          <w:sz w:val="24"/>
          <w:szCs w:val="24"/>
        </w:rPr>
        <w:t>张伟</w:t>
      </w:r>
      <w:r>
        <w:rPr>
          <w:rFonts w:ascii="Times New Roman" w:hAnsi="Times New Roman" w:eastAsia="Times New Roman" w:cs="Times New Roman"/>
          <w:spacing w:val="4"/>
          <w:position w:val="17"/>
          <w:sz w:val="24"/>
          <w:szCs w:val="24"/>
        </w:rPr>
        <w:t xml:space="preserve">. </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楚雄至大姚高速公路沿线典型植物</w:t>
      </w:r>
    </w:p>
    <w:p>
      <w:pPr>
        <w:spacing w:line="212" w:lineRule="auto"/>
        <w:ind w:left="39"/>
        <w:rPr>
          <w:rFonts w:ascii="Times New Roman" w:hAnsi="Times New Roman" w:eastAsia="Times New Roman" w:cs="Times New Roman"/>
          <w:sz w:val="24"/>
          <w:szCs w:val="24"/>
        </w:rPr>
      </w:pPr>
      <w:r>
        <w:rPr>
          <w:rFonts w:ascii="宋体" w:hAnsi="宋体" w:eastAsia="宋体" w:cs="宋体"/>
          <w:spacing w:val="-2"/>
          <w:sz w:val="24"/>
          <w:szCs w:val="24"/>
        </w:rPr>
        <w:t>群落结构和优势物种研究</w:t>
      </w:r>
      <w:r>
        <w:rPr>
          <w:rFonts w:ascii="Times New Roman" w:hAnsi="Times New Roman" w:eastAsia="Times New Roman" w:cs="Times New Roman"/>
          <w:spacing w:val="-2"/>
          <w:sz w:val="24"/>
          <w:szCs w:val="24"/>
        </w:rPr>
        <w:t xml:space="preserve">(J).  </w:t>
      </w:r>
      <w:r>
        <w:rPr>
          <w:rFonts w:ascii="宋体" w:hAnsi="宋体" w:eastAsia="宋体" w:cs="宋体"/>
          <w:spacing w:val="-2"/>
          <w:sz w:val="24"/>
          <w:szCs w:val="24"/>
        </w:rPr>
        <w:t>公路交通科技：应用技术版</w:t>
      </w:r>
      <w:r>
        <w:rPr>
          <w:rFonts w:ascii="Times New Roman" w:hAnsi="Times New Roman" w:eastAsia="Times New Roman" w:cs="Times New Roman"/>
          <w:spacing w:val="-2"/>
          <w:sz w:val="24"/>
          <w:szCs w:val="24"/>
        </w:rPr>
        <w:t>, 2020,</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2"/>
          <w:sz w:val="24"/>
          <w:szCs w:val="24"/>
        </w:rPr>
        <w:t>157</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162.</w:t>
      </w:r>
    </w:p>
    <w:p>
      <w:pPr>
        <w:spacing w:before="190" w:line="213" w:lineRule="auto"/>
        <w:ind w:left="521"/>
        <w:rPr>
          <w:rFonts w:ascii="宋体" w:hAnsi="宋体" w:eastAsia="宋体" w:cs="宋体"/>
          <w:sz w:val="24"/>
          <w:szCs w:val="24"/>
        </w:rPr>
      </w:pPr>
      <w:r>
        <w:rPr>
          <w:rFonts w:ascii="宋体" w:hAnsi="宋体" w:eastAsia="宋体" w:cs="宋体"/>
          <w:spacing w:val="-5"/>
          <w:sz w:val="24"/>
          <w:szCs w:val="24"/>
        </w:rPr>
        <w:t>杨岚</w:t>
      </w:r>
      <w:r>
        <w:rPr>
          <w:rFonts w:ascii="Times New Roman" w:hAnsi="Times New Roman" w:eastAsia="Times New Roman" w:cs="Times New Roman"/>
          <w:spacing w:val="-5"/>
          <w:sz w:val="24"/>
          <w:szCs w:val="24"/>
        </w:rPr>
        <w:t xml:space="preserve">,  </w:t>
      </w:r>
      <w:r>
        <w:rPr>
          <w:rFonts w:ascii="宋体" w:hAnsi="宋体" w:eastAsia="宋体" w:cs="宋体"/>
          <w:spacing w:val="-5"/>
          <w:sz w:val="24"/>
          <w:szCs w:val="24"/>
        </w:rPr>
        <w:t xml:space="preserve">云南鸟类志（上卷•非雀形目）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5"/>
          <w:sz w:val="24"/>
          <w:szCs w:val="24"/>
        </w:rPr>
        <w:t>1995,</w:t>
      </w:r>
      <w:r>
        <w:rPr>
          <w:rFonts w:ascii="Times New Roman" w:hAnsi="Times New Roman" w:eastAsia="Times New Roman" w:cs="Times New Roman"/>
          <w:spacing w:val="8"/>
          <w:sz w:val="24"/>
          <w:szCs w:val="24"/>
        </w:rPr>
        <w:t xml:space="preserve">  </w:t>
      </w:r>
      <w:r>
        <w:rPr>
          <w:rFonts w:ascii="宋体" w:hAnsi="宋体" w:eastAsia="宋体" w:cs="宋体"/>
          <w:spacing w:val="-5"/>
          <w:sz w:val="24"/>
          <w:szCs w:val="24"/>
        </w:rPr>
        <w:t>云南科技出版社</w:t>
      </w:r>
    </w:p>
    <w:p>
      <w:pPr>
        <w:spacing w:before="190" w:line="213" w:lineRule="auto"/>
        <w:ind w:left="521"/>
        <w:rPr>
          <w:rFonts w:ascii="Times New Roman" w:hAnsi="Times New Roman" w:eastAsia="Times New Roman" w:cs="Times New Roman"/>
          <w:sz w:val="24"/>
          <w:szCs w:val="24"/>
        </w:rPr>
      </w:pPr>
      <w:r>
        <w:rPr>
          <w:rFonts w:ascii="宋体" w:hAnsi="宋体" w:eastAsia="宋体" w:cs="宋体"/>
          <w:spacing w:val="-3"/>
          <w:sz w:val="24"/>
          <w:szCs w:val="24"/>
        </w:rPr>
        <w:t>杨岚</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杨晓君</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 xml:space="preserve">云南鸟类志（下卷•雀形目）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5"/>
          <w:sz w:val="24"/>
          <w:szCs w:val="24"/>
        </w:rPr>
        <w:t xml:space="preserve"> </w:t>
      </w:r>
      <w:r>
        <w:rPr>
          <w:rFonts w:ascii="Times New Roman" w:hAnsi="Times New Roman" w:eastAsia="Times New Roman" w:cs="Times New Roman"/>
          <w:spacing w:val="-3"/>
          <w:sz w:val="24"/>
          <w:szCs w:val="24"/>
        </w:rPr>
        <w:t>2004</w:t>
      </w:r>
      <w:r>
        <w:rPr>
          <w:rFonts w:ascii="Times New Roman" w:hAnsi="Times New Roman" w:eastAsia="Times New Roman" w:cs="Times New Roman"/>
          <w:spacing w:val="-4"/>
          <w:sz w:val="24"/>
          <w:szCs w:val="24"/>
        </w:rPr>
        <w:t>,</w:t>
      </w:r>
      <w:r>
        <w:rPr>
          <w:rFonts w:ascii="Times New Roman" w:hAnsi="Times New Roman" w:eastAsia="Times New Roman" w:cs="Times New Roman"/>
          <w:spacing w:val="7"/>
          <w:sz w:val="24"/>
          <w:szCs w:val="24"/>
        </w:rPr>
        <w:t xml:space="preserve">  </w:t>
      </w:r>
      <w:r>
        <w:rPr>
          <w:rFonts w:ascii="宋体" w:hAnsi="宋体" w:eastAsia="宋体" w:cs="宋体"/>
          <w:spacing w:val="-4"/>
          <w:sz w:val="24"/>
          <w:szCs w:val="24"/>
        </w:rPr>
        <w:t>云南科技出版社</w:t>
      </w:r>
      <w:r>
        <w:rPr>
          <w:rFonts w:ascii="Times New Roman" w:hAnsi="Times New Roman" w:eastAsia="Times New Roman" w:cs="Times New Roman"/>
          <w:spacing w:val="-4"/>
          <w:sz w:val="24"/>
          <w:szCs w:val="24"/>
        </w:rPr>
        <w:t>.</w:t>
      </w:r>
    </w:p>
    <w:p>
      <w:pPr>
        <w:spacing w:before="191" w:line="490" w:lineRule="exact"/>
        <w:ind w:right="28"/>
        <w:jc w:val="right"/>
        <w:rPr>
          <w:rFonts w:ascii="Times New Roman" w:hAnsi="Times New Roman" w:eastAsia="Times New Roman" w:cs="Times New Roman"/>
          <w:sz w:val="24"/>
          <w:szCs w:val="24"/>
        </w:rPr>
      </w:pPr>
      <w:r>
        <w:rPr>
          <w:rFonts w:ascii="宋体" w:hAnsi="宋体" w:eastAsia="宋体" w:cs="宋体"/>
          <w:spacing w:val="2"/>
          <w:position w:val="19"/>
          <w:sz w:val="24"/>
          <w:szCs w:val="24"/>
        </w:rPr>
        <w:t>张荣祖</w:t>
      </w:r>
      <w:r>
        <w:rPr>
          <w:rFonts w:ascii="Times New Roman" w:hAnsi="Times New Roman" w:eastAsia="Times New Roman" w:cs="Times New Roman"/>
          <w:spacing w:val="2"/>
          <w:position w:val="19"/>
          <w:sz w:val="24"/>
          <w:szCs w:val="24"/>
        </w:rPr>
        <w:t xml:space="preserve">,  </w:t>
      </w:r>
      <w:r>
        <w:rPr>
          <w:rFonts w:ascii="宋体" w:hAnsi="宋体" w:eastAsia="宋体" w:cs="宋体"/>
          <w:spacing w:val="2"/>
          <w:position w:val="19"/>
          <w:sz w:val="24"/>
          <w:szCs w:val="24"/>
        </w:rPr>
        <w:t>赵肯堂</w:t>
      </w:r>
      <w:r>
        <w:rPr>
          <w:rFonts w:ascii="Times New Roman" w:hAnsi="Times New Roman" w:eastAsia="Times New Roman" w:cs="Times New Roman"/>
          <w:spacing w:val="2"/>
          <w:position w:val="19"/>
          <w:sz w:val="24"/>
          <w:szCs w:val="24"/>
        </w:rPr>
        <w:t xml:space="preserve">,  </w:t>
      </w:r>
      <w:r>
        <w:rPr>
          <w:rFonts w:ascii="宋体" w:hAnsi="宋体" w:eastAsia="宋体" w:cs="宋体"/>
          <w:spacing w:val="2"/>
          <w:position w:val="19"/>
          <w:sz w:val="24"/>
          <w:szCs w:val="24"/>
        </w:rPr>
        <w:t>《中国动物地理区划》的修改</w:t>
      </w:r>
      <w:r>
        <w:rPr>
          <w:rFonts w:ascii="Times New Roman" w:hAnsi="Times New Roman" w:eastAsia="Times New Roman" w:cs="Times New Roman"/>
          <w:spacing w:val="2"/>
          <w:position w:val="19"/>
          <w:sz w:val="24"/>
          <w:szCs w:val="24"/>
        </w:rPr>
        <w:t xml:space="preserve">(J),  1978,  </w:t>
      </w:r>
      <w:r>
        <w:rPr>
          <w:rFonts w:ascii="宋体" w:hAnsi="宋体" w:eastAsia="宋体" w:cs="宋体"/>
          <w:spacing w:val="2"/>
          <w:position w:val="19"/>
          <w:sz w:val="24"/>
          <w:szCs w:val="24"/>
        </w:rPr>
        <w:t>动物学报</w:t>
      </w:r>
      <w:r>
        <w:rPr>
          <w:rFonts w:ascii="Times New Roman" w:hAnsi="Times New Roman" w:eastAsia="Times New Roman" w:cs="Times New Roman"/>
          <w:spacing w:val="2"/>
          <w:position w:val="19"/>
          <w:sz w:val="24"/>
          <w:szCs w:val="24"/>
        </w:rPr>
        <w:t>,</w:t>
      </w:r>
      <w:r>
        <w:rPr>
          <w:rFonts w:ascii="Times New Roman" w:hAnsi="Times New Roman" w:eastAsia="Times New Roman" w:cs="Times New Roman"/>
          <w:spacing w:val="37"/>
          <w:w w:val="101"/>
          <w:position w:val="19"/>
          <w:sz w:val="24"/>
          <w:szCs w:val="24"/>
        </w:rPr>
        <w:t xml:space="preserve"> </w:t>
      </w:r>
      <w:r>
        <w:rPr>
          <w:rFonts w:ascii="Times New Roman" w:hAnsi="Times New Roman" w:eastAsia="Times New Roman" w:cs="Times New Roman"/>
          <w:spacing w:val="2"/>
          <w:position w:val="19"/>
          <w:sz w:val="24"/>
          <w:szCs w:val="24"/>
        </w:rPr>
        <w:t>24(</w:t>
      </w:r>
      <w:r>
        <w:rPr>
          <w:rFonts w:ascii="Times New Roman" w:hAnsi="Times New Roman" w:eastAsia="Times New Roman" w:cs="Times New Roman"/>
          <w:spacing w:val="1"/>
          <w:position w:val="19"/>
          <w:sz w:val="24"/>
          <w:szCs w:val="24"/>
        </w:rPr>
        <w:t>2):</w:t>
      </w:r>
    </w:p>
    <w:p>
      <w:pPr>
        <w:spacing w:line="188" w:lineRule="auto"/>
        <w:ind w:left="58"/>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196-202.</w:t>
      </w:r>
    </w:p>
    <w:p>
      <w:pPr>
        <w:spacing w:before="174" w:line="469" w:lineRule="exact"/>
        <w:ind w:right="31"/>
        <w:jc w:val="right"/>
        <w:rPr>
          <w:rFonts w:ascii="宋体" w:hAnsi="宋体" w:eastAsia="宋体" w:cs="宋体"/>
          <w:sz w:val="24"/>
          <w:szCs w:val="24"/>
        </w:rPr>
      </w:pPr>
      <w:r>
        <w:rPr>
          <w:rFonts w:ascii="宋体" w:hAnsi="宋体" w:eastAsia="宋体" w:cs="宋体"/>
          <w:spacing w:val="1"/>
          <w:position w:val="17"/>
          <w:sz w:val="24"/>
          <w:szCs w:val="24"/>
        </w:rPr>
        <w:t>李達明</w:t>
      </w:r>
      <w:r>
        <w:rPr>
          <w:rFonts w:ascii="Times New Roman" w:hAnsi="Times New Roman" w:eastAsia="Times New Roman" w:cs="Times New Roman"/>
          <w:spacing w:val="1"/>
          <w:position w:val="17"/>
          <w:sz w:val="24"/>
          <w:szCs w:val="24"/>
        </w:rPr>
        <w:t xml:space="preserve">,  </w:t>
      </w:r>
      <w:r>
        <w:rPr>
          <w:rFonts w:ascii="宋体" w:hAnsi="宋体" w:eastAsia="宋体" w:cs="宋体"/>
          <w:spacing w:val="1"/>
          <w:position w:val="17"/>
          <w:sz w:val="24"/>
          <w:szCs w:val="24"/>
        </w:rPr>
        <w:t>温世生</w:t>
      </w:r>
      <w:r>
        <w:rPr>
          <w:rFonts w:ascii="Times New Roman" w:hAnsi="Times New Roman" w:eastAsia="Times New Roman" w:cs="Times New Roman"/>
          <w:spacing w:val="1"/>
          <w:position w:val="17"/>
          <w:sz w:val="24"/>
          <w:szCs w:val="24"/>
        </w:rPr>
        <w:t>,</w:t>
      </w:r>
      <w:r>
        <w:rPr>
          <w:rFonts w:ascii="Times New Roman" w:hAnsi="Times New Roman" w:eastAsia="Times New Roman" w:cs="Times New Roman"/>
          <w:spacing w:val="22"/>
          <w:position w:val="17"/>
          <w:sz w:val="24"/>
          <w:szCs w:val="24"/>
        </w:rPr>
        <w:t xml:space="preserve">  </w:t>
      </w:r>
      <w:r>
        <w:rPr>
          <w:rFonts w:ascii="宋体" w:hAnsi="宋体" w:eastAsia="宋体" w:cs="宋体"/>
          <w:spacing w:val="1"/>
          <w:position w:val="17"/>
          <w:sz w:val="24"/>
          <w:szCs w:val="24"/>
        </w:rPr>
        <w:t>中国野生动物保护协会</w:t>
      </w:r>
      <w:r>
        <w:rPr>
          <w:rFonts w:ascii="Times New Roman" w:hAnsi="Times New Roman" w:eastAsia="Times New Roman" w:cs="Times New Roman"/>
          <w:spacing w:val="1"/>
          <w:position w:val="17"/>
          <w:sz w:val="24"/>
          <w:szCs w:val="24"/>
        </w:rPr>
        <w:t>.</w:t>
      </w:r>
      <w:r>
        <w:rPr>
          <w:rFonts w:ascii="Times New Roman" w:hAnsi="Times New Roman" w:eastAsia="Times New Roman" w:cs="Times New Roman"/>
          <w:spacing w:val="-24"/>
          <w:position w:val="17"/>
          <w:sz w:val="24"/>
          <w:szCs w:val="24"/>
        </w:rPr>
        <w:t xml:space="preserve"> </w:t>
      </w:r>
      <w:r>
        <w:rPr>
          <w:rFonts w:ascii="宋体" w:hAnsi="宋体" w:eastAsia="宋体" w:cs="宋体"/>
          <w:spacing w:val="1"/>
          <w:position w:val="17"/>
          <w:sz w:val="24"/>
          <w:szCs w:val="24"/>
        </w:rPr>
        <w:t>中国爬行动物图鉴</w:t>
      </w:r>
      <w:r>
        <w:rPr>
          <w:rFonts w:ascii="Times New Roman" w:hAnsi="Times New Roman" w:eastAsia="Times New Roman" w:cs="Times New Roman"/>
          <w:spacing w:val="1"/>
          <w:position w:val="17"/>
          <w:sz w:val="24"/>
          <w:szCs w:val="24"/>
        </w:rPr>
        <w:t xml:space="preserve">(M).  </w:t>
      </w:r>
      <w:r>
        <w:rPr>
          <w:rFonts w:ascii="宋体" w:hAnsi="宋体" w:eastAsia="宋体" w:cs="宋体"/>
          <w:spacing w:val="1"/>
          <w:position w:val="17"/>
          <w:sz w:val="24"/>
          <w:szCs w:val="24"/>
        </w:rPr>
        <w:t>河南科学</w:t>
      </w:r>
    </w:p>
    <w:p>
      <w:pPr>
        <w:spacing w:line="212" w:lineRule="auto"/>
        <w:ind w:left="40"/>
        <w:rPr>
          <w:rFonts w:ascii="Times New Roman" w:hAnsi="Times New Roman" w:eastAsia="Times New Roman" w:cs="Times New Roman"/>
          <w:sz w:val="24"/>
          <w:szCs w:val="24"/>
        </w:rPr>
      </w:pPr>
      <w:r>
        <w:rPr>
          <w:rFonts w:ascii="宋体" w:hAnsi="宋体" w:eastAsia="宋体" w:cs="宋体"/>
          <w:spacing w:val="-1"/>
          <w:sz w:val="24"/>
          <w:szCs w:val="24"/>
        </w:rPr>
        <w:t>技术出版社</w:t>
      </w:r>
      <w:r>
        <w:rPr>
          <w:rFonts w:ascii="Times New Roman" w:hAnsi="Times New Roman" w:eastAsia="Times New Roman" w:cs="Times New Roman"/>
          <w:spacing w:val="-1"/>
          <w:sz w:val="24"/>
          <w:szCs w:val="24"/>
        </w:rPr>
        <w:t>, 2002.</w:t>
      </w:r>
    </w:p>
    <w:p>
      <w:pPr>
        <w:spacing w:before="191" w:line="490" w:lineRule="exact"/>
        <w:ind w:right="18"/>
        <w:jc w:val="right"/>
        <w:rPr>
          <w:rFonts w:ascii="Times New Roman" w:hAnsi="Times New Roman" w:eastAsia="Times New Roman" w:cs="Times New Roman"/>
          <w:sz w:val="24"/>
          <w:szCs w:val="24"/>
        </w:rPr>
      </w:pPr>
      <w:r>
        <w:rPr>
          <w:rFonts w:ascii="宋体" w:hAnsi="宋体" w:eastAsia="宋体" w:cs="宋体"/>
          <w:position w:val="19"/>
          <w:sz w:val="24"/>
          <w:szCs w:val="24"/>
        </w:rPr>
        <w:t>王应祥</w:t>
      </w:r>
      <w:r>
        <w:rPr>
          <w:rFonts w:ascii="Times New Roman" w:hAnsi="Times New Roman" w:eastAsia="Times New Roman" w:cs="Times New Roman"/>
          <w:position w:val="19"/>
          <w:sz w:val="24"/>
          <w:szCs w:val="24"/>
        </w:rPr>
        <w:t>.</w:t>
      </w:r>
      <w:r>
        <w:rPr>
          <w:rFonts w:ascii="Times New Roman" w:hAnsi="Times New Roman" w:eastAsia="Times New Roman" w:cs="Times New Roman"/>
          <w:spacing w:val="21"/>
          <w:position w:val="19"/>
          <w:sz w:val="24"/>
          <w:szCs w:val="24"/>
        </w:rPr>
        <w:t xml:space="preserve">  </w:t>
      </w:r>
      <w:r>
        <w:rPr>
          <w:rFonts w:ascii="宋体" w:hAnsi="宋体" w:eastAsia="宋体" w:cs="宋体"/>
          <w:position w:val="19"/>
          <w:sz w:val="24"/>
          <w:szCs w:val="24"/>
        </w:rPr>
        <w:t>中国哺乳动物种和亚种分类名录与分布大全</w:t>
      </w:r>
      <w:r>
        <w:rPr>
          <w:rFonts w:ascii="Times New Roman" w:hAnsi="Times New Roman" w:eastAsia="Times New Roman" w:cs="Times New Roman"/>
          <w:position w:val="19"/>
          <w:sz w:val="24"/>
          <w:szCs w:val="24"/>
        </w:rPr>
        <w:t>(M).</w:t>
      </w:r>
      <w:r>
        <w:rPr>
          <w:rFonts w:ascii="Times New Roman" w:hAnsi="Times New Roman" w:eastAsia="Times New Roman" w:cs="Times New Roman"/>
          <w:spacing w:val="15"/>
          <w:w w:val="101"/>
          <w:position w:val="19"/>
          <w:sz w:val="24"/>
          <w:szCs w:val="24"/>
        </w:rPr>
        <w:t xml:space="preserve">  </w:t>
      </w:r>
      <w:r>
        <w:rPr>
          <w:rFonts w:ascii="宋体" w:hAnsi="宋体" w:eastAsia="宋体" w:cs="宋体"/>
          <w:position w:val="19"/>
          <w:sz w:val="24"/>
          <w:szCs w:val="24"/>
        </w:rPr>
        <w:t>中国林业出版社</w:t>
      </w:r>
      <w:r>
        <w:rPr>
          <w:rFonts w:ascii="Times New Roman" w:hAnsi="Times New Roman" w:eastAsia="Times New Roman" w:cs="Times New Roman"/>
          <w:position w:val="19"/>
          <w:sz w:val="24"/>
          <w:szCs w:val="24"/>
        </w:rPr>
        <w:t>,</w:t>
      </w:r>
    </w:p>
    <w:p>
      <w:pPr>
        <w:spacing w:line="188" w:lineRule="auto"/>
        <w:ind w:left="3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2003.</w:t>
      </w:r>
    </w:p>
    <w:p>
      <w:pPr>
        <w:spacing w:line="188" w:lineRule="auto"/>
        <w:rPr>
          <w:rFonts w:ascii="Times New Roman" w:hAnsi="Times New Roman" w:eastAsia="Times New Roman" w:cs="Times New Roman"/>
          <w:sz w:val="24"/>
          <w:szCs w:val="24"/>
        </w:rPr>
        <w:sectPr>
          <w:headerReference r:id="rId217" w:type="default"/>
          <w:footerReference r:id="rId218" w:type="default"/>
          <w:pgSz w:w="11907" w:h="16839"/>
          <w:pgMar w:top="1156" w:right="1768" w:bottom="1374" w:left="1770" w:header="881" w:footer="1210" w:gutter="0"/>
        </w:sectPr>
      </w:pPr>
    </w:p>
    <w:p>
      <w:pPr>
        <w:spacing w:before="319" w:line="490" w:lineRule="exact"/>
        <w:ind w:left="525"/>
        <w:rPr>
          <w:rFonts w:ascii="Times New Roman" w:hAnsi="Times New Roman" w:eastAsia="Times New Roman" w:cs="Times New Roman"/>
          <w:sz w:val="24"/>
          <w:szCs w:val="24"/>
        </w:rPr>
      </w:pPr>
      <w:r>
        <w:rPr>
          <w:rFonts w:ascii="宋体" w:hAnsi="宋体" w:eastAsia="宋体" w:cs="宋体"/>
          <w:spacing w:val="9"/>
          <w:position w:val="19"/>
          <w:sz w:val="24"/>
          <w:szCs w:val="24"/>
        </w:rPr>
        <w:t>约翰</w:t>
      </w:r>
      <w:r>
        <w:rPr>
          <w:rFonts w:ascii="Times New Roman" w:hAnsi="Times New Roman" w:eastAsia="Times New Roman" w:cs="Times New Roman"/>
          <w:spacing w:val="9"/>
          <w:position w:val="19"/>
          <w:sz w:val="24"/>
          <w:szCs w:val="24"/>
        </w:rPr>
        <w:t xml:space="preserve">,  </w:t>
      </w:r>
      <w:r>
        <w:rPr>
          <w:rFonts w:ascii="宋体" w:hAnsi="宋体" w:eastAsia="宋体" w:cs="宋体"/>
          <w:spacing w:val="9"/>
          <w:position w:val="19"/>
          <w:sz w:val="24"/>
          <w:szCs w:val="24"/>
        </w:rPr>
        <w:t>马敬能卡伦</w:t>
      </w:r>
      <w:r>
        <w:rPr>
          <w:rFonts w:ascii="Times New Roman" w:hAnsi="Times New Roman" w:eastAsia="Times New Roman" w:cs="Times New Roman"/>
          <w:spacing w:val="9"/>
          <w:position w:val="19"/>
          <w:sz w:val="24"/>
          <w:szCs w:val="24"/>
        </w:rPr>
        <w:t xml:space="preserve">,  </w:t>
      </w:r>
      <w:r>
        <w:rPr>
          <w:rFonts w:ascii="宋体" w:hAnsi="宋体" w:eastAsia="宋体" w:cs="宋体"/>
          <w:spacing w:val="9"/>
          <w:position w:val="19"/>
          <w:sz w:val="24"/>
          <w:szCs w:val="24"/>
        </w:rPr>
        <w:t>菲利普斯</w:t>
      </w:r>
      <w:r>
        <w:rPr>
          <w:rFonts w:ascii="Times New Roman" w:hAnsi="Times New Roman" w:eastAsia="Times New Roman" w:cs="Times New Roman"/>
          <w:spacing w:val="9"/>
          <w:position w:val="19"/>
          <w:sz w:val="24"/>
          <w:szCs w:val="24"/>
        </w:rPr>
        <w:t xml:space="preserve">.   </w:t>
      </w:r>
      <w:r>
        <w:rPr>
          <w:rFonts w:ascii="宋体" w:hAnsi="宋体" w:eastAsia="宋体" w:cs="宋体"/>
          <w:spacing w:val="9"/>
          <w:position w:val="19"/>
          <w:sz w:val="24"/>
          <w:szCs w:val="24"/>
        </w:rPr>
        <w:t>中国鸟类</w:t>
      </w:r>
      <w:r>
        <w:rPr>
          <w:rFonts w:ascii="宋体" w:hAnsi="宋体" w:eastAsia="宋体" w:cs="宋体"/>
          <w:spacing w:val="8"/>
          <w:position w:val="19"/>
          <w:sz w:val="24"/>
          <w:szCs w:val="24"/>
        </w:rPr>
        <w:t>野外手册</w:t>
      </w:r>
      <w:r>
        <w:rPr>
          <w:rFonts w:ascii="Times New Roman" w:hAnsi="Times New Roman" w:eastAsia="Times New Roman" w:cs="Times New Roman"/>
          <w:spacing w:val="8"/>
          <w:position w:val="19"/>
          <w:sz w:val="24"/>
          <w:szCs w:val="24"/>
        </w:rPr>
        <w:t xml:space="preserve">(M).  </w:t>
      </w:r>
      <w:r>
        <w:rPr>
          <w:rFonts w:ascii="宋体" w:hAnsi="宋体" w:eastAsia="宋体" w:cs="宋体"/>
          <w:spacing w:val="8"/>
          <w:position w:val="19"/>
          <w:sz w:val="24"/>
          <w:szCs w:val="24"/>
        </w:rPr>
        <w:t>湖南教育出版社</w:t>
      </w:r>
      <w:r>
        <w:rPr>
          <w:rFonts w:ascii="Times New Roman" w:hAnsi="Times New Roman" w:eastAsia="Times New Roman" w:cs="Times New Roman"/>
          <w:spacing w:val="8"/>
          <w:position w:val="19"/>
          <w:sz w:val="24"/>
          <w:szCs w:val="24"/>
        </w:rPr>
        <w:t>,</w:t>
      </w:r>
    </w:p>
    <w:p>
      <w:pPr>
        <w:spacing w:line="188" w:lineRule="auto"/>
        <w:ind w:left="35"/>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2003.</w:t>
      </w:r>
    </w:p>
    <w:p>
      <w:pPr>
        <w:spacing w:before="174" w:line="467" w:lineRule="exact"/>
        <w:ind w:left="532"/>
        <w:rPr>
          <w:rFonts w:ascii="宋体" w:hAnsi="宋体" w:eastAsia="宋体" w:cs="宋体"/>
          <w:sz w:val="24"/>
          <w:szCs w:val="24"/>
        </w:rPr>
      </w:pPr>
      <w:r>
        <w:rPr>
          <w:rFonts w:ascii="宋体" w:hAnsi="宋体" w:eastAsia="宋体" w:cs="宋体"/>
          <w:spacing w:val="-2"/>
          <w:position w:val="17"/>
          <w:sz w:val="24"/>
          <w:szCs w:val="24"/>
        </w:rPr>
        <w:t>费梁</w:t>
      </w:r>
      <w:r>
        <w:rPr>
          <w:rFonts w:ascii="Times New Roman" w:hAnsi="Times New Roman" w:eastAsia="Times New Roman" w:cs="Times New Roman"/>
          <w:spacing w:val="-2"/>
          <w:position w:val="17"/>
          <w:sz w:val="24"/>
          <w:szCs w:val="24"/>
        </w:rPr>
        <w:t xml:space="preserve">,  </w:t>
      </w:r>
      <w:r>
        <w:rPr>
          <w:rFonts w:ascii="宋体" w:hAnsi="宋体" w:eastAsia="宋体" w:cs="宋体"/>
          <w:spacing w:val="-2"/>
          <w:position w:val="17"/>
          <w:sz w:val="24"/>
          <w:szCs w:val="24"/>
        </w:rPr>
        <w:t>叶昌媛</w:t>
      </w:r>
      <w:r>
        <w:rPr>
          <w:rFonts w:ascii="Times New Roman" w:hAnsi="Times New Roman" w:eastAsia="Times New Roman" w:cs="Times New Roman"/>
          <w:spacing w:val="-2"/>
          <w:position w:val="17"/>
          <w:sz w:val="24"/>
          <w:szCs w:val="24"/>
        </w:rPr>
        <w:t xml:space="preserve">,  </w:t>
      </w:r>
      <w:r>
        <w:rPr>
          <w:rFonts w:ascii="宋体" w:hAnsi="宋体" w:eastAsia="宋体" w:cs="宋体"/>
          <w:spacing w:val="-2"/>
          <w:position w:val="17"/>
          <w:sz w:val="24"/>
          <w:szCs w:val="24"/>
        </w:rPr>
        <w:t>江建平等</w:t>
      </w:r>
      <w:r>
        <w:rPr>
          <w:rFonts w:ascii="Times New Roman" w:hAnsi="Times New Roman" w:eastAsia="Times New Roman" w:cs="Times New Roman"/>
          <w:spacing w:val="-2"/>
          <w:position w:val="17"/>
          <w:sz w:val="24"/>
          <w:szCs w:val="24"/>
        </w:rPr>
        <w:t xml:space="preserve">.   </w:t>
      </w:r>
      <w:r>
        <w:rPr>
          <w:rFonts w:ascii="宋体" w:hAnsi="宋体" w:eastAsia="宋体" w:cs="宋体"/>
          <w:spacing w:val="-2"/>
          <w:position w:val="17"/>
          <w:sz w:val="24"/>
          <w:szCs w:val="24"/>
        </w:rPr>
        <w:t>中国两栖</w:t>
      </w:r>
      <w:r>
        <w:rPr>
          <w:rFonts w:ascii="宋体" w:hAnsi="宋体" w:eastAsia="宋体" w:cs="宋体"/>
          <w:spacing w:val="-3"/>
          <w:position w:val="17"/>
          <w:sz w:val="24"/>
          <w:szCs w:val="24"/>
        </w:rPr>
        <w:t>动物检索及图解</w:t>
      </w:r>
      <w:r>
        <w:rPr>
          <w:rFonts w:ascii="Times New Roman" w:hAnsi="Times New Roman" w:eastAsia="Times New Roman" w:cs="Times New Roman"/>
          <w:spacing w:val="-3"/>
          <w:position w:val="17"/>
          <w:sz w:val="24"/>
          <w:szCs w:val="24"/>
        </w:rPr>
        <w:t>(M).</w:t>
      </w:r>
      <w:r>
        <w:rPr>
          <w:rFonts w:ascii="Times New Roman" w:hAnsi="Times New Roman" w:eastAsia="Times New Roman" w:cs="Times New Roman"/>
          <w:spacing w:val="16"/>
          <w:position w:val="17"/>
          <w:sz w:val="24"/>
          <w:szCs w:val="24"/>
        </w:rPr>
        <w:t xml:space="preserve">  </w:t>
      </w:r>
      <w:r>
        <w:rPr>
          <w:rFonts w:ascii="宋体" w:hAnsi="宋体" w:eastAsia="宋体" w:cs="宋体"/>
          <w:spacing w:val="-3"/>
          <w:position w:val="17"/>
          <w:sz w:val="24"/>
          <w:szCs w:val="24"/>
        </w:rPr>
        <w:t>四川科学技术出版</w:t>
      </w:r>
    </w:p>
    <w:p>
      <w:pPr>
        <w:spacing w:line="212" w:lineRule="auto"/>
        <w:ind w:left="41"/>
        <w:rPr>
          <w:rFonts w:ascii="Times New Roman" w:hAnsi="Times New Roman" w:eastAsia="Times New Roman" w:cs="Times New Roman"/>
          <w:sz w:val="24"/>
          <w:szCs w:val="24"/>
        </w:rPr>
      </w:pPr>
      <w:r>
        <w:rPr>
          <w:rFonts w:ascii="宋体" w:hAnsi="宋体" w:eastAsia="宋体" w:cs="宋体"/>
          <w:spacing w:val="-2"/>
          <w:sz w:val="24"/>
          <w:szCs w:val="24"/>
        </w:rPr>
        <w:t>社</w:t>
      </w:r>
      <w:r>
        <w:rPr>
          <w:rFonts w:ascii="Times New Roman" w:hAnsi="Times New Roman" w:eastAsia="Times New Roman" w:cs="Times New Roman"/>
          <w:spacing w:val="-2"/>
          <w:sz w:val="24"/>
          <w:szCs w:val="24"/>
        </w:rPr>
        <w:t>, 2005.</w:t>
      </w:r>
    </w:p>
    <w:p>
      <w:pPr>
        <w:spacing w:before="191" w:line="466" w:lineRule="exact"/>
        <w:ind w:left="532"/>
        <w:rPr>
          <w:rFonts w:ascii="宋体" w:hAnsi="宋体" w:eastAsia="宋体" w:cs="宋体"/>
          <w:sz w:val="24"/>
          <w:szCs w:val="24"/>
        </w:rPr>
      </w:pPr>
      <w:r>
        <w:rPr>
          <w:rFonts w:ascii="宋体" w:hAnsi="宋体" w:eastAsia="宋体" w:cs="宋体"/>
          <w:spacing w:val="3"/>
          <w:position w:val="17"/>
          <w:sz w:val="24"/>
          <w:szCs w:val="24"/>
        </w:rPr>
        <w:t>费梁</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胡淑琴</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叶昌媛</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黄永昭</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中国动物志</w:t>
      </w:r>
      <w:r>
        <w:rPr>
          <w:rFonts w:ascii="Times New Roman" w:hAnsi="Times New Roman" w:eastAsia="Times New Roman" w:cs="Times New Roman"/>
          <w:spacing w:val="3"/>
          <w:position w:val="17"/>
          <w:sz w:val="24"/>
          <w:szCs w:val="24"/>
        </w:rPr>
        <w:t>-</w:t>
      </w:r>
      <w:r>
        <w:rPr>
          <w:rFonts w:ascii="宋体" w:hAnsi="宋体" w:eastAsia="宋体" w:cs="宋体"/>
          <w:spacing w:val="3"/>
          <w:position w:val="17"/>
          <w:sz w:val="24"/>
          <w:szCs w:val="24"/>
        </w:rPr>
        <w:t>两栖纲</w:t>
      </w:r>
      <w:r>
        <w:rPr>
          <w:rFonts w:ascii="Times New Roman" w:hAnsi="Times New Roman" w:eastAsia="Times New Roman" w:cs="Times New Roman"/>
          <w:spacing w:val="3"/>
          <w:position w:val="17"/>
          <w:sz w:val="24"/>
          <w:szCs w:val="24"/>
        </w:rPr>
        <w:t xml:space="preserve">(M).  </w:t>
      </w:r>
      <w:r>
        <w:rPr>
          <w:rFonts w:ascii="宋体" w:hAnsi="宋体" w:eastAsia="宋体" w:cs="宋体"/>
          <w:spacing w:val="3"/>
          <w:position w:val="17"/>
          <w:sz w:val="24"/>
          <w:szCs w:val="24"/>
        </w:rPr>
        <w:t>科学出版社发行</w:t>
      </w:r>
    </w:p>
    <w:p>
      <w:pPr>
        <w:spacing w:line="212" w:lineRule="auto"/>
        <w:ind w:left="44"/>
        <w:rPr>
          <w:rFonts w:ascii="Times New Roman" w:hAnsi="Times New Roman" w:eastAsia="Times New Roman" w:cs="Times New Roman"/>
          <w:sz w:val="24"/>
          <w:szCs w:val="24"/>
        </w:rPr>
      </w:pPr>
      <w:r>
        <w:rPr>
          <w:rFonts w:ascii="宋体" w:hAnsi="宋体" w:eastAsia="宋体" w:cs="宋体"/>
          <w:spacing w:val="-2"/>
          <w:sz w:val="24"/>
          <w:szCs w:val="24"/>
        </w:rPr>
        <w:t>处出版社</w:t>
      </w:r>
      <w:r>
        <w:rPr>
          <w:rFonts w:ascii="Times New Roman" w:hAnsi="Times New Roman" w:eastAsia="Times New Roman" w:cs="Times New Roman"/>
          <w:spacing w:val="-2"/>
          <w:sz w:val="24"/>
          <w:szCs w:val="24"/>
        </w:rPr>
        <w:t>, 2006.</w:t>
      </w:r>
    </w:p>
    <w:p>
      <w:pPr>
        <w:spacing w:before="191" w:line="212" w:lineRule="auto"/>
        <w:ind w:left="519"/>
        <w:rPr>
          <w:rFonts w:ascii="Times New Roman" w:hAnsi="Times New Roman" w:eastAsia="Times New Roman" w:cs="Times New Roman"/>
          <w:sz w:val="24"/>
          <w:szCs w:val="24"/>
        </w:rPr>
      </w:pPr>
      <w:r>
        <w:rPr>
          <w:rFonts w:ascii="宋体" w:hAnsi="宋体" w:eastAsia="宋体" w:cs="宋体"/>
          <w:spacing w:val="-2"/>
          <w:sz w:val="24"/>
          <w:szCs w:val="24"/>
        </w:rPr>
        <w:t>潘清华</w:t>
      </w:r>
      <w:r>
        <w:rPr>
          <w:rFonts w:ascii="Times New Roman" w:hAnsi="Times New Roman" w:eastAsia="Times New Roman" w:cs="Times New Roman"/>
          <w:spacing w:val="-2"/>
          <w:sz w:val="24"/>
          <w:szCs w:val="24"/>
        </w:rPr>
        <w:t>.</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中国哺乳动物彩色图鉴</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中国林业</w:t>
      </w:r>
      <w:r>
        <w:rPr>
          <w:rFonts w:ascii="宋体" w:hAnsi="宋体" w:eastAsia="宋体" w:cs="宋体"/>
          <w:spacing w:val="-3"/>
          <w:sz w:val="24"/>
          <w:szCs w:val="24"/>
        </w:rPr>
        <w:t>出版社</w:t>
      </w:r>
      <w:r>
        <w:rPr>
          <w:rFonts w:ascii="Times New Roman" w:hAnsi="Times New Roman" w:eastAsia="Times New Roman" w:cs="Times New Roman"/>
          <w:spacing w:val="-3"/>
          <w:sz w:val="24"/>
          <w:szCs w:val="24"/>
        </w:rPr>
        <w:t>, 2007.</w:t>
      </w:r>
    </w:p>
    <w:p>
      <w:pPr>
        <w:spacing w:before="191" w:line="467" w:lineRule="exact"/>
        <w:ind w:left="519"/>
        <w:rPr>
          <w:rFonts w:ascii="宋体" w:hAnsi="宋体" w:eastAsia="宋体" w:cs="宋体"/>
          <w:sz w:val="24"/>
          <w:szCs w:val="24"/>
        </w:rPr>
      </w:pPr>
      <w:r>
        <w:rPr>
          <w:rFonts w:ascii="宋体" w:hAnsi="宋体" w:eastAsia="宋体" w:cs="宋体"/>
          <w:spacing w:val="3"/>
          <w:position w:val="17"/>
          <w:sz w:val="24"/>
          <w:szCs w:val="24"/>
        </w:rPr>
        <w:t>岩道</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韩联宪</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程闯等</w:t>
      </w:r>
      <w:r>
        <w:rPr>
          <w:rFonts w:ascii="Times New Roman" w:hAnsi="Times New Roman" w:eastAsia="Times New Roman" w:cs="Times New Roman"/>
          <w:spacing w:val="3"/>
          <w:position w:val="17"/>
          <w:sz w:val="24"/>
          <w:szCs w:val="24"/>
        </w:rPr>
        <w:t xml:space="preserve">.  </w:t>
      </w:r>
      <w:r>
        <w:rPr>
          <w:rFonts w:ascii="宋体" w:hAnsi="宋体" w:eastAsia="宋体" w:cs="宋体"/>
          <w:spacing w:val="3"/>
          <w:position w:val="17"/>
          <w:sz w:val="24"/>
          <w:szCs w:val="24"/>
        </w:rPr>
        <w:t>紫溪山云南松林春季鸟类的垂直空间分布</w:t>
      </w:r>
      <w:r>
        <w:rPr>
          <w:rFonts w:ascii="Times New Roman" w:hAnsi="Times New Roman" w:eastAsia="Times New Roman" w:cs="Times New Roman"/>
          <w:spacing w:val="3"/>
          <w:position w:val="17"/>
          <w:sz w:val="24"/>
          <w:szCs w:val="24"/>
        </w:rPr>
        <w:t xml:space="preserve">(J).  </w:t>
      </w:r>
      <w:r>
        <w:rPr>
          <w:rFonts w:ascii="宋体" w:hAnsi="宋体" w:eastAsia="宋体" w:cs="宋体"/>
          <w:spacing w:val="3"/>
          <w:position w:val="17"/>
          <w:sz w:val="24"/>
          <w:szCs w:val="24"/>
        </w:rPr>
        <w:t>西南</w:t>
      </w:r>
    </w:p>
    <w:p>
      <w:pPr>
        <w:spacing w:before="1" w:line="212" w:lineRule="auto"/>
        <w:ind w:left="40"/>
        <w:rPr>
          <w:rFonts w:ascii="Times New Roman" w:hAnsi="Times New Roman" w:eastAsia="Times New Roman" w:cs="Times New Roman"/>
          <w:sz w:val="24"/>
          <w:szCs w:val="24"/>
        </w:rPr>
      </w:pPr>
      <w:r>
        <w:rPr>
          <w:rFonts w:ascii="宋体" w:hAnsi="宋体" w:eastAsia="宋体" w:cs="宋体"/>
          <w:sz w:val="24"/>
          <w:szCs w:val="24"/>
        </w:rPr>
        <w:t>林业大学学报</w:t>
      </w:r>
      <w:r>
        <w:rPr>
          <w:rFonts w:ascii="Times New Roman" w:hAnsi="Times New Roman" w:eastAsia="Times New Roman" w:cs="Times New Roman"/>
          <w:sz w:val="24"/>
          <w:szCs w:val="24"/>
        </w:rPr>
        <w:t>, 2012, 032(0</w:t>
      </w:r>
      <w:r>
        <w:rPr>
          <w:rFonts w:ascii="Times New Roman" w:hAnsi="Times New Roman" w:eastAsia="Times New Roman" w:cs="Times New Roman"/>
          <w:spacing w:val="-1"/>
          <w:sz w:val="24"/>
          <w:szCs w:val="24"/>
        </w:rPr>
        <w:t>01): 69-73.</w:t>
      </w:r>
    </w:p>
    <w:p>
      <w:pPr>
        <w:spacing w:before="189" w:line="360" w:lineRule="auto"/>
        <w:ind w:left="39" w:right="216" w:firstLine="483"/>
        <w:rPr>
          <w:rFonts w:ascii="宋体" w:hAnsi="宋体" w:eastAsia="宋体" w:cs="宋体"/>
          <w:sz w:val="24"/>
          <w:szCs w:val="24"/>
        </w:rPr>
      </w:pPr>
      <w:r>
        <w:rPr>
          <w:rFonts w:ascii="宋体" w:hAnsi="宋体" w:eastAsia="宋体" w:cs="宋体"/>
          <w:spacing w:val="2"/>
          <w:sz w:val="24"/>
          <w:szCs w:val="24"/>
        </w:rPr>
        <w:t>冯莹莹</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李奇生</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梁丹等</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云南紫溪山自然保护区近十年冬季鸟类记录</w:t>
      </w:r>
      <w:r>
        <w:rPr>
          <w:rFonts w:ascii="Times New Roman" w:hAnsi="Times New Roman" w:eastAsia="Times New Roman" w:cs="Times New Roman"/>
          <w:spacing w:val="2"/>
          <w:sz w:val="24"/>
          <w:szCs w:val="24"/>
        </w:rPr>
        <w:t>(C)//</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第十三届全国野生动物生态与资源保护学术研讨会暨第六届</w:t>
      </w:r>
      <w:r>
        <w:rPr>
          <w:rFonts w:ascii="宋体" w:hAnsi="宋体" w:eastAsia="宋体" w:cs="宋体"/>
          <w:spacing w:val="3"/>
          <w:sz w:val="24"/>
          <w:szCs w:val="24"/>
        </w:rPr>
        <w:t>中国西部动物学学</w:t>
      </w:r>
    </w:p>
    <w:p>
      <w:pPr>
        <w:spacing w:before="1" w:line="218" w:lineRule="auto"/>
        <w:ind w:left="41"/>
        <w:rPr>
          <w:rFonts w:ascii="Times New Roman" w:hAnsi="Times New Roman" w:eastAsia="Times New Roman" w:cs="Times New Roman"/>
          <w:sz w:val="24"/>
          <w:szCs w:val="24"/>
        </w:rPr>
      </w:pPr>
      <w:r>
        <w:rPr>
          <w:rFonts w:ascii="宋体" w:hAnsi="宋体" w:eastAsia="宋体" w:cs="宋体"/>
          <w:spacing w:val="-1"/>
          <w:sz w:val="24"/>
          <w:szCs w:val="24"/>
        </w:rPr>
        <w:t>术研讨会论文摘要集</w:t>
      </w:r>
      <w:r>
        <w:rPr>
          <w:rFonts w:ascii="Times New Roman" w:hAnsi="Times New Roman" w:eastAsia="Times New Roman" w:cs="Times New Roman"/>
          <w:spacing w:val="-1"/>
          <w:sz w:val="24"/>
          <w:szCs w:val="24"/>
        </w:rPr>
        <w:t>. 2017.</w:t>
      </w:r>
    </w:p>
    <w:p>
      <w:pPr>
        <w:spacing w:before="182" w:line="467" w:lineRule="exact"/>
        <w:ind w:left="523"/>
        <w:rPr>
          <w:rFonts w:ascii="Times New Roman" w:hAnsi="Times New Roman" w:eastAsia="Times New Roman" w:cs="Times New Roman"/>
          <w:sz w:val="24"/>
          <w:szCs w:val="24"/>
        </w:rPr>
      </w:pPr>
      <w:r>
        <w:rPr>
          <w:rFonts w:ascii="宋体" w:hAnsi="宋体" w:eastAsia="宋体" w:cs="宋体"/>
          <w:spacing w:val="7"/>
          <w:position w:val="17"/>
          <w:sz w:val="24"/>
          <w:szCs w:val="24"/>
        </w:rPr>
        <w:t>冯莹莹</w:t>
      </w:r>
      <w:r>
        <w:rPr>
          <w:rFonts w:ascii="Times New Roman" w:hAnsi="Times New Roman" w:eastAsia="Times New Roman" w:cs="Times New Roman"/>
          <w:spacing w:val="7"/>
          <w:position w:val="17"/>
          <w:sz w:val="24"/>
          <w:szCs w:val="24"/>
        </w:rPr>
        <w:t xml:space="preserve">,  </w:t>
      </w:r>
      <w:r>
        <w:rPr>
          <w:rFonts w:ascii="宋体" w:hAnsi="宋体" w:eastAsia="宋体" w:cs="宋体"/>
          <w:spacing w:val="7"/>
          <w:position w:val="17"/>
          <w:sz w:val="24"/>
          <w:szCs w:val="24"/>
        </w:rPr>
        <w:t>李奇生</w:t>
      </w:r>
      <w:r>
        <w:rPr>
          <w:rFonts w:ascii="Times New Roman" w:hAnsi="Times New Roman" w:eastAsia="Times New Roman" w:cs="Times New Roman"/>
          <w:spacing w:val="7"/>
          <w:position w:val="17"/>
          <w:sz w:val="24"/>
          <w:szCs w:val="24"/>
        </w:rPr>
        <w:t xml:space="preserve">,  </w:t>
      </w:r>
      <w:r>
        <w:rPr>
          <w:rFonts w:ascii="宋体" w:hAnsi="宋体" w:eastAsia="宋体" w:cs="宋体"/>
          <w:spacing w:val="7"/>
          <w:position w:val="17"/>
          <w:sz w:val="24"/>
          <w:szCs w:val="24"/>
        </w:rPr>
        <w:t>梁丹</w:t>
      </w:r>
      <w:r>
        <w:rPr>
          <w:rFonts w:ascii="Times New Roman" w:hAnsi="Times New Roman" w:eastAsia="Times New Roman" w:cs="Times New Roman"/>
          <w:spacing w:val="7"/>
          <w:position w:val="17"/>
          <w:sz w:val="24"/>
          <w:szCs w:val="24"/>
        </w:rPr>
        <w:t xml:space="preserve">,  </w:t>
      </w:r>
      <w:r>
        <w:rPr>
          <w:rFonts w:ascii="宋体" w:hAnsi="宋体" w:eastAsia="宋体" w:cs="宋体"/>
          <w:spacing w:val="7"/>
          <w:position w:val="17"/>
          <w:sz w:val="24"/>
          <w:szCs w:val="24"/>
        </w:rPr>
        <w:t>等</w:t>
      </w:r>
      <w:r>
        <w:rPr>
          <w:rFonts w:ascii="Times New Roman" w:hAnsi="Times New Roman" w:eastAsia="Times New Roman" w:cs="Times New Roman"/>
          <w:spacing w:val="7"/>
          <w:position w:val="17"/>
          <w:sz w:val="24"/>
          <w:szCs w:val="24"/>
        </w:rPr>
        <w:t xml:space="preserve">.  </w:t>
      </w:r>
      <w:r>
        <w:rPr>
          <w:rFonts w:ascii="宋体" w:hAnsi="宋体" w:eastAsia="宋体" w:cs="宋体"/>
          <w:spacing w:val="7"/>
          <w:position w:val="17"/>
          <w:sz w:val="24"/>
          <w:szCs w:val="24"/>
        </w:rPr>
        <w:t>云南紫溪山冬季鸟类丰富度年间变化研究</w:t>
      </w:r>
      <w:r>
        <w:rPr>
          <w:rFonts w:ascii="Times New Roman" w:hAnsi="Times New Roman" w:eastAsia="Times New Roman" w:cs="Times New Roman"/>
          <w:spacing w:val="7"/>
          <w:position w:val="17"/>
          <w:sz w:val="24"/>
          <w:szCs w:val="24"/>
        </w:rPr>
        <w:t>(J).</w:t>
      </w:r>
    </w:p>
    <w:p>
      <w:pPr>
        <w:spacing w:before="1" w:line="212" w:lineRule="auto"/>
        <w:ind w:left="45"/>
        <w:rPr>
          <w:rFonts w:ascii="Times New Roman" w:hAnsi="Times New Roman" w:eastAsia="Times New Roman" w:cs="Times New Roman"/>
          <w:sz w:val="24"/>
          <w:szCs w:val="24"/>
        </w:rPr>
      </w:pPr>
      <w:r>
        <w:rPr>
          <w:rFonts w:ascii="宋体" w:hAnsi="宋体" w:eastAsia="宋体" w:cs="宋体"/>
          <w:spacing w:val="-3"/>
          <w:sz w:val="24"/>
          <w:szCs w:val="24"/>
        </w:rPr>
        <w:t>西南林业大学学报</w:t>
      </w:r>
      <w:r>
        <w:rPr>
          <w:rFonts w:ascii="Times New Roman" w:hAnsi="Times New Roman" w:eastAsia="Times New Roman" w:cs="Times New Roman"/>
          <w:spacing w:val="-3"/>
          <w:sz w:val="24"/>
          <w:szCs w:val="24"/>
        </w:rPr>
        <w:t>, 2019, 039(004):</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pacing w:val="-3"/>
          <w:sz w:val="24"/>
          <w:szCs w:val="24"/>
        </w:rPr>
        <w:t>110-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115.</w:t>
      </w:r>
    </w:p>
    <w:p>
      <w:pPr>
        <w:spacing w:before="190"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）土地利用现状调查</w:t>
      </w:r>
    </w:p>
    <w:p>
      <w:pPr>
        <w:spacing w:before="182" w:line="217" w:lineRule="auto"/>
        <w:ind w:left="518"/>
        <w:rPr>
          <w:rFonts w:ascii="宋体" w:hAnsi="宋体" w:eastAsia="宋体" w:cs="宋体"/>
          <w:sz w:val="24"/>
          <w:szCs w:val="24"/>
        </w:rPr>
      </w:pPr>
      <w:r>
        <w:rPr>
          <w:rFonts w:ascii="宋体" w:hAnsi="宋体" w:eastAsia="宋体" w:cs="宋体"/>
          <w:spacing w:val="-1"/>
          <w:sz w:val="24"/>
          <w:szCs w:val="24"/>
        </w:rPr>
        <w:t>①评价区土地利用现状</w:t>
      </w:r>
    </w:p>
    <w:p>
      <w:pPr>
        <w:spacing w:before="185" w:line="359" w:lineRule="auto"/>
        <w:ind w:left="39" w:right="214" w:firstLine="481"/>
        <w:rPr>
          <w:rFonts w:ascii="宋体" w:hAnsi="宋体" w:eastAsia="宋体" w:cs="宋体"/>
          <w:sz w:val="24"/>
          <w:szCs w:val="24"/>
        </w:rPr>
      </w:pPr>
      <w:r>
        <w:rPr>
          <w:rFonts w:ascii="宋体" w:hAnsi="宋体" w:eastAsia="宋体" w:cs="宋体"/>
          <w:spacing w:val="-3"/>
          <w:sz w:val="24"/>
          <w:szCs w:val="24"/>
        </w:rPr>
        <w:t>参照全国土地利用现状调查技术规程、全国土地利用现状分</w:t>
      </w:r>
      <w:r>
        <w:rPr>
          <w:rFonts w:ascii="宋体" w:hAnsi="宋体" w:eastAsia="宋体" w:cs="宋体"/>
          <w:spacing w:val="-4"/>
          <w:sz w:val="24"/>
          <w:szCs w:val="24"/>
        </w:rPr>
        <w:t>类系统及云南省</w:t>
      </w:r>
      <w:r>
        <w:rPr>
          <w:rFonts w:ascii="宋体" w:hAnsi="宋体" w:eastAsia="宋体" w:cs="宋体"/>
          <w:sz w:val="24"/>
          <w:szCs w:val="24"/>
        </w:rPr>
        <w:t xml:space="preserve"> </w:t>
      </w:r>
      <w:r>
        <w:rPr>
          <w:rFonts w:ascii="宋体" w:hAnsi="宋体" w:eastAsia="宋体" w:cs="宋体"/>
          <w:spacing w:val="-9"/>
          <w:sz w:val="24"/>
          <w:szCs w:val="24"/>
        </w:rPr>
        <w:t>土地利用资料， 根据实地踏勘和卫星遥感影像解译， 将</w:t>
      </w:r>
      <w:r>
        <w:rPr>
          <w:rFonts w:ascii="宋体" w:hAnsi="宋体" w:eastAsia="宋体" w:cs="宋体"/>
          <w:spacing w:val="-10"/>
          <w:sz w:val="24"/>
          <w:szCs w:val="24"/>
        </w:rPr>
        <w:t>评价区土地利用划分为旱</w:t>
      </w:r>
      <w:r>
        <w:rPr>
          <w:rFonts w:ascii="宋体" w:hAnsi="宋体" w:eastAsia="宋体" w:cs="宋体"/>
          <w:sz w:val="24"/>
          <w:szCs w:val="24"/>
        </w:rPr>
        <w:t xml:space="preserve"> </w:t>
      </w:r>
      <w:r>
        <w:rPr>
          <w:rFonts w:ascii="宋体" w:hAnsi="宋体" w:eastAsia="宋体" w:cs="宋体"/>
          <w:spacing w:val="-12"/>
          <w:sz w:val="24"/>
          <w:szCs w:val="24"/>
        </w:rPr>
        <w:t>地、水田、有林地、灌木林地、</w:t>
      </w:r>
      <w:r>
        <w:rPr>
          <w:rFonts w:ascii="宋体" w:hAnsi="宋体" w:eastAsia="宋体" w:cs="宋体"/>
          <w:spacing w:val="52"/>
          <w:sz w:val="24"/>
          <w:szCs w:val="24"/>
        </w:rPr>
        <w:t xml:space="preserve"> </w:t>
      </w:r>
      <w:r>
        <w:rPr>
          <w:rFonts w:ascii="宋体" w:hAnsi="宋体" w:eastAsia="宋体" w:cs="宋体"/>
          <w:spacing w:val="-12"/>
          <w:sz w:val="24"/>
          <w:szCs w:val="24"/>
        </w:rPr>
        <w:t>园地、草地、水体、</w:t>
      </w:r>
      <w:r>
        <w:rPr>
          <w:rFonts w:ascii="宋体" w:hAnsi="宋体" w:eastAsia="宋体" w:cs="宋体"/>
          <w:spacing w:val="30"/>
          <w:sz w:val="24"/>
          <w:szCs w:val="24"/>
        </w:rPr>
        <w:t xml:space="preserve"> </w:t>
      </w:r>
      <w:r>
        <w:rPr>
          <w:rFonts w:ascii="宋体" w:hAnsi="宋体" w:eastAsia="宋体" w:cs="宋体"/>
          <w:spacing w:val="-12"/>
          <w:sz w:val="24"/>
          <w:szCs w:val="24"/>
        </w:rPr>
        <w:t>住宅用地和其他用地等</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9</w:t>
      </w:r>
      <w:r>
        <w:rPr>
          <w:rFonts w:ascii="Times New Roman" w:hAnsi="Times New Roman" w:eastAsia="Times New Roman" w:cs="Times New Roman"/>
          <w:spacing w:val="-13"/>
          <w:sz w:val="24"/>
          <w:szCs w:val="24"/>
        </w:rPr>
        <w:t xml:space="preserve"> </w:t>
      </w:r>
      <w:r>
        <w:rPr>
          <w:rFonts w:ascii="宋体" w:hAnsi="宋体" w:eastAsia="宋体" w:cs="宋体"/>
          <w:spacing w:val="-13"/>
          <w:sz w:val="24"/>
          <w:szCs w:val="24"/>
        </w:rPr>
        <w:t>种</w:t>
      </w:r>
    </w:p>
    <w:p>
      <w:pPr>
        <w:spacing w:line="219" w:lineRule="auto"/>
        <w:ind w:left="39"/>
        <w:rPr>
          <w:rFonts w:ascii="宋体" w:hAnsi="宋体" w:eastAsia="宋体" w:cs="宋体"/>
          <w:sz w:val="24"/>
          <w:szCs w:val="24"/>
        </w:rPr>
      </w:pPr>
      <w:r>
        <w:rPr>
          <w:rFonts w:ascii="宋体" w:hAnsi="宋体" w:eastAsia="宋体" w:cs="宋体"/>
          <w:spacing w:val="-10"/>
          <w:sz w:val="24"/>
          <w:szCs w:val="24"/>
        </w:rPr>
        <w:t>类型。</w:t>
      </w:r>
    </w:p>
    <w:p>
      <w:pPr>
        <w:spacing w:before="275" w:line="218" w:lineRule="auto"/>
        <w:ind w:left="2733"/>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0"/>
          <w:sz w:val="21"/>
          <w:szCs w:val="21"/>
        </w:rPr>
        <w:t xml:space="preserve"> </w:t>
      </w:r>
      <w:r>
        <w:rPr>
          <w:rFonts w:ascii="Times New Roman" w:hAnsi="Times New Roman" w:eastAsia="Times New Roman" w:cs="Times New Roman"/>
          <w:b/>
          <w:bCs/>
          <w:spacing w:val="-1"/>
          <w:sz w:val="21"/>
          <w:szCs w:val="21"/>
        </w:rPr>
        <w:t xml:space="preserve">3.2-19    </w:t>
      </w:r>
      <w:r>
        <w:rPr>
          <w:rFonts w:ascii="宋体" w:hAnsi="宋体" w:eastAsia="宋体" w:cs="宋体"/>
          <w:spacing w:val="-1"/>
          <w:sz w:val="21"/>
          <w:szCs w:val="21"/>
          <w14:textOutline w14:w="3810" w14:cap="flat" w14:cmpd="sng">
            <w14:solidFill>
              <w14:srgbClr w14:val="000000"/>
            </w14:solidFill>
            <w14:prstDash w14:val="solid"/>
            <w14:miter w14:val="0"/>
          </w14:textOutline>
        </w:rPr>
        <w:t>评价区土地利用现状统计</w:t>
      </w:r>
    </w:p>
    <w:p>
      <w:pPr>
        <w:spacing w:line="90" w:lineRule="exact"/>
      </w:pPr>
    </w:p>
    <w:tbl>
      <w:tblPr>
        <w:tblStyle w:val="5"/>
        <w:tblW w:w="853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2"/>
        <w:gridCol w:w="1559"/>
        <w:gridCol w:w="1559"/>
        <w:gridCol w:w="1843"/>
        <w:gridCol w:w="18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vMerge w:val="restart"/>
            <w:tcBorders>
              <w:top w:val="single" w:color="000000" w:sz="12" w:space="0"/>
              <w:left w:val="nil"/>
              <w:bottom w:val="nil"/>
            </w:tcBorders>
            <w:vAlign w:val="top"/>
          </w:tcPr>
          <w:p>
            <w:pPr>
              <w:spacing w:line="298" w:lineRule="auto"/>
              <w:rPr>
                <w:rFonts w:ascii="Arial"/>
                <w:sz w:val="21"/>
              </w:rPr>
            </w:pPr>
          </w:p>
          <w:p>
            <w:pPr>
              <w:spacing w:before="68" w:line="218" w:lineRule="auto"/>
              <w:ind w:left="23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土地利用类型</w:t>
            </w:r>
          </w:p>
        </w:tc>
        <w:tc>
          <w:tcPr>
            <w:tcW w:w="3118" w:type="dxa"/>
            <w:gridSpan w:val="2"/>
            <w:tcBorders>
              <w:top w:val="single" w:color="000000" w:sz="12" w:space="0"/>
            </w:tcBorders>
            <w:vAlign w:val="top"/>
          </w:tcPr>
          <w:p>
            <w:pPr>
              <w:spacing w:before="50" w:line="220" w:lineRule="auto"/>
              <w:ind w:left="114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项目占地</w:t>
            </w:r>
          </w:p>
        </w:tc>
        <w:tc>
          <w:tcPr>
            <w:tcW w:w="3737" w:type="dxa"/>
            <w:gridSpan w:val="2"/>
            <w:tcBorders>
              <w:top w:val="single" w:color="000000" w:sz="12" w:space="0"/>
              <w:right w:val="nil"/>
            </w:tcBorders>
            <w:vAlign w:val="top"/>
          </w:tcPr>
          <w:p>
            <w:pPr>
              <w:spacing w:before="51" w:line="218" w:lineRule="auto"/>
              <w:ind w:left="156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1682" w:type="dxa"/>
            <w:vMerge w:val="continue"/>
            <w:tcBorders>
              <w:top w:val="nil"/>
              <w:left w:val="nil"/>
            </w:tcBorders>
            <w:vAlign w:val="top"/>
          </w:tcPr>
          <w:p>
            <w:pPr>
              <w:rPr>
                <w:rFonts w:ascii="Arial"/>
                <w:sz w:val="21"/>
              </w:rPr>
            </w:pPr>
          </w:p>
        </w:tc>
        <w:tc>
          <w:tcPr>
            <w:tcW w:w="1559" w:type="dxa"/>
            <w:vAlign w:val="top"/>
          </w:tcPr>
          <w:p>
            <w:pPr>
              <w:pStyle w:val="6"/>
              <w:spacing w:before="209" w:line="233" w:lineRule="auto"/>
              <w:ind w:left="192"/>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面积（</w:t>
            </w:r>
            <w:r>
              <w:rPr>
                <w:b/>
                <w:bCs/>
                <w:spacing w:val="-3"/>
              </w:rPr>
              <w:t>hm</w:t>
            </w:r>
            <w:r>
              <w:rPr>
                <w:b/>
                <w:bCs/>
                <w:spacing w:val="-3"/>
                <w:position w:val="6"/>
                <w:sz w:val="14"/>
                <w:szCs w:val="14"/>
              </w:rPr>
              <w:t>2</w:t>
            </w:r>
            <w:r>
              <w:rPr>
                <w:rFonts w:ascii="仿宋" w:hAnsi="仿宋" w:eastAsia="仿宋" w:cs="仿宋"/>
                <w:spacing w:val="-3"/>
                <w14:textOutline w14:w="3810" w14:cap="flat" w14:cmpd="sng">
                  <w14:solidFill>
                    <w14:srgbClr w14:val="000000"/>
                  </w14:solidFill>
                  <w14:prstDash w14:val="solid"/>
                  <w14:miter w14:val="0"/>
                </w14:textOutline>
              </w:rPr>
              <w:t>）</w:t>
            </w:r>
          </w:p>
        </w:tc>
        <w:tc>
          <w:tcPr>
            <w:tcW w:w="1559" w:type="dxa"/>
            <w:vAlign w:val="top"/>
          </w:tcPr>
          <w:p>
            <w:pPr>
              <w:spacing w:before="53" w:line="219" w:lineRule="auto"/>
              <w:ind w:left="194"/>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占该类型比例</w:t>
            </w:r>
          </w:p>
          <w:p>
            <w:pPr>
              <w:pStyle w:val="6"/>
              <w:spacing w:before="63" w:line="218" w:lineRule="auto"/>
              <w:ind w:left="475"/>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w:t>
            </w:r>
            <w:r>
              <w:rPr>
                <w:rFonts w:ascii="仿宋" w:hAnsi="仿宋" w:eastAsia="仿宋" w:cs="仿宋"/>
                <w:spacing w:val="-5"/>
                <w14:textOutline w14:w="3810" w14:cap="flat" w14:cmpd="sng">
                  <w14:solidFill>
                    <w14:srgbClr w14:val="000000"/>
                  </w14:solidFill>
                  <w14:prstDash w14:val="solid"/>
                  <w14:miter w14:val="0"/>
                </w14:textOutline>
              </w:rPr>
              <w:t>）</w:t>
            </w:r>
          </w:p>
        </w:tc>
        <w:tc>
          <w:tcPr>
            <w:tcW w:w="1843" w:type="dxa"/>
            <w:vAlign w:val="top"/>
          </w:tcPr>
          <w:p>
            <w:pPr>
              <w:pStyle w:val="6"/>
              <w:spacing w:before="209" w:line="233" w:lineRule="auto"/>
              <w:ind w:left="335"/>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面积（</w:t>
            </w:r>
            <w:r>
              <w:rPr>
                <w:b/>
                <w:bCs/>
                <w:spacing w:val="-3"/>
              </w:rPr>
              <w:t>hm</w:t>
            </w:r>
            <w:r>
              <w:rPr>
                <w:b/>
                <w:bCs/>
                <w:spacing w:val="-3"/>
                <w:position w:val="6"/>
                <w:sz w:val="14"/>
                <w:szCs w:val="14"/>
              </w:rPr>
              <w:t>2</w:t>
            </w:r>
            <w:r>
              <w:rPr>
                <w:rFonts w:ascii="仿宋" w:hAnsi="仿宋" w:eastAsia="仿宋" w:cs="仿宋"/>
                <w:spacing w:val="-3"/>
                <w14:textOutline w14:w="3810" w14:cap="flat" w14:cmpd="sng">
                  <w14:solidFill>
                    <w14:srgbClr w14:val="000000"/>
                  </w14:solidFill>
                  <w14:prstDash w14:val="solid"/>
                  <w14:miter w14:val="0"/>
                </w14:textOutline>
              </w:rPr>
              <w:t>）</w:t>
            </w:r>
          </w:p>
        </w:tc>
        <w:tc>
          <w:tcPr>
            <w:tcW w:w="1894" w:type="dxa"/>
            <w:tcBorders>
              <w:right w:val="nil"/>
            </w:tcBorders>
            <w:vAlign w:val="top"/>
          </w:tcPr>
          <w:p>
            <w:pPr>
              <w:spacing w:before="53" w:line="219" w:lineRule="auto"/>
              <w:ind w:left="362"/>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占总面积比例</w:t>
            </w:r>
          </w:p>
          <w:p>
            <w:pPr>
              <w:pStyle w:val="6"/>
              <w:spacing w:before="63" w:line="218" w:lineRule="auto"/>
              <w:ind w:left="643"/>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w:t>
            </w:r>
            <w:r>
              <w:rPr>
                <w:rFonts w:ascii="仿宋" w:hAnsi="仿宋" w:eastAsia="仿宋" w:cs="仿宋"/>
                <w:spacing w:val="-5"/>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682" w:type="dxa"/>
            <w:tcBorders>
              <w:left w:val="nil"/>
            </w:tcBorders>
            <w:vAlign w:val="top"/>
          </w:tcPr>
          <w:p>
            <w:pPr>
              <w:spacing w:before="59" w:line="216" w:lineRule="auto"/>
              <w:ind w:left="651"/>
              <w:rPr>
                <w:rFonts w:ascii="仿宋" w:hAnsi="仿宋" w:eastAsia="仿宋" w:cs="仿宋"/>
                <w:sz w:val="21"/>
                <w:szCs w:val="21"/>
              </w:rPr>
            </w:pPr>
            <w:r>
              <w:rPr>
                <w:rFonts w:ascii="仿宋" w:hAnsi="仿宋" w:eastAsia="仿宋" w:cs="仿宋"/>
                <w:spacing w:val="-4"/>
                <w:sz w:val="21"/>
                <w:szCs w:val="21"/>
              </w:rPr>
              <w:t>水田</w:t>
            </w:r>
          </w:p>
        </w:tc>
        <w:tc>
          <w:tcPr>
            <w:tcW w:w="1559" w:type="dxa"/>
            <w:vAlign w:val="top"/>
          </w:tcPr>
          <w:p>
            <w:pPr>
              <w:pStyle w:val="6"/>
              <w:spacing w:before="98" w:line="186" w:lineRule="auto"/>
              <w:ind w:left="597"/>
            </w:pPr>
            <w:r>
              <w:rPr>
                <w:spacing w:val="-1"/>
              </w:rPr>
              <w:t>2.62</w:t>
            </w:r>
          </w:p>
        </w:tc>
        <w:tc>
          <w:tcPr>
            <w:tcW w:w="1559" w:type="dxa"/>
            <w:vAlign w:val="top"/>
          </w:tcPr>
          <w:p>
            <w:pPr>
              <w:pStyle w:val="6"/>
              <w:spacing w:before="98" w:line="186" w:lineRule="auto"/>
              <w:ind w:left="565"/>
            </w:pPr>
            <w:r>
              <w:rPr>
                <w:spacing w:val="-5"/>
              </w:rPr>
              <w:t>14.44</w:t>
            </w:r>
          </w:p>
        </w:tc>
        <w:tc>
          <w:tcPr>
            <w:tcW w:w="1843" w:type="dxa"/>
            <w:vAlign w:val="top"/>
          </w:tcPr>
          <w:p>
            <w:pPr>
              <w:pStyle w:val="6"/>
              <w:spacing w:before="98" w:line="186" w:lineRule="auto"/>
              <w:ind w:left="707"/>
            </w:pPr>
            <w:r>
              <w:rPr>
                <w:spacing w:val="-5"/>
              </w:rPr>
              <w:t>18.14</w:t>
            </w:r>
          </w:p>
        </w:tc>
        <w:tc>
          <w:tcPr>
            <w:tcW w:w="1894" w:type="dxa"/>
            <w:tcBorders>
              <w:right w:val="nil"/>
            </w:tcBorders>
            <w:vAlign w:val="top"/>
          </w:tcPr>
          <w:p>
            <w:pPr>
              <w:pStyle w:val="6"/>
              <w:spacing w:before="98" w:line="186" w:lineRule="auto"/>
              <w:ind w:left="766"/>
            </w:pPr>
            <w:r>
              <w:rPr>
                <w:spacing w:val="-1"/>
              </w:rPr>
              <w:t>2.21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tcBorders>
              <w:left w:val="nil"/>
            </w:tcBorders>
            <w:vAlign w:val="top"/>
          </w:tcPr>
          <w:p>
            <w:pPr>
              <w:spacing w:before="61" w:line="213" w:lineRule="auto"/>
              <w:ind w:left="655"/>
              <w:rPr>
                <w:rFonts w:ascii="仿宋" w:hAnsi="仿宋" w:eastAsia="仿宋" w:cs="仿宋"/>
                <w:sz w:val="21"/>
                <w:szCs w:val="21"/>
              </w:rPr>
            </w:pPr>
            <w:r>
              <w:rPr>
                <w:rFonts w:ascii="仿宋" w:hAnsi="仿宋" w:eastAsia="仿宋" w:cs="仿宋"/>
                <w:spacing w:val="-5"/>
                <w:sz w:val="21"/>
                <w:szCs w:val="21"/>
              </w:rPr>
              <w:t>旱地</w:t>
            </w:r>
          </w:p>
        </w:tc>
        <w:tc>
          <w:tcPr>
            <w:tcW w:w="1559" w:type="dxa"/>
            <w:vAlign w:val="top"/>
          </w:tcPr>
          <w:p>
            <w:pPr>
              <w:pStyle w:val="6"/>
              <w:spacing w:before="99" w:line="186" w:lineRule="auto"/>
              <w:ind w:left="543"/>
            </w:pPr>
            <w:r>
              <w:rPr>
                <w:spacing w:val="-1"/>
              </w:rPr>
              <w:t>44.87</w:t>
            </w:r>
          </w:p>
        </w:tc>
        <w:tc>
          <w:tcPr>
            <w:tcW w:w="1559" w:type="dxa"/>
            <w:vAlign w:val="top"/>
          </w:tcPr>
          <w:p>
            <w:pPr>
              <w:pStyle w:val="6"/>
              <w:spacing w:before="99" w:line="186" w:lineRule="auto"/>
              <w:ind w:left="549"/>
            </w:pPr>
            <w:r>
              <w:rPr>
                <w:spacing w:val="-2"/>
              </w:rPr>
              <w:t>37.88</w:t>
            </w:r>
          </w:p>
        </w:tc>
        <w:tc>
          <w:tcPr>
            <w:tcW w:w="1843" w:type="dxa"/>
            <w:vAlign w:val="top"/>
          </w:tcPr>
          <w:p>
            <w:pPr>
              <w:pStyle w:val="6"/>
              <w:spacing w:before="99" w:line="186" w:lineRule="auto"/>
              <w:ind w:left="654"/>
            </w:pPr>
            <w:r>
              <w:rPr>
                <w:spacing w:val="-4"/>
              </w:rPr>
              <w:t>118.45</w:t>
            </w:r>
          </w:p>
        </w:tc>
        <w:tc>
          <w:tcPr>
            <w:tcW w:w="1894" w:type="dxa"/>
            <w:tcBorders>
              <w:right w:val="nil"/>
            </w:tcBorders>
            <w:vAlign w:val="top"/>
          </w:tcPr>
          <w:p>
            <w:pPr>
              <w:pStyle w:val="6"/>
              <w:spacing w:before="99" w:line="186" w:lineRule="auto"/>
              <w:ind w:left="733"/>
            </w:pPr>
            <w:r>
              <w:rPr>
                <w:spacing w:val="-5"/>
              </w:rPr>
              <w:t>14.44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tcBorders>
              <w:left w:val="nil"/>
            </w:tcBorders>
            <w:vAlign w:val="top"/>
          </w:tcPr>
          <w:p>
            <w:pPr>
              <w:spacing w:before="63" w:line="211" w:lineRule="auto"/>
              <w:ind w:left="544"/>
              <w:rPr>
                <w:rFonts w:ascii="仿宋" w:hAnsi="仿宋" w:eastAsia="仿宋" w:cs="仿宋"/>
                <w:sz w:val="21"/>
                <w:szCs w:val="21"/>
              </w:rPr>
            </w:pPr>
            <w:r>
              <w:rPr>
                <w:rFonts w:ascii="仿宋" w:hAnsi="仿宋" w:eastAsia="仿宋" w:cs="仿宋"/>
                <w:spacing w:val="-3"/>
                <w:sz w:val="21"/>
                <w:szCs w:val="21"/>
              </w:rPr>
              <w:t>有林地</w:t>
            </w:r>
          </w:p>
        </w:tc>
        <w:tc>
          <w:tcPr>
            <w:tcW w:w="1559" w:type="dxa"/>
            <w:vAlign w:val="top"/>
          </w:tcPr>
          <w:p>
            <w:pPr>
              <w:pStyle w:val="6"/>
              <w:spacing w:before="102" w:line="186" w:lineRule="auto"/>
              <w:ind w:left="564"/>
            </w:pPr>
            <w:r>
              <w:rPr>
                <w:spacing w:val="-5"/>
              </w:rPr>
              <w:t>16.28</w:t>
            </w:r>
          </w:p>
        </w:tc>
        <w:tc>
          <w:tcPr>
            <w:tcW w:w="1559" w:type="dxa"/>
            <w:vAlign w:val="top"/>
          </w:tcPr>
          <w:p>
            <w:pPr>
              <w:pStyle w:val="6"/>
              <w:spacing w:before="102" w:line="186" w:lineRule="auto"/>
              <w:ind w:left="602"/>
            </w:pPr>
            <w:r>
              <w:rPr>
                <w:spacing w:val="-3"/>
              </w:rPr>
              <w:t>6.13</w:t>
            </w:r>
          </w:p>
        </w:tc>
        <w:tc>
          <w:tcPr>
            <w:tcW w:w="1843" w:type="dxa"/>
            <w:vAlign w:val="top"/>
          </w:tcPr>
          <w:p>
            <w:pPr>
              <w:pStyle w:val="6"/>
              <w:spacing w:before="102" w:line="186" w:lineRule="auto"/>
              <w:ind w:left="687"/>
            </w:pPr>
            <w:r>
              <w:rPr>
                <w:spacing w:val="-1"/>
              </w:rPr>
              <w:t>265.7</w:t>
            </w:r>
          </w:p>
        </w:tc>
        <w:tc>
          <w:tcPr>
            <w:tcW w:w="1894" w:type="dxa"/>
            <w:tcBorders>
              <w:right w:val="nil"/>
            </w:tcBorders>
            <w:vAlign w:val="top"/>
          </w:tcPr>
          <w:p>
            <w:pPr>
              <w:pStyle w:val="6"/>
              <w:spacing w:before="102" w:line="186" w:lineRule="auto"/>
              <w:ind w:left="717"/>
            </w:pPr>
            <w:r>
              <w:rPr>
                <w:spacing w:val="-2"/>
              </w:rPr>
              <w:t>32.38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682" w:type="dxa"/>
            <w:tcBorders>
              <w:left w:val="nil"/>
            </w:tcBorders>
            <w:vAlign w:val="top"/>
          </w:tcPr>
          <w:p>
            <w:pPr>
              <w:spacing w:before="67" w:line="209" w:lineRule="auto"/>
              <w:ind w:left="445"/>
              <w:rPr>
                <w:rFonts w:ascii="仿宋" w:hAnsi="仿宋" w:eastAsia="仿宋" w:cs="仿宋"/>
                <w:sz w:val="21"/>
                <w:szCs w:val="21"/>
              </w:rPr>
            </w:pPr>
            <w:r>
              <w:rPr>
                <w:rFonts w:ascii="仿宋" w:hAnsi="仿宋" w:eastAsia="仿宋" w:cs="仿宋"/>
                <w:spacing w:val="-4"/>
                <w:sz w:val="21"/>
                <w:szCs w:val="21"/>
              </w:rPr>
              <w:t>灌木林地</w:t>
            </w:r>
          </w:p>
        </w:tc>
        <w:tc>
          <w:tcPr>
            <w:tcW w:w="1559" w:type="dxa"/>
            <w:vAlign w:val="top"/>
          </w:tcPr>
          <w:p>
            <w:pPr>
              <w:pStyle w:val="6"/>
              <w:spacing w:before="106" w:line="186" w:lineRule="auto"/>
              <w:ind w:left="543"/>
            </w:pPr>
            <w:r>
              <w:rPr>
                <w:spacing w:val="-1"/>
              </w:rPr>
              <w:t>49.38</w:t>
            </w:r>
          </w:p>
        </w:tc>
        <w:tc>
          <w:tcPr>
            <w:tcW w:w="1559" w:type="dxa"/>
            <w:vAlign w:val="top"/>
          </w:tcPr>
          <w:p>
            <w:pPr>
              <w:pStyle w:val="6"/>
              <w:spacing w:before="106" w:line="186" w:lineRule="auto"/>
              <w:ind w:left="544"/>
            </w:pPr>
            <w:r>
              <w:rPr>
                <w:spacing w:val="-1"/>
              </w:rPr>
              <w:t>23.16</w:t>
            </w:r>
          </w:p>
        </w:tc>
        <w:tc>
          <w:tcPr>
            <w:tcW w:w="1843" w:type="dxa"/>
            <w:vAlign w:val="top"/>
          </w:tcPr>
          <w:p>
            <w:pPr>
              <w:pStyle w:val="6"/>
              <w:spacing w:before="106" w:line="186" w:lineRule="auto"/>
              <w:ind w:left="634"/>
            </w:pPr>
            <w:r>
              <w:rPr>
                <w:spacing w:val="-1"/>
              </w:rPr>
              <w:t>213.17</w:t>
            </w:r>
          </w:p>
        </w:tc>
        <w:tc>
          <w:tcPr>
            <w:tcW w:w="1894" w:type="dxa"/>
            <w:tcBorders>
              <w:right w:val="nil"/>
            </w:tcBorders>
            <w:vAlign w:val="top"/>
          </w:tcPr>
          <w:p>
            <w:pPr>
              <w:pStyle w:val="6"/>
              <w:spacing w:before="106" w:line="186" w:lineRule="auto"/>
              <w:ind w:left="713"/>
            </w:pPr>
            <w:r>
              <w:rPr>
                <w:spacing w:val="-1"/>
              </w:rPr>
              <w:t>25.98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tcBorders>
              <w:left w:val="nil"/>
            </w:tcBorders>
            <w:vAlign w:val="top"/>
          </w:tcPr>
          <w:p>
            <w:pPr>
              <w:spacing w:before="69" w:line="206" w:lineRule="auto"/>
              <w:ind w:left="655"/>
              <w:rPr>
                <w:rFonts w:ascii="仿宋" w:hAnsi="仿宋" w:eastAsia="仿宋" w:cs="仿宋"/>
                <w:sz w:val="21"/>
                <w:szCs w:val="21"/>
              </w:rPr>
            </w:pPr>
            <w:r>
              <w:rPr>
                <w:rFonts w:ascii="仿宋" w:hAnsi="仿宋" w:eastAsia="仿宋" w:cs="仿宋"/>
                <w:spacing w:val="-5"/>
                <w:sz w:val="21"/>
                <w:szCs w:val="21"/>
              </w:rPr>
              <w:t>草地</w:t>
            </w:r>
          </w:p>
        </w:tc>
        <w:tc>
          <w:tcPr>
            <w:tcW w:w="1559" w:type="dxa"/>
            <w:vAlign w:val="top"/>
          </w:tcPr>
          <w:p>
            <w:pPr>
              <w:pStyle w:val="6"/>
              <w:spacing w:before="107" w:line="186" w:lineRule="auto"/>
              <w:ind w:left="544"/>
            </w:pPr>
            <w:r>
              <w:rPr>
                <w:spacing w:val="-1"/>
              </w:rPr>
              <w:t>21.87</w:t>
            </w:r>
          </w:p>
        </w:tc>
        <w:tc>
          <w:tcPr>
            <w:tcW w:w="1559" w:type="dxa"/>
            <w:vAlign w:val="top"/>
          </w:tcPr>
          <w:p>
            <w:pPr>
              <w:pStyle w:val="6"/>
              <w:spacing w:before="107" w:line="186" w:lineRule="auto"/>
              <w:ind w:left="544"/>
            </w:pPr>
            <w:r>
              <w:rPr>
                <w:spacing w:val="-1"/>
              </w:rPr>
              <w:t>24.71</w:t>
            </w:r>
          </w:p>
        </w:tc>
        <w:tc>
          <w:tcPr>
            <w:tcW w:w="1843" w:type="dxa"/>
            <w:vAlign w:val="top"/>
          </w:tcPr>
          <w:p>
            <w:pPr>
              <w:pStyle w:val="6"/>
              <w:spacing w:before="107" w:line="186" w:lineRule="auto"/>
              <w:ind w:left="695"/>
            </w:pPr>
            <w:r>
              <w:rPr>
                <w:spacing w:val="-3"/>
              </w:rPr>
              <w:t>88.51</w:t>
            </w:r>
          </w:p>
        </w:tc>
        <w:tc>
          <w:tcPr>
            <w:tcW w:w="1894" w:type="dxa"/>
            <w:tcBorders>
              <w:right w:val="nil"/>
            </w:tcBorders>
            <w:vAlign w:val="top"/>
          </w:tcPr>
          <w:p>
            <w:pPr>
              <w:pStyle w:val="6"/>
              <w:spacing w:before="107" w:line="186" w:lineRule="auto"/>
              <w:ind w:left="733"/>
            </w:pPr>
            <w:r>
              <w:rPr>
                <w:spacing w:val="-5"/>
              </w:rPr>
              <w:t>10.79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682" w:type="dxa"/>
            <w:tcBorders>
              <w:left w:val="nil"/>
            </w:tcBorders>
            <w:vAlign w:val="top"/>
          </w:tcPr>
          <w:p>
            <w:pPr>
              <w:spacing w:before="71" w:line="205" w:lineRule="auto"/>
              <w:ind w:left="672"/>
              <w:rPr>
                <w:rFonts w:ascii="仿宋" w:hAnsi="仿宋" w:eastAsia="仿宋" w:cs="仿宋"/>
                <w:sz w:val="21"/>
                <w:szCs w:val="21"/>
              </w:rPr>
            </w:pPr>
            <w:r>
              <w:rPr>
                <w:rFonts w:ascii="仿宋" w:hAnsi="仿宋" w:eastAsia="仿宋" w:cs="仿宋"/>
                <w:spacing w:val="-9"/>
                <w:sz w:val="21"/>
                <w:szCs w:val="21"/>
              </w:rPr>
              <w:t>园地</w:t>
            </w:r>
          </w:p>
        </w:tc>
        <w:tc>
          <w:tcPr>
            <w:tcW w:w="1559" w:type="dxa"/>
            <w:vAlign w:val="top"/>
          </w:tcPr>
          <w:p>
            <w:pPr>
              <w:pStyle w:val="6"/>
              <w:spacing w:before="110" w:line="186" w:lineRule="auto"/>
              <w:ind w:left="564"/>
            </w:pPr>
            <w:r>
              <w:rPr>
                <w:spacing w:val="-5"/>
              </w:rPr>
              <w:t>13.26</w:t>
            </w:r>
          </w:p>
        </w:tc>
        <w:tc>
          <w:tcPr>
            <w:tcW w:w="1559" w:type="dxa"/>
            <w:vAlign w:val="top"/>
          </w:tcPr>
          <w:p>
            <w:pPr>
              <w:pStyle w:val="6"/>
              <w:spacing w:before="110" w:line="186" w:lineRule="auto"/>
              <w:ind w:left="549"/>
            </w:pPr>
            <w:r>
              <w:rPr>
                <w:spacing w:val="-2"/>
              </w:rPr>
              <w:t>34.27</w:t>
            </w:r>
          </w:p>
        </w:tc>
        <w:tc>
          <w:tcPr>
            <w:tcW w:w="1843" w:type="dxa"/>
            <w:vAlign w:val="top"/>
          </w:tcPr>
          <w:p>
            <w:pPr>
              <w:pStyle w:val="6"/>
              <w:spacing w:before="110" w:line="186" w:lineRule="auto"/>
              <w:ind w:left="691"/>
            </w:pPr>
            <w:r>
              <w:rPr>
                <w:spacing w:val="-2"/>
              </w:rPr>
              <w:t>38.69</w:t>
            </w:r>
          </w:p>
        </w:tc>
        <w:tc>
          <w:tcPr>
            <w:tcW w:w="1894" w:type="dxa"/>
            <w:tcBorders>
              <w:right w:val="nil"/>
            </w:tcBorders>
            <w:vAlign w:val="top"/>
          </w:tcPr>
          <w:p>
            <w:pPr>
              <w:pStyle w:val="6"/>
              <w:spacing w:before="110" w:line="186" w:lineRule="auto"/>
              <w:ind w:left="765"/>
            </w:pPr>
            <w:r>
              <w:rPr>
                <w:spacing w:val="-1"/>
              </w:rPr>
              <w:t>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682" w:type="dxa"/>
            <w:tcBorders>
              <w:left w:val="nil"/>
            </w:tcBorders>
            <w:vAlign w:val="top"/>
          </w:tcPr>
          <w:p>
            <w:pPr>
              <w:spacing w:before="75" w:line="203" w:lineRule="auto"/>
              <w:ind w:left="651"/>
              <w:rPr>
                <w:rFonts w:ascii="仿宋" w:hAnsi="仿宋" w:eastAsia="仿宋" w:cs="仿宋"/>
                <w:sz w:val="21"/>
                <w:szCs w:val="21"/>
              </w:rPr>
            </w:pPr>
            <w:r>
              <w:rPr>
                <w:rFonts w:ascii="仿宋" w:hAnsi="仿宋" w:eastAsia="仿宋" w:cs="仿宋"/>
                <w:spacing w:val="-4"/>
                <w:sz w:val="21"/>
                <w:szCs w:val="21"/>
              </w:rPr>
              <w:t>水体</w:t>
            </w:r>
          </w:p>
        </w:tc>
        <w:tc>
          <w:tcPr>
            <w:tcW w:w="1559" w:type="dxa"/>
            <w:vAlign w:val="top"/>
          </w:tcPr>
          <w:p>
            <w:pPr>
              <w:pStyle w:val="6"/>
              <w:spacing w:before="113" w:line="186" w:lineRule="auto"/>
              <w:ind w:left="601"/>
            </w:pPr>
            <w:r>
              <w:rPr>
                <w:spacing w:val="-3"/>
              </w:rPr>
              <w:t>3.22</w:t>
            </w:r>
          </w:p>
        </w:tc>
        <w:tc>
          <w:tcPr>
            <w:tcW w:w="1559" w:type="dxa"/>
            <w:vAlign w:val="top"/>
          </w:tcPr>
          <w:p>
            <w:pPr>
              <w:pStyle w:val="6"/>
              <w:spacing w:before="113" w:line="186" w:lineRule="auto"/>
              <w:ind w:left="601"/>
            </w:pPr>
            <w:r>
              <w:rPr>
                <w:spacing w:val="-2"/>
              </w:rPr>
              <w:t>9.08</w:t>
            </w:r>
          </w:p>
        </w:tc>
        <w:tc>
          <w:tcPr>
            <w:tcW w:w="1843" w:type="dxa"/>
            <w:vAlign w:val="top"/>
          </w:tcPr>
          <w:p>
            <w:pPr>
              <w:pStyle w:val="6"/>
              <w:spacing w:before="113" w:line="186" w:lineRule="auto"/>
              <w:ind w:left="691"/>
            </w:pPr>
            <w:r>
              <w:rPr>
                <w:spacing w:val="-2"/>
              </w:rPr>
              <w:t>35.45</w:t>
            </w:r>
          </w:p>
        </w:tc>
        <w:tc>
          <w:tcPr>
            <w:tcW w:w="1894" w:type="dxa"/>
            <w:tcBorders>
              <w:right w:val="nil"/>
            </w:tcBorders>
            <w:vAlign w:val="top"/>
          </w:tcPr>
          <w:p>
            <w:pPr>
              <w:pStyle w:val="6"/>
              <w:spacing w:before="113" w:line="186" w:lineRule="auto"/>
              <w:ind w:left="765"/>
            </w:pPr>
            <w:r>
              <w:rPr>
                <w:spacing w:val="-1"/>
              </w:rPr>
              <w:t>4.32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tcBorders>
              <w:left w:val="nil"/>
            </w:tcBorders>
            <w:vAlign w:val="top"/>
          </w:tcPr>
          <w:p>
            <w:pPr>
              <w:spacing w:before="75" w:line="201" w:lineRule="auto"/>
              <w:ind w:left="443"/>
              <w:rPr>
                <w:rFonts w:ascii="仿宋" w:hAnsi="仿宋" w:eastAsia="仿宋" w:cs="仿宋"/>
                <w:sz w:val="21"/>
                <w:szCs w:val="21"/>
              </w:rPr>
            </w:pPr>
            <w:r>
              <w:rPr>
                <w:rFonts w:ascii="仿宋" w:hAnsi="仿宋" w:eastAsia="仿宋" w:cs="仿宋"/>
                <w:spacing w:val="-4"/>
                <w:sz w:val="21"/>
                <w:szCs w:val="21"/>
              </w:rPr>
              <w:t>其他用地</w:t>
            </w:r>
          </w:p>
        </w:tc>
        <w:tc>
          <w:tcPr>
            <w:tcW w:w="1559" w:type="dxa"/>
            <w:vAlign w:val="top"/>
          </w:tcPr>
          <w:p>
            <w:pPr>
              <w:pStyle w:val="6"/>
              <w:spacing w:before="114" w:line="186" w:lineRule="auto"/>
              <w:ind w:left="601"/>
            </w:pPr>
            <w:r>
              <w:rPr>
                <w:spacing w:val="-3"/>
              </w:rPr>
              <w:t>3.11</w:t>
            </w:r>
          </w:p>
        </w:tc>
        <w:tc>
          <w:tcPr>
            <w:tcW w:w="1559" w:type="dxa"/>
            <w:vAlign w:val="top"/>
          </w:tcPr>
          <w:p>
            <w:pPr>
              <w:pStyle w:val="6"/>
              <w:spacing w:before="114" w:line="186" w:lineRule="auto"/>
              <w:ind w:left="601"/>
            </w:pPr>
            <w:r>
              <w:rPr>
                <w:spacing w:val="-2"/>
              </w:rPr>
              <w:t>7.34</w:t>
            </w:r>
          </w:p>
        </w:tc>
        <w:tc>
          <w:tcPr>
            <w:tcW w:w="1843" w:type="dxa"/>
            <w:vAlign w:val="top"/>
          </w:tcPr>
          <w:p>
            <w:pPr>
              <w:pStyle w:val="6"/>
              <w:spacing w:before="114" w:line="186" w:lineRule="auto"/>
              <w:ind w:left="686"/>
            </w:pPr>
            <w:r>
              <w:rPr>
                <w:spacing w:val="-1"/>
              </w:rPr>
              <w:t>42.39</w:t>
            </w:r>
          </w:p>
        </w:tc>
        <w:tc>
          <w:tcPr>
            <w:tcW w:w="1894" w:type="dxa"/>
            <w:tcBorders>
              <w:right w:val="nil"/>
            </w:tcBorders>
            <w:vAlign w:val="top"/>
          </w:tcPr>
          <w:p>
            <w:pPr>
              <w:pStyle w:val="6"/>
              <w:spacing w:before="114" w:line="186" w:lineRule="auto"/>
              <w:ind w:left="771"/>
            </w:pPr>
            <w:r>
              <w:rPr>
                <w:spacing w:val="-3"/>
              </w:rPr>
              <w:t>5.17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1682" w:type="dxa"/>
            <w:tcBorders>
              <w:left w:val="nil"/>
              <w:bottom w:val="single" w:color="000000" w:sz="12" w:space="0"/>
            </w:tcBorders>
            <w:vAlign w:val="top"/>
          </w:tcPr>
          <w:p>
            <w:pPr>
              <w:spacing w:before="78" w:line="218" w:lineRule="auto"/>
              <w:ind w:left="658"/>
              <w:rPr>
                <w:rFonts w:ascii="仿宋" w:hAnsi="仿宋" w:eastAsia="仿宋" w:cs="仿宋"/>
                <w:sz w:val="21"/>
                <w:szCs w:val="21"/>
              </w:rPr>
            </w:pPr>
            <w:r>
              <w:rPr>
                <w:rFonts w:ascii="仿宋" w:hAnsi="仿宋" w:eastAsia="仿宋" w:cs="仿宋"/>
                <w:spacing w:val="-5"/>
                <w:sz w:val="21"/>
                <w:szCs w:val="21"/>
              </w:rPr>
              <w:t>合计</w:t>
            </w:r>
          </w:p>
        </w:tc>
        <w:tc>
          <w:tcPr>
            <w:tcW w:w="1559" w:type="dxa"/>
            <w:tcBorders>
              <w:bottom w:val="single" w:color="000000" w:sz="12" w:space="0"/>
            </w:tcBorders>
            <w:vAlign w:val="top"/>
          </w:tcPr>
          <w:p>
            <w:pPr>
              <w:pStyle w:val="6"/>
              <w:spacing w:before="116" w:line="186" w:lineRule="auto"/>
              <w:ind w:left="513"/>
            </w:pPr>
            <w:r>
              <w:rPr>
                <w:spacing w:val="-4"/>
              </w:rPr>
              <w:t>154.61</w:t>
            </w:r>
          </w:p>
        </w:tc>
        <w:tc>
          <w:tcPr>
            <w:tcW w:w="1559" w:type="dxa"/>
            <w:tcBorders>
              <w:bottom w:val="single" w:color="000000" w:sz="12" w:space="0"/>
            </w:tcBorders>
            <w:vAlign w:val="top"/>
          </w:tcPr>
          <w:p>
            <w:pPr>
              <w:pStyle w:val="6"/>
              <w:spacing w:before="116" w:line="186" w:lineRule="auto"/>
              <w:ind w:left="565"/>
            </w:pPr>
            <w:r>
              <w:rPr>
                <w:spacing w:val="-5"/>
              </w:rPr>
              <w:t>18.84</w:t>
            </w:r>
          </w:p>
        </w:tc>
        <w:tc>
          <w:tcPr>
            <w:tcW w:w="1843" w:type="dxa"/>
            <w:tcBorders>
              <w:bottom w:val="single" w:color="000000" w:sz="12" w:space="0"/>
            </w:tcBorders>
            <w:vAlign w:val="top"/>
          </w:tcPr>
          <w:p>
            <w:pPr>
              <w:pStyle w:val="6"/>
              <w:spacing w:before="116" w:line="186" w:lineRule="auto"/>
              <w:ind w:left="695"/>
            </w:pPr>
            <w:r>
              <w:rPr>
                <w:spacing w:val="-3"/>
              </w:rPr>
              <w:t>820.5</w:t>
            </w:r>
          </w:p>
        </w:tc>
        <w:tc>
          <w:tcPr>
            <w:tcW w:w="1894" w:type="dxa"/>
            <w:tcBorders>
              <w:bottom w:val="single" w:color="000000" w:sz="12" w:space="0"/>
              <w:right w:val="nil"/>
            </w:tcBorders>
            <w:vAlign w:val="top"/>
          </w:tcPr>
          <w:p>
            <w:pPr>
              <w:pStyle w:val="6"/>
              <w:spacing w:before="116" w:line="186" w:lineRule="auto"/>
              <w:ind w:left="680"/>
            </w:pPr>
            <w:r>
              <w:rPr>
                <w:spacing w:val="-4"/>
              </w:rPr>
              <w:t>100.00</w:t>
            </w:r>
          </w:p>
        </w:tc>
      </w:tr>
    </w:tbl>
    <w:p>
      <w:pPr>
        <w:rPr>
          <w:rFonts w:ascii="Arial"/>
          <w:sz w:val="21"/>
        </w:rPr>
      </w:pPr>
    </w:p>
    <w:p>
      <w:pPr>
        <w:rPr>
          <w:rFonts w:ascii="Arial" w:hAnsi="Arial" w:eastAsia="Arial" w:cs="Arial"/>
          <w:sz w:val="21"/>
          <w:szCs w:val="21"/>
        </w:rPr>
        <w:sectPr>
          <w:headerReference r:id="rId219" w:type="default"/>
          <w:footerReference r:id="rId220" w:type="default"/>
          <w:pgSz w:w="11907" w:h="16839"/>
          <w:pgMar w:top="1156" w:right="1582" w:bottom="1374" w:left="1770" w:header="881" w:footer="1210" w:gutter="0"/>
        </w:sectPr>
      </w:pPr>
    </w:p>
    <w:p>
      <w:pPr>
        <w:spacing w:before="319" w:line="467" w:lineRule="exact"/>
        <w:ind w:left="522"/>
        <w:rPr>
          <w:rFonts w:ascii="宋体" w:hAnsi="宋体" w:eastAsia="宋体" w:cs="宋体"/>
          <w:sz w:val="24"/>
          <w:szCs w:val="24"/>
        </w:rPr>
      </w:pPr>
      <w:r>
        <w:rPr>
          <w:rFonts w:ascii="宋体" w:hAnsi="宋体" w:eastAsia="宋体" w:cs="宋体"/>
          <w:spacing w:val="6"/>
          <w:position w:val="16"/>
          <w:sz w:val="24"/>
          <w:szCs w:val="24"/>
        </w:rPr>
        <w:t>工程占地面积</w:t>
      </w:r>
      <w:r>
        <w:rPr>
          <w:rFonts w:ascii="宋体" w:hAnsi="宋体" w:eastAsia="宋体" w:cs="宋体"/>
          <w:spacing w:val="39"/>
          <w:position w:val="16"/>
          <w:sz w:val="24"/>
          <w:szCs w:val="24"/>
        </w:rPr>
        <w:t xml:space="preserve"> </w:t>
      </w:r>
      <w:r>
        <w:rPr>
          <w:rFonts w:ascii="Times New Roman" w:hAnsi="Times New Roman" w:eastAsia="Times New Roman" w:cs="Times New Roman"/>
          <w:spacing w:val="6"/>
          <w:position w:val="16"/>
          <w:sz w:val="24"/>
          <w:szCs w:val="24"/>
        </w:rPr>
        <w:t>154.61</w:t>
      </w:r>
      <w:r>
        <w:rPr>
          <w:rFonts w:ascii="Times New Roman" w:hAnsi="Times New Roman" w:eastAsia="Times New Roman" w:cs="Times New Roman"/>
          <w:position w:val="16"/>
          <w:sz w:val="24"/>
          <w:szCs w:val="24"/>
        </w:rPr>
        <w:t>hm</w:t>
      </w:r>
      <w:r>
        <w:rPr>
          <w:rFonts w:ascii="Times New Roman" w:hAnsi="Times New Roman" w:eastAsia="Times New Roman" w:cs="Times New Roman"/>
          <w:spacing w:val="6"/>
          <w:position w:val="24"/>
          <w:sz w:val="15"/>
          <w:szCs w:val="15"/>
        </w:rPr>
        <w:t xml:space="preserve">2 </w:t>
      </w:r>
      <w:r>
        <w:rPr>
          <w:rFonts w:ascii="宋体" w:hAnsi="宋体" w:eastAsia="宋体" w:cs="宋体"/>
          <w:spacing w:val="6"/>
          <w:position w:val="16"/>
          <w:sz w:val="24"/>
          <w:szCs w:val="24"/>
        </w:rPr>
        <w:t xml:space="preserve">，其中永久占地面积 </w:t>
      </w:r>
      <w:r>
        <w:rPr>
          <w:rFonts w:ascii="Times New Roman" w:hAnsi="Times New Roman" w:eastAsia="Times New Roman" w:cs="Times New Roman"/>
          <w:spacing w:val="6"/>
          <w:position w:val="16"/>
          <w:sz w:val="24"/>
          <w:szCs w:val="24"/>
        </w:rPr>
        <w:t>82</w:t>
      </w:r>
      <w:r>
        <w:rPr>
          <w:rFonts w:ascii="Times New Roman" w:hAnsi="Times New Roman" w:eastAsia="Times New Roman" w:cs="Times New Roman"/>
          <w:spacing w:val="5"/>
          <w:position w:val="16"/>
          <w:sz w:val="24"/>
          <w:szCs w:val="24"/>
        </w:rPr>
        <w:t>.48</w:t>
      </w:r>
      <w:r>
        <w:rPr>
          <w:rFonts w:ascii="Times New Roman" w:hAnsi="Times New Roman" w:eastAsia="Times New Roman" w:cs="Times New Roman"/>
          <w:position w:val="16"/>
          <w:sz w:val="24"/>
          <w:szCs w:val="24"/>
        </w:rPr>
        <w:t>hm</w:t>
      </w:r>
      <w:r>
        <w:rPr>
          <w:rFonts w:ascii="Times New Roman" w:hAnsi="Times New Roman" w:eastAsia="Times New Roman" w:cs="Times New Roman"/>
          <w:spacing w:val="5"/>
          <w:position w:val="24"/>
          <w:sz w:val="15"/>
          <w:szCs w:val="15"/>
        </w:rPr>
        <w:t xml:space="preserve">2 </w:t>
      </w:r>
      <w:r>
        <w:rPr>
          <w:rFonts w:ascii="宋体" w:hAnsi="宋体" w:eastAsia="宋体" w:cs="宋体"/>
          <w:spacing w:val="5"/>
          <w:position w:val="16"/>
          <w:sz w:val="24"/>
          <w:szCs w:val="24"/>
        </w:rPr>
        <w:t>，临时占地面积</w:t>
      </w:r>
    </w:p>
    <w:p>
      <w:pPr>
        <w:spacing w:line="233" w:lineRule="auto"/>
        <w:ind w:left="38"/>
        <w:rPr>
          <w:rFonts w:ascii="宋体" w:hAnsi="宋体" w:eastAsia="宋体" w:cs="宋体"/>
          <w:sz w:val="24"/>
          <w:szCs w:val="24"/>
        </w:rPr>
      </w:pPr>
      <w:r>
        <w:rPr>
          <w:rFonts w:ascii="Times New Roman" w:hAnsi="Times New Roman" w:eastAsia="Times New Roman" w:cs="Times New Roman"/>
          <w:spacing w:val="-7"/>
          <w:sz w:val="24"/>
          <w:szCs w:val="24"/>
        </w:rPr>
        <w:t>72.13hm</w:t>
      </w:r>
      <w:r>
        <w:rPr>
          <w:rFonts w:ascii="Times New Roman" w:hAnsi="Times New Roman" w:eastAsia="Times New Roman" w:cs="Times New Roman"/>
          <w:spacing w:val="-7"/>
          <w:position w:val="8"/>
          <w:sz w:val="15"/>
          <w:szCs w:val="15"/>
        </w:rPr>
        <w:t>2</w:t>
      </w:r>
      <w:r>
        <w:rPr>
          <w:rFonts w:ascii="宋体" w:hAnsi="宋体" w:eastAsia="宋体" w:cs="宋体"/>
          <w:spacing w:val="-7"/>
          <w:sz w:val="24"/>
          <w:szCs w:val="24"/>
        </w:rPr>
        <w:t>。项目占用林地</w:t>
      </w:r>
      <w:r>
        <w:rPr>
          <w:rFonts w:ascii="宋体" w:hAnsi="宋体" w:eastAsia="宋体" w:cs="宋体"/>
          <w:spacing w:val="-53"/>
          <w:sz w:val="24"/>
          <w:szCs w:val="24"/>
        </w:rPr>
        <w:t xml:space="preserve"> </w:t>
      </w:r>
      <w:r>
        <w:rPr>
          <w:rFonts w:ascii="Times New Roman" w:hAnsi="Times New Roman" w:eastAsia="Times New Roman" w:cs="Times New Roman"/>
          <w:spacing w:val="-7"/>
          <w:sz w:val="24"/>
          <w:szCs w:val="24"/>
        </w:rPr>
        <w:t>87.53hm</w:t>
      </w:r>
      <w:r>
        <w:rPr>
          <w:rFonts w:ascii="Times New Roman" w:hAnsi="Times New Roman" w:eastAsia="Times New Roman" w:cs="Times New Roman"/>
          <w:spacing w:val="-7"/>
          <w:position w:val="8"/>
          <w:sz w:val="15"/>
          <w:szCs w:val="15"/>
        </w:rPr>
        <w:t>2</w:t>
      </w:r>
      <w:r>
        <w:rPr>
          <w:rFonts w:ascii="宋体" w:hAnsi="宋体" w:eastAsia="宋体" w:cs="宋体"/>
          <w:spacing w:val="-7"/>
          <w:sz w:val="24"/>
          <w:szCs w:val="24"/>
        </w:rPr>
        <w:t>，其中永久占用</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57.24hm</w:t>
      </w:r>
      <w:r>
        <w:rPr>
          <w:rFonts w:ascii="Times New Roman" w:hAnsi="Times New Roman" w:eastAsia="Times New Roman" w:cs="Times New Roman"/>
          <w:spacing w:val="-7"/>
          <w:position w:val="8"/>
          <w:sz w:val="15"/>
          <w:szCs w:val="15"/>
        </w:rPr>
        <w:t>2</w:t>
      </w:r>
      <w:r>
        <w:rPr>
          <w:rFonts w:ascii="宋体" w:hAnsi="宋体" w:eastAsia="宋体" w:cs="宋体"/>
          <w:spacing w:val="-11"/>
          <w:sz w:val="24"/>
          <w:szCs w:val="24"/>
        </w:rPr>
        <w:t>，临时占用</w:t>
      </w:r>
      <w:r>
        <w:rPr>
          <w:rFonts w:ascii="宋体" w:hAnsi="宋体" w:eastAsia="宋体" w:cs="宋体"/>
          <w:spacing w:val="-58"/>
          <w:sz w:val="24"/>
          <w:szCs w:val="24"/>
        </w:rPr>
        <w:t xml:space="preserve"> </w:t>
      </w:r>
      <w:r>
        <w:rPr>
          <w:rFonts w:ascii="Times New Roman" w:hAnsi="Times New Roman" w:eastAsia="Times New Roman" w:cs="Times New Roman"/>
          <w:spacing w:val="-11"/>
          <w:sz w:val="24"/>
          <w:szCs w:val="24"/>
        </w:rPr>
        <w:t>30.29hm</w:t>
      </w:r>
      <w:r>
        <w:rPr>
          <w:rFonts w:ascii="Times New Roman" w:hAnsi="Times New Roman" w:eastAsia="Times New Roman" w:cs="Times New Roman"/>
          <w:spacing w:val="6"/>
          <w:position w:val="8"/>
          <w:sz w:val="15"/>
          <w:szCs w:val="15"/>
        </w:rPr>
        <w:t>2</w:t>
      </w:r>
      <w:r>
        <w:rPr>
          <w:rFonts w:ascii="宋体" w:hAnsi="宋体" w:eastAsia="宋体" w:cs="宋体"/>
          <w:spacing w:val="6"/>
          <w:sz w:val="24"/>
          <w:szCs w:val="24"/>
        </w:rPr>
        <w:t>。</w:t>
      </w:r>
    </w:p>
    <w:p>
      <w:pPr>
        <w:spacing w:before="163" w:line="217" w:lineRule="auto"/>
        <w:ind w:left="517"/>
        <w:rPr>
          <w:rFonts w:ascii="宋体" w:hAnsi="宋体" w:eastAsia="宋体" w:cs="宋体"/>
          <w:sz w:val="24"/>
          <w:szCs w:val="24"/>
        </w:rPr>
      </w:pPr>
      <w:r>
        <w:rPr>
          <w:rFonts w:ascii="宋体" w:hAnsi="宋体" w:eastAsia="宋体" w:cs="宋体"/>
          <w:spacing w:val="-2"/>
          <w:sz w:val="24"/>
          <w:szCs w:val="24"/>
        </w:rPr>
        <w:t>②生态保护红线</w:t>
      </w:r>
    </w:p>
    <w:p>
      <w:pPr>
        <w:spacing w:before="184" w:line="359" w:lineRule="auto"/>
        <w:ind w:left="38" w:firstLine="484"/>
        <w:rPr>
          <w:rFonts w:ascii="宋体" w:hAnsi="宋体" w:eastAsia="宋体" w:cs="宋体"/>
          <w:sz w:val="24"/>
          <w:szCs w:val="24"/>
        </w:rPr>
      </w:pPr>
      <w:r>
        <w:rPr>
          <w:rFonts w:ascii="宋体" w:hAnsi="宋体" w:eastAsia="宋体" w:cs="宋体"/>
          <w:spacing w:val="-6"/>
          <w:sz w:val="24"/>
          <w:szCs w:val="24"/>
        </w:rPr>
        <w:t>项目库区枢纽工程征地范围内涉及大姚县生态保护红线（公开版）</w:t>
      </w:r>
      <w:r>
        <w:rPr>
          <w:rFonts w:ascii="Times New Roman" w:hAnsi="Times New Roman" w:eastAsia="Times New Roman" w:cs="Times New Roman"/>
          <w:spacing w:val="-6"/>
          <w:sz w:val="24"/>
          <w:szCs w:val="24"/>
        </w:rPr>
        <w:t>8.59</w:t>
      </w:r>
      <w:r>
        <w:rPr>
          <w:rFonts w:ascii="Times New Roman" w:hAnsi="Times New Roman" w:eastAsia="Times New Roman" w:cs="Times New Roman"/>
          <w:spacing w:val="-7"/>
          <w:sz w:val="24"/>
          <w:szCs w:val="24"/>
        </w:rPr>
        <w:t>29hm</w:t>
      </w:r>
      <w:r>
        <w:rPr>
          <w:rFonts w:ascii="Times New Roman" w:hAnsi="Times New Roman" w:eastAsia="Times New Roman" w:cs="Times New Roman"/>
          <w:spacing w:val="-7"/>
          <w:position w:val="8"/>
          <w:sz w:val="15"/>
          <w:szCs w:val="15"/>
        </w:rPr>
        <w:t>2</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4"/>
          <w:sz w:val="24"/>
          <w:szCs w:val="24"/>
        </w:rPr>
        <w:t xml:space="preserve">输水工程、引水工程、弃渣场、料场不涉及大姚县生态保护红线。目前生态红线  </w:t>
      </w:r>
      <w:r>
        <w:rPr>
          <w:rFonts w:ascii="宋体" w:hAnsi="宋体" w:eastAsia="宋体" w:cs="宋体"/>
          <w:spacing w:val="-3"/>
          <w:sz w:val="24"/>
          <w:szCs w:val="24"/>
        </w:rPr>
        <w:t>最终调整版已将库区枢纽工程征地范围内涉及的生态保护红线调出，项目已不涉</w:t>
      </w:r>
    </w:p>
    <w:p>
      <w:pPr>
        <w:spacing w:line="220" w:lineRule="auto"/>
        <w:ind w:left="38"/>
        <w:rPr>
          <w:rFonts w:ascii="宋体" w:hAnsi="宋体" w:eastAsia="宋体" w:cs="宋体"/>
          <w:sz w:val="24"/>
          <w:szCs w:val="24"/>
        </w:rPr>
      </w:pPr>
      <w:r>
        <w:rPr>
          <w:rFonts w:ascii="宋体" w:hAnsi="宋体" w:eastAsia="宋体" w:cs="宋体"/>
          <w:spacing w:val="-5"/>
          <w:sz w:val="24"/>
          <w:szCs w:val="24"/>
        </w:rPr>
        <w:t>及生态保护红线。</w:t>
      </w:r>
    </w:p>
    <w:p>
      <w:pPr>
        <w:spacing w:before="181" w:line="217" w:lineRule="auto"/>
        <w:ind w:left="517"/>
        <w:rPr>
          <w:rFonts w:ascii="宋体" w:hAnsi="宋体" w:eastAsia="宋体" w:cs="宋体"/>
          <w:sz w:val="24"/>
          <w:szCs w:val="24"/>
        </w:rPr>
      </w:pPr>
      <w:r>
        <w:rPr>
          <w:rFonts w:ascii="宋体" w:hAnsi="宋体" w:eastAsia="宋体" w:cs="宋体"/>
          <w:spacing w:val="-2"/>
          <w:sz w:val="24"/>
          <w:szCs w:val="24"/>
        </w:rPr>
        <w:t>③基本农田情况</w:t>
      </w:r>
    </w:p>
    <w:p>
      <w:pPr>
        <w:spacing w:before="185" w:line="219" w:lineRule="auto"/>
        <w:ind w:left="523"/>
        <w:rPr>
          <w:rFonts w:ascii="宋体" w:hAnsi="宋体" w:eastAsia="宋体" w:cs="宋体"/>
          <w:sz w:val="24"/>
          <w:szCs w:val="24"/>
        </w:rPr>
      </w:pPr>
      <w:r>
        <w:rPr>
          <w:rFonts w:ascii="宋体" w:hAnsi="宋体" w:eastAsia="宋体" w:cs="宋体"/>
          <w:spacing w:val="-5"/>
          <w:sz w:val="24"/>
          <w:szCs w:val="24"/>
        </w:rPr>
        <w:t>项目不占用基本农田。</w:t>
      </w:r>
    </w:p>
    <w:p>
      <w:pPr>
        <w:spacing w:before="183" w:line="217" w:lineRule="auto"/>
        <w:ind w:left="517"/>
        <w:rPr>
          <w:rFonts w:ascii="宋体" w:hAnsi="宋体" w:eastAsia="宋体" w:cs="宋体"/>
          <w:sz w:val="24"/>
          <w:szCs w:val="24"/>
        </w:rPr>
      </w:pPr>
      <w:r>
        <w:rPr>
          <w:rFonts w:ascii="宋体" w:hAnsi="宋体" w:eastAsia="宋体" w:cs="宋体"/>
          <w:spacing w:val="-2"/>
          <w:sz w:val="24"/>
          <w:szCs w:val="24"/>
        </w:rPr>
        <w:t>④公益林地</w:t>
      </w:r>
    </w:p>
    <w:p>
      <w:pPr>
        <w:spacing w:before="185" w:line="359" w:lineRule="auto"/>
        <w:ind w:left="58" w:right="220" w:firstLine="465"/>
        <w:rPr>
          <w:rFonts w:ascii="宋体" w:hAnsi="宋体" w:eastAsia="宋体" w:cs="宋体"/>
          <w:sz w:val="24"/>
          <w:szCs w:val="24"/>
        </w:rPr>
      </w:pPr>
      <w:r>
        <w:rPr>
          <w:rFonts w:ascii="宋体" w:hAnsi="宋体" w:eastAsia="宋体" w:cs="宋体"/>
          <w:spacing w:val="3"/>
          <w:sz w:val="24"/>
          <w:szCs w:val="24"/>
        </w:rPr>
        <w:t xml:space="preserve">项目涉及占用生态公益林 </w:t>
      </w:r>
      <w:r>
        <w:rPr>
          <w:rFonts w:ascii="Times New Roman" w:hAnsi="Times New Roman" w:eastAsia="Times New Roman" w:cs="Times New Roman"/>
          <w:spacing w:val="3"/>
          <w:sz w:val="24"/>
          <w:szCs w:val="24"/>
        </w:rPr>
        <w:t>21.70</w:t>
      </w:r>
      <w:r>
        <w:rPr>
          <w:rFonts w:ascii="Times New Roman" w:hAnsi="Times New Roman" w:eastAsia="Times New Roman" w:cs="Times New Roman"/>
          <w:sz w:val="24"/>
          <w:szCs w:val="24"/>
        </w:rPr>
        <w:t>hm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4"/>
          <w:szCs w:val="24"/>
        </w:rPr>
        <w:t>，其中永久占</w:t>
      </w:r>
      <w:r>
        <w:rPr>
          <w:rFonts w:ascii="宋体" w:hAnsi="宋体" w:eastAsia="宋体" w:cs="宋体"/>
          <w:spacing w:val="2"/>
          <w:sz w:val="24"/>
          <w:szCs w:val="24"/>
        </w:rPr>
        <w:t xml:space="preserve">用 </w:t>
      </w:r>
      <w:r>
        <w:rPr>
          <w:rFonts w:ascii="Times New Roman" w:hAnsi="Times New Roman" w:eastAsia="Times New Roman" w:cs="Times New Roman"/>
          <w:spacing w:val="2"/>
          <w:sz w:val="24"/>
          <w:szCs w:val="24"/>
        </w:rPr>
        <w:t>20.48</w:t>
      </w:r>
      <w:r>
        <w:rPr>
          <w:rFonts w:ascii="Times New Roman" w:hAnsi="Times New Roman" w:eastAsia="Times New Roman" w:cs="Times New Roman"/>
          <w:sz w:val="24"/>
          <w:szCs w:val="24"/>
        </w:rPr>
        <w:t>hm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4"/>
          <w:szCs w:val="24"/>
        </w:rPr>
        <w:t>，临时占用</w:t>
      </w:r>
      <w:r>
        <w:rPr>
          <w:rFonts w:ascii="宋体" w:hAnsi="宋体" w:eastAsia="宋体" w:cs="宋体"/>
          <w:sz w:val="24"/>
          <w:szCs w:val="24"/>
        </w:rPr>
        <w:t xml:space="preserve"> </w:t>
      </w:r>
      <w:r>
        <w:rPr>
          <w:rFonts w:ascii="Times New Roman" w:hAnsi="Times New Roman" w:eastAsia="Times New Roman" w:cs="Times New Roman"/>
          <w:spacing w:val="6"/>
          <w:sz w:val="24"/>
          <w:szCs w:val="24"/>
        </w:rPr>
        <w:t>1.22</w:t>
      </w:r>
      <w:r>
        <w:rPr>
          <w:rFonts w:ascii="Times New Roman" w:hAnsi="Times New Roman" w:eastAsia="Times New Roman" w:cs="Times New Roman"/>
          <w:sz w:val="24"/>
          <w:szCs w:val="24"/>
        </w:rPr>
        <w:t>hm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4"/>
          <w:szCs w:val="24"/>
        </w:rPr>
        <w:t xml:space="preserve">。项目占用国家二级公益林 </w:t>
      </w:r>
      <w:r>
        <w:rPr>
          <w:rFonts w:ascii="Times New Roman" w:hAnsi="Times New Roman" w:eastAsia="Times New Roman" w:cs="Times New Roman"/>
          <w:spacing w:val="6"/>
          <w:sz w:val="24"/>
          <w:szCs w:val="24"/>
        </w:rPr>
        <w:t>7.28</w:t>
      </w:r>
      <w:r>
        <w:rPr>
          <w:rFonts w:ascii="Times New Roman" w:hAnsi="Times New Roman" w:eastAsia="Times New Roman" w:cs="Times New Roman"/>
          <w:sz w:val="24"/>
          <w:szCs w:val="24"/>
        </w:rPr>
        <w:t>hm</w:t>
      </w:r>
      <w:r>
        <w:rPr>
          <w:rFonts w:ascii="Times New Roman" w:hAnsi="Times New Roman" w:eastAsia="Times New Roman" w:cs="Times New Roman"/>
          <w:spacing w:val="6"/>
          <w:position w:val="8"/>
          <w:sz w:val="15"/>
          <w:szCs w:val="15"/>
        </w:rPr>
        <w:t>2</w:t>
      </w:r>
      <w:r>
        <w:rPr>
          <w:rFonts w:ascii="宋体" w:hAnsi="宋体" w:eastAsia="宋体" w:cs="宋体"/>
          <w:spacing w:val="6"/>
          <w:sz w:val="24"/>
          <w:szCs w:val="24"/>
        </w:rPr>
        <w:t xml:space="preserve">（永久占用 </w:t>
      </w:r>
      <w:r>
        <w:rPr>
          <w:rFonts w:ascii="Times New Roman" w:hAnsi="Times New Roman" w:eastAsia="Times New Roman" w:cs="Times New Roman"/>
          <w:spacing w:val="6"/>
          <w:sz w:val="24"/>
          <w:szCs w:val="24"/>
        </w:rPr>
        <w:t>6.74</w:t>
      </w:r>
      <w:r>
        <w:rPr>
          <w:rFonts w:ascii="Times New Roman" w:hAnsi="Times New Roman" w:eastAsia="Times New Roman" w:cs="Times New Roman"/>
          <w:sz w:val="24"/>
          <w:szCs w:val="24"/>
        </w:rPr>
        <w:t>hm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4"/>
          <w:szCs w:val="24"/>
        </w:rPr>
        <w:t>，临时占用</w:t>
      </w:r>
    </w:p>
    <w:p>
      <w:pPr>
        <w:spacing w:line="219" w:lineRule="auto"/>
        <w:ind w:left="38"/>
        <w:rPr>
          <w:rFonts w:ascii="宋体" w:hAnsi="宋体" w:eastAsia="宋体" w:cs="宋体"/>
          <w:sz w:val="24"/>
          <w:szCs w:val="24"/>
        </w:rPr>
      </w:pPr>
      <w:r>
        <w:rPr>
          <w:rFonts w:ascii="Times New Roman" w:hAnsi="Times New Roman" w:eastAsia="Times New Roman" w:cs="Times New Roman"/>
          <w:spacing w:val="-4"/>
          <w:sz w:val="24"/>
          <w:szCs w:val="24"/>
        </w:rPr>
        <w:t>0.54hm</w:t>
      </w:r>
      <w:r>
        <w:rPr>
          <w:rFonts w:ascii="Times New Roman" w:hAnsi="Times New Roman" w:eastAsia="Times New Roman" w:cs="Times New Roman"/>
          <w:spacing w:val="-4"/>
          <w:position w:val="8"/>
          <w:sz w:val="15"/>
          <w:szCs w:val="15"/>
        </w:rPr>
        <w:t>2</w:t>
      </w:r>
      <w:r>
        <w:rPr>
          <w:rFonts w:ascii="宋体" w:hAnsi="宋体" w:eastAsia="宋体" w:cs="宋体"/>
          <w:spacing w:val="-54"/>
          <w:sz w:val="24"/>
          <w:szCs w:val="24"/>
        </w:rPr>
        <w:t>），</w:t>
      </w:r>
      <w:r>
        <w:rPr>
          <w:rFonts w:ascii="宋体" w:hAnsi="宋体" w:eastAsia="宋体" w:cs="宋体"/>
          <w:spacing w:val="-4"/>
          <w:sz w:val="24"/>
          <w:szCs w:val="24"/>
        </w:rPr>
        <w:t xml:space="preserve">省级公益林占用 </w:t>
      </w:r>
      <w:r>
        <w:rPr>
          <w:rFonts w:ascii="Times New Roman" w:hAnsi="Times New Roman" w:eastAsia="Times New Roman" w:cs="Times New Roman"/>
          <w:spacing w:val="-4"/>
          <w:sz w:val="24"/>
          <w:szCs w:val="24"/>
        </w:rPr>
        <w:t>14.42h</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 xml:space="preserve">2  </w:t>
      </w:r>
      <w:r>
        <w:rPr>
          <w:rFonts w:ascii="宋体" w:hAnsi="宋体" w:eastAsia="宋体" w:cs="宋体"/>
          <w:spacing w:val="-5"/>
          <w:sz w:val="24"/>
          <w:szCs w:val="24"/>
        </w:rPr>
        <w:t xml:space="preserve">（永久占用 </w:t>
      </w:r>
      <w:r>
        <w:rPr>
          <w:rFonts w:ascii="Times New Roman" w:hAnsi="Times New Roman" w:eastAsia="Times New Roman" w:cs="Times New Roman"/>
          <w:spacing w:val="-5"/>
          <w:sz w:val="24"/>
          <w:szCs w:val="24"/>
        </w:rPr>
        <w:t>13.74m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5"/>
          <w:sz w:val="24"/>
          <w:szCs w:val="24"/>
        </w:rPr>
        <w:t xml:space="preserve">，临时占用 </w:t>
      </w:r>
      <w:r>
        <w:rPr>
          <w:rFonts w:ascii="Times New Roman" w:hAnsi="Times New Roman" w:eastAsia="Times New Roman" w:cs="Times New Roman"/>
          <w:spacing w:val="-5"/>
          <w:sz w:val="24"/>
          <w:szCs w:val="24"/>
        </w:rPr>
        <w:t>0.68hm</w:t>
      </w:r>
      <w:r>
        <w:rPr>
          <w:rFonts w:ascii="Times New Roman" w:hAnsi="Times New Roman" w:eastAsia="Times New Roman" w:cs="Times New Roman"/>
          <w:spacing w:val="-5"/>
          <w:position w:val="8"/>
          <w:sz w:val="15"/>
          <w:szCs w:val="15"/>
        </w:rPr>
        <w:t>2</w:t>
      </w:r>
      <w:r>
        <w:rPr>
          <w:rFonts w:ascii="宋体" w:hAnsi="宋体" w:eastAsia="宋体" w:cs="宋体"/>
          <w:spacing w:val="-5"/>
          <w:sz w:val="24"/>
          <w:szCs w:val="24"/>
        </w:rPr>
        <w:t>）。</w:t>
      </w:r>
    </w:p>
    <w:p>
      <w:pPr>
        <w:spacing w:before="181"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）陆生植物现状调查</w:t>
      </w:r>
    </w:p>
    <w:p>
      <w:pPr>
        <w:spacing w:before="182" w:line="217" w:lineRule="auto"/>
        <w:ind w:left="518"/>
        <w:rPr>
          <w:rFonts w:ascii="宋体" w:hAnsi="宋体" w:eastAsia="宋体" w:cs="宋体"/>
          <w:sz w:val="24"/>
          <w:szCs w:val="24"/>
        </w:rPr>
      </w:pPr>
      <w:r>
        <w:rPr>
          <w:rFonts w:ascii="宋体" w:hAnsi="宋体" w:eastAsia="宋体" w:cs="宋体"/>
          <w:spacing w:val="-2"/>
          <w:sz w:val="24"/>
          <w:szCs w:val="24"/>
        </w:rPr>
        <w:t>①评价区植被类型</w:t>
      </w:r>
    </w:p>
    <w:p>
      <w:pPr>
        <w:spacing w:before="185" w:line="233" w:lineRule="auto"/>
        <w:ind w:left="518"/>
        <w:rPr>
          <w:rFonts w:ascii="宋体" w:hAnsi="宋体" w:eastAsia="宋体" w:cs="宋体"/>
          <w:sz w:val="24"/>
          <w:szCs w:val="24"/>
        </w:rPr>
      </w:pPr>
      <w:r>
        <w:rPr>
          <w:rFonts w:ascii="Times New Roman" w:hAnsi="Times New Roman" w:eastAsia="Times New Roman" w:cs="Times New Roman"/>
          <w:spacing w:val="-8"/>
          <w:sz w:val="24"/>
          <w:szCs w:val="24"/>
        </w:rPr>
        <w:t>a.</w:t>
      </w:r>
      <w:r>
        <w:rPr>
          <w:rFonts w:ascii="Times New Roman" w:hAnsi="Times New Roman" w:eastAsia="Times New Roman" w:cs="Times New Roman"/>
          <w:spacing w:val="-10"/>
          <w:sz w:val="24"/>
          <w:szCs w:val="24"/>
        </w:rPr>
        <w:t xml:space="preserve"> </w:t>
      </w:r>
      <w:r>
        <w:rPr>
          <w:rFonts w:ascii="宋体" w:hAnsi="宋体" w:eastAsia="宋体" w:cs="宋体"/>
          <w:spacing w:val="-8"/>
          <w:sz w:val="24"/>
          <w:szCs w:val="24"/>
        </w:rPr>
        <w:t>自然植被</w:t>
      </w:r>
    </w:p>
    <w:p>
      <w:pPr>
        <w:spacing w:before="164" w:line="359" w:lineRule="auto"/>
        <w:ind w:left="40" w:right="190" w:firstLine="479"/>
        <w:rPr>
          <w:rFonts w:ascii="宋体" w:hAnsi="宋体" w:eastAsia="宋体" w:cs="宋体"/>
          <w:sz w:val="24"/>
          <w:szCs w:val="24"/>
        </w:rPr>
      </w:pPr>
      <w:r>
        <w:rPr>
          <w:rFonts w:ascii="宋体" w:hAnsi="宋体" w:eastAsia="宋体" w:cs="宋体"/>
          <w:spacing w:val="-15"/>
          <w:sz w:val="24"/>
          <w:szCs w:val="24"/>
        </w:rPr>
        <w:t>根据现场踏勘与调查，</w:t>
      </w:r>
      <w:r>
        <w:rPr>
          <w:rFonts w:ascii="宋体" w:hAnsi="宋体" w:eastAsia="宋体" w:cs="宋体"/>
          <w:spacing w:val="44"/>
          <w:sz w:val="24"/>
          <w:szCs w:val="24"/>
        </w:rPr>
        <w:t xml:space="preserve"> </w:t>
      </w:r>
      <w:r>
        <w:rPr>
          <w:rFonts w:ascii="宋体" w:hAnsi="宋体" w:eastAsia="宋体" w:cs="宋体"/>
          <w:spacing w:val="-15"/>
          <w:sz w:val="24"/>
          <w:szCs w:val="24"/>
        </w:rPr>
        <w:t>依据《中国植被》、《云南植被》等专著中确定的植被</w:t>
      </w:r>
      <w:r>
        <w:rPr>
          <w:rFonts w:ascii="宋体" w:hAnsi="宋体" w:eastAsia="宋体" w:cs="宋体"/>
          <w:sz w:val="24"/>
          <w:szCs w:val="24"/>
        </w:rPr>
        <w:t xml:space="preserve"> </w:t>
      </w:r>
      <w:r>
        <w:rPr>
          <w:rFonts w:ascii="宋体" w:hAnsi="宋体" w:eastAsia="宋体" w:cs="宋体"/>
          <w:spacing w:val="-4"/>
          <w:sz w:val="24"/>
          <w:szCs w:val="24"/>
        </w:rPr>
        <w:t>分类的依据和原则，实地调查表明，</w:t>
      </w:r>
      <w:r>
        <w:rPr>
          <w:rFonts w:ascii="宋体" w:hAnsi="宋体" w:eastAsia="宋体" w:cs="宋体"/>
          <w:spacing w:val="51"/>
          <w:sz w:val="24"/>
          <w:szCs w:val="24"/>
        </w:rPr>
        <w:t xml:space="preserve"> </w:t>
      </w:r>
      <w:r>
        <w:rPr>
          <w:rFonts w:ascii="宋体" w:hAnsi="宋体" w:eastAsia="宋体" w:cs="宋体"/>
          <w:spacing w:val="-4"/>
          <w:sz w:val="24"/>
          <w:szCs w:val="24"/>
        </w:rPr>
        <w:t>目前评价区的自然植被类型</w:t>
      </w:r>
      <w:r>
        <w:rPr>
          <w:rFonts w:ascii="宋体" w:hAnsi="宋体" w:eastAsia="宋体" w:cs="宋体"/>
          <w:spacing w:val="-5"/>
          <w:sz w:val="24"/>
          <w:szCs w:val="24"/>
        </w:rPr>
        <w:t xml:space="preserve">包括 </w:t>
      </w:r>
      <w:r>
        <w:rPr>
          <w:rFonts w:ascii="Times New Roman" w:hAnsi="Times New Roman" w:eastAsia="Times New Roman" w:cs="Times New Roman"/>
          <w:spacing w:val="-5"/>
          <w:sz w:val="24"/>
          <w:szCs w:val="24"/>
        </w:rPr>
        <w:t xml:space="preserve">6  </w:t>
      </w:r>
      <w:r>
        <w:rPr>
          <w:rFonts w:ascii="宋体" w:hAnsi="宋体" w:eastAsia="宋体" w:cs="宋体"/>
          <w:spacing w:val="-5"/>
          <w:sz w:val="24"/>
          <w:szCs w:val="24"/>
        </w:rPr>
        <w:t>个植被</w:t>
      </w:r>
      <w:r>
        <w:rPr>
          <w:rFonts w:ascii="宋体" w:hAnsi="宋体" w:eastAsia="宋体" w:cs="宋体"/>
          <w:sz w:val="24"/>
          <w:szCs w:val="24"/>
        </w:rPr>
        <w:t xml:space="preserve"> </w:t>
      </w:r>
      <w:r>
        <w:rPr>
          <w:rFonts w:ascii="宋体" w:hAnsi="宋体" w:eastAsia="宋体" w:cs="宋体"/>
          <w:spacing w:val="-9"/>
          <w:sz w:val="24"/>
          <w:szCs w:val="24"/>
        </w:rPr>
        <w:t>型、</w:t>
      </w:r>
      <w:r>
        <w:rPr>
          <w:rFonts w:ascii="Times New Roman" w:hAnsi="Times New Roman" w:eastAsia="Times New Roman" w:cs="Times New Roman"/>
          <w:spacing w:val="-9"/>
          <w:sz w:val="24"/>
          <w:szCs w:val="24"/>
        </w:rPr>
        <w:t xml:space="preserve">7 </w:t>
      </w:r>
      <w:r>
        <w:rPr>
          <w:rFonts w:ascii="宋体" w:hAnsi="宋体" w:eastAsia="宋体" w:cs="宋体"/>
          <w:spacing w:val="-9"/>
          <w:sz w:val="24"/>
          <w:szCs w:val="24"/>
        </w:rPr>
        <w:t>个植被亚型、</w:t>
      </w:r>
      <w:r>
        <w:rPr>
          <w:rFonts w:ascii="Times New Roman" w:hAnsi="Times New Roman" w:eastAsia="Times New Roman" w:cs="Times New Roman"/>
          <w:spacing w:val="-9"/>
          <w:sz w:val="24"/>
          <w:szCs w:val="24"/>
        </w:rPr>
        <w:t xml:space="preserve">7 </w:t>
      </w:r>
      <w:r>
        <w:rPr>
          <w:rFonts w:ascii="宋体" w:hAnsi="宋体" w:eastAsia="宋体" w:cs="宋体"/>
          <w:spacing w:val="-9"/>
          <w:sz w:val="24"/>
          <w:szCs w:val="24"/>
        </w:rPr>
        <w:t>个群系。包括了本区主要的植被类型， 植被类型比较复杂，</w:t>
      </w:r>
      <w:r>
        <w:rPr>
          <w:rFonts w:ascii="宋体" w:hAnsi="宋体" w:eastAsia="宋体" w:cs="宋体"/>
          <w:spacing w:val="3"/>
          <w:sz w:val="24"/>
          <w:szCs w:val="24"/>
        </w:rPr>
        <w:t xml:space="preserve"> </w:t>
      </w:r>
      <w:r>
        <w:rPr>
          <w:rFonts w:ascii="宋体" w:hAnsi="宋体" w:eastAsia="宋体" w:cs="宋体"/>
          <w:spacing w:val="-5"/>
          <w:sz w:val="24"/>
          <w:szCs w:val="24"/>
        </w:rPr>
        <w:t>有一定的代表性，</w:t>
      </w:r>
      <w:r>
        <w:rPr>
          <w:rFonts w:ascii="宋体" w:hAnsi="宋体" w:eastAsia="宋体" w:cs="宋体"/>
          <w:spacing w:val="-50"/>
          <w:sz w:val="24"/>
          <w:szCs w:val="24"/>
        </w:rPr>
        <w:t xml:space="preserve"> </w:t>
      </w:r>
      <w:r>
        <w:rPr>
          <w:rFonts w:ascii="宋体" w:hAnsi="宋体" w:eastAsia="宋体" w:cs="宋体"/>
          <w:spacing w:val="-5"/>
          <w:sz w:val="24"/>
          <w:szCs w:val="24"/>
        </w:rPr>
        <w:t>具体有半湿润常绿阔叶林、干热河谷硬叶常绿栎类林、落叶阔</w:t>
      </w:r>
      <w:r>
        <w:rPr>
          <w:rFonts w:ascii="宋体" w:hAnsi="宋体" w:eastAsia="宋体" w:cs="宋体"/>
          <w:sz w:val="24"/>
          <w:szCs w:val="24"/>
        </w:rPr>
        <w:t xml:space="preserve"> </w:t>
      </w:r>
      <w:r>
        <w:rPr>
          <w:rFonts w:ascii="宋体" w:hAnsi="宋体" w:eastAsia="宋体" w:cs="宋体"/>
          <w:spacing w:val="-3"/>
          <w:sz w:val="24"/>
          <w:szCs w:val="24"/>
        </w:rPr>
        <w:t>叶林、暖温性针叶林、干热性稀树灌木草丛、暖温性稀树灌木草丛、暖性石</w:t>
      </w:r>
      <w:r>
        <w:rPr>
          <w:rFonts w:ascii="宋体" w:hAnsi="宋体" w:eastAsia="宋体" w:cs="宋体"/>
          <w:spacing w:val="-4"/>
          <w:sz w:val="24"/>
          <w:szCs w:val="24"/>
        </w:rPr>
        <w:t>灰岩</w:t>
      </w:r>
    </w:p>
    <w:p>
      <w:pPr>
        <w:spacing w:line="218" w:lineRule="auto"/>
        <w:ind w:left="42"/>
        <w:rPr>
          <w:rFonts w:ascii="宋体" w:hAnsi="宋体" w:eastAsia="宋体" w:cs="宋体"/>
          <w:sz w:val="24"/>
          <w:szCs w:val="24"/>
        </w:rPr>
      </w:pPr>
      <w:r>
        <w:rPr>
          <w:rFonts w:ascii="宋体" w:hAnsi="宋体" w:eastAsia="宋体" w:cs="宋体"/>
          <w:spacing w:val="-1"/>
          <w:sz w:val="24"/>
          <w:szCs w:val="24"/>
        </w:rPr>
        <w:t>灌丛；评价区的人工植被包括核桃园、桉树林</w:t>
      </w:r>
      <w:r>
        <w:rPr>
          <w:rFonts w:ascii="宋体" w:hAnsi="宋体" w:eastAsia="宋体" w:cs="宋体"/>
          <w:spacing w:val="-2"/>
          <w:sz w:val="24"/>
          <w:szCs w:val="24"/>
        </w:rPr>
        <w:t>、水田和旱地等多种类型。</w:t>
      </w:r>
    </w:p>
    <w:p>
      <w:pPr>
        <w:spacing w:before="186" w:line="359" w:lineRule="auto"/>
        <w:ind w:left="39" w:right="189" w:firstLine="481"/>
        <w:rPr>
          <w:rFonts w:ascii="宋体" w:hAnsi="宋体" w:eastAsia="宋体" w:cs="宋体"/>
          <w:sz w:val="24"/>
          <w:szCs w:val="24"/>
        </w:rPr>
      </w:pPr>
      <w:r>
        <w:rPr>
          <w:rFonts w:ascii="宋体" w:hAnsi="宋体" w:eastAsia="宋体" w:cs="宋体"/>
          <w:spacing w:val="-3"/>
          <w:sz w:val="24"/>
          <w:szCs w:val="24"/>
        </w:rPr>
        <w:t>依据《云南植被》，楚雄市大姚桂花水库建设工</w:t>
      </w:r>
      <w:r>
        <w:rPr>
          <w:rFonts w:ascii="宋体" w:hAnsi="宋体" w:eastAsia="宋体" w:cs="宋体"/>
          <w:spacing w:val="-4"/>
          <w:sz w:val="24"/>
          <w:szCs w:val="24"/>
        </w:rPr>
        <w:t>程所在区域植被分区为：植</w:t>
      </w:r>
      <w:r>
        <w:rPr>
          <w:rFonts w:ascii="宋体" w:hAnsi="宋体" w:eastAsia="宋体" w:cs="宋体"/>
          <w:sz w:val="24"/>
          <w:szCs w:val="24"/>
        </w:rPr>
        <w:t xml:space="preserve"> </w:t>
      </w:r>
      <w:r>
        <w:rPr>
          <w:rFonts w:ascii="宋体" w:hAnsi="宋体" w:eastAsia="宋体" w:cs="宋体"/>
          <w:spacing w:val="-15"/>
          <w:sz w:val="24"/>
          <w:szCs w:val="24"/>
        </w:rPr>
        <w:t>被类型属于亚热带常绿阔叶林区域，</w:t>
      </w:r>
      <w:r>
        <w:rPr>
          <w:rFonts w:ascii="宋体" w:hAnsi="宋体" w:eastAsia="宋体" w:cs="宋体"/>
          <w:spacing w:val="50"/>
          <w:sz w:val="24"/>
          <w:szCs w:val="24"/>
        </w:rPr>
        <w:t xml:space="preserve"> </w:t>
      </w:r>
      <w:r>
        <w:rPr>
          <w:rFonts w:ascii="宋体" w:hAnsi="宋体" w:eastAsia="宋体" w:cs="宋体"/>
          <w:spacing w:val="-15"/>
          <w:sz w:val="24"/>
          <w:szCs w:val="24"/>
        </w:rPr>
        <w:t>西部（半湿润）</w:t>
      </w:r>
      <w:r>
        <w:rPr>
          <w:rFonts w:ascii="宋体" w:hAnsi="宋体" w:eastAsia="宋体" w:cs="宋体"/>
          <w:spacing w:val="-34"/>
          <w:sz w:val="24"/>
          <w:szCs w:val="24"/>
        </w:rPr>
        <w:t xml:space="preserve"> </w:t>
      </w:r>
      <w:r>
        <w:rPr>
          <w:rFonts w:ascii="宋体" w:hAnsi="宋体" w:eastAsia="宋体" w:cs="宋体"/>
          <w:spacing w:val="-15"/>
          <w:sz w:val="24"/>
          <w:szCs w:val="24"/>
        </w:rPr>
        <w:t>常绿阔叶林亚区域，</w:t>
      </w:r>
      <w:r>
        <w:rPr>
          <w:rFonts w:ascii="宋体" w:hAnsi="宋体" w:eastAsia="宋体" w:cs="宋体"/>
          <w:spacing w:val="43"/>
          <w:sz w:val="24"/>
          <w:szCs w:val="24"/>
        </w:rPr>
        <w:t xml:space="preserve"> </w:t>
      </w:r>
      <w:r>
        <w:rPr>
          <w:rFonts w:ascii="宋体" w:hAnsi="宋体" w:eastAsia="宋体" w:cs="宋体"/>
          <w:spacing w:val="-15"/>
          <w:sz w:val="24"/>
          <w:szCs w:val="24"/>
        </w:rPr>
        <w:t>高原亚</w:t>
      </w:r>
      <w:r>
        <w:rPr>
          <w:rFonts w:ascii="宋体" w:hAnsi="宋体" w:eastAsia="宋体" w:cs="宋体"/>
          <w:sz w:val="24"/>
          <w:szCs w:val="24"/>
        </w:rPr>
        <w:t xml:space="preserve"> </w:t>
      </w:r>
      <w:r>
        <w:rPr>
          <w:rFonts w:ascii="宋体" w:hAnsi="宋体" w:eastAsia="宋体" w:cs="宋体"/>
          <w:spacing w:val="-11"/>
          <w:sz w:val="24"/>
          <w:szCs w:val="24"/>
        </w:rPr>
        <w:t>热带北部常绿阔叶林地带，</w:t>
      </w:r>
      <w:r>
        <w:rPr>
          <w:rFonts w:ascii="宋体" w:hAnsi="宋体" w:eastAsia="宋体" w:cs="宋体"/>
          <w:spacing w:val="51"/>
          <w:sz w:val="24"/>
          <w:szCs w:val="24"/>
        </w:rPr>
        <w:t xml:space="preserve"> </w:t>
      </w:r>
      <w:r>
        <w:rPr>
          <w:rFonts w:ascii="宋体" w:hAnsi="宋体" w:eastAsia="宋体" w:cs="宋体"/>
          <w:spacing w:val="-11"/>
          <w:sz w:val="24"/>
          <w:szCs w:val="24"/>
        </w:rPr>
        <w:t>滇中、滇东高原半湿润常绿阔叶林、云南松林区， 滇</w:t>
      </w:r>
      <w:r>
        <w:rPr>
          <w:rFonts w:ascii="宋体" w:hAnsi="宋体" w:eastAsia="宋体" w:cs="宋体"/>
          <w:sz w:val="24"/>
          <w:szCs w:val="24"/>
        </w:rPr>
        <w:t xml:space="preserve"> </w:t>
      </w:r>
      <w:r>
        <w:rPr>
          <w:rFonts w:ascii="宋体" w:hAnsi="宋体" w:eastAsia="宋体" w:cs="宋体"/>
          <w:spacing w:val="-5"/>
          <w:sz w:val="24"/>
          <w:szCs w:val="24"/>
        </w:rPr>
        <w:t>中、北中山峡谷云南松林、高山栎类林亚区(Ⅱ</w:t>
      </w:r>
      <w:r>
        <w:rPr>
          <w:rFonts w:ascii="Times New Roman" w:hAnsi="Times New Roman" w:eastAsia="Times New Roman" w:cs="Times New Roman"/>
          <w:spacing w:val="-5"/>
          <w:sz w:val="24"/>
          <w:szCs w:val="24"/>
        </w:rPr>
        <w:t>Ai</w:t>
      </w:r>
      <w:r>
        <w:rPr>
          <w:rFonts w:ascii="Times New Roman" w:hAnsi="Times New Roman" w:eastAsia="Times New Roman" w:cs="Times New Roman"/>
          <w:spacing w:val="-6"/>
          <w:sz w:val="24"/>
          <w:szCs w:val="24"/>
        </w:rPr>
        <w:t>i-</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6"/>
          <w:sz w:val="24"/>
          <w:szCs w:val="24"/>
        </w:rPr>
        <w:t>1b</w:t>
      </w:r>
      <w:r>
        <w:rPr>
          <w:rFonts w:ascii="宋体" w:hAnsi="宋体" w:eastAsia="宋体" w:cs="宋体"/>
          <w:spacing w:val="-6"/>
          <w:sz w:val="24"/>
          <w:szCs w:val="24"/>
        </w:rPr>
        <w:t>）。从实地调查的情况看，</w:t>
      </w:r>
      <w:r>
        <w:rPr>
          <w:rFonts w:ascii="宋体" w:hAnsi="宋体" w:eastAsia="宋体" w:cs="宋体"/>
          <w:sz w:val="24"/>
          <w:szCs w:val="24"/>
        </w:rPr>
        <w:t xml:space="preserve"> </w:t>
      </w:r>
      <w:r>
        <w:rPr>
          <w:rFonts w:ascii="宋体" w:hAnsi="宋体" w:eastAsia="宋体" w:cs="宋体"/>
          <w:spacing w:val="-12"/>
          <w:sz w:val="24"/>
          <w:szCs w:val="24"/>
        </w:rPr>
        <w:t>因年降雨量少而旱季漫长，</w:t>
      </w:r>
      <w:r>
        <w:rPr>
          <w:rFonts w:ascii="宋体" w:hAnsi="宋体" w:eastAsia="宋体" w:cs="宋体"/>
          <w:spacing w:val="40"/>
          <w:sz w:val="24"/>
          <w:szCs w:val="24"/>
        </w:rPr>
        <w:t xml:space="preserve"> </w:t>
      </w:r>
      <w:r>
        <w:rPr>
          <w:rFonts w:ascii="宋体" w:hAnsi="宋体" w:eastAsia="宋体" w:cs="宋体"/>
          <w:spacing w:val="-12"/>
          <w:sz w:val="24"/>
          <w:szCs w:val="24"/>
        </w:rPr>
        <w:t>且受到人为活动的长期影响，</w:t>
      </w:r>
      <w:r>
        <w:rPr>
          <w:rFonts w:ascii="宋体" w:hAnsi="宋体" w:eastAsia="宋体" w:cs="宋体"/>
          <w:spacing w:val="36"/>
          <w:sz w:val="24"/>
          <w:szCs w:val="24"/>
        </w:rPr>
        <w:t xml:space="preserve"> </w:t>
      </w:r>
      <w:r>
        <w:rPr>
          <w:rFonts w:ascii="宋体" w:hAnsi="宋体" w:eastAsia="宋体" w:cs="宋体"/>
          <w:spacing w:val="-12"/>
          <w:sz w:val="24"/>
          <w:szCs w:val="24"/>
        </w:rPr>
        <w:t>次生暖温性针叶林、半</w:t>
      </w:r>
      <w:r>
        <w:rPr>
          <w:rFonts w:ascii="宋体" w:hAnsi="宋体" w:eastAsia="宋体" w:cs="宋体"/>
          <w:sz w:val="24"/>
          <w:szCs w:val="24"/>
        </w:rPr>
        <w:t xml:space="preserve"> </w:t>
      </w:r>
      <w:r>
        <w:rPr>
          <w:rFonts w:ascii="宋体" w:hAnsi="宋体" w:eastAsia="宋体" w:cs="宋体"/>
          <w:spacing w:val="-3"/>
          <w:sz w:val="24"/>
          <w:szCs w:val="24"/>
        </w:rPr>
        <w:t>湿润常绿阔叶林、暖温性稀树灌丛和暖性石灰岩灌丛植被发育较好。由于所在区</w:t>
      </w:r>
      <w:r>
        <w:rPr>
          <w:rFonts w:ascii="宋体" w:hAnsi="宋体" w:eastAsia="宋体" w:cs="宋体"/>
          <w:spacing w:val="1"/>
          <w:sz w:val="24"/>
          <w:szCs w:val="24"/>
        </w:rPr>
        <w:t xml:space="preserve"> </w:t>
      </w:r>
      <w:r>
        <w:rPr>
          <w:rFonts w:ascii="宋体" w:hAnsi="宋体" w:eastAsia="宋体" w:cs="宋体"/>
          <w:spacing w:val="-12"/>
          <w:sz w:val="24"/>
          <w:szCs w:val="24"/>
        </w:rPr>
        <w:t>域地形相对平缓、人口分布较为集中，</w:t>
      </w:r>
      <w:r>
        <w:rPr>
          <w:rFonts w:ascii="宋体" w:hAnsi="宋体" w:eastAsia="宋体" w:cs="宋体"/>
          <w:spacing w:val="48"/>
          <w:sz w:val="24"/>
          <w:szCs w:val="24"/>
        </w:rPr>
        <w:t xml:space="preserve"> </w:t>
      </w:r>
      <w:r>
        <w:rPr>
          <w:rFonts w:ascii="宋体" w:hAnsi="宋体" w:eastAsia="宋体" w:cs="宋体"/>
          <w:spacing w:val="-12"/>
          <w:sz w:val="24"/>
          <w:szCs w:val="24"/>
        </w:rPr>
        <w:t>而且交通条件较好，</w:t>
      </w:r>
      <w:r>
        <w:rPr>
          <w:rFonts w:ascii="宋体" w:hAnsi="宋体" w:eastAsia="宋体" w:cs="宋体"/>
          <w:spacing w:val="28"/>
          <w:sz w:val="24"/>
          <w:szCs w:val="24"/>
        </w:rPr>
        <w:t xml:space="preserve"> </w:t>
      </w:r>
      <w:r>
        <w:rPr>
          <w:rFonts w:ascii="宋体" w:hAnsi="宋体" w:eastAsia="宋体" w:cs="宋体"/>
          <w:spacing w:val="-12"/>
          <w:sz w:val="24"/>
          <w:szCs w:val="24"/>
        </w:rPr>
        <w:t>评价区绝大多数的原</w:t>
      </w:r>
    </w:p>
    <w:p>
      <w:pPr>
        <w:spacing w:before="1" w:line="219" w:lineRule="auto"/>
        <w:ind w:left="41"/>
        <w:rPr>
          <w:rFonts w:ascii="宋体" w:hAnsi="宋体" w:eastAsia="宋体" w:cs="宋体"/>
          <w:sz w:val="24"/>
          <w:szCs w:val="24"/>
        </w:rPr>
      </w:pPr>
      <w:r>
        <w:rPr>
          <w:rFonts w:ascii="宋体" w:hAnsi="宋体" w:eastAsia="宋体" w:cs="宋体"/>
          <w:spacing w:val="-6"/>
          <w:sz w:val="24"/>
          <w:szCs w:val="24"/>
        </w:rPr>
        <w:t>生半湿润常绿阔叶林已经遭到破坏而消失， 特别是引水、</w:t>
      </w:r>
      <w:r>
        <w:rPr>
          <w:rFonts w:ascii="宋体" w:hAnsi="宋体" w:eastAsia="宋体" w:cs="宋体"/>
          <w:spacing w:val="-7"/>
          <w:sz w:val="24"/>
          <w:szCs w:val="24"/>
        </w:rPr>
        <w:t>引洪和输水管道涉及的</w:t>
      </w:r>
    </w:p>
    <w:p>
      <w:pPr>
        <w:spacing w:line="219" w:lineRule="auto"/>
        <w:rPr>
          <w:rFonts w:ascii="宋体" w:hAnsi="宋体" w:eastAsia="宋体" w:cs="宋体"/>
          <w:sz w:val="24"/>
          <w:szCs w:val="24"/>
        </w:rPr>
        <w:sectPr>
          <w:headerReference r:id="rId221" w:type="default"/>
          <w:footerReference r:id="rId222" w:type="default"/>
          <w:pgSz w:w="11907" w:h="16839"/>
          <w:pgMar w:top="1156" w:right="1609" w:bottom="1374" w:left="1770" w:header="881" w:footer="1210" w:gutter="0"/>
        </w:sectPr>
      </w:pPr>
    </w:p>
    <w:p>
      <w:pPr>
        <w:rPr>
          <w:rFonts w:ascii="Arial"/>
          <w:sz w:val="21"/>
        </w:rPr>
      </w:pPr>
      <w:r>
        <w:pict>
          <v:shape id="_x0000_s1027" o:spid="_x0000_s1027" style="position:absolute;left:0pt;margin-left:90pt;margin-top:328.85pt;height:0.5pt;width:415.4pt;mso-position-horizontal-relative:page;mso-position-vertical-relative:page;z-index:251658240;mso-width-relative:page;mso-height-relative:page;" fillcolor="#000000" filled="t" stroked="f" coordsize="8307,10" o:allowincell="f" path="m0,9l8307,9,8307,0,0,0,0,9xe">
            <v:path/>
            <v:fill on="t" focussize="0,0"/>
            <v:stroke on="f"/>
            <v:imagedata o:title=""/>
            <o:lock v:ext="edit"/>
          </v:shape>
        </w:pict>
      </w:r>
    </w:p>
    <w:p>
      <w:pPr>
        <w:spacing w:before="78" w:line="359" w:lineRule="auto"/>
        <w:ind w:left="42" w:hanging="1"/>
        <w:jc w:val="both"/>
        <w:rPr>
          <w:rFonts w:ascii="宋体" w:hAnsi="宋体" w:eastAsia="宋体" w:cs="宋体"/>
          <w:sz w:val="24"/>
          <w:szCs w:val="24"/>
        </w:rPr>
      </w:pPr>
      <w:r>
        <w:rPr>
          <w:rFonts w:ascii="宋体" w:hAnsi="宋体" w:eastAsia="宋体" w:cs="宋体"/>
          <w:spacing w:val="-1"/>
          <w:sz w:val="24"/>
          <w:szCs w:val="24"/>
        </w:rPr>
        <w:t>桂花镇、昙华乡、六苴镇、新街镇等的多个村寨，多数变为耕地和人工</w:t>
      </w:r>
      <w:r>
        <w:rPr>
          <w:rFonts w:ascii="宋体" w:hAnsi="宋体" w:eastAsia="宋体" w:cs="宋体"/>
          <w:spacing w:val="-2"/>
          <w:sz w:val="24"/>
          <w:szCs w:val="24"/>
        </w:rPr>
        <w:t>经济林，</w:t>
      </w:r>
      <w:r>
        <w:rPr>
          <w:rFonts w:ascii="宋体" w:hAnsi="宋体" w:eastAsia="宋体" w:cs="宋体"/>
          <w:sz w:val="24"/>
          <w:szCs w:val="24"/>
        </w:rPr>
        <w:t xml:space="preserve"> </w:t>
      </w:r>
      <w:r>
        <w:rPr>
          <w:rFonts w:ascii="宋体" w:hAnsi="宋体" w:eastAsia="宋体" w:cs="宋体"/>
          <w:spacing w:val="-1"/>
          <w:sz w:val="24"/>
          <w:szCs w:val="24"/>
        </w:rPr>
        <w:t>一部分变为次生灌丛。只有在陡峻的沟谷部分零星残存下</w:t>
      </w:r>
      <w:r>
        <w:rPr>
          <w:rFonts w:ascii="宋体" w:hAnsi="宋体" w:eastAsia="宋体" w:cs="宋体"/>
          <w:spacing w:val="-2"/>
          <w:sz w:val="24"/>
          <w:szCs w:val="24"/>
        </w:rPr>
        <w:t>少量次生的群落片断，</w:t>
      </w:r>
    </w:p>
    <w:p>
      <w:pPr>
        <w:spacing w:before="1" w:line="218" w:lineRule="auto"/>
        <w:ind w:left="40"/>
        <w:rPr>
          <w:rFonts w:ascii="宋体" w:hAnsi="宋体" w:eastAsia="宋体" w:cs="宋体"/>
          <w:sz w:val="24"/>
          <w:szCs w:val="24"/>
        </w:rPr>
      </w:pPr>
      <w:r>
        <w:rPr>
          <w:rFonts w:ascii="宋体" w:hAnsi="宋体" w:eastAsia="宋体" w:cs="宋体"/>
          <w:spacing w:val="-14"/>
          <w:sz w:val="24"/>
          <w:szCs w:val="24"/>
        </w:rPr>
        <w:t>其种类组成趋于简单，</w:t>
      </w:r>
      <w:r>
        <w:rPr>
          <w:rFonts w:ascii="宋体" w:hAnsi="宋体" w:eastAsia="宋体" w:cs="宋体"/>
          <w:spacing w:val="-33"/>
          <w:sz w:val="24"/>
          <w:szCs w:val="24"/>
        </w:rPr>
        <w:t xml:space="preserve"> </w:t>
      </w:r>
      <w:r>
        <w:rPr>
          <w:rFonts w:ascii="宋体" w:hAnsi="宋体" w:eastAsia="宋体" w:cs="宋体"/>
          <w:spacing w:val="-14"/>
          <w:sz w:val="24"/>
          <w:szCs w:val="24"/>
        </w:rPr>
        <w:t>次生物种增加，群落高度下降，</w:t>
      </w:r>
      <w:r>
        <w:rPr>
          <w:rFonts w:ascii="宋体" w:hAnsi="宋体" w:eastAsia="宋体" w:cs="宋体"/>
          <w:spacing w:val="-49"/>
          <w:sz w:val="24"/>
          <w:szCs w:val="24"/>
        </w:rPr>
        <w:t xml:space="preserve"> </w:t>
      </w:r>
      <w:r>
        <w:rPr>
          <w:rFonts w:ascii="宋体" w:hAnsi="宋体" w:eastAsia="宋体" w:cs="宋体"/>
          <w:spacing w:val="-14"/>
          <w:sz w:val="24"/>
          <w:szCs w:val="24"/>
        </w:rPr>
        <w:t>生物多样性已经明显降低。</w:t>
      </w:r>
    </w:p>
    <w:p>
      <w:pPr>
        <w:spacing w:before="182" w:line="232"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评价区植被分类系统</w:t>
      </w:r>
    </w:p>
    <w:p>
      <w:pPr>
        <w:spacing w:before="167" w:line="359" w:lineRule="auto"/>
        <w:ind w:left="40" w:right="67" w:firstLine="479"/>
        <w:rPr>
          <w:rFonts w:ascii="宋体" w:hAnsi="宋体" w:eastAsia="宋体" w:cs="宋体"/>
          <w:sz w:val="24"/>
          <w:szCs w:val="24"/>
        </w:rPr>
      </w:pPr>
      <w:r>
        <w:rPr>
          <w:rFonts w:ascii="宋体" w:hAnsi="宋体" w:eastAsia="宋体" w:cs="宋体"/>
          <w:spacing w:val="-15"/>
          <w:sz w:val="24"/>
          <w:szCs w:val="24"/>
        </w:rPr>
        <w:t>根据现场踏勘与调查，</w:t>
      </w:r>
      <w:r>
        <w:rPr>
          <w:rFonts w:ascii="宋体" w:hAnsi="宋体" w:eastAsia="宋体" w:cs="宋体"/>
          <w:spacing w:val="45"/>
          <w:sz w:val="24"/>
          <w:szCs w:val="24"/>
        </w:rPr>
        <w:t xml:space="preserve"> </w:t>
      </w:r>
      <w:r>
        <w:rPr>
          <w:rFonts w:ascii="宋体" w:hAnsi="宋体" w:eastAsia="宋体" w:cs="宋体"/>
          <w:spacing w:val="-15"/>
          <w:sz w:val="24"/>
          <w:szCs w:val="24"/>
        </w:rPr>
        <w:t>依据《中国植被》、《云南植被》等专著中确定的植被</w:t>
      </w:r>
      <w:r>
        <w:rPr>
          <w:rFonts w:ascii="宋体" w:hAnsi="宋体" w:eastAsia="宋体" w:cs="宋体"/>
          <w:sz w:val="24"/>
          <w:szCs w:val="24"/>
        </w:rPr>
        <w:t xml:space="preserve"> </w:t>
      </w:r>
      <w:r>
        <w:rPr>
          <w:rFonts w:ascii="宋体" w:hAnsi="宋体" w:eastAsia="宋体" w:cs="宋体"/>
          <w:spacing w:val="-4"/>
          <w:sz w:val="24"/>
          <w:szCs w:val="24"/>
        </w:rPr>
        <w:t>分类的依据和原则，实地调查表明，</w:t>
      </w:r>
      <w:r>
        <w:rPr>
          <w:rFonts w:ascii="宋体" w:hAnsi="宋体" w:eastAsia="宋体" w:cs="宋体"/>
          <w:spacing w:val="51"/>
          <w:sz w:val="24"/>
          <w:szCs w:val="24"/>
        </w:rPr>
        <w:t xml:space="preserve"> </w:t>
      </w:r>
      <w:r>
        <w:rPr>
          <w:rFonts w:ascii="宋体" w:hAnsi="宋体" w:eastAsia="宋体" w:cs="宋体"/>
          <w:spacing w:val="-4"/>
          <w:sz w:val="24"/>
          <w:szCs w:val="24"/>
        </w:rPr>
        <w:t>目前评价区的自然植被类型</w:t>
      </w:r>
      <w:r>
        <w:rPr>
          <w:rFonts w:ascii="宋体" w:hAnsi="宋体" w:eastAsia="宋体" w:cs="宋体"/>
          <w:spacing w:val="-5"/>
          <w:sz w:val="24"/>
          <w:szCs w:val="24"/>
        </w:rPr>
        <w:t xml:space="preserve">包括 </w:t>
      </w:r>
      <w:r>
        <w:rPr>
          <w:rFonts w:ascii="Times New Roman" w:hAnsi="Times New Roman" w:eastAsia="Times New Roman" w:cs="Times New Roman"/>
          <w:spacing w:val="-5"/>
          <w:sz w:val="24"/>
          <w:szCs w:val="24"/>
        </w:rPr>
        <w:t xml:space="preserve">6  </w:t>
      </w:r>
      <w:r>
        <w:rPr>
          <w:rFonts w:ascii="宋体" w:hAnsi="宋体" w:eastAsia="宋体" w:cs="宋体"/>
          <w:spacing w:val="-5"/>
          <w:sz w:val="24"/>
          <w:szCs w:val="24"/>
        </w:rPr>
        <w:t>个植被</w:t>
      </w:r>
      <w:r>
        <w:rPr>
          <w:rFonts w:ascii="宋体" w:hAnsi="宋体" w:eastAsia="宋体" w:cs="宋体"/>
          <w:sz w:val="24"/>
          <w:szCs w:val="24"/>
        </w:rPr>
        <w:t xml:space="preserve"> </w:t>
      </w:r>
      <w:r>
        <w:rPr>
          <w:rFonts w:ascii="宋体" w:hAnsi="宋体" w:eastAsia="宋体" w:cs="宋体"/>
          <w:spacing w:val="-9"/>
          <w:sz w:val="24"/>
          <w:szCs w:val="24"/>
        </w:rPr>
        <w:t>型、</w:t>
      </w:r>
      <w:r>
        <w:rPr>
          <w:rFonts w:ascii="Times New Roman" w:hAnsi="Times New Roman" w:eastAsia="Times New Roman" w:cs="Times New Roman"/>
          <w:spacing w:val="-9"/>
          <w:sz w:val="24"/>
          <w:szCs w:val="24"/>
        </w:rPr>
        <w:t xml:space="preserve">7 </w:t>
      </w:r>
      <w:r>
        <w:rPr>
          <w:rFonts w:ascii="宋体" w:hAnsi="宋体" w:eastAsia="宋体" w:cs="宋体"/>
          <w:spacing w:val="-9"/>
          <w:sz w:val="24"/>
          <w:szCs w:val="24"/>
        </w:rPr>
        <w:t>个植被亚型、</w:t>
      </w:r>
      <w:r>
        <w:rPr>
          <w:rFonts w:ascii="Times New Roman" w:hAnsi="Times New Roman" w:eastAsia="Times New Roman" w:cs="Times New Roman"/>
          <w:spacing w:val="-9"/>
          <w:sz w:val="24"/>
          <w:szCs w:val="24"/>
        </w:rPr>
        <w:t xml:space="preserve">8 </w:t>
      </w:r>
      <w:r>
        <w:rPr>
          <w:rFonts w:ascii="宋体" w:hAnsi="宋体" w:eastAsia="宋体" w:cs="宋体"/>
          <w:spacing w:val="-9"/>
          <w:sz w:val="24"/>
          <w:szCs w:val="24"/>
        </w:rPr>
        <w:t>个群系。包括了本区主要的植被类型， 植被类型比较复杂，</w:t>
      </w:r>
      <w:r>
        <w:rPr>
          <w:rFonts w:ascii="宋体" w:hAnsi="宋体" w:eastAsia="宋体" w:cs="宋体"/>
          <w:spacing w:val="4"/>
          <w:sz w:val="24"/>
          <w:szCs w:val="24"/>
        </w:rPr>
        <w:t xml:space="preserve"> </w:t>
      </w:r>
      <w:r>
        <w:rPr>
          <w:rFonts w:ascii="宋体" w:hAnsi="宋体" w:eastAsia="宋体" w:cs="宋体"/>
          <w:spacing w:val="-7"/>
          <w:sz w:val="24"/>
          <w:szCs w:val="24"/>
        </w:rPr>
        <w:t>有一定的代表性，</w:t>
      </w:r>
      <w:r>
        <w:rPr>
          <w:rFonts w:ascii="宋体" w:hAnsi="宋体" w:eastAsia="宋体" w:cs="宋体"/>
          <w:spacing w:val="35"/>
          <w:sz w:val="24"/>
          <w:szCs w:val="24"/>
        </w:rPr>
        <w:t xml:space="preserve"> </w:t>
      </w:r>
      <w:r>
        <w:rPr>
          <w:rFonts w:ascii="宋体" w:hAnsi="宋体" w:eastAsia="宋体" w:cs="宋体"/>
          <w:spacing w:val="-7"/>
          <w:sz w:val="24"/>
          <w:szCs w:val="24"/>
        </w:rPr>
        <w:t>具体有半湿润常绿阔叶林、</w:t>
      </w:r>
      <w:r>
        <w:rPr>
          <w:rFonts w:ascii="宋体" w:hAnsi="宋体" w:eastAsia="宋体" w:cs="宋体"/>
          <w:spacing w:val="-8"/>
          <w:sz w:val="24"/>
          <w:szCs w:val="24"/>
        </w:rPr>
        <w:t>干热河谷硬叶常绿栎类林、落叶阔</w:t>
      </w:r>
      <w:r>
        <w:rPr>
          <w:rFonts w:ascii="宋体" w:hAnsi="宋体" w:eastAsia="宋体" w:cs="宋体"/>
          <w:sz w:val="24"/>
          <w:szCs w:val="24"/>
        </w:rPr>
        <w:t xml:space="preserve"> </w:t>
      </w:r>
      <w:r>
        <w:rPr>
          <w:rFonts w:ascii="宋体" w:hAnsi="宋体" w:eastAsia="宋体" w:cs="宋体"/>
          <w:spacing w:val="-3"/>
          <w:sz w:val="24"/>
          <w:szCs w:val="24"/>
        </w:rPr>
        <w:t>叶林、暖温性针叶林、干热性稀树灌木草丛、暖温性稀树灌木草丛、暖性石灰岩</w:t>
      </w:r>
    </w:p>
    <w:p>
      <w:pPr>
        <w:spacing w:line="218" w:lineRule="auto"/>
        <w:ind w:left="42"/>
        <w:rPr>
          <w:rFonts w:ascii="宋体" w:hAnsi="宋体" w:eastAsia="宋体" w:cs="宋体"/>
          <w:sz w:val="24"/>
          <w:szCs w:val="24"/>
        </w:rPr>
      </w:pPr>
      <w:r>
        <w:rPr>
          <w:rFonts w:ascii="宋体" w:hAnsi="宋体" w:eastAsia="宋体" w:cs="宋体"/>
          <w:spacing w:val="-2"/>
          <w:sz w:val="24"/>
          <w:szCs w:val="24"/>
        </w:rPr>
        <w:t>灌丛</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 xml:space="preserve">7 </w:t>
      </w:r>
      <w:r>
        <w:rPr>
          <w:rFonts w:ascii="宋体" w:hAnsi="宋体" w:eastAsia="宋体" w:cs="宋体"/>
          <w:spacing w:val="-2"/>
          <w:sz w:val="24"/>
          <w:szCs w:val="24"/>
        </w:rPr>
        <w:t>种植被亚型；评价区的人工植被包括核桃园、水田和旱地等多种类型。</w:t>
      </w:r>
    </w:p>
    <w:p>
      <w:pPr>
        <w:spacing w:before="276" w:line="218" w:lineRule="auto"/>
        <w:ind w:left="2944"/>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3"/>
          <w:sz w:val="21"/>
          <w:szCs w:val="21"/>
        </w:rPr>
        <w:t xml:space="preserve"> </w:t>
      </w:r>
      <w:r>
        <w:rPr>
          <w:rFonts w:ascii="Times New Roman" w:hAnsi="Times New Roman" w:eastAsia="Times New Roman" w:cs="Times New Roman"/>
          <w:b/>
          <w:bCs/>
          <w:spacing w:val="-1"/>
          <w:sz w:val="21"/>
          <w:szCs w:val="21"/>
        </w:rPr>
        <w:t xml:space="preserve">3.2-20    </w:t>
      </w:r>
      <w:r>
        <w:rPr>
          <w:rFonts w:ascii="宋体" w:hAnsi="宋体" w:eastAsia="宋体" w:cs="宋体"/>
          <w:spacing w:val="-1"/>
          <w:sz w:val="21"/>
          <w:szCs w:val="21"/>
          <w14:textOutline w14:w="3810" w14:cap="flat" w14:cmpd="sng">
            <w14:solidFill>
              <w14:srgbClr w14:val="000000"/>
            </w14:solidFill>
            <w14:prstDash w14:val="solid"/>
            <w14:miter w14:val="0"/>
          </w14:textOutline>
        </w:rPr>
        <w:t>评价区植被分类系统</w:t>
      </w:r>
    </w:p>
    <w:p>
      <w:pPr>
        <w:spacing w:before="151" w:line="217" w:lineRule="auto"/>
        <w:ind w:left="143"/>
        <w:rPr>
          <w:rFonts w:ascii="仿宋" w:hAnsi="仿宋" w:eastAsia="仿宋" w:cs="仿宋"/>
          <w:sz w:val="21"/>
          <w:szCs w:val="21"/>
        </w:rPr>
      </w:pPr>
      <w:r>
        <w:rPr>
          <w:rFonts w:ascii="Times New Roman" w:hAnsi="Times New Roman" w:eastAsia="Times New Roman" w:cs="Times New Roman"/>
          <w:spacing w:val="-5"/>
          <w:sz w:val="21"/>
          <w:szCs w:val="21"/>
        </w:rPr>
        <w:t>I.</w:t>
      </w:r>
      <w:r>
        <w:rPr>
          <w:rFonts w:ascii="Times New Roman" w:hAnsi="Times New Roman" w:eastAsia="Times New Roman" w:cs="Times New Roman"/>
          <w:spacing w:val="14"/>
          <w:w w:val="101"/>
          <w:sz w:val="21"/>
          <w:szCs w:val="21"/>
        </w:rPr>
        <w:t xml:space="preserve">  </w:t>
      </w:r>
      <w:r>
        <w:rPr>
          <w:rFonts w:ascii="仿宋" w:hAnsi="仿宋" w:eastAsia="仿宋" w:cs="仿宋"/>
          <w:spacing w:val="-5"/>
          <w:sz w:val="21"/>
          <w:szCs w:val="21"/>
        </w:rPr>
        <w:t>常绿阔叶林</w:t>
      </w:r>
    </w:p>
    <w:p>
      <w:pPr>
        <w:spacing w:before="65" w:line="312" w:lineRule="exact"/>
        <w:ind w:left="361"/>
        <w:rPr>
          <w:rFonts w:ascii="仿宋" w:hAnsi="仿宋" w:eastAsia="仿宋" w:cs="仿宋"/>
          <w:sz w:val="21"/>
          <w:szCs w:val="21"/>
        </w:rPr>
      </w:pPr>
      <w:r>
        <w:rPr>
          <w:rFonts w:ascii="仿宋" w:hAnsi="仿宋" w:eastAsia="仿宋" w:cs="仿宋"/>
          <w:spacing w:val="-3"/>
          <w:position w:val="7"/>
          <w:sz w:val="21"/>
          <w:szCs w:val="21"/>
        </w:rPr>
        <w:t>（</w:t>
      </w:r>
      <w:r>
        <w:rPr>
          <w:rFonts w:ascii="Times New Roman" w:hAnsi="Times New Roman" w:eastAsia="Times New Roman" w:cs="Times New Roman"/>
          <w:spacing w:val="-3"/>
          <w:position w:val="7"/>
          <w:sz w:val="21"/>
          <w:szCs w:val="21"/>
        </w:rPr>
        <w:t>I</w:t>
      </w:r>
      <w:r>
        <w:rPr>
          <w:rFonts w:ascii="仿宋" w:hAnsi="仿宋" w:eastAsia="仿宋" w:cs="仿宋"/>
          <w:spacing w:val="-3"/>
          <w:position w:val="7"/>
          <w:sz w:val="21"/>
          <w:szCs w:val="21"/>
        </w:rPr>
        <w:t>）半湿性常绿阔叶林</w:t>
      </w:r>
    </w:p>
    <w:p>
      <w:pPr>
        <w:spacing w:line="217" w:lineRule="auto"/>
        <w:ind w:left="785"/>
        <w:rPr>
          <w:rFonts w:ascii="仿宋" w:hAnsi="仿宋" w:eastAsia="仿宋" w:cs="仿宋"/>
          <w:sz w:val="21"/>
          <w:szCs w:val="21"/>
        </w:rPr>
      </w:pPr>
      <w:r>
        <w:rPr>
          <w:rFonts w:ascii="仿宋" w:hAnsi="仿宋" w:eastAsia="仿宋" w:cs="仿宋"/>
          <w:spacing w:val="-4"/>
          <w:sz w:val="21"/>
          <w:szCs w:val="21"/>
        </w:rPr>
        <w:t>一、栲类、青冈林</w:t>
      </w:r>
    </w:p>
    <w:p>
      <w:pPr>
        <w:spacing w:before="65" w:line="212" w:lineRule="auto"/>
        <w:ind w:left="991"/>
        <w:rPr>
          <w:rFonts w:ascii="Times New Roman" w:hAnsi="Times New Roman" w:eastAsia="Times New Roman" w:cs="Times New Roman"/>
          <w:sz w:val="21"/>
          <w:szCs w:val="21"/>
        </w:rPr>
      </w:pPr>
      <w:r>
        <w:rPr>
          <w:rFonts w:ascii="仿宋" w:hAnsi="仿宋" w:eastAsia="仿宋" w:cs="仿宋"/>
          <w:spacing w:val="-1"/>
          <w:sz w:val="21"/>
          <w:szCs w:val="21"/>
        </w:rPr>
        <w:t>（一）滇青冈林</w:t>
      </w:r>
      <w:r>
        <w:rPr>
          <w:rFonts w:ascii="Times New Roman" w:hAnsi="Times New Roman" w:eastAsia="Times New Roman" w:cs="Times New Roman"/>
          <w:spacing w:val="-1"/>
          <w:sz w:val="21"/>
          <w:szCs w:val="21"/>
        </w:rPr>
        <w:t>(Form.</w:t>
      </w:r>
      <w:r>
        <w:rPr>
          <w:rFonts w:ascii="Times New Roman" w:hAnsi="Times New Roman" w:eastAsia="Times New Roman" w:cs="Times New Roman"/>
          <w:spacing w:val="27"/>
          <w:sz w:val="21"/>
          <w:szCs w:val="21"/>
        </w:rPr>
        <w:t xml:space="preserve"> </w:t>
      </w:r>
      <w:r>
        <w:rPr>
          <w:rFonts w:ascii="Times New Roman" w:hAnsi="Times New Roman" w:eastAsia="Times New Roman" w:cs="Times New Roman"/>
          <w:i/>
          <w:iCs/>
          <w:spacing w:val="-1"/>
          <w:sz w:val="21"/>
          <w:szCs w:val="21"/>
        </w:rPr>
        <w:t>Cyclobalanopsis glaucoides</w:t>
      </w:r>
      <w:r>
        <w:rPr>
          <w:rFonts w:ascii="Times New Roman" w:hAnsi="Times New Roman" w:eastAsia="Times New Roman" w:cs="Times New Roman"/>
          <w:spacing w:val="-1"/>
          <w:sz w:val="21"/>
          <w:szCs w:val="21"/>
        </w:rPr>
        <w:t>)</w:t>
      </w:r>
    </w:p>
    <w:p>
      <w:pPr>
        <w:spacing w:before="71" w:line="212" w:lineRule="auto"/>
        <w:ind w:left="142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 xml:space="preserve">1.  </w:t>
      </w:r>
      <w:r>
        <w:rPr>
          <w:rFonts w:ascii="仿宋" w:hAnsi="仿宋" w:eastAsia="仿宋" w:cs="仿宋"/>
          <w:spacing w:val="-2"/>
          <w:sz w:val="21"/>
          <w:szCs w:val="21"/>
        </w:rPr>
        <w:t>滇青冈、 高山锥群落</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Castanopsis dela</w:t>
      </w:r>
      <w:r>
        <w:rPr>
          <w:rFonts w:ascii="Times New Roman" w:hAnsi="Times New Roman" w:eastAsia="Times New Roman" w:cs="Times New Roman"/>
          <w:i/>
          <w:iCs/>
          <w:spacing w:val="-3"/>
          <w:sz w:val="21"/>
          <w:szCs w:val="21"/>
        </w:rPr>
        <w:t>vayi</w:t>
      </w:r>
      <w:r>
        <w:rPr>
          <w:rFonts w:ascii="Times New Roman" w:hAnsi="Times New Roman" w:eastAsia="Times New Roman" w:cs="Times New Roman"/>
          <w:i/>
          <w:iCs/>
          <w:spacing w:val="5"/>
          <w:sz w:val="21"/>
          <w:szCs w:val="21"/>
        </w:rPr>
        <w:t xml:space="preserve"> </w:t>
      </w:r>
      <w:r>
        <w:rPr>
          <w:rFonts w:ascii="Times New Roman" w:hAnsi="Times New Roman" w:eastAsia="Times New Roman" w:cs="Times New Roman"/>
          <w:spacing w:val="-3"/>
          <w:sz w:val="21"/>
          <w:szCs w:val="21"/>
        </w:rPr>
        <w:t>+</w:t>
      </w:r>
      <w:r>
        <w:rPr>
          <w:rFonts w:ascii="Times New Roman" w:hAnsi="Times New Roman" w:eastAsia="Times New Roman" w:cs="Times New Roman"/>
          <w:spacing w:val="14"/>
          <w:sz w:val="21"/>
          <w:szCs w:val="21"/>
        </w:rPr>
        <w:t xml:space="preserve"> </w:t>
      </w:r>
      <w:r>
        <w:rPr>
          <w:rFonts w:ascii="Times New Roman" w:hAnsi="Times New Roman" w:eastAsia="Times New Roman" w:cs="Times New Roman"/>
          <w:i/>
          <w:iCs/>
          <w:spacing w:val="-3"/>
          <w:sz w:val="21"/>
          <w:szCs w:val="21"/>
        </w:rPr>
        <w:t>Castanopsis delavayi</w:t>
      </w:r>
      <w:r>
        <w:rPr>
          <w:rFonts w:ascii="Times New Roman" w:hAnsi="Times New Roman" w:eastAsia="Times New Roman" w:cs="Times New Roman"/>
          <w:i/>
          <w:iCs/>
          <w:spacing w:val="7"/>
          <w:sz w:val="21"/>
          <w:szCs w:val="21"/>
        </w:rPr>
        <w:t xml:space="preserve"> </w:t>
      </w:r>
      <w:r>
        <w:rPr>
          <w:rFonts w:ascii="Times New Roman" w:hAnsi="Times New Roman" w:eastAsia="Times New Roman" w:cs="Times New Roman"/>
          <w:spacing w:val="-3"/>
          <w:sz w:val="21"/>
          <w:szCs w:val="21"/>
        </w:rPr>
        <w:t>Comm.)</w:t>
      </w:r>
    </w:p>
    <w:p>
      <w:pPr>
        <w:spacing w:before="71" w:line="217" w:lineRule="auto"/>
        <w:ind w:left="143"/>
        <w:rPr>
          <w:rFonts w:ascii="仿宋" w:hAnsi="仿宋" w:eastAsia="仿宋" w:cs="仿宋"/>
          <w:sz w:val="21"/>
          <w:szCs w:val="21"/>
        </w:rPr>
      </w:pPr>
      <w:r>
        <w:rPr>
          <w:rFonts w:ascii="Times New Roman" w:hAnsi="Times New Roman" w:eastAsia="Times New Roman" w:cs="Times New Roman"/>
          <w:spacing w:val="-4"/>
          <w:sz w:val="21"/>
          <w:szCs w:val="21"/>
        </w:rPr>
        <w:t>II.</w:t>
      </w:r>
      <w:r>
        <w:rPr>
          <w:rFonts w:ascii="Times New Roman" w:hAnsi="Times New Roman" w:eastAsia="Times New Roman" w:cs="Times New Roman"/>
          <w:spacing w:val="15"/>
          <w:sz w:val="21"/>
          <w:szCs w:val="21"/>
        </w:rPr>
        <w:t xml:space="preserve">  </w:t>
      </w:r>
      <w:r>
        <w:rPr>
          <w:rFonts w:ascii="仿宋" w:hAnsi="仿宋" w:eastAsia="仿宋" w:cs="仿宋"/>
          <w:spacing w:val="-4"/>
          <w:sz w:val="21"/>
          <w:szCs w:val="21"/>
        </w:rPr>
        <w:t>落叶阔叶林</w:t>
      </w:r>
    </w:p>
    <w:p>
      <w:pPr>
        <w:spacing w:before="65" w:line="217" w:lineRule="auto"/>
        <w:ind w:left="785"/>
        <w:rPr>
          <w:rFonts w:ascii="仿宋" w:hAnsi="仿宋" w:eastAsia="仿宋" w:cs="仿宋"/>
          <w:sz w:val="21"/>
          <w:szCs w:val="21"/>
        </w:rPr>
      </w:pPr>
      <w:r>
        <w:rPr>
          <w:rFonts w:ascii="仿宋" w:hAnsi="仿宋" w:eastAsia="仿宋" w:cs="仿宋"/>
          <w:spacing w:val="-5"/>
          <w:sz w:val="21"/>
          <w:szCs w:val="21"/>
        </w:rPr>
        <w:t>一、桤木林</w:t>
      </w:r>
    </w:p>
    <w:p>
      <w:pPr>
        <w:spacing w:before="65" w:line="212" w:lineRule="auto"/>
        <w:ind w:left="991"/>
        <w:rPr>
          <w:rFonts w:ascii="仿宋" w:hAnsi="仿宋" w:eastAsia="仿宋" w:cs="仿宋"/>
          <w:sz w:val="21"/>
          <w:szCs w:val="21"/>
        </w:rPr>
      </w:pPr>
      <w:r>
        <w:rPr>
          <w:rFonts w:ascii="仿宋" w:hAnsi="仿宋" w:eastAsia="仿宋" w:cs="仿宋"/>
          <w:sz w:val="21"/>
          <w:szCs w:val="21"/>
        </w:rPr>
        <w:t>（一）尼泊尔桤木林（</w:t>
      </w:r>
      <w:r>
        <w:rPr>
          <w:rFonts w:ascii="Times New Roman" w:hAnsi="Times New Roman" w:eastAsia="Times New Roman" w:cs="Times New Roman"/>
          <w:sz w:val="21"/>
          <w:szCs w:val="21"/>
        </w:rPr>
        <w:t>Form.</w:t>
      </w:r>
      <w:r>
        <w:rPr>
          <w:rFonts w:ascii="Times New Roman" w:hAnsi="Times New Roman" w:eastAsia="Times New Roman" w:cs="Times New Roman"/>
          <w:spacing w:val="-10"/>
          <w:sz w:val="21"/>
          <w:szCs w:val="21"/>
        </w:rPr>
        <w:t xml:space="preserve"> </w:t>
      </w:r>
      <w:r>
        <w:rPr>
          <w:rFonts w:ascii="Times New Roman" w:hAnsi="Times New Roman" w:eastAsia="Times New Roman" w:cs="Times New Roman"/>
          <w:i/>
          <w:iCs/>
          <w:sz w:val="21"/>
          <w:szCs w:val="21"/>
        </w:rPr>
        <w:t>Alnus nepal</w:t>
      </w:r>
      <w:r>
        <w:rPr>
          <w:rFonts w:ascii="Times New Roman" w:hAnsi="Times New Roman" w:eastAsia="Times New Roman" w:cs="Times New Roman"/>
          <w:i/>
          <w:iCs/>
          <w:spacing w:val="-1"/>
          <w:sz w:val="21"/>
          <w:szCs w:val="21"/>
        </w:rPr>
        <w:t>ensis</w:t>
      </w:r>
      <w:r>
        <w:rPr>
          <w:rFonts w:ascii="仿宋" w:hAnsi="仿宋" w:eastAsia="仿宋" w:cs="仿宋"/>
          <w:spacing w:val="-1"/>
          <w:sz w:val="21"/>
          <w:szCs w:val="21"/>
        </w:rPr>
        <w:t>）</w:t>
      </w:r>
    </w:p>
    <w:p>
      <w:pPr>
        <w:spacing w:before="71" w:line="212" w:lineRule="auto"/>
        <w:ind w:left="1422"/>
        <w:rPr>
          <w:rFonts w:ascii="仿宋" w:hAnsi="仿宋" w:eastAsia="仿宋" w:cs="仿宋"/>
          <w:sz w:val="21"/>
          <w:szCs w:val="21"/>
        </w:rPr>
      </w:pPr>
      <w:r>
        <w:rPr>
          <w:rFonts w:ascii="Times New Roman" w:hAnsi="Times New Roman" w:eastAsia="Times New Roman" w:cs="Times New Roman"/>
          <w:spacing w:val="-1"/>
          <w:sz w:val="21"/>
          <w:szCs w:val="21"/>
        </w:rPr>
        <w:t xml:space="preserve">1.  </w:t>
      </w:r>
      <w:r>
        <w:rPr>
          <w:rFonts w:ascii="仿宋" w:hAnsi="仿宋" w:eastAsia="仿宋" w:cs="仿宋"/>
          <w:spacing w:val="-1"/>
          <w:sz w:val="21"/>
          <w:szCs w:val="21"/>
        </w:rPr>
        <w:t>尼泊尔桤木群落（</w:t>
      </w:r>
      <w:r>
        <w:rPr>
          <w:rFonts w:ascii="Times New Roman" w:hAnsi="Times New Roman" w:eastAsia="Times New Roman" w:cs="Times New Roman"/>
          <w:i/>
          <w:iCs/>
          <w:spacing w:val="-1"/>
          <w:sz w:val="21"/>
          <w:szCs w:val="21"/>
        </w:rPr>
        <w:t xml:space="preserve">Alnus nepalensis </w:t>
      </w:r>
      <w:r>
        <w:rPr>
          <w:rFonts w:ascii="Times New Roman" w:hAnsi="Times New Roman" w:eastAsia="Times New Roman" w:cs="Times New Roman"/>
          <w:spacing w:val="-1"/>
          <w:sz w:val="21"/>
          <w:szCs w:val="21"/>
        </w:rPr>
        <w:t>Comm.</w:t>
      </w:r>
      <w:r>
        <w:rPr>
          <w:rFonts w:ascii="仿宋" w:hAnsi="仿宋" w:eastAsia="仿宋" w:cs="仿宋"/>
          <w:spacing w:val="-1"/>
          <w:sz w:val="21"/>
          <w:szCs w:val="21"/>
        </w:rPr>
        <w:t>）</w:t>
      </w:r>
    </w:p>
    <w:p>
      <w:pPr>
        <w:spacing w:before="71" w:line="217" w:lineRule="auto"/>
        <w:ind w:left="143"/>
        <w:rPr>
          <w:rFonts w:ascii="仿宋" w:hAnsi="仿宋" w:eastAsia="仿宋" w:cs="仿宋"/>
          <w:sz w:val="21"/>
          <w:szCs w:val="21"/>
        </w:rPr>
      </w:pPr>
      <w:r>
        <w:rPr>
          <w:rFonts w:ascii="Times New Roman" w:hAnsi="Times New Roman" w:eastAsia="Times New Roman" w:cs="Times New Roman"/>
          <w:spacing w:val="-1"/>
          <w:sz w:val="21"/>
          <w:szCs w:val="21"/>
        </w:rPr>
        <w:t xml:space="preserve">III.  </w:t>
      </w:r>
      <w:r>
        <w:rPr>
          <w:rFonts w:ascii="仿宋" w:hAnsi="仿宋" w:eastAsia="仿宋" w:cs="仿宋"/>
          <w:spacing w:val="-1"/>
          <w:sz w:val="21"/>
          <w:szCs w:val="21"/>
        </w:rPr>
        <w:t>硬叶常绿阔叶林</w:t>
      </w:r>
    </w:p>
    <w:p>
      <w:pPr>
        <w:spacing w:before="65" w:line="218" w:lineRule="auto"/>
        <w:ind w:left="361"/>
        <w:rPr>
          <w:rFonts w:ascii="仿宋" w:hAnsi="仿宋" w:eastAsia="仿宋" w:cs="仿宋"/>
          <w:sz w:val="21"/>
          <w:szCs w:val="21"/>
        </w:rPr>
      </w:pPr>
      <w:r>
        <w:rPr>
          <w:rFonts w:ascii="仿宋" w:hAnsi="仿宋" w:eastAsia="仿宋" w:cs="仿宋"/>
          <w:spacing w:val="-2"/>
          <w:sz w:val="21"/>
          <w:szCs w:val="21"/>
        </w:rPr>
        <w:t>（</w:t>
      </w:r>
      <w:r>
        <w:rPr>
          <w:rFonts w:ascii="Times New Roman" w:hAnsi="Times New Roman" w:eastAsia="Times New Roman" w:cs="Times New Roman"/>
          <w:spacing w:val="-2"/>
          <w:sz w:val="21"/>
          <w:szCs w:val="21"/>
        </w:rPr>
        <w:t>I</w:t>
      </w:r>
      <w:r>
        <w:rPr>
          <w:rFonts w:ascii="仿宋" w:hAnsi="仿宋" w:eastAsia="仿宋" w:cs="仿宋"/>
          <w:spacing w:val="-2"/>
          <w:sz w:val="21"/>
          <w:szCs w:val="21"/>
        </w:rPr>
        <w:t>）干热河谷硬叶常绿栎类林</w:t>
      </w:r>
    </w:p>
    <w:p>
      <w:pPr>
        <w:spacing w:before="64" w:line="212" w:lineRule="auto"/>
        <w:ind w:left="1831"/>
        <w:rPr>
          <w:rFonts w:ascii="仿宋" w:hAnsi="仿宋" w:eastAsia="仿宋" w:cs="仿宋"/>
          <w:sz w:val="21"/>
          <w:szCs w:val="21"/>
        </w:rPr>
      </w:pPr>
      <w:r>
        <w:rPr>
          <w:rFonts w:ascii="仿宋" w:hAnsi="仿宋" w:eastAsia="仿宋" w:cs="仿宋"/>
          <w:spacing w:val="1"/>
          <w:sz w:val="21"/>
          <w:szCs w:val="21"/>
        </w:rPr>
        <w:t>（一）锥连栎林（</w:t>
      </w:r>
      <w:r>
        <w:rPr>
          <w:rFonts w:ascii="Times New Roman" w:hAnsi="Times New Roman" w:eastAsia="Times New Roman" w:cs="Times New Roman"/>
          <w:sz w:val="21"/>
          <w:szCs w:val="21"/>
        </w:rPr>
        <w:t>Form</w:t>
      </w:r>
      <w:r>
        <w:rPr>
          <w:rFonts w:ascii="Times New Roman" w:hAnsi="Times New Roman" w:eastAsia="Times New Roman" w:cs="Times New Roman"/>
          <w:spacing w:val="1"/>
          <w:sz w:val="21"/>
          <w:szCs w:val="21"/>
        </w:rPr>
        <w:t xml:space="preserve">. </w:t>
      </w:r>
      <w:r>
        <w:rPr>
          <w:rFonts w:ascii="Times New Roman" w:hAnsi="Times New Roman" w:eastAsia="Times New Roman" w:cs="Times New Roman"/>
          <w:i/>
          <w:iCs/>
          <w:sz w:val="21"/>
          <w:szCs w:val="21"/>
        </w:rPr>
        <w:t>Quercus</w:t>
      </w:r>
      <w:r>
        <w:rPr>
          <w:rFonts w:ascii="Times New Roman" w:hAnsi="Times New Roman" w:eastAsia="Times New Roman" w:cs="Times New Roman"/>
          <w:i/>
          <w:iCs/>
          <w:spacing w:val="-35"/>
          <w:sz w:val="21"/>
          <w:szCs w:val="21"/>
        </w:rPr>
        <w:t xml:space="preserve"> </w:t>
      </w:r>
      <w:r>
        <w:rPr>
          <w:rFonts w:ascii="Times New Roman" w:hAnsi="Times New Roman" w:eastAsia="Times New Roman" w:cs="Times New Roman"/>
          <w:i/>
          <w:iCs/>
          <w:sz w:val="21"/>
          <w:szCs w:val="21"/>
        </w:rPr>
        <w:t>franchetii</w:t>
      </w:r>
      <w:r>
        <w:rPr>
          <w:rFonts w:ascii="仿宋" w:hAnsi="仿宋" w:eastAsia="仿宋" w:cs="仿宋"/>
          <w:spacing w:val="1"/>
          <w:sz w:val="21"/>
          <w:szCs w:val="21"/>
        </w:rPr>
        <w:t>）</w:t>
      </w:r>
    </w:p>
    <w:p>
      <w:pPr>
        <w:spacing w:before="71" w:line="212" w:lineRule="auto"/>
        <w:ind w:left="2681"/>
        <w:rPr>
          <w:rFonts w:ascii="Times New Roman" w:hAnsi="Times New Roman" w:eastAsia="Times New Roman" w:cs="Times New Roman"/>
          <w:sz w:val="21"/>
          <w:szCs w:val="21"/>
        </w:rPr>
      </w:pPr>
      <w:r>
        <w:rPr>
          <w:rFonts w:ascii="Times New Roman" w:hAnsi="Times New Roman" w:eastAsia="Times New Roman" w:cs="Times New Roman"/>
          <w:sz w:val="21"/>
          <w:szCs w:val="21"/>
        </w:rPr>
        <w:t xml:space="preserve">1.  </w:t>
      </w:r>
      <w:r>
        <w:rPr>
          <w:rFonts w:ascii="仿宋" w:hAnsi="仿宋" w:eastAsia="仿宋" w:cs="仿宋"/>
          <w:sz w:val="21"/>
          <w:szCs w:val="21"/>
        </w:rPr>
        <w:t>锥连栎、毛脉高山栎群落（</w:t>
      </w:r>
      <w:r>
        <w:rPr>
          <w:rFonts w:ascii="Times New Roman" w:hAnsi="Times New Roman" w:eastAsia="Times New Roman" w:cs="Times New Roman"/>
          <w:i/>
          <w:iCs/>
          <w:sz w:val="21"/>
          <w:szCs w:val="21"/>
        </w:rPr>
        <w:t>Quercus</w:t>
      </w:r>
      <w:r>
        <w:rPr>
          <w:rFonts w:ascii="Times New Roman" w:hAnsi="Times New Roman" w:eastAsia="Times New Roman" w:cs="Times New Roman"/>
          <w:i/>
          <w:iCs/>
          <w:spacing w:val="-38"/>
          <w:sz w:val="21"/>
          <w:szCs w:val="21"/>
        </w:rPr>
        <w:t xml:space="preserve"> </w:t>
      </w:r>
      <w:r>
        <w:rPr>
          <w:rFonts w:ascii="Times New Roman" w:hAnsi="Times New Roman" w:eastAsia="Times New Roman" w:cs="Times New Roman"/>
          <w:i/>
          <w:iCs/>
          <w:sz w:val="21"/>
          <w:szCs w:val="21"/>
        </w:rPr>
        <w:t xml:space="preserve">franchetii </w:t>
      </w:r>
      <w:r>
        <w:rPr>
          <w:rFonts w:ascii="Times New Roman" w:hAnsi="Times New Roman" w:eastAsia="Times New Roman" w:cs="Times New Roman"/>
          <w:sz w:val="21"/>
          <w:szCs w:val="21"/>
        </w:rPr>
        <w:t xml:space="preserve">+ </w:t>
      </w:r>
      <w:r>
        <w:rPr>
          <w:rFonts w:ascii="Times New Roman" w:hAnsi="Times New Roman" w:eastAsia="Times New Roman" w:cs="Times New Roman"/>
          <w:i/>
          <w:iCs/>
          <w:sz w:val="21"/>
          <w:szCs w:val="21"/>
        </w:rPr>
        <w:t>Quercus</w:t>
      </w:r>
    </w:p>
    <w:p>
      <w:pPr>
        <w:spacing w:before="71" w:line="312" w:lineRule="exact"/>
        <w:ind w:left="142"/>
        <w:rPr>
          <w:rFonts w:ascii="仿宋" w:hAnsi="仿宋" w:eastAsia="仿宋" w:cs="仿宋"/>
          <w:sz w:val="21"/>
          <w:szCs w:val="21"/>
        </w:rPr>
      </w:pPr>
      <w:r>
        <w:rPr>
          <w:rFonts w:ascii="Times New Roman" w:hAnsi="Times New Roman" w:eastAsia="Times New Roman" w:cs="Times New Roman"/>
          <w:i/>
          <w:iCs/>
          <w:spacing w:val="-1"/>
          <w:position w:val="6"/>
          <w:sz w:val="21"/>
          <w:szCs w:val="21"/>
        </w:rPr>
        <w:t xml:space="preserve">rehderiana </w:t>
      </w:r>
      <w:r>
        <w:rPr>
          <w:rFonts w:ascii="Times New Roman" w:hAnsi="Times New Roman" w:eastAsia="Times New Roman" w:cs="Times New Roman"/>
          <w:spacing w:val="-1"/>
          <w:position w:val="6"/>
          <w:sz w:val="21"/>
          <w:szCs w:val="21"/>
        </w:rPr>
        <w:t>Comm.</w:t>
      </w:r>
      <w:r>
        <w:rPr>
          <w:rFonts w:ascii="仿宋" w:hAnsi="仿宋" w:eastAsia="仿宋" w:cs="仿宋"/>
          <w:spacing w:val="-1"/>
          <w:position w:val="6"/>
          <w:sz w:val="21"/>
          <w:szCs w:val="21"/>
        </w:rPr>
        <w:t>）</w:t>
      </w:r>
    </w:p>
    <w:p>
      <w:pPr>
        <w:spacing w:line="218" w:lineRule="auto"/>
        <w:ind w:left="143"/>
        <w:rPr>
          <w:rFonts w:ascii="仿宋" w:hAnsi="仿宋" w:eastAsia="仿宋" w:cs="仿宋"/>
          <w:sz w:val="21"/>
          <w:szCs w:val="21"/>
        </w:rPr>
      </w:pPr>
      <w:r>
        <w:rPr>
          <w:rFonts w:ascii="Times New Roman" w:hAnsi="Times New Roman" w:eastAsia="Times New Roman" w:cs="Times New Roman"/>
          <w:spacing w:val="-7"/>
          <w:sz w:val="21"/>
          <w:szCs w:val="21"/>
        </w:rPr>
        <w:t>IV.</w:t>
      </w:r>
      <w:r>
        <w:rPr>
          <w:rFonts w:ascii="Times New Roman" w:hAnsi="Times New Roman" w:eastAsia="Times New Roman" w:cs="Times New Roman"/>
          <w:spacing w:val="7"/>
          <w:sz w:val="21"/>
          <w:szCs w:val="21"/>
        </w:rPr>
        <w:t xml:space="preserve">  </w:t>
      </w:r>
      <w:r>
        <w:rPr>
          <w:rFonts w:ascii="仿宋" w:hAnsi="仿宋" w:eastAsia="仿宋" w:cs="仿宋"/>
          <w:spacing w:val="-7"/>
          <w:sz w:val="21"/>
          <w:szCs w:val="21"/>
        </w:rPr>
        <w:t>针叶林</w:t>
      </w:r>
    </w:p>
    <w:p>
      <w:pPr>
        <w:spacing w:before="64" w:line="216" w:lineRule="auto"/>
        <w:ind w:left="361"/>
        <w:rPr>
          <w:rFonts w:ascii="仿宋" w:hAnsi="仿宋" w:eastAsia="仿宋" w:cs="仿宋"/>
          <w:sz w:val="21"/>
          <w:szCs w:val="21"/>
        </w:rPr>
      </w:pPr>
      <w:r>
        <w:rPr>
          <w:rFonts w:ascii="仿宋" w:hAnsi="仿宋" w:eastAsia="仿宋" w:cs="仿宋"/>
          <w:spacing w:val="-3"/>
          <w:sz w:val="21"/>
          <w:szCs w:val="21"/>
        </w:rPr>
        <w:t>（</w:t>
      </w:r>
      <w:r>
        <w:rPr>
          <w:rFonts w:ascii="Times New Roman" w:hAnsi="Times New Roman" w:eastAsia="Times New Roman" w:cs="Times New Roman"/>
          <w:spacing w:val="-3"/>
          <w:sz w:val="21"/>
          <w:szCs w:val="21"/>
        </w:rPr>
        <w:t>I</w:t>
      </w:r>
      <w:r>
        <w:rPr>
          <w:rFonts w:ascii="仿宋" w:hAnsi="仿宋" w:eastAsia="仿宋" w:cs="仿宋"/>
          <w:spacing w:val="-3"/>
          <w:sz w:val="21"/>
          <w:szCs w:val="21"/>
        </w:rPr>
        <w:t>）暖温性针叶林</w:t>
      </w:r>
    </w:p>
    <w:p>
      <w:pPr>
        <w:spacing w:before="66" w:line="212" w:lineRule="auto"/>
        <w:ind w:left="991"/>
        <w:rPr>
          <w:rFonts w:ascii="仿宋" w:hAnsi="仿宋" w:eastAsia="仿宋" w:cs="仿宋"/>
          <w:sz w:val="21"/>
          <w:szCs w:val="21"/>
        </w:rPr>
      </w:pPr>
      <w:r>
        <w:rPr>
          <w:rFonts w:ascii="仿宋" w:hAnsi="仿宋" w:eastAsia="仿宋" w:cs="仿宋"/>
          <w:spacing w:val="-1"/>
          <w:sz w:val="21"/>
          <w:szCs w:val="21"/>
        </w:rPr>
        <w:t>（一）云南松林（</w:t>
      </w:r>
      <w:r>
        <w:rPr>
          <w:rFonts w:ascii="Times New Roman" w:hAnsi="Times New Roman" w:eastAsia="Times New Roman" w:cs="Times New Roman"/>
          <w:spacing w:val="-1"/>
          <w:sz w:val="21"/>
          <w:szCs w:val="21"/>
        </w:rPr>
        <w:t>Form. Pinus yunnanensis</w:t>
      </w:r>
      <w:r>
        <w:rPr>
          <w:rFonts w:ascii="仿宋" w:hAnsi="仿宋" w:eastAsia="仿宋" w:cs="仿宋"/>
          <w:spacing w:val="-1"/>
          <w:sz w:val="21"/>
          <w:szCs w:val="21"/>
        </w:rPr>
        <w:t>）</w:t>
      </w:r>
    </w:p>
    <w:p>
      <w:pPr>
        <w:spacing w:before="71" w:line="243" w:lineRule="auto"/>
        <w:ind w:left="152" w:right="697" w:firstLine="2634"/>
        <w:rPr>
          <w:rFonts w:ascii="仿宋" w:hAnsi="仿宋" w:eastAsia="仿宋" w:cs="仿宋"/>
          <w:sz w:val="21"/>
          <w:szCs w:val="21"/>
        </w:rPr>
      </w:pPr>
      <w:r>
        <w:rPr>
          <w:rFonts w:ascii="Times New Roman" w:hAnsi="Times New Roman" w:eastAsia="Times New Roman" w:cs="Times New Roman"/>
          <w:sz w:val="21"/>
          <w:szCs w:val="21"/>
        </w:rPr>
        <w:t xml:space="preserve">1.  </w:t>
      </w:r>
      <w:r>
        <w:rPr>
          <w:rFonts w:ascii="仿宋" w:hAnsi="仿宋" w:eastAsia="仿宋" w:cs="仿宋"/>
          <w:sz w:val="21"/>
          <w:szCs w:val="21"/>
        </w:rPr>
        <w:t>云南松、滇青冈、高山锥群落（</w:t>
      </w:r>
      <w:r>
        <w:rPr>
          <w:rFonts w:ascii="Times New Roman" w:hAnsi="Times New Roman" w:eastAsia="Times New Roman" w:cs="Times New Roman"/>
          <w:i/>
          <w:iCs/>
          <w:sz w:val="21"/>
          <w:szCs w:val="21"/>
        </w:rPr>
        <w:t>Pinus</w:t>
      </w:r>
      <w:r>
        <w:rPr>
          <w:rFonts w:ascii="Times New Roman" w:hAnsi="Times New Roman" w:eastAsia="Times New Roman" w:cs="Times New Roman"/>
          <w:i/>
          <w:iCs/>
          <w:spacing w:val="-16"/>
          <w:sz w:val="21"/>
          <w:szCs w:val="21"/>
        </w:rPr>
        <w:t xml:space="preserve"> </w:t>
      </w:r>
      <w:r>
        <w:rPr>
          <w:rFonts w:ascii="Times New Roman" w:hAnsi="Times New Roman" w:eastAsia="Times New Roman" w:cs="Times New Roman"/>
          <w:i/>
          <w:iCs/>
          <w:sz w:val="21"/>
          <w:szCs w:val="21"/>
        </w:rPr>
        <w:t>yunn</w:t>
      </w:r>
      <w:r>
        <w:rPr>
          <w:rFonts w:ascii="Times New Roman" w:hAnsi="Times New Roman" w:eastAsia="Times New Roman" w:cs="Times New Roman"/>
          <w:i/>
          <w:iCs/>
          <w:spacing w:val="-1"/>
          <w:sz w:val="21"/>
          <w:szCs w:val="21"/>
        </w:rPr>
        <w:t xml:space="preserve">anensis </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 xml:space="preserve"> </w:t>
      </w:r>
      <w:r>
        <w:rPr>
          <w:rFonts w:ascii="Times New Roman" w:hAnsi="Times New Roman" w:eastAsia="Times New Roman" w:cs="Times New Roman"/>
          <w:i/>
          <w:iCs/>
          <w:sz w:val="21"/>
          <w:szCs w:val="21"/>
        </w:rPr>
        <w:t xml:space="preserve">Castanopsis delavayi </w:t>
      </w:r>
      <w:r>
        <w:rPr>
          <w:rFonts w:ascii="Times New Roman" w:hAnsi="Times New Roman" w:eastAsia="Times New Roman" w:cs="Times New Roman"/>
          <w:sz w:val="21"/>
          <w:szCs w:val="21"/>
        </w:rPr>
        <w:t>+</w:t>
      </w:r>
      <w:r>
        <w:rPr>
          <w:rFonts w:ascii="Times New Roman" w:hAnsi="Times New Roman" w:eastAsia="Times New Roman" w:cs="Times New Roman"/>
          <w:spacing w:val="13"/>
          <w:w w:val="101"/>
          <w:sz w:val="21"/>
          <w:szCs w:val="21"/>
        </w:rPr>
        <w:t xml:space="preserve"> </w:t>
      </w:r>
      <w:r>
        <w:rPr>
          <w:rFonts w:ascii="Times New Roman" w:hAnsi="Times New Roman" w:eastAsia="Times New Roman" w:cs="Times New Roman"/>
          <w:i/>
          <w:iCs/>
          <w:spacing w:val="-1"/>
          <w:sz w:val="21"/>
          <w:szCs w:val="21"/>
        </w:rPr>
        <w:t xml:space="preserve">Castanopsis delavayi </w:t>
      </w:r>
      <w:r>
        <w:rPr>
          <w:rFonts w:ascii="Times New Roman" w:hAnsi="Times New Roman" w:eastAsia="Times New Roman" w:cs="Times New Roman"/>
          <w:spacing w:val="-1"/>
          <w:sz w:val="21"/>
          <w:szCs w:val="21"/>
        </w:rPr>
        <w:t>Comm.</w:t>
      </w:r>
      <w:r>
        <w:rPr>
          <w:rFonts w:ascii="仿宋" w:hAnsi="仿宋" w:eastAsia="仿宋" w:cs="仿宋"/>
          <w:spacing w:val="-1"/>
          <w:sz w:val="21"/>
          <w:szCs w:val="21"/>
        </w:rPr>
        <w:t>）</w:t>
      </w:r>
    </w:p>
    <w:p>
      <w:pPr>
        <w:spacing w:before="71" w:line="217" w:lineRule="auto"/>
        <w:ind w:left="139"/>
        <w:rPr>
          <w:rFonts w:ascii="仿宋" w:hAnsi="仿宋" w:eastAsia="仿宋" w:cs="仿宋"/>
          <w:sz w:val="21"/>
          <w:szCs w:val="21"/>
        </w:rPr>
      </w:pPr>
      <w:r>
        <w:rPr>
          <w:rFonts w:ascii="Times New Roman" w:hAnsi="Times New Roman" w:eastAsia="Times New Roman" w:cs="Times New Roman"/>
          <w:spacing w:val="-6"/>
          <w:sz w:val="21"/>
          <w:szCs w:val="21"/>
        </w:rPr>
        <w:t>V.</w:t>
      </w:r>
      <w:r>
        <w:rPr>
          <w:rFonts w:ascii="Times New Roman" w:hAnsi="Times New Roman" w:eastAsia="Times New Roman" w:cs="Times New Roman"/>
          <w:spacing w:val="9"/>
          <w:sz w:val="21"/>
          <w:szCs w:val="21"/>
        </w:rPr>
        <w:t xml:space="preserve">  </w:t>
      </w:r>
      <w:r>
        <w:rPr>
          <w:rFonts w:ascii="仿宋" w:hAnsi="仿宋" w:eastAsia="仿宋" w:cs="仿宋"/>
          <w:spacing w:val="-6"/>
          <w:sz w:val="21"/>
          <w:szCs w:val="21"/>
        </w:rPr>
        <w:t>稀树灌木草丛</w:t>
      </w:r>
    </w:p>
    <w:p>
      <w:pPr>
        <w:spacing w:before="65" w:line="216" w:lineRule="auto"/>
        <w:ind w:left="361"/>
        <w:rPr>
          <w:rFonts w:ascii="仿宋" w:hAnsi="仿宋" w:eastAsia="仿宋" w:cs="仿宋"/>
          <w:sz w:val="21"/>
          <w:szCs w:val="21"/>
        </w:rPr>
      </w:pPr>
      <w:r>
        <w:rPr>
          <w:rFonts w:ascii="仿宋" w:hAnsi="仿宋" w:eastAsia="仿宋" w:cs="仿宋"/>
          <w:spacing w:val="-2"/>
          <w:sz w:val="21"/>
          <w:szCs w:val="21"/>
        </w:rPr>
        <w:t>（</w:t>
      </w:r>
      <w:r>
        <w:rPr>
          <w:rFonts w:ascii="Times New Roman" w:hAnsi="Times New Roman" w:eastAsia="Times New Roman" w:cs="Times New Roman"/>
          <w:spacing w:val="-2"/>
          <w:sz w:val="21"/>
          <w:szCs w:val="21"/>
        </w:rPr>
        <w:t>I</w:t>
      </w:r>
      <w:r>
        <w:rPr>
          <w:rFonts w:ascii="仿宋" w:hAnsi="仿宋" w:eastAsia="仿宋" w:cs="仿宋"/>
          <w:spacing w:val="-2"/>
          <w:sz w:val="21"/>
          <w:szCs w:val="21"/>
        </w:rPr>
        <w:t>）干热性稀树灌木草丛</w:t>
      </w:r>
    </w:p>
    <w:p>
      <w:pPr>
        <w:spacing w:before="67" w:line="243" w:lineRule="auto"/>
        <w:ind w:left="147" w:right="800" w:firstLine="843"/>
        <w:rPr>
          <w:rFonts w:ascii="仿宋" w:hAnsi="仿宋" w:eastAsia="仿宋" w:cs="仿宋"/>
          <w:sz w:val="21"/>
          <w:szCs w:val="21"/>
        </w:rPr>
      </w:pPr>
      <w:r>
        <w:rPr>
          <w:rFonts w:ascii="仿宋" w:hAnsi="仿宋" w:eastAsia="仿宋" w:cs="仿宋"/>
          <w:sz w:val="21"/>
          <w:szCs w:val="21"/>
        </w:rPr>
        <w:t>（一）含锥连栎、车桑子的中草草丛（</w:t>
      </w:r>
      <w:r>
        <w:rPr>
          <w:rFonts w:ascii="Times New Roman" w:hAnsi="Times New Roman" w:eastAsia="Times New Roman" w:cs="Times New Roman"/>
          <w:sz w:val="21"/>
          <w:szCs w:val="21"/>
        </w:rPr>
        <w:t>Form. Medium gras</w:t>
      </w:r>
      <w:r>
        <w:rPr>
          <w:rFonts w:ascii="Times New Roman" w:hAnsi="Times New Roman" w:eastAsia="Times New Roman" w:cs="Times New Roman"/>
          <w:spacing w:val="-1"/>
          <w:sz w:val="21"/>
          <w:szCs w:val="21"/>
        </w:rPr>
        <w:t>sland containing</w:t>
      </w:r>
      <w:r>
        <w:rPr>
          <w:rFonts w:ascii="Times New Roman" w:hAnsi="Times New Roman" w:eastAsia="Times New Roman" w:cs="Times New Roman"/>
          <w:sz w:val="21"/>
          <w:szCs w:val="21"/>
        </w:rPr>
        <w:t xml:space="preserve"> </w:t>
      </w:r>
      <w:r>
        <w:rPr>
          <w:rFonts w:ascii="Times New Roman" w:hAnsi="Times New Roman" w:eastAsia="Times New Roman" w:cs="Times New Roman"/>
          <w:i/>
          <w:iCs/>
          <w:sz w:val="21"/>
          <w:szCs w:val="21"/>
        </w:rPr>
        <w:t>Quercus</w:t>
      </w:r>
      <w:r>
        <w:rPr>
          <w:rFonts w:ascii="Times New Roman" w:hAnsi="Times New Roman" w:eastAsia="Times New Roman" w:cs="Times New Roman"/>
          <w:i/>
          <w:iCs/>
          <w:spacing w:val="-35"/>
          <w:sz w:val="21"/>
          <w:szCs w:val="21"/>
        </w:rPr>
        <w:t xml:space="preserve"> </w:t>
      </w:r>
      <w:r>
        <w:rPr>
          <w:rFonts w:ascii="Times New Roman" w:hAnsi="Times New Roman" w:eastAsia="Times New Roman" w:cs="Times New Roman"/>
          <w:i/>
          <w:iCs/>
          <w:sz w:val="21"/>
          <w:szCs w:val="21"/>
        </w:rPr>
        <w:t>franchetii</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i/>
          <w:iCs/>
          <w:sz w:val="21"/>
          <w:szCs w:val="21"/>
        </w:rPr>
        <w:t>Dodonaea</w:t>
      </w:r>
      <w:r>
        <w:rPr>
          <w:rFonts w:ascii="Times New Roman" w:hAnsi="Times New Roman" w:eastAsia="Times New Roman" w:cs="Times New Roman"/>
          <w:i/>
          <w:iCs/>
          <w:spacing w:val="4"/>
          <w:sz w:val="21"/>
          <w:szCs w:val="21"/>
        </w:rPr>
        <w:t xml:space="preserve"> </w:t>
      </w:r>
      <w:r>
        <w:rPr>
          <w:rFonts w:ascii="Times New Roman" w:hAnsi="Times New Roman" w:eastAsia="Times New Roman" w:cs="Times New Roman"/>
          <w:i/>
          <w:iCs/>
          <w:sz w:val="21"/>
          <w:szCs w:val="21"/>
        </w:rPr>
        <w:t>viscosa</w:t>
      </w:r>
      <w:r>
        <w:rPr>
          <w:rFonts w:ascii="仿宋" w:hAnsi="仿宋" w:eastAsia="仿宋" w:cs="仿宋"/>
          <w:spacing w:val="4"/>
          <w:sz w:val="21"/>
          <w:szCs w:val="21"/>
        </w:rPr>
        <w:t>）</w:t>
      </w:r>
    </w:p>
    <w:p>
      <w:pPr>
        <w:spacing w:before="72" w:line="243" w:lineRule="auto"/>
        <w:ind w:left="147" w:right="194" w:firstLine="1484"/>
        <w:rPr>
          <w:rFonts w:ascii="仿宋" w:hAnsi="仿宋" w:eastAsia="仿宋" w:cs="仿宋"/>
          <w:sz w:val="21"/>
          <w:szCs w:val="21"/>
        </w:rPr>
      </w:pPr>
      <w:r>
        <w:rPr>
          <w:rFonts w:ascii="Times New Roman" w:hAnsi="Times New Roman" w:eastAsia="Times New Roman" w:cs="Times New Roman"/>
          <w:sz w:val="21"/>
          <w:szCs w:val="21"/>
        </w:rPr>
        <w:t xml:space="preserve">1.  </w:t>
      </w:r>
      <w:r>
        <w:rPr>
          <w:rFonts w:ascii="仿宋" w:hAnsi="仿宋" w:eastAsia="仿宋" w:cs="仿宋"/>
          <w:sz w:val="21"/>
          <w:szCs w:val="21"/>
        </w:rPr>
        <w:t>锥连栎、车桑子、黄茅群落（</w:t>
      </w:r>
      <w:r>
        <w:rPr>
          <w:rFonts w:ascii="Times New Roman" w:hAnsi="Times New Roman" w:eastAsia="Times New Roman" w:cs="Times New Roman"/>
          <w:i/>
          <w:iCs/>
          <w:sz w:val="21"/>
          <w:szCs w:val="21"/>
        </w:rPr>
        <w:t>Het</w:t>
      </w:r>
      <w:r>
        <w:rPr>
          <w:rFonts w:ascii="Times New Roman" w:hAnsi="Times New Roman" w:eastAsia="Times New Roman" w:cs="Times New Roman"/>
          <w:i/>
          <w:iCs/>
          <w:spacing w:val="-1"/>
          <w:sz w:val="21"/>
          <w:szCs w:val="21"/>
        </w:rPr>
        <w:t xml:space="preserve">eropogon contortus </w:t>
      </w:r>
      <w:r>
        <w:rPr>
          <w:rFonts w:ascii="Times New Roman" w:hAnsi="Times New Roman" w:eastAsia="Times New Roman" w:cs="Times New Roman"/>
          <w:spacing w:val="-1"/>
          <w:sz w:val="21"/>
          <w:szCs w:val="21"/>
        </w:rPr>
        <w:t>Comm. Containing</w:t>
      </w:r>
      <w:r>
        <w:rPr>
          <w:rFonts w:ascii="Times New Roman" w:hAnsi="Times New Roman" w:eastAsia="Times New Roman" w:cs="Times New Roman"/>
          <w:sz w:val="21"/>
          <w:szCs w:val="21"/>
        </w:rPr>
        <w:t xml:space="preserve"> </w:t>
      </w:r>
      <w:r>
        <w:rPr>
          <w:rFonts w:ascii="Times New Roman" w:hAnsi="Times New Roman" w:eastAsia="Times New Roman" w:cs="Times New Roman"/>
          <w:i/>
          <w:iCs/>
          <w:sz w:val="21"/>
          <w:szCs w:val="21"/>
        </w:rPr>
        <w:t>Quercus</w:t>
      </w:r>
      <w:r>
        <w:rPr>
          <w:rFonts w:ascii="Times New Roman" w:hAnsi="Times New Roman" w:eastAsia="Times New Roman" w:cs="Times New Roman"/>
          <w:i/>
          <w:iCs/>
          <w:spacing w:val="-35"/>
          <w:sz w:val="21"/>
          <w:szCs w:val="21"/>
        </w:rPr>
        <w:t xml:space="preserve"> </w:t>
      </w:r>
      <w:r>
        <w:rPr>
          <w:rFonts w:ascii="Times New Roman" w:hAnsi="Times New Roman" w:eastAsia="Times New Roman" w:cs="Times New Roman"/>
          <w:i/>
          <w:iCs/>
          <w:sz w:val="21"/>
          <w:szCs w:val="21"/>
        </w:rPr>
        <w:t>franchetii</w:t>
      </w:r>
      <w:r>
        <w:rPr>
          <w:rFonts w:ascii="Times New Roman" w:hAnsi="Times New Roman" w:eastAsia="Times New Roman" w:cs="Times New Roman"/>
          <w:spacing w:val="4"/>
          <w:sz w:val="21"/>
          <w:szCs w:val="21"/>
        </w:rPr>
        <w:t xml:space="preserve">, </w:t>
      </w:r>
      <w:r>
        <w:rPr>
          <w:rFonts w:ascii="Times New Roman" w:hAnsi="Times New Roman" w:eastAsia="Times New Roman" w:cs="Times New Roman"/>
          <w:i/>
          <w:iCs/>
          <w:sz w:val="21"/>
          <w:szCs w:val="21"/>
        </w:rPr>
        <w:t>Dodonaea</w:t>
      </w:r>
      <w:r>
        <w:rPr>
          <w:rFonts w:ascii="Times New Roman" w:hAnsi="Times New Roman" w:eastAsia="Times New Roman" w:cs="Times New Roman"/>
          <w:i/>
          <w:iCs/>
          <w:spacing w:val="4"/>
          <w:sz w:val="21"/>
          <w:szCs w:val="21"/>
        </w:rPr>
        <w:t xml:space="preserve"> </w:t>
      </w:r>
      <w:r>
        <w:rPr>
          <w:rFonts w:ascii="Times New Roman" w:hAnsi="Times New Roman" w:eastAsia="Times New Roman" w:cs="Times New Roman"/>
          <w:i/>
          <w:iCs/>
          <w:sz w:val="21"/>
          <w:szCs w:val="21"/>
        </w:rPr>
        <w:t>viscosa</w:t>
      </w:r>
      <w:r>
        <w:rPr>
          <w:rFonts w:ascii="仿宋" w:hAnsi="仿宋" w:eastAsia="仿宋" w:cs="仿宋"/>
          <w:spacing w:val="4"/>
          <w:sz w:val="21"/>
          <w:szCs w:val="21"/>
        </w:rPr>
        <w:t>）</w:t>
      </w:r>
    </w:p>
    <w:p>
      <w:pPr>
        <w:spacing w:before="70" w:line="216" w:lineRule="auto"/>
        <w:ind w:left="361"/>
        <w:rPr>
          <w:rFonts w:ascii="仿宋" w:hAnsi="仿宋" w:eastAsia="仿宋" w:cs="仿宋"/>
          <w:sz w:val="21"/>
          <w:szCs w:val="21"/>
        </w:rPr>
      </w:pPr>
      <w:r>
        <w:rPr>
          <w:rFonts w:ascii="仿宋" w:hAnsi="仿宋" w:eastAsia="仿宋" w:cs="仿宋"/>
          <w:spacing w:val="-3"/>
          <w:sz w:val="21"/>
          <w:szCs w:val="21"/>
        </w:rPr>
        <w:t>（</w:t>
      </w:r>
      <w:r>
        <w:rPr>
          <w:rFonts w:ascii="Times New Roman" w:hAnsi="Times New Roman" w:eastAsia="Times New Roman" w:cs="Times New Roman"/>
          <w:spacing w:val="-3"/>
          <w:sz w:val="21"/>
          <w:szCs w:val="21"/>
        </w:rPr>
        <w:t>II</w:t>
      </w:r>
      <w:r>
        <w:rPr>
          <w:rFonts w:ascii="仿宋" w:hAnsi="仿宋" w:eastAsia="仿宋" w:cs="仿宋"/>
          <w:spacing w:val="-3"/>
          <w:sz w:val="21"/>
          <w:szCs w:val="21"/>
        </w:rPr>
        <w:t>）暖温性稀树灌木草丛</w:t>
      </w:r>
    </w:p>
    <w:p>
      <w:pPr>
        <w:spacing w:before="67" w:line="212" w:lineRule="auto"/>
        <w:ind w:left="991"/>
        <w:rPr>
          <w:rFonts w:ascii="Times New Roman" w:hAnsi="Times New Roman" w:eastAsia="Times New Roman" w:cs="Times New Roman"/>
          <w:sz w:val="21"/>
          <w:szCs w:val="21"/>
        </w:rPr>
      </w:pPr>
      <w:r>
        <w:rPr>
          <w:rFonts w:ascii="仿宋" w:hAnsi="仿宋" w:eastAsia="仿宋" w:cs="仿宋"/>
          <w:sz w:val="21"/>
          <w:szCs w:val="21"/>
        </w:rPr>
        <w:t>（二）含云南松和珍珠花的中草草丛（</w:t>
      </w:r>
      <w:r>
        <w:rPr>
          <w:rFonts w:ascii="Times New Roman" w:hAnsi="Times New Roman" w:eastAsia="Times New Roman" w:cs="Times New Roman"/>
          <w:sz w:val="21"/>
          <w:szCs w:val="21"/>
        </w:rPr>
        <w:t>Form</w:t>
      </w:r>
      <w:r>
        <w:rPr>
          <w:rFonts w:ascii="Times New Roman" w:hAnsi="Times New Roman" w:eastAsia="Times New Roman" w:cs="Times New Roman"/>
          <w:i/>
          <w:iCs/>
          <w:sz w:val="21"/>
          <w:szCs w:val="21"/>
        </w:rPr>
        <w:t xml:space="preserve">. </w:t>
      </w:r>
      <w:r>
        <w:rPr>
          <w:rFonts w:ascii="Times New Roman" w:hAnsi="Times New Roman" w:eastAsia="Times New Roman" w:cs="Times New Roman"/>
          <w:sz w:val="21"/>
          <w:szCs w:val="21"/>
        </w:rPr>
        <w:t>medium grassland co</w:t>
      </w:r>
      <w:r>
        <w:rPr>
          <w:rFonts w:ascii="Times New Roman" w:hAnsi="Times New Roman" w:eastAsia="Times New Roman" w:cs="Times New Roman"/>
          <w:spacing w:val="-1"/>
          <w:sz w:val="21"/>
          <w:szCs w:val="21"/>
        </w:rPr>
        <w:t xml:space="preserve">ntaining </w:t>
      </w:r>
      <w:r>
        <w:rPr>
          <w:rFonts w:ascii="Times New Roman" w:hAnsi="Times New Roman" w:eastAsia="Times New Roman" w:cs="Times New Roman"/>
          <w:i/>
          <w:iCs/>
          <w:spacing w:val="-1"/>
          <w:sz w:val="21"/>
          <w:szCs w:val="21"/>
        </w:rPr>
        <w:t>Pinus</w:t>
      </w:r>
    </w:p>
    <w:p>
      <w:pPr>
        <w:tabs>
          <w:tab w:val="left" w:pos="121"/>
        </w:tabs>
        <w:spacing w:before="71" w:line="212" w:lineRule="auto"/>
        <w:ind w:left="15"/>
        <w:rPr>
          <w:rFonts w:ascii="仿宋" w:hAnsi="仿宋" w:eastAsia="仿宋" w:cs="仿宋"/>
          <w:sz w:val="21"/>
          <w:szCs w:val="21"/>
        </w:rPr>
      </w:pPr>
      <w:r>
        <w:rPr>
          <w:rFonts w:ascii="Times New Roman" w:hAnsi="Times New Roman" w:eastAsia="Times New Roman" w:cs="Times New Roman"/>
          <w:sz w:val="21"/>
          <w:szCs w:val="21"/>
          <w:u w:val="single" w:color="auto"/>
        </w:rPr>
        <w:tab/>
      </w:r>
      <w:r>
        <w:rPr>
          <w:rFonts w:ascii="Times New Roman" w:hAnsi="Times New Roman" w:eastAsia="Times New Roman" w:cs="Times New Roman"/>
          <w:i/>
          <w:iCs/>
          <w:sz w:val="21"/>
          <w:szCs w:val="21"/>
          <w:u w:val="single" w:color="auto"/>
        </w:rPr>
        <w:t>yunnanensis</w:t>
      </w:r>
      <w:r>
        <w:rPr>
          <w:rFonts w:ascii="Times New Roman" w:hAnsi="Times New Roman" w:eastAsia="Times New Roman" w:cs="Times New Roman"/>
          <w:spacing w:val="2"/>
          <w:sz w:val="21"/>
          <w:szCs w:val="21"/>
          <w:u w:val="single" w:color="auto"/>
        </w:rPr>
        <w:t xml:space="preserve">, </w:t>
      </w:r>
      <w:r>
        <w:rPr>
          <w:rFonts w:ascii="Times New Roman" w:hAnsi="Times New Roman" w:eastAsia="Times New Roman" w:cs="Times New Roman"/>
          <w:i/>
          <w:iCs/>
          <w:sz w:val="21"/>
          <w:szCs w:val="21"/>
          <w:u w:val="single" w:color="auto"/>
        </w:rPr>
        <w:t>Lyonia</w:t>
      </w:r>
      <w:r>
        <w:rPr>
          <w:rFonts w:ascii="Times New Roman" w:hAnsi="Times New Roman" w:eastAsia="Times New Roman" w:cs="Times New Roman"/>
          <w:i/>
          <w:iCs/>
          <w:spacing w:val="2"/>
          <w:sz w:val="21"/>
          <w:szCs w:val="21"/>
          <w:u w:val="single" w:color="auto"/>
        </w:rPr>
        <w:t xml:space="preserve"> </w:t>
      </w:r>
      <w:r>
        <w:rPr>
          <w:rFonts w:ascii="Times New Roman" w:hAnsi="Times New Roman" w:eastAsia="Times New Roman" w:cs="Times New Roman"/>
          <w:i/>
          <w:iCs/>
          <w:sz w:val="21"/>
          <w:szCs w:val="21"/>
          <w:u w:val="single" w:color="auto"/>
        </w:rPr>
        <w:t>ovalifolia</w:t>
      </w:r>
      <w:r>
        <w:rPr>
          <w:rFonts w:ascii="仿宋" w:hAnsi="仿宋" w:eastAsia="仿宋" w:cs="仿宋"/>
          <w:spacing w:val="2"/>
          <w:sz w:val="21"/>
          <w:szCs w:val="21"/>
          <w:u w:val="single" w:color="auto"/>
        </w:rPr>
        <w:t>）</w:t>
      </w:r>
      <w:r>
        <w:rPr>
          <w:rFonts w:ascii="仿宋" w:hAnsi="仿宋" w:eastAsia="仿宋" w:cs="仿宋"/>
          <w:sz w:val="21"/>
          <w:szCs w:val="21"/>
          <w:u w:val="single" w:color="auto"/>
        </w:rPr>
        <w:t xml:space="preserve">                                                    </w:t>
      </w:r>
    </w:p>
    <w:p>
      <w:pPr>
        <w:spacing w:line="212" w:lineRule="auto"/>
        <w:rPr>
          <w:rFonts w:ascii="仿宋" w:hAnsi="仿宋" w:eastAsia="仿宋" w:cs="仿宋"/>
          <w:sz w:val="21"/>
          <w:szCs w:val="21"/>
        </w:rPr>
        <w:sectPr>
          <w:headerReference r:id="rId223" w:type="default"/>
          <w:footerReference r:id="rId224" w:type="default"/>
          <w:pgSz w:w="11907" w:h="16839"/>
          <w:pgMar w:top="1156" w:right="1732" w:bottom="1374" w:left="1770" w:header="881" w:footer="1210" w:gutter="0"/>
        </w:sectPr>
      </w:pPr>
    </w:p>
    <w:p>
      <w:pPr>
        <w:spacing w:line="273" w:lineRule="auto"/>
        <w:rPr>
          <w:rFonts w:ascii="Arial"/>
          <w:sz w:val="21"/>
        </w:rPr>
      </w:pPr>
      <w:r>
        <w:pict>
          <v:shape id="_x0000_s1028" o:spid="_x0000_s1028" style="position:absolute;left:0pt;margin-left:90pt;margin-top:72pt;height:0.5pt;width:415.4pt;mso-position-horizontal-relative:page;mso-position-vertical-relative:page;z-index:251660288;mso-width-relative:page;mso-height-relative:page;" fillcolor="#000000" filled="t" stroked="f" coordsize="8307,10" o:allowincell="f" path="m0,9l8307,9,8307,0,0,0,0,9xe">
            <v:path/>
            <v:fill on="t" focussize="0,0"/>
            <v:stroke on="f"/>
            <v:imagedata o:title=""/>
            <o:lock v:ext="edit"/>
          </v:shape>
        </w:pict>
      </w:r>
      <w:r>
        <w:pict>
          <v:shape id="_x0000_s1029" o:spid="_x0000_s1029" style="position:absolute;left:0pt;margin-left:89.3pt;margin-top:212.95pt;height:0.5pt;width:416.1pt;mso-position-horizontal-relative:page;mso-position-vertical-relative:page;z-index:251659264;mso-width-relative:page;mso-height-relative:page;" fillcolor="#000000" filled="t" stroked="f" coordsize="8322,10" o:allowincell="f" path="m0,9l8321,9,8321,0,0,0,0,9xe">
            <v:path/>
            <v:fill on="t" focussize="0,0"/>
            <v:stroke on="f"/>
            <v:imagedata o:title=""/>
            <o:lock v:ext="edit"/>
          </v:shape>
        </w:pict>
      </w:r>
    </w:p>
    <w:p>
      <w:pPr>
        <w:spacing w:before="69" w:line="251" w:lineRule="auto"/>
        <w:ind w:left="121" w:right="434" w:firstLine="149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 xml:space="preserve">2.  </w:t>
      </w:r>
      <w:r>
        <w:rPr>
          <w:rFonts w:ascii="仿宋" w:hAnsi="仿宋" w:eastAsia="仿宋" w:cs="仿宋"/>
          <w:spacing w:val="-2"/>
          <w:sz w:val="21"/>
          <w:szCs w:val="21"/>
        </w:rPr>
        <w:t>云南松、珍珠花、</w:t>
      </w:r>
      <w:r>
        <w:rPr>
          <w:rFonts w:ascii="仿宋" w:hAnsi="仿宋" w:eastAsia="仿宋" w:cs="仿宋"/>
          <w:spacing w:val="47"/>
          <w:sz w:val="21"/>
          <w:szCs w:val="21"/>
        </w:rPr>
        <w:t xml:space="preserve"> </w:t>
      </w:r>
      <w:r>
        <w:rPr>
          <w:rFonts w:ascii="仿宋" w:hAnsi="仿宋" w:eastAsia="仿宋" w:cs="仿宋"/>
          <w:spacing w:val="-2"/>
          <w:sz w:val="21"/>
          <w:szCs w:val="21"/>
        </w:rPr>
        <w:t>黄茅群落</w:t>
      </w:r>
      <w:r>
        <w:rPr>
          <w:rFonts w:ascii="Times New Roman" w:hAnsi="Times New Roman" w:eastAsia="Times New Roman" w:cs="Times New Roman"/>
          <w:spacing w:val="-2"/>
          <w:sz w:val="21"/>
          <w:szCs w:val="21"/>
        </w:rPr>
        <w:t>(</w:t>
      </w:r>
      <w:r>
        <w:rPr>
          <w:rFonts w:ascii="Times New Roman" w:hAnsi="Times New Roman" w:eastAsia="Times New Roman" w:cs="Times New Roman"/>
          <w:i/>
          <w:iCs/>
          <w:spacing w:val="-2"/>
          <w:sz w:val="21"/>
          <w:szCs w:val="21"/>
        </w:rPr>
        <w:t>Eulalia</w:t>
      </w:r>
      <w:r>
        <w:rPr>
          <w:rFonts w:ascii="Times New Roman" w:hAnsi="Times New Roman" w:eastAsia="Times New Roman" w:cs="Times New Roman"/>
          <w:i/>
          <w:iCs/>
          <w:spacing w:val="-22"/>
          <w:sz w:val="21"/>
          <w:szCs w:val="21"/>
        </w:rPr>
        <w:t xml:space="preserve"> </w:t>
      </w:r>
      <w:r>
        <w:rPr>
          <w:rFonts w:ascii="Times New Roman" w:hAnsi="Times New Roman" w:eastAsia="Times New Roman" w:cs="Times New Roman"/>
          <w:i/>
          <w:iCs/>
          <w:spacing w:val="-2"/>
          <w:sz w:val="21"/>
          <w:szCs w:val="21"/>
        </w:rPr>
        <w:t>pal</w:t>
      </w:r>
      <w:r>
        <w:rPr>
          <w:rFonts w:ascii="Times New Roman" w:hAnsi="Times New Roman" w:eastAsia="Times New Roman" w:cs="Times New Roman"/>
          <w:i/>
          <w:iCs/>
          <w:spacing w:val="-3"/>
          <w:sz w:val="21"/>
          <w:szCs w:val="21"/>
        </w:rPr>
        <w:t xml:space="preserve">lens </w:t>
      </w:r>
      <w:r>
        <w:rPr>
          <w:rFonts w:ascii="Times New Roman" w:hAnsi="Times New Roman" w:eastAsia="Times New Roman" w:cs="Times New Roman"/>
          <w:spacing w:val="-3"/>
          <w:sz w:val="21"/>
          <w:szCs w:val="21"/>
        </w:rPr>
        <w:t xml:space="preserve">Comm. Containing </w:t>
      </w:r>
      <w:r>
        <w:rPr>
          <w:rFonts w:ascii="Times New Roman" w:hAnsi="Times New Roman" w:eastAsia="Times New Roman" w:cs="Times New Roman"/>
          <w:i/>
          <w:iCs/>
          <w:spacing w:val="-3"/>
          <w:sz w:val="21"/>
          <w:szCs w:val="21"/>
        </w:rPr>
        <w:t>Pinus</w:t>
      </w:r>
      <w:r>
        <w:rPr>
          <w:rFonts w:ascii="Times New Roman" w:hAnsi="Times New Roman" w:eastAsia="Times New Roman" w:cs="Times New Roman"/>
          <w:i/>
          <w:iCs/>
          <w:sz w:val="21"/>
          <w:szCs w:val="21"/>
        </w:rPr>
        <w:t xml:space="preserve"> yunnanensis</w:t>
      </w:r>
      <w:r>
        <w:rPr>
          <w:rFonts w:ascii="Times New Roman" w:hAnsi="Times New Roman" w:eastAsia="Times New Roman" w:cs="Times New Roman"/>
          <w:spacing w:val="2"/>
          <w:sz w:val="21"/>
          <w:szCs w:val="21"/>
        </w:rPr>
        <w:t xml:space="preserve">, </w:t>
      </w:r>
      <w:r>
        <w:rPr>
          <w:rFonts w:ascii="Times New Roman" w:hAnsi="Times New Roman" w:eastAsia="Times New Roman" w:cs="Times New Roman"/>
          <w:i/>
          <w:iCs/>
          <w:sz w:val="21"/>
          <w:szCs w:val="21"/>
        </w:rPr>
        <w:t>Heteropogon</w:t>
      </w:r>
      <w:r>
        <w:rPr>
          <w:rFonts w:ascii="Times New Roman" w:hAnsi="Times New Roman" w:eastAsia="Times New Roman" w:cs="Times New Roman"/>
          <w:i/>
          <w:iCs/>
          <w:spacing w:val="2"/>
          <w:sz w:val="21"/>
          <w:szCs w:val="21"/>
        </w:rPr>
        <w:t xml:space="preserve"> </w:t>
      </w:r>
      <w:r>
        <w:rPr>
          <w:rFonts w:ascii="Times New Roman" w:hAnsi="Times New Roman" w:eastAsia="Times New Roman" w:cs="Times New Roman"/>
          <w:i/>
          <w:iCs/>
          <w:sz w:val="21"/>
          <w:szCs w:val="21"/>
        </w:rPr>
        <w:t>contortus</w:t>
      </w:r>
      <w:r>
        <w:rPr>
          <w:rFonts w:ascii="Times New Roman" w:hAnsi="Times New Roman" w:eastAsia="Times New Roman" w:cs="Times New Roman"/>
          <w:spacing w:val="2"/>
          <w:sz w:val="21"/>
          <w:szCs w:val="21"/>
        </w:rPr>
        <w:t>)</w:t>
      </w:r>
    </w:p>
    <w:p>
      <w:pPr>
        <w:spacing w:before="86" w:line="218" w:lineRule="auto"/>
        <w:ind w:left="139"/>
        <w:rPr>
          <w:rFonts w:ascii="仿宋" w:hAnsi="仿宋" w:eastAsia="仿宋" w:cs="仿宋"/>
          <w:sz w:val="21"/>
          <w:szCs w:val="21"/>
        </w:rPr>
      </w:pPr>
      <w:r>
        <w:rPr>
          <w:rFonts w:ascii="Times New Roman" w:hAnsi="Times New Roman" w:eastAsia="Times New Roman" w:cs="Times New Roman"/>
          <w:spacing w:val="-3"/>
          <w:sz w:val="21"/>
          <w:szCs w:val="21"/>
        </w:rPr>
        <w:t>VI.</w:t>
      </w:r>
      <w:r>
        <w:rPr>
          <w:rFonts w:ascii="Times New Roman" w:hAnsi="Times New Roman" w:eastAsia="Times New Roman" w:cs="Times New Roman"/>
          <w:spacing w:val="10"/>
          <w:sz w:val="21"/>
          <w:szCs w:val="21"/>
        </w:rPr>
        <w:t xml:space="preserve">  </w:t>
      </w:r>
      <w:r>
        <w:rPr>
          <w:rFonts w:ascii="仿宋" w:hAnsi="仿宋" w:eastAsia="仿宋" w:cs="仿宋"/>
          <w:spacing w:val="-3"/>
          <w:sz w:val="21"/>
          <w:szCs w:val="21"/>
        </w:rPr>
        <w:t>灌丛</w:t>
      </w:r>
    </w:p>
    <w:p>
      <w:pPr>
        <w:spacing w:before="63" w:line="216" w:lineRule="auto"/>
        <w:ind w:left="361"/>
        <w:rPr>
          <w:rFonts w:ascii="仿宋" w:hAnsi="仿宋" w:eastAsia="仿宋" w:cs="仿宋"/>
          <w:sz w:val="21"/>
          <w:szCs w:val="21"/>
        </w:rPr>
      </w:pPr>
      <w:r>
        <w:rPr>
          <w:rFonts w:ascii="仿宋" w:hAnsi="仿宋" w:eastAsia="仿宋" w:cs="仿宋"/>
          <w:spacing w:val="-2"/>
          <w:sz w:val="21"/>
          <w:szCs w:val="21"/>
        </w:rPr>
        <w:t>（</w:t>
      </w:r>
      <w:r>
        <w:rPr>
          <w:rFonts w:ascii="Times New Roman" w:hAnsi="Times New Roman" w:eastAsia="Times New Roman" w:cs="Times New Roman"/>
          <w:spacing w:val="-2"/>
          <w:sz w:val="21"/>
          <w:szCs w:val="21"/>
        </w:rPr>
        <w:t>I</w:t>
      </w:r>
      <w:r>
        <w:rPr>
          <w:rFonts w:ascii="仿宋" w:hAnsi="仿宋" w:eastAsia="仿宋" w:cs="仿宋"/>
          <w:spacing w:val="-2"/>
          <w:sz w:val="21"/>
          <w:szCs w:val="21"/>
        </w:rPr>
        <w:t>）暖性石灰岩灌丛</w:t>
      </w:r>
    </w:p>
    <w:p>
      <w:pPr>
        <w:spacing w:before="67" w:line="212" w:lineRule="auto"/>
        <w:ind w:left="1621"/>
        <w:rPr>
          <w:rFonts w:ascii="仿宋" w:hAnsi="仿宋" w:eastAsia="仿宋" w:cs="仿宋"/>
          <w:sz w:val="21"/>
          <w:szCs w:val="21"/>
        </w:rPr>
      </w:pPr>
      <w:r>
        <w:rPr>
          <w:rFonts w:ascii="仿宋" w:hAnsi="仿宋" w:eastAsia="仿宋" w:cs="仿宋"/>
          <w:spacing w:val="-1"/>
          <w:sz w:val="21"/>
          <w:szCs w:val="21"/>
        </w:rPr>
        <w:t>（一）铁仔灌丛（</w:t>
      </w:r>
      <w:r>
        <w:rPr>
          <w:rFonts w:ascii="Times New Roman" w:hAnsi="Times New Roman" w:eastAsia="Times New Roman" w:cs="Times New Roman"/>
          <w:spacing w:val="-1"/>
          <w:sz w:val="21"/>
          <w:szCs w:val="21"/>
        </w:rPr>
        <w:t xml:space="preserve">Form. </w:t>
      </w:r>
      <w:r>
        <w:rPr>
          <w:rFonts w:ascii="Times New Roman" w:hAnsi="Times New Roman" w:eastAsia="Times New Roman" w:cs="Times New Roman"/>
          <w:i/>
          <w:iCs/>
          <w:spacing w:val="-1"/>
          <w:sz w:val="21"/>
          <w:szCs w:val="21"/>
        </w:rPr>
        <w:t>Myrsine africana</w:t>
      </w:r>
      <w:r>
        <w:rPr>
          <w:rFonts w:ascii="仿宋" w:hAnsi="仿宋" w:eastAsia="仿宋" w:cs="仿宋"/>
          <w:spacing w:val="-1"/>
          <w:sz w:val="21"/>
          <w:szCs w:val="21"/>
        </w:rPr>
        <w:t>）</w:t>
      </w:r>
    </w:p>
    <w:p>
      <w:pPr>
        <w:spacing w:before="70" w:line="243" w:lineRule="auto"/>
        <w:ind w:left="152" w:right="395" w:firstLine="2634"/>
        <w:rPr>
          <w:rFonts w:ascii="仿宋" w:hAnsi="仿宋" w:eastAsia="仿宋" w:cs="仿宋"/>
          <w:sz w:val="21"/>
          <w:szCs w:val="21"/>
        </w:rPr>
      </w:pPr>
      <w:r>
        <w:rPr>
          <w:rFonts w:ascii="Times New Roman" w:hAnsi="Times New Roman" w:eastAsia="Times New Roman" w:cs="Times New Roman"/>
          <w:sz w:val="21"/>
          <w:szCs w:val="21"/>
        </w:rPr>
        <w:t xml:space="preserve">1.  </w:t>
      </w:r>
      <w:r>
        <w:rPr>
          <w:rFonts w:ascii="仿宋" w:hAnsi="仿宋" w:eastAsia="仿宋" w:cs="仿宋"/>
          <w:sz w:val="21"/>
          <w:szCs w:val="21"/>
        </w:rPr>
        <w:t>火棘、马桑、长尖叶蔷薇群落（</w:t>
      </w:r>
      <w:r>
        <w:rPr>
          <w:rFonts w:ascii="Times New Roman" w:hAnsi="Times New Roman" w:eastAsia="Times New Roman" w:cs="Times New Roman"/>
          <w:i/>
          <w:iCs/>
          <w:sz w:val="21"/>
          <w:szCs w:val="21"/>
        </w:rPr>
        <w:t>Pyracantha</w:t>
      </w:r>
      <w:r>
        <w:rPr>
          <w:rFonts w:ascii="Times New Roman" w:hAnsi="Times New Roman" w:eastAsia="Times New Roman" w:cs="Times New Roman"/>
          <w:i/>
          <w:iCs/>
          <w:spacing w:val="-25"/>
          <w:sz w:val="21"/>
          <w:szCs w:val="21"/>
        </w:rPr>
        <w:t xml:space="preserve"> </w:t>
      </w:r>
      <w:r>
        <w:rPr>
          <w:rFonts w:ascii="Times New Roman" w:hAnsi="Times New Roman" w:eastAsia="Times New Roman" w:cs="Times New Roman"/>
          <w:i/>
          <w:iCs/>
          <w:sz w:val="21"/>
          <w:szCs w:val="21"/>
        </w:rPr>
        <w:t>fortuneana</w:t>
      </w:r>
      <w:r>
        <w:rPr>
          <w:rFonts w:ascii="Times New Roman" w:hAnsi="Times New Roman" w:eastAsia="Times New Roman" w:cs="Times New Roman"/>
          <w:sz w:val="21"/>
          <w:szCs w:val="21"/>
        </w:rPr>
        <w:t xml:space="preserve">, </w:t>
      </w:r>
      <w:r>
        <w:rPr>
          <w:rFonts w:ascii="Times New Roman" w:hAnsi="Times New Roman" w:eastAsia="Times New Roman" w:cs="Times New Roman"/>
          <w:i/>
          <w:iCs/>
          <w:sz w:val="21"/>
          <w:szCs w:val="21"/>
        </w:rPr>
        <w:t>Coriaria nepalensis</w:t>
      </w:r>
      <w:r>
        <w:rPr>
          <w:rFonts w:ascii="Times New Roman" w:hAnsi="Times New Roman" w:eastAsia="Times New Roman" w:cs="Times New Roman"/>
          <w:sz w:val="21"/>
          <w:szCs w:val="21"/>
        </w:rPr>
        <w:t xml:space="preserve">, </w:t>
      </w:r>
      <w:r>
        <w:rPr>
          <w:rFonts w:ascii="Times New Roman" w:hAnsi="Times New Roman" w:eastAsia="Times New Roman" w:cs="Times New Roman"/>
          <w:i/>
          <w:iCs/>
          <w:sz w:val="21"/>
          <w:szCs w:val="21"/>
        </w:rPr>
        <w:t>Rosa lon</w:t>
      </w:r>
      <w:r>
        <w:rPr>
          <w:rFonts w:ascii="Times New Roman" w:hAnsi="Times New Roman" w:eastAsia="Times New Roman" w:cs="Times New Roman"/>
          <w:i/>
          <w:iCs/>
          <w:spacing w:val="-1"/>
          <w:sz w:val="21"/>
          <w:szCs w:val="21"/>
        </w:rPr>
        <w:t xml:space="preserve">gicuspis </w:t>
      </w:r>
      <w:r>
        <w:rPr>
          <w:rFonts w:ascii="Times New Roman" w:hAnsi="Times New Roman" w:eastAsia="Times New Roman" w:cs="Times New Roman"/>
          <w:spacing w:val="-1"/>
          <w:sz w:val="21"/>
          <w:szCs w:val="21"/>
        </w:rPr>
        <w:t>Comm.</w:t>
      </w:r>
      <w:r>
        <w:rPr>
          <w:rFonts w:ascii="仿宋" w:hAnsi="仿宋" w:eastAsia="仿宋" w:cs="仿宋"/>
          <w:spacing w:val="-1"/>
          <w:sz w:val="21"/>
          <w:szCs w:val="21"/>
        </w:rPr>
        <w:t>）</w:t>
      </w:r>
    </w:p>
    <w:p>
      <w:pPr>
        <w:spacing w:before="71" w:line="229" w:lineRule="auto"/>
        <w:ind w:left="1050"/>
        <w:rPr>
          <w:rFonts w:ascii="仿宋" w:hAnsi="仿宋" w:eastAsia="仿宋" w:cs="仿宋"/>
          <w:sz w:val="21"/>
          <w:szCs w:val="21"/>
        </w:rPr>
      </w:pPr>
      <w:r>
        <w:rPr>
          <w:rFonts w:ascii="仿宋" w:hAnsi="仿宋" w:eastAsia="仿宋" w:cs="仿宋"/>
          <w:spacing w:val="3"/>
          <w:sz w:val="21"/>
          <w:szCs w:val="21"/>
        </w:rPr>
        <w:t>（二）车桑子灌丛（</w:t>
      </w:r>
      <w:r>
        <w:rPr>
          <w:rFonts w:ascii="Times New Roman" w:hAnsi="Times New Roman" w:eastAsia="Times New Roman" w:cs="Times New Roman"/>
          <w:sz w:val="21"/>
          <w:szCs w:val="21"/>
        </w:rPr>
        <w:t>Form</w:t>
      </w:r>
      <w:r>
        <w:rPr>
          <w:rFonts w:ascii="Times New Roman" w:hAnsi="Times New Roman" w:eastAsia="Times New Roman" w:cs="Times New Roman"/>
          <w:spacing w:val="3"/>
          <w:sz w:val="21"/>
          <w:szCs w:val="21"/>
        </w:rPr>
        <w:t>.</w:t>
      </w:r>
      <w:r>
        <w:rPr>
          <w:rFonts w:ascii="Times New Roman" w:hAnsi="Times New Roman" w:eastAsia="Times New Roman" w:cs="Times New Roman"/>
          <w:i/>
          <w:iCs/>
          <w:sz w:val="21"/>
          <w:szCs w:val="21"/>
        </w:rPr>
        <w:t>Dodonaea</w:t>
      </w:r>
      <w:r>
        <w:rPr>
          <w:rFonts w:ascii="Times New Roman" w:hAnsi="Times New Roman" w:eastAsia="Times New Roman" w:cs="Times New Roman"/>
          <w:i/>
          <w:iCs/>
          <w:spacing w:val="3"/>
          <w:sz w:val="21"/>
          <w:szCs w:val="21"/>
        </w:rPr>
        <w:t xml:space="preserve"> </w:t>
      </w:r>
      <w:r>
        <w:rPr>
          <w:rFonts w:ascii="Times New Roman" w:hAnsi="Times New Roman" w:eastAsia="Times New Roman" w:cs="Times New Roman"/>
          <w:i/>
          <w:iCs/>
          <w:sz w:val="21"/>
          <w:szCs w:val="21"/>
        </w:rPr>
        <w:t>viscosa</w:t>
      </w:r>
      <w:r>
        <w:rPr>
          <w:rFonts w:ascii="仿宋" w:hAnsi="仿宋" w:eastAsia="仿宋" w:cs="仿宋"/>
          <w:spacing w:val="3"/>
          <w:sz w:val="21"/>
          <w:szCs w:val="21"/>
        </w:rPr>
        <w:t>）</w:t>
      </w:r>
    </w:p>
    <w:p>
      <w:pPr>
        <w:spacing w:before="51" w:line="229" w:lineRule="auto"/>
        <w:ind w:left="1943"/>
        <w:rPr>
          <w:rFonts w:ascii="仿宋" w:hAnsi="仿宋" w:eastAsia="仿宋" w:cs="仿宋"/>
          <w:sz w:val="21"/>
          <w:szCs w:val="21"/>
        </w:rPr>
      </w:pPr>
      <w:r>
        <w:rPr>
          <w:rFonts w:ascii="Times New Roman" w:hAnsi="Times New Roman" w:eastAsia="Times New Roman" w:cs="Times New Roman"/>
          <w:sz w:val="21"/>
          <w:szCs w:val="21"/>
        </w:rPr>
        <w:t xml:space="preserve">2.  </w:t>
      </w:r>
      <w:r>
        <w:rPr>
          <w:rFonts w:ascii="仿宋" w:hAnsi="仿宋" w:eastAsia="仿宋" w:cs="仿宋"/>
          <w:sz w:val="21"/>
          <w:szCs w:val="21"/>
        </w:rPr>
        <w:t>车桑子群落（</w:t>
      </w:r>
      <w:r>
        <w:rPr>
          <w:rFonts w:ascii="Times New Roman" w:hAnsi="Times New Roman" w:eastAsia="Times New Roman" w:cs="Times New Roman"/>
          <w:i/>
          <w:iCs/>
          <w:sz w:val="21"/>
          <w:szCs w:val="21"/>
        </w:rPr>
        <w:t xml:space="preserve">Dodonaea viscosa </w:t>
      </w:r>
      <w:r>
        <w:rPr>
          <w:rFonts w:ascii="Times New Roman" w:hAnsi="Times New Roman" w:eastAsia="Times New Roman" w:cs="Times New Roman"/>
          <w:sz w:val="21"/>
          <w:szCs w:val="21"/>
        </w:rPr>
        <w:t>C</w:t>
      </w:r>
      <w:r>
        <w:rPr>
          <w:rFonts w:ascii="Times New Roman" w:hAnsi="Times New Roman" w:eastAsia="Times New Roman" w:cs="Times New Roman"/>
          <w:spacing w:val="-1"/>
          <w:sz w:val="21"/>
          <w:szCs w:val="21"/>
        </w:rPr>
        <w:t>omm.</w:t>
      </w:r>
      <w:r>
        <w:rPr>
          <w:rFonts w:ascii="仿宋" w:hAnsi="仿宋" w:eastAsia="仿宋" w:cs="仿宋"/>
          <w:spacing w:val="-1"/>
          <w:sz w:val="21"/>
          <w:szCs w:val="21"/>
        </w:rPr>
        <w:t>）</w:t>
      </w:r>
    </w:p>
    <w:p>
      <w:pPr>
        <w:spacing w:before="42" w:line="408" w:lineRule="exact"/>
        <w:ind w:right="30"/>
        <w:jc w:val="right"/>
        <w:rPr>
          <w:rFonts w:ascii="宋体" w:hAnsi="宋体" w:eastAsia="宋体" w:cs="宋体"/>
          <w:sz w:val="21"/>
          <w:szCs w:val="21"/>
        </w:rPr>
      </w:pPr>
      <w:r>
        <w:rPr>
          <w:rFonts w:ascii="Times New Roman" w:hAnsi="Times New Roman" w:eastAsia="Times New Roman" w:cs="Times New Roman"/>
          <w:b/>
          <w:bCs/>
          <w:spacing w:val="-2"/>
          <w:position w:val="15"/>
          <w:sz w:val="21"/>
          <w:szCs w:val="21"/>
        </w:rPr>
        <w:t>I</w:t>
      </w:r>
      <w:r>
        <w:rPr>
          <w:rFonts w:ascii="Times New Roman" w:hAnsi="Times New Roman" w:eastAsia="Times New Roman" w:cs="Times New Roman"/>
          <w:b/>
          <w:bCs/>
          <w:spacing w:val="-30"/>
          <w:position w:val="15"/>
          <w:sz w:val="21"/>
          <w:szCs w:val="21"/>
        </w:rPr>
        <w:t xml:space="preserve"> </w:t>
      </w:r>
      <w:r>
        <w:rPr>
          <w:rFonts w:ascii="宋体" w:hAnsi="宋体" w:eastAsia="宋体" w:cs="宋体"/>
          <w:spacing w:val="-2"/>
          <w:position w:val="15"/>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2"/>
          <w:position w:val="15"/>
          <w:sz w:val="21"/>
          <w:szCs w:val="21"/>
        </w:rPr>
        <w:t>II</w:t>
      </w:r>
      <w:r>
        <w:rPr>
          <w:rFonts w:ascii="Times New Roman" w:hAnsi="Times New Roman" w:eastAsia="Times New Roman" w:cs="Times New Roman"/>
          <w:b/>
          <w:bCs/>
          <w:spacing w:val="-29"/>
          <w:position w:val="15"/>
          <w:sz w:val="21"/>
          <w:szCs w:val="21"/>
        </w:rPr>
        <w:t xml:space="preserve"> </w:t>
      </w:r>
      <w:r>
        <w:rPr>
          <w:rFonts w:ascii="宋体" w:hAnsi="宋体" w:eastAsia="宋体" w:cs="宋体"/>
          <w:spacing w:val="-2"/>
          <w:position w:val="15"/>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2"/>
          <w:position w:val="15"/>
          <w:sz w:val="21"/>
          <w:szCs w:val="21"/>
        </w:rPr>
        <w:t>III</w:t>
      </w:r>
      <w:r>
        <w:rPr>
          <w:rFonts w:ascii="Times New Roman" w:hAnsi="Times New Roman" w:eastAsia="Times New Roman" w:cs="Times New Roman"/>
          <w:b/>
          <w:bCs/>
          <w:spacing w:val="-30"/>
          <w:position w:val="15"/>
          <w:sz w:val="21"/>
          <w:szCs w:val="21"/>
        </w:rPr>
        <w:t xml:space="preserve"> </w:t>
      </w:r>
      <w:r>
        <w:rPr>
          <w:rFonts w:ascii="宋体" w:hAnsi="宋体" w:eastAsia="宋体" w:cs="宋体"/>
          <w:spacing w:val="-2"/>
          <w:position w:val="15"/>
          <w:sz w:val="21"/>
          <w:szCs w:val="21"/>
          <w14:textOutline w14:w="3810" w14:cap="flat" w14:cmpd="sng">
            <w14:solidFill>
              <w14:srgbClr w14:val="000000"/>
            </w14:solidFill>
            <w14:prstDash w14:val="solid"/>
            <w14:miter w14:val="0"/>
          </w14:textOutline>
        </w:rPr>
        <w:t>、</w:t>
      </w:r>
      <w:r>
        <w:rPr>
          <w:rFonts w:ascii="宋体" w:hAnsi="宋体" w:eastAsia="宋体" w:cs="宋体"/>
          <w:spacing w:val="-81"/>
          <w:position w:val="15"/>
          <w:sz w:val="21"/>
          <w:szCs w:val="21"/>
        </w:rPr>
        <w:t xml:space="preserve"> </w:t>
      </w:r>
      <w:r>
        <w:rPr>
          <w:rFonts w:ascii="宋体" w:hAnsi="宋体" w:eastAsia="宋体" w:cs="宋体"/>
          <w:spacing w:val="-2"/>
          <w:position w:val="15"/>
          <w:sz w:val="21"/>
          <w:szCs w:val="21"/>
          <w14:textOutline w14:w="3810" w14:cap="flat" w14:cmpd="sng">
            <w14:solidFill>
              <w14:srgbClr w14:val="000000"/>
            </w14:solidFill>
            <w14:prstDash w14:val="solid"/>
            <w14:miter w14:val="0"/>
          </w14:textOutline>
        </w:rPr>
        <w:t>…植被型；</w:t>
      </w:r>
      <w:r>
        <w:rPr>
          <w:rFonts w:ascii="Times New Roman" w:hAnsi="Times New Roman" w:eastAsia="Times New Roman" w:cs="Times New Roman"/>
          <w:b/>
          <w:bCs/>
          <w:spacing w:val="-2"/>
          <w:position w:val="15"/>
          <w:sz w:val="21"/>
          <w:szCs w:val="21"/>
        </w:rPr>
        <w:t>(I)</w:t>
      </w:r>
      <w:r>
        <w:rPr>
          <w:rFonts w:ascii="Times New Roman" w:hAnsi="Times New Roman" w:eastAsia="Times New Roman" w:cs="Times New Roman"/>
          <w:b/>
          <w:bCs/>
          <w:spacing w:val="-30"/>
          <w:position w:val="15"/>
          <w:sz w:val="21"/>
          <w:szCs w:val="21"/>
        </w:rPr>
        <w:t xml:space="preserve"> </w:t>
      </w:r>
      <w:r>
        <w:rPr>
          <w:rFonts w:ascii="宋体" w:hAnsi="宋体" w:eastAsia="宋体" w:cs="宋体"/>
          <w:spacing w:val="-2"/>
          <w:position w:val="15"/>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2"/>
          <w:position w:val="15"/>
          <w:sz w:val="21"/>
          <w:szCs w:val="21"/>
        </w:rPr>
        <w:t>(II)</w:t>
      </w:r>
      <w:r>
        <w:rPr>
          <w:rFonts w:ascii="Times New Roman" w:hAnsi="Times New Roman" w:eastAsia="Times New Roman" w:cs="Times New Roman"/>
          <w:b/>
          <w:bCs/>
          <w:spacing w:val="-29"/>
          <w:position w:val="15"/>
          <w:sz w:val="21"/>
          <w:szCs w:val="21"/>
        </w:rPr>
        <w:t xml:space="preserve"> </w:t>
      </w:r>
      <w:r>
        <w:rPr>
          <w:rFonts w:ascii="宋体" w:hAnsi="宋体" w:eastAsia="宋体" w:cs="宋体"/>
          <w:spacing w:val="-2"/>
          <w:position w:val="15"/>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2"/>
          <w:position w:val="15"/>
          <w:sz w:val="21"/>
          <w:szCs w:val="21"/>
        </w:rPr>
        <w:t>(II</w:t>
      </w:r>
      <w:r>
        <w:rPr>
          <w:rFonts w:ascii="Times New Roman" w:hAnsi="Times New Roman" w:eastAsia="Times New Roman" w:cs="Times New Roman"/>
          <w:b/>
          <w:bCs/>
          <w:spacing w:val="-3"/>
          <w:position w:val="15"/>
          <w:sz w:val="21"/>
          <w:szCs w:val="21"/>
        </w:rPr>
        <w:t>I)</w:t>
      </w:r>
      <w:r>
        <w:rPr>
          <w:rFonts w:ascii="Times New Roman" w:hAnsi="Times New Roman" w:eastAsia="Times New Roman" w:cs="Times New Roman"/>
          <w:b/>
          <w:bCs/>
          <w:spacing w:val="-29"/>
          <w:position w:val="15"/>
          <w:sz w:val="21"/>
          <w:szCs w:val="21"/>
        </w:rPr>
        <w:t xml:space="preserve"> </w:t>
      </w:r>
      <w:r>
        <w:rPr>
          <w:rFonts w:ascii="宋体" w:hAnsi="宋体" w:eastAsia="宋体" w:cs="宋体"/>
          <w:spacing w:val="-3"/>
          <w:position w:val="15"/>
          <w:sz w:val="21"/>
          <w:szCs w:val="21"/>
          <w14:textOutline w14:w="3810" w14:cap="flat" w14:cmpd="sng">
            <w14:solidFill>
              <w14:srgbClr w14:val="000000"/>
            </w14:solidFill>
            <w14:prstDash w14:val="solid"/>
            <w14:miter w14:val="0"/>
          </w14:textOutline>
        </w:rPr>
        <w:t>、…植被亚型；一、二、三、…群系组；</w:t>
      </w:r>
      <w:r>
        <w:rPr>
          <w:rFonts w:ascii="Times New Roman" w:hAnsi="Times New Roman" w:eastAsia="Times New Roman" w:cs="Times New Roman"/>
          <w:b/>
          <w:bCs/>
          <w:spacing w:val="-3"/>
          <w:position w:val="15"/>
          <w:sz w:val="21"/>
          <w:szCs w:val="21"/>
        </w:rPr>
        <w:t>(</w:t>
      </w:r>
      <w:r>
        <w:rPr>
          <w:rFonts w:ascii="宋体" w:hAnsi="宋体" w:eastAsia="宋体" w:cs="宋体"/>
          <w:spacing w:val="-3"/>
          <w:position w:val="15"/>
          <w:sz w:val="21"/>
          <w:szCs w:val="21"/>
          <w14:textOutline w14:w="3810" w14:cap="flat" w14:cmpd="sng">
            <w14:solidFill>
              <w14:srgbClr w14:val="000000"/>
            </w14:solidFill>
            <w14:prstDash w14:val="solid"/>
            <w14:miter w14:val="0"/>
          </w14:textOutline>
        </w:rPr>
        <w:t>一</w:t>
      </w:r>
      <w:r>
        <w:rPr>
          <w:rFonts w:ascii="Times New Roman" w:hAnsi="Times New Roman" w:eastAsia="Times New Roman" w:cs="Times New Roman"/>
          <w:b/>
          <w:bCs/>
          <w:spacing w:val="-3"/>
          <w:position w:val="15"/>
          <w:sz w:val="21"/>
          <w:szCs w:val="21"/>
        </w:rPr>
        <w:t>)</w:t>
      </w:r>
      <w:r>
        <w:rPr>
          <w:rFonts w:ascii="宋体" w:hAnsi="宋体" w:eastAsia="宋体" w:cs="宋体"/>
          <w:spacing w:val="-3"/>
          <w:position w:val="15"/>
          <w:sz w:val="21"/>
          <w:szCs w:val="21"/>
          <w14:textOutline w14:w="3810" w14:cap="flat" w14:cmpd="sng">
            <w14:solidFill>
              <w14:srgbClr w14:val="000000"/>
            </w14:solidFill>
            <w14:prstDash w14:val="solid"/>
            <w14:miter w14:val="0"/>
          </w14:textOutline>
        </w:rPr>
        <w:t>、</w:t>
      </w:r>
    </w:p>
    <w:p>
      <w:pPr>
        <w:spacing w:line="215" w:lineRule="auto"/>
        <w:ind w:left="38"/>
        <w:rPr>
          <w:rFonts w:ascii="宋体" w:hAnsi="宋体" w:eastAsia="宋体" w:cs="宋体"/>
          <w:sz w:val="21"/>
          <w:szCs w:val="21"/>
        </w:rPr>
      </w:pPr>
      <w:r>
        <w:rPr>
          <w:rFonts w:ascii="Times New Roman" w:hAnsi="Times New Roman" w:eastAsia="Times New Roman" w:cs="Times New Roman"/>
          <w:b/>
          <w:bCs/>
          <w:spacing w:val="-9"/>
          <w:sz w:val="21"/>
          <w:szCs w:val="21"/>
        </w:rPr>
        <w:t>(</w:t>
      </w:r>
      <w:r>
        <w:rPr>
          <w:rFonts w:ascii="宋体" w:hAnsi="宋体" w:eastAsia="宋体" w:cs="宋体"/>
          <w:spacing w:val="-9"/>
          <w:sz w:val="21"/>
          <w:szCs w:val="21"/>
          <w14:textOutline w14:w="3810" w14:cap="flat" w14:cmpd="sng">
            <w14:solidFill>
              <w14:srgbClr w14:val="000000"/>
            </w14:solidFill>
            <w14:prstDash w14:val="solid"/>
            <w14:miter w14:val="0"/>
          </w14:textOutline>
        </w:rPr>
        <w:t>二</w:t>
      </w:r>
      <w:r>
        <w:rPr>
          <w:rFonts w:ascii="Times New Roman" w:hAnsi="Times New Roman" w:eastAsia="Times New Roman" w:cs="Times New Roman"/>
          <w:b/>
          <w:bCs/>
          <w:spacing w:val="-9"/>
          <w:sz w:val="21"/>
          <w:szCs w:val="21"/>
        </w:rPr>
        <w:t>)</w:t>
      </w:r>
      <w:r>
        <w:rPr>
          <w:rFonts w:ascii="Times New Roman" w:hAnsi="Times New Roman" w:eastAsia="Times New Roman" w:cs="Times New Roman"/>
          <w:b/>
          <w:bCs/>
          <w:spacing w:val="-14"/>
          <w:sz w:val="21"/>
          <w:szCs w:val="21"/>
        </w:rPr>
        <w:t xml:space="preserve"> </w:t>
      </w:r>
      <w:r>
        <w:rPr>
          <w:rFonts w:ascii="宋体" w:hAnsi="宋体" w:eastAsia="宋体" w:cs="宋体"/>
          <w:spacing w:val="-9"/>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9"/>
          <w:sz w:val="21"/>
          <w:szCs w:val="21"/>
        </w:rPr>
        <w:t>(</w:t>
      </w:r>
      <w:r>
        <w:rPr>
          <w:rFonts w:ascii="宋体" w:hAnsi="宋体" w:eastAsia="宋体" w:cs="宋体"/>
          <w:spacing w:val="-9"/>
          <w:sz w:val="21"/>
          <w:szCs w:val="21"/>
          <w14:textOutline w14:w="3810" w14:cap="flat" w14:cmpd="sng">
            <w14:solidFill>
              <w14:srgbClr w14:val="000000"/>
            </w14:solidFill>
            <w14:prstDash w14:val="solid"/>
            <w14:miter w14:val="0"/>
          </w14:textOutline>
        </w:rPr>
        <w:t>三</w:t>
      </w:r>
      <w:r>
        <w:rPr>
          <w:rFonts w:ascii="Times New Roman" w:hAnsi="Times New Roman" w:eastAsia="Times New Roman" w:cs="Times New Roman"/>
          <w:b/>
          <w:bCs/>
          <w:spacing w:val="-9"/>
          <w:sz w:val="21"/>
          <w:szCs w:val="21"/>
        </w:rPr>
        <w:t>)</w:t>
      </w:r>
      <w:r>
        <w:rPr>
          <w:rFonts w:ascii="Times New Roman" w:hAnsi="Times New Roman" w:eastAsia="Times New Roman" w:cs="Times New Roman"/>
          <w:b/>
          <w:bCs/>
          <w:spacing w:val="-30"/>
          <w:sz w:val="21"/>
          <w:szCs w:val="21"/>
        </w:rPr>
        <w:t xml:space="preserve"> </w:t>
      </w:r>
      <w:r>
        <w:rPr>
          <w:rFonts w:ascii="宋体" w:hAnsi="宋体" w:eastAsia="宋体" w:cs="宋体"/>
          <w:spacing w:val="-9"/>
          <w:sz w:val="21"/>
          <w:szCs w:val="21"/>
          <w14:textOutline w14:w="3810" w14:cap="flat" w14:cmpd="sng">
            <w14:solidFill>
              <w14:srgbClr w14:val="000000"/>
            </w14:solidFill>
            <w14:prstDash w14:val="solid"/>
            <w14:miter w14:val="0"/>
          </w14:textOutline>
        </w:rPr>
        <w:t>、…群系；</w:t>
      </w:r>
      <w:r>
        <w:rPr>
          <w:rFonts w:ascii="宋体" w:hAnsi="宋体" w:eastAsia="宋体" w:cs="宋体"/>
          <w:spacing w:val="-9"/>
          <w:sz w:val="21"/>
          <w:szCs w:val="21"/>
        </w:rPr>
        <w:t xml:space="preserve"> </w:t>
      </w:r>
      <w:r>
        <w:rPr>
          <w:rFonts w:ascii="Times New Roman" w:hAnsi="Times New Roman" w:eastAsia="Times New Roman" w:cs="Times New Roman"/>
          <w:b/>
          <w:bCs/>
          <w:spacing w:val="-9"/>
          <w:sz w:val="21"/>
          <w:szCs w:val="21"/>
        </w:rPr>
        <w:t>1.</w:t>
      </w:r>
      <w:r>
        <w:rPr>
          <w:rFonts w:ascii="Times New Roman" w:hAnsi="Times New Roman" w:eastAsia="Times New Roman" w:cs="Times New Roman"/>
          <w:b/>
          <w:bCs/>
          <w:spacing w:val="-29"/>
          <w:sz w:val="21"/>
          <w:szCs w:val="21"/>
        </w:rPr>
        <w:t xml:space="preserve"> </w:t>
      </w:r>
      <w:r>
        <w:rPr>
          <w:rFonts w:ascii="宋体" w:hAnsi="宋体" w:eastAsia="宋体" w:cs="宋体"/>
          <w:spacing w:val="-9"/>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9"/>
          <w:sz w:val="21"/>
          <w:szCs w:val="21"/>
        </w:rPr>
        <w:t>2.</w:t>
      </w:r>
      <w:r>
        <w:rPr>
          <w:rFonts w:ascii="Times New Roman" w:hAnsi="Times New Roman" w:eastAsia="Times New Roman" w:cs="Times New Roman"/>
          <w:b/>
          <w:bCs/>
          <w:spacing w:val="-30"/>
          <w:sz w:val="21"/>
          <w:szCs w:val="21"/>
        </w:rPr>
        <w:t xml:space="preserve"> </w:t>
      </w:r>
      <w:r>
        <w:rPr>
          <w:rFonts w:ascii="宋体" w:hAnsi="宋体" w:eastAsia="宋体" w:cs="宋体"/>
          <w:spacing w:val="-9"/>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9"/>
          <w:sz w:val="21"/>
          <w:szCs w:val="21"/>
        </w:rPr>
        <w:t>3.</w:t>
      </w:r>
      <w:r>
        <w:rPr>
          <w:rFonts w:ascii="Times New Roman" w:hAnsi="Times New Roman" w:eastAsia="Times New Roman" w:cs="Times New Roman"/>
          <w:b/>
          <w:bCs/>
          <w:spacing w:val="-29"/>
          <w:sz w:val="21"/>
          <w:szCs w:val="21"/>
        </w:rPr>
        <w:t xml:space="preserve"> </w:t>
      </w:r>
      <w:r>
        <w:rPr>
          <w:rFonts w:ascii="宋体" w:hAnsi="宋体" w:eastAsia="宋体" w:cs="宋体"/>
          <w:spacing w:val="-9"/>
          <w:sz w:val="21"/>
          <w:szCs w:val="21"/>
          <w14:textOutline w14:w="3810" w14:cap="flat" w14:cmpd="sng">
            <w14:solidFill>
              <w14:srgbClr w14:val="000000"/>
            </w14:solidFill>
            <w14:prstDash w14:val="solid"/>
            <w14:miter w14:val="0"/>
          </w14:textOutline>
        </w:rPr>
        <w:t>、…群丛。</w:t>
      </w:r>
    </w:p>
    <w:p>
      <w:pPr>
        <w:spacing w:before="170"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现场植被类型调查</w:t>
      </w:r>
    </w:p>
    <w:p>
      <w:pPr>
        <w:spacing w:before="163" w:line="220" w:lineRule="auto"/>
        <w:ind w:left="520"/>
        <w:rPr>
          <w:rFonts w:ascii="宋体" w:hAnsi="宋体" w:eastAsia="宋体" w:cs="宋体"/>
          <w:sz w:val="24"/>
          <w:szCs w:val="24"/>
        </w:rPr>
      </w:pPr>
      <w:r>
        <w:rPr>
          <w:rFonts w:ascii="宋体" w:hAnsi="宋体" w:eastAsia="宋体" w:cs="宋体"/>
          <w:spacing w:val="-6"/>
          <w:sz w:val="24"/>
          <w:szCs w:val="24"/>
        </w:rPr>
        <w:t>植被类型调查结果如下表：</w:t>
      </w:r>
    </w:p>
    <w:p>
      <w:pPr>
        <w:spacing w:before="275" w:line="218" w:lineRule="auto"/>
        <w:ind w:left="2733"/>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0"/>
          <w:sz w:val="21"/>
          <w:szCs w:val="21"/>
        </w:rPr>
        <w:t xml:space="preserve"> </w:t>
      </w:r>
      <w:r>
        <w:rPr>
          <w:rFonts w:ascii="Times New Roman" w:hAnsi="Times New Roman" w:eastAsia="Times New Roman" w:cs="Times New Roman"/>
          <w:b/>
          <w:bCs/>
          <w:spacing w:val="-1"/>
          <w:sz w:val="21"/>
          <w:szCs w:val="21"/>
        </w:rPr>
        <w:t xml:space="preserve">3.2-21    </w:t>
      </w:r>
      <w:r>
        <w:rPr>
          <w:rFonts w:ascii="宋体" w:hAnsi="宋体" w:eastAsia="宋体" w:cs="宋体"/>
          <w:spacing w:val="-1"/>
          <w:sz w:val="21"/>
          <w:szCs w:val="21"/>
          <w14:textOutline w14:w="3810" w14:cap="flat" w14:cmpd="sng">
            <w14:solidFill>
              <w14:srgbClr w14:val="000000"/>
            </w14:solidFill>
            <w14:prstDash w14:val="solid"/>
            <w14:miter w14:val="0"/>
          </w14:textOutline>
        </w:rPr>
        <w:t>评价区植被类型占地面积</w:t>
      </w:r>
    </w:p>
    <w:p>
      <w:pPr>
        <w:spacing w:line="90" w:lineRule="exact"/>
      </w:pPr>
    </w:p>
    <w:tbl>
      <w:tblPr>
        <w:tblStyle w:val="5"/>
        <w:tblW w:w="8307"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1325"/>
        <w:gridCol w:w="1182"/>
        <w:gridCol w:w="3188"/>
        <w:gridCol w:w="999"/>
        <w:gridCol w:w="8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1" w:hRule="atLeast"/>
        </w:trPr>
        <w:tc>
          <w:tcPr>
            <w:tcW w:w="742" w:type="dxa"/>
            <w:tcBorders>
              <w:top w:val="single" w:color="000000" w:sz="12" w:space="0"/>
              <w:left w:val="nil"/>
            </w:tcBorders>
            <w:vAlign w:val="top"/>
          </w:tcPr>
          <w:p>
            <w:pPr>
              <w:spacing w:line="368" w:lineRule="auto"/>
              <w:rPr>
                <w:rFonts w:ascii="Arial"/>
                <w:sz w:val="21"/>
              </w:rPr>
            </w:pPr>
          </w:p>
          <w:p>
            <w:pPr>
              <w:spacing w:before="69" w:line="239" w:lineRule="auto"/>
              <w:ind w:left="12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植被</w:t>
            </w:r>
          </w:p>
          <w:p>
            <w:pPr>
              <w:spacing w:before="1" w:line="215" w:lineRule="auto"/>
              <w:ind w:left="12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属性</w:t>
            </w:r>
          </w:p>
        </w:tc>
        <w:tc>
          <w:tcPr>
            <w:tcW w:w="1325" w:type="dxa"/>
            <w:tcBorders>
              <w:top w:val="single" w:color="000000" w:sz="12" w:space="0"/>
            </w:tcBorders>
            <w:vAlign w:val="top"/>
          </w:tcPr>
          <w:p>
            <w:pPr>
              <w:spacing w:line="251" w:lineRule="auto"/>
              <w:rPr>
                <w:rFonts w:ascii="Arial"/>
                <w:sz w:val="21"/>
              </w:rPr>
            </w:pPr>
          </w:p>
          <w:p>
            <w:pPr>
              <w:spacing w:line="252" w:lineRule="auto"/>
              <w:rPr>
                <w:rFonts w:ascii="Arial"/>
                <w:sz w:val="21"/>
              </w:rPr>
            </w:pPr>
          </w:p>
          <w:p>
            <w:pPr>
              <w:spacing w:before="68" w:line="218" w:lineRule="auto"/>
              <w:ind w:left="249"/>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植被亚型</w:t>
            </w:r>
          </w:p>
        </w:tc>
        <w:tc>
          <w:tcPr>
            <w:tcW w:w="1182" w:type="dxa"/>
            <w:tcBorders>
              <w:top w:val="single" w:color="000000" w:sz="12" w:space="0"/>
            </w:tcBorders>
            <w:vAlign w:val="top"/>
          </w:tcPr>
          <w:p>
            <w:pPr>
              <w:spacing w:line="251" w:lineRule="auto"/>
              <w:rPr>
                <w:rFonts w:ascii="Arial"/>
                <w:sz w:val="21"/>
              </w:rPr>
            </w:pPr>
          </w:p>
          <w:p>
            <w:pPr>
              <w:spacing w:line="252" w:lineRule="auto"/>
              <w:rPr>
                <w:rFonts w:ascii="Arial"/>
                <w:sz w:val="21"/>
              </w:rPr>
            </w:pPr>
          </w:p>
          <w:p>
            <w:pPr>
              <w:spacing w:before="68" w:line="218" w:lineRule="auto"/>
              <w:ind w:left="39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群系</w:t>
            </w:r>
          </w:p>
        </w:tc>
        <w:tc>
          <w:tcPr>
            <w:tcW w:w="3188" w:type="dxa"/>
            <w:tcBorders>
              <w:top w:val="single" w:color="000000" w:sz="12" w:space="0"/>
            </w:tcBorders>
            <w:vAlign w:val="top"/>
          </w:tcPr>
          <w:p>
            <w:pPr>
              <w:spacing w:line="251" w:lineRule="auto"/>
              <w:rPr>
                <w:rFonts w:ascii="Arial"/>
                <w:sz w:val="21"/>
              </w:rPr>
            </w:pPr>
          </w:p>
          <w:p>
            <w:pPr>
              <w:spacing w:line="251" w:lineRule="auto"/>
              <w:rPr>
                <w:rFonts w:ascii="Arial"/>
                <w:sz w:val="21"/>
              </w:rPr>
            </w:pPr>
          </w:p>
          <w:p>
            <w:pPr>
              <w:spacing w:before="69" w:line="216" w:lineRule="auto"/>
              <w:ind w:left="118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分布情况</w:t>
            </w:r>
          </w:p>
        </w:tc>
        <w:tc>
          <w:tcPr>
            <w:tcW w:w="999" w:type="dxa"/>
            <w:tcBorders>
              <w:top w:val="single" w:color="000000" w:sz="12" w:space="0"/>
            </w:tcBorders>
            <w:vAlign w:val="top"/>
          </w:tcPr>
          <w:p>
            <w:pPr>
              <w:spacing w:line="367" w:lineRule="auto"/>
              <w:rPr>
                <w:rFonts w:ascii="Arial"/>
                <w:sz w:val="21"/>
              </w:rPr>
            </w:pPr>
          </w:p>
          <w:p>
            <w:pPr>
              <w:pStyle w:val="6"/>
              <w:spacing w:before="68" w:line="243" w:lineRule="auto"/>
              <w:ind w:left="117" w:right="120" w:firstLine="185"/>
              <w:rPr>
                <w:rFonts w:ascii="仿宋" w:hAnsi="仿宋" w:eastAsia="仿宋" w:cs="仿宋"/>
              </w:rPr>
            </w:pPr>
            <w:r>
              <w:rPr>
                <w:rFonts w:ascii="仿宋" w:hAnsi="仿宋" w:eastAsia="仿宋" w:cs="仿宋"/>
                <w:spacing w:val="-9"/>
                <w14:textOutline w14:w="3810" w14:cap="flat" w14:cmpd="sng">
                  <w14:solidFill>
                    <w14:srgbClr w14:val="000000"/>
                  </w14:solidFill>
                  <w14:prstDash w14:val="solid"/>
                  <w14:miter w14:val="0"/>
                </w14:textOutline>
              </w:rPr>
              <w:t>面积</w:t>
            </w:r>
            <w:r>
              <w:rPr>
                <w:rFonts w:ascii="仿宋" w:hAnsi="仿宋" w:eastAsia="仿宋" w:cs="仿宋"/>
              </w:rPr>
              <w:t xml:space="preserve">  </w:t>
            </w:r>
            <w:r>
              <w:rPr>
                <w:rFonts w:ascii="仿宋" w:hAnsi="仿宋" w:eastAsia="仿宋" w:cs="仿宋"/>
                <w:spacing w:val="-6"/>
                <w14:textOutline w14:w="3810" w14:cap="flat" w14:cmpd="sng">
                  <w14:solidFill>
                    <w14:srgbClr w14:val="000000"/>
                  </w14:solidFill>
                  <w14:prstDash w14:val="solid"/>
                  <w14:miter w14:val="0"/>
                </w14:textOutline>
              </w:rPr>
              <w:t>（</w:t>
            </w:r>
            <w:r>
              <w:rPr>
                <w:b/>
                <w:bCs/>
                <w:spacing w:val="-6"/>
              </w:rPr>
              <w:t>hm</w:t>
            </w:r>
            <w:r>
              <w:rPr>
                <w:b/>
                <w:bCs/>
                <w:spacing w:val="-6"/>
                <w:position w:val="6"/>
                <w:sz w:val="14"/>
                <w:szCs w:val="14"/>
              </w:rPr>
              <w:t>2</w:t>
            </w:r>
            <w:r>
              <w:rPr>
                <w:rFonts w:ascii="仿宋" w:hAnsi="仿宋" w:eastAsia="仿宋" w:cs="仿宋"/>
                <w:spacing w:val="-6"/>
                <w14:textOutline w14:w="3810" w14:cap="flat" w14:cmpd="sng">
                  <w14:solidFill>
                    <w14:srgbClr w14:val="000000"/>
                  </w14:solidFill>
                  <w14:prstDash w14:val="solid"/>
                  <w14:miter w14:val="0"/>
                </w14:textOutline>
              </w:rPr>
              <w:t>）</w:t>
            </w:r>
          </w:p>
        </w:tc>
        <w:tc>
          <w:tcPr>
            <w:tcW w:w="871" w:type="dxa"/>
            <w:tcBorders>
              <w:top w:val="single" w:color="000000" w:sz="12" w:space="0"/>
              <w:right w:val="nil"/>
            </w:tcBorders>
            <w:vAlign w:val="top"/>
          </w:tcPr>
          <w:p>
            <w:pPr>
              <w:spacing w:before="30" w:line="218" w:lineRule="auto"/>
              <w:ind w:left="166"/>
              <w:rPr>
                <w:rFonts w:ascii="仿宋" w:hAnsi="仿宋" w:eastAsia="仿宋" w:cs="仿宋"/>
                <w:sz w:val="21"/>
                <w:szCs w:val="21"/>
              </w:rPr>
            </w:pPr>
            <w:r>
              <w:rPr>
                <w:rFonts w:ascii="仿宋" w:hAnsi="仿宋" w:eastAsia="仿宋" w:cs="仿宋"/>
                <w:spacing w:val="-11"/>
                <w:sz w:val="21"/>
                <w:szCs w:val="21"/>
                <w14:textOutline w14:w="3810" w14:cap="flat" w14:cmpd="sng">
                  <w14:solidFill>
                    <w14:srgbClr w14:val="000000"/>
                  </w14:solidFill>
                  <w14:prstDash w14:val="solid"/>
                  <w14:miter w14:val="0"/>
                </w14:textOutline>
              </w:rPr>
              <w:t>占评价</w:t>
            </w:r>
          </w:p>
          <w:p>
            <w:pPr>
              <w:spacing w:before="24" w:line="221" w:lineRule="auto"/>
              <w:ind w:left="148"/>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区总面</w:t>
            </w:r>
          </w:p>
          <w:p>
            <w:pPr>
              <w:spacing w:before="19" w:line="219" w:lineRule="auto"/>
              <w:ind w:left="13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积的比</w:t>
            </w:r>
          </w:p>
          <w:p>
            <w:pPr>
              <w:spacing w:before="23" w:line="219" w:lineRule="auto"/>
              <w:ind w:left="340"/>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例</w:t>
            </w:r>
          </w:p>
          <w:p>
            <w:pPr>
              <w:pStyle w:val="6"/>
              <w:spacing w:before="23" w:line="204" w:lineRule="auto"/>
              <w:ind w:left="131"/>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w:t>
            </w:r>
            <w:r>
              <w:rPr>
                <w:rFonts w:ascii="仿宋" w:hAnsi="仿宋" w:eastAsia="仿宋" w:cs="仿宋"/>
                <w:spacing w:val="-5"/>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2" w:hRule="atLeast"/>
        </w:trPr>
        <w:tc>
          <w:tcPr>
            <w:tcW w:w="742" w:type="dxa"/>
            <w:vMerge w:val="restart"/>
            <w:tcBorders>
              <w:left w:val="nil"/>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69" w:line="238" w:lineRule="auto"/>
              <w:ind w:left="115"/>
              <w:rPr>
                <w:rFonts w:ascii="仿宋" w:hAnsi="仿宋" w:eastAsia="仿宋" w:cs="仿宋"/>
                <w:sz w:val="21"/>
                <w:szCs w:val="21"/>
              </w:rPr>
            </w:pPr>
            <w:r>
              <w:rPr>
                <w:rFonts w:ascii="宋体" w:hAnsi="宋体" w:eastAsia="宋体" w:cs="宋体"/>
                <w:spacing w:val="-4"/>
                <w:sz w:val="21"/>
                <w:szCs w:val="21"/>
              </w:rPr>
              <w:t>①</w:t>
            </w:r>
            <w:r>
              <w:rPr>
                <w:rFonts w:ascii="仿宋" w:hAnsi="仿宋" w:eastAsia="仿宋" w:cs="仿宋"/>
                <w:spacing w:val="-4"/>
                <w:sz w:val="21"/>
                <w:szCs w:val="21"/>
              </w:rPr>
              <w:t>自</w:t>
            </w:r>
          </w:p>
          <w:p>
            <w:pPr>
              <w:spacing w:line="218" w:lineRule="auto"/>
              <w:ind w:left="128"/>
              <w:rPr>
                <w:rFonts w:ascii="仿宋" w:hAnsi="仿宋" w:eastAsia="仿宋" w:cs="仿宋"/>
                <w:sz w:val="21"/>
                <w:szCs w:val="21"/>
              </w:rPr>
            </w:pPr>
            <w:r>
              <w:rPr>
                <w:rFonts w:ascii="仿宋" w:hAnsi="仿宋" w:eastAsia="仿宋" w:cs="仿宋"/>
                <w:spacing w:val="-6"/>
                <w:sz w:val="21"/>
                <w:szCs w:val="21"/>
              </w:rPr>
              <w:t>然植</w:t>
            </w:r>
          </w:p>
          <w:p>
            <w:pPr>
              <w:spacing w:before="24" w:line="219" w:lineRule="auto"/>
              <w:ind w:left="121"/>
              <w:rPr>
                <w:rFonts w:ascii="仿宋" w:hAnsi="仿宋" w:eastAsia="仿宋" w:cs="仿宋"/>
                <w:sz w:val="21"/>
                <w:szCs w:val="21"/>
              </w:rPr>
            </w:pPr>
            <w:r>
              <w:rPr>
                <w:rFonts w:ascii="仿宋" w:hAnsi="仿宋" w:eastAsia="仿宋" w:cs="仿宋"/>
                <w:sz w:val="21"/>
                <w:szCs w:val="21"/>
              </w:rPr>
              <w:t>被</w:t>
            </w:r>
          </w:p>
          <w:p>
            <w:pPr>
              <w:spacing w:before="24" w:line="239" w:lineRule="auto"/>
              <w:ind w:left="121"/>
              <w:rPr>
                <w:rFonts w:ascii="仿宋" w:hAnsi="仿宋" w:eastAsia="仿宋" w:cs="仿宋"/>
                <w:sz w:val="21"/>
                <w:szCs w:val="21"/>
              </w:rPr>
            </w:pPr>
            <w:r>
              <w:rPr>
                <w:rFonts w:ascii="仿宋" w:hAnsi="仿宋" w:eastAsia="仿宋" w:cs="仿宋"/>
                <w:spacing w:val="-7"/>
                <w:sz w:val="21"/>
                <w:szCs w:val="21"/>
              </w:rPr>
              <w:t>（含</w:t>
            </w:r>
          </w:p>
          <w:p>
            <w:pPr>
              <w:spacing w:line="218" w:lineRule="auto"/>
              <w:ind w:left="127"/>
              <w:rPr>
                <w:rFonts w:ascii="仿宋" w:hAnsi="仿宋" w:eastAsia="仿宋" w:cs="仿宋"/>
                <w:sz w:val="21"/>
                <w:szCs w:val="21"/>
              </w:rPr>
            </w:pPr>
            <w:r>
              <w:rPr>
                <w:rFonts w:ascii="仿宋" w:hAnsi="仿宋" w:eastAsia="仿宋" w:cs="仿宋"/>
                <w:sz w:val="21"/>
                <w:szCs w:val="21"/>
              </w:rPr>
              <w:t>萌</w:t>
            </w:r>
          </w:p>
          <w:p>
            <w:pPr>
              <w:spacing w:before="24" w:line="239" w:lineRule="auto"/>
              <w:ind w:left="134"/>
              <w:rPr>
                <w:rFonts w:ascii="仿宋" w:hAnsi="仿宋" w:eastAsia="仿宋" w:cs="仿宋"/>
                <w:sz w:val="21"/>
                <w:szCs w:val="21"/>
              </w:rPr>
            </w:pPr>
            <w:r>
              <w:rPr>
                <w:rFonts w:ascii="仿宋" w:hAnsi="仿宋" w:eastAsia="仿宋" w:cs="仿宋"/>
                <w:spacing w:val="-15"/>
                <w:sz w:val="21"/>
                <w:szCs w:val="21"/>
              </w:rPr>
              <w:t>生、</w:t>
            </w:r>
          </w:p>
          <w:p>
            <w:pPr>
              <w:spacing w:line="218" w:lineRule="auto"/>
              <w:ind w:left="121"/>
              <w:rPr>
                <w:rFonts w:ascii="仿宋" w:hAnsi="仿宋" w:eastAsia="仿宋" w:cs="仿宋"/>
                <w:sz w:val="21"/>
                <w:szCs w:val="21"/>
              </w:rPr>
            </w:pPr>
            <w:r>
              <w:rPr>
                <w:rFonts w:ascii="仿宋" w:hAnsi="仿宋" w:eastAsia="仿宋" w:cs="仿宋"/>
                <w:spacing w:val="-4"/>
                <w:sz w:val="21"/>
                <w:szCs w:val="21"/>
              </w:rPr>
              <w:t>次生</w:t>
            </w:r>
          </w:p>
          <w:p>
            <w:pPr>
              <w:spacing w:before="23" w:line="218" w:lineRule="auto"/>
              <w:ind w:left="121"/>
              <w:rPr>
                <w:rFonts w:ascii="仿宋" w:hAnsi="仿宋" w:eastAsia="仿宋" w:cs="仿宋"/>
                <w:sz w:val="21"/>
                <w:szCs w:val="21"/>
              </w:rPr>
            </w:pPr>
            <w:r>
              <w:rPr>
                <w:rFonts w:ascii="仿宋" w:hAnsi="仿宋" w:eastAsia="仿宋" w:cs="仿宋"/>
                <w:sz w:val="21"/>
                <w:szCs w:val="21"/>
              </w:rPr>
              <w:t>植</w:t>
            </w:r>
          </w:p>
          <w:p>
            <w:pPr>
              <w:spacing w:before="25" w:line="219" w:lineRule="auto"/>
              <w:ind w:left="121"/>
              <w:rPr>
                <w:rFonts w:ascii="仿宋" w:hAnsi="仿宋" w:eastAsia="仿宋" w:cs="仿宋"/>
                <w:sz w:val="21"/>
                <w:szCs w:val="21"/>
              </w:rPr>
            </w:pPr>
            <w:r>
              <w:rPr>
                <w:rFonts w:ascii="仿宋" w:hAnsi="仿宋" w:eastAsia="仿宋" w:cs="仿宋"/>
                <w:spacing w:val="-7"/>
                <w:sz w:val="21"/>
                <w:szCs w:val="21"/>
              </w:rPr>
              <w:t>被）</w:t>
            </w:r>
          </w:p>
        </w:tc>
        <w:tc>
          <w:tcPr>
            <w:tcW w:w="1325" w:type="dxa"/>
            <w:vAlign w:val="top"/>
          </w:tcPr>
          <w:p>
            <w:pPr>
              <w:pStyle w:val="6"/>
              <w:spacing w:before="307" w:line="229" w:lineRule="auto"/>
              <w:ind w:left="158" w:right="137" w:firstLine="77"/>
              <w:rPr>
                <w:rFonts w:ascii="仿宋" w:hAnsi="仿宋" w:eastAsia="仿宋" w:cs="仿宋"/>
              </w:rPr>
            </w:pPr>
            <w:r>
              <w:rPr>
                <w:rFonts w:ascii="宋体" w:hAnsi="宋体" w:eastAsia="宋体" w:cs="宋体"/>
                <w:spacing w:val="-19"/>
              </w:rPr>
              <w:t>Ⅰ</w:t>
            </w:r>
            <w:r>
              <w:rPr>
                <w:spacing w:val="-19"/>
              </w:rPr>
              <w:t>.</w:t>
            </w:r>
            <w:r>
              <w:rPr>
                <w:spacing w:val="9"/>
              </w:rPr>
              <w:t xml:space="preserve">  </w:t>
            </w:r>
            <w:r>
              <w:rPr>
                <w:rFonts w:ascii="仿宋" w:hAnsi="仿宋" w:eastAsia="仿宋" w:cs="仿宋"/>
                <w:spacing w:val="-19"/>
              </w:rPr>
              <w:t>半湿润</w:t>
            </w:r>
            <w:r>
              <w:rPr>
                <w:rFonts w:ascii="仿宋" w:hAnsi="仿宋" w:eastAsia="仿宋" w:cs="仿宋"/>
              </w:rPr>
              <w:t xml:space="preserve"> </w:t>
            </w:r>
            <w:r>
              <w:rPr>
                <w:rFonts w:ascii="仿宋" w:hAnsi="仿宋" w:eastAsia="仿宋" w:cs="仿宋"/>
                <w:spacing w:val="-6"/>
              </w:rPr>
              <w:t>常绿阔叶林</w:t>
            </w:r>
          </w:p>
        </w:tc>
        <w:tc>
          <w:tcPr>
            <w:tcW w:w="1182" w:type="dxa"/>
            <w:vAlign w:val="top"/>
          </w:tcPr>
          <w:p>
            <w:pPr>
              <w:spacing w:line="374" w:lineRule="auto"/>
              <w:rPr>
                <w:rFonts w:ascii="Arial"/>
                <w:sz w:val="21"/>
              </w:rPr>
            </w:pPr>
          </w:p>
          <w:p>
            <w:pPr>
              <w:spacing w:before="68" w:line="217" w:lineRule="auto"/>
              <w:ind w:left="185"/>
              <w:rPr>
                <w:rFonts w:ascii="仿宋" w:hAnsi="仿宋" w:eastAsia="仿宋" w:cs="仿宋"/>
                <w:sz w:val="21"/>
                <w:szCs w:val="21"/>
              </w:rPr>
            </w:pPr>
            <w:r>
              <w:rPr>
                <w:rFonts w:ascii="仿宋" w:hAnsi="仿宋" w:eastAsia="仿宋" w:cs="仿宋"/>
                <w:spacing w:val="-5"/>
                <w:sz w:val="21"/>
                <w:szCs w:val="21"/>
              </w:rPr>
              <w:t>滇青冈林</w:t>
            </w:r>
          </w:p>
        </w:tc>
        <w:tc>
          <w:tcPr>
            <w:tcW w:w="3188" w:type="dxa"/>
            <w:vAlign w:val="top"/>
          </w:tcPr>
          <w:p>
            <w:pPr>
              <w:pStyle w:val="6"/>
              <w:spacing w:before="35" w:line="233" w:lineRule="auto"/>
              <w:ind w:left="134" w:right="122" w:firstLine="1"/>
              <w:jc w:val="both"/>
              <w:rPr>
                <w:rFonts w:ascii="仿宋" w:hAnsi="仿宋" w:eastAsia="仿宋" w:cs="仿宋"/>
              </w:rPr>
            </w:pPr>
            <w:r>
              <w:rPr>
                <w:rFonts w:ascii="仿宋" w:hAnsi="仿宋" w:eastAsia="仿宋" w:cs="仿宋"/>
                <w:spacing w:val="-2"/>
              </w:rPr>
              <w:t>在库区、引水、引洪和输水管两</w:t>
            </w:r>
            <w:r>
              <w:rPr>
                <w:rFonts w:ascii="仿宋" w:hAnsi="仿宋" w:eastAsia="仿宋" w:cs="仿宋"/>
                <w:spacing w:val="11"/>
              </w:rPr>
              <w:t xml:space="preserve"> </w:t>
            </w:r>
            <w:r>
              <w:rPr>
                <w:rFonts w:ascii="仿宋" w:hAnsi="仿宋" w:eastAsia="仿宋" w:cs="仿宋"/>
                <w:spacing w:val="-1"/>
              </w:rPr>
              <w:t>侧较陡峭沟谷有零星分布，分布</w:t>
            </w:r>
            <w:r>
              <w:rPr>
                <w:rFonts w:ascii="仿宋" w:hAnsi="仿宋" w:eastAsia="仿宋" w:cs="仿宋"/>
              </w:rPr>
              <w:t xml:space="preserve"> 海拔范围大约为</w:t>
            </w:r>
            <w:r>
              <w:rPr>
                <w:rFonts w:ascii="仿宋" w:hAnsi="仿宋" w:eastAsia="仿宋" w:cs="仿宋"/>
                <w:spacing w:val="-22"/>
              </w:rPr>
              <w:t xml:space="preserve"> </w:t>
            </w:r>
            <w:r>
              <w:t>1950~2400m</w:t>
            </w:r>
            <w:r>
              <w:rPr>
                <w:rFonts w:ascii="仿宋" w:hAnsi="仿宋" w:eastAsia="仿宋" w:cs="仿宋"/>
              </w:rPr>
              <w:t>，</w:t>
            </w:r>
          </w:p>
          <w:p>
            <w:pPr>
              <w:spacing w:before="24" w:line="200" w:lineRule="auto"/>
              <w:ind w:left="975"/>
              <w:rPr>
                <w:rFonts w:ascii="仿宋" w:hAnsi="仿宋" w:eastAsia="仿宋" w:cs="仿宋"/>
                <w:sz w:val="21"/>
                <w:szCs w:val="21"/>
              </w:rPr>
            </w:pPr>
            <w:r>
              <w:rPr>
                <w:rFonts w:ascii="仿宋" w:hAnsi="仿宋" w:eastAsia="仿宋" w:cs="仿宋"/>
                <w:spacing w:val="-3"/>
                <w:sz w:val="21"/>
                <w:szCs w:val="21"/>
              </w:rPr>
              <w:t>残存于沟谷中</w:t>
            </w:r>
          </w:p>
        </w:tc>
        <w:tc>
          <w:tcPr>
            <w:tcW w:w="999" w:type="dxa"/>
            <w:vAlign w:val="top"/>
          </w:tcPr>
          <w:p>
            <w:pPr>
              <w:spacing w:line="419" w:lineRule="auto"/>
              <w:rPr>
                <w:rFonts w:ascii="Arial"/>
                <w:sz w:val="21"/>
              </w:rPr>
            </w:pPr>
          </w:p>
          <w:p>
            <w:pPr>
              <w:pStyle w:val="6"/>
              <w:spacing w:before="60" w:line="188" w:lineRule="auto"/>
              <w:ind w:left="267"/>
            </w:pPr>
            <w:r>
              <w:rPr>
                <w:spacing w:val="-2"/>
              </w:rPr>
              <w:t>34.38</w:t>
            </w:r>
          </w:p>
        </w:tc>
        <w:tc>
          <w:tcPr>
            <w:tcW w:w="871" w:type="dxa"/>
            <w:tcBorders>
              <w:right w:val="nil"/>
            </w:tcBorders>
            <w:vAlign w:val="top"/>
          </w:tcPr>
          <w:p>
            <w:pPr>
              <w:spacing w:line="419" w:lineRule="auto"/>
              <w:rPr>
                <w:rFonts w:ascii="Arial"/>
                <w:sz w:val="21"/>
              </w:rPr>
            </w:pPr>
          </w:p>
          <w:p>
            <w:pPr>
              <w:pStyle w:val="6"/>
              <w:spacing w:before="60" w:line="188" w:lineRule="auto"/>
              <w:ind w:left="252"/>
            </w:pPr>
            <w:r>
              <w:rPr>
                <w:spacing w:val="-1"/>
              </w:rPr>
              <w:t>4.19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742" w:type="dxa"/>
            <w:vMerge w:val="continue"/>
            <w:tcBorders>
              <w:top w:val="nil"/>
              <w:left w:val="nil"/>
              <w:bottom w:val="nil"/>
            </w:tcBorders>
            <w:vAlign w:val="top"/>
          </w:tcPr>
          <w:p>
            <w:pPr>
              <w:rPr>
                <w:rFonts w:ascii="Arial"/>
                <w:sz w:val="21"/>
              </w:rPr>
            </w:pPr>
          </w:p>
        </w:tc>
        <w:tc>
          <w:tcPr>
            <w:tcW w:w="1325" w:type="dxa"/>
            <w:vAlign w:val="top"/>
          </w:tcPr>
          <w:p>
            <w:pPr>
              <w:pStyle w:val="6"/>
              <w:spacing w:before="38" w:line="219" w:lineRule="auto"/>
              <w:ind w:left="473" w:right="162" w:hanging="270"/>
              <w:rPr>
                <w:rFonts w:ascii="仿宋" w:hAnsi="仿宋" w:eastAsia="仿宋" w:cs="仿宋"/>
              </w:rPr>
            </w:pPr>
            <w:r>
              <w:rPr>
                <w:rFonts w:ascii="宋体" w:hAnsi="宋体" w:eastAsia="宋体" w:cs="宋体"/>
                <w:spacing w:val="-14"/>
              </w:rPr>
              <w:t>Ⅱ</w:t>
            </w:r>
            <w:r>
              <w:rPr>
                <w:spacing w:val="-14"/>
              </w:rPr>
              <w:t>.</w:t>
            </w:r>
            <w:r>
              <w:rPr>
                <w:spacing w:val="12"/>
              </w:rPr>
              <w:t xml:space="preserve">  </w:t>
            </w:r>
            <w:r>
              <w:rPr>
                <w:rFonts w:ascii="仿宋" w:hAnsi="仿宋" w:eastAsia="仿宋" w:cs="仿宋"/>
                <w:spacing w:val="-14"/>
              </w:rPr>
              <w:t>落叶阔</w:t>
            </w:r>
            <w:r>
              <w:rPr>
                <w:rFonts w:ascii="仿宋" w:hAnsi="仿宋" w:eastAsia="仿宋" w:cs="仿宋"/>
                <w:spacing w:val="1"/>
              </w:rPr>
              <w:t xml:space="preserve"> </w:t>
            </w:r>
            <w:r>
              <w:rPr>
                <w:rFonts w:ascii="仿宋" w:hAnsi="仿宋" w:eastAsia="仿宋" w:cs="仿宋"/>
                <w:spacing w:val="-7"/>
              </w:rPr>
              <w:t>叶林</w:t>
            </w:r>
          </w:p>
        </w:tc>
        <w:tc>
          <w:tcPr>
            <w:tcW w:w="1182" w:type="dxa"/>
            <w:vAlign w:val="top"/>
          </w:tcPr>
          <w:p>
            <w:pPr>
              <w:spacing w:before="38" w:line="219" w:lineRule="auto"/>
              <w:ind w:left="391" w:right="169" w:hanging="210"/>
              <w:rPr>
                <w:rFonts w:ascii="仿宋" w:hAnsi="仿宋" w:eastAsia="仿宋" w:cs="仿宋"/>
                <w:sz w:val="21"/>
                <w:szCs w:val="21"/>
              </w:rPr>
            </w:pPr>
            <w:r>
              <w:rPr>
                <w:rFonts w:ascii="仿宋" w:hAnsi="仿宋" w:eastAsia="仿宋" w:cs="仿宋"/>
                <w:spacing w:val="-4"/>
                <w:sz w:val="21"/>
                <w:szCs w:val="21"/>
              </w:rPr>
              <w:t>尼泊尔桤</w:t>
            </w:r>
            <w:r>
              <w:rPr>
                <w:rFonts w:ascii="仿宋" w:hAnsi="仿宋" w:eastAsia="仿宋" w:cs="仿宋"/>
                <w:spacing w:val="1"/>
                <w:sz w:val="21"/>
                <w:szCs w:val="21"/>
              </w:rPr>
              <w:t xml:space="preserve"> </w:t>
            </w:r>
            <w:r>
              <w:rPr>
                <w:rFonts w:ascii="仿宋" w:hAnsi="仿宋" w:eastAsia="仿宋" w:cs="仿宋"/>
                <w:spacing w:val="-7"/>
                <w:sz w:val="21"/>
                <w:szCs w:val="21"/>
              </w:rPr>
              <w:t>木林</w:t>
            </w:r>
          </w:p>
        </w:tc>
        <w:tc>
          <w:tcPr>
            <w:tcW w:w="3188" w:type="dxa"/>
            <w:vAlign w:val="top"/>
          </w:tcPr>
          <w:p>
            <w:pPr>
              <w:pStyle w:val="6"/>
              <w:spacing w:before="38" w:line="219" w:lineRule="auto"/>
              <w:ind w:left="631" w:right="122" w:hanging="496"/>
              <w:rPr>
                <w:rFonts w:ascii="仿宋" w:hAnsi="仿宋" w:eastAsia="仿宋" w:cs="仿宋"/>
              </w:rPr>
            </w:pPr>
            <w:r>
              <w:rPr>
                <w:rFonts w:ascii="仿宋" w:hAnsi="仿宋" w:eastAsia="仿宋" w:cs="仿宋"/>
                <w:spacing w:val="-2"/>
              </w:rPr>
              <w:t>零星分布于库区、输水管线两侧</w:t>
            </w:r>
            <w:r>
              <w:rPr>
                <w:rFonts w:ascii="仿宋" w:hAnsi="仿宋" w:eastAsia="仿宋" w:cs="仿宋"/>
                <w:spacing w:val="12"/>
              </w:rPr>
              <w:t xml:space="preserve"> </w:t>
            </w:r>
            <w:r>
              <w:rPr>
                <w:rFonts w:ascii="仿宋" w:hAnsi="仿宋" w:eastAsia="仿宋" w:cs="仿宋"/>
                <w:spacing w:val="-5"/>
              </w:rPr>
              <w:t>海拔</w:t>
            </w:r>
            <w:r>
              <w:rPr>
                <w:rFonts w:ascii="仿宋" w:hAnsi="仿宋" w:eastAsia="仿宋" w:cs="仿宋"/>
                <w:spacing w:val="-39"/>
              </w:rPr>
              <w:t xml:space="preserve"> </w:t>
            </w:r>
            <w:r>
              <w:rPr>
                <w:spacing w:val="-5"/>
              </w:rPr>
              <w:t>2400m</w:t>
            </w:r>
            <w:r>
              <w:rPr>
                <w:spacing w:val="34"/>
              </w:rPr>
              <w:t xml:space="preserve"> </w:t>
            </w:r>
            <w:r>
              <w:rPr>
                <w:rFonts w:ascii="仿宋" w:hAnsi="仿宋" w:eastAsia="仿宋" w:cs="仿宋"/>
                <w:spacing w:val="-5"/>
              </w:rPr>
              <w:t>以下区域</w:t>
            </w:r>
          </w:p>
        </w:tc>
        <w:tc>
          <w:tcPr>
            <w:tcW w:w="999" w:type="dxa"/>
            <w:vAlign w:val="top"/>
          </w:tcPr>
          <w:p>
            <w:pPr>
              <w:pStyle w:val="6"/>
              <w:spacing w:before="212" w:line="188" w:lineRule="auto"/>
              <w:ind w:left="321"/>
            </w:pPr>
            <w:r>
              <w:rPr>
                <w:spacing w:val="-3"/>
              </w:rPr>
              <w:t>5.15</w:t>
            </w:r>
          </w:p>
        </w:tc>
        <w:tc>
          <w:tcPr>
            <w:tcW w:w="871" w:type="dxa"/>
            <w:tcBorders>
              <w:right w:val="nil"/>
            </w:tcBorders>
            <w:vAlign w:val="top"/>
          </w:tcPr>
          <w:p>
            <w:pPr>
              <w:pStyle w:val="6"/>
              <w:spacing w:before="212" w:line="188" w:lineRule="auto"/>
              <w:ind w:left="257"/>
            </w:pPr>
            <w:r>
              <w:rPr>
                <w:spacing w:val="-2"/>
              </w:rPr>
              <w:t>0.63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742" w:type="dxa"/>
            <w:vMerge w:val="continue"/>
            <w:tcBorders>
              <w:top w:val="nil"/>
              <w:left w:val="nil"/>
              <w:bottom w:val="nil"/>
            </w:tcBorders>
            <w:vAlign w:val="top"/>
          </w:tcPr>
          <w:p>
            <w:pPr>
              <w:rPr>
                <w:rFonts w:ascii="Arial"/>
                <w:sz w:val="21"/>
              </w:rPr>
            </w:pPr>
          </w:p>
        </w:tc>
        <w:tc>
          <w:tcPr>
            <w:tcW w:w="1325" w:type="dxa"/>
            <w:vAlign w:val="top"/>
          </w:tcPr>
          <w:p>
            <w:pPr>
              <w:pStyle w:val="6"/>
              <w:spacing w:before="41" w:line="219" w:lineRule="auto"/>
              <w:ind w:left="164"/>
              <w:rPr>
                <w:rFonts w:ascii="仿宋" w:hAnsi="仿宋" w:eastAsia="仿宋" w:cs="仿宋"/>
              </w:rPr>
            </w:pPr>
            <w:r>
              <w:rPr>
                <w:spacing w:val="-3"/>
              </w:rPr>
              <w:t>III.</w:t>
            </w:r>
            <w:r>
              <w:rPr>
                <w:spacing w:val="10"/>
              </w:rPr>
              <w:t xml:space="preserve">  </w:t>
            </w:r>
            <w:r>
              <w:rPr>
                <w:rFonts w:ascii="仿宋" w:hAnsi="仿宋" w:eastAsia="仿宋" w:cs="仿宋"/>
                <w:spacing w:val="-3"/>
              </w:rPr>
              <w:t>干热河</w:t>
            </w:r>
          </w:p>
          <w:p>
            <w:pPr>
              <w:spacing w:before="23" w:line="218" w:lineRule="auto"/>
              <w:ind w:left="147"/>
              <w:rPr>
                <w:rFonts w:ascii="仿宋" w:hAnsi="仿宋" w:eastAsia="仿宋" w:cs="仿宋"/>
                <w:sz w:val="21"/>
                <w:szCs w:val="21"/>
              </w:rPr>
            </w:pPr>
            <w:r>
              <w:rPr>
                <w:rFonts w:ascii="仿宋" w:hAnsi="仿宋" w:eastAsia="仿宋" w:cs="仿宋"/>
                <w:spacing w:val="-3"/>
                <w:sz w:val="21"/>
                <w:szCs w:val="21"/>
              </w:rPr>
              <w:t>谷硬叶常绿</w:t>
            </w:r>
          </w:p>
          <w:p>
            <w:pPr>
              <w:spacing w:before="24" w:line="196" w:lineRule="auto"/>
              <w:ind w:left="355"/>
              <w:rPr>
                <w:rFonts w:ascii="仿宋" w:hAnsi="仿宋" w:eastAsia="仿宋" w:cs="仿宋"/>
                <w:sz w:val="21"/>
                <w:szCs w:val="21"/>
              </w:rPr>
            </w:pPr>
            <w:r>
              <w:rPr>
                <w:rFonts w:ascii="仿宋" w:hAnsi="仿宋" w:eastAsia="仿宋" w:cs="仿宋"/>
                <w:spacing w:val="-3"/>
                <w:sz w:val="21"/>
                <w:szCs w:val="21"/>
              </w:rPr>
              <w:t>栎类林</w:t>
            </w:r>
          </w:p>
        </w:tc>
        <w:tc>
          <w:tcPr>
            <w:tcW w:w="1182" w:type="dxa"/>
            <w:vAlign w:val="top"/>
          </w:tcPr>
          <w:p>
            <w:pPr>
              <w:spacing w:line="244" w:lineRule="auto"/>
              <w:rPr>
                <w:rFonts w:ascii="Arial"/>
                <w:sz w:val="21"/>
              </w:rPr>
            </w:pPr>
          </w:p>
          <w:p>
            <w:pPr>
              <w:spacing w:before="68" w:line="218" w:lineRule="auto"/>
              <w:ind w:left="182"/>
              <w:rPr>
                <w:rFonts w:ascii="仿宋" w:hAnsi="仿宋" w:eastAsia="仿宋" w:cs="仿宋"/>
                <w:sz w:val="21"/>
                <w:szCs w:val="21"/>
              </w:rPr>
            </w:pPr>
            <w:r>
              <w:rPr>
                <w:rFonts w:ascii="仿宋" w:hAnsi="仿宋" w:eastAsia="仿宋" w:cs="仿宋"/>
                <w:spacing w:val="-3"/>
                <w:sz w:val="21"/>
                <w:szCs w:val="21"/>
              </w:rPr>
              <w:t>锥连栎林</w:t>
            </w:r>
          </w:p>
        </w:tc>
        <w:tc>
          <w:tcPr>
            <w:tcW w:w="3188" w:type="dxa"/>
            <w:vAlign w:val="top"/>
          </w:tcPr>
          <w:p>
            <w:pPr>
              <w:pStyle w:val="6"/>
              <w:spacing w:before="178" w:line="227" w:lineRule="auto"/>
              <w:ind w:left="212" w:right="122" w:hanging="74"/>
              <w:rPr>
                <w:rFonts w:ascii="仿宋" w:hAnsi="仿宋" w:eastAsia="仿宋" w:cs="仿宋"/>
              </w:rPr>
            </w:pPr>
            <w:r>
              <w:rPr>
                <w:rFonts w:ascii="仿宋" w:hAnsi="仿宋" w:eastAsia="仿宋" w:cs="仿宋"/>
                <w:spacing w:val="-2"/>
              </w:rPr>
              <w:t>库区两侧两侧较陡峭沟谷有零星</w:t>
            </w:r>
            <w:r>
              <w:rPr>
                <w:rFonts w:ascii="仿宋" w:hAnsi="仿宋" w:eastAsia="仿宋" w:cs="仿宋"/>
                <w:spacing w:val="9"/>
              </w:rPr>
              <w:t xml:space="preserve"> </w:t>
            </w:r>
            <w:r>
              <w:rPr>
                <w:rFonts w:ascii="仿宋" w:hAnsi="仿宋" w:eastAsia="仿宋" w:cs="仿宋"/>
                <w:spacing w:val="-4"/>
              </w:rPr>
              <w:t>分布，海拔仅限于</w:t>
            </w:r>
            <w:r>
              <w:rPr>
                <w:rFonts w:ascii="仿宋" w:hAnsi="仿宋" w:eastAsia="仿宋" w:cs="仿宋"/>
                <w:spacing w:val="-27"/>
              </w:rPr>
              <w:t xml:space="preserve"> </w:t>
            </w:r>
            <w:r>
              <w:rPr>
                <w:spacing w:val="-4"/>
              </w:rPr>
              <w:t>2100m</w:t>
            </w:r>
            <w:r>
              <w:rPr>
                <w:spacing w:val="35"/>
              </w:rPr>
              <w:t xml:space="preserve"> </w:t>
            </w:r>
            <w:r>
              <w:rPr>
                <w:rFonts w:ascii="仿宋" w:hAnsi="仿宋" w:eastAsia="仿宋" w:cs="仿宋"/>
                <w:spacing w:val="-4"/>
              </w:rPr>
              <w:t>以下</w:t>
            </w:r>
          </w:p>
        </w:tc>
        <w:tc>
          <w:tcPr>
            <w:tcW w:w="999" w:type="dxa"/>
            <w:vAlign w:val="top"/>
          </w:tcPr>
          <w:p>
            <w:pPr>
              <w:spacing w:line="289" w:lineRule="auto"/>
              <w:rPr>
                <w:rFonts w:ascii="Arial"/>
                <w:sz w:val="21"/>
              </w:rPr>
            </w:pPr>
          </w:p>
          <w:p>
            <w:pPr>
              <w:pStyle w:val="6"/>
              <w:spacing w:before="60" w:line="188" w:lineRule="auto"/>
              <w:ind w:left="283"/>
            </w:pPr>
            <w:r>
              <w:rPr>
                <w:spacing w:val="-5"/>
              </w:rPr>
              <w:t>15.38</w:t>
            </w:r>
          </w:p>
        </w:tc>
        <w:tc>
          <w:tcPr>
            <w:tcW w:w="871" w:type="dxa"/>
            <w:tcBorders>
              <w:right w:val="nil"/>
            </w:tcBorders>
            <w:vAlign w:val="top"/>
          </w:tcPr>
          <w:p>
            <w:pPr>
              <w:spacing w:line="289" w:lineRule="auto"/>
              <w:rPr>
                <w:rFonts w:ascii="Arial"/>
                <w:sz w:val="21"/>
              </w:rPr>
            </w:pPr>
          </w:p>
          <w:p>
            <w:pPr>
              <w:pStyle w:val="6"/>
              <w:spacing w:before="60" w:line="188" w:lineRule="auto"/>
              <w:ind w:left="274"/>
            </w:pPr>
            <w:r>
              <w:rPr>
                <w:spacing w:val="-6"/>
              </w:rPr>
              <w:t>1.87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742" w:type="dxa"/>
            <w:vMerge w:val="continue"/>
            <w:tcBorders>
              <w:top w:val="nil"/>
              <w:left w:val="nil"/>
              <w:bottom w:val="nil"/>
            </w:tcBorders>
            <w:vAlign w:val="top"/>
          </w:tcPr>
          <w:p>
            <w:pPr>
              <w:rPr>
                <w:rFonts w:ascii="Arial"/>
                <w:sz w:val="21"/>
              </w:rPr>
            </w:pPr>
          </w:p>
        </w:tc>
        <w:tc>
          <w:tcPr>
            <w:tcW w:w="1325" w:type="dxa"/>
            <w:vAlign w:val="top"/>
          </w:tcPr>
          <w:p>
            <w:pPr>
              <w:pStyle w:val="6"/>
              <w:spacing w:before="44" w:line="217" w:lineRule="auto"/>
              <w:ind w:left="355" w:right="157" w:hanging="197"/>
              <w:rPr>
                <w:rFonts w:ascii="仿宋" w:hAnsi="仿宋" w:eastAsia="仿宋" w:cs="仿宋"/>
              </w:rPr>
            </w:pPr>
            <w:r>
              <w:rPr>
                <w:spacing w:val="-5"/>
              </w:rPr>
              <w:t>IV.</w:t>
            </w:r>
            <w:r>
              <w:rPr>
                <w:spacing w:val="11"/>
              </w:rPr>
              <w:t xml:space="preserve">  </w:t>
            </w:r>
            <w:r>
              <w:rPr>
                <w:rFonts w:ascii="仿宋" w:hAnsi="仿宋" w:eastAsia="仿宋" w:cs="仿宋"/>
                <w:spacing w:val="-5"/>
              </w:rPr>
              <w:t>暖温性</w:t>
            </w:r>
            <w:r>
              <w:rPr>
                <w:rFonts w:ascii="仿宋" w:hAnsi="仿宋" w:eastAsia="仿宋" w:cs="仿宋"/>
                <w:spacing w:val="1"/>
              </w:rPr>
              <w:t xml:space="preserve"> </w:t>
            </w:r>
            <w:r>
              <w:rPr>
                <w:rFonts w:ascii="仿宋" w:hAnsi="仿宋" w:eastAsia="仿宋" w:cs="仿宋"/>
                <w:spacing w:val="-5"/>
              </w:rPr>
              <w:t>针叶林</w:t>
            </w:r>
          </w:p>
        </w:tc>
        <w:tc>
          <w:tcPr>
            <w:tcW w:w="1182" w:type="dxa"/>
            <w:vAlign w:val="top"/>
          </w:tcPr>
          <w:p>
            <w:pPr>
              <w:spacing w:before="181" w:line="218" w:lineRule="auto"/>
              <w:ind w:left="182"/>
              <w:rPr>
                <w:rFonts w:ascii="仿宋" w:hAnsi="仿宋" w:eastAsia="仿宋" w:cs="仿宋"/>
                <w:sz w:val="21"/>
                <w:szCs w:val="21"/>
              </w:rPr>
            </w:pPr>
            <w:r>
              <w:rPr>
                <w:rFonts w:ascii="仿宋" w:hAnsi="仿宋" w:eastAsia="仿宋" w:cs="仿宋"/>
                <w:spacing w:val="-3"/>
                <w:sz w:val="21"/>
                <w:szCs w:val="21"/>
              </w:rPr>
              <w:t>云南松林</w:t>
            </w:r>
          </w:p>
        </w:tc>
        <w:tc>
          <w:tcPr>
            <w:tcW w:w="3188" w:type="dxa"/>
            <w:vAlign w:val="top"/>
          </w:tcPr>
          <w:p>
            <w:pPr>
              <w:spacing w:before="181" w:line="215" w:lineRule="auto"/>
              <w:ind w:left="766"/>
              <w:rPr>
                <w:rFonts w:ascii="仿宋" w:hAnsi="仿宋" w:eastAsia="仿宋" w:cs="仿宋"/>
                <w:sz w:val="21"/>
                <w:szCs w:val="21"/>
              </w:rPr>
            </w:pPr>
            <w:r>
              <w:rPr>
                <w:rFonts w:ascii="仿宋" w:hAnsi="仿宋" w:eastAsia="仿宋" w:cs="仿宋"/>
                <w:spacing w:val="-2"/>
                <w:sz w:val="21"/>
                <w:szCs w:val="21"/>
              </w:rPr>
              <w:t>在评价大面积分布</w:t>
            </w:r>
          </w:p>
        </w:tc>
        <w:tc>
          <w:tcPr>
            <w:tcW w:w="999" w:type="dxa"/>
            <w:vAlign w:val="top"/>
          </w:tcPr>
          <w:p>
            <w:pPr>
              <w:pStyle w:val="6"/>
              <w:spacing w:before="217" w:line="188" w:lineRule="auto"/>
              <w:ind w:left="211"/>
            </w:pPr>
            <w:r>
              <w:rPr>
                <w:spacing w:val="-1"/>
              </w:rPr>
              <w:t>210.79</w:t>
            </w:r>
          </w:p>
        </w:tc>
        <w:tc>
          <w:tcPr>
            <w:tcW w:w="871" w:type="dxa"/>
            <w:tcBorders>
              <w:right w:val="nil"/>
            </w:tcBorders>
            <w:vAlign w:val="top"/>
          </w:tcPr>
          <w:p>
            <w:pPr>
              <w:pStyle w:val="6"/>
              <w:spacing w:before="217" w:line="188" w:lineRule="auto"/>
              <w:ind w:left="201"/>
            </w:pPr>
            <w:r>
              <w:rPr>
                <w:spacing w:val="-1"/>
              </w:rPr>
              <w:t>25.69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0" w:hRule="atLeast"/>
        </w:trPr>
        <w:tc>
          <w:tcPr>
            <w:tcW w:w="742" w:type="dxa"/>
            <w:vMerge w:val="continue"/>
            <w:tcBorders>
              <w:top w:val="nil"/>
              <w:left w:val="nil"/>
              <w:bottom w:val="nil"/>
            </w:tcBorders>
            <w:vAlign w:val="top"/>
          </w:tcPr>
          <w:p>
            <w:pPr>
              <w:rPr>
                <w:rFonts w:ascii="Arial"/>
                <w:sz w:val="21"/>
              </w:rPr>
            </w:pPr>
          </w:p>
        </w:tc>
        <w:tc>
          <w:tcPr>
            <w:tcW w:w="1325" w:type="dxa"/>
            <w:vAlign w:val="top"/>
          </w:tcPr>
          <w:p>
            <w:pPr>
              <w:pStyle w:val="6"/>
              <w:spacing w:before="182" w:line="216" w:lineRule="auto"/>
              <w:ind w:left="189"/>
              <w:rPr>
                <w:rFonts w:ascii="仿宋" w:hAnsi="仿宋" w:eastAsia="仿宋" w:cs="仿宋"/>
              </w:rPr>
            </w:pPr>
            <w:r>
              <w:rPr>
                <w:spacing w:val="-4"/>
              </w:rPr>
              <w:t>V.</w:t>
            </w:r>
            <w:r>
              <w:rPr>
                <w:spacing w:val="12"/>
              </w:rPr>
              <w:t xml:space="preserve">  </w:t>
            </w:r>
            <w:r>
              <w:rPr>
                <w:rFonts w:ascii="仿宋" w:hAnsi="仿宋" w:eastAsia="仿宋" w:cs="仿宋"/>
                <w:spacing w:val="-4"/>
              </w:rPr>
              <w:t>干热性</w:t>
            </w:r>
          </w:p>
          <w:p>
            <w:pPr>
              <w:spacing w:before="26" w:line="217" w:lineRule="auto"/>
              <w:ind w:left="148"/>
              <w:rPr>
                <w:rFonts w:ascii="仿宋" w:hAnsi="仿宋" w:eastAsia="仿宋" w:cs="仿宋"/>
                <w:sz w:val="21"/>
                <w:szCs w:val="21"/>
              </w:rPr>
            </w:pPr>
            <w:r>
              <w:rPr>
                <w:rFonts w:ascii="仿宋" w:hAnsi="仿宋" w:eastAsia="仿宋" w:cs="仿宋"/>
                <w:spacing w:val="-3"/>
                <w:sz w:val="21"/>
                <w:szCs w:val="21"/>
              </w:rPr>
              <w:t>稀树灌木草</w:t>
            </w:r>
          </w:p>
          <w:p>
            <w:pPr>
              <w:spacing w:before="25" w:line="227" w:lineRule="auto"/>
              <w:ind w:left="568"/>
              <w:rPr>
                <w:rFonts w:ascii="仿宋" w:hAnsi="仿宋" w:eastAsia="仿宋" w:cs="仿宋"/>
                <w:sz w:val="21"/>
                <w:szCs w:val="21"/>
              </w:rPr>
            </w:pPr>
            <w:r>
              <w:rPr>
                <w:rFonts w:ascii="仿宋" w:hAnsi="仿宋" w:eastAsia="仿宋" w:cs="仿宋"/>
                <w:sz w:val="21"/>
                <w:szCs w:val="21"/>
              </w:rPr>
              <w:t>丛</w:t>
            </w:r>
          </w:p>
        </w:tc>
        <w:tc>
          <w:tcPr>
            <w:tcW w:w="1182" w:type="dxa"/>
            <w:vAlign w:val="top"/>
          </w:tcPr>
          <w:p>
            <w:pPr>
              <w:spacing w:before="45" w:line="218" w:lineRule="auto"/>
              <w:ind w:left="288"/>
              <w:rPr>
                <w:rFonts w:ascii="仿宋" w:hAnsi="仿宋" w:eastAsia="仿宋" w:cs="仿宋"/>
                <w:sz w:val="21"/>
                <w:szCs w:val="21"/>
              </w:rPr>
            </w:pPr>
            <w:r>
              <w:rPr>
                <w:rFonts w:ascii="仿宋" w:hAnsi="仿宋" w:eastAsia="仿宋" w:cs="仿宋"/>
                <w:spacing w:val="-4"/>
                <w:sz w:val="21"/>
                <w:szCs w:val="21"/>
              </w:rPr>
              <w:t>含锥连</w:t>
            </w:r>
          </w:p>
          <w:p>
            <w:pPr>
              <w:spacing w:before="24" w:line="215" w:lineRule="auto"/>
              <w:ind w:left="180"/>
              <w:rPr>
                <w:rFonts w:ascii="仿宋" w:hAnsi="仿宋" w:eastAsia="仿宋" w:cs="仿宋"/>
                <w:sz w:val="21"/>
                <w:szCs w:val="21"/>
              </w:rPr>
            </w:pPr>
            <w:r>
              <w:rPr>
                <w:rFonts w:ascii="仿宋" w:hAnsi="仿宋" w:eastAsia="仿宋" w:cs="仿宋"/>
                <w:spacing w:val="-3"/>
                <w:sz w:val="21"/>
                <w:szCs w:val="21"/>
              </w:rPr>
              <w:t>栎、车桑</w:t>
            </w:r>
          </w:p>
          <w:p>
            <w:pPr>
              <w:spacing w:before="27" w:line="218" w:lineRule="auto"/>
              <w:ind w:left="190"/>
              <w:rPr>
                <w:rFonts w:ascii="仿宋" w:hAnsi="仿宋" w:eastAsia="仿宋" w:cs="仿宋"/>
                <w:sz w:val="21"/>
                <w:szCs w:val="21"/>
              </w:rPr>
            </w:pPr>
            <w:r>
              <w:rPr>
                <w:rFonts w:ascii="仿宋" w:hAnsi="仿宋" w:eastAsia="仿宋" w:cs="仿宋"/>
                <w:spacing w:val="-5"/>
                <w:sz w:val="21"/>
                <w:szCs w:val="21"/>
              </w:rPr>
              <w:t>子的中草</w:t>
            </w:r>
          </w:p>
          <w:p>
            <w:pPr>
              <w:spacing w:before="24" w:line="191" w:lineRule="auto"/>
              <w:ind w:left="394"/>
              <w:rPr>
                <w:rFonts w:ascii="仿宋" w:hAnsi="仿宋" w:eastAsia="仿宋" w:cs="仿宋"/>
                <w:sz w:val="21"/>
                <w:szCs w:val="21"/>
              </w:rPr>
            </w:pPr>
            <w:r>
              <w:rPr>
                <w:rFonts w:ascii="仿宋" w:hAnsi="仿宋" w:eastAsia="仿宋" w:cs="仿宋"/>
                <w:spacing w:val="-5"/>
                <w:sz w:val="21"/>
                <w:szCs w:val="21"/>
              </w:rPr>
              <w:t>草丛</w:t>
            </w:r>
          </w:p>
        </w:tc>
        <w:tc>
          <w:tcPr>
            <w:tcW w:w="3188" w:type="dxa"/>
            <w:vAlign w:val="top"/>
          </w:tcPr>
          <w:p>
            <w:pPr>
              <w:spacing w:before="45" w:line="215" w:lineRule="auto"/>
              <w:ind w:left="135"/>
              <w:rPr>
                <w:rFonts w:ascii="仿宋" w:hAnsi="仿宋" w:eastAsia="仿宋" w:cs="仿宋"/>
                <w:sz w:val="21"/>
                <w:szCs w:val="21"/>
              </w:rPr>
            </w:pPr>
            <w:r>
              <w:rPr>
                <w:rFonts w:ascii="仿宋" w:hAnsi="仿宋" w:eastAsia="仿宋" w:cs="仿宋"/>
                <w:spacing w:val="-12"/>
                <w:sz w:val="21"/>
                <w:szCs w:val="21"/>
              </w:rPr>
              <w:t>零星分布于在河谷坡面山地，</w:t>
            </w:r>
            <w:r>
              <w:rPr>
                <w:rFonts w:ascii="仿宋" w:hAnsi="仿宋" w:eastAsia="仿宋" w:cs="仿宋"/>
                <w:spacing w:val="62"/>
                <w:sz w:val="21"/>
                <w:szCs w:val="21"/>
              </w:rPr>
              <w:t xml:space="preserve"> </w:t>
            </w:r>
            <w:r>
              <w:rPr>
                <w:rFonts w:ascii="仿宋" w:hAnsi="仿宋" w:eastAsia="仿宋" w:cs="仿宋"/>
                <w:spacing w:val="-12"/>
                <w:sz w:val="21"/>
                <w:szCs w:val="21"/>
              </w:rPr>
              <w:t>是</w:t>
            </w:r>
          </w:p>
          <w:p>
            <w:pPr>
              <w:spacing w:before="27" w:line="218" w:lineRule="auto"/>
              <w:ind w:left="240"/>
              <w:rPr>
                <w:rFonts w:ascii="仿宋" w:hAnsi="仿宋" w:eastAsia="仿宋" w:cs="仿宋"/>
                <w:sz w:val="21"/>
                <w:szCs w:val="21"/>
              </w:rPr>
            </w:pPr>
            <w:r>
              <w:rPr>
                <w:rFonts w:ascii="仿宋" w:hAnsi="仿宋" w:eastAsia="仿宋" w:cs="仿宋"/>
                <w:spacing w:val="-2"/>
                <w:sz w:val="21"/>
                <w:szCs w:val="21"/>
              </w:rPr>
              <w:t>锥连栎被破坏后形成的次生植</w:t>
            </w:r>
          </w:p>
          <w:p>
            <w:pPr>
              <w:pStyle w:val="6"/>
              <w:spacing w:before="24" w:line="219" w:lineRule="auto"/>
              <w:ind w:left="210"/>
              <w:rPr>
                <w:rFonts w:ascii="仿宋" w:hAnsi="仿宋" w:eastAsia="仿宋" w:cs="仿宋"/>
              </w:rPr>
            </w:pPr>
            <w:r>
              <w:rPr>
                <w:rFonts w:ascii="仿宋" w:hAnsi="仿宋" w:eastAsia="仿宋" w:cs="仿宋"/>
                <w:spacing w:val="-2"/>
              </w:rPr>
              <w:t>被，海拔一般不超过</w:t>
            </w:r>
            <w:r>
              <w:rPr>
                <w:rFonts w:ascii="仿宋" w:hAnsi="仿宋" w:eastAsia="仿宋" w:cs="仿宋"/>
                <w:spacing w:val="-38"/>
              </w:rPr>
              <w:t xml:space="preserve"> </w:t>
            </w:r>
            <w:r>
              <w:rPr>
                <w:spacing w:val="-2"/>
              </w:rPr>
              <w:t>2100m</w:t>
            </w:r>
            <w:r>
              <w:rPr>
                <w:spacing w:val="24"/>
                <w:w w:val="101"/>
              </w:rPr>
              <w:t xml:space="preserve"> </w:t>
            </w:r>
            <w:r>
              <w:rPr>
                <w:rFonts w:ascii="仿宋" w:hAnsi="仿宋" w:eastAsia="仿宋" w:cs="仿宋"/>
                <w:spacing w:val="-2"/>
              </w:rPr>
              <w:t>受</w:t>
            </w:r>
          </w:p>
          <w:p>
            <w:pPr>
              <w:spacing w:before="23" w:line="191" w:lineRule="auto"/>
              <w:ind w:left="662"/>
              <w:rPr>
                <w:rFonts w:ascii="仿宋" w:hAnsi="仿宋" w:eastAsia="仿宋" w:cs="仿宋"/>
                <w:sz w:val="21"/>
                <w:szCs w:val="21"/>
              </w:rPr>
            </w:pPr>
            <w:r>
              <w:rPr>
                <w:rFonts w:ascii="仿宋" w:hAnsi="仿宋" w:eastAsia="仿宋" w:cs="仿宋"/>
                <w:spacing w:val="-2"/>
                <w:sz w:val="21"/>
                <w:szCs w:val="21"/>
              </w:rPr>
              <w:t>人为扰动较大的山坡</w:t>
            </w:r>
          </w:p>
        </w:tc>
        <w:tc>
          <w:tcPr>
            <w:tcW w:w="999" w:type="dxa"/>
            <w:vAlign w:val="top"/>
          </w:tcPr>
          <w:p>
            <w:pPr>
              <w:spacing w:line="428" w:lineRule="auto"/>
              <w:rPr>
                <w:rFonts w:ascii="Arial"/>
                <w:sz w:val="21"/>
              </w:rPr>
            </w:pPr>
          </w:p>
          <w:p>
            <w:pPr>
              <w:pStyle w:val="6"/>
              <w:spacing w:before="60" w:line="188" w:lineRule="auto"/>
              <w:ind w:left="314"/>
            </w:pPr>
            <w:r>
              <w:rPr>
                <w:spacing w:val="-1"/>
              </w:rPr>
              <w:t>40.3</w:t>
            </w:r>
          </w:p>
        </w:tc>
        <w:tc>
          <w:tcPr>
            <w:tcW w:w="871" w:type="dxa"/>
            <w:tcBorders>
              <w:right w:val="nil"/>
            </w:tcBorders>
            <w:vAlign w:val="top"/>
          </w:tcPr>
          <w:p>
            <w:pPr>
              <w:spacing w:line="428" w:lineRule="auto"/>
              <w:rPr>
                <w:rFonts w:ascii="Arial"/>
                <w:sz w:val="21"/>
              </w:rPr>
            </w:pPr>
          </w:p>
          <w:p>
            <w:pPr>
              <w:pStyle w:val="6"/>
              <w:spacing w:before="60" w:line="188" w:lineRule="auto"/>
              <w:ind w:left="252"/>
            </w:pPr>
            <w:r>
              <w:rPr>
                <w:spacing w:val="-1"/>
              </w:rPr>
              <w:t>4.91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0" w:hRule="atLeast"/>
        </w:trPr>
        <w:tc>
          <w:tcPr>
            <w:tcW w:w="742" w:type="dxa"/>
            <w:vMerge w:val="continue"/>
            <w:tcBorders>
              <w:top w:val="nil"/>
              <w:left w:val="nil"/>
              <w:bottom w:val="nil"/>
            </w:tcBorders>
            <w:vAlign w:val="top"/>
          </w:tcPr>
          <w:p>
            <w:pPr>
              <w:rPr>
                <w:rFonts w:ascii="Arial"/>
                <w:sz w:val="21"/>
              </w:rPr>
            </w:pPr>
          </w:p>
        </w:tc>
        <w:tc>
          <w:tcPr>
            <w:tcW w:w="1325" w:type="dxa"/>
            <w:vAlign w:val="top"/>
          </w:tcPr>
          <w:p>
            <w:pPr>
              <w:pStyle w:val="6"/>
              <w:spacing w:before="186" w:line="216" w:lineRule="auto"/>
              <w:ind w:left="154"/>
              <w:rPr>
                <w:rFonts w:ascii="仿宋" w:hAnsi="仿宋" w:eastAsia="仿宋" w:cs="仿宋"/>
              </w:rPr>
            </w:pPr>
            <w:r>
              <w:rPr>
                <w:spacing w:val="-3"/>
              </w:rPr>
              <w:t>VI.</w:t>
            </w:r>
            <w:r>
              <w:rPr>
                <w:spacing w:val="11"/>
              </w:rPr>
              <w:t xml:space="preserve">  </w:t>
            </w:r>
            <w:r>
              <w:rPr>
                <w:rFonts w:ascii="仿宋" w:hAnsi="仿宋" w:eastAsia="仿宋" w:cs="仿宋"/>
                <w:spacing w:val="-3"/>
              </w:rPr>
              <w:t>暖温性</w:t>
            </w:r>
          </w:p>
          <w:p>
            <w:pPr>
              <w:spacing w:before="26" w:line="217" w:lineRule="auto"/>
              <w:ind w:left="148"/>
              <w:rPr>
                <w:rFonts w:ascii="仿宋" w:hAnsi="仿宋" w:eastAsia="仿宋" w:cs="仿宋"/>
                <w:sz w:val="21"/>
                <w:szCs w:val="21"/>
              </w:rPr>
            </w:pPr>
            <w:r>
              <w:rPr>
                <w:rFonts w:ascii="仿宋" w:hAnsi="仿宋" w:eastAsia="仿宋" w:cs="仿宋"/>
                <w:spacing w:val="-4"/>
                <w:sz w:val="21"/>
                <w:szCs w:val="21"/>
              </w:rPr>
              <w:t>稀树灌木草</w:t>
            </w:r>
          </w:p>
          <w:p>
            <w:pPr>
              <w:spacing w:before="25" w:line="227" w:lineRule="auto"/>
              <w:ind w:left="568"/>
              <w:rPr>
                <w:rFonts w:ascii="仿宋" w:hAnsi="仿宋" w:eastAsia="仿宋" w:cs="仿宋"/>
                <w:sz w:val="21"/>
                <w:szCs w:val="21"/>
              </w:rPr>
            </w:pPr>
            <w:r>
              <w:rPr>
                <w:rFonts w:ascii="仿宋" w:hAnsi="仿宋" w:eastAsia="仿宋" w:cs="仿宋"/>
                <w:sz w:val="21"/>
                <w:szCs w:val="21"/>
              </w:rPr>
              <w:t>丛</w:t>
            </w:r>
          </w:p>
        </w:tc>
        <w:tc>
          <w:tcPr>
            <w:tcW w:w="1182" w:type="dxa"/>
            <w:vAlign w:val="top"/>
          </w:tcPr>
          <w:p>
            <w:pPr>
              <w:spacing w:before="51" w:line="218" w:lineRule="auto"/>
              <w:ind w:left="182"/>
              <w:rPr>
                <w:rFonts w:ascii="仿宋" w:hAnsi="仿宋" w:eastAsia="仿宋" w:cs="仿宋"/>
                <w:sz w:val="21"/>
                <w:szCs w:val="21"/>
              </w:rPr>
            </w:pPr>
            <w:r>
              <w:rPr>
                <w:rFonts w:ascii="仿宋" w:hAnsi="仿宋" w:eastAsia="仿宋" w:cs="仿宋"/>
                <w:spacing w:val="-3"/>
                <w:sz w:val="21"/>
                <w:szCs w:val="21"/>
              </w:rPr>
              <w:t>含云南松</w:t>
            </w:r>
          </w:p>
          <w:p>
            <w:pPr>
              <w:spacing w:before="24" w:line="216" w:lineRule="auto"/>
              <w:ind w:left="181"/>
              <w:rPr>
                <w:rFonts w:ascii="仿宋" w:hAnsi="仿宋" w:eastAsia="仿宋" w:cs="仿宋"/>
                <w:sz w:val="21"/>
                <w:szCs w:val="21"/>
              </w:rPr>
            </w:pPr>
            <w:r>
              <w:rPr>
                <w:rFonts w:ascii="仿宋" w:hAnsi="仿宋" w:eastAsia="仿宋" w:cs="仿宋"/>
                <w:spacing w:val="-3"/>
                <w:sz w:val="21"/>
                <w:szCs w:val="21"/>
              </w:rPr>
              <w:t>和珍珠花</w:t>
            </w:r>
          </w:p>
          <w:p>
            <w:pPr>
              <w:spacing w:before="26" w:line="218" w:lineRule="auto"/>
              <w:ind w:left="193"/>
              <w:rPr>
                <w:rFonts w:ascii="仿宋" w:hAnsi="仿宋" w:eastAsia="仿宋" w:cs="仿宋"/>
                <w:sz w:val="21"/>
                <w:szCs w:val="21"/>
              </w:rPr>
            </w:pPr>
            <w:r>
              <w:rPr>
                <w:rFonts w:ascii="仿宋" w:hAnsi="仿宋" w:eastAsia="仿宋" w:cs="仿宋"/>
                <w:spacing w:val="-5"/>
                <w:sz w:val="21"/>
                <w:szCs w:val="21"/>
              </w:rPr>
              <w:t>的中草草</w:t>
            </w:r>
          </w:p>
          <w:p>
            <w:pPr>
              <w:spacing w:before="23" w:line="187" w:lineRule="auto"/>
              <w:ind w:left="498"/>
              <w:rPr>
                <w:rFonts w:ascii="仿宋" w:hAnsi="仿宋" w:eastAsia="仿宋" w:cs="仿宋"/>
                <w:sz w:val="21"/>
                <w:szCs w:val="21"/>
              </w:rPr>
            </w:pPr>
            <w:r>
              <w:rPr>
                <w:rFonts w:ascii="仿宋" w:hAnsi="仿宋" w:eastAsia="仿宋" w:cs="仿宋"/>
                <w:sz w:val="21"/>
                <w:szCs w:val="21"/>
              </w:rPr>
              <w:t>丛</w:t>
            </w:r>
          </w:p>
        </w:tc>
        <w:tc>
          <w:tcPr>
            <w:tcW w:w="3188" w:type="dxa"/>
            <w:vAlign w:val="top"/>
          </w:tcPr>
          <w:p>
            <w:pPr>
              <w:spacing w:line="254" w:lineRule="auto"/>
              <w:rPr>
                <w:rFonts w:ascii="Arial"/>
                <w:sz w:val="21"/>
              </w:rPr>
            </w:pPr>
          </w:p>
          <w:p>
            <w:pPr>
              <w:spacing w:before="68" w:line="228" w:lineRule="auto"/>
              <w:ind w:left="977" w:right="122" w:hanging="840"/>
              <w:rPr>
                <w:rFonts w:ascii="仿宋" w:hAnsi="仿宋" w:eastAsia="仿宋" w:cs="仿宋"/>
                <w:sz w:val="21"/>
                <w:szCs w:val="21"/>
              </w:rPr>
            </w:pPr>
            <w:r>
              <w:rPr>
                <w:rFonts w:ascii="仿宋" w:hAnsi="仿宋" w:eastAsia="仿宋" w:cs="仿宋"/>
                <w:spacing w:val="-2"/>
                <w:sz w:val="21"/>
                <w:szCs w:val="21"/>
              </w:rPr>
              <w:t>分布在河谷坡面山地，受人为扰</w:t>
            </w:r>
            <w:r>
              <w:rPr>
                <w:rFonts w:ascii="仿宋" w:hAnsi="仿宋" w:eastAsia="仿宋" w:cs="仿宋"/>
                <w:spacing w:val="10"/>
                <w:sz w:val="21"/>
                <w:szCs w:val="21"/>
              </w:rPr>
              <w:t xml:space="preserve"> </w:t>
            </w:r>
            <w:r>
              <w:rPr>
                <w:rFonts w:ascii="仿宋" w:hAnsi="仿宋" w:eastAsia="仿宋" w:cs="仿宋"/>
                <w:spacing w:val="-3"/>
                <w:sz w:val="21"/>
                <w:szCs w:val="21"/>
              </w:rPr>
              <w:t>动较大的山坡</w:t>
            </w:r>
          </w:p>
        </w:tc>
        <w:tc>
          <w:tcPr>
            <w:tcW w:w="999" w:type="dxa"/>
            <w:vAlign w:val="top"/>
          </w:tcPr>
          <w:p>
            <w:pPr>
              <w:spacing w:line="433" w:lineRule="auto"/>
              <w:rPr>
                <w:rFonts w:ascii="Arial"/>
                <w:sz w:val="21"/>
              </w:rPr>
            </w:pPr>
          </w:p>
          <w:p>
            <w:pPr>
              <w:pStyle w:val="6"/>
              <w:spacing w:before="61" w:line="188" w:lineRule="auto"/>
              <w:ind w:left="231"/>
            </w:pPr>
            <w:r>
              <w:rPr>
                <w:spacing w:val="-4"/>
              </w:rPr>
              <w:t>172.87</w:t>
            </w:r>
          </w:p>
        </w:tc>
        <w:tc>
          <w:tcPr>
            <w:tcW w:w="871" w:type="dxa"/>
            <w:tcBorders>
              <w:right w:val="nil"/>
            </w:tcBorders>
            <w:vAlign w:val="top"/>
          </w:tcPr>
          <w:p>
            <w:pPr>
              <w:spacing w:line="433" w:lineRule="auto"/>
              <w:rPr>
                <w:rFonts w:ascii="Arial"/>
                <w:sz w:val="21"/>
              </w:rPr>
            </w:pPr>
          </w:p>
          <w:p>
            <w:pPr>
              <w:pStyle w:val="6"/>
              <w:spacing w:before="61" w:line="188" w:lineRule="auto"/>
              <w:ind w:left="201"/>
            </w:pPr>
            <w:r>
              <w:rPr>
                <w:spacing w:val="-1"/>
              </w:rPr>
              <w:t>21.07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742" w:type="dxa"/>
            <w:vMerge w:val="continue"/>
            <w:tcBorders>
              <w:top w:val="nil"/>
              <w:left w:val="nil"/>
              <w:bottom w:val="nil"/>
            </w:tcBorders>
            <w:vAlign w:val="top"/>
          </w:tcPr>
          <w:p>
            <w:pPr>
              <w:rPr>
                <w:rFonts w:ascii="Arial"/>
                <w:sz w:val="21"/>
              </w:rPr>
            </w:pPr>
          </w:p>
        </w:tc>
        <w:tc>
          <w:tcPr>
            <w:tcW w:w="1325" w:type="dxa"/>
            <w:vMerge w:val="restart"/>
            <w:tcBorders>
              <w:bottom w:val="nil"/>
            </w:tcBorders>
            <w:vAlign w:val="top"/>
          </w:tcPr>
          <w:p>
            <w:pPr>
              <w:spacing w:line="262" w:lineRule="auto"/>
              <w:rPr>
                <w:rFonts w:ascii="Arial"/>
                <w:sz w:val="21"/>
              </w:rPr>
            </w:pPr>
          </w:p>
          <w:p>
            <w:pPr>
              <w:pStyle w:val="6"/>
              <w:spacing w:before="68" w:line="229" w:lineRule="auto"/>
              <w:ind w:left="253" w:right="122" w:hanging="133"/>
              <w:rPr>
                <w:rFonts w:ascii="仿宋" w:hAnsi="仿宋" w:eastAsia="仿宋" w:cs="仿宋"/>
              </w:rPr>
            </w:pPr>
            <w:r>
              <w:rPr>
                <w:spacing w:val="-4"/>
              </w:rPr>
              <w:t>VII.</w:t>
            </w:r>
            <w:r>
              <w:rPr>
                <w:spacing w:val="12"/>
              </w:rPr>
              <w:t xml:space="preserve">  </w:t>
            </w:r>
            <w:r>
              <w:rPr>
                <w:rFonts w:ascii="仿宋" w:hAnsi="仿宋" w:eastAsia="仿宋" w:cs="仿宋"/>
                <w:spacing w:val="-4"/>
              </w:rPr>
              <w:t>暖性石</w:t>
            </w:r>
            <w:r>
              <w:rPr>
                <w:rFonts w:ascii="仿宋" w:hAnsi="仿宋" w:eastAsia="仿宋" w:cs="仿宋"/>
              </w:rPr>
              <w:t xml:space="preserve"> </w:t>
            </w:r>
            <w:r>
              <w:rPr>
                <w:rFonts w:ascii="仿宋" w:hAnsi="仿宋" w:eastAsia="仿宋" w:cs="仿宋"/>
                <w:spacing w:val="-3"/>
              </w:rPr>
              <w:t>灰岩灌丛</w:t>
            </w:r>
          </w:p>
        </w:tc>
        <w:tc>
          <w:tcPr>
            <w:tcW w:w="1182" w:type="dxa"/>
            <w:vAlign w:val="top"/>
          </w:tcPr>
          <w:p>
            <w:pPr>
              <w:spacing w:before="190" w:line="217" w:lineRule="auto"/>
              <w:ind w:left="183"/>
              <w:rPr>
                <w:rFonts w:ascii="仿宋" w:hAnsi="仿宋" w:eastAsia="仿宋" w:cs="仿宋"/>
                <w:sz w:val="21"/>
                <w:szCs w:val="21"/>
              </w:rPr>
            </w:pPr>
            <w:r>
              <w:rPr>
                <w:rFonts w:ascii="仿宋" w:hAnsi="仿宋" w:eastAsia="仿宋" w:cs="仿宋"/>
                <w:spacing w:val="-4"/>
                <w:sz w:val="21"/>
                <w:szCs w:val="21"/>
              </w:rPr>
              <w:t>铁仔灌丛</w:t>
            </w:r>
          </w:p>
        </w:tc>
        <w:tc>
          <w:tcPr>
            <w:tcW w:w="3188" w:type="dxa"/>
            <w:vAlign w:val="top"/>
          </w:tcPr>
          <w:p>
            <w:pPr>
              <w:spacing w:before="54" w:line="213" w:lineRule="auto"/>
              <w:ind w:left="1078" w:right="122" w:hanging="941"/>
              <w:rPr>
                <w:rFonts w:ascii="仿宋" w:hAnsi="仿宋" w:eastAsia="仿宋" w:cs="仿宋"/>
                <w:sz w:val="21"/>
                <w:szCs w:val="21"/>
              </w:rPr>
            </w:pPr>
            <w:r>
              <w:rPr>
                <w:rFonts w:ascii="仿宋" w:hAnsi="仿宋" w:eastAsia="仿宋" w:cs="仿宋"/>
                <w:spacing w:val="-2"/>
                <w:sz w:val="21"/>
                <w:szCs w:val="21"/>
              </w:rPr>
              <w:t>分布较广，在人为扰动较大的山</w:t>
            </w:r>
            <w:r>
              <w:rPr>
                <w:rFonts w:ascii="仿宋" w:hAnsi="仿宋" w:eastAsia="仿宋" w:cs="仿宋"/>
                <w:spacing w:val="10"/>
                <w:sz w:val="21"/>
                <w:szCs w:val="21"/>
              </w:rPr>
              <w:t xml:space="preserve"> </w:t>
            </w:r>
            <w:r>
              <w:rPr>
                <w:rFonts w:ascii="仿宋" w:hAnsi="仿宋" w:eastAsia="仿宋" w:cs="仿宋"/>
                <w:spacing w:val="-3"/>
                <w:sz w:val="21"/>
                <w:szCs w:val="21"/>
              </w:rPr>
              <w:t>坡皆有分布</w:t>
            </w:r>
          </w:p>
        </w:tc>
        <w:tc>
          <w:tcPr>
            <w:tcW w:w="999" w:type="dxa"/>
            <w:vAlign w:val="top"/>
          </w:tcPr>
          <w:p>
            <w:pPr>
              <w:pStyle w:val="6"/>
              <w:spacing w:before="228" w:line="188" w:lineRule="auto"/>
              <w:ind w:left="267"/>
            </w:pPr>
            <w:r>
              <w:rPr>
                <w:spacing w:val="-2"/>
              </w:rPr>
              <w:t>60.46</w:t>
            </w:r>
          </w:p>
        </w:tc>
        <w:tc>
          <w:tcPr>
            <w:tcW w:w="871" w:type="dxa"/>
            <w:tcBorders>
              <w:right w:val="nil"/>
            </w:tcBorders>
            <w:vAlign w:val="top"/>
          </w:tcPr>
          <w:p>
            <w:pPr>
              <w:pStyle w:val="6"/>
              <w:spacing w:before="228" w:line="188" w:lineRule="auto"/>
              <w:ind w:left="257"/>
            </w:pPr>
            <w:r>
              <w:rPr>
                <w:spacing w:val="-2"/>
              </w:rPr>
              <w:t>7.37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742" w:type="dxa"/>
            <w:vMerge w:val="continue"/>
            <w:tcBorders>
              <w:top w:val="nil"/>
              <w:left w:val="nil"/>
            </w:tcBorders>
            <w:vAlign w:val="top"/>
          </w:tcPr>
          <w:p>
            <w:pPr>
              <w:rPr>
                <w:rFonts w:ascii="Arial"/>
                <w:sz w:val="21"/>
              </w:rPr>
            </w:pPr>
          </w:p>
        </w:tc>
        <w:tc>
          <w:tcPr>
            <w:tcW w:w="1325" w:type="dxa"/>
            <w:vMerge w:val="continue"/>
            <w:tcBorders>
              <w:top w:val="nil"/>
            </w:tcBorders>
            <w:vAlign w:val="top"/>
          </w:tcPr>
          <w:p>
            <w:pPr>
              <w:rPr>
                <w:rFonts w:ascii="Arial"/>
                <w:sz w:val="21"/>
              </w:rPr>
            </w:pPr>
          </w:p>
        </w:tc>
        <w:tc>
          <w:tcPr>
            <w:tcW w:w="1182" w:type="dxa"/>
            <w:vAlign w:val="top"/>
          </w:tcPr>
          <w:p>
            <w:pPr>
              <w:spacing w:before="55" w:line="212" w:lineRule="auto"/>
              <w:ind w:left="498" w:right="169" w:hanging="312"/>
              <w:rPr>
                <w:rFonts w:ascii="仿宋" w:hAnsi="仿宋" w:eastAsia="仿宋" w:cs="仿宋"/>
                <w:sz w:val="21"/>
                <w:szCs w:val="21"/>
              </w:rPr>
            </w:pPr>
            <w:r>
              <w:rPr>
                <w:rFonts w:ascii="仿宋" w:hAnsi="仿宋" w:eastAsia="仿宋" w:cs="仿宋"/>
                <w:spacing w:val="-5"/>
                <w:sz w:val="21"/>
                <w:szCs w:val="21"/>
              </w:rPr>
              <w:t>车桑子灌</w:t>
            </w:r>
            <w:r>
              <w:rPr>
                <w:rFonts w:ascii="仿宋" w:hAnsi="仿宋" w:eastAsia="仿宋" w:cs="仿宋"/>
                <w:sz w:val="21"/>
                <w:szCs w:val="21"/>
              </w:rPr>
              <w:t xml:space="preserve"> 丛</w:t>
            </w:r>
          </w:p>
        </w:tc>
        <w:tc>
          <w:tcPr>
            <w:tcW w:w="3188" w:type="dxa"/>
            <w:vAlign w:val="top"/>
          </w:tcPr>
          <w:p>
            <w:pPr>
              <w:pStyle w:val="6"/>
              <w:spacing w:before="55" w:line="212" w:lineRule="auto"/>
              <w:ind w:left="1415" w:right="224" w:hanging="1178"/>
              <w:rPr>
                <w:rFonts w:ascii="仿宋" w:hAnsi="仿宋" w:eastAsia="仿宋" w:cs="仿宋"/>
              </w:rPr>
            </w:pPr>
            <w:r>
              <w:rPr>
                <w:rFonts w:ascii="仿宋" w:hAnsi="仿宋" w:eastAsia="仿宋" w:cs="仿宋"/>
                <w:spacing w:val="-2"/>
              </w:rPr>
              <w:t>零星分布于库区，海拔</w:t>
            </w:r>
            <w:r>
              <w:rPr>
                <w:rFonts w:ascii="仿宋" w:hAnsi="仿宋" w:eastAsia="仿宋" w:cs="仿宋"/>
                <w:spacing w:val="-39"/>
              </w:rPr>
              <w:t xml:space="preserve"> </w:t>
            </w:r>
            <w:r>
              <w:rPr>
                <w:spacing w:val="-2"/>
              </w:rPr>
              <w:t>2200m</w:t>
            </w:r>
            <w:r>
              <w:t xml:space="preserve"> </w:t>
            </w:r>
            <w:r>
              <w:rPr>
                <w:rFonts w:ascii="仿宋" w:hAnsi="仿宋" w:eastAsia="仿宋" w:cs="仿宋"/>
                <w:spacing w:val="-9"/>
              </w:rPr>
              <w:t>以下</w:t>
            </w:r>
          </w:p>
        </w:tc>
        <w:tc>
          <w:tcPr>
            <w:tcW w:w="999" w:type="dxa"/>
            <w:vAlign w:val="top"/>
          </w:tcPr>
          <w:p>
            <w:pPr>
              <w:pStyle w:val="6"/>
              <w:spacing w:before="229" w:line="188" w:lineRule="auto"/>
              <w:ind w:left="262"/>
            </w:pPr>
            <w:r>
              <w:rPr>
                <w:spacing w:val="-1"/>
              </w:rPr>
              <w:t>28.05</w:t>
            </w:r>
          </w:p>
        </w:tc>
        <w:tc>
          <w:tcPr>
            <w:tcW w:w="871" w:type="dxa"/>
            <w:tcBorders>
              <w:right w:val="nil"/>
            </w:tcBorders>
            <w:vAlign w:val="top"/>
          </w:tcPr>
          <w:p>
            <w:pPr>
              <w:pStyle w:val="6"/>
              <w:spacing w:before="229" w:line="188" w:lineRule="auto"/>
              <w:ind w:left="258"/>
            </w:pPr>
            <w:r>
              <w:rPr>
                <w:spacing w:val="-2"/>
              </w:rPr>
              <w:t>3.42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742" w:type="dxa"/>
            <w:vMerge w:val="restart"/>
            <w:tcBorders>
              <w:left w:val="nil"/>
              <w:bottom w:val="nil"/>
            </w:tcBorders>
            <w:vAlign w:val="top"/>
          </w:tcPr>
          <w:p>
            <w:pPr>
              <w:spacing w:before="199" w:line="239" w:lineRule="auto"/>
              <w:ind w:left="114"/>
              <w:rPr>
                <w:rFonts w:ascii="仿宋" w:hAnsi="仿宋" w:eastAsia="仿宋" w:cs="仿宋"/>
                <w:sz w:val="21"/>
                <w:szCs w:val="21"/>
              </w:rPr>
            </w:pPr>
            <w:r>
              <w:rPr>
                <w:rFonts w:ascii="宋体" w:hAnsi="宋体" w:eastAsia="宋体" w:cs="宋体"/>
                <w:spacing w:val="-4"/>
                <w:sz w:val="21"/>
                <w:szCs w:val="21"/>
              </w:rPr>
              <w:t>②</w:t>
            </w:r>
            <w:r>
              <w:rPr>
                <w:rFonts w:ascii="仿宋" w:hAnsi="仿宋" w:eastAsia="仿宋" w:cs="仿宋"/>
                <w:spacing w:val="-4"/>
                <w:sz w:val="21"/>
                <w:szCs w:val="21"/>
              </w:rPr>
              <w:t>人</w:t>
            </w:r>
          </w:p>
          <w:p>
            <w:pPr>
              <w:spacing w:line="218" w:lineRule="auto"/>
              <w:ind w:left="126"/>
              <w:rPr>
                <w:rFonts w:ascii="仿宋" w:hAnsi="仿宋" w:eastAsia="仿宋" w:cs="仿宋"/>
                <w:sz w:val="21"/>
                <w:szCs w:val="21"/>
              </w:rPr>
            </w:pPr>
            <w:r>
              <w:rPr>
                <w:rFonts w:ascii="仿宋" w:hAnsi="仿宋" w:eastAsia="仿宋" w:cs="仿宋"/>
                <w:spacing w:val="-5"/>
                <w:sz w:val="21"/>
                <w:szCs w:val="21"/>
              </w:rPr>
              <w:t>工植</w:t>
            </w:r>
          </w:p>
          <w:p>
            <w:pPr>
              <w:spacing w:before="24" w:line="219" w:lineRule="auto"/>
              <w:ind w:left="121"/>
              <w:rPr>
                <w:rFonts w:ascii="仿宋" w:hAnsi="仿宋" w:eastAsia="仿宋" w:cs="仿宋"/>
                <w:sz w:val="21"/>
                <w:szCs w:val="21"/>
              </w:rPr>
            </w:pPr>
            <w:r>
              <w:rPr>
                <w:rFonts w:ascii="仿宋" w:hAnsi="仿宋" w:eastAsia="仿宋" w:cs="仿宋"/>
                <w:sz w:val="21"/>
                <w:szCs w:val="21"/>
              </w:rPr>
              <w:t>被</w:t>
            </w:r>
          </w:p>
        </w:tc>
        <w:tc>
          <w:tcPr>
            <w:tcW w:w="1325" w:type="dxa"/>
            <w:vMerge w:val="restart"/>
            <w:tcBorders>
              <w:bottom w:val="nil"/>
            </w:tcBorders>
            <w:vAlign w:val="top"/>
          </w:tcPr>
          <w:p>
            <w:pPr>
              <w:spacing w:line="400" w:lineRule="auto"/>
              <w:rPr>
                <w:rFonts w:ascii="Arial"/>
                <w:sz w:val="21"/>
              </w:rPr>
            </w:pPr>
          </w:p>
          <w:p>
            <w:pPr>
              <w:pStyle w:val="6"/>
              <w:spacing w:before="69" w:line="218" w:lineRule="auto"/>
              <w:ind w:left="129"/>
              <w:rPr>
                <w:rFonts w:ascii="仿宋" w:hAnsi="仿宋" w:eastAsia="仿宋" w:cs="仿宋"/>
              </w:rPr>
            </w:pPr>
            <w:r>
              <w:rPr>
                <w:spacing w:val="-3"/>
              </w:rPr>
              <w:t>I.</w:t>
            </w:r>
            <w:r>
              <w:rPr>
                <w:spacing w:val="7"/>
              </w:rPr>
              <w:t xml:space="preserve">  </w:t>
            </w:r>
            <w:r>
              <w:rPr>
                <w:rFonts w:ascii="仿宋" w:hAnsi="仿宋" w:eastAsia="仿宋" w:cs="仿宋"/>
                <w:spacing w:val="-3"/>
              </w:rPr>
              <w:t>农田植被</w:t>
            </w:r>
          </w:p>
        </w:tc>
        <w:tc>
          <w:tcPr>
            <w:tcW w:w="1182" w:type="dxa"/>
            <w:vAlign w:val="top"/>
          </w:tcPr>
          <w:p>
            <w:pPr>
              <w:spacing w:before="194" w:line="218" w:lineRule="auto"/>
              <w:ind w:left="180"/>
              <w:rPr>
                <w:rFonts w:ascii="仿宋" w:hAnsi="仿宋" w:eastAsia="仿宋" w:cs="仿宋"/>
                <w:sz w:val="21"/>
                <w:szCs w:val="21"/>
              </w:rPr>
            </w:pPr>
            <w:r>
              <w:rPr>
                <w:rFonts w:ascii="仿宋" w:hAnsi="仿宋" w:eastAsia="仿宋" w:cs="仿宋"/>
                <w:spacing w:val="-3"/>
                <w:sz w:val="21"/>
                <w:szCs w:val="21"/>
              </w:rPr>
              <w:t>水田植被</w:t>
            </w:r>
          </w:p>
        </w:tc>
        <w:tc>
          <w:tcPr>
            <w:tcW w:w="3188" w:type="dxa"/>
            <w:vAlign w:val="top"/>
          </w:tcPr>
          <w:p>
            <w:pPr>
              <w:spacing w:before="56" w:line="211" w:lineRule="auto"/>
              <w:ind w:left="448" w:right="122" w:hanging="313"/>
              <w:rPr>
                <w:rFonts w:ascii="仿宋" w:hAnsi="仿宋" w:eastAsia="仿宋" w:cs="仿宋"/>
                <w:sz w:val="21"/>
                <w:szCs w:val="21"/>
              </w:rPr>
            </w:pPr>
            <w:r>
              <w:rPr>
                <w:rFonts w:ascii="仿宋" w:hAnsi="仿宋" w:eastAsia="仿宋" w:cs="仿宋"/>
                <w:spacing w:val="-2"/>
                <w:sz w:val="21"/>
                <w:szCs w:val="21"/>
              </w:rPr>
              <w:t>零星分布在村寨附近水利条件较</w:t>
            </w:r>
            <w:r>
              <w:rPr>
                <w:rFonts w:ascii="仿宋" w:hAnsi="仿宋" w:eastAsia="仿宋" w:cs="仿宋"/>
                <w:spacing w:val="12"/>
                <w:sz w:val="21"/>
                <w:szCs w:val="21"/>
              </w:rPr>
              <w:t xml:space="preserve"> </w:t>
            </w:r>
            <w:r>
              <w:rPr>
                <w:rFonts w:ascii="仿宋" w:hAnsi="仿宋" w:eastAsia="仿宋" w:cs="仿宋"/>
                <w:spacing w:val="-2"/>
                <w:sz w:val="21"/>
                <w:szCs w:val="21"/>
              </w:rPr>
              <w:t>好的地方，主要种植水稻</w:t>
            </w:r>
          </w:p>
        </w:tc>
        <w:tc>
          <w:tcPr>
            <w:tcW w:w="999" w:type="dxa"/>
            <w:vAlign w:val="top"/>
          </w:tcPr>
          <w:p>
            <w:pPr>
              <w:pStyle w:val="6"/>
              <w:spacing w:before="230" w:line="188" w:lineRule="auto"/>
              <w:ind w:left="283"/>
            </w:pPr>
            <w:r>
              <w:rPr>
                <w:spacing w:val="-5"/>
              </w:rPr>
              <w:t>18.14</w:t>
            </w:r>
          </w:p>
        </w:tc>
        <w:tc>
          <w:tcPr>
            <w:tcW w:w="871" w:type="dxa"/>
            <w:tcBorders>
              <w:right w:val="nil"/>
            </w:tcBorders>
            <w:vAlign w:val="top"/>
          </w:tcPr>
          <w:p>
            <w:pPr>
              <w:pStyle w:val="6"/>
              <w:spacing w:before="230" w:line="188" w:lineRule="auto"/>
              <w:ind w:left="253"/>
            </w:pPr>
            <w:r>
              <w:rPr>
                <w:spacing w:val="-1"/>
              </w:rPr>
              <w:t>2.21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3" w:hRule="atLeast"/>
        </w:trPr>
        <w:tc>
          <w:tcPr>
            <w:tcW w:w="742" w:type="dxa"/>
            <w:vMerge w:val="continue"/>
            <w:tcBorders>
              <w:top w:val="nil"/>
              <w:left w:val="nil"/>
              <w:bottom w:val="single" w:color="000000" w:sz="12" w:space="0"/>
            </w:tcBorders>
            <w:vAlign w:val="top"/>
          </w:tcPr>
          <w:p>
            <w:pPr>
              <w:rPr>
                <w:rFonts w:ascii="Arial"/>
                <w:sz w:val="21"/>
              </w:rPr>
            </w:pPr>
          </w:p>
        </w:tc>
        <w:tc>
          <w:tcPr>
            <w:tcW w:w="1325" w:type="dxa"/>
            <w:vMerge w:val="continue"/>
            <w:tcBorders>
              <w:top w:val="nil"/>
              <w:bottom w:val="single" w:color="000000" w:sz="12" w:space="0"/>
            </w:tcBorders>
            <w:vAlign w:val="top"/>
          </w:tcPr>
          <w:p>
            <w:pPr>
              <w:rPr>
                <w:rFonts w:ascii="Arial"/>
                <w:sz w:val="21"/>
              </w:rPr>
            </w:pPr>
          </w:p>
        </w:tc>
        <w:tc>
          <w:tcPr>
            <w:tcW w:w="1182" w:type="dxa"/>
            <w:tcBorders>
              <w:bottom w:val="single" w:color="000000" w:sz="12" w:space="0"/>
            </w:tcBorders>
            <w:vAlign w:val="top"/>
          </w:tcPr>
          <w:p>
            <w:pPr>
              <w:spacing w:before="196" w:line="218" w:lineRule="auto"/>
              <w:ind w:left="184"/>
              <w:rPr>
                <w:rFonts w:ascii="仿宋" w:hAnsi="仿宋" w:eastAsia="仿宋" w:cs="仿宋"/>
                <w:sz w:val="21"/>
                <w:szCs w:val="21"/>
              </w:rPr>
            </w:pPr>
            <w:r>
              <w:rPr>
                <w:rFonts w:ascii="仿宋" w:hAnsi="仿宋" w:eastAsia="仿宋" w:cs="仿宋"/>
                <w:spacing w:val="-4"/>
                <w:sz w:val="21"/>
                <w:szCs w:val="21"/>
              </w:rPr>
              <w:t>旱地植被</w:t>
            </w:r>
          </w:p>
        </w:tc>
        <w:tc>
          <w:tcPr>
            <w:tcW w:w="3188" w:type="dxa"/>
            <w:tcBorders>
              <w:bottom w:val="single" w:color="000000" w:sz="12" w:space="0"/>
            </w:tcBorders>
            <w:vAlign w:val="top"/>
          </w:tcPr>
          <w:p>
            <w:pPr>
              <w:spacing w:before="60" w:line="221" w:lineRule="auto"/>
              <w:ind w:left="135" w:right="122" w:firstLine="1"/>
              <w:rPr>
                <w:rFonts w:ascii="仿宋" w:hAnsi="仿宋" w:eastAsia="仿宋" w:cs="仿宋"/>
                <w:sz w:val="21"/>
                <w:szCs w:val="21"/>
              </w:rPr>
            </w:pPr>
            <w:r>
              <w:rPr>
                <w:rFonts w:ascii="仿宋" w:hAnsi="仿宋" w:eastAsia="仿宋" w:cs="仿宋"/>
                <w:spacing w:val="-2"/>
                <w:sz w:val="21"/>
                <w:szCs w:val="21"/>
              </w:rPr>
              <w:t>分布在村寨附近水利条件较差的</w:t>
            </w:r>
            <w:r>
              <w:rPr>
                <w:rFonts w:ascii="仿宋" w:hAnsi="仿宋" w:eastAsia="仿宋" w:cs="仿宋"/>
                <w:spacing w:val="10"/>
                <w:sz w:val="21"/>
                <w:szCs w:val="21"/>
              </w:rPr>
              <w:t xml:space="preserve"> </w:t>
            </w:r>
            <w:r>
              <w:rPr>
                <w:rFonts w:ascii="仿宋" w:hAnsi="仿宋" w:eastAsia="仿宋" w:cs="仿宋"/>
                <w:spacing w:val="-2"/>
                <w:sz w:val="21"/>
                <w:szCs w:val="21"/>
              </w:rPr>
              <w:t>地方，主要种植玉米、蔬菜等作</w:t>
            </w:r>
          </w:p>
        </w:tc>
        <w:tc>
          <w:tcPr>
            <w:tcW w:w="999" w:type="dxa"/>
            <w:tcBorders>
              <w:bottom w:val="single" w:color="000000" w:sz="12" w:space="0"/>
            </w:tcBorders>
            <w:vAlign w:val="top"/>
          </w:tcPr>
          <w:p>
            <w:pPr>
              <w:pStyle w:val="6"/>
              <w:spacing w:before="234" w:line="188" w:lineRule="auto"/>
              <w:ind w:left="235"/>
            </w:pPr>
            <w:r>
              <w:rPr>
                <w:spacing w:val="-6"/>
              </w:rPr>
              <w:t>118.45</w:t>
            </w:r>
          </w:p>
        </w:tc>
        <w:tc>
          <w:tcPr>
            <w:tcW w:w="871" w:type="dxa"/>
            <w:tcBorders>
              <w:bottom w:val="single" w:color="000000" w:sz="12" w:space="0"/>
              <w:right w:val="nil"/>
            </w:tcBorders>
            <w:vAlign w:val="top"/>
          </w:tcPr>
          <w:p>
            <w:pPr>
              <w:pStyle w:val="6"/>
              <w:spacing w:before="234" w:line="188" w:lineRule="auto"/>
              <w:ind w:left="221"/>
            </w:pPr>
            <w:r>
              <w:rPr>
                <w:spacing w:val="-5"/>
              </w:rPr>
              <w:t>14.44</w:t>
            </w:r>
          </w:p>
        </w:tc>
      </w:tr>
    </w:tbl>
    <w:p>
      <w:pPr>
        <w:spacing w:line="92" w:lineRule="exact"/>
        <w:rPr>
          <w:rFonts w:ascii="Arial"/>
          <w:sz w:val="7"/>
        </w:rPr>
      </w:pPr>
    </w:p>
    <w:p>
      <w:pPr>
        <w:spacing w:line="92" w:lineRule="exact"/>
        <w:rPr>
          <w:rFonts w:ascii="Arial" w:hAnsi="Arial" w:eastAsia="Arial" w:cs="Arial"/>
          <w:sz w:val="7"/>
          <w:szCs w:val="7"/>
        </w:rPr>
        <w:sectPr>
          <w:headerReference r:id="rId225" w:type="default"/>
          <w:footerReference r:id="rId226" w:type="default"/>
          <w:pgSz w:w="11907" w:h="16839"/>
          <w:pgMar w:top="1156" w:right="1768" w:bottom="1374" w:left="1770" w:header="881" w:footer="1210" w:gutter="0"/>
        </w:sectPr>
      </w:pPr>
    </w:p>
    <w:p>
      <w:pPr>
        <w:spacing w:before="41"/>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325"/>
        <w:gridCol w:w="1182"/>
        <w:gridCol w:w="3188"/>
        <w:gridCol w:w="999"/>
        <w:gridCol w:w="8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57" w:hRule="atLeast"/>
        </w:trPr>
        <w:tc>
          <w:tcPr>
            <w:tcW w:w="756" w:type="dxa"/>
            <w:tcBorders>
              <w:top w:val="single" w:color="000000" w:sz="12" w:space="0"/>
              <w:left w:val="nil"/>
            </w:tcBorders>
            <w:vAlign w:val="top"/>
          </w:tcPr>
          <w:p>
            <w:pPr>
              <w:spacing w:line="368" w:lineRule="auto"/>
              <w:rPr>
                <w:rFonts w:ascii="Arial"/>
                <w:sz w:val="21"/>
              </w:rPr>
            </w:pPr>
          </w:p>
          <w:p>
            <w:pPr>
              <w:spacing w:before="69" w:line="239" w:lineRule="auto"/>
              <w:ind w:left="13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植被</w:t>
            </w:r>
          </w:p>
          <w:p>
            <w:pPr>
              <w:spacing w:before="1" w:line="215" w:lineRule="auto"/>
              <w:ind w:left="13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属性</w:t>
            </w:r>
          </w:p>
        </w:tc>
        <w:tc>
          <w:tcPr>
            <w:tcW w:w="1325" w:type="dxa"/>
            <w:tcBorders>
              <w:top w:val="single" w:color="000000" w:sz="12" w:space="0"/>
            </w:tcBorders>
            <w:vAlign w:val="top"/>
          </w:tcPr>
          <w:p>
            <w:pPr>
              <w:spacing w:line="252" w:lineRule="auto"/>
              <w:rPr>
                <w:rFonts w:ascii="Arial"/>
                <w:sz w:val="21"/>
              </w:rPr>
            </w:pPr>
          </w:p>
          <w:p>
            <w:pPr>
              <w:spacing w:line="252" w:lineRule="auto"/>
              <w:rPr>
                <w:rFonts w:ascii="Arial"/>
                <w:sz w:val="21"/>
              </w:rPr>
            </w:pPr>
          </w:p>
          <w:p>
            <w:pPr>
              <w:spacing w:before="68" w:line="218" w:lineRule="auto"/>
              <w:ind w:left="249"/>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植被亚型</w:t>
            </w:r>
          </w:p>
        </w:tc>
        <w:tc>
          <w:tcPr>
            <w:tcW w:w="1182" w:type="dxa"/>
            <w:tcBorders>
              <w:top w:val="single" w:color="000000" w:sz="12" w:space="0"/>
            </w:tcBorders>
            <w:vAlign w:val="top"/>
          </w:tcPr>
          <w:p>
            <w:pPr>
              <w:spacing w:line="252" w:lineRule="auto"/>
              <w:rPr>
                <w:rFonts w:ascii="Arial"/>
                <w:sz w:val="21"/>
              </w:rPr>
            </w:pPr>
          </w:p>
          <w:p>
            <w:pPr>
              <w:spacing w:line="252" w:lineRule="auto"/>
              <w:rPr>
                <w:rFonts w:ascii="Arial"/>
                <w:sz w:val="21"/>
              </w:rPr>
            </w:pPr>
          </w:p>
          <w:p>
            <w:pPr>
              <w:spacing w:before="68" w:line="218" w:lineRule="auto"/>
              <w:ind w:left="39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群系</w:t>
            </w:r>
          </w:p>
        </w:tc>
        <w:tc>
          <w:tcPr>
            <w:tcW w:w="3188" w:type="dxa"/>
            <w:tcBorders>
              <w:top w:val="single" w:color="000000" w:sz="12" w:space="0"/>
            </w:tcBorders>
            <w:vAlign w:val="top"/>
          </w:tcPr>
          <w:p>
            <w:pPr>
              <w:spacing w:line="252" w:lineRule="auto"/>
              <w:rPr>
                <w:rFonts w:ascii="Arial"/>
                <w:sz w:val="21"/>
              </w:rPr>
            </w:pPr>
          </w:p>
          <w:p>
            <w:pPr>
              <w:spacing w:line="252" w:lineRule="auto"/>
              <w:rPr>
                <w:rFonts w:ascii="Arial"/>
                <w:sz w:val="21"/>
              </w:rPr>
            </w:pPr>
          </w:p>
          <w:p>
            <w:pPr>
              <w:spacing w:before="68" w:line="216" w:lineRule="auto"/>
              <w:ind w:left="118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分布情况</w:t>
            </w:r>
          </w:p>
        </w:tc>
        <w:tc>
          <w:tcPr>
            <w:tcW w:w="999" w:type="dxa"/>
            <w:tcBorders>
              <w:top w:val="single" w:color="000000" w:sz="12" w:space="0"/>
            </w:tcBorders>
            <w:vAlign w:val="top"/>
          </w:tcPr>
          <w:p>
            <w:pPr>
              <w:spacing w:line="367" w:lineRule="auto"/>
              <w:rPr>
                <w:rFonts w:ascii="Arial"/>
                <w:sz w:val="21"/>
              </w:rPr>
            </w:pPr>
          </w:p>
          <w:p>
            <w:pPr>
              <w:pStyle w:val="6"/>
              <w:spacing w:before="68" w:line="243" w:lineRule="auto"/>
              <w:ind w:left="117" w:right="120" w:firstLine="185"/>
              <w:rPr>
                <w:rFonts w:ascii="仿宋" w:hAnsi="仿宋" w:eastAsia="仿宋" w:cs="仿宋"/>
              </w:rPr>
            </w:pPr>
            <w:r>
              <w:rPr>
                <w:rFonts w:ascii="仿宋" w:hAnsi="仿宋" w:eastAsia="仿宋" w:cs="仿宋"/>
                <w:spacing w:val="-9"/>
                <w14:textOutline w14:w="3810" w14:cap="flat" w14:cmpd="sng">
                  <w14:solidFill>
                    <w14:srgbClr w14:val="000000"/>
                  </w14:solidFill>
                  <w14:prstDash w14:val="solid"/>
                  <w14:miter w14:val="0"/>
                </w14:textOutline>
              </w:rPr>
              <w:t>面积</w:t>
            </w:r>
            <w:r>
              <w:rPr>
                <w:rFonts w:ascii="仿宋" w:hAnsi="仿宋" w:eastAsia="仿宋" w:cs="仿宋"/>
              </w:rPr>
              <w:t xml:space="preserve">  </w:t>
            </w:r>
            <w:r>
              <w:rPr>
                <w:rFonts w:ascii="仿宋" w:hAnsi="仿宋" w:eastAsia="仿宋" w:cs="仿宋"/>
                <w:spacing w:val="-6"/>
                <w14:textOutline w14:w="3810" w14:cap="flat" w14:cmpd="sng">
                  <w14:solidFill>
                    <w14:srgbClr w14:val="000000"/>
                  </w14:solidFill>
                  <w14:prstDash w14:val="solid"/>
                  <w14:miter w14:val="0"/>
                </w14:textOutline>
              </w:rPr>
              <w:t>（</w:t>
            </w:r>
            <w:r>
              <w:rPr>
                <w:b/>
                <w:bCs/>
                <w:spacing w:val="-6"/>
              </w:rPr>
              <w:t>hm</w:t>
            </w:r>
            <w:r>
              <w:rPr>
                <w:b/>
                <w:bCs/>
                <w:spacing w:val="-6"/>
                <w:position w:val="6"/>
                <w:sz w:val="14"/>
                <w:szCs w:val="14"/>
              </w:rPr>
              <w:t>2</w:t>
            </w:r>
            <w:r>
              <w:rPr>
                <w:rFonts w:ascii="仿宋" w:hAnsi="仿宋" w:eastAsia="仿宋" w:cs="仿宋"/>
                <w:spacing w:val="-6"/>
                <w14:textOutline w14:w="3810" w14:cap="flat" w14:cmpd="sng">
                  <w14:solidFill>
                    <w14:srgbClr w14:val="000000"/>
                  </w14:solidFill>
                  <w14:prstDash w14:val="solid"/>
                  <w14:miter w14:val="0"/>
                </w14:textOutline>
              </w:rPr>
              <w:t>）</w:t>
            </w:r>
          </w:p>
        </w:tc>
        <w:tc>
          <w:tcPr>
            <w:tcW w:w="871" w:type="dxa"/>
            <w:tcBorders>
              <w:top w:val="single" w:color="000000" w:sz="12" w:space="0"/>
              <w:right w:val="nil"/>
            </w:tcBorders>
            <w:vAlign w:val="top"/>
          </w:tcPr>
          <w:p>
            <w:pPr>
              <w:spacing w:before="30" w:line="218" w:lineRule="auto"/>
              <w:ind w:left="166"/>
              <w:rPr>
                <w:rFonts w:ascii="仿宋" w:hAnsi="仿宋" w:eastAsia="仿宋" w:cs="仿宋"/>
                <w:sz w:val="21"/>
                <w:szCs w:val="21"/>
              </w:rPr>
            </w:pPr>
            <w:r>
              <w:rPr>
                <w:rFonts w:ascii="仿宋" w:hAnsi="仿宋" w:eastAsia="仿宋" w:cs="仿宋"/>
                <w:spacing w:val="-11"/>
                <w:sz w:val="21"/>
                <w:szCs w:val="21"/>
                <w14:textOutline w14:w="3810" w14:cap="flat" w14:cmpd="sng">
                  <w14:solidFill>
                    <w14:srgbClr w14:val="000000"/>
                  </w14:solidFill>
                  <w14:prstDash w14:val="solid"/>
                  <w14:miter w14:val="0"/>
                </w14:textOutline>
              </w:rPr>
              <w:t>占评价</w:t>
            </w:r>
          </w:p>
          <w:p>
            <w:pPr>
              <w:spacing w:before="24" w:line="221" w:lineRule="auto"/>
              <w:ind w:left="148"/>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区总面</w:t>
            </w:r>
          </w:p>
          <w:p>
            <w:pPr>
              <w:spacing w:before="20" w:line="219" w:lineRule="auto"/>
              <w:ind w:left="13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积的比</w:t>
            </w:r>
          </w:p>
          <w:p>
            <w:pPr>
              <w:spacing w:before="23" w:line="219" w:lineRule="auto"/>
              <w:ind w:left="341"/>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例</w:t>
            </w:r>
          </w:p>
          <w:p>
            <w:pPr>
              <w:pStyle w:val="6"/>
              <w:spacing w:before="24" w:line="199" w:lineRule="auto"/>
              <w:ind w:left="131"/>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w:t>
            </w:r>
            <w:r>
              <w:rPr>
                <w:rFonts w:ascii="仿宋" w:hAnsi="仿宋" w:eastAsia="仿宋" w:cs="仿宋"/>
                <w:spacing w:val="-5"/>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5" w:hRule="atLeast"/>
        </w:trPr>
        <w:tc>
          <w:tcPr>
            <w:tcW w:w="756" w:type="dxa"/>
            <w:vMerge w:val="restart"/>
            <w:tcBorders>
              <w:left w:val="nil"/>
              <w:bottom w:val="nil"/>
            </w:tcBorders>
            <w:vAlign w:val="top"/>
          </w:tcPr>
          <w:p>
            <w:pPr>
              <w:rPr>
                <w:rFonts w:ascii="Arial"/>
                <w:sz w:val="21"/>
              </w:rPr>
            </w:pPr>
          </w:p>
        </w:tc>
        <w:tc>
          <w:tcPr>
            <w:tcW w:w="1325" w:type="dxa"/>
            <w:vAlign w:val="top"/>
          </w:tcPr>
          <w:p>
            <w:pPr>
              <w:rPr>
                <w:rFonts w:ascii="Arial"/>
                <w:sz w:val="21"/>
              </w:rPr>
            </w:pPr>
          </w:p>
        </w:tc>
        <w:tc>
          <w:tcPr>
            <w:tcW w:w="1182" w:type="dxa"/>
            <w:vAlign w:val="top"/>
          </w:tcPr>
          <w:p>
            <w:pPr>
              <w:rPr>
                <w:rFonts w:ascii="Arial"/>
                <w:sz w:val="21"/>
              </w:rPr>
            </w:pPr>
          </w:p>
        </w:tc>
        <w:tc>
          <w:tcPr>
            <w:tcW w:w="3188" w:type="dxa"/>
            <w:vAlign w:val="top"/>
          </w:tcPr>
          <w:p>
            <w:pPr>
              <w:spacing w:before="60" w:line="197" w:lineRule="auto"/>
              <w:ind w:left="1500"/>
              <w:rPr>
                <w:rFonts w:ascii="仿宋" w:hAnsi="仿宋" w:eastAsia="仿宋" w:cs="仿宋"/>
                <w:sz w:val="21"/>
                <w:szCs w:val="21"/>
              </w:rPr>
            </w:pPr>
            <w:r>
              <w:rPr>
                <w:rFonts w:ascii="仿宋" w:hAnsi="仿宋" w:eastAsia="仿宋" w:cs="仿宋"/>
                <w:sz w:val="21"/>
                <w:szCs w:val="21"/>
              </w:rPr>
              <w:t>物</w:t>
            </w:r>
          </w:p>
        </w:tc>
        <w:tc>
          <w:tcPr>
            <w:tcW w:w="999" w:type="dxa"/>
            <w:vAlign w:val="top"/>
          </w:tcPr>
          <w:p>
            <w:pPr>
              <w:rPr>
                <w:rFonts w:ascii="Arial"/>
                <w:sz w:val="21"/>
              </w:rPr>
            </w:pPr>
          </w:p>
        </w:tc>
        <w:tc>
          <w:tcPr>
            <w:tcW w:w="871"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756" w:type="dxa"/>
            <w:vMerge w:val="continue"/>
            <w:tcBorders>
              <w:top w:val="nil"/>
              <w:left w:val="nil"/>
            </w:tcBorders>
            <w:vAlign w:val="top"/>
          </w:tcPr>
          <w:p>
            <w:pPr>
              <w:rPr>
                <w:rFonts w:ascii="Arial"/>
                <w:sz w:val="21"/>
              </w:rPr>
            </w:pPr>
          </w:p>
        </w:tc>
        <w:tc>
          <w:tcPr>
            <w:tcW w:w="1325" w:type="dxa"/>
            <w:vAlign w:val="top"/>
          </w:tcPr>
          <w:p>
            <w:pPr>
              <w:pStyle w:val="6"/>
              <w:spacing w:before="42" w:line="217" w:lineRule="auto"/>
              <w:ind w:left="149" w:right="136" w:firstLine="50"/>
              <w:rPr>
                <w:rFonts w:ascii="仿宋" w:hAnsi="仿宋" w:eastAsia="仿宋" w:cs="仿宋"/>
              </w:rPr>
            </w:pPr>
            <w:r>
              <w:rPr>
                <w:spacing w:val="-4"/>
              </w:rPr>
              <w:t>II.</w:t>
            </w:r>
            <w:r>
              <w:rPr>
                <w:spacing w:val="8"/>
              </w:rPr>
              <w:t xml:space="preserve">  </w:t>
            </w:r>
            <w:r>
              <w:rPr>
                <w:rFonts w:ascii="仿宋" w:hAnsi="仿宋" w:eastAsia="仿宋" w:cs="仿宋"/>
                <w:spacing w:val="-4"/>
              </w:rPr>
              <w:t>经济林</w:t>
            </w:r>
            <w:r>
              <w:rPr>
                <w:rFonts w:ascii="仿宋" w:hAnsi="仿宋" w:eastAsia="仿宋" w:cs="仿宋"/>
                <w:spacing w:val="1"/>
              </w:rPr>
              <w:t xml:space="preserve"> </w:t>
            </w:r>
            <w:r>
              <w:rPr>
                <w:rFonts w:ascii="仿宋" w:hAnsi="仿宋" w:eastAsia="仿宋" w:cs="仿宋"/>
                <w:spacing w:val="-4"/>
              </w:rPr>
              <w:t>及经济作物</w:t>
            </w:r>
          </w:p>
        </w:tc>
        <w:tc>
          <w:tcPr>
            <w:tcW w:w="1182" w:type="dxa"/>
            <w:vAlign w:val="top"/>
          </w:tcPr>
          <w:p>
            <w:pPr>
              <w:spacing w:before="178" w:line="218" w:lineRule="auto"/>
              <w:ind w:left="180"/>
              <w:rPr>
                <w:rFonts w:ascii="仿宋" w:hAnsi="仿宋" w:eastAsia="仿宋" w:cs="仿宋"/>
                <w:sz w:val="21"/>
                <w:szCs w:val="21"/>
              </w:rPr>
            </w:pPr>
            <w:r>
              <w:rPr>
                <w:rFonts w:ascii="仿宋" w:hAnsi="仿宋" w:eastAsia="仿宋" w:cs="仿宋"/>
                <w:spacing w:val="-3"/>
                <w:sz w:val="21"/>
                <w:szCs w:val="21"/>
              </w:rPr>
              <w:t>核桃园等</w:t>
            </w:r>
          </w:p>
        </w:tc>
        <w:tc>
          <w:tcPr>
            <w:tcW w:w="3188" w:type="dxa"/>
            <w:vAlign w:val="top"/>
          </w:tcPr>
          <w:p>
            <w:pPr>
              <w:spacing w:before="42" w:line="217" w:lineRule="auto"/>
              <w:ind w:left="775" w:right="121" w:hanging="640"/>
              <w:rPr>
                <w:rFonts w:ascii="仿宋" w:hAnsi="仿宋" w:eastAsia="仿宋" w:cs="仿宋"/>
                <w:sz w:val="21"/>
                <w:szCs w:val="21"/>
              </w:rPr>
            </w:pPr>
            <w:r>
              <w:rPr>
                <w:rFonts w:ascii="仿宋" w:hAnsi="仿宋" w:eastAsia="仿宋" w:cs="仿宋"/>
                <w:spacing w:val="-1"/>
                <w:sz w:val="21"/>
                <w:szCs w:val="21"/>
              </w:rPr>
              <w:t>拟建水库引水、引洪和输水管道</w:t>
            </w:r>
            <w:r>
              <w:rPr>
                <w:rFonts w:ascii="仿宋" w:hAnsi="仿宋" w:eastAsia="仿宋" w:cs="仿宋"/>
                <w:sz w:val="21"/>
                <w:szCs w:val="21"/>
              </w:rPr>
              <w:t xml:space="preserve"> </w:t>
            </w:r>
            <w:r>
              <w:rPr>
                <w:rFonts w:ascii="仿宋" w:hAnsi="仿宋" w:eastAsia="仿宋" w:cs="仿宋"/>
                <w:spacing w:val="-3"/>
                <w:sz w:val="21"/>
                <w:szCs w:val="21"/>
              </w:rPr>
              <w:t>两侧的村庄均栽培</w:t>
            </w:r>
          </w:p>
        </w:tc>
        <w:tc>
          <w:tcPr>
            <w:tcW w:w="999" w:type="dxa"/>
            <w:vAlign w:val="top"/>
          </w:tcPr>
          <w:p>
            <w:pPr>
              <w:pStyle w:val="6"/>
              <w:spacing w:before="216" w:line="188" w:lineRule="auto"/>
              <w:ind w:left="267"/>
            </w:pPr>
            <w:r>
              <w:rPr>
                <w:spacing w:val="-2"/>
              </w:rPr>
              <w:t>38.69</w:t>
            </w:r>
          </w:p>
        </w:tc>
        <w:tc>
          <w:tcPr>
            <w:tcW w:w="871" w:type="dxa"/>
            <w:tcBorders>
              <w:right w:val="nil"/>
            </w:tcBorders>
            <w:vAlign w:val="top"/>
          </w:tcPr>
          <w:p>
            <w:pPr>
              <w:pStyle w:val="6"/>
              <w:spacing w:before="216" w:line="188" w:lineRule="auto"/>
              <w:ind w:left="253"/>
            </w:pPr>
            <w:r>
              <w:rPr>
                <w:spacing w:val="-1"/>
              </w:rPr>
              <w:t>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2081" w:type="dxa"/>
            <w:gridSpan w:val="2"/>
            <w:vMerge w:val="restart"/>
            <w:tcBorders>
              <w:left w:val="nil"/>
              <w:bottom w:val="nil"/>
            </w:tcBorders>
            <w:vAlign w:val="top"/>
          </w:tcPr>
          <w:p>
            <w:pPr>
              <w:spacing w:line="354" w:lineRule="auto"/>
              <w:rPr>
                <w:rFonts w:ascii="Arial"/>
                <w:sz w:val="21"/>
              </w:rPr>
            </w:pPr>
          </w:p>
          <w:p>
            <w:pPr>
              <w:spacing w:line="355" w:lineRule="auto"/>
              <w:rPr>
                <w:rFonts w:ascii="Arial"/>
                <w:sz w:val="21"/>
              </w:rPr>
            </w:pPr>
          </w:p>
          <w:p>
            <w:pPr>
              <w:spacing w:before="69" w:line="217" w:lineRule="auto"/>
              <w:ind w:left="853"/>
              <w:rPr>
                <w:rFonts w:ascii="仿宋" w:hAnsi="仿宋" w:eastAsia="仿宋" w:cs="仿宋"/>
                <w:sz w:val="21"/>
                <w:szCs w:val="21"/>
              </w:rPr>
            </w:pPr>
            <w:r>
              <w:rPr>
                <w:rFonts w:ascii="仿宋" w:hAnsi="仿宋" w:eastAsia="仿宋" w:cs="仿宋"/>
                <w:spacing w:val="-4"/>
                <w:sz w:val="21"/>
                <w:szCs w:val="21"/>
              </w:rPr>
              <w:t>其他</w:t>
            </w:r>
          </w:p>
        </w:tc>
        <w:tc>
          <w:tcPr>
            <w:tcW w:w="1182" w:type="dxa"/>
            <w:vAlign w:val="top"/>
          </w:tcPr>
          <w:p>
            <w:pPr>
              <w:spacing w:before="183" w:line="219" w:lineRule="auto"/>
              <w:ind w:left="390"/>
              <w:rPr>
                <w:rFonts w:ascii="仿宋" w:hAnsi="仿宋" w:eastAsia="仿宋" w:cs="仿宋"/>
                <w:sz w:val="21"/>
                <w:szCs w:val="21"/>
              </w:rPr>
            </w:pPr>
            <w:r>
              <w:rPr>
                <w:rFonts w:ascii="仿宋" w:hAnsi="仿宋" w:eastAsia="仿宋" w:cs="仿宋"/>
                <w:spacing w:val="-4"/>
                <w:sz w:val="21"/>
                <w:szCs w:val="21"/>
              </w:rPr>
              <w:t>水域</w:t>
            </w:r>
          </w:p>
        </w:tc>
        <w:tc>
          <w:tcPr>
            <w:tcW w:w="3188" w:type="dxa"/>
            <w:vAlign w:val="top"/>
          </w:tcPr>
          <w:p>
            <w:pPr>
              <w:spacing w:before="46" w:line="215" w:lineRule="auto"/>
              <w:ind w:left="567" w:right="156" w:hanging="432"/>
              <w:rPr>
                <w:rFonts w:ascii="仿宋" w:hAnsi="仿宋" w:eastAsia="仿宋" w:cs="仿宋"/>
                <w:sz w:val="21"/>
                <w:szCs w:val="21"/>
              </w:rPr>
            </w:pPr>
            <w:r>
              <w:rPr>
                <w:rFonts w:ascii="仿宋" w:hAnsi="仿宋" w:eastAsia="仿宋" w:cs="仿宋"/>
                <w:spacing w:val="-4"/>
                <w:sz w:val="21"/>
                <w:szCs w:val="21"/>
              </w:rPr>
              <w:t>桂花河、马龙河及其支流、山间</w:t>
            </w:r>
            <w:r>
              <w:rPr>
                <w:rFonts w:ascii="仿宋" w:hAnsi="仿宋" w:eastAsia="仿宋" w:cs="仿宋"/>
                <w:spacing w:val="5"/>
                <w:sz w:val="21"/>
                <w:szCs w:val="21"/>
              </w:rPr>
              <w:t xml:space="preserve"> </w:t>
            </w:r>
            <w:r>
              <w:rPr>
                <w:rFonts w:ascii="仿宋" w:hAnsi="仿宋" w:eastAsia="仿宋" w:cs="仿宋"/>
                <w:spacing w:val="-3"/>
                <w:sz w:val="21"/>
                <w:szCs w:val="21"/>
              </w:rPr>
              <w:t>的箐沟和水库、池塘等</w:t>
            </w:r>
          </w:p>
        </w:tc>
        <w:tc>
          <w:tcPr>
            <w:tcW w:w="999" w:type="dxa"/>
            <w:vAlign w:val="top"/>
          </w:tcPr>
          <w:p>
            <w:pPr>
              <w:pStyle w:val="6"/>
              <w:spacing w:before="219" w:line="188" w:lineRule="auto"/>
              <w:ind w:left="267"/>
            </w:pPr>
            <w:r>
              <w:rPr>
                <w:spacing w:val="-2"/>
              </w:rPr>
              <w:t>35.45</w:t>
            </w:r>
          </w:p>
        </w:tc>
        <w:tc>
          <w:tcPr>
            <w:tcW w:w="871" w:type="dxa"/>
            <w:tcBorders>
              <w:right w:val="nil"/>
            </w:tcBorders>
            <w:vAlign w:val="top"/>
          </w:tcPr>
          <w:p>
            <w:pPr>
              <w:pStyle w:val="6"/>
              <w:spacing w:before="219" w:line="188" w:lineRule="auto"/>
              <w:ind w:left="253"/>
            </w:pPr>
            <w:r>
              <w:rPr>
                <w:spacing w:val="-1"/>
              </w:rPr>
              <w:t>4.32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2081" w:type="dxa"/>
            <w:gridSpan w:val="2"/>
            <w:vMerge w:val="continue"/>
            <w:tcBorders>
              <w:top w:val="nil"/>
              <w:left w:val="nil"/>
              <w:bottom w:val="nil"/>
            </w:tcBorders>
            <w:vAlign w:val="top"/>
          </w:tcPr>
          <w:p>
            <w:pPr>
              <w:rPr>
                <w:rFonts w:ascii="Arial"/>
                <w:sz w:val="21"/>
              </w:rPr>
            </w:pPr>
          </w:p>
        </w:tc>
        <w:tc>
          <w:tcPr>
            <w:tcW w:w="1182" w:type="dxa"/>
            <w:vAlign w:val="top"/>
          </w:tcPr>
          <w:p>
            <w:pPr>
              <w:spacing w:before="49" w:line="214" w:lineRule="auto"/>
              <w:ind w:left="494" w:right="169" w:hanging="309"/>
              <w:rPr>
                <w:rFonts w:ascii="仿宋" w:hAnsi="仿宋" w:eastAsia="仿宋" w:cs="仿宋"/>
                <w:sz w:val="21"/>
                <w:szCs w:val="21"/>
              </w:rPr>
            </w:pPr>
            <w:r>
              <w:rPr>
                <w:rFonts w:ascii="仿宋" w:hAnsi="仿宋" w:eastAsia="仿宋" w:cs="仿宋"/>
                <w:spacing w:val="-5"/>
                <w:sz w:val="21"/>
                <w:szCs w:val="21"/>
              </w:rPr>
              <w:t>公路、道</w:t>
            </w:r>
            <w:r>
              <w:rPr>
                <w:rFonts w:ascii="仿宋" w:hAnsi="仿宋" w:eastAsia="仿宋" w:cs="仿宋"/>
                <w:sz w:val="21"/>
                <w:szCs w:val="21"/>
              </w:rPr>
              <w:t xml:space="preserve"> 路</w:t>
            </w:r>
          </w:p>
        </w:tc>
        <w:tc>
          <w:tcPr>
            <w:tcW w:w="3188" w:type="dxa"/>
            <w:vAlign w:val="top"/>
          </w:tcPr>
          <w:p>
            <w:pPr>
              <w:spacing w:before="186" w:line="219" w:lineRule="auto"/>
              <w:ind w:left="663"/>
              <w:rPr>
                <w:rFonts w:ascii="仿宋" w:hAnsi="仿宋" w:eastAsia="仿宋" w:cs="仿宋"/>
                <w:sz w:val="21"/>
                <w:szCs w:val="21"/>
              </w:rPr>
            </w:pPr>
            <w:r>
              <w:rPr>
                <w:rFonts w:ascii="仿宋" w:hAnsi="仿宋" w:eastAsia="仿宋" w:cs="仿宋"/>
                <w:spacing w:val="-2"/>
                <w:sz w:val="21"/>
                <w:szCs w:val="21"/>
              </w:rPr>
              <w:t>原老公路及乡间公路</w:t>
            </w:r>
          </w:p>
        </w:tc>
        <w:tc>
          <w:tcPr>
            <w:tcW w:w="999" w:type="dxa"/>
            <w:vAlign w:val="top"/>
          </w:tcPr>
          <w:p>
            <w:pPr>
              <w:pStyle w:val="6"/>
              <w:spacing w:before="223" w:line="188" w:lineRule="auto"/>
              <w:ind w:left="316"/>
            </w:pPr>
            <w:r>
              <w:rPr>
                <w:spacing w:val="-1"/>
              </w:rPr>
              <w:t>27.8</w:t>
            </w:r>
          </w:p>
        </w:tc>
        <w:tc>
          <w:tcPr>
            <w:tcW w:w="871" w:type="dxa"/>
            <w:tcBorders>
              <w:right w:val="nil"/>
            </w:tcBorders>
            <w:vAlign w:val="top"/>
          </w:tcPr>
          <w:p>
            <w:pPr>
              <w:pStyle w:val="6"/>
              <w:spacing w:before="223" w:line="188" w:lineRule="auto"/>
              <w:ind w:left="258"/>
            </w:pPr>
            <w:r>
              <w:rPr>
                <w:spacing w:val="-2"/>
              </w:rPr>
              <w:t>3.39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081" w:type="dxa"/>
            <w:gridSpan w:val="2"/>
            <w:vMerge w:val="continue"/>
            <w:tcBorders>
              <w:top w:val="nil"/>
              <w:left w:val="nil"/>
              <w:bottom w:val="nil"/>
            </w:tcBorders>
            <w:vAlign w:val="top"/>
          </w:tcPr>
          <w:p>
            <w:pPr>
              <w:rPr>
                <w:rFonts w:ascii="Arial"/>
                <w:sz w:val="21"/>
              </w:rPr>
            </w:pPr>
          </w:p>
        </w:tc>
        <w:tc>
          <w:tcPr>
            <w:tcW w:w="1182" w:type="dxa"/>
            <w:vAlign w:val="top"/>
          </w:tcPr>
          <w:p>
            <w:pPr>
              <w:spacing w:before="73" w:line="204" w:lineRule="auto"/>
              <w:ind w:left="288"/>
              <w:rPr>
                <w:rFonts w:ascii="仿宋" w:hAnsi="仿宋" w:eastAsia="仿宋" w:cs="仿宋"/>
                <w:sz w:val="21"/>
                <w:szCs w:val="21"/>
              </w:rPr>
            </w:pPr>
            <w:r>
              <w:rPr>
                <w:rFonts w:ascii="仿宋" w:hAnsi="仿宋" w:eastAsia="仿宋" w:cs="仿宋"/>
                <w:spacing w:val="-4"/>
                <w:sz w:val="21"/>
                <w:szCs w:val="21"/>
              </w:rPr>
              <w:t>采土场</w:t>
            </w:r>
          </w:p>
        </w:tc>
        <w:tc>
          <w:tcPr>
            <w:tcW w:w="3188" w:type="dxa"/>
            <w:vAlign w:val="top"/>
          </w:tcPr>
          <w:p>
            <w:pPr>
              <w:spacing w:before="73" w:line="204" w:lineRule="auto"/>
              <w:ind w:left="868"/>
              <w:rPr>
                <w:rFonts w:ascii="仿宋" w:hAnsi="仿宋" w:eastAsia="仿宋" w:cs="仿宋"/>
                <w:sz w:val="21"/>
                <w:szCs w:val="21"/>
              </w:rPr>
            </w:pPr>
            <w:r>
              <w:rPr>
                <w:rFonts w:ascii="仿宋" w:hAnsi="仿宋" w:eastAsia="仿宋" w:cs="仿宋"/>
                <w:spacing w:val="-2"/>
                <w:sz w:val="21"/>
                <w:szCs w:val="21"/>
              </w:rPr>
              <w:t>水库建设采土场</w:t>
            </w:r>
          </w:p>
        </w:tc>
        <w:tc>
          <w:tcPr>
            <w:tcW w:w="999" w:type="dxa"/>
            <w:vAlign w:val="top"/>
          </w:tcPr>
          <w:p>
            <w:pPr>
              <w:pStyle w:val="6"/>
              <w:spacing w:before="111" w:line="188" w:lineRule="auto"/>
              <w:ind w:left="315"/>
            </w:pPr>
            <w:r>
              <w:rPr>
                <w:spacing w:val="-1"/>
              </w:rPr>
              <w:t>4.35</w:t>
            </w:r>
          </w:p>
        </w:tc>
        <w:tc>
          <w:tcPr>
            <w:tcW w:w="871" w:type="dxa"/>
            <w:tcBorders>
              <w:right w:val="nil"/>
            </w:tcBorders>
            <w:vAlign w:val="top"/>
          </w:tcPr>
          <w:p>
            <w:pPr>
              <w:pStyle w:val="6"/>
              <w:spacing w:before="111" w:line="188" w:lineRule="auto"/>
              <w:ind w:left="257"/>
            </w:pPr>
            <w:r>
              <w:rPr>
                <w:spacing w:val="-2"/>
              </w:rPr>
              <w:t>0.53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2081" w:type="dxa"/>
            <w:gridSpan w:val="2"/>
            <w:vMerge w:val="continue"/>
            <w:tcBorders>
              <w:top w:val="nil"/>
              <w:left w:val="nil"/>
            </w:tcBorders>
            <w:vAlign w:val="top"/>
          </w:tcPr>
          <w:p>
            <w:pPr>
              <w:rPr>
                <w:rFonts w:ascii="Arial"/>
                <w:sz w:val="21"/>
              </w:rPr>
            </w:pPr>
          </w:p>
        </w:tc>
        <w:tc>
          <w:tcPr>
            <w:tcW w:w="1182" w:type="dxa"/>
            <w:vAlign w:val="top"/>
          </w:tcPr>
          <w:p>
            <w:pPr>
              <w:spacing w:before="75" w:line="201" w:lineRule="auto"/>
              <w:ind w:left="287"/>
              <w:rPr>
                <w:rFonts w:ascii="仿宋" w:hAnsi="仿宋" w:eastAsia="仿宋" w:cs="仿宋"/>
                <w:sz w:val="21"/>
                <w:szCs w:val="21"/>
              </w:rPr>
            </w:pPr>
            <w:r>
              <w:rPr>
                <w:rFonts w:ascii="仿宋" w:hAnsi="仿宋" w:eastAsia="仿宋" w:cs="仿宋"/>
                <w:spacing w:val="-4"/>
                <w:sz w:val="21"/>
                <w:szCs w:val="21"/>
              </w:rPr>
              <w:t>居民点</w:t>
            </w:r>
          </w:p>
        </w:tc>
        <w:tc>
          <w:tcPr>
            <w:tcW w:w="3188" w:type="dxa"/>
            <w:vAlign w:val="top"/>
          </w:tcPr>
          <w:p>
            <w:pPr>
              <w:spacing w:before="75" w:line="201" w:lineRule="auto"/>
              <w:ind w:left="554"/>
              <w:rPr>
                <w:rFonts w:ascii="仿宋" w:hAnsi="仿宋" w:eastAsia="仿宋" w:cs="仿宋"/>
                <w:sz w:val="21"/>
                <w:szCs w:val="21"/>
              </w:rPr>
            </w:pPr>
            <w:r>
              <w:rPr>
                <w:rFonts w:ascii="仿宋" w:hAnsi="仿宋" w:eastAsia="仿宋" w:cs="仿宋"/>
                <w:spacing w:val="-2"/>
                <w:sz w:val="21"/>
                <w:szCs w:val="21"/>
              </w:rPr>
              <w:t>村庄、工厂及其生活区</w:t>
            </w:r>
          </w:p>
        </w:tc>
        <w:tc>
          <w:tcPr>
            <w:tcW w:w="999" w:type="dxa"/>
            <w:vAlign w:val="top"/>
          </w:tcPr>
          <w:p>
            <w:pPr>
              <w:pStyle w:val="6"/>
              <w:spacing w:before="112" w:line="188" w:lineRule="auto"/>
              <w:ind w:left="283"/>
            </w:pPr>
            <w:r>
              <w:rPr>
                <w:spacing w:val="-5"/>
              </w:rPr>
              <w:t>10.24</w:t>
            </w:r>
          </w:p>
        </w:tc>
        <w:tc>
          <w:tcPr>
            <w:tcW w:w="871" w:type="dxa"/>
            <w:tcBorders>
              <w:right w:val="nil"/>
            </w:tcBorders>
            <w:vAlign w:val="top"/>
          </w:tcPr>
          <w:p>
            <w:pPr>
              <w:pStyle w:val="6"/>
              <w:spacing w:before="112" w:line="188" w:lineRule="auto"/>
              <w:ind w:left="274"/>
            </w:pPr>
            <w:r>
              <w:rPr>
                <w:spacing w:val="-6"/>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6451" w:type="dxa"/>
            <w:gridSpan w:val="4"/>
            <w:tcBorders>
              <w:left w:val="nil"/>
              <w:bottom w:val="single" w:color="000000" w:sz="12" w:space="0"/>
            </w:tcBorders>
            <w:vAlign w:val="top"/>
          </w:tcPr>
          <w:p>
            <w:pPr>
              <w:spacing w:before="78" w:line="218" w:lineRule="auto"/>
              <w:ind w:left="3041"/>
              <w:rPr>
                <w:rFonts w:ascii="仿宋" w:hAnsi="仿宋" w:eastAsia="仿宋" w:cs="仿宋"/>
                <w:sz w:val="21"/>
                <w:szCs w:val="21"/>
              </w:rPr>
            </w:pPr>
            <w:r>
              <w:rPr>
                <w:rFonts w:ascii="仿宋" w:hAnsi="仿宋" w:eastAsia="仿宋" w:cs="仿宋"/>
                <w:spacing w:val="-5"/>
                <w:sz w:val="21"/>
                <w:szCs w:val="21"/>
              </w:rPr>
              <w:t>合计</w:t>
            </w:r>
          </w:p>
        </w:tc>
        <w:tc>
          <w:tcPr>
            <w:tcW w:w="999" w:type="dxa"/>
            <w:tcBorders>
              <w:bottom w:val="single" w:color="000000" w:sz="12" w:space="0"/>
            </w:tcBorders>
            <w:vAlign w:val="top"/>
          </w:tcPr>
          <w:p>
            <w:pPr>
              <w:pStyle w:val="6"/>
              <w:spacing w:before="114" w:line="188" w:lineRule="auto"/>
              <w:ind w:left="271"/>
            </w:pPr>
            <w:r>
              <w:rPr>
                <w:spacing w:val="-3"/>
              </w:rPr>
              <w:t>820.5</w:t>
            </w:r>
          </w:p>
        </w:tc>
        <w:tc>
          <w:tcPr>
            <w:tcW w:w="871" w:type="dxa"/>
            <w:tcBorders>
              <w:bottom w:val="single" w:color="000000" w:sz="12" w:space="0"/>
              <w:right w:val="nil"/>
            </w:tcBorders>
            <w:vAlign w:val="top"/>
          </w:tcPr>
          <w:p>
            <w:pPr>
              <w:pStyle w:val="6"/>
              <w:spacing w:before="114" w:line="188" w:lineRule="auto"/>
              <w:ind w:left="168"/>
            </w:pPr>
            <w:r>
              <w:rPr>
                <w:spacing w:val="-4"/>
              </w:rPr>
              <w:t>100.00</w:t>
            </w:r>
          </w:p>
        </w:tc>
      </w:tr>
    </w:tbl>
    <w:p>
      <w:pPr>
        <w:spacing w:before="36" w:line="217" w:lineRule="auto"/>
        <w:ind w:left="517"/>
        <w:rPr>
          <w:rFonts w:ascii="宋体" w:hAnsi="宋体" w:eastAsia="宋体" w:cs="宋体"/>
          <w:sz w:val="24"/>
          <w:szCs w:val="24"/>
        </w:rPr>
      </w:pPr>
      <w:r>
        <w:rPr>
          <w:rFonts w:ascii="宋体" w:hAnsi="宋体" w:eastAsia="宋体" w:cs="宋体"/>
          <w:spacing w:val="-1"/>
          <w:sz w:val="24"/>
          <w:szCs w:val="24"/>
        </w:rPr>
        <w:t>②评价区植被分布规律</w:t>
      </w:r>
    </w:p>
    <w:p>
      <w:pPr>
        <w:spacing w:before="183"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水平地带性分布规律</w:t>
      </w:r>
    </w:p>
    <w:p>
      <w:pPr>
        <w:spacing w:before="166" w:line="359" w:lineRule="auto"/>
        <w:ind w:left="38" w:right="68" w:firstLine="480"/>
        <w:rPr>
          <w:rFonts w:ascii="宋体" w:hAnsi="宋体" w:eastAsia="宋体" w:cs="宋体"/>
          <w:sz w:val="24"/>
          <w:szCs w:val="24"/>
        </w:rPr>
      </w:pPr>
      <w:r>
        <w:rPr>
          <w:rFonts w:ascii="宋体" w:hAnsi="宋体" w:eastAsia="宋体" w:cs="宋体"/>
          <w:spacing w:val="-3"/>
          <w:sz w:val="24"/>
          <w:szCs w:val="24"/>
        </w:rPr>
        <w:t>评价区在植被区划上属滇中、北中山峡谷云南松林、高山栎类林亚</w:t>
      </w:r>
      <w:r>
        <w:rPr>
          <w:rFonts w:ascii="宋体" w:hAnsi="宋体" w:eastAsia="宋体" w:cs="宋体"/>
          <w:spacing w:val="-4"/>
          <w:sz w:val="24"/>
          <w:szCs w:val="24"/>
        </w:rPr>
        <w:t>区。由于</w:t>
      </w:r>
      <w:r>
        <w:rPr>
          <w:rFonts w:ascii="宋体" w:hAnsi="宋体" w:eastAsia="宋体" w:cs="宋体"/>
          <w:sz w:val="24"/>
          <w:szCs w:val="24"/>
        </w:rPr>
        <w:t xml:space="preserve"> </w:t>
      </w:r>
      <w:r>
        <w:rPr>
          <w:rFonts w:ascii="宋体" w:hAnsi="宋体" w:eastAsia="宋体" w:cs="宋体"/>
          <w:spacing w:val="-6"/>
          <w:sz w:val="24"/>
          <w:szCs w:val="24"/>
        </w:rPr>
        <w:t>评价区大部分地区海拔极少超过</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2600m</w:t>
      </w:r>
      <w:r>
        <w:rPr>
          <w:rFonts w:ascii="宋体" w:hAnsi="宋体" w:eastAsia="宋体" w:cs="宋体"/>
          <w:spacing w:val="-6"/>
          <w:sz w:val="24"/>
          <w:szCs w:val="24"/>
        </w:rPr>
        <w:t>，人为扰动较大， 高山栎</w:t>
      </w:r>
      <w:r>
        <w:rPr>
          <w:rFonts w:ascii="宋体" w:hAnsi="宋体" w:eastAsia="宋体" w:cs="宋体"/>
          <w:spacing w:val="-7"/>
          <w:sz w:val="24"/>
          <w:szCs w:val="24"/>
        </w:rPr>
        <w:t>类林几乎不复存</w:t>
      </w:r>
      <w:r>
        <w:rPr>
          <w:rFonts w:ascii="宋体" w:hAnsi="宋体" w:eastAsia="宋体" w:cs="宋体"/>
          <w:sz w:val="24"/>
          <w:szCs w:val="24"/>
        </w:rPr>
        <w:t xml:space="preserve"> </w:t>
      </w:r>
      <w:r>
        <w:rPr>
          <w:rFonts w:ascii="宋体" w:hAnsi="宋体" w:eastAsia="宋体" w:cs="宋体"/>
          <w:spacing w:val="-9"/>
          <w:sz w:val="24"/>
          <w:szCs w:val="24"/>
        </w:rPr>
        <w:t>在，</w:t>
      </w:r>
      <w:r>
        <w:rPr>
          <w:rFonts w:ascii="宋体" w:hAnsi="宋体" w:eastAsia="宋体" w:cs="宋体"/>
          <w:spacing w:val="-57"/>
          <w:sz w:val="24"/>
          <w:szCs w:val="24"/>
        </w:rPr>
        <w:t xml:space="preserve"> </w:t>
      </w:r>
      <w:r>
        <w:rPr>
          <w:rFonts w:ascii="宋体" w:hAnsi="宋体" w:eastAsia="宋体" w:cs="宋体"/>
          <w:spacing w:val="-9"/>
          <w:sz w:val="24"/>
          <w:szCs w:val="24"/>
        </w:rPr>
        <w:t>大多数成灌木状或零星出现于云南松林中。根据现场调查，</w:t>
      </w:r>
      <w:r>
        <w:rPr>
          <w:rFonts w:ascii="宋体" w:hAnsi="宋体" w:eastAsia="宋体" w:cs="宋体"/>
          <w:spacing w:val="29"/>
          <w:sz w:val="24"/>
          <w:szCs w:val="24"/>
        </w:rPr>
        <w:t xml:space="preserve"> </w:t>
      </w:r>
      <w:r>
        <w:rPr>
          <w:rFonts w:ascii="宋体" w:hAnsi="宋体" w:eastAsia="宋体" w:cs="宋体"/>
          <w:spacing w:val="-9"/>
          <w:sz w:val="24"/>
          <w:szCs w:val="24"/>
        </w:rPr>
        <w:t>评价区水平地带</w:t>
      </w:r>
      <w:r>
        <w:rPr>
          <w:rFonts w:ascii="宋体" w:hAnsi="宋体" w:eastAsia="宋体" w:cs="宋体"/>
          <w:sz w:val="24"/>
          <w:szCs w:val="24"/>
        </w:rPr>
        <w:t xml:space="preserve"> </w:t>
      </w:r>
      <w:r>
        <w:rPr>
          <w:rFonts w:ascii="宋体" w:hAnsi="宋体" w:eastAsia="宋体" w:cs="宋体"/>
          <w:spacing w:val="-12"/>
          <w:sz w:val="24"/>
          <w:szCs w:val="24"/>
        </w:rPr>
        <w:t>性植被是云南松林。该区的云南松林为次生植被，</w:t>
      </w:r>
      <w:r>
        <w:rPr>
          <w:rFonts w:ascii="宋体" w:hAnsi="宋体" w:eastAsia="宋体" w:cs="宋体"/>
          <w:spacing w:val="46"/>
          <w:sz w:val="24"/>
          <w:szCs w:val="24"/>
        </w:rPr>
        <w:t xml:space="preserve"> </w:t>
      </w:r>
      <w:r>
        <w:rPr>
          <w:rFonts w:ascii="宋体" w:hAnsi="宋体" w:eastAsia="宋体" w:cs="宋体"/>
          <w:spacing w:val="-12"/>
          <w:sz w:val="24"/>
          <w:szCs w:val="24"/>
        </w:rPr>
        <w:t>受人为扰动较大，</w:t>
      </w:r>
      <w:r>
        <w:rPr>
          <w:rFonts w:ascii="宋体" w:hAnsi="宋体" w:eastAsia="宋体" w:cs="宋体"/>
          <w:spacing w:val="30"/>
          <w:sz w:val="24"/>
          <w:szCs w:val="24"/>
        </w:rPr>
        <w:t xml:space="preserve"> </w:t>
      </w:r>
      <w:r>
        <w:rPr>
          <w:rFonts w:ascii="宋体" w:hAnsi="宋体" w:eastAsia="宋体" w:cs="宋体"/>
          <w:spacing w:val="-12"/>
          <w:sz w:val="24"/>
          <w:szCs w:val="24"/>
        </w:rPr>
        <w:t>有时发育成</w:t>
      </w:r>
      <w:r>
        <w:rPr>
          <w:rFonts w:ascii="宋体" w:hAnsi="宋体" w:eastAsia="宋体" w:cs="宋体"/>
          <w:sz w:val="24"/>
          <w:szCs w:val="24"/>
        </w:rPr>
        <w:t xml:space="preserve"> </w:t>
      </w:r>
      <w:r>
        <w:rPr>
          <w:rFonts w:ascii="宋体" w:hAnsi="宋体" w:eastAsia="宋体" w:cs="宋体"/>
          <w:spacing w:val="-7"/>
          <w:sz w:val="24"/>
          <w:szCs w:val="24"/>
        </w:rPr>
        <w:t>暖温性稀树灌木草丛。在桂花河及其支流罗子左河、马茨河，</w:t>
      </w:r>
      <w:r>
        <w:rPr>
          <w:rFonts w:ascii="宋体" w:hAnsi="宋体" w:eastAsia="宋体" w:cs="宋体"/>
          <w:spacing w:val="29"/>
          <w:sz w:val="24"/>
          <w:szCs w:val="24"/>
        </w:rPr>
        <w:t xml:space="preserve"> </w:t>
      </w:r>
      <w:r>
        <w:rPr>
          <w:rFonts w:ascii="宋体" w:hAnsi="宋体" w:eastAsia="宋体" w:cs="宋体"/>
          <w:spacing w:val="-7"/>
          <w:sz w:val="24"/>
          <w:szCs w:val="24"/>
        </w:rPr>
        <w:t>蜻</w:t>
      </w:r>
      <w:r>
        <w:rPr>
          <w:rFonts w:ascii="宋体" w:hAnsi="宋体" w:eastAsia="宋体" w:cs="宋体"/>
          <w:spacing w:val="-8"/>
          <w:sz w:val="24"/>
          <w:szCs w:val="24"/>
        </w:rPr>
        <w:t>蛉河支流者纳么</w:t>
      </w:r>
      <w:r>
        <w:rPr>
          <w:rFonts w:ascii="宋体" w:hAnsi="宋体" w:eastAsia="宋体" w:cs="宋体"/>
          <w:sz w:val="24"/>
          <w:szCs w:val="24"/>
        </w:rPr>
        <w:t xml:space="preserve"> </w:t>
      </w:r>
      <w:r>
        <w:rPr>
          <w:rFonts w:ascii="宋体" w:hAnsi="宋体" w:eastAsia="宋体" w:cs="宋体"/>
          <w:spacing w:val="-3"/>
          <w:sz w:val="24"/>
          <w:szCs w:val="24"/>
        </w:rPr>
        <w:t>河上游支流六姑乍箐、昔木乍箐及见簸箐上等海拔较低的河谷区零星分布有半湿</w:t>
      </w:r>
      <w:r>
        <w:rPr>
          <w:rFonts w:ascii="宋体" w:hAnsi="宋体" w:eastAsia="宋体" w:cs="宋体"/>
          <w:spacing w:val="2"/>
          <w:sz w:val="24"/>
          <w:szCs w:val="24"/>
        </w:rPr>
        <w:t xml:space="preserve"> </w:t>
      </w:r>
      <w:r>
        <w:rPr>
          <w:rFonts w:ascii="宋体" w:hAnsi="宋体" w:eastAsia="宋体" w:cs="宋体"/>
          <w:spacing w:val="-8"/>
          <w:sz w:val="24"/>
          <w:szCs w:val="24"/>
        </w:rPr>
        <w:t>润常绿阔叶林， 在人为破坏较大的区域有干热性稀树灌木草丛植被，</w:t>
      </w:r>
      <w:r>
        <w:rPr>
          <w:rFonts w:ascii="宋体" w:hAnsi="宋体" w:eastAsia="宋体" w:cs="宋体"/>
          <w:spacing w:val="-55"/>
          <w:sz w:val="24"/>
          <w:szCs w:val="24"/>
        </w:rPr>
        <w:t xml:space="preserve"> </w:t>
      </w:r>
      <w:r>
        <w:rPr>
          <w:rFonts w:ascii="宋体" w:hAnsi="宋体" w:eastAsia="宋体" w:cs="宋体"/>
          <w:spacing w:val="-8"/>
          <w:sz w:val="24"/>
          <w:szCs w:val="24"/>
        </w:rPr>
        <w:t>局部区域有</w:t>
      </w:r>
      <w:r>
        <w:rPr>
          <w:rFonts w:ascii="宋体" w:hAnsi="宋体" w:eastAsia="宋体" w:cs="宋体"/>
          <w:sz w:val="24"/>
          <w:szCs w:val="24"/>
        </w:rPr>
        <w:t xml:space="preserve"> </w:t>
      </w:r>
      <w:r>
        <w:rPr>
          <w:rFonts w:ascii="宋体" w:hAnsi="宋体" w:eastAsia="宋体" w:cs="宋体"/>
          <w:spacing w:val="-6"/>
          <w:sz w:val="24"/>
          <w:szCs w:val="24"/>
        </w:rPr>
        <w:t>尼泊尔桤木林；</w:t>
      </w:r>
      <w:r>
        <w:rPr>
          <w:rFonts w:ascii="宋体" w:hAnsi="宋体" w:eastAsia="宋体" w:cs="宋体"/>
          <w:spacing w:val="-13"/>
          <w:sz w:val="24"/>
          <w:szCs w:val="24"/>
        </w:rPr>
        <w:t xml:space="preserve"> </w:t>
      </w:r>
      <w:r>
        <w:rPr>
          <w:rFonts w:ascii="宋体" w:hAnsi="宋体" w:eastAsia="宋体" w:cs="宋体"/>
          <w:spacing w:val="-6"/>
          <w:sz w:val="24"/>
          <w:szCs w:val="24"/>
        </w:rPr>
        <w:t>常绿阔叶林长期受到人为破坏形成稳定的次生灌丛及稀树灌木草</w:t>
      </w:r>
    </w:p>
    <w:p>
      <w:pPr>
        <w:spacing w:before="1" w:line="219" w:lineRule="auto"/>
        <w:ind w:left="40"/>
        <w:rPr>
          <w:rFonts w:ascii="宋体" w:hAnsi="宋体" w:eastAsia="宋体" w:cs="宋体"/>
          <w:sz w:val="24"/>
          <w:szCs w:val="24"/>
        </w:rPr>
      </w:pPr>
      <w:r>
        <w:rPr>
          <w:rFonts w:ascii="宋体" w:hAnsi="宋体" w:eastAsia="宋体" w:cs="宋体"/>
          <w:spacing w:val="-9"/>
          <w:sz w:val="24"/>
          <w:szCs w:val="24"/>
        </w:rPr>
        <w:t>丛植被。</w:t>
      </w:r>
    </w:p>
    <w:p>
      <w:pPr>
        <w:spacing w:before="182" w:line="359" w:lineRule="auto"/>
        <w:ind w:left="40" w:right="68" w:firstLine="481"/>
        <w:rPr>
          <w:rFonts w:ascii="宋体" w:hAnsi="宋体" w:eastAsia="宋体" w:cs="宋体"/>
          <w:sz w:val="24"/>
          <w:szCs w:val="24"/>
        </w:rPr>
      </w:pPr>
      <w:r>
        <w:rPr>
          <w:rFonts w:ascii="宋体" w:hAnsi="宋体" w:eastAsia="宋体" w:cs="宋体"/>
          <w:spacing w:val="-12"/>
          <w:sz w:val="24"/>
          <w:szCs w:val="24"/>
        </w:rPr>
        <w:t>水生植被面积非常狭小，</w:t>
      </w:r>
      <w:r>
        <w:rPr>
          <w:rFonts w:ascii="宋体" w:hAnsi="宋体" w:eastAsia="宋体" w:cs="宋体"/>
          <w:spacing w:val="28"/>
          <w:sz w:val="24"/>
          <w:szCs w:val="24"/>
        </w:rPr>
        <w:t xml:space="preserve"> </w:t>
      </w:r>
      <w:r>
        <w:rPr>
          <w:rFonts w:ascii="宋体" w:hAnsi="宋体" w:eastAsia="宋体" w:cs="宋体"/>
          <w:spacing w:val="-12"/>
          <w:sz w:val="24"/>
          <w:szCs w:val="24"/>
        </w:rPr>
        <w:t>仅在在桂花河及其支流罗子左</w:t>
      </w:r>
      <w:r>
        <w:rPr>
          <w:rFonts w:ascii="宋体" w:hAnsi="宋体" w:eastAsia="宋体" w:cs="宋体"/>
          <w:spacing w:val="-13"/>
          <w:sz w:val="24"/>
          <w:szCs w:val="24"/>
        </w:rPr>
        <w:t>河、马茨河，</w:t>
      </w:r>
      <w:r>
        <w:rPr>
          <w:rFonts w:ascii="宋体" w:hAnsi="宋体" w:eastAsia="宋体" w:cs="宋体"/>
          <w:spacing w:val="30"/>
          <w:sz w:val="24"/>
          <w:szCs w:val="24"/>
        </w:rPr>
        <w:t xml:space="preserve"> </w:t>
      </w:r>
      <w:r>
        <w:rPr>
          <w:rFonts w:ascii="宋体" w:hAnsi="宋体" w:eastAsia="宋体" w:cs="宋体"/>
          <w:spacing w:val="-13"/>
          <w:sz w:val="24"/>
          <w:szCs w:val="24"/>
        </w:rPr>
        <w:t>蜻蛉河</w:t>
      </w:r>
      <w:r>
        <w:rPr>
          <w:rFonts w:ascii="宋体" w:hAnsi="宋体" w:eastAsia="宋体" w:cs="宋体"/>
          <w:sz w:val="24"/>
          <w:szCs w:val="24"/>
        </w:rPr>
        <w:t xml:space="preserve"> </w:t>
      </w:r>
      <w:r>
        <w:rPr>
          <w:rFonts w:ascii="宋体" w:hAnsi="宋体" w:eastAsia="宋体" w:cs="宋体"/>
          <w:spacing w:val="-6"/>
          <w:sz w:val="24"/>
          <w:szCs w:val="24"/>
        </w:rPr>
        <w:t>支流者纳么河上游支流六姑乍箐、昔木乍箐及见簸箐上， 碧</w:t>
      </w:r>
      <w:r>
        <w:rPr>
          <w:rFonts w:ascii="宋体" w:hAnsi="宋体" w:eastAsia="宋体" w:cs="宋体"/>
          <w:spacing w:val="-7"/>
          <w:sz w:val="24"/>
          <w:szCs w:val="24"/>
        </w:rPr>
        <w:t>幺水库和附近的池塘</w:t>
      </w:r>
    </w:p>
    <w:p>
      <w:pPr>
        <w:spacing w:before="1" w:line="218" w:lineRule="auto"/>
        <w:ind w:left="41"/>
        <w:rPr>
          <w:rFonts w:ascii="宋体" w:hAnsi="宋体" w:eastAsia="宋体" w:cs="宋体"/>
          <w:sz w:val="24"/>
          <w:szCs w:val="24"/>
        </w:rPr>
      </w:pPr>
      <w:r>
        <w:rPr>
          <w:rFonts w:ascii="宋体" w:hAnsi="宋体" w:eastAsia="宋体" w:cs="宋体"/>
          <w:spacing w:val="-5"/>
          <w:sz w:val="24"/>
          <w:szCs w:val="24"/>
        </w:rPr>
        <w:t>等水体中有分布。</w:t>
      </w:r>
    </w:p>
    <w:p>
      <w:pPr>
        <w:spacing w:before="182"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垂直地带性分布规律</w:t>
      </w:r>
    </w:p>
    <w:p>
      <w:pPr>
        <w:spacing w:before="166" w:line="359" w:lineRule="auto"/>
        <w:ind w:left="40" w:firstLine="478"/>
        <w:rPr>
          <w:rFonts w:ascii="宋体" w:hAnsi="宋体" w:eastAsia="宋体" w:cs="宋体"/>
          <w:sz w:val="24"/>
          <w:szCs w:val="24"/>
        </w:rPr>
      </w:pPr>
      <w:r>
        <w:rPr>
          <w:rFonts w:ascii="宋体" w:hAnsi="宋体" w:eastAsia="宋体" w:cs="宋体"/>
          <w:spacing w:val="-6"/>
          <w:sz w:val="24"/>
          <w:szCs w:val="24"/>
        </w:rPr>
        <w:t>评价区最高点为南部六姑乍大箐和冷水箐的源头分水岭， 标高为</w:t>
      </w:r>
      <w:r>
        <w:rPr>
          <w:rFonts w:ascii="宋体" w:hAnsi="宋体" w:eastAsia="宋体" w:cs="宋体"/>
          <w:spacing w:val="-53"/>
          <w:sz w:val="24"/>
          <w:szCs w:val="24"/>
        </w:rPr>
        <w:t xml:space="preserve"> </w:t>
      </w:r>
      <w:r>
        <w:rPr>
          <w:rFonts w:ascii="Times New Roman" w:hAnsi="Times New Roman" w:eastAsia="Times New Roman" w:cs="Times New Roman"/>
          <w:spacing w:val="-6"/>
          <w:sz w:val="24"/>
          <w:szCs w:val="24"/>
        </w:rPr>
        <w:t>2630.31m</w:t>
      </w:r>
      <w:r>
        <w:rPr>
          <w:rFonts w:ascii="宋体" w:hAnsi="宋体" w:eastAsia="宋体" w:cs="宋体"/>
          <w:spacing w:val="-6"/>
          <w:sz w:val="24"/>
          <w:szCs w:val="24"/>
        </w:rPr>
        <w:t>，</w:t>
      </w:r>
      <w:r>
        <w:rPr>
          <w:rFonts w:ascii="宋体" w:hAnsi="宋体" w:eastAsia="宋体" w:cs="宋体"/>
          <w:sz w:val="24"/>
          <w:szCs w:val="24"/>
        </w:rPr>
        <w:t xml:space="preserve"> 最低点为北部桂花河与罗子左河交汇处下游岔处地，标高为 </w:t>
      </w:r>
      <w:r>
        <w:rPr>
          <w:rFonts w:ascii="Times New Roman" w:hAnsi="Times New Roman" w:eastAsia="Times New Roman" w:cs="Times New Roman"/>
          <w:sz w:val="24"/>
          <w:szCs w:val="24"/>
        </w:rPr>
        <w:t>1859.78m</w:t>
      </w:r>
      <w:r>
        <w:rPr>
          <w:rFonts w:ascii="宋体" w:hAnsi="宋体" w:eastAsia="宋体" w:cs="宋体"/>
          <w:sz w:val="24"/>
          <w:szCs w:val="24"/>
        </w:rPr>
        <w:t>，区内最</w:t>
      </w:r>
      <w:r>
        <w:rPr>
          <w:rFonts w:ascii="宋体" w:hAnsi="宋体" w:eastAsia="宋体" w:cs="宋体"/>
          <w:spacing w:val="11"/>
          <w:sz w:val="24"/>
          <w:szCs w:val="24"/>
        </w:rPr>
        <w:t xml:space="preserve"> </w:t>
      </w:r>
      <w:r>
        <w:rPr>
          <w:rFonts w:ascii="宋体" w:hAnsi="宋体" w:eastAsia="宋体" w:cs="宋体"/>
          <w:spacing w:val="-12"/>
          <w:sz w:val="24"/>
          <w:szCs w:val="24"/>
        </w:rPr>
        <w:t>大高差</w:t>
      </w:r>
      <w:r>
        <w:rPr>
          <w:rFonts w:ascii="宋体" w:hAnsi="宋体" w:eastAsia="宋体" w:cs="宋体"/>
          <w:spacing w:val="-36"/>
          <w:sz w:val="24"/>
          <w:szCs w:val="24"/>
        </w:rPr>
        <w:t xml:space="preserve"> </w:t>
      </w:r>
      <w:r>
        <w:rPr>
          <w:rFonts w:ascii="Times New Roman" w:hAnsi="Times New Roman" w:eastAsia="Times New Roman" w:cs="Times New Roman"/>
          <w:spacing w:val="-12"/>
          <w:sz w:val="24"/>
          <w:szCs w:val="24"/>
        </w:rPr>
        <w:t>770.53m</w:t>
      </w:r>
      <w:r>
        <w:rPr>
          <w:rFonts w:ascii="宋体" w:hAnsi="宋体" w:eastAsia="宋体" w:cs="宋体"/>
          <w:spacing w:val="-12"/>
          <w:sz w:val="24"/>
          <w:szCs w:val="24"/>
        </w:rPr>
        <w:t>。地势起伏虽大，</w:t>
      </w:r>
      <w:r>
        <w:rPr>
          <w:rFonts w:ascii="宋体" w:hAnsi="宋体" w:eastAsia="宋体" w:cs="宋体"/>
          <w:spacing w:val="46"/>
          <w:sz w:val="24"/>
          <w:szCs w:val="24"/>
        </w:rPr>
        <w:t xml:space="preserve"> </w:t>
      </w:r>
      <w:r>
        <w:rPr>
          <w:rFonts w:ascii="宋体" w:hAnsi="宋体" w:eastAsia="宋体" w:cs="宋体"/>
          <w:spacing w:val="-12"/>
          <w:sz w:val="24"/>
          <w:szCs w:val="24"/>
        </w:rPr>
        <w:t>但人为干扰已极大破坏了原有的植被，</w:t>
      </w:r>
      <w:r>
        <w:rPr>
          <w:rFonts w:ascii="宋体" w:hAnsi="宋体" w:eastAsia="宋体" w:cs="宋体"/>
          <w:spacing w:val="94"/>
          <w:sz w:val="24"/>
          <w:szCs w:val="24"/>
        </w:rPr>
        <w:t xml:space="preserve"> </w:t>
      </w:r>
      <w:r>
        <w:rPr>
          <w:rFonts w:ascii="宋体" w:hAnsi="宋体" w:eastAsia="宋体" w:cs="宋体"/>
          <w:spacing w:val="-12"/>
          <w:sz w:val="24"/>
          <w:szCs w:val="24"/>
        </w:rPr>
        <w:t>目前的</w:t>
      </w:r>
      <w:r>
        <w:rPr>
          <w:rFonts w:ascii="宋体" w:hAnsi="宋体" w:eastAsia="宋体" w:cs="宋体"/>
          <w:sz w:val="24"/>
          <w:szCs w:val="24"/>
        </w:rPr>
        <w:t xml:space="preserve"> </w:t>
      </w:r>
      <w:r>
        <w:rPr>
          <w:rFonts w:ascii="宋体" w:hAnsi="宋体" w:eastAsia="宋体" w:cs="宋体"/>
          <w:spacing w:val="-7"/>
          <w:sz w:val="24"/>
          <w:szCs w:val="24"/>
        </w:rPr>
        <w:t>植被垂直分异已不是很明显，</w:t>
      </w:r>
      <w:r>
        <w:rPr>
          <w:rFonts w:ascii="宋体" w:hAnsi="宋体" w:eastAsia="宋体" w:cs="宋体"/>
          <w:spacing w:val="33"/>
          <w:sz w:val="24"/>
          <w:szCs w:val="24"/>
        </w:rPr>
        <w:t xml:space="preserve"> </w:t>
      </w:r>
      <w:r>
        <w:rPr>
          <w:rFonts w:ascii="宋体" w:hAnsi="宋体" w:eastAsia="宋体" w:cs="宋体"/>
          <w:spacing w:val="-7"/>
          <w:sz w:val="24"/>
          <w:szCs w:val="24"/>
        </w:rPr>
        <w:t>各植被亚型犬牙交错</w:t>
      </w:r>
      <w:r>
        <w:rPr>
          <w:rFonts w:ascii="宋体" w:hAnsi="宋体" w:eastAsia="宋体" w:cs="宋体"/>
          <w:spacing w:val="-8"/>
          <w:sz w:val="24"/>
          <w:szCs w:val="24"/>
        </w:rPr>
        <w:t>、镶嵌分布。而土壤基质条件</w:t>
      </w:r>
    </w:p>
    <w:p>
      <w:pPr>
        <w:spacing w:before="1" w:line="218" w:lineRule="auto"/>
        <w:ind w:left="38"/>
        <w:rPr>
          <w:rFonts w:ascii="宋体" w:hAnsi="宋体" w:eastAsia="宋体" w:cs="宋体"/>
          <w:sz w:val="24"/>
          <w:szCs w:val="24"/>
        </w:rPr>
      </w:pPr>
      <w:r>
        <w:rPr>
          <w:rFonts w:ascii="宋体" w:hAnsi="宋体" w:eastAsia="宋体" w:cs="宋体"/>
          <w:spacing w:val="-12"/>
          <w:sz w:val="24"/>
          <w:szCs w:val="24"/>
        </w:rPr>
        <w:t>及人为扰动对植被分布的制约作用突出，</w:t>
      </w:r>
      <w:r>
        <w:rPr>
          <w:rFonts w:ascii="宋体" w:hAnsi="宋体" w:eastAsia="宋体" w:cs="宋体"/>
          <w:spacing w:val="47"/>
          <w:sz w:val="24"/>
          <w:szCs w:val="24"/>
        </w:rPr>
        <w:t xml:space="preserve"> </w:t>
      </w:r>
      <w:r>
        <w:rPr>
          <w:rFonts w:ascii="宋体" w:hAnsi="宋体" w:eastAsia="宋体" w:cs="宋体"/>
          <w:spacing w:val="-12"/>
          <w:sz w:val="24"/>
          <w:szCs w:val="24"/>
        </w:rPr>
        <w:t>在泥灰岩、砂页岩基质上，</w:t>
      </w:r>
      <w:r>
        <w:rPr>
          <w:rFonts w:ascii="宋体" w:hAnsi="宋体" w:eastAsia="宋体" w:cs="宋体"/>
          <w:spacing w:val="30"/>
          <w:sz w:val="24"/>
          <w:szCs w:val="24"/>
        </w:rPr>
        <w:t xml:space="preserve"> </w:t>
      </w:r>
      <w:r>
        <w:rPr>
          <w:rFonts w:ascii="宋体" w:hAnsi="宋体" w:eastAsia="宋体" w:cs="宋体"/>
          <w:spacing w:val="-12"/>
          <w:sz w:val="24"/>
          <w:szCs w:val="24"/>
        </w:rPr>
        <w:t>土层为深厚</w:t>
      </w:r>
    </w:p>
    <w:p>
      <w:pPr>
        <w:spacing w:line="218" w:lineRule="auto"/>
        <w:rPr>
          <w:rFonts w:ascii="宋体" w:hAnsi="宋体" w:eastAsia="宋体" w:cs="宋体"/>
          <w:sz w:val="24"/>
          <w:szCs w:val="24"/>
        </w:rPr>
        <w:sectPr>
          <w:headerReference r:id="rId227" w:type="default"/>
          <w:footerReference r:id="rId228" w:type="default"/>
          <w:pgSz w:w="11907" w:h="16839"/>
          <w:pgMar w:top="1156" w:right="1730" w:bottom="1374" w:left="1770" w:header="881" w:footer="1210" w:gutter="0"/>
        </w:sectPr>
      </w:pPr>
    </w:p>
    <w:p>
      <w:pPr>
        <w:rPr>
          <w:rFonts w:ascii="Arial"/>
          <w:sz w:val="21"/>
        </w:rPr>
      </w:pPr>
    </w:p>
    <w:p>
      <w:pPr>
        <w:spacing w:before="78" w:line="359" w:lineRule="auto"/>
        <w:ind w:left="41" w:right="62" w:firstLine="17"/>
        <w:jc w:val="both"/>
        <w:rPr>
          <w:rFonts w:ascii="宋体" w:hAnsi="宋体" w:eastAsia="宋体" w:cs="宋体"/>
          <w:sz w:val="24"/>
          <w:szCs w:val="24"/>
        </w:rPr>
      </w:pPr>
      <w:r>
        <w:rPr>
          <w:rFonts w:ascii="宋体" w:hAnsi="宋体" w:eastAsia="宋体" w:cs="宋体"/>
          <w:spacing w:val="-16"/>
          <w:sz w:val="24"/>
          <w:szCs w:val="24"/>
        </w:rPr>
        <w:t>的赤红壤， 土壤保水能力较强，</w:t>
      </w:r>
      <w:r>
        <w:rPr>
          <w:rFonts w:ascii="宋体" w:hAnsi="宋体" w:eastAsia="宋体" w:cs="宋体"/>
          <w:spacing w:val="40"/>
          <w:sz w:val="24"/>
          <w:szCs w:val="24"/>
        </w:rPr>
        <w:t xml:space="preserve"> </w:t>
      </w:r>
      <w:r>
        <w:rPr>
          <w:rFonts w:ascii="宋体" w:hAnsi="宋体" w:eastAsia="宋体" w:cs="宋体"/>
          <w:spacing w:val="-16"/>
          <w:sz w:val="24"/>
          <w:szCs w:val="24"/>
        </w:rPr>
        <w:t>或在红土层深厚的</w:t>
      </w:r>
      <w:r>
        <w:rPr>
          <w:rFonts w:ascii="宋体" w:hAnsi="宋体" w:eastAsia="宋体" w:cs="宋体"/>
          <w:spacing w:val="-17"/>
          <w:sz w:val="24"/>
          <w:szCs w:val="24"/>
        </w:rPr>
        <w:t>溶蚀洼地内部，</w:t>
      </w:r>
      <w:r>
        <w:rPr>
          <w:rFonts w:ascii="宋体" w:hAnsi="宋体" w:eastAsia="宋体" w:cs="宋体"/>
          <w:spacing w:val="64"/>
          <w:sz w:val="24"/>
          <w:szCs w:val="24"/>
        </w:rPr>
        <w:t xml:space="preserve"> </w:t>
      </w:r>
      <w:r>
        <w:rPr>
          <w:rFonts w:ascii="宋体" w:hAnsi="宋体" w:eastAsia="宋体" w:cs="宋体"/>
          <w:spacing w:val="-17"/>
          <w:sz w:val="24"/>
          <w:szCs w:val="24"/>
        </w:rPr>
        <w:t>以滇青冈、高</w:t>
      </w:r>
      <w:r>
        <w:rPr>
          <w:rFonts w:ascii="宋体" w:hAnsi="宋体" w:eastAsia="宋体" w:cs="宋体"/>
          <w:sz w:val="24"/>
          <w:szCs w:val="24"/>
        </w:rPr>
        <w:t xml:space="preserve"> </w:t>
      </w:r>
      <w:r>
        <w:rPr>
          <w:rFonts w:ascii="宋体" w:hAnsi="宋体" w:eastAsia="宋体" w:cs="宋体"/>
          <w:spacing w:val="-6"/>
          <w:sz w:val="24"/>
          <w:szCs w:val="24"/>
        </w:rPr>
        <w:t>山锥为标志的半湿润常绿阔叶林发育较好；</w:t>
      </w:r>
      <w:r>
        <w:rPr>
          <w:rFonts w:ascii="宋体" w:hAnsi="宋体" w:eastAsia="宋体" w:cs="宋体"/>
          <w:spacing w:val="-16"/>
          <w:sz w:val="24"/>
          <w:szCs w:val="24"/>
        </w:rPr>
        <w:t xml:space="preserve"> </w:t>
      </w:r>
      <w:r>
        <w:rPr>
          <w:rFonts w:ascii="宋体" w:hAnsi="宋体" w:eastAsia="宋体" w:cs="宋体"/>
          <w:spacing w:val="-6"/>
          <w:sz w:val="24"/>
          <w:szCs w:val="24"/>
        </w:rPr>
        <w:t>而现有广大的河谷岩溶发育的山坡则</w:t>
      </w:r>
      <w:r>
        <w:rPr>
          <w:rFonts w:ascii="宋体" w:hAnsi="宋体" w:eastAsia="宋体" w:cs="宋体"/>
          <w:sz w:val="24"/>
          <w:szCs w:val="24"/>
        </w:rPr>
        <w:t xml:space="preserve"> </w:t>
      </w:r>
      <w:r>
        <w:rPr>
          <w:rFonts w:ascii="宋体" w:hAnsi="宋体" w:eastAsia="宋体" w:cs="宋体"/>
          <w:spacing w:val="-12"/>
          <w:sz w:val="24"/>
          <w:szCs w:val="24"/>
        </w:rPr>
        <w:t>因缺水少土，</w:t>
      </w:r>
      <w:r>
        <w:rPr>
          <w:rFonts w:ascii="宋体" w:hAnsi="宋体" w:eastAsia="宋体" w:cs="宋体"/>
          <w:spacing w:val="38"/>
          <w:sz w:val="24"/>
          <w:szCs w:val="24"/>
        </w:rPr>
        <w:t xml:space="preserve"> </w:t>
      </w:r>
      <w:r>
        <w:rPr>
          <w:rFonts w:ascii="宋体" w:hAnsi="宋体" w:eastAsia="宋体" w:cs="宋体"/>
          <w:spacing w:val="-12"/>
          <w:sz w:val="24"/>
          <w:szCs w:val="24"/>
        </w:rPr>
        <w:t>大都为云南松林、暖温性稀树灌木草丛和暖性石灰岩灌丛分布，</w:t>
      </w:r>
      <w:r>
        <w:rPr>
          <w:rFonts w:ascii="宋体" w:hAnsi="宋体" w:eastAsia="宋体" w:cs="宋体"/>
          <w:spacing w:val="36"/>
          <w:sz w:val="24"/>
          <w:szCs w:val="24"/>
        </w:rPr>
        <w:t xml:space="preserve"> </w:t>
      </w:r>
      <w:r>
        <w:rPr>
          <w:rFonts w:ascii="宋体" w:hAnsi="宋体" w:eastAsia="宋体" w:cs="宋体"/>
          <w:spacing w:val="-12"/>
          <w:sz w:val="24"/>
          <w:szCs w:val="24"/>
        </w:rPr>
        <w:t>常</w:t>
      </w:r>
      <w:r>
        <w:rPr>
          <w:rFonts w:ascii="宋体" w:hAnsi="宋体" w:eastAsia="宋体" w:cs="宋体"/>
          <w:sz w:val="24"/>
          <w:szCs w:val="24"/>
        </w:rPr>
        <w:t xml:space="preserve"> </w:t>
      </w:r>
      <w:r>
        <w:rPr>
          <w:rFonts w:ascii="宋体" w:hAnsi="宋体" w:eastAsia="宋体" w:cs="宋体"/>
          <w:spacing w:val="-13"/>
          <w:sz w:val="24"/>
          <w:szCs w:val="24"/>
        </w:rPr>
        <w:t>见的种类有云南松、珍珠花、火棘、马桑等；</w:t>
      </w:r>
      <w:r>
        <w:rPr>
          <w:rFonts w:ascii="宋体" w:hAnsi="宋体" w:eastAsia="宋体" w:cs="宋体"/>
          <w:spacing w:val="46"/>
          <w:sz w:val="24"/>
          <w:szCs w:val="24"/>
        </w:rPr>
        <w:t xml:space="preserve"> </w:t>
      </w:r>
      <w:r>
        <w:rPr>
          <w:rFonts w:ascii="宋体" w:hAnsi="宋体" w:eastAsia="宋体" w:cs="宋体"/>
          <w:spacing w:val="-13"/>
          <w:sz w:val="24"/>
          <w:szCs w:val="24"/>
        </w:rPr>
        <w:t>在低海拔的河</w:t>
      </w:r>
      <w:r>
        <w:rPr>
          <w:rFonts w:ascii="宋体" w:hAnsi="宋体" w:eastAsia="宋体" w:cs="宋体"/>
          <w:spacing w:val="-14"/>
          <w:sz w:val="24"/>
          <w:szCs w:val="24"/>
        </w:rPr>
        <w:t>谷地段，</w:t>
      </w:r>
      <w:r>
        <w:rPr>
          <w:rFonts w:ascii="宋体" w:hAnsi="宋体" w:eastAsia="宋体" w:cs="宋体"/>
          <w:spacing w:val="71"/>
          <w:sz w:val="24"/>
          <w:szCs w:val="24"/>
        </w:rPr>
        <w:t xml:space="preserve"> </w:t>
      </w:r>
      <w:r>
        <w:rPr>
          <w:rFonts w:ascii="宋体" w:hAnsi="宋体" w:eastAsia="宋体" w:cs="宋体"/>
          <w:spacing w:val="-14"/>
          <w:sz w:val="24"/>
          <w:szCs w:val="24"/>
        </w:rPr>
        <w:t>由于干热河</w:t>
      </w:r>
      <w:r>
        <w:rPr>
          <w:rFonts w:ascii="宋体" w:hAnsi="宋体" w:eastAsia="宋体" w:cs="宋体"/>
          <w:sz w:val="24"/>
          <w:szCs w:val="24"/>
        </w:rPr>
        <w:t xml:space="preserve"> </w:t>
      </w:r>
      <w:r>
        <w:rPr>
          <w:rFonts w:ascii="宋体" w:hAnsi="宋体" w:eastAsia="宋体" w:cs="宋体"/>
          <w:spacing w:val="-12"/>
          <w:sz w:val="24"/>
          <w:szCs w:val="24"/>
        </w:rPr>
        <w:t>谷的嵌入或干旱的持续存在，</w:t>
      </w:r>
      <w:r>
        <w:rPr>
          <w:rFonts w:ascii="宋体" w:hAnsi="宋体" w:eastAsia="宋体" w:cs="宋体"/>
          <w:spacing w:val="41"/>
          <w:sz w:val="24"/>
          <w:szCs w:val="24"/>
        </w:rPr>
        <w:t xml:space="preserve"> </w:t>
      </w:r>
      <w:r>
        <w:rPr>
          <w:rFonts w:ascii="宋体" w:hAnsi="宋体" w:eastAsia="宋体" w:cs="宋体"/>
          <w:spacing w:val="-12"/>
          <w:sz w:val="24"/>
          <w:szCs w:val="24"/>
        </w:rPr>
        <w:t>有少量锥连栎、毛脉高山栎等乔木树种残存，</w:t>
      </w:r>
      <w:r>
        <w:rPr>
          <w:rFonts w:ascii="宋体" w:hAnsi="宋体" w:eastAsia="宋体" w:cs="宋体"/>
          <w:spacing w:val="33"/>
          <w:sz w:val="24"/>
          <w:szCs w:val="24"/>
        </w:rPr>
        <w:t xml:space="preserve"> </w:t>
      </w:r>
      <w:r>
        <w:rPr>
          <w:rFonts w:ascii="宋体" w:hAnsi="宋体" w:eastAsia="宋体" w:cs="宋体"/>
          <w:spacing w:val="-12"/>
          <w:sz w:val="24"/>
          <w:szCs w:val="24"/>
        </w:rPr>
        <w:t>形成</w:t>
      </w:r>
    </w:p>
    <w:p>
      <w:pPr>
        <w:spacing w:before="1" w:line="218" w:lineRule="auto"/>
        <w:ind w:left="42"/>
        <w:rPr>
          <w:rFonts w:ascii="宋体" w:hAnsi="宋体" w:eastAsia="宋体" w:cs="宋体"/>
          <w:sz w:val="24"/>
          <w:szCs w:val="24"/>
        </w:rPr>
      </w:pPr>
      <w:r>
        <w:rPr>
          <w:rFonts w:ascii="宋体" w:hAnsi="宋体" w:eastAsia="宋体" w:cs="宋体"/>
          <w:spacing w:val="-1"/>
          <w:sz w:val="24"/>
          <w:szCs w:val="24"/>
        </w:rPr>
        <w:t>极罕见的锥连栎林，而人为干扰下，会形成锥连栎、</w:t>
      </w:r>
      <w:r>
        <w:rPr>
          <w:rFonts w:ascii="宋体" w:hAnsi="宋体" w:eastAsia="宋体" w:cs="宋体"/>
          <w:spacing w:val="-2"/>
          <w:sz w:val="24"/>
          <w:szCs w:val="24"/>
        </w:rPr>
        <w:t>车桑子类型的稀树灌丛。</w:t>
      </w:r>
    </w:p>
    <w:p>
      <w:pPr>
        <w:spacing w:before="182"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植被演替规律</w:t>
      </w:r>
    </w:p>
    <w:p>
      <w:pPr>
        <w:spacing w:before="164" w:line="359" w:lineRule="auto"/>
        <w:ind w:left="42" w:right="63" w:firstLine="476"/>
        <w:rPr>
          <w:rFonts w:ascii="宋体" w:hAnsi="宋体" w:eastAsia="宋体" w:cs="宋体"/>
          <w:sz w:val="24"/>
          <w:szCs w:val="24"/>
        </w:rPr>
      </w:pPr>
      <w:r>
        <w:rPr>
          <w:rFonts w:ascii="宋体" w:hAnsi="宋体" w:eastAsia="宋体" w:cs="宋体"/>
          <w:spacing w:val="-6"/>
          <w:sz w:val="24"/>
          <w:szCs w:val="24"/>
        </w:rPr>
        <w:t>评价区的植被受到人为活动的强烈干扰，</w:t>
      </w:r>
      <w:r>
        <w:rPr>
          <w:rFonts w:ascii="宋体" w:hAnsi="宋体" w:eastAsia="宋体" w:cs="宋体"/>
          <w:spacing w:val="-26"/>
          <w:sz w:val="24"/>
          <w:szCs w:val="24"/>
        </w:rPr>
        <w:t xml:space="preserve"> </w:t>
      </w:r>
      <w:r>
        <w:rPr>
          <w:rFonts w:ascii="宋体" w:hAnsi="宋体" w:eastAsia="宋体" w:cs="宋体"/>
          <w:spacing w:val="-6"/>
          <w:sz w:val="24"/>
          <w:szCs w:val="24"/>
        </w:rPr>
        <w:t>原生植被破坏后一般形成云南松林</w:t>
      </w:r>
      <w:r>
        <w:rPr>
          <w:rFonts w:ascii="宋体" w:hAnsi="宋体" w:eastAsia="宋体" w:cs="宋体"/>
          <w:sz w:val="24"/>
          <w:szCs w:val="24"/>
        </w:rPr>
        <w:t xml:space="preserve"> </w:t>
      </w:r>
      <w:r>
        <w:rPr>
          <w:rFonts w:ascii="宋体" w:hAnsi="宋体" w:eastAsia="宋体" w:cs="宋体"/>
          <w:spacing w:val="-3"/>
          <w:sz w:val="24"/>
          <w:szCs w:val="24"/>
        </w:rPr>
        <w:t>或次生灌木，它们和原有群落残留树桩逐渐形成与评价区气候和土壤条件相</w:t>
      </w:r>
      <w:r>
        <w:rPr>
          <w:rFonts w:ascii="宋体" w:hAnsi="宋体" w:eastAsia="宋体" w:cs="宋体"/>
          <w:spacing w:val="-4"/>
          <w:sz w:val="24"/>
          <w:szCs w:val="24"/>
        </w:rPr>
        <w:t>适应</w:t>
      </w:r>
      <w:r>
        <w:rPr>
          <w:rFonts w:ascii="宋体" w:hAnsi="宋体" w:eastAsia="宋体" w:cs="宋体"/>
          <w:sz w:val="24"/>
          <w:szCs w:val="24"/>
        </w:rPr>
        <w:t xml:space="preserve"> </w:t>
      </w:r>
      <w:r>
        <w:rPr>
          <w:rFonts w:ascii="宋体" w:hAnsi="宋体" w:eastAsia="宋体" w:cs="宋体"/>
          <w:spacing w:val="-9"/>
          <w:sz w:val="24"/>
          <w:szCs w:val="24"/>
        </w:rPr>
        <w:t>的稀树灌丛和暖性石灰岩灌丛， 但评价区各植被类</w:t>
      </w:r>
      <w:r>
        <w:rPr>
          <w:rFonts w:ascii="宋体" w:hAnsi="宋体" w:eastAsia="宋体" w:cs="宋体"/>
          <w:spacing w:val="-10"/>
          <w:sz w:val="24"/>
          <w:szCs w:val="24"/>
        </w:rPr>
        <w:t>型植物生长旺盛， 更新苗木较</w:t>
      </w:r>
    </w:p>
    <w:p>
      <w:pPr>
        <w:spacing w:before="1" w:line="219" w:lineRule="auto"/>
        <w:ind w:left="50"/>
        <w:rPr>
          <w:rFonts w:ascii="宋体" w:hAnsi="宋体" w:eastAsia="宋体" w:cs="宋体"/>
          <w:sz w:val="24"/>
          <w:szCs w:val="24"/>
        </w:rPr>
      </w:pPr>
      <w:r>
        <w:rPr>
          <w:rFonts w:ascii="宋体" w:hAnsi="宋体" w:eastAsia="宋体" w:cs="宋体"/>
          <w:spacing w:val="-2"/>
          <w:sz w:val="24"/>
          <w:szCs w:val="24"/>
        </w:rPr>
        <w:t>多，若停止人为破坏加以自然恢复，可重新演替为相应的森林植被类型。</w:t>
      </w:r>
    </w:p>
    <w:p>
      <w:pPr>
        <w:spacing w:before="182" w:line="233" w:lineRule="auto"/>
        <w:ind w:left="517"/>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主要植被类型特征</w:t>
      </w:r>
    </w:p>
    <w:p>
      <w:pPr>
        <w:spacing w:before="164" w:line="359" w:lineRule="auto"/>
        <w:ind w:left="39" w:firstLine="480"/>
        <w:rPr>
          <w:rFonts w:ascii="宋体" w:hAnsi="宋体" w:eastAsia="宋体" w:cs="宋体"/>
          <w:sz w:val="24"/>
          <w:szCs w:val="24"/>
        </w:rPr>
      </w:pPr>
      <w:r>
        <w:rPr>
          <w:rFonts w:ascii="宋体" w:hAnsi="宋体" w:eastAsia="宋体" w:cs="宋体"/>
          <w:spacing w:val="-16"/>
          <w:sz w:val="24"/>
          <w:szCs w:val="24"/>
        </w:rPr>
        <w:t>植被所处生境的脆弱性：</w:t>
      </w:r>
      <w:r>
        <w:rPr>
          <w:rFonts w:ascii="宋体" w:hAnsi="宋体" w:eastAsia="宋体" w:cs="宋体"/>
          <w:spacing w:val="-29"/>
          <w:sz w:val="24"/>
          <w:szCs w:val="24"/>
        </w:rPr>
        <w:t xml:space="preserve"> </w:t>
      </w:r>
      <w:r>
        <w:rPr>
          <w:rFonts w:ascii="宋体" w:hAnsi="宋体" w:eastAsia="宋体" w:cs="宋体"/>
          <w:spacing w:val="-16"/>
          <w:sz w:val="24"/>
          <w:szCs w:val="24"/>
        </w:rPr>
        <w:t>区域自然植被大多在</w:t>
      </w:r>
      <w:r>
        <w:rPr>
          <w:rFonts w:ascii="宋体" w:hAnsi="宋体" w:eastAsia="宋体" w:cs="宋体"/>
          <w:spacing w:val="-17"/>
          <w:sz w:val="24"/>
          <w:szCs w:val="24"/>
        </w:rPr>
        <w:t>山地上，</w:t>
      </w:r>
      <w:r>
        <w:rPr>
          <w:rFonts w:ascii="宋体" w:hAnsi="宋体" w:eastAsia="宋体" w:cs="宋体"/>
          <w:spacing w:val="-51"/>
          <w:sz w:val="24"/>
          <w:szCs w:val="24"/>
        </w:rPr>
        <w:t xml:space="preserve"> </w:t>
      </w:r>
      <w:r>
        <w:rPr>
          <w:rFonts w:ascii="宋体" w:hAnsi="宋体" w:eastAsia="宋体" w:cs="宋体"/>
          <w:spacing w:val="-17"/>
          <w:sz w:val="24"/>
          <w:szCs w:val="24"/>
        </w:rPr>
        <w:t>较为陡峭，土层浅薄，</w:t>
      </w:r>
      <w:r>
        <w:rPr>
          <w:rFonts w:ascii="宋体" w:hAnsi="宋体" w:eastAsia="宋体" w:cs="宋体"/>
          <w:sz w:val="24"/>
          <w:szCs w:val="24"/>
        </w:rPr>
        <w:t xml:space="preserve">  </w:t>
      </w:r>
      <w:r>
        <w:rPr>
          <w:rFonts w:ascii="宋体" w:hAnsi="宋体" w:eastAsia="宋体" w:cs="宋体"/>
          <w:spacing w:val="-4"/>
          <w:sz w:val="24"/>
          <w:szCs w:val="24"/>
        </w:rPr>
        <w:t>很多地方还岩石裸露，其生境十分脆弱。在</w:t>
      </w:r>
      <w:r>
        <w:rPr>
          <w:rFonts w:ascii="宋体" w:hAnsi="宋体" w:eastAsia="宋体" w:cs="宋体"/>
          <w:spacing w:val="-5"/>
          <w:sz w:val="24"/>
          <w:szCs w:val="24"/>
        </w:rPr>
        <w:t>这样的生境上， 植被一旦遭到破坏，</w:t>
      </w:r>
      <w:r>
        <w:rPr>
          <w:rFonts w:ascii="宋体" w:hAnsi="宋体" w:eastAsia="宋体" w:cs="宋体"/>
          <w:sz w:val="24"/>
          <w:szCs w:val="24"/>
        </w:rPr>
        <w:t xml:space="preserve"> </w:t>
      </w:r>
      <w:r>
        <w:rPr>
          <w:rFonts w:ascii="宋体" w:hAnsi="宋体" w:eastAsia="宋体" w:cs="宋体"/>
          <w:spacing w:val="-6"/>
          <w:sz w:val="24"/>
          <w:szCs w:val="24"/>
        </w:rPr>
        <w:t>恢复起来将十分困难，</w:t>
      </w:r>
      <w:r>
        <w:rPr>
          <w:rFonts w:ascii="宋体" w:hAnsi="宋体" w:eastAsia="宋体" w:cs="宋体"/>
          <w:spacing w:val="-14"/>
          <w:sz w:val="24"/>
          <w:szCs w:val="24"/>
        </w:rPr>
        <w:t xml:space="preserve"> </w:t>
      </w:r>
      <w:r>
        <w:rPr>
          <w:rFonts w:ascii="宋体" w:hAnsi="宋体" w:eastAsia="宋体" w:cs="宋体"/>
          <w:spacing w:val="-6"/>
          <w:sz w:val="24"/>
          <w:szCs w:val="24"/>
        </w:rPr>
        <w:t>林区边缘的森林就因为人为干扰破坏迅速转化成荒山和茅</w:t>
      </w:r>
      <w:r>
        <w:rPr>
          <w:rFonts w:ascii="宋体" w:hAnsi="宋体" w:eastAsia="宋体" w:cs="宋体"/>
          <w:sz w:val="24"/>
          <w:szCs w:val="24"/>
        </w:rPr>
        <w:t xml:space="preserve"> </w:t>
      </w:r>
      <w:r>
        <w:rPr>
          <w:rFonts w:ascii="宋体" w:hAnsi="宋体" w:eastAsia="宋体" w:cs="宋体"/>
          <w:spacing w:val="-14"/>
          <w:sz w:val="24"/>
          <w:szCs w:val="24"/>
        </w:rPr>
        <w:t>草坡。而平地坝区和山脚平缓处，</w:t>
      </w:r>
      <w:r>
        <w:rPr>
          <w:rFonts w:ascii="宋体" w:hAnsi="宋体" w:eastAsia="宋体" w:cs="宋体"/>
          <w:spacing w:val="-48"/>
          <w:sz w:val="24"/>
          <w:szCs w:val="24"/>
        </w:rPr>
        <w:t xml:space="preserve"> </w:t>
      </w:r>
      <w:r>
        <w:rPr>
          <w:rFonts w:ascii="宋体" w:hAnsi="宋体" w:eastAsia="宋体" w:cs="宋体"/>
          <w:spacing w:val="-14"/>
          <w:sz w:val="24"/>
          <w:szCs w:val="24"/>
        </w:rPr>
        <w:t>人类活动历史较为</w:t>
      </w:r>
      <w:r>
        <w:rPr>
          <w:rFonts w:ascii="宋体" w:hAnsi="宋体" w:eastAsia="宋体" w:cs="宋体"/>
          <w:spacing w:val="-15"/>
          <w:sz w:val="24"/>
          <w:szCs w:val="24"/>
        </w:rPr>
        <w:t>悠久，</w:t>
      </w:r>
      <w:r>
        <w:rPr>
          <w:rFonts w:ascii="宋体" w:hAnsi="宋体" w:eastAsia="宋体" w:cs="宋体"/>
          <w:spacing w:val="-51"/>
          <w:sz w:val="24"/>
          <w:szCs w:val="24"/>
        </w:rPr>
        <w:t xml:space="preserve"> </w:t>
      </w:r>
      <w:r>
        <w:rPr>
          <w:rFonts w:ascii="宋体" w:hAnsi="宋体" w:eastAsia="宋体" w:cs="宋体"/>
          <w:spacing w:val="-15"/>
          <w:sz w:val="24"/>
          <w:szCs w:val="24"/>
        </w:rPr>
        <w:t>基本上已经成为农田、</w:t>
      </w:r>
    </w:p>
    <w:p>
      <w:pPr>
        <w:spacing w:before="1" w:line="218" w:lineRule="auto"/>
        <w:ind w:left="42"/>
        <w:rPr>
          <w:rFonts w:ascii="宋体" w:hAnsi="宋体" w:eastAsia="宋体" w:cs="宋体"/>
          <w:sz w:val="24"/>
          <w:szCs w:val="24"/>
        </w:rPr>
      </w:pPr>
      <w:r>
        <w:rPr>
          <w:rFonts w:ascii="宋体" w:hAnsi="宋体" w:eastAsia="宋体" w:cs="宋体"/>
          <w:spacing w:val="-1"/>
          <w:sz w:val="24"/>
          <w:szCs w:val="24"/>
        </w:rPr>
        <w:t>旱地或经济林地，自然植被较为稀少，仅有少量的</w:t>
      </w:r>
      <w:r>
        <w:rPr>
          <w:rFonts w:ascii="宋体" w:hAnsi="宋体" w:eastAsia="宋体" w:cs="宋体"/>
          <w:spacing w:val="-2"/>
          <w:sz w:val="24"/>
          <w:szCs w:val="24"/>
        </w:rPr>
        <w:t>稀树灌木草丛和灌丛分布。</w:t>
      </w:r>
    </w:p>
    <w:p>
      <w:pPr>
        <w:spacing w:before="183" w:line="359" w:lineRule="auto"/>
        <w:ind w:left="38" w:right="61" w:firstLine="480"/>
        <w:rPr>
          <w:rFonts w:ascii="宋体" w:hAnsi="宋体" w:eastAsia="宋体" w:cs="宋体"/>
          <w:sz w:val="24"/>
          <w:szCs w:val="24"/>
        </w:rPr>
      </w:pPr>
      <w:r>
        <w:rPr>
          <w:rFonts w:ascii="宋体" w:hAnsi="宋体" w:eastAsia="宋体" w:cs="宋体"/>
          <w:spacing w:val="-15"/>
          <w:sz w:val="24"/>
          <w:szCs w:val="24"/>
        </w:rPr>
        <w:t>评价区处于亚热带季风气候区，</w:t>
      </w:r>
      <w:r>
        <w:rPr>
          <w:rFonts w:ascii="宋体" w:hAnsi="宋体" w:eastAsia="宋体" w:cs="宋体"/>
          <w:spacing w:val="42"/>
          <w:sz w:val="24"/>
          <w:szCs w:val="24"/>
        </w:rPr>
        <w:t xml:space="preserve"> </w:t>
      </w:r>
      <w:r>
        <w:rPr>
          <w:rFonts w:ascii="宋体" w:hAnsi="宋体" w:eastAsia="宋体" w:cs="宋体"/>
          <w:spacing w:val="-15"/>
          <w:sz w:val="24"/>
          <w:szCs w:val="24"/>
        </w:rPr>
        <w:t>适合种植粮</w:t>
      </w:r>
      <w:r>
        <w:rPr>
          <w:rFonts w:ascii="宋体" w:hAnsi="宋体" w:eastAsia="宋体" w:cs="宋体"/>
          <w:spacing w:val="-16"/>
          <w:sz w:val="24"/>
          <w:szCs w:val="24"/>
        </w:rPr>
        <w:t>食，</w:t>
      </w:r>
      <w:r>
        <w:rPr>
          <w:rFonts w:ascii="宋体" w:hAnsi="宋体" w:eastAsia="宋体" w:cs="宋体"/>
          <w:spacing w:val="44"/>
          <w:sz w:val="24"/>
          <w:szCs w:val="24"/>
        </w:rPr>
        <w:t xml:space="preserve"> </w:t>
      </w:r>
      <w:r>
        <w:rPr>
          <w:rFonts w:ascii="宋体" w:hAnsi="宋体" w:eastAsia="宋体" w:cs="宋体"/>
          <w:spacing w:val="-16"/>
          <w:sz w:val="24"/>
          <w:szCs w:val="24"/>
        </w:rPr>
        <w:t>主产稻谷、玉米、荞麦，</w:t>
      </w:r>
      <w:r>
        <w:rPr>
          <w:rFonts w:ascii="宋体" w:hAnsi="宋体" w:eastAsia="宋体" w:cs="宋体"/>
          <w:spacing w:val="-42"/>
          <w:sz w:val="24"/>
          <w:szCs w:val="24"/>
        </w:rPr>
        <w:t xml:space="preserve"> </w:t>
      </w:r>
      <w:r>
        <w:rPr>
          <w:rFonts w:ascii="宋体" w:hAnsi="宋体" w:eastAsia="宋体" w:cs="宋体"/>
          <w:spacing w:val="-16"/>
          <w:sz w:val="24"/>
          <w:szCs w:val="24"/>
        </w:rPr>
        <w:t>经</w:t>
      </w:r>
      <w:r>
        <w:rPr>
          <w:rFonts w:ascii="宋体" w:hAnsi="宋体" w:eastAsia="宋体" w:cs="宋体"/>
          <w:sz w:val="24"/>
          <w:szCs w:val="24"/>
        </w:rPr>
        <w:t xml:space="preserve"> </w:t>
      </w:r>
      <w:r>
        <w:rPr>
          <w:rFonts w:ascii="宋体" w:hAnsi="宋体" w:eastAsia="宋体" w:cs="宋体"/>
          <w:spacing w:val="-3"/>
          <w:sz w:val="24"/>
          <w:szCs w:val="24"/>
        </w:rPr>
        <w:t>济作物有核桃、板栗、桃、烤烟、土豆、花生、辣椒等。评价范围内陆生自然植</w:t>
      </w:r>
      <w:r>
        <w:rPr>
          <w:rFonts w:ascii="宋体" w:hAnsi="宋体" w:eastAsia="宋体" w:cs="宋体"/>
          <w:spacing w:val="3"/>
          <w:sz w:val="24"/>
          <w:szCs w:val="24"/>
        </w:rPr>
        <w:t xml:space="preserve"> </w:t>
      </w:r>
      <w:r>
        <w:rPr>
          <w:rFonts w:ascii="宋体" w:hAnsi="宋体" w:eastAsia="宋体" w:cs="宋体"/>
          <w:spacing w:val="-6"/>
          <w:sz w:val="24"/>
          <w:szCs w:val="24"/>
        </w:rPr>
        <w:t>被类型在水平地带上成斑块状分布， 地带性植被为半湿润常绿阔</w:t>
      </w:r>
      <w:r>
        <w:rPr>
          <w:rFonts w:ascii="宋体" w:hAnsi="宋体" w:eastAsia="宋体" w:cs="宋体"/>
          <w:spacing w:val="-7"/>
          <w:sz w:val="24"/>
          <w:szCs w:val="24"/>
        </w:rPr>
        <w:t>叶林、云南松林</w:t>
      </w:r>
      <w:r>
        <w:rPr>
          <w:rFonts w:ascii="宋体" w:hAnsi="宋体" w:eastAsia="宋体" w:cs="宋体"/>
          <w:sz w:val="24"/>
          <w:szCs w:val="24"/>
        </w:rPr>
        <w:t xml:space="preserve"> </w:t>
      </w:r>
      <w:r>
        <w:rPr>
          <w:rFonts w:ascii="宋体" w:hAnsi="宋体" w:eastAsia="宋体" w:cs="宋体"/>
          <w:spacing w:val="-3"/>
          <w:sz w:val="24"/>
          <w:szCs w:val="24"/>
        </w:rPr>
        <w:t>及其次生稀树灌木草丛和灌丛。植物种类以云南松、珍珠花</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Lyonia ovalifolia</w:t>
      </w:r>
      <w:r>
        <w:rPr>
          <w:rFonts w:ascii="宋体" w:hAnsi="宋体" w:eastAsia="宋体" w:cs="宋体"/>
          <w:spacing w:val="-3"/>
          <w:sz w:val="24"/>
          <w:szCs w:val="24"/>
        </w:rPr>
        <w:t>、滇</w:t>
      </w:r>
      <w:r>
        <w:rPr>
          <w:rFonts w:ascii="宋体" w:hAnsi="宋体" w:eastAsia="宋体" w:cs="宋体"/>
          <w:sz w:val="24"/>
          <w:szCs w:val="24"/>
        </w:rPr>
        <w:t xml:space="preserve"> 青冈</w:t>
      </w:r>
      <w:r>
        <w:rPr>
          <w:rFonts w:ascii="宋体" w:hAnsi="宋体" w:eastAsia="宋体" w:cs="宋体"/>
          <w:spacing w:val="-44"/>
          <w:sz w:val="24"/>
          <w:szCs w:val="24"/>
        </w:rPr>
        <w:t xml:space="preserve"> </w:t>
      </w:r>
      <w:r>
        <w:rPr>
          <w:rFonts w:ascii="Times New Roman" w:hAnsi="Times New Roman" w:eastAsia="Times New Roman" w:cs="Times New Roman"/>
          <w:i/>
          <w:iCs/>
          <w:sz w:val="24"/>
          <w:szCs w:val="24"/>
        </w:rPr>
        <w:t>Cyclobalanopsis glaucoides</w:t>
      </w:r>
      <w:r>
        <w:rPr>
          <w:rFonts w:ascii="宋体" w:hAnsi="宋体" w:eastAsia="宋体" w:cs="宋体"/>
          <w:sz w:val="24"/>
          <w:szCs w:val="24"/>
        </w:rPr>
        <w:t>、高山锥</w:t>
      </w:r>
      <w:r>
        <w:rPr>
          <w:rFonts w:ascii="宋体" w:hAnsi="宋体" w:eastAsia="宋体" w:cs="宋体"/>
          <w:spacing w:val="-44"/>
          <w:sz w:val="24"/>
          <w:szCs w:val="24"/>
        </w:rPr>
        <w:t xml:space="preserve"> </w:t>
      </w:r>
      <w:r>
        <w:rPr>
          <w:rFonts w:ascii="Times New Roman" w:hAnsi="Times New Roman" w:eastAsia="Times New Roman" w:cs="Times New Roman"/>
          <w:i/>
          <w:iCs/>
          <w:sz w:val="24"/>
          <w:szCs w:val="24"/>
        </w:rPr>
        <w:t>Castanop</w:t>
      </w:r>
      <w:r>
        <w:rPr>
          <w:rFonts w:ascii="Times New Roman" w:hAnsi="Times New Roman" w:eastAsia="Times New Roman" w:cs="Times New Roman"/>
          <w:i/>
          <w:iCs/>
          <w:spacing w:val="-1"/>
          <w:sz w:val="24"/>
          <w:szCs w:val="24"/>
        </w:rPr>
        <w:t xml:space="preserve">sis delavayi </w:t>
      </w:r>
      <w:r>
        <w:rPr>
          <w:rFonts w:ascii="宋体" w:hAnsi="宋体" w:eastAsia="宋体" w:cs="宋体"/>
          <w:spacing w:val="-1"/>
          <w:sz w:val="24"/>
          <w:szCs w:val="24"/>
        </w:rPr>
        <w:t>等为优势种。在垂</w:t>
      </w:r>
    </w:p>
    <w:p>
      <w:pPr>
        <w:spacing w:before="1" w:line="218" w:lineRule="auto"/>
        <w:ind w:left="41"/>
        <w:rPr>
          <w:rFonts w:ascii="宋体" w:hAnsi="宋体" w:eastAsia="宋体" w:cs="宋体"/>
          <w:sz w:val="24"/>
          <w:szCs w:val="24"/>
        </w:rPr>
      </w:pPr>
      <w:r>
        <w:rPr>
          <w:rFonts w:ascii="宋体" w:hAnsi="宋体" w:eastAsia="宋体" w:cs="宋体"/>
          <w:spacing w:val="-5"/>
          <w:sz w:val="24"/>
          <w:szCs w:val="24"/>
        </w:rPr>
        <w:t>直地带上分布不明显。</w:t>
      </w:r>
    </w:p>
    <w:p>
      <w:pPr>
        <w:spacing w:before="183" w:line="217" w:lineRule="auto"/>
        <w:ind w:left="517"/>
        <w:rPr>
          <w:rFonts w:ascii="宋体" w:hAnsi="宋体" w:eastAsia="宋体" w:cs="宋体"/>
          <w:sz w:val="24"/>
          <w:szCs w:val="24"/>
        </w:rPr>
      </w:pPr>
      <w:r>
        <w:rPr>
          <w:rFonts w:ascii="宋体" w:hAnsi="宋体" w:eastAsia="宋体" w:cs="宋体"/>
          <w:spacing w:val="-2"/>
          <w:sz w:val="24"/>
          <w:szCs w:val="24"/>
        </w:rPr>
        <w:t>③样方调查</w:t>
      </w:r>
    </w:p>
    <w:p>
      <w:pPr>
        <w:spacing w:before="185" w:line="219" w:lineRule="auto"/>
        <w:ind w:left="520"/>
        <w:rPr>
          <w:rFonts w:ascii="宋体" w:hAnsi="宋体" w:eastAsia="宋体" w:cs="宋体"/>
          <w:sz w:val="24"/>
          <w:szCs w:val="24"/>
        </w:rPr>
      </w:pPr>
      <w:r>
        <w:rPr>
          <w:rFonts w:ascii="宋体" w:hAnsi="宋体" w:eastAsia="宋体" w:cs="宋体"/>
          <w:spacing w:val="-1"/>
          <w:sz w:val="24"/>
          <w:szCs w:val="24"/>
        </w:rPr>
        <w:t>本次共布设陆生植物现状调查样方</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40 </w:t>
      </w:r>
      <w:r>
        <w:rPr>
          <w:rFonts w:ascii="宋体" w:hAnsi="宋体" w:eastAsia="宋体" w:cs="宋体"/>
          <w:spacing w:val="-1"/>
          <w:sz w:val="24"/>
          <w:szCs w:val="24"/>
        </w:rPr>
        <w:t>个，具体信息见下表。</w:t>
      </w:r>
    </w:p>
    <w:p>
      <w:pPr>
        <w:spacing w:line="247" w:lineRule="auto"/>
        <w:rPr>
          <w:rFonts w:ascii="Arial"/>
          <w:sz w:val="21"/>
        </w:rPr>
      </w:pPr>
    </w:p>
    <w:p>
      <w:pPr>
        <w:spacing w:before="68" w:line="220" w:lineRule="auto"/>
        <w:ind w:left="3155"/>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8"/>
          <w:sz w:val="21"/>
          <w:szCs w:val="21"/>
        </w:rPr>
        <w:t xml:space="preserve"> </w:t>
      </w:r>
      <w:r>
        <w:rPr>
          <w:rFonts w:ascii="Times New Roman" w:hAnsi="Times New Roman" w:eastAsia="Times New Roman" w:cs="Times New Roman"/>
          <w:b/>
          <w:bCs/>
          <w:spacing w:val="-1"/>
          <w:sz w:val="21"/>
          <w:szCs w:val="21"/>
        </w:rPr>
        <w:t xml:space="preserve">3.2-22    </w:t>
      </w:r>
      <w:r>
        <w:rPr>
          <w:rFonts w:ascii="宋体" w:hAnsi="宋体" w:eastAsia="宋体" w:cs="宋体"/>
          <w:spacing w:val="-1"/>
          <w:sz w:val="21"/>
          <w:szCs w:val="21"/>
          <w14:textOutline w14:w="3810" w14:cap="flat" w14:cmpd="sng">
            <w14:solidFill>
              <w14:srgbClr w14:val="000000"/>
            </w14:solidFill>
            <w14:prstDash w14:val="solid"/>
            <w14:miter w14:val="0"/>
          </w14:textOutline>
        </w:rPr>
        <w:t>植被样方调查表</w:t>
      </w:r>
    </w:p>
    <w:p>
      <w:pPr>
        <w:spacing w:line="18"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3"/>
        <w:gridCol w:w="2359"/>
        <w:gridCol w:w="1770"/>
        <w:gridCol w:w="988"/>
        <w:gridCol w:w="1304"/>
        <w:gridCol w:w="12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07" w:hRule="atLeast"/>
        </w:trPr>
        <w:tc>
          <w:tcPr>
            <w:tcW w:w="603" w:type="dxa"/>
            <w:tcBorders>
              <w:top w:val="single" w:color="000000" w:sz="12" w:space="0"/>
              <w:left w:val="nil"/>
            </w:tcBorders>
            <w:textDirection w:val="tbRlV"/>
            <w:vAlign w:val="top"/>
          </w:tcPr>
          <w:p>
            <w:pPr>
              <w:spacing w:before="187" w:line="198" w:lineRule="auto"/>
              <w:ind w:left="30"/>
              <w:rPr>
                <w:rFonts w:ascii="仿宋" w:hAnsi="仿宋" w:eastAsia="仿宋" w:cs="仿宋"/>
                <w:sz w:val="21"/>
                <w:szCs w:val="21"/>
              </w:rPr>
            </w:pPr>
            <w:r>
              <w:rPr>
                <w:rFonts w:ascii="仿宋" w:hAnsi="仿宋" w:eastAsia="仿宋" w:cs="仿宋"/>
                <w:spacing w:val="41"/>
                <w:sz w:val="21"/>
                <w:szCs w:val="21"/>
                <w14:textOutline w14:w="3810" w14:cap="flat" w14:cmpd="sng">
                  <w14:solidFill>
                    <w14:srgbClr w14:val="000000"/>
                  </w14:solidFill>
                  <w14:prstDash w14:val="solid"/>
                  <w14:miter w14:val="0"/>
                </w14:textOutline>
              </w:rPr>
              <w:t>样方号</w:t>
            </w:r>
          </w:p>
        </w:tc>
        <w:tc>
          <w:tcPr>
            <w:tcW w:w="2359" w:type="dxa"/>
            <w:tcBorders>
              <w:top w:val="single" w:color="000000" w:sz="12" w:space="0"/>
            </w:tcBorders>
            <w:vAlign w:val="top"/>
          </w:tcPr>
          <w:p>
            <w:pPr>
              <w:spacing w:before="304" w:line="217" w:lineRule="auto"/>
              <w:ind w:left="98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位置</w:t>
            </w:r>
          </w:p>
        </w:tc>
        <w:tc>
          <w:tcPr>
            <w:tcW w:w="1770" w:type="dxa"/>
            <w:tcBorders>
              <w:top w:val="single" w:color="000000" w:sz="12" w:space="0"/>
            </w:tcBorders>
            <w:vAlign w:val="top"/>
          </w:tcPr>
          <w:p>
            <w:pPr>
              <w:spacing w:before="303" w:line="218" w:lineRule="auto"/>
              <w:ind w:left="475"/>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植被类型</w:t>
            </w:r>
          </w:p>
        </w:tc>
        <w:tc>
          <w:tcPr>
            <w:tcW w:w="988" w:type="dxa"/>
            <w:tcBorders>
              <w:top w:val="single" w:color="000000" w:sz="12" w:space="0"/>
            </w:tcBorders>
            <w:vAlign w:val="top"/>
          </w:tcPr>
          <w:p>
            <w:pPr>
              <w:spacing w:before="168" w:line="229" w:lineRule="auto"/>
              <w:ind w:left="400" w:right="174" w:hanging="210"/>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样方面</w:t>
            </w:r>
            <w:r>
              <w:rPr>
                <w:rFonts w:ascii="仿宋" w:hAnsi="仿宋" w:eastAsia="仿宋" w:cs="仿宋"/>
                <w:spacing w:val="1"/>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积</w:t>
            </w:r>
          </w:p>
        </w:tc>
        <w:tc>
          <w:tcPr>
            <w:tcW w:w="1304" w:type="dxa"/>
            <w:tcBorders>
              <w:top w:val="single" w:color="000000" w:sz="12" w:space="0"/>
            </w:tcBorders>
            <w:vAlign w:val="top"/>
          </w:tcPr>
          <w:p>
            <w:pPr>
              <w:spacing w:before="303" w:line="219" w:lineRule="auto"/>
              <w:ind w:left="45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经度</w:t>
            </w:r>
          </w:p>
        </w:tc>
        <w:tc>
          <w:tcPr>
            <w:tcW w:w="1297" w:type="dxa"/>
            <w:tcBorders>
              <w:top w:val="single" w:color="000000" w:sz="12" w:space="0"/>
              <w:right w:val="nil"/>
            </w:tcBorders>
            <w:vAlign w:val="top"/>
          </w:tcPr>
          <w:p>
            <w:pPr>
              <w:spacing w:before="303" w:line="217" w:lineRule="auto"/>
              <w:ind w:left="45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纬度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0" w:hRule="atLeast"/>
        </w:trPr>
        <w:tc>
          <w:tcPr>
            <w:tcW w:w="603" w:type="dxa"/>
            <w:tcBorders>
              <w:left w:val="nil"/>
            </w:tcBorders>
            <w:vAlign w:val="top"/>
          </w:tcPr>
          <w:p>
            <w:pPr>
              <w:pStyle w:val="6"/>
              <w:spacing w:before="221" w:line="186" w:lineRule="auto"/>
              <w:ind w:left="281"/>
            </w:pPr>
            <w:r>
              <w:t>1</w:t>
            </w:r>
          </w:p>
        </w:tc>
        <w:tc>
          <w:tcPr>
            <w:tcW w:w="2359" w:type="dxa"/>
            <w:vAlign w:val="top"/>
          </w:tcPr>
          <w:p>
            <w:pPr>
              <w:spacing w:before="45" w:line="213" w:lineRule="auto"/>
              <w:ind w:left="250" w:right="126" w:hanging="102"/>
              <w:rPr>
                <w:rFonts w:ascii="仿宋" w:hAnsi="仿宋" w:eastAsia="仿宋" w:cs="仿宋"/>
                <w:sz w:val="21"/>
                <w:szCs w:val="21"/>
              </w:rPr>
            </w:pPr>
            <w:r>
              <w:rPr>
                <w:rFonts w:ascii="仿宋" w:hAnsi="仿宋" w:eastAsia="仿宋" w:cs="仿宋"/>
                <w:spacing w:val="-3"/>
                <w:sz w:val="21"/>
                <w:szCs w:val="21"/>
              </w:rPr>
              <w:t>楚雄市大姚县桂花镇马</w:t>
            </w:r>
            <w:r>
              <w:rPr>
                <w:rFonts w:ascii="仿宋" w:hAnsi="仿宋" w:eastAsia="仿宋" w:cs="仿宋"/>
                <w:spacing w:val="8"/>
                <w:sz w:val="21"/>
                <w:szCs w:val="21"/>
              </w:rPr>
              <w:t xml:space="preserve"> </w:t>
            </w:r>
            <w:r>
              <w:rPr>
                <w:rFonts w:ascii="仿宋" w:hAnsi="仿宋" w:eastAsia="仿宋" w:cs="仿宋"/>
                <w:spacing w:val="-2"/>
                <w:sz w:val="21"/>
                <w:szCs w:val="21"/>
              </w:rPr>
              <w:t>茨村桂花河右岸山坡</w:t>
            </w:r>
          </w:p>
        </w:tc>
        <w:tc>
          <w:tcPr>
            <w:tcW w:w="1770" w:type="dxa"/>
            <w:vAlign w:val="top"/>
          </w:tcPr>
          <w:p>
            <w:pPr>
              <w:spacing w:before="45" w:line="213" w:lineRule="auto"/>
              <w:ind w:left="792" w:right="146" w:hanging="629"/>
              <w:rPr>
                <w:rFonts w:ascii="仿宋" w:hAnsi="仿宋" w:eastAsia="仿宋" w:cs="仿宋"/>
                <w:sz w:val="21"/>
                <w:szCs w:val="21"/>
              </w:rPr>
            </w:pPr>
            <w:r>
              <w:rPr>
                <w:rFonts w:ascii="仿宋" w:hAnsi="仿宋" w:eastAsia="仿宋" w:cs="仿宋"/>
                <w:spacing w:val="-3"/>
                <w:sz w:val="21"/>
                <w:szCs w:val="21"/>
              </w:rPr>
              <w:t>半湿润常绿阔叶</w:t>
            </w:r>
            <w:r>
              <w:rPr>
                <w:rFonts w:ascii="仿宋" w:hAnsi="仿宋" w:eastAsia="仿宋" w:cs="仿宋"/>
                <w:spacing w:val="5"/>
                <w:sz w:val="21"/>
                <w:szCs w:val="21"/>
              </w:rPr>
              <w:t xml:space="preserve"> </w:t>
            </w:r>
            <w:r>
              <w:rPr>
                <w:rFonts w:ascii="仿宋" w:hAnsi="仿宋" w:eastAsia="仿宋" w:cs="仿宋"/>
                <w:sz w:val="21"/>
                <w:szCs w:val="21"/>
              </w:rPr>
              <w:t>林</w:t>
            </w:r>
          </w:p>
        </w:tc>
        <w:tc>
          <w:tcPr>
            <w:tcW w:w="988" w:type="dxa"/>
            <w:vAlign w:val="top"/>
          </w:tcPr>
          <w:p>
            <w:pPr>
              <w:pStyle w:val="6"/>
              <w:spacing w:before="187" w:line="215" w:lineRule="auto"/>
              <w:ind w:left="111"/>
              <w:rPr>
                <w:sz w:val="14"/>
                <w:szCs w:val="14"/>
              </w:rPr>
            </w:pPr>
            <w:r>
              <w:rPr>
                <w:spacing w:val="-1"/>
              </w:rPr>
              <w:t>20×20m</w:t>
            </w:r>
            <w:r>
              <w:rPr>
                <w:spacing w:val="-1"/>
                <w:position w:val="7"/>
                <w:sz w:val="14"/>
                <w:szCs w:val="14"/>
              </w:rPr>
              <w:t>2</w:t>
            </w:r>
          </w:p>
        </w:tc>
        <w:tc>
          <w:tcPr>
            <w:tcW w:w="1304" w:type="dxa"/>
            <w:vAlign w:val="top"/>
          </w:tcPr>
          <w:p>
            <w:pPr>
              <w:pStyle w:val="6"/>
              <w:spacing w:before="219" w:line="188" w:lineRule="auto"/>
              <w:ind w:left="148"/>
            </w:pPr>
            <w:r>
              <w:t>N26°01′51″</w:t>
            </w:r>
          </w:p>
        </w:tc>
        <w:tc>
          <w:tcPr>
            <w:tcW w:w="1297" w:type="dxa"/>
            <w:tcBorders>
              <w:right w:val="nil"/>
            </w:tcBorders>
            <w:vAlign w:val="top"/>
          </w:tcPr>
          <w:p>
            <w:pPr>
              <w:pStyle w:val="6"/>
              <w:spacing w:before="219" w:line="188" w:lineRule="auto"/>
              <w:ind w:left="110"/>
            </w:pPr>
            <w:r>
              <w:rPr>
                <w:spacing w:val="-1"/>
              </w:rPr>
              <w:t>E101°15′53″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7" w:hRule="atLeast"/>
        </w:trPr>
        <w:tc>
          <w:tcPr>
            <w:tcW w:w="603" w:type="dxa"/>
            <w:tcBorders>
              <w:left w:val="nil"/>
              <w:bottom w:val="single" w:color="000000" w:sz="12" w:space="0"/>
            </w:tcBorders>
            <w:vAlign w:val="top"/>
          </w:tcPr>
          <w:p>
            <w:pPr>
              <w:pStyle w:val="6"/>
              <w:spacing w:before="114" w:line="186" w:lineRule="auto"/>
              <w:ind w:left="261"/>
            </w:pPr>
            <w:r>
              <w:t>2</w:t>
            </w:r>
          </w:p>
        </w:tc>
        <w:tc>
          <w:tcPr>
            <w:tcW w:w="2359" w:type="dxa"/>
            <w:tcBorders>
              <w:bottom w:val="single" w:color="000000" w:sz="12" w:space="0"/>
            </w:tcBorders>
            <w:vAlign w:val="top"/>
          </w:tcPr>
          <w:p>
            <w:pPr>
              <w:spacing w:before="75" w:line="216" w:lineRule="auto"/>
              <w:ind w:left="148"/>
              <w:rPr>
                <w:rFonts w:ascii="仿宋" w:hAnsi="仿宋" w:eastAsia="仿宋" w:cs="仿宋"/>
                <w:sz w:val="21"/>
                <w:szCs w:val="21"/>
              </w:rPr>
            </w:pPr>
            <w:r>
              <w:rPr>
                <w:rFonts w:ascii="仿宋" w:hAnsi="仿宋" w:eastAsia="仿宋" w:cs="仿宋"/>
                <w:spacing w:val="-2"/>
                <w:sz w:val="21"/>
                <w:szCs w:val="21"/>
              </w:rPr>
              <w:t>楚雄市大姚县桂花镇马</w:t>
            </w:r>
          </w:p>
        </w:tc>
        <w:tc>
          <w:tcPr>
            <w:tcW w:w="1770" w:type="dxa"/>
            <w:tcBorders>
              <w:bottom w:val="single" w:color="000000" w:sz="12" w:space="0"/>
            </w:tcBorders>
            <w:vAlign w:val="top"/>
          </w:tcPr>
          <w:p>
            <w:pPr>
              <w:spacing w:before="76" w:line="217" w:lineRule="auto"/>
              <w:ind w:left="163"/>
              <w:rPr>
                <w:rFonts w:ascii="仿宋" w:hAnsi="仿宋" w:eastAsia="仿宋" w:cs="仿宋"/>
                <w:sz w:val="21"/>
                <w:szCs w:val="21"/>
              </w:rPr>
            </w:pPr>
            <w:r>
              <w:rPr>
                <w:rFonts w:ascii="仿宋" w:hAnsi="仿宋" w:eastAsia="仿宋" w:cs="仿宋"/>
                <w:spacing w:val="-2"/>
                <w:sz w:val="21"/>
                <w:szCs w:val="21"/>
              </w:rPr>
              <w:t>半湿润常绿阔叶</w:t>
            </w:r>
          </w:p>
        </w:tc>
        <w:tc>
          <w:tcPr>
            <w:tcW w:w="988" w:type="dxa"/>
            <w:tcBorders>
              <w:bottom w:val="single" w:color="000000" w:sz="12" w:space="0"/>
            </w:tcBorders>
            <w:vAlign w:val="top"/>
          </w:tcPr>
          <w:p>
            <w:pPr>
              <w:pStyle w:val="6"/>
              <w:spacing w:before="80" w:line="215" w:lineRule="auto"/>
              <w:ind w:left="111"/>
              <w:rPr>
                <w:sz w:val="14"/>
                <w:szCs w:val="14"/>
              </w:rPr>
            </w:pPr>
            <w:r>
              <w:rPr>
                <w:spacing w:val="-1"/>
              </w:rPr>
              <w:t>20×20m</w:t>
            </w:r>
            <w:r>
              <w:rPr>
                <w:spacing w:val="-1"/>
                <w:position w:val="7"/>
                <w:sz w:val="14"/>
                <w:szCs w:val="14"/>
              </w:rPr>
              <w:t>2</w:t>
            </w:r>
          </w:p>
        </w:tc>
        <w:tc>
          <w:tcPr>
            <w:tcW w:w="1304" w:type="dxa"/>
            <w:tcBorders>
              <w:bottom w:val="single" w:color="000000" w:sz="12" w:space="0"/>
            </w:tcBorders>
            <w:vAlign w:val="top"/>
          </w:tcPr>
          <w:p>
            <w:pPr>
              <w:pStyle w:val="6"/>
              <w:spacing w:before="112" w:line="188" w:lineRule="auto"/>
              <w:ind w:left="148"/>
            </w:pPr>
            <w:r>
              <w:t>N26°01′47″</w:t>
            </w:r>
          </w:p>
        </w:tc>
        <w:tc>
          <w:tcPr>
            <w:tcW w:w="1297" w:type="dxa"/>
            <w:tcBorders>
              <w:bottom w:val="single" w:color="000000" w:sz="12" w:space="0"/>
              <w:right w:val="nil"/>
            </w:tcBorders>
            <w:vAlign w:val="top"/>
          </w:tcPr>
          <w:p>
            <w:pPr>
              <w:pStyle w:val="6"/>
              <w:spacing w:before="112" w:line="188" w:lineRule="auto"/>
              <w:ind w:left="110"/>
            </w:pPr>
            <w:r>
              <w:rPr>
                <w:spacing w:val="-1"/>
              </w:rPr>
              <w:t>E101°16′00″</w:t>
            </w:r>
          </w:p>
        </w:tc>
      </w:tr>
    </w:tbl>
    <w:p>
      <w:pPr>
        <w:spacing w:line="147" w:lineRule="exact"/>
        <w:rPr>
          <w:rFonts w:ascii="Arial"/>
          <w:sz w:val="12"/>
        </w:rPr>
      </w:pPr>
    </w:p>
    <w:p>
      <w:pPr>
        <w:spacing w:line="147" w:lineRule="exact"/>
        <w:rPr>
          <w:rFonts w:ascii="Arial" w:hAnsi="Arial" w:eastAsia="Arial" w:cs="Arial"/>
          <w:sz w:val="12"/>
          <w:szCs w:val="12"/>
        </w:rPr>
        <w:sectPr>
          <w:headerReference r:id="rId229" w:type="default"/>
          <w:footerReference r:id="rId230" w:type="default"/>
          <w:pgSz w:w="11907" w:h="16839"/>
          <w:pgMar w:top="1156" w:right="1736" w:bottom="1374" w:left="1770" w:header="881" w:footer="1210" w:gutter="0"/>
        </w:sectPr>
      </w:pPr>
    </w:p>
    <w:p>
      <w:pPr>
        <w:spacing w:before="41"/>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2359"/>
        <w:gridCol w:w="1770"/>
        <w:gridCol w:w="988"/>
        <w:gridCol w:w="1303"/>
        <w:gridCol w:w="12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top w:val="single" w:color="000000" w:sz="12" w:space="0"/>
              <w:left w:val="nil"/>
            </w:tcBorders>
            <w:textDirection w:val="tbRlV"/>
            <w:vAlign w:val="top"/>
          </w:tcPr>
          <w:p>
            <w:pPr>
              <w:spacing w:before="188" w:line="198" w:lineRule="auto"/>
              <w:ind w:left="30"/>
              <w:rPr>
                <w:rFonts w:ascii="仿宋" w:hAnsi="仿宋" w:eastAsia="仿宋" w:cs="仿宋"/>
                <w:sz w:val="21"/>
                <w:szCs w:val="21"/>
              </w:rPr>
            </w:pPr>
            <w:r>
              <w:rPr>
                <w:rFonts w:ascii="仿宋" w:hAnsi="仿宋" w:eastAsia="仿宋" w:cs="仿宋"/>
                <w:spacing w:val="41"/>
                <w:sz w:val="21"/>
                <w:szCs w:val="21"/>
                <w14:textOutline w14:w="3810" w14:cap="flat" w14:cmpd="sng">
                  <w14:solidFill>
                    <w14:srgbClr w14:val="000000"/>
                  </w14:solidFill>
                  <w14:prstDash w14:val="solid"/>
                  <w14:miter w14:val="0"/>
                </w14:textOutline>
              </w:rPr>
              <w:t>样方号</w:t>
            </w:r>
          </w:p>
        </w:tc>
        <w:tc>
          <w:tcPr>
            <w:tcW w:w="2359" w:type="dxa"/>
            <w:tcBorders>
              <w:top w:val="single" w:color="000000" w:sz="12" w:space="0"/>
            </w:tcBorders>
            <w:vAlign w:val="top"/>
          </w:tcPr>
          <w:p>
            <w:pPr>
              <w:spacing w:before="303" w:line="217" w:lineRule="auto"/>
              <w:ind w:left="98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位置</w:t>
            </w:r>
          </w:p>
        </w:tc>
        <w:tc>
          <w:tcPr>
            <w:tcW w:w="1770" w:type="dxa"/>
            <w:tcBorders>
              <w:top w:val="single" w:color="000000" w:sz="12" w:space="0"/>
            </w:tcBorders>
            <w:vAlign w:val="top"/>
          </w:tcPr>
          <w:p>
            <w:pPr>
              <w:spacing w:before="303" w:line="218" w:lineRule="auto"/>
              <w:ind w:left="47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植被类型</w:t>
            </w:r>
          </w:p>
        </w:tc>
        <w:tc>
          <w:tcPr>
            <w:tcW w:w="988" w:type="dxa"/>
            <w:tcBorders>
              <w:top w:val="single" w:color="000000" w:sz="12" w:space="0"/>
            </w:tcBorders>
            <w:vAlign w:val="top"/>
          </w:tcPr>
          <w:p>
            <w:pPr>
              <w:spacing w:before="166" w:line="229" w:lineRule="auto"/>
              <w:ind w:left="399" w:right="175" w:hanging="210"/>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样方面</w:t>
            </w:r>
            <w:r>
              <w:rPr>
                <w:rFonts w:ascii="仿宋" w:hAnsi="仿宋" w:eastAsia="仿宋" w:cs="仿宋"/>
                <w:spacing w:val="1"/>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积</w:t>
            </w:r>
          </w:p>
        </w:tc>
        <w:tc>
          <w:tcPr>
            <w:tcW w:w="1303" w:type="dxa"/>
            <w:tcBorders>
              <w:top w:val="single" w:color="000000" w:sz="12" w:space="0"/>
            </w:tcBorders>
            <w:vAlign w:val="top"/>
          </w:tcPr>
          <w:p>
            <w:pPr>
              <w:spacing w:before="302" w:line="219" w:lineRule="auto"/>
              <w:ind w:left="45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经度</w:t>
            </w:r>
          </w:p>
        </w:tc>
        <w:tc>
          <w:tcPr>
            <w:tcW w:w="1297" w:type="dxa"/>
            <w:tcBorders>
              <w:top w:val="single" w:color="000000" w:sz="12" w:space="0"/>
              <w:right w:val="nil"/>
            </w:tcBorders>
            <w:vAlign w:val="top"/>
          </w:tcPr>
          <w:p>
            <w:pPr>
              <w:spacing w:before="302" w:line="217" w:lineRule="auto"/>
              <w:ind w:left="45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纬度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6" w:hRule="atLeast"/>
        </w:trPr>
        <w:tc>
          <w:tcPr>
            <w:tcW w:w="604" w:type="dxa"/>
            <w:tcBorders>
              <w:left w:val="nil"/>
            </w:tcBorders>
            <w:vAlign w:val="top"/>
          </w:tcPr>
          <w:p>
            <w:pPr>
              <w:rPr>
                <w:rFonts w:ascii="Arial"/>
                <w:sz w:val="21"/>
              </w:rPr>
            </w:pPr>
          </w:p>
        </w:tc>
        <w:tc>
          <w:tcPr>
            <w:tcW w:w="2359" w:type="dxa"/>
            <w:vAlign w:val="top"/>
          </w:tcPr>
          <w:p>
            <w:pPr>
              <w:spacing w:before="52" w:line="216" w:lineRule="auto"/>
              <w:ind w:left="250"/>
              <w:rPr>
                <w:rFonts w:ascii="仿宋" w:hAnsi="仿宋" w:eastAsia="仿宋" w:cs="仿宋"/>
                <w:sz w:val="21"/>
                <w:szCs w:val="21"/>
              </w:rPr>
            </w:pPr>
            <w:r>
              <w:rPr>
                <w:rFonts w:ascii="仿宋" w:hAnsi="仿宋" w:eastAsia="仿宋" w:cs="仿宋"/>
                <w:spacing w:val="-2"/>
                <w:sz w:val="21"/>
                <w:szCs w:val="21"/>
              </w:rPr>
              <w:t>茨村桂花河右岸山坡</w:t>
            </w:r>
          </w:p>
        </w:tc>
        <w:tc>
          <w:tcPr>
            <w:tcW w:w="1770" w:type="dxa"/>
            <w:vAlign w:val="top"/>
          </w:tcPr>
          <w:p>
            <w:pPr>
              <w:spacing w:before="73" w:line="218" w:lineRule="auto"/>
              <w:ind w:left="791"/>
              <w:rPr>
                <w:rFonts w:ascii="仿宋" w:hAnsi="仿宋" w:eastAsia="仿宋" w:cs="仿宋"/>
                <w:sz w:val="21"/>
                <w:szCs w:val="21"/>
              </w:rPr>
            </w:pPr>
            <w:r>
              <w:rPr>
                <w:rFonts w:ascii="仿宋" w:hAnsi="仿宋" w:eastAsia="仿宋" w:cs="仿宋"/>
                <w:sz w:val="21"/>
                <w:szCs w:val="21"/>
              </w:rPr>
              <w:t>林</w:t>
            </w:r>
          </w:p>
        </w:tc>
        <w:tc>
          <w:tcPr>
            <w:tcW w:w="988" w:type="dxa"/>
            <w:vAlign w:val="top"/>
          </w:tcPr>
          <w:p>
            <w:pPr>
              <w:rPr>
                <w:rFonts w:ascii="Arial"/>
                <w:sz w:val="21"/>
              </w:rPr>
            </w:pPr>
          </w:p>
        </w:tc>
        <w:tc>
          <w:tcPr>
            <w:tcW w:w="1303" w:type="dxa"/>
            <w:vAlign w:val="top"/>
          </w:tcPr>
          <w:p>
            <w:pPr>
              <w:rPr>
                <w:rFonts w:ascii="Arial"/>
                <w:sz w:val="21"/>
              </w:rPr>
            </w:pPr>
          </w:p>
        </w:tc>
        <w:tc>
          <w:tcPr>
            <w:tcW w:w="129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604" w:type="dxa"/>
            <w:tcBorders>
              <w:left w:val="nil"/>
            </w:tcBorders>
            <w:vAlign w:val="top"/>
          </w:tcPr>
          <w:p>
            <w:pPr>
              <w:spacing w:line="282" w:lineRule="auto"/>
              <w:rPr>
                <w:rFonts w:ascii="Arial"/>
                <w:sz w:val="21"/>
              </w:rPr>
            </w:pPr>
          </w:p>
          <w:p>
            <w:pPr>
              <w:pStyle w:val="6"/>
              <w:spacing w:before="61" w:line="186" w:lineRule="auto"/>
              <w:ind w:left="265"/>
            </w:pPr>
            <w:r>
              <w:t>3</w:t>
            </w:r>
          </w:p>
        </w:tc>
        <w:tc>
          <w:tcPr>
            <w:tcW w:w="2359" w:type="dxa"/>
            <w:vAlign w:val="top"/>
          </w:tcPr>
          <w:p>
            <w:pPr>
              <w:spacing w:before="33" w:line="216" w:lineRule="auto"/>
              <w:ind w:left="147"/>
              <w:rPr>
                <w:rFonts w:ascii="仿宋" w:hAnsi="仿宋" w:eastAsia="仿宋" w:cs="仿宋"/>
                <w:sz w:val="21"/>
                <w:szCs w:val="21"/>
              </w:rPr>
            </w:pPr>
            <w:r>
              <w:rPr>
                <w:rFonts w:ascii="仿宋" w:hAnsi="仿宋" w:eastAsia="仿宋" w:cs="仿宋"/>
                <w:spacing w:val="-2"/>
                <w:sz w:val="21"/>
                <w:szCs w:val="21"/>
              </w:rPr>
              <w:t>楚雄市大姚县桂花镇罗</w:t>
            </w:r>
          </w:p>
          <w:p>
            <w:pPr>
              <w:spacing w:before="27" w:line="217" w:lineRule="auto"/>
              <w:ind w:left="149"/>
              <w:rPr>
                <w:rFonts w:ascii="仿宋" w:hAnsi="仿宋" w:eastAsia="仿宋" w:cs="仿宋"/>
                <w:sz w:val="21"/>
                <w:szCs w:val="21"/>
              </w:rPr>
            </w:pPr>
            <w:r>
              <w:rPr>
                <w:rFonts w:ascii="仿宋" w:hAnsi="仿宋" w:eastAsia="仿宋" w:cs="仿宋"/>
                <w:spacing w:val="-3"/>
                <w:sz w:val="21"/>
                <w:szCs w:val="21"/>
              </w:rPr>
              <w:t>子左村罗子左河右岸山</w:t>
            </w:r>
          </w:p>
          <w:p>
            <w:pPr>
              <w:spacing w:before="25" w:line="204" w:lineRule="auto"/>
              <w:ind w:left="1084"/>
              <w:rPr>
                <w:rFonts w:ascii="仿宋" w:hAnsi="仿宋" w:eastAsia="仿宋" w:cs="仿宋"/>
                <w:sz w:val="21"/>
                <w:szCs w:val="21"/>
              </w:rPr>
            </w:pPr>
            <w:r>
              <w:rPr>
                <w:rFonts w:ascii="仿宋" w:hAnsi="仿宋" w:eastAsia="仿宋" w:cs="仿宋"/>
                <w:sz w:val="21"/>
                <w:szCs w:val="21"/>
              </w:rPr>
              <w:t>坡</w:t>
            </w:r>
          </w:p>
        </w:tc>
        <w:tc>
          <w:tcPr>
            <w:tcW w:w="1770" w:type="dxa"/>
            <w:vAlign w:val="top"/>
          </w:tcPr>
          <w:p>
            <w:pPr>
              <w:spacing w:before="152" w:line="246" w:lineRule="auto"/>
              <w:ind w:left="791" w:right="147" w:hanging="629"/>
              <w:rPr>
                <w:rFonts w:ascii="仿宋" w:hAnsi="仿宋" w:eastAsia="仿宋" w:cs="仿宋"/>
                <w:sz w:val="21"/>
                <w:szCs w:val="21"/>
              </w:rPr>
            </w:pPr>
            <w:r>
              <w:rPr>
                <w:rFonts w:ascii="仿宋" w:hAnsi="仿宋" w:eastAsia="仿宋" w:cs="仿宋"/>
                <w:spacing w:val="-3"/>
                <w:sz w:val="21"/>
                <w:szCs w:val="21"/>
              </w:rPr>
              <w:t>半湿润常绿阔叶</w:t>
            </w:r>
            <w:r>
              <w:rPr>
                <w:rFonts w:ascii="仿宋" w:hAnsi="仿宋" w:eastAsia="仿宋" w:cs="仿宋"/>
                <w:spacing w:val="5"/>
                <w:sz w:val="21"/>
                <w:szCs w:val="21"/>
              </w:rPr>
              <w:t xml:space="preserve"> </w:t>
            </w:r>
            <w:r>
              <w:rPr>
                <w:rFonts w:ascii="仿宋" w:hAnsi="仿宋" w:eastAsia="仿宋" w:cs="仿宋"/>
                <w:sz w:val="21"/>
                <w:szCs w:val="21"/>
              </w:rPr>
              <w:t>林</w:t>
            </w:r>
          </w:p>
        </w:tc>
        <w:tc>
          <w:tcPr>
            <w:tcW w:w="988" w:type="dxa"/>
            <w:vAlign w:val="top"/>
          </w:tcPr>
          <w:p>
            <w:pPr>
              <w:spacing w:line="249" w:lineRule="auto"/>
              <w:rPr>
                <w:rFonts w:ascii="Arial"/>
                <w:sz w:val="21"/>
              </w:rPr>
            </w:pPr>
          </w:p>
          <w:p>
            <w:pPr>
              <w:pStyle w:val="6"/>
              <w:spacing w:before="60" w:line="215" w:lineRule="auto"/>
              <w:ind w:left="110"/>
              <w:rPr>
                <w:sz w:val="14"/>
                <w:szCs w:val="14"/>
              </w:rPr>
            </w:pPr>
            <w:r>
              <w:rPr>
                <w:spacing w:val="-1"/>
              </w:rPr>
              <w:t>20×20m</w:t>
            </w:r>
            <w:r>
              <w:rPr>
                <w:spacing w:val="-1"/>
                <w:position w:val="7"/>
                <w:sz w:val="14"/>
                <w:szCs w:val="14"/>
              </w:rPr>
              <w:t>2</w:t>
            </w:r>
          </w:p>
        </w:tc>
        <w:tc>
          <w:tcPr>
            <w:tcW w:w="1303" w:type="dxa"/>
            <w:vAlign w:val="top"/>
          </w:tcPr>
          <w:p>
            <w:pPr>
              <w:spacing w:line="280" w:lineRule="auto"/>
              <w:rPr>
                <w:rFonts w:ascii="Arial"/>
                <w:sz w:val="21"/>
              </w:rPr>
            </w:pPr>
          </w:p>
          <w:p>
            <w:pPr>
              <w:pStyle w:val="6"/>
              <w:spacing w:before="61" w:line="188" w:lineRule="auto"/>
              <w:ind w:left="147"/>
            </w:pPr>
            <w:r>
              <w:t>N26°03′16″</w:t>
            </w:r>
          </w:p>
        </w:tc>
        <w:tc>
          <w:tcPr>
            <w:tcW w:w="1297" w:type="dxa"/>
            <w:tcBorders>
              <w:right w:val="nil"/>
            </w:tcBorders>
            <w:vAlign w:val="top"/>
          </w:tcPr>
          <w:p>
            <w:pPr>
              <w:spacing w:line="280" w:lineRule="auto"/>
              <w:rPr>
                <w:rFonts w:ascii="Arial"/>
                <w:sz w:val="21"/>
              </w:rPr>
            </w:pPr>
          </w:p>
          <w:p>
            <w:pPr>
              <w:pStyle w:val="6"/>
              <w:spacing w:before="61" w:line="188" w:lineRule="auto"/>
              <w:ind w:left="110"/>
            </w:pPr>
            <w:r>
              <w:rPr>
                <w:spacing w:val="-1"/>
              </w:rPr>
              <w:t>E101°15′01″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283" w:lineRule="auto"/>
              <w:rPr>
                <w:rFonts w:ascii="Arial"/>
                <w:sz w:val="21"/>
              </w:rPr>
            </w:pPr>
          </w:p>
          <w:p>
            <w:pPr>
              <w:pStyle w:val="6"/>
              <w:spacing w:before="61" w:line="186" w:lineRule="auto"/>
              <w:ind w:left="260"/>
            </w:pPr>
            <w:r>
              <w:t>4</w:t>
            </w:r>
          </w:p>
        </w:tc>
        <w:tc>
          <w:tcPr>
            <w:tcW w:w="2359" w:type="dxa"/>
            <w:vAlign w:val="top"/>
          </w:tcPr>
          <w:p>
            <w:pPr>
              <w:spacing w:before="34" w:line="216" w:lineRule="auto"/>
              <w:ind w:left="147"/>
              <w:rPr>
                <w:rFonts w:ascii="仿宋" w:hAnsi="仿宋" w:eastAsia="仿宋" w:cs="仿宋"/>
                <w:sz w:val="21"/>
                <w:szCs w:val="21"/>
              </w:rPr>
            </w:pPr>
            <w:r>
              <w:rPr>
                <w:rFonts w:ascii="仿宋" w:hAnsi="仿宋" w:eastAsia="仿宋" w:cs="仿宋"/>
                <w:spacing w:val="-2"/>
                <w:sz w:val="21"/>
                <w:szCs w:val="21"/>
              </w:rPr>
              <w:t>楚雄市大姚县桂花镇罗</w:t>
            </w:r>
          </w:p>
          <w:p>
            <w:pPr>
              <w:spacing w:before="27" w:line="217" w:lineRule="auto"/>
              <w:ind w:left="149"/>
              <w:rPr>
                <w:rFonts w:ascii="仿宋" w:hAnsi="仿宋" w:eastAsia="仿宋" w:cs="仿宋"/>
                <w:sz w:val="21"/>
                <w:szCs w:val="21"/>
              </w:rPr>
            </w:pPr>
            <w:r>
              <w:rPr>
                <w:rFonts w:ascii="仿宋" w:hAnsi="仿宋" w:eastAsia="仿宋" w:cs="仿宋"/>
                <w:spacing w:val="-3"/>
                <w:sz w:val="21"/>
                <w:szCs w:val="21"/>
              </w:rPr>
              <w:t>子左村罗子左河右岸山</w:t>
            </w:r>
          </w:p>
          <w:p>
            <w:pPr>
              <w:spacing w:before="24" w:line="203" w:lineRule="auto"/>
              <w:ind w:left="1084"/>
              <w:rPr>
                <w:rFonts w:ascii="仿宋" w:hAnsi="仿宋" w:eastAsia="仿宋" w:cs="仿宋"/>
                <w:sz w:val="21"/>
                <w:szCs w:val="21"/>
              </w:rPr>
            </w:pPr>
            <w:r>
              <w:rPr>
                <w:rFonts w:ascii="仿宋" w:hAnsi="仿宋" w:eastAsia="仿宋" w:cs="仿宋"/>
                <w:sz w:val="21"/>
                <w:szCs w:val="21"/>
              </w:rPr>
              <w:t>坡</w:t>
            </w:r>
          </w:p>
        </w:tc>
        <w:tc>
          <w:tcPr>
            <w:tcW w:w="1770" w:type="dxa"/>
            <w:vAlign w:val="top"/>
          </w:tcPr>
          <w:p>
            <w:pPr>
              <w:spacing w:before="152" w:line="246" w:lineRule="auto"/>
              <w:ind w:left="791" w:right="147" w:hanging="629"/>
              <w:rPr>
                <w:rFonts w:ascii="仿宋" w:hAnsi="仿宋" w:eastAsia="仿宋" w:cs="仿宋"/>
                <w:sz w:val="21"/>
                <w:szCs w:val="21"/>
              </w:rPr>
            </w:pPr>
            <w:r>
              <w:rPr>
                <w:rFonts w:ascii="仿宋" w:hAnsi="仿宋" w:eastAsia="仿宋" w:cs="仿宋"/>
                <w:spacing w:val="-3"/>
                <w:sz w:val="21"/>
                <w:szCs w:val="21"/>
              </w:rPr>
              <w:t>半湿润常绿阔叶</w:t>
            </w:r>
            <w:r>
              <w:rPr>
                <w:rFonts w:ascii="仿宋" w:hAnsi="仿宋" w:eastAsia="仿宋" w:cs="仿宋"/>
                <w:spacing w:val="5"/>
                <w:sz w:val="21"/>
                <w:szCs w:val="21"/>
              </w:rPr>
              <w:t xml:space="preserve"> </w:t>
            </w:r>
            <w:r>
              <w:rPr>
                <w:rFonts w:ascii="仿宋" w:hAnsi="仿宋" w:eastAsia="仿宋" w:cs="仿宋"/>
                <w:sz w:val="21"/>
                <w:szCs w:val="21"/>
              </w:rPr>
              <w:t>林</w:t>
            </w:r>
          </w:p>
        </w:tc>
        <w:tc>
          <w:tcPr>
            <w:tcW w:w="988" w:type="dxa"/>
            <w:vAlign w:val="top"/>
          </w:tcPr>
          <w:p>
            <w:pPr>
              <w:spacing w:line="250" w:lineRule="auto"/>
              <w:rPr>
                <w:rFonts w:ascii="Arial"/>
                <w:sz w:val="21"/>
              </w:rPr>
            </w:pPr>
          </w:p>
          <w:p>
            <w:pPr>
              <w:pStyle w:val="6"/>
              <w:spacing w:before="60" w:line="216" w:lineRule="auto"/>
              <w:ind w:left="110"/>
              <w:rPr>
                <w:sz w:val="14"/>
                <w:szCs w:val="14"/>
              </w:rPr>
            </w:pPr>
            <w:r>
              <w:rPr>
                <w:spacing w:val="-1"/>
              </w:rPr>
              <w:t>20×20m</w:t>
            </w:r>
            <w:r>
              <w:rPr>
                <w:spacing w:val="-1"/>
                <w:position w:val="7"/>
                <w:sz w:val="14"/>
                <w:szCs w:val="14"/>
              </w:rPr>
              <w:t>2</w:t>
            </w:r>
          </w:p>
        </w:tc>
        <w:tc>
          <w:tcPr>
            <w:tcW w:w="1303" w:type="dxa"/>
            <w:vAlign w:val="top"/>
          </w:tcPr>
          <w:p>
            <w:pPr>
              <w:spacing w:line="281" w:lineRule="auto"/>
              <w:rPr>
                <w:rFonts w:ascii="Arial"/>
                <w:sz w:val="21"/>
              </w:rPr>
            </w:pPr>
          </w:p>
          <w:p>
            <w:pPr>
              <w:pStyle w:val="6"/>
              <w:spacing w:before="60" w:line="188" w:lineRule="auto"/>
              <w:ind w:left="147"/>
            </w:pPr>
            <w:r>
              <w:t>N26°03′17″</w:t>
            </w:r>
          </w:p>
        </w:tc>
        <w:tc>
          <w:tcPr>
            <w:tcW w:w="1297" w:type="dxa"/>
            <w:tcBorders>
              <w:right w:val="nil"/>
            </w:tcBorders>
            <w:vAlign w:val="top"/>
          </w:tcPr>
          <w:p>
            <w:pPr>
              <w:spacing w:line="281" w:lineRule="auto"/>
              <w:rPr>
                <w:rFonts w:ascii="Arial"/>
                <w:sz w:val="21"/>
              </w:rPr>
            </w:pPr>
          </w:p>
          <w:p>
            <w:pPr>
              <w:pStyle w:val="6"/>
              <w:spacing w:before="60" w:line="188" w:lineRule="auto"/>
              <w:ind w:left="110"/>
            </w:pPr>
            <w:r>
              <w:rPr>
                <w:spacing w:val="-1"/>
              </w:rPr>
              <w:t>E101°15′22″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288" w:lineRule="auto"/>
              <w:rPr>
                <w:rFonts w:ascii="Arial"/>
                <w:sz w:val="21"/>
              </w:rPr>
            </w:pPr>
          </w:p>
          <w:p>
            <w:pPr>
              <w:pStyle w:val="6"/>
              <w:spacing w:before="60" w:line="183" w:lineRule="auto"/>
              <w:ind w:left="266"/>
            </w:pPr>
            <w:r>
              <w:t>5</w:t>
            </w:r>
          </w:p>
        </w:tc>
        <w:tc>
          <w:tcPr>
            <w:tcW w:w="2359" w:type="dxa"/>
            <w:vAlign w:val="top"/>
          </w:tcPr>
          <w:p>
            <w:pPr>
              <w:spacing w:before="37" w:line="216" w:lineRule="auto"/>
              <w:ind w:left="147"/>
              <w:rPr>
                <w:rFonts w:ascii="仿宋" w:hAnsi="仿宋" w:eastAsia="仿宋" w:cs="仿宋"/>
                <w:sz w:val="21"/>
                <w:szCs w:val="21"/>
              </w:rPr>
            </w:pPr>
            <w:r>
              <w:rPr>
                <w:rFonts w:ascii="仿宋" w:hAnsi="仿宋" w:eastAsia="仿宋" w:cs="仿宋"/>
                <w:spacing w:val="-2"/>
                <w:sz w:val="21"/>
                <w:szCs w:val="21"/>
              </w:rPr>
              <w:t>楚雄市大姚县桂花镇罗</w:t>
            </w:r>
          </w:p>
          <w:p>
            <w:pPr>
              <w:spacing w:before="26" w:line="217" w:lineRule="auto"/>
              <w:ind w:left="149"/>
              <w:rPr>
                <w:rFonts w:ascii="仿宋" w:hAnsi="仿宋" w:eastAsia="仿宋" w:cs="仿宋"/>
                <w:sz w:val="21"/>
                <w:szCs w:val="21"/>
              </w:rPr>
            </w:pPr>
            <w:r>
              <w:rPr>
                <w:rFonts w:ascii="仿宋" w:hAnsi="仿宋" w:eastAsia="仿宋" w:cs="仿宋"/>
                <w:spacing w:val="-3"/>
                <w:sz w:val="21"/>
                <w:szCs w:val="21"/>
              </w:rPr>
              <w:t>子左村罗子左河右岸山</w:t>
            </w:r>
          </w:p>
          <w:p>
            <w:pPr>
              <w:spacing w:before="25" w:line="201" w:lineRule="auto"/>
              <w:ind w:left="1084"/>
              <w:rPr>
                <w:rFonts w:ascii="仿宋" w:hAnsi="仿宋" w:eastAsia="仿宋" w:cs="仿宋"/>
                <w:sz w:val="21"/>
                <w:szCs w:val="21"/>
              </w:rPr>
            </w:pPr>
            <w:r>
              <w:rPr>
                <w:rFonts w:ascii="仿宋" w:hAnsi="仿宋" w:eastAsia="仿宋" w:cs="仿宋"/>
                <w:sz w:val="21"/>
                <w:szCs w:val="21"/>
              </w:rPr>
              <w:t>坡</w:t>
            </w:r>
          </w:p>
        </w:tc>
        <w:tc>
          <w:tcPr>
            <w:tcW w:w="1770" w:type="dxa"/>
            <w:vAlign w:val="top"/>
          </w:tcPr>
          <w:p>
            <w:pPr>
              <w:spacing w:before="154" w:line="246" w:lineRule="auto"/>
              <w:ind w:left="791" w:right="147" w:hanging="629"/>
              <w:rPr>
                <w:rFonts w:ascii="仿宋" w:hAnsi="仿宋" w:eastAsia="仿宋" w:cs="仿宋"/>
                <w:sz w:val="21"/>
                <w:szCs w:val="21"/>
              </w:rPr>
            </w:pPr>
            <w:r>
              <w:rPr>
                <w:rFonts w:ascii="仿宋" w:hAnsi="仿宋" w:eastAsia="仿宋" w:cs="仿宋"/>
                <w:spacing w:val="-3"/>
                <w:sz w:val="21"/>
                <w:szCs w:val="21"/>
              </w:rPr>
              <w:t>半湿润常绿阔叶</w:t>
            </w:r>
            <w:r>
              <w:rPr>
                <w:rFonts w:ascii="仿宋" w:hAnsi="仿宋" w:eastAsia="仿宋" w:cs="仿宋"/>
                <w:spacing w:val="5"/>
                <w:sz w:val="21"/>
                <w:szCs w:val="21"/>
              </w:rPr>
              <w:t xml:space="preserve"> </w:t>
            </w:r>
            <w:r>
              <w:rPr>
                <w:rFonts w:ascii="仿宋" w:hAnsi="仿宋" w:eastAsia="仿宋" w:cs="仿宋"/>
                <w:sz w:val="21"/>
                <w:szCs w:val="21"/>
              </w:rPr>
              <w:t>林</w:t>
            </w:r>
          </w:p>
        </w:tc>
        <w:tc>
          <w:tcPr>
            <w:tcW w:w="988" w:type="dxa"/>
            <w:vAlign w:val="top"/>
          </w:tcPr>
          <w:p>
            <w:pPr>
              <w:spacing w:line="251" w:lineRule="auto"/>
              <w:rPr>
                <w:rFonts w:ascii="Arial"/>
                <w:sz w:val="21"/>
              </w:rPr>
            </w:pPr>
          </w:p>
          <w:p>
            <w:pPr>
              <w:pStyle w:val="6"/>
              <w:spacing w:before="61" w:line="216" w:lineRule="auto"/>
              <w:ind w:left="110"/>
              <w:rPr>
                <w:sz w:val="14"/>
                <w:szCs w:val="14"/>
              </w:rPr>
            </w:pPr>
            <w:r>
              <w:rPr>
                <w:spacing w:val="-1"/>
              </w:rPr>
              <w:t>20×20m</w:t>
            </w:r>
            <w:r>
              <w:rPr>
                <w:spacing w:val="-1"/>
                <w:position w:val="7"/>
                <w:sz w:val="14"/>
                <w:szCs w:val="14"/>
              </w:rPr>
              <w:t>2</w:t>
            </w:r>
          </w:p>
        </w:tc>
        <w:tc>
          <w:tcPr>
            <w:tcW w:w="1303" w:type="dxa"/>
            <w:vAlign w:val="top"/>
          </w:tcPr>
          <w:p>
            <w:pPr>
              <w:spacing w:line="283" w:lineRule="auto"/>
              <w:rPr>
                <w:rFonts w:ascii="Arial"/>
                <w:sz w:val="21"/>
              </w:rPr>
            </w:pPr>
          </w:p>
          <w:p>
            <w:pPr>
              <w:pStyle w:val="6"/>
              <w:spacing w:before="60" w:line="188" w:lineRule="auto"/>
              <w:ind w:left="147"/>
            </w:pPr>
            <w:r>
              <w:t>N26°03′08″</w:t>
            </w:r>
          </w:p>
        </w:tc>
        <w:tc>
          <w:tcPr>
            <w:tcW w:w="1297" w:type="dxa"/>
            <w:tcBorders>
              <w:right w:val="nil"/>
            </w:tcBorders>
            <w:vAlign w:val="top"/>
          </w:tcPr>
          <w:p>
            <w:pPr>
              <w:spacing w:line="283" w:lineRule="auto"/>
              <w:rPr>
                <w:rFonts w:ascii="Arial"/>
                <w:sz w:val="21"/>
              </w:rPr>
            </w:pPr>
          </w:p>
          <w:p>
            <w:pPr>
              <w:pStyle w:val="6"/>
              <w:spacing w:before="60" w:line="188" w:lineRule="auto"/>
              <w:ind w:left="110"/>
            </w:pPr>
            <w:r>
              <w:rPr>
                <w:spacing w:val="-1"/>
              </w:rPr>
              <w:t>E101°15′53″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604" w:type="dxa"/>
            <w:tcBorders>
              <w:left w:val="nil"/>
            </w:tcBorders>
            <w:vAlign w:val="top"/>
          </w:tcPr>
          <w:p>
            <w:pPr>
              <w:spacing w:line="288" w:lineRule="auto"/>
              <w:rPr>
                <w:rFonts w:ascii="Arial"/>
                <w:sz w:val="21"/>
              </w:rPr>
            </w:pPr>
          </w:p>
          <w:p>
            <w:pPr>
              <w:pStyle w:val="6"/>
              <w:spacing w:before="60" w:line="186" w:lineRule="auto"/>
              <w:ind w:left="265"/>
            </w:pPr>
            <w:r>
              <w:t>6</w:t>
            </w:r>
          </w:p>
        </w:tc>
        <w:tc>
          <w:tcPr>
            <w:tcW w:w="2359" w:type="dxa"/>
            <w:vAlign w:val="top"/>
          </w:tcPr>
          <w:p>
            <w:pPr>
              <w:spacing w:before="39" w:line="216" w:lineRule="auto"/>
              <w:ind w:left="143"/>
              <w:rPr>
                <w:rFonts w:ascii="仿宋" w:hAnsi="仿宋" w:eastAsia="仿宋" w:cs="仿宋"/>
                <w:sz w:val="21"/>
                <w:szCs w:val="21"/>
              </w:rPr>
            </w:pPr>
            <w:r>
              <w:rPr>
                <w:rFonts w:ascii="仿宋" w:hAnsi="仿宋" w:eastAsia="仿宋" w:cs="仿宋"/>
                <w:spacing w:val="-2"/>
                <w:sz w:val="21"/>
                <w:szCs w:val="21"/>
              </w:rPr>
              <w:t>大姚县桂花镇桂花河与</w:t>
            </w:r>
          </w:p>
          <w:p>
            <w:pPr>
              <w:spacing w:before="27" w:line="217" w:lineRule="auto"/>
              <w:ind w:left="356"/>
              <w:rPr>
                <w:rFonts w:ascii="仿宋" w:hAnsi="仿宋" w:eastAsia="仿宋" w:cs="仿宋"/>
                <w:sz w:val="21"/>
                <w:szCs w:val="21"/>
              </w:rPr>
            </w:pPr>
            <w:r>
              <w:rPr>
                <w:rFonts w:ascii="仿宋" w:hAnsi="仿宋" w:eastAsia="仿宋" w:cs="仿宋"/>
                <w:spacing w:val="-3"/>
                <w:sz w:val="21"/>
                <w:szCs w:val="21"/>
              </w:rPr>
              <w:t>罗子左河交汇处前</w:t>
            </w:r>
          </w:p>
          <w:p>
            <w:pPr>
              <w:pStyle w:val="6"/>
              <w:spacing w:before="25" w:line="199" w:lineRule="auto"/>
              <w:ind w:left="495"/>
              <w:rPr>
                <w:rFonts w:ascii="仿宋" w:hAnsi="仿宋" w:eastAsia="仿宋" w:cs="仿宋"/>
              </w:rPr>
            </w:pPr>
            <w:r>
              <w:rPr>
                <w:spacing w:val="-3"/>
              </w:rPr>
              <w:t>200m</w:t>
            </w:r>
            <w:r>
              <w:rPr>
                <w:spacing w:val="19"/>
              </w:rPr>
              <w:t xml:space="preserve"> </w:t>
            </w:r>
            <w:r>
              <w:rPr>
                <w:rFonts w:ascii="仿宋" w:hAnsi="仿宋" w:eastAsia="仿宋" w:cs="仿宋"/>
                <w:spacing w:val="-3"/>
              </w:rPr>
              <w:t>左岸山坡</w:t>
            </w:r>
          </w:p>
        </w:tc>
        <w:tc>
          <w:tcPr>
            <w:tcW w:w="1770" w:type="dxa"/>
            <w:vAlign w:val="top"/>
          </w:tcPr>
          <w:p>
            <w:pPr>
              <w:spacing w:line="242" w:lineRule="auto"/>
              <w:rPr>
                <w:rFonts w:ascii="Arial"/>
                <w:sz w:val="21"/>
              </w:rPr>
            </w:pPr>
          </w:p>
          <w:p>
            <w:pPr>
              <w:spacing w:before="68" w:line="217" w:lineRule="auto"/>
              <w:ind w:left="160"/>
              <w:rPr>
                <w:rFonts w:ascii="仿宋" w:hAnsi="仿宋" w:eastAsia="仿宋" w:cs="仿宋"/>
                <w:sz w:val="21"/>
                <w:szCs w:val="21"/>
              </w:rPr>
            </w:pPr>
            <w:r>
              <w:rPr>
                <w:rFonts w:ascii="仿宋" w:hAnsi="仿宋" w:eastAsia="仿宋" w:cs="仿宋"/>
                <w:spacing w:val="-2"/>
                <w:sz w:val="21"/>
                <w:szCs w:val="21"/>
              </w:rPr>
              <w:t>硬叶常绿阔叶林</w:t>
            </w:r>
          </w:p>
        </w:tc>
        <w:tc>
          <w:tcPr>
            <w:tcW w:w="988" w:type="dxa"/>
            <w:vAlign w:val="top"/>
          </w:tcPr>
          <w:p>
            <w:pPr>
              <w:spacing w:line="254" w:lineRule="auto"/>
              <w:rPr>
                <w:rFonts w:ascii="Arial"/>
                <w:sz w:val="21"/>
              </w:rPr>
            </w:pPr>
          </w:p>
          <w:p>
            <w:pPr>
              <w:pStyle w:val="6"/>
              <w:spacing w:before="61" w:line="215" w:lineRule="auto"/>
              <w:ind w:left="110"/>
              <w:rPr>
                <w:sz w:val="14"/>
                <w:szCs w:val="14"/>
              </w:rPr>
            </w:pPr>
            <w:r>
              <w:rPr>
                <w:spacing w:val="-1"/>
              </w:rPr>
              <w:t>20×20m</w:t>
            </w:r>
            <w:r>
              <w:rPr>
                <w:spacing w:val="-1"/>
                <w:position w:val="7"/>
                <w:sz w:val="14"/>
                <w:szCs w:val="14"/>
              </w:rPr>
              <w:t>2</w:t>
            </w:r>
          </w:p>
        </w:tc>
        <w:tc>
          <w:tcPr>
            <w:tcW w:w="1303" w:type="dxa"/>
            <w:vAlign w:val="top"/>
          </w:tcPr>
          <w:p>
            <w:pPr>
              <w:spacing w:line="286" w:lineRule="auto"/>
              <w:rPr>
                <w:rFonts w:ascii="Arial"/>
                <w:sz w:val="21"/>
              </w:rPr>
            </w:pPr>
          </w:p>
          <w:p>
            <w:pPr>
              <w:pStyle w:val="6"/>
              <w:spacing w:before="60" w:line="188" w:lineRule="auto"/>
              <w:ind w:left="147"/>
            </w:pPr>
            <w:r>
              <w:t>N26°02′43″</w:t>
            </w:r>
          </w:p>
        </w:tc>
        <w:tc>
          <w:tcPr>
            <w:tcW w:w="1297" w:type="dxa"/>
            <w:tcBorders>
              <w:right w:val="nil"/>
            </w:tcBorders>
            <w:vAlign w:val="top"/>
          </w:tcPr>
          <w:p>
            <w:pPr>
              <w:spacing w:line="286" w:lineRule="auto"/>
              <w:rPr>
                <w:rFonts w:ascii="Arial"/>
                <w:sz w:val="21"/>
              </w:rPr>
            </w:pPr>
          </w:p>
          <w:p>
            <w:pPr>
              <w:pStyle w:val="6"/>
              <w:spacing w:before="60" w:line="188" w:lineRule="auto"/>
              <w:ind w:left="110"/>
            </w:pPr>
            <w:r>
              <w:rPr>
                <w:spacing w:val="-1"/>
              </w:rPr>
              <w:t>E101°16′15″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292" w:lineRule="auto"/>
              <w:rPr>
                <w:rFonts w:ascii="Arial"/>
                <w:sz w:val="21"/>
              </w:rPr>
            </w:pPr>
          </w:p>
          <w:p>
            <w:pPr>
              <w:pStyle w:val="6"/>
              <w:spacing w:before="60" w:line="183" w:lineRule="auto"/>
              <w:ind w:left="264"/>
            </w:pPr>
            <w:r>
              <w:t>7</w:t>
            </w:r>
          </w:p>
        </w:tc>
        <w:tc>
          <w:tcPr>
            <w:tcW w:w="2359" w:type="dxa"/>
            <w:vAlign w:val="top"/>
          </w:tcPr>
          <w:p>
            <w:pPr>
              <w:spacing w:before="40" w:line="216" w:lineRule="auto"/>
              <w:ind w:left="143"/>
              <w:rPr>
                <w:rFonts w:ascii="仿宋" w:hAnsi="仿宋" w:eastAsia="仿宋" w:cs="仿宋"/>
                <w:sz w:val="21"/>
                <w:szCs w:val="21"/>
              </w:rPr>
            </w:pPr>
            <w:r>
              <w:rPr>
                <w:rFonts w:ascii="仿宋" w:hAnsi="仿宋" w:eastAsia="仿宋" w:cs="仿宋"/>
                <w:spacing w:val="-2"/>
                <w:sz w:val="21"/>
                <w:szCs w:val="21"/>
              </w:rPr>
              <w:t>大姚县桂花镇桂花河与</w:t>
            </w:r>
          </w:p>
          <w:p>
            <w:pPr>
              <w:spacing w:before="27" w:line="217" w:lineRule="auto"/>
              <w:ind w:left="356"/>
              <w:rPr>
                <w:rFonts w:ascii="仿宋" w:hAnsi="仿宋" w:eastAsia="仿宋" w:cs="仿宋"/>
                <w:sz w:val="21"/>
                <w:szCs w:val="21"/>
              </w:rPr>
            </w:pPr>
            <w:r>
              <w:rPr>
                <w:rFonts w:ascii="仿宋" w:hAnsi="仿宋" w:eastAsia="仿宋" w:cs="仿宋"/>
                <w:spacing w:val="-3"/>
                <w:sz w:val="21"/>
                <w:szCs w:val="21"/>
              </w:rPr>
              <w:t>罗子左河交汇处前</w:t>
            </w:r>
          </w:p>
          <w:p>
            <w:pPr>
              <w:pStyle w:val="6"/>
              <w:spacing w:before="24" w:line="198" w:lineRule="auto"/>
              <w:ind w:left="494"/>
              <w:rPr>
                <w:rFonts w:ascii="仿宋" w:hAnsi="仿宋" w:eastAsia="仿宋" w:cs="仿宋"/>
              </w:rPr>
            </w:pPr>
            <w:r>
              <w:rPr>
                <w:spacing w:val="-3"/>
              </w:rPr>
              <w:t>450m</w:t>
            </w:r>
            <w:r>
              <w:rPr>
                <w:spacing w:val="20"/>
              </w:rPr>
              <w:t xml:space="preserve"> </w:t>
            </w:r>
            <w:r>
              <w:rPr>
                <w:rFonts w:ascii="仿宋" w:hAnsi="仿宋" w:eastAsia="仿宋" w:cs="仿宋"/>
                <w:spacing w:val="-3"/>
              </w:rPr>
              <w:t>左岸山坡</w:t>
            </w:r>
          </w:p>
        </w:tc>
        <w:tc>
          <w:tcPr>
            <w:tcW w:w="1770" w:type="dxa"/>
            <w:vAlign w:val="top"/>
          </w:tcPr>
          <w:p>
            <w:pPr>
              <w:spacing w:line="243" w:lineRule="auto"/>
              <w:rPr>
                <w:rFonts w:ascii="Arial"/>
                <w:sz w:val="21"/>
              </w:rPr>
            </w:pPr>
          </w:p>
          <w:p>
            <w:pPr>
              <w:spacing w:before="68" w:line="217" w:lineRule="auto"/>
              <w:ind w:left="160"/>
              <w:rPr>
                <w:rFonts w:ascii="仿宋" w:hAnsi="仿宋" w:eastAsia="仿宋" w:cs="仿宋"/>
                <w:sz w:val="21"/>
                <w:szCs w:val="21"/>
              </w:rPr>
            </w:pPr>
            <w:r>
              <w:rPr>
                <w:rFonts w:ascii="仿宋" w:hAnsi="仿宋" w:eastAsia="仿宋" w:cs="仿宋"/>
                <w:spacing w:val="-2"/>
                <w:sz w:val="21"/>
                <w:szCs w:val="21"/>
              </w:rPr>
              <w:t>硬叶常绿阔叶林</w:t>
            </w:r>
          </w:p>
        </w:tc>
        <w:tc>
          <w:tcPr>
            <w:tcW w:w="988" w:type="dxa"/>
            <w:vAlign w:val="top"/>
          </w:tcPr>
          <w:p>
            <w:pPr>
              <w:spacing w:line="255" w:lineRule="auto"/>
              <w:rPr>
                <w:rFonts w:ascii="Arial"/>
                <w:sz w:val="21"/>
              </w:rPr>
            </w:pPr>
          </w:p>
          <w:p>
            <w:pPr>
              <w:pStyle w:val="6"/>
              <w:spacing w:before="60" w:line="215" w:lineRule="auto"/>
              <w:ind w:left="110"/>
              <w:rPr>
                <w:sz w:val="14"/>
                <w:szCs w:val="14"/>
              </w:rPr>
            </w:pPr>
            <w:r>
              <w:rPr>
                <w:spacing w:val="-1"/>
              </w:rPr>
              <w:t>20×20m</w:t>
            </w:r>
            <w:r>
              <w:rPr>
                <w:spacing w:val="-1"/>
                <w:position w:val="7"/>
                <w:sz w:val="14"/>
                <w:szCs w:val="14"/>
              </w:rPr>
              <w:t>2</w:t>
            </w:r>
          </w:p>
        </w:tc>
        <w:tc>
          <w:tcPr>
            <w:tcW w:w="1303" w:type="dxa"/>
            <w:vAlign w:val="top"/>
          </w:tcPr>
          <w:p>
            <w:pPr>
              <w:spacing w:line="287" w:lineRule="auto"/>
              <w:rPr>
                <w:rFonts w:ascii="Arial"/>
                <w:sz w:val="21"/>
              </w:rPr>
            </w:pPr>
          </w:p>
          <w:p>
            <w:pPr>
              <w:pStyle w:val="6"/>
              <w:spacing w:before="60" w:line="188" w:lineRule="auto"/>
              <w:ind w:left="147"/>
            </w:pPr>
            <w:r>
              <w:t>N26°02′40″</w:t>
            </w:r>
          </w:p>
        </w:tc>
        <w:tc>
          <w:tcPr>
            <w:tcW w:w="1297" w:type="dxa"/>
            <w:tcBorders>
              <w:right w:val="nil"/>
            </w:tcBorders>
            <w:vAlign w:val="top"/>
          </w:tcPr>
          <w:p>
            <w:pPr>
              <w:spacing w:line="287" w:lineRule="auto"/>
              <w:rPr>
                <w:rFonts w:ascii="Arial"/>
                <w:sz w:val="21"/>
              </w:rPr>
            </w:pPr>
          </w:p>
          <w:p>
            <w:pPr>
              <w:pStyle w:val="6"/>
              <w:spacing w:before="60" w:line="188" w:lineRule="auto"/>
              <w:ind w:left="110"/>
            </w:pPr>
            <w:r>
              <w:rPr>
                <w:spacing w:val="-1"/>
              </w:rPr>
              <w:t>E101°16′11″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290" w:lineRule="auto"/>
              <w:rPr>
                <w:rFonts w:ascii="Arial"/>
                <w:sz w:val="21"/>
              </w:rPr>
            </w:pPr>
          </w:p>
          <w:p>
            <w:pPr>
              <w:pStyle w:val="6"/>
              <w:spacing w:before="61" w:line="186" w:lineRule="auto"/>
              <w:ind w:left="269"/>
            </w:pPr>
            <w:r>
              <w:t>8</w:t>
            </w:r>
          </w:p>
        </w:tc>
        <w:tc>
          <w:tcPr>
            <w:tcW w:w="2359" w:type="dxa"/>
            <w:vAlign w:val="top"/>
          </w:tcPr>
          <w:p>
            <w:pPr>
              <w:spacing w:before="42" w:line="216" w:lineRule="auto"/>
              <w:ind w:left="143"/>
              <w:rPr>
                <w:rFonts w:ascii="仿宋" w:hAnsi="仿宋" w:eastAsia="仿宋" w:cs="仿宋"/>
                <w:sz w:val="21"/>
                <w:szCs w:val="21"/>
              </w:rPr>
            </w:pPr>
            <w:r>
              <w:rPr>
                <w:rFonts w:ascii="仿宋" w:hAnsi="仿宋" w:eastAsia="仿宋" w:cs="仿宋"/>
                <w:spacing w:val="-2"/>
                <w:sz w:val="21"/>
                <w:szCs w:val="21"/>
              </w:rPr>
              <w:t>大姚县桂花镇桂花河与</w:t>
            </w:r>
          </w:p>
          <w:p>
            <w:pPr>
              <w:spacing w:before="27" w:line="217" w:lineRule="auto"/>
              <w:ind w:left="356"/>
              <w:rPr>
                <w:rFonts w:ascii="仿宋" w:hAnsi="仿宋" w:eastAsia="仿宋" w:cs="仿宋"/>
                <w:sz w:val="21"/>
                <w:szCs w:val="21"/>
              </w:rPr>
            </w:pPr>
            <w:r>
              <w:rPr>
                <w:rFonts w:ascii="仿宋" w:hAnsi="仿宋" w:eastAsia="仿宋" w:cs="仿宋"/>
                <w:spacing w:val="-3"/>
                <w:sz w:val="21"/>
                <w:szCs w:val="21"/>
              </w:rPr>
              <w:t>罗子左河交汇处前</w:t>
            </w:r>
          </w:p>
          <w:p>
            <w:pPr>
              <w:pStyle w:val="6"/>
              <w:spacing w:before="25" w:line="196" w:lineRule="auto"/>
              <w:ind w:left="494"/>
              <w:rPr>
                <w:rFonts w:ascii="仿宋" w:hAnsi="仿宋" w:eastAsia="仿宋" w:cs="仿宋"/>
              </w:rPr>
            </w:pPr>
            <w:r>
              <w:rPr>
                <w:spacing w:val="-3"/>
              </w:rPr>
              <w:t>450m</w:t>
            </w:r>
            <w:r>
              <w:rPr>
                <w:spacing w:val="20"/>
              </w:rPr>
              <w:t xml:space="preserve"> </w:t>
            </w:r>
            <w:r>
              <w:rPr>
                <w:rFonts w:ascii="仿宋" w:hAnsi="仿宋" w:eastAsia="仿宋" w:cs="仿宋"/>
                <w:spacing w:val="-3"/>
              </w:rPr>
              <w:t>左岸山坡</w:t>
            </w:r>
          </w:p>
        </w:tc>
        <w:tc>
          <w:tcPr>
            <w:tcW w:w="1770" w:type="dxa"/>
            <w:vAlign w:val="top"/>
          </w:tcPr>
          <w:p>
            <w:pPr>
              <w:spacing w:line="245" w:lineRule="auto"/>
              <w:rPr>
                <w:rFonts w:ascii="Arial"/>
                <w:sz w:val="21"/>
              </w:rPr>
            </w:pPr>
          </w:p>
          <w:p>
            <w:pPr>
              <w:spacing w:before="68" w:line="217" w:lineRule="auto"/>
              <w:ind w:left="160"/>
              <w:rPr>
                <w:rFonts w:ascii="仿宋" w:hAnsi="仿宋" w:eastAsia="仿宋" w:cs="仿宋"/>
                <w:sz w:val="21"/>
                <w:szCs w:val="21"/>
              </w:rPr>
            </w:pPr>
            <w:r>
              <w:rPr>
                <w:rFonts w:ascii="仿宋" w:hAnsi="仿宋" w:eastAsia="仿宋" w:cs="仿宋"/>
                <w:spacing w:val="-2"/>
                <w:sz w:val="21"/>
                <w:szCs w:val="21"/>
              </w:rPr>
              <w:t>硬叶常绿阔叶林</w:t>
            </w:r>
          </w:p>
        </w:tc>
        <w:tc>
          <w:tcPr>
            <w:tcW w:w="988" w:type="dxa"/>
            <w:vAlign w:val="top"/>
          </w:tcPr>
          <w:p>
            <w:pPr>
              <w:spacing w:line="257" w:lineRule="auto"/>
              <w:rPr>
                <w:rFonts w:ascii="Arial"/>
                <w:sz w:val="21"/>
              </w:rPr>
            </w:pPr>
          </w:p>
          <w:p>
            <w:pPr>
              <w:pStyle w:val="6"/>
              <w:spacing w:before="60" w:line="215" w:lineRule="auto"/>
              <w:ind w:left="110"/>
              <w:rPr>
                <w:sz w:val="14"/>
                <w:szCs w:val="14"/>
              </w:rPr>
            </w:pPr>
            <w:r>
              <w:rPr>
                <w:spacing w:val="-1"/>
              </w:rPr>
              <w:t>20×20m</w:t>
            </w:r>
            <w:r>
              <w:rPr>
                <w:spacing w:val="-1"/>
                <w:position w:val="7"/>
                <w:sz w:val="14"/>
                <w:szCs w:val="14"/>
              </w:rPr>
              <w:t>2</w:t>
            </w:r>
          </w:p>
        </w:tc>
        <w:tc>
          <w:tcPr>
            <w:tcW w:w="1303" w:type="dxa"/>
            <w:vAlign w:val="top"/>
          </w:tcPr>
          <w:p>
            <w:pPr>
              <w:spacing w:line="288" w:lineRule="auto"/>
              <w:rPr>
                <w:rFonts w:ascii="Arial"/>
                <w:sz w:val="21"/>
              </w:rPr>
            </w:pPr>
          </w:p>
          <w:p>
            <w:pPr>
              <w:pStyle w:val="6"/>
              <w:spacing w:before="61" w:line="188" w:lineRule="auto"/>
              <w:ind w:left="147"/>
            </w:pPr>
            <w:r>
              <w:t>N26°02′30″</w:t>
            </w:r>
          </w:p>
        </w:tc>
        <w:tc>
          <w:tcPr>
            <w:tcW w:w="1297" w:type="dxa"/>
            <w:tcBorders>
              <w:right w:val="nil"/>
            </w:tcBorders>
            <w:vAlign w:val="top"/>
          </w:tcPr>
          <w:p>
            <w:pPr>
              <w:spacing w:line="288" w:lineRule="auto"/>
              <w:rPr>
                <w:rFonts w:ascii="Arial"/>
                <w:sz w:val="21"/>
              </w:rPr>
            </w:pPr>
          </w:p>
          <w:p>
            <w:pPr>
              <w:pStyle w:val="6"/>
              <w:spacing w:before="61" w:line="188" w:lineRule="auto"/>
              <w:ind w:left="110"/>
            </w:pPr>
            <w:r>
              <w:rPr>
                <w:spacing w:val="-1"/>
              </w:rPr>
              <w:t>E101°16′00″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604" w:type="dxa"/>
            <w:tcBorders>
              <w:left w:val="nil"/>
            </w:tcBorders>
            <w:vAlign w:val="top"/>
          </w:tcPr>
          <w:p>
            <w:pPr>
              <w:spacing w:line="292" w:lineRule="auto"/>
              <w:rPr>
                <w:rFonts w:ascii="Arial"/>
                <w:sz w:val="21"/>
              </w:rPr>
            </w:pPr>
          </w:p>
          <w:p>
            <w:pPr>
              <w:pStyle w:val="6"/>
              <w:spacing w:before="61" w:line="186" w:lineRule="auto"/>
              <w:ind w:left="265"/>
            </w:pPr>
            <w:r>
              <w:t>9</w:t>
            </w:r>
          </w:p>
        </w:tc>
        <w:tc>
          <w:tcPr>
            <w:tcW w:w="2359" w:type="dxa"/>
            <w:vAlign w:val="top"/>
          </w:tcPr>
          <w:p>
            <w:pPr>
              <w:spacing w:before="43" w:line="216" w:lineRule="auto"/>
              <w:ind w:left="143"/>
              <w:rPr>
                <w:rFonts w:ascii="仿宋" w:hAnsi="仿宋" w:eastAsia="仿宋" w:cs="仿宋"/>
                <w:sz w:val="21"/>
                <w:szCs w:val="21"/>
              </w:rPr>
            </w:pPr>
            <w:r>
              <w:rPr>
                <w:rFonts w:ascii="仿宋" w:hAnsi="仿宋" w:eastAsia="仿宋" w:cs="仿宋"/>
                <w:spacing w:val="-2"/>
                <w:sz w:val="21"/>
                <w:szCs w:val="21"/>
              </w:rPr>
              <w:t>大姚县桂花镇桂花河与</w:t>
            </w:r>
          </w:p>
          <w:p>
            <w:pPr>
              <w:spacing w:before="27" w:line="217" w:lineRule="auto"/>
              <w:ind w:left="356"/>
              <w:rPr>
                <w:rFonts w:ascii="仿宋" w:hAnsi="仿宋" w:eastAsia="仿宋" w:cs="仿宋"/>
                <w:sz w:val="21"/>
                <w:szCs w:val="21"/>
              </w:rPr>
            </w:pPr>
            <w:r>
              <w:rPr>
                <w:rFonts w:ascii="仿宋" w:hAnsi="仿宋" w:eastAsia="仿宋" w:cs="仿宋"/>
                <w:spacing w:val="-3"/>
                <w:sz w:val="21"/>
                <w:szCs w:val="21"/>
              </w:rPr>
              <w:t>罗子左河交汇处前</w:t>
            </w:r>
          </w:p>
          <w:p>
            <w:pPr>
              <w:pStyle w:val="6"/>
              <w:spacing w:before="25" w:line="195" w:lineRule="auto"/>
              <w:ind w:left="501"/>
              <w:rPr>
                <w:rFonts w:ascii="仿宋" w:hAnsi="仿宋" w:eastAsia="仿宋" w:cs="仿宋"/>
              </w:rPr>
            </w:pPr>
            <w:r>
              <w:rPr>
                <w:spacing w:val="-4"/>
              </w:rPr>
              <w:t>550m</w:t>
            </w:r>
            <w:r>
              <w:rPr>
                <w:spacing w:val="21"/>
                <w:w w:val="101"/>
              </w:rPr>
              <w:t xml:space="preserve"> </w:t>
            </w:r>
            <w:r>
              <w:rPr>
                <w:rFonts w:ascii="仿宋" w:hAnsi="仿宋" w:eastAsia="仿宋" w:cs="仿宋"/>
                <w:spacing w:val="-4"/>
              </w:rPr>
              <w:t>左岸山坡</w:t>
            </w:r>
          </w:p>
        </w:tc>
        <w:tc>
          <w:tcPr>
            <w:tcW w:w="1770" w:type="dxa"/>
            <w:vAlign w:val="top"/>
          </w:tcPr>
          <w:p>
            <w:pPr>
              <w:spacing w:line="247" w:lineRule="auto"/>
              <w:rPr>
                <w:rFonts w:ascii="Arial"/>
                <w:sz w:val="21"/>
              </w:rPr>
            </w:pPr>
          </w:p>
          <w:p>
            <w:pPr>
              <w:spacing w:before="68" w:line="217" w:lineRule="auto"/>
              <w:ind w:left="160"/>
              <w:rPr>
                <w:rFonts w:ascii="仿宋" w:hAnsi="仿宋" w:eastAsia="仿宋" w:cs="仿宋"/>
                <w:sz w:val="21"/>
                <w:szCs w:val="21"/>
              </w:rPr>
            </w:pPr>
            <w:r>
              <w:rPr>
                <w:rFonts w:ascii="仿宋" w:hAnsi="仿宋" w:eastAsia="仿宋" w:cs="仿宋"/>
                <w:spacing w:val="-2"/>
                <w:sz w:val="21"/>
                <w:szCs w:val="21"/>
              </w:rPr>
              <w:t>硬叶常绿阔叶林</w:t>
            </w:r>
          </w:p>
        </w:tc>
        <w:tc>
          <w:tcPr>
            <w:tcW w:w="988" w:type="dxa"/>
            <w:vAlign w:val="top"/>
          </w:tcPr>
          <w:p>
            <w:pPr>
              <w:spacing w:line="259" w:lineRule="auto"/>
              <w:rPr>
                <w:rFonts w:ascii="Arial"/>
                <w:sz w:val="21"/>
              </w:rPr>
            </w:pPr>
          </w:p>
          <w:p>
            <w:pPr>
              <w:pStyle w:val="6"/>
              <w:spacing w:before="60" w:line="215" w:lineRule="auto"/>
              <w:ind w:left="110"/>
              <w:rPr>
                <w:sz w:val="14"/>
                <w:szCs w:val="14"/>
              </w:rPr>
            </w:pPr>
            <w:r>
              <w:rPr>
                <w:spacing w:val="-1"/>
              </w:rPr>
              <w:t>20×20m</w:t>
            </w:r>
            <w:r>
              <w:rPr>
                <w:spacing w:val="-1"/>
                <w:position w:val="7"/>
                <w:sz w:val="14"/>
                <w:szCs w:val="14"/>
              </w:rPr>
              <w:t>2</w:t>
            </w:r>
          </w:p>
        </w:tc>
        <w:tc>
          <w:tcPr>
            <w:tcW w:w="1303" w:type="dxa"/>
            <w:vAlign w:val="top"/>
          </w:tcPr>
          <w:p>
            <w:pPr>
              <w:spacing w:line="290" w:lineRule="auto"/>
              <w:rPr>
                <w:rFonts w:ascii="Arial"/>
                <w:sz w:val="21"/>
              </w:rPr>
            </w:pPr>
          </w:p>
          <w:p>
            <w:pPr>
              <w:pStyle w:val="6"/>
              <w:spacing w:before="61" w:line="188" w:lineRule="auto"/>
              <w:ind w:left="147"/>
            </w:pPr>
            <w:r>
              <w:t>N26°02′32″</w:t>
            </w:r>
          </w:p>
        </w:tc>
        <w:tc>
          <w:tcPr>
            <w:tcW w:w="1297" w:type="dxa"/>
            <w:tcBorders>
              <w:right w:val="nil"/>
            </w:tcBorders>
            <w:vAlign w:val="top"/>
          </w:tcPr>
          <w:p>
            <w:pPr>
              <w:spacing w:line="290" w:lineRule="auto"/>
              <w:rPr>
                <w:rFonts w:ascii="Arial"/>
                <w:sz w:val="21"/>
              </w:rPr>
            </w:pPr>
          </w:p>
          <w:p>
            <w:pPr>
              <w:pStyle w:val="6"/>
              <w:spacing w:before="61" w:line="188" w:lineRule="auto"/>
              <w:ind w:left="110"/>
            </w:pPr>
            <w:r>
              <w:rPr>
                <w:spacing w:val="-1"/>
              </w:rPr>
              <w:t>E101°15′16″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293" w:lineRule="auto"/>
              <w:rPr>
                <w:rFonts w:ascii="Arial"/>
                <w:sz w:val="21"/>
              </w:rPr>
            </w:pPr>
          </w:p>
          <w:p>
            <w:pPr>
              <w:pStyle w:val="6"/>
              <w:spacing w:before="61" w:line="186" w:lineRule="auto"/>
              <w:ind w:left="228"/>
            </w:pPr>
            <w:r>
              <w:rPr>
                <w:spacing w:val="-6"/>
              </w:rPr>
              <w:t>10</w:t>
            </w:r>
          </w:p>
        </w:tc>
        <w:tc>
          <w:tcPr>
            <w:tcW w:w="2359" w:type="dxa"/>
            <w:vAlign w:val="top"/>
          </w:tcPr>
          <w:p>
            <w:pPr>
              <w:spacing w:before="45" w:line="216" w:lineRule="auto"/>
              <w:ind w:left="143"/>
              <w:rPr>
                <w:rFonts w:ascii="仿宋" w:hAnsi="仿宋" w:eastAsia="仿宋" w:cs="仿宋"/>
                <w:sz w:val="21"/>
                <w:szCs w:val="21"/>
              </w:rPr>
            </w:pPr>
            <w:r>
              <w:rPr>
                <w:rFonts w:ascii="仿宋" w:hAnsi="仿宋" w:eastAsia="仿宋" w:cs="仿宋"/>
                <w:spacing w:val="-2"/>
                <w:sz w:val="21"/>
                <w:szCs w:val="21"/>
              </w:rPr>
              <w:t>大姚县桂花镇桂花河与</w:t>
            </w:r>
          </w:p>
          <w:p>
            <w:pPr>
              <w:spacing w:before="27" w:line="217" w:lineRule="auto"/>
              <w:ind w:left="356"/>
              <w:rPr>
                <w:rFonts w:ascii="仿宋" w:hAnsi="仿宋" w:eastAsia="仿宋" w:cs="仿宋"/>
                <w:sz w:val="21"/>
                <w:szCs w:val="21"/>
              </w:rPr>
            </w:pPr>
            <w:r>
              <w:rPr>
                <w:rFonts w:ascii="仿宋" w:hAnsi="仿宋" w:eastAsia="仿宋" w:cs="仿宋"/>
                <w:spacing w:val="-3"/>
                <w:sz w:val="21"/>
                <w:szCs w:val="21"/>
              </w:rPr>
              <w:t>罗子左河交汇处前</w:t>
            </w:r>
          </w:p>
          <w:p>
            <w:pPr>
              <w:pStyle w:val="6"/>
              <w:spacing w:before="25" w:line="193" w:lineRule="auto"/>
              <w:ind w:left="501"/>
              <w:rPr>
                <w:rFonts w:ascii="仿宋" w:hAnsi="仿宋" w:eastAsia="仿宋" w:cs="仿宋"/>
              </w:rPr>
            </w:pPr>
            <w:r>
              <w:rPr>
                <w:spacing w:val="-4"/>
              </w:rPr>
              <w:t>550m</w:t>
            </w:r>
            <w:r>
              <w:rPr>
                <w:spacing w:val="21"/>
                <w:w w:val="101"/>
              </w:rPr>
              <w:t xml:space="preserve"> </w:t>
            </w:r>
            <w:r>
              <w:rPr>
                <w:rFonts w:ascii="仿宋" w:hAnsi="仿宋" w:eastAsia="仿宋" w:cs="仿宋"/>
                <w:spacing w:val="-4"/>
              </w:rPr>
              <w:t>左岸山坡</w:t>
            </w:r>
          </w:p>
        </w:tc>
        <w:tc>
          <w:tcPr>
            <w:tcW w:w="1770" w:type="dxa"/>
            <w:vAlign w:val="top"/>
          </w:tcPr>
          <w:p>
            <w:pPr>
              <w:spacing w:line="248" w:lineRule="auto"/>
              <w:rPr>
                <w:rFonts w:ascii="Arial"/>
                <w:sz w:val="21"/>
              </w:rPr>
            </w:pPr>
          </w:p>
          <w:p>
            <w:pPr>
              <w:spacing w:before="68" w:line="217" w:lineRule="auto"/>
              <w:ind w:left="160"/>
              <w:rPr>
                <w:rFonts w:ascii="仿宋" w:hAnsi="仿宋" w:eastAsia="仿宋" w:cs="仿宋"/>
                <w:sz w:val="21"/>
                <w:szCs w:val="21"/>
              </w:rPr>
            </w:pPr>
            <w:r>
              <w:rPr>
                <w:rFonts w:ascii="仿宋" w:hAnsi="仿宋" w:eastAsia="仿宋" w:cs="仿宋"/>
                <w:spacing w:val="-2"/>
                <w:sz w:val="21"/>
                <w:szCs w:val="21"/>
              </w:rPr>
              <w:t>硬叶常绿阔叶林</w:t>
            </w:r>
          </w:p>
        </w:tc>
        <w:tc>
          <w:tcPr>
            <w:tcW w:w="988" w:type="dxa"/>
            <w:vAlign w:val="top"/>
          </w:tcPr>
          <w:p>
            <w:pPr>
              <w:spacing w:line="260" w:lineRule="auto"/>
              <w:rPr>
                <w:rFonts w:ascii="Arial"/>
                <w:sz w:val="21"/>
              </w:rPr>
            </w:pPr>
          </w:p>
          <w:p>
            <w:pPr>
              <w:pStyle w:val="6"/>
              <w:spacing w:before="60" w:line="215" w:lineRule="auto"/>
              <w:ind w:left="110"/>
              <w:rPr>
                <w:sz w:val="14"/>
                <w:szCs w:val="14"/>
              </w:rPr>
            </w:pPr>
            <w:r>
              <w:rPr>
                <w:spacing w:val="-1"/>
              </w:rPr>
              <w:t>20×20m</w:t>
            </w:r>
            <w:r>
              <w:rPr>
                <w:spacing w:val="-1"/>
                <w:position w:val="7"/>
                <w:sz w:val="14"/>
                <w:szCs w:val="14"/>
              </w:rPr>
              <w:t>2</w:t>
            </w:r>
          </w:p>
        </w:tc>
        <w:tc>
          <w:tcPr>
            <w:tcW w:w="1303" w:type="dxa"/>
            <w:vAlign w:val="top"/>
          </w:tcPr>
          <w:p>
            <w:pPr>
              <w:spacing w:line="291" w:lineRule="auto"/>
              <w:rPr>
                <w:rFonts w:ascii="Arial"/>
                <w:sz w:val="21"/>
              </w:rPr>
            </w:pPr>
          </w:p>
          <w:p>
            <w:pPr>
              <w:pStyle w:val="6"/>
              <w:spacing w:before="61" w:line="188" w:lineRule="auto"/>
              <w:ind w:left="147"/>
            </w:pPr>
            <w:r>
              <w:t>N26°02′24″</w:t>
            </w:r>
          </w:p>
        </w:tc>
        <w:tc>
          <w:tcPr>
            <w:tcW w:w="1297" w:type="dxa"/>
            <w:tcBorders>
              <w:right w:val="nil"/>
            </w:tcBorders>
            <w:vAlign w:val="top"/>
          </w:tcPr>
          <w:p>
            <w:pPr>
              <w:spacing w:line="291" w:lineRule="auto"/>
              <w:rPr>
                <w:rFonts w:ascii="Arial"/>
                <w:sz w:val="21"/>
              </w:rPr>
            </w:pPr>
          </w:p>
          <w:p>
            <w:pPr>
              <w:pStyle w:val="6"/>
              <w:spacing w:before="61" w:line="188" w:lineRule="auto"/>
              <w:ind w:left="110"/>
            </w:pPr>
            <w:r>
              <w:rPr>
                <w:spacing w:val="-1"/>
              </w:rPr>
              <w:t>E101°16′04″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04" w:type="dxa"/>
            <w:tcBorders>
              <w:left w:val="nil"/>
            </w:tcBorders>
            <w:vAlign w:val="top"/>
          </w:tcPr>
          <w:p>
            <w:pPr>
              <w:pStyle w:val="6"/>
              <w:spacing w:before="222" w:line="186" w:lineRule="auto"/>
              <w:ind w:left="228"/>
            </w:pPr>
            <w:r>
              <w:rPr>
                <w:spacing w:val="-6"/>
              </w:rPr>
              <w:t>11</w:t>
            </w:r>
          </w:p>
        </w:tc>
        <w:tc>
          <w:tcPr>
            <w:tcW w:w="2359" w:type="dxa"/>
            <w:vAlign w:val="top"/>
          </w:tcPr>
          <w:p>
            <w:pPr>
              <w:spacing w:before="47" w:line="216" w:lineRule="auto"/>
              <w:ind w:left="143" w:right="127" w:firstLine="4"/>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2"/>
                <w:sz w:val="21"/>
                <w:szCs w:val="21"/>
              </w:rPr>
              <w:t>左黑村桂花河左岸山坡</w:t>
            </w:r>
          </w:p>
        </w:tc>
        <w:tc>
          <w:tcPr>
            <w:tcW w:w="1770" w:type="dxa"/>
            <w:vAlign w:val="top"/>
          </w:tcPr>
          <w:p>
            <w:pPr>
              <w:spacing w:before="184" w:line="217" w:lineRule="auto"/>
              <w:ind w:left="381"/>
              <w:rPr>
                <w:rFonts w:ascii="仿宋" w:hAnsi="仿宋" w:eastAsia="仿宋" w:cs="仿宋"/>
                <w:sz w:val="21"/>
                <w:szCs w:val="21"/>
              </w:rPr>
            </w:pPr>
            <w:r>
              <w:rPr>
                <w:rFonts w:ascii="仿宋" w:hAnsi="仿宋" w:eastAsia="仿宋" w:cs="仿宋"/>
                <w:spacing w:val="-4"/>
                <w:sz w:val="21"/>
                <w:szCs w:val="21"/>
              </w:rPr>
              <w:t>落叶阔叶林</w:t>
            </w:r>
          </w:p>
        </w:tc>
        <w:tc>
          <w:tcPr>
            <w:tcW w:w="988" w:type="dxa"/>
            <w:vAlign w:val="top"/>
          </w:tcPr>
          <w:p>
            <w:pPr>
              <w:pStyle w:val="6"/>
              <w:spacing w:before="188" w:line="215" w:lineRule="auto"/>
              <w:ind w:left="110"/>
              <w:rPr>
                <w:sz w:val="14"/>
                <w:szCs w:val="14"/>
              </w:rPr>
            </w:pPr>
            <w:r>
              <w:rPr>
                <w:spacing w:val="-1"/>
              </w:rPr>
              <w:t>20×20m</w:t>
            </w:r>
            <w:r>
              <w:rPr>
                <w:spacing w:val="-1"/>
                <w:position w:val="7"/>
                <w:sz w:val="14"/>
                <w:szCs w:val="14"/>
              </w:rPr>
              <w:t>2</w:t>
            </w:r>
          </w:p>
        </w:tc>
        <w:tc>
          <w:tcPr>
            <w:tcW w:w="1303" w:type="dxa"/>
            <w:vAlign w:val="top"/>
          </w:tcPr>
          <w:p>
            <w:pPr>
              <w:pStyle w:val="6"/>
              <w:spacing w:before="220" w:line="188" w:lineRule="auto"/>
              <w:ind w:left="147"/>
            </w:pPr>
            <w:r>
              <w:t>N26°02′00″</w:t>
            </w:r>
          </w:p>
        </w:tc>
        <w:tc>
          <w:tcPr>
            <w:tcW w:w="1297" w:type="dxa"/>
            <w:tcBorders>
              <w:right w:val="nil"/>
            </w:tcBorders>
            <w:vAlign w:val="top"/>
          </w:tcPr>
          <w:p>
            <w:pPr>
              <w:pStyle w:val="6"/>
              <w:spacing w:before="220" w:line="188" w:lineRule="auto"/>
              <w:ind w:left="110"/>
            </w:pPr>
            <w:r>
              <w:rPr>
                <w:spacing w:val="-1"/>
              </w:rPr>
              <w:t>E101°15′36″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22" w:line="186" w:lineRule="auto"/>
              <w:ind w:left="228"/>
            </w:pPr>
            <w:r>
              <w:rPr>
                <w:spacing w:val="-6"/>
              </w:rPr>
              <w:t>12</w:t>
            </w:r>
          </w:p>
        </w:tc>
        <w:tc>
          <w:tcPr>
            <w:tcW w:w="2359" w:type="dxa"/>
            <w:vAlign w:val="top"/>
          </w:tcPr>
          <w:p>
            <w:pPr>
              <w:spacing w:before="48" w:line="215" w:lineRule="auto"/>
              <w:ind w:left="143" w:right="127" w:firstLine="4"/>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2"/>
                <w:sz w:val="21"/>
                <w:szCs w:val="21"/>
              </w:rPr>
              <w:t>左黑村桂花河左岸山坡</w:t>
            </w:r>
          </w:p>
        </w:tc>
        <w:tc>
          <w:tcPr>
            <w:tcW w:w="1770" w:type="dxa"/>
            <w:vAlign w:val="top"/>
          </w:tcPr>
          <w:p>
            <w:pPr>
              <w:spacing w:before="185" w:line="217" w:lineRule="auto"/>
              <w:ind w:left="381"/>
              <w:rPr>
                <w:rFonts w:ascii="仿宋" w:hAnsi="仿宋" w:eastAsia="仿宋" w:cs="仿宋"/>
                <w:sz w:val="21"/>
                <w:szCs w:val="21"/>
              </w:rPr>
            </w:pPr>
            <w:r>
              <w:rPr>
                <w:rFonts w:ascii="仿宋" w:hAnsi="仿宋" w:eastAsia="仿宋" w:cs="仿宋"/>
                <w:spacing w:val="-4"/>
                <w:sz w:val="21"/>
                <w:szCs w:val="21"/>
              </w:rPr>
              <w:t>落叶阔叶林</w:t>
            </w:r>
          </w:p>
        </w:tc>
        <w:tc>
          <w:tcPr>
            <w:tcW w:w="988" w:type="dxa"/>
            <w:vAlign w:val="top"/>
          </w:tcPr>
          <w:p>
            <w:pPr>
              <w:pStyle w:val="6"/>
              <w:spacing w:before="188" w:line="215" w:lineRule="auto"/>
              <w:ind w:left="110"/>
              <w:rPr>
                <w:sz w:val="14"/>
                <w:szCs w:val="14"/>
              </w:rPr>
            </w:pPr>
            <w:r>
              <w:rPr>
                <w:spacing w:val="-1"/>
              </w:rPr>
              <w:t>20×20m</w:t>
            </w:r>
            <w:r>
              <w:rPr>
                <w:spacing w:val="-1"/>
                <w:position w:val="7"/>
                <w:sz w:val="14"/>
                <w:szCs w:val="14"/>
              </w:rPr>
              <w:t>2</w:t>
            </w:r>
          </w:p>
        </w:tc>
        <w:tc>
          <w:tcPr>
            <w:tcW w:w="1303" w:type="dxa"/>
            <w:vAlign w:val="top"/>
          </w:tcPr>
          <w:p>
            <w:pPr>
              <w:pStyle w:val="6"/>
              <w:spacing w:before="220" w:line="188" w:lineRule="auto"/>
              <w:ind w:left="147"/>
            </w:pPr>
            <w:r>
              <w:t>N26°02′04″</w:t>
            </w:r>
          </w:p>
        </w:tc>
        <w:tc>
          <w:tcPr>
            <w:tcW w:w="1297" w:type="dxa"/>
            <w:tcBorders>
              <w:right w:val="nil"/>
            </w:tcBorders>
            <w:vAlign w:val="top"/>
          </w:tcPr>
          <w:p>
            <w:pPr>
              <w:pStyle w:val="6"/>
              <w:spacing w:before="220" w:line="188" w:lineRule="auto"/>
              <w:ind w:left="110"/>
            </w:pPr>
            <w:r>
              <w:rPr>
                <w:spacing w:val="-1"/>
              </w:rPr>
              <w:t>E101°15′32″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25" w:line="186" w:lineRule="auto"/>
              <w:ind w:left="228"/>
            </w:pPr>
            <w:r>
              <w:rPr>
                <w:spacing w:val="-6"/>
              </w:rPr>
              <w:t>13</w:t>
            </w:r>
          </w:p>
        </w:tc>
        <w:tc>
          <w:tcPr>
            <w:tcW w:w="2359" w:type="dxa"/>
            <w:vAlign w:val="top"/>
          </w:tcPr>
          <w:p>
            <w:pPr>
              <w:spacing w:before="48" w:line="215" w:lineRule="auto"/>
              <w:ind w:left="143" w:right="127" w:firstLine="4"/>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2"/>
                <w:sz w:val="21"/>
                <w:szCs w:val="21"/>
              </w:rPr>
              <w:t>左黑村桂花河左岸山坡</w:t>
            </w:r>
          </w:p>
        </w:tc>
        <w:tc>
          <w:tcPr>
            <w:tcW w:w="1770" w:type="dxa"/>
            <w:vAlign w:val="top"/>
          </w:tcPr>
          <w:p>
            <w:pPr>
              <w:spacing w:before="187" w:line="217" w:lineRule="auto"/>
              <w:ind w:left="381"/>
              <w:rPr>
                <w:rFonts w:ascii="仿宋" w:hAnsi="仿宋" w:eastAsia="仿宋" w:cs="仿宋"/>
                <w:sz w:val="21"/>
                <w:szCs w:val="21"/>
              </w:rPr>
            </w:pPr>
            <w:r>
              <w:rPr>
                <w:rFonts w:ascii="仿宋" w:hAnsi="仿宋" w:eastAsia="仿宋" w:cs="仿宋"/>
                <w:spacing w:val="-4"/>
                <w:sz w:val="21"/>
                <w:szCs w:val="21"/>
              </w:rPr>
              <w:t>落叶阔叶林</w:t>
            </w:r>
          </w:p>
        </w:tc>
        <w:tc>
          <w:tcPr>
            <w:tcW w:w="988" w:type="dxa"/>
            <w:vAlign w:val="top"/>
          </w:tcPr>
          <w:p>
            <w:pPr>
              <w:pStyle w:val="6"/>
              <w:spacing w:before="191" w:line="215" w:lineRule="auto"/>
              <w:ind w:left="110"/>
              <w:rPr>
                <w:sz w:val="14"/>
                <w:szCs w:val="14"/>
              </w:rPr>
            </w:pPr>
            <w:r>
              <w:rPr>
                <w:spacing w:val="-1"/>
              </w:rPr>
              <w:t>20×20m</w:t>
            </w:r>
            <w:r>
              <w:rPr>
                <w:spacing w:val="-1"/>
                <w:position w:val="7"/>
                <w:sz w:val="14"/>
                <w:szCs w:val="14"/>
              </w:rPr>
              <w:t>2</w:t>
            </w:r>
          </w:p>
        </w:tc>
        <w:tc>
          <w:tcPr>
            <w:tcW w:w="1303" w:type="dxa"/>
            <w:vAlign w:val="top"/>
          </w:tcPr>
          <w:p>
            <w:pPr>
              <w:pStyle w:val="6"/>
              <w:spacing w:before="223" w:line="188" w:lineRule="auto"/>
              <w:ind w:left="147"/>
            </w:pPr>
            <w:r>
              <w:t>N26°01′57″</w:t>
            </w:r>
          </w:p>
        </w:tc>
        <w:tc>
          <w:tcPr>
            <w:tcW w:w="1297" w:type="dxa"/>
            <w:tcBorders>
              <w:right w:val="nil"/>
            </w:tcBorders>
            <w:vAlign w:val="top"/>
          </w:tcPr>
          <w:p>
            <w:pPr>
              <w:pStyle w:val="6"/>
              <w:spacing w:before="223" w:line="188" w:lineRule="auto"/>
              <w:ind w:left="110"/>
            </w:pPr>
            <w:r>
              <w:rPr>
                <w:spacing w:val="-1"/>
              </w:rPr>
              <w:t>E101°15′37″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26" w:line="186" w:lineRule="auto"/>
              <w:ind w:left="228"/>
            </w:pPr>
            <w:r>
              <w:rPr>
                <w:spacing w:val="-6"/>
              </w:rPr>
              <w:t>14</w:t>
            </w:r>
          </w:p>
        </w:tc>
        <w:tc>
          <w:tcPr>
            <w:tcW w:w="2359" w:type="dxa"/>
            <w:vAlign w:val="top"/>
          </w:tcPr>
          <w:p>
            <w:pPr>
              <w:spacing w:before="51" w:line="214" w:lineRule="auto"/>
              <w:ind w:left="143" w:right="127" w:firstLine="4"/>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2"/>
                <w:sz w:val="21"/>
                <w:szCs w:val="21"/>
              </w:rPr>
              <w:t>左黑村桂花河左岸山坡</w:t>
            </w:r>
          </w:p>
        </w:tc>
        <w:tc>
          <w:tcPr>
            <w:tcW w:w="1770" w:type="dxa"/>
            <w:vAlign w:val="top"/>
          </w:tcPr>
          <w:p>
            <w:pPr>
              <w:spacing w:before="188" w:line="217" w:lineRule="auto"/>
              <w:ind w:left="381"/>
              <w:rPr>
                <w:rFonts w:ascii="仿宋" w:hAnsi="仿宋" w:eastAsia="仿宋" w:cs="仿宋"/>
                <w:sz w:val="21"/>
                <w:szCs w:val="21"/>
              </w:rPr>
            </w:pPr>
            <w:r>
              <w:rPr>
                <w:rFonts w:ascii="仿宋" w:hAnsi="仿宋" w:eastAsia="仿宋" w:cs="仿宋"/>
                <w:spacing w:val="-4"/>
                <w:sz w:val="21"/>
                <w:szCs w:val="21"/>
              </w:rPr>
              <w:t>落叶阔叶林</w:t>
            </w:r>
          </w:p>
        </w:tc>
        <w:tc>
          <w:tcPr>
            <w:tcW w:w="988" w:type="dxa"/>
            <w:vAlign w:val="top"/>
          </w:tcPr>
          <w:p>
            <w:pPr>
              <w:pStyle w:val="6"/>
              <w:spacing w:before="192" w:line="215" w:lineRule="auto"/>
              <w:ind w:left="110"/>
              <w:rPr>
                <w:sz w:val="14"/>
                <w:szCs w:val="14"/>
              </w:rPr>
            </w:pPr>
            <w:r>
              <w:rPr>
                <w:spacing w:val="-1"/>
              </w:rPr>
              <w:t>20×20m</w:t>
            </w:r>
            <w:r>
              <w:rPr>
                <w:spacing w:val="-1"/>
                <w:position w:val="7"/>
                <w:sz w:val="14"/>
                <w:szCs w:val="14"/>
              </w:rPr>
              <w:t>2</w:t>
            </w:r>
          </w:p>
        </w:tc>
        <w:tc>
          <w:tcPr>
            <w:tcW w:w="1303" w:type="dxa"/>
            <w:vAlign w:val="top"/>
          </w:tcPr>
          <w:p>
            <w:pPr>
              <w:pStyle w:val="6"/>
              <w:spacing w:before="224" w:line="188" w:lineRule="auto"/>
              <w:ind w:left="102"/>
            </w:pPr>
            <w:r>
              <w:t>N26°01′51″″</w:t>
            </w:r>
          </w:p>
        </w:tc>
        <w:tc>
          <w:tcPr>
            <w:tcW w:w="1297" w:type="dxa"/>
            <w:tcBorders>
              <w:right w:val="nil"/>
            </w:tcBorders>
            <w:vAlign w:val="top"/>
          </w:tcPr>
          <w:p>
            <w:pPr>
              <w:pStyle w:val="6"/>
              <w:spacing w:before="224" w:line="188" w:lineRule="auto"/>
              <w:ind w:left="110"/>
            </w:pPr>
            <w:r>
              <w:rPr>
                <w:spacing w:val="-1"/>
              </w:rPr>
              <w:t>E101°15′28″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04" w:type="dxa"/>
            <w:tcBorders>
              <w:left w:val="nil"/>
            </w:tcBorders>
            <w:vAlign w:val="top"/>
          </w:tcPr>
          <w:p>
            <w:pPr>
              <w:pStyle w:val="6"/>
              <w:spacing w:before="228" w:line="186" w:lineRule="auto"/>
              <w:ind w:left="228"/>
            </w:pPr>
            <w:r>
              <w:rPr>
                <w:spacing w:val="-6"/>
              </w:rPr>
              <w:t>15</w:t>
            </w:r>
          </w:p>
        </w:tc>
        <w:tc>
          <w:tcPr>
            <w:tcW w:w="2359" w:type="dxa"/>
            <w:vAlign w:val="top"/>
          </w:tcPr>
          <w:p>
            <w:pPr>
              <w:spacing w:before="54" w:line="213" w:lineRule="auto"/>
              <w:ind w:left="143" w:right="127" w:firstLine="4"/>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2"/>
                <w:sz w:val="21"/>
                <w:szCs w:val="21"/>
              </w:rPr>
              <w:t>左黑村桂花河左岸山坡</w:t>
            </w:r>
          </w:p>
        </w:tc>
        <w:tc>
          <w:tcPr>
            <w:tcW w:w="1770" w:type="dxa"/>
            <w:vAlign w:val="top"/>
          </w:tcPr>
          <w:p>
            <w:pPr>
              <w:spacing w:before="191" w:line="217" w:lineRule="auto"/>
              <w:ind w:left="381"/>
              <w:rPr>
                <w:rFonts w:ascii="仿宋" w:hAnsi="仿宋" w:eastAsia="仿宋" w:cs="仿宋"/>
                <w:sz w:val="21"/>
                <w:szCs w:val="21"/>
              </w:rPr>
            </w:pPr>
            <w:r>
              <w:rPr>
                <w:rFonts w:ascii="仿宋" w:hAnsi="仿宋" w:eastAsia="仿宋" w:cs="仿宋"/>
                <w:spacing w:val="-4"/>
                <w:sz w:val="21"/>
                <w:szCs w:val="21"/>
              </w:rPr>
              <w:t>落叶阔叶林</w:t>
            </w:r>
          </w:p>
        </w:tc>
        <w:tc>
          <w:tcPr>
            <w:tcW w:w="988" w:type="dxa"/>
            <w:vAlign w:val="top"/>
          </w:tcPr>
          <w:p>
            <w:pPr>
              <w:pStyle w:val="6"/>
              <w:spacing w:before="194" w:line="215" w:lineRule="auto"/>
              <w:ind w:left="110"/>
              <w:rPr>
                <w:sz w:val="14"/>
                <w:szCs w:val="14"/>
              </w:rPr>
            </w:pPr>
            <w:r>
              <w:rPr>
                <w:spacing w:val="-1"/>
              </w:rPr>
              <w:t>20×20m</w:t>
            </w:r>
            <w:r>
              <w:rPr>
                <w:spacing w:val="-1"/>
                <w:position w:val="7"/>
                <w:sz w:val="14"/>
                <w:szCs w:val="14"/>
              </w:rPr>
              <w:t>2</w:t>
            </w:r>
          </w:p>
        </w:tc>
        <w:tc>
          <w:tcPr>
            <w:tcW w:w="1303" w:type="dxa"/>
            <w:vAlign w:val="top"/>
          </w:tcPr>
          <w:p>
            <w:pPr>
              <w:pStyle w:val="6"/>
              <w:spacing w:before="226" w:line="188" w:lineRule="auto"/>
              <w:ind w:left="147"/>
            </w:pPr>
            <w:r>
              <w:t>N26°01′43″</w:t>
            </w:r>
          </w:p>
        </w:tc>
        <w:tc>
          <w:tcPr>
            <w:tcW w:w="1297" w:type="dxa"/>
            <w:tcBorders>
              <w:right w:val="nil"/>
            </w:tcBorders>
            <w:vAlign w:val="top"/>
          </w:tcPr>
          <w:p>
            <w:pPr>
              <w:pStyle w:val="6"/>
              <w:spacing w:before="226" w:line="188" w:lineRule="auto"/>
              <w:ind w:left="110"/>
            </w:pPr>
            <w:r>
              <w:rPr>
                <w:spacing w:val="-1"/>
              </w:rPr>
              <w:t>E101°15′22″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28" w:line="186" w:lineRule="auto"/>
              <w:ind w:left="228"/>
            </w:pPr>
            <w:r>
              <w:rPr>
                <w:spacing w:val="-6"/>
              </w:rPr>
              <w:t>16</w:t>
            </w:r>
          </w:p>
        </w:tc>
        <w:tc>
          <w:tcPr>
            <w:tcW w:w="2359" w:type="dxa"/>
            <w:vAlign w:val="top"/>
          </w:tcPr>
          <w:p>
            <w:pPr>
              <w:spacing w:before="53" w:line="213" w:lineRule="auto"/>
              <w:ind w:left="249" w:right="127" w:hanging="102"/>
              <w:rPr>
                <w:rFonts w:ascii="仿宋" w:hAnsi="仿宋" w:eastAsia="仿宋" w:cs="仿宋"/>
                <w:sz w:val="21"/>
                <w:szCs w:val="21"/>
              </w:rPr>
            </w:pPr>
            <w:r>
              <w:rPr>
                <w:rFonts w:ascii="仿宋" w:hAnsi="仿宋" w:eastAsia="仿宋" w:cs="仿宋"/>
                <w:spacing w:val="-3"/>
                <w:sz w:val="21"/>
                <w:szCs w:val="21"/>
              </w:rPr>
              <w:t>楚雄市大姚县桂花镇马</w:t>
            </w:r>
            <w:r>
              <w:rPr>
                <w:rFonts w:ascii="仿宋" w:hAnsi="仿宋" w:eastAsia="仿宋" w:cs="仿宋"/>
                <w:spacing w:val="8"/>
                <w:sz w:val="21"/>
                <w:szCs w:val="21"/>
              </w:rPr>
              <w:t xml:space="preserve"> </w:t>
            </w:r>
            <w:r>
              <w:rPr>
                <w:rFonts w:ascii="仿宋" w:hAnsi="仿宋" w:eastAsia="仿宋" w:cs="仿宋"/>
                <w:spacing w:val="-2"/>
                <w:sz w:val="21"/>
                <w:szCs w:val="21"/>
              </w:rPr>
              <w:t>茨村桂花河右岸山坡</w:t>
            </w:r>
          </w:p>
        </w:tc>
        <w:tc>
          <w:tcPr>
            <w:tcW w:w="1770" w:type="dxa"/>
            <w:vAlign w:val="top"/>
          </w:tcPr>
          <w:p>
            <w:pPr>
              <w:spacing w:before="189" w:line="216" w:lineRule="auto"/>
              <w:ind w:left="274"/>
              <w:rPr>
                <w:rFonts w:ascii="仿宋" w:hAnsi="仿宋" w:eastAsia="仿宋" w:cs="仿宋"/>
                <w:sz w:val="21"/>
                <w:szCs w:val="21"/>
              </w:rPr>
            </w:pPr>
            <w:r>
              <w:rPr>
                <w:rFonts w:ascii="仿宋" w:hAnsi="仿宋" w:eastAsia="仿宋" w:cs="仿宋"/>
                <w:spacing w:val="-4"/>
                <w:sz w:val="21"/>
                <w:szCs w:val="21"/>
              </w:rPr>
              <w:t>暖温性针叶林</w:t>
            </w:r>
          </w:p>
        </w:tc>
        <w:tc>
          <w:tcPr>
            <w:tcW w:w="988" w:type="dxa"/>
            <w:vAlign w:val="top"/>
          </w:tcPr>
          <w:p>
            <w:pPr>
              <w:pStyle w:val="6"/>
              <w:spacing w:before="194" w:line="215" w:lineRule="auto"/>
              <w:ind w:left="110"/>
              <w:rPr>
                <w:sz w:val="14"/>
                <w:szCs w:val="14"/>
              </w:rPr>
            </w:pPr>
            <w:r>
              <w:rPr>
                <w:spacing w:val="-1"/>
              </w:rPr>
              <w:t>20×20m</w:t>
            </w:r>
            <w:r>
              <w:rPr>
                <w:spacing w:val="-1"/>
                <w:position w:val="7"/>
                <w:sz w:val="14"/>
                <w:szCs w:val="14"/>
              </w:rPr>
              <w:t>2</w:t>
            </w:r>
          </w:p>
        </w:tc>
        <w:tc>
          <w:tcPr>
            <w:tcW w:w="1303" w:type="dxa"/>
            <w:vAlign w:val="top"/>
          </w:tcPr>
          <w:p>
            <w:pPr>
              <w:pStyle w:val="6"/>
              <w:spacing w:before="226" w:line="188" w:lineRule="auto"/>
              <w:ind w:left="147"/>
            </w:pPr>
            <w:r>
              <w:t>N26°01′44″</w:t>
            </w:r>
          </w:p>
        </w:tc>
        <w:tc>
          <w:tcPr>
            <w:tcW w:w="1297" w:type="dxa"/>
            <w:tcBorders>
              <w:right w:val="nil"/>
            </w:tcBorders>
            <w:vAlign w:val="top"/>
          </w:tcPr>
          <w:p>
            <w:pPr>
              <w:pStyle w:val="6"/>
              <w:spacing w:before="226" w:line="188" w:lineRule="auto"/>
              <w:ind w:left="110"/>
            </w:pPr>
            <w:r>
              <w:rPr>
                <w:spacing w:val="-1"/>
              </w:rPr>
              <w:t>E101°16′00″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31" w:line="186" w:lineRule="auto"/>
              <w:ind w:left="228"/>
            </w:pPr>
            <w:r>
              <w:rPr>
                <w:spacing w:val="-6"/>
              </w:rPr>
              <w:t>17</w:t>
            </w:r>
          </w:p>
        </w:tc>
        <w:tc>
          <w:tcPr>
            <w:tcW w:w="2359" w:type="dxa"/>
            <w:vAlign w:val="top"/>
          </w:tcPr>
          <w:p>
            <w:pPr>
              <w:spacing w:before="55" w:line="216" w:lineRule="auto"/>
              <w:ind w:left="147"/>
              <w:rPr>
                <w:rFonts w:ascii="仿宋" w:hAnsi="仿宋" w:eastAsia="仿宋" w:cs="仿宋"/>
                <w:sz w:val="21"/>
                <w:szCs w:val="21"/>
              </w:rPr>
            </w:pPr>
            <w:r>
              <w:rPr>
                <w:rFonts w:ascii="仿宋" w:hAnsi="仿宋" w:eastAsia="仿宋" w:cs="仿宋"/>
                <w:spacing w:val="-2"/>
                <w:sz w:val="21"/>
                <w:szCs w:val="21"/>
              </w:rPr>
              <w:t>楚雄市大姚县桂花镇扯</w:t>
            </w:r>
          </w:p>
          <w:p>
            <w:pPr>
              <w:spacing w:before="27" w:line="184" w:lineRule="auto"/>
              <w:ind w:left="253"/>
              <w:rPr>
                <w:rFonts w:ascii="仿宋" w:hAnsi="仿宋" w:eastAsia="仿宋" w:cs="仿宋"/>
                <w:sz w:val="21"/>
                <w:szCs w:val="21"/>
              </w:rPr>
            </w:pPr>
            <w:r>
              <w:rPr>
                <w:rFonts w:ascii="仿宋" w:hAnsi="仿宋" w:eastAsia="仿宋" w:cs="仿宋"/>
                <w:spacing w:val="-3"/>
                <w:sz w:val="21"/>
                <w:szCs w:val="21"/>
              </w:rPr>
              <w:t>嘿村桂花河右岸山坡</w:t>
            </w:r>
          </w:p>
        </w:tc>
        <w:tc>
          <w:tcPr>
            <w:tcW w:w="1770" w:type="dxa"/>
            <w:vAlign w:val="top"/>
          </w:tcPr>
          <w:p>
            <w:pPr>
              <w:spacing w:before="192" w:line="216" w:lineRule="auto"/>
              <w:ind w:left="274"/>
              <w:rPr>
                <w:rFonts w:ascii="仿宋" w:hAnsi="仿宋" w:eastAsia="仿宋" w:cs="仿宋"/>
                <w:sz w:val="21"/>
                <w:szCs w:val="21"/>
              </w:rPr>
            </w:pPr>
            <w:r>
              <w:rPr>
                <w:rFonts w:ascii="仿宋" w:hAnsi="仿宋" w:eastAsia="仿宋" w:cs="仿宋"/>
                <w:spacing w:val="-4"/>
                <w:sz w:val="21"/>
                <w:szCs w:val="21"/>
              </w:rPr>
              <w:t>暖温性针叶林</w:t>
            </w:r>
          </w:p>
        </w:tc>
        <w:tc>
          <w:tcPr>
            <w:tcW w:w="988" w:type="dxa"/>
            <w:vAlign w:val="top"/>
          </w:tcPr>
          <w:p>
            <w:pPr>
              <w:pStyle w:val="6"/>
              <w:spacing w:before="197" w:line="215" w:lineRule="auto"/>
              <w:ind w:left="110"/>
              <w:rPr>
                <w:sz w:val="14"/>
                <w:szCs w:val="14"/>
              </w:rPr>
            </w:pPr>
            <w:r>
              <w:rPr>
                <w:spacing w:val="-1"/>
              </w:rPr>
              <w:t>20×20m</w:t>
            </w:r>
            <w:r>
              <w:rPr>
                <w:spacing w:val="-1"/>
                <w:position w:val="7"/>
                <w:sz w:val="14"/>
                <w:szCs w:val="14"/>
              </w:rPr>
              <w:t>2</w:t>
            </w:r>
          </w:p>
        </w:tc>
        <w:tc>
          <w:tcPr>
            <w:tcW w:w="1303" w:type="dxa"/>
            <w:vAlign w:val="top"/>
          </w:tcPr>
          <w:p>
            <w:pPr>
              <w:pStyle w:val="6"/>
              <w:spacing w:before="229" w:line="188" w:lineRule="auto"/>
              <w:ind w:left="147"/>
            </w:pPr>
            <w:r>
              <w:t>N26°01′33″</w:t>
            </w:r>
          </w:p>
        </w:tc>
        <w:tc>
          <w:tcPr>
            <w:tcW w:w="1297" w:type="dxa"/>
            <w:tcBorders>
              <w:right w:val="nil"/>
            </w:tcBorders>
            <w:vAlign w:val="top"/>
          </w:tcPr>
          <w:p>
            <w:pPr>
              <w:pStyle w:val="6"/>
              <w:spacing w:before="229" w:line="188" w:lineRule="auto"/>
              <w:ind w:left="110"/>
            </w:pPr>
            <w:r>
              <w:rPr>
                <w:spacing w:val="-1"/>
              </w:rPr>
              <w:t>E101°15′44″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32" w:line="186" w:lineRule="auto"/>
              <w:ind w:left="228"/>
            </w:pPr>
            <w:r>
              <w:rPr>
                <w:spacing w:val="-6"/>
              </w:rPr>
              <w:t>18</w:t>
            </w:r>
          </w:p>
        </w:tc>
        <w:tc>
          <w:tcPr>
            <w:tcW w:w="2359" w:type="dxa"/>
            <w:vAlign w:val="top"/>
          </w:tcPr>
          <w:p>
            <w:pPr>
              <w:spacing w:before="57" w:line="216" w:lineRule="auto"/>
              <w:ind w:left="147"/>
              <w:rPr>
                <w:rFonts w:ascii="仿宋" w:hAnsi="仿宋" w:eastAsia="仿宋" w:cs="仿宋"/>
                <w:sz w:val="21"/>
                <w:szCs w:val="21"/>
              </w:rPr>
            </w:pPr>
            <w:r>
              <w:rPr>
                <w:rFonts w:ascii="仿宋" w:hAnsi="仿宋" w:eastAsia="仿宋" w:cs="仿宋"/>
                <w:spacing w:val="-2"/>
                <w:sz w:val="21"/>
                <w:szCs w:val="21"/>
              </w:rPr>
              <w:t>楚雄市大姚县桂花镇扯</w:t>
            </w:r>
          </w:p>
          <w:p>
            <w:pPr>
              <w:spacing w:before="27" w:line="183" w:lineRule="auto"/>
              <w:ind w:left="253"/>
              <w:rPr>
                <w:rFonts w:ascii="仿宋" w:hAnsi="仿宋" w:eastAsia="仿宋" w:cs="仿宋"/>
                <w:sz w:val="21"/>
                <w:szCs w:val="21"/>
              </w:rPr>
            </w:pPr>
            <w:r>
              <w:rPr>
                <w:rFonts w:ascii="仿宋" w:hAnsi="仿宋" w:eastAsia="仿宋" w:cs="仿宋"/>
                <w:spacing w:val="-3"/>
                <w:sz w:val="21"/>
                <w:szCs w:val="21"/>
              </w:rPr>
              <w:t>嘿村桂花河右岸山坡</w:t>
            </w:r>
          </w:p>
        </w:tc>
        <w:tc>
          <w:tcPr>
            <w:tcW w:w="1770" w:type="dxa"/>
            <w:vAlign w:val="top"/>
          </w:tcPr>
          <w:p>
            <w:pPr>
              <w:spacing w:before="193" w:line="216" w:lineRule="auto"/>
              <w:ind w:left="274"/>
              <w:rPr>
                <w:rFonts w:ascii="仿宋" w:hAnsi="仿宋" w:eastAsia="仿宋" w:cs="仿宋"/>
                <w:sz w:val="21"/>
                <w:szCs w:val="21"/>
              </w:rPr>
            </w:pPr>
            <w:r>
              <w:rPr>
                <w:rFonts w:ascii="仿宋" w:hAnsi="仿宋" w:eastAsia="仿宋" w:cs="仿宋"/>
                <w:spacing w:val="-4"/>
                <w:sz w:val="21"/>
                <w:szCs w:val="21"/>
              </w:rPr>
              <w:t>暖温性针叶林</w:t>
            </w:r>
          </w:p>
        </w:tc>
        <w:tc>
          <w:tcPr>
            <w:tcW w:w="988" w:type="dxa"/>
            <w:vAlign w:val="top"/>
          </w:tcPr>
          <w:p>
            <w:pPr>
              <w:pStyle w:val="6"/>
              <w:spacing w:before="198" w:line="215" w:lineRule="auto"/>
              <w:ind w:left="110"/>
              <w:rPr>
                <w:sz w:val="14"/>
                <w:szCs w:val="14"/>
              </w:rPr>
            </w:pPr>
            <w:r>
              <w:rPr>
                <w:spacing w:val="-1"/>
              </w:rPr>
              <w:t>20×20m</w:t>
            </w:r>
            <w:r>
              <w:rPr>
                <w:spacing w:val="-1"/>
                <w:position w:val="7"/>
                <w:sz w:val="14"/>
                <w:szCs w:val="14"/>
              </w:rPr>
              <w:t>2</w:t>
            </w:r>
          </w:p>
        </w:tc>
        <w:tc>
          <w:tcPr>
            <w:tcW w:w="1303" w:type="dxa"/>
            <w:vAlign w:val="top"/>
          </w:tcPr>
          <w:p>
            <w:pPr>
              <w:pStyle w:val="6"/>
              <w:spacing w:before="230" w:line="188" w:lineRule="auto"/>
              <w:ind w:left="147"/>
            </w:pPr>
            <w:r>
              <w:t>N26°03′30″</w:t>
            </w:r>
          </w:p>
        </w:tc>
        <w:tc>
          <w:tcPr>
            <w:tcW w:w="1297" w:type="dxa"/>
            <w:tcBorders>
              <w:right w:val="nil"/>
            </w:tcBorders>
            <w:vAlign w:val="top"/>
          </w:tcPr>
          <w:p>
            <w:pPr>
              <w:pStyle w:val="6"/>
              <w:spacing w:before="230" w:line="188" w:lineRule="auto"/>
              <w:ind w:left="110"/>
            </w:pPr>
            <w:r>
              <w:rPr>
                <w:spacing w:val="-1"/>
              </w:rPr>
              <w:t>E101°15′37″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604" w:type="dxa"/>
            <w:tcBorders>
              <w:left w:val="nil"/>
            </w:tcBorders>
            <w:vAlign w:val="top"/>
          </w:tcPr>
          <w:p>
            <w:pPr>
              <w:pStyle w:val="6"/>
              <w:spacing w:before="234" w:line="186" w:lineRule="auto"/>
              <w:ind w:left="228"/>
            </w:pPr>
            <w:r>
              <w:rPr>
                <w:spacing w:val="-6"/>
              </w:rPr>
              <w:t>19</w:t>
            </w:r>
          </w:p>
        </w:tc>
        <w:tc>
          <w:tcPr>
            <w:tcW w:w="2359" w:type="dxa"/>
            <w:vAlign w:val="top"/>
          </w:tcPr>
          <w:p>
            <w:pPr>
              <w:spacing w:before="59" w:line="211" w:lineRule="auto"/>
              <w:ind w:left="141" w:right="127" w:firstLine="5"/>
              <w:rPr>
                <w:rFonts w:ascii="仿宋" w:hAnsi="仿宋" w:eastAsia="仿宋" w:cs="仿宋"/>
                <w:sz w:val="21"/>
                <w:szCs w:val="21"/>
              </w:rPr>
            </w:pPr>
            <w:r>
              <w:rPr>
                <w:rFonts w:ascii="仿宋" w:hAnsi="仿宋" w:eastAsia="仿宋" w:cs="仿宋"/>
                <w:spacing w:val="-3"/>
                <w:sz w:val="21"/>
                <w:szCs w:val="21"/>
              </w:rPr>
              <w:t>楚雄市大姚县桂花镇么</w:t>
            </w:r>
            <w:r>
              <w:rPr>
                <w:rFonts w:ascii="仿宋" w:hAnsi="仿宋" w:eastAsia="仿宋" w:cs="仿宋"/>
                <w:spacing w:val="8"/>
                <w:sz w:val="21"/>
                <w:szCs w:val="21"/>
              </w:rPr>
              <w:t xml:space="preserve"> </w:t>
            </w:r>
            <w:r>
              <w:rPr>
                <w:rFonts w:ascii="仿宋" w:hAnsi="仿宋" w:eastAsia="仿宋" w:cs="仿宋"/>
                <w:spacing w:val="-2"/>
                <w:sz w:val="21"/>
                <w:szCs w:val="21"/>
              </w:rPr>
              <w:t>他苴村桂花河右岸山坡</w:t>
            </w:r>
          </w:p>
        </w:tc>
        <w:tc>
          <w:tcPr>
            <w:tcW w:w="1770" w:type="dxa"/>
            <w:vAlign w:val="top"/>
          </w:tcPr>
          <w:p>
            <w:pPr>
              <w:spacing w:before="196" w:line="216" w:lineRule="auto"/>
              <w:ind w:left="274"/>
              <w:rPr>
                <w:rFonts w:ascii="仿宋" w:hAnsi="仿宋" w:eastAsia="仿宋" w:cs="仿宋"/>
                <w:sz w:val="21"/>
                <w:szCs w:val="21"/>
              </w:rPr>
            </w:pPr>
            <w:r>
              <w:rPr>
                <w:rFonts w:ascii="仿宋" w:hAnsi="仿宋" w:eastAsia="仿宋" w:cs="仿宋"/>
                <w:spacing w:val="-4"/>
                <w:sz w:val="21"/>
                <w:szCs w:val="21"/>
              </w:rPr>
              <w:t>暖温性针叶林</w:t>
            </w:r>
          </w:p>
        </w:tc>
        <w:tc>
          <w:tcPr>
            <w:tcW w:w="988" w:type="dxa"/>
            <w:vAlign w:val="top"/>
          </w:tcPr>
          <w:p>
            <w:pPr>
              <w:pStyle w:val="6"/>
              <w:spacing w:before="200" w:line="215" w:lineRule="auto"/>
              <w:ind w:left="110"/>
              <w:rPr>
                <w:sz w:val="14"/>
                <w:szCs w:val="14"/>
              </w:rPr>
            </w:pPr>
            <w:r>
              <w:rPr>
                <w:spacing w:val="-1"/>
              </w:rPr>
              <w:t>20×20m</w:t>
            </w:r>
            <w:r>
              <w:rPr>
                <w:spacing w:val="-1"/>
                <w:position w:val="7"/>
                <w:sz w:val="14"/>
                <w:szCs w:val="14"/>
              </w:rPr>
              <w:t>2</w:t>
            </w:r>
          </w:p>
        </w:tc>
        <w:tc>
          <w:tcPr>
            <w:tcW w:w="1303" w:type="dxa"/>
            <w:vAlign w:val="top"/>
          </w:tcPr>
          <w:p>
            <w:pPr>
              <w:pStyle w:val="6"/>
              <w:spacing w:before="232" w:line="188" w:lineRule="auto"/>
              <w:ind w:left="147"/>
            </w:pPr>
            <w:r>
              <w:t>N26°02′11″</w:t>
            </w:r>
          </w:p>
        </w:tc>
        <w:tc>
          <w:tcPr>
            <w:tcW w:w="1297" w:type="dxa"/>
            <w:tcBorders>
              <w:right w:val="nil"/>
            </w:tcBorders>
            <w:vAlign w:val="top"/>
          </w:tcPr>
          <w:p>
            <w:pPr>
              <w:pStyle w:val="6"/>
              <w:spacing w:before="232" w:line="188" w:lineRule="auto"/>
              <w:ind w:left="110"/>
            </w:pPr>
            <w:r>
              <w:rPr>
                <w:spacing w:val="-1"/>
              </w:rPr>
              <w:t>E101°16′15″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308" w:lineRule="auto"/>
              <w:rPr>
                <w:rFonts w:ascii="Arial"/>
                <w:sz w:val="21"/>
              </w:rPr>
            </w:pPr>
          </w:p>
          <w:p>
            <w:pPr>
              <w:pStyle w:val="6"/>
              <w:spacing w:before="60" w:line="186" w:lineRule="auto"/>
              <w:ind w:left="208"/>
            </w:pPr>
            <w:r>
              <w:rPr>
                <w:spacing w:val="-1"/>
              </w:rPr>
              <w:t>20</w:t>
            </w:r>
          </w:p>
        </w:tc>
        <w:tc>
          <w:tcPr>
            <w:tcW w:w="2359" w:type="dxa"/>
            <w:vAlign w:val="top"/>
          </w:tcPr>
          <w:p>
            <w:pPr>
              <w:spacing w:before="59" w:line="216" w:lineRule="auto"/>
              <w:ind w:left="147"/>
              <w:rPr>
                <w:rFonts w:ascii="仿宋" w:hAnsi="仿宋" w:eastAsia="仿宋" w:cs="仿宋"/>
                <w:sz w:val="21"/>
                <w:szCs w:val="21"/>
              </w:rPr>
            </w:pPr>
            <w:r>
              <w:rPr>
                <w:rFonts w:ascii="仿宋" w:hAnsi="仿宋" w:eastAsia="仿宋" w:cs="仿宋"/>
                <w:spacing w:val="-2"/>
                <w:sz w:val="21"/>
                <w:szCs w:val="21"/>
              </w:rPr>
              <w:t>楚雄市大姚县桂花水库</w:t>
            </w:r>
          </w:p>
          <w:p>
            <w:pPr>
              <w:spacing w:before="26" w:line="216" w:lineRule="auto"/>
              <w:ind w:left="145"/>
              <w:rPr>
                <w:rFonts w:ascii="仿宋" w:hAnsi="仿宋" w:eastAsia="仿宋" w:cs="仿宋"/>
                <w:sz w:val="21"/>
                <w:szCs w:val="21"/>
              </w:rPr>
            </w:pPr>
            <w:r>
              <w:rPr>
                <w:rFonts w:ascii="仿宋" w:hAnsi="仿宋" w:eastAsia="仿宋" w:cs="仿宋"/>
                <w:spacing w:val="-2"/>
                <w:sz w:val="21"/>
                <w:szCs w:val="21"/>
              </w:rPr>
              <w:t>工程管理局桂花河右岸</w:t>
            </w:r>
          </w:p>
          <w:p>
            <w:pPr>
              <w:spacing w:before="26" w:line="181" w:lineRule="auto"/>
              <w:ind w:left="999"/>
              <w:rPr>
                <w:rFonts w:ascii="仿宋" w:hAnsi="仿宋" w:eastAsia="仿宋" w:cs="仿宋"/>
                <w:sz w:val="21"/>
                <w:szCs w:val="21"/>
              </w:rPr>
            </w:pPr>
            <w:r>
              <w:rPr>
                <w:rFonts w:ascii="仿宋" w:hAnsi="仿宋" w:eastAsia="仿宋" w:cs="仿宋"/>
                <w:spacing w:val="-9"/>
                <w:sz w:val="21"/>
                <w:szCs w:val="21"/>
              </w:rPr>
              <w:t>山坡</w:t>
            </w:r>
          </w:p>
        </w:tc>
        <w:tc>
          <w:tcPr>
            <w:tcW w:w="1770" w:type="dxa"/>
            <w:vAlign w:val="top"/>
          </w:tcPr>
          <w:p>
            <w:pPr>
              <w:spacing w:line="262" w:lineRule="auto"/>
              <w:rPr>
                <w:rFonts w:ascii="Arial"/>
                <w:sz w:val="21"/>
              </w:rPr>
            </w:pPr>
          </w:p>
          <w:p>
            <w:pPr>
              <w:spacing w:before="68" w:line="216" w:lineRule="auto"/>
              <w:ind w:left="274"/>
              <w:rPr>
                <w:rFonts w:ascii="仿宋" w:hAnsi="仿宋" w:eastAsia="仿宋" w:cs="仿宋"/>
                <w:sz w:val="21"/>
                <w:szCs w:val="21"/>
              </w:rPr>
            </w:pPr>
            <w:r>
              <w:rPr>
                <w:rFonts w:ascii="仿宋" w:hAnsi="仿宋" w:eastAsia="仿宋" w:cs="仿宋"/>
                <w:spacing w:val="-4"/>
                <w:sz w:val="21"/>
                <w:szCs w:val="21"/>
              </w:rPr>
              <w:t>暖温性针叶林</w:t>
            </w:r>
          </w:p>
        </w:tc>
        <w:tc>
          <w:tcPr>
            <w:tcW w:w="988" w:type="dxa"/>
            <w:vAlign w:val="top"/>
          </w:tcPr>
          <w:p>
            <w:pPr>
              <w:spacing w:line="274" w:lineRule="auto"/>
              <w:rPr>
                <w:rFonts w:ascii="Arial"/>
                <w:sz w:val="21"/>
              </w:rPr>
            </w:pPr>
          </w:p>
          <w:p>
            <w:pPr>
              <w:pStyle w:val="6"/>
              <w:spacing w:before="61" w:line="215" w:lineRule="auto"/>
              <w:ind w:left="110"/>
              <w:rPr>
                <w:sz w:val="14"/>
                <w:szCs w:val="14"/>
              </w:rPr>
            </w:pPr>
            <w:r>
              <w:rPr>
                <w:spacing w:val="-1"/>
              </w:rPr>
              <w:t>20×20m</w:t>
            </w:r>
            <w:r>
              <w:rPr>
                <w:spacing w:val="-1"/>
                <w:position w:val="7"/>
                <w:sz w:val="14"/>
                <w:szCs w:val="14"/>
              </w:rPr>
              <w:t>2</w:t>
            </w:r>
          </w:p>
        </w:tc>
        <w:tc>
          <w:tcPr>
            <w:tcW w:w="1303" w:type="dxa"/>
            <w:vAlign w:val="top"/>
          </w:tcPr>
          <w:p>
            <w:pPr>
              <w:spacing w:line="306" w:lineRule="auto"/>
              <w:rPr>
                <w:rFonts w:ascii="Arial"/>
                <w:sz w:val="21"/>
              </w:rPr>
            </w:pPr>
          </w:p>
          <w:p>
            <w:pPr>
              <w:pStyle w:val="6"/>
              <w:spacing w:before="60" w:line="188" w:lineRule="auto"/>
              <w:ind w:left="147"/>
            </w:pPr>
            <w:r>
              <w:t>N26°02′28″</w:t>
            </w:r>
          </w:p>
        </w:tc>
        <w:tc>
          <w:tcPr>
            <w:tcW w:w="1297" w:type="dxa"/>
            <w:tcBorders>
              <w:right w:val="nil"/>
            </w:tcBorders>
            <w:vAlign w:val="top"/>
          </w:tcPr>
          <w:p>
            <w:pPr>
              <w:spacing w:line="306" w:lineRule="auto"/>
              <w:rPr>
                <w:rFonts w:ascii="Arial"/>
                <w:sz w:val="21"/>
              </w:rPr>
            </w:pPr>
          </w:p>
          <w:p>
            <w:pPr>
              <w:pStyle w:val="6"/>
              <w:spacing w:before="60" w:line="188" w:lineRule="auto"/>
              <w:ind w:left="110"/>
            </w:pPr>
            <w:r>
              <w:rPr>
                <w:spacing w:val="-1"/>
              </w:rPr>
              <w:t>E101°16′28″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2" w:hRule="atLeast"/>
        </w:trPr>
        <w:tc>
          <w:tcPr>
            <w:tcW w:w="604" w:type="dxa"/>
            <w:tcBorders>
              <w:left w:val="nil"/>
              <w:bottom w:val="single" w:color="000000" w:sz="12" w:space="0"/>
            </w:tcBorders>
            <w:vAlign w:val="top"/>
          </w:tcPr>
          <w:p>
            <w:pPr>
              <w:pStyle w:val="6"/>
              <w:spacing w:before="100" w:line="186" w:lineRule="auto"/>
              <w:ind w:left="208"/>
            </w:pPr>
            <w:r>
              <w:rPr>
                <w:spacing w:val="-1"/>
              </w:rPr>
              <w:t>21</w:t>
            </w:r>
          </w:p>
        </w:tc>
        <w:tc>
          <w:tcPr>
            <w:tcW w:w="2359" w:type="dxa"/>
            <w:tcBorders>
              <w:bottom w:val="single" w:color="000000" w:sz="12" w:space="0"/>
            </w:tcBorders>
            <w:vAlign w:val="top"/>
          </w:tcPr>
          <w:p>
            <w:pPr>
              <w:spacing w:before="61" w:line="203" w:lineRule="auto"/>
              <w:ind w:left="147"/>
              <w:rPr>
                <w:rFonts w:ascii="仿宋" w:hAnsi="仿宋" w:eastAsia="仿宋" w:cs="仿宋"/>
                <w:sz w:val="21"/>
                <w:szCs w:val="21"/>
              </w:rPr>
            </w:pPr>
            <w:r>
              <w:rPr>
                <w:rFonts w:ascii="仿宋" w:hAnsi="仿宋" w:eastAsia="仿宋" w:cs="仿宋"/>
                <w:spacing w:val="-2"/>
                <w:sz w:val="21"/>
                <w:szCs w:val="21"/>
              </w:rPr>
              <w:t>楚雄市大姚县桂花镇桂</w:t>
            </w:r>
          </w:p>
        </w:tc>
        <w:tc>
          <w:tcPr>
            <w:tcW w:w="1770" w:type="dxa"/>
            <w:tcBorders>
              <w:bottom w:val="single" w:color="000000" w:sz="12" w:space="0"/>
            </w:tcBorders>
            <w:vAlign w:val="top"/>
          </w:tcPr>
          <w:p>
            <w:pPr>
              <w:spacing w:before="61" w:line="203" w:lineRule="auto"/>
              <w:ind w:left="168"/>
              <w:rPr>
                <w:rFonts w:ascii="仿宋" w:hAnsi="仿宋" w:eastAsia="仿宋" w:cs="仿宋"/>
                <w:sz w:val="21"/>
                <w:szCs w:val="21"/>
              </w:rPr>
            </w:pPr>
            <w:r>
              <w:rPr>
                <w:rFonts w:ascii="仿宋" w:hAnsi="仿宋" w:eastAsia="仿宋" w:cs="仿宋"/>
                <w:spacing w:val="-3"/>
                <w:sz w:val="21"/>
                <w:szCs w:val="21"/>
              </w:rPr>
              <w:t>干热性稀树灌木</w:t>
            </w:r>
          </w:p>
        </w:tc>
        <w:tc>
          <w:tcPr>
            <w:tcW w:w="988" w:type="dxa"/>
            <w:tcBorders>
              <w:bottom w:val="single" w:color="000000" w:sz="12" w:space="0"/>
            </w:tcBorders>
            <w:vAlign w:val="top"/>
          </w:tcPr>
          <w:p>
            <w:pPr>
              <w:pStyle w:val="6"/>
              <w:spacing w:before="66" w:line="215" w:lineRule="auto"/>
              <w:ind w:left="130"/>
              <w:rPr>
                <w:sz w:val="14"/>
                <w:szCs w:val="14"/>
              </w:rPr>
            </w:pPr>
            <w:r>
              <w:rPr>
                <w:spacing w:val="-4"/>
              </w:rPr>
              <w:t>10×10m</w:t>
            </w:r>
            <w:r>
              <w:rPr>
                <w:spacing w:val="-4"/>
                <w:position w:val="7"/>
                <w:sz w:val="14"/>
                <w:szCs w:val="14"/>
              </w:rPr>
              <w:t>2</w:t>
            </w:r>
          </w:p>
        </w:tc>
        <w:tc>
          <w:tcPr>
            <w:tcW w:w="1303" w:type="dxa"/>
            <w:tcBorders>
              <w:bottom w:val="single" w:color="000000" w:sz="12" w:space="0"/>
            </w:tcBorders>
            <w:vAlign w:val="top"/>
          </w:tcPr>
          <w:p>
            <w:pPr>
              <w:pStyle w:val="6"/>
              <w:spacing w:before="97" w:line="188" w:lineRule="auto"/>
              <w:ind w:left="147"/>
            </w:pPr>
            <w:r>
              <w:t>N26°02′47″</w:t>
            </w:r>
          </w:p>
        </w:tc>
        <w:tc>
          <w:tcPr>
            <w:tcW w:w="1297" w:type="dxa"/>
            <w:tcBorders>
              <w:bottom w:val="single" w:color="000000" w:sz="12" w:space="0"/>
              <w:right w:val="nil"/>
            </w:tcBorders>
            <w:vAlign w:val="top"/>
          </w:tcPr>
          <w:p>
            <w:pPr>
              <w:pStyle w:val="6"/>
              <w:spacing w:before="97" w:line="188" w:lineRule="auto"/>
              <w:ind w:left="110"/>
            </w:pPr>
            <w:r>
              <w:rPr>
                <w:spacing w:val="-1"/>
              </w:rPr>
              <w:t>E101°16′14″</w:t>
            </w:r>
          </w:p>
        </w:tc>
      </w:tr>
    </w:tbl>
    <w:p>
      <w:pPr>
        <w:spacing w:line="76" w:lineRule="exact"/>
        <w:rPr>
          <w:rFonts w:ascii="Arial"/>
          <w:sz w:val="6"/>
        </w:rPr>
      </w:pPr>
    </w:p>
    <w:p>
      <w:pPr>
        <w:spacing w:line="76" w:lineRule="exact"/>
        <w:rPr>
          <w:rFonts w:ascii="Arial" w:hAnsi="Arial" w:eastAsia="Arial" w:cs="Arial"/>
          <w:sz w:val="6"/>
          <w:szCs w:val="6"/>
        </w:rPr>
        <w:sectPr>
          <w:headerReference r:id="rId231" w:type="default"/>
          <w:footerReference r:id="rId232" w:type="default"/>
          <w:pgSz w:w="11907" w:h="16839"/>
          <w:pgMar w:top="1156" w:right="1768" w:bottom="1374" w:left="1770" w:header="881" w:footer="1210" w:gutter="0"/>
        </w:sectPr>
      </w:pPr>
    </w:p>
    <w:p>
      <w:pPr>
        <w:spacing w:before="41"/>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4"/>
        <w:gridCol w:w="2359"/>
        <w:gridCol w:w="1770"/>
        <w:gridCol w:w="988"/>
        <w:gridCol w:w="1303"/>
        <w:gridCol w:w="12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top w:val="single" w:color="000000" w:sz="12" w:space="0"/>
              <w:left w:val="nil"/>
            </w:tcBorders>
            <w:textDirection w:val="tbRlV"/>
            <w:vAlign w:val="top"/>
          </w:tcPr>
          <w:p>
            <w:pPr>
              <w:spacing w:before="188" w:line="198" w:lineRule="auto"/>
              <w:ind w:left="30"/>
              <w:rPr>
                <w:rFonts w:ascii="仿宋" w:hAnsi="仿宋" w:eastAsia="仿宋" w:cs="仿宋"/>
                <w:sz w:val="21"/>
                <w:szCs w:val="21"/>
              </w:rPr>
            </w:pPr>
            <w:r>
              <w:rPr>
                <w:rFonts w:ascii="仿宋" w:hAnsi="仿宋" w:eastAsia="仿宋" w:cs="仿宋"/>
                <w:spacing w:val="41"/>
                <w:sz w:val="21"/>
                <w:szCs w:val="21"/>
                <w14:textOutline w14:w="3810" w14:cap="flat" w14:cmpd="sng">
                  <w14:solidFill>
                    <w14:srgbClr w14:val="000000"/>
                  </w14:solidFill>
                  <w14:prstDash w14:val="solid"/>
                  <w14:miter w14:val="0"/>
                </w14:textOutline>
              </w:rPr>
              <w:t>样方号</w:t>
            </w:r>
          </w:p>
        </w:tc>
        <w:tc>
          <w:tcPr>
            <w:tcW w:w="2359" w:type="dxa"/>
            <w:tcBorders>
              <w:top w:val="single" w:color="000000" w:sz="12" w:space="0"/>
            </w:tcBorders>
            <w:vAlign w:val="top"/>
          </w:tcPr>
          <w:p>
            <w:pPr>
              <w:spacing w:before="303" w:line="217" w:lineRule="auto"/>
              <w:ind w:left="98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位置</w:t>
            </w:r>
          </w:p>
        </w:tc>
        <w:tc>
          <w:tcPr>
            <w:tcW w:w="1770" w:type="dxa"/>
            <w:tcBorders>
              <w:top w:val="single" w:color="000000" w:sz="12" w:space="0"/>
            </w:tcBorders>
            <w:vAlign w:val="top"/>
          </w:tcPr>
          <w:p>
            <w:pPr>
              <w:spacing w:before="303" w:line="218" w:lineRule="auto"/>
              <w:ind w:left="47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植被类型</w:t>
            </w:r>
          </w:p>
        </w:tc>
        <w:tc>
          <w:tcPr>
            <w:tcW w:w="988" w:type="dxa"/>
            <w:tcBorders>
              <w:top w:val="single" w:color="000000" w:sz="12" w:space="0"/>
            </w:tcBorders>
            <w:vAlign w:val="top"/>
          </w:tcPr>
          <w:p>
            <w:pPr>
              <w:spacing w:before="166" w:line="229" w:lineRule="auto"/>
              <w:ind w:left="399" w:right="175" w:hanging="210"/>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样方面</w:t>
            </w:r>
            <w:r>
              <w:rPr>
                <w:rFonts w:ascii="仿宋" w:hAnsi="仿宋" w:eastAsia="仿宋" w:cs="仿宋"/>
                <w:spacing w:val="1"/>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积</w:t>
            </w:r>
          </w:p>
        </w:tc>
        <w:tc>
          <w:tcPr>
            <w:tcW w:w="1303" w:type="dxa"/>
            <w:tcBorders>
              <w:top w:val="single" w:color="000000" w:sz="12" w:space="0"/>
            </w:tcBorders>
            <w:vAlign w:val="top"/>
          </w:tcPr>
          <w:p>
            <w:pPr>
              <w:spacing w:before="302" w:line="219" w:lineRule="auto"/>
              <w:ind w:left="45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经度</w:t>
            </w:r>
          </w:p>
        </w:tc>
        <w:tc>
          <w:tcPr>
            <w:tcW w:w="1297" w:type="dxa"/>
            <w:tcBorders>
              <w:top w:val="single" w:color="000000" w:sz="12" w:space="0"/>
              <w:right w:val="nil"/>
            </w:tcBorders>
            <w:vAlign w:val="top"/>
          </w:tcPr>
          <w:p>
            <w:pPr>
              <w:spacing w:before="302" w:line="217" w:lineRule="auto"/>
              <w:ind w:left="45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纬度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9" w:hRule="atLeast"/>
        </w:trPr>
        <w:tc>
          <w:tcPr>
            <w:tcW w:w="604" w:type="dxa"/>
            <w:tcBorders>
              <w:left w:val="nil"/>
            </w:tcBorders>
            <w:vAlign w:val="top"/>
          </w:tcPr>
          <w:p>
            <w:pPr>
              <w:rPr>
                <w:rFonts w:ascii="Arial"/>
                <w:sz w:val="21"/>
              </w:rPr>
            </w:pPr>
          </w:p>
        </w:tc>
        <w:tc>
          <w:tcPr>
            <w:tcW w:w="2359" w:type="dxa"/>
            <w:vAlign w:val="top"/>
          </w:tcPr>
          <w:p>
            <w:pPr>
              <w:spacing w:before="53" w:line="222" w:lineRule="auto"/>
              <w:ind w:left="772" w:right="127" w:hanging="630"/>
              <w:rPr>
                <w:rFonts w:ascii="仿宋" w:hAnsi="仿宋" w:eastAsia="仿宋" w:cs="仿宋"/>
                <w:sz w:val="21"/>
                <w:szCs w:val="21"/>
              </w:rPr>
            </w:pPr>
            <w:r>
              <w:rPr>
                <w:rFonts w:ascii="仿宋" w:hAnsi="仿宋" w:eastAsia="仿宋" w:cs="仿宋"/>
                <w:spacing w:val="-2"/>
                <w:sz w:val="21"/>
                <w:szCs w:val="21"/>
              </w:rPr>
              <w:t>花河与罗子左河交汇处</w:t>
            </w:r>
            <w:r>
              <w:rPr>
                <w:rFonts w:ascii="仿宋" w:hAnsi="仿宋" w:eastAsia="仿宋" w:cs="仿宋"/>
                <w:spacing w:val="3"/>
                <w:sz w:val="21"/>
                <w:szCs w:val="21"/>
              </w:rPr>
              <w:t xml:space="preserve"> </w:t>
            </w:r>
            <w:r>
              <w:rPr>
                <w:rFonts w:ascii="仿宋" w:hAnsi="仿宋" w:eastAsia="仿宋" w:cs="仿宋"/>
                <w:spacing w:val="-4"/>
                <w:sz w:val="21"/>
                <w:szCs w:val="21"/>
              </w:rPr>
              <w:t>左岸山坡</w:t>
            </w:r>
          </w:p>
        </w:tc>
        <w:tc>
          <w:tcPr>
            <w:tcW w:w="1770" w:type="dxa"/>
            <w:vAlign w:val="top"/>
          </w:tcPr>
          <w:p>
            <w:pPr>
              <w:spacing w:before="53" w:line="218" w:lineRule="auto"/>
              <w:ind w:left="689"/>
              <w:rPr>
                <w:rFonts w:ascii="仿宋" w:hAnsi="仿宋" w:eastAsia="仿宋" w:cs="仿宋"/>
                <w:sz w:val="21"/>
                <w:szCs w:val="21"/>
              </w:rPr>
            </w:pPr>
            <w:r>
              <w:rPr>
                <w:rFonts w:ascii="仿宋" w:hAnsi="仿宋" w:eastAsia="仿宋" w:cs="仿宋"/>
                <w:spacing w:val="-5"/>
                <w:sz w:val="21"/>
                <w:szCs w:val="21"/>
              </w:rPr>
              <w:t>草丛</w:t>
            </w:r>
          </w:p>
        </w:tc>
        <w:tc>
          <w:tcPr>
            <w:tcW w:w="988" w:type="dxa"/>
            <w:vAlign w:val="top"/>
          </w:tcPr>
          <w:p>
            <w:pPr>
              <w:rPr>
                <w:rFonts w:ascii="Arial"/>
                <w:sz w:val="21"/>
              </w:rPr>
            </w:pPr>
          </w:p>
        </w:tc>
        <w:tc>
          <w:tcPr>
            <w:tcW w:w="1303" w:type="dxa"/>
            <w:vAlign w:val="top"/>
          </w:tcPr>
          <w:p>
            <w:pPr>
              <w:rPr>
                <w:rFonts w:ascii="Arial"/>
                <w:sz w:val="21"/>
              </w:rPr>
            </w:pPr>
          </w:p>
        </w:tc>
        <w:tc>
          <w:tcPr>
            <w:tcW w:w="1297"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282" w:lineRule="auto"/>
              <w:rPr>
                <w:rFonts w:ascii="Arial"/>
                <w:sz w:val="21"/>
              </w:rPr>
            </w:pPr>
          </w:p>
          <w:p>
            <w:pPr>
              <w:pStyle w:val="6"/>
              <w:spacing w:before="61" w:line="186" w:lineRule="auto"/>
              <w:ind w:left="208"/>
            </w:pPr>
            <w:r>
              <w:rPr>
                <w:spacing w:val="-1"/>
              </w:rPr>
              <w:t>22</w:t>
            </w:r>
          </w:p>
        </w:tc>
        <w:tc>
          <w:tcPr>
            <w:tcW w:w="2359" w:type="dxa"/>
            <w:vAlign w:val="top"/>
          </w:tcPr>
          <w:p>
            <w:pPr>
              <w:spacing w:before="33" w:line="216" w:lineRule="auto"/>
              <w:ind w:left="147"/>
              <w:rPr>
                <w:rFonts w:ascii="仿宋" w:hAnsi="仿宋" w:eastAsia="仿宋" w:cs="仿宋"/>
                <w:sz w:val="21"/>
                <w:szCs w:val="21"/>
              </w:rPr>
            </w:pPr>
            <w:r>
              <w:rPr>
                <w:rFonts w:ascii="仿宋" w:hAnsi="仿宋" w:eastAsia="仿宋" w:cs="仿宋"/>
                <w:spacing w:val="-2"/>
                <w:sz w:val="21"/>
                <w:szCs w:val="21"/>
              </w:rPr>
              <w:t>楚雄市大姚县桂花镇桂</w:t>
            </w:r>
          </w:p>
          <w:p>
            <w:pPr>
              <w:spacing w:before="26" w:line="216" w:lineRule="auto"/>
              <w:ind w:left="142"/>
              <w:rPr>
                <w:rFonts w:ascii="仿宋" w:hAnsi="仿宋" w:eastAsia="仿宋" w:cs="仿宋"/>
                <w:sz w:val="21"/>
                <w:szCs w:val="21"/>
              </w:rPr>
            </w:pPr>
            <w:r>
              <w:rPr>
                <w:rFonts w:ascii="仿宋" w:hAnsi="仿宋" w:eastAsia="仿宋" w:cs="仿宋"/>
                <w:spacing w:val="-2"/>
                <w:sz w:val="21"/>
                <w:szCs w:val="21"/>
              </w:rPr>
              <w:t>花河与罗子左河交汇处</w:t>
            </w:r>
          </w:p>
          <w:p>
            <w:pPr>
              <w:spacing w:before="27" w:line="203" w:lineRule="auto"/>
              <w:ind w:left="773"/>
              <w:rPr>
                <w:rFonts w:ascii="仿宋" w:hAnsi="仿宋" w:eastAsia="仿宋" w:cs="仿宋"/>
                <w:sz w:val="21"/>
                <w:szCs w:val="21"/>
              </w:rPr>
            </w:pPr>
            <w:r>
              <w:rPr>
                <w:rFonts w:ascii="仿宋" w:hAnsi="仿宋" w:eastAsia="仿宋" w:cs="仿宋"/>
                <w:spacing w:val="-4"/>
                <w:sz w:val="21"/>
                <w:szCs w:val="21"/>
              </w:rPr>
              <w:t>左岸山坡</w:t>
            </w:r>
          </w:p>
        </w:tc>
        <w:tc>
          <w:tcPr>
            <w:tcW w:w="1770" w:type="dxa"/>
            <w:vAlign w:val="top"/>
          </w:tcPr>
          <w:p>
            <w:pPr>
              <w:spacing w:before="171" w:line="228" w:lineRule="auto"/>
              <w:ind w:left="689" w:right="147" w:hanging="521"/>
              <w:rPr>
                <w:rFonts w:ascii="仿宋" w:hAnsi="仿宋" w:eastAsia="仿宋" w:cs="仿宋"/>
                <w:sz w:val="21"/>
                <w:szCs w:val="21"/>
              </w:rPr>
            </w:pPr>
            <w:r>
              <w:rPr>
                <w:rFonts w:ascii="仿宋" w:hAnsi="仿宋" w:eastAsia="仿宋" w:cs="仿宋"/>
                <w:spacing w:val="-3"/>
                <w:sz w:val="21"/>
                <w:szCs w:val="21"/>
              </w:rPr>
              <w:t>干热性稀树灌木</w:t>
            </w:r>
            <w:r>
              <w:rPr>
                <w:rFonts w:ascii="仿宋" w:hAnsi="仿宋" w:eastAsia="仿宋" w:cs="仿宋"/>
                <w:sz w:val="21"/>
                <w:szCs w:val="21"/>
              </w:rPr>
              <w:t xml:space="preserve"> </w:t>
            </w:r>
            <w:r>
              <w:rPr>
                <w:rFonts w:ascii="仿宋" w:hAnsi="仿宋" w:eastAsia="仿宋" w:cs="仿宋"/>
                <w:spacing w:val="-5"/>
                <w:sz w:val="21"/>
                <w:szCs w:val="21"/>
              </w:rPr>
              <w:t>草丛</w:t>
            </w:r>
          </w:p>
        </w:tc>
        <w:tc>
          <w:tcPr>
            <w:tcW w:w="988" w:type="dxa"/>
            <w:vAlign w:val="top"/>
          </w:tcPr>
          <w:p>
            <w:pPr>
              <w:spacing w:line="249" w:lineRule="auto"/>
              <w:rPr>
                <w:rFonts w:ascii="Arial"/>
                <w:sz w:val="21"/>
              </w:rPr>
            </w:pPr>
          </w:p>
          <w:p>
            <w:pPr>
              <w:pStyle w:val="6"/>
              <w:spacing w:before="60" w:line="216" w:lineRule="auto"/>
              <w:ind w:left="130"/>
              <w:rPr>
                <w:sz w:val="14"/>
                <w:szCs w:val="14"/>
              </w:rPr>
            </w:pPr>
            <w:r>
              <w:rPr>
                <w:spacing w:val="-4"/>
              </w:rPr>
              <w:t>10×10m</w:t>
            </w:r>
            <w:r>
              <w:rPr>
                <w:spacing w:val="-4"/>
                <w:position w:val="7"/>
                <w:sz w:val="14"/>
                <w:szCs w:val="14"/>
              </w:rPr>
              <w:t>2</w:t>
            </w:r>
          </w:p>
        </w:tc>
        <w:tc>
          <w:tcPr>
            <w:tcW w:w="1303" w:type="dxa"/>
            <w:vAlign w:val="top"/>
          </w:tcPr>
          <w:p>
            <w:pPr>
              <w:spacing w:line="280" w:lineRule="auto"/>
              <w:rPr>
                <w:rFonts w:ascii="Arial"/>
                <w:sz w:val="21"/>
              </w:rPr>
            </w:pPr>
          </w:p>
          <w:p>
            <w:pPr>
              <w:pStyle w:val="6"/>
              <w:spacing w:before="60" w:line="188" w:lineRule="auto"/>
              <w:ind w:left="147"/>
            </w:pPr>
            <w:r>
              <w:t>N26°02′42″</w:t>
            </w:r>
          </w:p>
        </w:tc>
        <w:tc>
          <w:tcPr>
            <w:tcW w:w="1297" w:type="dxa"/>
            <w:tcBorders>
              <w:right w:val="nil"/>
            </w:tcBorders>
            <w:vAlign w:val="top"/>
          </w:tcPr>
          <w:p>
            <w:pPr>
              <w:spacing w:line="280" w:lineRule="auto"/>
              <w:rPr>
                <w:rFonts w:ascii="Arial"/>
                <w:sz w:val="21"/>
              </w:rPr>
            </w:pPr>
          </w:p>
          <w:p>
            <w:pPr>
              <w:pStyle w:val="6"/>
              <w:spacing w:before="60" w:line="188" w:lineRule="auto"/>
              <w:ind w:left="110"/>
            </w:pPr>
            <w:r>
              <w:rPr>
                <w:spacing w:val="-1"/>
              </w:rPr>
              <w:t>E101°16′12″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284" w:lineRule="auto"/>
              <w:rPr>
                <w:rFonts w:ascii="Arial"/>
                <w:sz w:val="21"/>
              </w:rPr>
            </w:pPr>
          </w:p>
          <w:p>
            <w:pPr>
              <w:pStyle w:val="6"/>
              <w:spacing w:before="60" w:line="186" w:lineRule="auto"/>
              <w:ind w:left="208"/>
            </w:pPr>
            <w:r>
              <w:rPr>
                <w:spacing w:val="-1"/>
              </w:rPr>
              <w:t>23</w:t>
            </w:r>
          </w:p>
        </w:tc>
        <w:tc>
          <w:tcPr>
            <w:tcW w:w="2359" w:type="dxa"/>
            <w:vAlign w:val="top"/>
          </w:tcPr>
          <w:p>
            <w:pPr>
              <w:spacing w:before="35" w:line="216" w:lineRule="auto"/>
              <w:ind w:left="147"/>
              <w:rPr>
                <w:rFonts w:ascii="仿宋" w:hAnsi="仿宋" w:eastAsia="仿宋" w:cs="仿宋"/>
                <w:sz w:val="21"/>
                <w:szCs w:val="21"/>
              </w:rPr>
            </w:pPr>
            <w:r>
              <w:rPr>
                <w:rFonts w:ascii="仿宋" w:hAnsi="仿宋" w:eastAsia="仿宋" w:cs="仿宋"/>
                <w:spacing w:val="-2"/>
                <w:sz w:val="21"/>
                <w:szCs w:val="21"/>
              </w:rPr>
              <w:t>楚雄市大姚县桂花镇桂</w:t>
            </w:r>
          </w:p>
          <w:p>
            <w:pPr>
              <w:spacing w:before="26" w:line="216" w:lineRule="auto"/>
              <w:ind w:left="142"/>
              <w:rPr>
                <w:rFonts w:ascii="仿宋" w:hAnsi="仿宋" w:eastAsia="仿宋" w:cs="仿宋"/>
                <w:sz w:val="21"/>
                <w:szCs w:val="21"/>
              </w:rPr>
            </w:pPr>
            <w:r>
              <w:rPr>
                <w:rFonts w:ascii="仿宋" w:hAnsi="仿宋" w:eastAsia="仿宋" w:cs="仿宋"/>
                <w:spacing w:val="-2"/>
                <w:sz w:val="21"/>
                <w:szCs w:val="21"/>
              </w:rPr>
              <w:t>花河与罗子左河交汇处</w:t>
            </w:r>
          </w:p>
          <w:p>
            <w:pPr>
              <w:spacing w:before="26" w:line="202" w:lineRule="auto"/>
              <w:ind w:left="773"/>
              <w:rPr>
                <w:rFonts w:ascii="仿宋" w:hAnsi="仿宋" w:eastAsia="仿宋" w:cs="仿宋"/>
                <w:sz w:val="21"/>
                <w:szCs w:val="21"/>
              </w:rPr>
            </w:pPr>
            <w:r>
              <w:rPr>
                <w:rFonts w:ascii="仿宋" w:hAnsi="仿宋" w:eastAsia="仿宋" w:cs="仿宋"/>
                <w:spacing w:val="-4"/>
                <w:sz w:val="21"/>
                <w:szCs w:val="21"/>
              </w:rPr>
              <w:t>左岸山坡</w:t>
            </w:r>
          </w:p>
        </w:tc>
        <w:tc>
          <w:tcPr>
            <w:tcW w:w="1770" w:type="dxa"/>
            <w:vAlign w:val="top"/>
          </w:tcPr>
          <w:p>
            <w:pPr>
              <w:spacing w:before="171" w:line="229" w:lineRule="auto"/>
              <w:ind w:left="689" w:right="147" w:hanging="521"/>
              <w:rPr>
                <w:rFonts w:ascii="仿宋" w:hAnsi="仿宋" w:eastAsia="仿宋" w:cs="仿宋"/>
                <w:sz w:val="21"/>
                <w:szCs w:val="21"/>
              </w:rPr>
            </w:pPr>
            <w:r>
              <w:rPr>
                <w:rFonts w:ascii="仿宋" w:hAnsi="仿宋" w:eastAsia="仿宋" w:cs="仿宋"/>
                <w:spacing w:val="-3"/>
                <w:sz w:val="21"/>
                <w:szCs w:val="21"/>
              </w:rPr>
              <w:t>干热性稀树灌木</w:t>
            </w:r>
            <w:r>
              <w:rPr>
                <w:rFonts w:ascii="仿宋" w:hAnsi="仿宋" w:eastAsia="仿宋" w:cs="仿宋"/>
                <w:sz w:val="21"/>
                <w:szCs w:val="21"/>
              </w:rPr>
              <w:t xml:space="preserve"> </w:t>
            </w:r>
            <w:r>
              <w:rPr>
                <w:rFonts w:ascii="仿宋" w:hAnsi="仿宋" w:eastAsia="仿宋" w:cs="仿宋"/>
                <w:spacing w:val="-5"/>
                <w:sz w:val="21"/>
                <w:szCs w:val="21"/>
              </w:rPr>
              <w:t>草丛</w:t>
            </w:r>
          </w:p>
        </w:tc>
        <w:tc>
          <w:tcPr>
            <w:tcW w:w="988" w:type="dxa"/>
            <w:vAlign w:val="top"/>
          </w:tcPr>
          <w:p>
            <w:pPr>
              <w:spacing w:line="250" w:lineRule="auto"/>
              <w:rPr>
                <w:rFonts w:ascii="Arial"/>
                <w:sz w:val="21"/>
              </w:rPr>
            </w:pPr>
          </w:p>
          <w:p>
            <w:pPr>
              <w:pStyle w:val="6"/>
              <w:spacing w:before="61" w:line="216" w:lineRule="auto"/>
              <w:ind w:left="130"/>
              <w:rPr>
                <w:sz w:val="14"/>
                <w:szCs w:val="14"/>
              </w:rPr>
            </w:pPr>
            <w:r>
              <w:rPr>
                <w:spacing w:val="-4"/>
              </w:rPr>
              <w:t>10×10m</w:t>
            </w:r>
            <w:r>
              <w:rPr>
                <w:spacing w:val="-4"/>
                <w:position w:val="7"/>
                <w:sz w:val="14"/>
                <w:szCs w:val="14"/>
              </w:rPr>
              <w:t>2</w:t>
            </w:r>
          </w:p>
        </w:tc>
        <w:tc>
          <w:tcPr>
            <w:tcW w:w="1303" w:type="dxa"/>
            <w:vAlign w:val="top"/>
          </w:tcPr>
          <w:p>
            <w:pPr>
              <w:spacing w:line="282" w:lineRule="auto"/>
              <w:rPr>
                <w:rFonts w:ascii="Arial"/>
                <w:sz w:val="21"/>
              </w:rPr>
            </w:pPr>
          </w:p>
          <w:p>
            <w:pPr>
              <w:pStyle w:val="6"/>
              <w:spacing w:before="60" w:line="188" w:lineRule="auto"/>
              <w:ind w:left="147"/>
            </w:pPr>
            <w:r>
              <w:t>N26°02′32″</w:t>
            </w:r>
          </w:p>
        </w:tc>
        <w:tc>
          <w:tcPr>
            <w:tcW w:w="1297" w:type="dxa"/>
            <w:tcBorders>
              <w:right w:val="nil"/>
            </w:tcBorders>
            <w:vAlign w:val="top"/>
          </w:tcPr>
          <w:p>
            <w:pPr>
              <w:spacing w:line="282" w:lineRule="auto"/>
              <w:rPr>
                <w:rFonts w:ascii="Arial"/>
                <w:sz w:val="21"/>
              </w:rPr>
            </w:pPr>
          </w:p>
          <w:p>
            <w:pPr>
              <w:pStyle w:val="6"/>
              <w:spacing w:before="60" w:line="188" w:lineRule="auto"/>
              <w:ind w:left="110"/>
            </w:pPr>
            <w:r>
              <w:rPr>
                <w:spacing w:val="-1"/>
              </w:rPr>
              <w:t>E101°16′04″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286" w:lineRule="auto"/>
              <w:rPr>
                <w:rFonts w:ascii="Arial"/>
                <w:sz w:val="21"/>
              </w:rPr>
            </w:pPr>
          </w:p>
          <w:p>
            <w:pPr>
              <w:pStyle w:val="6"/>
              <w:spacing w:before="60" w:line="186" w:lineRule="auto"/>
              <w:ind w:left="208"/>
            </w:pPr>
            <w:r>
              <w:rPr>
                <w:spacing w:val="-1"/>
              </w:rPr>
              <w:t>24</w:t>
            </w:r>
          </w:p>
        </w:tc>
        <w:tc>
          <w:tcPr>
            <w:tcW w:w="2359" w:type="dxa"/>
            <w:vAlign w:val="top"/>
          </w:tcPr>
          <w:p>
            <w:pPr>
              <w:spacing w:before="37" w:line="216" w:lineRule="auto"/>
              <w:ind w:left="147"/>
              <w:rPr>
                <w:rFonts w:ascii="仿宋" w:hAnsi="仿宋" w:eastAsia="仿宋" w:cs="仿宋"/>
                <w:sz w:val="21"/>
                <w:szCs w:val="21"/>
              </w:rPr>
            </w:pPr>
            <w:r>
              <w:rPr>
                <w:rFonts w:ascii="仿宋" w:hAnsi="仿宋" w:eastAsia="仿宋" w:cs="仿宋"/>
                <w:spacing w:val="-2"/>
                <w:sz w:val="21"/>
                <w:szCs w:val="21"/>
              </w:rPr>
              <w:t>楚雄市大姚县桂花镇桂</w:t>
            </w:r>
          </w:p>
          <w:p>
            <w:pPr>
              <w:spacing w:before="26" w:line="216" w:lineRule="auto"/>
              <w:ind w:left="142"/>
              <w:rPr>
                <w:rFonts w:ascii="仿宋" w:hAnsi="仿宋" w:eastAsia="仿宋" w:cs="仿宋"/>
                <w:sz w:val="21"/>
                <w:szCs w:val="21"/>
              </w:rPr>
            </w:pPr>
            <w:r>
              <w:rPr>
                <w:rFonts w:ascii="仿宋" w:hAnsi="仿宋" w:eastAsia="仿宋" w:cs="仿宋"/>
                <w:spacing w:val="-2"/>
                <w:sz w:val="21"/>
                <w:szCs w:val="21"/>
              </w:rPr>
              <w:t>花河与罗子左河交汇处</w:t>
            </w:r>
          </w:p>
          <w:p>
            <w:pPr>
              <w:spacing w:before="27" w:line="200" w:lineRule="auto"/>
              <w:ind w:left="773"/>
              <w:rPr>
                <w:rFonts w:ascii="仿宋" w:hAnsi="仿宋" w:eastAsia="仿宋" w:cs="仿宋"/>
                <w:sz w:val="21"/>
                <w:szCs w:val="21"/>
              </w:rPr>
            </w:pPr>
            <w:r>
              <w:rPr>
                <w:rFonts w:ascii="仿宋" w:hAnsi="仿宋" w:eastAsia="仿宋" w:cs="仿宋"/>
                <w:spacing w:val="-4"/>
                <w:sz w:val="21"/>
                <w:szCs w:val="21"/>
              </w:rPr>
              <w:t>左岸山坡</w:t>
            </w:r>
          </w:p>
        </w:tc>
        <w:tc>
          <w:tcPr>
            <w:tcW w:w="1770" w:type="dxa"/>
            <w:vAlign w:val="top"/>
          </w:tcPr>
          <w:p>
            <w:pPr>
              <w:spacing w:before="173" w:line="229" w:lineRule="auto"/>
              <w:ind w:left="689" w:right="147" w:hanging="521"/>
              <w:rPr>
                <w:rFonts w:ascii="仿宋" w:hAnsi="仿宋" w:eastAsia="仿宋" w:cs="仿宋"/>
                <w:sz w:val="21"/>
                <w:szCs w:val="21"/>
              </w:rPr>
            </w:pPr>
            <w:r>
              <w:rPr>
                <w:rFonts w:ascii="仿宋" w:hAnsi="仿宋" w:eastAsia="仿宋" w:cs="仿宋"/>
                <w:spacing w:val="-3"/>
                <w:sz w:val="21"/>
                <w:szCs w:val="21"/>
              </w:rPr>
              <w:t>干热性稀树灌木</w:t>
            </w:r>
            <w:r>
              <w:rPr>
                <w:rFonts w:ascii="仿宋" w:hAnsi="仿宋" w:eastAsia="仿宋" w:cs="仿宋"/>
                <w:sz w:val="21"/>
                <w:szCs w:val="21"/>
              </w:rPr>
              <w:t xml:space="preserve"> </w:t>
            </w:r>
            <w:r>
              <w:rPr>
                <w:rFonts w:ascii="仿宋" w:hAnsi="仿宋" w:eastAsia="仿宋" w:cs="仿宋"/>
                <w:spacing w:val="-5"/>
                <w:sz w:val="21"/>
                <w:szCs w:val="21"/>
              </w:rPr>
              <w:t>草丛</w:t>
            </w:r>
          </w:p>
        </w:tc>
        <w:tc>
          <w:tcPr>
            <w:tcW w:w="988" w:type="dxa"/>
            <w:vAlign w:val="top"/>
          </w:tcPr>
          <w:p>
            <w:pPr>
              <w:spacing w:line="252" w:lineRule="auto"/>
              <w:rPr>
                <w:rFonts w:ascii="Arial"/>
                <w:sz w:val="21"/>
              </w:rPr>
            </w:pPr>
          </w:p>
          <w:p>
            <w:pPr>
              <w:pStyle w:val="6"/>
              <w:spacing w:before="61" w:line="216" w:lineRule="auto"/>
              <w:ind w:left="130"/>
              <w:rPr>
                <w:sz w:val="14"/>
                <w:szCs w:val="14"/>
              </w:rPr>
            </w:pPr>
            <w:r>
              <w:rPr>
                <w:spacing w:val="-4"/>
              </w:rPr>
              <w:t>10×10m</w:t>
            </w:r>
            <w:r>
              <w:rPr>
                <w:spacing w:val="-4"/>
                <w:position w:val="7"/>
                <w:sz w:val="14"/>
                <w:szCs w:val="14"/>
              </w:rPr>
              <w:t>2</w:t>
            </w:r>
          </w:p>
        </w:tc>
        <w:tc>
          <w:tcPr>
            <w:tcW w:w="1303" w:type="dxa"/>
            <w:vAlign w:val="top"/>
          </w:tcPr>
          <w:p>
            <w:pPr>
              <w:spacing w:line="284" w:lineRule="auto"/>
              <w:rPr>
                <w:rFonts w:ascii="Arial"/>
                <w:sz w:val="21"/>
              </w:rPr>
            </w:pPr>
          </w:p>
          <w:p>
            <w:pPr>
              <w:pStyle w:val="6"/>
              <w:spacing w:before="60" w:line="188" w:lineRule="auto"/>
              <w:ind w:left="147"/>
            </w:pPr>
            <w:r>
              <w:t>N26°02′27″</w:t>
            </w:r>
          </w:p>
        </w:tc>
        <w:tc>
          <w:tcPr>
            <w:tcW w:w="1297" w:type="dxa"/>
            <w:tcBorders>
              <w:right w:val="nil"/>
            </w:tcBorders>
            <w:vAlign w:val="top"/>
          </w:tcPr>
          <w:p>
            <w:pPr>
              <w:spacing w:line="284" w:lineRule="auto"/>
              <w:rPr>
                <w:rFonts w:ascii="Arial"/>
                <w:sz w:val="21"/>
              </w:rPr>
            </w:pPr>
          </w:p>
          <w:p>
            <w:pPr>
              <w:pStyle w:val="6"/>
              <w:spacing w:before="60" w:line="188" w:lineRule="auto"/>
              <w:ind w:left="110"/>
            </w:pPr>
            <w:r>
              <w:rPr>
                <w:spacing w:val="-1"/>
              </w:rPr>
              <w:t>E101°15′59″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604" w:type="dxa"/>
            <w:tcBorders>
              <w:left w:val="nil"/>
            </w:tcBorders>
            <w:vAlign w:val="top"/>
          </w:tcPr>
          <w:p>
            <w:pPr>
              <w:spacing w:line="287" w:lineRule="auto"/>
              <w:rPr>
                <w:rFonts w:ascii="Arial"/>
                <w:sz w:val="21"/>
              </w:rPr>
            </w:pPr>
          </w:p>
          <w:p>
            <w:pPr>
              <w:pStyle w:val="6"/>
              <w:spacing w:before="61" w:line="186" w:lineRule="auto"/>
              <w:ind w:left="208"/>
            </w:pPr>
            <w:r>
              <w:rPr>
                <w:spacing w:val="-1"/>
              </w:rPr>
              <w:t>25</w:t>
            </w:r>
          </w:p>
        </w:tc>
        <w:tc>
          <w:tcPr>
            <w:tcW w:w="2359" w:type="dxa"/>
            <w:vAlign w:val="top"/>
          </w:tcPr>
          <w:p>
            <w:pPr>
              <w:spacing w:before="40" w:line="216" w:lineRule="auto"/>
              <w:ind w:left="147"/>
              <w:rPr>
                <w:rFonts w:ascii="仿宋" w:hAnsi="仿宋" w:eastAsia="仿宋" w:cs="仿宋"/>
                <w:sz w:val="21"/>
                <w:szCs w:val="21"/>
              </w:rPr>
            </w:pPr>
            <w:r>
              <w:rPr>
                <w:rFonts w:ascii="仿宋" w:hAnsi="仿宋" w:eastAsia="仿宋" w:cs="仿宋"/>
                <w:spacing w:val="-3"/>
                <w:sz w:val="21"/>
                <w:szCs w:val="21"/>
              </w:rPr>
              <w:t>楚雄市大姚县桂花镇桂</w:t>
            </w:r>
          </w:p>
          <w:p>
            <w:pPr>
              <w:spacing w:before="26" w:line="216" w:lineRule="auto"/>
              <w:ind w:left="142"/>
              <w:rPr>
                <w:rFonts w:ascii="仿宋" w:hAnsi="仿宋" w:eastAsia="仿宋" w:cs="仿宋"/>
                <w:sz w:val="21"/>
                <w:szCs w:val="21"/>
              </w:rPr>
            </w:pPr>
            <w:r>
              <w:rPr>
                <w:rFonts w:ascii="仿宋" w:hAnsi="仿宋" w:eastAsia="仿宋" w:cs="仿宋"/>
                <w:spacing w:val="-2"/>
                <w:sz w:val="21"/>
                <w:szCs w:val="21"/>
              </w:rPr>
              <w:t>花河与罗子左河交汇处</w:t>
            </w:r>
          </w:p>
          <w:p>
            <w:pPr>
              <w:spacing w:before="27" w:line="198" w:lineRule="auto"/>
              <w:ind w:left="773"/>
              <w:rPr>
                <w:rFonts w:ascii="仿宋" w:hAnsi="仿宋" w:eastAsia="仿宋" w:cs="仿宋"/>
                <w:sz w:val="21"/>
                <w:szCs w:val="21"/>
              </w:rPr>
            </w:pPr>
            <w:r>
              <w:rPr>
                <w:rFonts w:ascii="仿宋" w:hAnsi="仿宋" w:eastAsia="仿宋" w:cs="仿宋"/>
                <w:spacing w:val="-4"/>
                <w:sz w:val="21"/>
                <w:szCs w:val="21"/>
              </w:rPr>
              <w:t>左岸山坡</w:t>
            </w:r>
          </w:p>
        </w:tc>
        <w:tc>
          <w:tcPr>
            <w:tcW w:w="1770" w:type="dxa"/>
            <w:vAlign w:val="top"/>
          </w:tcPr>
          <w:p>
            <w:pPr>
              <w:spacing w:before="175" w:line="229" w:lineRule="auto"/>
              <w:ind w:left="689" w:right="147" w:hanging="521"/>
              <w:rPr>
                <w:rFonts w:ascii="仿宋" w:hAnsi="仿宋" w:eastAsia="仿宋" w:cs="仿宋"/>
                <w:sz w:val="21"/>
                <w:szCs w:val="21"/>
              </w:rPr>
            </w:pPr>
            <w:r>
              <w:rPr>
                <w:rFonts w:ascii="仿宋" w:hAnsi="仿宋" w:eastAsia="仿宋" w:cs="仿宋"/>
                <w:spacing w:val="-3"/>
                <w:sz w:val="21"/>
                <w:szCs w:val="21"/>
              </w:rPr>
              <w:t>干热性稀树灌木</w:t>
            </w:r>
            <w:r>
              <w:rPr>
                <w:rFonts w:ascii="仿宋" w:hAnsi="仿宋" w:eastAsia="仿宋" w:cs="仿宋"/>
                <w:sz w:val="21"/>
                <w:szCs w:val="21"/>
              </w:rPr>
              <w:t xml:space="preserve"> </w:t>
            </w:r>
            <w:r>
              <w:rPr>
                <w:rFonts w:ascii="仿宋" w:hAnsi="仿宋" w:eastAsia="仿宋" w:cs="仿宋"/>
                <w:spacing w:val="-5"/>
                <w:sz w:val="21"/>
                <w:szCs w:val="21"/>
              </w:rPr>
              <w:t>草丛</w:t>
            </w:r>
          </w:p>
        </w:tc>
        <w:tc>
          <w:tcPr>
            <w:tcW w:w="988" w:type="dxa"/>
            <w:vAlign w:val="top"/>
          </w:tcPr>
          <w:p>
            <w:pPr>
              <w:spacing w:line="254" w:lineRule="auto"/>
              <w:rPr>
                <w:rFonts w:ascii="Arial"/>
                <w:sz w:val="21"/>
              </w:rPr>
            </w:pPr>
          </w:p>
          <w:p>
            <w:pPr>
              <w:pStyle w:val="6"/>
              <w:spacing w:before="60" w:line="216" w:lineRule="auto"/>
              <w:ind w:left="130"/>
              <w:rPr>
                <w:sz w:val="14"/>
                <w:szCs w:val="14"/>
              </w:rPr>
            </w:pPr>
            <w:r>
              <w:rPr>
                <w:spacing w:val="-4"/>
              </w:rPr>
              <w:t>10×10m</w:t>
            </w:r>
            <w:r>
              <w:rPr>
                <w:spacing w:val="-4"/>
                <w:position w:val="7"/>
                <w:sz w:val="14"/>
                <w:szCs w:val="14"/>
              </w:rPr>
              <w:t>2</w:t>
            </w:r>
          </w:p>
        </w:tc>
        <w:tc>
          <w:tcPr>
            <w:tcW w:w="1303" w:type="dxa"/>
            <w:vAlign w:val="top"/>
          </w:tcPr>
          <w:p>
            <w:pPr>
              <w:spacing w:line="285" w:lineRule="auto"/>
              <w:rPr>
                <w:rFonts w:ascii="Arial"/>
                <w:sz w:val="21"/>
              </w:rPr>
            </w:pPr>
          </w:p>
          <w:p>
            <w:pPr>
              <w:pStyle w:val="6"/>
              <w:spacing w:before="61" w:line="188" w:lineRule="auto"/>
              <w:ind w:left="147"/>
            </w:pPr>
            <w:r>
              <w:t>N26°02′22″</w:t>
            </w:r>
          </w:p>
        </w:tc>
        <w:tc>
          <w:tcPr>
            <w:tcW w:w="1297" w:type="dxa"/>
            <w:tcBorders>
              <w:right w:val="nil"/>
            </w:tcBorders>
            <w:vAlign w:val="top"/>
          </w:tcPr>
          <w:p>
            <w:pPr>
              <w:spacing w:line="285" w:lineRule="auto"/>
              <w:rPr>
                <w:rFonts w:ascii="Arial"/>
                <w:sz w:val="21"/>
              </w:rPr>
            </w:pPr>
          </w:p>
          <w:p>
            <w:pPr>
              <w:pStyle w:val="6"/>
              <w:spacing w:before="61" w:line="188" w:lineRule="auto"/>
              <w:ind w:left="110"/>
            </w:pPr>
            <w:r>
              <w:rPr>
                <w:spacing w:val="-1"/>
              </w:rPr>
              <w:t>E101°16′00″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289" w:lineRule="auto"/>
              <w:rPr>
                <w:rFonts w:ascii="Arial"/>
                <w:sz w:val="21"/>
              </w:rPr>
            </w:pPr>
          </w:p>
          <w:p>
            <w:pPr>
              <w:pStyle w:val="6"/>
              <w:spacing w:before="61" w:line="186" w:lineRule="auto"/>
              <w:ind w:left="208"/>
            </w:pPr>
            <w:r>
              <w:rPr>
                <w:spacing w:val="-1"/>
              </w:rPr>
              <w:t>26</w:t>
            </w:r>
          </w:p>
        </w:tc>
        <w:tc>
          <w:tcPr>
            <w:tcW w:w="2359" w:type="dxa"/>
            <w:vAlign w:val="top"/>
          </w:tcPr>
          <w:p>
            <w:pPr>
              <w:spacing w:before="41" w:line="216" w:lineRule="auto"/>
              <w:ind w:left="147"/>
              <w:rPr>
                <w:rFonts w:ascii="仿宋" w:hAnsi="仿宋" w:eastAsia="仿宋" w:cs="仿宋"/>
                <w:sz w:val="21"/>
                <w:szCs w:val="21"/>
              </w:rPr>
            </w:pPr>
            <w:r>
              <w:rPr>
                <w:rFonts w:ascii="仿宋" w:hAnsi="仿宋" w:eastAsia="仿宋" w:cs="仿宋"/>
                <w:spacing w:val="-2"/>
                <w:sz w:val="21"/>
                <w:szCs w:val="21"/>
              </w:rPr>
              <w:t>楚雄市大姚县桂花镇桂</w:t>
            </w:r>
          </w:p>
          <w:p>
            <w:pPr>
              <w:spacing w:before="26" w:line="216" w:lineRule="auto"/>
              <w:ind w:left="142"/>
              <w:rPr>
                <w:rFonts w:ascii="仿宋" w:hAnsi="仿宋" w:eastAsia="仿宋" w:cs="仿宋"/>
                <w:sz w:val="21"/>
                <w:szCs w:val="21"/>
              </w:rPr>
            </w:pPr>
            <w:r>
              <w:rPr>
                <w:rFonts w:ascii="仿宋" w:hAnsi="仿宋" w:eastAsia="仿宋" w:cs="仿宋"/>
                <w:spacing w:val="-2"/>
                <w:sz w:val="21"/>
                <w:szCs w:val="21"/>
              </w:rPr>
              <w:t>花河与罗子左河交汇处</w:t>
            </w:r>
          </w:p>
          <w:p>
            <w:pPr>
              <w:spacing w:before="26" w:line="197" w:lineRule="auto"/>
              <w:ind w:left="773"/>
              <w:rPr>
                <w:rFonts w:ascii="仿宋" w:hAnsi="仿宋" w:eastAsia="仿宋" w:cs="仿宋"/>
                <w:sz w:val="21"/>
                <w:szCs w:val="21"/>
              </w:rPr>
            </w:pPr>
            <w:r>
              <w:rPr>
                <w:rFonts w:ascii="仿宋" w:hAnsi="仿宋" w:eastAsia="仿宋" w:cs="仿宋"/>
                <w:spacing w:val="-4"/>
                <w:sz w:val="21"/>
                <w:szCs w:val="21"/>
              </w:rPr>
              <w:t>左岸山坡</w:t>
            </w:r>
          </w:p>
        </w:tc>
        <w:tc>
          <w:tcPr>
            <w:tcW w:w="1770" w:type="dxa"/>
            <w:vAlign w:val="top"/>
          </w:tcPr>
          <w:p>
            <w:pPr>
              <w:spacing w:before="176" w:line="229" w:lineRule="auto"/>
              <w:ind w:left="688" w:right="147" w:hanging="519"/>
              <w:rPr>
                <w:rFonts w:ascii="仿宋" w:hAnsi="仿宋" w:eastAsia="仿宋" w:cs="仿宋"/>
                <w:sz w:val="21"/>
                <w:szCs w:val="21"/>
              </w:rPr>
            </w:pPr>
            <w:r>
              <w:rPr>
                <w:rFonts w:ascii="仿宋" w:hAnsi="仿宋" w:eastAsia="仿宋" w:cs="仿宋"/>
                <w:spacing w:val="-4"/>
                <w:sz w:val="21"/>
                <w:szCs w:val="21"/>
              </w:rPr>
              <w:t>暖温性稀树灌木</w:t>
            </w:r>
            <w:r>
              <w:rPr>
                <w:rFonts w:ascii="仿宋" w:hAnsi="仿宋" w:eastAsia="仿宋" w:cs="仿宋"/>
                <w:spacing w:val="4"/>
                <w:sz w:val="21"/>
                <w:szCs w:val="21"/>
              </w:rPr>
              <w:t xml:space="preserve"> </w:t>
            </w:r>
            <w:r>
              <w:rPr>
                <w:rFonts w:ascii="仿宋" w:hAnsi="仿宋" w:eastAsia="仿宋" w:cs="仿宋"/>
                <w:spacing w:val="-5"/>
                <w:sz w:val="21"/>
                <w:szCs w:val="21"/>
              </w:rPr>
              <w:t>草丛</w:t>
            </w:r>
          </w:p>
        </w:tc>
        <w:tc>
          <w:tcPr>
            <w:tcW w:w="988" w:type="dxa"/>
            <w:vAlign w:val="top"/>
          </w:tcPr>
          <w:p>
            <w:pPr>
              <w:spacing w:line="255" w:lineRule="auto"/>
              <w:rPr>
                <w:rFonts w:ascii="Arial"/>
                <w:sz w:val="21"/>
              </w:rPr>
            </w:pPr>
          </w:p>
          <w:p>
            <w:pPr>
              <w:pStyle w:val="6"/>
              <w:spacing w:before="60" w:line="216" w:lineRule="auto"/>
              <w:ind w:left="130"/>
              <w:rPr>
                <w:sz w:val="14"/>
                <w:szCs w:val="14"/>
              </w:rPr>
            </w:pPr>
            <w:r>
              <w:rPr>
                <w:spacing w:val="-4"/>
              </w:rPr>
              <w:t>10×10m</w:t>
            </w:r>
            <w:r>
              <w:rPr>
                <w:spacing w:val="-4"/>
                <w:position w:val="7"/>
                <w:sz w:val="14"/>
                <w:szCs w:val="14"/>
              </w:rPr>
              <w:t>2</w:t>
            </w:r>
          </w:p>
        </w:tc>
        <w:tc>
          <w:tcPr>
            <w:tcW w:w="1303" w:type="dxa"/>
            <w:vAlign w:val="top"/>
          </w:tcPr>
          <w:p>
            <w:pPr>
              <w:spacing w:line="287" w:lineRule="auto"/>
              <w:rPr>
                <w:rFonts w:ascii="Arial"/>
                <w:sz w:val="21"/>
              </w:rPr>
            </w:pPr>
          </w:p>
          <w:p>
            <w:pPr>
              <w:pStyle w:val="6"/>
              <w:spacing w:before="61" w:line="188" w:lineRule="auto"/>
              <w:ind w:left="147"/>
            </w:pPr>
            <w:r>
              <w:t>N26°02′41″</w:t>
            </w:r>
          </w:p>
        </w:tc>
        <w:tc>
          <w:tcPr>
            <w:tcW w:w="1297" w:type="dxa"/>
            <w:tcBorders>
              <w:right w:val="nil"/>
            </w:tcBorders>
            <w:vAlign w:val="top"/>
          </w:tcPr>
          <w:p>
            <w:pPr>
              <w:spacing w:line="287" w:lineRule="auto"/>
              <w:rPr>
                <w:rFonts w:ascii="Arial"/>
                <w:sz w:val="21"/>
              </w:rPr>
            </w:pPr>
          </w:p>
          <w:p>
            <w:pPr>
              <w:pStyle w:val="6"/>
              <w:spacing w:before="61" w:line="188" w:lineRule="auto"/>
              <w:ind w:left="110"/>
            </w:pPr>
            <w:r>
              <w:rPr>
                <w:spacing w:val="-1"/>
              </w:rPr>
              <w:t>E101°16′02″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604" w:type="dxa"/>
            <w:tcBorders>
              <w:left w:val="nil"/>
            </w:tcBorders>
            <w:vAlign w:val="top"/>
          </w:tcPr>
          <w:p>
            <w:pPr>
              <w:spacing w:line="291" w:lineRule="auto"/>
              <w:rPr>
                <w:rFonts w:ascii="Arial"/>
                <w:sz w:val="21"/>
              </w:rPr>
            </w:pPr>
          </w:p>
          <w:p>
            <w:pPr>
              <w:pStyle w:val="6"/>
              <w:spacing w:before="61" w:line="186" w:lineRule="auto"/>
              <w:ind w:left="208"/>
            </w:pPr>
            <w:r>
              <w:rPr>
                <w:spacing w:val="-1"/>
              </w:rPr>
              <w:t>27</w:t>
            </w:r>
          </w:p>
        </w:tc>
        <w:tc>
          <w:tcPr>
            <w:tcW w:w="2359" w:type="dxa"/>
            <w:vAlign w:val="top"/>
          </w:tcPr>
          <w:p>
            <w:pPr>
              <w:spacing w:before="42" w:line="216" w:lineRule="auto"/>
              <w:ind w:left="147"/>
              <w:rPr>
                <w:rFonts w:ascii="仿宋" w:hAnsi="仿宋" w:eastAsia="仿宋" w:cs="仿宋"/>
                <w:sz w:val="21"/>
                <w:szCs w:val="21"/>
              </w:rPr>
            </w:pPr>
            <w:r>
              <w:rPr>
                <w:rFonts w:ascii="仿宋" w:hAnsi="仿宋" w:eastAsia="仿宋" w:cs="仿宋"/>
                <w:spacing w:val="-2"/>
                <w:sz w:val="21"/>
                <w:szCs w:val="21"/>
              </w:rPr>
              <w:t>楚雄市大姚县桂花镇桂</w:t>
            </w:r>
          </w:p>
          <w:p>
            <w:pPr>
              <w:spacing w:before="26" w:line="216" w:lineRule="auto"/>
              <w:ind w:left="142"/>
              <w:rPr>
                <w:rFonts w:ascii="仿宋" w:hAnsi="仿宋" w:eastAsia="仿宋" w:cs="仿宋"/>
                <w:sz w:val="21"/>
                <w:szCs w:val="21"/>
              </w:rPr>
            </w:pPr>
            <w:r>
              <w:rPr>
                <w:rFonts w:ascii="仿宋" w:hAnsi="仿宋" w:eastAsia="仿宋" w:cs="仿宋"/>
                <w:spacing w:val="-2"/>
                <w:sz w:val="21"/>
                <w:szCs w:val="21"/>
              </w:rPr>
              <w:t>花河与罗子左河交汇处</w:t>
            </w:r>
          </w:p>
          <w:p>
            <w:pPr>
              <w:spacing w:before="27" w:line="195" w:lineRule="auto"/>
              <w:ind w:left="773"/>
              <w:rPr>
                <w:rFonts w:ascii="仿宋" w:hAnsi="仿宋" w:eastAsia="仿宋" w:cs="仿宋"/>
                <w:sz w:val="21"/>
                <w:szCs w:val="21"/>
              </w:rPr>
            </w:pPr>
            <w:r>
              <w:rPr>
                <w:rFonts w:ascii="仿宋" w:hAnsi="仿宋" w:eastAsia="仿宋" w:cs="仿宋"/>
                <w:spacing w:val="-4"/>
                <w:sz w:val="21"/>
                <w:szCs w:val="21"/>
              </w:rPr>
              <w:t>左岸山坡</w:t>
            </w:r>
          </w:p>
        </w:tc>
        <w:tc>
          <w:tcPr>
            <w:tcW w:w="1770" w:type="dxa"/>
            <w:vAlign w:val="top"/>
          </w:tcPr>
          <w:p>
            <w:pPr>
              <w:spacing w:before="178" w:line="229" w:lineRule="auto"/>
              <w:ind w:left="688" w:right="147" w:hanging="519"/>
              <w:rPr>
                <w:rFonts w:ascii="仿宋" w:hAnsi="仿宋" w:eastAsia="仿宋" w:cs="仿宋"/>
                <w:sz w:val="21"/>
                <w:szCs w:val="21"/>
              </w:rPr>
            </w:pPr>
            <w:r>
              <w:rPr>
                <w:rFonts w:ascii="仿宋" w:hAnsi="仿宋" w:eastAsia="仿宋" w:cs="仿宋"/>
                <w:spacing w:val="-4"/>
                <w:sz w:val="21"/>
                <w:szCs w:val="21"/>
              </w:rPr>
              <w:t>暖温性稀树灌木</w:t>
            </w:r>
            <w:r>
              <w:rPr>
                <w:rFonts w:ascii="仿宋" w:hAnsi="仿宋" w:eastAsia="仿宋" w:cs="仿宋"/>
                <w:spacing w:val="4"/>
                <w:sz w:val="21"/>
                <w:szCs w:val="21"/>
              </w:rPr>
              <w:t xml:space="preserve"> </w:t>
            </w:r>
            <w:r>
              <w:rPr>
                <w:rFonts w:ascii="仿宋" w:hAnsi="仿宋" w:eastAsia="仿宋" w:cs="仿宋"/>
                <w:spacing w:val="-5"/>
                <w:sz w:val="21"/>
                <w:szCs w:val="21"/>
              </w:rPr>
              <w:t>草丛</w:t>
            </w:r>
          </w:p>
        </w:tc>
        <w:tc>
          <w:tcPr>
            <w:tcW w:w="988" w:type="dxa"/>
            <w:vAlign w:val="top"/>
          </w:tcPr>
          <w:p>
            <w:pPr>
              <w:spacing w:line="257" w:lineRule="auto"/>
              <w:rPr>
                <w:rFonts w:ascii="Arial"/>
                <w:sz w:val="21"/>
              </w:rPr>
            </w:pPr>
          </w:p>
          <w:p>
            <w:pPr>
              <w:pStyle w:val="6"/>
              <w:spacing w:before="60" w:line="216" w:lineRule="auto"/>
              <w:ind w:left="130"/>
              <w:rPr>
                <w:sz w:val="14"/>
                <w:szCs w:val="14"/>
              </w:rPr>
            </w:pPr>
            <w:r>
              <w:rPr>
                <w:spacing w:val="-4"/>
              </w:rPr>
              <w:t>10×10m</w:t>
            </w:r>
            <w:r>
              <w:rPr>
                <w:spacing w:val="-4"/>
                <w:position w:val="7"/>
                <w:sz w:val="14"/>
                <w:szCs w:val="14"/>
              </w:rPr>
              <w:t>2</w:t>
            </w:r>
          </w:p>
        </w:tc>
        <w:tc>
          <w:tcPr>
            <w:tcW w:w="1303" w:type="dxa"/>
            <w:vAlign w:val="top"/>
          </w:tcPr>
          <w:p>
            <w:pPr>
              <w:spacing w:line="289" w:lineRule="auto"/>
              <w:rPr>
                <w:rFonts w:ascii="Arial"/>
                <w:sz w:val="21"/>
              </w:rPr>
            </w:pPr>
          </w:p>
          <w:p>
            <w:pPr>
              <w:pStyle w:val="6"/>
              <w:spacing w:before="61" w:line="188" w:lineRule="auto"/>
              <w:ind w:left="147"/>
            </w:pPr>
            <w:r>
              <w:t>N26°02′38″</w:t>
            </w:r>
          </w:p>
        </w:tc>
        <w:tc>
          <w:tcPr>
            <w:tcW w:w="1297" w:type="dxa"/>
            <w:tcBorders>
              <w:right w:val="nil"/>
            </w:tcBorders>
            <w:vAlign w:val="top"/>
          </w:tcPr>
          <w:p>
            <w:pPr>
              <w:spacing w:line="289" w:lineRule="auto"/>
              <w:rPr>
                <w:rFonts w:ascii="Arial"/>
                <w:sz w:val="21"/>
              </w:rPr>
            </w:pPr>
          </w:p>
          <w:p>
            <w:pPr>
              <w:pStyle w:val="6"/>
              <w:spacing w:before="61" w:line="188" w:lineRule="auto"/>
              <w:ind w:left="110"/>
            </w:pPr>
            <w:r>
              <w:rPr>
                <w:spacing w:val="-1"/>
              </w:rPr>
              <w:t>E101°16′01″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20" w:line="186" w:lineRule="auto"/>
              <w:ind w:left="208"/>
            </w:pPr>
            <w:r>
              <w:rPr>
                <w:spacing w:val="-1"/>
              </w:rPr>
              <w:t>28</w:t>
            </w:r>
          </w:p>
        </w:tc>
        <w:tc>
          <w:tcPr>
            <w:tcW w:w="2359" w:type="dxa"/>
            <w:vAlign w:val="top"/>
          </w:tcPr>
          <w:p>
            <w:pPr>
              <w:spacing w:before="44" w:line="217" w:lineRule="auto"/>
              <w:ind w:left="149" w:right="127" w:hanging="2"/>
              <w:rPr>
                <w:rFonts w:ascii="仿宋" w:hAnsi="仿宋" w:eastAsia="仿宋" w:cs="仿宋"/>
                <w:sz w:val="21"/>
                <w:szCs w:val="21"/>
              </w:rPr>
            </w:pPr>
            <w:r>
              <w:rPr>
                <w:rFonts w:ascii="仿宋" w:hAnsi="仿宋" w:eastAsia="仿宋" w:cs="仿宋"/>
                <w:spacing w:val="-3"/>
                <w:sz w:val="21"/>
                <w:szCs w:val="21"/>
              </w:rPr>
              <w:t>楚雄市大姚县桂花镇朱</w:t>
            </w:r>
            <w:r>
              <w:rPr>
                <w:rFonts w:ascii="仿宋" w:hAnsi="仿宋" w:eastAsia="仿宋" w:cs="仿宋"/>
                <w:spacing w:val="8"/>
                <w:sz w:val="21"/>
                <w:szCs w:val="21"/>
              </w:rPr>
              <w:t xml:space="preserve"> </w:t>
            </w:r>
            <w:r>
              <w:rPr>
                <w:rFonts w:ascii="仿宋" w:hAnsi="仿宋" w:eastAsia="仿宋" w:cs="仿宋"/>
                <w:spacing w:val="-3"/>
                <w:sz w:val="21"/>
                <w:szCs w:val="21"/>
              </w:rPr>
              <w:t>子地村桂花河右岸山坡</w:t>
            </w:r>
          </w:p>
        </w:tc>
        <w:tc>
          <w:tcPr>
            <w:tcW w:w="1770" w:type="dxa"/>
            <w:vAlign w:val="top"/>
          </w:tcPr>
          <w:p>
            <w:pPr>
              <w:spacing w:before="44" w:line="217" w:lineRule="auto"/>
              <w:ind w:left="688" w:right="147" w:hanging="519"/>
              <w:rPr>
                <w:rFonts w:ascii="仿宋" w:hAnsi="仿宋" w:eastAsia="仿宋" w:cs="仿宋"/>
                <w:sz w:val="21"/>
                <w:szCs w:val="21"/>
              </w:rPr>
            </w:pPr>
            <w:r>
              <w:rPr>
                <w:rFonts w:ascii="仿宋" w:hAnsi="仿宋" w:eastAsia="仿宋" w:cs="仿宋"/>
                <w:spacing w:val="-4"/>
                <w:sz w:val="21"/>
                <w:szCs w:val="21"/>
              </w:rPr>
              <w:t>暖温性稀树灌木</w:t>
            </w:r>
            <w:r>
              <w:rPr>
                <w:rFonts w:ascii="仿宋" w:hAnsi="仿宋" w:eastAsia="仿宋" w:cs="仿宋"/>
                <w:spacing w:val="4"/>
                <w:sz w:val="21"/>
                <w:szCs w:val="21"/>
              </w:rPr>
              <w:t xml:space="preserve"> </w:t>
            </w:r>
            <w:r>
              <w:rPr>
                <w:rFonts w:ascii="仿宋" w:hAnsi="仿宋" w:eastAsia="仿宋" w:cs="仿宋"/>
                <w:spacing w:val="-5"/>
                <w:sz w:val="21"/>
                <w:szCs w:val="21"/>
              </w:rPr>
              <w:t>草丛</w:t>
            </w:r>
          </w:p>
        </w:tc>
        <w:tc>
          <w:tcPr>
            <w:tcW w:w="988" w:type="dxa"/>
            <w:vAlign w:val="top"/>
          </w:tcPr>
          <w:p>
            <w:pPr>
              <w:pStyle w:val="6"/>
              <w:spacing w:before="185"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18" w:line="188" w:lineRule="auto"/>
              <w:ind w:left="147"/>
            </w:pPr>
            <w:r>
              <w:t>N26°02′17″</w:t>
            </w:r>
          </w:p>
        </w:tc>
        <w:tc>
          <w:tcPr>
            <w:tcW w:w="1297" w:type="dxa"/>
            <w:tcBorders>
              <w:right w:val="nil"/>
            </w:tcBorders>
            <w:vAlign w:val="top"/>
          </w:tcPr>
          <w:p>
            <w:pPr>
              <w:pStyle w:val="6"/>
              <w:spacing w:before="218" w:line="188" w:lineRule="auto"/>
              <w:ind w:left="110"/>
            </w:pPr>
            <w:r>
              <w:rPr>
                <w:spacing w:val="-1"/>
              </w:rPr>
              <w:t>E101°15′44″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9" w:hRule="atLeast"/>
        </w:trPr>
        <w:tc>
          <w:tcPr>
            <w:tcW w:w="604" w:type="dxa"/>
            <w:tcBorders>
              <w:left w:val="nil"/>
            </w:tcBorders>
            <w:vAlign w:val="top"/>
          </w:tcPr>
          <w:p>
            <w:pPr>
              <w:pStyle w:val="6"/>
              <w:spacing w:before="221" w:line="186" w:lineRule="auto"/>
              <w:ind w:left="208"/>
            </w:pPr>
            <w:r>
              <w:rPr>
                <w:spacing w:val="-1"/>
              </w:rPr>
              <w:t>29</w:t>
            </w:r>
          </w:p>
        </w:tc>
        <w:tc>
          <w:tcPr>
            <w:tcW w:w="2359" w:type="dxa"/>
            <w:vAlign w:val="top"/>
          </w:tcPr>
          <w:p>
            <w:pPr>
              <w:spacing w:before="46" w:line="216" w:lineRule="auto"/>
              <w:ind w:left="147"/>
              <w:rPr>
                <w:rFonts w:ascii="仿宋" w:hAnsi="仿宋" w:eastAsia="仿宋" w:cs="仿宋"/>
                <w:sz w:val="21"/>
                <w:szCs w:val="21"/>
              </w:rPr>
            </w:pPr>
            <w:r>
              <w:rPr>
                <w:rFonts w:ascii="仿宋" w:hAnsi="仿宋" w:eastAsia="仿宋" w:cs="仿宋"/>
                <w:spacing w:val="-2"/>
                <w:sz w:val="21"/>
                <w:szCs w:val="21"/>
              </w:rPr>
              <w:t>楚雄市大姚县桂花镇大</w:t>
            </w:r>
          </w:p>
          <w:p>
            <w:pPr>
              <w:spacing w:before="27" w:line="193" w:lineRule="auto"/>
              <w:ind w:left="253"/>
              <w:rPr>
                <w:rFonts w:ascii="仿宋" w:hAnsi="仿宋" w:eastAsia="仿宋" w:cs="仿宋"/>
                <w:sz w:val="21"/>
                <w:szCs w:val="21"/>
              </w:rPr>
            </w:pPr>
            <w:r>
              <w:rPr>
                <w:rFonts w:ascii="仿宋" w:hAnsi="仿宋" w:eastAsia="仿宋" w:cs="仿宋"/>
                <w:spacing w:val="-3"/>
                <w:sz w:val="21"/>
                <w:szCs w:val="21"/>
              </w:rPr>
              <w:t>嘎村桂花河右岸山坡</w:t>
            </w:r>
          </w:p>
        </w:tc>
        <w:tc>
          <w:tcPr>
            <w:tcW w:w="1770" w:type="dxa"/>
            <w:vAlign w:val="top"/>
          </w:tcPr>
          <w:p>
            <w:pPr>
              <w:spacing w:before="47" w:line="216" w:lineRule="auto"/>
              <w:ind w:left="688" w:right="147" w:hanging="519"/>
              <w:rPr>
                <w:rFonts w:ascii="仿宋" w:hAnsi="仿宋" w:eastAsia="仿宋" w:cs="仿宋"/>
                <w:sz w:val="21"/>
                <w:szCs w:val="21"/>
              </w:rPr>
            </w:pPr>
            <w:r>
              <w:rPr>
                <w:rFonts w:ascii="仿宋" w:hAnsi="仿宋" w:eastAsia="仿宋" w:cs="仿宋"/>
                <w:spacing w:val="-4"/>
                <w:sz w:val="21"/>
                <w:szCs w:val="21"/>
              </w:rPr>
              <w:t>暖温性稀树灌木</w:t>
            </w:r>
            <w:r>
              <w:rPr>
                <w:rFonts w:ascii="仿宋" w:hAnsi="仿宋" w:eastAsia="仿宋" w:cs="仿宋"/>
                <w:spacing w:val="4"/>
                <w:sz w:val="21"/>
                <w:szCs w:val="21"/>
              </w:rPr>
              <w:t xml:space="preserve"> </w:t>
            </w:r>
            <w:r>
              <w:rPr>
                <w:rFonts w:ascii="仿宋" w:hAnsi="仿宋" w:eastAsia="仿宋" w:cs="仿宋"/>
                <w:spacing w:val="-5"/>
                <w:sz w:val="21"/>
                <w:szCs w:val="21"/>
              </w:rPr>
              <w:t>草丛</w:t>
            </w:r>
          </w:p>
        </w:tc>
        <w:tc>
          <w:tcPr>
            <w:tcW w:w="988" w:type="dxa"/>
            <w:vAlign w:val="top"/>
          </w:tcPr>
          <w:p>
            <w:pPr>
              <w:pStyle w:val="6"/>
              <w:spacing w:before="187"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19" w:line="188" w:lineRule="auto"/>
              <w:ind w:left="147"/>
            </w:pPr>
            <w:r>
              <w:t>N26°01′30″</w:t>
            </w:r>
          </w:p>
        </w:tc>
        <w:tc>
          <w:tcPr>
            <w:tcW w:w="1297" w:type="dxa"/>
            <w:tcBorders>
              <w:right w:val="nil"/>
            </w:tcBorders>
            <w:vAlign w:val="top"/>
          </w:tcPr>
          <w:p>
            <w:pPr>
              <w:pStyle w:val="6"/>
              <w:spacing w:before="219" w:line="188" w:lineRule="auto"/>
              <w:ind w:left="110"/>
            </w:pPr>
            <w:r>
              <w:rPr>
                <w:spacing w:val="-1"/>
              </w:rPr>
              <w:t>E101°15′37″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604" w:type="dxa"/>
            <w:tcBorders>
              <w:left w:val="nil"/>
            </w:tcBorders>
            <w:vAlign w:val="top"/>
          </w:tcPr>
          <w:p>
            <w:pPr>
              <w:pStyle w:val="6"/>
              <w:spacing w:before="222" w:line="186" w:lineRule="auto"/>
              <w:ind w:left="212"/>
            </w:pPr>
            <w:r>
              <w:rPr>
                <w:spacing w:val="-3"/>
              </w:rPr>
              <w:t>30</w:t>
            </w:r>
          </w:p>
        </w:tc>
        <w:tc>
          <w:tcPr>
            <w:tcW w:w="2359" w:type="dxa"/>
            <w:vAlign w:val="top"/>
          </w:tcPr>
          <w:p>
            <w:pPr>
              <w:spacing w:before="48" w:line="216" w:lineRule="auto"/>
              <w:ind w:left="673" w:right="127" w:hanging="526"/>
              <w:rPr>
                <w:rFonts w:ascii="仿宋" w:hAnsi="仿宋" w:eastAsia="仿宋" w:cs="仿宋"/>
                <w:sz w:val="21"/>
                <w:szCs w:val="21"/>
              </w:rPr>
            </w:pPr>
            <w:r>
              <w:rPr>
                <w:rFonts w:ascii="仿宋" w:hAnsi="仿宋" w:eastAsia="仿宋" w:cs="仿宋"/>
                <w:spacing w:val="-3"/>
                <w:sz w:val="21"/>
                <w:szCs w:val="21"/>
              </w:rPr>
              <w:t>楚雄市大姚县桂花镇罗</w:t>
            </w:r>
            <w:r>
              <w:rPr>
                <w:rFonts w:ascii="仿宋" w:hAnsi="仿宋" w:eastAsia="仿宋" w:cs="仿宋"/>
                <w:spacing w:val="8"/>
                <w:sz w:val="21"/>
                <w:szCs w:val="21"/>
              </w:rPr>
              <w:t xml:space="preserve"> </w:t>
            </w:r>
            <w:r>
              <w:rPr>
                <w:rFonts w:ascii="仿宋" w:hAnsi="仿宋" w:eastAsia="仿宋" w:cs="仿宋"/>
                <w:spacing w:val="-4"/>
                <w:sz w:val="21"/>
                <w:szCs w:val="21"/>
              </w:rPr>
              <w:t>子左河左岸</w:t>
            </w:r>
          </w:p>
        </w:tc>
        <w:tc>
          <w:tcPr>
            <w:tcW w:w="1770" w:type="dxa"/>
            <w:vAlign w:val="top"/>
          </w:tcPr>
          <w:p>
            <w:pPr>
              <w:spacing w:before="48" w:line="216" w:lineRule="auto"/>
              <w:ind w:left="688" w:right="147" w:hanging="519"/>
              <w:rPr>
                <w:rFonts w:ascii="仿宋" w:hAnsi="仿宋" w:eastAsia="仿宋" w:cs="仿宋"/>
                <w:sz w:val="21"/>
                <w:szCs w:val="21"/>
              </w:rPr>
            </w:pPr>
            <w:r>
              <w:rPr>
                <w:rFonts w:ascii="仿宋" w:hAnsi="仿宋" w:eastAsia="仿宋" w:cs="仿宋"/>
                <w:spacing w:val="-4"/>
                <w:sz w:val="21"/>
                <w:szCs w:val="21"/>
              </w:rPr>
              <w:t>暖温性稀树灌木</w:t>
            </w:r>
            <w:r>
              <w:rPr>
                <w:rFonts w:ascii="仿宋" w:hAnsi="仿宋" w:eastAsia="仿宋" w:cs="仿宋"/>
                <w:spacing w:val="4"/>
                <w:sz w:val="21"/>
                <w:szCs w:val="21"/>
              </w:rPr>
              <w:t xml:space="preserve"> </w:t>
            </w:r>
            <w:r>
              <w:rPr>
                <w:rFonts w:ascii="仿宋" w:hAnsi="仿宋" w:eastAsia="仿宋" w:cs="仿宋"/>
                <w:spacing w:val="-5"/>
                <w:sz w:val="21"/>
                <w:szCs w:val="21"/>
              </w:rPr>
              <w:t>草丛</w:t>
            </w:r>
          </w:p>
        </w:tc>
        <w:tc>
          <w:tcPr>
            <w:tcW w:w="988" w:type="dxa"/>
            <w:vAlign w:val="top"/>
          </w:tcPr>
          <w:p>
            <w:pPr>
              <w:pStyle w:val="6"/>
              <w:spacing w:before="188"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20" w:line="188" w:lineRule="auto"/>
              <w:ind w:left="147"/>
            </w:pPr>
            <w:r>
              <w:t>N26°01′16″</w:t>
            </w:r>
          </w:p>
        </w:tc>
        <w:tc>
          <w:tcPr>
            <w:tcW w:w="1297" w:type="dxa"/>
            <w:tcBorders>
              <w:right w:val="nil"/>
            </w:tcBorders>
            <w:vAlign w:val="top"/>
          </w:tcPr>
          <w:p>
            <w:pPr>
              <w:pStyle w:val="6"/>
              <w:spacing w:before="220" w:line="188" w:lineRule="auto"/>
              <w:ind w:left="110"/>
            </w:pPr>
            <w:r>
              <w:rPr>
                <w:spacing w:val="-1"/>
              </w:rPr>
              <w:t>E101°15′45″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21" w:line="186" w:lineRule="auto"/>
              <w:ind w:left="212"/>
            </w:pPr>
            <w:r>
              <w:rPr>
                <w:spacing w:val="-3"/>
              </w:rPr>
              <w:t>31</w:t>
            </w:r>
          </w:p>
        </w:tc>
        <w:tc>
          <w:tcPr>
            <w:tcW w:w="2359" w:type="dxa"/>
            <w:vAlign w:val="top"/>
          </w:tcPr>
          <w:p>
            <w:pPr>
              <w:spacing w:before="46" w:line="216" w:lineRule="auto"/>
              <w:ind w:left="147" w:right="127"/>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3"/>
                <w:sz w:val="21"/>
                <w:szCs w:val="21"/>
              </w:rPr>
              <w:t>黑左村桂花河左岸山坡</w:t>
            </w:r>
          </w:p>
        </w:tc>
        <w:tc>
          <w:tcPr>
            <w:tcW w:w="1770" w:type="dxa"/>
            <w:vAlign w:val="top"/>
          </w:tcPr>
          <w:p>
            <w:pPr>
              <w:spacing w:before="183" w:line="216" w:lineRule="auto"/>
              <w:ind w:left="169"/>
              <w:rPr>
                <w:rFonts w:ascii="仿宋" w:hAnsi="仿宋" w:eastAsia="仿宋" w:cs="仿宋"/>
                <w:sz w:val="21"/>
                <w:szCs w:val="21"/>
              </w:rPr>
            </w:pPr>
            <w:r>
              <w:rPr>
                <w:rFonts w:ascii="仿宋" w:hAnsi="仿宋" w:eastAsia="仿宋" w:cs="仿宋"/>
                <w:spacing w:val="-3"/>
                <w:sz w:val="21"/>
                <w:szCs w:val="21"/>
              </w:rPr>
              <w:t>暖性石灰岩灌丛</w:t>
            </w:r>
          </w:p>
        </w:tc>
        <w:tc>
          <w:tcPr>
            <w:tcW w:w="988" w:type="dxa"/>
            <w:vAlign w:val="top"/>
          </w:tcPr>
          <w:p>
            <w:pPr>
              <w:pStyle w:val="6"/>
              <w:spacing w:before="188"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19" w:line="188" w:lineRule="auto"/>
              <w:ind w:left="147"/>
            </w:pPr>
            <w:r>
              <w:t>N26°02′26″</w:t>
            </w:r>
          </w:p>
        </w:tc>
        <w:tc>
          <w:tcPr>
            <w:tcW w:w="1297" w:type="dxa"/>
            <w:tcBorders>
              <w:right w:val="nil"/>
            </w:tcBorders>
            <w:vAlign w:val="top"/>
          </w:tcPr>
          <w:p>
            <w:pPr>
              <w:pStyle w:val="6"/>
              <w:spacing w:before="219" w:line="188" w:lineRule="auto"/>
              <w:ind w:left="110"/>
            </w:pPr>
            <w:r>
              <w:rPr>
                <w:spacing w:val="-1"/>
              </w:rPr>
              <w:t>E101°15′54″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24" w:line="186" w:lineRule="auto"/>
              <w:ind w:left="212"/>
            </w:pPr>
            <w:r>
              <w:rPr>
                <w:spacing w:val="-3"/>
              </w:rPr>
              <w:t>32</w:t>
            </w:r>
          </w:p>
        </w:tc>
        <w:tc>
          <w:tcPr>
            <w:tcW w:w="2359" w:type="dxa"/>
            <w:vAlign w:val="top"/>
          </w:tcPr>
          <w:p>
            <w:pPr>
              <w:spacing w:before="48" w:line="215" w:lineRule="auto"/>
              <w:ind w:left="147" w:right="127"/>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3"/>
                <w:sz w:val="21"/>
                <w:szCs w:val="21"/>
              </w:rPr>
              <w:t>黑左村桂花河左岸山坡</w:t>
            </w:r>
          </w:p>
        </w:tc>
        <w:tc>
          <w:tcPr>
            <w:tcW w:w="1770" w:type="dxa"/>
            <w:vAlign w:val="top"/>
          </w:tcPr>
          <w:p>
            <w:pPr>
              <w:spacing w:before="185" w:line="216" w:lineRule="auto"/>
              <w:ind w:left="169"/>
              <w:rPr>
                <w:rFonts w:ascii="仿宋" w:hAnsi="仿宋" w:eastAsia="仿宋" w:cs="仿宋"/>
                <w:sz w:val="21"/>
                <w:szCs w:val="21"/>
              </w:rPr>
            </w:pPr>
            <w:r>
              <w:rPr>
                <w:rFonts w:ascii="仿宋" w:hAnsi="仿宋" w:eastAsia="仿宋" w:cs="仿宋"/>
                <w:spacing w:val="-3"/>
                <w:sz w:val="21"/>
                <w:szCs w:val="21"/>
              </w:rPr>
              <w:t>暖性石灰岩灌丛</w:t>
            </w:r>
          </w:p>
        </w:tc>
        <w:tc>
          <w:tcPr>
            <w:tcW w:w="988" w:type="dxa"/>
            <w:vAlign w:val="top"/>
          </w:tcPr>
          <w:p>
            <w:pPr>
              <w:pStyle w:val="6"/>
              <w:spacing w:before="189"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22" w:line="188" w:lineRule="auto"/>
              <w:ind w:left="147"/>
            </w:pPr>
            <w:r>
              <w:t>N26°02′34″</w:t>
            </w:r>
          </w:p>
        </w:tc>
        <w:tc>
          <w:tcPr>
            <w:tcW w:w="1297" w:type="dxa"/>
            <w:tcBorders>
              <w:right w:val="nil"/>
            </w:tcBorders>
            <w:vAlign w:val="top"/>
          </w:tcPr>
          <w:p>
            <w:pPr>
              <w:pStyle w:val="6"/>
              <w:spacing w:before="222" w:line="188" w:lineRule="auto"/>
              <w:ind w:left="110"/>
            </w:pPr>
            <w:r>
              <w:rPr>
                <w:spacing w:val="-1"/>
              </w:rPr>
              <w:t>E101°15′52″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25" w:line="186" w:lineRule="auto"/>
              <w:ind w:left="212"/>
            </w:pPr>
            <w:r>
              <w:rPr>
                <w:spacing w:val="-3"/>
              </w:rPr>
              <w:t>33</w:t>
            </w:r>
          </w:p>
        </w:tc>
        <w:tc>
          <w:tcPr>
            <w:tcW w:w="2359" w:type="dxa"/>
            <w:vAlign w:val="top"/>
          </w:tcPr>
          <w:p>
            <w:pPr>
              <w:spacing w:before="51" w:line="214" w:lineRule="auto"/>
              <w:ind w:left="147" w:right="127"/>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3"/>
                <w:sz w:val="21"/>
                <w:szCs w:val="21"/>
              </w:rPr>
              <w:t>黑左村桂花河左岸山坡</w:t>
            </w:r>
          </w:p>
        </w:tc>
        <w:tc>
          <w:tcPr>
            <w:tcW w:w="1770" w:type="dxa"/>
            <w:vAlign w:val="top"/>
          </w:tcPr>
          <w:p>
            <w:pPr>
              <w:spacing w:before="187" w:line="216" w:lineRule="auto"/>
              <w:ind w:left="169"/>
              <w:rPr>
                <w:rFonts w:ascii="仿宋" w:hAnsi="仿宋" w:eastAsia="仿宋" w:cs="仿宋"/>
                <w:sz w:val="21"/>
                <w:szCs w:val="21"/>
              </w:rPr>
            </w:pPr>
            <w:r>
              <w:rPr>
                <w:rFonts w:ascii="仿宋" w:hAnsi="仿宋" w:eastAsia="仿宋" w:cs="仿宋"/>
                <w:spacing w:val="-3"/>
                <w:sz w:val="21"/>
                <w:szCs w:val="21"/>
              </w:rPr>
              <w:t>暖性石灰岩灌丛</w:t>
            </w:r>
          </w:p>
        </w:tc>
        <w:tc>
          <w:tcPr>
            <w:tcW w:w="988" w:type="dxa"/>
            <w:vAlign w:val="top"/>
          </w:tcPr>
          <w:p>
            <w:pPr>
              <w:pStyle w:val="6"/>
              <w:spacing w:before="190"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23" w:line="188" w:lineRule="auto"/>
              <w:ind w:left="147"/>
            </w:pPr>
            <w:r>
              <w:t>N26°02′24″</w:t>
            </w:r>
          </w:p>
        </w:tc>
        <w:tc>
          <w:tcPr>
            <w:tcW w:w="1297" w:type="dxa"/>
            <w:tcBorders>
              <w:right w:val="nil"/>
            </w:tcBorders>
            <w:vAlign w:val="top"/>
          </w:tcPr>
          <w:p>
            <w:pPr>
              <w:pStyle w:val="6"/>
              <w:spacing w:before="223" w:line="188" w:lineRule="auto"/>
              <w:ind w:left="110"/>
            </w:pPr>
            <w:r>
              <w:rPr>
                <w:spacing w:val="-1"/>
              </w:rPr>
              <w:t>E101°15′42″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1" w:hRule="atLeast"/>
        </w:trPr>
        <w:tc>
          <w:tcPr>
            <w:tcW w:w="604" w:type="dxa"/>
            <w:tcBorders>
              <w:left w:val="nil"/>
            </w:tcBorders>
            <w:vAlign w:val="top"/>
          </w:tcPr>
          <w:p>
            <w:pPr>
              <w:spacing w:line="301" w:lineRule="auto"/>
              <w:rPr>
                <w:rFonts w:ascii="Arial"/>
                <w:sz w:val="21"/>
              </w:rPr>
            </w:pPr>
          </w:p>
          <w:p>
            <w:pPr>
              <w:pStyle w:val="6"/>
              <w:spacing w:before="61" w:line="186" w:lineRule="auto"/>
              <w:ind w:left="212"/>
            </w:pPr>
            <w:r>
              <w:rPr>
                <w:spacing w:val="-3"/>
              </w:rPr>
              <w:t>34</w:t>
            </w:r>
          </w:p>
        </w:tc>
        <w:tc>
          <w:tcPr>
            <w:tcW w:w="2359" w:type="dxa"/>
            <w:vAlign w:val="top"/>
          </w:tcPr>
          <w:p>
            <w:pPr>
              <w:spacing w:before="52" w:line="216" w:lineRule="auto"/>
              <w:ind w:left="147"/>
              <w:rPr>
                <w:rFonts w:ascii="仿宋" w:hAnsi="仿宋" w:eastAsia="仿宋" w:cs="仿宋"/>
                <w:sz w:val="21"/>
                <w:szCs w:val="21"/>
              </w:rPr>
            </w:pPr>
            <w:r>
              <w:rPr>
                <w:rFonts w:ascii="仿宋" w:hAnsi="仿宋" w:eastAsia="仿宋" w:cs="仿宋"/>
                <w:spacing w:val="-2"/>
                <w:sz w:val="21"/>
                <w:szCs w:val="21"/>
              </w:rPr>
              <w:t>楚雄市大姚县桂花镇也</w:t>
            </w:r>
          </w:p>
          <w:p>
            <w:pPr>
              <w:spacing w:before="27" w:line="217" w:lineRule="auto"/>
              <w:ind w:left="153"/>
              <w:rPr>
                <w:rFonts w:ascii="仿宋" w:hAnsi="仿宋" w:eastAsia="仿宋" w:cs="仿宋"/>
                <w:sz w:val="21"/>
                <w:szCs w:val="21"/>
              </w:rPr>
            </w:pPr>
            <w:r>
              <w:rPr>
                <w:rFonts w:ascii="仿宋" w:hAnsi="仿宋" w:eastAsia="仿宋" w:cs="仿宋"/>
                <w:spacing w:val="-3"/>
                <w:sz w:val="21"/>
                <w:szCs w:val="21"/>
              </w:rPr>
              <w:t>么独来村罗子左河左岸</w:t>
            </w:r>
          </w:p>
          <w:p>
            <w:pPr>
              <w:spacing w:before="25" w:line="187" w:lineRule="auto"/>
              <w:ind w:left="999"/>
              <w:rPr>
                <w:rFonts w:ascii="仿宋" w:hAnsi="仿宋" w:eastAsia="仿宋" w:cs="仿宋"/>
                <w:sz w:val="21"/>
                <w:szCs w:val="21"/>
              </w:rPr>
            </w:pPr>
            <w:r>
              <w:rPr>
                <w:rFonts w:ascii="仿宋" w:hAnsi="仿宋" w:eastAsia="仿宋" w:cs="仿宋"/>
                <w:spacing w:val="-9"/>
                <w:sz w:val="21"/>
                <w:szCs w:val="21"/>
              </w:rPr>
              <w:t>山坡</w:t>
            </w:r>
          </w:p>
        </w:tc>
        <w:tc>
          <w:tcPr>
            <w:tcW w:w="1770" w:type="dxa"/>
            <w:vAlign w:val="top"/>
          </w:tcPr>
          <w:p>
            <w:pPr>
              <w:spacing w:line="255" w:lineRule="auto"/>
              <w:rPr>
                <w:rFonts w:ascii="Arial"/>
                <w:sz w:val="21"/>
              </w:rPr>
            </w:pPr>
          </w:p>
          <w:p>
            <w:pPr>
              <w:spacing w:before="68" w:line="216" w:lineRule="auto"/>
              <w:ind w:left="169"/>
              <w:rPr>
                <w:rFonts w:ascii="仿宋" w:hAnsi="仿宋" w:eastAsia="仿宋" w:cs="仿宋"/>
                <w:sz w:val="21"/>
                <w:szCs w:val="21"/>
              </w:rPr>
            </w:pPr>
            <w:r>
              <w:rPr>
                <w:rFonts w:ascii="仿宋" w:hAnsi="仿宋" w:eastAsia="仿宋" w:cs="仿宋"/>
                <w:spacing w:val="-3"/>
                <w:sz w:val="21"/>
                <w:szCs w:val="21"/>
              </w:rPr>
              <w:t>暖性石灰岩灌丛</w:t>
            </w:r>
          </w:p>
        </w:tc>
        <w:tc>
          <w:tcPr>
            <w:tcW w:w="988" w:type="dxa"/>
            <w:vAlign w:val="top"/>
          </w:tcPr>
          <w:p>
            <w:pPr>
              <w:spacing w:line="267" w:lineRule="auto"/>
              <w:rPr>
                <w:rFonts w:ascii="Arial"/>
                <w:sz w:val="21"/>
              </w:rPr>
            </w:pPr>
          </w:p>
          <w:p>
            <w:pPr>
              <w:pStyle w:val="6"/>
              <w:spacing w:before="60" w:line="216" w:lineRule="auto"/>
              <w:ind w:left="130"/>
              <w:rPr>
                <w:sz w:val="14"/>
                <w:szCs w:val="14"/>
              </w:rPr>
            </w:pPr>
            <w:r>
              <w:rPr>
                <w:spacing w:val="-4"/>
              </w:rPr>
              <w:t>10×10m</w:t>
            </w:r>
            <w:r>
              <w:rPr>
                <w:spacing w:val="-4"/>
                <w:position w:val="7"/>
                <w:sz w:val="14"/>
                <w:szCs w:val="14"/>
              </w:rPr>
              <w:t>2</w:t>
            </w:r>
          </w:p>
        </w:tc>
        <w:tc>
          <w:tcPr>
            <w:tcW w:w="1303" w:type="dxa"/>
            <w:vAlign w:val="top"/>
          </w:tcPr>
          <w:p>
            <w:pPr>
              <w:spacing w:line="299" w:lineRule="auto"/>
              <w:rPr>
                <w:rFonts w:ascii="Arial"/>
                <w:sz w:val="21"/>
              </w:rPr>
            </w:pPr>
          </w:p>
          <w:p>
            <w:pPr>
              <w:pStyle w:val="6"/>
              <w:spacing w:before="61" w:line="188" w:lineRule="auto"/>
              <w:ind w:left="147"/>
            </w:pPr>
            <w:r>
              <w:t>N26°03′20″</w:t>
            </w:r>
          </w:p>
        </w:tc>
        <w:tc>
          <w:tcPr>
            <w:tcW w:w="1297" w:type="dxa"/>
            <w:tcBorders>
              <w:right w:val="nil"/>
            </w:tcBorders>
            <w:vAlign w:val="top"/>
          </w:tcPr>
          <w:p>
            <w:pPr>
              <w:spacing w:line="299" w:lineRule="auto"/>
              <w:rPr>
                <w:rFonts w:ascii="Arial"/>
                <w:sz w:val="21"/>
              </w:rPr>
            </w:pPr>
          </w:p>
          <w:p>
            <w:pPr>
              <w:pStyle w:val="6"/>
              <w:spacing w:before="61" w:line="188" w:lineRule="auto"/>
              <w:ind w:left="110"/>
            </w:pPr>
            <w:r>
              <w:rPr>
                <w:spacing w:val="-1"/>
              </w:rPr>
              <w:t>E101°14′38″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27" w:line="186" w:lineRule="auto"/>
              <w:ind w:left="212"/>
            </w:pPr>
            <w:r>
              <w:rPr>
                <w:spacing w:val="-3"/>
              </w:rPr>
              <w:t>35</w:t>
            </w:r>
          </w:p>
        </w:tc>
        <w:tc>
          <w:tcPr>
            <w:tcW w:w="2359" w:type="dxa"/>
            <w:vAlign w:val="top"/>
          </w:tcPr>
          <w:p>
            <w:pPr>
              <w:spacing w:before="53" w:line="213" w:lineRule="auto"/>
              <w:ind w:left="147" w:right="127"/>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3"/>
                <w:sz w:val="21"/>
                <w:szCs w:val="21"/>
              </w:rPr>
              <w:t>黑左村桂花河左岸山坡</w:t>
            </w:r>
          </w:p>
        </w:tc>
        <w:tc>
          <w:tcPr>
            <w:tcW w:w="1770" w:type="dxa"/>
            <w:vAlign w:val="top"/>
          </w:tcPr>
          <w:p>
            <w:pPr>
              <w:spacing w:before="189" w:line="216" w:lineRule="auto"/>
              <w:ind w:left="169"/>
              <w:rPr>
                <w:rFonts w:ascii="仿宋" w:hAnsi="仿宋" w:eastAsia="仿宋" w:cs="仿宋"/>
                <w:sz w:val="21"/>
                <w:szCs w:val="21"/>
              </w:rPr>
            </w:pPr>
            <w:r>
              <w:rPr>
                <w:rFonts w:ascii="仿宋" w:hAnsi="仿宋" w:eastAsia="仿宋" w:cs="仿宋"/>
                <w:spacing w:val="-3"/>
                <w:sz w:val="21"/>
                <w:szCs w:val="21"/>
              </w:rPr>
              <w:t>暖性石灰岩灌丛</w:t>
            </w:r>
          </w:p>
        </w:tc>
        <w:tc>
          <w:tcPr>
            <w:tcW w:w="988" w:type="dxa"/>
            <w:vAlign w:val="top"/>
          </w:tcPr>
          <w:p>
            <w:pPr>
              <w:pStyle w:val="6"/>
              <w:spacing w:before="194"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25" w:line="188" w:lineRule="auto"/>
              <w:ind w:left="147"/>
            </w:pPr>
            <w:r>
              <w:t>N26°03′24″</w:t>
            </w:r>
          </w:p>
        </w:tc>
        <w:tc>
          <w:tcPr>
            <w:tcW w:w="1297" w:type="dxa"/>
            <w:tcBorders>
              <w:right w:val="nil"/>
            </w:tcBorders>
            <w:vAlign w:val="top"/>
          </w:tcPr>
          <w:p>
            <w:pPr>
              <w:pStyle w:val="6"/>
              <w:spacing w:before="225" w:line="188" w:lineRule="auto"/>
              <w:ind w:left="110"/>
            </w:pPr>
            <w:r>
              <w:rPr>
                <w:spacing w:val="-1"/>
              </w:rPr>
              <w:t>E101°14′51″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29" w:line="186" w:lineRule="auto"/>
              <w:ind w:left="212"/>
            </w:pPr>
            <w:r>
              <w:rPr>
                <w:spacing w:val="-3"/>
              </w:rPr>
              <w:t>36</w:t>
            </w:r>
          </w:p>
        </w:tc>
        <w:tc>
          <w:tcPr>
            <w:tcW w:w="2359" w:type="dxa"/>
            <w:vAlign w:val="top"/>
          </w:tcPr>
          <w:p>
            <w:pPr>
              <w:spacing w:before="55" w:line="212" w:lineRule="auto"/>
              <w:ind w:left="147" w:right="127"/>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3"/>
                <w:sz w:val="21"/>
                <w:szCs w:val="21"/>
              </w:rPr>
              <w:t>黑左村桂花河左岸山坡</w:t>
            </w:r>
          </w:p>
        </w:tc>
        <w:tc>
          <w:tcPr>
            <w:tcW w:w="1770" w:type="dxa"/>
            <w:vAlign w:val="top"/>
          </w:tcPr>
          <w:p>
            <w:pPr>
              <w:spacing w:before="191" w:line="216" w:lineRule="auto"/>
              <w:ind w:left="169"/>
              <w:rPr>
                <w:rFonts w:ascii="仿宋" w:hAnsi="仿宋" w:eastAsia="仿宋" w:cs="仿宋"/>
                <w:sz w:val="21"/>
                <w:szCs w:val="21"/>
              </w:rPr>
            </w:pPr>
            <w:r>
              <w:rPr>
                <w:rFonts w:ascii="仿宋" w:hAnsi="仿宋" w:eastAsia="仿宋" w:cs="仿宋"/>
                <w:spacing w:val="-3"/>
                <w:sz w:val="21"/>
                <w:szCs w:val="21"/>
              </w:rPr>
              <w:t>暖性石灰岩灌丛</w:t>
            </w:r>
          </w:p>
        </w:tc>
        <w:tc>
          <w:tcPr>
            <w:tcW w:w="988" w:type="dxa"/>
            <w:vAlign w:val="top"/>
          </w:tcPr>
          <w:p>
            <w:pPr>
              <w:pStyle w:val="6"/>
              <w:spacing w:before="195"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27" w:line="188" w:lineRule="auto"/>
              <w:ind w:left="147"/>
            </w:pPr>
            <w:r>
              <w:t>N26°01′57″</w:t>
            </w:r>
          </w:p>
        </w:tc>
        <w:tc>
          <w:tcPr>
            <w:tcW w:w="1297" w:type="dxa"/>
            <w:tcBorders>
              <w:right w:val="nil"/>
            </w:tcBorders>
            <w:vAlign w:val="top"/>
          </w:tcPr>
          <w:p>
            <w:pPr>
              <w:pStyle w:val="6"/>
              <w:spacing w:before="227" w:line="188" w:lineRule="auto"/>
              <w:ind w:left="110"/>
            </w:pPr>
            <w:r>
              <w:rPr>
                <w:spacing w:val="-1"/>
              </w:rPr>
              <w:t>E101°15′44″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31" w:line="186" w:lineRule="auto"/>
              <w:ind w:left="212"/>
            </w:pPr>
            <w:r>
              <w:rPr>
                <w:spacing w:val="-3"/>
              </w:rPr>
              <w:t>37</w:t>
            </w:r>
          </w:p>
        </w:tc>
        <w:tc>
          <w:tcPr>
            <w:tcW w:w="2359" w:type="dxa"/>
            <w:vAlign w:val="top"/>
          </w:tcPr>
          <w:p>
            <w:pPr>
              <w:spacing w:before="55" w:line="212" w:lineRule="auto"/>
              <w:ind w:left="147" w:right="127"/>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3"/>
                <w:sz w:val="21"/>
                <w:szCs w:val="21"/>
              </w:rPr>
              <w:t>黑左村桂花河左岸山坡</w:t>
            </w:r>
          </w:p>
        </w:tc>
        <w:tc>
          <w:tcPr>
            <w:tcW w:w="1770" w:type="dxa"/>
            <w:vAlign w:val="top"/>
          </w:tcPr>
          <w:p>
            <w:pPr>
              <w:spacing w:before="193" w:line="216" w:lineRule="auto"/>
              <w:ind w:left="169"/>
              <w:rPr>
                <w:rFonts w:ascii="仿宋" w:hAnsi="仿宋" w:eastAsia="仿宋" w:cs="仿宋"/>
                <w:sz w:val="21"/>
                <w:szCs w:val="21"/>
              </w:rPr>
            </w:pPr>
            <w:r>
              <w:rPr>
                <w:rFonts w:ascii="仿宋" w:hAnsi="仿宋" w:eastAsia="仿宋" w:cs="仿宋"/>
                <w:spacing w:val="-3"/>
                <w:sz w:val="21"/>
                <w:szCs w:val="21"/>
              </w:rPr>
              <w:t>暖性石灰岩灌丛</w:t>
            </w:r>
          </w:p>
        </w:tc>
        <w:tc>
          <w:tcPr>
            <w:tcW w:w="988" w:type="dxa"/>
            <w:vAlign w:val="top"/>
          </w:tcPr>
          <w:p>
            <w:pPr>
              <w:pStyle w:val="6"/>
              <w:spacing w:before="197"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29" w:line="188" w:lineRule="auto"/>
              <w:ind w:left="147"/>
            </w:pPr>
            <w:r>
              <w:t>N26°01′54″</w:t>
            </w:r>
          </w:p>
        </w:tc>
        <w:tc>
          <w:tcPr>
            <w:tcW w:w="1297" w:type="dxa"/>
            <w:tcBorders>
              <w:right w:val="nil"/>
            </w:tcBorders>
            <w:vAlign w:val="top"/>
          </w:tcPr>
          <w:p>
            <w:pPr>
              <w:pStyle w:val="6"/>
              <w:spacing w:before="229" w:line="188" w:lineRule="auto"/>
              <w:ind w:left="110"/>
            </w:pPr>
            <w:r>
              <w:rPr>
                <w:spacing w:val="-1"/>
              </w:rPr>
              <w:t>E101°15′42″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50" w:hRule="atLeast"/>
        </w:trPr>
        <w:tc>
          <w:tcPr>
            <w:tcW w:w="604" w:type="dxa"/>
            <w:tcBorders>
              <w:left w:val="nil"/>
            </w:tcBorders>
            <w:vAlign w:val="top"/>
          </w:tcPr>
          <w:p>
            <w:pPr>
              <w:pStyle w:val="6"/>
              <w:spacing w:before="233" w:line="186" w:lineRule="auto"/>
              <w:ind w:left="212"/>
            </w:pPr>
            <w:r>
              <w:rPr>
                <w:spacing w:val="-3"/>
              </w:rPr>
              <w:t>38</w:t>
            </w:r>
          </w:p>
        </w:tc>
        <w:tc>
          <w:tcPr>
            <w:tcW w:w="2359" w:type="dxa"/>
            <w:vAlign w:val="top"/>
          </w:tcPr>
          <w:p>
            <w:pPr>
              <w:spacing w:before="59" w:line="211" w:lineRule="auto"/>
              <w:ind w:left="147" w:right="127"/>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3"/>
                <w:sz w:val="21"/>
                <w:szCs w:val="21"/>
              </w:rPr>
              <w:t>黑左村桂花河左岸山坡</w:t>
            </w:r>
          </w:p>
        </w:tc>
        <w:tc>
          <w:tcPr>
            <w:tcW w:w="1770" w:type="dxa"/>
            <w:vAlign w:val="top"/>
          </w:tcPr>
          <w:p>
            <w:pPr>
              <w:spacing w:before="194" w:line="216" w:lineRule="auto"/>
              <w:ind w:left="169"/>
              <w:rPr>
                <w:rFonts w:ascii="仿宋" w:hAnsi="仿宋" w:eastAsia="仿宋" w:cs="仿宋"/>
                <w:sz w:val="21"/>
                <w:szCs w:val="21"/>
              </w:rPr>
            </w:pPr>
            <w:r>
              <w:rPr>
                <w:rFonts w:ascii="仿宋" w:hAnsi="仿宋" w:eastAsia="仿宋" w:cs="仿宋"/>
                <w:spacing w:val="-3"/>
                <w:sz w:val="21"/>
                <w:szCs w:val="21"/>
              </w:rPr>
              <w:t>暖性石灰岩灌丛</w:t>
            </w:r>
          </w:p>
        </w:tc>
        <w:tc>
          <w:tcPr>
            <w:tcW w:w="988" w:type="dxa"/>
            <w:vAlign w:val="top"/>
          </w:tcPr>
          <w:p>
            <w:pPr>
              <w:pStyle w:val="6"/>
              <w:spacing w:before="199"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31" w:line="188" w:lineRule="auto"/>
              <w:ind w:left="147"/>
            </w:pPr>
            <w:r>
              <w:t>N26°01′52″</w:t>
            </w:r>
          </w:p>
        </w:tc>
        <w:tc>
          <w:tcPr>
            <w:tcW w:w="1297" w:type="dxa"/>
            <w:tcBorders>
              <w:right w:val="nil"/>
            </w:tcBorders>
            <w:vAlign w:val="top"/>
          </w:tcPr>
          <w:p>
            <w:pPr>
              <w:pStyle w:val="6"/>
              <w:spacing w:before="231" w:line="188" w:lineRule="auto"/>
              <w:ind w:left="110"/>
            </w:pPr>
            <w:r>
              <w:rPr>
                <w:spacing w:val="-1"/>
              </w:rPr>
              <w:t>E101°15′42″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604" w:type="dxa"/>
            <w:tcBorders>
              <w:left w:val="nil"/>
            </w:tcBorders>
            <w:vAlign w:val="top"/>
          </w:tcPr>
          <w:p>
            <w:pPr>
              <w:pStyle w:val="6"/>
              <w:spacing w:before="233" w:line="186" w:lineRule="auto"/>
              <w:ind w:left="212"/>
            </w:pPr>
            <w:r>
              <w:rPr>
                <w:spacing w:val="-3"/>
              </w:rPr>
              <w:t>39</w:t>
            </w:r>
          </w:p>
        </w:tc>
        <w:tc>
          <w:tcPr>
            <w:tcW w:w="2359" w:type="dxa"/>
            <w:vAlign w:val="top"/>
          </w:tcPr>
          <w:p>
            <w:pPr>
              <w:spacing w:before="57" w:line="211" w:lineRule="auto"/>
              <w:ind w:left="147" w:right="127"/>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3"/>
                <w:sz w:val="21"/>
                <w:szCs w:val="21"/>
              </w:rPr>
              <w:t>黑左村桂花河左岸山坡</w:t>
            </w:r>
          </w:p>
        </w:tc>
        <w:tc>
          <w:tcPr>
            <w:tcW w:w="1770" w:type="dxa"/>
            <w:vAlign w:val="top"/>
          </w:tcPr>
          <w:p>
            <w:pPr>
              <w:spacing w:before="194" w:line="216" w:lineRule="auto"/>
              <w:ind w:left="169"/>
              <w:rPr>
                <w:rFonts w:ascii="仿宋" w:hAnsi="仿宋" w:eastAsia="仿宋" w:cs="仿宋"/>
                <w:sz w:val="21"/>
                <w:szCs w:val="21"/>
              </w:rPr>
            </w:pPr>
            <w:r>
              <w:rPr>
                <w:rFonts w:ascii="仿宋" w:hAnsi="仿宋" w:eastAsia="仿宋" w:cs="仿宋"/>
                <w:spacing w:val="-3"/>
                <w:sz w:val="21"/>
                <w:szCs w:val="21"/>
              </w:rPr>
              <w:t>暖性石灰岩灌丛</w:t>
            </w:r>
          </w:p>
        </w:tc>
        <w:tc>
          <w:tcPr>
            <w:tcW w:w="988" w:type="dxa"/>
            <w:vAlign w:val="top"/>
          </w:tcPr>
          <w:p>
            <w:pPr>
              <w:pStyle w:val="6"/>
              <w:spacing w:before="199" w:line="216" w:lineRule="auto"/>
              <w:ind w:left="130"/>
              <w:rPr>
                <w:sz w:val="14"/>
                <w:szCs w:val="14"/>
              </w:rPr>
            </w:pPr>
            <w:r>
              <w:rPr>
                <w:spacing w:val="-4"/>
              </w:rPr>
              <w:t>10×10m</w:t>
            </w:r>
            <w:r>
              <w:rPr>
                <w:spacing w:val="-4"/>
                <w:position w:val="7"/>
                <w:sz w:val="14"/>
                <w:szCs w:val="14"/>
              </w:rPr>
              <w:t>2</w:t>
            </w:r>
          </w:p>
        </w:tc>
        <w:tc>
          <w:tcPr>
            <w:tcW w:w="1303" w:type="dxa"/>
            <w:vAlign w:val="top"/>
          </w:tcPr>
          <w:p>
            <w:pPr>
              <w:pStyle w:val="6"/>
              <w:spacing w:before="231" w:line="188" w:lineRule="auto"/>
              <w:ind w:left="147"/>
            </w:pPr>
            <w:r>
              <w:t>N26°01′59″</w:t>
            </w:r>
          </w:p>
        </w:tc>
        <w:tc>
          <w:tcPr>
            <w:tcW w:w="1297" w:type="dxa"/>
            <w:tcBorders>
              <w:right w:val="nil"/>
            </w:tcBorders>
            <w:vAlign w:val="top"/>
          </w:tcPr>
          <w:p>
            <w:pPr>
              <w:pStyle w:val="6"/>
              <w:spacing w:before="231" w:line="188" w:lineRule="auto"/>
              <w:ind w:left="110"/>
            </w:pPr>
            <w:r>
              <w:rPr>
                <w:spacing w:val="-1"/>
              </w:rPr>
              <w:t>E101°15′42″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74" w:hRule="atLeast"/>
        </w:trPr>
        <w:tc>
          <w:tcPr>
            <w:tcW w:w="604" w:type="dxa"/>
            <w:tcBorders>
              <w:left w:val="nil"/>
              <w:bottom w:val="single" w:color="000000" w:sz="12" w:space="0"/>
            </w:tcBorders>
            <w:vAlign w:val="top"/>
          </w:tcPr>
          <w:p>
            <w:pPr>
              <w:pStyle w:val="6"/>
              <w:spacing w:before="234" w:line="186" w:lineRule="auto"/>
              <w:ind w:left="207"/>
            </w:pPr>
            <w:r>
              <w:rPr>
                <w:spacing w:val="-1"/>
              </w:rPr>
              <w:t>40</w:t>
            </w:r>
          </w:p>
        </w:tc>
        <w:tc>
          <w:tcPr>
            <w:tcW w:w="2359" w:type="dxa"/>
            <w:tcBorders>
              <w:bottom w:val="single" w:color="000000" w:sz="12" w:space="0"/>
            </w:tcBorders>
            <w:vAlign w:val="top"/>
          </w:tcPr>
          <w:p>
            <w:pPr>
              <w:spacing w:before="61" w:line="221" w:lineRule="auto"/>
              <w:ind w:left="147" w:right="127"/>
              <w:rPr>
                <w:rFonts w:ascii="仿宋" w:hAnsi="仿宋" w:eastAsia="仿宋" w:cs="仿宋"/>
                <w:sz w:val="21"/>
                <w:szCs w:val="21"/>
              </w:rPr>
            </w:pPr>
            <w:r>
              <w:rPr>
                <w:rFonts w:ascii="仿宋" w:hAnsi="仿宋" w:eastAsia="仿宋" w:cs="仿宋"/>
                <w:spacing w:val="-3"/>
                <w:sz w:val="21"/>
                <w:szCs w:val="21"/>
              </w:rPr>
              <w:t>楚雄市大姚县桂花镇皮</w:t>
            </w:r>
            <w:r>
              <w:rPr>
                <w:rFonts w:ascii="仿宋" w:hAnsi="仿宋" w:eastAsia="仿宋" w:cs="仿宋"/>
                <w:spacing w:val="8"/>
                <w:sz w:val="21"/>
                <w:szCs w:val="21"/>
              </w:rPr>
              <w:t xml:space="preserve"> </w:t>
            </w:r>
            <w:r>
              <w:rPr>
                <w:rFonts w:ascii="仿宋" w:hAnsi="仿宋" w:eastAsia="仿宋" w:cs="仿宋"/>
                <w:spacing w:val="-3"/>
                <w:sz w:val="21"/>
                <w:szCs w:val="21"/>
              </w:rPr>
              <w:t>黑左村桂花河左岸山坡</w:t>
            </w:r>
          </w:p>
        </w:tc>
        <w:tc>
          <w:tcPr>
            <w:tcW w:w="1770" w:type="dxa"/>
            <w:tcBorders>
              <w:bottom w:val="single" w:color="000000" w:sz="12" w:space="0"/>
            </w:tcBorders>
            <w:vAlign w:val="top"/>
          </w:tcPr>
          <w:p>
            <w:pPr>
              <w:spacing w:before="197" w:line="216" w:lineRule="auto"/>
              <w:ind w:left="169"/>
              <w:rPr>
                <w:rFonts w:ascii="仿宋" w:hAnsi="仿宋" w:eastAsia="仿宋" w:cs="仿宋"/>
                <w:sz w:val="21"/>
                <w:szCs w:val="21"/>
              </w:rPr>
            </w:pPr>
            <w:r>
              <w:rPr>
                <w:rFonts w:ascii="仿宋" w:hAnsi="仿宋" w:eastAsia="仿宋" w:cs="仿宋"/>
                <w:spacing w:val="-3"/>
                <w:sz w:val="21"/>
                <w:szCs w:val="21"/>
              </w:rPr>
              <w:t>暖性石灰岩灌丛</w:t>
            </w:r>
          </w:p>
        </w:tc>
        <w:tc>
          <w:tcPr>
            <w:tcW w:w="988" w:type="dxa"/>
            <w:tcBorders>
              <w:bottom w:val="single" w:color="000000" w:sz="12" w:space="0"/>
            </w:tcBorders>
            <w:vAlign w:val="top"/>
          </w:tcPr>
          <w:p>
            <w:pPr>
              <w:pStyle w:val="6"/>
              <w:spacing w:before="200" w:line="216" w:lineRule="auto"/>
              <w:ind w:left="130"/>
              <w:rPr>
                <w:sz w:val="14"/>
                <w:szCs w:val="14"/>
              </w:rPr>
            </w:pPr>
            <w:r>
              <w:rPr>
                <w:spacing w:val="-4"/>
              </w:rPr>
              <w:t>10×10m</w:t>
            </w:r>
            <w:r>
              <w:rPr>
                <w:spacing w:val="-4"/>
                <w:position w:val="7"/>
                <w:sz w:val="14"/>
                <w:szCs w:val="14"/>
              </w:rPr>
              <w:t>2</w:t>
            </w:r>
          </w:p>
        </w:tc>
        <w:tc>
          <w:tcPr>
            <w:tcW w:w="1303" w:type="dxa"/>
            <w:tcBorders>
              <w:bottom w:val="single" w:color="000000" w:sz="12" w:space="0"/>
            </w:tcBorders>
            <w:vAlign w:val="top"/>
          </w:tcPr>
          <w:p>
            <w:pPr>
              <w:pStyle w:val="6"/>
              <w:spacing w:before="232" w:line="188" w:lineRule="auto"/>
              <w:ind w:left="147"/>
            </w:pPr>
            <w:r>
              <w:t>N26°02′03″</w:t>
            </w:r>
          </w:p>
        </w:tc>
        <w:tc>
          <w:tcPr>
            <w:tcW w:w="1297" w:type="dxa"/>
            <w:tcBorders>
              <w:bottom w:val="single" w:color="000000" w:sz="12" w:space="0"/>
              <w:right w:val="nil"/>
            </w:tcBorders>
            <w:vAlign w:val="top"/>
          </w:tcPr>
          <w:p>
            <w:pPr>
              <w:pStyle w:val="6"/>
              <w:spacing w:before="232" w:line="188" w:lineRule="auto"/>
              <w:ind w:left="110"/>
            </w:pPr>
            <w:r>
              <w:rPr>
                <w:spacing w:val="-1"/>
              </w:rPr>
              <w:t>E101°15′42″</w:t>
            </w:r>
          </w:p>
        </w:tc>
      </w:tr>
    </w:tbl>
    <w:p>
      <w:pPr>
        <w:spacing w:line="115" w:lineRule="exact"/>
        <w:rPr>
          <w:rFonts w:ascii="Arial"/>
          <w:sz w:val="10"/>
        </w:rPr>
      </w:pPr>
    </w:p>
    <w:p>
      <w:pPr>
        <w:spacing w:line="115" w:lineRule="exact"/>
        <w:rPr>
          <w:rFonts w:ascii="Arial" w:hAnsi="Arial" w:eastAsia="Arial" w:cs="Arial"/>
          <w:sz w:val="10"/>
          <w:szCs w:val="10"/>
        </w:rPr>
        <w:sectPr>
          <w:footerReference r:id="rId233" w:type="default"/>
          <w:pgSz w:w="11907" w:h="16839"/>
          <w:pgMar w:top="1156" w:right="1768" w:bottom="1374" w:left="1770" w:header="881" w:footer="1210" w:gutter="0"/>
        </w:sectPr>
      </w:pPr>
    </w:p>
    <w:p>
      <w:pPr>
        <w:spacing w:line="317" w:lineRule="auto"/>
        <w:rPr>
          <w:rFonts w:ascii="Arial"/>
          <w:sz w:val="21"/>
        </w:rPr>
      </w:pPr>
    </w:p>
    <w:p>
      <w:pPr>
        <w:spacing w:before="78" w:line="217" w:lineRule="auto"/>
        <w:ind w:left="532"/>
        <w:rPr>
          <w:rFonts w:ascii="宋体" w:hAnsi="宋体" w:eastAsia="宋体" w:cs="宋体"/>
          <w:sz w:val="24"/>
          <w:szCs w:val="24"/>
        </w:rPr>
      </w:pPr>
      <w:r>
        <w:rPr>
          <w:rFonts w:ascii="宋体" w:hAnsi="宋体" w:eastAsia="宋体" w:cs="宋体"/>
          <w:spacing w:val="-1"/>
          <w:sz w:val="24"/>
          <w:szCs w:val="24"/>
        </w:rPr>
        <w:t>④群落结构及物种组成</w:t>
      </w:r>
    </w:p>
    <w:p>
      <w:pPr>
        <w:spacing w:before="185" w:line="360" w:lineRule="auto"/>
        <w:ind w:left="59" w:firstLine="474"/>
        <w:rPr>
          <w:rFonts w:ascii="宋体" w:hAnsi="宋体" w:eastAsia="宋体" w:cs="宋体"/>
          <w:sz w:val="24"/>
          <w:szCs w:val="24"/>
        </w:rPr>
      </w:pPr>
      <w:r>
        <w:rPr>
          <w:rFonts w:ascii="宋体" w:hAnsi="宋体" w:eastAsia="宋体" w:cs="宋体"/>
          <w:spacing w:val="-8"/>
          <w:sz w:val="24"/>
          <w:szCs w:val="24"/>
        </w:rPr>
        <w:t>评价区植被类型分为陆地植被和水生植被。其中，主要植被类型为陆地植被。</w:t>
      </w:r>
      <w:r>
        <w:rPr>
          <w:rFonts w:ascii="宋体" w:hAnsi="宋体" w:eastAsia="宋体" w:cs="宋体"/>
          <w:spacing w:val="15"/>
          <w:sz w:val="24"/>
          <w:szCs w:val="24"/>
        </w:rPr>
        <w:t xml:space="preserve"> </w:t>
      </w:r>
      <w:r>
        <w:rPr>
          <w:rFonts w:ascii="宋体" w:hAnsi="宋体" w:eastAsia="宋体" w:cs="宋体"/>
          <w:spacing w:val="-7"/>
          <w:sz w:val="24"/>
          <w:szCs w:val="24"/>
        </w:rPr>
        <w:t>典型的湖泊水生植被极为零星，</w:t>
      </w:r>
      <w:r>
        <w:rPr>
          <w:rFonts w:ascii="宋体" w:hAnsi="宋体" w:eastAsia="宋体" w:cs="宋体"/>
          <w:spacing w:val="28"/>
          <w:sz w:val="24"/>
          <w:szCs w:val="24"/>
        </w:rPr>
        <w:t xml:space="preserve"> </w:t>
      </w:r>
      <w:r>
        <w:rPr>
          <w:rFonts w:ascii="宋体" w:hAnsi="宋体" w:eastAsia="宋体" w:cs="宋体"/>
          <w:spacing w:val="-7"/>
          <w:sz w:val="24"/>
          <w:szCs w:val="24"/>
        </w:rPr>
        <w:t>仅存在于评价区水库</w:t>
      </w:r>
      <w:r>
        <w:rPr>
          <w:rFonts w:ascii="宋体" w:hAnsi="宋体" w:eastAsia="宋体" w:cs="宋体"/>
          <w:spacing w:val="-8"/>
          <w:sz w:val="24"/>
          <w:szCs w:val="24"/>
        </w:rPr>
        <w:t>、河流、池塘和水塘等较为</w:t>
      </w:r>
    </w:p>
    <w:p>
      <w:pPr>
        <w:spacing w:before="1" w:line="218" w:lineRule="auto"/>
        <w:ind w:left="53"/>
        <w:rPr>
          <w:rFonts w:ascii="宋体" w:hAnsi="宋体" w:eastAsia="宋体" w:cs="宋体"/>
          <w:sz w:val="24"/>
          <w:szCs w:val="24"/>
        </w:rPr>
      </w:pPr>
      <w:r>
        <w:rPr>
          <w:rFonts w:ascii="宋体" w:hAnsi="宋体" w:eastAsia="宋体" w:cs="宋体"/>
          <w:spacing w:val="-3"/>
          <w:sz w:val="24"/>
          <w:szCs w:val="24"/>
        </w:rPr>
        <w:t>平缓的水域中，面积几乎可忽略不计。</w:t>
      </w:r>
    </w:p>
    <w:p>
      <w:pPr>
        <w:spacing w:before="184" w:line="233" w:lineRule="auto"/>
        <w:ind w:left="533"/>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2"/>
          <w:sz w:val="24"/>
          <w:szCs w:val="24"/>
        </w:rPr>
        <w:t>陆地植被</w:t>
      </w:r>
    </w:p>
    <w:p>
      <w:pPr>
        <w:spacing w:before="165" w:line="360" w:lineRule="auto"/>
        <w:ind w:right="85" w:firstLine="533"/>
        <w:rPr>
          <w:rFonts w:ascii="宋体" w:hAnsi="宋体" w:eastAsia="宋体" w:cs="宋体"/>
          <w:sz w:val="24"/>
          <w:szCs w:val="24"/>
        </w:rPr>
      </w:pPr>
      <w:r>
        <w:rPr>
          <w:rFonts w:ascii="宋体" w:hAnsi="宋体" w:eastAsia="宋体" w:cs="宋体"/>
          <w:spacing w:val="-3"/>
          <w:sz w:val="24"/>
          <w:szCs w:val="24"/>
        </w:rPr>
        <w:t>评价区天然植被为半湿润常绿阔叶林、暖性针叶林、暖温性稀树灌</w:t>
      </w:r>
      <w:r>
        <w:rPr>
          <w:rFonts w:ascii="宋体" w:hAnsi="宋体" w:eastAsia="宋体" w:cs="宋体"/>
          <w:spacing w:val="-4"/>
          <w:sz w:val="24"/>
          <w:szCs w:val="24"/>
        </w:rPr>
        <w:t>丛、暖性</w:t>
      </w:r>
      <w:r>
        <w:rPr>
          <w:rFonts w:ascii="宋体" w:hAnsi="宋体" w:eastAsia="宋体" w:cs="宋体"/>
          <w:sz w:val="24"/>
          <w:szCs w:val="24"/>
        </w:rPr>
        <w:t xml:space="preserve"> </w:t>
      </w:r>
      <w:r>
        <w:rPr>
          <w:rFonts w:ascii="宋体" w:hAnsi="宋体" w:eastAsia="宋体" w:cs="宋体"/>
          <w:spacing w:val="-5"/>
          <w:sz w:val="24"/>
          <w:szCs w:val="24"/>
        </w:rPr>
        <w:t>石灰岩灌丛和水生植被，是一类具有明显次生性质的植被类型， 首先表现在群落</w:t>
      </w:r>
      <w:r>
        <w:rPr>
          <w:rFonts w:ascii="宋体" w:hAnsi="宋体" w:eastAsia="宋体" w:cs="宋体"/>
          <w:spacing w:val="10"/>
          <w:sz w:val="24"/>
          <w:szCs w:val="24"/>
        </w:rPr>
        <w:t xml:space="preserve"> </w:t>
      </w:r>
      <w:r>
        <w:rPr>
          <w:rFonts w:ascii="宋体" w:hAnsi="宋体" w:eastAsia="宋体" w:cs="宋体"/>
          <w:spacing w:val="-6"/>
          <w:sz w:val="24"/>
          <w:szCs w:val="24"/>
        </w:rPr>
        <w:t>结构并不稳定，</w:t>
      </w:r>
      <w:r>
        <w:rPr>
          <w:rFonts w:ascii="宋体" w:hAnsi="宋体" w:eastAsia="宋体" w:cs="宋体"/>
          <w:spacing w:val="41"/>
          <w:sz w:val="24"/>
          <w:szCs w:val="24"/>
        </w:rPr>
        <w:t xml:space="preserve"> </w:t>
      </w:r>
      <w:r>
        <w:rPr>
          <w:rFonts w:ascii="宋体" w:hAnsi="宋体" w:eastAsia="宋体" w:cs="宋体"/>
          <w:spacing w:val="-6"/>
          <w:sz w:val="24"/>
          <w:szCs w:val="24"/>
        </w:rPr>
        <w:t>乔木、灌木和草丛三者的比例常随地而异。本区海拔为中山峡谷</w:t>
      </w:r>
      <w:r>
        <w:rPr>
          <w:rFonts w:ascii="宋体" w:hAnsi="宋体" w:eastAsia="宋体" w:cs="宋体"/>
          <w:sz w:val="24"/>
          <w:szCs w:val="24"/>
        </w:rPr>
        <w:t xml:space="preserve"> </w:t>
      </w:r>
      <w:r>
        <w:rPr>
          <w:rFonts w:ascii="宋体" w:hAnsi="宋体" w:eastAsia="宋体" w:cs="宋体"/>
          <w:spacing w:val="-10"/>
          <w:sz w:val="24"/>
          <w:szCs w:val="24"/>
        </w:rPr>
        <w:t>地带，人类活动较为频繁，</w:t>
      </w:r>
      <w:r>
        <w:rPr>
          <w:rFonts w:ascii="宋体" w:hAnsi="宋体" w:eastAsia="宋体" w:cs="宋体"/>
          <w:spacing w:val="-49"/>
          <w:sz w:val="24"/>
          <w:szCs w:val="24"/>
        </w:rPr>
        <w:t xml:space="preserve"> </w:t>
      </w:r>
      <w:r>
        <w:rPr>
          <w:rFonts w:ascii="宋体" w:hAnsi="宋体" w:eastAsia="宋体" w:cs="宋体"/>
          <w:spacing w:val="-10"/>
          <w:sz w:val="24"/>
          <w:szCs w:val="24"/>
        </w:rPr>
        <w:t>群落常常受到强烈的扰动，在平地或沟谷水肥较好处，</w:t>
      </w:r>
      <w:r>
        <w:rPr>
          <w:rFonts w:ascii="宋体" w:hAnsi="宋体" w:eastAsia="宋体" w:cs="宋体"/>
          <w:sz w:val="24"/>
          <w:szCs w:val="24"/>
        </w:rPr>
        <w:t xml:space="preserve"> </w:t>
      </w:r>
      <w:r>
        <w:rPr>
          <w:rFonts w:ascii="宋体" w:hAnsi="宋体" w:eastAsia="宋体" w:cs="宋体"/>
          <w:spacing w:val="-9"/>
          <w:sz w:val="24"/>
          <w:szCs w:val="24"/>
        </w:rPr>
        <w:t>大多为次生稀树灌丛或人工植被覆盖， 上层乔木树种已被砍伐殆尽，</w:t>
      </w:r>
      <w:r>
        <w:rPr>
          <w:rFonts w:ascii="宋体" w:hAnsi="宋体" w:eastAsia="宋体" w:cs="宋体"/>
          <w:spacing w:val="35"/>
          <w:sz w:val="24"/>
          <w:szCs w:val="24"/>
        </w:rPr>
        <w:t xml:space="preserve"> </w:t>
      </w:r>
      <w:r>
        <w:rPr>
          <w:rFonts w:ascii="宋体" w:hAnsi="宋体" w:eastAsia="宋体" w:cs="宋体"/>
          <w:spacing w:val="-9"/>
          <w:sz w:val="24"/>
          <w:szCs w:val="24"/>
        </w:rPr>
        <w:t>除局部区域</w:t>
      </w:r>
      <w:r>
        <w:rPr>
          <w:rFonts w:ascii="宋体" w:hAnsi="宋体" w:eastAsia="宋体" w:cs="宋体"/>
          <w:sz w:val="24"/>
          <w:szCs w:val="24"/>
        </w:rPr>
        <w:t xml:space="preserve"> </w:t>
      </w:r>
      <w:r>
        <w:rPr>
          <w:rFonts w:ascii="宋体" w:hAnsi="宋体" w:eastAsia="宋体" w:cs="宋体"/>
          <w:spacing w:val="1"/>
          <w:sz w:val="24"/>
          <w:szCs w:val="24"/>
        </w:rPr>
        <w:t>云南松</w:t>
      </w:r>
      <w:r>
        <w:rPr>
          <w:rFonts w:ascii="宋体" w:hAnsi="宋体" w:eastAsia="宋体" w:cs="宋体"/>
          <w:spacing w:val="-22"/>
          <w:sz w:val="24"/>
          <w:szCs w:val="24"/>
        </w:rPr>
        <w:t xml:space="preserve"> </w:t>
      </w:r>
      <w:r>
        <w:rPr>
          <w:rFonts w:ascii="Times New Roman" w:hAnsi="Times New Roman" w:eastAsia="Times New Roman" w:cs="Times New Roman"/>
          <w:i/>
          <w:iCs/>
          <w:sz w:val="24"/>
          <w:szCs w:val="24"/>
        </w:rPr>
        <w:t>Pinus</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 xml:space="preserve">、滇青冈 </w:t>
      </w:r>
      <w:r>
        <w:rPr>
          <w:rFonts w:ascii="Times New Roman" w:hAnsi="Times New Roman" w:eastAsia="Times New Roman" w:cs="Times New Roman"/>
          <w:i/>
          <w:iCs/>
          <w:sz w:val="24"/>
          <w:szCs w:val="24"/>
        </w:rPr>
        <w:t>Cyclobalanopsis</w:t>
      </w:r>
      <w:r>
        <w:rPr>
          <w:rFonts w:ascii="Times New Roman" w:hAnsi="Times New Roman" w:eastAsia="Times New Roman" w:cs="Times New Roman"/>
          <w:i/>
          <w:iCs/>
          <w:spacing w:val="24"/>
          <w:w w:val="101"/>
          <w:sz w:val="24"/>
          <w:szCs w:val="24"/>
        </w:rPr>
        <w:t xml:space="preserve"> </w:t>
      </w:r>
      <w:r>
        <w:rPr>
          <w:rFonts w:ascii="Times New Roman" w:hAnsi="Times New Roman" w:eastAsia="Times New Roman" w:cs="Times New Roman"/>
          <w:i/>
          <w:iCs/>
          <w:sz w:val="24"/>
          <w:szCs w:val="24"/>
        </w:rPr>
        <w:t>glaucoides</w:t>
      </w:r>
      <w:r>
        <w:rPr>
          <w:rFonts w:ascii="宋体" w:hAnsi="宋体" w:eastAsia="宋体" w:cs="宋体"/>
          <w:spacing w:val="1"/>
          <w:sz w:val="24"/>
          <w:szCs w:val="24"/>
        </w:rPr>
        <w:t xml:space="preserve">、锥连栎 </w:t>
      </w:r>
      <w:r>
        <w:rPr>
          <w:rFonts w:ascii="Times New Roman" w:hAnsi="Times New Roman" w:eastAsia="Times New Roman" w:cs="Times New Roman"/>
          <w:i/>
          <w:iCs/>
          <w:sz w:val="24"/>
          <w:szCs w:val="24"/>
        </w:rPr>
        <w:t xml:space="preserve">Quercus </w:t>
      </w:r>
      <w:r>
        <w:rPr>
          <w:rFonts w:ascii="Times New Roman" w:hAnsi="Times New Roman" w:eastAsia="Times New Roman" w:cs="Times New Roman"/>
          <w:i/>
          <w:iCs/>
          <w:spacing w:val="-3"/>
          <w:sz w:val="24"/>
          <w:szCs w:val="24"/>
        </w:rPr>
        <w:t xml:space="preserve">franchetii </w:t>
      </w:r>
      <w:r>
        <w:rPr>
          <w:rFonts w:ascii="宋体" w:hAnsi="宋体" w:eastAsia="宋体" w:cs="宋体"/>
          <w:spacing w:val="-3"/>
          <w:sz w:val="24"/>
          <w:szCs w:val="24"/>
        </w:rPr>
        <w:t>等物种稍高且为小乔木外，</w:t>
      </w:r>
      <w:r>
        <w:rPr>
          <w:rFonts w:ascii="宋体" w:hAnsi="宋体" w:eastAsia="宋体" w:cs="宋体"/>
          <w:spacing w:val="-36"/>
          <w:sz w:val="24"/>
          <w:szCs w:val="24"/>
        </w:rPr>
        <w:t xml:space="preserve"> </w:t>
      </w:r>
      <w:r>
        <w:rPr>
          <w:rFonts w:ascii="宋体" w:hAnsi="宋体" w:eastAsia="宋体" w:cs="宋体"/>
          <w:spacing w:val="-3"/>
          <w:sz w:val="24"/>
          <w:szCs w:val="24"/>
        </w:rPr>
        <w:t>该植被类型在本区主要</w:t>
      </w:r>
      <w:r>
        <w:rPr>
          <w:rFonts w:ascii="宋体" w:hAnsi="宋体" w:eastAsia="宋体" w:cs="宋体"/>
          <w:spacing w:val="-4"/>
          <w:sz w:val="24"/>
          <w:szCs w:val="24"/>
        </w:rPr>
        <w:t>以</w:t>
      </w:r>
      <w:r>
        <w:rPr>
          <w:rFonts w:ascii="Times New Roman" w:hAnsi="Times New Roman" w:eastAsia="Times New Roman" w:cs="Times New Roman"/>
          <w:spacing w:val="-4"/>
          <w:sz w:val="24"/>
          <w:szCs w:val="24"/>
        </w:rPr>
        <w:t>“</w:t>
      </w:r>
      <w:r>
        <w:rPr>
          <w:rFonts w:ascii="宋体" w:hAnsi="宋体" w:eastAsia="宋体" w:cs="宋体"/>
          <w:spacing w:val="-4"/>
          <w:sz w:val="24"/>
          <w:szCs w:val="24"/>
        </w:rPr>
        <w:t>稀树灌木草丛</w:t>
      </w:r>
      <w:r>
        <w:rPr>
          <w:rFonts w:ascii="Times New Roman" w:hAnsi="Times New Roman" w:eastAsia="Times New Roman" w:cs="Times New Roman"/>
          <w:spacing w:val="-4"/>
          <w:sz w:val="24"/>
          <w:szCs w:val="24"/>
        </w:rPr>
        <w:t>”</w:t>
      </w:r>
      <w:r>
        <w:rPr>
          <w:rFonts w:ascii="宋体" w:hAnsi="宋体" w:eastAsia="宋体" w:cs="宋体"/>
          <w:spacing w:val="-4"/>
          <w:sz w:val="24"/>
          <w:szCs w:val="24"/>
        </w:rPr>
        <w:t>和</w:t>
      </w:r>
      <w:r>
        <w:rPr>
          <w:rFonts w:ascii="宋体" w:hAnsi="宋体" w:eastAsia="宋体" w:cs="宋体"/>
          <w:sz w:val="24"/>
          <w:szCs w:val="24"/>
        </w:rPr>
        <w:t xml:space="preserve"> </w:t>
      </w:r>
      <w:r>
        <w:rPr>
          <w:rFonts w:ascii="Times New Roman" w:hAnsi="Times New Roman" w:eastAsia="Times New Roman" w:cs="Times New Roman"/>
          <w:spacing w:val="-6"/>
          <w:sz w:val="24"/>
          <w:szCs w:val="24"/>
        </w:rPr>
        <w:t>“</w:t>
      </w:r>
      <w:r>
        <w:rPr>
          <w:rFonts w:ascii="宋体" w:hAnsi="宋体" w:eastAsia="宋体" w:cs="宋体"/>
          <w:spacing w:val="-6"/>
          <w:sz w:val="24"/>
          <w:szCs w:val="24"/>
        </w:rPr>
        <w:t>灌丛</w:t>
      </w:r>
      <w:r>
        <w:rPr>
          <w:rFonts w:ascii="Times New Roman" w:hAnsi="Times New Roman" w:eastAsia="Times New Roman" w:cs="Times New Roman"/>
          <w:spacing w:val="-6"/>
          <w:sz w:val="24"/>
          <w:szCs w:val="24"/>
        </w:rPr>
        <w:t>”</w:t>
      </w:r>
      <w:r>
        <w:rPr>
          <w:rFonts w:ascii="Times New Roman" w:hAnsi="Times New Roman" w:eastAsia="Times New Roman" w:cs="Times New Roman"/>
          <w:spacing w:val="-24"/>
          <w:sz w:val="24"/>
          <w:szCs w:val="24"/>
        </w:rPr>
        <w:t xml:space="preserve"> </w:t>
      </w:r>
      <w:r>
        <w:rPr>
          <w:rFonts w:ascii="宋体" w:hAnsi="宋体" w:eastAsia="宋体" w:cs="宋体"/>
          <w:spacing w:val="-6"/>
          <w:sz w:val="24"/>
          <w:szCs w:val="24"/>
        </w:rPr>
        <w:t>的状态存在。而在海拔较高的山地分布有较大面积的森林植被，</w:t>
      </w:r>
      <w:r>
        <w:rPr>
          <w:rFonts w:ascii="宋体" w:hAnsi="宋体" w:eastAsia="宋体" w:cs="宋体"/>
          <w:spacing w:val="37"/>
          <w:sz w:val="24"/>
          <w:szCs w:val="24"/>
        </w:rPr>
        <w:t xml:space="preserve"> </w:t>
      </w:r>
      <w:r>
        <w:rPr>
          <w:rFonts w:ascii="宋体" w:hAnsi="宋体" w:eastAsia="宋体" w:cs="宋体"/>
          <w:spacing w:val="-6"/>
          <w:sz w:val="24"/>
          <w:szCs w:val="24"/>
        </w:rPr>
        <w:t>暖温性针</w:t>
      </w:r>
      <w:r>
        <w:rPr>
          <w:rFonts w:ascii="宋体" w:hAnsi="宋体" w:eastAsia="宋体" w:cs="宋体"/>
          <w:sz w:val="24"/>
          <w:szCs w:val="24"/>
        </w:rPr>
        <w:t xml:space="preserve"> </w:t>
      </w:r>
      <w:r>
        <w:rPr>
          <w:rFonts w:ascii="宋体" w:hAnsi="宋体" w:eastAsia="宋体" w:cs="宋体"/>
          <w:spacing w:val="-8"/>
          <w:sz w:val="24"/>
          <w:szCs w:val="24"/>
        </w:rPr>
        <w:t>叶林是本区分布面积最大的植被类型， 分布于干旱的山坡两侧， 而半湿润常绿阔</w:t>
      </w:r>
      <w:r>
        <w:rPr>
          <w:rFonts w:ascii="宋体" w:hAnsi="宋体" w:eastAsia="宋体" w:cs="宋体"/>
          <w:spacing w:val="6"/>
          <w:sz w:val="24"/>
          <w:szCs w:val="24"/>
        </w:rPr>
        <w:t xml:space="preserve"> </w:t>
      </w:r>
      <w:r>
        <w:rPr>
          <w:rFonts w:ascii="宋体" w:hAnsi="宋体" w:eastAsia="宋体" w:cs="宋体"/>
          <w:spacing w:val="-10"/>
          <w:sz w:val="24"/>
          <w:szCs w:val="24"/>
        </w:rPr>
        <w:t>叶林在潮湿的沟谷中零星分布。在人类干扰较大的山坡上，</w:t>
      </w:r>
      <w:r>
        <w:rPr>
          <w:rFonts w:ascii="宋体" w:hAnsi="宋体" w:eastAsia="宋体" w:cs="宋体"/>
          <w:spacing w:val="30"/>
          <w:sz w:val="24"/>
          <w:szCs w:val="24"/>
        </w:rPr>
        <w:t xml:space="preserve"> </w:t>
      </w:r>
      <w:r>
        <w:rPr>
          <w:rFonts w:ascii="宋体" w:hAnsi="宋体" w:eastAsia="宋体" w:cs="宋体"/>
          <w:spacing w:val="-10"/>
          <w:sz w:val="24"/>
          <w:szCs w:val="24"/>
        </w:rPr>
        <w:t>森林植被已退</w:t>
      </w:r>
      <w:r>
        <w:rPr>
          <w:rFonts w:ascii="宋体" w:hAnsi="宋体" w:eastAsia="宋体" w:cs="宋体"/>
          <w:spacing w:val="-11"/>
          <w:sz w:val="24"/>
          <w:szCs w:val="24"/>
        </w:rPr>
        <w:t>化，</w:t>
      </w:r>
      <w:r>
        <w:rPr>
          <w:rFonts w:ascii="宋体" w:hAnsi="宋体" w:eastAsia="宋体" w:cs="宋体"/>
          <w:spacing w:val="33"/>
          <w:sz w:val="24"/>
          <w:szCs w:val="24"/>
        </w:rPr>
        <w:t xml:space="preserve"> </w:t>
      </w:r>
      <w:r>
        <w:rPr>
          <w:rFonts w:ascii="宋体" w:hAnsi="宋体" w:eastAsia="宋体" w:cs="宋体"/>
          <w:spacing w:val="-11"/>
          <w:sz w:val="24"/>
          <w:szCs w:val="24"/>
        </w:rPr>
        <w:t>发</w:t>
      </w:r>
      <w:r>
        <w:rPr>
          <w:rFonts w:ascii="宋体" w:hAnsi="宋体" w:eastAsia="宋体" w:cs="宋体"/>
          <w:sz w:val="24"/>
          <w:szCs w:val="24"/>
        </w:rPr>
        <w:t xml:space="preserve"> </w:t>
      </w:r>
      <w:r>
        <w:rPr>
          <w:rFonts w:ascii="宋体" w:hAnsi="宋体" w:eastAsia="宋体" w:cs="宋体"/>
          <w:spacing w:val="-1"/>
          <w:sz w:val="24"/>
          <w:szCs w:val="24"/>
        </w:rPr>
        <w:t>育成暖温性稀树灌丛和暖性石灰岩灌丛，分布也</w:t>
      </w:r>
      <w:r>
        <w:rPr>
          <w:rFonts w:ascii="宋体" w:hAnsi="宋体" w:eastAsia="宋体" w:cs="宋体"/>
          <w:spacing w:val="-2"/>
          <w:sz w:val="24"/>
          <w:szCs w:val="24"/>
        </w:rPr>
        <w:t>较为广泛。本次调查中，大多数</w:t>
      </w:r>
      <w:r>
        <w:rPr>
          <w:rFonts w:ascii="宋体" w:hAnsi="宋体" w:eastAsia="宋体" w:cs="宋体"/>
          <w:sz w:val="24"/>
          <w:szCs w:val="24"/>
        </w:rPr>
        <w:t xml:space="preserve"> </w:t>
      </w:r>
      <w:r>
        <w:rPr>
          <w:rFonts w:ascii="宋体" w:hAnsi="宋体" w:eastAsia="宋体" w:cs="宋体"/>
          <w:spacing w:val="-6"/>
          <w:sz w:val="24"/>
          <w:szCs w:val="24"/>
        </w:rPr>
        <w:t>植被处于次生状态并不稳定，</w:t>
      </w:r>
      <w:r>
        <w:rPr>
          <w:rFonts w:ascii="宋体" w:hAnsi="宋体" w:eastAsia="宋体" w:cs="宋体"/>
          <w:spacing w:val="41"/>
          <w:sz w:val="24"/>
          <w:szCs w:val="24"/>
        </w:rPr>
        <w:t xml:space="preserve"> </w:t>
      </w:r>
      <w:r>
        <w:rPr>
          <w:rFonts w:ascii="宋体" w:hAnsi="宋体" w:eastAsia="宋体" w:cs="宋体"/>
          <w:spacing w:val="-6"/>
          <w:sz w:val="24"/>
          <w:szCs w:val="24"/>
        </w:rPr>
        <w:t>乔木、灌木和草丛三者的比例常随地而异，如半湿</w:t>
      </w:r>
      <w:r>
        <w:rPr>
          <w:rFonts w:ascii="宋体" w:hAnsi="宋体" w:eastAsia="宋体" w:cs="宋体"/>
          <w:sz w:val="24"/>
          <w:szCs w:val="24"/>
        </w:rPr>
        <w:t xml:space="preserve"> </w:t>
      </w:r>
      <w:r>
        <w:rPr>
          <w:rFonts w:ascii="宋体" w:hAnsi="宋体" w:eastAsia="宋体" w:cs="宋体"/>
          <w:spacing w:val="-14"/>
          <w:sz w:val="24"/>
          <w:szCs w:val="24"/>
        </w:rPr>
        <w:t>润常绿阔叶林遭破坏后，</w:t>
      </w:r>
      <w:r>
        <w:rPr>
          <w:rFonts w:ascii="宋体" w:hAnsi="宋体" w:eastAsia="宋体" w:cs="宋体"/>
          <w:spacing w:val="33"/>
          <w:sz w:val="24"/>
          <w:szCs w:val="24"/>
        </w:rPr>
        <w:t xml:space="preserve"> </w:t>
      </w:r>
      <w:r>
        <w:rPr>
          <w:rFonts w:ascii="宋体" w:hAnsi="宋体" w:eastAsia="宋体" w:cs="宋体"/>
          <w:spacing w:val="-14"/>
          <w:sz w:val="24"/>
          <w:szCs w:val="24"/>
        </w:rPr>
        <w:t>形成次生灌木林，</w:t>
      </w:r>
      <w:r>
        <w:rPr>
          <w:rFonts w:ascii="宋体" w:hAnsi="宋体" w:eastAsia="宋体" w:cs="宋体"/>
          <w:spacing w:val="28"/>
          <w:sz w:val="24"/>
          <w:szCs w:val="24"/>
        </w:rPr>
        <w:t xml:space="preserve"> </w:t>
      </w:r>
      <w:r>
        <w:rPr>
          <w:rFonts w:ascii="宋体" w:hAnsi="宋体" w:eastAsia="宋体" w:cs="宋体"/>
          <w:spacing w:val="-14"/>
          <w:sz w:val="24"/>
          <w:szCs w:val="24"/>
        </w:rPr>
        <w:t>往往还有大量</w:t>
      </w:r>
      <w:r>
        <w:rPr>
          <w:rFonts w:ascii="宋体" w:hAnsi="宋体" w:eastAsia="宋体" w:cs="宋体"/>
          <w:spacing w:val="-15"/>
          <w:sz w:val="24"/>
          <w:szCs w:val="24"/>
        </w:rPr>
        <w:t>的云南松侵入群落，</w:t>
      </w:r>
      <w:r>
        <w:rPr>
          <w:rFonts w:ascii="宋体" w:hAnsi="宋体" w:eastAsia="宋体" w:cs="宋体"/>
          <w:spacing w:val="29"/>
          <w:sz w:val="24"/>
          <w:szCs w:val="24"/>
        </w:rPr>
        <w:t xml:space="preserve"> </w:t>
      </w:r>
      <w:r>
        <w:rPr>
          <w:rFonts w:ascii="宋体" w:hAnsi="宋体" w:eastAsia="宋体" w:cs="宋体"/>
          <w:spacing w:val="-15"/>
          <w:sz w:val="24"/>
          <w:szCs w:val="24"/>
        </w:rPr>
        <w:t>在</w:t>
      </w:r>
      <w:r>
        <w:rPr>
          <w:rFonts w:ascii="宋体" w:hAnsi="宋体" w:eastAsia="宋体" w:cs="宋体"/>
          <w:sz w:val="24"/>
          <w:szCs w:val="24"/>
        </w:rPr>
        <w:t xml:space="preserve"> </w:t>
      </w:r>
      <w:r>
        <w:rPr>
          <w:rFonts w:ascii="宋体" w:hAnsi="宋体" w:eastAsia="宋体" w:cs="宋体"/>
          <w:spacing w:val="-8"/>
          <w:sz w:val="24"/>
          <w:szCs w:val="24"/>
        </w:rPr>
        <w:t>人为干扰较大的地方形成了云南松纯林， 在本调查中未作细分， 一并描述为云南</w:t>
      </w:r>
    </w:p>
    <w:p>
      <w:pPr>
        <w:spacing w:before="1" w:line="218" w:lineRule="auto"/>
        <w:ind w:left="55"/>
        <w:rPr>
          <w:rFonts w:ascii="宋体" w:hAnsi="宋体" w:eastAsia="宋体" w:cs="宋体"/>
          <w:sz w:val="24"/>
          <w:szCs w:val="24"/>
        </w:rPr>
      </w:pPr>
      <w:r>
        <w:rPr>
          <w:rFonts w:ascii="宋体" w:hAnsi="宋体" w:eastAsia="宋体" w:cs="宋体"/>
          <w:spacing w:val="-2"/>
          <w:sz w:val="24"/>
          <w:szCs w:val="24"/>
        </w:rPr>
        <w:t>松林群系或云南松群落。因此，本调查一共记录</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个群系、</w:t>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个群落。</w:t>
      </w:r>
    </w:p>
    <w:p>
      <w:pPr>
        <w:spacing w:before="182" w:line="220" w:lineRule="auto"/>
        <w:ind w:left="612"/>
        <w:rPr>
          <w:rFonts w:ascii="宋体" w:hAnsi="宋体" w:eastAsia="宋体" w:cs="宋体"/>
          <w:sz w:val="24"/>
          <w:szCs w:val="24"/>
        </w:rPr>
      </w:pPr>
      <w:r>
        <w:rPr>
          <w:rFonts w:ascii="宋体" w:hAnsi="宋体" w:eastAsia="宋体" w:cs="宋体"/>
          <w:spacing w:val="-13"/>
          <w:sz w:val="24"/>
          <w:szCs w:val="24"/>
        </w:rPr>
        <w:t>Ⅰ</w:t>
      </w:r>
      <w:r>
        <w:rPr>
          <w:rFonts w:ascii="Times New Roman" w:hAnsi="Times New Roman" w:eastAsia="Times New Roman" w:cs="Times New Roman"/>
          <w:spacing w:val="-13"/>
          <w:sz w:val="24"/>
          <w:szCs w:val="24"/>
        </w:rPr>
        <w:t>.</w:t>
      </w:r>
      <w:r>
        <w:rPr>
          <w:rFonts w:ascii="宋体" w:hAnsi="宋体" w:eastAsia="宋体" w:cs="宋体"/>
          <w:spacing w:val="-13"/>
          <w:sz w:val="24"/>
          <w:szCs w:val="24"/>
        </w:rPr>
        <w:t>常绿阔叶林</w:t>
      </w:r>
    </w:p>
    <w:p>
      <w:pPr>
        <w:spacing w:before="183" w:line="360" w:lineRule="auto"/>
        <w:ind w:left="55" w:right="20" w:firstLine="482"/>
        <w:rPr>
          <w:rFonts w:ascii="宋体" w:hAnsi="宋体" w:eastAsia="宋体" w:cs="宋体"/>
          <w:sz w:val="24"/>
          <w:szCs w:val="24"/>
        </w:rPr>
      </w:pPr>
      <w:r>
        <w:rPr>
          <w:rFonts w:ascii="宋体" w:hAnsi="宋体" w:eastAsia="宋体" w:cs="宋体"/>
          <w:spacing w:val="-6"/>
          <w:sz w:val="24"/>
          <w:szCs w:val="24"/>
        </w:rPr>
        <w:t>半湿润常绿阔叶林是滇中高原地区的基本植被类型，</w:t>
      </w:r>
      <w:r>
        <w:rPr>
          <w:rFonts w:ascii="宋体" w:hAnsi="宋体" w:eastAsia="宋体" w:cs="宋体"/>
          <w:spacing w:val="-30"/>
          <w:sz w:val="24"/>
          <w:szCs w:val="24"/>
        </w:rPr>
        <w:t xml:space="preserve"> </w:t>
      </w:r>
      <w:r>
        <w:rPr>
          <w:rFonts w:ascii="宋体" w:hAnsi="宋体" w:eastAsia="宋体" w:cs="宋体"/>
          <w:spacing w:val="-6"/>
          <w:sz w:val="24"/>
          <w:szCs w:val="24"/>
        </w:rPr>
        <w:t>它分布于高原宽谷盆地</w:t>
      </w:r>
      <w:r>
        <w:rPr>
          <w:rFonts w:ascii="宋体" w:hAnsi="宋体" w:eastAsia="宋体" w:cs="宋体"/>
          <w:sz w:val="24"/>
          <w:szCs w:val="24"/>
        </w:rPr>
        <w:t xml:space="preserve"> </w:t>
      </w:r>
      <w:r>
        <w:rPr>
          <w:rFonts w:ascii="宋体" w:hAnsi="宋体" w:eastAsia="宋体" w:cs="宋体"/>
          <w:spacing w:val="-1"/>
          <w:sz w:val="24"/>
          <w:szCs w:val="24"/>
        </w:rPr>
        <w:t xml:space="preserve">四周的低山丘陵上，海拔高度大约为 </w:t>
      </w:r>
      <w:r>
        <w:rPr>
          <w:rFonts w:ascii="Times New Roman" w:hAnsi="Times New Roman" w:eastAsia="Times New Roman" w:cs="Times New Roman"/>
          <w:spacing w:val="-1"/>
          <w:sz w:val="24"/>
          <w:szCs w:val="24"/>
        </w:rPr>
        <w:t>1700-2500m</w:t>
      </w:r>
      <w:r>
        <w:rPr>
          <w:rFonts w:ascii="宋体" w:hAnsi="宋体" w:eastAsia="宋体" w:cs="宋体"/>
          <w:spacing w:val="-1"/>
          <w:sz w:val="24"/>
          <w:szCs w:val="24"/>
        </w:rPr>
        <w:t>，与整个高原面的起伏高度基</w:t>
      </w:r>
      <w:r>
        <w:rPr>
          <w:rFonts w:ascii="宋体" w:hAnsi="宋体" w:eastAsia="宋体" w:cs="宋体"/>
          <w:spacing w:val="18"/>
          <w:sz w:val="24"/>
          <w:szCs w:val="24"/>
        </w:rPr>
        <w:t xml:space="preserve"> </w:t>
      </w:r>
      <w:r>
        <w:rPr>
          <w:rFonts w:ascii="宋体" w:hAnsi="宋体" w:eastAsia="宋体" w:cs="宋体"/>
          <w:spacing w:val="-8"/>
          <w:sz w:val="24"/>
          <w:szCs w:val="24"/>
        </w:rPr>
        <w:t>本一致，</w:t>
      </w:r>
      <w:r>
        <w:rPr>
          <w:rFonts w:ascii="宋体" w:hAnsi="宋体" w:eastAsia="宋体" w:cs="宋体"/>
          <w:spacing w:val="-42"/>
          <w:sz w:val="24"/>
          <w:szCs w:val="24"/>
        </w:rPr>
        <w:t xml:space="preserve"> </w:t>
      </w:r>
      <w:r>
        <w:rPr>
          <w:rFonts w:ascii="宋体" w:hAnsi="宋体" w:eastAsia="宋体" w:cs="宋体"/>
          <w:spacing w:val="-8"/>
          <w:sz w:val="24"/>
          <w:szCs w:val="24"/>
        </w:rPr>
        <w:t>由于长期的人为经济活动， 特别是砍</w:t>
      </w:r>
      <w:r>
        <w:rPr>
          <w:rFonts w:ascii="宋体" w:hAnsi="宋体" w:eastAsia="宋体" w:cs="宋体"/>
          <w:spacing w:val="-9"/>
          <w:sz w:val="24"/>
          <w:szCs w:val="24"/>
        </w:rPr>
        <w:t>取硬栎木作为薪炭及林下放牧的影</w:t>
      </w:r>
      <w:r>
        <w:rPr>
          <w:rFonts w:ascii="宋体" w:hAnsi="宋体" w:eastAsia="宋体" w:cs="宋体"/>
          <w:sz w:val="24"/>
          <w:szCs w:val="24"/>
        </w:rPr>
        <w:t xml:space="preserve"> </w:t>
      </w:r>
      <w:r>
        <w:rPr>
          <w:rFonts w:ascii="宋体" w:hAnsi="宋体" w:eastAsia="宋体" w:cs="宋体"/>
          <w:spacing w:val="-15"/>
          <w:sz w:val="24"/>
          <w:szCs w:val="24"/>
        </w:rPr>
        <w:t>响，</w:t>
      </w:r>
      <w:r>
        <w:rPr>
          <w:rFonts w:ascii="宋体" w:hAnsi="宋体" w:eastAsia="宋体" w:cs="宋体"/>
          <w:spacing w:val="-35"/>
          <w:sz w:val="24"/>
          <w:szCs w:val="24"/>
        </w:rPr>
        <w:t xml:space="preserve"> </w:t>
      </w:r>
      <w:r>
        <w:rPr>
          <w:rFonts w:ascii="宋体" w:hAnsi="宋体" w:eastAsia="宋体" w:cs="宋体"/>
          <w:spacing w:val="-15"/>
          <w:sz w:val="24"/>
          <w:szCs w:val="24"/>
        </w:rPr>
        <w:t>原始状态的森林已很少见了。目前，</w:t>
      </w:r>
      <w:r>
        <w:rPr>
          <w:rFonts w:ascii="宋体" w:hAnsi="宋体" w:eastAsia="宋体" w:cs="宋体"/>
          <w:spacing w:val="37"/>
          <w:sz w:val="24"/>
          <w:szCs w:val="24"/>
        </w:rPr>
        <w:t xml:space="preserve"> </w:t>
      </w:r>
      <w:r>
        <w:rPr>
          <w:rFonts w:ascii="宋体" w:hAnsi="宋体" w:eastAsia="宋体" w:cs="宋体"/>
          <w:spacing w:val="-15"/>
          <w:sz w:val="24"/>
          <w:szCs w:val="24"/>
        </w:rPr>
        <w:t>这类森林都呈岛屿状星散分布，</w:t>
      </w:r>
      <w:r>
        <w:rPr>
          <w:rFonts w:ascii="宋体" w:hAnsi="宋体" w:eastAsia="宋体" w:cs="宋体"/>
          <w:spacing w:val="56"/>
          <w:sz w:val="24"/>
          <w:szCs w:val="24"/>
        </w:rPr>
        <w:t xml:space="preserve"> </w:t>
      </w:r>
      <w:r>
        <w:rPr>
          <w:rFonts w:ascii="宋体" w:hAnsi="宋体" w:eastAsia="宋体" w:cs="宋体"/>
          <w:spacing w:val="-15"/>
          <w:sz w:val="24"/>
          <w:szCs w:val="24"/>
        </w:rPr>
        <w:t>阴坡和</w:t>
      </w:r>
      <w:r>
        <w:rPr>
          <w:rFonts w:ascii="宋体" w:hAnsi="宋体" w:eastAsia="宋体" w:cs="宋体"/>
          <w:sz w:val="24"/>
          <w:szCs w:val="24"/>
        </w:rPr>
        <w:t xml:space="preserve"> </w:t>
      </w:r>
      <w:r>
        <w:rPr>
          <w:rFonts w:ascii="宋体" w:hAnsi="宋体" w:eastAsia="宋体" w:cs="宋体"/>
          <w:spacing w:val="-12"/>
          <w:sz w:val="24"/>
          <w:szCs w:val="24"/>
        </w:rPr>
        <w:t>陡坡保留较好，</w:t>
      </w:r>
      <w:r>
        <w:rPr>
          <w:rFonts w:ascii="宋体" w:hAnsi="宋体" w:eastAsia="宋体" w:cs="宋体"/>
          <w:spacing w:val="34"/>
          <w:sz w:val="24"/>
          <w:szCs w:val="24"/>
        </w:rPr>
        <w:t xml:space="preserve"> </w:t>
      </w:r>
      <w:r>
        <w:rPr>
          <w:rFonts w:ascii="宋体" w:hAnsi="宋体" w:eastAsia="宋体" w:cs="宋体"/>
          <w:spacing w:val="-12"/>
          <w:sz w:val="24"/>
          <w:szCs w:val="24"/>
        </w:rPr>
        <w:t>保存较好者，</w:t>
      </w:r>
      <w:r>
        <w:rPr>
          <w:rFonts w:ascii="宋体" w:hAnsi="宋体" w:eastAsia="宋体" w:cs="宋体"/>
          <w:spacing w:val="41"/>
          <w:sz w:val="24"/>
          <w:szCs w:val="24"/>
        </w:rPr>
        <w:t xml:space="preserve"> </w:t>
      </w:r>
      <w:r>
        <w:rPr>
          <w:rFonts w:ascii="宋体" w:hAnsi="宋体" w:eastAsia="宋体" w:cs="宋体"/>
          <w:spacing w:val="-12"/>
          <w:sz w:val="24"/>
          <w:szCs w:val="24"/>
        </w:rPr>
        <w:t>多见于禄劝山区的北部山区和新平、双柏等县的哀</w:t>
      </w:r>
      <w:r>
        <w:rPr>
          <w:rFonts w:ascii="宋体" w:hAnsi="宋体" w:eastAsia="宋体" w:cs="宋体"/>
          <w:sz w:val="24"/>
          <w:szCs w:val="24"/>
        </w:rPr>
        <w:t xml:space="preserve"> </w:t>
      </w:r>
      <w:r>
        <w:rPr>
          <w:rFonts w:ascii="宋体" w:hAnsi="宋体" w:eastAsia="宋体" w:cs="宋体"/>
          <w:spacing w:val="-1"/>
          <w:sz w:val="24"/>
          <w:szCs w:val="24"/>
        </w:rPr>
        <w:t>牢山区，具有一些典型的特点：①组成乔木上层的优势或共优种主要</w:t>
      </w:r>
      <w:r>
        <w:rPr>
          <w:rFonts w:ascii="宋体" w:hAnsi="宋体" w:eastAsia="宋体" w:cs="宋体"/>
          <w:spacing w:val="-2"/>
          <w:sz w:val="24"/>
          <w:szCs w:val="24"/>
        </w:rPr>
        <w:t>是壳斗科，</w:t>
      </w:r>
      <w:r>
        <w:rPr>
          <w:rFonts w:ascii="宋体" w:hAnsi="宋体" w:eastAsia="宋体" w:cs="宋体"/>
          <w:sz w:val="24"/>
          <w:szCs w:val="24"/>
        </w:rPr>
        <w:t xml:space="preserve"> </w:t>
      </w:r>
      <w:r>
        <w:rPr>
          <w:rFonts w:ascii="宋体" w:hAnsi="宋体" w:eastAsia="宋体" w:cs="宋体"/>
          <w:spacing w:val="-7"/>
          <w:sz w:val="24"/>
          <w:szCs w:val="24"/>
        </w:rPr>
        <w:t>因此又叫</w:t>
      </w:r>
      <w:r>
        <w:rPr>
          <w:rFonts w:ascii="Times New Roman" w:hAnsi="Times New Roman" w:eastAsia="Times New Roman" w:cs="Times New Roman"/>
          <w:spacing w:val="-7"/>
          <w:sz w:val="24"/>
          <w:szCs w:val="24"/>
        </w:rPr>
        <w:t>“</w:t>
      </w:r>
      <w:r>
        <w:rPr>
          <w:rFonts w:ascii="Times New Roman" w:hAnsi="Times New Roman" w:eastAsia="Times New Roman" w:cs="Times New Roman"/>
          <w:spacing w:val="-45"/>
          <w:sz w:val="24"/>
          <w:szCs w:val="24"/>
        </w:rPr>
        <w:t xml:space="preserve"> </w:t>
      </w:r>
      <w:r>
        <w:rPr>
          <w:rFonts w:ascii="宋体" w:hAnsi="宋体" w:eastAsia="宋体" w:cs="宋体"/>
          <w:spacing w:val="-7"/>
          <w:sz w:val="24"/>
          <w:szCs w:val="24"/>
        </w:rPr>
        <w:t>常绿栎林</w:t>
      </w:r>
      <w:r>
        <w:rPr>
          <w:rFonts w:ascii="Times New Roman" w:hAnsi="Times New Roman" w:eastAsia="Times New Roman" w:cs="Times New Roman"/>
          <w:spacing w:val="-7"/>
          <w:sz w:val="24"/>
          <w:szCs w:val="24"/>
        </w:rPr>
        <w:t>”</w:t>
      </w:r>
      <w:r>
        <w:rPr>
          <w:rFonts w:ascii="宋体" w:hAnsi="宋体" w:eastAsia="宋体" w:cs="宋体"/>
          <w:spacing w:val="-7"/>
          <w:sz w:val="24"/>
          <w:szCs w:val="24"/>
        </w:rPr>
        <w:t>，而樟科、木兰科等喜温的树种在上层很少见；</w:t>
      </w:r>
      <w:r>
        <w:rPr>
          <w:rFonts w:ascii="宋体" w:hAnsi="宋体" w:eastAsia="宋体" w:cs="宋体"/>
          <w:spacing w:val="40"/>
          <w:sz w:val="24"/>
          <w:szCs w:val="24"/>
        </w:rPr>
        <w:t xml:space="preserve"> </w:t>
      </w:r>
      <w:r>
        <w:rPr>
          <w:rFonts w:ascii="宋体" w:hAnsi="宋体" w:eastAsia="宋体" w:cs="宋体"/>
          <w:spacing w:val="-7"/>
          <w:sz w:val="24"/>
          <w:szCs w:val="24"/>
        </w:rPr>
        <w:t>②组成本类</w:t>
      </w:r>
    </w:p>
    <w:p>
      <w:pPr>
        <w:spacing w:before="1" w:line="217" w:lineRule="auto"/>
        <w:ind w:left="62"/>
        <w:rPr>
          <w:rFonts w:ascii="宋体" w:hAnsi="宋体" w:eastAsia="宋体" w:cs="宋体"/>
          <w:sz w:val="24"/>
          <w:szCs w:val="24"/>
        </w:rPr>
      </w:pPr>
      <w:r>
        <w:rPr>
          <w:rFonts w:ascii="宋体" w:hAnsi="宋体" w:eastAsia="宋体" w:cs="宋体"/>
          <w:spacing w:val="1"/>
          <w:sz w:val="24"/>
          <w:szCs w:val="24"/>
        </w:rPr>
        <w:t>型的植物种类区系成分多为中国</w:t>
      </w:r>
      <w:r>
        <w:rPr>
          <w:rFonts w:ascii="Times New Roman" w:hAnsi="Times New Roman" w:eastAsia="Times New Roman" w:cs="Times New Roman"/>
          <w:spacing w:val="1"/>
          <w:sz w:val="24"/>
          <w:szCs w:val="24"/>
        </w:rPr>
        <w:t>-</w:t>
      </w:r>
      <w:r>
        <w:rPr>
          <w:rFonts w:ascii="宋体" w:hAnsi="宋体" w:eastAsia="宋体" w:cs="宋体"/>
          <w:spacing w:val="1"/>
          <w:sz w:val="24"/>
          <w:szCs w:val="24"/>
        </w:rPr>
        <w:t>喜马拉雅成分；③乔木中常伴生有耐寒耐旱的</w:t>
      </w:r>
    </w:p>
    <w:p>
      <w:pPr>
        <w:spacing w:line="217" w:lineRule="auto"/>
        <w:rPr>
          <w:rFonts w:ascii="宋体" w:hAnsi="宋体" w:eastAsia="宋体" w:cs="宋体"/>
          <w:sz w:val="24"/>
          <w:szCs w:val="24"/>
        </w:rPr>
        <w:sectPr>
          <w:headerReference r:id="rId234" w:type="default"/>
          <w:footerReference r:id="rId235" w:type="default"/>
          <w:pgSz w:w="11907" w:h="16839"/>
          <w:pgMar w:top="1156" w:right="1713" w:bottom="1374" w:left="1755" w:header="881" w:footer="1210" w:gutter="0"/>
        </w:sectPr>
      </w:pPr>
    </w:p>
    <w:p>
      <w:pPr>
        <w:spacing w:line="317" w:lineRule="auto"/>
        <w:rPr>
          <w:rFonts w:ascii="Arial"/>
          <w:sz w:val="21"/>
        </w:rPr>
      </w:pPr>
    </w:p>
    <w:p>
      <w:pPr>
        <w:spacing w:before="78" w:line="468" w:lineRule="exact"/>
        <w:jc w:val="right"/>
        <w:rPr>
          <w:rFonts w:ascii="宋体" w:hAnsi="宋体" w:eastAsia="宋体" w:cs="宋体"/>
          <w:sz w:val="24"/>
          <w:szCs w:val="24"/>
        </w:rPr>
      </w:pPr>
      <w:r>
        <w:rPr>
          <w:rFonts w:ascii="宋体" w:hAnsi="宋体" w:eastAsia="宋体" w:cs="宋体"/>
          <w:spacing w:val="-1"/>
          <w:position w:val="17"/>
          <w:sz w:val="24"/>
          <w:szCs w:val="24"/>
        </w:rPr>
        <w:t>硬叶高山栎类树种。此类常绿阔叶林的附近，普遍分布云南松林或松栎混交林、</w:t>
      </w:r>
    </w:p>
    <w:p>
      <w:pPr>
        <w:spacing w:line="219" w:lineRule="auto"/>
        <w:ind w:left="39"/>
        <w:rPr>
          <w:rFonts w:ascii="宋体" w:hAnsi="宋体" w:eastAsia="宋体" w:cs="宋体"/>
          <w:sz w:val="24"/>
          <w:szCs w:val="24"/>
        </w:rPr>
      </w:pPr>
      <w:r>
        <w:rPr>
          <w:rFonts w:ascii="宋体" w:hAnsi="宋体" w:eastAsia="宋体" w:cs="宋体"/>
          <w:spacing w:val="-3"/>
          <w:sz w:val="24"/>
          <w:szCs w:val="24"/>
        </w:rPr>
        <w:t>栎类萌生灌木林或稀树灌木草丛。</w:t>
      </w:r>
    </w:p>
    <w:p>
      <w:pPr>
        <w:spacing w:before="183" w:line="360" w:lineRule="auto"/>
        <w:ind w:left="39" w:firstLine="507"/>
        <w:rPr>
          <w:rFonts w:ascii="Times New Roman" w:hAnsi="Times New Roman" w:eastAsia="Times New Roman" w:cs="Times New Roman"/>
          <w:sz w:val="24"/>
          <w:szCs w:val="24"/>
        </w:rPr>
      </w:pPr>
      <w:r>
        <w:rPr>
          <w:rFonts w:ascii="宋体" w:hAnsi="宋体" w:eastAsia="宋体" w:cs="宋体"/>
          <w:spacing w:val="-8"/>
          <w:sz w:val="24"/>
          <w:szCs w:val="24"/>
        </w:rPr>
        <w:t>以青冈类、锥类、栎类为优势的半湿润常绿阔叶</w:t>
      </w:r>
      <w:r>
        <w:rPr>
          <w:rFonts w:ascii="宋体" w:hAnsi="宋体" w:eastAsia="宋体" w:cs="宋体"/>
          <w:spacing w:val="-9"/>
          <w:sz w:val="24"/>
          <w:szCs w:val="24"/>
        </w:rPr>
        <w:t>林是本区主要的地带性植被。</w:t>
      </w:r>
      <w:r>
        <w:rPr>
          <w:rFonts w:ascii="宋体" w:hAnsi="宋体" w:eastAsia="宋体" w:cs="宋体"/>
          <w:sz w:val="24"/>
          <w:szCs w:val="24"/>
        </w:rPr>
        <w:t xml:space="preserve"> </w:t>
      </w:r>
      <w:r>
        <w:rPr>
          <w:rFonts w:ascii="宋体" w:hAnsi="宋体" w:eastAsia="宋体" w:cs="宋体"/>
          <w:spacing w:val="-11"/>
          <w:sz w:val="24"/>
          <w:szCs w:val="24"/>
        </w:rPr>
        <w:t>然而， 本项目所在大姚县，地形起伏虽大，但农业生产历史悠久，</w:t>
      </w:r>
      <w:r>
        <w:rPr>
          <w:rFonts w:ascii="宋体" w:hAnsi="宋体" w:eastAsia="宋体" w:cs="宋体"/>
          <w:spacing w:val="49"/>
          <w:sz w:val="24"/>
          <w:szCs w:val="24"/>
        </w:rPr>
        <w:t xml:space="preserve"> </w:t>
      </w:r>
      <w:r>
        <w:rPr>
          <w:rFonts w:ascii="宋体" w:hAnsi="宋体" w:eastAsia="宋体" w:cs="宋体"/>
          <w:spacing w:val="-11"/>
          <w:sz w:val="24"/>
          <w:szCs w:val="24"/>
        </w:rPr>
        <w:t xml:space="preserve">村寨及人口集 </w:t>
      </w:r>
      <w:r>
        <w:rPr>
          <w:rFonts w:ascii="宋体" w:hAnsi="宋体" w:eastAsia="宋体" w:cs="宋体"/>
          <w:spacing w:val="-7"/>
          <w:sz w:val="24"/>
          <w:szCs w:val="24"/>
        </w:rPr>
        <w:t>中，土地的农业化开发利用程度高，</w:t>
      </w:r>
      <w:r>
        <w:rPr>
          <w:rFonts w:ascii="宋体" w:hAnsi="宋体" w:eastAsia="宋体" w:cs="宋体"/>
          <w:spacing w:val="30"/>
          <w:sz w:val="24"/>
          <w:szCs w:val="24"/>
        </w:rPr>
        <w:t xml:space="preserve"> </w:t>
      </w:r>
      <w:r>
        <w:rPr>
          <w:rFonts w:ascii="宋体" w:hAnsi="宋体" w:eastAsia="宋体" w:cs="宋体"/>
          <w:spacing w:val="-7"/>
          <w:sz w:val="24"/>
          <w:szCs w:val="24"/>
        </w:rPr>
        <w:t>当地原生</w:t>
      </w:r>
      <w:r>
        <w:rPr>
          <w:rFonts w:ascii="宋体" w:hAnsi="宋体" w:eastAsia="宋体" w:cs="宋体"/>
          <w:spacing w:val="-8"/>
          <w:sz w:val="24"/>
          <w:szCs w:val="24"/>
        </w:rPr>
        <w:t xml:space="preserve">的地带性植被半湿润常绿阔叶林已 </w:t>
      </w:r>
      <w:r>
        <w:rPr>
          <w:rFonts w:ascii="宋体" w:hAnsi="宋体" w:eastAsia="宋体" w:cs="宋体"/>
          <w:spacing w:val="-6"/>
          <w:sz w:val="24"/>
          <w:szCs w:val="24"/>
        </w:rPr>
        <w:t>经基本散失，</w:t>
      </w:r>
      <w:r>
        <w:rPr>
          <w:rFonts w:ascii="宋体" w:hAnsi="宋体" w:eastAsia="宋体" w:cs="宋体"/>
          <w:spacing w:val="-22"/>
          <w:sz w:val="24"/>
          <w:szCs w:val="24"/>
        </w:rPr>
        <w:t xml:space="preserve"> </w:t>
      </w:r>
      <w:r>
        <w:rPr>
          <w:rFonts w:ascii="宋体" w:hAnsi="宋体" w:eastAsia="宋体" w:cs="宋体"/>
          <w:spacing w:val="-6"/>
          <w:sz w:val="24"/>
          <w:szCs w:val="24"/>
        </w:rPr>
        <w:t>被大量开垦为耕地或受长期砍伐后退化为次生半湿润常绿阔叶林及 萌生稀树灌丛。由于萌生稀树灌从不稳定， 近</w:t>
      </w:r>
      <w:r>
        <w:rPr>
          <w:rFonts w:ascii="宋体" w:hAnsi="宋体" w:eastAsia="宋体" w:cs="宋体"/>
          <w:spacing w:val="-7"/>
          <w:sz w:val="24"/>
          <w:szCs w:val="24"/>
        </w:rPr>
        <w:t xml:space="preserve">年来国家实行退耕还林、封山育林 </w:t>
      </w:r>
      <w:r>
        <w:rPr>
          <w:rFonts w:ascii="宋体" w:hAnsi="宋体" w:eastAsia="宋体" w:cs="宋体"/>
          <w:spacing w:val="-16"/>
          <w:sz w:val="24"/>
          <w:szCs w:val="24"/>
        </w:rPr>
        <w:t>和天然林保护等工程，</w:t>
      </w:r>
      <w:r>
        <w:rPr>
          <w:rFonts w:ascii="宋体" w:hAnsi="宋体" w:eastAsia="宋体" w:cs="宋体"/>
          <w:spacing w:val="34"/>
          <w:sz w:val="24"/>
          <w:szCs w:val="24"/>
        </w:rPr>
        <w:t xml:space="preserve"> </w:t>
      </w:r>
      <w:r>
        <w:rPr>
          <w:rFonts w:ascii="宋体" w:hAnsi="宋体" w:eastAsia="宋体" w:cs="宋体"/>
          <w:spacing w:val="-16"/>
          <w:sz w:val="24"/>
          <w:szCs w:val="24"/>
        </w:rPr>
        <w:t>该群落极为容易恢复，</w:t>
      </w:r>
      <w:r>
        <w:rPr>
          <w:rFonts w:ascii="宋体" w:hAnsi="宋体" w:eastAsia="宋体" w:cs="宋体"/>
          <w:spacing w:val="34"/>
          <w:sz w:val="24"/>
          <w:szCs w:val="24"/>
        </w:rPr>
        <w:t xml:space="preserve"> </w:t>
      </w:r>
      <w:r>
        <w:rPr>
          <w:rFonts w:ascii="宋体" w:hAnsi="宋体" w:eastAsia="宋体" w:cs="宋体"/>
          <w:spacing w:val="-16"/>
          <w:sz w:val="24"/>
          <w:szCs w:val="24"/>
        </w:rPr>
        <w:t>故在本次调查中，</w:t>
      </w:r>
      <w:r>
        <w:rPr>
          <w:rFonts w:ascii="宋体" w:hAnsi="宋体" w:eastAsia="宋体" w:cs="宋体"/>
          <w:spacing w:val="30"/>
          <w:sz w:val="24"/>
          <w:szCs w:val="24"/>
        </w:rPr>
        <w:t xml:space="preserve"> </w:t>
      </w:r>
      <w:r>
        <w:rPr>
          <w:rFonts w:ascii="宋体" w:hAnsi="宋体" w:eastAsia="宋体" w:cs="宋体"/>
          <w:spacing w:val="-16"/>
          <w:sz w:val="24"/>
          <w:szCs w:val="24"/>
        </w:rPr>
        <w:t xml:space="preserve">全部合并为一个 </w:t>
      </w:r>
      <w:r>
        <w:rPr>
          <w:rFonts w:ascii="宋体" w:hAnsi="宋体" w:eastAsia="宋体" w:cs="宋体"/>
          <w:spacing w:val="-9"/>
          <w:sz w:val="24"/>
          <w:szCs w:val="24"/>
        </w:rPr>
        <w:t>群落描述。在本次调查中，</w:t>
      </w:r>
      <w:r>
        <w:rPr>
          <w:rFonts w:ascii="宋体" w:hAnsi="宋体" w:eastAsia="宋体" w:cs="宋体"/>
          <w:spacing w:val="23"/>
          <w:sz w:val="24"/>
          <w:szCs w:val="24"/>
        </w:rPr>
        <w:t xml:space="preserve"> </w:t>
      </w:r>
      <w:r>
        <w:rPr>
          <w:rFonts w:ascii="宋体" w:hAnsi="宋体" w:eastAsia="宋体" w:cs="宋体"/>
          <w:spacing w:val="-9"/>
          <w:sz w:val="24"/>
          <w:szCs w:val="24"/>
        </w:rPr>
        <w:t>经发现有一个群系： 滇青冈林（</w:t>
      </w:r>
      <w:r>
        <w:rPr>
          <w:rFonts w:ascii="Times New Roman" w:hAnsi="Times New Roman" w:eastAsia="Times New Roman" w:cs="Times New Roman"/>
          <w:spacing w:val="-9"/>
          <w:sz w:val="24"/>
          <w:szCs w:val="24"/>
        </w:rPr>
        <w:t xml:space="preserve">Form. </w:t>
      </w:r>
      <w:r>
        <w:rPr>
          <w:rFonts w:ascii="Times New Roman" w:hAnsi="Times New Roman" w:eastAsia="Times New Roman" w:cs="Times New Roman"/>
          <w:i/>
          <w:iCs/>
          <w:spacing w:val="-9"/>
          <w:sz w:val="24"/>
          <w:szCs w:val="24"/>
        </w:rPr>
        <w:t>C</w:t>
      </w:r>
      <w:r>
        <w:rPr>
          <w:rFonts w:ascii="Times New Roman" w:hAnsi="Times New Roman" w:eastAsia="Times New Roman" w:cs="Times New Roman"/>
          <w:i/>
          <w:iCs/>
          <w:spacing w:val="-10"/>
          <w:sz w:val="24"/>
          <w:szCs w:val="24"/>
        </w:rPr>
        <w:t>yclobalanopsis</w:t>
      </w:r>
    </w:p>
    <w:p>
      <w:pPr>
        <w:spacing w:line="212" w:lineRule="auto"/>
        <w:ind w:left="23"/>
        <w:rPr>
          <w:rFonts w:ascii="宋体" w:hAnsi="宋体" w:eastAsia="宋体" w:cs="宋体"/>
          <w:sz w:val="24"/>
          <w:szCs w:val="24"/>
        </w:rPr>
      </w:pPr>
      <w:r>
        <w:rPr>
          <w:rFonts w:ascii="Times New Roman" w:hAnsi="Times New Roman" w:eastAsia="Times New Roman" w:cs="Times New Roman"/>
          <w:i/>
          <w:iCs/>
          <w:spacing w:val="-7"/>
          <w:sz w:val="24"/>
          <w:szCs w:val="24"/>
        </w:rPr>
        <w:t>glaucoides</w:t>
      </w:r>
      <w:r>
        <w:rPr>
          <w:rFonts w:ascii="宋体" w:hAnsi="宋体" w:eastAsia="宋体" w:cs="宋体"/>
          <w:spacing w:val="-7"/>
          <w:sz w:val="24"/>
          <w:szCs w:val="24"/>
        </w:rPr>
        <w:t>）。</w:t>
      </w:r>
    </w:p>
    <w:p>
      <w:pPr>
        <w:spacing w:before="190" w:line="366" w:lineRule="auto"/>
        <w:ind w:left="39" w:right="86" w:firstLine="480"/>
        <w:rPr>
          <w:rFonts w:ascii="Times New Roman" w:hAnsi="Times New Roman" w:eastAsia="Times New Roman" w:cs="Times New Roman"/>
          <w:sz w:val="24"/>
          <w:szCs w:val="24"/>
        </w:rPr>
      </w:pPr>
      <w:r>
        <w:rPr>
          <w:rFonts w:ascii="宋体" w:hAnsi="宋体" w:eastAsia="宋体" w:cs="宋体"/>
          <w:spacing w:val="-10"/>
          <w:sz w:val="24"/>
          <w:szCs w:val="24"/>
        </w:rPr>
        <w:t>作为一个群系的代表性优势物种， 滇青冈的分布是以云南高原为中心， 并限</w:t>
      </w:r>
      <w:r>
        <w:rPr>
          <w:rFonts w:ascii="宋体" w:hAnsi="宋体" w:eastAsia="宋体" w:cs="宋体"/>
          <w:spacing w:val="5"/>
          <w:sz w:val="24"/>
          <w:szCs w:val="24"/>
        </w:rPr>
        <w:t xml:space="preserve"> </w:t>
      </w:r>
      <w:r>
        <w:rPr>
          <w:rFonts w:ascii="宋体" w:hAnsi="宋体" w:eastAsia="宋体" w:cs="宋体"/>
          <w:spacing w:val="-6"/>
          <w:sz w:val="24"/>
          <w:szCs w:val="24"/>
        </w:rPr>
        <w:t>于西南季风影响下的中亚热带气候条件。在这一范围内，</w:t>
      </w:r>
      <w:r>
        <w:rPr>
          <w:rFonts w:ascii="宋体" w:hAnsi="宋体" w:eastAsia="宋体" w:cs="宋体"/>
          <w:spacing w:val="-14"/>
          <w:sz w:val="24"/>
          <w:szCs w:val="24"/>
        </w:rPr>
        <w:t xml:space="preserve"> </w:t>
      </w:r>
      <w:r>
        <w:rPr>
          <w:rFonts w:ascii="宋体" w:hAnsi="宋体" w:eastAsia="宋体" w:cs="宋体"/>
          <w:spacing w:val="-6"/>
          <w:sz w:val="24"/>
          <w:szCs w:val="24"/>
        </w:rPr>
        <w:t>滇青冈具有较广的生态</w:t>
      </w:r>
      <w:r>
        <w:rPr>
          <w:rFonts w:ascii="宋体" w:hAnsi="宋体" w:eastAsia="宋体" w:cs="宋体"/>
          <w:sz w:val="24"/>
          <w:szCs w:val="24"/>
        </w:rPr>
        <w:t xml:space="preserve"> </w:t>
      </w:r>
      <w:r>
        <w:rPr>
          <w:rFonts w:ascii="宋体" w:hAnsi="宋体" w:eastAsia="宋体" w:cs="宋体"/>
          <w:spacing w:val="4"/>
          <w:sz w:val="24"/>
          <w:szCs w:val="24"/>
        </w:rPr>
        <w:t>适应幅度。以它为优势的森林，多见于陡坡和石灰岩地区，</w:t>
      </w:r>
      <w:r>
        <w:rPr>
          <w:rFonts w:ascii="宋体" w:hAnsi="宋体" w:eastAsia="宋体" w:cs="宋体"/>
          <w:spacing w:val="3"/>
          <w:sz w:val="24"/>
          <w:szCs w:val="24"/>
        </w:rPr>
        <w:t>滇青冈林可分布于</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1500~2500m</w:t>
      </w:r>
      <w:r>
        <w:rPr>
          <w:rFonts w:ascii="Times New Roman" w:hAnsi="Times New Roman" w:eastAsia="Times New Roman" w:cs="Times New Roman"/>
          <w:spacing w:val="38"/>
          <w:sz w:val="24"/>
          <w:szCs w:val="24"/>
        </w:rPr>
        <w:t xml:space="preserve"> </w:t>
      </w:r>
      <w:r>
        <w:rPr>
          <w:rFonts w:ascii="宋体" w:hAnsi="宋体" w:eastAsia="宋体" w:cs="宋体"/>
          <w:spacing w:val="-1"/>
          <w:sz w:val="24"/>
          <w:szCs w:val="24"/>
        </w:rPr>
        <w:t>范围，该群落分布地土壤偏干和较贫瘠，因而多少表现出耐干的生</w:t>
      </w:r>
      <w:r>
        <w:rPr>
          <w:rFonts w:ascii="宋体" w:hAnsi="宋体" w:eastAsia="宋体" w:cs="宋体"/>
          <w:sz w:val="24"/>
          <w:szCs w:val="24"/>
        </w:rPr>
        <w:t xml:space="preserve"> </w:t>
      </w:r>
      <w:r>
        <w:rPr>
          <w:rFonts w:ascii="宋体" w:hAnsi="宋体" w:eastAsia="宋体" w:cs="宋体"/>
          <w:spacing w:val="-10"/>
          <w:sz w:val="24"/>
          <w:szCs w:val="24"/>
        </w:rPr>
        <w:t>态特征。本次调查中， 仅发现一个群落：</w:t>
      </w:r>
      <w:r>
        <w:rPr>
          <w:rFonts w:ascii="宋体" w:hAnsi="宋体" w:eastAsia="宋体" w:cs="宋体"/>
          <w:spacing w:val="-50"/>
          <w:sz w:val="24"/>
          <w:szCs w:val="24"/>
        </w:rPr>
        <w:t xml:space="preserve"> </w:t>
      </w:r>
      <w:r>
        <w:rPr>
          <w:rFonts w:ascii="宋体" w:hAnsi="宋体" w:eastAsia="宋体" w:cs="宋体"/>
          <w:spacing w:val="-10"/>
          <w:sz w:val="24"/>
          <w:szCs w:val="24"/>
        </w:rPr>
        <w:t>滇青冈、高山锥群落</w:t>
      </w:r>
      <w:r>
        <w:rPr>
          <w:rFonts w:ascii="Times New Roman" w:hAnsi="Times New Roman" w:eastAsia="Times New Roman" w:cs="Times New Roman"/>
          <w:spacing w:val="-10"/>
          <w:sz w:val="24"/>
          <w:szCs w:val="24"/>
        </w:rPr>
        <w:t>(</w:t>
      </w:r>
      <w:r>
        <w:rPr>
          <w:rFonts w:ascii="Times New Roman" w:hAnsi="Times New Roman" w:eastAsia="Times New Roman" w:cs="Times New Roman"/>
          <w:i/>
          <w:iCs/>
          <w:spacing w:val="-10"/>
          <w:sz w:val="24"/>
          <w:szCs w:val="24"/>
        </w:rPr>
        <w:t>Castano</w:t>
      </w:r>
      <w:r>
        <w:rPr>
          <w:rFonts w:ascii="Times New Roman" w:hAnsi="Times New Roman" w:eastAsia="Times New Roman" w:cs="Times New Roman"/>
          <w:i/>
          <w:iCs/>
          <w:spacing w:val="-11"/>
          <w:sz w:val="24"/>
          <w:szCs w:val="24"/>
        </w:rPr>
        <w:t>psis delavayi</w:t>
      </w:r>
    </w:p>
    <w:p>
      <w:pPr>
        <w:spacing w:before="1" w:line="183" w:lineRule="auto"/>
        <w:ind w:left="34"/>
        <w:rPr>
          <w:rFonts w:ascii="宋体" w:hAnsi="宋体" w:eastAsia="宋体" w:cs="宋体"/>
          <w:sz w:val="24"/>
          <w:szCs w:val="24"/>
        </w:rPr>
      </w:pPr>
      <w:r>
        <w:rPr>
          <w:rFonts w:ascii="Times New Roman" w:hAnsi="Times New Roman" w:eastAsia="Times New Roman" w:cs="Times New Roman"/>
          <w:spacing w:val="-1"/>
          <w:sz w:val="24"/>
          <w:szCs w:val="24"/>
        </w:rPr>
        <w: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i/>
          <w:iCs/>
          <w:spacing w:val="-1"/>
          <w:sz w:val="24"/>
          <w:szCs w:val="24"/>
        </w:rPr>
        <w:t xml:space="preserve">Castanopsis delavayi </w:t>
      </w:r>
      <w:r>
        <w:rPr>
          <w:rFonts w:ascii="Times New Roman" w:hAnsi="Times New Roman" w:eastAsia="Times New Roman" w:cs="Times New Roman"/>
          <w:spacing w:val="-1"/>
          <w:sz w:val="24"/>
          <w:szCs w:val="24"/>
        </w:rPr>
        <w:t>Comm.)</w:t>
      </w:r>
      <w:r>
        <w:rPr>
          <w:rFonts w:ascii="宋体" w:hAnsi="宋体" w:eastAsia="宋体" w:cs="宋体"/>
          <w:spacing w:val="-1"/>
          <w:sz w:val="24"/>
          <w:szCs w:val="24"/>
        </w:rPr>
        <w:t>。</w:t>
      </w:r>
    </w:p>
    <w:p>
      <w:pPr>
        <w:spacing w:before="192" w:line="360" w:lineRule="auto"/>
        <w:ind w:left="41" w:right="85" w:firstLine="479"/>
        <w:rPr>
          <w:rFonts w:ascii="宋体" w:hAnsi="宋体" w:eastAsia="宋体" w:cs="宋体"/>
          <w:sz w:val="24"/>
          <w:szCs w:val="24"/>
        </w:rPr>
      </w:pPr>
      <w:r>
        <w:rPr>
          <w:rFonts w:ascii="宋体" w:hAnsi="宋体" w:eastAsia="宋体" w:cs="宋体"/>
          <w:spacing w:val="-3"/>
          <w:sz w:val="24"/>
          <w:szCs w:val="24"/>
        </w:rPr>
        <w:t>本群落是滇中高原中部和东部石灰岩山地最具有代表性的群落</w:t>
      </w:r>
      <w:r>
        <w:rPr>
          <w:rFonts w:ascii="宋体" w:hAnsi="宋体" w:eastAsia="宋体" w:cs="宋体"/>
          <w:spacing w:val="-4"/>
          <w:sz w:val="24"/>
          <w:szCs w:val="24"/>
        </w:rPr>
        <w:t>，但在石灰山</w:t>
      </w:r>
      <w:r>
        <w:rPr>
          <w:rFonts w:ascii="宋体" w:hAnsi="宋体" w:eastAsia="宋体" w:cs="宋体"/>
          <w:sz w:val="24"/>
          <w:szCs w:val="24"/>
        </w:rPr>
        <w:t xml:space="preserve"> </w:t>
      </w:r>
      <w:r>
        <w:rPr>
          <w:rFonts w:ascii="宋体" w:hAnsi="宋体" w:eastAsia="宋体" w:cs="宋体"/>
          <w:spacing w:val="-1"/>
          <w:sz w:val="24"/>
          <w:szCs w:val="24"/>
        </w:rPr>
        <w:t>以外的土山分布也很广泛，海拔分布范围</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150</w:t>
      </w:r>
      <w:r>
        <w:rPr>
          <w:rFonts w:ascii="Times New Roman" w:hAnsi="Times New Roman" w:eastAsia="Times New Roman" w:cs="Times New Roman"/>
          <w:spacing w:val="-2"/>
          <w:sz w:val="24"/>
          <w:szCs w:val="24"/>
        </w:rPr>
        <w:t>0~2000m</w:t>
      </w:r>
      <w:r>
        <w:rPr>
          <w:rFonts w:ascii="宋体" w:hAnsi="宋体" w:eastAsia="宋体" w:cs="宋体"/>
          <w:spacing w:val="-2"/>
          <w:sz w:val="24"/>
          <w:szCs w:val="24"/>
        </w:rPr>
        <w:t>。由于长期以来人为活动</w:t>
      </w:r>
      <w:r>
        <w:rPr>
          <w:rFonts w:ascii="宋体" w:hAnsi="宋体" w:eastAsia="宋体" w:cs="宋体"/>
          <w:sz w:val="24"/>
          <w:szCs w:val="24"/>
        </w:rPr>
        <w:t xml:space="preserve"> </w:t>
      </w:r>
      <w:r>
        <w:rPr>
          <w:rFonts w:ascii="宋体" w:hAnsi="宋体" w:eastAsia="宋体" w:cs="宋体"/>
          <w:spacing w:val="-11"/>
          <w:sz w:val="24"/>
          <w:szCs w:val="24"/>
        </w:rPr>
        <w:t>的影响，</w:t>
      </w:r>
      <w:r>
        <w:rPr>
          <w:rFonts w:ascii="宋体" w:hAnsi="宋体" w:eastAsia="宋体" w:cs="宋体"/>
          <w:spacing w:val="-21"/>
          <w:sz w:val="24"/>
          <w:szCs w:val="24"/>
        </w:rPr>
        <w:t xml:space="preserve"> </w:t>
      </w:r>
      <w:r>
        <w:rPr>
          <w:rFonts w:ascii="宋体" w:hAnsi="宋体" w:eastAsia="宋体" w:cs="宋体"/>
          <w:spacing w:val="-11"/>
          <w:sz w:val="24"/>
          <w:szCs w:val="24"/>
        </w:rPr>
        <w:t>加之石灰岩地区森林一旦被破坏后难以短期内恢复成林，</w:t>
      </w:r>
      <w:r>
        <w:rPr>
          <w:rFonts w:ascii="宋体" w:hAnsi="宋体" w:eastAsia="宋体" w:cs="宋体"/>
          <w:spacing w:val="60"/>
          <w:sz w:val="24"/>
          <w:szCs w:val="24"/>
        </w:rPr>
        <w:t xml:space="preserve"> </w:t>
      </w:r>
      <w:r>
        <w:rPr>
          <w:rFonts w:ascii="宋体" w:hAnsi="宋体" w:eastAsia="宋体" w:cs="宋体"/>
          <w:spacing w:val="-11"/>
          <w:sz w:val="24"/>
          <w:szCs w:val="24"/>
        </w:rPr>
        <w:t>目前大多数群</w:t>
      </w:r>
      <w:r>
        <w:rPr>
          <w:rFonts w:ascii="宋体" w:hAnsi="宋体" w:eastAsia="宋体" w:cs="宋体"/>
          <w:sz w:val="24"/>
          <w:szCs w:val="24"/>
        </w:rPr>
        <w:t xml:space="preserve"> </w:t>
      </w:r>
      <w:r>
        <w:rPr>
          <w:rFonts w:ascii="宋体" w:hAnsi="宋体" w:eastAsia="宋体" w:cs="宋体"/>
          <w:spacing w:val="-6"/>
          <w:sz w:val="24"/>
          <w:szCs w:val="24"/>
        </w:rPr>
        <w:t>落已经成为次生的半湿润常绿阔叶林及其萌生稀树灌木草丛，</w:t>
      </w:r>
      <w:r>
        <w:rPr>
          <w:rFonts w:ascii="宋体" w:hAnsi="宋体" w:eastAsia="宋体" w:cs="宋体"/>
          <w:spacing w:val="-16"/>
          <w:sz w:val="24"/>
          <w:szCs w:val="24"/>
        </w:rPr>
        <w:t xml:space="preserve"> </w:t>
      </w:r>
      <w:r>
        <w:rPr>
          <w:rFonts w:ascii="宋体" w:hAnsi="宋体" w:eastAsia="宋体" w:cs="宋体"/>
          <w:spacing w:val="-6"/>
          <w:sz w:val="24"/>
          <w:szCs w:val="24"/>
        </w:rPr>
        <w:t>残留在较为湿润的</w:t>
      </w:r>
    </w:p>
    <w:p>
      <w:pPr>
        <w:spacing w:line="220" w:lineRule="auto"/>
        <w:ind w:left="39"/>
        <w:rPr>
          <w:rFonts w:ascii="宋体" w:hAnsi="宋体" w:eastAsia="宋体" w:cs="宋体"/>
          <w:sz w:val="24"/>
          <w:szCs w:val="24"/>
        </w:rPr>
      </w:pPr>
      <w:r>
        <w:rPr>
          <w:rFonts w:ascii="宋体" w:hAnsi="宋体" w:eastAsia="宋体" w:cs="宋体"/>
          <w:spacing w:val="-3"/>
          <w:sz w:val="24"/>
          <w:szCs w:val="24"/>
        </w:rPr>
        <w:t>沟谷中。</w:t>
      </w:r>
    </w:p>
    <w:p>
      <w:pPr>
        <w:spacing w:before="182" w:line="360" w:lineRule="auto"/>
        <w:ind w:left="38" w:right="85" w:firstLine="480"/>
        <w:rPr>
          <w:rFonts w:ascii="宋体" w:hAnsi="宋体" w:eastAsia="宋体" w:cs="宋体"/>
          <w:sz w:val="24"/>
          <w:szCs w:val="24"/>
        </w:rPr>
      </w:pPr>
      <w:r>
        <w:rPr>
          <w:rFonts w:ascii="宋体" w:hAnsi="宋体" w:eastAsia="宋体" w:cs="宋体"/>
          <w:spacing w:val="-10"/>
          <w:sz w:val="24"/>
          <w:szCs w:val="24"/>
        </w:rPr>
        <w:t>评价区的滇青冈、高山锥群落受到中等程度的干扰，</w:t>
      </w:r>
      <w:r>
        <w:rPr>
          <w:rFonts w:ascii="宋体" w:hAnsi="宋体" w:eastAsia="宋体" w:cs="宋体"/>
          <w:spacing w:val="43"/>
          <w:sz w:val="24"/>
          <w:szCs w:val="24"/>
        </w:rPr>
        <w:t xml:space="preserve"> </w:t>
      </w:r>
      <w:r>
        <w:rPr>
          <w:rFonts w:ascii="宋体" w:hAnsi="宋体" w:eastAsia="宋体" w:cs="宋体"/>
          <w:spacing w:val="-10"/>
          <w:sz w:val="24"/>
          <w:szCs w:val="24"/>
        </w:rPr>
        <w:t>大树极为少见，</w:t>
      </w:r>
      <w:r>
        <w:rPr>
          <w:rFonts w:ascii="宋体" w:hAnsi="宋体" w:eastAsia="宋体" w:cs="宋体"/>
          <w:spacing w:val="-56"/>
          <w:sz w:val="24"/>
          <w:szCs w:val="24"/>
        </w:rPr>
        <w:t xml:space="preserve"> </w:t>
      </w:r>
      <w:r>
        <w:rPr>
          <w:rFonts w:ascii="宋体" w:hAnsi="宋体" w:eastAsia="宋体" w:cs="宋体"/>
          <w:spacing w:val="-10"/>
          <w:sz w:val="24"/>
          <w:szCs w:val="24"/>
        </w:rPr>
        <w:t>群落高</w:t>
      </w:r>
      <w:r>
        <w:rPr>
          <w:rFonts w:ascii="宋体" w:hAnsi="宋体" w:eastAsia="宋体" w:cs="宋体"/>
          <w:sz w:val="24"/>
          <w:szCs w:val="24"/>
        </w:rPr>
        <w:t xml:space="preserve"> </w:t>
      </w:r>
      <w:r>
        <w:rPr>
          <w:rFonts w:ascii="宋体" w:hAnsi="宋体" w:eastAsia="宋体" w:cs="宋体"/>
          <w:spacing w:val="-7"/>
          <w:sz w:val="24"/>
          <w:szCs w:val="24"/>
        </w:rPr>
        <w:t>度尚可， 林木密度较大，郁闭度为</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80%</w:t>
      </w:r>
      <w:r>
        <w:rPr>
          <w:rFonts w:ascii="宋体" w:hAnsi="宋体" w:eastAsia="宋体" w:cs="宋体"/>
          <w:spacing w:val="-7"/>
          <w:sz w:val="24"/>
          <w:szCs w:val="24"/>
        </w:rPr>
        <w:t>，但物种较为匮乏的次生群落片段。该群</w:t>
      </w:r>
      <w:r>
        <w:rPr>
          <w:rFonts w:ascii="宋体" w:hAnsi="宋体" w:eastAsia="宋体" w:cs="宋体"/>
          <w:sz w:val="24"/>
          <w:szCs w:val="24"/>
        </w:rPr>
        <w:t xml:space="preserve"> </w:t>
      </w:r>
      <w:r>
        <w:rPr>
          <w:rFonts w:ascii="宋体" w:hAnsi="宋体" w:eastAsia="宋体" w:cs="宋体"/>
          <w:spacing w:val="-3"/>
          <w:sz w:val="24"/>
          <w:szCs w:val="24"/>
        </w:rPr>
        <w:t>落主要分布于某些较为湿润的沟谷区域，零星分布于拟建水库回水淹没区、上游</w:t>
      </w:r>
      <w:r>
        <w:rPr>
          <w:rFonts w:ascii="宋体" w:hAnsi="宋体" w:eastAsia="宋体" w:cs="宋体"/>
          <w:spacing w:val="2"/>
          <w:sz w:val="24"/>
          <w:szCs w:val="24"/>
        </w:rPr>
        <w:t xml:space="preserve"> </w:t>
      </w:r>
      <w:r>
        <w:rPr>
          <w:rFonts w:ascii="宋体" w:hAnsi="宋体" w:eastAsia="宋体" w:cs="宋体"/>
          <w:spacing w:val="-9"/>
          <w:sz w:val="24"/>
          <w:szCs w:val="24"/>
        </w:rPr>
        <w:t>引水管道、下游引洪管道、全线输水管道两</w:t>
      </w:r>
      <w:r>
        <w:rPr>
          <w:rFonts w:ascii="宋体" w:hAnsi="宋体" w:eastAsia="宋体" w:cs="宋体"/>
          <w:spacing w:val="-10"/>
          <w:sz w:val="24"/>
          <w:szCs w:val="24"/>
        </w:rPr>
        <w:t>侧山坡， 海拔范围大致</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2000~2500m</w:t>
      </w:r>
      <w:r>
        <w:rPr>
          <w:rFonts w:ascii="Times New Roman" w:hAnsi="Times New Roman" w:eastAsia="Times New Roman" w:cs="Times New Roman"/>
          <w:spacing w:val="-33"/>
          <w:sz w:val="24"/>
          <w:szCs w:val="24"/>
        </w:rPr>
        <w:t xml:space="preserve"> </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7"/>
          <w:sz w:val="24"/>
          <w:szCs w:val="24"/>
        </w:rPr>
        <w:t>坡度达到</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35~50°</w:t>
      </w:r>
      <w:r>
        <w:rPr>
          <w:rFonts w:ascii="宋体" w:hAnsi="宋体" w:eastAsia="宋体" w:cs="宋体"/>
          <w:spacing w:val="-7"/>
          <w:sz w:val="24"/>
          <w:szCs w:val="24"/>
        </w:rPr>
        <w:t>。由于毁林开荒， 常与云南松林和人工核桃林水</w:t>
      </w:r>
      <w:r>
        <w:rPr>
          <w:rFonts w:ascii="宋体" w:hAnsi="宋体" w:eastAsia="宋体" w:cs="宋体"/>
          <w:spacing w:val="-8"/>
          <w:sz w:val="24"/>
          <w:szCs w:val="24"/>
        </w:rPr>
        <w:t>平交错分布。受</w:t>
      </w:r>
    </w:p>
    <w:p>
      <w:pPr>
        <w:spacing w:line="219" w:lineRule="auto"/>
        <w:ind w:left="41"/>
        <w:rPr>
          <w:rFonts w:ascii="宋体" w:hAnsi="宋体" w:eastAsia="宋体" w:cs="宋体"/>
          <w:sz w:val="24"/>
          <w:szCs w:val="24"/>
        </w:rPr>
      </w:pPr>
      <w:r>
        <w:rPr>
          <w:rFonts w:ascii="宋体" w:hAnsi="宋体" w:eastAsia="宋体" w:cs="宋体"/>
          <w:spacing w:val="-2"/>
          <w:sz w:val="24"/>
          <w:szCs w:val="24"/>
        </w:rPr>
        <w:t>人为砍伐、开荒种地等影响，具有明显的次生性质。</w:t>
      </w:r>
    </w:p>
    <w:p>
      <w:pPr>
        <w:spacing w:before="183" w:line="468" w:lineRule="exact"/>
        <w:ind w:left="520"/>
        <w:rPr>
          <w:rFonts w:ascii="Times New Roman" w:hAnsi="Times New Roman" w:eastAsia="Times New Roman" w:cs="Times New Roman"/>
          <w:sz w:val="24"/>
          <w:szCs w:val="24"/>
        </w:rPr>
      </w:pPr>
      <w:r>
        <w:rPr>
          <w:rFonts w:ascii="宋体" w:hAnsi="宋体" w:eastAsia="宋体" w:cs="宋体"/>
          <w:spacing w:val="9"/>
          <w:position w:val="17"/>
          <w:sz w:val="24"/>
          <w:szCs w:val="24"/>
        </w:rPr>
        <w:t>乔木分为两层</w:t>
      </w:r>
      <w:r>
        <w:rPr>
          <w:rFonts w:ascii="宋体" w:hAnsi="宋体" w:eastAsia="宋体" w:cs="宋体"/>
          <w:spacing w:val="-36"/>
          <w:position w:val="17"/>
          <w:sz w:val="24"/>
          <w:szCs w:val="24"/>
        </w:rPr>
        <w:t xml:space="preserve"> </w:t>
      </w:r>
      <w:r>
        <w:rPr>
          <w:rFonts w:ascii="宋体" w:hAnsi="宋体" w:eastAsia="宋体" w:cs="宋体"/>
          <w:spacing w:val="9"/>
          <w:position w:val="17"/>
          <w:sz w:val="24"/>
          <w:szCs w:val="24"/>
        </w:rPr>
        <w:t>。乔木上层高度为</w:t>
      </w:r>
      <w:r>
        <w:rPr>
          <w:rFonts w:ascii="宋体" w:hAnsi="宋体" w:eastAsia="宋体" w:cs="宋体"/>
          <w:spacing w:val="59"/>
          <w:position w:val="17"/>
          <w:sz w:val="24"/>
          <w:szCs w:val="24"/>
        </w:rPr>
        <w:t xml:space="preserve"> </w:t>
      </w:r>
      <w:r>
        <w:rPr>
          <w:rFonts w:ascii="Times New Roman" w:hAnsi="Times New Roman" w:eastAsia="Times New Roman" w:cs="Times New Roman"/>
          <w:spacing w:val="9"/>
          <w:position w:val="17"/>
          <w:sz w:val="24"/>
          <w:szCs w:val="24"/>
        </w:rPr>
        <w:t xml:space="preserve">12~16m </w:t>
      </w:r>
      <w:r>
        <w:rPr>
          <w:rFonts w:ascii="宋体" w:hAnsi="宋体" w:eastAsia="宋体" w:cs="宋体"/>
          <w:spacing w:val="9"/>
          <w:position w:val="17"/>
          <w:sz w:val="24"/>
          <w:szCs w:val="24"/>
        </w:rPr>
        <w:t>，</w:t>
      </w:r>
      <w:r>
        <w:rPr>
          <w:rFonts w:ascii="宋体" w:hAnsi="宋体" w:eastAsia="宋体" w:cs="宋体"/>
          <w:spacing w:val="-55"/>
          <w:position w:val="17"/>
          <w:sz w:val="24"/>
          <w:szCs w:val="24"/>
        </w:rPr>
        <w:t xml:space="preserve"> </w:t>
      </w:r>
      <w:r>
        <w:rPr>
          <w:rFonts w:ascii="宋体" w:hAnsi="宋体" w:eastAsia="宋体" w:cs="宋体"/>
          <w:spacing w:val="9"/>
          <w:position w:val="17"/>
          <w:sz w:val="24"/>
          <w:szCs w:val="24"/>
        </w:rPr>
        <w:t>以滇青</w:t>
      </w:r>
      <w:r>
        <w:rPr>
          <w:rFonts w:ascii="宋体" w:hAnsi="宋体" w:eastAsia="宋体" w:cs="宋体"/>
          <w:spacing w:val="-49"/>
          <w:position w:val="17"/>
          <w:sz w:val="24"/>
          <w:szCs w:val="24"/>
        </w:rPr>
        <w:t xml:space="preserve"> </w:t>
      </w:r>
      <w:r>
        <w:rPr>
          <w:rFonts w:ascii="宋体" w:hAnsi="宋体" w:eastAsia="宋体" w:cs="宋体"/>
          <w:spacing w:val="9"/>
          <w:position w:val="17"/>
          <w:sz w:val="24"/>
          <w:szCs w:val="24"/>
        </w:rPr>
        <w:t>冈</w:t>
      </w:r>
      <w:r>
        <w:rPr>
          <w:rFonts w:ascii="宋体" w:hAnsi="宋体" w:eastAsia="宋体" w:cs="宋体"/>
          <w:spacing w:val="45"/>
          <w:position w:val="17"/>
          <w:sz w:val="24"/>
          <w:szCs w:val="24"/>
        </w:rPr>
        <w:t xml:space="preserve"> </w:t>
      </w:r>
      <w:r>
        <w:rPr>
          <w:rFonts w:ascii="Times New Roman" w:hAnsi="Times New Roman" w:eastAsia="Times New Roman" w:cs="Times New Roman"/>
          <w:i/>
          <w:iCs/>
          <w:position w:val="17"/>
          <w:sz w:val="24"/>
          <w:szCs w:val="24"/>
        </w:rPr>
        <w:t>Cyclobalanopsis</w:t>
      </w:r>
    </w:p>
    <w:p>
      <w:pPr>
        <w:spacing w:before="1" w:line="212" w:lineRule="auto"/>
        <w:ind w:left="23"/>
        <w:rPr>
          <w:rFonts w:ascii="Times New Roman" w:hAnsi="Times New Roman" w:eastAsia="Times New Roman" w:cs="Times New Roman"/>
          <w:sz w:val="24"/>
          <w:szCs w:val="24"/>
        </w:rPr>
      </w:pPr>
      <w:r>
        <w:rPr>
          <w:rFonts w:ascii="Times New Roman" w:hAnsi="Times New Roman" w:eastAsia="Times New Roman" w:cs="Times New Roman"/>
          <w:i/>
          <w:iCs/>
          <w:spacing w:val="-1"/>
          <w:sz w:val="24"/>
          <w:szCs w:val="24"/>
        </w:rPr>
        <w:t>glaucoides</w:t>
      </w:r>
      <w:r>
        <w:rPr>
          <w:rFonts w:ascii="宋体" w:hAnsi="宋体" w:eastAsia="宋体" w:cs="宋体"/>
          <w:spacing w:val="-1"/>
          <w:sz w:val="24"/>
          <w:szCs w:val="24"/>
        </w:rPr>
        <w:t>、高山锥</w:t>
      </w:r>
      <w:r>
        <w:rPr>
          <w:rFonts w:ascii="宋体" w:hAnsi="宋体" w:eastAsia="宋体" w:cs="宋体"/>
          <w:spacing w:val="-43"/>
          <w:sz w:val="24"/>
          <w:szCs w:val="24"/>
        </w:rPr>
        <w:t xml:space="preserve"> </w:t>
      </w:r>
      <w:r>
        <w:rPr>
          <w:rFonts w:ascii="Times New Roman" w:hAnsi="Times New Roman" w:eastAsia="Times New Roman" w:cs="Times New Roman"/>
          <w:i/>
          <w:iCs/>
          <w:spacing w:val="-1"/>
          <w:sz w:val="24"/>
          <w:szCs w:val="24"/>
        </w:rPr>
        <w:t>Castanopsis</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pacing w:val="-1"/>
          <w:sz w:val="24"/>
          <w:szCs w:val="24"/>
        </w:rPr>
        <w:t xml:space="preserve">delavayi </w:t>
      </w:r>
      <w:r>
        <w:rPr>
          <w:rFonts w:ascii="宋体" w:hAnsi="宋体" w:eastAsia="宋体" w:cs="宋体"/>
          <w:spacing w:val="-1"/>
          <w:sz w:val="24"/>
          <w:szCs w:val="24"/>
        </w:rPr>
        <w:t>为优势，其他常见的物种</w:t>
      </w:r>
      <w:r>
        <w:rPr>
          <w:rFonts w:ascii="宋体" w:hAnsi="宋体" w:eastAsia="宋体" w:cs="宋体"/>
          <w:spacing w:val="-2"/>
          <w:sz w:val="24"/>
          <w:szCs w:val="24"/>
        </w:rPr>
        <w:t>有云南松</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Pinus</w:t>
      </w:r>
    </w:p>
    <w:p>
      <w:pPr>
        <w:spacing w:line="212" w:lineRule="auto"/>
        <w:rPr>
          <w:rFonts w:ascii="Times New Roman" w:hAnsi="Times New Roman" w:eastAsia="Times New Roman" w:cs="Times New Roman"/>
          <w:sz w:val="24"/>
          <w:szCs w:val="24"/>
        </w:rPr>
        <w:sectPr>
          <w:headerReference r:id="rId236" w:type="default"/>
          <w:footerReference r:id="rId237" w:type="default"/>
          <w:pgSz w:w="11907" w:h="16839"/>
          <w:pgMar w:top="1156" w:right="1713" w:bottom="1374" w:left="1770" w:header="881" w:footer="1210" w:gutter="0"/>
        </w:sectPr>
      </w:pPr>
    </w:p>
    <w:p>
      <w:pPr>
        <w:spacing w:line="321" w:lineRule="auto"/>
        <w:rPr>
          <w:rFonts w:ascii="Arial"/>
          <w:sz w:val="21"/>
        </w:rPr>
      </w:pPr>
    </w:p>
    <w:p>
      <w:pPr>
        <w:spacing w:before="78" w:line="364" w:lineRule="auto"/>
        <w:ind w:left="45" w:right="206" w:hanging="23"/>
        <w:rPr>
          <w:rFonts w:ascii="Times New Roman" w:hAnsi="Times New Roman" w:eastAsia="Times New Roman" w:cs="Times New Roman"/>
          <w:sz w:val="24"/>
          <w:szCs w:val="24"/>
        </w:rPr>
      </w:pPr>
      <w:r>
        <w:rPr>
          <w:rFonts w:ascii="Times New Roman" w:hAnsi="Times New Roman" w:eastAsia="Times New Roman" w:cs="Times New Roman"/>
          <w:i/>
          <w:iCs/>
          <w:spacing w:val="-2"/>
          <w:sz w:val="24"/>
          <w:szCs w:val="24"/>
        </w:rPr>
        <w:t>yunnanensis</w:t>
      </w:r>
      <w:r>
        <w:rPr>
          <w:rFonts w:ascii="Times New Roman" w:hAnsi="Times New Roman" w:eastAsia="Times New Roman" w:cs="Times New Roman"/>
          <w:i/>
          <w:iCs/>
          <w:spacing w:val="-31"/>
          <w:sz w:val="24"/>
          <w:szCs w:val="24"/>
        </w:rPr>
        <w:t xml:space="preserve"> </w:t>
      </w:r>
      <w:r>
        <w:rPr>
          <w:rFonts w:ascii="宋体" w:hAnsi="宋体" w:eastAsia="宋体" w:cs="宋体"/>
          <w:spacing w:val="-2"/>
          <w:sz w:val="24"/>
          <w:szCs w:val="24"/>
        </w:rPr>
        <w:t>、白柯</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Lithocarpus dealbatus</w:t>
      </w:r>
      <w:r>
        <w:rPr>
          <w:rFonts w:ascii="宋体" w:hAnsi="宋体" w:eastAsia="宋体" w:cs="宋体"/>
          <w:spacing w:val="-2"/>
          <w:sz w:val="24"/>
          <w:szCs w:val="24"/>
        </w:rPr>
        <w:t>、云南油杉</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Keteleeria evelyniana</w:t>
      </w:r>
      <w:r>
        <w:rPr>
          <w:rFonts w:ascii="宋体" w:hAnsi="宋体" w:eastAsia="宋体" w:cs="宋体"/>
          <w:spacing w:val="-2"/>
          <w:sz w:val="24"/>
          <w:szCs w:val="24"/>
        </w:rPr>
        <w:t>、尼泊尔</w:t>
      </w:r>
      <w:r>
        <w:rPr>
          <w:rFonts w:ascii="宋体" w:hAnsi="宋体" w:eastAsia="宋体" w:cs="宋体"/>
          <w:sz w:val="24"/>
          <w:szCs w:val="24"/>
        </w:rPr>
        <w:t xml:space="preserve"> </w:t>
      </w:r>
      <w:r>
        <w:rPr>
          <w:rFonts w:ascii="宋体" w:hAnsi="宋体" w:eastAsia="宋体" w:cs="宋体"/>
          <w:spacing w:val="-1"/>
          <w:sz w:val="24"/>
          <w:szCs w:val="24"/>
        </w:rPr>
        <w:t>桤木</w:t>
      </w:r>
      <w:r>
        <w:rPr>
          <w:rFonts w:ascii="宋体" w:hAnsi="宋体" w:eastAsia="宋体" w:cs="宋体"/>
          <w:spacing w:val="-71"/>
          <w:sz w:val="24"/>
          <w:szCs w:val="24"/>
        </w:rPr>
        <w:t xml:space="preserve"> </w:t>
      </w:r>
      <w:r>
        <w:rPr>
          <w:rFonts w:ascii="Times New Roman" w:hAnsi="Times New Roman" w:eastAsia="Times New Roman" w:cs="Times New Roman"/>
          <w:i/>
          <w:iCs/>
          <w:spacing w:val="-1"/>
          <w:sz w:val="24"/>
          <w:szCs w:val="24"/>
        </w:rPr>
        <w:t>Alnus</w:t>
      </w:r>
      <w:r>
        <w:rPr>
          <w:rFonts w:ascii="Times New Roman" w:hAnsi="Times New Roman" w:eastAsia="Times New Roman" w:cs="Times New Roman"/>
          <w:i/>
          <w:iCs/>
          <w:spacing w:val="20"/>
          <w:w w:val="101"/>
          <w:sz w:val="24"/>
          <w:szCs w:val="24"/>
        </w:rPr>
        <w:t xml:space="preserve"> </w:t>
      </w:r>
      <w:r>
        <w:rPr>
          <w:rFonts w:ascii="Times New Roman" w:hAnsi="Times New Roman" w:eastAsia="Times New Roman" w:cs="Times New Roman"/>
          <w:i/>
          <w:iCs/>
          <w:spacing w:val="-1"/>
          <w:sz w:val="24"/>
          <w:szCs w:val="24"/>
        </w:rPr>
        <w:t>nepalensis</w:t>
      </w:r>
      <w:r>
        <w:rPr>
          <w:rFonts w:ascii="宋体" w:hAnsi="宋体" w:eastAsia="宋体" w:cs="宋体"/>
          <w:spacing w:val="-1"/>
          <w:sz w:val="24"/>
          <w:szCs w:val="24"/>
        </w:rPr>
        <w:t>、香叶树</w:t>
      </w:r>
      <w:r>
        <w:rPr>
          <w:rFonts w:ascii="宋体" w:hAnsi="宋体" w:eastAsia="宋体" w:cs="宋体"/>
          <w:spacing w:val="-58"/>
          <w:sz w:val="24"/>
          <w:szCs w:val="24"/>
        </w:rPr>
        <w:t xml:space="preserve"> </w:t>
      </w:r>
      <w:r>
        <w:rPr>
          <w:rFonts w:ascii="Times New Roman" w:hAnsi="Times New Roman" w:eastAsia="Times New Roman" w:cs="Times New Roman"/>
          <w:i/>
          <w:iCs/>
          <w:spacing w:val="-1"/>
          <w:sz w:val="24"/>
          <w:szCs w:val="24"/>
        </w:rPr>
        <w:t>Lindera</w:t>
      </w:r>
      <w:r>
        <w:rPr>
          <w:rFonts w:ascii="Times New Roman" w:hAnsi="Times New Roman" w:eastAsia="Times New Roman" w:cs="Times New Roman"/>
          <w:i/>
          <w:iCs/>
          <w:spacing w:val="22"/>
          <w:w w:val="101"/>
          <w:sz w:val="24"/>
          <w:szCs w:val="24"/>
        </w:rPr>
        <w:t xml:space="preserve"> </w:t>
      </w:r>
      <w:r>
        <w:rPr>
          <w:rFonts w:ascii="Times New Roman" w:hAnsi="Times New Roman" w:eastAsia="Times New Roman" w:cs="Times New Roman"/>
          <w:i/>
          <w:iCs/>
          <w:spacing w:val="-1"/>
          <w:sz w:val="24"/>
          <w:szCs w:val="24"/>
        </w:rPr>
        <w:t>com</w:t>
      </w:r>
      <w:r>
        <w:rPr>
          <w:rFonts w:ascii="Times New Roman" w:hAnsi="Times New Roman" w:eastAsia="Times New Roman" w:cs="Times New Roman"/>
          <w:i/>
          <w:iCs/>
          <w:spacing w:val="-2"/>
          <w:sz w:val="24"/>
          <w:szCs w:val="24"/>
        </w:rPr>
        <w:t>munis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、栓皮栎</w:t>
      </w:r>
      <w:r>
        <w:rPr>
          <w:rFonts w:ascii="宋体" w:hAnsi="宋体" w:eastAsia="宋体" w:cs="宋体"/>
          <w:spacing w:val="-49"/>
          <w:sz w:val="24"/>
          <w:szCs w:val="24"/>
        </w:rPr>
        <w:t xml:space="preserve"> </w:t>
      </w:r>
      <w:r>
        <w:rPr>
          <w:rFonts w:ascii="Times New Roman" w:hAnsi="Times New Roman" w:eastAsia="Times New Roman" w:cs="Times New Roman"/>
          <w:i/>
          <w:iCs/>
          <w:spacing w:val="-2"/>
          <w:sz w:val="24"/>
          <w:szCs w:val="24"/>
        </w:rPr>
        <w:t>Quercus</w:t>
      </w:r>
      <w:r>
        <w:rPr>
          <w:rFonts w:ascii="Times New Roman" w:hAnsi="Times New Roman" w:eastAsia="Times New Roman" w:cs="Times New Roman"/>
          <w:i/>
          <w:iCs/>
          <w:spacing w:val="22"/>
          <w:sz w:val="24"/>
          <w:szCs w:val="24"/>
        </w:rPr>
        <w:t xml:space="preserve"> </w:t>
      </w:r>
      <w:r>
        <w:rPr>
          <w:rFonts w:ascii="Times New Roman" w:hAnsi="Times New Roman" w:eastAsia="Times New Roman" w:cs="Times New Roman"/>
          <w:i/>
          <w:iCs/>
          <w:spacing w:val="-2"/>
          <w:sz w:val="24"/>
          <w:szCs w:val="24"/>
        </w:rPr>
        <w:t>variabilis</w:t>
      </w:r>
      <w:r>
        <w:rPr>
          <w:rFonts w:ascii="Times New Roman" w:hAnsi="Times New Roman" w:eastAsia="Times New Roman" w:cs="Times New Roman"/>
          <w:i/>
          <w:iCs/>
          <w:spacing w:val="-32"/>
          <w:sz w:val="24"/>
          <w:szCs w:val="24"/>
        </w:rPr>
        <w:t xml:space="preserve"> </w:t>
      </w:r>
      <w:r>
        <w:rPr>
          <w:rFonts w:ascii="宋体" w:hAnsi="宋体" w:eastAsia="宋体" w:cs="宋体"/>
          <w:spacing w:val="-2"/>
          <w:sz w:val="24"/>
          <w:szCs w:val="24"/>
        </w:rPr>
        <w:t>、西</w:t>
      </w:r>
      <w:r>
        <w:rPr>
          <w:rFonts w:ascii="宋体" w:hAnsi="宋体" w:eastAsia="宋体" w:cs="宋体"/>
          <w:sz w:val="24"/>
          <w:szCs w:val="24"/>
        </w:rPr>
        <w:t xml:space="preserve"> </w:t>
      </w:r>
      <w:r>
        <w:rPr>
          <w:rFonts w:ascii="宋体" w:hAnsi="宋体" w:eastAsia="宋体" w:cs="宋体"/>
          <w:spacing w:val="-4"/>
          <w:sz w:val="24"/>
          <w:szCs w:val="24"/>
        </w:rPr>
        <w:t>南木荷</w:t>
      </w:r>
      <w:r>
        <w:rPr>
          <w:rFonts w:ascii="宋体" w:hAnsi="宋体" w:eastAsia="宋体" w:cs="宋体"/>
          <w:spacing w:val="-58"/>
          <w:sz w:val="24"/>
          <w:szCs w:val="24"/>
        </w:rPr>
        <w:t xml:space="preserve"> </w:t>
      </w:r>
      <w:r>
        <w:rPr>
          <w:rFonts w:ascii="Times New Roman" w:hAnsi="Times New Roman" w:eastAsia="Times New Roman" w:cs="Times New Roman"/>
          <w:i/>
          <w:iCs/>
          <w:spacing w:val="-4"/>
          <w:sz w:val="24"/>
          <w:szCs w:val="24"/>
        </w:rPr>
        <w:t>Schima wallichii</w:t>
      </w:r>
      <w:r>
        <w:rPr>
          <w:rFonts w:ascii="宋体" w:hAnsi="宋体" w:eastAsia="宋体" w:cs="宋体"/>
          <w:spacing w:val="-4"/>
          <w:sz w:val="24"/>
          <w:szCs w:val="24"/>
        </w:rPr>
        <w:t>、四蕊朴</w:t>
      </w:r>
      <w:r>
        <w:rPr>
          <w:rFonts w:ascii="宋体" w:hAnsi="宋体" w:eastAsia="宋体" w:cs="宋体"/>
          <w:spacing w:val="-44"/>
          <w:sz w:val="24"/>
          <w:szCs w:val="24"/>
        </w:rPr>
        <w:t xml:space="preserve"> </w:t>
      </w:r>
      <w:r>
        <w:rPr>
          <w:rFonts w:ascii="Times New Roman" w:hAnsi="Times New Roman" w:eastAsia="Times New Roman" w:cs="Times New Roman"/>
          <w:i/>
          <w:iCs/>
          <w:spacing w:val="-4"/>
          <w:sz w:val="24"/>
          <w:szCs w:val="24"/>
        </w:rPr>
        <w:t>Celtis tetrandra</w:t>
      </w:r>
      <w:r>
        <w:rPr>
          <w:rFonts w:ascii="宋体" w:hAnsi="宋体" w:eastAsia="宋体" w:cs="宋体"/>
          <w:spacing w:val="-4"/>
          <w:sz w:val="24"/>
          <w:szCs w:val="24"/>
        </w:rPr>
        <w:t>，偶见有黄毛青冈</w:t>
      </w:r>
      <w:r>
        <w:rPr>
          <w:rFonts w:ascii="宋体" w:hAnsi="宋体" w:eastAsia="宋体" w:cs="宋体"/>
          <w:spacing w:val="-43"/>
          <w:sz w:val="24"/>
          <w:szCs w:val="24"/>
        </w:rPr>
        <w:t xml:space="preserve"> </w:t>
      </w:r>
      <w:r>
        <w:rPr>
          <w:rFonts w:ascii="Times New Roman" w:hAnsi="Times New Roman" w:eastAsia="Times New Roman" w:cs="Times New Roman"/>
          <w:i/>
          <w:iCs/>
          <w:spacing w:val="-4"/>
          <w:sz w:val="24"/>
          <w:szCs w:val="24"/>
        </w:rPr>
        <w:t>Cyclobalanopsis</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1"/>
          <w:sz w:val="24"/>
          <w:szCs w:val="24"/>
        </w:rPr>
        <w:t>delavayi</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、元江锥</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Castanopsis orth</w:t>
      </w:r>
      <w:r>
        <w:rPr>
          <w:rFonts w:ascii="Times New Roman" w:hAnsi="Times New Roman" w:eastAsia="Times New Roman" w:cs="Times New Roman"/>
          <w:i/>
          <w:iCs/>
          <w:spacing w:val="-2"/>
          <w:sz w:val="24"/>
          <w:szCs w:val="24"/>
        </w:rPr>
        <w:t>acantha</w:t>
      </w:r>
      <w:r>
        <w:rPr>
          <w:rFonts w:ascii="宋体" w:hAnsi="宋体" w:eastAsia="宋体" w:cs="宋体"/>
          <w:spacing w:val="-2"/>
          <w:sz w:val="24"/>
          <w:szCs w:val="24"/>
        </w:rPr>
        <w:t>，都是滇中高原最常见的物种。乔木二</w:t>
      </w:r>
      <w:r>
        <w:rPr>
          <w:rFonts w:ascii="宋体" w:hAnsi="宋体" w:eastAsia="宋体" w:cs="宋体"/>
          <w:sz w:val="24"/>
          <w:szCs w:val="24"/>
        </w:rPr>
        <w:t xml:space="preserve"> </w:t>
      </w:r>
      <w:r>
        <w:rPr>
          <w:rFonts w:ascii="宋体" w:hAnsi="宋体" w:eastAsia="宋体" w:cs="宋体"/>
          <w:spacing w:val="-1"/>
          <w:sz w:val="24"/>
          <w:szCs w:val="24"/>
        </w:rPr>
        <w:t>层高度为</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5-8m</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，清香木</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 xml:space="preserve">Pistacia weinmannifolia </w:t>
      </w:r>
      <w:r>
        <w:rPr>
          <w:rFonts w:ascii="宋体" w:hAnsi="宋体" w:eastAsia="宋体" w:cs="宋体"/>
          <w:spacing w:val="-1"/>
          <w:sz w:val="24"/>
          <w:szCs w:val="24"/>
        </w:rPr>
        <w:t>数量较多，常见的树种有鳞斑荚</w:t>
      </w:r>
      <w:r>
        <w:rPr>
          <w:rFonts w:ascii="宋体" w:hAnsi="宋体" w:eastAsia="宋体" w:cs="宋体"/>
          <w:sz w:val="24"/>
          <w:szCs w:val="24"/>
        </w:rPr>
        <w:t xml:space="preserve"> </w:t>
      </w:r>
      <w:r>
        <w:rPr>
          <w:rFonts w:ascii="宋体" w:hAnsi="宋体" w:eastAsia="宋体" w:cs="宋体"/>
          <w:spacing w:val="-2"/>
          <w:sz w:val="24"/>
          <w:szCs w:val="24"/>
        </w:rPr>
        <w:t xml:space="preserve">蒾 </w:t>
      </w:r>
      <w:r>
        <w:rPr>
          <w:rFonts w:ascii="Times New Roman" w:hAnsi="Times New Roman" w:eastAsia="Times New Roman" w:cs="Times New Roman"/>
          <w:i/>
          <w:iCs/>
          <w:spacing w:val="-2"/>
          <w:sz w:val="24"/>
          <w:szCs w:val="24"/>
        </w:rPr>
        <w:t>Viburnum</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pacing w:val="-2"/>
          <w:sz w:val="24"/>
          <w:szCs w:val="24"/>
        </w:rPr>
        <w:t>punctatum</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、球花石楠</w:t>
      </w:r>
      <w:r>
        <w:rPr>
          <w:rFonts w:ascii="宋体" w:hAnsi="宋体" w:eastAsia="宋体" w:cs="宋体"/>
          <w:spacing w:val="-56"/>
          <w:sz w:val="24"/>
          <w:szCs w:val="24"/>
        </w:rPr>
        <w:t xml:space="preserve"> </w:t>
      </w:r>
      <w:r>
        <w:rPr>
          <w:rFonts w:ascii="Times New Roman" w:hAnsi="Times New Roman" w:eastAsia="Times New Roman" w:cs="Times New Roman"/>
          <w:i/>
          <w:iCs/>
          <w:spacing w:val="-2"/>
          <w:sz w:val="24"/>
          <w:szCs w:val="24"/>
        </w:rPr>
        <w:t>Photinia</w:t>
      </w:r>
      <w:r>
        <w:rPr>
          <w:rFonts w:ascii="Times New Roman" w:hAnsi="Times New Roman" w:eastAsia="Times New Roman" w:cs="Times New Roman"/>
          <w:i/>
          <w:iCs/>
          <w:spacing w:val="23"/>
          <w:sz w:val="24"/>
          <w:szCs w:val="24"/>
        </w:rPr>
        <w:t xml:space="preserve"> </w:t>
      </w:r>
      <w:r>
        <w:rPr>
          <w:rFonts w:ascii="Times New Roman" w:hAnsi="Times New Roman" w:eastAsia="Times New Roman" w:cs="Times New Roman"/>
          <w:i/>
          <w:iCs/>
          <w:spacing w:val="-2"/>
          <w:sz w:val="24"/>
          <w:szCs w:val="24"/>
        </w:rPr>
        <w:t>glomerata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、珊瑚冬青</w:t>
      </w:r>
      <w:r>
        <w:rPr>
          <w:rFonts w:ascii="宋体" w:hAnsi="宋体" w:eastAsia="宋体" w:cs="宋体"/>
          <w:spacing w:val="-57"/>
          <w:sz w:val="24"/>
          <w:szCs w:val="24"/>
        </w:rPr>
        <w:t xml:space="preserve"> </w:t>
      </w:r>
      <w:r>
        <w:rPr>
          <w:rFonts w:ascii="Times New Roman" w:hAnsi="Times New Roman" w:eastAsia="Times New Roman" w:cs="Times New Roman"/>
          <w:i/>
          <w:iCs/>
          <w:spacing w:val="-2"/>
          <w:sz w:val="24"/>
          <w:szCs w:val="24"/>
        </w:rPr>
        <w:t>Ilex corallina</w:t>
      </w:r>
      <w:r>
        <w:rPr>
          <w:rFonts w:ascii="Times New Roman" w:hAnsi="Times New Roman" w:eastAsia="Times New Roman" w:cs="Times New Roman"/>
          <w:i/>
          <w:iCs/>
          <w:spacing w:val="-35"/>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0"/>
          <w:sz w:val="24"/>
          <w:szCs w:val="24"/>
        </w:rPr>
        <w:t>密花树</w:t>
      </w:r>
      <w:r>
        <w:rPr>
          <w:rFonts w:ascii="宋体" w:hAnsi="宋体" w:eastAsia="宋体" w:cs="宋体"/>
          <w:spacing w:val="44"/>
          <w:sz w:val="24"/>
          <w:szCs w:val="24"/>
        </w:rPr>
        <w:t xml:space="preserve"> </w:t>
      </w:r>
      <w:r>
        <w:rPr>
          <w:rFonts w:ascii="Times New Roman" w:hAnsi="Times New Roman" w:eastAsia="Times New Roman" w:cs="Times New Roman"/>
          <w:i/>
          <w:iCs/>
          <w:sz w:val="24"/>
          <w:szCs w:val="24"/>
        </w:rPr>
        <w:t>Myrsine</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seguinii</w:t>
      </w:r>
      <w:r>
        <w:rPr>
          <w:rFonts w:ascii="Times New Roman" w:hAnsi="Times New Roman" w:eastAsia="Times New Roman" w:cs="Times New Roman"/>
          <w:i/>
          <w:iCs/>
          <w:spacing w:val="20"/>
          <w:sz w:val="24"/>
          <w:szCs w:val="24"/>
        </w:rPr>
        <w:t xml:space="preserve"> </w:t>
      </w:r>
      <w:r>
        <w:rPr>
          <w:rFonts w:ascii="宋体" w:hAnsi="宋体" w:eastAsia="宋体" w:cs="宋体"/>
          <w:spacing w:val="10"/>
          <w:sz w:val="24"/>
          <w:szCs w:val="24"/>
        </w:rPr>
        <w:t>、</w:t>
      </w:r>
      <w:r>
        <w:rPr>
          <w:rFonts w:ascii="宋体" w:hAnsi="宋体" w:eastAsia="宋体" w:cs="宋体"/>
          <w:spacing w:val="-58"/>
          <w:sz w:val="24"/>
          <w:szCs w:val="24"/>
        </w:rPr>
        <w:t xml:space="preserve"> </w:t>
      </w:r>
      <w:r>
        <w:rPr>
          <w:rFonts w:ascii="宋体" w:hAnsi="宋体" w:eastAsia="宋体" w:cs="宋体"/>
          <w:spacing w:val="10"/>
          <w:sz w:val="24"/>
          <w:szCs w:val="24"/>
        </w:rPr>
        <w:t>滇杨</w:t>
      </w:r>
      <w:r>
        <w:rPr>
          <w:rFonts w:ascii="宋体" w:hAnsi="宋体" w:eastAsia="宋体" w:cs="宋体"/>
          <w:spacing w:val="44"/>
          <w:sz w:val="24"/>
          <w:szCs w:val="24"/>
        </w:rPr>
        <w:t xml:space="preserve"> </w:t>
      </w:r>
      <w:r>
        <w:rPr>
          <w:rFonts w:ascii="Times New Roman" w:hAnsi="Times New Roman" w:eastAsia="Times New Roman" w:cs="Times New Roman"/>
          <w:i/>
          <w:iCs/>
          <w:sz w:val="24"/>
          <w:szCs w:val="24"/>
        </w:rPr>
        <w:t>Populus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19"/>
          <w:w w:val="101"/>
          <w:sz w:val="24"/>
          <w:szCs w:val="24"/>
        </w:rPr>
        <w:t xml:space="preserve"> </w:t>
      </w:r>
      <w:r>
        <w:rPr>
          <w:rFonts w:ascii="宋体" w:hAnsi="宋体" w:eastAsia="宋体" w:cs="宋体"/>
          <w:spacing w:val="10"/>
          <w:sz w:val="24"/>
          <w:szCs w:val="24"/>
        </w:rPr>
        <w:t>、</w:t>
      </w:r>
      <w:r>
        <w:rPr>
          <w:rFonts w:ascii="宋体" w:hAnsi="宋体" w:eastAsia="宋体" w:cs="宋体"/>
          <w:spacing w:val="-58"/>
          <w:sz w:val="24"/>
          <w:szCs w:val="24"/>
        </w:rPr>
        <w:t xml:space="preserve"> </w:t>
      </w:r>
      <w:r>
        <w:rPr>
          <w:rFonts w:ascii="宋体" w:hAnsi="宋体" w:eastAsia="宋体" w:cs="宋体"/>
          <w:spacing w:val="10"/>
          <w:sz w:val="24"/>
          <w:szCs w:val="24"/>
        </w:rPr>
        <w:t>野漆</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Toxicodendron</w:t>
      </w:r>
    </w:p>
    <w:p>
      <w:pPr>
        <w:spacing w:line="219" w:lineRule="auto"/>
        <w:ind w:left="39"/>
        <w:rPr>
          <w:rFonts w:ascii="宋体" w:hAnsi="宋体" w:eastAsia="宋体" w:cs="宋体"/>
          <w:sz w:val="24"/>
          <w:szCs w:val="24"/>
        </w:rPr>
      </w:pPr>
      <w:r>
        <w:rPr>
          <w:rFonts w:ascii="Times New Roman" w:hAnsi="Times New Roman" w:eastAsia="Times New Roman" w:cs="Times New Roman"/>
          <w:i/>
          <w:iCs/>
          <w:sz w:val="24"/>
          <w:szCs w:val="24"/>
        </w:rPr>
        <w:t>succedaneum</w:t>
      </w:r>
      <w:r>
        <w:rPr>
          <w:rFonts w:ascii="宋体" w:hAnsi="宋体" w:eastAsia="宋体" w:cs="宋体"/>
          <w:spacing w:val="1"/>
          <w:sz w:val="24"/>
          <w:szCs w:val="24"/>
        </w:rPr>
        <w:t>。</w:t>
      </w:r>
    </w:p>
    <w:p>
      <w:pPr>
        <w:spacing w:before="143" w:line="360" w:lineRule="auto"/>
        <w:ind w:right="206" w:firstLine="533"/>
        <w:rPr>
          <w:rFonts w:ascii="宋体" w:hAnsi="宋体" w:eastAsia="宋体" w:cs="宋体"/>
          <w:sz w:val="24"/>
          <w:szCs w:val="24"/>
        </w:rPr>
      </w:pPr>
      <w:r>
        <w:rPr>
          <w:rFonts w:ascii="宋体" w:hAnsi="宋体" w:eastAsia="宋体" w:cs="宋体"/>
          <w:spacing w:val="-11"/>
          <w:sz w:val="24"/>
          <w:szCs w:val="24"/>
        </w:rPr>
        <w:t>灌木层高</w:t>
      </w:r>
      <w:r>
        <w:rPr>
          <w:rFonts w:ascii="宋体" w:hAnsi="宋体" w:eastAsia="宋体" w:cs="宋体"/>
          <w:spacing w:val="-51"/>
          <w:sz w:val="24"/>
          <w:szCs w:val="24"/>
        </w:rPr>
        <w:t xml:space="preserve"> </w:t>
      </w:r>
      <w:r>
        <w:rPr>
          <w:rFonts w:ascii="Times New Roman" w:hAnsi="Times New Roman" w:eastAsia="Times New Roman" w:cs="Times New Roman"/>
          <w:spacing w:val="-11"/>
          <w:sz w:val="24"/>
          <w:szCs w:val="24"/>
        </w:rPr>
        <w:t>0.5~4.9m</w:t>
      </w:r>
      <w:r>
        <w:rPr>
          <w:rFonts w:ascii="宋体" w:hAnsi="宋体" w:eastAsia="宋体" w:cs="宋体"/>
          <w:spacing w:val="-11"/>
          <w:sz w:val="24"/>
          <w:szCs w:val="24"/>
        </w:rPr>
        <w:t>，较为发达， 物种也比较丰富，</w:t>
      </w:r>
      <w:r>
        <w:rPr>
          <w:rFonts w:ascii="宋体" w:hAnsi="宋体" w:eastAsia="宋体" w:cs="宋体"/>
          <w:spacing w:val="28"/>
          <w:sz w:val="24"/>
          <w:szCs w:val="24"/>
        </w:rPr>
        <w:t xml:space="preserve"> </w:t>
      </w:r>
      <w:r>
        <w:rPr>
          <w:rFonts w:ascii="宋体" w:hAnsi="宋体" w:eastAsia="宋体" w:cs="宋体"/>
          <w:spacing w:val="-11"/>
          <w:sz w:val="24"/>
          <w:szCs w:val="24"/>
        </w:rPr>
        <w:t>层盖度约为</w:t>
      </w:r>
      <w:r>
        <w:rPr>
          <w:rFonts w:ascii="宋体" w:hAnsi="宋体" w:eastAsia="宋体" w:cs="宋体"/>
          <w:spacing w:val="-47"/>
          <w:sz w:val="24"/>
          <w:szCs w:val="24"/>
        </w:rPr>
        <w:t xml:space="preserve"> </w:t>
      </w:r>
      <w:r>
        <w:rPr>
          <w:rFonts w:ascii="Times New Roman" w:hAnsi="Times New Roman" w:eastAsia="Times New Roman" w:cs="Times New Roman"/>
          <w:spacing w:val="-11"/>
          <w:sz w:val="24"/>
          <w:szCs w:val="24"/>
        </w:rPr>
        <w:t>50%</w:t>
      </w:r>
      <w:r>
        <w:rPr>
          <w:rFonts w:ascii="宋体" w:hAnsi="宋体" w:eastAsia="宋体" w:cs="宋体"/>
          <w:spacing w:val="-12"/>
          <w:sz w:val="24"/>
          <w:szCs w:val="24"/>
        </w:rPr>
        <w:t>，主要成</w:t>
      </w:r>
      <w:r>
        <w:rPr>
          <w:rFonts w:ascii="宋体" w:hAnsi="宋体" w:eastAsia="宋体" w:cs="宋体"/>
          <w:sz w:val="24"/>
          <w:szCs w:val="24"/>
        </w:rPr>
        <w:t xml:space="preserve"> </w:t>
      </w:r>
      <w:r>
        <w:rPr>
          <w:rFonts w:ascii="宋体" w:hAnsi="宋体" w:eastAsia="宋体" w:cs="宋体"/>
          <w:spacing w:val="6"/>
          <w:sz w:val="24"/>
          <w:szCs w:val="24"/>
        </w:rPr>
        <w:t xml:space="preserve">分是珍珠花 </w:t>
      </w:r>
      <w:r>
        <w:rPr>
          <w:rFonts w:ascii="Times New Roman" w:hAnsi="Times New Roman" w:eastAsia="Times New Roman" w:cs="Times New Roman"/>
          <w:i/>
          <w:iCs/>
          <w:sz w:val="24"/>
          <w:szCs w:val="24"/>
        </w:rPr>
        <w:t>Lyonia</w:t>
      </w:r>
      <w:r>
        <w:rPr>
          <w:rFonts w:ascii="Times New Roman" w:hAnsi="Times New Roman" w:eastAsia="Times New Roman" w:cs="Times New Roman"/>
          <w:i/>
          <w:iCs/>
          <w:spacing w:val="49"/>
          <w:sz w:val="24"/>
          <w:szCs w:val="24"/>
        </w:rPr>
        <w:t xml:space="preserve"> </w:t>
      </w:r>
      <w:r>
        <w:rPr>
          <w:rFonts w:ascii="Times New Roman" w:hAnsi="Times New Roman" w:eastAsia="Times New Roman" w:cs="Times New Roman"/>
          <w:i/>
          <w:iCs/>
          <w:sz w:val="24"/>
          <w:szCs w:val="24"/>
        </w:rPr>
        <w:t>ovalifolia</w:t>
      </w:r>
      <w:r>
        <w:rPr>
          <w:rFonts w:ascii="宋体" w:hAnsi="宋体" w:eastAsia="宋体" w:cs="宋体"/>
          <w:spacing w:val="6"/>
          <w:sz w:val="24"/>
          <w:szCs w:val="24"/>
        </w:rPr>
        <w:t xml:space="preserve">、火棘 </w:t>
      </w:r>
      <w:r>
        <w:rPr>
          <w:rFonts w:ascii="Times New Roman" w:hAnsi="Times New Roman" w:eastAsia="Times New Roman" w:cs="Times New Roman"/>
          <w:i/>
          <w:iCs/>
          <w:sz w:val="24"/>
          <w:szCs w:val="24"/>
        </w:rPr>
        <w:t>Pyracantha</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fortuneana</w:t>
      </w:r>
      <w:r>
        <w:rPr>
          <w:rFonts w:ascii="Times New Roman" w:hAnsi="Times New Roman" w:eastAsia="Times New Roman" w:cs="Times New Roman"/>
          <w:i/>
          <w:iCs/>
          <w:spacing w:val="-27"/>
          <w:sz w:val="24"/>
          <w:szCs w:val="24"/>
        </w:rPr>
        <w:t xml:space="preserve"> </w:t>
      </w:r>
      <w:r>
        <w:rPr>
          <w:rFonts w:ascii="宋体" w:hAnsi="宋体" w:eastAsia="宋体" w:cs="宋体"/>
          <w:spacing w:val="6"/>
          <w:sz w:val="24"/>
          <w:szCs w:val="24"/>
        </w:rPr>
        <w:t xml:space="preserve">、美丽马醉木 </w:t>
      </w:r>
      <w:r>
        <w:rPr>
          <w:rFonts w:ascii="Times New Roman" w:hAnsi="Times New Roman" w:eastAsia="Times New Roman" w:cs="Times New Roman"/>
          <w:i/>
          <w:iCs/>
          <w:sz w:val="24"/>
          <w:szCs w:val="24"/>
        </w:rPr>
        <w:t xml:space="preserve">Pieris </w:t>
      </w:r>
      <w:r>
        <w:rPr>
          <w:rFonts w:ascii="Times New Roman" w:hAnsi="Times New Roman" w:eastAsia="Times New Roman" w:cs="Times New Roman"/>
          <w:i/>
          <w:iCs/>
          <w:spacing w:val="-5"/>
          <w:sz w:val="24"/>
          <w:szCs w:val="24"/>
        </w:rPr>
        <w:t>formosa</w:t>
      </w:r>
      <w:r>
        <w:rPr>
          <w:rFonts w:ascii="宋体" w:hAnsi="宋体" w:eastAsia="宋体" w:cs="宋体"/>
          <w:spacing w:val="-5"/>
          <w:sz w:val="24"/>
          <w:szCs w:val="24"/>
        </w:rPr>
        <w:t>、马桑</w:t>
      </w:r>
      <w:r>
        <w:rPr>
          <w:rFonts w:ascii="宋体" w:hAnsi="宋体" w:eastAsia="宋体" w:cs="宋体"/>
          <w:spacing w:val="-44"/>
          <w:sz w:val="24"/>
          <w:szCs w:val="24"/>
        </w:rPr>
        <w:t xml:space="preserve"> </w:t>
      </w:r>
      <w:r>
        <w:rPr>
          <w:rFonts w:ascii="Times New Roman" w:hAnsi="Times New Roman" w:eastAsia="Times New Roman" w:cs="Times New Roman"/>
          <w:i/>
          <w:iCs/>
          <w:spacing w:val="-5"/>
          <w:sz w:val="24"/>
          <w:szCs w:val="24"/>
        </w:rPr>
        <w:t>Coriaria nepalensis</w:t>
      </w:r>
      <w:r>
        <w:rPr>
          <w:rFonts w:ascii="宋体" w:hAnsi="宋体" w:eastAsia="宋体" w:cs="宋体"/>
          <w:spacing w:val="-5"/>
          <w:sz w:val="24"/>
          <w:szCs w:val="24"/>
        </w:rPr>
        <w:t>、</w:t>
      </w:r>
      <w:r>
        <w:rPr>
          <w:rFonts w:ascii="宋体" w:hAnsi="宋体" w:eastAsia="宋体" w:cs="宋体"/>
          <w:spacing w:val="-6"/>
          <w:sz w:val="24"/>
          <w:szCs w:val="24"/>
        </w:rPr>
        <w:t>长尖叶蔷薇</w:t>
      </w:r>
      <w:r>
        <w:rPr>
          <w:rFonts w:ascii="宋体" w:hAnsi="宋体" w:eastAsia="宋体" w:cs="宋体"/>
          <w:spacing w:val="-65"/>
          <w:sz w:val="24"/>
          <w:szCs w:val="24"/>
        </w:rPr>
        <w:t xml:space="preserve"> </w:t>
      </w:r>
      <w:r>
        <w:rPr>
          <w:rFonts w:ascii="Times New Roman" w:hAnsi="Times New Roman" w:eastAsia="Times New Roman" w:cs="Times New Roman"/>
          <w:i/>
          <w:iCs/>
          <w:spacing w:val="-6"/>
          <w:sz w:val="24"/>
          <w:szCs w:val="24"/>
        </w:rPr>
        <w:t>Rosa longicuspis</w:t>
      </w:r>
      <w:r>
        <w:rPr>
          <w:rFonts w:ascii="宋体" w:hAnsi="宋体" w:eastAsia="宋体" w:cs="宋体"/>
          <w:spacing w:val="-6"/>
          <w:sz w:val="24"/>
          <w:szCs w:val="24"/>
        </w:rPr>
        <w:t>、乌鸦果</w:t>
      </w:r>
      <w:r>
        <w:rPr>
          <w:rFonts w:ascii="宋体" w:hAnsi="宋体" w:eastAsia="宋体" w:cs="宋体"/>
          <w:spacing w:val="-30"/>
          <w:sz w:val="24"/>
          <w:szCs w:val="24"/>
        </w:rPr>
        <w:t xml:space="preserve"> </w:t>
      </w:r>
      <w:r>
        <w:rPr>
          <w:rFonts w:ascii="Times New Roman" w:hAnsi="Times New Roman" w:eastAsia="Times New Roman" w:cs="Times New Roman"/>
          <w:i/>
          <w:iCs/>
          <w:spacing w:val="-6"/>
          <w:sz w:val="24"/>
          <w:szCs w:val="24"/>
        </w:rPr>
        <w:t>Vaccinium</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1"/>
          <w:sz w:val="24"/>
          <w:szCs w:val="24"/>
        </w:rPr>
        <w:t>fragile</w:t>
      </w:r>
      <w:r>
        <w:rPr>
          <w:rFonts w:ascii="宋体" w:hAnsi="宋体" w:eastAsia="宋体" w:cs="宋体"/>
          <w:spacing w:val="-1"/>
          <w:sz w:val="24"/>
          <w:szCs w:val="24"/>
        </w:rPr>
        <w:t>、牛筋条</w:t>
      </w:r>
      <w:r>
        <w:rPr>
          <w:rFonts w:ascii="宋体" w:hAnsi="宋体" w:eastAsia="宋体" w:cs="宋体"/>
          <w:spacing w:val="-51"/>
          <w:sz w:val="24"/>
          <w:szCs w:val="24"/>
        </w:rPr>
        <w:t xml:space="preserve"> </w:t>
      </w:r>
      <w:r>
        <w:rPr>
          <w:rFonts w:ascii="Times New Roman" w:hAnsi="Times New Roman" w:eastAsia="Times New Roman" w:cs="Times New Roman"/>
          <w:i/>
          <w:iCs/>
          <w:spacing w:val="-1"/>
          <w:sz w:val="24"/>
          <w:szCs w:val="24"/>
        </w:rPr>
        <w:t>Dichotomanthes tristaniicarpa</w:t>
      </w:r>
      <w:r>
        <w:rPr>
          <w:rFonts w:ascii="宋体" w:hAnsi="宋体" w:eastAsia="宋体" w:cs="宋体"/>
          <w:spacing w:val="-1"/>
          <w:sz w:val="24"/>
          <w:szCs w:val="24"/>
        </w:rPr>
        <w:t>、胡颓子</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Elaeagnuspungens</w:t>
      </w:r>
      <w:r>
        <w:rPr>
          <w:rFonts w:ascii="宋体" w:hAnsi="宋体" w:eastAsia="宋体" w:cs="宋体"/>
          <w:spacing w:val="-1"/>
          <w:sz w:val="24"/>
          <w:szCs w:val="24"/>
        </w:rPr>
        <w:t>、余甘子</w:t>
      </w:r>
      <w:r>
        <w:rPr>
          <w:rFonts w:ascii="宋体" w:hAnsi="宋体" w:eastAsia="宋体" w:cs="宋体"/>
          <w:sz w:val="24"/>
          <w:szCs w:val="24"/>
        </w:rPr>
        <w:t xml:space="preserve"> </w:t>
      </w:r>
      <w:r>
        <w:rPr>
          <w:rFonts w:ascii="Times New Roman" w:hAnsi="Times New Roman" w:eastAsia="Times New Roman" w:cs="Times New Roman"/>
          <w:i/>
          <w:iCs/>
          <w:spacing w:val="-2"/>
          <w:sz w:val="24"/>
          <w:szCs w:val="24"/>
        </w:rPr>
        <w:t>Phyllanthus</w:t>
      </w:r>
      <w:r>
        <w:rPr>
          <w:rFonts w:ascii="Times New Roman" w:hAnsi="Times New Roman" w:eastAsia="Times New Roman" w:cs="Times New Roman"/>
          <w:i/>
          <w:iCs/>
          <w:spacing w:val="24"/>
          <w:sz w:val="24"/>
          <w:szCs w:val="24"/>
        </w:rPr>
        <w:t xml:space="preserve">  </w:t>
      </w:r>
      <w:r>
        <w:rPr>
          <w:rFonts w:ascii="Times New Roman" w:hAnsi="Times New Roman" w:eastAsia="Times New Roman" w:cs="Times New Roman"/>
          <w:i/>
          <w:iCs/>
          <w:spacing w:val="-2"/>
          <w:sz w:val="24"/>
          <w:szCs w:val="24"/>
        </w:rPr>
        <w:t>emblica</w:t>
      </w:r>
      <w:r>
        <w:rPr>
          <w:rFonts w:ascii="Times New Roman" w:hAnsi="Times New Roman" w:eastAsia="Times New Roman" w:cs="Times New Roman"/>
          <w:i/>
          <w:iCs/>
          <w:spacing w:val="43"/>
          <w:sz w:val="24"/>
          <w:szCs w:val="24"/>
        </w:rPr>
        <w:t xml:space="preserve"> </w:t>
      </w:r>
      <w:r>
        <w:rPr>
          <w:rFonts w:ascii="宋体" w:hAnsi="宋体" w:eastAsia="宋体" w:cs="宋体"/>
          <w:spacing w:val="-2"/>
          <w:sz w:val="24"/>
          <w:szCs w:val="24"/>
        </w:rPr>
        <w:t>、</w:t>
      </w:r>
      <w:r>
        <w:rPr>
          <w:rFonts w:ascii="宋体" w:hAnsi="宋体" w:eastAsia="宋体" w:cs="宋体"/>
          <w:spacing w:val="-31"/>
          <w:sz w:val="24"/>
          <w:szCs w:val="24"/>
        </w:rPr>
        <w:t xml:space="preserve"> </w:t>
      </w:r>
      <w:r>
        <w:rPr>
          <w:rFonts w:ascii="宋体" w:hAnsi="宋体" w:eastAsia="宋体" w:cs="宋体"/>
          <w:spacing w:val="-2"/>
          <w:sz w:val="24"/>
          <w:szCs w:val="24"/>
        </w:rPr>
        <w:t>水</w:t>
      </w:r>
      <w:r>
        <w:rPr>
          <w:rFonts w:ascii="宋体" w:hAnsi="宋体" w:eastAsia="宋体" w:cs="宋体"/>
          <w:spacing w:val="-28"/>
          <w:sz w:val="24"/>
          <w:szCs w:val="24"/>
        </w:rPr>
        <w:t xml:space="preserve"> </w:t>
      </w:r>
      <w:r>
        <w:rPr>
          <w:rFonts w:ascii="宋体" w:hAnsi="宋体" w:eastAsia="宋体" w:cs="宋体"/>
          <w:spacing w:val="-2"/>
          <w:sz w:val="24"/>
          <w:szCs w:val="24"/>
        </w:rPr>
        <w:t>红</w:t>
      </w:r>
      <w:r>
        <w:rPr>
          <w:rFonts w:ascii="宋体" w:hAnsi="宋体" w:eastAsia="宋体" w:cs="宋体"/>
          <w:spacing w:val="-33"/>
          <w:sz w:val="24"/>
          <w:szCs w:val="24"/>
        </w:rPr>
        <w:t xml:space="preserve"> </w:t>
      </w:r>
      <w:r>
        <w:rPr>
          <w:rFonts w:ascii="宋体" w:hAnsi="宋体" w:eastAsia="宋体" w:cs="宋体"/>
          <w:spacing w:val="-2"/>
          <w:sz w:val="24"/>
          <w:szCs w:val="24"/>
        </w:rPr>
        <w:t>木</w:t>
      </w:r>
      <w:r>
        <w:rPr>
          <w:rFonts w:ascii="宋体" w:hAnsi="宋体" w:eastAsia="宋体" w:cs="宋体"/>
          <w:spacing w:val="104"/>
          <w:sz w:val="24"/>
          <w:szCs w:val="24"/>
        </w:rPr>
        <w:t xml:space="preserve"> </w:t>
      </w:r>
      <w:r>
        <w:rPr>
          <w:rFonts w:ascii="Times New Roman" w:hAnsi="Times New Roman" w:eastAsia="Times New Roman" w:cs="Times New Roman"/>
          <w:i/>
          <w:iCs/>
          <w:spacing w:val="-2"/>
          <w:sz w:val="24"/>
          <w:szCs w:val="24"/>
        </w:rPr>
        <w:t>Viburnum</w:t>
      </w:r>
      <w:r>
        <w:rPr>
          <w:rFonts w:ascii="Times New Roman" w:hAnsi="Times New Roman" w:eastAsia="Times New Roman" w:cs="Times New Roman"/>
          <w:i/>
          <w:iCs/>
          <w:spacing w:val="24"/>
          <w:w w:val="101"/>
          <w:sz w:val="24"/>
          <w:szCs w:val="24"/>
        </w:rPr>
        <w:t xml:space="preserve">  </w:t>
      </w:r>
      <w:r>
        <w:rPr>
          <w:rFonts w:ascii="Times New Roman" w:hAnsi="Times New Roman" w:eastAsia="Times New Roman" w:cs="Times New Roman"/>
          <w:i/>
          <w:iCs/>
          <w:spacing w:val="-2"/>
          <w:sz w:val="24"/>
          <w:szCs w:val="24"/>
        </w:rPr>
        <w:t>cy</w:t>
      </w:r>
      <w:r>
        <w:rPr>
          <w:rFonts w:ascii="Times New Roman" w:hAnsi="Times New Roman" w:eastAsia="Times New Roman" w:cs="Times New Roman"/>
          <w:i/>
          <w:iCs/>
          <w:spacing w:val="-3"/>
          <w:sz w:val="24"/>
          <w:szCs w:val="24"/>
        </w:rPr>
        <w:t>lindricum</w:t>
      </w:r>
      <w:r>
        <w:rPr>
          <w:rFonts w:ascii="Times New Roman" w:hAnsi="Times New Roman" w:eastAsia="Times New Roman" w:cs="Times New Roman"/>
          <w:i/>
          <w:iCs/>
          <w:spacing w:val="43"/>
          <w:sz w:val="24"/>
          <w:szCs w:val="24"/>
        </w:rPr>
        <w:t xml:space="preserve"> </w:t>
      </w:r>
      <w:r>
        <w:rPr>
          <w:rFonts w:ascii="宋体" w:hAnsi="宋体" w:eastAsia="宋体" w:cs="宋体"/>
          <w:spacing w:val="-3"/>
          <w:sz w:val="24"/>
          <w:szCs w:val="24"/>
        </w:rPr>
        <w:t>、</w:t>
      </w:r>
      <w:r>
        <w:rPr>
          <w:rFonts w:ascii="宋体" w:hAnsi="宋体" w:eastAsia="宋体" w:cs="宋体"/>
          <w:spacing w:val="-34"/>
          <w:sz w:val="24"/>
          <w:szCs w:val="24"/>
        </w:rPr>
        <w:t xml:space="preserve"> </w:t>
      </w:r>
      <w:r>
        <w:rPr>
          <w:rFonts w:ascii="宋体" w:hAnsi="宋体" w:eastAsia="宋体" w:cs="宋体"/>
          <w:spacing w:val="-3"/>
          <w:sz w:val="24"/>
          <w:szCs w:val="24"/>
        </w:rPr>
        <w:t>野</w:t>
      </w:r>
      <w:r>
        <w:rPr>
          <w:rFonts w:ascii="宋体" w:hAnsi="宋体" w:eastAsia="宋体" w:cs="宋体"/>
          <w:spacing w:val="-35"/>
          <w:sz w:val="24"/>
          <w:szCs w:val="24"/>
        </w:rPr>
        <w:t xml:space="preserve"> </w:t>
      </w:r>
      <w:r>
        <w:rPr>
          <w:rFonts w:ascii="宋体" w:hAnsi="宋体" w:eastAsia="宋体" w:cs="宋体"/>
          <w:spacing w:val="-3"/>
          <w:sz w:val="24"/>
          <w:szCs w:val="24"/>
        </w:rPr>
        <w:t>牡</w:t>
      </w:r>
      <w:r>
        <w:rPr>
          <w:rFonts w:ascii="宋体" w:hAnsi="宋体" w:eastAsia="宋体" w:cs="宋体"/>
          <w:spacing w:val="-35"/>
          <w:sz w:val="24"/>
          <w:szCs w:val="24"/>
        </w:rPr>
        <w:t xml:space="preserve"> </w:t>
      </w:r>
      <w:r>
        <w:rPr>
          <w:rFonts w:ascii="宋体" w:hAnsi="宋体" w:eastAsia="宋体" w:cs="宋体"/>
          <w:spacing w:val="-3"/>
          <w:sz w:val="24"/>
          <w:szCs w:val="24"/>
        </w:rPr>
        <w:t>丹</w:t>
      </w:r>
      <w:r>
        <w:rPr>
          <w:rFonts w:ascii="宋体" w:hAnsi="宋体" w:eastAsia="宋体" w:cs="宋体"/>
          <w:spacing w:val="66"/>
          <w:sz w:val="24"/>
          <w:szCs w:val="24"/>
        </w:rPr>
        <w:t xml:space="preserve"> </w:t>
      </w:r>
      <w:r>
        <w:rPr>
          <w:rFonts w:ascii="Times New Roman" w:hAnsi="Times New Roman" w:eastAsia="Times New Roman" w:cs="Times New Roman"/>
          <w:i/>
          <w:iCs/>
          <w:spacing w:val="-3"/>
          <w:sz w:val="24"/>
          <w:szCs w:val="24"/>
        </w:rPr>
        <w:t>Melastoma</w:t>
      </w:r>
      <w:r>
        <w:rPr>
          <w:rFonts w:ascii="Times New Roman" w:hAnsi="Times New Roman" w:eastAsia="Times New Roman" w:cs="Times New Roman"/>
          <w:i/>
          <w:iCs/>
          <w:sz w:val="24"/>
          <w:szCs w:val="24"/>
        </w:rPr>
        <w:t xml:space="preserve"> malabathricum</w:t>
      </w:r>
      <w:r>
        <w:rPr>
          <w:rFonts w:ascii="宋体" w:hAnsi="宋体" w:eastAsia="宋体" w:cs="宋体"/>
          <w:sz w:val="24"/>
          <w:szCs w:val="24"/>
        </w:rPr>
        <w:t>、走马胎</w:t>
      </w:r>
      <w:r>
        <w:rPr>
          <w:rFonts w:ascii="宋体" w:hAnsi="宋体" w:eastAsia="宋体" w:cs="宋体"/>
          <w:spacing w:val="-57"/>
          <w:sz w:val="24"/>
          <w:szCs w:val="24"/>
        </w:rPr>
        <w:t xml:space="preserve"> </w:t>
      </w:r>
      <w:r>
        <w:rPr>
          <w:rFonts w:ascii="Times New Roman" w:hAnsi="Times New Roman" w:eastAsia="Times New Roman" w:cs="Times New Roman"/>
          <w:i/>
          <w:iCs/>
          <w:sz w:val="24"/>
          <w:szCs w:val="24"/>
        </w:rPr>
        <w:t>Ardisia gigantifolia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、小雀花</w:t>
      </w:r>
      <w:r>
        <w:rPr>
          <w:rFonts w:ascii="宋体" w:hAnsi="宋体" w:eastAsia="宋体" w:cs="宋体"/>
          <w:spacing w:val="-44"/>
          <w:sz w:val="24"/>
          <w:szCs w:val="24"/>
        </w:rPr>
        <w:t xml:space="preserve"> </w:t>
      </w:r>
      <w:r>
        <w:rPr>
          <w:rFonts w:ascii="Times New Roman" w:hAnsi="Times New Roman" w:eastAsia="Times New Roman" w:cs="Times New Roman"/>
          <w:i/>
          <w:iCs/>
          <w:sz w:val="24"/>
          <w:szCs w:val="24"/>
        </w:rPr>
        <w:t>Campylotropis</w:t>
      </w:r>
      <w:r>
        <w:rPr>
          <w:rFonts w:ascii="Times New Roman" w:hAnsi="Times New Roman" w:eastAsia="Times New Roman" w:cs="Times New Roman"/>
          <w:i/>
          <w:iCs/>
          <w:spacing w:val="-24"/>
          <w:sz w:val="24"/>
          <w:szCs w:val="24"/>
        </w:rPr>
        <w:t xml:space="preserve"> </w:t>
      </w:r>
      <w:r>
        <w:rPr>
          <w:rFonts w:ascii="Times New Roman" w:hAnsi="Times New Roman" w:eastAsia="Times New Roman" w:cs="Times New Roman"/>
          <w:i/>
          <w:iCs/>
          <w:sz w:val="24"/>
          <w:szCs w:val="24"/>
        </w:rPr>
        <w:t>polyantha</w:t>
      </w:r>
      <w:r>
        <w:rPr>
          <w:rFonts w:ascii="宋体" w:hAnsi="宋体" w:eastAsia="宋体" w:cs="宋体"/>
          <w:spacing w:val="-1"/>
          <w:sz w:val="24"/>
          <w:szCs w:val="24"/>
        </w:rPr>
        <w:t>、野</w:t>
      </w:r>
    </w:p>
    <w:p>
      <w:pPr>
        <w:spacing w:line="212" w:lineRule="auto"/>
        <w:ind w:left="50"/>
        <w:rPr>
          <w:rFonts w:ascii="宋体" w:hAnsi="宋体" w:eastAsia="宋体" w:cs="宋体"/>
          <w:sz w:val="24"/>
          <w:szCs w:val="24"/>
        </w:rPr>
      </w:pPr>
      <w:r>
        <w:rPr>
          <w:rFonts w:ascii="宋体" w:hAnsi="宋体" w:eastAsia="宋体" w:cs="宋体"/>
          <w:spacing w:val="-1"/>
          <w:sz w:val="24"/>
          <w:szCs w:val="24"/>
        </w:rPr>
        <w:t>拔子</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Elsholtzia rugulosa</w:t>
      </w:r>
      <w:r>
        <w:rPr>
          <w:rFonts w:ascii="宋体" w:hAnsi="宋体" w:eastAsia="宋体" w:cs="宋体"/>
          <w:spacing w:val="-1"/>
          <w:sz w:val="24"/>
          <w:szCs w:val="24"/>
        </w:rPr>
        <w:t>、云南杨</w:t>
      </w:r>
      <w:r>
        <w:rPr>
          <w:rFonts w:ascii="宋体" w:hAnsi="宋体" w:eastAsia="宋体" w:cs="宋体"/>
          <w:spacing w:val="-2"/>
          <w:sz w:val="24"/>
          <w:szCs w:val="24"/>
        </w:rPr>
        <w:t>梅</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Myricanana</w:t>
      </w:r>
      <w:r>
        <w:rPr>
          <w:rFonts w:ascii="宋体" w:hAnsi="宋体" w:eastAsia="宋体" w:cs="宋体"/>
          <w:spacing w:val="-2"/>
          <w:sz w:val="24"/>
          <w:szCs w:val="24"/>
        </w:rPr>
        <w:t>、云南含笑</w:t>
      </w:r>
      <w:r>
        <w:rPr>
          <w:rFonts w:ascii="宋体" w:hAnsi="宋体" w:eastAsia="宋体" w:cs="宋体"/>
          <w:spacing w:val="-68"/>
          <w:sz w:val="24"/>
          <w:szCs w:val="24"/>
        </w:rPr>
        <w:t xml:space="preserve"> </w:t>
      </w:r>
      <w:r>
        <w:rPr>
          <w:rFonts w:ascii="Times New Roman" w:hAnsi="Times New Roman" w:eastAsia="Times New Roman" w:cs="Times New Roman"/>
          <w:i/>
          <w:iCs/>
          <w:spacing w:val="-2"/>
          <w:sz w:val="24"/>
          <w:szCs w:val="24"/>
        </w:rPr>
        <w:t>Michelia</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2"/>
          <w:sz w:val="24"/>
          <w:szCs w:val="24"/>
        </w:rPr>
        <w:t>yunnanensis</w:t>
      </w:r>
      <w:r>
        <w:rPr>
          <w:rFonts w:ascii="宋体" w:hAnsi="宋体" w:eastAsia="宋体" w:cs="宋体"/>
          <w:spacing w:val="-2"/>
          <w:sz w:val="24"/>
          <w:szCs w:val="24"/>
        </w:rPr>
        <w:t>、</w:t>
      </w:r>
    </w:p>
    <w:p>
      <w:pPr>
        <w:spacing w:before="192" w:line="360" w:lineRule="auto"/>
        <w:ind w:left="35" w:firstLine="13"/>
        <w:rPr>
          <w:rFonts w:ascii="宋体" w:hAnsi="宋体" w:eastAsia="宋体" w:cs="宋体"/>
          <w:sz w:val="24"/>
          <w:szCs w:val="24"/>
        </w:rPr>
      </w:pPr>
      <w:r>
        <w:rPr>
          <w:rFonts w:ascii="宋体" w:hAnsi="宋体" w:eastAsia="宋体" w:cs="宋体"/>
          <w:spacing w:val="-3"/>
          <w:sz w:val="24"/>
          <w:szCs w:val="24"/>
        </w:rPr>
        <w:t>铁仔</w:t>
      </w:r>
      <w:r>
        <w:rPr>
          <w:rFonts w:ascii="Times New Roman" w:hAnsi="Times New Roman" w:eastAsia="Times New Roman" w:cs="Times New Roman"/>
          <w:i/>
          <w:iCs/>
          <w:spacing w:val="-3"/>
          <w:sz w:val="24"/>
          <w:szCs w:val="24"/>
        </w:rPr>
        <w:t>Myrsine africana</w:t>
      </w:r>
      <w:r>
        <w:rPr>
          <w:rFonts w:ascii="宋体" w:hAnsi="宋体" w:eastAsia="宋体" w:cs="宋体"/>
          <w:spacing w:val="-3"/>
          <w:sz w:val="24"/>
          <w:szCs w:val="24"/>
        </w:rPr>
        <w:t>、厚皮香</w:t>
      </w:r>
      <w:r>
        <w:rPr>
          <w:rFonts w:ascii="宋体" w:hAnsi="宋体" w:eastAsia="宋体" w:cs="宋体"/>
          <w:spacing w:val="-58"/>
          <w:sz w:val="24"/>
          <w:szCs w:val="24"/>
        </w:rPr>
        <w:t xml:space="preserve"> </w:t>
      </w:r>
      <w:r>
        <w:rPr>
          <w:rFonts w:ascii="Times New Roman" w:hAnsi="Times New Roman" w:eastAsia="Times New Roman" w:cs="Times New Roman"/>
          <w:i/>
          <w:iCs/>
          <w:spacing w:val="-3"/>
          <w:sz w:val="24"/>
          <w:szCs w:val="24"/>
        </w:rPr>
        <w:t>Ternstroemia</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3"/>
          <w:sz w:val="24"/>
          <w:szCs w:val="24"/>
        </w:rPr>
        <w:t>gymn</w:t>
      </w:r>
      <w:r>
        <w:rPr>
          <w:rFonts w:ascii="Times New Roman" w:hAnsi="Times New Roman" w:eastAsia="Times New Roman" w:cs="Times New Roman"/>
          <w:i/>
          <w:iCs/>
          <w:spacing w:val="-4"/>
          <w:sz w:val="24"/>
          <w:szCs w:val="24"/>
        </w:rPr>
        <w:t>anthera</w:t>
      </w:r>
      <w:r>
        <w:rPr>
          <w:rFonts w:ascii="宋体" w:hAnsi="宋体" w:eastAsia="宋体" w:cs="宋体"/>
          <w:spacing w:val="-4"/>
          <w:sz w:val="24"/>
          <w:szCs w:val="24"/>
        </w:rPr>
        <w:t>、白背枫</w:t>
      </w:r>
      <w:r>
        <w:rPr>
          <w:rFonts w:ascii="Times New Roman" w:hAnsi="Times New Roman" w:eastAsia="Times New Roman" w:cs="Times New Roman"/>
          <w:i/>
          <w:iCs/>
          <w:spacing w:val="-4"/>
          <w:sz w:val="24"/>
          <w:szCs w:val="24"/>
        </w:rPr>
        <w:t>Buddleja asiatica</w:t>
      </w:r>
      <w:r>
        <w:rPr>
          <w:rFonts w:ascii="Times New Roman" w:hAnsi="Times New Roman" w:eastAsia="Times New Roman" w:cs="Times New Roman"/>
          <w:i/>
          <w:iCs/>
          <w:spacing w:val="-35"/>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2"/>
          <w:sz w:val="24"/>
          <w:szCs w:val="24"/>
        </w:rPr>
        <w:t>梁王茶</w:t>
      </w:r>
      <w:r>
        <w:rPr>
          <w:rFonts w:ascii="Times New Roman" w:hAnsi="Times New Roman" w:eastAsia="Times New Roman" w:cs="Times New Roman"/>
          <w:i/>
          <w:iCs/>
          <w:spacing w:val="-2"/>
          <w:sz w:val="24"/>
          <w:szCs w:val="24"/>
        </w:rPr>
        <w:t>Metapanax delavayi</w:t>
      </w:r>
      <w:r>
        <w:rPr>
          <w:rFonts w:ascii="宋体" w:hAnsi="宋体" w:eastAsia="宋体" w:cs="宋体"/>
          <w:spacing w:val="-2"/>
          <w:sz w:val="24"/>
          <w:szCs w:val="24"/>
        </w:rPr>
        <w:t>、密蒙花</w:t>
      </w:r>
      <w:r>
        <w:rPr>
          <w:rFonts w:ascii="Times New Roman" w:hAnsi="Times New Roman" w:eastAsia="Times New Roman" w:cs="Times New Roman"/>
          <w:i/>
          <w:iCs/>
          <w:spacing w:val="-2"/>
          <w:sz w:val="24"/>
          <w:szCs w:val="24"/>
        </w:rPr>
        <w:t>Buddleja officinalis</w:t>
      </w:r>
      <w:r>
        <w:rPr>
          <w:rFonts w:ascii="宋体" w:hAnsi="宋体" w:eastAsia="宋体" w:cs="宋体"/>
          <w:spacing w:val="-3"/>
          <w:sz w:val="24"/>
          <w:szCs w:val="24"/>
        </w:rPr>
        <w:t>、水麻</w:t>
      </w:r>
      <w:r>
        <w:rPr>
          <w:rFonts w:ascii="Times New Roman" w:hAnsi="Times New Roman" w:eastAsia="Times New Roman" w:cs="Times New Roman"/>
          <w:i/>
          <w:iCs/>
          <w:spacing w:val="-3"/>
          <w:sz w:val="24"/>
          <w:szCs w:val="24"/>
        </w:rPr>
        <w:t>Debregeasia orientalis</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3"/>
          <w:sz w:val="24"/>
          <w:szCs w:val="24"/>
        </w:rPr>
        <w:t>竹叶花椒</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Zanthoxylum armatum</w:t>
      </w:r>
      <w:r>
        <w:rPr>
          <w:rFonts w:ascii="宋体" w:hAnsi="宋体" w:eastAsia="宋体" w:cs="宋体"/>
          <w:spacing w:val="-3"/>
          <w:sz w:val="24"/>
          <w:szCs w:val="24"/>
        </w:rPr>
        <w:t>、川滇金丝桃</w:t>
      </w:r>
      <w:r>
        <w:rPr>
          <w:rFonts w:ascii="宋体" w:hAnsi="宋体" w:eastAsia="宋体" w:cs="宋体"/>
          <w:spacing w:val="-66"/>
          <w:sz w:val="24"/>
          <w:szCs w:val="24"/>
        </w:rPr>
        <w:t xml:space="preserve"> </w:t>
      </w:r>
      <w:r>
        <w:rPr>
          <w:rFonts w:ascii="Times New Roman" w:hAnsi="Times New Roman" w:eastAsia="Times New Roman" w:cs="Times New Roman"/>
          <w:i/>
          <w:iCs/>
          <w:spacing w:val="-3"/>
          <w:sz w:val="24"/>
          <w:szCs w:val="24"/>
        </w:rPr>
        <w:t>Hypericum</w:t>
      </w:r>
      <w:r>
        <w:rPr>
          <w:rFonts w:ascii="Times New Roman" w:hAnsi="Times New Roman" w:eastAsia="Times New Roman" w:cs="Times New Roman"/>
          <w:i/>
          <w:iCs/>
          <w:spacing w:val="-56"/>
          <w:sz w:val="24"/>
          <w:szCs w:val="24"/>
        </w:rPr>
        <w:t xml:space="preserve"> </w:t>
      </w:r>
      <w:r>
        <w:rPr>
          <w:rFonts w:ascii="Times New Roman" w:hAnsi="Times New Roman" w:eastAsia="Times New Roman" w:cs="Times New Roman"/>
          <w:i/>
          <w:iCs/>
          <w:spacing w:val="-3"/>
          <w:sz w:val="24"/>
          <w:szCs w:val="24"/>
        </w:rPr>
        <w:t xml:space="preserve">forrestii </w:t>
      </w:r>
      <w:r>
        <w:rPr>
          <w:rFonts w:ascii="宋体" w:hAnsi="宋体" w:eastAsia="宋体" w:cs="宋体"/>
          <w:spacing w:val="-3"/>
          <w:sz w:val="24"/>
          <w:szCs w:val="24"/>
        </w:rPr>
        <w:t>等。其中，</w:t>
      </w:r>
      <w:r>
        <w:rPr>
          <w:rFonts w:ascii="宋体" w:hAnsi="宋体" w:eastAsia="宋体" w:cs="宋体"/>
          <w:spacing w:val="55"/>
          <w:sz w:val="24"/>
          <w:szCs w:val="24"/>
        </w:rPr>
        <w:t xml:space="preserve"> </w:t>
      </w:r>
      <w:r>
        <w:rPr>
          <w:rFonts w:ascii="宋体" w:hAnsi="宋体" w:eastAsia="宋体" w:cs="宋体"/>
          <w:spacing w:val="-3"/>
          <w:sz w:val="24"/>
          <w:szCs w:val="24"/>
        </w:rPr>
        <w:t xml:space="preserve">群落  </w:t>
      </w:r>
      <w:r>
        <w:rPr>
          <w:rFonts w:ascii="宋体" w:hAnsi="宋体" w:eastAsia="宋体" w:cs="宋体"/>
          <w:spacing w:val="5"/>
          <w:sz w:val="24"/>
          <w:szCs w:val="24"/>
        </w:rPr>
        <w:t xml:space="preserve">灌木层中也存在不少乔木幼树，如滇青冈 </w:t>
      </w:r>
      <w:r>
        <w:rPr>
          <w:rFonts w:ascii="Times New Roman" w:hAnsi="Times New Roman" w:eastAsia="Times New Roman" w:cs="Times New Roman"/>
          <w:i/>
          <w:iCs/>
          <w:sz w:val="24"/>
          <w:szCs w:val="24"/>
        </w:rPr>
        <w:t>Cyclobalanopsis</w:t>
      </w:r>
      <w:r>
        <w:rPr>
          <w:rFonts w:ascii="Times New Roman" w:hAnsi="Times New Roman" w:eastAsia="Times New Roman" w:cs="Times New Roman"/>
          <w:i/>
          <w:iCs/>
          <w:spacing w:val="38"/>
          <w:w w:val="101"/>
          <w:sz w:val="24"/>
          <w:szCs w:val="24"/>
        </w:rPr>
        <w:t xml:space="preserve"> </w:t>
      </w:r>
      <w:r>
        <w:rPr>
          <w:rFonts w:ascii="Times New Roman" w:hAnsi="Times New Roman" w:eastAsia="Times New Roman" w:cs="Times New Roman"/>
          <w:i/>
          <w:iCs/>
          <w:sz w:val="24"/>
          <w:szCs w:val="24"/>
        </w:rPr>
        <w:t>glaucoides</w:t>
      </w:r>
      <w:r>
        <w:rPr>
          <w:rFonts w:ascii="Times New Roman" w:hAnsi="Times New Roman" w:eastAsia="Times New Roman" w:cs="Times New Roman"/>
          <w:i/>
          <w:iCs/>
          <w:spacing w:val="-26"/>
          <w:sz w:val="24"/>
          <w:szCs w:val="24"/>
        </w:rPr>
        <w:t xml:space="preserve"> </w:t>
      </w:r>
      <w:r>
        <w:rPr>
          <w:rFonts w:ascii="宋体" w:hAnsi="宋体" w:eastAsia="宋体" w:cs="宋体"/>
          <w:spacing w:val="5"/>
          <w:sz w:val="24"/>
          <w:szCs w:val="24"/>
        </w:rPr>
        <w:t xml:space="preserve">、云南松  </w:t>
      </w:r>
      <w:r>
        <w:rPr>
          <w:rFonts w:ascii="Times New Roman" w:hAnsi="Times New Roman" w:eastAsia="Times New Roman" w:cs="Times New Roman"/>
          <w:i/>
          <w:iCs/>
          <w:spacing w:val="-1"/>
          <w:sz w:val="24"/>
          <w:szCs w:val="24"/>
        </w:rPr>
        <w:t>Pinus yunnanensis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、高山锥</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Castanopsis</w:t>
      </w:r>
      <w:r>
        <w:rPr>
          <w:rFonts w:ascii="Times New Roman" w:hAnsi="Times New Roman" w:eastAsia="Times New Roman" w:cs="Times New Roman"/>
          <w:i/>
          <w:iCs/>
          <w:spacing w:val="15"/>
          <w:w w:val="101"/>
          <w:sz w:val="24"/>
          <w:szCs w:val="24"/>
        </w:rPr>
        <w:t xml:space="preserve"> </w:t>
      </w:r>
      <w:r>
        <w:rPr>
          <w:rFonts w:ascii="Times New Roman" w:hAnsi="Times New Roman" w:eastAsia="Times New Roman" w:cs="Times New Roman"/>
          <w:i/>
          <w:iCs/>
          <w:spacing w:val="-1"/>
          <w:sz w:val="24"/>
          <w:szCs w:val="24"/>
        </w:rPr>
        <w:t>delava</w:t>
      </w:r>
      <w:r>
        <w:rPr>
          <w:rFonts w:ascii="Times New Roman" w:hAnsi="Times New Roman" w:eastAsia="Times New Roman" w:cs="Times New Roman"/>
          <w:i/>
          <w:iCs/>
          <w:spacing w:val="-2"/>
          <w:sz w:val="24"/>
          <w:szCs w:val="24"/>
        </w:rPr>
        <w:t>yi</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、白柯</w:t>
      </w:r>
      <w:r>
        <w:rPr>
          <w:rFonts w:ascii="宋体" w:hAnsi="宋体" w:eastAsia="宋体" w:cs="宋体"/>
          <w:spacing w:val="-68"/>
          <w:sz w:val="24"/>
          <w:szCs w:val="24"/>
        </w:rPr>
        <w:t xml:space="preserve"> </w:t>
      </w:r>
      <w:r>
        <w:rPr>
          <w:rFonts w:ascii="Times New Roman" w:hAnsi="Times New Roman" w:eastAsia="Times New Roman" w:cs="Times New Roman"/>
          <w:i/>
          <w:iCs/>
          <w:spacing w:val="-2"/>
          <w:sz w:val="24"/>
          <w:szCs w:val="24"/>
        </w:rPr>
        <w:t>Lithocarpus</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spacing w:val="-2"/>
          <w:sz w:val="24"/>
          <w:szCs w:val="24"/>
        </w:rPr>
        <w:t>dealbatus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 xml:space="preserve">、云  </w:t>
      </w:r>
      <w:r>
        <w:rPr>
          <w:rFonts w:ascii="宋体" w:hAnsi="宋体" w:eastAsia="宋体" w:cs="宋体"/>
          <w:spacing w:val="-3"/>
          <w:sz w:val="24"/>
          <w:szCs w:val="24"/>
        </w:rPr>
        <w:t>南</w:t>
      </w:r>
      <w:r>
        <w:rPr>
          <w:rFonts w:ascii="宋体" w:hAnsi="宋体" w:eastAsia="宋体" w:cs="宋体"/>
          <w:spacing w:val="-50"/>
          <w:sz w:val="24"/>
          <w:szCs w:val="24"/>
        </w:rPr>
        <w:t xml:space="preserve"> </w:t>
      </w:r>
      <w:r>
        <w:rPr>
          <w:rFonts w:ascii="宋体" w:hAnsi="宋体" w:eastAsia="宋体" w:cs="宋体"/>
          <w:spacing w:val="-3"/>
          <w:sz w:val="24"/>
          <w:szCs w:val="24"/>
        </w:rPr>
        <w:t>油</w:t>
      </w:r>
      <w:r>
        <w:rPr>
          <w:rFonts w:ascii="宋体" w:hAnsi="宋体" w:eastAsia="宋体" w:cs="宋体"/>
          <w:spacing w:val="-53"/>
          <w:sz w:val="24"/>
          <w:szCs w:val="24"/>
        </w:rPr>
        <w:t xml:space="preserve"> </w:t>
      </w:r>
      <w:r>
        <w:rPr>
          <w:rFonts w:ascii="宋体" w:hAnsi="宋体" w:eastAsia="宋体" w:cs="宋体"/>
          <w:spacing w:val="-3"/>
          <w:sz w:val="24"/>
          <w:szCs w:val="24"/>
        </w:rPr>
        <w:t>杉</w:t>
      </w:r>
      <w:r>
        <w:rPr>
          <w:rFonts w:ascii="宋体" w:hAnsi="宋体" w:eastAsia="宋体" w:cs="宋体"/>
          <w:spacing w:val="47"/>
          <w:sz w:val="24"/>
          <w:szCs w:val="24"/>
        </w:rPr>
        <w:t xml:space="preserve"> </w:t>
      </w:r>
      <w:r>
        <w:rPr>
          <w:rFonts w:ascii="Times New Roman" w:hAnsi="Times New Roman" w:eastAsia="Times New Roman" w:cs="Times New Roman"/>
          <w:i/>
          <w:iCs/>
          <w:spacing w:val="-3"/>
          <w:sz w:val="24"/>
          <w:szCs w:val="24"/>
        </w:rPr>
        <w:t>Keteleeria</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i/>
          <w:iCs/>
          <w:spacing w:val="-3"/>
          <w:sz w:val="24"/>
          <w:szCs w:val="24"/>
        </w:rPr>
        <w:t>evelyniana</w:t>
      </w:r>
      <w:r>
        <w:rPr>
          <w:rFonts w:ascii="Times New Roman" w:hAnsi="Times New Roman" w:eastAsia="Times New Roman" w:cs="Times New Roman"/>
          <w:i/>
          <w:iCs/>
          <w:spacing w:val="24"/>
          <w:w w:val="101"/>
          <w:sz w:val="24"/>
          <w:szCs w:val="24"/>
        </w:rPr>
        <w:t xml:space="preserve"> </w:t>
      </w:r>
      <w:r>
        <w:rPr>
          <w:rFonts w:ascii="宋体" w:hAnsi="宋体" w:eastAsia="宋体" w:cs="宋体"/>
          <w:spacing w:val="-3"/>
          <w:sz w:val="24"/>
          <w:szCs w:val="24"/>
        </w:rPr>
        <w:t>、</w:t>
      </w:r>
      <w:r>
        <w:rPr>
          <w:rFonts w:ascii="宋体" w:hAnsi="宋体" w:eastAsia="宋体" w:cs="宋体"/>
          <w:spacing w:val="-50"/>
          <w:sz w:val="24"/>
          <w:szCs w:val="24"/>
        </w:rPr>
        <w:t xml:space="preserve"> </w:t>
      </w:r>
      <w:r>
        <w:rPr>
          <w:rFonts w:ascii="宋体" w:hAnsi="宋体" w:eastAsia="宋体" w:cs="宋体"/>
          <w:spacing w:val="-3"/>
          <w:sz w:val="24"/>
          <w:szCs w:val="24"/>
        </w:rPr>
        <w:t>西</w:t>
      </w:r>
      <w:r>
        <w:rPr>
          <w:rFonts w:ascii="宋体" w:hAnsi="宋体" w:eastAsia="宋体" w:cs="宋体"/>
          <w:spacing w:val="-52"/>
          <w:sz w:val="24"/>
          <w:szCs w:val="24"/>
        </w:rPr>
        <w:t xml:space="preserve"> </w:t>
      </w:r>
      <w:r>
        <w:rPr>
          <w:rFonts w:ascii="宋体" w:hAnsi="宋体" w:eastAsia="宋体" w:cs="宋体"/>
          <w:spacing w:val="-3"/>
          <w:sz w:val="24"/>
          <w:szCs w:val="24"/>
        </w:rPr>
        <w:t>南</w:t>
      </w:r>
      <w:r>
        <w:rPr>
          <w:rFonts w:ascii="宋体" w:hAnsi="宋体" w:eastAsia="宋体" w:cs="宋体"/>
          <w:spacing w:val="-53"/>
          <w:sz w:val="24"/>
          <w:szCs w:val="24"/>
        </w:rPr>
        <w:t xml:space="preserve"> </w:t>
      </w:r>
      <w:r>
        <w:rPr>
          <w:rFonts w:ascii="宋体" w:hAnsi="宋体" w:eastAsia="宋体" w:cs="宋体"/>
          <w:spacing w:val="-3"/>
          <w:sz w:val="24"/>
          <w:szCs w:val="24"/>
        </w:rPr>
        <w:t>木</w:t>
      </w:r>
      <w:r>
        <w:rPr>
          <w:rFonts w:ascii="宋体" w:hAnsi="宋体" w:eastAsia="宋体" w:cs="宋体"/>
          <w:spacing w:val="-57"/>
          <w:sz w:val="24"/>
          <w:szCs w:val="24"/>
        </w:rPr>
        <w:t xml:space="preserve"> </w:t>
      </w:r>
      <w:r>
        <w:rPr>
          <w:rFonts w:ascii="宋体" w:hAnsi="宋体" w:eastAsia="宋体" w:cs="宋体"/>
          <w:spacing w:val="-3"/>
          <w:sz w:val="24"/>
          <w:szCs w:val="24"/>
        </w:rPr>
        <w:t>荷</w:t>
      </w:r>
      <w:r>
        <w:rPr>
          <w:rFonts w:ascii="宋体" w:hAnsi="宋体" w:eastAsia="宋体" w:cs="宋体"/>
          <w:spacing w:val="56"/>
          <w:sz w:val="24"/>
          <w:szCs w:val="24"/>
        </w:rPr>
        <w:t xml:space="preserve"> </w:t>
      </w:r>
      <w:r>
        <w:rPr>
          <w:rFonts w:ascii="Times New Roman" w:hAnsi="Times New Roman" w:eastAsia="Times New Roman" w:cs="Times New Roman"/>
          <w:i/>
          <w:iCs/>
          <w:spacing w:val="-3"/>
          <w:sz w:val="24"/>
          <w:szCs w:val="24"/>
        </w:rPr>
        <w:t>Schima  wallich</w:t>
      </w:r>
      <w:r>
        <w:rPr>
          <w:rFonts w:ascii="Times New Roman" w:hAnsi="Times New Roman" w:eastAsia="Times New Roman" w:cs="Times New Roman"/>
          <w:i/>
          <w:iCs/>
          <w:spacing w:val="-4"/>
          <w:sz w:val="24"/>
          <w:szCs w:val="24"/>
        </w:rPr>
        <w:t>ii</w:t>
      </w:r>
      <w:r>
        <w:rPr>
          <w:rFonts w:ascii="Times New Roman" w:hAnsi="Times New Roman" w:eastAsia="Times New Roman" w:cs="Times New Roman"/>
          <w:i/>
          <w:iCs/>
          <w:spacing w:val="23"/>
          <w:sz w:val="24"/>
          <w:szCs w:val="24"/>
        </w:rPr>
        <w:t xml:space="preserve"> </w:t>
      </w:r>
      <w:r>
        <w:rPr>
          <w:rFonts w:ascii="宋体" w:hAnsi="宋体" w:eastAsia="宋体" w:cs="宋体"/>
          <w:spacing w:val="-4"/>
          <w:sz w:val="24"/>
          <w:szCs w:val="24"/>
        </w:rPr>
        <w:t>、</w:t>
      </w:r>
      <w:r>
        <w:rPr>
          <w:rFonts w:ascii="宋体" w:hAnsi="宋体" w:eastAsia="宋体" w:cs="宋体"/>
          <w:spacing w:val="-49"/>
          <w:sz w:val="24"/>
          <w:szCs w:val="24"/>
        </w:rPr>
        <w:t xml:space="preserve"> </w:t>
      </w:r>
      <w:r>
        <w:rPr>
          <w:rFonts w:ascii="宋体" w:hAnsi="宋体" w:eastAsia="宋体" w:cs="宋体"/>
          <w:spacing w:val="-4"/>
          <w:sz w:val="24"/>
          <w:szCs w:val="24"/>
        </w:rPr>
        <w:t>红</w:t>
      </w:r>
      <w:r>
        <w:rPr>
          <w:rFonts w:ascii="宋体" w:hAnsi="宋体" w:eastAsia="宋体" w:cs="宋体"/>
          <w:spacing w:val="-39"/>
          <w:sz w:val="24"/>
          <w:szCs w:val="24"/>
        </w:rPr>
        <w:t xml:space="preserve"> </w:t>
      </w:r>
      <w:r>
        <w:rPr>
          <w:rFonts w:ascii="宋体" w:hAnsi="宋体" w:eastAsia="宋体" w:cs="宋体"/>
          <w:spacing w:val="-4"/>
          <w:sz w:val="24"/>
          <w:szCs w:val="24"/>
        </w:rPr>
        <w:t>叶</w:t>
      </w:r>
      <w:r>
        <w:rPr>
          <w:rFonts w:ascii="宋体" w:hAnsi="宋体" w:eastAsia="宋体" w:cs="宋体"/>
          <w:spacing w:val="-54"/>
          <w:sz w:val="24"/>
          <w:szCs w:val="24"/>
        </w:rPr>
        <w:t xml:space="preserve"> </w:t>
      </w:r>
      <w:r>
        <w:rPr>
          <w:rFonts w:ascii="宋体" w:hAnsi="宋体" w:eastAsia="宋体" w:cs="宋体"/>
          <w:spacing w:val="-4"/>
          <w:sz w:val="24"/>
          <w:szCs w:val="24"/>
        </w:rPr>
        <w:t>木</w:t>
      </w:r>
      <w:r>
        <w:rPr>
          <w:rFonts w:ascii="宋体" w:hAnsi="宋体" w:eastAsia="宋体" w:cs="宋体"/>
          <w:spacing w:val="-53"/>
          <w:sz w:val="24"/>
          <w:szCs w:val="24"/>
        </w:rPr>
        <w:t xml:space="preserve"> </w:t>
      </w:r>
      <w:r>
        <w:rPr>
          <w:rFonts w:ascii="宋体" w:hAnsi="宋体" w:eastAsia="宋体" w:cs="宋体"/>
          <w:spacing w:val="-4"/>
          <w:sz w:val="24"/>
          <w:szCs w:val="24"/>
        </w:rPr>
        <w:t>姜</w:t>
      </w:r>
      <w:r>
        <w:rPr>
          <w:rFonts w:ascii="宋体" w:hAnsi="宋体" w:eastAsia="宋体" w:cs="宋体"/>
          <w:spacing w:val="-54"/>
          <w:sz w:val="24"/>
          <w:szCs w:val="24"/>
        </w:rPr>
        <w:t xml:space="preserve"> </w:t>
      </w:r>
      <w:r>
        <w:rPr>
          <w:rFonts w:ascii="宋体" w:hAnsi="宋体" w:eastAsia="宋体" w:cs="宋体"/>
          <w:spacing w:val="-4"/>
          <w:sz w:val="24"/>
          <w:szCs w:val="24"/>
        </w:rPr>
        <w:t>子</w:t>
      </w:r>
    </w:p>
    <w:p>
      <w:pPr>
        <w:spacing w:line="212" w:lineRule="auto"/>
        <w:ind w:left="34"/>
        <w:rPr>
          <w:rFonts w:ascii="宋体" w:hAnsi="宋体" w:eastAsia="宋体" w:cs="宋体"/>
          <w:sz w:val="24"/>
          <w:szCs w:val="24"/>
        </w:rPr>
      </w:pPr>
      <w:r>
        <w:rPr>
          <w:rFonts w:ascii="Times New Roman" w:hAnsi="Times New Roman" w:eastAsia="Times New Roman" w:cs="Times New Roman"/>
          <w:i/>
          <w:iCs/>
          <w:spacing w:val="-1"/>
          <w:sz w:val="24"/>
          <w:szCs w:val="24"/>
        </w:rPr>
        <w:t>Litsea rubescens</w:t>
      </w:r>
      <w:r>
        <w:rPr>
          <w:rFonts w:ascii="宋体" w:hAnsi="宋体" w:eastAsia="宋体" w:cs="宋体"/>
          <w:spacing w:val="-1"/>
          <w:sz w:val="24"/>
          <w:szCs w:val="24"/>
        </w:rPr>
        <w:t>、尼泊尔桤木</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Alnus nepalensis</w:t>
      </w:r>
      <w:r>
        <w:rPr>
          <w:rFonts w:ascii="宋体" w:hAnsi="宋体" w:eastAsia="宋体" w:cs="宋体"/>
          <w:spacing w:val="-1"/>
          <w:sz w:val="24"/>
          <w:szCs w:val="24"/>
        </w:rPr>
        <w:t>、滇润楠</w:t>
      </w:r>
      <w:r>
        <w:rPr>
          <w:rFonts w:ascii="宋体" w:hAnsi="宋体" w:eastAsia="宋体" w:cs="宋体"/>
          <w:spacing w:val="-68"/>
          <w:sz w:val="24"/>
          <w:szCs w:val="24"/>
        </w:rPr>
        <w:t xml:space="preserve"> </w:t>
      </w:r>
      <w:r>
        <w:rPr>
          <w:rFonts w:ascii="Times New Roman" w:hAnsi="Times New Roman" w:eastAsia="Times New Roman" w:cs="Times New Roman"/>
          <w:i/>
          <w:iCs/>
          <w:spacing w:val="-1"/>
          <w:sz w:val="24"/>
          <w:szCs w:val="24"/>
        </w:rPr>
        <w:t>Machi</w:t>
      </w:r>
      <w:r>
        <w:rPr>
          <w:rFonts w:ascii="Times New Roman" w:hAnsi="Times New Roman" w:eastAsia="Times New Roman" w:cs="Times New Roman"/>
          <w:i/>
          <w:iCs/>
          <w:spacing w:val="-2"/>
          <w:sz w:val="24"/>
          <w:szCs w:val="24"/>
        </w:rPr>
        <w:t>lus</w:t>
      </w:r>
      <w:r>
        <w:rPr>
          <w:rFonts w:ascii="Times New Roman" w:hAnsi="Times New Roman" w:eastAsia="Times New Roman" w:cs="Times New Roman"/>
          <w:i/>
          <w:iCs/>
          <w:spacing w:val="-32"/>
          <w:sz w:val="24"/>
          <w:szCs w:val="24"/>
        </w:rPr>
        <w:t xml:space="preserve"> </w:t>
      </w:r>
      <w:r>
        <w:rPr>
          <w:rFonts w:ascii="Times New Roman" w:hAnsi="Times New Roman" w:eastAsia="Times New Roman" w:cs="Times New Roman"/>
          <w:i/>
          <w:iCs/>
          <w:spacing w:val="-2"/>
          <w:sz w:val="24"/>
          <w:szCs w:val="24"/>
        </w:rPr>
        <w:t xml:space="preserve">yunnanensis </w:t>
      </w:r>
      <w:r>
        <w:rPr>
          <w:rFonts w:ascii="宋体" w:hAnsi="宋体" w:eastAsia="宋体" w:cs="宋体"/>
          <w:spacing w:val="-2"/>
          <w:sz w:val="24"/>
          <w:szCs w:val="24"/>
        </w:rPr>
        <w:t>等，</w:t>
      </w:r>
    </w:p>
    <w:p>
      <w:pPr>
        <w:spacing w:before="191" w:line="219" w:lineRule="auto"/>
        <w:ind w:left="52"/>
        <w:rPr>
          <w:rFonts w:ascii="宋体" w:hAnsi="宋体" w:eastAsia="宋体" w:cs="宋体"/>
          <w:sz w:val="24"/>
          <w:szCs w:val="24"/>
        </w:rPr>
      </w:pPr>
      <w:r>
        <w:rPr>
          <w:rFonts w:ascii="宋体" w:hAnsi="宋体" w:eastAsia="宋体" w:cs="宋体"/>
          <w:spacing w:val="-2"/>
          <w:sz w:val="24"/>
          <w:szCs w:val="24"/>
        </w:rPr>
        <w:t>很多是当地的阳性次生种类，表明群落具有偏干性质。</w:t>
      </w:r>
    </w:p>
    <w:p>
      <w:pPr>
        <w:spacing w:before="184" w:line="360" w:lineRule="auto"/>
        <w:ind w:left="35" w:right="217" w:firstLine="497"/>
        <w:rPr>
          <w:rFonts w:ascii="宋体" w:hAnsi="宋体" w:eastAsia="宋体" w:cs="宋体"/>
          <w:sz w:val="24"/>
          <w:szCs w:val="24"/>
        </w:rPr>
      </w:pPr>
      <w:r>
        <w:rPr>
          <w:rFonts w:ascii="宋体" w:hAnsi="宋体" w:eastAsia="宋体" w:cs="宋体"/>
          <w:spacing w:val="-1"/>
          <w:sz w:val="24"/>
          <w:szCs w:val="24"/>
        </w:rPr>
        <w:t>草本层植物种类较少，层盖度约为</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50%</w:t>
      </w:r>
      <w:r>
        <w:rPr>
          <w:rFonts w:ascii="宋体" w:hAnsi="宋体" w:eastAsia="宋体" w:cs="宋体"/>
          <w:spacing w:val="-1"/>
          <w:sz w:val="24"/>
          <w:szCs w:val="24"/>
        </w:rPr>
        <w:t>，高度约</w:t>
      </w:r>
      <w:r>
        <w:rPr>
          <w:rFonts w:ascii="宋体" w:hAnsi="宋体" w:eastAsia="宋体" w:cs="宋体"/>
          <w:spacing w:val="-26"/>
          <w:sz w:val="24"/>
          <w:szCs w:val="24"/>
        </w:rPr>
        <w:t xml:space="preserve"> </w:t>
      </w:r>
      <w:r>
        <w:rPr>
          <w:rFonts w:ascii="Times New Roman" w:hAnsi="Times New Roman" w:eastAsia="Times New Roman" w:cs="Times New Roman"/>
          <w:spacing w:val="-1"/>
          <w:sz w:val="24"/>
          <w:szCs w:val="24"/>
        </w:rPr>
        <w:t>0.3~1m</w:t>
      </w:r>
      <w:r>
        <w:rPr>
          <w:rFonts w:ascii="宋体" w:hAnsi="宋体" w:eastAsia="宋体" w:cs="宋体"/>
          <w:spacing w:val="-2"/>
          <w:sz w:val="24"/>
          <w:szCs w:val="24"/>
        </w:rPr>
        <w:t>，主要种类有黄茅</w:t>
      </w:r>
      <w:r>
        <w:rPr>
          <w:rFonts w:ascii="宋体" w:hAnsi="宋体" w:eastAsia="宋体" w:cs="宋体"/>
          <w:sz w:val="24"/>
          <w:szCs w:val="24"/>
        </w:rPr>
        <w:t xml:space="preserve"> </w:t>
      </w:r>
      <w:r>
        <w:rPr>
          <w:rFonts w:ascii="Times New Roman" w:hAnsi="Times New Roman" w:eastAsia="Times New Roman" w:cs="Times New Roman"/>
          <w:i/>
          <w:iCs/>
          <w:sz w:val="24"/>
          <w:szCs w:val="24"/>
        </w:rPr>
        <w:t>Heteropogon contortus</w:t>
      </w:r>
      <w:r>
        <w:rPr>
          <w:rFonts w:ascii="宋体" w:hAnsi="宋体" w:eastAsia="宋体" w:cs="宋体"/>
          <w:sz w:val="24"/>
          <w:szCs w:val="24"/>
        </w:rPr>
        <w:t>、白健</w:t>
      </w:r>
      <w:r>
        <w:rPr>
          <w:rFonts w:ascii="宋体" w:hAnsi="宋体" w:eastAsia="宋体" w:cs="宋体"/>
          <w:spacing w:val="-1"/>
          <w:sz w:val="24"/>
          <w:szCs w:val="24"/>
        </w:rPr>
        <w:t>秆</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Eulalia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1"/>
          <w:sz w:val="24"/>
          <w:szCs w:val="24"/>
        </w:rPr>
        <w:t>pallens</w:t>
      </w:r>
      <w:r>
        <w:rPr>
          <w:rFonts w:ascii="宋体" w:hAnsi="宋体" w:eastAsia="宋体" w:cs="宋体"/>
          <w:spacing w:val="-1"/>
          <w:sz w:val="24"/>
          <w:szCs w:val="24"/>
        </w:rPr>
        <w:t>、破坏草</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Ageratina adenophora</w:t>
      </w:r>
      <w:r>
        <w:rPr>
          <w:rFonts w:ascii="宋体" w:hAnsi="宋体" w:eastAsia="宋体" w:cs="宋体"/>
          <w:spacing w:val="-1"/>
          <w:sz w:val="24"/>
          <w:szCs w:val="24"/>
        </w:rPr>
        <w:t>、蔗</w:t>
      </w:r>
    </w:p>
    <w:p>
      <w:pPr>
        <w:spacing w:line="212" w:lineRule="auto"/>
        <w:ind w:left="50"/>
        <w:rPr>
          <w:rFonts w:ascii="宋体" w:hAnsi="宋体" w:eastAsia="宋体" w:cs="宋体"/>
          <w:sz w:val="24"/>
          <w:szCs w:val="24"/>
        </w:rPr>
      </w:pPr>
      <w:r>
        <w:rPr>
          <w:rFonts w:ascii="宋体" w:hAnsi="宋体" w:eastAsia="宋体" w:cs="宋体"/>
          <w:spacing w:val="-2"/>
          <w:sz w:val="24"/>
          <w:szCs w:val="24"/>
        </w:rPr>
        <w:t>茅</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Erianthus rufipilus</w:t>
      </w:r>
      <w:r>
        <w:rPr>
          <w:rFonts w:ascii="宋体" w:hAnsi="宋体" w:eastAsia="宋体" w:cs="宋体"/>
          <w:spacing w:val="-2"/>
          <w:sz w:val="24"/>
          <w:szCs w:val="24"/>
        </w:rPr>
        <w:t>、旱茅</w:t>
      </w:r>
      <w:r>
        <w:rPr>
          <w:rFonts w:ascii="宋体" w:hAnsi="宋体" w:eastAsia="宋体" w:cs="宋体"/>
          <w:spacing w:val="-59"/>
          <w:sz w:val="24"/>
          <w:szCs w:val="24"/>
        </w:rPr>
        <w:t xml:space="preserve"> </w:t>
      </w:r>
      <w:r>
        <w:rPr>
          <w:rFonts w:ascii="Times New Roman" w:hAnsi="Times New Roman" w:eastAsia="Times New Roman" w:cs="Times New Roman"/>
          <w:i/>
          <w:iCs/>
          <w:spacing w:val="-2"/>
          <w:sz w:val="24"/>
          <w:szCs w:val="24"/>
        </w:rPr>
        <w:t xml:space="preserve">Schizachyrium </w:t>
      </w:r>
      <w:r>
        <w:rPr>
          <w:rFonts w:ascii="Times New Roman" w:hAnsi="Times New Roman" w:eastAsia="Times New Roman" w:cs="Times New Roman"/>
          <w:i/>
          <w:iCs/>
          <w:spacing w:val="-3"/>
          <w:sz w:val="24"/>
          <w:szCs w:val="24"/>
        </w:rPr>
        <w:t>delavayi</w:t>
      </w:r>
      <w:r>
        <w:rPr>
          <w:rFonts w:ascii="宋体" w:hAnsi="宋体" w:eastAsia="宋体" w:cs="宋体"/>
          <w:spacing w:val="-3"/>
          <w:sz w:val="24"/>
          <w:szCs w:val="24"/>
        </w:rPr>
        <w:t>、知风草</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Eragrostis</w:t>
      </w:r>
      <w:r>
        <w:rPr>
          <w:rFonts w:ascii="Times New Roman" w:hAnsi="Times New Roman" w:eastAsia="Times New Roman" w:cs="Times New Roman"/>
          <w:i/>
          <w:iCs/>
          <w:spacing w:val="-55"/>
          <w:sz w:val="24"/>
          <w:szCs w:val="24"/>
        </w:rPr>
        <w:t xml:space="preserve"> </w:t>
      </w:r>
      <w:r>
        <w:rPr>
          <w:rFonts w:ascii="Times New Roman" w:hAnsi="Times New Roman" w:eastAsia="Times New Roman" w:cs="Times New Roman"/>
          <w:i/>
          <w:iCs/>
          <w:spacing w:val="-3"/>
          <w:sz w:val="24"/>
          <w:szCs w:val="24"/>
        </w:rPr>
        <w:t>ferruginea</w:t>
      </w:r>
      <w:r>
        <w:rPr>
          <w:rFonts w:ascii="宋体" w:hAnsi="宋体" w:eastAsia="宋体" w:cs="宋体"/>
          <w:spacing w:val="-3"/>
          <w:sz w:val="24"/>
          <w:szCs w:val="24"/>
        </w:rPr>
        <w:t>、</w:t>
      </w:r>
    </w:p>
    <w:p>
      <w:pPr>
        <w:spacing w:before="193" w:line="360" w:lineRule="auto"/>
        <w:ind w:left="50" w:firstLine="34"/>
        <w:rPr>
          <w:rFonts w:ascii="宋体" w:hAnsi="宋体" w:eastAsia="宋体" w:cs="宋体"/>
          <w:sz w:val="24"/>
          <w:szCs w:val="24"/>
        </w:rPr>
      </w:pPr>
      <w:r>
        <w:rPr>
          <w:rFonts w:ascii="宋体" w:hAnsi="宋体" w:eastAsia="宋体" w:cs="宋体"/>
          <w:spacing w:val="-2"/>
          <w:sz w:val="24"/>
          <w:szCs w:val="24"/>
        </w:rPr>
        <w:t>白酒草</w:t>
      </w:r>
      <w:r>
        <w:rPr>
          <w:rFonts w:ascii="宋体" w:hAnsi="宋体" w:eastAsia="宋体" w:cs="宋体"/>
          <w:spacing w:val="-29"/>
          <w:sz w:val="24"/>
          <w:szCs w:val="24"/>
        </w:rPr>
        <w:t xml:space="preserve"> </w:t>
      </w:r>
      <w:r>
        <w:rPr>
          <w:rFonts w:ascii="Times New Roman" w:hAnsi="Times New Roman" w:eastAsia="Times New Roman" w:cs="Times New Roman"/>
          <w:i/>
          <w:iCs/>
          <w:spacing w:val="-2"/>
          <w:sz w:val="24"/>
          <w:szCs w:val="24"/>
        </w:rPr>
        <w:t>Conyza</w:t>
      </w:r>
      <w:r>
        <w:rPr>
          <w:rFonts w:ascii="Times New Roman" w:hAnsi="Times New Roman" w:eastAsia="Times New Roman" w:cs="Times New Roman"/>
          <w:i/>
          <w:iCs/>
          <w:spacing w:val="-56"/>
          <w:sz w:val="24"/>
          <w:szCs w:val="24"/>
        </w:rPr>
        <w:t xml:space="preserve"> </w:t>
      </w:r>
      <w:r>
        <w:rPr>
          <w:rFonts w:ascii="Times New Roman" w:hAnsi="Times New Roman" w:eastAsia="Times New Roman" w:cs="Times New Roman"/>
          <w:i/>
          <w:iCs/>
          <w:spacing w:val="-2"/>
          <w:sz w:val="24"/>
          <w:szCs w:val="24"/>
        </w:rPr>
        <w:t>japonica</w:t>
      </w:r>
      <w:r>
        <w:rPr>
          <w:rFonts w:ascii="宋体" w:hAnsi="宋体" w:eastAsia="宋体" w:cs="宋体"/>
          <w:spacing w:val="-2"/>
          <w:sz w:val="24"/>
          <w:szCs w:val="24"/>
        </w:rPr>
        <w:t>、益母草</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Leonurus</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pacing w:val="-2"/>
          <w:sz w:val="24"/>
          <w:szCs w:val="24"/>
        </w:rPr>
        <w:t>japonicus</w:t>
      </w:r>
      <w:r>
        <w:rPr>
          <w:rFonts w:ascii="宋体" w:hAnsi="宋体" w:eastAsia="宋体" w:cs="宋体"/>
          <w:spacing w:val="-2"/>
          <w:sz w:val="24"/>
          <w:szCs w:val="24"/>
        </w:rPr>
        <w:t>、香薷</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Elsholtzia ciliata</w:t>
      </w:r>
      <w:r>
        <w:rPr>
          <w:rFonts w:ascii="宋体" w:hAnsi="宋体" w:eastAsia="宋体" w:cs="宋体"/>
          <w:spacing w:val="-2"/>
          <w:sz w:val="24"/>
          <w:szCs w:val="24"/>
        </w:rPr>
        <w:t xml:space="preserve">、狗牙  </w:t>
      </w:r>
      <w:r>
        <w:rPr>
          <w:rFonts w:ascii="宋体" w:hAnsi="宋体" w:eastAsia="宋体" w:cs="宋体"/>
          <w:spacing w:val="-5"/>
          <w:sz w:val="24"/>
          <w:szCs w:val="24"/>
        </w:rPr>
        <w:t>根</w:t>
      </w:r>
      <w:r>
        <w:rPr>
          <w:rFonts w:ascii="宋体" w:hAnsi="宋体" w:eastAsia="宋体" w:cs="宋体"/>
          <w:spacing w:val="-42"/>
          <w:sz w:val="24"/>
          <w:szCs w:val="24"/>
        </w:rPr>
        <w:t xml:space="preserve"> </w:t>
      </w:r>
      <w:r>
        <w:rPr>
          <w:rFonts w:ascii="Times New Roman" w:hAnsi="Times New Roman" w:eastAsia="Times New Roman" w:cs="Times New Roman"/>
          <w:i/>
          <w:iCs/>
          <w:spacing w:val="-5"/>
          <w:sz w:val="24"/>
          <w:szCs w:val="24"/>
        </w:rPr>
        <w:t>Cynodon dactylon</w:t>
      </w:r>
      <w:r>
        <w:rPr>
          <w:rFonts w:ascii="宋体" w:hAnsi="宋体" w:eastAsia="宋体" w:cs="宋体"/>
          <w:spacing w:val="-5"/>
          <w:sz w:val="24"/>
          <w:szCs w:val="24"/>
        </w:rPr>
        <w:t>、头花龙胆</w:t>
      </w:r>
      <w:r>
        <w:rPr>
          <w:rFonts w:ascii="宋体" w:hAnsi="宋体" w:eastAsia="宋体" w:cs="宋体"/>
          <w:spacing w:val="-55"/>
          <w:sz w:val="24"/>
          <w:szCs w:val="24"/>
        </w:rPr>
        <w:t xml:space="preserve"> </w:t>
      </w:r>
      <w:r>
        <w:rPr>
          <w:rFonts w:ascii="Times New Roman" w:hAnsi="Times New Roman" w:eastAsia="Times New Roman" w:cs="Times New Roman"/>
          <w:i/>
          <w:iCs/>
          <w:spacing w:val="-5"/>
          <w:sz w:val="24"/>
          <w:szCs w:val="24"/>
        </w:rPr>
        <w:t>Gentianacephalantha</w:t>
      </w:r>
      <w:r>
        <w:rPr>
          <w:rFonts w:ascii="宋体" w:hAnsi="宋体" w:eastAsia="宋体" w:cs="宋体"/>
          <w:spacing w:val="-5"/>
          <w:sz w:val="24"/>
          <w:szCs w:val="24"/>
        </w:rPr>
        <w:t>、风轮菜</w:t>
      </w:r>
      <w:r>
        <w:rPr>
          <w:rFonts w:ascii="宋体" w:hAnsi="宋体" w:eastAsia="宋体" w:cs="宋体"/>
          <w:spacing w:val="-56"/>
          <w:sz w:val="24"/>
          <w:szCs w:val="24"/>
        </w:rPr>
        <w:t xml:space="preserve"> </w:t>
      </w:r>
      <w:r>
        <w:rPr>
          <w:rFonts w:ascii="Times New Roman" w:hAnsi="Times New Roman" w:eastAsia="Times New Roman" w:cs="Times New Roman"/>
          <w:i/>
          <w:iCs/>
          <w:spacing w:val="-5"/>
          <w:sz w:val="24"/>
          <w:szCs w:val="24"/>
        </w:rPr>
        <w:t>Clinopodium chinense</w:t>
      </w:r>
      <w:r>
        <w:rPr>
          <w:rFonts w:ascii="宋体" w:hAnsi="宋体" w:eastAsia="宋体" w:cs="宋体"/>
          <w:spacing w:val="-5"/>
          <w:sz w:val="24"/>
          <w:szCs w:val="24"/>
        </w:rPr>
        <w:t>、</w:t>
      </w:r>
    </w:p>
    <w:p>
      <w:pPr>
        <w:spacing w:line="212" w:lineRule="auto"/>
        <w:ind w:left="53"/>
        <w:rPr>
          <w:rFonts w:ascii="宋体" w:hAnsi="宋体" w:eastAsia="宋体" w:cs="宋体"/>
          <w:sz w:val="24"/>
          <w:szCs w:val="24"/>
        </w:rPr>
      </w:pPr>
      <w:r>
        <w:rPr>
          <w:rFonts w:ascii="宋体" w:hAnsi="宋体" w:eastAsia="宋体" w:cs="宋体"/>
          <w:spacing w:val="-4"/>
          <w:sz w:val="24"/>
          <w:szCs w:val="24"/>
        </w:rPr>
        <w:t>短</w:t>
      </w:r>
      <w:r>
        <w:rPr>
          <w:rFonts w:ascii="宋体" w:hAnsi="宋体" w:eastAsia="宋体" w:cs="宋体"/>
          <w:spacing w:val="-27"/>
          <w:sz w:val="24"/>
          <w:szCs w:val="24"/>
        </w:rPr>
        <w:t xml:space="preserve"> </w:t>
      </w:r>
      <w:r>
        <w:rPr>
          <w:rFonts w:ascii="宋体" w:hAnsi="宋体" w:eastAsia="宋体" w:cs="宋体"/>
          <w:spacing w:val="-4"/>
          <w:sz w:val="24"/>
          <w:szCs w:val="24"/>
        </w:rPr>
        <w:t>葶 飞</w:t>
      </w:r>
      <w:r>
        <w:rPr>
          <w:rFonts w:ascii="宋体" w:hAnsi="宋体" w:eastAsia="宋体" w:cs="宋体"/>
          <w:spacing w:val="-29"/>
          <w:sz w:val="24"/>
          <w:szCs w:val="24"/>
        </w:rPr>
        <w:t xml:space="preserve"> </w:t>
      </w:r>
      <w:r>
        <w:rPr>
          <w:rFonts w:ascii="宋体" w:hAnsi="宋体" w:eastAsia="宋体" w:cs="宋体"/>
          <w:spacing w:val="-4"/>
          <w:sz w:val="24"/>
          <w:szCs w:val="24"/>
        </w:rPr>
        <w:t>蓬</w:t>
      </w:r>
      <w:r>
        <w:rPr>
          <w:rFonts w:ascii="宋体" w:hAnsi="宋体" w:eastAsia="宋体" w:cs="宋体"/>
          <w:spacing w:val="72"/>
          <w:sz w:val="24"/>
          <w:szCs w:val="24"/>
        </w:rPr>
        <w:t xml:space="preserve"> </w:t>
      </w:r>
      <w:r>
        <w:rPr>
          <w:rFonts w:ascii="Times New Roman" w:hAnsi="Times New Roman" w:eastAsia="Times New Roman" w:cs="Times New Roman"/>
          <w:i/>
          <w:iCs/>
          <w:spacing w:val="-4"/>
          <w:sz w:val="24"/>
          <w:szCs w:val="24"/>
        </w:rPr>
        <w:t>Erigeron</w:t>
      </w:r>
      <w:r>
        <w:rPr>
          <w:rFonts w:ascii="Times New Roman" w:hAnsi="Times New Roman" w:eastAsia="Times New Roman" w:cs="Times New Roman"/>
          <w:i/>
          <w:iCs/>
          <w:spacing w:val="26"/>
          <w:w w:val="101"/>
          <w:sz w:val="24"/>
          <w:szCs w:val="24"/>
        </w:rPr>
        <w:t xml:space="preserve">  </w:t>
      </w:r>
      <w:r>
        <w:rPr>
          <w:rFonts w:ascii="Times New Roman" w:hAnsi="Times New Roman" w:eastAsia="Times New Roman" w:cs="Times New Roman"/>
          <w:i/>
          <w:iCs/>
          <w:spacing w:val="-4"/>
          <w:sz w:val="24"/>
          <w:szCs w:val="24"/>
        </w:rPr>
        <w:t>breviscapu</w:t>
      </w:r>
      <w:r>
        <w:rPr>
          <w:rFonts w:ascii="Times New Roman" w:hAnsi="Times New Roman" w:eastAsia="Times New Roman" w:cs="Times New Roman"/>
          <w:i/>
          <w:iCs/>
          <w:spacing w:val="-5"/>
          <w:sz w:val="24"/>
          <w:szCs w:val="24"/>
        </w:rPr>
        <w:t>s</w:t>
      </w:r>
      <w:r>
        <w:rPr>
          <w:rFonts w:ascii="Times New Roman" w:hAnsi="Times New Roman" w:eastAsia="Times New Roman" w:cs="Times New Roman"/>
          <w:i/>
          <w:iCs/>
          <w:spacing w:val="47"/>
          <w:w w:val="101"/>
          <w:sz w:val="24"/>
          <w:szCs w:val="24"/>
        </w:rPr>
        <w:t xml:space="preserve"> </w:t>
      </w:r>
      <w:r>
        <w:rPr>
          <w:rFonts w:ascii="宋体" w:hAnsi="宋体" w:eastAsia="宋体" w:cs="宋体"/>
          <w:spacing w:val="-5"/>
          <w:sz w:val="24"/>
          <w:szCs w:val="24"/>
        </w:rPr>
        <w:t>、</w:t>
      </w:r>
      <w:r>
        <w:rPr>
          <w:rFonts w:ascii="宋体" w:hAnsi="宋体" w:eastAsia="宋体" w:cs="宋体"/>
          <w:spacing w:val="-29"/>
          <w:sz w:val="24"/>
          <w:szCs w:val="24"/>
        </w:rPr>
        <w:t xml:space="preserve"> </w:t>
      </w:r>
      <w:r>
        <w:rPr>
          <w:rFonts w:ascii="宋体" w:hAnsi="宋体" w:eastAsia="宋体" w:cs="宋体"/>
          <w:spacing w:val="-5"/>
          <w:sz w:val="24"/>
          <w:szCs w:val="24"/>
        </w:rPr>
        <w:t>华</w:t>
      </w:r>
      <w:r>
        <w:rPr>
          <w:rFonts w:ascii="宋体" w:hAnsi="宋体" w:eastAsia="宋体" w:cs="宋体"/>
          <w:spacing w:val="-27"/>
          <w:sz w:val="24"/>
          <w:szCs w:val="24"/>
        </w:rPr>
        <w:t xml:space="preserve"> </w:t>
      </w:r>
      <w:r>
        <w:rPr>
          <w:rFonts w:ascii="宋体" w:hAnsi="宋体" w:eastAsia="宋体" w:cs="宋体"/>
          <w:spacing w:val="-5"/>
          <w:sz w:val="24"/>
          <w:szCs w:val="24"/>
        </w:rPr>
        <w:t>北</w:t>
      </w:r>
      <w:r>
        <w:rPr>
          <w:rFonts w:ascii="宋体" w:hAnsi="宋体" w:eastAsia="宋体" w:cs="宋体"/>
          <w:spacing w:val="-29"/>
          <w:sz w:val="24"/>
          <w:szCs w:val="24"/>
        </w:rPr>
        <w:t xml:space="preserve"> </w:t>
      </w:r>
      <w:r>
        <w:rPr>
          <w:rFonts w:ascii="宋体" w:hAnsi="宋体" w:eastAsia="宋体" w:cs="宋体"/>
          <w:spacing w:val="-5"/>
          <w:sz w:val="24"/>
          <w:szCs w:val="24"/>
        </w:rPr>
        <w:t>剪</w:t>
      </w:r>
      <w:r>
        <w:rPr>
          <w:rFonts w:ascii="宋体" w:hAnsi="宋体" w:eastAsia="宋体" w:cs="宋体"/>
          <w:spacing w:val="-30"/>
          <w:sz w:val="24"/>
          <w:szCs w:val="24"/>
        </w:rPr>
        <w:t xml:space="preserve"> </w:t>
      </w:r>
      <w:r>
        <w:rPr>
          <w:rFonts w:ascii="宋体" w:hAnsi="宋体" w:eastAsia="宋体" w:cs="宋体"/>
          <w:spacing w:val="-5"/>
          <w:sz w:val="24"/>
          <w:szCs w:val="24"/>
        </w:rPr>
        <w:t>股</w:t>
      </w:r>
      <w:r>
        <w:rPr>
          <w:rFonts w:ascii="宋体" w:hAnsi="宋体" w:eastAsia="宋体" w:cs="宋体"/>
          <w:spacing w:val="-28"/>
          <w:sz w:val="24"/>
          <w:szCs w:val="24"/>
        </w:rPr>
        <w:t xml:space="preserve"> </w:t>
      </w:r>
      <w:r>
        <w:rPr>
          <w:rFonts w:ascii="宋体" w:hAnsi="宋体" w:eastAsia="宋体" w:cs="宋体"/>
          <w:spacing w:val="-5"/>
          <w:sz w:val="24"/>
          <w:szCs w:val="24"/>
        </w:rPr>
        <w:t>颖</w:t>
      </w:r>
      <w:r>
        <w:rPr>
          <w:rFonts w:ascii="宋体" w:hAnsi="宋体" w:eastAsia="宋体" w:cs="宋体"/>
          <w:spacing w:val="66"/>
          <w:sz w:val="24"/>
          <w:szCs w:val="24"/>
        </w:rPr>
        <w:t xml:space="preserve"> </w:t>
      </w:r>
      <w:r>
        <w:rPr>
          <w:rFonts w:ascii="Times New Roman" w:hAnsi="Times New Roman" w:eastAsia="Times New Roman" w:cs="Times New Roman"/>
          <w:i/>
          <w:iCs/>
          <w:spacing w:val="-5"/>
          <w:sz w:val="24"/>
          <w:szCs w:val="24"/>
        </w:rPr>
        <w:t>Agrostis</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pacing w:val="-5"/>
          <w:sz w:val="24"/>
          <w:szCs w:val="24"/>
        </w:rPr>
        <w:t>clavata</w:t>
      </w:r>
      <w:r>
        <w:rPr>
          <w:rFonts w:ascii="Times New Roman" w:hAnsi="Times New Roman" w:eastAsia="Times New Roman" w:cs="Times New Roman"/>
          <w:i/>
          <w:iCs/>
          <w:spacing w:val="47"/>
          <w:sz w:val="24"/>
          <w:szCs w:val="24"/>
        </w:rPr>
        <w:t xml:space="preserve"> </w:t>
      </w:r>
      <w:r>
        <w:rPr>
          <w:rFonts w:ascii="宋体" w:hAnsi="宋体" w:eastAsia="宋体" w:cs="宋体"/>
          <w:spacing w:val="-5"/>
          <w:sz w:val="24"/>
          <w:szCs w:val="24"/>
        </w:rPr>
        <w:t>、</w:t>
      </w:r>
      <w:r>
        <w:rPr>
          <w:rFonts w:ascii="宋体" w:hAnsi="宋体" w:eastAsia="宋体" w:cs="宋体"/>
          <w:spacing w:val="-30"/>
          <w:sz w:val="24"/>
          <w:szCs w:val="24"/>
        </w:rPr>
        <w:t xml:space="preserve"> </w:t>
      </w:r>
      <w:r>
        <w:rPr>
          <w:rFonts w:ascii="宋体" w:hAnsi="宋体" w:eastAsia="宋体" w:cs="宋体"/>
          <w:spacing w:val="-5"/>
          <w:sz w:val="24"/>
          <w:szCs w:val="24"/>
        </w:rPr>
        <w:t>麦</w:t>
      </w:r>
      <w:r>
        <w:rPr>
          <w:rFonts w:ascii="宋体" w:hAnsi="宋体" w:eastAsia="宋体" w:cs="宋体"/>
          <w:spacing w:val="-24"/>
          <w:sz w:val="24"/>
          <w:szCs w:val="24"/>
        </w:rPr>
        <w:t xml:space="preserve"> </w:t>
      </w:r>
      <w:r>
        <w:rPr>
          <w:rFonts w:ascii="宋体" w:hAnsi="宋体" w:eastAsia="宋体" w:cs="宋体"/>
          <w:spacing w:val="-5"/>
          <w:sz w:val="24"/>
          <w:szCs w:val="24"/>
        </w:rPr>
        <w:t>冬</w:t>
      </w:r>
    </w:p>
    <w:p>
      <w:pPr>
        <w:spacing w:line="212" w:lineRule="auto"/>
        <w:rPr>
          <w:rFonts w:ascii="宋体" w:hAnsi="宋体" w:eastAsia="宋体" w:cs="宋体"/>
          <w:sz w:val="24"/>
          <w:szCs w:val="24"/>
        </w:rPr>
        <w:sectPr>
          <w:headerReference r:id="rId238" w:type="default"/>
          <w:footerReference r:id="rId239" w:type="default"/>
          <w:pgSz w:w="11907" w:h="16839"/>
          <w:pgMar w:top="1156" w:right="1592" w:bottom="1373" w:left="1758" w:header="881" w:footer="1210" w:gutter="0"/>
        </w:sectPr>
      </w:pPr>
    </w:p>
    <w:p>
      <w:pPr>
        <w:spacing w:line="317" w:lineRule="auto"/>
        <w:rPr>
          <w:rFonts w:ascii="Arial"/>
          <w:sz w:val="21"/>
        </w:rPr>
      </w:pPr>
    </w:p>
    <w:p>
      <w:pPr>
        <w:spacing w:before="78" w:line="360" w:lineRule="auto"/>
        <w:ind w:left="11" w:right="30" w:firstLine="33"/>
        <w:rPr>
          <w:rFonts w:ascii="宋体" w:hAnsi="宋体" w:eastAsia="宋体" w:cs="宋体"/>
          <w:sz w:val="24"/>
          <w:szCs w:val="24"/>
        </w:rPr>
      </w:pPr>
      <w:r>
        <w:rPr>
          <w:rFonts w:ascii="Times New Roman" w:hAnsi="Times New Roman" w:eastAsia="Times New Roman" w:cs="Times New Roman"/>
          <w:i/>
          <w:iCs/>
          <w:sz w:val="24"/>
          <w:szCs w:val="24"/>
        </w:rPr>
        <w:t>Ophiopogon</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japonicus</w:t>
      </w:r>
      <w:r>
        <w:rPr>
          <w:rFonts w:ascii="Times New Roman" w:hAnsi="Times New Roman" w:eastAsia="Times New Roman" w:cs="Times New Roman"/>
          <w:i/>
          <w:iCs/>
          <w:spacing w:val="18"/>
          <w:sz w:val="24"/>
          <w:szCs w:val="24"/>
        </w:rPr>
        <w:t xml:space="preserve"> </w:t>
      </w:r>
      <w:r>
        <w:rPr>
          <w:rFonts w:ascii="宋体" w:hAnsi="宋体" w:eastAsia="宋体" w:cs="宋体"/>
          <w:spacing w:val="18"/>
          <w:sz w:val="24"/>
          <w:szCs w:val="24"/>
        </w:rPr>
        <w:t>、</w:t>
      </w:r>
      <w:r>
        <w:rPr>
          <w:rFonts w:ascii="宋体" w:hAnsi="宋体" w:eastAsia="宋体" w:cs="宋体"/>
          <w:spacing w:val="-71"/>
          <w:sz w:val="24"/>
          <w:szCs w:val="24"/>
        </w:rPr>
        <w:t xml:space="preserve"> </w:t>
      </w:r>
      <w:r>
        <w:rPr>
          <w:rFonts w:ascii="宋体" w:hAnsi="宋体" w:eastAsia="宋体" w:cs="宋体"/>
          <w:spacing w:val="18"/>
          <w:sz w:val="24"/>
          <w:szCs w:val="24"/>
        </w:rPr>
        <w:t xml:space="preserve">暗鳞鳞毛蕨 </w:t>
      </w:r>
      <w:r>
        <w:rPr>
          <w:rFonts w:ascii="Times New Roman" w:hAnsi="Times New Roman" w:eastAsia="Times New Roman" w:cs="Times New Roman"/>
          <w:i/>
          <w:iCs/>
          <w:sz w:val="24"/>
          <w:szCs w:val="24"/>
        </w:rPr>
        <w:t>Dryopteris</w:t>
      </w:r>
      <w:r>
        <w:rPr>
          <w:rFonts w:ascii="Times New Roman" w:hAnsi="Times New Roman" w:eastAsia="Times New Roman" w:cs="Times New Roman"/>
          <w:i/>
          <w:iCs/>
          <w:spacing w:val="18"/>
          <w:sz w:val="24"/>
          <w:szCs w:val="24"/>
        </w:rPr>
        <w:t xml:space="preserve"> </w:t>
      </w:r>
      <w:r>
        <w:rPr>
          <w:rFonts w:ascii="Times New Roman" w:hAnsi="Times New Roman" w:eastAsia="Times New Roman" w:cs="Times New Roman"/>
          <w:i/>
          <w:iCs/>
          <w:sz w:val="24"/>
          <w:szCs w:val="24"/>
        </w:rPr>
        <w:t>atrata</w:t>
      </w:r>
      <w:r>
        <w:rPr>
          <w:rFonts w:ascii="Times New Roman" w:hAnsi="Times New Roman" w:eastAsia="Times New Roman" w:cs="Times New Roman"/>
          <w:i/>
          <w:iCs/>
          <w:spacing w:val="-32"/>
          <w:sz w:val="24"/>
          <w:szCs w:val="24"/>
        </w:rPr>
        <w:t xml:space="preserve"> </w:t>
      </w:r>
      <w:r>
        <w:rPr>
          <w:rFonts w:ascii="宋体" w:hAnsi="宋体" w:eastAsia="宋体" w:cs="宋体"/>
          <w:spacing w:val="18"/>
          <w:sz w:val="24"/>
          <w:szCs w:val="24"/>
        </w:rPr>
        <w:t xml:space="preserve">、云南兔儿风 </w:t>
      </w:r>
      <w:r>
        <w:rPr>
          <w:rFonts w:ascii="Times New Roman" w:hAnsi="Times New Roman" w:eastAsia="Times New Roman" w:cs="Times New Roman"/>
          <w:i/>
          <w:iCs/>
          <w:sz w:val="24"/>
          <w:szCs w:val="24"/>
        </w:rPr>
        <w:t>Ainsliaea yunnanensis</w:t>
      </w:r>
      <w:r>
        <w:rPr>
          <w:rFonts w:ascii="宋体" w:hAnsi="宋体" w:eastAsia="宋体" w:cs="宋体"/>
          <w:spacing w:val="4"/>
          <w:sz w:val="24"/>
          <w:szCs w:val="24"/>
        </w:rPr>
        <w:t xml:space="preserve">、刺芒野古草 </w:t>
      </w:r>
      <w:r>
        <w:rPr>
          <w:rFonts w:ascii="Times New Roman" w:hAnsi="Times New Roman" w:eastAsia="Times New Roman" w:cs="Times New Roman"/>
          <w:i/>
          <w:iCs/>
          <w:sz w:val="24"/>
          <w:szCs w:val="24"/>
        </w:rPr>
        <w:t>Arundinella</w:t>
      </w:r>
      <w:r>
        <w:rPr>
          <w:rFonts w:ascii="Times New Roman" w:hAnsi="Times New Roman" w:eastAsia="Times New Roman" w:cs="Times New Roman"/>
          <w:i/>
          <w:iCs/>
          <w:spacing w:val="44"/>
          <w:sz w:val="24"/>
          <w:szCs w:val="24"/>
        </w:rPr>
        <w:t xml:space="preserve"> </w:t>
      </w:r>
      <w:r>
        <w:rPr>
          <w:rFonts w:ascii="Times New Roman" w:hAnsi="Times New Roman" w:eastAsia="Times New Roman" w:cs="Times New Roman"/>
          <w:i/>
          <w:iCs/>
          <w:sz w:val="24"/>
          <w:szCs w:val="24"/>
        </w:rPr>
        <w:t>setosa</w:t>
      </w:r>
      <w:r>
        <w:rPr>
          <w:rFonts w:ascii="Times New Roman" w:hAnsi="Times New Roman" w:eastAsia="Times New Roman" w:cs="Times New Roman"/>
          <w:i/>
          <w:iCs/>
          <w:spacing w:val="-26"/>
          <w:sz w:val="24"/>
          <w:szCs w:val="24"/>
        </w:rPr>
        <w:t xml:space="preserve"> </w:t>
      </w:r>
      <w:r>
        <w:rPr>
          <w:rFonts w:ascii="宋体" w:hAnsi="宋体" w:eastAsia="宋体" w:cs="宋体"/>
          <w:spacing w:val="4"/>
          <w:sz w:val="24"/>
          <w:szCs w:val="24"/>
        </w:rPr>
        <w:t>、紫花地丁</w:t>
      </w:r>
      <w:r>
        <w:rPr>
          <w:rFonts w:ascii="宋体" w:hAnsi="宋体" w:eastAsia="宋体" w:cs="宋体"/>
          <w:spacing w:val="35"/>
          <w:sz w:val="24"/>
          <w:szCs w:val="24"/>
        </w:rPr>
        <w:t xml:space="preserve"> </w:t>
      </w:r>
      <w:r>
        <w:rPr>
          <w:rFonts w:ascii="Times New Roman" w:hAnsi="Times New Roman" w:eastAsia="Times New Roman" w:cs="Times New Roman"/>
          <w:i/>
          <w:iCs/>
          <w:sz w:val="24"/>
          <w:szCs w:val="24"/>
        </w:rPr>
        <w:t>Viola</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i/>
          <w:iCs/>
          <w:sz w:val="24"/>
          <w:szCs w:val="24"/>
        </w:rPr>
        <w:t>philippica</w:t>
      </w:r>
      <w:r>
        <w:rPr>
          <w:rFonts w:ascii="宋体" w:hAnsi="宋体" w:eastAsia="宋体" w:cs="宋体"/>
          <w:spacing w:val="4"/>
          <w:sz w:val="24"/>
          <w:szCs w:val="24"/>
        </w:rPr>
        <w:t>、芒萁</w:t>
      </w:r>
      <w:r>
        <w:rPr>
          <w:rFonts w:ascii="宋体" w:hAnsi="宋体" w:eastAsia="宋体" w:cs="宋体"/>
          <w:sz w:val="24"/>
          <w:szCs w:val="24"/>
        </w:rPr>
        <w:t xml:space="preserve"> </w:t>
      </w:r>
      <w:r>
        <w:rPr>
          <w:rFonts w:ascii="Times New Roman" w:hAnsi="Times New Roman" w:eastAsia="Times New Roman" w:cs="Times New Roman"/>
          <w:i/>
          <w:iCs/>
          <w:sz w:val="24"/>
          <w:szCs w:val="24"/>
        </w:rPr>
        <w:t>Dicranopteris</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z w:val="24"/>
          <w:szCs w:val="24"/>
        </w:rPr>
        <w:t>pedata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、鬼针草</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Bidens</w:t>
      </w:r>
      <w:r>
        <w:rPr>
          <w:rFonts w:ascii="Times New Roman" w:hAnsi="Times New Roman" w:eastAsia="Times New Roman" w:cs="Times New Roman"/>
          <w:i/>
          <w:iCs/>
          <w:spacing w:val="-25"/>
          <w:sz w:val="24"/>
          <w:szCs w:val="24"/>
        </w:rPr>
        <w:t xml:space="preserve"> </w:t>
      </w:r>
      <w:r>
        <w:rPr>
          <w:rFonts w:ascii="Times New Roman" w:hAnsi="Times New Roman" w:eastAsia="Times New Roman" w:cs="Times New Roman"/>
          <w:i/>
          <w:iCs/>
          <w:sz w:val="24"/>
          <w:szCs w:val="24"/>
        </w:rPr>
        <w:t>pilosa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、毛轴蕨</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Pteridiumrevolutum</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、缘毛鸟</w:t>
      </w:r>
      <w:r>
        <w:rPr>
          <w:rFonts w:ascii="宋体" w:hAnsi="宋体" w:eastAsia="宋体" w:cs="宋体"/>
          <w:sz w:val="24"/>
          <w:szCs w:val="24"/>
        </w:rPr>
        <w:t xml:space="preserve"> 足兰</w:t>
      </w:r>
      <w:r>
        <w:rPr>
          <w:rFonts w:ascii="宋体" w:hAnsi="宋体" w:eastAsia="宋体" w:cs="宋体"/>
          <w:spacing w:val="-24"/>
          <w:sz w:val="24"/>
          <w:szCs w:val="24"/>
        </w:rPr>
        <w:t xml:space="preserve"> </w:t>
      </w:r>
      <w:r>
        <w:rPr>
          <w:rFonts w:ascii="Times New Roman" w:hAnsi="Times New Roman" w:eastAsia="Times New Roman" w:cs="Times New Roman"/>
          <w:i/>
          <w:iCs/>
          <w:sz w:val="24"/>
          <w:szCs w:val="24"/>
        </w:rPr>
        <w:t xml:space="preserve">Satyrium nepalense </w:t>
      </w:r>
      <w:r>
        <w:rPr>
          <w:rFonts w:ascii="Times New Roman" w:hAnsi="Times New Roman" w:eastAsia="Times New Roman" w:cs="Times New Roman"/>
          <w:sz w:val="24"/>
          <w:szCs w:val="24"/>
        </w:rPr>
        <w:t xml:space="preserve">var. </w:t>
      </w:r>
      <w:r>
        <w:rPr>
          <w:rFonts w:ascii="Times New Roman" w:hAnsi="Times New Roman" w:eastAsia="Times New Roman" w:cs="Times New Roman"/>
          <w:i/>
          <w:iCs/>
          <w:sz w:val="24"/>
          <w:szCs w:val="24"/>
        </w:rPr>
        <w:t>ciliatum</w:t>
      </w:r>
      <w:r>
        <w:rPr>
          <w:rFonts w:ascii="宋体" w:hAnsi="宋体" w:eastAsia="宋体" w:cs="宋体"/>
          <w:sz w:val="24"/>
          <w:szCs w:val="24"/>
        </w:rPr>
        <w:t>、珠光香青</w:t>
      </w:r>
      <w:r>
        <w:rPr>
          <w:rFonts w:ascii="宋体" w:hAnsi="宋体" w:eastAsia="宋体" w:cs="宋体"/>
          <w:spacing w:val="-26"/>
          <w:sz w:val="24"/>
          <w:szCs w:val="24"/>
        </w:rPr>
        <w:t xml:space="preserve"> </w:t>
      </w:r>
      <w:r>
        <w:rPr>
          <w:rFonts w:ascii="Times New Roman" w:hAnsi="Times New Roman" w:eastAsia="Times New Roman" w:cs="Times New Roman"/>
          <w:i/>
          <w:iCs/>
          <w:sz w:val="24"/>
          <w:szCs w:val="24"/>
        </w:rPr>
        <w:t>Anaphalis margaritac</w:t>
      </w:r>
      <w:r>
        <w:rPr>
          <w:rFonts w:ascii="Times New Roman" w:hAnsi="Times New Roman" w:eastAsia="Times New Roman" w:cs="Times New Roman"/>
          <w:i/>
          <w:iCs/>
          <w:spacing w:val="-1"/>
          <w:sz w:val="24"/>
          <w:szCs w:val="24"/>
        </w:rPr>
        <w:t>ea</w:t>
      </w:r>
      <w:r>
        <w:rPr>
          <w:rFonts w:ascii="宋体" w:hAnsi="宋体" w:eastAsia="宋体" w:cs="宋体"/>
          <w:spacing w:val="-1"/>
          <w:sz w:val="24"/>
          <w:szCs w:val="24"/>
        </w:rPr>
        <w:t>、西南风</w:t>
      </w:r>
      <w:r>
        <w:rPr>
          <w:rFonts w:ascii="宋体" w:hAnsi="宋体" w:eastAsia="宋体" w:cs="宋体"/>
          <w:sz w:val="24"/>
          <w:szCs w:val="24"/>
        </w:rPr>
        <w:t xml:space="preserve"> </w:t>
      </w:r>
      <w:r>
        <w:rPr>
          <w:rFonts w:ascii="宋体" w:hAnsi="宋体" w:eastAsia="宋体" w:cs="宋体"/>
          <w:spacing w:val="-3"/>
          <w:sz w:val="24"/>
          <w:szCs w:val="24"/>
        </w:rPr>
        <w:t>铃草</w:t>
      </w:r>
      <w:r>
        <w:rPr>
          <w:rFonts w:ascii="宋体" w:hAnsi="宋体" w:eastAsia="宋体" w:cs="宋体"/>
          <w:spacing w:val="-54"/>
          <w:sz w:val="24"/>
          <w:szCs w:val="24"/>
        </w:rPr>
        <w:t xml:space="preserve"> </w:t>
      </w:r>
      <w:r>
        <w:rPr>
          <w:rFonts w:ascii="Times New Roman" w:hAnsi="Times New Roman" w:eastAsia="Times New Roman" w:cs="Times New Roman"/>
          <w:i/>
          <w:iCs/>
          <w:spacing w:val="-3"/>
          <w:sz w:val="24"/>
          <w:szCs w:val="24"/>
        </w:rPr>
        <w:t>Campanula</w:t>
      </w:r>
      <w:r>
        <w:rPr>
          <w:rFonts w:ascii="Times New Roman" w:hAnsi="Times New Roman" w:eastAsia="Times New Roman" w:cs="Times New Roman"/>
          <w:i/>
          <w:iCs/>
          <w:spacing w:val="-25"/>
          <w:sz w:val="24"/>
          <w:szCs w:val="24"/>
        </w:rPr>
        <w:t xml:space="preserve"> </w:t>
      </w:r>
      <w:r>
        <w:rPr>
          <w:rFonts w:ascii="Times New Roman" w:hAnsi="Times New Roman" w:eastAsia="Times New Roman" w:cs="Times New Roman"/>
          <w:i/>
          <w:iCs/>
          <w:spacing w:val="-3"/>
          <w:sz w:val="24"/>
          <w:szCs w:val="24"/>
        </w:rPr>
        <w:t>pallida</w:t>
      </w:r>
      <w:r>
        <w:rPr>
          <w:rFonts w:ascii="宋体" w:hAnsi="宋体" w:eastAsia="宋体" w:cs="宋体"/>
          <w:spacing w:val="-3"/>
          <w:sz w:val="24"/>
          <w:szCs w:val="24"/>
        </w:rPr>
        <w:t>、蒲公英</w:t>
      </w:r>
      <w:r>
        <w:rPr>
          <w:rFonts w:ascii="宋体" w:hAnsi="宋体" w:eastAsia="宋体" w:cs="宋体"/>
          <w:spacing w:val="-53"/>
          <w:sz w:val="24"/>
          <w:szCs w:val="24"/>
        </w:rPr>
        <w:t xml:space="preserve"> </w:t>
      </w:r>
      <w:r>
        <w:rPr>
          <w:rFonts w:ascii="Times New Roman" w:hAnsi="Times New Roman" w:eastAsia="Times New Roman" w:cs="Times New Roman"/>
          <w:i/>
          <w:iCs/>
          <w:spacing w:val="-3"/>
          <w:sz w:val="24"/>
          <w:szCs w:val="24"/>
        </w:rPr>
        <w:t>Tar</w:t>
      </w:r>
      <w:r>
        <w:rPr>
          <w:rFonts w:ascii="Times New Roman" w:hAnsi="Times New Roman" w:eastAsia="Times New Roman" w:cs="Times New Roman"/>
          <w:i/>
          <w:iCs/>
          <w:spacing w:val="-4"/>
          <w:sz w:val="24"/>
          <w:szCs w:val="24"/>
        </w:rPr>
        <w:t>axacum mongolicum</w:t>
      </w:r>
      <w:r>
        <w:rPr>
          <w:rFonts w:ascii="宋体" w:hAnsi="宋体" w:eastAsia="宋体" w:cs="宋体"/>
          <w:spacing w:val="-4"/>
          <w:sz w:val="24"/>
          <w:szCs w:val="24"/>
        </w:rPr>
        <w:t>、荩草</w:t>
      </w:r>
      <w:r>
        <w:rPr>
          <w:rFonts w:ascii="Times New Roman" w:hAnsi="Times New Roman" w:eastAsia="Times New Roman" w:cs="Times New Roman"/>
          <w:i/>
          <w:iCs/>
          <w:spacing w:val="-4"/>
          <w:sz w:val="24"/>
          <w:szCs w:val="24"/>
        </w:rPr>
        <w:t>Arthraxon hispidus</w:t>
      </w:r>
      <w:r>
        <w:rPr>
          <w:rFonts w:ascii="宋体" w:hAnsi="宋体" w:eastAsia="宋体" w:cs="宋体"/>
          <w:spacing w:val="-4"/>
          <w:sz w:val="24"/>
          <w:szCs w:val="24"/>
        </w:rPr>
        <w:t>、</w:t>
      </w:r>
    </w:p>
    <w:p>
      <w:pPr>
        <w:spacing w:line="212" w:lineRule="auto"/>
        <w:ind w:left="39"/>
        <w:rPr>
          <w:rFonts w:ascii="宋体" w:hAnsi="宋体" w:eastAsia="宋体" w:cs="宋体"/>
          <w:sz w:val="24"/>
          <w:szCs w:val="24"/>
        </w:rPr>
      </w:pPr>
      <w:r>
        <w:rPr>
          <w:rFonts w:ascii="宋体" w:hAnsi="宋体" w:eastAsia="宋体" w:cs="宋体"/>
          <w:sz w:val="24"/>
          <w:szCs w:val="24"/>
        </w:rPr>
        <w:t>滇姜花</w:t>
      </w:r>
      <w:r>
        <w:rPr>
          <w:rFonts w:ascii="宋体" w:hAnsi="宋体" w:eastAsia="宋体" w:cs="宋体"/>
          <w:spacing w:val="-63"/>
          <w:sz w:val="24"/>
          <w:szCs w:val="24"/>
        </w:rPr>
        <w:t xml:space="preserve"> </w:t>
      </w:r>
      <w:r>
        <w:rPr>
          <w:rFonts w:ascii="Times New Roman" w:hAnsi="Times New Roman" w:eastAsia="Times New Roman" w:cs="Times New Roman"/>
          <w:i/>
          <w:iCs/>
          <w:sz w:val="24"/>
          <w:szCs w:val="24"/>
        </w:rPr>
        <w:t>Hedychium</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i/>
          <w:iCs/>
          <w:sz w:val="24"/>
          <w:szCs w:val="24"/>
        </w:rPr>
        <w:t xml:space="preserve">yunnanense </w:t>
      </w:r>
      <w:r>
        <w:rPr>
          <w:rFonts w:ascii="宋体" w:hAnsi="宋体" w:eastAsia="宋体" w:cs="宋体"/>
          <w:sz w:val="24"/>
          <w:szCs w:val="24"/>
        </w:rPr>
        <w:t>等。</w:t>
      </w:r>
    </w:p>
    <w:p>
      <w:pPr>
        <w:spacing w:before="192" w:line="360" w:lineRule="auto"/>
        <w:ind w:left="23" w:right="30" w:firstLine="496"/>
        <w:rPr>
          <w:rFonts w:ascii="宋体" w:hAnsi="宋体" w:eastAsia="宋体" w:cs="宋体"/>
          <w:sz w:val="24"/>
          <w:szCs w:val="24"/>
        </w:rPr>
      </w:pPr>
      <w:r>
        <w:rPr>
          <w:rFonts w:ascii="宋体" w:hAnsi="宋体" w:eastAsia="宋体" w:cs="宋体"/>
          <w:spacing w:val="12"/>
          <w:sz w:val="24"/>
          <w:szCs w:val="24"/>
        </w:rPr>
        <w:t>群落中藤本植物较为稀少，常见种类有马甲菝</w:t>
      </w:r>
      <w:r>
        <w:rPr>
          <w:rFonts w:ascii="宋体" w:hAnsi="宋体" w:eastAsia="宋体" w:cs="宋体"/>
          <w:spacing w:val="11"/>
          <w:sz w:val="24"/>
          <w:szCs w:val="24"/>
        </w:rPr>
        <w:t xml:space="preserve">葜 </w:t>
      </w:r>
      <w:r>
        <w:rPr>
          <w:rFonts w:ascii="Times New Roman" w:hAnsi="Times New Roman" w:eastAsia="Times New Roman" w:cs="Times New Roman"/>
          <w:i/>
          <w:iCs/>
          <w:sz w:val="24"/>
          <w:szCs w:val="24"/>
        </w:rPr>
        <w:t>Smilax</w:t>
      </w:r>
      <w:r>
        <w:rPr>
          <w:rFonts w:ascii="Times New Roman" w:hAnsi="Times New Roman" w:eastAsia="Times New Roman" w:cs="Times New Roman"/>
          <w:i/>
          <w:iCs/>
          <w:spacing w:val="47"/>
          <w:w w:val="101"/>
          <w:sz w:val="24"/>
          <w:szCs w:val="24"/>
        </w:rPr>
        <w:t xml:space="preserve"> </w:t>
      </w:r>
      <w:r>
        <w:rPr>
          <w:rFonts w:ascii="Times New Roman" w:hAnsi="Times New Roman" w:eastAsia="Times New Roman" w:cs="Times New Roman"/>
          <w:i/>
          <w:iCs/>
          <w:sz w:val="24"/>
          <w:szCs w:val="24"/>
        </w:rPr>
        <w:t>bockii</w:t>
      </w:r>
      <w:r>
        <w:rPr>
          <w:rFonts w:ascii="Times New Roman" w:hAnsi="Times New Roman" w:eastAsia="Times New Roman" w:cs="Times New Roman"/>
          <w:i/>
          <w:iCs/>
          <w:spacing w:val="-18"/>
          <w:sz w:val="24"/>
          <w:szCs w:val="24"/>
        </w:rPr>
        <w:t xml:space="preserve"> </w:t>
      </w:r>
      <w:r>
        <w:rPr>
          <w:rFonts w:ascii="宋体" w:hAnsi="宋体" w:eastAsia="宋体" w:cs="宋体"/>
          <w:spacing w:val="11"/>
          <w:sz w:val="24"/>
          <w:szCs w:val="24"/>
        </w:rPr>
        <w:t>、飞蛾藤</w:t>
      </w:r>
      <w:r>
        <w:rPr>
          <w:rFonts w:ascii="宋体" w:hAnsi="宋体" w:eastAsia="宋体" w:cs="宋体"/>
          <w:sz w:val="24"/>
          <w:szCs w:val="24"/>
        </w:rPr>
        <w:t xml:space="preserve"> </w:t>
      </w:r>
      <w:r>
        <w:rPr>
          <w:rFonts w:ascii="Times New Roman" w:hAnsi="Times New Roman" w:eastAsia="Times New Roman" w:cs="Times New Roman"/>
          <w:i/>
          <w:iCs/>
          <w:spacing w:val="-1"/>
          <w:sz w:val="24"/>
          <w:szCs w:val="24"/>
        </w:rPr>
        <w:t>Dinetus racemosus</w:t>
      </w:r>
      <w:r>
        <w:rPr>
          <w:rFonts w:ascii="Times New Roman" w:hAnsi="Times New Roman" w:eastAsia="Times New Roman" w:cs="Times New Roman"/>
          <w:i/>
          <w:iCs/>
          <w:spacing w:val="-18"/>
          <w:sz w:val="24"/>
          <w:szCs w:val="24"/>
        </w:rPr>
        <w:t xml:space="preserve"> </w:t>
      </w:r>
      <w:r>
        <w:rPr>
          <w:rFonts w:ascii="宋体" w:hAnsi="宋体" w:eastAsia="宋体" w:cs="宋体"/>
          <w:spacing w:val="-1"/>
          <w:sz w:val="24"/>
          <w:szCs w:val="24"/>
        </w:rPr>
        <w:t>、长托菝葜</w:t>
      </w:r>
      <w:r>
        <w:rPr>
          <w:rFonts w:ascii="宋体" w:hAnsi="宋体" w:eastAsia="宋体" w:cs="宋体"/>
          <w:spacing w:val="-58"/>
          <w:sz w:val="24"/>
          <w:szCs w:val="24"/>
        </w:rPr>
        <w:t xml:space="preserve"> </w:t>
      </w:r>
      <w:r>
        <w:rPr>
          <w:rFonts w:ascii="Times New Roman" w:hAnsi="Times New Roman" w:eastAsia="Times New Roman" w:cs="Times New Roman"/>
          <w:i/>
          <w:iCs/>
          <w:spacing w:val="-1"/>
          <w:sz w:val="24"/>
          <w:szCs w:val="24"/>
        </w:rPr>
        <w:t>Smilax quadrata</w:t>
      </w:r>
      <w:r>
        <w:rPr>
          <w:rFonts w:ascii="宋体" w:hAnsi="宋体" w:eastAsia="宋体" w:cs="宋体"/>
          <w:spacing w:val="-1"/>
          <w:sz w:val="24"/>
          <w:szCs w:val="24"/>
        </w:rPr>
        <w:t>、粘山药</w:t>
      </w:r>
      <w:r>
        <w:rPr>
          <w:rFonts w:ascii="宋体" w:hAnsi="宋体" w:eastAsia="宋体" w:cs="宋体"/>
          <w:spacing w:val="-56"/>
          <w:sz w:val="24"/>
          <w:szCs w:val="24"/>
        </w:rPr>
        <w:t xml:space="preserve"> </w:t>
      </w:r>
      <w:r>
        <w:rPr>
          <w:rFonts w:ascii="Times New Roman" w:hAnsi="Times New Roman" w:eastAsia="Times New Roman" w:cs="Times New Roman"/>
          <w:i/>
          <w:iCs/>
          <w:spacing w:val="-1"/>
          <w:sz w:val="24"/>
          <w:szCs w:val="24"/>
        </w:rPr>
        <w:t>Dioscorea hemsleyi</w:t>
      </w:r>
      <w:r>
        <w:rPr>
          <w:rFonts w:ascii="宋体" w:hAnsi="宋体" w:eastAsia="宋体" w:cs="宋体"/>
          <w:spacing w:val="-1"/>
          <w:sz w:val="24"/>
          <w:szCs w:val="24"/>
        </w:rPr>
        <w:t>、小木</w:t>
      </w:r>
      <w:r>
        <w:rPr>
          <w:rFonts w:ascii="宋体" w:hAnsi="宋体" w:eastAsia="宋体" w:cs="宋体"/>
          <w:sz w:val="24"/>
          <w:szCs w:val="24"/>
        </w:rPr>
        <w:t xml:space="preserve"> </w:t>
      </w:r>
      <w:r>
        <w:rPr>
          <w:rFonts w:ascii="宋体" w:hAnsi="宋体" w:eastAsia="宋体" w:cs="宋体"/>
          <w:spacing w:val="-4"/>
          <w:sz w:val="24"/>
          <w:szCs w:val="24"/>
        </w:rPr>
        <w:t>通</w:t>
      </w:r>
      <w:r>
        <w:rPr>
          <w:rFonts w:ascii="宋体" w:hAnsi="宋体" w:eastAsia="宋体" w:cs="宋体"/>
          <w:spacing w:val="-39"/>
          <w:sz w:val="24"/>
          <w:szCs w:val="24"/>
        </w:rPr>
        <w:t xml:space="preserve"> </w:t>
      </w:r>
      <w:r>
        <w:rPr>
          <w:rFonts w:ascii="Times New Roman" w:hAnsi="Times New Roman" w:eastAsia="Times New Roman" w:cs="Times New Roman"/>
          <w:i/>
          <w:iCs/>
          <w:spacing w:val="-4"/>
          <w:sz w:val="24"/>
          <w:szCs w:val="24"/>
        </w:rPr>
        <w:t>Clematis armandii</w:t>
      </w:r>
      <w:r>
        <w:rPr>
          <w:rFonts w:ascii="宋体" w:hAnsi="宋体" w:eastAsia="宋体" w:cs="宋体"/>
          <w:spacing w:val="-4"/>
          <w:sz w:val="24"/>
          <w:szCs w:val="24"/>
        </w:rPr>
        <w:t>、鸡屎藤</w:t>
      </w:r>
      <w:r>
        <w:rPr>
          <w:rFonts w:ascii="宋体" w:hAnsi="宋体" w:eastAsia="宋体" w:cs="宋体"/>
          <w:spacing w:val="-65"/>
          <w:sz w:val="24"/>
          <w:szCs w:val="24"/>
        </w:rPr>
        <w:t xml:space="preserve"> </w:t>
      </w:r>
      <w:r>
        <w:rPr>
          <w:rFonts w:ascii="Times New Roman" w:hAnsi="Times New Roman" w:eastAsia="Times New Roman" w:cs="Times New Roman"/>
          <w:i/>
          <w:iCs/>
          <w:spacing w:val="-4"/>
          <w:sz w:val="24"/>
          <w:szCs w:val="24"/>
        </w:rPr>
        <w:t>Paederia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4"/>
          <w:sz w:val="24"/>
          <w:szCs w:val="24"/>
        </w:rPr>
        <w:t>foetida</w:t>
      </w:r>
      <w:r>
        <w:rPr>
          <w:rFonts w:ascii="宋体" w:hAnsi="宋体" w:eastAsia="宋体" w:cs="宋体"/>
          <w:spacing w:val="-4"/>
          <w:sz w:val="24"/>
          <w:szCs w:val="24"/>
        </w:rPr>
        <w:t>、鸡蛋参</w:t>
      </w:r>
      <w:r>
        <w:rPr>
          <w:rFonts w:ascii="宋体" w:hAnsi="宋体" w:eastAsia="宋体" w:cs="宋体"/>
          <w:spacing w:val="-44"/>
          <w:sz w:val="24"/>
          <w:szCs w:val="24"/>
        </w:rPr>
        <w:t xml:space="preserve"> </w:t>
      </w:r>
      <w:r>
        <w:rPr>
          <w:rFonts w:ascii="Times New Roman" w:hAnsi="Times New Roman" w:eastAsia="Times New Roman" w:cs="Times New Roman"/>
          <w:i/>
          <w:iCs/>
          <w:spacing w:val="-4"/>
          <w:sz w:val="24"/>
          <w:szCs w:val="24"/>
        </w:rPr>
        <w:t>Codonopsis convolvulacea</w:t>
      </w:r>
      <w:r>
        <w:rPr>
          <w:rFonts w:ascii="Times New Roman" w:hAnsi="Times New Roman" w:eastAsia="Times New Roman" w:cs="Times New Roman"/>
          <w:i/>
          <w:iCs/>
          <w:spacing w:val="-34"/>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2"/>
          <w:sz w:val="24"/>
          <w:szCs w:val="24"/>
        </w:rPr>
        <w:t>钝萼铁线莲</w:t>
      </w:r>
      <w:r>
        <w:rPr>
          <w:rFonts w:ascii="宋体" w:hAnsi="宋体" w:eastAsia="宋体" w:cs="宋体"/>
          <w:spacing w:val="-15"/>
          <w:sz w:val="24"/>
          <w:szCs w:val="24"/>
        </w:rPr>
        <w:t xml:space="preserve"> </w:t>
      </w:r>
      <w:r>
        <w:rPr>
          <w:rFonts w:ascii="Times New Roman" w:hAnsi="Times New Roman" w:eastAsia="Times New Roman" w:cs="Times New Roman"/>
          <w:i/>
          <w:iCs/>
          <w:spacing w:val="-2"/>
          <w:sz w:val="24"/>
          <w:szCs w:val="24"/>
        </w:rPr>
        <w:t>Clematis peterae</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等。</w:t>
      </w:r>
      <w:r>
        <w:rPr>
          <w:rFonts w:ascii="宋体" w:hAnsi="宋体" w:eastAsia="宋体" w:cs="宋体"/>
          <w:spacing w:val="-34"/>
          <w:sz w:val="24"/>
          <w:szCs w:val="24"/>
        </w:rPr>
        <w:t xml:space="preserve"> </w:t>
      </w:r>
      <w:r>
        <w:rPr>
          <w:rFonts w:ascii="宋体" w:hAnsi="宋体" w:eastAsia="宋体" w:cs="宋体"/>
          <w:spacing w:val="-2"/>
          <w:sz w:val="24"/>
          <w:szCs w:val="24"/>
        </w:rPr>
        <w:t>另外，附生植物有桑寄生科植物松柏钝果寄生</w:t>
      </w:r>
      <w:r>
        <w:rPr>
          <w:rFonts w:ascii="宋体" w:hAnsi="宋体" w:eastAsia="宋体" w:cs="宋体"/>
          <w:sz w:val="24"/>
          <w:szCs w:val="24"/>
        </w:rPr>
        <w:t xml:space="preserve"> </w:t>
      </w:r>
      <w:r>
        <w:rPr>
          <w:rFonts w:ascii="Times New Roman" w:hAnsi="Times New Roman" w:eastAsia="Times New Roman" w:cs="Times New Roman"/>
          <w:i/>
          <w:iCs/>
          <w:spacing w:val="-2"/>
          <w:sz w:val="24"/>
          <w:szCs w:val="24"/>
        </w:rPr>
        <w:t>Taxilluscaloreas</w:t>
      </w:r>
      <w:r>
        <w:rPr>
          <w:rFonts w:ascii="宋体" w:hAnsi="宋体" w:eastAsia="宋体" w:cs="宋体"/>
          <w:spacing w:val="-2"/>
          <w:sz w:val="24"/>
          <w:szCs w:val="24"/>
        </w:rPr>
        <w:t>、流苏贝母兰</w:t>
      </w:r>
      <w:r>
        <w:rPr>
          <w:rFonts w:ascii="宋体" w:hAnsi="宋体" w:eastAsia="宋体" w:cs="宋体"/>
          <w:spacing w:val="-47"/>
          <w:sz w:val="24"/>
          <w:szCs w:val="24"/>
        </w:rPr>
        <w:t xml:space="preserve"> </w:t>
      </w:r>
      <w:r>
        <w:rPr>
          <w:rFonts w:ascii="Times New Roman" w:hAnsi="Times New Roman" w:eastAsia="Times New Roman" w:cs="Times New Roman"/>
          <w:i/>
          <w:iCs/>
          <w:spacing w:val="-2"/>
          <w:sz w:val="24"/>
          <w:szCs w:val="24"/>
        </w:rPr>
        <w:t>Coelogynefimbria</w:t>
      </w:r>
      <w:r>
        <w:rPr>
          <w:rFonts w:ascii="Times New Roman" w:hAnsi="Times New Roman" w:eastAsia="Times New Roman" w:cs="Times New Roman"/>
          <w:i/>
          <w:iCs/>
          <w:spacing w:val="-3"/>
          <w:sz w:val="24"/>
          <w:szCs w:val="24"/>
        </w:rPr>
        <w:t>ta</w:t>
      </w:r>
      <w:r>
        <w:rPr>
          <w:rFonts w:ascii="宋体" w:hAnsi="宋体" w:eastAsia="宋体" w:cs="宋体"/>
          <w:spacing w:val="-3"/>
          <w:sz w:val="24"/>
          <w:szCs w:val="24"/>
        </w:rPr>
        <w:t>、三出假瘤蕨</w:t>
      </w:r>
      <w:r>
        <w:rPr>
          <w:rFonts w:ascii="宋体" w:hAnsi="宋体" w:eastAsia="宋体" w:cs="宋体"/>
          <w:spacing w:val="-62"/>
          <w:sz w:val="24"/>
          <w:szCs w:val="24"/>
        </w:rPr>
        <w:t xml:space="preserve"> </w:t>
      </w:r>
      <w:r>
        <w:rPr>
          <w:rFonts w:ascii="Times New Roman" w:hAnsi="Times New Roman" w:eastAsia="Times New Roman" w:cs="Times New Roman"/>
          <w:i/>
          <w:iCs/>
          <w:spacing w:val="-3"/>
          <w:sz w:val="24"/>
          <w:szCs w:val="24"/>
        </w:rPr>
        <w:t>Selliguea trisecta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9"/>
          <w:sz w:val="24"/>
          <w:szCs w:val="24"/>
        </w:rPr>
        <w:t>瓦韦</w:t>
      </w:r>
      <w:r>
        <w:rPr>
          <w:rFonts w:ascii="宋体" w:hAnsi="宋体" w:eastAsia="宋体" w:cs="宋体"/>
          <w:spacing w:val="39"/>
          <w:sz w:val="24"/>
          <w:szCs w:val="24"/>
        </w:rPr>
        <w:t xml:space="preserve"> </w:t>
      </w:r>
      <w:r>
        <w:rPr>
          <w:rFonts w:ascii="Times New Roman" w:hAnsi="Times New Roman" w:eastAsia="Times New Roman" w:cs="Times New Roman"/>
          <w:i/>
          <w:iCs/>
          <w:sz w:val="24"/>
          <w:szCs w:val="24"/>
        </w:rPr>
        <w:t>Lepisorus</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thunbergianus</w:t>
      </w:r>
      <w:r>
        <w:rPr>
          <w:rFonts w:ascii="Times New Roman" w:hAnsi="Times New Roman" w:eastAsia="Times New Roman" w:cs="Times New Roman"/>
          <w:i/>
          <w:iCs/>
          <w:spacing w:val="9"/>
          <w:sz w:val="24"/>
          <w:szCs w:val="24"/>
        </w:rPr>
        <w:t xml:space="preserve"> </w:t>
      </w:r>
      <w:r>
        <w:rPr>
          <w:rFonts w:ascii="宋体" w:hAnsi="宋体" w:eastAsia="宋体" w:cs="宋体"/>
          <w:spacing w:val="9"/>
          <w:sz w:val="24"/>
          <w:szCs w:val="24"/>
        </w:rPr>
        <w:t>、</w:t>
      </w:r>
      <w:r>
        <w:rPr>
          <w:rFonts w:ascii="宋体" w:hAnsi="宋体" w:eastAsia="宋体" w:cs="宋体"/>
          <w:spacing w:val="-65"/>
          <w:sz w:val="24"/>
          <w:szCs w:val="24"/>
        </w:rPr>
        <w:t xml:space="preserve"> </w:t>
      </w:r>
      <w:r>
        <w:rPr>
          <w:rFonts w:ascii="宋体" w:hAnsi="宋体" w:eastAsia="宋体" w:cs="宋体"/>
          <w:spacing w:val="9"/>
          <w:sz w:val="24"/>
          <w:szCs w:val="24"/>
        </w:rPr>
        <w:t>块茎卷柏</w:t>
      </w:r>
      <w:r>
        <w:rPr>
          <w:rFonts w:ascii="宋体" w:hAnsi="宋体" w:eastAsia="宋体" w:cs="宋体"/>
          <w:spacing w:val="45"/>
          <w:sz w:val="24"/>
          <w:szCs w:val="24"/>
        </w:rPr>
        <w:t xml:space="preserve"> </w:t>
      </w:r>
      <w:r>
        <w:rPr>
          <w:rFonts w:ascii="Times New Roman" w:hAnsi="Times New Roman" w:eastAsia="Times New Roman" w:cs="Times New Roman"/>
          <w:i/>
          <w:iCs/>
          <w:sz w:val="24"/>
          <w:szCs w:val="24"/>
        </w:rPr>
        <w:t>Selaginella</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chrysocaulos</w:t>
      </w:r>
      <w:r>
        <w:rPr>
          <w:rFonts w:ascii="Times New Roman" w:hAnsi="Times New Roman" w:eastAsia="Times New Roman" w:cs="Times New Roman"/>
          <w:i/>
          <w:iCs/>
          <w:spacing w:val="9"/>
          <w:sz w:val="24"/>
          <w:szCs w:val="24"/>
        </w:rPr>
        <w:t xml:space="preserve"> </w:t>
      </w:r>
      <w:r>
        <w:rPr>
          <w:rFonts w:ascii="宋体" w:hAnsi="宋体" w:eastAsia="宋体" w:cs="宋体"/>
          <w:spacing w:val="9"/>
          <w:sz w:val="24"/>
          <w:szCs w:val="24"/>
        </w:rPr>
        <w:t>、</w:t>
      </w:r>
      <w:r>
        <w:rPr>
          <w:rFonts w:ascii="宋体" w:hAnsi="宋体" w:eastAsia="宋体" w:cs="宋体"/>
          <w:spacing w:val="-65"/>
          <w:sz w:val="24"/>
          <w:szCs w:val="24"/>
        </w:rPr>
        <w:t xml:space="preserve"> </w:t>
      </w:r>
      <w:r>
        <w:rPr>
          <w:rFonts w:ascii="宋体" w:hAnsi="宋体" w:eastAsia="宋体" w:cs="宋体"/>
          <w:spacing w:val="9"/>
          <w:sz w:val="24"/>
          <w:szCs w:val="24"/>
        </w:rPr>
        <w:t>铁</w:t>
      </w:r>
      <w:r>
        <w:rPr>
          <w:rFonts w:ascii="宋体" w:hAnsi="宋体" w:eastAsia="宋体" w:cs="宋体"/>
          <w:spacing w:val="-62"/>
          <w:sz w:val="24"/>
          <w:szCs w:val="24"/>
        </w:rPr>
        <w:t xml:space="preserve"> </w:t>
      </w:r>
      <w:r>
        <w:rPr>
          <w:rFonts w:ascii="宋体" w:hAnsi="宋体" w:eastAsia="宋体" w:cs="宋体"/>
          <w:spacing w:val="9"/>
          <w:sz w:val="24"/>
          <w:szCs w:val="24"/>
        </w:rPr>
        <w:t>角</w:t>
      </w:r>
      <w:r>
        <w:rPr>
          <w:rFonts w:ascii="宋体" w:hAnsi="宋体" w:eastAsia="宋体" w:cs="宋体"/>
          <w:spacing w:val="-64"/>
          <w:sz w:val="24"/>
          <w:szCs w:val="24"/>
        </w:rPr>
        <w:t xml:space="preserve"> </w:t>
      </w:r>
      <w:r>
        <w:rPr>
          <w:rFonts w:ascii="宋体" w:hAnsi="宋体" w:eastAsia="宋体" w:cs="宋体"/>
          <w:spacing w:val="9"/>
          <w:sz w:val="24"/>
          <w:szCs w:val="24"/>
        </w:rPr>
        <w:t>蕨</w:t>
      </w:r>
    </w:p>
    <w:p>
      <w:pPr>
        <w:spacing w:line="212" w:lineRule="auto"/>
        <w:ind w:left="18"/>
        <w:rPr>
          <w:rFonts w:ascii="宋体" w:hAnsi="宋体" w:eastAsia="宋体" w:cs="宋体"/>
          <w:sz w:val="24"/>
          <w:szCs w:val="24"/>
        </w:rPr>
      </w:pPr>
      <w:r>
        <w:rPr>
          <w:rFonts w:ascii="Times New Roman" w:hAnsi="Times New Roman" w:eastAsia="Times New Roman" w:cs="Times New Roman"/>
          <w:i/>
          <w:iCs/>
          <w:sz w:val="24"/>
          <w:szCs w:val="24"/>
        </w:rPr>
        <w:t xml:space="preserve">Asplenium trichomanes </w:t>
      </w:r>
      <w:r>
        <w:rPr>
          <w:rFonts w:ascii="宋体" w:hAnsi="宋体" w:eastAsia="宋体" w:cs="宋体"/>
          <w:sz w:val="24"/>
          <w:szCs w:val="24"/>
        </w:rPr>
        <w:t>等。</w:t>
      </w:r>
    </w:p>
    <w:p>
      <w:pPr>
        <w:spacing w:line="288" w:lineRule="auto"/>
        <w:rPr>
          <w:rFonts w:ascii="Arial"/>
          <w:sz w:val="21"/>
        </w:rPr>
      </w:pPr>
    </w:p>
    <w:p>
      <w:pPr>
        <w:spacing w:line="289" w:lineRule="auto"/>
        <w:rPr>
          <w:rFonts w:ascii="Arial"/>
          <w:sz w:val="21"/>
        </w:rPr>
      </w:pPr>
    </w:p>
    <w:p>
      <w:pPr>
        <w:spacing w:before="78" w:line="220" w:lineRule="auto"/>
        <w:ind w:left="560"/>
        <w:rPr>
          <w:rFonts w:ascii="宋体" w:hAnsi="宋体" w:eastAsia="宋体" w:cs="宋体"/>
          <w:sz w:val="24"/>
          <w:szCs w:val="24"/>
        </w:rPr>
      </w:pPr>
      <w:r>
        <w:rPr>
          <w:rFonts w:ascii="宋体" w:hAnsi="宋体" w:eastAsia="宋体" w:cs="宋体"/>
          <w:spacing w:val="-6"/>
          <w:sz w:val="24"/>
          <w:szCs w:val="24"/>
        </w:rPr>
        <w:t>Ⅱ</w:t>
      </w:r>
      <w:r>
        <w:rPr>
          <w:rFonts w:ascii="Times New Roman" w:hAnsi="Times New Roman" w:eastAsia="Times New Roman" w:cs="Times New Roman"/>
          <w:spacing w:val="-6"/>
          <w:sz w:val="24"/>
          <w:szCs w:val="24"/>
        </w:rPr>
        <w:t>.</w:t>
      </w:r>
      <w:r>
        <w:rPr>
          <w:rFonts w:ascii="宋体" w:hAnsi="宋体" w:eastAsia="宋体" w:cs="宋体"/>
          <w:spacing w:val="-6"/>
          <w:sz w:val="24"/>
          <w:szCs w:val="24"/>
        </w:rPr>
        <w:t>硬叶常绿阔叶林</w:t>
      </w:r>
    </w:p>
    <w:p>
      <w:pPr>
        <w:spacing w:before="183" w:line="360" w:lineRule="auto"/>
        <w:ind w:left="39" w:right="30" w:firstLine="480"/>
        <w:rPr>
          <w:rFonts w:ascii="宋体" w:hAnsi="宋体" w:eastAsia="宋体" w:cs="宋体"/>
          <w:sz w:val="24"/>
          <w:szCs w:val="24"/>
        </w:rPr>
      </w:pPr>
      <w:r>
        <w:rPr>
          <w:rFonts w:ascii="宋体" w:hAnsi="宋体" w:eastAsia="宋体" w:cs="宋体"/>
          <w:spacing w:val="-6"/>
          <w:sz w:val="24"/>
          <w:szCs w:val="24"/>
        </w:rPr>
        <w:t>硬叶常绿阔叶林是世界植被很重要的一个类型，</w:t>
      </w:r>
      <w:r>
        <w:rPr>
          <w:rFonts w:ascii="宋体" w:hAnsi="宋体" w:eastAsia="宋体" w:cs="宋体"/>
          <w:spacing w:val="-26"/>
          <w:sz w:val="24"/>
          <w:szCs w:val="24"/>
        </w:rPr>
        <w:t xml:space="preserve"> </w:t>
      </w:r>
      <w:r>
        <w:rPr>
          <w:rFonts w:ascii="宋体" w:hAnsi="宋体" w:eastAsia="宋体" w:cs="宋体"/>
          <w:spacing w:val="-6"/>
          <w:sz w:val="24"/>
          <w:szCs w:val="24"/>
        </w:rPr>
        <w:t>在地中海沿岸、澳大利亚西</w:t>
      </w:r>
      <w:r>
        <w:rPr>
          <w:rFonts w:ascii="宋体" w:hAnsi="宋体" w:eastAsia="宋体" w:cs="宋体"/>
          <w:sz w:val="24"/>
          <w:szCs w:val="24"/>
        </w:rPr>
        <w:t xml:space="preserve"> </w:t>
      </w:r>
      <w:r>
        <w:rPr>
          <w:rFonts w:ascii="宋体" w:hAnsi="宋体" w:eastAsia="宋体" w:cs="宋体"/>
          <w:spacing w:val="-11"/>
          <w:sz w:val="24"/>
          <w:szCs w:val="24"/>
        </w:rPr>
        <w:t>南部、北美西南部和非洲南部非常显著。这类森林的主要树种都具有硬叶、常绿、</w:t>
      </w:r>
      <w:r>
        <w:rPr>
          <w:rFonts w:ascii="宋体" w:hAnsi="宋体" w:eastAsia="宋体" w:cs="宋体"/>
          <w:spacing w:val="16"/>
          <w:sz w:val="24"/>
          <w:szCs w:val="24"/>
        </w:rPr>
        <w:t xml:space="preserve"> </w:t>
      </w:r>
      <w:r>
        <w:rPr>
          <w:rFonts w:ascii="宋体" w:hAnsi="宋体" w:eastAsia="宋体" w:cs="宋体"/>
          <w:spacing w:val="-6"/>
          <w:sz w:val="24"/>
          <w:szCs w:val="24"/>
        </w:rPr>
        <w:t>多绒毛等旱化的典型特征， 反映了所在地气候的一定季节的温</w:t>
      </w:r>
      <w:r>
        <w:rPr>
          <w:rFonts w:ascii="宋体" w:hAnsi="宋体" w:eastAsia="宋体" w:cs="宋体"/>
          <w:spacing w:val="-7"/>
          <w:sz w:val="24"/>
          <w:szCs w:val="24"/>
        </w:rPr>
        <w:t>暖干燥性。我国的</w:t>
      </w:r>
      <w:r>
        <w:rPr>
          <w:rFonts w:ascii="宋体" w:hAnsi="宋体" w:eastAsia="宋体" w:cs="宋体"/>
          <w:sz w:val="24"/>
          <w:szCs w:val="24"/>
        </w:rPr>
        <w:t xml:space="preserve"> </w:t>
      </w:r>
      <w:r>
        <w:rPr>
          <w:rFonts w:ascii="宋体" w:hAnsi="宋体" w:eastAsia="宋体" w:cs="宋体"/>
          <w:spacing w:val="1"/>
          <w:sz w:val="24"/>
          <w:szCs w:val="24"/>
        </w:rPr>
        <w:t>硬叶常绿阔叶林主要由常绿硬叶的栎类（</w:t>
      </w:r>
      <w:r>
        <w:rPr>
          <w:rFonts w:ascii="Times New Roman" w:hAnsi="Times New Roman" w:eastAsia="Times New Roman" w:cs="Times New Roman"/>
          <w:i/>
          <w:iCs/>
          <w:sz w:val="24"/>
          <w:szCs w:val="24"/>
        </w:rPr>
        <w:t>Quercus</w:t>
      </w:r>
      <w:r>
        <w:rPr>
          <w:rFonts w:ascii="宋体" w:hAnsi="宋体" w:eastAsia="宋体" w:cs="宋体"/>
          <w:spacing w:val="1"/>
          <w:sz w:val="24"/>
          <w:szCs w:val="24"/>
        </w:rPr>
        <w:t>，大部分为高山栎组）树种组</w:t>
      </w:r>
      <w:r>
        <w:rPr>
          <w:rFonts w:ascii="宋体" w:hAnsi="宋体" w:eastAsia="宋体" w:cs="宋体"/>
          <w:spacing w:val="6"/>
          <w:sz w:val="24"/>
          <w:szCs w:val="24"/>
        </w:rPr>
        <w:t xml:space="preserve"> </w:t>
      </w:r>
      <w:r>
        <w:rPr>
          <w:rFonts w:ascii="宋体" w:hAnsi="宋体" w:eastAsia="宋体" w:cs="宋体"/>
          <w:spacing w:val="-9"/>
          <w:sz w:val="24"/>
          <w:szCs w:val="24"/>
        </w:rPr>
        <w:t>成，</w:t>
      </w:r>
      <w:r>
        <w:rPr>
          <w:rFonts w:ascii="宋体" w:hAnsi="宋体" w:eastAsia="宋体" w:cs="宋体"/>
          <w:spacing w:val="-58"/>
          <w:sz w:val="24"/>
          <w:szCs w:val="24"/>
        </w:rPr>
        <w:t xml:space="preserve"> </w:t>
      </w:r>
      <w:r>
        <w:rPr>
          <w:rFonts w:ascii="宋体" w:hAnsi="宋体" w:eastAsia="宋体" w:cs="宋体"/>
          <w:spacing w:val="-9"/>
          <w:sz w:val="24"/>
          <w:szCs w:val="24"/>
        </w:rPr>
        <w:t>分布于我国西南的云南北部、四川西部及藏东南地区，</w:t>
      </w:r>
      <w:r>
        <w:rPr>
          <w:rFonts w:ascii="宋体" w:hAnsi="宋体" w:eastAsia="宋体" w:cs="宋体"/>
          <w:spacing w:val="32"/>
          <w:sz w:val="24"/>
          <w:szCs w:val="24"/>
        </w:rPr>
        <w:t xml:space="preserve"> </w:t>
      </w:r>
      <w:r>
        <w:rPr>
          <w:rFonts w:ascii="宋体" w:hAnsi="宋体" w:eastAsia="宋体" w:cs="宋体"/>
          <w:spacing w:val="-9"/>
          <w:sz w:val="24"/>
          <w:szCs w:val="24"/>
        </w:rPr>
        <w:t>尤以金沙江流</w:t>
      </w:r>
      <w:r>
        <w:rPr>
          <w:rFonts w:ascii="宋体" w:hAnsi="宋体" w:eastAsia="宋体" w:cs="宋体"/>
          <w:spacing w:val="-10"/>
          <w:sz w:val="24"/>
          <w:szCs w:val="24"/>
        </w:rPr>
        <w:t>域最为</w:t>
      </w:r>
    </w:p>
    <w:p>
      <w:pPr>
        <w:spacing w:before="1" w:line="219" w:lineRule="auto"/>
        <w:ind w:left="39"/>
        <w:rPr>
          <w:rFonts w:ascii="宋体" w:hAnsi="宋体" w:eastAsia="宋体" w:cs="宋体"/>
          <w:sz w:val="24"/>
          <w:szCs w:val="24"/>
        </w:rPr>
      </w:pPr>
      <w:r>
        <w:rPr>
          <w:rFonts w:ascii="宋体" w:hAnsi="宋体" w:eastAsia="宋体" w:cs="宋体"/>
          <w:sz w:val="24"/>
          <w:szCs w:val="24"/>
        </w:rPr>
        <w:t>集中。由于以硬叶的栎类为主，故也长称之为</w:t>
      </w:r>
      <w:r>
        <w:rPr>
          <w:rFonts w:ascii="Times New Roman" w:hAnsi="Times New Roman" w:eastAsia="Times New Roman" w:cs="Times New Roman"/>
          <w:spacing w:val="-1"/>
          <w:sz w:val="24"/>
          <w:szCs w:val="24"/>
        </w:rPr>
        <w:t>“</w:t>
      </w:r>
      <w:r>
        <w:rPr>
          <w:rFonts w:ascii="宋体" w:hAnsi="宋体" w:eastAsia="宋体" w:cs="宋体"/>
          <w:spacing w:val="-1"/>
          <w:sz w:val="24"/>
          <w:szCs w:val="24"/>
        </w:rPr>
        <w:t>硬叶常绿栎类林</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pPr>
        <w:spacing w:before="183" w:line="360" w:lineRule="auto"/>
        <w:ind w:left="39" w:right="30" w:firstLine="486"/>
        <w:rPr>
          <w:rFonts w:ascii="宋体" w:hAnsi="宋体" w:eastAsia="宋体" w:cs="宋体"/>
          <w:sz w:val="24"/>
          <w:szCs w:val="24"/>
        </w:rPr>
      </w:pPr>
      <w:r>
        <w:rPr>
          <w:rFonts w:ascii="宋体" w:hAnsi="宋体" w:eastAsia="宋体" w:cs="宋体"/>
          <w:spacing w:val="-3"/>
          <w:sz w:val="24"/>
          <w:szCs w:val="24"/>
        </w:rPr>
        <w:t>云南的硬叶常绿阔叶林多数分布于滇西北、滇北</w:t>
      </w:r>
      <w:r>
        <w:rPr>
          <w:rFonts w:ascii="宋体" w:hAnsi="宋体" w:eastAsia="宋体" w:cs="宋体"/>
          <w:spacing w:val="-4"/>
          <w:sz w:val="24"/>
          <w:szCs w:val="24"/>
        </w:rPr>
        <w:t>金沙江流域的高山峡谷地区</w:t>
      </w:r>
      <w:r>
        <w:rPr>
          <w:rFonts w:ascii="宋体" w:hAnsi="宋体" w:eastAsia="宋体" w:cs="宋体"/>
          <w:sz w:val="24"/>
          <w:szCs w:val="24"/>
        </w:rPr>
        <w:t xml:space="preserve"> </w:t>
      </w:r>
      <w:r>
        <w:rPr>
          <w:rFonts w:ascii="宋体" w:hAnsi="宋体" w:eastAsia="宋体" w:cs="宋体"/>
          <w:spacing w:val="-12"/>
          <w:sz w:val="24"/>
          <w:szCs w:val="24"/>
        </w:rPr>
        <w:t>的石灰岩坡面，</w:t>
      </w:r>
      <w:r>
        <w:rPr>
          <w:rFonts w:ascii="宋体" w:hAnsi="宋体" w:eastAsia="宋体" w:cs="宋体"/>
          <w:spacing w:val="-54"/>
          <w:sz w:val="24"/>
          <w:szCs w:val="24"/>
        </w:rPr>
        <w:t xml:space="preserve"> </w:t>
      </w:r>
      <w:r>
        <w:rPr>
          <w:rFonts w:ascii="宋体" w:hAnsi="宋体" w:eastAsia="宋体" w:cs="宋体"/>
          <w:spacing w:val="-12"/>
          <w:sz w:val="24"/>
          <w:szCs w:val="24"/>
        </w:rPr>
        <w:t>垂直分布范围低至</w:t>
      </w:r>
      <w:r>
        <w:rPr>
          <w:rFonts w:ascii="宋体" w:hAnsi="宋体" w:eastAsia="宋体" w:cs="宋体"/>
          <w:spacing w:val="-31"/>
          <w:sz w:val="24"/>
          <w:szCs w:val="24"/>
        </w:rPr>
        <w:t xml:space="preserve"> </w:t>
      </w:r>
      <w:r>
        <w:rPr>
          <w:rFonts w:ascii="Times New Roman" w:hAnsi="Times New Roman" w:eastAsia="Times New Roman" w:cs="Times New Roman"/>
          <w:spacing w:val="-12"/>
          <w:sz w:val="24"/>
          <w:szCs w:val="24"/>
        </w:rPr>
        <w:t>1500m</w:t>
      </w:r>
      <w:r>
        <w:rPr>
          <w:rFonts w:ascii="宋体" w:hAnsi="宋体" w:eastAsia="宋体" w:cs="宋体"/>
          <w:spacing w:val="-12"/>
          <w:sz w:val="24"/>
          <w:szCs w:val="24"/>
        </w:rPr>
        <w:t>，高</w:t>
      </w:r>
      <w:r>
        <w:rPr>
          <w:rFonts w:ascii="宋体" w:hAnsi="宋体" w:eastAsia="宋体" w:cs="宋体"/>
          <w:spacing w:val="-13"/>
          <w:sz w:val="24"/>
          <w:szCs w:val="24"/>
        </w:rPr>
        <w:t>达</w:t>
      </w:r>
      <w:r>
        <w:rPr>
          <w:rFonts w:ascii="宋体" w:hAnsi="宋体" w:eastAsia="宋体" w:cs="宋体"/>
          <w:spacing w:val="-50"/>
          <w:sz w:val="24"/>
          <w:szCs w:val="24"/>
        </w:rPr>
        <w:t xml:space="preserve"> </w:t>
      </w:r>
      <w:r>
        <w:rPr>
          <w:rFonts w:ascii="Times New Roman" w:hAnsi="Times New Roman" w:eastAsia="Times New Roman" w:cs="Times New Roman"/>
          <w:spacing w:val="-13"/>
          <w:sz w:val="24"/>
          <w:szCs w:val="24"/>
        </w:rPr>
        <w:t>3700m</w:t>
      </w:r>
      <w:r>
        <w:rPr>
          <w:rFonts w:ascii="宋体" w:hAnsi="宋体" w:eastAsia="宋体" w:cs="宋体"/>
          <w:spacing w:val="-13"/>
          <w:sz w:val="24"/>
          <w:szCs w:val="24"/>
        </w:rPr>
        <w:t>，适应了干旱瘠薄的土壤、</w:t>
      </w:r>
      <w:r>
        <w:rPr>
          <w:rFonts w:ascii="宋体" w:hAnsi="宋体" w:eastAsia="宋体" w:cs="宋体"/>
          <w:sz w:val="24"/>
          <w:szCs w:val="24"/>
        </w:rPr>
        <w:t xml:space="preserve"> </w:t>
      </w:r>
      <w:r>
        <w:rPr>
          <w:rFonts w:ascii="宋体" w:hAnsi="宋体" w:eastAsia="宋体" w:cs="宋体"/>
          <w:spacing w:val="-6"/>
          <w:sz w:val="24"/>
          <w:szCs w:val="24"/>
        </w:rPr>
        <w:t>抗风、耐强光照。此类森林一经破坏， 栎类的根系蘖萌能力不</w:t>
      </w:r>
      <w:r>
        <w:rPr>
          <w:rFonts w:ascii="宋体" w:hAnsi="宋体" w:eastAsia="宋体" w:cs="宋体"/>
          <w:spacing w:val="-7"/>
          <w:sz w:val="24"/>
          <w:szCs w:val="24"/>
        </w:rPr>
        <w:t>久成为栎类萌生灌</w:t>
      </w:r>
      <w:r>
        <w:rPr>
          <w:rFonts w:ascii="宋体" w:hAnsi="宋体" w:eastAsia="宋体" w:cs="宋体"/>
          <w:sz w:val="24"/>
          <w:szCs w:val="24"/>
        </w:rPr>
        <w:t xml:space="preserve"> </w:t>
      </w:r>
      <w:r>
        <w:rPr>
          <w:rFonts w:ascii="宋体" w:hAnsi="宋体" w:eastAsia="宋体" w:cs="宋体"/>
          <w:spacing w:val="-6"/>
          <w:sz w:val="24"/>
          <w:szCs w:val="24"/>
        </w:rPr>
        <w:t>丛，</w:t>
      </w:r>
      <w:r>
        <w:rPr>
          <w:rFonts w:ascii="宋体" w:hAnsi="宋体" w:eastAsia="宋体" w:cs="宋体"/>
          <w:spacing w:val="-14"/>
          <w:sz w:val="24"/>
          <w:szCs w:val="24"/>
        </w:rPr>
        <w:t xml:space="preserve"> </w:t>
      </w:r>
      <w:r>
        <w:rPr>
          <w:rFonts w:ascii="宋体" w:hAnsi="宋体" w:eastAsia="宋体" w:cs="宋体"/>
          <w:spacing w:val="-6"/>
          <w:sz w:val="24"/>
          <w:szCs w:val="24"/>
        </w:rPr>
        <w:t>目前灌丛的分布面积已经远远大于其森林面积。根据生态外貌和种类组成及</w:t>
      </w:r>
      <w:r>
        <w:rPr>
          <w:rFonts w:ascii="宋体" w:hAnsi="宋体" w:eastAsia="宋体" w:cs="宋体"/>
          <w:sz w:val="24"/>
          <w:szCs w:val="24"/>
        </w:rPr>
        <w:t xml:space="preserve"> </w:t>
      </w:r>
      <w:r>
        <w:rPr>
          <w:rFonts w:ascii="宋体" w:hAnsi="宋体" w:eastAsia="宋体" w:cs="宋体"/>
          <w:spacing w:val="-6"/>
          <w:sz w:val="24"/>
          <w:szCs w:val="24"/>
        </w:rPr>
        <w:t>生境的差异， 该植被可划分为</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个植被亚型。本评价区位于金</w:t>
      </w:r>
      <w:r>
        <w:rPr>
          <w:rFonts w:ascii="宋体" w:hAnsi="宋体" w:eastAsia="宋体" w:cs="宋体"/>
          <w:spacing w:val="-7"/>
          <w:sz w:val="24"/>
          <w:szCs w:val="24"/>
        </w:rPr>
        <w:t>沙江流域的干热河</w:t>
      </w:r>
      <w:r>
        <w:rPr>
          <w:rFonts w:ascii="宋体" w:hAnsi="宋体" w:eastAsia="宋体" w:cs="宋体"/>
          <w:sz w:val="24"/>
          <w:szCs w:val="24"/>
        </w:rPr>
        <w:t xml:space="preserve"> </w:t>
      </w:r>
      <w:r>
        <w:rPr>
          <w:rFonts w:ascii="宋体" w:hAnsi="宋体" w:eastAsia="宋体" w:cs="宋体"/>
          <w:spacing w:val="-2"/>
          <w:sz w:val="24"/>
          <w:szCs w:val="24"/>
        </w:rPr>
        <w:t xml:space="preserve">谷中山峡谷地区，海拔跨度从 </w:t>
      </w:r>
      <w:r>
        <w:rPr>
          <w:rFonts w:ascii="Times New Roman" w:hAnsi="Times New Roman" w:eastAsia="Times New Roman" w:cs="Times New Roman"/>
          <w:spacing w:val="-2"/>
          <w:sz w:val="24"/>
          <w:szCs w:val="24"/>
        </w:rPr>
        <w:t>1900m</w:t>
      </w:r>
      <w:r>
        <w:rPr>
          <w:rFonts w:ascii="Times New Roman" w:hAnsi="Times New Roman" w:eastAsia="Times New Roman" w:cs="Times New Roman"/>
          <w:spacing w:val="52"/>
          <w:sz w:val="24"/>
          <w:szCs w:val="24"/>
        </w:rPr>
        <w:t xml:space="preserve"> </w:t>
      </w:r>
      <w:r>
        <w:rPr>
          <w:rFonts w:ascii="宋体" w:hAnsi="宋体" w:eastAsia="宋体" w:cs="宋体"/>
          <w:spacing w:val="-2"/>
          <w:sz w:val="24"/>
          <w:szCs w:val="24"/>
        </w:rPr>
        <w:t>到</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2600m</w:t>
      </w:r>
      <w:r>
        <w:rPr>
          <w:rFonts w:ascii="宋体" w:hAnsi="宋体" w:eastAsia="宋体" w:cs="宋体"/>
          <w:spacing w:val="-2"/>
          <w:sz w:val="24"/>
          <w:szCs w:val="24"/>
        </w:rPr>
        <w:t>，由于破坏较为严重，仅含有一</w:t>
      </w:r>
    </w:p>
    <w:p>
      <w:pPr>
        <w:spacing w:before="1" w:line="218" w:lineRule="auto"/>
        <w:ind w:left="39"/>
        <w:rPr>
          <w:rFonts w:ascii="宋体" w:hAnsi="宋体" w:eastAsia="宋体" w:cs="宋体"/>
          <w:sz w:val="24"/>
          <w:szCs w:val="24"/>
        </w:rPr>
      </w:pPr>
      <w:r>
        <w:rPr>
          <w:rFonts w:ascii="宋体" w:hAnsi="宋体" w:eastAsia="宋体" w:cs="宋体"/>
          <w:spacing w:val="-3"/>
          <w:sz w:val="24"/>
          <w:szCs w:val="24"/>
        </w:rPr>
        <w:t>种植被亚型：干热河谷硬叶常绿栎类林。</w:t>
      </w:r>
    </w:p>
    <w:p>
      <w:pPr>
        <w:spacing w:before="183" w:line="219" w:lineRule="auto"/>
        <w:ind w:right="27"/>
        <w:jc w:val="right"/>
        <w:rPr>
          <w:rFonts w:ascii="宋体" w:hAnsi="宋体" w:eastAsia="宋体" w:cs="宋体"/>
          <w:sz w:val="24"/>
          <w:szCs w:val="24"/>
        </w:rPr>
      </w:pPr>
      <w:r>
        <w:rPr>
          <w:rFonts w:ascii="宋体" w:hAnsi="宋体" w:eastAsia="宋体" w:cs="宋体"/>
          <w:spacing w:val="-1"/>
          <w:sz w:val="24"/>
          <w:szCs w:val="24"/>
        </w:rPr>
        <w:t xml:space="preserve">本亚型主要分布于金沙江河谷两侧海拔 </w:t>
      </w:r>
      <w:r>
        <w:rPr>
          <w:rFonts w:ascii="Times New Roman" w:hAnsi="Times New Roman" w:eastAsia="Times New Roman" w:cs="Times New Roman"/>
          <w:spacing w:val="-1"/>
          <w:sz w:val="24"/>
          <w:szCs w:val="24"/>
        </w:rPr>
        <w:t xml:space="preserve">2600m  </w:t>
      </w:r>
      <w:r>
        <w:rPr>
          <w:rFonts w:ascii="宋体" w:hAnsi="宋体" w:eastAsia="宋体" w:cs="宋体"/>
          <w:spacing w:val="-2"/>
          <w:sz w:val="24"/>
          <w:szCs w:val="24"/>
        </w:rPr>
        <w:t>以下的坡面上，部分顺河谷</w:t>
      </w:r>
    </w:p>
    <w:p>
      <w:pPr>
        <w:spacing w:line="219" w:lineRule="auto"/>
        <w:rPr>
          <w:rFonts w:ascii="宋体" w:hAnsi="宋体" w:eastAsia="宋体" w:cs="宋体"/>
          <w:sz w:val="24"/>
          <w:szCs w:val="24"/>
        </w:rPr>
        <w:sectPr>
          <w:headerReference r:id="rId240" w:type="default"/>
          <w:footerReference r:id="rId241" w:type="default"/>
          <w:pgSz w:w="11907" w:h="16839"/>
          <w:pgMar w:top="1156" w:right="1768" w:bottom="1374" w:left="1770" w:header="881" w:footer="1210" w:gutter="0"/>
        </w:sectPr>
      </w:pPr>
    </w:p>
    <w:p>
      <w:pPr>
        <w:spacing w:line="317" w:lineRule="auto"/>
        <w:rPr>
          <w:rFonts w:ascii="Arial"/>
          <w:sz w:val="21"/>
        </w:rPr>
      </w:pPr>
    </w:p>
    <w:p>
      <w:pPr>
        <w:spacing w:before="78" w:line="360" w:lineRule="auto"/>
        <w:ind w:left="50" w:right="30"/>
        <w:jc w:val="both"/>
        <w:rPr>
          <w:rFonts w:ascii="宋体" w:hAnsi="宋体" w:eastAsia="宋体" w:cs="宋体"/>
          <w:sz w:val="24"/>
          <w:szCs w:val="24"/>
        </w:rPr>
      </w:pPr>
      <w:r>
        <w:rPr>
          <w:rFonts w:ascii="宋体" w:hAnsi="宋体" w:eastAsia="宋体" w:cs="宋体"/>
          <w:spacing w:val="-1"/>
          <w:sz w:val="24"/>
          <w:szCs w:val="24"/>
        </w:rPr>
        <w:t xml:space="preserve">科分布至 </w:t>
      </w:r>
      <w:r>
        <w:rPr>
          <w:rFonts w:ascii="Times New Roman" w:hAnsi="Times New Roman" w:eastAsia="Times New Roman" w:cs="Times New Roman"/>
          <w:spacing w:val="-1"/>
          <w:sz w:val="24"/>
          <w:szCs w:val="24"/>
        </w:rPr>
        <w:t xml:space="preserve">1500m  </w:t>
      </w:r>
      <w:r>
        <w:rPr>
          <w:rFonts w:ascii="宋体" w:hAnsi="宋体" w:eastAsia="宋体" w:cs="宋体"/>
          <w:spacing w:val="-1"/>
          <w:sz w:val="24"/>
          <w:szCs w:val="24"/>
        </w:rPr>
        <w:t>或更低，气候以干热为主，越接近河</w:t>
      </w:r>
      <w:r>
        <w:rPr>
          <w:rFonts w:ascii="宋体" w:hAnsi="宋体" w:eastAsia="宋体" w:cs="宋体"/>
          <w:spacing w:val="-2"/>
          <w:sz w:val="24"/>
          <w:szCs w:val="24"/>
        </w:rPr>
        <w:t>谷底部越干热，但本类植</w:t>
      </w:r>
      <w:r>
        <w:rPr>
          <w:rFonts w:ascii="宋体" w:hAnsi="宋体" w:eastAsia="宋体" w:cs="宋体"/>
          <w:sz w:val="24"/>
          <w:szCs w:val="24"/>
        </w:rPr>
        <w:t xml:space="preserve"> </w:t>
      </w:r>
      <w:r>
        <w:rPr>
          <w:rFonts w:ascii="宋体" w:hAnsi="宋体" w:eastAsia="宋体" w:cs="宋体"/>
          <w:spacing w:val="-9"/>
          <w:sz w:val="24"/>
          <w:szCs w:val="24"/>
        </w:rPr>
        <w:t>被一般只分布于干热河谷的中上部， 尤以石灰岩坡面最为</w:t>
      </w:r>
      <w:r>
        <w:rPr>
          <w:rFonts w:ascii="宋体" w:hAnsi="宋体" w:eastAsia="宋体" w:cs="宋体"/>
          <w:spacing w:val="-10"/>
          <w:sz w:val="24"/>
          <w:szCs w:val="24"/>
        </w:rPr>
        <w:t>常见， 耐干旱的特征十</w:t>
      </w:r>
      <w:r>
        <w:rPr>
          <w:rFonts w:ascii="宋体" w:hAnsi="宋体" w:eastAsia="宋体" w:cs="宋体"/>
          <w:sz w:val="24"/>
          <w:szCs w:val="24"/>
        </w:rPr>
        <w:t xml:space="preserve"> </w:t>
      </w:r>
      <w:r>
        <w:rPr>
          <w:rFonts w:ascii="宋体" w:hAnsi="宋体" w:eastAsia="宋体" w:cs="宋体"/>
          <w:spacing w:val="-15"/>
          <w:sz w:val="24"/>
          <w:szCs w:val="24"/>
        </w:rPr>
        <w:t>分明显， 群落内很少有苔藓等附生植物，</w:t>
      </w:r>
      <w:r>
        <w:rPr>
          <w:rFonts w:ascii="宋体" w:hAnsi="宋体" w:eastAsia="宋体" w:cs="宋体"/>
          <w:spacing w:val="43"/>
          <w:sz w:val="24"/>
          <w:szCs w:val="24"/>
        </w:rPr>
        <w:t xml:space="preserve"> </w:t>
      </w:r>
      <w:r>
        <w:rPr>
          <w:rFonts w:ascii="宋体" w:hAnsi="宋体" w:eastAsia="宋体" w:cs="宋体"/>
          <w:spacing w:val="-15"/>
          <w:sz w:val="24"/>
          <w:szCs w:val="24"/>
        </w:rPr>
        <w:t>群落低矮而树干多弯曲，</w:t>
      </w:r>
      <w:r>
        <w:rPr>
          <w:rFonts w:ascii="宋体" w:hAnsi="宋体" w:eastAsia="宋体" w:cs="宋体"/>
          <w:spacing w:val="33"/>
          <w:sz w:val="24"/>
          <w:szCs w:val="24"/>
        </w:rPr>
        <w:t xml:space="preserve"> </w:t>
      </w:r>
      <w:r>
        <w:rPr>
          <w:rFonts w:ascii="宋体" w:hAnsi="宋体" w:eastAsia="宋体" w:cs="宋体"/>
          <w:spacing w:val="-15"/>
          <w:sz w:val="24"/>
          <w:szCs w:val="24"/>
        </w:rPr>
        <w:t>耐旱喜阳的灌</w:t>
      </w:r>
      <w:r>
        <w:rPr>
          <w:rFonts w:ascii="宋体" w:hAnsi="宋体" w:eastAsia="宋体" w:cs="宋体"/>
          <w:sz w:val="24"/>
          <w:szCs w:val="24"/>
        </w:rPr>
        <w:t xml:space="preserve"> </w:t>
      </w:r>
      <w:r>
        <w:rPr>
          <w:rFonts w:ascii="宋体" w:hAnsi="宋体" w:eastAsia="宋体" w:cs="宋体"/>
          <w:spacing w:val="-12"/>
          <w:sz w:val="24"/>
          <w:szCs w:val="24"/>
        </w:rPr>
        <w:t>木和草本植物较常见，</w:t>
      </w:r>
      <w:r>
        <w:rPr>
          <w:rFonts w:ascii="宋体" w:hAnsi="宋体" w:eastAsia="宋体" w:cs="宋体"/>
          <w:spacing w:val="42"/>
          <w:sz w:val="24"/>
          <w:szCs w:val="24"/>
        </w:rPr>
        <w:t xml:space="preserve"> </w:t>
      </w:r>
      <w:r>
        <w:rPr>
          <w:rFonts w:ascii="宋体" w:hAnsi="宋体" w:eastAsia="宋体" w:cs="宋体"/>
          <w:spacing w:val="-12"/>
          <w:sz w:val="24"/>
          <w:szCs w:val="24"/>
        </w:rPr>
        <w:t>一部分是临近云南松林、半湿润常绿阔叶林的种类，</w:t>
      </w:r>
      <w:r>
        <w:rPr>
          <w:rFonts w:ascii="宋体" w:hAnsi="宋体" w:eastAsia="宋体" w:cs="宋体"/>
          <w:spacing w:val="34"/>
          <w:sz w:val="24"/>
          <w:szCs w:val="24"/>
        </w:rPr>
        <w:t xml:space="preserve"> </w:t>
      </w:r>
      <w:r>
        <w:rPr>
          <w:rFonts w:ascii="宋体" w:hAnsi="宋体" w:eastAsia="宋体" w:cs="宋体"/>
          <w:spacing w:val="-12"/>
          <w:sz w:val="24"/>
          <w:szCs w:val="24"/>
        </w:rPr>
        <w:t>一部</w:t>
      </w:r>
    </w:p>
    <w:p>
      <w:pPr>
        <w:spacing w:before="1" w:line="218" w:lineRule="auto"/>
        <w:ind w:left="53"/>
        <w:rPr>
          <w:rFonts w:ascii="宋体" w:hAnsi="宋体" w:eastAsia="宋体" w:cs="宋体"/>
          <w:sz w:val="24"/>
          <w:szCs w:val="24"/>
        </w:rPr>
      </w:pPr>
      <w:r>
        <w:rPr>
          <w:rFonts w:ascii="宋体" w:hAnsi="宋体" w:eastAsia="宋体" w:cs="宋体"/>
          <w:spacing w:val="-3"/>
          <w:sz w:val="24"/>
          <w:szCs w:val="24"/>
        </w:rPr>
        <w:t>分是干热河谷稀树灌木草丛中习见的种类。</w:t>
      </w:r>
    </w:p>
    <w:p>
      <w:pPr>
        <w:spacing w:before="183" w:line="360" w:lineRule="auto"/>
        <w:ind w:left="50" w:right="28" w:firstLine="479"/>
        <w:rPr>
          <w:rFonts w:ascii="Times New Roman" w:hAnsi="Times New Roman" w:eastAsia="Times New Roman" w:cs="Times New Roman"/>
          <w:sz w:val="24"/>
          <w:szCs w:val="24"/>
        </w:rPr>
      </w:pPr>
      <w:r>
        <w:rPr>
          <w:rFonts w:ascii="宋体" w:hAnsi="宋体" w:eastAsia="宋体" w:cs="宋体"/>
          <w:spacing w:val="-7"/>
          <w:sz w:val="24"/>
          <w:szCs w:val="24"/>
        </w:rPr>
        <w:t>锥连栎林分布较广，</w:t>
      </w:r>
      <w:r>
        <w:rPr>
          <w:rFonts w:ascii="宋体" w:hAnsi="宋体" w:eastAsia="宋体" w:cs="宋体"/>
          <w:spacing w:val="71"/>
          <w:sz w:val="24"/>
          <w:szCs w:val="24"/>
        </w:rPr>
        <w:t xml:space="preserve"> </w:t>
      </w:r>
      <w:r>
        <w:rPr>
          <w:rFonts w:ascii="宋体" w:hAnsi="宋体" w:eastAsia="宋体" w:cs="宋体"/>
          <w:spacing w:val="-7"/>
          <w:sz w:val="24"/>
          <w:szCs w:val="24"/>
        </w:rPr>
        <w:t>常常在海拔</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1600-2300m</w:t>
      </w:r>
      <w:r>
        <w:rPr>
          <w:rFonts w:ascii="Times New Roman" w:hAnsi="Times New Roman" w:eastAsia="Times New Roman" w:cs="Times New Roman"/>
          <w:spacing w:val="28"/>
          <w:sz w:val="24"/>
          <w:szCs w:val="24"/>
        </w:rPr>
        <w:t xml:space="preserve"> </w:t>
      </w:r>
      <w:r>
        <w:rPr>
          <w:rFonts w:ascii="宋体" w:hAnsi="宋体" w:eastAsia="宋体" w:cs="宋体"/>
          <w:spacing w:val="-7"/>
          <w:sz w:val="24"/>
          <w:szCs w:val="24"/>
        </w:rPr>
        <w:t>的金沙江河谷坡面非石灰岩地</w:t>
      </w:r>
      <w:r>
        <w:rPr>
          <w:rFonts w:ascii="宋体" w:hAnsi="宋体" w:eastAsia="宋体" w:cs="宋体"/>
          <w:sz w:val="24"/>
          <w:szCs w:val="24"/>
        </w:rPr>
        <w:t xml:space="preserve"> </w:t>
      </w:r>
      <w:r>
        <w:rPr>
          <w:rFonts w:ascii="宋体" w:hAnsi="宋体" w:eastAsia="宋体" w:cs="宋体"/>
          <w:spacing w:val="-16"/>
          <w:sz w:val="24"/>
          <w:szCs w:val="24"/>
        </w:rPr>
        <w:t>区出现， 群落上层以锥连栎为优势，</w:t>
      </w:r>
      <w:r>
        <w:rPr>
          <w:rFonts w:ascii="宋体" w:hAnsi="宋体" w:eastAsia="宋体" w:cs="宋体"/>
          <w:spacing w:val="43"/>
          <w:sz w:val="24"/>
          <w:szCs w:val="24"/>
        </w:rPr>
        <w:t xml:space="preserve"> </w:t>
      </w:r>
      <w:r>
        <w:rPr>
          <w:rFonts w:ascii="宋体" w:hAnsi="宋体" w:eastAsia="宋体" w:cs="宋体"/>
          <w:spacing w:val="-16"/>
          <w:sz w:val="24"/>
          <w:szCs w:val="24"/>
        </w:rPr>
        <w:t>高度一般在</w:t>
      </w:r>
      <w:r>
        <w:rPr>
          <w:rFonts w:ascii="宋体" w:hAnsi="宋体" w:eastAsia="宋体" w:cs="宋体"/>
          <w:spacing w:val="-32"/>
          <w:sz w:val="24"/>
          <w:szCs w:val="24"/>
        </w:rPr>
        <w:t xml:space="preserve"> </w:t>
      </w:r>
      <w:r>
        <w:rPr>
          <w:rFonts w:ascii="Times New Roman" w:hAnsi="Times New Roman" w:eastAsia="Times New Roman" w:cs="Times New Roman"/>
          <w:spacing w:val="-16"/>
          <w:sz w:val="24"/>
          <w:szCs w:val="24"/>
        </w:rPr>
        <w:t>10m</w:t>
      </w:r>
      <w:r>
        <w:rPr>
          <w:rFonts w:ascii="Times New Roman" w:hAnsi="Times New Roman" w:eastAsia="Times New Roman" w:cs="Times New Roman"/>
          <w:spacing w:val="37"/>
          <w:w w:val="101"/>
          <w:sz w:val="24"/>
          <w:szCs w:val="24"/>
        </w:rPr>
        <w:t xml:space="preserve"> </w:t>
      </w:r>
      <w:r>
        <w:rPr>
          <w:rFonts w:ascii="宋体" w:hAnsi="宋体" w:eastAsia="宋体" w:cs="宋体"/>
          <w:spacing w:val="-16"/>
          <w:sz w:val="24"/>
          <w:szCs w:val="24"/>
        </w:rPr>
        <w:t>以下，</w:t>
      </w:r>
      <w:r>
        <w:rPr>
          <w:rFonts w:ascii="宋体" w:hAnsi="宋体" w:eastAsia="宋体" w:cs="宋体"/>
          <w:spacing w:val="-48"/>
          <w:sz w:val="24"/>
          <w:szCs w:val="24"/>
        </w:rPr>
        <w:t xml:space="preserve"> </w:t>
      </w:r>
      <w:r>
        <w:rPr>
          <w:rFonts w:ascii="宋体" w:hAnsi="宋体" w:eastAsia="宋体" w:cs="宋体"/>
          <w:spacing w:val="-16"/>
          <w:sz w:val="24"/>
          <w:szCs w:val="24"/>
        </w:rPr>
        <w:t>树干弯曲而粗壮、生</w:t>
      </w:r>
      <w:r>
        <w:rPr>
          <w:rFonts w:ascii="宋体" w:hAnsi="宋体" w:eastAsia="宋体" w:cs="宋体"/>
          <w:sz w:val="24"/>
          <w:szCs w:val="24"/>
        </w:rPr>
        <w:t xml:space="preserve"> </w:t>
      </w:r>
      <w:r>
        <w:rPr>
          <w:rFonts w:ascii="宋体" w:hAnsi="宋体" w:eastAsia="宋体" w:cs="宋体"/>
          <w:spacing w:val="-10"/>
          <w:sz w:val="24"/>
          <w:szCs w:val="24"/>
        </w:rPr>
        <w:t>长稀疏，</w:t>
      </w:r>
      <w:r>
        <w:rPr>
          <w:rFonts w:ascii="宋体" w:hAnsi="宋体" w:eastAsia="宋体" w:cs="宋体"/>
          <w:spacing w:val="-36"/>
          <w:sz w:val="24"/>
          <w:szCs w:val="24"/>
        </w:rPr>
        <w:t xml:space="preserve"> </w:t>
      </w:r>
      <w:r>
        <w:rPr>
          <w:rFonts w:ascii="宋体" w:hAnsi="宋体" w:eastAsia="宋体" w:cs="宋体"/>
          <w:spacing w:val="-10"/>
          <w:sz w:val="24"/>
          <w:szCs w:val="24"/>
        </w:rPr>
        <w:t>具有喜暖、耐旱、耐火烧的生态适应特点，</w:t>
      </w:r>
      <w:r>
        <w:rPr>
          <w:rFonts w:ascii="宋体" w:hAnsi="宋体" w:eastAsia="宋体" w:cs="宋体"/>
          <w:spacing w:val="40"/>
          <w:sz w:val="24"/>
          <w:szCs w:val="24"/>
        </w:rPr>
        <w:t xml:space="preserve"> </w:t>
      </w:r>
      <w:r>
        <w:rPr>
          <w:rFonts w:ascii="宋体" w:hAnsi="宋体" w:eastAsia="宋体" w:cs="宋体"/>
          <w:spacing w:val="-10"/>
          <w:sz w:val="24"/>
          <w:szCs w:val="24"/>
        </w:rPr>
        <w:t>但萌生力不强。光叶高山栎</w:t>
      </w:r>
      <w:r>
        <w:rPr>
          <w:rFonts w:ascii="宋体" w:hAnsi="宋体" w:eastAsia="宋体" w:cs="宋体"/>
          <w:sz w:val="24"/>
          <w:szCs w:val="24"/>
        </w:rPr>
        <w:t xml:space="preserve"> </w:t>
      </w:r>
      <w:r>
        <w:rPr>
          <w:rFonts w:ascii="宋体" w:hAnsi="宋体" w:eastAsia="宋体" w:cs="宋体"/>
          <w:spacing w:val="-6"/>
          <w:sz w:val="24"/>
          <w:szCs w:val="24"/>
        </w:rPr>
        <w:t>林主要分布于干热河谷两侧海拔</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2000-2600m</w:t>
      </w:r>
      <w:r>
        <w:rPr>
          <w:rFonts w:ascii="Times New Roman" w:hAnsi="Times New Roman" w:eastAsia="Times New Roman" w:cs="Times New Roman"/>
          <w:spacing w:val="28"/>
          <w:w w:val="101"/>
          <w:sz w:val="24"/>
          <w:szCs w:val="24"/>
        </w:rPr>
        <w:t xml:space="preserve"> </w:t>
      </w:r>
      <w:r>
        <w:rPr>
          <w:rFonts w:ascii="宋体" w:hAnsi="宋体" w:eastAsia="宋体" w:cs="宋体"/>
          <w:spacing w:val="-6"/>
          <w:sz w:val="24"/>
          <w:szCs w:val="24"/>
        </w:rPr>
        <w:t>的山地中部地带，</w:t>
      </w:r>
      <w:r>
        <w:rPr>
          <w:rFonts w:ascii="宋体" w:hAnsi="宋体" w:eastAsia="宋体" w:cs="宋体"/>
          <w:spacing w:val="62"/>
          <w:sz w:val="24"/>
          <w:szCs w:val="24"/>
        </w:rPr>
        <w:t xml:space="preserve"> </w:t>
      </w:r>
      <w:r>
        <w:rPr>
          <w:rFonts w:ascii="宋体" w:hAnsi="宋体" w:eastAsia="宋体" w:cs="宋体"/>
          <w:spacing w:val="-6"/>
          <w:sz w:val="24"/>
          <w:szCs w:val="24"/>
        </w:rPr>
        <w:t>主要局限于石灰</w:t>
      </w:r>
      <w:r>
        <w:rPr>
          <w:rFonts w:ascii="宋体" w:hAnsi="宋体" w:eastAsia="宋体" w:cs="宋体"/>
          <w:sz w:val="24"/>
          <w:szCs w:val="24"/>
        </w:rPr>
        <w:t xml:space="preserve"> </w:t>
      </w:r>
      <w:r>
        <w:rPr>
          <w:rFonts w:ascii="宋体" w:hAnsi="宋体" w:eastAsia="宋体" w:cs="宋体"/>
          <w:spacing w:val="-19"/>
          <w:sz w:val="24"/>
          <w:szCs w:val="24"/>
        </w:rPr>
        <w:t xml:space="preserve">岩地区， 群落高达 </w:t>
      </w:r>
      <w:r>
        <w:rPr>
          <w:rFonts w:ascii="Times New Roman" w:hAnsi="Times New Roman" w:eastAsia="Times New Roman" w:cs="Times New Roman"/>
          <w:spacing w:val="-19"/>
          <w:sz w:val="24"/>
          <w:szCs w:val="24"/>
        </w:rPr>
        <w:t>10m</w:t>
      </w:r>
      <w:r>
        <w:rPr>
          <w:rFonts w:ascii="宋体" w:hAnsi="宋体" w:eastAsia="宋体" w:cs="宋体"/>
          <w:spacing w:val="-19"/>
          <w:sz w:val="24"/>
          <w:szCs w:val="24"/>
        </w:rPr>
        <w:t>，树干多弯曲，</w:t>
      </w:r>
      <w:r>
        <w:rPr>
          <w:rFonts w:ascii="宋体" w:hAnsi="宋体" w:eastAsia="宋体" w:cs="宋体"/>
          <w:spacing w:val="44"/>
          <w:sz w:val="24"/>
          <w:szCs w:val="24"/>
        </w:rPr>
        <w:t xml:space="preserve"> </w:t>
      </w:r>
      <w:r>
        <w:rPr>
          <w:rFonts w:ascii="宋体" w:hAnsi="宋体" w:eastAsia="宋体" w:cs="宋体"/>
          <w:spacing w:val="-19"/>
          <w:sz w:val="24"/>
          <w:szCs w:val="24"/>
        </w:rPr>
        <w:t>萌生力强， 砍烧后多形成萌生灌丛，</w:t>
      </w:r>
      <w:r>
        <w:rPr>
          <w:rFonts w:ascii="宋体" w:hAnsi="宋体" w:eastAsia="宋体" w:cs="宋体"/>
          <w:spacing w:val="45"/>
          <w:sz w:val="24"/>
          <w:szCs w:val="24"/>
        </w:rPr>
        <w:t xml:space="preserve"> </w:t>
      </w:r>
      <w:r>
        <w:rPr>
          <w:rFonts w:ascii="宋体" w:hAnsi="宋体" w:eastAsia="宋体" w:cs="宋体"/>
          <w:spacing w:val="-19"/>
          <w:sz w:val="24"/>
          <w:szCs w:val="24"/>
        </w:rPr>
        <w:t>与滇</w:t>
      </w:r>
      <w:r>
        <w:rPr>
          <w:rFonts w:ascii="宋体" w:hAnsi="宋体" w:eastAsia="宋体" w:cs="宋体"/>
          <w:sz w:val="24"/>
          <w:szCs w:val="24"/>
        </w:rPr>
        <w:t xml:space="preserve"> </w:t>
      </w:r>
      <w:r>
        <w:rPr>
          <w:rFonts w:ascii="宋体" w:hAnsi="宋体" w:eastAsia="宋体" w:cs="宋体"/>
          <w:spacing w:val="-12"/>
          <w:sz w:val="24"/>
          <w:szCs w:val="24"/>
        </w:rPr>
        <w:t>青冈林有着一定的联系。本区域由于人类历史活动较为悠久，</w:t>
      </w:r>
      <w:r>
        <w:rPr>
          <w:rFonts w:ascii="宋体" w:hAnsi="宋体" w:eastAsia="宋体" w:cs="宋体"/>
          <w:spacing w:val="45"/>
          <w:sz w:val="24"/>
          <w:szCs w:val="24"/>
        </w:rPr>
        <w:t xml:space="preserve"> </w:t>
      </w:r>
      <w:r>
        <w:rPr>
          <w:rFonts w:ascii="宋体" w:hAnsi="宋体" w:eastAsia="宋体" w:cs="宋体"/>
          <w:spacing w:val="-12"/>
          <w:sz w:val="24"/>
          <w:szCs w:val="24"/>
        </w:rPr>
        <w:t>海拔跨度较大，</w:t>
      </w:r>
      <w:r>
        <w:rPr>
          <w:rFonts w:ascii="宋体" w:hAnsi="宋体" w:eastAsia="宋体" w:cs="宋体"/>
          <w:spacing w:val="31"/>
          <w:sz w:val="24"/>
          <w:szCs w:val="24"/>
        </w:rPr>
        <w:t xml:space="preserve"> </w:t>
      </w:r>
      <w:r>
        <w:rPr>
          <w:rFonts w:ascii="宋体" w:hAnsi="宋体" w:eastAsia="宋体" w:cs="宋体"/>
          <w:spacing w:val="-12"/>
          <w:sz w:val="24"/>
          <w:szCs w:val="24"/>
        </w:rPr>
        <w:t>此</w:t>
      </w:r>
      <w:r>
        <w:rPr>
          <w:rFonts w:ascii="宋体" w:hAnsi="宋体" w:eastAsia="宋体" w:cs="宋体"/>
          <w:sz w:val="24"/>
          <w:szCs w:val="24"/>
        </w:rPr>
        <w:t xml:space="preserve"> </w:t>
      </w:r>
      <w:r>
        <w:rPr>
          <w:rFonts w:ascii="宋体" w:hAnsi="宋体" w:eastAsia="宋体" w:cs="宋体"/>
          <w:spacing w:val="-12"/>
          <w:sz w:val="24"/>
          <w:szCs w:val="24"/>
        </w:rPr>
        <w:t>类植被要么退化，</w:t>
      </w:r>
      <w:r>
        <w:rPr>
          <w:rFonts w:ascii="宋体" w:hAnsi="宋体" w:eastAsia="宋体" w:cs="宋体"/>
          <w:spacing w:val="45"/>
          <w:sz w:val="24"/>
          <w:szCs w:val="24"/>
        </w:rPr>
        <w:t xml:space="preserve"> </w:t>
      </w:r>
      <w:r>
        <w:rPr>
          <w:rFonts w:ascii="宋体" w:hAnsi="宋体" w:eastAsia="宋体" w:cs="宋体"/>
          <w:spacing w:val="-12"/>
          <w:sz w:val="24"/>
          <w:szCs w:val="24"/>
        </w:rPr>
        <w:t>要么零星而分散。在本评价区，</w:t>
      </w:r>
      <w:r>
        <w:rPr>
          <w:rFonts w:ascii="宋体" w:hAnsi="宋体" w:eastAsia="宋体" w:cs="宋体"/>
          <w:spacing w:val="31"/>
          <w:sz w:val="24"/>
          <w:szCs w:val="24"/>
        </w:rPr>
        <w:t xml:space="preserve"> </w:t>
      </w:r>
      <w:r>
        <w:rPr>
          <w:rFonts w:ascii="宋体" w:hAnsi="宋体" w:eastAsia="宋体" w:cs="宋体"/>
          <w:spacing w:val="-12"/>
          <w:sz w:val="24"/>
          <w:szCs w:val="24"/>
        </w:rPr>
        <w:t>靠近河谷地带零星分布有少量</w:t>
      </w:r>
      <w:r>
        <w:rPr>
          <w:rFonts w:ascii="宋体" w:hAnsi="宋体" w:eastAsia="宋体" w:cs="宋体"/>
          <w:sz w:val="24"/>
          <w:szCs w:val="24"/>
        </w:rPr>
        <w:t xml:space="preserve"> </w:t>
      </w:r>
      <w:r>
        <w:rPr>
          <w:rFonts w:ascii="宋体" w:hAnsi="宋体" w:eastAsia="宋体" w:cs="宋体"/>
          <w:spacing w:val="-9"/>
          <w:sz w:val="24"/>
          <w:szCs w:val="24"/>
        </w:rPr>
        <w:t>的干热河谷硬叶常绿栎类林， 在人为干扰下， 锥连栎已</w:t>
      </w:r>
      <w:r>
        <w:rPr>
          <w:rFonts w:ascii="宋体" w:hAnsi="宋体" w:eastAsia="宋体" w:cs="宋体"/>
          <w:spacing w:val="-10"/>
          <w:sz w:val="24"/>
          <w:szCs w:val="24"/>
        </w:rPr>
        <w:t>与少量光叶高山栎混杂在</w:t>
      </w:r>
      <w:r>
        <w:rPr>
          <w:rFonts w:ascii="宋体" w:hAnsi="宋体" w:eastAsia="宋体" w:cs="宋体"/>
          <w:sz w:val="24"/>
          <w:szCs w:val="24"/>
        </w:rPr>
        <w:t xml:space="preserve"> </w:t>
      </w:r>
      <w:r>
        <w:rPr>
          <w:rFonts w:ascii="宋体" w:hAnsi="宋体" w:eastAsia="宋体" w:cs="宋体"/>
          <w:spacing w:val="-16"/>
          <w:sz w:val="24"/>
          <w:szCs w:val="24"/>
        </w:rPr>
        <w:t>一起组成群落，</w:t>
      </w:r>
      <w:r>
        <w:rPr>
          <w:rFonts w:ascii="宋体" w:hAnsi="宋体" w:eastAsia="宋体" w:cs="宋体"/>
          <w:spacing w:val="39"/>
          <w:sz w:val="24"/>
          <w:szCs w:val="24"/>
        </w:rPr>
        <w:t xml:space="preserve"> </w:t>
      </w:r>
      <w:r>
        <w:rPr>
          <w:rFonts w:ascii="宋体" w:hAnsi="宋体" w:eastAsia="宋体" w:cs="宋体"/>
          <w:spacing w:val="-16"/>
          <w:sz w:val="24"/>
          <w:szCs w:val="24"/>
        </w:rPr>
        <w:t>此处土壤较为肥厚，</w:t>
      </w:r>
      <w:r>
        <w:rPr>
          <w:rFonts w:ascii="宋体" w:hAnsi="宋体" w:eastAsia="宋体" w:cs="宋体"/>
          <w:spacing w:val="29"/>
          <w:sz w:val="24"/>
          <w:szCs w:val="24"/>
        </w:rPr>
        <w:t xml:space="preserve"> </w:t>
      </w:r>
      <w:r>
        <w:rPr>
          <w:rFonts w:ascii="宋体" w:hAnsi="宋体" w:eastAsia="宋体" w:cs="宋体"/>
          <w:spacing w:val="-16"/>
          <w:sz w:val="24"/>
          <w:szCs w:val="24"/>
        </w:rPr>
        <w:t>群系特征更偏向于锥连栎，</w:t>
      </w:r>
      <w:r>
        <w:rPr>
          <w:rFonts w:ascii="宋体" w:hAnsi="宋体" w:eastAsia="宋体" w:cs="宋体"/>
          <w:spacing w:val="28"/>
          <w:sz w:val="24"/>
          <w:szCs w:val="24"/>
        </w:rPr>
        <w:t xml:space="preserve"> </w:t>
      </w:r>
      <w:r>
        <w:rPr>
          <w:rFonts w:ascii="宋体" w:hAnsi="宋体" w:eastAsia="宋体" w:cs="宋体"/>
          <w:spacing w:val="-16"/>
          <w:sz w:val="24"/>
          <w:szCs w:val="24"/>
        </w:rPr>
        <w:t>但也具备一些半</w:t>
      </w:r>
      <w:r>
        <w:rPr>
          <w:rFonts w:ascii="宋体" w:hAnsi="宋体" w:eastAsia="宋体" w:cs="宋体"/>
          <w:sz w:val="24"/>
          <w:szCs w:val="24"/>
        </w:rPr>
        <w:t xml:space="preserve"> </w:t>
      </w:r>
      <w:r>
        <w:rPr>
          <w:rFonts w:ascii="宋体" w:hAnsi="宋体" w:eastAsia="宋体" w:cs="宋体"/>
          <w:spacing w:val="9"/>
          <w:sz w:val="24"/>
          <w:szCs w:val="24"/>
        </w:rPr>
        <w:t>湿润常绿阔叶林的特点，在本调查中合并为一个</w:t>
      </w:r>
      <w:r>
        <w:rPr>
          <w:rFonts w:ascii="宋体" w:hAnsi="宋体" w:eastAsia="宋体" w:cs="宋体"/>
          <w:spacing w:val="8"/>
          <w:sz w:val="24"/>
          <w:szCs w:val="24"/>
        </w:rPr>
        <w:t>群系描述：锥连栎林（</w:t>
      </w:r>
      <w:r>
        <w:rPr>
          <w:rFonts w:ascii="Times New Roman" w:hAnsi="Times New Roman" w:eastAsia="Times New Roman" w:cs="Times New Roman"/>
          <w:sz w:val="24"/>
          <w:szCs w:val="24"/>
        </w:rPr>
        <w:t>Form</w:t>
      </w:r>
      <w:r>
        <w:rPr>
          <w:rFonts w:ascii="Times New Roman" w:hAnsi="Times New Roman" w:eastAsia="Times New Roman" w:cs="Times New Roman"/>
          <w:spacing w:val="8"/>
          <w:sz w:val="24"/>
          <w:szCs w:val="24"/>
        </w:rPr>
        <w:t>.</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Quercus</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sz w:val="24"/>
          <w:szCs w:val="24"/>
        </w:rPr>
        <w:t>franchetii</w:t>
      </w:r>
      <w:r>
        <w:rPr>
          <w:rFonts w:ascii="宋体" w:hAnsi="宋体" w:eastAsia="宋体" w:cs="宋体"/>
          <w:spacing w:val="1"/>
          <w:sz w:val="24"/>
          <w:szCs w:val="24"/>
        </w:rPr>
        <w:t>）</w:t>
      </w:r>
      <w:r>
        <w:rPr>
          <w:rFonts w:ascii="宋体" w:hAnsi="宋体" w:eastAsia="宋体" w:cs="宋体"/>
          <w:spacing w:val="-61"/>
          <w:sz w:val="24"/>
          <w:szCs w:val="24"/>
        </w:rPr>
        <w:t xml:space="preserve"> </w:t>
      </w:r>
      <w:r>
        <w:rPr>
          <w:rFonts w:ascii="宋体" w:hAnsi="宋体" w:eastAsia="宋体" w:cs="宋体"/>
          <w:spacing w:val="1"/>
          <w:sz w:val="24"/>
          <w:szCs w:val="24"/>
        </w:rPr>
        <w:t>，</w:t>
      </w:r>
      <w:r>
        <w:rPr>
          <w:rFonts w:ascii="宋体" w:hAnsi="宋体" w:eastAsia="宋体" w:cs="宋体"/>
          <w:spacing w:val="16"/>
          <w:sz w:val="24"/>
          <w:szCs w:val="24"/>
        </w:rPr>
        <w:t>且只含有一个群落锥连栎、毛脉高山栎群落（</w:t>
      </w:r>
      <w:r>
        <w:rPr>
          <w:rFonts w:ascii="Times New Roman" w:hAnsi="Times New Roman" w:eastAsia="Times New Roman" w:cs="Times New Roman"/>
          <w:i/>
          <w:iCs/>
          <w:sz w:val="24"/>
          <w:szCs w:val="24"/>
        </w:rPr>
        <w:t>Quercus</w:t>
      </w:r>
    </w:p>
    <w:p>
      <w:pPr>
        <w:spacing w:line="212" w:lineRule="auto"/>
        <w:rPr>
          <w:rFonts w:ascii="宋体" w:hAnsi="宋体" w:eastAsia="宋体" w:cs="宋体"/>
          <w:sz w:val="24"/>
          <w:szCs w:val="24"/>
        </w:rPr>
      </w:pPr>
      <w:r>
        <w:rPr>
          <w:rFonts w:ascii="Times New Roman" w:hAnsi="Times New Roman" w:eastAsia="Times New Roman" w:cs="Times New Roman"/>
          <w:i/>
          <w:iCs/>
          <w:sz w:val="24"/>
          <w:szCs w:val="24"/>
        </w:rPr>
        <w:t>franchetii</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i/>
          <w:iCs/>
          <w:sz w:val="24"/>
          <w:szCs w:val="24"/>
        </w:rPr>
        <w:t>Quercus</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rehderiana</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sz w:val="24"/>
          <w:szCs w:val="24"/>
        </w:rPr>
        <w:t>Comm</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p>
    <w:p>
      <w:pPr>
        <w:spacing w:before="192" w:line="360" w:lineRule="auto"/>
        <w:ind w:left="45" w:right="28" w:firstLine="486"/>
        <w:rPr>
          <w:rFonts w:ascii="宋体" w:hAnsi="宋体" w:eastAsia="宋体" w:cs="宋体"/>
          <w:sz w:val="24"/>
          <w:szCs w:val="24"/>
        </w:rPr>
      </w:pPr>
      <w:r>
        <w:rPr>
          <w:rFonts w:ascii="宋体" w:hAnsi="宋体" w:eastAsia="宋体" w:cs="宋体"/>
          <w:spacing w:val="-6"/>
          <w:sz w:val="24"/>
          <w:szCs w:val="24"/>
        </w:rPr>
        <w:t>本群落主要分布于评价区桂花河沿岸两侧</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100m</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范围内的山坡，</w:t>
      </w:r>
      <w:r>
        <w:rPr>
          <w:rFonts w:ascii="宋体" w:hAnsi="宋体" w:eastAsia="宋体" w:cs="宋体"/>
          <w:spacing w:val="-7"/>
          <w:sz w:val="24"/>
          <w:szCs w:val="24"/>
        </w:rPr>
        <w:t xml:space="preserve"> 土层薄多小</w:t>
      </w:r>
      <w:r>
        <w:rPr>
          <w:rFonts w:ascii="宋体" w:hAnsi="宋体" w:eastAsia="宋体" w:cs="宋体"/>
          <w:sz w:val="24"/>
          <w:szCs w:val="24"/>
        </w:rPr>
        <w:t xml:space="preserve"> </w:t>
      </w:r>
      <w:r>
        <w:rPr>
          <w:rFonts w:ascii="宋体" w:hAnsi="宋体" w:eastAsia="宋体" w:cs="宋体"/>
          <w:spacing w:val="-17"/>
          <w:sz w:val="24"/>
          <w:szCs w:val="24"/>
        </w:rPr>
        <w:t>碎石。物种组成较为简单，</w:t>
      </w:r>
      <w:r>
        <w:rPr>
          <w:rFonts w:ascii="宋体" w:hAnsi="宋体" w:eastAsia="宋体" w:cs="宋体"/>
          <w:spacing w:val="37"/>
          <w:sz w:val="24"/>
          <w:szCs w:val="24"/>
        </w:rPr>
        <w:t xml:space="preserve"> </w:t>
      </w:r>
      <w:r>
        <w:rPr>
          <w:rFonts w:ascii="宋体" w:hAnsi="宋体" w:eastAsia="宋体" w:cs="宋体"/>
          <w:spacing w:val="-17"/>
          <w:sz w:val="24"/>
          <w:szCs w:val="24"/>
        </w:rPr>
        <w:t>群落外貌为暗绿色，</w:t>
      </w:r>
      <w:r>
        <w:rPr>
          <w:rFonts w:ascii="宋体" w:hAnsi="宋体" w:eastAsia="宋体" w:cs="宋体"/>
          <w:spacing w:val="36"/>
          <w:sz w:val="24"/>
          <w:szCs w:val="24"/>
        </w:rPr>
        <w:t xml:space="preserve"> </w:t>
      </w:r>
      <w:r>
        <w:rPr>
          <w:rFonts w:ascii="宋体" w:hAnsi="宋体" w:eastAsia="宋体" w:cs="宋体"/>
          <w:spacing w:val="-17"/>
          <w:sz w:val="24"/>
          <w:szCs w:val="24"/>
        </w:rPr>
        <w:t>边缘地带由于树木稀疏，</w:t>
      </w:r>
      <w:r>
        <w:rPr>
          <w:rFonts w:ascii="宋体" w:hAnsi="宋体" w:eastAsia="宋体" w:cs="宋体"/>
          <w:spacing w:val="63"/>
          <w:sz w:val="24"/>
          <w:szCs w:val="24"/>
        </w:rPr>
        <w:t xml:space="preserve"> </w:t>
      </w:r>
      <w:r>
        <w:rPr>
          <w:rFonts w:ascii="宋体" w:hAnsi="宋体" w:eastAsia="宋体" w:cs="宋体"/>
          <w:spacing w:val="-17"/>
          <w:sz w:val="24"/>
          <w:szCs w:val="24"/>
        </w:rPr>
        <w:t>已</w:t>
      </w:r>
      <w:r>
        <w:rPr>
          <w:rFonts w:ascii="宋体" w:hAnsi="宋体" w:eastAsia="宋体" w:cs="宋体"/>
          <w:spacing w:val="-18"/>
          <w:sz w:val="24"/>
          <w:szCs w:val="24"/>
        </w:rPr>
        <w:t>经渐</w:t>
      </w:r>
      <w:r>
        <w:rPr>
          <w:rFonts w:ascii="宋体" w:hAnsi="宋体" w:eastAsia="宋体" w:cs="宋体"/>
          <w:sz w:val="24"/>
          <w:szCs w:val="24"/>
        </w:rPr>
        <w:t xml:space="preserve"> </w:t>
      </w:r>
      <w:r>
        <w:rPr>
          <w:rFonts w:ascii="宋体" w:hAnsi="宋体" w:eastAsia="宋体" w:cs="宋体"/>
          <w:spacing w:val="-4"/>
          <w:sz w:val="24"/>
          <w:szCs w:val="24"/>
        </w:rPr>
        <w:t>渐过渡成以锥连栎为特征的稀树灌木草丛。本群落高度不超过</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10m</w:t>
      </w:r>
      <w:r>
        <w:rPr>
          <w:rFonts w:ascii="宋体" w:hAnsi="宋体" w:eastAsia="宋体" w:cs="宋体"/>
          <w:spacing w:val="-4"/>
          <w:sz w:val="24"/>
          <w:szCs w:val="24"/>
        </w:rPr>
        <w:t>，上层乔木以</w:t>
      </w:r>
      <w:r>
        <w:rPr>
          <w:rFonts w:ascii="宋体" w:hAnsi="宋体" w:eastAsia="宋体" w:cs="宋体"/>
          <w:sz w:val="24"/>
          <w:szCs w:val="24"/>
        </w:rPr>
        <w:t xml:space="preserve"> </w:t>
      </w:r>
      <w:r>
        <w:rPr>
          <w:rFonts w:ascii="宋体" w:hAnsi="宋体" w:eastAsia="宋体" w:cs="宋体"/>
          <w:spacing w:val="-1"/>
          <w:sz w:val="24"/>
          <w:szCs w:val="24"/>
        </w:rPr>
        <w:t>锥连栎</w:t>
      </w:r>
      <w:r>
        <w:rPr>
          <w:rFonts w:ascii="宋体" w:hAnsi="宋体" w:eastAsia="宋体" w:cs="宋体"/>
          <w:spacing w:val="-41"/>
          <w:sz w:val="24"/>
          <w:szCs w:val="24"/>
        </w:rPr>
        <w:t xml:space="preserve"> </w:t>
      </w:r>
      <w:r>
        <w:rPr>
          <w:rFonts w:ascii="Times New Roman" w:hAnsi="Times New Roman" w:eastAsia="Times New Roman" w:cs="Times New Roman"/>
          <w:i/>
          <w:iCs/>
          <w:spacing w:val="-1"/>
          <w:sz w:val="24"/>
          <w:szCs w:val="24"/>
        </w:rPr>
        <w:t>Quercus</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pacing w:val="-1"/>
          <w:sz w:val="24"/>
          <w:szCs w:val="24"/>
        </w:rPr>
        <w:t>franchetii</w:t>
      </w:r>
      <w:r>
        <w:rPr>
          <w:rFonts w:ascii="Times New Roman" w:hAnsi="Times New Roman" w:eastAsia="Times New Roman" w:cs="Times New Roman"/>
          <w:i/>
          <w:iCs/>
          <w:spacing w:val="21"/>
          <w:sz w:val="24"/>
          <w:szCs w:val="24"/>
        </w:rPr>
        <w:t xml:space="preserve"> </w:t>
      </w:r>
      <w:r>
        <w:rPr>
          <w:rFonts w:ascii="宋体" w:hAnsi="宋体" w:eastAsia="宋体" w:cs="宋体"/>
          <w:spacing w:val="-1"/>
          <w:sz w:val="24"/>
          <w:szCs w:val="24"/>
        </w:rPr>
        <w:t>为优势，混有少量的光叶高山栎</w:t>
      </w:r>
      <w:r>
        <w:rPr>
          <w:rFonts w:ascii="宋体" w:hAnsi="宋体" w:eastAsia="宋体" w:cs="宋体"/>
          <w:spacing w:val="-40"/>
          <w:sz w:val="24"/>
          <w:szCs w:val="24"/>
        </w:rPr>
        <w:t xml:space="preserve"> </w:t>
      </w:r>
      <w:r>
        <w:rPr>
          <w:rFonts w:ascii="Times New Roman" w:hAnsi="Times New Roman" w:eastAsia="Times New Roman" w:cs="Times New Roman"/>
          <w:i/>
          <w:iCs/>
          <w:spacing w:val="-1"/>
          <w:sz w:val="24"/>
          <w:szCs w:val="24"/>
        </w:rPr>
        <w:t>Quercus</w:t>
      </w:r>
      <w:r>
        <w:rPr>
          <w:rFonts w:ascii="Times New Roman" w:hAnsi="Times New Roman" w:eastAsia="Times New Roman" w:cs="Times New Roman"/>
          <w:i/>
          <w:iCs/>
          <w:spacing w:val="36"/>
          <w:w w:val="101"/>
          <w:sz w:val="24"/>
          <w:szCs w:val="24"/>
        </w:rPr>
        <w:t xml:space="preserve"> </w:t>
      </w:r>
      <w:r>
        <w:rPr>
          <w:rFonts w:ascii="Times New Roman" w:hAnsi="Times New Roman" w:eastAsia="Times New Roman" w:cs="Times New Roman"/>
          <w:i/>
          <w:iCs/>
          <w:spacing w:val="-1"/>
          <w:sz w:val="24"/>
          <w:szCs w:val="24"/>
        </w:rPr>
        <w:t>re</w:t>
      </w:r>
      <w:r>
        <w:rPr>
          <w:rFonts w:ascii="Times New Roman" w:hAnsi="Times New Roman" w:eastAsia="Times New Roman" w:cs="Times New Roman"/>
          <w:i/>
          <w:iCs/>
          <w:spacing w:val="-2"/>
          <w:sz w:val="24"/>
          <w:szCs w:val="24"/>
        </w:rPr>
        <w:t>hderiana</w:t>
      </w:r>
      <w:r>
        <w:rPr>
          <w:rFonts w:ascii="Times New Roman" w:hAnsi="Times New Roman" w:eastAsia="Times New Roman" w:cs="Times New Roman"/>
          <w:i/>
          <w:iCs/>
          <w:spacing w:val="-28"/>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
          <w:sz w:val="24"/>
          <w:szCs w:val="24"/>
        </w:rPr>
        <w:t>其他常见的树种有云南松</w:t>
      </w:r>
      <w:r>
        <w:rPr>
          <w:rFonts w:ascii="宋体" w:hAnsi="宋体" w:eastAsia="宋体" w:cs="宋体"/>
          <w:spacing w:val="-52"/>
          <w:sz w:val="24"/>
          <w:szCs w:val="24"/>
        </w:rPr>
        <w:t xml:space="preserve"> </w:t>
      </w:r>
      <w:r>
        <w:rPr>
          <w:rFonts w:ascii="Times New Roman" w:hAnsi="Times New Roman" w:eastAsia="Times New Roman" w:cs="Times New Roman"/>
          <w:i/>
          <w:iCs/>
          <w:spacing w:val="-1"/>
          <w:sz w:val="24"/>
          <w:szCs w:val="24"/>
        </w:rPr>
        <w:t>Pinus</w:t>
      </w:r>
      <w:r>
        <w:rPr>
          <w:rFonts w:ascii="Times New Roman" w:hAnsi="Times New Roman" w:eastAsia="Times New Roman" w:cs="Times New Roman"/>
          <w:i/>
          <w:iCs/>
          <w:spacing w:val="-31"/>
          <w:sz w:val="24"/>
          <w:szCs w:val="24"/>
        </w:rPr>
        <w:t xml:space="preserve"> </w:t>
      </w:r>
      <w:r>
        <w:rPr>
          <w:rFonts w:ascii="Times New Roman" w:hAnsi="Times New Roman" w:eastAsia="Times New Roman" w:cs="Times New Roman"/>
          <w:i/>
          <w:iCs/>
          <w:spacing w:val="-1"/>
          <w:sz w:val="24"/>
          <w:szCs w:val="24"/>
        </w:rPr>
        <w:t>yunnanensis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、云南油杉</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Keteleeria evelyniana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、滇</w:t>
      </w:r>
      <w:r>
        <w:rPr>
          <w:rFonts w:ascii="宋体" w:hAnsi="宋体" w:eastAsia="宋体" w:cs="宋体"/>
          <w:sz w:val="24"/>
          <w:szCs w:val="24"/>
        </w:rPr>
        <w:t xml:space="preserve"> </w:t>
      </w:r>
      <w:r>
        <w:rPr>
          <w:rFonts w:ascii="宋体" w:hAnsi="宋体" w:eastAsia="宋体" w:cs="宋体"/>
          <w:spacing w:val="-1"/>
          <w:sz w:val="24"/>
          <w:szCs w:val="24"/>
        </w:rPr>
        <w:t>青冈</w:t>
      </w:r>
      <w:r>
        <w:rPr>
          <w:rFonts w:ascii="宋体" w:hAnsi="宋体" w:eastAsia="宋体" w:cs="宋体"/>
          <w:spacing w:val="47"/>
          <w:sz w:val="24"/>
          <w:szCs w:val="24"/>
        </w:rPr>
        <w:t xml:space="preserve"> </w:t>
      </w:r>
      <w:r>
        <w:rPr>
          <w:rFonts w:ascii="Times New Roman" w:hAnsi="Times New Roman" w:eastAsia="Times New Roman" w:cs="Times New Roman"/>
          <w:i/>
          <w:iCs/>
          <w:spacing w:val="-1"/>
          <w:sz w:val="24"/>
          <w:szCs w:val="24"/>
        </w:rPr>
        <w:t>Cyclobalanopsis</w:t>
      </w:r>
      <w:r>
        <w:rPr>
          <w:rFonts w:ascii="Times New Roman" w:hAnsi="Times New Roman" w:eastAsia="Times New Roman" w:cs="Times New Roman"/>
          <w:i/>
          <w:iCs/>
          <w:spacing w:val="44"/>
          <w:w w:val="101"/>
          <w:sz w:val="24"/>
          <w:szCs w:val="24"/>
        </w:rPr>
        <w:t xml:space="preserve"> </w:t>
      </w:r>
      <w:r>
        <w:rPr>
          <w:rFonts w:ascii="Times New Roman" w:hAnsi="Times New Roman" w:eastAsia="Times New Roman" w:cs="Times New Roman"/>
          <w:i/>
          <w:iCs/>
          <w:spacing w:val="-1"/>
          <w:sz w:val="24"/>
          <w:szCs w:val="24"/>
        </w:rPr>
        <w:t xml:space="preserve">glaucoides </w:t>
      </w:r>
      <w:r>
        <w:rPr>
          <w:rFonts w:ascii="宋体" w:hAnsi="宋体" w:eastAsia="宋体" w:cs="宋体"/>
          <w:spacing w:val="-1"/>
          <w:sz w:val="24"/>
          <w:szCs w:val="24"/>
        </w:rPr>
        <w:t>、</w:t>
      </w:r>
      <w:r>
        <w:rPr>
          <w:rFonts w:ascii="宋体" w:hAnsi="宋体" w:eastAsia="宋体" w:cs="宋体"/>
          <w:spacing w:val="-51"/>
          <w:sz w:val="24"/>
          <w:szCs w:val="24"/>
        </w:rPr>
        <w:t xml:space="preserve"> </w:t>
      </w:r>
      <w:r>
        <w:rPr>
          <w:rFonts w:ascii="宋体" w:hAnsi="宋体" w:eastAsia="宋体" w:cs="宋体"/>
          <w:spacing w:val="-1"/>
          <w:sz w:val="24"/>
          <w:szCs w:val="24"/>
        </w:rPr>
        <w:t xml:space="preserve">白柯 </w:t>
      </w:r>
      <w:r>
        <w:rPr>
          <w:rFonts w:ascii="Times New Roman" w:hAnsi="Times New Roman" w:eastAsia="Times New Roman" w:cs="Times New Roman"/>
          <w:i/>
          <w:iCs/>
          <w:spacing w:val="-1"/>
          <w:sz w:val="24"/>
          <w:szCs w:val="24"/>
        </w:rPr>
        <w:t xml:space="preserve">Lithocarpus  dealbatus </w:t>
      </w:r>
      <w:r>
        <w:rPr>
          <w:rFonts w:ascii="宋体" w:hAnsi="宋体" w:eastAsia="宋体" w:cs="宋体"/>
          <w:spacing w:val="-1"/>
          <w:sz w:val="24"/>
          <w:szCs w:val="24"/>
        </w:rPr>
        <w:t>、</w:t>
      </w:r>
      <w:r>
        <w:rPr>
          <w:rFonts w:ascii="宋体" w:hAnsi="宋体" w:eastAsia="宋体" w:cs="宋体"/>
          <w:spacing w:val="-64"/>
          <w:sz w:val="24"/>
          <w:szCs w:val="24"/>
        </w:rPr>
        <w:t xml:space="preserve"> </w:t>
      </w:r>
      <w:r>
        <w:rPr>
          <w:rFonts w:ascii="宋体" w:hAnsi="宋体" w:eastAsia="宋体" w:cs="宋体"/>
          <w:spacing w:val="-1"/>
          <w:sz w:val="24"/>
          <w:szCs w:val="24"/>
        </w:rPr>
        <w:t>四蕊朴</w:t>
      </w:r>
      <w:r>
        <w:rPr>
          <w:rFonts w:ascii="宋体" w:hAnsi="宋体" w:eastAsia="宋体" w:cs="宋体"/>
          <w:spacing w:val="38"/>
          <w:sz w:val="24"/>
          <w:szCs w:val="24"/>
        </w:rPr>
        <w:t xml:space="preserve"> </w:t>
      </w:r>
      <w:r>
        <w:rPr>
          <w:rFonts w:ascii="Times New Roman" w:hAnsi="Times New Roman" w:eastAsia="Times New Roman" w:cs="Times New Roman"/>
          <w:i/>
          <w:iCs/>
          <w:spacing w:val="-1"/>
          <w:sz w:val="24"/>
          <w:szCs w:val="24"/>
        </w:rPr>
        <w:t>Celtis</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3"/>
          <w:sz w:val="24"/>
          <w:szCs w:val="24"/>
        </w:rPr>
        <w:t>tetrandra</w:t>
      </w:r>
      <w:r>
        <w:rPr>
          <w:rFonts w:ascii="宋体" w:hAnsi="宋体" w:eastAsia="宋体" w:cs="宋体"/>
          <w:spacing w:val="-3"/>
          <w:sz w:val="24"/>
          <w:szCs w:val="24"/>
        </w:rPr>
        <w:t>、香叶树</w:t>
      </w:r>
      <w:r>
        <w:rPr>
          <w:rFonts w:ascii="宋体" w:hAnsi="宋体" w:eastAsia="宋体" w:cs="宋体"/>
          <w:spacing w:val="-67"/>
          <w:sz w:val="24"/>
          <w:szCs w:val="24"/>
        </w:rPr>
        <w:t xml:space="preserve"> </w:t>
      </w:r>
      <w:r>
        <w:rPr>
          <w:rFonts w:ascii="Times New Roman" w:hAnsi="Times New Roman" w:eastAsia="Times New Roman" w:cs="Times New Roman"/>
          <w:i/>
          <w:iCs/>
          <w:spacing w:val="-3"/>
          <w:sz w:val="24"/>
          <w:szCs w:val="24"/>
        </w:rPr>
        <w:t>Lindera communis</w:t>
      </w:r>
      <w:r>
        <w:rPr>
          <w:rFonts w:ascii="宋体" w:hAnsi="宋体" w:eastAsia="宋体" w:cs="宋体"/>
          <w:spacing w:val="-3"/>
          <w:sz w:val="24"/>
          <w:szCs w:val="24"/>
        </w:rPr>
        <w:t>、栓皮栎</w:t>
      </w:r>
      <w:r>
        <w:rPr>
          <w:rFonts w:ascii="宋体" w:hAnsi="宋体" w:eastAsia="宋体" w:cs="宋体"/>
          <w:spacing w:val="-50"/>
          <w:sz w:val="24"/>
          <w:szCs w:val="24"/>
        </w:rPr>
        <w:t xml:space="preserve"> </w:t>
      </w:r>
      <w:r>
        <w:rPr>
          <w:rFonts w:ascii="Times New Roman" w:hAnsi="Times New Roman" w:eastAsia="Times New Roman" w:cs="Times New Roman"/>
          <w:i/>
          <w:iCs/>
          <w:spacing w:val="-3"/>
          <w:sz w:val="24"/>
          <w:szCs w:val="24"/>
        </w:rPr>
        <w:t>Quercus var</w:t>
      </w:r>
      <w:r>
        <w:rPr>
          <w:rFonts w:ascii="Times New Roman" w:hAnsi="Times New Roman" w:eastAsia="Times New Roman" w:cs="Times New Roman"/>
          <w:i/>
          <w:iCs/>
          <w:spacing w:val="-4"/>
          <w:sz w:val="24"/>
          <w:szCs w:val="24"/>
        </w:rPr>
        <w:t>iabilis</w:t>
      </w:r>
      <w:r>
        <w:rPr>
          <w:rFonts w:ascii="宋体" w:hAnsi="宋体" w:eastAsia="宋体" w:cs="宋体"/>
          <w:spacing w:val="-4"/>
          <w:sz w:val="24"/>
          <w:szCs w:val="24"/>
        </w:rPr>
        <w:t>、西南木荷</w:t>
      </w:r>
      <w:r>
        <w:rPr>
          <w:rFonts w:ascii="宋体" w:hAnsi="宋体" w:eastAsia="宋体" w:cs="宋体"/>
          <w:spacing w:val="-58"/>
          <w:sz w:val="24"/>
          <w:szCs w:val="24"/>
        </w:rPr>
        <w:t xml:space="preserve"> </w:t>
      </w:r>
      <w:r>
        <w:rPr>
          <w:rFonts w:ascii="Times New Roman" w:hAnsi="Times New Roman" w:eastAsia="Times New Roman" w:cs="Times New Roman"/>
          <w:i/>
          <w:iCs/>
          <w:spacing w:val="-4"/>
          <w:sz w:val="24"/>
          <w:szCs w:val="24"/>
        </w:rPr>
        <w:t>Schima</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2"/>
          <w:sz w:val="24"/>
          <w:szCs w:val="24"/>
        </w:rPr>
        <w:t>wallichii</w:t>
      </w:r>
      <w:r>
        <w:rPr>
          <w:rFonts w:ascii="Times New Roman" w:hAnsi="Times New Roman" w:eastAsia="Times New Roman" w:cs="Times New Roman"/>
          <w:i/>
          <w:iCs/>
          <w:spacing w:val="30"/>
          <w:sz w:val="24"/>
          <w:szCs w:val="24"/>
        </w:rPr>
        <w:t xml:space="preserve"> </w:t>
      </w:r>
      <w:r>
        <w:rPr>
          <w:rFonts w:ascii="宋体" w:hAnsi="宋体" w:eastAsia="宋体" w:cs="宋体"/>
          <w:spacing w:val="-2"/>
          <w:sz w:val="24"/>
          <w:szCs w:val="24"/>
        </w:rPr>
        <w:t>、</w:t>
      </w:r>
      <w:r>
        <w:rPr>
          <w:rFonts w:ascii="宋体" w:hAnsi="宋体" w:eastAsia="宋体" w:cs="宋体"/>
          <w:spacing w:val="-42"/>
          <w:sz w:val="24"/>
          <w:szCs w:val="24"/>
        </w:rPr>
        <w:t xml:space="preserve"> </w:t>
      </w:r>
      <w:r>
        <w:rPr>
          <w:rFonts w:ascii="宋体" w:hAnsi="宋体" w:eastAsia="宋体" w:cs="宋体"/>
          <w:spacing w:val="-2"/>
          <w:sz w:val="24"/>
          <w:szCs w:val="24"/>
        </w:rPr>
        <w:t>川</w:t>
      </w:r>
      <w:r>
        <w:rPr>
          <w:rFonts w:ascii="宋体" w:hAnsi="宋体" w:eastAsia="宋体" w:cs="宋体"/>
          <w:spacing w:val="-48"/>
          <w:sz w:val="24"/>
          <w:szCs w:val="24"/>
        </w:rPr>
        <w:t xml:space="preserve"> </w:t>
      </w:r>
      <w:r>
        <w:rPr>
          <w:rFonts w:ascii="宋体" w:hAnsi="宋体" w:eastAsia="宋体" w:cs="宋体"/>
          <w:spacing w:val="-2"/>
          <w:sz w:val="24"/>
          <w:szCs w:val="24"/>
        </w:rPr>
        <w:t>梨</w:t>
      </w:r>
      <w:r>
        <w:rPr>
          <w:rFonts w:ascii="宋体" w:hAnsi="宋体" w:eastAsia="宋体" w:cs="宋体"/>
          <w:spacing w:val="53"/>
          <w:sz w:val="24"/>
          <w:szCs w:val="24"/>
        </w:rPr>
        <w:t xml:space="preserve"> </w:t>
      </w:r>
      <w:r>
        <w:rPr>
          <w:rFonts w:ascii="Times New Roman" w:hAnsi="Times New Roman" w:eastAsia="Times New Roman" w:cs="Times New Roman"/>
          <w:i/>
          <w:iCs/>
          <w:spacing w:val="-2"/>
          <w:sz w:val="24"/>
          <w:szCs w:val="24"/>
        </w:rPr>
        <w:t>Pyrus  pashia</w:t>
      </w:r>
      <w:r>
        <w:rPr>
          <w:rFonts w:ascii="Times New Roman" w:hAnsi="Times New Roman" w:eastAsia="Times New Roman" w:cs="Times New Roman"/>
          <w:i/>
          <w:iCs/>
          <w:spacing w:val="30"/>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3"/>
          <w:sz w:val="24"/>
          <w:szCs w:val="24"/>
        </w:rPr>
        <w:t>清</w:t>
      </w:r>
      <w:r>
        <w:rPr>
          <w:rFonts w:ascii="宋体" w:hAnsi="宋体" w:eastAsia="宋体" w:cs="宋体"/>
          <w:spacing w:val="-46"/>
          <w:sz w:val="24"/>
          <w:szCs w:val="24"/>
        </w:rPr>
        <w:t xml:space="preserve"> </w:t>
      </w:r>
      <w:r>
        <w:rPr>
          <w:rFonts w:ascii="宋体" w:hAnsi="宋体" w:eastAsia="宋体" w:cs="宋体"/>
          <w:spacing w:val="-3"/>
          <w:sz w:val="24"/>
          <w:szCs w:val="24"/>
        </w:rPr>
        <w:t>香</w:t>
      </w:r>
      <w:r>
        <w:rPr>
          <w:rFonts w:ascii="宋体" w:hAnsi="宋体" w:eastAsia="宋体" w:cs="宋体"/>
          <w:spacing w:val="-46"/>
          <w:sz w:val="24"/>
          <w:szCs w:val="24"/>
        </w:rPr>
        <w:t xml:space="preserve"> </w:t>
      </w:r>
      <w:r>
        <w:rPr>
          <w:rFonts w:ascii="宋体" w:hAnsi="宋体" w:eastAsia="宋体" w:cs="宋体"/>
          <w:spacing w:val="-3"/>
          <w:sz w:val="24"/>
          <w:szCs w:val="24"/>
        </w:rPr>
        <w:t>木</w:t>
      </w:r>
      <w:r>
        <w:rPr>
          <w:rFonts w:ascii="宋体" w:hAnsi="宋体" w:eastAsia="宋体" w:cs="宋体"/>
          <w:spacing w:val="53"/>
          <w:sz w:val="24"/>
          <w:szCs w:val="24"/>
        </w:rPr>
        <w:t xml:space="preserve"> </w:t>
      </w:r>
      <w:r>
        <w:rPr>
          <w:rFonts w:ascii="Times New Roman" w:hAnsi="Times New Roman" w:eastAsia="Times New Roman" w:cs="Times New Roman"/>
          <w:i/>
          <w:iCs/>
          <w:spacing w:val="-3"/>
          <w:sz w:val="24"/>
          <w:szCs w:val="24"/>
        </w:rPr>
        <w:t>Pistacia</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spacing w:val="-3"/>
          <w:sz w:val="24"/>
          <w:szCs w:val="24"/>
        </w:rPr>
        <w:t>weinmannifolia</w:t>
      </w:r>
      <w:r>
        <w:rPr>
          <w:rFonts w:ascii="Times New Roman" w:hAnsi="Times New Roman" w:eastAsia="Times New Roman" w:cs="Times New Roman"/>
          <w:i/>
          <w:iCs/>
          <w:spacing w:val="29"/>
          <w:w w:val="101"/>
          <w:sz w:val="24"/>
          <w:szCs w:val="24"/>
        </w:rPr>
        <w:t xml:space="preserve"> </w:t>
      </w:r>
      <w:r>
        <w:rPr>
          <w:rFonts w:ascii="宋体" w:hAnsi="宋体" w:eastAsia="宋体" w:cs="宋体"/>
          <w:spacing w:val="-3"/>
          <w:sz w:val="24"/>
          <w:szCs w:val="24"/>
        </w:rPr>
        <w:t>、</w:t>
      </w:r>
      <w:r>
        <w:rPr>
          <w:rFonts w:ascii="宋体" w:hAnsi="宋体" w:eastAsia="宋体" w:cs="宋体"/>
          <w:spacing w:val="-42"/>
          <w:sz w:val="24"/>
          <w:szCs w:val="24"/>
        </w:rPr>
        <w:t xml:space="preserve"> </w:t>
      </w:r>
      <w:r>
        <w:rPr>
          <w:rFonts w:ascii="宋体" w:hAnsi="宋体" w:eastAsia="宋体" w:cs="宋体"/>
          <w:spacing w:val="-3"/>
          <w:sz w:val="24"/>
          <w:szCs w:val="24"/>
        </w:rPr>
        <w:t>黑</w:t>
      </w:r>
      <w:r>
        <w:rPr>
          <w:rFonts w:ascii="宋体" w:hAnsi="宋体" w:eastAsia="宋体" w:cs="宋体"/>
          <w:spacing w:val="-44"/>
          <w:sz w:val="24"/>
          <w:szCs w:val="24"/>
        </w:rPr>
        <w:t xml:space="preserve"> </w:t>
      </w:r>
      <w:r>
        <w:rPr>
          <w:rFonts w:ascii="宋体" w:hAnsi="宋体" w:eastAsia="宋体" w:cs="宋体"/>
          <w:spacing w:val="-3"/>
          <w:sz w:val="24"/>
          <w:szCs w:val="24"/>
        </w:rPr>
        <w:t>弹</w:t>
      </w:r>
      <w:r>
        <w:rPr>
          <w:rFonts w:ascii="宋体" w:hAnsi="宋体" w:eastAsia="宋体" w:cs="宋体"/>
          <w:spacing w:val="-49"/>
          <w:sz w:val="24"/>
          <w:szCs w:val="24"/>
        </w:rPr>
        <w:t xml:space="preserve"> </w:t>
      </w:r>
      <w:r>
        <w:rPr>
          <w:rFonts w:ascii="宋体" w:hAnsi="宋体" w:eastAsia="宋体" w:cs="宋体"/>
          <w:spacing w:val="-3"/>
          <w:sz w:val="24"/>
          <w:szCs w:val="24"/>
        </w:rPr>
        <w:t>树</w:t>
      </w:r>
      <w:r>
        <w:rPr>
          <w:rFonts w:ascii="宋体" w:hAnsi="宋体" w:eastAsia="宋体" w:cs="宋体"/>
          <w:sz w:val="24"/>
          <w:szCs w:val="24"/>
        </w:rPr>
        <w:t xml:space="preserve"> </w:t>
      </w:r>
      <w:r>
        <w:rPr>
          <w:rFonts w:ascii="Times New Roman" w:hAnsi="Times New Roman" w:eastAsia="Times New Roman" w:cs="Times New Roman"/>
          <w:i/>
          <w:iCs/>
          <w:sz w:val="24"/>
          <w:szCs w:val="24"/>
        </w:rPr>
        <w:t>Celtis bungeana</w:t>
      </w:r>
      <w:r>
        <w:rPr>
          <w:rFonts w:ascii="宋体" w:hAnsi="宋体" w:eastAsia="宋体" w:cs="宋体"/>
          <w:sz w:val="24"/>
          <w:szCs w:val="24"/>
        </w:rPr>
        <w:t>、滇杨</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Populus</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z w:val="24"/>
          <w:szCs w:val="24"/>
        </w:rPr>
        <w:t>yunnanensis</w:t>
      </w:r>
      <w:r>
        <w:rPr>
          <w:rFonts w:ascii="宋体" w:hAnsi="宋体" w:eastAsia="宋体" w:cs="宋体"/>
          <w:sz w:val="24"/>
          <w:szCs w:val="24"/>
        </w:rPr>
        <w:t>、火绳树</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Eriolaenaspectabilis</w:t>
      </w:r>
      <w:r>
        <w:rPr>
          <w:rFonts w:ascii="宋体" w:hAnsi="宋体" w:eastAsia="宋体" w:cs="宋体"/>
          <w:sz w:val="24"/>
          <w:szCs w:val="24"/>
        </w:rPr>
        <w:t>、头</w:t>
      </w:r>
      <w:r>
        <w:rPr>
          <w:rFonts w:ascii="宋体" w:hAnsi="宋体" w:eastAsia="宋体" w:cs="宋体"/>
          <w:spacing w:val="-1"/>
          <w:sz w:val="24"/>
          <w:szCs w:val="24"/>
        </w:rPr>
        <w:t>状四</w:t>
      </w:r>
      <w:r>
        <w:rPr>
          <w:rFonts w:ascii="宋体" w:hAnsi="宋体" w:eastAsia="宋体" w:cs="宋体"/>
          <w:sz w:val="24"/>
          <w:szCs w:val="24"/>
        </w:rPr>
        <w:t xml:space="preserve"> </w:t>
      </w:r>
      <w:r>
        <w:rPr>
          <w:rFonts w:ascii="宋体" w:hAnsi="宋体" w:eastAsia="宋体" w:cs="宋体"/>
          <w:spacing w:val="-1"/>
          <w:sz w:val="24"/>
          <w:szCs w:val="24"/>
        </w:rPr>
        <w:t>照花</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Cornus</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spacing w:val="-1"/>
          <w:sz w:val="24"/>
          <w:szCs w:val="24"/>
        </w:rPr>
        <w:t>capitata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、球花石楠</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Photinia glomerata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盐肤木</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Rhus</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spacing w:val="-2"/>
          <w:sz w:val="24"/>
          <w:szCs w:val="24"/>
        </w:rPr>
        <w:t xml:space="preserve">chinensis  </w:t>
      </w:r>
      <w:r>
        <w:rPr>
          <w:rFonts w:ascii="宋体" w:hAnsi="宋体" w:eastAsia="宋体" w:cs="宋体"/>
          <w:spacing w:val="-2"/>
          <w:sz w:val="24"/>
          <w:szCs w:val="24"/>
        </w:rPr>
        <w:t>、荷</w:t>
      </w:r>
      <w:r>
        <w:rPr>
          <w:rFonts w:ascii="宋体" w:hAnsi="宋体" w:eastAsia="宋体" w:cs="宋体"/>
          <w:sz w:val="24"/>
          <w:szCs w:val="24"/>
        </w:rPr>
        <w:t xml:space="preserve"> </w:t>
      </w:r>
      <w:r>
        <w:rPr>
          <w:rFonts w:ascii="宋体" w:hAnsi="宋体" w:eastAsia="宋体" w:cs="宋体"/>
          <w:spacing w:val="-1"/>
          <w:sz w:val="24"/>
          <w:szCs w:val="24"/>
        </w:rPr>
        <w:t>包山桂花</w:t>
      </w:r>
      <w:r>
        <w:rPr>
          <w:rFonts w:ascii="宋体" w:hAnsi="宋体" w:eastAsia="宋体" w:cs="宋体"/>
          <w:spacing w:val="-52"/>
          <w:sz w:val="24"/>
          <w:szCs w:val="24"/>
        </w:rPr>
        <w:t xml:space="preserve"> </w:t>
      </w:r>
      <w:r>
        <w:rPr>
          <w:rFonts w:ascii="Times New Roman" w:hAnsi="Times New Roman" w:eastAsia="Times New Roman" w:cs="Times New Roman"/>
          <w:i/>
          <w:iCs/>
          <w:spacing w:val="-1"/>
          <w:sz w:val="24"/>
          <w:szCs w:val="24"/>
        </w:rPr>
        <w:t>Polygala</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pacing w:val="-1"/>
          <w:sz w:val="24"/>
          <w:szCs w:val="24"/>
        </w:rPr>
        <w:t>arillata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野漆</w:t>
      </w:r>
      <w:r>
        <w:rPr>
          <w:rFonts w:ascii="宋体" w:hAnsi="宋体" w:eastAsia="宋体" w:cs="宋体"/>
          <w:spacing w:val="-29"/>
          <w:sz w:val="24"/>
          <w:szCs w:val="24"/>
        </w:rPr>
        <w:t xml:space="preserve"> </w:t>
      </w:r>
      <w:r>
        <w:rPr>
          <w:rFonts w:ascii="Times New Roman" w:hAnsi="Times New Roman" w:eastAsia="Times New Roman" w:cs="Times New Roman"/>
          <w:i/>
          <w:iCs/>
          <w:spacing w:val="-2"/>
          <w:sz w:val="24"/>
          <w:szCs w:val="24"/>
        </w:rPr>
        <w:t>Toxicodendron</w:t>
      </w:r>
      <w:r>
        <w:rPr>
          <w:rFonts w:ascii="Times New Roman" w:hAnsi="Times New Roman" w:eastAsia="Times New Roman" w:cs="Times New Roman"/>
          <w:i/>
          <w:iCs/>
          <w:spacing w:val="28"/>
          <w:w w:val="101"/>
          <w:sz w:val="24"/>
          <w:szCs w:val="24"/>
        </w:rPr>
        <w:t xml:space="preserve"> </w:t>
      </w:r>
      <w:r>
        <w:rPr>
          <w:rFonts w:ascii="Times New Roman" w:hAnsi="Times New Roman" w:eastAsia="Times New Roman" w:cs="Times New Roman"/>
          <w:i/>
          <w:iCs/>
          <w:spacing w:val="-2"/>
          <w:sz w:val="24"/>
          <w:szCs w:val="24"/>
        </w:rPr>
        <w:t>succedaneum</w:t>
      </w:r>
      <w:r>
        <w:rPr>
          <w:rFonts w:ascii="Times New Roman" w:hAnsi="Times New Roman" w:eastAsia="Times New Roman" w:cs="Times New Roman"/>
          <w:i/>
          <w:iCs/>
          <w:spacing w:val="26"/>
          <w:sz w:val="24"/>
          <w:szCs w:val="24"/>
        </w:rPr>
        <w:t xml:space="preserve"> </w:t>
      </w:r>
      <w:r>
        <w:rPr>
          <w:rFonts w:ascii="宋体" w:hAnsi="宋体" w:eastAsia="宋体" w:cs="宋体"/>
          <w:spacing w:val="-2"/>
          <w:sz w:val="24"/>
          <w:szCs w:val="24"/>
        </w:rPr>
        <w:t>等，偶见有黄毛青</w:t>
      </w:r>
    </w:p>
    <w:p>
      <w:pPr>
        <w:spacing w:before="1" w:line="212" w:lineRule="auto"/>
        <w:ind w:left="79"/>
        <w:rPr>
          <w:rFonts w:ascii="宋体" w:hAnsi="宋体" w:eastAsia="宋体" w:cs="宋体"/>
          <w:sz w:val="24"/>
          <w:szCs w:val="24"/>
        </w:rPr>
      </w:pPr>
      <w:r>
        <w:rPr>
          <w:rFonts w:ascii="宋体" w:hAnsi="宋体" w:eastAsia="宋体" w:cs="宋体"/>
          <w:spacing w:val="-2"/>
          <w:sz w:val="24"/>
          <w:szCs w:val="24"/>
        </w:rPr>
        <w:t>冈</w:t>
      </w:r>
      <w:r>
        <w:rPr>
          <w:rFonts w:ascii="宋体" w:hAnsi="宋体" w:eastAsia="宋体" w:cs="宋体"/>
          <w:spacing w:val="-40"/>
          <w:sz w:val="24"/>
          <w:szCs w:val="24"/>
        </w:rPr>
        <w:t xml:space="preserve"> </w:t>
      </w:r>
      <w:r>
        <w:rPr>
          <w:rFonts w:ascii="Times New Roman" w:hAnsi="Times New Roman" w:eastAsia="Times New Roman" w:cs="Times New Roman"/>
          <w:i/>
          <w:iCs/>
          <w:spacing w:val="-2"/>
          <w:sz w:val="24"/>
          <w:szCs w:val="24"/>
        </w:rPr>
        <w:t>Cyclobalanopsis</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pacing w:val="-2"/>
          <w:sz w:val="24"/>
          <w:szCs w:val="24"/>
        </w:rPr>
        <w:t>delavayi</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、高山锥</w:t>
      </w:r>
      <w:r>
        <w:rPr>
          <w:rFonts w:ascii="宋体" w:hAnsi="宋体" w:eastAsia="宋体" w:cs="宋体"/>
          <w:spacing w:val="-40"/>
          <w:sz w:val="24"/>
          <w:szCs w:val="24"/>
        </w:rPr>
        <w:t xml:space="preserve"> </w:t>
      </w:r>
      <w:r>
        <w:rPr>
          <w:rFonts w:ascii="Times New Roman" w:hAnsi="Times New Roman" w:eastAsia="Times New Roman" w:cs="Times New Roman"/>
          <w:i/>
          <w:iCs/>
          <w:spacing w:val="-2"/>
          <w:sz w:val="24"/>
          <w:szCs w:val="24"/>
        </w:rPr>
        <w:t>Castanopsis</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pacing w:val="-2"/>
          <w:sz w:val="24"/>
          <w:szCs w:val="24"/>
        </w:rPr>
        <w:t>delavayi</w:t>
      </w:r>
      <w:r>
        <w:rPr>
          <w:rFonts w:ascii="宋体" w:hAnsi="宋体" w:eastAsia="宋体" w:cs="宋体"/>
          <w:spacing w:val="-2"/>
          <w:sz w:val="24"/>
          <w:szCs w:val="24"/>
        </w:rPr>
        <w:t>，都</w:t>
      </w:r>
      <w:r>
        <w:rPr>
          <w:rFonts w:ascii="宋体" w:hAnsi="宋体" w:eastAsia="宋体" w:cs="宋体"/>
          <w:spacing w:val="-3"/>
          <w:sz w:val="24"/>
          <w:szCs w:val="24"/>
        </w:rPr>
        <w:t>是滇中高原最常见</w:t>
      </w:r>
    </w:p>
    <w:p>
      <w:pPr>
        <w:spacing w:line="212" w:lineRule="auto"/>
        <w:rPr>
          <w:rFonts w:ascii="宋体" w:hAnsi="宋体" w:eastAsia="宋体" w:cs="宋体"/>
          <w:sz w:val="24"/>
          <w:szCs w:val="24"/>
        </w:rPr>
        <w:sectPr>
          <w:headerReference r:id="rId242" w:type="default"/>
          <w:footerReference r:id="rId243" w:type="default"/>
          <w:pgSz w:w="11907" w:h="16839"/>
          <w:pgMar w:top="1156" w:right="1768" w:bottom="1374" w:left="1758" w:header="881" w:footer="1210" w:gutter="0"/>
        </w:sectPr>
      </w:pPr>
    </w:p>
    <w:p>
      <w:pPr>
        <w:spacing w:line="316" w:lineRule="auto"/>
        <w:rPr>
          <w:rFonts w:ascii="Arial"/>
          <w:sz w:val="21"/>
        </w:rPr>
      </w:pPr>
    </w:p>
    <w:p>
      <w:pPr>
        <w:spacing w:before="78" w:line="220" w:lineRule="auto"/>
        <w:ind w:left="70"/>
        <w:rPr>
          <w:rFonts w:ascii="宋体" w:hAnsi="宋体" w:eastAsia="宋体" w:cs="宋体"/>
          <w:sz w:val="24"/>
          <w:szCs w:val="24"/>
        </w:rPr>
      </w:pPr>
      <w:r>
        <w:rPr>
          <w:rFonts w:ascii="宋体" w:hAnsi="宋体" w:eastAsia="宋体" w:cs="宋体"/>
          <w:spacing w:val="-2"/>
          <w:sz w:val="24"/>
          <w:szCs w:val="24"/>
        </w:rPr>
        <w:t>的物种，反映了两个群系的特点。</w:t>
      </w:r>
    </w:p>
    <w:p>
      <w:pPr>
        <w:spacing w:before="183" w:line="360" w:lineRule="auto"/>
        <w:ind w:left="34" w:firstLine="497"/>
        <w:rPr>
          <w:rFonts w:ascii="宋体" w:hAnsi="宋体" w:eastAsia="宋体" w:cs="宋体"/>
          <w:sz w:val="24"/>
          <w:szCs w:val="24"/>
        </w:rPr>
      </w:pPr>
      <w:r>
        <w:rPr>
          <w:rFonts w:ascii="宋体" w:hAnsi="宋体" w:eastAsia="宋体" w:cs="宋体"/>
          <w:spacing w:val="-4"/>
          <w:sz w:val="24"/>
          <w:szCs w:val="24"/>
        </w:rPr>
        <w:t>林下灌木层较为发达，种类丰富，灌木层盖度为</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60%</w:t>
      </w:r>
      <w:r>
        <w:rPr>
          <w:rFonts w:ascii="宋体" w:hAnsi="宋体" w:eastAsia="宋体" w:cs="宋体"/>
          <w:spacing w:val="-4"/>
          <w:sz w:val="24"/>
          <w:szCs w:val="24"/>
        </w:rPr>
        <w:t>。常见</w:t>
      </w:r>
      <w:r>
        <w:rPr>
          <w:rFonts w:ascii="宋体" w:hAnsi="宋体" w:eastAsia="宋体" w:cs="宋体"/>
          <w:spacing w:val="-5"/>
          <w:sz w:val="24"/>
          <w:szCs w:val="24"/>
        </w:rPr>
        <w:t xml:space="preserve">的灌木种类皆是 </w:t>
      </w:r>
      <w:r>
        <w:rPr>
          <w:rFonts w:ascii="宋体" w:hAnsi="宋体" w:eastAsia="宋体" w:cs="宋体"/>
          <w:spacing w:val="-3"/>
          <w:sz w:val="24"/>
          <w:szCs w:val="24"/>
        </w:rPr>
        <w:t>滇中高原常见的物种：火棘</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Pyracantha</w:t>
      </w:r>
      <w:r>
        <w:rPr>
          <w:rFonts w:ascii="Times New Roman" w:hAnsi="Times New Roman" w:eastAsia="Times New Roman" w:cs="Times New Roman"/>
          <w:i/>
          <w:iCs/>
          <w:spacing w:val="-56"/>
          <w:sz w:val="24"/>
          <w:szCs w:val="24"/>
        </w:rPr>
        <w:t xml:space="preserve"> </w:t>
      </w:r>
      <w:r>
        <w:rPr>
          <w:rFonts w:ascii="Times New Roman" w:hAnsi="Times New Roman" w:eastAsia="Times New Roman" w:cs="Times New Roman"/>
          <w:i/>
          <w:iCs/>
          <w:spacing w:val="-3"/>
          <w:sz w:val="24"/>
          <w:szCs w:val="24"/>
        </w:rPr>
        <w:t>fortuneana</w:t>
      </w:r>
      <w:r>
        <w:rPr>
          <w:rFonts w:ascii="宋体" w:hAnsi="宋体" w:eastAsia="宋体" w:cs="宋体"/>
          <w:spacing w:val="-3"/>
          <w:sz w:val="24"/>
          <w:szCs w:val="24"/>
        </w:rPr>
        <w:t>、长尖叶蔷薇</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Rosa longicuspi</w:t>
      </w:r>
      <w:r>
        <w:rPr>
          <w:rFonts w:ascii="Times New Roman" w:hAnsi="Times New Roman" w:eastAsia="Times New Roman" w:cs="Times New Roman"/>
          <w:i/>
          <w:iCs/>
          <w:spacing w:val="-4"/>
          <w:sz w:val="24"/>
          <w:szCs w:val="24"/>
        </w:rPr>
        <w:t>s</w:t>
      </w:r>
      <w:r>
        <w:rPr>
          <w:rFonts w:ascii="Times New Roman" w:hAnsi="Times New Roman" w:eastAsia="Times New Roman" w:cs="Times New Roman"/>
          <w:i/>
          <w:iCs/>
          <w:spacing w:val="-34"/>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1"/>
          <w:sz w:val="24"/>
          <w:szCs w:val="24"/>
        </w:rPr>
        <w:t>马桑</w:t>
      </w:r>
      <w:r>
        <w:rPr>
          <w:rFonts w:ascii="宋体" w:hAnsi="宋体" w:eastAsia="宋体" w:cs="宋体"/>
          <w:spacing w:val="-51"/>
          <w:sz w:val="24"/>
          <w:szCs w:val="24"/>
        </w:rPr>
        <w:t xml:space="preserve"> </w:t>
      </w:r>
      <w:r>
        <w:rPr>
          <w:rFonts w:ascii="Times New Roman" w:hAnsi="Times New Roman" w:eastAsia="Times New Roman" w:cs="Times New Roman"/>
          <w:i/>
          <w:iCs/>
          <w:spacing w:val="-1"/>
          <w:sz w:val="24"/>
          <w:szCs w:val="24"/>
        </w:rPr>
        <w:t>Coriaria nepalensis</w:t>
      </w:r>
      <w:r>
        <w:rPr>
          <w:rFonts w:ascii="宋体" w:hAnsi="宋体" w:eastAsia="宋体" w:cs="宋体"/>
          <w:spacing w:val="-1"/>
          <w:sz w:val="24"/>
          <w:szCs w:val="24"/>
        </w:rPr>
        <w:t>、粉叶小檗</w:t>
      </w:r>
      <w:r>
        <w:rPr>
          <w:rFonts w:ascii="Times New Roman" w:hAnsi="Times New Roman" w:eastAsia="Times New Roman" w:cs="Times New Roman"/>
          <w:i/>
          <w:iCs/>
          <w:spacing w:val="-1"/>
          <w:sz w:val="24"/>
          <w:szCs w:val="24"/>
        </w:rPr>
        <w:t>Berberi</w:t>
      </w:r>
      <w:r>
        <w:rPr>
          <w:rFonts w:ascii="Times New Roman" w:hAnsi="Times New Roman" w:eastAsia="Times New Roman" w:cs="Times New Roman"/>
          <w:i/>
          <w:iCs/>
          <w:spacing w:val="-2"/>
          <w:sz w:val="24"/>
          <w:szCs w:val="24"/>
        </w:rPr>
        <w:t>s</w:t>
      </w:r>
      <w:r>
        <w:rPr>
          <w:rFonts w:ascii="Times New Roman" w:hAnsi="Times New Roman" w:eastAsia="Times New Roman" w:cs="Times New Roman"/>
          <w:i/>
          <w:iCs/>
          <w:spacing w:val="-42"/>
          <w:sz w:val="24"/>
          <w:szCs w:val="24"/>
        </w:rPr>
        <w:t xml:space="preserve"> </w:t>
      </w:r>
      <w:r>
        <w:rPr>
          <w:rFonts w:ascii="Times New Roman" w:hAnsi="Times New Roman" w:eastAsia="Times New Roman" w:cs="Times New Roman"/>
          <w:i/>
          <w:iCs/>
          <w:spacing w:val="-2"/>
          <w:sz w:val="24"/>
          <w:szCs w:val="24"/>
        </w:rPr>
        <w:t>pruinosa</w:t>
      </w:r>
      <w:r>
        <w:rPr>
          <w:rFonts w:ascii="宋体" w:hAnsi="宋体" w:eastAsia="宋体" w:cs="宋体"/>
          <w:spacing w:val="-2"/>
          <w:sz w:val="24"/>
          <w:szCs w:val="24"/>
        </w:rPr>
        <w:t>、美丽马醉木</w:t>
      </w:r>
      <w:r>
        <w:rPr>
          <w:rFonts w:ascii="Times New Roman" w:hAnsi="Times New Roman" w:eastAsia="Times New Roman" w:cs="Times New Roman"/>
          <w:i/>
          <w:iCs/>
          <w:spacing w:val="-2"/>
          <w:sz w:val="24"/>
          <w:szCs w:val="24"/>
        </w:rPr>
        <w:t>Pieris</w:t>
      </w:r>
      <w:r>
        <w:rPr>
          <w:rFonts w:ascii="Times New Roman" w:hAnsi="Times New Roman" w:eastAsia="Times New Roman" w:cs="Times New Roman"/>
          <w:i/>
          <w:iCs/>
          <w:spacing w:val="-57"/>
          <w:sz w:val="24"/>
          <w:szCs w:val="24"/>
        </w:rPr>
        <w:t xml:space="preserve"> </w:t>
      </w:r>
      <w:r>
        <w:rPr>
          <w:rFonts w:ascii="Times New Roman" w:hAnsi="Times New Roman" w:eastAsia="Times New Roman" w:cs="Times New Roman"/>
          <w:i/>
          <w:iCs/>
          <w:spacing w:val="-2"/>
          <w:sz w:val="24"/>
          <w:szCs w:val="24"/>
        </w:rPr>
        <w:t>formosa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5"/>
          <w:sz w:val="24"/>
          <w:szCs w:val="24"/>
        </w:rPr>
        <w:t>胡颓子</w:t>
      </w:r>
      <w:r>
        <w:rPr>
          <w:rFonts w:ascii="宋体" w:hAnsi="宋体" w:eastAsia="宋体" w:cs="宋体"/>
          <w:spacing w:val="-55"/>
          <w:sz w:val="24"/>
          <w:szCs w:val="24"/>
        </w:rPr>
        <w:t xml:space="preserve"> </w:t>
      </w:r>
      <w:r>
        <w:rPr>
          <w:rFonts w:ascii="Times New Roman" w:hAnsi="Times New Roman" w:eastAsia="Times New Roman" w:cs="Times New Roman"/>
          <w:i/>
          <w:iCs/>
          <w:sz w:val="24"/>
          <w:szCs w:val="24"/>
        </w:rPr>
        <w:t>Elaeagnuspungens</w:t>
      </w:r>
      <w:r>
        <w:rPr>
          <w:rFonts w:ascii="宋体" w:hAnsi="宋体" w:eastAsia="宋体" w:cs="宋体"/>
          <w:spacing w:val="5"/>
          <w:sz w:val="24"/>
          <w:szCs w:val="24"/>
        </w:rPr>
        <w:t>、余甘子</w:t>
      </w:r>
      <w:r>
        <w:rPr>
          <w:rFonts w:ascii="宋体" w:hAnsi="宋体" w:eastAsia="宋体" w:cs="宋体"/>
          <w:spacing w:val="-49"/>
          <w:sz w:val="24"/>
          <w:szCs w:val="24"/>
        </w:rPr>
        <w:t xml:space="preserve"> </w:t>
      </w:r>
      <w:r>
        <w:rPr>
          <w:rFonts w:ascii="Times New Roman" w:hAnsi="Times New Roman" w:eastAsia="Times New Roman" w:cs="Times New Roman"/>
          <w:i/>
          <w:iCs/>
          <w:sz w:val="24"/>
          <w:szCs w:val="24"/>
        </w:rPr>
        <w:t>Phyllanthus</w:t>
      </w:r>
      <w:r>
        <w:rPr>
          <w:rFonts w:ascii="Times New Roman" w:hAnsi="Times New Roman" w:eastAsia="Times New Roman" w:cs="Times New Roman"/>
          <w:i/>
          <w:iCs/>
          <w:spacing w:val="37"/>
          <w:w w:val="101"/>
          <w:sz w:val="24"/>
          <w:szCs w:val="24"/>
        </w:rPr>
        <w:t xml:space="preserve"> </w:t>
      </w:r>
      <w:r>
        <w:rPr>
          <w:rFonts w:ascii="Times New Roman" w:hAnsi="Times New Roman" w:eastAsia="Times New Roman" w:cs="Times New Roman"/>
          <w:i/>
          <w:iCs/>
          <w:sz w:val="24"/>
          <w:szCs w:val="24"/>
        </w:rPr>
        <w:t>emblica</w:t>
      </w:r>
      <w:r>
        <w:rPr>
          <w:rFonts w:ascii="宋体" w:hAnsi="宋体" w:eastAsia="宋体" w:cs="宋体"/>
          <w:spacing w:val="5"/>
          <w:sz w:val="24"/>
          <w:szCs w:val="24"/>
        </w:rPr>
        <w:t>、牛筋条</w:t>
      </w:r>
      <w:r>
        <w:rPr>
          <w:rFonts w:ascii="宋体" w:hAnsi="宋体" w:eastAsia="宋体" w:cs="宋体"/>
          <w:spacing w:val="-52"/>
          <w:sz w:val="24"/>
          <w:szCs w:val="24"/>
        </w:rPr>
        <w:t xml:space="preserve"> </w:t>
      </w:r>
      <w:r>
        <w:rPr>
          <w:rFonts w:ascii="Times New Roman" w:hAnsi="Times New Roman" w:eastAsia="Times New Roman" w:cs="Times New Roman"/>
          <w:i/>
          <w:iCs/>
          <w:sz w:val="24"/>
          <w:szCs w:val="24"/>
        </w:rPr>
        <w:t>Dichotomanthes</w:t>
      </w:r>
      <w:r>
        <w:rPr>
          <w:rFonts w:ascii="Times New Roman" w:hAnsi="Times New Roman" w:eastAsia="Times New Roman" w:cs="Times New Roman"/>
          <w:i/>
          <w:iCs/>
          <w:spacing w:val="5"/>
          <w:sz w:val="24"/>
          <w:szCs w:val="24"/>
        </w:rPr>
        <w:t xml:space="preserve">  </w:t>
      </w:r>
      <w:r>
        <w:rPr>
          <w:rFonts w:ascii="Times New Roman" w:hAnsi="Times New Roman" w:eastAsia="Times New Roman" w:cs="Times New Roman"/>
          <w:i/>
          <w:iCs/>
          <w:spacing w:val="-2"/>
          <w:sz w:val="24"/>
          <w:szCs w:val="24"/>
        </w:rPr>
        <w:t>tristaniicarpa</w:t>
      </w:r>
      <w:r>
        <w:rPr>
          <w:rFonts w:ascii="宋体" w:hAnsi="宋体" w:eastAsia="宋体" w:cs="宋体"/>
          <w:spacing w:val="-2"/>
          <w:sz w:val="24"/>
          <w:szCs w:val="24"/>
        </w:rPr>
        <w:t>、野拔子</w:t>
      </w:r>
      <w:r>
        <w:rPr>
          <w:rFonts w:ascii="宋体" w:hAnsi="宋体" w:eastAsia="宋体" w:cs="宋体"/>
          <w:spacing w:val="-59"/>
          <w:sz w:val="24"/>
          <w:szCs w:val="24"/>
        </w:rPr>
        <w:t xml:space="preserve"> </w:t>
      </w:r>
      <w:r>
        <w:rPr>
          <w:rFonts w:ascii="Times New Roman" w:hAnsi="Times New Roman" w:eastAsia="Times New Roman" w:cs="Times New Roman"/>
          <w:i/>
          <w:iCs/>
          <w:spacing w:val="-2"/>
          <w:sz w:val="24"/>
          <w:szCs w:val="24"/>
        </w:rPr>
        <w:t>Elsholtzia rugulosa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、杭子梢</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Campylotropis</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pacing w:val="-2"/>
          <w:sz w:val="24"/>
          <w:szCs w:val="24"/>
        </w:rPr>
        <w:t>macrocarpa</w:t>
      </w:r>
      <w:r>
        <w:rPr>
          <w:rFonts w:ascii="Times New Roman" w:hAnsi="Times New Roman" w:eastAsia="Times New Roman" w:cs="Times New Roman"/>
          <w:i/>
          <w:iCs/>
          <w:spacing w:val="-32"/>
          <w:sz w:val="24"/>
          <w:szCs w:val="24"/>
        </w:rPr>
        <w:t xml:space="preserve"> </w:t>
      </w:r>
      <w:r>
        <w:rPr>
          <w:rFonts w:ascii="宋体" w:hAnsi="宋体" w:eastAsia="宋体" w:cs="宋体"/>
          <w:spacing w:val="-2"/>
          <w:sz w:val="24"/>
          <w:szCs w:val="24"/>
        </w:rPr>
        <w:t xml:space="preserve">、珍 </w:t>
      </w:r>
      <w:r>
        <w:rPr>
          <w:rFonts w:ascii="宋体" w:hAnsi="宋体" w:eastAsia="宋体" w:cs="宋体"/>
          <w:spacing w:val="-3"/>
          <w:sz w:val="24"/>
          <w:szCs w:val="24"/>
        </w:rPr>
        <w:t>珠花</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Lyonia ovalifolia</w:t>
      </w:r>
      <w:r>
        <w:rPr>
          <w:rFonts w:ascii="宋体" w:hAnsi="宋体" w:eastAsia="宋体" w:cs="宋体"/>
          <w:spacing w:val="-3"/>
          <w:sz w:val="24"/>
          <w:szCs w:val="24"/>
        </w:rPr>
        <w:t>、水红木</w:t>
      </w:r>
      <w:r>
        <w:rPr>
          <w:rFonts w:ascii="宋体" w:hAnsi="宋体" w:eastAsia="宋体" w:cs="宋体"/>
          <w:spacing w:val="-30"/>
          <w:sz w:val="24"/>
          <w:szCs w:val="24"/>
        </w:rPr>
        <w:t xml:space="preserve"> </w:t>
      </w:r>
      <w:r>
        <w:rPr>
          <w:rFonts w:ascii="Times New Roman" w:hAnsi="Times New Roman" w:eastAsia="Times New Roman" w:cs="Times New Roman"/>
          <w:i/>
          <w:iCs/>
          <w:spacing w:val="-3"/>
          <w:sz w:val="24"/>
          <w:szCs w:val="24"/>
        </w:rPr>
        <w:t>Viburnum cylindricum</w:t>
      </w:r>
      <w:r>
        <w:rPr>
          <w:rFonts w:ascii="宋体" w:hAnsi="宋体" w:eastAsia="宋体" w:cs="宋体"/>
          <w:spacing w:val="-3"/>
          <w:sz w:val="24"/>
          <w:szCs w:val="24"/>
        </w:rPr>
        <w:t>、走马胎</w:t>
      </w:r>
      <w:r>
        <w:rPr>
          <w:rFonts w:ascii="宋体" w:hAnsi="宋体" w:eastAsia="宋体" w:cs="宋体"/>
          <w:spacing w:val="-71"/>
          <w:sz w:val="24"/>
          <w:szCs w:val="24"/>
        </w:rPr>
        <w:t xml:space="preserve"> </w:t>
      </w:r>
      <w:r>
        <w:rPr>
          <w:rFonts w:ascii="Times New Roman" w:hAnsi="Times New Roman" w:eastAsia="Times New Roman" w:cs="Times New Roman"/>
          <w:i/>
          <w:iCs/>
          <w:spacing w:val="-3"/>
          <w:sz w:val="24"/>
          <w:szCs w:val="24"/>
        </w:rPr>
        <w:t>Ardisia</w:t>
      </w:r>
      <w:r>
        <w:rPr>
          <w:rFonts w:ascii="Times New Roman" w:hAnsi="Times New Roman" w:eastAsia="Times New Roman" w:cs="Times New Roman"/>
          <w:i/>
          <w:iCs/>
          <w:spacing w:val="-21"/>
          <w:sz w:val="24"/>
          <w:szCs w:val="24"/>
        </w:rPr>
        <w:t xml:space="preserve"> </w:t>
      </w:r>
      <w:r>
        <w:rPr>
          <w:rFonts w:ascii="Times New Roman" w:hAnsi="Times New Roman" w:eastAsia="Times New Roman" w:cs="Times New Roman"/>
          <w:i/>
          <w:iCs/>
          <w:spacing w:val="-3"/>
          <w:sz w:val="24"/>
          <w:szCs w:val="24"/>
        </w:rPr>
        <w:t>gigantifolia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 xml:space="preserve">小 雀 花  </w:t>
      </w:r>
      <w:r>
        <w:rPr>
          <w:rFonts w:ascii="Times New Roman" w:hAnsi="Times New Roman" w:eastAsia="Times New Roman" w:cs="Times New Roman"/>
          <w:i/>
          <w:iCs/>
          <w:spacing w:val="-1"/>
          <w:sz w:val="24"/>
          <w:szCs w:val="24"/>
        </w:rPr>
        <w:t>Campylotropis   po</w:t>
      </w:r>
      <w:r>
        <w:rPr>
          <w:rFonts w:ascii="Times New Roman" w:hAnsi="Times New Roman" w:eastAsia="Times New Roman" w:cs="Times New Roman"/>
          <w:i/>
          <w:iCs/>
          <w:spacing w:val="-2"/>
          <w:sz w:val="24"/>
          <w:szCs w:val="24"/>
        </w:rPr>
        <w:t xml:space="preserve">lyantha  </w:t>
      </w:r>
      <w:r>
        <w:rPr>
          <w:rFonts w:ascii="宋体" w:hAnsi="宋体" w:eastAsia="宋体" w:cs="宋体"/>
          <w:spacing w:val="-2"/>
          <w:sz w:val="24"/>
          <w:szCs w:val="24"/>
        </w:rPr>
        <w:t xml:space="preserve">、 车 桑 子  </w:t>
      </w:r>
      <w:r>
        <w:rPr>
          <w:rFonts w:ascii="Times New Roman" w:hAnsi="Times New Roman" w:eastAsia="Times New Roman" w:cs="Times New Roman"/>
          <w:i/>
          <w:iCs/>
          <w:spacing w:val="-2"/>
          <w:sz w:val="24"/>
          <w:szCs w:val="24"/>
        </w:rPr>
        <w:t xml:space="preserve">Dodonaea   viscosa  </w:t>
      </w:r>
      <w:r>
        <w:rPr>
          <w:rFonts w:ascii="宋体" w:hAnsi="宋体" w:eastAsia="宋体" w:cs="宋体"/>
          <w:spacing w:val="-2"/>
          <w:sz w:val="24"/>
          <w:szCs w:val="24"/>
        </w:rPr>
        <w:t xml:space="preserve">、 沙 针 </w:t>
      </w:r>
      <w:r>
        <w:rPr>
          <w:rFonts w:ascii="Times New Roman" w:hAnsi="Times New Roman" w:eastAsia="Times New Roman" w:cs="Times New Roman"/>
          <w:i/>
          <w:iCs/>
          <w:spacing w:val="-1"/>
          <w:sz w:val="24"/>
          <w:szCs w:val="24"/>
        </w:rPr>
        <w:t>Osyris quadripartita</w:t>
      </w:r>
      <w:r>
        <w:rPr>
          <w:rFonts w:ascii="宋体" w:hAnsi="宋体" w:eastAsia="宋体" w:cs="宋体"/>
          <w:spacing w:val="-1"/>
          <w:sz w:val="24"/>
          <w:szCs w:val="24"/>
        </w:rPr>
        <w:t>、长波叶山蚂蝗</w:t>
      </w:r>
      <w:r>
        <w:rPr>
          <w:rFonts w:ascii="宋体" w:hAnsi="宋体" w:eastAsia="宋体" w:cs="宋体"/>
          <w:spacing w:val="-15"/>
          <w:sz w:val="24"/>
          <w:szCs w:val="24"/>
        </w:rPr>
        <w:t xml:space="preserve"> </w:t>
      </w:r>
      <w:r>
        <w:rPr>
          <w:rFonts w:ascii="Times New Roman" w:hAnsi="Times New Roman" w:eastAsia="Times New Roman" w:cs="Times New Roman"/>
          <w:i/>
          <w:iCs/>
          <w:spacing w:val="-1"/>
          <w:sz w:val="24"/>
          <w:szCs w:val="24"/>
        </w:rPr>
        <w:t>Desmodium sequax</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、云南杨梅</w:t>
      </w:r>
      <w:r>
        <w:rPr>
          <w:rFonts w:ascii="宋体" w:hAnsi="宋体" w:eastAsia="宋体" w:cs="宋体"/>
          <w:spacing w:val="-33"/>
          <w:sz w:val="24"/>
          <w:szCs w:val="24"/>
        </w:rPr>
        <w:t xml:space="preserve"> </w:t>
      </w:r>
      <w:r>
        <w:rPr>
          <w:rFonts w:ascii="Times New Roman" w:hAnsi="Times New Roman" w:eastAsia="Times New Roman" w:cs="Times New Roman"/>
          <w:i/>
          <w:iCs/>
          <w:spacing w:val="-1"/>
          <w:sz w:val="24"/>
          <w:szCs w:val="24"/>
        </w:rPr>
        <w:t>Myrica</w:t>
      </w:r>
      <w:r>
        <w:rPr>
          <w:rFonts w:ascii="Times New Roman" w:hAnsi="Times New Roman" w:eastAsia="Times New Roman" w:cs="Times New Roman"/>
          <w:i/>
          <w:iCs/>
          <w:spacing w:val="33"/>
          <w:w w:val="101"/>
          <w:sz w:val="24"/>
          <w:szCs w:val="24"/>
        </w:rPr>
        <w:t xml:space="preserve"> </w:t>
      </w:r>
      <w:r>
        <w:rPr>
          <w:rFonts w:ascii="Times New Roman" w:hAnsi="Times New Roman" w:eastAsia="Times New Roman" w:cs="Times New Roman"/>
          <w:i/>
          <w:iCs/>
          <w:spacing w:val="-1"/>
          <w:sz w:val="24"/>
          <w:szCs w:val="24"/>
        </w:rPr>
        <w:t>nana</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2"/>
          <w:sz w:val="24"/>
          <w:szCs w:val="24"/>
        </w:rPr>
        <w:t>铁仔</w:t>
      </w:r>
      <w:r>
        <w:rPr>
          <w:rFonts w:ascii="宋体" w:hAnsi="宋体" w:eastAsia="宋体" w:cs="宋体"/>
          <w:spacing w:val="-68"/>
          <w:sz w:val="24"/>
          <w:szCs w:val="24"/>
        </w:rPr>
        <w:t xml:space="preserve"> </w:t>
      </w:r>
      <w:r>
        <w:rPr>
          <w:rFonts w:ascii="Times New Roman" w:hAnsi="Times New Roman" w:eastAsia="Times New Roman" w:cs="Times New Roman"/>
          <w:i/>
          <w:iCs/>
          <w:spacing w:val="-2"/>
          <w:sz w:val="24"/>
          <w:szCs w:val="24"/>
        </w:rPr>
        <w:t>Myrsine africana</w:t>
      </w:r>
      <w:r>
        <w:rPr>
          <w:rFonts w:ascii="宋体" w:hAnsi="宋体" w:eastAsia="宋体" w:cs="宋体"/>
          <w:spacing w:val="-2"/>
          <w:sz w:val="24"/>
          <w:szCs w:val="24"/>
        </w:rPr>
        <w:t>、云上杜鹃</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R</w:t>
      </w:r>
      <w:r>
        <w:rPr>
          <w:rFonts w:ascii="Times New Roman" w:hAnsi="Times New Roman" w:eastAsia="Times New Roman" w:cs="Times New Roman"/>
          <w:i/>
          <w:iCs/>
          <w:spacing w:val="-3"/>
          <w:sz w:val="24"/>
          <w:szCs w:val="24"/>
        </w:rPr>
        <w:t>hododendron</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pacing w:val="-3"/>
          <w:sz w:val="24"/>
          <w:szCs w:val="24"/>
        </w:rPr>
        <w:t>pachypodum</w:t>
      </w:r>
      <w:r>
        <w:rPr>
          <w:rFonts w:ascii="宋体" w:hAnsi="宋体" w:eastAsia="宋体" w:cs="宋体"/>
          <w:spacing w:val="-3"/>
          <w:sz w:val="24"/>
          <w:szCs w:val="24"/>
        </w:rPr>
        <w:t>、厚皮香</w:t>
      </w:r>
      <w:r>
        <w:rPr>
          <w:rFonts w:ascii="宋体" w:hAnsi="宋体" w:eastAsia="宋体" w:cs="宋体"/>
          <w:spacing w:val="-42"/>
          <w:sz w:val="24"/>
          <w:szCs w:val="24"/>
        </w:rPr>
        <w:t xml:space="preserve"> </w:t>
      </w:r>
      <w:r>
        <w:rPr>
          <w:rFonts w:ascii="Times New Roman" w:hAnsi="Times New Roman" w:eastAsia="Times New Roman" w:cs="Times New Roman"/>
          <w:i/>
          <w:iCs/>
          <w:spacing w:val="-3"/>
          <w:sz w:val="24"/>
          <w:szCs w:val="24"/>
        </w:rPr>
        <w:t xml:space="preserve">Ternstroemia  </w:t>
      </w:r>
      <w:r>
        <w:rPr>
          <w:rFonts w:ascii="Times New Roman" w:hAnsi="Times New Roman" w:eastAsia="Times New Roman" w:cs="Times New Roman"/>
          <w:i/>
          <w:iCs/>
          <w:sz w:val="24"/>
          <w:szCs w:val="24"/>
        </w:rPr>
        <w:t>gymnanthera</w:t>
      </w:r>
      <w:r>
        <w:rPr>
          <w:rFonts w:ascii="Times New Roman" w:hAnsi="Times New Roman" w:eastAsia="Times New Roman" w:cs="Times New Roman"/>
          <w:i/>
          <w:iCs/>
          <w:spacing w:val="6"/>
          <w:sz w:val="24"/>
          <w:szCs w:val="24"/>
        </w:rPr>
        <w:t xml:space="preserve"> </w:t>
      </w:r>
      <w:r>
        <w:rPr>
          <w:rFonts w:ascii="宋体" w:hAnsi="宋体" w:eastAsia="宋体" w:cs="宋体"/>
          <w:spacing w:val="6"/>
          <w:sz w:val="24"/>
          <w:szCs w:val="24"/>
        </w:rPr>
        <w:t xml:space="preserve">、铁仔 </w:t>
      </w:r>
      <w:r>
        <w:rPr>
          <w:rFonts w:ascii="Times New Roman" w:hAnsi="Times New Roman" w:eastAsia="Times New Roman" w:cs="Times New Roman"/>
          <w:i/>
          <w:iCs/>
          <w:sz w:val="24"/>
          <w:szCs w:val="24"/>
        </w:rPr>
        <w:t>Myrsine</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sz w:val="24"/>
          <w:szCs w:val="24"/>
        </w:rPr>
        <w:t>africana</w:t>
      </w:r>
      <w:r>
        <w:rPr>
          <w:rFonts w:ascii="Times New Roman" w:hAnsi="Times New Roman" w:eastAsia="Times New Roman" w:cs="Times New Roman"/>
          <w:i/>
          <w:iCs/>
          <w:spacing w:val="6"/>
          <w:sz w:val="24"/>
          <w:szCs w:val="24"/>
        </w:rPr>
        <w:t xml:space="preserve"> </w:t>
      </w:r>
      <w:r>
        <w:rPr>
          <w:rFonts w:ascii="宋体" w:hAnsi="宋体" w:eastAsia="宋体" w:cs="宋体"/>
          <w:spacing w:val="6"/>
          <w:sz w:val="24"/>
          <w:szCs w:val="24"/>
        </w:rPr>
        <w:t>、</w:t>
      </w:r>
      <w:r>
        <w:rPr>
          <w:rFonts w:ascii="宋体" w:hAnsi="宋体" w:eastAsia="宋体" w:cs="宋体"/>
          <w:spacing w:val="-34"/>
          <w:sz w:val="24"/>
          <w:szCs w:val="24"/>
        </w:rPr>
        <w:t xml:space="preserve"> </w:t>
      </w:r>
      <w:r>
        <w:rPr>
          <w:rFonts w:ascii="宋体" w:hAnsi="宋体" w:eastAsia="宋体" w:cs="宋体"/>
          <w:spacing w:val="6"/>
          <w:sz w:val="24"/>
          <w:szCs w:val="24"/>
        </w:rPr>
        <w:t xml:space="preserve">白背枫 </w:t>
      </w:r>
      <w:r>
        <w:rPr>
          <w:rFonts w:ascii="Times New Roman" w:hAnsi="Times New Roman" w:eastAsia="Times New Roman" w:cs="Times New Roman"/>
          <w:i/>
          <w:iCs/>
          <w:sz w:val="24"/>
          <w:szCs w:val="24"/>
        </w:rPr>
        <w:t>Buddleja</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sz w:val="24"/>
          <w:szCs w:val="24"/>
        </w:rPr>
        <w:t>asiatica</w:t>
      </w:r>
      <w:r>
        <w:rPr>
          <w:rFonts w:ascii="Times New Roman" w:hAnsi="Times New Roman" w:eastAsia="Times New Roman" w:cs="Times New Roman"/>
          <w:i/>
          <w:iCs/>
          <w:spacing w:val="6"/>
          <w:sz w:val="24"/>
          <w:szCs w:val="24"/>
        </w:rPr>
        <w:t xml:space="preserve"> </w:t>
      </w:r>
      <w:r>
        <w:rPr>
          <w:rFonts w:ascii="宋体" w:hAnsi="宋体" w:eastAsia="宋体" w:cs="宋体"/>
          <w:spacing w:val="6"/>
          <w:sz w:val="24"/>
          <w:szCs w:val="24"/>
        </w:rPr>
        <w:t>、</w:t>
      </w:r>
      <w:r>
        <w:rPr>
          <w:rFonts w:ascii="宋体" w:hAnsi="宋体" w:eastAsia="宋体" w:cs="宋体"/>
          <w:spacing w:val="-71"/>
          <w:sz w:val="24"/>
          <w:szCs w:val="24"/>
        </w:rPr>
        <w:t xml:space="preserve"> </w:t>
      </w:r>
      <w:r>
        <w:rPr>
          <w:rFonts w:ascii="宋体" w:hAnsi="宋体" w:eastAsia="宋体" w:cs="宋体"/>
          <w:spacing w:val="6"/>
          <w:sz w:val="24"/>
          <w:szCs w:val="24"/>
        </w:rPr>
        <w:t xml:space="preserve">西南栒子 </w:t>
      </w:r>
      <w:r>
        <w:rPr>
          <w:rFonts w:ascii="Times New Roman" w:hAnsi="Times New Roman" w:eastAsia="Times New Roman" w:cs="Times New Roman"/>
          <w:i/>
          <w:iCs/>
          <w:sz w:val="24"/>
          <w:szCs w:val="24"/>
        </w:rPr>
        <w:t>Cotoneaster</w:t>
      </w:r>
      <w:r>
        <w:rPr>
          <w:rFonts w:ascii="Times New Roman" w:hAnsi="Times New Roman" w:eastAsia="Times New Roman" w:cs="Times New Roman"/>
          <w:i/>
          <w:iCs/>
          <w:spacing w:val="-22"/>
          <w:sz w:val="24"/>
          <w:szCs w:val="24"/>
        </w:rPr>
        <w:t xml:space="preserve"> </w:t>
      </w:r>
      <w:r>
        <w:rPr>
          <w:rFonts w:ascii="Times New Roman" w:hAnsi="Times New Roman" w:eastAsia="Times New Roman" w:cs="Times New Roman"/>
          <w:i/>
          <w:iCs/>
          <w:sz w:val="24"/>
          <w:szCs w:val="24"/>
        </w:rPr>
        <w:t>franchetii</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、小叶女贞</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Ligustru</w:t>
      </w:r>
      <w:r>
        <w:rPr>
          <w:rFonts w:ascii="Times New Roman" w:hAnsi="Times New Roman" w:eastAsia="Times New Roman" w:cs="Times New Roman"/>
          <w:i/>
          <w:iCs/>
          <w:spacing w:val="-1"/>
          <w:sz w:val="24"/>
          <w:szCs w:val="24"/>
        </w:rPr>
        <w:t>m</w:t>
      </w:r>
      <w:r>
        <w:rPr>
          <w:rFonts w:ascii="Times New Roman" w:hAnsi="Times New Roman" w:eastAsia="Times New Roman" w:cs="Times New Roman"/>
          <w:i/>
          <w:iCs/>
          <w:spacing w:val="28"/>
          <w:w w:val="101"/>
          <w:sz w:val="24"/>
          <w:szCs w:val="24"/>
        </w:rPr>
        <w:t xml:space="preserve"> </w:t>
      </w:r>
      <w:r>
        <w:rPr>
          <w:rFonts w:ascii="Times New Roman" w:hAnsi="Times New Roman" w:eastAsia="Times New Roman" w:cs="Times New Roman"/>
          <w:i/>
          <w:iCs/>
          <w:spacing w:val="-1"/>
          <w:sz w:val="24"/>
          <w:szCs w:val="24"/>
        </w:rPr>
        <w:t>quihoui</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、密蒙花</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Buddleja</w:t>
      </w:r>
      <w:r>
        <w:rPr>
          <w:rFonts w:ascii="Times New Roman" w:hAnsi="Times New Roman" w:eastAsia="Times New Roman" w:cs="Times New Roman"/>
          <w:i/>
          <w:iCs/>
          <w:spacing w:val="31"/>
          <w:sz w:val="24"/>
          <w:szCs w:val="24"/>
        </w:rPr>
        <w:t xml:space="preserve"> </w:t>
      </w:r>
      <w:r>
        <w:rPr>
          <w:rFonts w:ascii="Times New Roman" w:hAnsi="Times New Roman" w:eastAsia="Times New Roman" w:cs="Times New Roman"/>
          <w:i/>
          <w:iCs/>
          <w:spacing w:val="-1"/>
          <w:sz w:val="24"/>
          <w:szCs w:val="24"/>
        </w:rPr>
        <w:t>officinalis</w:t>
      </w:r>
      <w:r>
        <w:rPr>
          <w:rFonts w:ascii="宋体" w:hAnsi="宋体" w:eastAsia="宋体" w:cs="宋体"/>
          <w:spacing w:val="-1"/>
          <w:sz w:val="24"/>
          <w:szCs w:val="24"/>
        </w:rPr>
        <w:t>、</w:t>
      </w:r>
      <w:r>
        <w:rPr>
          <w:rFonts w:ascii="宋体" w:hAnsi="宋体" w:eastAsia="宋体" w:cs="宋体"/>
          <w:sz w:val="24"/>
          <w:szCs w:val="24"/>
        </w:rPr>
        <w:t xml:space="preserve"> 腺毛木蓝</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Indigofera scabrida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、扁核木</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Prinsepia utili</w:t>
      </w:r>
      <w:r>
        <w:rPr>
          <w:rFonts w:ascii="Times New Roman" w:hAnsi="Times New Roman" w:eastAsia="Times New Roman" w:cs="Times New Roman"/>
          <w:i/>
          <w:iCs/>
          <w:spacing w:val="-1"/>
          <w:sz w:val="24"/>
          <w:szCs w:val="24"/>
        </w:rPr>
        <w:t>s</w:t>
      </w:r>
      <w:r>
        <w:rPr>
          <w:rFonts w:ascii="宋体" w:hAnsi="宋体" w:eastAsia="宋体" w:cs="宋体"/>
          <w:spacing w:val="-1"/>
          <w:sz w:val="24"/>
          <w:szCs w:val="24"/>
        </w:rPr>
        <w:t>、乌鸦果</w:t>
      </w:r>
      <w:r>
        <w:rPr>
          <w:rFonts w:ascii="宋体" w:hAnsi="宋体" w:eastAsia="宋体" w:cs="宋体"/>
          <w:spacing w:val="-30"/>
          <w:sz w:val="24"/>
          <w:szCs w:val="24"/>
        </w:rPr>
        <w:t xml:space="preserve"> </w:t>
      </w:r>
      <w:r>
        <w:rPr>
          <w:rFonts w:ascii="Times New Roman" w:hAnsi="Times New Roman" w:eastAsia="Times New Roman" w:cs="Times New Roman"/>
          <w:i/>
          <w:iCs/>
          <w:spacing w:val="-1"/>
          <w:sz w:val="24"/>
          <w:szCs w:val="24"/>
        </w:rPr>
        <w:t>Vaccinium</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pacing w:val="-1"/>
          <w:sz w:val="24"/>
          <w:szCs w:val="24"/>
        </w:rPr>
        <w:t>fragile</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4"/>
          <w:sz w:val="24"/>
          <w:szCs w:val="24"/>
        </w:rPr>
        <w:t>川滇金丝桃</w:t>
      </w:r>
      <w:r>
        <w:rPr>
          <w:rFonts w:ascii="宋体" w:hAnsi="宋体" w:eastAsia="宋体" w:cs="宋体"/>
          <w:spacing w:val="-48"/>
          <w:sz w:val="24"/>
          <w:szCs w:val="24"/>
        </w:rPr>
        <w:t xml:space="preserve"> </w:t>
      </w:r>
      <w:r>
        <w:rPr>
          <w:rFonts w:ascii="Times New Roman" w:hAnsi="Times New Roman" w:eastAsia="Times New Roman" w:cs="Times New Roman"/>
          <w:i/>
          <w:iCs/>
          <w:spacing w:val="-4"/>
          <w:sz w:val="24"/>
          <w:szCs w:val="24"/>
        </w:rPr>
        <w:t>Hypericum</w:t>
      </w:r>
      <w:r>
        <w:rPr>
          <w:rFonts w:ascii="Times New Roman" w:hAnsi="Times New Roman" w:eastAsia="Times New Roman" w:cs="Times New Roman"/>
          <w:i/>
          <w:iCs/>
          <w:spacing w:val="-56"/>
          <w:sz w:val="24"/>
          <w:szCs w:val="24"/>
        </w:rPr>
        <w:t xml:space="preserve"> </w:t>
      </w:r>
      <w:r>
        <w:rPr>
          <w:rFonts w:ascii="Times New Roman" w:hAnsi="Times New Roman" w:eastAsia="Times New Roman" w:cs="Times New Roman"/>
          <w:i/>
          <w:iCs/>
          <w:spacing w:val="-4"/>
          <w:sz w:val="24"/>
          <w:szCs w:val="24"/>
        </w:rPr>
        <w:t>forrestii</w:t>
      </w:r>
      <w:r>
        <w:rPr>
          <w:rFonts w:ascii="宋体" w:hAnsi="宋体" w:eastAsia="宋体" w:cs="宋体"/>
          <w:spacing w:val="-4"/>
          <w:sz w:val="24"/>
          <w:szCs w:val="24"/>
        </w:rPr>
        <w:t>。此外，灌木层中也有一些乔木的幼树，</w:t>
      </w:r>
      <w:r>
        <w:rPr>
          <w:rFonts w:ascii="宋体" w:hAnsi="宋体" w:eastAsia="宋体" w:cs="宋体"/>
          <w:spacing w:val="-32"/>
          <w:sz w:val="24"/>
          <w:szCs w:val="24"/>
        </w:rPr>
        <w:t xml:space="preserve"> </w:t>
      </w:r>
      <w:r>
        <w:rPr>
          <w:rFonts w:ascii="宋体" w:hAnsi="宋体" w:eastAsia="宋体" w:cs="宋体"/>
          <w:spacing w:val="-4"/>
          <w:sz w:val="24"/>
          <w:szCs w:val="24"/>
        </w:rPr>
        <w:t xml:space="preserve">如锥连栎 </w:t>
      </w:r>
      <w:r>
        <w:rPr>
          <w:rFonts w:ascii="Times New Roman" w:hAnsi="Times New Roman" w:eastAsia="Times New Roman" w:cs="Times New Roman"/>
          <w:i/>
          <w:iCs/>
          <w:sz w:val="24"/>
          <w:szCs w:val="24"/>
        </w:rPr>
        <w:t>Quercus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franchetii</w:t>
      </w:r>
      <w:r>
        <w:rPr>
          <w:rFonts w:ascii="宋体" w:hAnsi="宋体" w:eastAsia="宋体" w:cs="宋体"/>
          <w:spacing w:val="10"/>
          <w:sz w:val="24"/>
          <w:szCs w:val="24"/>
        </w:rPr>
        <w:t xml:space="preserve">、光叶高山栎 </w:t>
      </w:r>
      <w:r>
        <w:rPr>
          <w:rFonts w:ascii="Times New Roman" w:hAnsi="Times New Roman" w:eastAsia="Times New Roman" w:cs="Times New Roman"/>
          <w:i/>
          <w:iCs/>
          <w:sz w:val="24"/>
          <w:szCs w:val="24"/>
        </w:rPr>
        <w:t>Quercus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rehderiana</w:t>
      </w:r>
      <w:r>
        <w:rPr>
          <w:rFonts w:ascii="Times New Roman" w:hAnsi="Times New Roman" w:eastAsia="Times New Roman" w:cs="Times New Roman"/>
          <w:i/>
          <w:iCs/>
          <w:spacing w:val="-1"/>
          <w:sz w:val="24"/>
          <w:szCs w:val="24"/>
        </w:rPr>
        <w:t xml:space="preserve"> </w:t>
      </w:r>
      <w:r>
        <w:rPr>
          <w:rFonts w:ascii="宋体" w:hAnsi="宋体" w:eastAsia="宋体" w:cs="宋体"/>
          <w:spacing w:val="10"/>
          <w:sz w:val="24"/>
          <w:szCs w:val="24"/>
        </w:rPr>
        <w:t>、滇青冈</w:t>
      </w:r>
      <w:r>
        <w:rPr>
          <w:rFonts w:ascii="宋体" w:hAnsi="宋体" w:eastAsia="宋体" w:cs="宋体"/>
          <w:spacing w:val="35"/>
          <w:sz w:val="24"/>
          <w:szCs w:val="24"/>
        </w:rPr>
        <w:t xml:space="preserve"> </w:t>
      </w:r>
      <w:r>
        <w:rPr>
          <w:rFonts w:ascii="Times New Roman" w:hAnsi="Times New Roman" w:eastAsia="Times New Roman" w:cs="Times New Roman"/>
          <w:i/>
          <w:iCs/>
          <w:sz w:val="24"/>
          <w:szCs w:val="24"/>
        </w:rPr>
        <w:t>Cyclobalanopsis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glaucoides</w:t>
      </w:r>
      <w:r>
        <w:rPr>
          <w:rFonts w:ascii="Times New Roman" w:hAnsi="Times New Roman" w:eastAsia="Times New Roman" w:cs="Times New Roman"/>
          <w:i/>
          <w:iCs/>
          <w:spacing w:val="3"/>
          <w:sz w:val="24"/>
          <w:szCs w:val="24"/>
        </w:rPr>
        <w:t xml:space="preserve"> </w:t>
      </w:r>
      <w:r>
        <w:rPr>
          <w:rFonts w:ascii="宋体" w:hAnsi="宋体" w:eastAsia="宋体" w:cs="宋体"/>
          <w:spacing w:val="3"/>
          <w:sz w:val="24"/>
          <w:szCs w:val="24"/>
        </w:rPr>
        <w:t>、云南松</w:t>
      </w:r>
      <w:r>
        <w:rPr>
          <w:rFonts w:ascii="宋体" w:hAnsi="宋体" w:eastAsia="宋体" w:cs="宋体"/>
          <w:spacing w:val="37"/>
          <w:sz w:val="24"/>
          <w:szCs w:val="24"/>
        </w:rPr>
        <w:t xml:space="preserve"> </w:t>
      </w:r>
      <w:r>
        <w:rPr>
          <w:rFonts w:ascii="Times New Roman" w:hAnsi="Times New Roman" w:eastAsia="Times New Roman" w:cs="Times New Roman"/>
          <w:i/>
          <w:iCs/>
          <w:sz w:val="24"/>
          <w:szCs w:val="24"/>
        </w:rPr>
        <w:t>Pinus</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3"/>
          <w:sz w:val="24"/>
          <w:szCs w:val="24"/>
        </w:rPr>
        <w:t xml:space="preserve"> </w:t>
      </w:r>
      <w:r>
        <w:rPr>
          <w:rFonts w:ascii="宋体" w:hAnsi="宋体" w:eastAsia="宋体" w:cs="宋体"/>
          <w:spacing w:val="3"/>
          <w:sz w:val="24"/>
          <w:szCs w:val="24"/>
        </w:rPr>
        <w:t>、</w:t>
      </w:r>
      <w:r>
        <w:rPr>
          <w:rFonts w:ascii="宋体" w:hAnsi="宋体" w:eastAsia="宋体" w:cs="宋体"/>
          <w:spacing w:val="-72"/>
          <w:sz w:val="24"/>
          <w:szCs w:val="24"/>
        </w:rPr>
        <w:t xml:space="preserve"> </w:t>
      </w:r>
      <w:r>
        <w:rPr>
          <w:rFonts w:ascii="宋体" w:hAnsi="宋体" w:eastAsia="宋体" w:cs="宋体"/>
          <w:spacing w:val="3"/>
          <w:sz w:val="24"/>
          <w:szCs w:val="24"/>
        </w:rPr>
        <w:t>高山锥</w:t>
      </w:r>
      <w:r>
        <w:rPr>
          <w:rFonts w:ascii="宋体" w:hAnsi="宋体" w:eastAsia="宋体" w:cs="宋体"/>
          <w:spacing w:val="46"/>
          <w:sz w:val="24"/>
          <w:szCs w:val="24"/>
        </w:rPr>
        <w:t xml:space="preserve"> </w:t>
      </w:r>
      <w:r>
        <w:rPr>
          <w:rFonts w:ascii="Times New Roman" w:hAnsi="Times New Roman" w:eastAsia="Times New Roman" w:cs="Times New Roman"/>
          <w:i/>
          <w:iCs/>
          <w:sz w:val="24"/>
          <w:szCs w:val="24"/>
        </w:rPr>
        <w:t>Castanopsis</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delavayi</w:t>
      </w:r>
      <w:r>
        <w:rPr>
          <w:rFonts w:ascii="Times New Roman" w:hAnsi="Times New Roman" w:eastAsia="Times New Roman" w:cs="Times New Roman"/>
          <w:i/>
          <w:iCs/>
          <w:spacing w:val="3"/>
          <w:sz w:val="24"/>
          <w:szCs w:val="24"/>
        </w:rPr>
        <w:t xml:space="preserve"> </w:t>
      </w:r>
      <w:r>
        <w:rPr>
          <w:rFonts w:ascii="宋体" w:hAnsi="宋体" w:eastAsia="宋体" w:cs="宋体"/>
          <w:spacing w:val="3"/>
          <w:sz w:val="24"/>
          <w:szCs w:val="24"/>
        </w:rPr>
        <w:t>、</w:t>
      </w:r>
      <w:r>
        <w:rPr>
          <w:rFonts w:ascii="宋体" w:hAnsi="宋体" w:eastAsia="宋体" w:cs="宋体"/>
          <w:spacing w:val="-43"/>
          <w:sz w:val="24"/>
          <w:szCs w:val="24"/>
        </w:rPr>
        <w:t xml:space="preserve"> </w:t>
      </w:r>
      <w:r>
        <w:rPr>
          <w:rFonts w:ascii="宋体" w:hAnsi="宋体" w:eastAsia="宋体" w:cs="宋体"/>
          <w:spacing w:val="3"/>
          <w:sz w:val="24"/>
          <w:szCs w:val="24"/>
        </w:rPr>
        <w:t xml:space="preserve">白柯 </w:t>
      </w:r>
      <w:r>
        <w:rPr>
          <w:rFonts w:ascii="Times New Roman" w:hAnsi="Times New Roman" w:eastAsia="Times New Roman" w:cs="Times New Roman"/>
          <w:i/>
          <w:iCs/>
          <w:sz w:val="24"/>
          <w:szCs w:val="24"/>
        </w:rPr>
        <w:t>Lithocarpus</w:t>
      </w:r>
      <w:r>
        <w:rPr>
          <w:rFonts w:ascii="Times New Roman" w:hAnsi="Times New Roman" w:eastAsia="Times New Roman" w:cs="Times New Roman"/>
          <w:i/>
          <w:iCs/>
          <w:spacing w:val="57"/>
          <w:w w:val="101"/>
          <w:sz w:val="24"/>
          <w:szCs w:val="24"/>
        </w:rPr>
        <w:t xml:space="preserve"> </w:t>
      </w:r>
      <w:r>
        <w:rPr>
          <w:rFonts w:ascii="Times New Roman" w:hAnsi="Times New Roman" w:eastAsia="Times New Roman" w:cs="Times New Roman"/>
          <w:i/>
          <w:iCs/>
          <w:sz w:val="24"/>
          <w:szCs w:val="24"/>
        </w:rPr>
        <w:t>dealbatus</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 xml:space="preserve">、清香木 </w:t>
      </w:r>
      <w:r>
        <w:rPr>
          <w:rFonts w:ascii="Times New Roman" w:hAnsi="Times New Roman" w:eastAsia="Times New Roman" w:cs="Times New Roman"/>
          <w:i/>
          <w:iCs/>
          <w:sz w:val="24"/>
          <w:szCs w:val="24"/>
        </w:rPr>
        <w:t>Pistacia</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weinmannifolia</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 xml:space="preserve">、云南油杉 </w:t>
      </w:r>
      <w:r>
        <w:rPr>
          <w:rFonts w:ascii="Times New Roman" w:hAnsi="Times New Roman" w:eastAsia="Times New Roman" w:cs="Times New Roman"/>
          <w:i/>
          <w:iCs/>
          <w:sz w:val="24"/>
          <w:szCs w:val="24"/>
        </w:rPr>
        <w:t>Keteleeria</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pacing w:val="-4"/>
          <w:sz w:val="24"/>
          <w:szCs w:val="24"/>
        </w:rPr>
        <w:t>evelyniana</w:t>
      </w:r>
      <w:r>
        <w:rPr>
          <w:rFonts w:ascii="宋体" w:hAnsi="宋体" w:eastAsia="宋体" w:cs="宋体"/>
          <w:spacing w:val="-4"/>
          <w:sz w:val="24"/>
          <w:szCs w:val="24"/>
        </w:rPr>
        <w:t>、滇杨</w:t>
      </w:r>
      <w:r>
        <w:rPr>
          <w:rFonts w:ascii="宋体" w:hAnsi="宋体" w:eastAsia="宋体" w:cs="宋体"/>
          <w:spacing w:val="-66"/>
          <w:sz w:val="24"/>
          <w:szCs w:val="24"/>
        </w:rPr>
        <w:t xml:space="preserve"> </w:t>
      </w:r>
      <w:r>
        <w:rPr>
          <w:rFonts w:ascii="Times New Roman" w:hAnsi="Times New Roman" w:eastAsia="Times New Roman" w:cs="Times New Roman"/>
          <w:i/>
          <w:iCs/>
          <w:spacing w:val="-4"/>
          <w:sz w:val="24"/>
          <w:szCs w:val="24"/>
        </w:rPr>
        <w:t>Populus</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pacing w:val="-4"/>
          <w:sz w:val="24"/>
          <w:szCs w:val="24"/>
        </w:rPr>
        <w:t>yunn</w:t>
      </w:r>
      <w:r>
        <w:rPr>
          <w:rFonts w:ascii="Times New Roman" w:hAnsi="Times New Roman" w:eastAsia="Times New Roman" w:cs="Times New Roman"/>
          <w:i/>
          <w:iCs/>
          <w:spacing w:val="-5"/>
          <w:sz w:val="24"/>
          <w:szCs w:val="24"/>
        </w:rPr>
        <w:t>anensis</w:t>
      </w:r>
      <w:r>
        <w:rPr>
          <w:rFonts w:ascii="宋体" w:hAnsi="宋体" w:eastAsia="宋体" w:cs="宋体"/>
          <w:spacing w:val="-5"/>
          <w:sz w:val="24"/>
          <w:szCs w:val="24"/>
        </w:rPr>
        <w:t>、栓皮栎</w:t>
      </w:r>
      <w:r>
        <w:rPr>
          <w:rFonts w:ascii="宋体" w:hAnsi="宋体" w:eastAsia="宋体" w:cs="宋体"/>
          <w:spacing w:val="-50"/>
          <w:sz w:val="24"/>
          <w:szCs w:val="24"/>
        </w:rPr>
        <w:t xml:space="preserve"> </w:t>
      </w:r>
      <w:r>
        <w:rPr>
          <w:rFonts w:ascii="Times New Roman" w:hAnsi="Times New Roman" w:eastAsia="Times New Roman" w:cs="Times New Roman"/>
          <w:i/>
          <w:iCs/>
          <w:spacing w:val="-5"/>
          <w:sz w:val="24"/>
          <w:szCs w:val="24"/>
        </w:rPr>
        <w:t>Quercus variabilis</w:t>
      </w:r>
      <w:r>
        <w:rPr>
          <w:rFonts w:ascii="宋体" w:hAnsi="宋体" w:eastAsia="宋体" w:cs="宋体"/>
          <w:spacing w:val="-5"/>
          <w:sz w:val="24"/>
          <w:szCs w:val="24"/>
        </w:rPr>
        <w:t>、西南木荷</w:t>
      </w:r>
      <w:r>
        <w:rPr>
          <w:rFonts w:ascii="宋体" w:hAnsi="宋体" w:eastAsia="宋体" w:cs="宋体"/>
          <w:spacing w:val="-58"/>
          <w:sz w:val="24"/>
          <w:szCs w:val="24"/>
        </w:rPr>
        <w:t xml:space="preserve"> </w:t>
      </w:r>
      <w:r>
        <w:rPr>
          <w:rFonts w:ascii="Times New Roman" w:hAnsi="Times New Roman" w:eastAsia="Times New Roman" w:cs="Times New Roman"/>
          <w:i/>
          <w:iCs/>
          <w:spacing w:val="-5"/>
          <w:sz w:val="24"/>
          <w:szCs w:val="24"/>
        </w:rPr>
        <w:t xml:space="preserve">Schima  </w:t>
      </w:r>
      <w:r>
        <w:rPr>
          <w:rFonts w:ascii="Times New Roman" w:hAnsi="Times New Roman" w:eastAsia="Times New Roman" w:cs="Times New Roman"/>
          <w:i/>
          <w:iCs/>
          <w:spacing w:val="-3"/>
          <w:sz w:val="24"/>
          <w:szCs w:val="24"/>
        </w:rPr>
        <w:t>wallichii</w:t>
      </w:r>
      <w:r>
        <w:rPr>
          <w:rFonts w:ascii="Times New Roman" w:hAnsi="Times New Roman" w:eastAsia="Times New Roman" w:cs="Times New Roman"/>
          <w:i/>
          <w:iCs/>
          <w:spacing w:val="-32"/>
          <w:sz w:val="24"/>
          <w:szCs w:val="24"/>
        </w:rPr>
        <w:t xml:space="preserve"> </w:t>
      </w:r>
      <w:r>
        <w:rPr>
          <w:rFonts w:ascii="宋体" w:hAnsi="宋体" w:eastAsia="宋体" w:cs="宋体"/>
          <w:spacing w:val="-3"/>
          <w:sz w:val="24"/>
          <w:szCs w:val="24"/>
        </w:rPr>
        <w:t>、窄叶柯</w:t>
      </w:r>
      <w:r>
        <w:rPr>
          <w:rFonts w:ascii="宋体" w:hAnsi="宋体" w:eastAsia="宋体" w:cs="宋体"/>
          <w:spacing w:val="-67"/>
          <w:sz w:val="24"/>
          <w:szCs w:val="24"/>
        </w:rPr>
        <w:t xml:space="preserve"> </w:t>
      </w:r>
      <w:r>
        <w:rPr>
          <w:rFonts w:ascii="Times New Roman" w:hAnsi="Times New Roman" w:eastAsia="Times New Roman" w:cs="Times New Roman"/>
          <w:i/>
          <w:iCs/>
          <w:spacing w:val="-3"/>
          <w:sz w:val="24"/>
          <w:szCs w:val="24"/>
        </w:rPr>
        <w:t>Lithocarpus confinis</w:t>
      </w:r>
      <w:r>
        <w:rPr>
          <w:rFonts w:ascii="宋体" w:hAnsi="宋体" w:eastAsia="宋体" w:cs="宋体"/>
          <w:spacing w:val="-3"/>
          <w:sz w:val="24"/>
          <w:szCs w:val="24"/>
        </w:rPr>
        <w:t>、头状四照花</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 xml:space="preserve">Cornus capitata </w:t>
      </w:r>
      <w:r>
        <w:rPr>
          <w:rFonts w:ascii="宋体" w:hAnsi="宋体" w:eastAsia="宋体" w:cs="宋体"/>
          <w:spacing w:val="-3"/>
          <w:sz w:val="24"/>
          <w:szCs w:val="24"/>
        </w:rPr>
        <w:t>等，</w:t>
      </w:r>
      <w:r>
        <w:rPr>
          <w:rFonts w:ascii="宋体" w:hAnsi="宋体" w:eastAsia="宋体" w:cs="宋体"/>
          <w:spacing w:val="-53"/>
          <w:sz w:val="24"/>
          <w:szCs w:val="24"/>
        </w:rPr>
        <w:t xml:space="preserve"> </w:t>
      </w:r>
      <w:r>
        <w:rPr>
          <w:rFonts w:ascii="宋体" w:hAnsi="宋体" w:eastAsia="宋体" w:cs="宋体"/>
          <w:spacing w:val="-3"/>
          <w:sz w:val="24"/>
          <w:szCs w:val="24"/>
        </w:rPr>
        <w:t>很多是当</w:t>
      </w:r>
    </w:p>
    <w:p>
      <w:pPr>
        <w:spacing w:before="1" w:line="218" w:lineRule="auto"/>
        <w:ind w:left="50"/>
        <w:rPr>
          <w:rFonts w:ascii="宋体" w:hAnsi="宋体" w:eastAsia="宋体" w:cs="宋体"/>
          <w:sz w:val="24"/>
          <w:szCs w:val="24"/>
        </w:rPr>
      </w:pPr>
      <w:r>
        <w:rPr>
          <w:rFonts w:ascii="宋体" w:hAnsi="宋体" w:eastAsia="宋体" w:cs="宋体"/>
          <w:spacing w:val="-2"/>
          <w:sz w:val="24"/>
          <w:szCs w:val="24"/>
        </w:rPr>
        <w:t>地的阳性次生种类，表明群落具有偏干耐旱的性质。</w:t>
      </w:r>
    </w:p>
    <w:p>
      <w:pPr>
        <w:spacing w:before="183" w:line="360" w:lineRule="auto"/>
        <w:ind w:right="85" w:firstLine="532"/>
        <w:rPr>
          <w:rFonts w:ascii="宋体" w:hAnsi="宋体" w:eastAsia="宋体" w:cs="宋体"/>
          <w:sz w:val="24"/>
          <w:szCs w:val="24"/>
        </w:rPr>
      </w:pPr>
      <w:r>
        <w:rPr>
          <w:rFonts w:ascii="宋体" w:hAnsi="宋体" w:eastAsia="宋体" w:cs="宋体"/>
          <w:spacing w:val="-20"/>
          <w:sz w:val="24"/>
          <w:szCs w:val="24"/>
        </w:rPr>
        <w:t>草本层很发达， 层盖度可达</w:t>
      </w:r>
      <w:r>
        <w:rPr>
          <w:rFonts w:ascii="宋体" w:hAnsi="宋体" w:eastAsia="宋体" w:cs="宋体"/>
          <w:spacing w:val="-34"/>
          <w:sz w:val="24"/>
          <w:szCs w:val="24"/>
        </w:rPr>
        <w:t xml:space="preserve"> </w:t>
      </w:r>
      <w:r>
        <w:rPr>
          <w:rFonts w:ascii="Times New Roman" w:hAnsi="Times New Roman" w:eastAsia="Times New Roman" w:cs="Times New Roman"/>
          <w:spacing w:val="-20"/>
          <w:sz w:val="24"/>
          <w:szCs w:val="24"/>
        </w:rPr>
        <w:t>80%</w:t>
      </w:r>
      <w:r>
        <w:rPr>
          <w:rFonts w:ascii="宋体" w:hAnsi="宋体" w:eastAsia="宋体" w:cs="宋体"/>
          <w:spacing w:val="-20"/>
          <w:sz w:val="24"/>
          <w:szCs w:val="24"/>
        </w:rPr>
        <w:t>以上， 种类较为丰富，</w:t>
      </w:r>
      <w:r>
        <w:rPr>
          <w:rFonts w:ascii="宋体" w:hAnsi="宋体" w:eastAsia="宋体" w:cs="宋体"/>
          <w:spacing w:val="50"/>
          <w:sz w:val="24"/>
          <w:szCs w:val="24"/>
        </w:rPr>
        <w:t xml:space="preserve"> </w:t>
      </w:r>
      <w:r>
        <w:rPr>
          <w:rFonts w:ascii="宋体" w:hAnsi="宋体" w:eastAsia="宋体" w:cs="宋体"/>
          <w:spacing w:val="-20"/>
          <w:sz w:val="24"/>
          <w:szCs w:val="24"/>
        </w:rPr>
        <w:t>阳生物种也较多，</w:t>
      </w:r>
      <w:r>
        <w:rPr>
          <w:rFonts w:ascii="宋体" w:hAnsi="宋体" w:eastAsia="宋体" w:cs="宋体"/>
          <w:spacing w:val="37"/>
          <w:sz w:val="24"/>
          <w:szCs w:val="24"/>
        </w:rPr>
        <w:t xml:space="preserve"> </w:t>
      </w:r>
      <w:r>
        <w:rPr>
          <w:rFonts w:ascii="宋体" w:hAnsi="宋体" w:eastAsia="宋体" w:cs="宋体"/>
          <w:spacing w:val="-20"/>
          <w:sz w:val="24"/>
          <w:szCs w:val="24"/>
        </w:rPr>
        <w:t>与</w:t>
      </w:r>
      <w:r>
        <w:rPr>
          <w:rFonts w:ascii="宋体" w:hAnsi="宋体" w:eastAsia="宋体" w:cs="宋体"/>
          <w:sz w:val="24"/>
          <w:szCs w:val="24"/>
        </w:rPr>
        <w:t xml:space="preserve"> </w:t>
      </w:r>
      <w:r>
        <w:rPr>
          <w:rFonts w:ascii="宋体" w:hAnsi="宋体" w:eastAsia="宋体" w:cs="宋体"/>
          <w:spacing w:val="17"/>
          <w:sz w:val="24"/>
          <w:szCs w:val="24"/>
        </w:rPr>
        <w:t xml:space="preserve">附近云南松林或稀树灌木草丛的草本层十分接近，主要以黄茅 </w:t>
      </w:r>
      <w:r>
        <w:rPr>
          <w:rFonts w:ascii="Times New Roman" w:hAnsi="Times New Roman" w:eastAsia="Times New Roman" w:cs="Times New Roman"/>
          <w:i/>
          <w:iCs/>
          <w:sz w:val="24"/>
          <w:szCs w:val="24"/>
        </w:rPr>
        <w:t>Heteropogon</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spacing w:val="-1"/>
          <w:sz w:val="24"/>
          <w:szCs w:val="24"/>
        </w:rPr>
        <w:t>contortus</w:t>
      </w:r>
      <w:r>
        <w:rPr>
          <w:rFonts w:ascii="Times New Roman" w:hAnsi="Times New Roman" w:eastAsia="Times New Roman" w:cs="Times New Roman"/>
          <w:i/>
          <w:iCs/>
          <w:spacing w:val="-17"/>
          <w:sz w:val="24"/>
          <w:szCs w:val="24"/>
        </w:rPr>
        <w:t xml:space="preserve"> </w:t>
      </w:r>
      <w:r>
        <w:rPr>
          <w:rFonts w:ascii="宋体" w:hAnsi="宋体" w:eastAsia="宋体" w:cs="宋体"/>
          <w:spacing w:val="-1"/>
          <w:sz w:val="24"/>
          <w:szCs w:val="24"/>
        </w:rPr>
        <w:t>、旱茅</w:t>
      </w:r>
      <w:r>
        <w:rPr>
          <w:rFonts w:ascii="宋体" w:hAnsi="宋体" w:eastAsia="宋体" w:cs="宋体"/>
          <w:spacing w:val="-59"/>
          <w:sz w:val="24"/>
          <w:szCs w:val="24"/>
        </w:rPr>
        <w:t xml:space="preserve"> </w:t>
      </w:r>
      <w:r>
        <w:rPr>
          <w:rFonts w:ascii="Times New Roman" w:hAnsi="Times New Roman" w:eastAsia="Times New Roman" w:cs="Times New Roman"/>
          <w:i/>
          <w:iCs/>
          <w:spacing w:val="-1"/>
          <w:sz w:val="24"/>
          <w:szCs w:val="24"/>
        </w:rPr>
        <w:t>Schizachyrium</w:t>
      </w:r>
      <w:r>
        <w:rPr>
          <w:rFonts w:ascii="Times New Roman" w:hAnsi="Times New Roman" w:eastAsia="Times New Roman" w:cs="Times New Roman"/>
          <w:i/>
          <w:iCs/>
          <w:spacing w:val="31"/>
          <w:sz w:val="24"/>
          <w:szCs w:val="24"/>
        </w:rPr>
        <w:t xml:space="preserve"> </w:t>
      </w:r>
      <w:r>
        <w:rPr>
          <w:rFonts w:ascii="Times New Roman" w:hAnsi="Times New Roman" w:eastAsia="Times New Roman" w:cs="Times New Roman"/>
          <w:i/>
          <w:iCs/>
          <w:spacing w:val="-1"/>
          <w:sz w:val="24"/>
          <w:szCs w:val="24"/>
        </w:rPr>
        <w:t>delavayi</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、蔗茅</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Erianthus</w:t>
      </w:r>
      <w:r>
        <w:rPr>
          <w:rFonts w:ascii="Times New Roman" w:hAnsi="Times New Roman" w:eastAsia="Times New Roman" w:cs="Times New Roman"/>
          <w:i/>
          <w:iCs/>
          <w:spacing w:val="32"/>
          <w:sz w:val="24"/>
          <w:szCs w:val="24"/>
        </w:rPr>
        <w:t xml:space="preserve"> </w:t>
      </w:r>
      <w:r>
        <w:rPr>
          <w:rFonts w:ascii="Times New Roman" w:hAnsi="Times New Roman" w:eastAsia="Times New Roman" w:cs="Times New Roman"/>
          <w:i/>
          <w:iCs/>
          <w:spacing w:val="-1"/>
          <w:sz w:val="24"/>
          <w:szCs w:val="24"/>
        </w:rPr>
        <w:t>rufipilus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、孟加拉野古草</w:t>
      </w:r>
      <w:r>
        <w:rPr>
          <w:rFonts w:ascii="宋体" w:hAnsi="宋体" w:eastAsia="宋体" w:cs="宋体"/>
          <w:sz w:val="24"/>
          <w:szCs w:val="24"/>
        </w:rPr>
        <w:t xml:space="preserve"> </w:t>
      </w:r>
      <w:r>
        <w:rPr>
          <w:rFonts w:ascii="Times New Roman" w:hAnsi="Times New Roman" w:eastAsia="Times New Roman" w:cs="Times New Roman"/>
          <w:i/>
          <w:iCs/>
          <w:sz w:val="24"/>
          <w:szCs w:val="24"/>
        </w:rPr>
        <w:t>Arundinella</w:t>
      </w:r>
      <w:r>
        <w:rPr>
          <w:rFonts w:ascii="Times New Roman" w:hAnsi="Times New Roman" w:eastAsia="Times New Roman" w:cs="Times New Roman"/>
          <w:i/>
          <w:iCs/>
          <w:spacing w:val="60"/>
          <w:sz w:val="24"/>
          <w:szCs w:val="24"/>
        </w:rPr>
        <w:t xml:space="preserve"> </w:t>
      </w:r>
      <w:r>
        <w:rPr>
          <w:rFonts w:ascii="Times New Roman" w:hAnsi="Times New Roman" w:eastAsia="Times New Roman" w:cs="Times New Roman"/>
          <w:i/>
          <w:iCs/>
          <w:sz w:val="24"/>
          <w:szCs w:val="24"/>
        </w:rPr>
        <w:t>bengalensis</w:t>
      </w:r>
      <w:r>
        <w:rPr>
          <w:rFonts w:ascii="宋体" w:hAnsi="宋体" w:eastAsia="宋体" w:cs="宋体"/>
          <w:spacing w:val="24"/>
          <w:sz w:val="24"/>
          <w:szCs w:val="24"/>
        </w:rPr>
        <w:t>、阿拉伯黄背草</w:t>
      </w:r>
      <w:r>
        <w:rPr>
          <w:rFonts w:ascii="宋体" w:hAnsi="宋体" w:eastAsia="宋体" w:cs="宋体"/>
          <w:spacing w:val="37"/>
          <w:sz w:val="24"/>
          <w:szCs w:val="24"/>
        </w:rPr>
        <w:t xml:space="preserve"> </w:t>
      </w:r>
      <w:r>
        <w:rPr>
          <w:rFonts w:ascii="Times New Roman" w:hAnsi="Times New Roman" w:eastAsia="Times New Roman" w:cs="Times New Roman"/>
          <w:i/>
          <w:iCs/>
          <w:sz w:val="24"/>
          <w:szCs w:val="24"/>
        </w:rPr>
        <w:t>Themedatriandra</w:t>
      </w:r>
      <w:r>
        <w:rPr>
          <w:rFonts w:ascii="Times New Roman" w:hAnsi="Times New Roman" w:eastAsia="Times New Roman" w:cs="Times New Roman"/>
          <w:i/>
          <w:iCs/>
          <w:spacing w:val="-10"/>
          <w:sz w:val="24"/>
          <w:szCs w:val="24"/>
        </w:rPr>
        <w:t xml:space="preserve"> </w:t>
      </w:r>
      <w:r>
        <w:rPr>
          <w:rFonts w:ascii="宋体" w:hAnsi="宋体" w:eastAsia="宋体" w:cs="宋体"/>
          <w:spacing w:val="24"/>
          <w:sz w:val="24"/>
          <w:szCs w:val="24"/>
        </w:rPr>
        <w:t xml:space="preserve">、知风草 </w:t>
      </w:r>
      <w:r>
        <w:rPr>
          <w:rFonts w:ascii="Times New Roman" w:hAnsi="Times New Roman" w:eastAsia="Times New Roman" w:cs="Times New Roman"/>
          <w:i/>
          <w:iCs/>
          <w:sz w:val="24"/>
          <w:szCs w:val="24"/>
        </w:rPr>
        <w:t>Eragrostis ferruginea</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、华北剪股颖</w:t>
      </w:r>
      <w:r>
        <w:rPr>
          <w:rFonts w:ascii="宋体" w:hAnsi="宋体" w:eastAsia="宋体" w:cs="宋体"/>
          <w:spacing w:val="-71"/>
          <w:sz w:val="24"/>
          <w:szCs w:val="24"/>
        </w:rPr>
        <w:t xml:space="preserve"> </w:t>
      </w:r>
      <w:r>
        <w:rPr>
          <w:rFonts w:ascii="Times New Roman" w:hAnsi="Times New Roman" w:eastAsia="Times New Roman" w:cs="Times New Roman"/>
          <w:i/>
          <w:iCs/>
          <w:sz w:val="24"/>
          <w:szCs w:val="24"/>
        </w:rPr>
        <w:t>Agro</w:t>
      </w:r>
      <w:r>
        <w:rPr>
          <w:rFonts w:ascii="Times New Roman" w:hAnsi="Times New Roman" w:eastAsia="Times New Roman" w:cs="Times New Roman"/>
          <w:i/>
          <w:iCs/>
          <w:spacing w:val="-1"/>
          <w:sz w:val="24"/>
          <w:szCs w:val="24"/>
        </w:rPr>
        <w:t>stis clavata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、刺芒野古草</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Arundinella</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spacing w:val="-1"/>
          <w:sz w:val="24"/>
          <w:szCs w:val="24"/>
        </w:rPr>
        <w:t>setosa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、白健秆</w:t>
      </w:r>
      <w:r>
        <w:rPr>
          <w:rFonts w:ascii="宋体" w:hAnsi="宋体" w:eastAsia="宋体" w:cs="宋体"/>
          <w:sz w:val="24"/>
          <w:szCs w:val="24"/>
        </w:rPr>
        <w:t xml:space="preserve"> </w:t>
      </w:r>
      <w:r>
        <w:rPr>
          <w:rFonts w:ascii="Times New Roman" w:hAnsi="Times New Roman" w:eastAsia="Times New Roman" w:cs="Times New Roman"/>
          <w:i/>
          <w:iCs/>
          <w:sz w:val="24"/>
          <w:szCs w:val="24"/>
        </w:rPr>
        <w:t>Eulalia</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pallens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、荩草</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Arthraxon</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sz w:val="24"/>
          <w:szCs w:val="24"/>
        </w:rPr>
        <w:t>hispidus</w:t>
      </w:r>
      <w:r>
        <w:rPr>
          <w:rFonts w:ascii="Times New Roman" w:hAnsi="Times New Roman" w:eastAsia="Times New Roman" w:cs="Times New Roman"/>
          <w:i/>
          <w:iCs/>
          <w:spacing w:val="-32"/>
          <w:sz w:val="24"/>
          <w:szCs w:val="24"/>
        </w:rPr>
        <w:t xml:space="preserve"> </w:t>
      </w:r>
      <w:r>
        <w:rPr>
          <w:rFonts w:ascii="宋体" w:hAnsi="宋体" w:eastAsia="宋体" w:cs="宋体"/>
          <w:spacing w:val="2"/>
          <w:sz w:val="24"/>
          <w:szCs w:val="24"/>
        </w:rPr>
        <w:t>、芒</w:t>
      </w:r>
      <w:r>
        <w:rPr>
          <w:rFonts w:ascii="宋体" w:hAnsi="宋体" w:eastAsia="宋体" w:cs="宋体"/>
          <w:spacing w:val="-69"/>
          <w:sz w:val="24"/>
          <w:szCs w:val="24"/>
        </w:rPr>
        <w:t xml:space="preserve"> </w:t>
      </w:r>
      <w:r>
        <w:rPr>
          <w:rFonts w:ascii="Times New Roman" w:hAnsi="Times New Roman" w:eastAsia="Times New Roman" w:cs="Times New Roman"/>
          <w:i/>
          <w:iCs/>
          <w:sz w:val="24"/>
          <w:szCs w:val="24"/>
        </w:rPr>
        <w:t>Miscanthus</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sz w:val="24"/>
          <w:szCs w:val="24"/>
        </w:rPr>
        <w:t>sinensis</w:t>
      </w:r>
      <w:r>
        <w:rPr>
          <w:rFonts w:ascii="Times New Roman" w:hAnsi="Times New Roman" w:eastAsia="Times New Roman" w:cs="Times New Roman"/>
          <w:i/>
          <w:iCs/>
          <w:spacing w:val="2"/>
          <w:sz w:val="24"/>
          <w:szCs w:val="24"/>
        </w:rPr>
        <w:t xml:space="preserve"> </w:t>
      </w:r>
      <w:r>
        <w:rPr>
          <w:rFonts w:ascii="宋体" w:hAnsi="宋体" w:eastAsia="宋体" w:cs="宋体"/>
          <w:spacing w:val="2"/>
          <w:sz w:val="24"/>
          <w:szCs w:val="24"/>
        </w:rPr>
        <w:t>等禾本科较为优</w:t>
      </w:r>
      <w:r>
        <w:rPr>
          <w:rFonts w:ascii="宋体" w:hAnsi="宋体" w:eastAsia="宋体" w:cs="宋体"/>
          <w:sz w:val="24"/>
          <w:szCs w:val="24"/>
        </w:rPr>
        <w:t xml:space="preserve"> </w:t>
      </w:r>
      <w:r>
        <w:rPr>
          <w:rFonts w:ascii="宋体" w:hAnsi="宋体" w:eastAsia="宋体" w:cs="宋体"/>
          <w:spacing w:val="2"/>
          <w:sz w:val="24"/>
          <w:szCs w:val="24"/>
        </w:rPr>
        <w:t>势，其他较为优势的物种有破坏草</w:t>
      </w:r>
      <w:r>
        <w:rPr>
          <w:rFonts w:ascii="宋体" w:hAnsi="宋体" w:eastAsia="宋体" w:cs="宋体"/>
          <w:spacing w:val="-35"/>
          <w:sz w:val="24"/>
          <w:szCs w:val="24"/>
        </w:rPr>
        <w:t xml:space="preserve"> </w:t>
      </w:r>
      <w:r>
        <w:rPr>
          <w:rFonts w:ascii="Times New Roman" w:hAnsi="Times New Roman" w:eastAsia="Times New Roman" w:cs="Times New Roman"/>
          <w:i/>
          <w:iCs/>
          <w:sz w:val="24"/>
          <w:szCs w:val="24"/>
        </w:rPr>
        <w:t>Ageratina</w:t>
      </w:r>
      <w:r>
        <w:rPr>
          <w:rFonts w:ascii="Times New Roman" w:hAnsi="Times New Roman" w:eastAsia="Times New Roman" w:cs="Times New Roman"/>
          <w:i/>
          <w:iCs/>
          <w:spacing w:val="35"/>
          <w:w w:val="101"/>
          <w:sz w:val="24"/>
          <w:szCs w:val="24"/>
        </w:rPr>
        <w:t xml:space="preserve"> </w:t>
      </w:r>
      <w:r>
        <w:rPr>
          <w:rFonts w:ascii="Times New Roman" w:hAnsi="Times New Roman" w:eastAsia="Times New Roman" w:cs="Times New Roman"/>
          <w:i/>
          <w:iCs/>
          <w:sz w:val="24"/>
          <w:szCs w:val="24"/>
        </w:rPr>
        <w:t>adenophora</w:t>
      </w:r>
      <w:r>
        <w:rPr>
          <w:rFonts w:ascii="宋体" w:hAnsi="宋体" w:eastAsia="宋体" w:cs="宋体"/>
          <w:spacing w:val="2"/>
          <w:sz w:val="24"/>
          <w:szCs w:val="24"/>
        </w:rPr>
        <w:t>，而常见的伴生</w:t>
      </w:r>
      <w:r>
        <w:rPr>
          <w:rFonts w:ascii="宋体" w:hAnsi="宋体" w:eastAsia="宋体" w:cs="宋体"/>
          <w:spacing w:val="1"/>
          <w:sz w:val="24"/>
          <w:szCs w:val="24"/>
        </w:rPr>
        <w:t>种有牡</w:t>
      </w:r>
      <w:r>
        <w:rPr>
          <w:rFonts w:ascii="宋体" w:hAnsi="宋体" w:eastAsia="宋体" w:cs="宋体"/>
          <w:sz w:val="24"/>
          <w:szCs w:val="24"/>
        </w:rPr>
        <w:t xml:space="preserve"> </w:t>
      </w:r>
      <w:r>
        <w:rPr>
          <w:rFonts w:ascii="宋体" w:hAnsi="宋体" w:eastAsia="宋体" w:cs="宋体"/>
          <w:spacing w:val="5"/>
          <w:sz w:val="24"/>
          <w:szCs w:val="24"/>
        </w:rPr>
        <w:t>蒿</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Artemisia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japonica</w:t>
      </w:r>
      <w:r>
        <w:rPr>
          <w:rFonts w:ascii="Times New Roman" w:hAnsi="Times New Roman" w:eastAsia="Times New Roman" w:cs="Times New Roman"/>
          <w:i/>
          <w:iCs/>
          <w:spacing w:val="-35"/>
          <w:sz w:val="24"/>
          <w:szCs w:val="24"/>
        </w:rPr>
        <w:t xml:space="preserve"> </w:t>
      </w:r>
      <w:r>
        <w:rPr>
          <w:rFonts w:ascii="宋体" w:hAnsi="宋体" w:eastAsia="宋体" w:cs="宋体"/>
          <w:spacing w:val="5"/>
          <w:sz w:val="24"/>
          <w:szCs w:val="24"/>
        </w:rPr>
        <w:t>、鬼针草</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Bidens</w:t>
      </w:r>
      <w:r>
        <w:rPr>
          <w:rFonts w:ascii="Times New Roman" w:hAnsi="Times New Roman" w:eastAsia="Times New Roman" w:cs="Times New Roman"/>
          <w:i/>
          <w:iCs/>
          <w:spacing w:val="-30"/>
          <w:sz w:val="24"/>
          <w:szCs w:val="24"/>
        </w:rPr>
        <w:t xml:space="preserve"> </w:t>
      </w:r>
      <w:r>
        <w:rPr>
          <w:rFonts w:ascii="Times New Roman" w:hAnsi="Times New Roman" w:eastAsia="Times New Roman" w:cs="Times New Roman"/>
          <w:i/>
          <w:iCs/>
          <w:sz w:val="24"/>
          <w:szCs w:val="24"/>
        </w:rPr>
        <w:t>pilosa</w:t>
      </w:r>
      <w:r>
        <w:rPr>
          <w:rFonts w:ascii="Times New Roman" w:hAnsi="Times New Roman" w:eastAsia="Times New Roman" w:cs="Times New Roman"/>
          <w:i/>
          <w:iCs/>
          <w:spacing w:val="-34"/>
          <w:sz w:val="24"/>
          <w:szCs w:val="24"/>
        </w:rPr>
        <w:t xml:space="preserve"> </w:t>
      </w:r>
      <w:r>
        <w:rPr>
          <w:rFonts w:ascii="宋体" w:hAnsi="宋体" w:eastAsia="宋体" w:cs="宋体"/>
          <w:spacing w:val="5"/>
          <w:sz w:val="24"/>
          <w:szCs w:val="24"/>
        </w:rPr>
        <w:t>、扁穗雀麦</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Bromus</w:t>
      </w:r>
      <w:r>
        <w:rPr>
          <w:rFonts w:ascii="Times New Roman" w:hAnsi="Times New Roman" w:eastAsia="Times New Roman" w:cs="Times New Roman"/>
          <w:i/>
          <w:iCs/>
          <w:spacing w:val="5"/>
          <w:sz w:val="24"/>
          <w:szCs w:val="24"/>
        </w:rPr>
        <w:t xml:space="preserve"> </w:t>
      </w:r>
      <w:r>
        <w:rPr>
          <w:rFonts w:ascii="Times New Roman" w:hAnsi="Times New Roman" w:eastAsia="Times New Roman" w:cs="Times New Roman"/>
          <w:i/>
          <w:iCs/>
          <w:sz w:val="24"/>
          <w:szCs w:val="24"/>
        </w:rPr>
        <w:t>catharticus</w:t>
      </w:r>
      <w:r>
        <w:rPr>
          <w:rFonts w:ascii="宋体" w:hAnsi="宋体" w:eastAsia="宋体" w:cs="宋体"/>
          <w:spacing w:val="5"/>
          <w:sz w:val="24"/>
          <w:szCs w:val="24"/>
        </w:rPr>
        <w:t>、麦冬</w:t>
      </w:r>
    </w:p>
    <w:p>
      <w:pPr>
        <w:spacing w:line="212" w:lineRule="auto"/>
        <w:ind w:left="55"/>
        <w:rPr>
          <w:rFonts w:ascii="宋体" w:hAnsi="宋体" w:eastAsia="宋体" w:cs="宋体"/>
          <w:sz w:val="24"/>
          <w:szCs w:val="24"/>
        </w:rPr>
      </w:pPr>
      <w:r>
        <w:rPr>
          <w:rFonts w:ascii="Times New Roman" w:hAnsi="Times New Roman" w:eastAsia="Times New Roman" w:cs="Times New Roman"/>
          <w:i/>
          <w:iCs/>
          <w:sz w:val="24"/>
          <w:szCs w:val="24"/>
        </w:rPr>
        <w:t xml:space="preserve">Ophiopogon    japonicus  </w:t>
      </w:r>
      <w:r>
        <w:rPr>
          <w:rFonts w:ascii="Times New Roman" w:hAnsi="Times New Roman" w:eastAsia="Times New Roman" w:cs="Times New Roman"/>
          <w:i/>
          <w:iCs/>
          <w:spacing w:val="-1"/>
          <w:sz w:val="24"/>
          <w:szCs w:val="24"/>
        </w:rPr>
        <w:t xml:space="preserve">   </w:t>
      </w:r>
      <w:r>
        <w:rPr>
          <w:rFonts w:ascii="宋体" w:hAnsi="宋体" w:eastAsia="宋体" w:cs="宋体"/>
          <w:spacing w:val="-1"/>
          <w:sz w:val="24"/>
          <w:szCs w:val="24"/>
        </w:rPr>
        <w:t xml:space="preserve">、  凤  尾  蕨   </w:t>
      </w:r>
      <w:r>
        <w:rPr>
          <w:rFonts w:ascii="Times New Roman" w:hAnsi="Times New Roman" w:eastAsia="Times New Roman" w:cs="Times New Roman"/>
          <w:i/>
          <w:iCs/>
          <w:spacing w:val="-1"/>
          <w:sz w:val="24"/>
          <w:szCs w:val="24"/>
        </w:rPr>
        <w:t xml:space="preserve">Pteris      nervosa    </w:t>
      </w:r>
      <w:r>
        <w:rPr>
          <w:rFonts w:ascii="宋体" w:hAnsi="宋体" w:eastAsia="宋体" w:cs="宋体"/>
          <w:spacing w:val="-1"/>
          <w:sz w:val="24"/>
          <w:szCs w:val="24"/>
        </w:rPr>
        <w:t>、  黄</w:t>
      </w:r>
      <w:r>
        <w:rPr>
          <w:rFonts w:ascii="宋体" w:hAnsi="宋体" w:eastAsia="宋体" w:cs="宋体"/>
          <w:spacing w:val="5"/>
          <w:sz w:val="24"/>
          <w:szCs w:val="24"/>
        </w:rPr>
        <w:t xml:space="preserve">  </w:t>
      </w:r>
      <w:r>
        <w:rPr>
          <w:rFonts w:ascii="宋体" w:hAnsi="宋体" w:eastAsia="宋体" w:cs="宋体"/>
          <w:spacing w:val="-1"/>
          <w:sz w:val="24"/>
          <w:szCs w:val="24"/>
        </w:rPr>
        <w:t>龙</w:t>
      </w:r>
      <w:r>
        <w:rPr>
          <w:rFonts w:ascii="宋体" w:hAnsi="宋体" w:eastAsia="宋体" w:cs="宋体"/>
          <w:spacing w:val="4"/>
          <w:sz w:val="24"/>
          <w:szCs w:val="24"/>
        </w:rPr>
        <w:t xml:space="preserve">  </w:t>
      </w:r>
      <w:r>
        <w:rPr>
          <w:rFonts w:ascii="宋体" w:hAnsi="宋体" w:eastAsia="宋体" w:cs="宋体"/>
          <w:spacing w:val="-1"/>
          <w:sz w:val="24"/>
          <w:szCs w:val="24"/>
        </w:rPr>
        <w:t>尾</w:t>
      </w:r>
    </w:p>
    <w:p>
      <w:pPr>
        <w:spacing w:line="212" w:lineRule="auto"/>
        <w:rPr>
          <w:rFonts w:ascii="宋体" w:hAnsi="宋体" w:eastAsia="宋体" w:cs="宋体"/>
          <w:sz w:val="24"/>
          <w:szCs w:val="24"/>
        </w:rPr>
        <w:sectPr>
          <w:headerReference r:id="rId244" w:type="default"/>
          <w:footerReference r:id="rId245" w:type="default"/>
          <w:pgSz w:w="11907" w:h="16839"/>
          <w:pgMar w:top="1156" w:right="1712" w:bottom="1373" w:left="1758" w:header="881" w:footer="1210" w:gutter="0"/>
        </w:sectPr>
      </w:pPr>
    </w:p>
    <w:p>
      <w:pPr>
        <w:spacing w:line="317" w:lineRule="auto"/>
        <w:rPr>
          <w:rFonts w:ascii="Arial"/>
          <w:sz w:val="21"/>
        </w:rPr>
      </w:pPr>
    </w:p>
    <w:p>
      <w:pPr>
        <w:spacing w:before="78" w:line="360" w:lineRule="auto"/>
        <w:ind w:left="3" w:right="120" w:firstLine="14"/>
        <w:jc w:val="both"/>
        <w:rPr>
          <w:rFonts w:ascii="宋体" w:hAnsi="宋体" w:eastAsia="宋体" w:cs="宋体"/>
          <w:sz w:val="24"/>
          <w:szCs w:val="24"/>
        </w:rPr>
      </w:pPr>
      <w:r>
        <w:rPr>
          <w:rFonts w:ascii="Times New Roman" w:hAnsi="Times New Roman" w:eastAsia="Times New Roman" w:cs="Times New Roman"/>
          <w:i/>
          <w:iCs/>
          <w:spacing w:val="-1"/>
          <w:sz w:val="24"/>
          <w:szCs w:val="24"/>
        </w:rPr>
        <w:t>Agrimonia</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pacing w:val="-1"/>
          <w:sz w:val="24"/>
          <w:szCs w:val="24"/>
        </w:rPr>
        <w:t xml:space="preserve">pilosa </w:t>
      </w:r>
      <w:r>
        <w:rPr>
          <w:rFonts w:ascii="Times New Roman" w:hAnsi="Times New Roman" w:eastAsia="Times New Roman" w:cs="Times New Roman"/>
          <w:spacing w:val="-1"/>
          <w:sz w:val="24"/>
          <w:szCs w:val="24"/>
        </w:rPr>
        <w:t xml:space="preserve">var. </w:t>
      </w:r>
      <w:r>
        <w:rPr>
          <w:rFonts w:ascii="Times New Roman" w:hAnsi="Times New Roman" w:eastAsia="Times New Roman" w:cs="Times New Roman"/>
          <w:i/>
          <w:iCs/>
          <w:spacing w:val="-1"/>
          <w:sz w:val="24"/>
          <w:szCs w:val="24"/>
        </w:rPr>
        <w:t>nepalensis</w:t>
      </w:r>
      <w:r>
        <w:rPr>
          <w:rFonts w:ascii="宋体" w:hAnsi="宋体" w:eastAsia="宋体" w:cs="宋体"/>
          <w:spacing w:val="-1"/>
          <w:sz w:val="24"/>
          <w:szCs w:val="24"/>
        </w:rPr>
        <w:t>、短葶飞蓬</w:t>
      </w:r>
      <w:r>
        <w:rPr>
          <w:rFonts w:ascii="宋体" w:hAnsi="宋体" w:eastAsia="宋体" w:cs="宋体"/>
          <w:spacing w:val="-46"/>
          <w:sz w:val="24"/>
          <w:szCs w:val="24"/>
        </w:rPr>
        <w:t xml:space="preserve"> </w:t>
      </w:r>
      <w:r>
        <w:rPr>
          <w:rFonts w:ascii="Times New Roman" w:hAnsi="Times New Roman" w:eastAsia="Times New Roman" w:cs="Times New Roman"/>
          <w:i/>
          <w:iCs/>
          <w:spacing w:val="-1"/>
          <w:sz w:val="24"/>
          <w:szCs w:val="24"/>
        </w:rPr>
        <w:t>Erigeron</w:t>
      </w:r>
      <w:r>
        <w:rPr>
          <w:rFonts w:ascii="Times New Roman" w:hAnsi="Times New Roman" w:eastAsia="Times New Roman" w:cs="Times New Roman"/>
          <w:i/>
          <w:iCs/>
          <w:spacing w:val="36"/>
          <w:w w:val="101"/>
          <w:sz w:val="24"/>
          <w:szCs w:val="24"/>
        </w:rPr>
        <w:t xml:space="preserve"> </w:t>
      </w:r>
      <w:r>
        <w:rPr>
          <w:rFonts w:ascii="Times New Roman" w:hAnsi="Times New Roman" w:eastAsia="Times New Roman" w:cs="Times New Roman"/>
          <w:i/>
          <w:iCs/>
          <w:spacing w:val="-1"/>
          <w:sz w:val="24"/>
          <w:szCs w:val="24"/>
        </w:rPr>
        <w:t>breviscapus</w:t>
      </w:r>
      <w:r>
        <w:rPr>
          <w:rFonts w:ascii="宋体" w:hAnsi="宋体" w:eastAsia="宋体" w:cs="宋体"/>
          <w:spacing w:val="-1"/>
          <w:sz w:val="24"/>
          <w:szCs w:val="24"/>
        </w:rPr>
        <w:t xml:space="preserve">、紫花地丁 </w:t>
      </w:r>
      <w:r>
        <w:rPr>
          <w:rFonts w:ascii="Times New Roman" w:hAnsi="Times New Roman" w:eastAsia="Times New Roman" w:cs="Times New Roman"/>
          <w:i/>
          <w:iCs/>
          <w:spacing w:val="-1"/>
          <w:sz w:val="24"/>
          <w:szCs w:val="24"/>
        </w:rPr>
        <w:t xml:space="preserve">Viola  </w:t>
      </w:r>
      <w:r>
        <w:rPr>
          <w:rFonts w:ascii="Times New Roman" w:hAnsi="Times New Roman" w:eastAsia="Times New Roman" w:cs="Times New Roman"/>
          <w:i/>
          <w:iCs/>
          <w:spacing w:val="-2"/>
          <w:sz w:val="24"/>
          <w:szCs w:val="24"/>
        </w:rPr>
        <w:t>philippica</w:t>
      </w:r>
      <w:r>
        <w:rPr>
          <w:rFonts w:ascii="宋体" w:hAnsi="宋体" w:eastAsia="宋体" w:cs="宋体"/>
          <w:spacing w:val="-2"/>
          <w:sz w:val="24"/>
          <w:szCs w:val="24"/>
        </w:rPr>
        <w:t>、牛口刺</w:t>
      </w:r>
      <w:r>
        <w:rPr>
          <w:rFonts w:ascii="宋体" w:hAnsi="宋体" w:eastAsia="宋体" w:cs="宋体"/>
          <w:spacing w:val="-36"/>
          <w:sz w:val="24"/>
          <w:szCs w:val="24"/>
        </w:rPr>
        <w:t xml:space="preserve"> </w:t>
      </w:r>
      <w:r>
        <w:rPr>
          <w:rFonts w:ascii="Times New Roman" w:hAnsi="Times New Roman" w:eastAsia="Times New Roman" w:cs="Times New Roman"/>
          <w:i/>
          <w:iCs/>
          <w:spacing w:val="-2"/>
          <w:sz w:val="24"/>
          <w:szCs w:val="24"/>
        </w:rPr>
        <w:t>Cirsium</w:t>
      </w:r>
      <w:r>
        <w:rPr>
          <w:rFonts w:ascii="Times New Roman" w:hAnsi="Times New Roman" w:eastAsia="Times New Roman" w:cs="Times New Roman"/>
          <w:i/>
          <w:iCs/>
          <w:spacing w:val="-17"/>
          <w:sz w:val="24"/>
          <w:szCs w:val="24"/>
        </w:rPr>
        <w:t xml:space="preserve"> </w:t>
      </w:r>
      <w:r>
        <w:rPr>
          <w:rFonts w:ascii="Times New Roman" w:hAnsi="Times New Roman" w:eastAsia="Times New Roman" w:cs="Times New Roman"/>
          <w:i/>
          <w:iCs/>
          <w:spacing w:val="-2"/>
          <w:sz w:val="24"/>
          <w:szCs w:val="24"/>
        </w:rPr>
        <w:t>shansiense</w:t>
      </w:r>
      <w:r>
        <w:rPr>
          <w:rFonts w:ascii="宋体" w:hAnsi="宋体" w:eastAsia="宋体" w:cs="宋体"/>
          <w:spacing w:val="-2"/>
          <w:sz w:val="24"/>
          <w:szCs w:val="24"/>
        </w:rPr>
        <w:t>、滇黄精</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Polygonatum kingianum</w:t>
      </w:r>
      <w:r>
        <w:rPr>
          <w:rFonts w:ascii="宋体" w:hAnsi="宋体" w:eastAsia="宋体" w:cs="宋体"/>
          <w:spacing w:val="-2"/>
          <w:sz w:val="24"/>
          <w:szCs w:val="24"/>
        </w:rPr>
        <w:t xml:space="preserve">、云南猪屎 </w:t>
      </w:r>
      <w:r>
        <w:rPr>
          <w:rFonts w:ascii="宋体" w:hAnsi="宋体" w:eastAsia="宋体" w:cs="宋体"/>
          <w:spacing w:val="10"/>
          <w:sz w:val="24"/>
          <w:szCs w:val="24"/>
        </w:rPr>
        <w:t>豆</w:t>
      </w:r>
      <w:r>
        <w:rPr>
          <w:rFonts w:ascii="宋体" w:hAnsi="宋体" w:eastAsia="宋体" w:cs="宋体"/>
          <w:spacing w:val="49"/>
          <w:sz w:val="24"/>
          <w:szCs w:val="24"/>
        </w:rPr>
        <w:t xml:space="preserve"> </w:t>
      </w:r>
      <w:r>
        <w:rPr>
          <w:rFonts w:ascii="Times New Roman" w:hAnsi="Times New Roman" w:eastAsia="Times New Roman" w:cs="Times New Roman"/>
          <w:i/>
          <w:iCs/>
          <w:sz w:val="24"/>
          <w:szCs w:val="24"/>
        </w:rPr>
        <w:t>Crotalaria</w:t>
      </w:r>
      <w:r>
        <w:rPr>
          <w:rFonts w:ascii="Times New Roman" w:hAnsi="Times New Roman" w:eastAsia="Times New Roman" w:cs="Times New Roman"/>
          <w:i/>
          <w:iCs/>
          <w:spacing w:val="41"/>
          <w:w w:val="101"/>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 xml:space="preserve">、毛轴蕨 </w:t>
      </w:r>
      <w:r>
        <w:rPr>
          <w:rFonts w:ascii="Times New Roman" w:hAnsi="Times New Roman" w:eastAsia="Times New Roman" w:cs="Times New Roman"/>
          <w:i/>
          <w:iCs/>
          <w:sz w:val="24"/>
          <w:szCs w:val="24"/>
        </w:rPr>
        <w:t>Pteridium</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revolutum</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、天名精</w:t>
      </w:r>
      <w:r>
        <w:rPr>
          <w:rFonts w:ascii="宋体" w:hAnsi="宋体" w:eastAsia="宋体" w:cs="宋体"/>
          <w:spacing w:val="47"/>
          <w:sz w:val="24"/>
          <w:szCs w:val="24"/>
        </w:rPr>
        <w:t xml:space="preserve"> </w:t>
      </w:r>
      <w:r>
        <w:rPr>
          <w:rFonts w:ascii="Times New Roman" w:hAnsi="Times New Roman" w:eastAsia="Times New Roman" w:cs="Times New Roman"/>
          <w:i/>
          <w:iCs/>
          <w:sz w:val="24"/>
          <w:szCs w:val="24"/>
        </w:rPr>
        <w:t>Carpesium</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pacing w:val="-1"/>
          <w:sz w:val="24"/>
          <w:szCs w:val="24"/>
        </w:rPr>
        <w:t>abrotanoides</w:t>
      </w:r>
      <w:r>
        <w:rPr>
          <w:rFonts w:ascii="宋体" w:hAnsi="宋体" w:eastAsia="宋体" w:cs="宋体"/>
          <w:spacing w:val="-1"/>
          <w:sz w:val="24"/>
          <w:szCs w:val="24"/>
        </w:rPr>
        <w:t>、川续断</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Dipsacus asperoides</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、云南</w:t>
      </w:r>
      <w:r>
        <w:rPr>
          <w:rFonts w:ascii="宋体" w:hAnsi="宋体" w:eastAsia="宋体" w:cs="宋体"/>
          <w:spacing w:val="-2"/>
          <w:sz w:val="24"/>
          <w:szCs w:val="24"/>
        </w:rPr>
        <w:t>兔儿风</w:t>
      </w:r>
      <w:r>
        <w:rPr>
          <w:rFonts w:ascii="宋体" w:hAnsi="宋体" w:eastAsia="宋体" w:cs="宋体"/>
          <w:spacing w:val="-72"/>
          <w:sz w:val="24"/>
          <w:szCs w:val="24"/>
        </w:rPr>
        <w:t xml:space="preserve"> </w:t>
      </w:r>
      <w:r>
        <w:rPr>
          <w:rFonts w:ascii="Times New Roman" w:hAnsi="Times New Roman" w:eastAsia="Times New Roman" w:cs="Times New Roman"/>
          <w:i/>
          <w:iCs/>
          <w:spacing w:val="-2"/>
          <w:sz w:val="24"/>
          <w:szCs w:val="24"/>
        </w:rPr>
        <w:t>Ainsliaea</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2"/>
          <w:sz w:val="24"/>
          <w:szCs w:val="24"/>
        </w:rPr>
        <w:t>yunnanensis</w:t>
      </w:r>
      <w:r>
        <w:rPr>
          <w:rFonts w:ascii="宋体" w:hAnsi="宋体" w:eastAsia="宋体" w:cs="宋体"/>
          <w:spacing w:val="-2"/>
          <w:sz w:val="24"/>
          <w:szCs w:val="24"/>
        </w:rPr>
        <w:t>、白</w:t>
      </w:r>
      <w:r>
        <w:rPr>
          <w:rFonts w:ascii="宋体" w:hAnsi="宋体" w:eastAsia="宋体" w:cs="宋体"/>
          <w:sz w:val="24"/>
          <w:szCs w:val="24"/>
        </w:rPr>
        <w:t xml:space="preserve">  </w:t>
      </w:r>
      <w:r>
        <w:rPr>
          <w:rFonts w:ascii="宋体" w:hAnsi="宋体" w:eastAsia="宋体" w:cs="宋体"/>
          <w:spacing w:val="-1"/>
          <w:sz w:val="24"/>
          <w:szCs w:val="24"/>
        </w:rPr>
        <w:t>酒草</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Conyza</w:t>
      </w:r>
      <w:r>
        <w:rPr>
          <w:rFonts w:ascii="Times New Roman" w:hAnsi="Times New Roman" w:eastAsia="Times New Roman" w:cs="Times New Roman"/>
          <w:i/>
          <w:iCs/>
          <w:spacing w:val="-56"/>
          <w:sz w:val="24"/>
          <w:szCs w:val="24"/>
        </w:rPr>
        <w:t xml:space="preserve"> </w:t>
      </w:r>
      <w:r>
        <w:rPr>
          <w:rFonts w:ascii="Times New Roman" w:hAnsi="Times New Roman" w:eastAsia="Times New Roman" w:cs="Times New Roman"/>
          <w:i/>
          <w:iCs/>
          <w:spacing w:val="-1"/>
          <w:sz w:val="24"/>
          <w:szCs w:val="24"/>
        </w:rPr>
        <w:t>japonica</w:t>
      </w:r>
      <w:r>
        <w:rPr>
          <w:rFonts w:ascii="Times New Roman" w:hAnsi="Times New Roman" w:eastAsia="Times New Roman" w:cs="Times New Roman"/>
          <w:i/>
          <w:iCs/>
          <w:spacing w:val="-35"/>
          <w:sz w:val="24"/>
          <w:szCs w:val="24"/>
        </w:rPr>
        <w:t xml:space="preserve"> </w:t>
      </w:r>
      <w:r>
        <w:rPr>
          <w:rFonts w:ascii="宋体" w:hAnsi="宋体" w:eastAsia="宋体" w:cs="宋体"/>
          <w:spacing w:val="-1"/>
          <w:sz w:val="24"/>
          <w:szCs w:val="24"/>
        </w:rPr>
        <w:t>、吉祥草</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Reineckea carnea</w:t>
      </w:r>
      <w:r>
        <w:rPr>
          <w:rFonts w:ascii="宋体" w:hAnsi="宋体" w:eastAsia="宋体" w:cs="宋体"/>
          <w:spacing w:val="-1"/>
          <w:sz w:val="24"/>
          <w:szCs w:val="24"/>
        </w:rPr>
        <w:t>、戟叶酸模</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 xml:space="preserve">Rumex </w:t>
      </w:r>
      <w:r>
        <w:rPr>
          <w:rFonts w:ascii="Times New Roman" w:hAnsi="Times New Roman" w:eastAsia="Times New Roman" w:cs="Times New Roman"/>
          <w:i/>
          <w:iCs/>
          <w:spacing w:val="-2"/>
          <w:sz w:val="24"/>
          <w:szCs w:val="24"/>
        </w:rPr>
        <w:t>hastatus</w:t>
      </w:r>
      <w:r>
        <w:rPr>
          <w:rFonts w:ascii="Times New Roman" w:hAnsi="Times New Roman" w:eastAsia="Times New Roman" w:cs="Times New Roman"/>
          <w:i/>
          <w:iCs/>
          <w:spacing w:val="-32"/>
          <w:sz w:val="24"/>
          <w:szCs w:val="24"/>
        </w:rPr>
        <w:t xml:space="preserve"> </w:t>
      </w:r>
      <w:r>
        <w:rPr>
          <w:rFonts w:ascii="宋体" w:hAnsi="宋体" w:eastAsia="宋体" w:cs="宋体"/>
          <w:spacing w:val="-2"/>
          <w:sz w:val="24"/>
          <w:szCs w:val="24"/>
        </w:rPr>
        <w:t xml:space="preserve">、小蓬 </w:t>
      </w:r>
      <w:r>
        <w:rPr>
          <w:rFonts w:ascii="宋体" w:hAnsi="宋体" w:eastAsia="宋体" w:cs="宋体"/>
          <w:spacing w:val="-1"/>
          <w:sz w:val="24"/>
          <w:szCs w:val="24"/>
        </w:rPr>
        <w:t>草</w:t>
      </w:r>
      <w:r>
        <w:rPr>
          <w:rFonts w:ascii="宋体" w:hAnsi="宋体" w:eastAsia="宋体" w:cs="宋体"/>
          <w:spacing w:val="-58"/>
          <w:sz w:val="24"/>
          <w:szCs w:val="24"/>
        </w:rPr>
        <w:t xml:space="preserve"> </w:t>
      </w:r>
      <w:r>
        <w:rPr>
          <w:rFonts w:ascii="Times New Roman" w:hAnsi="Times New Roman" w:eastAsia="Times New Roman" w:cs="Times New Roman"/>
          <w:i/>
          <w:iCs/>
          <w:spacing w:val="-1"/>
          <w:sz w:val="24"/>
          <w:szCs w:val="24"/>
        </w:rPr>
        <w:t>Erigeron</w:t>
      </w:r>
      <w:r>
        <w:rPr>
          <w:rFonts w:ascii="Times New Roman" w:hAnsi="Times New Roman" w:eastAsia="Times New Roman" w:cs="Times New Roman"/>
          <w:i/>
          <w:iCs/>
          <w:spacing w:val="31"/>
          <w:w w:val="101"/>
          <w:sz w:val="24"/>
          <w:szCs w:val="24"/>
        </w:rPr>
        <w:t xml:space="preserve"> </w:t>
      </w:r>
      <w:r>
        <w:rPr>
          <w:rFonts w:ascii="Times New Roman" w:hAnsi="Times New Roman" w:eastAsia="Times New Roman" w:cs="Times New Roman"/>
          <w:i/>
          <w:iCs/>
          <w:spacing w:val="-1"/>
          <w:sz w:val="24"/>
          <w:szCs w:val="24"/>
        </w:rPr>
        <w:t>canadensis</w:t>
      </w:r>
      <w:r>
        <w:rPr>
          <w:rFonts w:ascii="宋体" w:hAnsi="宋体" w:eastAsia="宋体" w:cs="宋体"/>
          <w:spacing w:val="-1"/>
          <w:sz w:val="24"/>
          <w:szCs w:val="24"/>
        </w:rPr>
        <w:t>、香薷</w:t>
      </w:r>
      <w:r>
        <w:rPr>
          <w:rFonts w:ascii="宋体" w:hAnsi="宋体" w:eastAsia="宋体" w:cs="宋体"/>
          <w:spacing w:val="-49"/>
          <w:sz w:val="24"/>
          <w:szCs w:val="24"/>
        </w:rPr>
        <w:t xml:space="preserve"> </w:t>
      </w:r>
      <w:r>
        <w:rPr>
          <w:rFonts w:ascii="Times New Roman" w:hAnsi="Times New Roman" w:eastAsia="Times New Roman" w:cs="Times New Roman"/>
          <w:i/>
          <w:iCs/>
          <w:spacing w:val="-1"/>
          <w:sz w:val="24"/>
          <w:szCs w:val="24"/>
        </w:rPr>
        <w:t>Elsholtzia</w:t>
      </w:r>
      <w:r>
        <w:rPr>
          <w:rFonts w:ascii="Times New Roman" w:hAnsi="Times New Roman" w:eastAsia="Times New Roman" w:cs="Times New Roman"/>
          <w:i/>
          <w:iCs/>
          <w:spacing w:val="31"/>
          <w:w w:val="101"/>
          <w:sz w:val="24"/>
          <w:szCs w:val="24"/>
        </w:rPr>
        <w:t xml:space="preserve"> </w:t>
      </w:r>
      <w:r>
        <w:rPr>
          <w:rFonts w:ascii="Times New Roman" w:hAnsi="Times New Roman" w:eastAsia="Times New Roman" w:cs="Times New Roman"/>
          <w:i/>
          <w:iCs/>
          <w:spacing w:val="-1"/>
          <w:sz w:val="24"/>
          <w:szCs w:val="24"/>
        </w:rPr>
        <w:t>ciliata</w:t>
      </w:r>
      <w:r>
        <w:rPr>
          <w:rFonts w:ascii="宋体" w:hAnsi="宋体" w:eastAsia="宋体" w:cs="宋体"/>
          <w:spacing w:val="-1"/>
          <w:sz w:val="24"/>
          <w:szCs w:val="24"/>
        </w:rPr>
        <w:t>、头花龙胆</w:t>
      </w:r>
      <w:r>
        <w:rPr>
          <w:rFonts w:ascii="宋体" w:hAnsi="宋体" w:eastAsia="宋体" w:cs="宋体"/>
          <w:spacing w:val="-33"/>
          <w:sz w:val="24"/>
          <w:szCs w:val="24"/>
        </w:rPr>
        <w:t xml:space="preserve"> </w:t>
      </w:r>
      <w:r>
        <w:rPr>
          <w:rFonts w:ascii="Times New Roman" w:hAnsi="Times New Roman" w:eastAsia="Times New Roman" w:cs="Times New Roman"/>
          <w:i/>
          <w:iCs/>
          <w:spacing w:val="-1"/>
          <w:sz w:val="24"/>
          <w:szCs w:val="24"/>
        </w:rPr>
        <w:t>Gentiana</w:t>
      </w:r>
      <w:r>
        <w:rPr>
          <w:rFonts w:ascii="Times New Roman" w:hAnsi="Times New Roman" w:eastAsia="Times New Roman" w:cs="Times New Roman"/>
          <w:i/>
          <w:iCs/>
          <w:spacing w:val="32"/>
          <w:sz w:val="24"/>
          <w:szCs w:val="24"/>
        </w:rPr>
        <w:t xml:space="preserve"> </w:t>
      </w:r>
      <w:r>
        <w:rPr>
          <w:rFonts w:ascii="Times New Roman" w:hAnsi="Times New Roman" w:eastAsia="Times New Roman" w:cs="Times New Roman"/>
          <w:i/>
          <w:iCs/>
          <w:spacing w:val="-1"/>
          <w:sz w:val="24"/>
          <w:szCs w:val="24"/>
        </w:rPr>
        <w:t>cephalantha</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7"/>
          <w:sz w:val="24"/>
          <w:szCs w:val="24"/>
        </w:rPr>
        <w:t xml:space="preserve">风轮菜 </w:t>
      </w:r>
      <w:r>
        <w:rPr>
          <w:rFonts w:ascii="Times New Roman" w:hAnsi="Times New Roman" w:eastAsia="Times New Roman" w:cs="Times New Roman"/>
          <w:i/>
          <w:iCs/>
          <w:sz w:val="24"/>
          <w:szCs w:val="24"/>
        </w:rPr>
        <w:t>Clinopodium</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chinense</w:t>
      </w:r>
      <w:r>
        <w:rPr>
          <w:rFonts w:ascii="宋体" w:hAnsi="宋体" w:eastAsia="宋体" w:cs="宋体"/>
          <w:spacing w:val="7"/>
          <w:sz w:val="24"/>
          <w:szCs w:val="24"/>
        </w:rPr>
        <w:t xml:space="preserve">、狗牙根 </w:t>
      </w:r>
      <w:r>
        <w:rPr>
          <w:rFonts w:ascii="Times New Roman" w:hAnsi="Times New Roman" w:eastAsia="Times New Roman" w:cs="Times New Roman"/>
          <w:i/>
          <w:iCs/>
          <w:sz w:val="24"/>
          <w:szCs w:val="24"/>
        </w:rPr>
        <w:t>Cynodon</w:t>
      </w:r>
      <w:r>
        <w:rPr>
          <w:rFonts w:ascii="Times New Roman" w:hAnsi="Times New Roman" w:eastAsia="Times New Roman" w:cs="Times New Roman"/>
          <w:i/>
          <w:iCs/>
          <w:spacing w:val="38"/>
          <w:w w:val="101"/>
          <w:sz w:val="24"/>
          <w:szCs w:val="24"/>
        </w:rPr>
        <w:t xml:space="preserve"> </w:t>
      </w:r>
      <w:r>
        <w:rPr>
          <w:rFonts w:ascii="Times New Roman" w:hAnsi="Times New Roman" w:eastAsia="Times New Roman" w:cs="Times New Roman"/>
          <w:i/>
          <w:iCs/>
          <w:sz w:val="24"/>
          <w:szCs w:val="24"/>
        </w:rPr>
        <w:t>dactylon</w:t>
      </w:r>
      <w:r>
        <w:rPr>
          <w:rFonts w:ascii="宋体" w:hAnsi="宋体" w:eastAsia="宋体" w:cs="宋体"/>
          <w:spacing w:val="7"/>
          <w:sz w:val="24"/>
          <w:szCs w:val="24"/>
        </w:rPr>
        <w:t xml:space="preserve">、珠光香青 </w:t>
      </w:r>
      <w:r>
        <w:rPr>
          <w:rFonts w:ascii="Times New Roman" w:hAnsi="Times New Roman" w:eastAsia="Times New Roman" w:cs="Times New Roman"/>
          <w:i/>
          <w:iCs/>
          <w:sz w:val="24"/>
          <w:szCs w:val="24"/>
        </w:rPr>
        <w:t>Anaphalis</w:t>
      </w:r>
      <w:r>
        <w:rPr>
          <w:rFonts w:ascii="Times New Roman" w:hAnsi="Times New Roman" w:eastAsia="Times New Roman" w:cs="Times New Roman"/>
          <w:i/>
          <w:iCs/>
          <w:spacing w:val="7"/>
          <w:sz w:val="24"/>
          <w:szCs w:val="24"/>
        </w:rPr>
        <w:t xml:space="preserve">  </w:t>
      </w:r>
      <w:r>
        <w:rPr>
          <w:rFonts w:ascii="Times New Roman" w:hAnsi="Times New Roman" w:eastAsia="Times New Roman" w:cs="Times New Roman"/>
          <w:i/>
          <w:iCs/>
          <w:spacing w:val="-2"/>
          <w:sz w:val="24"/>
          <w:szCs w:val="24"/>
        </w:rPr>
        <w:t>margaritacea</w:t>
      </w:r>
      <w:r>
        <w:rPr>
          <w:rFonts w:ascii="宋体" w:hAnsi="宋体" w:eastAsia="宋体" w:cs="宋体"/>
          <w:spacing w:val="-2"/>
          <w:sz w:val="24"/>
          <w:szCs w:val="24"/>
        </w:rPr>
        <w:t>、尼泊尔老鹳草</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Geranium nepalense</w:t>
      </w:r>
      <w:r>
        <w:rPr>
          <w:rFonts w:ascii="宋体" w:hAnsi="宋体" w:eastAsia="宋体" w:cs="宋体"/>
          <w:spacing w:val="-2"/>
          <w:sz w:val="24"/>
          <w:szCs w:val="24"/>
        </w:rPr>
        <w:t>、三脉紫菀</w:t>
      </w:r>
      <w:r>
        <w:rPr>
          <w:rFonts w:ascii="宋体" w:hAnsi="宋体" w:eastAsia="宋体" w:cs="宋体"/>
          <w:spacing w:val="-71"/>
          <w:sz w:val="24"/>
          <w:szCs w:val="24"/>
        </w:rPr>
        <w:t xml:space="preserve"> </w:t>
      </w:r>
      <w:r>
        <w:rPr>
          <w:rFonts w:ascii="Times New Roman" w:hAnsi="Times New Roman" w:eastAsia="Times New Roman" w:cs="Times New Roman"/>
          <w:i/>
          <w:iCs/>
          <w:spacing w:val="-2"/>
          <w:sz w:val="24"/>
          <w:szCs w:val="24"/>
        </w:rPr>
        <w:t>Aster</w:t>
      </w:r>
      <w:r>
        <w:rPr>
          <w:rFonts w:ascii="Times New Roman" w:hAnsi="Times New Roman" w:eastAsia="Times New Roman" w:cs="Times New Roman"/>
          <w:i/>
          <w:iCs/>
          <w:spacing w:val="-3"/>
          <w:sz w:val="24"/>
          <w:szCs w:val="24"/>
        </w:rPr>
        <w:t xml:space="preserve"> trinervius </w:t>
      </w:r>
      <w:r>
        <w:rPr>
          <w:rFonts w:ascii="Times New Roman" w:hAnsi="Times New Roman" w:eastAsia="Times New Roman" w:cs="Times New Roman"/>
          <w:spacing w:val="-3"/>
          <w:sz w:val="24"/>
          <w:szCs w:val="24"/>
        </w:rPr>
        <w:t xml:space="preserve">subsp.  </w:t>
      </w:r>
      <w:r>
        <w:rPr>
          <w:rFonts w:ascii="Times New Roman" w:hAnsi="Times New Roman" w:eastAsia="Times New Roman" w:cs="Times New Roman"/>
          <w:i/>
          <w:iCs/>
          <w:sz w:val="24"/>
          <w:szCs w:val="24"/>
        </w:rPr>
        <w:t xml:space="preserve">ageratoides </w:t>
      </w:r>
      <w:r>
        <w:rPr>
          <w:rFonts w:ascii="宋体" w:hAnsi="宋体" w:eastAsia="宋体" w:cs="宋体"/>
          <w:spacing w:val="14"/>
          <w:sz w:val="24"/>
          <w:szCs w:val="24"/>
        </w:rPr>
        <w:t xml:space="preserve">、羊耳菊 </w:t>
      </w:r>
      <w:r>
        <w:rPr>
          <w:rFonts w:ascii="Times New Roman" w:hAnsi="Times New Roman" w:eastAsia="Times New Roman" w:cs="Times New Roman"/>
          <w:i/>
          <w:iCs/>
          <w:sz w:val="24"/>
          <w:szCs w:val="24"/>
        </w:rPr>
        <w:t>Inula</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i/>
          <w:iCs/>
          <w:sz w:val="24"/>
          <w:szCs w:val="24"/>
        </w:rPr>
        <w:t>cappa</w:t>
      </w:r>
      <w:r>
        <w:rPr>
          <w:rFonts w:ascii="Times New Roman" w:hAnsi="Times New Roman" w:eastAsia="Times New Roman" w:cs="Times New Roman"/>
          <w:i/>
          <w:iCs/>
          <w:spacing w:val="-10"/>
          <w:sz w:val="24"/>
          <w:szCs w:val="24"/>
        </w:rPr>
        <w:t xml:space="preserve"> </w:t>
      </w:r>
      <w:r>
        <w:rPr>
          <w:rFonts w:ascii="宋体" w:hAnsi="宋体" w:eastAsia="宋体" w:cs="宋体"/>
          <w:spacing w:val="14"/>
          <w:sz w:val="24"/>
          <w:szCs w:val="24"/>
        </w:rPr>
        <w:t xml:space="preserve">、宽叶兔儿风 </w:t>
      </w:r>
      <w:r>
        <w:rPr>
          <w:rFonts w:ascii="Times New Roman" w:hAnsi="Times New Roman" w:eastAsia="Times New Roman" w:cs="Times New Roman"/>
          <w:i/>
          <w:iCs/>
          <w:sz w:val="24"/>
          <w:szCs w:val="24"/>
        </w:rPr>
        <w:t>Ainsliaea</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i/>
          <w:iCs/>
          <w:sz w:val="24"/>
          <w:szCs w:val="24"/>
        </w:rPr>
        <w:t>latifolia</w:t>
      </w:r>
      <w:r>
        <w:rPr>
          <w:rFonts w:ascii="宋体" w:hAnsi="宋体" w:eastAsia="宋体" w:cs="宋体"/>
          <w:spacing w:val="14"/>
          <w:sz w:val="24"/>
          <w:szCs w:val="24"/>
        </w:rPr>
        <w:t xml:space="preserve">、绣球防风 </w:t>
      </w:r>
      <w:r>
        <w:rPr>
          <w:rFonts w:ascii="Times New Roman" w:hAnsi="Times New Roman" w:eastAsia="Times New Roman" w:cs="Times New Roman"/>
          <w:i/>
          <w:iCs/>
          <w:sz w:val="24"/>
          <w:szCs w:val="24"/>
        </w:rPr>
        <w:t>Leucas ciliata</w:t>
      </w:r>
      <w:r>
        <w:rPr>
          <w:rFonts w:ascii="宋体" w:hAnsi="宋体" w:eastAsia="宋体" w:cs="宋体"/>
          <w:sz w:val="24"/>
          <w:szCs w:val="24"/>
        </w:rPr>
        <w:t>、芒萁</w:t>
      </w:r>
      <w:r>
        <w:rPr>
          <w:rFonts w:ascii="宋体" w:hAnsi="宋体" w:eastAsia="宋体" w:cs="宋体"/>
          <w:spacing w:val="-52"/>
          <w:sz w:val="24"/>
          <w:szCs w:val="24"/>
        </w:rPr>
        <w:t xml:space="preserve"> </w:t>
      </w:r>
      <w:r>
        <w:rPr>
          <w:rFonts w:ascii="Times New Roman" w:hAnsi="Times New Roman" w:eastAsia="Times New Roman" w:cs="Times New Roman"/>
          <w:i/>
          <w:iCs/>
          <w:sz w:val="24"/>
          <w:szCs w:val="24"/>
        </w:rPr>
        <w:t>Dicranopteris</w:t>
      </w:r>
      <w:r>
        <w:rPr>
          <w:rFonts w:ascii="Times New Roman" w:hAnsi="Times New Roman" w:eastAsia="Times New Roman" w:cs="Times New Roman"/>
          <w:i/>
          <w:iCs/>
          <w:spacing w:val="31"/>
          <w:sz w:val="24"/>
          <w:szCs w:val="24"/>
        </w:rPr>
        <w:t xml:space="preserve"> </w:t>
      </w:r>
      <w:r>
        <w:rPr>
          <w:rFonts w:ascii="Times New Roman" w:hAnsi="Times New Roman" w:eastAsia="Times New Roman" w:cs="Times New Roman"/>
          <w:i/>
          <w:iCs/>
          <w:sz w:val="24"/>
          <w:szCs w:val="24"/>
        </w:rPr>
        <w:t>dichotoma</w:t>
      </w:r>
      <w:r>
        <w:rPr>
          <w:rFonts w:ascii="宋体" w:hAnsi="宋体" w:eastAsia="宋体" w:cs="宋体"/>
          <w:sz w:val="24"/>
          <w:szCs w:val="24"/>
        </w:rPr>
        <w:t>、千</w:t>
      </w:r>
      <w:r>
        <w:rPr>
          <w:rFonts w:ascii="宋体" w:hAnsi="宋体" w:eastAsia="宋体" w:cs="宋体"/>
          <w:spacing w:val="-1"/>
          <w:sz w:val="24"/>
          <w:szCs w:val="24"/>
        </w:rPr>
        <w:t>屈菜</w:t>
      </w:r>
      <w:r>
        <w:rPr>
          <w:rFonts w:ascii="宋体" w:hAnsi="宋体" w:eastAsia="宋体" w:cs="宋体"/>
          <w:spacing w:val="-57"/>
          <w:sz w:val="24"/>
          <w:szCs w:val="24"/>
        </w:rPr>
        <w:t xml:space="preserve"> </w:t>
      </w:r>
      <w:r>
        <w:rPr>
          <w:rFonts w:ascii="Times New Roman" w:hAnsi="Times New Roman" w:eastAsia="Times New Roman" w:cs="Times New Roman"/>
          <w:i/>
          <w:iCs/>
          <w:spacing w:val="-1"/>
          <w:sz w:val="24"/>
          <w:szCs w:val="24"/>
        </w:rPr>
        <w:t>Lythrum</w:t>
      </w:r>
      <w:r>
        <w:rPr>
          <w:rFonts w:ascii="Times New Roman" w:hAnsi="Times New Roman" w:eastAsia="Times New Roman" w:cs="Times New Roman"/>
          <w:i/>
          <w:iCs/>
          <w:spacing w:val="24"/>
          <w:w w:val="101"/>
          <w:sz w:val="24"/>
          <w:szCs w:val="24"/>
        </w:rPr>
        <w:t xml:space="preserve"> </w:t>
      </w:r>
      <w:r>
        <w:rPr>
          <w:rFonts w:ascii="Times New Roman" w:hAnsi="Times New Roman" w:eastAsia="Times New Roman" w:cs="Times New Roman"/>
          <w:i/>
          <w:iCs/>
          <w:spacing w:val="-1"/>
          <w:sz w:val="24"/>
          <w:szCs w:val="24"/>
        </w:rPr>
        <w:t>salicaria</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、滇黄芩</w:t>
      </w:r>
    </w:p>
    <w:p>
      <w:pPr>
        <w:spacing w:line="233" w:lineRule="auto"/>
        <w:ind w:left="31"/>
        <w:rPr>
          <w:rFonts w:ascii="宋体" w:hAnsi="宋体" w:eastAsia="宋体" w:cs="宋体"/>
          <w:sz w:val="24"/>
          <w:szCs w:val="24"/>
        </w:rPr>
      </w:pPr>
      <w:r>
        <w:rPr>
          <w:rFonts w:ascii="Times New Roman" w:hAnsi="Times New Roman" w:eastAsia="Times New Roman" w:cs="Times New Roman"/>
          <w:i/>
          <w:iCs/>
          <w:sz w:val="24"/>
          <w:szCs w:val="24"/>
        </w:rPr>
        <w:t>Scutellariaamoena</w:t>
      </w:r>
      <w:r>
        <w:rPr>
          <w:rFonts w:ascii="Times New Roman" w:hAnsi="Times New Roman" w:eastAsia="Times New Roman" w:cs="Times New Roman"/>
          <w:i/>
          <w:iCs/>
          <w:spacing w:val="9"/>
          <w:sz w:val="24"/>
          <w:szCs w:val="24"/>
        </w:rPr>
        <w:t xml:space="preserve"> </w:t>
      </w:r>
      <w:r>
        <w:rPr>
          <w:rFonts w:ascii="宋体" w:hAnsi="宋体" w:eastAsia="宋体" w:cs="宋体"/>
          <w:spacing w:val="9"/>
          <w:sz w:val="24"/>
          <w:szCs w:val="24"/>
        </w:rPr>
        <w:t>等等。</w:t>
      </w:r>
    </w:p>
    <w:p>
      <w:pPr>
        <w:spacing w:before="165" w:line="360" w:lineRule="auto"/>
        <w:ind w:left="23" w:firstLine="496"/>
        <w:rPr>
          <w:rFonts w:ascii="宋体" w:hAnsi="宋体" w:eastAsia="宋体" w:cs="宋体"/>
          <w:sz w:val="24"/>
          <w:szCs w:val="24"/>
        </w:rPr>
      </w:pPr>
      <w:r>
        <w:rPr>
          <w:rFonts w:ascii="宋体" w:hAnsi="宋体" w:eastAsia="宋体" w:cs="宋体"/>
          <w:spacing w:val="19"/>
          <w:sz w:val="24"/>
          <w:szCs w:val="24"/>
        </w:rPr>
        <w:t xml:space="preserve">群落中藤本植物极少，仅有钝萼铁线莲 </w:t>
      </w:r>
      <w:r>
        <w:rPr>
          <w:rFonts w:ascii="Times New Roman" w:hAnsi="Times New Roman" w:eastAsia="Times New Roman" w:cs="Times New Roman"/>
          <w:i/>
          <w:iCs/>
          <w:sz w:val="24"/>
          <w:szCs w:val="24"/>
        </w:rPr>
        <w:t>Clematis</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z w:val="24"/>
          <w:szCs w:val="24"/>
        </w:rPr>
        <w:t>peterae</w:t>
      </w:r>
      <w:r>
        <w:rPr>
          <w:rFonts w:ascii="宋体" w:hAnsi="宋体" w:eastAsia="宋体" w:cs="宋体"/>
          <w:spacing w:val="19"/>
          <w:sz w:val="24"/>
          <w:szCs w:val="24"/>
        </w:rPr>
        <w:t xml:space="preserve">、黑珠芽薯蓣  </w:t>
      </w:r>
      <w:r>
        <w:rPr>
          <w:rFonts w:ascii="Times New Roman" w:hAnsi="Times New Roman" w:eastAsia="Times New Roman" w:cs="Times New Roman"/>
          <w:i/>
          <w:iCs/>
          <w:spacing w:val="-2"/>
          <w:sz w:val="24"/>
          <w:szCs w:val="24"/>
        </w:rPr>
        <w:t>Dioscoreamelanophyma</w:t>
      </w:r>
      <w:r>
        <w:rPr>
          <w:rFonts w:ascii="宋体" w:hAnsi="宋体" w:eastAsia="宋体" w:cs="宋体"/>
          <w:spacing w:val="-2"/>
          <w:sz w:val="24"/>
          <w:szCs w:val="24"/>
        </w:rPr>
        <w:t>、鸡蛋</w:t>
      </w:r>
      <w:r>
        <w:rPr>
          <w:rFonts w:ascii="宋体" w:hAnsi="宋体" w:eastAsia="宋体" w:cs="宋体"/>
          <w:spacing w:val="-3"/>
          <w:sz w:val="24"/>
          <w:szCs w:val="24"/>
        </w:rPr>
        <w:t>参</w:t>
      </w:r>
      <w:r>
        <w:rPr>
          <w:rFonts w:ascii="宋体" w:hAnsi="宋体" w:eastAsia="宋体" w:cs="宋体"/>
          <w:spacing w:val="-71"/>
          <w:sz w:val="24"/>
          <w:szCs w:val="24"/>
        </w:rPr>
        <w:t xml:space="preserve"> </w:t>
      </w:r>
      <w:r>
        <w:rPr>
          <w:rFonts w:ascii="Times New Roman" w:hAnsi="Times New Roman" w:eastAsia="Times New Roman" w:cs="Times New Roman"/>
          <w:i/>
          <w:iCs/>
          <w:spacing w:val="-3"/>
          <w:sz w:val="24"/>
          <w:szCs w:val="24"/>
        </w:rPr>
        <w:t>Codonopsis convolvulacea</w:t>
      </w:r>
      <w:r>
        <w:rPr>
          <w:rFonts w:ascii="宋体" w:hAnsi="宋体" w:eastAsia="宋体" w:cs="宋体"/>
          <w:spacing w:val="-3"/>
          <w:sz w:val="24"/>
          <w:szCs w:val="24"/>
        </w:rPr>
        <w:t>、鸡屎藤</w:t>
      </w:r>
      <w:r>
        <w:rPr>
          <w:rFonts w:ascii="Times New Roman" w:hAnsi="Times New Roman" w:eastAsia="Times New Roman" w:cs="Times New Roman"/>
          <w:i/>
          <w:iCs/>
          <w:spacing w:val="-3"/>
          <w:sz w:val="24"/>
          <w:szCs w:val="24"/>
        </w:rPr>
        <w:t>Paederia</w:t>
      </w:r>
      <w:r>
        <w:rPr>
          <w:rFonts w:ascii="Times New Roman" w:hAnsi="Times New Roman" w:eastAsia="Times New Roman" w:cs="Times New Roman"/>
          <w:i/>
          <w:iCs/>
          <w:spacing w:val="-42"/>
          <w:sz w:val="24"/>
          <w:szCs w:val="24"/>
        </w:rPr>
        <w:t xml:space="preserve"> </w:t>
      </w:r>
      <w:r>
        <w:rPr>
          <w:rFonts w:ascii="Times New Roman" w:hAnsi="Times New Roman" w:eastAsia="Times New Roman" w:cs="Times New Roman"/>
          <w:i/>
          <w:iCs/>
          <w:spacing w:val="-3"/>
          <w:sz w:val="24"/>
          <w:szCs w:val="24"/>
        </w:rPr>
        <w:t>foetida</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茅瓜</w:t>
      </w:r>
      <w:r>
        <w:rPr>
          <w:rFonts w:ascii="Times New Roman" w:hAnsi="Times New Roman" w:eastAsia="Times New Roman" w:cs="Times New Roman"/>
          <w:i/>
          <w:iCs/>
          <w:spacing w:val="-2"/>
          <w:sz w:val="24"/>
          <w:szCs w:val="24"/>
        </w:rPr>
        <w:t>Solena heterophylla</w:t>
      </w:r>
      <w:r>
        <w:rPr>
          <w:rFonts w:ascii="宋体" w:hAnsi="宋体" w:eastAsia="宋体" w:cs="宋体"/>
          <w:spacing w:val="-2"/>
          <w:sz w:val="24"/>
          <w:szCs w:val="24"/>
        </w:rPr>
        <w:t>、青羊参</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Cyn</w:t>
      </w:r>
      <w:r>
        <w:rPr>
          <w:rFonts w:ascii="Times New Roman" w:hAnsi="Times New Roman" w:eastAsia="Times New Roman" w:cs="Times New Roman"/>
          <w:i/>
          <w:iCs/>
          <w:spacing w:val="-3"/>
          <w:sz w:val="24"/>
          <w:szCs w:val="24"/>
        </w:rPr>
        <w:t>anchumotophyllum</w:t>
      </w:r>
      <w:r>
        <w:rPr>
          <w:rFonts w:ascii="宋体" w:hAnsi="宋体" w:eastAsia="宋体" w:cs="宋体"/>
          <w:spacing w:val="-3"/>
          <w:sz w:val="24"/>
          <w:szCs w:val="24"/>
        </w:rPr>
        <w:t>、何首乌</w:t>
      </w:r>
      <w:r>
        <w:rPr>
          <w:rFonts w:ascii="Times New Roman" w:hAnsi="Times New Roman" w:eastAsia="Times New Roman" w:cs="Times New Roman"/>
          <w:i/>
          <w:iCs/>
          <w:spacing w:val="-3"/>
          <w:sz w:val="24"/>
          <w:szCs w:val="24"/>
        </w:rPr>
        <w:t>Fallopia multiflora</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7"/>
          <w:sz w:val="24"/>
          <w:szCs w:val="24"/>
        </w:rPr>
        <w:t>长</w:t>
      </w:r>
      <w:r>
        <w:rPr>
          <w:rFonts w:ascii="宋体" w:hAnsi="宋体" w:eastAsia="宋体" w:cs="宋体"/>
          <w:spacing w:val="-65"/>
          <w:sz w:val="24"/>
          <w:szCs w:val="24"/>
        </w:rPr>
        <w:t xml:space="preserve"> </w:t>
      </w:r>
      <w:r>
        <w:rPr>
          <w:rFonts w:ascii="宋体" w:hAnsi="宋体" w:eastAsia="宋体" w:cs="宋体"/>
          <w:spacing w:val="-7"/>
          <w:sz w:val="24"/>
          <w:szCs w:val="24"/>
        </w:rPr>
        <w:t>托</w:t>
      </w:r>
      <w:r>
        <w:rPr>
          <w:rFonts w:ascii="宋体" w:hAnsi="宋体" w:eastAsia="宋体" w:cs="宋体"/>
          <w:spacing w:val="-63"/>
          <w:sz w:val="24"/>
          <w:szCs w:val="24"/>
        </w:rPr>
        <w:t xml:space="preserve"> </w:t>
      </w:r>
      <w:r>
        <w:rPr>
          <w:rFonts w:ascii="宋体" w:hAnsi="宋体" w:eastAsia="宋体" w:cs="宋体"/>
          <w:spacing w:val="-7"/>
          <w:sz w:val="24"/>
          <w:szCs w:val="24"/>
        </w:rPr>
        <w:t>菝</w:t>
      </w:r>
      <w:r>
        <w:rPr>
          <w:rFonts w:ascii="宋体" w:hAnsi="宋体" w:eastAsia="宋体" w:cs="宋体"/>
          <w:spacing w:val="-63"/>
          <w:sz w:val="24"/>
          <w:szCs w:val="24"/>
        </w:rPr>
        <w:t xml:space="preserve"> </w:t>
      </w:r>
      <w:r>
        <w:rPr>
          <w:rFonts w:ascii="宋体" w:hAnsi="宋体" w:eastAsia="宋体" w:cs="宋体"/>
          <w:spacing w:val="-7"/>
          <w:sz w:val="24"/>
          <w:szCs w:val="24"/>
        </w:rPr>
        <w:t>葜</w:t>
      </w:r>
      <w:r>
        <w:rPr>
          <w:rFonts w:ascii="宋体" w:hAnsi="宋体" w:eastAsia="宋体" w:cs="宋体"/>
          <w:spacing w:val="45"/>
          <w:sz w:val="24"/>
          <w:szCs w:val="24"/>
        </w:rPr>
        <w:t xml:space="preserve"> </w:t>
      </w:r>
      <w:r>
        <w:rPr>
          <w:rFonts w:ascii="Times New Roman" w:hAnsi="Times New Roman" w:eastAsia="Times New Roman" w:cs="Times New Roman"/>
          <w:i/>
          <w:iCs/>
          <w:spacing w:val="-7"/>
          <w:sz w:val="24"/>
          <w:szCs w:val="24"/>
        </w:rPr>
        <w:t>Smilax</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7"/>
          <w:sz w:val="24"/>
          <w:szCs w:val="24"/>
        </w:rPr>
        <w:t xml:space="preserve">ferox   </w:t>
      </w:r>
      <w:r>
        <w:rPr>
          <w:rFonts w:ascii="宋体" w:hAnsi="宋体" w:eastAsia="宋体" w:cs="宋体"/>
          <w:spacing w:val="-7"/>
          <w:sz w:val="24"/>
          <w:szCs w:val="24"/>
        </w:rPr>
        <w:t>等</w:t>
      </w:r>
      <w:r>
        <w:rPr>
          <w:rFonts w:ascii="宋体" w:hAnsi="宋体" w:eastAsia="宋体" w:cs="宋体"/>
          <w:spacing w:val="-42"/>
          <w:sz w:val="24"/>
          <w:szCs w:val="24"/>
        </w:rPr>
        <w:t xml:space="preserve"> </w:t>
      </w:r>
      <w:r>
        <w:rPr>
          <w:rFonts w:ascii="宋体" w:hAnsi="宋体" w:eastAsia="宋体" w:cs="宋体"/>
          <w:spacing w:val="-7"/>
          <w:sz w:val="24"/>
          <w:szCs w:val="24"/>
        </w:rPr>
        <w:t>。</w:t>
      </w:r>
      <w:r>
        <w:rPr>
          <w:rFonts w:ascii="宋体" w:hAnsi="宋体" w:eastAsia="宋体" w:cs="宋体"/>
          <w:spacing w:val="-58"/>
          <w:sz w:val="24"/>
          <w:szCs w:val="24"/>
        </w:rPr>
        <w:t xml:space="preserve"> </w:t>
      </w:r>
      <w:r>
        <w:rPr>
          <w:rFonts w:ascii="宋体" w:hAnsi="宋体" w:eastAsia="宋体" w:cs="宋体"/>
          <w:spacing w:val="-7"/>
          <w:sz w:val="24"/>
          <w:szCs w:val="24"/>
        </w:rPr>
        <w:t>另</w:t>
      </w:r>
      <w:r>
        <w:rPr>
          <w:rFonts w:ascii="宋体" w:hAnsi="宋体" w:eastAsia="宋体" w:cs="宋体"/>
          <w:spacing w:val="-61"/>
          <w:sz w:val="24"/>
          <w:szCs w:val="24"/>
        </w:rPr>
        <w:t xml:space="preserve"> </w:t>
      </w:r>
      <w:r>
        <w:rPr>
          <w:rFonts w:ascii="宋体" w:hAnsi="宋体" w:eastAsia="宋体" w:cs="宋体"/>
          <w:spacing w:val="-7"/>
          <w:sz w:val="24"/>
          <w:szCs w:val="24"/>
        </w:rPr>
        <w:t>外</w:t>
      </w:r>
      <w:r>
        <w:rPr>
          <w:rFonts w:ascii="宋体" w:hAnsi="宋体" w:eastAsia="宋体" w:cs="宋体"/>
          <w:spacing w:val="-48"/>
          <w:sz w:val="24"/>
          <w:szCs w:val="24"/>
        </w:rPr>
        <w:t xml:space="preserve"> </w:t>
      </w:r>
      <w:r>
        <w:rPr>
          <w:rFonts w:ascii="宋体" w:hAnsi="宋体" w:eastAsia="宋体" w:cs="宋体"/>
          <w:spacing w:val="-7"/>
          <w:sz w:val="24"/>
          <w:szCs w:val="24"/>
        </w:rPr>
        <w:t>，</w:t>
      </w:r>
      <w:r>
        <w:rPr>
          <w:rFonts w:ascii="宋体" w:hAnsi="宋体" w:eastAsia="宋体" w:cs="宋体"/>
          <w:spacing w:val="-47"/>
          <w:sz w:val="24"/>
          <w:szCs w:val="24"/>
        </w:rPr>
        <w:t xml:space="preserve"> </w:t>
      </w:r>
      <w:r>
        <w:rPr>
          <w:rFonts w:ascii="宋体" w:hAnsi="宋体" w:eastAsia="宋体" w:cs="宋体"/>
          <w:spacing w:val="-7"/>
          <w:sz w:val="24"/>
          <w:szCs w:val="24"/>
        </w:rPr>
        <w:t>附</w:t>
      </w:r>
      <w:r>
        <w:rPr>
          <w:rFonts w:ascii="宋体" w:hAnsi="宋体" w:eastAsia="宋体" w:cs="宋体"/>
          <w:spacing w:val="-62"/>
          <w:sz w:val="24"/>
          <w:szCs w:val="24"/>
        </w:rPr>
        <w:t xml:space="preserve"> </w:t>
      </w:r>
      <w:r>
        <w:rPr>
          <w:rFonts w:ascii="宋体" w:hAnsi="宋体" w:eastAsia="宋体" w:cs="宋体"/>
          <w:spacing w:val="-7"/>
          <w:sz w:val="24"/>
          <w:szCs w:val="24"/>
        </w:rPr>
        <w:t>生</w:t>
      </w:r>
      <w:r>
        <w:rPr>
          <w:rFonts w:ascii="宋体" w:hAnsi="宋体" w:eastAsia="宋体" w:cs="宋体"/>
          <w:spacing w:val="-65"/>
          <w:sz w:val="24"/>
          <w:szCs w:val="24"/>
        </w:rPr>
        <w:t xml:space="preserve"> </w:t>
      </w:r>
      <w:r>
        <w:rPr>
          <w:rFonts w:ascii="宋体" w:hAnsi="宋体" w:eastAsia="宋体" w:cs="宋体"/>
          <w:spacing w:val="-7"/>
          <w:sz w:val="24"/>
          <w:szCs w:val="24"/>
        </w:rPr>
        <w:t>植</w:t>
      </w:r>
      <w:r>
        <w:rPr>
          <w:rFonts w:ascii="宋体" w:hAnsi="宋体" w:eastAsia="宋体" w:cs="宋体"/>
          <w:spacing w:val="-65"/>
          <w:sz w:val="24"/>
          <w:szCs w:val="24"/>
        </w:rPr>
        <w:t xml:space="preserve"> </w:t>
      </w:r>
      <w:r>
        <w:rPr>
          <w:rFonts w:ascii="宋体" w:hAnsi="宋体" w:eastAsia="宋体" w:cs="宋体"/>
          <w:spacing w:val="-7"/>
          <w:sz w:val="24"/>
          <w:szCs w:val="24"/>
        </w:rPr>
        <w:t>物</w:t>
      </w:r>
      <w:r>
        <w:rPr>
          <w:rFonts w:ascii="宋体" w:hAnsi="宋体" w:eastAsia="宋体" w:cs="宋体"/>
          <w:spacing w:val="-59"/>
          <w:sz w:val="24"/>
          <w:szCs w:val="24"/>
        </w:rPr>
        <w:t xml:space="preserve"> </w:t>
      </w:r>
      <w:r>
        <w:rPr>
          <w:rFonts w:ascii="宋体" w:hAnsi="宋体" w:eastAsia="宋体" w:cs="宋体"/>
          <w:spacing w:val="-7"/>
          <w:sz w:val="24"/>
          <w:szCs w:val="24"/>
        </w:rPr>
        <w:t>极</w:t>
      </w:r>
      <w:r>
        <w:rPr>
          <w:rFonts w:ascii="宋体" w:hAnsi="宋体" w:eastAsia="宋体" w:cs="宋体"/>
          <w:spacing w:val="-64"/>
          <w:sz w:val="24"/>
          <w:szCs w:val="24"/>
        </w:rPr>
        <w:t xml:space="preserve"> </w:t>
      </w:r>
      <w:r>
        <w:rPr>
          <w:rFonts w:ascii="宋体" w:hAnsi="宋体" w:eastAsia="宋体" w:cs="宋体"/>
          <w:spacing w:val="-7"/>
          <w:sz w:val="24"/>
          <w:szCs w:val="24"/>
        </w:rPr>
        <w:t>少</w:t>
      </w:r>
      <w:r>
        <w:rPr>
          <w:rFonts w:ascii="宋体" w:hAnsi="宋体" w:eastAsia="宋体" w:cs="宋体"/>
          <w:spacing w:val="-48"/>
          <w:sz w:val="24"/>
          <w:szCs w:val="24"/>
        </w:rPr>
        <w:t xml:space="preserve"> </w:t>
      </w:r>
      <w:r>
        <w:rPr>
          <w:rFonts w:ascii="宋体" w:hAnsi="宋体" w:eastAsia="宋体" w:cs="宋体"/>
          <w:spacing w:val="-7"/>
          <w:sz w:val="24"/>
          <w:szCs w:val="24"/>
        </w:rPr>
        <w:t>，</w:t>
      </w:r>
      <w:r>
        <w:rPr>
          <w:rFonts w:ascii="宋体" w:hAnsi="宋体" w:eastAsia="宋体" w:cs="宋体"/>
          <w:spacing w:val="-69"/>
          <w:sz w:val="24"/>
          <w:szCs w:val="24"/>
        </w:rPr>
        <w:t xml:space="preserve"> </w:t>
      </w:r>
      <w:r>
        <w:rPr>
          <w:rFonts w:ascii="宋体" w:hAnsi="宋体" w:eastAsia="宋体" w:cs="宋体"/>
          <w:spacing w:val="-8"/>
          <w:sz w:val="24"/>
          <w:szCs w:val="24"/>
        </w:rPr>
        <w:t>仅</w:t>
      </w:r>
      <w:r>
        <w:rPr>
          <w:rFonts w:ascii="宋体" w:hAnsi="宋体" w:eastAsia="宋体" w:cs="宋体"/>
          <w:spacing w:val="-62"/>
          <w:sz w:val="24"/>
          <w:szCs w:val="24"/>
        </w:rPr>
        <w:t xml:space="preserve"> </w:t>
      </w:r>
      <w:r>
        <w:rPr>
          <w:rFonts w:ascii="宋体" w:hAnsi="宋体" w:eastAsia="宋体" w:cs="宋体"/>
          <w:spacing w:val="-8"/>
          <w:sz w:val="24"/>
          <w:szCs w:val="24"/>
        </w:rPr>
        <w:t>有</w:t>
      </w:r>
      <w:r>
        <w:rPr>
          <w:rFonts w:ascii="宋体" w:hAnsi="宋体" w:eastAsia="宋体" w:cs="宋体"/>
          <w:spacing w:val="-63"/>
          <w:sz w:val="24"/>
          <w:szCs w:val="24"/>
        </w:rPr>
        <w:t xml:space="preserve"> </w:t>
      </w:r>
      <w:r>
        <w:rPr>
          <w:rFonts w:ascii="宋体" w:hAnsi="宋体" w:eastAsia="宋体" w:cs="宋体"/>
          <w:spacing w:val="-8"/>
          <w:sz w:val="24"/>
          <w:szCs w:val="24"/>
        </w:rPr>
        <w:t>松</w:t>
      </w:r>
      <w:r>
        <w:rPr>
          <w:rFonts w:ascii="宋体" w:hAnsi="宋体" w:eastAsia="宋体" w:cs="宋体"/>
          <w:spacing w:val="-64"/>
          <w:sz w:val="24"/>
          <w:szCs w:val="24"/>
        </w:rPr>
        <w:t xml:space="preserve"> </w:t>
      </w:r>
      <w:r>
        <w:rPr>
          <w:rFonts w:ascii="宋体" w:hAnsi="宋体" w:eastAsia="宋体" w:cs="宋体"/>
          <w:spacing w:val="-8"/>
          <w:sz w:val="24"/>
          <w:szCs w:val="24"/>
        </w:rPr>
        <w:t>柏</w:t>
      </w:r>
      <w:r>
        <w:rPr>
          <w:rFonts w:ascii="宋体" w:hAnsi="宋体" w:eastAsia="宋体" w:cs="宋体"/>
          <w:spacing w:val="-66"/>
          <w:sz w:val="24"/>
          <w:szCs w:val="24"/>
        </w:rPr>
        <w:t xml:space="preserve"> </w:t>
      </w:r>
      <w:r>
        <w:rPr>
          <w:rFonts w:ascii="宋体" w:hAnsi="宋体" w:eastAsia="宋体" w:cs="宋体"/>
          <w:spacing w:val="-8"/>
          <w:sz w:val="24"/>
          <w:szCs w:val="24"/>
        </w:rPr>
        <w:t>钝</w:t>
      </w:r>
      <w:r>
        <w:rPr>
          <w:rFonts w:ascii="宋体" w:hAnsi="宋体" w:eastAsia="宋体" w:cs="宋体"/>
          <w:spacing w:val="-59"/>
          <w:sz w:val="24"/>
          <w:szCs w:val="24"/>
        </w:rPr>
        <w:t xml:space="preserve"> </w:t>
      </w:r>
      <w:r>
        <w:rPr>
          <w:rFonts w:ascii="宋体" w:hAnsi="宋体" w:eastAsia="宋体" w:cs="宋体"/>
          <w:spacing w:val="-8"/>
          <w:sz w:val="24"/>
          <w:szCs w:val="24"/>
        </w:rPr>
        <w:t>果</w:t>
      </w:r>
      <w:r>
        <w:rPr>
          <w:rFonts w:ascii="宋体" w:hAnsi="宋体" w:eastAsia="宋体" w:cs="宋体"/>
          <w:spacing w:val="-57"/>
          <w:sz w:val="24"/>
          <w:szCs w:val="24"/>
        </w:rPr>
        <w:t xml:space="preserve"> </w:t>
      </w:r>
      <w:r>
        <w:rPr>
          <w:rFonts w:ascii="宋体" w:hAnsi="宋体" w:eastAsia="宋体" w:cs="宋体"/>
          <w:spacing w:val="-8"/>
          <w:sz w:val="24"/>
          <w:szCs w:val="24"/>
        </w:rPr>
        <w:t>寄</w:t>
      </w:r>
      <w:r>
        <w:rPr>
          <w:rFonts w:ascii="宋体" w:hAnsi="宋体" w:eastAsia="宋体" w:cs="宋体"/>
          <w:spacing w:val="-64"/>
          <w:sz w:val="24"/>
          <w:szCs w:val="24"/>
        </w:rPr>
        <w:t xml:space="preserve"> </w:t>
      </w:r>
      <w:r>
        <w:rPr>
          <w:rFonts w:ascii="宋体" w:hAnsi="宋体" w:eastAsia="宋体" w:cs="宋体"/>
          <w:spacing w:val="-8"/>
          <w:sz w:val="24"/>
          <w:szCs w:val="24"/>
        </w:rPr>
        <w:t>生</w:t>
      </w:r>
    </w:p>
    <w:p>
      <w:pPr>
        <w:spacing w:line="212" w:lineRule="auto"/>
        <w:ind w:left="46"/>
        <w:rPr>
          <w:rFonts w:ascii="宋体" w:hAnsi="宋体" w:eastAsia="宋体" w:cs="宋体"/>
          <w:sz w:val="24"/>
          <w:szCs w:val="24"/>
        </w:rPr>
      </w:pPr>
      <w:r>
        <w:rPr>
          <w:rFonts w:ascii="Times New Roman" w:hAnsi="Times New Roman" w:eastAsia="Times New Roman" w:cs="Times New Roman"/>
          <w:i/>
          <w:iCs/>
          <w:sz w:val="24"/>
          <w:szCs w:val="24"/>
        </w:rPr>
        <w:t>Taxilluscaloreas</w:t>
      </w:r>
      <w:r>
        <w:rPr>
          <w:rFonts w:ascii="Times New Roman" w:hAnsi="Times New Roman" w:eastAsia="Times New Roman" w:cs="Times New Roman"/>
          <w:i/>
          <w:iCs/>
          <w:spacing w:val="-23"/>
          <w:sz w:val="24"/>
          <w:szCs w:val="24"/>
        </w:rPr>
        <w:t xml:space="preserve"> </w:t>
      </w:r>
      <w:r>
        <w:rPr>
          <w:rFonts w:ascii="宋体" w:hAnsi="宋体" w:eastAsia="宋体" w:cs="宋体"/>
          <w:sz w:val="24"/>
          <w:szCs w:val="24"/>
        </w:rPr>
        <w:t>、二色瓦韦</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Lepisorus bicolor</w:t>
      </w:r>
      <w:r>
        <w:rPr>
          <w:rFonts w:ascii="宋体" w:hAnsi="宋体" w:eastAsia="宋体" w:cs="宋体"/>
          <w:sz w:val="24"/>
          <w:szCs w:val="24"/>
        </w:rPr>
        <w:t>、卷柏</w:t>
      </w:r>
      <w:r>
        <w:rPr>
          <w:rFonts w:ascii="宋体" w:hAnsi="宋体" w:eastAsia="宋体" w:cs="宋体"/>
          <w:spacing w:val="-59"/>
          <w:sz w:val="24"/>
          <w:szCs w:val="24"/>
        </w:rPr>
        <w:t xml:space="preserve"> </w:t>
      </w:r>
      <w:r>
        <w:rPr>
          <w:rFonts w:ascii="Times New Roman" w:hAnsi="Times New Roman" w:eastAsia="Times New Roman" w:cs="Times New Roman"/>
          <w:i/>
          <w:iCs/>
          <w:sz w:val="24"/>
          <w:szCs w:val="24"/>
        </w:rPr>
        <w:t xml:space="preserve">Selaginella tamariscina </w:t>
      </w:r>
      <w:r>
        <w:rPr>
          <w:rFonts w:ascii="宋体" w:hAnsi="宋体" w:eastAsia="宋体" w:cs="宋体"/>
          <w:sz w:val="24"/>
          <w:szCs w:val="24"/>
        </w:rPr>
        <w:t>等。</w:t>
      </w:r>
    </w:p>
    <w:p>
      <w:pPr>
        <w:spacing w:before="191" w:line="220" w:lineRule="auto"/>
        <w:ind w:left="518"/>
        <w:rPr>
          <w:rFonts w:ascii="宋体" w:hAnsi="宋体" w:eastAsia="宋体" w:cs="宋体"/>
          <w:sz w:val="24"/>
          <w:szCs w:val="24"/>
        </w:rPr>
      </w:pPr>
      <w:r>
        <w:rPr>
          <w:rFonts w:ascii="宋体" w:hAnsi="宋体" w:eastAsia="宋体" w:cs="宋体"/>
          <w:spacing w:val="-1"/>
          <w:sz w:val="24"/>
          <w:szCs w:val="24"/>
        </w:rPr>
        <w:t>Ⅲ</w:t>
      </w:r>
      <w:r>
        <w:rPr>
          <w:rFonts w:ascii="Times New Roman" w:hAnsi="Times New Roman" w:eastAsia="Times New Roman" w:cs="Times New Roman"/>
          <w:spacing w:val="-1"/>
          <w:sz w:val="24"/>
          <w:szCs w:val="24"/>
        </w:rPr>
        <w:t>.</w:t>
      </w:r>
      <w:r>
        <w:rPr>
          <w:rFonts w:ascii="宋体" w:hAnsi="宋体" w:eastAsia="宋体" w:cs="宋体"/>
          <w:spacing w:val="-1"/>
          <w:sz w:val="24"/>
          <w:szCs w:val="24"/>
        </w:rPr>
        <w:t>落叶阔叶林</w:t>
      </w:r>
    </w:p>
    <w:p>
      <w:pPr>
        <w:spacing w:before="182" w:line="360" w:lineRule="auto"/>
        <w:ind w:left="39" w:right="205" w:firstLine="481"/>
        <w:rPr>
          <w:rFonts w:ascii="宋体" w:hAnsi="宋体" w:eastAsia="宋体" w:cs="宋体"/>
          <w:sz w:val="24"/>
          <w:szCs w:val="24"/>
        </w:rPr>
      </w:pPr>
      <w:r>
        <w:rPr>
          <w:rFonts w:ascii="宋体" w:hAnsi="宋体" w:eastAsia="宋体" w:cs="宋体"/>
          <w:spacing w:val="-3"/>
          <w:sz w:val="24"/>
          <w:szCs w:val="24"/>
        </w:rPr>
        <w:t>落叶阔叶林是以落叶树种为优势的森林群落类型。云南南部</w:t>
      </w:r>
      <w:r>
        <w:rPr>
          <w:rFonts w:ascii="宋体" w:hAnsi="宋体" w:eastAsia="宋体" w:cs="宋体"/>
          <w:spacing w:val="-4"/>
          <w:sz w:val="24"/>
          <w:szCs w:val="24"/>
        </w:rPr>
        <w:t>、西南部的落叶</w:t>
      </w:r>
      <w:r>
        <w:rPr>
          <w:rFonts w:ascii="宋体" w:hAnsi="宋体" w:eastAsia="宋体" w:cs="宋体"/>
          <w:sz w:val="24"/>
          <w:szCs w:val="24"/>
        </w:rPr>
        <w:t xml:space="preserve"> </w:t>
      </w:r>
      <w:r>
        <w:rPr>
          <w:rFonts w:ascii="宋体" w:hAnsi="宋体" w:eastAsia="宋体" w:cs="宋体"/>
          <w:spacing w:val="-9"/>
          <w:sz w:val="24"/>
          <w:szCs w:val="24"/>
        </w:rPr>
        <w:t>阔叶林，</w:t>
      </w:r>
      <w:r>
        <w:rPr>
          <w:rFonts w:ascii="宋体" w:hAnsi="宋体" w:eastAsia="宋体" w:cs="宋体"/>
          <w:spacing w:val="-20"/>
          <w:sz w:val="24"/>
          <w:szCs w:val="24"/>
        </w:rPr>
        <w:t xml:space="preserve"> </w:t>
      </w:r>
      <w:r>
        <w:rPr>
          <w:rFonts w:ascii="宋体" w:hAnsi="宋体" w:eastAsia="宋体" w:cs="宋体"/>
          <w:spacing w:val="-9"/>
          <w:sz w:val="24"/>
          <w:szCs w:val="24"/>
        </w:rPr>
        <w:t>都是在当地原生常绿阔叶林遭到破坏之后， 落叶树种大量进入群落中而</w:t>
      </w:r>
      <w:r>
        <w:rPr>
          <w:rFonts w:ascii="宋体" w:hAnsi="宋体" w:eastAsia="宋体" w:cs="宋体"/>
          <w:sz w:val="24"/>
          <w:szCs w:val="24"/>
        </w:rPr>
        <w:t xml:space="preserve"> </w:t>
      </w:r>
      <w:r>
        <w:rPr>
          <w:rFonts w:ascii="宋体" w:hAnsi="宋体" w:eastAsia="宋体" w:cs="宋体"/>
          <w:spacing w:val="-8"/>
          <w:sz w:val="24"/>
          <w:szCs w:val="24"/>
        </w:rPr>
        <w:t>形成的次生群落。通常情况下，形成落叶阔叶林次生植被，面积不大而零星，</w:t>
      </w:r>
      <w:r>
        <w:rPr>
          <w:rFonts w:ascii="宋体" w:hAnsi="宋体" w:eastAsia="宋体" w:cs="宋体"/>
          <w:spacing w:val="55"/>
          <w:sz w:val="24"/>
          <w:szCs w:val="24"/>
        </w:rPr>
        <w:t xml:space="preserve"> </w:t>
      </w:r>
      <w:r>
        <w:rPr>
          <w:rFonts w:ascii="宋体" w:hAnsi="宋体" w:eastAsia="宋体" w:cs="宋体"/>
          <w:spacing w:val="-8"/>
          <w:sz w:val="24"/>
          <w:szCs w:val="24"/>
        </w:rPr>
        <w:t>在</w:t>
      </w:r>
      <w:r>
        <w:rPr>
          <w:rFonts w:ascii="宋体" w:hAnsi="宋体" w:eastAsia="宋体" w:cs="宋体"/>
          <w:sz w:val="24"/>
          <w:szCs w:val="24"/>
        </w:rPr>
        <w:t xml:space="preserve"> </w:t>
      </w:r>
      <w:r>
        <w:rPr>
          <w:rFonts w:ascii="宋体" w:hAnsi="宋体" w:eastAsia="宋体" w:cs="宋体"/>
          <w:spacing w:val="-6"/>
          <w:sz w:val="24"/>
          <w:szCs w:val="24"/>
        </w:rPr>
        <w:t>水平分布或垂直分布上，均不占据一个明显而固定的带，冬季落</w:t>
      </w:r>
      <w:r>
        <w:rPr>
          <w:rFonts w:ascii="宋体" w:hAnsi="宋体" w:eastAsia="宋体" w:cs="宋体"/>
          <w:spacing w:val="-7"/>
          <w:sz w:val="24"/>
          <w:szCs w:val="24"/>
        </w:rPr>
        <w:t>叶， 构成群落因</w:t>
      </w:r>
      <w:r>
        <w:rPr>
          <w:rFonts w:ascii="宋体" w:hAnsi="宋体" w:eastAsia="宋体" w:cs="宋体"/>
          <w:sz w:val="24"/>
          <w:szCs w:val="24"/>
        </w:rPr>
        <w:t xml:space="preserve"> </w:t>
      </w:r>
      <w:r>
        <w:rPr>
          <w:rFonts w:ascii="宋体" w:hAnsi="宋体" w:eastAsia="宋体" w:cs="宋体"/>
          <w:spacing w:val="-2"/>
          <w:sz w:val="24"/>
          <w:szCs w:val="24"/>
        </w:rPr>
        <w:t>地而已。评价区内海拔</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1900~2500m </w:t>
      </w:r>
      <w:r>
        <w:rPr>
          <w:rFonts w:ascii="宋体" w:hAnsi="宋体" w:eastAsia="宋体" w:cs="宋体"/>
          <w:spacing w:val="-2"/>
          <w:sz w:val="24"/>
          <w:szCs w:val="24"/>
        </w:rPr>
        <w:t>人为干扰程度较重的地方</w:t>
      </w:r>
      <w:r>
        <w:rPr>
          <w:rFonts w:ascii="宋体" w:hAnsi="宋体" w:eastAsia="宋体" w:cs="宋体"/>
          <w:spacing w:val="-3"/>
          <w:sz w:val="24"/>
          <w:szCs w:val="24"/>
        </w:rPr>
        <w:t>，都有次生植被发</w:t>
      </w:r>
    </w:p>
    <w:p>
      <w:pPr>
        <w:spacing w:line="212" w:lineRule="auto"/>
        <w:ind w:left="48"/>
        <w:rPr>
          <w:rFonts w:ascii="宋体" w:hAnsi="宋体" w:eastAsia="宋体" w:cs="宋体"/>
          <w:sz w:val="24"/>
          <w:szCs w:val="24"/>
        </w:rPr>
      </w:pPr>
      <w:r>
        <w:rPr>
          <w:rFonts w:ascii="宋体" w:hAnsi="宋体" w:eastAsia="宋体" w:cs="宋体"/>
          <w:spacing w:val="-8"/>
          <w:sz w:val="24"/>
          <w:szCs w:val="24"/>
        </w:rPr>
        <w:t>育，但仅有一种落叶阔叶林群系出现，即尼泊尔桤木林（</w:t>
      </w:r>
      <w:r>
        <w:rPr>
          <w:rFonts w:ascii="Times New Roman" w:hAnsi="Times New Roman" w:eastAsia="Times New Roman" w:cs="Times New Roman"/>
          <w:spacing w:val="-8"/>
          <w:sz w:val="24"/>
          <w:szCs w:val="24"/>
        </w:rPr>
        <w:t>Form.</w:t>
      </w:r>
      <w:r>
        <w:rPr>
          <w:rFonts w:ascii="Times New Roman" w:hAnsi="Times New Roman" w:eastAsia="Times New Roman" w:cs="Times New Roman"/>
          <w:spacing w:val="-25"/>
          <w:sz w:val="24"/>
          <w:szCs w:val="24"/>
        </w:rPr>
        <w:t xml:space="preserve"> </w:t>
      </w:r>
      <w:r>
        <w:rPr>
          <w:rFonts w:ascii="Times New Roman" w:hAnsi="Times New Roman" w:eastAsia="Times New Roman" w:cs="Times New Roman"/>
          <w:i/>
          <w:iCs/>
          <w:spacing w:val="-8"/>
          <w:sz w:val="24"/>
          <w:szCs w:val="24"/>
        </w:rPr>
        <w:t>Alnus nepalensis</w:t>
      </w:r>
      <w:r>
        <w:rPr>
          <w:rFonts w:ascii="宋体" w:hAnsi="宋体" w:eastAsia="宋体" w:cs="宋体"/>
          <w:spacing w:val="-9"/>
          <w:sz w:val="24"/>
          <w:szCs w:val="24"/>
        </w:rPr>
        <w:t>）。</w:t>
      </w:r>
    </w:p>
    <w:p>
      <w:pPr>
        <w:spacing w:before="193" w:line="360" w:lineRule="auto"/>
        <w:ind w:left="40" w:right="205" w:firstLine="482"/>
        <w:rPr>
          <w:rFonts w:ascii="Times New Roman" w:hAnsi="Times New Roman" w:eastAsia="Times New Roman" w:cs="Times New Roman"/>
          <w:sz w:val="24"/>
          <w:szCs w:val="24"/>
        </w:rPr>
      </w:pPr>
      <w:r>
        <w:rPr>
          <w:rFonts w:ascii="宋体" w:hAnsi="宋体" w:eastAsia="宋体" w:cs="宋体"/>
          <w:spacing w:val="-1"/>
          <w:sz w:val="24"/>
          <w:szCs w:val="24"/>
        </w:rPr>
        <w:t>该群系在云南分布较广，常常以纯林形式出现，</w:t>
      </w:r>
      <w:r>
        <w:rPr>
          <w:rFonts w:ascii="宋体" w:hAnsi="宋体" w:eastAsia="宋体" w:cs="宋体"/>
          <w:spacing w:val="-2"/>
          <w:sz w:val="24"/>
          <w:szCs w:val="24"/>
        </w:rPr>
        <w:t>分布海拔</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1000~3000m</w:t>
      </w:r>
      <w:r>
        <w:rPr>
          <w:rFonts w:ascii="宋体" w:hAnsi="宋体" w:eastAsia="宋体" w:cs="宋体"/>
          <w:spacing w:val="-2"/>
          <w:sz w:val="24"/>
          <w:szCs w:val="24"/>
        </w:rPr>
        <w:t>，群</w:t>
      </w:r>
      <w:r>
        <w:rPr>
          <w:rFonts w:ascii="宋体" w:hAnsi="宋体" w:eastAsia="宋体" w:cs="宋体"/>
          <w:sz w:val="24"/>
          <w:szCs w:val="24"/>
        </w:rPr>
        <w:t xml:space="preserve"> </w:t>
      </w:r>
      <w:r>
        <w:rPr>
          <w:rFonts w:ascii="宋体" w:hAnsi="宋体" w:eastAsia="宋体" w:cs="宋体"/>
          <w:spacing w:val="-15"/>
          <w:sz w:val="24"/>
          <w:szCs w:val="24"/>
        </w:rPr>
        <w:t>落所在地中温湿润，</w:t>
      </w:r>
      <w:r>
        <w:rPr>
          <w:rFonts w:ascii="宋体" w:hAnsi="宋体" w:eastAsia="宋体" w:cs="宋体"/>
          <w:spacing w:val="41"/>
          <w:sz w:val="24"/>
          <w:szCs w:val="24"/>
        </w:rPr>
        <w:t xml:space="preserve"> </w:t>
      </w:r>
      <w:r>
        <w:rPr>
          <w:rFonts w:ascii="宋体" w:hAnsi="宋体" w:eastAsia="宋体" w:cs="宋体"/>
          <w:spacing w:val="-15"/>
          <w:sz w:val="24"/>
          <w:szCs w:val="24"/>
        </w:rPr>
        <w:t>一般为近山沟谷边，</w:t>
      </w:r>
      <w:r>
        <w:rPr>
          <w:rFonts w:ascii="宋体" w:hAnsi="宋体" w:eastAsia="宋体" w:cs="宋体"/>
          <w:spacing w:val="38"/>
          <w:sz w:val="24"/>
          <w:szCs w:val="24"/>
        </w:rPr>
        <w:t xml:space="preserve"> </w:t>
      </w:r>
      <w:r>
        <w:rPr>
          <w:rFonts w:ascii="宋体" w:hAnsi="宋体" w:eastAsia="宋体" w:cs="宋体"/>
          <w:spacing w:val="-15"/>
          <w:sz w:val="24"/>
          <w:szCs w:val="24"/>
        </w:rPr>
        <w:t>土层较厚， 坡度平缓的地</w:t>
      </w:r>
      <w:r>
        <w:rPr>
          <w:rFonts w:ascii="宋体" w:hAnsi="宋体" w:eastAsia="宋体" w:cs="宋体"/>
          <w:spacing w:val="-16"/>
          <w:sz w:val="24"/>
          <w:szCs w:val="24"/>
        </w:rPr>
        <w:t>方。现有的林</w:t>
      </w:r>
      <w:r>
        <w:rPr>
          <w:rFonts w:ascii="宋体" w:hAnsi="宋体" w:eastAsia="宋体" w:cs="宋体"/>
          <w:sz w:val="24"/>
          <w:szCs w:val="24"/>
        </w:rPr>
        <w:t xml:space="preserve"> </w:t>
      </w:r>
      <w:r>
        <w:rPr>
          <w:rFonts w:ascii="宋体" w:hAnsi="宋体" w:eastAsia="宋体" w:cs="宋体"/>
          <w:spacing w:val="-6"/>
          <w:sz w:val="24"/>
          <w:szCs w:val="24"/>
        </w:rPr>
        <w:t>分多系常绿阔叶林遭到砍伐后火烧而成， 在我省仍是一种次</w:t>
      </w:r>
      <w:r>
        <w:rPr>
          <w:rFonts w:ascii="宋体" w:hAnsi="宋体" w:eastAsia="宋体" w:cs="宋体"/>
          <w:spacing w:val="-7"/>
          <w:sz w:val="24"/>
          <w:szCs w:val="24"/>
        </w:rPr>
        <w:t>生的植被。在本评价</w:t>
      </w:r>
      <w:r>
        <w:rPr>
          <w:rFonts w:ascii="宋体" w:hAnsi="宋体" w:eastAsia="宋体" w:cs="宋体"/>
          <w:sz w:val="24"/>
          <w:szCs w:val="24"/>
        </w:rPr>
        <w:t xml:space="preserve"> </w:t>
      </w:r>
      <w:r>
        <w:rPr>
          <w:rFonts w:ascii="宋体" w:hAnsi="宋体" w:eastAsia="宋体" w:cs="宋体"/>
          <w:spacing w:val="-11"/>
          <w:sz w:val="24"/>
          <w:szCs w:val="24"/>
        </w:rPr>
        <w:t>区，原始半湿润常绿阔叶林被破坏后，均有可能形成杞木林，这些地方中温潮</w:t>
      </w:r>
      <w:r>
        <w:rPr>
          <w:rFonts w:ascii="宋体" w:hAnsi="宋体" w:eastAsia="宋体" w:cs="宋体"/>
          <w:spacing w:val="-12"/>
          <w:sz w:val="24"/>
          <w:szCs w:val="24"/>
        </w:rPr>
        <w:t>湿，</w:t>
      </w:r>
      <w:r>
        <w:rPr>
          <w:rFonts w:ascii="宋体" w:hAnsi="宋体" w:eastAsia="宋体" w:cs="宋体"/>
          <w:sz w:val="24"/>
          <w:szCs w:val="24"/>
        </w:rPr>
        <w:t xml:space="preserve"> </w:t>
      </w:r>
      <w:r>
        <w:rPr>
          <w:rFonts w:ascii="宋体" w:hAnsi="宋体" w:eastAsia="宋体" w:cs="宋体"/>
          <w:spacing w:val="-1"/>
          <w:sz w:val="24"/>
          <w:szCs w:val="24"/>
        </w:rPr>
        <w:t>尼泊尔桤木是群落中唯一的优势种，仅含有一种群落</w:t>
      </w:r>
      <w:r>
        <w:rPr>
          <w:rFonts w:ascii="宋体" w:hAnsi="宋体" w:eastAsia="宋体" w:cs="宋体"/>
          <w:spacing w:val="-2"/>
          <w:sz w:val="24"/>
          <w:szCs w:val="24"/>
        </w:rPr>
        <w:t>： 尼泊尔桤木群落（</w:t>
      </w:r>
      <w:r>
        <w:rPr>
          <w:rFonts w:ascii="Times New Roman" w:hAnsi="Times New Roman" w:eastAsia="Times New Roman" w:cs="Times New Roman"/>
          <w:i/>
          <w:iCs/>
          <w:spacing w:val="-2"/>
          <w:sz w:val="24"/>
          <w:szCs w:val="24"/>
        </w:rPr>
        <w:t>Alnus</w:t>
      </w:r>
    </w:p>
    <w:p>
      <w:pPr>
        <w:spacing w:line="212" w:lineRule="auto"/>
        <w:ind w:left="34"/>
        <w:rPr>
          <w:rFonts w:ascii="宋体" w:hAnsi="宋体" w:eastAsia="宋体" w:cs="宋体"/>
          <w:sz w:val="24"/>
          <w:szCs w:val="24"/>
        </w:rPr>
      </w:pPr>
      <w:r>
        <w:rPr>
          <w:rFonts w:ascii="Times New Roman" w:hAnsi="Times New Roman" w:eastAsia="Times New Roman" w:cs="Times New Roman"/>
          <w:i/>
          <w:iCs/>
          <w:spacing w:val="-6"/>
          <w:sz w:val="24"/>
          <w:szCs w:val="24"/>
        </w:rPr>
        <w:t xml:space="preserve">nepalensi </w:t>
      </w:r>
      <w:r>
        <w:rPr>
          <w:rFonts w:ascii="Times New Roman" w:hAnsi="Times New Roman" w:eastAsia="Times New Roman" w:cs="Times New Roman"/>
          <w:spacing w:val="-6"/>
          <w:sz w:val="24"/>
          <w:szCs w:val="24"/>
        </w:rPr>
        <w:t>Comm.</w:t>
      </w:r>
      <w:r>
        <w:rPr>
          <w:rFonts w:ascii="宋体" w:hAnsi="宋体" w:eastAsia="宋体" w:cs="宋体"/>
          <w:spacing w:val="-6"/>
          <w:sz w:val="24"/>
          <w:szCs w:val="24"/>
        </w:rPr>
        <w:t>）。</w:t>
      </w:r>
    </w:p>
    <w:p>
      <w:pPr>
        <w:spacing w:line="212" w:lineRule="auto"/>
        <w:rPr>
          <w:rFonts w:ascii="宋体" w:hAnsi="宋体" w:eastAsia="宋体" w:cs="宋体"/>
          <w:sz w:val="24"/>
          <w:szCs w:val="24"/>
        </w:rPr>
        <w:sectPr>
          <w:headerReference r:id="rId246" w:type="default"/>
          <w:footerReference r:id="rId247" w:type="default"/>
          <w:pgSz w:w="11907" w:h="16839"/>
          <w:pgMar w:top="1156" w:right="1593" w:bottom="1373" w:left="1770" w:header="881" w:footer="1210" w:gutter="0"/>
        </w:sectPr>
      </w:pPr>
    </w:p>
    <w:p>
      <w:pPr>
        <w:spacing w:line="317" w:lineRule="auto"/>
        <w:rPr>
          <w:rFonts w:ascii="Arial"/>
          <w:sz w:val="21"/>
        </w:rPr>
      </w:pPr>
    </w:p>
    <w:p>
      <w:pPr>
        <w:spacing w:before="78" w:line="360" w:lineRule="auto"/>
        <w:ind w:left="51" w:right="30" w:firstLine="482"/>
        <w:rPr>
          <w:rFonts w:ascii="宋体" w:hAnsi="宋体" w:eastAsia="宋体" w:cs="宋体"/>
          <w:sz w:val="24"/>
          <w:szCs w:val="24"/>
        </w:rPr>
      </w:pPr>
      <w:r>
        <w:rPr>
          <w:rFonts w:ascii="宋体" w:hAnsi="宋体" w:eastAsia="宋体" w:cs="宋体"/>
          <w:spacing w:val="-2"/>
          <w:sz w:val="24"/>
          <w:szCs w:val="24"/>
        </w:rPr>
        <w:t>该群落在滇中、滇西及滇西北各地海拔</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1300</w:t>
      </w:r>
      <w:r>
        <w:rPr>
          <w:rFonts w:ascii="Times New Roman" w:hAnsi="Times New Roman" w:eastAsia="Times New Roman" w:cs="Times New Roman"/>
          <w:spacing w:val="-3"/>
          <w:sz w:val="24"/>
          <w:szCs w:val="24"/>
        </w:rPr>
        <w:t xml:space="preserve">~2500m </w:t>
      </w:r>
      <w:r>
        <w:rPr>
          <w:rFonts w:ascii="宋体" w:hAnsi="宋体" w:eastAsia="宋体" w:cs="宋体"/>
          <w:spacing w:val="-3"/>
          <w:sz w:val="24"/>
          <w:szCs w:val="24"/>
        </w:rPr>
        <w:t>水湿条件较好的地段皆</w:t>
      </w:r>
      <w:r>
        <w:rPr>
          <w:rFonts w:ascii="宋体" w:hAnsi="宋体" w:eastAsia="宋体" w:cs="宋体"/>
          <w:sz w:val="24"/>
          <w:szCs w:val="24"/>
        </w:rPr>
        <w:t xml:space="preserve"> </w:t>
      </w:r>
      <w:r>
        <w:rPr>
          <w:rFonts w:ascii="宋体" w:hAnsi="宋体" w:eastAsia="宋体" w:cs="宋体"/>
          <w:spacing w:val="-6"/>
          <w:sz w:val="24"/>
          <w:szCs w:val="24"/>
        </w:rPr>
        <w:t>有分布，被当地群众经营为肥源林和薪炭林。在本调查中，</w:t>
      </w:r>
      <w:r>
        <w:rPr>
          <w:rFonts w:ascii="宋体" w:hAnsi="宋体" w:eastAsia="宋体" w:cs="宋体"/>
          <w:spacing w:val="43"/>
          <w:sz w:val="24"/>
          <w:szCs w:val="24"/>
        </w:rPr>
        <w:t xml:space="preserve"> </w:t>
      </w:r>
      <w:r>
        <w:rPr>
          <w:rFonts w:ascii="宋体" w:hAnsi="宋体" w:eastAsia="宋体" w:cs="宋体"/>
          <w:spacing w:val="-6"/>
          <w:sz w:val="24"/>
          <w:szCs w:val="24"/>
        </w:rPr>
        <w:t>海</w:t>
      </w:r>
      <w:r>
        <w:rPr>
          <w:rFonts w:ascii="宋体" w:hAnsi="宋体" w:eastAsia="宋体" w:cs="宋体"/>
          <w:spacing w:val="-7"/>
          <w:sz w:val="24"/>
          <w:szCs w:val="24"/>
        </w:rPr>
        <w:t>拔</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 xml:space="preserve">1900~2500m </w:t>
      </w:r>
      <w:r>
        <w:rPr>
          <w:rFonts w:ascii="宋体" w:hAnsi="宋体" w:eastAsia="宋体" w:cs="宋体"/>
          <w:spacing w:val="-7"/>
          <w:sz w:val="24"/>
          <w:szCs w:val="24"/>
        </w:rPr>
        <w:t>村</w:t>
      </w:r>
      <w:r>
        <w:rPr>
          <w:rFonts w:ascii="宋体" w:hAnsi="宋体" w:eastAsia="宋体" w:cs="宋体"/>
          <w:sz w:val="24"/>
          <w:szCs w:val="24"/>
        </w:rPr>
        <w:t xml:space="preserve"> </w:t>
      </w:r>
      <w:r>
        <w:rPr>
          <w:rFonts w:ascii="宋体" w:hAnsi="宋体" w:eastAsia="宋体" w:cs="宋体"/>
          <w:spacing w:val="-12"/>
          <w:sz w:val="24"/>
          <w:szCs w:val="24"/>
        </w:rPr>
        <w:t>庄附近的湿润沟谷中偶有分布，群落中多样性大大降低，</w:t>
      </w:r>
      <w:r>
        <w:rPr>
          <w:rFonts w:ascii="宋体" w:hAnsi="宋体" w:eastAsia="宋体" w:cs="宋体"/>
          <w:spacing w:val="48"/>
          <w:sz w:val="24"/>
          <w:szCs w:val="24"/>
        </w:rPr>
        <w:t xml:space="preserve"> </w:t>
      </w:r>
      <w:r>
        <w:rPr>
          <w:rFonts w:ascii="宋体" w:hAnsi="宋体" w:eastAsia="宋体" w:cs="宋体"/>
          <w:spacing w:val="-12"/>
          <w:sz w:val="24"/>
          <w:szCs w:val="24"/>
        </w:rPr>
        <w:t>结构较为简单，</w:t>
      </w:r>
      <w:r>
        <w:rPr>
          <w:rFonts w:ascii="宋体" w:hAnsi="宋体" w:eastAsia="宋体" w:cs="宋体"/>
          <w:spacing w:val="30"/>
          <w:sz w:val="24"/>
          <w:szCs w:val="24"/>
        </w:rPr>
        <w:t xml:space="preserve"> </w:t>
      </w:r>
      <w:r>
        <w:rPr>
          <w:rFonts w:ascii="宋体" w:hAnsi="宋体" w:eastAsia="宋体" w:cs="宋体"/>
          <w:spacing w:val="-12"/>
          <w:sz w:val="24"/>
          <w:szCs w:val="24"/>
        </w:rPr>
        <w:t>木本植</w:t>
      </w:r>
    </w:p>
    <w:p>
      <w:pPr>
        <w:spacing w:before="1" w:line="218" w:lineRule="auto"/>
        <w:ind w:left="50"/>
        <w:rPr>
          <w:rFonts w:ascii="宋体" w:hAnsi="宋体" w:eastAsia="宋体" w:cs="宋体"/>
          <w:sz w:val="24"/>
          <w:szCs w:val="24"/>
        </w:rPr>
      </w:pPr>
      <w:r>
        <w:rPr>
          <w:rFonts w:ascii="宋体" w:hAnsi="宋体" w:eastAsia="宋体" w:cs="宋体"/>
          <w:spacing w:val="-10"/>
          <w:sz w:val="24"/>
          <w:szCs w:val="24"/>
        </w:rPr>
        <w:t>物仅有少数几种，且主要以落叶树种为主，灌丛发达</w:t>
      </w:r>
      <w:r>
        <w:rPr>
          <w:rFonts w:ascii="宋体" w:hAnsi="宋体" w:eastAsia="宋体" w:cs="宋体"/>
          <w:spacing w:val="-11"/>
          <w:sz w:val="24"/>
          <w:szCs w:val="24"/>
        </w:rPr>
        <w:t>，是以合并为一个群落描述。</w:t>
      </w:r>
    </w:p>
    <w:p>
      <w:pPr>
        <w:spacing w:before="183" w:line="360" w:lineRule="auto"/>
        <w:ind w:left="45" w:right="30" w:firstLine="486"/>
        <w:rPr>
          <w:rFonts w:ascii="宋体" w:hAnsi="宋体" w:eastAsia="宋体" w:cs="宋体"/>
          <w:sz w:val="24"/>
          <w:szCs w:val="24"/>
        </w:rPr>
      </w:pPr>
      <w:r>
        <w:rPr>
          <w:rFonts w:ascii="宋体" w:hAnsi="宋体" w:eastAsia="宋体" w:cs="宋体"/>
          <w:spacing w:val="-11"/>
          <w:sz w:val="24"/>
          <w:szCs w:val="24"/>
        </w:rPr>
        <w:t>乔木不分层， 平均高度为</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9~14m</w:t>
      </w:r>
      <w:r>
        <w:rPr>
          <w:rFonts w:ascii="宋体" w:hAnsi="宋体" w:eastAsia="宋体" w:cs="宋体"/>
          <w:spacing w:val="-11"/>
          <w:sz w:val="24"/>
          <w:szCs w:val="24"/>
        </w:rPr>
        <w:t>，主要的优势树种为尼泊尔桤木，</w:t>
      </w:r>
      <w:r>
        <w:rPr>
          <w:rFonts w:ascii="宋体" w:hAnsi="宋体" w:eastAsia="宋体" w:cs="宋体"/>
          <w:spacing w:val="24"/>
          <w:sz w:val="24"/>
          <w:szCs w:val="24"/>
        </w:rPr>
        <w:t xml:space="preserve"> </w:t>
      </w:r>
      <w:r>
        <w:rPr>
          <w:rFonts w:ascii="宋体" w:hAnsi="宋体" w:eastAsia="宋体" w:cs="宋体"/>
          <w:spacing w:val="-11"/>
          <w:sz w:val="24"/>
          <w:szCs w:val="24"/>
        </w:rPr>
        <w:t>其他常见</w:t>
      </w:r>
      <w:r>
        <w:rPr>
          <w:rFonts w:ascii="宋体" w:hAnsi="宋体" w:eastAsia="宋体" w:cs="宋体"/>
          <w:sz w:val="24"/>
          <w:szCs w:val="24"/>
        </w:rPr>
        <w:t xml:space="preserve"> 的树种主要有滇青冈</w:t>
      </w:r>
      <w:r>
        <w:rPr>
          <w:rFonts w:ascii="宋体" w:hAnsi="宋体" w:eastAsia="宋体" w:cs="宋体"/>
          <w:spacing w:val="-27"/>
          <w:sz w:val="24"/>
          <w:szCs w:val="24"/>
        </w:rPr>
        <w:t xml:space="preserve"> </w:t>
      </w:r>
      <w:r>
        <w:rPr>
          <w:rFonts w:ascii="Times New Roman" w:hAnsi="Times New Roman" w:eastAsia="Times New Roman" w:cs="Times New Roman"/>
          <w:i/>
          <w:iCs/>
          <w:sz w:val="24"/>
          <w:szCs w:val="24"/>
        </w:rPr>
        <w:t>Cyclobalanopsis</w:t>
      </w:r>
      <w:r>
        <w:rPr>
          <w:rFonts w:ascii="Times New Roman" w:hAnsi="Times New Roman" w:eastAsia="Times New Roman" w:cs="Times New Roman"/>
          <w:i/>
          <w:iCs/>
          <w:spacing w:val="25"/>
          <w:sz w:val="24"/>
          <w:szCs w:val="24"/>
        </w:rPr>
        <w:t xml:space="preserve"> </w:t>
      </w:r>
      <w:r>
        <w:rPr>
          <w:rFonts w:ascii="Times New Roman" w:hAnsi="Times New Roman" w:eastAsia="Times New Roman" w:cs="Times New Roman"/>
          <w:i/>
          <w:iCs/>
          <w:sz w:val="24"/>
          <w:szCs w:val="24"/>
        </w:rPr>
        <w:t>glaucoides</w:t>
      </w:r>
      <w:r>
        <w:rPr>
          <w:rFonts w:ascii="宋体" w:hAnsi="宋体" w:eastAsia="宋体" w:cs="宋体"/>
          <w:sz w:val="24"/>
          <w:szCs w:val="24"/>
        </w:rPr>
        <w:t>、云南</w:t>
      </w:r>
      <w:r>
        <w:rPr>
          <w:rFonts w:ascii="宋体" w:hAnsi="宋体" w:eastAsia="宋体" w:cs="宋体"/>
          <w:spacing w:val="-1"/>
          <w:sz w:val="24"/>
          <w:szCs w:val="24"/>
        </w:rPr>
        <w:t>松</w:t>
      </w:r>
      <w:r>
        <w:rPr>
          <w:rFonts w:ascii="宋体" w:hAnsi="宋体" w:eastAsia="宋体" w:cs="宋体"/>
          <w:spacing w:val="-36"/>
          <w:sz w:val="24"/>
          <w:szCs w:val="24"/>
        </w:rPr>
        <w:t xml:space="preserve"> </w:t>
      </w:r>
      <w:r>
        <w:rPr>
          <w:rFonts w:ascii="Times New Roman" w:hAnsi="Times New Roman" w:eastAsia="Times New Roman" w:cs="Times New Roman"/>
          <w:i/>
          <w:iCs/>
          <w:spacing w:val="-1"/>
          <w:sz w:val="24"/>
          <w:szCs w:val="24"/>
        </w:rPr>
        <w:t>Pinus yunnanensis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、云</w:t>
      </w:r>
      <w:r>
        <w:rPr>
          <w:rFonts w:ascii="宋体" w:hAnsi="宋体" w:eastAsia="宋体" w:cs="宋体"/>
          <w:sz w:val="24"/>
          <w:szCs w:val="24"/>
        </w:rPr>
        <w:t xml:space="preserve"> </w:t>
      </w:r>
      <w:r>
        <w:rPr>
          <w:rFonts w:ascii="宋体" w:hAnsi="宋体" w:eastAsia="宋体" w:cs="宋体"/>
          <w:spacing w:val="9"/>
          <w:sz w:val="24"/>
          <w:szCs w:val="24"/>
        </w:rPr>
        <w:t xml:space="preserve">南油杉 </w:t>
      </w:r>
      <w:r>
        <w:rPr>
          <w:rFonts w:ascii="Times New Roman" w:hAnsi="Times New Roman" w:eastAsia="Times New Roman" w:cs="Times New Roman"/>
          <w:i/>
          <w:iCs/>
          <w:sz w:val="24"/>
          <w:szCs w:val="24"/>
        </w:rPr>
        <w:t>Keteleeria</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evelyniana</w:t>
      </w:r>
      <w:r>
        <w:rPr>
          <w:rFonts w:ascii="宋体" w:hAnsi="宋体" w:eastAsia="宋体" w:cs="宋体"/>
          <w:spacing w:val="9"/>
          <w:sz w:val="24"/>
          <w:szCs w:val="24"/>
        </w:rPr>
        <w:t>、高山锥</w:t>
      </w:r>
      <w:r>
        <w:rPr>
          <w:rFonts w:ascii="宋体" w:hAnsi="宋体" w:eastAsia="宋体" w:cs="宋体"/>
          <w:spacing w:val="47"/>
          <w:sz w:val="24"/>
          <w:szCs w:val="24"/>
        </w:rPr>
        <w:t xml:space="preserve"> </w:t>
      </w:r>
      <w:r>
        <w:rPr>
          <w:rFonts w:ascii="Times New Roman" w:hAnsi="Times New Roman" w:eastAsia="Times New Roman" w:cs="Times New Roman"/>
          <w:i/>
          <w:iCs/>
          <w:sz w:val="24"/>
          <w:szCs w:val="24"/>
        </w:rPr>
        <w:t>Castanopsis</w:t>
      </w:r>
      <w:r>
        <w:rPr>
          <w:rFonts w:ascii="Times New Roman" w:hAnsi="Times New Roman" w:eastAsia="Times New Roman" w:cs="Times New Roman"/>
          <w:i/>
          <w:iCs/>
          <w:spacing w:val="51"/>
          <w:sz w:val="24"/>
          <w:szCs w:val="24"/>
        </w:rPr>
        <w:t xml:space="preserve"> </w:t>
      </w:r>
      <w:r>
        <w:rPr>
          <w:rFonts w:ascii="Times New Roman" w:hAnsi="Times New Roman" w:eastAsia="Times New Roman" w:cs="Times New Roman"/>
          <w:i/>
          <w:iCs/>
          <w:sz w:val="24"/>
          <w:szCs w:val="24"/>
        </w:rPr>
        <w:t>delavayi</w:t>
      </w:r>
      <w:r>
        <w:rPr>
          <w:rFonts w:ascii="Times New Roman" w:hAnsi="Times New Roman" w:eastAsia="Times New Roman" w:cs="Times New Roman"/>
          <w:i/>
          <w:iCs/>
          <w:spacing w:val="-12"/>
          <w:sz w:val="24"/>
          <w:szCs w:val="24"/>
        </w:rPr>
        <w:t xml:space="preserve"> </w:t>
      </w:r>
      <w:r>
        <w:rPr>
          <w:rFonts w:ascii="宋体" w:hAnsi="宋体" w:eastAsia="宋体" w:cs="宋体"/>
          <w:spacing w:val="9"/>
          <w:sz w:val="24"/>
          <w:szCs w:val="24"/>
        </w:rPr>
        <w:t xml:space="preserve">、栓皮栎 </w:t>
      </w:r>
      <w:r>
        <w:rPr>
          <w:rFonts w:ascii="Times New Roman" w:hAnsi="Times New Roman" w:eastAsia="Times New Roman" w:cs="Times New Roman"/>
          <w:i/>
          <w:iCs/>
          <w:sz w:val="24"/>
          <w:szCs w:val="24"/>
        </w:rPr>
        <w:t xml:space="preserve">Quercus </w:t>
      </w:r>
      <w:r>
        <w:rPr>
          <w:rFonts w:ascii="Times New Roman" w:hAnsi="Times New Roman" w:eastAsia="Times New Roman" w:cs="Times New Roman"/>
          <w:i/>
          <w:iCs/>
          <w:spacing w:val="-1"/>
          <w:sz w:val="24"/>
          <w:szCs w:val="24"/>
        </w:rPr>
        <w:t>variabilis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、西南木荷</w:t>
      </w:r>
      <w:r>
        <w:rPr>
          <w:rFonts w:ascii="宋体" w:hAnsi="宋体" w:eastAsia="宋体" w:cs="宋体"/>
          <w:spacing w:val="-24"/>
          <w:sz w:val="24"/>
          <w:szCs w:val="24"/>
        </w:rPr>
        <w:t xml:space="preserve"> </w:t>
      </w:r>
      <w:r>
        <w:rPr>
          <w:rFonts w:ascii="Times New Roman" w:hAnsi="Times New Roman" w:eastAsia="Times New Roman" w:cs="Times New Roman"/>
          <w:i/>
          <w:iCs/>
          <w:spacing w:val="-1"/>
          <w:sz w:val="24"/>
          <w:szCs w:val="24"/>
        </w:rPr>
        <w:t>Schima</w:t>
      </w:r>
      <w:r>
        <w:rPr>
          <w:rFonts w:ascii="Times New Roman" w:hAnsi="Times New Roman" w:eastAsia="Times New Roman" w:cs="Times New Roman"/>
          <w:i/>
          <w:iCs/>
          <w:spacing w:val="34"/>
          <w:w w:val="101"/>
          <w:sz w:val="24"/>
          <w:szCs w:val="24"/>
        </w:rPr>
        <w:t xml:space="preserve"> </w:t>
      </w:r>
      <w:r>
        <w:rPr>
          <w:rFonts w:ascii="Times New Roman" w:hAnsi="Times New Roman" w:eastAsia="Times New Roman" w:cs="Times New Roman"/>
          <w:i/>
          <w:iCs/>
          <w:spacing w:val="-1"/>
          <w:sz w:val="24"/>
          <w:szCs w:val="24"/>
        </w:rPr>
        <w:t>wallichii</w:t>
      </w:r>
      <w:r>
        <w:rPr>
          <w:rFonts w:ascii="宋体" w:hAnsi="宋体" w:eastAsia="宋体" w:cs="宋体"/>
          <w:spacing w:val="-1"/>
          <w:sz w:val="24"/>
          <w:szCs w:val="24"/>
        </w:rPr>
        <w:t>、</w:t>
      </w:r>
      <w:r>
        <w:rPr>
          <w:rFonts w:ascii="宋体" w:hAnsi="宋体" w:eastAsia="宋体" w:cs="宋体"/>
          <w:spacing w:val="-2"/>
          <w:sz w:val="24"/>
          <w:szCs w:val="24"/>
        </w:rPr>
        <w:t xml:space="preserve">四蕊朴 </w:t>
      </w:r>
      <w:r>
        <w:rPr>
          <w:rFonts w:ascii="Times New Roman" w:hAnsi="Times New Roman" w:eastAsia="Times New Roman" w:cs="Times New Roman"/>
          <w:i/>
          <w:iCs/>
          <w:spacing w:val="-2"/>
          <w:sz w:val="24"/>
          <w:szCs w:val="24"/>
        </w:rPr>
        <w:t>Celtis</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pacing w:val="-2"/>
          <w:sz w:val="24"/>
          <w:szCs w:val="24"/>
        </w:rPr>
        <w:t>tetrandra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、清香木</w:t>
      </w:r>
      <w:r>
        <w:rPr>
          <w:rFonts w:ascii="宋体" w:hAnsi="宋体" w:eastAsia="宋体" w:cs="宋体"/>
          <w:spacing w:val="-31"/>
          <w:sz w:val="24"/>
          <w:szCs w:val="24"/>
        </w:rPr>
        <w:t xml:space="preserve"> </w:t>
      </w:r>
      <w:r>
        <w:rPr>
          <w:rFonts w:ascii="Times New Roman" w:hAnsi="Times New Roman" w:eastAsia="Times New Roman" w:cs="Times New Roman"/>
          <w:i/>
          <w:iCs/>
          <w:spacing w:val="-2"/>
          <w:sz w:val="24"/>
          <w:szCs w:val="24"/>
        </w:rPr>
        <w:t>Pistacia</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1"/>
          <w:sz w:val="24"/>
          <w:szCs w:val="24"/>
        </w:rPr>
        <w:t>weinmannifolia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 xml:space="preserve">、珊瑚冬青 </w:t>
      </w:r>
      <w:r>
        <w:rPr>
          <w:rFonts w:ascii="Times New Roman" w:hAnsi="Times New Roman" w:eastAsia="Times New Roman" w:cs="Times New Roman"/>
          <w:i/>
          <w:iCs/>
          <w:spacing w:val="-1"/>
          <w:sz w:val="24"/>
          <w:szCs w:val="24"/>
        </w:rPr>
        <w:t>Ilex</w:t>
      </w:r>
      <w:r>
        <w:rPr>
          <w:rFonts w:ascii="Times New Roman" w:hAnsi="Times New Roman" w:eastAsia="Times New Roman" w:cs="Times New Roman"/>
          <w:i/>
          <w:iCs/>
          <w:spacing w:val="36"/>
          <w:w w:val="101"/>
          <w:sz w:val="24"/>
          <w:szCs w:val="24"/>
        </w:rPr>
        <w:t xml:space="preserve"> </w:t>
      </w:r>
      <w:r>
        <w:rPr>
          <w:rFonts w:ascii="Times New Roman" w:hAnsi="Times New Roman" w:eastAsia="Times New Roman" w:cs="Times New Roman"/>
          <w:i/>
          <w:iCs/>
          <w:spacing w:val="-1"/>
          <w:sz w:val="24"/>
          <w:szCs w:val="24"/>
        </w:rPr>
        <w:t>corallina</w:t>
      </w:r>
      <w:r>
        <w:rPr>
          <w:rFonts w:ascii="Times New Roman" w:hAnsi="Times New Roman" w:eastAsia="Times New Roman" w:cs="Times New Roman"/>
          <w:i/>
          <w:iCs/>
          <w:spacing w:val="-35"/>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 xml:space="preserve">球花石楠 </w:t>
      </w:r>
      <w:r>
        <w:rPr>
          <w:rFonts w:ascii="Times New Roman" w:hAnsi="Times New Roman" w:eastAsia="Times New Roman" w:cs="Times New Roman"/>
          <w:i/>
          <w:iCs/>
          <w:spacing w:val="-2"/>
          <w:sz w:val="24"/>
          <w:szCs w:val="24"/>
        </w:rPr>
        <w:t>Photinia</w:t>
      </w:r>
      <w:r>
        <w:rPr>
          <w:rFonts w:ascii="Times New Roman" w:hAnsi="Times New Roman" w:eastAsia="Times New Roman" w:cs="Times New Roman"/>
          <w:i/>
          <w:iCs/>
          <w:spacing w:val="24"/>
          <w:w w:val="101"/>
          <w:sz w:val="24"/>
          <w:szCs w:val="24"/>
        </w:rPr>
        <w:t xml:space="preserve"> </w:t>
      </w:r>
      <w:r>
        <w:rPr>
          <w:rFonts w:ascii="Times New Roman" w:hAnsi="Times New Roman" w:eastAsia="Times New Roman" w:cs="Times New Roman"/>
          <w:i/>
          <w:iCs/>
          <w:spacing w:val="-2"/>
          <w:sz w:val="24"/>
          <w:szCs w:val="24"/>
        </w:rPr>
        <w:t>glomerata</w:t>
      </w:r>
      <w:r>
        <w:rPr>
          <w:rFonts w:ascii="宋体" w:hAnsi="宋体" w:eastAsia="宋体" w:cs="宋体"/>
          <w:spacing w:val="-2"/>
          <w:sz w:val="24"/>
          <w:szCs w:val="24"/>
        </w:rPr>
        <w:t>、密花树</w:t>
      </w:r>
    </w:p>
    <w:p>
      <w:pPr>
        <w:spacing w:line="212" w:lineRule="auto"/>
        <w:ind w:left="33"/>
        <w:rPr>
          <w:rFonts w:ascii="宋体" w:hAnsi="宋体" w:eastAsia="宋体" w:cs="宋体"/>
          <w:sz w:val="24"/>
          <w:szCs w:val="24"/>
        </w:rPr>
      </w:pPr>
      <w:r>
        <w:rPr>
          <w:rFonts w:ascii="Times New Roman" w:hAnsi="Times New Roman" w:eastAsia="Times New Roman" w:cs="Times New Roman"/>
          <w:i/>
          <w:iCs/>
          <w:sz w:val="24"/>
          <w:szCs w:val="24"/>
        </w:rPr>
        <w:t>Myrsine</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seguinii</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、滇杨</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Populus</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i/>
          <w:iCs/>
          <w:sz w:val="24"/>
          <w:szCs w:val="24"/>
        </w:rPr>
        <w:t>yunnanensis</w:t>
      </w:r>
      <w:r>
        <w:rPr>
          <w:rFonts w:ascii="宋体" w:hAnsi="宋体" w:eastAsia="宋体" w:cs="宋体"/>
          <w:spacing w:val="1"/>
          <w:sz w:val="24"/>
          <w:szCs w:val="24"/>
        </w:rPr>
        <w:t>、黄连木</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Pistacia</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chinensis</w:t>
      </w:r>
      <w:r>
        <w:rPr>
          <w:rFonts w:ascii="宋体" w:hAnsi="宋体" w:eastAsia="宋体" w:cs="宋体"/>
          <w:spacing w:val="1"/>
          <w:sz w:val="24"/>
          <w:szCs w:val="24"/>
        </w:rPr>
        <w:t>。</w:t>
      </w:r>
    </w:p>
    <w:p>
      <w:pPr>
        <w:spacing w:before="192" w:line="360" w:lineRule="auto"/>
        <w:ind w:right="28" w:firstLine="531"/>
        <w:rPr>
          <w:rFonts w:ascii="宋体" w:hAnsi="宋体" w:eastAsia="宋体" w:cs="宋体"/>
          <w:sz w:val="24"/>
          <w:szCs w:val="24"/>
        </w:rPr>
      </w:pPr>
      <w:r>
        <w:rPr>
          <w:rFonts w:ascii="宋体" w:hAnsi="宋体" w:eastAsia="宋体" w:cs="宋体"/>
          <w:spacing w:val="-7"/>
          <w:sz w:val="24"/>
          <w:szCs w:val="24"/>
        </w:rPr>
        <w:t>林内透光明亮， 仅在树木密集处林下稍荫蔽而湿润。灌木层高</w:t>
      </w:r>
      <w:r>
        <w:rPr>
          <w:rFonts w:ascii="宋体" w:hAnsi="宋体" w:eastAsia="宋体" w:cs="宋体"/>
          <w:spacing w:val="-36"/>
          <w:sz w:val="24"/>
          <w:szCs w:val="24"/>
        </w:rPr>
        <w:t xml:space="preserve"> </w:t>
      </w:r>
      <w:r>
        <w:rPr>
          <w:rFonts w:ascii="Times New Roman" w:hAnsi="Times New Roman" w:eastAsia="Times New Roman" w:cs="Times New Roman"/>
          <w:spacing w:val="-7"/>
          <w:sz w:val="24"/>
          <w:szCs w:val="24"/>
        </w:rPr>
        <w:t>0.5~4.8m</w:t>
      </w:r>
      <w:r>
        <w:rPr>
          <w:rFonts w:ascii="宋体" w:hAnsi="宋体" w:eastAsia="宋体" w:cs="宋体"/>
          <w:spacing w:val="-7"/>
          <w:sz w:val="24"/>
          <w:szCs w:val="24"/>
        </w:rPr>
        <w:t>，较</w:t>
      </w:r>
      <w:r>
        <w:rPr>
          <w:rFonts w:ascii="宋体" w:hAnsi="宋体" w:eastAsia="宋体" w:cs="宋体"/>
          <w:sz w:val="24"/>
          <w:szCs w:val="24"/>
        </w:rPr>
        <w:t xml:space="preserve"> </w:t>
      </w:r>
      <w:r>
        <w:rPr>
          <w:rFonts w:ascii="宋体" w:hAnsi="宋体" w:eastAsia="宋体" w:cs="宋体"/>
          <w:spacing w:val="-1"/>
          <w:sz w:val="24"/>
          <w:szCs w:val="24"/>
        </w:rPr>
        <w:t>为发达，层盖度约为</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60%</w:t>
      </w:r>
      <w:r>
        <w:rPr>
          <w:rFonts w:ascii="宋体" w:hAnsi="宋体" w:eastAsia="宋体" w:cs="宋体"/>
          <w:spacing w:val="-1"/>
          <w:sz w:val="24"/>
          <w:szCs w:val="24"/>
        </w:rPr>
        <w:t>，主要成分是珍珠花</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Lyon</w:t>
      </w:r>
      <w:r>
        <w:rPr>
          <w:rFonts w:ascii="Times New Roman" w:hAnsi="Times New Roman" w:eastAsia="Times New Roman" w:cs="Times New Roman"/>
          <w:i/>
          <w:iCs/>
          <w:spacing w:val="-2"/>
          <w:sz w:val="24"/>
          <w:szCs w:val="24"/>
        </w:rPr>
        <w:t>ia ovalifolia</w:t>
      </w:r>
      <w:r>
        <w:rPr>
          <w:rFonts w:ascii="宋体" w:hAnsi="宋体" w:eastAsia="宋体" w:cs="宋体"/>
          <w:spacing w:val="-2"/>
          <w:sz w:val="24"/>
          <w:szCs w:val="24"/>
        </w:rPr>
        <w:t>、火棘</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Pyracantha</w:t>
      </w:r>
      <w:r>
        <w:rPr>
          <w:rFonts w:ascii="Times New Roman" w:hAnsi="Times New Roman" w:eastAsia="Times New Roman" w:cs="Times New Roman"/>
          <w:i/>
          <w:iCs/>
          <w:sz w:val="24"/>
          <w:szCs w:val="24"/>
        </w:rPr>
        <w:t xml:space="preserve"> fortuneana</w:t>
      </w:r>
      <w:r>
        <w:rPr>
          <w:rFonts w:ascii="宋体" w:hAnsi="宋体" w:eastAsia="宋体" w:cs="宋体"/>
          <w:sz w:val="24"/>
          <w:szCs w:val="24"/>
        </w:rPr>
        <w:t>、马桑</w:t>
      </w:r>
      <w:r>
        <w:rPr>
          <w:rFonts w:ascii="宋体" w:hAnsi="宋体" w:eastAsia="宋体" w:cs="宋体"/>
          <w:spacing w:val="-31"/>
          <w:sz w:val="24"/>
          <w:szCs w:val="24"/>
        </w:rPr>
        <w:t xml:space="preserve"> </w:t>
      </w:r>
      <w:r>
        <w:rPr>
          <w:rFonts w:ascii="Times New Roman" w:hAnsi="Times New Roman" w:eastAsia="Times New Roman" w:cs="Times New Roman"/>
          <w:i/>
          <w:iCs/>
          <w:sz w:val="24"/>
          <w:szCs w:val="24"/>
        </w:rPr>
        <w:t>Coriaria nepalensis</w:t>
      </w:r>
      <w:r>
        <w:rPr>
          <w:rFonts w:ascii="宋体" w:hAnsi="宋体" w:eastAsia="宋体" w:cs="宋体"/>
          <w:sz w:val="24"/>
          <w:szCs w:val="24"/>
        </w:rPr>
        <w:t>、长尖叶蔷薇</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R</w:t>
      </w:r>
      <w:r>
        <w:rPr>
          <w:rFonts w:ascii="Times New Roman" w:hAnsi="Times New Roman" w:eastAsia="Times New Roman" w:cs="Times New Roman"/>
          <w:i/>
          <w:iCs/>
          <w:spacing w:val="-1"/>
          <w:sz w:val="24"/>
          <w:szCs w:val="24"/>
        </w:rPr>
        <w:t>osa longicuspis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、美丽马醉木</w:t>
      </w:r>
      <w:r>
        <w:rPr>
          <w:rFonts w:ascii="宋体" w:hAnsi="宋体" w:eastAsia="宋体" w:cs="宋体"/>
          <w:sz w:val="24"/>
          <w:szCs w:val="24"/>
        </w:rPr>
        <w:t xml:space="preserve"> </w:t>
      </w:r>
      <w:r>
        <w:rPr>
          <w:rFonts w:ascii="Times New Roman" w:hAnsi="Times New Roman" w:eastAsia="Times New Roman" w:cs="Times New Roman"/>
          <w:i/>
          <w:iCs/>
          <w:sz w:val="24"/>
          <w:szCs w:val="24"/>
        </w:rPr>
        <w:t>Pieris</w:t>
      </w:r>
      <w:r>
        <w:rPr>
          <w:rFonts w:ascii="Times New Roman" w:hAnsi="Times New Roman" w:eastAsia="Times New Roman" w:cs="Times New Roman"/>
          <w:i/>
          <w:iCs/>
          <w:spacing w:val="-50"/>
          <w:sz w:val="24"/>
          <w:szCs w:val="24"/>
        </w:rPr>
        <w:t xml:space="preserve"> </w:t>
      </w:r>
      <w:r>
        <w:rPr>
          <w:rFonts w:ascii="Times New Roman" w:hAnsi="Times New Roman" w:eastAsia="Times New Roman" w:cs="Times New Roman"/>
          <w:i/>
          <w:iCs/>
          <w:sz w:val="24"/>
          <w:szCs w:val="24"/>
        </w:rPr>
        <w:t>formosa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、小雀花</w:t>
      </w:r>
      <w:r>
        <w:rPr>
          <w:rFonts w:ascii="宋体" w:hAnsi="宋体" w:eastAsia="宋体" w:cs="宋体"/>
          <w:spacing w:val="-44"/>
          <w:sz w:val="24"/>
          <w:szCs w:val="24"/>
        </w:rPr>
        <w:t xml:space="preserve"> </w:t>
      </w:r>
      <w:r>
        <w:rPr>
          <w:rFonts w:ascii="Times New Roman" w:hAnsi="Times New Roman" w:eastAsia="Times New Roman" w:cs="Times New Roman"/>
          <w:i/>
          <w:iCs/>
          <w:sz w:val="24"/>
          <w:szCs w:val="24"/>
        </w:rPr>
        <w:t>Campylotropis</w:t>
      </w:r>
      <w:r>
        <w:rPr>
          <w:rFonts w:ascii="Times New Roman" w:hAnsi="Times New Roman" w:eastAsia="Times New Roman" w:cs="Times New Roman"/>
          <w:i/>
          <w:iCs/>
          <w:spacing w:val="-38"/>
          <w:sz w:val="24"/>
          <w:szCs w:val="24"/>
        </w:rPr>
        <w:t xml:space="preserve"> </w:t>
      </w:r>
      <w:r>
        <w:rPr>
          <w:rFonts w:ascii="Times New Roman" w:hAnsi="Times New Roman" w:eastAsia="Times New Roman" w:cs="Times New Roman"/>
          <w:i/>
          <w:iCs/>
          <w:sz w:val="24"/>
          <w:szCs w:val="24"/>
        </w:rPr>
        <w:t>polyantha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、乌鸦果</w:t>
      </w:r>
      <w:r>
        <w:rPr>
          <w:rFonts w:ascii="宋体" w:hAnsi="宋体" w:eastAsia="宋体" w:cs="宋体"/>
          <w:spacing w:val="-30"/>
          <w:sz w:val="24"/>
          <w:szCs w:val="24"/>
        </w:rPr>
        <w:t xml:space="preserve"> </w:t>
      </w:r>
      <w:r>
        <w:rPr>
          <w:rFonts w:ascii="Times New Roman" w:hAnsi="Times New Roman" w:eastAsia="Times New Roman" w:cs="Times New Roman"/>
          <w:i/>
          <w:iCs/>
          <w:sz w:val="24"/>
          <w:szCs w:val="24"/>
        </w:rPr>
        <w:t>Vaccinium</w:t>
      </w:r>
      <w:r>
        <w:rPr>
          <w:rFonts w:ascii="Times New Roman" w:hAnsi="Times New Roman" w:eastAsia="Times New Roman" w:cs="Times New Roman"/>
          <w:i/>
          <w:iCs/>
          <w:spacing w:val="-55"/>
          <w:sz w:val="24"/>
          <w:szCs w:val="24"/>
        </w:rPr>
        <w:t xml:space="preserve"> </w:t>
      </w:r>
      <w:r>
        <w:rPr>
          <w:rFonts w:ascii="Times New Roman" w:hAnsi="Times New Roman" w:eastAsia="Times New Roman" w:cs="Times New Roman"/>
          <w:i/>
          <w:iCs/>
          <w:sz w:val="24"/>
          <w:szCs w:val="24"/>
        </w:rPr>
        <w:t>fragile</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、牛筋</w:t>
      </w:r>
      <w:r>
        <w:rPr>
          <w:rFonts w:ascii="宋体" w:hAnsi="宋体" w:eastAsia="宋体" w:cs="宋体"/>
          <w:sz w:val="24"/>
          <w:szCs w:val="24"/>
        </w:rPr>
        <w:t xml:space="preserve"> </w:t>
      </w:r>
      <w:r>
        <w:rPr>
          <w:rFonts w:ascii="宋体" w:hAnsi="宋体" w:eastAsia="宋体" w:cs="宋体"/>
          <w:spacing w:val="7"/>
          <w:sz w:val="24"/>
          <w:szCs w:val="24"/>
        </w:rPr>
        <w:t>条</w:t>
      </w:r>
      <w:r>
        <w:rPr>
          <w:rFonts w:ascii="宋体" w:hAnsi="宋体" w:eastAsia="宋体" w:cs="宋体"/>
          <w:spacing w:val="-64"/>
          <w:sz w:val="24"/>
          <w:szCs w:val="24"/>
        </w:rPr>
        <w:t xml:space="preserve"> </w:t>
      </w:r>
      <w:r>
        <w:rPr>
          <w:rFonts w:ascii="Times New Roman" w:hAnsi="Times New Roman" w:eastAsia="Times New Roman" w:cs="Times New Roman"/>
          <w:i/>
          <w:iCs/>
          <w:sz w:val="24"/>
          <w:szCs w:val="24"/>
        </w:rPr>
        <w:t>Dichotomanthes</w:t>
      </w:r>
      <w:r>
        <w:rPr>
          <w:rFonts w:ascii="Times New Roman" w:hAnsi="Times New Roman" w:eastAsia="Times New Roman" w:cs="Times New Roman"/>
          <w:i/>
          <w:iCs/>
          <w:spacing w:val="7"/>
          <w:sz w:val="24"/>
          <w:szCs w:val="24"/>
        </w:rPr>
        <w:t xml:space="preserve"> </w:t>
      </w:r>
      <w:r>
        <w:rPr>
          <w:rFonts w:ascii="Times New Roman" w:hAnsi="Times New Roman" w:eastAsia="Times New Roman" w:cs="Times New Roman"/>
          <w:i/>
          <w:iCs/>
          <w:sz w:val="24"/>
          <w:szCs w:val="24"/>
        </w:rPr>
        <w:t>tristaniicarpa</w:t>
      </w:r>
      <w:r>
        <w:rPr>
          <w:rFonts w:ascii="Times New Roman" w:hAnsi="Times New Roman" w:eastAsia="Times New Roman" w:cs="Times New Roman"/>
          <w:i/>
          <w:iCs/>
          <w:spacing w:val="-34"/>
          <w:sz w:val="24"/>
          <w:szCs w:val="24"/>
        </w:rPr>
        <w:t xml:space="preserve"> </w:t>
      </w:r>
      <w:r>
        <w:rPr>
          <w:rFonts w:ascii="宋体" w:hAnsi="宋体" w:eastAsia="宋体" w:cs="宋体"/>
          <w:spacing w:val="7"/>
          <w:sz w:val="24"/>
          <w:szCs w:val="24"/>
        </w:rPr>
        <w:t>、胡颓子</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Elaeagnuspungens</w:t>
      </w:r>
      <w:r>
        <w:rPr>
          <w:rFonts w:ascii="宋体" w:hAnsi="宋体" w:eastAsia="宋体" w:cs="宋体"/>
          <w:spacing w:val="7"/>
          <w:sz w:val="24"/>
          <w:szCs w:val="24"/>
        </w:rPr>
        <w:t>、余甘子</w:t>
      </w:r>
      <w:r>
        <w:rPr>
          <w:rFonts w:ascii="宋体" w:hAnsi="宋体" w:eastAsia="宋体" w:cs="宋体"/>
          <w:spacing w:val="-54"/>
          <w:sz w:val="24"/>
          <w:szCs w:val="24"/>
        </w:rPr>
        <w:t xml:space="preserve"> </w:t>
      </w:r>
      <w:r>
        <w:rPr>
          <w:rFonts w:ascii="Times New Roman" w:hAnsi="Times New Roman" w:eastAsia="Times New Roman" w:cs="Times New Roman"/>
          <w:i/>
          <w:iCs/>
          <w:sz w:val="24"/>
          <w:szCs w:val="24"/>
        </w:rPr>
        <w:t>Phyllanthus emblica</w:t>
      </w:r>
      <w:r>
        <w:rPr>
          <w:rFonts w:ascii="宋体" w:hAnsi="宋体" w:eastAsia="宋体" w:cs="宋体"/>
          <w:sz w:val="24"/>
          <w:szCs w:val="24"/>
        </w:rPr>
        <w:t>、水红木</w:t>
      </w:r>
      <w:r>
        <w:rPr>
          <w:rFonts w:ascii="宋体" w:hAnsi="宋体" w:eastAsia="宋体" w:cs="宋体"/>
          <w:spacing w:val="-30"/>
          <w:sz w:val="24"/>
          <w:szCs w:val="24"/>
        </w:rPr>
        <w:t xml:space="preserve"> </w:t>
      </w:r>
      <w:r>
        <w:rPr>
          <w:rFonts w:ascii="Times New Roman" w:hAnsi="Times New Roman" w:eastAsia="Times New Roman" w:cs="Times New Roman"/>
          <w:i/>
          <w:iCs/>
          <w:sz w:val="24"/>
          <w:szCs w:val="24"/>
        </w:rPr>
        <w:t>Viburnum</w:t>
      </w:r>
      <w:r>
        <w:rPr>
          <w:rFonts w:ascii="Times New Roman" w:hAnsi="Times New Roman" w:eastAsia="Times New Roman" w:cs="Times New Roman"/>
          <w:i/>
          <w:iCs/>
          <w:spacing w:val="29"/>
          <w:sz w:val="24"/>
          <w:szCs w:val="24"/>
        </w:rPr>
        <w:t xml:space="preserve"> </w:t>
      </w:r>
      <w:r>
        <w:rPr>
          <w:rFonts w:ascii="Times New Roman" w:hAnsi="Times New Roman" w:eastAsia="Times New Roman" w:cs="Times New Roman"/>
          <w:i/>
          <w:iCs/>
          <w:sz w:val="24"/>
          <w:szCs w:val="24"/>
        </w:rPr>
        <w:t>cylindricum</w:t>
      </w:r>
      <w:r>
        <w:rPr>
          <w:rFonts w:ascii="宋体" w:hAnsi="宋体" w:eastAsia="宋体" w:cs="宋体"/>
          <w:sz w:val="24"/>
          <w:szCs w:val="24"/>
        </w:rPr>
        <w:t>、野牡丹</w:t>
      </w:r>
      <w:r>
        <w:rPr>
          <w:rFonts w:ascii="宋体" w:hAnsi="宋体" w:eastAsia="宋体" w:cs="宋体"/>
          <w:spacing w:val="-58"/>
          <w:sz w:val="24"/>
          <w:szCs w:val="24"/>
        </w:rPr>
        <w:t xml:space="preserve"> </w:t>
      </w:r>
      <w:r>
        <w:rPr>
          <w:rFonts w:ascii="Times New Roman" w:hAnsi="Times New Roman" w:eastAsia="Times New Roman" w:cs="Times New Roman"/>
          <w:i/>
          <w:iCs/>
          <w:sz w:val="24"/>
          <w:szCs w:val="24"/>
        </w:rPr>
        <w:t>Mela</w:t>
      </w:r>
      <w:r>
        <w:rPr>
          <w:rFonts w:ascii="Times New Roman" w:hAnsi="Times New Roman" w:eastAsia="Times New Roman" w:cs="Times New Roman"/>
          <w:i/>
          <w:iCs/>
          <w:spacing w:val="-1"/>
          <w:sz w:val="24"/>
          <w:szCs w:val="24"/>
        </w:rPr>
        <w:t>stoma</w:t>
      </w:r>
      <w:r>
        <w:rPr>
          <w:rFonts w:ascii="Times New Roman" w:hAnsi="Times New Roman" w:eastAsia="Times New Roman" w:cs="Times New Roman"/>
          <w:i/>
          <w:iCs/>
          <w:spacing w:val="27"/>
          <w:sz w:val="24"/>
          <w:szCs w:val="24"/>
        </w:rPr>
        <w:t xml:space="preserve"> </w:t>
      </w:r>
      <w:r>
        <w:rPr>
          <w:rFonts w:ascii="Times New Roman" w:hAnsi="Times New Roman" w:eastAsia="Times New Roman" w:cs="Times New Roman"/>
          <w:i/>
          <w:iCs/>
          <w:spacing w:val="-1"/>
          <w:sz w:val="24"/>
          <w:szCs w:val="24"/>
        </w:rPr>
        <w:t>malabathricum</w:t>
      </w:r>
      <w:r>
        <w:rPr>
          <w:rFonts w:ascii="宋体" w:hAnsi="宋体" w:eastAsia="宋体" w:cs="宋体"/>
          <w:spacing w:val="-1"/>
          <w:sz w:val="24"/>
          <w:szCs w:val="24"/>
        </w:rPr>
        <w:t>、走马</w:t>
      </w:r>
      <w:r>
        <w:rPr>
          <w:rFonts w:ascii="宋体" w:hAnsi="宋体" w:eastAsia="宋体" w:cs="宋体"/>
          <w:sz w:val="24"/>
          <w:szCs w:val="24"/>
        </w:rPr>
        <w:t xml:space="preserve"> </w:t>
      </w:r>
      <w:r>
        <w:rPr>
          <w:rFonts w:ascii="宋体" w:hAnsi="宋体" w:eastAsia="宋体" w:cs="宋体"/>
          <w:spacing w:val="-1"/>
          <w:sz w:val="24"/>
          <w:szCs w:val="24"/>
        </w:rPr>
        <w:t>胎</w:t>
      </w:r>
      <w:r>
        <w:rPr>
          <w:rFonts w:ascii="宋体" w:hAnsi="宋体" w:eastAsia="宋体" w:cs="宋体"/>
          <w:spacing w:val="35"/>
          <w:sz w:val="24"/>
          <w:szCs w:val="24"/>
        </w:rPr>
        <w:t xml:space="preserve"> </w:t>
      </w:r>
      <w:r>
        <w:rPr>
          <w:rFonts w:ascii="Times New Roman" w:hAnsi="Times New Roman" w:eastAsia="Times New Roman" w:cs="Times New Roman"/>
          <w:i/>
          <w:iCs/>
          <w:spacing w:val="-1"/>
          <w:sz w:val="24"/>
          <w:szCs w:val="24"/>
        </w:rPr>
        <w:t>Ardisia  gigantifoli</w:t>
      </w:r>
      <w:r>
        <w:rPr>
          <w:rFonts w:ascii="Times New Roman" w:hAnsi="Times New Roman" w:eastAsia="Times New Roman" w:cs="Times New Roman"/>
          <w:i/>
          <w:iCs/>
          <w:spacing w:val="-2"/>
          <w:sz w:val="24"/>
          <w:szCs w:val="24"/>
        </w:rPr>
        <w:t>a</w:t>
      </w:r>
      <w:r>
        <w:rPr>
          <w:rFonts w:ascii="Times New Roman" w:hAnsi="Times New Roman" w:eastAsia="Times New Roman" w:cs="Times New Roman"/>
          <w:i/>
          <w:iCs/>
          <w:spacing w:val="17"/>
          <w:sz w:val="24"/>
          <w:szCs w:val="24"/>
        </w:rPr>
        <w:t xml:space="preserve"> </w:t>
      </w:r>
      <w:r>
        <w:rPr>
          <w:rFonts w:ascii="宋体" w:hAnsi="宋体" w:eastAsia="宋体" w:cs="宋体"/>
          <w:spacing w:val="-2"/>
          <w:sz w:val="24"/>
          <w:szCs w:val="24"/>
        </w:rPr>
        <w:t>、</w:t>
      </w:r>
      <w:r>
        <w:rPr>
          <w:rFonts w:ascii="宋体" w:hAnsi="宋体" w:eastAsia="宋体" w:cs="宋体"/>
          <w:spacing w:val="-60"/>
          <w:sz w:val="24"/>
          <w:szCs w:val="24"/>
        </w:rPr>
        <w:t xml:space="preserve"> </w:t>
      </w:r>
      <w:r>
        <w:rPr>
          <w:rFonts w:ascii="宋体" w:hAnsi="宋体" w:eastAsia="宋体" w:cs="宋体"/>
          <w:spacing w:val="-2"/>
          <w:sz w:val="24"/>
          <w:szCs w:val="24"/>
        </w:rPr>
        <w:t>野</w:t>
      </w:r>
      <w:r>
        <w:rPr>
          <w:rFonts w:ascii="宋体" w:hAnsi="宋体" w:eastAsia="宋体" w:cs="宋体"/>
          <w:spacing w:val="-61"/>
          <w:sz w:val="24"/>
          <w:szCs w:val="24"/>
        </w:rPr>
        <w:t xml:space="preserve"> </w:t>
      </w:r>
      <w:r>
        <w:rPr>
          <w:rFonts w:ascii="宋体" w:hAnsi="宋体" w:eastAsia="宋体" w:cs="宋体"/>
          <w:spacing w:val="-2"/>
          <w:sz w:val="24"/>
          <w:szCs w:val="24"/>
        </w:rPr>
        <w:t>拔</w:t>
      </w:r>
      <w:r>
        <w:rPr>
          <w:rFonts w:ascii="宋体" w:hAnsi="宋体" w:eastAsia="宋体" w:cs="宋体"/>
          <w:spacing w:val="-61"/>
          <w:sz w:val="24"/>
          <w:szCs w:val="24"/>
        </w:rPr>
        <w:t xml:space="preserve"> </w:t>
      </w:r>
      <w:r>
        <w:rPr>
          <w:rFonts w:ascii="宋体" w:hAnsi="宋体" w:eastAsia="宋体" w:cs="宋体"/>
          <w:spacing w:val="-2"/>
          <w:sz w:val="24"/>
          <w:szCs w:val="24"/>
        </w:rPr>
        <w:t>子</w:t>
      </w:r>
      <w:r>
        <w:rPr>
          <w:rFonts w:ascii="宋体" w:hAnsi="宋体" w:eastAsia="宋体" w:cs="宋体"/>
          <w:spacing w:val="43"/>
          <w:sz w:val="24"/>
          <w:szCs w:val="24"/>
        </w:rPr>
        <w:t xml:space="preserve"> </w:t>
      </w:r>
      <w:r>
        <w:rPr>
          <w:rFonts w:ascii="Times New Roman" w:hAnsi="Times New Roman" w:eastAsia="Times New Roman" w:cs="Times New Roman"/>
          <w:i/>
          <w:iCs/>
          <w:spacing w:val="-2"/>
          <w:sz w:val="24"/>
          <w:szCs w:val="24"/>
        </w:rPr>
        <w:t>Elsholtzia  rugulosa</w:t>
      </w:r>
      <w:r>
        <w:rPr>
          <w:rFonts w:ascii="Times New Roman" w:hAnsi="Times New Roman" w:eastAsia="Times New Roman" w:cs="Times New Roman"/>
          <w:i/>
          <w:iCs/>
          <w:spacing w:val="17"/>
          <w:sz w:val="24"/>
          <w:szCs w:val="24"/>
        </w:rPr>
        <w:t xml:space="preserve"> </w:t>
      </w:r>
      <w:r>
        <w:rPr>
          <w:rFonts w:ascii="宋体" w:hAnsi="宋体" w:eastAsia="宋体" w:cs="宋体"/>
          <w:spacing w:val="-2"/>
          <w:sz w:val="24"/>
          <w:szCs w:val="24"/>
        </w:rPr>
        <w:t>、</w:t>
      </w:r>
      <w:r>
        <w:rPr>
          <w:rFonts w:ascii="宋体" w:hAnsi="宋体" w:eastAsia="宋体" w:cs="宋体"/>
          <w:spacing w:val="-54"/>
          <w:sz w:val="24"/>
          <w:szCs w:val="24"/>
        </w:rPr>
        <w:t xml:space="preserve"> </w:t>
      </w:r>
      <w:r>
        <w:rPr>
          <w:rFonts w:ascii="宋体" w:hAnsi="宋体" w:eastAsia="宋体" w:cs="宋体"/>
          <w:spacing w:val="-2"/>
          <w:sz w:val="24"/>
          <w:szCs w:val="24"/>
        </w:rPr>
        <w:t>芳</w:t>
      </w:r>
      <w:r>
        <w:rPr>
          <w:rFonts w:ascii="宋体" w:hAnsi="宋体" w:eastAsia="宋体" w:cs="宋体"/>
          <w:spacing w:val="-59"/>
          <w:sz w:val="24"/>
          <w:szCs w:val="24"/>
        </w:rPr>
        <w:t xml:space="preserve"> </w:t>
      </w:r>
      <w:r>
        <w:rPr>
          <w:rFonts w:ascii="宋体" w:hAnsi="宋体" w:eastAsia="宋体" w:cs="宋体"/>
          <w:spacing w:val="-2"/>
          <w:sz w:val="24"/>
          <w:szCs w:val="24"/>
        </w:rPr>
        <w:t>香</w:t>
      </w:r>
      <w:r>
        <w:rPr>
          <w:rFonts w:ascii="宋体" w:hAnsi="宋体" w:eastAsia="宋体" w:cs="宋体"/>
          <w:spacing w:val="-25"/>
          <w:sz w:val="24"/>
          <w:szCs w:val="24"/>
        </w:rPr>
        <w:t xml:space="preserve"> </w:t>
      </w:r>
      <w:r>
        <w:rPr>
          <w:rFonts w:ascii="宋体" w:hAnsi="宋体" w:eastAsia="宋体" w:cs="宋体"/>
          <w:spacing w:val="-2"/>
          <w:sz w:val="24"/>
          <w:szCs w:val="24"/>
        </w:rPr>
        <w:t>白</w:t>
      </w:r>
      <w:r>
        <w:rPr>
          <w:rFonts w:ascii="宋体" w:hAnsi="宋体" w:eastAsia="宋体" w:cs="宋体"/>
          <w:spacing w:val="-61"/>
          <w:sz w:val="24"/>
          <w:szCs w:val="24"/>
        </w:rPr>
        <w:t xml:space="preserve"> </w:t>
      </w:r>
      <w:r>
        <w:rPr>
          <w:rFonts w:ascii="宋体" w:hAnsi="宋体" w:eastAsia="宋体" w:cs="宋体"/>
          <w:spacing w:val="-2"/>
          <w:sz w:val="24"/>
          <w:szCs w:val="24"/>
        </w:rPr>
        <w:t>珠</w:t>
      </w:r>
      <w:r>
        <w:rPr>
          <w:rFonts w:ascii="宋体" w:hAnsi="宋体" w:eastAsia="宋体" w:cs="宋体"/>
          <w:spacing w:val="64"/>
          <w:sz w:val="24"/>
          <w:szCs w:val="24"/>
        </w:rPr>
        <w:t xml:space="preserve"> </w:t>
      </w:r>
      <w:r>
        <w:rPr>
          <w:rFonts w:ascii="Times New Roman" w:hAnsi="Times New Roman" w:eastAsia="Times New Roman" w:cs="Times New Roman"/>
          <w:i/>
          <w:iCs/>
          <w:spacing w:val="-2"/>
          <w:sz w:val="24"/>
          <w:szCs w:val="24"/>
        </w:rPr>
        <w:t>Gaultheria</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4"/>
          <w:sz w:val="24"/>
          <w:szCs w:val="24"/>
        </w:rPr>
        <w:t>fragrantissima</w:t>
      </w:r>
      <w:r>
        <w:rPr>
          <w:rFonts w:ascii="宋体" w:hAnsi="宋体" w:eastAsia="宋体" w:cs="宋体"/>
          <w:spacing w:val="-4"/>
          <w:sz w:val="24"/>
          <w:szCs w:val="24"/>
        </w:rPr>
        <w:t>、竹叶花椒</w:t>
      </w:r>
      <w:r>
        <w:rPr>
          <w:rFonts w:ascii="宋体" w:hAnsi="宋体" w:eastAsia="宋体" w:cs="宋体"/>
          <w:spacing w:val="-59"/>
          <w:sz w:val="24"/>
          <w:szCs w:val="24"/>
        </w:rPr>
        <w:t xml:space="preserve"> </w:t>
      </w:r>
      <w:r>
        <w:rPr>
          <w:rFonts w:ascii="Times New Roman" w:hAnsi="Times New Roman" w:eastAsia="Times New Roman" w:cs="Times New Roman"/>
          <w:i/>
          <w:iCs/>
          <w:spacing w:val="-4"/>
          <w:sz w:val="24"/>
          <w:szCs w:val="24"/>
        </w:rPr>
        <w:t>Zanthoxylum armatum</w:t>
      </w:r>
      <w:r>
        <w:rPr>
          <w:rFonts w:ascii="宋体" w:hAnsi="宋体" w:eastAsia="宋体" w:cs="宋体"/>
          <w:spacing w:val="-4"/>
          <w:sz w:val="24"/>
          <w:szCs w:val="24"/>
        </w:rPr>
        <w:t>、铁仔</w:t>
      </w:r>
      <w:r>
        <w:rPr>
          <w:rFonts w:ascii="宋体" w:hAnsi="宋体" w:eastAsia="宋体" w:cs="宋体"/>
          <w:spacing w:val="-68"/>
          <w:sz w:val="24"/>
          <w:szCs w:val="24"/>
        </w:rPr>
        <w:t xml:space="preserve"> </w:t>
      </w:r>
      <w:r>
        <w:rPr>
          <w:rFonts w:ascii="Times New Roman" w:hAnsi="Times New Roman" w:eastAsia="Times New Roman" w:cs="Times New Roman"/>
          <w:i/>
          <w:iCs/>
          <w:spacing w:val="-4"/>
          <w:sz w:val="24"/>
          <w:szCs w:val="24"/>
        </w:rPr>
        <w:t xml:space="preserve">Myrsine africana </w:t>
      </w:r>
      <w:r>
        <w:rPr>
          <w:rFonts w:ascii="宋体" w:hAnsi="宋体" w:eastAsia="宋体" w:cs="宋体"/>
          <w:spacing w:val="-4"/>
          <w:sz w:val="24"/>
          <w:szCs w:val="24"/>
        </w:rPr>
        <w:t>等。其中，</w:t>
      </w:r>
      <w:r>
        <w:rPr>
          <w:rFonts w:ascii="宋体" w:hAnsi="宋体" w:eastAsia="宋体" w:cs="宋体"/>
          <w:sz w:val="24"/>
          <w:szCs w:val="24"/>
        </w:rPr>
        <w:t xml:space="preserve"> </w:t>
      </w:r>
      <w:r>
        <w:rPr>
          <w:rFonts w:ascii="宋体" w:hAnsi="宋体" w:eastAsia="宋体" w:cs="宋体"/>
          <w:spacing w:val="-5"/>
          <w:sz w:val="24"/>
          <w:szCs w:val="24"/>
        </w:rPr>
        <w:t>群落灌木层中也存在不少乔木幼树，</w:t>
      </w:r>
      <w:r>
        <w:rPr>
          <w:rFonts w:ascii="宋体" w:hAnsi="宋体" w:eastAsia="宋体" w:cs="宋体"/>
          <w:spacing w:val="-39"/>
          <w:sz w:val="24"/>
          <w:szCs w:val="24"/>
        </w:rPr>
        <w:t xml:space="preserve"> </w:t>
      </w:r>
      <w:r>
        <w:rPr>
          <w:rFonts w:ascii="宋体" w:hAnsi="宋体" w:eastAsia="宋体" w:cs="宋体"/>
          <w:spacing w:val="-5"/>
          <w:sz w:val="24"/>
          <w:szCs w:val="24"/>
        </w:rPr>
        <w:t>如尼泊尔桤木</w:t>
      </w:r>
      <w:r>
        <w:rPr>
          <w:rFonts w:ascii="宋体" w:hAnsi="宋体" w:eastAsia="宋体" w:cs="宋体"/>
          <w:spacing w:val="-71"/>
          <w:sz w:val="24"/>
          <w:szCs w:val="24"/>
        </w:rPr>
        <w:t xml:space="preserve"> </w:t>
      </w:r>
      <w:r>
        <w:rPr>
          <w:rFonts w:ascii="Times New Roman" w:hAnsi="Times New Roman" w:eastAsia="Times New Roman" w:cs="Times New Roman"/>
          <w:i/>
          <w:iCs/>
          <w:spacing w:val="-5"/>
          <w:sz w:val="24"/>
          <w:szCs w:val="24"/>
        </w:rPr>
        <w:t>Alnus nepalensis</w:t>
      </w:r>
      <w:r>
        <w:rPr>
          <w:rFonts w:ascii="宋体" w:hAnsi="宋体" w:eastAsia="宋体" w:cs="宋体"/>
          <w:spacing w:val="-6"/>
          <w:sz w:val="24"/>
          <w:szCs w:val="24"/>
        </w:rPr>
        <w:t>、云南松</w:t>
      </w:r>
      <w:r>
        <w:rPr>
          <w:rFonts w:ascii="宋体" w:hAnsi="宋体" w:eastAsia="宋体" w:cs="宋体"/>
          <w:spacing w:val="-66"/>
          <w:sz w:val="24"/>
          <w:szCs w:val="24"/>
        </w:rPr>
        <w:t xml:space="preserve"> </w:t>
      </w:r>
      <w:r>
        <w:rPr>
          <w:rFonts w:ascii="Times New Roman" w:hAnsi="Times New Roman" w:eastAsia="Times New Roman" w:cs="Times New Roman"/>
          <w:i/>
          <w:iCs/>
          <w:spacing w:val="-6"/>
          <w:sz w:val="24"/>
          <w:szCs w:val="24"/>
        </w:rPr>
        <w:t>Pinus</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4"/>
          <w:sz w:val="24"/>
          <w:szCs w:val="24"/>
        </w:rPr>
        <w:t>yunnanensis</w:t>
      </w:r>
      <w:r>
        <w:rPr>
          <w:rFonts w:ascii="宋体" w:hAnsi="宋体" w:eastAsia="宋体" w:cs="宋体"/>
          <w:spacing w:val="-4"/>
          <w:sz w:val="24"/>
          <w:szCs w:val="24"/>
        </w:rPr>
        <w:t>、滇青冈</w:t>
      </w:r>
      <w:r>
        <w:rPr>
          <w:rFonts w:ascii="宋体" w:hAnsi="宋体" w:eastAsia="宋体" w:cs="宋体"/>
          <w:spacing w:val="-35"/>
          <w:sz w:val="24"/>
          <w:szCs w:val="24"/>
        </w:rPr>
        <w:t xml:space="preserve"> </w:t>
      </w:r>
      <w:r>
        <w:rPr>
          <w:rFonts w:ascii="Times New Roman" w:hAnsi="Times New Roman" w:eastAsia="Times New Roman" w:cs="Times New Roman"/>
          <w:i/>
          <w:iCs/>
          <w:spacing w:val="-4"/>
          <w:sz w:val="24"/>
          <w:szCs w:val="24"/>
        </w:rPr>
        <w:t>Cyclobalanopsis</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4"/>
          <w:sz w:val="24"/>
          <w:szCs w:val="24"/>
        </w:rPr>
        <w:t>glaucoides</w:t>
      </w:r>
      <w:r>
        <w:rPr>
          <w:rFonts w:ascii="宋体" w:hAnsi="宋体" w:eastAsia="宋体" w:cs="宋体"/>
          <w:spacing w:val="-4"/>
          <w:sz w:val="24"/>
          <w:szCs w:val="24"/>
        </w:rPr>
        <w:t>、元江锥</w:t>
      </w:r>
      <w:r>
        <w:rPr>
          <w:rFonts w:ascii="宋体" w:hAnsi="宋体" w:eastAsia="宋体" w:cs="宋体"/>
          <w:spacing w:val="-44"/>
          <w:sz w:val="24"/>
          <w:szCs w:val="24"/>
        </w:rPr>
        <w:t xml:space="preserve"> </w:t>
      </w:r>
      <w:r>
        <w:rPr>
          <w:rFonts w:ascii="Times New Roman" w:hAnsi="Times New Roman" w:eastAsia="Times New Roman" w:cs="Times New Roman"/>
          <w:i/>
          <w:iCs/>
          <w:spacing w:val="-4"/>
          <w:sz w:val="24"/>
          <w:szCs w:val="24"/>
        </w:rPr>
        <w:t>Castanopsis orthacantha</w:t>
      </w:r>
      <w:r>
        <w:rPr>
          <w:rFonts w:ascii="Times New Roman" w:hAnsi="Times New Roman" w:eastAsia="Times New Roman" w:cs="Times New Roman"/>
          <w:i/>
          <w:iCs/>
          <w:spacing w:val="-33"/>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13"/>
          <w:sz w:val="24"/>
          <w:szCs w:val="24"/>
        </w:rPr>
        <w:t>云</w:t>
      </w:r>
      <w:r>
        <w:rPr>
          <w:rFonts w:ascii="宋体" w:hAnsi="宋体" w:eastAsia="宋体" w:cs="宋体"/>
          <w:spacing w:val="-61"/>
          <w:sz w:val="24"/>
          <w:szCs w:val="24"/>
        </w:rPr>
        <w:t xml:space="preserve"> </w:t>
      </w:r>
      <w:r>
        <w:rPr>
          <w:rFonts w:ascii="宋体" w:hAnsi="宋体" w:eastAsia="宋体" w:cs="宋体"/>
          <w:spacing w:val="13"/>
          <w:sz w:val="24"/>
          <w:szCs w:val="24"/>
        </w:rPr>
        <w:t xml:space="preserve">南油杉 </w:t>
      </w:r>
      <w:r>
        <w:rPr>
          <w:rFonts w:ascii="Times New Roman" w:hAnsi="Times New Roman" w:eastAsia="Times New Roman" w:cs="Times New Roman"/>
          <w:i/>
          <w:iCs/>
          <w:sz w:val="24"/>
          <w:szCs w:val="24"/>
        </w:rPr>
        <w:t>Keteleeria</w:t>
      </w:r>
      <w:r>
        <w:rPr>
          <w:rFonts w:ascii="Times New Roman" w:hAnsi="Times New Roman" w:eastAsia="Times New Roman" w:cs="Times New Roman"/>
          <w:i/>
          <w:iCs/>
          <w:spacing w:val="13"/>
          <w:sz w:val="24"/>
          <w:szCs w:val="24"/>
        </w:rPr>
        <w:t xml:space="preserve">  </w:t>
      </w:r>
      <w:r>
        <w:rPr>
          <w:rFonts w:ascii="Times New Roman" w:hAnsi="Times New Roman" w:eastAsia="Times New Roman" w:cs="Times New Roman"/>
          <w:i/>
          <w:iCs/>
          <w:sz w:val="24"/>
          <w:szCs w:val="24"/>
        </w:rPr>
        <w:t>evelyniana</w:t>
      </w:r>
      <w:r>
        <w:rPr>
          <w:rFonts w:ascii="Times New Roman" w:hAnsi="Times New Roman" w:eastAsia="Times New Roman" w:cs="Times New Roman"/>
          <w:i/>
          <w:iCs/>
          <w:spacing w:val="13"/>
          <w:sz w:val="24"/>
          <w:szCs w:val="24"/>
        </w:rPr>
        <w:t xml:space="preserve"> </w:t>
      </w:r>
      <w:r>
        <w:rPr>
          <w:rFonts w:ascii="宋体" w:hAnsi="宋体" w:eastAsia="宋体" w:cs="宋体"/>
          <w:spacing w:val="13"/>
          <w:sz w:val="24"/>
          <w:szCs w:val="24"/>
        </w:rPr>
        <w:t>、</w:t>
      </w:r>
      <w:r>
        <w:rPr>
          <w:rFonts w:ascii="宋体" w:hAnsi="宋体" w:eastAsia="宋体" w:cs="宋体"/>
          <w:spacing w:val="-50"/>
          <w:sz w:val="24"/>
          <w:szCs w:val="24"/>
        </w:rPr>
        <w:t xml:space="preserve"> </w:t>
      </w:r>
      <w:r>
        <w:rPr>
          <w:rFonts w:ascii="宋体" w:hAnsi="宋体" w:eastAsia="宋体" w:cs="宋体"/>
          <w:spacing w:val="13"/>
          <w:sz w:val="24"/>
          <w:szCs w:val="24"/>
        </w:rPr>
        <w:t>四蕊朴</w:t>
      </w:r>
      <w:r>
        <w:rPr>
          <w:rFonts w:ascii="宋体" w:hAnsi="宋体" w:eastAsia="宋体" w:cs="宋体"/>
          <w:spacing w:val="51"/>
          <w:sz w:val="24"/>
          <w:szCs w:val="24"/>
        </w:rPr>
        <w:t xml:space="preserve"> </w:t>
      </w:r>
      <w:r>
        <w:rPr>
          <w:rFonts w:ascii="Times New Roman" w:hAnsi="Times New Roman" w:eastAsia="Times New Roman" w:cs="Times New Roman"/>
          <w:i/>
          <w:iCs/>
          <w:sz w:val="24"/>
          <w:szCs w:val="24"/>
        </w:rPr>
        <w:t>Celtis</w:t>
      </w:r>
      <w:r>
        <w:rPr>
          <w:rFonts w:ascii="Times New Roman" w:hAnsi="Times New Roman" w:eastAsia="Times New Roman" w:cs="Times New Roman"/>
          <w:i/>
          <w:iCs/>
          <w:spacing w:val="13"/>
          <w:sz w:val="24"/>
          <w:szCs w:val="24"/>
        </w:rPr>
        <w:t xml:space="preserve">  </w:t>
      </w:r>
      <w:r>
        <w:rPr>
          <w:rFonts w:ascii="Times New Roman" w:hAnsi="Times New Roman" w:eastAsia="Times New Roman" w:cs="Times New Roman"/>
          <w:i/>
          <w:iCs/>
          <w:sz w:val="24"/>
          <w:szCs w:val="24"/>
        </w:rPr>
        <w:t>tetrandra</w:t>
      </w:r>
      <w:r>
        <w:rPr>
          <w:rFonts w:ascii="Times New Roman" w:hAnsi="Times New Roman" w:eastAsia="Times New Roman" w:cs="Times New Roman"/>
          <w:i/>
          <w:iCs/>
          <w:spacing w:val="13"/>
          <w:sz w:val="24"/>
          <w:szCs w:val="24"/>
        </w:rPr>
        <w:t xml:space="preserve"> </w:t>
      </w:r>
      <w:r>
        <w:rPr>
          <w:rFonts w:ascii="宋体" w:hAnsi="宋体" w:eastAsia="宋体" w:cs="宋体"/>
          <w:spacing w:val="13"/>
          <w:sz w:val="24"/>
          <w:szCs w:val="24"/>
        </w:rPr>
        <w:t>、清香木</w:t>
      </w:r>
      <w:r>
        <w:rPr>
          <w:rFonts w:ascii="宋体" w:hAnsi="宋体" w:eastAsia="宋体" w:cs="宋体"/>
          <w:spacing w:val="30"/>
          <w:sz w:val="24"/>
          <w:szCs w:val="24"/>
        </w:rPr>
        <w:t xml:space="preserve"> </w:t>
      </w:r>
      <w:r>
        <w:rPr>
          <w:rFonts w:ascii="Times New Roman" w:hAnsi="Times New Roman" w:eastAsia="Times New Roman" w:cs="Times New Roman"/>
          <w:i/>
          <w:iCs/>
          <w:sz w:val="24"/>
          <w:szCs w:val="24"/>
        </w:rPr>
        <w:t>Pistacia weinmannifolia</w:t>
      </w:r>
      <w:r>
        <w:rPr>
          <w:rFonts w:ascii="Times New Roman" w:hAnsi="Times New Roman" w:eastAsia="Times New Roman" w:cs="Times New Roman"/>
          <w:i/>
          <w:iCs/>
          <w:spacing w:val="-23"/>
          <w:sz w:val="24"/>
          <w:szCs w:val="24"/>
        </w:rPr>
        <w:t xml:space="preserve"> </w:t>
      </w:r>
      <w:r>
        <w:rPr>
          <w:rFonts w:ascii="宋体" w:hAnsi="宋体" w:eastAsia="宋体" w:cs="宋体"/>
          <w:spacing w:val="1"/>
          <w:sz w:val="24"/>
          <w:szCs w:val="24"/>
        </w:rPr>
        <w:t>、香叶树</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Lindera</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communis</w:t>
      </w:r>
      <w:r>
        <w:rPr>
          <w:rFonts w:ascii="宋体" w:hAnsi="宋体" w:eastAsia="宋体" w:cs="宋体"/>
          <w:spacing w:val="1"/>
          <w:sz w:val="24"/>
          <w:szCs w:val="24"/>
        </w:rPr>
        <w:t>、锥连栎</w:t>
      </w:r>
      <w:r>
        <w:rPr>
          <w:rFonts w:ascii="宋体" w:hAnsi="宋体" w:eastAsia="宋体" w:cs="宋体"/>
          <w:spacing w:val="-49"/>
          <w:sz w:val="24"/>
          <w:szCs w:val="24"/>
        </w:rPr>
        <w:t xml:space="preserve"> </w:t>
      </w:r>
      <w:r>
        <w:rPr>
          <w:rFonts w:ascii="Times New Roman" w:hAnsi="Times New Roman" w:eastAsia="Times New Roman" w:cs="Times New Roman"/>
          <w:i/>
          <w:iCs/>
          <w:sz w:val="24"/>
          <w:szCs w:val="24"/>
        </w:rPr>
        <w:t>Quercus</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franchetii</w:t>
      </w:r>
      <w:r>
        <w:rPr>
          <w:rFonts w:ascii="宋体" w:hAnsi="宋体" w:eastAsia="宋体" w:cs="宋体"/>
          <w:spacing w:val="1"/>
          <w:sz w:val="24"/>
          <w:szCs w:val="24"/>
        </w:rPr>
        <w:t>、毛脉高山</w:t>
      </w:r>
    </w:p>
    <w:p>
      <w:pPr>
        <w:spacing w:line="213" w:lineRule="auto"/>
        <w:ind w:left="50"/>
        <w:rPr>
          <w:rFonts w:ascii="宋体" w:hAnsi="宋体" w:eastAsia="宋体" w:cs="宋体"/>
          <w:sz w:val="24"/>
          <w:szCs w:val="24"/>
        </w:rPr>
      </w:pPr>
      <w:r>
        <w:rPr>
          <w:rFonts w:ascii="宋体" w:hAnsi="宋体" w:eastAsia="宋体" w:cs="宋体"/>
          <w:spacing w:val="-3"/>
          <w:sz w:val="24"/>
          <w:szCs w:val="24"/>
        </w:rPr>
        <w:t>栎</w:t>
      </w:r>
      <w:r>
        <w:rPr>
          <w:rFonts w:ascii="宋体" w:hAnsi="宋体" w:eastAsia="宋体" w:cs="宋体"/>
          <w:spacing w:val="-35"/>
          <w:sz w:val="24"/>
          <w:szCs w:val="24"/>
        </w:rPr>
        <w:t xml:space="preserve"> </w:t>
      </w:r>
      <w:r>
        <w:rPr>
          <w:rFonts w:ascii="Times New Roman" w:hAnsi="Times New Roman" w:eastAsia="Times New Roman" w:cs="Times New Roman"/>
          <w:i/>
          <w:iCs/>
          <w:spacing w:val="-3"/>
          <w:sz w:val="24"/>
          <w:szCs w:val="24"/>
        </w:rPr>
        <w:t xml:space="preserve">Quercus rehderiana </w:t>
      </w:r>
      <w:r>
        <w:rPr>
          <w:rFonts w:ascii="宋体" w:hAnsi="宋体" w:eastAsia="宋体" w:cs="宋体"/>
          <w:spacing w:val="-3"/>
          <w:sz w:val="24"/>
          <w:szCs w:val="24"/>
        </w:rPr>
        <w:t>等。</w:t>
      </w:r>
    </w:p>
    <w:p>
      <w:pPr>
        <w:spacing w:before="191" w:line="360" w:lineRule="auto"/>
        <w:ind w:left="35" w:right="29" w:firstLine="497"/>
        <w:rPr>
          <w:rFonts w:ascii="宋体" w:hAnsi="宋体" w:eastAsia="宋体" w:cs="宋体"/>
          <w:sz w:val="24"/>
          <w:szCs w:val="24"/>
        </w:rPr>
      </w:pPr>
      <w:r>
        <w:rPr>
          <w:rFonts w:ascii="宋体" w:hAnsi="宋体" w:eastAsia="宋体" w:cs="宋体"/>
          <w:spacing w:val="-11"/>
          <w:sz w:val="24"/>
          <w:szCs w:val="24"/>
        </w:rPr>
        <w:t>草本层覆盖程度较高，</w:t>
      </w:r>
      <w:r>
        <w:rPr>
          <w:rFonts w:ascii="宋体" w:hAnsi="宋体" w:eastAsia="宋体" w:cs="宋体"/>
          <w:spacing w:val="31"/>
          <w:sz w:val="24"/>
          <w:szCs w:val="24"/>
        </w:rPr>
        <w:t xml:space="preserve"> </w:t>
      </w:r>
      <w:r>
        <w:rPr>
          <w:rFonts w:ascii="宋体" w:hAnsi="宋体" w:eastAsia="宋体" w:cs="宋体"/>
          <w:spacing w:val="-11"/>
          <w:sz w:val="24"/>
          <w:szCs w:val="24"/>
        </w:rPr>
        <w:t>为</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60%</w:t>
      </w:r>
      <w:r>
        <w:rPr>
          <w:rFonts w:ascii="宋体" w:hAnsi="宋体" w:eastAsia="宋体" w:cs="宋体"/>
          <w:spacing w:val="-11"/>
          <w:sz w:val="24"/>
          <w:szCs w:val="24"/>
        </w:rPr>
        <w:t>左右，</w:t>
      </w:r>
      <w:r>
        <w:rPr>
          <w:rFonts w:ascii="宋体" w:hAnsi="宋体" w:eastAsia="宋体" w:cs="宋体"/>
          <w:spacing w:val="-34"/>
          <w:sz w:val="24"/>
          <w:szCs w:val="24"/>
        </w:rPr>
        <w:t xml:space="preserve"> </w:t>
      </w:r>
      <w:r>
        <w:rPr>
          <w:rFonts w:ascii="宋体" w:hAnsi="宋体" w:eastAsia="宋体" w:cs="宋体"/>
          <w:spacing w:val="-11"/>
          <w:sz w:val="24"/>
          <w:szCs w:val="24"/>
        </w:rPr>
        <w:t>种类也较为丰富。由于人类活动较为频</w:t>
      </w:r>
      <w:r>
        <w:rPr>
          <w:rFonts w:ascii="宋体" w:hAnsi="宋体" w:eastAsia="宋体" w:cs="宋体"/>
          <w:sz w:val="24"/>
          <w:szCs w:val="24"/>
        </w:rPr>
        <w:t xml:space="preserve"> </w:t>
      </w:r>
      <w:r>
        <w:rPr>
          <w:rFonts w:ascii="宋体" w:hAnsi="宋体" w:eastAsia="宋体" w:cs="宋体"/>
          <w:spacing w:val="1"/>
          <w:sz w:val="24"/>
          <w:szCs w:val="24"/>
        </w:rPr>
        <w:t xml:space="preserve">繁，大多数为附近荒山草坡中常见的类群，高度 </w:t>
      </w:r>
      <w:r>
        <w:rPr>
          <w:rFonts w:ascii="Times New Roman" w:hAnsi="Times New Roman" w:eastAsia="Times New Roman" w:cs="Times New Roman"/>
          <w:spacing w:val="1"/>
          <w:sz w:val="24"/>
          <w:szCs w:val="24"/>
        </w:rPr>
        <w:t>2m</w:t>
      </w:r>
      <w:r>
        <w:rPr>
          <w:rFonts w:ascii="Times New Roman" w:hAnsi="Times New Roman" w:eastAsia="Times New Roman" w:cs="Times New Roman"/>
          <w:spacing w:val="24"/>
          <w:w w:val="101"/>
          <w:sz w:val="24"/>
          <w:szCs w:val="24"/>
        </w:rPr>
        <w:t xml:space="preserve">  </w:t>
      </w:r>
      <w:r>
        <w:rPr>
          <w:rFonts w:ascii="宋体" w:hAnsi="宋体" w:eastAsia="宋体" w:cs="宋体"/>
          <w:spacing w:val="1"/>
          <w:sz w:val="24"/>
          <w:szCs w:val="24"/>
        </w:rPr>
        <w:t>以下，常见的种类有黄茅</w:t>
      </w:r>
      <w:r>
        <w:rPr>
          <w:rFonts w:ascii="宋体" w:hAnsi="宋体" w:eastAsia="宋体" w:cs="宋体"/>
          <w:sz w:val="24"/>
          <w:szCs w:val="24"/>
        </w:rPr>
        <w:t xml:space="preserve"> </w:t>
      </w:r>
      <w:r>
        <w:rPr>
          <w:rFonts w:ascii="Times New Roman" w:hAnsi="Times New Roman" w:eastAsia="Times New Roman" w:cs="Times New Roman"/>
          <w:i/>
          <w:iCs/>
          <w:sz w:val="24"/>
          <w:szCs w:val="24"/>
        </w:rPr>
        <w:t>Heteropogon contortus</w:t>
      </w:r>
      <w:r>
        <w:rPr>
          <w:rFonts w:ascii="宋体" w:hAnsi="宋体" w:eastAsia="宋体" w:cs="宋体"/>
          <w:sz w:val="24"/>
          <w:szCs w:val="24"/>
        </w:rPr>
        <w:t>、白健</w:t>
      </w:r>
      <w:r>
        <w:rPr>
          <w:rFonts w:ascii="宋体" w:hAnsi="宋体" w:eastAsia="宋体" w:cs="宋体"/>
          <w:spacing w:val="-1"/>
          <w:sz w:val="24"/>
          <w:szCs w:val="24"/>
        </w:rPr>
        <w:t>秆</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Eulalia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1"/>
          <w:sz w:val="24"/>
          <w:szCs w:val="24"/>
        </w:rPr>
        <w:t>pallens</w:t>
      </w:r>
      <w:r>
        <w:rPr>
          <w:rFonts w:ascii="宋体" w:hAnsi="宋体" w:eastAsia="宋体" w:cs="宋体"/>
          <w:spacing w:val="-1"/>
          <w:sz w:val="24"/>
          <w:szCs w:val="24"/>
        </w:rPr>
        <w:t>、破坏草</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Ageratina adenophora</w:t>
      </w:r>
      <w:r>
        <w:rPr>
          <w:rFonts w:ascii="宋体" w:hAnsi="宋体" w:eastAsia="宋体" w:cs="宋体"/>
          <w:spacing w:val="-1"/>
          <w:sz w:val="24"/>
          <w:szCs w:val="24"/>
        </w:rPr>
        <w:t>、蔗</w:t>
      </w:r>
      <w:r>
        <w:rPr>
          <w:rFonts w:ascii="宋体" w:hAnsi="宋体" w:eastAsia="宋体" w:cs="宋体"/>
          <w:sz w:val="24"/>
          <w:szCs w:val="24"/>
        </w:rPr>
        <w:t xml:space="preserve"> </w:t>
      </w:r>
      <w:r>
        <w:rPr>
          <w:rFonts w:ascii="宋体" w:hAnsi="宋体" w:eastAsia="宋体" w:cs="宋体"/>
          <w:spacing w:val="-1"/>
          <w:sz w:val="24"/>
          <w:szCs w:val="24"/>
        </w:rPr>
        <w:t xml:space="preserve">茅 </w:t>
      </w:r>
      <w:r>
        <w:rPr>
          <w:rFonts w:ascii="Times New Roman" w:hAnsi="Times New Roman" w:eastAsia="Times New Roman" w:cs="Times New Roman"/>
          <w:i/>
          <w:iCs/>
          <w:spacing w:val="-1"/>
          <w:sz w:val="24"/>
          <w:szCs w:val="24"/>
        </w:rPr>
        <w:t>Erianthus</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pacing w:val="-1"/>
          <w:sz w:val="24"/>
          <w:szCs w:val="24"/>
        </w:rPr>
        <w:t>rufipilus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 xml:space="preserve">、旱茅 </w:t>
      </w:r>
      <w:r>
        <w:rPr>
          <w:rFonts w:ascii="Times New Roman" w:hAnsi="Times New Roman" w:eastAsia="Times New Roman" w:cs="Times New Roman"/>
          <w:i/>
          <w:iCs/>
          <w:spacing w:val="-1"/>
          <w:sz w:val="24"/>
          <w:szCs w:val="24"/>
        </w:rPr>
        <w:t>Schizachyrium</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1"/>
          <w:sz w:val="24"/>
          <w:szCs w:val="24"/>
        </w:rPr>
        <w:t>delavayi</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 xml:space="preserve">、孟加拉野古草 </w:t>
      </w:r>
      <w:r>
        <w:rPr>
          <w:rFonts w:ascii="Times New Roman" w:hAnsi="Times New Roman" w:eastAsia="Times New Roman" w:cs="Times New Roman"/>
          <w:i/>
          <w:iCs/>
          <w:spacing w:val="-1"/>
          <w:sz w:val="24"/>
          <w:szCs w:val="24"/>
        </w:rPr>
        <w:t>Arundinella</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2"/>
          <w:sz w:val="24"/>
          <w:szCs w:val="24"/>
        </w:rPr>
        <w:t>bengalensis</w:t>
      </w:r>
      <w:r>
        <w:rPr>
          <w:rFonts w:ascii="Times New Roman" w:hAnsi="Times New Roman" w:eastAsia="Times New Roman" w:cs="Times New Roman"/>
          <w:i/>
          <w:iCs/>
          <w:spacing w:val="37"/>
          <w:sz w:val="24"/>
          <w:szCs w:val="24"/>
        </w:rPr>
        <w:t xml:space="preserve"> </w:t>
      </w:r>
      <w:r>
        <w:rPr>
          <w:rFonts w:ascii="宋体" w:hAnsi="宋体" w:eastAsia="宋体" w:cs="宋体"/>
          <w:spacing w:val="-2"/>
          <w:sz w:val="24"/>
          <w:szCs w:val="24"/>
        </w:rPr>
        <w:t>、</w:t>
      </w:r>
      <w:r>
        <w:rPr>
          <w:rFonts w:ascii="宋体" w:hAnsi="宋体" w:eastAsia="宋体" w:cs="宋体"/>
          <w:spacing w:val="-40"/>
          <w:sz w:val="24"/>
          <w:szCs w:val="24"/>
        </w:rPr>
        <w:t xml:space="preserve"> </w:t>
      </w:r>
      <w:r>
        <w:rPr>
          <w:rFonts w:ascii="宋体" w:hAnsi="宋体" w:eastAsia="宋体" w:cs="宋体"/>
          <w:spacing w:val="-2"/>
          <w:sz w:val="24"/>
          <w:szCs w:val="24"/>
        </w:rPr>
        <w:t>鬼</w:t>
      </w:r>
      <w:r>
        <w:rPr>
          <w:rFonts w:ascii="宋体" w:hAnsi="宋体" w:eastAsia="宋体" w:cs="宋体"/>
          <w:spacing w:val="-40"/>
          <w:sz w:val="24"/>
          <w:szCs w:val="24"/>
        </w:rPr>
        <w:t xml:space="preserve"> </w:t>
      </w:r>
      <w:r>
        <w:rPr>
          <w:rFonts w:ascii="宋体" w:hAnsi="宋体" w:eastAsia="宋体" w:cs="宋体"/>
          <w:spacing w:val="-2"/>
          <w:sz w:val="24"/>
          <w:szCs w:val="24"/>
        </w:rPr>
        <w:t>针</w:t>
      </w:r>
      <w:r>
        <w:rPr>
          <w:rFonts w:ascii="宋体" w:hAnsi="宋体" w:eastAsia="宋体" w:cs="宋体"/>
          <w:spacing w:val="-38"/>
          <w:sz w:val="24"/>
          <w:szCs w:val="24"/>
        </w:rPr>
        <w:t xml:space="preserve"> </w:t>
      </w:r>
      <w:r>
        <w:rPr>
          <w:rFonts w:ascii="宋体" w:hAnsi="宋体" w:eastAsia="宋体" w:cs="宋体"/>
          <w:spacing w:val="-2"/>
          <w:sz w:val="24"/>
          <w:szCs w:val="24"/>
        </w:rPr>
        <w:t>草</w:t>
      </w:r>
      <w:r>
        <w:rPr>
          <w:rFonts w:ascii="宋体" w:hAnsi="宋体" w:eastAsia="宋体" w:cs="宋体"/>
          <w:spacing w:val="62"/>
          <w:sz w:val="24"/>
          <w:szCs w:val="24"/>
        </w:rPr>
        <w:t xml:space="preserve"> </w:t>
      </w:r>
      <w:r>
        <w:rPr>
          <w:rFonts w:ascii="Times New Roman" w:hAnsi="Times New Roman" w:eastAsia="Times New Roman" w:cs="Times New Roman"/>
          <w:i/>
          <w:iCs/>
          <w:spacing w:val="-2"/>
          <w:sz w:val="24"/>
          <w:szCs w:val="24"/>
        </w:rPr>
        <w:t>Bidens</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pacing w:val="-2"/>
          <w:sz w:val="24"/>
          <w:szCs w:val="24"/>
        </w:rPr>
        <w:t>pilo</w:t>
      </w:r>
      <w:r>
        <w:rPr>
          <w:rFonts w:ascii="Times New Roman" w:hAnsi="Times New Roman" w:eastAsia="Times New Roman" w:cs="Times New Roman"/>
          <w:i/>
          <w:iCs/>
          <w:spacing w:val="-3"/>
          <w:sz w:val="24"/>
          <w:szCs w:val="24"/>
        </w:rPr>
        <w:t>sa</w:t>
      </w:r>
      <w:r>
        <w:rPr>
          <w:rFonts w:ascii="Times New Roman" w:hAnsi="Times New Roman" w:eastAsia="Times New Roman" w:cs="Times New Roman"/>
          <w:i/>
          <w:iCs/>
          <w:spacing w:val="37"/>
          <w:w w:val="101"/>
          <w:sz w:val="24"/>
          <w:szCs w:val="24"/>
        </w:rPr>
        <w:t xml:space="preserve"> </w:t>
      </w:r>
      <w:r>
        <w:rPr>
          <w:rFonts w:ascii="宋体" w:hAnsi="宋体" w:eastAsia="宋体" w:cs="宋体"/>
          <w:spacing w:val="-3"/>
          <w:sz w:val="24"/>
          <w:szCs w:val="24"/>
        </w:rPr>
        <w:t>、</w:t>
      </w:r>
      <w:r>
        <w:rPr>
          <w:rFonts w:ascii="宋体" w:hAnsi="宋体" w:eastAsia="宋体" w:cs="宋体"/>
          <w:spacing w:val="-40"/>
          <w:sz w:val="24"/>
          <w:szCs w:val="24"/>
        </w:rPr>
        <w:t xml:space="preserve"> </w:t>
      </w:r>
      <w:r>
        <w:rPr>
          <w:rFonts w:ascii="宋体" w:hAnsi="宋体" w:eastAsia="宋体" w:cs="宋体"/>
          <w:spacing w:val="-3"/>
          <w:sz w:val="24"/>
          <w:szCs w:val="24"/>
        </w:rPr>
        <w:t>毛</w:t>
      </w:r>
      <w:r>
        <w:rPr>
          <w:rFonts w:ascii="宋体" w:hAnsi="宋体" w:eastAsia="宋体" w:cs="宋体"/>
          <w:spacing w:val="-40"/>
          <w:sz w:val="24"/>
          <w:szCs w:val="24"/>
        </w:rPr>
        <w:t xml:space="preserve"> </w:t>
      </w:r>
      <w:r>
        <w:rPr>
          <w:rFonts w:ascii="宋体" w:hAnsi="宋体" w:eastAsia="宋体" w:cs="宋体"/>
          <w:spacing w:val="-3"/>
          <w:sz w:val="24"/>
          <w:szCs w:val="24"/>
        </w:rPr>
        <w:t>轴</w:t>
      </w:r>
      <w:r>
        <w:rPr>
          <w:rFonts w:ascii="宋体" w:hAnsi="宋体" w:eastAsia="宋体" w:cs="宋体"/>
          <w:spacing w:val="-40"/>
          <w:sz w:val="24"/>
          <w:szCs w:val="24"/>
        </w:rPr>
        <w:t xml:space="preserve"> </w:t>
      </w:r>
      <w:r>
        <w:rPr>
          <w:rFonts w:ascii="宋体" w:hAnsi="宋体" w:eastAsia="宋体" w:cs="宋体"/>
          <w:spacing w:val="-3"/>
          <w:sz w:val="24"/>
          <w:szCs w:val="24"/>
        </w:rPr>
        <w:t>蕨</w:t>
      </w:r>
      <w:r>
        <w:rPr>
          <w:rFonts w:ascii="宋体" w:hAnsi="宋体" w:eastAsia="宋体" w:cs="宋体"/>
          <w:spacing w:val="62"/>
          <w:sz w:val="24"/>
          <w:szCs w:val="24"/>
        </w:rPr>
        <w:t xml:space="preserve"> </w:t>
      </w:r>
      <w:r>
        <w:rPr>
          <w:rFonts w:ascii="Times New Roman" w:hAnsi="Times New Roman" w:eastAsia="Times New Roman" w:cs="Times New Roman"/>
          <w:i/>
          <w:iCs/>
          <w:spacing w:val="-3"/>
          <w:sz w:val="24"/>
          <w:szCs w:val="24"/>
        </w:rPr>
        <w:t>Pteridium</w:t>
      </w:r>
      <w:r>
        <w:rPr>
          <w:rFonts w:ascii="Times New Roman" w:hAnsi="Times New Roman" w:eastAsia="Times New Roman" w:cs="Times New Roman"/>
          <w:i/>
          <w:iCs/>
          <w:spacing w:val="21"/>
          <w:sz w:val="24"/>
          <w:szCs w:val="24"/>
        </w:rPr>
        <w:t xml:space="preserve">  </w:t>
      </w:r>
      <w:r>
        <w:rPr>
          <w:rFonts w:ascii="Times New Roman" w:hAnsi="Times New Roman" w:eastAsia="Times New Roman" w:cs="Times New Roman"/>
          <w:i/>
          <w:iCs/>
          <w:spacing w:val="-3"/>
          <w:sz w:val="24"/>
          <w:szCs w:val="24"/>
        </w:rPr>
        <w:t>revolutum</w:t>
      </w:r>
      <w:r>
        <w:rPr>
          <w:rFonts w:ascii="Times New Roman" w:hAnsi="Times New Roman" w:eastAsia="Times New Roman" w:cs="Times New Roman"/>
          <w:i/>
          <w:iCs/>
          <w:spacing w:val="38"/>
          <w:sz w:val="24"/>
          <w:szCs w:val="24"/>
        </w:rPr>
        <w:t xml:space="preserve"> </w:t>
      </w:r>
      <w:r>
        <w:rPr>
          <w:rFonts w:ascii="宋体" w:hAnsi="宋体" w:eastAsia="宋体" w:cs="宋体"/>
          <w:spacing w:val="-3"/>
          <w:sz w:val="24"/>
          <w:szCs w:val="24"/>
        </w:rPr>
        <w:t>、</w:t>
      </w:r>
      <w:r>
        <w:rPr>
          <w:rFonts w:ascii="宋体" w:hAnsi="宋体" w:eastAsia="宋体" w:cs="宋体"/>
          <w:spacing w:val="-42"/>
          <w:sz w:val="24"/>
          <w:szCs w:val="24"/>
        </w:rPr>
        <w:t xml:space="preserve"> </w:t>
      </w:r>
      <w:r>
        <w:rPr>
          <w:rFonts w:ascii="宋体" w:hAnsi="宋体" w:eastAsia="宋体" w:cs="宋体"/>
          <w:spacing w:val="-3"/>
          <w:sz w:val="24"/>
          <w:szCs w:val="24"/>
        </w:rPr>
        <w:t>牡</w:t>
      </w:r>
      <w:r>
        <w:rPr>
          <w:rFonts w:ascii="宋体" w:hAnsi="宋体" w:eastAsia="宋体" w:cs="宋体"/>
          <w:spacing w:val="-36"/>
          <w:sz w:val="24"/>
          <w:szCs w:val="24"/>
        </w:rPr>
        <w:t xml:space="preserve"> </w:t>
      </w:r>
      <w:r>
        <w:rPr>
          <w:rFonts w:ascii="宋体" w:hAnsi="宋体" w:eastAsia="宋体" w:cs="宋体"/>
          <w:spacing w:val="-3"/>
          <w:sz w:val="24"/>
          <w:szCs w:val="24"/>
        </w:rPr>
        <w:t>蒿</w:t>
      </w:r>
    </w:p>
    <w:p>
      <w:pPr>
        <w:spacing w:before="1" w:line="212" w:lineRule="auto"/>
        <w:ind w:left="30"/>
        <w:rPr>
          <w:rFonts w:ascii="宋体" w:hAnsi="宋体" w:eastAsia="宋体" w:cs="宋体"/>
          <w:sz w:val="24"/>
          <w:szCs w:val="24"/>
        </w:rPr>
      </w:pPr>
      <w:r>
        <w:rPr>
          <w:rFonts w:ascii="Times New Roman" w:hAnsi="Times New Roman" w:eastAsia="Times New Roman" w:cs="Times New Roman"/>
          <w:i/>
          <w:iCs/>
          <w:sz w:val="24"/>
          <w:szCs w:val="24"/>
        </w:rPr>
        <w:t>Artemisia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japonica</w:t>
      </w:r>
      <w:r>
        <w:rPr>
          <w:rFonts w:ascii="宋体" w:hAnsi="宋体" w:eastAsia="宋体" w:cs="宋体"/>
          <w:sz w:val="24"/>
          <w:szCs w:val="24"/>
        </w:rPr>
        <w:t>、麦冬</w:t>
      </w:r>
      <w:r>
        <w:rPr>
          <w:rFonts w:ascii="宋体" w:hAnsi="宋体" w:eastAsia="宋体" w:cs="宋体"/>
          <w:spacing w:val="-46"/>
          <w:sz w:val="24"/>
          <w:szCs w:val="24"/>
        </w:rPr>
        <w:t xml:space="preserve"> </w:t>
      </w:r>
      <w:r>
        <w:rPr>
          <w:rFonts w:ascii="Times New Roman" w:hAnsi="Times New Roman" w:eastAsia="Times New Roman" w:cs="Times New Roman"/>
          <w:i/>
          <w:iCs/>
          <w:sz w:val="24"/>
          <w:szCs w:val="24"/>
        </w:rPr>
        <w:t>Ophiopogon</w:t>
      </w:r>
      <w:r>
        <w:rPr>
          <w:rFonts w:ascii="Times New Roman" w:hAnsi="Times New Roman" w:eastAsia="Times New Roman" w:cs="Times New Roman"/>
          <w:i/>
          <w:iCs/>
          <w:spacing w:val="-55"/>
          <w:sz w:val="24"/>
          <w:szCs w:val="24"/>
        </w:rPr>
        <w:t xml:space="preserve"> </w:t>
      </w:r>
      <w:r>
        <w:rPr>
          <w:rFonts w:ascii="Times New Roman" w:hAnsi="Times New Roman" w:eastAsia="Times New Roman" w:cs="Times New Roman"/>
          <w:i/>
          <w:iCs/>
          <w:sz w:val="24"/>
          <w:szCs w:val="24"/>
        </w:rPr>
        <w:t>japonicus</w:t>
      </w:r>
      <w:r>
        <w:rPr>
          <w:rFonts w:ascii="宋体" w:hAnsi="宋体" w:eastAsia="宋体" w:cs="宋体"/>
          <w:sz w:val="24"/>
          <w:szCs w:val="24"/>
        </w:rPr>
        <w:t>、扁穗雀麦</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B</w:t>
      </w:r>
      <w:r>
        <w:rPr>
          <w:rFonts w:ascii="Times New Roman" w:hAnsi="Times New Roman" w:eastAsia="Times New Roman" w:cs="Times New Roman"/>
          <w:i/>
          <w:iCs/>
          <w:spacing w:val="-1"/>
          <w:sz w:val="24"/>
          <w:szCs w:val="24"/>
        </w:rPr>
        <w:t>romus catharticus</w:t>
      </w:r>
      <w:r>
        <w:rPr>
          <w:rFonts w:ascii="宋体" w:hAnsi="宋体" w:eastAsia="宋体" w:cs="宋体"/>
          <w:spacing w:val="-1"/>
          <w:sz w:val="24"/>
          <w:szCs w:val="24"/>
        </w:rPr>
        <w:t>、凤</w:t>
      </w:r>
    </w:p>
    <w:p>
      <w:pPr>
        <w:spacing w:line="212" w:lineRule="auto"/>
        <w:rPr>
          <w:rFonts w:ascii="宋体" w:hAnsi="宋体" w:eastAsia="宋体" w:cs="宋体"/>
          <w:sz w:val="24"/>
          <w:szCs w:val="24"/>
        </w:rPr>
        <w:sectPr>
          <w:headerReference r:id="rId248" w:type="default"/>
          <w:footerReference r:id="rId249" w:type="default"/>
          <w:pgSz w:w="11907" w:h="16839"/>
          <w:pgMar w:top="1156" w:right="1768" w:bottom="1374" w:left="1758" w:header="881" w:footer="1210" w:gutter="0"/>
        </w:sectPr>
      </w:pPr>
    </w:p>
    <w:p>
      <w:pPr>
        <w:spacing w:line="317" w:lineRule="auto"/>
        <w:rPr>
          <w:rFonts w:ascii="Arial"/>
          <w:sz w:val="21"/>
        </w:rPr>
      </w:pPr>
    </w:p>
    <w:p>
      <w:pPr>
        <w:spacing w:before="78" w:line="360" w:lineRule="auto"/>
        <w:ind w:right="206" w:firstLine="50"/>
        <w:rPr>
          <w:rFonts w:ascii="Times New Roman" w:hAnsi="Times New Roman" w:eastAsia="Times New Roman" w:cs="Times New Roman"/>
          <w:sz w:val="24"/>
          <w:szCs w:val="24"/>
        </w:rPr>
      </w:pPr>
      <w:r>
        <w:rPr>
          <w:rFonts w:ascii="宋体" w:hAnsi="宋体" w:eastAsia="宋体" w:cs="宋体"/>
          <w:spacing w:val="-2"/>
          <w:sz w:val="24"/>
          <w:szCs w:val="24"/>
        </w:rPr>
        <w:t>尾蕨</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Pteris</w:t>
      </w:r>
      <w:r>
        <w:rPr>
          <w:rFonts w:ascii="Times New Roman" w:hAnsi="Times New Roman" w:eastAsia="Times New Roman" w:cs="Times New Roman"/>
          <w:i/>
          <w:iCs/>
          <w:spacing w:val="25"/>
          <w:sz w:val="24"/>
          <w:szCs w:val="24"/>
        </w:rPr>
        <w:t xml:space="preserve"> </w:t>
      </w:r>
      <w:r>
        <w:rPr>
          <w:rFonts w:ascii="Times New Roman" w:hAnsi="Times New Roman" w:eastAsia="Times New Roman" w:cs="Times New Roman"/>
          <w:i/>
          <w:iCs/>
          <w:spacing w:val="-2"/>
          <w:sz w:val="24"/>
          <w:szCs w:val="24"/>
        </w:rPr>
        <w:t>nervosa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、蒲公英</w:t>
      </w:r>
      <w:r>
        <w:rPr>
          <w:rFonts w:ascii="宋体" w:hAnsi="宋体" w:eastAsia="宋体" w:cs="宋体"/>
          <w:spacing w:val="-43"/>
          <w:sz w:val="24"/>
          <w:szCs w:val="24"/>
        </w:rPr>
        <w:t xml:space="preserve"> </w:t>
      </w:r>
      <w:r>
        <w:rPr>
          <w:rFonts w:ascii="Times New Roman" w:hAnsi="Times New Roman" w:eastAsia="Times New Roman" w:cs="Times New Roman"/>
          <w:i/>
          <w:iCs/>
          <w:spacing w:val="-2"/>
          <w:sz w:val="24"/>
          <w:szCs w:val="24"/>
        </w:rPr>
        <w:t>Taraxacum</w:t>
      </w:r>
      <w:r>
        <w:rPr>
          <w:rFonts w:ascii="Times New Roman" w:hAnsi="Times New Roman" w:eastAsia="Times New Roman" w:cs="Times New Roman"/>
          <w:i/>
          <w:iCs/>
          <w:spacing w:val="24"/>
          <w:sz w:val="24"/>
          <w:szCs w:val="24"/>
        </w:rPr>
        <w:t xml:space="preserve"> </w:t>
      </w:r>
      <w:r>
        <w:rPr>
          <w:rFonts w:ascii="Times New Roman" w:hAnsi="Times New Roman" w:eastAsia="Times New Roman" w:cs="Times New Roman"/>
          <w:i/>
          <w:iCs/>
          <w:spacing w:val="-2"/>
          <w:sz w:val="24"/>
          <w:szCs w:val="24"/>
        </w:rPr>
        <w:t>mongolicum</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、吉祥草</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R</w:t>
      </w:r>
      <w:r>
        <w:rPr>
          <w:rFonts w:ascii="Times New Roman" w:hAnsi="Times New Roman" w:eastAsia="Times New Roman" w:cs="Times New Roman"/>
          <w:i/>
          <w:iCs/>
          <w:spacing w:val="-3"/>
          <w:sz w:val="24"/>
          <w:szCs w:val="24"/>
        </w:rPr>
        <w:t>eineckea</w:t>
      </w:r>
      <w:r>
        <w:rPr>
          <w:rFonts w:ascii="Times New Roman" w:hAnsi="Times New Roman" w:eastAsia="Times New Roman" w:cs="Times New Roman"/>
          <w:i/>
          <w:iCs/>
          <w:spacing w:val="27"/>
          <w:sz w:val="24"/>
          <w:szCs w:val="24"/>
        </w:rPr>
        <w:t xml:space="preserve"> </w:t>
      </w:r>
      <w:r>
        <w:rPr>
          <w:rFonts w:ascii="Times New Roman" w:hAnsi="Times New Roman" w:eastAsia="Times New Roman" w:cs="Times New Roman"/>
          <w:i/>
          <w:iCs/>
          <w:spacing w:val="-3"/>
          <w:sz w:val="24"/>
          <w:szCs w:val="24"/>
        </w:rPr>
        <w:t>carnea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3"/>
          <w:sz w:val="24"/>
          <w:szCs w:val="24"/>
        </w:rPr>
        <w:t xml:space="preserve">宽叶兔儿风 </w:t>
      </w:r>
      <w:r>
        <w:rPr>
          <w:rFonts w:ascii="Times New Roman" w:hAnsi="Times New Roman" w:eastAsia="Times New Roman" w:cs="Times New Roman"/>
          <w:i/>
          <w:iCs/>
          <w:sz w:val="24"/>
          <w:szCs w:val="24"/>
        </w:rPr>
        <w:t>Ainsliaea</w:t>
      </w:r>
      <w:r>
        <w:rPr>
          <w:rFonts w:ascii="Times New Roman" w:hAnsi="Times New Roman" w:eastAsia="Times New Roman" w:cs="Times New Roman"/>
          <w:i/>
          <w:iCs/>
          <w:spacing w:val="13"/>
          <w:sz w:val="24"/>
          <w:szCs w:val="24"/>
        </w:rPr>
        <w:t xml:space="preserve"> </w:t>
      </w:r>
      <w:r>
        <w:rPr>
          <w:rFonts w:ascii="Times New Roman" w:hAnsi="Times New Roman" w:eastAsia="Times New Roman" w:cs="Times New Roman"/>
          <w:i/>
          <w:iCs/>
          <w:sz w:val="24"/>
          <w:szCs w:val="24"/>
        </w:rPr>
        <w:t>latifolia</w:t>
      </w:r>
      <w:r>
        <w:rPr>
          <w:rFonts w:ascii="宋体" w:hAnsi="宋体" w:eastAsia="宋体" w:cs="宋体"/>
          <w:spacing w:val="13"/>
          <w:sz w:val="24"/>
          <w:szCs w:val="24"/>
        </w:rPr>
        <w:t xml:space="preserve">、大叶冷水花 </w:t>
      </w:r>
      <w:r>
        <w:rPr>
          <w:rFonts w:ascii="Times New Roman" w:hAnsi="Times New Roman" w:eastAsia="Times New Roman" w:cs="Times New Roman"/>
          <w:i/>
          <w:iCs/>
          <w:sz w:val="24"/>
          <w:szCs w:val="24"/>
        </w:rPr>
        <w:t>Pilea</w:t>
      </w:r>
      <w:r>
        <w:rPr>
          <w:rFonts w:ascii="Times New Roman" w:hAnsi="Times New Roman" w:eastAsia="Times New Roman" w:cs="Times New Roman"/>
          <w:i/>
          <w:iCs/>
          <w:spacing w:val="45"/>
          <w:w w:val="101"/>
          <w:sz w:val="24"/>
          <w:szCs w:val="24"/>
        </w:rPr>
        <w:t xml:space="preserve"> </w:t>
      </w:r>
      <w:r>
        <w:rPr>
          <w:rFonts w:ascii="Times New Roman" w:hAnsi="Times New Roman" w:eastAsia="Times New Roman" w:cs="Times New Roman"/>
          <w:i/>
          <w:iCs/>
          <w:sz w:val="24"/>
          <w:szCs w:val="24"/>
        </w:rPr>
        <w:t>martini</w:t>
      </w:r>
      <w:r>
        <w:rPr>
          <w:rFonts w:ascii="宋体" w:hAnsi="宋体" w:eastAsia="宋体" w:cs="宋体"/>
          <w:spacing w:val="13"/>
          <w:sz w:val="24"/>
          <w:szCs w:val="24"/>
        </w:rPr>
        <w:t xml:space="preserve">、芒萁 </w:t>
      </w:r>
      <w:r>
        <w:rPr>
          <w:rFonts w:ascii="Times New Roman" w:hAnsi="Times New Roman" w:eastAsia="Times New Roman" w:cs="Times New Roman"/>
          <w:i/>
          <w:iCs/>
          <w:sz w:val="24"/>
          <w:szCs w:val="24"/>
        </w:rPr>
        <w:t>Dicranopteris dichotoma</w:t>
      </w:r>
      <w:r>
        <w:rPr>
          <w:rFonts w:ascii="Times New Roman" w:hAnsi="Times New Roman" w:eastAsia="Times New Roman" w:cs="Times New Roman"/>
          <w:i/>
          <w:iCs/>
          <w:spacing w:val="-35"/>
          <w:sz w:val="24"/>
          <w:szCs w:val="24"/>
        </w:rPr>
        <w:t xml:space="preserve"> </w:t>
      </w:r>
      <w:r>
        <w:rPr>
          <w:rFonts w:ascii="宋体" w:hAnsi="宋体" w:eastAsia="宋体" w:cs="宋体"/>
          <w:sz w:val="24"/>
          <w:szCs w:val="24"/>
        </w:rPr>
        <w:t>、知风草</w:t>
      </w:r>
      <w:r>
        <w:rPr>
          <w:rFonts w:ascii="宋体" w:hAnsi="宋体" w:eastAsia="宋体" w:cs="宋体"/>
          <w:spacing w:val="-32"/>
          <w:sz w:val="24"/>
          <w:szCs w:val="24"/>
        </w:rPr>
        <w:t xml:space="preserve"> </w:t>
      </w:r>
      <w:r>
        <w:rPr>
          <w:rFonts w:ascii="Times New Roman" w:hAnsi="Times New Roman" w:eastAsia="Times New Roman" w:cs="Times New Roman"/>
          <w:i/>
          <w:iCs/>
          <w:sz w:val="24"/>
          <w:szCs w:val="24"/>
        </w:rPr>
        <w:t>Eragrostis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ferrugin</w:t>
      </w:r>
      <w:r>
        <w:rPr>
          <w:rFonts w:ascii="Times New Roman" w:hAnsi="Times New Roman" w:eastAsia="Times New Roman" w:cs="Times New Roman"/>
          <w:i/>
          <w:iCs/>
          <w:spacing w:val="-1"/>
          <w:sz w:val="24"/>
          <w:szCs w:val="24"/>
        </w:rPr>
        <w:t>ea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、半夏</w:t>
      </w:r>
      <w:r>
        <w:rPr>
          <w:rFonts w:ascii="宋体" w:hAnsi="宋体" w:eastAsia="宋体" w:cs="宋体"/>
          <w:spacing w:val="-32"/>
          <w:sz w:val="24"/>
          <w:szCs w:val="24"/>
        </w:rPr>
        <w:t xml:space="preserve"> </w:t>
      </w:r>
      <w:r>
        <w:rPr>
          <w:rFonts w:ascii="Times New Roman" w:hAnsi="Times New Roman" w:eastAsia="Times New Roman" w:cs="Times New Roman"/>
          <w:i/>
          <w:iCs/>
          <w:spacing w:val="-1"/>
          <w:sz w:val="24"/>
          <w:szCs w:val="24"/>
        </w:rPr>
        <w:t>Pinellia</w:t>
      </w:r>
      <w:r>
        <w:rPr>
          <w:rFonts w:ascii="Times New Roman" w:hAnsi="Times New Roman" w:eastAsia="Times New Roman" w:cs="Times New Roman"/>
          <w:i/>
          <w:iCs/>
          <w:spacing w:val="38"/>
          <w:w w:val="101"/>
          <w:sz w:val="24"/>
          <w:szCs w:val="24"/>
        </w:rPr>
        <w:t xml:space="preserve"> </w:t>
      </w:r>
      <w:r>
        <w:rPr>
          <w:rFonts w:ascii="Times New Roman" w:hAnsi="Times New Roman" w:eastAsia="Times New Roman" w:cs="Times New Roman"/>
          <w:i/>
          <w:iCs/>
          <w:spacing w:val="-1"/>
          <w:sz w:val="24"/>
          <w:szCs w:val="24"/>
        </w:rPr>
        <w:t>ternata</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 xml:space="preserve">、白酒草 </w:t>
      </w:r>
      <w:r>
        <w:rPr>
          <w:rFonts w:ascii="Times New Roman" w:hAnsi="Times New Roman" w:eastAsia="Times New Roman" w:cs="Times New Roman"/>
          <w:i/>
          <w:iCs/>
          <w:spacing w:val="-1"/>
          <w:sz w:val="24"/>
          <w:szCs w:val="24"/>
        </w:rPr>
        <w:t>Conyza</w:t>
      </w:r>
      <w:r>
        <w:rPr>
          <w:rFonts w:ascii="Times New Roman" w:hAnsi="Times New Roman" w:eastAsia="Times New Roman" w:cs="Times New Roman"/>
          <w:i/>
          <w:iCs/>
          <w:sz w:val="24"/>
          <w:szCs w:val="24"/>
        </w:rPr>
        <w:t xml:space="preserve"> japonica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、珠光香青</w:t>
      </w:r>
      <w:r>
        <w:rPr>
          <w:rFonts w:ascii="宋体" w:hAnsi="宋体" w:eastAsia="宋体" w:cs="宋体"/>
          <w:spacing w:val="-54"/>
          <w:sz w:val="24"/>
          <w:szCs w:val="24"/>
        </w:rPr>
        <w:t xml:space="preserve"> </w:t>
      </w:r>
      <w:r>
        <w:rPr>
          <w:rFonts w:ascii="Times New Roman" w:hAnsi="Times New Roman" w:eastAsia="Times New Roman" w:cs="Times New Roman"/>
          <w:i/>
          <w:iCs/>
          <w:sz w:val="24"/>
          <w:szCs w:val="24"/>
        </w:rPr>
        <w:t>Anaphalis margaritac</w:t>
      </w:r>
      <w:r>
        <w:rPr>
          <w:rFonts w:ascii="Times New Roman" w:hAnsi="Times New Roman" w:eastAsia="Times New Roman" w:cs="Times New Roman"/>
          <w:i/>
          <w:iCs/>
          <w:spacing w:val="-1"/>
          <w:sz w:val="24"/>
          <w:szCs w:val="24"/>
        </w:rPr>
        <w:t>ea</w:t>
      </w:r>
      <w:r>
        <w:rPr>
          <w:rFonts w:ascii="宋体" w:hAnsi="宋体" w:eastAsia="宋体" w:cs="宋体"/>
          <w:spacing w:val="-1"/>
          <w:sz w:val="24"/>
          <w:szCs w:val="24"/>
        </w:rPr>
        <w:t xml:space="preserve">、西南风铃草 </w:t>
      </w:r>
      <w:r>
        <w:rPr>
          <w:rFonts w:ascii="Times New Roman" w:hAnsi="Times New Roman" w:eastAsia="Times New Roman" w:cs="Times New Roman"/>
          <w:i/>
          <w:iCs/>
          <w:spacing w:val="-1"/>
          <w:sz w:val="24"/>
          <w:szCs w:val="24"/>
        </w:rPr>
        <w:t>Campanula</w:t>
      </w:r>
      <w:r>
        <w:rPr>
          <w:rFonts w:ascii="Times New Roman" w:hAnsi="Times New Roman" w:eastAsia="Times New Roman" w:cs="Times New Roman"/>
          <w:i/>
          <w:iCs/>
          <w:spacing w:val="-25"/>
          <w:sz w:val="24"/>
          <w:szCs w:val="24"/>
        </w:rPr>
        <w:t xml:space="preserve"> </w:t>
      </w:r>
      <w:r>
        <w:rPr>
          <w:rFonts w:ascii="Times New Roman" w:hAnsi="Times New Roman" w:eastAsia="Times New Roman" w:cs="Times New Roman"/>
          <w:i/>
          <w:iCs/>
          <w:spacing w:val="-1"/>
          <w:sz w:val="24"/>
          <w:szCs w:val="24"/>
        </w:rPr>
        <w:t>pallida</w:t>
      </w:r>
      <w:r>
        <w:rPr>
          <w:rFonts w:ascii="Times New Roman" w:hAnsi="Times New Roman" w:eastAsia="Times New Roman" w:cs="Times New Roman"/>
          <w:i/>
          <w:iCs/>
          <w:spacing w:val="-35"/>
          <w:sz w:val="24"/>
          <w:szCs w:val="24"/>
        </w:rPr>
        <w:t xml:space="preserve"> </w:t>
      </w:r>
      <w:r>
        <w:rPr>
          <w:rFonts w:ascii="宋体" w:hAnsi="宋体" w:eastAsia="宋体" w:cs="宋体"/>
          <w:spacing w:val="-1"/>
          <w:sz w:val="24"/>
          <w:szCs w:val="24"/>
        </w:rPr>
        <w:t>、荩</w:t>
      </w:r>
      <w:r>
        <w:rPr>
          <w:rFonts w:ascii="宋体" w:hAnsi="宋体" w:eastAsia="宋体" w:cs="宋体"/>
          <w:sz w:val="24"/>
          <w:szCs w:val="24"/>
        </w:rPr>
        <w:t xml:space="preserve"> </w:t>
      </w:r>
      <w:r>
        <w:rPr>
          <w:rFonts w:ascii="宋体" w:hAnsi="宋体" w:eastAsia="宋体" w:cs="宋体"/>
          <w:spacing w:val="-2"/>
          <w:sz w:val="24"/>
          <w:szCs w:val="24"/>
        </w:rPr>
        <w:t>草</w:t>
      </w:r>
      <w:r>
        <w:rPr>
          <w:rFonts w:ascii="宋体" w:hAnsi="宋体" w:eastAsia="宋体" w:cs="宋体"/>
          <w:spacing w:val="-72"/>
          <w:sz w:val="24"/>
          <w:szCs w:val="24"/>
        </w:rPr>
        <w:t xml:space="preserve"> </w:t>
      </w:r>
      <w:r>
        <w:rPr>
          <w:rFonts w:ascii="Times New Roman" w:hAnsi="Times New Roman" w:eastAsia="Times New Roman" w:cs="Times New Roman"/>
          <w:i/>
          <w:iCs/>
          <w:spacing w:val="-2"/>
          <w:sz w:val="24"/>
          <w:szCs w:val="24"/>
        </w:rPr>
        <w:t>Arthraxon hispidus</w:t>
      </w:r>
      <w:r>
        <w:rPr>
          <w:rFonts w:ascii="宋体" w:hAnsi="宋体" w:eastAsia="宋体" w:cs="宋体"/>
          <w:spacing w:val="-2"/>
          <w:sz w:val="24"/>
          <w:szCs w:val="24"/>
        </w:rPr>
        <w:t>、短葶飞蓬</w:t>
      </w:r>
      <w:r>
        <w:rPr>
          <w:rFonts w:ascii="宋体" w:hAnsi="宋体" w:eastAsia="宋体" w:cs="宋体"/>
          <w:spacing w:val="-64"/>
          <w:sz w:val="24"/>
          <w:szCs w:val="24"/>
        </w:rPr>
        <w:t xml:space="preserve"> </w:t>
      </w:r>
      <w:r>
        <w:rPr>
          <w:rFonts w:ascii="Times New Roman" w:hAnsi="Times New Roman" w:eastAsia="Times New Roman" w:cs="Times New Roman"/>
          <w:i/>
          <w:iCs/>
          <w:spacing w:val="-2"/>
          <w:sz w:val="24"/>
          <w:szCs w:val="24"/>
        </w:rPr>
        <w:t>E</w:t>
      </w:r>
      <w:r>
        <w:rPr>
          <w:rFonts w:ascii="Times New Roman" w:hAnsi="Times New Roman" w:eastAsia="Times New Roman" w:cs="Times New Roman"/>
          <w:i/>
          <w:iCs/>
          <w:spacing w:val="-3"/>
          <w:sz w:val="24"/>
          <w:szCs w:val="24"/>
        </w:rPr>
        <w:t>rigeron breviscapus</w:t>
      </w:r>
      <w:r>
        <w:rPr>
          <w:rFonts w:ascii="宋体" w:hAnsi="宋体" w:eastAsia="宋体" w:cs="宋体"/>
          <w:spacing w:val="-3"/>
          <w:sz w:val="24"/>
          <w:szCs w:val="24"/>
        </w:rPr>
        <w:t>、华北剪股颖</w:t>
      </w:r>
      <w:r>
        <w:rPr>
          <w:rFonts w:ascii="宋体" w:hAnsi="宋体" w:eastAsia="宋体" w:cs="宋体"/>
          <w:spacing w:val="-72"/>
          <w:sz w:val="24"/>
          <w:szCs w:val="24"/>
        </w:rPr>
        <w:t xml:space="preserve"> </w:t>
      </w:r>
      <w:r>
        <w:rPr>
          <w:rFonts w:ascii="Times New Roman" w:hAnsi="Times New Roman" w:eastAsia="Times New Roman" w:cs="Times New Roman"/>
          <w:i/>
          <w:iCs/>
          <w:spacing w:val="-3"/>
          <w:sz w:val="24"/>
          <w:szCs w:val="24"/>
        </w:rPr>
        <w:t>Agrostis clavata</w:t>
      </w:r>
    </w:p>
    <w:p>
      <w:pPr>
        <w:spacing w:line="219" w:lineRule="auto"/>
        <w:ind w:left="52"/>
        <w:rPr>
          <w:rFonts w:ascii="宋体" w:hAnsi="宋体" w:eastAsia="宋体" w:cs="宋体"/>
          <w:sz w:val="24"/>
          <w:szCs w:val="24"/>
        </w:rPr>
      </w:pPr>
      <w:r>
        <w:rPr>
          <w:rFonts w:ascii="宋体" w:hAnsi="宋体" w:eastAsia="宋体" w:cs="宋体"/>
          <w:sz w:val="24"/>
          <w:szCs w:val="24"/>
        </w:rPr>
        <w:t>等</w:t>
      </w:r>
    </w:p>
    <w:p>
      <w:pPr>
        <w:spacing w:before="182" w:line="360" w:lineRule="auto"/>
        <w:ind w:left="33" w:right="138" w:firstLine="496"/>
        <w:rPr>
          <w:rFonts w:ascii="宋体" w:hAnsi="宋体" w:eastAsia="宋体" w:cs="宋体"/>
          <w:sz w:val="24"/>
          <w:szCs w:val="24"/>
        </w:rPr>
      </w:pPr>
      <w:r>
        <w:rPr>
          <w:rFonts w:ascii="宋体" w:hAnsi="宋体" w:eastAsia="宋体" w:cs="宋体"/>
          <w:spacing w:val="-3"/>
          <w:sz w:val="24"/>
          <w:szCs w:val="24"/>
        </w:rPr>
        <w:t>群落中藤本植物较丰富，但大多数为耐旱喜阳的种类，常见种类</w:t>
      </w:r>
      <w:r>
        <w:rPr>
          <w:rFonts w:ascii="宋体" w:hAnsi="宋体" w:eastAsia="宋体" w:cs="宋体"/>
          <w:spacing w:val="-4"/>
          <w:sz w:val="24"/>
          <w:szCs w:val="24"/>
        </w:rPr>
        <w:t>有马甲菝葜</w:t>
      </w:r>
      <w:r>
        <w:rPr>
          <w:rFonts w:ascii="宋体" w:hAnsi="宋体" w:eastAsia="宋体" w:cs="宋体"/>
          <w:sz w:val="24"/>
          <w:szCs w:val="24"/>
        </w:rPr>
        <w:t xml:space="preserve"> </w:t>
      </w:r>
      <w:r>
        <w:rPr>
          <w:rFonts w:ascii="Times New Roman" w:hAnsi="Times New Roman" w:eastAsia="Times New Roman" w:cs="Times New Roman"/>
          <w:i/>
          <w:iCs/>
          <w:spacing w:val="-1"/>
          <w:sz w:val="24"/>
          <w:szCs w:val="24"/>
        </w:rPr>
        <w:t>Smilax bockii</w:t>
      </w:r>
      <w:r>
        <w:rPr>
          <w:rFonts w:ascii="宋体" w:hAnsi="宋体" w:eastAsia="宋体" w:cs="宋体"/>
          <w:spacing w:val="-1"/>
          <w:sz w:val="24"/>
          <w:szCs w:val="24"/>
        </w:rPr>
        <w:t>、土茯苓</w:t>
      </w:r>
      <w:r>
        <w:rPr>
          <w:rFonts w:ascii="宋体" w:hAnsi="宋体" w:eastAsia="宋体" w:cs="宋体"/>
          <w:spacing w:val="-58"/>
          <w:sz w:val="24"/>
          <w:szCs w:val="24"/>
        </w:rPr>
        <w:t xml:space="preserve"> </w:t>
      </w:r>
      <w:r>
        <w:rPr>
          <w:rFonts w:ascii="Times New Roman" w:hAnsi="Times New Roman" w:eastAsia="Times New Roman" w:cs="Times New Roman"/>
          <w:i/>
          <w:iCs/>
          <w:spacing w:val="-1"/>
          <w:sz w:val="24"/>
          <w:szCs w:val="24"/>
        </w:rPr>
        <w:t>Smilax glabra</w:t>
      </w:r>
      <w:r>
        <w:rPr>
          <w:rFonts w:ascii="宋体" w:hAnsi="宋体" w:eastAsia="宋体" w:cs="宋体"/>
          <w:spacing w:val="-1"/>
          <w:sz w:val="24"/>
          <w:szCs w:val="24"/>
        </w:rPr>
        <w:t>、拉</w:t>
      </w:r>
      <w:r>
        <w:rPr>
          <w:rFonts w:ascii="宋体" w:hAnsi="宋体" w:eastAsia="宋体" w:cs="宋体"/>
          <w:spacing w:val="-2"/>
          <w:sz w:val="24"/>
          <w:szCs w:val="24"/>
        </w:rPr>
        <w:t>拉藤</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Galiumaparine</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spacing w:val="-2"/>
          <w:sz w:val="24"/>
          <w:szCs w:val="24"/>
        </w:rPr>
        <w:t xml:space="preserve">var. </w:t>
      </w:r>
      <w:r>
        <w:rPr>
          <w:rFonts w:ascii="Times New Roman" w:hAnsi="Times New Roman" w:eastAsia="Times New Roman" w:cs="Times New Roman"/>
          <w:i/>
          <w:iCs/>
          <w:spacing w:val="-2"/>
          <w:sz w:val="24"/>
          <w:szCs w:val="24"/>
        </w:rPr>
        <w:t>echinospermum</w:t>
      </w:r>
      <w:r>
        <w:rPr>
          <w:rFonts w:ascii="Times New Roman" w:hAnsi="Times New Roman" w:eastAsia="Times New Roman" w:cs="Times New Roman"/>
          <w:i/>
          <w:iCs/>
          <w:spacing w:val="-35"/>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7"/>
          <w:sz w:val="24"/>
          <w:szCs w:val="24"/>
        </w:rPr>
        <w:t xml:space="preserve">青羊参 </w:t>
      </w:r>
      <w:r>
        <w:rPr>
          <w:rFonts w:ascii="Times New Roman" w:hAnsi="Times New Roman" w:eastAsia="Times New Roman" w:cs="Times New Roman"/>
          <w:i/>
          <w:iCs/>
          <w:sz w:val="24"/>
          <w:szCs w:val="24"/>
        </w:rPr>
        <w:t>Cynanchum</w:t>
      </w:r>
      <w:r>
        <w:rPr>
          <w:rFonts w:ascii="Times New Roman" w:hAnsi="Times New Roman" w:eastAsia="Times New Roman" w:cs="Times New Roman"/>
          <w:i/>
          <w:iCs/>
          <w:spacing w:val="7"/>
          <w:sz w:val="24"/>
          <w:szCs w:val="24"/>
        </w:rPr>
        <w:t xml:space="preserve">  </w:t>
      </w:r>
      <w:r>
        <w:rPr>
          <w:rFonts w:ascii="Times New Roman" w:hAnsi="Times New Roman" w:eastAsia="Times New Roman" w:cs="Times New Roman"/>
          <w:i/>
          <w:iCs/>
          <w:sz w:val="24"/>
          <w:szCs w:val="24"/>
        </w:rPr>
        <w:t>otophyllum</w:t>
      </w:r>
      <w:r>
        <w:rPr>
          <w:rFonts w:ascii="Times New Roman" w:hAnsi="Times New Roman" w:eastAsia="Times New Roman" w:cs="Times New Roman"/>
          <w:i/>
          <w:iCs/>
          <w:spacing w:val="-6"/>
          <w:sz w:val="24"/>
          <w:szCs w:val="24"/>
        </w:rPr>
        <w:t xml:space="preserve"> </w:t>
      </w:r>
      <w:r>
        <w:rPr>
          <w:rFonts w:ascii="宋体" w:hAnsi="宋体" w:eastAsia="宋体" w:cs="宋体"/>
          <w:spacing w:val="7"/>
          <w:sz w:val="24"/>
          <w:szCs w:val="24"/>
        </w:rPr>
        <w:t xml:space="preserve">、粘山药 </w:t>
      </w:r>
      <w:r>
        <w:rPr>
          <w:rFonts w:ascii="Times New Roman" w:hAnsi="Times New Roman" w:eastAsia="Times New Roman" w:cs="Times New Roman"/>
          <w:i/>
          <w:iCs/>
          <w:sz w:val="24"/>
          <w:szCs w:val="24"/>
        </w:rPr>
        <w:t>Dioscorea</w:t>
      </w:r>
      <w:r>
        <w:rPr>
          <w:rFonts w:ascii="Times New Roman" w:hAnsi="Times New Roman" w:eastAsia="Times New Roman" w:cs="Times New Roman"/>
          <w:i/>
          <w:iCs/>
          <w:spacing w:val="46"/>
          <w:sz w:val="24"/>
          <w:szCs w:val="24"/>
        </w:rPr>
        <w:t xml:space="preserve"> </w:t>
      </w:r>
      <w:r>
        <w:rPr>
          <w:rFonts w:ascii="Times New Roman" w:hAnsi="Times New Roman" w:eastAsia="Times New Roman" w:cs="Times New Roman"/>
          <w:i/>
          <w:iCs/>
          <w:sz w:val="24"/>
          <w:szCs w:val="24"/>
        </w:rPr>
        <w:t>hemsleyi</w:t>
      </w:r>
      <w:r>
        <w:rPr>
          <w:rFonts w:ascii="宋体" w:hAnsi="宋体" w:eastAsia="宋体" w:cs="宋体"/>
          <w:spacing w:val="7"/>
          <w:sz w:val="24"/>
          <w:szCs w:val="24"/>
        </w:rPr>
        <w:t xml:space="preserve">、小木通 </w:t>
      </w:r>
      <w:r>
        <w:rPr>
          <w:rFonts w:ascii="Times New Roman" w:hAnsi="Times New Roman" w:eastAsia="Times New Roman" w:cs="Times New Roman"/>
          <w:i/>
          <w:iCs/>
          <w:sz w:val="24"/>
          <w:szCs w:val="24"/>
        </w:rPr>
        <w:t>Clematis  armandii</w:t>
      </w:r>
      <w:r>
        <w:rPr>
          <w:rFonts w:ascii="Times New Roman" w:hAnsi="Times New Roman" w:eastAsia="Times New Roman" w:cs="Times New Roman"/>
          <w:i/>
          <w:iCs/>
          <w:spacing w:val="1"/>
          <w:sz w:val="24"/>
          <w:szCs w:val="24"/>
        </w:rPr>
        <w:t xml:space="preserve"> </w:t>
      </w:r>
      <w:r>
        <w:rPr>
          <w:rFonts w:ascii="宋体" w:hAnsi="宋体" w:eastAsia="宋体" w:cs="宋体"/>
          <w:spacing w:val="16"/>
          <w:sz w:val="24"/>
          <w:szCs w:val="24"/>
        </w:rPr>
        <w:t xml:space="preserve">、鸡屎藤 </w:t>
      </w:r>
      <w:r>
        <w:rPr>
          <w:rFonts w:ascii="Times New Roman" w:hAnsi="Times New Roman" w:eastAsia="Times New Roman" w:cs="Times New Roman"/>
          <w:i/>
          <w:iCs/>
          <w:sz w:val="24"/>
          <w:szCs w:val="24"/>
        </w:rPr>
        <w:t>Paederia</w:t>
      </w:r>
      <w:r>
        <w:rPr>
          <w:rFonts w:ascii="Times New Roman" w:hAnsi="Times New Roman" w:eastAsia="Times New Roman" w:cs="Times New Roman"/>
          <w:i/>
          <w:iCs/>
          <w:spacing w:val="-42"/>
          <w:sz w:val="24"/>
          <w:szCs w:val="24"/>
        </w:rPr>
        <w:t xml:space="preserve"> </w:t>
      </w:r>
      <w:r>
        <w:rPr>
          <w:rFonts w:ascii="Times New Roman" w:hAnsi="Times New Roman" w:eastAsia="Times New Roman" w:cs="Times New Roman"/>
          <w:i/>
          <w:iCs/>
          <w:sz w:val="24"/>
          <w:szCs w:val="24"/>
        </w:rPr>
        <w:t>foetida</w:t>
      </w:r>
      <w:r>
        <w:rPr>
          <w:rFonts w:ascii="宋体" w:hAnsi="宋体" w:eastAsia="宋体" w:cs="宋体"/>
          <w:spacing w:val="16"/>
          <w:sz w:val="24"/>
          <w:szCs w:val="24"/>
        </w:rPr>
        <w:t>、鸡蛋参</w:t>
      </w:r>
      <w:r>
        <w:rPr>
          <w:rFonts w:ascii="宋体" w:hAnsi="宋体" w:eastAsia="宋体" w:cs="宋体"/>
          <w:spacing w:val="37"/>
          <w:sz w:val="24"/>
          <w:szCs w:val="24"/>
        </w:rPr>
        <w:t xml:space="preserve"> </w:t>
      </w:r>
      <w:r>
        <w:rPr>
          <w:rFonts w:ascii="Times New Roman" w:hAnsi="Times New Roman" w:eastAsia="Times New Roman" w:cs="Times New Roman"/>
          <w:i/>
          <w:iCs/>
          <w:sz w:val="24"/>
          <w:szCs w:val="24"/>
        </w:rPr>
        <w:t>Codonopsis</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sz w:val="24"/>
          <w:szCs w:val="24"/>
        </w:rPr>
        <w:t>convolvulacea</w:t>
      </w:r>
      <w:r>
        <w:rPr>
          <w:rFonts w:ascii="Times New Roman" w:hAnsi="Times New Roman" w:eastAsia="Times New Roman" w:cs="Times New Roman"/>
          <w:i/>
          <w:iCs/>
          <w:spacing w:val="-35"/>
          <w:sz w:val="24"/>
          <w:szCs w:val="24"/>
        </w:rPr>
        <w:t xml:space="preserve"> </w:t>
      </w:r>
      <w:r>
        <w:rPr>
          <w:rFonts w:ascii="宋体" w:hAnsi="宋体" w:eastAsia="宋体" w:cs="宋体"/>
          <w:spacing w:val="16"/>
          <w:sz w:val="24"/>
          <w:szCs w:val="24"/>
        </w:rPr>
        <w:t>、牵牛</w:t>
      </w:r>
      <w:r>
        <w:rPr>
          <w:rFonts w:ascii="宋体" w:hAnsi="宋体" w:eastAsia="宋体" w:cs="宋体"/>
          <w:sz w:val="24"/>
          <w:szCs w:val="24"/>
        </w:rPr>
        <w:t xml:space="preserve"> </w:t>
      </w:r>
      <w:r>
        <w:rPr>
          <w:rFonts w:ascii="Times New Roman" w:hAnsi="Times New Roman" w:eastAsia="Times New Roman" w:cs="Times New Roman"/>
          <w:i/>
          <w:iCs/>
          <w:spacing w:val="-3"/>
          <w:sz w:val="24"/>
          <w:szCs w:val="24"/>
        </w:rPr>
        <w:t>Ipomoea nil</w:t>
      </w:r>
      <w:r>
        <w:rPr>
          <w:rFonts w:ascii="宋体" w:hAnsi="宋体" w:eastAsia="宋体" w:cs="宋体"/>
          <w:spacing w:val="-3"/>
          <w:sz w:val="24"/>
          <w:szCs w:val="24"/>
        </w:rPr>
        <w:t xml:space="preserve">、菟丝子 </w:t>
      </w:r>
      <w:r>
        <w:rPr>
          <w:rFonts w:ascii="Times New Roman" w:hAnsi="Times New Roman" w:eastAsia="Times New Roman" w:cs="Times New Roman"/>
          <w:i/>
          <w:iCs/>
          <w:spacing w:val="-3"/>
          <w:sz w:val="24"/>
          <w:szCs w:val="24"/>
        </w:rPr>
        <w:t>Cuscuta chinensis</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 xml:space="preserve">、钝萼铁线莲 </w:t>
      </w:r>
      <w:r>
        <w:rPr>
          <w:rFonts w:ascii="Times New Roman" w:hAnsi="Times New Roman" w:eastAsia="Times New Roman" w:cs="Times New Roman"/>
          <w:i/>
          <w:iCs/>
          <w:spacing w:val="-3"/>
          <w:sz w:val="24"/>
          <w:szCs w:val="24"/>
        </w:rPr>
        <w:t>Cl</w:t>
      </w:r>
      <w:r>
        <w:rPr>
          <w:rFonts w:ascii="Times New Roman" w:hAnsi="Times New Roman" w:eastAsia="Times New Roman" w:cs="Times New Roman"/>
          <w:i/>
          <w:iCs/>
          <w:spacing w:val="-4"/>
          <w:sz w:val="24"/>
          <w:szCs w:val="24"/>
        </w:rPr>
        <w:t>ematis peterae</w:t>
      </w:r>
      <w:r>
        <w:rPr>
          <w:rFonts w:ascii="Times New Roman" w:hAnsi="Times New Roman" w:eastAsia="Times New Roman" w:cs="Times New Roman"/>
          <w:i/>
          <w:iCs/>
          <w:spacing w:val="43"/>
          <w:sz w:val="24"/>
          <w:szCs w:val="24"/>
        </w:rPr>
        <w:t xml:space="preserve"> </w:t>
      </w:r>
      <w:r>
        <w:rPr>
          <w:rFonts w:ascii="宋体" w:hAnsi="宋体" w:eastAsia="宋体" w:cs="宋体"/>
          <w:spacing w:val="-4"/>
          <w:sz w:val="24"/>
          <w:szCs w:val="24"/>
        </w:rPr>
        <w:t>等。</w:t>
      </w:r>
      <w:r>
        <w:rPr>
          <w:rFonts w:ascii="宋体" w:hAnsi="宋体" w:eastAsia="宋体" w:cs="宋体"/>
          <w:spacing w:val="-34"/>
          <w:sz w:val="24"/>
          <w:szCs w:val="24"/>
        </w:rPr>
        <w:t xml:space="preserve"> </w:t>
      </w:r>
      <w:r>
        <w:rPr>
          <w:rFonts w:ascii="宋体" w:hAnsi="宋体" w:eastAsia="宋体" w:cs="宋体"/>
          <w:spacing w:val="-4"/>
          <w:sz w:val="24"/>
          <w:szCs w:val="24"/>
        </w:rPr>
        <w:t>另外，</w:t>
      </w:r>
      <w:r>
        <w:rPr>
          <w:rFonts w:ascii="宋体" w:hAnsi="宋体" w:eastAsia="宋体" w:cs="宋体"/>
          <w:sz w:val="24"/>
          <w:szCs w:val="24"/>
        </w:rPr>
        <w:t xml:space="preserve"> </w:t>
      </w:r>
      <w:r>
        <w:rPr>
          <w:rFonts w:ascii="宋体" w:hAnsi="宋体" w:eastAsia="宋体" w:cs="宋体"/>
          <w:spacing w:val="19"/>
          <w:sz w:val="24"/>
          <w:szCs w:val="24"/>
        </w:rPr>
        <w:t>附生植物种类较为稀少，</w:t>
      </w:r>
      <w:r>
        <w:rPr>
          <w:rFonts w:ascii="宋体" w:hAnsi="宋体" w:eastAsia="宋体" w:cs="宋体"/>
          <w:spacing w:val="-66"/>
          <w:sz w:val="24"/>
          <w:szCs w:val="24"/>
        </w:rPr>
        <w:t xml:space="preserve"> </w:t>
      </w:r>
      <w:r>
        <w:rPr>
          <w:rFonts w:ascii="宋体" w:hAnsi="宋体" w:eastAsia="宋体" w:cs="宋体"/>
          <w:spacing w:val="19"/>
          <w:sz w:val="24"/>
          <w:szCs w:val="24"/>
        </w:rPr>
        <w:t xml:space="preserve">主要有松柏钝果寄生 </w:t>
      </w:r>
      <w:r>
        <w:rPr>
          <w:rFonts w:ascii="Times New Roman" w:hAnsi="Times New Roman" w:eastAsia="Times New Roman" w:cs="Times New Roman"/>
          <w:i/>
          <w:iCs/>
          <w:sz w:val="24"/>
          <w:szCs w:val="24"/>
        </w:rPr>
        <w:t>Taxilluscaloreas</w:t>
      </w:r>
      <w:r>
        <w:rPr>
          <w:rFonts w:ascii="Times New Roman" w:hAnsi="Times New Roman" w:eastAsia="Times New Roman" w:cs="Times New Roman"/>
          <w:i/>
          <w:iCs/>
          <w:spacing w:val="-12"/>
          <w:sz w:val="24"/>
          <w:szCs w:val="24"/>
        </w:rPr>
        <w:t xml:space="preserve"> </w:t>
      </w:r>
      <w:r>
        <w:rPr>
          <w:rFonts w:ascii="宋体" w:hAnsi="宋体" w:eastAsia="宋体" w:cs="宋体"/>
          <w:spacing w:val="19"/>
          <w:sz w:val="24"/>
          <w:szCs w:val="24"/>
        </w:rPr>
        <w:t>、对</w:t>
      </w:r>
      <w:r>
        <w:rPr>
          <w:rFonts w:ascii="宋体" w:hAnsi="宋体" w:eastAsia="宋体" w:cs="宋体"/>
          <w:spacing w:val="18"/>
          <w:sz w:val="24"/>
          <w:szCs w:val="24"/>
        </w:rPr>
        <w:t>马耳蕨</w:t>
      </w:r>
      <w:r>
        <w:rPr>
          <w:rFonts w:ascii="宋体" w:hAnsi="宋体" w:eastAsia="宋体" w:cs="宋体"/>
          <w:sz w:val="24"/>
          <w:szCs w:val="24"/>
        </w:rPr>
        <w:t xml:space="preserve"> </w:t>
      </w:r>
      <w:r>
        <w:rPr>
          <w:rFonts w:ascii="Times New Roman" w:hAnsi="Times New Roman" w:eastAsia="Times New Roman" w:cs="Times New Roman"/>
          <w:i/>
          <w:iCs/>
          <w:spacing w:val="-2"/>
          <w:sz w:val="24"/>
          <w:szCs w:val="24"/>
        </w:rPr>
        <w:t xml:space="preserve">Polystichum tsus-simense  </w:t>
      </w:r>
      <w:r>
        <w:rPr>
          <w:rFonts w:ascii="宋体" w:hAnsi="宋体" w:eastAsia="宋体" w:cs="宋体"/>
          <w:spacing w:val="-2"/>
          <w:sz w:val="24"/>
          <w:szCs w:val="24"/>
        </w:rPr>
        <w:t xml:space="preserve">、 瓦 韦  </w:t>
      </w:r>
      <w:r>
        <w:rPr>
          <w:rFonts w:ascii="Times New Roman" w:hAnsi="Times New Roman" w:eastAsia="Times New Roman" w:cs="Times New Roman"/>
          <w:i/>
          <w:iCs/>
          <w:spacing w:val="-2"/>
          <w:sz w:val="24"/>
          <w:szCs w:val="24"/>
        </w:rPr>
        <w:t xml:space="preserve">Lepisorus   thunbergianus  </w:t>
      </w:r>
      <w:r>
        <w:rPr>
          <w:rFonts w:ascii="宋体" w:hAnsi="宋体" w:eastAsia="宋体" w:cs="宋体"/>
          <w:spacing w:val="-2"/>
          <w:sz w:val="24"/>
          <w:szCs w:val="24"/>
        </w:rPr>
        <w:t>、 三 出 假 瘤 蕨</w:t>
      </w:r>
      <w:r>
        <w:rPr>
          <w:rFonts w:ascii="宋体" w:hAnsi="宋体" w:eastAsia="宋体" w:cs="宋体"/>
          <w:sz w:val="24"/>
          <w:szCs w:val="24"/>
        </w:rPr>
        <w:t xml:space="preserve"> </w:t>
      </w:r>
      <w:r>
        <w:rPr>
          <w:rFonts w:ascii="Times New Roman" w:hAnsi="Times New Roman" w:eastAsia="Times New Roman" w:cs="Times New Roman"/>
          <w:i/>
          <w:iCs/>
          <w:spacing w:val="-2"/>
          <w:sz w:val="24"/>
          <w:szCs w:val="24"/>
        </w:rPr>
        <w:t>Selliguea trisecta</w:t>
      </w:r>
      <w:r>
        <w:rPr>
          <w:rFonts w:ascii="宋体" w:hAnsi="宋体" w:eastAsia="宋体" w:cs="宋体"/>
          <w:spacing w:val="-2"/>
          <w:sz w:val="24"/>
          <w:szCs w:val="24"/>
        </w:rPr>
        <w:t>、块茎卷柏</w:t>
      </w:r>
      <w:r>
        <w:rPr>
          <w:rFonts w:ascii="Times New Roman" w:hAnsi="Times New Roman" w:eastAsia="Times New Roman" w:cs="Times New Roman"/>
          <w:i/>
          <w:iCs/>
          <w:spacing w:val="-2"/>
          <w:sz w:val="24"/>
          <w:szCs w:val="24"/>
        </w:rPr>
        <w:t>Selaginella chrysocaulos</w:t>
      </w:r>
      <w:r>
        <w:rPr>
          <w:rFonts w:ascii="宋体" w:hAnsi="宋体" w:eastAsia="宋体" w:cs="宋体"/>
          <w:spacing w:val="-2"/>
          <w:sz w:val="24"/>
          <w:szCs w:val="24"/>
        </w:rPr>
        <w:t>、翠云草</w:t>
      </w:r>
      <w:r>
        <w:rPr>
          <w:rFonts w:ascii="Times New Roman" w:hAnsi="Times New Roman" w:eastAsia="Times New Roman" w:cs="Times New Roman"/>
          <w:i/>
          <w:iCs/>
          <w:spacing w:val="-2"/>
          <w:sz w:val="24"/>
          <w:szCs w:val="24"/>
        </w:rPr>
        <w:t>Selaginella uncinat</w:t>
      </w:r>
      <w:r>
        <w:rPr>
          <w:rFonts w:ascii="Times New Roman" w:hAnsi="Times New Roman" w:eastAsia="Times New Roman" w:cs="Times New Roman"/>
          <w:i/>
          <w:iCs/>
          <w:spacing w:val="-3"/>
          <w:sz w:val="24"/>
          <w:szCs w:val="24"/>
        </w:rPr>
        <w:t>a</w:t>
      </w:r>
      <w:r>
        <w:rPr>
          <w:rFonts w:ascii="宋体" w:hAnsi="宋体" w:eastAsia="宋体" w:cs="宋体"/>
          <w:spacing w:val="-3"/>
          <w:sz w:val="24"/>
          <w:szCs w:val="24"/>
        </w:rPr>
        <w:t>、</w:t>
      </w:r>
    </w:p>
    <w:p>
      <w:pPr>
        <w:spacing w:before="1" w:line="212" w:lineRule="auto"/>
        <w:ind w:left="49"/>
        <w:rPr>
          <w:rFonts w:ascii="宋体" w:hAnsi="宋体" w:eastAsia="宋体" w:cs="宋体"/>
          <w:sz w:val="24"/>
          <w:szCs w:val="24"/>
        </w:rPr>
      </w:pPr>
      <w:r>
        <w:rPr>
          <w:rFonts w:ascii="宋体" w:hAnsi="宋体" w:eastAsia="宋体" w:cs="宋体"/>
          <w:spacing w:val="6"/>
          <w:sz w:val="24"/>
          <w:szCs w:val="24"/>
        </w:rPr>
        <w:t>棕鳞瓦韦</w:t>
      </w:r>
      <w:r>
        <w:rPr>
          <w:rFonts w:ascii="宋体" w:hAnsi="宋体" w:eastAsia="宋体" w:cs="宋体"/>
          <w:spacing w:val="-64"/>
          <w:sz w:val="24"/>
          <w:szCs w:val="24"/>
        </w:rPr>
        <w:t xml:space="preserve"> </w:t>
      </w:r>
      <w:r>
        <w:rPr>
          <w:rFonts w:ascii="Times New Roman" w:hAnsi="Times New Roman" w:eastAsia="Times New Roman" w:cs="Times New Roman"/>
          <w:i/>
          <w:iCs/>
          <w:sz w:val="24"/>
          <w:szCs w:val="24"/>
        </w:rPr>
        <w:t>Lepisorusscolopendrium</w:t>
      </w:r>
      <w:r>
        <w:rPr>
          <w:rFonts w:ascii="Times New Roman" w:hAnsi="Times New Roman" w:eastAsia="Times New Roman" w:cs="Times New Roman"/>
          <w:i/>
          <w:iCs/>
          <w:spacing w:val="6"/>
          <w:sz w:val="24"/>
          <w:szCs w:val="24"/>
        </w:rPr>
        <w:t xml:space="preserve"> </w:t>
      </w:r>
      <w:r>
        <w:rPr>
          <w:rFonts w:ascii="宋体" w:hAnsi="宋体" w:eastAsia="宋体" w:cs="宋体"/>
          <w:spacing w:val="6"/>
          <w:sz w:val="24"/>
          <w:szCs w:val="24"/>
        </w:rPr>
        <w:t>等。</w:t>
      </w:r>
    </w:p>
    <w:p>
      <w:pPr>
        <w:spacing w:before="191" w:line="220" w:lineRule="auto"/>
        <w:ind w:left="539"/>
        <w:rPr>
          <w:rFonts w:ascii="宋体" w:hAnsi="宋体" w:eastAsia="宋体" w:cs="宋体"/>
          <w:sz w:val="24"/>
          <w:szCs w:val="24"/>
        </w:rPr>
      </w:pPr>
      <w:r>
        <w:rPr>
          <w:rFonts w:ascii="宋体" w:hAnsi="宋体" w:eastAsia="宋体" w:cs="宋体"/>
          <w:spacing w:val="-3"/>
          <w:sz w:val="24"/>
          <w:szCs w:val="24"/>
        </w:rPr>
        <w:t>Ⅳ</w:t>
      </w:r>
      <w:r>
        <w:rPr>
          <w:rFonts w:ascii="Times New Roman" w:hAnsi="Times New Roman" w:eastAsia="Times New Roman" w:cs="Times New Roman"/>
          <w:spacing w:val="-3"/>
          <w:sz w:val="24"/>
          <w:szCs w:val="24"/>
        </w:rPr>
        <w:t>.</w:t>
      </w:r>
      <w:r>
        <w:rPr>
          <w:rFonts w:ascii="宋体" w:hAnsi="宋体" w:eastAsia="宋体" w:cs="宋体"/>
          <w:spacing w:val="-3"/>
          <w:sz w:val="24"/>
          <w:szCs w:val="24"/>
        </w:rPr>
        <w:t>暖性针叶林</w:t>
      </w:r>
    </w:p>
    <w:p>
      <w:pPr>
        <w:spacing w:before="182" w:line="360" w:lineRule="auto"/>
        <w:ind w:left="50" w:right="16" w:firstLine="489"/>
        <w:rPr>
          <w:rFonts w:ascii="宋体" w:hAnsi="宋体" w:eastAsia="宋体" w:cs="宋体"/>
          <w:sz w:val="24"/>
          <w:szCs w:val="24"/>
        </w:rPr>
      </w:pPr>
      <w:r>
        <w:rPr>
          <w:rFonts w:ascii="宋体" w:hAnsi="宋体" w:eastAsia="宋体" w:cs="宋体"/>
          <w:spacing w:val="-4"/>
          <w:sz w:val="24"/>
          <w:szCs w:val="24"/>
        </w:rPr>
        <w:t>暖性针叶林是以用亚热带的针叶树种为优势的森林植被类型。暖性针</w:t>
      </w:r>
      <w:r>
        <w:rPr>
          <w:rFonts w:ascii="宋体" w:hAnsi="宋体" w:eastAsia="宋体" w:cs="宋体"/>
          <w:spacing w:val="-5"/>
          <w:sz w:val="24"/>
          <w:szCs w:val="24"/>
        </w:rPr>
        <w:t xml:space="preserve">叶林遍  </w:t>
      </w:r>
      <w:r>
        <w:rPr>
          <w:rFonts w:ascii="宋体" w:hAnsi="宋体" w:eastAsia="宋体" w:cs="宋体"/>
          <w:spacing w:val="-7"/>
          <w:sz w:val="24"/>
          <w:szCs w:val="24"/>
        </w:rPr>
        <w:t>布于云南亚热带各地， 除了亚热带的干热河谷</w:t>
      </w:r>
      <w:r>
        <w:rPr>
          <w:rFonts w:ascii="宋体" w:hAnsi="宋体" w:eastAsia="宋体" w:cs="宋体"/>
          <w:spacing w:val="-8"/>
          <w:sz w:val="24"/>
          <w:szCs w:val="24"/>
        </w:rPr>
        <w:t>底部和亚高山中部以上的山地以外，</w:t>
      </w:r>
      <w:r>
        <w:rPr>
          <w:rFonts w:ascii="宋体" w:hAnsi="宋体" w:eastAsia="宋体" w:cs="宋体"/>
          <w:sz w:val="24"/>
          <w:szCs w:val="24"/>
        </w:rPr>
        <w:t xml:space="preserve"> </w:t>
      </w:r>
      <w:r>
        <w:rPr>
          <w:rFonts w:ascii="宋体" w:hAnsi="宋体" w:eastAsia="宋体" w:cs="宋体"/>
          <w:spacing w:val="-1"/>
          <w:sz w:val="24"/>
          <w:szCs w:val="24"/>
        </w:rPr>
        <w:t>几乎都有分布。其分布的海拔范围一般为</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800~2800m</w:t>
      </w:r>
      <w:r>
        <w:rPr>
          <w:rFonts w:ascii="Times New Roman" w:hAnsi="Times New Roman" w:eastAsia="Times New Roman" w:cs="Times New Roman"/>
          <w:spacing w:val="-33"/>
          <w:sz w:val="24"/>
          <w:szCs w:val="24"/>
        </w:rPr>
        <w:t xml:space="preserve"> </w:t>
      </w:r>
      <w:r>
        <w:rPr>
          <w:rFonts w:ascii="宋体" w:hAnsi="宋体" w:eastAsia="宋体" w:cs="宋体"/>
          <w:spacing w:val="-1"/>
          <w:sz w:val="24"/>
          <w:szCs w:val="24"/>
        </w:rPr>
        <w:t>，可沿着河谷上升或下沿，</w:t>
      </w:r>
      <w:r>
        <w:rPr>
          <w:rFonts w:ascii="宋体" w:hAnsi="宋体" w:eastAsia="宋体" w:cs="宋体"/>
          <w:sz w:val="24"/>
          <w:szCs w:val="24"/>
        </w:rPr>
        <w:t xml:space="preserve"> </w:t>
      </w:r>
      <w:r>
        <w:rPr>
          <w:rFonts w:ascii="宋体" w:hAnsi="宋体" w:eastAsia="宋体" w:cs="宋体"/>
          <w:spacing w:val="-8"/>
          <w:sz w:val="24"/>
          <w:szCs w:val="24"/>
        </w:rPr>
        <w:t>分布地的水热条件也是极其多样。在云南，</w:t>
      </w:r>
      <w:r>
        <w:rPr>
          <w:rFonts w:ascii="宋体" w:hAnsi="宋体" w:eastAsia="宋体" w:cs="宋体"/>
          <w:spacing w:val="41"/>
          <w:sz w:val="24"/>
          <w:szCs w:val="24"/>
        </w:rPr>
        <w:t xml:space="preserve"> </w:t>
      </w:r>
      <w:r>
        <w:rPr>
          <w:rFonts w:ascii="宋体" w:hAnsi="宋体" w:eastAsia="宋体" w:cs="宋体"/>
          <w:spacing w:val="-8"/>
          <w:sz w:val="24"/>
          <w:szCs w:val="24"/>
        </w:rPr>
        <w:t xml:space="preserve">主要包括云南松林、思茅松林、滇油  </w:t>
      </w:r>
      <w:r>
        <w:rPr>
          <w:rFonts w:ascii="宋体" w:hAnsi="宋体" w:eastAsia="宋体" w:cs="宋体"/>
          <w:spacing w:val="-12"/>
          <w:sz w:val="24"/>
          <w:szCs w:val="24"/>
        </w:rPr>
        <w:t>杉林、华山松林、翠柏林等。</w:t>
      </w:r>
      <w:r>
        <w:rPr>
          <w:rFonts w:ascii="宋体" w:hAnsi="宋体" w:eastAsia="宋体" w:cs="宋体"/>
          <w:spacing w:val="24"/>
          <w:sz w:val="24"/>
          <w:szCs w:val="24"/>
        </w:rPr>
        <w:t xml:space="preserve"> </w:t>
      </w:r>
      <w:r>
        <w:rPr>
          <w:rFonts w:ascii="宋体" w:hAnsi="宋体" w:eastAsia="宋体" w:cs="宋体"/>
          <w:spacing w:val="-12"/>
          <w:sz w:val="24"/>
          <w:szCs w:val="24"/>
        </w:rPr>
        <w:t>根据建群种的生态特点，</w:t>
      </w:r>
      <w:r>
        <w:rPr>
          <w:rFonts w:ascii="宋体" w:hAnsi="宋体" w:eastAsia="宋体" w:cs="宋体"/>
          <w:spacing w:val="48"/>
          <w:sz w:val="24"/>
          <w:szCs w:val="24"/>
        </w:rPr>
        <w:t xml:space="preserve"> </w:t>
      </w:r>
      <w:r>
        <w:rPr>
          <w:rFonts w:ascii="宋体" w:hAnsi="宋体" w:eastAsia="宋体" w:cs="宋体"/>
          <w:spacing w:val="-12"/>
          <w:sz w:val="24"/>
          <w:szCs w:val="24"/>
        </w:rPr>
        <w:t>结合群落的结构、种类</w:t>
      </w:r>
      <w:r>
        <w:rPr>
          <w:rFonts w:ascii="宋体" w:hAnsi="宋体" w:eastAsia="宋体" w:cs="宋体"/>
          <w:spacing w:val="-13"/>
          <w:sz w:val="24"/>
          <w:szCs w:val="24"/>
        </w:rPr>
        <w:t xml:space="preserve">组  </w:t>
      </w:r>
      <w:r>
        <w:rPr>
          <w:rFonts w:ascii="宋体" w:hAnsi="宋体" w:eastAsia="宋体" w:cs="宋体"/>
          <w:spacing w:val="-16"/>
          <w:sz w:val="24"/>
          <w:szCs w:val="24"/>
        </w:rPr>
        <w:t>成和生境， 可以分为两大类：</w:t>
      </w:r>
      <w:r>
        <w:rPr>
          <w:rFonts w:ascii="宋体" w:hAnsi="宋体" w:eastAsia="宋体" w:cs="宋体"/>
          <w:spacing w:val="60"/>
          <w:sz w:val="24"/>
          <w:szCs w:val="24"/>
        </w:rPr>
        <w:t xml:space="preserve"> </w:t>
      </w:r>
      <w:r>
        <w:rPr>
          <w:rFonts w:ascii="宋体" w:hAnsi="宋体" w:eastAsia="宋体" w:cs="宋体"/>
          <w:spacing w:val="-16"/>
          <w:sz w:val="24"/>
          <w:szCs w:val="24"/>
        </w:rPr>
        <w:t>以云南松为代表的暖温性针叶林，</w:t>
      </w:r>
      <w:r>
        <w:rPr>
          <w:rFonts w:ascii="宋体" w:hAnsi="宋体" w:eastAsia="宋体" w:cs="宋体"/>
          <w:spacing w:val="57"/>
          <w:sz w:val="24"/>
          <w:szCs w:val="24"/>
        </w:rPr>
        <w:t xml:space="preserve"> </w:t>
      </w:r>
      <w:r>
        <w:rPr>
          <w:rFonts w:ascii="宋体" w:hAnsi="宋体" w:eastAsia="宋体" w:cs="宋体"/>
          <w:spacing w:val="-16"/>
          <w:sz w:val="24"/>
          <w:szCs w:val="24"/>
        </w:rPr>
        <w:t>以思</w:t>
      </w:r>
      <w:r>
        <w:rPr>
          <w:rFonts w:ascii="宋体" w:hAnsi="宋体" w:eastAsia="宋体" w:cs="宋体"/>
          <w:spacing w:val="-17"/>
          <w:sz w:val="24"/>
          <w:szCs w:val="24"/>
        </w:rPr>
        <w:t>茅松为代表</w:t>
      </w:r>
    </w:p>
    <w:p>
      <w:pPr>
        <w:spacing w:before="1" w:line="219" w:lineRule="auto"/>
        <w:ind w:left="70"/>
        <w:rPr>
          <w:rFonts w:ascii="宋体" w:hAnsi="宋体" w:eastAsia="宋体" w:cs="宋体"/>
          <w:sz w:val="24"/>
          <w:szCs w:val="24"/>
        </w:rPr>
      </w:pPr>
      <w:r>
        <w:rPr>
          <w:rFonts w:hint="eastAsia" w:ascii="宋体" w:hAnsi="宋体" w:eastAsia="宋体" w:cs="宋体"/>
          <w:spacing w:val="-7"/>
          <w:sz w:val="24"/>
          <w:szCs w:val="24"/>
          <w:lang w:eastAsia="zh-CN"/>
        </w:rPr>
        <w:t>的</w:t>
      </w:r>
      <w:r>
        <w:rPr>
          <w:rFonts w:ascii="宋体" w:hAnsi="宋体" w:eastAsia="宋体" w:cs="宋体"/>
          <w:spacing w:val="-7"/>
          <w:sz w:val="24"/>
          <w:szCs w:val="24"/>
        </w:rPr>
        <w:t>暖热性针叶林。</w:t>
      </w:r>
    </w:p>
    <w:p>
      <w:pPr>
        <w:spacing w:before="183" w:line="360" w:lineRule="auto"/>
        <w:ind w:left="50" w:firstLine="480"/>
        <w:rPr>
          <w:rFonts w:ascii="宋体" w:hAnsi="宋体" w:eastAsia="宋体" w:cs="宋体"/>
          <w:sz w:val="24"/>
          <w:szCs w:val="24"/>
        </w:rPr>
      </w:pPr>
      <w:r>
        <w:rPr>
          <w:rFonts w:ascii="宋体" w:hAnsi="宋体" w:eastAsia="宋体" w:cs="宋体"/>
          <w:spacing w:val="-13"/>
          <w:sz w:val="24"/>
          <w:szCs w:val="24"/>
        </w:rPr>
        <w:t>本植被亚型主要分布于云南亚热带北部地区，</w:t>
      </w:r>
      <w:r>
        <w:rPr>
          <w:rFonts w:ascii="宋体" w:hAnsi="宋体" w:eastAsia="宋体" w:cs="宋体"/>
          <w:spacing w:val="54"/>
          <w:sz w:val="24"/>
          <w:szCs w:val="24"/>
        </w:rPr>
        <w:t xml:space="preserve"> </w:t>
      </w:r>
      <w:r>
        <w:rPr>
          <w:rFonts w:ascii="宋体" w:hAnsi="宋体" w:eastAsia="宋体" w:cs="宋体"/>
          <w:spacing w:val="-13"/>
          <w:sz w:val="24"/>
          <w:szCs w:val="24"/>
        </w:rPr>
        <w:t>中亚热带偏干的气候，</w:t>
      </w:r>
      <w:r>
        <w:rPr>
          <w:rFonts w:ascii="宋体" w:hAnsi="宋体" w:eastAsia="宋体" w:cs="宋体"/>
          <w:spacing w:val="42"/>
          <w:sz w:val="24"/>
          <w:szCs w:val="24"/>
        </w:rPr>
        <w:t xml:space="preserve"> </w:t>
      </w:r>
      <w:r>
        <w:rPr>
          <w:rFonts w:ascii="宋体" w:hAnsi="宋体" w:eastAsia="宋体" w:cs="宋体"/>
          <w:spacing w:val="-13"/>
          <w:sz w:val="24"/>
          <w:szCs w:val="24"/>
        </w:rPr>
        <w:t xml:space="preserve">以滇中  </w:t>
      </w:r>
      <w:r>
        <w:rPr>
          <w:rFonts w:ascii="宋体" w:hAnsi="宋体" w:eastAsia="宋体" w:cs="宋体"/>
          <w:spacing w:val="-1"/>
          <w:sz w:val="24"/>
          <w:szCs w:val="24"/>
        </w:rPr>
        <w:t>高原山地为主体，分布的主要海拔范围为</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1500~2800m</w:t>
      </w:r>
      <w:r>
        <w:rPr>
          <w:rFonts w:ascii="宋体" w:hAnsi="宋体" w:eastAsia="宋体" w:cs="宋体"/>
          <w:spacing w:val="-1"/>
          <w:sz w:val="24"/>
          <w:szCs w:val="24"/>
        </w:rPr>
        <w:t>，</w:t>
      </w:r>
      <w:r>
        <w:rPr>
          <w:rFonts w:ascii="宋体" w:hAnsi="宋体" w:eastAsia="宋体" w:cs="宋体"/>
          <w:spacing w:val="-2"/>
          <w:sz w:val="24"/>
          <w:szCs w:val="24"/>
        </w:rPr>
        <w:t xml:space="preserve">但在一些个别的干热河  </w:t>
      </w:r>
      <w:r>
        <w:rPr>
          <w:rFonts w:ascii="宋体" w:hAnsi="宋体" w:eastAsia="宋体" w:cs="宋体"/>
          <w:spacing w:val="-14"/>
          <w:sz w:val="24"/>
          <w:szCs w:val="24"/>
        </w:rPr>
        <w:t>谷，</w:t>
      </w:r>
      <w:r>
        <w:rPr>
          <w:rFonts w:ascii="宋体" w:hAnsi="宋体" w:eastAsia="宋体" w:cs="宋体"/>
          <w:spacing w:val="-27"/>
          <w:sz w:val="24"/>
          <w:szCs w:val="24"/>
        </w:rPr>
        <w:t xml:space="preserve"> </w:t>
      </w:r>
      <w:r>
        <w:rPr>
          <w:rFonts w:ascii="宋体" w:hAnsi="宋体" w:eastAsia="宋体" w:cs="宋体"/>
          <w:spacing w:val="-14"/>
          <w:sz w:val="24"/>
          <w:szCs w:val="24"/>
        </w:rPr>
        <w:t>常见分布至海拔</w:t>
      </w:r>
      <w:r>
        <w:rPr>
          <w:rFonts w:ascii="宋体" w:hAnsi="宋体" w:eastAsia="宋体" w:cs="宋体"/>
          <w:spacing w:val="-32"/>
          <w:sz w:val="24"/>
          <w:szCs w:val="24"/>
        </w:rPr>
        <w:t xml:space="preserve"> </w:t>
      </w:r>
      <w:r>
        <w:rPr>
          <w:rFonts w:ascii="Times New Roman" w:hAnsi="Times New Roman" w:eastAsia="Times New Roman" w:cs="Times New Roman"/>
          <w:spacing w:val="-14"/>
          <w:sz w:val="24"/>
          <w:szCs w:val="24"/>
        </w:rPr>
        <w:t>1500</w:t>
      </w:r>
      <w:r>
        <w:rPr>
          <w:rFonts w:ascii="Times New Roman" w:hAnsi="Times New Roman" w:eastAsia="Times New Roman" w:cs="Times New Roman"/>
          <w:spacing w:val="37"/>
          <w:sz w:val="24"/>
          <w:szCs w:val="24"/>
        </w:rPr>
        <w:t xml:space="preserve"> </w:t>
      </w:r>
      <w:r>
        <w:rPr>
          <w:rFonts w:ascii="宋体" w:hAnsi="宋体" w:eastAsia="宋体" w:cs="宋体"/>
          <w:spacing w:val="-14"/>
          <w:sz w:val="24"/>
          <w:szCs w:val="24"/>
        </w:rPr>
        <w:t>以下， 甚至</w:t>
      </w:r>
      <w:r>
        <w:rPr>
          <w:rFonts w:ascii="宋体" w:hAnsi="宋体" w:eastAsia="宋体" w:cs="宋体"/>
          <w:spacing w:val="-32"/>
          <w:sz w:val="24"/>
          <w:szCs w:val="24"/>
        </w:rPr>
        <w:t xml:space="preserve"> </w:t>
      </w:r>
      <w:r>
        <w:rPr>
          <w:rFonts w:ascii="Times New Roman" w:hAnsi="Times New Roman" w:eastAsia="Times New Roman" w:cs="Times New Roman"/>
          <w:spacing w:val="-14"/>
          <w:sz w:val="24"/>
          <w:szCs w:val="24"/>
        </w:rPr>
        <w:t>1000m</w:t>
      </w:r>
      <w:r>
        <w:rPr>
          <w:rFonts w:ascii="Times New Roman" w:hAnsi="Times New Roman" w:eastAsia="Times New Roman" w:cs="Times New Roman"/>
          <w:spacing w:val="12"/>
          <w:sz w:val="24"/>
          <w:szCs w:val="24"/>
        </w:rPr>
        <w:t xml:space="preserve"> </w:t>
      </w:r>
      <w:r>
        <w:rPr>
          <w:rFonts w:ascii="宋体" w:hAnsi="宋体" w:eastAsia="宋体" w:cs="宋体"/>
          <w:spacing w:val="-14"/>
          <w:sz w:val="24"/>
          <w:szCs w:val="24"/>
        </w:rPr>
        <w:t>左右。土壤以红壤为主，</w:t>
      </w:r>
      <w:r>
        <w:rPr>
          <w:rFonts w:ascii="宋体" w:hAnsi="宋体" w:eastAsia="宋体" w:cs="宋体"/>
          <w:spacing w:val="56"/>
          <w:sz w:val="24"/>
          <w:szCs w:val="24"/>
        </w:rPr>
        <w:t xml:space="preserve"> </w:t>
      </w:r>
      <w:r>
        <w:rPr>
          <w:rFonts w:ascii="宋体" w:hAnsi="宋体" w:eastAsia="宋体" w:cs="宋体"/>
          <w:spacing w:val="-14"/>
          <w:sz w:val="24"/>
          <w:szCs w:val="24"/>
        </w:rPr>
        <w:t>与之相对</w:t>
      </w:r>
      <w:r>
        <w:rPr>
          <w:rFonts w:ascii="宋体" w:hAnsi="宋体" w:eastAsia="宋体" w:cs="宋体"/>
          <w:sz w:val="24"/>
          <w:szCs w:val="24"/>
        </w:rPr>
        <w:t xml:space="preserve">  </w:t>
      </w:r>
      <w:r>
        <w:rPr>
          <w:rFonts w:ascii="宋体" w:hAnsi="宋体" w:eastAsia="宋体" w:cs="宋体"/>
          <w:spacing w:val="-6"/>
          <w:sz w:val="24"/>
          <w:szCs w:val="24"/>
        </w:rPr>
        <w:t>应的常绿阔叶林亚型为半湿润常绿阔叶林，</w:t>
      </w:r>
      <w:r>
        <w:rPr>
          <w:rFonts w:ascii="宋体" w:hAnsi="宋体" w:eastAsia="宋体" w:cs="宋体"/>
          <w:spacing w:val="-32"/>
          <w:sz w:val="24"/>
          <w:szCs w:val="24"/>
        </w:rPr>
        <w:t xml:space="preserve"> </w:t>
      </w:r>
      <w:r>
        <w:rPr>
          <w:rFonts w:ascii="宋体" w:hAnsi="宋体" w:eastAsia="宋体" w:cs="宋体"/>
          <w:spacing w:val="-6"/>
          <w:sz w:val="24"/>
          <w:szCs w:val="24"/>
        </w:rPr>
        <w:t>通常是该类植被</w:t>
      </w:r>
      <w:r>
        <w:rPr>
          <w:rFonts w:ascii="宋体" w:hAnsi="宋体" w:eastAsia="宋体" w:cs="宋体"/>
          <w:spacing w:val="-7"/>
          <w:sz w:val="24"/>
          <w:szCs w:val="24"/>
        </w:rPr>
        <w:t>被破坏后发育起来的。</w:t>
      </w:r>
      <w:r>
        <w:rPr>
          <w:rFonts w:ascii="宋体" w:hAnsi="宋体" w:eastAsia="宋体" w:cs="宋体"/>
          <w:sz w:val="24"/>
          <w:szCs w:val="24"/>
        </w:rPr>
        <w:t xml:space="preserve"> </w:t>
      </w:r>
      <w:r>
        <w:rPr>
          <w:rFonts w:ascii="宋体" w:hAnsi="宋体" w:eastAsia="宋体" w:cs="宋体"/>
          <w:spacing w:val="-9"/>
          <w:sz w:val="24"/>
          <w:szCs w:val="24"/>
        </w:rPr>
        <w:t>由于历史上人为的破坏和干扰， 本植被亚型是目前云南省分布最广</w:t>
      </w:r>
      <w:r>
        <w:rPr>
          <w:rFonts w:ascii="宋体" w:hAnsi="宋体" w:eastAsia="宋体" w:cs="宋体"/>
          <w:spacing w:val="-10"/>
          <w:sz w:val="24"/>
          <w:szCs w:val="24"/>
        </w:rPr>
        <w:t>的森林， 对当</w:t>
      </w:r>
    </w:p>
    <w:p>
      <w:pPr>
        <w:spacing w:before="1" w:line="218" w:lineRule="auto"/>
        <w:ind w:left="50"/>
        <w:rPr>
          <w:rFonts w:ascii="宋体" w:hAnsi="宋体" w:eastAsia="宋体" w:cs="宋体"/>
          <w:sz w:val="24"/>
          <w:szCs w:val="24"/>
        </w:rPr>
      </w:pPr>
      <w:r>
        <w:rPr>
          <w:rFonts w:ascii="宋体" w:hAnsi="宋体" w:eastAsia="宋体" w:cs="宋体"/>
          <w:spacing w:val="-6"/>
          <w:sz w:val="24"/>
          <w:szCs w:val="24"/>
        </w:rPr>
        <w:t>地环境有着举足轻重的影响。本区域的暖性针叶林分布较广， 云南</w:t>
      </w:r>
      <w:r>
        <w:rPr>
          <w:rFonts w:ascii="宋体" w:hAnsi="宋体" w:eastAsia="宋体" w:cs="宋体"/>
          <w:spacing w:val="-7"/>
          <w:sz w:val="24"/>
          <w:szCs w:val="24"/>
        </w:rPr>
        <w:t>松林和华山松</w:t>
      </w:r>
    </w:p>
    <w:p>
      <w:pPr>
        <w:spacing w:line="218" w:lineRule="auto"/>
        <w:rPr>
          <w:rFonts w:ascii="宋体" w:hAnsi="宋体" w:eastAsia="宋体" w:cs="宋体"/>
          <w:sz w:val="24"/>
          <w:szCs w:val="24"/>
        </w:rPr>
        <w:sectPr>
          <w:headerReference r:id="rId250" w:type="default"/>
          <w:footerReference r:id="rId251" w:type="default"/>
          <w:pgSz w:w="11907" w:h="16839"/>
          <w:pgMar w:top="1156" w:right="1593" w:bottom="1373" w:left="1759" w:header="881" w:footer="1210" w:gutter="0"/>
        </w:sectPr>
      </w:pPr>
    </w:p>
    <w:p>
      <w:pPr>
        <w:spacing w:line="317" w:lineRule="auto"/>
        <w:rPr>
          <w:rFonts w:ascii="Arial"/>
          <w:sz w:val="21"/>
        </w:rPr>
      </w:pPr>
    </w:p>
    <w:p>
      <w:pPr>
        <w:spacing w:before="78" w:line="212" w:lineRule="auto"/>
        <w:ind w:left="40"/>
        <w:rPr>
          <w:rFonts w:ascii="宋体" w:hAnsi="宋体" w:eastAsia="宋体" w:cs="宋体"/>
          <w:sz w:val="24"/>
          <w:szCs w:val="24"/>
        </w:rPr>
      </w:pPr>
      <w:r>
        <w:rPr>
          <w:rFonts w:ascii="宋体" w:hAnsi="宋体" w:eastAsia="宋体" w:cs="宋体"/>
          <w:spacing w:val="-3"/>
          <w:sz w:val="24"/>
          <w:szCs w:val="24"/>
        </w:rPr>
        <w:t>林皆有分布，但评价区只有</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个群系： 云南松林（</w:t>
      </w:r>
      <w:r>
        <w:rPr>
          <w:rFonts w:ascii="Times New Roman" w:hAnsi="Times New Roman" w:eastAsia="Times New Roman" w:cs="Times New Roman"/>
          <w:spacing w:val="-3"/>
          <w:sz w:val="24"/>
          <w:szCs w:val="24"/>
        </w:rPr>
        <w:t>Form</w:t>
      </w:r>
      <w:r>
        <w:rPr>
          <w:rFonts w:ascii="Times New Roman" w:hAnsi="Times New Roman" w:eastAsia="Times New Roman" w:cs="Times New Roman"/>
          <w:i/>
          <w:iCs/>
          <w:spacing w:val="-3"/>
          <w:sz w:val="24"/>
          <w:szCs w:val="24"/>
        </w:rPr>
        <w:t>. Pinus</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i/>
          <w:iCs/>
          <w:spacing w:val="-3"/>
          <w:sz w:val="24"/>
          <w:szCs w:val="24"/>
        </w:rPr>
        <w:t>yunnanensis</w:t>
      </w:r>
      <w:r>
        <w:rPr>
          <w:rFonts w:ascii="宋体" w:hAnsi="宋体" w:eastAsia="宋体" w:cs="宋体"/>
          <w:spacing w:val="-3"/>
          <w:sz w:val="24"/>
          <w:szCs w:val="24"/>
        </w:rPr>
        <w:t>）。</w:t>
      </w:r>
    </w:p>
    <w:p>
      <w:pPr>
        <w:spacing w:before="192" w:line="360" w:lineRule="auto"/>
        <w:ind w:left="39" w:right="67" w:firstLine="486"/>
        <w:rPr>
          <w:rFonts w:ascii="宋体" w:hAnsi="宋体" w:eastAsia="宋体" w:cs="宋体"/>
          <w:sz w:val="24"/>
          <w:szCs w:val="24"/>
        </w:rPr>
      </w:pPr>
      <w:r>
        <w:rPr>
          <w:rFonts w:ascii="宋体" w:hAnsi="宋体" w:eastAsia="宋体" w:cs="宋体"/>
          <w:spacing w:val="-3"/>
          <w:sz w:val="24"/>
          <w:szCs w:val="24"/>
        </w:rPr>
        <w:t>云南松是云南目前植被类型中分布面积最广的一种</w:t>
      </w:r>
      <w:r>
        <w:rPr>
          <w:rFonts w:ascii="宋体" w:hAnsi="宋体" w:eastAsia="宋体" w:cs="宋体"/>
          <w:spacing w:val="-4"/>
          <w:sz w:val="24"/>
          <w:szCs w:val="24"/>
        </w:rPr>
        <w:t>类型。云南松林是云贵高</w:t>
      </w:r>
      <w:r>
        <w:rPr>
          <w:rFonts w:ascii="宋体" w:hAnsi="宋体" w:eastAsia="宋体" w:cs="宋体"/>
          <w:sz w:val="24"/>
          <w:szCs w:val="24"/>
        </w:rPr>
        <w:t xml:space="preserve"> </w:t>
      </w:r>
      <w:r>
        <w:rPr>
          <w:rFonts w:ascii="宋体" w:hAnsi="宋体" w:eastAsia="宋体" w:cs="宋体"/>
          <w:spacing w:val="-3"/>
          <w:sz w:val="24"/>
          <w:szCs w:val="24"/>
        </w:rPr>
        <w:t>原上常见而重要的针叶林，也是西部偏干性亚热带的典型代表群系，它的分布以</w:t>
      </w:r>
      <w:r>
        <w:rPr>
          <w:rFonts w:ascii="宋体" w:hAnsi="宋体" w:eastAsia="宋体" w:cs="宋体"/>
          <w:spacing w:val="1"/>
          <w:sz w:val="24"/>
          <w:szCs w:val="24"/>
        </w:rPr>
        <w:t xml:space="preserve"> </w:t>
      </w:r>
      <w:r>
        <w:rPr>
          <w:rFonts w:ascii="宋体" w:hAnsi="宋体" w:eastAsia="宋体" w:cs="宋体"/>
          <w:spacing w:val="-6"/>
          <w:sz w:val="24"/>
          <w:szCs w:val="24"/>
        </w:rPr>
        <w:t>滇中高原为中心。云南松林是评价区所在区域分布极广而重要的</w:t>
      </w:r>
      <w:r>
        <w:rPr>
          <w:rFonts w:ascii="宋体" w:hAnsi="宋体" w:eastAsia="宋体" w:cs="宋体"/>
          <w:spacing w:val="-7"/>
          <w:sz w:val="24"/>
          <w:szCs w:val="24"/>
        </w:rPr>
        <w:t>用材林， 海拔分</w:t>
      </w:r>
      <w:r>
        <w:rPr>
          <w:rFonts w:ascii="宋体" w:hAnsi="宋体" w:eastAsia="宋体" w:cs="宋体"/>
          <w:sz w:val="24"/>
          <w:szCs w:val="24"/>
        </w:rPr>
        <w:t xml:space="preserve"> </w:t>
      </w:r>
      <w:r>
        <w:rPr>
          <w:rFonts w:ascii="宋体" w:hAnsi="宋体" w:eastAsia="宋体" w:cs="宋体"/>
          <w:spacing w:val="-2"/>
          <w:sz w:val="24"/>
          <w:szCs w:val="24"/>
        </w:rPr>
        <w:t>布从</w:t>
      </w:r>
      <w:r>
        <w:rPr>
          <w:rFonts w:ascii="宋体" w:hAnsi="宋体" w:eastAsia="宋体" w:cs="宋体"/>
          <w:spacing w:val="-9"/>
          <w:sz w:val="24"/>
          <w:szCs w:val="24"/>
        </w:rPr>
        <w:t xml:space="preserve"> </w:t>
      </w:r>
      <w:r>
        <w:rPr>
          <w:rFonts w:ascii="Times New Roman" w:hAnsi="Times New Roman" w:eastAsia="Times New Roman" w:cs="Times New Roman"/>
          <w:spacing w:val="-2"/>
          <w:sz w:val="24"/>
          <w:szCs w:val="24"/>
        </w:rPr>
        <w:t>1000~2600m</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，由于人为长期干扰，原生的云南松林几乎绝迹，现有大面积</w:t>
      </w:r>
      <w:r>
        <w:rPr>
          <w:rFonts w:ascii="宋体" w:hAnsi="宋体" w:eastAsia="宋体" w:cs="宋体"/>
          <w:sz w:val="24"/>
          <w:szCs w:val="24"/>
        </w:rPr>
        <w:t xml:space="preserve"> </w:t>
      </w:r>
      <w:r>
        <w:rPr>
          <w:rFonts w:ascii="宋体" w:hAnsi="宋体" w:eastAsia="宋体" w:cs="宋体"/>
          <w:spacing w:val="-5"/>
          <w:sz w:val="24"/>
          <w:szCs w:val="24"/>
        </w:rPr>
        <w:t>的松林大都是常绿阔叶林破坏后或原生松林砍伐后，</w:t>
      </w:r>
      <w:r>
        <w:rPr>
          <w:rFonts w:ascii="宋体" w:hAnsi="宋体" w:eastAsia="宋体" w:cs="宋体"/>
          <w:spacing w:val="-39"/>
          <w:sz w:val="24"/>
          <w:szCs w:val="24"/>
        </w:rPr>
        <w:t xml:space="preserve"> </w:t>
      </w:r>
      <w:r>
        <w:rPr>
          <w:rFonts w:ascii="宋体" w:hAnsi="宋体" w:eastAsia="宋体" w:cs="宋体"/>
          <w:spacing w:val="-5"/>
          <w:sz w:val="24"/>
          <w:szCs w:val="24"/>
        </w:rPr>
        <w:t>发育</w:t>
      </w:r>
      <w:r>
        <w:rPr>
          <w:rFonts w:ascii="宋体" w:hAnsi="宋体" w:eastAsia="宋体" w:cs="宋体"/>
          <w:spacing w:val="-6"/>
          <w:sz w:val="24"/>
          <w:szCs w:val="24"/>
        </w:rPr>
        <w:t>起来的次生性植被。本</w:t>
      </w:r>
      <w:r>
        <w:rPr>
          <w:rFonts w:ascii="宋体" w:hAnsi="宋体" w:eastAsia="宋体" w:cs="宋体"/>
          <w:sz w:val="24"/>
          <w:szCs w:val="24"/>
        </w:rPr>
        <w:t xml:space="preserve"> </w:t>
      </w:r>
      <w:r>
        <w:rPr>
          <w:rFonts w:ascii="宋体" w:hAnsi="宋体" w:eastAsia="宋体" w:cs="宋体"/>
          <w:spacing w:val="-3"/>
          <w:sz w:val="24"/>
          <w:szCs w:val="24"/>
        </w:rPr>
        <w:t>区的云南松林因为人类干扰较大，很多区域群落的高度、盖度、物种丰度急剧下</w:t>
      </w:r>
      <w:r>
        <w:rPr>
          <w:rFonts w:ascii="宋体" w:hAnsi="宋体" w:eastAsia="宋体" w:cs="宋体"/>
          <w:spacing w:val="1"/>
          <w:sz w:val="24"/>
          <w:szCs w:val="24"/>
        </w:rPr>
        <w:t xml:space="preserve"> </w:t>
      </w:r>
      <w:r>
        <w:rPr>
          <w:rFonts w:ascii="宋体" w:hAnsi="宋体" w:eastAsia="宋体" w:cs="宋体"/>
          <w:spacing w:val="-9"/>
          <w:sz w:val="24"/>
          <w:szCs w:val="24"/>
        </w:rPr>
        <w:t>降，</w:t>
      </w:r>
      <w:r>
        <w:rPr>
          <w:rFonts w:ascii="宋体" w:hAnsi="宋体" w:eastAsia="宋体" w:cs="宋体"/>
          <w:spacing w:val="-58"/>
          <w:sz w:val="24"/>
          <w:szCs w:val="24"/>
        </w:rPr>
        <w:t xml:space="preserve"> </w:t>
      </w:r>
      <w:r>
        <w:rPr>
          <w:rFonts w:ascii="宋体" w:hAnsi="宋体" w:eastAsia="宋体" w:cs="宋体"/>
          <w:spacing w:val="-9"/>
          <w:sz w:val="24"/>
          <w:szCs w:val="24"/>
        </w:rPr>
        <w:t>在扰动较大的地方，</w:t>
      </w:r>
      <w:r>
        <w:rPr>
          <w:rFonts w:ascii="宋体" w:hAnsi="宋体" w:eastAsia="宋体" w:cs="宋体"/>
          <w:spacing w:val="29"/>
          <w:sz w:val="24"/>
          <w:szCs w:val="24"/>
        </w:rPr>
        <w:t xml:space="preserve"> </w:t>
      </w:r>
      <w:r>
        <w:rPr>
          <w:rFonts w:ascii="宋体" w:hAnsi="宋体" w:eastAsia="宋体" w:cs="宋体"/>
          <w:spacing w:val="-9"/>
          <w:sz w:val="24"/>
          <w:szCs w:val="24"/>
        </w:rPr>
        <w:t>往往形成暖温性稀树灌木草丛（含云南松和珍珠花的中</w:t>
      </w:r>
      <w:r>
        <w:rPr>
          <w:rFonts w:ascii="宋体" w:hAnsi="宋体" w:eastAsia="宋体" w:cs="宋体"/>
          <w:sz w:val="24"/>
          <w:szCs w:val="24"/>
        </w:rPr>
        <w:t xml:space="preserve"> </w:t>
      </w:r>
      <w:r>
        <w:rPr>
          <w:rFonts w:ascii="宋体" w:hAnsi="宋体" w:eastAsia="宋体" w:cs="宋体"/>
          <w:spacing w:val="-3"/>
          <w:sz w:val="24"/>
          <w:szCs w:val="24"/>
        </w:rPr>
        <w:t>草草丛）。评价区人为干扰较大，而本群系是半湿润常绿阔叶林破坏后发育起来</w:t>
      </w:r>
      <w:r>
        <w:rPr>
          <w:rFonts w:ascii="宋体" w:hAnsi="宋体" w:eastAsia="宋体" w:cs="宋体"/>
          <w:spacing w:val="1"/>
          <w:sz w:val="24"/>
          <w:szCs w:val="24"/>
        </w:rPr>
        <w:t xml:space="preserve"> </w:t>
      </w:r>
      <w:r>
        <w:rPr>
          <w:rFonts w:ascii="宋体" w:hAnsi="宋体" w:eastAsia="宋体" w:cs="宋体"/>
          <w:spacing w:val="-12"/>
          <w:sz w:val="24"/>
          <w:szCs w:val="24"/>
        </w:rPr>
        <w:t>的不稳定群落，</w:t>
      </w:r>
      <w:r>
        <w:rPr>
          <w:rFonts w:ascii="宋体" w:hAnsi="宋体" w:eastAsia="宋体" w:cs="宋体"/>
          <w:spacing w:val="39"/>
          <w:sz w:val="24"/>
          <w:szCs w:val="24"/>
        </w:rPr>
        <w:t xml:space="preserve"> </w:t>
      </w:r>
      <w:r>
        <w:rPr>
          <w:rFonts w:ascii="宋体" w:hAnsi="宋体" w:eastAsia="宋体" w:cs="宋体"/>
          <w:spacing w:val="-12"/>
          <w:sz w:val="24"/>
          <w:szCs w:val="24"/>
        </w:rPr>
        <w:t>也是本区面积最大的森林植被，</w:t>
      </w:r>
      <w:r>
        <w:rPr>
          <w:rFonts w:ascii="宋体" w:hAnsi="宋体" w:eastAsia="宋体" w:cs="宋体"/>
          <w:spacing w:val="37"/>
          <w:sz w:val="24"/>
          <w:szCs w:val="24"/>
        </w:rPr>
        <w:t xml:space="preserve"> </w:t>
      </w:r>
      <w:r>
        <w:rPr>
          <w:rFonts w:ascii="宋体" w:hAnsi="宋体" w:eastAsia="宋体" w:cs="宋体"/>
          <w:spacing w:val="-12"/>
          <w:sz w:val="24"/>
          <w:szCs w:val="24"/>
        </w:rPr>
        <w:t>云南松纯林占比较大。而在较为</w:t>
      </w:r>
      <w:r>
        <w:rPr>
          <w:rFonts w:ascii="宋体" w:hAnsi="宋体" w:eastAsia="宋体" w:cs="宋体"/>
          <w:sz w:val="24"/>
          <w:szCs w:val="24"/>
        </w:rPr>
        <w:t xml:space="preserve"> </w:t>
      </w:r>
      <w:r>
        <w:rPr>
          <w:rFonts w:ascii="宋体" w:hAnsi="宋体" w:eastAsia="宋体" w:cs="宋体"/>
          <w:spacing w:val="-8"/>
          <w:sz w:val="24"/>
          <w:szCs w:val="24"/>
        </w:rPr>
        <w:t>湿润的沟谷， 半湿润常绿阔叶林的残余物种常常与云南松混杂在一起，</w:t>
      </w:r>
      <w:r>
        <w:rPr>
          <w:rFonts w:ascii="宋体" w:hAnsi="宋体" w:eastAsia="宋体" w:cs="宋体"/>
          <w:spacing w:val="-56"/>
          <w:sz w:val="24"/>
          <w:szCs w:val="24"/>
        </w:rPr>
        <w:t xml:space="preserve"> </w:t>
      </w:r>
      <w:r>
        <w:rPr>
          <w:rFonts w:ascii="宋体" w:hAnsi="宋体" w:eastAsia="宋体" w:cs="宋体"/>
          <w:spacing w:val="-8"/>
          <w:sz w:val="24"/>
          <w:szCs w:val="24"/>
        </w:rPr>
        <w:t>组成混交</w:t>
      </w:r>
      <w:r>
        <w:rPr>
          <w:rFonts w:ascii="宋体" w:hAnsi="宋体" w:eastAsia="宋体" w:cs="宋体"/>
          <w:sz w:val="24"/>
          <w:szCs w:val="24"/>
        </w:rPr>
        <w:t xml:space="preserve"> </w:t>
      </w:r>
      <w:r>
        <w:rPr>
          <w:rFonts w:ascii="宋体" w:hAnsi="宋体" w:eastAsia="宋体" w:cs="宋体"/>
          <w:spacing w:val="-14"/>
          <w:sz w:val="24"/>
          <w:szCs w:val="24"/>
        </w:rPr>
        <w:t>林，</w:t>
      </w:r>
      <w:r>
        <w:rPr>
          <w:rFonts w:ascii="宋体" w:hAnsi="宋体" w:eastAsia="宋体" w:cs="宋体"/>
          <w:spacing w:val="-32"/>
          <w:sz w:val="24"/>
          <w:szCs w:val="24"/>
        </w:rPr>
        <w:t xml:space="preserve"> </w:t>
      </w:r>
      <w:r>
        <w:rPr>
          <w:rFonts w:ascii="宋体" w:hAnsi="宋体" w:eastAsia="宋体" w:cs="宋体"/>
          <w:spacing w:val="-14"/>
          <w:sz w:val="24"/>
          <w:szCs w:val="24"/>
        </w:rPr>
        <w:t>由于组成的乔灌草比例常有变化，</w:t>
      </w:r>
      <w:r>
        <w:rPr>
          <w:rFonts w:ascii="宋体" w:hAnsi="宋体" w:eastAsia="宋体" w:cs="宋体"/>
          <w:spacing w:val="30"/>
          <w:sz w:val="24"/>
          <w:szCs w:val="24"/>
        </w:rPr>
        <w:t xml:space="preserve"> </w:t>
      </w:r>
      <w:r>
        <w:rPr>
          <w:rFonts w:ascii="宋体" w:hAnsi="宋体" w:eastAsia="宋体" w:cs="宋体"/>
          <w:spacing w:val="-14"/>
          <w:sz w:val="24"/>
          <w:szCs w:val="24"/>
        </w:rPr>
        <w:t>群落处于动态中，</w:t>
      </w:r>
      <w:r>
        <w:rPr>
          <w:rFonts w:ascii="宋体" w:hAnsi="宋体" w:eastAsia="宋体" w:cs="宋体"/>
          <w:spacing w:val="34"/>
          <w:sz w:val="24"/>
          <w:szCs w:val="24"/>
        </w:rPr>
        <w:t xml:space="preserve"> </w:t>
      </w:r>
      <w:r>
        <w:rPr>
          <w:rFonts w:ascii="宋体" w:hAnsi="宋体" w:eastAsia="宋体" w:cs="宋体"/>
          <w:spacing w:val="-14"/>
          <w:sz w:val="24"/>
          <w:szCs w:val="24"/>
        </w:rPr>
        <w:t>故在本调</w:t>
      </w:r>
      <w:r>
        <w:rPr>
          <w:rFonts w:ascii="宋体" w:hAnsi="宋体" w:eastAsia="宋体" w:cs="宋体"/>
          <w:spacing w:val="-15"/>
          <w:sz w:val="24"/>
          <w:szCs w:val="24"/>
        </w:rPr>
        <w:t>查中全部合并</w:t>
      </w:r>
    </w:p>
    <w:p>
      <w:pPr>
        <w:spacing w:line="212" w:lineRule="auto"/>
        <w:ind w:left="42"/>
        <w:rPr>
          <w:rFonts w:ascii="宋体" w:hAnsi="宋体" w:eastAsia="宋体" w:cs="宋体"/>
          <w:sz w:val="24"/>
          <w:szCs w:val="24"/>
        </w:rPr>
      </w:pPr>
      <w:r>
        <w:rPr>
          <w:rFonts w:ascii="宋体" w:hAnsi="宋体" w:eastAsia="宋体" w:cs="宋体"/>
          <w:spacing w:val="-2"/>
          <w:sz w:val="24"/>
          <w:szCs w:val="24"/>
        </w:rPr>
        <w:t>为一个群落描述：云南松群落（</w:t>
      </w:r>
      <w:r>
        <w:rPr>
          <w:rFonts w:ascii="Times New Roman" w:hAnsi="Times New Roman" w:eastAsia="Times New Roman" w:cs="Times New Roman"/>
          <w:i/>
          <w:iCs/>
          <w:spacing w:val="-2"/>
          <w:sz w:val="24"/>
          <w:szCs w:val="24"/>
        </w:rPr>
        <w:t>Pinus</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i/>
          <w:iCs/>
          <w:spacing w:val="-2"/>
          <w:sz w:val="24"/>
          <w:szCs w:val="24"/>
        </w:rPr>
        <w:t xml:space="preserve">yunnanensis </w:t>
      </w:r>
      <w:r>
        <w:rPr>
          <w:rFonts w:ascii="Times New Roman" w:hAnsi="Times New Roman" w:eastAsia="Times New Roman" w:cs="Times New Roman"/>
          <w:spacing w:val="-2"/>
          <w:sz w:val="24"/>
          <w:szCs w:val="24"/>
        </w:rPr>
        <w:t>Co</w:t>
      </w:r>
      <w:r>
        <w:rPr>
          <w:rFonts w:ascii="Times New Roman" w:hAnsi="Times New Roman" w:eastAsia="Times New Roman" w:cs="Times New Roman"/>
          <w:spacing w:val="-3"/>
          <w:sz w:val="24"/>
          <w:szCs w:val="24"/>
        </w:rPr>
        <w:t>mm.</w:t>
      </w:r>
      <w:r>
        <w:rPr>
          <w:rFonts w:ascii="宋体" w:hAnsi="宋体" w:eastAsia="宋体" w:cs="宋体"/>
          <w:spacing w:val="-3"/>
          <w:sz w:val="24"/>
          <w:szCs w:val="24"/>
        </w:rPr>
        <w:t>）。</w:t>
      </w:r>
    </w:p>
    <w:p>
      <w:pPr>
        <w:spacing w:before="192" w:line="360" w:lineRule="auto"/>
        <w:ind w:left="40" w:right="67" w:firstLine="480"/>
        <w:rPr>
          <w:rFonts w:ascii="宋体" w:hAnsi="宋体" w:eastAsia="宋体" w:cs="宋体"/>
          <w:sz w:val="24"/>
          <w:szCs w:val="24"/>
        </w:rPr>
      </w:pPr>
      <w:r>
        <w:rPr>
          <w:rFonts w:ascii="宋体" w:hAnsi="宋体" w:eastAsia="宋体" w:cs="宋体"/>
          <w:spacing w:val="-7"/>
          <w:sz w:val="24"/>
          <w:szCs w:val="24"/>
        </w:rPr>
        <w:t>本</w:t>
      </w:r>
      <w:r>
        <w:rPr>
          <w:rFonts w:ascii="宋体" w:hAnsi="宋体" w:eastAsia="宋体" w:cs="宋体"/>
          <w:spacing w:val="-70"/>
          <w:sz w:val="24"/>
          <w:szCs w:val="24"/>
        </w:rPr>
        <w:t xml:space="preserve"> </w:t>
      </w:r>
      <w:r>
        <w:rPr>
          <w:rFonts w:ascii="宋体" w:hAnsi="宋体" w:eastAsia="宋体" w:cs="宋体"/>
          <w:spacing w:val="-7"/>
          <w:sz w:val="24"/>
          <w:szCs w:val="24"/>
        </w:rPr>
        <w:t>群</w:t>
      </w:r>
      <w:r>
        <w:rPr>
          <w:rFonts w:ascii="宋体" w:hAnsi="宋体" w:eastAsia="宋体" w:cs="宋体"/>
          <w:spacing w:val="-68"/>
          <w:sz w:val="24"/>
          <w:szCs w:val="24"/>
        </w:rPr>
        <w:t xml:space="preserve"> </w:t>
      </w:r>
      <w:r>
        <w:rPr>
          <w:rFonts w:ascii="宋体" w:hAnsi="宋体" w:eastAsia="宋体" w:cs="宋体"/>
          <w:spacing w:val="-7"/>
          <w:sz w:val="24"/>
          <w:szCs w:val="24"/>
        </w:rPr>
        <w:t>落</w:t>
      </w:r>
      <w:r>
        <w:rPr>
          <w:rFonts w:ascii="宋体" w:hAnsi="宋体" w:eastAsia="宋体" w:cs="宋体"/>
          <w:spacing w:val="-67"/>
          <w:sz w:val="24"/>
          <w:szCs w:val="24"/>
        </w:rPr>
        <w:t xml:space="preserve"> </w:t>
      </w:r>
      <w:r>
        <w:rPr>
          <w:rFonts w:ascii="宋体" w:hAnsi="宋体" w:eastAsia="宋体" w:cs="宋体"/>
          <w:spacing w:val="-7"/>
          <w:sz w:val="24"/>
          <w:szCs w:val="24"/>
        </w:rPr>
        <w:t>是</w:t>
      </w:r>
      <w:r>
        <w:rPr>
          <w:rFonts w:ascii="宋体" w:hAnsi="宋体" w:eastAsia="宋体" w:cs="宋体"/>
          <w:spacing w:val="-68"/>
          <w:sz w:val="24"/>
          <w:szCs w:val="24"/>
        </w:rPr>
        <w:t xml:space="preserve"> </w:t>
      </w:r>
      <w:r>
        <w:rPr>
          <w:rFonts w:ascii="宋体" w:hAnsi="宋体" w:eastAsia="宋体" w:cs="宋体"/>
          <w:spacing w:val="-7"/>
          <w:sz w:val="24"/>
          <w:szCs w:val="24"/>
        </w:rPr>
        <w:t>滇</w:t>
      </w:r>
      <w:r>
        <w:rPr>
          <w:rFonts w:ascii="宋体" w:hAnsi="宋体" w:eastAsia="宋体" w:cs="宋体"/>
          <w:spacing w:val="-48"/>
          <w:sz w:val="24"/>
          <w:szCs w:val="24"/>
        </w:rPr>
        <w:t xml:space="preserve"> </w:t>
      </w:r>
      <w:r>
        <w:rPr>
          <w:rFonts w:ascii="宋体" w:hAnsi="宋体" w:eastAsia="宋体" w:cs="宋体"/>
          <w:spacing w:val="-7"/>
          <w:sz w:val="24"/>
          <w:szCs w:val="24"/>
        </w:rPr>
        <w:t>中</w:t>
      </w:r>
      <w:r>
        <w:rPr>
          <w:rFonts w:ascii="宋体" w:hAnsi="宋体" w:eastAsia="宋体" w:cs="宋体"/>
          <w:spacing w:val="-64"/>
          <w:sz w:val="24"/>
          <w:szCs w:val="24"/>
        </w:rPr>
        <w:t xml:space="preserve"> </w:t>
      </w:r>
      <w:r>
        <w:rPr>
          <w:rFonts w:ascii="宋体" w:hAnsi="宋体" w:eastAsia="宋体" w:cs="宋体"/>
          <w:spacing w:val="-7"/>
          <w:sz w:val="24"/>
          <w:szCs w:val="24"/>
        </w:rPr>
        <w:t>高</w:t>
      </w:r>
      <w:r>
        <w:rPr>
          <w:rFonts w:ascii="宋体" w:hAnsi="宋体" w:eastAsia="宋体" w:cs="宋体"/>
          <w:spacing w:val="-64"/>
          <w:sz w:val="24"/>
          <w:szCs w:val="24"/>
        </w:rPr>
        <w:t xml:space="preserve"> </w:t>
      </w:r>
      <w:r>
        <w:rPr>
          <w:rFonts w:ascii="宋体" w:hAnsi="宋体" w:eastAsia="宋体" w:cs="宋体"/>
          <w:spacing w:val="-7"/>
          <w:sz w:val="24"/>
          <w:szCs w:val="24"/>
        </w:rPr>
        <w:t>原</w:t>
      </w:r>
      <w:r>
        <w:rPr>
          <w:rFonts w:ascii="宋体" w:hAnsi="宋体" w:eastAsia="宋体" w:cs="宋体"/>
          <w:spacing w:val="-47"/>
          <w:sz w:val="24"/>
          <w:szCs w:val="24"/>
        </w:rPr>
        <w:t xml:space="preserve"> </w:t>
      </w:r>
      <w:r>
        <w:rPr>
          <w:rFonts w:ascii="宋体" w:hAnsi="宋体" w:eastAsia="宋体" w:cs="宋体"/>
          <w:spacing w:val="-7"/>
          <w:sz w:val="24"/>
          <w:szCs w:val="24"/>
        </w:rPr>
        <w:t>山</w:t>
      </w:r>
      <w:r>
        <w:rPr>
          <w:rFonts w:ascii="宋体" w:hAnsi="宋体" w:eastAsia="宋体" w:cs="宋体"/>
          <w:spacing w:val="-70"/>
          <w:sz w:val="24"/>
          <w:szCs w:val="24"/>
        </w:rPr>
        <w:t xml:space="preserve"> </w:t>
      </w:r>
      <w:r>
        <w:rPr>
          <w:rFonts w:ascii="宋体" w:hAnsi="宋体" w:eastAsia="宋体" w:cs="宋体"/>
          <w:spacing w:val="-7"/>
          <w:sz w:val="24"/>
          <w:szCs w:val="24"/>
        </w:rPr>
        <w:t>地</w:t>
      </w:r>
      <w:r>
        <w:rPr>
          <w:rFonts w:ascii="宋体" w:hAnsi="宋体" w:eastAsia="宋体" w:cs="宋体"/>
          <w:spacing w:val="-67"/>
          <w:sz w:val="24"/>
          <w:szCs w:val="24"/>
        </w:rPr>
        <w:t xml:space="preserve"> </w:t>
      </w:r>
      <w:r>
        <w:rPr>
          <w:rFonts w:ascii="宋体" w:hAnsi="宋体" w:eastAsia="宋体" w:cs="宋体"/>
          <w:spacing w:val="-7"/>
          <w:sz w:val="24"/>
          <w:szCs w:val="24"/>
        </w:rPr>
        <w:t>分</w:t>
      </w:r>
      <w:r>
        <w:rPr>
          <w:rFonts w:ascii="宋体" w:hAnsi="宋体" w:eastAsia="宋体" w:cs="宋体"/>
          <w:spacing w:val="-70"/>
          <w:sz w:val="24"/>
          <w:szCs w:val="24"/>
        </w:rPr>
        <w:t xml:space="preserve"> </w:t>
      </w:r>
      <w:r>
        <w:rPr>
          <w:rFonts w:ascii="宋体" w:hAnsi="宋体" w:eastAsia="宋体" w:cs="宋体"/>
          <w:spacing w:val="-7"/>
          <w:sz w:val="24"/>
          <w:szCs w:val="24"/>
        </w:rPr>
        <w:t>布</w:t>
      </w:r>
      <w:r>
        <w:rPr>
          <w:rFonts w:ascii="宋体" w:hAnsi="宋体" w:eastAsia="宋体" w:cs="宋体"/>
          <w:spacing w:val="-63"/>
          <w:sz w:val="24"/>
          <w:szCs w:val="24"/>
        </w:rPr>
        <w:t xml:space="preserve"> </w:t>
      </w:r>
      <w:r>
        <w:rPr>
          <w:rFonts w:ascii="宋体" w:hAnsi="宋体" w:eastAsia="宋体" w:cs="宋体"/>
          <w:spacing w:val="-7"/>
          <w:sz w:val="24"/>
          <w:szCs w:val="24"/>
        </w:rPr>
        <w:t>最广的一</w:t>
      </w:r>
      <w:r>
        <w:rPr>
          <w:rFonts w:ascii="宋体" w:hAnsi="宋体" w:eastAsia="宋体" w:cs="宋体"/>
          <w:spacing w:val="-69"/>
          <w:sz w:val="24"/>
          <w:szCs w:val="24"/>
        </w:rPr>
        <w:t xml:space="preserve"> </w:t>
      </w:r>
      <w:r>
        <w:rPr>
          <w:rFonts w:ascii="宋体" w:hAnsi="宋体" w:eastAsia="宋体" w:cs="宋体"/>
          <w:spacing w:val="-7"/>
          <w:sz w:val="24"/>
          <w:szCs w:val="24"/>
        </w:rPr>
        <w:t>类</w:t>
      </w:r>
      <w:r>
        <w:rPr>
          <w:rFonts w:ascii="宋体" w:hAnsi="宋体" w:eastAsia="宋体" w:cs="宋体"/>
          <w:spacing w:val="-64"/>
          <w:sz w:val="24"/>
          <w:szCs w:val="24"/>
        </w:rPr>
        <w:t xml:space="preserve"> </w:t>
      </w:r>
      <w:r>
        <w:rPr>
          <w:rFonts w:ascii="宋体" w:hAnsi="宋体" w:eastAsia="宋体" w:cs="宋体"/>
          <w:spacing w:val="-7"/>
          <w:sz w:val="24"/>
          <w:szCs w:val="24"/>
        </w:rPr>
        <w:t>云</w:t>
      </w:r>
      <w:r>
        <w:rPr>
          <w:rFonts w:ascii="宋体" w:hAnsi="宋体" w:eastAsia="宋体" w:cs="宋体"/>
          <w:spacing w:val="-67"/>
          <w:sz w:val="24"/>
          <w:szCs w:val="24"/>
        </w:rPr>
        <w:t xml:space="preserve"> </w:t>
      </w:r>
      <w:r>
        <w:rPr>
          <w:rFonts w:ascii="宋体" w:hAnsi="宋体" w:eastAsia="宋体" w:cs="宋体"/>
          <w:spacing w:val="-7"/>
          <w:sz w:val="24"/>
          <w:szCs w:val="24"/>
        </w:rPr>
        <w:t>南</w:t>
      </w:r>
      <w:r>
        <w:rPr>
          <w:rFonts w:ascii="宋体" w:hAnsi="宋体" w:eastAsia="宋体" w:cs="宋体"/>
          <w:spacing w:val="-69"/>
          <w:sz w:val="24"/>
          <w:szCs w:val="24"/>
        </w:rPr>
        <w:t xml:space="preserve"> </w:t>
      </w:r>
      <w:r>
        <w:rPr>
          <w:rFonts w:ascii="宋体" w:hAnsi="宋体" w:eastAsia="宋体" w:cs="宋体"/>
          <w:spacing w:val="-7"/>
          <w:sz w:val="24"/>
          <w:szCs w:val="24"/>
        </w:rPr>
        <w:t>松</w:t>
      </w:r>
      <w:r>
        <w:rPr>
          <w:rFonts w:ascii="宋体" w:hAnsi="宋体" w:eastAsia="宋体" w:cs="宋体"/>
          <w:spacing w:val="-68"/>
          <w:sz w:val="24"/>
          <w:szCs w:val="24"/>
        </w:rPr>
        <w:t xml:space="preserve"> </w:t>
      </w:r>
      <w:r>
        <w:rPr>
          <w:rFonts w:ascii="宋体" w:hAnsi="宋体" w:eastAsia="宋体" w:cs="宋体"/>
          <w:spacing w:val="-7"/>
          <w:sz w:val="24"/>
          <w:szCs w:val="24"/>
        </w:rPr>
        <w:t>林</w:t>
      </w:r>
      <w:r>
        <w:rPr>
          <w:rFonts w:ascii="宋体" w:hAnsi="宋体" w:eastAsia="宋体" w:cs="宋体"/>
          <w:spacing w:val="-53"/>
          <w:sz w:val="24"/>
          <w:szCs w:val="24"/>
        </w:rPr>
        <w:t xml:space="preserve"> </w:t>
      </w:r>
      <w:r>
        <w:rPr>
          <w:rFonts w:ascii="宋体" w:hAnsi="宋体" w:eastAsia="宋体" w:cs="宋体"/>
          <w:spacing w:val="-7"/>
          <w:sz w:val="24"/>
          <w:szCs w:val="24"/>
        </w:rPr>
        <w:t>，</w:t>
      </w:r>
      <w:r>
        <w:rPr>
          <w:rFonts w:ascii="宋体" w:hAnsi="宋体" w:eastAsia="宋体" w:cs="宋体"/>
          <w:spacing w:val="-69"/>
          <w:sz w:val="24"/>
          <w:szCs w:val="24"/>
        </w:rPr>
        <w:t xml:space="preserve"> </w:t>
      </w:r>
      <w:r>
        <w:rPr>
          <w:rFonts w:ascii="宋体" w:hAnsi="宋体" w:eastAsia="宋体" w:cs="宋体"/>
          <w:spacing w:val="-7"/>
          <w:sz w:val="24"/>
          <w:szCs w:val="24"/>
        </w:rPr>
        <w:t>分</w:t>
      </w:r>
      <w:r>
        <w:rPr>
          <w:rFonts w:ascii="宋体" w:hAnsi="宋体" w:eastAsia="宋体" w:cs="宋体"/>
          <w:spacing w:val="-70"/>
          <w:sz w:val="24"/>
          <w:szCs w:val="24"/>
        </w:rPr>
        <w:t xml:space="preserve"> </w:t>
      </w:r>
      <w:r>
        <w:rPr>
          <w:rFonts w:ascii="宋体" w:hAnsi="宋体" w:eastAsia="宋体" w:cs="宋体"/>
          <w:spacing w:val="-8"/>
          <w:sz w:val="24"/>
          <w:szCs w:val="24"/>
        </w:rPr>
        <w:t>布</w:t>
      </w:r>
      <w:r>
        <w:rPr>
          <w:rFonts w:ascii="宋体" w:hAnsi="宋体" w:eastAsia="宋体" w:cs="宋体"/>
          <w:spacing w:val="-63"/>
          <w:sz w:val="24"/>
          <w:szCs w:val="24"/>
        </w:rPr>
        <w:t xml:space="preserve"> </w:t>
      </w:r>
      <w:r>
        <w:rPr>
          <w:rFonts w:ascii="宋体" w:hAnsi="宋体" w:eastAsia="宋体" w:cs="宋体"/>
          <w:spacing w:val="-8"/>
          <w:sz w:val="24"/>
          <w:szCs w:val="24"/>
        </w:rPr>
        <w:t>范</w:t>
      </w:r>
      <w:r>
        <w:rPr>
          <w:rFonts w:ascii="宋体" w:hAnsi="宋体" w:eastAsia="宋体" w:cs="宋体"/>
          <w:spacing w:val="-49"/>
          <w:sz w:val="24"/>
          <w:szCs w:val="24"/>
        </w:rPr>
        <w:t xml:space="preserve"> </w:t>
      </w:r>
      <w:r>
        <w:rPr>
          <w:rFonts w:ascii="宋体" w:hAnsi="宋体" w:eastAsia="宋体" w:cs="宋体"/>
          <w:spacing w:val="-8"/>
          <w:sz w:val="24"/>
          <w:szCs w:val="24"/>
        </w:rPr>
        <w:t>围</w:t>
      </w:r>
      <w:r>
        <w:rPr>
          <w:rFonts w:ascii="宋体" w:hAnsi="宋体" w:eastAsia="宋体" w:cs="宋体"/>
          <w:spacing w:val="-59"/>
          <w:sz w:val="24"/>
          <w:szCs w:val="24"/>
        </w:rPr>
        <w:t xml:space="preserve"> </w:t>
      </w:r>
      <w:r>
        <w:rPr>
          <w:rFonts w:ascii="宋体" w:hAnsi="宋体" w:eastAsia="宋体" w:cs="宋体"/>
          <w:spacing w:val="-8"/>
          <w:sz w:val="24"/>
          <w:szCs w:val="24"/>
        </w:rPr>
        <w:t>多在</w:t>
      </w:r>
      <w:r>
        <w:rPr>
          <w:rFonts w:ascii="宋体" w:hAnsi="宋体" w:eastAsia="宋体" w:cs="宋体"/>
          <w:sz w:val="24"/>
          <w:szCs w:val="24"/>
        </w:rPr>
        <w:t xml:space="preserve"> </w:t>
      </w:r>
      <w:r>
        <w:rPr>
          <w:rFonts w:ascii="Times New Roman" w:hAnsi="Times New Roman" w:eastAsia="Times New Roman" w:cs="Times New Roman"/>
          <w:spacing w:val="-10"/>
          <w:sz w:val="24"/>
          <w:szCs w:val="24"/>
        </w:rPr>
        <w:t>1500~2000m</w:t>
      </w:r>
      <w:r>
        <w:rPr>
          <w:rFonts w:ascii="宋体" w:hAnsi="宋体" w:eastAsia="宋体" w:cs="宋体"/>
          <w:spacing w:val="-10"/>
          <w:sz w:val="24"/>
          <w:szCs w:val="24"/>
        </w:rPr>
        <w:t>，中心位于楚雄和曲靖，</w:t>
      </w:r>
      <w:r>
        <w:rPr>
          <w:rFonts w:ascii="宋体" w:hAnsi="宋体" w:eastAsia="宋体" w:cs="宋体"/>
          <w:spacing w:val="33"/>
          <w:sz w:val="24"/>
          <w:szCs w:val="24"/>
        </w:rPr>
        <w:t xml:space="preserve"> </w:t>
      </w:r>
      <w:r>
        <w:rPr>
          <w:rFonts w:ascii="宋体" w:hAnsi="宋体" w:eastAsia="宋体" w:cs="宋体"/>
          <w:spacing w:val="-10"/>
          <w:sz w:val="24"/>
          <w:szCs w:val="24"/>
        </w:rPr>
        <w:t>南达石屏、新平、景东一线，</w:t>
      </w:r>
      <w:r>
        <w:rPr>
          <w:rFonts w:ascii="宋体" w:hAnsi="宋体" w:eastAsia="宋体" w:cs="宋体"/>
          <w:spacing w:val="-54"/>
          <w:sz w:val="24"/>
          <w:szCs w:val="24"/>
        </w:rPr>
        <w:t xml:space="preserve"> </w:t>
      </w:r>
      <w:r>
        <w:rPr>
          <w:rFonts w:ascii="宋体" w:hAnsi="宋体" w:eastAsia="宋体" w:cs="宋体"/>
          <w:spacing w:val="-10"/>
          <w:sz w:val="24"/>
          <w:szCs w:val="24"/>
        </w:rPr>
        <w:t>北至金沙江流</w:t>
      </w:r>
      <w:r>
        <w:rPr>
          <w:rFonts w:ascii="宋体" w:hAnsi="宋体" w:eastAsia="宋体" w:cs="宋体"/>
          <w:sz w:val="24"/>
          <w:szCs w:val="24"/>
        </w:rPr>
        <w:t xml:space="preserve"> </w:t>
      </w:r>
      <w:r>
        <w:rPr>
          <w:rFonts w:ascii="宋体" w:hAnsi="宋体" w:eastAsia="宋体" w:cs="宋体"/>
          <w:spacing w:val="-20"/>
          <w:sz w:val="24"/>
          <w:szCs w:val="24"/>
        </w:rPr>
        <w:t>域，分布面积较大，</w:t>
      </w:r>
      <w:r>
        <w:rPr>
          <w:rFonts w:ascii="宋体" w:hAnsi="宋体" w:eastAsia="宋体" w:cs="宋体"/>
          <w:spacing w:val="20"/>
          <w:sz w:val="24"/>
          <w:szCs w:val="24"/>
        </w:rPr>
        <w:t xml:space="preserve"> </w:t>
      </w:r>
      <w:r>
        <w:rPr>
          <w:rFonts w:ascii="宋体" w:hAnsi="宋体" w:eastAsia="宋体" w:cs="宋体"/>
          <w:spacing w:val="-20"/>
          <w:sz w:val="24"/>
          <w:szCs w:val="24"/>
        </w:rPr>
        <w:t>比较典型。该群落较为简单， 物种相对不丰富， 林冠较整齐。</w:t>
      </w:r>
      <w:r>
        <w:rPr>
          <w:rFonts w:ascii="宋体" w:hAnsi="宋体" w:eastAsia="宋体" w:cs="宋体"/>
          <w:sz w:val="24"/>
          <w:szCs w:val="24"/>
        </w:rPr>
        <w:t xml:space="preserve"> </w:t>
      </w:r>
      <w:r>
        <w:rPr>
          <w:rFonts w:ascii="宋体" w:hAnsi="宋体" w:eastAsia="宋体" w:cs="宋体"/>
          <w:spacing w:val="-17"/>
          <w:sz w:val="24"/>
          <w:szCs w:val="24"/>
        </w:rPr>
        <w:t>本评价区处于金沙江流域，</w:t>
      </w:r>
      <w:r>
        <w:rPr>
          <w:rFonts w:ascii="宋体" w:hAnsi="宋体" w:eastAsia="宋体" w:cs="宋体"/>
          <w:spacing w:val="63"/>
          <w:sz w:val="24"/>
          <w:szCs w:val="24"/>
        </w:rPr>
        <w:t xml:space="preserve"> </w:t>
      </w:r>
      <w:r>
        <w:rPr>
          <w:rFonts w:ascii="宋体" w:hAnsi="宋体" w:eastAsia="宋体" w:cs="宋体"/>
          <w:spacing w:val="-17"/>
          <w:sz w:val="24"/>
          <w:szCs w:val="24"/>
        </w:rPr>
        <w:t>因人类活动历史较长，</w:t>
      </w:r>
      <w:r>
        <w:rPr>
          <w:rFonts w:ascii="宋体" w:hAnsi="宋体" w:eastAsia="宋体" w:cs="宋体"/>
          <w:spacing w:val="36"/>
          <w:sz w:val="24"/>
          <w:szCs w:val="24"/>
        </w:rPr>
        <w:t xml:space="preserve"> </w:t>
      </w:r>
      <w:r>
        <w:rPr>
          <w:rFonts w:ascii="宋体" w:hAnsi="宋体" w:eastAsia="宋体" w:cs="宋体"/>
          <w:spacing w:val="-17"/>
          <w:sz w:val="24"/>
          <w:szCs w:val="24"/>
        </w:rPr>
        <w:t>原始的群落已经完全丧失，</w:t>
      </w:r>
      <w:r>
        <w:rPr>
          <w:rFonts w:ascii="宋体" w:hAnsi="宋体" w:eastAsia="宋体" w:cs="宋体"/>
          <w:spacing w:val="31"/>
          <w:sz w:val="24"/>
          <w:szCs w:val="24"/>
        </w:rPr>
        <w:t xml:space="preserve"> </w:t>
      </w:r>
      <w:r>
        <w:rPr>
          <w:rFonts w:ascii="宋体" w:hAnsi="宋体" w:eastAsia="宋体" w:cs="宋体"/>
          <w:spacing w:val="-17"/>
          <w:sz w:val="24"/>
          <w:szCs w:val="24"/>
        </w:rPr>
        <w:t>余</w:t>
      </w:r>
      <w:r>
        <w:rPr>
          <w:rFonts w:ascii="宋体" w:hAnsi="宋体" w:eastAsia="宋体" w:cs="宋体"/>
          <w:sz w:val="24"/>
          <w:szCs w:val="24"/>
        </w:rPr>
        <w:t xml:space="preserve"> </w:t>
      </w:r>
      <w:r>
        <w:rPr>
          <w:rFonts w:ascii="宋体" w:hAnsi="宋体" w:eastAsia="宋体" w:cs="宋体"/>
          <w:spacing w:val="-16"/>
          <w:sz w:val="24"/>
          <w:szCs w:val="24"/>
        </w:rPr>
        <w:t>下扰动后发育起来的次生植被，</w:t>
      </w:r>
      <w:r>
        <w:rPr>
          <w:rFonts w:ascii="宋体" w:hAnsi="宋体" w:eastAsia="宋体" w:cs="宋体"/>
          <w:spacing w:val="37"/>
          <w:sz w:val="24"/>
          <w:szCs w:val="24"/>
        </w:rPr>
        <w:t xml:space="preserve"> </w:t>
      </w:r>
      <w:r>
        <w:rPr>
          <w:rFonts w:ascii="宋体" w:hAnsi="宋体" w:eastAsia="宋体" w:cs="宋体"/>
          <w:spacing w:val="-16"/>
          <w:sz w:val="24"/>
          <w:szCs w:val="24"/>
        </w:rPr>
        <w:t>群落高度大为降低，</w:t>
      </w:r>
      <w:r>
        <w:rPr>
          <w:rFonts w:ascii="宋体" w:hAnsi="宋体" w:eastAsia="宋体" w:cs="宋体"/>
          <w:spacing w:val="30"/>
          <w:sz w:val="24"/>
          <w:szCs w:val="24"/>
        </w:rPr>
        <w:t xml:space="preserve"> </w:t>
      </w:r>
      <w:r>
        <w:rPr>
          <w:rFonts w:ascii="宋体" w:hAnsi="宋体" w:eastAsia="宋体" w:cs="宋体"/>
          <w:spacing w:val="-16"/>
          <w:sz w:val="24"/>
          <w:szCs w:val="24"/>
        </w:rPr>
        <w:t>物种多样性急剧减少，</w:t>
      </w:r>
      <w:r>
        <w:rPr>
          <w:rFonts w:ascii="宋体" w:hAnsi="宋体" w:eastAsia="宋体" w:cs="宋体"/>
          <w:spacing w:val="28"/>
          <w:sz w:val="24"/>
          <w:szCs w:val="24"/>
        </w:rPr>
        <w:t xml:space="preserve"> </w:t>
      </w:r>
      <w:r>
        <w:rPr>
          <w:rFonts w:ascii="宋体" w:hAnsi="宋体" w:eastAsia="宋体" w:cs="宋体"/>
          <w:spacing w:val="-16"/>
          <w:sz w:val="24"/>
          <w:szCs w:val="24"/>
        </w:rPr>
        <w:t>但目</w:t>
      </w:r>
      <w:r>
        <w:rPr>
          <w:rFonts w:ascii="宋体" w:hAnsi="宋体" w:eastAsia="宋体" w:cs="宋体"/>
          <w:sz w:val="24"/>
          <w:szCs w:val="24"/>
        </w:rPr>
        <w:t xml:space="preserve"> </w:t>
      </w:r>
      <w:r>
        <w:rPr>
          <w:rFonts w:ascii="宋体" w:hAnsi="宋体" w:eastAsia="宋体" w:cs="宋体"/>
          <w:spacing w:val="-21"/>
          <w:sz w:val="24"/>
          <w:szCs w:val="24"/>
        </w:rPr>
        <w:t>前群落极为稳定，</w:t>
      </w:r>
      <w:r>
        <w:rPr>
          <w:rFonts w:ascii="宋体" w:hAnsi="宋体" w:eastAsia="宋体" w:cs="宋体"/>
          <w:spacing w:val="39"/>
          <w:sz w:val="24"/>
          <w:szCs w:val="24"/>
        </w:rPr>
        <w:t xml:space="preserve"> </w:t>
      </w:r>
      <w:r>
        <w:rPr>
          <w:rFonts w:ascii="宋体" w:hAnsi="宋体" w:eastAsia="宋体" w:cs="宋体"/>
          <w:spacing w:val="-21"/>
          <w:sz w:val="24"/>
          <w:szCs w:val="24"/>
        </w:rPr>
        <w:t>面积分布极广，</w:t>
      </w:r>
      <w:r>
        <w:rPr>
          <w:rFonts w:ascii="宋体" w:hAnsi="宋体" w:eastAsia="宋体" w:cs="宋体"/>
          <w:spacing w:val="36"/>
          <w:sz w:val="24"/>
          <w:szCs w:val="24"/>
        </w:rPr>
        <w:t xml:space="preserve"> </w:t>
      </w:r>
      <w:r>
        <w:rPr>
          <w:rFonts w:ascii="宋体" w:hAnsi="宋体" w:eastAsia="宋体" w:cs="宋体"/>
          <w:spacing w:val="-21"/>
          <w:sz w:val="24"/>
          <w:szCs w:val="24"/>
        </w:rPr>
        <w:t>在平地少见，</w:t>
      </w:r>
      <w:r>
        <w:rPr>
          <w:rFonts w:ascii="宋体" w:hAnsi="宋体" w:eastAsia="宋体" w:cs="宋体"/>
          <w:spacing w:val="36"/>
          <w:sz w:val="24"/>
          <w:szCs w:val="24"/>
        </w:rPr>
        <w:t xml:space="preserve"> </w:t>
      </w:r>
      <w:r>
        <w:rPr>
          <w:rFonts w:ascii="宋体" w:hAnsi="宋体" w:eastAsia="宋体" w:cs="宋体"/>
          <w:spacing w:val="-21"/>
          <w:sz w:val="24"/>
          <w:szCs w:val="24"/>
        </w:rPr>
        <w:t>在丘陵或山地极为常见，</w:t>
      </w:r>
      <w:r>
        <w:rPr>
          <w:rFonts w:ascii="宋体" w:hAnsi="宋体" w:eastAsia="宋体" w:cs="宋体"/>
          <w:spacing w:val="37"/>
          <w:sz w:val="24"/>
          <w:szCs w:val="24"/>
        </w:rPr>
        <w:t xml:space="preserve"> </w:t>
      </w:r>
      <w:r>
        <w:rPr>
          <w:rFonts w:ascii="宋体" w:hAnsi="宋体" w:eastAsia="宋体" w:cs="宋体"/>
          <w:spacing w:val="-21"/>
          <w:sz w:val="24"/>
          <w:szCs w:val="24"/>
        </w:rPr>
        <w:t>特别是</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人为活动中等程度的干旱山坡或陡坡。</w:t>
      </w:r>
    </w:p>
    <w:p>
      <w:pPr>
        <w:spacing w:before="184" w:line="360" w:lineRule="auto"/>
        <w:ind w:left="34" w:firstLine="484"/>
        <w:rPr>
          <w:rFonts w:ascii="Times New Roman" w:hAnsi="Times New Roman" w:eastAsia="Times New Roman" w:cs="Times New Roman"/>
          <w:sz w:val="24"/>
          <w:szCs w:val="24"/>
        </w:rPr>
      </w:pPr>
      <w:r>
        <w:rPr>
          <w:rFonts w:ascii="宋体" w:hAnsi="宋体" w:eastAsia="宋体" w:cs="宋体"/>
          <w:spacing w:val="-2"/>
          <w:sz w:val="24"/>
          <w:szCs w:val="24"/>
        </w:rPr>
        <w:t>群落高</w:t>
      </w:r>
      <w:r>
        <w:rPr>
          <w:rFonts w:ascii="宋体" w:hAnsi="宋体" w:eastAsia="宋体" w:cs="宋体"/>
          <w:spacing w:val="-16"/>
          <w:sz w:val="24"/>
          <w:szCs w:val="24"/>
        </w:rPr>
        <w:t xml:space="preserve"> </w:t>
      </w:r>
      <w:r>
        <w:rPr>
          <w:rFonts w:ascii="Times New Roman" w:hAnsi="Times New Roman" w:eastAsia="Times New Roman" w:cs="Times New Roman"/>
          <w:spacing w:val="-2"/>
          <w:sz w:val="24"/>
          <w:szCs w:val="24"/>
        </w:rPr>
        <w:t>12~16m</w:t>
      </w:r>
      <w:r>
        <w:rPr>
          <w:rFonts w:ascii="宋体" w:hAnsi="宋体" w:eastAsia="宋体" w:cs="宋体"/>
          <w:spacing w:val="-2"/>
          <w:sz w:val="24"/>
          <w:szCs w:val="24"/>
        </w:rPr>
        <w:t>，郁闭度为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85%</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。乔木层中云南松</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Pinus</w:t>
      </w:r>
      <w:r>
        <w:rPr>
          <w:rFonts w:ascii="Times New Roman" w:hAnsi="Times New Roman" w:eastAsia="Times New Roman" w:cs="Times New Roman"/>
          <w:i/>
          <w:iCs/>
          <w:spacing w:val="-23"/>
          <w:sz w:val="24"/>
          <w:szCs w:val="24"/>
        </w:rPr>
        <w:t xml:space="preserve"> </w:t>
      </w:r>
      <w:r>
        <w:rPr>
          <w:rFonts w:ascii="Times New Roman" w:hAnsi="Times New Roman" w:eastAsia="Times New Roman" w:cs="Times New Roman"/>
          <w:i/>
          <w:iCs/>
          <w:spacing w:val="-2"/>
          <w:sz w:val="24"/>
          <w:szCs w:val="24"/>
        </w:rPr>
        <w:t xml:space="preserve">yunnanensis </w:t>
      </w:r>
      <w:r>
        <w:rPr>
          <w:rFonts w:ascii="宋体" w:hAnsi="宋体" w:eastAsia="宋体" w:cs="宋体"/>
          <w:spacing w:val="-2"/>
          <w:sz w:val="24"/>
          <w:szCs w:val="24"/>
        </w:rPr>
        <w:t>较为密</w:t>
      </w:r>
      <w:r>
        <w:rPr>
          <w:rFonts w:ascii="宋体" w:hAnsi="宋体" w:eastAsia="宋体" w:cs="宋体"/>
          <w:sz w:val="24"/>
          <w:szCs w:val="24"/>
        </w:rPr>
        <w:t xml:space="preserve"> </w:t>
      </w:r>
      <w:r>
        <w:rPr>
          <w:rFonts w:ascii="宋体" w:hAnsi="宋体" w:eastAsia="宋体" w:cs="宋体"/>
          <w:spacing w:val="-6"/>
          <w:sz w:val="24"/>
          <w:szCs w:val="24"/>
        </w:rPr>
        <w:t>集，</w:t>
      </w:r>
      <w:r>
        <w:rPr>
          <w:rFonts w:ascii="宋体" w:hAnsi="宋体" w:eastAsia="宋体" w:cs="宋体"/>
          <w:spacing w:val="-52"/>
          <w:sz w:val="24"/>
          <w:szCs w:val="24"/>
        </w:rPr>
        <w:t xml:space="preserve"> </w:t>
      </w:r>
      <w:r>
        <w:rPr>
          <w:rFonts w:ascii="宋体" w:hAnsi="宋体" w:eastAsia="宋体" w:cs="宋体"/>
          <w:spacing w:val="-6"/>
          <w:sz w:val="24"/>
          <w:szCs w:val="24"/>
        </w:rPr>
        <w:t>胸径平均在</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16cm </w:t>
      </w:r>
      <w:r>
        <w:rPr>
          <w:rFonts w:ascii="宋体" w:hAnsi="宋体" w:eastAsia="宋体" w:cs="宋体"/>
          <w:spacing w:val="-6"/>
          <w:sz w:val="24"/>
          <w:szCs w:val="24"/>
        </w:rPr>
        <w:t>左右。此外， 云南油杉</w:t>
      </w:r>
      <w:r>
        <w:rPr>
          <w:rFonts w:ascii="宋体" w:hAnsi="宋体" w:eastAsia="宋体" w:cs="宋体"/>
          <w:spacing w:val="-66"/>
          <w:sz w:val="24"/>
          <w:szCs w:val="24"/>
        </w:rPr>
        <w:t xml:space="preserve"> </w:t>
      </w:r>
      <w:r>
        <w:rPr>
          <w:rFonts w:ascii="Times New Roman" w:hAnsi="Times New Roman" w:eastAsia="Times New Roman" w:cs="Times New Roman"/>
          <w:i/>
          <w:iCs/>
          <w:spacing w:val="-6"/>
          <w:sz w:val="24"/>
          <w:szCs w:val="24"/>
        </w:rPr>
        <w:t xml:space="preserve">Keteleeria </w:t>
      </w:r>
      <w:r>
        <w:rPr>
          <w:rFonts w:ascii="Times New Roman" w:hAnsi="Times New Roman" w:eastAsia="Times New Roman" w:cs="Times New Roman"/>
          <w:i/>
          <w:iCs/>
          <w:spacing w:val="-7"/>
          <w:sz w:val="24"/>
          <w:szCs w:val="24"/>
        </w:rPr>
        <w:t>evelyniana</w:t>
      </w:r>
      <w:r>
        <w:rPr>
          <w:rFonts w:ascii="Times New Roman" w:hAnsi="Times New Roman" w:eastAsia="Times New Roman" w:cs="Times New Roman"/>
          <w:i/>
          <w:iCs/>
          <w:spacing w:val="14"/>
          <w:sz w:val="24"/>
          <w:szCs w:val="24"/>
        </w:rPr>
        <w:t xml:space="preserve"> </w:t>
      </w:r>
      <w:r>
        <w:rPr>
          <w:rFonts w:ascii="宋体" w:hAnsi="宋体" w:eastAsia="宋体" w:cs="宋体"/>
          <w:spacing w:val="-7"/>
          <w:sz w:val="24"/>
          <w:szCs w:val="24"/>
        </w:rPr>
        <w:t>是较为常见的</w:t>
      </w:r>
      <w:r>
        <w:rPr>
          <w:rFonts w:ascii="宋体" w:hAnsi="宋体" w:eastAsia="宋体" w:cs="宋体"/>
          <w:sz w:val="24"/>
          <w:szCs w:val="24"/>
        </w:rPr>
        <w:t xml:space="preserve"> </w:t>
      </w:r>
      <w:r>
        <w:rPr>
          <w:rFonts w:ascii="宋体" w:hAnsi="宋体" w:eastAsia="宋体" w:cs="宋体"/>
          <w:spacing w:val="-4"/>
          <w:sz w:val="24"/>
          <w:szCs w:val="24"/>
        </w:rPr>
        <w:t>伴</w:t>
      </w:r>
      <w:r>
        <w:rPr>
          <w:rFonts w:ascii="宋体" w:hAnsi="宋体" w:eastAsia="宋体" w:cs="宋体"/>
          <w:spacing w:val="-54"/>
          <w:sz w:val="24"/>
          <w:szCs w:val="24"/>
        </w:rPr>
        <w:t xml:space="preserve"> </w:t>
      </w:r>
      <w:r>
        <w:rPr>
          <w:rFonts w:ascii="宋体" w:hAnsi="宋体" w:eastAsia="宋体" w:cs="宋体"/>
          <w:spacing w:val="-4"/>
          <w:sz w:val="24"/>
          <w:szCs w:val="24"/>
        </w:rPr>
        <w:t>生种</w:t>
      </w:r>
      <w:r>
        <w:rPr>
          <w:rFonts w:ascii="宋体" w:hAnsi="宋体" w:eastAsia="宋体" w:cs="宋体"/>
          <w:spacing w:val="-49"/>
          <w:sz w:val="24"/>
          <w:szCs w:val="24"/>
        </w:rPr>
        <w:t xml:space="preserve"> </w:t>
      </w:r>
      <w:r>
        <w:rPr>
          <w:rFonts w:ascii="宋体" w:hAnsi="宋体" w:eastAsia="宋体" w:cs="宋体"/>
          <w:spacing w:val="-4"/>
          <w:sz w:val="24"/>
          <w:szCs w:val="24"/>
        </w:rPr>
        <w:t>。在湿</w:t>
      </w:r>
      <w:r>
        <w:rPr>
          <w:rFonts w:ascii="宋体" w:hAnsi="宋体" w:eastAsia="宋体" w:cs="宋体"/>
          <w:spacing w:val="-70"/>
          <w:sz w:val="24"/>
          <w:szCs w:val="24"/>
        </w:rPr>
        <w:t xml:space="preserve"> </w:t>
      </w:r>
      <w:r>
        <w:rPr>
          <w:rFonts w:ascii="宋体" w:hAnsi="宋体" w:eastAsia="宋体" w:cs="宋体"/>
          <w:spacing w:val="-4"/>
          <w:sz w:val="24"/>
          <w:szCs w:val="24"/>
        </w:rPr>
        <w:t>润</w:t>
      </w:r>
      <w:r>
        <w:rPr>
          <w:rFonts w:ascii="宋体" w:hAnsi="宋体" w:eastAsia="宋体" w:cs="宋体"/>
          <w:spacing w:val="-53"/>
          <w:sz w:val="24"/>
          <w:szCs w:val="24"/>
        </w:rPr>
        <w:t xml:space="preserve"> </w:t>
      </w:r>
      <w:r>
        <w:rPr>
          <w:rFonts w:ascii="宋体" w:hAnsi="宋体" w:eastAsia="宋体" w:cs="宋体"/>
          <w:spacing w:val="-4"/>
          <w:sz w:val="24"/>
          <w:szCs w:val="24"/>
        </w:rPr>
        <w:t>的沟</w:t>
      </w:r>
      <w:r>
        <w:rPr>
          <w:rFonts w:ascii="宋体" w:hAnsi="宋体" w:eastAsia="宋体" w:cs="宋体"/>
          <w:spacing w:val="-71"/>
          <w:sz w:val="24"/>
          <w:szCs w:val="24"/>
        </w:rPr>
        <w:t xml:space="preserve"> </w:t>
      </w:r>
      <w:r>
        <w:rPr>
          <w:rFonts w:ascii="宋体" w:hAnsi="宋体" w:eastAsia="宋体" w:cs="宋体"/>
          <w:spacing w:val="-4"/>
          <w:sz w:val="24"/>
          <w:szCs w:val="24"/>
        </w:rPr>
        <w:t>谷</w:t>
      </w:r>
      <w:r>
        <w:rPr>
          <w:rFonts w:ascii="宋体" w:hAnsi="宋体" w:eastAsia="宋体" w:cs="宋体"/>
          <w:spacing w:val="-49"/>
          <w:sz w:val="24"/>
          <w:szCs w:val="24"/>
        </w:rPr>
        <w:t xml:space="preserve"> </w:t>
      </w:r>
      <w:r>
        <w:rPr>
          <w:rFonts w:ascii="宋体" w:hAnsi="宋体" w:eastAsia="宋体" w:cs="宋体"/>
          <w:spacing w:val="-4"/>
          <w:sz w:val="24"/>
          <w:szCs w:val="24"/>
        </w:rPr>
        <w:t>中</w:t>
      </w:r>
      <w:r>
        <w:rPr>
          <w:rFonts w:ascii="宋体" w:hAnsi="宋体" w:eastAsia="宋体" w:cs="宋体"/>
          <w:spacing w:val="-56"/>
          <w:sz w:val="24"/>
          <w:szCs w:val="24"/>
        </w:rPr>
        <w:t xml:space="preserve"> </w:t>
      </w:r>
      <w:r>
        <w:rPr>
          <w:rFonts w:ascii="宋体" w:hAnsi="宋体" w:eastAsia="宋体" w:cs="宋体"/>
          <w:spacing w:val="-4"/>
          <w:sz w:val="24"/>
          <w:szCs w:val="24"/>
        </w:rPr>
        <w:t>，</w:t>
      </w:r>
      <w:r>
        <w:rPr>
          <w:rFonts w:ascii="宋体" w:hAnsi="宋体" w:eastAsia="宋体" w:cs="宋体"/>
          <w:spacing w:val="-67"/>
          <w:sz w:val="24"/>
          <w:szCs w:val="24"/>
        </w:rPr>
        <w:t xml:space="preserve"> </w:t>
      </w:r>
      <w:r>
        <w:rPr>
          <w:rFonts w:ascii="宋体" w:hAnsi="宋体" w:eastAsia="宋体" w:cs="宋体"/>
          <w:spacing w:val="-4"/>
          <w:sz w:val="24"/>
          <w:szCs w:val="24"/>
        </w:rPr>
        <w:t>常</w:t>
      </w:r>
      <w:r>
        <w:rPr>
          <w:rFonts w:ascii="宋体" w:hAnsi="宋体" w:eastAsia="宋体" w:cs="宋体"/>
          <w:spacing w:val="-66"/>
          <w:sz w:val="24"/>
          <w:szCs w:val="24"/>
        </w:rPr>
        <w:t xml:space="preserve"> </w:t>
      </w:r>
      <w:r>
        <w:rPr>
          <w:rFonts w:ascii="宋体" w:hAnsi="宋体" w:eastAsia="宋体" w:cs="宋体"/>
          <w:spacing w:val="-4"/>
          <w:sz w:val="24"/>
          <w:szCs w:val="24"/>
        </w:rPr>
        <w:t>常</w:t>
      </w:r>
      <w:r>
        <w:rPr>
          <w:rFonts w:ascii="宋体" w:hAnsi="宋体" w:eastAsia="宋体" w:cs="宋体"/>
          <w:spacing w:val="-68"/>
          <w:sz w:val="24"/>
          <w:szCs w:val="24"/>
        </w:rPr>
        <w:t xml:space="preserve"> </w:t>
      </w:r>
      <w:r>
        <w:rPr>
          <w:rFonts w:ascii="宋体" w:hAnsi="宋体" w:eastAsia="宋体" w:cs="宋体"/>
          <w:spacing w:val="-4"/>
          <w:sz w:val="24"/>
          <w:szCs w:val="24"/>
        </w:rPr>
        <w:t>与</w:t>
      </w:r>
      <w:r>
        <w:rPr>
          <w:rFonts w:ascii="宋体" w:hAnsi="宋体" w:eastAsia="宋体" w:cs="宋体"/>
          <w:spacing w:val="-69"/>
          <w:sz w:val="24"/>
          <w:szCs w:val="24"/>
        </w:rPr>
        <w:t xml:space="preserve"> </w:t>
      </w:r>
      <w:r>
        <w:rPr>
          <w:rFonts w:ascii="宋体" w:hAnsi="宋体" w:eastAsia="宋体" w:cs="宋体"/>
          <w:spacing w:val="-4"/>
          <w:sz w:val="24"/>
          <w:szCs w:val="24"/>
        </w:rPr>
        <w:t>一</w:t>
      </w:r>
      <w:r>
        <w:rPr>
          <w:rFonts w:ascii="宋体" w:hAnsi="宋体" w:eastAsia="宋体" w:cs="宋体"/>
          <w:spacing w:val="-69"/>
          <w:sz w:val="24"/>
          <w:szCs w:val="24"/>
        </w:rPr>
        <w:t xml:space="preserve"> </w:t>
      </w:r>
      <w:r>
        <w:rPr>
          <w:rFonts w:ascii="宋体" w:hAnsi="宋体" w:eastAsia="宋体" w:cs="宋体"/>
          <w:spacing w:val="-4"/>
          <w:sz w:val="24"/>
          <w:szCs w:val="24"/>
        </w:rPr>
        <w:t>些</w:t>
      </w:r>
      <w:r>
        <w:rPr>
          <w:rFonts w:ascii="宋体" w:hAnsi="宋体" w:eastAsia="宋体" w:cs="宋体"/>
          <w:spacing w:val="-67"/>
          <w:sz w:val="24"/>
          <w:szCs w:val="24"/>
        </w:rPr>
        <w:t xml:space="preserve"> </w:t>
      </w:r>
      <w:r>
        <w:rPr>
          <w:rFonts w:ascii="宋体" w:hAnsi="宋体" w:eastAsia="宋体" w:cs="宋体"/>
          <w:spacing w:val="-4"/>
          <w:sz w:val="24"/>
          <w:szCs w:val="24"/>
        </w:rPr>
        <w:t>常</w:t>
      </w:r>
      <w:r>
        <w:rPr>
          <w:rFonts w:ascii="宋体" w:hAnsi="宋体" w:eastAsia="宋体" w:cs="宋体"/>
          <w:spacing w:val="-71"/>
          <w:sz w:val="24"/>
          <w:szCs w:val="24"/>
        </w:rPr>
        <w:t xml:space="preserve"> </w:t>
      </w:r>
      <w:r>
        <w:rPr>
          <w:rFonts w:ascii="宋体" w:hAnsi="宋体" w:eastAsia="宋体" w:cs="宋体"/>
          <w:spacing w:val="-4"/>
          <w:sz w:val="24"/>
          <w:szCs w:val="24"/>
        </w:rPr>
        <w:t>绿</w:t>
      </w:r>
      <w:r>
        <w:rPr>
          <w:rFonts w:ascii="宋体" w:hAnsi="宋体" w:eastAsia="宋体" w:cs="宋体"/>
          <w:spacing w:val="-54"/>
          <w:sz w:val="24"/>
          <w:szCs w:val="24"/>
        </w:rPr>
        <w:t xml:space="preserve"> </w:t>
      </w:r>
      <w:r>
        <w:rPr>
          <w:rFonts w:ascii="宋体" w:hAnsi="宋体" w:eastAsia="宋体" w:cs="宋体"/>
          <w:spacing w:val="-4"/>
          <w:sz w:val="24"/>
          <w:szCs w:val="24"/>
        </w:rPr>
        <w:t>阔</w:t>
      </w:r>
      <w:r>
        <w:rPr>
          <w:rFonts w:ascii="宋体" w:hAnsi="宋体" w:eastAsia="宋体" w:cs="宋体"/>
          <w:spacing w:val="-58"/>
          <w:sz w:val="24"/>
          <w:szCs w:val="24"/>
        </w:rPr>
        <w:t xml:space="preserve"> </w:t>
      </w:r>
      <w:r>
        <w:rPr>
          <w:rFonts w:ascii="宋体" w:hAnsi="宋体" w:eastAsia="宋体" w:cs="宋体"/>
          <w:spacing w:val="-4"/>
          <w:sz w:val="24"/>
          <w:szCs w:val="24"/>
        </w:rPr>
        <w:t>叶</w:t>
      </w:r>
      <w:r>
        <w:rPr>
          <w:rFonts w:ascii="宋体" w:hAnsi="宋体" w:eastAsia="宋体" w:cs="宋体"/>
          <w:spacing w:val="-72"/>
          <w:sz w:val="24"/>
          <w:szCs w:val="24"/>
        </w:rPr>
        <w:t xml:space="preserve"> </w:t>
      </w:r>
      <w:r>
        <w:rPr>
          <w:rFonts w:ascii="宋体" w:hAnsi="宋体" w:eastAsia="宋体" w:cs="宋体"/>
          <w:spacing w:val="-4"/>
          <w:sz w:val="24"/>
          <w:szCs w:val="24"/>
        </w:rPr>
        <w:t>林残</w:t>
      </w:r>
      <w:r>
        <w:rPr>
          <w:rFonts w:ascii="宋体" w:hAnsi="宋体" w:eastAsia="宋体" w:cs="宋体"/>
          <w:spacing w:val="-71"/>
          <w:sz w:val="24"/>
          <w:szCs w:val="24"/>
        </w:rPr>
        <w:t xml:space="preserve"> </w:t>
      </w:r>
      <w:r>
        <w:rPr>
          <w:rFonts w:ascii="宋体" w:hAnsi="宋体" w:eastAsia="宋体" w:cs="宋体"/>
          <w:spacing w:val="-4"/>
          <w:sz w:val="24"/>
          <w:szCs w:val="24"/>
        </w:rPr>
        <w:t>余</w:t>
      </w:r>
      <w:r>
        <w:rPr>
          <w:rFonts w:ascii="宋体" w:hAnsi="宋体" w:eastAsia="宋体" w:cs="宋体"/>
          <w:spacing w:val="-54"/>
          <w:sz w:val="24"/>
          <w:szCs w:val="24"/>
        </w:rPr>
        <w:t xml:space="preserve"> </w:t>
      </w:r>
      <w:r>
        <w:rPr>
          <w:rFonts w:ascii="宋体" w:hAnsi="宋体" w:eastAsia="宋体" w:cs="宋体"/>
          <w:spacing w:val="-4"/>
          <w:sz w:val="24"/>
          <w:szCs w:val="24"/>
        </w:rPr>
        <w:t>的</w:t>
      </w:r>
      <w:r>
        <w:rPr>
          <w:rFonts w:ascii="宋体" w:hAnsi="宋体" w:eastAsia="宋体" w:cs="宋体"/>
          <w:spacing w:val="-69"/>
          <w:sz w:val="24"/>
          <w:szCs w:val="24"/>
        </w:rPr>
        <w:t xml:space="preserve"> </w:t>
      </w:r>
      <w:r>
        <w:rPr>
          <w:rFonts w:ascii="宋体" w:hAnsi="宋体" w:eastAsia="宋体" w:cs="宋体"/>
          <w:spacing w:val="-4"/>
          <w:sz w:val="24"/>
          <w:szCs w:val="24"/>
        </w:rPr>
        <w:t>树种滇青</w:t>
      </w:r>
      <w:r>
        <w:rPr>
          <w:rFonts w:ascii="宋体" w:hAnsi="宋体" w:eastAsia="宋体" w:cs="宋体"/>
          <w:spacing w:val="-44"/>
          <w:sz w:val="24"/>
          <w:szCs w:val="24"/>
        </w:rPr>
        <w:t xml:space="preserve"> </w:t>
      </w:r>
      <w:r>
        <w:rPr>
          <w:rFonts w:ascii="宋体" w:hAnsi="宋体" w:eastAsia="宋体" w:cs="宋体"/>
          <w:spacing w:val="-4"/>
          <w:sz w:val="24"/>
          <w:szCs w:val="24"/>
        </w:rPr>
        <w:t>冈</w:t>
      </w:r>
      <w:r>
        <w:rPr>
          <w:rFonts w:ascii="宋体" w:hAnsi="宋体" w:eastAsia="宋体" w:cs="宋体"/>
          <w:sz w:val="24"/>
          <w:szCs w:val="24"/>
        </w:rPr>
        <w:t xml:space="preserve"> </w:t>
      </w:r>
      <w:r>
        <w:rPr>
          <w:rFonts w:ascii="Times New Roman" w:hAnsi="Times New Roman" w:eastAsia="Times New Roman" w:cs="Times New Roman"/>
          <w:i/>
          <w:iCs/>
          <w:sz w:val="24"/>
          <w:szCs w:val="24"/>
        </w:rPr>
        <w:t>Cyclobalanopsis</w:t>
      </w:r>
      <w:r>
        <w:rPr>
          <w:rFonts w:ascii="Times New Roman" w:hAnsi="Times New Roman" w:eastAsia="Times New Roman" w:cs="Times New Roman"/>
          <w:i/>
          <w:iCs/>
          <w:spacing w:val="47"/>
          <w:sz w:val="24"/>
          <w:szCs w:val="24"/>
        </w:rPr>
        <w:t xml:space="preserve"> </w:t>
      </w:r>
      <w:r>
        <w:rPr>
          <w:rFonts w:ascii="Times New Roman" w:hAnsi="Times New Roman" w:eastAsia="Times New Roman" w:cs="Times New Roman"/>
          <w:i/>
          <w:iCs/>
          <w:sz w:val="24"/>
          <w:szCs w:val="24"/>
        </w:rPr>
        <w:t>glaucoides</w:t>
      </w:r>
      <w:r>
        <w:rPr>
          <w:rFonts w:ascii="Times New Roman" w:hAnsi="Times New Roman" w:eastAsia="Times New Roman" w:cs="Times New Roman"/>
          <w:i/>
          <w:iCs/>
          <w:spacing w:val="-35"/>
          <w:sz w:val="24"/>
          <w:szCs w:val="24"/>
        </w:rPr>
        <w:t xml:space="preserve"> </w:t>
      </w:r>
      <w:r>
        <w:rPr>
          <w:rFonts w:ascii="宋体" w:hAnsi="宋体" w:eastAsia="宋体" w:cs="宋体"/>
          <w:spacing w:val="14"/>
          <w:sz w:val="24"/>
          <w:szCs w:val="24"/>
        </w:rPr>
        <w:t>、高山锥</w:t>
      </w:r>
      <w:r>
        <w:rPr>
          <w:rFonts w:ascii="宋体" w:hAnsi="宋体" w:eastAsia="宋体" w:cs="宋体"/>
          <w:spacing w:val="37"/>
          <w:sz w:val="24"/>
          <w:szCs w:val="24"/>
        </w:rPr>
        <w:t xml:space="preserve"> </w:t>
      </w:r>
      <w:r>
        <w:rPr>
          <w:rFonts w:ascii="Times New Roman" w:hAnsi="Times New Roman" w:eastAsia="Times New Roman" w:cs="Times New Roman"/>
          <w:i/>
          <w:iCs/>
          <w:sz w:val="24"/>
          <w:szCs w:val="24"/>
        </w:rPr>
        <w:t>Castanopsis</w:t>
      </w:r>
      <w:r>
        <w:rPr>
          <w:rFonts w:ascii="Times New Roman" w:hAnsi="Times New Roman" w:eastAsia="Times New Roman" w:cs="Times New Roman"/>
          <w:i/>
          <w:iCs/>
          <w:spacing w:val="53"/>
          <w:w w:val="101"/>
          <w:sz w:val="24"/>
          <w:szCs w:val="24"/>
        </w:rPr>
        <w:t xml:space="preserve"> </w:t>
      </w:r>
      <w:r>
        <w:rPr>
          <w:rFonts w:ascii="Times New Roman" w:hAnsi="Times New Roman" w:eastAsia="Times New Roman" w:cs="Times New Roman"/>
          <w:i/>
          <w:iCs/>
          <w:sz w:val="24"/>
          <w:szCs w:val="24"/>
        </w:rPr>
        <w:t>delavayi</w:t>
      </w:r>
      <w:r>
        <w:rPr>
          <w:rFonts w:ascii="Times New Roman" w:hAnsi="Times New Roman" w:eastAsia="Times New Roman" w:cs="Times New Roman"/>
          <w:i/>
          <w:iCs/>
          <w:spacing w:val="-10"/>
          <w:sz w:val="24"/>
          <w:szCs w:val="24"/>
        </w:rPr>
        <w:t xml:space="preserve"> </w:t>
      </w:r>
      <w:r>
        <w:rPr>
          <w:rFonts w:ascii="宋体" w:hAnsi="宋体" w:eastAsia="宋体" w:cs="宋体"/>
          <w:spacing w:val="14"/>
          <w:sz w:val="24"/>
          <w:szCs w:val="24"/>
        </w:rPr>
        <w:t xml:space="preserve">、尼泊尔桤木 </w:t>
      </w:r>
      <w:r>
        <w:rPr>
          <w:rFonts w:ascii="Times New Roman" w:hAnsi="Times New Roman" w:eastAsia="Times New Roman" w:cs="Times New Roman"/>
          <w:i/>
          <w:iCs/>
          <w:sz w:val="24"/>
          <w:szCs w:val="24"/>
        </w:rPr>
        <w:t xml:space="preserve">Alnus  </w:t>
      </w:r>
      <w:r>
        <w:rPr>
          <w:rFonts w:ascii="Times New Roman" w:hAnsi="Times New Roman" w:eastAsia="Times New Roman" w:cs="Times New Roman"/>
          <w:i/>
          <w:iCs/>
          <w:spacing w:val="-1"/>
          <w:sz w:val="24"/>
          <w:szCs w:val="24"/>
        </w:rPr>
        <w:t>nepalensis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、白柯</w:t>
      </w:r>
      <w:r>
        <w:rPr>
          <w:rFonts w:ascii="宋体" w:hAnsi="宋体" w:eastAsia="宋体" w:cs="宋体"/>
          <w:spacing w:val="-68"/>
          <w:sz w:val="24"/>
          <w:szCs w:val="24"/>
        </w:rPr>
        <w:t xml:space="preserve"> </w:t>
      </w:r>
      <w:r>
        <w:rPr>
          <w:rFonts w:ascii="Times New Roman" w:hAnsi="Times New Roman" w:eastAsia="Times New Roman" w:cs="Times New Roman"/>
          <w:i/>
          <w:iCs/>
          <w:spacing w:val="-1"/>
          <w:sz w:val="24"/>
          <w:szCs w:val="24"/>
        </w:rPr>
        <w:t>Lithocarpus</w:t>
      </w:r>
      <w:r>
        <w:rPr>
          <w:rFonts w:ascii="Times New Roman" w:hAnsi="Times New Roman" w:eastAsia="Times New Roman" w:cs="Times New Roman"/>
          <w:i/>
          <w:iCs/>
          <w:spacing w:val="22"/>
          <w:sz w:val="24"/>
          <w:szCs w:val="24"/>
        </w:rPr>
        <w:t xml:space="preserve"> </w:t>
      </w:r>
      <w:r>
        <w:rPr>
          <w:rFonts w:ascii="Times New Roman" w:hAnsi="Times New Roman" w:eastAsia="Times New Roman" w:cs="Times New Roman"/>
          <w:i/>
          <w:iCs/>
          <w:spacing w:val="-1"/>
          <w:sz w:val="24"/>
          <w:szCs w:val="24"/>
        </w:rPr>
        <w:t>d</w:t>
      </w:r>
      <w:r>
        <w:rPr>
          <w:rFonts w:ascii="Times New Roman" w:hAnsi="Times New Roman" w:eastAsia="Times New Roman" w:cs="Times New Roman"/>
          <w:i/>
          <w:iCs/>
          <w:spacing w:val="-2"/>
          <w:sz w:val="24"/>
          <w:szCs w:val="24"/>
        </w:rPr>
        <w:t>ealbatus</w:t>
      </w:r>
      <w:r>
        <w:rPr>
          <w:rFonts w:ascii="Times New Roman" w:hAnsi="Times New Roman" w:eastAsia="Times New Roman" w:cs="Times New Roman"/>
          <w:i/>
          <w:iCs/>
          <w:spacing w:val="-32"/>
          <w:sz w:val="24"/>
          <w:szCs w:val="24"/>
        </w:rPr>
        <w:t xml:space="preserve"> </w:t>
      </w:r>
      <w:r>
        <w:rPr>
          <w:rFonts w:ascii="宋体" w:hAnsi="宋体" w:eastAsia="宋体" w:cs="宋体"/>
          <w:spacing w:val="-2"/>
          <w:sz w:val="24"/>
          <w:szCs w:val="24"/>
        </w:rPr>
        <w:t>、四蕊朴</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Celtis</w:t>
      </w:r>
      <w:r>
        <w:rPr>
          <w:rFonts w:ascii="Times New Roman" w:hAnsi="Times New Roman" w:eastAsia="Times New Roman" w:cs="Times New Roman"/>
          <w:i/>
          <w:iCs/>
          <w:spacing w:val="24"/>
          <w:w w:val="101"/>
          <w:sz w:val="24"/>
          <w:szCs w:val="24"/>
        </w:rPr>
        <w:t xml:space="preserve"> </w:t>
      </w:r>
      <w:r>
        <w:rPr>
          <w:rFonts w:ascii="Times New Roman" w:hAnsi="Times New Roman" w:eastAsia="Times New Roman" w:cs="Times New Roman"/>
          <w:i/>
          <w:iCs/>
          <w:spacing w:val="-2"/>
          <w:sz w:val="24"/>
          <w:szCs w:val="24"/>
        </w:rPr>
        <w:t>tetrandra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、香叶树</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Lindera</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2"/>
          <w:sz w:val="24"/>
          <w:szCs w:val="24"/>
        </w:rPr>
        <w:t>communis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、栓皮栎</w:t>
      </w:r>
      <w:r>
        <w:rPr>
          <w:rFonts w:ascii="宋体" w:hAnsi="宋体" w:eastAsia="宋体" w:cs="宋体"/>
          <w:spacing w:val="-49"/>
          <w:sz w:val="24"/>
          <w:szCs w:val="24"/>
        </w:rPr>
        <w:t xml:space="preserve"> </w:t>
      </w:r>
      <w:r>
        <w:rPr>
          <w:rFonts w:ascii="Times New Roman" w:hAnsi="Times New Roman" w:eastAsia="Times New Roman" w:cs="Times New Roman"/>
          <w:i/>
          <w:iCs/>
          <w:spacing w:val="-2"/>
          <w:sz w:val="24"/>
          <w:szCs w:val="24"/>
        </w:rPr>
        <w:t>Quercus</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pacing w:val="-2"/>
          <w:sz w:val="24"/>
          <w:szCs w:val="24"/>
        </w:rPr>
        <w:t>variabilis</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、西南木荷</w:t>
      </w:r>
      <w:r>
        <w:rPr>
          <w:rFonts w:ascii="宋体" w:hAnsi="宋体" w:eastAsia="宋体" w:cs="宋体"/>
          <w:spacing w:val="-58"/>
          <w:sz w:val="24"/>
          <w:szCs w:val="24"/>
        </w:rPr>
        <w:t xml:space="preserve"> </w:t>
      </w:r>
      <w:r>
        <w:rPr>
          <w:rFonts w:ascii="Times New Roman" w:hAnsi="Times New Roman" w:eastAsia="Times New Roman" w:cs="Times New Roman"/>
          <w:i/>
          <w:iCs/>
          <w:spacing w:val="-3"/>
          <w:sz w:val="24"/>
          <w:szCs w:val="24"/>
        </w:rPr>
        <w:t>Schima</w:t>
      </w:r>
      <w:r>
        <w:rPr>
          <w:rFonts w:ascii="Times New Roman" w:hAnsi="Times New Roman" w:eastAsia="Times New Roman" w:cs="Times New Roman"/>
          <w:i/>
          <w:iCs/>
          <w:spacing w:val="24"/>
          <w:w w:val="101"/>
          <w:sz w:val="24"/>
          <w:szCs w:val="24"/>
        </w:rPr>
        <w:t xml:space="preserve"> </w:t>
      </w:r>
      <w:r>
        <w:rPr>
          <w:rFonts w:ascii="Times New Roman" w:hAnsi="Times New Roman" w:eastAsia="Times New Roman" w:cs="Times New Roman"/>
          <w:i/>
          <w:iCs/>
          <w:spacing w:val="-3"/>
          <w:sz w:val="24"/>
          <w:szCs w:val="24"/>
        </w:rPr>
        <w:t xml:space="preserve">wallichii </w:t>
      </w:r>
      <w:r>
        <w:rPr>
          <w:rFonts w:ascii="宋体" w:hAnsi="宋体" w:eastAsia="宋体" w:cs="宋体"/>
          <w:spacing w:val="-3"/>
          <w:sz w:val="24"/>
          <w:szCs w:val="24"/>
        </w:rPr>
        <w:t>等组成混交林，</w:t>
      </w:r>
      <w:r>
        <w:rPr>
          <w:rFonts w:ascii="宋体" w:hAnsi="宋体" w:eastAsia="宋体" w:cs="宋体"/>
          <w:sz w:val="24"/>
          <w:szCs w:val="24"/>
        </w:rPr>
        <w:t xml:space="preserve"> </w:t>
      </w:r>
      <w:r>
        <w:rPr>
          <w:rFonts w:ascii="宋体" w:hAnsi="宋体" w:eastAsia="宋体" w:cs="宋体"/>
          <w:spacing w:val="-1"/>
          <w:sz w:val="24"/>
          <w:szCs w:val="24"/>
        </w:rPr>
        <w:t>偶见有黄毛青冈</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Cyclobalanopsis delavayi</w:t>
      </w:r>
      <w:r>
        <w:rPr>
          <w:rFonts w:ascii="宋体" w:hAnsi="宋体" w:eastAsia="宋体" w:cs="宋体"/>
          <w:spacing w:val="-2"/>
          <w:sz w:val="24"/>
          <w:szCs w:val="24"/>
        </w:rPr>
        <w:t>、元江锥</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Castanopsis orthacantha</w:t>
      </w:r>
      <w:r>
        <w:rPr>
          <w:rFonts w:ascii="宋体" w:hAnsi="宋体" w:eastAsia="宋体" w:cs="宋体"/>
          <w:spacing w:val="-2"/>
          <w:sz w:val="24"/>
          <w:szCs w:val="24"/>
        </w:rPr>
        <w:t>，都是</w:t>
      </w:r>
      <w:r>
        <w:rPr>
          <w:rFonts w:ascii="宋体" w:hAnsi="宋体" w:eastAsia="宋体" w:cs="宋体"/>
          <w:sz w:val="24"/>
          <w:szCs w:val="24"/>
        </w:rPr>
        <w:t xml:space="preserve"> </w:t>
      </w:r>
      <w:r>
        <w:rPr>
          <w:rFonts w:ascii="宋体" w:hAnsi="宋体" w:eastAsia="宋体" w:cs="宋体"/>
          <w:spacing w:val="-6"/>
          <w:sz w:val="24"/>
          <w:szCs w:val="24"/>
        </w:rPr>
        <w:t>滇中高原最常见的物种。乔木二层物种较丰富，</w:t>
      </w:r>
      <w:r>
        <w:rPr>
          <w:rFonts w:ascii="宋体" w:hAnsi="宋体" w:eastAsia="宋体" w:cs="宋体"/>
          <w:spacing w:val="41"/>
          <w:sz w:val="24"/>
          <w:szCs w:val="24"/>
        </w:rPr>
        <w:t xml:space="preserve"> </w:t>
      </w:r>
      <w:r>
        <w:rPr>
          <w:rFonts w:ascii="宋体" w:hAnsi="宋体" w:eastAsia="宋体" w:cs="宋体"/>
          <w:spacing w:val="-6"/>
          <w:sz w:val="24"/>
          <w:szCs w:val="24"/>
        </w:rPr>
        <w:t>高</w:t>
      </w:r>
      <w:r>
        <w:rPr>
          <w:rFonts w:ascii="宋体" w:hAnsi="宋体" w:eastAsia="宋体" w:cs="宋体"/>
          <w:spacing w:val="-7"/>
          <w:sz w:val="24"/>
          <w:szCs w:val="24"/>
        </w:rPr>
        <w:t>度为</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5-8m</w:t>
      </w:r>
      <w:r>
        <w:rPr>
          <w:rFonts w:ascii="宋体" w:hAnsi="宋体" w:eastAsia="宋体" w:cs="宋体"/>
          <w:spacing w:val="-7"/>
          <w:sz w:val="24"/>
          <w:szCs w:val="24"/>
        </w:rPr>
        <w:t>，主要有川梨</w:t>
      </w:r>
      <w:r>
        <w:rPr>
          <w:rFonts w:ascii="宋体" w:hAnsi="宋体" w:eastAsia="宋体" w:cs="宋体"/>
          <w:spacing w:val="-65"/>
          <w:sz w:val="24"/>
          <w:szCs w:val="24"/>
        </w:rPr>
        <w:t xml:space="preserve"> </w:t>
      </w:r>
      <w:r>
        <w:rPr>
          <w:rFonts w:ascii="Times New Roman" w:hAnsi="Times New Roman" w:eastAsia="Times New Roman" w:cs="Times New Roman"/>
          <w:i/>
          <w:iCs/>
          <w:spacing w:val="-7"/>
          <w:sz w:val="24"/>
          <w:szCs w:val="24"/>
        </w:rPr>
        <w:t>Pyrus</w:t>
      </w:r>
    </w:p>
    <w:p>
      <w:pPr>
        <w:spacing w:line="212" w:lineRule="auto"/>
        <w:ind w:left="3"/>
        <w:rPr>
          <w:rFonts w:ascii="宋体" w:hAnsi="宋体" w:eastAsia="宋体" w:cs="宋体"/>
          <w:sz w:val="24"/>
          <w:szCs w:val="24"/>
        </w:rPr>
      </w:pPr>
      <w:r>
        <w:rPr>
          <w:rFonts w:ascii="Times New Roman" w:hAnsi="Times New Roman" w:eastAsia="Times New Roman" w:cs="Times New Roman"/>
          <w:i/>
          <w:iCs/>
          <w:spacing w:val="-3"/>
          <w:sz w:val="24"/>
          <w:szCs w:val="24"/>
        </w:rPr>
        <w:t>pashia</w:t>
      </w:r>
      <w:r>
        <w:rPr>
          <w:rFonts w:ascii="Times New Roman" w:hAnsi="Times New Roman" w:eastAsia="Times New Roman" w:cs="Times New Roman"/>
          <w:i/>
          <w:iCs/>
          <w:spacing w:val="34"/>
          <w:w w:val="101"/>
          <w:sz w:val="24"/>
          <w:szCs w:val="24"/>
        </w:rPr>
        <w:t xml:space="preserve"> </w:t>
      </w:r>
      <w:r>
        <w:rPr>
          <w:rFonts w:ascii="宋体" w:hAnsi="宋体" w:eastAsia="宋体" w:cs="宋体"/>
          <w:spacing w:val="-3"/>
          <w:sz w:val="24"/>
          <w:szCs w:val="24"/>
        </w:rPr>
        <w:t>、</w:t>
      </w:r>
      <w:r>
        <w:rPr>
          <w:rFonts w:ascii="宋体" w:hAnsi="宋体" w:eastAsia="宋体" w:cs="宋体"/>
          <w:spacing w:val="-44"/>
          <w:sz w:val="24"/>
          <w:szCs w:val="24"/>
        </w:rPr>
        <w:t xml:space="preserve"> </w:t>
      </w:r>
      <w:r>
        <w:rPr>
          <w:rFonts w:ascii="宋体" w:hAnsi="宋体" w:eastAsia="宋体" w:cs="宋体"/>
          <w:spacing w:val="-3"/>
          <w:sz w:val="24"/>
          <w:szCs w:val="24"/>
        </w:rPr>
        <w:t>清</w:t>
      </w:r>
      <w:r>
        <w:rPr>
          <w:rFonts w:ascii="宋体" w:hAnsi="宋体" w:eastAsia="宋体" w:cs="宋体"/>
          <w:spacing w:val="-40"/>
          <w:sz w:val="24"/>
          <w:szCs w:val="24"/>
        </w:rPr>
        <w:t xml:space="preserve"> </w:t>
      </w:r>
      <w:r>
        <w:rPr>
          <w:rFonts w:ascii="宋体" w:hAnsi="宋体" w:eastAsia="宋体" w:cs="宋体"/>
          <w:spacing w:val="-3"/>
          <w:sz w:val="24"/>
          <w:szCs w:val="24"/>
        </w:rPr>
        <w:t>香</w:t>
      </w:r>
      <w:r>
        <w:rPr>
          <w:rFonts w:ascii="宋体" w:hAnsi="宋体" w:eastAsia="宋体" w:cs="宋体"/>
          <w:spacing w:val="-41"/>
          <w:sz w:val="24"/>
          <w:szCs w:val="24"/>
        </w:rPr>
        <w:t xml:space="preserve"> </w:t>
      </w:r>
      <w:r>
        <w:rPr>
          <w:rFonts w:ascii="宋体" w:hAnsi="宋体" w:eastAsia="宋体" w:cs="宋体"/>
          <w:spacing w:val="-3"/>
          <w:sz w:val="24"/>
          <w:szCs w:val="24"/>
        </w:rPr>
        <w:t>木</w:t>
      </w:r>
      <w:r>
        <w:rPr>
          <w:rFonts w:ascii="宋体" w:hAnsi="宋体" w:eastAsia="宋体" w:cs="宋体"/>
          <w:spacing w:val="59"/>
          <w:sz w:val="24"/>
          <w:szCs w:val="24"/>
        </w:rPr>
        <w:t xml:space="preserve"> </w:t>
      </w:r>
      <w:r>
        <w:rPr>
          <w:rFonts w:ascii="Times New Roman" w:hAnsi="Times New Roman" w:eastAsia="Times New Roman" w:cs="Times New Roman"/>
          <w:i/>
          <w:iCs/>
          <w:spacing w:val="-3"/>
          <w:sz w:val="24"/>
          <w:szCs w:val="24"/>
        </w:rPr>
        <w:t>Pistacia</w:t>
      </w:r>
      <w:r>
        <w:rPr>
          <w:rFonts w:ascii="Times New Roman" w:hAnsi="Times New Roman" w:eastAsia="Times New Roman" w:cs="Times New Roman"/>
          <w:i/>
          <w:iCs/>
          <w:spacing w:val="19"/>
          <w:w w:val="101"/>
          <w:sz w:val="24"/>
          <w:szCs w:val="24"/>
        </w:rPr>
        <w:t xml:space="preserve">  </w:t>
      </w:r>
      <w:r>
        <w:rPr>
          <w:rFonts w:ascii="Times New Roman" w:hAnsi="Times New Roman" w:eastAsia="Times New Roman" w:cs="Times New Roman"/>
          <w:i/>
          <w:iCs/>
          <w:spacing w:val="-3"/>
          <w:sz w:val="24"/>
          <w:szCs w:val="24"/>
        </w:rPr>
        <w:t>weinmannifolia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 山</w:t>
      </w:r>
      <w:r>
        <w:rPr>
          <w:rFonts w:ascii="宋体" w:hAnsi="宋体" w:eastAsia="宋体" w:cs="宋体"/>
          <w:spacing w:val="-42"/>
          <w:sz w:val="24"/>
          <w:szCs w:val="24"/>
        </w:rPr>
        <w:t xml:space="preserve"> </w:t>
      </w:r>
      <w:r>
        <w:rPr>
          <w:rFonts w:ascii="宋体" w:hAnsi="宋体" w:eastAsia="宋体" w:cs="宋体"/>
          <w:spacing w:val="-3"/>
          <w:sz w:val="24"/>
          <w:szCs w:val="24"/>
        </w:rPr>
        <w:t>槐</w:t>
      </w:r>
      <w:r>
        <w:rPr>
          <w:rFonts w:ascii="宋体" w:hAnsi="宋体" w:eastAsia="宋体" w:cs="宋体"/>
          <w:spacing w:val="54"/>
          <w:sz w:val="24"/>
          <w:szCs w:val="24"/>
        </w:rPr>
        <w:t xml:space="preserve"> </w:t>
      </w:r>
      <w:r>
        <w:rPr>
          <w:rFonts w:ascii="Times New Roman" w:hAnsi="Times New Roman" w:eastAsia="Times New Roman" w:cs="Times New Roman"/>
          <w:i/>
          <w:iCs/>
          <w:spacing w:val="-3"/>
          <w:sz w:val="24"/>
          <w:szCs w:val="24"/>
        </w:rPr>
        <w:t>Albizia kalkora</w:t>
      </w:r>
      <w:r>
        <w:rPr>
          <w:rFonts w:ascii="Times New Roman" w:hAnsi="Times New Roman" w:eastAsia="Times New Roman" w:cs="Times New Roman"/>
          <w:i/>
          <w:iCs/>
          <w:spacing w:val="34"/>
          <w:w w:val="101"/>
          <w:sz w:val="24"/>
          <w:szCs w:val="24"/>
        </w:rPr>
        <w:t xml:space="preserve"> </w:t>
      </w:r>
      <w:r>
        <w:rPr>
          <w:rFonts w:ascii="宋体" w:hAnsi="宋体" w:eastAsia="宋体" w:cs="宋体"/>
          <w:spacing w:val="-3"/>
          <w:sz w:val="24"/>
          <w:szCs w:val="24"/>
        </w:rPr>
        <w:t>、</w:t>
      </w:r>
      <w:r>
        <w:rPr>
          <w:rFonts w:ascii="宋体" w:hAnsi="宋体" w:eastAsia="宋体" w:cs="宋体"/>
          <w:spacing w:val="-36"/>
          <w:sz w:val="24"/>
          <w:szCs w:val="24"/>
        </w:rPr>
        <w:t xml:space="preserve"> </w:t>
      </w:r>
      <w:r>
        <w:rPr>
          <w:rFonts w:ascii="宋体" w:hAnsi="宋体" w:eastAsia="宋体" w:cs="宋体"/>
          <w:spacing w:val="-3"/>
          <w:sz w:val="24"/>
          <w:szCs w:val="24"/>
        </w:rPr>
        <w:t>黑</w:t>
      </w:r>
      <w:r>
        <w:rPr>
          <w:rFonts w:ascii="宋体" w:hAnsi="宋体" w:eastAsia="宋体" w:cs="宋体"/>
          <w:spacing w:val="-38"/>
          <w:sz w:val="24"/>
          <w:szCs w:val="24"/>
        </w:rPr>
        <w:t xml:space="preserve"> </w:t>
      </w:r>
      <w:r>
        <w:rPr>
          <w:rFonts w:ascii="宋体" w:hAnsi="宋体" w:eastAsia="宋体" w:cs="宋体"/>
          <w:spacing w:val="-3"/>
          <w:sz w:val="24"/>
          <w:szCs w:val="24"/>
        </w:rPr>
        <w:t>弹</w:t>
      </w:r>
      <w:r>
        <w:rPr>
          <w:rFonts w:ascii="宋体" w:hAnsi="宋体" w:eastAsia="宋体" w:cs="宋体"/>
          <w:spacing w:val="-43"/>
          <w:sz w:val="24"/>
          <w:szCs w:val="24"/>
        </w:rPr>
        <w:t xml:space="preserve"> </w:t>
      </w:r>
      <w:r>
        <w:rPr>
          <w:rFonts w:ascii="宋体" w:hAnsi="宋体" w:eastAsia="宋体" w:cs="宋体"/>
          <w:spacing w:val="-3"/>
          <w:sz w:val="24"/>
          <w:szCs w:val="24"/>
        </w:rPr>
        <w:t>树</w:t>
      </w:r>
    </w:p>
    <w:p>
      <w:pPr>
        <w:spacing w:line="212" w:lineRule="auto"/>
        <w:rPr>
          <w:rFonts w:ascii="宋体" w:hAnsi="宋体" w:eastAsia="宋体" w:cs="宋体"/>
          <w:sz w:val="24"/>
          <w:szCs w:val="24"/>
        </w:rPr>
        <w:sectPr>
          <w:headerReference r:id="rId252" w:type="default"/>
          <w:footerReference r:id="rId253" w:type="default"/>
          <w:pgSz w:w="11907" w:h="16839"/>
          <w:pgMar w:top="1156" w:right="1731" w:bottom="1374" w:left="1770" w:header="881" w:footer="1210" w:gutter="0"/>
        </w:sectPr>
      </w:pPr>
    </w:p>
    <w:p>
      <w:pPr>
        <w:spacing w:line="317" w:lineRule="auto"/>
        <w:rPr>
          <w:rFonts w:ascii="Arial"/>
          <w:sz w:val="21"/>
        </w:rPr>
      </w:pPr>
    </w:p>
    <w:p>
      <w:pPr>
        <w:spacing w:before="78" w:line="360" w:lineRule="auto"/>
        <w:ind w:left="30" w:right="207" w:firstLine="27"/>
        <w:rPr>
          <w:rFonts w:ascii="宋体" w:hAnsi="宋体" w:eastAsia="宋体" w:cs="宋体"/>
          <w:sz w:val="24"/>
          <w:szCs w:val="24"/>
        </w:rPr>
      </w:pPr>
      <w:r>
        <w:rPr>
          <w:rFonts w:ascii="Times New Roman" w:hAnsi="Times New Roman" w:eastAsia="Times New Roman" w:cs="Times New Roman"/>
          <w:i/>
          <w:iCs/>
          <w:spacing w:val="-1"/>
          <w:sz w:val="24"/>
          <w:szCs w:val="24"/>
        </w:rPr>
        <w:t>Celtis bungeana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、滇杨</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Populus</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pacing w:val="-1"/>
          <w:sz w:val="24"/>
          <w:szCs w:val="24"/>
        </w:rPr>
        <w:t>y</w:t>
      </w:r>
      <w:r>
        <w:rPr>
          <w:rFonts w:ascii="Times New Roman" w:hAnsi="Times New Roman" w:eastAsia="Times New Roman" w:cs="Times New Roman"/>
          <w:i/>
          <w:iCs/>
          <w:spacing w:val="-2"/>
          <w:sz w:val="24"/>
          <w:szCs w:val="24"/>
        </w:rPr>
        <w:t>unnanensis</w:t>
      </w:r>
      <w:r>
        <w:rPr>
          <w:rFonts w:ascii="宋体" w:hAnsi="宋体" w:eastAsia="宋体" w:cs="宋体"/>
          <w:spacing w:val="-2"/>
          <w:sz w:val="24"/>
          <w:szCs w:val="24"/>
        </w:rPr>
        <w:t>、鳞斑荚蒾</w:t>
      </w:r>
      <w:r>
        <w:rPr>
          <w:rFonts w:ascii="宋体" w:hAnsi="宋体" w:eastAsia="宋体" w:cs="宋体"/>
          <w:spacing w:val="-30"/>
          <w:sz w:val="24"/>
          <w:szCs w:val="24"/>
        </w:rPr>
        <w:t xml:space="preserve"> </w:t>
      </w:r>
      <w:r>
        <w:rPr>
          <w:rFonts w:ascii="Times New Roman" w:hAnsi="Times New Roman" w:eastAsia="Times New Roman" w:cs="Times New Roman"/>
          <w:i/>
          <w:iCs/>
          <w:spacing w:val="-2"/>
          <w:sz w:val="24"/>
          <w:szCs w:val="24"/>
        </w:rPr>
        <w:t>Viburnum</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pacing w:val="-2"/>
          <w:sz w:val="24"/>
          <w:szCs w:val="24"/>
        </w:rPr>
        <w:t>punctatum</w:t>
      </w:r>
      <w:r>
        <w:rPr>
          <w:rFonts w:ascii="宋体" w:hAnsi="宋体" w:eastAsia="宋体" w:cs="宋体"/>
          <w:spacing w:val="-2"/>
          <w:sz w:val="24"/>
          <w:szCs w:val="24"/>
        </w:rPr>
        <w:t>、火绳</w:t>
      </w:r>
      <w:r>
        <w:rPr>
          <w:rFonts w:ascii="宋体" w:hAnsi="宋体" w:eastAsia="宋体" w:cs="宋体"/>
          <w:sz w:val="24"/>
          <w:szCs w:val="24"/>
        </w:rPr>
        <w:t xml:space="preserve"> </w:t>
      </w:r>
      <w:r>
        <w:rPr>
          <w:rFonts w:ascii="宋体" w:hAnsi="宋体" w:eastAsia="宋体" w:cs="宋体"/>
          <w:spacing w:val="-2"/>
          <w:sz w:val="24"/>
          <w:szCs w:val="24"/>
        </w:rPr>
        <w:t>树</w:t>
      </w:r>
      <w:r>
        <w:rPr>
          <w:rFonts w:ascii="Times New Roman" w:hAnsi="Times New Roman" w:eastAsia="Times New Roman" w:cs="Times New Roman"/>
          <w:i/>
          <w:iCs/>
          <w:spacing w:val="-2"/>
          <w:sz w:val="24"/>
          <w:szCs w:val="24"/>
        </w:rPr>
        <w:t>Eriolaenaspectabilis</w:t>
      </w:r>
      <w:r>
        <w:rPr>
          <w:rFonts w:ascii="宋体" w:hAnsi="宋体" w:eastAsia="宋体" w:cs="宋体"/>
          <w:spacing w:val="-2"/>
          <w:sz w:val="24"/>
          <w:szCs w:val="24"/>
        </w:rPr>
        <w:t>、头状四照花</w:t>
      </w:r>
      <w:r>
        <w:rPr>
          <w:rFonts w:ascii="宋体" w:hAnsi="宋体" w:eastAsia="宋体" w:cs="宋体"/>
          <w:spacing w:val="-58"/>
          <w:sz w:val="24"/>
          <w:szCs w:val="24"/>
        </w:rPr>
        <w:t xml:space="preserve"> </w:t>
      </w:r>
      <w:r>
        <w:rPr>
          <w:rFonts w:ascii="Times New Roman" w:hAnsi="Times New Roman" w:eastAsia="Times New Roman" w:cs="Times New Roman"/>
          <w:i/>
          <w:iCs/>
          <w:spacing w:val="-2"/>
          <w:sz w:val="24"/>
          <w:szCs w:val="24"/>
        </w:rPr>
        <w:t>Cornus capitata</w:t>
      </w:r>
      <w:r>
        <w:rPr>
          <w:rFonts w:ascii="宋体" w:hAnsi="宋体" w:eastAsia="宋体" w:cs="宋体"/>
          <w:spacing w:val="-2"/>
          <w:sz w:val="24"/>
          <w:szCs w:val="24"/>
        </w:rPr>
        <w:t>、染用卫矛</w:t>
      </w:r>
      <w:r>
        <w:rPr>
          <w:rFonts w:ascii="Times New Roman" w:hAnsi="Times New Roman" w:eastAsia="Times New Roman" w:cs="Times New Roman"/>
          <w:i/>
          <w:iCs/>
          <w:spacing w:val="-2"/>
          <w:sz w:val="24"/>
          <w:szCs w:val="24"/>
        </w:rPr>
        <w:t>Euonymustingens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4"/>
          <w:sz w:val="24"/>
          <w:szCs w:val="24"/>
        </w:rPr>
        <w:t xml:space="preserve">马缨杜鹃 </w:t>
      </w:r>
      <w:r>
        <w:rPr>
          <w:rFonts w:ascii="Times New Roman" w:hAnsi="Times New Roman" w:eastAsia="Times New Roman" w:cs="Times New Roman"/>
          <w:i/>
          <w:iCs/>
          <w:sz w:val="24"/>
          <w:szCs w:val="24"/>
        </w:rPr>
        <w:t>Rhododendron</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i/>
          <w:iCs/>
          <w:sz w:val="24"/>
          <w:szCs w:val="24"/>
        </w:rPr>
        <w:t>delavayi</w:t>
      </w:r>
      <w:r>
        <w:rPr>
          <w:rFonts w:ascii="Times New Roman" w:hAnsi="Times New Roman" w:eastAsia="Times New Roman" w:cs="Times New Roman"/>
          <w:i/>
          <w:iCs/>
          <w:spacing w:val="-11"/>
          <w:sz w:val="24"/>
          <w:szCs w:val="24"/>
        </w:rPr>
        <w:t xml:space="preserve"> </w:t>
      </w:r>
      <w:r>
        <w:rPr>
          <w:rFonts w:ascii="宋体" w:hAnsi="宋体" w:eastAsia="宋体" w:cs="宋体"/>
          <w:spacing w:val="4"/>
          <w:sz w:val="24"/>
          <w:szCs w:val="24"/>
        </w:rPr>
        <w:t xml:space="preserve">、球花石楠 </w:t>
      </w:r>
      <w:r>
        <w:rPr>
          <w:rFonts w:ascii="Times New Roman" w:hAnsi="Times New Roman" w:eastAsia="Times New Roman" w:cs="Times New Roman"/>
          <w:i/>
          <w:iCs/>
          <w:sz w:val="24"/>
          <w:szCs w:val="24"/>
        </w:rPr>
        <w:t>Photinia</w:t>
      </w:r>
      <w:r>
        <w:rPr>
          <w:rFonts w:ascii="Times New Roman" w:hAnsi="Times New Roman" w:eastAsia="Times New Roman" w:cs="Times New Roman"/>
          <w:i/>
          <w:iCs/>
          <w:spacing w:val="30"/>
          <w:sz w:val="24"/>
          <w:szCs w:val="24"/>
        </w:rPr>
        <w:t xml:space="preserve"> </w:t>
      </w:r>
      <w:r>
        <w:rPr>
          <w:rFonts w:ascii="Times New Roman" w:hAnsi="Times New Roman" w:eastAsia="Times New Roman" w:cs="Times New Roman"/>
          <w:i/>
          <w:iCs/>
          <w:sz w:val="24"/>
          <w:szCs w:val="24"/>
        </w:rPr>
        <w:t>glomerata</w:t>
      </w:r>
      <w:r>
        <w:rPr>
          <w:rFonts w:ascii="Times New Roman" w:hAnsi="Times New Roman" w:eastAsia="Times New Roman" w:cs="Times New Roman"/>
          <w:i/>
          <w:iCs/>
          <w:spacing w:val="-24"/>
          <w:sz w:val="24"/>
          <w:szCs w:val="24"/>
        </w:rPr>
        <w:t xml:space="preserve"> </w:t>
      </w:r>
      <w:r>
        <w:rPr>
          <w:rFonts w:ascii="宋体" w:hAnsi="宋体" w:eastAsia="宋体" w:cs="宋体"/>
          <w:spacing w:val="4"/>
          <w:sz w:val="24"/>
          <w:szCs w:val="24"/>
        </w:rPr>
        <w:t xml:space="preserve">、盐肤木 </w:t>
      </w:r>
      <w:r>
        <w:rPr>
          <w:rFonts w:ascii="Times New Roman" w:hAnsi="Times New Roman" w:eastAsia="Times New Roman" w:cs="Times New Roman"/>
          <w:i/>
          <w:iCs/>
          <w:sz w:val="24"/>
          <w:szCs w:val="24"/>
        </w:rPr>
        <w:t>Rhus chinensis</w:t>
      </w:r>
      <w:r>
        <w:rPr>
          <w:rFonts w:ascii="Times New Roman" w:hAnsi="Times New Roman" w:eastAsia="Times New Roman" w:cs="Times New Roman"/>
          <w:i/>
          <w:iCs/>
          <w:spacing w:val="26"/>
          <w:w w:val="101"/>
          <w:sz w:val="24"/>
          <w:szCs w:val="24"/>
        </w:rPr>
        <w:t xml:space="preserve">  </w:t>
      </w:r>
      <w:r>
        <w:rPr>
          <w:rFonts w:ascii="宋体" w:hAnsi="宋体" w:eastAsia="宋体" w:cs="宋体"/>
          <w:spacing w:val="11"/>
          <w:sz w:val="24"/>
          <w:szCs w:val="24"/>
        </w:rPr>
        <w:t xml:space="preserve">、荷包山桂花 </w:t>
      </w:r>
      <w:r>
        <w:rPr>
          <w:rFonts w:ascii="Times New Roman" w:hAnsi="Times New Roman" w:eastAsia="Times New Roman" w:cs="Times New Roman"/>
          <w:i/>
          <w:iCs/>
          <w:sz w:val="24"/>
          <w:szCs w:val="24"/>
        </w:rPr>
        <w:t>Polygala</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arillata</w:t>
      </w:r>
      <w:r>
        <w:rPr>
          <w:rFonts w:ascii="Times New Roman" w:hAnsi="Times New Roman" w:eastAsia="Times New Roman" w:cs="Times New Roman"/>
          <w:i/>
          <w:iCs/>
          <w:spacing w:val="11"/>
          <w:sz w:val="24"/>
          <w:szCs w:val="24"/>
        </w:rPr>
        <w:t xml:space="preserve"> </w:t>
      </w:r>
      <w:r>
        <w:rPr>
          <w:rFonts w:ascii="宋体" w:hAnsi="宋体" w:eastAsia="宋体" w:cs="宋体"/>
          <w:spacing w:val="11"/>
          <w:sz w:val="24"/>
          <w:szCs w:val="24"/>
        </w:rPr>
        <w:t xml:space="preserve">、君迁子 </w:t>
      </w:r>
      <w:r>
        <w:rPr>
          <w:rFonts w:ascii="Times New Roman" w:hAnsi="Times New Roman" w:eastAsia="Times New Roman" w:cs="Times New Roman"/>
          <w:i/>
          <w:iCs/>
          <w:sz w:val="24"/>
          <w:szCs w:val="24"/>
        </w:rPr>
        <w:t>Diospyros</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lotus</w:t>
      </w:r>
      <w:r>
        <w:rPr>
          <w:rFonts w:ascii="Times New Roman" w:hAnsi="Times New Roman" w:eastAsia="Times New Roman" w:cs="Times New Roman"/>
          <w:i/>
          <w:iCs/>
          <w:spacing w:val="11"/>
          <w:sz w:val="24"/>
          <w:szCs w:val="24"/>
        </w:rPr>
        <w:t xml:space="preserve"> </w:t>
      </w:r>
      <w:r>
        <w:rPr>
          <w:rFonts w:ascii="宋体" w:hAnsi="宋体" w:eastAsia="宋体" w:cs="宋体"/>
          <w:spacing w:val="11"/>
          <w:sz w:val="24"/>
          <w:szCs w:val="24"/>
        </w:rPr>
        <w:t>、青榨槭</w:t>
      </w:r>
      <w:r>
        <w:rPr>
          <w:rFonts w:ascii="宋体" w:hAnsi="宋体" w:eastAsia="宋体" w:cs="宋体"/>
          <w:sz w:val="24"/>
          <w:szCs w:val="24"/>
        </w:rPr>
        <w:t xml:space="preserve"> </w:t>
      </w:r>
      <w:r>
        <w:rPr>
          <w:rFonts w:ascii="Times New Roman" w:hAnsi="Times New Roman" w:eastAsia="Times New Roman" w:cs="Times New Roman"/>
          <w:i/>
          <w:iCs/>
          <w:spacing w:val="-2"/>
          <w:sz w:val="24"/>
          <w:szCs w:val="24"/>
        </w:rPr>
        <w:t>Acer davidii</w:t>
      </w:r>
      <w:r>
        <w:rPr>
          <w:rFonts w:ascii="Times New Roman" w:hAnsi="Times New Roman" w:eastAsia="Times New Roman" w:cs="Times New Roman"/>
          <w:i/>
          <w:iCs/>
          <w:spacing w:val="-20"/>
          <w:sz w:val="24"/>
          <w:szCs w:val="24"/>
        </w:rPr>
        <w:t xml:space="preserve"> </w:t>
      </w:r>
      <w:r>
        <w:rPr>
          <w:rFonts w:ascii="宋体" w:hAnsi="宋体" w:eastAsia="宋体" w:cs="宋体"/>
          <w:spacing w:val="-2"/>
          <w:sz w:val="24"/>
          <w:szCs w:val="24"/>
        </w:rPr>
        <w:t>、珊瑚冬青</w:t>
      </w:r>
      <w:r>
        <w:rPr>
          <w:rFonts w:ascii="宋体" w:hAnsi="宋体" w:eastAsia="宋体" w:cs="宋体"/>
          <w:spacing w:val="-68"/>
          <w:sz w:val="24"/>
          <w:szCs w:val="24"/>
        </w:rPr>
        <w:t xml:space="preserve"> </w:t>
      </w:r>
      <w:r>
        <w:rPr>
          <w:rFonts w:ascii="Times New Roman" w:hAnsi="Times New Roman" w:eastAsia="Times New Roman" w:cs="Times New Roman"/>
          <w:i/>
          <w:iCs/>
          <w:spacing w:val="-2"/>
          <w:sz w:val="24"/>
          <w:szCs w:val="24"/>
        </w:rPr>
        <w:t>Ilex corallina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、厚皮香</w:t>
      </w:r>
      <w:r>
        <w:rPr>
          <w:rFonts w:ascii="宋体" w:hAnsi="宋体" w:eastAsia="宋体" w:cs="宋体"/>
          <w:spacing w:val="-43"/>
          <w:sz w:val="24"/>
          <w:szCs w:val="24"/>
        </w:rPr>
        <w:t xml:space="preserve"> </w:t>
      </w:r>
      <w:r>
        <w:rPr>
          <w:rFonts w:ascii="Times New Roman" w:hAnsi="Times New Roman" w:eastAsia="Times New Roman" w:cs="Times New Roman"/>
          <w:i/>
          <w:iCs/>
          <w:spacing w:val="-2"/>
          <w:sz w:val="24"/>
          <w:szCs w:val="24"/>
        </w:rPr>
        <w:t>Ternstroemia gymnanthera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、密花树</w:t>
      </w:r>
    </w:p>
    <w:p>
      <w:pPr>
        <w:spacing w:line="212" w:lineRule="auto"/>
        <w:ind w:left="33"/>
        <w:rPr>
          <w:rFonts w:ascii="宋体" w:hAnsi="宋体" w:eastAsia="宋体" w:cs="宋体"/>
          <w:sz w:val="24"/>
          <w:szCs w:val="24"/>
        </w:rPr>
      </w:pPr>
      <w:r>
        <w:rPr>
          <w:rFonts w:ascii="Times New Roman" w:hAnsi="Times New Roman" w:eastAsia="Times New Roman" w:cs="Times New Roman"/>
          <w:i/>
          <w:iCs/>
          <w:spacing w:val="-1"/>
          <w:sz w:val="24"/>
          <w:szCs w:val="24"/>
        </w:rPr>
        <w:t>Myrsine seguinii</w:t>
      </w:r>
      <w:r>
        <w:rPr>
          <w:rFonts w:ascii="宋体" w:hAnsi="宋体" w:eastAsia="宋体" w:cs="宋体"/>
          <w:spacing w:val="-1"/>
          <w:sz w:val="24"/>
          <w:szCs w:val="24"/>
        </w:rPr>
        <w:t>、野漆</w:t>
      </w:r>
      <w:r>
        <w:rPr>
          <w:rFonts w:ascii="宋体" w:hAnsi="宋体" w:eastAsia="宋体" w:cs="宋体"/>
          <w:spacing w:val="-35"/>
          <w:sz w:val="24"/>
          <w:szCs w:val="24"/>
        </w:rPr>
        <w:t xml:space="preserve"> </w:t>
      </w:r>
      <w:r>
        <w:rPr>
          <w:rFonts w:ascii="Times New Roman" w:hAnsi="Times New Roman" w:eastAsia="Times New Roman" w:cs="Times New Roman"/>
          <w:i/>
          <w:iCs/>
          <w:spacing w:val="-1"/>
          <w:sz w:val="24"/>
          <w:szCs w:val="24"/>
        </w:rPr>
        <w:t>Toxicodendron succeda</w:t>
      </w:r>
      <w:r>
        <w:rPr>
          <w:rFonts w:ascii="Times New Roman" w:hAnsi="Times New Roman" w:eastAsia="Times New Roman" w:cs="Times New Roman"/>
          <w:i/>
          <w:iCs/>
          <w:spacing w:val="-2"/>
          <w:sz w:val="24"/>
          <w:szCs w:val="24"/>
        </w:rPr>
        <w:t>neum</w:t>
      </w:r>
      <w:r>
        <w:rPr>
          <w:rFonts w:ascii="宋体" w:hAnsi="宋体" w:eastAsia="宋体" w:cs="宋体"/>
          <w:spacing w:val="-2"/>
          <w:sz w:val="24"/>
          <w:szCs w:val="24"/>
        </w:rPr>
        <w:t>。</w:t>
      </w:r>
    </w:p>
    <w:p>
      <w:pPr>
        <w:spacing w:before="192" w:line="360" w:lineRule="auto"/>
        <w:ind w:left="50" w:right="207" w:firstLine="480"/>
        <w:rPr>
          <w:rFonts w:ascii="宋体" w:hAnsi="宋体" w:eastAsia="宋体" w:cs="宋体"/>
          <w:sz w:val="24"/>
          <w:szCs w:val="24"/>
        </w:rPr>
      </w:pPr>
      <w:r>
        <w:rPr>
          <w:rFonts w:ascii="宋体" w:hAnsi="宋体" w:eastAsia="宋体" w:cs="宋体"/>
          <w:spacing w:val="-4"/>
          <w:sz w:val="24"/>
          <w:szCs w:val="24"/>
        </w:rPr>
        <w:t>林下灌木层较为发达，种类丰富，灌木层盖度为</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50%</w:t>
      </w:r>
      <w:r>
        <w:rPr>
          <w:rFonts w:ascii="宋体" w:hAnsi="宋体" w:eastAsia="宋体" w:cs="宋体"/>
          <w:spacing w:val="-4"/>
          <w:sz w:val="24"/>
          <w:szCs w:val="24"/>
        </w:rPr>
        <w:t>。常见的灌木种类皆是</w:t>
      </w:r>
      <w:r>
        <w:rPr>
          <w:rFonts w:ascii="宋体" w:hAnsi="宋体" w:eastAsia="宋体" w:cs="宋体"/>
          <w:sz w:val="24"/>
          <w:szCs w:val="24"/>
        </w:rPr>
        <w:t xml:space="preserve"> </w:t>
      </w:r>
      <w:r>
        <w:rPr>
          <w:rFonts w:ascii="宋体" w:hAnsi="宋体" w:eastAsia="宋体" w:cs="宋体"/>
          <w:spacing w:val="-1"/>
          <w:sz w:val="24"/>
          <w:szCs w:val="24"/>
        </w:rPr>
        <w:t>滇中高原常见的物种：珍珠花</w:t>
      </w:r>
      <w:r>
        <w:rPr>
          <w:rFonts w:ascii="宋体" w:hAnsi="宋体" w:eastAsia="宋体" w:cs="宋体"/>
          <w:spacing w:val="-61"/>
          <w:sz w:val="24"/>
          <w:szCs w:val="24"/>
        </w:rPr>
        <w:t xml:space="preserve"> </w:t>
      </w:r>
      <w:r>
        <w:rPr>
          <w:rFonts w:ascii="Times New Roman" w:hAnsi="Times New Roman" w:eastAsia="Times New Roman" w:cs="Times New Roman"/>
          <w:i/>
          <w:iCs/>
          <w:spacing w:val="-1"/>
          <w:sz w:val="24"/>
          <w:szCs w:val="24"/>
        </w:rPr>
        <w:t>Lyonia</w:t>
      </w:r>
      <w:r>
        <w:rPr>
          <w:rFonts w:ascii="Times New Roman" w:hAnsi="Times New Roman" w:eastAsia="Times New Roman" w:cs="Times New Roman"/>
          <w:i/>
          <w:iCs/>
          <w:spacing w:val="38"/>
          <w:sz w:val="24"/>
          <w:szCs w:val="24"/>
        </w:rPr>
        <w:t xml:space="preserve"> </w:t>
      </w:r>
      <w:r>
        <w:rPr>
          <w:rFonts w:ascii="Times New Roman" w:hAnsi="Times New Roman" w:eastAsia="Times New Roman" w:cs="Times New Roman"/>
          <w:i/>
          <w:iCs/>
          <w:spacing w:val="-1"/>
          <w:sz w:val="24"/>
          <w:szCs w:val="24"/>
        </w:rPr>
        <w:t>ovalifolia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、马桑</w:t>
      </w:r>
      <w:r>
        <w:rPr>
          <w:rFonts w:ascii="宋体" w:hAnsi="宋体" w:eastAsia="宋体" w:cs="宋体"/>
          <w:spacing w:val="-38"/>
          <w:sz w:val="24"/>
          <w:szCs w:val="24"/>
        </w:rPr>
        <w:t xml:space="preserve"> </w:t>
      </w:r>
      <w:r>
        <w:rPr>
          <w:rFonts w:ascii="Times New Roman" w:hAnsi="Times New Roman" w:eastAsia="Times New Roman" w:cs="Times New Roman"/>
          <w:i/>
          <w:iCs/>
          <w:spacing w:val="-1"/>
          <w:sz w:val="24"/>
          <w:szCs w:val="24"/>
        </w:rPr>
        <w:t>Cor</w:t>
      </w:r>
      <w:r>
        <w:rPr>
          <w:rFonts w:ascii="Times New Roman" w:hAnsi="Times New Roman" w:eastAsia="Times New Roman" w:cs="Times New Roman"/>
          <w:i/>
          <w:iCs/>
          <w:spacing w:val="-2"/>
          <w:sz w:val="24"/>
          <w:szCs w:val="24"/>
        </w:rPr>
        <w:t>iaria</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pacing w:val="-2"/>
          <w:sz w:val="24"/>
          <w:szCs w:val="24"/>
        </w:rPr>
        <w:t>nepalensis</w:t>
      </w:r>
      <w:r>
        <w:rPr>
          <w:rFonts w:ascii="宋体" w:hAnsi="宋体" w:eastAsia="宋体" w:cs="宋体"/>
          <w:spacing w:val="-2"/>
          <w:sz w:val="24"/>
          <w:szCs w:val="24"/>
        </w:rPr>
        <w:t>、长尖</w:t>
      </w:r>
    </w:p>
    <w:p>
      <w:pPr>
        <w:spacing w:line="212" w:lineRule="auto"/>
        <w:ind w:left="65"/>
        <w:rPr>
          <w:rFonts w:ascii="宋体" w:hAnsi="宋体" w:eastAsia="宋体" w:cs="宋体"/>
          <w:sz w:val="24"/>
          <w:szCs w:val="24"/>
        </w:rPr>
      </w:pPr>
      <w:r>
        <w:rPr>
          <w:rFonts w:ascii="宋体" w:hAnsi="宋体" w:eastAsia="宋体" w:cs="宋体"/>
          <w:spacing w:val="-1"/>
          <w:sz w:val="24"/>
          <w:szCs w:val="24"/>
        </w:rPr>
        <w:t>叶蔷薇</w:t>
      </w:r>
      <w:r>
        <w:rPr>
          <w:rFonts w:ascii="宋体" w:hAnsi="宋体" w:eastAsia="宋体" w:cs="宋体"/>
          <w:spacing w:val="-59"/>
          <w:sz w:val="24"/>
          <w:szCs w:val="24"/>
        </w:rPr>
        <w:t xml:space="preserve"> </w:t>
      </w:r>
      <w:r>
        <w:rPr>
          <w:rFonts w:ascii="Times New Roman" w:hAnsi="Times New Roman" w:eastAsia="Times New Roman" w:cs="Times New Roman"/>
          <w:i/>
          <w:iCs/>
          <w:spacing w:val="-1"/>
          <w:sz w:val="24"/>
          <w:szCs w:val="24"/>
        </w:rPr>
        <w:t>Rosa longicuspis</w:t>
      </w:r>
      <w:r>
        <w:rPr>
          <w:rFonts w:ascii="宋体" w:hAnsi="宋体" w:eastAsia="宋体" w:cs="宋体"/>
          <w:spacing w:val="-1"/>
          <w:sz w:val="24"/>
          <w:szCs w:val="24"/>
        </w:rPr>
        <w:t>、美丽马醉木</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Pieris</w:t>
      </w:r>
      <w:r>
        <w:rPr>
          <w:rFonts w:ascii="Times New Roman" w:hAnsi="Times New Roman" w:eastAsia="Times New Roman" w:cs="Times New Roman"/>
          <w:i/>
          <w:iCs/>
          <w:spacing w:val="-56"/>
          <w:sz w:val="24"/>
          <w:szCs w:val="24"/>
        </w:rPr>
        <w:t xml:space="preserve"> </w:t>
      </w:r>
      <w:r>
        <w:rPr>
          <w:rFonts w:ascii="Times New Roman" w:hAnsi="Times New Roman" w:eastAsia="Times New Roman" w:cs="Times New Roman"/>
          <w:i/>
          <w:iCs/>
          <w:spacing w:val="-1"/>
          <w:sz w:val="24"/>
          <w:szCs w:val="24"/>
        </w:rPr>
        <w:t>formosa</w:t>
      </w:r>
      <w:r>
        <w:rPr>
          <w:rFonts w:ascii="宋体" w:hAnsi="宋体" w:eastAsia="宋体" w:cs="宋体"/>
          <w:spacing w:val="-1"/>
          <w:sz w:val="24"/>
          <w:szCs w:val="24"/>
        </w:rPr>
        <w:t>、胡颓子</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Elaeagnuspungens</w:t>
      </w:r>
      <w:r>
        <w:rPr>
          <w:rFonts w:ascii="宋体" w:hAnsi="宋体" w:eastAsia="宋体" w:cs="宋体"/>
          <w:spacing w:val="-1"/>
          <w:sz w:val="24"/>
          <w:szCs w:val="24"/>
        </w:rPr>
        <w:t>、</w:t>
      </w:r>
    </w:p>
    <w:p>
      <w:pPr>
        <w:spacing w:before="192" w:line="360" w:lineRule="auto"/>
        <w:ind w:left="15" w:right="206" w:firstLine="38"/>
        <w:rPr>
          <w:rFonts w:ascii="宋体" w:hAnsi="宋体" w:eastAsia="宋体" w:cs="宋体"/>
          <w:sz w:val="24"/>
          <w:szCs w:val="24"/>
        </w:rPr>
      </w:pPr>
      <w:r>
        <w:rPr>
          <w:rFonts w:ascii="宋体" w:hAnsi="宋体" w:eastAsia="宋体" w:cs="宋体"/>
          <w:spacing w:val="-1"/>
          <w:sz w:val="24"/>
          <w:szCs w:val="24"/>
        </w:rPr>
        <w:t>水红木</w:t>
      </w:r>
      <w:r>
        <w:rPr>
          <w:rFonts w:ascii="宋体" w:hAnsi="宋体" w:eastAsia="宋体" w:cs="宋体"/>
          <w:spacing w:val="-30"/>
          <w:sz w:val="24"/>
          <w:szCs w:val="24"/>
        </w:rPr>
        <w:t xml:space="preserve"> </w:t>
      </w:r>
      <w:r>
        <w:rPr>
          <w:rFonts w:ascii="Times New Roman" w:hAnsi="Times New Roman" w:eastAsia="Times New Roman" w:cs="Times New Roman"/>
          <w:i/>
          <w:iCs/>
          <w:spacing w:val="-1"/>
          <w:sz w:val="24"/>
          <w:szCs w:val="24"/>
        </w:rPr>
        <w:t>Viburnum</w:t>
      </w:r>
      <w:r>
        <w:rPr>
          <w:rFonts w:ascii="Times New Roman" w:hAnsi="Times New Roman" w:eastAsia="Times New Roman" w:cs="Times New Roman"/>
          <w:i/>
          <w:iCs/>
          <w:spacing w:val="26"/>
          <w:w w:val="101"/>
          <w:sz w:val="24"/>
          <w:szCs w:val="24"/>
        </w:rPr>
        <w:t xml:space="preserve"> </w:t>
      </w:r>
      <w:r>
        <w:rPr>
          <w:rFonts w:ascii="Times New Roman" w:hAnsi="Times New Roman" w:eastAsia="Times New Roman" w:cs="Times New Roman"/>
          <w:i/>
          <w:iCs/>
          <w:spacing w:val="-1"/>
          <w:sz w:val="24"/>
          <w:szCs w:val="24"/>
        </w:rPr>
        <w:t>cylindricum</w:t>
      </w:r>
      <w:r>
        <w:rPr>
          <w:rFonts w:ascii="宋体" w:hAnsi="宋体" w:eastAsia="宋体" w:cs="宋体"/>
          <w:spacing w:val="-1"/>
          <w:sz w:val="24"/>
          <w:szCs w:val="24"/>
        </w:rPr>
        <w:t>、走马胎</w:t>
      </w:r>
      <w:r>
        <w:rPr>
          <w:rFonts w:ascii="宋体" w:hAnsi="宋体" w:eastAsia="宋体" w:cs="宋体"/>
          <w:spacing w:val="-57"/>
          <w:sz w:val="24"/>
          <w:szCs w:val="24"/>
        </w:rPr>
        <w:t xml:space="preserve"> </w:t>
      </w:r>
      <w:r>
        <w:rPr>
          <w:rFonts w:ascii="Times New Roman" w:hAnsi="Times New Roman" w:eastAsia="Times New Roman" w:cs="Times New Roman"/>
          <w:i/>
          <w:iCs/>
          <w:spacing w:val="-1"/>
          <w:sz w:val="24"/>
          <w:szCs w:val="24"/>
        </w:rPr>
        <w:t>Ardisia</w:t>
      </w:r>
      <w:r>
        <w:rPr>
          <w:rFonts w:ascii="Times New Roman" w:hAnsi="Times New Roman" w:eastAsia="Times New Roman" w:cs="Times New Roman"/>
          <w:i/>
          <w:iCs/>
          <w:spacing w:val="-2"/>
          <w:sz w:val="24"/>
          <w:szCs w:val="24"/>
        </w:rPr>
        <w:t xml:space="preserve"> gigantifolia</w:t>
      </w:r>
      <w:r>
        <w:rPr>
          <w:rFonts w:ascii="宋体" w:hAnsi="宋体" w:eastAsia="宋体" w:cs="宋体"/>
          <w:spacing w:val="-2"/>
          <w:sz w:val="24"/>
          <w:szCs w:val="24"/>
        </w:rPr>
        <w:t>、小雀花</w:t>
      </w:r>
      <w:r>
        <w:rPr>
          <w:rFonts w:ascii="宋体" w:hAnsi="宋体" w:eastAsia="宋体" w:cs="宋体"/>
          <w:spacing w:val="-33"/>
          <w:sz w:val="24"/>
          <w:szCs w:val="24"/>
        </w:rPr>
        <w:t xml:space="preserve"> </w:t>
      </w:r>
      <w:r>
        <w:rPr>
          <w:rFonts w:ascii="Times New Roman" w:hAnsi="Times New Roman" w:eastAsia="Times New Roman" w:cs="Times New Roman"/>
          <w:i/>
          <w:iCs/>
          <w:spacing w:val="-2"/>
          <w:sz w:val="24"/>
          <w:szCs w:val="24"/>
        </w:rPr>
        <w:t>Campylotropis</w:t>
      </w:r>
      <w:r>
        <w:rPr>
          <w:rFonts w:ascii="Times New Roman" w:hAnsi="Times New Roman" w:eastAsia="Times New Roman" w:cs="Times New Roman"/>
          <w:i/>
          <w:iCs/>
          <w:sz w:val="24"/>
          <w:szCs w:val="24"/>
        </w:rPr>
        <w:t xml:space="preserve"> polyantha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、火棘</w:t>
      </w:r>
      <w:r>
        <w:rPr>
          <w:rFonts w:ascii="宋体" w:hAnsi="宋体" w:eastAsia="宋体" w:cs="宋体"/>
          <w:spacing w:val="-43"/>
          <w:sz w:val="24"/>
          <w:szCs w:val="24"/>
        </w:rPr>
        <w:t xml:space="preserve"> </w:t>
      </w:r>
      <w:r>
        <w:rPr>
          <w:rFonts w:ascii="Times New Roman" w:hAnsi="Times New Roman" w:eastAsia="Times New Roman" w:cs="Times New Roman"/>
          <w:i/>
          <w:iCs/>
          <w:sz w:val="24"/>
          <w:szCs w:val="24"/>
        </w:rPr>
        <w:t>Pyracantha</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fortuneana</w:t>
      </w:r>
      <w:r>
        <w:rPr>
          <w:rFonts w:ascii="宋体" w:hAnsi="宋体" w:eastAsia="宋体" w:cs="宋体"/>
          <w:spacing w:val="3"/>
          <w:sz w:val="24"/>
          <w:szCs w:val="24"/>
        </w:rPr>
        <w:t>、车桑子</w:t>
      </w:r>
      <w:r>
        <w:rPr>
          <w:rFonts w:ascii="宋体" w:hAnsi="宋体" w:eastAsia="宋体" w:cs="宋体"/>
          <w:spacing w:val="-33"/>
          <w:sz w:val="24"/>
          <w:szCs w:val="24"/>
        </w:rPr>
        <w:t xml:space="preserve"> </w:t>
      </w:r>
      <w:r>
        <w:rPr>
          <w:rFonts w:ascii="Times New Roman" w:hAnsi="Times New Roman" w:eastAsia="Times New Roman" w:cs="Times New Roman"/>
          <w:i/>
          <w:iCs/>
          <w:sz w:val="24"/>
          <w:szCs w:val="24"/>
        </w:rPr>
        <w:t>Dodonaea</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z w:val="24"/>
          <w:szCs w:val="24"/>
        </w:rPr>
        <w:t>viscosa</w:t>
      </w:r>
      <w:r>
        <w:rPr>
          <w:rFonts w:ascii="宋体" w:hAnsi="宋体" w:eastAsia="宋体" w:cs="宋体"/>
          <w:spacing w:val="3"/>
          <w:sz w:val="24"/>
          <w:szCs w:val="24"/>
        </w:rPr>
        <w:t>、云南山蚂蝗</w:t>
      </w:r>
      <w:r>
        <w:rPr>
          <w:rFonts w:ascii="宋体" w:hAnsi="宋体" w:eastAsia="宋体" w:cs="宋体"/>
          <w:sz w:val="24"/>
          <w:szCs w:val="24"/>
        </w:rPr>
        <w:t xml:space="preserve"> </w:t>
      </w:r>
      <w:r>
        <w:rPr>
          <w:rFonts w:ascii="Times New Roman" w:hAnsi="Times New Roman" w:eastAsia="Times New Roman" w:cs="Times New Roman"/>
          <w:i/>
          <w:iCs/>
          <w:sz w:val="24"/>
          <w:szCs w:val="24"/>
        </w:rPr>
        <w:t>Desmodium</w:t>
      </w:r>
      <w:r>
        <w:rPr>
          <w:rFonts w:ascii="Times New Roman" w:hAnsi="Times New Roman" w:eastAsia="Times New Roman" w:cs="Times New Roman"/>
          <w:i/>
          <w:iCs/>
          <w:spacing w:val="32"/>
          <w:sz w:val="24"/>
          <w:szCs w:val="24"/>
        </w:rPr>
        <w:t xml:space="preserve"> </w:t>
      </w:r>
      <w:r>
        <w:rPr>
          <w:rFonts w:ascii="Times New Roman" w:hAnsi="Times New Roman" w:eastAsia="Times New Roman" w:cs="Times New Roman"/>
          <w:i/>
          <w:iCs/>
          <w:sz w:val="24"/>
          <w:szCs w:val="24"/>
        </w:rPr>
        <w:t>yunnanense</w:t>
      </w:r>
      <w:r>
        <w:rPr>
          <w:rFonts w:ascii="Times New Roman" w:hAnsi="Times New Roman" w:eastAsia="Times New Roman" w:cs="Times New Roman"/>
          <w:i/>
          <w:iCs/>
          <w:spacing w:val="-17"/>
          <w:sz w:val="24"/>
          <w:szCs w:val="24"/>
        </w:rPr>
        <w:t xml:space="preserve"> </w:t>
      </w:r>
      <w:r>
        <w:rPr>
          <w:rFonts w:ascii="宋体" w:hAnsi="宋体" w:eastAsia="宋体" w:cs="宋体"/>
          <w:spacing w:val="17"/>
          <w:sz w:val="24"/>
          <w:szCs w:val="24"/>
        </w:rPr>
        <w:t xml:space="preserve">、粉叶小檗 </w:t>
      </w:r>
      <w:r>
        <w:rPr>
          <w:rFonts w:ascii="Times New Roman" w:hAnsi="Times New Roman" w:eastAsia="Times New Roman" w:cs="Times New Roman"/>
          <w:i/>
          <w:iCs/>
          <w:sz w:val="24"/>
          <w:szCs w:val="24"/>
        </w:rPr>
        <w:t>Berberis</w:t>
      </w:r>
      <w:r>
        <w:rPr>
          <w:rFonts w:ascii="Times New Roman" w:hAnsi="Times New Roman" w:eastAsia="Times New Roman" w:cs="Times New Roman"/>
          <w:i/>
          <w:iCs/>
          <w:spacing w:val="17"/>
          <w:sz w:val="24"/>
          <w:szCs w:val="24"/>
        </w:rPr>
        <w:t xml:space="preserve"> </w:t>
      </w:r>
      <w:r>
        <w:rPr>
          <w:rFonts w:ascii="Times New Roman" w:hAnsi="Times New Roman" w:eastAsia="Times New Roman" w:cs="Times New Roman"/>
          <w:i/>
          <w:iCs/>
          <w:sz w:val="24"/>
          <w:szCs w:val="24"/>
        </w:rPr>
        <w:t>pruinosa</w:t>
      </w:r>
      <w:r>
        <w:rPr>
          <w:rFonts w:ascii="宋体" w:hAnsi="宋体" w:eastAsia="宋体" w:cs="宋体"/>
          <w:spacing w:val="17"/>
          <w:sz w:val="24"/>
          <w:szCs w:val="24"/>
        </w:rPr>
        <w:t xml:space="preserve">、牛筋条 </w:t>
      </w:r>
      <w:r>
        <w:rPr>
          <w:rFonts w:ascii="Times New Roman" w:hAnsi="Times New Roman" w:eastAsia="Times New Roman" w:cs="Times New Roman"/>
          <w:i/>
          <w:iCs/>
          <w:sz w:val="24"/>
          <w:szCs w:val="24"/>
        </w:rPr>
        <w:t xml:space="preserve">Dichotomanthes </w:t>
      </w:r>
      <w:r>
        <w:rPr>
          <w:rFonts w:ascii="Times New Roman" w:hAnsi="Times New Roman" w:eastAsia="Times New Roman" w:cs="Times New Roman"/>
          <w:i/>
          <w:iCs/>
          <w:spacing w:val="-1"/>
          <w:sz w:val="24"/>
          <w:szCs w:val="24"/>
        </w:rPr>
        <w:t>tristaniicarpa</w:t>
      </w:r>
      <w:r>
        <w:rPr>
          <w:rFonts w:ascii="宋体" w:hAnsi="宋体" w:eastAsia="宋体" w:cs="宋体"/>
          <w:spacing w:val="-1"/>
          <w:sz w:val="24"/>
          <w:szCs w:val="24"/>
        </w:rPr>
        <w:t>、野拔子</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Elsholtzia rugul</w:t>
      </w:r>
      <w:r>
        <w:rPr>
          <w:rFonts w:ascii="Times New Roman" w:hAnsi="Times New Roman" w:eastAsia="Times New Roman" w:cs="Times New Roman"/>
          <w:i/>
          <w:iCs/>
          <w:spacing w:val="-2"/>
          <w:sz w:val="24"/>
          <w:szCs w:val="24"/>
        </w:rPr>
        <w:t>osa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、杭子梢</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Campylotropis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pacing w:val="-2"/>
          <w:sz w:val="24"/>
          <w:szCs w:val="24"/>
        </w:rPr>
        <w:t>macrocarpa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、云</w:t>
      </w:r>
      <w:r>
        <w:rPr>
          <w:rFonts w:ascii="宋体" w:hAnsi="宋体" w:eastAsia="宋体" w:cs="宋体"/>
          <w:sz w:val="24"/>
          <w:szCs w:val="24"/>
        </w:rPr>
        <w:t xml:space="preserve"> </w:t>
      </w:r>
      <w:r>
        <w:rPr>
          <w:rFonts w:ascii="宋体" w:hAnsi="宋体" w:eastAsia="宋体" w:cs="宋体"/>
          <w:spacing w:val="9"/>
          <w:sz w:val="24"/>
          <w:szCs w:val="24"/>
        </w:rPr>
        <w:t>南杨梅</w:t>
      </w:r>
      <w:r>
        <w:rPr>
          <w:rFonts w:ascii="宋体" w:hAnsi="宋体" w:eastAsia="宋体" w:cs="宋体"/>
          <w:spacing w:val="-64"/>
          <w:sz w:val="24"/>
          <w:szCs w:val="24"/>
        </w:rPr>
        <w:t xml:space="preserve"> </w:t>
      </w:r>
      <w:r>
        <w:rPr>
          <w:rFonts w:ascii="Times New Roman" w:hAnsi="Times New Roman" w:eastAsia="Times New Roman" w:cs="Times New Roman"/>
          <w:i/>
          <w:iCs/>
          <w:sz w:val="24"/>
          <w:szCs w:val="24"/>
        </w:rPr>
        <w:t>Myricanana</w:t>
      </w:r>
      <w:r>
        <w:rPr>
          <w:rFonts w:ascii="宋体" w:hAnsi="宋体" w:eastAsia="宋体" w:cs="宋体"/>
          <w:spacing w:val="9"/>
          <w:sz w:val="24"/>
          <w:szCs w:val="24"/>
        </w:rPr>
        <w:t>、云南含笑</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Michelia</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i/>
          <w:iCs/>
          <w:sz w:val="24"/>
          <w:szCs w:val="24"/>
        </w:rPr>
        <w:t>yunnanensis</w:t>
      </w:r>
      <w:r>
        <w:rPr>
          <w:rFonts w:ascii="宋体" w:hAnsi="宋体" w:eastAsia="宋体" w:cs="宋体"/>
          <w:spacing w:val="9"/>
          <w:sz w:val="24"/>
          <w:szCs w:val="24"/>
        </w:rPr>
        <w:t>、铁仔</w:t>
      </w:r>
      <w:r>
        <w:rPr>
          <w:rFonts w:ascii="宋体" w:hAnsi="宋体" w:eastAsia="宋体" w:cs="宋体"/>
          <w:spacing w:val="-68"/>
          <w:sz w:val="24"/>
          <w:szCs w:val="24"/>
        </w:rPr>
        <w:t xml:space="preserve"> </w:t>
      </w:r>
      <w:r>
        <w:rPr>
          <w:rFonts w:ascii="Times New Roman" w:hAnsi="Times New Roman" w:eastAsia="Times New Roman" w:cs="Times New Roman"/>
          <w:i/>
          <w:iCs/>
          <w:sz w:val="24"/>
          <w:szCs w:val="24"/>
        </w:rPr>
        <w:t>Myrsine</w:t>
      </w:r>
      <w:r>
        <w:rPr>
          <w:rFonts w:ascii="Times New Roman" w:hAnsi="Times New Roman" w:eastAsia="Times New Roman" w:cs="Times New Roman"/>
          <w:i/>
          <w:iCs/>
          <w:spacing w:val="9"/>
          <w:sz w:val="24"/>
          <w:szCs w:val="24"/>
        </w:rPr>
        <w:t xml:space="preserve"> </w:t>
      </w:r>
      <w:r>
        <w:rPr>
          <w:rFonts w:ascii="Times New Roman" w:hAnsi="Times New Roman" w:eastAsia="Times New Roman" w:cs="Times New Roman"/>
          <w:i/>
          <w:iCs/>
          <w:sz w:val="24"/>
          <w:szCs w:val="24"/>
        </w:rPr>
        <w:t>africana</w:t>
      </w:r>
      <w:r>
        <w:rPr>
          <w:rFonts w:ascii="宋体" w:hAnsi="宋体" w:eastAsia="宋体" w:cs="宋体"/>
          <w:spacing w:val="9"/>
          <w:sz w:val="24"/>
          <w:szCs w:val="24"/>
        </w:rPr>
        <w:t>、厚</w:t>
      </w:r>
    </w:p>
    <w:p>
      <w:pPr>
        <w:spacing w:line="212" w:lineRule="auto"/>
        <w:ind w:left="54"/>
        <w:rPr>
          <w:rFonts w:ascii="宋体" w:hAnsi="宋体" w:eastAsia="宋体" w:cs="宋体"/>
          <w:sz w:val="24"/>
          <w:szCs w:val="24"/>
        </w:rPr>
      </w:pPr>
      <w:r>
        <w:rPr>
          <w:rFonts w:ascii="宋体" w:hAnsi="宋体" w:eastAsia="宋体" w:cs="宋体"/>
          <w:spacing w:val="-3"/>
          <w:sz w:val="24"/>
          <w:szCs w:val="24"/>
        </w:rPr>
        <w:t>皮香</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Ternstroemia</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3"/>
          <w:sz w:val="24"/>
          <w:szCs w:val="24"/>
        </w:rPr>
        <w:t>gymnanthera</w:t>
      </w:r>
      <w:r>
        <w:rPr>
          <w:rFonts w:ascii="宋体" w:hAnsi="宋体" w:eastAsia="宋体" w:cs="宋体"/>
          <w:spacing w:val="-3"/>
          <w:sz w:val="24"/>
          <w:szCs w:val="24"/>
        </w:rPr>
        <w:t>、</w:t>
      </w:r>
      <w:r>
        <w:rPr>
          <w:rFonts w:ascii="宋体" w:hAnsi="宋体" w:eastAsia="宋体" w:cs="宋体"/>
          <w:spacing w:val="-4"/>
          <w:sz w:val="24"/>
          <w:szCs w:val="24"/>
        </w:rPr>
        <w:t>铁仔</w:t>
      </w:r>
      <w:r>
        <w:rPr>
          <w:rFonts w:ascii="宋体" w:hAnsi="宋体" w:eastAsia="宋体" w:cs="宋体"/>
          <w:spacing w:val="-68"/>
          <w:sz w:val="24"/>
          <w:szCs w:val="24"/>
        </w:rPr>
        <w:t xml:space="preserve"> </w:t>
      </w:r>
      <w:r>
        <w:rPr>
          <w:rFonts w:ascii="Times New Roman" w:hAnsi="Times New Roman" w:eastAsia="Times New Roman" w:cs="Times New Roman"/>
          <w:i/>
          <w:iCs/>
          <w:spacing w:val="-4"/>
          <w:sz w:val="24"/>
          <w:szCs w:val="24"/>
        </w:rPr>
        <w:t>Myrsine africana</w:t>
      </w:r>
      <w:r>
        <w:rPr>
          <w:rFonts w:ascii="宋体" w:hAnsi="宋体" w:eastAsia="宋体" w:cs="宋体"/>
          <w:spacing w:val="-4"/>
          <w:sz w:val="24"/>
          <w:szCs w:val="24"/>
        </w:rPr>
        <w:t>、白背枫</w:t>
      </w:r>
      <w:r>
        <w:rPr>
          <w:rFonts w:ascii="宋体" w:hAnsi="宋体" w:eastAsia="宋体" w:cs="宋体"/>
          <w:spacing w:val="-64"/>
          <w:sz w:val="24"/>
          <w:szCs w:val="24"/>
        </w:rPr>
        <w:t xml:space="preserve"> </w:t>
      </w:r>
      <w:r>
        <w:rPr>
          <w:rFonts w:ascii="Times New Roman" w:hAnsi="Times New Roman" w:eastAsia="Times New Roman" w:cs="Times New Roman"/>
          <w:i/>
          <w:iCs/>
          <w:spacing w:val="-4"/>
          <w:sz w:val="24"/>
          <w:szCs w:val="24"/>
        </w:rPr>
        <w:t>Buddleja asiatica</w:t>
      </w:r>
      <w:r>
        <w:rPr>
          <w:rFonts w:ascii="宋体" w:hAnsi="宋体" w:eastAsia="宋体" w:cs="宋体"/>
          <w:spacing w:val="-4"/>
          <w:sz w:val="24"/>
          <w:szCs w:val="24"/>
        </w:rPr>
        <w:t>、</w:t>
      </w:r>
    </w:p>
    <w:p>
      <w:pPr>
        <w:spacing w:before="192" w:line="360" w:lineRule="auto"/>
        <w:ind w:firstLine="50"/>
        <w:rPr>
          <w:rFonts w:ascii="宋体" w:hAnsi="宋体" w:eastAsia="宋体" w:cs="宋体"/>
          <w:sz w:val="24"/>
          <w:szCs w:val="24"/>
        </w:rPr>
      </w:pPr>
      <w:r>
        <w:rPr>
          <w:rFonts w:ascii="宋体" w:hAnsi="宋体" w:eastAsia="宋体" w:cs="宋体"/>
          <w:spacing w:val="-2"/>
          <w:sz w:val="24"/>
          <w:szCs w:val="24"/>
        </w:rPr>
        <w:t>梁王茶</w:t>
      </w:r>
      <w:r>
        <w:rPr>
          <w:rFonts w:ascii="Times New Roman" w:hAnsi="Times New Roman" w:eastAsia="Times New Roman" w:cs="Times New Roman"/>
          <w:i/>
          <w:iCs/>
          <w:spacing w:val="-2"/>
          <w:sz w:val="24"/>
          <w:szCs w:val="24"/>
        </w:rPr>
        <w:t>Metapanax delavayi</w:t>
      </w:r>
      <w:r>
        <w:rPr>
          <w:rFonts w:ascii="宋体" w:hAnsi="宋体" w:eastAsia="宋体" w:cs="宋体"/>
          <w:spacing w:val="-2"/>
          <w:sz w:val="24"/>
          <w:szCs w:val="24"/>
        </w:rPr>
        <w:t>、密蒙花</w:t>
      </w:r>
      <w:r>
        <w:rPr>
          <w:rFonts w:ascii="Times New Roman" w:hAnsi="Times New Roman" w:eastAsia="Times New Roman" w:cs="Times New Roman"/>
          <w:i/>
          <w:iCs/>
          <w:spacing w:val="-2"/>
          <w:sz w:val="24"/>
          <w:szCs w:val="24"/>
        </w:rPr>
        <w:t>Buddl</w:t>
      </w:r>
      <w:r>
        <w:rPr>
          <w:rFonts w:ascii="Times New Roman" w:hAnsi="Times New Roman" w:eastAsia="Times New Roman" w:cs="Times New Roman"/>
          <w:i/>
          <w:iCs/>
          <w:spacing w:val="-3"/>
          <w:sz w:val="24"/>
          <w:szCs w:val="24"/>
        </w:rPr>
        <w:t>eja officinalis</w:t>
      </w:r>
      <w:r>
        <w:rPr>
          <w:rFonts w:ascii="宋体" w:hAnsi="宋体" w:eastAsia="宋体" w:cs="宋体"/>
          <w:spacing w:val="-3"/>
          <w:sz w:val="24"/>
          <w:szCs w:val="24"/>
        </w:rPr>
        <w:t>、水麻</w:t>
      </w:r>
      <w:r>
        <w:rPr>
          <w:rFonts w:ascii="Times New Roman" w:hAnsi="Times New Roman" w:eastAsia="Times New Roman" w:cs="Times New Roman"/>
          <w:i/>
          <w:iCs/>
          <w:spacing w:val="-3"/>
          <w:sz w:val="24"/>
          <w:szCs w:val="24"/>
        </w:rPr>
        <w:t>Debregeasia orientalis</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竹叶花椒</w:t>
      </w:r>
      <w:r>
        <w:rPr>
          <w:rFonts w:ascii="宋体" w:hAnsi="宋体" w:eastAsia="宋体" w:cs="宋体"/>
          <w:spacing w:val="-60"/>
          <w:sz w:val="24"/>
          <w:szCs w:val="24"/>
        </w:rPr>
        <w:t xml:space="preserve"> </w:t>
      </w:r>
      <w:r>
        <w:rPr>
          <w:rFonts w:ascii="Times New Roman" w:hAnsi="Times New Roman" w:eastAsia="Times New Roman" w:cs="Times New Roman"/>
          <w:i/>
          <w:iCs/>
          <w:spacing w:val="-2"/>
          <w:sz w:val="24"/>
          <w:szCs w:val="24"/>
        </w:rPr>
        <w:t>Zanthoxylum armatum</w:t>
      </w:r>
      <w:r>
        <w:rPr>
          <w:rFonts w:ascii="宋体" w:hAnsi="宋体" w:eastAsia="宋体" w:cs="宋体"/>
          <w:spacing w:val="-2"/>
          <w:sz w:val="24"/>
          <w:szCs w:val="24"/>
        </w:rPr>
        <w:t>、乌鸦果</w:t>
      </w:r>
      <w:r>
        <w:rPr>
          <w:rFonts w:ascii="宋体" w:hAnsi="宋体" w:eastAsia="宋体" w:cs="宋体"/>
          <w:spacing w:val="-30"/>
          <w:sz w:val="24"/>
          <w:szCs w:val="24"/>
        </w:rPr>
        <w:t xml:space="preserve"> </w:t>
      </w:r>
      <w:r>
        <w:rPr>
          <w:rFonts w:ascii="Times New Roman" w:hAnsi="Times New Roman" w:eastAsia="Times New Roman" w:cs="Times New Roman"/>
          <w:i/>
          <w:iCs/>
          <w:spacing w:val="-2"/>
          <w:sz w:val="24"/>
          <w:szCs w:val="24"/>
        </w:rPr>
        <w:t>Vaccinium</w:t>
      </w:r>
      <w:r>
        <w:rPr>
          <w:rFonts w:ascii="Times New Roman" w:hAnsi="Times New Roman" w:eastAsia="Times New Roman" w:cs="Times New Roman"/>
          <w:i/>
          <w:iCs/>
          <w:spacing w:val="-57"/>
          <w:sz w:val="24"/>
          <w:szCs w:val="24"/>
        </w:rPr>
        <w:t xml:space="preserve"> </w:t>
      </w:r>
      <w:r>
        <w:rPr>
          <w:rFonts w:ascii="Times New Roman" w:hAnsi="Times New Roman" w:eastAsia="Times New Roman" w:cs="Times New Roman"/>
          <w:i/>
          <w:iCs/>
          <w:spacing w:val="-2"/>
          <w:sz w:val="24"/>
          <w:szCs w:val="24"/>
        </w:rPr>
        <w:t>frag</w:t>
      </w:r>
      <w:r>
        <w:rPr>
          <w:rFonts w:ascii="Times New Roman" w:hAnsi="Times New Roman" w:eastAsia="Times New Roman" w:cs="Times New Roman"/>
          <w:i/>
          <w:iCs/>
          <w:spacing w:val="-3"/>
          <w:sz w:val="24"/>
          <w:szCs w:val="24"/>
        </w:rPr>
        <w:t>ile</w:t>
      </w:r>
      <w:r>
        <w:rPr>
          <w:rFonts w:ascii="宋体" w:hAnsi="宋体" w:eastAsia="宋体" w:cs="宋体"/>
          <w:spacing w:val="-3"/>
          <w:sz w:val="24"/>
          <w:szCs w:val="24"/>
        </w:rPr>
        <w:t>、川滇金丝桃</w:t>
      </w:r>
      <w:r>
        <w:rPr>
          <w:rFonts w:ascii="宋体" w:hAnsi="宋体" w:eastAsia="宋体" w:cs="宋体"/>
          <w:spacing w:val="-66"/>
          <w:sz w:val="24"/>
          <w:szCs w:val="24"/>
        </w:rPr>
        <w:t xml:space="preserve"> </w:t>
      </w:r>
      <w:r>
        <w:rPr>
          <w:rFonts w:ascii="Times New Roman" w:hAnsi="Times New Roman" w:eastAsia="Times New Roman" w:cs="Times New Roman"/>
          <w:i/>
          <w:iCs/>
          <w:spacing w:val="-3"/>
          <w:sz w:val="24"/>
          <w:szCs w:val="24"/>
        </w:rPr>
        <w:t xml:space="preserve">Hypericum    </w:t>
      </w:r>
      <w:r>
        <w:rPr>
          <w:rFonts w:ascii="Times New Roman" w:hAnsi="Times New Roman" w:eastAsia="Times New Roman" w:cs="Times New Roman"/>
          <w:i/>
          <w:iCs/>
          <w:spacing w:val="-8"/>
          <w:sz w:val="24"/>
          <w:szCs w:val="24"/>
        </w:rPr>
        <w:t xml:space="preserve">forrestii   </w:t>
      </w:r>
      <w:r>
        <w:rPr>
          <w:rFonts w:ascii="宋体" w:hAnsi="宋体" w:eastAsia="宋体" w:cs="宋体"/>
          <w:spacing w:val="-8"/>
          <w:sz w:val="24"/>
          <w:szCs w:val="24"/>
        </w:rPr>
        <w:t>等</w:t>
      </w:r>
      <w:r>
        <w:rPr>
          <w:rFonts w:ascii="宋体" w:hAnsi="宋体" w:eastAsia="宋体" w:cs="宋体"/>
          <w:spacing w:val="-35"/>
          <w:sz w:val="24"/>
          <w:szCs w:val="24"/>
        </w:rPr>
        <w:t xml:space="preserve"> </w:t>
      </w:r>
      <w:r>
        <w:rPr>
          <w:rFonts w:ascii="宋体" w:hAnsi="宋体" w:eastAsia="宋体" w:cs="宋体"/>
          <w:spacing w:val="-8"/>
          <w:sz w:val="24"/>
          <w:szCs w:val="24"/>
        </w:rPr>
        <w:t>。</w:t>
      </w:r>
      <w:r>
        <w:rPr>
          <w:rFonts w:ascii="宋体" w:hAnsi="宋体" w:eastAsia="宋体" w:cs="宋体"/>
          <w:spacing w:val="-65"/>
          <w:sz w:val="24"/>
          <w:szCs w:val="24"/>
        </w:rPr>
        <w:t xml:space="preserve"> </w:t>
      </w:r>
      <w:r>
        <w:rPr>
          <w:rFonts w:ascii="宋体" w:hAnsi="宋体" w:eastAsia="宋体" w:cs="宋体"/>
          <w:spacing w:val="-8"/>
          <w:sz w:val="24"/>
          <w:szCs w:val="24"/>
        </w:rPr>
        <w:t>此外</w:t>
      </w:r>
      <w:r>
        <w:rPr>
          <w:rFonts w:ascii="宋体" w:hAnsi="宋体" w:eastAsia="宋体" w:cs="宋体"/>
          <w:spacing w:val="-49"/>
          <w:sz w:val="24"/>
          <w:szCs w:val="24"/>
        </w:rPr>
        <w:t xml:space="preserve"> </w:t>
      </w:r>
      <w:r>
        <w:rPr>
          <w:rFonts w:ascii="宋体" w:hAnsi="宋体" w:eastAsia="宋体" w:cs="宋体"/>
          <w:spacing w:val="-8"/>
          <w:sz w:val="24"/>
          <w:szCs w:val="24"/>
        </w:rPr>
        <w:t>，</w:t>
      </w:r>
      <w:r>
        <w:rPr>
          <w:rFonts w:ascii="宋体" w:hAnsi="宋体" w:eastAsia="宋体" w:cs="宋体"/>
          <w:spacing w:val="-68"/>
          <w:sz w:val="24"/>
          <w:szCs w:val="24"/>
        </w:rPr>
        <w:t xml:space="preserve"> </w:t>
      </w:r>
      <w:r>
        <w:rPr>
          <w:rFonts w:ascii="宋体" w:hAnsi="宋体" w:eastAsia="宋体" w:cs="宋体"/>
          <w:spacing w:val="-8"/>
          <w:sz w:val="24"/>
          <w:szCs w:val="24"/>
        </w:rPr>
        <w:t>群</w:t>
      </w:r>
      <w:r>
        <w:rPr>
          <w:rFonts w:ascii="宋体" w:hAnsi="宋体" w:eastAsia="宋体" w:cs="宋体"/>
          <w:spacing w:val="-63"/>
          <w:sz w:val="24"/>
          <w:szCs w:val="24"/>
        </w:rPr>
        <w:t xml:space="preserve"> </w:t>
      </w:r>
      <w:r>
        <w:rPr>
          <w:rFonts w:ascii="宋体" w:hAnsi="宋体" w:eastAsia="宋体" w:cs="宋体"/>
          <w:spacing w:val="-8"/>
          <w:sz w:val="24"/>
          <w:szCs w:val="24"/>
        </w:rPr>
        <w:t>落</w:t>
      </w:r>
      <w:r>
        <w:rPr>
          <w:rFonts w:ascii="宋体" w:hAnsi="宋体" w:eastAsia="宋体" w:cs="宋体"/>
          <w:spacing w:val="-45"/>
          <w:sz w:val="24"/>
          <w:szCs w:val="24"/>
        </w:rPr>
        <w:t xml:space="preserve"> </w:t>
      </w:r>
      <w:r>
        <w:rPr>
          <w:rFonts w:ascii="宋体" w:hAnsi="宋体" w:eastAsia="宋体" w:cs="宋体"/>
          <w:spacing w:val="-8"/>
          <w:sz w:val="24"/>
          <w:szCs w:val="24"/>
        </w:rPr>
        <w:t>的</w:t>
      </w:r>
      <w:r>
        <w:rPr>
          <w:rFonts w:ascii="宋体" w:hAnsi="宋体" w:eastAsia="宋体" w:cs="宋体"/>
          <w:spacing w:val="-62"/>
          <w:sz w:val="24"/>
          <w:szCs w:val="24"/>
        </w:rPr>
        <w:t xml:space="preserve"> </w:t>
      </w:r>
      <w:r>
        <w:rPr>
          <w:rFonts w:ascii="宋体" w:hAnsi="宋体" w:eastAsia="宋体" w:cs="宋体"/>
          <w:spacing w:val="-8"/>
          <w:sz w:val="24"/>
          <w:szCs w:val="24"/>
        </w:rPr>
        <w:t>灌</w:t>
      </w:r>
      <w:r>
        <w:rPr>
          <w:rFonts w:ascii="宋体" w:hAnsi="宋体" w:eastAsia="宋体" w:cs="宋体"/>
          <w:spacing w:val="-65"/>
          <w:sz w:val="24"/>
          <w:szCs w:val="24"/>
        </w:rPr>
        <w:t xml:space="preserve"> </w:t>
      </w:r>
      <w:r>
        <w:rPr>
          <w:rFonts w:ascii="宋体" w:hAnsi="宋体" w:eastAsia="宋体" w:cs="宋体"/>
          <w:spacing w:val="-8"/>
          <w:sz w:val="24"/>
          <w:szCs w:val="24"/>
        </w:rPr>
        <w:t>木</w:t>
      </w:r>
      <w:r>
        <w:rPr>
          <w:rFonts w:ascii="宋体" w:hAnsi="宋体" w:eastAsia="宋体" w:cs="宋体"/>
          <w:spacing w:val="-66"/>
          <w:sz w:val="24"/>
          <w:szCs w:val="24"/>
        </w:rPr>
        <w:t xml:space="preserve"> </w:t>
      </w:r>
      <w:r>
        <w:rPr>
          <w:rFonts w:ascii="宋体" w:hAnsi="宋体" w:eastAsia="宋体" w:cs="宋体"/>
          <w:spacing w:val="-8"/>
          <w:sz w:val="24"/>
          <w:szCs w:val="24"/>
        </w:rPr>
        <w:t>层</w:t>
      </w:r>
      <w:r>
        <w:rPr>
          <w:rFonts w:ascii="宋体" w:hAnsi="宋体" w:eastAsia="宋体" w:cs="宋体"/>
          <w:spacing w:val="-42"/>
          <w:sz w:val="24"/>
          <w:szCs w:val="24"/>
        </w:rPr>
        <w:t xml:space="preserve"> </w:t>
      </w:r>
      <w:r>
        <w:rPr>
          <w:rFonts w:ascii="宋体" w:hAnsi="宋体" w:eastAsia="宋体" w:cs="宋体"/>
          <w:spacing w:val="-8"/>
          <w:sz w:val="24"/>
          <w:szCs w:val="24"/>
        </w:rPr>
        <w:t>中</w:t>
      </w:r>
      <w:r>
        <w:rPr>
          <w:rFonts w:ascii="宋体" w:hAnsi="宋体" w:eastAsia="宋体" w:cs="宋体"/>
          <w:spacing w:val="-61"/>
          <w:sz w:val="24"/>
          <w:szCs w:val="24"/>
        </w:rPr>
        <w:t xml:space="preserve"> </w:t>
      </w:r>
      <w:r>
        <w:rPr>
          <w:rFonts w:ascii="宋体" w:hAnsi="宋体" w:eastAsia="宋体" w:cs="宋体"/>
          <w:spacing w:val="-8"/>
          <w:sz w:val="24"/>
          <w:szCs w:val="24"/>
        </w:rPr>
        <w:t>也</w:t>
      </w:r>
      <w:r>
        <w:rPr>
          <w:rFonts w:ascii="宋体" w:hAnsi="宋体" w:eastAsia="宋体" w:cs="宋体"/>
          <w:spacing w:val="-67"/>
          <w:sz w:val="24"/>
          <w:szCs w:val="24"/>
        </w:rPr>
        <w:t xml:space="preserve"> </w:t>
      </w:r>
      <w:r>
        <w:rPr>
          <w:rFonts w:ascii="宋体" w:hAnsi="宋体" w:eastAsia="宋体" w:cs="宋体"/>
          <w:spacing w:val="-8"/>
          <w:sz w:val="24"/>
          <w:szCs w:val="24"/>
        </w:rPr>
        <w:t>存</w:t>
      </w:r>
      <w:r>
        <w:rPr>
          <w:rFonts w:ascii="宋体" w:hAnsi="宋体" w:eastAsia="宋体" w:cs="宋体"/>
          <w:spacing w:val="-67"/>
          <w:sz w:val="24"/>
          <w:szCs w:val="24"/>
        </w:rPr>
        <w:t xml:space="preserve"> </w:t>
      </w:r>
      <w:r>
        <w:rPr>
          <w:rFonts w:ascii="宋体" w:hAnsi="宋体" w:eastAsia="宋体" w:cs="宋体"/>
          <w:spacing w:val="-8"/>
          <w:sz w:val="24"/>
          <w:szCs w:val="24"/>
        </w:rPr>
        <w:t>在</w:t>
      </w:r>
      <w:r>
        <w:rPr>
          <w:rFonts w:ascii="宋体" w:hAnsi="宋体" w:eastAsia="宋体" w:cs="宋体"/>
          <w:spacing w:val="-61"/>
          <w:sz w:val="24"/>
          <w:szCs w:val="24"/>
        </w:rPr>
        <w:t xml:space="preserve"> </w:t>
      </w:r>
      <w:r>
        <w:rPr>
          <w:rFonts w:ascii="宋体" w:hAnsi="宋体" w:eastAsia="宋体" w:cs="宋体"/>
          <w:spacing w:val="-8"/>
          <w:sz w:val="24"/>
          <w:szCs w:val="24"/>
        </w:rPr>
        <w:t>不</w:t>
      </w:r>
      <w:r>
        <w:rPr>
          <w:rFonts w:ascii="宋体" w:hAnsi="宋体" w:eastAsia="宋体" w:cs="宋体"/>
          <w:spacing w:val="-64"/>
          <w:sz w:val="24"/>
          <w:szCs w:val="24"/>
        </w:rPr>
        <w:t xml:space="preserve"> </w:t>
      </w:r>
      <w:r>
        <w:rPr>
          <w:rFonts w:ascii="宋体" w:hAnsi="宋体" w:eastAsia="宋体" w:cs="宋体"/>
          <w:spacing w:val="-8"/>
          <w:sz w:val="24"/>
          <w:szCs w:val="24"/>
        </w:rPr>
        <w:t>少</w:t>
      </w:r>
      <w:r>
        <w:rPr>
          <w:rFonts w:ascii="宋体" w:hAnsi="宋体" w:eastAsia="宋体" w:cs="宋体"/>
          <w:spacing w:val="-66"/>
          <w:sz w:val="24"/>
          <w:szCs w:val="24"/>
        </w:rPr>
        <w:t xml:space="preserve"> </w:t>
      </w:r>
      <w:r>
        <w:rPr>
          <w:rFonts w:ascii="宋体" w:hAnsi="宋体" w:eastAsia="宋体" w:cs="宋体"/>
          <w:spacing w:val="-8"/>
          <w:sz w:val="24"/>
          <w:szCs w:val="24"/>
        </w:rPr>
        <w:t>乔</w:t>
      </w:r>
      <w:r>
        <w:rPr>
          <w:rFonts w:ascii="宋体" w:hAnsi="宋体" w:eastAsia="宋体" w:cs="宋体"/>
          <w:spacing w:val="-64"/>
          <w:sz w:val="24"/>
          <w:szCs w:val="24"/>
        </w:rPr>
        <w:t xml:space="preserve"> </w:t>
      </w:r>
      <w:r>
        <w:rPr>
          <w:rFonts w:ascii="宋体" w:hAnsi="宋体" w:eastAsia="宋体" w:cs="宋体"/>
          <w:spacing w:val="-8"/>
          <w:sz w:val="24"/>
          <w:szCs w:val="24"/>
        </w:rPr>
        <w:t>木</w:t>
      </w:r>
      <w:r>
        <w:rPr>
          <w:rFonts w:ascii="宋体" w:hAnsi="宋体" w:eastAsia="宋体" w:cs="宋体"/>
          <w:spacing w:val="-64"/>
          <w:sz w:val="24"/>
          <w:szCs w:val="24"/>
        </w:rPr>
        <w:t xml:space="preserve"> </w:t>
      </w:r>
      <w:r>
        <w:rPr>
          <w:rFonts w:ascii="宋体" w:hAnsi="宋体" w:eastAsia="宋体" w:cs="宋体"/>
          <w:spacing w:val="-8"/>
          <w:sz w:val="24"/>
          <w:szCs w:val="24"/>
        </w:rPr>
        <w:t>幼</w:t>
      </w:r>
      <w:r>
        <w:rPr>
          <w:rFonts w:ascii="宋体" w:hAnsi="宋体" w:eastAsia="宋体" w:cs="宋体"/>
          <w:spacing w:val="-65"/>
          <w:sz w:val="24"/>
          <w:szCs w:val="24"/>
        </w:rPr>
        <w:t xml:space="preserve"> </w:t>
      </w:r>
      <w:r>
        <w:rPr>
          <w:rFonts w:ascii="宋体" w:hAnsi="宋体" w:eastAsia="宋体" w:cs="宋体"/>
          <w:spacing w:val="-8"/>
          <w:sz w:val="24"/>
          <w:szCs w:val="24"/>
        </w:rPr>
        <w:t>树</w:t>
      </w:r>
      <w:r>
        <w:rPr>
          <w:rFonts w:ascii="宋体" w:hAnsi="宋体" w:eastAsia="宋体" w:cs="宋体"/>
          <w:spacing w:val="-50"/>
          <w:sz w:val="24"/>
          <w:szCs w:val="24"/>
        </w:rPr>
        <w:t xml:space="preserve"> </w:t>
      </w:r>
      <w:r>
        <w:rPr>
          <w:rFonts w:ascii="宋体" w:hAnsi="宋体" w:eastAsia="宋体" w:cs="宋体"/>
          <w:spacing w:val="-8"/>
          <w:sz w:val="24"/>
          <w:szCs w:val="24"/>
        </w:rPr>
        <w:t>，</w:t>
      </w:r>
      <w:r>
        <w:rPr>
          <w:rFonts w:ascii="宋体" w:hAnsi="宋体" w:eastAsia="宋体" w:cs="宋体"/>
          <w:spacing w:val="-63"/>
          <w:sz w:val="24"/>
          <w:szCs w:val="24"/>
        </w:rPr>
        <w:t xml:space="preserve"> </w:t>
      </w:r>
      <w:r>
        <w:rPr>
          <w:rFonts w:ascii="宋体" w:hAnsi="宋体" w:eastAsia="宋体" w:cs="宋体"/>
          <w:spacing w:val="-8"/>
          <w:sz w:val="24"/>
          <w:szCs w:val="24"/>
        </w:rPr>
        <w:t>如</w:t>
      </w:r>
      <w:r>
        <w:rPr>
          <w:rFonts w:ascii="宋体" w:hAnsi="宋体" w:eastAsia="宋体" w:cs="宋体"/>
          <w:spacing w:val="-65"/>
          <w:sz w:val="24"/>
          <w:szCs w:val="24"/>
        </w:rPr>
        <w:t xml:space="preserve"> </w:t>
      </w:r>
      <w:r>
        <w:rPr>
          <w:rFonts w:ascii="宋体" w:hAnsi="宋体" w:eastAsia="宋体" w:cs="宋体"/>
          <w:spacing w:val="-8"/>
          <w:sz w:val="24"/>
          <w:szCs w:val="24"/>
        </w:rPr>
        <w:t>滇</w:t>
      </w:r>
      <w:r>
        <w:rPr>
          <w:rFonts w:ascii="宋体" w:hAnsi="宋体" w:eastAsia="宋体" w:cs="宋体"/>
          <w:spacing w:val="-65"/>
          <w:sz w:val="24"/>
          <w:szCs w:val="24"/>
        </w:rPr>
        <w:t xml:space="preserve"> </w:t>
      </w:r>
      <w:r>
        <w:rPr>
          <w:rFonts w:ascii="宋体" w:hAnsi="宋体" w:eastAsia="宋体" w:cs="宋体"/>
          <w:spacing w:val="-8"/>
          <w:sz w:val="24"/>
          <w:szCs w:val="24"/>
        </w:rPr>
        <w:t>青</w:t>
      </w:r>
      <w:r>
        <w:rPr>
          <w:rFonts w:ascii="宋体" w:hAnsi="宋体" w:eastAsia="宋体" w:cs="宋体"/>
          <w:spacing w:val="-38"/>
          <w:sz w:val="24"/>
          <w:szCs w:val="24"/>
        </w:rPr>
        <w:t xml:space="preserve"> </w:t>
      </w:r>
      <w:r>
        <w:rPr>
          <w:rFonts w:ascii="宋体" w:hAnsi="宋体" w:eastAsia="宋体" w:cs="宋体"/>
          <w:spacing w:val="-8"/>
          <w:sz w:val="24"/>
          <w:szCs w:val="24"/>
        </w:rPr>
        <w:t xml:space="preserve">冈  </w:t>
      </w:r>
      <w:r>
        <w:rPr>
          <w:rFonts w:ascii="Times New Roman" w:hAnsi="Times New Roman" w:eastAsia="Times New Roman" w:cs="Times New Roman"/>
          <w:i/>
          <w:iCs/>
          <w:spacing w:val="-3"/>
          <w:sz w:val="24"/>
          <w:szCs w:val="24"/>
        </w:rPr>
        <w:t>Cyclobalanopsis</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3"/>
          <w:sz w:val="24"/>
          <w:szCs w:val="24"/>
        </w:rPr>
        <w:t>glaucoides</w:t>
      </w:r>
      <w:r>
        <w:rPr>
          <w:rFonts w:ascii="宋体" w:hAnsi="宋体" w:eastAsia="宋体" w:cs="宋体"/>
          <w:spacing w:val="-3"/>
          <w:sz w:val="24"/>
          <w:szCs w:val="24"/>
        </w:rPr>
        <w:t>、云南松</w:t>
      </w:r>
      <w:r>
        <w:rPr>
          <w:rFonts w:ascii="宋体" w:hAnsi="宋体" w:eastAsia="宋体" w:cs="宋体"/>
          <w:spacing w:val="-66"/>
          <w:sz w:val="24"/>
          <w:szCs w:val="24"/>
        </w:rPr>
        <w:t xml:space="preserve"> </w:t>
      </w:r>
      <w:r>
        <w:rPr>
          <w:rFonts w:ascii="Times New Roman" w:hAnsi="Times New Roman" w:eastAsia="Times New Roman" w:cs="Times New Roman"/>
          <w:i/>
          <w:iCs/>
          <w:spacing w:val="-3"/>
          <w:sz w:val="24"/>
          <w:szCs w:val="24"/>
        </w:rPr>
        <w:t>Pinus</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pacing w:val="-3"/>
          <w:sz w:val="24"/>
          <w:szCs w:val="24"/>
        </w:rPr>
        <w:t>yunnanensis</w:t>
      </w:r>
      <w:r>
        <w:rPr>
          <w:rFonts w:ascii="宋体" w:hAnsi="宋体" w:eastAsia="宋体" w:cs="宋体"/>
          <w:spacing w:val="-3"/>
          <w:sz w:val="24"/>
          <w:szCs w:val="24"/>
        </w:rPr>
        <w:t>、高山锥</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Castanop</w:t>
      </w:r>
      <w:r>
        <w:rPr>
          <w:rFonts w:ascii="Times New Roman" w:hAnsi="Times New Roman" w:eastAsia="Times New Roman" w:cs="Times New Roman"/>
          <w:i/>
          <w:iCs/>
          <w:spacing w:val="-4"/>
          <w:sz w:val="24"/>
          <w:szCs w:val="24"/>
        </w:rPr>
        <w:t>sis delavayi</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8"/>
          <w:sz w:val="24"/>
          <w:szCs w:val="24"/>
        </w:rPr>
        <w:t>白柯</w:t>
      </w:r>
      <w:r>
        <w:rPr>
          <w:rFonts w:ascii="宋体" w:hAnsi="宋体" w:eastAsia="宋体" w:cs="宋体"/>
          <w:spacing w:val="-59"/>
          <w:sz w:val="24"/>
          <w:szCs w:val="24"/>
        </w:rPr>
        <w:t xml:space="preserve"> </w:t>
      </w:r>
      <w:r>
        <w:rPr>
          <w:rFonts w:ascii="Times New Roman" w:hAnsi="Times New Roman" w:eastAsia="Times New Roman" w:cs="Times New Roman"/>
          <w:i/>
          <w:iCs/>
          <w:sz w:val="24"/>
          <w:szCs w:val="24"/>
        </w:rPr>
        <w:t>Lithocarpus</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z w:val="24"/>
          <w:szCs w:val="24"/>
        </w:rPr>
        <w:t>dealbatus</w:t>
      </w:r>
      <w:r>
        <w:rPr>
          <w:rFonts w:ascii="Times New Roman" w:hAnsi="Times New Roman" w:eastAsia="Times New Roman" w:cs="Times New Roman"/>
          <w:i/>
          <w:iCs/>
          <w:spacing w:val="-33"/>
          <w:sz w:val="24"/>
          <w:szCs w:val="24"/>
        </w:rPr>
        <w:t xml:space="preserve"> </w:t>
      </w:r>
      <w:r>
        <w:rPr>
          <w:rFonts w:ascii="宋体" w:hAnsi="宋体" w:eastAsia="宋体" w:cs="宋体"/>
          <w:spacing w:val="8"/>
          <w:sz w:val="24"/>
          <w:szCs w:val="24"/>
        </w:rPr>
        <w:t>、川梨</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Pyruspashia</w:t>
      </w:r>
      <w:r>
        <w:rPr>
          <w:rFonts w:ascii="Times New Roman" w:hAnsi="Times New Roman" w:eastAsia="Times New Roman" w:cs="Times New Roman"/>
          <w:i/>
          <w:iCs/>
          <w:spacing w:val="-34"/>
          <w:sz w:val="24"/>
          <w:szCs w:val="24"/>
        </w:rPr>
        <w:t xml:space="preserve"> </w:t>
      </w:r>
      <w:r>
        <w:rPr>
          <w:rFonts w:ascii="宋体" w:hAnsi="宋体" w:eastAsia="宋体" w:cs="宋体"/>
          <w:spacing w:val="8"/>
          <w:sz w:val="24"/>
          <w:szCs w:val="24"/>
        </w:rPr>
        <w:t>、清香木</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Pistacia</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z w:val="24"/>
          <w:szCs w:val="24"/>
        </w:rPr>
        <w:t>weinmannifolia</w:t>
      </w:r>
      <w:r>
        <w:rPr>
          <w:rFonts w:ascii="Times New Roman" w:hAnsi="Times New Roman" w:eastAsia="Times New Roman" w:cs="Times New Roman"/>
          <w:i/>
          <w:iCs/>
          <w:spacing w:val="-34"/>
          <w:sz w:val="24"/>
          <w:szCs w:val="24"/>
        </w:rPr>
        <w:t xml:space="preserve"> </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10"/>
          <w:sz w:val="24"/>
          <w:szCs w:val="24"/>
        </w:rPr>
        <w:t xml:space="preserve">云南油杉 </w:t>
      </w:r>
      <w:r>
        <w:rPr>
          <w:rFonts w:ascii="Times New Roman" w:hAnsi="Times New Roman" w:eastAsia="Times New Roman" w:cs="Times New Roman"/>
          <w:i/>
          <w:iCs/>
          <w:sz w:val="24"/>
          <w:szCs w:val="24"/>
        </w:rPr>
        <w:t>Keteleeria</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evelyniana</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 xml:space="preserve">、滇杨 </w:t>
      </w:r>
      <w:r>
        <w:rPr>
          <w:rFonts w:ascii="Times New Roman" w:hAnsi="Times New Roman" w:eastAsia="Times New Roman" w:cs="Times New Roman"/>
          <w:i/>
          <w:iCs/>
          <w:sz w:val="24"/>
          <w:szCs w:val="24"/>
        </w:rPr>
        <w:t>Populus</w:t>
      </w:r>
      <w:r>
        <w:rPr>
          <w:rFonts w:ascii="Times New Roman" w:hAnsi="Times New Roman" w:eastAsia="Times New Roman" w:cs="Times New Roman"/>
          <w:i/>
          <w:iCs/>
          <w:spacing w:val="29"/>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11"/>
          <w:sz w:val="24"/>
          <w:szCs w:val="24"/>
        </w:rPr>
        <w:t xml:space="preserve"> </w:t>
      </w:r>
      <w:r>
        <w:rPr>
          <w:rFonts w:ascii="宋体" w:hAnsi="宋体" w:eastAsia="宋体" w:cs="宋体"/>
          <w:spacing w:val="10"/>
          <w:sz w:val="24"/>
          <w:szCs w:val="24"/>
        </w:rPr>
        <w:t xml:space="preserve">、栓皮栎 </w:t>
      </w:r>
      <w:r>
        <w:rPr>
          <w:rFonts w:ascii="Times New Roman" w:hAnsi="Times New Roman" w:eastAsia="Times New Roman" w:cs="Times New Roman"/>
          <w:i/>
          <w:iCs/>
          <w:sz w:val="24"/>
          <w:szCs w:val="24"/>
        </w:rPr>
        <w:t>Quercus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pacing w:val="-1"/>
          <w:sz w:val="24"/>
          <w:szCs w:val="24"/>
        </w:rPr>
        <w:t>variabilis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、西南木荷</w:t>
      </w:r>
      <w:r>
        <w:rPr>
          <w:rFonts w:ascii="宋体" w:hAnsi="宋体" w:eastAsia="宋体" w:cs="宋体"/>
          <w:spacing w:val="-58"/>
          <w:sz w:val="24"/>
          <w:szCs w:val="24"/>
        </w:rPr>
        <w:t xml:space="preserve"> </w:t>
      </w:r>
      <w:r>
        <w:rPr>
          <w:rFonts w:ascii="Times New Roman" w:hAnsi="Times New Roman" w:eastAsia="Times New Roman" w:cs="Times New Roman"/>
          <w:i/>
          <w:iCs/>
          <w:spacing w:val="-1"/>
          <w:sz w:val="24"/>
          <w:szCs w:val="24"/>
        </w:rPr>
        <w:t>Schima wallichii</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、红叶木姜子</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Litsea rubescens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、尼泊尔桤木</w:t>
      </w:r>
    </w:p>
    <w:p>
      <w:pPr>
        <w:spacing w:line="212" w:lineRule="auto"/>
        <w:ind w:left="30"/>
        <w:rPr>
          <w:rFonts w:ascii="宋体" w:hAnsi="宋体" w:eastAsia="宋体" w:cs="宋体"/>
          <w:sz w:val="24"/>
          <w:szCs w:val="24"/>
        </w:rPr>
      </w:pPr>
      <w:r>
        <w:rPr>
          <w:rFonts w:ascii="Times New Roman" w:hAnsi="Times New Roman" w:eastAsia="Times New Roman" w:cs="Times New Roman"/>
          <w:i/>
          <w:iCs/>
          <w:spacing w:val="-2"/>
          <w:sz w:val="24"/>
          <w:szCs w:val="24"/>
        </w:rPr>
        <w:t>Alnus nepalensis</w:t>
      </w:r>
      <w:r>
        <w:rPr>
          <w:rFonts w:ascii="宋体" w:hAnsi="宋体" w:eastAsia="宋体" w:cs="宋体"/>
          <w:spacing w:val="-2"/>
          <w:sz w:val="24"/>
          <w:szCs w:val="24"/>
        </w:rPr>
        <w:t>、滇润楠</w:t>
      </w:r>
      <w:r>
        <w:rPr>
          <w:rFonts w:ascii="宋体" w:hAnsi="宋体" w:eastAsia="宋体" w:cs="宋体"/>
          <w:spacing w:val="-68"/>
          <w:sz w:val="24"/>
          <w:szCs w:val="24"/>
        </w:rPr>
        <w:t xml:space="preserve"> </w:t>
      </w:r>
      <w:r>
        <w:rPr>
          <w:rFonts w:ascii="Times New Roman" w:hAnsi="Times New Roman" w:eastAsia="Times New Roman" w:cs="Times New Roman"/>
          <w:i/>
          <w:iCs/>
          <w:spacing w:val="-2"/>
          <w:sz w:val="24"/>
          <w:szCs w:val="24"/>
        </w:rPr>
        <w:t>Machilus</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2"/>
          <w:sz w:val="24"/>
          <w:szCs w:val="24"/>
        </w:rPr>
        <w:t>yunnanen</w:t>
      </w:r>
      <w:r>
        <w:rPr>
          <w:rFonts w:ascii="Times New Roman" w:hAnsi="Times New Roman" w:eastAsia="Times New Roman" w:cs="Times New Roman"/>
          <w:i/>
          <w:iCs/>
          <w:spacing w:val="-3"/>
          <w:sz w:val="24"/>
          <w:szCs w:val="24"/>
        </w:rPr>
        <w:t xml:space="preserve">sis </w:t>
      </w:r>
      <w:r>
        <w:rPr>
          <w:rFonts w:ascii="宋体" w:hAnsi="宋体" w:eastAsia="宋体" w:cs="宋体"/>
          <w:spacing w:val="-3"/>
          <w:sz w:val="24"/>
          <w:szCs w:val="24"/>
        </w:rPr>
        <w:t>等，很多是当地的阳性次生种类，</w:t>
      </w:r>
    </w:p>
    <w:p>
      <w:pPr>
        <w:spacing w:before="192" w:line="219" w:lineRule="auto"/>
        <w:ind w:left="49"/>
        <w:rPr>
          <w:rFonts w:ascii="宋体" w:hAnsi="宋体" w:eastAsia="宋体" w:cs="宋体"/>
          <w:sz w:val="24"/>
          <w:szCs w:val="24"/>
        </w:rPr>
      </w:pPr>
      <w:r>
        <w:rPr>
          <w:rFonts w:ascii="宋体" w:hAnsi="宋体" w:eastAsia="宋体" w:cs="宋体"/>
          <w:spacing w:val="-4"/>
          <w:sz w:val="24"/>
          <w:szCs w:val="24"/>
        </w:rPr>
        <w:t>表明群落具有偏干性质。</w:t>
      </w:r>
    </w:p>
    <w:p>
      <w:pPr>
        <w:spacing w:before="184" w:line="360" w:lineRule="auto"/>
        <w:ind w:left="43" w:right="206" w:firstLine="489"/>
        <w:rPr>
          <w:rFonts w:ascii="宋体" w:hAnsi="宋体" w:eastAsia="宋体" w:cs="宋体"/>
          <w:sz w:val="24"/>
          <w:szCs w:val="24"/>
        </w:rPr>
      </w:pPr>
      <w:r>
        <w:rPr>
          <w:rFonts w:ascii="宋体" w:hAnsi="宋体" w:eastAsia="宋体" w:cs="宋体"/>
          <w:spacing w:val="-17"/>
          <w:sz w:val="24"/>
          <w:szCs w:val="24"/>
        </w:rPr>
        <w:t>草本层很发达， 林下覆盖度很大，</w:t>
      </w:r>
      <w:r>
        <w:rPr>
          <w:rFonts w:ascii="宋体" w:hAnsi="宋体" w:eastAsia="宋体" w:cs="宋体"/>
          <w:spacing w:val="43"/>
          <w:sz w:val="24"/>
          <w:szCs w:val="24"/>
        </w:rPr>
        <w:t xml:space="preserve"> </w:t>
      </w:r>
      <w:r>
        <w:rPr>
          <w:rFonts w:ascii="宋体" w:hAnsi="宋体" w:eastAsia="宋体" w:cs="宋体"/>
          <w:spacing w:val="-17"/>
          <w:sz w:val="24"/>
          <w:szCs w:val="24"/>
        </w:rPr>
        <w:t>层盖度可达</w:t>
      </w:r>
      <w:r>
        <w:rPr>
          <w:rFonts w:ascii="宋体" w:hAnsi="宋体" w:eastAsia="宋体" w:cs="宋体"/>
          <w:spacing w:val="-45"/>
          <w:sz w:val="24"/>
          <w:szCs w:val="24"/>
        </w:rPr>
        <w:t xml:space="preserve"> </w:t>
      </w:r>
      <w:r>
        <w:rPr>
          <w:rFonts w:ascii="Times New Roman" w:hAnsi="Times New Roman" w:eastAsia="Times New Roman" w:cs="Times New Roman"/>
          <w:spacing w:val="-17"/>
          <w:sz w:val="24"/>
          <w:szCs w:val="24"/>
        </w:rPr>
        <w:t>80%</w:t>
      </w:r>
      <w:r>
        <w:rPr>
          <w:rFonts w:ascii="宋体" w:hAnsi="宋体" w:eastAsia="宋体" w:cs="宋体"/>
          <w:spacing w:val="-17"/>
          <w:sz w:val="24"/>
          <w:szCs w:val="24"/>
        </w:rPr>
        <w:t>以上，种类较为简单，</w:t>
      </w:r>
      <w:r>
        <w:rPr>
          <w:rFonts w:ascii="宋体" w:hAnsi="宋体" w:eastAsia="宋体" w:cs="宋体"/>
          <w:spacing w:val="50"/>
          <w:sz w:val="24"/>
          <w:szCs w:val="24"/>
        </w:rPr>
        <w:t xml:space="preserve"> </w:t>
      </w:r>
      <w:r>
        <w:rPr>
          <w:rFonts w:ascii="宋体" w:hAnsi="宋体" w:eastAsia="宋体" w:cs="宋体"/>
          <w:spacing w:val="-17"/>
          <w:sz w:val="24"/>
          <w:szCs w:val="24"/>
        </w:rPr>
        <w:t>阳</w:t>
      </w:r>
      <w:r>
        <w:rPr>
          <w:rFonts w:ascii="宋体" w:hAnsi="宋体" w:eastAsia="宋体" w:cs="宋体"/>
          <w:sz w:val="24"/>
          <w:szCs w:val="24"/>
        </w:rPr>
        <w:t xml:space="preserve"> </w:t>
      </w:r>
      <w:r>
        <w:rPr>
          <w:rFonts w:ascii="宋体" w:hAnsi="宋体" w:eastAsia="宋体" w:cs="宋体"/>
          <w:spacing w:val="27"/>
          <w:sz w:val="24"/>
          <w:szCs w:val="24"/>
        </w:rPr>
        <w:t>生物种较多。常见的草本种类如下：黄</w:t>
      </w:r>
      <w:r>
        <w:rPr>
          <w:rFonts w:ascii="宋体" w:hAnsi="宋体" w:eastAsia="宋体" w:cs="宋体"/>
          <w:spacing w:val="-58"/>
          <w:sz w:val="24"/>
          <w:szCs w:val="24"/>
        </w:rPr>
        <w:t xml:space="preserve"> </w:t>
      </w:r>
      <w:r>
        <w:rPr>
          <w:rFonts w:ascii="宋体" w:hAnsi="宋体" w:eastAsia="宋体" w:cs="宋体"/>
          <w:spacing w:val="27"/>
          <w:sz w:val="24"/>
          <w:szCs w:val="24"/>
        </w:rPr>
        <w:t xml:space="preserve">茅 </w:t>
      </w:r>
      <w:r>
        <w:rPr>
          <w:rFonts w:ascii="Times New Roman" w:hAnsi="Times New Roman" w:eastAsia="Times New Roman" w:cs="Times New Roman"/>
          <w:i/>
          <w:iCs/>
          <w:sz w:val="24"/>
          <w:szCs w:val="24"/>
        </w:rPr>
        <w:t>Heteropogon</w:t>
      </w:r>
      <w:r>
        <w:rPr>
          <w:rFonts w:ascii="Times New Roman" w:hAnsi="Times New Roman" w:eastAsia="Times New Roman" w:cs="Times New Roman"/>
          <w:i/>
          <w:iCs/>
          <w:spacing w:val="27"/>
          <w:sz w:val="24"/>
          <w:szCs w:val="24"/>
        </w:rPr>
        <w:t xml:space="preserve">  </w:t>
      </w:r>
      <w:r>
        <w:rPr>
          <w:rFonts w:ascii="Times New Roman" w:hAnsi="Times New Roman" w:eastAsia="Times New Roman" w:cs="Times New Roman"/>
          <w:i/>
          <w:iCs/>
          <w:sz w:val="24"/>
          <w:szCs w:val="24"/>
        </w:rPr>
        <w:t>contortus</w:t>
      </w:r>
      <w:r>
        <w:rPr>
          <w:rFonts w:ascii="Times New Roman" w:hAnsi="Times New Roman" w:eastAsia="Times New Roman" w:cs="Times New Roman"/>
          <w:i/>
          <w:iCs/>
          <w:spacing w:val="27"/>
          <w:sz w:val="24"/>
          <w:szCs w:val="24"/>
        </w:rPr>
        <w:t xml:space="preserve"> </w:t>
      </w:r>
      <w:r>
        <w:rPr>
          <w:rFonts w:ascii="宋体" w:hAnsi="宋体" w:eastAsia="宋体" w:cs="宋体"/>
          <w:spacing w:val="27"/>
          <w:sz w:val="24"/>
          <w:szCs w:val="24"/>
        </w:rPr>
        <w:t>、</w:t>
      </w:r>
      <w:r>
        <w:rPr>
          <w:rFonts w:ascii="宋体" w:hAnsi="宋体" w:eastAsia="宋体" w:cs="宋体"/>
          <w:spacing w:val="-67"/>
          <w:sz w:val="24"/>
          <w:szCs w:val="24"/>
        </w:rPr>
        <w:t xml:space="preserve"> </w:t>
      </w:r>
      <w:r>
        <w:rPr>
          <w:rFonts w:ascii="宋体" w:hAnsi="宋体" w:eastAsia="宋体" w:cs="宋体"/>
          <w:spacing w:val="27"/>
          <w:sz w:val="24"/>
          <w:szCs w:val="24"/>
        </w:rPr>
        <w:t>旱茅</w:t>
      </w:r>
      <w:r>
        <w:rPr>
          <w:rFonts w:ascii="宋体" w:hAnsi="宋体" w:eastAsia="宋体" w:cs="宋体"/>
          <w:sz w:val="24"/>
          <w:szCs w:val="24"/>
        </w:rPr>
        <w:t xml:space="preserve"> </w:t>
      </w:r>
      <w:r>
        <w:rPr>
          <w:rFonts w:ascii="Times New Roman" w:hAnsi="Times New Roman" w:eastAsia="Times New Roman" w:cs="Times New Roman"/>
          <w:i/>
          <w:iCs/>
          <w:sz w:val="24"/>
          <w:szCs w:val="24"/>
        </w:rPr>
        <w:t>Schizachyrium</w:t>
      </w:r>
      <w:r>
        <w:rPr>
          <w:rFonts w:ascii="Times New Roman" w:hAnsi="Times New Roman" w:eastAsia="Times New Roman" w:cs="Times New Roman"/>
          <w:i/>
          <w:iCs/>
          <w:spacing w:val="71"/>
          <w:sz w:val="24"/>
          <w:szCs w:val="24"/>
        </w:rPr>
        <w:t xml:space="preserve"> </w:t>
      </w:r>
      <w:r>
        <w:rPr>
          <w:rFonts w:ascii="Times New Roman" w:hAnsi="Times New Roman" w:eastAsia="Times New Roman" w:cs="Times New Roman"/>
          <w:i/>
          <w:iCs/>
          <w:sz w:val="24"/>
          <w:szCs w:val="24"/>
        </w:rPr>
        <w:t>delavayi</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 xml:space="preserve">、蔗茅 </w:t>
      </w:r>
      <w:r>
        <w:rPr>
          <w:rFonts w:ascii="Times New Roman" w:hAnsi="Times New Roman" w:eastAsia="Times New Roman" w:cs="Times New Roman"/>
          <w:i/>
          <w:iCs/>
          <w:sz w:val="24"/>
          <w:szCs w:val="24"/>
        </w:rPr>
        <w:t>Erianthus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rufipilus</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 xml:space="preserve">、孟加拉野古草 </w:t>
      </w:r>
      <w:r>
        <w:rPr>
          <w:rFonts w:ascii="Times New Roman" w:hAnsi="Times New Roman" w:eastAsia="Times New Roman" w:cs="Times New Roman"/>
          <w:i/>
          <w:iCs/>
          <w:sz w:val="24"/>
          <w:szCs w:val="24"/>
        </w:rPr>
        <w:t xml:space="preserve">Arundinella </w:t>
      </w:r>
      <w:r>
        <w:rPr>
          <w:rFonts w:ascii="Times New Roman" w:hAnsi="Times New Roman" w:eastAsia="Times New Roman" w:cs="Times New Roman"/>
          <w:i/>
          <w:iCs/>
          <w:spacing w:val="-1"/>
          <w:sz w:val="24"/>
          <w:szCs w:val="24"/>
        </w:rPr>
        <w:t>bengalensis</w:t>
      </w:r>
      <w:r>
        <w:rPr>
          <w:rFonts w:ascii="宋体" w:hAnsi="宋体" w:eastAsia="宋体" w:cs="宋体"/>
          <w:spacing w:val="-1"/>
          <w:sz w:val="24"/>
          <w:szCs w:val="24"/>
        </w:rPr>
        <w:t>、阿拉伯黄背草</w:t>
      </w:r>
      <w:r>
        <w:rPr>
          <w:rFonts w:ascii="宋体" w:hAnsi="宋体" w:eastAsia="宋体" w:cs="宋体"/>
          <w:spacing w:val="-43"/>
          <w:sz w:val="24"/>
          <w:szCs w:val="24"/>
        </w:rPr>
        <w:t xml:space="preserve"> </w:t>
      </w:r>
      <w:r>
        <w:rPr>
          <w:rFonts w:ascii="Times New Roman" w:hAnsi="Times New Roman" w:eastAsia="Times New Roman" w:cs="Times New Roman"/>
          <w:i/>
          <w:iCs/>
          <w:spacing w:val="-1"/>
          <w:sz w:val="24"/>
          <w:szCs w:val="24"/>
        </w:rPr>
        <w:t>Themeda tria</w:t>
      </w:r>
      <w:r>
        <w:rPr>
          <w:rFonts w:ascii="Times New Roman" w:hAnsi="Times New Roman" w:eastAsia="Times New Roman" w:cs="Times New Roman"/>
          <w:i/>
          <w:iCs/>
          <w:spacing w:val="-2"/>
          <w:sz w:val="24"/>
          <w:szCs w:val="24"/>
        </w:rPr>
        <w:t>ndra</w:t>
      </w:r>
      <w:r>
        <w:rPr>
          <w:rFonts w:ascii="宋体" w:hAnsi="宋体" w:eastAsia="宋体" w:cs="宋体"/>
          <w:spacing w:val="-2"/>
          <w:sz w:val="24"/>
          <w:szCs w:val="24"/>
        </w:rPr>
        <w:t>、知风草</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Eragrostis</w:t>
      </w:r>
      <w:r>
        <w:rPr>
          <w:rFonts w:ascii="Times New Roman" w:hAnsi="Times New Roman" w:eastAsia="Times New Roman" w:cs="Times New Roman"/>
          <w:i/>
          <w:iCs/>
          <w:spacing w:val="-57"/>
          <w:sz w:val="24"/>
          <w:szCs w:val="24"/>
        </w:rPr>
        <w:t xml:space="preserve"> </w:t>
      </w:r>
      <w:r>
        <w:rPr>
          <w:rFonts w:ascii="Times New Roman" w:hAnsi="Times New Roman" w:eastAsia="Times New Roman" w:cs="Times New Roman"/>
          <w:i/>
          <w:iCs/>
          <w:spacing w:val="-2"/>
          <w:sz w:val="24"/>
          <w:szCs w:val="24"/>
        </w:rPr>
        <w:t>ferruginea</w:t>
      </w:r>
      <w:r>
        <w:rPr>
          <w:rFonts w:ascii="宋体" w:hAnsi="宋体" w:eastAsia="宋体" w:cs="宋体"/>
          <w:spacing w:val="-2"/>
          <w:sz w:val="24"/>
          <w:szCs w:val="24"/>
        </w:rPr>
        <w:t>、华北</w:t>
      </w:r>
    </w:p>
    <w:p>
      <w:pPr>
        <w:spacing w:line="212" w:lineRule="auto"/>
        <w:ind w:left="51"/>
        <w:rPr>
          <w:rFonts w:ascii="宋体" w:hAnsi="宋体" w:eastAsia="宋体" w:cs="宋体"/>
          <w:sz w:val="24"/>
          <w:szCs w:val="24"/>
        </w:rPr>
      </w:pPr>
      <w:r>
        <w:rPr>
          <w:rFonts w:ascii="宋体" w:hAnsi="宋体" w:eastAsia="宋体" w:cs="宋体"/>
          <w:sz w:val="24"/>
          <w:szCs w:val="24"/>
        </w:rPr>
        <w:t>剪股颖</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Agrostis</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z w:val="24"/>
          <w:szCs w:val="24"/>
        </w:rPr>
        <w:t>clavata</w:t>
      </w:r>
      <w:r>
        <w:rPr>
          <w:rFonts w:ascii="Times New Roman" w:hAnsi="Times New Roman" w:eastAsia="Times New Roman" w:cs="Times New Roman"/>
          <w:i/>
          <w:iCs/>
          <w:spacing w:val="-35"/>
          <w:sz w:val="24"/>
          <w:szCs w:val="24"/>
        </w:rPr>
        <w:t xml:space="preserve"> </w:t>
      </w:r>
      <w:r>
        <w:rPr>
          <w:rFonts w:ascii="宋体" w:hAnsi="宋体" w:eastAsia="宋体" w:cs="宋体"/>
          <w:sz w:val="24"/>
          <w:szCs w:val="24"/>
        </w:rPr>
        <w:t>、白健秆</w:t>
      </w:r>
      <w:r>
        <w:rPr>
          <w:rFonts w:ascii="宋体" w:hAnsi="宋体" w:eastAsia="宋体" w:cs="宋体"/>
          <w:spacing w:val="-64"/>
          <w:sz w:val="24"/>
          <w:szCs w:val="24"/>
        </w:rPr>
        <w:t xml:space="preserve"> </w:t>
      </w:r>
      <w:r>
        <w:rPr>
          <w:rFonts w:ascii="Times New Roman" w:hAnsi="Times New Roman" w:eastAsia="Times New Roman" w:cs="Times New Roman"/>
          <w:i/>
          <w:iCs/>
          <w:sz w:val="24"/>
          <w:szCs w:val="24"/>
        </w:rPr>
        <w:t>Eulalia palle</w:t>
      </w:r>
      <w:r>
        <w:rPr>
          <w:rFonts w:ascii="Times New Roman" w:hAnsi="Times New Roman" w:eastAsia="Times New Roman" w:cs="Times New Roman"/>
          <w:i/>
          <w:iCs/>
          <w:spacing w:val="-1"/>
          <w:sz w:val="24"/>
          <w:szCs w:val="24"/>
        </w:rPr>
        <w:t>ns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、荩草</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Arthraxon</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pacing w:val="-1"/>
          <w:sz w:val="24"/>
          <w:szCs w:val="24"/>
        </w:rPr>
        <w:t xml:space="preserve">hispidus </w:t>
      </w:r>
      <w:r>
        <w:rPr>
          <w:rFonts w:ascii="宋体" w:hAnsi="宋体" w:eastAsia="宋体" w:cs="宋体"/>
          <w:spacing w:val="-1"/>
          <w:sz w:val="24"/>
          <w:szCs w:val="24"/>
        </w:rPr>
        <w:t>等禾本</w:t>
      </w:r>
    </w:p>
    <w:p>
      <w:pPr>
        <w:spacing w:line="212" w:lineRule="auto"/>
        <w:rPr>
          <w:rFonts w:ascii="宋体" w:hAnsi="宋体" w:eastAsia="宋体" w:cs="宋体"/>
          <w:sz w:val="24"/>
          <w:szCs w:val="24"/>
        </w:rPr>
        <w:sectPr>
          <w:headerReference r:id="rId254" w:type="default"/>
          <w:footerReference r:id="rId255" w:type="default"/>
          <w:pgSz w:w="11907" w:h="16839"/>
          <w:pgMar w:top="1156" w:right="1592" w:bottom="1374" w:left="1758" w:header="881" w:footer="1210" w:gutter="0"/>
        </w:sectPr>
      </w:pPr>
    </w:p>
    <w:p>
      <w:pPr>
        <w:spacing w:line="317" w:lineRule="auto"/>
        <w:rPr>
          <w:rFonts w:ascii="Arial"/>
          <w:sz w:val="21"/>
        </w:rPr>
      </w:pPr>
    </w:p>
    <w:p>
      <w:pPr>
        <w:spacing w:before="78" w:line="360" w:lineRule="auto"/>
        <w:ind w:firstLine="50"/>
        <w:jc w:val="both"/>
        <w:rPr>
          <w:rFonts w:ascii="宋体" w:hAnsi="宋体" w:eastAsia="宋体" w:cs="宋体"/>
          <w:sz w:val="24"/>
          <w:szCs w:val="24"/>
        </w:rPr>
      </w:pPr>
      <w:r>
        <w:rPr>
          <w:rFonts w:ascii="宋体" w:hAnsi="宋体" w:eastAsia="宋体" w:cs="宋体"/>
          <w:spacing w:val="10"/>
          <w:sz w:val="24"/>
          <w:szCs w:val="24"/>
        </w:rPr>
        <w:t>科较为繁盛，</w:t>
      </w:r>
      <w:r>
        <w:rPr>
          <w:rFonts w:ascii="宋体" w:hAnsi="宋体" w:eastAsia="宋体" w:cs="宋体"/>
          <w:spacing w:val="-49"/>
          <w:sz w:val="24"/>
          <w:szCs w:val="24"/>
        </w:rPr>
        <w:t xml:space="preserve"> </w:t>
      </w:r>
      <w:r>
        <w:rPr>
          <w:rFonts w:ascii="宋体" w:hAnsi="宋体" w:eastAsia="宋体" w:cs="宋体"/>
          <w:spacing w:val="10"/>
          <w:sz w:val="24"/>
          <w:szCs w:val="24"/>
        </w:rPr>
        <w:t xml:space="preserve">其他伴生种有破坏草 </w:t>
      </w:r>
      <w:r>
        <w:rPr>
          <w:rFonts w:ascii="Times New Roman" w:hAnsi="Times New Roman" w:eastAsia="Times New Roman" w:cs="Times New Roman"/>
          <w:i/>
          <w:iCs/>
          <w:sz w:val="24"/>
          <w:szCs w:val="24"/>
        </w:rPr>
        <w:t>Ageratina</w:t>
      </w:r>
      <w:r>
        <w:rPr>
          <w:rFonts w:ascii="Times New Roman" w:hAnsi="Times New Roman" w:eastAsia="Times New Roman" w:cs="Times New Roman"/>
          <w:i/>
          <w:iCs/>
          <w:spacing w:val="56"/>
          <w:sz w:val="24"/>
          <w:szCs w:val="24"/>
        </w:rPr>
        <w:t xml:space="preserve"> </w:t>
      </w:r>
      <w:r>
        <w:rPr>
          <w:rFonts w:ascii="Times New Roman" w:hAnsi="Times New Roman" w:eastAsia="Times New Roman" w:cs="Times New Roman"/>
          <w:i/>
          <w:iCs/>
          <w:sz w:val="24"/>
          <w:szCs w:val="24"/>
        </w:rPr>
        <w:t>adenophora</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、马鞭草</w:t>
      </w:r>
      <w:r>
        <w:rPr>
          <w:rFonts w:ascii="宋体" w:hAnsi="宋体" w:eastAsia="宋体" w:cs="宋体"/>
          <w:spacing w:val="52"/>
          <w:sz w:val="24"/>
          <w:szCs w:val="24"/>
        </w:rPr>
        <w:t xml:space="preserve"> </w:t>
      </w:r>
      <w:r>
        <w:rPr>
          <w:rFonts w:ascii="Times New Roman" w:hAnsi="Times New Roman" w:eastAsia="Times New Roman" w:cs="Times New Roman"/>
          <w:i/>
          <w:iCs/>
          <w:sz w:val="24"/>
          <w:szCs w:val="24"/>
        </w:rPr>
        <w:t>Verbena</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pacing w:val="-2"/>
          <w:sz w:val="24"/>
          <w:szCs w:val="24"/>
        </w:rPr>
        <w:t>officinalis</w:t>
      </w:r>
      <w:r>
        <w:rPr>
          <w:rFonts w:ascii="宋体" w:hAnsi="宋体" w:eastAsia="宋体" w:cs="宋体"/>
          <w:spacing w:val="-2"/>
          <w:sz w:val="24"/>
          <w:szCs w:val="24"/>
        </w:rPr>
        <w:t>、黄龙尾</w:t>
      </w:r>
      <w:r>
        <w:rPr>
          <w:rFonts w:ascii="宋体" w:hAnsi="宋体" w:eastAsia="宋体" w:cs="宋体"/>
          <w:spacing w:val="-72"/>
          <w:sz w:val="24"/>
          <w:szCs w:val="24"/>
        </w:rPr>
        <w:t xml:space="preserve"> </w:t>
      </w:r>
      <w:r>
        <w:rPr>
          <w:rFonts w:ascii="Times New Roman" w:hAnsi="Times New Roman" w:eastAsia="Times New Roman" w:cs="Times New Roman"/>
          <w:i/>
          <w:iCs/>
          <w:spacing w:val="-2"/>
          <w:sz w:val="24"/>
          <w:szCs w:val="24"/>
        </w:rPr>
        <w:t>Agrimonia</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pacing w:val="-2"/>
          <w:sz w:val="24"/>
          <w:szCs w:val="24"/>
        </w:rPr>
        <w:t xml:space="preserve">pilosa </w:t>
      </w:r>
      <w:r>
        <w:rPr>
          <w:rFonts w:ascii="Times New Roman" w:hAnsi="Times New Roman" w:eastAsia="Times New Roman" w:cs="Times New Roman"/>
          <w:spacing w:val="-2"/>
          <w:sz w:val="24"/>
          <w:szCs w:val="24"/>
        </w:rPr>
        <w:t xml:space="preserve">var. </w:t>
      </w:r>
      <w:r>
        <w:rPr>
          <w:rFonts w:ascii="Times New Roman" w:hAnsi="Times New Roman" w:eastAsia="Times New Roman" w:cs="Times New Roman"/>
          <w:i/>
          <w:iCs/>
          <w:spacing w:val="-2"/>
          <w:sz w:val="24"/>
          <w:szCs w:val="24"/>
        </w:rPr>
        <w:t>nepalensi</w:t>
      </w:r>
      <w:r>
        <w:rPr>
          <w:rFonts w:ascii="Times New Roman" w:hAnsi="Times New Roman" w:eastAsia="Times New Roman" w:cs="Times New Roman"/>
          <w:i/>
          <w:iCs/>
          <w:spacing w:val="-3"/>
          <w:sz w:val="24"/>
          <w:szCs w:val="24"/>
        </w:rPr>
        <w:t>s</w:t>
      </w:r>
      <w:r>
        <w:rPr>
          <w:rFonts w:ascii="宋体" w:hAnsi="宋体" w:eastAsia="宋体" w:cs="宋体"/>
          <w:spacing w:val="-3"/>
          <w:sz w:val="24"/>
          <w:szCs w:val="24"/>
        </w:rPr>
        <w:t>、滇黄精</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Polygonatum kingianum</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云</w:t>
      </w:r>
      <w:r>
        <w:rPr>
          <w:rFonts w:ascii="宋体" w:hAnsi="宋体" w:eastAsia="宋体" w:cs="宋体"/>
          <w:spacing w:val="-48"/>
          <w:sz w:val="24"/>
          <w:szCs w:val="24"/>
        </w:rPr>
        <w:t xml:space="preserve"> </w:t>
      </w:r>
      <w:r>
        <w:rPr>
          <w:rFonts w:ascii="宋体" w:hAnsi="宋体" w:eastAsia="宋体" w:cs="宋体"/>
          <w:spacing w:val="-2"/>
          <w:sz w:val="24"/>
          <w:szCs w:val="24"/>
        </w:rPr>
        <w:t>南</w:t>
      </w:r>
      <w:r>
        <w:rPr>
          <w:rFonts w:ascii="宋体" w:hAnsi="宋体" w:eastAsia="宋体" w:cs="宋体"/>
          <w:spacing w:val="-51"/>
          <w:sz w:val="24"/>
          <w:szCs w:val="24"/>
        </w:rPr>
        <w:t xml:space="preserve"> </w:t>
      </w:r>
      <w:r>
        <w:rPr>
          <w:rFonts w:ascii="宋体" w:hAnsi="宋体" w:eastAsia="宋体" w:cs="宋体"/>
          <w:spacing w:val="-2"/>
          <w:sz w:val="24"/>
          <w:szCs w:val="24"/>
        </w:rPr>
        <w:t>猪</w:t>
      </w:r>
      <w:r>
        <w:rPr>
          <w:rFonts w:ascii="宋体" w:hAnsi="宋体" w:eastAsia="宋体" w:cs="宋体"/>
          <w:spacing w:val="-51"/>
          <w:sz w:val="24"/>
          <w:szCs w:val="24"/>
        </w:rPr>
        <w:t xml:space="preserve"> </w:t>
      </w:r>
      <w:r>
        <w:rPr>
          <w:rFonts w:ascii="宋体" w:hAnsi="宋体" w:eastAsia="宋体" w:cs="宋体"/>
          <w:spacing w:val="-2"/>
          <w:sz w:val="24"/>
          <w:szCs w:val="24"/>
        </w:rPr>
        <w:t>屎</w:t>
      </w:r>
      <w:r>
        <w:rPr>
          <w:rFonts w:ascii="宋体" w:hAnsi="宋体" w:eastAsia="宋体" w:cs="宋体"/>
          <w:spacing w:val="-51"/>
          <w:sz w:val="24"/>
          <w:szCs w:val="24"/>
        </w:rPr>
        <w:t xml:space="preserve"> </w:t>
      </w:r>
      <w:r>
        <w:rPr>
          <w:rFonts w:ascii="宋体" w:hAnsi="宋体" w:eastAsia="宋体" w:cs="宋体"/>
          <w:spacing w:val="-2"/>
          <w:sz w:val="24"/>
          <w:szCs w:val="24"/>
        </w:rPr>
        <w:t>豆</w:t>
      </w:r>
      <w:r>
        <w:rPr>
          <w:rFonts w:ascii="宋体" w:hAnsi="宋体" w:eastAsia="宋体" w:cs="宋体"/>
          <w:spacing w:val="72"/>
          <w:sz w:val="24"/>
          <w:szCs w:val="24"/>
        </w:rPr>
        <w:t xml:space="preserve"> </w:t>
      </w:r>
      <w:r>
        <w:rPr>
          <w:rFonts w:ascii="Times New Roman" w:hAnsi="Times New Roman" w:eastAsia="Times New Roman" w:cs="Times New Roman"/>
          <w:i/>
          <w:iCs/>
          <w:spacing w:val="-2"/>
          <w:sz w:val="24"/>
          <w:szCs w:val="24"/>
        </w:rPr>
        <w:t>Crotalaria  yunnanensis</w:t>
      </w:r>
      <w:r>
        <w:rPr>
          <w:rFonts w:ascii="Times New Roman" w:hAnsi="Times New Roman" w:eastAsia="Times New Roman" w:cs="Times New Roman"/>
          <w:i/>
          <w:iCs/>
          <w:spacing w:val="26"/>
          <w:sz w:val="24"/>
          <w:szCs w:val="24"/>
        </w:rPr>
        <w:t xml:space="preserve"> </w:t>
      </w:r>
      <w:r>
        <w:rPr>
          <w:rFonts w:ascii="宋体" w:hAnsi="宋体" w:eastAsia="宋体" w:cs="宋体"/>
          <w:spacing w:val="-2"/>
          <w:sz w:val="24"/>
          <w:szCs w:val="24"/>
        </w:rPr>
        <w:t>、</w:t>
      </w:r>
      <w:r>
        <w:rPr>
          <w:rFonts w:ascii="宋体" w:hAnsi="宋体" w:eastAsia="宋体" w:cs="宋体"/>
          <w:spacing w:val="-49"/>
          <w:sz w:val="24"/>
          <w:szCs w:val="24"/>
        </w:rPr>
        <w:t xml:space="preserve"> </w:t>
      </w:r>
      <w:r>
        <w:rPr>
          <w:rFonts w:ascii="宋体" w:hAnsi="宋体" w:eastAsia="宋体" w:cs="宋体"/>
          <w:spacing w:val="-2"/>
          <w:sz w:val="24"/>
          <w:szCs w:val="24"/>
        </w:rPr>
        <w:t>毛</w:t>
      </w:r>
      <w:r>
        <w:rPr>
          <w:rFonts w:ascii="宋体" w:hAnsi="宋体" w:eastAsia="宋体" w:cs="宋体"/>
          <w:spacing w:val="-53"/>
          <w:sz w:val="24"/>
          <w:szCs w:val="24"/>
        </w:rPr>
        <w:t xml:space="preserve"> </w:t>
      </w:r>
      <w:r>
        <w:rPr>
          <w:rFonts w:ascii="宋体" w:hAnsi="宋体" w:eastAsia="宋体" w:cs="宋体"/>
          <w:spacing w:val="-2"/>
          <w:sz w:val="24"/>
          <w:szCs w:val="24"/>
        </w:rPr>
        <w:t>轴</w:t>
      </w:r>
      <w:r>
        <w:rPr>
          <w:rFonts w:ascii="宋体" w:hAnsi="宋体" w:eastAsia="宋体" w:cs="宋体"/>
          <w:spacing w:val="-50"/>
          <w:sz w:val="24"/>
          <w:szCs w:val="24"/>
        </w:rPr>
        <w:t xml:space="preserve"> </w:t>
      </w:r>
      <w:r>
        <w:rPr>
          <w:rFonts w:ascii="宋体" w:hAnsi="宋体" w:eastAsia="宋体" w:cs="宋体"/>
          <w:spacing w:val="-2"/>
          <w:sz w:val="24"/>
          <w:szCs w:val="24"/>
        </w:rPr>
        <w:t>蕨</w:t>
      </w:r>
      <w:r>
        <w:rPr>
          <w:rFonts w:ascii="宋体" w:hAnsi="宋体" w:eastAsia="宋体" w:cs="宋体"/>
          <w:spacing w:val="50"/>
          <w:sz w:val="24"/>
          <w:szCs w:val="24"/>
        </w:rPr>
        <w:t xml:space="preserve"> </w:t>
      </w:r>
      <w:r>
        <w:rPr>
          <w:rFonts w:ascii="Times New Roman" w:hAnsi="Times New Roman" w:eastAsia="Times New Roman" w:cs="Times New Roman"/>
          <w:i/>
          <w:iCs/>
          <w:spacing w:val="-2"/>
          <w:sz w:val="24"/>
          <w:szCs w:val="24"/>
        </w:rPr>
        <w:t>Pterid</w:t>
      </w:r>
      <w:r>
        <w:rPr>
          <w:rFonts w:ascii="Times New Roman" w:hAnsi="Times New Roman" w:eastAsia="Times New Roman" w:cs="Times New Roman"/>
          <w:i/>
          <w:iCs/>
          <w:spacing w:val="-3"/>
          <w:sz w:val="24"/>
          <w:szCs w:val="24"/>
        </w:rPr>
        <w:t>ium</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spacing w:val="-3"/>
          <w:sz w:val="24"/>
          <w:szCs w:val="24"/>
        </w:rPr>
        <w:t>revolutum</w:t>
      </w:r>
      <w:r>
        <w:rPr>
          <w:rFonts w:ascii="Times New Roman" w:hAnsi="Times New Roman" w:eastAsia="Times New Roman" w:cs="Times New Roman"/>
          <w:i/>
          <w:iCs/>
          <w:spacing w:val="27"/>
          <w:sz w:val="24"/>
          <w:szCs w:val="24"/>
        </w:rPr>
        <w:t xml:space="preserve"> </w:t>
      </w:r>
      <w:r>
        <w:rPr>
          <w:rFonts w:ascii="宋体" w:hAnsi="宋体" w:eastAsia="宋体" w:cs="宋体"/>
          <w:spacing w:val="-3"/>
          <w:sz w:val="24"/>
          <w:szCs w:val="24"/>
        </w:rPr>
        <w:t>、</w:t>
      </w:r>
      <w:r>
        <w:rPr>
          <w:rFonts w:ascii="宋体" w:hAnsi="宋体" w:eastAsia="宋体" w:cs="宋体"/>
          <w:spacing w:val="-52"/>
          <w:sz w:val="24"/>
          <w:szCs w:val="24"/>
        </w:rPr>
        <w:t xml:space="preserve"> </w:t>
      </w:r>
      <w:r>
        <w:rPr>
          <w:rFonts w:ascii="宋体" w:hAnsi="宋体" w:eastAsia="宋体" w:cs="宋体"/>
          <w:spacing w:val="-3"/>
          <w:sz w:val="24"/>
          <w:szCs w:val="24"/>
        </w:rPr>
        <w:t>牡</w:t>
      </w:r>
      <w:r>
        <w:rPr>
          <w:rFonts w:ascii="宋体" w:hAnsi="宋体" w:eastAsia="宋体" w:cs="宋体"/>
          <w:spacing w:val="-48"/>
          <w:sz w:val="24"/>
          <w:szCs w:val="24"/>
        </w:rPr>
        <w:t xml:space="preserve"> </w:t>
      </w:r>
      <w:r>
        <w:rPr>
          <w:rFonts w:ascii="宋体" w:hAnsi="宋体" w:eastAsia="宋体" w:cs="宋体"/>
          <w:spacing w:val="-3"/>
          <w:sz w:val="24"/>
          <w:szCs w:val="24"/>
        </w:rPr>
        <w:t xml:space="preserve">蒿  </w:t>
      </w:r>
      <w:r>
        <w:rPr>
          <w:rFonts w:ascii="Times New Roman" w:hAnsi="Times New Roman" w:eastAsia="Times New Roman" w:cs="Times New Roman"/>
          <w:i/>
          <w:iCs/>
          <w:spacing w:val="-1"/>
          <w:sz w:val="24"/>
          <w:szCs w:val="24"/>
        </w:rPr>
        <w:t>Artemisia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1"/>
          <w:sz w:val="24"/>
          <w:szCs w:val="24"/>
        </w:rPr>
        <w:t>japonica</w:t>
      </w:r>
      <w:r>
        <w:rPr>
          <w:rFonts w:ascii="宋体" w:hAnsi="宋体" w:eastAsia="宋体" w:cs="宋体"/>
          <w:spacing w:val="-1"/>
          <w:sz w:val="24"/>
          <w:szCs w:val="24"/>
        </w:rPr>
        <w:t>、短葶飞蓬</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Erigeron breviscapus</w:t>
      </w:r>
      <w:r>
        <w:rPr>
          <w:rFonts w:ascii="宋体" w:hAnsi="宋体" w:eastAsia="宋体" w:cs="宋体"/>
          <w:spacing w:val="-1"/>
          <w:sz w:val="24"/>
          <w:szCs w:val="24"/>
        </w:rPr>
        <w:t>、紫花地丁</w:t>
      </w:r>
      <w:r>
        <w:rPr>
          <w:rFonts w:ascii="宋体" w:hAnsi="宋体" w:eastAsia="宋体" w:cs="宋体"/>
          <w:spacing w:val="-30"/>
          <w:sz w:val="24"/>
          <w:szCs w:val="24"/>
        </w:rPr>
        <w:t xml:space="preserve"> </w:t>
      </w:r>
      <w:r>
        <w:rPr>
          <w:rFonts w:ascii="Times New Roman" w:hAnsi="Times New Roman" w:eastAsia="Times New Roman" w:cs="Times New Roman"/>
          <w:i/>
          <w:iCs/>
          <w:spacing w:val="-1"/>
          <w:sz w:val="24"/>
          <w:szCs w:val="24"/>
        </w:rPr>
        <w:t>Viola</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pacing w:val="-1"/>
          <w:sz w:val="24"/>
          <w:szCs w:val="24"/>
        </w:rPr>
        <w:t>philippic</w:t>
      </w:r>
      <w:r>
        <w:rPr>
          <w:rFonts w:ascii="Times New Roman" w:hAnsi="Times New Roman" w:eastAsia="Times New Roman" w:cs="Times New Roman"/>
          <w:i/>
          <w:iCs/>
          <w:spacing w:val="-2"/>
          <w:sz w:val="24"/>
          <w:szCs w:val="24"/>
        </w:rPr>
        <w:t>a</w:t>
      </w:r>
      <w:r>
        <w:rPr>
          <w:rFonts w:ascii="宋体" w:hAnsi="宋体" w:eastAsia="宋体" w:cs="宋体"/>
          <w:spacing w:val="-2"/>
          <w:sz w:val="24"/>
          <w:szCs w:val="24"/>
        </w:rPr>
        <w:t xml:space="preserve">、牛  </w:t>
      </w:r>
      <w:r>
        <w:rPr>
          <w:rFonts w:ascii="宋体" w:hAnsi="宋体" w:eastAsia="宋体" w:cs="宋体"/>
          <w:spacing w:val="-3"/>
          <w:sz w:val="24"/>
          <w:szCs w:val="24"/>
        </w:rPr>
        <w:t>口</w:t>
      </w:r>
      <w:r>
        <w:rPr>
          <w:rFonts w:ascii="宋体" w:hAnsi="宋体" w:eastAsia="宋体" w:cs="宋体"/>
          <w:spacing w:val="-51"/>
          <w:sz w:val="24"/>
          <w:szCs w:val="24"/>
        </w:rPr>
        <w:t xml:space="preserve"> </w:t>
      </w:r>
      <w:r>
        <w:rPr>
          <w:rFonts w:ascii="宋体" w:hAnsi="宋体" w:eastAsia="宋体" w:cs="宋体"/>
          <w:spacing w:val="-3"/>
          <w:sz w:val="24"/>
          <w:szCs w:val="24"/>
        </w:rPr>
        <w:t>刺</w:t>
      </w:r>
      <w:r>
        <w:rPr>
          <w:rFonts w:ascii="宋体" w:hAnsi="宋体" w:eastAsia="宋体" w:cs="宋体"/>
          <w:spacing w:val="72"/>
          <w:sz w:val="24"/>
          <w:szCs w:val="24"/>
        </w:rPr>
        <w:t xml:space="preserve"> </w:t>
      </w:r>
      <w:r>
        <w:rPr>
          <w:rFonts w:ascii="Times New Roman" w:hAnsi="Times New Roman" w:eastAsia="Times New Roman" w:cs="Times New Roman"/>
          <w:i/>
          <w:iCs/>
          <w:spacing w:val="-3"/>
          <w:sz w:val="24"/>
          <w:szCs w:val="24"/>
        </w:rPr>
        <w:t>Cirsium  shansiense</w:t>
      </w:r>
      <w:r>
        <w:rPr>
          <w:rFonts w:ascii="Times New Roman" w:hAnsi="Times New Roman" w:eastAsia="Times New Roman" w:cs="Times New Roman"/>
          <w:i/>
          <w:iCs/>
          <w:spacing w:val="27"/>
          <w:w w:val="101"/>
          <w:sz w:val="24"/>
          <w:szCs w:val="24"/>
        </w:rPr>
        <w:t xml:space="preserve"> </w:t>
      </w:r>
      <w:r>
        <w:rPr>
          <w:rFonts w:ascii="宋体" w:hAnsi="宋体" w:eastAsia="宋体" w:cs="宋体"/>
          <w:spacing w:val="-3"/>
          <w:sz w:val="24"/>
          <w:szCs w:val="24"/>
        </w:rPr>
        <w:t>、</w:t>
      </w:r>
      <w:r>
        <w:rPr>
          <w:rFonts w:ascii="宋体" w:hAnsi="宋体" w:eastAsia="宋体" w:cs="宋体"/>
          <w:spacing w:val="-46"/>
          <w:sz w:val="24"/>
          <w:szCs w:val="24"/>
        </w:rPr>
        <w:t xml:space="preserve"> </w:t>
      </w:r>
      <w:r>
        <w:rPr>
          <w:rFonts w:ascii="宋体" w:hAnsi="宋体" w:eastAsia="宋体" w:cs="宋体"/>
          <w:spacing w:val="-3"/>
          <w:sz w:val="24"/>
          <w:szCs w:val="24"/>
        </w:rPr>
        <w:t>天</w:t>
      </w:r>
      <w:r>
        <w:rPr>
          <w:rFonts w:ascii="宋体" w:hAnsi="宋体" w:eastAsia="宋体" w:cs="宋体"/>
          <w:spacing w:val="-50"/>
          <w:sz w:val="24"/>
          <w:szCs w:val="24"/>
        </w:rPr>
        <w:t xml:space="preserve"> </w:t>
      </w:r>
      <w:r>
        <w:rPr>
          <w:rFonts w:ascii="宋体" w:hAnsi="宋体" w:eastAsia="宋体" w:cs="宋体"/>
          <w:spacing w:val="-3"/>
          <w:sz w:val="24"/>
          <w:szCs w:val="24"/>
        </w:rPr>
        <w:t>名</w:t>
      </w:r>
      <w:r>
        <w:rPr>
          <w:rFonts w:ascii="宋体" w:hAnsi="宋体" w:eastAsia="宋体" w:cs="宋体"/>
          <w:spacing w:val="-50"/>
          <w:sz w:val="24"/>
          <w:szCs w:val="24"/>
        </w:rPr>
        <w:t xml:space="preserve"> </w:t>
      </w:r>
      <w:r>
        <w:rPr>
          <w:rFonts w:ascii="宋体" w:hAnsi="宋体" w:eastAsia="宋体" w:cs="宋体"/>
          <w:spacing w:val="-3"/>
          <w:sz w:val="24"/>
          <w:szCs w:val="24"/>
        </w:rPr>
        <w:t>精</w:t>
      </w:r>
      <w:r>
        <w:rPr>
          <w:rFonts w:ascii="宋体" w:hAnsi="宋体" w:eastAsia="宋体" w:cs="宋体"/>
          <w:spacing w:val="73"/>
          <w:sz w:val="24"/>
          <w:szCs w:val="24"/>
        </w:rPr>
        <w:t xml:space="preserve"> </w:t>
      </w:r>
      <w:r>
        <w:rPr>
          <w:rFonts w:ascii="Times New Roman" w:hAnsi="Times New Roman" w:eastAsia="Times New Roman" w:cs="Times New Roman"/>
          <w:i/>
          <w:iCs/>
          <w:spacing w:val="-3"/>
          <w:sz w:val="24"/>
          <w:szCs w:val="24"/>
        </w:rPr>
        <w:t>Carpesium   abrotanoides</w:t>
      </w:r>
      <w:r>
        <w:rPr>
          <w:rFonts w:ascii="Times New Roman" w:hAnsi="Times New Roman" w:eastAsia="Times New Roman" w:cs="Times New Roman"/>
          <w:i/>
          <w:iCs/>
          <w:spacing w:val="28"/>
          <w:sz w:val="24"/>
          <w:szCs w:val="24"/>
        </w:rPr>
        <w:t xml:space="preserve"> </w:t>
      </w:r>
      <w:r>
        <w:rPr>
          <w:rFonts w:ascii="宋体" w:hAnsi="宋体" w:eastAsia="宋体" w:cs="宋体"/>
          <w:spacing w:val="-4"/>
          <w:sz w:val="24"/>
          <w:szCs w:val="24"/>
        </w:rPr>
        <w:t>、</w:t>
      </w:r>
      <w:r>
        <w:rPr>
          <w:rFonts w:ascii="宋体" w:hAnsi="宋体" w:eastAsia="宋体" w:cs="宋体"/>
          <w:spacing w:val="-51"/>
          <w:sz w:val="24"/>
          <w:szCs w:val="24"/>
        </w:rPr>
        <w:t xml:space="preserve"> </w:t>
      </w:r>
      <w:r>
        <w:rPr>
          <w:rFonts w:ascii="宋体" w:hAnsi="宋体" w:eastAsia="宋体" w:cs="宋体"/>
          <w:spacing w:val="-4"/>
          <w:sz w:val="24"/>
          <w:szCs w:val="24"/>
        </w:rPr>
        <w:t>缘</w:t>
      </w:r>
      <w:r>
        <w:rPr>
          <w:rFonts w:ascii="宋体" w:hAnsi="宋体" w:eastAsia="宋体" w:cs="宋体"/>
          <w:spacing w:val="-50"/>
          <w:sz w:val="24"/>
          <w:szCs w:val="24"/>
        </w:rPr>
        <w:t xml:space="preserve"> </w:t>
      </w:r>
      <w:r>
        <w:rPr>
          <w:rFonts w:ascii="宋体" w:hAnsi="宋体" w:eastAsia="宋体" w:cs="宋体"/>
          <w:spacing w:val="-4"/>
          <w:sz w:val="24"/>
          <w:szCs w:val="24"/>
        </w:rPr>
        <w:t>毛</w:t>
      </w:r>
      <w:r>
        <w:rPr>
          <w:rFonts w:ascii="宋体" w:hAnsi="宋体" w:eastAsia="宋体" w:cs="宋体"/>
          <w:spacing w:val="-46"/>
          <w:sz w:val="24"/>
          <w:szCs w:val="24"/>
        </w:rPr>
        <w:t xml:space="preserve"> </w:t>
      </w:r>
      <w:r>
        <w:rPr>
          <w:rFonts w:ascii="宋体" w:hAnsi="宋体" w:eastAsia="宋体" w:cs="宋体"/>
          <w:spacing w:val="-4"/>
          <w:sz w:val="24"/>
          <w:szCs w:val="24"/>
        </w:rPr>
        <w:t>鸟</w:t>
      </w:r>
      <w:r>
        <w:rPr>
          <w:rFonts w:ascii="宋体" w:hAnsi="宋体" w:eastAsia="宋体" w:cs="宋体"/>
          <w:spacing w:val="-47"/>
          <w:sz w:val="24"/>
          <w:szCs w:val="24"/>
        </w:rPr>
        <w:t xml:space="preserve"> </w:t>
      </w:r>
      <w:r>
        <w:rPr>
          <w:rFonts w:ascii="宋体" w:hAnsi="宋体" w:eastAsia="宋体" w:cs="宋体"/>
          <w:spacing w:val="-4"/>
          <w:sz w:val="24"/>
          <w:szCs w:val="24"/>
        </w:rPr>
        <w:t>足</w:t>
      </w:r>
      <w:r>
        <w:rPr>
          <w:rFonts w:ascii="宋体" w:hAnsi="宋体" w:eastAsia="宋体" w:cs="宋体"/>
          <w:spacing w:val="-52"/>
          <w:sz w:val="24"/>
          <w:szCs w:val="24"/>
        </w:rPr>
        <w:t xml:space="preserve"> </w:t>
      </w:r>
      <w:r>
        <w:rPr>
          <w:rFonts w:ascii="宋体" w:hAnsi="宋体" w:eastAsia="宋体" w:cs="宋体"/>
          <w:spacing w:val="-4"/>
          <w:sz w:val="24"/>
          <w:szCs w:val="24"/>
        </w:rPr>
        <w:t xml:space="preserve">兰  </w:t>
      </w:r>
      <w:r>
        <w:rPr>
          <w:rFonts w:ascii="Times New Roman" w:hAnsi="Times New Roman" w:eastAsia="Times New Roman" w:cs="Times New Roman"/>
          <w:i/>
          <w:iCs/>
          <w:spacing w:val="-1"/>
          <w:sz w:val="24"/>
          <w:szCs w:val="24"/>
        </w:rPr>
        <w:t xml:space="preserve">Satyrium nepalense </w:t>
      </w:r>
      <w:r>
        <w:rPr>
          <w:rFonts w:ascii="Times New Roman" w:hAnsi="Times New Roman" w:eastAsia="Times New Roman" w:cs="Times New Roman"/>
          <w:spacing w:val="-1"/>
          <w:sz w:val="24"/>
          <w:szCs w:val="24"/>
        </w:rPr>
        <w:t xml:space="preserve">var. </w:t>
      </w:r>
      <w:r>
        <w:rPr>
          <w:rFonts w:ascii="Times New Roman" w:hAnsi="Times New Roman" w:eastAsia="Times New Roman" w:cs="Times New Roman"/>
          <w:i/>
          <w:iCs/>
          <w:spacing w:val="-1"/>
          <w:sz w:val="24"/>
          <w:szCs w:val="24"/>
        </w:rPr>
        <w:t>ciliatum</w:t>
      </w:r>
      <w:r>
        <w:rPr>
          <w:rFonts w:ascii="Times New Roman" w:hAnsi="Times New Roman" w:eastAsia="Times New Roman" w:cs="Times New Roman"/>
          <w:i/>
          <w:iCs/>
          <w:spacing w:val="-21"/>
          <w:sz w:val="24"/>
          <w:szCs w:val="24"/>
        </w:rPr>
        <w:t xml:space="preserve"> </w:t>
      </w:r>
      <w:r>
        <w:rPr>
          <w:rFonts w:ascii="宋体" w:hAnsi="宋体" w:eastAsia="宋体" w:cs="宋体"/>
          <w:spacing w:val="-1"/>
          <w:sz w:val="24"/>
          <w:szCs w:val="24"/>
        </w:rPr>
        <w:t>、扁穗雀麦</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Bromus catharticus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、麦冬</w:t>
      </w:r>
      <w:r>
        <w:rPr>
          <w:rFonts w:ascii="宋体" w:hAnsi="宋体" w:eastAsia="宋体" w:cs="宋体"/>
          <w:spacing w:val="-24"/>
          <w:sz w:val="24"/>
          <w:szCs w:val="24"/>
        </w:rPr>
        <w:t xml:space="preserve"> </w:t>
      </w:r>
      <w:r>
        <w:rPr>
          <w:rFonts w:ascii="Times New Roman" w:hAnsi="Times New Roman" w:eastAsia="Times New Roman" w:cs="Times New Roman"/>
          <w:i/>
          <w:iCs/>
          <w:spacing w:val="-1"/>
          <w:sz w:val="24"/>
          <w:szCs w:val="24"/>
        </w:rPr>
        <w:t xml:space="preserve">Ophiopogon    </w:t>
      </w:r>
      <w:r>
        <w:rPr>
          <w:rFonts w:ascii="Times New Roman" w:hAnsi="Times New Roman" w:eastAsia="Times New Roman" w:cs="Times New Roman"/>
          <w:i/>
          <w:iCs/>
          <w:sz w:val="24"/>
          <w:szCs w:val="24"/>
        </w:rPr>
        <w:t>japonicus</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、凤尾蕨</w:t>
      </w:r>
      <w:r>
        <w:rPr>
          <w:rFonts w:ascii="宋体" w:hAnsi="宋体" w:eastAsia="宋体" w:cs="宋体"/>
          <w:spacing w:val="-57"/>
          <w:sz w:val="24"/>
          <w:szCs w:val="24"/>
        </w:rPr>
        <w:t xml:space="preserve"> </w:t>
      </w:r>
      <w:r>
        <w:rPr>
          <w:rFonts w:ascii="Times New Roman" w:hAnsi="Times New Roman" w:eastAsia="Times New Roman" w:cs="Times New Roman"/>
          <w:i/>
          <w:iCs/>
          <w:sz w:val="24"/>
          <w:szCs w:val="24"/>
        </w:rPr>
        <w:t>Pteris</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z w:val="24"/>
          <w:szCs w:val="24"/>
        </w:rPr>
        <w:t>nervosa</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、芒</w:t>
      </w:r>
      <w:r>
        <w:rPr>
          <w:rFonts w:ascii="宋体" w:hAnsi="宋体" w:eastAsia="宋体" w:cs="宋体"/>
          <w:spacing w:val="-59"/>
          <w:sz w:val="24"/>
          <w:szCs w:val="24"/>
        </w:rPr>
        <w:t xml:space="preserve"> </w:t>
      </w:r>
      <w:r>
        <w:rPr>
          <w:rFonts w:ascii="Times New Roman" w:hAnsi="Times New Roman" w:eastAsia="Times New Roman" w:cs="Times New Roman"/>
          <w:i/>
          <w:iCs/>
          <w:sz w:val="24"/>
          <w:szCs w:val="24"/>
        </w:rPr>
        <w:t>Miscanthus</w:t>
      </w:r>
      <w:r>
        <w:rPr>
          <w:rFonts w:ascii="Times New Roman" w:hAnsi="Times New Roman" w:eastAsia="Times New Roman" w:cs="Times New Roman"/>
          <w:i/>
          <w:iCs/>
          <w:spacing w:val="28"/>
          <w:sz w:val="24"/>
          <w:szCs w:val="24"/>
        </w:rPr>
        <w:t xml:space="preserve"> </w:t>
      </w:r>
      <w:r>
        <w:rPr>
          <w:rFonts w:ascii="Times New Roman" w:hAnsi="Times New Roman" w:eastAsia="Times New Roman" w:cs="Times New Roman"/>
          <w:i/>
          <w:iCs/>
          <w:sz w:val="24"/>
          <w:szCs w:val="24"/>
        </w:rPr>
        <w:t>sinensis</w:t>
      </w:r>
      <w:r>
        <w:rPr>
          <w:rFonts w:ascii="宋体" w:hAnsi="宋体" w:eastAsia="宋体" w:cs="宋体"/>
          <w:sz w:val="24"/>
          <w:szCs w:val="24"/>
        </w:rPr>
        <w:t>、云南兔儿风</w:t>
      </w:r>
      <w:r>
        <w:rPr>
          <w:rFonts w:ascii="宋体" w:hAnsi="宋体" w:eastAsia="宋体" w:cs="宋体"/>
          <w:spacing w:val="-63"/>
          <w:sz w:val="24"/>
          <w:szCs w:val="24"/>
        </w:rPr>
        <w:t xml:space="preserve"> </w:t>
      </w:r>
      <w:r>
        <w:rPr>
          <w:rFonts w:ascii="Times New Roman" w:hAnsi="Times New Roman" w:eastAsia="Times New Roman" w:cs="Times New Roman"/>
          <w:i/>
          <w:iCs/>
          <w:sz w:val="24"/>
          <w:szCs w:val="24"/>
        </w:rPr>
        <w:t>Ainsliae</w:t>
      </w:r>
      <w:r>
        <w:rPr>
          <w:rFonts w:ascii="Times New Roman" w:hAnsi="Times New Roman" w:eastAsia="Times New Roman" w:cs="Times New Roman"/>
          <w:i/>
          <w:iCs/>
          <w:spacing w:val="-1"/>
          <w:sz w:val="24"/>
          <w:szCs w:val="24"/>
        </w:rPr>
        <w:t xml:space="preserve">a    </w:t>
      </w:r>
      <w:r>
        <w:rPr>
          <w:rFonts w:ascii="Times New Roman" w:hAnsi="Times New Roman" w:eastAsia="Times New Roman" w:cs="Times New Roman"/>
          <w:i/>
          <w:iCs/>
          <w:sz w:val="24"/>
          <w:szCs w:val="24"/>
        </w:rPr>
        <w:t>yunnanensis</w:t>
      </w:r>
      <w:r>
        <w:rPr>
          <w:rFonts w:ascii="宋体" w:hAnsi="宋体" w:eastAsia="宋体" w:cs="宋体"/>
          <w:sz w:val="24"/>
          <w:szCs w:val="24"/>
        </w:rPr>
        <w:t>、白酒草</w:t>
      </w:r>
      <w:r>
        <w:rPr>
          <w:rFonts w:ascii="宋体" w:hAnsi="宋体" w:eastAsia="宋体" w:cs="宋体"/>
          <w:spacing w:val="-28"/>
          <w:sz w:val="24"/>
          <w:szCs w:val="24"/>
        </w:rPr>
        <w:t xml:space="preserve"> </w:t>
      </w:r>
      <w:r>
        <w:rPr>
          <w:rFonts w:ascii="Times New Roman" w:hAnsi="Times New Roman" w:eastAsia="Times New Roman" w:cs="Times New Roman"/>
          <w:i/>
          <w:iCs/>
          <w:sz w:val="24"/>
          <w:szCs w:val="24"/>
        </w:rPr>
        <w:t>Conyza</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japonica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、吉祥草</w:t>
      </w:r>
      <w:r>
        <w:rPr>
          <w:rFonts w:ascii="宋体" w:hAnsi="宋体" w:eastAsia="宋体" w:cs="宋体"/>
          <w:spacing w:val="-61"/>
          <w:sz w:val="24"/>
          <w:szCs w:val="24"/>
        </w:rPr>
        <w:t xml:space="preserve"> </w:t>
      </w:r>
      <w:r>
        <w:rPr>
          <w:rFonts w:ascii="Times New Roman" w:hAnsi="Times New Roman" w:eastAsia="Times New Roman" w:cs="Times New Roman"/>
          <w:i/>
          <w:iCs/>
          <w:sz w:val="24"/>
          <w:szCs w:val="24"/>
        </w:rPr>
        <w:t>Reineckea</w:t>
      </w:r>
      <w:r>
        <w:rPr>
          <w:rFonts w:ascii="Times New Roman" w:hAnsi="Times New Roman" w:eastAsia="Times New Roman" w:cs="Times New Roman"/>
          <w:i/>
          <w:iCs/>
          <w:spacing w:val="36"/>
          <w:w w:val="101"/>
          <w:sz w:val="24"/>
          <w:szCs w:val="24"/>
        </w:rPr>
        <w:t xml:space="preserve"> </w:t>
      </w:r>
      <w:r>
        <w:rPr>
          <w:rFonts w:ascii="Times New Roman" w:hAnsi="Times New Roman" w:eastAsia="Times New Roman" w:cs="Times New Roman"/>
          <w:i/>
          <w:iCs/>
          <w:sz w:val="24"/>
          <w:szCs w:val="24"/>
        </w:rPr>
        <w:t>carnea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、鬼针草</w:t>
      </w:r>
      <w:r>
        <w:rPr>
          <w:rFonts w:ascii="宋体" w:hAnsi="宋体" w:eastAsia="宋体" w:cs="宋体"/>
          <w:spacing w:val="-61"/>
          <w:sz w:val="24"/>
          <w:szCs w:val="24"/>
        </w:rPr>
        <w:t xml:space="preserve"> </w:t>
      </w:r>
      <w:r>
        <w:rPr>
          <w:rFonts w:ascii="Times New Roman" w:hAnsi="Times New Roman" w:eastAsia="Times New Roman" w:cs="Times New Roman"/>
          <w:i/>
          <w:iCs/>
          <w:spacing w:val="-1"/>
          <w:sz w:val="24"/>
          <w:szCs w:val="24"/>
        </w:rPr>
        <w:t>Bidens    pilosa</w:t>
      </w:r>
      <w:r>
        <w:rPr>
          <w:rFonts w:ascii="宋体" w:hAnsi="宋体" w:eastAsia="宋体" w:cs="宋体"/>
          <w:spacing w:val="-1"/>
          <w:sz w:val="24"/>
          <w:szCs w:val="24"/>
        </w:rPr>
        <w:t>、小蓬草</w:t>
      </w:r>
      <w:r>
        <w:rPr>
          <w:rFonts w:ascii="宋体" w:hAnsi="宋体" w:eastAsia="宋体" w:cs="宋体"/>
          <w:spacing w:val="-25"/>
          <w:sz w:val="24"/>
          <w:szCs w:val="24"/>
        </w:rPr>
        <w:t xml:space="preserve"> </w:t>
      </w:r>
      <w:r>
        <w:rPr>
          <w:rFonts w:ascii="Times New Roman" w:hAnsi="Times New Roman" w:eastAsia="Times New Roman" w:cs="Times New Roman"/>
          <w:i/>
          <w:iCs/>
          <w:spacing w:val="-1"/>
          <w:sz w:val="24"/>
          <w:szCs w:val="24"/>
        </w:rPr>
        <w:t>Erigeron</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pacing w:val="-1"/>
          <w:sz w:val="24"/>
          <w:szCs w:val="24"/>
        </w:rPr>
        <w:t>canadensis</w:t>
      </w:r>
      <w:r>
        <w:rPr>
          <w:rFonts w:ascii="宋体" w:hAnsi="宋体" w:eastAsia="宋体" w:cs="宋体"/>
          <w:spacing w:val="-1"/>
          <w:sz w:val="24"/>
          <w:szCs w:val="24"/>
        </w:rPr>
        <w:t>、香薷</w:t>
      </w:r>
      <w:r>
        <w:rPr>
          <w:rFonts w:ascii="宋体" w:hAnsi="宋体" w:eastAsia="宋体" w:cs="宋体"/>
          <w:spacing w:val="-23"/>
          <w:sz w:val="24"/>
          <w:szCs w:val="24"/>
        </w:rPr>
        <w:t xml:space="preserve"> </w:t>
      </w:r>
      <w:r>
        <w:rPr>
          <w:rFonts w:ascii="Times New Roman" w:hAnsi="Times New Roman" w:eastAsia="Times New Roman" w:cs="Times New Roman"/>
          <w:i/>
          <w:iCs/>
          <w:spacing w:val="-1"/>
          <w:sz w:val="24"/>
          <w:szCs w:val="24"/>
        </w:rPr>
        <w:t>Elsholtzia</w:t>
      </w:r>
      <w:r>
        <w:rPr>
          <w:rFonts w:ascii="Times New Roman" w:hAnsi="Times New Roman" w:eastAsia="Times New Roman" w:cs="Times New Roman"/>
          <w:i/>
          <w:iCs/>
          <w:spacing w:val="36"/>
          <w:w w:val="101"/>
          <w:sz w:val="24"/>
          <w:szCs w:val="24"/>
        </w:rPr>
        <w:t xml:space="preserve"> </w:t>
      </w:r>
      <w:r>
        <w:rPr>
          <w:rFonts w:ascii="Times New Roman" w:hAnsi="Times New Roman" w:eastAsia="Times New Roman" w:cs="Times New Roman"/>
          <w:i/>
          <w:iCs/>
          <w:spacing w:val="-1"/>
          <w:sz w:val="24"/>
          <w:szCs w:val="24"/>
        </w:rPr>
        <w:t>ciliata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 xml:space="preserve">、头花龙胆 </w:t>
      </w:r>
      <w:r>
        <w:rPr>
          <w:rFonts w:ascii="Times New Roman" w:hAnsi="Times New Roman" w:eastAsia="Times New Roman" w:cs="Times New Roman"/>
          <w:i/>
          <w:iCs/>
          <w:spacing w:val="-1"/>
          <w:sz w:val="24"/>
          <w:szCs w:val="24"/>
        </w:rPr>
        <w:t>Gentiana    cephalantha</w:t>
      </w:r>
      <w:r>
        <w:rPr>
          <w:rFonts w:ascii="宋体" w:hAnsi="宋体" w:eastAsia="宋体" w:cs="宋体"/>
          <w:spacing w:val="-1"/>
          <w:sz w:val="24"/>
          <w:szCs w:val="24"/>
        </w:rPr>
        <w:t>、风轮菜</w:t>
      </w:r>
      <w:r>
        <w:rPr>
          <w:rFonts w:ascii="宋体" w:hAnsi="宋体" w:eastAsia="宋体" w:cs="宋体"/>
          <w:spacing w:val="-32"/>
          <w:sz w:val="24"/>
          <w:szCs w:val="24"/>
        </w:rPr>
        <w:t xml:space="preserve"> </w:t>
      </w:r>
      <w:r>
        <w:rPr>
          <w:rFonts w:ascii="Times New Roman" w:hAnsi="Times New Roman" w:eastAsia="Times New Roman" w:cs="Times New Roman"/>
          <w:i/>
          <w:iCs/>
          <w:spacing w:val="-1"/>
          <w:sz w:val="24"/>
          <w:szCs w:val="24"/>
        </w:rPr>
        <w:t>Clinopodium chinense</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、狗牙根</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Cynodon dacty</w:t>
      </w:r>
      <w:r>
        <w:rPr>
          <w:rFonts w:ascii="Times New Roman" w:hAnsi="Times New Roman" w:eastAsia="Times New Roman" w:cs="Times New Roman"/>
          <w:i/>
          <w:iCs/>
          <w:spacing w:val="-2"/>
          <w:sz w:val="24"/>
          <w:szCs w:val="24"/>
        </w:rPr>
        <w:t>lon</w:t>
      </w:r>
      <w:r>
        <w:rPr>
          <w:rFonts w:ascii="宋体" w:hAnsi="宋体" w:eastAsia="宋体" w:cs="宋体"/>
          <w:spacing w:val="-2"/>
          <w:sz w:val="24"/>
          <w:szCs w:val="24"/>
        </w:rPr>
        <w:t xml:space="preserve">、珠光香青  </w:t>
      </w:r>
      <w:r>
        <w:rPr>
          <w:rFonts w:ascii="Times New Roman" w:hAnsi="Times New Roman" w:eastAsia="Times New Roman" w:cs="Times New Roman"/>
          <w:i/>
          <w:iCs/>
          <w:spacing w:val="-2"/>
          <w:sz w:val="24"/>
          <w:szCs w:val="24"/>
        </w:rPr>
        <w:t>Anaphalis margaritacea</w:t>
      </w:r>
      <w:r>
        <w:rPr>
          <w:rFonts w:ascii="宋体" w:hAnsi="宋体" w:eastAsia="宋体" w:cs="宋体"/>
          <w:spacing w:val="-2"/>
          <w:sz w:val="24"/>
          <w:szCs w:val="24"/>
        </w:rPr>
        <w:t>、三脉紫菀</w:t>
      </w:r>
      <w:r>
        <w:rPr>
          <w:rFonts w:ascii="宋体" w:hAnsi="宋体" w:eastAsia="宋体" w:cs="宋体"/>
          <w:spacing w:val="-57"/>
          <w:sz w:val="24"/>
          <w:szCs w:val="24"/>
        </w:rPr>
        <w:t xml:space="preserve"> </w:t>
      </w:r>
      <w:r>
        <w:rPr>
          <w:rFonts w:ascii="Times New Roman" w:hAnsi="Times New Roman" w:eastAsia="Times New Roman" w:cs="Times New Roman"/>
          <w:i/>
          <w:iCs/>
          <w:spacing w:val="-2"/>
          <w:sz w:val="24"/>
          <w:szCs w:val="24"/>
        </w:rPr>
        <w:t xml:space="preserve">Aster trinervius </w:t>
      </w:r>
      <w:r>
        <w:rPr>
          <w:rFonts w:ascii="Times New Roman" w:hAnsi="Times New Roman" w:eastAsia="Times New Roman" w:cs="Times New Roman"/>
          <w:spacing w:val="-2"/>
          <w:sz w:val="24"/>
          <w:szCs w:val="24"/>
        </w:rPr>
        <w:t xml:space="preserve">subsp. </w:t>
      </w:r>
      <w:r>
        <w:rPr>
          <w:rFonts w:ascii="Times New Roman" w:hAnsi="Times New Roman" w:eastAsia="Times New Roman" w:cs="Times New Roman"/>
          <w:i/>
          <w:iCs/>
          <w:spacing w:val="-2"/>
          <w:sz w:val="24"/>
          <w:szCs w:val="24"/>
        </w:rPr>
        <w:t>ageratoides</w:t>
      </w:r>
      <w:r>
        <w:rPr>
          <w:rFonts w:ascii="宋体" w:hAnsi="宋体" w:eastAsia="宋体" w:cs="宋体"/>
          <w:spacing w:val="-2"/>
          <w:sz w:val="24"/>
          <w:szCs w:val="24"/>
        </w:rPr>
        <w:t>、羊耳菊</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 xml:space="preserve">Inula    </w:t>
      </w:r>
      <w:r>
        <w:rPr>
          <w:rFonts w:ascii="Times New Roman" w:hAnsi="Times New Roman" w:eastAsia="Times New Roman" w:cs="Times New Roman"/>
          <w:i/>
          <w:iCs/>
          <w:sz w:val="24"/>
          <w:szCs w:val="24"/>
        </w:rPr>
        <w:t>cappa</w:t>
      </w:r>
      <w:r>
        <w:rPr>
          <w:rFonts w:ascii="宋体" w:hAnsi="宋体" w:eastAsia="宋体" w:cs="宋体"/>
          <w:sz w:val="24"/>
          <w:szCs w:val="24"/>
        </w:rPr>
        <w:t>、刺芒野古草</w:t>
      </w:r>
      <w:r>
        <w:rPr>
          <w:rFonts w:ascii="宋体" w:hAnsi="宋体" w:eastAsia="宋体" w:cs="宋体"/>
          <w:spacing w:val="-48"/>
          <w:sz w:val="24"/>
          <w:szCs w:val="24"/>
        </w:rPr>
        <w:t xml:space="preserve"> </w:t>
      </w:r>
      <w:r>
        <w:rPr>
          <w:rFonts w:ascii="Times New Roman" w:hAnsi="Times New Roman" w:eastAsia="Times New Roman" w:cs="Times New Roman"/>
          <w:i/>
          <w:iCs/>
          <w:sz w:val="24"/>
          <w:szCs w:val="24"/>
        </w:rPr>
        <w:t>Arundinella</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sz w:val="24"/>
          <w:szCs w:val="24"/>
        </w:rPr>
        <w:t>setosa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、宽叶兔儿风</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Ainsliaea latifolia</w:t>
      </w:r>
      <w:r>
        <w:rPr>
          <w:rFonts w:ascii="宋体" w:hAnsi="宋体" w:eastAsia="宋体" w:cs="宋体"/>
          <w:sz w:val="24"/>
          <w:szCs w:val="24"/>
        </w:rPr>
        <w:t>、大叶冷水  花</w:t>
      </w:r>
      <w:r>
        <w:rPr>
          <w:rFonts w:ascii="宋体" w:hAnsi="宋体" w:eastAsia="宋体" w:cs="宋体"/>
          <w:spacing w:val="-57"/>
          <w:sz w:val="24"/>
          <w:szCs w:val="24"/>
        </w:rPr>
        <w:t xml:space="preserve"> </w:t>
      </w:r>
      <w:r>
        <w:rPr>
          <w:rFonts w:ascii="Times New Roman" w:hAnsi="Times New Roman" w:eastAsia="Times New Roman" w:cs="Times New Roman"/>
          <w:i/>
          <w:iCs/>
          <w:sz w:val="24"/>
          <w:szCs w:val="24"/>
        </w:rPr>
        <w:t>Pilea</w:t>
      </w:r>
      <w:r>
        <w:rPr>
          <w:rFonts w:ascii="Times New Roman" w:hAnsi="Times New Roman" w:eastAsia="Times New Roman" w:cs="Times New Roman"/>
          <w:i/>
          <w:iCs/>
          <w:spacing w:val="17"/>
          <w:w w:val="101"/>
          <w:sz w:val="24"/>
          <w:szCs w:val="24"/>
        </w:rPr>
        <w:t xml:space="preserve"> </w:t>
      </w:r>
      <w:r>
        <w:rPr>
          <w:rFonts w:ascii="Times New Roman" w:hAnsi="Times New Roman" w:eastAsia="Times New Roman" w:cs="Times New Roman"/>
          <w:i/>
          <w:iCs/>
          <w:sz w:val="24"/>
          <w:szCs w:val="24"/>
        </w:rPr>
        <w:t>martini</w:t>
      </w:r>
      <w:r>
        <w:rPr>
          <w:rFonts w:ascii="宋体" w:hAnsi="宋体" w:eastAsia="宋体" w:cs="宋体"/>
          <w:sz w:val="24"/>
          <w:szCs w:val="24"/>
        </w:rPr>
        <w:t>、芒萁</w:t>
      </w:r>
      <w:r>
        <w:rPr>
          <w:rFonts w:ascii="宋体" w:hAnsi="宋体" w:eastAsia="宋体" w:cs="宋体"/>
          <w:spacing w:val="-68"/>
          <w:sz w:val="24"/>
          <w:szCs w:val="24"/>
        </w:rPr>
        <w:t xml:space="preserve"> </w:t>
      </w:r>
      <w:r>
        <w:rPr>
          <w:rFonts w:ascii="Times New Roman" w:hAnsi="Times New Roman" w:eastAsia="Times New Roman" w:cs="Times New Roman"/>
          <w:i/>
          <w:iCs/>
          <w:sz w:val="24"/>
          <w:szCs w:val="24"/>
        </w:rPr>
        <w:t>Dicranopteris</w:t>
      </w:r>
      <w:r>
        <w:rPr>
          <w:rFonts w:ascii="Times New Roman" w:hAnsi="Times New Roman" w:eastAsia="Times New Roman" w:cs="Times New Roman"/>
          <w:i/>
          <w:iCs/>
          <w:spacing w:val="18"/>
          <w:sz w:val="24"/>
          <w:szCs w:val="24"/>
        </w:rPr>
        <w:t xml:space="preserve"> </w:t>
      </w:r>
      <w:r>
        <w:rPr>
          <w:rFonts w:ascii="Times New Roman" w:hAnsi="Times New Roman" w:eastAsia="Times New Roman" w:cs="Times New Roman"/>
          <w:i/>
          <w:iCs/>
          <w:sz w:val="24"/>
          <w:szCs w:val="24"/>
        </w:rPr>
        <w:t>dichotoma</w:t>
      </w:r>
      <w:r>
        <w:rPr>
          <w:rFonts w:ascii="宋体" w:hAnsi="宋体" w:eastAsia="宋体" w:cs="宋体"/>
          <w:sz w:val="24"/>
          <w:szCs w:val="24"/>
        </w:rPr>
        <w:t>、半夏</w:t>
      </w:r>
      <w:r>
        <w:rPr>
          <w:rFonts w:ascii="宋体" w:hAnsi="宋体" w:eastAsia="宋体" w:cs="宋体"/>
          <w:spacing w:val="-55"/>
          <w:sz w:val="24"/>
          <w:szCs w:val="24"/>
        </w:rPr>
        <w:t xml:space="preserve"> </w:t>
      </w:r>
      <w:r>
        <w:rPr>
          <w:rFonts w:ascii="Times New Roman" w:hAnsi="Times New Roman" w:eastAsia="Times New Roman" w:cs="Times New Roman"/>
          <w:i/>
          <w:iCs/>
          <w:sz w:val="24"/>
          <w:szCs w:val="24"/>
        </w:rPr>
        <w:t>Pinellia</w:t>
      </w:r>
      <w:r>
        <w:rPr>
          <w:rFonts w:ascii="Times New Roman" w:hAnsi="Times New Roman" w:eastAsia="Times New Roman" w:cs="Times New Roman"/>
          <w:i/>
          <w:iCs/>
          <w:spacing w:val="22"/>
          <w:w w:val="101"/>
          <w:sz w:val="24"/>
          <w:szCs w:val="24"/>
        </w:rPr>
        <w:t xml:space="preserve"> </w:t>
      </w:r>
      <w:r>
        <w:rPr>
          <w:rFonts w:ascii="Times New Roman" w:hAnsi="Times New Roman" w:eastAsia="Times New Roman" w:cs="Times New Roman"/>
          <w:i/>
          <w:iCs/>
          <w:sz w:val="24"/>
          <w:szCs w:val="24"/>
        </w:rPr>
        <w:t>ternata</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、西南风铃</w:t>
      </w:r>
    </w:p>
    <w:p>
      <w:pPr>
        <w:spacing w:line="212" w:lineRule="auto"/>
        <w:ind w:left="52"/>
        <w:rPr>
          <w:rFonts w:ascii="宋体" w:hAnsi="宋体" w:eastAsia="宋体" w:cs="宋体"/>
          <w:sz w:val="24"/>
          <w:szCs w:val="24"/>
        </w:rPr>
      </w:pPr>
      <w:r>
        <w:rPr>
          <w:rFonts w:ascii="宋体" w:hAnsi="宋体" w:eastAsia="宋体" w:cs="宋体"/>
          <w:spacing w:val="-1"/>
          <w:sz w:val="24"/>
          <w:szCs w:val="24"/>
        </w:rPr>
        <w:t>草</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Campanula</w:t>
      </w:r>
      <w:r>
        <w:rPr>
          <w:rFonts w:ascii="Times New Roman" w:hAnsi="Times New Roman" w:eastAsia="Times New Roman" w:cs="Times New Roman"/>
          <w:i/>
          <w:iCs/>
          <w:spacing w:val="-27"/>
          <w:sz w:val="24"/>
          <w:szCs w:val="24"/>
        </w:rPr>
        <w:t xml:space="preserve"> </w:t>
      </w:r>
      <w:r>
        <w:rPr>
          <w:rFonts w:ascii="Times New Roman" w:hAnsi="Times New Roman" w:eastAsia="Times New Roman" w:cs="Times New Roman"/>
          <w:i/>
          <w:iCs/>
          <w:spacing w:val="-1"/>
          <w:sz w:val="24"/>
          <w:szCs w:val="24"/>
        </w:rPr>
        <w:t xml:space="preserve">pallida </w:t>
      </w:r>
      <w:r>
        <w:rPr>
          <w:rFonts w:ascii="宋体" w:hAnsi="宋体" w:eastAsia="宋体" w:cs="宋体"/>
          <w:spacing w:val="-1"/>
          <w:sz w:val="24"/>
          <w:szCs w:val="24"/>
        </w:rPr>
        <w:t>等等。</w:t>
      </w:r>
    </w:p>
    <w:p>
      <w:pPr>
        <w:spacing w:before="191" w:line="360" w:lineRule="auto"/>
        <w:ind w:left="48" w:right="205" w:firstLine="482"/>
        <w:rPr>
          <w:rFonts w:ascii="宋体" w:hAnsi="宋体" w:eastAsia="宋体" w:cs="宋体"/>
          <w:sz w:val="24"/>
          <w:szCs w:val="24"/>
        </w:rPr>
      </w:pPr>
      <w:r>
        <w:rPr>
          <w:rFonts w:ascii="宋体" w:hAnsi="宋体" w:eastAsia="宋体" w:cs="宋体"/>
          <w:spacing w:val="-2"/>
          <w:sz w:val="24"/>
          <w:szCs w:val="24"/>
        </w:rPr>
        <w:t>群落中藤本植物极少，常见的藤本植物有钝萼铁线莲</w:t>
      </w:r>
      <w:r>
        <w:rPr>
          <w:rFonts w:ascii="宋体" w:hAnsi="宋体" w:eastAsia="宋体" w:cs="宋体"/>
          <w:spacing w:val="-43"/>
          <w:sz w:val="24"/>
          <w:szCs w:val="24"/>
        </w:rPr>
        <w:t xml:space="preserve"> </w:t>
      </w:r>
      <w:r>
        <w:rPr>
          <w:rFonts w:ascii="Times New Roman" w:hAnsi="Times New Roman" w:eastAsia="Times New Roman" w:cs="Times New Roman"/>
          <w:i/>
          <w:iCs/>
          <w:spacing w:val="-2"/>
          <w:sz w:val="24"/>
          <w:szCs w:val="24"/>
        </w:rPr>
        <w:t>Clemat</w:t>
      </w:r>
      <w:r>
        <w:rPr>
          <w:rFonts w:ascii="Times New Roman" w:hAnsi="Times New Roman" w:eastAsia="Times New Roman" w:cs="Times New Roman"/>
          <w:i/>
          <w:iCs/>
          <w:spacing w:val="-3"/>
          <w:sz w:val="24"/>
          <w:szCs w:val="24"/>
        </w:rPr>
        <w:t>is</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pacing w:val="-3"/>
          <w:sz w:val="24"/>
          <w:szCs w:val="24"/>
        </w:rPr>
        <w:t>peterae</w:t>
      </w:r>
      <w:r>
        <w:rPr>
          <w:rFonts w:ascii="宋体" w:hAnsi="宋体" w:eastAsia="宋体" w:cs="宋体"/>
          <w:spacing w:val="-3"/>
          <w:sz w:val="24"/>
          <w:szCs w:val="24"/>
        </w:rPr>
        <w:t>、黑珠</w:t>
      </w:r>
      <w:r>
        <w:rPr>
          <w:rFonts w:ascii="宋体" w:hAnsi="宋体" w:eastAsia="宋体" w:cs="宋体"/>
          <w:sz w:val="24"/>
          <w:szCs w:val="24"/>
        </w:rPr>
        <w:t xml:space="preserve"> </w:t>
      </w:r>
      <w:r>
        <w:rPr>
          <w:rFonts w:ascii="宋体" w:hAnsi="宋体" w:eastAsia="宋体" w:cs="宋体"/>
          <w:spacing w:val="10"/>
          <w:sz w:val="24"/>
          <w:szCs w:val="24"/>
        </w:rPr>
        <w:t xml:space="preserve">芽薯蓣 </w:t>
      </w:r>
      <w:r>
        <w:rPr>
          <w:rFonts w:ascii="Times New Roman" w:hAnsi="Times New Roman" w:eastAsia="Times New Roman" w:cs="Times New Roman"/>
          <w:i/>
          <w:iCs/>
          <w:sz w:val="24"/>
          <w:szCs w:val="24"/>
        </w:rPr>
        <w:t>Dioscorea</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melanophyma</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、鸡蛋参</w:t>
      </w:r>
      <w:r>
        <w:rPr>
          <w:rFonts w:ascii="宋体" w:hAnsi="宋体" w:eastAsia="宋体" w:cs="宋体"/>
          <w:spacing w:val="53"/>
          <w:sz w:val="24"/>
          <w:szCs w:val="24"/>
        </w:rPr>
        <w:t xml:space="preserve"> </w:t>
      </w:r>
      <w:r>
        <w:rPr>
          <w:rFonts w:ascii="Times New Roman" w:hAnsi="Times New Roman" w:eastAsia="Times New Roman" w:cs="Times New Roman"/>
          <w:i/>
          <w:iCs/>
          <w:sz w:val="24"/>
          <w:szCs w:val="24"/>
        </w:rPr>
        <w:t>Codonopsis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convolvulacea</w:t>
      </w:r>
      <w:r>
        <w:rPr>
          <w:rFonts w:ascii="Times New Roman" w:hAnsi="Times New Roman" w:eastAsia="Times New Roman" w:cs="Times New Roman"/>
          <w:i/>
          <w:iCs/>
          <w:spacing w:val="-31"/>
          <w:sz w:val="24"/>
          <w:szCs w:val="24"/>
        </w:rPr>
        <w:t xml:space="preserve"> </w:t>
      </w:r>
      <w:r>
        <w:rPr>
          <w:rFonts w:ascii="宋体" w:hAnsi="宋体" w:eastAsia="宋体" w:cs="宋体"/>
          <w:spacing w:val="10"/>
          <w:sz w:val="24"/>
          <w:szCs w:val="24"/>
        </w:rPr>
        <w:t>、古钩藤</w:t>
      </w:r>
      <w:r>
        <w:rPr>
          <w:rFonts w:ascii="宋体" w:hAnsi="宋体" w:eastAsia="宋体" w:cs="宋体"/>
          <w:sz w:val="24"/>
          <w:szCs w:val="24"/>
        </w:rPr>
        <w:t xml:space="preserve"> </w:t>
      </w:r>
      <w:r>
        <w:rPr>
          <w:rFonts w:ascii="Times New Roman" w:hAnsi="Times New Roman" w:eastAsia="Times New Roman" w:cs="Times New Roman"/>
          <w:i/>
          <w:iCs/>
          <w:sz w:val="24"/>
          <w:szCs w:val="24"/>
        </w:rPr>
        <w:t>Cryptolepis</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buchananii</w:t>
      </w:r>
      <w:r>
        <w:rPr>
          <w:rFonts w:ascii="宋体" w:hAnsi="宋体" w:eastAsia="宋体" w:cs="宋体"/>
          <w:spacing w:val="3"/>
          <w:sz w:val="24"/>
          <w:szCs w:val="24"/>
        </w:rPr>
        <w:t xml:space="preserve">、络石 </w:t>
      </w:r>
      <w:r>
        <w:rPr>
          <w:rFonts w:ascii="Times New Roman" w:hAnsi="Times New Roman" w:eastAsia="Times New Roman" w:cs="Times New Roman"/>
          <w:i/>
          <w:iCs/>
          <w:sz w:val="24"/>
          <w:szCs w:val="24"/>
        </w:rPr>
        <w:t>Trachelospermum</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z w:val="24"/>
          <w:szCs w:val="24"/>
        </w:rPr>
        <w:t>jasminoides</w:t>
      </w:r>
      <w:r>
        <w:rPr>
          <w:rFonts w:ascii="宋体" w:hAnsi="宋体" w:eastAsia="宋体" w:cs="宋体"/>
          <w:spacing w:val="3"/>
          <w:sz w:val="24"/>
          <w:szCs w:val="24"/>
        </w:rPr>
        <w:t xml:space="preserve">、青羊参 </w:t>
      </w:r>
      <w:r>
        <w:rPr>
          <w:rFonts w:ascii="Times New Roman" w:hAnsi="Times New Roman" w:eastAsia="Times New Roman" w:cs="Times New Roman"/>
          <w:i/>
          <w:iCs/>
          <w:sz w:val="24"/>
          <w:szCs w:val="24"/>
        </w:rPr>
        <w:t xml:space="preserve">Cynanchum </w:t>
      </w:r>
      <w:r>
        <w:rPr>
          <w:rFonts w:ascii="Times New Roman" w:hAnsi="Times New Roman" w:eastAsia="Times New Roman" w:cs="Times New Roman"/>
          <w:i/>
          <w:iCs/>
          <w:spacing w:val="-4"/>
          <w:sz w:val="24"/>
          <w:szCs w:val="24"/>
        </w:rPr>
        <w:t>otophyllum</w:t>
      </w:r>
      <w:r>
        <w:rPr>
          <w:rFonts w:ascii="宋体" w:hAnsi="宋体" w:eastAsia="宋体" w:cs="宋体"/>
          <w:spacing w:val="-4"/>
          <w:sz w:val="24"/>
          <w:szCs w:val="24"/>
        </w:rPr>
        <w:t>、何首乌</w:t>
      </w:r>
      <w:r>
        <w:rPr>
          <w:rFonts w:ascii="宋体" w:hAnsi="宋体" w:eastAsia="宋体" w:cs="宋体"/>
          <w:spacing w:val="-65"/>
          <w:sz w:val="24"/>
          <w:szCs w:val="24"/>
        </w:rPr>
        <w:t xml:space="preserve"> </w:t>
      </w:r>
      <w:r>
        <w:rPr>
          <w:rFonts w:ascii="Times New Roman" w:hAnsi="Times New Roman" w:eastAsia="Times New Roman" w:cs="Times New Roman"/>
          <w:i/>
          <w:iCs/>
          <w:spacing w:val="-4"/>
          <w:sz w:val="24"/>
          <w:szCs w:val="24"/>
        </w:rPr>
        <w:t>Fallopia multiflora</w:t>
      </w:r>
      <w:r>
        <w:rPr>
          <w:rFonts w:ascii="宋体" w:hAnsi="宋体" w:eastAsia="宋体" w:cs="宋体"/>
          <w:spacing w:val="-4"/>
          <w:sz w:val="24"/>
          <w:szCs w:val="24"/>
        </w:rPr>
        <w:t>、马甲菝葜</w:t>
      </w:r>
      <w:r>
        <w:rPr>
          <w:rFonts w:ascii="宋体" w:hAnsi="宋体" w:eastAsia="宋体" w:cs="宋体"/>
          <w:spacing w:val="-59"/>
          <w:sz w:val="24"/>
          <w:szCs w:val="24"/>
        </w:rPr>
        <w:t xml:space="preserve"> </w:t>
      </w:r>
      <w:r>
        <w:rPr>
          <w:rFonts w:ascii="Times New Roman" w:hAnsi="Times New Roman" w:eastAsia="Times New Roman" w:cs="Times New Roman"/>
          <w:i/>
          <w:iCs/>
          <w:spacing w:val="-4"/>
          <w:sz w:val="24"/>
          <w:szCs w:val="24"/>
        </w:rPr>
        <w:t>Smilax lanceifoli</w:t>
      </w:r>
      <w:r>
        <w:rPr>
          <w:rFonts w:ascii="Times New Roman" w:hAnsi="Times New Roman" w:eastAsia="Times New Roman" w:cs="Times New Roman"/>
          <w:i/>
          <w:iCs/>
          <w:spacing w:val="-5"/>
          <w:sz w:val="24"/>
          <w:szCs w:val="24"/>
        </w:rPr>
        <w:t xml:space="preserve">a </w:t>
      </w:r>
      <w:r>
        <w:rPr>
          <w:rFonts w:ascii="宋体" w:hAnsi="宋体" w:eastAsia="宋体" w:cs="宋体"/>
          <w:spacing w:val="-5"/>
          <w:sz w:val="24"/>
          <w:szCs w:val="24"/>
        </w:rPr>
        <w:t>等。另外， 附</w:t>
      </w:r>
      <w:r>
        <w:rPr>
          <w:rFonts w:ascii="宋体" w:hAnsi="宋体" w:eastAsia="宋体" w:cs="宋体"/>
          <w:sz w:val="24"/>
          <w:szCs w:val="24"/>
        </w:rPr>
        <w:t xml:space="preserve"> </w:t>
      </w:r>
      <w:r>
        <w:rPr>
          <w:rFonts w:ascii="宋体" w:hAnsi="宋体" w:eastAsia="宋体" w:cs="宋体"/>
          <w:spacing w:val="-2"/>
          <w:sz w:val="24"/>
          <w:szCs w:val="24"/>
        </w:rPr>
        <w:t>生植物极少，仅有松柏钝果寄生</w:t>
      </w:r>
      <w:r>
        <w:rPr>
          <w:rFonts w:ascii="宋体" w:hAnsi="宋体" w:eastAsia="宋体" w:cs="宋体"/>
          <w:spacing w:val="-42"/>
          <w:sz w:val="24"/>
          <w:szCs w:val="24"/>
        </w:rPr>
        <w:t xml:space="preserve"> </w:t>
      </w:r>
      <w:r>
        <w:rPr>
          <w:rFonts w:ascii="Times New Roman" w:hAnsi="Times New Roman" w:eastAsia="Times New Roman" w:cs="Times New Roman"/>
          <w:i/>
          <w:iCs/>
          <w:spacing w:val="-2"/>
          <w:sz w:val="24"/>
          <w:szCs w:val="24"/>
        </w:rPr>
        <w:t>Taxilluscal</w:t>
      </w:r>
      <w:r>
        <w:rPr>
          <w:rFonts w:ascii="Times New Roman" w:hAnsi="Times New Roman" w:eastAsia="Times New Roman" w:cs="Times New Roman"/>
          <w:i/>
          <w:iCs/>
          <w:spacing w:val="-3"/>
          <w:sz w:val="24"/>
          <w:szCs w:val="24"/>
        </w:rPr>
        <w:t>oreas</w:t>
      </w:r>
      <w:r>
        <w:rPr>
          <w:rFonts w:ascii="宋体" w:hAnsi="宋体" w:eastAsia="宋体" w:cs="宋体"/>
          <w:spacing w:val="-3"/>
          <w:sz w:val="24"/>
          <w:szCs w:val="24"/>
        </w:rPr>
        <w:t>、瓦韦</w:t>
      </w:r>
      <w:r>
        <w:rPr>
          <w:rFonts w:ascii="宋体" w:hAnsi="宋体" w:eastAsia="宋体" w:cs="宋体"/>
          <w:spacing w:val="-68"/>
          <w:sz w:val="24"/>
          <w:szCs w:val="24"/>
        </w:rPr>
        <w:t xml:space="preserve"> </w:t>
      </w:r>
      <w:r>
        <w:rPr>
          <w:rFonts w:ascii="Times New Roman" w:hAnsi="Times New Roman" w:eastAsia="Times New Roman" w:cs="Times New Roman"/>
          <w:i/>
          <w:iCs/>
          <w:spacing w:val="-3"/>
          <w:sz w:val="24"/>
          <w:szCs w:val="24"/>
        </w:rPr>
        <w:t>Lepisorus thunbergianus</w:t>
      </w:r>
      <w:r>
        <w:rPr>
          <w:rFonts w:ascii="宋体" w:hAnsi="宋体" w:eastAsia="宋体" w:cs="宋体"/>
          <w:spacing w:val="-3"/>
          <w:sz w:val="24"/>
          <w:szCs w:val="24"/>
        </w:rPr>
        <w:t>、</w:t>
      </w:r>
    </w:p>
    <w:p>
      <w:pPr>
        <w:spacing w:before="1" w:line="212" w:lineRule="auto"/>
        <w:ind w:left="50"/>
        <w:rPr>
          <w:rFonts w:ascii="宋体" w:hAnsi="宋体" w:eastAsia="宋体" w:cs="宋体"/>
          <w:sz w:val="24"/>
          <w:szCs w:val="24"/>
        </w:rPr>
      </w:pPr>
      <w:r>
        <w:rPr>
          <w:rFonts w:ascii="宋体" w:hAnsi="宋体" w:eastAsia="宋体" w:cs="宋体"/>
          <w:spacing w:val="-1"/>
          <w:sz w:val="24"/>
          <w:szCs w:val="24"/>
        </w:rPr>
        <w:t>块茎卷柏</w:t>
      </w:r>
      <w:r>
        <w:rPr>
          <w:rFonts w:ascii="宋体" w:hAnsi="宋体" w:eastAsia="宋体" w:cs="宋体"/>
          <w:spacing w:val="-50"/>
          <w:sz w:val="24"/>
          <w:szCs w:val="24"/>
        </w:rPr>
        <w:t xml:space="preserve"> </w:t>
      </w:r>
      <w:r>
        <w:rPr>
          <w:rFonts w:ascii="Times New Roman" w:hAnsi="Times New Roman" w:eastAsia="Times New Roman" w:cs="Times New Roman"/>
          <w:i/>
          <w:iCs/>
          <w:spacing w:val="-1"/>
          <w:sz w:val="24"/>
          <w:szCs w:val="24"/>
        </w:rPr>
        <w:t>Selaginella chrysocaulos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 xml:space="preserve">、铁角蕨 </w:t>
      </w:r>
      <w:r>
        <w:rPr>
          <w:rFonts w:ascii="Times New Roman" w:hAnsi="Times New Roman" w:eastAsia="Times New Roman" w:cs="Times New Roman"/>
          <w:i/>
          <w:iCs/>
          <w:spacing w:val="-1"/>
          <w:sz w:val="24"/>
          <w:szCs w:val="24"/>
        </w:rPr>
        <w:t xml:space="preserve">Asplenium trichomanes </w:t>
      </w:r>
      <w:r>
        <w:rPr>
          <w:rFonts w:ascii="宋体" w:hAnsi="宋体" w:eastAsia="宋体" w:cs="宋体"/>
          <w:spacing w:val="-1"/>
          <w:sz w:val="24"/>
          <w:szCs w:val="24"/>
        </w:rPr>
        <w:t>等。</w:t>
      </w:r>
    </w:p>
    <w:p>
      <w:pPr>
        <w:spacing w:before="191" w:line="220" w:lineRule="auto"/>
        <w:ind w:left="557"/>
        <w:rPr>
          <w:rFonts w:ascii="宋体" w:hAnsi="宋体" w:eastAsia="宋体" w:cs="宋体"/>
          <w:sz w:val="24"/>
          <w:szCs w:val="24"/>
        </w:rPr>
      </w:pPr>
      <w:r>
        <w:rPr>
          <w:rFonts w:ascii="宋体" w:hAnsi="宋体" w:eastAsia="宋体" w:cs="宋体"/>
          <w:spacing w:val="-5"/>
          <w:sz w:val="24"/>
          <w:szCs w:val="24"/>
        </w:rPr>
        <w:t>Ⅴ</w:t>
      </w:r>
      <w:r>
        <w:rPr>
          <w:rFonts w:ascii="Times New Roman" w:hAnsi="Times New Roman" w:eastAsia="Times New Roman" w:cs="Times New Roman"/>
          <w:spacing w:val="-5"/>
          <w:sz w:val="24"/>
          <w:szCs w:val="24"/>
        </w:rPr>
        <w:t>.</w:t>
      </w:r>
      <w:r>
        <w:rPr>
          <w:rFonts w:ascii="宋体" w:hAnsi="宋体" w:eastAsia="宋体" w:cs="宋体"/>
          <w:spacing w:val="-5"/>
          <w:sz w:val="24"/>
          <w:szCs w:val="24"/>
        </w:rPr>
        <w:t>稀树灌木草丛</w:t>
      </w:r>
    </w:p>
    <w:p>
      <w:pPr>
        <w:spacing w:before="183" w:line="360" w:lineRule="auto"/>
        <w:ind w:left="48" w:right="137" w:firstLine="480"/>
        <w:rPr>
          <w:rFonts w:ascii="宋体" w:hAnsi="宋体" w:eastAsia="宋体" w:cs="宋体"/>
          <w:sz w:val="24"/>
          <w:szCs w:val="24"/>
        </w:rPr>
      </w:pPr>
      <w:r>
        <w:rPr>
          <w:rFonts w:ascii="宋体" w:hAnsi="宋体" w:eastAsia="宋体" w:cs="宋体"/>
          <w:spacing w:val="-11"/>
          <w:sz w:val="24"/>
          <w:szCs w:val="24"/>
        </w:rPr>
        <w:t>在云南， 稀树灌木草丛是一类分布十分广泛的类型。群落以草丛为主，</w:t>
      </w:r>
      <w:r>
        <w:rPr>
          <w:rFonts w:ascii="宋体" w:hAnsi="宋体" w:eastAsia="宋体" w:cs="宋体"/>
          <w:spacing w:val="33"/>
          <w:sz w:val="24"/>
          <w:szCs w:val="24"/>
        </w:rPr>
        <w:t xml:space="preserve"> </w:t>
      </w:r>
      <w:r>
        <w:rPr>
          <w:rFonts w:ascii="宋体" w:hAnsi="宋体" w:eastAsia="宋体" w:cs="宋体"/>
          <w:spacing w:val="-12"/>
          <w:sz w:val="24"/>
          <w:szCs w:val="24"/>
        </w:rPr>
        <w:t>期间</w:t>
      </w:r>
      <w:r>
        <w:rPr>
          <w:rFonts w:ascii="宋体" w:hAnsi="宋体" w:eastAsia="宋体" w:cs="宋体"/>
          <w:sz w:val="24"/>
          <w:szCs w:val="24"/>
        </w:rPr>
        <w:t xml:space="preserve"> </w:t>
      </w:r>
      <w:r>
        <w:rPr>
          <w:rFonts w:ascii="宋体" w:hAnsi="宋体" w:eastAsia="宋体" w:cs="宋体"/>
          <w:spacing w:val="-11"/>
          <w:sz w:val="24"/>
          <w:szCs w:val="24"/>
        </w:rPr>
        <w:t>散生灌木和乔木。灌木一般低矮，有时高度不及草丛，散生的乔木一般生长不良，</w:t>
      </w:r>
      <w:r>
        <w:rPr>
          <w:rFonts w:ascii="宋体" w:hAnsi="宋体" w:eastAsia="宋体" w:cs="宋体"/>
          <w:sz w:val="24"/>
          <w:szCs w:val="24"/>
        </w:rPr>
        <w:t xml:space="preserve">  </w:t>
      </w:r>
      <w:r>
        <w:rPr>
          <w:rFonts w:ascii="宋体" w:hAnsi="宋体" w:eastAsia="宋体" w:cs="宋体"/>
          <w:spacing w:val="-6"/>
          <w:sz w:val="24"/>
          <w:szCs w:val="24"/>
        </w:rPr>
        <w:t>不规则地在成片草丛上散布着，</w:t>
      </w:r>
      <w:r>
        <w:rPr>
          <w:rFonts w:ascii="宋体" w:hAnsi="宋体" w:eastAsia="宋体" w:cs="宋体"/>
          <w:spacing w:val="32"/>
          <w:sz w:val="24"/>
          <w:szCs w:val="24"/>
        </w:rPr>
        <w:t xml:space="preserve"> </w:t>
      </w:r>
      <w:r>
        <w:rPr>
          <w:rFonts w:ascii="宋体" w:hAnsi="宋体" w:eastAsia="宋体" w:cs="宋体"/>
          <w:spacing w:val="-6"/>
          <w:sz w:val="24"/>
          <w:szCs w:val="24"/>
        </w:rPr>
        <w:t>外观似为</w:t>
      </w:r>
      <w:r>
        <w:rPr>
          <w:rFonts w:ascii="Times New Roman" w:hAnsi="Times New Roman" w:eastAsia="Times New Roman" w:cs="Times New Roman"/>
          <w:spacing w:val="-6"/>
          <w:sz w:val="24"/>
          <w:szCs w:val="24"/>
        </w:rPr>
        <w:t>“</w:t>
      </w:r>
      <w:r>
        <w:rPr>
          <w:rFonts w:ascii="宋体" w:hAnsi="宋体" w:eastAsia="宋体" w:cs="宋体"/>
          <w:spacing w:val="-6"/>
          <w:sz w:val="24"/>
          <w:szCs w:val="24"/>
        </w:rPr>
        <w:t>稀树草原</w:t>
      </w:r>
      <w:r>
        <w:rPr>
          <w:rFonts w:ascii="Times New Roman" w:hAnsi="Times New Roman" w:eastAsia="Times New Roman" w:cs="Times New Roman"/>
          <w:spacing w:val="-6"/>
          <w:sz w:val="24"/>
          <w:szCs w:val="24"/>
        </w:rPr>
        <w:t>”</w:t>
      </w:r>
      <w:r>
        <w:rPr>
          <w:rFonts w:ascii="宋体" w:hAnsi="宋体" w:eastAsia="宋体" w:cs="宋体"/>
          <w:spacing w:val="-6"/>
          <w:sz w:val="24"/>
          <w:szCs w:val="24"/>
        </w:rPr>
        <w:t>。</w:t>
      </w:r>
      <w:r>
        <w:rPr>
          <w:rFonts w:ascii="宋体" w:hAnsi="宋体" w:eastAsia="宋体" w:cs="宋体"/>
          <w:spacing w:val="-7"/>
          <w:sz w:val="24"/>
          <w:szCs w:val="24"/>
        </w:rPr>
        <w:t>本类植被的一个重要特征</w:t>
      </w:r>
      <w:r>
        <w:rPr>
          <w:rFonts w:ascii="宋体" w:hAnsi="宋体" w:eastAsia="宋体" w:cs="宋体"/>
          <w:sz w:val="24"/>
          <w:szCs w:val="24"/>
        </w:rPr>
        <w:t xml:space="preserve"> </w:t>
      </w:r>
      <w:r>
        <w:rPr>
          <w:rFonts w:ascii="宋体" w:hAnsi="宋体" w:eastAsia="宋体" w:cs="宋体"/>
          <w:spacing w:val="-10"/>
          <w:sz w:val="24"/>
          <w:szCs w:val="24"/>
        </w:rPr>
        <w:t>是：草丛中以广泛分布于亚热带或热带的多年生丛生禾草为主，</w:t>
      </w:r>
      <w:r>
        <w:rPr>
          <w:rFonts w:ascii="宋体" w:hAnsi="宋体" w:eastAsia="宋体" w:cs="宋体"/>
          <w:spacing w:val="-34"/>
          <w:sz w:val="24"/>
          <w:szCs w:val="24"/>
        </w:rPr>
        <w:t xml:space="preserve"> </w:t>
      </w:r>
      <w:r>
        <w:rPr>
          <w:rFonts w:ascii="宋体" w:hAnsi="宋体" w:eastAsia="宋体" w:cs="宋体"/>
          <w:spacing w:val="-10"/>
          <w:sz w:val="24"/>
          <w:szCs w:val="24"/>
        </w:rPr>
        <w:t>一般较高大粗壮，</w:t>
      </w:r>
      <w:r>
        <w:rPr>
          <w:rFonts w:ascii="宋体" w:hAnsi="宋体" w:eastAsia="宋体" w:cs="宋体"/>
          <w:sz w:val="24"/>
          <w:szCs w:val="24"/>
        </w:rPr>
        <w:t xml:space="preserve"> </w:t>
      </w:r>
      <w:r>
        <w:rPr>
          <w:rFonts w:ascii="宋体" w:hAnsi="宋体" w:eastAsia="宋体" w:cs="宋体"/>
          <w:spacing w:val="-11"/>
          <w:sz w:val="24"/>
          <w:szCs w:val="24"/>
        </w:rPr>
        <w:t>其高度从</w:t>
      </w:r>
      <w:r>
        <w:rPr>
          <w:rFonts w:ascii="宋体" w:hAnsi="宋体" w:eastAsia="宋体" w:cs="宋体"/>
          <w:spacing w:val="-52"/>
          <w:sz w:val="24"/>
          <w:szCs w:val="24"/>
        </w:rPr>
        <w:t xml:space="preserve"> </w:t>
      </w:r>
      <w:r>
        <w:rPr>
          <w:rFonts w:ascii="Times New Roman" w:hAnsi="Times New Roman" w:eastAsia="Times New Roman" w:cs="Times New Roman"/>
          <w:spacing w:val="-11"/>
          <w:sz w:val="24"/>
          <w:szCs w:val="24"/>
        </w:rPr>
        <w:t xml:space="preserve">0.5 </w:t>
      </w:r>
      <w:r>
        <w:rPr>
          <w:rFonts w:ascii="宋体" w:hAnsi="宋体" w:eastAsia="宋体" w:cs="宋体"/>
          <w:spacing w:val="-11"/>
          <w:sz w:val="24"/>
          <w:szCs w:val="24"/>
        </w:rPr>
        <w:t>米到</w:t>
      </w:r>
      <w:r>
        <w:rPr>
          <w:rFonts w:ascii="宋体" w:hAnsi="宋体" w:eastAsia="宋体" w:cs="宋体"/>
          <w:spacing w:val="-56"/>
          <w:sz w:val="24"/>
          <w:szCs w:val="24"/>
        </w:rPr>
        <w:t xml:space="preserve"> </w:t>
      </w:r>
      <w:r>
        <w:rPr>
          <w:rFonts w:ascii="Times New Roman" w:hAnsi="Times New Roman" w:eastAsia="Times New Roman" w:cs="Times New Roman"/>
          <w:spacing w:val="-11"/>
          <w:sz w:val="24"/>
          <w:szCs w:val="24"/>
        </w:rPr>
        <w:t xml:space="preserve">4 </w:t>
      </w:r>
      <w:r>
        <w:rPr>
          <w:rFonts w:ascii="宋体" w:hAnsi="宋体" w:eastAsia="宋体" w:cs="宋体"/>
          <w:spacing w:val="-11"/>
          <w:sz w:val="24"/>
          <w:szCs w:val="24"/>
        </w:rPr>
        <w:t>米多不等。除禾草外，</w:t>
      </w:r>
      <w:r>
        <w:rPr>
          <w:rFonts w:ascii="宋体" w:hAnsi="宋体" w:eastAsia="宋体" w:cs="宋体"/>
          <w:spacing w:val="-29"/>
          <w:sz w:val="24"/>
          <w:szCs w:val="24"/>
        </w:rPr>
        <w:t xml:space="preserve"> </w:t>
      </w:r>
      <w:r>
        <w:rPr>
          <w:rFonts w:ascii="宋体" w:hAnsi="宋体" w:eastAsia="宋体" w:cs="宋体"/>
          <w:spacing w:val="-11"/>
          <w:sz w:val="24"/>
          <w:szCs w:val="24"/>
        </w:rPr>
        <w:t>其他草本种类、木本</w:t>
      </w:r>
      <w:r>
        <w:rPr>
          <w:rFonts w:ascii="宋体" w:hAnsi="宋体" w:eastAsia="宋体" w:cs="宋体"/>
          <w:spacing w:val="-12"/>
          <w:sz w:val="24"/>
          <w:szCs w:val="24"/>
        </w:rPr>
        <w:t>种类虽十分多样，</w:t>
      </w:r>
      <w:r>
        <w:rPr>
          <w:rFonts w:ascii="宋体" w:hAnsi="宋体" w:eastAsia="宋体" w:cs="宋体"/>
          <w:sz w:val="24"/>
          <w:szCs w:val="24"/>
        </w:rPr>
        <w:t xml:space="preserve">  </w:t>
      </w:r>
      <w:r>
        <w:rPr>
          <w:rFonts w:ascii="宋体" w:hAnsi="宋体" w:eastAsia="宋体" w:cs="宋体"/>
          <w:spacing w:val="-3"/>
          <w:sz w:val="24"/>
          <w:szCs w:val="24"/>
        </w:rPr>
        <w:t>但都是当地次生林或此生灌木种的种类。所有的乔木、灌木、草本都为喜阳耐寒</w:t>
      </w:r>
      <w:r>
        <w:rPr>
          <w:rFonts w:ascii="宋体" w:hAnsi="宋体" w:eastAsia="宋体" w:cs="宋体"/>
          <w:spacing w:val="2"/>
          <w:sz w:val="24"/>
          <w:szCs w:val="24"/>
        </w:rPr>
        <w:t xml:space="preserve"> </w:t>
      </w:r>
      <w:r>
        <w:rPr>
          <w:rFonts w:ascii="宋体" w:hAnsi="宋体" w:eastAsia="宋体" w:cs="宋体"/>
          <w:spacing w:val="-11"/>
          <w:sz w:val="24"/>
          <w:szCs w:val="24"/>
        </w:rPr>
        <w:t>的种类， 而且在土壤贫瘠、耐放牧、耐践踏、耐火烧、萌发力强等等方面，</w:t>
      </w:r>
      <w:r>
        <w:rPr>
          <w:rFonts w:ascii="宋体" w:hAnsi="宋体" w:eastAsia="宋体" w:cs="宋体"/>
          <w:spacing w:val="60"/>
          <w:sz w:val="24"/>
          <w:szCs w:val="24"/>
        </w:rPr>
        <w:t xml:space="preserve"> </w:t>
      </w:r>
      <w:r>
        <w:rPr>
          <w:rFonts w:ascii="宋体" w:hAnsi="宋体" w:eastAsia="宋体" w:cs="宋体"/>
          <w:spacing w:val="-11"/>
          <w:sz w:val="24"/>
          <w:szCs w:val="24"/>
        </w:rPr>
        <w:t>都有</w:t>
      </w:r>
    </w:p>
    <w:p>
      <w:pPr>
        <w:spacing w:line="220" w:lineRule="auto"/>
        <w:ind w:left="50"/>
        <w:rPr>
          <w:rFonts w:ascii="宋体" w:hAnsi="宋体" w:eastAsia="宋体" w:cs="宋体"/>
          <w:sz w:val="24"/>
          <w:szCs w:val="24"/>
        </w:rPr>
      </w:pPr>
      <w:r>
        <w:rPr>
          <w:rFonts w:ascii="宋体" w:hAnsi="宋体" w:eastAsia="宋体" w:cs="宋体"/>
          <w:spacing w:val="-7"/>
          <w:sz w:val="24"/>
          <w:szCs w:val="24"/>
        </w:rPr>
        <w:t>相似之处。</w:t>
      </w:r>
    </w:p>
    <w:p>
      <w:pPr>
        <w:spacing w:line="220" w:lineRule="auto"/>
        <w:rPr>
          <w:rFonts w:ascii="宋体" w:hAnsi="宋体" w:eastAsia="宋体" w:cs="宋体"/>
          <w:sz w:val="24"/>
          <w:szCs w:val="24"/>
        </w:rPr>
        <w:sectPr>
          <w:headerReference r:id="rId256" w:type="default"/>
          <w:footerReference r:id="rId257" w:type="default"/>
          <w:pgSz w:w="11907" w:h="16839"/>
          <w:pgMar w:top="1156" w:right="1593" w:bottom="1374" w:left="1759" w:header="881" w:footer="1210" w:gutter="0"/>
        </w:sectPr>
      </w:pPr>
    </w:p>
    <w:p>
      <w:pPr>
        <w:spacing w:line="317" w:lineRule="auto"/>
        <w:rPr>
          <w:rFonts w:ascii="Arial"/>
          <w:sz w:val="21"/>
        </w:rPr>
      </w:pPr>
    </w:p>
    <w:p>
      <w:pPr>
        <w:spacing w:before="78" w:line="360" w:lineRule="auto"/>
        <w:ind w:left="38" w:firstLine="480"/>
        <w:jc w:val="both"/>
        <w:rPr>
          <w:rFonts w:ascii="宋体" w:hAnsi="宋体" w:eastAsia="宋体" w:cs="宋体"/>
          <w:sz w:val="24"/>
          <w:szCs w:val="24"/>
        </w:rPr>
      </w:pPr>
      <w:r>
        <w:rPr>
          <w:rFonts w:ascii="宋体" w:hAnsi="宋体" w:eastAsia="宋体" w:cs="宋体"/>
          <w:spacing w:val="-3"/>
          <w:sz w:val="24"/>
          <w:szCs w:val="24"/>
        </w:rPr>
        <w:t>稀树灌木草丛主要分布于亚热带常绿阔叶林或热带季雨林分布的地</w:t>
      </w:r>
      <w:r>
        <w:rPr>
          <w:rFonts w:ascii="宋体" w:hAnsi="宋体" w:eastAsia="宋体" w:cs="宋体"/>
          <w:spacing w:val="-4"/>
          <w:sz w:val="24"/>
          <w:szCs w:val="24"/>
        </w:rPr>
        <w:t>区，分布</w:t>
      </w:r>
      <w:r>
        <w:rPr>
          <w:rFonts w:ascii="宋体" w:hAnsi="宋体" w:eastAsia="宋体" w:cs="宋体"/>
          <w:sz w:val="24"/>
          <w:szCs w:val="24"/>
        </w:rPr>
        <w:t xml:space="preserve"> </w:t>
      </w:r>
      <w:r>
        <w:rPr>
          <w:rFonts w:ascii="宋体" w:hAnsi="宋体" w:eastAsia="宋体" w:cs="宋体"/>
          <w:spacing w:val="-2"/>
          <w:sz w:val="24"/>
          <w:szCs w:val="24"/>
        </w:rPr>
        <w:t xml:space="preserve">范围集中在海拔 </w:t>
      </w:r>
      <w:r>
        <w:rPr>
          <w:rFonts w:ascii="Times New Roman" w:hAnsi="Times New Roman" w:eastAsia="Times New Roman" w:cs="Times New Roman"/>
          <w:spacing w:val="-2"/>
          <w:sz w:val="24"/>
          <w:szCs w:val="24"/>
        </w:rPr>
        <w:t>2500m</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以下，比较接近于</w:t>
      </w:r>
      <w:r>
        <w:rPr>
          <w:rFonts w:ascii="Times New Roman" w:hAnsi="Times New Roman" w:eastAsia="Times New Roman" w:cs="Times New Roman"/>
          <w:spacing w:val="-2"/>
          <w:sz w:val="24"/>
          <w:szCs w:val="24"/>
        </w:rPr>
        <w:t>“</w:t>
      </w:r>
      <w:r>
        <w:rPr>
          <w:rFonts w:ascii="宋体" w:hAnsi="宋体" w:eastAsia="宋体" w:cs="宋体"/>
          <w:spacing w:val="-2"/>
          <w:sz w:val="24"/>
          <w:szCs w:val="24"/>
        </w:rPr>
        <w:t>稀树草原</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的类型分布</w:t>
      </w:r>
      <w:r>
        <w:rPr>
          <w:rFonts w:ascii="宋体" w:hAnsi="宋体" w:eastAsia="宋体" w:cs="宋体"/>
          <w:spacing w:val="-3"/>
          <w:sz w:val="24"/>
          <w:szCs w:val="24"/>
        </w:rPr>
        <w:t>在我省亚热带</w:t>
      </w:r>
      <w:r>
        <w:rPr>
          <w:rFonts w:ascii="宋体" w:hAnsi="宋体" w:eastAsia="宋体" w:cs="宋体"/>
          <w:sz w:val="24"/>
          <w:szCs w:val="24"/>
        </w:rPr>
        <w:t xml:space="preserve"> </w:t>
      </w:r>
      <w:r>
        <w:rPr>
          <w:rFonts w:ascii="宋体" w:hAnsi="宋体" w:eastAsia="宋体" w:cs="宋体"/>
          <w:spacing w:val="-12"/>
          <w:sz w:val="24"/>
          <w:szCs w:val="24"/>
        </w:rPr>
        <w:t>的干热河谷，</w:t>
      </w:r>
      <w:r>
        <w:rPr>
          <w:rFonts w:ascii="宋体" w:hAnsi="宋体" w:eastAsia="宋体" w:cs="宋体"/>
          <w:spacing w:val="39"/>
          <w:sz w:val="24"/>
          <w:szCs w:val="24"/>
        </w:rPr>
        <w:t xml:space="preserve"> </w:t>
      </w:r>
      <w:r>
        <w:rPr>
          <w:rFonts w:ascii="宋体" w:hAnsi="宋体" w:eastAsia="宋体" w:cs="宋体"/>
          <w:spacing w:val="-12"/>
          <w:sz w:val="24"/>
          <w:szCs w:val="24"/>
        </w:rPr>
        <w:t>主要是红河、金沙江的深陷河谷。由于当地气候干热，</w:t>
      </w:r>
      <w:r>
        <w:rPr>
          <w:rFonts w:ascii="宋体" w:hAnsi="宋体" w:eastAsia="宋体" w:cs="宋体"/>
          <w:spacing w:val="38"/>
          <w:sz w:val="24"/>
          <w:szCs w:val="24"/>
        </w:rPr>
        <w:t xml:space="preserve"> </w:t>
      </w:r>
      <w:r>
        <w:rPr>
          <w:rFonts w:ascii="宋体" w:hAnsi="宋体" w:eastAsia="宋体" w:cs="宋体"/>
          <w:spacing w:val="-12"/>
          <w:sz w:val="24"/>
          <w:szCs w:val="24"/>
        </w:rPr>
        <w:t>土壤贫</w:t>
      </w:r>
      <w:r>
        <w:rPr>
          <w:rFonts w:ascii="宋体" w:hAnsi="宋体" w:eastAsia="宋体" w:cs="宋体"/>
          <w:spacing w:val="-13"/>
          <w:sz w:val="24"/>
          <w:szCs w:val="24"/>
        </w:rPr>
        <w:t>瘠干</w:t>
      </w:r>
      <w:r>
        <w:rPr>
          <w:rFonts w:ascii="宋体" w:hAnsi="宋体" w:eastAsia="宋体" w:cs="宋体"/>
          <w:sz w:val="24"/>
          <w:szCs w:val="24"/>
        </w:rPr>
        <w:t xml:space="preserve"> </w:t>
      </w:r>
      <w:r>
        <w:rPr>
          <w:rFonts w:ascii="宋体" w:hAnsi="宋体" w:eastAsia="宋体" w:cs="宋体"/>
          <w:spacing w:val="-10"/>
          <w:sz w:val="24"/>
          <w:szCs w:val="24"/>
        </w:rPr>
        <w:t>旱，</w:t>
      </w:r>
      <w:r>
        <w:rPr>
          <w:rFonts w:ascii="宋体" w:hAnsi="宋体" w:eastAsia="宋体" w:cs="宋体"/>
          <w:spacing w:val="-36"/>
          <w:sz w:val="24"/>
          <w:szCs w:val="24"/>
        </w:rPr>
        <w:t xml:space="preserve"> </w:t>
      </w:r>
      <w:r>
        <w:rPr>
          <w:rFonts w:ascii="宋体" w:hAnsi="宋体" w:eastAsia="宋体" w:cs="宋体"/>
          <w:spacing w:val="-10"/>
          <w:sz w:val="24"/>
          <w:szCs w:val="24"/>
        </w:rPr>
        <w:t>水土冲刷严重，</w:t>
      </w:r>
      <w:r>
        <w:rPr>
          <w:rFonts w:ascii="宋体" w:hAnsi="宋体" w:eastAsia="宋体" w:cs="宋体"/>
          <w:spacing w:val="41"/>
          <w:sz w:val="24"/>
          <w:szCs w:val="24"/>
        </w:rPr>
        <w:t xml:space="preserve"> </w:t>
      </w:r>
      <w:r>
        <w:rPr>
          <w:rFonts w:ascii="宋体" w:hAnsi="宋体" w:eastAsia="宋体" w:cs="宋体"/>
          <w:spacing w:val="-10"/>
          <w:sz w:val="24"/>
          <w:szCs w:val="24"/>
        </w:rPr>
        <w:t>不断受到放牧、火烧和砍樵等人为影响。这些河谷坡面上的</w:t>
      </w:r>
      <w:r>
        <w:rPr>
          <w:rFonts w:ascii="宋体" w:hAnsi="宋体" w:eastAsia="宋体" w:cs="宋体"/>
          <w:sz w:val="24"/>
          <w:szCs w:val="24"/>
        </w:rPr>
        <w:t xml:space="preserve"> </w:t>
      </w:r>
      <w:r>
        <w:rPr>
          <w:rFonts w:ascii="宋体" w:hAnsi="宋体" w:eastAsia="宋体" w:cs="宋体"/>
          <w:spacing w:val="-1"/>
          <w:sz w:val="24"/>
          <w:szCs w:val="24"/>
        </w:rPr>
        <w:t>稀树灌木草丛比较稳定，成林十分困难。除干热河谷外的广大高原面及山</w:t>
      </w:r>
      <w:r>
        <w:rPr>
          <w:rFonts w:ascii="宋体" w:hAnsi="宋体" w:eastAsia="宋体" w:cs="宋体"/>
          <w:spacing w:val="-2"/>
          <w:sz w:val="24"/>
          <w:szCs w:val="24"/>
        </w:rPr>
        <w:t>地上，</w:t>
      </w:r>
      <w:r>
        <w:rPr>
          <w:rFonts w:ascii="宋体" w:hAnsi="宋体" w:eastAsia="宋体" w:cs="宋体"/>
          <w:sz w:val="24"/>
          <w:szCs w:val="24"/>
        </w:rPr>
        <w:t xml:space="preserve"> </w:t>
      </w:r>
      <w:r>
        <w:rPr>
          <w:rFonts w:ascii="宋体" w:hAnsi="宋体" w:eastAsia="宋体" w:cs="宋体"/>
          <w:spacing w:val="-6"/>
          <w:sz w:val="24"/>
          <w:szCs w:val="24"/>
        </w:rPr>
        <w:t>本类植被与耐旱的松林有着比较密切的联系。云南松林进一步砍烧</w:t>
      </w:r>
      <w:r>
        <w:rPr>
          <w:rFonts w:ascii="宋体" w:hAnsi="宋体" w:eastAsia="宋体" w:cs="宋体"/>
          <w:spacing w:val="-7"/>
          <w:sz w:val="24"/>
          <w:szCs w:val="24"/>
        </w:rPr>
        <w:t>后， 就可能大</w:t>
      </w:r>
      <w:r>
        <w:rPr>
          <w:rFonts w:ascii="宋体" w:hAnsi="宋体" w:eastAsia="宋体" w:cs="宋体"/>
          <w:sz w:val="24"/>
          <w:szCs w:val="24"/>
        </w:rPr>
        <w:t xml:space="preserve"> </w:t>
      </w:r>
      <w:r>
        <w:rPr>
          <w:rFonts w:ascii="宋体" w:hAnsi="宋体" w:eastAsia="宋体" w:cs="宋体"/>
          <w:spacing w:val="-11"/>
          <w:sz w:val="24"/>
          <w:szCs w:val="24"/>
        </w:rPr>
        <w:t>面积出现此类植被。</w:t>
      </w:r>
      <w:r>
        <w:rPr>
          <w:rFonts w:ascii="宋体" w:hAnsi="宋体" w:eastAsia="宋体" w:cs="宋体"/>
          <w:spacing w:val="52"/>
          <w:sz w:val="24"/>
          <w:szCs w:val="24"/>
        </w:rPr>
        <w:t xml:space="preserve"> </w:t>
      </w:r>
      <w:r>
        <w:rPr>
          <w:rFonts w:ascii="宋体" w:hAnsi="宋体" w:eastAsia="宋体" w:cs="宋体"/>
          <w:spacing w:val="-11"/>
          <w:sz w:val="24"/>
          <w:szCs w:val="24"/>
        </w:rPr>
        <w:t>目前所见较大面积的稀树灌木草丛， 都是在原有森林长期不</w:t>
      </w:r>
      <w:r>
        <w:rPr>
          <w:rFonts w:ascii="宋体" w:hAnsi="宋体" w:eastAsia="宋体" w:cs="宋体"/>
          <w:sz w:val="24"/>
          <w:szCs w:val="24"/>
        </w:rPr>
        <w:t xml:space="preserve"> </w:t>
      </w:r>
      <w:r>
        <w:rPr>
          <w:rFonts w:ascii="宋体" w:hAnsi="宋体" w:eastAsia="宋体" w:cs="宋体"/>
          <w:spacing w:val="-3"/>
          <w:sz w:val="24"/>
          <w:szCs w:val="24"/>
        </w:rPr>
        <w:t>断地受到砍伐火烧下所形成</w:t>
      </w:r>
      <w:r>
        <w:rPr>
          <w:rFonts w:hint="eastAsia" w:ascii="宋体" w:hAnsi="宋体" w:eastAsia="宋体" w:cs="宋体"/>
          <w:spacing w:val="-3"/>
          <w:sz w:val="24"/>
          <w:szCs w:val="24"/>
          <w:lang w:eastAsia="zh-CN"/>
        </w:rPr>
        <w:t>的</w:t>
      </w:r>
      <w:r>
        <w:rPr>
          <w:rFonts w:ascii="宋体" w:hAnsi="宋体" w:eastAsia="宋体" w:cs="宋体"/>
          <w:spacing w:val="-3"/>
          <w:sz w:val="24"/>
          <w:szCs w:val="24"/>
        </w:rPr>
        <w:t>一类次生植被，以云南松为稀树的灌木草丛是非</w:t>
      </w:r>
      <w:r>
        <w:rPr>
          <w:rFonts w:ascii="宋体" w:hAnsi="宋体" w:eastAsia="宋体" w:cs="宋体"/>
          <w:spacing w:val="2"/>
          <w:sz w:val="24"/>
          <w:szCs w:val="24"/>
        </w:rPr>
        <w:t xml:space="preserve"> </w:t>
      </w:r>
      <w:r>
        <w:rPr>
          <w:rFonts w:ascii="宋体" w:hAnsi="宋体" w:eastAsia="宋体" w:cs="宋体"/>
          <w:spacing w:val="-12"/>
          <w:sz w:val="24"/>
          <w:szCs w:val="24"/>
        </w:rPr>
        <w:t>常普遍的。从演替上看，</w:t>
      </w:r>
      <w:r>
        <w:rPr>
          <w:rFonts w:ascii="宋体" w:hAnsi="宋体" w:eastAsia="宋体" w:cs="宋体"/>
          <w:spacing w:val="48"/>
          <w:sz w:val="24"/>
          <w:szCs w:val="24"/>
        </w:rPr>
        <w:t xml:space="preserve"> </w:t>
      </w:r>
      <w:r>
        <w:rPr>
          <w:rFonts w:ascii="宋体" w:hAnsi="宋体" w:eastAsia="宋体" w:cs="宋体"/>
          <w:spacing w:val="-12"/>
          <w:sz w:val="24"/>
          <w:szCs w:val="24"/>
        </w:rPr>
        <w:t>除干热河谷外，</w:t>
      </w:r>
      <w:r>
        <w:rPr>
          <w:rFonts w:ascii="宋体" w:hAnsi="宋体" w:eastAsia="宋体" w:cs="宋体"/>
          <w:spacing w:val="29"/>
          <w:sz w:val="24"/>
          <w:szCs w:val="24"/>
        </w:rPr>
        <w:t xml:space="preserve"> </w:t>
      </w:r>
      <w:r>
        <w:rPr>
          <w:rFonts w:ascii="宋体" w:hAnsi="宋体" w:eastAsia="宋体" w:cs="宋体"/>
          <w:spacing w:val="-12"/>
          <w:sz w:val="24"/>
          <w:szCs w:val="24"/>
        </w:rPr>
        <w:t>所有的稀树灌丛都是出于演替过程中某</w:t>
      </w:r>
    </w:p>
    <w:p>
      <w:pPr>
        <w:spacing w:before="1" w:line="218" w:lineRule="auto"/>
        <w:ind w:left="43"/>
        <w:rPr>
          <w:rFonts w:ascii="宋体" w:hAnsi="宋体" w:eastAsia="宋体" w:cs="宋体"/>
          <w:sz w:val="24"/>
          <w:szCs w:val="24"/>
        </w:rPr>
      </w:pPr>
      <w:r>
        <w:rPr>
          <w:rFonts w:ascii="宋体" w:hAnsi="宋体" w:eastAsia="宋体" w:cs="宋体"/>
          <w:spacing w:val="-2"/>
          <w:sz w:val="24"/>
          <w:szCs w:val="24"/>
        </w:rPr>
        <w:t>一阶段的群落，如果停止人为干扰，这些群落会被相应森林植被所替代。</w:t>
      </w:r>
    </w:p>
    <w:p>
      <w:pPr>
        <w:spacing w:before="183" w:line="360" w:lineRule="auto"/>
        <w:ind w:left="42" w:right="64" w:firstLine="476"/>
        <w:jc w:val="both"/>
        <w:rPr>
          <w:rFonts w:ascii="宋体" w:hAnsi="宋体" w:eastAsia="宋体" w:cs="宋体"/>
          <w:sz w:val="24"/>
          <w:szCs w:val="24"/>
        </w:rPr>
      </w:pPr>
      <w:r>
        <w:rPr>
          <w:rFonts w:ascii="宋体" w:hAnsi="宋体" w:eastAsia="宋体" w:cs="宋体"/>
          <w:spacing w:val="-3"/>
          <w:sz w:val="24"/>
          <w:szCs w:val="24"/>
        </w:rPr>
        <w:t>稀树灌木草丛可分为干热性稀树灌木草丛、热性稀树灌木草丛、暖</w:t>
      </w:r>
      <w:r>
        <w:rPr>
          <w:rFonts w:ascii="宋体" w:hAnsi="宋体" w:eastAsia="宋体" w:cs="宋体"/>
          <w:spacing w:val="-4"/>
          <w:sz w:val="24"/>
          <w:szCs w:val="24"/>
        </w:rPr>
        <w:t>热性稀树</w:t>
      </w:r>
      <w:r>
        <w:rPr>
          <w:rFonts w:ascii="宋体" w:hAnsi="宋体" w:eastAsia="宋体" w:cs="宋体"/>
          <w:sz w:val="24"/>
          <w:szCs w:val="24"/>
        </w:rPr>
        <w:t xml:space="preserve"> </w:t>
      </w:r>
      <w:r>
        <w:rPr>
          <w:rFonts w:ascii="宋体" w:hAnsi="宋体" w:eastAsia="宋体" w:cs="宋体"/>
          <w:spacing w:val="-3"/>
          <w:sz w:val="24"/>
          <w:szCs w:val="24"/>
        </w:rPr>
        <w:t>灌木草丛和暖温性稀树灌木草丛植被亚型。本评价区属于滇中西、北中山峡</w:t>
      </w:r>
      <w:r>
        <w:rPr>
          <w:rFonts w:ascii="宋体" w:hAnsi="宋体" w:eastAsia="宋体" w:cs="宋体"/>
          <w:spacing w:val="-4"/>
          <w:sz w:val="24"/>
          <w:szCs w:val="24"/>
        </w:rPr>
        <w:t>谷云</w:t>
      </w:r>
      <w:r>
        <w:rPr>
          <w:rFonts w:ascii="宋体" w:hAnsi="宋体" w:eastAsia="宋体" w:cs="宋体"/>
          <w:sz w:val="24"/>
          <w:szCs w:val="24"/>
        </w:rPr>
        <w:t xml:space="preserve"> </w:t>
      </w:r>
      <w:r>
        <w:rPr>
          <w:rFonts w:ascii="宋体" w:hAnsi="宋体" w:eastAsia="宋体" w:cs="宋体"/>
          <w:spacing w:val="-9"/>
          <w:sz w:val="24"/>
          <w:szCs w:val="24"/>
        </w:rPr>
        <w:t>南松林、高山栎类林亚区，海拔</w:t>
      </w:r>
      <w:r>
        <w:rPr>
          <w:rFonts w:ascii="宋体" w:hAnsi="宋体" w:eastAsia="宋体" w:cs="宋体"/>
          <w:spacing w:val="-26"/>
          <w:sz w:val="24"/>
          <w:szCs w:val="24"/>
        </w:rPr>
        <w:t xml:space="preserve"> </w:t>
      </w:r>
      <w:r>
        <w:rPr>
          <w:rFonts w:ascii="Times New Roman" w:hAnsi="Times New Roman" w:eastAsia="Times New Roman" w:cs="Times New Roman"/>
          <w:spacing w:val="-9"/>
          <w:sz w:val="24"/>
          <w:szCs w:val="24"/>
        </w:rPr>
        <w:t>1600m</w:t>
      </w:r>
      <w:r>
        <w:rPr>
          <w:rFonts w:ascii="Times New Roman" w:hAnsi="Times New Roman" w:eastAsia="Times New Roman" w:cs="Times New Roman"/>
          <w:spacing w:val="37"/>
          <w:sz w:val="24"/>
          <w:szCs w:val="24"/>
        </w:rPr>
        <w:t xml:space="preserve"> </w:t>
      </w:r>
      <w:r>
        <w:rPr>
          <w:rFonts w:ascii="宋体" w:hAnsi="宋体" w:eastAsia="宋体" w:cs="宋体"/>
          <w:spacing w:val="-9"/>
          <w:sz w:val="24"/>
          <w:szCs w:val="24"/>
        </w:rPr>
        <w:t>以下，</w:t>
      </w:r>
      <w:r>
        <w:rPr>
          <w:rFonts w:ascii="宋体" w:hAnsi="宋体" w:eastAsia="宋体" w:cs="宋体"/>
          <w:spacing w:val="-48"/>
          <w:sz w:val="24"/>
          <w:szCs w:val="24"/>
        </w:rPr>
        <w:t xml:space="preserve"> </w:t>
      </w:r>
      <w:r>
        <w:rPr>
          <w:rFonts w:ascii="宋体" w:hAnsi="宋体" w:eastAsia="宋体" w:cs="宋体"/>
          <w:spacing w:val="-9"/>
          <w:sz w:val="24"/>
          <w:szCs w:val="24"/>
        </w:rPr>
        <w:t>属于典型的干热河谷，海拔</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1600m</w:t>
      </w:r>
      <w:r>
        <w:rPr>
          <w:rFonts w:ascii="Times New Roman" w:hAnsi="Times New Roman" w:eastAsia="Times New Roman" w:cs="Times New Roman"/>
          <w:sz w:val="24"/>
          <w:szCs w:val="24"/>
        </w:rPr>
        <w:t xml:space="preserve"> </w:t>
      </w:r>
      <w:r>
        <w:rPr>
          <w:rFonts w:ascii="宋体" w:hAnsi="宋体" w:eastAsia="宋体" w:cs="宋体"/>
          <w:spacing w:val="-3"/>
          <w:sz w:val="24"/>
          <w:szCs w:val="24"/>
        </w:rPr>
        <w:t>以上，为典型的中山峡谷，只分布有干热性稀树灌木草丛和暖温性稀树灌木草丛</w:t>
      </w:r>
    </w:p>
    <w:p>
      <w:pPr>
        <w:spacing w:line="219" w:lineRule="auto"/>
        <w:ind w:left="40"/>
        <w:rPr>
          <w:rFonts w:ascii="宋体" w:hAnsi="宋体" w:eastAsia="宋体" w:cs="宋体"/>
          <w:sz w:val="24"/>
          <w:szCs w:val="24"/>
        </w:rPr>
      </w:pPr>
      <w:r>
        <w:rPr>
          <w:rFonts w:ascii="宋体" w:hAnsi="宋体" w:eastAsia="宋体" w:cs="宋体"/>
          <w:spacing w:val="-6"/>
          <w:sz w:val="24"/>
          <w:szCs w:val="24"/>
        </w:rPr>
        <w:t>两种植被亚型。</w:t>
      </w:r>
    </w:p>
    <w:p>
      <w:pPr>
        <w:spacing w:before="182" w:line="219" w:lineRule="auto"/>
        <w:ind w:left="520"/>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干热性稀树灌木草丛：</w:t>
      </w:r>
    </w:p>
    <w:p>
      <w:pPr>
        <w:spacing w:before="184" w:line="360" w:lineRule="auto"/>
        <w:ind w:left="39" w:right="64" w:firstLine="479"/>
        <w:jc w:val="both"/>
        <w:rPr>
          <w:rFonts w:ascii="Times New Roman" w:hAnsi="Times New Roman" w:eastAsia="Times New Roman" w:cs="Times New Roman"/>
          <w:sz w:val="24"/>
          <w:szCs w:val="24"/>
        </w:rPr>
      </w:pPr>
      <w:r>
        <w:rPr>
          <w:rFonts w:ascii="宋体" w:hAnsi="宋体" w:eastAsia="宋体" w:cs="宋体"/>
          <w:spacing w:val="-3"/>
          <w:sz w:val="24"/>
          <w:szCs w:val="24"/>
        </w:rPr>
        <w:t>在云南省所有的稀疏灌木草丛中，本植被亚型是一类近于稳定的植</w:t>
      </w:r>
      <w:r>
        <w:rPr>
          <w:rFonts w:ascii="宋体" w:hAnsi="宋体" w:eastAsia="宋体" w:cs="宋体"/>
          <w:spacing w:val="-4"/>
          <w:sz w:val="24"/>
          <w:szCs w:val="24"/>
        </w:rPr>
        <w:t>被，其生</w:t>
      </w:r>
      <w:r>
        <w:rPr>
          <w:rFonts w:ascii="宋体" w:hAnsi="宋体" w:eastAsia="宋体" w:cs="宋体"/>
          <w:sz w:val="24"/>
          <w:szCs w:val="24"/>
        </w:rPr>
        <w:t xml:space="preserve"> </w:t>
      </w:r>
      <w:r>
        <w:rPr>
          <w:rFonts w:ascii="宋体" w:hAnsi="宋体" w:eastAsia="宋体" w:cs="宋体"/>
          <w:spacing w:val="-2"/>
          <w:sz w:val="24"/>
          <w:szCs w:val="24"/>
        </w:rPr>
        <w:t>态环境和群落外貌来看，都比较接近于热带的</w:t>
      </w:r>
      <w:r>
        <w:rPr>
          <w:rFonts w:ascii="Times New Roman" w:hAnsi="Times New Roman" w:eastAsia="Times New Roman" w:cs="Times New Roman"/>
          <w:spacing w:val="-2"/>
          <w:sz w:val="24"/>
          <w:szCs w:val="24"/>
        </w:rPr>
        <w:t>“</w:t>
      </w:r>
      <w:r>
        <w:rPr>
          <w:rFonts w:ascii="宋体" w:hAnsi="宋体" w:eastAsia="宋体" w:cs="宋体"/>
          <w:spacing w:val="-2"/>
          <w:sz w:val="24"/>
          <w:szCs w:val="24"/>
        </w:rPr>
        <w:t>稀树草原</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r>
        <w:rPr>
          <w:rFonts w:ascii="Times New Roman" w:hAnsi="Times New Roman" w:eastAsia="Times New Roman" w:cs="Times New Roman"/>
          <w:spacing w:val="-2"/>
          <w:sz w:val="24"/>
          <w:szCs w:val="24"/>
        </w:rPr>
        <w:t>Savana</w:t>
      </w:r>
      <w:r>
        <w:rPr>
          <w:rFonts w:ascii="宋体" w:hAnsi="宋体" w:eastAsia="宋体" w:cs="宋体"/>
          <w:spacing w:val="12"/>
          <w:sz w:val="24"/>
          <w:szCs w:val="24"/>
        </w:rPr>
        <w:t>），</w:t>
      </w:r>
      <w:r>
        <w:rPr>
          <w:rFonts w:ascii="宋体" w:hAnsi="宋体" w:eastAsia="宋体" w:cs="宋体"/>
          <w:spacing w:val="-2"/>
          <w:sz w:val="24"/>
          <w:szCs w:val="24"/>
        </w:rPr>
        <w:t>因为植物</w:t>
      </w:r>
      <w:r>
        <w:rPr>
          <w:rFonts w:ascii="宋体" w:hAnsi="宋体" w:eastAsia="宋体" w:cs="宋体"/>
          <w:sz w:val="24"/>
          <w:szCs w:val="24"/>
        </w:rPr>
        <w:t xml:space="preserve"> </w:t>
      </w:r>
      <w:r>
        <w:rPr>
          <w:rFonts w:ascii="宋体" w:hAnsi="宋体" w:eastAsia="宋体" w:cs="宋体"/>
          <w:spacing w:val="-6"/>
          <w:sz w:val="24"/>
          <w:szCs w:val="24"/>
        </w:rPr>
        <w:t>大都喜热耐旱，</w:t>
      </w:r>
      <w:r>
        <w:rPr>
          <w:rFonts w:ascii="宋体" w:hAnsi="宋体" w:eastAsia="宋体" w:cs="宋体"/>
          <w:spacing w:val="27"/>
          <w:sz w:val="24"/>
          <w:szCs w:val="24"/>
        </w:rPr>
        <w:t xml:space="preserve"> </w:t>
      </w:r>
      <w:r>
        <w:rPr>
          <w:rFonts w:ascii="宋体" w:hAnsi="宋体" w:eastAsia="宋体" w:cs="宋体"/>
          <w:spacing w:val="-6"/>
          <w:sz w:val="24"/>
          <w:szCs w:val="24"/>
        </w:rPr>
        <w:t>通常占据了</w:t>
      </w:r>
      <w:r>
        <w:rPr>
          <w:rFonts w:ascii="Times New Roman" w:hAnsi="Times New Roman" w:eastAsia="Times New Roman" w:cs="Times New Roman"/>
          <w:spacing w:val="-6"/>
          <w:sz w:val="24"/>
          <w:szCs w:val="24"/>
        </w:rPr>
        <w:t>“</w:t>
      </w:r>
      <w:r>
        <w:rPr>
          <w:rFonts w:ascii="宋体" w:hAnsi="宋体" w:eastAsia="宋体" w:cs="宋体"/>
          <w:spacing w:val="-6"/>
          <w:sz w:val="24"/>
          <w:szCs w:val="24"/>
        </w:rPr>
        <w:t>干热河谷植被</w:t>
      </w:r>
      <w:r>
        <w:rPr>
          <w:rFonts w:ascii="Times New Roman" w:hAnsi="Times New Roman" w:eastAsia="Times New Roman" w:cs="Times New Roman"/>
          <w:spacing w:val="-6"/>
          <w:sz w:val="24"/>
          <w:szCs w:val="24"/>
        </w:rPr>
        <w:t>”</w:t>
      </w:r>
      <w:r>
        <w:rPr>
          <w:rFonts w:ascii="宋体" w:hAnsi="宋体" w:eastAsia="宋体" w:cs="宋体"/>
          <w:spacing w:val="-6"/>
          <w:sz w:val="24"/>
          <w:szCs w:val="24"/>
        </w:rPr>
        <w:t>最主要成分。本评</w:t>
      </w:r>
      <w:r>
        <w:rPr>
          <w:rFonts w:ascii="宋体" w:hAnsi="宋体" w:eastAsia="宋体" w:cs="宋体"/>
          <w:spacing w:val="-7"/>
          <w:sz w:val="24"/>
          <w:szCs w:val="24"/>
        </w:rPr>
        <w:t>价区属于金沙江流</w:t>
      </w:r>
      <w:r>
        <w:rPr>
          <w:rFonts w:ascii="宋体" w:hAnsi="宋体" w:eastAsia="宋体" w:cs="宋体"/>
          <w:sz w:val="24"/>
          <w:szCs w:val="24"/>
        </w:rPr>
        <w:t xml:space="preserve"> </w:t>
      </w:r>
      <w:r>
        <w:rPr>
          <w:rFonts w:ascii="宋体" w:hAnsi="宋体" w:eastAsia="宋体" w:cs="宋体"/>
          <w:spacing w:val="-17"/>
          <w:sz w:val="24"/>
          <w:szCs w:val="24"/>
        </w:rPr>
        <w:t>域，</w:t>
      </w:r>
      <w:r>
        <w:rPr>
          <w:rFonts w:ascii="宋体" w:hAnsi="宋体" w:eastAsia="宋体" w:cs="宋体"/>
          <w:spacing w:val="-45"/>
          <w:sz w:val="24"/>
          <w:szCs w:val="24"/>
        </w:rPr>
        <w:t xml:space="preserve"> </w:t>
      </w:r>
      <w:r>
        <w:rPr>
          <w:rFonts w:ascii="宋体" w:hAnsi="宋体" w:eastAsia="宋体" w:cs="宋体"/>
          <w:spacing w:val="-17"/>
          <w:sz w:val="24"/>
          <w:szCs w:val="24"/>
        </w:rPr>
        <w:t>不仅有热带成分，</w:t>
      </w:r>
      <w:r>
        <w:rPr>
          <w:rFonts w:ascii="宋体" w:hAnsi="宋体" w:eastAsia="宋体" w:cs="宋体"/>
          <w:spacing w:val="47"/>
          <w:sz w:val="24"/>
          <w:szCs w:val="24"/>
        </w:rPr>
        <w:t xml:space="preserve"> </w:t>
      </w:r>
      <w:r>
        <w:rPr>
          <w:rFonts w:ascii="宋体" w:hAnsi="宋体" w:eastAsia="宋体" w:cs="宋体"/>
          <w:spacing w:val="-17"/>
          <w:sz w:val="24"/>
          <w:szCs w:val="24"/>
        </w:rPr>
        <w:t>也有亚热带成分，</w:t>
      </w:r>
      <w:r>
        <w:rPr>
          <w:rFonts w:ascii="宋体" w:hAnsi="宋体" w:eastAsia="宋体" w:cs="宋体"/>
          <w:spacing w:val="40"/>
          <w:sz w:val="24"/>
          <w:szCs w:val="24"/>
        </w:rPr>
        <w:t xml:space="preserve"> </w:t>
      </w:r>
      <w:r>
        <w:rPr>
          <w:rFonts w:ascii="宋体" w:hAnsi="宋体" w:eastAsia="宋体" w:cs="宋体"/>
          <w:spacing w:val="-17"/>
          <w:sz w:val="24"/>
          <w:szCs w:val="24"/>
        </w:rPr>
        <w:t>仅含有</w:t>
      </w:r>
      <w:r>
        <w:rPr>
          <w:rFonts w:ascii="宋体" w:hAnsi="宋体" w:eastAsia="宋体" w:cs="宋体"/>
          <w:spacing w:val="-18"/>
          <w:sz w:val="24"/>
          <w:szCs w:val="24"/>
        </w:rPr>
        <w:t>一种群系： 含锥连栎、车桑子的</w:t>
      </w:r>
      <w:r>
        <w:rPr>
          <w:rFonts w:ascii="宋体" w:hAnsi="宋体" w:eastAsia="宋体" w:cs="宋体"/>
          <w:sz w:val="24"/>
          <w:szCs w:val="24"/>
        </w:rPr>
        <w:t xml:space="preserve"> </w:t>
      </w:r>
      <w:r>
        <w:rPr>
          <w:rFonts w:ascii="宋体" w:hAnsi="宋体" w:eastAsia="宋体" w:cs="宋体"/>
          <w:spacing w:val="7"/>
          <w:sz w:val="24"/>
          <w:szCs w:val="24"/>
        </w:rPr>
        <w:t>中</w:t>
      </w:r>
      <w:r>
        <w:rPr>
          <w:rFonts w:ascii="宋体" w:hAnsi="宋体" w:eastAsia="宋体" w:cs="宋体"/>
          <w:spacing w:val="-66"/>
          <w:sz w:val="24"/>
          <w:szCs w:val="24"/>
        </w:rPr>
        <w:t xml:space="preserve"> </w:t>
      </w:r>
      <w:r>
        <w:rPr>
          <w:rFonts w:ascii="宋体" w:hAnsi="宋体" w:eastAsia="宋体" w:cs="宋体"/>
          <w:spacing w:val="7"/>
          <w:sz w:val="24"/>
          <w:szCs w:val="24"/>
        </w:rPr>
        <w:t>草</w:t>
      </w:r>
      <w:r>
        <w:rPr>
          <w:rFonts w:ascii="宋体" w:hAnsi="宋体" w:eastAsia="宋体" w:cs="宋体"/>
          <w:spacing w:val="-66"/>
          <w:sz w:val="24"/>
          <w:szCs w:val="24"/>
        </w:rPr>
        <w:t xml:space="preserve"> </w:t>
      </w:r>
      <w:r>
        <w:rPr>
          <w:rFonts w:ascii="宋体" w:hAnsi="宋体" w:eastAsia="宋体" w:cs="宋体"/>
          <w:spacing w:val="7"/>
          <w:sz w:val="24"/>
          <w:szCs w:val="24"/>
        </w:rPr>
        <w:t>草</w:t>
      </w:r>
      <w:r>
        <w:rPr>
          <w:rFonts w:ascii="宋体" w:hAnsi="宋体" w:eastAsia="宋体" w:cs="宋体"/>
          <w:spacing w:val="-66"/>
          <w:sz w:val="24"/>
          <w:szCs w:val="24"/>
        </w:rPr>
        <w:t xml:space="preserve"> </w:t>
      </w:r>
      <w:r>
        <w:rPr>
          <w:rFonts w:ascii="宋体" w:hAnsi="宋体" w:eastAsia="宋体" w:cs="宋体"/>
          <w:spacing w:val="7"/>
          <w:sz w:val="24"/>
          <w:szCs w:val="24"/>
        </w:rPr>
        <w:t>丛（</w:t>
      </w:r>
      <w:r>
        <w:rPr>
          <w:rFonts w:ascii="Times New Roman" w:hAnsi="Times New Roman" w:eastAsia="Times New Roman" w:cs="Times New Roman"/>
          <w:sz w:val="24"/>
          <w:szCs w:val="24"/>
        </w:rPr>
        <w:t>Form</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Medium</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grassland</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sz w:val="24"/>
          <w:szCs w:val="24"/>
        </w:rPr>
        <w:t>containing</w:t>
      </w:r>
      <w:r>
        <w:rPr>
          <w:rFonts w:ascii="Times New Roman" w:hAnsi="Times New Roman" w:eastAsia="Times New Roman" w:cs="Times New Roman"/>
          <w:spacing w:val="11"/>
          <w:sz w:val="24"/>
          <w:szCs w:val="24"/>
        </w:rPr>
        <w:t xml:space="preserve">  </w:t>
      </w:r>
      <w:r>
        <w:rPr>
          <w:rFonts w:ascii="Times New Roman" w:hAnsi="Times New Roman" w:eastAsia="Times New Roman" w:cs="Times New Roman"/>
          <w:i/>
          <w:iCs/>
          <w:sz w:val="24"/>
          <w:szCs w:val="24"/>
        </w:rPr>
        <w:t>Quercus</w:t>
      </w:r>
      <w:r>
        <w:rPr>
          <w:rFonts w:ascii="Times New Roman" w:hAnsi="Times New Roman" w:eastAsia="Times New Roman" w:cs="Times New Roman"/>
          <w:i/>
          <w:iCs/>
          <w:spacing w:val="29"/>
          <w:sz w:val="24"/>
          <w:szCs w:val="24"/>
        </w:rPr>
        <w:t xml:space="preserve"> </w:t>
      </w:r>
      <w:r>
        <w:rPr>
          <w:rFonts w:ascii="Times New Roman" w:hAnsi="Times New Roman" w:eastAsia="Times New Roman" w:cs="Times New Roman"/>
          <w:i/>
          <w:iCs/>
          <w:sz w:val="24"/>
          <w:szCs w:val="24"/>
        </w:rPr>
        <w:t>franchetii</w:t>
      </w:r>
      <w:r>
        <w:rPr>
          <w:rFonts w:ascii="Times New Roman" w:hAnsi="Times New Roman" w:eastAsia="Times New Roman" w:cs="Times New Roman"/>
          <w:spacing w:val="7"/>
          <w:sz w:val="24"/>
          <w:szCs w:val="24"/>
        </w:rPr>
        <w:t xml:space="preserve">,  </w:t>
      </w:r>
      <w:r>
        <w:rPr>
          <w:rFonts w:ascii="Times New Roman" w:hAnsi="Times New Roman" w:eastAsia="Times New Roman" w:cs="Times New Roman"/>
          <w:i/>
          <w:iCs/>
          <w:sz w:val="24"/>
          <w:szCs w:val="24"/>
        </w:rPr>
        <w:t>Dodonaea</w:t>
      </w:r>
    </w:p>
    <w:p>
      <w:pPr>
        <w:spacing w:line="319" w:lineRule="exact"/>
        <w:ind w:left="35"/>
        <w:rPr>
          <w:rFonts w:ascii="宋体" w:hAnsi="宋体" w:eastAsia="宋体" w:cs="宋体"/>
          <w:sz w:val="24"/>
          <w:szCs w:val="24"/>
        </w:rPr>
      </w:pPr>
      <w:r>
        <w:rPr>
          <w:rFonts w:ascii="Times New Roman" w:hAnsi="Times New Roman" w:eastAsia="Times New Roman" w:cs="Times New Roman"/>
          <w:i/>
          <w:iCs/>
          <w:spacing w:val="-11"/>
          <w:position w:val="1"/>
          <w:sz w:val="24"/>
          <w:szCs w:val="24"/>
        </w:rPr>
        <w:t>viscosa</w:t>
      </w:r>
      <w:r>
        <w:rPr>
          <w:rFonts w:ascii="宋体" w:hAnsi="宋体" w:eastAsia="宋体" w:cs="宋体"/>
          <w:spacing w:val="-11"/>
          <w:position w:val="1"/>
          <w:sz w:val="24"/>
          <w:szCs w:val="24"/>
        </w:rPr>
        <w:t>）。</w:t>
      </w:r>
    </w:p>
    <w:p>
      <w:pPr>
        <w:spacing w:before="149" w:line="360" w:lineRule="auto"/>
        <w:ind w:left="23" w:right="64" w:firstLine="496"/>
        <w:jc w:val="both"/>
        <w:rPr>
          <w:rFonts w:ascii="Times New Roman" w:hAnsi="Times New Roman" w:eastAsia="Times New Roman" w:cs="Times New Roman"/>
          <w:sz w:val="24"/>
          <w:szCs w:val="24"/>
        </w:rPr>
      </w:pPr>
      <w:r>
        <w:rPr>
          <w:rFonts w:ascii="宋体" w:hAnsi="宋体" w:eastAsia="宋体" w:cs="宋体"/>
          <w:spacing w:val="-3"/>
          <w:sz w:val="24"/>
          <w:szCs w:val="24"/>
        </w:rPr>
        <w:t>本群系为干热河谷稀疏灌木草丛的北部类型，具有亚热带的性</w:t>
      </w:r>
      <w:r>
        <w:rPr>
          <w:rFonts w:ascii="宋体" w:hAnsi="宋体" w:eastAsia="宋体" w:cs="宋体"/>
          <w:spacing w:val="-4"/>
          <w:sz w:val="24"/>
          <w:szCs w:val="24"/>
        </w:rPr>
        <w:t>质，主要分布</w:t>
      </w:r>
      <w:r>
        <w:rPr>
          <w:rFonts w:ascii="宋体" w:hAnsi="宋体" w:eastAsia="宋体" w:cs="宋体"/>
          <w:sz w:val="24"/>
          <w:szCs w:val="24"/>
        </w:rPr>
        <w:t xml:space="preserve"> </w:t>
      </w:r>
      <w:r>
        <w:rPr>
          <w:rFonts w:ascii="宋体" w:hAnsi="宋体" w:eastAsia="宋体" w:cs="宋体"/>
          <w:spacing w:val="34"/>
          <w:sz w:val="24"/>
          <w:szCs w:val="24"/>
        </w:rPr>
        <w:t>于我省北部金沙江流域中下游地区</w:t>
      </w:r>
      <w:r>
        <w:rPr>
          <w:rFonts w:ascii="宋体" w:hAnsi="宋体" w:eastAsia="宋体" w:cs="宋体"/>
          <w:spacing w:val="-33"/>
          <w:sz w:val="24"/>
          <w:szCs w:val="24"/>
        </w:rPr>
        <w:t xml:space="preserve"> </w:t>
      </w:r>
      <w:r>
        <w:rPr>
          <w:rFonts w:ascii="宋体" w:hAnsi="宋体" w:eastAsia="宋体" w:cs="宋体"/>
          <w:spacing w:val="34"/>
          <w:sz w:val="24"/>
          <w:szCs w:val="24"/>
        </w:rPr>
        <w:t>。草丛以中等高度的耐旱禾草黄茅</w:t>
      </w:r>
      <w:r>
        <w:rPr>
          <w:rFonts w:ascii="宋体" w:hAnsi="宋体" w:eastAsia="宋体" w:cs="宋体"/>
          <w:sz w:val="24"/>
          <w:szCs w:val="24"/>
        </w:rPr>
        <w:t xml:space="preserve"> </w:t>
      </w:r>
      <w:r>
        <w:rPr>
          <w:rFonts w:ascii="Times New Roman" w:hAnsi="Times New Roman" w:eastAsia="Times New Roman" w:cs="Times New Roman"/>
          <w:i/>
          <w:iCs/>
          <w:spacing w:val="-3"/>
          <w:sz w:val="24"/>
          <w:szCs w:val="24"/>
        </w:rPr>
        <w:t>Heteropogon</w:t>
      </w:r>
      <w:r>
        <w:rPr>
          <w:rFonts w:ascii="Times New Roman" w:hAnsi="Times New Roman" w:eastAsia="Times New Roman" w:cs="Times New Roman"/>
          <w:i/>
          <w:iCs/>
          <w:spacing w:val="27"/>
          <w:w w:val="101"/>
          <w:sz w:val="24"/>
          <w:szCs w:val="24"/>
        </w:rPr>
        <w:t xml:space="preserve"> </w:t>
      </w:r>
      <w:r>
        <w:rPr>
          <w:rFonts w:ascii="Times New Roman" w:hAnsi="Times New Roman" w:eastAsia="Times New Roman" w:cs="Times New Roman"/>
          <w:i/>
          <w:iCs/>
          <w:spacing w:val="-3"/>
          <w:sz w:val="24"/>
          <w:szCs w:val="24"/>
        </w:rPr>
        <w:t xml:space="preserve">contortus </w:t>
      </w:r>
      <w:r>
        <w:rPr>
          <w:rFonts w:ascii="宋体" w:hAnsi="宋体" w:eastAsia="宋体" w:cs="宋体"/>
          <w:spacing w:val="-3"/>
          <w:sz w:val="24"/>
          <w:szCs w:val="24"/>
        </w:rPr>
        <w:t>为优势， 稀树灌木以锥连栎和车桑子为标志。本评价</w:t>
      </w:r>
      <w:r>
        <w:rPr>
          <w:rFonts w:ascii="宋体" w:hAnsi="宋体" w:eastAsia="宋体" w:cs="宋体"/>
          <w:spacing w:val="-4"/>
          <w:sz w:val="24"/>
          <w:szCs w:val="24"/>
        </w:rPr>
        <w:t>区仅</w:t>
      </w:r>
      <w:r>
        <w:rPr>
          <w:rFonts w:ascii="宋体" w:hAnsi="宋体" w:eastAsia="宋体" w:cs="宋体"/>
          <w:sz w:val="24"/>
          <w:szCs w:val="24"/>
        </w:rPr>
        <w:t xml:space="preserve"> </w:t>
      </w:r>
      <w:r>
        <w:rPr>
          <w:rFonts w:ascii="宋体" w:hAnsi="宋体" w:eastAsia="宋体" w:cs="宋体"/>
          <w:spacing w:val="16"/>
          <w:sz w:val="24"/>
          <w:szCs w:val="24"/>
        </w:rPr>
        <w:t>含有一个群落：</w:t>
      </w:r>
      <w:r>
        <w:rPr>
          <w:rFonts w:ascii="宋体" w:hAnsi="宋体" w:eastAsia="宋体" w:cs="宋体"/>
          <w:spacing w:val="-61"/>
          <w:sz w:val="24"/>
          <w:szCs w:val="24"/>
        </w:rPr>
        <w:t xml:space="preserve"> </w:t>
      </w:r>
      <w:r>
        <w:rPr>
          <w:rFonts w:ascii="宋体" w:hAnsi="宋体" w:eastAsia="宋体" w:cs="宋体"/>
          <w:spacing w:val="16"/>
          <w:sz w:val="24"/>
          <w:szCs w:val="24"/>
        </w:rPr>
        <w:t>锥连栎、车桑子、黄茅群落（</w:t>
      </w:r>
      <w:r>
        <w:rPr>
          <w:rFonts w:ascii="Times New Roman" w:hAnsi="Times New Roman" w:eastAsia="Times New Roman" w:cs="Times New Roman"/>
          <w:i/>
          <w:iCs/>
          <w:sz w:val="24"/>
          <w:szCs w:val="24"/>
        </w:rPr>
        <w:t>Heteropogon</w:t>
      </w:r>
      <w:r>
        <w:rPr>
          <w:rFonts w:ascii="Times New Roman" w:hAnsi="Times New Roman" w:eastAsia="Times New Roman" w:cs="Times New Roman"/>
          <w:i/>
          <w:iCs/>
          <w:spacing w:val="53"/>
          <w:sz w:val="24"/>
          <w:szCs w:val="24"/>
        </w:rPr>
        <w:t xml:space="preserve"> </w:t>
      </w:r>
      <w:r>
        <w:rPr>
          <w:rFonts w:ascii="Times New Roman" w:hAnsi="Times New Roman" w:eastAsia="Times New Roman" w:cs="Times New Roman"/>
          <w:i/>
          <w:iCs/>
          <w:sz w:val="24"/>
          <w:szCs w:val="24"/>
        </w:rPr>
        <w:t>contortus</w:t>
      </w:r>
      <w:r>
        <w:rPr>
          <w:rFonts w:ascii="Times New Roman" w:hAnsi="Times New Roman" w:eastAsia="Times New Roman" w:cs="Times New Roman"/>
          <w:i/>
          <w:iCs/>
          <w:spacing w:val="57"/>
          <w:sz w:val="24"/>
          <w:szCs w:val="24"/>
        </w:rPr>
        <w:t xml:space="preserve"> </w:t>
      </w:r>
      <w:r>
        <w:rPr>
          <w:rFonts w:ascii="Times New Roman" w:hAnsi="Times New Roman" w:eastAsia="Times New Roman" w:cs="Times New Roman"/>
          <w:sz w:val="24"/>
          <w:szCs w:val="24"/>
        </w:rPr>
        <w:t>Comm</w:t>
      </w:r>
      <w:r>
        <w:rPr>
          <w:rFonts w:ascii="Times New Roman" w:hAnsi="Times New Roman" w:eastAsia="Times New Roman" w:cs="Times New Roman"/>
          <w:spacing w:val="16"/>
          <w:sz w:val="24"/>
          <w:szCs w:val="24"/>
        </w:rPr>
        <w:t>.</w:t>
      </w:r>
    </w:p>
    <w:p>
      <w:pPr>
        <w:spacing w:line="212" w:lineRule="auto"/>
        <w:ind w:left="38"/>
        <w:rPr>
          <w:rFonts w:ascii="宋体" w:hAnsi="宋体" w:eastAsia="宋体" w:cs="宋体"/>
          <w:sz w:val="24"/>
          <w:szCs w:val="24"/>
        </w:rPr>
      </w:pPr>
      <w:r>
        <w:rPr>
          <w:rFonts w:ascii="Times New Roman" w:hAnsi="Times New Roman" w:eastAsia="Times New Roman" w:cs="Times New Roman"/>
          <w:spacing w:val="-1"/>
          <w:sz w:val="24"/>
          <w:szCs w:val="24"/>
        </w:rPr>
        <w:t xml:space="preserve">Containing </w:t>
      </w:r>
      <w:r>
        <w:rPr>
          <w:rFonts w:ascii="Times New Roman" w:hAnsi="Times New Roman" w:eastAsia="Times New Roman" w:cs="Times New Roman"/>
          <w:i/>
          <w:iCs/>
          <w:spacing w:val="-1"/>
          <w:sz w:val="24"/>
          <w:szCs w:val="24"/>
        </w:rPr>
        <w:t>Quercus</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1"/>
          <w:sz w:val="24"/>
          <w:szCs w:val="24"/>
        </w:rPr>
        <w:t>franchetii</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i/>
          <w:iCs/>
          <w:spacing w:val="-1"/>
          <w:sz w:val="24"/>
          <w:szCs w:val="24"/>
        </w:rPr>
        <w:t>Dod</w:t>
      </w:r>
      <w:r>
        <w:rPr>
          <w:rFonts w:ascii="Times New Roman" w:hAnsi="Times New Roman" w:eastAsia="Times New Roman" w:cs="Times New Roman"/>
          <w:i/>
          <w:iCs/>
          <w:spacing w:val="-2"/>
          <w:sz w:val="24"/>
          <w:szCs w:val="24"/>
        </w:rPr>
        <w:t>onaea viscosa</w:t>
      </w:r>
      <w:r>
        <w:rPr>
          <w:rFonts w:ascii="宋体" w:hAnsi="宋体" w:eastAsia="宋体" w:cs="宋体"/>
          <w:spacing w:val="-2"/>
          <w:sz w:val="24"/>
          <w:szCs w:val="24"/>
        </w:rPr>
        <w:t>）。</w:t>
      </w:r>
    </w:p>
    <w:p>
      <w:pPr>
        <w:spacing w:line="212" w:lineRule="auto"/>
        <w:rPr>
          <w:rFonts w:ascii="宋体" w:hAnsi="宋体" w:eastAsia="宋体" w:cs="宋体"/>
          <w:sz w:val="24"/>
          <w:szCs w:val="24"/>
        </w:rPr>
        <w:sectPr>
          <w:headerReference r:id="rId258" w:type="default"/>
          <w:footerReference r:id="rId259" w:type="default"/>
          <w:pgSz w:w="11907" w:h="16839"/>
          <w:pgMar w:top="1156" w:right="1733" w:bottom="1373" w:left="1770" w:header="881" w:footer="1210" w:gutter="0"/>
        </w:sectPr>
      </w:pPr>
    </w:p>
    <w:p>
      <w:pPr>
        <w:spacing w:line="317" w:lineRule="auto"/>
        <w:rPr>
          <w:rFonts w:ascii="Arial"/>
          <w:sz w:val="21"/>
        </w:rPr>
      </w:pPr>
    </w:p>
    <w:p>
      <w:pPr>
        <w:spacing w:before="78" w:line="360" w:lineRule="auto"/>
        <w:ind w:left="38" w:right="205" w:firstLine="481"/>
        <w:rPr>
          <w:rFonts w:ascii="宋体" w:hAnsi="宋体" w:eastAsia="宋体" w:cs="宋体"/>
          <w:sz w:val="24"/>
          <w:szCs w:val="24"/>
        </w:rPr>
      </w:pPr>
      <w:r>
        <w:rPr>
          <w:rFonts w:ascii="宋体" w:hAnsi="宋体" w:eastAsia="宋体" w:cs="宋体"/>
          <w:spacing w:val="-3"/>
          <w:sz w:val="24"/>
          <w:szCs w:val="24"/>
        </w:rPr>
        <w:t>本群落在评价区内分布较为零星，是锥连栎林被严重破坏后逐</w:t>
      </w:r>
      <w:r>
        <w:rPr>
          <w:rFonts w:ascii="宋体" w:hAnsi="宋体" w:eastAsia="宋体" w:cs="宋体"/>
          <w:spacing w:val="-4"/>
          <w:sz w:val="24"/>
          <w:szCs w:val="24"/>
        </w:rPr>
        <w:t>渐旱化形成的</w:t>
      </w:r>
      <w:r>
        <w:rPr>
          <w:rFonts w:ascii="宋体" w:hAnsi="宋体" w:eastAsia="宋体" w:cs="宋体"/>
          <w:sz w:val="24"/>
          <w:szCs w:val="24"/>
        </w:rPr>
        <w:t xml:space="preserve"> </w:t>
      </w:r>
      <w:r>
        <w:rPr>
          <w:rFonts w:ascii="宋体" w:hAnsi="宋体" w:eastAsia="宋体" w:cs="宋体"/>
          <w:spacing w:val="-3"/>
          <w:sz w:val="24"/>
          <w:szCs w:val="24"/>
        </w:rPr>
        <w:t>稀树灌木草丛类型，主要分布于桂花河两侧</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200m</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以下的山坡，灌木以车桑子为</w:t>
      </w:r>
    </w:p>
    <w:p>
      <w:pPr>
        <w:spacing w:line="219" w:lineRule="auto"/>
        <w:ind w:left="41"/>
        <w:rPr>
          <w:rFonts w:ascii="宋体" w:hAnsi="宋体" w:eastAsia="宋体" w:cs="宋体"/>
          <w:sz w:val="24"/>
          <w:szCs w:val="24"/>
        </w:rPr>
      </w:pPr>
      <w:r>
        <w:rPr>
          <w:rFonts w:ascii="宋体" w:hAnsi="宋体" w:eastAsia="宋体" w:cs="宋体"/>
          <w:spacing w:val="-2"/>
          <w:sz w:val="24"/>
          <w:szCs w:val="24"/>
        </w:rPr>
        <w:t>主，草丛以黄茅为优势，乔木以锥连栎最为常见。</w:t>
      </w:r>
    </w:p>
    <w:p>
      <w:pPr>
        <w:spacing w:before="183" w:line="360" w:lineRule="auto"/>
        <w:ind w:left="40" w:right="206" w:firstLine="480"/>
        <w:rPr>
          <w:rFonts w:ascii="宋体" w:hAnsi="宋体" w:eastAsia="宋体" w:cs="宋体"/>
          <w:sz w:val="24"/>
          <w:szCs w:val="24"/>
        </w:rPr>
      </w:pPr>
      <w:r>
        <w:rPr>
          <w:rFonts w:ascii="宋体" w:hAnsi="宋体" w:eastAsia="宋体" w:cs="宋体"/>
          <w:spacing w:val="-4"/>
          <w:sz w:val="24"/>
          <w:szCs w:val="24"/>
        </w:rPr>
        <w:t>乔木层高</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5~8m</w:t>
      </w:r>
      <w:r>
        <w:rPr>
          <w:rFonts w:ascii="宋体" w:hAnsi="宋体" w:eastAsia="宋体" w:cs="宋体"/>
          <w:spacing w:val="-4"/>
          <w:sz w:val="24"/>
          <w:szCs w:val="24"/>
        </w:rPr>
        <w:t xml:space="preserve">，层盖度为 </w:t>
      </w:r>
      <w:r>
        <w:rPr>
          <w:rFonts w:ascii="Times New Roman" w:hAnsi="Times New Roman" w:eastAsia="Times New Roman" w:cs="Times New Roman"/>
          <w:spacing w:val="-4"/>
          <w:sz w:val="24"/>
          <w:szCs w:val="24"/>
        </w:rPr>
        <w:t>10%</w:t>
      </w:r>
      <w:r>
        <w:rPr>
          <w:rFonts w:ascii="宋体" w:hAnsi="宋体" w:eastAsia="宋体" w:cs="宋体"/>
          <w:spacing w:val="-4"/>
          <w:sz w:val="24"/>
          <w:szCs w:val="24"/>
        </w:rPr>
        <w:t>。除锥连栎</w:t>
      </w:r>
      <w:r>
        <w:rPr>
          <w:rFonts w:ascii="宋体" w:hAnsi="宋体" w:eastAsia="宋体" w:cs="宋体"/>
          <w:spacing w:val="-41"/>
          <w:sz w:val="24"/>
          <w:szCs w:val="24"/>
        </w:rPr>
        <w:t xml:space="preserve"> </w:t>
      </w:r>
      <w:r>
        <w:rPr>
          <w:rFonts w:ascii="Times New Roman" w:hAnsi="Times New Roman" w:eastAsia="Times New Roman" w:cs="Times New Roman"/>
          <w:i/>
          <w:iCs/>
          <w:spacing w:val="-4"/>
          <w:sz w:val="24"/>
          <w:szCs w:val="24"/>
        </w:rPr>
        <w:t>Quercus</w:t>
      </w:r>
      <w:r>
        <w:rPr>
          <w:rFonts w:ascii="Times New Roman" w:hAnsi="Times New Roman" w:eastAsia="Times New Roman" w:cs="Times New Roman"/>
          <w:i/>
          <w:iCs/>
          <w:spacing w:val="-49"/>
          <w:sz w:val="24"/>
          <w:szCs w:val="24"/>
        </w:rPr>
        <w:t xml:space="preserve"> </w:t>
      </w:r>
      <w:r>
        <w:rPr>
          <w:rFonts w:ascii="Times New Roman" w:hAnsi="Times New Roman" w:eastAsia="Times New Roman" w:cs="Times New Roman"/>
          <w:i/>
          <w:iCs/>
          <w:spacing w:val="-4"/>
          <w:sz w:val="24"/>
          <w:szCs w:val="24"/>
        </w:rPr>
        <w:t>franchetii</w:t>
      </w:r>
      <w:r>
        <w:rPr>
          <w:rFonts w:ascii="Times New Roman" w:hAnsi="Times New Roman" w:eastAsia="Times New Roman" w:cs="Times New Roman"/>
          <w:i/>
          <w:iCs/>
          <w:spacing w:val="15"/>
          <w:sz w:val="24"/>
          <w:szCs w:val="24"/>
        </w:rPr>
        <w:t xml:space="preserve"> </w:t>
      </w:r>
      <w:r>
        <w:rPr>
          <w:rFonts w:ascii="宋体" w:hAnsi="宋体" w:eastAsia="宋体" w:cs="宋体"/>
          <w:spacing w:val="-4"/>
          <w:sz w:val="24"/>
          <w:szCs w:val="24"/>
        </w:rPr>
        <w:t>外，</w:t>
      </w:r>
      <w:r>
        <w:rPr>
          <w:rFonts w:ascii="宋体" w:hAnsi="宋体" w:eastAsia="宋体" w:cs="宋体"/>
          <w:spacing w:val="-26"/>
          <w:sz w:val="24"/>
          <w:szCs w:val="24"/>
        </w:rPr>
        <w:t xml:space="preserve"> </w:t>
      </w:r>
      <w:r>
        <w:rPr>
          <w:rFonts w:ascii="宋体" w:hAnsi="宋体" w:eastAsia="宋体" w:cs="宋体"/>
          <w:spacing w:val="-4"/>
          <w:sz w:val="24"/>
          <w:szCs w:val="24"/>
        </w:rPr>
        <w:t>高度达到</w:t>
      </w:r>
      <w:r>
        <w:rPr>
          <w:rFonts w:ascii="宋体" w:hAnsi="宋体" w:eastAsia="宋体" w:cs="宋体"/>
          <w:sz w:val="24"/>
          <w:szCs w:val="24"/>
        </w:rPr>
        <w:t xml:space="preserve"> </w:t>
      </w:r>
      <w:r>
        <w:rPr>
          <w:rFonts w:ascii="Times New Roman" w:hAnsi="Times New Roman" w:eastAsia="Times New Roman" w:cs="Times New Roman"/>
          <w:spacing w:val="-2"/>
          <w:sz w:val="24"/>
          <w:szCs w:val="24"/>
        </w:rPr>
        <w:t>5m</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的木本植物还有清香木</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Pistacia</w:t>
      </w:r>
      <w:r>
        <w:rPr>
          <w:rFonts w:ascii="Times New Roman" w:hAnsi="Times New Roman" w:eastAsia="Times New Roman" w:cs="Times New Roman"/>
          <w:i/>
          <w:iCs/>
          <w:spacing w:val="18"/>
          <w:sz w:val="24"/>
          <w:szCs w:val="24"/>
        </w:rPr>
        <w:t xml:space="preserve"> </w:t>
      </w:r>
      <w:r>
        <w:rPr>
          <w:rFonts w:ascii="Times New Roman" w:hAnsi="Times New Roman" w:eastAsia="Times New Roman" w:cs="Times New Roman"/>
          <w:i/>
          <w:iCs/>
          <w:spacing w:val="-2"/>
          <w:sz w:val="24"/>
          <w:szCs w:val="24"/>
        </w:rPr>
        <w:t>weinmanniifolia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、栓皮栎</w:t>
      </w:r>
      <w:r>
        <w:rPr>
          <w:rFonts w:ascii="宋体" w:hAnsi="宋体" w:eastAsia="宋体" w:cs="宋体"/>
          <w:spacing w:val="-49"/>
          <w:sz w:val="24"/>
          <w:szCs w:val="24"/>
        </w:rPr>
        <w:t xml:space="preserve"> </w:t>
      </w:r>
      <w:r>
        <w:rPr>
          <w:rFonts w:ascii="Times New Roman" w:hAnsi="Times New Roman" w:eastAsia="Times New Roman" w:cs="Times New Roman"/>
          <w:i/>
          <w:iCs/>
          <w:spacing w:val="-2"/>
          <w:sz w:val="24"/>
          <w:szCs w:val="24"/>
        </w:rPr>
        <w:t>Quercus</w:t>
      </w:r>
      <w:r>
        <w:rPr>
          <w:rFonts w:ascii="Times New Roman" w:hAnsi="Times New Roman" w:eastAsia="Times New Roman" w:cs="Times New Roman"/>
          <w:i/>
          <w:iCs/>
          <w:spacing w:val="20"/>
          <w:w w:val="101"/>
          <w:sz w:val="24"/>
          <w:szCs w:val="24"/>
        </w:rPr>
        <w:t xml:space="preserve"> </w:t>
      </w:r>
      <w:r>
        <w:rPr>
          <w:rFonts w:ascii="Times New Roman" w:hAnsi="Times New Roman" w:eastAsia="Times New Roman" w:cs="Times New Roman"/>
          <w:i/>
          <w:iCs/>
          <w:spacing w:val="-2"/>
          <w:sz w:val="24"/>
          <w:szCs w:val="24"/>
        </w:rPr>
        <w:t>variabi</w:t>
      </w:r>
      <w:r>
        <w:rPr>
          <w:rFonts w:ascii="Times New Roman" w:hAnsi="Times New Roman" w:eastAsia="Times New Roman" w:cs="Times New Roman"/>
          <w:i/>
          <w:iCs/>
          <w:spacing w:val="-3"/>
          <w:sz w:val="24"/>
          <w:szCs w:val="24"/>
        </w:rPr>
        <w:t>lis</w:t>
      </w:r>
      <w:r>
        <w:rPr>
          <w:rFonts w:ascii="Times New Roman" w:hAnsi="Times New Roman" w:eastAsia="Times New Roman" w:cs="Times New Roman"/>
          <w:i/>
          <w:iCs/>
          <w:spacing w:val="-35"/>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余甘子</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Phyllanthus emblica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、密花树</w:t>
      </w:r>
      <w:r>
        <w:rPr>
          <w:rFonts w:ascii="宋体" w:hAnsi="宋体" w:eastAsia="宋体" w:cs="宋体"/>
          <w:spacing w:val="-53"/>
          <w:sz w:val="24"/>
          <w:szCs w:val="24"/>
        </w:rPr>
        <w:t xml:space="preserve"> </w:t>
      </w:r>
      <w:r>
        <w:rPr>
          <w:rFonts w:ascii="Times New Roman" w:hAnsi="Times New Roman" w:eastAsia="Times New Roman" w:cs="Times New Roman"/>
          <w:i/>
          <w:iCs/>
          <w:spacing w:val="-1"/>
          <w:sz w:val="24"/>
          <w:szCs w:val="24"/>
        </w:rPr>
        <w:t>Myrs</w:t>
      </w:r>
      <w:r>
        <w:rPr>
          <w:rFonts w:ascii="Times New Roman" w:hAnsi="Times New Roman" w:eastAsia="Times New Roman" w:cs="Times New Roman"/>
          <w:i/>
          <w:iCs/>
          <w:spacing w:val="-2"/>
          <w:sz w:val="24"/>
          <w:szCs w:val="24"/>
        </w:rPr>
        <w:t xml:space="preserve">ine      seguinii     </w:t>
      </w:r>
      <w:r>
        <w:rPr>
          <w:rFonts w:ascii="宋体" w:hAnsi="宋体" w:eastAsia="宋体" w:cs="宋体"/>
          <w:spacing w:val="-2"/>
          <w:sz w:val="24"/>
          <w:szCs w:val="24"/>
        </w:rPr>
        <w:t>、</w:t>
      </w:r>
      <w:r>
        <w:rPr>
          <w:rFonts w:ascii="宋体" w:hAnsi="宋体" w:eastAsia="宋体" w:cs="宋体"/>
          <w:spacing w:val="29"/>
          <w:sz w:val="24"/>
          <w:szCs w:val="24"/>
        </w:rPr>
        <w:t xml:space="preserve">  </w:t>
      </w:r>
      <w:r>
        <w:rPr>
          <w:rFonts w:ascii="宋体" w:hAnsi="宋体" w:eastAsia="宋体" w:cs="宋体"/>
          <w:spacing w:val="-2"/>
          <w:sz w:val="24"/>
          <w:szCs w:val="24"/>
        </w:rPr>
        <w:t>云</w:t>
      </w:r>
      <w:r>
        <w:rPr>
          <w:rFonts w:ascii="宋体" w:hAnsi="宋体" w:eastAsia="宋体" w:cs="宋体"/>
          <w:spacing w:val="27"/>
          <w:sz w:val="24"/>
          <w:szCs w:val="24"/>
        </w:rPr>
        <w:t xml:space="preserve">  </w:t>
      </w:r>
      <w:r>
        <w:rPr>
          <w:rFonts w:ascii="宋体" w:hAnsi="宋体" w:eastAsia="宋体" w:cs="宋体"/>
          <w:spacing w:val="-2"/>
          <w:sz w:val="24"/>
          <w:szCs w:val="24"/>
        </w:rPr>
        <w:t>南</w:t>
      </w:r>
      <w:r>
        <w:rPr>
          <w:rFonts w:ascii="宋体" w:hAnsi="宋体" w:eastAsia="宋体" w:cs="宋体"/>
          <w:spacing w:val="25"/>
          <w:sz w:val="24"/>
          <w:szCs w:val="24"/>
        </w:rPr>
        <w:t xml:space="preserve">  </w:t>
      </w:r>
      <w:r>
        <w:rPr>
          <w:rFonts w:ascii="宋体" w:hAnsi="宋体" w:eastAsia="宋体" w:cs="宋体"/>
          <w:spacing w:val="-2"/>
          <w:sz w:val="24"/>
          <w:szCs w:val="24"/>
        </w:rPr>
        <w:t>黄</w:t>
      </w:r>
      <w:r>
        <w:rPr>
          <w:rFonts w:ascii="宋体" w:hAnsi="宋体" w:eastAsia="宋体" w:cs="宋体"/>
          <w:spacing w:val="27"/>
          <w:sz w:val="24"/>
          <w:szCs w:val="24"/>
        </w:rPr>
        <w:t xml:space="preserve">  </w:t>
      </w:r>
      <w:r>
        <w:rPr>
          <w:rFonts w:ascii="宋体" w:hAnsi="宋体" w:eastAsia="宋体" w:cs="宋体"/>
          <w:spacing w:val="-2"/>
          <w:sz w:val="24"/>
          <w:szCs w:val="24"/>
        </w:rPr>
        <w:t>杞</w:t>
      </w:r>
    </w:p>
    <w:p>
      <w:pPr>
        <w:spacing w:line="212" w:lineRule="auto"/>
        <w:ind w:left="24"/>
        <w:rPr>
          <w:rFonts w:ascii="宋体" w:hAnsi="宋体" w:eastAsia="宋体" w:cs="宋体"/>
          <w:sz w:val="24"/>
          <w:szCs w:val="24"/>
        </w:rPr>
      </w:pPr>
      <w:r>
        <w:rPr>
          <w:rFonts w:ascii="Times New Roman" w:hAnsi="Times New Roman" w:eastAsia="Times New Roman" w:cs="Times New Roman"/>
          <w:i/>
          <w:iCs/>
          <w:sz w:val="24"/>
          <w:szCs w:val="24"/>
        </w:rPr>
        <w:t>Engelhardiaspicata</w:t>
      </w:r>
      <w:r>
        <w:rPr>
          <w:rFonts w:ascii="Times New Roman" w:hAnsi="Times New Roman" w:eastAsia="Times New Roman" w:cs="Times New Roman"/>
          <w:i/>
          <w:iCs/>
          <w:spacing w:val="19"/>
          <w:sz w:val="24"/>
          <w:szCs w:val="24"/>
        </w:rPr>
        <w:t xml:space="preserve"> </w:t>
      </w:r>
      <w:r>
        <w:rPr>
          <w:rFonts w:ascii="宋体" w:hAnsi="宋体" w:eastAsia="宋体" w:cs="宋体"/>
          <w:spacing w:val="19"/>
          <w:sz w:val="24"/>
          <w:szCs w:val="24"/>
        </w:rPr>
        <w:t>等。</w:t>
      </w:r>
    </w:p>
    <w:p>
      <w:pPr>
        <w:spacing w:before="192" w:line="360" w:lineRule="auto"/>
        <w:ind w:left="39" w:right="205" w:firstLine="482"/>
        <w:rPr>
          <w:rFonts w:ascii="宋体" w:hAnsi="宋体" w:eastAsia="宋体" w:cs="宋体"/>
          <w:sz w:val="24"/>
          <w:szCs w:val="24"/>
        </w:rPr>
      </w:pPr>
      <w:r>
        <w:rPr>
          <w:rFonts w:ascii="宋体" w:hAnsi="宋体" w:eastAsia="宋体" w:cs="宋体"/>
          <w:spacing w:val="-4"/>
          <w:sz w:val="24"/>
          <w:szCs w:val="24"/>
        </w:rPr>
        <w:t>灌木层高</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1~3m</w:t>
      </w:r>
      <w:r>
        <w:rPr>
          <w:rFonts w:ascii="宋体" w:hAnsi="宋体" w:eastAsia="宋体" w:cs="宋体"/>
          <w:spacing w:val="-4"/>
          <w:sz w:val="24"/>
          <w:szCs w:val="24"/>
        </w:rPr>
        <w:t>，层盖度为</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45%</w:t>
      </w:r>
      <w:r>
        <w:rPr>
          <w:rFonts w:ascii="宋体" w:hAnsi="宋体" w:eastAsia="宋体" w:cs="宋体"/>
          <w:spacing w:val="-4"/>
          <w:sz w:val="24"/>
          <w:szCs w:val="24"/>
        </w:rPr>
        <w:t>。除优势种车桑子</w:t>
      </w:r>
      <w:r>
        <w:rPr>
          <w:rFonts w:ascii="宋体" w:hAnsi="宋体" w:eastAsia="宋体" w:cs="宋体"/>
          <w:spacing w:val="-56"/>
          <w:sz w:val="24"/>
          <w:szCs w:val="24"/>
        </w:rPr>
        <w:t xml:space="preserve"> </w:t>
      </w:r>
      <w:r>
        <w:rPr>
          <w:rFonts w:ascii="Times New Roman" w:hAnsi="Times New Roman" w:eastAsia="Times New Roman" w:cs="Times New Roman"/>
          <w:i/>
          <w:iCs/>
          <w:spacing w:val="-4"/>
          <w:sz w:val="24"/>
          <w:szCs w:val="24"/>
        </w:rPr>
        <w:t>Dodonaea</w:t>
      </w:r>
      <w:r>
        <w:rPr>
          <w:rFonts w:ascii="Times New Roman" w:hAnsi="Times New Roman" w:eastAsia="Times New Roman" w:cs="Times New Roman"/>
          <w:i/>
          <w:iCs/>
          <w:spacing w:val="27"/>
          <w:w w:val="101"/>
          <w:sz w:val="24"/>
          <w:szCs w:val="24"/>
        </w:rPr>
        <w:t xml:space="preserve"> </w:t>
      </w:r>
      <w:r>
        <w:rPr>
          <w:rFonts w:ascii="Times New Roman" w:hAnsi="Times New Roman" w:eastAsia="Times New Roman" w:cs="Times New Roman"/>
          <w:i/>
          <w:iCs/>
          <w:spacing w:val="-4"/>
          <w:sz w:val="24"/>
          <w:szCs w:val="24"/>
        </w:rPr>
        <w:t>viscosa</w:t>
      </w:r>
      <w:r>
        <w:rPr>
          <w:rFonts w:ascii="Times New Roman" w:hAnsi="Times New Roman" w:eastAsia="Times New Roman" w:cs="Times New Roman"/>
          <w:i/>
          <w:iCs/>
          <w:spacing w:val="14"/>
          <w:sz w:val="24"/>
          <w:szCs w:val="24"/>
        </w:rPr>
        <w:t xml:space="preserve"> </w:t>
      </w:r>
      <w:r>
        <w:rPr>
          <w:rFonts w:ascii="宋体" w:hAnsi="宋体" w:eastAsia="宋体" w:cs="宋体"/>
          <w:spacing w:val="-4"/>
          <w:sz w:val="24"/>
          <w:szCs w:val="24"/>
        </w:rPr>
        <w:t>外，</w:t>
      </w:r>
      <w:r>
        <w:rPr>
          <w:rFonts w:ascii="宋体" w:hAnsi="宋体" w:eastAsia="宋体" w:cs="宋体"/>
          <w:spacing w:val="-31"/>
          <w:sz w:val="24"/>
          <w:szCs w:val="24"/>
        </w:rPr>
        <w:t xml:space="preserve"> </w:t>
      </w:r>
      <w:r>
        <w:rPr>
          <w:rFonts w:ascii="宋体" w:hAnsi="宋体" w:eastAsia="宋体" w:cs="宋体"/>
          <w:spacing w:val="-4"/>
          <w:sz w:val="24"/>
          <w:szCs w:val="24"/>
        </w:rPr>
        <w:t>其</w:t>
      </w:r>
      <w:r>
        <w:rPr>
          <w:rFonts w:ascii="宋体" w:hAnsi="宋体" w:eastAsia="宋体" w:cs="宋体"/>
          <w:sz w:val="24"/>
          <w:szCs w:val="24"/>
        </w:rPr>
        <w:t xml:space="preserve"> </w:t>
      </w:r>
      <w:r>
        <w:rPr>
          <w:rFonts w:ascii="宋体" w:hAnsi="宋体" w:eastAsia="宋体" w:cs="宋体"/>
          <w:spacing w:val="-6"/>
          <w:sz w:val="24"/>
          <w:szCs w:val="24"/>
        </w:rPr>
        <w:t>他</w:t>
      </w:r>
      <w:r>
        <w:rPr>
          <w:rFonts w:ascii="宋体" w:hAnsi="宋体" w:eastAsia="宋体" w:cs="宋体"/>
          <w:spacing w:val="-65"/>
          <w:sz w:val="24"/>
          <w:szCs w:val="24"/>
        </w:rPr>
        <w:t xml:space="preserve"> </w:t>
      </w:r>
      <w:r>
        <w:rPr>
          <w:rFonts w:ascii="宋体" w:hAnsi="宋体" w:eastAsia="宋体" w:cs="宋体"/>
          <w:spacing w:val="-6"/>
          <w:sz w:val="24"/>
          <w:szCs w:val="24"/>
        </w:rPr>
        <w:t>物</w:t>
      </w:r>
      <w:r>
        <w:rPr>
          <w:rFonts w:ascii="宋体" w:hAnsi="宋体" w:eastAsia="宋体" w:cs="宋体"/>
          <w:spacing w:val="-65"/>
          <w:sz w:val="24"/>
          <w:szCs w:val="24"/>
        </w:rPr>
        <w:t xml:space="preserve"> </w:t>
      </w:r>
      <w:r>
        <w:rPr>
          <w:rFonts w:ascii="宋体" w:hAnsi="宋体" w:eastAsia="宋体" w:cs="宋体"/>
          <w:spacing w:val="-6"/>
          <w:sz w:val="24"/>
          <w:szCs w:val="24"/>
        </w:rPr>
        <w:t>种</w:t>
      </w:r>
      <w:r>
        <w:rPr>
          <w:rFonts w:ascii="宋体" w:hAnsi="宋体" w:eastAsia="宋体" w:cs="宋体"/>
          <w:spacing w:val="-61"/>
          <w:sz w:val="24"/>
          <w:szCs w:val="24"/>
        </w:rPr>
        <w:t xml:space="preserve"> </w:t>
      </w:r>
      <w:r>
        <w:rPr>
          <w:rFonts w:ascii="宋体" w:hAnsi="宋体" w:eastAsia="宋体" w:cs="宋体"/>
          <w:spacing w:val="-6"/>
          <w:sz w:val="24"/>
          <w:szCs w:val="24"/>
        </w:rPr>
        <w:t>也</w:t>
      </w:r>
      <w:r>
        <w:rPr>
          <w:rFonts w:ascii="宋体" w:hAnsi="宋体" w:eastAsia="宋体" w:cs="宋体"/>
          <w:spacing w:val="-60"/>
          <w:sz w:val="24"/>
          <w:szCs w:val="24"/>
        </w:rPr>
        <w:t xml:space="preserve"> </w:t>
      </w:r>
      <w:r>
        <w:rPr>
          <w:rFonts w:ascii="宋体" w:hAnsi="宋体" w:eastAsia="宋体" w:cs="宋体"/>
          <w:spacing w:val="-6"/>
          <w:sz w:val="24"/>
          <w:szCs w:val="24"/>
        </w:rPr>
        <w:t>是</w:t>
      </w:r>
      <w:r>
        <w:rPr>
          <w:rFonts w:ascii="宋体" w:hAnsi="宋体" w:eastAsia="宋体" w:cs="宋体"/>
          <w:spacing w:val="-65"/>
          <w:sz w:val="24"/>
          <w:szCs w:val="24"/>
        </w:rPr>
        <w:t xml:space="preserve"> </w:t>
      </w:r>
      <w:r>
        <w:rPr>
          <w:rFonts w:ascii="宋体" w:hAnsi="宋体" w:eastAsia="宋体" w:cs="宋体"/>
          <w:spacing w:val="-6"/>
          <w:sz w:val="24"/>
          <w:szCs w:val="24"/>
        </w:rPr>
        <w:t>滇</w:t>
      </w:r>
      <w:r>
        <w:rPr>
          <w:rFonts w:ascii="宋体" w:hAnsi="宋体" w:eastAsia="宋体" w:cs="宋体"/>
          <w:spacing w:val="-43"/>
          <w:sz w:val="24"/>
          <w:szCs w:val="24"/>
        </w:rPr>
        <w:t xml:space="preserve"> </w:t>
      </w:r>
      <w:r>
        <w:rPr>
          <w:rFonts w:ascii="宋体" w:hAnsi="宋体" w:eastAsia="宋体" w:cs="宋体"/>
          <w:spacing w:val="-6"/>
          <w:sz w:val="24"/>
          <w:szCs w:val="24"/>
        </w:rPr>
        <w:t>中</w:t>
      </w:r>
      <w:r>
        <w:rPr>
          <w:rFonts w:ascii="宋体" w:hAnsi="宋体" w:eastAsia="宋体" w:cs="宋体"/>
          <w:spacing w:val="-59"/>
          <w:sz w:val="24"/>
          <w:szCs w:val="24"/>
        </w:rPr>
        <w:t xml:space="preserve"> </w:t>
      </w:r>
      <w:r>
        <w:rPr>
          <w:rFonts w:ascii="宋体" w:hAnsi="宋体" w:eastAsia="宋体" w:cs="宋体"/>
          <w:spacing w:val="-6"/>
          <w:sz w:val="24"/>
          <w:szCs w:val="24"/>
        </w:rPr>
        <w:t>高</w:t>
      </w:r>
      <w:r>
        <w:rPr>
          <w:rFonts w:ascii="宋体" w:hAnsi="宋体" w:eastAsia="宋体" w:cs="宋体"/>
          <w:spacing w:val="-58"/>
          <w:sz w:val="24"/>
          <w:szCs w:val="24"/>
        </w:rPr>
        <w:t xml:space="preserve"> </w:t>
      </w:r>
      <w:r>
        <w:rPr>
          <w:rFonts w:ascii="宋体" w:hAnsi="宋体" w:eastAsia="宋体" w:cs="宋体"/>
          <w:spacing w:val="-6"/>
          <w:sz w:val="24"/>
          <w:szCs w:val="24"/>
        </w:rPr>
        <w:t>原</w:t>
      </w:r>
      <w:r>
        <w:rPr>
          <w:rFonts w:ascii="宋体" w:hAnsi="宋体" w:eastAsia="宋体" w:cs="宋体"/>
          <w:spacing w:val="-59"/>
          <w:sz w:val="24"/>
          <w:szCs w:val="24"/>
        </w:rPr>
        <w:t xml:space="preserve"> </w:t>
      </w:r>
      <w:r>
        <w:rPr>
          <w:rFonts w:ascii="宋体" w:hAnsi="宋体" w:eastAsia="宋体" w:cs="宋体"/>
          <w:spacing w:val="-6"/>
          <w:sz w:val="24"/>
          <w:szCs w:val="24"/>
        </w:rPr>
        <w:t>常</w:t>
      </w:r>
      <w:r>
        <w:rPr>
          <w:rFonts w:ascii="宋体" w:hAnsi="宋体" w:eastAsia="宋体" w:cs="宋体"/>
          <w:spacing w:val="-62"/>
          <w:sz w:val="24"/>
          <w:szCs w:val="24"/>
        </w:rPr>
        <w:t xml:space="preserve"> </w:t>
      </w:r>
      <w:r>
        <w:rPr>
          <w:rFonts w:ascii="宋体" w:hAnsi="宋体" w:eastAsia="宋体" w:cs="宋体"/>
          <w:spacing w:val="-6"/>
          <w:sz w:val="24"/>
          <w:szCs w:val="24"/>
        </w:rPr>
        <w:t>见</w:t>
      </w:r>
      <w:r>
        <w:rPr>
          <w:rFonts w:ascii="宋体" w:hAnsi="宋体" w:eastAsia="宋体" w:cs="宋体"/>
          <w:spacing w:val="-45"/>
          <w:sz w:val="24"/>
          <w:szCs w:val="24"/>
        </w:rPr>
        <w:t xml:space="preserve"> </w:t>
      </w:r>
      <w:r>
        <w:rPr>
          <w:rFonts w:ascii="宋体" w:hAnsi="宋体" w:eastAsia="宋体" w:cs="宋体"/>
          <w:spacing w:val="-6"/>
          <w:sz w:val="24"/>
          <w:szCs w:val="24"/>
        </w:rPr>
        <w:t>的</w:t>
      </w:r>
      <w:r>
        <w:rPr>
          <w:rFonts w:ascii="宋体" w:hAnsi="宋体" w:eastAsia="宋体" w:cs="宋体"/>
          <w:spacing w:val="-62"/>
          <w:sz w:val="24"/>
          <w:szCs w:val="24"/>
        </w:rPr>
        <w:t xml:space="preserve"> </w:t>
      </w:r>
      <w:r>
        <w:rPr>
          <w:rFonts w:ascii="宋体" w:hAnsi="宋体" w:eastAsia="宋体" w:cs="宋体"/>
          <w:spacing w:val="-6"/>
          <w:sz w:val="24"/>
          <w:szCs w:val="24"/>
        </w:rPr>
        <w:t>灌</w:t>
      </w:r>
      <w:r>
        <w:rPr>
          <w:rFonts w:ascii="宋体" w:hAnsi="宋体" w:eastAsia="宋体" w:cs="宋体"/>
          <w:spacing w:val="-64"/>
          <w:sz w:val="24"/>
          <w:szCs w:val="24"/>
        </w:rPr>
        <w:t xml:space="preserve"> </w:t>
      </w:r>
      <w:r>
        <w:rPr>
          <w:rFonts w:ascii="宋体" w:hAnsi="宋体" w:eastAsia="宋体" w:cs="宋体"/>
          <w:spacing w:val="-6"/>
          <w:sz w:val="24"/>
          <w:szCs w:val="24"/>
        </w:rPr>
        <w:t>木</w:t>
      </w:r>
      <w:r>
        <w:rPr>
          <w:rFonts w:ascii="宋体" w:hAnsi="宋体" w:eastAsia="宋体" w:cs="宋体"/>
          <w:spacing w:val="-48"/>
          <w:sz w:val="24"/>
          <w:szCs w:val="24"/>
        </w:rPr>
        <w:t xml:space="preserve"> </w:t>
      </w:r>
      <w:r>
        <w:rPr>
          <w:rFonts w:ascii="宋体" w:hAnsi="宋体" w:eastAsia="宋体" w:cs="宋体"/>
          <w:spacing w:val="-6"/>
          <w:sz w:val="24"/>
          <w:szCs w:val="24"/>
        </w:rPr>
        <w:t>，</w:t>
      </w:r>
      <w:r>
        <w:rPr>
          <w:rFonts w:ascii="宋体" w:hAnsi="宋体" w:eastAsia="宋体" w:cs="宋体"/>
          <w:spacing w:val="-64"/>
          <w:sz w:val="24"/>
          <w:szCs w:val="24"/>
        </w:rPr>
        <w:t xml:space="preserve"> </w:t>
      </w:r>
      <w:r>
        <w:rPr>
          <w:rFonts w:ascii="宋体" w:hAnsi="宋体" w:eastAsia="宋体" w:cs="宋体"/>
          <w:spacing w:val="-6"/>
          <w:sz w:val="24"/>
          <w:szCs w:val="24"/>
        </w:rPr>
        <w:t>如</w:t>
      </w:r>
      <w:r>
        <w:rPr>
          <w:rFonts w:ascii="宋体" w:hAnsi="宋体" w:eastAsia="宋体" w:cs="宋体"/>
          <w:spacing w:val="-25"/>
          <w:sz w:val="24"/>
          <w:szCs w:val="24"/>
        </w:rPr>
        <w:t xml:space="preserve"> </w:t>
      </w:r>
      <w:r>
        <w:rPr>
          <w:rFonts w:ascii="宋体" w:hAnsi="宋体" w:eastAsia="宋体" w:cs="宋体"/>
          <w:spacing w:val="-6"/>
          <w:sz w:val="24"/>
          <w:szCs w:val="24"/>
        </w:rPr>
        <w:t>白刺花</w:t>
      </w:r>
      <w:r>
        <w:rPr>
          <w:rFonts w:ascii="宋体" w:hAnsi="宋体" w:eastAsia="宋体" w:cs="宋体"/>
          <w:spacing w:val="44"/>
          <w:sz w:val="24"/>
          <w:szCs w:val="24"/>
        </w:rPr>
        <w:t xml:space="preserve"> </w:t>
      </w:r>
      <w:r>
        <w:rPr>
          <w:rFonts w:ascii="Times New Roman" w:hAnsi="Times New Roman" w:eastAsia="Times New Roman" w:cs="Times New Roman"/>
          <w:i/>
          <w:iCs/>
          <w:spacing w:val="-6"/>
          <w:sz w:val="24"/>
          <w:szCs w:val="24"/>
        </w:rPr>
        <w:t>Sophora  da</w:t>
      </w:r>
      <w:r>
        <w:rPr>
          <w:rFonts w:ascii="Times New Roman" w:hAnsi="Times New Roman" w:eastAsia="Times New Roman" w:cs="Times New Roman"/>
          <w:i/>
          <w:iCs/>
          <w:spacing w:val="-7"/>
          <w:sz w:val="24"/>
          <w:szCs w:val="24"/>
        </w:rPr>
        <w:t>vidii</w:t>
      </w:r>
      <w:r>
        <w:rPr>
          <w:rFonts w:ascii="Times New Roman" w:hAnsi="Times New Roman" w:eastAsia="Times New Roman" w:cs="Times New Roman"/>
          <w:i/>
          <w:iCs/>
          <w:spacing w:val="13"/>
          <w:sz w:val="24"/>
          <w:szCs w:val="24"/>
        </w:rPr>
        <w:t xml:space="preserve"> </w:t>
      </w:r>
      <w:r>
        <w:rPr>
          <w:rFonts w:ascii="宋体" w:hAnsi="宋体" w:eastAsia="宋体" w:cs="宋体"/>
          <w:spacing w:val="-7"/>
          <w:sz w:val="24"/>
          <w:szCs w:val="24"/>
        </w:rPr>
        <w:t>、</w:t>
      </w:r>
      <w:r>
        <w:rPr>
          <w:rFonts w:ascii="宋体" w:hAnsi="宋体" w:eastAsia="宋体" w:cs="宋体"/>
          <w:spacing w:val="-66"/>
          <w:sz w:val="24"/>
          <w:szCs w:val="24"/>
        </w:rPr>
        <w:t xml:space="preserve"> </w:t>
      </w:r>
      <w:r>
        <w:rPr>
          <w:rFonts w:ascii="宋体" w:hAnsi="宋体" w:eastAsia="宋体" w:cs="宋体"/>
          <w:spacing w:val="-7"/>
          <w:sz w:val="24"/>
          <w:szCs w:val="24"/>
        </w:rPr>
        <w:t>黄</w:t>
      </w:r>
      <w:r>
        <w:rPr>
          <w:rFonts w:ascii="宋体" w:hAnsi="宋体" w:eastAsia="宋体" w:cs="宋体"/>
          <w:spacing w:val="-64"/>
          <w:sz w:val="24"/>
          <w:szCs w:val="24"/>
        </w:rPr>
        <w:t xml:space="preserve"> </w:t>
      </w:r>
      <w:r>
        <w:rPr>
          <w:rFonts w:ascii="宋体" w:hAnsi="宋体" w:eastAsia="宋体" w:cs="宋体"/>
          <w:spacing w:val="-7"/>
          <w:sz w:val="24"/>
          <w:szCs w:val="24"/>
        </w:rPr>
        <w:t>花</w:t>
      </w:r>
      <w:r>
        <w:rPr>
          <w:rFonts w:ascii="宋体" w:hAnsi="宋体" w:eastAsia="宋体" w:cs="宋体"/>
          <w:spacing w:val="-64"/>
          <w:sz w:val="24"/>
          <w:szCs w:val="24"/>
        </w:rPr>
        <w:t xml:space="preserve"> </w:t>
      </w:r>
      <w:r>
        <w:rPr>
          <w:rFonts w:ascii="宋体" w:hAnsi="宋体" w:eastAsia="宋体" w:cs="宋体"/>
          <w:spacing w:val="-7"/>
          <w:sz w:val="24"/>
          <w:szCs w:val="24"/>
        </w:rPr>
        <w:t>稔</w:t>
      </w:r>
    </w:p>
    <w:p>
      <w:pPr>
        <w:spacing w:line="212" w:lineRule="auto"/>
        <w:ind w:left="31"/>
        <w:rPr>
          <w:rFonts w:ascii="宋体" w:hAnsi="宋体" w:eastAsia="宋体" w:cs="宋体"/>
          <w:sz w:val="24"/>
          <w:szCs w:val="24"/>
        </w:rPr>
      </w:pPr>
      <w:r>
        <w:rPr>
          <w:rFonts w:ascii="Times New Roman" w:hAnsi="Times New Roman" w:eastAsia="Times New Roman" w:cs="Times New Roman"/>
          <w:i/>
          <w:iCs/>
          <w:sz w:val="24"/>
          <w:szCs w:val="24"/>
        </w:rPr>
        <w:t>Sidaszechuensis</w:t>
      </w:r>
      <w:r>
        <w:rPr>
          <w:rFonts w:ascii="宋体" w:hAnsi="宋体" w:eastAsia="宋体" w:cs="宋体"/>
          <w:spacing w:val="10"/>
          <w:sz w:val="24"/>
          <w:szCs w:val="24"/>
        </w:rPr>
        <w:t>、白饭树</w:t>
      </w:r>
      <w:r>
        <w:rPr>
          <w:rFonts w:ascii="宋体" w:hAnsi="宋体" w:eastAsia="宋体" w:cs="宋体"/>
          <w:spacing w:val="-54"/>
          <w:sz w:val="24"/>
          <w:szCs w:val="24"/>
        </w:rPr>
        <w:t xml:space="preserve"> </w:t>
      </w:r>
      <w:r>
        <w:rPr>
          <w:rFonts w:ascii="Times New Roman" w:hAnsi="Times New Roman" w:eastAsia="Times New Roman" w:cs="Times New Roman"/>
          <w:i/>
          <w:iCs/>
          <w:sz w:val="24"/>
          <w:szCs w:val="24"/>
        </w:rPr>
        <w:t>Flueggeavirosa</w:t>
      </w:r>
      <w:r>
        <w:rPr>
          <w:rFonts w:ascii="Times New Roman" w:hAnsi="Times New Roman" w:eastAsia="Times New Roman" w:cs="Times New Roman"/>
          <w:i/>
          <w:iCs/>
          <w:spacing w:val="-33"/>
          <w:sz w:val="24"/>
          <w:szCs w:val="24"/>
        </w:rPr>
        <w:t xml:space="preserve"> </w:t>
      </w:r>
      <w:r>
        <w:rPr>
          <w:rFonts w:ascii="宋体" w:hAnsi="宋体" w:eastAsia="宋体" w:cs="宋体"/>
          <w:spacing w:val="10"/>
          <w:sz w:val="24"/>
          <w:szCs w:val="24"/>
        </w:rPr>
        <w:t>、云南山蚂蝗</w:t>
      </w:r>
      <w:r>
        <w:rPr>
          <w:rFonts w:ascii="宋体" w:hAnsi="宋体" w:eastAsia="宋体" w:cs="宋体"/>
          <w:spacing w:val="-61"/>
          <w:sz w:val="24"/>
          <w:szCs w:val="24"/>
        </w:rPr>
        <w:t xml:space="preserve"> </w:t>
      </w:r>
      <w:r>
        <w:rPr>
          <w:rFonts w:ascii="Times New Roman" w:hAnsi="Times New Roman" w:eastAsia="Times New Roman" w:cs="Times New Roman"/>
          <w:i/>
          <w:iCs/>
          <w:sz w:val="24"/>
          <w:szCs w:val="24"/>
        </w:rPr>
        <w:t>Desmodium</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yunnanense</w:t>
      </w:r>
      <w:r>
        <w:rPr>
          <w:rFonts w:ascii="宋体" w:hAnsi="宋体" w:eastAsia="宋体" w:cs="宋体"/>
          <w:spacing w:val="10"/>
          <w:sz w:val="24"/>
          <w:szCs w:val="24"/>
        </w:rPr>
        <w:t>、</w:t>
      </w:r>
    </w:p>
    <w:p>
      <w:pPr>
        <w:spacing w:before="192" w:line="360" w:lineRule="auto"/>
        <w:ind w:left="42" w:right="1" w:firstLine="3"/>
        <w:rPr>
          <w:rFonts w:ascii="宋体" w:hAnsi="宋体" w:eastAsia="宋体" w:cs="宋体"/>
          <w:sz w:val="24"/>
          <w:szCs w:val="24"/>
        </w:rPr>
      </w:pPr>
      <w:r>
        <w:rPr>
          <w:rFonts w:ascii="宋体" w:hAnsi="宋体" w:eastAsia="宋体" w:cs="宋体"/>
          <w:spacing w:val="-3"/>
          <w:sz w:val="24"/>
          <w:szCs w:val="24"/>
        </w:rPr>
        <w:t>小雀花</w:t>
      </w:r>
      <w:r>
        <w:rPr>
          <w:rFonts w:ascii="宋体" w:hAnsi="宋体" w:eastAsia="宋体" w:cs="宋体"/>
          <w:spacing w:val="-63"/>
          <w:sz w:val="24"/>
          <w:szCs w:val="24"/>
        </w:rPr>
        <w:t xml:space="preserve"> </w:t>
      </w:r>
      <w:r>
        <w:rPr>
          <w:rFonts w:ascii="Times New Roman" w:hAnsi="Times New Roman" w:eastAsia="Times New Roman" w:cs="Times New Roman"/>
          <w:i/>
          <w:iCs/>
          <w:spacing w:val="-3"/>
          <w:sz w:val="24"/>
          <w:szCs w:val="24"/>
        </w:rPr>
        <w:t>Campylotropis</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3"/>
          <w:sz w:val="24"/>
          <w:szCs w:val="24"/>
        </w:rPr>
        <w:t>polyantha</w:t>
      </w:r>
      <w:r>
        <w:rPr>
          <w:rFonts w:ascii="宋体" w:hAnsi="宋体" w:eastAsia="宋体" w:cs="宋体"/>
          <w:spacing w:val="-3"/>
          <w:sz w:val="24"/>
          <w:szCs w:val="24"/>
        </w:rPr>
        <w:t>、</w:t>
      </w:r>
      <w:r>
        <w:rPr>
          <w:rFonts w:ascii="宋体" w:hAnsi="宋体" w:eastAsia="宋体" w:cs="宋体"/>
          <w:spacing w:val="-4"/>
          <w:sz w:val="24"/>
          <w:szCs w:val="24"/>
        </w:rPr>
        <w:t>滇鼠刺</w:t>
      </w:r>
      <w:r>
        <w:rPr>
          <w:rFonts w:ascii="Times New Roman" w:hAnsi="Times New Roman" w:eastAsia="Times New Roman" w:cs="Times New Roman"/>
          <w:i/>
          <w:iCs/>
          <w:spacing w:val="-4"/>
          <w:sz w:val="24"/>
          <w:szCs w:val="24"/>
        </w:rPr>
        <w:t>Itea</w:t>
      </w:r>
      <w:r>
        <w:rPr>
          <w:rFonts w:ascii="Times New Roman" w:hAnsi="Times New Roman" w:eastAsia="Times New Roman" w:cs="Times New Roman"/>
          <w:i/>
          <w:iCs/>
          <w:spacing w:val="-18"/>
          <w:sz w:val="24"/>
          <w:szCs w:val="24"/>
        </w:rPr>
        <w:t xml:space="preserve"> </w:t>
      </w:r>
      <w:r>
        <w:rPr>
          <w:rFonts w:ascii="Times New Roman" w:hAnsi="Times New Roman" w:eastAsia="Times New Roman" w:cs="Times New Roman"/>
          <w:i/>
          <w:iCs/>
          <w:spacing w:val="-4"/>
          <w:sz w:val="24"/>
          <w:szCs w:val="24"/>
        </w:rPr>
        <w:t>yunnanensis</w:t>
      </w:r>
      <w:r>
        <w:rPr>
          <w:rFonts w:ascii="宋体" w:hAnsi="宋体" w:eastAsia="宋体" w:cs="宋体"/>
          <w:spacing w:val="-4"/>
          <w:sz w:val="24"/>
          <w:szCs w:val="24"/>
        </w:rPr>
        <w:t>、沙针</w:t>
      </w:r>
      <w:r>
        <w:rPr>
          <w:rFonts w:ascii="宋体" w:hAnsi="宋体" w:eastAsia="宋体" w:cs="宋体"/>
          <w:spacing w:val="-65"/>
          <w:sz w:val="24"/>
          <w:szCs w:val="24"/>
        </w:rPr>
        <w:t xml:space="preserve"> </w:t>
      </w:r>
      <w:r>
        <w:rPr>
          <w:rFonts w:ascii="Times New Roman" w:hAnsi="Times New Roman" w:eastAsia="Times New Roman" w:cs="Times New Roman"/>
          <w:i/>
          <w:iCs/>
          <w:spacing w:val="-4"/>
          <w:sz w:val="24"/>
          <w:szCs w:val="24"/>
        </w:rPr>
        <w:t>Osyris quadripartita</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15"/>
          <w:sz w:val="24"/>
          <w:szCs w:val="24"/>
        </w:rPr>
        <w:t>水锦树</w:t>
      </w:r>
      <w:r>
        <w:rPr>
          <w:rFonts w:ascii="宋体" w:hAnsi="宋体" w:eastAsia="宋体" w:cs="宋体"/>
          <w:spacing w:val="54"/>
          <w:sz w:val="24"/>
          <w:szCs w:val="24"/>
        </w:rPr>
        <w:t xml:space="preserve"> </w:t>
      </w:r>
      <w:r>
        <w:rPr>
          <w:rFonts w:ascii="Times New Roman" w:hAnsi="Times New Roman" w:eastAsia="Times New Roman" w:cs="Times New Roman"/>
          <w:i/>
          <w:iCs/>
          <w:sz w:val="24"/>
          <w:szCs w:val="24"/>
        </w:rPr>
        <w:t>Wendlandiauvariifolia</w:t>
      </w:r>
      <w:r>
        <w:rPr>
          <w:rFonts w:ascii="宋体" w:hAnsi="宋体" w:eastAsia="宋体" w:cs="宋体"/>
          <w:spacing w:val="15"/>
          <w:sz w:val="24"/>
          <w:szCs w:val="24"/>
        </w:rPr>
        <w:t xml:space="preserve">、牛筋条 </w:t>
      </w:r>
      <w:r>
        <w:rPr>
          <w:rFonts w:ascii="Times New Roman" w:hAnsi="Times New Roman" w:eastAsia="Times New Roman" w:cs="Times New Roman"/>
          <w:i/>
          <w:iCs/>
          <w:sz w:val="24"/>
          <w:szCs w:val="24"/>
        </w:rPr>
        <w:t>Dichotomanthes</w:t>
      </w:r>
      <w:r>
        <w:rPr>
          <w:rFonts w:ascii="Times New Roman" w:hAnsi="Times New Roman" w:eastAsia="Times New Roman" w:cs="Times New Roman"/>
          <w:i/>
          <w:iCs/>
          <w:spacing w:val="54"/>
          <w:sz w:val="24"/>
          <w:szCs w:val="24"/>
        </w:rPr>
        <w:t xml:space="preserve"> </w:t>
      </w:r>
      <w:r>
        <w:rPr>
          <w:rFonts w:ascii="Times New Roman" w:hAnsi="Times New Roman" w:eastAsia="Times New Roman" w:cs="Times New Roman"/>
          <w:i/>
          <w:iCs/>
          <w:sz w:val="24"/>
          <w:szCs w:val="24"/>
        </w:rPr>
        <w:t>tristaniicarpa</w:t>
      </w:r>
      <w:r>
        <w:rPr>
          <w:rFonts w:ascii="宋体" w:hAnsi="宋体" w:eastAsia="宋体" w:cs="宋体"/>
          <w:spacing w:val="15"/>
          <w:sz w:val="24"/>
          <w:szCs w:val="24"/>
        </w:rPr>
        <w:t>、走马胎</w:t>
      </w:r>
    </w:p>
    <w:p>
      <w:pPr>
        <w:spacing w:line="212" w:lineRule="auto"/>
        <w:ind w:left="18"/>
        <w:rPr>
          <w:rFonts w:ascii="宋体" w:hAnsi="宋体" w:eastAsia="宋体" w:cs="宋体"/>
          <w:sz w:val="24"/>
          <w:szCs w:val="24"/>
        </w:rPr>
      </w:pPr>
      <w:r>
        <w:rPr>
          <w:rFonts w:ascii="Times New Roman" w:hAnsi="Times New Roman" w:eastAsia="Times New Roman" w:cs="Times New Roman"/>
          <w:i/>
          <w:iCs/>
          <w:spacing w:val="-3"/>
          <w:sz w:val="24"/>
          <w:szCs w:val="24"/>
        </w:rPr>
        <w:t>Ardisia</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3"/>
          <w:sz w:val="24"/>
          <w:szCs w:val="24"/>
        </w:rPr>
        <w:t>gigantifolia</w:t>
      </w:r>
      <w:r>
        <w:rPr>
          <w:rFonts w:ascii="宋体" w:hAnsi="宋体" w:eastAsia="宋体" w:cs="宋体"/>
          <w:spacing w:val="-3"/>
          <w:sz w:val="24"/>
          <w:szCs w:val="24"/>
        </w:rPr>
        <w:t>、厚皮香</w:t>
      </w:r>
      <w:r>
        <w:rPr>
          <w:rFonts w:ascii="宋体" w:hAnsi="宋体" w:eastAsia="宋体" w:cs="宋体"/>
          <w:spacing w:val="-58"/>
          <w:sz w:val="24"/>
          <w:szCs w:val="24"/>
        </w:rPr>
        <w:t xml:space="preserve"> </w:t>
      </w:r>
      <w:r>
        <w:rPr>
          <w:rFonts w:ascii="Times New Roman" w:hAnsi="Times New Roman" w:eastAsia="Times New Roman" w:cs="Times New Roman"/>
          <w:i/>
          <w:iCs/>
          <w:spacing w:val="-3"/>
          <w:sz w:val="24"/>
          <w:szCs w:val="24"/>
        </w:rPr>
        <w:t>Ternstroemi</w:t>
      </w:r>
      <w:r>
        <w:rPr>
          <w:rFonts w:ascii="Times New Roman" w:hAnsi="Times New Roman" w:eastAsia="Times New Roman" w:cs="Times New Roman"/>
          <w:i/>
          <w:iCs/>
          <w:spacing w:val="-4"/>
          <w:sz w:val="24"/>
          <w:szCs w:val="24"/>
        </w:rPr>
        <w:t>a</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4"/>
          <w:sz w:val="24"/>
          <w:szCs w:val="24"/>
        </w:rPr>
        <w:t>gymnanthera</w:t>
      </w:r>
      <w:r>
        <w:rPr>
          <w:rFonts w:ascii="宋体" w:hAnsi="宋体" w:eastAsia="宋体" w:cs="宋体"/>
          <w:spacing w:val="-4"/>
          <w:sz w:val="24"/>
          <w:szCs w:val="24"/>
        </w:rPr>
        <w:t>、野拔子</w:t>
      </w:r>
      <w:r>
        <w:rPr>
          <w:rFonts w:ascii="Times New Roman" w:hAnsi="Times New Roman" w:eastAsia="Times New Roman" w:cs="Times New Roman"/>
          <w:i/>
          <w:iCs/>
          <w:spacing w:val="-4"/>
          <w:sz w:val="24"/>
          <w:szCs w:val="24"/>
        </w:rPr>
        <w:t>Elsholtzia rugulosa</w:t>
      </w:r>
      <w:r>
        <w:rPr>
          <w:rFonts w:ascii="宋体" w:hAnsi="宋体" w:eastAsia="宋体" w:cs="宋体"/>
          <w:spacing w:val="-4"/>
          <w:sz w:val="24"/>
          <w:szCs w:val="24"/>
        </w:rPr>
        <w:t>、</w:t>
      </w:r>
    </w:p>
    <w:p>
      <w:pPr>
        <w:spacing w:before="192" w:line="360" w:lineRule="auto"/>
        <w:ind w:left="22" w:right="204" w:firstLine="16"/>
        <w:rPr>
          <w:rFonts w:ascii="宋体" w:hAnsi="宋体" w:eastAsia="宋体" w:cs="宋体"/>
          <w:sz w:val="24"/>
          <w:szCs w:val="24"/>
        </w:rPr>
      </w:pPr>
      <w:r>
        <w:rPr>
          <w:rFonts w:ascii="宋体" w:hAnsi="宋体" w:eastAsia="宋体" w:cs="宋体"/>
          <w:spacing w:val="-2"/>
          <w:sz w:val="24"/>
          <w:szCs w:val="24"/>
        </w:rPr>
        <w:t>竹叶花椒</w:t>
      </w:r>
      <w:r>
        <w:rPr>
          <w:rFonts w:ascii="宋体" w:hAnsi="宋体" w:eastAsia="宋体" w:cs="宋体"/>
          <w:spacing w:val="-45"/>
          <w:sz w:val="24"/>
          <w:szCs w:val="24"/>
        </w:rPr>
        <w:t xml:space="preserve"> </w:t>
      </w:r>
      <w:r>
        <w:rPr>
          <w:rFonts w:ascii="Times New Roman" w:hAnsi="Times New Roman" w:eastAsia="Times New Roman" w:cs="Times New Roman"/>
          <w:i/>
          <w:iCs/>
          <w:spacing w:val="-2"/>
          <w:sz w:val="24"/>
          <w:szCs w:val="24"/>
        </w:rPr>
        <w:t>Zanthoxylum armatum</w:t>
      </w:r>
      <w:r>
        <w:rPr>
          <w:rFonts w:ascii="宋体" w:hAnsi="宋体" w:eastAsia="宋体" w:cs="宋体"/>
          <w:spacing w:val="-2"/>
          <w:sz w:val="24"/>
          <w:szCs w:val="24"/>
        </w:rPr>
        <w:t>、马桑</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Coriaria nepalensis</w:t>
      </w:r>
      <w:r>
        <w:rPr>
          <w:rFonts w:ascii="宋体" w:hAnsi="宋体" w:eastAsia="宋体" w:cs="宋体"/>
          <w:spacing w:val="-2"/>
          <w:sz w:val="24"/>
          <w:szCs w:val="24"/>
        </w:rPr>
        <w:t>、截叶铁扫帚</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Lespedeza</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1"/>
          <w:sz w:val="24"/>
          <w:szCs w:val="24"/>
        </w:rPr>
        <w:t>cuneata</w:t>
      </w:r>
      <w:r>
        <w:rPr>
          <w:rFonts w:ascii="宋体" w:hAnsi="宋体" w:eastAsia="宋体" w:cs="宋体"/>
          <w:spacing w:val="-1"/>
          <w:sz w:val="24"/>
          <w:szCs w:val="24"/>
        </w:rPr>
        <w:t>、石海椒</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Reinwardtia indica</w:t>
      </w:r>
      <w:r>
        <w:rPr>
          <w:rFonts w:ascii="宋体" w:hAnsi="宋体" w:eastAsia="宋体" w:cs="宋体"/>
          <w:spacing w:val="-1"/>
          <w:sz w:val="24"/>
          <w:szCs w:val="24"/>
        </w:rPr>
        <w:t>、裂果女贞</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Ligustrum sempervirens</w:t>
      </w:r>
      <w:r>
        <w:rPr>
          <w:rFonts w:ascii="宋体" w:hAnsi="宋体" w:eastAsia="宋体" w:cs="宋体"/>
          <w:spacing w:val="-2"/>
          <w:sz w:val="24"/>
          <w:szCs w:val="24"/>
        </w:rPr>
        <w:t>、薄叶鼠李</w:t>
      </w:r>
      <w:r>
        <w:rPr>
          <w:rFonts w:ascii="宋体" w:hAnsi="宋体" w:eastAsia="宋体" w:cs="宋体"/>
          <w:sz w:val="24"/>
          <w:szCs w:val="24"/>
        </w:rPr>
        <w:t xml:space="preserve"> </w:t>
      </w:r>
      <w:r>
        <w:rPr>
          <w:rFonts w:ascii="Times New Roman" w:hAnsi="Times New Roman" w:eastAsia="Times New Roman" w:cs="Times New Roman"/>
          <w:i/>
          <w:iCs/>
          <w:spacing w:val="-1"/>
          <w:sz w:val="24"/>
          <w:szCs w:val="24"/>
        </w:rPr>
        <w:t>Rhamnusleptophylla</w:t>
      </w:r>
      <w:r>
        <w:rPr>
          <w:rFonts w:ascii="Times New Roman" w:hAnsi="Times New Roman" w:eastAsia="Times New Roman" w:cs="Times New Roman"/>
          <w:i/>
          <w:iCs/>
          <w:spacing w:val="30"/>
          <w:sz w:val="24"/>
          <w:szCs w:val="24"/>
        </w:rPr>
        <w:t xml:space="preserve"> </w:t>
      </w:r>
      <w:r>
        <w:rPr>
          <w:rFonts w:ascii="宋体" w:hAnsi="宋体" w:eastAsia="宋体" w:cs="宋体"/>
          <w:spacing w:val="-1"/>
          <w:sz w:val="24"/>
          <w:szCs w:val="24"/>
        </w:rPr>
        <w:t>、</w:t>
      </w:r>
      <w:r>
        <w:rPr>
          <w:rFonts w:ascii="宋体" w:hAnsi="宋体" w:eastAsia="宋体" w:cs="宋体"/>
          <w:spacing w:val="-46"/>
          <w:sz w:val="24"/>
          <w:szCs w:val="24"/>
        </w:rPr>
        <w:t xml:space="preserve"> </w:t>
      </w:r>
      <w:r>
        <w:rPr>
          <w:rFonts w:ascii="宋体" w:hAnsi="宋体" w:eastAsia="宋体" w:cs="宋体"/>
          <w:spacing w:val="-1"/>
          <w:sz w:val="24"/>
          <w:szCs w:val="24"/>
        </w:rPr>
        <w:t>栽</w:t>
      </w:r>
      <w:r>
        <w:rPr>
          <w:rFonts w:ascii="宋体" w:hAnsi="宋体" w:eastAsia="宋体" w:cs="宋体"/>
          <w:spacing w:val="-49"/>
          <w:sz w:val="24"/>
          <w:szCs w:val="24"/>
        </w:rPr>
        <w:t xml:space="preserve"> </w:t>
      </w:r>
      <w:r>
        <w:rPr>
          <w:rFonts w:ascii="宋体" w:hAnsi="宋体" w:eastAsia="宋体" w:cs="宋体"/>
          <w:spacing w:val="-1"/>
          <w:sz w:val="24"/>
          <w:szCs w:val="24"/>
        </w:rPr>
        <w:t>秧</w:t>
      </w:r>
      <w:r>
        <w:rPr>
          <w:rFonts w:ascii="宋体" w:hAnsi="宋体" w:eastAsia="宋体" w:cs="宋体"/>
          <w:spacing w:val="-44"/>
          <w:sz w:val="24"/>
          <w:szCs w:val="24"/>
        </w:rPr>
        <w:t xml:space="preserve"> </w:t>
      </w:r>
      <w:r>
        <w:rPr>
          <w:rFonts w:ascii="宋体" w:hAnsi="宋体" w:eastAsia="宋体" w:cs="宋体"/>
          <w:spacing w:val="-2"/>
          <w:sz w:val="24"/>
          <w:szCs w:val="24"/>
        </w:rPr>
        <w:t>泡</w:t>
      </w:r>
      <w:r>
        <w:rPr>
          <w:rFonts w:ascii="宋体" w:hAnsi="宋体" w:eastAsia="宋体" w:cs="宋体"/>
          <w:spacing w:val="56"/>
          <w:sz w:val="24"/>
          <w:szCs w:val="24"/>
        </w:rPr>
        <w:t xml:space="preserve"> </w:t>
      </w:r>
      <w:r>
        <w:rPr>
          <w:rFonts w:ascii="Times New Roman" w:hAnsi="Times New Roman" w:eastAsia="Times New Roman" w:cs="Times New Roman"/>
          <w:i/>
          <w:iCs/>
          <w:spacing w:val="-2"/>
          <w:sz w:val="24"/>
          <w:szCs w:val="24"/>
        </w:rPr>
        <w:t>Rubus</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i/>
          <w:iCs/>
          <w:spacing w:val="-2"/>
          <w:sz w:val="24"/>
          <w:szCs w:val="24"/>
        </w:rPr>
        <w:t>ellipticus</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spacing w:val="-2"/>
          <w:sz w:val="24"/>
          <w:szCs w:val="24"/>
        </w:rPr>
        <w:t>var.</w:t>
      </w:r>
      <w:r>
        <w:rPr>
          <w:rFonts w:ascii="Times New Roman" w:hAnsi="Times New Roman" w:eastAsia="Times New Roman" w:cs="Times New Roman"/>
          <w:spacing w:val="18"/>
          <w:w w:val="101"/>
          <w:sz w:val="24"/>
          <w:szCs w:val="24"/>
        </w:rPr>
        <w:t xml:space="preserve">  </w:t>
      </w:r>
      <w:r>
        <w:rPr>
          <w:rFonts w:ascii="Times New Roman" w:hAnsi="Times New Roman" w:eastAsia="Times New Roman" w:cs="Times New Roman"/>
          <w:i/>
          <w:iCs/>
          <w:spacing w:val="-2"/>
          <w:sz w:val="24"/>
          <w:szCs w:val="24"/>
        </w:rPr>
        <w:t>obcordatus</w:t>
      </w:r>
      <w:r>
        <w:rPr>
          <w:rFonts w:ascii="Times New Roman" w:hAnsi="Times New Roman" w:eastAsia="Times New Roman" w:cs="Times New Roman"/>
          <w:i/>
          <w:iCs/>
          <w:spacing w:val="31"/>
          <w:w w:val="101"/>
          <w:sz w:val="24"/>
          <w:szCs w:val="24"/>
        </w:rPr>
        <w:t xml:space="preserve"> </w:t>
      </w:r>
      <w:r>
        <w:rPr>
          <w:rFonts w:ascii="宋体" w:hAnsi="宋体" w:eastAsia="宋体" w:cs="宋体"/>
          <w:spacing w:val="-2"/>
          <w:sz w:val="24"/>
          <w:szCs w:val="24"/>
        </w:rPr>
        <w:t>、</w:t>
      </w:r>
      <w:r>
        <w:rPr>
          <w:rFonts w:ascii="宋体" w:hAnsi="宋体" w:eastAsia="宋体" w:cs="宋体"/>
          <w:spacing w:val="-46"/>
          <w:sz w:val="24"/>
          <w:szCs w:val="24"/>
        </w:rPr>
        <w:t xml:space="preserve"> </w:t>
      </w:r>
      <w:r>
        <w:rPr>
          <w:rFonts w:ascii="宋体" w:hAnsi="宋体" w:eastAsia="宋体" w:cs="宋体"/>
          <w:spacing w:val="-2"/>
          <w:sz w:val="24"/>
          <w:szCs w:val="24"/>
        </w:rPr>
        <w:t>腺</w:t>
      </w:r>
      <w:r>
        <w:rPr>
          <w:rFonts w:ascii="宋体" w:hAnsi="宋体" w:eastAsia="宋体" w:cs="宋体"/>
          <w:spacing w:val="-45"/>
          <w:sz w:val="24"/>
          <w:szCs w:val="24"/>
        </w:rPr>
        <w:t xml:space="preserve"> </w:t>
      </w:r>
      <w:r>
        <w:rPr>
          <w:rFonts w:ascii="宋体" w:hAnsi="宋体" w:eastAsia="宋体" w:cs="宋体"/>
          <w:spacing w:val="-2"/>
          <w:sz w:val="24"/>
          <w:szCs w:val="24"/>
        </w:rPr>
        <w:t>毛</w:t>
      </w:r>
      <w:r>
        <w:rPr>
          <w:rFonts w:ascii="宋体" w:hAnsi="宋体" w:eastAsia="宋体" w:cs="宋体"/>
          <w:spacing w:val="-46"/>
          <w:sz w:val="24"/>
          <w:szCs w:val="24"/>
        </w:rPr>
        <w:t xml:space="preserve"> </w:t>
      </w:r>
      <w:r>
        <w:rPr>
          <w:rFonts w:ascii="宋体" w:hAnsi="宋体" w:eastAsia="宋体" w:cs="宋体"/>
          <w:spacing w:val="-2"/>
          <w:sz w:val="24"/>
          <w:szCs w:val="24"/>
        </w:rPr>
        <w:t>木</w:t>
      </w:r>
      <w:r>
        <w:rPr>
          <w:rFonts w:ascii="宋体" w:hAnsi="宋体" w:eastAsia="宋体" w:cs="宋体"/>
          <w:spacing w:val="-46"/>
          <w:sz w:val="24"/>
          <w:szCs w:val="24"/>
        </w:rPr>
        <w:t xml:space="preserve"> </w:t>
      </w:r>
      <w:r>
        <w:rPr>
          <w:rFonts w:ascii="宋体" w:hAnsi="宋体" w:eastAsia="宋体" w:cs="宋体"/>
          <w:spacing w:val="-2"/>
          <w:sz w:val="24"/>
          <w:szCs w:val="24"/>
        </w:rPr>
        <w:t>蓝</w:t>
      </w:r>
      <w:r>
        <w:rPr>
          <w:rFonts w:ascii="宋体" w:hAnsi="宋体" w:eastAsia="宋体" w:cs="宋体"/>
          <w:sz w:val="24"/>
          <w:szCs w:val="24"/>
        </w:rPr>
        <w:t xml:space="preserve"> </w:t>
      </w:r>
      <w:r>
        <w:rPr>
          <w:rFonts w:ascii="Times New Roman" w:hAnsi="Times New Roman" w:eastAsia="Times New Roman" w:cs="Times New Roman"/>
          <w:i/>
          <w:iCs/>
          <w:spacing w:val="-1"/>
          <w:sz w:val="24"/>
          <w:szCs w:val="24"/>
        </w:rPr>
        <w:t>Indigofera scabrida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、华西小石积</w:t>
      </w:r>
      <w:r>
        <w:rPr>
          <w:rFonts w:ascii="宋体" w:hAnsi="宋体" w:eastAsia="宋体" w:cs="宋体"/>
          <w:spacing w:val="-45"/>
          <w:sz w:val="24"/>
          <w:szCs w:val="24"/>
        </w:rPr>
        <w:t xml:space="preserve"> </w:t>
      </w:r>
      <w:r>
        <w:rPr>
          <w:rFonts w:ascii="Times New Roman" w:hAnsi="Times New Roman" w:eastAsia="Times New Roman" w:cs="Times New Roman"/>
          <w:i/>
          <w:iCs/>
          <w:spacing w:val="-1"/>
          <w:sz w:val="24"/>
          <w:szCs w:val="24"/>
        </w:rPr>
        <w:t>Oste</w:t>
      </w:r>
      <w:r>
        <w:rPr>
          <w:rFonts w:ascii="Times New Roman" w:hAnsi="Times New Roman" w:eastAsia="Times New Roman" w:cs="Times New Roman"/>
          <w:i/>
          <w:iCs/>
          <w:spacing w:val="-2"/>
          <w:sz w:val="24"/>
          <w:szCs w:val="24"/>
        </w:rPr>
        <w:t>omeles</w:t>
      </w:r>
      <w:r>
        <w:rPr>
          <w:rFonts w:ascii="Times New Roman" w:hAnsi="Times New Roman" w:eastAsia="Times New Roman" w:cs="Times New Roman"/>
          <w:i/>
          <w:iCs/>
          <w:spacing w:val="-17"/>
          <w:sz w:val="24"/>
          <w:szCs w:val="24"/>
        </w:rPr>
        <w:t xml:space="preserve"> </w:t>
      </w:r>
      <w:r>
        <w:rPr>
          <w:rFonts w:ascii="Times New Roman" w:hAnsi="Times New Roman" w:eastAsia="Times New Roman" w:cs="Times New Roman"/>
          <w:i/>
          <w:iCs/>
          <w:spacing w:val="-2"/>
          <w:sz w:val="24"/>
          <w:szCs w:val="24"/>
        </w:rPr>
        <w:t xml:space="preserve">schwerinae </w:t>
      </w:r>
      <w:r>
        <w:rPr>
          <w:rFonts w:ascii="宋体" w:hAnsi="宋体" w:eastAsia="宋体" w:cs="宋体"/>
          <w:spacing w:val="-2"/>
          <w:sz w:val="24"/>
          <w:szCs w:val="24"/>
        </w:rPr>
        <w:t>等。此外，群落的灌木层</w:t>
      </w:r>
      <w:r>
        <w:rPr>
          <w:rFonts w:ascii="宋体" w:hAnsi="宋体" w:eastAsia="宋体" w:cs="宋体"/>
          <w:sz w:val="24"/>
          <w:szCs w:val="24"/>
        </w:rPr>
        <w:t xml:space="preserve"> </w:t>
      </w:r>
      <w:r>
        <w:rPr>
          <w:rFonts w:ascii="宋体" w:hAnsi="宋体" w:eastAsia="宋体" w:cs="宋体"/>
          <w:spacing w:val="4"/>
          <w:sz w:val="24"/>
          <w:szCs w:val="24"/>
        </w:rPr>
        <w:t xml:space="preserve">中也存在一些乔木幼树，如锥连栎 </w:t>
      </w:r>
      <w:r>
        <w:rPr>
          <w:rFonts w:ascii="Times New Roman" w:hAnsi="Times New Roman" w:eastAsia="Times New Roman" w:cs="Times New Roman"/>
          <w:i/>
          <w:iCs/>
          <w:sz w:val="24"/>
          <w:szCs w:val="24"/>
        </w:rPr>
        <w:t>Quercus</w:t>
      </w:r>
      <w:r>
        <w:rPr>
          <w:rFonts w:ascii="Times New Roman" w:hAnsi="Times New Roman" w:eastAsia="Times New Roman" w:cs="Times New Roman"/>
          <w:i/>
          <w:iCs/>
          <w:spacing w:val="-8"/>
          <w:sz w:val="24"/>
          <w:szCs w:val="24"/>
        </w:rPr>
        <w:t xml:space="preserve"> </w:t>
      </w:r>
      <w:r>
        <w:rPr>
          <w:rFonts w:ascii="Times New Roman" w:hAnsi="Times New Roman" w:eastAsia="Times New Roman" w:cs="Times New Roman"/>
          <w:i/>
          <w:iCs/>
          <w:sz w:val="24"/>
          <w:szCs w:val="24"/>
        </w:rPr>
        <w:t>franchetii</w:t>
      </w:r>
      <w:r>
        <w:rPr>
          <w:rFonts w:ascii="Times New Roman" w:hAnsi="Times New Roman" w:eastAsia="Times New Roman" w:cs="Times New Roman"/>
          <w:i/>
          <w:iCs/>
          <w:spacing w:val="-29"/>
          <w:sz w:val="24"/>
          <w:szCs w:val="24"/>
        </w:rPr>
        <w:t xml:space="preserve"> </w:t>
      </w:r>
      <w:r>
        <w:rPr>
          <w:rFonts w:ascii="宋体" w:hAnsi="宋体" w:eastAsia="宋体" w:cs="宋体"/>
          <w:spacing w:val="4"/>
          <w:sz w:val="24"/>
          <w:szCs w:val="24"/>
        </w:rPr>
        <w:t xml:space="preserve">、滇青冈 </w:t>
      </w:r>
      <w:r>
        <w:rPr>
          <w:rFonts w:ascii="Times New Roman" w:hAnsi="Times New Roman" w:eastAsia="Times New Roman" w:cs="Times New Roman"/>
          <w:i/>
          <w:iCs/>
          <w:sz w:val="24"/>
          <w:szCs w:val="24"/>
        </w:rPr>
        <w:t>Cyclobalanopsis glaucoides</w:t>
      </w:r>
      <w:r>
        <w:rPr>
          <w:rFonts w:ascii="Times New Roman" w:hAnsi="Times New Roman" w:eastAsia="Times New Roman" w:cs="Times New Roman"/>
          <w:i/>
          <w:iCs/>
          <w:spacing w:val="-27"/>
          <w:sz w:val="24"/>
          <w:szCs w:val="24"/>
        </w:rPr>
        <w:t xml:space="preserve"> </w:t>
      </w:r>
      <w:r>
        <w:rPr>
          <w:rFonts w:ascii="宋体" w:hAnsi="宋体" w:eastAsia="宋体" w:cs="宋体"/>
          <w:spacing w:val="7"/>
          <w:sz w:val="24"/>
          <w:szCs w:val="24"/>
        </w:rPr>
        <w:t xml:space="preserve">、高山锥 </w:t>
      </w:r>
      <w:r>
        <w:rPr>
          <w:rFonts w:ascii="Times New Roman" w:hAnsi="Times New Roman" w:eastAsia="Times New Roman" w:cs="Times New Roman"/>
          <w:i/>
          <w:iCs/>
          <w:sz w:val="24"/>
          <w:szCs w:val="24"/>
        </w:rPr>
        <w:t>Castanopsis</w:t>
      </w:r>
      <w:r>
        <w:rPr>
          <w:rFonts w:ascii="Times New Roman" w:hAnsi="Times New Roman" w:eastAsia="Times New Roman" w:cs="Times New Roman"/>
          <w:i/>
          <w:iCs/>
          <w:spacing w:val="38"/>
          <w:sz w:val="24"/>
          <w:szCs w:val="24"/>
        </w:rPr>
        <w:t xml:space="preserve"> </w:t>
      </w:r>
      <w:r>
        <w:rPr>
          <w:rFonts w:ascii="Times New Roman" w:hAnsi="Times New Roman" w:eastAsia="Times New Roman" w:cs="Times New Roman"/>
          <w:i/>
          <w:iCs/>
          <w:sz w:val="24"/>
          <w:szCs w:val="24"/>
        </w:rPr>
        <w:t>delavayi</w:t>
      </w:r>
      <w:r>
        <w:rPr>
          <w:rFonts w:ascii="Times New Roman" w:hAnsi="Times New Roman" w:eastAsia="Times New Roman" w:cs="Times New Roman"/>
          <w:i/>
          <w:iCs/>
          <w:spacing w:val="-24"/>
          <w:sz w:val="24"/>
          <w:szCs w:val="24"/>
        </w:rPr>
        <w:t xml:space="preserve"> </w:t>
      </w:r>
      <w:r>
        <w:rPr>
          <w:rFonts w:ascii="宋体" w:hAnsi="宋体" w:eastAsia="宋体" w:cs="宋体"/>
          <w:spacing w:val="7"/>
          <w:sz w:val="24"/>
          <w:szCs w:val="24"/>
        </w:rPr>
        <w:t xml:space="preserve">、川梨 </w:t>
      </w:r>
      <w:r>
        <w:rPr>
          <w:rFonts w:ascii="Times New Roman" w:hAnsi="Times New Roman" w:eastAsia="Times New Roman" w:cs="Times New Roman"/>
          <w:i/>
          <w:iCs/>
          <w:sz w:val="24"/>
          <w:szCs w:val="24"/>
        </w:rPr>
        <w:t>Pyruspashia</w:t>
      </w:r>
      <w:r>
        <w:rPr>
          <w:rFonts w:ascii="Times New Roman" w:hAnsi="Times New Roman" w:eastAsia="Times New Roman" w:cs="Times New Roman"/>
          <w:i/>
          <w:iCs/>
          <w:spacing w:val="-25"/>
          <w:sz w:val="24"/>
          <w:szCs w:val="24"/>
        </w:rPr>
        <w:t xml:space="preserve"> </w:t>
      </w:r>
      <w:r>
        <w:rPr>
          <w:rFonts w:ascii="宋体" w:hAnsi="宋体" w:eastAsia="宋体" w:cs="宋体"/>
          <w:spacing w:val="7"/>
          <w:sz w:val="24"/>
          <w:szCs w:val="24"/>
        </w:rPr>
        <w:t xml:space="preserve">、清香木 </w:t>
      </w:r>
      <w:r>
        <w:rPr>
          <w:rFonts w:ascii="Times New Roman" w:hAnsi="Times New Roman" w:eastAsia="Times New Roman" w:cs="Times New Roman"/>
          <w:i/>
          <w:iCs/>
          <w:sz w:val="24"/>
          <w:szCs w:val="24"/>
        </w:rPr>
        <w:t xml:space="preserve">Pistacia </w:t>
      </w:r>
      <w:r>
        <w:rPr>
          <w:rFonts w:ascii="Times New Roman" w:hAnsi="Times New Roman" w:eastAsia="Times New Roman" w:cs="Times New Roman"/>
          <w:i/>
          <w:iCs/>
          <w:spacing w:val="-6"/>
          <w:sz w:val="24"/>
          <w:szCs w:val="24"/>
        </w:rPr>
        <w:t>weinmannifolia</w:t>
      </w:r>
      <w:r>
        <w:rPr>
          <w:rFonts w:ascii="宋体" w:hAnsi="宋体" w:eastAsia="宋体" w:cs="宋体"/>
          <w:spacing w:val="-6"/>
          <w:sz w:val="24"/>
          <w:szCs w:val="24"/>
        </w:rPr>
        <w:t>、栓皮栎</w:t>
      </w:r>
      <w:r>
        <w:rPr>
          <w:rFonts w:ascii="宋体" w:hAnsi="宋体" w:eastAsia="宋体" w:cs="宋体"/>
          <w:spacing w:val="-48"/>
          <w:sz w:val="24"/>
          <w:szCs w:val="24"/>
        </w:rPr>
        <w:t xml:space="preserve"> </w:t>
      </w:r>
      <w:r>
        <w:rPr>
          <w:rFonts w:ascii="Times New Roman" w:hAnsi="Times New Roman" w:eastAsia="Times New Roman" w:cs="Times New Roman"/>
          <w:i/>
          <w:iCs/>
          <w:spacing w:val="-6"/>
          <w:sz w:val="24"/>
          <w:szCs w:val="24"/>
        </w:rPr>
        <w:t>Quercus variabilis</w:t>
      </w:r>
      <w:r>
        <w:rPr>
          <w:rFonts w:ascii="Times New Roman" w:hAnsi="Times New Roman" w:eastAsia="Times New Roman" w:cs="Times New Roman"/>
          <w:i/>
          <w:iCs/>
          <w:spacing w:val="12"/>
          <w:sz w:val="24"/>
          <w:szCs w:val="24"/>
        </w:rPr>
        <w:t xml:space="preserve"> </w:t>
      </w:r>
      <w:r>
        <w:rPr>
          <w:rFonts w:ascii="宋体" w:hAnsi="宋体" w:eastAsia="宋体" w:cs="宋体"/>
          <w:spacing w:val="-6"/>
          <w:sz w:val="24"/>
          <w:szCs w:val="24"/>
        </w:rPr>
        <w:t>等，</w:t>
      </w:r>
      <w:r>
        <w:rPr>
          <w:rFonts w:ascii="宋体" w:hAnsi="宋体" w:eastAsia="宋体" w:cs="宋体"/>
          <w:spacing w:val="-68"/>
          <w:sz w:val="24"/>
          <w:szCs w:val="24"/>
        </w:rPr>
        <w:t xml:space="preserve"> </w:t>
      </w:r>
      <w:r>
        <w:rPr>
          <w:rFonts w:ascii="宋体" w:hAnsi="宋体" w:eastAsia="宋体" w:cs="宋体"/>
          <w:spacing w:val="-6"/>
          <w:sz w:val="24"/>
          <w:szCs w:val="24"/>
        </w:rPr>
        <w:t>很多是当地的阳性次生种</w:t>
      </w:r>
      <w:r>
        <w:rPr>
          <w:rFonts w:ascii="宋体" w:hAnsi="宋体" w:eastAsia="宋体" w:cs="宋体"/>
          <w:spacing w:val="-7"/>
          <w:sz w:val="24"/>
          <w:szCs w:val="24"/>
        </w:rPr>
        <w:t>类， 表明</w:t>
      </w:r>
    </w:p>
    <w:p>
      <w:pPr>
        <w:spacing w:before="1" w:line="218" w:lineRule="auto"/>
        <w:ind w:left="39"/>
        <w:rPr>
          <w:rFonts w:ascii="宋体" w:hAnsi="宋体" w:eastAsia="宋体" w:cs="宋体"/>
          <w:sz w:val="24"/>
          <w:szCs w:val="24"/>
        </w:rPr>
      </w:pPr>
      <w:r>
        <w:rPr>
          <w:rFonts w:ascii="宋体" w:hAnsi="宋体" w:eastAsia="宋体" w:cs="宋体"/>
          <w:spacing w:val="-5"/>
          <w:sz w:val="24"/>
          <w:szCs w:val="24"/>
        </w:rPr>
        <w:t>群落具有偏干性质。</w:t>
      </w:r>
    </w:p>
    <w:p>
      <w:pPr>
        <w:spacing w:before="184" w:line="360" w:lineRule="auto"/>
        <w:ind w:left="39" w:right="206" w:firstLine="481"/>
        <w:rPr>
          <w:rFonts w:ascii="Times New Roman" w:hAnsi="Times New Roman" w:eastAsia="Times New Roman" w:cs="Times New Roman"/>
          <w:sz w:val="24"/>
          <w:szCs w:val="24"/>
        </w:rPr>
      </w:pPr>
      <w:r>
        <w:rPr>
          <w:rFonts w:ascii="宋体" w:hAnsi="宋体" w:eastAsia="宋体" w:cs="宋体"/>
          <w:spacing w:val="-5"/>
          <w:sz w:val="24"/>
          <w:szCs w:val="24"/>
        </w:rPr>
        <w:t>草本是群落中最发达的，覆盖率几乎</w:t>
      </w:r>
      <w:r>
        <w:rPr>
          <w:rFonts w:ascii="宋体" w:hAnsi="宋体" w:eastAsia="宋体" w:cs="宋体"/>
          <w:spacing w:val="-15"/>
          <w:sz w:val="24"/>
          <w:szCs w:val="24"/>
        </w:rPr>
        <w:t xml:space="preserve"> </w:t>
      </w:r>
      <w:r>
        <w:rPr>
          <w:rFonts w:ascii="Times New Roman" w:hAnsi="Times New Roman" w:eastAsia="Times New Roman" w:cs="Times New Roman"/>
          <w:spacing w:val="-5"/>
          <w:sz w:val="24"/>
          <w:szCs w:val="24"/>
        </w:rPr>
        <w:t>100%</w:t>
      </w:r>
      <w:r>
        <w:rPr>
          <w:rFonts w:ascii="宋体" w:hAnsi="宋体" w:eastAsia="宋体" w:cs="宋体"/>
          <w:spacing w:val="-5"/>
          <w:sz w:val="24"/>
          <w:szCs w:val="24"/>
        </w:rPr>
        <w:t>，草本层高度为</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80cm</w:t>
      </w:r>
      <w:r>
        <w:rPr>
          <w:rFonts w:ascii="宋体" w:hAnsi="宋体" w:eastAsia="宋体" w:cs="宋体"/>
          <w:spacing w:val="-5"/>
          <w:sz w:val="24"/>
          <w:szCs w:val="24"/>
        </w:rPr>
        <w:t>。除了优势</w:t>
      </w:r>
      <w:r>
        <w:rPr>
          <w:rFonts w:ascii="宋体" w:hAnsi="宋体" w:eastAsia="宋体" w:cs="宋体"/>
          <w:sz w:val="24"/>
          <w:szCs w:val="24"/>
        </w:rPr>
        <w:t xml:space="preserve"> </w:t>
      </w:r>
      <w:r>
        <w:rPr>
          <w:rFonts w:ascii="宋体" w:hAnsi="宋体" w:eastAsia="宋体" w:cs="宋体"/>
          <w:spacing w:val="-2"/>
          <w:sz w:val="24"/>
          <w:szCs w:val="24"/>
        </w:rPr>
        <w:t>种黄茅</w:t>
      </w:r>
      <w:r>
        <w:rPr>
          <w:rFonts w:ascii="宋体" w:hAnsi="宋体" w:eastAsia="宋体" w:cs="宋体"/>
          <w:spacing w:val="-29"/>
          <w:sz w:val="24"/>
          <w:szCs w:val="24"/>
        </w:rPr>
        <w:t xml:space="preserve"> </w:t>
      </w:r>
      <w:r>
        <w:rPr>
          <w:rFonts w:ascii="Times New Roman" w:hAnsi="Times New Roman" w:eastAsia="Times New Roman" w:cs="Times New Roman"/>
          <w:i/>
          <w:iCs/>
          <w:spacing w:val="-2"/>
          <w:sz w:val="24"/>
          <w:szCs w:val="24"/>
        </w:rPr>
        <w:t>Heteropogon</w:t>
      </w:r>
      <w:r>
        <w:rPr>
          <w:rFonts w:ascii="Times New Roman" w:hAnsi="Times New Roman" w:eastAsia="Times New Roman" w:cs="Times New Roman"/>
          <w:i/>
          <w:iCs/>
          <w:spacing w:val="36"/>
          <w:w w:val="101"/>
          <w:sz w:val="24"/>
          <w:szCs w:val="24"/>
        </w:rPr>
        <w:t xml:space="preserve"> </w:t>
      </w:r>
      <w:r>
        <w:rPr>
          <w:rFonts w:ascii="Times New Roman" w:hAnsi="Times New Roman" w:eastAsia="Times New Roman" w:cs="Times New Roman"/>
          <w:i/>
          <w:iCs/>
          <w:spacing w:val="-2"/>
          <w:sz w:val="24"/>
          <w:szCs w:val="24"/>
        </w:rPr>
        <w:t>contortus</w:t>
      </w:r>
      <w:r>
        <w:rPr>
          <w:rFonts w:ascii="Times New Roman" w:hAnsi="Times New Roman" w:eastAsia="Times New Roman" w:cs="Times New Roman"/>
          <w:i/>
          <w:iCs/>
          <w:spacing w:val="53"/>
          <w:sz w:val="24"/>
          <w:szCs w:val="24"/>
        </w:rPr>
        <w:t xml:space="preserve"> </w:t>
      </w:r>
      <w:r>
        <w:rPr>
          <w:rFonts w:ascii="宋体" w:hAnsi="宋体" w:eastAsia="宋体" w:cs="宋体"/>
          <w:spacing w:val="-2"/>
          <w:sz w:val="24"/>
          <w:szCs w:val="24"/>
        </w:rPr>
        <w:t>外，</w:t>
      </w:r>
      <w:r>
        <w:rPr>
          <w:rFonts w:ascii="宋体" w:hAnsi="宋体" w:eastAsia="宋体" w:cs="宋体"/>
          <w:spacing w:val="-33"/>
          <w:sz w:val="24"/>
          <w:szCs w:val="24"/>
        </w:rPr>
        <w:t xml:space="preserve"> </w:t>
      </w:r>
      <w:r>
        <w:rPr>
          <w:rFonts w:ascii="宋体" w:hAnsi="宋体" w:eastAsia="宋体" w:cs="宋体"/>
          <w:spacing w:val="-2"/>
          <w:sz w:val="24"/>
          <w:szCs w:val="24"/>
        </w:rPr>
        <w:t>蔗茅</w:t>
      </w:r>
      <w:r>
        <w:rPr>
          <w:rFonts w:ascii="宋体" w:hAnsi="宋体" w:eastAsia="宋体" w:cs="宋体"/>
          <w:spacing w:val="-28"/>
          <w:sz w:val="24"/>
          <w:szCs w:val="24"/>
        </w:rPr>
        <w:t xml:space="preserve"> </w:t>
      </w:r>
      <w:r>
        <w:rPr>
          <w:rFonts w:ascii="Times New Roman" w:hAnsi="Times New Roman" w:eastAsia="Times New Roman" w:cs="Times New Roman"/>
          <w:i/>
          <w:iCs/>
          <w:spacing w:val="-2"/>
          <w:sz w:val="24"/>
          <w:szCs w:val="24"/>
        </w:rPr>
        <w:t>Erian</w:t>
      </w:r>
      <w:r>
        <w:rPr>
          <w:rFonts w:ascii="Times New Roman" w:hAnsi="Times New Roman" w:eastAsia="Times New Roman" w:cs="Times New Roman"/>
          <w:i/>
          <w:iCs/>
          <w:spacing w:val="-3"/>
          <w:sz w:val="24"/>
          <w:szCs w:val="24"/>
        </w:rPr>
        <w:t>thus</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pacing w:val="-3"/>
          <w:sz w:val="24"/>
          <w:szCs w:val="24"/>
        </w:rPr>
        <w:t>rufipilus</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、旱茅</w:t>
      </w:r>
      <w:r>
        <w:rPr>
          <w:rFonts w:ascii="宋体" w:hAnsi="宋体" w:eastAsia="宋体" w:cs="宋体"/>
          <w:spacing w:val="-23"/>
          <w:sz w:val="24"/>
          <w:szCs w:val="24"/>
        </w:rPr>
        <w:t xml:space="preserve"> </w:t>
      </w:r>
      <w:r>
        <w:rPr>
          <w:rFonts w:ascii="Times New Roman" w:hAnsi="Times New Roman" w:eastAsia="Times New Roman" w:cs="Times New Roman"/>
          <w:i/>
          <w:iCs/>
          <w:spacing w:val="-3"/>
          <w:sz w:val="24"/>
          <w:szCs w:val="24"/>
        </w:rPr>
        <w:t>Schizachyrium</w:t>
      </w:r>
    </w:p>
    <w:p>
      <w:pPr>
        <w:spacing w:line="212" w:lineRule="auto"/>
        <w:ind w:left="34"/>
        <w:rPr>
          <w:rFonts w:ascii="宋体" w:hAnsi="宋体" w:eastAsia="宋体" w:cs="宋体"/>
          <w:sz w:val="24"/>
          <w:szCs w:val="24"/>
        </w:rPr>
      </w:pPr>
      <w:r>
        <w:rPr>
          <w:rFonts w:ascii="Times New Roman" w:hAnsi="Times New Roman" w:eastAsia="Times New Roman" w:cs="Times New Roman"/>
          <w:i/>
          <w:iCs/>
          <w:spacing w:val="-4"/>
          <w:sz w:val="24"/>
          <w:szCs w:val="24"/>
        </w:rPr>
        <w:t>delavayi</w:t>
      </w:r>
      <w:r>
        <w:rPr>
          <w:rFonts w:ascii="宋体" w:hAnsi="宋体" w:eastAsia="宋体" w:cs="宋体"/>
          <w:spacing w:val="-4"/>
          <w:sz w:val="24"/>
          <w:szCs w:val="24"/>
        </w:rPr>
        <w:t>、孟加拉野古草</w:t>
      </w:r>
      <w:r>
        <w:rPr>
          <w:rFonts w:ascii="Times New Roman" w:hAnsi="Times New Roman" w:eastAsia="Times New Roman" w:cs="Times New Roman"/>
          <w:i/>
          <w:iCs/>
          <w:spacing w:val="-4"/>
          <w:sz w:val="24"/>
          <w:szCs w:val="24"/>
        </w:rPr>
        <w:t>Arundinella bengalensis</w:t>
      </w:r>
      <w:r>
        <w:rPr>
          <w:rFonts w:ascii="宋体" w:hAnsi="宋体" w:eastAsia="宋体" w:cs="宋体"/>
          <w:spacing w:val="-4"/>
          <w:sz w:val="24"/>
          <w:szCs w:val="24"/>
        </w:rPr>
        <w:t>、阿拉伯黄背草</w:t>
      </w:r>
      <w:r>
        <w:rPr>
          <w:rFonts w:ascii="宋体" w:hAnsi="宋体" w:eastAsia="宋体" w:cs="宋体"/>
          <w:spacing w:val="-65"/>
          <w:sz w:val="24"/>
          <w:szCs w:val="24"/>
        </w:rPr>
        <w:t xml:space="preserve"> </w:t>
      </w:r>
      <w:r>
        <w:rPr>
          <w:rFonts w:ascii="Times New Roman" w:hAnsi="Times New Roman" w:eastAsia="Times New Roman" w:cs="Times New Roman"/>
          <w:i/>
          <w:iCs/>
          <w:spacing w:val="-4"/>
          <w:sz w:val="24"/>
          <w:szCs w:val="24"/>
        </w:rPr>
        <w:t>Themeda triandra</w:t>
      </w:r>
      <w:r>
        <w:rPr>
          <w:rFonts w:ascii="宋体" w:hAnsi="宋体" w:eastAsia="宋体" w:cs="宋体"/>
          <w:spacing w:val="-4"/>
          <w:sz w:val="24"/>
          <w:szCs w:val="24"/>
        </w:rPr>
        <w:t>、</w:t>
      </w:r>
    </w:p>
    <w:p>
      <w:pPr>
        <w:spacing w:before="193" w:line="360" w:lineRule="auto"/>
        <w:ind w:left="34" w:firstLine="39"/>
        <w:rPr>
          <w:rFonts w:ascii="宋体" w:hAnsi="宋体" w:eastAsia="宋体" w:cs="宋体"/>
          <w:sz w:val="24"/>
          <w:szCs w:val="24"/>
        </w:rPr>
      </w:pPr>
      <w:r>
        <w:rPr>
          <w:rFonts w:ascii="宋体" w:hAnsi="宋体" w:eastAsia="宋体" w:cs="宋体"/>
          <w:spacing w:val="-2"/>
          <w:sz w:val="24"/>
          <w:szCs w:val="24"/>
        </w:rPr>
        <w:t>白健秆</w:t>
      </w:r>
      <w:r>
        <w:rPr>
          <w:rFonts w:ascii="Times New Roman" w:hAnsi="Times New Roman" w:eastAsia="Times New Roman" w:cs="Times New Roman"/>
          <w:i/>
          <w:iCs/>
          <w:spacing w:val="-2"/>
          <w:sz w:val="24"/>
          <w:szCs w:val="24"/>
        </w:rPr>
        <w:t>Eulalia</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pacing w:val="-2"/>
          <w:sz w:val="24"/>
          <w:szCs w:val="24"/>
        </w:rPr>
        <w:t>pallens</w:t>
      </w:r>
      <w:r>
        <w:rPr>
          <w:rFonts w:ascii="宋体" w:hAnsi="宋体" w:eastAsia="宋体" w:cs="宋体"/>
          <w:spacing w:val="-2"/>
          <w:sz w:val="24"/>
          <w:szCs w:val="24"/>
        </w:rPr>
        <w:t>、刺芒野古草</w:t>
      </w:r>
      <w:r>
        <w:rPr>
          <w:rFonts w:ascii="Times New Roman" w:hAnsi="Times New Roman" w:eastAsia="Times New Roman" w:cs="Times New Roman"/>
          <w:i/>
          <w:iCs/>
          <w:spacing w:val="-2"/>
          <w:sz w:val="24"/>
          <w:szCs w:val="24"/>
        </w:rPr>
        <w:t>Arundinella</w:t>
      </w:r>
      <w:r>
        <w:rPr>
          <w:rFonts w:ascii="Times New Roman" w:hAnsi="Times New Roman" w:eastAsia="Times New Roman" w:cs="Times New Roman"/>
          <w:i/>
          <w:iCs/>
          <w:spacing w:val="-17"/>
          <w:sz w:val="24"/>
          <w:szCs w:val="24"/>
        </w:rPr>
        <w:t xml:space="preserve"> </w:t>
      </w:r>
      <w:r>
        <w:rPr>
          <w:rFonts w:ascii="Times New Roman" w:hAnsi="Times New Roman" w:eastAsia="Times New Roman" w:cs="Times New Roman"/>
          <w:i/>
          <w:iCs/>
          <w:spacing w:val="-2"/>
          <w:sz w:val="24"/>
          <w:szCs w:val="24"/>
        </w:rPr>
        <w:t>setosa</w:t>
      </w:r>
      <w:r>
        <w:rPr>
          <w:rFonts w:ascii="宋体" w:hAnsi="宋体" w:eastAsia="宋体" w:cs="宋体"/>
          <w:spacing w:val="-2"/>
          <w:sz w:val="24"/>
          <w:szCs w:val="24"/>
        </w:rPr>
        <w:t>、知风草</w:t>
      </w:r>
      <w:r>
        <w:rPr>
          <w:rFonts w:ascii="Times New Roman" w:hAnsi="Times New Roman" w:eastAsia="Times New Roman" w:cs="Times New Roman"/>
          <w:i/>
          <w:iCs/>
          <w:spacing w:val="-2"/>
          <w:sz w:val="24"/>
          <w:szCs w:val="24"/>
        </w:rPr>
        <w:t>Eragrostis</w:t>
      </w:r>
      <w:r>
        <w:rPr>
          <w:rFonts w:ascii="Times New Roman" w:hAnsi="Times New Roman" w:eastAsia="Times New Roman" w:cs="Times New Roman"/>
          <w:i/>
          <w:iCs/>
          <w:spacing w:val="-57"/>
          <w:sz w:val="24"/>
          <w:szCs w:val="24"/>
        </w:rPr>
        <w:t xml:space="preserve"> </w:t>
      </w:r>
      <w:r>
        <w:rPr>
          <w:rFonts w:ascii="Times New Roman" w:hAnsi="Times New Roman" w:eastAsia="Times New Roman" w:cs="Times New Roman"/>
          <w:i/>
          <w:iCs/>
          <w:spacing w:val="-2"/>
          <w:sz w:val="24"/>
          <w:szCs w:val="24"/>
        </w:rPr>
        <w:t>ferrugin</w:t>
      </w:r>
      <w:r>
        <w:rPr>
          <w:rFonts w:ascii="Times New Roman" w:hAnsi="Times New Roman" w:eastAsia="Times New Roman" w:cs="Times New Roman"/>
          <w:i/>
          <w:iCs/>
          <w:spacing w:val="-3"/>
          <w:sz w:val="24"/>
          <w:szCs w:val="24"/>
        </w:rPr>
        <w:t>ea</w:t>
      </w:r>
      <w:r>
        <w:rPr>
          <w:rFonts w:ascii="宋体" w:hAnsi="宋体" w:eastAsia="宋体" w:cs="宋体"/>
          <w:spacing w:val="-3"/>
          <w:sz w:val="24"/>
          <w:szCs w:val="24"/>
        </w:rPr>
        <w:t>、</w:t>
      </w:r>
      <w:r>
        <w:rPr>
          <w:rFonts w:ascii="宋体" w:hAnsi="宋体" w:eastAsia="宋体" w:cs="宋体"/>
          <w:sz w:val="24"/>
          <w:szCs w:val="24"/>
        </w:rPr>
        <w:t xml:space="preserve"> 华北剪股颖</w:t>
      </w:r>
      <w:r>
        <w:rPr>
          <w:rFonts w:ascii="宋体" w:hAnsi="宋体" w:eastAsia="宋体" w:cs="宋体"/>
          <w:spacing w:val="-42"/>
          <w:sz w:val="24"/>
          <w:szCs w:val="24"/>
        </w:rPr>
        <w:t xml:space="preserve"> </w:t>
      </w:r>
      <w:r>
        <w:rPr>
          <w:rFonts w:ascii="Times New Roman" w:hAnsi="Times New Roman" w:eastAsia="Times New Roman" w:cs="Times New Roman"/>
          <w:i/>
          <w:iCs/>
          <w:sz w:val="24"/>
          <w:szCs w:val="24"/>
        </w:rPr>
        <w:t>Agrostis</w:t>
      </w:r>
      <w:r>
        <w:rPr>
          <w:rFonts w:ascii="Times New Roman" w:hAnsi="Times New Roman" w:eastAsia="Times New Roman" w:cs="Times New Roman"/>
          <w:i/>
          <w:iCs/>
          <w:spacing w:val="35"/>
          <w:w w:val="101"/>
          <w:sz w:val="24"/>
          <w:szCs w:val="24"/>
        </w:rPr>
        <w:t xml:space="preserve"> </w:t>
      </w:r>
      <w:r>
        <w:rPr>
          <w:rFonts w:ascii="Times New Roman" w:hAnsi="Times New Roman" w:eastAsia="Times New Roman" w:cs="Times New Roman"/>
          <w:i/>
          <w:iCs/>
          <w:sz w:val="24"/>
          <w:szCs w:val="24"/>
        </w:rPr>
        <w:t>clavata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、细柄草</w:t>
      </w:r>
      <w:r>
        <w:rPr>
          <w:rFonts w:ascii="宋体" w:hAnsi="宋体" w:eastAsia="宋体" w:cs="宋体"/>
          <w:spacing w:val="-23"/>
          <w:sz w:val="24"/>
          <w:szCs w:val="24"/>
        </w:rPr>
        <w:t xml:space="preserve"> </w:t>
      </w:r>
      <w:r>
        <w:rPr>
          <w:rFonts w:ascii="Times New Roman" w:hAnsi="Times New Roman" w:eastAsia="Times New Roman" w:cs="Times New Roman"/>
          <w:i/>
          <w:iCs/>
          <w:sz w:val="24"/>
          <w:szCs w:val="24"/>
        </w:rPr>
        <w:t>Capillipediumparviflorum</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、荩草</w:t>
      </w:r>
      <w:r>
        <w:rPr>
          <w:rFonts w:ascii="宋体" w:hAnsi="宋体" w:eastAsia="宋体" w:cs="宋体"/>
          <w:spacing w:val="-51"/>
          <w:sz w:val="24"/>
          <w:szCs w:val="24"/>
        </w:rPr>
        <w:t xml:space="preserve"> </w:t>
      </w:r>
      <w:r>
        <w:rPr>
          <w:rFonts w:ascii="Times New Roman" w:hAnsi="Times New Roman" w:eastAsia="Times New Roman" w:cs="Times New Roman"/>
          <w:i/>
          <w:iCs/>
          <w:sz w:val="24"/>
          <w:szCs w:val="24"/>
        </w:rPr>
        <w:t xml:space="preserve">Arthraxon    </w:t>
      </w:r>
      <w:r>
        <w:rPr>
          <w:rFonts w:ascii="Times New Roman" w:hAnsi="Times New Roman" w:eastAsia="Times New Roman" w:cs="Times New Roman"/>
          <w:i/>
          <w:iCs/>
          <w:spacing w:val="-8"/>
          <w:sz w:val="24"/>
          <w:szCs w:val="24"/>
        </w:rPr>
        <w:t>hispidus</w:t>
      </w:r>
      <w:r>
        <w:rPr>
          <w:rFonts w:ascii="Times New Roman" w:hAnsi="Times New Roman" w:eastAsia="Times New Roman" w:cs="Times New Roman"/>
          <w:i/>
          <w:iCs/>
          <w:spacing w:val="12"/>
          <w:sz w:val="24"/>
          <w:szCs w:val="24"/>
        </w:rPr>
        <w:t xml:space="preserve"> </w:t>
      </w:r>
      <w:r>
        <w:rPr>
          <w:rFonts w:ascii="宋体" w:hAnsi="宋体" w:eastAsia="宋体" w:cs="宋体"/>
          <w:spacing w:val="-8"/>
          <w:sz w:val="24"/>
          <w:szCs w:val="24"/>
        </w:rPr>
        <w:t>等禾本科较为繁盛，</w:t>
      </w:r>
      <w:r>
        <w:rPr>
          <w:rFonts w:ascii="宋体" w:hAnsi="宋体" w:eastAsia="宋体" w:cs="宋体"/>
          <w:spacing w:val="-34"/>
          <w:sz w:val="24"/>
          <w:szCs w:val="24"/>
        </w:rPr>
        <w:t xml:space="preserve"> </w:t>
      </w:r>
      <w:r>
        <w:rPr>
          <w:rFonts w:ascii="宋体" w:hAnsi="宋体" w:eastAsia="宋体" w:cs="宋体"/>
          <w:spacing w:val="-8"/>
          <w:sz w:val="24"/>
          <w:szCs w:val="24"/>
        </w:rPr>
        <w:t>局部形成优势。此外，伴生的草本有破坏草</w:t>
      </w:r>
      <w:r>
        <w:rPr>
          <w:rFonts w:ascii="宋体" w:hAnsi="宋体" w:eastAsia="宋体" w:cs="宋体"/>
          <w:spacing w:val="-72"/>
          <w:sz w:val="24"/>
          <w:szCs w:val="24"/>
        </w:rPr>
        <w:t xml:space="preserve"> </w:t>
      </w:r>
      <w:r>
        <w:rPr>
          <w:rFonts w:ascii="Times New Roman" w:hAnsi="Times New Roman" w:eastAsia="Times New Roman" w:cs="Times New Roman"/>
          <w:i/>
          <w:iCs/>
          <w:spacing w:val="-8"/>
          <w:sz w:val="24"/>
          <w:szCs w:val="24"/>
        </w:rPr>
        <w:t>Agera</w:t>
      </w:r>
      <w:r>
        <w:rPr>
          <w:rFonts w:ascii="Times New Roman" w:hAnsi="Times New Roman" w:eastAsia="Times New Roman" w:cs="Times New Roman"/>
          <w:i/>
          <w:iCs/>
          <w:spacing w:val="-9"/>
          <w:sz w:val="24"/>
          <w:szCs w:val="24"/>
        </w:rPr>
        <w:t xml:space="preserve">tina    </w:t>
      </w:r>
      <w:r>
        <w:rPr>
          <w:rFonts w:ascii="Times New Roman" w:hAnsi="Times New Roman" w:eastAsia="Times New Roman" w:cs="Times New Roman"/>
          <w:i/>
          <w:iCs/>
          <w:spacing w:val="-1"/>
          <w:sz w:val="24"/>
          <w:szCs w:val="24"/>
        </w:rPr>
        <w:t>adenophora</w:t>
      </w:r>
      <w:r>
        <w:rPr>
          <w:rFonts w:ascii="Times New Roman" w:hAnsi="Times New Roman" w:eastAsia="Times New Roman" w:cs="Times New Roman"/>
          <w:i/>
          <w:iCs/>
          <w:spacing w:val="-15"/>
          <w:sz w:val="24"/>
          <w:szCs w:val="24"/>
        </w:rPr>
        <w:t xml:space="preserve"> </w:t>
      </w:r>
      <w:r>
        <w:rPr>
          <w:rFonts w:ascii="宋体" w:hAnsi="宋体" w:eastAsia="宋体" w:cs="宋体"/>
          <w:spacing w:val="-1"/>
          <w:sz w:val="24"/>
          <w:szCs w:val="24"/>
        </w:rPr>
        <w:t>、黄龙尾</w:t>
      </w:r>
      <w:r>
        <w:rPr>
          <w:rFonts w:ascii="宋体" w:hAnsi="宋体" w:eastAsia="宋体" w:cs="宋体"/>
          <w:spacing w:val="-70"/>
          <w:sz w:val="24"/>
          <w:szCs w:val="24"/>
        </w:rPr>
        <w:t xml:space="preserve"> </w:t>
      </w:r>
      <w:r>
        <w:rPr>
          <w:rFonts w:ascii="Times New Roman" w:hAnsi="Times New Roman" w:eastAsia="Times New Roman" w:cs="Times New Roman"/>
          <w:i/>
          <w:iCs/>
          <w:spacing w:val="-1"/>
          <w:sz w:val="24"/>
          <w:szCs w:val="24"/>
        </w:rPr>
        <w:t>Agrimonia</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pacing w:val="-1"/>
          <w:sz w:val="24"/>
          <w:szCs w:val="24"/>
        </w:rPr>
        <w:t xml:space="preserve">pilosa </w:t>
      </w:r>
      <w:r>
        <w:rPr>
          <w:rFonts w:ascii="Times New Roman" w:hAnsi="Times New Roman" w:eastAsia="Times New Roman" w:cs="Times New Roman"/>
          <w:spacing w:val="-1"/>
          <w:sz w:val="24"/>
          <w:szCs w:val="24"/>
        </w:rPr>
        <w:t xml:space="preserve">var. </w:t>
      </w:r>
      <w:r>
        <w:rPr>
          <w:rFonts w:ascii="Times New Roman" w:hAnsi="Times New Roman" w:eastAsia="Times New Roman" w:cs="Times New Roman"/>
          <w:i/>
          <w:iCs/>
          <w:spacing w:val="-1"/>
          <w:sz w:val="24"/>
          <w:szCs w:val="24"/>
        </w:rPr>
        <w:t>nepalensis</w:t>
      </w:r>
      <w:r>
        <w:rPr>
          <w:rFonts w:ascii="宋体" w:hAnsi="宋体" w:eastAsia="宋体" w:cs="宋体"/>
          <w:spacing w:val="-1"/>
          <w:sz w:val="24"/>
          <w:szCs w:val="24"/>
        </w:rPr>
        <w:t>、白车轴草</w:t>
      </w:r>
      <w:r>
        <w:rPr>
          <w:rFonts w:ascii="宋体" w:hAnsi="宋体" w:eastAsia="宋体" w:cs="宋体"/>
          <w:spacing w:val="-41"/>
          <w:sz w:val="24"/>
          <w:szCs w:val="24"/>
        </w:rPr>
        <w:t xml:space="preserve"> </w:t>
      </w:r>
      <w:r>
        <w:rPr>
          <w:rFonts w:ascii="Times New Roman" w:hAnsi="Times New Roman" w:eastAsia="Times New Roman" w:cs="Times New Roman"/>
          <w:i/>
          <w:iCs/>
          <w:spacing w:val="-1"/>
          <w:sz w:val="24"/>
          <w:szCs w:val="24"/>
        </w:rPr>
        <w:t>Trifolium repens</w:t>
      </w:r>
      <w:r>
        <w:rPr>
          <w:rFonts w:ascii="宋体" w:hAnsi="宋体" w:eastAsia="宋体" w:cs="宋体"/>
          <w:spacing w:val="-1"/>
          <w:sz w:val="24"/>
          <w:szCs w:val="24"/>
        </w:rPr>
        <w:t>、</w:t>
      </w:r>
    </w:p>
    <w:p>
      <w:pPr>
        <w:spacing w:line="212" w:lineRule="auto"/>
        <w:ind w:left="45"/>
        <w:rPr>
          <w:rFonts w:ascii="宋体" w:hAnsi="宋体" w:eastAsia="宋体" w:cs="宋体"/>
          <w:sz w:val="24"/>
          <w:szCs w:val="24"/>
        </w:rPr>
      </w:pPr>
      <w:r>
        <w:rPr>
          <w:rFonts w:ascii="宋体" w:hAnsi="宋体" w:eastAsia="宋体" w:cs="宋体"/>
          <w:spacing w:val="3"/>
          <w:sz w:val="24"/>
          <w:szCs w:val="24"/>
        </w:rPr>
        <w:t xml:space="preserve">云南猪屎豆 </w:t>
      </w:r>
      <w:r>
        <w:rPr>
          <w:rFonts w:ascii="Times New Roman" w:hAnsi="Times New Roman" w:eastAsia="Times New Roman" w:cs="Times New Roman"/>
          <w:i/>
          <w:iCs/>
          <w:sz w:val="24"/>
          <w:szCs w:val="24"/>
        </w:rPr>
        <w:t>Crotalaria</w:t>
      </w:r>
      <w:r>
        <w:rPr>
          <w:rFonts w:ascii="Times New Roman" w:hAnsi="Times New Roman" w:eastAsia="Times New Roman" w:cs="Times New Roman"/>
          <w:i/>
          <w:iCs/>
          <w:spacing w:val="19"/>
          <w:w w:val="101"/>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24"/>
          <w:sz w:val="24"/>
          <w:szCs w:val="24"/>
        </w:rPr>
        <w:t xml:space="preserve"> </w:t>
      </w:r>
      <w:r>
        <w:rPr>
          <w:rFonts w:ascii="宋体" w:hAnsi="宋体" w:eastAsia="宋体" w:cs="宋体"/>
          <w:spacing w:val="3"/>
          <w:sz w:val="24"/>
          <w:szCs w:val="24"/>
        </w:rPr>
        <w:t xml:space="preserve">、尼泊尔老鹳草 </w:t>
      </w:r>
      <w:r>
        <w:rPr>
          <w:rFonts w:ascii="Times New Roman" w:hAnsi="Times New Roman" w:eastAsia="Times New Roman" w:cs="Times New Roman"/>
          <w:i/>
          <w:iCs/>
          <w:sz w:val="24"/>
          <w:szCs w:val="24"/>
        </w:rPr>
        <w:t>Geranium</w:t>
      </w:r>
      <w:r>
        <w:rPr>
          <w:rFonts w:ascii="Times New Roman" w:hAnsi="Times New Roman" w:eastAsia="Times New Roman" w:cs="Times New Roman"/>
          <w:i/>
          <w:iCs/>
          <w:spacing w:val="39"/>
          <w:sz w:val="24"/>
          <w:szCs w:val="24"/>
        </w:rPr>
        <w:t xml:space="preserve"> </w:t>
      </w:r>
      <w:r>
        <w:rPr>
          <w:rFonts w:ascii="Times New Roman" w:hAnsi="Times New Roman" w:eastAsia="Times New Roman" w:cs="Times New Roman"/>
          <w:i/>
          <w:iCs/>
          <w:sz w:val="24"/>
          <w:szCs w:val="24"/>
        </w:rPr>
        <w:t>nepalense</w:t>
      </w:r>
      <w:r>
        <w:rPr>
          <w:rFonts w:ascii="Times New Roman" w:hAnsi="Times New Roman" w:eastAsia="Times New Roman" w:cs="Times New Roman"/>
          <w:i/>
          <w:iCs/>
          <w:spacing w:val="-23"/>
          <w:sz w:val="24"/>
          <w:szCs w:val="24"/>
        </w:rPr>
        <w:t xml:space="preserve"> </w:t>
      </w:r>
      <w:r>
        <w:rPr>
          <w:rFonts w:ascii="宋体" w:hAnsi="宋体" w:eastAsia="宋体" w:cs="宋体"/>
          <w:spacing w:val="3"/>
          <w:sz w:val="24"/>
          <w:szCs w:val="24"/>
        </w:rPr>
        <w:t>、牡蒿</w:t>
      </w:r>
    </w:p>
    <w:p>
      <w:pPr>
        <w:spacing w:line="212" w:lineRule="auto"/>
        <w:rPr>
          <w:rFonts w:ascii="宋体" w:hAnsi="宋体" w:eastAsia="宋体" w:cs="宋体"/>
          <w:sz w:val="24"/>
          <w:szCs w:val="24"/>
        </w:rPr>
        <w:sectPr>
          <w:headerReference r:id="rId260" w:type="default"/>
          <w:footerReference r:id="rId261" w:type="default"/>
          <w:pgSz w:w="11907" w:h="16839"/>
          <w:pgMar w:top="1156" w:right="1593" w:bottom="1374" w:left="1770" w:header="881" w:footer="1210" w:gutter="0"/>
        </w:sectPr>
      </w:pPr>
    </w:p>
    <w:p>
      <w:pPr>
        <w:spacing w:line="317" w:lineRule="auto"/>
        <w:rPr>
          <w:rFonts w:ascii="Arial"/>
          <w:sz w:val="21"/>
        </w:rPr>
      </w:pPr>
    </w:p>
    <w:p>
      <w:pPr>
        <w:spacing w:before="78" w:line="360" w:lineRule="auto"/>
        <w:ind w:left="11" w:right="85" w:firstLine="7"/>
        <w:rPr>
          <w:rFonts w:ascii="宋体" w:hAnsi="宋体" w:eastAsia="宋体" w:cs="宋体"/>
          <w:sz w:val="24"/>
          <w:szCs w:val="24"/>
        </w:rPr>
      </w:pPr>
      <w:r>
        <w:rPr>
          <w:rFonts w:ascii="Times New Roman" w:hAnsi="Times New Roman" w:eastAsia="Times New Roman" w:cs="Times New Roman"/>
          <w:i/>
          <w:iCs/>
          <w:spacing w:val="-1"/>
          <w:sz w:val="24"/>
          <w:szCs w:val="24"/>
        </w:rPr>
        <w:t>Artemisia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1"/>
          <w:sz w:val="24"/>
          <w:szCs w:val="24"/>
        </w:rPr>
        <w:t>japonica</w:t>
      </w:r>
      <w:r>
        <w:rPr>
          <w:rFonts w:ascii="宋体" w:hAnsi="宋体" w:eastAsia="宋体" w:cs="宋体"/>
          <w:spacing w:val="-1"/>
          <w:sz w:val="24"/>
          <w:szCs w:val="24"/>
        </w:rPr>
        <w:t>、短葶飞蓬</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Eriger</w:t>
      </w:r>
      <w:r>
        <w:rPr>
          <w:rFonts w:ascii="Times New Roman" w:hAnsi="Times New Roman" w:eastAsia="Times New Roman" w:cs="Times New Roman"/>
          <w:i/>
          <w:iCs/>
          <w:spacing w:val="-2"/>
          <w:sz w:val="24"/>
          <w:szCs w:val="24"/>
        </w:rPr>
        <w:t>on breviscapus</w:t>
      </w:r>
      <w:r>
        <w:rPr>
          <w:rFonts w:ascii="宋体" w:hAnsi="宋体" w:eastAsia="宋体" w:cs="宋体"/>
          <w:spacing w:val="-2"/>
          <w:sz w:val="24"/>
          <w:szCs w:val="24"/>
        </w:rPr>
        <w:t>、紫花地丁</w:t>
      </w:r>
      <w:r>
        <w:rPr>
          <w:rFonts w:ascii="宋体" w:hAnsi="宋体" w:eastAsia="宋体" w:cs="宋体"/>
          <w:spacing w:val="-30"/>
          <w:sz w:val="24"/>
          <w:szCs w:val="24"/>
        </w:rPr>
        <w:t xml:space="preserve"> </w:t>
      </w:r>
      <w:r>
        <w:rPr>
          <w:rFonts w:ascii="Times New Roman" w:hAnsi="Times New Roman" w:eastAsia="Times New Roman" w:cs="Times New Roman"/>
          <w:i/>
          <w:iCs/>
          <w:spacing w:val="-2"/>
          <w:sz w:val="24"/>
          <w:szCs w:val="24"/>
        </w:rPr>
        <w:t>Viola</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pacing w:val="-2"/>
          <w:sz w:val="24"/>
          <w:szCs w:val="24"/>
        </w:rPr>
        <w:t>philippica</w:t>
      </w:r>
      <w:r>
        <w:rPr>
          <w:rFonts w:ascii="宋体" w:hAnsi="宋体" w:eastAsia="宋体" w:cs="宋体"/>
          <w:spacing w:val="-2"/>
          <w:sz w:val="24"/>
          <w:szCs w:val="24"/>
        </w:rPr>
        <w:t>、牛</w:t>
      </w:r>
      <w:r>
        <w:rPr>
          <w:rFonts w:ascii="宋体" w:hAnsi="宋体" w:eastAsia="宋体" w:cs="宋体"/>
          <w:sz w:val="24"/>
          <w:szCs w:val="24"/>
        </w:rPr>
        <w:t xml:space="preserve"> </w:t>
      </w:r>
      <w:r>
        <w:rPr>
          <w:rFonts w:ascii="宋体" w:hAnsi="宋体" w:eastAsia="宋体" w:cs="宋体"/>
          <w:spacing w:val="-3"/>
          <w:sz w:val="24"/>
          <w:szCs w:val="24"/>
        </w:rPr>
        <w:t>口</w:t>
      </w:r>
      <w:r>
        <w:rPr>
          <w:rFonts w:ascii="宋体" w:hAnsi="宋体" w:eastAsia="宋体" w:cs="宋体"/>
          <w:spacing w:val="-30"/>
          <w:sz w:val="24"/>
          <w:szCs w:val="24"/>
        </w:rPr>
        <w:t xml:space="preserve"> </w:t>
      </w:r>
      <w:r>
        <w:rPr>
          <w:rFonts w:ascii="宋体" w:hAnsi="宋体" w:eastAsia="宋体" w:cs="宋体"/>
          <w:spacing w:val="-3"/>
          <w:sz w:val="24"/>
          <w:szCs w:val="24"/>
        </w:rPr>
        <w:t>刺</w:t>
      </w:r>
      <w:r>
        <w:rPr>
          <w:rFonts w:ascii="宋体" w:hAnsi="宋体" w:eastAsia="宋体" w:cs="宋体"/>
          <w:spacing w:val="95"/>
          <w:sz w:val="24"/>
          <w:szCs w:val="24"/>
        </w:rPr>
        <w:t xml:space="preserve"> </w:t>
      </w:r>
      <w:r>
        <w:rPr>
          <w:rFonts w:ascii="Times New Roman" w:hAnsi="Times New Roman" w:eastAsia="Times New Roman" w:cs="Times New Roman"/>
          <w:i/>
          <w:iCs/>
          <w:spacing w:val="-3"/>
          <w:sz w:val="24"/>
          <w:szCs w:val="24"/>
        </w:rPr>
        <w:t>Cirsium</w:t>
      </w:r>
      <w:r>
        <w:rPr>
          <w:rFonts w:ascii="Times New Roman" w:hAnsi="Times New Roman" w:eastAsia="Times New Roman" w:cs="Times New Roman"/>
          <w:i/>
          <w:iCs/>
          <w:spacing w:val="22"/>
          <w:w w:val="101"/>
          <w:sz w:val="24"/>
          <w:szCs w:val="24"/>
        </w:rPr>
        <w:t xml:space="preserve">  </w:t>
      </w:r>
      <w:r>
        <w:rPr>
          <w:rFonts w:ascii="Times New Roman" w:hAnsi="Times New Roman" w:eastAsia="Times New Roman" w:cs="Times New Roman"/>
          <w:i/>
          <w:iCs/>
          <w:spacing w:val="-3"/>
          <w:sz w:val="24"/>
          <w:szCs w:val="24"/>
        </w:rPr>
        <w:t>shansiense</w:t>
      </w:r>
      <w:r>
        <w:rPr>
          <w:rFonts w:ascii="Times New Roman" w:hAnsi="Times New Roman" w:eastAsia="Times New Roman" w:cs="Times New Roman"/>
          <w:i/>
          <w:iCs/>
          <w:spacing w:val="49"/>
          <w:sz w:val="24"/>
          <w:szCs w:val="24"/>
        </w:rPr>
        <w:t xml:space="preserve"> </w:t>
      </w:r>
      <w:r>
        <w:rPr>
          <w:rFonts w:ascii="宋体" w:hAnsi="宋体" w:eastAsia="宋体" w:cs="宋体"/>
          <w:spacing w:val="-3"/>
          <w:sz w:val="24"/>
          <w:szCs w:val="24"/>
        </w:rPr>
        <w:t>、</w:t>
      </w:r>
      <w:r>
        <w:rPr>
          <w:rFonts w:ascii="宋体" w:hAnsi="宋体" w:eastAsia="宋体" w:cs="宋体"/>
          <w:spacing w:val="-26"/>
          <w:sz w:val="24"/>
          <w:szCs w:val="24"/>
        </w:rPr>
        <w:t xml:space="preserve"> </w:t>
      </w:r>
      <w:r>
        <w:rPr>
          <w:rFonts w:ascii="宋体" w:hAnsi="宋体" w:eastAsia="宋体" w:cs="宋体"/>
          <w:spacing w:val="-3"/>
          <w:sz w:val="24"/>
          <w:szCs w:val="24"/>
        </w:rPr>
        <w:t>天</w:t>
      </w:r>
      <w:r>
        <w:rPr>
          <w:rFonts w:ascii="宋体" w:hAnsi="宋体" w:eastAsia="宋体" w:cs="宋体"/>
          <w:spacing w:val="-27"/>
          <w:sz w:val="24"/>
          <w:szCs w:val="24"/>
        </w:rPr>
        <w:t xml:space="preserve"> </w:t>
      </w:r>
      <w:r>
        <w:rPr>
          <w:rFonts w:ascii="宋体" w:hAnsi="宋体" w:eastAsia="宋体" w:cs="宋体"/>
          <w:spacing w:val="-3"/>
          <w:sz w:val="24"/>
          <w:szCs w:val="24"/>
        </w:rPr>
        <w:t>名</w:t>
      </w:r>
      <w:r>
        <w:rPr>
          <w:rFonts w:ascii="宋体" w:hAnsi="宋体" w:eastAsia="宋体" w:cs="宋体"/>
          <w:spacing w:val="-30"/>
          <w:sz w:val="24"/>
          <w:szCs w:val="24"/>
        </w:rPr>
        <w:t xml:space="preserve"> </w:t>
      </w:r>
      <w:r>
        <w:rPr>
          <w:rFonts w:ascii="宋体" w:hAnsi="宋体" w:eastAsia="宋体" w:cs="宋体"/>
          <w:spacing w:val="-3"/>
          <w:sz w:val="24"/>
          <w:szCs w:val="24"/>
        </w:rPr>
        <w:t>精</w:t>
      </w:r>
      <w:r>
        <w:rPr>
          <w:rFonts w:ascii="宋体" w:hAnsi="宋体" w:eastAsia="宋体" w:cs="宋体"/>
          <w:spacing w:val="95"/>
          <w:sz w:val="24"/>
          <w:szCs w:val="24"/>
        </w:rPr>
        <w:t xml:space="preserve"> </w:t>
      </w:r>
      <w:r>
        <w:rPr>
          <w:rFonts w:ascii="Times New Roman" w:hAnsi="Times New Roman" w:eastAsia="Times New Roman" w:cs="Times New Roman"/>
          <w:i/>
          <w:iCs/>
          <w:spacing w:val="-3"/>
          <w:sz w:val="24"/>
          <w:szCs w:val="24"/>
        </w:rPr>
        <w:t>Car</w:t>
      </w:r>
      <w:r>
        <w:rPr>
          <w:rFonts w:ascii="Times New Roman" w:hAnsi="Times New Roman" w:eastAsia="Times New Roman" w:cs="Times New Roman"/>
          <w:i/>
          <w:iCs/>
          <w:spacing w:val="-4"/>
          <w:sz w:val="24"/>
          <w:szCs w:val="24"/>
        </w:rPr>
        <w:t>pesium</w:t>
      </w:r>
      <w:r>
        <w:rPr>
          <w:rFonts w:ascii="Times New Roman" w:hAnsi="Times New Roman" w:eastAsia="Times New Roman" w:cs="Times New Roman"/>
          <w:i/>
          <w:iCs/>
          <w:spacing w:val="26"/>
          <w:w w:val="101"/>
          <w:sz w:val="24"/>
          <w:szCs w:val="24"/>
        </w:rPr>
        <w:t xml:space="preserve">  </w:t>
      </w:r>
      <w:r>
        <w:rPr>
          <w:rFonts w:ascii="Times New Roman" w:hAnsi="Times New Roman" w:eastAsia="Times New Roman" w:cs="Times New Roman"/>
          <w:i/>
          <w:iCs/>
          <w:spacing w:val="-4"/>
          <w:sz w:val="24"/>
          <w:szCs w:val="24"/>
        </w:rPr>
        <w:t>abrotanoides</w:t>
      </w:r>
      <w:r>
        <w:rPr>
          <w:rFonts w:ascii="Times New Roman" w:hAnsi="Times New Roman" w:eastAsia="Times New Roman" w:cs="Times New Roman"/>
          <w:i/>
          <w:iCs/>
          <w:spacing w:val="48"/>
          <w:sz w:val="24"/>
          <w:szCs w:val="24"/>
        </w:rPr>
        <w:t xml:space="preserve"> </w:t>
      </w:r>
      <w:r>
        <w:rPr>
          <w:rFonts w:ascii="宋体" w:hAnsi="宋体" w:eastAsia="宋体" w:cs="宋体"/>
          <w:spacing w:val="-4"/>
          <w:sz w:val="24"/>
          <w:szCs w:val="24"/>
        </w:rPr>
        <w:t>、</w:t>
      </w:r>
      <w:r>
        <w:rPr>
          <w:rFonts w:ascii="宋体" w:hAnsi="宋体" w:eastAsia="宋体" w:cs="宋体"/>
          <w:spacing w:val="-27"/>
          <w:sz w:val="24"/>
          <w:szCs w:val="24"/>
        </w:rPr>
        <w:t xml:space="preserve"> </w:t>
      </w:r>
      <w:r>
        <w:rPr>
          <w:rFonts w:ascii="宋体" w:hAnsi="宋体" w:eastAsia="宋体" w:cs="宋体"/>
          <w:spacing w:val="-4"/>
          <w:sz w:val="24"/>
          <w:szCs w:val="24"/>
        </w:rPr>
        <w:t>扁</w:t>
      </w:r>
      <w:r>
        <w:rPr>
          <w:rFonts w:ascii="宋体" w:hAnsi="宋体" w:eastAsia="宋体" w:cs="宋体"/>
          <w:spacing w:val="-30"/>
          <w:sz w:val="24"/>
          <w:szCs w:val="24"/>
        </w:rPr>
        <w:t xml:space="preserve"> </w:t>
      </w:r>
      <w:r>
        <w:rPr>
          <w:rFonts w:ascii="宋体" w:hAnsi="宋体" w:eastAsia="宋体" w:cs="宋体"/>
          <w:spacing w:val="-4"/>
          <w:sz w:val="24"/>
          <w:szCs w:val="24"/>
        </w:rPr>
        <w:t>穗</w:t>
      </w:r>
      <w:r>
        <w:rPr>
          <w:rFonts w:ascii="宋体" w:hAnsi="宋体" w:eastAsia="宋体" w:cs="宋体"/>
          <w:spacing w:val="-28"/>
          <w:sz w:val="24"/>
          <w:szCs w:val="24"/>
        </w:rPr>
        <w:t xml:space="preserve"> </w:t>
      </w:r>
      <w:r>
        <w:rPr>
          <w:rFonts w:ascii="宋体" w:hAnsi="宋体" w:eastAsia="宋体" w:cs="宋体"/>
          <w:spacing w:val="-4"/>
          <w:sz w:val="24"/>
          <w:szCs w:val="24"/>
        </w:rPr>
        <w:t>雀</w:t>
      </w:r>
      <w:r>
        <w:rPr>
          <w:rFonts w:ascii="宋体" w:hAnsi="宋体" w:eastAsia="宋体" w:cs="宋体"/>
          <w:spacing w:val="-28"/>
          <w:sz w:val="24"/>
          <w:szCs w:val="24"/>
        </w:rPr>
        <w:t xml:space="preserve"> </w:t>
      </w:r>
      <w:r>
        <w:rPr>
          <w:rFonts w:ascii="宋体" w:hAnsi="宋体" w:eastAsia="宋体" w:cs="宋体"/>
          <w:spacing w:val="-4"/>
          <w:sz w:val="24"/>
          <w:szCs w:val="24"/>
        </w:rPr>
        <w:t>麦</w:t>
      </w:r>
      <w:r>
        <w:rPr>
          <w:rFonts w:ascii="宋体" w:hAnsi="宋体" w:eastAsia="宋体" w:cs="宋体"/>
          <w:sz w:val="24"/>
          <w:szCs w:val="24"/>
        </w:rPr>
        <w:t xml:space="preserve"> </w:t>
      </w:r>
      <w:r>
        <w:rPr>
          <w:rFonts w:ascii="Times New Roman" w:hAnsi="Times New Roman" w:eastAsia="Times New Roman" w:cs="Times New Roman"/>
          <w:i/>
          <w:iCs/>
          <w:sz w:val="24"/>
          <w:szCs w:val="24"/>
        </w:rPr>
        <w:t xml:space="preserve">Bromus catharticus </w:t>
      </w:r>
      <w:r>
        <w:rPr>
          <w:rFonts w:ascii="宋体" w:hAnsi="宋体" w:eastAsia="宋体" w:cs="宋体"/>
          <w:sz w:val="24"/>
          <w:szCs w:val="24"/>
        </w:rPr>
        <w:t>、</w:t>
      </w:r>
      <w:r>
        <w:rPr>
          <w:rFonts w:ascii="宋体" w:hAnsi="宋体" w:eastAsia="宋体" w:cs="宋体"/>
          <w:spacing w:val="-69"/>
          <w:sz w:val="24"/>
          <w:szCs w:val="24"/>
        </w:rPr>
        <w:t xml:space="preserve"> </w:t>
      </w:r>
      <w:r>
        <w:rPr>
          <w:rFonts w:ascii="宋体" w:hAnsi="宋体" w:eastAsia="宋体" w:cs="宋体"/>
          <w:sz w:val="24"/>
          <w:szCs w:val="24"/>
        </w:rPr>
        <w:t>蒲公英</w:t>
      </w:r>
      <w:r>
        <w:rPr>
          <w:rFonts w:ascii="宋体" w:hAnsi="宋体" w:eastAsia="宋体" w:cs="宋体"/>
          <w:spacing w:val="53"/>
          <w:sz w:val="24"/>
          <w:szCs w:val="24"/>
        </w:rPr>
        <w:t xml:space="preserve"> </w:t>
      </w:r>
      <w:r>
        <w:rPr>
          <w:rFonts w:ascii="Times New Roman" w:hAnsi="Times New Roman" w:eastAsia="Times New Roman" w:cs="Times New Roman"/>
          <w:i/>
          <w:iCs/>
          <w:sz w:val="24"/>
          <w:szCs w:val="24"/>
        </w:rPr>
        <w:t xml:space="preserve">Taraxacum  mongolicum </w:t>
      </w:r>
      <w:r>
        <w:rPr>
          <w:rFonts w:ascii="宋体" w:hAnsi="宋体" w:eastAsia="宋体" w:cs="宋体"/>
          <w:sz w:val="24"/>
          <w:szCs w:val="24"/>
        </w:rPr>
        <w:t>、</w:t>
      </w:r>
      <w:r>
        <w:rPr>
          <w:rFonts w:ascii="宋体" w:hAnsi="宋体" w:eastAsia="宋体" w:cs="宋体"/>
          <w:spacing w:val="-63"/>
          <w:sz w:val="24"/>
          <w:szCs w:val="24"/>
        </w:rPr>
        <w:t xml:space="preserve"> </w:t>
      </w:r>
      <w:r>
        <w:rPr>
          <w:rFonts w:ascii="宋体" w:hAnsi="宋体" w:eastAsia="宋体" w:cs="宋体"/>
          <w:sz w:val="24"/>
          <w:szCs w:val="24"/>
        </w:rPr>
        <w:t>云</w:t>
      </w:r>
      <w:r>
        <w:rPr>
          <w:rFonts w:ascii="宋体" w:hAnsi="宋体" w:eastAsia="宋体" w:cs="宋体"/>
          <w:spacing w:val="-67"/>
          <w:sz w:val="24"/>
          <w:szCs w:val="24"/>
        </w:rPr>
        <w:t xml:space="preserve"> </w:t>
      </w:r>
      <w:r>
        <w:rPr>
          <w:rFonts w:ascii="宋体" w:hAnsi="宋体" w:eastAsia="宋体" w:cs="宋体"/>
          <w:sz w:val="24"/>
          <w:szCs w:val="24"/>
        </w:rPr>
        <w:t>南</w:t>
      </w:r>
      <w:r>
        <w:rPr>
          <w:rFonts w:ascii="宋体" w:hAnsi="宋体" w:eastAsia="宋体" w:cs="宋体"/>
          <w:spacing w:val="-66"/>
          <w:sz w:val="24"/>
          <w:szCs w:val="24"/>
        </w:rPr>
        <w:t xml:space="preserve"> </w:t>
      </w:r>
      <w:r>
        <w:rPr>
          <w:rFonts w:ascii="宋体" w:hAnsi="宋体" w:eastAsia="宋体" w:cs="宋体"/>
          <w:sz w:val="24"/>
          <w:szCs w:val="24"/>
        </w:rPr>
        <w:t>兔</w:t>
      </w:r>
      <w:r>
        <w:rPr>
          <w:rFonts w:ascii="宋体" w:hAnsi="宋体" w:eastAsia="宋体" w:cs="宋体"/>
          <w:spacing w:val="-66"/>
          <w:sz w:val="24"/>
          <w:szCs w:val="24"/>
        </w:rPr>
        <w:t xml:space="preserve"> </w:t>
      </w:r>
      <w:r>
        <w:rPr>
          <w:rFonts w:ascii="宋体" w:hAnsi="宋体" w:eastAsia="宋体" w:cs="宋体"/>
          <w:sz w:val="24"/>
          <w:szCs w:val="24"/>
        </w:rPr>
        <w:t>儿</w:t>
      </w:r>
      <w:r>
        <w:rPr>
          <w:rFonts w:ascii="宋体" w:hAnsi="宋体" w:eastAsia="宋体" w:cs="宋体"/>
          <w:spacing w:val="-70"/>
          <w:sz w:val="24"/>
          <w:szCs w:val="24"/>
        </w:rPr>
        <w:t xml:space="preserve"> </w:t>
      </w:r>
      <w:r>
        <w:rPr>
          <w:rFonts w:ascii="宋体" w:hAnsi="宋体" w:eastAsia="宋体" w:cs="宋体"/>
          <w:sz w:val="24"/>
          <w:szCs w:val="24"/>
        </w:rPr>
        <w:t xml:space="preserve">风 </w:t>
      </w:r>
      <w:r>
        <w:rPr>
          <w:rFonts w:ascii="Times New Roman" w:hAnsi="Times New Roman" w:eastAsia="Times New Roman" w:cs="Times New Roman"/>
          <w:i/>
          <w:iCs/>
          <w:sz w:val="24"/>
          <w:szCs w:val="24"/>
        </w:rPr>
        <w:t>Ainsliaea yunnanensis</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、喀西茄</w:t>
      </w:r>
      <w:r>
        <w:rPr>
          <w:rFonts w:ascii="宋体" w:hAnsi="宋体" w:eastAsia="宋体" w:cs="宋体"/>
          <w:spacing w:val="-47"/>
          <w:sz w:val="24"/>
          <w:szCs w:val="24"/>
        </w:rPr>
        <w:t xml:space="preserve"> </w:t>
      </w:r>
      <w:r>
        <w:rPr>
          <w:rFonts w:ascii="Times New Roman" w:hAnsi="Times New Roman" w:eastAsia="Times New Roman" w:cs="Times New Roman"/>
          <w:i/>
          <w:iCs/>
          <w:sz w:val="24"/>
          <w:szCs w:val="24"/>
        </w:rPr>
        <w:t>Solanum</w:t>
      </w:r>
      <w:r>
        <w:rPr>
          <w:rFonts w:ascii="Times New Roman" w:hAnsi="Times New Roman" w:eastAsia="Times New Roman" w:cs="Times New Roman"/>
          <w:i/>
          <w:iCs/>
          <w:spacing w:val="36"/>
          <w:w w:val="101"/>
          <w:sz w:val="24"/>
          <w:szCs w:val="24"/>
        </w:rPr>
        <w:t xml:space="preserve"> </w:t>
      </w:r>
      <w:r>
        <w:rPr>
          <w:rFonts w:ascii="Times New Roman" w:hAnsi="Times New Roman" w:eastAsia="Times New Roman" w:cs="Times New Roman"/>
          <w:i/>
          <w:iCs/>
          <w:sz w:val="24"/>
          <w:szCs w:val="24"/>
        </w:rPr>
        <w:t>aculeatissimum</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、华火绒草</w:t>
      </w:r>
      <w:r>
        <w:rPr>
          <w:rFonts w:ascii="宋体" w:hAnsi="宋体" w:eastAsia="宋体" w:cs="宋体"/>
          <w:spacing w:val="-56"/>
          <w:sz w:val="24"/>
          <w:szCs w:val="24"/>
        </w:rPr>
        <w:t xml:space="preserve"> </w:t>
      </w:r>
      <w:r>
        <w:rPr>
          <w:rFonts w:ascii="Times New Roman" w:hAnsi="Times New Roman" w:eastAsia="Times New Roman" w:cs="Times New Roman"/>
          <w:i/>
          <w:iCs/>
          <w:sz w:val="24"/>
          <w:szCs w:val="24"/>
        </w:rPr>
        <w:t>Leontopodiumsinense</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 xml:space="preserve">、 </w:t>
      </w:r>
      <w:r>
        <w:rPr>
          <w:rFonts w:ascii="宋体" w:hAnsi="宋体" w:eastAsia="宋体" w:cs="宋体"/>
          <w:spacing w:val="1"/>
          <w:sz w:val="24"/>
          <w:szCs w:val="24"/>
        </w:rPr>
        <w:t>鬼针草</w:t>
      </w:r>
      <w:r>
        <w:rPr>
          <w:rFonts w:ascii="宋体" w:hAnsi="宋体" w:eastAsia="宋体" w:cs="宋体"/>
          <w:spacing w:val="-56"/>
          <w:sz w:val="24"/>
          <w:szCs w:val="24"/>
        </w:rPr>
        <w:t xml:space="preserve"> </w:t>
      </w:r>
      <w:r>
        <w:rPr>
          <w:rFonts w:ascii="Times New Roman" w:hAnsi="Times New Roman" w:eastAsia="Times New Roman" w:cs="Times New Roman"/>
          <w:i/>
          <w:iCs/>
          <w:sz w:val="24"/>
          <w:szCs w:val="24"/>
        </w:rPr>
        <w:t>Bidens</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pilosa</w:t>
      </w:r>
      <w:r>
        <w:rPr>
          <w:rFonts w:ascii="宋体" w:hAnsi="宋体" w:eastAsia="宋体" w:cs="宋体"/>
          <w:spacing w:val="1"/>
          <w:sz w:val="24"/>
          <w:szCs w:val="24"/>
        </w:rPr>
        <w:t>、小蓬草</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Erigeron</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z w:val="24"/>
          <w:szCs w:val="24"/>
        </w:rPr>
        <w:t>canadensis</w:t>
      </w:r>
      <w:r>
        <w:rPr>
          <w:rFonts w:ascii="宋体" w:hAnsi="宋体" w:eastAsia="宋体" w:cs="宋体"/>
          <w:spacing w:val="1"/>
          <w:sz w:val="24"/>
          <w:szCs w:val="24"/>
        </w:rPr>
        <w:t>、香薷</w:t>
      </w:r>
      <w:r>
        <w:rPr>
          <w:rFonts w:ascii="宋体" w:hAnsi="宋体" w:eastAsia="宋体" w:cs="宋体"/>
          <w:spacing w:val="-51"/>
          <w:sz w:val="24"/>
          <w:szCs w:val="24"/>
        </w:rPr>
        <w:t xml:space="preserve"> </w:t>
      </w:r>
      <w:r>
        <w:rPr>
          <w:rFonts w:ascii="Times New Roman" w:hAnsi="Times New Roman" w:eastAsia="Times New Roman" w:cs="Times New Roman"/>
          <w:i/>
          <w:iCs/>
          <w:sz w:val="24"/>
          <w:szCs w:val="24"/>
        </w:rPr>
        <w:t>Elsholtzia</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z w:val="24"/>
          <w:szCs w:val="24"/>
        </w:rPr>
        <w:t>ciliata</w:t>
      </w:r>
      <w:r>
        <w:rPr>
          <w:rFonts w:ascii="宋体" w:hAnsi="宋体" w:eastAsia="宋体" w:cs="宋体"/>
          <w:spacing w:val="1"/>
          <w:sz w:val="24"/>
          <w:szCs w:val="24"/>
        </w:rPr>
        <w:t>、风轮</w:t>
      </w:r>
      <w:r>
        <w:rPr>
          <w:rFonts w:ascii="宋体" w:hAnsi="宋体" w:eastAsia="宋体" w:cs="宋体"/>
          <w:sz w:val="24"/>
          <w:szCs w:val="24"/>
        </w:rPr>
        <w:t xml:space="preserve"> </w:t>
      </w:r>
      <w:r>
        <w:rPr>
          <w:rFonts w:ascii="宋体" w:hAnsi="宋体" w:eastAsia="宋体" w:cs="宋体"/>
          <w:spacing w:val="4"/>
          <w:sz w:val="24"/>
          <w:szCs w:val="24"/>
        </w:rPr>
        <w:t>菜</w:t>
      </w:r>
      <w:r>
        <w:rPr>
          <w:rFonts w:ascii="宋体" w:hAnsi="宋体" w:eastAsia="宋体" w:cs="宋体"/>
          <w:spacing w:val="63"/>
          <w:sz w:val="24"/>
          <w:szCs w:val="24"/>
        </w:rPr>
        <w:t xml:space="preserve"> </w:t>
      </w:r>
      <w:r>
        <w:rPr>
          <w:rFonts w:ascii="Times New Roman" w:hAnsi="Times New Roman" w:eastAsia="Times New Roman" w:cs="Times New Roman"/>
          <w:i/>
          <w:iCs/>
          <w:sz w:val="24"/>
          <w:szCs w:val="24"/>
        </w:rPr>
        <w:t>Clinopodium</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i/>
          <w:iCs/>
          <w:sz w:val="24"/>
          <w:szCs w:val="24"/>
        </w:rPr>
        <w:t>chinense</w:t>
      </w:r>
      <w:r>
        <w:rPr>
          <w:rFonts w:ascii="Times New Roman" w:hAnsi="Times New Roman" w:eastAsia="Times New Roman" w:cs="Times New Roman"/>
          <w:i/>
          <w:iCs/>
          <w:spacing w:val="4"/>
          <w:sz w:val="24"/>
          <w:szCs w:val="24"/>
        </w:rPr>
        <w:t xml:space="preserve"> </w:t>
      </w:r>
      <w:r>
        <w:rPr>
          <w:rFonts w:ascii="宋体" w:hAnsi="宋体" w:eastAsia="宋体" w:cs="宋体"/>
          <w:spacing w:val="4"/>
          <w:sz w:val="24"/>
          <w:szCs w:val="24"/>
        </w:rPr>
        <w:t>、狗牙根</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Cynodon</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i/>
          <w:iCs/>
          <w:sz w:val="24"/>
          <w:szCs w:val="24"/>
        </w:rPr>
        <w:t>dactylon</w:t>
      </w:r>
      <w:r>
        <w:rPr>
          <w:rFonts w:ascii="Times New Roman" w:hAnsi="Times New Roman" w:eastAsia="Times New Roman" w:cs="Times New Roman"/>
          <w:i/>
          <w:iCs/>
          <w:spacing w:val="4"/>
          <w:sz w:val="24"/>
          <w:szCs w:val="24"/>
        </w:rPr>
        <w:t xml:space="preserve"> </w:t>
      </w:r>
      <w:r>
        <w:rPr>
          <w:rFonts w:ascii="宋体" w:hAnsi="宋体" w:eastAsia="宋体" w:cs="宋体"/>
          <w:spacing w:val="4"/>
          <w:sz w:val="24"/>
          <w:szCs w:val="24"/>
        </w:rPr>
        <w:t>、</w:t>
      </w:r>
      <w:r>
        <w:rPr>
          <w:rFonts w:ascii="宋体" w:hAnsi="宋体" w:eastAsia="宋体" w:cs="宋体"/>
          <w:spacing w:val="-66"/>
          <w:sz w:val="24"/>
          <w:szCs w:val="24"/>
        </w:rPr>
        <w:t xml:space="preserve"> </w:t>
      </w:r>
      <w:r>
        <w:rPr>
          <w:rFonts w:ascii="宋体" w:hAnsi="宋体" w:eastAsia="宋体" w:cs="宋体"/>
          <w:spacing w:val="4"/>
          <w:sz w:val="24"/>
          <w:szCs w:val="24"/>
        </w:rPr>
        <w:t>珠</w:t>
      </w:r>
      <w:r>
        <w:rPr>
          <w:rFonts w:ascii="宋体" w:hAnsi="宋体" w:eastAsia="宋体" w:cs="宋体"/>
          <w:spacing w:val="-64"/>
          <w:sz w:val="24"/>
          <w:szCs w:val="24"/>
        </w:rPr>
        <w:t xml:space="preserve"> </w:t>
      </w:r>
      <w:r>
        <w:rPr>
          <w:rFonts w:ascii="宋体" w:hAnsi="宋体" w:eastAsia="宋体" w:cs="宋体"/>
          <w:spacing w:val="4"/>
          <w:sz w:val="24"/>
          <w:szCs w:val="24"/>
        </w:rPr>
        <w:t>光</w:t>
      </w:r>
      <w:r>
        <w:rPr>
          <w:rFonts w:ascii="宋体" w:hAnsi="宋体" w:eastAsia="宋体" w:cs="宋体"/>
          <w:spacing w:val="-65"/>
          <w:sz w:val="24"/>
          <w:szCs w:val="24"/>
        </w:rPr>
        <w:t xml:space="preserve"> </w:t>
      </w:r>
      <w:r>
        <w:rPr>
          <w:rFonts w:ascii="宋体" w:hAnsi="宋体" w:eastAsia="宋体" w:cs="宋体"/>
          <w:spacing w:val="4"/>
          <w:sz w:val="24"/>
          <w:szCs w:val="24"/>
        </w:rPr>
        <w:t>香</w:t>
      </w:r>
      <w:r>
        <w:rPr>
          <w:rFonts w:ascii="宋体" w:hAnsi="宋体" w:eastAsia="宋体" w:cs="宋体"/>
          <w:spacing w:val="-65"/>
          <w:sz w:val="24"/>
          <w:szCs w:val="24"/>
        </w:rPr>
        <w:t xml:space="preserve"> </w:t>
      </w:r>
      <w:r>
        <w:rPr>
          <w:rFonts w:ascii="宋体" w:hAnsi="宋体" w:eastAsia="宋体" w:cs="宋体"/>
          <w:spacing w:val="4"/>
          <w:sz w:val="24"/>
          <w:szCs w:val="24"/>
        </w:rPr>
        <w:t>青</w:t>
      </w:r>
      <w:r>
        <w:rPr>
          <w:rFonts w:ascii="宋体" w:hAnsi="宋体" w:eastAsia="宋体" w:cs="宋体"/>
          <w:spacing w:val="31"/>
          <w:sz w:val="24"/>
          <w:szCs w:val="24"/>
        </w:rPr>
        <w:t xml:space="preserve"> </w:t>
      </w:r>
      <w:r>
        <w:rPr>
          <w:rFonts w:ascii="Times New Roman" w:hAnsi="Times New Roman" w:eastAsia="Times New Roman" w:cs="Times New Roman"/>
          <w:i/>
          <w:iCs/>
          <w:sz w:val="24"/>
          <w:szCs w:val="24"/>
        </w:rPr>
        <w:t xml:space="preserve">Anaphalis </w:t>
      </w:r>
      <w:r>
        <w:rPr>
          <w:rFonts w:ascii="Times New Roman" w:hAnsi="Times New Roman" w:eastAsia="Times New Roman" w:cs="Times New Roman"/>
          <w:i/>
          <w:iCs/>
          <w:spacing w:val="-2"/>
          <w:sz w:val="24"/>
          <w:szCs w:val="24"/>
        </w:rPr>
        <w:t>margaritacea</w:t>
      </w:r>
      <w:r>
        <w:rPr>
          <w:rFonts w:ascii="Times New Roman" w:hAnsi="Times New Roman" w:eastAsia="Times New Roman" w:cs="Times New Roman"/>
          <w:i/>
          <w:iCs/>
          <w:spacing w:val="21"/>
          <w:sz w:val="24"/>
          <w:szCs w:val="24"/>
        </w:rPr>
        <w:t xml:space="preserve"> </w:t>
      </w:r>
      <w:r>
        <w:rPr>
          <w:rFonts w:ascii="宋体" w:hAnsi="宋体" w:eastAsia="宋体" w:cs="宋体"/>
          <w:spacing w:val="-2"/>
          <w:sz w:val="24"/>
          <w:szCs w:val="24"/>
        </w:rPr>
        <w:t>、</w:t>
      </w:r>
      <w:r>
        <w:rPr>
          <w:rFonts w:ascii="宋体" w:hAnsi="宋体" w:eastAsia="宋体" w:cs="宋体"/>
          <w:spacing w:val="-57"/>
          <w:sz w:val="24"/>
          <w:szCs w:val="24"/>
        </w:rPr>
        <w:t xml:space="preserve"> </w:t>
      </w:r>
      <w:r>
        <w:rPr>
          <w:rFonts w:ascii="宋体" w:hAnsi="宋体" w:eastAsia="宋体" w:cs="宋体"/>
          <w:spacing w:val="-2"/>
          <w:sz w:val="24"/>
          <w:szCs w:val="24"/>
        </w:rPr>
        <w:t>三</w:t>
      </w:r>
      <w:r>
        <w:rPr>
          <w:rFonts w:ascii="宋体" w:hAnsi="宋体" w:eastAsia="宋体" w:cs="宋体"/>
          <w:spacing w:val="-55"/>
          <w:sz w:val="24"/>
          <w:szCs w:val="24"/>
        </w:rPr>
        <w:t xml:space="preserve"> </w:t>
      </w:r>
      <w:r>
        <w:rPr>
          <w:rFonts w:ascii="宋体" w:hAnsi="宋体" w:eastAsia="宋体" w:cs="宋体"/>
          <w:spacing w:val="-2"/>
          <w:sz w:val="24"/>
          <w:szCs w:val="24"/>
        </w:rPr>
        <w:t>脉</w:t>
      </w:r>
      <w:r>
        <w:rPr>
          <w:rFonts w:ascii="宋体" w:hAnsi="宋体" w:eastAsia="宋体" w:cs="宋体"/>
          <w:spacing w:val="-52"/>
          <w:sz w:val="24"/>
          <w:szCs w:val="24"/>
        </w:rPr>
        <w:t xml:space="preserve"> </w:t>
      </w:r>
      <w:r>
        <w:rPr>
          <w:rFonts w:ascii="宋体" w:hAnsi="宋体" w:eastAsia="宋体" w:cs="宋体"/>
          <w:spacing w:val="-2"/>
          <w:sz w:val="24"/>
          <w:szCs w:val="24"/>
        </w:rPr>
        <w:t>紫</w:t>
      </w:r>
      <w:r>
        <w:rPr>
          <w:rFonts w:ascii="宋体" w:hAnsi="宋体" w:eastAsia="宋体" w:cs="宋体"/>
          <w:spacing w:val="-53"/>
          <w:sz w:val="24"/>
          <w:szCs w:val="24"/>
        </w:rPr>
        <w:t xml:space="preserve"> </w:t>
      </w:r>
      <w:r>
        <w:rPr>
          <w:rFonts w:ascii="宋体" w:hAnsi="宋体" w:eastAsia="宋体" w:cs="宋体"/>
          <w:spacing w:val="-2"/>
          <w:sz w:val="24"/>
          <w:szCs w:val="24"/>
        </w:rPr>
        <w:t>菀</w:t>
      </w:r>
      <w:r>
        <w:rPr>
          <w:rFonts w:ascii="宋体" w:hAnsi="宋体" w:eastAsia="宋体" w:cs="宋体"/>
          <w:spacing w:val="40"/>
          <w:sz w:val="24"/>
          <w:szCs w:val="24"/>
        </w:rPr>
        <w:t xml:space="preserve"> </w:t>
      </w:r>
      <w:r>
        <w:rPr>
          <w:rFonts w:ascii="Times New Roman" w:hAnsi="Times New Roman" w:eastAsia="Times New Roman" w:cs="Times New Roman"/>
          <w:i/>
          <w:iCs/>
          <w:spacing w:val="-2"/>
          <w:sz w:val="24"/>
          <w:szCs w:val="24"/>
        </w:rPr>
        <w:t xml:space="preserve">Aster  trinervius   </w:t>
      </w:r>
      <w:r>
        <w:rPr>
          <w:rFonts w:ascii="Times New Roman" w:hAnsi="Times New Roman" w:eastAsia="Times New Roman" w:cs="Times New Roman"/>
          <w:spacing w:val="-2"/>
          <w:sz w:val="24"/>
          <w:szCs w:val="24"/>
        </w:rPr>
        <w:t xml:space="preserve">subsp.  </w:t>
      </w:r>
      <w:r>
        <w:rPr>
          <w:rFonts w:ascii="Times New Roman" w:hAnsi="Times New Roman" w:eastAsia="Times New Roman" w:cs="Times New Roman"/>
          <w:i/>
          <w:iCs/>
          <w:spacing w:val="-2"/>
          <w:sz w:val="24"/>
          <w:szCs w:val="24"/>
        </w:rPr>
        <w:t>agerato</w:t>
      </w:r>
      <w:r>
        <w:rPr>
          <w:rFonts w:ascii="Times New Roman" w:hAnsi="Times New Roman" w:eastAsia="Times New Roman" w:cs="Times New Roman"/>
          <w:i/>
          <w:iCs/>
          <w:spacing w:val="-3"/>
          <w:sz w:val="24"/>
          <w:szCs w:val="24"/>
        </w:rPr>
        <w:t>ides</w:t>
      </w:r>
      <w:r>
        <w:rPr>
          <w:rFonts w:ascii="Times New Roman" w:hAnsi="Times New Roman" w:eastAsia="Times New Roman" w:cs="Times New Roman"/>
          <w:i/>
          <w:iCs/>
          <w:spacing w:val="21"/>
          <w:sz w:val="24"/>
          <w:szCs w:val="24"/>
        </w:rPr>
        <w:t xml:space="preserve"> </w:t>
      </w:r>
      <w:r>
        <w:rPr>
          <w:rFonts w:ascii="宋体" w:hAnsi="宋体" w:eastAsia="宋体" w:cs="宋体"/>
          <w:spacing w:val="-3"/>
          <w:sz w:val="24"/>
          <w:szCs w:val="24"/>
        </w:rPr>
        <w:t>、</w:t>
      </w:r>
      <w:r>
        <w:rPr>
          <w:rFonts w:ascii="宋体" w:hAnsi="宋体" w:eastAsia="宋体" w:cs="宋体"/>
          <w:spacing w:val="-57"/>
          <w:sz w:val="24"/>
          <w:szCs w:val="24"/>
        </w:rPr>
        <w:t xml:space="preserve"> </w:t>
      </w:r>
      <w:r>
        <w:rPr>
          <w:rFonts w:ascii="宋体" w:hAnsi="宋体" w:eastAsia="宋体" w:cs="宋体"/>
          <w:spacing w:val="-3"/>
          <w:sz w:val="24"/>
          <w:szCs w:val="24"/>
        </w:rPr>
        <w:t>密</w:t>
      </w:r>
      <w:r>
        <w:rPr>
          <w:rFonts w:ascii="宋体" w:hAnsi="宋体" w:eastAsia="宋体" w:cs="宋体"/>
          <w:spacing w:val="-56"/>
          <w:sz w:val="24"/>
          <w:szCs w:val="24"/>
        </w:rPr>
        <w:t xml:space="preserve"> </w:t>
      </w:r>
      <w:r>
        <w:rPr>
          <w:rFonts w:ascii="宋体" w:hAnsi="宋体" w:eastAsia="宋体" w:cs="宋体"/>
          <w:spacing w:val="-3"/>
          <w:sz w:val="24"/>
          <w:szCs w:val="24"/>
        </w:rPr>
        <w:t>毛</w:t>
      </w:r>
      <w:r>
        <w:rPr>
          <w:rFonts w:ascii="宋体" w:hAnsi="宋体" w:eastAsia="宋体" w:cs="宋体"/>
          <w:spacing w:val="-36"/>
          <w:sz w:val="24"/>
          <w:szCs w:val="24"/>
        </w:rPr>
        <w:t xml:space="preserve"> </w:t>
      </w:r>
      <w:r>
        <w:rPr>
          <w:rFonts w:ascii="宋体" w:hAnsi="宋体" w:eastAsia="宋体" w:cs="宋体"/>
          <w:spacing w:val="-3"/>
          <w:sz w:val="24"/>
          <w:szCs w:val="24"/>
        </w:rPr>
        <w:t>山</w:t>
      </w:r>
      <w:r>
        <w:rPr>
          <w:rFonts w:ascii="宋体" w:hAnsi="宋体" w:eastAsia="宋体" w:cs="宋体"/>
          <w:spacing w:val="-58"/>
          <w:sz w:val="24"/>
          <w:szCs w:val="24"/>
        </w:rPr>
        <w:t xml:space="preserve"> </w:t>
      </w:r>
      <w:r>
        <w:rPr>
          <w:rFonts w:ascii="宋体" w:hAnsi="宋体" w:eastAsia="宋体" w:cs="宋体"/>
          <w:spacing w:val="-3"/>
          <w:sz w:val="24"/>
          <w:szCs w:val="24"/>
        </w:rPr>
        <w:t>梗</w:t>
      </w:r>
      <w:r>
        <w:rPr>
          <w:rFonts w:ascii="宋体" w:hAnsi="宋体" w:eastAsia="宋体" w:cs="宋体"/>
          <w:spacing w:val="-58"/>
          <w:sz w:val="24"/>
          <w:szCs w:val="24"/>
        </w:rPr>
        <w:t xml:space="preserve"> </w:t>
      </w:r>
      <w:r>
        <w:rPr>
          <w:rFonts w:ascii="宋体" w:hAnsi="宋体" w:eastAsia="宋体" w:cs="宋体"/>
          <w:spacing w:val="-3"/>
          <w:sz w:val="24"/>
          <w:szCs w:val="24"/>
        </w:rPr>
        <w:t>菜</w:t>
      </w:r>
    </w:p>
    <w:p>
      <w:pPr>
        <w:spacing w:line="212" w:lineRule="auto"/>
        <w:jc w:val="right"/>
        <w:rPr>
          <w:rFonts w:ascii="宋体" w:hAnsi="宋体" w:eastAsia="宋体" w:cs="宋体"/>
          <w:sz w:val="24"/>
          <w:szCs w:val="24"/>
        </w:rPr>
      </w:pPr>
      <w:r>
        <w:rPr>
          <w:rFonts w:ascii="Times New Roman" w:hAnsi="Times New Roman" w:eastAsia="Times New Roman" w:cs="Times New Roman"/>
          <w:i/>
          <w:iCs/>
          <w:spacing w:val="-1"/>
          <w:sz w:val="24"/>
          <w:szCs w:val="24"/>
        </w:rPr>
        <w:t>Lobelia clavata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、千针万线草</w:t>
      </w:r>
      <w:r>
        <w:rPr>
          <w:rFonts w:ascii="宋体" w:hAnsi="宋体" w:eastAsia="宋体" w:cs="宋体"/>
          <w:spacing w:val="-51"/>
          <w:sz w:val="24"/>
          <w:szCs w:val="24"/>
        </w:rPr>
        <w:t xml:space="preserve"> </w:t>
      </w:r>
      <w:r>
        <w:rPr>
          <w:rFonts w:ascii="Times New Roman" w:hAnsi="Times New Roman" w:eastAsia="Times New Roman" w:cs="Times New Roman"/>
          <w:i/>
          <w:iCs/>
          <w:spacing w:val="-1"/>
          <w:sz w:val="24"/>
          <w:szCs w:val="24"/>
        </w:rPr>
        <w:t>Stell</w:t>
      </w:r>
      <w:r>
        <w:rPr>
          <w:rFonts w:ascii="Times New Roman" w:hAnsi="Times New Roman" w:eastAsia="Times New Roman" w:cs="Times New Roman"/>
          <w:i/>
          <w:iCs/>
          <w:spacing w:val="-2"/>
          <w:sz w:val="24"/>
          <w:szCs w:val="24"/>
        </w:rPr>
        <w:t>aria</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i/>
          <w:iCs/>
          <w:spacing w:val="-2"/>
          <w:sz w:val="24"/>
          <w:szCs w:val="24"/>
        </w:rPr>
        <w:t>yunnanensis</w:t>
      </w:r>
      <w:r>
        <w:rPr>
          <w:rFonts w:ascii="Times New Roman" w:hAnsi="Times New Roman" w:eastAsia="Times New Roman" w:cs="Times New Roman"/>
          <w:i/>
          <w:iCs/>
          <w:spacing w:val="-32"/>
          <w:sz w:val="24"/>
          <w:szCs w:val="24"/>
        </w:rPr>
        <w:t xml:space="preserve"> </w:t>
      </w:r>
      <w:r>
        <w:rPr>
          <w:rFonts w:ascii="宋体" w:hAnsi="宋体" w:eastAsia="宋体" w:cs="宋体"/>
          <w:spacing w:val="-2"/>
          <w:sz w:val="24"/>
          <w:szCs w:val="24"/>
        </w:rPr>
        <w:t>、秋英</w:t>
      </w:r>
      <w:r>
        <w:rPr>
          <w:rFonts w:ascii="宋体" w:hAnsi="宋体" w:eastAsia="宋体" w:cs="宋体"/>
          <w:spacing w:val="-37"/>
          <w:sz w:val="24"/>
          <w:szCs w:val="24"/>
        </w:rPr>
        <w:t xml:space="preserve"> </w:t>
      </w:r>
      <w:r>
        <w:rPr>
          <w:rFonts w:ascii="Times New Roman" w:hAnsi="Times New Roman" w:eastAsia="Times New Roman" w:cs="Times New Roman"/>
          <w:i/>
          <w:iCs/>
          <w:spacing w:val="-2"/>
          <w:sz w:val="24"/>
          <w:szCs w:val="24"/>
        </w:rPr>
        <w:t>Cosmos</w:t>
      </w:r>
      <w:r>
        <w:rPr>
          <w:rFonts w:ascii="Times New Roman" w:hAnsi="Times New Roman" w:eastAsia="Times New Roman" w:cs="Times New Roman"/>
          <w:i/>
          <w:iCs/>
          <w:spacing w:val="37"/>
          <w:w w:val="101"/>
          <w:sz w:val="24"/>
          <w:szCs w:val="24"/>
        </w:rPr>
        <w:t xml:space="preserve"> </w:t>
      </w:r>
      <w:r>
        <w:rPr>
          <w:rFonts w:ascii="Times New Roman" w:hAnsi="Times New Roman" w:eastAsia="Times New Roman" w:cs="Times New Roman"/>
          <w:i/>
          <w:iCs/>
          <w:spacing w:val="-2"/>
          <w:sz w:val="24"/>
          <w:szCs w:val="24"/>
        </w:rPr>
        <w:t>bipinnata</w:t>
      </w:r>
      <w:r>
        <w:rPr>
          <w:rFonts w:ascii="Times New Roman" w:hAnsi="Times New Roman" w:eastAsia="Times New Roman" w:cs="Times New Roman"/>
          <w:i/>
          <w:iCs/>
          <w:spacing w:val="20"/>
          <w:sz w:val="24"/>
          <w:szCs w:val="24"/>
        </w:rPr>
        <w:t xml:space="preserve"> </w:t>
      </w:r>
      <w:r>
        <w:rPr>
          <w:rFonts w:ascii="宋体" w:hAnsi="宋体" w:eastAsia="宋体" w:cs="宋体"/>
          <w:spacing w:val="-2"/>
          <w:sz w:val="24"/>
          <w:szCs w:val="24"/>
        </w:rPr>
        <w:t>等等。</w:t>
      </w:r>
    </w:p>
    <w:p>
      <w:pPr>
        <w:spacing w:before="192" w:line="360" w:lineRule="auto"/>
        <w:ind w:left="44" w:right="87" w:firstLine="475"/>
        <w:jc w:val="both"/>
        <w:rPr>
          <w:rFonts w:ascii="Times New Roman" w:hAnsi="Times New Roman" w:eastAsia="Times New Roman" w:cs="Times New Roman"/>
          <w:sz w:val="24"/>
          <w:szCs w:val="24"/>
        </w:rPr>
      </w:pPr>
      <w:r>
        <w:rPr>
          <w:rFonts w:ascii="宋体" w:hAnsi="宋体" w:eastAsia="宋体" w:cs="宋体"/>
          <w:spacing w:val="-4"/>
          <w:sz w:val="24"/>
          <w:szCs w:val="24"/>
        </w:rPr>
        <w:t>群落中藤本植物极少，</w:t>
      </w:r>
      <w:r>
        <w:rPr>
          <w:rFonts w:ascii="宋体" w:hAnsi="宋体" w:eastAsia="宋体" w:cs="宋体"/>
          <w:spacing w:val="-36"/>
          <w:sz w:val="24"/>
          <w:szCs w:val="24"/>
        </w:rPr>
        <w:t xml:space="preserve"> </w:t>
      </w:r>
      <w:r>
        <w:rPr>
          <w:rFonts w:ascii="宋体" w:hAnsi="宋体" w:eastAsia="宋体" w:cs="宋体"/>
          <w:spacing w:val="-4"/>
          <w:sz w:val="24"/>
          <w:szCs w:val="24"/>
        </w:rPr>
        <w:t>常见的藤本植物有钝萼铁线莲</w:t>
      </w:r>
      <w:r>
        <w:rPr>
          <w:rFonts w:ascii="宋体" w:hAnsi="宋体" w:eastAsia="宋体" w:cs="宋体"/>
          <w:spacing w:val="-44"/>
          <w:sz w:val="24"/>
          <w:szCs w:val="24"/>
        </w:rPr>
        <w:t xml:space="preserve"> </w:t>
      </w:r>
      <w:r>
        <w:rPr>
          <w:rFonts w:ascii="Times New Roman" w:hAnsi="Times New Roman" w:eastAsia="Times New Roman" w:cs="Times New Roman"/>
          <w:i/>
          <w:iCs/>
          <w:spacing w:val="-4"/>
          <w:sz w:val="24"/>
          <w:szCs w:val="24"/>
        </w:rPr>
        <w:t>Clem</w:t>
      </w:r>
      <w:r>
        <w:rPr>
          <w:rFonts w:ascii="Times New Roman" w:hAnsi="Times New Roman" w:eastAsia="Times New Roman" w:cs="Times New Roman"/>
          <w:i/>
          <w:iCs/>
          <w:spacing w:val="-5"/>
          <w:sz w:val="24"/>
          <w:szCs w:val="24"/>
        </w:rPr>
        <w:t>atis</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pacing w:val="-5"/>
          <w:sz w:val="24"/>
          <w:szCs w:val="24"/>
        </w:rPr>
        <w:t>peterae</w:t>
      </w:r>
      <w:r>
        <w:rPr>
          <w:rFonts w:ascii="宋体" w:hAnsi="宋体" w:eastAsia="宋体" w:cs="宋体"/>
          <w:spacing w:val="-5"/>
          <w:sz w:val="24"/>
          <w:szCs w:val="24"/>
        </w:rPr>
        <w:t>、黑珠</w:t>
      </w:r>
      <w:r>
        <w:rPr>
          <w:rFonts w:ascii="宋体" w:hAnsi="宋体" w:eastAsia="宋体" w:cs="宋体"/>
          <w:sz w:val="24"/>
          <w:szCs w:val="24"/>
        </w:rPr>
        <w:t xml:space="preserve"> </w:t>
      </w:r>
      <w:r>
        <w:rPr>
          <w:rFonts w:ascii="宋体" w:hAnsi="宋体" w:eastAsia="宋体" w:cs="宋体"/>
          <w:spacing w:val="5"/>
          <w:sz w:val="24"/>
          <w:szCs w:val="24"/>
        </w:rPr>
        <w:t>芽薯蓣</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Dioscoreamelanophyma</w:t>
      </w:r>
      <w:r>
        <w:rPr>
          <w:rFonts w:ascii="宋体" w:hAnsi="宋体" w:eastAsia="宋体" w:cs="宋体"/>
          <w:spacing w:val="5"/>
          <w:sz w:val="24"/>
          <w:szCs w:val="24"/>
        </w:rPr>
        <w:t>、青羊参</w:t>
      </w:r>
      <w:r>
        <w:rPr>
          <w:rFonts w:ascii="宋体" w:hAnsi="宋体" w:eastAsia="宋体" w:cs="宋体"/>
          <w:spacing w:val="-32"/>
          <w:sz w:val="24"/>
          <w:szCs w:val="24"/>
        </w:rPr>
        <w:t xml:space="preserve"> </w:t>
      </w:r>
      <w:r>
        <w:rPr>
          <w:rFonts w:ascii="Times New Roman" w:hAnsi="Times New Roman" w:eastAsia="Times New Roman" w:cs="Times New Roman"/>
          <w:i/>
          <w:iCs/>
          <w:sz w:val="24"/>
          <w:szCs w:val="24"/>
        </w:rPr>
        <w:t>Cynanchumotophyllum</w:t>
      </w:r>
      <w:r>
        <w:rPr>
          <w:rFonts w:ascii="宋体" w:hAnsi="宋体" w:eastAsia="宋体" w:cs="宋体"/>
          <w:spacing w:val="5"/>
          <w:sz w:val="24"/>
          <w:szCs w:val="24"/>
        </w:rPr>
        <w:t>、何首乌</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Fallopia</w:t>
      </w:r>
    </w:p>
    <w:p>
      <w:pPr>
        <w:spacing w:line="212" w:lineRule="auto"/>
        <w:ind w:left="34"/>
        <w:rPr>
          <w:rFonts w:ascii="宋体" w:hAnsi="宋体" w:eastAsia="宋体" w:cs="宋体"/>
          <w:sz w:val="24"/>
          <w:szCs w:val="24"/>
        </w:rPr>
      </w:pPr>
      <w:r>
        <w:rPr>
          <w:rFonts w:ascii="Times New Roman" w:hAnsi="Times New Roman" w:eastAsia="Times New Roman" w:cs="Times New Roman"/>
          <w:i/>
          <w:iCs/>
          <w:sz w:val="24"/>
          <w:szCs w:val="24"/>
        </w:rPr>
        <w:t>multiflora</w:t>
      </w:r>
      <w:r>
        <w:rPr>
          <w:rFonts w:ascii="宋体" w:hAnsi="宋体" w:eastAsia="宋体" w:cs="宋体"/>
          <w:sz w:val="24"/>
          <w:szCs w:val="24"/>
        </w:rPr>
        <w:t>、马甲菝葜</w:t>
      </w:r>
      <w:r>
        <w:rPr>
          <w:rFonts w:ascii="宋体" w:hAnsi="宋体" w:eastAsia="宋体" w:cs="宋体"/>
          <w:spacing w:val="-58"/>
          <w:sz w:val="24"/>
          <w:szCs w:val="24"/>
        </w:rPr>
        <w:t xml:space="preserve"> </w:t>
      </w:r>
      <w:r>
        <w:rPr>
          <w:rFonts w:ascii="Times New Roman" w:hAnsi="Times New Roman" w:eastAsia="Times New Roman" w:cs="Times New Roman"/>
          <w:i/>
          <w:iCs/>
          <w:sz w:val="24"/>
          <w:szCs w:val="24"/>
        </w:rPr>
        <w:t xml:space="preserve">Smilax lanceifolia </w:t>
      </w:r>
      <w:r>
        <w:rPr>
          <w:rFonts w:ascii="宋体" w:hAnsi="宋体" w:eastAsia="宋体" w:cs="宋体"/>
          <w:sz w:val="24"/>
          <w:szCs w:val="24"/>
        </w:rPr>
        <w:t>等。此外，</w:t>
      </w:r>
      <w:r>
        <w:rPr>
          <w:rFonts w:ascii="宋体" w:hAnsi="宋体" w:eastAsia="宋体" w:cs="宋体"/>
          <w:spacing w:val="-1"/>
          <w:sz w:val="24"/>
          <w:szCs w:val="24"/>
        </w:rPr>
        <w:t>未见附生植物。</w:t>
      </w:r>
    </w:p>
    <w:p>
      <w:pPr>
        <w:spacing w:before="191" w:line="220" w:lineRule="auto"/>
        <w:ind w:left="531"/>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暖温性稀树灌木草丛：</w:t>
      </w:r>
    </w:p>
    <w:p>
      <w:pPr>
        <w:spacing w:before="183" w:line="360" w:lineRule="auto"/>
        <w:ind w:left="24" w:right="86" w:firstLine="504"/>
        <w:rPr>
          <w:rFonts w:ascii="宋体" w:hAnsi="宋体" w:eastAsia="宋体" w:cs="宋体"/>
          <w:sz w:val="24"/>
          <w:szCs w:val="24"/>
        </w:rPr>
      </w:pPr>
      <w:r>
        <w:rPr>
          <w:rFonts w:ascii="宋体" w:hAnsi="宋体" w:eastAsia="宋体" w:cs="宋体"/>
          <w:spacing w:val="12"/>
          <w:sz w:val="24"/>
          <w:szCs w:val="24"/>
        </w:rPr>
        <w:t>暖温性稀树灌木草丛也是分布最广的植被类型之一，广泛</w:t>
      </w:r>
      <w:r>
        <w:rPr>
          <w:rFonts w:ascii="宋体" w:hAnsi="宋体" w:eastAsia="宋体" w:cs="宋体"/>
          <w:spacing w:val="11"/>
          <w:sz w:val="24"/>
          <w:szCs w:val="24"/>
        </w:rPr>
        <w:t>分布于云南省</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1500~2500m</w:t>
      </w:r>
      <w:r>
        <w:rPr>
          <w:rFonts w:ascii="Times New Roman" w:hAnsi="Times New Roman" w:eastAsia="Times New Roman" w:cs="Times New Roman"/>
          <w:spacing w:val="52"/>
          <w:w w:val="101"/>
          <w:sz w:val="24"/>
          <w:szCs w:val="24"/>
        </w:rPr>
        <w:t xml:space="preserve"> </w:t>
      </w:r>
      <w:r>
        <w:rPr>
          <w:rFonts w:ascii="宋体" w:hAnsi="宋体" w:eastAsia="宋体" w:cs="宋体"/>
          <w:spacing w:val="-1"/>
          <w:sz w:val="24"/>
          <w:szCs w:val="24"/>
        </w:rPr>
        <w:t>的大部分地区，其主要的原生植被为半湿润常绿阔叶林或暖温性针</w:t>
      </w:r>
      <w:r>
        <w:rPr>
          <w:rFonts w:ascii="宋体" w:hAnsi="宋体" w:eastAsia="宋体" w:cs="宋体"/>
          <w:sz w:val="24"/>
          <w:szCs w:val="24"/>
        </w:rPr>
        <w:t xml:space="preserve"> </w:t>
      </w:r>
      <w:r>
        <w:rPr>
          <w:rFonts w:ascii="宋体" w:hAnsi="宋体" w:eastAsia="宋体" w:cs="宋体"/>
          <w:spacing w:val="-7"/>
          <w:sz w:val="24"/>
          <w:szCs w:val="24"/>
        </w:rPr>
        <w:t>叶林，气候特点是气温偏低而干季长，</w:t>
      </w:r>
      <w:r>
        <w:rPr>
          <w:rFonts w:ascii="宋体" w:hAnsi="宋体" w:eastAsia="宋体" w:cs="宋体"/>
          <w:spacing w:val="41"/>
          <w:sz w:val="24"/>
          <w:szCs w:val="24"/>
        </w:rPr>
        <w:t xml:space="preserve"> </w:t>
      </w:r>
      <w:r>
        <w:rPr>
          <w:rFonts w:ascii="宋体" w:hAnsi="宋体" w:eastAsia="宋体" w:cs="宋体"/>
          <w:spacing w:val="-7"/>
          <w:sz w:val="24"/>
          <w:szCs w:val="24"/>
        </w:rPr>
        <w:t>是云南松林进一步砍伐、</w:t>
      </w:r>
      <w:r>
        <w:rPr>
          <w:rFonts w:ascii="宋体" w:hAnsi="宋体" w:eastAsia="宋体" w:cs="宋体"/>
          <w:spacing w:val="-8"/>
          <w:sz w:val="24"/>
          <w:szCs w:val="24"/>
        </w:rPr>
        <w:t>烧、放牧等人为</w:t>
      </w:r>
      <w:r>
        <w:rPr>
          <w:rFonts w:ascii="宋体" w:hAnsi="宋体" w:eastAsia="宋体" w:cs="宋体"/>
          <w:sz w:val="24"/>
          <w:szCs w:val="24"/>
        </w:rPr>
        <w:t xml:space="preserve"> </w:t>
      </w:r>
      <w:r>
        <w:rPr>
          <w:rFonts w:ascii="宋体" w:hAnsi="宋体" w:eastAsia="宋体" w:cs="宋体"/>
          <w:spacing w:val="-7"/>
          <w:sz w:val="24"/>
          <w:szCs w:val="24"/>
        </w:rPr>
        <w:t>影响下所形成的，在土壤贫瘠的地段，</w:t>
      </w:r>
      <w:r>
        <w:rPr>
          <w:rFonts w:ascii="宋体" w:hAnsi="宋体" w:eastAsia="宋体" w:cs="宋体"/>
          <w:spacing w:val="35"/>
          <w:sz w:val="24"/>
          <w:szCs w:val="24"/>
        </w:rPr>
        <w:t xml:space="preserve"> </w:t>
      </w:r>
      <w:r>
        <w:rPr>
          <w:rFonts w:ascii="宋体" w:hAnsi="宋体" w:eastAsia="宋体" w:cs="宋体"/>
          <w:spacing w:val="-7"/>
          <w:sz w:val="24"/>
          <w:szCs w:val="24"/>
        </w:rPr>
        <w:t>成为一类较为持久的植被类型。本类植被</w:t>
      </w:r>
      <w:r>
        <w:rPr>
          <w:rFonts w:ascii="宋体" w:hAnsi="宋体" w:eastAsia="宋体" w:cs="宋体"/>
          <w:sz w:val="24"/>
          <w:szCs w:val="24"/>
        </w:rPr>
        <w:t xml:space="preserve"> </w:t>
      </w:r>
      <w:r>
        <w:rPr>
          <w:rFonts w:ascii="宋体" w:hAnsi="宋体" w:eastAsia="宋体" w:cs="宋体"/>
          <w:spacing w:val="-10"/>
          <w:sz w:val="24"/>
          <w:szCs w:val="24"/>
        </w:rPr>
        <w:t>的草丛以中草为主，</w:t>
      </w:r>
      <w:r>
        <w:rPr>
          <w:rFonts w:ascii="宋体" w:hAnsi="宋体" w:eastAsia="宋体" w:cs="宋体"/>
          <w:spacing w:val="-15"/>
          <w:sz w:val="24"/>
          <w:szCs w:val="24"/>
        </w:rPr>
        <w:t xml:space="preserve"> </w:t>
      </w:r>
      <w:r>
        <w:rPr>
          <w:rFonts w:ascii="宋体" w:hAnsi="宋体" w:eastAsia="宋体" w:cs="宋体"/>
          <w:spacing w:val="-10"/>
          <w:sz w:val="24"/>
          <w:szCs w:val="24"/>
        </w:rPr>
        <w:t>在放牧过度或海拔更高处，</w:t>
      </w:r>
      <w:r>
        <w:rPr>
          <w:rFonts w:ascii="宋体" w:hAnsi="宋体" w:eastAsia="宋体" w:cs="宋体"/>
          <w:spacing w:val="36"/>
          <w:sz w:val="24"/>
          <w:szCs w:val="24"/>
        </w:rPr>
        <w:t xml:space="preserve"> </w:t>
      </w:r>
      <w:r>
        <w:rPr>
          <w:rFonts w:ascii="宋体" w:hAnsi="宋体" w:eastAsia="宋体" w:cs="宋体"/>
          <w:spacing w:val="-10"/>
          <w:sz w:val="24"/>
          <w:szCs w:val="24"/>
        </w:rPr>
        <w:t>常成为低草草丛。评价区内仅分</w:t>
      </w:r>
      <w:r>
        <w:rPr>
          <w:rFonts w:ascii="宋体" w:hAnsi="宋体" w:eastAsia="宋体" w:cs="宋体"/>
          <w:sz w:val="24"/>
          <w:szCs w:val="24"/>
        </w:rPr>
        <w:t xml:space="preserve"> </w:t>
      </w:r>
      <w:r>
        <w:rPr>
          <w:rFonts w:ascii="宋体" w:hAnsi="宋体" w:eastAsia="宋体" w:cs="宋体"/>
          <w:spacing w:val="-5"/>
          <w:sz w:val="24"/>
          <w:szCs w:val="24"/>
        </w:rPr>
        <w:t>布有一个群系：</w:t>
      </w:r>
      <w:r>
        <w:rPr>
          <w:rFonts w:ascii="宋体" w:hAnsi="宋体" w:eastAsia="宋体" w:cs="宋体"/>
          <w:spacing w:val="-40"/>
          <w:sz w:val="24"/>
          <w:szCs w:val="24"/>
        </w:rPr>
        <w:t xml:space="preserve"> </w:t>
      </w:r>
      <w:r>
        <w:rPr>
          <w:rFonts w:ascii="宋体" w:hAnsi="宋体" w:eastAsia="宋体" w:cs="宋体"/>
          <w:spacing w:val="-5"/>
          <w:sz w:val="24"/>
          <w:szCs w:val="24"/>
        </w:rPr>
        <w:t>含云南松、珍珠花的中草草丛</w:t>
      </w:r>
      <w:r>
        <w:rPr>
          <w:rFonts w:ascii="宋体" w:hAnsi="宋体" w:eastAsia="宋体" w:cs="宋体"/>
          <w:spacing w:val="-6"/>
          <w:sz w:val="24"/>
          <w:szCs w:val="24"/>
        </w:rPr>
        <w:t>（</w:t>
      </w:r>
      <w:r>
        <w:rPr>
          <w:rFonts w:ascii="Times New Roman" w:hAnsi="Times New Roman" w:eastAsia="Times New Roman" w:cs="Times New Roman"/>
          <w:spacing w:val="-6"/>
          <w:sz w:val="24"/>
          <w:szCs w:val="24"/>
        </w:rPr>
        <w:t>Form. Medium grassland containing</w:t>
      </w:r>
      <w:r>
        <w:rPr>
          <w:rFonts w:ascii="Times New Roman" w:hAnsi="Times New Roman" w:eastAsia="Times New Roman" w:cs="Times New Roman"/>
          <w:sz w:val="24"/>
          <w:szCs w:val="24"/>
        </w:rPr>
        <w:t xml:space="preserve"> </w:t>
      </w:r>
      <w:r>
        <w:rPr>
          <w:rFonts w:ascii="Times New Roman" w:hAnsi="Times New Roman" w:eastAsia="Times New Roman" w:cs="Times New Roman"/>
          <w:i/>
          <w:iCs/>
          <w:spacing w:val="-4"/>
          <w:sz w:val="24"/>
          <w:szCs w:val="24"/>
        </w:rPr>
        <w:t>Pinus</w:t>
      </w:r>
      <w:r>
        <w:rPr>
          <w:rFonts w:ascii="Times New Roman" w:hAnsi="Times New Roman" w:eastAsia="Times New Roman" w:cs="Times New Roman"/>
          <w:i/>
          <w:iCs/>
          <w:spacing w:val="54"/>
          <w:sz w:val="24"/>
          <w:szCs w:val="24"/>
        </w:rPr>
        <w:t xml:space="preserve"> </w:t>
      </w:r>
      <w:r>
        <w:rPr>
          <w:rFonts w:ascii="Times New Roman" w:hAnsi="Times New Roman" w:eastAsia="Times New Roman" w:cs="Times New Roman"/>
          <w:i/>
          <w:iCs/>
          <w:spacing w:val="-4"/>
          <w:sz w:val="24"/>
          <w:szCs w:val="24"/>
        </w:rPr>
        <w:t xml:space="preserve">yunnanensis </w:t>
      </w:r>
      <w:r>
        <w:rPr>
          <w:rFonts w:ascii="宋体" w:hAnsi="宋体" w:eastAsia="宋体" w:cs="宋体"/>
          <w:spacing w:val="-4"/>
          <w:sz w:val="24"/>
          <w:szCs w:val="24"/>
        </w:rPr>
        <w:t>，</w:t>
      </w:r>
      <w:r>
        <w:rPr>
          <w:rFonts w:ascii="Times New Roman" w:hAnsi="Times New Roman" w:eastAsia="Times New Roman" w:cs="Times New Roman"/>
          <w:i/>
          <w:iCs/>
          <w:spacing w:val="-4"/>
          <w:sz w:val="24"/>
          <w:szCs w:val="24"/>
        </w:rPr>
        <w:t>Lyonia  ovalifolia</w:t>
      </w:r>
      <w:r>
        <w:rPr>
          <w:rFonts w:ascii="Times New Roman" w:hAnsi="Times New Roman" w:eastAsia="Times New Roman" w:cs="Times New Roman"/>
          <w:i/>
          <w:iCs/>
          <w:spacing w:val="-16"/>
          <w:sz w:val="24"/>
          <w:szCs w:val="24"/>
        </w:rPr>
        <w:t xml:space="preserve"> </w:t>
      </w:r>
      <w:r>
        <w:rPr>
          <w:rFonts w:ascii="宋体" w:hAnsi="宋体" w:eastAsia="宋体" w:cs="宋体"/>
          <w:spacing w:val="-4"/>
          <w:sz w:val="24"/>
          <w:szCs w:val="24"/>
        </w:rPr>
        <w:t>）。</w:t>
      </w:r>
      <w:r>
        <w:rPr>
          <w:rFonts w:ascii="宋体" w:hAnsi="宋体" w:eastAsia="宋体" w:cs="宋体"/>
          <w:spacing w:val="-67"/>
          <w:sz w:val="24"/>
          <w:szCs w:val="24"/>
        </w:rPr>
        <w:t xml:space="preserve"> </w:t>
      </w:r>
      <w:r>
        <w:rPr>
          <w:rFonts w:ascii="宋体" w:hAnsi="宋体" w:eastAsia="宋体" w:cs="宋体"/>
          <w:spacing w:val="-4"/>
          <w:sz w:val="24"/>
          <w:szCs w:val="24"/>
        </w:rPr>
        <w:t>本</w:t>
      </w:r>
      <w:r>
        <w:rPr>
          <w:rFonts w:ascii="宋体" w:hAnsi="宋体" w:eastAsia="宋体" w:cs="宋体"/>
          <w:spacing w:val="-69"/>
          <w:sz w:val="24"/>
          <w:szCs w:val="24"/>
        </w:rPr>
        <w:t xml:space="preserve"> </w:t>
      </w:r>
      <w:r>
        <w:rPr>
          <w:rFonts w:ascii="宋体" w:hAnsi="宋体" w:eastAsia="宋体" w:cs="宋体"/>
          <w:spacing w:val="-4"/>
          <w:sz w:val="24"/>
          <w:szCs w:val="24"/>
        </w:rPr>
        <w:t>群</w:t>
      </w:r>
      <w:r>
        <w:rPr>
          <w:rFonts w:ascii="宋体" w:hAnsi="宋体" w:eastAsia="宋体" w:cs="宋体"/>
          <w:spacing w:val="-63"/>
          <w:sz w:val="24"/>
          <w:szCs w:val="24"/>
        </w:rPr>
        <w:t xml:space="preserve"> </w:t>
      </w:r>
      <w:r>
        <w:rPr>
          <w:rFonts w:ascii="宋体" w:hAnsi="宋体" w:eastAsia="宋体" w:cs="宋体"/>
          <w:spacing w:val="-4"/>
          <w:sz w:val="24"/>
          <w:szCs w:val="24"/>
        </w:rPr>
        <w:t>系</w:t>
      </w:r>
      <w:r>
        <w:rPr>
          <w:rFonts w:ascii="宋体" w:hAnsi="宋体" w:eastAsia="宋体" w:cs="宋体"/>
          <w:spacing w:val="-65"/>
          <w:sz w:val="24"/>
          <w:szCs w:val="24"/>
        </w:rPr>
        <w:t xml:space="preserve"> </w:t>
      </w:r>
      <w:r>
        <w:rPr>
          <w:rFonts w:ascii="宋体" w:hAnsi="宋体" w:eastAsia="宋体" w:cs="宋体"/>
          <w:spacing w:val="-4"/>
          <w:sz w:val="24"/>
          <w:szCs w:val="24"/>
        </w:rPr>
        <w:t>主</w:t>
      </w:r>
      <w:r>
        <w:rPr>
          <w:rFonts w:ascii="宋体" w:hAnsi="宋体" w:eastAsia="宋体" w:cs="宋体"/>
          <w:spacing w:val="-67"/>
          <w:sz w:val="24"/>
          <w:szCs w:val="24"/>
        </w:rPr>
        <w:t xml:space="preserve"> </w:t>
      </w:r>
      <w:r>
        <w:rPr>
          <w:rFonts w:ascii="宋体" w:hAnsi="宋体" w:eastAsia="宋体" w:cs="宋体"/>
          <w:spacing w:val="-4"/>
          <w:sz w:val="24"/>
          <w:szCs w:val="24"/>
        </w:rPr>
        <w:t>要</w:t>
      </w:r>
      <w:r>
        <w:rPr>
          <w:rFonts w:ascii="宋体" w:hAnsi="宋体" w:eastAsia="宋体" w:cs="宋体"/>
          <w:spacing w:val="-66"/>
          <w:sz w:val="24"/>
          <w:szCs w:val="24"/>
        </w:rPr>
        <w:t xml:space="preserve"> </w:t>
      </w:r>
      <w:r>
        <w:rPr>
          <w:rFonts w:ascii="宋体" w:hAnsi="宋体" w:eastAsia="宋体" w:cs="宋体"/>
          <w:spacing w:val="-4"/>
          <w:sz w:val="24"/>
          <w:szCs w:val="24"/>
        </w:rPr>
        <w:t>分</w:t>
      </w:r>
      <w:r>
        <w:rPr>
          <w:rFonts w:ascii="宋体" w:hAnsi="宋体" w:eastAsia="宋体" w:cs="宋体"/>
          <w:spacing w:val="-68"/>
          <w:sz w:val="24"/>
          <w:szCs w:val="24"/>
        </w:rPr>
        <w:t xml:space="preserve"> </w:t>
      </w:r>
      <w:r>
        <w:rPr>
          <w:rFonts w:ascii="宋体" w:hAnsi="宋体" w:eastAsia="宋体" w:cs="宋体"/>
          <w:spacing w:val="-4"/>
          <w:sz w:val="24"/>
          <w:szCs w:val="24"/>
        </w:rPr>
        <w:t>布</w:t>
      </w:r>
      <w:r>
        <w:rPr>
          <w:rFonts w:ascii="宋体" w:hAnsi="宋体" w:eastAsia="宋体" w:cs="宋体"/>
          <w:spacing w:val="-64"/>
          <w:sz w:val="24"/>
          <w:szCs w:val="24"/>
        </w:rPr>
        <w:t xml:space="preserve"> </w:t>
      </w:r>
      <w:r>
        <w:rPr>
          <w:rFonts w:ascii="宋体" w:hAnsi="宋体" w:eastAsia="宋体" w:cs="宋体"/>
          <w:spacing w:val="-4"/>
          <w:sz w:val="24"/>
          <w:szCs w:val="24"/>
        </w:rPr>
        <w:t>于</w:t>
      </w:r>
      <w:r>
        <w:rPr>
          <w:rFonts w:ascii="宋体" w:hAnsi="宋体" w:eastAsia="宋体" w:cs="宋体"/>
          <w:spacing w:val="-67"/>
          <w:sz w:val="24"/>
          <w:szCs w:val="24"/>
        </w:rPr>
        <w:t xml:space="preserve"> </w:t>
      </w:r>
      <w:r>
        <w:rPr>
          <w:rFonts w:ascii="宋体" w:hAnsi="宋体" w:eastAsia="宋体" w:cs="宋体"/>
          <w:spacing w:val="-4"/>
          <w:sz w:val="24"/>
          <w:szCs w:val="24"/>
        </w:rPr>
        <w:t>滇</w:t>
      </w:r>
      <w:r>
        <w:rPr>
          <w:rFonts w:ascii="宋体" w:hAnsi="宋体" w:eastAsia="宋体" w:cs="宋体"/>
          <w:spacing w:val="-47"/>
          <w:sz w:val="24"/>
          <w:szCs w:val="24"/>
        </w:rPr>
        <w:t xml:space="preserve"> </w:t>
      </w:r>
      <w:r>
        <w:rPr>
          <w:rFonts w:ascii="宋体" w:hAnsi="宋体" w:eastAsia="宋体" w:cs="宋体"/>
          <w:spacing w:val="-4"/>
          <w:sz w:val="24"/>
          <w:szCs w:val="24"/>
        </w:rPr>
        <w:t>中</w:t>
      </w:r>
      <w:r>
        <w:rPr>
          <w:rFonts w:ascii="宋体" w:hAnsi="宋体" w:eastAsia="宋体" w:cs="宋体"/>
          <w:spacing w:val="-61"/>
          <w:sz w:val="24"/>
          <w:szCs w:val="24"/>
        </w:rPr>
        <w:t xml:space="preserve"> </w:t>
      </w:r>
      <w:r>
        <w:rPr>
          <w:rFonts w:ascii="宋体" w:hAnsi="宋体" w:eastAsia="宋体" w:cs="宋体"/>
          <w:spacing w:val="-4"/>
          <w:sz w:val="24"/>
          <w:szCs w:val="24"/>
        </w:rPr>
        <w:t>高</w:t>
      </w:r>
      <w:r>
        <w:rPr>
          <w:rFonts w:ascii="宋体" w:hAnsi="宋体" w:eastAsia="宋体" w:cs="宋体"/>
          <w:spacing w:val="-62"/>
          <w:sz w:val="24"/>
          <w:szCs w:val="24"/>
        </w:rPr>
        <w:t xml:space="preserve"> </w:t>
      </w:r>
      <w:r>
        <w:rPr>
          <w:rFonts w:ascii="宋体" w:hAnsi="宋体" w:eastAsia="宋体" w:cs="宋体"/>
          <w:spacing w:val="-4"/>
          <w:sz w:val="24"/>
          <w:szCs w:val="24"/>
        </w:rPr>
        <w:t>原</w:t>
      </w:r>
      <w:r>
        <w:rPr>
          <w:rFonts w:ascii="宋体" w:hAnsi="宋体" w:eastAsia="宋体" w:cs="宋体"/>
          <w:spacing w:val="-68"/>
          <w:sz w:val="24"/>
          <w:szCs w:val="24"/>
        </w:rPr>
        <w:t xml:space="preserve"> </w:t>
      </w:r>
      <w:r>
        <w:rPr>
          <w:rFonts w:ascii="宋体" w:hAnsi="宋体" w:eastAsia="宋体" w:cs="宋体"/>
          <w:spacing w:val="-4"/>
          <w:sz w:val="24"/>
          <w:szCs w:val="24"/>
        </w:rPr>
        <w:t>海</w:t>
      </w:r>
      <w:r>
        <w:rPr>
          <w:rFonts w:ascii="宋体" w:hAnsi="宋体" w:eastAsia="宋体" w:cs="宋体"/>
          <w:spacing w:val="-69"/>
          <w:sz w:val="24"/>
          <w:szCs w:val="24"/>
        </w:rPr>
        <w:t xml:space="preserve"> </w:t>
      </w:r>
      <w:r>
        <w:rPr>
          <w:rFonts w:ascii="宋体" w:hAnsi="宋体" w:eastAsia="宋体" w:cs="宋体"/>
          <w:spacing w:val="-4"/>
          <w:sz w:val="24"/>
          <w:szCs w:val="24"/>
        </w:rPr>
        <w:t>拔</w:t>
      </w:r>
      <w:r>
        <w:rPr>
          <w:rFonts w:ascii="宋体" w:hAnsi="宋体" w:eastAsia="宋体" w:cs="宋体"/>
          <w:sz w:val="24"/>
          <w:szCs w:val="24"/>
        </w:rPr>
        <w:t xml:space="preserve"> </w:t>
      </w:r>
      <w:r>
        <w:rPr>
          <w:rFonts w:ascii="Times New Roman" w:hAnsi="Times New Roman" w:eastAsia="Times New Roman" w:cs="Times New Roman"/>
          <w:spacing w:val="-4"/>
          <w:sz w:val="24"/>
          <w:szCs w:val="24"/>
        </w:rPr>
        <w:t>1500~2500m</w:t>
      </w:r>
      <w:r>
        <w:rPr>
          <w:rFonts w:ascii="Times New Roman" w:hAnsi="Times New Roman" w:eastAsia="Times New Roman" w:cs="Times New Roman"/>
          <w:spacing w:val="53"/>
          <w:w w:val="101"/>
          <w:sz w:val="24"/>
          <w:szCs w:val="24"/>
        </w:rPr>
        <w:t xml:space="preserve"> </w:t>
      </w:r>
      <w:r>
        <w:rPr>
          <w:rFonts w:ascii="宋体" w:hAnsi="宋体" w:eastAsia="宋体" w:cs="宋体"/>
          <w:spacing w:val="-4"/>
          <w:sz w:val="24"/>
          <w:szCs w:val="24"/>
        </w:rPr>
        <w:t>的山地， 是半湿润常绿阔叶林和云南松林经反复砍烧后形成的次生</w:t>
      </w:r>
      <w:r>
        <w:rPr>
          <w:rFonts w:ascii="宋体" w:hAnsi="宋体" w:eastAsia="宋体" w:cs="宋体"/>
          <w:sz w:val="24"/>
          <w:szCs w:val="24"/>
        </w:rPr>
        <w:t xml:space="preserve"> </w:t>
      </w:r>
      <w:r>
        <w:rPr>
          <w:rFonts w:ascii="宋体" w:hAnsi="宋体" w:eastAsia="宋体" w:cs="宋体"/>
          <w:spacing w:val="-3"/>
          <w:sz w:val="24"/>
          <w:szCs w:val="24"/>
        </w:rPr>
        <w:t>植被。主要位于规划区域四周人类活动较为频繁的山坡和平地上，特别是干旱的</w:t>
      </w:r>
    </w:p>
    <w:p>
      <w:pPr>
        <w:spacing w:line="219" w:lineRule="auto"/>
        <w:ind w:left="40"/>
        <w:rPr>
          <w:rFonts w:ascii="宋体" w:hAnsi="宋体" w:eastAsia="宋体" w:cs="宋体"/>
          <w:sz w:val="24"/>
          <w:szCs w:val="24"/>
        </w:rPr>
      </w:pPr>
      <w:r>
        <w:rPr>
          <w:rFonts w:ascii="宋体" w:hAnsi="宋体" w:eastAsia="宋体" w:cs="宋体"/>
          <w:spacing w:val="-2"/>
          <w:sz w:val="24"/>
          <w:szCs w:val="24"/>
        </w:rPr>
        <w:t>石灰岩山坡上，海拔</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1600~2400m</w:t>
      </w:r>
      <w:r>
        <w:rPr>
          <w:rFonts w:ascii="宋体" w:hAnsi="宋体" w:eastAsia="宋体" w:cs="宋体"/>
          <w:spacing w:val="-2"/>
          <w:sz w:val="24"/>
          <w:szCs w:val="24"/>
        </w:rPr>
        <w:t>。</w:t>
      </w:r>
    </w:p>
    <w:p>
      <w:pPr>
        <w:spacing w:before="183" w:line="360" w:lineRule="auto"/>
        <w:ind w:left="38" w:right="2" w:firstLine="480"/>
        <w:rPr>
          <w:rFonts w:ascii="宋体" w:hAnsi="宋体" w:eastAsia="宋体" w:cs="宋体"/>
          <w:sz w:val="24"/>
          <w:szCs w:val="24"/>
        </w:rPr>
      </w:pPr>
      <w:r>
        <w:rPr>
          <w:rFonts w:ascii="宋体" w:hAnsi="宋体" w:eastAsia="宋体" w:cs="宋体"/>
          <w:spacing w:val="-6"/>
          <w:sz w:val="24"/>
          <w:szCs w:val="24"/>
        </w:rPr>
        <w:t>评价区的稀树灌丛群落主要以草丛为主要层，多数高</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 xml:space="preserve">50~100cm </w:t>
      </w:r>
      <w:r>
        <w:rPr>
          <w:rFonts w:ascii="宋体" w:hAnsi="宋体" w:eastAsia="宋体" w:cs="宋体"/>
          <w:spacing w:val="-6"/>
          <w:sz w:val="24"/>
          <w:szCs w:val="24"/>
        </w:rPr>
        <w:t>的中草草丛，</w:t>
      </w:r>
      <w:r>
        <w:rPr>
          <w:rFonts w:ascii="宋体" w:hAnsi="宋体" w:eastAsia="宋体" w:cs="宋体"/>
          <w:sz w:val="24"/>
          <w:szCs w:val="24"/>
        </w:rPr>
        <w:t xml:space="preserve"> </w:t>
      </w:r>
      <w:r>
        <w:rPr>
          <w:rFonts w:ascii="宋体" w:hAnsi="宋体" w:eastAsia="宋体" w:cs="宋体"/>
          <w:spacing w:val="-12"/>
          <w:sz w:val="24"/>
          <w:szCs w:val="24"/>
        </w:rPr>
        <w:t>在经常放牧的情况下，</w:t>
      </w:r>
      <w:r>
        <w:rPr>
          <w:rFonts w:ascii="宋体" w:hAnsi="宋体" w:eastAsia="宋体" w:cs="宋体"/>
          <w:spacing w:val="67"/>
          <w:sz w:val="24"/>
          <w:szCs w:val="24"/>
        </w:rPr>
        <w:t xml:space="preserve"> </w:t>
      </w:r>
      <w:r>
        <w:rPr>
          <w:rFonts w:ascii="宋体" w:hAnsi="宋体" w:eastAsia="宋体" w:cs="宋体"/>
          <w:spacing w:val="-12"/>
          <w:sz w:val="24"/>
          <w:szCs w:val="24"/>
        </w:rPr>
        <w:t>一般高为</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30cm</w:t>
      </w:r>
      <w:r>
        <w:rPr>
          <w:rFonts w:ascii="Times New Roman" w:hAnsi="Times New Roman" w:eastAsia="Times New Roman" w:cs="Times New Roman"/>
          <w:spacing w:val="12"/>
          <w:sz w:val="24"/>
          <w:szCs w:val="24"/>
        </w:rPr>
        <w:t xml:space="preserve"> </w:t>
      </w:r>
      <w:r>
        <w:rPr>
          <w:rFonts w:ascii="宋体" w:hAnsi="宋体" w:eastAsia="宋体" w:cs="宋体"/>
          <w:spacing w:val="-12"/>
          <w:sz w:val="24"/>
          <w:szCs w:val="24"/>
        </w:rPr>
        <w:t>左右。群落的组成种类多而混杂，</w:t>
      </w:r>
      <w:r>
        <w:rPr>
          <w:rFonts w:ascii="宋体" w:hAnsi="宋体" w:eastAsia="宋体" w:cs="宋体"/>
          <w:spacing w:val="63"/>
          <w:sz w:val="24"/>
          <w:szCs w:val="24"/>
        </w:rPr>
        <w:t xml:space="preserve"> </w:t>
      </w:r>
      <w:r>
        <w:rPr>
          <w:rFonts w:ascii="宋体" w:hAnsi="宋体" w:eastAsia="宋体" w:cs="宋体"/>
          <w:spacing w:val="-12"/>
          <w:sz w:val="24"/>
          <w:szCs w:val="24"/>
        </w:rPr>
        <w:t xml:space="preserve">多数为 </w:t>
      </w:r>
      <w:r>
        <w:rPr>
          <w:rFonts w:ascii="宋体" w:hAnsi="宋体" w:eastAsia="宋体" w:cs="宋体"/>
          <w:spacing w:val="-19"/>
          <w:sz w:val="24"/>
          <w:szCs w:val="24"/>
        </w:rPr>
        <w:t>阳性耐旱的多年生草本，</w:t>
      </w:r>
      <w:r>
        <w:rPr>
          <w:rFonts w:ascii="宋体" w:hAnsi="宋体" w:eastAsia="宋体" w:cs="宋体"/>
          <w:spacing w:val="38"/>
          <w:sz w:val="24"/>
          <w:szCs w:val="24"/>
        </w:rPr>
        <w:t xml:space="preserve"> </w:t>
      </w:r>
      <w:r>
        <w:rPr>
          <w:rFonts w:ascii="宋体" w:hAnsi="宋体" w:eastAsia="宋体" w:cs="宋体"/>
          <w:spacing w:val="-19"/>
          <w:sz w:val="24"/>
          <w:szCs w:val="24"/>
        </w:rPr>
        <w:t>主要以禾草为优势，</w:t>
      </w:r>
      <w:r>
        <w:rPr>
          <w:rFonts w:ascii="宋体" w:hAnsi="宋体" w:eastAsia="宋体" w:cs="宋体"/>
          <w:spacing w:val="36"/>
          <w:sz w:val="24"/>
          <w:szCs w:val="24"/>
        </w:rPr>
        <w:t xml:space="preserve"> </w:t>
      </w:r>
      <w:r>
        <w:rPr>
          <w:rFonts w:ascii="宋体" w:hAnsi="宋体" w:eastAsia="宋体" w:cs="宋体"/>
          <w:spacing w:val="-19"/>
          <w:sz w:val="24"/>
          <w:szCs w:val="24"/>
        </w:rPr>
        <w:t>在夏秋之后，</w:t>
      </w:r>
      <w:r>
        <w:rPr>
          <w:rFonts w:ascii="宋体" w:hAnsi="宋体" w:eastAsia="宋体" w:cs="宋体"/>
          <w:spacing w:val="39"/>
          <w:sz w:val="24"/>
          <w:szCs w:val="24"/>
        </w:rPr>
        <w:t xml:space="preserve"> </w:t>
      </w:r>
      <w:r>
        <w:rPr>
          <w:rFonts w:ascii="宋体" w:hAnsi="宋体" w:eastAsia="宋体" w:cs="宋体"/>
          <w:spacing w:val="-19"/>
          <w:sz w:val="24"/>
          <w:szCs w:val="24"/>
        </w:rPr>
        <w:t>禾杆</w:t>
      </w:r>
      <w:r>
        <w:rPr>
          <w:rFonts w:ascii="宋体" w:hAnsi="宋体" w:eastAsia="宋体" w:cs="宋体"/>
          <w:spacing w:val="-20"/>
          <w:sz w:val="24"/>
          <w:szCs w:val="24"/>
        </w:rPr>
        <w:t xml:space="preserve">坚硬， 可食性大 </w:t>
      </w:r>
      <w:r>
        <w:rPr>
          <w:rFonts w:ascii="宋体" w:hAnsi="宋体" w:eastAsia="宋体" w:cs="宋体"/>
          <w:spacing w:val="-9"/>
          <w:sz w:val="24"/>
          <w:szCs w:val="24"/>
        </w:rPr>
        <w:t>减，</w:t>
      </w:r>
      <w:r>
        <w:rPr>
          <w:rFonts w:ascii="宋体" w:hAnsi="宋体" w:eastAsia="宋体" w:cs="宋体"/>
          <w:spacing w:val="-38"/>
          <w:sz w:val="24"/>
          <w:szCs w:val="24"/>
        </w:rPr>
        <w:t xml:space="preserve"> </w:t>
      </w:r>
      <w:r>
        <w:rPr>
          <w:rFonts w:ascii="宋体" w:hAnsi="宋体" w:eastAsia="宋体" w:cs="宋体"/>
          <w:spacing w:val="-9"/>
          <w:sz w:val="24"/>
          <w:szCs w:val="24"/>
        </w:rPr>
        <w:t>成为丛生状的</w:t>
      </w:r>
      <w:r>
        <w:rPr>
          <w:rFonts w:ascii="Times New Roman" w:hAnsi="Times New Roman" w:eastAsia="Times New Roman" w:cs="Times New Roman"/>
          <w:spacing w:val="-9"/>
          <w:sz w:val="24"/>
          <w:szCs w:val="24"/>
        </w:rPr>
        <w:t>“</w:t>
      </w:r>
      <w:r>
        <w:rPr>
          <w:rFonts w:ascii="宋体" w:hAnsi="宋体" w:eastAsia="宋体" w:cs="宋体"/>
          <w:spacing w:val="-9"/>
          <w:sz w:val="24"/>
          <w:szCs w:val="24"/>
        </w:rPr>
        <w:t>粗糙禾草</w:t>
      </w:r>
      <w:r>
        <w:rPr>
          <w:rFonts w:ascii="Times New Roman" w:hAnsi="Times New Roman" w:eastAsia="Times New Roman" w:cs="Times New Roman"/>
          <w:spacing w:val="-9"/>
          <w:sz w:val="24"/>
          <w:szCs w:val="24"/>
        </w:rPr>
        <w:t>”</w:t>
      </w:r>
      <w:r>
        <w:rPr>
          <w:rFonts w:ascii="宋体" w:hAnsi="宋体" w:eastAsia="宋体" w:cs="宋体"/>
          <w:spacing w:val="-9"/>
          <w:sz w:val="24"/>
          <w:szCs w:val="24"/>
        </w:rPr>
        <w:t>。靠近湖边、溪流、河沟、</w:t>
      </w:r>
      <w:r>
        <w:rPr>
          <w:rFonts w:ascii="宋体" w:hAnsi="宋体" w:eastAsia="宋体" w:cs="宋体"/>
          <w:spacing w:val="-10"/>
          <w:sz w:val="24"/>
          <w:szCs w:val="24"/>
        </w:rPr>
        <w:t>池塘等湿地附近，</w:t>
      </w:r>
      <w:r>
        <w:rPr>
          <w:rFonts w:ascii="宋体" w:hAnsi="宋体" w:eastAsia="宋体" w:cs="宋体"/>
          <w:spacing w:val="50"/>
          <w:sz w:val="24"/>
          <w:szCs w:val="24"/>
        </w:rPr>
        <w:t xml:space="preserve"> </w:t>
      </w:r>
      <w:r>
        <w:rPr>
          <w:rFonts w:ascii="宋体" w:hAnsi="宋体" w:eastAsia="宋体" w:cs="宋体"/>
          <w:spacing w:val="-10"/>
          <w:sz w:val="24"/>
          <w:szCs w:val="24"/>
        </w:rPr>
        <w:t xml:space="preserve">群落 </w:t>
      </w:r>
      <w:r>
        <w:rPr>
          <w:rFonts w:ascii="宋体" w:hAnsi="宋体" w:eastAsia="宋体" w:cs="宋体"/>
          <w:sz w:val="24"/>
          <w:szCs w:val="24"/>
        </w:rPr>
        <w:t>以芦苇</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Phragmites australis</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、假苇拂子茅</w:t>
      </w:r>
      <w:r>
        <w:rPr>
          <w:rFonts w:ascii="宋体" w:hAnsi="宋体" w:eastAsia="宋体" w:cs="宋体"/>
          <w:spacing w:val="-43"/>
          <w:sz w:val="24"/>
          <w:szCs w:val="24"/>
        </w:rPr>
        <w:t xml:space="preserve"> </w:t>
      </w:r>
      <w:r>
        <w:rPr>
          <w:rFonts w:ascii="Times New Roman" w:hAnsi="Times New Roman" w:eastAsia="Times New Roman" w:cs="Times New Roman"/>
          <w:i/>
          <w:iCs/>
          <w:sz w:val="24"/>
          <w:szCs w:val="24"/>
        </w:rPr>
        <w:t>Cal</w:t>
      </w:r>
      <w:r>
        <w:rPr>
          <w:rFonts w:ascii="Times New Roman" w:hAnsi="Times New Roman" w:eastAsia="Times New Roman" w:cs="Times New Roman"/>
          <w:i/>
          <w:iCs/>
          <w:spacing w:val="-1"/>
          <w:sz w:val="24"/>
          <w:szCs w:val="24"/>
        </w:rPr>
        <w:t>amagrostis</w:t>
      </w:r>
      <w:r>
        <w:rPr>
          <w:rFonts w:ascii="Times New Roman" w:hAnsi="Times New Roman" w:eastAsia="Times New Roman" w:cs="Times New Roman"/>
          <w:i/>
          <w:iCs/>
          <w:spacing w:val="-27"/>
          <w:sz w:val="24"/>
          <w:szCs w:val="24"/>
        </w:rPr>
        <w:t xml:space="preserve"> </w:t>
      </w:r>
      <w:r>
        <w:rPr>
          <w:rFonts w:ascii="Times New Roman" w:hAnsi="Times New Roman" w:eastAsia="Times New Roman" w:cs="Times New Roman"/>
          <w:i/>
          <w:iCs/>
          <w:spacing w:val="-1"/>
          <w:sz w:val="24"/>
          <w:szCs w:val="24"/>
        </w:rPr>
        <w:t xml:space="preserve">pseudophragmites </w:t>
      </w:r>
      <w:r>
        <w:rPr>
          <w:rFonts w:ascii="宋体" w:hAnsi="宋体" w:eastAsia="宋体" w:cs="宋体"/>
          <w:spacing w:val="-1"/>
          <w:sz w:val="24"/>
          <w:szCs w:val="24"/>
        </w:rPr>
        <w:t xml:space="preserve">为主， </w:t>
      </w:r>
      <w:r>
        <w:rPr>
          <w:rFonts w:ascii="宋体" w:hAnsi="宋体" w:eastAsia="宋体" w:cs="宋体"/>
          <w:spacing w:val="-4"/>
          <w:sz w:val="24"/>
          <w:szCs w:val="24"/>
        </w:rPr>
        <w:t>较为干旱的山坡、平地则以黄茅</w:t>
      </w:r>
      <w:r>
        <w:rPr>
          <w:rFonts w:ascii="Times New Roman" w:hAnsi="Times New Roman" w:eastAsia="Times New Roman" w:cs="Times New Roman"/>
          <w:i/>
          <w:iCs/>
          <w:spacing w:val="-4"/>
          <w:sz w:val="24"/>
          <w:szCs w:val="24"/>
        </w:rPr>
        <w:t>Heteropogon contortus</w:t>
      </w:r>
      <w:r>
        <w:rPr>
          <w:rFonts w:ascii="宋体" w:hAnsi="宋体" w:eastAsia="宋体" w:cs="宋体"/>
          <w:spacing w:val="-4"/>
          <w:sz w:val="24"/>
          <w:szCs w:val="24"/>
        </w:rPr>
        <w:t>、</w:t>
      </w:r>
      <w:r>
        <w:rPr>
          <w:rFonts w:ascii="宋体" w:hAnsi="宋体" w:eastAsia="宋体" w:cs="宋体"/>
          <w:spacing w:val="-5"/>
          <w:sz w:val="24"/>
          <w:szCs w:val="24"/>
        </w:rPr>
        <w:t>蔗茅</w:t>
      </w:r>
      <w:r>
        <w:rPr>
          <w:rFonts w:ascii="宋体" w:hAnsi="宋体" w:eastAsia="宋体" w:cs="宋体"/>
          <w:spacing w:val="-71"/>
          <w:sz w:val="24"/>
          <w:szCs w:val="24"/>
        </w:rPr>
        <w:t xml:space="preserve"> </w:t>
      </w:r>
      <w:r>
        <w:rPr>
          <w:rFonts w:ascii="Times New Roman" w:hAnsi="Times New Roman" w:eastAsia="Times New Roman" w:cs="Times New Roman"/>
          <w:i/>
          <w:iCs/>
          <w:spacing w:val="-5"/>
          <w:sz w:val="24"/>
          <w:szCs w:val="24"/>
        </w:rPr>
        <w:t>Saccharum rufipilum</w:t>
      </w:r>
      <w:r>
        <w:rPr>
          <w:rFonts w:ascii="宋体" w:hAnsi="宋体" w:eastAsia="宋体" w:cs="宋体"/>
          <w:spacing w:val="-5"/>
          <w:sz w:val="24"/>
          <w:szCs w:val="24"/>
        </w:rPr>
        <w:t>、</w:t>
      </w:r>
    </w:p>
    <w:p>
      <w:pPr>
        <w:spacing w:before="1" w:line="212" w:lineRule="auto"/>
        <w:ind w:left="42"/>
        <w:rPr>
          <w:rFonts w:ascii="Times New Roman" w:hAnsi="Times New Roman" w:eastAsia="Times New Roman" w:cs="Times New Roman"/>
          <w:sz w:val="24"/>
          <w:szCs w:val="24"/>
        </w:rPr>
      </w:pPr>
      <w:r>
        <w:rPr>
          <w:rFonts w:ascii="宋体" w:hAnsi="宋体" w:eastAsia="宋体" w:cs="宋体"/>
          <w:sz w:val="24"/>
          <w:szCs w:val="24"/>
        </w:rPr>
        <w:t>旱茅</w:t>
      </w:r>
      <w:r>
        <w:rPr>
          <w:rFonts w:ascii="宋体" w:hAnsi="宋体" w:eastAsia="宋体" w:cs="宋体"/>
          <w:spacing w:val="-40"/>
          <w:sz w:val="24"/>
          <w:szCs w:val="24"/>
        </w:rPr>
        <w:t xml:space="preserve"> </w:t>
      </w:r>
      <w:r>
        <w:rPr>
          <w:rFonts w:ascii="Times New Roman" w:hAnsi="Times New Roman" w:eastAsia="Times New Roman" w:cs="Times New Roman"/>
          <w:i/>
          <w:iCs/>
          <w:sz w:val="24"/>
          <w:szCs w:val="24"/>
        </w:rPr>
        <w:t>Schizachyrium</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z w:val="24"/>
          <w:szCs w:val="24"/>
        </w:rPr>
        <w:t>delavayi</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、白健秆</w:t>
      </w:r>
      <w:r>
        <w:rPr>
          <w:rFonts w:ascii="宋体" w:hAnsi="宋体" w:eastAsia="宋体" w:cs="宋体"/>
          <w:spacing w:val="-47"/>
          <w:sz w:val="24"/>
          <w:szCs w:val="24"/>
        </w:rPr>
        <w:t xml:space="preserve"> </w:t>
      </w:r>
      <w:r>
        <w:rPr>
          <w:rFonts w:ascii="Times New Roman" w:hAnsi="Times New Roman" w:eastAsia="Times New Roman" w:cs="Times New Roman"/>
          <w:i/>
          <w:iCs/>
          <w:sz w:val="24"/>
          <w:szCs w:val="24"/>
        </w:rPr>
        <w:t>Eulalia</w:t>
      </w:r>
      <w:r>
        <w:rPr>
          <w:rFonts w:ascii="Times New Roman" w:hAnsi="Times New Roman" w:eastAsia="Times New Roman" w:cs="Times New Roman"/>
          <w:i/>
          <w:iCs/>
          <w:spacing w:val="-1"/>
          <w:sz w:val="24"/>
          <w:szCs w:val="24"/>
        </w:rPr>
        <w:t xml:space="preserve"> pallens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、孟加拉野古草</w:t>
      </w:r>
      <w:r>
        <w:rPr>
          <w:rFonts w:ascii="宋体" w:hAnsi="宋体" w:eastAsia="宋体" w:cs="宋体"/>
          <w:spacing w:val="-53"/>
          <w:sz w:val="24"/>
          <w:szCs w:val="24"/>
        </w:rPr>
        <w:t xml:space="preserve"> </w:t>
      </w:r>
      <w:r>
        <w:rPr>
          <w:rFonts w:ascii="Times New Roman" w:hAnsi="Times New Roman" w:eastAsia="Times New Roman" w:cs="Times New Roman"/>
          <w:i/>
          <w:iCs/>
          <w:spacing w:val="-1"/>
          <w:sz w:val="24"/>
          <w:szCs w:val="24"/>
        </w:rPr>
        <w:t>Arundinella</w:t>
      </w:r>
    </w:p>
    <w:p>
      <w:pPr>
        <w:spacing w:line="212" w:lineRule="auto"/>
        <w:rPr>
          <w:rFonts w:ascii="Times New Roman" w:hAnsi="Times New Roman" w:eastAsia="Times New Roman" w:cs="Times New Roman"/>
          <w:sz w:val="24"/>
          <w:szCs w:val="24"/>
        </w:rPr>
        <w:sectPr>
          <w:headerReference r:id="rId262" w:type="default"/>
          <w:footerReference r:id="rId263" w:type="default"/>
          <w:pgSz w:w="11907" w:h="16839"/>
          <w:pgMar w:top="1156" w:right="1712" w:bottom="1374" w:left="1770" w:header="881" w:footer="1210" w:gutter="0"/>
        </w:sectPr>
      </w:pPr>
    </w:p>
    <w:p>
      <w:pPr>
        <w:spacing w:line="312" w:lineRule="auto"/>
        <w:rPr>
          <w:rFonts w:ascii="Arial"/>
          <w:sz w:val="21"/>
        </w:rPr>
      </w:pPr>
    </w:p>
    <w:p>
      <w:pPr>
        <w:spacing w:before="78" w:line="363" w:lineRule="auto"/>
        <w:ind w:left="18" w:right="15" w:firstLine="17"/>
        <w:jc w:val="both"/>
        <w:rPr>
          <w:rFonts w:ascii="Times New Roman" w:hAnsi="Times New Roman" w:eastAsia="Times New Roman" w:cs="Times New Roman"/>
          <w:sz w:val="24"/>
          <w:szCs w:val="24"/>
        </w:rPr>
      </w:pPr>
      <w:r>
        <w:rPr>
          <w:rFonts w:ascii="Times New Roman" w:hAnsi="Times New Roman" w:eastAsia="Times New Roman" w:cs="Times New Roman"/>
          <w:i/>
          <w:iCs/>
          <w:spacing w:val="-7"/>
          <w:sz w:val="24"/>
          <w:szCs w:val="24"/>
        </w:rPr>
        <w:t xml:space="preserve">bengalensis </w:t>
      </w:r>
      <w:r>
        <w:rPr>
          <w:rFonts w:ascii="宋体" w:hAnsi="宋体" w:eastAsia="宋体" w:cs="宋体"/>
          <w:spacing w:val="-7"/>
          <w:sz w:val="24"/>
          <w:szCs w:val="24"/>
        </w:rPr>
        <w:t>等禾草为主，</w:t>
      </w:r>
      <w:r>
        <w:rPr>
          <w:rFonts w:ascii="宋体" w:hAnsi="宋体" w:eastAsia="宋体" w:cs="宋体"/>
          <w:spacing w:val="62"/>
          <w:sz w:val="24"/>
          <w:szCs w:val="24"/>
        </w:rPr>
        <w:t xml:space="preserve"> </w:t>
      </w:r>
      <w:r>
        <w:rPr>
          <w:rFonts w:ascii="宋体" w:hAnsi="宋体" w:eastAsia="宋体" w:cs="宋体"/>
          <w:spacing w:val="-7"/>
          <w:sz w:val="24"/>
          <w:szCs w:val="24"/>
        </w:rPr>
        <w:t xml:space="preserve">而靠近村庄、农田、旱地、果园附近的山坡、平地上有  </w:t>
      </w:r>
      <w:r>
        <w:rPr>
          <w:rFonts w:ascii="宋体" w:hAnsi="宋体" w:eastAsia="宋体" w:cs="宋体"/>
          <w:spacing w:val="-3"/>
          <w:sz w:val="24"/>
          <w:szCs w:val="24"/>
        </w:rPr>
        <w:t>大</w:t>
      </w:r>
      <w:r>
        <w:rPr>
          <w:rFonts w:ascii="宋体" w:hAnsi="宋体" w:eastAsia="宋体" w:cs="宋体"/>
          <w:spacing w:val="-35"/>
          <w:sz w:val="24"/>
          <w:szCs w:val="24"/>
        </w:rPr>
        <w:t xml:space="preserve"> </w:t>
      </w:r>
      <w:r>
        <w:rPr>
          <w:rFonts w:ascii="宋体" w:hAnsi="宋体" w:eastAsia="宋体" w:cs="宋体"/>
          <w:spacing w:val="-3"/>
          <w:sz w:val="24"/>
          <w:szCs w:val="24"/>
        </w:rPr>
        <w:t>量 的</w:t>
      </w:r>
      <w:r>
        <w:rPr>
          <w:rFonts w:ascii="宋体" w:hAnsi="宋体" w:eastAsia="宋体" w:cs="宋体"/>
          <w:spacing w:val="-36"/>
          <w:sz w:val="24"/>
          <w:szCs w:val="24"/>
        </w:rPr>
        <w:t xml:space="preserve"> </w:t>
      </w:r>
      <w:r>
        <w:rPr>
          <w:rFonts w:ascii="宋体" w:hAnsi="宋体" w:eastAsia="宋体" w:cs="宋体"/>
          <w:spacing w:val="-3"/>
          <w:sz w:val="24"/>
          <w:szCs w:val="24"/>
        </w:rPr>
        <w:t>破</w:t>
      </w:r>
      <w:r>
        <w:rPr>
          <w:rFonts w:ascii="宋体" w:hAnsi="宋体" w:eastAsia="宋体" w:cs="宋体"/>
          <w:spacing w:val="-35"/>
          <w:sz w:val="24"/>
          <w:szCs w:val="24"/>
        </w:rPr>
        <w:t xml:space="preserve"> </w:t>
      </w:r>
      <w:r>
        <w:rPr>
          <w:rFonts w:ascii="宋体" w:hAnsi="宋体" w:eastAsia="宋体" w:cs="宋体"/>
          <w:spacing w:val="-3"/>
          <w:sz w:val="24"/>
          <w:szCs w:val="24"/>
        </w:rPr>
        <w:t>坏</w:t>
      </w:r>
      <w:r>
        <w:rPr>
          <w:rFonts w:ascii="宋体" w:hAnsi="宋体" w:eastAsia="宋体" w:cs="宋体"/>
          <w:spacing w:val="-33"/>
          <w:sz w:val="24"/>
          <w:szCs w:val="24"/>
        </w:rPr>
        <w:t xml:space="preserve"> </w:t>
      </w:r>
      <w:r>
        <w:rPr>
          <w:rFonts w:ascii="宋体" w:hAnsi="宋体" w:eastAsia="宋体" w:cs="宋体"/>
          <w:spacing w:val="-3"/>
          <w:sz w:val="24"/>
          <w:szCs w:val="24"/>
        </w:rPr>
        <w:t>草</w:t>
      </w:r>
      <w:r>
        <w:rPr>
          <w:rFonts w:ascii="宋体" w:hAnsi="宋体" w:eastAsia="宋体" w:cs="宋体"/>
          <w:spacing w:val="61"/>
          <w:sz w:val="24"/>
          <w:szCs w:val="24"/>
        </w:rPr>
        <w:t xml:space="preserve"> </w:t>
      </w:r>
      <w:r>
        <w:rPr>
          <w:rFonts w:ascii="Times New Roman" w:hAnsi="Times New Roman" w:eastAsia="Times New Roman" w:cs="Times New Roman"/>
          <w:i/>
          <w:iCs/>
          <w:spacing w:val="-3"/>
          <w:sz w:val="24"/>
          <w:szCs w:val="24"/>
        </w:rPr>
        <w:t>Ageratina adenophora</w:t>
      </w:r>
      <w:r>
        <w:rPr>
          <w:rFonts w:ascii="Times New Roman" w:hAnsi="Times New Roman" w:eastAsia="Times New Roman" w:cs="Times New Roman"/>
          <w:i/>
          <w:iCs/>
          <w:spacing w:val="42"/>
          <w:sz w:val="24"/>
          <w:szCs w:val="24"/>
        </w:rPr>
        <w:t xml:space="preserve"> </w:t>
      </w:r>
      <w:r>
        <w:rPr>
          <w:rFonts w:ascii="宋体" w:hAnsi="宋体" w:eastAsia="宋体" w:cs="宋体"/>
          <w:spacing w:val="-3"/>
          <w:sz w:val="24"/>
          <w:szCs w:val="24"/>
        </w:rPr>
        <w:t>、</w:t>
      </w:r>
      <w:r>
        <w:rPr>
          <w:rFonts w:ascii="宋体" w:hAnsi="宋体" w:eastAsia="宋体" w:cs="宋体"/>
          <w:spacing w:val="-35"/>
          <w:sz w:val="24"/>
          <w:szCs w:val="24"/>
        </w:rPr>
        <w:t xml:space="preserve"> </w:t>
      </w:r>
      <w:r>
        <w:rPr>
          <w:rFonts w:ascii="宋体" w:hAnsi="宋体" w:eastAsia="宋体" w:cs="宋体"/>
          <w:spacing w:val="-3"/>
          <w:sz w:val="24"/>
          <w:szCs w:val="24"/>
        </w:rPr>
        <w:t>青</w:t>
      </w:r>
      <w:r>
        <w:rPr>
          <w:rFonts w:ascii="宋体" w:hAnsi="宋体" w:eastAsia="宋体" w:cs="宋体"/>
          <w:spacing w:val="-31"/>
          <w:sz w:val="24"/>
          <w:szCs w:val="24"/>
        </w:rPr>
        <w:t xml:space="preserve"> </w:t>
      </w:r>
      <w:r>
        <w:rPr>
          <w:rFonts w:ascii="宋体" w:hAnsi="宋体" w:eastAsia="宋体" w:cs="宋体"/>
          <w:spacing w:val="-3"/>
          <w:sz w:val="24"/>
          <w:szCs w:val="24"/>
        </w:rPr>
        <w:t>蒿</w:t>
      </w:r>
      <w:r>
        <w:rPr>
          <w:rFonts w:ascii="宋体" w:hAnsi="宋体" w:eastAsia="宋体" w:cs="宋体"/>
          <w:spacing w:val="60"/>
          <w:sz w:val="24"/>
          <w:szCs w:val="24"/>
        </w:rPr>
        <w:t xml:space="preserve"> </w:t>
      </w:r>
      <w:r>
        <w:rPr>
          <w:rFonts w:ascii="Times New Roman" w:hAnsi="Times New Roman" w:eastAsia="Times New Roman" w:cs="Times New Roman"/>
          <w:i/>
          <w:iCs/>
          <w:spacing w:val="-3"/>
          <w:sz w:val="24"/>
          <w:szCs w:val="24"/>
        </w:rPr>
        <w:t>A</w:t>
      </w:r>
      <w:r>
        <w:rPr>
          <w:rFonts w:ascii="Times New Roman" w:hAnsi="Times New Roman" w:eastAsia="Times New Roman" w:cs="Times New Roman"/>
          <w:i/>
          <w:iCs/>
          <w:spacing w:val="-4"/>
          <w:sz w:val="24"/>
          <w:szCs w:val="24"/>
        </w:rPr>
        <w:t>rtemisia</w:t>
      </w:r>
      <w:r>
        <w:rPr>
          <w:rFonts w:ascii="Times New Roman" w:hAnsi="Times New Roman" w:eastAsia="Times New Roman" w:cs="Times New Roman"/>
          <w:i/>
          <w:iCs/>
          <w:spacing w:val="24"/>
          <w:sz w:val="24"/>
          <w:szCs w:val="24"/>
        </w:rPr>
        <w:t xml:space="preserve">  </w:t>
      </w:r>
      <w:r>
        <w:rPr>
          <w:rFonts w:ascii="Times New Roman" w:hAnsi="Times New Roman" w:eastAsia="Times New Roman" w:cs="Times New Roman"/>
          <w:i/>
          <w:iCs/>
          <w:spacing w:val="-4"/>
          <w:sz w:val="24"/>
          <w:szCs w:val="24"/>
        </w:rPr>
        <w:t>carvifolia</w:t>
      </w:r>
      <w:r>
        <w:rPr>
          <w:rFonts w:ascii="Times New Roman" w:hAnsi="Times New Roman" w:eastAsia="Times New Roman" w:cs="Times New Roman"/>
          <w:i/>
          <w:iCs/>
          <w:spacing w:val="44"/>
          <w:sz w:val="24"/>
          <w:szCs w:val="24"/>
        </w:rPr>
        <w:t xml:space="preserve"> </w:t>
      </w:r>
      <w:r>
        <w:rPr>
          <w:rFonts w:ascii="宋体" w:hAnsi="宋体" w:eastAsia="宋体" w:cs="宋体"/>
          <w:spacing w:val="-4"/>
          <w:sz w:val="24"/>
          <w:szCs w:val="24"/>
        </w:rPr>
        <w:t>、</w:t>
      </w:r>
      <w:r>
        <w:rPr>
          <w:rFonts w:ascii="宋体" w:hAnsi="宋体" w:eastAsia="宋体" w:cs="宋体"/>
          <w:spacing w:val="-35"/>
          <w:sz w:val="24"/>
          <w:szCs w:val="24"/>
        </w:rPr>
        <w:t xml:space="preserve"> </w:t>
      </w:r>
      <w:r>
        <w:rPr>
          <w:rFonts w:ascii="宋体" w:hAnsi="宋体" w:eastAsia="宋体" w:cs="宋体"/>
          <w:spacing w:val="-4"/>
          <w:sz w:val="24"/>
          <w:szCs w:val="24"/>
        </w:rPr>
        <w:t>牡</w:t>
      </w:r>
      <w:r>
        <w:rPr>
          <w:rFonts w:ascii="宋体" w:hAnsi="宋体" w:eastAsia="宋体" w:cs="宋体"/>
          <w:spacing w:val="-31"/>
          <w:sz w:val="24"/>
          <w:szCs w:val="24"/>
        </w:rPr>
        <w:t xml:space="preserve"> </w:t>
      </w:r>
      <w:r>
        <w:rPr>
          <w:rFonts w:ascii="宋体" w:hAnsi="宋体" w:eastAsia="宋体" w:cs="宋体"/>
          <w:spacing w:val="-4"/>
          <w:sz w:val="24"/>
          <w:szCs w:val="24"/>
        </w:rPr>
        <w:t xml:space="preserve">蒿  </w:t>
      </w:r>
      <w:r>
        <w:rPr>
          <w:rFonts w:ascii="Times New Roman" w:hAnsi="Times New Roman" w:eastAsia="Times New Roman" w:cs="Times New Roman"/>
          <w:i/>
          <w:iCs/>
          <w:sz w:val="24"/>
          <w:szCs w:val="24"/>
        </w:rPr>
        <w:t>Artemisia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japonica</w:t>
      </w:r>
      <w:r>
        <w:rPr>
          <w:rFonts w:ascii="Times New Roman" w:hAnsi="Times New Roman" w:eastAsia="Times New Roman" w:cs="Times New Roman"/>
          <w:i/>
          <w:iCs/>
          <w:spacing w:val="-31"/>
          <w:sz w:val="24"/>
          <w:szCs w:val="24"/>
        </w:rPr>
        <w:t xml:space="preserve"> </w:t>
      </w:r>
      <w:r>
        <w:rPr>
          <w:rFonts w:ascii="宋体" w:hAnsi="宋体" w:eastAsia="宋体" w:cs="宋体"/>
          <w:sz w:val="24"/>
          <w:szCs w:val="24"/>
        </w:rPr>
        <w:t xml:space="preserve">、西南牡蒿 </w:t>
      </w:r>
      <w:r>
        <w:rPr>
          <w:rFonts w:ascii="Times New Roman" w:hAnsi="Times New Roman" w:eastAsia="Times New Roman" w:cs="Times New Roman"/>
          <w:i/>
          <w:iCs/>
          <w:sz w:val="24"/>
          <w:szCs w:val="24"/>
        </w:rPr>
        <w:t>Artemisia</w:t>
      </w:r>
      <w:r>
        <w:rPr>
          <w:rFonts w:ascii="Times New Roman" w:hAnsi="Times New Roman" w:eastAsia="Times New Roman" w:cs="Times New Roman"/>
          <w:i/>
          <w:iCs/>
          <w:spacing w:val="24"/>
          <w:w w:val="101"/>
          <w:sz w:val="24"/>
          <w:szCs w:val="24"/>
        </w:rPr>
        <w:t xml:space="preserve"> </w:t>
      </w:r>
      <w:r>
        <w:rPr>
          <w:rFonts w:ascii="Times New Roman" w:hAnsi="Times New Roman" w:eastAsia="Times New Roman" w:cs="Times New Roman"/>
          <w:i/>
          <w:iCs/>
          <w:sz w:val="24"/>
          <w:szCs w:val="24"/>
        </w:rPr>
        <w:t>Parviflora</w:t>
      </w:r>
      <w:r>
        <w:rPr>
          <w:rFonts w:ascii="Times New Roman" w:hAnsi="Times New Roman" w:eastAsia="Times New Roman" w:cs="Times New Roman"/>
          <w:i/>
          <w:iCs/>
          <w:spacing w:val="-31"/>
          <w:sz w:val="24"/>
          <w:szCs w:val="24"/>
        </w:rPr>
        <w:t xml:space="preserve"> </w:t>
      </w:r>
      <w:r>
        <w:rPr>
          <w:rFonts w:ascii="宋体" w:hAnsi="宋体" w:eastAsia="宋体" w:cs="宋体"/>
          <w:sz w:val="24"/>
          <w:szCs w:val="24"/>
        </w:rPr>
        <w:t xml:space="preserve">、鬼针草 </w:t>
      </w:r>
      <w:r>
        <w:rPr>
          <w:rFonts w:ascii="Times New Roman" w:hAnsi="Times New Roman" w:eastAsia="Times New Roman" w:cs="Times New Roman"/>
          <w:i/>
          <w:iCs/>
          <w:sz w:val="24"/>
          <w:szCs w:val="24"/>
        </w:rPr>
        <w:t>Bidens</w:t>
      </w:r>
      <w:r>
        <w:rPr>
          <w:rFonts w:ascii="Times New Roman" w:hAnsi="Times New Roman" w:eastAsia="Times New Roman" w:cs="Times New Roman"/>
          <w:i/>
          <w:iCs/>
          <w:spacing w:val="-25"/>
          <w:sz w:val="24"/>
          <w:szCs w:val="24"/>
        </w:rPr>
        <w:t xml:space="preserve"> </w:t>
      </w:r>
      <w:r>
        <w:rPr>
          <w:rFonts w:ascii="Times New Roman" w:hAnsi="Times New Roman" w:eastAsia="Times New Roman" w:cs="Times New Roman"/>
          <w:i/>
          <w:iCs/>
          <w:sz w:val="24"/>
          <w:szCs w:val="24"/>
        </w:rPr>
        <w:t>pilo</w:t>
      </w:r>
      <w:r>
        <w:rPr>
          <w:rFonts w:ascii="Times New Roman" w:hAnsi="Times New Roman" w:eastAsia="Times New Roman" w:cs="Times New Roman"/>
          <w:i/>
          <w:iCs/>
          <w:spacing w:val="-1"/>
          <w:sz w:val="24"/>
          <w:szCs w:val="24"/>
        </w:rPr>
        <w:t>sa</w:t>
      </w:r>
      <w:r>
        <w:rPr>
          <w:rFonts w:ascii="Times New Roman" w:hAnsi="Times New Roman" w:eastAsia="Times New Roman" w:cs="Times New Roman"/>
          <w:i/>
          <w:iCs/>
          <w:spacing w:val="-31"/>
          <w:sz w:val="24"/>
          <w:szCs w:val="24"/>
        </w:rPr>
        <w:t xml:space="preserve"> </w:t>
      </w:r>
      <w:r>
        <w:rPr>
          <w:rFonts w:ascii="宋体" w:hAnsi="宋体" w:eastAsia="宋体" w:cs="宋体"/>
          <w:spacing w:val="-1"/>
          <w:sz w:val="24"/>
          <w:szCs w:val="24"/>
        </w:rPr>
        <w:t xml:space="preserve">、秋英  </w:t>
      </w:r>
      <w:r>
        <w:rPr>
          <w:rFonts w:ascii="Times New Roman" w:hAnsi="Times New Roman" w:eastAsia="Times New Roman" w:cs="Times New Roman"/>
          <w:i/>
          <w:iCs/>
          <w:spacing w:val="-3"/>
          <w:sz w:val="24"/>
          <w:szCs w:val="24"/>
        </w:rPr>
        <w:t>Cosmos</w:t>
      </w:r>
      <w:r>
        <w:rPr>
          <w:rFonts w:ascii="Times New Roman" w:hAnsi="Times New Roman" w:eastAsia="Times New Roman" w:cs="Times New Roman"/>
          <w:i/>
          <w:iCs/>
          <w:spacing w:val="31"/>
          <w:sz w:val="24"/>
          <w:szCs w:val="24"/>
        </w:rPr>
        <w:t xml:space="preserve"> </w:t>
      </w:r>
      <w:r>
        <w:rPr>
          <w:rFonts w:ascii="Times New Roman" w:hAnsi="Times New Roman" w:eastAsia="Times New Roman" w:cs="Times New Roman"/>
          <w:i/>
          <w:iCs/>
          <w:spacing w:val="-3"/>
          <w:sz w:val="24"/>
          <w:szCs w:val="24"/>
        </w:rPr>
        <w:t xml:space="preserve">bipinnata </w:t>
      </w:r>
      <w:r>
        <w:rPr>
          <w:rFonts w:ascii="宋体" w:hAnsi="宋体" w:eastAsia="宋体" w:cs="宋体"/>
          <w:spacing w:val="-3"/>
          <w:sz w:val="24"/>
          <w:szCs w:val="24"/>
        </w:rPr>
        <w:t>等先锋植物侵入群落，形成了以破坏草、 蒿属或</w:t>
      </w:r>
      <w:r>
        <w:rPr>
          <w:rFonts w:ascii="宋体" w:hAnsi="宋体" w:eastAsia="宋体" w:cs="宋体"/>
          <w:spacing w:val="-4"/>
          <w:sz w:val="24"/>
          <w:szCs w:val="24"/>
        </w:rPr>
        <w:t xml:space="preserve">秋英为主的中  </w:t>
      </w:r>
      <w:r>
        <w:rPr>
          <w:rFonts w:ascii="宋体" w:hAnsi="宋体" w:eastAsia="宋体" w:cs="宋体"/>
          <w:spacing w:val="20"/>
          <w:sz w:val="24"/>
          <w:szCs w:val="24"/>
        </w:rPr>
        <w:t>草草丛</w:t>
      </w:r>
      <w:r>
        <w:rPr>
          <w:rFonts w:ascii="宋体" w:hAnsi="宋体" w:eastAsia="宋体" w:cs="宋体"/>
          <w:spacing w:val="-49"/>
          <w:sz w:val="24"/>
          <w:szCs w:val="24"/>
        </w:rPr>
        <w:t xml:space="preserve"> </w:t>
      </w:r>
      <w:r>
        <w:rPr>
          <w:rFonts w:ascii="宋体" w:hAnsi="宋体" w:eastAsia="宋体" w:cs="宋体"/>
          <w:spacing w:val="20"/>
          <w:sz w:val="24"/>
          <w:szCs w:val="24"/>
        </w:rPr>
        <w:t>。还有另外一种类型，</w:t>
      </w:r>
      <w:r>
        <w:rPr>
          <w:rFonts w:ascii="宋体" w:hAnsi="宋体" w:eastAsia="宋体" w:cs="宋体"/>
          <w:spacing w:val="-53"/>
          <w:sz w:val="24"/>
          <w:szCs w:val="24"/>
        </w:rPr>
        <w:t xml:space="preserve"> </w:t>
      </w:r>
      <w:r>
        <w:rPr>
          <w:rFonts w:ascii="宋体" w:hAnsi="宋体" w:eastAsia="宋体" w:cs="宋体"/>
          <w:spacing w:val="20"/>
          <w:sz w:val="24"/>
          <w:szCs w:val="24"/>
        </w:rPr>
        <w:t>是云南松、高山锥群落</w:t>
      </w:r>
      <w:r>
        <w:rPr>
          <w:rFonts w:ascii="Times New Roman" w:hAnsi="Times New Roman" w:eastAsia="Times New Roman" w:cs="Times New Roman"/>
          <w:spacing w:val="20"/>
          <w:sz w:val="24"/>
          <w:szCs w:val="24"/>
        </w:rPr>
        <w:t>(</w:t>
      </w:r>
      <w:r>
        <w:rPr>
          <w:rFonts w:ascii="Times New Roman" w:hAnsi="Times New Roman" w:eastAsia="Times New Roman" w:cs="Times New Roman"/>
          <w:i/>
          <w:iCs/>
          <w:sz w:val="24"/>
          <w:szCs w:val="24"/>
        </w:rPr>
        <w:t>Pinus</w:t>
      </w:r>
      <w:r>
        <w:rPr>
          <w:rFonts w:ascii="Times New Roman" w:hAnsi="Times New Roman" w:eastAsia="Times New Roman" w:cs="Times New Roman"/>
          <w:i/>
          <w:iCs/>
          <w:spacing w:val="34"/>
          <w:w w:val="101"/>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57"/>
          <w:w w:val="101"/>
          <w:sz w:val="24"/>
          <w:szCs w:val="24"/>
        </w:rPr>
        <w:t xml:space="preserve"> </w:t>
      </w:r>
      <w:r>
        <w:rPr>
          <w:rFonts w:ascii="Times New Roman" w:hAnsi="Times New Roman" w:eastAsia="Times New Roman" w:cs="Times New Roman"/>
          <w:spacing w:val="20"/>
          <w:sz w:val="24"/>
          <w:szCs w:val="24"/>
        </w:rPr>
        <w:t>+</w:t>
      </w:r>
      <w:r>
        <w:rPr>
          <w:rFonts w:ascii="Times New Roman" w:hAnsi="Times New Roman" w:eastAsia="Times New Roman" w:cs="Times New Roman"/>
          <w:sz w:val="24"/>
          <w:szCs w:val="24"/>
        </w:rPr>
        <w:t xml:space="preserve">    </w:t>
      </w:r>
      <w:r>
        <w:rPr>
          <w:rFonts w:ascii="Times New Roman" w:hAnsi="Times New Roman" w:eastAsia="Times New Roman" w:cs="Times New Roman"/>
          <w:i/>
          <w:iCs/>
          <w:spacing w:val="-2"/>
          <w:sz w:val="24"/>
          <w:szCs w:val="24"/>
        </w:rPr>
        <w:t>Castanopsis</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pacing w:val="-2"/>
          <w:sz w:val="24"/>
          <w:szCs w:val="24"/>
        </w:rPr>
        <w:t xml:space="preserve">delavayi </w:t>
      </w:r>
      <w:r>
        <w:rPr>
          <w:rFonts w:ascii="Times New Roman" w:hAnsi="Times New Roman" w:eastAsia="Times New Roman" w:cs="Times New Roman"/>
          <w:spacing w:val="-2"/>
          <w:sz w:val="24"/>
          <w:szCs w:val="24"/>
        </w:rPr>
        <w:t>Comm.)</w:t>
      </w:r>
      <w:r>
        <w:rPr>
          <w:rFonts w:ascii="宋体" w:hAnsi="宋体" w:eastAsia="宋体" w:cs="宋体"/>
          <w:spacing w:val="-2"/>
          <w:sz w:val="24"/>
          <w:szCs w:val="24"/>
        </w:rPr>
        <w:t>被反复破</w:t>
      </w:r>
      <w:r>
        <w:rPr>
          <w:rFonts w:ascii="宋体" w:hAnsi="宋体" w:eastAsia="宋体" w:cs="宋体"/>
          <w:spacing w:val="-3"/>
          <w:sz w:val="24"/>
          <w:szCs w:val="24"/>
        </w:rPr>
        <w:t>坏</w:t>
      </w:r>
      <w:r>
        <w:rPr>
          <w:rFonts w:ascii="Times New Roman" w:hAnsi="Times New Roman" w:eastAsia="Times New Roman" w:cs="Times New Roman"/>
          <w:spacing w:val="-3"/>
          <w:sz w:val="24"/>
          <w:szCs w:val="24"/>
        </w:rPr>
        <w:t>——</w:t>
      </w:r>
      <w:r>
        <w:rPr>
          <w:rFonts w:ascii="宋体" w:hAnsi="宋体" w:eastAsia="宋体" w:cs="宋体"/>
          <w:spacing w:val="-3"/>
          <w:sz w:val="24"/>
          <w:szCs w:val="24"/>
        </w:rPr>
        <w:t xml:space="preserve">火烧、砍伐、砍蕉、放牧等人为干扰  </w:t>
      </w:r>
      <w:r>
        <w:rPr>
          <w:rFonts w:ascii="宋体" w:hAnsi="宋体" w:eastAsia="宋体" w:cs="宋体"/>
          <w:spacing w:val="-6"/>
          <w:sz w:val="24"/>
          <w:szCs w:val="24"/>
        </w:rPr>
        <w:t>的情况下形成的次生植被，</w:t>
      </w:r>
      <w:r>
        <w:rPr>
          <w:rFonts w:ascii="宋体" w:hAnsi="宋体" w:eastAsia="宋体" w:cs="宋体"/>
          <w:spacing w:val="-31"/>
          <w:sz w:val="24"/>
          <w:szCs w:val="24"/>
        </w:rPr>
        <w:t xml:space="preserve"> </w:t>
      </w:r>
      <w:r>
        <w:rPr>
          <w:rFonts w:ascii="宋体" w:hAnsi="宋体" w:eastAsia="宋体" w:cs="宋体"/>
          <w:spacing w:val="-6"/>
          <w:sz w:val="24"/>
          <w:szCs w:val="24"/>
        </w:rPr>
        <w:t>主要位于沟谷两侧受人类活动扰动较</w:t>
      </w:r>
      <w:r>
        <w:rPr>
          <w:rFonts w:ascii="宋体" w:hAnsi="宋体" w:eastAsia="宋体" w:cs="宋体"/>
          <w:spacing w:val="-7"/>
          <w:sz w:val="24"/>
          <w:szCs w:val="24"/>
        </w:rPr>
        <w:t>大的沟谷坡地中，</w:t>
      </w:r>
      <w:r>
        <w:rPr>
          <w:rFonts w:ascii="宋体" w:hAnsi="宋体" w:eastAsia="宋体" w:cs="宋体"/>
          <w:sz w:val="24"/>
          <w:szCs w:val="24"/>
        </w:rPr>
        <w:t xml:space="preserve"> </w:t>
      </w:r>
      <w:r>
        <w:rPr>
          <w:rFonts w:ascii="宋体" w:hAnsi="宋体" w:eastAsia="宋体" w:cs="宋体"/>
          <w:spacing w:val="-9"/>
          <w:sz w:val="24"/>
          <w:szCs w:val="24"/>
        </w:rPr>
        <w:t xml:space="preserve">形成比较不太稳定的次生暖温性稀树灌木草丛植被类型， 残存的大树较多， </w:t>
      </w:r>
      <w:r>
        <w:rPr>
          <w:rFonts w:ascii="宋体" w:hAnsi="宋体" w:eastAsia="宋体" w:cs="宋体"/>
          <w:spacing w:val="-10"/>
          <w:sz w:val="24"/>
          <w:szCs w:val="24"/>
        </w:rPr>
        <w:t xml:space="preserve">群落  </w:t>
      </w:r>
      <w:r>
        <w:rPr>
          <w:rFonts w:ascii="宋体" w:hAnsi="宋体" w:eastAsia="宋体" w:cs="宋体"/>
          <w:spacing w:val="-6"/>
          <w:sz w:val="24"/>
          <w:szCs w:val="24"/>
        </w:rPr>
        <w:t>高度也似乎在恢复中， 如果加以保护，幼苗成长后可以恢复到次生常</w:t>
      </w:r>
      <w:r>
        <w:rPr>
          <w:rFonts w:ascii="宋体" w:hAnsi="宋体" w:eastAsia="宋体" w:cs="宋体"/>
          <w:spacing w:val="-7"/>
          <w:sz w:val="24"/>
          <w:szCs w:val="24"/>
        </w:rPr>
        <w:t xml:space="preserve">绿阔叶林的  </w:t>
      </w:r>
      <w:r>
        <w:rPr>
          <w:rFonts w:ascii="宋体" w:hAnsi="宋体" w:eastAsia="宋体" w:cs="宋体"/>
          <w:spacing w:val="-16"/>
          <w:sz w:val="24"/>
          <w:szCs w:val="24"/>
        </w:rPr>
        <w:t>水平。各个群落，</w:t>
      </w:r>
      <w:r>
        <w:rPr>
          <w:rFonts w:ascii="宋体" w:hAnsi="宋体" w:eastAsia="宋体" w:cs="宋体"/>
          <w:spacing w:val="55"/>
          <w:sz w:val="24"/>
          <w:szCs w:val="24"/>
        </w:rPr>
        <w:t xml:space="preserve"> </w:t>
      </w:r>
      <w:r>
        <w:rPr>
          <w:rFonts w:ascii="宋体" w:hAnsi="宋体" w:eastAsia="宋体" w:cs="宋体"/>
          <w:spacing w:val="-16"/>
          <w:sz w:val="24"/>
          <w:szCs w:val="24"/>
        </w:rPr>
        <w:t>因人为影响频繁而很不稳定，</w:t>
      </w:r>
      <w:r>
        <w:rPr>
          <w:rFonts w:ascii="宋体" w:hAnsi="宋体" w:eastAsia="宋体" w:cs="宋体"/>
          <w:spacing w:val="41"/>
          <w:sz w:val="24"/>
          <w:szCs w:val="24"/>
        </w:rPr>
        <w:t xml:space="preserve"> </w:t>
      </w:r>
      <w:r>
        <w:rPr>
          <w:rFonts w:ascii="宋体" w:hAnsi="宋体" w:eastAsia="宋体" w:cs="宋体"/>
          <w:spacing w:val="-16"/>
          <w:sz w:val="24"/>
          <w:szCs w:val="24"/>
        </w:rPr>
        <w:t>没</w:t>
      </w:r>
      <w:r>
        <w:rPr>
          <w:rFonts w:ascii="宋体" w:hAnsi="宋体" w:eastAsia="宋体" w:cs="宋体"/>
          <w:spacing w:val="-17"/>
          <w:sz w:val="24"/>
          <w:szCs w:val="24"/>
        </w:rPr>
        <w:t>有必要划分过细，</w:t>
      </w:r>
      <w:r>
        <w:rPr>
          <w:rFonts w:ascii="宋体" w:hAnsi="宋体" w:eastAsia="宋体" w:cs="宋体"/>
          <w:spacing w:val="36"/>
          <w:sz w:val="24"/>
          <w:szCs w:val="24"/>
        </w:rPr>
        <w:t xml:space="preserve"> </w:t>
      </w:r>
      <w:r>
        <w:rPr>
          <w:rFonts w:ascii="宋体" w:hAnsi="宋体" w:eastAsia="宋体" w:cs="宋体"/>
          <w:spacing w:val="-17"/>
          <w:sz w:val="24"/>
          <w:szCs w:val="24"/>
        </w:rPr>
        <w:t xml:space="preserve">在本评价区  </w:t>
      </w:r>
      <w:r>
        <w:rPr>
          <w:rFonts w:ascii="宋体" w:hAnsi="宋体" w:eastAsia="宋体" w:cs="宋体"/>
          <w:spacing w:val="-9"/>
          <w:sz w:val="24"/>
          <w:szCs w:val="24"/>
        </w:rPr>
        <w:t>内合并为一个群落描述：</w:t>
      </w:r>
      <w:r>
        <w:rPr>
          <w:rFonts w:ascii="宋体" w:hAnsi="宋体" w:eastAsia="宋体" w:cs="宋体"/>
          <w:spacing w:val="83"/>
          <w:sz w:val="24"/>
          <w:szCs w:val="24"/>
        </w:rPr>
        <w:t xml:space="preserve"> </w:t>
      </w:r>
      <w:r>
        <w:rPr>
          <w:rFonts w:ascii="宋体" w:hAnsi="宋体" w:eastAsia="宋体" w:cs="宋体"/>
          <w:spacing w:val="-9"/>
          <w:sz w:val="24"/>
          <w:szCs w:val="24"/>
        </w:rPr>
        <w:t>即：</w:t>
      </w:r>
      <w:r>
        <w:rPr>
          <w:rFonts w:ascii="宋体" w:hAnsi="宋体" w:eastAsia="宋体" w:cs="宋体"/>
          <w:spacing w:val="-30"/>
          <w:sz w:val="24"/>
          <w:szCs w:val="24"/>
        </w:rPr>
        <w:t xml:space="preserve"> </w:t>
      </w:r>
      <w:r>
        <w:rPr>
          <w:rFonts w:ascii="宋体" w:hAnsi="宋体" w:eastAsia="宋体" w:cs="宋体"/>
          <w:spacing w:val="-9"/>
          <w:sz w:val="24"/>
          <w:szCs w:val="24"/>
        </w:rPr>
        <w:t>云南松、珍珠花、</w:t>
      </w:r>
      <w:r>
        <w:rPr>
          <w:rFonts w:ascii="宋体" w:hAnsi="宋体" w:eastAsia="宋体" w:cs="宋体"/>
          <w:spacing w:val="43"/>
          <w:sz w:val="24"/>
          <w:szCs w:val="24"/>
        </w:rPr>
        <w:t xml:space="preserve"> </w:t>
      </w:r>
      <w:r>
        <w:rPr>
          <w:rFonts w:ascii="宋体" w:hAnsi="宋体" w:eastAsia="宋体" w:cs="宋体"/>
          <w:spacing w:val="-9"/>
          <w:sz w:val="24"/>
          <w:szCs w:val="24"/>
        </w:rPr>
        <w:t>黄茅群落</w:t>
      </w:r>
      <w:r>
        <w:rPr>
          <w:rFonts w:ascii="Times New Roman" w:hAnsi="Times New Roman" w:eastAsia="Times New Roman" w:cs="Times New Roman"/>
          <w:spacing w:val="-9"/>
          <w:sz w:val="24"/>
          <w:szCs w:val="24"/>
        </w:rPr>
        <w:t>(</w:t>
      </w:r>
      <w:r>
        <w:rPr>
          <w:rFonts w:ascii="Times New Roman" w:hAnsi="Times New Roman" w:eastAsia="Times New Roman" w:cs="Times New Roman"/>
          <w:i/>
          <w:iCs/>
          <w:spacing w:val="-9"/>
          <w:sz w:val="24"/>
          <w:szCs w:val="24"/>
        </w:rPr>
        <w:t>Eulalia</w:t>
      </w:r>
      <w:r>
        <w:rPr>
          <w:rFonts w:ascii="Times New Roman" w:hAnsi="Times New Roman" w:eastAsia="Times New Roman" w:cs="Times New Roman"/>
          <w:i/>
          <w:iCs/>
          <w:spacing w:val="-29"/>
          <w:sz w:val="24"/>
          <w:szCs w:val="24"/>
        </w:rPr>
        <w:t xml:space="preserve"> </w:t>
      </w:r>
      <w:r>
        <w:rPr>
          <w:rFonts w:ascii="Times New Roman" w:hAnsi="Times New Roman" w:eastAsia="Times New Roman" w:cs="Times New Roman"/>
          <w:i/>
          <w:iCs/>
          <w:spacing w:val="-9"/>
          <w:sz w:val="24"/>
          <w:szCs w:val="24"/>
        </w:rPr>
        <w:t>palle</w:t>
      </w:r>
      <w:r>
        <w:rPr>
          <w:rFonts w:ascii="Times New Roman" w:hAnsi="Times New Roman" w:eastAsia="Times New Roman" w:cs="Times New Roman"/>
          <w:i/>
          <w:iCs/>
          <w:spacing w:val="-10"/>
          <w:sz w:val="24"/>
          <w:szCs w:val="24"/>
        </w:rPr>
        <w:t xml:space="preserve">ns </w:t>
      </w:r>
      <w:r>
        <w:rPr>
          <w:rFonts w:ascii="Times New Roman" w:hAnsi="Times New Roman" w:eastAsia="Times New Roman" w:cs="Times New Roman"/>
          <w:spacing w:val="-10"/>
          <w:sz w:val="24"/>
          <w:szCs w:val="24"/>
        </w:rPr>
        <w:t>Comm.</w:t>
      </w:r>
    </w:p>
    <w:p>
      <w:pPr>
        <w:spacing w:line="183" w:lineRule="auto"/>
        <w:ind w:left="38"/>
        <w:rPr>
          <w:rFonts w:ascii="宋体" w:hAnsi="宋体" w:eastAsia="宋体" w:cs="宋体"/>
          <w:sz w:val="24"/>
          <w:szCs w:val="24"/>
        </w:rPr>
      </w:pPr>
      <w:r>
        <w:rPr>
          <w:rFonts w:ascii="Times New Roman" w:hAnsi="Times New Roman" w:eastAsia="Times New Roman" w:cs="Times New Roman"/>
          <w:sz w:val="24"/>
          <w:szCs w:val="24"/>
        </w:rPr>
        <w:t>Containing</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i/>
          <w:iCs/>
          <w:sz w:val="24"/>
          <w:szCs w:val="24"/>
        </w:rPr>
        <w:t>Pinus</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i/>
          <w:iCs/>
          <w:sz w:val="24"/>
          <w:szCs w:val="24"/>
        </w:rPr>
        <w:t>Heteropogon</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contortus</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pPr>
        <w:spacing w:before="192" w:line="360" w:lineRule="auto"/>
        <w:ind w:left="23" w:right="118" w:firstLine="497"/>
        <w:rPr>
          <w:rFonts w:ascii="Times New Roman" w:hAnsi="Times New Roman" w:eastAsia="Times New Roman" w:cs="Times New Roman"/>
          <w:sz w:val="24"/>
          <w:szCs w:val="24"/>
        </w:rPr>
      </w:pPr>
      <w:r>
        <w:rPr>
          <w:rFonts w:ascii="宋体" w:hAnsi="宋体" w:eastAsia="宋体" w:cs="宋体"/>
          <w:spacing w:val="-3"/>
          <w:sz w:val="24"/>
          <w:szCs w:val="24"/>
        </w:rPr>
        <w:t>乔木层高</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10m</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 xml:space="preserve">，郁闭度小于 </w:t>
      </w:r>
      <w:r>
        <w:rPr>
          <w:rFonts w:ascii="Times New Roman" w:hAnsi="Times New Roman" w:eastAsia="Times New Roman" w:cs="Times New Roman"/>
          <w:spacing w:val="-3"/>
          <w:sz w:val="24"/>
          <w:szCs w:val="24"/>
        </w:rPr>
        <w:t>15%</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。稀树主要为云南松</w:t>
      </w:r>
      <w:r>
        <w:rPr>
          <w:rFonts w:ascii="宋体" w:hAnsi="宋体" w:eastAsia="宋体" w:cs="宋体"/>
          <w:spacing w:val="-40"/>
          <w:sz w:val="24"/>
          <w:szCs w:val="24"/>
        </w:rPr>
        <w:t xml:space="preserve"> </w:t>
      </w:r>
      <w:r>
        <w:rPr>
          <w:rFonts w:ascii="Times New Roman" w:hAnsi="Times New Roman" w:eastAsia="Times New Roman" w:cs="Times New Roman"/>
          <w:i/>
          <w:iCs/>
          <w:spacing w:val="-3"/>
          <w:sz w:val="24"/>
          <w:szCs w:val="24"/>
        </w:rPr>
        <w:t>Pinus yunnane</w:t>
      </w:r>
      <w:r>
        <w:rPr>
          <w:rFonts w:ascii="Times New Roman" w:hAnsi="Times New Roman" w:eastAsia="Times New Roman" w:cs="Times New Roman"/>
          <w:i/>
          <w:iCs/>
          <w:spacing w:val="-4"/>
          <w:sz w:val="24"/>
          <w:szCs w:val="24"/>
        </w:rPr>
        <w:t>nsis</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9"/>
          <w:sz w:val="24"/>
          <w:szCs w:val="24"/>
        </w:rPr>
        <w:t>一般生长不良，高在</w:t>
      </w:r>
      <w:r>
        <w:rPr>
          <w:rFonts w:ascii="宋体" w:hAnsi="宋体" w:eastAsia="宋体" w:cs="宋体"/>
          <w:spacing w:val="-40"/>
          <w:sz w:val="24"/>
          <w:szCs w:val="24"/>
        </w:rPr>
        <w:t xml:space="preserve"> </w:t>
      </w:r>
      <w:r>
        <w:rPr>
          <w:rFonts w:ascii="Times New Roman" w:hAnsi="Times New Roman" w:eastAsia="Times New Roman" w:cs="Times New Roman"/>
          <w:spacing w:val="-9"/>
          <w:sz w:val="24"/>
          <w:szCs w:val="24"/>
        </w:rPr>
        <w:t>10m</w:t>
      </w:r>
      <w:r>
        <w:rPr>
          <w:rFonts w:ascii="Times New Roman" w:hAnsi="Times New Roman" w:eastAsia="Times New Roman" w:cs="Times New Roman"/>
          <w:spacing w:val="29"/>
          <w:sz w:val="24"/>
          <w:szCs w:val="24"/>
        </w:rPr>
        <w:t xml:space="preserve"> </w:t>
      </w:r>
      <w:r>
        <w:rPr>
          <w:rFonts w:ascii="宋体" w:hAnsi="宋体" w:eastAsia="宋体" w:cs="宋体"/>
          <w:spacing w:val="-9"/>
          <w:sz w:val="24"/>
          <w:szCs w:val="24"/>
        </w:rPr>
        <w:t>以下，多扭曲。其次为滇青冈</w:t>
      </w:r>
      <w:r>
        <w:rPr>
          <w:rFonts w:ascii="宋体" w:hAnsi="宋体" w:eastAsia="宋体" w:cs="宋体"/>
          <w:spacing w:val="-53"/>
          <w:sz w:val="24"/>
          <w:szCs w:val="24"/>
        </w:rPr>
        <w:t xml:space="preserve"> </w:t>
      </w:r>
      <w:r>
        <w:rPr>
          <w:rFonts w:ascii="Times New Roman" w:hAnsi="Times New Roman" w:eastAsia="Times New Roman" w:cs="Times New Roman"/>
          <w:i/>
          <w:iCs/>
          <w:spacing w:val="-9"/>
          <w:sz w:val="24"/>
          <w:szCs w:val="24"/>
        </w:rPr>
        <w:t>Cyclobalanopsis</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9"/>
          <w:sz w:val="24"/>
          <w:szCs w:val="24"/>
        </w:rPr>
        <w:t>glauc</w:t>
      </w:r>
      <w:r>
        <w:rPr>
          <w:rFonts w:ascii="Times New Roman" w:hAnsi="Times New Roman" w:eastAsia="Times New Roman" w:cs="Times New Roman"/>
          <w:i/>
          <w:iCs/>
          <w:spacing w:val="-10"/>
          <w:sz w:val="24"/>
          <w:szCs w:val="24"/>
        </w:rPr>
        <w:t>oides</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3"/>
          <w:sz w:val="24"/>
          <w:szCs w:val="24"/>
        </w:rPr>
        <w:t>云</w:t>
      </w:r>
      <w:r>
        <w:rPr>
          <w:rFonts w:ascii="宋体" w:hAnsi="宋体" w:eastAsia="宋体" w:cs="宋体"/>
          <w:spacing w:val="-53"/>
          <w:sz w:val="24"/>
          <w:szCs w:val="24"/>
        </w:rPr>
        <w:t xml:space="preserve"> </w:t>
      </w:r>
      <w:r>
        <w:rPr>
          <w:rFonts w:ascii="宋体" w:hAnsi="宋体" w:eastAsia="宋体" w:cs="宋体"/>
          <w:spacing w:val="-3"/>
          <w:sz w:val="24"/>
          <w:szCs w:val="24"/>
        </w:rPr>
        <w:t>南</w:t>
      </w:r>
      <w:r>
        <w:rPr>
          <w:rFonts w:ascii="宋体" w:hAnsi="宋体" w:eastAsia="宋体" w:cs="宋体"/>
          <w:spacing w:val="-51"/>
          <w:sz w:val="24"/>
          <w:szCs w:val="24"/>
        </w:rPr>
        <w:t xml:space="preserve"> </w:t>
      </w:r>
      <w:r>
        <w:rPr>
          <w:rFonts w:ascii="宋体" w:hAnsi="宋体" w:eastAsia="宋体" w:cs="宋体"/>
          <w:spacing w:val="-3"/>
          <w:sz w:val="24"/>
          <w:szCs w:val="24"/>
        </w:rPr>
        <w:t>油</w:t>
      </w:r>
      <w:r>
        <w:rPr>
          <w:rFonts w:ascii="宋体" w:hAnsi="宋体" w:eastAsia="宋体" w:cs="宋体"/>
          <w:spacing w:val="-53"/>
          <w:sz w:val="24"/>
          <w:szCs w:val="24"/>
        </w:rPr>
        <w:t xml:space="preserve"> </w:t>
      </w:r>
      <w:r>
        <w:rPr>
          <w:rFonts w:ascii="宋体" w:hAnsi="宋体" w:eastAsia="宋体" w:cs="宋体"/>
          <w:spacing w:val="-3"/>
          <w:sz w:val="24"/>
          <w:szCs w:val="24"/>
        </w:rPr>
        <w:t>杉</w:t>
      </w:r>
      <w:r>
        <w:rPr>
          <w:rFonts w:ascii="宋体" w:hAnsi="宋体" w:eastAsia="宋体" w:cs="宋体"/>
          <w:spacing w:val="46"/>
          <w:sz w:val="24"/>
          <w:szCs w:val="24"/>
        </w:rPr>
        <w:t xml:space="preserve"> </w:t>
      </w:r>
      <w:r>
        <w:rPr>
          <w:rFonts w:ascii="Times New Roman" w:hAnsi="Times New Roman" w:eastAsia="Times New Roman" w:cs="Times New Roman"/>
          <w:i/>
          <w:iCs/>
          <w:spacing w:val="-3"/>
          <w:sz w:val="24"/>
          <w:szCs w:val="24"/>
        </w:rPr>
        <w:t>Keteleeria</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i/>
          <w:iCs/>
          <w:spacing w:val="-3"/>
          <w:sz w:val="24"/>
          <w:szCs w:val="24"/>
        </w:rPr>
        <w:t>evelyniana</w:t>
      </w:r>
      <w:r>
        <w:rPr>
          <w:rFonts w:ascii="Times New Roman" w:hAnsi="Times New Roman" w:eastAsia="Times New Roman" w:cs="Times New Roman"/>
          <w:i/>
          <w:iCs/>
          <w:spacing w:val="23"/>
          <w:w w:val="101"/>
          <w:sz w:val="24"/>
          <w:szCs w:val="24"/>
        </w:rPr>
        <w:t xml:space="preserve"> </w:t>
      </w:r>
      <w:r>
        <w:rPr>
          <w:rFonts w:ascii="宋体" w:hAnsi="宋体" w:eastAsia="宋体" w:cs="宋体"/>
          <w:spacing w:val="-3"/>
          <w:sz w:val="24"/>
          <w:szCs w:val="24"/>
        </w:rPr>
        <w:t>、</w:t>
      </w:r>
      <w:r>
        <w:rPr>
          <w:rFonts w:ascii="宋体" w:hAnsi="宋体" w:eastAsia="宋体" w:cs="宋体"/>
          <w:spacing w:val="-55"/>
          <w:sz w:val="24"/>
          <w:szCs w:val="24"/>
        </w:rPr>
        <w:t xml:space="preserve"> </w:t>
      </w:r>
      <w:r>
        <w:rPr>
          <w:rFonts w:ascii="宋体" w:hAnsi="宋体" w:eastAsia="宋体" w:cs="宋体"/>
          <w:spacing w:val="-3"/>
          <w:sz w:val="24"/>
          <w:szCs w:val="24"/>
        </w:rPr>
        <w:t>尼</w:t>
      </w:r>
      <w:r>
        <w:rPr>
          <w:rFonts w:ascii="宋体" w:hAnsi="宋体" w:eastAsia="宋体" w:cs="宋体"/>
          <w:spacing w:val="-49"/>
          <w:sz w:val="24"/>
          <w:szCs w:val="24"/>
        </w:rPr>
        <w:t xml:space="preserve"> </w:t>
      </w:r>
      <w:r>
        <w:rPr>
          <w:rFonts w:ascii="宋体" w:hAnsi="宋体" w:eastAsia="宋体" w:cs="宋体"/>
          <w:spacing w:val="-3"/>
          <w:sz w:val="24"/>
          <w:szCs w:val="24"/>
        </w:rPr>
        <w:t>泊</w:t>
      </w:r>
      <w:r>
        <w:rPr>
          <w:rFonts w:ascii="宋体" w:hAnsi="宋体" w:eastAsia="宋体" w:cs="宋体"/>
          <w:spacing w:val="-50"/>
          <w:sz w:val="24"/>
          <w:szCs w:val="24"/>
        </w:rPr>
        <w:t xml:space="preserve"> </w:t>
      </w:r>
      <w:r>
        <w:rPr>
          <w:rFonts w:ascii="宋体" w:hAnsi="宋体" w:eastAsia="宋体" w:cs="宋体"/>
          <w:spacing w:val="-3"/>
          <w:sz w:val="24"/>
          <w:szCs w:val="24"/>
        </w:rPr>
        <w:t>尔</w:t>
      </w:r>
      <w:r>
        <w:rPr>
          <w:rFonts w:ascii="宋体" w:hAnsi="宋体" w:eastAsia="宋体" w:cs="宋体"/>
          <w:spacing w:val="-55"/>
          <w:sz w:val="24"/>
          <w:szCs w:val="24"/>
        </w:rPr>
        <w:t xml:space="preserve"> </w:t>
      </w:r>
      <w:r>
        <w:rPr>
          <w:rFonts w:ascii="宋体" w:hAnsi="宋体" w:eastAsia="宋体" w:cs="宋体"/>
          <w:spacing w:val="-3"/>
          <w:sz w:val="24"/>
          <w:szCs w:val="24"/>
        </w:rPr>
        <w:t>桤</w:t>
      </w:r>
      <w:r>
        <w:rPr>
          <w:rFonts w:ascii="宋体" w:hAnsi="宋体" w:eastAsia="宋体" w:cs="宋体"/>
          <w:spacing w:val="-55"/>
          <w:sz w:val="24"/>
          <w:szCs w:val="24"/>
        </w:rPr>
        <w:t xml:space="preserve"> </w:t>
      </w:r>
      <w:r>
        <w:rPr>
          <w:rFonts w:ascii="宋体" w:hAnsi="宋体" w:eastAsia="宋体" w:cs="宋体"/>
          <w:spacing w:val="-3"/>
          <w:sz w:val="24"/>
          <w:szCs w:val="24"/>
        </w:rPr>
        <w:t>木</w:t>
      </w:r>
      <w:r>
        <w:rPr>
          <w:rFonts w:ascii="宋体" w:hAnsi="宋体" w:eastAsia="宋体" w:cs="宋体"/>
          <w:spacing w:val="41"/>
          <w:sz w:val="24"/>
          <w:szCs w:val="24"/>
        </w:rPr>
        <w:t xml:space="preserve"> </w:t>
      </w:r>
      <w:r>
        <w:rPr>
          <w:rFonts w:ascii="Times New Roman" w:hAnsi="Times New Roman" w:eastAsia="Times New Roman" w:cs="Times New Roman"/>
          <w:i/>
          <w:iCs/>
          <w:spacing w:val="-3"/>
          <w:sz w:val="24"/>
          <w:szCs w:val="24"/>
        </w:rPr>
        <w:t>Alnus  nepa</w:t>
      </w:r>
      <w:r>
        <w:rPr>
          <w:rFonts w:ascii="Times New Roman" w:hAnsi="Times New Roman" w:eastAsia="Times New Roman" w:cs="Times New Roman"/>
          <w:i/>
          <w:iCs/>
          <w:spacing w:val="-4"/>
          <w:sz w:val="24"/>
          <w:szCs w:val="24"/>
        </w:rPr>
        <w:t>lensis</w:t>
      </w:r>
      <w:r>
        <w:rPr>
          <w:rFonts w:ascii="Times New Roman" w:hAnsi="Times New Roman" w:eastAsia="Times New Roman" w:cs="Times New Roman"/>
          <w:i/>
          <w:iCs/>
          <w:spacing w:val="23"/>
          <w:sz w:val="24"/>
          <w:szCs w:val="24"/>
        </w:rPr>
        <w:t xml:space="preserve"> </w:t>
      </w:r>
      <w:r>
        <w:rPr>
          <w:rFonts w:ascii="宋体" w:hAnsi="宋体" w:eastAsia="宋体" w:cs="宋体"/>
          <w:spacing w:val="-4"/>
          <w:sz w:val="24"/>
          <w:szCs w:val="24"/>
        </w:rPr>
        <w:t>、</w:t>
      </w:r>
      <w:r>
        <w:rPr>
          <w:rFonts w:ascii="宋体" w:hAnsi="宋体" w:eastAsia="宋体" w:cs="宋体"/>
          <w:spacing w:val="-50"/>
          <w:sz w:val="24"/>
          <w:szCs w:val="24"/>
        </w:rPr>
        <w:t xml:space="preserve"> </w:t>
      </w:r>
      <w:r>
        <w:rPr>
          <w:rFonts w:ascii="宋体" w:hAnsi="宋体" w:eastAsia="宋体" w:cs="宋体"/>
          <w:spacing w:val="-4"/>
          <w:sz w:val="24"/>
          <w:szCs w:val="24"/>
        </w:rPr>
        <w:t>牛</w:t>
      </w:r>
      <w:r>
        <w:rPr>
          <w:rFonts w:ascii="宋体" w:hAnsi="宋体" w:eastAsia="宋体" w:cs="宋体"/>
          <w:spacing w:val="-51"/>
          <w:sz w:val="24"/>
          <w:szCs w:val="24"/>
        </w:rPr>
        <w:t xml:space="preserve"> </w:t>
      </w:r>
      <w:r>
        <w:rPr>
          <w:rFonts w:ascii="宋体" w:hAnsi="宋体" w:eastAsia="宋体" w:cs="宋体"/>
          <w:spacing w:val="-4"/>
          <w:sz w:val="24"/>
          <w:szCs w:val="24"/>
        </w:rPr>
        <w:t>筋</w:t>
      </w:r>
      <w:r>
        <w:rPr>
          <w:rFonts w:ascii="宋体" w:hAnsi="宋体" w:eastAsia="宋体" w:cs="宋体"/>
          <w:spacing w:val="-54"/>
          <w:sz w:val="24"/>
          <w:szCs w:val="24"/>
        </w:rPr>
        <w:t xml:space="preserve"> </w:t>
      </w:r>
      <w:r>
        <w:rPr>
          <w:rFonts w:ascii="宋体" w:hAnsi="宋体" w:eastAsia="宋体" w:cs="宋体"/>
          <w:spacing w:val="-4"/>
          <w:sz w:val="24"/>
          <w:szCs w:val="24"/>
        </w:rPr>
        <w:t xml:space="preserve">条 </w:t>
      </w:r>
      <w:r>
        <w:rPr>
          <w:rFonts w:ascii="Times New Roman" w:hAnsi="Times New Roman" w:eastAsia="Times New Roman" w:cs="Times New Roman"/>
          <w:i/>
          <w:iCs/>
          <w:sz w:val="24"/>
          <w:szCs w:val="24"/>
        </w:rPr>
        <w:t>Dichotomanthes</w:t>
      </w:r>
      <w:r>
        <w:rPr>
          <w:rFonts w:ascii="Times New Roman" w:hAnsi="Times New Roman" w:eastAsia="Times New Roman" w:cs="Times New Roman"/>
          <w:i/>
          <w:iCs/>
          <w:spacing w:val="40"/>
          <w:w w:val="101"/>
          <w:sz w:val="24"/>
          <w:szCs w:val="24"/>
        </w:rPr>
        <w:t xml:space="preserve"> </w:t>
      </w:r>
      <w:r>
        <w:rPr>
          <w:rFonts w:ascii="Times New Roman" w:hAnsi="Times New Roman" w:eastAsia="Times New Roman" w:cs="Times New Roman"/>
          <w:i/>
          <w:iCs/>
          <w:sz w:val="24"/>
          <w:szCs w:val="24"/>
        </w:rPr>
        <w:t>tristaniicar</w:t>
      </w:r>
      <w:r>
        <w:rPr>
          <w:rFonts w:ascii="Times New Roman" w:hAnsi="Times New Roman" w:eastAsia="Times New Roman" w:cs="Times New Roman"/>
          <w:i/>
          <w:iCs/>
          <w:spacing w:val="-1"/>
          <w:sz w:val="24"/>
          <w:szCs w:val="24"/>
        </w:rPr>
        <w:t>pa</w:t>
      </w:r>
      <w:r>
        <w:rPr>
          <w:rFonts w:ascii="宋体" w:hAnsi="宋体" w:eastAsia="宋体" w:cs="宋体"/>
          <w:spacing w:val="-1"/>
          <w:sz w:val="24"/>
          <w:szCs w:val="24"/>
        </w:rPr>
        <w:t xml:space="preserve">、清香木 </w:t>
      </w:r>
      <w:r>
        <w:rPr>
          <w:rFonts w:ascii="Times New Roman" w:hAnsi="Times New Roman" w:eastAsia="Times New Roman" w:cs="Times New Roman"/>
          <w:i/>
          <w:iCs/>
          <w:spacing w:val="-1"/>
          <w:sz w:val="24"/>
          <w:szCs w:val="24"/>
        </w:rPr>
        <w:t>Pistacia</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1"/>
          <w:sz w:val="24"/>
          <w:szCs w:val="24"/>
        </w:rPr>
        <w:t>weinmannifolia</w:t>
      </w:r>
      <w:r>
        <w:rPr>
          <w:rFonts w:ascii="宋体" w:hAnsi="宋体" w:eastAsia="宋体" w:cs="宋体"/>
          <w:spacing w:val="-1"/>
          <w:sz w:val="24"/>
          <w:szCs w:val="24"/>
        </w:rPr>
        <w:t xml:space="preserve">、栓皮栎 </w:t>
      </w:r>
      <w:r>
        <w:rPr>
          <w:rFonts w:ascii="Times New Roman" w:hAnsi="Times New Roman" w:eastAsia="Times New Roman" w:cs="Times New Roman"/>
          <w:i/>
          <w:iCs/>
          <w:spacing w:val="-1"/>
          <w:sz w:val="24"/>
          <w:szCs w:val="24"/>
        </w:rPr>
        <w:t xml:space="preserve">Quercus  </w:t>
      </w:r>
      <w:r>
        <w:rPr>
          <w:rFonts w:ascii="Times New Roman" w:hAnsi="Times New Roman" w:eastAsia="Times New Roman" w:cs="Times New Roman"/>
          <w:i/>
          <w:iCs/>
          <w:spacing w:val="-3"/>
          <w:sz w:val="24"/>
          <w:szCs w:val="24"/>
        </w:rPr>
        <w:t>variabilis</w:t>
      </w:r>
      <w:r>
        <w:rPr>
          <w:rFonts w:ascii="宋体" w:hAnsi="宋体" w:eastAsia="宋体" w:cs="宋体"/>
          <w:spacing w:val="-3"/>
          <w:sz w:val="24"/>
          <w:szCs w:val="24"/>
        </w:rPr>
        <w:t>、高山锥</w:t>
      </w:r>
      <w:r>
        <w:rPr>
          <w:rFonts w:ascii="宋体" w:hAnsi="宋体" w:eastAsia="宋体" w:cs="宋体"/>
          <w:spacing w:val="-38"/>
          <w:sz w:val="24"/>
          <w:szCs w:val="24"/>
        </w:rPr>
        <w:t xml:space="preserve"> </w:t>
      </w:r>
      <w:r>
        <w:rPr>
          <w:rFonts w:ascii="Times New Roman" w:hAnsi="Times New Roman" w:eastAsia="Times New Roman" w:cs="Times New Roman"/>
          <w:i/>
          <w:iCs/>
          <w:spacing w:val="-3"/>
          <w:sz w:val="24"/>
          <w:szCs w:val="24"/>
        </w:rPr>
        <w:t>Castanopsis delavayi</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、白柯</w:t>
      </w:r>
      <w:r>
        <w:rPr>
          <w:rFonts w:ascii="宋体" w:hAnsi="宋体" w:eastAsia="宋体" w:cs="宋体"/>
          <w:spacing w:val="-68"/>
          <w:sz w:val="24"/>
          <w:szCs w:val="24"/>
        </w:rPr>
        <w:t xml:space="preserve"> </w:t>
      </w:r>
      <w:r>
        <w:rPr>
          <w:rFonts w:ascii="Times New Roman" w:hAnsi="Times New Roman" w:eastAsia="Times New Roman" w:cs="Times New Roman"/>
          <w:i/>
          <w:iCs/>
          <w:spacing w:val="-3"/>
          <w:sz w:val="24"/>
          <w:szCs w:val="24"/>
        </w:rPr>
        <w:t>Lithocarpus</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pacing w:val="-3"/>
          <w:sz w:val="24"/>
          <w:szCs w:val="24"/>
        </w:rPr>
        <w:t>dealbatus</w:t>
      </w:r>
      <w:r>
        <w:rPr>
          <w:rFonts w:ascii="宋体" w:hAnsi="宋体" w:eastAsia="宋体" w:cs="宋体"/>
          <w:spacing w:val="-3"/>
          <w:sz w:val="24"/>
          <w:szCs w:val="24"/>
        </w:rPr>
        <w:t>、华山松</w:t>
      </w:r>
      <w:r>
        <w:rPr>
          <w:rFonts w:ascii="宋体" w:hAnsi="宋体" w:eastAsia="宋体" w:cs="宋体"/>
          <w:spacing w:val="-66"/>
          <w:sz w:val="24"/>
          <w:szCs w:val="24"/>
        </w:rPr>
        <w:t xml:space="preserve"> </w:t>
      </w:r>
      <w:r>
        <w:rPr>
          <w:rFonts w:ascii="Times New Roman" w:hAnsi="Times New Roman" w:eastAsia="Times New Roman" w:cs="Times New Roman"/>
          <w:i/>
          <w:iCs/>
          <w:spacing w:val="-3"/>
          <w:sz w:val="24"/>
          <w:szCs w:val="24"/>
        </w:rPr>
        <w:t>Pinus</w:t>
      </w:r>
    </w:p>
    <w:p>
      <w:pPr>
        <w:spacing w:line="233" w:lineRule="auto"/>
        <w:ind w:left="35"/>
        <w:rPr>
          <w:rFonts w:ascii="宋体" w:hAnsi="宋体" w:eastAsia="宋体" w:cs="宋体"/>
          <w:sz w:val="24"/>
          <w:szCs w:val="24"/>
        </w:rPr>
      </w:pPr>
      <w:r>
        <w:rPr>
          <w:rFonts w:ascii="Times New Roman" w:hAnsi="Times New Roman" w:eastAsia="Times New Roman" w:cs="Times New Roman"/>
          <w:i/>
          <w:iCs/>
          <w:spacing w:val="-2"/>
          <w:sz w:val="24"/>
          <w:szCs w:val="24"/>
        </w:rPr>
        <w:t xml:space="preserve">armandii </w:t>
      </w:r>
      <w:r>
        <w:rPr>
          <w:rFonts w:ascii="宋体" w:hAnsi="宋体" w:eastAsia="宋体" w:cs="宋体"/>
          <w:spacing w:val="-2"/>
          <w:sz w:val="24"/>
          <w:szCs w:val="24"/>
        </w:rPr>
        <w:t>等大树残留，但数量极为稀少。</w:t>
      </w:r>
    </w:p>
    <w:p>
      <w:pPr>
        <w:spacing w:before="164" w:line="360" w:lineRule="auto"/>
        <w:ind w:left="22" w:right="118" w:firstLine="499"/>
        <w:rPr>
          <w:rFonts w:ascii="宋体" w:hAnsi="宋体" w:eastAsia="宋体" w:cs="宋体"/>
          <w:sz w:val="24"/>
          <w:szCs w:val="24"/>
        </w:rPr>
      </w:pPr>
      <w:r>
        <w:rPr>
          <w:rFonts w:ascii="宋体" w:hAnsi="宋体" w:eastAsia="宋体" w:cs="宋体"/>
          <w:spacing w:val="-3"/>
          <w:sz w:val="24"/>
          <w:szCs w:val="24"/>
        </w:rPr>
        <w:t>灌木层盖度约为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55%</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，高度</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2~4m</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 xml:space="preserve">，灌木种类非常丰富，主要种类有珍珠花 </w:t>
      </w:r>
      <w:r>
        <w:rPr>
          <w:rFonts w:ascii="Times New Roman" w:hAnsi="Times New Roman" w:eastAsia="Times New Roman" w:cs="Times New Roman"/>
          <w:i/>
          <w:iCs/>
          <w:sz w:val="24"/>
          <w:szCs w:val="24"/>
        </w:rPr>
        <w:t>Lyonia ovalifolia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、火棘</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Pyracantha</w:t>
      </w:r>
      <w:r>
        <w:rPr>
          <w:rFonts w:ascii="Times New Roman" w:hAnsi="Times New Roman" w:eastAsia="Times New Roman" w:cs="Times New Roman"/>
          <w:i/>
          <w:iCs/>
          <w:spacing w:val="-43"/>
          <w:sz w:val="24"/>
          <w:szCs w:val="24"/>
        </w:rPr>
        <w:t xml:space="preserve"> </w:t>
      </w:r>
      <w:r>
        <w:rPr>
          <w:rFonts w:ascii="Times New Roman" w:hAnsi="Times New Roman" w:eastAsia="Times New Roman" w:cs="Times New Roman"/>
          <w:i/>
          <w:iCs/>
          <w:sz w:val="24"/>
          <w:szCs w:val="24"/>
        </w:rPr>
        <w:t>for</w:t>
      </w:r>
      <w:r>
        <w:rPr>
          <w:rFonts w:ascii="Times New Roman" w:hAnsi="Times New Roman" w:eastAsia="Times New Roman" w:cs="Times New Roman"/>
          <w:i/>
          <w:iCs/>
          <w:spacing w:val="-1"/>
          <w:sz w:val="24"/>
          <w:szCs w:val="24"/>
        </w:rPr>
        <w:t>tuneana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、马桑</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Coriaria nepalensis</w:t>
      </w:r>
      <w:r>
        <w:rPr>
          <w:rFonts w:ascii="宋体" w:hAnsi="宋体" w:eastAsia="宋体" w:cs="宋体"/>
          <w:spacing w:val="-1"/>
          <w:sz w:val="24"/>
          <w:szCs w:val="24"/>
        </w:rPr>
        <w:t xml:space="preserve">、长尖叶 </w:t>
      </w:r>
      <w:r>
        <w:rPr>
          <w:rFonts w:ascii="宋体" w:hAnsi="宋体" w:eastAsia="宋体" w:cs="宋体"/>
          <w:sz w:val="24"/>
          <w:szCs w:val="24"/>
        </w:rPr>
        <w:t>蔷薇</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Rosa longicuspis</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、铁仔</w:t>
      </w:r>
      <w:r>
        <w:rPr>
          <w:rFonts w:ascii="宋体" w:hAnsi="宋体" w:eastAsia="宋体" w:cs="宋体"/>
          <w:spacing w:val="-68"/>
          <w:sz w:val="24"/>
          <w:szCs w:val="24"/>
        </w:rPr>
        <w:t xml:space="preserve"> </w:t>
      </w:r>
      <w:r>
        <w:rPr>
          <w:rFonts w:ascii="Times New Roman" w:hAnsi="Times New Roman" w:eastAsia="Times New Roman" w:cs="Times New Roman"/>
          <w:i/>
          <w:iCs/>
          <w:sz w:val="24"/>
          <w:szCs w:val="24"/>
        </w:rPr>
        <w:t xml:space="preserve">Myrsine </w:t>
      </w:r>
      <w:r>
        <w:rPr>
          <w:rFonts w:ascii="Times New Roman" w:hAnsi="Times New Roman" w:eastAsia="Times New Roman" w:cs="Times New Roman"/>
          <w:i/>
          <w:iCs/>
          <w:spacing w:val="-1"/>
          <w:sz w:val="24"/>
          <w:szCs w:val="24"/>
        </w:rPr>
        <w:t>africana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、粉叶小檗</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Berberis</w:t>
      </w:r>
      <w:r>
        <w:rPr>
          <w:rFonts w:ascii="Times New Roman" w:hAnsi="Times New Roman" w:eastAsia="Times New Roman" w:cs="Times New Roman"/>
          <w:i/>
          <w:iCs/>
          <w:spacing w:val="-37"/>
          <w:sz w:val="24"/>
          <w:szCs w:val="24"/>
        </w:rPr>
        <w:t xml:space="preserve"> </w:t>
      </w:r>
      <w:r>
        <w:rPr>
          <w:rFonts w:ascii="Times New Roman" w:hAnsi="Times New Roman" w:eastAsia="Times New Roman" w:cs="Times New Roman"/>
          <w:i/>
          <w:iCs/>
          <w:spacing w:val="-1"/>
          <w:sz w:val="24"/>
          <w:szCs w:val="24"/>
        </w:rPr>
        <w:t>pruinosa</w:t>
      </w:r>
      <w:r>
        <w:rPr>
          <w:rFonts w:ascii="宋体" w:hAnsi="宋体" w:eastAsia="宋体" w:cs="宋体"/>
          <w:spacing w:val="-1"/>
          <w:sz w:val="24"/>
          <w:szCs w:val="24"/>
        </w:rPr>
        <w:t>、扁核 木</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Prinsepia</w:t>
      </w:r>
      <w:r>
        <w:rPr>
          <w:rFonts w:ascii="Times New Roman" w:hAnsi="Times New Roman" w:eastAsia="Times New Roman" w:cs="Times New Roman"/>
          <w:i/>
          <w:iCs/>
          <w:spacing w:val="26"/>
          <w:w w:val="101"/>
          <w:sz w:val="24"/>
          <w:szCs w:val="24"/>
        </w:rPr>
        <w:t xml:space="preserve"> </w:t>
      </w:r>
      <w:r>
        <w:rPr>
          <w:rFonts w:ascii="Times New Roman" w:hAnsi="Times New Roman" w:eastAsia="Times New Roman" w:cs="Times New Roman"/>
          <w:i/>
          <w:iCs/>
          <w:spacing w:val="-1"/>
          <w:sz w:val="24"/>
          <w:szCs w:val="24"/>
        </w:rPr>
        <w:t>utilis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、野拔子</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Elsholtzia</w:t>
      </w:r>
      <w:r>
        <w:rPr>
          <w:rFonts w:ascii="Times New Roman" w:hAnsi="Times New Roman" w:eastAsia="Times New Roman" w:cs="Times New Roman"/>
          <w:i/>
          <w:iCs/>
          <w:spacing w:val="25"/>
          <w:sz w:val="24"/>
          <w:szCs w:val="24"/>
        </w:rPr>
        <w:t xml:space="preserve"> </w:t>
      </w:r>
      <w:r>
        <w:rPr>
          <w:rFonts w:ascii="Times New Roman" w:hAnsi="Times New Roman" w:eastAsia="Times New Roman" w:cs="Times New Roman"/>
          <w:i/>
          <w:iCs/>
          <w:spacing w:val="-1"/>
          <w:sz w:val="24"/>
          <w:szCs w:val="24"/>
        </w:rPr>
        <w:t>rugulosa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、小雀花</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Camp</w:t>
      </w:r>
      <w:r>
        <w:rPr>
          <w:rFonts w:ascii="Times New Roman" w:hAnsi="Times New Roman" w:eastAsia="Times New Roman" w:cs="Times New Roman"/>
          <w:i/>
          <w:iCs/>
          <w:spacing w:val="-2"/>
          <w:sz w:val="24"/>
          <w:szCs w:val="24"/>
        </w:rPr>
        <w:t>ylotropis polyantha</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
          <w:sz w:val="24"/>
          <w:szCs w:val="24"/>
        </w:rPr>
        <w:t xml:space="preserve">西南栒子 </w:t>
      </w:r>
      <w:r>
        <w:rPr>
          <w:rFonts w:ascii="Times New Roman" w:hAnsi="Times New Roman" w:eastAsia="Times New Roman" w:cs="Times New Roman"/>
          <w:i/>
          <w:iCs/>
          <w:sz w:val="24"/>
          <w:szCs w:val="24"/>
        </w:rPr>
        <w:t>Cotoneaster franchetii</w:t>
      </w:r>
      <w:r>
        <w:rPr>
          <w:rFonts w:ascii="Times New Roman" w:hAnsi="Times New Roman" w:eastAsia="Times New Roman" w:cs="Times New Roman"/>
          <w:i/>
          <w:iCs/>
          <w:spacing w:val="-24"/>
          <w:sz w:val="24"/>
          <w:szCs w:val="24"/>
        </w:rPr>
        <w:t xml:space="preserve"> </w:t>
      </w:r>
      <w:r>
        <w:rPr>
          <w:rFonts w:ascii="宋体" w:hAnsi="宋体" w:eastAsia="宋体" w:cs="宋体"/>
          <w:spacing w:val="1"/>
          <w:sz w:val="24"/>
          <w:szCs w:val="24"/>
        </w:rPr>
        <w:t xml:space="preserve">、车桑子 </w:t>
      </w:r>
      <w:r>
        <w:rPr>
          <w:rFonts w:ascii="Times New Roman" w:hAnsi="Times New Roman" w:eastAsia="Times New Roman" w:cs="Times New Roman"/>
          <w:i/>
          <w:iCs/>
          <w:sz w:val="24"/>
          <w:szCs w:val="24"/>
        </w:rPr>
        <w:t>Dodonaea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viscosa</w:t>
      </w:r>
      <w:r>
        <w:rPr>
          <w:rFonts w:ascii="Times New Roman" w:hAnsi="Times New Roman" w:eastAsia="Times New Roman" w:cs="Times New Roman"/>
          <w:i/>
          <w:iCs/>
          <w:spacing w:val="-24"/>
          <w:sz w:val="24"/>
          <w:szCs w:val="24"/>
        </w:rPr>
        <w:t xml:space="preserve"> </w:t>
      </w:r>
      <w:r>
        <w:rPr>
          <w:rFonts w:ascii="宋体" w:hAnsi="宋体" w:eastAsia="宋体" w:cs="宋体"/>
          <w:spacing w:val="1"/>
          <w:sz w:val="24"/>
          <w:szCs w:val="24"/>
        </w:rPr>
        <w:t>、水红木</w:t>
      </w:r>
      <w:r>
        <w:rPr>
          <w:rFonts w:ascii="宋体" w:hAnsi="宋体" w:eastAsia="宋体" w:cs="宋体"/>
          <w:spacing w:val="37"/>
          <w:sz w:val="24"/>
          <w:szCs w:val="24"/>
        </w:rPr>
        <w:t xml:space="preserve"> </w:t>
      </w:r>
      <w:r>
        <w:rPr>
          <w:rFonts w:ascii="Times New Roman" w:hAnsi="Times New Roman" w:eastAsia="Times New Roman" w:cs="Times New Roman"/>
          <w:i/>
          <w:iCs/>
          <w:sz w:val="24"/>
          <w:szCs w:val="24"/>
        </w:rPr>
        <w:t>Viburnum</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cylindricum</w:t>
      </w:r>
      <w:r>
        <w:rPr>
          <w:rFonts w:ascii="Times New Roman" w:hAnsi="Times New Roman" w:eastAsia="Times New Roman" w:cs="Times New Roman"/>
          <w:i/>
          <w:iCs/>
          <w:spacing w:val="12"/>
          <w:sz w:val="24"/>
          <w:szCs w:val="24"/>
        </w:rPr>
        <w:t xml:space="preserve"> </w:t>
      </w:r>
      <w:r>
        <w:rPr>
          <w:rFonts w:ascii="宋体" w:hAnsi="宋体" w:eastAsia="宋体" w:cs="宋体"/>
          <w:spacing w:val="12"/>
          <w:sz w:val="24"/>
          <w:szCs w:val="24"/>
        </w:rPr>
        <w:t xml:space="preserve">、黄花稔 </w:t>
      </w:r>
      <w:r>
        <w:rPr>
          <w:rFonts w:ascii="Times New Roman" w:hAnsi="Times New Roman" w:eastAsia="Times New Roman" w:cs="Times New Roman"/>
          <w:i/>
          <w:iCs/>
          <w:sz w:val="24"/>
          <w:szCs w:val="24"/>
        </w:rPr>
        <w:t>Sidaszechuensis</w:t>
      </w:r>
      <w:r>
        <w:rPr>
          <w:rFonts w:ascii="Times New Roman" w:hAnsi="Times New Roman" w:eastAsia="Times New Roman" w:cs="Times New Roman"/>
          <w:i/>
          <w:iCs/>
          <w:spacing w:val="12"/>
          <w:sz w:val="24"/>
          <w:szCs w:val="24"/>
        </w:rPr>
        <w:t xml:space="preserve"> </w:t>
      </w:r>
      <w:r>
        <w:rPr>
          <w:rFonts w:ascii="宋体" w:hAnsi="宋体" w:eastAsia="宋体" w:cs="宋体"/>
          <w:spacing w:val="12"/>
          <w:sz w:val="24"/>
          <w:szCs w:val="24"/>
        </w:rPr>
        <w:t>、走</w:t>
      </w:r>
      <w:r>
        <w:rPr>
          <w:rFonts w:ascii="宋体" w:hAnsi="宋体" w:eastAsia="宋体" w:cs="宋体"/>
          <w:spacing w:val="-53"/>
          <w:sz w:val="24"/>
          <w:szCs w:val="24"/>
        </w:rPr>
        <w:t xml:space="preserve"> </w:t>
      </w:r>
      <w:r>
        <w:rPr>
          <w:rFonts w:ascii="宋体" w:hAnsi="宋体" w:eastAsia="宋体" w:cs="宋体"/>
          <w:spacing w:val="12"/>
          <w:sz w:val="24"/>
          <w:szCs w:val="24"/>
        </w:rPr>
        <w:t xml:space="preserve">马胎 </w:t>
      </w:r>
      <w:r>
        <w:rPr>
          <w:rFonts w:ascii="Times New Roman" w:hAnsi="Times New Roman" w:eastAsia="Times New Roman" w:cs="Times New Roman"/>
          <w:i/>
          <w:iCs/>
          <w:sz w:val="24"/>
          <w:szCs w:val="24"/>
        </w:rPr>
        <w:t>Ardisia</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z w:val="24"/>
          <w:szCs w:val="24"/>
        </w:rPr>
        <w:t>gigantifolia</w:t>
      </w:r>
      <w:r>
        <w:rPr>
          <w:rFonts w:ascii="Times New Roman" w:hAnsi="Times New Roman" w:eastAsia="Times New Roman" w:cs="Times New Roman"/>
          <w:i/>
          <w:iCs/>
          <w:spacing w:val="12"/>
          <w:sz w:val="24"/>
          <w:szCs w:val="24"/>
        </w:rPr>
        <w:t xml:space="preserve"> </w:t>
      </w:r>
      <w:r>
        <w:rPr>
          <w:rFonts w:ascii="宋体" w:hAnsi="宋体" w:eastAsia="宋体" w:cs="宋体"/>
          <w:spacing w:val="12"/>
          <w:sz w:val="24"/>
          <w:szCs w:val="24"/>
        </w:rPr>
        <w:t>、</w:t>
      </w:r>
      <w:r>
        <w:rPr>
          <w:rFonts w:ascii="宋体" w:hAnsi="宋体" w:eastAsia="宋体" w:cs="宋体"/>
          <w:spacing w:val="-68"/>
          <w:sz w:val="24"/>
          <w:szCs w:val="24"/>
        </w:rPr>
        <w:t xml:space="preserve"> </w:t>
      </w:r>
      <w:r>
        <w:rPr>
          <w:rFonts w:ascii="宋体" w:hAnsi="宋体" w:eastAsia="宋体" w:cs="宋体"/>
          <w:spacing w:val="12"/>
          <w:sz w:val="24"/>
          <w:szCs w:val="24"/>
        </w:rPr>
        <w:t xml:space="preserve">厚皮香 </w:t>
      </w:r>
      <w:r>
        <w:rPr>
          <w:rFonts w:ascii="Times New Roman" w:hAnsi="Times New Roman" w:eastAsia="Times New Roman" w:cs="Times New Roman"/>
          <w:i/>
          <w:iCs/>
          <w:spacing w:val="-1"/>
          <w:sz w:val="24"/>
          <w:szCs w:val="24"/>
        </w:rPr>
        <w:t>Ternstroemia</w:t>
      </w:r>
      <w:r>
        <w:rPr>
          <w:rFonts w:ascii="Times New Roman" w:hAnsi="Times New Roman" w:eastAsia="Times New Roman" w:cs="Times New Roman"/>
          <w:i/>
          <w:iCs/>
          <w:spacing w:val="23"/>
          <w:sz w:val="24"/>
          <w:szCs w:val="24"/>
        </w:rPr>
        <w:t xml:space="preserve"> </w:t>
      </w:r>
      <w:r>
        <w:rPr>
          <w:rFonts w:ascii="Times New Roman" w:hAnsi="Times New Roman" w:eastAsia="Times New Roman" w:cs="Times New Roman"/>
          <w:i/>
          <w:iCs/>
          <w:spacing w:val="-1"/>
          <w:sz w:val="24"/>
          <w:szCs w:val="24"/>
        </w:rPr>
        <w:t>gymnanthera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、栽秧</w:t>
      </w:r>
      <w:r>
        <w:rPr>
          <w:rFonts w:ascii="宋体" w:hAnsi="宋体" w:eastAsia="宋体" w:cs="宋体"/>
          <w:spacing w:val="-2"/>
          <w:sz w:val="24"/>
          <w:szCs w:val="24"/>
        </w:rPr>
        <w:t xml:space="preserve">泡 </w:t>
      </w:r>
      <w:r>
        <w:rPr>
          <w:rFonts w:ascii="Times New Roman" w:hAnsi="Times New Roman" w:eastAsia="Times New Roman" w:cs="Times New Roman"/>
          <w:i/>
          <w:iCs/>
          <w:spacing w:val="-2"/>
          <w:sz w:val="24"/>
          <w:szCs w:val="24"/>
        </w:rPr>
        <w:t>Rubus</w:t>
      </w:r>
      <w:r>
        <w:rPr>
          <w:rFonts w:ascii="Times New Roman" w:hAnsi="Times New Roman" w:eastAsia="Times New Roman" w:cs="Times New Roman"/>
          <w:i/>
          <w:iCs/>
          <w:spacing w:val="37"/>
          <w:w w:val="101"/>
          <w:sz w:val="24"/>
          <w:szCs w:val="24"/>
        </w:rPr>
        <w:t xml:space="preserve"> </w:t>
      </w:r>
      <w:r>
        <w:rPr>
          <w:rFonts w:ascii="Times New Roman" w:hAnsi="Times New Roman" w:eastAsia="Times New Roman" w:cs="Times New Roman"/>
          <w:i/>
          <w:iCs/>
          <w:spacing w:val="-2"/>
          <w:sz w:val="24"/>
          <w:szCs w:val="24"/>
        </w:rPr>
        <w:t>ellipticus</w:t>
      </w:r>
      <w:r>
        <w:rPr>
          <w:rFonts w:ascii="Times New Roman" w:hAnsi="Times New Roman" w:eastAsia="Times New Roman" w:cs="Times New Roman"/>
          <w:i/>
          <w:iCs/>
          <w:spacing w:val="32"/>
          <w:w w:val="101"/>
          <w:sz w:val="24"/>
          <w:szCs w:val="24"/>
        </w:rPr>
        <w:t xml:space="preserve"> </w:t>
      </w:r>
      <w:r>
        <w:rPr>
          <w:rFonts w:ascii="Times New Roman" w:hAnsi="Times New Roman" w:eastAsia="Times New Roman" w:cs="Times New Roman"/>
          <w:spacing w:val="-2"/>
          <w:sz w:val="24"/>
          <w:szCs w:val="24"/>
        </w:rPr>
        <w:t>var.</w:t>
      </w:r>
      <w:r>
        <w:rPr>
          <w:rFonts w:ascii="Times New Roman" w:hAnsi="Times New Roman" w:eastAsia="Times New Roman" w:cs="Times New Roman"/>
          <w:spacing w:val="36"/>
          <w:sz w:val="24"/>
          <w:szCs w:val="24"/>
        </w:rPr>
        <w:t xml:space="preserve"> </w:t>
      </w:r>
      <w:r>
        <w:rPr>
          <w:rFonts w:ascii="Times New Roman" w:hAnsi="Times New Roman" w:eastAsia="Times New Roman" w:cs="Times New Roman"/>
          <w:i/>
          <w:iCs/>
          <w:spacing w:val="-2"/>
          <w:sz w:val="24"/>
          <w:szCs w:val="24"/>
        </w:rPr>
        <w:t>obcordatus</w:t>
      </w:r>
      <w:r>
        <w:rPr>
          <w:rFonts w:ascii="宋体" w:hAnsi="宋体" w:eastAsia="宋体" w:cs="宋体"/>
          <w:spacing w:val="-2"/>
          <w:sz w:val="24"/>
          <w:szCs w:val="24"/>
        </w:rPr>
        <w:t>、华西小石积</w:t>
      </w:r>
    </w:p>
    <w:p>
      <w:pPr>
        <w:spacing w:line="212" w:lineRule="auto"/>
        <w:ind w:left="44"/>
        <w:rPr>
          <w:rFonts w:ascii="宋体" w:hAnsi="宋体" w:eastAsia="宋体" w:cs="宋体"/>
          <w:sz w:val="24"/>
          <w:szCs w:val="24"/>
        </w:rPr>
      </w:pPr>
      <w:r>
        <w:rPr>
          <w:rFonts w:ascii="Times New Roman" w:hAnsi="Times New Roman" w:eastAsia="Times New Roman" w:cs="Times New Roman"/>
          <w:i/>
          <w:iCs/>
          <w:spacing w:val="-1"/>
          <w:sz w:val="24"/>
          <w:szCs w:val="24"/>
        </w:rPr>
        <w:t>Osteomeles</w:t>
      </w:r>
      <w:r>
        <w:rPr>
          <w:rFonts w:ascii="Times New Roman" w:hAnsi="Times New Roman" w:eastAsia="Times New Roman" w:cs="Times New Roman"/>
          <w:i/>
          <w:iCs/>
          <w:spacing w:val="22"/>
          <w:sz w:val="24"/>
          <w:szCs w:val="24"/>
        </w:rPr>
        <w:t xml:space="preserve"> </w:t>
      </w:r>
      <w:r>
        <w:rPr>
          <w:rFonts w:ascii="Times New Roman" w:hAnsi="Times New Roman" w:eastAsia="Times New Roman" w:cs="Times New Roman"/>
          <w:i/>
          <w:iCs/>
          <w:spacing w:val="-1"/>
          <w:sz w:val="24"/>
          <w:szCs w:val="24"/>
        </w:rPr>
        <w:t>schwerinae</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、帚枝鼠李</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Rhamnus</w:t>
      </w:r>
      <w:r>
        <w:rPr>
          <w:rFonts w:ascii="Times New Roman" w:hAnsi="Times New Roman" w:eastAsia="Times New Roman" w:cs="Times New Roman"/>
          <w:i/>
          <w:iCs/>
          <w:spacing w:val="30"/>
          <w:sz w:val="24"/>
          <w:szCs w:val="24"/>
        </w:rPr>
        <w:t xml:space="preserve"> </w:t>
      </w:r>
      <w:r>
        <w:rPr>
          <w:rFonts w:ascii="Times New Roman" w:hAnsi="Times New Roman" w:eastAsia="Times New Roman" w:cs="Times New Roman"/>
          <w:i/>
          <w:iCs/>
          <w:spacing w:val="-1"/>
          <w:sz w:val="24"/>
          <w:szCs w:val="24"/>
        </w:rPr>
        <w:t>virgata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、石海椒</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Rein</w:t>
      </w:r>
      <w:r>
        <w:rPr>
          <w:rFonts w:ascii="Times New Roman" w:hAnsi="Times New Roman" w:eastAsia="Times New Roman" w:cs="Times New Roman"/>
          <w:i/>
          <w:iCs/>
          <w:spacing w:val="-2"/>
          <w:sz w:val="24"/>
          <w:szCs w:val="24"/>
        </w:rPr>
        <w:t>wardtia indica</w:t>
      </w:r>
      <w:r>
        <w:rPr>
          <w:rFonts w:ascii="宋体" w:hAnsi="宋体" w:eastAsia="宋体" w:cs="宋体"/>
          <w:spacing w:val="-2"/>
          <w:sz w:val="24"/>
          <w:szCs w:val="24"/>
        </w:rPr>
        <w:t>、</w:t>
      </w:r>
    </w:p>
    <w:p>
      <w:pPr>
        <w:spacing w:before="193" w:line="360" w:lineRule="auto"/>
        <w:ind w:left="35" w:firstLine="10"/>
        <w:rPr>
          <w:rFonts w:ascii="宋体" w:hAnsi="宋体" w:eastAsia="宋体" w:cs="宋体"/>
          <w:sz w:val="24"/>
          <w:szCs w:val="24"/>
        </w:rPr>
      </w:pPr>
      <w:r>
        <w:rPr>
          <w:rFonts w:ascii="宋体" w:hAnsi="宋体" w:eastAsia="宋体" w:cs="宋体"/>
          <w:spacing w:val="-3"/>
          <w:sz w:val="24"/>
          <w:szCs w:val="24"/>
        </w:rPr>
        <w:t>小叶女贞</w:t>
      </w:r>
      <w:r>
        <w:rPr>
          <w:rFonts w:ascii="宋体" w:hAnsi="宋体" w:eastAsia="宋体" w:cs="宋体"/>
          <w:spacing w:val="-68"/>
          <w:sz w:val="24"/>
          <w:szCs w:val="24"/>
        </w:rPr>
        <w:t xml:space="preserve"> </w:t>
      </w:r>
      <w:r>
        <w:rPr>
          <w:rFonts w:ascii="Times New Roman" w:hAnsi="Times New Roman" w:eastAsia="Times New Roman" w:cs="Times New Roman"/>
          <w:i/>
          <w:iCs/>
          <w:spacing w:val="-3"/>
          <w:sz w:val="24"/>
          <w:szCs w:val="24"/>
        </w:rPr>
        <w:t>Ligustrum quihoui</w:t>
      </w:r>
      <w:r>
        <w:rPr>
          <w:rFonts w:ascii="宋体" w:hAnsi="宋体" w:eastAsia="宋体" w:cs="宋体"/>
          <w:spacing w:val="-3"/>
          <w:sz w:val="24"/>
          <w:szCs w:val="24"/>
        </w:rPr>
        <w:t>、云南山蚂蝗</w:t>
      </w:r>
      <w:r>
        <w:rPr>
          <w:rFonts w:ascii="宋体" w:hAnsi="宋体" w:eastAsia="宋体" w:cs="宋体"/>
          <w:spacing w:val="-66"/>
          <w:sz w:val="24"/>
          <w:szCs w:val="24"/>
        </w:rPr>
        <w:t xml:space="preserve"> </w:t>
      </w:r>
      <w:r>
        <w:rPr>
          <w:rFonts w:ascii="Times New Roman" w:hAnsi="Times New Roman" w:eastAsia="Times New Roman" w:cs="Times New Roman"/>
          <w:i/>
          <w:iCs/>
          <w:spacing w:val="-3"/>
          <w:sz w:val="24"/>
          <w:szCs w:val="24"/>
        </w:rPr>
        <w:t>Desmodium</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3"/>
          <w:sz w:val="24"/>
          <w:szCs w:val="24"/>
        </w:rPr>
        <w:t>yunnanense</w:t>
      </w:r>
      <w:r>
        <w:rPr>
          <w:rFonts w:ascii="宋体" w:hAnsi="宋体" w:eastAsia="宋体" w:cs="宋体"/>
          <w:spacing w:val="-3"/>
          <w:sz w:val="24"/>
          <w:szCs w:val="24"/>
        </w:rPr>
        <w:t>、白背</w:t>
      </w:r>
      <w:r>
        <w:rPr>
          <w:rFonts w:ascii="宋体" w:hAnsi="宋体" w:eastAsia="宋体" w:cs="宋体"/>
          <w:spacing w:val="-4"/>
          <w:sz w:val="24"/>
          <w:szCs w:val="24"/>
        </w:rPr>
        <w:t>枫</w:t>
      </w:r>
      <w:r>
        <w:rPr>
          <w:rFonts w:ascii="宋体" w:hAnsi="宋体" w:eastAsia="宋体" w:cs="宋体"/>
          <w:spacing w:val="-65"/>
          <w:sz w:val="24"/>
          <w:szCs w:val="24"/>
        </w:rPr>
        <w:t xml:space="preserve"> </w:t>
      </w:r>
      <w:r>
        <w:rPr>
          <w:rFonts w:ascii="Times New Roman" w:hAnsi="Times New Roman" w:eastAsia="Times New Roman" w:cs="Times New Roman"/>
          <w:i/>
          <w:iCs/>
          <w:spacing w:val="-4"/>
          <w:sz w:val="24"/>
          <w:szCs w:val="24"/>
        </w:rPr>
        <w:t xml:space="preserve">Buddleja    </w:t>
      </w:r>
      <w:r>
        <w:rPr>
          <w:rFonts w:ascii="Times New Roman" w:hAnsi="Times New Roman" w:eastAsia="Times New Roman" w:cs="Times New Roman"/>
          <w:i/>
          <w:iCs/>
          <w:spacing w:val="-5"/>
          <w:sz w:val="24"/>
          <w:szCs w:val="24"/>
        </w:rPr>
        <w:t>asiatica</w:t>
      </w:r>
      <w:r>
        <w:rPr>
          <w:rFonts w:ascii="宋体" w:hAnsi="宋体" w:eastAsia="宋体" w:cs="宋体"/>
          <w:spacing w:val="-5"/>
          <w:sz w:val="24"/>
          <w:szCs w:val="24"/>
        </w:rPr>
        <w:t>、白刺花</w:t>
      </w:r>
      <w:r>
        <w:rPr>
          <w:rFonts w:ascii="宋体" w:hAnsi="宋体" w:eastAsia="宋体" w:cs="宋体"/>
          <w:spacing w:val="-72"/>
          <w:sz w:val="24"/>
          <w:szCs w:val="24"/>
        </w:rPr>
        <w:t xml:space="preserve"> </w:t>
      </w:r>
      <w:r>
        <w:rPr>
          <w:rFonts w:ascii="Times New Roman" w:hAnsi="Times New Roman" w:eastAsia="Times New Roman" w:cs="Times New Roman"/>
          <w:i/>
          <w:iCs/>
          <w:spacing w:val="-5"/>
          <w:sz w:val="24"/>
          <w:szCs w:val="24"/>
        </w:rPr>
        <w:t>Sophora davidii</w:t>
      </w:r>
      <w:r>
        <w:rPr>
          <w:rFonts w:ascii="宋体" w:hAnsi="宋体" w:eastAsia="宋体" w:cs="宋体"/>
          <w:spacing w:val="-5"/>
          <w:sz w:val="24"/>
          <w:szCs w:val="24"/>
        </w:rPr>
        <w:t>、滇鼠刺</w:t>
      </w:r>
      <w:r>
        <w:rPr>
          <w:rFonts w:ascii="Times New Roman" w:hAnsi="Times New Roman" w:eastAsia="Times New Roman" w:cs="Times New Roman"/>
          <w:i/>
          <w:iCs/>
          <w:spacing w:val="-5"/>
          <w:sz w:val="24"/>
          <w:szCs w:val="24"/>
        </w:rPr>
        <w:t>Itea</w:t>
      </w:r>
      <w:r>
        <w:rPr>
          <w:rFonts w:ascii="Times New Roman" w:hAnsi="Times New Roman" w:eastAsia="Times New Roman" w:cs="Times New Roman"/>
          <w:i/>
          <w:iCs/>
          <w:spacing w:val="-18"/>
          <w:sz w:val="24"/>
          <w:szCs w:val="24"/>
        </w:rPr>
        <w:t xml:space="preserve"> </w:t>
      </w:r>
      <w:r>
        <w:rPr>
          <w:rFonts w:ascii="Times New Roman" w:hAnsi="Times New Roman" w:eastAsia="Times New Roman" w:cs="Times New Roman"/>
          <w:i/>
          <w:iCs/>
          <w:spacing w:val="-5"/>
          <w:sz w:val="24"/>
          <w:szCs w:val="24"/>
        </w:rPr>
        <w:t>yunnanensis</w:t>
      </w:r>
      <w:r>
        <w:rPr>
          <w:rFonts w:ascii="宋体" w:hAnsi="宋体" w:eastAsia="宋体" w:cs="宋体"/>
          <w:spacing w:val="-5"/>
          <w:sz w:val="24"/>
          <w:szCs w:val="24"/>
        </w:rPr>
        <w:t>、沙针</w:t>
      </w:r>
      <w:r>
        <w:rPr>
          <w:rFonts w:ascii="宋体" w:hAnsi="宋体" w:eastAsia="宋体" w:cs="宋体"/>
          <w:spacing w:val="-59"/>
          <w:sz w:val="24"/>
          <w:szCs w:val="24"/>
        </w:rPr>
        <w:t xml:space="preserve"> </w:t>
      </w:r>
      <w:r>
        <w:rPr>
          <w:rFonts w:ascii="Times New Roman" w:hAnsi="Times New Roman" w:eastAsia="Times New Roman" w:cs="Times New Roman"/>
          <w:i/>
          <w:iCs/>
          <w:spacing w:val="-5"/>
          <w:sz w:val="24"/>
          <w:szCs w:val="24"/>
        </w:rPr>
        <w:t>Osyr</w:t>
      </w:r>
      <w:r>
        <w:rPr>
          <w:rFonts w:ascii="Times New Roman" w:hAnsi="Times New Roman" w:eastAsia="Times New Roman" w:cs="Times New Roman"/>
          <w:i/>
          <w:iCs/>
          <w:spacing w:val="-6"/>
          <w:sz w:val="24"/>
          <w:szCs w:val="24"/>
        </w:rPr>
        <w:t>is quadripartita</w:t>
      </w:r>
      <w:r>
        <w:rPr>
          <w:rFonts w:ascii="宋体" w:hAnsi="宋体" w:eastAsia="宋体" w:cs="宋体"/>
          <w:spacing w:val="-6"/>
          <w:sz w:val="24"/>
          <w:szCs w:val="24"/>
        </w:rPr>
        <w:t>、</w:t>
      </w:r>
    </w:p>
    <w:p>
      <w:pPr>
        <w:spacing w:line="212" w:lineRule="auto"/>
        <w:ind w:left="41"/>
        <w:rPr>
          <w:rFonts w:ascii="Times New Roman" w:hAnsi="Times New Roman" w:eastAsia="Times New Roman" w:cs="Times New Roman"/>
          <w:sz w:val="24"/>
          <w:szCs w:val="24"/>
        </w:rPr>
      </w:pPr>
      <w:r>
        <w:rPr>
          <w:rFonts w:ascii="宋体" w:hAnsi="宋体" w:eastAsia="宋体" w:cs="宋体"/>
          <w:sz w:val="24"/>
          <w:szCs w:val="24"/>
        </w:rPr>
        <w:t>美丽马醉木</w:t>
      </w:r>
      <w:r>
        <w:rPr>
          <w:rFonts w:ascii="宋体" w:hAnsi="宋体" w:eastAsia="宋体" w:cs="宋体"/>
          <w:spacing w:val="-42"/>
          <w:sz w:val="24"/>
          <w:szCs w:val="24"/>
        </w:rPr>
        <w:t xml:space="preserve"> </w:t>
      </w:r>
      <w:r>
        <w:rPr>
          <w:rFonts w:ascii="Times New Roman" w:hAnsi="Times New Roman" w:eastAsia="Times New Roman" w:cs="Times New Roman"/>
          <w:i/>
          <w:iCs/>
          <w:sz w:val="24"/>
          <w:szCs w:val="24"/>
        </w:rPr>
        <w:t>Pieris</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formosa</w:t>
      </w:r>
      <w:r>
        <w:rPr>
          <w:rFonts w:ascii="宋体" w:hAnsi="宋体" w:eastAsia="宋体" w:cs="宋体"/>
          <w:sz w:val="24"/>
          <w:szCs w:val="24"/>
        </w:rPr>
        <w:t>、长波叶山蚂蝗</w:t>
      </w:r>
      <w:r>
        <w:rPr>
          <w:rFonts w:ascii="宋体" w:hAnsi="宋体" w:eastAsia="宋体" w:cs="宋体"/>
          <w:spacing w:val="-47"/>
          <w:sz w:val="24"/>
          <w:szCs w:val="24"/>
        </w:rPr>
        <w:t xml:space="preserve"> </w:t>
      </w:r>
      <w:r>
        <w:rPr>
          <w:rFonts w:ascii="Times New Roman" w:hAnsi="Times New Roman" w:eastAsia="Times New Roman" w:cs="Times New Roman"/>
          <w:i/>
          <w:iCs/>
          <w:sz w:val="24"/>
          <w:szCs w:val="24"/>
        </w:rPr>
        <w:t>Desmodium sequax</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、云南杨梅</w:t>
      </w:r>
      <w:r>
        <w:rPr>
          <w:rFonts w:ascii="宋体" w:hAnsi="宋体" w:eastAsia="宋体" w:cs="宋体"/>
          <w:spacing w:val="-58"/>
          <w:sz w:val="24"/>
          <w:szCs w:val="24"/>
        </w:rPr>
        <w:t xml:space="preserve"> </w:t>
      </w:r>
      <w:r>
        <w:rPr>
          <w:rFonts w:ascii="Times New Roman" w:hAnsi="Times New Roman" w:eastAsia="Times New Roman" w:cs="Times New Roman"/>
          <w:i/>
          <w:iCs/>
          <w:sz w:val="24"/>
          <w:szCs w:val="24"/>
        </w:rPr>
        <w:t>Myrica</w:t>
      </w:r>
    </w:p>
    <w:p>
      <w:pPr>
        <w:spacing w:line="212" w:lineRule="auto"/>
        <w:rPr>
          <w:rFonts w:ascii="Times New Roman" w:hAnsi="Times New Roman" w:eastAsia="Times New Roman" w:cs="Times New Roman"/>
          <w:sz w:val="24"/>
          <w:szCs w:val="24"/>
        </w:rPr>
        <w:sectPr>
          <w:headerReference r:id="rId264" w:type="default"/>
          <w:footerReference r:id="rId265" w:type="default"/>
          <w:pgSz w:w="11907" w:h="16839"/>
          <w:pgMar w:top="1156" w:right="1594" w:bottom="1373" w:left="1770" w:header="881" w:footer="1210" w:gutter="0"/>
        </w:sectPr>
      </w:pPr>
    </w:p>
    <w:p>
      <w:pPr>
        <w:spacing w:line="317" w:lineRule="auto"/>
        <w:rPr>
          <w:rFonts w:ascii="Arial"/>
          <w:sz w:val="21"/>
        </w:rPr>
      </w:pPr>
    </w:p>
    <w:p>
      <w:pPr>
        <w:spacing w:before="78" w:line="360" w:lineRule="auto"/>
        <w:ind w:left="22" w:firstLine="11"/>
        <w:jc w:val="both"/>
        <w:rPr>
          <w:rFonts w:ascii="宋体" w:hAnsi="宋体" w:eastAsia="宋体" w:cs="宋体"/>
          <w:sz w:val="24"/>
          <w:szCs w:val="24"/>
        </w:rPr>
      </w:pPr>
      <w:r>
        <w:rPr>
          <w:rFonts w:ascii="Times New Roman" w:hAnsi="Times New Roman" w:eastAsia="Times New Roman" w:cs="Times New Roman"/>
          <w:i/>
          <w:iCs/>
          <w:spacing w:val="-5"/>
          <w:sz w:val="24"/>
          <w:szCs w:val="24"/>
        </w:rPr>
        <w:t>nana</w:t>
      </w:r>
      <w:r>
        <w:rPr>
          <w:rFonts w:ascii="宋体" w:hAnsi="宋体" w:eastAsia="宋体" w:cs="宋体"/>
          <w:spacing w:val="-5"/>
          <w:sz w:val="24"/>
          <w:szCs w:val="24"/>
        </w:rPr>
        <w:t>、云南含笑</w:t>
      </w:r>
      <w:r>
        <w:rPr>
          <w:rFonts w:ascii="宋体" w:hAnsi="宋体" w:eastAsia="宋体" w:cs="宋体"/>
          <w:spacing w:val="-69"/>
          <w:sz w:val="24"/>
          <w:szCs w:val="24"/>
        </w:rPr>
        <w:t xml:space="preserve"> </w:t>
      </w:r>
      <w:r>
        <w:rPr>
          <w:rFonts w:ascii="Times New Roman" w:hAnsi="Times New Roman" w:eastAsia="Times New Roman" w:cs="Times New Roman"/>
          <w:i/>
          <w:iCs/>
          <w:spacing w:val="-5"/>
          <w:sz w:val="24"/>
          <w:szCs w:val="24"/>
        </w:rPr>
        <w:t>Michelia</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pacing w:val="-5"/>
          <w:sz w:val="24"/>
          <w:szCs w:val="24"/>
        </w:rPr>
        <w:t>yunnanensis</w:t>
      </w:r>
      <w:r>
        <w:rPr>
          <w:rFonts w:ascii="宋体" w:hAnsi="宋体" w:eastAsia="宋体" w:cs="宋体"/>
          <w:spacing w:val="-5"/>
          <w:sz w:val="24"/>
          <w:szCs w:val="24"/>
        </w:rPr>
        <w:t>、梁王茶</w:t>
      </w:r>
      <w:r>
        <w:rPr>
          <w:rFonts w:ascii="宋体" w:hAnsi="宋体" w:eastAsia="宋体" w:cs="宋体"/>
          <w:spacing w:val="-70"/>
          <w:sz w:val="24"/>
          <w:szCs w:val="24"/>
        </w:rPr>
        <w:t xml:space="preserve"> </w:t>
      </w:r>
      <w:r>
        <w:rPr>
          <w:rFonts w:ascii="Times New Roman" w:hAnsi="Times New Roman" w:eastAsia="Times New Roman" w:cs="Times New Roman"/>
          <w:i/>
          <w:iCs/>
          <w:spacing w:val="-5"/>
          <w:sz w:val="24"/>
          <w:szCs w:val="24"/>
        </w:rPr>
        <w:t xml:space="preserve">Metapanax </w:t>
      </w:r>
      <w:r>
        <w:rPr>
          <w:rFonts w:ascii="Times New Roman" w:hAnsi="Times New Roman" w:eastAsia="Times New Roman" w:cs="Times New Roman"/>
          <w:i/>
          <w:iCs/>
          <w:spacing w:val="-6"/>
          <w:sz w:val="24"/>
          <w:szCs w:val="24"/>
        </w:rPr>
        <w:t>delavayi</w:t>
      </w:r>
      <w:r>
        <w:rPr>
          <w:rFonts w:ascii="宋体" w:hAnsi="宋体" w:eastAsia="宋体" w:cs="宋体"/>
          <w:spacing w:val="-6"/>
          <w:sz w:val="24"/>
          <w:szCs w:val="24"/>
        </w:rPr>
        <w:t>、密蒙花</w:t>
      </w:r>
      <w:r>
        <w:rPr>
          <w:rFonts w:ascii="宋体" w:hAnsi="宋体" w:eastAsia="宋体" w:cs="宋体"/>
          <w:spacing w:val="-66"/>
          <w:sz w:val="24"/>
          <w:szCs w:val="24"/>
        </w:rPr>
        <w:t xml:space="preserve"> </w:t>
      </w:r>
      <w:r>
        <w:rPr>
          <w:rFonts w:ascii="Times New Roman" w:hAnsi="Times New Roman" w:eastAsia="Times New Roman" w:cs="Times New Roman"/>
          <w:i/>
          <w:iCs/>
          <w:spacing w:val="-6"/>
          <w:sz w:val="24"/>
          <w:szCs w:val="24"/>
        </w:rPr>
        <w:t xml:space="preserve">Buddleja    </w:t>
      </w:r>
      <w:r>
        <w:rPr>
          <w:rFonts w:ascii="Times New Roman" w:hAnsi="Times New Roman" w:eastAsia="Times New Roman" w:cs="Times New Roman"/>
          <w:i/>
          <w:iCs/>
          <w:spacing w:val="-1"/>
          <w:sz w:val="24"/>
          <w:szCs w:val="24"/>
        </w:rPr>
        <w:t>officinalis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、水麻</w:t>
      </w:r>
      <w:r>
        <w:rPr>
          <w:rFonts w:ascii="宋体" w:hAnsi="宋体" w:eastAsia="宋体" w:cs="宋体"/>
          <w:spacing w:val="-47"/>
          <w:sz w:val="24"/>
          <w:szCs w:val="24"/>
        </w:rPr>
        <w:t xml:space="preserve"> </w:t>
      </w:r>
      <w:r>
        <w:rPr>
          <w:rFonts w:ascii="Times New Roman" w:hAnsi="Times New Roman" w:eastAsia="Times New Roman" w:cs="Times New Roman"/>
          <w:i/>
          <w:iCs/>
          <w:spacing w:val="-1"/>
          <w:sz w:val="24"/>
          <w:szCs w:val="24"/>
        </w:rPr>
        <w:t>Debregeasia</w:t>
      </w:r>
      <w:r>
        <w:rPr>
          <w:rFonts w:ascii="Times New Roman" w:hAnsi="Times New Roman" w:eastAsia="Times New Roman" w:cs="Times New Roman"/>
          <w:i/>
          <w:iCs/>
          <w:spacing w:val="37"/>
          <w:w w:val="101"/>
          <w:sz w:val="24"/>
          <w:szCs w:val="24"/>
        </w:rPr>
        <w:t xml:space="preserve"> </w:t>
      </w:r>
      <w:r>
        <w:rPr>
          <w:rFonts w:ascii="Times New Roman" w:hAnsi="Times New Roman" w:eastAsia="Times New Roman" w:cs="Times New Roman"/>
          <w:i/>
          <w:iCs/>
          <w:spacing w:val="-1"/>
          <w:sz w:val="24"/>
          <w:szCs w:val="24"/>
        </w:rPr>
        <w:t>orientalis</w:t>
      </w:r>
      <w:r>
        <w:rPr>
          <w:rFonts w:ascii="宋体" w:hAnsi="宋体" w:eastAsia="宋体" w:cs="宋体"/>
          <w:spacing w:val="-1"/>
          <w:sz w:val="24"/>
          <w:szCs w:val="24"/>
        </w:rPr>
        <w:t>、大白杜鹃</w:t>
      </w:r>
      <w:r>
        <w:rPr>
          <w:rFonts w:ascii="宋体" w:hAnsi="宋体" w:eastAsia="宋体" w:cs="宋体"/>
          <w:spacing w:val="-45"/>
          <w:sz w:val="24"/>
          <w:szCs w:val="24"/>
        </w:rPr>
        <w:t xml:space="preserve"> </w:t>
      </w:r>
      <w:r>
        <w:rPr>
          <w:rFonts w:ascii="Times New Roman" w:hAnsi="Times New Roman" w:eastAsia="Times New Roman" w:cs="Times New Roman"/>
          <w:i/>
          <w:iCs/>
          <w:spacing w:val="-1"/>
          <w:sz w:val="24"/>
          <w:szCs w:val="24"/>
        </w:rPr>
        <w:t>Rhododendron decor</w:t>
      </w:r>
      <w:r>
        <w:rPr>
          <w:rFonts w:ascii="Times New Roman" w:hAnsi="Times New Roman" w:eastAsia="Times New Roman" w:cs="Times New Roman"/>
          <w:i/>
          <w:iCs/>
          <w:spacing w:val="-2"/>
          <w:sz w:val="24"/>
          <w:szCs w:val="24"/>
        </w:rPr>
        <w:t>um</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 xml:space="preserve">、云上  </w:t>
      </w:r>
      <w:r>
        <w:rPr>
          <w:rFonts w:ascii="宋体" w:hAnsi="宋体" w:eastAsia="宋体" w:cs="宋体"/>
          <w:sz w:val="24"/>
          <w:szCs w:val="24"/>
        </w:rPr>
        <w:t xml:space="preserve">杜鹃 </w:t>
      </w:r>
      <w:r>
        <w:rPr>
          <w:rFonts w:ascii="Times New Roman" w:hAnsi="Times New Roman" w:eastAsia="Times New Roman" w:cs="Times New Roman"/>
          <w:i/>
          <w:iCs/>
          <w:sz w:val="24"/>
          <w:szCs w:val="24"/>
        </w:rPr>
        <w:t>Rhododendron</w:t>
      </w:r>
      <w:r>
        <w:rPr>
          <w:rFonts w:ascii="Times New Roman" w:hAnsi="Times New Roman" w:eastAsia="Times New Roman" w:cs="Times New Roman"/>
          <w:i/>
          <w:iCs/>
          <w:spacing w:val="-24"/>
          <w:sz w:val="24"/>
          <w:szCs w:val="24"/>
        </w:rPr>
        <w:t xml:space="preserve"> </w:t>
      </w:r>
      <w:r>
        <w:rPr>
          <w:rFonts w:ascii="Times New Roman" w:hAnsi="Times New Roman" w:eastAsia="Times New Roman" w:cs="Times New Roman"/>
          <w:i/>
          <w:iCs/>
          <w:sz w:val="24"/>
          <w:szCs w:val="24"/>
        </w:rPr>
        <w:t>pachypodum</w:t>
      </w:r>
      <w:r>
        <w:rPr>
          <w:rFonts w:ascii="宋体" w:hAnsi="宋体" w:eastAsia="宋体" w:cs="宋体"/>
          <w:sz w:val="24"/>
          <w:szCs w:val="24"/>
        </w:rPr>
        <w:t xml:space="preserve">、爆杖花 </w:t>
      </w:r>
      <w:r>
        <w:rPr>
          <w:rFonts w:ascii="Times New Roman" w:hAnsi="Times New Roman" w:eastAsia="Times New Roman" w:cs="Times New Roman"/>
          <w:i/>
          <w:iCs/>
          <w:sz w:val="24"/>
          <w:szCs w:val="24"/>
        </w:rPr>
        <w:t>Rhododendron spinuliferum</w:t>
      </w:r>
      <w:r>
        <w:rPr>
          <w:rFonts w:ascii="Times New Roman" w:hAnsi="Times New Roman" w:eastAsia="Times New Roman" w:cs="Times New Roman"/>
          <w:i/>
          <w:iCs/>
          <w:spacing w:val="-30"/>
          <w:sz w:val="24"/>
          <w:szCs w:val="24"/>
        </w:rPr>
        <w:t xml:space="preserve"> </w:t>
      </w:r>
      <w:r>
        <w:rPr>
          <w:rFonts w:ascii="宋体" w:hAnsi="宋体" w:eastAsia="宋体" w:cs="宋体"/>
          <w:sz w:val="24"/>
          <w:szCs w:val="24"/>
        </w:rPr>
        <w:t xml:space="preserve">、云南越桔  </w:t>
      </w:r>
      <w:r>
        <w:rPr>
          <w:rFonts w:ascii="Times New Roman" w:hAnsi="Times New Roman" w:eastAsia="Times New Roman" w:cs="Times New Roman"/>
          <w:i/>
          <w:iCs/>
          <w:spacing w:val="-4"/>
          <w:sz w:val="24"/>
          <w:szCs w:val="24"/>
        </w:rPr>
        <w:t>Vaccinium duclouxii</w:t>
      </w:r>
      <w:r>
        <w:rPr>
          <w:rFonts w:ascii="宋体" w:hAnsi="宋体" w:eastAsia="宋体" w:cs="宋体"/>
          <w:spacing w:val="-4"/>
          <w:sz w:val="24"/>
          <w:szCs w:val="24"/>
        </w:rPr>
        <w:t>、竹叶花椒</w:t>
      </w:r>
      <w:r>
        <w:rPr>
          <w:rFonts w:ascii="宋体" w:hAnsi="宋体" w:eastAsia="宋体" w:cs="宋体"/>
          <w:spacing w:val="-62"/>
          <w:sz w:val="24"/>
          <w:szCs w:val="24"/>
        </w:rPr>
        <w:t xml:space="preserve"> </w:t>
      </w:r>
      <w:r>
        <w:rPr>
          <w:rFonts w:ascii="Times New Roman" w:hAnsi="Times New Roman" w:eastAsia="Times New Roman" w:cs="Times New Roman"/>
          <w:i/>
          <w:iCs/>
          <w:spacing w:val="-4"/>
          <w:sz w:val="24"/>
          <w:szCs w:val="24"/>
        </w:rPr>
        <w:t>Zanthoxylum a</w:t>
      </w:r>
      <w:r>
        <w:rPr>
          <w:rFonts w:ascii="Times New Roman" w:hAnsi="Times New Roman" w:eastAsia="Times New Roman" w:cs="Times New Roman"/>
          <w:i/>
          <w:iCs/>
          <w:spacing w:val="-5"/>
          <w:sz w:val="24"/>
          <w:szCs w:val="24"/>
        </w:rPr>
        <w:t>rmatum</w:t>
      </w:r>
      <w:r>
        <w:rPr>
          <w:rFonts w:ascii="宋体" w:hAnsi="宋体" w:eastAsia="宋体" w:cs="宋体"/>
          <w:spacing w:val="-5"/>
          <w:sz w:val="24"/>
          <w:szCs w:val="24"/>
        </w:rPr>
        <w:t>、腺毛木蓝</w:t>
      </w:r>
      <w:r>
        <w:rPr>
          <w:rFonts w:ascii="宋体" w:hAnsi="宋体" w:eastAsia="宋体" w:cs="宋体"/>
          <w:spacing w:val="-69"/>
          <w:sz w:val="24"/>
          <w:szCs w:val="24"/>
        </w:rPr>
        <w:t xml:space="preserve"> </w:t>
      </w:r>
      <w:r>
        <w:rPr>
          <w:rFonts w:ascii="Times New Roman" w:hAnsi="Times New Roman" w:eastAsia="Times New Roman" w:cs="Times New Roman"/>
          <w:i/>
          <w:iCs/>
          <w:spacing w:val="-5"/>
          <w:sz w:val="24"/>
          <w:szCs w:val="24"/>
        </w:rPr>
        <w:t>Indigofera scabrida</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11"/>
          <w:sz w:val="24"/>
          <w:szCs w:val="24"/>
        </w:rPr>
        <w:t>杭子梢</w:t>
      </w:r>
      <w:r>
        <w:rPr>
          <w:rFonts w:ascii="宋体" w:hAnsi="宋体" w:eastAsia="宋体" w:cs="宋体"/>
          <w:spacing w:val="40"/>
          <w:sz w:val="24"/>
          <w:szCs w:val="24"/>
        </w:rPr>
        <w:t xml:space="preserve"> </w:t>
      </w:r>
      <w:r>
        <w:rPr>
          <w:rFonts w:ascii="Times New Roman" w:hAnsi="Times New Roman" w:eastAsia="Times New Roman" w:cs="Times New Roman"/>
          <w:i/>
          <w:iCs/>
          <w:sz w:val="24"/>
          <w:szCs w:val="24"/>
        </w:rPr>
        <w:t>Campylotropis</w:t>
      </w:r>
      <w:r>
        <w:rPr>
          <w:rFonts w:ascii="Times New Roman" w:hAnsi="Times New Roman" w:eastAsia="Times New Roman" w:cs="Times New Roman"/>
          <w:i/>
          <w:iCs/>
          <w:spacing w:val="52"/>
          <w:w w:val="101"/>
          <w:sz w:val="24"/>
          <w:szCs w:val="24"/>
        </w:rPr>
        <w:t xml:space="preserve"> </w:t>
      </w:r>
      <w:r>
        <w:rPr>
          <w:rFonts w:ascii="Times New Roman" w:hAnsi="Times New Roman" w:eastAsia="Times New Roman" w:cs="Times New Roman"/>
          <w:i/>
          <w:iCs/>
          <w:sz w:val="24"/>
          <w:szCs w:val="24"/>
        </w:rPr>
        <w:t>macrocarpa</w:t>
      </w:r>
      <w:r>
        <w:rPr>
          <w:rFonts w:ascii="Times New Roman" w:hAnsi="Times New Roman" w:eastAsia="Times New Roman" w:cs="Times New Roman"/>
          <w:i/>
          <w:iCs/>
          <w:spacing w:val="-10"/>
          <w:sz w:val="24"/>
          <w:szCs w:val="24"/>
        </w:rPr>
        <w:t xml:space="preserve"> </w:t>
      </w:r>
      <w:r>
        <w:rPr>
          <w:rFonts w:ascii="宋体" w:hAnsi="宋体" w:eastAsia="宋体" w:cs="宋体"/>
          <w:spacing w:val="11"/>
          <w:sz w:val="24"/>
          <w:szCs w:val="24"/>
        </w:rPr>
        <w:t xml:space="preserve">、川滇金丝桃 </w:t>
      </w:r>
      <w:r>
        <w:rPr>
          <w:rFonts w:ascii="Times New Roman" w:hAnsi="Times New Roman" w:eastAsia="Times New Roman" w:cs="Times New Roman"/>
          <w:i/>
          <w:iCs/>
          <w:sz w:val="24"/>
          <w:szCs w:val="24"/>
        </w:rPr>
        <w:t>Hypericum</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forrestii</w:t>
      </w:r>
      <w:r>
        <w:rPr>
          <w:rFonts w:ascii="Times New Roman" w:hAnsi="Times New Roman" w:eastAsia="Times New Roman" w:cs="Times New Roman"/>
          <w:i/>
          <w:iCs/>
          <w:spacing w:val="-11"/>
          <w:sz w:val="24"/>
          <w:szCs w:val="24"/>
        </w:rPr>
        <w:t xml:space="preserve"> </w:t>
      </w:r>
      <w:r>
        <w:rPr>
          <w:rFonts w:ascii="宋体" w:hAnsi="宋体" w:eastAsia="宋体" w:cs="宋体"/>
          <w:spacing w:val="11"/>
          <w:sz w:val="24"/>
          <w:szCs w:val="24"/>
        </w:rPr>
        <w:t xml:space="preserve">、乌鸦果  </w:t>
      </w:r>
      <w:r>
        <w:rPr>
          <w:rFonts w:ascii="Times New Roman" w:hAnsi="Times New Roman" w:eastAsia="Times New Roman" w:cs="Times New Roman"/>
          <w:i/>
          <w:iCs/>
          <w:sz w:val="24"/>
          <w:szCs w:val="24"/>
        </w:rPr>
        <w:t>Vaccinium</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fragile</w:t>
      </w:r>
      <w:r>
        <w:rPr>
          <w:rFonts w:ascii="Times New Roman" w:hAnsi="Times New Roman" w:eastAsia="Times New Roman" w:cs="Times New Roman"/>
          <w:i/>
          <w:iCs/>
          <w:spacing w:val="1"/>
          <w:sz w:val="24"/>
          <w:szCs w:val="24"/>
        </w:rPr>
        <w:t xml:space="preserve">  </w:t>
      </w:r>
      <w:r>
        <w:rPr>
          <w:rFonts w:ascii="宋体" w:hAnsi="宋体" w:eastAsia="宋体" w:cs="宋体"/>
          <w:spacing w:val="1"/>
          <w:sz w:val="24"/>
          <w:szCs w:val="24"/>
        </w:rPr>
        <w:t>等。相对来说群落中的乔木幼树种类也较多</w:t>
      </w:r>
      <w:r>
        <w:rPr>
          <w:rFonts w:ascii="宋体" w:hAnsi="宋体" w:eastAsia="宋体" w:cs="宋体"/>
          <w:sz w:val="24"/>
          <w:szCs w:val="24"/>
        </w:rPr>
        <w:t>，</w:t>
      </w:r>
      <w:r>
        <w:rPr>
          <w:rFonts w:ascii="宋体" w:hAnsi="宋体" w:eastAsia="宋体" w:cs="宋体"/>
          <w:spacing w:val="70"/>
          <w:sz w:val="24"/>
          <w:szCs w:val="24"/>
        </w:rPr>
        <w:t xml:space="preserve"> </w:t>
      </w:r>
      <w:r>
        <w:rPr>
          <w:rFonts w:ascii="宋体" w:hAnsi="宋体" w:eastAsia="宋体" w:cs="宋体"/>
          <w:sz w:val="24"/>
          <w:szCs w:val="24"/>
        </w:rPr>
        <w:t xml:space="preserve">主要以云南松  </w:t>
      </w:r>
      <w:r>
        <w:rPr>
          <w:rFonts w:ascii="Times New Roman" w:hAnsi="Times New Roman" w:eastAsia="Times New Roman" w:cs="Times New Roman"/>
          <w:i/>
          <w:iCs/>
          <w:spacing w:val="-4"/>
          <w:sz w:val="24"/>
          <w:szCs w:val="24"/>
        </w:rPr>
        <w:t>Pinus</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pacing w:val="-4"/>
          <w:sz w:val="24"/>
          <w:szCs w:val="24"/>
        </w:rPr>
        <w:t>yunnanensis</w:t>
      </w:r>
      <w:r>
        <w:rPr>
          <w:rFonts w:ascii="宋体" w:hAnsi="宋体" w:eastAsia="宋体" w:cs="宋体"/>
          <w:spacing w:val="-4"/>
          <w:sz w:val="24"/>
          <w:szCs w:val="24"/>
        </w:rPr>
        <w:t>、滇青冈</w:t>
      </w:r>
      <w:r>
        <w:rPr>
          <w:rFonts w:ascii="宋体" w:hAnsi="宋体" w:eastAsia="宋体" w:cs="宋体"/>
          <w:spacing w:val="-44"/>
          <w:sz w:val="24"/>
          <w:szCs w:val="24"/>
        </w:rPr>
        <w:t xml:space="preserve"> </w:t>
      </w:r>
      <w:r>
        <w:rPr>
          <w:rFonts w:ascii="Times New Roman" w:hAnsi="Times New Roman" w:eastAsia="Times New Roman" w:cs="Times New Roman"/>
          <w:i/>
          <w:iCs/>
          <w:spacing w:val="-4"/>
          <w:sz w:val="24"/>
          <w:szCs w:val="24"/>
        </w:rPr>
        <w:t>Cyclobalanopsis</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4"/>
          <w:sz w:val="24"/>
          <w:szCs w:val="24"/>
        </w:rPr>
        <w:t>glaucoides</w:t>
      </w:r>
      <w:r>
        <w:rPr>
          <w:rFonts w:ascii="宋体" w:hAnsi="宋体" w:eastAsia="宋体" w:cs="宋体"/>
          <w:spacing w:val="-4"/>
          <w:sz w:val="24"/>
          <w:szCs w:val="24"/>
        </w:rPr>
        <w:t>、高山锥</w:t>
      </w:r>
      <w:r>
        <w:rPr>
          <w:rFonts w:ascii="宋体" w:hAnsi="宋体" w:eastAsia="宋体" w:cs="宋体"/>
          <w:spacing w:val="-44"/>
          <w:sz w:val="24"/>
          <w:szCs w:val="24"/>
        </w:rPr>
        <w:t xml:space="preserve"> </w:t>
      </w:r>
      <w:r>
        <w:rPr>
          <w:rFonts w:ascii="Times New Roman" w:hAnsi="Times New Roman" w:eastAsia="Times New Roman" w:cs="Times New Roman"/>
          <w:i/>
          <w:iCs/>
          <w:spacing w:val="-4"/>
          <w:sz w:val="24"/>
          <w:szCs w:val="24"/>
        </w:rPr>
        <w:t>Castanopsis delavayi</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7"/>
          <w:sz w:val="24"/>
          <w:szCs w:val="24"/>
        </w:rPr>
        <w:t xml:space="preserve">西南木荷 </w:t>
      </w:r>
      <w:r>
        <w:rPr>
          <w:rFonts w:ascii="Times New Roman" w:hAnsi="Times New Roman" w:eastAsia="Times New Roman" w:cs="Times New Roman"/>
          <w:i/>
          <w:iCs/>
          <w:sz w:val="24"/>
          <w:szCs w:val="24"/>
        </w:rPr>
        <w:t>Schima</w:t>
      </w:r>
      <w:r>
        <w:rPr>
          <w:rFonts w:ascii="Times New Roman" w:hAnsi="Times New Roman" w:eastAsia="Times New Roman" w:cs="Times New Roman"/>
          <w:i/>
          <w:iCs/>
          <w:spacing w:val="48"/>
          <w:sz w:val="24"/>
          <w:szCs w:val="24"/>
        </w:rPr>
        <w:t xml:space="preserve"> </w:t>
      </w:r>
      <w:r>
        <w:rPr>
          <w:rFonts w:ascii="Times New Roman" w:hAnsi="Times New Roman" w:eastAsia="Times New Roman" w:cs="Times New Roman"/>
          <w:i/>
          <w:iCs/>
          <w:sz w:val="24"/>
          <w:szCs w:val="24"/>
        </w:rPr>
        <w:t>wallichii</w:t>
      </w:r>
      <w:r>
        <w:rPr>
          <w:rFonts w:ascii="宋体" w:hAnsi="宋体" w:eastAsia="宋体" w:cs="宋体"/>
          <w:spacing w:val="7"/>
          <w:sz w:val="24"/>
          <w:szCs w:val="24"/>
        </w:rPr>
        <w:t xml:space="preserve">、白柯 </w:t>
      </w:r>
      <w:r>
        <w:rPr>
          <w:rFonts w:ascii="Times New Roman" w:hAnsi="Times New Roman" w:eastAsia="Times New Roman" w:cs="Times New Roman"/>
          <w:i/>
          <w:iCs/>
          <w:sz w:val="24"/>
          <w:szCs w:val="24"/>
        </w:rPr>
        <w:t>Lithocarpus</w:t>
      </w:r>
      <w:r>
        <w:rPr>
          <w:rFonts w:ascii="Times New Roman" w:hAnsi="Times New Roman" w:eastAsia="Times New Roman" w:cs="Times New Roman"/>
          <w:i/>
          <w:iCs/>
          <w:spacing w:val="7"/>
          <w:sz w:val="24"/>
          <w:szCs w:val="24"/>
        </w:rPr>
        <w:t xml:space="preserve">  </w:t>
      </w:r>
      <w:r>
        <w:rPr>
          <w:rFonts w:ascii="Times New Roman" w:hAnsi="Times New Roman" w:eastAsia="Times New Roman" w:cs="Times New Roman"/>
          <w:i/>
          <w:iCs/>
          <w:sz w:val="24"/>
          <w:szCs w:val="24"/>
        </w:rPr>
        <w:t>dealbatus</w:t>
      </w:r>
      <w:r>
        <w:rPr>
          <w:rFonts w:ascii="Times New Roman" w:hAnsi="Times New Roman" w:eastAsia="Times New Roman" w:cs="Times New Roman"/>
          <w:i/>
          <w:iCs/>
          <w:spacing w:val="-16"/>
          <w:sz w:val="24"/>
          <w:szCs w:val="24"/>
        </w:rPr>
        <w:t xml:space="preserve"> </w:t>
      </w:r>
      <w:r>
        <w:rPr>
          <w:rFonts w:ascii="宋体" w:hAnsi="宋体" w:eastAsia="宋体" w:cs="宋体"/>
          <w:spacing w:val="7"/>
          <w:sz w:val="24"/>
          <w:szCs w:val="24"/>
        </w:rPr>
        <w:t xml:space="preserve">、云南油杉 </w:t>
      </w:r>
      <w:r>
        <w:rPr>
          <w:rFonts w:ascii="Times New Roman" w:hAnsi="Times New Roman" w:eastAsia="Times New Roman" w:cs="Times New Roman"/>
          <w:i/>
          <w:iCs/>
          <w:sz w:val="24"/>
          <w:szCs w:val="24"/>
        </w:rPr>
        <w:t>Keteleeria</w:t>
      </w:r>
      <w:r>
        <w:rPr>
          <w:rFonts w:ascii="Times New Roman" w:hAnsi="Times New Roman" w:eastAsia="Times New Roman" w:cs="Times New Roman"/>
          <w:i/>
          <w:iCs/>
          <w:spacing w:val="7"/>
          <w:sz w:val="24"/>
          <w:szCs w:val="24"/>
        </w:rPr>
        <w:t xml:space="preserve">    </w:t>
      </w:r>
      <w:r>
        <w:rPr>
          <w:rFonts w:ascii="Times New Roman" w:hAnsi="Times New Roman" w:eastAsia="Times New Roman" w:cs="Times New Roman"/>
          <w:i/>
          <w:iCs/>
          <w:spacing w:val="-5"/>
          <w:sz w:val="24"/>
          <w:szCs w:val="24"/>
        </w:rPr>
        <w:t>evelyniana</w:t>
      </w:r>
      <w:r>
        <w:rPr>
          <w:rFonts w:ascii="宋体" w:hAnsi="宋体" w:eastAsia="宋体" w:cs="宋体"/>
          <w:spacing w:val="-5"/>
          <w:sz w:val="24"/>
          <w:szCs w:val="24"/>
        </w:rPr>
        <w:t>、栓皮栎</w:t>
      </w:r>
      <w:r>
        <w:rPr>
          <w:rFonts w:ascii="宋体" w:hAnsi="宋体" w:eastAsia="宋体" w:cs="宋体"/>
          <w:spacing w:val="-34"/>
          <w:sz w:val="24"/>
          <w:szCs w:val="24"/>
        </w:rPr>
        <w:t xml:space="preserve"> </w:t>
      </w:r>
      <w:r>
        <w:rPr>
          <w:rFonts w:ascii="Times New Roman" w:hAnsi="Times New Roman" w:eastAsia="Times New Roman" w:cs="Times New Roman"/>
          <w:i/>
          <w:iCs/>
          <w:spacing w:val="-5"/>
          <w:sz w:val="24"/>
          <w:szCs w:val="24"/>
        </w:rPr>
        <w:t>Quercus variabilis</w:t>
      </w:r>
      <w:r>
        <w:rPr>
          <w:rFonts w:ascii="宋体" w:hAnsi="宋体" w:eastAsia="宋体" w:cs="宋体"/>
          <w:spacing w:val="-5"/>
          <w:sz w:val="24"/>
          <w:szCs w:val="24"/>
        </w:rPr>
        <w:t>、滇杨</w:t>
      </w:r>
      <w:r>
        <w:rPr>
          <w:rFonts w:ascii="宋体" w:hAnsi="宋体" w:eastAsia="宋体" w:cs="宋体"/>
          <w:spacing w:val="-68"/>
          <w:sz w:val="24"/>
          <w:szCs w:val="24"/>
        </w:rPr>
        <w:t xml:space="preserve"> </w:t>
      </w:r>
      <w:r>
        <w:rPr>
          <w:rFonts w:ascii="Times New Roman" w:hAnsi="Times New Roman" w:eastAsia="Times New Roman" w:cs="Times New Roman"/>
          <w:i/>
          <w:iCs/>
          <w:spacing w:val="-5"/>
          <w:sz w:val="24"/>
          <w:szCs w:val="24"/>
        </w:rPr>
        <w:t>Populus</w:t>
      </w:r>
      <w:r>
        <w:rPr>
          <w:rFonts w:ascii="Times New Roman" w:hAnsi="Times New Roman" w:eastAsia="Times New Roman" w:cs="Times New Roman"/>
          <w:i/>
          <w:iCs/>
          <w:spacing w:val="-32"/>
          <w:sz w:val="24"/>
          <w:szCs w:val="24"/>
        </w:rPr>
        <w:t xml:space="preserve"> </w:t>
      </w:r>
      <w:r>
        <w:rPr>
          <w:rFonts w:ascii="Times New Roman" w:hAnsi="Times New Roman" w:eastAsia="Times New Roman" w:cs="Times New Roman"/>
          <w:i/>
          <w:iCs/>
          <w:spacing w:val="-5"/>
          <w:sz w:val="24"/>
          <w:szCs w:val="24"/>
        </w:rPr>
        <w:t>yunnanensis</w:t>
      </w:r>
      <w:r>
        <w:rPr>
          <w:rFonts w:ascii="宋体" w:hAnsi="宋体" w:eastAsia="宋体" w:cs="宋体"/>
          <w:spacing w:val="-5"/>
          <w:sz w:val="24"/>
          <w:szCs w:val="24"/>
        </w:rPr>
        <w:t>、尼泊尔桤木</w:t>
      </w:r>
      <w:r>
        <w:rPr>
          <w:rFonts w:ascii="Times New Roman" w:hAnsi="Times New Roman" w:eastAsia="Times New Roman" w:cs="Times New Roman"/>
          <w:i/>
          <w:iCs/>
          <w:spacing w:val="-5"/>
          <w:sz w:val="24"/>
          <w:szCs w:val="24"/>
        </w:rPr>
        <w:t xml:space="preserve">Alnus    </w:t>
      </w:r>
      <w:r>
        <w:rPr>
          <w:rFonts w:ascii="Times New Roman" w:hAnsi="Times New Roman" w:eastAsia="Times New Roman" w:cs="Times New Roman"/>
          <w:i/>
          <w:iCs/>
          <w:spacing w:val="-1"/>
          <w:sz w:val="24"/>
          <w:szCs w:val="24"/>
        </w:rPr>
        <w:t>nepalensis</w:t>
      </w:r>
      <w:r>
        <w:rPr>
          <w:rFonts w:ascii="Times New Roman" w:hAnsi="Times New Roman" w:eastAsia="Times New Roman" w:cs="Times New Roman"/>
          <w:i/>
          <w:iCs/>
          <w:spacing w:val="-19"/>
          <w:sz w:val="24"/>
          <w:szCs w:val="24"/>
        </w:rPr>
        <w:t xml:space="preserve"> </w:t>
      </w:r>
      <w:r>
        <w:rPr>
          <w:rFonts w:ascii="宋体" w:hAnsi="宋体" w:eastAsia="宋体" w:cs="宋体"/>
          <w:spacing w:val="-1"/>
          <w:sz w:val="24"/>
          <w:szCs w:val="24"/>
        </w:rPr>
        <w:t>、清香木</w:t>
      </w:r>
      <w:r>
        <w:rPr>
          <w:rFonts w:ascii="宋体" w:hAnsi="宋体" w:eastAsia="宋体" w:cs="宋体"/>
          <w:spacing w:val="-40"/>
          <w:sz w:val="24"/>
          <w:szCs w:val="24"/>
        </w:rPr>
        <w:t xml:space="preserve"> </w:t>
      </w:r>
      <w:r>
        <w:rPr>
          <w:rFonts w:ascii="Times New Roman" w:hAnsi="Times New Roman" w:eastAsia="Times New Roman" w:cs="Times New Roman"/>
          <w:i/>
          <w:iCs/>
          <w:spacing w:val="-1"/>
          <w:sz w:val="24"/>
          <w:szCs w:val="24"/>
        </w:rPr>
        <w:t>Pistacia</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1"/>
          <w:sz w:val="24"/>
          <w:szCs w:val="24"/>
        </w:rPr>
        <w:t>weinmannifolia</w:t>
      </w:r>
      <w:r>
        <w:rPr>
          <w:rFonts w:ascii="宋体" w:hAnsi="宋体" w:eastAsia="宋体" w:cs="宋体"/>
          <w:spacing w:val="-1"/>
          <w:sz w:val="24"/>
          <w:szCs w:val="24"/>
        </w:rPr>
        <w:t xml:space="preserve">、黄毛青冈 </w:t>
      </w:r>
      <w:r>
        <w:rPr>
          <w:rFonts w:ascii="Times New Roman" w:hAnsi="Times New Roman" w:eastAsia="Times New Roman" w:cs="Times New Roman"/>
          <w:i/>
          <w:iCs/>
          <w:spacing w:val="-1"/>
          <w:sz w:val="24"/>
          <w:szCs w:val="24"/>
        </w:rPr>
        <w:t>Cyclobalanopsis delavayi</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0"/>
          <w:sz w:val="24"/>
          <w:szCs w:val="24"/>
        </w:rPr>
        <w:t>绒毛算盘子</w:t>
      </w:r>
      <w:r>
        <w:rPr>
          <w:rFonts w:ascii="宋体" w:hAnsi="宋体" w:eastAsia="宋体" w:cs="宋体"/>
          <w:spacing w:val="80"/>
          <w:sz w:val="24"/>
          <w:szCs w:val="24"/>
        </w:rPr>
        <w:t xml:space="preserve"> </w:t>
      </w:r>
      <w:r>
        <w:rPr>
          <w:rFonts w:ascii="Times New Roman" w:hAnsi="Times New Roman" w:eastAsia="Times New Roman" w:cs="Times New Roman"/>
          <w:i/>
          <w:iCs/>
          <w:sz w:val="24"/>
          <w:szCs w:val="24"/>
        </w:rPr>
        <w:t>Glochidion</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heyneanum</w:t>
      </w:r>
      <w:r>
        <w:rPr>
          <w:rFonts w:ascii="Times New Roman" w:hAnsi="Times New Roman" w:eastAsia="Times New Roman" w:cs="Times New Roman"/>
          <w:i/>
          <w:iCs/>
          <w:spacing w:val="19"/>
          <w:sz w:val="24"/>
          <w:szCs w:val="24"/>
        </w:rPr>
        <w:t xml:space="preserve"> </w:t>
      </w:r>
      <w:r>
        <w:rPr>
          <w:rFonts w:ascii="宋体" w:hAnsi="宋体" w:eastAsia="宋体" w:cs="宋体"/>
          <w:spacing w:val="10"/>
          <w:sz w:val="24"/>
          <w:szCs w:val="24"/>
        </w:rPr>
        <w:t>、</w:t>
      </w:r>
      <w:r>
        <w:rPr>
          <w:rFonts w:ascii="宋体" w:hAnsi="宋体" w:eastAsia="宋体" w:cs="宋体"/>
          <w:spacing w:val="-47"/>
          <w:sz w:val="24"/>
          <w:szCs w:val="24"/>
        </w:rPr>
        <w:t xml:space="preserve"> </w:t>
      </w:r>
      <w:r>
        <w:rPr>
          <w:rFonts w:ascii="宋体" w:hAnsi="宋体" w:eastAsia="宋体" w:cs="宋体"/>
          <w:spacing w:val="10"/>
          <w:sz w:val="24"/>
          <w:szCs w:val="24"/>
        </w:rPr>
        <w:t>窄</w:t>
      </w:r>
      <w:r>
        <w:rPr>
          <w:rFonts w:ascii="宋体" w:hAnsi="宋体" w:eastAsia="宋体" w:cs="宋体"/>
          <w:spacing w:val="-43"/>
          <w:sz w:val="24"/>
          <w:szCs w:val="24"/>
        </w:rPr>
        <w:t xml:space="preserve"> </w:t>
      </w:r>
      <w:r>
        <w:rPr>
          <w:rFonts w:ascii="宋体" w:hAnsi="宋体" w:eastAsia="宋体" w:cs="宋体"/>
          <w:spacing w:val="10"/>
          <w:sz w:val="24"/>
          <w:szCs w:val="24"/>
        </w:rPr>
        <w:t>叶</w:t>
      </w:r>
      <w:r>
        <w:rPr>
          <w:rFonts w:ascii="宋体" w:hAnsi="宋体" w:eastAsia="宋体" w:cs="宋体"/>
          <w:spacing w:val="-58"/>
          <w:sz w:val="24"/>
          <w:szCs w:val="24"/>
        </w:rPr>
        <w:t xml:space="preserve"> </w:t>
      </w:r>
      <w:r>
        <w:rPr>
          <w:rFonts w:ascii="宋体" w:hAnsi="宋体" w:eastAsia="宋体" w:cs="宋体"/>
          <w:spacing w:val="10"/>
          <w:sz w:val="24"/>
          <w:szCs w:val="24"/>
        </w:rPr>
        <w:t>柯</w:t>
      </w:r>
      <w:r>
        <w:rPr>
          <w:rFonts w:ascii="宋体" w:hAnsi="宋体" w:eastAsia="宋体" w:cs="宋体"/>
          <w:spacing w:val="43"/>
          <w:sz w:val="24"/>
          <w:szCs w:val="24"/>
        </w:rPr>
        <w:t xml:space="preserve"> </w:t>
      </w:r>
      <w:r>
        <w:rPr>
          <w:rFonts w:ascii="Times New Roman" w:hAnsi="Times New Roman" w:eastAsia="Times New Roman" w:cs="Times New Roman"/>
          <w:i/>
          <w:iCs/>
          <w:sz w:val="24"/>
          <w:szCs w:val="24"/>
        </w:rPr>
        <w:t>Lithocarpus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confinis</w:t>
      </w:r>
      <w:r>
        <w:rPr>
          <w:rFonts w:ascii="Times New Roman" w:hAnsi="Times New Roman" w:eastAsia="Times New Roman" w:cs="Times New Roman"/>
          <w:i/>
          <w:iCs/>
          <w:spacing w:val="18"/>
          <w:w w:val="101"/>
          <w:sz w:val="24"/>
          <w:szCs w:val="24"/>
        </w:rPr>
        <w:t xml:space="preserve"> </w:t>
      </w:r>
      <w:r>
        <w:rPr>
          <w:rFonts w:ascii="宋体" w:hAnsi="宋体" w:eastAsia="宋体" w:cs="宋体"/>
          <w:spacing w:val="10"/>
          <w:sz w:val="24"/>
          <w:szCs w:val="24"/>
        </w:rPr>
        <w:t>、</w:t>
      </w:r>
      <w:r>
        <w:rPr>
          <w:rFonts w:ascii="宋体" w:hAnsi="宋体" w:eastAsia="宋体" w:cs="宋体"/>
          <w:spacing w:val="-57"/>
          <w:sz w:val="24"/>
          <w:szCs w:val="24"/>
        </w:rPr>
        <w:t xml:space="preserve"> </w:t>
      </w:r>
      <w:r>
        <w:rPr>
          <w:rFonts w:ascii="宋体" w:hAnsi="宋体" w:eastAsia="宋体" w:cs="宋体"/>
          <w:spacing w:val="10"/>
          <w:sz w:val="24"/>
          <w:szCs w:val="24"/>
        </w:rPr>
        <w:t xml:space="preserve">余甘子  </w:t>
      </w:r>
      <w:r>
        <w:rPr>
          <w:rFonts w:ascii="Times New Roman" w:hAnsi="Times New Roman" w:eastAsia="Times New Roman" w:cs="Times New Roman"/>
          <w:i/>
          <w:iCs/>
          <w:spacing w:val="-1"/>
          <w:sz w:val="24"/>
          <w:szCs w:val="24"/>
        </w:rPr>
        <w:t>Phyllanthus</w:t>
      </w:r>
      <w:r>
        <w:rPr>
          <w:rFonts w:ascii="Times New Roman" w:hAnsi="Times New Roman" w:eastAsia="Times New Roman" w:cs="Times New Roman"/>
          <w:i/>
          <w:iCs/>
          <w:spacing w:val="39"/>
          <w:sz w:val="24"/>
          <w:szCs w:val="24"/>
        </w:rPr>
        <w:t xml:space="preserve"> </w:t>
      </w:r>
      <w:r>
        <w:rPr>
          <w:rFonts w:ascii="Times New Roman" w:hAnsi="Times New Roman" w:eastAsia="Times New Roman" w:cs="Times New Roman"/>
          <w:i/>
          <w:iCs/>
          <w:spacing w:val="-1"/>
          <w:sz w:val="24"/>
          <w:szCs w:val="24"/>
        </w:rPr>
        <w:t>emblica</w:t>
      </w:r>
      <w:r>
        <w:rPr>
          <w:rFonts w:ascii="Times New Roman" w:hAnsi="Times New Roman" w:eastAsia="Times New Roman" w:cs="Times New Roman"/>
          <w:i/>
          <w:iCs/>
          <w:spacing w:val="-26"/>
          <w:sz w:val="24"/>
          <w:szCs w:val="24"/>
        </w:rPr>
        <w:t xml:space="preserve"> </w:t>
      </w:r>
      <w:r>
        <w:rPr>
          <w:rFonts w:ascii="宋体" w:hAnsi="宋体" w:eastAsia="宋体" w:cs="宋体"/>
          <w:spacing w:val="-1"/>
          <w:sz w:val="24"/>
          <w:szCs w:val="24"/>
        </w:rPr>
        <w:t xml:space="preserve">、君迁子 </w:t>
      </w:r>
      <w:r>
        <w:rPr>
          <w:rFonts w:ascii="Times New Roman" w:hAnsi="Times New Roman" w:eastAsia="Times New Roman" w:cs="Times New Roman"/>
          <w:i/>
          <w:iCs/>
          <w:spacing w:val="-1"/>
          <w:sz w:val="24"/>
          <w:szCs w:val="24"/>
        </w:rPr>
        <w:t>Diospyros</w:t>
      </w:r>
      <w:r>
        <w:rPr>
          <w:rFonts w:ascii="Times New Roman" w:hAnsi="Times New Roman" w:eastAsia="Times New Roman" w:cs="Times New Roman"/>
          <w:i/>
          <w:iCs/>
          <w:spacing w:val="42"/>
          <w:w w:val="101"/>
          <w:sz w:val="24"/>
          <w:szCs w:val="24"/>
        </w:rPr>
        <w:t xml:space="preserve"> </w:t>
      </w:r>
      <w:r>
        <w:rPr>
          <w:rFonts w:ascii="Times New Roman" w:hAnsi="Times New Roman" w:eastAsia="Times New Roman" w:cs="Times New Roman"/>
          <w:i/>
          <w:iCs/>
          <w:spacing w:val="-1"/>
          <w:sz w:val="24"/>
          <w:szCs w:val="24"/>
        </w:rPr>
        <w:t>lotus</w:t>
      </w:r>
      <w:r>
        <w:rPr>
          <w:rFonts w:ascii="Times New Roman" w:hAnsi="Times New Roman" w:eastAsia="Times New Roman" w:cs="Times New Roman"/>
          <w:i/>
          <w:iCs/>
          <w:spacing w:val="-27"/>
          <w:sz w:val="24"/>
          <w:szCs w:val="24"/>
        </w:rPr>
        <w:t xml:space="preserve"> </w:t>
      </w:r>
      <w:r>
        <w:rPr>
          <w:rFonts w:ascii="宋体" w:hAnsi="宋体" w:eastAsia="宋体" w:cs="宋体"/>
          <w:spacing w:val="-1"/>
          <w:sz w:val="24"/>
          <w:szCs w:val="24"/>
        </w:rPr>
        <w:t xml:space="preserve">、四蕊朴 </w:t>
      </w:r>
      <w:r>
        <w:rPr>
          <w:rFonts w:ascii="Times New Roman" w:hAnsi="Times New Roman" w:eastAsia="Times New Roman" w:cs="Times New Roman"/>
          <w:i/>
          <w:iCs/>
          <w:spacing w:val="-1"/>
          <w:sz w:val="24"/>
          <w:szCs w:val="24"/>
        </w:rPr>
        <w:t>Celtis  tetrandra</w:t>
      </w:r>
      <w:r>
        <w:rPr>
          <w:rFonts w:ascii="Times New Roman" w:hAnsi="Times New Roman" w:eastAsia="Times New Roman" w:cs="Times New Roman"/>
          <w:i/>
          <w:iCs/>
          <w:spacing w:val="-26"/>
          <w:sz w:val="24"/>
          <w:szCs w:val="24"/>
        </w:rPr>
        <w:t xml:space="preserve"> </w:t>
      </w:r>
      <w:r>
        <w:rPr>
          <w:rFonts w:ascii="宋体" w:hAnsi="宋体" w:eastAsia="宋体" w:cs="宋体"/>
          <w:spacing w:val="-2"/>
          <w:sz w:val="24"/>
          <w:szCs w:val="24"/>
        </w:rPr>
        <w:t xml:space="preserve">、香叶树  </w:t>
      </w:r>
      <w:r>
        <w:rPr>
          <w:rFonts w:ascii="Times New Roman" w:hAnsi="Times New Roman" w:eastAsia="Times New Roman" w:cs="Times New Roman"/>
          <w:i/>
          <w:iCs/>
          <w:sz w:val="24"/>
          <w:szCs w:val="24"/>
        </w:rPr>
        <w:t>Lindera</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communis</w:t>
      </w:r>
      <w:r>
        <w:rPr>
          <w:rFonts w:ascii="Times New Roman" w:hAnsi="Times New Roman" w:eastAsia="Times New Roman" w:cs="Times New Roman"/>
          <w:i/>
          <w:iCs/>
          <w:spacing w:val="-26"/>
          <w:sz w:val="24"/>
          <w:szCs w:val="24"/>
        </w:rPr>
        <w:t xml:space="preserve"> </w:t>
      </w:r>
      <w:r>
        <w:rPr>
          <w:rFonts w:ascii="宋体" w:hAnsi="宋体" w:eastAsia="宋体" w:cs="宋体"/>
          <w:spacing w:val="1"/>
          <w:sz w:val="24"/>
          <w:szCs w:val="24"/>
        </w:rPr>
        <w:t>、四子柳</w:t>
      </w:r>
      <w:r>
        <w:rPr>
          <w:rFonts w:ascii="宋体" w:hAnsi="宋体" w:eastAsia="宋体" w:cs="宋体"/>
          <w:spacing w:val="-58"/>
          <w:sz w:val="24"/>
          <w:szCs w:val="24"/>
        </w:rPr>
        <w:t xml:space="preserve"> </w:t>
      </w:r>
      <w:r>
        <w:rPr>
          <w:rFonts w:ascii="Times New Roman" w:hAnsi="Times New Roman" w:eastAsia="Times New Roman" w:cs="Times New Roman"/>
          <w:i/>
          <w:iCs/>
          <w:sz w:val="24"/>
          <w:szCs w:val="24"/>
        </w:rPr>
        <w:t>Salix</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tetrasperma</w:t>
      </w:r>
      <w:r>
        <w:rPr>
          <w:rFonts w:ascii="Times New Roman" w:hAnsi="Times New Roman" w:eastAsia="Times New Roman" w:cs="Times New Roman"/>
          <w:i/>
          <w:iCs/>
          <w:spacing w:val="-35"/>
          <w:sz w:val="24"/>
          <w:szCs w:val="24"/>
        </w:rPr>
        <w:t xml:space="preserve"> </w:t>
      </w:r>
      <w:r>
        <w:rPr>
          <w:rFonts w:ascii="宋体" w:hAnsi="宋体" w:eastAsia="宋体" w:cs="宋体"/>
          <w:spacing w:val="1"/>
          <w:sz w:val="24"/>
          <w:szCs w:val="24"/>
        </w:rPr>
        <w:t>、川梨</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Pyruspashia</w:t>
      </w:r>
      <w:r>
        <w:rPr>
          <w:rFonts w:ascii="Times New Roman" w:hAnsi="Times New Roman" w:eastAsia="Times New Roman" w:cs="Times New Roman"/>
          <w:i/>
          <w:iCs/>
          <w:spacing w:val="1"/>
          <w:sz w:val="24"/>
          <w:szCs w:val="24"/>
        </w:rPr>
        <w:t xml:space="preserve"> </w:t>
      </w:r>
      <w:r>
        <w:rPr>
          <w:rFonts w:ascii="宋体" w:hAnsi="宋体" w:eastAsia="宋体" w:cs="宋体"/>
          <w:spacing w:val="1"/>
          <w:sz w:val="24"/>
          <w:szCs w:val="24"/>
        </w:rPr>
        <w:t>为主，说明该地</w:t>
      </w:r>
    </w:p>
    <w:p>
      <w:pPr>
        <w:spacing w:before="1" w:line="218" w:lineRule="auto"/>
        <w:ind w:left="57"/>
        <w:rPr>
          <w:rFonts w:ascii="宋体" w:hAnsi="宋体" w:eastAsia="宋体" w:cs="宋体"/>
          <w:sz w:val="24"/>
          <w:szCs w:val="24"/>
        </w:rPr>
      </w:pPr>
      <w:r>
        <w:rPr>
          <w:rFonts w:ascii="宋体" w:hAnsi="宋体" w:eastAsia="宋体" w:cs="宋体"/>
          <w:spacing w:val="-7"/>
          <w:sz w:val="24"/>
          <w:szCs w:val="24"/>
        </w:rPr>
        <w:t>区人为干扰比较大。</w:t>
      </w:r>
    </w:p>
    <w:p>
      <w:pPr>
        <w:spacing w:before="183" w:line="219" w:lineRule="auto"/>
        <w:ind w:left="521"/>
        <w:rPr>
          <w:rFonts w:ascii="宋体" w:hAnsi="宋体" w:eastAsia="宋体" w:cs="宋体"/>
          <w:sz w:val="24"/>
          <w:szCs w:val="24"/>
        </w:rPr>
      </w:pPr>
      <w:r>
        <w:rPr>
          <w:rFonts w:ascii="宋体" w:hAnsi="宋体" w:eastAsia="宋体" w:cs="宋体"/>
          <w:spacing w:val="-14"/>
          <w:sz w:val="24"/>
          <w:szCs w:val="24"/>
        </w:rPr>
        <w:t>草本层十分茂盛， 层盖度达到</w:t>
      </w:r>
      <w:r>
        <w:rPr>
          <w:rFonts w:ascii="宋体" w:hAnsi="宋体" w:eastAsia="宋体" w:cs="宋体"/>
          <w:spacing w:val="-18"/>
          <w:sz w:val="24"/>
          <w:szCs w:val="24"/>
        </w:rPr>
        <w:t xml:space="preserve"> </w:t>
      </w:r>
      <w:r>
        <w:rPr>
          <w:rFonts w:ascii="Times New Roman" w:hAnsi="Times New Roman" w:eastAsia="Times New Roman" w:cs="Times New Roman"/>
          <w:spacing w:val="-14"/>
          <w:sz w:val="24"/>
          <w:szCs w:val="24"/>
        </w:rPr>
        <w:t>100%</w:t>
      </w:r>
      <w:r>
        <w:rPr>
          <w:rFonts w:ascii="宋体" w:hAnsi="宋体" w:eastAsia="宋体" w:cs="宋体"/>
          <w:spacing w:val="-14"/>
          <w:sz w:val="24"/>
          <w:szCs w:val="24"/>
        </w:rPr>
        <w:t>，种类相对较单一，高度</w:t>
      </w:r>
      <w:r>
        <w:rPr>
          <w:rFonts w:ascii="宋体" w:hAnsi="宋体" w:eastAsia="宋体" w:cs="宋体"/>
          <w:spacing w:val="-51"/>
          <w:sz w:val="24"/>
          <w:szCs w:val="24"/>
        </w:rPr>
        <w:t xml:space="preserve"> </w:t>
      </w:r>
      <w:r>
        <w:rPr>
          <w:rFonts w:ascii="Times New Roman" w:hAnsi="Times New Roman" w:eastAsia="Times New Roman" w:cs="Times New Roman"/>
          <w:spacing w:val="-14"/>
          <w:sz w:val="24"/>
          <w:szCs w:val="24"/>
        </w:rPr>
        <w:t>0.5~2m</w:t>
      </w:r>
      <w:r>
        <w:rPr>
          <w:rFonts w:ascii="宋体" w:hAnsi="宋体" w:eastAsia="宋体" w:cs="宋体"/>
          <w:spacing w:val="-14"/>
          <w:sz w:val="24"/>
          <w:szCs w:val="24"/>
        </w:rPr>
        <w:t>。其中，</w:t>
      </w:r>
    </w:p>
    <w:p>
      <w:pPr>
        <w:spacing w:before="183" w:line="360" w:lineRule="auto"/>
        <w:ind w:left="3" w:right="204" w:firstLine="38"/>
        <w:rPr>
          <w:rFonts w:ascii="宋体" w:hAnsi="宋体" w:eastAsia="宋体" w:cs="宋体"/>
          <w:sz w:val="24"/>
          <w:szCs w:val="24"/>
        </w:rPr>
      </w:pPr>
      <w:r>
        <w:rPr>
          <w:rFonts w:ascii="宋体" w:hAnsi="宋体" w:eastAsia="宋体" w:cs="宋体"/>
          <w:spacing w:val="-1"/>
          <w:sz w:val="24"/>
          <w:szCs w:val="24"/>
        </w:rPr>
        <w:t>最具有优势的物种为黄茅</w:t>
      </w:r>
      <w:r>
        <w:rPr>
          <w:rFonts w:ascii="宋体" w:hAnsi="宋体" w:eastAsia="宋体" w:cs="宋体"/>
          <w:spacing w:val="-58"/>
          <w:sz w:val="24"/>
          <w:szCs w:val="24"/>
        </w:rPr>
        <w:t xml:space="preserve"> </w:t>
      </w:r>
      <w:r>
        <w:rPr>
          <w:rFonts w:ascii="Times New Roman" w:hAnsi="Times New Roman" w:eastAsia="Times New Roman" w:cs="Times New Roman"/>
          <w:i/>
          <w:iCs/>
          <w:spacing w:val="-1"/>
          <w:sz w:val="24"/>
          <w:szCs w:val="24"/>
        </w:rPr>
        <w:t>Heteropogon</w:t>
      </w:r>
      <w:r>
        <w:rPr>
          <w:rFonts w:ascii="Times New Roman" w:hAnsi="Times New Roman" w:eastAsia="Times New Roman" w:cs="Times New Roman"/>
          <w:i/>
          <w:iCs/>
          <w:spacing w:val="37"/>
          <w:sz w:val="24"/>
          <w:szCs w:val="24"/>
        </w:rPr>
        <w:t xml:space="preserve"> </w:t>
      </w:r>
      <w:r>
        <w:rPr>
          <w:rFonts w:ascii="Times New Roman" w:hAnsi="Times New Roman" w:eastAsia="Times New Roman" w:cs="Times New Roman"/>
          <w:i/>
          <w:iCs/>
          <w:spacing w:val="-1"/>
          <w:sz w:val="24"/>
          <w:szCs w:val="24"/>
        </w:rPr>
        <w:t>contortus</w:t>
      </w:r>
      <w:r>
        <w:rPr>
          <w:rFonts w:ascii="宋体" w:hAnsi="宋体" w:eastAsia="宋体" w:cs="宋体"/>
          <w:spacing w:val="-1"/>
          <w:sz w:val="24"/>
          <w:szCs w:val="24"/>
        </w:rPr>
        <w:t>，而蔗茅</w:t>
      </w:r>
      <w:r>
        <w:rPr>
          <w:rFonts w:ascii="宋体" w:hAnsi="宋体" w:eastAsia="宋体" w:cs="宋体"/>
          <w:spacing w:val="-64"/>
          <w:sz w:val="24"/>
          <w:szCs w:val="24"/>
        </w:rPr>
        <w:t xml:space="preserve"> </w:t>
      </w:r>
      <w:r>
        <w:rPr>
          <w:rFonts w:ascii="Times New Roman" w:hAnsi="Times New Roman" w:eastAsia="Times New Roman" w:cs="Times New Roman"/>
          <w:i/>
          <w:iCs/>
          <w:spacing w:val="-1"/>
          <w:sz w:val="24"/>
          <w:szCs w:val="24"/>
        </w:rPr>
        <w:t>Erianthus</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pacing w:val="-1"/>
          <w:sz w:val="24"/>
          <w:szCs w:val="24"/>
        </w:rPr>
        <w:t>rufipilus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、旱</w:t>
      </w:r>
      <w:r>
        <w:rPr>
          <w:rFonts w:ascii="宋体" w:hAnsi="宋体" w:eastAsia="宋体" w:cs="宋体"/>
          <w:sz w:val="24"/>
          <w:szCs w:val="24"/>
        </w:rPr>
        <w:t xml:space="preserve"> </w:t>
      </w:r>
      <w:r>
        <w:rPr>
          <w:rFonts w:ascii="宋体" w:hAnsi="宋体" w:eastAsia="宋体" w:cs="宋体"/>
          <w:spacing w:val="1"/>
          <w:sz w:val="24"/>
          <w:szCs w:val="24"/>
        </w:rPr>
        <w:t xml:space="preserve">茅 </w:t>
      </w:r>
      <w:r>
        <w:rPr>
          <w:rFonts w:ascii="Times New Roman" w:hAnsi="Times New Roman" w:eastAsia="Times New Roman" w:cs="Times New Roman"/>
          <w:i/>
          <w:iCs/>
          <w:sz w:val="24"/>
          <w:szCs w:val="24"/>
        </w:rPr>
        <w:t>Schizachyrium</w:t>
      </w:r>
      <w:r>
        <w:rPr>
          <w:rFonts w:ascii="Times New Roman" w:hAnsi="Times New Roman" w:eastAsia="Times New Roman" w:cs="Times New Roman"/>
          <w:i/>
          <w:iCs/>
          <w:spacing w:val="38"/>
          <w:w w:val="101"/>
          <w:sz w:val="24"/>
          <w:szCs w:val="24"/>
        </w:rPr>
        <w:t xml:space="preserve"> </w:t>
      </w:r>
      <w:r>
        <w:rPr>
          <w:rFonts w:ascii="Times New Roman" w:hAnsi="Times New Roman" w:eastAsia="Times New Roman" w:cs="Times New Roman"/>
          <w:i/>
          <w:iCs/>
          <w:sz w:val="24"/>
          <w:szCs w:val="24"/>
        </w:rPr>
        <w:t>delavayi</w:t>
      </w:r>
      <w:r>
        <w:rPr>
          <w:rFonts w:ascii="Times New Roman" w:hAnsi="Times New Roman" w:eastAsia="Times New Roman" w:cs="Times New Roman"/>
          <w:i/>
          <w:iCs/>
          <w:spacing w:val="-27"/>
          <w:sz w:val="24"/>
          <w:szCs w:val="24"/>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 xml:space="preserve">白健秆 </w:t>
      </w:r>
      <w:r>
        <w:rPr>
          <w:rFonts w:ascii="Times New Roman" w:hAnsi="Times New Roman" w:eastAsia="Times New Roman" w:cs="Times New Roman"/>
          <w:i/>
          <w:iCs/>
          <w:sz w:val="24"/>
          <w:szCs w:val="24"/>
        </w:rPr>
        <w:t>Eulalia</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pallens</w:t>
      </w:r>
      <w:r>
        <w:rPr>
          <w:rFonts w:ascii="Times New Roman" w:hAnsi="Times New Roman" w:eastAsia="Times New Roman" w:cs="Times New Roman"/>
          <w:i/>
          <w:iCs/>
          <w:spacing w:val="-27"/>
          <w:sz w:val="24"/>
          <w:szCs w:val="24"/>
        </w:rPr>
        <w:t xml:space="preserve"> </w:t>
      </w:r>
      <w:r>
        <w:rPr>
          <w:rFonts w:ascii="宋体" w:hAnsi="宋体" w:eastAsia="宋体" w:cs="宋体"/>
          <w:spacing w:val="1"/>
          <w:sz w:val="24"/>
          <w:szCs w:val="24"/>
        </w:rPr>
        <w:t xml:space="preserve">、假苇拂子茅 </w:t>
      </w:r>
      <w:r>
        <w:rPr>
          <w:rFonts w:ascii="Times New Roman" w:hAnsi="Times New Roman" w:eastAsia="Times New Roman" w:cs="Times New Roman"/>
          <w:i/>
          <w:iCs/>
          <w:sz w:val="24"/>
          <w:szCs w:val="24"/>
        </w:rPr>
        <w:t>Calamagrostis pseudophragmites</w:t>
      </w:r>
      <w:r>
        <w:rPr>
          <w:rFonts w:ascii="Times New Roman" w:hAnsi="Times New Roman" w:eastAsia="Times New Roman" w:cs="Times New Roman"/>
          <w:i/>
          <w:iCs/>
          <w:spacing w:val="-32"/>
          <w:sz w:val="24"/>
          <w:szCs w:val="24"/>
        </w:rPr>
        <w:t xml:space="preserve"> </w:t>
      </w:r>
      <w:r>
        <w:rPr>
          <w:rFonts w:ascii="宋体" w:hAnsi="宋体" w:eastAsia="宋体" w:cs="宋体"/>
          <w:sz w:val="24"/>
          <w:szCs w:val="24"/>
        </w:rPr>
        <w:t xml:space="preserve">、孟加拉野古草 </w:t>
      </w:r>
      <w:r>
        <w:rPr>
          <w:rFonts w:ascii="Times New Roman" w:hAnsi="Times New Roman" w:eastAsia="Times New Roman" w:cs="Times New Roman"/>
          <w:i/>
          <w:iCs/>
          <w:sz w:val="24"/>
          <w:szCs w:val="24"/>
        </w:rPr>
        <w:t>Arundinella</w:t>
      </w:r>
      <w:r>
        <w:rPr>
          <w:rFonts w:ascii="Times New Roman" w:hAnsi="Times New Roman" w:eastAsia="Times New Roman" w:cs="Times New Roman"/>
          <w:i/>
          <w:iCs/>
          <w:spacing w:val="36"/>
          <w:w w:val="101"/>
          <w:sz w:val="24"/>
          <w:szCs w:val="24"/>
        </w:rPr>
        <w:t xml:space="preserve"> </w:t>
      </w:r>
      <w:r>
        <w:rPr>
          <w:rFonts w:ascii="Times New Roman" w:hAnsi="Times New Roman" w:eastAsia="Times New Roman" w:cs="Times New Roman"/>
          <w:i/>
          <w:iCs/>
          <w:sz w:val="24"/>
          <w:szCs w:val="24"/>
        </w:rPr>
        <w:t>bengal</w:t>
      </w:r>
      <w:r>
        <w:rPr>
          <w:rFonts w:ascii="Times New Roman" w:hAnsi="Times New Roman" w:eastAsia="Times New Roman" w:cs="Times New Roman"/>
          <w:i/>
          <w:iCs/>
          <w:spacing w:val="-1"/>
          <w:sz w:val="24"/>
          <w:szCs w:val="24"/>
        </w:rPr>
        <w:t>ensis</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 xml:space="preserve">、华北剪股颖 </w:t>
      </w:r>
      <w:r>
        <w:rPr>
          <w:rFonts w:ascii="Times New Roman" w:hAnsi="Times New Roman" w:eastAsia="Times New Roman" w:cs="Times New Roman"/>
          <w:i/>
          <w:iCs/>
          <w:spacing w:val="-1"/>
          <w:sz w:val="24"/>
          <w:szCs w:val="24"/>
        </w:rPr>
        <w:t>Agrostis</w:t>
      </w:r>
      <w:r>
        <w:rPr>
          <w:rFonts w:ascii="Times New Roman" w:hAnsi="Times New Roman" w:eastAsia="Times New Roman" w:cs="Times New Roman"/>
          <w:i/>
          <w:iCs/>
          <w:sz w:val="24"/>
          <w:szCs w:val="24"/>
        </w:rPr>
        <w:t xml:space="preserve"> clavata</w:t>
      </w:r>
      <w:r>
        <w:rPr>
          <w:rFonts w:ascii="Times New Roman" w:hAnsi="Times New Roman" w:eastAsia="Times New Roman" w:cs="Times New Roman"/>
          <w:i/>
          <w:iCs/>
          <w:spacing w:val="-29"/>
          <w:sz w:val="24"/>
          <w:szCs w:val="24"/>
        </w:rPr>
        <w:t xml:space="preserve"> </w:t>
      </w:r>
      <w:r>
        <w:rPr>
          <w:rFonts w:ascii="宋体" w:hAnsi="宋体" w:eastAsia="宋体" w:cs="宋体"/>
          <w:sz w:val="24"/>
          <w:szCs w:val="24"/>
        </w:rPr>
        <w:t>、细柄草</w:t>
      </w:r>
      <w:r>
        <w:rPr>
          <w:rFonts w:ascii="宋体" w:hAnsi="宋体" w:eastAsia="宋体" w:cs="宋体"/>
          <w:spacing w:val="-39"/>
          <w:sz w:val="24"/>
          <w:szCs w:val="24"/>
        </w:rPr>
        <w:t xml:space="preserve"> </w:t>
      </w:r>
      <w:r>
        <w:rPr>
          <w:rFonts w:ascii="Times New Roman" w:hAnsi="Times New Roman" w:eastAsia="Times New Roman" w:cs="Times New Roman"/>
          <w:i/>
          <w:iCs/>
          <w:sz w:val="24"/>
          <w:szCs w:val="24"/>
        </w:rPr>
        <w:t>Capillipediumparviflorum</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、阿拉伯黄背草</w:t>
      </w:r>
      <w:r>
        <w:rPr>
          <w:rFonts w:ascii="宋体" w:hAnsi="宋体" w:eastAsia="宋体" w:cs="宋体"/>
          <w:spacing w:val="-38"/>
          <w:sz w:val="24"/>
          <w:szCs w:val="24"/>
        </w:rPr>
        <w:t xml:space="preserve"> </w:t>
      </w:r>
      <w:r>
        <w:rPr>
          <w:rFonts w:ascii="Times New Roman" w:hAnsi="Times New Roman" w:eastAsia="Times New Roman" w:cs="Times New Roman"/>
          <w:i/>
          <w:iCs/>
          <w:sz w:val="24"/>
          <w:szCs w:val="24"/>
        </w:rPr>
        <w:t>Themeda triandra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 xml:space="preserve">、知 </w:t>
      </w:r>
      <w:r>
        <w:rPr>
          <w:rFonts w:ascii="宋体" w:hAnsi="宋体" w:eastAsia="宋体" w:cs="宋体"/>
          <w:spacing w:val="-2"/>
          <w:sz w:val="24"/>
          <w:szCs w:val="24"/>
        </w:rPr>
        <w:t>风草</w:t>
      </w:r>
      <w:r>
        <w:rPr>
          <w:rFonts w:ascii="宋体" w:hAnsi="宋体" w:eastAsia="宋体" w:cs="宋体"/>
          <w:spacing w:val="-61"/>
          <w:sz w:val="24"/>
          <w:szCs w:val="24"/>
        </w:rPr>
        <w:t xml:space="preserve"> </w:t>
      </w:r>
      <w:r>
        <w:rPr>
          <w:rFonts w:ascii="Times New Roman" w:hAnsi="Times New Roman" w:eastAsia="Times New Roman" w:cs="Times New Roman"/>
          <w:i/>
          <w:iCs/>
          <w:spacing w:val="-2"/>
          <w:sz w:val="24"/>
          <w:szCs w:val="24"/>
        </w:rPr>
        <w:t>Eragrostis</w:t>
      </w:r>
      <w:r>
        <w:rPr>
          <w:rFonts w:ascii="Times New Roman" w:hAnsi="Times New Roman" w:eastAsia="Times New Roman" w:cs="Times New Roman"/>
          <w:i/>
          <w:iCs/>
          <w:spacing w:val="-57"/>
          <w:sz w:val="24"/>
          <w:szCs w:val="24"/>
        </w:rPr>
        <w:t xml:space="preserve"> </w:t>
      </w:r>
      <w:r>
        <w:rPr>
          <w:rFonts w:ascii="Times New Roman" w:hAnsi="Times New Roman" w:eastAsia="Times New Roman" w:cs="Times New Roman"/>
          <w:i/>
          <w:iCs/>
          <w:spacing w:val="-2"/>
          <w:sz w:val="24"/>
          <w:szCs w:val="24"/>
        </w:rPr>
        <w:t>ferruginea</w:t>
      </w:r>
      <w:r>
        <w:rPr>
          <w:rFonts w:ascii="宋体" w:hAnsi="宋体" w:eastAsia="宋体" w:cs="宋体"/>
          <w:spacing w:val="-2"/>
          <w:sz w:val="24"/>
          <w:szCs w:val="24"/>
        </w:rPr>
        <w:t>、刺芒野古草</w:t>
      </w:r>
      <w:r>
        <w:rPr>
          <w:rFonts w:ascii="宋体" w:hAnsi="宋体" w:eastAsia="宋体" w:cs="宋体"/>
          <w:spacing w:val="-71"/>
          <w:sz w:val="24"/>
          <w:szCs w:val="24"/>
        </w:rPr>
        <w:t xml:space="preserve"> </w:t>
      </w:r>
      <w:r>
        <w:rPr>
          <w:rFonts w:ascii="Times New Roman" w:hAnsi="Times New Roman" w:eastAsia="Times New Roman" w:cs="Times New Roman"/>
          <w:i/>
          <w:iCs/>
          <w:spacing w:val="-2"/>
          <w:sz w:val="24"/>
          <w:szCs w:val="24"/>
        </w:rPr>
        <w:t>Arundinella</w:t>
      </w:r>
      <w:r>
        <w:rPr>
          <w:rFonts w:ascii="Times New Roman" w:hAnsi="Times New Roman" w:eastAsia="Times New Roman" w:cs="Times New Roman"/>
          <w:i/>
          <w:iCs/>
          <w:spacing w:val="-18"/>
          <w:sz w:val="24"/>
          <w:szCs w:val="24"/>
        </w:rPr>
        <w:t xml:space="preserve"> </w:t>
      </w:r>
      <w:r>
        <w:rPr>
          <w:rFonts w:ascii="Times New Roman" w:hAnsi="Times New Roman" w:eastAsia="Times New Roman" w:cs="Times New Roman"/>
          <w:i/>
          <w:iCs/>
          <w:spacing w:val="-2"/>
          <w:sz w:val="24"/>
          <w:szCs w:val="24"/>
        </w:rPr>
        <w:t>setosa</w:t>
      </w:r>
      <w:r>
        <w:rPr>
          <w:rFonts w:ascii="宋体" w:hAnsi="宋体" w:eastAsia="宋体" w:cs="宋体"/>
          <w:spacing w:val="-2"/>
          <w:sz w:val="24"/>
          <w:szCs w:val="24"/>
        </w:rPr>
        <w:t>、荩草</w:t>
      </w:r>
      <w:r>
        <w:rPr>
          <w:rFonts w:ascii="宋体" w:hAnsi="宋体" w:eastAsia="宋体" w:cs="宋体"/>
          <w:spacing w:val="-71"/>
          <w:sz w:val="24"/>
          <w:szCs w:val="24"/>
        </w:rPr>
        <w:t xml:space="preserve"> </w:t>
      </w:r>
      <w:r>
        <w:rPr>
          <w:rFonts w:ascii="Times New Roman" w:hAnsi="Times New Roman" w:eastAsia="Times New Roman" w:cs="Times New Roman"/>
          <w:i/>
          <w:iCs/>
          <w:spacing w:val="-2"/>
          <w:sz w:val="24"/>
          <w:szCs w:val="24"/>
        </w:rPr>
        <w:t>Arthraxon hispidus</w:t>
      </w:r>
      <w:r>
        <w:rPr>
          <w:rFonts w:ascii="Times New Roman" w:hAnsi="Times New Roman" w:eastAsia="Times New Roman" w:cs="Times New Roman"/>
          <w:i/>
          <w:iCs/>
          <w:sz w:val="24"/>
          <w:szCs w:val="24"/>
        </w:rPr>
        <w:t xml:space="preserve"> </w:t>
      </w:r>
      <w:r>
        <w:rPr>
          <w:rFonts w:ascii="宋体" w:hAnsi="宋体" w:eastAsia="宋体" w:cs="宋体"/>
          <w:spacing w:val="-7"/>
          <w:sz w:val="24"/>
          <w:szCs w:val="24"/>
        </w:rPr>
        <w:t>等禾本科较为繁盛，</w:t>
      </w:r>
      <w:r>
        <w:rPr>
          <w:rFonts w:ascii="宋体" w:hAnsi="宋体" w:eastAsia="宋体" w:cs="宋体"/>
          <w:spacing w:val="55"/>
          <w:sz w:val="24"/>
          <w:szCs w:val="24"/>
        </w:rPr>
        <w:t xml:space="preserve"> </w:t>
      </w:r>
      <w:r>
        <w:rPr>
          <w:rFonts w:ascii="宋体" w:hAnsi="宋体" w:eastAsia="宋体" w:cs="宋体"/>
          <w:spacing w:val="-7"/>
          <w:sz w:val="24"/>
          <w:szCs w:val="24"/>
        </w:rPr>
        <w:t>分布较广，数量也较多，在局部区域能形成单优群落。其他</w:t>
      </w:r>
    </w:p>
    <w:p>
      <w:pPr>
        <w:spacing w:line="212" w:lineRule="auto"/>
        <w:ind w:left="59"/>
        <w:rPr>
          <w:rFonts w:ascii="宋体" w:hAnsi="宋体" w:eastAsia="宋体" w:cs="宋体"/>
          <w:sz w:val="24"/>
          <w:szCs w:val="24"/>
        </w:rPr>
      </w:pPr>
      <w:r>
        <w:rPr>
          <w:rFonts w:ascii="宋体" w:hAnsi="宋体" w:eastAsia="宋体" w:cs="宋体"/>
          <w:spacing w:val="-6"/>
          <w:sz w:val="24"/>
          <w:szCs w:val="24"/>
        </w:rPr>
        <w:t>的常见的草本植物有： 破坏草</w:t>
      </w:r>
      <w:r>
        <w:rPr>
          <w:rFonts w:ascii="宋体" w:hAnsi="宋体" w:eastAsia="宋体" w:cs="宋体"/>
          <w:spacing w:val="-62"/>
          <w:sz w:val="24"/>
          <w:szCs w:val="24"/>
        </w:rPr>
        <w:t xml:space="preserve"> </w:t>
      </w:r>
      <w:r>
        <w:rPr>
          <w:rFonts w:ascii="Times New Roman" w:hAnsi="Times New Roman" w:eastAsia="Times New Roman" w:cs="Times New Roman"/>
          <w:i/>
          <w:iCs/>
          <w:spacing w:val="-6"/>
          <w:sz w:val="24"/>
          <w:szCs w:val="24"/>
        </w:rPr>
        <w:t>Ageratina adenophora</w:t>
      </w:r>
      <w:r>
        <w:rPr>
          <w:rFonts w:ascii="宋体" w:hAnsi="宋体" w:eastAsia="宋体" w:cs="宋体"/>
          <w:spacing w:val="-6"/>
          <w:sz w:val="24"/>
          <w:szCs w:val="24"/>
        </w:rPr>
        <w:t>、牛口刺</w:t>
      </w:r>
      <w:r>
        <w:rPr>
          <w:rFonts w:ascii="宋体" w:hAnsi="宋体" w:eastAsia="宋体" w:cs="宋体"/>
          <w:spacing w:val="-43"/>
          <w:sz w:val="24"/>
          <w:szCs w:val="24"/>
        </w:rPr>
        <w:t xml:space="preserve"> </w:t>
      </w:r>
      <w:r>
        <w:rPr>
          <w:rFonts w:ascii="Times New Roman" w:hAnsi="Times New Roman" w:eastAsia="Times New Roman" w:cs="Times New Roman"/>
          <w:i/>
          <w:iCs/>
          <w:spacing w:val="-6"/>
          <w:sz w:val="24"/>
          <w:szCs w:val="24"/>
        </w:rPr>
        <w:t>Cirsium</w:t>
      </w:r>
      <w:r>
        <w:rPr>
          <w:rFonts w:ascii="Times New Roman" w:hAnsi="Times New Roman" w:eastAsia="Times New Roman" w:cs="Times New Roman"/>
          <w:i/>
          <w:iCs/>
          <w:spacing w:val="-17"/>
          <w:sz w:val="24"/>
          <w:szCs w:val="24"/>
        </w:rPr>
        <w:t xml:space="preserve"> </w:t>
      </w:r>
      <w:r>
        <w:rPr>
          <w:rFonts w:ascii="Times New Roman" w:hAnsi="Times New Roman" w:eastAsia="Times New Roman" w:cs="Times New Roman"/>
          <w:i/>
          <w:iCs/>
          <w:spacing w:val="-6"/>
          <w:sz w:val="24"/>
          <w:szCs w:val="24"/>
        </w:rPr>
        <w:t>shansiense</w:t>
      </w:r>
      <w:r>
        <w:rPr>
          <w:rFonts w:ascii="宋体" w:hAnsi="宋体" w:eastAsia="宋体" w:cs="宋体"/>
          <w:spacing w:val="-6"/>
          <w:sz w:val="24"/>
          <w:szCs w:val="24"/>
        </w:rPr>
        <w:t>、</w:t>
      </w:r>
    </w:p>
    <w:p>
      <w:pPr>
        <w:spacing w:before="192" w:line="468" w:lineRule="exact"/>
        <w:ind w:left="38"/>
        <w:rPr>
          <w:rFonts w:ascii="宋体" w:hAnsi="宋体" w:eastAsia="宋体" w:cs="宋体"/>
          <w:sz w:val="24"/>
          <w:szCs w:val="24"/>
        </w:rPr>
      </w:pPr>
      <w:r>
        <w:rPr>
          <w:rFonts w:ascii="宋体" w:hAnsi="宋体" w:eastAsia="宋体" w:cs="宋体"/>
          <w:spacing w:val="-3"/>
          <w:position w:val="17"/>
          <w:sz w:val="24"/>
          <w:szCs w:val="24"/>
        </w:rPr>
        <w:t>黄 龙 尾</w:t>
      </w:r>
      <w:r>
        <w:rPr>
          <w:rFonts w:ascii="宋体" w:hAnsi="宋体" w:eastAsia="宋体" w:cs="宋体"/>
          <w:spacing w:val="74"/>
          <w:position w:val="17"/>
          <w:sz w:val="24"/>
          <w:szCs w:val="24"/>
        </w:rPr>
        <w:t xml:space="preserve"> </w:t>
      </w:r>
      <w:r>
        <w:rPr>
          <w:rFonts w:ascii="Times New Roman" w:hAnsi="Times New Roman" w:eastAsia="Times New Roman" w:cs="Times New Roman"/>
          <w:i/>
          <w:iCs/>
          <w:spacing w:val="-3"/>
          <w:position w:val="17"/>
          <w:sz w:val="24"/>
          <w:szCs w:val="24"/>
        </w:rPr>
        <w:t>Agrimonia</w:t>
      </w:r>
      <w:r>
        <w:rPr>
          <w:rFonts w:ascii="Times New Roman" w:hAnsi="Times New Roman" w:eastAsia="Times New Roman" w:cs="Times New Roman"/>
          <w:i/>
          <w:iCs/>
          <w:spacing w:val="-26"/>
          <w:position w:val="17"/>
          <w:sz w:val="24"/>
          <w:szCs w:val="24"/>
        </w:rPr>
        <w:t xml:space="preserve"> </w:t>
      </w:r>
      <w:r>
        <w:rPr>
          <w:rFonts w:ascii="Times New Roman" w:hAnsi="Times New Roman" w:eastAsia="Times New Roman" w:cs="Times New Roman"/>
          <w:i/>
          <w:iCs/>
          <w:spacing w:val="-3"/>
          <w:position w:val="17"/>
          <w:sz w:val="24"/>
          <w:szCs w:val="24"/>
        </w:rPr>
        <w:t xml:space="preserve">pilosa </w:t>
      </w:r>
      <w:r>
        <w:rPr>
          <w:rFonts w:ascii="Times New Roman" w:hAnsi="Times New Roman" w:eastAsia="Times New Roman" w:cs="Times New Roman"/>
          <w:spacing w:val="-3"/>
          <w:position w:val="17"/>
          <w:sz w:val="24"/>
          <w:szCs w:val="24"/>
        </w:rPr>
        <w:t xml:space="preserve">var. </w:t>
      </w:r>
      <w:r>
        <w:rPr>
          <w:rFonts w:ascii="Times New Roman" w:hAnsi="Times New Roman" w:eastAsia="Times New Roman" w:cs="Times New Roman"/>
          <w:i/>
          <w:iCs/>
          <w:spacing w:val="-3"/>
          <w:position w:val="17"/>
          <w:sz w:val="24"/>
          <w:szCs w:val="24"/>
        </w:rPr>
        <w:t>nepalensis</w:t>
      </w:r>
      <w:r>
        <w:rPr>
          <w:rFonts w:ascii="Times New Roman" w:hAnsi="Times New Roman" w:eastAsia="Times New Roman" w:cs="Times New Roman"/>
          <w:i/>
          <w:iCs/>
          <w:spacing w:val="57"/>
          <w:position w:val="17"/>
          <w:sz w:val="24"/>
          <w:szCs w:val="24"/>
        </w:rPr>
        <w:t xml:space="preserve"> </w:t>
      </w:r>
      <w:r>
        <w:rPr>
          <w:rFonts w:ascii="宋体" w:hAnsi="宋体" w:eastAsia="宋体" w:cs="宋体"/>
          <w:spacing w:val="-3"/>
          <w:position w:val="17"/>
          <w:sz w:val="24"/>
          <w:szCs w:val="24"/>
        </w:rPr>
        <w:t>、 秋</w:t>
      </w:r>
      <w:r>
        <w:rPr>
          <w:rFonts w:ascii="宋体" w:hAnsi="宋体" w:eastAsia="宋体" w:cs="宋体"/>
          <w:spacing w:val="-20"/>
          <w:position w:val="17"/>
          <w:sz w:val="24"/>
          <w:szCs w:val="24"/>
        </w:rPr>
        <w:t xml:space="preserve"> </w:t>
      </w:r>
      <w:r>
        <w:rPr>
          <w:rFonts w:ascii="宋体" w:hAnsi="宋体" w:eastAsia="宋体" w:cs="宋体"/>
          <w:spacing w:val="-3"/>
          <w:position w:val="17"/>
          <w:sz w:val="24"/>
          <w:szCs w:val="24"/>
        </w:rPr>
        <w:t>英</w:t>
      </w:r>
      <w:r>
        <w:rPr>
          <w:rFonts w:ascii="宋体" w:hAnsi="宋体" w:eastAsia="宋体" w:cs="宋体"/>
          <w:spacing w:val="102"/>
          <w:position w:val="17"/>
          <w:sz w:val="24"/>
          <w:szCs w:val="24"/>
        </w:rPr>
        <w:t xml:space="preserve"> </w:t>
      </w:r>
      <w:r>
        <w:rPr>
          <w:rFonts w:ascii="Times New Roman" w:hAnsi="Times New Roman" w:eastAsia="Times New Roman" w:cs="Times New Roman"/>
          <w:i/>
          <w:iCs/>
          <w:spacing w:val="-3"/>
          <w:position w:val="17"/>
          <w:sz w:val="24"/>
          <w:szCs w:val="24"/>
        </w:rPr>
        <w:t>Cosmos   bipinnata</w:t>
      </w:r>
      <w:r>
        <w:rPr>
          <w:rFonts w:ascii="Times New Roman" w:hAnsi="Times New Roman" w:eastAsia="Times New Roman" w:cs="Times New Roman"/>
          <w:i/>
          <w:iCs/>
          <w:spacing w:val="58"/>
          <w:position w:val="17"/>
          <w:sz w:val="24"/>
          <w:szCs w:val="24"/>
        </w:rPr>
        <w:t xml:space="preserve"> </w:t>
      </w:r>
      <w:r>
        <w:rPr>
          <w:rFonts w:ascii="宋体" w:hAnsi="宋体" w:eastAsia="宋体" w:cs="宋体"/>
          <w:spacing w:val="-4"/>
          <w:position w:val="17"/>
          <w:sz w:val="24"/>
          <w:szCs w:val="24"/>
        </w:rPr>
        <w:t>、 牡</w:t>
      </w:r>
      <w:r>
        <w:rPr>
          <w:rFonts w:ascii="宋体" w:hAnsi="宋体" w:eastAsia="宋体" w:cs="宋体"/>
          <w:spacing w:val="-18"/>
          <w:position w:val="17"/>
          <w:sz w:val="24"/>
          <w:szCs w:val="24"/>
        </w:rPr>
        <w:t xml:space="preserve"> </w:t>
      </w:r>
      <w:r>
        <w:rPr>
          <w:rFonts w:ascii="宋体" w:hAnsi="宋体" w:eastAsia="宋体" w:cs="宋体"/>
          <w:spacing w:val="-4"/>
          <w:position w:val="17"/>
          <w:sz w:val="24"/>
          <w:szCs w:val="24"/>
        </w:rPr>
        <w:t>蒿</w:t>
      </w:r>
    </w:p>
    <w:p>
      <w:pPr>
        <w:spacing w:line="212" w:lineRule="auto"/>
        <w:ind w:left="18"/>
        <w:rPr>
          <w:rFonts w:ascii="宋体" w:hAnsi="宋体" w:eastAsia="宋体" w:cs="宋体"/>
          <w:sz w:val="24"/>
          <w:szCs w:val="24"/>
        </w:rPr>
      </w:pPr>
      <w:r>
        <w:rPr>
          <w:rFonts w:ascii="Times New Roman" w:hAnsi="Times New Roman" w:eastAsia="Times New Roman" w:cs="Times New Roman"/>
          <w:i/>
          <w:iCs/>
          <w:spacing w:val="-1"/>
          <w:sz w:val="24"/>
          <w:szCs w:val="24"/>
        </w:rPr>
        <w:t>Artemisia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1"/>
          <w:sz w:val="24"/>
          <w:szCs w:val="24"/>
        </w:rPr>
        <w:t>japonica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、蒲公英</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Taraxacum</w:t>
      </w:r>
      <w:r>
        <w:rPr>
          <w:rFonts w:ascii="Times New Roman" w:hAnsi="Times New Roman" w:eastAsia="Times New Roman" w:cs="Times New Roman"/>
          <w:i/>
          <w:iCs/>
          <w:spacing w:val="33"/>
          <w:w w:val="101"/>
          <w:sz w:val="24"/>
          <w:szCs w:val="24"/>
        </w:rPr>
        <w:t xml:space="preserve"> </w:t>
      </w:r>
      <w:r>
        <w:rPr>
          <w:rFonts w:ascii="Times New Roman" w:hAnsi="Times New Roman" w:eastAsia="Times New Roman" w:cs="Times New Roman"/>
          <w:i/>
          <w:iCs/>
          <w:spacing w:val="-1"/>
          <w:sz w:val="24"/>
          <w:szCs w:val="24"/>
        </w:rPr>
        <w:t>mongolicum</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、白车轴草</w:t>
      </w:r>
      <w:r>
        <w:rPr>
          <w:rFonts w:ascii="宋体" w:hAnsi="宋体" w:eastAsia="宋体" w:cs="宋体"/>
          <w:spacing w:val="-43"/>
          <w:sz w:val="24"/>
          <w:szCs w:val="24"/>
        </w:rPr>
        <w:t xml:space="preserve"> </w:t>
      </w:r>
      <w:r>
        <w:rPr>
          <w:rFonts w:ascii="Times New Roman" w:hAnsi="Times New Roman" w:eastAsia="Times New Roman" w:cs="Times New Roman"/>
          <w:i/>
          <w:iCs/>
          <w:spacing w:val="-1"/>
          <w:sz w:val="24"/>
          <w:szCs w:val="24"/>
        </w:rPr>
        <w:t>Trifolium repen</w:t>
      </w:r>
      <w:r>
        <w:rPr>
          <w:rFonts w:ascii="Times New Roman" w:hAnsi="Times New Roman" w:eastAsia="Times New Roman" w:cs="Times New Roman"/>
          <w:i/>
          <w:iCs/>
          <w:spacing w:val="-2"/>
          <w:sz w:val="24"/>
          <w:szCs w:val="24"/>
        </w:rPr>
        <w:t>s</w:t>
      </w:r>
      <w:r>
        <w:rPr>
          <w:rFonts w:ascii="宋体" w:hAnsi="宋体" w:eastAsia="宋体" w:cs="宋体"/>
          <w:spacing w:val="-2"/>
          <w:sz w:val="24"/>
          <w:szCs w:val="24"/>
        </w:rPr>
        <w:t>、</w:t>
      </w:r>
    </w:p>
    <w:p>
      <w:pPr>
        <w:spacing w:before="193" w:line="360" w:lineRule="auto"/>
        <w:ind w:left="39" w:firstLine="6"/>
        <w:rPr>
          <w:rFonts w:ascii="Times New Roman" w:hAnsi="Times New Roman" w:eastAsia="Times New Roman" w:cs="Times New Roman"/>
          <w:sz w:val="24"/>
          <w:szCs w:val="24"/>
        </w:rPr>
      </w:pPr>
      <w:r>
        <w:rPr>
          <w:rFonts w:ascii="宋体" w:hAnsi="宋体" w:eastAsia="宋体" w:cs="宋体"/>
          <w:spacing w:val="-2"/>
          <w:sz w:val="24"/>
          <w:szCs w:val="24"/>
        </w:rPr>
        <w:t>云南猪屎豆</w:t>
      </w:r>
      <w:r>
        <w:rPr>
          <w:rFonts w:ascii="宋体" w:hAnsi="宋体" w:eastAsia="宋体" w:cs="宋体"/>
          <w:spacing w:val="-17"/>
          <w:sz w:val="24"/>
          <w:szCs w:val="24"/>
        </w:rPr>
        <w:t xml:space="preserve"> </w:t>
      </w:r>
      <w:r>
        <w:rPr>
          <w:rFonts w:ascii="Times New Roman" w:hAnsi="Times New Roman" w:eastAsia="Times New Roman" w:cs="Times New Roman"/>
          <w:i/>
          <w:iCs/>
          <w:spacing w:val="-2"/>
          <w:sz w:val="24"/>
          <w:szCs w:val="24"/>
        </w:rPr>
        <w:t>Crotalaria yunnanensis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、尼泊尔老鹳草</w:t>
      </w:r>
      <w:r>
        <w:rPr>
          <w:rFonts w:ascii="宋体" w:hAnsi="宋体" w:eastAsia="宋体" w:cs="宋体"/>
          <w:spacing w:val="-29"/>
          <w:sz w:val="24"/>
          <w:szCs w:val="24"/>
        </w:rPr>
        <w:t xml:space="preserve"> </w:t>
      </w:r>
      <w:r>
        <w:rPr>
          <w:rFonts w:ascii="Times New Roman" w:hAnsi="Times New Roman" w:eastAsia="Times New Roman" w:cs="Times New Roman"/>
          <w:i/>
          <w:iCs/>
          <w:spacing w:val="-2"/>
          <w:sz w:val="24"/>
          <w:szCs w:val="24"/>
        </w:rPr>
        <w:t>Geranium</w:t>
      </w:r>
      <w:r>
        <w:rPr>
          <w:rFonts w:ascii="Times New Roman" w:hAnsi="Times New Roman" w:eastAsia="Times New Roman" w:cs="Times New Roman"/>
          <w:i/>
          <w:iCs/>
          <w:spacing w:val="35"/>
          <w:w w:val="101"/>
          <w:sz w:val="24"/>
          <w:szCs w:val="24"/>
        </w:rPr>
        <w:t xml:space="preserve"> </w:t>
      </w:r>
      <w:r>
        <w:rPr>
          <w:rFonts w:ascii="Times New Roman" w:hAnsi="Times New Roman" w:eastAsia="Times New Roman" w:cs="Times New Roman"/>
          <w:i/>
          <w:iCs/>
          <w:spacing w:val="-2"/>
          <w:sz w:val="24"/>
          <w:szCs w:val="24"/>
        </w:rPr>
        <w:t>nepalense</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 xml:space="preserve">、珠光香  </w:t>
      </w:r>
      <w:r>
        <w:rPr>
          <w:rFonts w:ascii="宋体" w:hAnsi="宋体" w:eastAsia="宋体" w:cs="宋体"/>
          <w:spacing w:val="-4"/>
          <w:sz w:val="24"/>
          <w:szCs w:val="24"/>
        </w:rPr>
        <w:t>青</w:t>
      </w:r>
      <w:r>
        <w:rPr>
          <w:rFonts w:ascii="Times New Roman" w:hAnsi="Times New Roman" w:eastAsia="Times New Roman" w:cs="Times New Roman"/>
          <w:i/>
          <w:iCs/>
          <w:spacing w:val="-4"/>
          <w:sz w:val="24"/>
          <w:szCs w:val="24"/>
        </w:rPr>
        <w:t>Anaphalis margaritacea</w:t>
      </w:r>
      <w:r>
        <w:rPr>
          <w:rFonts w:ascii="宋体" w:hAnsi="宋体" w:eastAsia="宋体" w:cs="宋体"/>
          <w:spacing w:val="-4"/>
          <w:sz w:val="24"/>
          <w:szCs w:val="24"/>
        </w:rPr>
        <w:t>、滇苦菜</w:t>
      </w:r>
      <w:r>
        <w:rPr>
          <w:rFonts w:ascii="宋体" w:hAnsi="宋体" w:eastAsia="宋体" w:cs="宋体"/>
          <w:spacing w:val="-65"/>
          <w:sz w:val="24"/>
          <w:szCs w:val="24"/>
        </w:rPr>
        <w:t xml:space="preserve"> </w:t>
      </w:r>
      <w:r>
        <w:rPr>
          <w:rFonts w:ascii="Times New Roman" w:hAnsi="Times New Roman" w:eastAsia="Times New Roman" w:cs="Times New Roman"/>
          <w:i/>
          <w:iCs/>
          <w:spacing w:val="-4"/>
          <w:sz w:val="24"/>
          <w:szCs w:val="24"/>
        </w:rPr>
        <w:t>Picris divaricata</w:t>
      </w:r>
      <w:r>
        <w:rPr>
          <w:rFonts w:ascii="宋体" w:hAnsi="宋体" w:eastAsia="宋体" w:cs="宋体"/>
          <w:spacing w:val="-4"/>
          <w:sz w:val="24"/>
          <w:szCs w:val="24"/>
        </w:rPr>
        <w:t>、短葶飞蓬</w:t>
      </w:r>
      <w:r>
        <w:rPr>
          <w:rFonts w:ascii="宋体" w:hAnsi="宋体" w:eastAsia="宋体" w:cs="宋体"/>
          <w:spacing w:val="-66"/>
          <w:sz w:val="24"/>
          <w:szCs w:val="24"/>
        </w:rPr>
        <w:t xml:space="preserve"> </w:t>
      </w:r>
      <w:r>
        <w:rPr>
          <w:rFonts w:ascii="Times New Roman" w:hAnsi="Times New Roman" w:eastAsia="Times New Roman" w:cs="Times New Roman"/>
          <w:i/>
          <w:iCs/>
          <w:spacing w:val="-4"/>
          <w:sz w:val="24"/>
          <w:szCs w:val="24"/>
        </w:rPr>
        <w:t>Erigeron breviscapus</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1"/>
          <w:sz w:val="24"/>
          <w:szCs w:val="24"/>
        </w:rPr>
        <w:t xml:space="preserve">天名精 </w:t>
      </w:r>
      <w:r>
        <w:rPr>
          <w:rFonts w:ascii="Times New Roman" w:hAnsi="Times New Roman" w:eastAsia="Times New Roman" w:cs="Times New Roman"/>
          <w:i/>
          <w:iCs/>
          <w:spacing w:val="-1"/>
          <w:sz w:val="24"/>
          <w:szCs w:val="24"/>
        </w:rPr>
        <w:t>Carpesium</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pacing w:val="-1"/>
          <w:sz w:val="24"/>
          <w:szCs w:val="24"/>
        </w:rPr>
        <w:t>abrotanoides</w:t>
      </w:r>
      <w:r>
        <w:rPr>
          <w:rFonts w:ascii="Times New Roman" w:hAnsi="Times New Roman" w:eastAsia="Times New Roman" w:cs="Times New Roman"/>
          <w:i/>
          <w:iCs/>
          <w:spacing w:val="-30"/>
          <w:sz w:val="24"/>
          <w:szCs w:val="24"/>
        </w:rPr>
        <w:t xml:space="preserve"> </w:t>
      </w:r>
      <w:r>
        <w:rPr>
          <w:rFonts w:ascii="宋体" w:hAnsi="宋体" w:eastAsia="宋体" w:cs="宋体"/>
          <w:spacing w:val="-1"/>
          <w:sz w:val="24"/>
          <w:szCs w:val="24"/>
        </w:rPr>
        <w:t xml:space="preserve">、扁穗雀麦 </w:t>
      </w:r>
      <w:r>
        <w:rPr>
          <w:rFonts w:ascii="Times New Roman" w:hAnsi="Times New Roman" w:eastAsia="Times New Roman" w:cs="Times New Roman"/>
          <w:i/>
          <w:iCs/>
          <w:spacing w:val="-1"/>
          <w:sz w:val="24"/>
          <w:szCs w:val="24"/>
        </w:rPr>
        <w:t>Bromus catharticus</w:t>
      </w:r>
      <w:r>
        <w:rPr>
          <w:rFonts w:ascii="Times New Roman" w:hAnsi="Times New Roman" w:eastAsia="Times New Roman" w:cs="Times New Roman"/>
          <w:i/>
          <w:iCs/>
          <w:spacing w:val="-30"/>
          <w:sz w:val="24"/>
          <w:szCs w:val="24"/>
        </w:rPr>
        <w:t xml:space="preserve"> </w:t>
      </w:r>
      <w:r>
        <w:rPr>
          <w:rFonts w:ascii="宋体" w:hAnsi="宋体" w:eastAsia="宋体" w:cs="宋体"/>
          <w:spacing w:val="-1"/>
          <w:sz w:val="24"/>
          <w:szCs w:val="24"/>
        </w:rPr>
        <w:t xml:space="preserve">、三脉紫菀 </w:t>
      </w:r>
      <w:r>
        <w:rPr>
          <w:rFonts w:ascii="Times New Roman" w:hAnsi="Times New Roman" w:eastAsia="Times New Roman" w:cs="Times New Roman"/>
          <w:i/>
          <w:iCs/>
          <w:spacing w:val="-1"/>
          <w:sz w:val="24"/>
          <w:szCs w:val="24"/>
        </w:rPr>
        <w:t xml:space="preserve">Aster </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sz w:val="24"/>
          <w:szCs w:val="24"/>
        </w:rPr>
        <w:t>trinervius</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sz w:val="24"/>
          <w:szCs w:val="24"/>
        </w:rPr>
        <w:t>subsp</w:t>
      </w:r>
      <w:r>
        <w:rPr>
          <w:rFonts w:ascii="Times New Roman" w:hAnsi="Times New Roman" w:eastAsia="Times New Roman" w:cs="Times New Roman"/>
          <w:spacing w:val="6"/>
          <w:sz w:val="24"/>
          <w:szCs w:val="24"/>
        </w:rPr>
        <w:t>.</w:t>
      </w:r>
      <w:r>
        <w:rPr>
          <w:rFonts w:ascii="Times New Roman" w:hAnsi="Times New Roman" w:eastAsia="Times New Roman" w:cs="Times New Roman"/>
          <w:spacing w:val="70"/>
          <w:sz w:val="24"/>
          <w:szCs w:val="24"/>
        </w:rPr>
        <w:t xml:space="preserve"> </w:t>
      </w:r>
      <w:r>
        <w:rPr>
          <w:rFonts w:ascii="Times New Roman" w:hAnsi="Times New Roman" w:eastAsia="Times New Roman" w:cs="Times New Roman"/>
          <w:i/>
          <w:iCs/>
          <w:sz w:val="24"/>
          <w:szCs w:val="24"/>
        </w:rPr>
        <w:t>ageratoides</w:t>
      </w:r>
      <w:r>
        <w:rPr>
          <w:rFonts w:ascii="Times New Roman" w:hAnsi="Times New Roman" w:eastAsia="Times New Roman" w:cs="Times New Roman"/>
          <w:i/>
          <w:iCs/>
          <w:spacing w:val="6"/>
          <w:sz w:val="24"/>
          <w:szCs w:val="24"/>
        </w:rPr>
        <w:t xml:space="preserve"> </w:t>
      </w:r>
      <w:r>
        <w:rPr>
          <w:rFonts w:ascii="宋体" w:hAnsi="宋体" w:eastAsia="宋体" w:cs="宋体"/>
          <w:spacing w:val="6"/>
          <w:sz w:val="24"/>
          <w:szCs w:val="24"/>
        </w:rPr>
        <w:t xml:space="preserve">、小草 </w:t>
      </w:r>
      <w:r>
        <w:rPr>
          <w:rFonts w:ascii="Times New Roman" w:hAnsi="Times New Roman" w:eastAsia="Times New Roman" w:cs="Times New Roman"/>
          <w:i/>
          <w:iCs/>
          <w:sz w:val="24"/>
          <w:szCs w:val="24"/>
        </w:rPr>
        <w:t>Microchloa</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sz w:val="24"/>
          <w:szCs w:val="24"/>
        </w:rPr>
        <w:t>indica</w:t>
      </w:r>
      <w:r>
        <w:rPr>
          <w:rFonts w:ascii="Times New Roman" w:hAnsi="Times New Roman" w:eastAsia="Times New Roman" w:cs="Times New Roman"/>
          <w:i/>
          <w:iCs/>
          <w:spacing w:val="6"/>
          <w:sz w:val="24"/>
          <w:szCs w:val="24"/>
        </w:rPr>
        <w:t xml:space="preserve"> </w:t>
      </w:r>
      <w:r>
        <w:rPr>
          <w:rFonts w:ascii="宋体" w:hAnsi="宋体" w:eastAsia="宋体" w:cs="宋体"/>
          <w:spacing w:val="6"/>
          <w:sz w:val="24"/>
          <w:szCs w:val="24"/>
        </w:rPr>
        <w:t xml:space="preserve">、云南兔儿风 </w:t>
      </w:r>
      <w:r>
        <w:rPr>
          <w:rFonts w:ascii="Times New Roman" w:hAnsi="Times New Roman" w:eastAsia="Times New Roman" w:cs="Times New Roman"/>
          <w:i/>
          <w:iCs/>
          <w:sz w:val="24"/>
          <w:szCs w:val="24"/>
        </w:rPr>
        <w:t>Ainsliaea</w:t>
      </w:r>
    </w:p>
    <w:p>
      <w:pPr>
        <w:spacing w:line="212" w:lineRule="auto"/>
        <w:ind w:left="11"/>
        <w:rPr>
          <w:rFonts w:ascii="宋体" w:hAnsi="宋体" w:eastAsia="宋体" w:cs="宋体"/>
          <w:sz w:val="24"/>
          <w:szCs w:val="24"/>
        </w:rPr>
      </w:pPr>
      <w:r>
        <w:rPr>
          <w:rFonts w:ascii="Times New Roman" w:hAnsi="Times New Roman" w:eastAsia="Times New Roman" w:cs="Times New Roman"/>
          <w:i/>
          <w:iCs/>
          <w:sz w:val="24"/>
          <w:szCs w:val="24"/>
        </w:rPr>
        <w:t>yunnanensis</w:t>
      </w:r>
      <w:r>
        <w:rPr>
          <w:rFonts w:ascii="宋体" w:hAnsi="宋体" w:eastAsia="宋体" w:cs="宋体"/>
          <w:spacing w:val="3"/>
          <w:sz w:val="24"/>
          <w:szCs w:val="24"/>
        </w:rPr>
        <w:t>、喀西茄</w:t>
      </w:r>
      <w:r>
        <w:rPr>
          <w:rFonts w:ascii="宋体" w:hAnsi="宋体" w:eastAsia="宋体" w:cs="宋体"/>
          <w:spacing w:val="-25"/>
          <w:sz w:val="24"/>
          <w:szCs w:val="24"/>
        </w:rPr>
        <w:t xml:space="preserve"> </w:t>
      </w:r>
      <w:r>
        <w:rPr>
          <w:rFonts w:ascii="Times New Roman" w:hAnsi="Times New Roman" w:eastAsia="Times New Roman" w:cs="Times New Roman"/>
          <w:i/>
          <w:iCs/>
          <w:sz w:val="24"/>
          <w:szCs w:val="24"/>
        </w:rPr>
        <w:t>Solanum</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z w:val="24"/>
          <w:szCs w:val="24"/>
        </w:rPr>
        <w:t>aculeatissimum</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、华火绒草</w:t>
      </w:r>
      <w:r>
        <w:rPr>
          <w:rFonts w:ascii="宋体" w:hAnsi="宋体" w:eastAsia="宋体" w:cs="宋体"/>
          <w:spacing w:val="-56"/>
          <w:sz w:val="24"/>
          <w:szCs w:val="24"/>
        </w:rPr>
        <w:t xml:space="preserve"> </w:t>
      </w:r>
      <w:r>
        <w:rPr>
          <w:rFonts w:ascii="Times New Roman" w:hAnsi="Times New Roman" w:eastAsia="Times New Roman" w:cs="Times New Roman"/>
          <w:i/>
          <w:iCs/>
          <w:sz w:val="24"/>
          <w:szCs w:val="24"/>
        </w:rPr>
        <w:t>Leontopodiumsinense</w:t>
      </w:r>
      <w:r>
        <w:rPr>
          <w:rFonts w:ascii="宋体" w:hAnsi="宋体" w:eastAsia="宋体" w:cs="宋体"/>
          <w:spacing w:val="3"/>
          <w:sz w:val="24"/>
          <w:szCs w:val="24"/>
        </w:rPr>
        <w:t>、</w:t>
      </w:r>
    </w:p>
    <w:p>
      <w:pPr>
        <w:spacing w:line="212" w:lineRule="auto"/>
        <w:rPr>
          <w:rFonts w:ascii="宋体" w:hAnsi="宋体" w:eastAsia="宋体" w:cs="宋体"/>
          <w:sz w:val="24"/>
          <w:szCs w:val="24"/>
        </w:rPr>
        <w:sectPr>
          <w:headerReference r:id="rId266" w:type="default"/>
          <w:footerReference r:id="rId267" w:type="default"/>
          <w:pgSz w:w="11907" w:h="16839"/>
          <w:pgMar w:top="1156" w:right="1593" w:bottom="1373" w:left="1770" w:header="881" w:footer="1210" w:gutter="0"/>
        </w:sectPr>
      </w:pPr>
    </w:p>
    <w:p>
      <w:pPr>
        <w:spacing w:line="317" w:lineRule="auto"/>
        <w:rPr>
          <w:rFonts w:ascii="Arial"/>
          <w:sz w:val="21"/>
        </w:rPr>
      </w:pPr>
    </w:p>
    <w:p>
      <w:pPr>
        <w:spacing w:before="78" w:line="360" w:lineRule="auto"/>
        <w:ind w:left="3" w:firstLine="42"/>
        <w:rPr>
          <w:rFonts w:ascii="宋体" w:hAnsi="宋体" w:eastAsia="宋体" w:cs="宋体"/>
          <w:sz w:val="24"/>
          <w:szCs w:val="24"/>
        </w:rPr>
      </w:pPr>
      <w:r>
        <w:rPr>
          <w:rFonts w:ascii="宋体" w:hAnsi="宋体" w:eastAsia="宋体" w:cs="宋体"/>
          <w:spacing w:val="-1"/>
          <w:sz w:val="24"/>
          <w:szCs w:val="24"/>
        </w:rPr>
        <w:t>马鞭草</w:t>
      </w:r>
      <w:r>
        <w:rPr>
          <w:rFonts w:ascii="宋体" w:hAnsi="宋体" w:eastAsia="宋体" w:cs="宋体"/>
          <w:spacing w:val="-30"/>
          <w:sz w:val="24"/>
          <w:szCs w:val="24"/>
        </w:rPr>
        <w:t xml:space="preserve"> </w:t>
      </w:r>
      <w:r>
        <w:rPr>
          <w:rFonts w:ascii="Times New Roman" w:hAnsi="Times New Roman" w:eastAsia="Times New Roman" w:cs="Times New Roman"/>
          <w:i/>
          <w:iCs/>
          <w:spacing w:val="-1"/>
          <w:sz w:val="24"/>
          <w:szCs w:val="24"/>
        </w:rPr>
        <w:t>Verbena o</w:t>
      </w:r>
      <w:r>
        <w:rPr>
          <w:rFonts w:ascii="Times New Roman" w:hAnsi="Times New Roman" w:eastAsia="Times New Roman" w:cs="Times New Roman"/>
          <w:b/>
          <w:bCs/>
          <w:i/>
          <w:iCs/>
          <w:spacing w:val="-1"/>
          <w:sz w:val="24"/>
          <w:szCs w:val="24"/>
        </w:rPr>
        <w:t>f</w:t>
      </w:r>
      <w:r>
        <w:rPr>
          <w:rFonts w:ascii="Times New Roman" w:hAnsi="Times New Roman" w:eastAsia="Times New Roman" w:cs="Times New Roman"/>
          <w:i/>
          <w:iCs/>
          <w:spacing w:val="-1"/>
          <w:sz w:val="24"/>
          <w:szCs w:val="24"/>
        </w:rPr>
        <w:t>icinalis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、鬼</w:t>
      </w:r>
      <w:r>
        <w:rPr>
          <w:rFonts w:ascii="宋体" w:hAnsi="宋体" w:eastAsia="宋体" w:cs="宋体"/>
          <w:spacing w:val="-2"/>
          <w:sz w:val="24"/>
          <w:szCs w:val="24"/>
        </w:rPr>
        <w:t>针草</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Bidens</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pacing w:val="-2"/>
          <w:sz w:val="24"/>
          <w:szCs w:val="24"/>
        </w:rPr>
        <w:t>pilosa</w:t>
      </w:r>
      <w:r>
        <w:rPr>
          <w:rFonts w:ascii="宋体" w:hAnsi="宋体" w:eastAsia="宋体" w:cs="宋体"/>
          <w:spacing w:val="-2"/>
          <w:sz w:val="24"/>
          <w:szCs w:val="24"/>
        </w:rPr>
        <w:t>、小蓬草</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Erigeron canadensis</w:t>
      </w:r>
      <w:r>
        <w:rPr>
          <w:rFonts w:ascii="宋体" w:hAnsi="宋体" w:eastAsia="宋体" w:cs="宋体"/>
          <w:spacing w:val="-2"/>
          <w:sz w:val="24"/>
          <w:szCs w:val="24"/>
        </w:rPr>
        <w:t>、香 薷</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Elsholtzia ciliata</w:t>
      </w:r>
      <w:r>
        <w:rPr>
          <w:rFonts w:ascii="宋体" w:hAnsi="宋体" w:eastAsia="宋体" w:cs="宋体"/>
          <w:spacing w:val="-2"/>
          <w:sz w:val="24"/>
          <w:szCs w:val="24"/>
        </w:rPr>
        <w:t>、风轮菜</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Clinopodium chinense</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、紫花地丁</w:t>
      </w:r>
      <w:r>
        <w:rPr>
          <w:rFonts w:ascii="宋体" w:hAnsi="宋体" w:eastAsia="宋体" w:cs="宋体"/>
          <w:spacing w:val="-30"/>
          <w:sz w:val="24"/>
          <w:szCs w:val="24"/>
        </w:rPr>
        <w:t xml:space="preserve"> </w:t>
      </w:r>
      <w:r>
        <w:rPr>
          <w:rFonts w:ascii="Times New Roman" w:hAnsi="Times New Roman" w:eastAsia="Times New Roman" w:cs="Times New Roman"/>
          <w:i/>
          <w:iCs/>
          <w:spacing w:val="-2"/>
          <w:sz w:val="24"/>
          <w:szCs w:val="24"/>
        </w:rPr>
        <w:t>Viola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2"/>
          <w:sz w:val="24"/>
          <w:szCs w:val="24"/>
        </w:rPr>
        <w:t>philippica</w:t>
      </w:r>
      <w:r>
        <w:rPr>
          <w:rFonts w:ascii="Times New Roman" w:hAnsi="Times New Roman" w:eastAsia="Times New Roman" w:cs="Times New Roman"/>
          <w:i/>
          <w:iCs/>
          <w:spacing w:val="-35"/>
          <w:sz w:val="24"/>
          <w:szCs w:val="24"/>
        </w:rPr>
        <w:t xml:space="preserve"> </w:t>
      </w:r>
      <w:r>
        <w:rPr>
          <w:rFonts w:ascii="宋体" w:hAnsi="宋体" w:eastAsia="宋体" w:cs="宋体"/>
          <w:spacing w:val="-3"/>
          <w:sz w:val="24"/>
          <w:szCs w:val="24"/>
        </w:rPr>
        <w:t xml:space="preserve">、头 </w:t>
      </w:r>
      <w:r>
        <w:rPr>
          <w:rFonts w:ascii="宋体" w:hAnsi="宋体" w:eastAsia="宋体" w:cs="宋体"/>
          <w:spacing w:val="-4"/>
          <w:sz w:val="24"/>
          <w:szCs w:val="24"/>
        </w:rPr>
        <w:t>花蓼</w:t>
      </w:r>
      <w:r>
        <w:rPr>
          <w:rFonts w:ascii="宋体" w:hAnsi="宋体" w:eastAsia="宋体" w:cs="宋体"/>
          <w:spacing w:val="-65"/>
          <w:sz w:val="24"/>
          <w:szCs w:val="24"/>
        </w:rPr>
        <w:t xml:space="preserve"> </w:t>
      </w:r>
      <w:r>
        <w:rPr>
          <w:rFonts w:ascii="Times New Roman" w:hAnsi="Times New Roman" w:eastAsia="Times New Roman" w:cs="Times New Roman"/>
          <w:i/>
          <w:iCs/>
          <w:spacing w:val="-4"/>
          <w:sz w:val="24"/>
          <w:szCs w:val="24"/>
        </w:rPr>
        <w:t>Polygonum capitatum</w:t>
      </w:r>
      <w:r>
        <w:rPr>
          <w:rFonts w:ascii="宋体" w:hAnsi="宋体" w:eastAsia="宋体" w:cs="宋体"/>
          <w:spacing w:val="-4"/>
          <w:sz w:val="24"/>
          <w:szCs w:val="24"/>
        </w:rPr>
        <w:t>、狗牙根</w:t>
      </w:r>
      <w:r>
        <w:rPr>
          <w:rFonts w:ascii="宋体" w:hAnsi="宋体" w:eastAsia="宋体" w:cs="宋体"/>
          <w:spacing w:val="-43"/>
          <w:sz w:val="24"/>
          <w:szCs w:val="24"/>
        </w:rPr>
        <w:t xml:space="preserve"> </w:t>
      </w:r>
      <w:r>
        <w:rPr>
          <w:rFonts w:ascii="Times New Roman" w:hAnsi="Times New Roman" w:eastAsia="Times New Roman" w:cs="Times New Roman"/>
          <w:i/>
          <w:iCs/>
          <w:spacing w:val="-4"/>
          <w:sz w:val="24"/>
          <w:szCs w:val="24"/>
        </w:rPr>
        <w:t>Cynodon dactylon</w:t>
      </w:r>
      <w:r>
        <w:rPr>
          <w:rFonts w:ascii="宋体" w:hAnsi="宋体" w:eastAsia="宋体" w:cs="宋体"/>
          <w:spacing w:val="-4"/>
          <w:sz w:val="24"/>
          <w:szCs w:val="24"/>
        </w:rPr>
        <w:t>、密毛山梗菜</w:t>
      </w:r>
      <w:r>
        <w:rPr>
          <w:rFonts w:ascii="宋体" w:hAnsi="宋体" w:eastAsia="宋体" w:cs="宋体"/>
          <w:spacing w:val="-67"/>
          <w:sz w:val="24"/>
          <w:szCs w:val="24"/>
        </w:rPr>
        <w:t xml:space="preserve"> </w:t>
      </w:r>
      <w:r>
        <w:rPr>
          <w:rFonts w:ascii="Times New Roman" w:hAnsi="Times New Roman" w:eastAsia="Times New Roman" w:cs="Times New Roman"/>
          <w:i/>
          <w:iCs/>
          <w:spacing w:val="-4"/>
          <w:sz w:val="24"/>
          <w:szCs w:val="24"/>
        </w:rPr>
        <w:t>Lobelia clavat</w:t>
      </w:r>
      <w:r>
        <w:rPr>
          <w:rFonts w:ascii="Times New Roman" w:hAnsi="Times New Roman" w:eastAsia="Times New Roman" w:cs="Times New Roman"/>
          <w:i/>
          <w:iCs/>
          <w:spacing w:val="-5"/>
          <w:sz w:val="24"/>
          <w:szCs w:val="24"/>
        </w:rPr>
        <w:t>a</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3"/>
          <w:sz w:val="24"/>
          <w:szCs w:val="24"/>
        </w:rPr>
        <w:t xml:space="preserve">千针万线草 </w:t>
      </w:r>
      <w:r>
        <w:rPr>
          <w:rFonts w:ascii="Times New Roman" w:hAnsi="Times New Roman" w:eastAsia="Times New Roman" w:cs="Times New Roman"/>
          <w:i/>
          <w:iCs/>
          <w:sz w:val="24"/>
          <w:szCs w:val="24"/>
        </w:rPr>
        <w:t>Stellaria</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29"/>
          <w:sz w:val="24"/>
          <w:szCs w:val="24"/>
        </w:rPr>
        <w:t xml:space="preserve"> </w:t>
      </w:r>
      <w:r>
        <w:rPr>
          <w:rFonts w:ascii="宋体" w:hAnsi="宋体" w:eastAsia="宋体" w:cs="宋体"/>
          <w:spacing w:val="3"/>
          <w:sz w:val="24"/>
          <w:szCs w:val="24"/>
        </w:rPr>
        <w:t xml:space="preserve">、戟叶酸模 </w:t>
      </w:r>
      <w:r>
        <w:rPr>
          <w:rFonts w:ascii="Times New Roman" w:hAnsi="Times New Roman" w:eastAsia="Times New Roman" w:cs="Times New Roman"/>
          <w:i/>
          <w:iCs/>
          <w:sz w:val="24"/>
          <w:szCs w:val="24"/>
        </w:rPr>
        <w:t>Rumex</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z w:val="24"/>
          <w:szCs w:val="24"/>
        </w:rPr>
        <w:t>hastatus</w:t>
      </w:r>
      <w:r>
        <w:rPr>
          <w:rFonts w:ascii="宋体" w:hAnsi="宋体" w:eastAsia="宋体" w:cs="宋体"/>
          <w:spacing w:val="3"/>
          <w:sz w:val="24"/>
          <w:szCs w:val="24"/>
        </w:rPr>
        <w:t xml:space="preserve">、假酸浆 </w:t>
      </w:r>
      <w:r>
        <w:rPr>
          <w:rFonts w:ascii="Times New Roman" w:hAnsi="Times New Roman" w:eastAsia="Times New Roman" w:cs="Times New Roman"/>
          <w:i/>
          <w:iCs/>
          <w:sz w:val="24"/>
          <w:szCs w:val="24"/>
        </w:rPr>
        <w:t>Nicandra</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z w:val="24"/>
          <w:szCs w:val="24"/>
        </w:rPr>
        <w:t>physalodes</w:t>
      </w:r>
      <w:r>
        <w:rPr>
          <w:rFonts w:ascii="宋体" w:hAnsi="宋体" w:eastAsia="宋体" w:cs="宋体"/>
          <w:spacing w:val="1"/>
          <w:sz w:val="24"/>
          <w:szCs w:val="24"/>
        </w:rPr>
        <w:t>、毛轴蕨</w:t>
      </w:r>
      <w:r>
        <w:rPr>
          <w:rFonts w:ascii="宋体" w:hAnsi="宋体" w:eastAsia="宋体" w:cs="宋体"/>
          <w:spacing w:val="-59"/>
          <w:sz w:val="24"/>
          <w:szCs w:val="24"/>
        </w:rPr>
        <w:t xml:space="preserve"> </w:t>
      </w:r>
      <w:r>
        <w:rPr>
          <w:rFonts w:ascii="Times New Roman" w:hAnsi="Times New Roman" w:eastAsia="Times New Roman" w:cs="Times New Roman"/>
          <w:i/>
          <w:iCs/>
          <w:sz w:val="24"/>
          <w:szCs w:val="24"/>
        </w:rPr>
        <w:t>Pteridiumrevolutum</w:t>
      </w:r>
      <w:r>
        <w:rPr>
          <w:rFonts w:ascii="宋体" w:hAnsi="宋体" w:eastAsia="宋体" w:cs="宋体"/>
          <w:spacing w:val="1"/>
          <w:sz w:val="24"/>
          <w:szCs w:val="24"/>
        </w:rPr>
        <w:t>、蕨</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Pteridiumaquilinum</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sz w:val="24"/>
          <w:szCs w:val="24"/>
        </w:rPr>
        <w:t>var</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i/>
          <w:iCs/>
          <w:sz w:val="24"/>
          <w:szCs w:val="24"/>
        </w:rPr>
        <w:t>latiusculum</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w:t>
      </w:r>
      <w:r>
        <w:rPr>
          <w:rFonts w:ascii="宋体" w:hAnsi="宋体" w:eastAsia="宋体" w:cs="宋体"/>
          <w:sz w:val="24"/>
          <w:szCs w:val="24"/>
        </w:rPr>
        <w:t xml:space="preserve"> </w:t>
      </w:r>
      <w:r>
        <w:rPr>
          <w:rFonts w:ascii="宋体" w:hAnsi="宋体" w:eastAsia="宋体" w:cs="宋体"/>
          <w:spacing w:val="12"/>
          <w:sz w:val="24"/>
          <w:szCs w:val="24"/>
        </w:rPr>
        <w:t xml:space="preserve">大丁草 </w:t>
      </w:r>
      <w:r>
        <w:rPr>
          <w:rFonts w:ascii="Times New Roman" w:hAnsi="Times New Roman" w:eastAsia="Times New Roman" w:cs="Times New Roman"/>
          <w:i/>
          <w:iCs/>
          <w:sz w:val="24"/>
          <w:szCs w:val="24"/>
        </w:rPr>
        <w:t>Gerbera</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z w:val="24"/>
          <w:szCs w:val="24"/>
        </w:rPr>
        <w:t>anandria</w:t>
      </w:r>
      <w:r>
        <w:rPr>
          <w:rFonts w:ascii="宋体" w:hAnsi="宋体" w:eastAsia="宋体" w:cs="宋体"/>
          <w:spacing w:val="12"/>
          <w:sz w:val="24"/>
          <w:szCs w:val="24"/>
        </w:rPr>
        <w:t xml:space="preserve">、翅茎草 </w:t>
      </w:r>
      <w:r>
        <w:rPr>
          <w:rFonts w:ascii="Times New Roman" w:hAnsi="Times New Roman" w:eastAsia="Times New Roman" w:cs="Times New Roman"/>
          <w:i/>
          <w:iCs/>
          <w:sz w:val="24"/>
          <w:szCs w:val="24"/>
        </w:rPr>
        <w:t>Pterygiella</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z w:val="24"/>
          <w:szCs w:val="24"/>
        </w:rPr>
        <w:t>nigrescens</w:t>
      </w:r>
      <w:r>
        <w:rPr>
          <w:rFonts w:ascii="宋体" w:hAnsi="宋体" w:eastAsia="宋体" w:cs="宋体"/>
          <w:spacing w:val="12"/>
          <w:sz w:val="24"/>
          <w:szCs w:val="24"/>
        </w:rPr>
        <w:t xml:space="preserve">、华扁穗草 </w:t>
      </w:r>
      <w:r>
        <w:rPr>
          <w:rFonts w:ascii="Times New Roman" w:hAnsi="Times New Roman" w:eastAsia="Times New Roman" w:cs="Times New Roman"/>
          <w:i/>
          <w:iCs/>
          <w:sz w:val="24"/>
          <w:szCs w:val="24"/>
        </w:rPr>
        <w:t>Blysmus</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pacing w:val="-4"/>
          <w:sz w:val="24"/>
          <w:szCs w:val="24"/>
        </w:rPr>
        <w:t>sinocompressus</w:t>
      </w:r>
      <w:r>
        <w:rPr>
          <w:rFonts w:ascii="宋体" w:hAnsi="宋体" w:eastAsia="宋体" w:cs="宋体"/>
          <w:spacing w:val="-4"/>
          <w:sz w:val="24"/>
          <w:szCs w:val="24"/>
        </w:rPr>
        <w:t xml:space="preserve">。此外， 伴生的草本植物有西南委陵菜 </w:t>
      </w:r>
      <w:r>
        <w:rPr>
          <w:rFonts w:ascii="Times New Roman" w:hAnsi="Times New Roman" w:eastAsia="Times New Roman" w:cs="Times New Roman"/>
          <w:i/>
          <w:iCs/>
          <w:spacing w:val="-4"/>
          <w:sz w:val="24"/>
          <w:szCs w:val="24"/>
        </w:rPr>
        <w:t>Poten</w:t>
      </w:r>
      <w:r>
        <w:rPr>
          <w:rFonts w:ascii="Times New Roman" w:hAnsi="Times New Roman" w:eastAsia="Times New Roman" w:cs="Times New Roman"/>
          <w:i/>
          <w:iCs/>
          <w:spacing w:val="-5"/>
          <w:sz w:val="24"/>
          <w:szCs w:val="24"/>
        </w:rPr>
        <w:t>tilladelavayi</w:t>
      </w:r>
      <w:r>
        <w:rPr>
          <w:rFonts w:ascii="宋体" w:hAnsi="宋体" w:eastAsia="宋体" w:cs="宋体"/>
          <w:spacing w:val="-5"/>
          <w:sz w:val="24"/>
          <w:szCs w:val="24"/>
        </w:rPr>
        <w:t xml:space="preserve">、鼠麹草 </w:t>
      </w:r>
      <w:r>
        <w:rPr>
          <w:rFonts w:ascii="Times New Roman" w:hAnsi="Times New Roman" w:eastAsia="Times New Roman" w:cs="Times New Roman"/>
          <w:i/>
          <w:iCs/>
          <w:spacing w:val="-2"/>
          <w:sz w:val="24"/>
          <w:szCs w:val="24"/>
        </w:rPr>
        <w:t>Gnaphalium affine</w:t>
      </w:r>
      <w:r>
        <w:rPr>
          <w:rFonts w:ascii="宋体" w:hAnsi="宋体" w:eastAsia="宋体" w:cs="宋体"/>
          <w:spacing w:val="-2"/>
          <w:sz w:val="24"/>
          <w:szCs w:val="24"/>
        </w:rPr>
        <w:t>、千里光</w:t>
      </w:r>
      <w:r>
        <w:rPr>
          <w:rFonts w:ascii="宋体" w:hAnsi="宋体" w:eastAsia="宋体" w:cs="宋体"/>
          <w:spacing w:val="-50"/>
          <w:sz w:val="24"/>
          <w:szCs w:val="24"/>
        </w:rPr>
        <w:t xml:space="preserve"> </w:t>
      </w:r>
      <w:r>
        <w:rPr>
          <w:rFonts w:ascii="Times New Roman" w:hAnsi="Times New Roman" w:eastAsia="Times New Roman" w:cs="Times New Roman"/>
          <w:i/>
          <w:iCs/>
          <w:spacing w:val="-2"/>
          <w:sz w:val="24"/>
          <w:szCs w:val="24"/>
        </w:rPr>
        <w:t>Senecio scandens</w:t>
      </w:r>
      <w:r>
        <w:rPr>
          <w:rFonts w:ascii="宋体" w:hAnsi="宋体" w:eastAsia="宋体" w:cs="宋体"/>
          <w:spacing w:val="-2"/>
          <w:sz w:val="24"/>
          <w:szCs w:val="24"/>
        </w:rPr>
        <w:t>、紫马唐</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Digitaria violascens</w:t>
      </w:r>
      <w:r>
        <w:rPr>
          <w:rFonts w:ascii="宋体" w:hAnsi="宋体" w:eastAsia="宋体" w:cs="宋体"/>
          <w:spacing w:val="-2"/>
          <w:sz w:val="24"/>
          <w:szCs w:val="24"/>
        </w:rPr>
        <w:t xml:space="preserve">、倒提壶 </w:t>
      </w:r>
      <w:r>
        <w:rPr>
          <w:rFonts w:ascii="Times New Roman" w:hAnsi="Times New Roman" w:eastAsia="Times New Roman" w:cs="Times New Roman"/>
          <w:i/>
          <w:iCs/>
          <w:spacing w:val="-2"/>
          <w:sz w:val="24"/>
          <w:szCs w:val="24"/>
        </w:rPr>
        <w:t>Cynoglossumamabile</w:t>
      </w:r>
      <w:r>
        <w:rPr>
          <w:rFonts w:ascii="宋体" w:hAnsi="宋体" w:eastAsia="宋体" w:cs="宋体"/>
          <w:spacing w:val="-2"/>
          <w:sz w:val="24"/>
          <w:szCs w:val="24"/>
        </w:rPr>
        <w:t>、尼泊尔酸模</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Rumex nepalensi</w:t>
      </w:r>
      <w:r>
        <w:rPr>
          <w:rFonts w:ascii="Times New Roman" w:hAnsi="Times New Roman" w:eastAsia="Times New Roman" w:cs="Times New Roman"/>
          <w:i/>
          <w:iCs/>
          <w:spacing w:val="-3"/>
          <w:sz w:val="24"/>
          <w:szCs w:val="24"/>
        </w:rPr>
        <w:t>s</w:t>
      </w:r>
      <w:r>
        <w:rPr>
          <w:rFonts w:ascii="宋体" w:hAnsi="宋体" w:eastAsia="宋体" w:cs="宋体"/>
          <w:spacing w:val="-3"/>
          <w:sz w:val="24"/>
          <w:szCs w:val="24"/>
        </w:rPr>
        <w:t>、报春花</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Primula malacoides</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草 玉 梅</w:t>
      </w:r>
      <w:r>
        <w:rPr>
          <w:rFonts w:ascii="宋体" w:hAnsi="宋体" w:eastAsia="宋体" w:cs="宋体"/>
          <w:spacing w:val="84"/>
          <w:sz w:val="24"/>
          <w:szCs w:val="24"/>
        </w:rPr>
        <w:t xml:space="preserve"> </w:t>
      </w:r>
      <w:r>
        <w:rPr>
          <w:rFonts w:ascii="Times New Roman" w:hAnsi="Times New Roman" w:eastAsia="Times New Roman" w:cs="Times New Roman"/>
          <w:i/>
          <w:iCs/>
          <w:spacing w:val="-2"/>
          <w:sz w:val="24"/>
          <w:szCs w:val="24"/>
        </w:rPr>
        <w:t xml:space="preserve">Anemone   rivularis  </w:t>
      </w:r>
      <w:r>
        <w:rPr>
          <w:rFonts w:ascii="宋体" w:hAnsi="宋体" w:eastAsia="宋体" w:cs="宋体"/>
          <w:spacing w:val="-2"/>
          <w:sz w:val="24"/>
          <w:szCs w:val="24"/>
        </w:rPr>
        <w:t>、 草 血 竭</w:t>
      </w:r>
      <w:r>
        <w:rPr>
          <w:rFonts w:ascii="宋体" w:hAnsi="宋体" w:eastAsia="宋体" w:cs="宋体"/>
          <w:spacing w:val="91"/>
          <w:sz w:val="24"/>
          <w:szCs w:val="24"/>
        </w:rPr>
        <w:t xml:space="preserve"> </w:t>
      </w:r>
      <w:r>
        <w:rPr>
          <w:rFonts w:ascii="Times New Roman" w:hAnsi="Times New Roman" w:eastAsia="Times New Roman" w:cs="Times New Roman"/>
          <w:i/>
          <w:iCs/>
          <w:spacing w:val="-2"/>
          <w:sz w:val="24"/>
          <w:szCs w:val="24"/>
        </w:rPr>
        <w:t>Polygonum</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2"/>
          <w:sz w:val="24"/>
          <w:szCs w:val="24"/>
        </w:rPr>
        <w:t xml:space="preserve">paleaceum </w:t>
      </w:r>
      <w:r>
        <w:rPr>
          <w:rFonts w:ascii="Times New Roman" w:hAnsi="Times New Roman" w:eastAsia="Times New Roman" w:cs="Times New Roman"/>
          <w:i/>
          <w:iCs/>
          <w:spacing w:val="-3"/>
          <w:sz w:val="24"/>
          <w:szCs w:val="24"/>
        </w:rPr>
        <w:t xml:space="preserve"> </w:t>
      </w:r>
      <w:r>
        <w:rPr>
          <w:rFonts w:ascii="宋体" w:hAnsi="宋体" w:eastAsia="宋体" w:cs="宋体"/>
          <w:spacing w:val="-3"/>
          <w:sz w:val="24"/>
          <w:szCs w:val="24"/>
        </w:rPr>
        <w:t xml:space="preserve">、 川 续 断 </w:t>
      </w:r>
      <w:r>
        <w:rPr>
          <w:rFonts w:ascii="Times New Roman" w:hAnsi="Times New Roman" w:eastAsia="Times New Roman" w:cs="Times New Roman"/>
          <w:i/>
          <w:iCs/>
          <w:sz w:val="24"/>
          <w:szCs w:val="24"/>
        </w:rPr>
        <w:t>Dipsacus asperoides</w:t>
      </w:r>
      <w:r>
        <w:rPr>
          <w:rFonts w:ascii="Times New Roman" w:hAnsi="Times New Roman" w:eastAsia="Times New Roman" w:cs="Times New Roman"/>
          <w:i/>
          <w:iCs/>
          <w:spacing w:val="30"/>
          <w:sz w:val="24"/>
          <w:szCs w:val="24"/>
        </w:rPr>
        <w:t xml:space="preserve"> </w:t>
      </w:r>
      <w:r>
        <w:rPr>
          <w:rFonts w:ascii="宋体" w:hAnsi="宋体" w:eastAsia="宋体" w:cs="宋体"/>
          <w:sz w:val="24"/>
          <w:szCs w:val="24"/>
        </w:rPr>
        <w:t>等。除此之外，在局部区域，会形成以外来种破坏草、秋英</w:t>
      </w:r>
    </w:p>
    <w:p>
      <w:pPr>
        <w:spacing w:line="219" w:lineRule="auto"/>
        <w:ind w:left="42"/>
        <w:rPr>
          <w:rFonts w:ascii="宋体" w:hAnsi="宋体" w:eastAsia="宋体" w:cs="宋体"/>
          <w:sz w:val="24"/>
          <w:szCs w:val="24"/>
        </w:rPr>
      </w:pPr>
      <w:r>
        <w:rPr>
          <w:rFonts w:ascii="宋体" w:hAnsi="宋体" w:eastAsia="宋体" w:cs="宋体"/>
          <w:spacing w:val="-1"/>
          <w:sz w:val="24"/>
          <w:szCs w:val="24"/>
        </w:rPr>
        <w:t>为优势的群落，说明当地原生植被破坏十分</w:t>
      </w:r>
      <w:r>
        <w:rPr>
          <w:rFonts w:ascii="宋体" w:hAnsi="宋体" w:eastAsia="宋体" w:cs="宋体"/>
          <w:spacing w:val="-2"/>
          <w:sz w:val="24"/>
          <w:szCs w:val="24"/>
        </w:rPr>
        <w:t>严重，导致外来种入侵。</w:t>
      </w:r>
    </w:p>
    <w:p>
      <w:pPr>
        <w:spacing w:before="183" w:line="360" w:lineRule="auto"/>
        <w:ind w:left="34" w:right="86" w:firstLine="485"/>
        <w:rPr>
          <w:rFonts w:ascii="宋体" w:hAnsi="宋体" w:eastAsia="宋体" w:cs="宋体"/>
          <w:sz w:val="24"/>
          <w:szCs w:val="24"/>
        </w:rPr>
      </w:pPr>
      <w:r>
        <w:rPr>
          <w:rFonts w:ascii="宋体" w:hAnsi="宋体" w:eastAsia="宋体" w:cs="宋体"/>
          <w:spacing w:val="-2"/>
          <w:sz w:val="24"/>
          <w:szCs w:val="24"/>
        </w:rPr>
        <w:t>群落中藤本植物极少，常见的藤本植物有钝萼铁线莲</w:t>
      </w:r>
      <w:r>
        <w:rPr>
          <w:rFonts w:ascii="宋体" w:hAnsi="宋体" w:eastAsia="宋体" w:cs="宋体"/>
          <w:spacing w:val="-43"/>
          <w:sz w:val="24"/>
          <w:szCs w:val="24"/>
        </w:rPr>
        <w:t xml:space="preserve"> </w:t>
      </w:r>
      <w:r>
        <w:rPr>
          <w:rFonts w:ascii="Times New Roman" w:hAnsi="Times New Roman" w:eastAsia="Times New Roman" w:cs="Times New Roman"/>
          <w:i/>
          <w:iCs/>
          <w:spacing w:val="-2"/>
          <w:sz w:val="24"/>
          <w:szCs w:val="24"/>
        </w:rPr>
        <w:t>Clemat</w:t>
      </w:r>
      <w:r>
        <w:rPr>
          <w:rFonts w:ascii="Times New Roman" w:hAnsi="Times New Roman" w:eastAsia="Times New Roman" w:cs="Times New Roman"/>
          <w:i/>
          <w:iCs/>
          <w:spacing w:val="-3"/>
          <w:sz w:val="24"/>
          <w:szCs w:val="24"/>
        </w:rPr>
        <w:t>is</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3"/>
          <w:sz w:val="24"/>
          <w:szCs w:val="24"/>
        </w:rPr>
        <w:t>peterae</w:t>
      </w:r>
      <w:r>
        <w:rPr>
          <w:rFonts w:ascii="宋体" w:hAnsi="宋体" w:eastAsia="宋体" w:cs="宋体"/>
          <w:spacing w:val="-3"/>
          <w:sz w:val="24"/>
          <w:szCs w:val="24"/>
        </w:rPr>
        <w:t>、黑珠</w:t>
      </w:r>
      <w:r>
        <w:rPr>
          <w:rFonts w:ascii="宋体" w:hAnsi="宋体" w:eastAsia="宋体" w:cs="宋体"/>
          <w:sz w:val="24"/>
          <w:szCs w:val="24"/>
        </w:rPr>
        <w:t xml:space="preserve"> 芽薯蓣 </w:t>
      </w:r>
      <w:r>
        <w:rPr>
          <w:rFonts w:ascii="Times New Roman" w:hAnsi="Times New Roman" w:eastAsia="Times New Roman" w:cs="Times New Roman"/>
          <w:i/>
          <w:iCs/>
          <w:sz w:val="24"/>
          <w:szCs w:val="24"/>
        </w:rPr>
        <w:t>Dioscorea</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z w:val="24"/>
          <w:szCs w:val="24"/>
        </w:rPr>
        <w:t>melanophyma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 xml:space="preserve">、鸡屎藤 </w:t>
      </w:r>
      <w:r>
        <w:rPr>
          <w:rFonts w:ascii="Times New Roman" w:hAnsi="Times New Roman" w:eastAsia="Times New Roman" w:cs="Times New Roman"/>
          <w:i/>
          <w:iCs/>
          <w:sz w:val="24"/>
          <w:szCs w:val="24"/>
        </w:rPr>
        <w:t>Paederia</w:t>
      </w:r>
      <w:r>
        <w:rPr>
          <w:rFonts w:ascii="Times New Roman" w:hAnsi="Times New Roman" w:eastAsia="Times New Roman" w:cs="Times New Roman"/>
          <w:i/>
          <w:iCs/>
          <w:spacing w:val="-42"/>
          <w:sz w:val="24"/>
          <w:szCs w:val="24"/>
        </w:rPr>
        <w:t xml:space="preserve"> </w:t>
      </w:r>
      <w:r>
        <w:rPr>
          <w:rFonts w:ascii="Times New Roman" w:hAnsi="Times New Roman" w:eastAsia="Times New Roman" w:cs="Times New Roman"/>
          <w:i/>
          <w:iCs/>
          <w:sz w:val="24"/>
          <w:szCs w:val="24"/>
        </w:rPr>
        <w:t>foetida</w:t>
      </w:r>
      <w:r>
        <w:rPr>
          <w:rFonts w:ascii="宋体" w:hAnsi="宋体" w:eastAsia="宋体" w:cs="宋体"/>
          <w:sz w:val="24"/>
          <w:szCs w:val="24"/>
        </w:rPr>
        <w:t xml:space="preserve">、雷公藤 </w:t>
      </w:r>
      <w:r>
        <w:rPr>
          <w:rFonts w:ascii="Times New Roman" w:hAnsi="Times New Roman" w:eastAsia="Times New Roman" w:cs="Times New Roman"/>
          <w:i/>
          <w:iCs/>
          <w:sz w:val="24"/>
          <w:szCs w:val="24"/>
        </w:rPr>
        <w:t xml:space="preserve">Tripterygium </w:t>
      </w:r>
      <w:r>
        <w:rPr>
          <w:rFonts w:ascii="Times New Roman" w:hAnsi="Times New Roman" w:eastAsia="Times New Roman" w:cs="Times New Roman"/>
          <w:i/>
          <w:iCs/>
          <w:spacing w:val="-1"/>
          <w:sz w:val="24"/>
          <w:szCs w:val="24"/>
        </w:rPr>
        <w:t>wilfordii</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、青羊参</w:t>
      </w:r>
      <w:r>
        <w:rPr>
          <w:rFonts w:ascii="宋体" w:hAnsi="宋体" w:eastAsia="宋体" w:cs="宋体"/>
          <w:spacing w:val="-21"/>
          <w:sz w:val="24"/>
          <w:szCs w:val="24"/>
        </w:rPr>
        <w:t xml:space="preserve"> </w:t>
      </w:r>
      <w:r>
        <w:rPr>
          <w:rFonts w:ascii="Times New Roman" w:hAnsi="Times New Roman" w:eastAsia="Times New Roman" w:cs="Times New Roman"/>
          <w:i/>
          <w:iCs/>
          <w:spacing w:val="-1"/>
          <w:sz w:val="24"/>
          <w:szCs w:val="24"/>
        </w:rPr>
        <w:t>Cynanchum</w:t>
      </w:r>
      <w:r>
        <w:rPr>
          <w:rFonts w:ascii="Times New Roman" w:hAnsi="Times New Roman" w:eastAsia="Times New Roman" w:cs="Times New Roman"/>
          <w:i/>
          <w:iCs/>
          <w:spacing w:val="36"/>
          <w:w w:val="101"/>
          <w:sz w:val="24"/>
          <w:szCs w:val="24"/>
        </w:rPr>
        <w:t xml:space="preserve"> </w:t>
      </w:r>
      <w:r>
        <w:rPr>
          <w:rFonts w:ascii="Times New Roman" w:hAnsi="Times New Roman" w:eastAsia="Times New Roman" w:cs="Times New Roman"/>
          <w:i/>
          <w:iCs/>
          <w:spacing w:val="-1"/>
          <w:sz w:val="24"/>
          <w:szCs w:val="24"/>
        </w:rPr>
        <w:t>otophyllum</w:t>
      </w:r>
      <w:r>
        <w:rPr>
          <w:rFonts w:ascii="宋体" w:hAnsi="宋体" w:eastAsia="宋体" w:cs="宋体"/>
          <w:spacing w:val="-1"/>
          <w:sz w:val="24"/>
          <w:szCs w:val="24"/>
        </w:rPr>
        <w:t>、何首乌</w:t>
      </w:r>
      <w:r>
        <w:rPr>
          <w:rFonts w:ascii="宋体" w:hAnsi="宋体" w:eastAsia="宋体" w:cs="宋体"/>
          <w:spacing w:val="-43"/>
          <w:sz w:val="24"/>
          <w:szCs w:val="24"/>
        </w:rPr>
        <w:t xml:space="preserve"> </w:t>
      </w:r>
      <w:r>
        <w:rPr>
          <w:rFonts w:ascii="Times New Roman" w:hAnsi="Times New Roman" w:eastAsia="Times New Roman" w:cs="Times New Roman"/>
          <w:i/>
          <w:iCs/>
          <w:spacing w:val="-1"/>
          <w:sz w:val="24"/>
          <w:szCs w:val="24"/>
        </w:rPr>
        <w:t>Fallopia</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1"/>
          <w:sz w:val="24"/>
          <w:szCs w:val="24"/>
        </w:rPr>
        <w:t>multiflora</w:t>
      </w:r>
      <w:r>
        <w:rPr>
          <w:rFonts w:ascii="宋体" w:hAnsi="宋体" w:eastAsia="宋体" w:cs="宋体"/>
          <w:spacing w:val="-1"/>
          <w:sz w:val="24"/>
          <w:szCs w:val="24"/>
        </w:rPr>
        <w:t>、</w:t>
      </w:r>
      <w:r>
        <w:rPr>
          <w:rFonts w:ascii="宋体" w:hAnsi="宋体" w:eastAsia="宋体" w:cs="宋体"/>
          <w:spacing w:val="-2"/>
          <w:sz w:val="24"/>
          <w:szCs w:val="24"/>
        </w:rPr>
        <w:t>马甲菝葜</w:t>
      </w:r>
    </w:p>
    <w:p>
      <w:pPr>
        <w:spacing w:line="212" w:lineRule="auto"/>
        <w:ind w:left="31"/>
        <w:rPr>
          <w:rFonts w:ascii="宋体" w:hAnsi="宋体" w:eastAsia="宋体" w:cs="宋体"/>
          <w:sz w:val="24"/>
          <w:szCs w:val="24"/>
        </w:rPr>
      </w:pPr>
      <w:r>
        <w:rPr>
          <w:rFonts w:ascii="Times New Roman" w:hAnsi="Times New Roman" w:eastAsia="Times New Roman" w:cs="Times New Roman"/>
          <w:i/>
          <w:iCs/>
          <w:sz w:val="24"/>
          <w:szCs w:val="24"/>
        </w:rPr>
        <w:t xml:space="preserve">Smilax lanceifolia </w:t>
      </w:r>
      <w:r>
        <w:rPr>
          <w:rFonts w:ascii="宋体" w:hAnsi="宋体" w:eastAsia="宋体" w:cs="宋体"/>
          <w:sz w:val="24"/>
          <w:szCs w:val="24"/>
        </w:rPr>
        <w:t>等。此外，未见附生植</w:t>
      </w:r>
      <w:r>
        <w:rPr>
          <w:rFonts w:ascii="宋体" w:hAnsi="宋体" w:eastAsia="宋体" w:cs="宋体"/>
          <w:spacing w:val="-1"/>
          <w:sz w:val="24"/>
          <w:szCs w:val="24"/>
        </w:rPr>
        <w:t>物。</w:t>
      </w:r>
    </w:p>
    <w:p>
      <w:pPr>
        <w:spacing w:before="191" w:line="220" w:lineRule="auto"/>
        <w:ind w:left="520"/>
        <w:rPr>
          <w:rFonts w:ascii="宋体" w:hAnsi="宋体" w:eastAsia="宋体" w:cs="宋体"/>
          <w:sz w:val="24"/>
          <w:szCs w:val="24"/>
        </w:rPr>
      </w:pPr>
      <w:r>
        <w:rPr>
          <w:rFonts w:ascii="宋体" w:hAnsi="宋体" w:eastAsia="宋体" w:cs="宋体"/>
          <w:spacing w:val="-2"/>
          <w:sz w:val="24"/>
          <w:szCs w:val="24"/>
        </w:rPr>
        <w:t>Ⅵ</w:t>
      </w:r>
      <w:r>
        <w:rPr>
          <w:rFonts w:ascii="Times New Roman" w:hAnsi="Times New Roman" w:eastAsia="Times New Roman" w:cs="Times New Roman"/>
          <w:spacing w:val="-2"/>
          <w:sz w:val="24"/>
          <w:szCs w:val="24"/>
        </w:rPr>
        <w:t>.</w:t>
      </w:r>
      <w:r>
        <w:rPr>
          <w:rFonts w:ascii="宋体" w:hAnsi="宋体" w:eastAsia="宋体" w:cs="宋体"/>
          <w:spacing w:val="-2"/>
          <w:sz w:val="24"/>
          <w:szCs w:val="24"/>
        </w:rPr>
        <w:t>灌丛</w:t>
      </w:r>
    </w:p>
    <w:p>
      <w:pPr>
        <w:spacing w:before="182" w:line="360" w:lineRule="auto"/>
        <w:ind w:left="41" w:right="231" w:firstLine="477"/>
        <w:rPr>
          <w:rFonts w:ascii="宋体" w:hAnsi="宋体" w:eastAsia="宋体" w:cs="宋体"/>
          <w:sz w:val="24"/>
          <w:szCs w:val="24"/>
        </w:rPr>
      </w:pPr>
      <w:r>
        <w:rPr>
          <w:rFonts w:ascii="宋体" w:hAnsi="宋体" w:eastAsia="宋体" w:cs="宋体"/>
          <w:spacing w:val="-1"/>
          <w:sz w:val="24"/>
          <w:szCs w:val="24"/>
        </w:rPr>
        <w:t>在云南的植被中，灌丛类型多样且分布较广，有些是长期以来受到人为的</w:t>
      </w:r>
      <w:r>
        <w:rPr>
          <w:rFonts w:ascii="宋体" w:hAnsi="宋体" w:eastAsia="宋体" w:cs="宋体"/>
          <w:spacing w:val="4"/>
          <w:sz w:val="24"/>
          <w:szCs w:val="24"/>
        </w:rPr>
        <w:t xml:space="preserve"> </w:t>
      </w:r>
      <w:r>
        <w:rPr>
          <w:rFonts w:ascii="宋体" w:hAnsi="宋体" w:eastAsia="宋体" w:cs="宋体"/>
          <w:sz w:val="24"/>
          <w:szCs w:val="24"/>
        </w:rPr>
        <w:t>限制已使得它长久存在，不易恢复成原来的森林</w:t>
      </w:r>
      <w:r>
        <w:rPr>
          <w:rFonts w:ascii="宋体" w:hAnsi="宋体" w:eastAsia="宋体" w:cs="宋体"/>
          <w:spacing w:val="-1"/>
          <w:sz w:val="24"/>
          <w:szCs w:val="24"/>
        </w:rPr>
        <w:t>，如干热河谷旱生灌丛。评价</w:t>
      </w:r>
      <w:r>
        <w:rPr>
          <w:rFonts w:ascii="宋体" w:hAnsi="宋体" w:eastAsia="宋体" w:cs="宋体"/>
          <w:sz w:val="24"/>
          <w:szCs w:val="24"/>
        </w:rPr>
        <w:t xml:space="preserve"> </w:t>
      </w:r>
      <w:r>
        <w:rPr>
          <w:rFonts w:ascii="宋体" w:hAnsi="宋体" w:eastAsia="宋体" w:cs="宋体"/>
          <w:spacing w:val="-1"/>
          <w:sz w:val="24"/>
          <w:szCs w:val="24"/>
        </w:rPr>
        <w:t>区属于典型的滇中高原核心地带，是云南省人类活动较为悠久的地区之一，也</w:t>
      </w:r>
      <w:r>
        <w:rPr>
          <w:rFonts w:ascii="宋体" w:hAnsi="宋体" w:eastAsia="宋体" w:cs="宋体"/>
          <w:spacing w:val="7"/>
          <w:sz w:val="24"/>
          <w:szCs w:val="24"/>
        </w:rPr>
        <w:t xml:space="preserve"> </w:t>
      </w:r>
      <w:r>
        <w:rPr>
          <w:rFonts w:ascii="宋体" w:hAnsi="宋体" w:eastAsia="宋体" w:cs="宋体"/>
          <w:sz w:val="24"/>
          <w:szCs w:val="24"/>
        </w:rPr>
        <w:t>是云南喀斯特地貌分布比较广的地区。历史上由</w:t>
      </w:r>
      <w:r>
        <w:rPr>
          <w:rFonts w:ascii="宋体" w:hAnsi="宋体" w:eastAsia="宋体" w:cs="宋体"/>
          <w:spacing w:val="-1"/>
          <w:sz w:val="24"/>
          <w:szCs w:val="24"/>
        </w:rPr>
        <w:t>于生产而砍伐平地森林，大多</w:t>
      </w:r>
      <w:r>
        <w:rPr>
          <w:rFonts w:ascii="宋体" w:hAnsi="宋体" w:eastAsia="宋体" w:cs="宋体"/>
          <w:sz w:val="24"/>
          <w:szCs w:val="24"/>
        </w:rPr>
        <w:t xml:space="preserve"> 数平地上的乔木几乎损失殆尽，而靠近人类活动区</w:t>
      </w:r>
      <w:r>
        <w:rPr>
          <w:rFonts w:ascii="宋体" w:hAnsi="宋体" w:eastAsia="宋体" w:cs="宋体"/>
          <w:spacing w:val="-1"/>
          <w:sz w:val="24"/>
          <w:szCs w:val="24"/>
        </w:rPr>
        <w:t>附近的石灰岩干旱山坡也常</w:t>
      </w:r>
      <w:r>
        <w:rPr>
          <w:rFonts w:ascii="宋体" w:hAnsi="宋体" w:eastAsia="宋体" w:cs="宋体"/>
          <w:sz w:val="24"/>
          <w:szCs w:val="24"/>
        </w:rPr>
        <w:t xml:space="preserve"> 常被破坏，低矮的灌木和禾草往往组成最优势的</w:t>
      </w:r>
      <w:r>
        <w:rPr>
          <w:rFonts w:ascii="宋体" w:hAnsi="宋体" w:eastAsia="宋体" w:cs="宋体"/>
          <w:spacing w:val="-1"/>
          <w:sz w:val="24"/>
          <w:szCs w:val="24"/>
        </w:rPr>
        <w:t>群落，是滇中高原上较为显著</w:t>
      </w:r>
      <w:r>
        <w:rPr>
          <w:rFonts w:ascii="宋体" w:hAnsi="宋体" w:eastAsia="宋体" w:cs="宋体"/>
          <w:sz w:val="24"/>
          <w:szCs w:val="24"/>
        </w:rPr>
        <w:t xml:space="preserve"> 的植被。有不少次生的灌丛属于不稳定的群落，</w:t>
      </w:r>
      <w:r>
        <w:rPr>
          <w:rFonts w:ascii="宋体" w:hAnsi="宋体" w:eastAsia="宋体" w:cs="宋体"/>
          <w:spacing w:val="-1"/>
          <w:sz w:val="24"/>
          <w:szCs w:val="24"/>
        </w:rPr>
        <w:t>如果减少人类干扰，可以恢复</w:t>
      </w:r>
      <w:r>
        <w:rPr>
          <w:rFonts w:ascii="宋体" w:hAnsi="宋体" w:eastAsia="宋体" w:cs="宋体"/>
          <w:sz w:val="24"/>
          <w:szCs w:val="24"/>
        </w:rPr>
        <w:t xml:space="preserve"> </w:t>
      </w:r>
      <w:r>
        <w:rPr>
          <w:rFonts w:ascii="宋体" w:hAnsi="宋体" w:eastAsia="宋体" w:cs="宋体"/>
          <w:spacing w:val="-2"/>
          <w:sz w:val="24"/>
          <w:szCs w:val="24"/>
        </w:rPr>
        <w:t>成次生稀树灌木草丛或云南松林，在此次调查中这类植被并未划入到灌丛中，</w:t>
      </w:r>
    </w:p>
    <w:p>
      <w:pPr>
        <w:spacing w:before="1" w:line="218" w:lineRule="auto"/>
        <w:ind w:left="40"/>
        <w:rPr>
          <w:rFonts w:ascii="宋体" w:hAnsi="宋体" w:eastAsia="宋体" w:cs="宋体"/>
          <w:sz w:val="24"/>
          <w:szCs w:val="24"/>
        </w:rPr>
      </w:pPr>
      <w:r>
        <w:rPr>
          <w:rFonts w:ascii="宋体" w:hAnsi="宋体" w:eastAsia="宋体" w:cs="宋体"/>
          <w:spacing w:val="-5"/>
          <w:sz w:val="24"/>
          <w:szCs w:val="24"/>
        </w:rPr>
        <w:t>而是列为其他群落的次生类型。</w:t>
      </w:r>
      <w:r>
        <w:rPr>
          <w:rFonts w:ascii="宋体" w:hAnsi="宋体" w:eastAsia="宋体" w:cs="宋体"/>
          <w:spacing w:val="43"/>
          <w:sz w:val="24"/>
          <w:szCs w:val="24"/>
        </w:rPr>
        <w:t xml:space="preserve"> </w:t>
      </w:r>
      <w:r>
        <w:rPr>
          <w:rFonts w:ascii="宋体" w:hAnsi="宋体" w:eastAsia="宋体" w:cs="宋体"/>
          <w:spacing w:val="-5"/>
          <w:sz w:val="24"/>
          <w:szCs w:val="24"/>
        </w:rPr>
        <w:t>在本评价区，海拔跨度</w:t>
      </w:r>
      <w:r>
        <w:rPr>
          <w:rFonts w:ascii="宋体" w:hAnsi="宋体" w:eastAsia="宋体" w:cs="宋体"/>
          <w:spacing w:val="-6"/>
          <w:sz w:val="24"/>
          <w:szCs w:val="24"/>
        </w:rPr>
        <w:t>比较小，生境较为均</w:t>
      </w:r>
    </w:p>
    <w:p>
      <w:pPr>
        <w:spacing w:before="184" w:line="219" w:lineRule="auto"/>
        <w:ind w:left="40"/>
        <w:rPr>
          <w:rFonts w:ascii="宋体" w:hAnsi="宋体" w:eastAsia="宋体" w:cs="宋体"/>
          <w:sz w:val="24"/>
          <w:szCs w:val="24"/>
        </w:rPr>
      </w:pPr>
      <w:r>
        <w:rPr>
          <w:rFonts w:ascii="宋体" w:hAnsi="宋体" w:eastAsia="宋体" w:cs="宋体"/>
          <w:spacing w:val="-2"/>
          <w:sz w:val="24"/>
          <w:szCs w:val="24"/>
        </w:rPr>
        <w:t>质，仅有一种植被亚型分布：暖性石灰岩灌</w:t>
      </w:r>
      <w:r>
        <w:rPr>
          <w:rFonts w:ascii="宋体" w:hAnsi="宋体" w:eastAsia="宋体" w:cs="宋体"/>
          <w:spacing w:val="-3"/>
          <w:sz w:val="24"/>
          <w:szCs w:val="24"/>
        </w:rPr>
        <w:t>丛。</w:t>
      </w:r>
    </w:p>
    <w:p>
      <w:pPr>
        <w:spacing w:before="184" w:line="468" w:lineRule="exact"/>
        <w:ind w:left="528"/>
        <w:rPr>
          <w:rFonts w:ascii="Times New Roman" w:hAnsi="Times New Roman" w:eastAsia="Times New Roman" w:cs="Times New Roman"/>
          <w:sz w:val="24"/>
          <w:szCs w:val="24"/>
        </w:rPr>
      </w:pPr>
      <w:r>
        <w:rPr>
          <w:rFonts w:ascii="宋体" w:hAnsi="宋体" w:eastAsia="宋体" w:cs="宋体"/>
          <w:spacing w:val="-1"/>
          <w:position w:val="17"/>
          <w:sz w:val="24"/>
          <w:szCs w:val="24"/>
        </w:rPr>
        <w:t>暖性石灰岩灌丛主要分布于亚热带气候下的各低山丘陵，海拔</w:t>
      </w:r>
      <w:r>
        <w:rPr>
          <w:rFonts w:ascii="宋体" w:hAnsi="宋体" w:eastAsia="宋体" w:cs="宋体"/>
          <w:spacing w:val="-31"/>
          <w:position w:val="17"/>
          <w:sz w:val="24"/>
          <w:szCs w:val="24"/>
        </w:rPr>
        <w:t xml:space="preserve"> </w:t>
      </w:r>
      <w:r>
        <w:rPr>
          <w:rFonts w:ascii="Times New Roman" w:hAnsi="Times New Roman" w:eastAsia="Times New Roman" w:cs="Times New Roman"/>
          <w:spacing w:val="-1"/>
          <w:position w:val="17"/>
          <w:sz w:val="24"/>
          <w:szCs w:val="24"/>
        </w:rPr>
        <w:t>140</w:t>
      </w:r>
      <w:r>
        <w:rPr>
          <w:rFonts w:ascii="Times New Roman" w:hAnsi="Times New Roman" w:eastAsia="Times New Roman" w:cs="Times New Roman"/>
          <w:spacing w:val="-2"/>
          <w:position w:val="17"/>
          <w:sz w:val="24"/>
          <w:szCs w:val="24"/>
        </w:rPr>
        <w:t>0~2500m</w:t>
      </w:r>
    </w:p>
    <w:p>
      <w:pPr>
        <w:spacing w:before="1" w:line="218" w:lineRule="auto"/>
        <w:ind w:left="41"/>
        <w:rPr>
          <w:rFonts w:ascii="宋体" w:hAnsi="宋体" w:eastAsia="宋体" w:cs="宋体"/>
          <w:sz w:val="24"/>
          <w:szCs w:val="24"/>
        </w:rPr>
      </w:pPr>
      <w:r>
        <w:rPr>
          <w:rFonts w:ascii="宋体" w:hAnsi="宋体" w:eastAsia="宋体" w:cs="宋体"/>
          <w:sz w:val="24"/>
          <w:szCs w:val="24"/>
        </w:rPr>
        <w:t>左右，具有一定的次生性。它是由滇青冈、清香</w:t>
      </w:r>
      <w:r>
        <w:rPr>
          <w:rFonts w:ascii="宋体" w:hAnsi="宋体" w:eastAsia="宋体" w:cs="宋体"/>
          <w:spacing w:val="-1"/>
          <w:sz w:val="24"/>
          <w:szCs w:val="24"/>
        </w:rPr>
        <w:t>木为主的半湿润常绿阔叶林因</w:t>
      </w:r>
    </w:p>
    <w:p>
      <w:pPr>
        <w:spacing w:line="218" w:lineRule="auto"/>
        <w:rPr>
          <w:rFonts w:ascii="宋体" w:hAnsi="宋体" w:eastAsia="宋体" w:cs="宋体"/>
          <w:sz w:val="24"/>
          <w:szCs w:val="24"/>
        </w:rPr>
        <w:sectPr>
          <w:headerReference r:id="rId268" w:type="default"/>
          <w:footerReference r:id="rId269" w:type="default"/>
          <w:pgSz w:w="11907" w:h="16839"/>
          <w:pgMar w:top="1156" w:right="1713" w:bottom="1374" w:left="1770" w:header="881" w:footer="1210" w:gutter="0"/>
        </w:sectPr>
      </w:pPr>
    </w:p>
    <w:p>
      <w:pPr>
        <w:spacing w:line="317" w:lineRule="auto"/>
        <w:rPr>
          <w:rFonts w:ascii="Arial"/>
          <w:sz w:val="21"/>
        </w:rPr>
      </w:pPr>
    </w:p>
    <w:p>
      <w:pPr>
        <w:spacing w:before="78" w:line="360" w:lineRule="auto"/>
        <w:ind w:left="41" w:right="352" w:hanging="1"/>
        <w:jc w:val="both"/>
        <w:rPr>
          <w:rFonts w:ascii="宋体" w:hAnsi="宋体" w:eastAsia="宋体" w:cs="宋体"/>
          <w:sz w:val="24"/>
          <w:szCs w:val="24"/>
        </w:rPr>
      </w:pPr>
      <w:r>
        <w:rPr>
          <w:rFonts w:ascii="宋体" w:hAnsi="宋体" w:eastAsia="宋体" w:cs="宋体"/>
          <w:sz w:val="24"/>
          <w:szCs w:val="24"/>
        </w:rPr>
        <w:t>长期人类活动的影响，保留下来的森林已极为少见</w:t>
      </w:r>
      <w:r>
        <w:rPr>
          <w:rFonts w:ascii="宋体" w:hAnsi="宋体" w:eastAsia="宋体" w:cs="宋体"/>
          <w:spacing w:val="-1"/>
          <w:sz w:val="24"/>
          <w:szCs w:val="24"/>
        </w:rPr>
        <w:t>，广大的石灰岩山地为一些</w:t>
      </w:r>
      <w:r>
        <w:rPr>
          <w:rFonts w:ascii="宋体" w:hAnsi="宋体" w:eastAsia="宋体" w:cs="宋体"/>
          <w:sz w:val="24"/>
          <w:szCs w:val="24"/>
        </w:rPr>
        <w:t xml:space="preserve"> 耐干旱的，特别是一些喜钙植物，适应性广的</w:t>
      </w:r>
      <w:r>
        <w:rPr>
          <w:rFonts w:ascii="宋体" w:hAnsi="宋体" w:eastAsia="宋体" w:cs="宋体"/>
          <w:spacing w:val="-1"/>
          <w:sz w:val="24"/>
          <w:szCs w:val="24"/>
        </w:rPr>
        <w:t>植物组成灌丛，成为了石灰岩山</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地带有指示性的类型。常常分布于滇中、滇东及滇东</w:t>
      </w:r>
      <w:r>
        <w:rPr>
          <w:rFonts w:ascii="宋体" w:hAnsi="宋体" w:eastAsia="宋体" w:cs="宋体"/>
          <w:spacing w:val="-2"/>
          <w:sz w:val="24"/>
          <w:szCs w:val="24"/>
        </w:rPr>
        <w:t>南各地的石灰岩山地。</w:t>
      </w:r>
    </w:p>
    <w:p>
      <w:pPr>
        <w:spacing w:before="183" w:line="360" w:lineRule="auto"/>
        <w:ind w:left="39" w:right="137" w:firstLine="479"/>
        <w:rPr>
          <w:rFonts w:ascii="宋体" w:hAnsi="宋体" w:eastAsia="宋体" w:cs="宋体"/>
          <w:sz w:val="24"/>
          <w:szCs w:val="24"/>
        </w:rPr>
      </w:pPr>
      <w:r>
        <w:rPr>
          <w:rFonts w:ascii="宋体" w:hAnsi="宋体" w:eastAsia="宋体" w:cs="宋体"/>
          <w:spacing w:val="-7"/>
          <w:sz w:val="24"/>
          <w:szCs w:val="24"/>
        </w:rPr>
        <w:t>评价区属于滇中高原边缘地带的金沙江流域中山峡谷地区， 喀斯特地貌极为</w:t>
      </w:r>
      <w:r>
        <w:rPr>
          <w:rFonts w:ascii="宋体" w:hAnsi="宋体" w:eastAsia="宋体" w:cs="宋体"/>
          <w:spacing w:val="15"/>
          <w:sz w:val="24"/>
          <w:szCs w:val="24"/>
        </w:rPr>
        <w:t xml:space="preserve"> </w:t>
      </w:r>
      <w:r>
        <w:rPr>
          <w:rFonts w:ascii="宋体" w:hAnsi="宋体" w:eastAsia="宋体" w:cs="宋体"/>
          <w:spacing w:val="-10"/>
          <w:sz w:val="24"/>
          <w:szCs w:val="24"/>
        </w:rPr>
        <w:t>广泛。这些石灰岩山地因为长期受人类活动的持续影响，</w:t>
      </w:r>
      <w:r>
        <w:rPr>
          <w:rFonts w:ascii="宋体" w:hAnsi="宋体" w:eastAsia="宋体" w:cs="宋体"/>
          <w:spacing w:val="-36"/>
          <w:sz w:val="24"/>
          <w:szCs w:val="24"/>
        </w:rPr>
        <w:t xml:space="preserve"> </w:t>
      </w:r>
      <w:r>
        <w:rPr>
          <w:rFonts w:ascii="宋体" w:hAnsi="宋体" w:eastAsia="宋体" w:cs="宋体"/>
          <w:spacing w:val="-10"/>
          <w:sz w:val="24"/>
          <w:szCs w:val="24"/>
        </w:rPr>
        <w:t>本植被亚型分布极广泛，</w:t>
      </w:r>
      <w:r>
        <w:rPr>
          <w:rFonts w:ascii="宋体" w:hAnsi="宋体" w:eastAsia="宋体" w:cs="宋体"/>
          <w:sz w:val="24"/>
          <w:szCs w:val="24"/>
        </w:rPr>
        <w:t xml:space="preserve"> </w:t>
      </w:r>
      <w:r>
        <w:rPr>
          <w:rFonts w:ascii="宋体" w:hAnsi="宋体" w:eastAsia="宋体" w:cs="宋体"/>
          <w:spacing w:val="-6"/>
          <w:sz w:val="24"/>
          <w:szCs w:val="24"/>
        </w:rPr>
        <w:t>群落中含有耐贫瘠的植物种类，</w:t>
      </w:r>
      <w:r>
        <w:rPr>
          <w:rFonts w:ascii="宋体" w:hAnsi="宋体" w:eastAsia="宋体" w:cs="宋体"/>
          <w:spacing w:val="-14"/>
          <w:sz w:val="24"/>
          <w:szCs w:val="24"/>
        </w:rPr>
        <w:t xml:space="preserve"> </w:t>
      </w:r>
      <w:r>
        <w:rPr>
          <w:rFonts w:ascii="宋体" w:hAnsi="宋体" w:eastAsia="宋体" w:cs="宋体"/>
          <w:spacing w:val="-6"/>
          <w:sz w:val="24"/>
          <w:szCs w:val="24"/>
        </w:rPr>
        <w:t>是石灰岩地半湿润常绿阔叶林或云南松林遭破坏</w:t>
      </w:r>
      <w:r>
        <w:rPr>
          <w:rFonts w:ascii="宋体" w:hAnsi="宋体" w:eastAsia="宋体" w:cs="宋体"/>
          <w:sz w:val="24"/>
          <w:szCs w:val="24"/>
        </w:rPr>
        <w:t xml:space="preserve"> </w:t>
      </w:r>
      <w:r>
        <w:rPr>
          <w:rFonts w:ascii="宋体" w:hAnsi="宋体" w:eastAsia="宋体" w:cs="宋体"/>
          <w:spacing w:val="-8"/>
          <w:sz w:val="24"/>
          <w:szCs w:val="24"/>
        </w:rPr>
        <w:t>后形成的， 物种组成与本区域的暖温性稀树灌木草丛几乎一致，</w:t>
      </w:r>
      <w:r>
        <w:rPr>
          <w:rFonts w:ascii="宋体" w:hAnsi="宋体" w:eastAsia="宋体" w:cs="宋体"/>
          <w:spacing w:val="-56"/>
          <w:sz w:val="24"/>
          <w:szCs w:val="24"/>
        </w:rPr>
        <w:t xml:space="preserve"> </w:t>
      </w:r>
      <w:r>
        <w:rPr>
          <w:rFonts w:ascii="宋体" w:hAnsi="宋体" w:eastAsia="宋体" w:cs="宋体"/>
          <w:spacing w:val="-8"/>
          <w:sz w:val="24"/>
          <w:szCs w:val="24"/>
        </w:rPr>
        <w:t>只是植被更为退</w:t>
      </w:r>
      <w:r>
        <w:rPr>
          <w:rFonts w:ascii="宋体" w:hAnsi="宋体" w:eastAsia="宋体" w:cs="宋体"/>
          <w:sz w:val="24"/>
          <w:szCs w:val="24"/>
        </w:rPr>
        <w:t xml:space="preserve"> </w:t>
      </w:r>
      <w:r>
        <w:rPr>
          <w:rFonts w:ascii="宋体" w:hAnsi="宋体" w:eastAsia="宋体" w:cs="宋体"/>
          <w:spacing w:val="-12"/>
          <w:sz w:val="24"/>
          <w:szCs w:val="24"/>
        </w:rPr>
        <w:t>化、灌丛更加稀疏、多样性大大降低、乔木几</w:t>
      </w:r>
      <w:r>
        <w:rPr>
          <w:rFonts w:ascii="宋体" w:hAnsi="宋体" w:eastAsia="宋体" w:cs="宋体"/>
          <w:spacing w:val="-13"/>
          <w:sz w:val="24"/>
          <w:szCs w:val="24"/>
        </w:rPr>
        <w:t>乎消失，</w:t>
      </w:r>
      <w:r>
        <w:rPr>
          <w:rFonts w:ascii="宋体" w:hAnsi="宋体" w:eastAsia="宋体" w:cs="宋体"/>
          <w:spacing w:val="43"/>
          <w:sz w:val="24"/>
          <w:szCs w:val="24"/>
        </w:rPr>
        <w:t xml:space="preserve"> </w:t>
      </w:r>
      <w:r>
        <w:rPr>
          <w:rFonts w:ascii="宋体" w:hAnsi="宋体" w:eastAsia="宋体" w:cs="宋体"/>
          <w:spacing w:val="-13"/>
          <w:sz w:val="24"/>
          <w:szCs w:val="24"/>
        </w:rPr>
        <w:t>若进一步地破坏，</w:t>
      </w:r>
      <w:r>
        <w:rPr>
          <w:rFonts w:ascii="宋体" w:hAnsi="宋体" w:eastAsia="宋体" w:cs="宋体"/>
          <w:spacing w:val="47"/>
          <w:sz w:val="24"/>
          <w:szCs w:val="24"/>
        </w:rPr>
        <w:t xml:space="preserve"> </w:t>
      </w:r>
      <w:r>
        <w:rPr>
          <w:rFonts w:ascii="宋体" w:hAnsi="宋体" w:eastAsia="宋体" w:cs="宋体"/>
          <w:spacing w:val="-13"/>
          <w:sz w:val="24"/>
          <w:szCs w:val="24"/>
        </w:rPr>
        <w:t>则向旱</w:t>
      </w:r>
      <w:r>
        <w:rPr>
          <w:rFonts w:ascii="宋体" w:hAnsi="宋体" w:eastAsia="宋体" w:cs="宋体"/>
          <w:sz w:val="24"/>
          <w:szCs w:val="24"/>
        </w:rPr>
        <w:t xml:space="preserve"> </w:t>
      </w:r>
      <w:r>
        <w:rPr>
          <w:rFonts w:ascii="宋体" w:hAnsi="宋体" w:eastAsia="宋体" w:cs="宋体"/>
          <w:spacing w:val="-3"/>
          <w:sz w:val="24"/>
          <w:szCs w:val="24"/>
        </w:rPr>
        <w:t>生荒草坡石山演变。该群落类型主要分布于海拔约</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1900~2400m</w:t>
      </w:r>
      <w:r>
        <w:rPr>
          <w:rFonts w:ascii="Times New Roman" w:hAnsi="Times New Roman" w:eastAsia="Times New Roman" w:cs="Times New Roman"/>
          <w:spacing w:val="29"/>
          <w:w w:val="101"/>
          <w:sz w:val="24"/>
          <w:szCs w:val="24"/>
        </w:rPr>
        <w:t xml:space="preserve"> </w:t>
      </w:r>
      <w:r>
        <w:rPr>
          <w:rFonts w:ascii="宋体" w:hAnsi="宋体" w:eastAsia="宋体" w:cs="宋体"/>
          <w:spacing w:val="-3"/>
          <w:sz w:val="24"/>
          <w:szCs w:val="24"/>
        </w:rPr>
        <w:t>的石灰岩裸露地</w:t>
      </w:r>
      <w:r>
        <w:rPr>
          <w:rFonts w:ascii="宋体" w:hAnsi="宋体" w:eastAsia="宋体" w:cs="宋体"/>
          <w:sz w:val="24"/>
          <w:szCs w:val="24"/>
        </w:rPr>
        <w:t xml:space="preserve"> </w:t>
      </w:r>
      <w:r>
        <w:rPr>
          <w:rFonts w:ascii="宋体" w:hAnsi="宋体" w:eastAsia="宋体" w:cs="宋体"/>
          <w:spacing w:val="-18"/>
          <w:sz w:val="24"/>
          <w:szCs w:val="24"/>
        </w:rPr>
        <w:t>或低矮丘陵峰岭上，</w:t>
      </w:r>
      <w:r>
        <w:rPr>
          <w:rFonts w:ascii="宋体" w:hAnsi="宋体" w:eastAsia="宋体" w:cs="宋体"/>
          <w:spacing w:val="42"/>
          <w:sz w:val="24"/>
          <w:szCs w:val="24"/>
        </w:rPr>
        <w:t xml:space="preserve"> </w:t>
      </w:r>
      <w:r>
        <w:rPr>
          <w:rFonts w:ascii="宋体" w:hAnsi="宋体" w:eastAsia="宋体" w:cs="宋体"/>
          <w:spacing w:val="-18"/>
          <w:sz w:val="24"/>
          <w:szCs w:val="24"/>
        </w:rPr>
        <w:t>土壤瘠薄， 表土流失严重，</w:t>
      </w:r>
      <w:r>
        <w:rPr>
          <w:rFonts w:ascii="宋体" w:hAnsi="宋体" w:eastAsia="宋体" w:cs="宋体"/>
          <w:spacing w:val="39"/>
          <w:sz w:val="24"/>
          <w:szCs w:val="24"/>
        </w:rPr>
        <w:t xml:space="preserve"> </w:t>
      </w:r>
      <w:r>
        <w:rPr>
          <w:rFonts w:ascii="宋体" w:hAnsi="宋体" w:eastAsia="宋体" w:cs="宋体"/>
          <w:spacing w:val="-18"/>
          <w:sz w:val="24"/>
          <w:szCs w:val="24"/>
        </w:rPr>
        <w:t>生境干燥， 调查中仅发现有铁仔</w:t>
      </w:r>
    </w:p>
    <w:p>
      <w:pPr>
        <w:spacing w:line="212" w:lineRule="auto"/>
        <w:jc w:val="right"/>
        <w:rPr>
          <w:rFonts w:ascii="宋体" w:hAnsi="宋体" w:eastAsia="宋体" w:cs="宋体"/>
          <w:sz w:val="24"/>
          <w:szCs w:val="24"/>
        </w:rPr>
      </w:pPr>
      <w:r>
        <w:rPr>
          <w:rFonts w:ascii="宋体" w:hAnsi="宋体" w:eastAsia="宋体" w:cs="宋体"/>
          <w:spacing w:val="-7"/>
          <w:sz w:val="24"/>
          <w:szCs w:val="24"/>
        </w:rPr>
        <w:t>灌丛（</w:t>
      </w:r>
      <w:r>
        <w:rPr>
          <w:rFonts w:ascii="Times New Roman" w:hAnsi="Times New Roman" w:eastAsia="Times New Roman" w:cs="Times New Roman"/>
          <w:spacing w:val="-7"/>
          <w:sz w:val="24"/>
          <w:szCs w:val="24"/>
        </w:rPr>
        <w:t>Form.</w:t>
      </w:r>
      <w:r>
        <w:rPr>
          <w:rFonts w:ascii="Times New Roman" w:hAnsi="Times New Roman" w:eastAsia="Times New Roman" w:cs="Times New Roman"/>
          <w:spacing w:val="-22"/>
          <w:sz w:val="24"/>
          <w:szCs w:val="24"/>
        </w:rPr>
        <w:t xml:space="preserve"> </w:t>
      </w:r>
      <w:r>
        <w:rPr>
          <w:rFonts w:ascii="Times New Roman" w:hAnsi="Times New Roman" w:eastAsia="Times New Roman" w:cs="Times New Roman"/>
          <w:i/>
          <w:iCs/>
          <w:spacing w:val="-7"/>
          <w:sz w:val="24"/>
          <w:szCs w:val="24"/>
        </w:rPr>
        <w:t>Myrsine africana</w:t>
      </w:r>
      <w:r>
        <w:rPr>
          <w:rFonts w:ascii="宋体" w:hAnsi="宋体" w:eastAsia="宋体" w:cs="宋体"/>
          <w:spacing w:val="-7"/>
          <w:sz w:val="24"/>
          <w:szCs w:val="24"/>
        </w:rPr>
        <w:t>）及其变型群系车桑子</w:t>
      </w:r>
      <w:r>
        <w:rPr>
          <w:rFonts w:ascii="宋体" w:hAnsi="宋体" w:eastAsia="宋体" w:cs="宋体"/>
          <w:spacing w:val="-8"/>
          <w:sz w:val="24"/>
          <w:szCs w:val="24"/>
        </w:rPr>
        <w:t>灌丛（</w:t>
      </w:r>
      <w:r>
        <w:rPr>
          <w:rFonts w:ascii="Times New Roman" w:hAnsi="Times New Roman" w:eastAsia="Times New Roman" w:cs="Times New Roman"/>
          <w:spacing w:val="-8"/>
          <w:sz w:val="24"/>
          <w:szCs w:val="24"/>
        </w:rPr>
        <w:t>Form.</w:t>
      </w:r>
      <w:r>
        <w:rPr>
          <w:rFonts w:ascii="Times New Roman" w:hAnsi="Times New Roman" w:eastAsia="Times New Roman" w:cs="Times New Roman"/>
          <w:i/>
          <w:iCs/>
          <w:spacing w:val="-8"/>
          <w:sz w:val="24"/>
          <w:szCs w:val="24"/>
        </w:rPr>
        <w:t>Dodonaea viscosa</w:t>
      </w:r>
      <w:r>
        <w:rPr>
          <w:rFonts w:ascii="宋体" w:hAnsi="宋体" w:eastAsia="宋体" w:cs="宋体"/>
          <w:spacing w:val="-8"/>
          <w:sz w:val="24"/>
          <w:szCs w:val="24"/>
        </w:rPr>
        <w:t>）。</w:t>
      </w:r>
    </w:p>
    <w:p>
      <w:pPr>
        <w:spacing w:before="192" w:line="212" w:lineRule="auto"/>
        <w:ind w:left="520"/>
        <w:rPr>
          <w:rFonts w:ascii="宋体" w:hAnsi="宋体" w:eastAsia="宋体" w:cs="宋体"/>
          <w:sz w:val="24"/>
          <w:szCs w:val="24"/>
        </w:rPr>
      </w:pPr>
      <w:r>
        <w:rPr>
          <w:rFonts w:ascii="宋体" w:hAnsi="宋体" w:eastAsia="宋体" w:cs="宋体"/>
          <w:sz w:val="24"/>
          <w:szCs w:val="24"/>
          <w14:textOutline w14:w="4354" w14:cap="flat" w14:cmpd="sng">
            <w14:solidFill>
              <w14:srgbClr w14:val="000000"/>
            </w14:solidFill>
            <w14:prstDash w14:val="solid"/>
            <w14:miter w14:val="0"/>
          </w14:textOutline>
        </w:rPr>
        <w:t>铁仔灌丛（</w:t>
      </w:r>
      <w:r>
        <w:rPr>
          <w:rFonts w:ascii="Times New Roman" w:hAnsi="Times New Roman" w:eastAsia="Times New Roman" w:cs="Times New Roman"/>
          <w:b/>
          <w:bCs/>
          <w:sz w:val="24"/>
          <w:szCs w:val="24"/>
        </w:rPr>
        <w:t xml:space="preserve">Form. </w:t>
      </w:r>
      <w:r>
        <w:rPr>
          <w:rFonts w:ascii="Times New Roman" w:hAnsi="Times New Roman" w:eastAsia="Times New Roman" w:cs="Times New Roman"/>
          <w:b/>
          <w:bCs/>
          <w:i/>
          <w:iCs/>
          <w:sz w:val="24"/>
          <w:szCs w:val="24"/>
        </w:rPr>
        <w:t>Myrsine afri</w:t>
      </w:r>
      <w:r>
        <w:rPr>
          <w:rFonts w:ascii="Times New Roman" w:hAnsi="Times New Roman" w:eastAsia="Times New Roman" w:cs="Times New Roman"/>
          <w:b/>
          <w:bCs/>
          <w:i/>
          <w:iCs/>
          <w:spacing w:val="-1"/>
          <w:sz w:val="24"/>
          <w:szCs w:val="24"/>
        </w:rPr>
        <w:t>cana</w:t>
      </w:r>
      <w:r>
        <w:rPr>
          <w:rFonts w:ascii="宋体" w:hAnsi="宋体" w:eastAsia="宋体" w:cs="宋体"/>
          <w:sz w:val="24"/>
          <w:szCs w:val="24"/>
          <w14:textOutline w14:w="4354" w14:cap="flat" w14:cmpd="sng">
            <w14:solidFill>
              <w14:srgbClr w14:val="000000"/>
            </w14:solidFill>
            <w14:prstDash w14:val="solid"/>
            <w14:miter w14:val="0"/>
          </w14:textOutline>
        </w:rPr>
        <w:t>）：</w:t>
      </w:r>
    </w:p>
    <w:p>
      <w:pPr>
        <w:spacing w:before="192" w:line="360" w:lineRule="auto"/>
        <w:ind w:left="39" w:right="351" w:firstLine="480"/>
        <w:rPr>
          <w:rFonts w:ascii="宋体" w:hAnsi="宋体" w:eastAsia="宋体" w:cs="宋体"/>
          <w:sz w:val="24"/>
          <w:szCs w:val="24"/>
        </w:rPr>
      </w:pPr>
      <w:r>
        <w:rPr>
          <w:rFonts w:ascii="宋体" w:hAnsi="宋体" w:eastAsia="宋体" w:cs="宋体"/>
          <w:sz w:val="24"/>
          <w:szCs w:val="24"/>
        </w:rPr>
        <w:t>本群系以铁仔为优势种，或为常见种，至少为</w:t>
      </w:r>
      <w:r>
        <w:rPr>
          <w:rFonts w:ascii="宋体" w:hAnsi="宋体" w:eastAsia="宋体" w:cs="宋体"/>
          <w:spacing w:val="-1"/>
          <w:sz w:val="24"/>
          <w:szCs w:val="24"/>
        </w:rPr>
        <w:t>群落中较显著的一员，分布</w:t>
      </w:r>
      <w:r>
        <w:rPr>
          <w:rFonts w:ascii="宋体" w:hAnsi="宋体" w:eastAsia="宋体" w:cs="宋体"/>
          <w:sz w:val="24"/>
          <w:szCs w:val="24"/>
        </w:rPr>
        <w:t xml:space="preserve"> 于滇中、滇东、滇北各地的石灰岩山地，特别是那些</w:t>
      </w:r>
      <w:r>
        <w:rPr>
          <w:rFonts w:ascii="宋体" w:hAnsi="宋体" w:eastAsia="宋体" w:cs="宋体"/>
          <w:spacing w:val="-1"/>
          <w:sz w:val="24"/>
          <w:szCs w:val="24"/>
        </w:rPr>
        <w:t>岩石裸露、土壤干旱的山</w:t>
      </w:r>
      <w:r>
        <w:rPr>
          <w:rFonts w:ascii="宋体" w:hAnsi="宋体" w:eastAsia="宋体" w:cs="宋体"/>
          <w:sz w:val="24"/>
          <w:szCs w:val="24"/>
        </w:rPr>
        <w:t xml:space="preserve"> </w:t>
      </w:r>
      <w:r>
        <w:rPr>
          <w:rFonts w:ascii="宋体" w:hAnsi="宋体" w:eastAsia="宋体" w:cs="宋体"/>
          <w:spacing w:val="-4"/>
          <w:sz w:val="24"/>
          <w:szCs w:val="24"/>
        </w:rPr>
        <w:t>地，森林的恢复已经很困难了。本次调查仅发现一个群落： 火棘、马桑、长尖</w:t>
      </w:r>
    </w:p>
    <w:p>
      <w:pPr>
        <w:spacing w:before="1" w:line="212" w:lineRule="auto"/>
        <w:ind w:left="54"/>
        <w:rPr>
          <w:rFonts w:ascii="Times New Roman" w:hAnsi="Times New Roman" w:eastAsia="Times New Roman" w:cs="Times New Roman"/>
          <w:sz w:val="24"/>
          <w:szCs w:val="24"/>
        </w:rPr>
      </w:pPr>
      <w:r>
        <w:rPr>
          <w:rFonts w:ascii="宋体" w:hAnsi="宋体" w:eastAsia="宋体" w:cs="宋体"/>
          <w:sz w:val="24"/>
          <w:szCs w:val="24"/>
        </w:rPr>
        <w:t>叶蔷薇群落（</w:t>
      </w:r>
      <w:r>
        <w:rPr>
          <w:rFonts w:ascii="Times New Roman" w:hAnsi="Times New Roman" w:eastAsia="Times New Roman" w:cs="Times New Roman"/>
          <w:i/>
          <w:iCs/>
          <w:sz w:val="24"/>
          <w:szCs w:val="24"/>
        </w:rPr>
        <w:t>Pyracantha</w:t>
      </w:r>
      <w:r>
        <w:rPr>
          <w:rFonts w:ascii="Times New Roman" w:hAnsi="Times New Roman" w:eastAsia="Times New Roman" w:cs="Times New Roman"/>
          <w:i/>
          <w:iCs/>
          <w:spacing w:val="-42"/>
          <w:sz w:val="24"/>
          <w:szCs w:val="24"/>
        </w:rPr>
        <w:t xml:space="preserve"> </w:t>
      </w:r>
      <w:r>
        <w:rPr>
          <w:rFonts w:ascii="Times New Roman" w:hAnsi="Times New Roman" w:eastAsia="Times New Roman" w:cs="Times New Roman"/>
          <w:i/>
          <w:iCs/>
          <w:sz w:val="24"/>
          <w:szCs w:val="24"/>
        </w:rPr>
        <w:t>fortuneana</w:t>
      </w:r>
      <w:r>
        <w:rPr>
          <w:rFonts w:ascii="Times New Roman" w:hAnsi="Times New Roman" w:eastAsia="Times New Roman" w:cs="Times New Roman"/>
          <w:sz w:val="24"/>
          <w:szCs w:val="24"/>
        </w:rPr>
        <w:t>,</w:t>
      </w:r>
      <w:r>
        <w:rPr>
          <w:rFonts w:ascii="Times New Roman" w:hAnsi="Times New Roman" w:eastAsia="Times New Roman" w:cs="Times New Roman"/>
          <w:spacing w:val="16"/>
          <w:w w:val="101"/>
          <w:sz w:val="24"/>
          <w:szCs w:val="24"/>
        </w:rPr>
        <w:t xml:space="preserve"> </w:t>
      </w:r>
      <w:r>
        <w:rPr>
          <w:rFonts w:ascii="Times New Roman" w:hAnsi="Times New Roman" w:eastAsia="Times New Roman" w:cs="Times New Roman"/>
          <w:i/>
          <w:iCs/>
          <w:sz w:val="24"/>
          <w:szCs w:val="24"/>
        </w:rPr>
        <w:t>Coriaria nepalensis</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Rosa longicuspis</w:t>
      </w:r>
    </w:p>
    <w:p>
      <w:pPr>
        <w:spacing w:before="191" w:line="232" w:lineRule="auto"/>
        <w:ind w:left="38"/>
        <w:rPr>
          <w:rFonts w:ascii="宋体" w:hAnsi="宋体" w:eastAsia="宋体" w:cs="宋体"/>
          <w:sz w:val="24"/>
          <w:szCs w:val="24"/>
        </w:rPr>
      </w:pPr>
      <w:r>
        <w:rPr>
          <w:rFonts w:ascii="Times New Roman" w:hAnsi="Times New Roman" w:eastAsia="Times New Roman" w:cs="Times New Roman"/>
          <w:spacing w:val="-7"/>
          <w:sz w:val="24"/>
          <w:szCs w:val="24"/>
        </w:rPr>
        <w:t>Comm.</w:t>
      </w:r>
      <w:r>
        <w:rPr>
          <w:rFonts w:ascii="Times New Roman" w:hAnsi="Times New Roman" w:eastAsia="Times New Roman" w:cs="Times New Roman"/>
          <w:spacing w:val="-20"/>
          <w:sz w:val="24"/>
          <w:szCs w:val="24"/>
        </w:rPr>
        <w:t xml:space="preserve"> </w:t>
      </w:r>
      <w:r>
        <w:rPr>
          <w:rFonts w:ascii="宋体" w:hAnsi="宋体" w:eastAsia="宋体" w:cs="宋体"/>
          <w:spacing w:val="-7"/>
          <w:sz w:val="24"/>
          <w:szCs w:val="24"/>
        </w:rPr>
        <w:t>）。</w:t>
      </w:r>
    </w:p>
    <w:p>
      <w:pPr>
        <w:spacing w:before="167" w:line="360" w:lineRule="auto"/>
        <w:ind w:left="39" w:right="202" w:firstLine="480"/>
        <w:rPr>
          <w:rFonts w:ascii="宋体" w:hAnsi="宋体" w:eastAsia="宋体" w:cs="宋体"/>
          <w:sz w:val="24"/>
          <w:szCs w:val="24"/>
        </w:rPr>
      </w:pPr>
      <w:r>
        <w:rPr>
          <w:rFonts w:ascii="宋体" w:hAnsi="宋体" w:eastAsia="宋体" w:cs="宋体"/>
          <w:spacing w:val="-10"/>
          <w:sz w:val="24"/>
          <w:szCs w:val="24"/>
        </w:rPr>
        <w:t>本群落系铁仔灌丛的变型， 不再以铁仔为优势物种， 铁仔只是群落中的伴生</w:t>
      </w:r>
      <w:r>
        <w:rPr>
          <w:rFonts w:ascii="宋体" w:hAnsi="宋体" w:eastAsia="宋体" w:cs="宋体"/>
          <w:spacing w:val="5"/>
          <w:sz w:val="24"/>
          <w:szCs w:val="24"/>
        </w:rPr>
        <w:t xml:space="preserve"> </w:t>
      </w:r>
      <w:r>
        <w:rPr>
          <w:rFonts w:ascii="宋体" w:hAnsi="宋体" w:eastAsia="宋体" w:cs="宋体"/>
          <w:spacing w:val="-10"/>
          <w:sz w:val="24"/>
          <w:szCs w:val="24"/>
        </w:rPr>
        <w:t>种，</w:t>
      </w:r>
      <w:r>
        <w:rPr>
          <w:rFonts w:ascii="宋体" w:hAnsi="宋体" w:eastAsia="宋体" w:cs="宋体"/>
          <w:spacing w:val="-38"/>
          <w:sz w:val="24"/>
          <w:szCs w:val="24"/>
        </w:rPr>
        <w:t xml:space="preserve"> </w:t>
      </w:r>
      <w:r>
        <w:rPr>
          <w:rFonts w:ascii="宋体" w:hAnsi="宋体" w:eastAsia="宋体" w:cs="宋体"/>
          <w:spacing w:val="-10"/>
          <w:sz w:val="24"/>
          <w:szCs w:val="24"/>
        </w:rPr>
        <w:t>分布于滇中、滇东、滇北各地的石灰岩山地，</w:t>
      </w:r>
      <w:r>
        <w:rPr>
          <w:rFonts w:ascii="宋体" w:hAnsi="宋体" w:eastAsia="宋体" w:cs="宋体"/>
          <w:spacing w:val="42"/>
          <w:sz w:val="24"/>
          <w:szCs w:val="24"/>
        </w:rPr>
        <w:t xml:space="preserve"> </w:t>
      </w:r>
      <w:r>
        <w:rPr>
          <w:rFonts w:ascii="宋体" w:hAnsi="宋体" w:eastAsia="宋体" w:cs="宋体"/>
          <w:spacing w:val="-10"/>
          <w:sz w:val="24"/>
          <w:szCs w:val="24"/>
        </w:rPr>
        <w:t>特别是那些岩石裸露、土壤干</w:t>
      </w:r>
      <w:r>
        <w:rPr>
          <w:rFonts w:ascii="宋体" w:hAnsi="宋体" w:eastAsia="宋体" w:cs="宋体"/>
          <w:sz w:val="24"/>
          <w:szCs w:val="24"/>
        </w:rPr>
        <w:t xml:space="preserve"> </w:t>
      </w:r>
      <w:r>
        <w:rPr>
          <w:rFonts w:ascii="宋体" w:hAnsi="宋体" w:eastAsia="宋体" w:cs="宋体"/>
          <w:spacing w:val="-9"/>
          <w:sz w:val="24"/>
          <w:szCs w:val="24"/>
        </w:rPr>
        <w:t>旱的山地， 也是分布较为广泛的一种类型， 在海拔</w:t>
      </w:r>
      <w:r>
        <w:rPr>
          <w:rFonts w:ascii="宋体" w:hAnsi="宋体" w:eastAsia="宋体" w:cs="宋体"/>
          <w:spacing w:val="-21"/>
          <w:sz w:val="24"/>
          <w:szCs w:val="24"/>
        </w:rPr>
        <w:t xml:space="preserve"> </w:t>
      </w:r>
      <w:r>
        <w:rPr>
          <w:rFonts w:ascii="Times New Roman" w:hAnsi="Times New Roman" w:eastAsia="Times New Roman" w:cs="Times New Roman"/>
          <w:spacing w:val="-9"/>
          <w:sz w:val="24"/>
          <w:szCs w:val="24"/>
        </w:rPr>
        <w:t>1400~2400m</w:t>
      </w:r>
      <w:r>
        <w:rPr>
          <w:rFonts w:ascii="Times New Roman" w:hAnsi="Times New Roman" w:eastAsia="Times New Roman" w:cs="Times New Roman"/>
          <w:spacing w:val="30"/>
          <w:sz w:val="24"/>
          <w:szCs w:val="24"/>
        </w:rPr>
        <w:t xml:space="preserve"> </w:t>
      </w:r>
      <w:r>
        <w:rPr>
          <w:rFonts w:hint="eastAsia" w:ascii="宋体" w:hAnsi="宋体" w:eastAsia="宋体" w:cs="宋体"/>
          <w:spacing w:val="-9"/>
          <w:sz w:val="24"/>
          <w:szCs w:val="24"/>
          <w:lang w:eastAsia="zh-CN"/>
        </w:rPr>
        <w:t>的</w:t>
      </w:r>
      <w:r>
        <w:rPr>
          <w:rFonts w:ascii="宋体" w:hAnsi="宋体" w:eastAsia="宋体" w:cs="宋体"/>
          <w:spacing w:val="-9"/>
          <w:sz w:val="24"/>
          <w:szCs w:val="24"/>
        </w:rPr>
        <w:t>山地石灰岩</w:t>
      </w:r>
      <w:r>
        <w:rPr>
          <w:rFonts w:ascii="宋体" w:hAnsi="宋体" w:eastAsia="宋体" w:cs="宋体"/>
          <w:sz w:val="24"/>
          <w:szCs w:val="24"/>
        </w:rPr>
        <w:t xml:space="preserve"> </w:t>
      </w:r>
      <w:r>
        <w:rPr>
          <w:rFonts w:ascii="宋体" w:hAnsi="宋体" w:eastAsia="宋体" w:cs="宋体"/>
          <w:spacing w:val="-6"/>
          <w:sz w:val="24"/>
          <w:szCs w:val="24"/>
        </w:rPr>
        <w:t>地区分布甚为广泛， 由于是当地半湿润常绿阔叶林或暖性针叶林长</w:t>
      </w:r>
      <w:r>
        <w:rPr>
          <w:rFonts w:ascii="宋体" w:hAnsi="宋体" w:eastAsia="宋体" w:cs="宋体"/>
          <w:spacing w:val="-7"/>
          <w:sz w:val="24"/>
          <w:szCs w:val="24"/>
        </w:rPr>
        <w:t>期被破坏</w:t>
      </w:r>
      <w:r>
        <w:rPr>
          <w:rFonts w:ascii="Times New Roman" w:hAnsi="Times New Roman" w:eastAsia="Times New Roman" w:cs="Times New Roman"/>
          <w:spacing w:val="-7"/>
          <w:sz w:val="24"/>
          <w:szCs w:val="24"/>
        </w:rPr>
        <w:t>——</w:t>
      </w:r>
      <w:r>
        <w:rPr>
          <w:rFonts w:ascii="Times New Roman" w:hAnsi="Times New Roman" w:eastAsia="Times New Roman" w:cs="Times New Roman"/>
          <w:sz w:val="24"/>
          <w:szCs w:val="24"/>
        </w:rPr>
        <w:t xml:space="preserve"> </w:t>
      </w:r>
      <w:r>
        <w:rPr>
          <w:rFonts w:ascii="宋体" w:hAnsi="宋体" w:eastAsia="宋体" w:cs="宋体"/>
          <w:spacing w:val="-3"/>
          <w:sz w:val="24"/>
          <w:szCs w:val="24"/>
        </w:rPr>
        <w:t>火烧、砍伐、砍樵、放牧等人为干扰的情况下形成的比较稳定的次生暖性石灰岩</w:t>
      </w:r>
      <w:r>
        <w:rPr>
          <w:rFonts w:ascii="宋体" w:hAnsi="宋体" w:eastAsia="宋体" w:cs="宋体"/>
          <w:spacing w:val="1"/>
          <w:sz w:val="24"/>
          <w:szCs w:val="24"/>
        </w:rPr>
        <w:t xml:space="preserve"> </w:t>
      </w:r>
      <w:r>
        <w:rPr>
          <w:rFonts w:ascii="宋体" w:hAnsi="宋体" w:eastAsia="宋体" w:cs="宋体"/>
          <w:spacing w:val="-16"/>
          <w:sz w:val="24"/>
          <w:szCs w:val="24"/>
        </w:rPr>
        <w:t>灌丛植被类型。群落外貌呈灰黑色， 夹杂黄绿色的斑块，</w:t>
      </w:r>
      <w:r>
        <w:rPr>
          <w:rFonts w:ascii="宋体" w:hAnsi="宋体" w:eastAsia="宋体" w:cs="宋体"/>
          <w:spacing w:val="-17"/>
          <w:sz w:val="24"/>
          <w:szCs w:val="24"/>
        </w:rPr>
        <w:t xml:space="preserve"> 结构分灌木、草本两层。</w:t>
      </w:r>
      <w:r>
        <w:rPr>
          <w:rFonts w:ascii="宋体" w:hAnsi="宋体" w:eastAsia="宋体" w:cs="宋体"/>
          <w:sz w:val="24"/>
          <w:szCs w:val="24"/>
        </w:rPr>
        <w:t xml:space="preserve"> </w:t>
      </w:r>
      <w:r>
        <w:rPr>
          <w:rFonts w:ascii="宋体" w:hAnsi="宋体" w:eastAsia="宋体" w:cs="宋体"/>
          <w:spacing w:val="-6"/>
          <w:sz w:val="24"/>
          <w:szCs w:val="24"/>
        </w:rPr>
        <w:t>群落的物种组成除了乔木树种极其稀少外，</w:t>
      </w:r>
      <w:r>
        <w:rPr>
          <w:rFonts w:ascii="宋体" w:hAnsi="宋体" w:eastAsia="宋体" w:cs="宋体"/>
          <w:spacing w:val="-14"/>
          <w:sz w:val="24"/>
          <w:szCs w:val="24"/>
        </w:rPr>
        <w:t xml:space="preserve"> </w:t>
      </w:r>
      <w:r>
        <w:rPr>
          <w:rFonts w:ascii="宋体" w:hAnsi="宋体" w:eastAsia="宋体" w:cs="宋体"/>
          <w:spacing w:val="-6"/>
          <w:sz w:val="24"/>
          <w:szCs w:val="24"/>
        </w:rPr>
        <w:t>与当地的暖温性稀树灌木草丛的物种</w:t>
      </w:r>
    </w:p>
    <w:p>
      <w:pPr>
        <w:spacing w:before="1" w:line="219" w:lineRule="auto"/>
        <w:ind w:left="42"/>
        <w:rPr>
          <w:rFonts w:ascii="宋体" w:hAnsi="宋体" w:eastAsia="宋体" w:cs="宋体"/>
          <w:sz w:val="24"/>
          <w:szCs w:val="24"/>
        </w:rPr>
      </w:pPr>
      <w:r>
        <w:rPr>
          <w:rFonts w:ascii="宋体" w:hAnsi="宋体" w:eastAsia="宋体" w:cs="宋体"/>
          <w:spacing w:val="-3"/>
          <w:sz w:val="24"/>
          <w:szCs w:val="24"/>
        </w:rPr>
        <w:t>组成非常接近，属于人类扰动更大的植被。</w:t>
      </w:r>
    </w:p>
    <w:p>
      <w:pPr>
        <w:spacing w:before="183" w:line="360" w:lineRule="auto"/>
        <w:ind w:left="24" w:right="214" w:firstLine="498"/>
        <w:rPr>
          <w:rFonts w:ascii="宋体" w:hAnsi="宋体" w:eastAsia="宋体" w:cs="宋体"/>
          <w:sz w:val="24"/>
          <w:szCs w:val="24"/>
        </w:rPr>
      </w:pPr>
      <w:r>
        <w:rPr>
          <w:rFonts w:ascii="宋体" w:hAnsi="宋体" w:eastAsia="宋体" w:cs="宋体"/>
          <w:sz w:val="24"/>
          <w:szCs w:val="24"/>
        </w:rPr>
        <w:t>该群落以火棘</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Pyracantha</w:t>
      </w:r>
      <w:r>
        <w:rPr>
          <w:rFonts w:ascii="Times New Roman" w:hAnsi="Times New Roman" w:eastAsia="Times New Roman" w:cs="Times New Roman"/>
          <w:i/>
          <w:iCs/>
          <w:spacing w:val="-56"/>
          <w:sz w:val="24"/>
          <w:szCs w:val="24"/>
        </w:rPr>
        <w:t xml:space="preserve"> </w:t>
      </w:r>
      <w:r>
        <w:rPr>
          <w:rFonts w:ascii="Times New Roman" w:hAnsi="Times New Roman" w:eastAsia="Times New Roman" w:cs="Times New Roman"/>
          <w:i/>
          <w:iCs/>
          <w:sz w:val="24"/>
          <w:szCs w:val="24"/>
        </w:rPr>
        <w:t>fort</w:t>
      </w:r>
      <w:r>
        <w:rPr>
          <w:rFonts w:ascii="Times New Roman" w:hAnsi="Times New Roman" w:eastAsia="Times New Roman" w:cs="Times New Roman"/>
          <w:i/>
          <w:iCs/>
          <w:spacing w:val="-1"/>
          <w:sz w:val="24"/>
          <w:szCs w:val="24"/>
        </w:rPr>
        <w:t>uneana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、马桑</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Coriaria</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pacing w:val="-1"/>
          <w:sz w:val="24"/>
          <w:szCs w:val="24"/>
        </w:rPr>
        <w:t>nepalensis</w:t>
      </w:r>
      <w:r>
        <w:rPr>
          <w:rFonts w:ascii="宋体" w:hAnsi="宋体" w:eastAsia="宋体" w:cs="宋体"/>
          <w:spacing w:val="-1"/>
          <w:sz w:val="24"/>
          <w:szCs w:val="24"/>
        </w:rPr>
        <w:t>、长尖叶蔷薇</w:t>
      </w:r>
      <w:r>
        <w:rPr>
          <w:rFonts w:ascii="宋体" w:hAnsi="宋体" w:eastAsia="宋体" w:cs="宋体"/>
          <w:sz w:val="24"/>
          <w:szCs w:val="24"/>
        </w:rPr>
        <w:t xml:space="preserve"> </w:t>
      </w:r>
      <w:r>
        <w:rPr>
          <w:rFonts w:ascii="Times New Roman" w:hAnsi="Times New Roman" w:eastAsia="Times New Roman" w:cs="Times New Roman"/>
          <w:i/>
          <w:iCs/>
          <w:spacing w:val="-2"/>
          <w:sz w:val="24"/>
          <w:szCs w:val="24"/>
        </w:rPr>
        <w:t>Rosa</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spacing w:val="-2"/>
          <w:sz w:val="24"/>
          <w:szCs w:val="24"/>
        </w:rPr>
        <w:t xml:space="preserve">longicuspis </w:t>
      </w:r>
      <w:r>
        <w:rPr>
          <w:rFonts w:ascii="宋体" w:hAnsi="宋体" w:eastAsia="宋体" w:cs="宋体"/>
          <w:spacing w:val="-2"/>
          <w:sz w:val="24"/>
          <w:szCs w:val="24"/>
        </w:rPr>
        <w:t>为优势种， 与常见较多有刺植物</w:t>
      </w:r>
      <w:r>
        <w:rPr>
          <w:rFonts w:ascii="宋体" w:hAnsi="宋体" w:eastAsia="宋体" w:cs="宋体"/>
          <w:spacing w:val="-3"/>
          <w:sz w:val="24"/>
          <w:szCs w:val="24"/>
        </w:rPr>
        <w:t>如粉叶小檗</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Berberis</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3"/>
          <w:sz w:val="24"/>
          <w:szCs w:val="24"/>
        </w:rPr>
        <w:t>pruinosa</w:t>
      </w:r>
      <w:r>
        <w:rPr>
          <w:rFonts w:ascii="Times New Roman" w:hAnsi="Times New Roman" w:eastAsia="Times New Roman" w:cs="Times New Roman"/>
          <w:i/>
          <w:iCs/>
          <w:spacing w:val="-35"/>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帚枝鼠李</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Rhamnus virgata</w:t>
      </w:r>
      <w:r>
        <w:rPr>
          <w:rFonts w:ascii="宋体" w:hAnsi="宋体" w:eastAsia="宋体" w:cs="宋体"/>
          <w:spacing w:val="-2"/>
          <w:sz w:val="24"/>
          <w:szCs w:val="24"/>
        </w:rPr>
        <w:t>、金花</w:t>
      </w:r>
      <w:r>
        <w:rPr>
          <w:rFonts w:ascii="宋体" w:hAnsi="宋体" w:eastAsia="宋体" w:cs="宋体"/>
          <w:spacing w:val="-3"/>
          <w:sz w:val="24"/>
          <w:szCs w:val="24"/>
        </w:rPr>
        <w:t>小檗</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Berberis</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pacing w:val="-3"/>
          <w:sz w:val="24"/>
          <w:szCs w:val="24"/>
        </w:rPr>
        <w:t>wilsoniae</w:t>
      </w:r>
      <w:r>
        <w:rPr>
          <w:rFonts w:ascii="宋体" w:hAnsi="宋体" w:eastAsia="宋体" w:cs="宋体"/>
          <w:spacing w:val="-3"/>
          <w:sz w:val="24"/>
          <w:szCs w:val="24"/>
        </w:rPr>
        <w:t>、扁核木</w:t>
      </w:r>
      <w:r>
        <w:rPr>
          <w:rFonts w:ascii="宋体" w:hAnsi="宋体" w:eastAsia="宋体" w:cs="宋体"/>
          <w:spacing w:val="-66"/>
          <w:sz w:val="24"/>
          <w:szCs w:val="24"/>
        </w:rPr>
        <w:t xml:space="preserve"> </w:t>
      </w:r>
      <w:r>
        <w:rPr>
          <w:rFonts w:ascii="Times New Roman" w:hAnsi="Times New Roman" w:eastAsia="Times New Roman" w:cs="Times New Roman"/>
          <w:i/>
          <w:iCs/>
          <w:spacing w:val="-3"/>
          <w:sz w:val="24"/>
          <w:szCs w:val="24"/>
        </w:rPr>
        <w:t>Prinsepia utilis</w:t>
      </w:r>
      <w:r>
        <w:rPr>
          <w:rFonts w:ascii="宋体" w:hAnsi="宋体" w:eastAsia="宋体" w:cs="宋体"/>
          <w:spacing w:val="-3"/>
          <w:sz w:val="24"/>
          <w:szCs w:val="24"/>
        </w:rPr>
        <w:t>、</w:t>
      </w:r>
    </w:p>
    <w:p>
      <w:pPr>
        <w:spacing w:line="212" w:lineRule="auto"/>
        <w:ind w:left="39"/>
        <w:rPr>
          <w:rFonts w:ascii="宋体" w:hAnsi="宋体" w:eastAsia="宋体" w:cs="宋体"/>
          <w:sz w:val="24"/>
          <w:szCs w:val="24"/>
        </w:rPr>
      </w:pPr>
      <w:r>
        <w:rPr>
          <w:rFonts w:ascii="宋体" w:hAnsi="宋体" w:eastAsia="宋体" w:cs="宋体"/>
          <w:sz w:val="24"/>
          <w:szCs w:val="24"/>
        </w:rPr>
        <w:t>滇鼠刺</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Itea</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35"/>
          <w:sz w:val="24"/>
          <w:szCs w:val="24"/>
        </w:rPr>
        <w:t xml:space="preserve"> </w:t>
      </w:r>
      <w:r>
        <w:rPr>
          <w:rFonts w:ascii="宋体" w:hAnsi="宋体" w:eastAsia="宋体" w:cs="宋体"/>
          <w:sz w:val="24"/>
          <w:szCs w:val="24"/>
        </w:rPr>
        <w:t>、白刺花</w:t>
      </w:r>
      <w:r>
        <w:rPr>
          <w:rFonts w:ascii="宋体" w:hAnsi="宋体" w:eastAsia="宋体" w:cs="宋体"/>
          <w:spacing w:val="-58"/>
          <w:sz w:val="24"/>
          <w:szCs w:val="24"/>
        </w:rPr>
        <w:t xml:space="preserve"> </w:t>
      </w:r>
      <w:r>
        <w:rPr>
          <w:rFonts w:ascii="Times New Roman" w:hAnsi="Times New Roman" w:eastAsia="Times New Roman" w:cs="Times New Roman"/>
          <w:i/>
          <w:iCs/>
          <w:sz w:val="24"/>
          <w:szCs w:val="24"/>
        </w:rPr>
        <w:t>Sophora davidii</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、胡颓子</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Elaeagnuspungens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、竹</w:t>
      </w:r>
    </w:p>
    <w:p>
      <w:pPr>
        <w:spacing w:line="212" w:lineRule="auto"/>
        <w:rPr>
          <w:rFonts w:ascii="宋体" w:hAnsi="宋体" w:eastAsia="宋体" w:cs="宋体"/>
          <w:sz w:val="24"/>
          <w:szCs w:val="24"/>
        </w:rPr>
        <w:sectPr>
          <w:headerReference r:id="rId270" w:type="default"/>
          <w:footerReference r:id="rId271" w:type="default"/>
          <w:pgSz w:w="11907" w:h="16839"/>
          <w:pgMar w:top="1156" w:right="1593" w:bottom="1373" w:left="1770" w:header="881" w:footer="1210" w:gutter="0"/>
        </w:sectPr>
      </w:pPr>
    </w:p>
    <w:p>
      <w:pPr>
        <w:spacing w:line="318" w:lineRule="auto"/>
        <w:rPr>
          <w:rFonts w:ascii="Arial"/>
          <w:sz w:val="21"/>
        </w:rPr>
      </w:pPr>
    </w:p>
    <w:p>
      <w:pPr>
        <w:spacing w:before="78" w:line="360" w:lineRule="auto"/>
        <w:ind w:left="11" w:firstLine="43"/>
        <w:jc w:val="both"/>
        <w:rPr>
          <w:rFonts w:ascii="宋体" w:hAnsi="宋体" w:eastAsia="宋体" w:cs="宋体"/>
          <w:sz w:val="24"/>
          <w:szCs w:val="24"/>
        </w:rPr>
      </w:pPr>
      <w:r>
        <w:rPr>
          <w:rFonts w:ascii="宋体" w:hAnsi="宋体" w:eastAsia="宋体" w:cs="宋体"/>
          <w:spacing w:val="-1"/>
          <w:sz w:val="24"/>
          <w:szCs w:val="24"/>
        </w:rPr>
        <w:t>叶花椒</w:t>
      </w:r>
      <w:r>
        <w:rPr>
          <w:rFonts w:ascii="宋体" w:hAnsi="宋体" w:eastAsia="宋体" w:cs="宋体"/>
          <w:spacing w:val="-61"/>
          <w:sz w:val="24"/>
          <w:szCs w:val="24"/>
        </w:rPr>
        <w:t xml:space="preserve"> </w:t>
      </w:r>
      <w:r>
        <w:rPr>
          <w:rFonts w:ascii="Times New Roman" w:hAnsi="Times New Roman" w:eastAsia="Times New Roman" w:cs="Times New Roman"/>
          <w:i/>
          <w:iCs/>
          <w:spacing w:val="-1"/>
          <w:sz w:val="24"/>
          <w:szCs w:val="24"/>
        </w:rPr>
        <w:t>Zanthoxylum armatum</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栽秧泡</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Rubus</w:t>
      </w:r>
      <w:r>
        <w:rPr>
          <w:rFonts w:ascii="Times New Roman" w:hAnsi="Times New Roman" w:eastAsia="Times New Roman" w:cs="Times New Roman"/>
          <w:i/>
          <w:iCs/>
          <w:spacing w:val="21"/>
          <w:w w:val="101"/>
          <w:sz w:val="24"/>
          <w:szCs w:val="24"/>
        </w:rPr>
        <w:t xml:space="preserve"> </w:t>
      </w:r>
      <w:r>
        <w:rPr>
          <w:rFonts w:ascii="Times New Roman" w:hAnsi="Times New Roman" w:eastAsia="Times New Roman" w:cs="Times New Roman"/>
          <w:i/>
          <w:iCs/>
          <w:spacing w:val="-2"/>
          <w:sz w:val="24"/>
          <w:szCs w:val="24"/>
        </w:rPr>
        <w:t>ellipticus</w:t>
      </w:r>
      <w:r>
        <w:rPr>
          <w:rFonts w:ascii="Times New Roman" w:hAnsi="Times New Roman" w:eastAsia="Times New Roman" w:cs="Times New Roman"/>
          <w:i/>
          <w:iCs/>
          <w:spacing w:val="16"/>
          <w:w w:val="101"/>
          <w:sz w:val="24"/>
          <w:szCs w:val="24"/>
        </w:rPr>
        <w:t xml:space="preserve"> </w:t>
      </w:r>
      <w:r>
        <w:rPr>
          <w:rFonts w:ascii="Times New Roman" w:hAnsi="Times New Roman" w:eastAsia="Times New Roman" w:cs="Times New Roman"/>
          <w:spacing w:val="-2"/>
          <w:sz w:val="24"/>
          <w:szCs w:val="24"/>
        </w:rPr>
        <w:t>var.</w:t>
      </w:r>
      <w:r>
        <w:rPr>
          <w:rFonts w:ascii="Times New Roman" w:hAnsi="Times New Roman" w:eastAsia="Times New Roman" w:cs="Times New Roman"/>
          <w:spacing w:val="21"/>
          <w:sz w:val="24"/>
          <w:szCs w:val="24"/>
        </w:rPr>
        <w:t xml:space="preserve"> </w:t>
      </w:r>
      <w:r>
        <w:rPr>
          <w:rFonts w:ascii="Times New Roman" w:hAnsi="Times New Roman" w:eastAsia="Times New Roman" w:cs="Times New Roman"/>
          <w:i/>
          <w:iCs/>
          <w:spacing w:val="-2"/>
          <w:sz w:val="24"/>
          <w:szCs w:val="24"/>
        </w:rPr>
        <w:t>obcordatus</w:t>
      </w:r>
      <w:r>
        <w:rPr>
          <w:rFonts w:ascii="宋体" w:hAnsi="宋体" w:eastAsia="宋体" w:cs="宋体"/>
          <w:spacing w:val="-2"/>
          <w:sz w:val="24"/>
          <w:szCs w:val="24"/>
        </w:rPr>
        <w:t xml:space="preserve">、华西小石 </w:t>
      </w:r>
      <w:r>
        <w:rPr>
          <w:rFonts w:ascii="宋体" w:hAnsi="宋体" w:eastAsia="宋体" w:cs="宋体"/>
          <w:spacing w:val="-4"/>
          <w:sz w:val="24"/>
          <w:szCs w:val="24"/>
        </w:rPr>
        <w:t>积</w:t>
      </w:r>
      <w:r>
        <w:rPr>
          <w:rFonts w:ascii="宋体" w:hAnsi="宋体" w:eastAsia="宋体" w:cs="宋体"/>
          <w:spacing w:val="-41"/>
          <w:sz w:val="24"/>
          <w:szCs w:val="24"/>
        </w:rPr>
        <w:t xml:space="preserve"> </w:t>
      </w:r>
      <w:r>
        <w:rPr>
          <w:rFonts w:ascii="Times New Roman" w:hAnsi="Times New Roman" w:eastAsia="Times New Roman" w:cs="Times New Roman"/>
          <w:i/>
          <w:iCs/>
          <w:spacing w:val="-4"/>
          <w:sz w:val="24"/>
          <w:szCs w:val="24"/>
        </w:rPr>
        <w:t>Osteomeles</w:t>
      </w:r>
      <w:r>
        <w:rPr>
          <w:rFonts w:ascii="Times New Roman" w:hAnsi="Times New Roman" w:eastAsia="Times New Roman" w:cs="Times New Roman"/>
          <w:i/>
          <w:iCs/>
          <w:spacing w:val="-17"/>
          <w:sz w:val="24"/>
          <w:szCs w:val="24"/>
        </w:rPr>
        <w:t xml:space="preserve"> </w:t>
      </w:r>
      <w:r>
        <w:rPr>
          <w:rFonts w:ascii="Times New Roman" w:hAnsi="Times New Roman" w:eastAsia="Times New Roman" w:cs="Times New Roman"/>
          <w:i/>
          <w:iCs/>
          <w:spacing w:val="-4"/>
          <w:sz w:val="24"/>
          <w:szCs w:val="24"/>
        </w:rPr>
        <w:t xml:space="preserve">schwerinae </w:t>
      </w:r>
      <w:r>
        <w:rPr>
          <w:rFonts w:ascii="宋体" w:hAnsi="宋体" w:eastAsia="宋体" w:cs="宋体"/>
          <w:spacing w:val="-4"/>
          <w:sz w:val="24"/>
          <w:szCs w:val="24"/>
        </w:rPr>
        <w:t xml:space="preserve">等共同组成小叶型旱生性的低矮灌木层片， 说明该群落 </w:t>
      </w:r>
      <w:r>
        <w:rPr>
          <w:rFonts w:ascii="宋体" w:hAnsi="宋体" w:eastAsia="宋体" w:cs="宋体"/>
          <w:spacing w:val="-10"/>
          <w:sz w:val="24"/>
          <w:szCs w:val="24"/>
        </w:rPr>
        <w:t>经常遭受放牧的威胁。</w:t>
      </w:r>
      <w:r>
        <w:rPr>
          <w:rFonts w:ascii="宋体" w:hAnsi="宋体" w:eastAsia="宋体" w:cs="宋体"/>
          <w:spacing w:val="44"/>
          <w:sz w:val="24"/>
          <w:szCs w:val="24"/>
        </w:rPr>
        <w:t xml:space="preserve"> </w:t>
      </w:r>
      <w:r>
        <w:rPr>
          <w:rFonts w:ascii="宋体" w:hAnsi="宋体" w:eastAsia="宋体" w:cs="宋体"/>
          <w:spacing w:val="-10"/>
          <w:sz w:val="24"/>
          <w:szCs w:val="24"/>
        </w:rPr>
        <w:t>群落高度为</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2~4m</w:t>
      </w:r>
      <w:r>
        <w:rPr>
          <w:rFonts w:ascii="宋体" w:hAnsi="宋体" w:eastAsia="宋体" w:cs="宋体"/>
          <w:spacing w:val="-10"/>
          <w:sz w:val="24"/>
          <w:szCs w:val="24"/>
        </w:rPr>
        <w:t>，层盖度为</w:t>
      </w:r>
      <w:r>
        <w:rPr>
          <w:rFonts w:ascii="宋体" w:hAnsi="宋体" w:eastAsia="宋体" w:cs="宋体"/>
          <w:spacing w:val="-48"/>
          <w:sz w:val="24"/>
          <w:szCs w:val="24"/>
        </w:rPr>
        <w:t xml:space="preserve"> </w:t>
      </w:r>
      <w:r>
        <w:rPr>
          <w:rFonts w:ascii="Times New Roman" w:hAnsi="Times New Roman" w:eastAsia="Times New Roman" w:cs="Times New Roman"/>
          <w:spacing w:val="-10"/>
          <w:sz w:val="24"/>
          <w:szCs w:val="24"/>
        </w:rPr>
        <w:t>55%</w:t>
      </w:r>
      <w:r>
        <w:rPr>
          <w:rFonts w:ascii="宋体" w:hAnsi="宋体" w:eastAsia="宋体" w:cs="宋体"/>
          <w:spacing w:val="-10"/>
          <w:sz w:val="24"/>
          <w:szCs w:val="24"/>
        </w:rPr>
        <w:t>，种类比较丰富，</w:t>
      </w:r>
      <w:r>
        <w:rPr>
          <w:rFonts w:ascii="宋体" w:hAnsi="宋体" w:eastAsia="宋体" w:cs="宋体"/>
          <w:spacing w:val="72"/>
          <w:sz w:val="24"/>
          <w:szCs w:val="24"/>
        </w:rPr>
        <w:t xml:space="preserve"> </w:t>
      </w:r>
      <w:r>
        <w:rPr>
          <w:rFonts w:ascii="宋体" w:hAnsi="宋体" w:eastAsia="宋体" w:cs="宋体"/>
          <w:spacing w:val="-10"/>
          <w:sz w:val="24"/>
          <w:szCs w:val="24"/>
        </w:rPr>
        <w:t xml:space="preserve">除了 </w:t>
      </w:r>
      <w:r>
        <w:rPr>
          <w:rFonts w:ascii="宋体" w:hAnsi="宋体" w:eastAsia="宋体" w:cs="宋体"/>
          <w:spacing w:val="3"/>
          <w:sz w:val="24"/>
          <w:szCs w:val="24"/>
        </w:rPr>
        <w:t xml:space="preserve">上述物种，其他较为优势的物种有珍珠花 </w:t>
      </w:r>
      <w:r>
        <w:rPr>
          <w:rFonts w:ascii="Times New Roman" w:hAnsi="Times New Roman" w:eastAsia="Times New Roman" w:cs="Times New Roman"/>
          <w:i/>
          <w:iCs/>
          <w:sz w:val="24"/>
          <w:szCs w:val="24"/>
        </w:rPr>
        <w:t>Lyonia</w:t>
      </w:r>
      <w:r>
        <w:rPr>
          <w:rFonts w:ascii="Times New Roman" w:hAnsi="Times New Roman" w:eastAsia="Times New Roman" w:cs="Times New Roman"/>
          <w:i/>
          <w:iCs/>
          <w:spacing w:val="38"/>
          <w:w w:val="101"/>
          <w:sz w:val="24"/>
          <w:szCs w:val="24"/>
        </w:rPr>
        <w:t xml:space="preserve"> </w:t>
      </w:r>
      <w:r>
        <w:rPr>
          <w:rFonts w:ascii="Times New Roman" w:hAnsi="Times New Roman" w:eastAsia="Times New Roman" w:cs="Times New Roman"/>
          <w:i/>
          <w:iCs/>
          <w:sz w:val="24"/>
          <w:szCs w:val="24"/>
        </w:rPr>
        <w:t>ovalifolia</w:t>
      </w:r>
      <w:r>
        <w:rPr>
          <w:rFonts w:ascii="Times New Roman" w:hAnsi="Times New Roman" w:eastAsia="Times New Roman" w:cs="Times New Roman"/>
          <w:i/>
          <w:iCs/>
          <w:spacing w:val="-29"/>
          <w:sz w:val="24"/>
          <w:szCs w:val="24"/>
        </w:rPr>
        <w:t xml:space="preserve"> </w:t>
      </w:r>
      <w:r>
        <w:rPr>
          <w:rFonts w:ascii="宋体" w:hAnsi="宋体" w:eastAsia="宋体" w:cs="宋体"/>
          <w:spacing w:val="3"/>
          <w:sz w:val="24"/>
          <w:szCs w:val="24"/>
        </w:rPr>
        <w:t>、车桑</w:t>
      </w:r>
      <w:r>
        <w:rPr>
          <w:rFonts w:ascii="宋体" w:hAnsi="宋体" w:eastAsia="宋体" w:cs="宋体"/>
          <w:spacing w:val="2"/>
          <w:sz w:val="24"/>
          <w:szCs w:val="24"/>
        </w:rPr>
        <w:t xml:space="preserve">子 </w:t>
      </w:r>
      <w:r>
        <w:rPr>
          <w:rFonts w:ascii="Times New Roman" w:hAnsi="Times New Roman" w:eastAsia="Times New Roman" w:cs="Times New Roman"/>
          <w:i/>
          <w:iCs/>
          <w:sz w:val="24"/>
          <w:szCs w:val="24"/>
        </w:rPr>
        <w:t>Dodonaea</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spacing w:val="-1"/>
          <w:sz w:val="24"/>
          <w:szCs w:val="24"/>
        </w:rPr>
        <w:t>viscosa</w:t>
      </w:r>
      <w:r>
        <w:rPr>
          <w:rFonts w:ascii="宋体" w:hAnsi="宋体" w:eastAsia="宋体" w:cs="宋体"/>
          <w:spacing w:val="-1"/>
          <w:sz w:val="24"/>
          <w:szCs w:val="24"/>
        </w:rPr>
        <w:t>、云南山蚂蝗</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Desmodium</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1"/>
          <w:sz w:val="24"/>
          <w:szCs w:val="24"/>
        </w:rPr>
        <w:t>yunnanense</w:t>
      </w:r>
      <w:r>
        <w:rPr>
          <w:rFonts w:ascii="宋体" w:hAnsi="宋体" w:eastAsia="宋体" w:cs="宋体"/>
          <w:spacing w:val="-1"/>
          <w:sz w:val="24"/>
          <w:szCs w:val="24"/>
        </w:rPr>
        <w:t>、铁仔</w:t>
      </w:r>
      <w:r>
        <w:rPr>
          <w:rFonts w:ascii="宋体" w:hAnsi="宋体" w:eastAsia="宋体" w:cs="宋体"/>
          <w:spacing w:val="-68"/>
          <w:sz w:val="24"/>
          <w:szCs w:val="24"/>
        </w:rPr>
        <w:t xml:space="preserve"> </w:t>
      </w:r>
      <w:r>
        <w:rPr>
          <w:rFonts w:ascii="Times New Roman" w:hAnsi="Times New Roman" w:eastAsia="Times New Roman" w:cs="Times New Roman"/>
          <w:i/>
          <w:iCs/>
          <w:spacing w:val="-1"/>
          <w:sz w:val="24"/>
          <w:szCs w:val="24"/>
        </w:rPr>
        <w:t>Myrsine africa</w:t>
      </w:r>
      <w:r>
        <w:rPr>
          <w:rFonts w:ascii="Times New Roman" w:hAnsi="Times New Roman" w:eastAsia="Times New Roman" w:cs="Times New Roman"/>
          <w:i/>
          <w:iCs/>
          <w:spacing w:val="-2"/>
          <w:sz w:val="24"/>
          <w:szCs w:val="24"/>
        </w:rPr>
        <w:t>na</w:t>
      </w:r>
      <w:r>
        <w:rPr>
          <w:rFonts w:ascii="宋体" w:hAnsi="宋体" w:eastAsia="宋体" w:cs="宋体"/>
          <w:spacing w:val="-2"/>
          <w:sz w:val="24"/>
          <w:szCs w:val="24"/>
        </w:rPr>
        <w:t xml:space="preserve">，常常在局部 </w:t>
      </w:r>
      <w:r>
        <w:rPr>
          <w:rFonts w:ascii="宋体" w:hAnsi="宋体" w:eastAsia="宋体" w:cs="宋体"/>
          <w:sz w:val="24"/>
          <w:szCs w:val="24"/>
        </w:rPr>
        <w:t>形成单优群落。其他常见的灌木有小叶女贞</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Ligustrum</w:t>
      </w:r>
      <w:r>
        <w:rPr>
          <w:rFonts w:ascii="Times New Roman" w:hAnsi="Times New Roman" w:eastAsia="Times New Roman" w:cs="Times New Roman"/>
          <w:i/>
          <w:iCs/>
          <w:spacing w:val="24"/>
          <w:sz w:val="24"/>
          <w:szCs w:val="24"/>
        </w:rPr>
        <w:t xml:space="preserve"> </w:t>
      </w:r>
      <w:r>
        <w:rPr>
          <w:rFonts w:ascii="Times New Roman" w:hAnsi="Times New Roman" w:eastAsia="Times New Roman" w:cs="Times New Roman"/>
          <w:i/>
          <w:iCs/>
          <w:sz w:val="24"/>
          <w:szCs w:val="24"/>
        </w:rPr>
        <w:t>quiho</w:t>
      </w:r>
      <w:r>
        <w:rPr>
          <w:rFonts w:ascii="Times New Roman" w:hAnsi="Times New Roman" w:eastAsia="Times New Roman" w:cs="Times New Roman"/>
          <w:i/>
          <w:iCs/>
          <w:spacing w:val="-1"/>
          <w:sz w:val="24"/>
          <w:szCs w:val="24"/>
        </w:rPr>
        <w:t>ui</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、白背枫</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 xml:space="preserve">Buddleja  </w:t>
      </w:r>
      <w:r>
        <w:rPr>
          <w:rFonts w:ascii="Times New Roman" w:hAnsi="Times New Roman" w:eastAsia="Times New Roman" w:cs="Times New Roman"/>
          <w:i/>
          <w:iCs/>
          <w:spacing w:val="-2"/>
          <w:sz w:val="24"/>
          <w:szCs w:val="24"/>
        </w:rPr>
        <w:t>asiatica</w:t>
      </w:r>
      <w:r>
        <w:rPr>
          <w:rFonts w:ascii="Times New Roman" w:hAnsi="Times New Roman" w:eastAsia="Times New Roman" w:cs="Times New Roman"/>
          <w:i/>
          <w:iCs/>
          <w:spacing w:val="22"/>
          <w:w w:val="101"/>
          <w:sz w:val="24"/>
          <w:szCs w:val="24"/>
        </w:rPr>
        <w:t xml:space="preserve"> </w:t>
      </w:r>
      <w:r>
        <w:rPr>
          <w:rFonts w:ascii="宋体" w:hAnsi="宋体" w:eastAsia="宋体" w:cs="宋体"/>
          <w:spacing w:val="-2"/>
          <w:sz w:val="24"/>
          <w:szCs w:val="24"/>
        </w:rPr>
        <w:t>、</w:t>
      </w:r>
      <w:r>
        <w:rPr>
          <w:rFonts w:ascii="宋体" w:hAnsi="宋体" w:eastAsia="宋体" w:cs="宋体"/>
          <w:spacing w:val="-52"/>
          <w:sz w:val="24"/>
          <w:szCs w:val="24"/>
        </w:rPr>
        <w:t xml:space="preserve"> </w:t>
      </w:r>
      <w:r>
        <w:rPr>
          <w:rFonts w:ascii="宋体" w:hAnsi="宋体" w:eastAsia="宋体" w:cs="宋体"/>
          <w:spacing w:val="-2"/>
          <w:sz w:val="24"/>
          <w:szCs w:val="24"/>
        </w:rPr>
        <w:t>沙</w:t>
      </w:r>
      <w:r>
        <w:rPr>
          <w:rFonts w:ascii="宋体" w:hAnsi="宋体" w:eastAsia="宋体" w:cs="宋体"/>
          <w:spacing w:val="-55"/>
          <w:sz w:val="24"/>
          <w:szCs w:val="24"/>
        </w:rPr>
        <w:t xml:space="preserve"> </w:t>
      </w:r>
      <w:r>
        <w:rPr>
          <w:rFonts w:ascii="宋体" w:hAnsi="宋体" w:eastAsia="宋体" w:cs="宋体"/>
          <w:spacing w:val="-2"/>
          <w:sz w:val="24"/>
          <w:szCs w:val="24"/>
        </w:rPr>
        <w:t>针</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Osyris quadripartita</w:t>
      </w:r>
      <w:r>
        <w:rPr>
          <w:rFonts w:ascii="Times New Roman" w:hAnsi="Times New Roman" w:eastAsia="Times New Roman" w:cs="Times New Roman"/>
          <w:i/>
          <w:iCs/>
          <w:spacing w:val="24"/>
          <w:w w:val="101"/>
          <w:sz w:val="24"/>
          <w:szCs w:val="24"/>
        </w:rPr>
        <w:t xml:space="preserve"> </w:t>
      </w:r>
      <w:r>
        <w:rPr>
          <w:rFonts w:ascii="宋体" w:hAnsi="宋体" w:eastAsia="宋体" w:cs="宋体"/>
          <w:spacing w:val="-2"/>
          <w:sz w:val="24"/>
          <w:szCs w:val="24"/>
        </w:rPr>
        <w:t>、</w:t>
      </w:r>
      <w:r>
        <w:rPr>
          <w:rFonts w:ascii="宋体" w:hAnsi="宋体" w:eastAsia="宋体" w:cs="宋体"/>
          <w:spacing w:val="-54"/>
          <w:sz w:val="24"/>
          <w:szCs w:val="24"/>
        </w:rPr>
        <w:t xml:space="preserve"> </w:t>
      </w:r>
      <w:r>
        <w:rPr>
          <w:rFonts w:ascii="宋体" w:hAnsi="宋体" w:eastAsia="宋体" w:cs="宋体"/>
          <w:spacing w:val="-2"/>
          <w:sz w:val="24"/>
          <w:szCs w:val="24"/>
        </w:rPr>
        <w:t>野</w:t>
      </w:r>
      <w:r>
        <w:rPr>
          <w:rFonts w:ascii="宋体" w:hAnsi="宋体" w:eastAsia="宋体" w:cs="宋体"/>
          <w:spacing w:val="-56"/>
          <w:sz w:val="24"/>
          <w:szCs w:val="24"/>
        </w:rPr>
        <w:t xml:space="preserve"> </w:t>
      </w:r>
      <w:r>
        <w:rPr>
          <w:rFonts w:ascii="宋体" w:hAnsi="宋体" w:eastAsia="宋体" w:cs="宋体"/>
          <w:spacing w:val="-3"/>
          <w:sz w:val="24"/>
          <w:szCs w:val="24"/>
        </w:rPr>
        <w:t>拔</w:t>
      </w:r>
      <w:r>
        <w:rPr>
          <w:rFonts w:ascii="宋体" w:hAnsi="宋体" w:eastAsia="宋体" w:cs="宋体"/>
          <w:spacing w:val="-53"/>
          <w:sz w:val="24"/>
          <w:szCs w:val="24"/>
        </w:rPr>
        <w:t xml:space="preserve"> </w:t>
      </w:r>
      <w:r>
        <w:rPr>
          <w:rFonts w:ascii="宋体" w:hAnsi="宋体" w:eastAsia="宋体" w:cs="宋体"/>
          <w:spacing w:val="-3"/>
          <w:sz w:val="24"/>
          <w:szCs w:val="24"/>
        </w:rPr>
        <w:t>子</w:t>
      </w:r>
      <w:r>
        <w:rPr>
          <w:rFonts w:ascii="宋体" w:hAnsi="宋体" w:eastAsia="宋体" w:cs="宋体"/>
          <w:spacing w:val="48"/>
          <w:sz w:val="24"/>
          <w:szCs w:val="24"/>
        </w:rPr>
        <w:t xml:space="preserve"> </w:t>
      </w:r>
      <w:r>
        <w:rPr>
          <w:rFonts w:ascii="Times New Roman" w:hAnsi="Times New Roman" w:eastAsia="Times New Roman" w:cs="Times New Roman"/>
          <w:i/>
          <w:iCs/>
          <w:spacing w:val="-3"/>
          <w:sz w:val="24"/>
          <w:szCs w:val="24"/>
        </w:rPr>
        <w:t>Elsholtzia  rugulosa</w:t>
      </w:r>
      <w:r>
        <w:rPr>
          <w:rFonts w:ascii="Times New Roman" w:hAnsi="Times New Roman" w:eastAsia="Times New Roman" w:cs="Times New Roman"/>
          <w:i/>
          <w:iCs/>
          <w:spacing w:val="23"/>
          <w:w w:val="101"/>
          <w:sz w:val="24"/>
          <w:szCs w:val="24"/>
        </w:rPr>
        <w:t xml:space="preserve"> </w:t>
      </w:r>
      <w:r>
        <w:rPr>
          <w:rFonts w:ascii="宋体" w:hAnsi="宋体" w:eastAsia="宋体" w:cs="宋体"/>
          <w:spacing w:val="-3"/>
          <w:sz w:val="24"/>
          <w:szCs w:val="24"/>
        </w:rPr>
        <w:t>、</w:t>
      </w:r>
      <w:r>
        <w:rPr>
          <w:rFonts w:ascii="宋体" w:hAnsi="宋体" w:eastAsia="宋体" w:cs="宋体"/>
          <w:spacing w:val="-48"/>
          <w:sz w:val="24"/>
          <w:szCs w:val="24"/>
        </w:rPr>
        <w:t xml:space="preserve"> </w:t>
      </w:r>
      <w:r>
        <w:rPr>
          <w:rFonts w:ascii="宋体" w:hAnsi="宋体" w:eastAsia="宋体" w:cs="宋体"/>
          <w:spacing w:val="-3"/>
          <w:sz w:val="24"/>
          <w:szCs w:val="24"/>
        </w:rPr>
        <w:t>小</w:t>
      </w:r>
      <w:r>
        <w:rPr>
          <w:rFonts w:ascii="宋体" w:hAnsi="宋体" w:eastAsia="宋体" w:cs="宋体"/>
          <w:spacing w:val="-51"/>
          <w:sz w:val="24"/>
          <w:szCs w:val="24"/>
        </w:rPr>
        <w:t xml:space="preserve"> </w:t>
      </w:r>
      <w:r>
        <w:rPr>
          <w:rFonts w:ascii="宋体" w:hAnsi="宋体" w:eastAsia="宋体" w:cs="宋体"/>
          <w:spacing w:val="-3"/>
          <w:sz w:val="24"/>
          <w:szCs w:val="24"/>
        </w:rPr>
        <w:t>雀</w:t>
      </w:r>
      <w:r>
        <w:rPr>
          <w:rFonts w:ascii="宋体" w:hAnsi="宋体" w:eastAsia="宋体" w:cs="宋体"/>
          <w:spacing w:val="-54"/>
          <w:sz w:val="24"/>
          <w:szCs w:val="24"/>
        </w:rPr>
        <w:t xml:space="preserve"> </w:t>
      </w:r>
      <w:r>
        <w:rPr>
          <w:rFonts w:ascii="宋体" w:hAnsi="宋体" w:eastAsia="宋体" w:cs="宋体"/>
          <w:spacing w:val="-3"/>
          <w:sz w:val="24"/>
          <w:szCs w:val="24"/>
        </w:rPr>
        <w:t xml:space="preserve">花 </w:t>
      </w:r>
      <w:r>
        <w:rPr>
          <w:rFonts w:ascii="Times New Roman" w:hAnsi="Times New Roman" w:eastAsia="Times New Roman" w:cs="Times New Roman"/>
          <w:i/>
          <w:iCs/>
          <w:sz w:val="24"/>
          <w:szCs w:val="24"/>
        </w:rPr>
        <w:t>Campylotropis</w:t>
      </w:r>
      <w:r>
        <w:rPr>
          <w:rFonts w:ascii="Times New Roman" w:hAnsi="Times New Roman" w:eastAsia="Times New Roman" w:cs="Times New Roman"/>
          <w:i/>
          <w:iCs/>
          <w:spacing w:val="30"/>
          <w:sz w:val="24"/>
          <w:szCs w:val="24"/>
        </w:rPr>
        <w:t xml:space="preserve"> </w:t>
      </w:r>
      <w:r>
        <w:rPr>
          <w:rFonts w:ascii="Times New Roman" w:hAnsi="Times New Roman" w:eastAsia="Times New Roman" w:cs="Times New Roman"/>
          <w:i/>
          <w:iCs/>
          <w:sz w:val="24"/>
          <w:szCs w:val="24"/>
        </w:rPr>
        <w:t>polyantha</w:t>
      </w:r>
      <w:r>
        <w:rPr>
          <w:rFonts w:ascii="Times New Roman" w:hAnsi="Times New Roman" w:eastAsia="Times New Roman" w:cs="Times New Roman"/>
          <w:i/>
          <w:iCs/>
          <w:spacing w:val="-36"/>
          <w:sz w:val="24"/>
          <w:szCs w:val="24"/>
        </w:rPr>
        <w:t xml:space="preserve"> </w:t>
      </w:r>
      <w:r>
        <w:rPr>
          <w:rFonts w:ascii="宋体" w:hAnsi="宋体" w:eastAsia="宋体" w:cs="宋体"/>
          <w:spacing w:val="11"/>
          <w:sz w:val="24"/>
          <w:szCs w:val="24"/>
        </w:rPr>
        <w:t>、西南栒子</w:t>
      </w:r>
      <w:r>
        <w:rPr>
          <w:rFonts w:ascii="宋体" w:hAnsi="宋体" w:eastAsia="宋体" w:cs="宋体"/>
          <w:spacing w:val="38"/>
          <w:sz w:val="24"/>
          <w:szCs w:val="24"/>
        </w:rPr>
        <w:t xml:space="preserve"> </w:t>
      </w:r>
      <w:r>
        <w:rPr>
          <w:rFonts w:ascii="Times New Roman" w:hAnsi="Times New Roman" w:eastAsia="Times New Roman" w:cs="Times New Roman"/>
          <w:i/>
          <w:iCs/>
          <w:sz w:val="24"/>
          <w:szCs w:val="24"/>
        </w:rPr>
        <w:t>Cotoneaster</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franchetii</w:t>
      </w:r>
      <w:r>
        <w:rPr>
          <w:rFonts w:ascii="Times New Roman" w:hAnsi="Times New Roman" w:eastAsia="Times New Roman" w:cs="Times New Roman"/>
          <w:i/>
          <w:iCs/>
          <w:spacing w:val="-9"/>
          <w:sz w:val="24"/>
          <w:szCs w:val="24"/>
        </w:rPr>
        <w:t xml:space="preserve"> </w:t>
      </w:r>
      <w:r>
        <w:rPr>
          <w:rFonts w:ascii="宋体" w:hAnsi="宋体" w:eastAsia="宋体" w:cs="宋体"/>
          <w:spacing w:val="11"/>
          <w:sz w:val="24"/>
          <w:szCs w:val="24"/>
        </w:rPr>
        <w:t>、水红木</w:t>
      </w:r>
      <w:r>
        <w:rPr>
          <w:rFonts w:ascii="宋体" w:hAnsi="宋体" w:eastAsia="宋体" w:cs="宋体"/>
          <w:spacing w:val="62"/>
          <w:sz w:val="24"/>
          <w:szCs w:val="24"/>
        </w:rPr>
        <w:t xml:space="preserve"> </w:t>
      </w:r>
      <w:r>
        <w:rPr>
          <w:rFonts w:ascii="Times New Roman" w:hAnsi="Times New Roman" w:eastAsia="Times New Roman" w:cs="Times New Roman"/>
          <w:i/>
          <w:iCs/>
          <w:sz w:val="24"/>
          <w:szCs w:val="24"/>
        </w:rPr>
        <w:t>Viburnum</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pacing w:val="-1"/>
          <w:sz w:val="24"/>
          <w:szCs w:val="24"/>
        </w:rPr>
        <w:t>cylindricum</w:t>
      </w:r>
      <w:r>
        <w:rPr>
          <w:rFonts w:ascii="Times New Roman" w:hAnsi="Times New Roman" w:eastAsia="Times New Roman" w:cs="Times New Roman"/>
          <w:i/>
          <w:iCs/>
          <w:spacing w:val="-35"/>
          <w:sz w:val="24"/>
          <w:szCs w:val="24"/>
        </w:rPr>
        <w:t xml:space="preserve"> </w:t>
      </w:r>
      <w:r>
        <w:rPr>
          <w:rFonts w:ascii="宋体" w:hAnsi="宋体" w:eastAsia="宋体" w:cs="宋体"/>
          <w:spacing w:val="-1"/>
          <w:sz w:val="24"/>
          <w:szCs w:val="24"/>
        </w:rPr>
        <w:t>、走马胎</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Ardisia</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1"/>
          <w:sz w:val="24"/>
          <w:szCs w:val="24"/>
        </w:rPr>
        <w:t>gigantifolia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大白杜鹃</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Rhododendron decorum</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 xml:space="preserve">、牛筋 </w:t>
      </w:r>
      <w:r>
        <w:rPr>
          <w:rFonts w:ascii="宋体" w:hAnsi="宋体" w:eastAsia="宋体" w:cs="宋体"/>
          <w:spacing w:val="12"/>
          <w:sz w:val="24"/>
          <w:szCs w:val="24"/>
        </w:rPr>
        <w:t xml:space="preserve">条 </w:t>
      </w:r>
      <w:r>
        <w:rPr>
          <w:rFonts w:ascii="Times New Roman" w:hAnsi="Times New Roman" w:eastAsia="Times New Roman" w:cs="Times New Roman"/>
          <w:i/>
          <w:iCs/>
          <w:sz w:val="24"/>
          <w:szCs w:val="24"/>
        </w:rPr>
        <w:t>Dichotomanthes</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z w:val="24"/>
          <w:szCs w:val="24"/>
        </w:rPr>
        <w:t>tristaniicarpa</w:t>
      </w:r>
      <w:r>
        <w:rPr>
          <w:rFonts w:ascii="Times New Roman" w:hAnsi="Times New Roman" w:eastAsia="Times New Roman" w:cs="Times New Roman"/>
          <w:i/>
          <w:iCs/>
          <w:spacing w:val="-2"/>
          <w:sz w:val="24"/>
          <w:szCs w:val="24"/>
        </w:rPr>
        <w:t xml:space="preserve"> </w:t>
      </w:r>
      <w:r>
        <w:rPr>
          <w:rFonts w:ascii="宋体" w:hAnsi="宋体" w:eastAsia="宋体" w:cs="宋体"/>
          <w:spacing w:val="12"/>
          <w:sz w:val="24"/>
          <w:szCs w:val="24"/>
        </w:rPr>
        <w:t xml:space="preserve">、细锥香茶菜 </w:t>
      </w:r>
      <w:r>
        <w:rPr>
          <w:rFonts w:ascii="Times New Roman" w:hAnsi="Times New Roman" w:eastAsia="Times New Roman" w:cs="Times New Roman"/>
          <w:i/>
          <w:iCs/>
          <w:sz w:val="24"/>
          <w:szCs w:val="24"/>
        </w:rPr>
        <w:t>Isodon</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z w:val="24"/>
          <w:szCs w:val="24"/>
        </w:rPr>
        <w:t>coetsa</w:t>
      </w:r>
      <w:r>
        <w:rPr>
          <w:rFonts w:ascii="Times New Roman" w:hAnsi="Times New Roman" w:eastAsia="Times New Roman" w:cs="Times New Roman"/>
          <w:i/>
          <w:iCs/>
          <w:spacing w:val="12"/>
          <w:sz w:val="24"/>
          <w:szCs w:val="24"/>
        </w:rPr>
        <w:t xml:space="preserve"> </w:t>
      </w:r>
      <w:r>
        <w:rPr>
          <w:rFonts w:ascii="宋体" w:hAnsi="宋体" w:eastAsia="宋体" w:cs="宋体"/>
          <w:spacing w:val="12"/>
          <w:sz w:val="24"/>
          <w:szCs w:val="24"/>
        </w:rPr>
        <w:t xml:space="preserve">、长波叶山蚂蝗 </w:t>
      </w:r>
      <w:r>
        <w:rPr>
          <w:rFonts w:ascii="Times New Roman" w:hAnsi="Times New Roman" w:eastAsia="Times New Roman" w:cs="Times New Roman"/>
          <w:i/>
          <w:iCs/>
          <w:spacing w:val="-2"/>
          <w:sz w:val="24"/>
          <w:szCs w:val="24"/>
        </w:rPr>
        <w:t>Desmodium sequax</w:t>
      </w:r>
      <w:r>
        <w:rPr>
          <w:rFonts w:ascii="宋体" w:hAnsi="宋体" w:eastAsia="宋体" w:cs="宋体"/>
          <w:spacing w:val="-2"/>
          <w:sz w:val="24"/>
          <w:szCs w:val="24"/>
        </w:rPr>
        <w:t>、石海椒</w:t>
      </w:r>
      <w:r>
        <w:rPr>
          <w:rFonts w:ascii="Times New Roman" w:hAnsi="Times New Roman" w:eastAsia="Times New Roman" w:cs="Times New Roman"/>
          <w:i/>
          <w:iCs/>
          <w:spacing w:val="-2"/>
          <w:sz w:val="24"/>
          <w:szCs w:val="24"/>
        </w:rPr>
        <w:t>Reinwardtia in</w:t>
      </w:r>
      <w:r>
        <w:rPr>
          <w:rFonts w:ascii="Times New Roman" w:hAnsi="Times New Roman" w:eastAsia="Times New Roman" w:cs="Times New Roman"/>
          <w:i/>
          <w:iCs/>
          <w:spacing w:val="-3"/>
          <w:sz w:val="24"/>
          <w:szCs w:val="24"/>
        </w:rPr>
        <w:t>dica</w:t>
      </w:r>
      <w:r>
        <w:rPr>
          <w:rFonts w:ascii="宋体" w:hAnsi="宋体" w:eastAsia="宋体" w:cs="宋体"/>
          <w:spacing w:val="-3"/>
          <w:sz w:val="24"/>
          <w:szCs w:val="24"/>
        </w:rPr>
        <w:t>、爆杖花</w:t>
      </w:r>
      <w:r>
        <w:rPr>
          <w:rFonts w:ascii="Times New Roman" w:hAnsi="Times New Roman" w:eastAsia="Times New Roman" w:cs="Times New Roman"/>
          <w:i/>
          <w:iCs/>
          <w:spacing w:val="-3"/>
          <w:sz w:val="24"/>
          <w:szCs w:val="24"/>
        </w:rPr>
        <w:t>Rhododendron spinuliferum</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0"/>
          <w:sz w:val="24"/>
          <w:szCs w:val="24"/>
        </w:rPr>
        <w:t xml:space="preserve">川滇金丝桃 </w:t>
      </w:r>
      <w:r>
        <w:rPr>
          <w:rFonts w:ascii="Times New Roman" w:hAnsi="Times New Roman" w:eastAsia="Times New Roman" w:cs="Times New Roman"/>
          <w:i/>
          <w:iCs/>
          <w:sz w:val="24"/>
          <w:szCs w:val="24"/>
        </w:rPr>
        <w:t>Hypericum</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forrestii</w:t>
      </w:r>
      <w:r>
        <w:rPr>
          <w:rFonts w:ascii="Times New Roman" w:hAnsi="Times New Roman" w:eastAsia="Times New Roman" w:cs="Times New Roman"/>
          <w:i/>
          <w:iCs/>
          <w:spacing w:val="-8"/>
          <w:sz w:val="24"/>
          <w:szCs w:val="24"/>
        </w:rPr>
        <w:t xml:space="preserve"> </w:t>
      </w:r>
      <w:r>
        <w:rPr>
          <w:rFonts w:ascii="宋体" w:hAnsi="宋体" w:eastAsia="宋体" w:cs="宋体"/>
          <w:spacing w:val="10"/>
          <w:sz w:val="24"/>
          <w:szCs w:val="24"/>
        </w:rPr>
        <w:t xml:space="preserve">、黄花稔 </w:t>
      </w:r>
      <w:r>
        <w:rPr>
          <w:rFonts w:ascii="Times New Roman" w:hAnsi="Times New Roman" w:eastAsia="Times New Roman" w:cs="Times New Roman"/>
          <w:i/>
          <w:iCs/>
          <w:sz w:val="24"/>
          <w:szCs w:val="24"/>
        </w:rPr>
        <w:t>Sidaszechuensis</w:t>
      </w:r>
      <w:r>
        <w:rPr>
          <w:rFonts w:ascii="Times New Roman" w:hAnsi="Times New Roman" w:eastAsia="Times New Roman" w:cs="Times New Roman"/>
          <w:i/>
          <w:iCs/>
          <w:spacing w:val="-21"/>
          <w:sz w:val="24"/>
          <w:szCs w:val="24"/>
        </w:rPr>
        <w:t xml:space="preserve"> </w:t>
      </w:r>
      <w:r>
        <w:rPr>
          <w:rFonts w:ascii="宋体" w:hAnsi="宋体" w:eastAsia="宋体" w:cs="宋体"/>
          <w:spacing w:val="10"/>
          <w:sz w:val="24"/>
          <w:szCs w:val="24"/>
        </w:rPr>
        <w:t xml:space="preserve">、云南含笑 </w:t>
      </w:r>
      <w:r>
        <w:rPr>
          <w:rFonts w:ascii="Times New Roman" w:hAnsi="Times New Roman" w:eastAsia="Times New Roman" w:cs="Times New Roman"/>
          <w:i/>
          <w:iCs/>
          <w:sz w:val="24"/>
          <w:szCs w:val="24"/>
        </w:rPr>
        <w:t>Michelia</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35"/>
          <w:sz w:val="24"/>
          <w:szCs w:val="24"/>
        </w:rPr>
        <w:t xml:space="preserve"> </w:t>
      </w:r>
      <w:r>
        <w:rPr>
          <w:rFonts w:ascii="宋体" w:hAnsi="宋体" w:eastAsia="宋体" w:cs="宋体"/>
          <w:sz w:val="24"/>
          <w:szCs w:val="24"/>
        </w:rPr>
        <w:t>、美丽马醉木</w:t>
      </w:r>
      <w:r>
        <w:rPr>
          <w:rFonts w:ascii="宋体" w:hAnsi="宋体" w:eastAsia="宋体" w:cs="宋体"/>
          <w:spacing w:val="-22"/>
          <w:sz w:val="24"/>
          <w:szCs w:val="24"/>
        </w:rPr>
        <w:t xml:space="preserve"> </w:t>
      </w:r>
      <w:r>
        <w:rPr>
          <w:rFonts w:ascii="Times New Roman" w:hAnsi="Times New Roman" w:eastAsia="Times New Roman" w:cs="Times New Roman"/>
          <w:i/>
          <w:iCs/>
          <w:sz w:val="24"/>
          <w:szCs w:val="24"/>
        </w:rPr>
        <w:t>Pieris</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z w:val="24"/>
          <w:szCs w:val="24"/>
        </w:rPr>
        <w:t>formosa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、云上杜鹃</w:t>
      </w:r>
      <w:r>
        <w:rPr>
          <w:rFonts w:ascii="宋体" w:hAnsi="宋体" w:eastAsia="宋体" w:cs="宋体"/>
          <w:spacing w:val="-22"/>
          <w:sz w:val="24"/>
          <w:szCs w:val="24"/>
        </w:rPr>
        <w:t xml:space="preserve"> </w:t>
      </w:r>
      <w:r>
        <w:rPr>
          <w:rFonts w:ascii="Times New Roman" w:hAnsi="Times New Roman" w:eastAsia="Times New Roman" w:cs="Times New Roman"/>
          <w:i/>
          <w:iCs/>
          <w:sz w:val="24"/>
          <w:szCs w:val="24"/>
        </w:rPr>
        <w:t>Rhododendron</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z w:val="24"/>
          <w:szCs w:val="24"/>
        </w:rPr>
        <w:t>pachypodum</w:t>
      </w:r>
      <w:r>
        <w:rPr>
          <w:rFonts w:ascii="宋体" w:hAnsi="宋体" w:eastAsia="宋体" w:cs="宋体"/>
          <w:sz w:val="24"/>
          <w:szCs w:val="24"/>
        </w:rPr>
        <w:t xml:space="preserve">、 </w:t>
      </w:r>
      <w:r>
        <w:rPr>
          <w:rFonts w:ascii="宋体" w:hAnsi="宋体" w:eastAsia="宋体" w:cs="宋体"/>
          <w:spacing w:val="4"/>
          <w:sz w:val="24"/>
          <w:szCs w:val="24"/>
        </w:rPr>
        <w:t xml:space="preserve">云南杨梅 </w:t>
      </w:r>
      <w:r>
        <w:rPr>
          <w:rFonts w:ascii="Times New Roman" w:hAnsi="Times New Roman" w:eastAsia="Times New Roman" w:cs="Times New Roman"/>
          <w:i/>
          <w:iCs/>
          <w:sz w:val="24"/>
          <w:szCs w:val="24"/>
        </w:rPr>
        <w:t>Myrica</w:t>
      </w:r>
      <w:r>
        <w:rPr>
          <w:rFonts w:ascii="Times New Roman" w:hAnsi="Times New Roman" w:eastAsia="Times New Roman" w:cs="Times New Roman"/>
          <w:i/>
          <w:iCs/>
          <w:spacing w:val="48"/>
          <w:w w:val="101"/>
          <w:sz w:val="24"/>
          <w:szCs w:val="24"/>
        </w:rPr>
        <w:t xml:space="preserve"> </w:t>
      </w:r>
      <w:r>
        <w:rPr>
          <w:rFonts w:ascii="Times New Roman" w:hAnsi="Times New Roman" w:eastAsia="Times New Roman" w:cs="Times New Roman"/>
          <w:i/>
          <w:iCs/>
          <w:sz w:val="24"/>
          <w:szCs w:val="24"/>
        </w:rPr>
        <w:t>nana</w:t>
      </w:r>
      <w:r>
        <w:rPr>
          <w:rFonts w:ascii="Times New Roman" w:hAnsi="Times New Roman" w:eastAsia="Times New Roman" w:cs="Times New Roman"/>
          <w:i/>
          <w:iCs/>
          <w:spacing w:val="-18"/>
          <w:sz w:val="24"/>
          <w:szCs w:val="24"/>
        </w:rPr>
        <w:t xml:space="preserve"> </w:t>
      </w:r>
      <w:r>
        <w:rPr>
          <w:rFonts w:ascii="宋体" w:hAnsi="宋体" w:eastAsia="宋体" w:cs="宋体"/>
          <w:spacing w:val="4"/>
          <w:sz w:val="24"/>
          <w:szCs w:val="24"/>
        </w:rPr>
        <w:t xml:space="preserve">、厚皮香 </w:t>
      </w:r>
      <w:r>
        <w:rPr>
          <w:rFonts w:ascii="Times New Roman" w:hAnsi="Times New Roman" w:eastAsia="Times New Roman" w:cs="Times New Roman"/>
          <w:i/>
          <w:iCs/>
          <w:sz w:val="24"/>
          <w:szCs w:val="24"/>
        </w:rPr>
        <w:t>Ternstroemia</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z w:val="24"/>
          <w:szCs w:val="24"/>
        </w:rPr>
        <w:t>gymnanthera</w:t>
      </w:r>
      <w:r>
        <w:rPr>
          <w:rFonts w:ascii="Times New Roman" w:hAnsi="Times New Roman" w:eastAsia="Times New Roman" w:cs="Times New Roman"/>
          <w:i/>
          <w:iCs/>
          <w:spacing w:val="-19"/>
          <w:sz w:val="24"/>
          <w:szCs w:val="24"/>
        </w:rPr>
        <w:t xml:space="preserve"> </w:t>
      </w:r>
      <w:r>
        <w:rPr>
          <w:rFonts w:ascii="宋体" w:hAnsi="宋体" w:eastAsia="宋体" w:cs="宋体"/>
          <w:spacing w:val="4"/>
          <w:sz w:val="24"/>
          <w:szCs w:val="24"/>
        </w:rPr>
        <w:t xml:space="preserve">、水麻 </w:t>
      </w:r>
      <w:r>
        <w:rPr>
          <w:rFonts w:ascii="Times New Roman" w:hAnsi="Times New Roman" w:eastAsia="Times New Roman" w:cs="Times New Roman"/>
          <w:i/>
          <w:iCs/>
          <w:sz w:val="24"/>
          <w:szCs w:val="24"/>
        </w:rPr>
        <w:t>Debregeasia</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i/>
          <w:iCs/>
          <w:sz w:val="24"/>
          <w:szCs w:val="24"/>
        </w:rPr>
        <w:t>orientalis</w:t>
      </w:r>
      <w:r>
        <w:rPr>
          <w:rFonts w:ascii="Times New Roman" w:hAnsi="Times New Roman" w:eastAsia="Times New Roman" w:cs="Times New Roman"/>
          <w:i/>
          <w:iCs/>
          <w:spacing w:val="-19"/>
          <w:sz w:val="24"/>
          <w:szCs w:val="24"/>
        </w:rPr>
        <w:t xml:space="preserve"> </w:t>
      </w:r>
      <w:r>
        <w:rPr>
          <w:rFonts w:ascii="宋体" w:hAnsi="宋体" w:eastAsia="宋体" w:cs="宋体"/>
          <w:spacing w:val="2"/>
          <w:sz w:val="24"/>
          <w:szCs w:val="24"/>
        </w:rPr>
        <w:t xml:space="preserve">、梁王茶 </w:t>
      </w:r>
      <w:r>
        <w:rPr>
          <w:rFonts w:ascii="Times New Roman" w:hAnsi="Times New Roman" w:eastAsia="Times New Roman" w:cs="Times New Roman"/>
          <w:i/>
          <w:iCs/>
          <w:sz w:val="24"/>
          <w:szCs w:val="24"/>
        </w:rPr>
        <w:t>Metapanax</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z w:val="24"/>
          <w:szCs w:val="24"/>
        </w:rPr>
        <w:t>delavayi</w:t>
      </w:r>
      <w:r>
        <w:rPr>
          <w:rFonts w:ascii="宋体" w:hAnsi="宋体" w:eastAsia="宋体" w:cs="宋体"/>
          <w:spacing w:val="2"/>
          <w:sz w:val="24"/>
          <w:szCs w:val="24"/>
        </w:rPr>
        <w:t xml:space="preserve">、密蒙花 </w:t>
      </w:r>
      <w:r>
        <w:rPr>
          <w:rFonts w:ascii="Times New Roman" w:hAnsi="Times New Roman" w:eastAsia="Times New Roman" w:cs="Times New Roman"/>
          <w:i/>
          <w:iCs/>
          <w:sz w:val="24"/>
          <w:szCs w:val="24"/>
        </w:rPr>
        <w:t>Buddleja</w:t>
      </w:r>
      <w:r>
        <w:rPr>
          <w:rFonts w:ascii="Times New Roman" w:hAnsi="Times New Roman" w:eastAsia="Times New Roman" w:cs="Times New Roman"/>
          <w:i/>
          <w:iCs/>
          <w:spacing w:val="42"/>
          <w:sz w:val="24"/>
          <w:szCs w:val="24"/>
        </w:rPr>
        <w:t xml:space="preserve"> </w:t>
      </w:r>
      <w:r>
        <w:rPr>
          <w:rFonts w:ascii="Times New Roman" w:hAnsi="Times New Roman" w:eastAsia="Times New Roman" w:cs="Times New Roman"/>
          <w:i/>
          <w:iCs/>
          <w:sz w:val="24"/>
          <w:szCs w:val="24"/>
        </w:rPr>
        <w:t>officinalis</w:t>
      </w:r>
      <w:r>
        <w:rPr>
          <w:rFonts w:ascii="Times New Roman" w:hAnsi="Times New Roman" w:eastAsia="Times New Roman" w:cs="Times New Roman"/>
          <w:i/>
          <w:iCs/>
          <w:spacing w:val="-24"/>
          <w:sz w:val="24"/>
          <w:szCs w:val="24"/>
        </w:rPr>
        <w:t xml:space="preserve"> </w:t>
      </w:r>
      <w:r>
        <w:rPr>
          <w:rFonts w:ascii="宋体" w:hAnsi="宋体" w:eastAsia="宋体" w:cs="宋体"/>
          <w:spacing w:val="2"/>
          <w:sz w:val="24"/>
          <w:szCs w:val="24"/>
        </w:rPr>
        <w:t xml:space="preserve">、云南越桔 </w:t>
      </w:r>
      <w:r>
        <w:rPr>
          <w:rFonts w:ascii="Times New Roman" w:hAnsi="Times New Roman" w:eastAsia="Times New Roman" w:cs="Times New Roman"/>
          <w:i/>
          <w:iCs/>
          <w:sz w:val="24"/>
          <w:szCs w:val="24"/>
        </w:rPr>
        <w:t>Vaccinium</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duclouxii</w:t>
      </w:r>
      <w:r>
        <w:rPr>
          <w:rFonts w:ascii="Times New Roman" w:hAnsi="Times New Roman" w:eastAsia="Times New Roman" w:cs="Times New Roman"/>
          <w:i/>
          <w:iCs/>
          <w:spacing w:val="11"/>
          <w:sz w:val="24"/>
          <w:szCs w:val="24"/>
        </w:rPr>
        <w:t xml:space="preserve"> </w:t>
      </w:r>
      <w:r>
        <w:rPr>
          <w:rFonts w:ascii="宋体" w:hAnsi="宋体" w:eastAsia="宋体" w:cs="宋体"/>
          <w:spacing w:val="11"/>
          <w:sz w:val="24"/>
          <w:szCs w:val="24"/>
        </w:rPr>
        <w:t>、</w:t>
      </w:r>
      <w:r>
        <w:rPr>
          <w:rFonts w:ascii="宋体" w:hAnsi="宋体" w:eastAsia="宋体" w:cs="宋体"/>
          <w:spacing w:val="-48"/>
          <w:sz w:val="24"/>
          <w:szCs w:val="24"/>
        </w:rPr>
        <w:t xml:space="preserve"> </w:t>
      </w:r>
      <w:r>
        <w:rPr>
          <w:rFonts w:ascii="宋体" w:hAnsi="宋体" w:eastAsia="宋体" w:cs="宋体"/>
          <w:spacing w:val="11"/>
          <w:sz w:val="24"/>
          <w:szCs w:val="24"/>
        </w:rPr>
        <w:t>腺毛木蓝</w:t>
      </w:r>
      <w:r>
        <w:rPr>
          <w:rFonts w:ascii="宋体" w:hAnsi="宋体" w:eastAsia="宋体" w:cs="宋体"/>
          <w:spacing w:val="40"/>
          <w:sz w:val="24"/>
          <w:szCs w:val="24"/>
        </w:rPr>
        <w:t xml:space="preserve"> </w:t>
      </w:r>
      <w:r>
        <w:rPr>
          <w:rFonts w:ascii="Times New Roman" w:hAnsi="Times New Roman" w:eastAsia="Times New Roman" w:cs="Times New Roman"/>
          <w:i/>
          <w:iCs/>
          <w:sz w:val="24"/>
          <w:szCs w:val="24"/>
        </w:rPr>
        <w:t>Indigofera</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scabrida</w:t>
      </w:r>
      <w:r>
        <w:rPr>
          <w:rFonts w:ascii="Times New Roman" w:hAnsi="Times New Roman" w:eastAsia="Times New Roman" w:cs="Times New Roman"/>
          <w:i/>
          <w:iCs/>
          <w:spacing w:val="11"/>
          <w:sz w:val="24"/>
          <w:szCs w:val="24"/>
        </w:rPr>
        <w:t xml:space="preserve"> </w:t>
      </w:r>
      <w:r>
        <w:rPr>
          <w:rFonts w:ascii="宋体" w:hAnsi="宋体" w:eastAsia="宋体" w:cs="宋体"/>
          <w:spacing w:val="11"/>
          <w:sz w:val="24"/>
          <w:szCs w:val="24"/>
        </w:rPr>
        <w:t>、</w:t>
      </w:r>
      <w:r>
        <w:rPr>
          <w:rFonts w:ascii="宋体" w:hAnsi="宋体" w:eastAsia="宋体" w:cs="宋体"/>
          <w:spacing w:val="-61"/>
          <w:sz w:val="24"/>
          <w:szCs w:val="24"/>
        </w:rPr>
        <w:t xml:space="preserve"> </w:t>
      </w:r>
      <w:r>
        <w:rPr>
          <w:rFonts w:ascii="宋体" w:hAnsi="宋体" w:eastAsia="宋体" w:cs="宋体"/>
          <w:spacing w:val="11"/>
          <w:sz w:val="24"/>
          <w:szCs w:val="24"/>
        </w:rPr>
        <w:t>杭子梢</w:t>
      </w:r>
      <w:r>
        <w:rPr>
          <w:rFonts w:ascii="宋体" w:hAnsi="宋体" w:eastAsia="宋体" w:cs="宋体"/>
          <w:spacing w:val="63"/>
          <w:sz w:val="24"/>
          <w:szCs w:val="24"/>
        </w:rPr>
        <w:t xml:space="preserve"> </w:t>
      </w:r>
      <w:r>
        <w:rPr>
          <w:rFonts w:ascii="Times New Roman" w:hAnsi="Times New Roman" w:eastAsia="Times New Roman" w:cs="Times New Roman"/>
          <w:i/>
          <w:iCs/>
          <w:sz w:val="24"/>
          <w:szCs w:val="24"/>
        </w:rPr>
        <w:t>Campylotropis</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macrocarpa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、乌鸦果</w:t>
      </w:r>
      <w:r>
        <w:rPr>
          <w:rFonts w:ascii="宋体" w:hAnsi="宋体" w:eastAsia="宋体" w:cs="宋体"/>
          <w:spacing w:val="-30"/>
          <w:sz w:val="24"/>
          <w:szCs w:val="24"/>
        </w:rPr>
        <w:t xml:space="preserve"> </w:t>
      </w:r>
      <w:r>
        <w:rPr>
          <w:rFonts w:ascii="Times New Roman" w:hAnsi="Times New Roman" w:eastAsia="Times New Roman" w:cs="Times New Roman"/>
          <w:i/>
          <w:iCs/>
          <w:sz w:val="24"/>
          <w:szCs w:val="24"/>
        </w:rPr>
        <w:t>Vaccinium</w:t>
      </w:r>
      <w:r>
        <w:rPr>
          <w:rFonts w:ascii="Times New Roman" w:hAnsi="Times New Roman" w:eastAsia="Times New Roman" w:cs="Times New Roman"/>
          <w:i/>
          <w:iCs/>
          <w:spacing w:val="-27"/>
          <w:sz w:val="24"/>
          <w:szCs w:val="24"/>
        </w:rPr>
        <w:t xml:space="preserve"> </w:t>
      </w:r>
      <w:r>
        <w:rPr>
          <w:rFonts w:ascii="Times New Roman" w:hAnsi="Times New Roman" w:eastAsia="Times New Roman" w:cs="Times New Roman"/>
          <w:i/>
          <w:iCs/>
          <w:sz w:val="24"/>
          <w:szCs w:val="24"/>
        </w:rPr>
        <w:t>fragile</w:t>
      </w:r>
      <w:r>
        <w:rPr>
          <w:rFonts w:ascii="Times New Roman" w:hAnsi="Times New Roman" w:eastAsia="Times New Roman" w:cs="Times New Roman"/>
          <w:i/>
          <w:iCs/>
          <w:spacing w:val="-1"/>
          <w:sz w:val="24"/>
          <w:szCs w:val="24"/>
        </w:rPr>
        <w:t xml:space="preserve"> </w:t>
      </w:r>
      <w:r>
        <w:rPr>
          <w:rFonts w:ascii="宋体" w:hAnsi="宋体" w:eastAsia="宋体" w:cs="宋体"/>
          <w:spacing w:val="-1"/>
          <w:sz w:val="24"/>
          <w:szCs w:val="24"/>
        </w:rPr>
        <w:t xml:space="preserve">等。相对来说群落中的乔木幼树种类也较 </w:t>
      </w:r>
      <w:r>
        <w:rPr>
          <w:rFonts w:ascii="宋体" w:hAnsi="宋体" w:eastAsia="宋体" w:cs="宋体"/>
          <w:spacing w:val="-3"/>
          <w:sz w:val="24"/>
          <w:szCs w:val="24"/>
        </w:rPr>
        <w:t>多，</w:t>
      </w:r>
      <w:r>
        <w:rPr>
          <w:rFonts w:ascii="宋体" w:hAnsi="宋体" w:eastAsia="宋体" w:cs="宋体"/>
          <w:spacing w:val="-47"/>
          <w:sz w:val="24"/>
          <w:szCs w:val="24"/>
        </w:rPr>
        <w:t xml:space="preserve"> </w:t>
      </w:r>
      <w:r>
        <w:rPr>
          <w:rFonts w:ascii="宋体" w:hAnsi="宋体" w:eastAsia="宋体" w:cs="宋体"/>
          <w:spacing w:val="-3"/>
          <w:sz w:val="24"/>
          <w:szCs w:val="24"/>
        </w:rPr>
        <w:t>主要以云南松</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Pinus</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pacing w:val="-3"/>
          <w:sz w:val="24"/>
          <w:szCs w:val="24"/>
        </w:rPr>
        <w:t>yunnanensis</w:t>
      </w:r>
      <w:r>
        <w:rPr>
          <w:rFonts w:ascii="宋体" w:hAnsi="宋体" w:eastAsia="宋体" w:cs="宋体"/>
          <w:spacing w:val="-3"/>
          <w:sz w:val="24"/>
          <w:szCs w:val="24"/>
        </w:rPr>
        <w:t>、滇青冈</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Cyclobalanopsis</w:t>
      </w:r>
      <w:r>
        <w:rPr>
          <w:rFonts w:ascii="Times New Roman" w:hAnsi="Times New Roman" w:eastAsia="Times New Roman" w:cs="Times New Roman"/>
          <w:i/>
          <w:iCs/>
          <w:spacing w:val="-20"/>
          <w:sz w:val="24"/>
          <w:szCs w:val="24"/>
        </w:rPr>
        <w:t xml:space="preserve"> </w:t>
      </w:r>
      <w:r>
        <w:rPr>
          <w:rFonts w:ascii="Times New Roman" w:hAnsi="Times New Roman" w:eastAsia="Times New Roman" w:cs="Times New Roman"/>
          <w:i/>
          <w:iCs/>
          <w:spacing w:val="-3"/>
          <w:sz w:val="24"/>
          <w:szCs w:val="24"/>
        </w:rPr>
        <w:t>glaucoides</w:t>
      </w:r>
      <w:r>
        <w:rPr>
          <w:rFonts w:ascii="宋体" w:hAnsi="宋体" w:eastAsia="宋体" w:cs="宋体"/>
          <w:spacing w:val="-3"/>
          <w:sz w:val="24"/>
          <w:szCs w:val="24"/>
        </w:rPr>
        <w:t xml:space="preserve">、黄毛青 </w:t>
      </w:r>
      <w:r>
        <w:rPr>
          <w:rFonts w:ascii="宋体" w:hAnsi="宋体" w:eastAsia="宋体" w:cs="宋体"/>
          <w:sz w:val="24"/>
          <w:szCs w:val="24"/>
        </w:rPr>
        <w:t>冈</w:t>
      </w:r>
      <w:r>
        <w:rPr>
          <w:rFonts w:ascii="宋体" w:hAnsi="宋体" w:eastAsia="宋体" w:cs="宋体"/>
          <w:spacing w:val="53"/>
          <w:sz w:val="24"/>
          <w:szCs w:val="24"/>
        </w:rPr>
        <w:t xml:space="preserve"> </w:t>
      </w:r>
      <w:r>
        <w:rPr>
          <w:rFonts w:ascii="Times New Roman" w:hAnsi="Times New Roman" w:eastAsia="Times New Roman" w:cs="Times New Roman"/>
          <w:i/>
          <w:iCs/>
          <w:sz w:val="24"/>
          <w:szCs w:val="24"/>
        </w:rPr>
        <w:t xml:space="preserve">Cyclobalanopsis delavayi </w:t>
      </w:r>
      <w:r>
        <w:rPr>
          <w:rFonts w:ascii="宋体" w:hAnsi="宋体" w:eastAsia="宋体" w:cs="宋体"/>
          <w:sz w:val="24"/>
          <w:szCs w:val="24"/>
        </w:rPr>
        <w:t>、高山锥</w:t>
      </w:r>
      <w:r>
        <w:rPr>
          <w:rFonts w:ascii="宋体" w:hAnsi="宋体" w:eastAsia="宋体" w:cs="宋体"/>
          <w:spacing w:val="43"/>
          <w:sz w:val="24"/>
          <w:szCs w:val="24"/>
        </w:rPr>
        <w:t xml:space="preserve"> </w:t>
      </w:r>
      <w:r>
        <w:rPr>
          <w:rFonts w:ascii="Times New Roman" w:hAnsi="Times New Roman" w:eastAsia="Times New Roman" w:cs="Times New Roman"/>
          <w:i/>
          <w:iCs/>
          <w:sz w:val="24"/>
          <w:szCs w:val="24"/>
        </w:rPr>
        <w:t xml:space="preserve">Castanopsis  delavayi </w:t>
      </w:r>
      <w:r>
        <w:rPr>
          <w:rFonts w:ascii="宋体" w:hAnsi="宋体" w:eastAsia="宋体" w:cs="宋体"/>
          <w:sz w:val="24"/>
          <w:szCs w:val="24"/>
        </w:rPr>
        <w:t>、</w:t>
      </w:r>
      <w:r>
        <w:rPr>
          <w:rFonts w:ascii="宋体" w:hAnsi="宋体" w:eastAsia="宋体" w:cs="宋体"/>
          <w:spacing w:val="-46"/>
          <w:sz w:val="24"/>
          <w:szCs w:val="24"/>
        </w:rPr>
        <w:t xml:space="preserve"> </w:t>
      </w:r>
      <w:r>
        <w:rPr>
          <w:rFonts w:ascii="宋体" w:hAnsi="宋体" w:eastAsia="宋体" w:cs="宋体"/>
          <w:sz w:val="24"/>
          <w:szCs w:val="24"/>
        </w:rPr>
        <w:t xml:space="preserve">白柯 </w:t>
      </w:r>
      <w:r>
        <w:rPr>
          <w:rFonts w:ascii="Times New Roman" w:hAnsi="Times New Roman" w:eastAsia="Times New Roman" w:cs="Times New Roman"/>
          <w:i/>
          <w:iCs/>
          <w:sz w:val="24"/>
          <w:szCs w:val="24"/>
        </w:rPr>
        <w:t xml:space="preserve">Lithocarpus  </w:t>
      </w:r>
      <w:r>
        <w:rPr>
          <w:rFonts w:ascii="Times New Roman" w:hAnsi="Times New Roman" w:eastAsia="Times New Roman" w:cs="Times New Roman"/>
          <w:i/>
          <w:iCs/>
          <w:spacing w:val="-1"/>
          <w:sz w:val="24"/>
          <w:szCs w:val="24"/>
        </w:rPr>
        <w:t>dealbatus</w:t>
      </w:r>
      <w:r>
        <w:rPr>
          <w:rFonts w:ascii="Times New Roman" w:hAnsi="Times New Roman" w:eastAsia="Times New Roman" w:cs="Times New Roman"/>
          <w:i/>
          <w:iCs/>
          <w:spacing w:val="-15"/>
          <w:sz w:val="24"/>
          <w:szCs w:val="24"/>
        </w:rPr>
        <w:t xml:space="preserve"> </w:t>
      </w:r>
      <w:r>
        <w:rPr>
          <w:rFonts w:ascii="宋体" w:hAnsi="宋体" w:eastAsia="宋体" w:cs="宋体"/>
          <w:spacing w:val="-1"/>
          <w:sz w:val="24"/>
          <w:szCs w:val="24"/>
        </w:rPr>
        <w:t xml:space="preserve">、云南油杉 </w:t>
      </w:r>
      <w:r>
        <w:rPr>
          <w:rFonts w:ascii="Times New Roman" w:hAnsi="Times New Roman" w:eastAsia="Times New Roman" w:cs="Times New Roman"/>
          <w:i/>
          <w:iCs/>
          <w:spacing w:val="-1"/>
          <w:sz w:val="24"/>
          <w:szCs w:val="24"/>
        </w:rPr>
        <w:t>Keteleeria</w:t>
      </w:r>
      <w:r>
        <w:rPr>
          <w:rFonts w:ascii="Times New Roman" w:hAnsi="Times New Roman" w:eastAsia="Times New Roman" w:cs="Times New Roman"/>
          <w:i/>
          <w:iCs/>
          <w:spacing w:val="39"/>
          <w:w w:val="101"/>
          <w:sz w:val="24"/>
          <w:szCs w:val="24"/>
        </w:rPr>
        <w:t xml:space="preserve"> </w:t>
      </w:r>
      <w:r>
        <w:rPr>
          <w:rFonts w:ascii="Times New Roman" w:hAnsi="Times New Roman" w:eastAsia="Times New Roman" w:cs="Times New Roman"/>
          <w:i/>
          <w:iCs/>
          <w:spacing w:val="-1"/>
          <w:sz w:val="24"/>
          <w:szCs w:val="24"/>
        </w:rPr>
        <w:t>evelyniana</w:t>
      </w:r>
      <w:r>
        <w:rPr>
          <w:rFonts w:ascii="Times New Roman" w:hAnsi="Times New Roman" w:eastAsia="Times New Roman" w:cs="Times New Roman"/>
          <w:i/>
          <w:iCs/>
          <w:spacing w:val="-28"/>
          <w:sz w:val="24"/>
          <w:szCs w:val="24"/>
        </w:rPr>
        <w:t xml:space="preserve"> </w:t>
      </w:r>
      <w:r>
        <w:rPr>
          <w:rFonts w:ascii="宋体" w:hAnsi="宋体" w:eastAsia="宋体" w:cs="宋体"/>
          <w:spacing w:val="-1"/>
          <w:sz w:val="24"/>
          <w:szCs w:val="24"/>
        </w:rPr>
        <w:t xml:space="preserve">、栓皮栎 </w:t>
      </w:r>
      <w:r>
        <w:rPr>
          <w:rFonts w:ascii="Times New Roman" w:hAnsi="Times New Roman" w:eastAsia="Times New Roman" w:cs="Times New Roman"/>
          <w:i/>
          <w:iCs/>
          <w:spacing w:val="-1"/>
          <w:sz w:val="24"/>
          <w:szCs w:val="24"/>
        </w:rPr>
        <w:t>Quercus</w:t>
      </w:r>
      <w:r>
        <w:rPr>
          <w:rFonts w:ascii="Times New Roman" w:hAnsi="Times New Roman" w:eastAsia="Times New Roman" w:cs="Times New Roman"/>
          <w:i/>
          <w:iCs/>
          <w:spacing w:val="38"/>
          <w:sz w:val="24"/>
          <w:szCs w:val="24"/>
        </w:rPr>
        <w:t xml:space="preserve"> </w:t>
      </w:r>
      <w:r>
        <w:rPr>
          <w:rFonts w:ascii="Times New Roman" w:hAnsi="Times New Roman" w:eastAsia="Times New Roman" w:cs="Times New Roman"/>
          <w:i/>
          <w:iCs/>
          <w:spacing w:val="-1"/>
          <w:sz w:val="24"/>
          <w:szCs w:val="24"/>
        </w:rPr>
        <w:t>variabilis</w:t>
      </w:r>
      <w:r>
        <w:rPr>
          <w:rFonts w:ascii="Times New Roman" w:hAnsi="Times New Roman" w:eastAsia="Times New Roman" w:cs="Times New Roman"/>
          <w:i/>
          <w:iCs/>
          <w:spacing w:val="-28"/>
          <w:sz w:val="24"/>
          <w:szCs w:val="24"/>
        </w:rPr>
        <w:t xml:space="preserve"> </w:t>
      </w:r>
      <w:r>
        <w:rPr>
          <w:rFonts w:ascii="宋体" w:hAnsi="宋体" w:eastAsia="宋体" w:cs="宋体"/>
          <w:spacing w:val="-1"/>
          <w:sz w:val="24"/>
          <w:szCs w:val="24"/>
        </w:rPr>
        <w:t xml:space="preserve">、香叶树 </w:t>
      </w:r>
      <w:r>
        <w:rPr>
          <w:rFonts w:ascii="Times New Roman" w:hAnsi="Times New Roman" w:eastAsia="Times New Roman" w:cs="Times New Roman"/>
          <w:i/>
          <w:iCs/>
          <w:spacing w:val="-1"/>
          <w:sz w:val="24"/>
          <w:szCs w:val="24"/>
        </w:rPr>
        <w:t>Lindera</w:t>
      </w:r>
      <w:r>
        <w:rPr>
          <w:rFonts w:ascii="Times New Roman" w:hAnsi="Times New Roman" w:eastAsia="Times New Roman" w:cs="Times New Roman"/>
          <w:i/>
          <w:iCs/>
          <w:spacing w:val="22"/>
          <w:w w:val="101"/>
          <w:sz w:val="24"/>
          <w:szCs w:val="24"/>
        </w:rPr>
        <w:t xml:space="preserve"> </w:t>
      </w:r>
      <w:r>
        <w:rPr>
          <w:rFonts w:ascii="Times New Roman" w:hAnsi="Times New Roman" w:eastAsia="Times New Roman" w:cs="Times New Roman"/>
          <w:i/>
          <w:iCs/>
          <w:spacing w:val="-1"/>
          <w:sz w:val="24"/>
          <w:szCs w:val="24"/>
        </w:rPr>
        <w:t>communis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、清香木</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Pistacia</w:t>
      </w:r>
      <w:r>
        <w:rPr>
          <w:rFonts w:ascii="Times New Roman" w:hAnsi="Times New Roman" w:eastAsia="Times New Roman" w:cs="Times New Roman"/>
          <w:i/>
          <w:iCs/>
          <w:spacing w:val="18"/>
          <w:w w:val="101"/>
          <w:sz w:val="24"/>
          <w:szCs w:val="24"/>
        </w:rPr>
        <w:t xml:space="preserve"> </w:t>
      </w:r>
      <w:r>
        <w:rPr>
          <w:rFonts w:ascii="Times New Roman" w:hAnsi="Times New Roman" w:eastAsia="Times New Roman" w:cs="Times New Roman"/>
          <w:i/>
          <w:iCs/>
          <w:spacing w:val="-1"/>
          <w:sz w:val="24"/>
          <w:szCs w:val="24"/>
        </w:rPr>
        <w:t>weinmannifolia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、余甘子</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Phyl</w:t>
      </w:r>
      <w:r>
        <w:rPr>
          <w:rFonts w:ascii="Times New Roman" w:hAnsi="Times New Roman" w:eastAsia="Times New Roman" w:cs="Times New Roman"/>
          <w:i/>
          <w:iCs/>
          <w:spacing w:val="-2"/>
          <w:sz w:val="24"/>
          <w:szCs w:val="24"/>
        </w:rPr>
        <w:t>lanthus</w:t>
      </w:r>
      <w:r>
        <w:rPr>
          <w:rFonts w:ascii="Times New Roman" w:hAnsi="Times New Roman" w:eastAsia="Times New Roman" w:cs="Times New Roman"/>
          <w:i/>
          <w:iCs/>
          <w:spacing w:val="23"/>
          <w:sz w:val="24"/>
          <w:szCs w:val="24"/>
        </w:rPr>
        <w:t xml:space="preserve"> </w:t>
      </w:r>
      <w:r>
        <w:rPr>
          <w:rFonts w:ascii="Times New Roman" w:hAnsi="Times New Roman" w:eastAsia="Times New Roman" w:cs="Times New Roman"/>
          <w:i/>
          <w:iCs/>
          <w:spacing w:val="-2"/>
          <w:sz w:val="24"/>
          <w:szCs w:val="24"/>
        </w:rPr>
        <w:t>emblica</w:t>
      </w:r>
      <w:r>
        <w:rPr>
          <w:rFonts w:ascii="宋体" w:hAnsi="宋体" w:eastAsia="宋体" w:cs="宋体"/>
          <w:spacing w:val="-2"/>
          <w:sz w:val="24"/>
          <w:szCs w:val="24"/>
        </w:rPr>
        <w:t>、</w:t>
      </w:r>
    </w:p>
    <w:p>
      <w:pPr>
        <w:spacing w:line="212" w:lineRule="auto"/>
        <w:ind w:left="61"/>
        <w:rPr>
          <w:rFonts w:ascii="宋体" w:hAnsi="宋体" w:eastAsia="宋体" w:cs="宋体"/>
          <w:sz w:val="24"/>
          <w:szCs w:val="24"/>
        </w:rPr>
      </w:pPr>
      <w:r>
        <w:rPr>
          <w:rFonts w:ascii="宋体" w:hAnsi="宋体" w:eastAsia="宋体" w:cs="宋体"/>
          <w:spacing w:val="-1"/>
          <w:sz w:val="24"/>
          <w:szCs w:val="24"/>
        </w:rPr>
        <w:t>四蕊朴</w:t>
      </w:r>
      <w:r>
        <w:rPr>
          <w:rFonts w:ascii="宋体" w:hAnsi="宋体" w:eastAsia="宋体" w:cs="宋体"/>
          <w:spacing w:val="-35"/>
          <w:sz w:val="24"/>
          <w:szCs w:val="24"/>
        </w:rPr>
        <w:t xml:space="preserve"> </w:t>
      </w:r>
      <w:r>
        <w:rPr>
          <w:rFonts w:ascii="Times New Roman" w:hAnsi="Times New Roman" w:eastAsia="Times New Roman" w:cs="Times New Roman"/>
          <w:i/>
          <w:iCs/>
          <w:spacing w:val="-1"/>
          <w:sz w:val="24"/>
          <w:szCs w:val="24"/>
        </w:rPr>
        <w:t>Celtis tetrandra</w:t>
      </w:r>
      <w:r>
        <w:rPr>
          <w:rFonts w:ascii="Times New Roman" w:hAnsi="Times New Roman" w:eastAsia="Times New Roman" w:cs="Times New Roman"/>
          <w:i/>
          <w:iCs/>
          <w:spacing w:val="-35"/>
          <w:sz w:val="24"/>
          <w:szCs w:val="24"/>
        </w:rPr>
        <w:t xml:space="preserve"> </w:t>
      </w:r>
      <w:r>
        <w:rPr>
          <w:rFonts w:ascii="宋体" w:hAnsi="宋体" w:eastAsia="宋体" w:cs="宋体"/>
          <w:spacing w:val="-1"/>
          <w:sz w:val="24"/>
          <w:szCs w:val="24"/>
        </w:rPr>
        <w:t>、川梨</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 xml:space="preserve">Pyruspashia </w:t>
      </w:r>
      <w:r>
        <w:rPr>
          <w:rFonts w:ascii="宋体" w:hAnsi="宋体" w:eastAsia="宋体" w:cs="宋体"/>
          <w:spacing w:val="-1"/>
          <w:sz w:val="24"/>
          <w:szCs w:val="24"/>
        </w:rPr>
        <w:t>为主，说明该地区人为干扰比较大。</w:t>
      </w:r>
    </w:p>
    <w:p>
      <w:pPr>
        <w:spacing w:before="192" w:line="360" w:lineRule="auto"/>
        <w:ind w:left="3" w:right="83" w:firstLine="517"/>
        <w:jc w:val="both"/>
        <w:rPr>
          <w:rFonts w:ascii="宋体" w:hAnsi="宋体" w:eastAsia="宋体" w:cs="宋体"/>
          <w:sz w:val="24"/>
          <w:szCs w:val="24"/>
        </w:rPr>
      </w:pPr>
      <w:r>
        <w:rPr>
          <w:rFonts w:ascii="宋体" w:hAnsi="宋体" w:eastAsia="宋体" w:cs="宋体"/>
          <w:spacing w:val="9"/>
          <w:sz w:val="24"/>
          <w:szCs w:val="24"/>
        </w:rPr>
        <w:t xml:space="preserve">草本层十分茂盛，层盖度达到 </w:t>
      </w:r>
      <w:r>
        <w:rPr>
          <w:rFonts w:ascii="Times New Roman" w:hAnsi="Times New Roman" w:eastAsia="Times New Roman" w:cs="Times New Roman"/>
          <w:spacing w:val="9"/>
          <w:sz w:val="24"/>
          <w:szCs w:val="24"/>
        </w:rPr>
        <w:t>85%</w:t>
      </w:r>
      <w:r>
        <w:rPr>
          <w:rFonts w:ascii="宋体" w:hAnsi="宋体" w:eastAsia="宋体" w:cs="宋体"/>
          <w:spacing w:val="9"/>
          <w:sz w:val="24"/>
          <w:szCs w:val="24"/>
        </w:rPr>
        <w:t>以上，种类相对比较丰富完整，</w:t>
      </w:r>
      <w:r>
        <w:rPr>
          <w:rFonts w:ascii="宋体" w:hAnsi="宋体" w:eastAsia="宋体" w:cs="宋体"/>
          <w:spacing w:val="8"/>
          <w:sz w:val="24"/>
          <w:szCs w:val="24"/>
        </w:rPr>
        <w:t>高度</w:t>
      </w:r>
      <w:r>
        <w:rPr>
          <w:rFonts w:ascii="宋体" w:hAnsi="宋体" w:eastAsia="宋体" w:cs="宋体"/>
          <w:sz w:val="24"/>
          <w:szCs w:val="24"/>
        </w:rPr>
        <w:t xml:space="preserve"> </w:t>
      </w:r>
      <w:r>
        <w:rPr>
          <w:rFonts w:ascii="Times New Roman" w:hAnsi="Times New Roman" w:eastAsia="Times New Roman" w:cs="Times New Roman"/>
          <w:spacing w:val="12"/>
          <w:sz w:val="24"/>
          <w:szCs w:val="24"/>
        </w:rPr>
        <w:t xml:space="preserve">0.5~2m </w:t>
      </w:r>
      <w:r>
        <w:rPr>
          <w:rFonts w:ascii="宋体" w:hAnsi="宋体" w:eastAsia="宋体" w:cs="宋体"/>
          <w:spacing w:val="12"/>
          <w:sz w:val="24"/>
          <w:szCs w:val="24"/>
        </w:rPr>
        <w:t>。其</w:t>
      </w:r>
      <w:r>
        <w:rPr>
          <w:rFonts w:ascii="宋体" w:hAnsi="宋体" w:eastAsia="宋体" w:cs="宋体"/>
          <w:spacing w:val="-51"/>
          <w:sz w:val="24"/>
          <w:szCs w:val="24"/>
        </w:rPr>
        <w:t xml:space="preserve"> </w:t>
      </w:r>
      <w:r>
        <w:rPr>
          <w:rFonts w:ascii="宋体" w:hAnsi="宋体" w:eastAsia="宋体" w:cs="宋体"/>
          <w:spacing w:val="12"/>
          <w:sz w:val="24"/>
          <w:szCs w:val="24"/>
        </w:rPr>
        <w:t>中，</w:t>
      </w:r>
      <w:r>
        <w:rPr>
          <w:rFonts w:ascii="宋体" w:hAnsi="宋体" w:eastAsia="宋体" w:cs="宋体"/>
          <w:spacing w:val="-48"/>
          <w:sz w:val="24"/>
          <w:szCs w:val="24"/>
        </w:rPr>
        <w:t xml:space="preserve"> </w:t>
      </w:r>
      <w:r>
        <w:rPr>
          <w:rFonts w:ascii="宋体" w:hAnsi="宋体" w:eastAsia="宋体" w:cs="宋体"/>
          <w:spacing w:val="12"/>
          <w:sz w:val="24"/>
          <w:szCs w:val="24"/>
        </w:rPr>
        <w:t xml:space="preserve">最具有优势的物种为黄茅 </w:t>
      </w:r>
      <w:r>
        <w:rPr>
          <w:rFonts w:ascii="Times New Roman" w:hAnsi="Times New Roman" w:eastAsia="Times New Roman" w:cs="Times New Roman"/>
          <w:i/>
          <w:iCs/>
          <w:sz w:val="24"/>
          <w:szCs w:val="24"/>
        </w:rPr>
        <w:t>Heteropogon</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z w:val="24"/>
          <w:szCs w:val="24"/>
        </w:rPr>
        <w:t>contortus</w:t>
      </w:r>
      <w:r>
        <w:rPr>
          <w:rFonts w:ascii="Times New Roman" w:hAnsi="Times New Roman" w:eastAsia="Times New Roman" w:cs="Times New Roman"/>
          <w:i/>
          <w:iCs/>
          <w:spacing w:val="12"/>
          <w:sz w:val="24"/>
          <w:szCs w:val="24"/>
        </w:rPr>
        <w:t xml:space="preserve"> </w:t>
      </w:r>
      <w:r>
        <w:rPr>
          <w:rFonts w:ascii="宋体" w:hAnsi="宋体" w:eastAsia="宋体" w:cs="宋体"/>
          <w:spacing w:val="12"/>
          <w:sz w:val="24"/>
          <w:szCs w:val="24"/>
        </w:rPr>
        <w:t>，而旱茅</w:t>
      </w:r>
      <w:r>
        <w:rPr>
          <w:rFonts w:ascii="宋体" w:hAnsi="宋体" w:eastAsia="宋体" w:cs="宋体"/>
          <w:sz w:val="24"/>
          <w:szCs w:val="24"/>
        </w:rPr>
        <w:t xml:space="preserve"> </w:t>
      </w:r>
      <w:r>
        <w:rPr>
          <w:rFonts w:ascii="Times New Roman" w:hAnsi="Times New Roman" w:eastAsia="Times New Roman" w:cs="Times New Roman"/>
          <w:i/>
          <w:iCs/>
          <w:sz w:val="24"/>
          <w:szCs w:val="24"/>
        </w:rPr>
        <w:t>Schizachyrium delavayi</w:t>
      </w:r>
      <w:r>
        <w:rPr>
          <w:rFonts w:ascii="宋体" w:hAnsi="宋体" w:eastAsia="宋体" w:cs="宋体"/>
          <w:sz w:val="24"/>
          <w:szCs w:val="24"/>
        </w:rPr>
        <w:t>、白健秆</w:t>
      </w:r>
      <w:r>
        <w:rPr>
          <w:rFonts w:ascii="宋体" w:hAnsi="宋体" w:eastAsia="宋体" w:cs="宋体"/>
          <w:spacing w:val="-55"/>
          <w:sz w:val="24"/>
          <w:szCs w:val="24"/>
        </w:rPr>
        <w:t xml:space="preserve"> </w:t>
      </w:r>
      <w:r>
        <w:rPr>
          <w:rFonts w:ascii="Times New Roman" w:hAnsi="Times New Roman" w:eastAsia="Times New Roman" w:cs="Times New Roman"/>
          <w:i/>
          <w:iCs/>
          <w:sz w:val="24"/>
          <w:szCs w:val="24"/>
        </w:rPr>
        <w:t>Eulalia</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z w:val="24"/>
          <w:szCs w:val="24"/>
        </w:rPr>
        <w:t>pallens</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、蔗茅</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Erianth</w:t>
      </w:r>
      <w:r>
        <w:rPr>
          <w:rFonts w:ascii="Times New Roman" w:hAnsi="Times New Roman" w:eastAsia="Times New Roman" w:cs="Times New Roman"/>
          <w:i/>
          <w:iCs/>
          <w:spacing w:val="-1"/>
          <w:sz w:val="24"/>
          <w:szCs w:val="24"/>
        </w:rPr>
        <w:t>us rufipilus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、假苇拂</w:t>
      </w:r>
      <w:r>
        <w:rPr>
          <w:rFonts w:ascii="宋体" w:hAnsi="宋体" w:eastAsia="宋体" w:cs="宋体"/>
          <w:sz w:val="24"/>
          <w:szCs w:val="24"/>
        </w:rPr>
        <w:t xml:space="preserve"> 子茅</w:t>
      </w:r>
      <w:r>
        <w:rPr>
          <w:rFonts w:ascii="宋体" w:hAnsi="宋体" w:eastAsia="宋体" w:cs="宋体"/>
          <w:spacing w:val="-43"/>
          <w:sz w:val="24"/>
          <w:szCs w:val="24"/>
        </w:rPr>
        <w:t xml:space="preserve"> </w:t>
      </w:r>
      <w:r>
        <w:rPr>
          <w:rFonts w:ascii="Times New Roman" w:hAnsi="Times New Roman" w:eastAsia="Times New Roman" w:cs="Times New Roman"/>
          <w:i/>
          <w:iCs/>
          <w:sz w:val="24"/>
          <w:szCs w:val="24"/>
        </w:rPr>
        <w:t>Calamagrostis</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pseudophragmites</w:t>
      </w:r>
      <w:r>
        <w:rPr>
          <w:rFonts w:ascii="Times New Roman" w:hAnsi="Times New Roman" w:eastAsia="Times New Roman" w:cs="Times New Roman"/>
          <w:i/>
          <w:iCs/>
          <w:spacing w:val="-32"/>
          <w:sz w:val="24"/>
          <w:szCs w:val="24"/>
        </w:rPr>
        <w:t xml:space="preserve"> </w:t>
      </w:r>
      <w:r>
        <w:rPr>
          <w:rFonts w:ascii="宋体" w:hAnsi="宋体" w:eastAsia="宋体" w:cs="宋体"/>
          <w:sz w:val="24"/>
          <w:szCs w:val="24"/>
        </w:rPr>
        <w:t>、孟加拉野古草</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Arundinella bengalen</w:t>
      </w:r>
      <w:r>
        <w:rPr>
          <w:rFonts w:ascii="Times New Roman" w:hAnsi="Times New Roman" w:eastAsia="Times New Roman" w:cs="Times New Roman"/>
          <w:i/>
          <w:iCs/>
          <w:spacing w:val="-1"/>
          <w:sz w:val="24"/>
          <w:szCs w:val="24"/>
        </w:rPr>
        <w:t>sis</w:t>
      </w:r>
      <w:r>
        <w:rPr>
          <w:rFonts w:ascii="宋体" w:hAnsi="宋体" w:eastAsia="宋体" w:cs="宋体"/>
          <w:spacing w:val="-1"/>
          <w:sz w:val="24"/>
          <w:szCs w:val="24"/>
        </w:rPr>
        <w:t>、阿</w:t>
      </w:r>
      <w:r>
        <w:rPr>
          <w:rFonts w:ascii="宋体" w:hAnsi="宋体" w:eastAsia="宋体" w:cs="宋体"/>
          <w:sz w:val="24"/>
          <w:szCs w:val="24"/>
        </w:rPr>
        <w:t xml:space="preserve"> </w:t>
      </w:r>
      <w:r>
        <w:rPr>
          <w:rFonts w:ascii="宋体" w:hAnsi="宋体" w:eastAsia="宋体" w:cs="宋体"/>
          <w:spacing w:val="-2"/>
          <w:sz w:val="24"/>
          <w:szCs w:val="24"/>
        </w:rPr>
        <w:t>拉伯黄背草</w:t>
      </w:r>
      <w:r>
        <w:rPr>
          <w:rFonts w:ascii="宋体" w:hAnsi="宋体" w:eastAsia="宋体" w:cs="宋体"/>
          <w:spacing w:val="-43"/>
          <w:sz w:val="24"/>
          <w:szCs w:val="24"/>
        </w:rPr>
        <w:t xml:space="preserve"> </w:t>
      </w:r>
      <w:r>
        <w:rPr>
          <w:rFonts w:ascii="Times New Roman" w:hAnsi="Times New Roman" w:eastAsia="Times New Roman" w:cs="Times New Roman"/>
          <w:i/>
          <w:iCs/>
          <w:spacing w:val="-2"/>
          <w:sz w:val="24"/>
          <w:szCs w:val="24"/>
        </w:rPr>
        <w:t>Themeda triandra</w:t>
      </w:r>
      <w:r>
        <w:rPr>
          <w:rFonts w:ascii="宋体" w:hAnsi="宋体" w:eastAsia="宋体" w:cs="宋体"/>
          <w:spacing w:val="-2"/>
          <w:sz w:val="24"/>
          <w:szCs w:val="24"/>
        </w:rPr>
        <w:t>、华北剪股颖</w:t>
      </w:r>
      <w:r>
        <w:rPr>
          <w:rFonts w:ascii="宋体" w:hAnsi="宋体" w:eastAsia="宋体" w:cs="宋体"/>
          <w:spacing w:val="-72"/>
          <w:sz w:val="24"/>
          <w:szCs w:val="24"/>
        </w:rPr>
        <w:t xml:space="preserve"> </w:t>
      </w:r>
      <w:r>
        <w:rPr>
          <w:rFonts w:ascii="Times New Roman" w:hAnsi="Times New Roman" w:eastAsia="Times New Roman" w:cs="Times New Roman"/>
          <w:i/>
          <w:iCs/>
          <w:spacing w:val="-2"/>
          <w:sz w:val="24"/>
          <w:szCs w:val="24"/>
        </w:rPr>
        <w:t>Agr</w:t>
      </w:r>
      <w:r>
        <w:rPr>
          <w:rFonts w:ascii="Times New Roman" w:hAnsi="Times New Roman" w:eastAsia="Times New Roman" w:cs="Times New Roman"/>
          <w:i/>
          <w:iCs/>
          <w:spacing w:val="-3"/>
          <w:sz w:val="24"/>
          <w:szCs w:val="24"/>
        </w:rPr>
        <w:t>ostis clavata</w:t>
      </w:r>
      <w:r>
        <w:rPr>
          <w:rFonts w:ascii="宋体" w:hAnsi="宋体" w:eastAsia="宋体" w:cs="宋体"/>
          <w:spacing w:val="-3"/>
          <w:sz w:val="24"/>
          <w:szCs w:val="24"/>
        </w:rPr>
        <w:t>、细柄草</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Capillipedium</w:t>
      </w:r>
      <w:r>
        <w:rPr>
          <w:rFonts w:ascii="Times New Roman" w:hAnsi="Times New Roman" w:eastAsia="Times New Roman" w:cs="Times New Roman"/>
          <w:i/>
          <w:iCs/>
          <w:sz w:val="24"/>
          <w:szCs w:val="24"/>
        </w:rPr>
        <w:t xml:space="preserve"> parviflorum</w:t>
      </w:r>
      <w:r>
        <w:rPr>
          <w:rFonts w:ascii="Times New Roman" w:hAnsi="Times New Roman" w:eastAsia="Times New Roman" w:cs="Times New Roman"/>
          <w:i/>
          <w:iCs/>
          <w:spacing w:val="-35"/>
          <w:sz w:val="24"/>
          <w:szCs w:val="24"/>
        </w:rPr>
        <w:t xml:space="preserve"> </w:t>
      </w:r>
      <w:r>
        <w:rPr>
          <w:rFonts w:ascii="宋体" w:hAnsi="宋体" w:eastAsia="宋体" w:cs="宋体"/>
          <w:spacing w:val="2"/>
          <w:sz w:val="24"/>
          <w:szCs w:val="24"/>
        </w:rPr>
        <w:t>、知风草</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Eragrostis</w:t>
      </w:r>
      <w:r>
        <w:rPr>
          <w:rFonts w:ascii="Times New Roman" w:hAnsi="Times New Roman" w:eastAsia="Times New Roman" w:cs="Times New Roman"/>
          <w:i/>
          <w:iCs/>
          <w:spacing w:val="-24"/>
          <w:sz w:val="24"/>
          <w:szCs w:val="24"/>
        </w:rPr>
        <w:t xml:space="preserve"> </w:t>
      </w:r>
      <w:r>
        <w:rPr>
          <w:rFonts w:ascii="Times New Roman" w:hAnsi="Times New Roman" w:eastAsia="Times New Roman" w:cs="Times New Roman"/>
          <w:i/>
          <w:iCs/>
          <w:sz w:val="24"/>
          <w:szCs w:val="24"/>
        </w:rPr>
        <w:t>ferruginea</w:t>
      </w:r>
      <w:r>
        <w:rPr>
          <w:rFonts w:ascii="宋体" w:hAnsi="宋体" w:eastAsia="宋体" w:cs="宋体"/>
          <w:spacing w:val="2"/>
          <w:sz w:val="24"/>
          <w:szCs w:val="24"/>
        </w:rPr>
        <w:t>、刺芒野古草</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Arundinella</w:t>
      </w:r>
      <w:r>
        <w:rPr>
          <w:rFonts w:ascii="Times New Roman" w:hAnsi="Times New Roman" w:eastAsia="Times New Roman" w:cs="Times New Roman"/>
          <w:i/>
          <w:iCs/>
          <w:spacing w:val="16"/>
          <w:sz w:val="24"/>
          <w:szCs w:val="24"/>
        </w:rPr>
        <w:t xml:space="preserve"> </w:t>
      </w:r>
      <w:r>
        <w:rPr>
          <w:rFonts w:ascii="Times New Roman" w:hAnsi="Times New Roman" w:eastAsia="Times New Roman" w:cs="Times New Roman"/>
          <w:i/>
          <w:iCs/>
          <w:sz w:val="24"/>
          <w:szCs w:val="24"/>
        </w:rPr>
        <w:t>setosa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、荩草</w:t>
      </w:r>
    </w:p>
    <w:p>
      <w:pPr>
        <w:spacing w:line="212" w:lineRule="auto"/>
        <w:ind w:left="18"/>
        <w:rPr>
          <w:rFonts w:ascii="宋体" w:hAnsi="宋体" w:eastAsia="宋体" w:cs="宋体"/>
          <w:sz w:val="24"/>
          <w:szCs w:val="24"/>
        </w:rPr>
      </w:pPr>
      <w:r>
        <w:rPr>
          <w:rFonts w:ascii="Times New Roman" w:hAnsi="Times New Roman" w:eastAsia="Times New Roman" w:cs="Times New Roman"/>
          <w:i/>
          <w:iCs/>
          <w:spacing w:val="-5"/>
          <w:sz w:val="24"/>
          <w:szCs w:val="24"/>
        </w:rPr>
        <w:t xml:space="preserve">Arthraxon hispidus </w:t>
      </w:r>
      <w:r>
        <w:rPr>
          <w:rFonts w:ascii="宋体" w:hAnsi="宋体" w:eastAsia="宋体" w:cs="宋体"/>
          <w:spacing w:val="-5"/>
          <w:sz w:val="24"/>
          <w:szCs w:val="24"/>
        </w:rPr>
        <w:t>等禾本科较为繁盛，</w:t>
      </w:r>
      <w:r>
        <w:rPr>
          <w:rFonts w:ascii="宋体" w:hAnsi="宋体" w:eastAsia="宋体" w:cs="宋体"/>
          <w:spacing w:val="42"/>
          <w:sz w:val="24"/>
          <w:szCs w:val="24"/>
        </w:rPr>
        <w:t xml:space="preserve"> </w:t>
      </w:r>
      <w:r>
        <w:rPr>
          <w:rFonts w:ascii="宋体" w:hAnsi="宋体" w:eastAsia="宋体" w:cs="宋体"/>
          <w:spacing w:val="-5"/>
          <w:sz w:val="24"/>
          <w:szCs w:val="24"/>
        </w:rPr>
        <w:t>分布较广，数量也较多，在局部区域能形</w:t>
      </w:r>
    </w:p>
    <w:p>
      <w:pPr>
        <w:spacing w:line="212" w:lineRule="auto"/>
        <w:rPr>
          <w:rFonts w:ascii="宋体" w:hAnsi="宋体" w:eastAsia="宋体" w:cs="宋体"/>
          <w:sz w:val="24"/>
          <w:szCs w:val="24"/>
        </w:rPr>
        <w:sectPr>
          <w:headerReference r:id="rId272" w:type="default"/>
          <w:footerReference r:id="rId273" w:type="default"/>
          <w:pgSz w:w="11907" w:h="16839"/>
          <w:pgMar w:top="1156" w:right="1713" w:bottom="1374" w:left="1770" w:header="881" w:footer="1210" w:gutter="0"/>
        </w:sectPr>
      </w:pPr>
    </w:p>
    <w:p>
      <w:pPr>
        <w:spacing w:line="317" w:lineRule="auto"/>
        <w:rPr>
          <w:rFonts w:ascii="Arial"/>
          <w:sz w:val="21"/>
        </w:rPr>
      </w:pPr>
    </w:p>
    <w:p>
      <w:pPr>
        <w:spacing w:before="78" w:line="360" w:lineRule="auto"/>
        <w:ind w:left="28" w:firstLine="13"/>
        <w:rPr>
          <w:rFonts w:ascii="宋体" w:hAnsi="宋体" w:eastAsia="宋体" w:cs="宋体"/>
          <w:sz w:val="24"/>
          <w:szCs w:val="24"/>
        </w:rPr>
      </w:pPr>
      <w:r>
        <w:rPr>
          <w:rFonts w:ascii="宋体" w:hAnsi="宋体" w:eastAsia="宋体" w:cs="宋体"/>
          <w:spacing w:val="5"/>
          <w:sz w:val="24"/>
          <w:szCs w:val="24"/>
        </w:rPr>
        <w:t xml:space="preserve">成单优群落。其他的常见的草本植物有：破坏草 </w:t>
      </w:r>
      <w:r>
        <w:rPr>
          <w:rFonts w:ascii="Times New Roman" w:hAnsi="Times New Roman" w:eastAsia="Times New Roman" w:cs="Times New Roman"/>
          <w:i/>
          <w:iCs/>
          <w:sz w:val="24"/>
          <w:szCs w:val="24"/>
        </w:rPr>
        <w:t>Ageratina</w:t>
      </w:r>
      <w:r>
        <w:rPr>
          <w:rFonts w:ascii="Times New Roman" w:hAnsi="Times New Roman" w:eastAsia="Times New Roman" w:cs="Times New Roman"/>
          <w:i/>
          <w:iCs/>
          <w:spacing w:val="49"/>
          <w:sz w:val="24"/>
          <w:szCs w:val="24"/>
        </w:rPr>
        <w:t xml:space="preserve"> </w:t>
      </w:r>
      <w:r>
        <w:rPr>
          <w:rFonts w:ascii="Times New Roman" w:hAnsi="Times New Roman" w:eastAsia="Times New Roman" w:cs="Times New Roman"/>
          <w:i/>
          <w:iCs/>
          <w:sz w:val="24"/>
          <w:szCs w:val="24"/>
        </w:rPr>
        <w:t>adenophora</w:t>
      </w:r>
      <w:r>
        <w:rPr>
          <w:rFonts w:ascii="Times New Roman" w:hAnsi="Times New Roman" w:eastAsia="Times New Roman" w:cs="Times New Roman"/>
          <w:i/>
          <w:iCs/>
          <w:spacing w:val="-24"/>
          <w:sz w:val="24"/>
          <w:szCs w:val="24"/>
        </w:rPr>
        <w:t xml:space="preserve"> </w:t>
      </w:r>
      <w:r>
        <w:rPr>
          <w:rFonts w:ascii="宋体" w:hAnsi="宋体" w:eastAsia="宋体" w:cs="宋体"/>
          <w:spacing w:val="5"/>
          <w:sz w:val="24"/>
          <w:szCs w:val="24"/>
        </w:rPr>
        <w:t xml:space="preserve">、秋英  </w:t>
      </w:r>
      <w:r>
        <w:rPr>
          <w:rFonts w:ascii="Times New Roman" w:hAnsi="Times New Roman" w:eastAsia="Times New Roman" w:cs="Times New Roman"/>
          <w:i/>
          <w:iCs/>
          <w:spacing w:val="-1"/>
          <w:sz w:val="24"/>
          <w:szCs w:val="24"/>
        </w:rPr>
        <w:t>Cosmos bipinnata</w:t>
      </w:r>
      <w:r>
        <w:rPr>
          <w:rFonts w:ascii="宋体" w:hAnsi="宋体" w:eastAsia="宋体" w:cs="宋体"/>
          <w:spacing w:val="-1"/>
          <w:sz w:val="24"/>
          <w:szCs w:val="24"/>
        </w:rPr>
        <w:t>、牡蒿</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Artemisia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1"/>
          <w:sz w:val="24"/>
          <w:szCs w:val="24"/>
        </w:rPr>
        <w:t>japonica</w:t>
      </w:r>
      <w:r>
        <w:rPr>
          <w:rFonts w:ascii="宋体" w:hAnsi="宋体" w:eastAsia="宋体" w:cs="宋体"/>
          <w:spacing w:val="-1"/>
          <w:sz w:val="24"/>
          <w:szCs w:val="24"/>
        </w:rPr>
        <w:t>、鬼针草</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Bi</w:t>
      </w:r>
      <w:r>
        <w:rPr>
          <w:rFonts w:ascii="Times New Roman" w:hAnsi="Times New Roman" w:eastAsia="Times New Roman" w:cs="Times New Roman"/>
          <w:i/>
          <w:iCs/>
          <w:spacing w:val="-2"/>
          <w:sz w:val="24"/>
          <w:szCs w:val="24"/>
        </w:rPr>
        <w:t>dens</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pacing w:val="-2"/>
          <w:sz w:val="24"/>
          <w:szCs w:val="24"/>
        </w:rPr>
        <w:t>pilosa</w:t>
      </w:r>
      <w:r>
        <w:rPr>
          <w:rFonts w:ascii="宋体" w:hAnsi="宋体" w:eastAsia="宋体" w:cs="宋体"/>
          <w:spacing w:val="-2"/>
          <w:sz w:val="24"/>
          <w:szCs w:val="24"/>
        </w:rPr>
        <w:t>、牛口刺</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 xml:space="preserve">Cirsium    </w:t>
      </w:r>
      <w:r>
        <w:rPr>
          <w:rFonts w:ascii="Times New Roman" w:hAnsi="Times New Roman" w:eastAsia="Times New Roman" w:cs="Times New Roman"/>
          <w:i/>
          <w:iCs/>
          <w:spacing w:val="-3"/>
          <w:sz w:val="24"/>
          <w:szCs w:val="24"/>
        </w:rPr>
        <w:t>shansiense</w:t>
      </w:r>
      <w:r>
        <w:rPr>
          <w:rFonts w:ascii="宋体" w:hAnsi="宋体" w:eastAsia="宋体" w:cs="宋体"/>
          <w:spacing w:val="-3"/>
          <w:sz w:val="24"/>
          <w:szCs w:val="24"/>
        </w:rPr>
        <w:t>、黄龙尾</w:t>
      </w:r>
      <w:r>
        <w:rPr>
          <w:rFonts w:ascii="Times New Roman" w:hAnsi="Times New Roman" w:eastAsia="Times New Roman" w:cs="Times New Roman"/>
          <w:i/>
          <w:iCs/>
          <w:spacing w:val="-3"/>
          <w:sz w:val="24"/>
          <w:szCs w:val="24"/>
        </w:rPr>
        <w:t>Agrimonia</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pacing w:val="-3"/>
          <w:sz w:val="24"/>
          <w:szCs w:val="24"/>
        </w:rPr>
        <w:t xml:space="preserve">pilosa </w:t>
      </w:r>
      <w:r>
        <w:rPr>
          <w:rFonts w:ascii="Times New Roman" w:hAnsi="Times New Roman" w:eastAsia="Times New Roman" w:cs="Times New Roman"/>
          <w:spacing w:val="-3"/>
          <w:sz w:val="24"/>
          <w:szCs w:val="24"/>
        </w:rPr>
        <w:t xml:space="preserve">var. </w:t>
      </w:r>
      <w:r>
        <w:rPr>
          <w:rFonts w:ascii="Times New Roman" w:hAnsi="Times New Roman" w:eastAsia="Times New Roman" w:cs="Times New Roman"/>
          <w:i/>
          <w:iCs/>
          <w:spacing w:val="-3"/>
          <w:sz w:val="24"/>
          <w:szCs w:val="24"/>
        </w:rPr>
        <w:t>nepa</w:t>
      </w:r>
      <w:r>
        <w:rPr>
          <w:rFonts w:ascii="Times New Roman" w:hAnsi="Times New Roman" w:eastAsia="Times New Roman" w:cs="Times New Roman"/>
          <w:i/>
          <w:iCs/>
          <w:spacing w:val="-4"/>
          <w:sz w:val="24"/>
          <w:szCs w:val="24"/>
        </w:rPr>
        <w:t>lensis</w:t>
      </w:r>
      <w:r>
        <w:rPr>
          <w:rFonts w:ascii="宋体" w:hAnsi="宋体" w:eastAsia="宋体" w:cs="宋体"/>
          <w:spacing w:val="-4"/>
          <w:sz w:val="24"/>
          <w:szCs w:val="24"/>
        </w:rPr>
        <w:t>、蒲公英</w:t>
      </w:r>
      <w:r>
        <w:rPr>
          <w:rFonts w:ascii="宋体" w:hAnsi="宋体" w:eastAsia="宋体" w:cs="宋体"/>
          <w:spacing w:val="-53"/>
          <w:sz w:val="24"/>
          <w:szCs w:val="24"/>
        </w:rPr>
        <w:t xml:space="preserve"> </w:t>
      </w:r>
      <w:r>
        <w:rPr>
          <w:rFonts w:ascii="Times New Roman" w:hAnsi="Times New Roman" w:eastAsia="Times New Roman" w:cs="Times New Roman"/>
          <w:i/>
          <w:iCs/>
          <w:spacing w:val="-4"/>
          <w:sz w:val="24"/>
          <w:szCs w:val="24"/>
        </w:rPr>
        <w:t>Taraxacum mongolicum</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2"/>
          <w:sz w:val="24"/>
          <w:szCs w:val="24"/>
        </w:rPr>
        <w:t xml:space="preserve">白车轴草 </w:t>
      </w:r>
      <w:r>
        <w:rPr>
          <w:rFonts w:ascii="Times New Roman" w:hAnsi="Times New Roman" w:eastAsia="Times New Roman" w:cs="Times New Roman"/>
          <w:i/>
          <w:iCs/>
          <w:sz w:val="24"/>
          <w:szCs w:val="24"/>
        </w:rPr>
        <w:t>Trifolium</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sz w:val="24"/>
          <w:szCs w:val="24"/>
        </w:rPr>
        <w:t>repens</w:t>
      </w:r>
      <w:r>
        <w:rPr>
          <w:rFonts w:ascii="宋体" w:hAnsi="宋体" w:eastAsia="宋体" w:cs="宋体"/>
          <w:spacing w:val="2"/>
          <w:sz w:val="24"/>
          <w:szCs w:val="24"/>
        </w:rPr>
        <w:t xml:space="preserve">、云南猪屎豆 </w:t>
      </w:r>
      <w:r>
        <w:rPr>
          <w:rFonts w:ascii="Times New Roman" w:hAnsi="Times New Roman" w:eastAsia="Times New Roman" w:cs="Times New Roman"/>
          <w:i/>
          <w:iCs/>
          <w:sz w:val="24"/>
          <w:szCs w:val="24"/>
        </w:rPr>
        <w:t>Crotalaria</w:t>
      </w:r>
      <w:r>
        <w:rPr>
          <w:rFonts w:ascii="Times New Roman" w:hAnsi="Times New Roman" w:eastAsia="Times New Roman" w:cs="Times New Roman"/>
          <w:i/>
          <w:iCs/>
          <w:spacing w:val="30"/>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26"/>
          <w:sz w:val="24"/>
          <w:szCs w:val="24"/>
        </w:rPr>
        <w:t xml:space="preserve"> </w:t>
      </w:r>
      <w:r>
        <w:rPr>
          <w:rFonts w:ascii="宋体" w:hAnsi="宋体" w:eastAsia="宋体" w:cs="宋体"/>
          <w:spacing w:val="2"/>
          <w:sz w:val="24"/>
          <w:szCs w:val="24"/>
        </w:rPr>
        <w:t>、尼泊尔老鹳草</w:t>
      </w:r>
    </w:p>
    <w:p>
      <w:pPr>
        <w:spacing w:line="212" w:lineRule="auto"/>
        <w:ind w:left="46"/>
        <w:rPr>
          <w:rFonts w:ascii="宋体" w:hAnsi="宋体" w:eastAsia="宋体" w:cs="宋体"/>
          <w:sz w:val="24"/>
          <w:szCs w:val="24"/>
        </w:rPr>
      </w:pPr>
      <w:r>
        <w:rPr>
          <w:rFonts w:ascii="Times New Roman" w:hAnsi="Times New Roman" w:eastAsia="Times New Roman" w:cs="Times New Roman"/>
          <w:i/>
          <w:iCs/>
          <w:spacing w:val="-2"/>
          <w:sz w:val="24"/>
          <w:szCs w:val="24"/>
        </w:rPr>
        <w:t>Geranium nepalense</w:t>
      </w:r>
      <w:r>
        <w:rPr>
          <w:rFonts w:ascii="宋体" w:hAnsi="宋体" w:eastAsia="宋体" w:cs="宋体"/>
          <w:spacing w:val="-2"/>
          <w:sz w:val="24"/>
          <w:szCs w:val="24"/>
        </w:rPr>
        <w:t>、珠光香青</w:t>
      </w:r>
      <w:r>
        <w:rPr>
          <w:rFonts w:ascii="宋体" w:hAnsi="宋体" w:eastAsia="宋体" w:cs="宋体"/>
          <w:spacing w:val="-71"/>
          <w:sz w:val="24"/>
          <w:szCs w:val="24"/>
        </w:rPr>
        <w:t xml:space="preserve"> </w:t>
      </w:r>
      <w:r>
        <w:rPr>
          <w:rFonts w:ascii="Times New Roman" w:hAnsi="Times New Roman" w:eastAsia="Times New Roman" w:cs="Times New Roman"/>
          <w:i/>
          <w:iCs/>
          <w:spacing w:val="-2"/>
          <w:sz w:val="24"/>
          <w:szCs w:val="24"/>
        </w:rPr>
        <w:t>Anaphalis</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pacing w:val="-2"/>
          <w:sz w:val="24"/>
          <w:szCs w:val="24"/>
        </w:rPr>
        <w:t>margaritac</w:t>
      </w:r>
      <w:r>
        <w:rPr>
          <w:rFonts w:ascii="Times New Roman" w:hAnsi="Times New Roman" w:eastAsia="Times New Roman" w:cs="Times New Roman"/>
          <w:i/>
          <w:iCs/>
          <w:spacing w:val="-3"/>
          <w:sz w:val="24"/>
          <w:szCs w:val="24"/>
        </w:rPr>
        <w:t>ea</w:t>
      </w:r>
      <w:r>
        <w:rPr>
          <w:rFonts w:ascii="宋体" w:hAnsi="宋体" w:eastAsia="宋体" w:cs="宋体"/>
          <w:spacing w:val="-3"/>
          <w:sz w:val="24"/>
          <w:szCs w:val="24"/>
        </w:rPr>
        <w:t>、滇苦菜</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Picris divaricata</w:t>
      </w:r>
      <w:r>
        <w:rPr>
          <w:rFonts w:ascii="宋体" w:hAnsi="宋体" w:eastAsia="宋体" w:cs="宋体"/>
          <w:spacing w:val="-3"/>
          <w:sz w:val="24"/>
          <w:szCs w:val="24"/>
        </w:rPr>
        <w:t>、</w:t>
      </w:r>
    </w:p>
    <w:p>
      <w:pPr>
        <w:spacing w:before="192" w:line="360" w:lineRule="auto"/>
        <w:ind w:left="3" w:right="1" w:firstLine="38"/>
        <w:rPr>
          <w:rFonts w:ascii="宋体" w:hAnsi="宋体" w:eastAsia="宋体" w:cs="宋体"/>
          <w:sz w:val="24"/>
          <w:szCs w:val="24"/>
        </w:rPr>
      </w:pPr>
      <w:r>
        <w:rPr>
          <w:rFonts w:ascii="宋体" w:hAnsi="宋体" w:eastAsia="宋体" w:cs="宋体"/>
          <w:spacing w:val="7"/>
          <w:sz w:val="24"/>
          <w:szCs w:val="24"/>
        </w:rPr>
        <w:t xml:space="preserve">短葶飞蓬 </w:t>
      </w:r>
      <w:r>
        <w:rPr>
          <w:rFonts w:ascii="Times New Roman" w:hAnsi="Times New Roman" w:eastAsia="Times New Roman" w:cs="Times New Roman"/>
          <w:i/>
          <w:iCs/>
          <w:sz w:val="24"/>
          <w:szCs w:val="24"/>
        </w:rPr>
        <w:t>Erigeron</w:t>
      </w:r>
      <w:r>
        <w:rPr>
          <w:rFonts w:ascii="Times New Roman" w:hAnsi="Times New Roman" w:eastAsia="Times New Roman" w:cs="Times New Roman"/>
          <w:i/>
          <w:iCs/>
          <w:spacing w:val="7"/>
          <w:sz w:val="24"/>
          <w:szCs w:val="24"/>
        </w:rPr>
        <w:t xml:space="preserve">  </w:t>
      </w:r>
      <w:r>
        <w:rPr>
          <w:rFonts w:ascii="Times New Roman" w:hAnsi="Times New Roman" w:eastAsia="Times New Roman" w:cs="Times New Roman"/>
          <w:i/>
          <w:iCs/>
          <w:sz w:val="24"/>
          <w:szCs w:val="24"/>
        </w:rPr>
        <w:t>breviscapus</w:t>
      </w:r>
      <w:r>
        <w:rPr>
          <w:rFonts w:ascii="Times New Roman" w:hAnsi="Times New Roman" w:eastAsia="Times New Roman" w:cs="Times New Roman"/>
          <w:i/>
          <w:iCs/>
          <w:spacing w:val="7"/>
          <w:sz w:val="24"/>
          <w:szCs w:val="24"/>
        </w:rPr>
        <w:t xml:space="preserve"> </w:t>
      </w:r>
      <w:r>
        <w:rPr>
          <w:rFonts w:ascii="宋体" w:hAnsi="宋体" w:eastAsia="宋体" w:cs="宋体"/>
          <w:spacing w:val="7"/>
          <w:sz w:val="24"/>
          <w:szCs w:val="24"/>
        </w:rPr>
        <w:t>、天名精</w:t>
      </w:r>
      <w:r>
        <w:rPr>
          <w:rFonts w:ascii="宋体" w:hAnsi="宋体" w:eastAsia="宋体" w:cs="宋体"/>
          <w:spacing w:val="70"/>
          <w:sz w:val="24"/>
          <w:szCs w:val="24"/>
        </w:rPr>
        <w:t xml:space="preserve"> </w:t>
      </w:r>
      <w:r>
        <w:rPr>
          <w:rFonts w:ascii="Times New Roman" w:hAnsi="Times New Roman" w:eastAsia="Times New Roman" w:cs="Times New Roman"/>
          <w:i/>
          <w:iCs/>
          <w:sz w:val="24"/>
          <w:szCs w:val="24"/>
        </w:rPr>
        <w:t>Carpesium</w:t>
      </w:r>
      <w:r>
        <w:rPr>
          <w:rFonts w:ascii="Times New Roman" w:hAnsi="Times New Roman" w:eastAsia="Times New Roman" w:cs="Times New Roman"/>
          <w:i/>
          <w:iCs/>
          <w:spacing w:val="7"/>
          <w:sz w:val="24"/>
          <w:szCs w:val="24"/>
        </w:rPr>
        <w:t xml:space="preserve">  </w:t>
      </w:r>
      <w:r>
        <w:rPr>
          <w:rFonts w:ascii="Times New Roman" w:hAnsi="Times New Roman" w:eastAsia="Times New Roman" w:cs="Times New Roman"/>
          <w:i/>
          <w:iCs/>
          <w:sz w:val="24"/>
          <w:szCs w:val="24"/>
        </w:rPr>
        <w:t>abrotanoides</w:t>
      </w:r>
      <w:r>
        <w:rPr>
          <w:rFonts w:ascii="Times New Roman" w:hAnsi="Times New Roman" w:eastAsia="Times New Roman" w:cs="Times New Roman"/>
          <w:i/>
          <w:iCs/>
          <w:spacing w:val="7"/>
          <w:sz w:val="24"/>
          <w:szCs w:val="24"/>
        </w:rPr>
        <w:t xml:space="preserve"> </w:t>
      </w:r>
      <w:r>
        <w:rPr>
          <w:rFonts w:ascii="宋体" w:hAnsi="宋体" w:eastAsia="宋体" w:cs="宋体"/>
          <w:spacing w:val="7"/>
          <w:sz w:val="24"/>
          <w:szCs w:val="24"/>
        </w:rPr>
        <w:t xml:space="preserve">、扁穗雀麦  </w:t>
      </w:r>
      <w:r>
        <w:rPr>
          <w:rFonts w:ascii="Times New Roman" w:hAnsi="Times New Roman" w:eastAsia="Times New Roman" w:cs="Times New Roman"/>
          <w:i/>
          <w:iCs/>
          <w:spacing w:val="-1"/>
          <w:sz w:val="24"/>
          <w:szCs w:val="24"/>
        </w:rPr>
        <w:t>Bromus catharticus</w:t>
      </w:r>
      <w:r>
        <w:rPr>
          <w:rFonts w:ascii="宋体" w:hAnsi="宋体" w:eastAsia="宋体" w:cs="宋体"/>
          <w:spacing w:val="-1"/>
          <w:sz w:val="24"/>
          <w:szCs w:val="24"/>
        </w:rPr>
        <w:t>、三脉紫菀</w:t>
      </w:r>
      <w:r>
        <w:rPr>
          <w:rFonts w:ascii="宋体" w:hAnsi="宋体" w:eastAsia="宋体" w:cs="宋体"/>
          <w:spacing w:val="-71"/>
          <w:sz w:val="24"/>
          <w:szCs w:val="24"/>
        </w:rPr>
        <w:t xml:space="preserve"> </w:t>
      </w:r>
      <w:r>
        <w:rPr>
          <w:rFonts w:ascii="Times New Roman" w:hAnsi="Times New Roman" w:eastAsia="Times New Roman" w:cs="Times New Roman"/>
          <w:i/>
          <w:iCs/>
          <w:spacing w:val="-1"/>
          <w:sz w:val="24"/>
          <w:szCs w:val="24"/>
        </w:rPr>
        <w:t xml:space="preserve">Aster trinervius </w:t>
      </w:r>
      <w:r>
        <w:rPr>
          <w:rFonts w:ascii="Times New Roman" w:hAnsi="Times New Roman" w:eastAsia="Times New Roman" w:cs="Times New Roman"/>
          <w:spacing w:val="-1"/>
          <w:sz w:val="24"/>
          <w:szCs w:val="24"/>
        </w:rPr>
        <w:t xml:space="preserve">subsp. </w:t>
      </w:r>
      <w:r>
        <w:rPr>
          <w:rFonts w:ascii="Times New Roman" w:hAnsi="Times New Roman" w:eastAsia="Times New Roman" w:cs="Times New Roman"/>
          <w:i/>
          <w:iCs/>
          <w:spacing w:val="-1"/>
          <w:sz w:val="24"/>
          <w:szCs w:val="24"/>
        </w:rPr>
        <w:t>ager</w:t>
      </w:r>
      <w:r>
        <w:rPr>
          <w:rFonts w:ascii="Times New Roman" w:hAnsi="Times New Roman" w:eastAsia="Times New Roman" w:cs="Times New Roman"/>
          <w:i/>
          <w:iCs/>
          <w:spacing w:val="-2"/>
          <w:sz w:val="24"/>
          <w:szCs w:val="24"/>
        </w:rPr>
        <w:t>atoides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、小草</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 xml:space="preserve">Microchloa    </w:t>
      </w:r>
      <w:r>
        <w:rPr>
          <w:rFonts w:ascii="Times New Roman" w:hAnsi="Times New Roman" w:eastAsia="Times New Roman" w:cs="Times New Roman"/>
          <w:i/>
          <w:iCs/>
          <w:spacing w:val="-1"/>
          <w:sz w:val="24"/>
          <w:szCs w:val="24"/>
        </w:rPr>
        <w:t>indica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、云南兔儿风</w:t>
      </w:r>
      <w:r>
        <w:rPr>
          <w:rFonts w:ascii="宋体" w:hAnsi="宋体" w:eastAsia="宋体" w:cs="宋体"/>
          <w:spacing w:val="-71"/>
          <w:sz w:val="24"/>
          <w:szCs w:val="24"/>
        </w:rPr>
        <w:t xml:space="preserve"> </w:t>
      </w:r>
      <w:r>
        <w:rPr>
          <w:rFonts w:ascii="Times New Roman" w:hAnsi="Times New Roman" w:eastAsia="Times New Roman" w:cs="Times New Roman"/>
          <w:i/>
          <w:iCs/>
          <w:spacing w:val="-1"/>
          <w:sz w:val="24"/>
          <w:szCs w:val="24"/>
        </w:rPr>
        <w:t>Ainsliaea</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1"/>
          <w:sz w:val="24"/>
          <w:szCs w:val="24"/>
        </w:rPr>
        <w:t>yunnanensis</w:t>
      </w:r>
      <w:r>
        <w:rPr>
          <w:rFonts w:ascii="宋体" w:hAnsi="宋体" w:eastAsia="宋体" w:cs="宋体"/>
          <w:spacing w:val="-1"/>
          <w:sz w:val="24"/>
          <w:szCs w:val="24"/>
        </w:rPr>
        <w:t>、喀西茄</w:t>
      </w:r>
      <w:r>
        <w:rPr>
          <w:rFonts w:ascii="宋体" w:hAnsi="宋体" w:eastAsia="宋体" w:cs="宋体"/>
          <w:spacing w:val="-58"/>
          <w:sz w:val="24"/>
          <w:szCs w:val="24"/>
        </w:rPr>
        <w:t xml:space="preserve"> </w:t>
      </w:r>
      <w:r>
        <w:rPr>
          <w:rFonts w:ascii="Times New Roman" w:hAnsi="Times New Roman" w:eastAsia="Times New Roman" w:cs="Times New Roman"/>
          <w:i/>
          <w:iCs/>
          <w:spacing w:val="-1"/>
          <w:sz w:val="24"/>
          <w:szCs w:val="24"/>
        </w:rPr>
        <w:t>Solanum a</w:t>
      </w:r>
      <w:r>
        <w:rPr>
          <w:rFonts w:ascii="Times New Roman" w:hAnsi="Times New Roman" w:eastAsia="Times New Roman" w:cs="Times New Roman"/>
          <w:i/>
          <w:iCs/>
          <w:spacing w:val="-2"/>
          <w:sz w:val="24"/>
          <w:szCs w:val="24"/>
        </w:rPr>
        <w:t>culeatissimum</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 xml:space="preserve">、华火  </w:t>
      </w:r>
      <w:r>
        <w:rPr>
          <w:rFonts w:ascii="宋体" w:hAnsi="宋体" w:eastAsia="宋体" w:cs="宋体"/>
          <w:spacing w:val="4"/>
          <w:sz w:val="24"/>
          <w:szCs w:val="24"/>
        </w:rPr>
        <w:t>绒草</w:t>
      </w:r>
      <w:r>
        <w:rPr>
          <w:rFonts w:ascii="宋体" w:hAnsi="宋体" w:eastAsia="宋体" w:cs="宋体"/>
          <w:spacing w:val="-57"/>
          <w:sz w:val="24"/>
          <w:szCs w:val="24"/>
        </w:rPr>
        <w:t xml:space="preserve"> </w:t>
      </w:r>
      <w:r>
        <w:rPr>
          <w:rFonts w:ascii="Times New Roman" w:hAnsi="Times New Roman" w:eastAsia="Times New Roman" w:cs="Times New Roman"/>
          <w:i/>
          <w:iCs/>
          <w:sz w:val="24"/>
          <w:szCs w:val="24"/>
        </w:rPr>
        <w:t>Leontopodiumsinense</w:t>
      </w:r>
      <w:r>
        <w:rPr>
          <w:rFonts w:ascii="Times New Roman" w:hAnsi="Times New Roman" w:eastAsia="Times New Roman" w:cs="Times New Roman"/>
          <w:i/>
          <w:iCs/>
          <w:spacing w:val="-33"/>
          <w:sz w:val="24"/>
          <w:szCs w:val="24"/>
        </w:rPr>
        <w:t xml:space="preserve"> </w:t>
      </w:r>
      <w:r>
        <w:rPr>
          <w:rFonts w:ascii="宋体" w:hAnsi="宋体" w:eastAsia="宋体" w:cs="宋体"/>
          <w:spacing w:val="4"/>
          <w:sz w:val="24"/>
          <w:szCs w:val="24"/>
        </w:rPr>
        <w:t>、小蓬草</w:t>
      </w:r>
      <w:r>
        <w:rPr>
          <w:rFonts w:ascii="宋体" w:hAnsi="宋体" w:eastAsia="宋体" w:cs="宋体"/>
          <w:spacing w:val="-62"/>
          <w:sz w:val="24"/>
          <w:szCs w:val="24"/>
        </w:rPr>
        <w:t xml:space="preserve"> </w:t>
      </w:r>
      <w:r>
        <w:rPr>
          <w:rFonts w:ascii="Times New Roman" w:hAnsi="Times New Roman" w:eastAsia="Times New Roman" w:cs="Times New Roman"/>
          <w:i/>
          <w:iCs/>
          <w:sz w:val="24"/>
          <w:szCs w:val="24"/>
        </w:rPr>
        <w:t>Erigeron</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z w:val="24"/>
          <w:szCs w:val="24"/>
        </w:rPr>
        <w:t>canadensis</w:t>
      </w:r>
      <w:r>
        <w:rPr>
          <w:rFonts w:ascii="宋体" w:hAnsi="宋体" w:eastAsia="宋体" w:cs="宋体"/>
          <w:spacing w:val="4"/>
          <w:sz w:val="24"/>
          <w:szCs w:val="24"/>
        </w:rPr>
        <w:t>、香薷</w:t>
      </w:r>
      <w:r>
        <w:rPr>
          <w:rFonts w:ascii="宋体" w:hAnsi="宋体" w:eastAsia="宋体" w:cs="宋体"/>
          <w:spacing w:val="-47"/>
          <w:sz w:val="24"/>
          <w:szCs w:val="24"/>
        </w:rPr>
        <w:t xml:space="preserve"> </w:t>
      </w:r>
      <w:r>
        <w:rPr>
          <w:rFonts w:ascii="Times New Roman" w:hAnsi="Times New Roman" w:eastAsia="Times New Roman" w:cs="Times New Roman"/>
          <w:i/>
          <w:iCs/>
          <w:sz w:val="24"/>
          <w:szCs w:val="24"/>
        </w:rPr>
        <w:t>Elsholtzia</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z w:val="24"/>
          <w:szCs w:val="24"/>
        </w:rPr>
        <w:t>ciliata</w:t>
      </w:r>
      <w:r>
        <w:rPr>
          <w:rFonts w:ascii="Times New Roman" w:hAnsi="Times New Roman" w:eastAsia="Times New Roman" w:cs="Times New Roman"/>
          <w:i/>
          <w:iCs/>
          <w:spacing w:val="-34"/>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3"/>
          <w:sz w:val="24"/>
          <w:szCs w:val="24"/>
        </w:rPr>
        <w:t>风轮菜</w:t>
      </w:r>
      <w:r>
        <w:rPr>
          <w:rFonts w:ascii="宋体" w:hAnsi="宋体" w:eastAsia="宋体" w:cs="宋体"/>
          <w:spacing w:val="-68"/>
          <w:sz w:val="24"/>
          <w:szCs w:val="24"/>
        </w:rPr>
        <w:t xml:space="preserve"> </w:t>
      </w:r>
      <w:r>
        <w:rPr>
          <w:rFonts w:ascii="Times New Roman" w:hAnsi="Times New Roman" w:eastAsia="Times New Roman" w:cs="Times New Roman"/>
          <w:i/>
          <w:iCs/>
          <w:spacing w:val="-3"/>
          <w:sz w:val="24"/>
          <w:szCs w:val="24"/>
        </w:rPr>
        <w:t>Clinopodium chinense</w:t>
      </w:r>
      <w:r>
        <w:rPr>
          <w:rFonts w:ascii="宋体" w:hAnsi="宋体" w:eastAsia="宋体" w:cs="宋体"/>
          <w:spacing w:val="-3"/>
          <w:sz w:val="24"/>
          <w:szCs w:val="24"/>
        </w:rPr>
        <w:t>、柳叶菜</w:t>
      </w:r>
      <w:r>
        <w:rPr>
          <w:rFonts w:ascii="Times New Roman" w:hAnsi="Times New Roman" w:eastAsia="Times New Roman" w:cs="Times New Roman"/>
          <w:i/>
          <w:iCs/>
          <w:spacing w:val="-3"/>
          <w:sz w:val="24"/>
          <w:szCs w:val="24"/>
        </w:rPr>
        <w:t>Epilobiumhi</w:t>
      </w:r>
      <w:r>
        <w:rPr>
          <w:rFonts w:ascii="Times New Roman" w:hAnsi="Times New Roman" w:eastAsia="Times New Roman" w:cs="Times New Roman"/>
          <w:i/>
          <w:iCs/>
          <w:spacing w:val="-4"/>
          <w:sz w:val="24"/>
          <w:szCs w:val="24"/>
        </w:rPr>
        <w:t>rsutum</w:t>
      </w:r>
      <w:r>
        <w:rPr>
          <w:rFonts w:ascii="宋体" w:hAnsi="宋体" w:eastAsia="宋体" w:cs="宋体"/>
          <w:spacing w:val="-4"/>
          <w:sz w:val="24"/>
          <w:szCs w:val="24"/>
        </w:rPr>
        <w:t>、紫花地丁</w:t>
      </w:r>
      <w:r>
        <w:rPr>
          <w:rFonts w:ascii="宋体" w:hAnsi="宋体" w:eastAsia="宋体" w:cs="宋体"/>
          <w:spacing w:val="-53"/>
          <w:sz w:val="24"/>
          <w:szCs w:val="24"/>
        </w:rPr>
        <w:t xml:space="preserve"> </w:t>
      </w:r>
      <w:r>
        <w:rPr>
          <w:rFonts w:ascii="Times New Roman" w:hAnsi="Times New Roman" w:eastAsia="Times New Roman" w:cs="Times New Roman"/>
          <w:i/>
          <w:iCs/>
          <w:spacing w:val="-4"/>
          <w:sz w:val="24"/>
          <w:szCs w:val="24"/>
        </w:rPr>
        <w:t>Viola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4"/>
          <w:sz w:val="24"/>
          <w:szCs w:val="24"/>
        </w:rPr>
        <w:t>philippica</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3"/>
          <w:sz w:val="24"/>
          <w:szCs w:val="24"/>
        </w:rPr>
        <w:t>酢</w:t>
      </w:r>
      <w:r>
        <w:rPr>
          <w:rFonts w:ascii="宋体" w:hAnsi="宋体" w:eastAsia="宋体" w:cs="宋体"/>
          <w:spacing w:val="-42"/>
          <w:sz w:val="24"/>
          <w:szCs w:val="24"/>
        </w:rPr>
        <w:t xml:space="preserve"> </w:t>
      </w:r>
      <w:r>
        <w:rPr>
          <w:rFonts w:ascii="宋体" w:hAnsi="宋体" w:eastAsia="宋体" w:cs="宋体"/>
          <w:spacing w:val="-3"/>
          <w:sz w:val="24"/>
          <w:szCs w:val="24"/>
        </w:rPr>
        <w:t>浆</w:t>
      </w:r>
      <w:r>
        <w:rPr>
          <w:rFonts w:ascii="宋体" w:hAnsi="宋体" w:eastAsia="宋体" w:cs="宋体"/>
          <w:spacing w:val="-41"/>
          <w:sz w:val="24"/>
          <w:szCs w:val="24"/>
        </w:rPr>
        <w:t xml:space="preserve"> </w:t>
      </w:r>
      <w:r>
        <w:rPr>
          <w:rFonts w:ascii="宋体" w:hAnsi="宋体" w:eastAsia="宋体" w:cs="宋体"/>
          <w:spacing w:val="-3"/>
          <w:sz w:val="24"/>
          <w:szCs w:val="24"/>
        </w:rPr>
        <w:t>草</w:t>
      </w:r>
      <w:r>
        <w:rPr>
          <w:rFonts w:ascii="宋体" w:hAnsi="宋体" w:eastAsia="宋体" w:cs="宋体"/>
          <w:spacing w:val="79"/>
          <w:sz w:val="24"/>
          <w:szCs w:val="24"/>
        </w:rPr>
        <w:t xml:space="preserve"> </w:t>
      </w:r>
      <w:r>
        <w:rPr>
          <w:rFonts w:ascii="Times New Roman" w:hAnsi="Times New Roman" w:eastAsia="Times New Roman" w:cs="Times New Roman"/>
          <w:i/>
          <w:iCs/>
          <w:spacing w:val="-3"/>
          <w:sz w:val="24"/>
          <w:szCs w:val="24"/>
        </w:rPr>
        <w:t>Oxalis</w:t>
      </w:r>
      <w:r>
        <w:rPr>
          <w:rFonts w:ascii="Times New Roman" w:hAnsi="Times New Roman" w:eastAsia="Times New Roman" w:cs="Times New Roman"/>
          <w:i/>
          <w:iCs/>
          <w:spacing w:val="20"/>
          <w:w w:val="101"/>
          <w:sz w:val="24"/>
          <w:szCs w:val="24"/>
        </w:rPr>
        <w:t xml:space="preserve">  </w:t>
      </w:r>
      <w:r>
        <w:rPr>
          <w:rFonts w:ascii="Times New Roman" w:hAnsi="Times New Roman" w:eastAsia="Times New Roman" w:cs="Times New Roman"/>
          <w:i/>
          <w:iCs/>
          <w:spacing w:val="-3"/>
          <w:sz w:val="24"/>
          <w:szCs w:val="24"/>
        </w:rPr>
        <w:t>corniculata</w:t>
      </w:r>
      <w:r>
        <w:rPr>
          <w:rFonts w:ascii="Times New Roman" w:hAnsi="Times New Roman" w:eastAsia="Times New Roman" w:cs="Times New Roman"/>
          <w:i/>
          <w:iCs/>
          <w:spacing w:val="35"/>
          <w:sz w:val="24"/>
          <w:szCs w:val="24"/>
        </w:rPr>
        <w:t xml:space="preserve"> </w:t>
      </w:r>
      <w:r>
        <w:rPr>
          <w:rFonts w:ascii="宋体" w:hAnsi="宋体" w:eastAsia="宋体" w:cs="宋体"/>
          <w:spacing w:val="-3"/>
          <w:sz w:val="24"/>
          <w:szCs w:val="24"/>
        </w:rPr>
        <w:t>、</w:t>
      </w:r>
      <w:r>
        <w:rPr>
          <w:rFonts w:ascii="宋体" w:hAnsi="宋体" w:eastAsia="宋体" w:cs="宋体"/>
          <w:spacing w:val="-39"/>
          <w:sz w:val="24"/>
          <w:szCs w:val="24"/>
        </w:rPr>
        <w:t xml:space="preserve"> </w:t>
      </w:r>
      <w:r>
        <w:rPr>
          <w:rFonts w:ascii="宋体" w:hAnsi="宋体" w:eastAsia="宋体" w:cs="宋体"/>
          <w:spacing w:val="-3"/>
          <w:sz w:val="24"/>
          <w:szCs w:val="24"/>
        </w:rPr>
        <w:t>头</w:t>
      </w:r>
      <w:r>
        <w:rPr>
          <w:rFonts w:ascii="宋体" w:hAnsi="宋体" w:eastAsia="宋体" w:cs="宋体"/>
          <w:spacing w:val="-43"/>
          <w:sz w:val="24"/>
          <w:szCs w:val="24"/>
        </w:rPr>
        <w:t xml:space="preserve"> </w:t>
      </w:r>
      <w:r>
        <w:rPr>
          <w:rFonts w:ascii="宋体" w:hAnsi="宋体" w:eastAsia="宋体" w:cs="宋体"/>
          <w:spacing w:val="-3"/>
          <w:sz w:val="24"/>
          <w:szCs w:val="24"/>
        </w:rPr>
        <w:t>花</w:t>
      </w:r>
      <w:r>
        <w:rPr>
          <w:rFonts w:ascii="宋体" w:hAnsi="宋体" w:eastAsia="宋体" w:cs="宋体"/>
          <w:spacing w:val="-41"/>
          <w:sz w:val="24"/>
          <w:szCs w:val="24"/>
        </w:rPr>
        <w:t xml:space="preserve"> </w:t>
      </w:r>
      <w:r>
        <w:rPr>
          <w:rFonts w:ascii="宋体" w:hAnsi="宋体" w:eastAsia="宋体" w:cs="宋体"/>
          <w:spacing w:val="-3"/>
          <w:sz w:val="24"/>
          <w:szCs w:val="24"/>
        </w:rPr>
        <w:t>蓼</w:t>
      </w:r>
      <w:r>
        <w:rPr>
          <w:rFonts w:ascii="宋体" w:hAnsi="宋体" w:eastAsia="宋体" w:cs="宋体"/>
          <w:spacing w:val="59"/>
          <w:sz w:val="24"/>
          <w:szCs w:val="24"/>
        </w:rPr>
        <w:t xml:space="preserve"> </w:t>
      </w:r>
      <w:r>
        <w:rPr>
          <w:rFonts w:ascii="Times New Roman" w:hAnsi="Times New Roman" w:eastAsia="Times New Roman" w:cs="Times New Roman"/>
          <w:i/>
          <w:iCs/>
          <w:spacing w:val="-3"/>
          <w:sz w:val="24"/>
          <w:szCs w:val="24"/>
        </w:rPr>
        <w:t>Polygonu</w:t>
      </w:r>
      <w:r>
        <w:rPr>
          <w:rFonts w:ascii="Times New Roman" w:hAnsi="Times New Roman" w:eastAsia="Times New Roman" w:cs="Times New Roman"/>
          <w:i/>
          <w:iCs/>
          <w:spacing w:val="-4"/>
          <w:sz w:val="24"/>
          <w:szCs w:val="24"/>
        </w:rPr>
        <w:t>m capitatum</w:t>
      </w:r>
      <w:r>
        <w:rPr>
          <w:rFonts w:ascii="Times New Roman" w:hAnsi="Times New Roman" w:eastAsia="Times New Roman" w:cs="Times New Roman"/>
          <w:i/>
          <w:iCs/>
          <w:spacing w:val="35"/>
          <w:w w:val="101"/>
          <w:sz w:val="24"/>
          <w:szCs w:val="24"/>
        </w:rPr>
        <w:t xml:space="preserve"> </w:t>
      </w:r>
      <w:r>
        <w:rPr>
          <w:rFonts w:ascii="宋体" w:hAnsi="宋体" w:eastAsia="宋体" w:cs="宋体"/>
          <w:spacing w:val="-4"/>
          <w:sz w:val="24"/>
          <w:szCs w:val="24"/>
        </w:rPr>
        <w:t>、</w:t>
      </w:r>
      <w:r>
        <w:rPr>
          <w:rFonts w:ascii="宋体" w:hAnsi="宋体" w:eastAsia="宋体" w:cs="宋体"/>
          <w:spacing w:val="-36"/>
          <w:sz w:val="24"/>
          <w:szCs w:val="24"/>
        </w:rPr>
        <w:t xml:space="preserve"> </w:t>
      </w:r>
      <w:r>
        <w:rPr>
          <w:rFonts w:ascii="宋体" w:hAnsi="宋体" w:eastAsia="宋体" w:cs="宋体"/>
          <w:spacing w:val="-4"/>
          <w:sz w:val="24"/>
          <w:szCs w:val="24"/>
        </w:rPr>
        <w:t>云</w:t>
      </w:r>
      <w:r>
        <w:rPr>
          <w:rFonts w:ascii="宋体" w:hAnsi="宋体" w:eastAsia="宋体" w:cs="宋体"/>
          <w:spacing w:val="-41"/>
          <w:sz w:val="24"/>
          <w:szCs w:val="24"/>
        </w:rPr>
        <w:t xml:space="preserve"> </w:t>
      </w:r>
      <w:r>
        <w:rPr>
          <w:rFonts w:ascii="宋体" w:hAnsi="宋体" w:eastAsia="宋体" w:cs="宋体"/>
          <w:spacing w:val="-4"/>
          <w:sz w:val="24"/>
          <w:szCs w:val="24"/>
        </w:rPr>
        <w:t>南</w:t>
      </w:r>
      <w:r>
        <w:rPr>
          <w:rFonts w:ascii="宋体" w:hAnsi="宋体" w:eastAsia="宋体" w:cs="宋体"/>
          <w:spacing w:val="-42"/>
          <w:sz w:val="24"/>
          <w:szCs w:val="24"/>
        </w:rPr>
        <w:t xml:space="preserve"> </w:t>
      </w:r>
      <w:r>
        <w:rPr>
          <w:rFonts w:ascii="宋体" w:hAnsi="宋体" w:eastAsia="宋体" w:cs="宋体"/>
          <w:spacing w:val="-4"/>
          <w:sz w:val="24"/>
          <w:szCs w:val="24"/>
        </w:rPr>
        <w:t>獐</w:t>
      </w:r>
      <w:r>
        <w:rPr>
          <w:rFonts w:ascii="宋体" w:hAnsi="宋体" w:eastAsia="宋体" w:cs="宋体"/>
          <w:spacing w:val="-42"/>
          <w:sz w:val="24"/>
          <w:szCs w:val="24"/>
        </w:rPr>
        <w:t xml:space="preserve"> </w:t>
      </w:r>
      <w:r>
        <w:rPr>
          <w:rFonts w:ascii="宋体" w:hAnsi="宋体" w:eastAsia="宋体" w:cs="宋体"/>
          <w:spacing w:val="-4"/>
          <w:sz w:val="24"/>
          <w:szCs w:val="24"/>
        </w:rPr>
        <w:t>牙</w:t>
      </w:r>
      <w:r>
        <w:rPr>
          <w:rFonts w:ascii="宋体" w:hAnsi="宋体" w:eastAsia="宋体" w:cs="宋体"/>
          <w:spacing w:val="-41"/>
          <w:sz w:val="24"/>
          <w:szCs w:val="24"/>
        </w:rPr>
        <w:t xml:space="preserve"> </w:t>
      </w:r>
      <w:r>
        <w:rPr>
          <w:rFonts w:ascii="宋体" w:hAnsi="宋体" w:eastAsia="宋体" w:cs="宋体"/>
          <w:spacing w:val="-4"/>
          <w:sz w:val="24"/>
          <w:szCs w:val="24"/>
        </w:rPr>
        <w:t xml:space="preserve">菜  </w:t>
      </w:r>
      <w:r>
        <w:rPr>
          <w:rFonts w:ascii="Times New Roman" w:hAnsi="Times New Roman" w:eastAsia="Times New Roman" w:cs="Times New Roman"/>
          <w:i/>
          <w:iCs/>
          <w:spacing w:val="-1"/>
          <w:sz w:val="24"/>
          <w:szCs w:val="24"/>
        </w:rPr>
        <w:t>Swertia</w:t>
      </w:r>
      <w:r>
        <w:rPr>
          <w:rFonts w:ascii="Times New Roman" w:hAnsi="Times New Roman" w:eastAsia="Times New Roman" w:cs="Times New Roman"/>
          <w:i/>
          <w:iCs/>
          <w:spacing w:val="-18"/>
          <w:sz w:val="24"/>
          <w:szCs w:val="24"/>
        </w:rPr>
        <w:t xml:space="preserve"> </w:t>
      </w:r>
      <w:r>
        <w:rPr>
          <w:rFonts w:ascii="Times New Roman" w:hAnsi="Times New Roman" w:eastAsia="Times New Roman" w:cs="Times New Roman"/>
          <w:i/>
          <w:iCs/>
          <w:spacing w:val="-1"/>
          <w:sz w:val="24"/>
          <w:szCs w:val="24"/>
        </w:rPr>
        <w:t>yunnanensis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、滇龙胆草</w:t>
      </w:r>
      <w:r>
        <w:rPr>
          <w:rFonts w:ascii="宋体" w:hAnsi="宋体" w:eastAsia="宋体" w:cs="宋体"/>
          <w:spacing w:val="-43"/>
          <w:sz w:val="24"/>
          <w:szCs w:val="24"/>
        </w:rPr>
        <w:t xml:space="preserve"> </w:t>
      </w:r>
      <w:r>
        <w:rPr>
          <w:rFonts w:ascii="Times New Roman" w:hAnsi="Times New Roman" w:eastAsia="Times New Roman" w:cs="Times New Roman"/>
          <w:i/>
          <w:iCs/>
          <w:spacing w:val="-1"/>
          <w:sz w:val="24"/>
          <w:szCs w:val="24"/>
        </w:rPr>
        <w:t>Gentiana rigescens</w:t>
      </w:r>
      <w:r>
        <w:rPr>
          <w:rFonts w:ascii="宋体" w:hAnsi="宋体" w:eastAsia="宋体" w:cs="宋体"/>
          <w:spacing w:val="-1"/>
          <w:sz w:val="24"/>
          <w:szCs w:val="24"/>
        </w:rPr>
        <w:t>、戟叶酸</w:t>
      </w:r>
      <w:r>
        <w:rPr>
          <w:rFonts w:ascii="宋体" w:hAnsi="宋体" w:eastAsia="宋体" w:cs="宋体"/>
          <w:spacing w:val="-2"/>
          <w:sz w:val="24"/>
          <w:szCs w:val="24"/>
        </w:rPr>
        <w:t>模</w:t>
      </w:r>
      <w:r>
        <w:rPr>
          <w:rFonts w:ascii="宋体" w:hAnsi="宋体" w:eastAsia="宋体" w:cs="宋体"/>
          <w:spacing w:val="-64"/>
          <w:sz w:val="24"/>
          <w:szCs w:val="24"/>
        </w:rPr>
        <w:t xml:space="preserve"> </w:t>
      </w:r>
      <w:r>
        <w:rPr>
          <w:rFonts w:ascii="Times New Roman" w:hAnsi="Times New Roman" w:eastAsia="Times New Roman" w:cs="Times New Roman"/>
          <w:i/>
          <w:iCs/>
          <w:spacing w:val="-2"/>
          <w:sz w:val="24"/>
          <w:szCs w:val="24"/>
        </w:rPr>
        <w:t>Rumex hastatus</w:t>
      </w:r>
      <w:r>
        <w:rPr>
          <w:rFonts w:ascii="Times New Roman" w:hAnsi="Times New Roman" w:eastAsia="Times New Roman" w:cs="Times New Roman"/>
          <w:i/>
          <w:iCs/>
          <w:spacing w:val="-35"/>
          <w:sz w:val="24"/>
          <w:szCs w:val="24"/>
        </w:rPr>
        <w:t xml:space="preserve"> </w:t>
      </w:r>
      <w:r>
        <w:rPr>
          <w:rFonts w:ascii="宋体" w:hAnsi="宋体" w:eastAsia="宋体" w:cs="宋体"/>
          <w:spacing w:val="-2"/>
          <w:sz w:val="24"/>
          <w:szCs w:val="24"/>
        </w:rPr>
        <w:t xml:space="preserve">、百  </w:t>
      </w:r>
      <w:r>
        <w:rPr>
          <w:rFonts w:ascii="宋体" w:hAnsi="宋体" w:eastAsia="宋体" w:cs="宋体"/>
          <w:spacing w:val="11"/>
          <w:sz w:val="24"/>
          <w:szCs w:val="24"/>
        </w:rPr>
        <w:t xml:space="preserve">脉根 </w:t>
      </w:r>
      <w:r>
        <w:rPr>
          <w:rFonts w:ascii="Times New Roman" w:hAnsi="Times New Roman" w:eastAsia="Times New Roman" w:cs="Times New Roman"/>
          <w:i/>
          <w:iCs/>
          <w:sz w:val="24"/>
          <w:szCs w:val="24"/>
        </w:rPr>
        <w:t>Lotus</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z w:val="24"/>
          <w:szCs w:val="24"/>
        </w:rPr>
        <w:t>corniculatus</w:t>
      </w:r>
      <w:r>
        <w:rPr>
          <w:rFonts w:ascii="Times New Roman" w:hAnsi="Times New Roman" w:eastAsia="Times New Roman" w:cs="Times New Roman"/>
          <w:i/>
          <w:iCs/>
          <w:spacing w:val="-8"/>
          <w:sz w:val="24"/>
          <w:szCs w:val="24"/>
        </w:rPr>
        <w:t xml:space="preserve"> </w:t>
      </w:r>
      <w:r>
        <w:rPr>
          <w:rFonts w:ascii="宋体" w:hAnsi="宋体" w:eastAsia="宋体" w:cs="宋体"/>
          <w:spacing w:val="11"/>
          <w:sz w:val="24"/>
          <w:szCs w:val="24"/>
        </w:rPr>
        <w:t xml:space="preserve">、千针万线草 </w:t>
      </w:r>
      <w:r>
        <w:rPr>
          <w:rFonts w:ascii="Times New Roman" w:hAnsi="Times New Roman" w:eastAsia="Times New Roman" w:cs="Times New Roman"/>
          <w:i/>
          <w:iCs/>
          <w:sz w:val="24"/>
          <w:szCs w:val="24"/>
        </w:rPr>
        <w:t>Stellaria</w:t>
      </w:r>
      <w:r>
        <w:rPr>
          <w:rFonts w:ascii="Times New Roman" w:hAnsi="Times New Roman" w:eastAsia="Times New Roman" w:cs="Times New Roman"/>
          <w:i/>
          <w:iCs/>
          <w:spacing w:val="-18"/>
          <w:sz w:val="24"/>
          <w:szCs w:val="24"/>
        </w:rPr>
        <w:t xml:space="preserve"> </w:t>
      </w:r>
      <w:r>
        <w:rPr>
          <w:rFonts w:ascii="Times New Roman" w:hAnsi="Times New Roman" w:eastAsia="Times New Roman" w:cs="Times New Roman"/>
          <w:i/>
          <w:iCs/>
          <w:sz w:val="24"/>
          <w:szCs w:val="24"/>
        </w:rPr>
        <w:t>yunnanensis</w:t>
      </w:r>
      <w:r>
        <w:rPr>
          <w:rFonts w:ascii="Times New Roman" w:hAnsi="Times New Roman" w:eastAsia="Times New Roman" w:cs="Times New Roman"/>
          <w:i/>
          <w:iCs/>
          <w:spacing w:val="-11"/>
          <w:sz w:val="24"/>
          <w:szCs w:val="24"/>
        </w:rPr>
        <w:t xml:space="preserve"> </w:t>
      </w:r>
      <w:r>
        <w:rPr>
          <w:rFonts w:ascii="宋体" w:hAnsi="宋体" w:eastAsia="宋体" w:cs="宋体"/>
          <w:spacing w:val="11"/>
          <w:sz w:val="24"/>
          <w:szCs w:val="24"/>
        </w:rPr>
        <w:t xml:space="preserve">、假酸浆 </w:t>
      </w:r>
      <w:r>
        <w:rPr>
          <w:rFonts w:ascii="Times New Roman" w:hAnsi="Times New Roman" w:eastAsia="Times New Roman" w:cs="Times New Roman"/>
          <w:i/>
          <w:iCs/>
          <w:sz w:val="24"/>
          <w:szCs w:val="24"/>
        </w:rPr>
        <w:t>Nicandra</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pacing w:val="-1"/>
          <w:sz w:val="24"/>
          <w:szCs w:val="24"/>
        </w:rPr>
        <w:t>physalodes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、路边青</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Geum</w:t>
      </w:r>
      <w:r>
        <w:rPr>
          <w:rFonts w:ascii="Times New Roman" w:hAnsi="Times New Roman" w:eastAsia="Times New Roman" w:cs="Times New Roman"/>
          <w:i/>
          <w:iCs/>
          <w:spacing w:val="29"/>
          <w:sz w:val="24"/>
          <w:szCs w:val="24"/>
        </w:rPr>
        <w:t xml:space="preserve"> </w:t>
      </w:r>
      <w:r>
        <w:rPr>
          <w:rFonts w:ascii="Times New Roman" w:hAnsi="Times New Roman" w:eastAsia="Times New Roman" w:cs="Times New Roman"/>
          <w:i/>
          <w:iCs/>
          <w:spacing w:val="-1"/>
          <w:sz w:val="24"/>
          <w:szCs w:val="24"/>
        </w:rPr>
        <w:t>al</w:t>
      </w:r>
      <w:r>
        <w:rPr>
          <w:rFonts w:ascii="Times New Roman" w:hAnsi="Times New Roman" w:eastAsia="Times New Roman" w:cs="Times New Roman"/>
          <w:i/>
          <w:iCs/>
          <w:spacing w:val="-2"/>
          <w:sz w:val="24"/>
          <w:szCs w:val="24"/>
        </w:rPr>
        <w:t>eppicum</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、黄毛草莓</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Fragaria</w:t>
      </w:r>
      <w:r>
        <w:rPr>
          <w:rFonts w:ascii="Times New Roman" w:hAnsi="Times New Roman" w:eastAsia="Times New Roman" w:cs="Times New Roman"/>
          <w:i/>
          <w:iCs/>
          <w:spacing w:val="28"/>
          <w:w w:val="101"/>
          <w:sz w:val="24"/>
          <w:szCs w:val="24"/>
        </w:rPr>
        <w:t xml:space="preserve"> </w:t>
      </w:r>
      <w:r>
        <w:rPr>
          <w:rFonts w:ascii="Times New Roman" w:hAnsi="Times New Roman" w:eastAsia="Times New Roman" w:cs="Times New Roman"/>
          <w:i/>
          <w:iCs/>
          <w:spacing w:val="-2"/>
          <w:sz w:val="24"/>
          <w:szCs w:val="24"/>
        </w:rPr>
        <w:t>nilgerrensis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 xml:space="preserve">、鞭打绣球  </w:t>
      </w:r>
      <w:r>
        <w:rPr>
          <w:rFonts w:ascii="Times New Roman" w:hAnsi="Times New Roman" w:eastAsia="Times New Roman" w:cs="Times New Roman"/>
          <w:i/>
          <w:iCs/>
          <w:sz w:val="24"/>
          <w:szCs w:val="24"/>
        </w:rPr>
        <w:t>Hemiphragma</w:t>
      </w:r>
      <w:r>
        <w:rPr>
          <w:rFonts w:ascii="Times New Roman" w:hAnsi="Times New Roman" w:eastAsia="Times New Roman" w:cs="Times New Roman"/>
          <w:i/>
          <w:iCs/>
          <w:spacing w:val="47"/>
          <w:sz w:val="24"/>
          <w:szCs w:val="24"/>
        </w:rPr>
        <w:t xml:space="preserve"> </w:t>
      </w:r>
      <w:r>
        <w:rPr>
          <w:rFonts w:ascii="Times New Roman" w:hAnsi="Times New Roman" w:eastAsia="Times New Roman" w:cs="Times New Roman"/>
          <w:i/>
          <w:iCs/>
          <w:sz w:val="24"/>
          <w:szCs w:val="24"/>
        </w:rPr>
        <w:t>heterophyllum</w:t>
      </w:r>
      <w:r>
        <w:rPr>
          <w:rFonts w:ascii="宋体" w:hAnsi="宋体" w:eastAsia="宋体" w:cs="宋体"/>
          <w:spacing w:val="3"/>
          <w:sz w:val="24"/>
          <w:szCs w:val="24"/>
        </w:rPr>
        <w:t xml:space="preserve">、翅茎草 </w:t>
      </w:r>
      <w:r>
        <w:rPr>
          <w:rFonts w:ascii="Times New Roman" w:hAnsi="Times New Roman" w:eastAsia="Times New Roman" w:cs="Times New Roman"/>
          <w:i/>
          <w:iCs/>
          <w:sz w:val="24"/>
          <w:szCs w:val="24"/>
        </w:rPr>
        <w:t>Pterygiella</w:t>
      </w:r>
      <w:r>
        <w:rPr>
          <w:rFonts w:ascii="Times New Roman" w:hAnsi="Times New Roman" w:eastAsia="Times New Roman" w:cs="Times New Roman"/>
          <w:i/>
          <w:iCs/>
          <w:spacing w:val="38"/>
          <w:w w:val="101"/>
          <w:sz w:val="24"/>
          <w:szCs w:val="24"/>
        </w:rPr>
        <w:t xml:space="preserve"> </w:t>
      </w:r>
      <w:r>
        <w:rPr>
          <w:rFonts w:ascii="Times New Roman" w:hAnsi="Times New Roman" w:eastAsia="Times New Roman" w:cs="Times New Roman"/>
          <w:i/>
          <w:iCs/>
          <w:sz w:val="24"/>
          <w:szCs w:val="24"/>
        </w:rPr>
        <w:t>nigrescens</w:t>
      </w:r>
      <w:r>
        <w:rPr>
          <w:rFonts w:ascii="宋体" w:hAnsi="宋体" w:eastAsia="宋体" w:cs="宋体"/>
          <w:spacing w:val="3"/>
          <w:sz w:val="24"/>
          <w:szCs w:val="24"/>
        </w:rPr>
        <w:t xml:space="preserve">、华扁穗草 </w:t>
      </w:r>
      <w:r>
        <w:rPr>
          <w:rFonts w:ascii="Times New Roman" w:hAnsi="Times New Roman" w:eastAsia="Times New Roman" w:cs="Times New Roman"/>
          <w:i/>
          <w:iCs/>
          <w:sz w:val="24"/>
          <w:szCs w:val="24"/>
        </w:rPr>
        <w:t>Blysmus</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i/>
          <w:iCs/>
          <w:spacing w:val="-4"/>
          <w:sz w:val="24"/>
          <w:szCs w:val="24"/>
        </w:rPr>
        <w:t>sinocompressus</w:t>
      </w:r>
      <w:r>
        <w:rPr>
          <w:rFonts w:ascii="宋体" w:hAnsi="宋体" w:eastAsia="宋体" w:cs="宋体"/>
          <w:spacing w:val="-4"/>
          <w:sz w:val="24"/>
          <w:szCs w:val="24"/>
        </w:rPr>
        <w:t xml:space="preserve">。此外， 伴生的草本植物有西南委陵菜 </w:t>
      </w:r>
      <w:r>
        <w:rPr>
          <w:rFonts w:ascii="Times New Roman" w:hAnsi="Times New Roman" w:eastAsia="Times New Roman" w:cs="Times New Roman"/>
          <w:i/>
          <w:iCs/>
          <w:spacing w:val="-4"/>
          <w:sz w:val="24"/>
          <w:szCs w:val="24"/>
        </w:rPr>
        <w:t>Potentil</w:t>
      </w:r>
      <w:r>
        <w:rPr>
          <w:rFonts w:ascii="Times New Roman" w:hAnsi="Times New Roman" w:eastAsia="Times New Roman" w:cs="Times New Roman"/>
          <w:i/>
          <w:iCs/>
          <w:spacing w:val="-5"/>
          <w:sz w:val="24"/>
          <w:szCs w:val="24"/>
        </w:rPr>
        <w:t>ladelavayi</w:t>
      </w:r>
      <w:r>
        <w:rPr>
          <w:rFonts w:ascii="宋体" w:hAnsi="宋体" w:eastAsia="宋体" w:cs="宋体"/>
          <w:spacing w:val="-5"/>
          <w:sz w:val="24"/>
          <w:szCs w:val="24"/>
        </w:rPr>
        <w:t xml:space="preserve">、鼠麹草  </w:t>
      </w:r>
      <w:r>
        <w:rPr>
          <w:rFonts w:ascii="Times New Roman" w:hAnsi="Times New Roman" w:eastAsia="Times New Roman" w:cs="Times New Roman"/>
          <w:i/>
          <w:iCs/>
          <w:sz w:val="24"/>
          <w:szCs w:val="24"/>
        </w:rPr>
        <w:t>Gnaphalium</w:t>
      </w:r>
      <w:r>
        <w:rPr>
          <w:rFonts w:ascii="Times New Roman" w:hAnsi="Times New Roman" w:eastAsia="Times New Roman" w:cs="Times New Roman"/>
          <w:i/>
          <w:iCs/>
          <w:spacing w:val="35"/>
          <w:w w:val="101"/>
          <w:sz w:val="24"/>
          <w:szCs w:val="24"/>
        </w:rPr>
        <w:t xml:space="preserve"> </w:t>
      </w:r>
      <w:r>
        <w:rPr>
          <w:rFonts w:ascii="Times New Roman" w:hAnsi="Times New Roman" w:eastAsia="Times New Roman" w:cs="Times New Roman"/>
          <w:i/>
          <w:iCs/>
          <w:sz w:val="24"/>
          <w:szCs w:val="24"/>
        </w:rPr>
        <w:t>affine</w:t>
      </w:r>
      <w:r>
        <w:rPr>
          <w:rFonts w:ascii="Times New Roman" w:hAnsi="Times New Roman" w:eastAsia="Times New Roman" w:cs="Times New Roman"/>
          <w:i/>
          <w:iCs/>
          <w:spacing w:val="-30"/>
          <w:sz w:val="24"/>
          <w:szCs w:val="24"/>
        </w:rPr>
        <w:t xml:space="preserve"> </w:t>
      </w:r>
      <w:r>
        <w:rPr>
          <w:rFonts w:ascii="宋体" w:hAnsi="宋体" w:eastAsia="宋体" w:cs="宋体"/>
          <w:sz w:val="24"/>
          <w:szCs w:val="24"/>
        </w:rPr>
        <w:t xml:space="preserve">、绣球防风 </w:t>
      </w:r>
      <w:r>
        <w:rPr>
          <w:rFonts w:ascii="Times New Roman" w:hAnsi="Times New Roman" w:eastAsia="Times New Roman" w:cs="Times New Roman"/>
          <w:i/>
          <w:iCs/>
          <w:sz w:val="24"/>
          <w:szCs w:val="24"/>
        </w:rPr>
        <w:t>L</w:t>
      </w:r>
      <w:r>
        <w:rPr>
          <w:rFonts w:ascii="Times New Roman" w:hAnsi="Times New Roman" w:eastAsia="Times New Roman" w:cs="Times New Roman"/>
          <w:i/>
          <w:iCs/>
          <w:spacing w:val="-1"/>
          <w:sz w:val="24"/>
          <w:szCs w:val="24"/>
        </w:rPr>
        <w:t>eucas</w:t>
      </w:r>
      <w:r>
        <w:rPr>
          <w:rFonts w:ascii="Times New Roman" w:hAnsi="Times New Roman" w:eastAsia="Times New Roman" w:cs="Times New Roman"/>
          <w:i/>
          <w:iCs/>
          <w:spacing w:val="37"/>
          <w:sz w:val="24"/>
          <w:szCs w:val="24"/>
        </w:rPr>
        <w:t xml:space="preserve"> </w:t>
      </w:r>
      <w:r>
        <w:rPr>
          <w:rFonts w:ascii="Times New Roman" w:hAnsi="Times New Roman" w:eastAsia="Times New Roman" w:cs="Times New Roman"/>
          <w:i/>
          <w:iCs/>
          <w:spacing w:val="-1"/>
          <w:sz w:val="24"/>
          <w:szCs w:val="24"/>
        </w:rPr>
        <w:t>ciliata</w:t>
      </w:r>
      <w:r>
        <w:rPr>
          <w:rFonts w:ascii="Times New Roman" w:hAnsi="Times New Roman" w:eastAsia="Times New Roman" w:cs="Times New Roman"/>
          <w:i/>
          <w:iCs/>
          <w:spacing w:val="-31"/>
          <w:sz w:val="24"/>
          <w:szCs w:val="24"/>
        </w:rPr>
        <w:t xml:space="preserve"> </w:t>
      </w:r>
      <w:r>
        <w:rPr>
          <w:rFonts w:ascii="宋体" w:hAnsi="宋体" w:eastAsia="宋体" w:cs="宋体"/>
          <w:spacing w:val="-1"/>
          <w:sz w:val="24"/>
          <w:szCs w:val="24"/>
        </w:rPr>
        <w:t xml:space="preserve">、千里光 </w:t>
      </w:r>
      <w:r>
        <w:rPr>
          <w:rFonts w:ascii="Times New Roman" w:hAnsi="Times New Roman" w:eastAsia="Times New Roman" w:cs="Times New Roman"/>
          <w:i/>
          <w:iCs/>
          <w:spacing w:val="-1"/>
          <w:sz w:val="24"/>
          <w:szCs w:val="24"/>
        </w:rPr>
        <w:t>Senecio scandens</w:t>
      </w:r>
      <w:r>
        <w:rPr>
          <w:rFonts w:ascii="Times New Roman" w:hAnsi="Times New Roman" w:eastAsia="Times New Roman" w:cs="Times New Roman"/>
          <w:i/>
          <w:iCs/>
          <w:spacing w:val="-30"/>
          <w:sz w:val="24"/>
          <w:szCs w:val="24"/>
        </w:rPr>
        <w:t xml:space="preserve"> </w:t>
      </w:r>
      <w:r>
        <w:rPr>
          <w:rFonts w:ascii="宋体" w:hAnsi="宋体" w:eastAsia="宋体" w:cs="宋体"/>
          <w:spacing w:val="-1"/>
          <w:sz w:val="24"/>
          <w:szCs w:val="24"/>
        </w:rPr>
        <w:t>、紫马唐</w:t>
      </w:r>
    </w:p>
    <w:p>
      <w:pPr>
        <w:spacing w:line="212" w:lineRule="auto"/>
        <w:ind w:left="23"/>
        <w:rPr>
          <w:rFonts w:ascii="宋体" w:hAnsi="宋体" w:eastAsia="宋体" w:cs="宋体"/>
          <w:sz w:val="24"/>
          <w:szCs w:val="24"/>
        </w:rPr>
      </w:pPr>
      <w:r>
        <w:rPr>
          <w:rFonts w:ascii="Times New Roman" w:hAnsi="Times New Roman" w:eastAsia="Times New Roman" w:cs="Times New Roman"/>
          <w:i/>
          <w:iCs/>
          <w:spacing w:val="-3"/>
          <w:sz w:val="24"/>
          <w:szCs w:val="24"/>
        </w:rPr>
        <w:t>Digitaria violascens</w:t>
      </w:r>
      <w:r>
        <w:rPr>
          <w:rFonts w:ascii="宋体" w:hAnsi="宋体" w:eastAsia="宋体" w:cs="宋体"/>
          <w:spacing w:val="-3"/>
          <w:sz w:val="24"/>
          <w:szCs w:val="24"/>
        </w:rPr>
        <w:t>、倒提壶</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Cynoglossumamabile</w:t>
      </w:r>
      <w:r>
        <w:rPr>
          <w:rFonts w:ascii="宋体" w:hAnsi="宋体" w:eastAsia="宋体" w:cs="宋体"/>
          <w:spacing w:val="-3"/>
          <w:sz w:val="24"/>
          <w:szCs w:val="24"/>
        </w:rPr>
        <w:t>、尼泊尔酸模</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Rumex n</w:t>
      </w:r>
      <w:r>
        <w:rPr>
          <w:rFonts w:ascii="Times New Roman" w:hAnsi="Times New Roman" w:eastAsia="Times New Roman" w:cs="Times New Roman"/>
          <w:i/>
          <w:iCs/>
          <w:spacing w:val="-4"/>
          <w:sz w:val="24"/>
          <w:szCs w:val="24"/>
        </w:rPr>
        <w:t>epalensis</w:t>
      </w:r>
      <w:r>
        <w:rPr>
          <w:rFonts w:ascii="宋体" w:hAnsi="宋体" w:eastAsia="宋体" w:cs="宋体"/>
          <w:spacing w:val="-4"/>
          <w:sz w:val="24"/>
          <w:szCs w:val="24"/>
        </w:rPr>
        <w:t>、</w:t>
      </w:r>
    </w:p>
    <w:p>
      <w:pPr>
        <w:spacing w:before="192" w:line="360" w:lineRule="auto"/>
        <w:ind w:left="3" w:right="204" w:firstLine="33"/>
        <w:rPr>
          <w:rFonts w:ascii="宋体" w:hAnsi="宋体" w:eastAsia="宋体" w:cs="宋体"/>
          <w:sz w:val="24"/>
          <w:szCs w:val="24"/>
        </w:rPr>
      </w:pPr>
      <w:r>
        <w:rPr>
          <w:rFonts w:ascii="宋体" w:hAnsi="宋体" w:eastAsia="宋体" w:cs="宋体"/>
          <w:spacing w:val="13"/>
          <w:sz w:val="24"/>
          <w:szCs w:val="24"/>
        </w:rPr>
        <w:t xml:space="preserve">报春花 </w:t>
      </w:r>
      <w:r>
        <w:rPr>
          <w:rFonts w:ascii="Times New Roman" w:hAnsi="Times New Roman" w:eastAsia="Times New Roman" w:cs="Times New Roman"/>
          <w:i/>
          <w:iCs/>
          <w:sz w:val="24"/>
          <w:szCs w:val="24"/>
        </w:rPr>
        <w:t>Primula</w:t>
      </w:r>
      <w:r>
        <w:rPr>
          <w:rFonts w:ascii="Times New Roman" w:hAnsi="Times New Roman" w:eastAsia="Times New Roman" w:cs="Times New Roman"/>
          <w:i/>
          <w:iCs/>
          <w:spacing w:val="13"/>
          <w:sz w:val="24"/>
          <w:szCs w:val="24"/>
        </w:rPr>
        <w:t xml:space="preserve">  </w:t>
      </w:r>
      <w:r>
        <w:rPr>
          <w:rFonts w:ascii="Times New Roman" w:hAnsi="Times New Roman" w:eastAsia="Times New Roman" w:cs="Times New Roman"/>
          <w:i/>
          <w:iCs/>
          <w:sz w:val="24"/>
          <w:szCs w:val="24"/>
        </w:rPr>
        <w:t>malacoides</w:t>
      </w:r>
      <w:r>
        <w:rPr>
          <w:rFonts w:ascii="Times New Roman" w:hAnsi="Times New Roman" w:eastAsia="Times New Roman" w:cs="Times New Roman"/>
          <w:i/>
          <w:iCs/>
          <w:spacing w:val="-26"/>
          <w:sz w:val="24"/>
          <w:szCs w:val="24"/>
        </w:rPr>
        <w:t xml:space="preserve"> </w:t>
      </w:r>
      <w:r>
        <w:rPr>
          <w:rFonts w:ascii="宋体" w:hAnsi="宋体" w:eastAsia="宋体" w:cs="宋体"/>
          <w:spacing w:val="13"/>
          <w:sz w:val="24"/>
          <w:szCs w:val="24"/>
        </w:rPr>
        <w:t xml:space="preserve">、草玉梅 </w:t>
      </w:r>
      <w:r>
        <w:rPr>
          <w:rFonts w:ascii="Times New Roman" w:hAnsi="Times New Roman" w:eastAsia="Times New Roman" w:cs="Times New Roman"/>
          <w:i/>
          <w:iCs/>
          <w:sz w:val="24"/>
          <w:szCs w:val="24"/>
        </w:rPr>
        <w:t>Anemone</w:t>
      </w:r>
      <w:r>
        <w:rPr>
          <w:rFonts w:ascii="Times New Roman" w:hAnsi="Times New Roman" w:eastAsia="Times New Roman" w:cs="Times New Roman"/>
          <w:i/>
          <w:iCs/>
          <w:spacing w:val="13"/>
          <w:sz w:val="24"/>
          <w:szCs w:val="24"/>
        </w:rPr>
        <w:t xml:space="preserve">  </w:t>
      </w:r>
      <w:r>
        <w:rPr>
          <w:rFonts w:ascii="Times New Roman" w:hAnsi="Times New Roman" w:eastAsia="Times New Roman" w:cs="Times New Roman"/>
          <w:i/>
          <w:iCs/>
          <w:sz w:val="24"/>
          <w:szCs w:val="24"/>
        </w:rPr>
        <w:t>rivularis</w:t>
      </w:r>
      <w:r>
        <w:rPr>
          <w:rFonts w:ascii="Times New Roman" w:hAnsi="Times New Roman" w:eastAsia="Times New Roman" w:cs="Times New Roman"/>
          <w:i/>
          <w:iCs/>
          <w:spacing w:val="13"/>
          <w:sz w:val="24"/>
          <w:szCs w:val="24"/>
        </w:rPr>
        <w:t xml:space="preserve"> </w:t>
      </w:r>
      <w:r>
        <w:rPr>
          <w:rFonts w:ascii="宋体" w:hAnsi="宋体" w:eastAsia="宋体" w:cs="宋体"/>
          <w:spacing w:val="13"/>
          <w:sz w:val="24"/>
          <w:szCs w:val="24"/>
        </w:rPr>
        <w:t>、草血竭</w:t>
      </w:r>
      <w:r>
        <w:rPr>
          <w:rFonts w:ascii="宋体" w:hAnsi="宋体" w:eastAsia="宋体" w:cs="宋体"/>
          <w:spacing w:val="37"/>
          <w:sz w:val="24"/>
          <w:szCs w:val="24"/>
        </w:rPr>
        <w:t xml:space="preserve"> </w:t>
      </w:r>
      <w:r>
        <w:rPr>
          <w:rFonts w:ascii="Times New Roman" w:hAnsi="Times New Roman" w:eastAsia="Times New Roman" w:cs="Times New Roman"/>
          <w:i/>
          <w:iCs/>
          <w:sz w:val="24"/>
          <w:szCs w:val="24"/>
        </w:rPr>
        <w:t xml:space="preserve">Polygonum </w:t>
      </w:r>
      <w:r>
        <w:rPr>
          <w:rFonts w:ascii="Times New Roman" w:hAnsi="Times New Roman" w:eastAsia="Times New Roman" w:cs="Times New Roman"/>
          <w:i/>
          <w:iCs/>
          <w:spacing w:val="-5"/>
          <w:sz w:val="24"/>
          <w:szCs w:val="24"/>
        </w:rPr>
        <w:t>paleaceum</w:t>
      </w:r>
      <w:r>
        <w:rPr>
          <w:rFonts w:ascii="宋体" w:hAnsi="宋体" w:eastAsia="宋体" w:cs="宋体"/>
          <w:spacing w:val="-5"/>
          <w:sz w:val="24"/>
          <w:szCs w:val="24"/>
        </w:rPr>
        <w:t>、川续断</w:t>
      </w:r>
      <w:r>
        <w:rPr>
          <w:rFonts w:ascii="宋体" w:hAnsi="宋体" w:eastAsia="宋体" w:cs="宋体"/>
          <w:spacing w:val="-54"/>
          <w:sz w:val="24"/>
          <w:szCs w:val="24"/>
        </w:rPr>
        <w:t xml:space="preserve"> </w:t>
      </w:r>
      <w:r>
        <w:rPr>
          <w:rFonts w:ascii="Times New Roman" w:hAnsi="Times New Roman" w:eastAsia="Times New Roman" w:cs="Times New Roman"/>
          <w:i/>
          <w:iCs/>
          <w:spacing w:val="-5"/>
          <w:sz w:val="24"/>
          <w:szCs w:val="24"/>
        </w:rPr>
        <w:t xml:space="preserve">Dipsacus asperoides </w:t>
      </w:r>
      <w:r>
        <w:rPr>
          <w:rFonts w:ascii="宋体" w:hAnsi="宋体" w:eastAsia="宋体" w:cs="宋体"/>
          <w:spacing w:val="-5"/>
          <w:sz w:val="24"/>
          <w:szCs w:val="24"/>
        </w:rPr>
        <w:t>等。除此之外，在局部区域，</w:t>
      </w:r>
      <w:r>
        <w:rPr>
          <w:rFonts w:ascii="宋体" w:hAnsi="宋体" w:eastAsia="宋体" w:cs="宋体"/>
          <w:spacing w:val="29"/>
          <w:sz w:val="24"/>
          <w:szCs w:val="24"/>
        </w:rPr>
        <w:t xml:space="preserve"> </w:t>
      </w:r>
      <w:r>
        <w:rPr>
          <w:rFonts w:ascii="宋体" w:hAnsi="宋体" w:eastAsia="宋体" w:cs="宋体"/>
          <w:spacing w:val="-5"/>
          <w:sz w:val="24"/>
          <w:szCs w:val="24"/>
        </w:rPr>
        <w:t>会形成以外</w:t>
      </w:r>
      <w:r>
        <w:rPr>
          <w:rFonts w:ascii="宋体" w:hAnsi="宋体" w:eastAsia="宋体" w:cs="宋体"/>
          <w:sz w:val="24"/>
          <w:szCs w:val="24"/>
        </w:rPr>
        <w:t xml:space="preserve"> </w:t>
      </w:r>
      <w:r>
        <w:rPr>
          <w:rFonts w:ascii="宋体" w:hAnsi="宋体" w:eastAsia="宋体" w:cs="宋体"/>
          <w:spacing w:val="-2"/>
          <w:sz w:val="24"/>
          <w:szCs w:val="24"/>
        </w:rPr>
        <w:t>来种破坏草、秋英为优势的群落，说明当地原生植被破坏十分严重，导致外来种</w:t>
      </w:r>
    </w:p>
    <w:p>
      <w:pPr>
        <w:spacing w:before="1" w:line="220" w:lineRule="auto"/>
        <w:ind w:left="38"/>
        <w:rPr>
          <w:rFonts w:ascii="宋体" w:hAnsi="宋体" w:eastAsia="宋体" w:cs="宋体"/>
          <w:sz w:val="24"/>
          <w:szCs w:val="24"/>
        </w:rPr>
      </w:pPr>
      <w:r>
        <w:rPr>
          <w:rFonts w:ascii="宋体" w:hAnsi="宋体" w:eastAsia="宋体" w:cs="宋体"/>
          <w:spacing w:val="-10"/>
          <w:sz w:val="24"/>
          <w:szCs w:val="24"/>
        </w:rPr>
        <w:t>入侵。</w:t>
      </w:r>
    </w:p>
    <w:p>
      <w:pPr>
        <w:spacing w:before="181" w:line="360" w:lineRule="auto"/>
        <w:ind w:left="31" w:right="121" w:firstLine="487"/>
        <w:jc w:val="both"/>
        <w:rPr>
          <w:rFonts w:ascii="宋体" w:hAnsi="宋体" w:eastAsia="宋体" w:cs="宋体"/>
          <w:sz w:val="24"/>
          <w:szCs w:val="24"/>
        </w:rPr>
      </w:pPr>
      <w:r>
        <w:rPr>
          <w:rFonts w:ascii="宋体" w:hAnsi="宋体" w:eastAsia="宋体" w:cs="宋体"/>
          <w:spacing w:val="-3"/>
          <w:sz w:val="24"/>
          <w:szCs w:val="24"/>
        </w:rPr>
        <w:t>群落中藤本植物极少，常见的藤本植物有钝萼铁线莲</w:t>
      </w:r>
      <w:r>
        <w:rPr>
          <w:rFonts w:ascii="宋体" w:hAnsi="宋体" w:eastAsia="宋体" w:cs="宋体"/>
          <w:spacing w:val="-26"/>
          <w:sz w:val="24"/>
          <w:szCs w:val="24"/>
        </w:rPr>
        <w:t xml:space="preserve"> </w:t>
      </w:r>
      <w:r>
        <w:rPr>
          <w:rFonts w:ascii="Times New Roman" w:hAnsi="Times New Roman" w:eastAsia="Times New Roman" w:cs="Times New Roman"/>
          <w:i/>
          <w:iCs/>
          <w:spacing w:val="-3"/>
          <w:sz w:val="24"/>
          <w:szCs w:val="24"/>
        </w:rPr>
        <w:t>Clematis</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3"/>
          <w:sz w:val="24"/>
          <w:szCs w:val="24"/>
        </w:rPr>
        <w:t>peterae</w:t>
      </w:r>
      <w:r>
        <w:rPr>
          <w:rFonts w:ascii="宋体" w:hAnsi="宋体" w:eastAsia="宋体" w:cs="宋体"/>
          <w:spacing w:val="-3"/>
          <w:sz w:val="24"/>
          <w:szCs w:val="24"/>
        </w:rPr>
        <w:t xml:space="preserve">、黑珠 </w:t>
      </w:r>
      <w:r>
        <w:rPr>
          <w:rFonts w:ascii="宋体" w:hAnsi="宋体" w:eastAsia="宋体" w:cs="宋体"/>
          <w:sz w:val="24"/>
          <w:szCs w:val="24"/>
        </w:rPr>
        <w:t>芽薯蓣</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Dioscoreamelanophyma</w:t>
      </w:r>
      <w:r>
        <w:rPr>
          <w:rFonts w:ascii="宋体" w:hAnsi="宋体" w:eastAsia="宋体" w:cs="宋体"/>
          <w:sz w:val="24"/>
          <w:szCs w:val="24"/>
        </w:rPr>
        <w:t>、矮探春</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Jasminum humile</w:t>
      </w:r>
      <w:r>
        <w:rPr>
          <w:rFonts w:ascii="宋体" w:hAnsi="宋体" w:eastAsia="宋体" w:cs="宋体"/>
          <w:spacing w:val="-1"/>
          <w:sz w:val="24"/>
          <w:szCs w:val="24"/>
        </w:rPr>
        <w:t>、拉拉藤</w:t>
      </w:r>
      <w:r>
        <w:rPr>
          <w:rFonts w:ascii="宋体" w:hAnsi="宋体" w:eastAsia="宋体" w:cs="宋体"/>
          <w:spacing w:val="-43"/>
          <w:sz w:val="24"/>
          <w:szCs w:val="24"/>
        </w:rPr>
        <w:t xml:space="preserve"> </w:t>
      </w:r>
      <w:r>
        <w:rPr>
          <w:rFonts w:ascii="Times New Roman" w:hAnsi="Times New Roman" w:eastAsia="Times New Roman" w:cs="Times New Roman"/>
          <w:i/>
          <w:iCs/>
          <w:spacing w:val="-1"/>
          <w:sz w:val="24"/>
          <w:szCs w:val="24"/>
        </w:rPr>
        <w:t xml:space="preserve">Galiumaparine  </w:t>
      </w:r>
      <w:r>
        <w:rPr>
          <w:rFonts w:ascii="Times New Roman" w:hAnsi="Times New Roman" w:eastAsia="Times New Roman" w:cs="Times New Roman"/>
          <w:spacing w:val="-1"/>
          <w:sz w:val="24"/>
          <w:szCs w:val="24"/>
        </w:rPr>
        <w:t>var.</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i/>
          <w:iCs/>
          <w:spacing w:val="-1"/>
          <w:sz w:val="24"/>
          <w:szCs w:val="24"/>
        </w:rPr>
        <w:t>echinospermum</w:t>
      </w:r>
      <w:r>
        <w:rPr>
          <w:rFonts w:ascii="宋体" w:hAnsi="宋体" w:eastAsia="宋体" w:cs="宋体"/>
          <w:spacing w:val="-1"/>
          <w:sz w:val="24"/>
          <w:szCs w:val="24"/>
        </w:rPr>
        <w:t>、青羊参</w:t>
      </w:r>
      <w:r>
        <w:rPr>
          <w:rFonts w:ascii="宋体" w:hAnsi="宋体" w:eastAsia="宋体" w:cs="宋体"/>
          <w:spacing w:val="-33"/>
          <w:sz w:val="24"/>
          <w:szCs w:val="24"/>
        </w:rPr>
        <w:t xml:space="preserve"> </w:t>
      </w:r>
      <w:r>
        <w:rPr>
          <w:rFonts w:ascii="Times New Roman" w:hAnsi="Times New Roman" w:eastAsia="Times New Roman" w:cs="Times New Roman"/>
          <w:i/>
          <w:iCs/>
          <w:spacing w:val="-1"/>
          <w:sz w:val="24"/>
          <w:szCs w:val="24"/>
        </w:rPr>
        <w:t>Cynanchum</w:t>
      </w:r>
      <w:r>
        <w:rPr>
          <w:rFonts w:ascii="Times New Roman" w:hAnsi="Times New Roman" w:eastAsia="Times New Roman" w:cs="Times New Roman"/>
          <w:i/>
          <w:iCs/>
          <w:spacing w:val="29"/>
          <w:sz w:val="24"/>
          <w:szCs w:val="24"/>
        </w:rPr>
        <w:t xml:space="preserve"> </w:t>
      </w:r>
      <w:r>
        <w:rPr>
          <w:rFonts w:ascii="Times New Roman" w:hAnsi="Times New Roman" w:eastAsia="Times New Roman" w:cs="Times New Roman"/>
          <w:i/>
          <w:iCs/>
          <w:spacing w:val="-1"/>
          <w:sz w:val="24"/>
          <w:szCs w:val="24"/>
        </w:rPr>
        <w:t>otophyllum</w:t>
      </w:r>
      <w:r>
        <w:rPr>
          <w:rFonts w:ascii="宋体" w:hAnsi="宋体" w:eastAsia="宋体" w:cs="宋体"/>
          <w:spacing w:val="-1"/>
          <w:sz w:val="24"/>
          <w:szCs w:val="24"/>
        </w:rPr>
        <w:t>、何首乌</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Fa</w:t>
      </w:r>
      <w:r>
        <w:rPr>
          <w:rFonts w:ascii="Times New Roman" w:hAnsi="Times New Roman" w:eastAsia="Times New Roman" w:cs="Times New Roman"/>
          <w:i/>
          <w:iCs/>
          <w:spacing w:val="-2"/>
          <w:sz w:val="24"/>
          <w:szCs w:val="24"/>
        </w:rPr>
        <w:t>llopia</w:t>
      </w:r>
      <w:r>
        <w:rPr>
          <w:rFonts w:ascii="Times New Roman" w:hAnsi="Times New Roman" w:eastAsia="Times New Roman" w:cs="Times New Roman"/>
          <w:i/>
          <w:iCs/>
          <w:spacing w:val="27"/>
          <w:sz w:val="24"/>
          <w:szCs w:val="24"/>
        </w:rPr>
        <w:t xml:space="preserve"> </w:t>
      </w:r>
      <w:r>
        <w:rPr>
          <w:rFonts w:ascii="Times New Roman" w:hAnsi="Times New Roman" w:eastAsia="Times New Roman" w:cs="Times New Roman"/>
          <w:i/>
          <w:iCs/>
          <w:spacing w:val="-2"/>
          <w:sz w:val="24"/>
          <w:szCs w:val="24"/>
        </w:rPr>
        <w:t>multiflora</w:t>
      </w:r>
      <w:r>
        <w:rPr>
          <w:rFonts w:ascii="宋体" w:hAnsi="宋体" w:eastAsia="宋体" w:cs="宋体"/>
          <w:spacing w:val="-2"/>
          <w:sz w:val="24"/>
          <w:szCs w:val="24"/>
        </w:rPr>
        <w:t>、</w:t>
      </w:r>
    </w:p>
    <w:p>
      <w:pPr>
        <w:spacing w:line="212" w:lineRule="auto"/>
        <w:ind w:left="46"/>
        <w:rPr>
          <w:rFonts w:ascii="宋体" w:hAnsi="宋体" w:eastAsia="宋体" w:cs="宋体"/>
          <w:sz w:val="24"/>
          <w:szCs w:val="24"/>
        </w:rPr>
      </w:pPr>
      <w:r>
        <w:rPr>
          <w:rFonts w:ascii="宋体" w:hAnsi="宋体" w:eastAsia="宋体" w:cs="宋体"/>
          <w:spacing w:val="-1"/>
          <w:sz w:val="24"/>
          <w:szCs w:val="24"/>
        </w:rPr>
        <w:t>马甲菝葜</w:t>
      </w:r>
      <w:r>
        <w:rPr>
          <w:rFonts w:ascii="宋体" w:hAnsi="宋体" w:eastAsia="宋体" w:cs="宋体"/>
          <w:spacing w:val="-43"/>
          <w:sz w:val="24"/>
          <w:szCs w:val="24"/>
        </w:rPr>
        <w:t xml:space="preserve"> </w:t>
      </w:r>
      <w:r>
        <w:rPr>
          <w:rFonts w:ascii="Times New Roman" w:hAnsi="Times New Roman" w:eastAsia="Times New Roman" w:cs="Times New Roman"/>
          <w:i/>
          <w:iCs/>
          <w:spacing w:val="-1"/>
          <w:sz w:val="24"/>
          <w:szCs w:val="24"/>
        </w:rPr>
        <w:t xml:space="preserve">Smilax lanceifolia </w:t>
      </w:r>
      <w:r>
        <w:rPr>
          <w:rFonts w:ascii="宋体" w:hAnsi="宋体" w:eastAsia="宋体" w:cs="宋体"/>
          <w:spacing w:val="-1"/>
          <w:sz w:val="24"/>
          <w:szCs w:val="24"/>
        </w:rPr>
        <w:t>等。此外，未见附生植物。</w:t>
      </w:r>
    </w:p>
    <w:p>
      <w:pPr>
        <w:spacing w:before="192" w:line="233" w:lineRule="auto"/>
        <w:ind w:left="523"/>
        <w:rPr>
          <w:rFonts w:ascii="宋体" w:hAnsi="宋体" w:eastAsia="宋体" w:cs="宋体"/>
          <w:sz w:val="24"/>
          <w:szCs w:val="24"/>
        </w:rPr>
      </w:pPr>
      <w:r>
        <w:rPr>
          <w:rFonts w:ascii="宋体" w:hAnsi="宋体" w:eastAsia="宋体" w:cs="宋体"/>
          <w:spacing w:val="6"/>
          <w:sz w:val="24"/>
          <w:szCs w:val="24"/>
          <w14:textOutline w14:w="4354" w14:cap="flat" w14:cmpd="sng">
            <w14:solidFill>
              <w14:srgbClr w14:val="000000"/>
            </w14:solidFill>
            <w14:prstDash w14:val="solid"/>
            <w14:miter w14:val="0"/>
          </w14:textOutline>
        </w:rPr>
        <w:t>车桑子灌丛（</w:t>
      </w:r>
      <w:r>
        <w:rPr>
          <w:rFonts w:ascii="Times New Roman" w:hAnsi="Times New Roman" w:eastAsia="Times New Roman" w:cs="Times New Roman"/>
          <w:b/>
          <w:bCs/>
          <w:sz w:val="24"/>
          <w:szCs w:val="24"/>
        </w:rPr>
        <w:t>Form</w:t>
      </w:r>
      <w:r>
        <w:rPr>
          <w:rFonts w:ascii="Times New Roman" w:hAnsi="Times New Roman" w:eastAsia="Times New Roman" w:cs="Times New Roman"/>
          <w:b/>
          <w:bCs/>
          <w:spacing w:val="6"/>
          <w:sz w:val="24"/>
          <w:szCs w:val="24"/>
        </w:rPr>
        <w:t>.</w:t>
      </w:r>
      <w:r>
        <w:rPr>
          <w:rFonts w:ascii="Times New Roman" w:hAnsi="Times New Roman" w:eastAsia="Times New Roman" w:cs="Times New Roman"/>
          <w:b/>
          <w:bCs/>
          <w:i/>
          <w:iCs/>
          <w:sz w:val="24"/>
          <w:szCs w:val="24"/>
        </w:rPr>
        <w:t>Dodonaea</w:t>
      </w:r>
      <w:r>
        <w:rPr>
          <w:rFonts w:ascii="Times New Roman" w:hAnsi="Times New Roman" w:eastAsia="Times New Roman" w:cs="Times New Roman"/>
          <w:b/>
          <w:bCs/>
          <w:i/>
          <w:iCs/>
          <w:spacing w:val="6"/>
          <w:sz w:val="24"/>
          <w:szCs w:val="24"/>
        </w:rPr>
        <w:t xml:space="preserve"> </w:t>
      </w:r>
      <w:r>
        <w:rPr>
          <w:rFonts w:ascii="Times New Roman" w:hAnsi="Times New Roman" w:eastAsia="Times New Roman" w:cs="Times New Roman"/>
          <w:b/>
          <w:bCs/>
          <w:i/>
          <w:iCs/>
          <w:sz w:val="24"/>
          <w:szCs w:val="24"/>
        </w:rPr>
        <w:t>viscosa</w:t>
      </w:r>
      <w:r>
        <w:rPr>
          <w:rFonts w:ascii="宋体" w:hAnsi="宋体" w:eastAsia="宋体" w:cs="宋体"/>
          <w:spacing w:val="-64"/>
          <w:w w:val="99"/>
          <w:sz w:val="24"/>
          <w:szCs w:val="24"/>
          <w14:textOutline w14:w="4354" w14:cap="flat" w14:cmpd="sng">
            <w14:solidFill>
              <w14:srgbClr w14:val="000000"/>
            </w14:solidFill>
            <w14:prstDash w14:val="solid"/>
            <w14:miter w14:val="0"/>
          </w14:textOutline>
        </w:rPr>
        <w:t>）：</w:t>
      </w:r>
    </w:p>
    <w:p>
      <w:pPr>
        <w:spacing w:before="165" w:line="468" w:lineRule="exact"/>
        <w:ind w:left="521"/>
        <w:rPr>
          <w:rFonts w:ascii="宋体" w:hAnsi="宋体" w:eastAsia="宋体" w:cs="宋体"/>
          <w:sz w:val="24"/>
          <w:szCs w:val="24"/>
        </w:rPr>
      </w:pPr>
      <w:r>
        <w:rPr>
          <w:rFonts w:ascii="宋体" w:hAnsi="宋体" w:eastAsia="宋体" w:cs="宋体"/>
          <w:position w:val="16"/>
          <w:sz w:val="24"/>
          <w:szCs w:val="24"/>
        </w:rPr>
        <w:t>车桑子</w:t>
      </w:r>
      <w:r>
        <w:rPr>
          <w:rFonts w:ascii="宋体" w:hAnsi="宋体" w:eastAsia="宋体" w:cs="宋体"/>
          <w:spacing w:val="-67"/>
          <w:position w:val="16"/>
          <w:sz w:val="24"/>
          <w:szCs w:val="24"/>
        </w:rPr>
        <w:t xml:space="preserve"> </w:t>
      </w:r>
      <w:r>
        <w:rPr>
          <w:rFonts w:ascii="Times New Roman" w:hAnsi="Times New Roman" w:eastAsia="Times New Roman" w:cs="Times New Roman"/>
          <w:i/>
          <w:iCs/>
          <w:position w:val="16"/>
          <w:sz w:val="24"/>
          <w:szCs w:val="24"/>
        </w:rPr>
        <w:t xml:space="preserve">Dodonaea viscosa </w:t>
      </w:r>
      <w:r>
        <w:rPr>
          <w:rFonts w:ascii="宋体" w:hAnsi="宋体" w:eastAsia="宋体" w:cs="宋体"/>
          <w:position w:val="16"/>
          <w:sz w:val="24"/>
          <w:szCs w:val="24"/>
        </w:rPr>
        <w:t>是广布于云南干热河谷及滇中高原的</w:t>
      </w:r>
      <w:r>
        <w:rPr>
          <w:rFonts w:ascii="宋体" w:hAnsi="宋体" w:eastAsia="宋体" w:cs="宋体"/>
          <w:spacing w:val="-1"/>
          <w:position w:val="16"/>
          <w:sz w:val="24"/>
          <w:szCs w:val="24"/>
        </w:rPr>
        <w:t>旱生物种，</w:t>
      </w:r>
    </w:p>
    <w:p>
      <w:pPr>
        <w:spacing w:before="2" w:line="218" w:lineRule="auto"/>
        <w:ind w:left="41"/>
        <w:rPr>
          <w:rFonts w:ascii="宋体" w:hAnsi="宋体" w:eastAsia="宋体" w:cs="宋体"/>
          <w:sz w:val="24"/>
          <w:szCs w:val="24"/>
        </w:rPr>
      </w:pPr>
      <w:r>
        <w:rPr>
          <w:rFonts w:ascii="宋体" w:hAnsi="宋体" w:eastAsia="宋体" w:cs="宋体"/>
          <w:sz w:val="24"/>
          <w:szCs w:val="24"/>
        </w:rPr>
        <w:t>生于较为干旱的山坡、旷地、沙滩、陡崖或石灰岩山地上，常聚</w:t>
      </w:r>
      <w:r>
        <w:rPr>
          <w:rFonts w:ascii="宋体" w:hAnsi="宋体" w:eastAsia="宋体" w:cs="宋体"/>
          <w:spacing w:val="-1"/>
          <w:sz w:val="24"/>
          <w:szCs w:val="24"/>
        </w:rPr>
        <w:t>成群落，成片</w:t>
      </w:r>
    </w:p>
    <w:p>
      <w:pPr>
        <w:spacing w:line="218" w:lineRule="auto"/>
        <w:rPr>
          <w:rFonts w:ascii="宋体" w:hAnsi="宋体" w:eastAsia="宋体" w:cs="宋体"/>
          <w:sz w:val="24"/>
          <w:szCs w:val="24"/>
        </w:rPr>
        <w:sectPr>
          <w:headerReference r:id="rId274" w:type="default"/>
          <w:footerReference r:id="rId275" w:type="default"/>
          <w:pgSz w:w="11907" w:h="16839"/>
          <w:pgMar w:top="1156" w:right="1593" w:bottom="1374" w:left="1770" w:header="881" w:footer="1210" w:gutter="0"/>
        </w:sectPr>
      </w:pPr>
    </w:p>
    <w:p>
      <w:pPr>
        <w:spacing w:line="317" w:lineRule="auto"/>
        <w:rPr>
          <w:rFonts w:ascii="Arial"/>
          <w:sz w:val="21"/>
        </w:rPr>
      </w:pPr>
    </w:p>
    <w:p>
      <w:pPr>
        <w:spacing w:before="78" w:line="468" w:lineRule="exact"/>
        <w:ind w:left="42"/>
        <w:rPr>
          <w:rFonts w:ascii="宋体" w:hAnsi="宋体" w:eastAsia="宋体" w:cs="宋体"/>
          <w:sz w:val="24"/>
          <w:szCs w:val="24"/>
        </w:rPr>
      </w:pPr>
      <w:r>
        <w:rPr>
          <w:rFonts w:ascii="宋体" w:hAnsi="宋体" w:eastAsia="宋体" w:cs="宋体"/>
          <w:spacing w:val="-1"/>
          <w:position w:val="17"/>
          <w:sz w:val="24"/>
          <w:szCs w:val="24"/>
        </w:rPr>
        <w:t>分布，也能与其他物种形成较为优势的群落，或常见于</w:t>
      </w:r>
      <w:r>
        <w:rPr>
          <w:rFonts w:ascii="宋体" w:hAnsi="宋体" w:eastAsia="宋体" w:cs="宋体"/>
          <w:spacing w:val="-2"/>
          <w:position w:val="17"/>
          <w:sz w:val="24"/>
          <w:szCs w:val="24"/>
        </w:rPr>
        <w:t>各干热河谷的群落中。</w:t>
      </w:r>
    </w:p>
    <w:p>
      <w:pPr>
        <w:spacing w:before="1" w:line="218" w:lineRule="auto"/>
        <w:ind w:left="66"/>
        <w:rPr>
          <w:rFonts w:ascii="宋体" w:hAnsi="宋体" w:eastAsia="宋体" w:cs="宋体"/>
          <w:sz w:val="24"/>
          <w:szCs w:val="24"/>
        </w:rPr>
      </w:pPr>
      <w:r>
        <w:rPr>
          <w:rFonts w:ascii="宋体" w:hAnsi="宋体" w:eastAsia="宋体" w:cs="宋体"/>
          <w:spacing w:val="-1"/>
          <w:sz w:val="24"/>
          <w:szCs w:val="24"/>
        </w:rPr>
        <w:t>以车桑子为建群种或共优种的灌丛在云南各干热河谷极为常见，尤其</w:t>
      </w:r>
      <w:r>
        <w:rPr>
          <w:rFonts w:ascii="宋体" w:hAnsi="宋体" w:eastAsia="宋体" w:cs="宋体"/>
          <w:spacing w:val="-2"/>
          <w:sz w:val="24"/>
          <w:szCs w:val="24"/>
        </w:rPr>
        <w:t>在金沙江</w:t>
      </w:r>
    </w:p>
    <w:p>
      <w:pPr>
        <w:spacing w:before="183" w:line="212" w:lineRule="auto"/>
        <w:ind w:left="38"/>
        <w:rPr>
          <w:rFonts w:ascii="Times New Roman" w:hAnsi="Times New Roman" w:eastAsia="Times New Roman" w:cs="Times New Roman"/>
          <w:sz w:val="24"/>
          <w:szCs w:val="24"/>
        </w:rPr>
      </w:pPr>
      <w:r>
        <w:rPr>
          <w:rFonts w:ascii="宋体" w:hAnsi="宋体" w:eastAsia="宋体" w:cs="宋体"/>
          <w:sz w:val="24"/>
          <w:szCs w:val="24"/>
        </w:rPr>
        <w:t>及其支流两岸山坡上分布极为广泛，常成片分布，或与余甘子</w:t>
      </w:r>
      <w:r>
        <w:rPr>
          <w:rFonts w:ascii="宋体" w:hAnsi="宋体" w:eastAsia="宋体" w:cs="宋体"/>
          <w:spacing w:val="-64"/>
          <w:sz w:val="24"/>
          <w:szCs w:val="24"/>
        </w:rPr>
        <w:t xml:space="preserve"> </w:t>
      </w:r>
      <w:r>
        <w:rPr>
          <w:rFonts w:ascii="Times New Roman" w:hAnsi="Times New Roman" w:eastAsia="Times New Roman" w:cs="Times New Roman"/>
          <w:i/>
          <w:iCs/>
          <w:sz w:val="24"/>
          <w:szCs w:val="24"/>
        </w:rPr>
        <w:t>Phylla</w:t>
      </w:r>
      <w:r>
        <w:rPr>
          <w:rFonts w:ascii="Times New Roman" w:hAnsi="Times New Roman" w:eastAsia="Times New Roman" w:cs="Times New Roman"/>
          <w:i/>
          <w:iCs/>
          <w:spacing w:val="-1"/>
          <w:sz w:val="24"/>
          <w:szCs w:val="24"/>
        </w:rPr>
        <w:t>nthus</w:t>
      </w:r>
    </w:p>
    <w:p>
      <w:pPr>
        <w:spacing w:before="192" w:line="360" w:lineRule="auto"/>
        <w:ind w:left="38" w:right="62" w:hanging="1"/>
        <w:rPr>
          <w:rFonts w:ascii="宋体" w:hAnsi="宋体" w:eastAsia="宋体" w:cs="宋体"/>
          <w:sz w:val="24"/>
          <w:szCs w:val="24"/>
        </w:rPr>
      </w:pPr>
      <w:r>
        <w:rPr>
          <w:rFonts w:ascii="Times New Roman" w:hAnsi="Times New Roman" w:eastAsia="Times New Roman" w:cs="Times New Roman"/>
          <w:i/>
          <w:iCs/>
          <w:sz w:val="24"/>
          <w:szCs w:val="24"/>
        </w:rPr>
        <w:t>emblica</w:t>
      </w:r>
      <w:r>
        <w:rPr>
          <w:rFonts w:ascii="宋体" w:hAnsi="宋体" w:eastAsia="宋体" w:cs="宋体"/>
          <w:spacing w:val="1"/>
          <w:sz w:val="24"/>
          <w:szCs w:val="24"/>
        </w:rPr>
        <w:t>、疏序黄荆</w:t>
      </w:r>
      <w:r>
        <w:rPr>
          <w:rFonts w:ascii="宋体" w:hAnsi="宋体" w:eastAsia="宋体" w:cs="宋体"/>
          <w:spacing w:val="-30"/>
          <w:sz w:val="24"/>
          <w:szCs w:val="24"/>
        </w:rPr>
        <w:t xml:space="preserve"> </w:t>
      </w:r>
      <w:r>
        <w:rPr>
          <w:rFonts w:ascii="Times New Roman" w:hAnsi="Times New Roman" w:eastAsia="Times New Roman" w:cs="Times New Roman"/>
          <w:i/>
          <w:iCs/>
          <w:sz w:val="24"/>
          <w:szCs w:val="24"/>
        </w:rPr>
        <w:t>Vitex</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negundo</w:t>
      </w:r>
      <w:r>
        <w:rPr>
          <w:rFonts w:ascii="Times New Roman" w:hAnsi="Times New Roman" w:eastAsia="Times New Roman" w:cs="Times New Roman"/>
          <w:sz w:val="24"/>
          <w:szCs w:val="24"/>
        </w:rPr>
        <w:t>f</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i/>
          <w:iCs/>
          <w:sz w:val="24"/>
          <w:szCs w:val="24"/>
        </w:rPr>
        <w:t>laxipaniculata</w:t>
      </w:r>
      <w:r>
        <w:rPr>
          <w:rFonts w:ascii="宋体" w:hAnsi="宋体" w:eastAsia="宋体" w:cs="宋体"/>
          <w:spacing w:val="1"/>
          <w:sz w:val="24"/>
          <w:szCs w:val="24"/>
        </w:rPr>
        <w:t>、龙舌兰</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Agave</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americana</w:t>
      </w:r>
      <w:r>
        <w:rPr>
          <w:rFonts w:ascii="Times New Roman" w:hAnsi="Times New Roman" w:eastAsia="Times New Roman" w:cs="Times New Roman"/>
          <w:i/>
          <w:iCs/>
          <w:spacing w:val="1"/>
          <w:sz w:val="24"/>
          <w:szCs w:val="24"/>
        </w:rPr>
        <w:t xml:space="preserve"> </w:t>
      </w:r>
      <w:r>
        <w:rPr>
          <w:rFonts w:ascii="宋体" w:hAnsi="宋体" w:eastAsia="宋体" w:cs="宋体"/>
          <w:spacing w:val="1"/>
          <w:sz w:val="24"/>
          <w:szCs w:val="24"/>
        </w:rPr>
        <w:t>等物</w:t>
      </w:r>
      <w:r>
        <w:rPr>
          <w:rFonts w:ascii="宋体" w:hAnsi="宋体" w:eastAsia="宋体" w:cs="宋体"/>
          <w:sz w:val="24"/>
          <w:szCs w:val="24"/>
        </w:rPr>
        <w:t xml:space="preserve"> 种形成优势群落。在评价区虽然海拔较高，河谷已经</w:t>
      </w:r>
      <w:r>
        <w:rPr>
          <w:rFonts w:ascii="宋体" w:hAnsi="宋体" w:eastAsia="宋体" w:cs="宋体"/>
          <w:spacing w:val="-1"/>
          <w:sz w:val="24"/>
          <w:szCs w:val="24"/>
        </w:rPr>
        <w:t>不是典型的干热河谷，但</w:t>
      </w:r>
      <w:r>
        <w:rPr>
          <w:rFonts w:ascii="宋体" w:hAnsi="宋体" w:eastAsia="宋体" w:cs="宋体"/>
          <w:sz w:val="24"/>
          <w:szCs w:val="24"/>
        </w:rPr>
        <w:t xml:space="preserve">  由于人类破坏等因素，当地环境已发生较大的改变，</w:t>
      </w:r>
      <w:r>
        <w:rPr>
          <w:rFonts w:ascii="宋体" w:hAnsi="宋体" w:eastAsia="宋体" w:cs="宋体"/>
          <w:spacing w:val="-1"/>
          <w:sz w:val="24"/>
          <w:szCs w:val="24"/>
        </w:rPr>
        <w:t>以车桑子为建群种的群落</w:t>
      </w:r>
    </w:p>
    <w:p>
      <w:pPr>
        <w:spacing w:before="1" w:line="218" w:lineRule="auto"/>
        <w:ind w:left="60"/>
        <w:rPr>
          <w:rFonts w:ascii="宋体" w:hAnsi="宋体" w:eastAsia="宋体" w:cs="宋体"/>
          <w:sz w:val="24"/>
          <w:szCs w:val="24"/>
        </w:rPr>
      </w:pPr>
      <w:r>
        <w:rPr>
          <w:rFonts w:ascii="宋体" w:hAnsi="宋体" w:eastAsia="宋体" w:cs="宋体"/>
          <w:spacing w:val="-1"/>
          <w:sz w:val="24"/>
          <w:szCs w:val="24"/>
        </w:rPr>
        <w:t>出现于河谷两岸较为陡峭的山坡，这些地方人为干扰非常严重，经常遭受放</w:t>
      </w:r>
    </w:p>
    <w:p>
      <w:pPr>
        <w:spacing w:before="183" w:line="468" w:lineRule="exact"/>
        <w:ind w:left="40"/>
        <w:rPr>
          <w:rFonts w:ascii="宋体" w:hAnsi="宋体" w:eastAsia="宋体" w:cs="宋体"/>
          <w:sz w:val="24"/>
          <w:szCs w:val="24"/>
        </w:rPr>
      </w:pPr>
      <w:r>
        <w:rPr>
          <w:rFonts w:ascii="宋体" w:hAnsi="宋体" w:eastAsia="宋体" w:cs="宋体"/>
          <w:spacing w:val="-4"/>
          <w:position w:val="17"/>
          <w:sz w:val="24"/>
          <w:szCs w:val="24"/>
        </w:rPr>
        <w:t>牧、火烧、砍伐等威胁，物种多样性消失殆尽，只形成了一个群落： 车桑子群</w:t>
      </w:r>
    </w:p>
    <w:p>
      <w:pPr>
        <w:spacing w:before="1" w:line="234" w:lineRule="auto"/>
        <w:ind w:left="41"/>
        <w:rPr>
          <w:rFonts w:ascii="宋体" w:hAnsi="宋体" w:eastAsia="宋体" w:cs="宋体"/>
          <w:sz w:val="24"/>
          <w:szCs w:val="24"/>
        </w:rPr>
      </w:pPr>
      <w:r>
        <w:rPr>
          <w:rFonts w:ascii="宋体" w:hAnsi="宋体" w:eastAsia="宋体" w:cs="宋体"/>
          <w:spacing w:val="-4"/>
          <w:sz w:val="24"/>
          <w:szCs w:val="24"/>
        </w:rPr>
        <w:t>落（</w:t>
      </w:r>
      <w:r>
        <w:rPr>
          <w:rFonts w:ascii="Times New Roman" w:hAnsi="Times New Roman" w:eastAsia="Times New Roman" w:cs="Times New Roman"/>
          <w:i/>
          <w:iCs/>
          <w:spacing w:val="-4"/>
          <w:sz w:val="24"/>
          <w:szCs w:val="24"/>
        </w:rPr>
        <w:t xml:space="preserve">Dodonaea viscosa </w:t>
      </w:r>
      <w:r>
        <w:rPr>
          <w:rFonts w:ascii="Times New Roman" w:hAnsi="Times New Roman" w:eastAsia="Times New Roman" w:cs="Times New Roman"/>
          <w:spacing w:val="-4"/>
          <w:sz w:val="24"/>
          <w:szCs w:val="24"/>
        </w:rPr>
        <w:t>Comm.</w:t>
      </w:r>
      <w:r>
        <w:rPr>
          <w:rFonts w:ascii="宋体" w:hAnsi="宋体" w:eastAsia="宋体" w:cs="宋体"/>
          <w:spacing w:val="-4"/>
          <w:sz w:val="24"/>
          <w:szCs w:val="24"/>
        </w:rPr>
        <w:t>）。</w:t>
      </w:r>
    </w:p>
    <w:p>
      <w:pPr>
        <w:spacing w:before="163" w:line="360" w:lineRule="auto"/>
        <w:ind w:left="42" w:right="177" w:firstLine="480"/>
        <w:rPr>
          <w:rFonts w:ascii="宋体" w:hAnsi="宋体" w:eastAsia="宋体" w:cs="宋体"/>
          <w:sz w:val="24"/>
          <w:szCs w:val="24"/>
        </w:rPr>
      </w:pPr>
      <w:r>
        <w:rPr>
          <w:rFonts w:ascii="宋体" w:hAnsi="宋体" w:eastAsia="宋体" w:cs="宋体"/>
          <w:spacing w:val="-1"/>
          <w:sz w:val="24"/>
          <w:szCs w:val="24"/>
        </w:rPr>
        <w:t>该群落分布极为广泛，在云南各大河谷多有分布，在滇北金沙江河谷中也</w:t>
      </w:r>
      <w:r>
        <w:rPr>
          <w:rFonts w:ascii="宋体" w:hAnsi="宋体" w:eastAsia="宋体" w:cs="宋体"/>
          <w:spacing w:val="3"/>
          <w:sz w:val="24"/>
          <w:szCs w:val="24"/>
        </w:rPr>
        <w:t xml:space="preserve"> </w:t>
      </w:r>
      <w:r>
        <w:rPr>
          <w:rFonts w:ascii="宋体" w:hAnsi="宋体" w:eastAsia="宋体" w:cs="宋体"/>
          <w:sz w:val="24"/>
          <w:szCs w:val="24"/>
        </w:rPr>
        <w:t>极为常见。车桑子在评价区随处可见，但形成</w:t>
      </w:r>
      <w:r>
        <w:rPr>
          <w:rFonts w:ascii="宋体" w:hAnsi="宋体" w:eastAsia="宋体" w:cs="宋体"/>
          <w:spacing w:val="-1"/>
          <w:sz w:val="24"/>
          <w:szCs w:val="24"/>
        </w:rPr>
        <w:t>的群落仅零星分布于桂花河两侧</w:t>
      </w:r>
    </w:p>
    <w:p>
      <w:pPr>
        <w:spacing w:line="220" w:lineRule="auto"/>
        <w:ind w:left="59"/>
        <w:rPr>
          <w:rFonts w:ascii="宋体" w:hAnsi="宋体" w:eastAsia="宋体" w:cs="宋体"/>
          <w:sz w:val="24"/>
          <w:szCs w:val="24"/>
        </w:rPr>
      </w:pPr>
      <w:r>
        <w:rPr>
          <w:rFonts w:ascii="宋体" w:hAnsi="宋体" w:eastAsia="宋体" w:cs="宋体"/>
          <w:spacing w:val="-9"/>
          <w:sz w:val="24"/>
          <w:szCs w:val="24"/>
        </w:rPr>
        <w:t>的陡峭山坡上。</w:t>
      </w:r>
    </w:p>
    <w:p>
      <w:pPr>
        <w:spacing w:before="182" w:line="219" w:lineRule="auto"/>
        <w:ind w:left="523"/>
        <w:rPr>
          <w:rFonts w:ascii="宋体" w:hAnsi="宋体" w:eastAsia="宋体" w:cs="宋体"/>
          <w:sz w:val="24"/>
          <w:szCs w:val="24"/>
        </w:rPr>
      </w:pPr>
      <w:r>
        <w:rPr>
          <w:rFonts w:ascii="宋体" w:hAnsi="宋体" w:eastAsia="宋体" w:cs="宋体"/>
          <w:spacing w:val="-1"/>
          <w:sz w:val="24"/>
          <w:szCs w:val="24"/>
        </w:rPr>
        <w:t>该群落最显著的特点是外貌极为整齐，在夏天呈鲜绿色，灌木层高度为</w:t>
      </w:r>
    </w:p>
    <w:p>
      <w:pPr>
        <w:spacing w:before="183" w:line="360" w:lineRule="auto"/>
        <w:ind w:left="24" w:right="79" w:firstLine="33"/>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1~2m</w:t>
      </w:r>
      <w:r>
        <w:rPr>
          <w:rFonts w:ascii="宋体" w:hAnsi="宋体" w:eastAsia="宋体" w:cs="宋体"/>
          <w:spacing w:val="-6"/>
          <w:sz w:val="24"/>
          <w:szCs w:val="24"/>
        </w:rPr>
        <w:t>，层盖度在</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90%</w:t>
      </w:r>
      <w:r>
        <w:rPr>
          <w:rFonts w:ascii="宋体" w:hAnsi="宋体" w:eastAsia="宋体" w:cs="宋体"/>
          <w:spacing w:val="-6"/>
          <w:sz w:val="24"/>
          <w:szCs w:val="24"/>
        </w:rPr>
        <w:t>以上。物种较少，</w:t>
      </w:r>
      <w:r>
        <w:rPr>
          <w:rFonts w:ascii="宋体" w:hAnsi="宋体" w:eastAsia="宋体" w:cs="宋体"/>
          <w:spacing w:val="64"/>
          <w:sz w:val="24"/>
          <w:szCs w:val="24"/>
        </w:rPr>
        <w:t xml:space="preserve"> </w:t>
      </w:r>
      <w:r>
        <w:rPr>
          <w:rFonts w:ascii="宋体" w:hAnsi="宋体" w:eastAsia="宋体" w:cs="宋体"/>
          <w:spacing w:val="-6"/>
          <w:sz w:val="24"/>
          <w:szCs w:val="24"/>
        </w:rPr>
        <w:t>建群种以</w:t>
      </w:r>
      <w:r>
        <w:rPr>
          <w:rFonts w:ascii="宋体" w:hAnsi="宋体" w:eastAsia="宋体" w:cs="宋体"/>
          <w:spacing w:val="-7"/>
          <w:sz w:val="24"/>
          <w:szCs w:val="24"/>
        </w:rPr>
        <w:t>车桑子最为优势，其他伴生灌</w:t>
      </w:r>
      <w:r>
        <w:rPr>
          <w:rFonts w:ascii="宋体" w:hAnsi="宋体" w:eastAsia="宋体" w:cs="宋体"/>
          <w:sz w:val="24"/>
          <w:szCs w:val="24"/>
        </w:rPr>
        <w:t xml:space="preserve"> 木较少，仅见有火棘</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Pyracantha</w:t>
      </w:r>
      <w:r>
        <w:rPr>
          <w:rFonts w:ascii="Times New Roman" w:hAnsi="Times New Roman" w:eastAsia="Times New Roman" w:cs="Times New Roman"/>
          <w:i/>
          <w:iCs/>
          <w:spacing w:val="-43"/>
          <w:sz w:val="24"/>
          <w:szCs w:val="24"/>
        </w:rPr>
        <w:t xml:space="preserve"> </w:t>
      </w:r>
      <w:r>
        <w:rPr>
          <w:rFonts w:ascii="Times New Roman" w:hAnsi="Times New Roman" w:eastAsia="Times New Roman" w:cs="Times New Roman"/>
          <w:i/>
          <w:iCs/>
          <w:sz w:val="24"/>
          <w:szCs w:val="24"/>
        </w:rPr>
        <w:t>fortuneana</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、白刺花</w:t>
      </w:r>
      <w:r>
        <w:rPr>
          <w:rFonts w:ascii="宋体" w:hAnsi="宋体" w:eastAsia="宋体" w:cs="宋体"/>
          <w:spacing w:val="-58"/>
          <w:sz w:val="24"/>
          <w:szCs w:val="24"/>
        </w:rPr>
        <w:t xml:space="preserve"> </w:t>
      </w:r>
      <w:r>
        <w:rPr>
          <w:rFonts w:ascii="Times New Roman" w:hAnsi="Times New Roman" w:eastAsia="Times New Roman" w:cs="Times New Roman"/>
          <w:i/>
          <w:iCs/>
          <w:sz w:val="24"/>
          <w:szCs w:val="24"/>
        </w:rPr>
        <w:t>Sophora davidii</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、帚</w:t>
      </w:r>
      <w:r>
        <w:rPr>
          <w:rFonts w:ascii="宋体" w:hAnsi="宋体" w:eastAsia="宋体" w:cs="宋体"/>
          <w:spacing w:val="-1"/>
          <w:sz w:val="24"/>
          <w:szCs w:val="24"/>
        </w:rPr>
        <w:t>枝鼠李</w:t>
      </w:r>
      <w:r>
        <w:rPr>
          <w:rFonts w:ascii="宋体" w:hAnsi="宋体" w:eastAsia="宋体" w:cs="宋体"/>
          <w:sz w:val="24"/>
          <w:szCs w:val="24"/>
        </w:rPr>
        <w:t xml:space="preserve"> </w:t>
      </w:r>
      <w:r>
        <w:rPr>
          <w:rFonts w:ascii="Times New Roman" w:hAnsi="Times New Roman" w:eastAsia="Times New Roman" w:cs="Times New Roman"/>
          <w:i/>
          <w:iCs/>
          <w:spacing w:val="-1"/>
          <w:sz w:val="24"/>
          <w:szCs w:val="24"/>
        </w:rPr>
        <w:t>Rhamnus virgata</w:t>
      </w:r>
      <w:r>
        <w:rPr>
          <w:rFonts w:ascii="Times New Roman" w:hAnsi="Times New Roman" w:eastAsia="Times New Roman" w:cs="Times New Roman"/>
          <w:i/>
          <w:iCs/>
          <w:spacing w:val="-15"/>
          <w:sz w:val="24"/>
          <w:szCs w:val="24"/>
        </w:rPr>
        <w:t xml:space="preserve"> </w:t>
      </w:r>
      <w:r>
        <w:rPr>
          <w:rFonts w:ascii="宋体" w:hAnsi="宋体" w:eastAsia="宋体" w:cs="宋体"/>
          <w:spacing w:val="-1"/>
          <w:sz w:val="24"/>
          <w:szCs w:val="24"/>
        </w:rPr>
        <w:t>、华西小石积</w:t>
      </w:r>
      <w:r>
        <w:rPr>
          <w:rFonts w:ascii="宋体" w:hAnsi="宋体" w:eastAsia="宋体" w:cs="宋体"/>
          <w:spacing w:val="-45"/>
          <w:sz w:val="24"/>
          <w:szCs w:val="24"/>
        </w:rPr>
        <w:t xml:space="preserve"> </w:t>
      </w:r>
      <w:r>
        <w:rPr>
          <w:rFonts w:ascii="Times New Roman" w:hAnsi="Times New Roman" w:eastAsia="Times New Roman" w:cs="Times New Roman"/>
          <w:i/>
          <w:iCs/>
          <w:spacing w:val="-1"/>
          <w:sz w:val="24"/>
          <w:szCs w:val="24"/>
        </w:rPr>
        <w:t>Osteomeles schwerinae</w:t>
      </w:r>
      <w:r>
        <w:rPr>
          <w:rFonts w:ascii="宋体" w:hAnsi="宋体" w:eastAsia="宋体" w:cs="宋体"/>
          <w:spacing w:val="-1"/>
          <w:sz w:val="24"/>
          <w:szCs w:val="24"/>
        </w:rPr>
        <w:t>、云南山蚂蝗</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Desmodium</w:t>
      </w:r>
    </w:p>
    <w:p>
      <w:pPr>
        <w:spacing w:before="1" w:line="212" w:lineRule="auto"/>
        <w:ind w:left="11"/>
        <w:rPr>
          <w:rFonts w:ascii="宋体" w:hAnsi="宋体" w:eastAsia="宋体" w:cs="宋体"/>
          <w:sz w:val="24"/>
          <w:szCs w:val="24"/>
        </w:rPr>
      </w:pPr>
      <w:r>
        <w:rPr>
          <w:rFonts w:ascii="Times New Roman" w:hAnsi="Times New Roman" w:eastAsia="Times New Roman" w:cs="Times New Roman"/>
          <w:i/>
          <w:iCs/>
          <w:spacing w:val="-1"/>
          <w:sz w:val="24"/>
          <w:szCs w:val="24"/>
        </w:rPr>
        <w:t>yunnanense</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、沙针</w:t>
      </w:r>
      <w:r>
        <w:rPr>
          <w:rFonts w:ascii="宋体" w:hAnsi="宋体" w:eastAsia="宋体" w:cs="宋体"/>
          <w:spacing w:val="-46"/>
          <w:sz w:val="24"/>
          <w:szCs w:val="24"/>
        </w:rPr>
        <w:t xml:space="preserve"> </w:t>
      </w:r>
      <w:r>
        <w:rPr>
          <w:rFonts w:ascii="Times New Roman" w:hAnsi="Times New Roman" w:eastAsia="Times New Roman" w:cs="Times New Roman"/>
          <w:i/>
          <w:iCs/>
          <w:spacing w:val="-1"/>
          <w:sz w:val="24"/>
          <w:szCs w:val="24"/>
        </w:rPr>
        <w:t>Osyris quadripartita</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、野拔子</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Elsholtzia rugulo</w:t>
      </w:r>
      <w:r>
        <w:rPr>
          <w:rFonts w:ascii="Times New Roman" w:hAnsi="Times New Roman" w:eastAsia="Times New Roman" w:cs="Times New Roman"/>
          <w:i/>
          <w:iCs/>
          <w:spacing w:val="-2"/>
          <w:sz w:val="24"/>
          <w:szCs w:val="24"/>
        </w:rPr>
        <w:t>sa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、小雀花</w:t>
      </w:r>
    </w:p>
    <w:p>
      <w:pPr>
        <w:spacing w:before="192" w:line="212" w:lineRule="auto"/>
        <w:ind w:left="46"/>
        <w:rPr>
          <w:rFonts w:ascii="宋体" w:hAnsi="宋体" w:eastAsia="宋体" w:cs="宋体"/>
          <w:sz w:val="24"/>
          <w:szCs w:val="24"/>
        </w:rPr>
      </w:pPr>
      <w:r>
        <w:rPr>
          <w:rFonts w:ascii="Times New Roman" w:hAnsi="Times New Roman" w:eastAsia="Times New Roman" w:cs="Times New Roman"/>
          <w:i/>
          <w:iCs/>
          <w:spacing w:val="-1"/>
          <w:sz w:val="24"/>
          <w:szCs w:val="24"/>
        </w:rPr>
        <w:t>Campylotropis</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pacing w:val="-1"/>
          <w:sz w:val="24"/>
          <w:szCs w:val="24"/>
        </w:rPr>
        <w:t>polyantha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、牛筋条</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Dichotomanthes tristaniicarpa</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、黄花稔</w:t>
      </w:r>
    </w:p>
    <w:p>
      <w:pPr>
        <w:spacing w:before="193" w:line="212" w:lineRule="auto"/>
        <w:ind w:left="31"/>
        <w:rPr>
          <w:rFonts w:ascii="宋体" w:hAnsi="宋体" w:eastAsia="宋体" w:cs="宋体"/>
          <w:sz w:val="24"/>
          <w:szCs w:val="24"/>
        </w:rPr>
      </w:pPr>
      <w:r>
        <w:rPr>
          <w:rFonts w:ascii="Times New Roman" w:hAnsi="Times New Roman" w:eastAsia="Times New Roman" w:cs="Times New Roman"/>
          <w:i/>
          <w:iCs/>
          <w:sz w:val="24"/>
          <w:szCs w:val="24"/>
        </w:rPr>
        <w:t>Sidaszechuensis</w:t>
      </w:r>
      <w:r>
        <w:rPr>
          <w:rFonts w:ascii="Times New Roman" w:hAnsi="Times New Roman" w:eastAsia="Times New Roman" w:cs="Times New Roman"/>
          <w:i/>
          <w:iCs/>
          <w:spacing w:val="-17"/>
          <w:sz w:val="24"/>
          <w:szCs w:val="24"/>
        </w:rPr>
        <w:t xml:space="preserve"> </w:t>
      </w:r>
      <w:r>
        <w:rPr>
          <w:rFonts w:ascii="宋体" w:hAnsi="宋体" w:eastAsia="宋体" w:cs="宋体"/>
          <w:spacing w:val="1"/>
          <w:sz w:val="24"/>
          <w:szCs w:val="24"/>
        </w:rPr>
        <w:t>、密蒙花</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Buddleja</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officinalis</w:t>
      </w:r>
      <w:r>
        <w:rPr>
          <w:rFonts w:ascii="Times New Roman" w:hAnsi="Times New Roman" w:eastAsia="Times New Roman" w:cs="Times New Roman"/>
          <w:i/>
          <w:iCs/>
          <w:spacing w:val="1"/>
          <w:sz w:val="24"/>
          <w:szCs w:val="24"/>
        </w:rPr>
        <w:t xml:space="preserve"> </w:t>
      </w:r>
      <w:r>
        <w:rPr>
          <w:rFonts w:ascii="宋体" w:hAnsi="宋体" w:eastAsia="宋体" w:cs="宋体"/>
          <w:spacing w:val="1"/>
          <w:sz w:val="24"/>
          <w:szCs w:val="24"/>
        </w:rPr>
        <w:t>等。群落中的乔木幼树种类也稀</w:t>
      </w:r>
    </w:p>
    <w:p>
      <w:pPr>
        <w:spacing w:before="192" w:line="468" w:lineRule="exact"/>
        <w:ind w:left="40"/>
        <w:rPr>
          <w:rFonts w:ascii="宋体" w:hAnsi="宋体" w:eastAsia="宋体" w:cs="宋体"/>
          <w:sz w:val="24"/>
          <w:szCs w:val="24"/>
        </w:rPr>
      </w:pPr>
      <w:r>
        <w:rPr>
          <w:rFonts w:ascii="宋体" w:hAnsi="宋体" w:eastAsia="宋体" w:cs="宋体"/>
          <w:spacing w:val="-2"/>
          <w:position w:val="17"/>
          <w:sz w:val="24"/>
          <w:szCs w:val="24"/>
        </w:rPr>
        <w:t>少，</w:t>
      </w:r>
      <w:r>
        <w:rPr>
          <w:rFonts w:ascii="宋体" w:hAnsi="宋体" w:eastAsia="宋体" w:cs="宋体"/>
          <w:spacing w:val="-29"/>
          <w:position w:val="17"/>
          <w:sz w:val="24"/>
          <w:szCs w:val="24"/>
        </w:rPr>
        <w:t xml:space="preserve"> </w:t>
      </w:r>
      <w:r>
        <w:rPr>
          <w:rFonts w:ascii="宋体" w:hAnsi="宋体" w:eastAsia="宋体" w:cs="宋体"/>
          <w:spacing w:val="-2"/>
          <w:position w:val="17"/>
          <w:sz w:val="24"/>
          <w:szCs w:val="24"/>
        </w:rPr>
        <w:t>主要以云南松</w:t>
      </w:r>
      <w:r>
        <w:rPr>
          <w:rFonts w:ascii="宋体" w:hAnsi="宋体" w:eastAsia="宋体" w:cs="宋体"/>
          <w:spacing w:val="-65"/>
          <w:position w:val="17"/>
          <w:sz w:val="24"/>
          <w:szCs w:val="24"/>
        </w:rPr>
        <w:t xml:space="preserve"> </w:t>
      </w:r>
      <w:r>
        <w:rPr>
          <w:rFonts w:ascii="Times New Roman" w:hAnsi="Times New Roman" w:eastAsia="Times New Roman" w:cs="Times New Roman"/>
          <w:i/>
          <w:iCs/>
          <w:spacing w:val="-2"/>
          <w:position w:val="17"/>
          <w:sz w:val="24"/>
          <w:szCs w:val="24"/>
        </w:rPr>
        <w:t>Pinus</w:t>
      </w:r>
      <w:r>
        <w:rPr>
          <w:rFonts w:ascii="Times New Roman" w:hAnsi="Times New Roman" w:eastAsia="Times New Roman" w:cs="Times New Roman"/>
          <w:i/>
          <w:iCs/>
          <w:spacing w:val="-19"/>
          <w:position w:val="17"/>
          <w:sz w:val="24"/>
          <w:szCs w:val="24"/>
        </w:rPr>
        <w:t xml:space="preserve"> </w:t>
      </w:r>
      <w:r>
        <w:rPr>
          <w:rFonts w:ascii="Times New Roman" w:hAnsi="Times New Roman" w:eastAsia="Times New Roman" w:cs="Times New Roman"/>
          <w:i/>
          <w:iCs/>
          <w:spacing w:val="-2"/>
          <w:position w:val="17"/>
          <w:sz w:val="24"/>
          <w:szCs w:val="24"/>
        </w:rPr>
        <w:t>yunnanensis</w:t>
      </w:r>
      <w:r>
        <w:rPr>
          <w:rFonts w:ascii="Times New Roman" w:hAnsi="Times New Roman" w:eastAsia="Times New Roman" w:cs="Times New Roman"/>
          <w:i/>
          <w:iCs/>
          <w:spacing w:val="-32"/>
          <w:position w:val="17"/>
          <w:sz w:val="24"/>
          <w:szCs w:val="24"/>
        </w:rPr>
        <w:t xml:space="preserve"> </w:t>
      </w:r>
      <w:r>
        <w:rPr>
          <w:rFonts w:ascii="宋体" w:hAnsi="宋体" w:eastAsia="宋体" w:cs="宋体"/>
          <w:spacing w:val="-2"/>
          <w:position w:val="17"/>
          <w:sz w:val="24"/>
          <w:szCs w:val="24"/>
        </w:rPr>
        <w:t>、滇青冈</w:t>
      </w:r>
      <w:r>
        <w:rPr>
          <w:rFonts w:ascii="宋体" w:hAnsi="宋体" w:eastAsia="宋体" w:cs="宋体"/>
          <w:spacing w:val="-44"/>
          <w:position w:val="17"/>
          <w:sz w:val="24"/>
          <w:szCs w:val="24"/>
        </w:rPr>
        <w:t xml:space="preserve"> </w:t>
      </w:r>
      <w:r>
        <w:rPr>
          <w:rFonts w:ascii="Times New Roman" w:hAnsi="Times New Roman" w:eastAsia="Times New Roman" w:cs="Times New Roman"/>
          <w:i/>
          <w:iCs/>
          <w:spacing w:val="-2"/>
          <w:position w:val="17"/>
          <w:sz w:val="24"/>
          <w:szCs w:val="24"/>
        </w:rPr>
        <w:t>Cy</w:t>
      </w:r>
      <w:r>
        <w:rPr>
          <w:rFonts w:ascii="Times New Roman" w:hAnsi="Times New Roman" w:eastAsia="Times New Roman" w:cs="Times New Roman"/>
          <w:i/>
          <w:iCs/>
          <w:spacing w:val="-3"/>
          <w:position w:val="17"/>
          <w:sz w:val="24"/>
          <w:szCs w:val="24"/>
        </w:rPr>
        <w:t>clobalanopsis glaucoides</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3"/>
          <w:position w:val="17"/>
          <w:sz w:val="24"/>
          <w:szCs w:val="24"/>
        </w:rPr>
        <w:t>、高山</w:t>
      </w:r>
    </w:p>
    <w:p>
      <w:pPr>
        <w:spacing w:line="212" w:lineRule="auto"/>
        <w:ind w:left="38"/>
        <w:rPr>
          <w:rFonts w:ascii="Times New Roman" w:hAnsi="Times New Roman" w:eastAsia="Times New Roman" w:cs="Times New Roman"/>
          <w:sz w:val="24"/>
          <w:szCs w:val="24"/>
        </w:rPr>
      </w:pPr>
      <w:r>
        <w:rPr>
          <w:rFonts w:ascii="宋体" w:hAnsi="宋体" w:eastAsia="宋体" w:cs="宋体"/>
          <w:spacing w:val="-1"/>
          <w:sz w:val="24"/>
          <w:szCs w:val="24"/>
        </w:rPr>
        <w:t>锥</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Castanopsis delavayi</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、白</w:t>
      </w:r>
      <w:r>
        <w:rPr>
          <w:rFonts w:ascii="宋体" w:hAnsi="宋体" w:eastAsia="宋体" w:cs="宋体"/>
          <w:spacing w:val="-2"/>
          <w:sz w:val="24"/>
          <w:szCs w:val="24"/>
        </w:rPr>
        <w:t>柯</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Lithocarpus dealbatus</w:t>
      </w:r>
      <w:r>
        <w:rPr>
          <w:rFonts w:ascii="Times New Roman" w:hAnsi="Times New Roman" w:eastAsia="Times New Roman" w:cs="Times New Roman"/>
          <w:i/>
          <w:iCs/>
          <w:spacing w:val="-32"/>
          <w:sz w:val="24"/>
          <w:szCs w:val="24"/>
        </w:rPr>
        <w:t xml:space="preserve"> </w:t>
      </w:r>
      <w:r>
        <w:rPr>
          <w:rFonts w:ascii="宋体" w:hAnsi="宋体" w:eastAsia="宋体" w:cs="宋体"/>
          <w:spacing w:val="-2"/>
          <w:sz w:val="24"/>
          <w:szCs w:val="24"/>
        </w:rPr>
        <w:t>、栓皮栎</w:t>
      </w:r>
      <w:r>
        <w:rPr>
          <w:rFonts w:ascii="宋体" w:hAnsi="宋体" w:eastAsia="宋体" w:cs="宋体"/>
          <w:spacing w:val="-49"/>
          <w:sz w:val="24"/>
          <w:szCs w:val="24"/>
        </w:rPr>
        <w:t xml:space="preserve"> </w:t>
      </w:r>
      <w:r>
        <w:rPr>
          <w:rFonts w:ascii="Times New Roman" w:hAnsi="Times New Roman" w:eastAsia="Times New Roman" w:cs="Times New Roman"/>
          <w:i/>
          <w:iCs/>
          <w:spacing w:val="-2"/>
          <w:sz w:val="24"/>
          <w:szCs w:val="24"/>
        </w:rPr>
        <w:t>Quercus</w:t>
      </w:r>
    </w:p>
    <w:p>
      <w:pPr>
        <w:spacing w:before="192" w:line="468" w:lineRule="exact"/>
        <w:ind w:left="35"/>
        <w:rPr>
          <w:rFonts w:ascii="宋体" w:hAnsi="宋体" w:eastAsia="宋体" w:cs="宋体"/>
          <w:sz w:val="24"/>
          <w:szCs w:val="24"/>
        </w:rPr>
      </w:pPr>
      <w:r>
        <w:rPr>
          <w:rFonts w:ascii="Times New Roman" w:hAnsi="Times New Roman" w:eastAsia="Times New Roman" w:cs="Times New Roman"/>
          <w:i/>
          <w:iCs/>
          <w:spacing w:val="-1"/>
          <w:position w:val="17"/>
          <w:sz w:val="24"/>
          <w:szCs w:val="24"/>
        </w:rPr>
        <w:t>variabilis</w:t>
      </w:r>
      <w:r>
        <w:rPr>
          <w:rFonts w:ascii="Times New Roman" w:hAnsi="Times New Roman" w:eastAsia="Times New Roman" w:cs="Times New Roman"/>
          <w:i/>
          <w:iCs/>
          <w:spacing w:val="-22"/>
          <w:position w:val="17"/>
          <w:sz w:val="24"/>
          <w:szCs w:val="24"/>
        </w:rPr>
        <w:t xml:space="preserve"> </w:t>
      </w:r>
      <w:r>
        <w:rPr>
          <w:rFonts w:ascii="宋体" w:hAnsi="宋体" w:eastAsia="宋体" w:cs="宋体"/>
          <w:spacing w:val="-1"/>
          <w:position w:val="17"/>
          <w:sz w:val="24"/>
          <w:szCs w:val="24"/>
        </w:rPr>
        <w:t>、清香木</w:t>
      </w:r>
      <w:r>
        <w:rPr>
          <w:rFonts w:ascii="宋体" w:hAnsi="宋体" w:eastAsia="宋体" w:cs="宋体"/>
          <w:spacing w:val="-66"/>
          <w:position w:val="17"/>
          <w:sz w:val="24"/>
          <w:szCs w:val="24"/>
        </w:rPr>
        <w:t xml:space="preserve"> </w:t>
      </w:r>
      <w:r>
        <w:rPr>
          <w:rFonts w:ascii="Times New Roman" w:hAnsi="Times New Roman" w:eastAsia="Times New Roman" w:cs="Times New Roman"/>
          <w:i/>
          <w:iCs/>
          <w:spacing w:val="-1"/>
          <w:position w:val="17"/>
          <w:sz w:val="24"/>
          <w:szCs w:val="24"/>
        </w:rPr>
        <w:t>Pistacia weinmannifolia</w:t>
      </w:r>
      <w:r>
        <w:rPr>
          <w:rFonts w:ascii="Times New Roman" w:hAnsi="Times New Roman" w:eastAsia="Times New Roman" w:cs="Times New Roman"/>
          <w:i/>
          <w:iCs/>
          <w:spacing w:val="-34"/>
          <w:position w:val="17"/>
          <w:sz w:val="24"/>
          <w:szCs w:val="24"/>
        </w:rPr>
        <w:t xml:space="preserve"> </w:t>
      </w:r>
      <w:r>
        <w:rPr>
          <w:rFonts w:ascii="宋体" w:hAnsi="宋体" w:eastAsia="宋体" w:cs="宋体"/>
          <w:spacing w:val="-1"/>
          <w:position w:val="17"/>
          <w:sz w:val="24"/>
          <w:szCs w:val="24"/>
        </w:rPr>
        <w:t>、余甘子</w:t>
      </w:r>
      <w:r>
        <w:rPr>
          <w:rFonts w:ascii="宋体" w:hAnsi="宋体" w:eastAsia="宋体" w:cs="宋体"/>
          <w:spacing w:val="-65"/>
          <w:position w:val="17"/>
          <w:sz w:val="24"/>
          <w:szCs w:val="24"/>
        </w:rPr>
        <w:t xml:space="preserve"> </w:t>
      </w:r>
      <w:r>
        <w:rPr>
          <w:rFonts w:ascii="Times New Roman" w:hAnsi="Times New Roman" w:eastAsia="Times New Roman" w:cs="Times New Roman"/>
          <w:i/>
          <w:iCs/>
          <w:spacing w:val="-1"/>
          <w:position w:val="17"/>
          <w:sz w:val="24"/>
          <w:szCs w:val="24"/>
        </w:rPr>
        <w:t xml:space="preserve">Phyllanthus emblica </w:t>
      </w:r>
      <w:r>
        <w:rPr>
          <w:rFonts w:ascii="宋体" w:hAnsi="宋体" w:eastAsia="宋体" w:cs="宋体"/>
          <w:spacing w:val="-1"/>
          <w:position w:val="17"/>
          <w:sz w:val="24"/>
          <w:szCs w:val="24"/>
        </w:rPr>
        <w:t>为主，说</w:t>
      </w:r>
    </w:p>
    <w:p>
      <w:pPr>
        <w:spacing w:before="1" w:line="218" w:lineRule="auto"/>
        <w:ind w:left="61"/>
        <w:rPr>
          <w:rFonts w:ascii="宋体" w:hAnsi="宋体" w:eastAsia="宋体" w:cs="宋体"/>
          <w:sz w:val="24"/>
          <w:szCs w:val="24"/>
        </w:rPr>
      </w:pPr>
      <w:r>
        <w:rPr>
          <w:rFonts w:ascii="宋体" w:hAnsi="宋体" w:eastAsia="宋体" w:cs="宋体"/>
          <w:spacing w:val="-3"/>
          <w:sz w:val="24"/>
          <w:szCs w:val="24"/>
        </w:rPr>
        <w:t>明该地区人为干扰比较大，几乎丧失了恢复成林的可能性。</w:t>
      </w:r>
    </w:p>
    <w:p>
      <w:pPr>
        <w:spacing w:before="184" w:line="360" w:lineRule="auto"/>
        <w:ind w:left="39" w:right="29" w:firstLine="509"/>
        <w:rPr>
          <w:rFonts w:ascii="宋体" w:hAnsi="宋体" w:eastAsia="宋体" w:cs="宋体"/>
          <w:sz w:val="24"/>
          <w:szCs w:val="24"/>
        </w:rPr>
      </w:pPr>
      <w:r>
        <w:rPr>
          <w:rFonts w:ascii="宋体" w:hAnsi="宋体" w:eastAsia="宋体" w:cs="宋体"/>
          <w:spacing w:val="-9"/>
          <w:sz w:val="24"/>
          <w:szCs w:val="24"/>
        </w:rPr>
        <w:t>由于车桑子覆盖度较高，</w:t>
      </w:r>
      <w:r>
        <w:rPr>
          <w:rFonts w:ascii="宋体" w:hAnsi="宋体" w:eastAsia="宋体" w:cs="宋体"/>
          <w:spacing w:val="28"/>
          <w:sz w:val="24"/>
          <w:szCs w:val="24"/>
        </w:rPr>
        <w:t xml:space="preserve"> </w:t>
      </w:r>
      <w:r>
        <w:rPr>
          <w:rFonts w:ascii="宋体" w:hAnsi="宋体" w:eastAsia="宋体" w:cs="宋体"/>
          <w:spacing w:val="-9"/>
          <w:sz w:val="24"/>
          <w:szCs w:val="24"/>
        </w:rPr>
        <w:t>草本层十分不发达，层盖度仅有</w:t>
      </w:r>
      <w:r>
        <w:rPr>
          <w:rFonts w:ascii="宋体" w:hAnsi="宋体" w:eastAsia="宋体" w:cs="宋体"/>
          <w:spacing w:val="-56"/>
          <w:sz w:val="24"/>
          <w:szCs w:val="24"/>
        </w:rPr>
        <w:t xml:space="preserve"> </w:t>
      </w:r>
      <w:r>
        <w:rPr>
          <w:rFonts w:ascii="Times New Roman" w:hAnsi="Times New Roman" w:eastAsia="Times New Roman" w:cs="Times New Roman"/>
          <w:spacing w:val="-9"/>
          <w:sz w:val="24"/>
          <w:szCs w:val="24"/>
        </w:rPr>
        <w:t>40%</w:t>
      </w:r>
      <w:r>
        <w:rPr>
          <w:rFonts w:ascii="宋体" w:hAnsi="宋体" w:eastAsia="宋体" w:cs="宋体"/>
          <w:spacing w:val="-9"/>
          <w:sz w:val="24"/>
          <w:szCs w:val="24"/>
        </w:rPr>
        <w:t>，种类也相对</w:t>
      </w:r>
      <w:r>
        <w:rPr>
          <w:rFonts w:ascii="宋体" w:hAnsi="宋体" w:eastAsia="宋体" w:cs="宋体"/>
          <w:sz w:val="24"/>
          <w:szCs w:val="24"/>
        </w:rPr>
        <w:t xml:space="preserve"> </w:t>
      </w:r>
      <w:r>
        <w:rPr>
          <w:rFonts w:ascii="宋体" w:hAnsi="宋体" w:eastAsia="宋体" w:cs="宋体"/>
          <w:spacing w:val="-10"/>
          <w:sz w:val="24"/>
          <w:szCs w:val="24"/>
        </w:rPr>
        <w:t>较为匮乏，高度不足</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1m</w:t>
      </w:r>
      <w:r>
        <w:rPr>
          <w:rFonts w:ascii="宋体" w:hAnsi="宋体" w:eastAsia="宋体" w:cs="宋体"/>
          <w:spacing w:val="-10"/>
          <w:sz w:val="24"/>
          <w:szCs w:val="24"/>
        </w:rPr>
        <w:t>，主要以禾本科最为优势，</w:t>
      </w:r>
      <w:r>
        <w:rPr>
          <w:rFonts w:ascii="宋体" w:hAnsi="宋体" w:eastAsia="宋体" w:cs="宋体"/>
          <w:spacing w:val="-45"/>
          <w:sz w:val="24"/>
          <w:szCs w:val="24"/>
        </w:rPr>
        <w:t xml:space="preserve"> </w:t>
      </w:r>
      <w:r>
        <w:rPr>
          <w:rFonts w:ascii="宋体" w:hAnsi="宋体" w:eastAsia="宋体" w:cs="宋体"/>
          <w:spacing w:val="-10"/>
          <w:sz w:val="24"/>
          <w:szCs w:val="24"/>
        </w:rPr>
        <w:t>如黄茅</w:t>
      </w:r>
      <w:r>
        <w:rPr>
          <w:rFonts w:ascii="宋体" w:hAnsi="宋体" w:eastAsia="宋体" w:cs="宋体"/>
          <w:spacing w:val="-66"/>
          <w:sz w:val="24"/>
          <w:szCs w:val="24"/>
        </w:rPr>
        <w:t xml:space="preserve"> </w:t>
      </w:r>
      <w:r>
        <w:rPr>
          <w:rFonts w:ascii="Times New Roman" w:hAnsi="Times New Roman" w:eastAsia="Times New Roman" w:cs="Times New Roman"/>
          <w:i/>
          <w:iCs/>
          <w:spacing w:val="-10"/>
          <w:sz w:val="24"/>
          <w:szCs w:val="24"/>
        </w:rPr>
        <w:t>Heteropogon con</w:t>
      </w:r>
      <w:r>
        <w:rPr>
          <w:rFonts w:ascii="Times New Roman" w:hAnsi="Times New Roman" w:eastAsia="Times New Roman" w:cs="Times New Roman"/>
          <w:i/>
          <w:iCs/>
          <w:spacing w:val="-11"/>
          <w:sz w:val="24"/>
          <w:szCs w:val="24"/>
        </w:rPr>
        <w:t>tortus</w:t>
      </w:r>
      <w:r>
        <w:rPr>
          <w:rFonts w:ascii="Times New Roman" w:hAnsi="Times New Roman" w:eastAsia="Times New Roman" w:cs="Times New Roman"/>
          <w:i/>
          <w:iCs/>
          <w:spacing w:val="-33"/>
          <w:sz w:val="24"/>
          <w:szCs w:val="24"/>
        </w:rPr>
        <w:t xml:space="preserve"> </w:t>
      </w:r>
      <w:r>
        <w:rPr>
          <w:rFonts w:ascii="宋体" w:hAnsi="宋体" w:eastAsia="宋体" w:cs="宋体"/>
          <w:spacing w:val="-11"/>
          <w:sz w:val="24"/>
          <w:szCs w:val="24"/>
        </w:rPr>
        <w:t>、</w:t>
      </w:r>
      <w:r>
        <w:rPr>
          <w:rFonts w:ascii="宋体" w:hAnsi="宋体" w:eastAsia="宋体" w:cs="宋体"/>
          <w:sz w:val="24"/>
          <w:szCs w:val="24"/>
        </w:rPr>
        <w:t xml:space="preserve"> </w:t>
      </w:r>
      <w:r>
        <w:rPr>
          <w:rFonts w:ascii="宋体" w:hAnsi="宋体" w:eastAsia="宋体" w:cs="宋体"/>
          <w:spacing w:val="-1"/>
          <w:sz w:val="24"/>
          <w:szCs w:val="24"/>
        </w:rPr>
        <w:t>旱茅</w:t>
      </w:r>
      <w:r>
        <w:rPr>
          <w:rFonts w:ascii="宋体" w:hAnsi="宋体" w:eastAsia="宋体" w:cs="宋体"/>
          <w:spacing w:val="-59"/>
          <w:sz w:val="24"/>
          <w:szCs w:val="24"/>
        </w:rPr>
        <w:t xml:space="preserve"> </w:t>
      </w:r>
      <w:r>
        <w:rPr>
          <w:rFonts w:ascii="Times New Roman" w:hAnsi="Times New Roman" w:eastAsia="Times New Roman" w:cs="Times New Roman"/>
          <w:i/>
          <w:iCs/>
          <w:spacing w:val="-1"/>
          <w:sz w:val="24"/>
          <w:szCs w:val="24"/>
        </w:rPr>
        <w:t>Schizachyrium delavayi</w:t>
      </w:r>
      <w:r>
        <w:rPr>
          <w:rFonts w:ascii="宋体" w:hAnsi="宋体" w:eastAsia="宋体" w:cs="宋体"/>
          <w:spacing w:val="-1"/>
          <w:sz w:val="24"/>
          <w:szCs w:val="24"/>
        </w:rPr>
        <w:t>、白健秆</w:t>
      </w:r>
      <w:r>
        <w:rPr>
          <w:rFonts w:ascii="宋体" w:hAnsi="宋体" w:eastAsia="宋体" w:cs="宋体"/>
          <w:spacing w:val="-64"/>
          <w:sz w:val="24"/>
          <w:szCs w:val="24"/>
        </w:rPr>
        <w:t xml:space="preserve"> </w:t>
      </w:r>
      <w:r>
        <w:rPr>
          <w:rFonts w:ascii="Times New Roman" w:hAnsi="Times New Roman" w:eastAsia="Times New Roman" w:cs="Times New Roman"/>
          <w:i/>
          <w:iCs/>
          <w:spacing w:val="-1"/>
          <w:sz w:val="24"/>
          <w:szCs w:val="24"/>
        </w:rPr>
        <w:t>Eulalia</w:t>
      </w:r>
      <w:r>
        <w:rPr>
          <w:rFonts w:ascii="Times New Roman" w:hAnsi="Times New Roman" w:eastAsia="Times New Roman" w:cs="Times New Roman"/>
          <w:i/>
          <w:iCs/>
          <w:spacing w:val="-42"/>
          <w:sz w:val="24"/>
          <w:szCs w:val="24"/>
        </w:rPr>
        <w:t xml:space="preserve"> </w:t>
      </w:r>
      <w:r>
        <w:rPr>
          <w:rFonts w:ascii="Times New Roman" w:hAnsi="Times New Roman" w:eastAsia="Times New Roman" w:cs="Times New Roman"/>
          <w:i/>
          <w:iCs/>
          <w:spacing w:val="-1"/>
          <w:sz w:val="24"/>
          <w:szCs w:val="24"/>
        </w:rPr>
        <w:t>p</w:t>
      </w:r>
      <w:r>
        <w:rPr>
          <w:rFonts w:ascii="Times New Roman" w:hAnsi="Times New Roman" w:eastAsia="Times New Roman" w:cs="Times New Roman"/>
          <w:i/>
          <w:iCs/>
          <w:spacing w:val="-2"/>
          <w:sz w:val="24"/>
          <w:szCs w:val="24"/>
        </w:rPr>
        <w:t>allens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、蔗茅</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Erianthus rufipilus</w:t>
      </w:r>
      <w:r>
        <w:rPr>
          <w:rFonts w:ascii="Times New Roman" w:hAnsi="Times New Roman" w:eastAsia="Times New Roman" w:cs="Times New Roman"/>
          <w:i/>
          <w:iCs/>
          <w:spacing w:val="-32"/>
          <w:sz w:val="24"/>
          <w:szCs w:val="24"/>
        </w:rPr>
        <w:t xml:space="preserve"> </w:t>
      </w:r>
      <w:r>
        <w:rPr>
          <w:rFonts w:ascii="宋体" w:hAnsi="宋体" w:eastAsia="宋体" w:cs="宋体"/>
          <w:spacing w:val="-2"/>
          <w:sz w:val="24"/>
          <w:szCs w:val="24"/>
        </w:rPr>
        <w:t>、孟</w:t>
      </w:r>
      <w:r>
        <w:rPr>
          <w:rFonts w:ascii="宋体" w:hAnsi="宋体" w:eastAsia="宋体" w:cs="宋体"/>
          <w:sz w:val="24"/>
          <w:szCs w:val="24"/>
        </w:rPr>
        <w:t xml:space="preserve"> </w:t>
      </w:r>
      <w:r>
        <w:rPr>
          <w:rFonts w:ascii="宋体" w:hAnsi="宋体" w:eastAsia="宋体" w:cs="宋体"/>
          <w:spacing w:val="13"/>
          <w:sz w:val="24"/>
          <w:szCs w:val="24"/>
        </w:rPr>
        <w:t xml:space="preserve">加拉野古草 </w:t>
      </w:r>
      <w:r>
        <w:rPr>
          <w:rFonts w:ascii="Times New Roman" w:hAnsi="Times New Roman" w:eastAsia="Times New Roman" w:cs="Times New Roman"/>
          <w:i/>
          <w:iCs/>
          <w:sz w:val="24"/>
          <w:szCs w:val="24"/>
        </w:rPr>
        <w:t>Arundinella</w:t>
      </w:r>
      <w:r>
        <w:rPr>
          <w:rFonts w:ascii="Times New Roman" w:hAnsi="Times New Roman" w:eastAsia="Times New Roman" w:cs="Times New Roman"/>
          <w:i/>
          <w:iCs/>
          <w:spacing w:val="13"/>
          <w:sz w:val="24"/>
          <w:szCs w:val="24"/>
        </w:rPr>
        <w:t xml:space="preserve">  </w:t>
      </w:r>
      <w:r>
        <w:rPr>
          <w:rFonts w:ascii="Times New Roman" w:hAnsi="Times New Roman" w:eastAsia="Times New Roman" w:cs="Times New Roman"/>
          <w:i/>
          <w:iCs/>
          <w:sz w:val="24"/>
          <w:szCs w:val="24"/>
        </w:rPr>
        <w:t>bengalensis</w:t>
      </w:r>
      <w:r>
        <w:rPr>
          <w:rFonts w:ascii="Times New Roman" w:hAnsi="Times New Roman" w:eastAsia="Times New Roman" w:cs="Times New Roman"/>
          <w:i/>
          <w:iCs/>
          <w:spacing w:val="13"/>
          <w:sz w:val="24"/>
          <w:szCs w:val="24"/>
        </w:rPr>
        <w:t xml:space="preserve"> </w:t>
      </w:r>
      <w:r>
        <w:rPr>
          <w:rFonts w:ascii="宋体" w:hAnsi="宋体" w:eastAsia="宋体" w:cs="宋体"/>
          <w:spacing w:val="13"/>
          <w:sz w:val="24"/>
          <w:szCs w:val="24"/>
        </w:rPr>
        <w:t xml:space="preserve">、华北剪股颖 </w:t>
      </w:r>
      <w:r>
        <w:rPr>
          <w:rFonts w:ascii="Times New Roman" w:hAnsi="Times New Roman" w:eastAsia="Times New Roman" w:cs="Times New Roman"/>
          <w:i/>
          <w:iCs/>
          <w:sz w:val="24"/>
          <w:szCs w:val="24"/>
        </w:rPr>
        <w:t>Agrostis</w:t>
      </w:r>
      <w:r>
        <w:rPr>
          <w:rFonts w:ascii="Times New Roman" w:hAnsi="Times New Roman" w:eastAsia="Times New Roman" w:cs="Times New Roman"/>
          <w:i/>
          <w:iCs/>
          <w:spacing w:val="13"/>
          <w:sz w:val="24"/>
          <w:szCs w:val="24"/>
        </w:rPr>
        <w:t xml:space="preserve">  </w:t>
      </w:r>
      <w:r>
        <w:rPr>
          <w:rFonts w:ascii="Times New Roman" w:hAnsi="Times New Roman" w:eastAsia="Times New Roman" w:cs="Times New Roman"/>
          <w:i/>
          <w:iCs/>
          <w:sz w:val="24"/>
          <w:szCs w:val="24"/>
        </w:rPr>
        <w:t>clavata</w:t>
      </w:r>
      <w:r>
        <w:rPr>
          <w:rFonts w:ascii="Times New Roman" w:hAnsi="Times New Roman" w:eastAsia="Times New Roman" w:cs="Times New Roman"/>
          <w:i/>
          <w:iCs/>
          <w:spacing w:val="13"/>
          <w:sz w:val="24"/>
          <w:szCs w:val="24"/>
        </w:rPr>
        <w:t xml:space="preserve"> </w:t>
      </w:r>
      <w:r>
        <w:rPr>
          <w:rFonts w:ascii="宋体" w:hAnsi="宋体" w:eastAsia="宋体" w:cs="宋体"/>
          <w:spacing w:val="13"/>
          <w:sz w:val="24"/>
          <w:szCs w:val="24"/>
        </w:rPr>
        <w:t>、细柄草</w:t>
      </w:r>
      <w:r>
        <w:rPr>
          <w:rFonts w:ascii="宋体" w:hAnsi="宋体" w:eastAsia="宋体" w:cs="宋体"/>
          <w:spacing w:val="11"/>
          <w:sz w:val="24"/>
          <w:szCs w:val="24"/>
        </w:rPr>
        <w:t xml:space="preserve"> </w:t>
      </w:r>
      <w:r>
        <w:rPr>
          <w:rFonts w:ascii="Times New Roman" w:hAnsi="Times New Roman" w:eastAsia="Times New Roman" w:cs="Times New Roman"/>
          <w:i/>
          <w:iCs/>
          <w:spacing w:val="-3"/>
          <w:sz w:val="24"/>
          <w:szCs w:val="24"/>
        </w:rPr>
        <w:t>Capillipediumparviflorum</w:t>
      </w:r>
      <w:r>
        <w:rPr>
          <w:rFonts w:ascii="Times New Roman" w:hAnsi="Times New Roman" w:eastAsia="Times New Roman" w:cs="Times New Roman"/>
          <w:i/>
          <w:iCs/>
          <w:spacing w:val="-20"/>
          <w:sz w:val="24"/>
          <w:szCs w:val="24"/>
        </w:rPr>
        <w:t xml:space="preserve"> </w:t>
      </w:r>
      <w:r>
        <w:rPr>
          <w:rFonts w:ascii="宋体" w:hAnsi="宋体" w:eastAsia="宋体" w:cs="宋体"/>
          <w:spacing w:val="-3"/>
          <w:sz w:val="24"/>
          <w:szCs w:val="24"/>
        </w:rPr>
        <w:t>、荩草</w:t>
      </w:r>
      <w:r>
        <w:rPr>
          <w:rFonts w:ascii="宋体" w:hAnsi="宋体" w:eastAsia="宋体" w:cs="宋体"/>
          <w:spacing w:val="-72"/>
          <w:sz w:val="24"/>
          <w:szCs w:val="24"/>
        </w:rPr>
        <w:t xml:space="preserve"> </w:t>
      </w:r>
      <w:r>
        <w:rPr>
          <w:rFonts w:ascii="Times New Roman" w:hAnsi="Times New Roman" w:eastAsia="Times New Roman" w:cs="Times New Roman"/>
          <w:i/>
          <w:iCs/>
          <w:spacing w:val="-3"/>
          <w:sz w:val="24"/>
          <w:szCs w:val="24"/>
        </w:rPr>
        <w:t xml:space="preserve">Arthraxon hispidus </w:t>
      </w:r>
      <w:r>
        <w:rPr>
          <w:rFonts w:ascii="宋体" w:hAnsi="宋体" w:eastAsia="宋体" w:cs="宋体"/>
          <w:spacing w:val="-3"/>
          <w:sz w:val="24"/>
          <w:szCs w:val="24"/>
        </w:rPr>
        <w:t>等，分布较广， 在局部区域能</w:t>
      </w:r>
    </w:p>
    <w:p>
      <w:pPr>
        <w:spacing w:line="212" w:lineRule="auto"/>
        <w:ind w:left="42"/>
        <w:rPr>
          <w:rFonts w:ascii="宋体" w:hAnsi="宋体" w:eastAsia="宋体" w:cs="宋体"/>
          <w:sz w:val="24"/>
          <w:szCs w:val="24"/>
        </w:rPr>
      </w:pPr>
      <w:r>
        <w:rPr>
          <w:rFonts w:ascii="宋体" w:hAnsi="宋体" w:eastAsia="宋体" w:cs="宋体"/>
          <w:spacing w:val="6"/>
          <w:sz w:val="24"/>
          <w:szCs w:val="24"/>
        </w:rPr>
        <w:t xml:space="preserve">形成单优群落。其他常见的草本植物有：破坏草 </w:t>
      </w:r>
      <w:r>
        <w:rPr>
          <w:rFonts w:ascii="Times New Roman" w:hAnsi="Times New Roman" w:eastAsia="Times New Roman" w:cs="Times New Roman"/>
          <w:i/>
          <w:iCs/>
          <w:sz w:val="24"/>
          <w:szCs w:val="24"/>
        </w:rPr>
        <w:t>Ageratina</w:t>
      </w:r>
      <w:r>
        <w:rPr>
          <w:rFonts w:ascii="Times New Roman" w:hAnsi="Times New Roman" w:eastAsia="Times New Roman" w:cs="Times New Roman"/>
          <w:i/>
          <w:iCs/>
          <w:spacing w:val="49"/>
          <w:sz w:val="24"/>
          <w:szCs w:val="24"/>
        </w:rPr>
        <w:t xml:space="preserve"> </w:t>
      </w:r>
      <w:r>
        <w:rPr>
          <w:rFonts w:ascii="Times New Roman" w:hAnsi="Times New Roman" w:eastAsia="Times New Roman" w:cs="Times New Roman"/>
          <w:i/>
          <w:iCs/>
          <w:sz w:val="24"/>
          <w:szCs w:val="24"/>
        </w:rPr>
        <w:t>adenophora</w:t>
      </w:r>
      <w:r>
        <w:rPr>
          <w:rFonts w:ascii="Times New Roman" w:hAnsi="Times New Roman" w:eastAsia="Times New Roman" w:cs="Times New Roman"/>
          <w:i/>
          <w:iCs/>
          <w:spacing w:val="-25"/>
          <w:sz w:val="24"/>
          <w:szCs w:val="24"/>
        </w:rPr>
        <w:t xml:space="preserve"> </w:t>
      </w:r>
      <w:r>
        <w:rPr>
          <w:rFonts w:ascii="宋体" w:hAnsi="宋体" w:eastAsia="宋体" w:cs="宋体"/>
          <w:spacing w:val="6"/>
          <w:sz w:val="24"/>
          <w:szCs w:val="24"/>
        </w:rPr>
        <w:t>、秋英</w:t>
      </w:r>
    </w:p>
    <w:p>
      <w:pPr>
        <w:spacing w:line="212" w:lineRule="auto"/>
        <w:rPr>
          <w:rFonts w:ascii="宋体" w:hAnsi="宋体" w:eastAsia="宋体" w:cs="宋体"/>
          <w:sz w:val="24"/>
          <w:szCs w:val="24"/>
        </w:rPr>
        <w:sectPr>
          <w:headerReference r:id="rId276" w:type="default"/>
          <w:footerReference r:id="rId277" w:type="default"/>
          <w:pgSz w:w="11907" w:h="16839"/>
          <w:pgMar w:top="1156" w:right="1768" w:bottom="1374" w:left="1770" w:header="881" w:footer="1210" w:gutter="0"/>
        </w:sectPr>
      </w:pPr>
    </w:p>
    <w:p>
      <w:pPr>
        <w:spacing w:line="317" w:lineRule="auto"/>
        <w:rPr>
          <w:rFonts w:ascii="Arial"/>
          <w:sz w:val="21"/>
        </w:rPr>
      </w:pPr>
    </w:p>
    <w:p>
      <w:pPr>
        <w:spacing w:before="78" w:line="360" w:lineRule="auto"/>
        <w:ind w:left="18" w:firstLine="27"/>
        <w:jc w:val="both"/>
        <w:rPr>
          <w:rFonts w:ascii="宋体" w:hAnsi="宋体" w:eastAsia="宋体" w:cs="宋体"/>
          <w:sz w:val="24"/>
          <w:szCs w:val="24"/>
        </w:rPr>
      </w:pPr>
      <w:r>
        <w:rPr>
          <w:rFonts w:ascii="Times New Roman" w:hAnsi="Times New Roman" w:eastAsia="Times New Roman" w:cs="Times New Roman"/>
          <w:i/>
          <w:iCs/>
          <w:spacing w:val="-1"/>
          <w:sz w:val="24"/>
          <w:szCs w:val="24"/>
        </w:rPr>
        <w:t>Cosmos bipinnata</w:t>
      </w:r>
      <w:r>
        <w:rPr>
          <w:rFonts w:ascii="宋体" w:hAnsi="宋体" w:eastAsia="宋体" w:cs="宋体"/>
          <w:spacing w:val="-1"/>
          <w:sz w:val="24"/>
          <w:szCs w:val="24"/>
        </w:rPr>
        <w:t>、牡蒿</w:t>
      </w:r>
      <w:r>
        <w:rPr>
          <w:rFonts w:ascii="宋体" w:hAnsi="宋体" w:eastAsia="宋体" w:cs="宋体"/>
          <w:spacing w:val="-71"/>
          <w:sz w:val="24"/>
          <w:szCs w:val="24"/>
        </w:rPr>
        <w:t xml:space="preserve"> </w:t>
      </w:r>
      <w:r>
        <w:rPr>
          <w:rFonts w:ascii="Times New Roman" w:hAnsi="Times New Roman" w:eastAsia="Times New Roman" w:cs="Times New Roman"/>
          <w:i/>
          <w:iCs/>
          <w:spacing w:val="-1"/>
          <w:sz w:val="24"/>
          <w:szCs w:val="24"/>
        </w:rPr>
        <w:t>Artemi</w:t>
      </w:r>
      <w:r>
        <w:rPr>
          <w:rFonts w:ascii="Times New Roman" w:hAnsi="Times New Roman" w:eastAsia="Times New Roman" w:cs="Times New Roman"/>
          <w:i/>
          <w:iCs/>
          <w:spacing w:val="-2"/>
          <w:sz w:val="24"/>
          <w:szCs w:val="24"/>
        </w:rPr>
        <w:t>sia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pacing w:val="-2"/>
          <w:sz w:val="24"/>
          <w:szCs w:val="24"/>
        </w:rPr>
        <w:t>japonica</w:t>
      </w:r>
      <w:r>
        <w:rPr>
          <w:rFonts w:ascii="宋体" w:hAnsi="宋体" w:eastAsia="宋体" w:cs="宋体"/>
          <w:spacing w:val="-2"/>
          <w:sz w:val="24"/>
          <w:szCs w:val="24"/>
        </w:rPr>
        <w:t>、鬼针草</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Bidens</w:t>
      </w:r>
      <w:r>
        <w:rPr>
          <w:rFonts w:ascii="Times New Roman" w:hAnsi="Times New Roman" w:eastAsia="Times New Roman" w:cs="Times New Roman"/>
          <w:i/>
          <w:iCs/>
          <w:spacing w:val="-40"/>
          <w:sz w:val="24"/>
          <w:szCs w:val="24"/>
        </w:rPr>
        <w:t xml:space="preserve"> </w:t>
      </w:r>
      <w:r>
        <w:rPr>
          <w:rFonts w:ascii="Times New Roman" w:hAnsi="Times New Roman" w:eastAsia="Times New Roman" w:cs="Times New Roman"/>
          <w:i/>
          <w:iCs/>
          <w:spacing w:val="-2"/>
          <w:sz w:val="24"/>
          <w:szCs w:val="24"/>
        </w:rPr>
        <w:t>pilosa</w:t>
      </w:r>
      <w:r>
        <w:rPr>
          <w:rFonts w:ascii="宋体" w:hAnsi="宋体" w:eastAsia="宋体" w:cs="宋体"/>
          <w:spacing w:val="-2"/>
          <w:sz w:val="24"/>
          <w:szCs w:val="24"/>
        </w:rPr>
        <w:t>、牛口刺</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 xml:space="preserve">Cirsium    </w:t>
      </w:r>
      <w:r>
        <w:rPr>
          <w:rFonts w:ascii="Times New Roman" w:hAnsi="Times New Roman" w:eastAsia="Times New Roman" w:cs="Times New Roman"/>
          <w:i/>
          <w:iCs/>
          <w:spacing w:val="-1"/>
          <w:sz w:val="24"/>
          <w:szCs w:val="24"/>
        </w:rPr>
        <w:t>shansiense</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、蒲公英</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Taraxacum</w:t>
      </w:r>
      <w:r>
        <w:rPr>
          <w:rFonts w:ascii="Times New Roman" w:hAnsi="Times New Roman" w:eastAsia="Times New Roman" w:cs="Times New Roman"/>
          <w:i/>
          <w:iCs/>
          <w:spacing w:val="31"/>
          <w:sz w:val="24"/>
          <w:szCs w:val="24"/>
        </w:rPr>
        <w:t xml:space="preserve"> </w:t>
      </w:r>
      <w:r>
        <w:rPr>
          <w:rFonts w:ascii="Times New Roman" w:hAnsi="Times New Roman" w:eastAsia="Times New Roman" w:cs="Times New Roman"/>
          <w:i/>
          <w:iCs/>
          <w:spacing w:val="-1"/>
          <w:sz w:val="24"/>
          <w:szCs w:val="24"/>
        </w:rPr>
        <w:t>mongolicum</w:t>
      </w:r>
      <w:r>
        <w:rPr>
          <w:rFonts w:ascii="Times New Roman" w:hAnsi="Times New Roman" w:eastAsia="Times New Roman" w:cs="Times New Roman"/>
          <w:i/>
          <w:iCs/>
          <w:spacing w:val="-35"/>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尼泊尔老鹳草</w:t>
      </w:r>
      <w:r>
        <w:rPr>
          <w:rFonts w:ascii="宋体" w:hAnsi="宋体" w:eastAsia="宋体" w:cs="宋体"/>
          <w:spacing w:val="-43"/>
          <w:sz w:val="24"/>
          <w:szCs w:val="24"/>
        </w:rPr>
        <w:t xml:space="preserve"> </w:t>
      </w:r>
      <w:r>
        <w:rPr>
          <w:rFonts w:ascii="Times New Roman" w:hAnsi="Times New Roman" w:eastAsia="Times New Roman" w:cs="Times New Roman"/>
          <w:i/>
          <w:iCs/>
          <w:spacing w:val="-2"/>
          <w:sz w:val="24"/>
          <w:szCs w:val="24"/>
        </w:rPr>
        <w:t>Geranium</w:t>
      </w:r>
      <w:r>
        <w:rPr>
          <w:rFonts w:ascii="Times New Roman" w:hAnsi="Times New Roman" w:eastAsia="Times New Roman" w:cs="Times New Roman"/>
          <w:i/>
          <w:iCs/>
          <w:spacing w:val="30"/>
          <w:w w:val="101"/>
          <w:sz w:val="24"/>
          <w:szCs w:val="24"/>
        </w:rPr>
        <w:t xml:space="preserve"> </w:t>
      </w:r>
      <w:r>
        <w:rPr>
          <w:rFonts w:ascii="Times New Roman" w:hAnsi="Times New Roman" w:eastAsia="Times New Roman" w:cs="Times New Roman"/>
          <w:i/>
          <w:iCs/>
          <w:spacing w:val="-2"/>
          <w:sz w:val="24"/>
          <w:szCs w:val="24"/>
        </w:rPr>
        <w:t>nepalense</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3"/>
          <w:sz w:val="24"/>
          <w:szCs w:val="24"/>
        </w:rPr>
        <w:t>滇</w:t>
      </w:r>
      <w:r>
        <w:rPr>
          <w:rFonts w:ascii="宋体" w:hAnsi="宋体" w:eastAsia="宋体" w:cs="宋体"/>
          <w:spacing w:val="-32"/>
          <w:sz w:val="24"/>
          <w:szCs w:val="24"/>
        </w:rPr>
        <w:t xml:space="preserve"> </w:t>
      </w:r>
      <w:r>
        <w:rPr>
          <w:rFonts w:ascii="宋体" w:hAnsi="宋体" w:eastAsia="宋体" w:cs="宋体"/>
          <w:spacing w:val="-3"/>
          <w:sz w:val="24"/>
          <w:szCs w:val="24"/>
        </w:rPr>
        <w:t>苦</w:t>
      </w:r>
      <w:r>
        <w:rPr>
          <w:rFonts w:ascii="宋体" w:hAnsi="宋体" w:eastAsia="宋体" w:cs="宋体"/>
          <w:spacing w:val="-34"/>
          <w:sz w:val="24"/>
          <w:szCs w:val="24"/>
        </w:rPr>
        <w:t xml:space="preserve"> </w:t>
      </w:r>
      <w:r>
        <w:rPr>
          <w:rFonts w:ascii="宋体" w:hAnsi="宋体" w:eastAsia="宋体" w:cs="宋体"/>
          <w:spacing w:val="-3"/>
          <w:sz w:val="24"/>
          <w:szCs w:val="24"/>
        </w:rPr>
        <w:t>菜</w:t>
      </w:r>
      <w:r>
        <w:rPr>
          <w:rFonts w:ascii="宋体" w:hAnsi="宋体" w:eastAsia="宋体" w:cs="宋体"/>
          <w:spacing w:val="67"/>
          <w:sz w:val="24"/>
          <w:szCs w:val="24"/>
        </w:rPr>
        <w:t xml:space="preserve"> </w:t>
      </w:r>
      <w:r>
        <w:rPr>
          <w:rFonts w:ascii="Times New Roman" w:hAnsi="Times New Roman" w:eastAsia="Times New Roman" w:cs="Times New Roman"/>
          <w:i/>
          <w:iCs/>
          <w:spacing w:val="-3"/>
          <w:sz w:val="24"/>
          <w:szCs w:val="24"/>
        </w:rPr>
        <w:t>Picris</w:t>
      </w:r>
      <w:r>
        <w:rPr>
          <w:rFonts w:ascii="Times New Roman" w:hAnsi="Times New Roman" w:eastAsia="Times New Roman" w:cs="Times New Roman"/>
          <w:i/>
          <w:iCs/>
          <w:spacing w:val="23"/>
          <w:w w:val="101"/>
          <w:sz w:val="24"/>
          <w:szCs w:val="24"/>
        </w:rPr>
        <w:t xml:space="preserve">  </w:t>
      </w:r>
      <w:r>
        <w:rPr>
          <w:rFonts w:ascii="Times New Roman" w:hAnsi="Times New Roman" w:eastAsia="Times New Roman" w:cs="Times New Roman"/>
          <w:i/>
          <w:iCs/>
          <w:spacing w:val="-3"/>
          <w:sz w:val="24"/>
          <w:szCs w:val="24"/>
        </w:rPr>
        <w:t>divaricata</w:t>
      </w:r>
      <w:r>
        <w:rPr>
          <w:rFonts w:ascii="Times New Roman" w:hAnsi="Times New Roman" w:eastAsia="Times New Roman" w:cs="Times New Roman"/>
          <w:i/>
          <w:iCs/>
          <w:spacing w:val="44"/>
          <w:w w:val="101"/>
          <w:sz w:val="24"/>
          <w:szCs w:val="24"/>
        </w:rPr>
        <w:t xml:space="preserve"> </w:t>
      </w:r>
      <w:r>
        <w:rPr>
          <w:rFonts w:ascii="宋体" w:hAnsi="宋体" w:eastAsia="宋体" w:cs="宋体"/>
          <w:spacing w:val="-4"/>
          <w:sz w:val="24"/>
          <w:szCs w:val="24"/>
        </w:rPr>
        <w:t>、</w:t>
      </w:r>
      <w:r>
        <w:rPr>
          <w:rFonts w:ascii="宋体" w:hAnsi="宋体" w:eastAsia="宋体" w:cs="宋体"/>
          <w:spacing w:val="-29"/>
          <w:sz w:val="24"/>
          <w:szCs w:val="24"/>
        </w:rPr>
        <w:t xml:space="preserve"> </w:t>
      </w:r>
      <w:r>
        <w:rPr>
          <w:rFonts w:ascii="宋体" w:hAnsi="宋体" w:eastAsia="宋体" w:cs="宋体"/>
          <w:spacing w:val="-4"/>
          <w:sz w:val="24"/>
          <w:szCs w:val="24"/>
        </w:rPr>
        <w:t>天</w:t>
      </w:r>
      <w:r>
        <w:rPr>
          <w:rFonts w:ascii="宋体" w:hAnsi="宋体" w:eastAsia="宋体" w:cs="宋体"/>
          <w:spacing w:val="-32"/>
          <w:sz w:val="24"/>
          <w:szCs w:val="24"/>
        </w:rPr>
        <w:t xml:space="preserve"> </w:t>
      </w:r>
      <w:r>
        <w:rPr>
          <w:rFonts w:ascii="宋体" w:hAnsi="宋体" w:eastAsia="宋体" w:cs="宋体"/>
          <w:spacing w:val="-4"/>
          <w:sz w:val="24"/>
          <w:szCs w:val="24"/>
        </w:rPr>
        <w:t>名</w:t>
      </w:r>
      <w:r>
        <w:rPr>
          <w:rFonts w:ascii="宋体" w:hAnsi="宋体" w:eastAsia="宋体" w:cs="宋体"/>
          <w:spacing w:val="-34"/>
          <w:sz w:val="24"/>
          <w:szCs w:val="24"/>
        </w:rPr>
        <w:t xml:space="preserve"> </w:t>
      </w:r>
      <w:r>
        <w:rPr>
          <w:rFonts w:ascii="宋体" w:hAnsi="宋体" w:eastAsia="宋体" w:cs="宋体"/>
          <w:spacing w:val="-4"/>
          <w:sz w:val="24"/>
          <w:szCs w:val="24"/>
        </w:rPr>
        <w:t>精</w:t>
      </w:r>
      <w:r>
        <w:rPr>
          <w:rFonts w:ascii="宋体" w:hAnsi="宋体" w:eastAsia="宋体" w:cs="宋体"/>
          <w:spacing w:val="90"/>
          <w:sz w:val="24"/>
          <w:szCs w:val="24"/>
        </w:rPr>
        <w:t xml:space="preserve"> </w:t>
      </w:r>
      <w:r>
        <w:rPr>
          <w:rFonts w:ascii="Times New Roman" w:hAnsi="Times New Roman" w:eastAsia="Times New Roman" w:cs="Times New Roman"/>
          <w:i/>
          <w:iCs/>
          <w:spacing w:val="-4"/>
          <w:sz w:val="24"/>
          <w:szCs w:val="24"/>
        </w:rPr>
        <w:t>Carpesium</w:t>
      </w:r>
      <w:r>
        <w:rPr>
          <w:rFonts w:ascii="Times New Roman" w:hAnsi="Times New Roman" w:eastAsia="Times New Roman" w:cs="Times New Roman"/>
          <w:i/>
          <w:iCs/>
          <w:spacing w:val="24"/>
          <w:sz w:val="24"/>
          <w:szCs w:val="24"/>
        </w:rPr>
        <w:t xml:space="preserve">  </w:t>
      </w:r>
      <w:r>
        <w:rPr>
          <w:rFonts w:ascii="Times New Roman" w:hAnsi="Times New Roman" w:eastAsia="Times New Roman" w:cs="Times New Roman"/>
          <w:i/>
          <w:iCs/>
          <w:spacing w:val="-4"/>
          <w:sz w:val="24"/>
          <w:szCs w:val="24"/>
        </w:rPr>
        <w:t>abrotanoides</w:t>
      </w:r>
      <w:r>
        <w:rPr>
          <w:rFonts w:ascii="Times New Roman" w:hAnsi="Times New Roman" w:eastAsia="Times New Roman" w:cs="Times New Roman"/>
          <w:i/>
          <w:iCs/>
          <w:spacing w:val="43"/>
          <w:w w:val="101"/>
          <w:sz w:val="24"/>
          <w:szCs w:val="24"/>
        </w:rPr>
        <w:t xml:space="preserve"> </w:t>
      </w:r>
      <w:r>
        <w:rPr>
          <w:rFonts w:ascii="宋体" w:hAnsi="宋体" w:eastAsia="宋体" w:cs="宋体"/>
          <w:spacing w:val="-4"/>
          <w:sz w:val="24"/>
          <w:szCs w:val="24"/>
        </w:rPr>
        <w:t>、</w:t>
      </w:r>
      <w:r>
        <w:rPr>
          <w:rFonts w:ascii="宋体" w:hAnsi="宋体" w:eastAsia="宋体" w:cs="宋体"/>
          <w:spacing w:val="-32"/>
          <w:sz w:val="24"/>
          <w:szCs w:val="24"/>
        </w:rPr>
        <w:t xml:space="preserve"> </w:t>
      </w:r>
      <w:r>
        <w:rPr>
          <w:rFonts w:ascii="宋体" w:hAnsi="宋体" w:eastAsia="宋体" w:cs="宋体"/>
          <w:spacing w:val="-4"/>
          <w:sz w:val="24"/>
          <w:szCs w:val="24"/>
        </w:rPr>
        <w:t>扁</w:t>
      </w:r>
      <w:r>
        <w:rPr>
          <w:rFonts w:ascii="宋体" w:hAnsi="宋体" w:eastAsia="宋体" w:cs="宋体"/>
          <w:spacing w:val="-35"/>
          <w:sz w:val="24"/>
          <w:szCs w:val="24"/>
        </w:rPr>
        <w:t xml:space="preserve"> </w:t>
      </w:r>
      <w:r>
        <w:rPr>
          <w:rFonts w:ascii="宋体" w:hAnsi="宋体" w:eastAsia="宋体" w:cs="宋体"/>
          <w:spacing w:val="-4"/>
          <w:sz w:val="24"/>
          <w:szCs w:val="24"/>
        </w:rPr>
        <w:t>穗</w:t>
      </w:r>
      <w:r>
        <w:rPr>
          <w:rFonts w:ascii="宋体" w:hAnsi="宋体" w:eastAsia="宋体" w:cs="宋体"/>
          <w:spacing w:val="-31"/>
          <w:sz w:val="24"/>
          <w:szCs w:val="24"/>
        </w:rPr>
        <w:t xml:space="preserve"> </w:t>
      </w:r>
      <w:r>
        <w:rPr>
          <w:rFonts w:ascii="宋体" w:hAnsi="宋体" w:eastAsia="宋体" w:cs="宋体"/>
          <w:spacing w:val="-4"/>
          <w:sz w:val="24"/>
          <w:szCs w:val="24"/>
        </w:rPr>
        <w:t>雀</w:t>
      </w:r>
      <w:r>
        <w:rPr>
          <w:rFonts w:ascii="宋体" w:hAnsi="宋体" w:eastAsia="宋体" w:cs="宋体"/>
          <w:spacing w:val="-33"/>
          <w:sz w:val="24"/>
          <w:szCs w:val="24"/>
        </w:rPr>
        <w:t xml:space="preserve"> </w:t>
      </w:r>
      <w:r>
        <w:rPr>
          <w:rFonts w:ascii="宋体" w:hAnsi="宋体" w:eastAsia="宋体" w:cs="宋体"/>
          <w:spacing w:val="-4"/>
          <w:sz w:val="24"/>
          <w:szCs w:val="24"/>
        </w:rPr>
        <w:t xml:space="preserve">麦  </w:t>
      </w:r>
      <w:r>
        <w:rPr>
          <w:rFonts w:ascii="Times New Roman" w:hAnsi="Times New Roman" w:eastAsia="Times New Roman" w:cs="Times New Roman"/>
          <w:i/>
          <w:iCs/>
          <w:sz w:val="24"/>
          <w:szCs w:val="24"/>
        </w:rPr>
        <w:t>Bromus</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sz w:val="24"/>
          <w:szCs w:val="24"/>
        </w:rPr>
        <w:t>catharticus</w:t>
      </w:r>
      <w:r>
        <w:rPr>
          <w:rFonts w:ascii="Times New Roman" w:hAnsi="Times New Roman" w:eastAsia="Times New Roman" w:cs="Times New Roman"/>
          <w:i/>
          <w:iCs/>
          <w:spacing w:val="-9"/>
          <w:sz w:val="24"/>
          <w:szCs w:val="24"/>
        </w:rPr>
        <w:t xml:space="preserve"> </w:t>
      </w:r>
      <w:r>
        <w:rPr>
          <w:rFonts w:ascii="宋体" w:hAnsi="宋体" w:eastAsia="宋体" w:cs="宋体"/>
          <w:spacing w:val="6"/>
          <w:sz w:val="24"/>
          <w:szCs w:val="24"/>
        </w:rPr>
        <w:t xml:space="preserve">、三脉紫菀 </w:t>
      </w:r>
      <w:r>
        <w:rPr>
          <w:rFonts w:ascii="Times New Roman" w:hAnsi="Times New Roman" w:eastAsia="Times New Roman" w:cs="Times New Roman"/>
          <w:i/>
          <w:iCs/>
          <w:sz w:val="24"/>
          <w:szCs w:val="24"/>
        </w:rPr>
        <w:t>Aster</w:t>
      </w:r>
      <w:r>
        <w:rPr>
          <w:rFonts w:ascii="Times New Roman" w:hAnsi="Times New Roman" w:eastAsia="Times New Roman" w:cs="Times New Roman"/>
          <w:i/>
          <w:iCs/>
          <w:spacing w:val="48"/>
          <w:sz w:val="24"/>
          <w:szCs w:val="24"/>
        </w:rPr>
        <w:t xml:space="preserve"> </w:t>
      </w:r>
      <w:r>
        <w:rPr>
          <w:rFonts w:ascii="Times New Roman" w:hAnsi="Times New Roman" w:eastAsia="Times New Roman" w:cs="Times New Roman"/>
          <w:i/>
          <w:iCs/>
          <w:sz w:val="24"/>
          <w:szCs w:val="24"/>
        </w:rPr>
        <w:t>trinervius</w:t>
      </w:r>
      <w:r>
        <w:rPr>
          <w:rFonts w:ascii="Times New Roman" w:hAnsi="Times New Roman" w:eastAsia="Times New Roman" w:cs="Times New Roman"/>
          <w:i/>
          <w:iCs/>
          <w:spacing w:val="54"/>
          <w:w w:val="101"/>
          <w:sz w:val="24"/>
          <w:szCs w:val="24"/>
        </w:rPr>
        <w:t xml:space="preserve"> </w:t>
      </w:r>
      <w:r>
        <w:rPr>
          <w:rFonts w:ascii="Times New Roman" w:hAnsi="Times New Roman" w:eastAsia="Times New Roman" w:cs="Times New Roman"/>
          <w:sz w:val="24"/>
          <w:szCs w:val="24"/>
        </w:rPr>
        <w:t>subsp</w:t>
      </w:r>
      <w:r>
        <w:rPr>
          <w:rFonts w:ascii="Times New Roman" w:hAnsi="Times New Roman" w:eastAsia="Times New Roman" w:cs="Times New Roman"/>
          <w:spacing w:val="6"/>
          <w:sz w:val="24"/>
          <w:szCs w:val="24"/>
        </w:rPr>
        <w:t>.</w:t>
      </w:r>
      <w:r>
        <w:rPr>
          <w:rFonts w:ascii="Times New Roman" w:hAnsi="Times New Roman" w:eastAsia="Times New Roman" w:cs="Times New Roman"/>
          <w:spacing w:val="48"/>
          <w:sz w:val="24"/>
          <w:szCs w:val="24"/>
        </w:rPr>
        <w:t xml:space="preserve"> </w:t>
      </w:r>
      <w:r>
        <w:rPr>
          <w:rFonts w:ascii="Times New Roman" w:hAnsi="Times New Roman" w:eastAsia="Times New Roman" w:cs="Times New Roman"/>
          <w:i/>
          <w:iCs/>
          <w:sz w:val="24"/>
          <w:szCs w:val="24"/>
        </w:rPr>
        <w:t>ageratoides</w:t>
      </w:r>
      <w:r>
        <w:rPr>
          <w:rFonts w:ascii="宋体" w:hAnsi="宋体" w:eastAsia="宋体" w:cs="宋体"/>
          <w:spacing w:val="6"/>
          <w:sz w:val="24"/>
          <w:szCs w:val="24"/>
        </w:rPr>
        <w:t xml:space="preserve">、云南兔儿风  </w:t>
      </w:r>
      <w:r>
        <w:rPr>
          <w:rFonts w:ascii="Times New Roman" w:hAnsi="Times New Roman" w:eastAsia="Times New Roman" w:cs="Times New Roman"/>
          <w:i/>
          <w:iCs/>
          <w:spacing w:val="-3"/>
          <w:sz w:val="24"/>
          <w:szCs w:val="24"/>
        </w:rPr>
        <w:t>Ainsliaea</w:t>
      </w:r>
      <w:r>
        <w:rPr>
          <w:rFonts w:ascii="Times New Roman" w:hAnsi="Times New Roman" w:eastAsia="Times New Roman" w:cs="Times New Roman"/>
          <w:i/>
          <w:iCs/>
          <w:spacing w:val="-18"/>
          <w:sz w:val="24"/>
          <w:szCs w:val="24"/>
        </w:rPr>
        <w:t xml:space="preserve"> </w:t>
      </w:r>
      <w:r>
        <w:rPr>
          <w:rFonts w:ascii="Times New Roman" w:hAnsi="Times New Roman" w:eastAsia="Times New Roman" w:cs="Times New Roman"/>
          <w:i/>
          <w:iCs/>
          <w:spacing w:val="-3"/>
          <w:sz w:val="24"/>
          <w:szCs w:val="24"/>
        </w:rPr>
        <w:t>yunnanensis</w:t>
      </w:r>
      <w:r>
        <w:rPr>
          <w:rFonts w:ascii="宋体" w:hAnsi="宋体" w:eastAsia="宋体" w:cs="宋体"/>
          <w:spacing w:val="-3"/>
          <w:sz w:val="24"/>
          <w:szCs w:val="24"/>
        </w:rPr>
        <w:t>、华火绒草</w:t>
      </w:r>
      <w:r>
        <w:rPr>
          <w:rFonts w:ascii="宋体" w:hAnsi="宋体" w:eastAsia="宋体" w:cs="宋体"/>
          <w:spacing w:val="-68"/>
          <w:sz w:val="24"/>
          <w:szCs w:val="24"/>
        </w:rPr>
        <w:t xml:space="preserve"> </w:t>
      </w:r>
      <w:r>
        <w:rPr>
          <w:rFonts w:ascii="Times New Roman" w:hAnsi="Times New Roman" w:eastAsia="Times New Roman" w:cs="Times New Roman"/>
          <w:i/>
          <w:iCs/>
          <w:spacing w:val="-3"/>
          <w:sz w:val="24"/>
          <w:szCs w:val="24"/>
        </w:rPr>
        <w:t>Leontopodiumsinense</w:t>
      </w:r>
      <w:r>
        <w:rPr>
          <w:rFonts w:ascii="宋体" w:hAnsi="宋体" w:eastAsia="宋体" w:cs="宋体"/>
          <w:spacing w:val="-3"/>
          <w:sz w:val="24"/>
          <w:szCs w:val="24"/>
        </w:rPr>
        <w:t>、小蓬草</w:t>
      </w:r>
      <w:r>
        <w:rPr>
          <w:rFonts w:ascii="宋体" w:hAnsi="宋体" w:eastAsia="宋体" w:cs="宋体"/>
          <w:spacing w:val="-66"/>
          <w:sz w:val="24"/>
          <w:szCs w:val="24"/>
        </w:rPr>
        <w:t xml:space="preserve"> </w:t>
      </w:r>
      <w:r>
        <w:rPr>
          <w:rFonts w:ascii="Times New Roman" w:hAnsi="Times New Roman" w:eastAsia="Times New Roman" w:cs="Times New Roman"/>
          <w:i/>
          <w:iCs/>
          <w:spacing w:val="-3"/>
          <w:sz w:val="24"/>
          <w:szCs w:val="24"/>
        </w:rPr>
        <w:t>Erigeron canadensis</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香薷</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Elsholtzia</w:t>
      </w:r>
      <w:r>
        <w:rPr>
          <w:rFonts w:ascii="Times New Roman" w:hAnsi="Times New Roman" w:eastAsia="Times New Roman" w:cs="Times New Roman"/>
          <w:i/>
          <w:iCs/>
          <w:spacing w:val="28"/>
          <w:w w:val="101"/>
          <w:sz w:val="24"/>
          <w:szCs w:val="24"/>
        </w:rPr>
        <w:t xml:space="preserve"> </w:t>
      </w:r>
      <w:r>
        <w:rPr>
          <w:rFonts w:ascii="Times New Roman" w:hAnsi="Times New Roman" w:eastAsia="Times New Roman" w:cs="Times New Roman"/>
          <w:i/>
          <w:iCs/>
          <w:spacing w:val="-1"/>
          <w:sz w:val="24"/>
          <w:szCs w:val="24"/>
        </w:rPr>
        <w:t>ciliata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、酢浆草</w:t>
      </w:r>
      <w:r>
        <w:rPr>
          <w:rFonts w:ascii="宋体" w:hAnsi="宋体" w:eastAsia="宋体" w:cs="宋体"/>
          <w:spacing w:val="-46"/>
          <w:sz w:val="24"/>
          <w:szCs w:val="24"/>
        </w:rPr>
        <w:t xml:space="preserve"> </w:t>
      </w:r>
      <w:r>
        <w:rPr>
          <w:rFonts w:ascii="Times New Roman" w:hAnsi="Times New Roman" w:eastAsia="Times New Roman" w:cs="Times New Roman"/>
          <w:i/>
          <w:iCs/>
          <w:spacing w:val="-1"/>
          <w:sz w:val="24"/>
          <w:szCs w:val="24"/>
        </w:rPr>
        <w:t>Oxalis</w:t>
      </w:r>
      <w:r>
        <w:rPr>
          <w:rFonts w:ascii="Times New Roman" w:hAnsi="Times New Roman" w:eastAsia="Times New Roman" w:cs="Times New Roman"/>
          <w:i/>
          <w:iCs/>
          <w:spacing w:val="29"/>
          <w:sz w:val="24"/>
          <w:szCs w:val="24"/>
        </w:rPr>
        <w:t xml:space="preserve"> </w:t>
      </w:r>
      <w:r>
        <w:rPr>
          <w:rFonts w:ascii="Times New Roman" w:hAnsi="Times New Roman" w:eastAsia="Times New Roman" w:cs="Times New Roman"/>
          <w:i/>
          <w:iCs/>
          <w:spacing w:val="-1"/>
          <w:sz w:val="24"/>
          <w:szCs w:val="24"/>
        </w:rPr>
        <w:t>corniculata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、戟叶酸模</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Ru</w:t>
      </w:r>
      <w:r>
        <w:rPr>
          <w:rFonts w:ascii="Times New Roman" w:hAnsi="Times New Roman" w:eastAsia="Times New Roman" w:cs="Times New Roman"/>
          <w:i/>
          <w:iCs/>
          <w:spacing w:val="-2"/>
          <w:sz w:val="24"/>
          <w:szCs w:val="24"/>
        </w:rPr>
        <w:t>mex</w:t>
      </w:r>
      <w:r>
        <w:rPr>
          <w:rFonts w:ascii="Times New Roman" w:hAnsi="Times New Roman" w:eastAsia="Times New Roman" w:cs="Times New Roman"/>
          <w:i/>
          <w:iCs/>
          <w:spacing w:val="26"/>
          <w:w w:val="101"/>
          <w:sz w:val="24"/>
          <w:szCs w:val="24"/>
        </w:rPr>
        <w:t xml:space="preserve"> </w:t>
      </w:r>
      <w:r>
        <w:rPr>
          <w:rFonts w:ascii="Times New Roman" w:hAnsi="Times New Roman" w:eastAsia="Times New Roman" w:cs="Times New Roman"/>
          <w:i/>
          <w:iCs/>
          <w:spacing w:val="-2"/>
          <w:sz w:val="24"/>
          <w:szCs w:val="24"/>
        </w:rPr>
        <w:t>hastatus</w:t>
      </w:r>
      <w:r>
        <w:rPr>
          <w:rFonts w:ascii="宋体" w:hAnsi="宋体" w:eastAsia="宋体" w:cs="宋体"/>
          <w:spacing w:val="-2"/>
          <w:sz w:val="24"/>
          <w:szCs w:val="24"/>
        </w:rPr>
        <w:t xml:space="preserve">、千  </w:t>
      </w:r>
      <w:r>
        <w:rPr>
          <w:rFonts w:ascii="宋体" w:hAnsi="宋体" w:eastAsia="宋体" w:cs="宋体"/>
          <w:spacing w:val="6"/>
          <w:sz w:val="24"/>
          <w:szCs w:val="24"/>
        </w:rPr>
        <w:t>针万线草</w:t>
      </w:r>
      <w:r>
        <w:rPr>
          <w:rFonts w:ascii="宋体" w:hAnsi="宋体" w:eastAsia="宋体" w:cs="宋体"/>
          <w:spacing w:val="-20"/>
          <w:sz w:val="24"/>
          <w:szCs w:val="24"/>
        </w:rPr>
        <w:t xml:space="preserve"> </w:t>
      </w:r>
      <w:r>
        <w:rPr>
          <w:rFonts w:ascii="Times New Roman" w:hAnsi="Times New Roman" w:eastAsia="Times New Roman" w:cs="Times New Roman"/>
          <w:i/>
          <w:iCs/>
          <w:sz w:val="24"/>
          <w:szCs w:val="24"/>
        </w:rPr>
        <w:t>Stellaria</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i/>
          <w:iCs/>
          <w:sz w:val="24"/>
          <w:szCs w:val="24"/>
        </w:rPr>
        <w:t>yunnanensis</w:t>
      </w:r>
      <w:r>
        <w:rPr>
          <w:rFonts w:ascii="宋体" w:hAnsi="宋体" w:eastAsia="宋体" w:cs="宋体"/>
          <w:spacing w:val="6"/>
          <w:sz w:val="24"/>
          <w:szCs w:val="24"/>
        </w:rPr>
        <w:t>、假酸浆</w:t>
      </w:r>
      <w:r>
        <w:rPr>
          <w:rFonts w:ascii="宋体" w:hAnsi="宋体" w:eastAsia="宋体" w:cs="宋体"/>
          <w:spacing w:val="-44"/>
          <w:sz w:val="24"/>
          <w:szCs w:val="24"/>
        </w:rPr>
        <w:t xml:space="preserve"> </w:t>
      </w:r>
      <w:r>
        <w:rPr>
          <w:rFonts w:ascii="Times New Roman" w:hAnsi="Times New Roman" w:eastAsia="Times New Roman" w:cs="Times New Roman"/>
          <w:i/>
          <w:iCs/>
          <w:sz w:val="24"/>
          <w:szCs w:val="24"/>
        </w:rPr>
        <w:t>Nicandraphysalodes</w:t>
      </w:r>
      <w:r>
        <w:rPr>
          <w:rFonts w:ascii="宋体" w:hAnsi="宋体" w:eastAsia="宋体" w:cs="宋体"/>
          <w:spacing w:val="6"/>
          <w:sz w:val="24"/>
          <w:szCs w:val="24"/>
        </w:rPr>
        <w:t>、华扁穗草</w:t>
      </w:r>
      <w:r>
        <w:rPr>
          <w:rFonts w:ascii="宋体" w:hAnsi="宋体" w:eastAsia="宋体" w:cs="宋体"/>
          <w:spacing w:val="-42"/>
          <w:sz w:val="24"/>
          <w:szCs w:val="24"/>
        </w:rPr>
        <w:t xml:space="preserve"> </w:t>
      </w:r>
      <w:r>
        <w:rPr>
          <w:rFonts w:ascii="Times New Roman" w:hAnsi="Times New Roman" w:eastAsia="Times New Roman" w:cs="Times New Roman"/>
          <w:i/>
          <w:iCs/>
          <w:sz w:val="24"/>
          <w:szCs w:val="24"/>
        </w:rPr>
        <w:t>Blysmus</w:t>
      </w:r>
      <w:r>
        <w:rPr>
          <w:rFonts w:ascii="Times New Roman" w:hAnsi="Times New Roman" w:eastAsia="Times New Roman" w:cs="Times New Roman"/>
          <w:i/>
          <w:iCs/>
          <w:spacing w:val="6"/>
          <w:sz w:val="24"/>
          <w:szCs w:val="24"/>
        </w:rPr>
        <w:t xml:space="preserve">    </w:t>
      </w:r>
      <w:r>
        <w:rPr>
          <w:rFonts w:ascii="Times New Roman" w:hAnsi="Times New Roman" w:eastAsia="Times New Roman" w:cs="Times New Roman"/>
          <w:i/>
          <w:iCs/>
          <w:spacing w:val="-2"/>
          <w:sz w:val="24"/>
          <w:szCs w:val="24"/>
        </w:rPr>
        <w:t>sinocompressus</w:t>
      </w:r>
      <w:r>
        <w:rPr>
          <w:rFonts w:ascii="Times New Roman" w:hAnsi="Times New Roman" w:eastAsia="Times New Roman" w:cs="Times New Roman"/>
          <w:i/>
          <w:iCs/>
          <w:spacing w:val="-26"/>
          <w:sz w:val="24"/>
          <w:szCs w:val="24"/>
        </w:rPr>
        <w:t xml:space="preserve"> </w:t>
      </w:r>
      <w:r>
        <w:rPr>
          <w:rFonts w:ascii="宋体" w:hAnsi="宋体" w:eastAsia="宋体" w:cs="宋体"/>
          <w:spacing w:val="-2"/>
          <w:sz w:val="24"/>
          <w:szCs w:val="24"/>
        </w:rPr>
        <w:t>、鼠麹草</w:t>
      </w:r>
      <w:r>
        <w:rPr>
          <w:rFonts w:ascii="宋体" w:hAnsi="宋体" w:eastAsia="宋体" w:cs="宋体"/>
          <w:spacing w:val="-28"/>
          <w:sz w:val="24"/>
          <w:szCs w:val="24"/>
        </w:rPr>
        <w:t xml:space="preserve"> </w:t>
      </w:r>
      <w:r>
        <w:rPr>
          <w:rFonts w:ascii="Times New Roman" w:hAnsi="Times New Roman" w:eastAsia="Times New Roman" w:cs="Times New Roman"/>
          <w:i/>
          <w:iCs/>
          <w:spacing w:val="-2"/>
          <w:sz w:val="24"/>
          <w:szCs w:val="24"/>
        </w:rPr>
        <w:t>Gnaphalium</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pacing w:val="-2"/>
          <w:sz w:val="24"/>
          <w:szCs w:val="24"/>
        </w:rPr>
        <w:t>affine</w:t>
      </w:r>
      <w:r>
        <w:rPr>
          <w:rFonts w:ascii="Times New Roman" w:hAnsi="Times New Roman" w:eastAsia="Times New Roman" w:cs="Times New Roman"/>
          <w:i/>
          <w:iCs/>
          <w:spacing w:val="-32"/>
          <w:sz w:val="24"/>
          <w:szCs w:val="24"/>
        </w:rPr>
        <w:t xml:space="preserve"> </w:t>
      </w:r>
      <w:r>
        <w:rPr>
          <w:rFonts w:ascii="宋体" w:hAnsi="宋体" w:eastAsia="宋体" w:cs="宋体"/>
          <w:spacing w:val="-2"/>
          <w:sz w:val="24"/>
          <w:szCs w:val="24"/>
        </w:rPr>
        <w:t>、千里光</w:t>
      </w:r>
      <w:r>
        <w:rPr>
          <w:rFonts w:ascii="宋体" w:hAnsi="宋体" w:eastAsia="宋体" w:cs="宋体"/>
          <w:spacing w:val="-43"/>
          <w:sz w:val="24"/>
          <w:szCs w:val="24"/>
        </w:rPr>
        <w:t xml:space="preserve"> </w:t>
      </w:r>
      <w:r>
        <w:rPr>
          <w:rFonts w:ascii="Times New Roman" w:hAnsi="Times New Roman" w:eastAsia="Times New Roman" w:cs="Times New Roman"/>
          <w:i/>
          <w:iCs/>
          <w:spacing w:val="-2"/>
          <w:sz w:val="24"/>
          <w:szCs w:val="24"/>
        </w:rPr>
        <w:t>Senecio scandens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 xml:space="preserve">、尼泊尔酸  </w:t>
      </w:r>
      <w:r>
        <w:rPr>
          <w:rFonts w:ascii="宋体" w:hAnsi="宋体" w:eastAsia="宋体" w:cs="宋体"/>
          <w:spacing w:val="-4"/>
          <w:sz w:val="24"/>
          <w:szCs w:val="24"/>
        </w:rPr>
        <w:t>模</w:t>
      </w:r>
      <w:r>
        <w:rPr>
          <w:rFonts w:ascii="宋体" w:hAnsi="宋体" w:eastAsia="宋体" w:cs="宋体"/>
          <w:spacing w:val="-66"/>
          <w:sz w:val="24"/>
          <w:szCs w:val="24"/>
        </w:rPr>
        <w:t xml:space="preserve"> </w:t>
      </w:r>
      <w:r>
        <w:rPr>
          <w:rFonts w:ascii="Times New Roman" w:hAnsi="Times New Roman" w:eastAsia="Times New Roman" w:cs="Times New Roman"/>
          <w:i/>
          <w:iCs/>
          <w:spacing w:val="-4"/>
          <w:sz w:val="24"/>
          <w:szCs w:val="24"/>
        </w:rPr>
        <w:t xml:space="preserve">Rumex nepalensis </w:t>
      </w:r>
      <w:r>
        <w:rPr>
          <w:rFonts w:ascii="宋体" w:hAnsi="宋体" w:eastAsia="宋体" w:cs="宋体"/>
          <w:spacing w:val="-4"/>
          <w:sz w:val="24"/>
          <w:szCs w:val="24"/>
        </w:rPr>
        <w:t>等。除此之外，在局部区域，</w:t>
      </w:r>
      <w:r>
        <w:rPr>
          <w:rFonts w:ascii="宋体" w:hAnsi="宋体" w:eastAsia="宋体" w:cs="宋体"/>
          <w:spacing w:val="59"/>
          <w:sz w:val="24"/>
          <w:szCs w:val="24"/>
        </w:rPr>
        <w:t xml:space="preserve"> </w:t>
      </w:r>
      <w:r>
        <w:rPr>
          <w:rFonts w:ascii="宋体" w:hAnsi="宋体" w:eastAsia="宋体" w:cs="宋体"/>
          <w:spacing w:val="-4"/>
          <w:sz w:val="24"/>
          <w:szCs w:val="24"/>
        </w:rPr>
        <w:t>会形成以外来种</w:t>
      </w:r>
      <w:r>
        <w:rPr>
          <w:rFonts w:ascii="宋体" w:hAnsi="宋体" w:eastAsia="宋体" w:cs="宋体"/>
          <w:spacing w:val="-5"/>
          <w:sz w:val="24"/>
          <w:szCs w:val="24"/>
        </w:rPr>
        <w:t>破坏草、秋英</w:t>
      </w:r>
    </w:p>
    <w:p>
      <w:pPr>
        <w:spacing w:line="219" w:lineRule="auto"/>
        <w:ind w:left="42"/>
        <w:rPr>
          <w:rFonts w:ascii="宋体" w:hAnsi="宋体" w:eastAsia="宋体" w:cs="宋体"/>
          <w:sz w:val="24"/>
          <w:szCs w:val="24"/>
        </w:rPr>
      </w:pPr>
      <w:r>
        <w:rPr>
          <w:rFonts w:ascii="宋体" w:hAnsi="宋体" w:eastAsia="宋体" w:cs="宋体"/>
          <w:spacing w:val="-1"/>
          <w:sz w:val="24"/>
          <w:szCs w:val="24"/>
        </w:rPr>
        <w:t>为优势的群落，说明当地原生植被破坏十分</w:t>
      </w:r>
      <w:r>
        <w:rPr>
          <w:rFonts w:ascii="宋体" w:hAnsi="宋体" w:eastAsia="宋体" w:cs="宋体"/>
          <w:spacing w:val="-2"/>
          <w:sz w:val="24"/>
          <w:szCs w:val="24"/>
        </w:rPr>
        <w:t>严重，导致外来种入侵。</w:t>
      </w:r>
    </w:p>
    <w:p>
      <w:pPr>
        <w:spacing w:before="182" w:line="468" w:lineRule="exact"/>
        <w:ind w:left="519"/>
        <w:rPr>
          <w:rFonts w:ascii="宋体" w:hAnsi="宋体" w:eastAsia="宋体" w:cs="宋体"/>
          <w:sz w:val="24"/>
          <w:szCs w:val="24"/>
        </w:rPr>
      </w:pPr>
      <w:r>
        <w:rPr>
          <w:rFonts w:ascii="宋体" w:hAnsi="宋体" w:eastAsia="宋体" w:cs="宋体"/>
          <w:position w:val="17"/>
          <w:sz w:val="24"/>
          <w:szCs w:val="24"/>
        </w:rPr>
        <w:t>群落中藤本植物极少，常见的有钝萼铁线莲</w:t>
      </w:r>
      <w:r>
        <w:rPr>
          <w:rFonts w:ascii="宋体" w:hAnsi="宋体" w:eastAsia="宋体" w:cs="宋体"/>
          <w:spacing w:val="-44"/>
          <w:position w:val="17"/>
          <w:sz w:val="24"/>
          <w:szCs w:val="24"/>
        </w:rPr>
        <w:t xml:space="preserve"> </w:t>
      </w:r>
      <w:r>
        <w:rPr>
          <w:rFonts w:ascii="Times New Roman" w:hAnsi="Times New Roman" w:eastAsia="Times New Roman" w:cs="Times New Roman"/>
          <w:i/>
          <w:iCs/>
          <w:position w:val="17"/>
          <w:sz w:val="24"/>
          <w:szCs w:val="24"/>
        </w:rPr>
        <w:t>Clematis</w:t>
      </w:r>
      <w:r>
        <w:rPr>
          <w:rFonts w:ascii="Times New Roman" w:hAnsi="Times New Roman" w:eastAsia="Times New Roman" w:cs="Times New Roman"/>
          <w:i/>
          <w:iCs/>
          <w:spacing w:val="-26"/>
          <w:position w:val="17"/>
          <w:sz w:val="24"/>
          <w:szCs w:val="24"/>
        </w:rPr>
        <w:t xml:space="preserve"> </w:t>
      </w:r>
      <w:r>
        <w:rPr>
          <w:rFonts w:ascii="Times New Roman" w:hAnsi="Times New Roman" w:eastAsia="Times New Roman" w:cs="Times New Roman"/>
          <w:i/>
          <w:iCs/>
          <w:position w:val="17"/>
          <w:sz w:val="24"/>
          <w:szCs w:val="24"/>
        </w:rPr>
        <w:t>pe</w:t>
      </w:r>
      <w:r>
        <w:rPr>
          <w:rFonts w:ascii="Times New Roman" w:hAnsi="Times New Roman" w:eastAsia="Times New Roman" w:cs="Times New Roman"/>
          <w:i/>
          <w:iCs/>
          <w:spacing w:val="-1"/>
          <w:position w:val="17"/>
          <w:sz w:val="24"/>
          <w:szCs w:val="24"/>
        </w:rPr>
        <w:t>terae</w:t>
      </w:r>
      <w:r>
        <w:rPr>
          <w:rFonts w:ascii="宋体" w:hAnsi="宋体" w:eastAsia="宋体" w:cs="宋体"/>
          <w:spacing w:val="-1"/>
          <w:position w:val="17"/>
          <w:sz w:val="24"/>
          <w:szCs w:val="24"/>
        </w:rPr>
        <w:t>、黑珠芽薯蓣</w:t>
      </w:r>
    </w:p>
    <w:p>
      <w:pPr>
        <w:spacing w:line="212" w:lineRule="auto"/>
        <w:ind w:left="23"/>
        <w:rPr>
          <w:rFonts w:ascii="宋体" w:hAnsi="宋体" w:eastAsia="宋体" w:cs="宋体"/>
          <w:sz w:val="24"/>
          <w:szCs w:val="24"/>
        </w:rPr>
      </w:pPr>
      <w:r>
        <w:rPr>
          <w:rFonts w:ascii="Times New Roman" w:hAnsi="Times New Roman" w:eastAsia="Times New Roman" w:cs="Times New Roman"/>
          <w:i/>
          <w:iCs/>
          <w:sz w:val="24"/>
          <w:szCs w:val="24"/>
        </w:rPr>
        <w:t>Dioscoreamelanophyma</w:t>
      </w:r>
      <w:r>
        <w:rPr>
          <w:rFonts w:ascii="宋体" w:hAnsi="宋体" w:eastAsia="宋体" w:cs="宋体"/>
          <w:spacing w:val="2"/>
          <w:sz w:val="24"/>
          <w:szCs w:val="24"/>
        </w:rPr>
        <w:t>、马甲菝葜</w:t>
      </w:r>
      <w:r>
        <w:rPr>
          <w:rFonts w:ascii="宋体" w:hAnsi="宋体" w:eastAsia="宋体" w:cs="宋体"/>
          <w:spacing w:val="-36"/>
          <w:sz w:val="24"/>
          <w:szCs w:val="24"/>
        </w:rPr>
        <w:t xml:space="preserve"> </w:t>
      </w:r>
      <w:r>
        <w:rPr>
          <w:rFonts w:ascii="Times New Roman" w:hAnsi="Times New Roman" w:eastAsia="Times New Roman" w:cs="Times New Roman"/>
          <w:i/>
          <w:iCs/>
          <w:sz w:val="24"/>
          <w:szCs w:val="24"/>
        </w:rPr>
        <w:t>Smilax</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sz w:val="24"/>
          <w:szCs w:val="24"/>
        </w:rPr>
        <w:t>lanceifolia</w:t>
      </w:r>
      <w:r>
        <w:rPr>
          <w:rFonts w:ascii="Times New Roman" w:hAnsi="Times New Roman" w:eastAsia="Times New Roman" w:cs="Times New Roman"/>
          <w:i/>
          <w:iCs/>
          <w:spacing w:val="2"/>
          <w:sz w:val="24"/>
          <w:szCs w:val="24"/>
        </w:rPr>
        <w:t xml:space="preserve"> </w:t>
      </w:r>
      <w:r>
        <w:rPr>
          <w:rFonts w:ascii="宋体" w:hAnsi="宋体" w:eastAsia="宋体" w:cs="宋体"/>
          <w:spacing w:val="2"/>
          <w:sz w:val="24"/>
          <w:szCs w:val="24"/>
        </w:rPr>
        <w:t>等。此外，未见附生植</w:t>
      </w:r>
    </w:p>
    <w:p>
      <w:pPr>
        <w:spacing w:before="192" w:line="221" w:lineRule="auto"/>
        <w:ind w:left="39"/>
        <w:rPr>
          <w:rFonts w:ascii="宋体" w:hAnsi="宋体" w:eastAsia="宋体" w:cs="宋体"/>
          <w:sz w:val="24"/>
          <w:szCs w:val="24"/>
        </w:rPr>
      </w:pPr>
      <w:r>
        <w:rPr>
          <w:rFonts w:ascii="宋体" w:hAnsi="宋体" w:eastAsia="宋体" w:cs="宋体"/>
          <w:spacing w:val="-5"/>
          <w:sz w:val="24"/>
          <w:szCs w:val="24"/>
        </w:rPr>
        <w:t>物。</w:t>
      </w:r>
    </w:p>
    <w:p>
      <w:pPr>
        <w:spacing w:before="181"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湖泊水生植被</w:t>
      </w:r>
    </w:p>
    <w:p>
      <w:pPr>
        <w:spacing w:before="164" w:line="220" w:lineRule="auto"/>
        <w:ind w:left="518"/>
        <w:rPr>
          <w:rFonts w:ascii="宋体" w:hAnsi="宋体" w:eastAsia="宋体" w:cs="宋体"/>
          <w:sz w:val="24"/>
          <w:szCs w:val="24"/>
        </w:rPr>
      </w:pPr>
      <w:r>
        <w:rPr>
          <w:rFonts w:ascii="宋体" w:hAnsi="宋体" w:eastAsia="宋体" w:cs="宋体"/>
          <w:sz w:val="24"/>
          <w:szCs w:val="24"/>
        </w:rPr>
        <w:t>湖泊水生植被包括湖泊、池塘、河川沟渠及积水沼</w:t>
      </w:r>
      <w:r>
        <w:rPr>
          <w:rFonts w:ascii="宋体" w:hAnsi="宋体" w:eastAsia="宋体" w:cs="宋体"/>
          <w:spacing w:val="-1"/>
          <w:sz w:val="24"/>
          <w:szCs w:val="24"/>
        </w:rPr>
        <w:t>泽地域的所有植被类</w:t>
      </w:r>
    </w:p>
    <w:p>
      <w:pPr>
        <w:spacing w:before="183" w:line="468" w:lineRule="exact"/>
        <w:ind w:left="46"/>
        <w:rPr>
          <w:rFonts w:ascii="宋体" w:hAnsi="宋体" w:eastAsia="宋体" w:cs="宋体"/>
          <w:sz w:val="24"/>
          <w:szCs w:val="24"/>
        </w:rPr>
      </w:pPr>
      <w:r>
        <w:rPr>
          <w:rFonts w:ascii="宋体" w:hAnsi="宋体" w:eastAsia="宋体" w:cs="宋体"/>
          <w:spacing w:val="-1"/>
          <w:position w:val="17"/>
          <w:sz w:val="24"/>
          <w:szCs w:val="24"/>
        </w:rPr>
        <w:t>型，由于云南各大江河水流湍急、大片沼泽不多，很少有真正的水生植被群落</w:t>
      </w:r>
    </w:p>
    <w:p>
      <w:pPr>
        <w:spacing w:before="1" w:line="218" w:lineRule="auto"/>
        <w:ind w:left="43"/>
        <w:rPr>
          <w:rFonts w:ascii="宋体" w:hAnsi="宋体" w:eastAsia="宋体" w:cs="宋体"/>
          <w:sz w:val="24"/>
          <w:szCs w:val="24"/>
        </w:rPr>
      </w:pPr>
      <w:r>
        <w:rPr>
          <w:rFonts w:ascii="宋体" w:hAnsi="宋体" w:eastAsia="宋体" w:cs="宋体"/>
          <w:spacing w:val="-4"/>
          <w:sz w:val="24"/>
          <w:szCs w:val="24"/>
        </w:rPr>
        <w:t>发育，一般都是在湖泊等静水区域才发育有水生植物群落。此外， 在湖区小</w:t>
      </w:r>
    </w:p>
    <w:p>
      <w:pPr>
        <w:spacing w:before="184" w:line="219" w:lineRule="auto"/>
        <w:ind w:left="38"/>
        <w:rPr>
          <w:rFonts w:ascii="宋体" w:hAnsi="宋体" w:eastAsia="宋体" w:cs="宋体"/>
          <w:sz w:val="24"/>
          <w:szCs w:val="24"/>
        </w:rPr>
      </w:pPr>
      <w:r>
        <w:rPr>
          <w:rFonts w:ascii="宋体" w:hAnsi="宋体" w:eastAsia="宋体" w:cs="宋体"/>
          <w:sz w:val="24"/>
          <w:szCs w:val="24"/>
        </w:rPr>
        <w:t>河、水沟、水池和龙潭等水流平缓处，偶然有</w:t>
      </w:r>
      <w:r>
        <w:rPr>
          <w:rFonts w:ascii="宋体" w:hAnsi="宋体" w:eastAsia="宋体" w:cs="宋体"/>
          <w:spacing w:val="-1"/>
          <w:sz w:val="24"/>
          <w:szCs w:val="24"/>
        </w:rPr>
        <w:t>水生植物群落发育。</w:t>
      </w:r>
    </w:p>
    <w:p>
      <w:pPr>
        <w:spacing w:before="183" w:line="360" w:lineRule="auto"/>
        <w:ind w:left="40" w:right="352" w:firstLine="478"/>
        <w:rPr>
          <w:rFonts w:ascii="宋体" w:hAnsi="宋体" w:eastAsia="宋体" w:cs="宋体"/>
          <w:sz w:val="24"/>
          <w:szCs w:val="24"/>
        </w:rPr>
      </w:pPr>
      <w:r>
        <w:rPr>
          <w:rFonts w:ascii="宋体" w:hAnsi="宋体" w:eastAsia="宋体" w:cs="宋体"/>
          <w:sz w:val="24"/>
          <w:szCs w:val="24"/>
        </w:rPr>
        <w:t>评价区属于滇中高原湖泊群区域，但属于金沙江流域</w:t>
      </w:r>
      <w:r>
        <w:rPr>
          <w:rFonts w:ascii="宋体" w:hAnsi="宋体" w:eastAsia="宋体" w:cs="宋体"/>
          <w:spacing w:val="-1"/>
          <w:sz w:val="24"/>
          <w:szCs w:val="24"/>
        </w:rPr>
        <w:t>中山峡谷区，为金沙</w:t>
      </w:r>
      <w:r>
        <w:rPr>
          <w:rFonts w:ascii="宋体" w:hAnsi="宋体" w:eastAsia="宋体" w:cs="宋体"/>
          <w:sz w:val="24"/>
          <w:szCs w:val="24"/>
        </w:rPr>
        <w:t xml:space="preserve"> </w:t>
      </w:r>
      <w:r>
        <w:rPr>
          <w:rFonts w:ascii="宋体" w:hAnsi="宋体" w:eastAsia="宋体" w:cs="宋体"/>
          <w:spacing w:val="-6"/>
          <w:sz w:val="24"/>
          <w:szCs w:val="24"/>
        </w:rPr>
        <w:t>江一级支流万马河上游，桂花河及其支流水浅而湍急，人为干扰历史长久，</w:t>
      </w:r>
      <w:r>
        <w:rPr>
          <w:rFonts w:ascii="宋体" w:hAnsi="宋体" w:eastAsia="宋体" w:cs="宋体"/>
          <w:spacing w:val="73"/>
          <w:sz w:val="24"/>
          <w:szCs w:val="24"/>
        </w:rPr>
        <w:t xml:space="preserve"> </w:t>
      </w:r>
      <w:r>
        <w:rPr>
          <w:rFonts w:ascii="宋体" w:hAnsi="宋体" w:eastAsia="宋体" w:cs="宋体"/>
          <w:spacing w:val="-6"/>
          <w:sz w:val="24"/>
          <w:szCs w:val="24"/>
        </w:rPr>
        <w:t>大</w:t>
      </w:r>
      <w:r>
        <w:rPr>
          <w:rFonts w:ascii="宋体" w:hAnsi="宋体" w:eastAsia="宋体" w:cs="宋体"/>
          <w:sz w:val="24"/>
          <w:szCs w:val="24"/>
        </w:rPr>
        <w:t xml:space="preserve"> </w:t>
      </w:r>
      <w:r>
        <w:rPr>
          <w:rFonts w:ascii="宋体" w:hAnsi="宋体" w:eastAsia="宋体" w:cs="宋体"/>
          <w:spacing w:val="-2"/>
          <w:sz w:val="24"/>
          <w:szCs w:val="24"/>
        </w:rPr>
        <w:t>多数水域并无水生植物群落发育，仅在部分水流平缓的河岸、池塘或水塘中</w:t>
      </w:r>
      <w:r>
        <w:rPr>
          <w:rFonts w:ascii="宋体" w:hAnsi="宋体" w:eastAsia="宋体" w:cs="宋体"/>
          <w:spacing w:val="-63"/>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偶然有水生植物出现，也几乎不成群落。目前，调查</w:t>
      </w:r>
      <w:r>
        <w:rPr>
          <w:rFonts w:ascii="宋体" w:hAnsi="宋体" w:eastAsia="宋体" w:cs="宋体"/>
          <w:spacing w:val="-1"/>
          <w:sz w:val="24"/>
          <w:szCs w:val="24"/>
        </w:rPr>
        <w:t>中发现输水管道终点碧么</w:t>
      </w:r>
      <w:r>
        <w:rPr>
          <w:rFonts w:ascii="宋体" w:hAnsi="宋体" w:eastAsia="宋体" w:cs="宋体"/>
          <w:sz w:val="24"/>
          <w:szCs w:val="24"/>
        </w:rPr>
        <w:t xml:space="preserve"> </w:t>
      </w:r>
      <w:r>
        <w:rPr>
          <w:rFonts w:ascii="宋体" w:hAnsi="宋体" w:eastAsia="宋体" w:cs="宋体"/>
          <w:spacing w:val="-6"/>
          <w:sz w:val="24"/>
          <w:szCs w:val="24"/>
        </w:rPr>
        <w:t>水库浅水区有极为狭窄的水生植被发育，</w:t>
      </w:r>
      <w:r>
        <w:rPr>
          <w:rFonts w:ascii="宋体" w:hAnsi="宋体" w:eastAsia="宋体" w:cs="宋体"/>
          <w:spacing w:val="73"/>
          <w:sz w:val="24"/>
          <w:szCs w:val="24"/>
        </w:rPr>
        <w:t xml:space="preserve"> </w:t>
      </w:r>
      <w:r>
        <w:rPr>
          <w:rFonts w:ascii="宋体" w:hAnsi="宋体" w:eastAsia="宋体" w:cs="宋体"/>
          <w:spacing w:val="-6"/>
          <w:sz w:val="24"/>
          <w:szCs w:val="24"/>
        </w:rPr>
        <w:t>仅有两种植被亚型：挺水植物群落及</w:t>
      </w:r>
    </w:p>
    <w:p>
      <w:pPr>
        <w:spacing w:before="1" w:line="219" w:lineRule="auto"/>
        <w:ind w:left="44"/>
        <w:rPr>
          <w:rFonts w:ascii="宋体" w:hAnsi="宋体" w:eastAsia="宋体" w:cs="宋体"/>
          <w:sz w:val="24"/>
          <w:szCs w:val="24"/>
        </w:rPr>
      </w:pPr>
      <w:r>
        <w:rPr>
          <w:rFonts w:ascii="宋体" w:hAnsi="宋体" w:eastAsia="宋体" w:cs="宋体"/>
          <w:spacing w:val="-4"/>
          <w:sz w:val="24"/>
          <w:szCs w:val="24"/>
        </w:rPr>
        <w:t>沼泽植被和漂浮植物群落。</w:t>
      </w:r>
    </w:p>
    <w:p>
      <w:pPr>
        <w:spacing w:before="182" w:line="220" w:lineRule="auto"/>
        <w:ind w:left="597"/>
        <w:rPr>
          <w:rFonts w:ascii="宋体" w:hAnsi="宋体" w:eastAsia="宋体" w:cs="宋体"/>
          <w:sz w:val="24"/>
          <w:szCs w:val="24"/>
        </w:rPr>
      </w:pPr>
      <w:r>
        <w:rPr>
          <w:rFonts w:ascii="宋体" w:hAnsi="宋体" w:eastAsia="宋体" w:cs="宋体"/>
          <w:spacing w:val="-7"/>
          <w:sz w:val="24"/>
          <w:szCs w:val="24"/>
        </w:rPr>
        <w:t>Ⅰ</w:t>
      </w:r>
      <w:r>
        <w:rPr>
          <w:rFonts w:ascii="Times New Roman" w:hAnsi="Times New Roman" w:eastAsia="Times New Roman" w:cs="Times New Roman"/>
          <w:spacing w:val="-7"/>
          <w:sz w:val="24"/>
          <w:szCs w:val="24"/>
        </w:rPr>
        <w:t>.</w:t>
      </w:r>
      <w:r>
        <w:rPr>
          <w:rFonts w:ascii="宋体" w:hAnsi="宋体" w:eastAsia="宋体" w:cs="宋体"/>
          <w:spacing w:val="-7"/>
          <w:sz w:val="24"/>
          <w:szCs w:val="24"/>
        </w:rPr>
        <w:t>挺水植物群落及沼泽植被</w:t>
      </w:r>
    </w:p>
    <w:p>
      <w:pPr>
        <w:spacing w:before="183" w:line="360" w:lineRule="auto"/>
        <w:ind w:left="42" w:right="352" w:firstLine="476"/>
        <w:rPr>
          <w:rFonts w:ascii="宋体" w:hAnsi="宋体" w:eastAsia="宋体" w:cs="宋体"/>
          <w:sz w:val="24"/>
          <w:szCs w:val="24"/>
        </w:rPr>
      </w:pPr>
      <w:r>
        <w:rPr>
          <w:rFonts w:ascii="宋体" w:hAnsi="宋体" w:eastAsia="宋体" w:cs="宋体"/>
          <w:sz w:val="24"/>
          <w:szCs w:val="24"/>
        </w:rPr>
        <w:t>挺水植物群落的主要植物扎根于水底泥土中，植物体</w:t>
      </w:r>
      <w:r>
        <w:rPr>
          <w:rFonts w:ascii="宋体" w:hAnsi="宋体" w:eastAsia="宋体" w:cs="宋体"/>
          <w:spacing w:val="-1"/>
          <w:sz w:val="24"/>
          <w:szCs w:val="24"/>
        </w:rPr>
        <w:t>上部或叶挺出水面，</w:t>
      </w:r>
      <w:r>
        <w:rPr>
          <w:rFonts w:ascii="宋体" w:hAnsi="宋体" w:eastAsia="宋体" w:cs="宋体"/>
          <w:sz w:val="24"/>
          <w:szCs w:val="24"/>
        </w:rPr>
        <w:t xml:space="preserve"> 当干季水位下降，全株大都出露在空气中。挺水</w:t>
      </w:r>
      <w:r>
        <w:rPr>
          <w:rFonts w:ascii="宋体" w:hAnsi="宋体" w:eastAsia="宋体" w:cs="宋体"/>
          <w:spacing w:val="-1"/>
          <w:sz w:val="24"/>
          <w:szCs w:val="24"/>
        </w:rPr>
        <w:t>植物群落多分布于湖泊沿岸浅</w:t>
      </w:r>
      <w:r>
        <w:rPr>
          <w:rFonts w:ascii="宋体" w:hAnsi="宋体" w:eastAsia="宋体" w:cs="宋体"/>
          <w:sz w:val="24"/>
          <w:szCs w:val="24"/>
        </w:rPr>
        <w:t xml:space="preserve"> 水处，在密集生长的情况下，其下层伴生植物多</w:t>
      </w:r>
      <w:r>
        <w:rPr>
          <w:rFonts w:ascii="宋体" w:hAnsi="宋体" w:eastAsia="宋体" w:cs="宋体"/>
          <w:spacing w:val="-1"/>
          <w:sz w:val="24"/>
          <w:szCs w:val="24"/>
        </w:rPr>
        <w:t>为湿生的种类，而在上层覆盖</w:t>
      </w:r>
    </w:p>
    <w:p>
      <w:pPr>
        <w:spacing w:line="218" w:lineRule="auto"/>
        <w:ind w:left="39"/>
        <w:rPr>
          <w:rFonts w:ascii="宋体" w:hAnsi="宋体" w:eastAsia="宋体" w:cs="宋体"/>
          <w:sz w:val="24"/>
          <w:szCs w:val="24"/>
        </w:rPr>
      </w:pPr>
      <w:r>
        <w:rPr>
          <w:rFonts w:ascii="宋体" w:hAnsi="宋体" w:eastAsia="宋体" w:cs="宋体"/>
          <w:sz w:val="24"/>
          <w:szCs w:val="24"/>
        </w:rPr>
        <w:t>较为稀疏或根层不十分密集时，则常有漂浮植物甚至有些沉水植</w:t>
      </w:r>
      <w:r>
        <w:rPr>
          <w:rFonts w:ascii="宋体" w:hAnsi="宋体" w:eastAsia="宋体" w:cs="宋体"/>
          <w:spacing w:val="-1"/>
          <w:sz w:val="24"/>
          <w:szCs w:val="24"/>
        </w:rPr>
        <w:t>物伴生。评价</w:t>
      </w:r>
    </w:p>
    <w:p>
      <w:pPr>
        <w:spacing w:line="218" w:lineRule="auto"/>
        <w:rPr>
          <w:rFonts w:ascii="宋体" w:hAnsi="宋体" w:eastAsia="宋体" w:cs="宋体"/>
          <w:sz w:val="24"/>
          <w:szCs w:val="24"/>
        </w:rPr>
        <w:sectPr>
          <w:headerReference r:id="rId278" w:type="default"/>
          <w:footerReference r:id="rId279" w:type="default"/>
          <w:pgSz w:w="11907" w:h="16839"/>
          <w:pgMar w:top="1156" w:right="1592" w:bottom="1374" w:left="1770" w:header="881" w:footer="1210" w:gutter="0"/>
        </w:sectPr>
      </w:pPr>
    </w:p>
    <w:p>
      <w:pPr>
        <w:spacing w:line="317" w:lineRule="auto"/>
        <w:rPr>
          <w:rFonts w:ascii="Arial"/>
          <w:sz w:val="21"/>
        </w:rPr>
      </w:pPr>
    </w:p>
    <w:p>
      <w:pPr>
        <w:spacing w:before="78" w:line="212" w:lineRule="auto"/>
        <w:ind w:left="57"/>
        <w:rPr>
          <w:rFonts w:ascii="宋体" w:hAnsi="宋体" w:eastAsia="宋体" w:cs="宋体"/>
          <w:sz w:val="24"/>
          <w:szCs w:val="24"/>
        </w:rPr>
      </w:pPr>
      <w:r>
        <w:rPr>
          <w:rFonts w:ascii="宋体" w:hAnsi="宋体" w:eastAsia="宋体" w:cs="宋体"/>
          <w:spacing w:val="-3"/>
          <w:sz w:val="24"/>
          <w:szCs w:val="24"/>
        </w:rPr>
        <w:t>区仅发现一个群系：水蓼群落（</w:t>
      </w:r>
      <w:r>
        <w:rPr>
          <w:rFonts w:ascii="Times New Roman" w:hAnsi="Times New Roman" w:eastAsia="Times New Roman" w:cs="Times New Roman"/>
          <w:i/>
          <w:iCs/>
          <w:spacing w:val="-3"/>
          <w:sz w:val="24"/>
          <w:szCs w:val="24"/>
        </w:rPr>
        <w:t xml:space="preserve">Phragmites australis </w:t>
      </w:r>
      <w:r>
        <w:rPr>
          <w:rFonts w:ascii="Times New Roman" w:hAnsi="Times New Roman" w:eastAsia="Times New Roman" w:cs="Times New Roman"/>
          <w:spacing w:val="-3"/>
          <w:sz w:val="24"/>
          <w:szCs w:val="24"/>
        </w:rPr>
        <w:t>Comm.</w:t>
      </w:r>
      <w:r>
        <w:rPr>
          <w:rFonts w:ascii="宋体" w:hAnsi="宋体" w:eastAsia="宋体" w:cs="宋体"/>
          <w:spacing w:val="-3"/>
          <w:sz w:val="24"/>
          <w:szCs w:val="24"/>
        </w:rPr>
        <w:t>）。</w:t>
      </w:r>
    </w:p>
    <w:p>
      <w:pPr>
        <w:spacing w:before="192" w:line="360" w:lineRule="auto"/>
        <w:ind w:left="39" w:right="92" w:firstLine="480"/>
        <w:rPr>
          <w:rFonts w:ascii="宋体" w:hAnsi="宋体" w:eastAsia="宋体" w:cs="宋体"/>
          <w:sz w:val="24"/>
          <w:szCs w:val="24"/>
        </w:rPr>
      </w:pPr>
      <w:r>
        <w:rPr>
          <w:rFonts w:ascii="宋体" w:hAnsi="宋体" w:eastAsia="宋体" w:cs="宋体"/>
          <w:spacing w:val="-1"/>
          <w:sz w:val="24"/>
          <w:szCs w:val="24"/>
        </w:rPr>
        <w:t xml:space="preserve">本群系广布于我省湖滨、河漫滩低洼地以及田间浅水沟渠，旱季为沼泽湿 </w:t>
      </w:r>
      <w:r>
        <w:rPr>
          <w:rFonts w:ascii="宋体" w:hAnsi="宋体" w:eastAsia="宋体" w:cs="宋体"/>
          <w:spacing w:val="-2"/>
          <w:sz w:val="24"/>
          <w:szCs w:val="24"/>
        </w:rPr>
        <w:t>地，雨季水深</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30cm</w:t>
      </w:r>
      <w:r>
        <w:rPr>
          <w:rFonts w:ascii="Times New Roman" w:hAnsi="Times New Roman" w:eastAsia="Times New Roman" w:cs="Times New Roman"/>
          <w:spacing w:val="37"/>
          <w:w w:val="101"/>
          <w:sz w:val="24"/>
          <w:szCs w:val="24"/>
        </w:rPr>
        <w:t xml:space="preserve"> </w:t>
      </w:r>
      <w:r>
        <w:rPr>
          <w:rFonts w:ascii="宋体" w:hAnsi="宋体" w:eastAsia="宋体" w:cs="宋体"/>
          <w:spacing w:val="-2"/>
          <w:sz w:val="24"/>
          <w:szCs w:val="24"/>
        </w:rPr>
        <w:t>以内，残存在大部分湖泊沿岸地段，也见于浅水洼地及河</w:t>
      </w:r>
      <w:r>
        <w:rPr>
          <w:rFonts w:ascii="宋体" w:hAnsi="宋体" w:eastAsia="宋体" w:cs="宋体"/>
          <w:sz w:val="24"/>
          <w:szCs w:val="24"/>
        </w:rPr>
        <w:t xml:space="preserve">  </w:t>
      </w:r>
      <w:r>
        <w:rPr>
          <w:rFonts w:ascii="宋体" w:hAnsi="宋体" w:eastAsia="宋体" w:cs="宋体"/>
          <w:spacing w:val="-1"/>
          <w:sz w:val="24"/>
          <w:szCs w:val="24"/>
        </w:rPr>
        <w:t>漫滩外缘，最高海拔达</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2700m </w:t>
      </w:r>
      <w:r>
        <w:rPr>
          <w:rFonts w:ascii="宋体" w:hAnsi="宋体" w:eastAsia="宋体" w:cs="宋体"/>
          <w:spacing w:val="-1"/>
          <w:sz w:val="24"/>
          <w:szCs w:val="24"/>
        </w:rPr>
        <w:t>或更高</w:t>
      </w:r>
      <w:r>
        <w:rPr>
          <w:rFonts w:ascii="宋体" w:hAnsi="宋体" w:eastAsia="宋体" w:cs="宋体"/>
          <w:spacing w:val="-2"/>
          <w:sz w:val="24"/>
          <w:szCs w:val="24"/>
        </w:rPr>
        <w:t>。群落生长地水深</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0.3~0.7m</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，干季水位下</w:t>
      </w:r>
      <w:r>
        <w:rPr>
          <w:rFonts w:ascii="宋体" w:hAnsi="宋体" w:eastAsia="宋体" w:cs="宋体"/>
          <w:sz w:val="24"/>
          <w:szCs w:val="24"/>
        </w:rPr>
        <w:t xml:space="preserve"> </w:t>
      </w:r>
      <w:r>
        <w:rPr>
          <w:rFonts w:ascii="宋体" w:hAnsi="宋体" w:eastAsia="宋体" w:cs="宋体"/>
          <w:spacing w:val="-1"/>
          <w:sz w:val="24"/>
          <w:szCs w:val="24"/>
        </w:rPr>
        <w:t xml:space="preserve">降有时成为湿地，也有生长于地下水位很高的沼泽地，底质为泥土或沙土，也 </w:t>
      </w:r>
      <w:r>
        <w:rPr>
          <w:rFonts w:ascii="宋体" w:hAnsi="宋体" w:eastAsia="宋体" w:cs="宋体"/>
          <w:spacing w:val="-5"/>
          <w:sz w:val="24"/>
          <w:szCs w:val="24"/>
        </w:rPr>
        <w:t>可能砾石堆积地。本评价区调查仅发现一种群落：水蓼、稗</w:t>
      </w:r>
      <w:r>
        <w:rPr>
          <w:rFonts w:ascii="宋体" w:hAnsi="宋体" w:eastAsia="宋体" w:cs="宋体"/>
          <w:spacing w:val="-6"/>
          <w:sz w:val="24"/>
          <w:szCs w:val="24"/>
        </w:rPr>
        <w:t>、</w:t>
      </w:r>
      <w:r>
        <w:rPr>
          <w:rFonts w:ascii="宋体" w:hAnsi="宋体" w:eastAsia="宋体" w:cs="宋体"/>
          <w:spacing w:val="48"/>
          <w:sz w:val="24"/>
          <w:szCs w:val="24"/>
        </w:rPr>
        <w:t xml:space="preserve"> </w:t>
      </w:r>
      <w:r>
        <w:rPr>
          <w:rFonts w:ascii="宋体" w:hAnsi="宋体" w:eastAsia="宋体" w:cs="宋体"/>
          <w:spacing w:val="-6"/>
          <w:sz w:val="24"/>
          <w:szCs w:val="24"/>
        </w:rPr>
        <w:t>喜旱莲子草群落</w:t>
      </w:r>
    </w:p>
    <w:p>
      <w:pPr>
        <w:spacing w:line="212" w:lineRule="auto"/>
        <w:ind w:left="45"/>
        <w:rPr>
          <w:rFonts w:ascii="Times New Roman" w:hAnsi="Times New Roman" w:eastAsia="Times New Roman" w:cs="Times New Roman"/>
          <w:sz w:val="24"/>
          <w:szCs w:val="24"/>
        </w:rPr>
      </w:pPr>
      <w:r>
        <w:rPr>
          <w:rFonts w:ascii="宋体" w:hAnsi="宋体" w:eastAsia="宋体" w:cs="宋体"/>
          <w:sz w:val="24"/>
          <w:szCs w:val="24"/>
        </w:rPr>
        <w:t>（</w:t>
      </w:r>
      <w:r>
        <w:rPr>
          <w:rFonts w:ascii="Times New Roman" w:hAnsi="Times New Roman" w:eastAsia="Times New Roman" w:cs="Times New Roman"/>
          <w:i/>
          <w:iCs/>
          <w:sz w:val="24"/>
          <w:szCs w:val="24"/>
        </w:rPr>
        <w:t>Persicaria hydropiper</w:t>
      </w:r>
      <w:r>
        <w:rPr>
          <w:rFonts w:ascii="Times New Roman" w:hAnsi="Times New Roman" w:eastAsia="Times New Roman" w:cs="Times New Roman"/>
          <w:sz w:val="24"/>
          <w:szCs w:val="24"/>
        </w:rPr>
        <w:t xml:space="preserve">, </w:t>
      </w:r>
      <w:r>
        <w:rPr>
          <w:rFonts w:ascii="Times New Roman" w:hAnsi="Times New Roman" w:eastAsia="Times New Roman" w:cs="Times New Roman"/>
          <w:i/>
          <w:iCs/>
          <w:sz w:val="24"/>
          <w:szCs w:val="24"/>
        </w:rPr>
        <w:t>Echinochloa crus-galli</w:t>
      </w:r>
      <w:r>
        <w:rPr>
          <w:rFonts w:ascii="Times New Roman" w:hAnsi="Times New Roman" w:eastAsia="Times New Roman" w:cs="Times New Roman"/>
          <w:sz w:val="24"/>
          <w:szCs w:val="24"/>
        </w:rPr>
        <w:t>,</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i/>
          <w:iCs/>
          <w:sz w:val="24"/>
          <w:szCs w:val="24"/>
        </w:rPr>
        <w:t>Alternanthera</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z w:val="24"/>
          <w:szCs w:val="24"/>
        </w:rPr>
        <w:t>philoxeroides</w:t>
      </w:r>
    </w:p>
    <w:p>
      <w:pPr>
        <w:spacing w:before="191" w:line="232" w:lineRule="auto"/>
        <w:ind w:left="38"/>
        <w:rPr>
          <w:rFonts w:ascii="宋体" w:hAnsi="宋体" w:eastAsia="宋体" w:cs="宋体"/>
          <w:sz w:val="24"/>
          <w:szCs w:val="24"/>
        </w:rPr>
      </w:pPr>
      <w:r>
        <w:rPr>
          <w:rFonts w:ascii="Times New Roman" w:hAnsi="Times New Roman" w:eastAsia="Times New Roman" w:cs="Times New Roman"/>
          <w:spacing w:val="-14"/>
          <w:sz w:val="24"/>
          <w:szCs w:val="24"/>
        </w:rPr>
        <w:t>Comm.</w:t>
      </w:r>
      <w:r>
        <w:rPr>
          <w:rFonts w:ascii="宋体" w:hAnsi="宋体" w:eastAsia="宋体" w:cs="宋体"/>
          <w:spacing w:val="-14"/>
          <w:sz w:val="24"/>
          <w:szCs w:val="24"/>
        </w:rPr>
        <w:t>）。</w:t>
      </w:r>
    </w:p>
    <w:p>
      <w:pPr>
        <w:spacing w:before="167" w:line="360" w:lineRule="auto"/>
        <w:ind w:left="40" w:right="177" w:firstLine="482"/>
        <w:rPr>
          <w:rFonts w:ascii="宋体" w:hAnsi="宋体" w:eastAsia="宋体" w:cs="宋体"/>
          <w:sz w:val="24"/>
          <w:szCs w:val="24"/>
        </w:rPr>
      </w:pPr>
      <w:r>
        <w:rPr>
          <w:rFonts w:ascii="宋体" w:hAnsi="宋体" w:eastAsia="宋体" w:cs="宋体"/>
          <w:spacing w:val="-2"/>
          <w:sz w:val="24"/>
          <w:szCs w:val="24"/>
        </w:rPr>
        <w:t>该群落盖度多在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60%</w:t>
      </w:r>
      <w:r>
        <w:rPr>
          <w:rFonts w:ascii="宋体" w:hAnsi="宋体" w:eastAsia="宋体" w:cs="宋体"/>
          <w:spacing w:val="-2"/>
          <w:sz w:val="24"/>
          <w:szCs w:val="24"/>
        </w:rPr>
        <w:t>以下，群落优势种为水蓼，茎</w:t>
      </w:r>
      <w:r>
        <w:rPr>
          <w:rFonts w:ascii="宋体" w:hAnsi="宋体" w:eastAsia="宋体" w:cs="宋体"/>
          <w:spacing w:val="-3"/>
          <w:sz w:val="24"/>
          <w:szCs w:val="24"/>
        </w:rPr>
        <w:t>叶在秋季多少呈红色，</w:t>
      </w:r>
      <w:r>
        <w:rPr>
          <w:rFonts w:ascii="宋体" w:hAnsi="宋体" w:eastAsia="宋体" w:cs="宋体"/>
          <w:sz w:val="24"/>
          <w:szCs w:val="24"/>
        </w:rPr>
        <w:t xml:space="preserve"> 花序穗状、粉红色，构成了群落的季相，伴生种类</w:t>
      </w:r>
      <w:r>
        <w:rPr>
          <w:rFonts w:ascii="宋体" w:hAnsi="宋体" w:eastAsia="宋体" w:cs="宋体"/>
          <w:spacing w:val="-1"/>
          <w:sz w:val="24"/>
          <w:szCs w:val="24"/>
        </w:rPr>
        <w:t>比较复杂，因地而异，通常</w:t>
      </w:r>
    </w:p>
    <w:p>
      <w:pPr>
        <w:spacing w:line="219" w:lineRule="auto"/>
        <w:ind w:left="50"/>
        <w:rPr>
          <w:rFonts w:ascii="宋体" w:hAnsi="宋体" w:eastAsia="宋体" w:cs="宋体"/>
          <w:sz w:val="24"/>
          <w:szCs w:val="24"/>
        </w:rPr>
      </w:pPr>
      <w:r>
        <w:rPr>
          <w:rFonts w:ascii="宋体" w:hAnsi="宋体" w:eastAsia="宋体" w:cs="宋体"/>
          <w:spacing w:val="-6"/>
          <w:sz w:val="24"/>
          <w:szCs w:val="24"/>
        </w:rPr>
        <w:t>多为田间湿生杂草。</w:t>
      </w:r>
    </w:p>
    <w:p>
      <w:pPr>
        <w:spacing w:before="183" w:line="360" w:lineRule="auto"/>
        <w:ind w:left="38" w:right="77" w:firstLine="480"/>
        <w:rPr>
          <w:rFonts w:ascii="Times New Roman" w:hAnsi="Times New Roman" w:eastAsia="Times New Roman" w:cs="Times New Roman"/>
          <w:sz w:val="24"/>
          <w:szCs w:val="24"/>
        </w:rPr>
      </w:pPr>
      <w:r>
        <w:rPr>
          <w:rFonts w:ascii="宋体" w:hAnsi="宋体" w:eastAsia="宋体" w:cs="宋体"/>
          <w:sz w:val="24"/>
          <w:szCs w:val="24"/>
        </w:rPr>
        <w:t>评价区的水蓼、稗、喜旱莲子草群落仅出现于碧么水</w:t>
      </w:r>
      <w:r>
        <w:rPr>
          <w:rFonts w:ascii="宋体" w:hAnsi="宋体" w:eastAsia="宋体" w:cs="宋体"/>
          <w:spacing w:val="-1"/>
          <w:sz w:val="24"/>
          <w:szCs w:val="24"/>
        </w:rPr>
        <w:t xml:space="preserve">库两岸浅水区，面积 </w:t>
      </w:r>
      <w:r>
        <w:rPr>
          <w:rFonts w:ascii="宋体" w:hAnsi="宋体" w:eastAsia="宋体" w:cs="宋体"/>
          <w:spacing w:val="-4"/>
          <w:sz w:val="24"/>
          <w:szCs w:val="24"/>
        </w:rPr>
        <w:t>不超过</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1000m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6"/>
          <w:sz w:val="24"/>
          <w:szCs w:val="24"/>
        </w:rPr>
        <w:t>，极为零星， 水深通常在</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0.3m</w:t>
      </w:r>
      <w:r>
        <w:rPr>
          <w:rFonts w:ascii="宋体" w:hAnsi="宋体" w:eastAsia="宋体" w:cs="宋体"/>
          <w:spacing w:val="-6"/>
          <w:sz w:val="24"/>
          <w:szCs w:val="24"/>
        </w:rPr>
        <w:t>。群落高</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0.5~1m</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，有时密集，有</w:t>
      </w:r>
      <w:r>
        <w:rPr>
          <w:rFonts w:ascii="宋体" w:hAnsi="宋体" w:eastAsia="宋体" w:cs="宋体"/>
          <w:sz w:val="24"/>
          <w:szCs w:val="24"/>
        </w:rPr>
        <w:t xml:space="preserve">  时稀疏，常一丛一丛出现于水域岸边，优势物种为水蓼</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 xml:space="preserve">Persicaria </w:t>
      </w:r>
      <w:r>
        <w:rPr>
          <w:rFonts w:ascii="Times New Roman" w:hAnsi="Times New Roman" w:eastAsia="Times New Roman" w:cs="Times New Roman"/>
          <w:i/>
          <w:iCs/>
          <w:spacing w:val="-1"/>
          <w:sz w:val="24"/>
          <w:szCs w:val="24"/>
        </w:rPr>
        <w:t xml:space="preserve">hydropiper </w:t>
      </w:r>
      <w:r>
        <w:rPr>
          <w:rFonts w:ascii="宋体" w:hAnsi="宋体" w:eastAsia="宋体" w:cs="宋体"/>
          <w:spacing w:val="-1"/>
          <w:sz w:val="24"/>
          <w:szCs w:val="24"/>
        </w:rPr>
        <w:t>和</w:t>
      </w:r>
      <w:r>
        <w:rPr>
          <w:rFonts w:ascii="宋体" w:hAnsi="宋体" w:eastAsia="宋体" w:cs="宋体"/>
          <w:sz w:val="24"/>
          <w:szCs w:val="24"/>
        </w:rPr>
        <w:t xml:space="preserve"> 稗</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Echinochloa crus-galli</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，其</w:t>
      </w:r>
      <w:r>
        <w:rPr>
          <w:rFonts w:ascii="宋体" w:hAnsi="宋体" w:eastAsia="宋体" w:cs="宋体"/>
          <w:spacing w:val="-1"/>
          <w:sz w:val="24"/>
          <w:szCs w:val="24"/>
        </w:rPr>
        <w:t>他伴生的水生植物极少，偶有漂浮植物浮萍</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Lemna</w:t>
      </w:r>
    </w:p>
    <w:p>
      <w:pPr>
        <w:spacing w:before="1" w:line="232" w:lineRule="auto"/>
        <w:ind w:left="34"/>
        <w:rPr>
          <w:rFonts w:ascii="宋体" w:hAnsi="宋体" w:eastAsia="宋体" w:cs="宋体"/>
          <w:sz w:val="24"/>
          <w:szCs w:val="24"/>
        </w:rPr>
      </w:pPr>
      <w:r>
        <w:rPr>
          <w:rFonts w:ascii="Times New Roman" w:hAnsi="Times New Roman" w:eastAsia="Times New Roman" w:cs="Times New Roman"/>
          <w:i/>
          <w:iCs/>
          <w:sz w:val="24"/>
          <w:szCs w:val="24"/>
        </w:rPr>
        <w:t xml:space="preserve">minor </w:t>
      </w:r>
      <w:r>
        <w:rPr>
          <w:rFonts w:ascii="宋体" w:hAnsi="宋体" w:eastAsia="宋体" w:cs="宋体"/>
          <w:sz w:val="24"/>
          <w:szCs w:val="24"/>
        </w:rPr>
        <w:t>分布于其间，在岸边的沼泽地里还有大量的</w:t>
      </w:r>
      <w:r>
        <w:rPr>
          <w:rFonts w:ascii="宋体" w:hAnsi="宋体" w:eastAsia="宋体" w:cs="宋体"/>
          <w:spacing w:val="-1"/>
          <w:sz w:val="24"/>
          <w:szCs w:val="24"/>
        </w:rPr>
        <w:t>喜旱莲子草</w:t>
      </w:r>
    </w:p>
    <w:p>
      <w:pPr>
        <w:spacing w:before="166" w:line="468" w:lineRule="exact"/>
        <w:ind w:left="18"/>
        <w:rPr>
          <w:rFonts w:ascii="宋体" w:hAnsi="宋体" w:eastAsia="宋体" w:cs="宋体"/>
          <w:sz w:val="24"/>
          <w:szCs w:val="24"/>
        </w:rPr>
      </w:pPr>
      <w:r>
        <w:rPr>
          <w:rFonts w:ascii="Times New Roman" w:hAnsi="Times New Roman" w:eastAsia="Times New Roman" w:cs="Times New Roman"/>
          <w:i/>
          <w:iCs/>
          <w:position w:val="17"/>
          <w:sz w:val="24"/>
          <w:szCs w:val="24"/>
        </w:rPr>
        <w:t>Alternanthera</w:t>
      </w:r>
      <w:r>
        <w:rPr>
          <w:rFonts w:ascii="Times New Roman" w:hAnsi="Times New Roman" w:eastAsia="Times New Roman" w:cs="Times New Roman"/>
          <w:i/>
          <w:iCs/>
          <w:spacing w:val="-26"/>
          <w:position w:val="17"/>
          <w:sz w:val="24"/>
          <w:szCs w:val="24"/>
        </w:rPr>
        <w:t xml:space="preserve"> </w:t>
      </w:r>
      <w:r>
        <w:rPr>
          <w:rFonts w:ascii="Times New Roman" w:hAnsi="Times New Roman" w:eastAsia="Times New Roman" w:cs="Times New Roman"/>
          <w:i/>
          <w:iCs/>
          <w:position w:val="17"/>
          <w:sz w:val="24"/>
          <w:szCs w:val="24"/>
        </w:rPr>
        <w:t xml:space="preserve">philoxeroides </w:t>
      </w:r>
      <w:r>
        <w:rPr>
          <w:rFonts w:ascii="宋体" w:hAnsi="宋体" w:eastAsia="宋体" w:cs="宋体"/>
          <w:position w:val="17"/>
          <w:sz w:val="24"/>
          <w:szCs w:val="24"/>
        </w:rPr>
        <w:t>侵入，构成了整个群落</w:t>
      </w:r>
      <w:r>
        <w:rPr>
          <w:rFonts w:hint="eastAsia" w:ascii="宋体" w:hAnsi="宋体" w:eastAsia="宋体" w:cs="宋体"/>
          <w:position w:val="17"/>
          <w:sz w:val="24"/>
          <w:szCs w:val="24"/>
          <w:lang w:eastAsia="zh-CN"/>
        </w:rPr>
        <w:t>的</w:t>
      </w:r>
      <w:r>
        <w:rPr>
          <w:rFonts w:ascii="宋体" w:hAnsi="宋体" w:eastAsia="宋体" w:cs="宋体"/>
          <w:spacing w:val="-1"/>
          <w:position w:val="17"/>
          <w:sz w:val="24"/>
          <w:szCs w:val="24"/>
        </w:rPr>
        <w:t>结构。</w:t>
      </w:r>
    </w:p>
    <w:p>
      <w:pPr>
        <w:spacing w:line="219" w:lineRule="auto"/>
        <w:ind w:left="560"/>
        <w:rPr>
          <w:rFonts w:ascii="宋体" w:hAnsi="宋体" w:eastAsia="宋体" w:cs="宋体"/>
          <w:sz w:val="24"/>
          <w:szCs w:val="24"/>
        </w:rPr>
      </w:pPr>
      <w:r>
        <w:rPr>
          <w:rFonts w:ascii="宋体" w:hAnsi="宋体" w:eastAsia="宋体" w:cs="宋体"/>
          <w:spacing w:val="-7"/>
          <w:sz w:val="24"/>
          <w:szCs w:val="24"/>
        </w:rPr>
        <w:t>Ⅱ</w:t>
      </w:r>
      <w:r>
        <w:rPr>
          <w:rFonts w:ascii="Times New Roman" w:hAnsi="Times New Roman" w:eastAsia="Times New Roman" w:cs="Times New Roman"/>
          <w:spacing w:val="-7"/>
          <w:sz w:val="24"/>
          <w:szCs w:val="24"/>
        </w:rPr>
        <w:t>.</w:t>
      </w:r>
      <w:r>
        <w:rPr>
          <w:rFonts w:ascii="宋体" w:hAnsi="宋体" w:eastAsia="宋体" w:cs="宋体"/>
          <w:spacing w:val="-7"/>
          <w:sz w:val="24"/>
          <w:szCs w:val="24"/>
        </w:rPr>
        <w:t>漂浮植物群落</w:t>
      </w:r>
    </w:p>
    <w:p>
      <w:pPr>
        <w:spacing w:before="183" w:line="360" w:lineRule="auto"/>
        <w:ind w:left="39" w:right="176" w:firstLine="482"/>
        <w:rPr>
          <w:rFonts w:ascii="宋体" w:hAnsi="宋体" w:eastAsia="宋体" w:cs="宋体"/>
          <w:sz w:val="24"/>
          <w:szCs w:val="24"/>
        </w:rPr>
      </w:pPr>
      <w:r>
        <w:rPr>
          <w:rFonts w:ascii="宋体" w:hAnsi="宋体" w:eastAsia="宋体" w:cs="宋体"/>
          <w:sz w:val="24"/>
          <w:szCs w:val="24"/>
        </w:rPr>
        <w:t>组成本类型的植物均漂浮于水面，或根悬浮</w:t>
      </w:r>
      <w:r>
        <w:rPr>
          <w:rFonts w:ascii="宋体" w:hAnsi="宋体" w:eastAsia="宋体" w:cs="宋体"/>
          <w:spacing w:val="-1"/>
          <w:sz w:val="24"/>
          <w:szCs w:val="24"/>
        </w:rPr>
        <w:t>于水中，有的仅有无根的叶状</w:t>
      </w:r>
      <w:r>
        <w:rPr>
          <w:rFonts w:ascii="宋体" w:hAnsi="宋体" w:eastAsia="宋体" w:cs="宋体"/>
          <w:sz w:val="24"/>
          <w:szCs w:val="24"/>
        </w:rPr>
        <w:t xml:space="preserve"> </w:t>
      </w:r>
      <w:r>
        <w:rPr>
          <w:rFonts w:ascii="宋体" w:hAnsi="宋体" w:eastAsia="宋体" w:cs="宋体"/>
          <w:spacing w:val="-1"/>
          <w:sz w:val="24"/>
          <w:szCs w:val="24"/>
        </w:rPr>
        <w:t>体，大都能随水流和风浪漂移，因此群落的组成和结构常不固定。在云南主要</w:t>
      </w:r>
      <w:r>
        <w:rPr>
          <w:rFonts w:ascii="宋体" w:hAnsi="宋体" w:eastAsia="宋体" w:cs="宋体"/>
          <w:spacing w:val="12"/>
          <w:sz w:val="24"/>
          <w:szCs w:val="24"/>
        </w:rPr>
        <w:t xml:space="preserve"> </w:t>
      </w:r>
      <w:r>
        <w:rPr>
          <w:rFonts w:ascii="宋体" w:hAnsi="宋体" w:eastAsia="宋体" w:cs="宋体"/>
          <w:spacing w:val="-5"/>
          <w:sz w:val="24"/>
          <w:szCs w:val="24"/>
        </w:rPr>
        <w:t>的漂浮植物群落常有凤眼蓝群落、大薸群落、</w:t>
      </w:r>
      <w:r>
        <w:rPr>
          <w:rFonts w:ascii="宋体" w:hAnsi="宋体" w:eastAsia="宋体" w:cs="宋体"/>
          <w:spacing w:val="45"/>
          <w:sz w:val="24"/>
          <w:szCs w:val="24"/>
        </w:rPr>
        <w:t xml:space="preserve"> </w:t>
      </w:r>
      <w:r>
        <w:rPr>
          <w:rFonts w:ascii="宋体" w:hAnsi="宋体" w:eastAsia="宋体" w:cs="宋体"/>
          <w:spacing w:val="-5"/>
          <w:sz w:val="24"/>
          <w:szCs w:val="24"/>
        </w:rPr>
        <w:t>满江红和槐叶蘋群落</w:t>
      </w:r>
      <w:r>
        <w:rPr>
          <w:rFonts w:ascii="宋体" w:hAnsi="宋体" w:eastAsia="宋体" w:cs="宋体"/>
          <w:spacing w:val="-6"/>
          <w:sz w:val="24"/>
          <w:szCs w:val="24"/>
        </w:rPr>
        <w:t>、浮萍和紫</w:t>
      </w:r>
      <w:r>
        <w:rPr>
          <w:rFonts w:ascii="宋体" w:hAnsi="宋体" w:eastAsia="宋体" w:cs="宋体"/>
          <w:sz w:val="24"/>
          <w:szCs w:val="24"/>
        </w:rPr>
        <w:t xml:space="preserve"> </w:t>
      </w:r>
      <w:r>
        <w:rPr>
          <w:rFonts w:ascii="宋体" w:hAnsi="宋体" w:eastAsia="宋体" w:cs="宋体"/>
          <w:spacing w:val="-1"/>
          <w:sz w:val="24"/>
          <w:szCs w:val="24"/>
        </w:rPr>
        <w:t>萍群落。在本评价区，仅发现有</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个物种能聚成群，并形成群落，常</w:t>
      </w:r>
      <w:r>
        <w:rPr>
          <w:rFonts w:ascii="宋体" w:hAnsi="宋体" w:eastAsia="宋体" w:cs="宋体"/>
          <w:spacing w:val="-2"/>
          <w:sz w:val="24"/>
          <w:szCs w:val="24"/>
        </w:rPr>
        <w:t>常出现于</w:t>
      </w:r>
    </w:p>
    <w:p>
      <w:pPr>
        <w:spacing w:line="233" w:lineRule="auto"/>
        <w:ind w:left="38"/>
        <w:rPr>
          <w:rFonts w:ascii="宋体" w:hAnsi="宋体" w:eastAsia="宋体" w:cs="宋体"/>
          <w:sz w:val="24"/>
          <w:szCs w:val="24"/>
        </w:rPr>
      </w:pPr>
      <w:r>
        <w:rPr>
          <w:rFonts w:ascii="宋体" w:hAnsi="宋体" w:eastAsia="宋体" w:cs="宋体"/>
          <w:spacing w:val="-3"/>
          <w:sz w:val="24"/>
          <w:szCs w:val="24"/>
        </w:rPr>
        <w:t>河边、池塘等水体：浮萍群落（</w:t>
      </w:r>
      <w:r>
        <w:rPr>
          <w:rFonts w:ascii="Times New Roman" w:hAnsi="Times New Roman" w:eastAsia="Times New Roman" w:cs="Times New Roman"/>
          <w:spacing w:val="-3"/>
          <w:sz w:val="24"/>
          <w:szCs w:val="24"/>
        </w:rPr>
        <w:t xml:space="preserve">Form. </w:t>
      </w:r>
      <w:r>
        <w:rPr>
          <w:rFonts w:ascii="Times New Roman" w:hAnsi="Times New Roman" w:eastAsia="Times New Roman" w:cs="Times New Roman"/>
          <w:i/>
          <w:iCs/>
          <w:spacing w:val="-3"/>
          <w:sz w:val="24"/>
          <w:szCs w:val="24"/>
        </w:rPr>
        <w:t>Lemna minor</w:t>
      </w:r>
      <w:r>
        <w:rPr>
          <w:rFonts w:ascii="宋体" w:hAnsi="宋体" w:eastAsia="宋体" w:cs="宋体"/>
          <w:spacing w:val="-3"/>
          <w:sz w:val="24"/>
          <w:szCs w:val="24"/>
        </w:rPr>
        <w:t>）。</w:t>
      </w:r>
    </w:p>
    <w:p>
      <w:pPr>
        <w:spacing w:before="165" w:line="360" w:lineRule="auto"/>
        <w:ind w:left="38" w:right="35" w:firstLine="481"/>
        <w:rPr>
          <w:rFonts w:ascii="宋体" w:hAnsi="宋体" w:eastAsia="宋体" w:cs="宋体"/>
          <w:sz w:val="24"/>
          <w:szCs w:val="24"/>
        </w:rPr>
      </w:pPr>
      <w:r>
        <w:rPr>
          <w:rFonts w:ascii="宋体" w:hAnsi="宋体" w:eastAsia="宋体" w:cs="宋体"/>
          <w:spacing w:val="-2"/>
          <w:sz w:val="24"/>
          <w:szCs w:val="24"/>
        </w:rPr>
        <w:t>本群落多分布于本省海拔</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2300m</w:t>
      </w:r>
      <w:r>
        <w:rPr>
          <w:rFonts w:ascii="Times New Roman" w:hAnsi="Times New Roman" w:eastAsia="Times New Roman" w:cs="Times New Roman"/>
          <w:spacing w:val="36"/>
          <w:w w:val="101"/>
          <w:sz w:val="24"/>
          <w:szCs w:val="24"/>
        </w:rPr>
        <w:t xml:space="preserve"> </w:t>
      </w:r>
      <w:r>
        <w:rPr>
          <w:rFonts w:ascii="宋体" w:hAnsi="宋体" w:eastAsia="宋体" w:cs="宋体"/>
          <w:spacing w:val="-2"/>
          <w:sz w:val="24"/>
          <w:szCs w:val="24"/>
        </w:rPr>
        <w:t>以下的水塘、湖湾中，水深不限，但水体</w:t>
      </w:r>
      <w:r>
        <w:rPr>
          <w:rFonts w:ascii="宋体" w:hAnsi="宋体" w:eastAsia="宋体" w:cs="宋体"/>
          <w:sz w:val="24"/>
          <w:szCs w:val="24"/>
        </w:rPr>
        <w:t xml:space="preserve"> 肥力较高。浮萍</w:t>
      </w:r>
      <w:r>
        <w:rPr>
          <w:rFonts w:ascii="宋体" w:hAnsi="宋体" w:eastAsia="宋体" w:cs="宋体"/>
          <w:spacing w:val="-56"/>
          <w:sz w:val="24"/>
          <w:szCs w:val="24"/>
        </w:rPr>
        <w:t xml:space="preserve"> </w:t>
      </w:r>
      <w:r>
        <w:rPr>
          <w:rFonts w:ascii="Times New Roman" w:hAnsi="Times New Roman" w:eastAsia="Times New Roman" w:cs="Times New Roman"/>
          <w:i/>
          <w:iCs/>
          <w:sz w:val="24"/>
          <w:szCs w:val="24"/>
        </w:rPr>
        <w:t xml:space="preserve">Lemna minor </w:t>
      </w:r>
      <w:r>
        <w:rPr>
          <w:rFonts w:ascii="宋体" w:hAnsi="宋体" w:eastAsia="宋体" w:cs="宋体"/>
          <w:sz w:val="24"/>
          <w:szCs w:val="24"/>
        </w:rPr>
        <w:t>广布于云南亚热带</w:t>
      </w:r>
      <w:r>
        <w:rPr>
          <w:rFonts w:ascii="宋体" w:hAnsi="宋体" w:eastAsia="宋体" w:cs="宋体"/>
          <w:spacing w:val="-1"/>
          <w:sz w:val="24"/>
          <w:szCs w:val="24"/>
        </w:rPr>
        <w:t>的水田、池塘、水沟及静风的</w:t>
      </w:r>
      <w:r>
        <w:rPr>
          <w:rFonts w:ascii="宋体" w:hAnsi="宋体" w:eastAsia="宋体" w:cs="宋体"/>
          <w:sz w:val="24"/>
          <w:szCs w:val="24"/>
        </w:rPr>
        <w:t xml:space="preserve">  </w:t>
      </w:r>
      <w:r>
        <w:rPr>
          <w:rFonts w:ascii="宋体" w:hAnsi="宋体" w:eastAsia="宋体" w:cs="宋体"/>
          <w:spacing w:val="-4"/>
          <w:sz w:val="24"/>
          <w:szCs w:val="24"/>
        </w:rPr>
        <w:t>湖湾，特别是肥力高的污水坑，和冬天水秧田达到最大的繁盛。 群落外貌嫩绿</w:t>
      </w:r>
      <w:r>
        <w:rPr>
          <w:rFonts w:ascii="宋体" w:hAnsi="宋体" w:eastAsia="宋体" w:cs="宋体"/>
          <w:spacing w:val="5"/>
          <w:sz w:val="24"/>
          <w:szCs w:val="24"/>
        </w:rPr>
        <w:t xml:space="preserve">  </w:t>
      </w:r>
      <w:r>
        <w:rPr>
          <w:rFonts w:ascii="宋体" w:hAnsi="宋体" w:eastAsia="宋体" w:cs="宋体"/>
          <w:spacing w:val="-2"/>
          <w:sz w:val="24"/>
          <w:szCs w:val="24"/>
        </w:rPr>
        <w:t>色，无数细小的片状个体紧密相连，覆盖水面，总高度常达</w:t>
      </w:r>
      <w:r>
        <w:rPr>
          <w:rFonts w:ascii="宋体" w:hAnsi="宋体" w:eastAsia="宋体" w:cs="宋体"/>
          <w:spacing w:val="-23"/>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，群落中浮萍</w:t>
      </w:r>
      <w:r>
        <w:rPr>
          <w:rFonts w:ascii="宋体" w:hAnsi="宋体" w:eastAsia="宋体" w:cs="宋体"/>
          <w:sz w:val="24"/>
          <w:szCs w:val="24"/>
        </w:rPr>
        <w:t xml:space="preserve"> 最大优势，特别在大多数封闭的积水肥坑，浮萍迅速繁殖</w:t>
      </w:r>
      <w:r>
        <w:rPr>
          <w:rFonts w:ascii="宋体" w:hAnsi="宋体" w:eastAsia="宋体" w:cs="宋体"/>
          <w:spacing w:val="-1"/>
          <w:sz w:val="24"/>
          <w:szCs w:val="24"/>
        </w:rPr>
        <w:t>成为十分茂密的单优</w:t>
      </w:r>
    </w:p>
    <w:p>
      <w:pPr>
        <w:spacing w:before="1" w:line="219" w:lineRule="auto"/>
        <w:ind w:left="39"/>
        <w:rPr>
          <w:rFonts w:ascii="宋体" w:hAnsi="宋体" w:eastAsia="宋体" w:cs="宋体"/>
          <w:sz w:val="24"/>
          <w:szCs w:val="24"/>
        </w:rPr>
      </w:pPr>
      <w:r>
        <w:rPr>
          <w:rFonts w:ascii="宋体" w:hAnsi="宋体" w:eastAsia="宋体" w:cs="宋体"/>
          <w:sz w:val="24"/>
          <w:szCs w:val="24"/>
        </w:rPr>
        <w:t>群落。而在水流缓慢的河道或沟渠中，浮萍常与凤眼</w:t>
      </w:r>
      <w:r>
        <w:rPr>
          <w:rFonts w:ascii="宋体" w:hAnsi="宋体" w:eastAsia="宋体" w:cs="宋体"/>
          <w:spacing w:val="-1"/>
          <w:sz w:val="24"/>
          <w:szCs w:val="24"/>
        </w:rPr>
        <w:t>蓝混杂一起，构成了该地</w:t>
      </w:r>
    </w:p>
    <w:p>
      <w:pPr>
        <w:spacing w:line="219" w:lineRule="auto"/>
        <w:rPr>
          <w:rFonts w:ascii="宋体" w:hAnsi="宋体" w:eastAsia="宋体" w:cs="宋体"/>
          <w:sz w:val="24"/>
          <w:szCs w:val="24"/>
        </w:rPr>
        <w:sectPr>
          <w:headerReference r:id="rId280" w:type="default"/>
          <w:footerReference r:id="rId281" w:type="default"/>
          <w:pgSz w:w="11907" w:h="16839"/>
          <w:pgMar w:top="1156" w:right="1768" w:bottom="1374" w:left="1770" w:header="881" w:footer="1210" w:gutter="0"/>
        </w:sectPr>
      </w:pPr>
    </w:p>
    <w:p>
      <w:pPr>
        <w:spacing w:line="316" w:lineRule="auto"/>
        <w:rPr>
          <w:rFonts w:ascii="Arial"/>
          <w:sz w:val="21"/>
        </w:rPr>
      </w:pPr>
    </w:p>
    <w:p>
      <w:pPr>
        <w:spacing w:before="78" w:line="220" w:lineRule="auto"/>
        <w:ind w:left="278"/>
        <w:rPr>
          <w:rFonts w:ascii="宋体" w:hAnsi="宋体" w:eastAsia="宋体" w:cs="宋体"/>
          <w:sz w:val="24"/>
          <w:szCs w:val="24"/>
        </w:rPr>
      </w:pPr>
      <w:r>
        <w:rPr>
          <w:rFonts w:ascii="宋体" w:hAnsi="宋体" w:eastAsia="宋体" w:cs="宋体"/>
          <w:spacing w:val="-6"/>
          <w:sz w:val="24"/>
          <w:szCs w:val="24"/>
        </w:rPr>
        <w:t>区漂浮植物的主要成员。</w:t>
      </w:r>
    </w:p>
    <w:p>
      <w:pPr>
        <w:spacing w:before="182" w:line="468" w:lineRule="exact"/>
        <w:ind w:left="741"/>
        <w:rPr>
          <w:rFonts w:ascii="宋体" w:hAnsi="宋体" w:eastAsia="宋体" w:cs="宋体"/>
          <w:sz w:val="24"/>
          <w:szCs w:val="24"/>
        </w:rPr>
      </w:pPr>
      <w:r>
        <w:rPr>
          <w:rFonts w:ascii="宋体" w:hAnsi="宋体" w:eastAsia="宋体" w:cs="宋体"/>
          <w:position w:val="16"/>
          <w:sz w:val="24"/>
          <w:szCs w:val="24"/>
        </w:rPr>
        <w:t>本群落在碧么水库的优势种为浮萍</w:t>
      </w:r>
      <w:r>
        <w:rPr>
          <w:rFonts w:ascii="宋体" w:hAnsi="宋体" w:eastAsia="宋体" w:cs="宋体"/>
          <w:spacing w:val="-67"/>
          <w:position w:val="16"/>
          <w:sz w:val="24"/>
          <w:szCs w:val="24"/>
        </w:rPr>
        <w:t xml:space="preserve"> </w:t>
      </w:r>
      <w:r>
        <w:rPr>
          <w:rFonts w:ascii="Times New Roman" w:hAnsi="Times New Roman" w:eastAsia="Times New Roman" w:cs="Times New Roman"/>
          <w:i/>
          <w:iCs/>
          <w:position w:val="16"/>
          <w:sz w:val="24"/>
          <w:szCs w:val="24"/>
        </w:rPr>
        <w:t>Lemna minor</w:t>
      </w:r>
      <w:r>
        <w:rPr>
          <w:rFonts w:ascii="宋体" w:hAnsi="宋体" w:eastAsia="宋体" w:cs="宋体"/>
          <w:position w:val="16"/>
          <w:sz w:val="24"/>
          <w:szCs w:val="24"/>
        </w:rPr>
        <w:t>，在某些风小</w:t>
      </w:r>
      <w:r>
        <w:rPr>
          <w:rFonts w:ascii="宋体" w:hAnsi="宋体" w:eastAsia="宋体" w:cs="宋体"/>
          <w:spacing w:val="-1"/>
          <w:position w:val="16"/>
          <w:sz w:val="24"/>
          <w:szCs w:val="24"/>
        </w:rPr>
        <w:t>的静水区域</w:t>
      </w:r>
    </w:p>
    <w:p>
      <w:pPr>
        <w:spacing w:line="212" w:lineRule="auto"/>
        <w:ind w:left="266"/>
        <w:rPr>
          <w:rFonts w:ascii="宋体" w:hAnsi="宋体" w:eastAsia="宋体" w:cs="宋体"/>
          <w:sz w:val="24"/>
          <w:szCs w:val="24"/>
        </w:rPr>
      </w:pPr>
      <w:r>
        <w:rPr>
          <w:rFonts w:ascii="宋体" w:hAnsi="宋体" w:eastAsia="宋体" w:cs="宋体"/>
          <w:spacing w:val="-4"/>
          <w:sz w:val="24"/>
          <w:szCs w:val="24"/>
        </w:rPr>
        <w:t>常常聚集， 覆盖于水面，与常见的紫萍</w:t>
      </w:r>
      <w:r>
        <w:rPr>
          <w:rFonts w:ascii="宋体" w:hAnsi="宋体" w:eastAsia="宋体" w:cs="宋体"/>
          <w:spacing w:val="-47"/>
          <w:sz w:val="24"/>
          <w:szCs w:val="24"/>
        </w:rPr>
        <w:t xml:space="preserve"> </w:t>
      </w:r>
      <w:r>
        <w:rPr>
          <w:rFonts w:ascii="Times New Roman" w:hAnsi="Times New Roman" w:eastAsia="Times New Roman" w:cs="Times New Roman"/>
          <w:i/>
          <w:iCs/>
          <w:spacing w:val="-4"/>
          <w:sz w:val="24"/>
          <w:szCs w:val="24"/>
        </w:rPr>
        <w:t>Spirodela</w:t>
      </w:r>
      <w:r>
        <w:rPr>
          <w:rFonts w:ascii="Times New Roman" w:hAnsi="Times New Roman" w:eastAsia="Times New Roman" w:cs="Times New Roman"/>
          <w:i/>
          <w:iCs/>
          <w:spacing w:val="-25"/>
          <w:sz w:val="24"/>
          <w:szCs w:val="24"/>
        </w:rPr>
        <w:t xml:space="preserve"> </w:t>
      </w:r>
      <w:r>
        <w:rPr>
          <w:rFonts w:ascii="Times New Roman" w:hAnsi="Times New Roman" w:eastAsia="Times New Roman" w:cs="Times New Roman"/>
          <w:i/>
          <w:iCs/>
          <w:spacing w:val="-4"/>
          <w:sz w:val="24"/>
          <w:szCs w:val="24"/>
        </w:rPr>
        <w:t>polyrhiza</w:t>
      </w:r>
      <w:r>
        <w:rPr>
          <w:rFonts w:ascii="Times New Roman" w:hAnsi="Times New Roman" w:eastAsia="Times New Roman" w:cs="Times New Roman"/>
          <w:i/>
          <w:iCs/>
          <w:spacing w:val="-35"/>
          <w:sz w:val="24"/>
          <w:szCs w:val="24"/>
        </w:rPr>
        <w:t xml:space="preserve"> </w:t>
      </w:r>
      <w:r>
        <w:rPr>
          <w:rFonts w:ascii="宋体" w:hAnsi="宋体" w:eastAsia="宋体" w:cs="宋体"/>
          <w:spacing w:val="-4"/>
          <w:sz w:val="24"/>
          <w:szCs w:val="24"/>
        </w:rPr>
        <w:t>、满江红</w:t>
      </w:r>
    </w:p>
    <w:p>
      <w:pPr>
        <w:spacing w:before="192" w:line="468" w:lineRule="exact"/>
        <w:ind w:left="239"/>
        <w:rPr>
          <w:rFonts w:ascii="宋体" w:hAnsi="宋体" w:eastAsia="宋体" w:cs="宋体"/>
          <w:sz w:val="24"/>
          <w:szCs w:val="24"/>
        </w:rPr>
      </w:pPr>
      <w:r>
        <w:rPr>
          <w:rFonts w:ascii="Times New Roman" w:hAnsi="Times New Roman" w:eastAsia="Times New Roman" w:cs="Times New Roman"/>
          <w:i/>
          <w:iCs/>
          <w:position w:val="16"/>
          <w:sz w:val="24"/>
          <w:szCs w:val="24"/>
        </w:rPr>
        <w:t>Azollaimbricata</w:t>
      </w:r>
      <w:r>
        <w:rPr>
          <w:rFonts w:ascii="Times New Roman" w:hAnsi="Times New Roman" w:eastAsia="Times New Roman" w:cs="Times New Roman"/>
          <w:i/>
          <w:iCs/>
          <w:spacing w:val="2"/>
          <w:position w:val="16"/>
          <w:sz w:val="24"/>
          <w:szCs w:val="24"/>
        </w:rPr>
        <w:t xml:space="preserve"> </w:t>
      </w:r>
      <w:r>
        <w:rPr>
          <w:rFonts w:ascii="宋体" w:hAnsi="宋体" w:eastAsia="宋体" w:cs="宋体"/>
          <w:spacing w:val="2"/>
          <w:position w:val="16"/>
          <w:sz w:val="24"/>
          <w:szCs w:val="24"/>
        </w:rPr>
        <w:t>组成了该地区最常见的漂浮植物群落，出没于河道、沟渠、水</w:t>
      </w:r>
    </w:p>
    <w:p>
      <w:pPr>
        <w:spacing w:line="219" w:lineRule="auto"/>
        <w:ind w:left="289"/>
        <w:rPr>
          <w:rFonts w:ascii="宋体" w:hAnsi="宋体" w:eastAsia="宋体" w:cs="宋体"/>
          <w:sz w:val="24"/>
          <w:szCs w:val="24"/>
        </w:rPr>
      </w:pPr>
      <w:r>
        <w:rPr>
          <w:rFonts w:ascii="宋体" w:hAnsi="宋体" w:eastAsia="宋体" w:cs="宋体"/>
          <w:spacing w:val="-3"/>
          <w:sz w:val="24"/>
          <w:szCs w:val="24"/>
        </w:rPr>
        <w:t>田和池塘中，有时也能形成单优群落。</w:t>
      </w:r>
    </w:p>
    <w:p>
      <w:pPr>
        <w:spacing w:before="184" w:line="233" w:lineRule="auto"/>
        <w:ind w:left="739"/>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人工植被</w:t>
      </w:r>
    </w:p>
    <w:p>
      <w:pPr>
        <w:spacing w:before="164" w:line="360" w:lineRule="auto"/>
        <w:ind w:left="279" w:right="182" w:firstLine="460"/>
        <w:rPr>
          <w:rFonts w:ascii="宋体" w:hAnsi="宋体" w:eastAsia="宋体" w:cs="宋体"/>
          <w:sz w:val="24"/>
          <w:szCs w:val="24"/>
        </w:rPr>
      </w:pPr>
      <w:r>
        <w:rPr>
          <w:rFonts w:ascii="宋体" w:hAnsi="宋体" w:eastAsia="宋体" w:cs="宋体"/>
          <w:spacing w:val="12"/>
          <w:sz w:val="24"/>
          <w:szCs w:val="24"/>
        </w:rPr>
        <w:t>评价区的人工植被可以分为经济林（园地）和耕地两种类型，总面积约</w:t>
      </w:r>
      <w:r>
        <w:rPr>
          <w:rFonts w:ascii="宋体" w:hAnsi="宋体" w:eastAsia="宋体" w:cs="宋体"/>
          <w:spacing w:val="4"/>
          <w:sz w:val="24"/>
          <w:szCs w:val="24"/>
        </w:rPr>
        <w:t xml:space="preserve"> </w:t>
      </w:r>
      <w:r>
        <w:rPr>
          <w:rFonts w:ascii="Times New Roman" w:hAnsi="Times New Roman" w:eastAsia="Times New Roman" w:cs="Times New Roman"/>
          <w:spacing w:val="-3"/>
          <w:sz w:val="24"/>
          <w:szCs w:val="24"/>
        </w:rPr>
        <w:t>175.28hm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3"/>
          <w:sz w:val="24"/>
          <w:szCs w:val="24"/>
        </w:rPr>
        <w:t>，占评价区面积的</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21.36</w:t>
      </w:r>
      <w:r>
        <w:rPr>
          <w:rFonts w:ascii="宋体" w:hAnsi="宋体" w:eastAsia="宋体" w:cs="宋体"/>
          <w:spacing w:val="-13"/>
          <w:sz w:val="24"/>
          <w:szCs w:val="24"/>
        </w:rPr>
        <w:t>％（</w:t>
      </w:r>
      <w:r>
        <w:rPr>
          <w:rFonts w:ascii="宋体" w:hAnsi="宋体" w:eastAsia="宋体" w:cs="宋体"/>
          <w:spacing w:val="-3"/>
          <w:sz w:val="24"/>
          <w:szCs w:val="24"/>
        </w:rPr>
        <w:t>表</w:t>
      </w:r>
      <w:r>
        <w:rPr>
          <w:rFonts w:ascii="宋体" w:hAnsi="宋体" w:eastAsia="宋体" w:cs="宋体"/>
          <w:spacing w:val="-44"/>
          <w:sz w:val="24"/>
          <w:szCs w:val="24"/>
        </w:rPr>
        <w:t xml:space="preserve"> </w:t>
      </w:r>
      <w:r>
        <w:fldChar w:fldCharType="begin"/>
      </w:r>
      <w:r>
        <w:instrText xml:space="preserve"> HYPERLINK "2.7.3.4" </w:instrText>
      </w:r>
      <w:r>
        <w:fldChar w:fldCharType="separate"/>
      </w:r>
      <w:r>
        <w:rPr>
          <w:rFonts w:ascii="Times New Roman" w:hAnsi="Times New Roman" w:eastAsia="Times New Roman" w:cs="Times New Roman"/>
          <w:spacing w:val="-3"/>
          <w:sz w:val="24"/>
          <w:szCs w:val="24"/>
        </w:rPr>
        <w:t>2.7.3.4</w:t>
      </w:r>
      <w:r>
        <w:rPr>
          <w:rFonts w:ascii="Times New Roman" w:hAnsi="Times New Roman" w:eastAsia="Times New Roman" w:cs="Times New Roman"/>
          <w:spacing w:val="-3"/>
          <w:sz w:val="24"/>
          <w:szCs w:val="24"/>
        </w:rPr>
        <w:fldChar w:fldCharType="end"/>
      </w:r>
      <w:r>
        <w:rPr>
          <w:rFonts w:ascii="宋体" w:hAnsi="宋体" w:eastAsia="宋体" w:cs="宋体"/>
          <w:spacing w:val="-3"/>
          <w:sz w:val="24"/>
          <w:szCs w:val="24"/>
        </w:rPr>
        <w:t xml:space="preserve">）。经济林的面积约 </w:t>
      </w:r>
      <w:r>
        <w:rPr>
          <w:rFonts w:ascii="Times New Roman" w:hAnsi="Times New Roman" w:eastAsia="Times New Roman" w:cs="Times New Roman"/>
          <w:spacing w:val="-3"/>
          <w:sz w:val="24"/>
          <w:szCs w:val="24"/>
        </w:rPr>
        <w:t>38.69hm</w:t>
      </w:r>
      <w:r>
        <w:rPr>
          <w:rFonts w:ascii="Times New Roman" w:hAnsi="Times New Roman" w:eastAsia="Times New Roman" w:cs="Times New Roman"/>
          <w:spacing w:val="-3"/>
          <w:position w:val="8"/>
          <w:sz w:val="15"/>
          <w:szCs w:val="15"/>
        </w:rPr>
        <w:t>2</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1"/>
          <w:sz w:val="24"/>
          <w:szCs w:val="24"/>
        </w:rPr>
        <w:t xml:space="preserve">占评价区面积的 </w:t>
      </w:r>
      <w:r>
        <w:rPr>
          <w:rFonts w:ascii="Times New Roman" w:hAnsi="Times New Roman" w:eastAsia="Times New Roman" w:cs="Times New Roman"/>
          <w:spacing w:val="-1"/>
          <w:sz w:val="24"/>
          <w:szCs w:val="24"/>
        </w:rPr>
        <w:t>4.72</w:t>
      </w:r>
      <w:r>
        <w:rPr>
          <w:rFonts w:ascii="宋体" w:hAnsi="宋体" w:eastAsia="宋体" w:cs="宋体"/>
          <w:spacing w:val="-14"/>
          <w:sz w:val="24"/>
          <w:szCs w:val="24"/>
        </w:rPr>
        <w:t>％；</w:t>
      </w:r>
      <w:r>
        <w:rPr>
          <w:rFonts w:ascii="宋体" w:hAnsi="宋体" w:eastAsia="宋体" w:cs="宋体"/>
          <w:spacing w:val="-69"/>
          <w:sz w:val="24"/>
          <w:szCs w:val="24"/>
        </w:rPr>
        <w:t xml:space="preserve"> </w:t>
      </w:r>
      <w:r>
        <w:rPr>
          <w:rFonts w:ascii="宋体" w:hAnsi="宋体" w:eastAsia="宋体" w:cs="宋体"/>
          <w:spacing w:val="-1"/>
          <w:sz w:val="24"/>
          <w:szCs w:val="24"/>
        </w:rPr>
        <w:t>耕地的面积较大，达到</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136.59hm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7"/>
          <w:position w:val="8"/>
          <w:sz w:val="15"/>
          <w:szCs w:val="15"/>
        </w:rPr>
        <w:t xml:space="preserve"> </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占评</w:t>
      </w:r>
      <w:r>
        <w:rPr>
          <w:rFonts w:ascii="宋体" w:hAnsi="宋体" w:eastAsia="宋体" w:cs="宋体"/>
          <w:spacing w:val="-2"/>
          <w:sz w:val="24"/>
          <w:szCs w:val="24"/>
        </w:rPr>
        <w:t>价区面积的</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16.65</w:t>
      </w:r>
      <w:r>
        <w:rPr>
          <w:rFonts w:ascii="宋体" w:hAnsi="宋体" w:eastAsia="宋体" w:cs="宋体"/>
          <w:spacing w:val="-2"/>
          <w:sz w:val="24"/>
          <w:szCs w:val="24"/>
        </w:rPr>
        <w:t>％。 其中，水田面积约</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18.14hm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4"/>
          <w:szCs w:val="24"/>
        </w:rPr>
        <w:t>，</w:t>
      </w:r>
      <w:r>
        <w:rPr>
          <w:rFonts w:ascii="宋体" w:hAnsi="宋体" w:eastAsia="宋体" w:cs="宋体"/>
          <w:spacing w:val="-68"/>
          <w:sz w:val="24"/>
          <w:szCs w:val="24"/>
        </w:rPr>
        <w:t xml:space="preserve"> </w:t>
      </w:r>
      <w:r>
        <w:rPr>
          <w:rFonts w:ascii="宋体" w:hAnsi="宋体" w:eastAsia="宋体" w:cs="宋体"/>
          <w:spacing w:val="-2"/>
          <w:sz w:val="24"/>
          <w:szCs w:val="24"/>
        </w:rPr>
        <w:t xml:space="preserve">占评价区面积的 </w:t>
      </w:r>
      <w:r>
        <w:rPr>
          <w:rFonts w:ascii="Times New Roman" w:hAnsi="Times New Roman" w:eastAsia="Times New Roman" w:cs="Times New Roman"/>
          <w:spacing w:val="-2"/>
          <w:sz w:val="24"/>
          <w:szCs w:val="24"/>
        </w:rPr>
        <w:t>2.21</w:t>
      </w:r>
      <w:r>
        <w:rPr>
          <w:rFonts w:ascii="宋体" w:hAnsi="宋体" w:eastAsia="宋体" w:cs="宋体"/>
          <w:spacing w:val="-1"/>
          <w:sz w:val="24"/>
          <w:szCs w:val="24"/>
        </w:rPr>
        <w:t>％；</w:t>
      </w:r>
      <w:r>
        <w:rPr>
          <w:rFonts w:ascii="宋体" w:hAnsi="宋体" w:eastAsia="宋体" w:cs="宋体"/>
          <w:spacing w:val="-2"/>
          <w:sz w:val="24"/>
          <w:szCs w:val="24"/>
        </w:rPr>
        <w:t>水田面积约</w:t>
      </w:r>
      <w:r>
        <w:rPr>
          <w:rFonts w:ascii="宋体" w:hAnsi="宋体" w:eastAsia="宋体" w:cs="宋体"/>
          <w:sz w:val="24"/>
          <w:szCs w:val="24"/>
        </w:rPr>
        <w:t xml:space="preserve"> </w:t>
      </w:r>
      <w:r>
        <w:rPr>
          <w:rFonts w:ascii="Times New Roman" w:hAnsi="Times New Roman" w:eastAsia="Times New Roman" w:cs="Times New Roman"/>
          <w:spacing w:val="-7"/>
          <w:sz w:val="24"/>
          <w:szCs w:val="24"/>
        </w:rPr>
        <w:t>118.45hm</w:t>
      </w:r>
      <w:r>
        <w:rPr>
          <w:rFonts w:ascii="Times New Roman" w:hAnsi="Times New Roman" w:eastAsia="Times New Roman" w:cs="Times New Roman"/>
          <w:spacing w:val="-7"/>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7"/>
          <w:sz w:val="24"/>
          <w:szCs w:val="24"/>
        </w:rPr>
        <w:t>，占评价区面积的</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14.44</w:t>
      </w:r>
      <w:r>
        <w:rPr>
          <w:rFonts w:ascii="宋体" w:hAnsi="宋体" w:eastAsia="宋体" w:cs="宋体"/>
          <w:spacing w:val="-7"/>
          <w:sz w:val="24"/>
          <w:szCs w:val="24"/>
        </w:rPr>
        <w:t>％。足见本区农业生产的历史悠久，</w:t>
      </w:r>
      <w:r>
        <w:rPr>
          <w:rFonts w:ascii="宋体" w:hAnsi="宋体" w:eastAsia="宋体" w:cs="宋体"/>
          <w:spacing w:val="40"/>
          <w:sz w:val="24"/>
          <w:szCs w:val="24"/>
        </w:rPr>
        <w:t xml:space="preserve"> </w:t>
      </w:r>
      <w:r>
        <w:rPr>
          <w:rFonts w:ascii="宋体" w:hAnsi="宋体" w:eastAsia="宋体" w:cs="宋体"/>
          <w:spacing w:val="-8"/>
          <w:sz w:val="24"/>
          <w:szCs w:val="24"/>
        </w:rPr>
        <w:t>农业生产</w:t>
      </w:r>
    </w:p>
    <w:p>
      <w:pPr>
        <w:spacing w:before="1" w:line="220" w:lineRule="auto"/>
        <w:ind w:left="260"/>
        <w:rPr>
          <w:rFonts w:ascii="宋体" w:hAnsi="宋体" w:eastAsia="宋体" w:cs="宋体"/>
          <w:sz w:val="24"/>
          <w:szCs w:val="24"/>
        </w:rPr>
      </w:pPr>
      <w:r>
        <w:rPr>
          <w:rFonts w:ascii="宋体" w:hAnsi="宋体" w:eastAsia="宋体" w:cs="宋体"/>
          <w:spacing w:val="-2"/>
          <w:sz w:val="24"/>
          <w:szCs w:val="24"/>
        </w:rPr>
        <w:t>较为发达。</w:t>
      </w:r>
    </w:p>
    <w:p>
      <w:pPr>
        <w:spacing w:before="239" w:line="218" w:lineRule="auto"/>
        <w:ind w:left="3060"/>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1"/>
          <w:sz w:val="21"/>
          <w:szCs w:val="21"/>
        </w:rPr>
        <w:t xml:space="preserve"> </w:t>
      </w:r>
      <w:r>
        <w:rPr>
          <w:rFonts w:ascii="Times New Roman" w:hAnsi="Times New Roman" w:eastAsia="Times New Roman" w:cs="Times New Roman"/>
          <w:b/>
          <w:bCs/>
          <w:spacing w:val="-1"/>
          <w:sz w:val="21"/>
          <w:szCs w:val="21"/>
        </w:rPr>
        <w:t xml:space="preserve">3.2-23    </w:t>
      </w:r>
      <w:r>
        <w:rPr>
          <w:rFonts w:ascii="宋体" w:hAnsi="宋体" w:eastAsia="宋体" w:cs="宋体"/>
          <w:spacing w:val="-1"/>
          <w:sz w:val="21"/>
          <w:szCs w:val="21"/>
          <w14:textOutline w14:w="3810" w14:cap="flat" w14:cmpd="sng">
            <w14:solidFill>
              <w14:srgbClr w14:val="000000"/>
            </w14:solidFill>
            <w14:prstDash w14:val="solid"/>
            <w14:miter w14:val="0"/>
          </w14:textOutline>
        </w:rPr>
        <w:t>评价区各植被类型面积</w:t>
      </w:r>
    </w:p>
    <w:p>
      <w:pPr>
        <w:spacing w:line="20" w:lineRule="exact"/>
      </w:pPr>
    </w:p>
    <w:tbl>
      <w:tblPr>
        <w:tblStyle w:val="5"/>
        <w:tblW w:w="880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427"/>
        <w:gridCol w:w="1277"/>
        <w:gridCol w:w="3401"/>
        <w:gridCol w:w="949"/>
        <w:gridCol w:w="9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1" w:hRule="atLeast"/>
        </w:trPr>
        <w:tc>
          <w:tcPr>
            <w:tcW w:w="809" w:type="dxa"/>
            <w:tcBorders>
              <w:top w:val="single" w:color="000000" w:sz="12" w:space="0"/>
              <w:left w:val="nil"/>
            </w:tcBorders>
            <w:vAlign w:val="top"/>
          </w:tcPr>
          <w:p>
            <w:pPr>
              <w:spacing w:line="368" w:lineRule="auto"/>
              <w:rPr>
                <w:rFonts w:ascii="Arial"/>
                <w:sz w:val="21"/>
              </w:rPr>
            </w:pPr>
          </w:p>
          <w:p>
            <w:pPr>
              <w:spacing w:before="68"/>
              <w:ind w:left="12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植被</w:t>
            </w:r>
          </w:p>
          <w:p>
            <w:pPr>
              <w:spacing w:before="1" w:line="215" w:lineRule="auto"/>
              <w:ind w:left="12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属性</w:t>
            </w:r>
          </w:p>
        </w:tc>
        <w:tc>
          <w:tcPr>
            <w:tcW w:w="1427" w:type="dxa"/>
            <w:tcBorders>
              <w:top w:val="single" w:color="000000" w:sz="12" w:space="0"/>
            </w:tcBorders>
            <w:vAlign w:val="top"/>
          </w:tcPr>
          <w:p>
            <w:pPr>
              <w:spacing w:line="251" w:lineRule="auto"/>
              <w:rPr>
                <w:rFonts w:ascii="Arial"/>
                <w:sz w:val="21"/>
              </w:rPr>
            </w:pPr>
          </w:p>
          <w:p>
            <w:pPr>
              <w:spacing w:line="252" w:lineRule="auto"/>
              <w:rPr>
                <w:rFonts w:ascii="Arial"/>
                <w:sz w:val="21"/>
              </w:rPr>
            </w:pPr>
          </w:p>
          <w:p>
            <w:pPr>
              <w:spacing w:before="68" w:line="218" w:lineRule="auto"/>
              <w:ind w:left="302"/>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植被亚型</w:t>
            </w:r>
          </w:p>
        </w:tc>
        <w:tc>
          <w:tcPr>
            <w:tcW w:w="1277" w:type="dxa"/>
            <w:tcBorders>
              <w:top w:val="single" w:color="000000" w:sz="12" w:space="0"/>
            </w:tcBorders>
            <w:vAlign w:val="top"/>
          </w:tcPr>
          <w:p>
            <w:pPr>
              <w:spacing w:line="251" w:lineRule="auto"/>
              <w:rPr>
                <w:rFonts w:ascii="Arial"/>
                <w:sz w:val="21"/>
              </w:rPr>
            </w:pPr>
          </w:p>
          <w:p>
            <w:pPr>
              <w:spacing w:line="252" w:lineRule="auto"/>
              <w:rPr>
                <w:rFonts w:ascii="Arial"/>
                <w:sz w:val="21"/>
              </w:rPr>
            </w:pPr>
          </w:p>
          <w:p>
            <w:pPr>
              <w:spacing w:before="68" w:line="218" w:lineRule="auto"/>
              <w:ind w:left="43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群系</w:t>
            </w:r>
          </w:p>
        </w:tc>
        <w:tc>
          <w:tcPr>
            <w:tcW w:w="3401" w:type="dxa"/>
            <w:tcBorders>
              <w:top w:val="single" w:color="000000" w:sz="12" w:space="0"/>
            </w:tcBorders>
            <w:vAlign w:val="top"/>
          </w:tcPr>
          <w:p>
            <w:pPr>
              <w:spacing w:line="251" w:lineRule="auto"/>
              <w:rPr>
                <w:rFonts w:ascii="Arial"/>
                <w:sz w:val="21"/>
              </w:rPr>
            </w:pPr>
          </w:p>
          <w:p>
            <w:pPr>
              <w:spacing w:line="251" w:lineRule="auto"/>
              <w:rPr>
                <w:rFonts w:ascii="Arial"/>
                <w:sz w:val="21"/>
              </w:rPr>
            </w:pPr>
          </w:p>
          <w:p>
            <w:pPr>
              <w:spacing w:before="69" w:line="216" w:lineRule="auto"/>
              <w:ind w:left="129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分布情况</w:t>
            </w:r>
          </w:p>
        </w:tc>
        <w:tc>
          <w:tcPr>
            <w:tcW w:w="949" w:type="dxa"/>
            <w:tcBorders>
              <w:top w:val="single" w:color="000000" w:sz="12" w:space="0"/>
            </w:tcBorders>
            <w:vAlign w:val="top"/>
          </w:tcPr>
          <w:p>
            <w:pPr>
              <w:spacing w:before="302" w:line="219" w:lineRule="auto"/>
              <w:ind w:left="279"/>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面积</w:t>
            </w:r>
          </w:p>
          <w:p>
            <w:pPr>
              <w:pStyle w:val="6"/>
              <w:spacing w:before="21" w:line="230" w:lineRule="auto"/>
              <w:ind w:left="396" w:right="184" w:hanging="196"/>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w:t>
            </w:r>
            <w:r>
              <w:rPr>
                <w:b/>
                <w:bCs/>
                <w:spacing w:val="-4"/>
              </w:rPr>
              <w:t>hm</w:t>
            </w:r>
            <w:r>
              <w:rPr>
                <w:b/>
                <w:bCs/>
                <w:spacing w:val="-4"/>
                <w:position w:val="6"/>
                <w:sz w:val="14"/>
                <w:szCs w:val="14"/>
              </w:rPr>
              <w:t>2</w:t>
            </w:r>
            <w:r>
              <w:rPr>
                <w:b/>
                <w:bCs/>
                <w:spacing w:val="2"/>
                <w:position w:val="6"/>
                <w:sz w:val="14"/>
                <w:szCs w:val="14"/>
              </w:rPr>
              <w:t xml:space="preserve"> </w:t>
            </w:r>
            <w:r>
              <w:rPr>
                <w:rFonts w:ascii="仿宋" w:hAnsi="仿宋" w:eastAsia="仿宋" w:cs="仿宋"/>
                <w14:textOutline w14:w="3810" w14:cap="flat" w14:cmpd="sng">
                  <w14:solidFill>
                    <w14:srgbClr w14:val="000000"/>
                  </w14:solidFill>
                  <w14:prstDash w14:val="solid"/>
                  <w14:miter w14:val="0"/>
                </w14:textOutline>
              </w:rPr>
              <w:t>)</w:t>
            </w:r>
          </w:p>
        </w:tc>
        <w:tc>
          <w:tcPr>
            <w:tcW w:w="946" w:type="dxa"/>
            <w:tcBorders>
              <w:top w:val="single" w:color="000000" w:sz="12" w:space="0"/>
              <w:right w:val="nil"/>
            </w:tcBorders>
            <w:vAlign w:val="top"/>
          </w:tcPr>
          <w:p>
            <w:pPr>
              <w:spacing w:before="30" w:line="218" w:lineRule="auto"/>
              <w:ind w:left="204"/>
              <w:rPr>
                <w:rFonts w:ascii="仿宋" w:hAnsi="仿宋" w:eastAsia="仿宋" w:cs="仿宋"/>
                <w:sz w:val="21"/>
                <w:szCs w:val="21"/>
              </w:rPr>
            </w:pPr>
            <w:r>
              <w:rPr>
                <w:rFonts w:ascii="仿宋" w:hAnsi="仿宋" w:eastAsia="仿宋" w:cs="仿宋"/>
                <w:spacing w:val="-11"/>
                <w:sz w:val="21"/>
                <w:szCs w:val="21"/>
                <w14:textOutline w14:w="3810" w14:cap="flat" w14:cmpd="sng">
                  <w14:solidFill>
                    <w14:srgbClr w14:val="000000"/>
                  </w14:solidFill>
                  <w14:prstDash w14:val="solid"/>
                  <w14:miter w14:val="0"/>
                </w14:textOutline>
              </w:rPr>
              <w:t>占评价</w:t>
            </w:r>
          </w:p>
          <w:p>
            <w:pPr>
              <w:spacing w:before="24" w:line="221" w:lineRule="auto"/>
              <w:ind w:left="186"/>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区总面</w:t>
            </w:r>
          </w:p>
          <w:p>
            <w:pPr>
              <w:spacing w:before="19" w:line="219" w:lineRule="auto"/>
              <w:ind w:left="16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积的比</w:t>
            </w:r>
          </w:p>
          <w:p>
            <w:pPr>
              <w:spacing w:before="23" w:line="219" w:lineRule="auto"/>
              <w:ind w:left="378"/>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例</w:t>
            </w:r>
          </w:p>
          <w:p>
            <w:pPr>
              <w:pStyle w:val="6"/>
              <w:spacing w:before="24" w:line="203" w:lineRule="auto"/>
              <w:ind w:left="169"/>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w:t>
            </w:r>
            <w:r>
              <w:rPr>
                <w:rFonts w:ascii="仿宋" w:hAnsi="仿宋" w:eastAsia="仿宋" w:cs="仿宋"/>
                <w:spacing w:val="-5"/>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1" w:hRule="atLeast"/>
        </w:trPr>
        <w:tc>
          <w:tcPr>
            <w:tcW w:w="809" w:type="dxa"/>
            <w:vMerge w:val="restart"/>
            <w:tcBorders>
              <w:left w:val="nil"/>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68" w:line="239" w:lineRule="auto"/>
              <w:ind w:left="115"/>
              <w:rPr>
                <w:rFonts w:ascii="仿宋" w:hAnsi="仿宋" w:eastAsia="仿宋" w:cs="仿宋"/>
                <w:sz w:val="21"/>
                <w:szCs w:val="21"/>
              </w:rPr>
            </w:pPr>
            <w:r>
              <w:rPr>
                <w:rFonts w:ascii="宋体" w:hAnsi="宋体" w:eastAsia="宋体" w:cs="宋体"/>
                <w:spacing w:val="-4"/>
                <w:sz w:val="21"/>
                <w:szCs w:val="21"/>
              </w:rPr>
              <w:t>①</w:t>
            </w:r>
            <w:r>
              <w:rPr>
                <w:rFonts w:ascii="仿宋" w:hAnsi="仿宋" w:eastAsia="仿宋" w:cs="仿宋"/>
                <w:spacing w:val="-4"/>
                <w:sz w:val="21"/>
                <w:szCs w:val="21"/>
              </w:rPr>
              <w:t>自</w:t>
            </w:r>
          </w:p>
          <w:p>
            <w:pPr>
              <w:spacing w:line="218" w:lineRule="auto"/>
              <w:ind w:left="128"/>
              <w:rPr>
                <w:rFonts w:ascii="仿宋" w:hAnsi="仿宋" w:eastAsia="仿宋" w:cs="仿宋"/>
                <w:sz w:val="21"/>
                <w:szCs w:val="21"/>
              </w:rPr>
            </w:pPr>
            <w:r>
              <w:rPr>
                <w:rFonts w:ascii="仿宋" w:hAnsi="仿宋" w:eastAsia="仿宋" w:cs="仿宋"/>
                <w:spacing w:val="-6"/>
                <w:sz w:val="21"/>
                <w:szCs w:val="21"/>
              </w:rPr>
              <w:t>然植</w:t>
            </w:r>
          </w:p>
          <w:p>
            <w:pPr>
              <w:spacing w:before="24" w:line="219" w:lineRule="auto"/>
              <w:ind w:left="122"/>
              <w:rPr>
                <w:rFonts w:ascii="仿宋" w:hAnsi="仿宋" w:eastAsia="仿宋" w:cs="仿宋"/>
                <w:sz w:val="21"/>
                <w:szCs w:val="21"/>
              </w:rPr>
            </w:pPr>
            <w:r>
              <w:rPr>
                <w:rFonts w:ascii="仿宋" w:hAnsi="仿宋" w:eastAsia="仿宋" w:cs="仿宋"/>
                <w:sz w:val="21"/>
                <w:szCs w:val="21"/>
              </w:rPr>
              <w:t>被</w:t>
            </w:r>
          </w:p>
          <w:p>
            <w:pPr>
              <w:spacing w:before="24" w:line="239" w:lineRule="auto"/>
              <w:ind w:left="122"/>
              <w:rPr>
                <w:rFonts w:ascii="仿宋" w:hAnsi="仿宋" w:eastAsia="仿宋" w:cs="仿宋"/>
                <w:sz w:val="21"/>
                <w:szCs w:val="21"/>
              </w:rPr>
            </w:pPr>
            <w:r>
              <w:rPr>
                <w:rFonts w:ascii="仿宋" w:hAnsi="仿宋" w:eastAsia="仿宋" w:cs="仿宋"/>
                <w:spacing w:val="-7"/>
                <w:sz w:val="21"/>
                <w:szCs w:val="21"/>
              </w:rPr>
              <w:t>（含</w:t>
            </w:r>
          </w:p>
          <w:p>
            <w:pPr>
              <w:spacing w:line="218" w:lineRule="auto"/>
              <w:ind w:left="128"/>
              <w:rPr>
                <w:rFonts w:ascii="仿宋" w:hAnsi="仿宋" w:eastAsia="仿宋" w:cs="仿宋"/>
                <w:sz w:val="21"/>
                <w:szCs w:val="21"/>
              </w:rPr>
            </w:pPr>
            <w:r>
              <w:rPr>
                <w:rFonts w:ascii="仿宋" w:hAnsi="仿宋" w:eastAsia="仿宋" w:cs="仿宋"/>
                <w:sz w:val="21"/>
                <w:szCs w:val="21"/>
              </w:rPr>
              <w:t>萌</w:t>
            </w:r>
          </w:p>
          <w:p>
            <w:pPr>
              <w:spacing w:before="24" w:line="239" w:lineRule="auto"/>
              <w:ind w:left="134"/>
              <w:rPr>
                <w:rFonts w:ascii="仿宋" w:hAnsi="仿宋" w:eastAsia="仿宋" w:cs="仿宋"/>
                <w:sz w:val="21"/>
                <w:szCs w:val="21"/>
              </w:rPr>
            </w:pPr>
            <w:r>
              <w:rPr>
                <w:rFonts w:ascii="仿宋" w:hAnsi="仿宋" w:eastAsia="仿宋" w:cs="仿宋"/>
                <w:spacing w:val="-15"/>
                <w:sz w:val="21"/>
                <w:szCs w:val="21"/>
              </w:rPr>
              <w:t>生、</w:t>
            </w:r>
          </w:p>
          <w:p>
            <w:pPr>
              <w:spacing w:line="218" w:lineRule="auto"/>
              <w:ind w:left="122"/>
              <w:rPr>
                <w:rFonts w:ascii="仿宋" w:hAnsi="仿宋" w:eastAsia="仿宋" w:cs="仿宋"/>
                <w:sz w:val="21"/>
                <w:szCs w:val="21"/>
              </w:rPr>
            </w:pPr>
            <w:r>
              <w:rPr>
                <w:rFonts w:ascii="仿宋" w:hAnsi="仿宋" w:eastAsia="仿宋" w:cs="仿宋"/>
                <w:spacing w:val="-4"/>
                <w:sz w:val="21"/>
                <w:szCs w:val="21"/>
              </w:rPr>
              <w:t>次生</w:t>
            </w:r>
          </w:p>
          <w:p>
            <w:pPr>
              <w:spacing w:before="24" w:line="218" w:lineRule="auto"/>
              <w:ind w:left="121"/>
              <w:rPr>
                <w:rFonts w:ascii="仿宋" w:hAnsi="仿宋" w:eastAsia="仿宋" w:cs="仿宋"/>
                <w:sz w:val="21"/>
                <w:szCs w:val="21"/>
              </w:rPr>
            </w:pPr>
            <w:r>
              <w:rPr>
                <w:rFonts w:ascii="仿宋" w:hAnsi="仿宋" w:eastAsia="仿宋" w:cs="仿宋"/>
                <w:sz w:val="21"/>
                <w:szCs w:val="21"/>
              </w:rPr>
              <w:t>植</w:t>
            </w:r>
          </w:p>
          <w:p>
            <w:pPr>
              <w:spacing w:before="24" w:line="219" w:lineRule="auto"/>
              <w:ind w:left="122"/>
              <w:rPr>
                <w:rFonts w:ascii="仿宋" w:hAnsi="仿宋" w:eastAsia="仿宋" w:cs="仿宋"/>
                <w:sz w:val="21"/>
                <w:szCs w:val="21"/>
              </w:rPr>
            </w:pPr>
            <w:r>
              <w:rPr>
                <w:rFonts w:ascii="仿宋" w:hAnsi="仿宋" w:eastAsia="仿宋" w:cs="仿宋"/>
                <w:spacing w:val="-7"/>
                <w:sz w:val="21"/>
                <w:szCs w:val="21"/>
              </w:rPr>
              <w:t>被）</w:t>
            </w:r>
          </w:p>
        </w:tc>
        <w:tc>
          <w:tcPr>
            <w:tcW w:w="1427" w:type="dxa"/>
            <w:vAlign w:val="top"/>
          </w:tcPr>
          <w:p>
            <w:pPr>
              <w:rPr>
                <w:rFonts w:ascii="Arial"/>
                <w:sz w:val="21"/>
              </w:rPr>
            </w:pPr>
          </w:p>
          <w:p>
            <w:pPr>
              <w:pStyle w:val="6"/>
              <w:spacing w:before="68" w:line="228" w:lineRule="auto"/>
              <w:ind w:left="307" w:right="106" w:hanging="124"/>
              <w:rPr>
                <w:rFonts w:ascii="仿宋" w:hAnsi="仿宋" w:eastAsia="仿宋" w:cs="仿宋"/>
              </w:rPr>
            </w:pPr>
            <w:r>
              <w:rPr>
                <w:rFonts w:ascii="宋体" w:hAnsi="宋体" w:eastAsia="宋体" w:cs="宋体"/>
                <w:spacing w:val="-16"/>
              </w:rPr>
              <w:t>Ⅰ</w:t>
            </w:r>
            <w:r>
              <w:rPr>
                <w:spacing w:val="-16"/>
              </w:rPr>
              <w:t>.</w:t>
            </w:r>
            <w:r>
              <w:rPr>
                <w:spacing w:val="9"/>
              </w:rPr>
              <w:t xml:space="preserve">  </w:t>
            </w:r>
            <w:r>
              <w:rPr>
                <w:rFonts w:ascii="仿宋" w:hAnsi="仿宋" w:eastAsia="仿宋" w:cs="仿宋"/>
                <w:spacing w:val="-16"/>
              </w:rPr>
              <w:t>半湿润常</w:t>
            </w:r>
            <w:r>
              <w:rPr>
                <w:rFonts w:ascii="仿宋" w:hAnsi="仿宋" w:eastAsia="仿宋" w:cs="仿宋"/>
                <w:spacing w:val="1"/>
              </w:rPr>
              <w:t xml:space="preserve"> </w:t>
            </w:r>
            <w:r>
              <w:rPr>
                <w:rFonts w:ascii="仿宋" w:hAnsi="仿宋" w:eastAsia="仿宋" w:cs="仿宋"/>
                <w:spacing w:val="-4"/>
              </w:rPr>
              <w:t>绿阔叶林</w:t>
            </w:r>
          </w:p>
        </w:tc>
        <w:tc>
          <w:tcPr>
            <w:tcW w:w="1277" w:type="dxa"/>
            <w:vAlign w:val="top"/>
          </w:tcPr>
          <w:p>
            <w:pPr>
              <w:spacing w:line="374" w:lineRule="auto"/>
              <w:rPr>
                <w:rFonts w:ascii="Arial"/>
                <w:sz w:val="21"/>
              </w:rPr>
            </w:pPr>
          </w:p>
          <w:p>
            <w:pPr>
              <w:spacing w:before="68" w:line="217" w:lineRule="auto"/>
              <w:ind w:left="232"/>
              <w:rPr>
                <w:rFonts w:ascii="仿宋" w:hAnsi="仿宋" w:eastAsia="仿宋" w:cs="仿宋"/>
                <w:sz w:val="21"/>
                <w:szCs w:val="21"/>
              </w:rPr>
            </w:pPr>
            <w:r>
              <w:rPr>
                <w:rFonts w:ascii="仿宋" w:hAnsi="仿宋" w:eastAsia="仿宋" w:cs="仿宋"/>
                <w:spacing w:val="-5"/>
                <w:sz w:val="21"/>
                <w:szCs w:val="21"/>
              </w:rPr>
              <w:t>滇青冈林</w:t>
            </w:r>
          </w:p>
        </w:tc>
        <w:tc>
          <w:tcPr>
            <w:tcW w:w="3401" w:type="dxa"/>
            <w:vAlign w:val="top"/>
          </w:tcPr>
          <w:p>
            <w:pPr>
              <w:spacing w:before="37" w:line="215" w:lineRule="auto"/>
              <w:ind w:left="138"/>
              <w:rPr>
                <w:rFonts w:ascii="仿宋" w:hAnsi="仿宋" w:eastAsia="仿宋" w:cs="仿宋"/>
                <w:sz w:val="21"/>
                <w:szCs w:val="21"/>
              </w:rPr>
            </w:pPr>
            <w:r>
              <w:rPr>
                <w:rFonts w:ascii="仿宋" w:hAnsi="仿宋" w:eastAsia="仿宋" w:cs="仿宋"/>
                <w:spacing w:val="-2"/>
                <w:sz w:val="21"/>
                <w:szCs w:val="21"/>
              </w:rPr>
              <w:t>在库区、引水、引洪和输水管两侧</w:t>
            </w:r>
          </w:p>
          <w:p>
            <w:pPr>
              <w:spacing w:before="27" w:line="216" w:lineRule="auto"/>
              <w:ind w:left="137"/>
              <w:rPr>
                <w:rFonts w:ascii="仿宋" w:hAnsi="仿宋" w:eastAsia="仿宋" w:cs="仿宋"/>
                <w:sz w:val="21"/>
                <w:szCs w:val="21"/>
              </w:rPr>
            </w:pPr>
            <w:r>
              <w:rPr>
                <w:rFonts w:ascii="仿宋" w:hAnsi="仿宋" w:eastAsia="仿宋" w:cs="仿宋"/>
                <w:spacing w:val="-1"/>
                <w:sz w:val="21"/>
                <w:szCs w:val="21"/>
              </w:rPr>
              <w:t>较陡峭沟谷有零星分布，分布海拔</w:t>
            </w:r>
          </w:p>
          <w:p>
            <w:pPr>
              <w:pStyle w:val="6"/>
              <w:spacing w:before="27" w:line="215" w:lineRule="auto"/>
              <w:ind w:left="193"/>
              <w:rPr>
                <w:rFonts w:ascii="仿宋" w:hAnsi="仿宋" w:eastAsia="仿宋" w:cs="仿宋"/>
              </w:rPr>
            </w:pPr>
            <w:r>
              <w:rPr>
                <w:rFonts w:ascii="仿宋" w:hAnsi="仿宋" w:eastAsia="仿宋" w:cs="仿宋"/>
                <w:spacing w:val="-4"/>
              </w:rPr>
              <w:t>范围大约为</w:t>
            </w:r>
            <w:r>
              <w:rPr>
                <w:rFonts w:ascii="仿宋" w:hAnsi="仿宋" w:eastAsia="仿宋" w:cs="仿宋"/>
                <w:spacing w:val="-11"/>
              </w:rPr>
              <w:t xml:space="preserve"> </w:t>
            </w:r>
            <w:r>
              <w:rPr>
                <w:spacing w:val="-4"/>
              </w:rPr>
              <w:t>1950~2400m</w:t>
            </w:r>
            <w:r>
              <w:rPr>
                <w:rFonts w:ascii="仿宋" w:hAnsi="仿宋" w:eastAsia="仿宋" w:cs="仿宋"/>
                <w:spacing w:val="-4"/>
              </w:rPr>
              <w:t>，残存于</w:t>
            </w:r>
          </w:p>
          <w:p>
            <w:pPr>
              <w:spacing w:before="27" w:line="200" w:lineRule="auto"/>
              <w:ind w:left="1398"/>
              <w:rPr>
                <w:rFonts w:ascii="仿宋" w:hAnsi="仿宋" w:eastAsia="仿宋" w:cs="仿宋"/>
                <w:sz w:val="21"/>
                <w:szCs w:val="21"/>
              </w:rPr>
            </w:pPr>
            <w:r>
              <w:rPr>
                <w:rFonts w:ascii="仿宋" w:hAnsi="仿宋" w:eastAsia="仿宋" w:cs="仿宋"/>
                <w:spacing w:val="-4"/>
                <w:sz w:val="21"/>
                <w:szCs w:val="21"/>
              </w:rPr>
              <w:t>沟谷中</w:t>
            </w:r>
          </w:p>
        </w:tc>
        <w:tc>
          <w:tcPr>
            <w:tcW w:w="949" w:type="dxa"/>
            <w:vAlign w:val="top"/>
          </w:tcPr>
          <w:p>
            <w:pPr>
              <w:spacing w:line="419" w:lineRule="auto"/>
              <w:rPr>
                <w:rFonts w:ascii="Arial"/>
                <w:sz w:val="21"/>
              </w:rPr>
            </w:pPr>
          </w:p>
          <w:p>
            <w:pPr>
              <w:pStyle w:val="6"/>
              <w:spacing w:before="60" w:line="188" w:lineRule="auto"/>
              <w:ind w:left="244"/>
            </w:pPr>
            <w:r>
              <w:rPr>
                <w:spacing w:val="-2"/>
              </w:rPr>
              <w:t>34.38</w:t>
            </w:r>
          </w:p>
        </w:tc>
        <w:tc>
          <w:tcPr>
            <w:tcW w:w="946" w:type="dxa"/>
            <w:tcBorders>
              <w:right w:val="nil"/>
            </w:tcBorders>
            <w:vAlign w:val="top"/>
          </w:tcPr>
          <w:p>
            <w:pPr>
              <w:spacing w:line="419" w:lineRule="auto"/>
              <w:rPr>
                <w:rFonts w:ascii="Arial"/>
                <w:sz w:val="21"/>
              </w:rPr>
            </w:pPr>
          </w:p>
          <w:p>
            <w:pPr>
              <w:pStyle w:val="6"/>
              <w:spacing w:before="60" w:line="188" w:lineRule="auto"/>
              <w:ind w:left="290"/>
            </w:pPr>
            <w:r>
              <w:rPr>
                <w:spacing w:val="-1"/>
              </w:rPr>
              <w:t>4.19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809" w:type="dxa"/>
            <w:vMerge w:val="continue"/>
            <w:tcBorders>
              <w:top w:val="nil"/>
              <w:left w:val="nil"/>
              <w:bottom w:val="nil"/>
            </w:tcBorders>
            <w:vAlign w:val="top"/>
          </w:tcPr>
          <w:p>
            <w:pPr>
              <w:rPr>
                <w:rFonts w:ascii="Arial"/>
                <w:sz w:val="21"/>
              </w:rPr>
            </w:pPr>
          </w:p>
        </w:tc>
        <w:tc>
          <w:tcPr>
            <w:tcW w:w="1427" w:type="dxa"/>
            <w:vAlign w:val="top"/>
          </w:tcPr>
          <w:p>
            <w:pPr>
              <w:pStyle w:val="6"/>
              <w:spacing w:before="41" w:line="218" w:lineRule="auto"/>
              <w:ind w:left="619" w:right="106" w:hanging="468"/>
              <w:rPr>
                <w:rFonts w:ascii="仿宋" w:hAnsi="仿宋" w:eastAsia="仿宋" w:cs="仿宋"/>
              </w:rPr>
            </w:pPr>
            <w:r>
              <w:rPr>
                <w:rFonts w:ascii="宋体" w:hAnsi="宋体" w:eastAsia="宋体" w:cs="宋体"/>
                <w:spacing w:val="-12"/>
              </w:rPr>
              <w:t>Ⅱ</w:t>
            </w:r>
            <w:r>
              <w:rPr>
                <w:spacing w:val="-12"/>
              </w:rPr>
              <w:t>.</w:t>
            </w:r>
            <w:r>
              <w:rPr>
                <w:spacing w:val="13"/>
                <w:w w:val="101"/>
              </w:rPr>
              <w:t xml:space="preserve">  </w:t>
            </w:r>
            <w:r>
              <w:rPr>
                <w:rFonts w:ascii="仿宋" w:hAnsi="仿宋" w:eastAsia="仿宋" w:cs="仿宋"/>
                <w:spacing w:val="-12"/>
              </w:rPr>
              <w:t>落叶阔叶</w:t>
            </w:r>
            <w:r>
              <w:rPr>
                <w:rFonts w:ascii="仿宋" w:hAnsi="仿宋" w:eastAsia="仿宋" w:cs="仿宋"/>
              </w:rPr>
              <w:t xml:space="preserve"> 林</w:t>
            </w:r>
          </w:p>
        </w:tc>
        <w:tc>
          <w:tcPr>
            <w:tcW w:w="1277" w:type="dxa"/>
            <w:vAlign w:val="top"/>
          </w:tcPr>
          <w:p>
            <w:pPr>
              <w:spacing w:before="41" w:line="218" w:lineRule="auto"/>
              <w:ind w:left="544" w:right="111" w:hanging="420"/>
              <w:rPr>
                <w:rFonts w:ascii="仿宋" w:hAnsi="仿宋" w:eastAsia="仿宋" w:cs="仿宋"/>
                <w:sz w:val="21"/>
                <w:szCs w:val="21"/>
              </w:rPr>
            </w:pPr>
            <w:r>
              <w:rPr>
                <w:rFonts w:ascii="仿宋" w:hAnsi="仿宋" w:eastAsia="仿宋" w:cs="仿宋"/>
                <w:spacing w:val="-3"/>
                <w:sz w:val="21"/>
                <w:szCs w:val="21"/>
              </w:rPr>
              <w:t>尼泊尔桤木</w:t>
            </w:r>
            <w:r>
              <w:rPr>
                <w:rFonts w:ascii="仿宋" w:hAnsi="仿宋" w:eastAsia="仿宋" w:cs="仿宋"/>
                <w:sz w:val="21"/>
                <w:szCs w:val="21"/>
              </w:rPr>
              <w:t xml:space="preserve"> 林</w:t>
            </w:r>
          </w:p>
        </w:tc>
        <w:tc>
          <w:tcPr>
            <w:tcW w:w="3401" w:type="dxa"/>
            <w:vAlign w:val="top"/>
          </w:tcPr>
          <w:p>
            <w:pPr>
              <w:pStyle w:val="6"/>
              <w:spacing w:before="41" w:line="218" w:lineRule="auto"/>
              <w:ind w:left="842" w:right="123" w:hanging="705"/>
              <w:rPr>
                <w:rFonts w:ascii="仿宋" w:hAnsi="仿宋" w:eastAsia="仿宋" w:cs="仿宋"/>
              </w:rPr>
            </w:pPr>
            <w:r>
              <w:rPr>
                <w:rFonts w:ascii="仿宋" w:hAnsi="仿宋" w:eastAsia="仿宋" w:cs="仿宋"/>
                <w:spacing w:val="-1"/>
              </w:rPr>
              <w:t>零星分布于库区、输水管线两侧海</w:t>
            </w:r>
            <w:r>
              <w:rPr>
                <w:rFonts w:ascii="仿宋" w:hAnsi="仿宋" w:eastAsia="仿宋" w:cs="仿宋"/>
              </w:rPr>
              <w:t xml:space="preserve"> </w:t>
            </w:r>
            <w:r>
              <w:rPr>
                <w:rFonts w:ascii="仿宋" w:hAnsi="仿宋" w:eastAsia="仿宋" w:cs="仿宋"/>
                <w:spacing w:val="-6"/>
              </w:rPr>
              <w:t>拔</w:t>
            </w:r>
            <w:r>
              <w:rPr>
                <w:rFonts w:ascii="仿宋" w:hAnsi="仿宋" w:eastAsia="仿宋" w:cs="仿宋"/>
                <w:spacing w:val="-43"/>
              </w:rPr>
              <w:t xml:space="preserve"> </w:t>
            </w:r>
            <w:r>
              <w:rPr>
                <w:spacing w:val="-6"/>
              </w:rPr>
              <w:t>2400m</w:t>
            </w:r>
            <w:r>
              <w:rPr>
                <w:spacing w:val="35"/>
                <w:w w:val="101"/>
              </w:rPr>
              <w:t xml:space="preserve"> </w:t>
            </w:r>
            <w:r>
              <w:rPr>
                <w:rFonts w:ascii="仿宋" w:hAnsi="仿宋" w:eastAsia="仿宋" w:cs="仿宋"/>
                <w:spacing w:val="-6"/>
              </w:rPr>
              <w:t>以下区域</w:t>
            </w:r>
          </w:p>
        </w:tc>
        <w:tc>
          <w:tcPr>
            <w:tcW w:w="949" w:type="dxa"/>
            <w:vAlign w:val="top"/>
          </w:tcPr>
          <w:p>
            <w:pPr>
              <w:pStyle w:val="6"/>
              <w:spacing w:before="213" w:line="188" w:lineRule="auto"/>
              <w:ind w:left="298"/>
            </w:pPr>
            <w:r>
              <w:rPr>
                <w:spacing w:val="-3"/>
              </w:rPr>
              <w:t>5.15</w:t>
            </w:r>
          </w:p>
        </w:tc>
        <w:tc>
          <w:tcPr>
            <w:tcW w:w="946" w:type="dxa"/>
            <w:tcBorders>
              <w:right w:val="nil"/>
            </w:tcBorders>
            <w:vAlign w:val="top"/>
          </w:tcPr>
          <w:p>
            <w:pPr>
              <w:pStyle w:val="6"/>
              <w:spacing w:before="213" w:line="188" w:lineRule="auto"/>
              <w:ind w:left="294"/>
            </w:pPr>
            <w:r>
              <w:rPr>
                <w:spacing w:val="-2"/>
              </w:rPr>
              <w:t>0.63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19" w:hRule="atLeast"/>
        </w:trPr>
        <w:tc>
          <w:tcPr>
            <w:tcW w:w="809" w:type="dxa"/>
            <w:vMerge w:val="continue"/>
            <w:tcBorders>
              <w:top w:val="nil"/>
              <w:left w:val="nil"/>
              <w:bottom w:val="nil"/>
            </w:tcBorders>
            <w:vAlign w:val="top"/>
          </w:tcPr>
          <w:p>
            <w:pPr>
              <w:rPr>
                <w:rFonts w:ascii="Arial"/>
                <w:sz w:val="21"/>
              </w:rPr>
            </w:pPr>
          </w:p>
        </w:tc>
        <w:tc>
          <w:tcPr>
            <w:tcW w:w="1427" w:type="dxa"/>
            <w:vAlign w:val="top"/>
          </w:tcPr>
          <w:p>
            <w:pPr>
              <w:pStyle w:val="6"/>
              <w:spacing w:before="42" w:line="219" w:lineRule="auto"/>
              <w:ind w:left="112"/>
              <w:rPr>
                <w:rFonts w:ascii="仿宋" w:hAnsi="仿宋" w:eastAsia="仿宋" w:cs="仿宋"/>
              </w:rPr>
            </w:pPr>
            <w:r>
              <w:rPr>
                <w:spacing w:val="-3"/>
              </w:rPr>
              <w:t>III.</w:t>
            </w:r>
            <w:r>
              <w:rPr>
                <w:spacing w:val="11"/>
              </w:rPr>
              <w:t xml:space="preserve">  </w:t>
            </w:r>
            <w:r>
              <w:rPr>
                <w:rFonts w:ascii="仿宋" w:hAnsi="仿宋" w:eastAsia="仿宋" w:cs="仿宋"/>
                <w:spacing w:val="-3"/>
              </w:rPr>
              <w:t>干热河谷</w:t>
            </w:r>
          </w:p>
          <w:p>
            <w:pPr>
              <w:spacing w:before="23" w:line="218" w:lineRule="auto"/>
              <w:ind w:left="198"/>
              <w:rPr>
                <w:rFonts w:ascii="仿宋" w:hAnsi="仿宋" w:eastAsia="仿宋" w:cs="仿宋"/>
                <w:sz w:val="21"/>
                <w:szCs w:val="21"/>
              </w:rPr>
            </w:pPr>
            <w:r>
              <w:rPr>
                <w:rFonts w:ascii="仿宋" w:hAnsi="仿宋" w:eastAsia="仿宋" w:cs="仿宋"/>
                <w:spacing w:val="-2"/>
                <w:sz w:val="21"/>
                <w:szCs w:val="21"/>
              </w:rPr>
              <w:t>硬叶常绿栎</w:t>
            </w:r>
          </w:p>
          <w:p>
            <w:pPr>
              <w:spacing w:before="24" w:line="195" w:lineRule="auto"/>
              <w:ind w:left="516"/>
              <w:rPr>
                <w:rFonts w:ascii="仿宋" w:hAnsi="仿宋" w:eastAsia="仿宋" w:cs="仿宋"/>
                <w:sz w:val="21"/>
                <w:szCs w:val="21"/>
              </w:rPr>
            </w:pPr>
            <w:r>
              <w:rPr>
                <w:rFonts w:ascii="仿宋" w:hAnsi="仿宋" w:eastAsia="仿宋" w:cs="仿宋"/>
                <w:spacing w:val="-5"/>
                <w:sz w:val="21"/>
                <w:szCs w:val="21"/>
              </w:rPr>
              <w:t>类林</w:t>
            </w:r>
          </w:p>
        </w:tc>
        <w:tc>
          <w:tcPr>
            <w:tcW w:w="1277" w:type="dxa"/>
            <w:vAlign w:val="top"/>
          </w:tcPr>
          <w:p>
            <w:pPr>
              <w:spacing w:line="245" w:lineRule="auto"/>
              <w:rPr>
                <w:rFonts w:ascii="Arial"/>
                <w:sz w:val="21"/>
              </w:rPr>
            </w:pPr>
          </w:p>
          <w:p>
            <w:pPr>
              <w:spacing w:before="68" w:line="218" w:lineRule="auto"/>
              <w:ind w:left="230"/>
              <w:rPr>
                <w:rFonts w:ascii="仿宋" w:hAnsi="仿宋" w:eastAsia="仿宋" w:cs="仿宋"/>
                <w:sz w:val="21"/>
                <w:szCs w:val="21"/>
              </w:rPr>
            </w:pPr>
            <w:r>
              <w:rPr>
                <w:rFonts w:ascii="仿宋" w:hAnsi="仿宋" w:eastAsia="仿宋" w:cs="仿宋"/>
                <w:spacing w:val="-3"/>
                <w:sz w:val="21"/>
                <w:szCs w:val="21"/>
              </w:rPr>
              <w:t>锥连栎林</w:t>
            </w:r>
          </w:p>
        </w:tc>
        <w:tc>
          <w:tcPr>
            <w:tcW w:w="3401" w:type="dxa"/>
            <w:vAlign w:val="top"/>
          </w:tcPr>
          <w:p>
            <w:pPr>
              <w:pStyle w:val="6"/>
              <w:spacing w:before="179" w:line="227" w:lineRule="auto"/>
              <w:ind w:left="422" w:right="123" w:hanging="283"/>
              <w:rPr>
                <w:rFonts w:ascii="仿宋" w:hAnsi="仿宋" w:eastAsia="仿宋" w:cs="仿宋"/>
              </w:rPr>
            </w:pPr>
            <w:r>
              <w:rPr>
                <w:rFonts w:ascii="仿宋" w:hAnsi="仿宋" w:eastAsia="仿宋" w:cs="仿宋"/>
                <w:spacing w:val="-2"/>
              </w:rPr>
              <w:t>库区两侧两侧较陡峭沟谷有零星分</w:t>
            </w:r>
            <w:r>
              <w:rPr>
                <w:rFonts w:ascii="仿宋" w:hAnsi="仿宋" w:eastAsia="仿宋" w:cs="仿宋"/>
                <w:spacing w:val="11"/>
              </w:rPr>
              <w:t xml:space="preserve"> </w:t>
            </w:r>
            <w:r>
              <w:rPr>
                <w:rFonts w:ascii="仿宋" w:hAnsi="仿宋" w:eastAsia="仿宋" w:cs="仿宋"/>
                <w:spacing w:val="-4"/>
              </w:rPr>
              <w:t>布，海拔仅限于</w:t>
            </w:r>
            <w:r>
              <w:rPr>
                <w:rFonts w:ascii="仿宋" w:hAnsi="仿宋" w:eastAsia="仿宋" w:cs="仿宋"/>
                <w:spacing w:val="-30"/>
              </w:rPr>
              <w:t xml:space="preserve"> </w:t>
            </w:r>
            <w:r>
              <w:rPr>
                <w:spacing w:val="-4"/>
              </w:rPr>
              <w:t>2100m</w:t>
            </w:r>
            <w:r>
              <w:rPr>
                <w:spacing w:val="35"/>
              </w:rPr>
              <w:t xml:space="preserve"> </w:t>
            </w:r>
            <w:r>
              <w:rPr>
                <w:rFonts w:ascii="仿宋" w:hAnsi="仿宋" w:eastAsia="仿宋" w:cs="仿宋"/>
                <w:spacing w:val="-4"/>
              </w:rPr>
              <w:t>以下</w:t>
            </w:r>
          </w:p>
        </w:tc>
        <w:tc>
          <w:tcPr>
            <w:tcW w:w="949" w:type="dxa"/>
            <w:vAlign w:val="top"/>
          </w:tcPr>
          <w:p>
            <w:pPr>
              <w:spacing w:line="290" w:lineRule="auto"/>
              <w:rPr>
                <w:rFonts w:ascii="Arial"/>
                <w:sz w:val="21"/>
              </w:rPr>
            </w:pPr>
          </w:p>
          <w:p>
            <w:pPr>
              <w:pStyle w:val="6"/>
              <w:spacing w:before="60" w:line="188" w:lineRule="auto"/>
              <w:ind w:left="260"/>
            </w:pPr>
            <w:r>
              <w:rPr>
                <w:spacing w:val="-5"/>
              </w:rPr>
              <w:t>15.38</w:t>
            </w:r>
          </w:p>
        </w:tc>
        <w:tc>
          <w:tcPr>
            <w:tcW w:w="946" w:type="dxa"/>
            <w:tcBorders>
              <w:right w:val="nil"/>
            </w:tcBorders>
            <w:vAlign w:val="top"/>
          </w:tcPr>
          <w:p>
            <w:pPr>
              <w:spacing w:line="290" w:lineRule="auto"/>
              <w:rPr>
                <w:rFonts w:ascii="Arial"/>
                <w:sz w:val="21"/>
              </w:rPr>
            </w:pPr>
          </w:p>
          <w:p>
            <w:pPr>
              <w:pStyle w:val="6"/>
              <w:spacing w:before="60" w:line="188" w:lineRule="auto"/>
              <w:ind w:left="311"/>
            </w:pPr>
            <w:r>
              <w:rPr>
                <w:spacing w:val="-6"/>
              </w:rPr>
              <w:t>1.87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809" w:type="dxa"/>
            <w:vMerge w:val="continue"/>
            <w:tcBorders>
              <w:top w:val="nil"/>
              <w:left w:val="nil"/>
              <w:bottom w:val="nil"/>
            </w:tcBorders>
            <w:vAlign w:val="top"/>
          </w:tcPr>
          <w:p>
            <w:pPr>
              <w:rPr>
                <w:rFonts w:ascii="Arial"/>
                <w:sz w:val="21"/>
              </w:rPr>
            </w:pPr>
          </w:p>
        </w:tc>
        <w:tc>
          <w:tcPr>
            <w:tcW w:w="1427" w:type="dxa"/>
            <w:vAlign w:val="top"/>
          </w:tcPr>
          <w:p>
            <w:pPr>
              <w:pStyle w:val="6"/>
              <w:spacing w:before="45" w:line="216" w:lineRule="auto"/>
              <w:ind w:left="408" w:right="206" w:hanging="197"/>
              <w:rPr>
                <w:rFonts w:ascii="仿宋" w:hAnsi="仿宋" w:eastAsia="仿宋" w:cs="仿宋"/>
              </w:rPr>
            </w:pPr>
            <w:r>
              <w:rPr>
                <w:spacing w:val="-5"/>
              </w:rPr>
              <w:t>IV.</w:t>
            </w:r>
            <w:r>
              <w:rPr>
                <w:spacing w:val="11"/>
              </w:rPr>
              <w:t xml:space="preserve">  </w:t>
            </w:r>
            <w:r>
              <w:rPr>
                <w:rFonts w:ascii="仿宋" w:hAnsi="仿宋" w:eastAsia="仿宋" w:cs="仿宋"/>
                <w:spacing w:val="-5"/>
              </w:rPr>
              <w:t>暖温性</w:t>
            </w:r>
            <w:r>
              <w:rPr>
                <w:rFonts w:ascii="仿宋" w:hAnsi="仿宋" w:eastAsia="仿宋" w:cs="仿宋"/>
                <w:spacing w:val="1"/>
              </w:rPr>
              <w:t xml:space="preserve"> </w:t>
            </w:r>
            <w:r>
              <w:rPr>
                <w:rFonts w:ascii="仿宋" w:hAnsi="仿宋" w:eastAsia="仿宋" w:cs="仿宋"/>
                <w:spacing w:val="-3"/>
              </w:rPr>
              <w:t>针叶林</w:t>
            </w:r>
          </w:p>
        </w:tc>
        <w:tc>
          <w:tcPr>
            <w:tcW w:w="1277" w:type="dxa"/>
            <w:vAlign w:val="top"/>
          </w:tcPr>
          <w:p>
            <w:pPr>
              <w:spacing w:before="182" w:line="218" w:lineRule="auto"/>
              <w:ind w:left="229"/>
              <w:rPr>
                <w:rFonts w:ascii="仿宋" w:hAnsi="仿宋" w:eastAsia="仿宋" w:cs="仿宋"/>
                <w:sz w:val="21"/>
                <w:szCs w:val="21"/>
              </w:rPr>
            </w:pPr>
            <w:r>
              <w:rPr>
                <w:rFonts w:ascii="仿宋" w:hAnsi="仿宋" w:eastAsia="仿宋" w:cs="仿宋"/>
                <w:spacing w:val="-3"/>
                <w:sz w:val="21"/>
                <w:szCs w:val="21"/>
              </w:rPr>
              <w:t>云南松林</w:t>
            </w:r>
          </w:p>
        </w:tc>
        <w:tc>
          <w:tcPr>
            <w:tcW w:w="3401" w:type="dxa"/>
            <w:vAlign w:val="top"/>
          </w:tcPr>
          <w:p>
            <w:pPr>
              <w:spacing w:before="182" w:line="215" w:lineRule="auto"/>
              <w:ind w:left="873"/>
              <w:rPr>
                <w:rFonts w:ascii="仿宋" w:hAnsi="仿宋" w:eastAsia="仿宋" w:cs="仿宋"/>
                <w:sz w:val="21"/>
                <w:szCs w:val="21"/>
              </w:rPr>
            </w:pPr>
            <w:r>
              <w:rPr>
                <w:rFonts w:ascii="仿宋" w:hAnsi="仿宋" w:eastAsia="仿宋" w:cs="仿宋"/>
                <w:spacing w:val="-2"/>
                <w:sz w:val="21"/>
                <w:szCs w:val="21"/>
              </w:rPr>
              <w:t>在评价大面积分布</w:t>
            </w:r>
          </w:p>
        </w:tc>
        <w:tc>
          <w:tcPr>
            <w:tcW w:w="949" w:type="dxa"/>
            <w:vAlign w:val="top"/>
          </w:tcPr>
          <w:p>
            <w:pPr>
              <w:pStyle w:val="6"/>
              <w:spacing w:before="218" w:line="188" w:lineRule="auto"/>
              <w:ind w:left="188"/>
            </w:pPr>
            <w:r>
              <w:rPr>
                <w:spacing w:val="-1"/>
              </w:rPr>
              <w:t>210.79</w:t>
            </w:r>
          </w:p>
        </w:tc>
        <w:tc>
          <w:tcPr>
            <w:tcW w:w="946" w:type="dxa"/>
            <w:tcBorders>
              <w:right w:val="nil"/>
            </w:tcBorders>
            <w:vAlign w:val="top"/>
          </w:tcPr>
          <w:p>
            <w:pPr>
              <w:pStyle w:val="6"/>
              <w:spacing w:before="218" w:line="188" w:lineRule="auto"/>
              <w:ind w:left="238"/>
            </w:pPr>
            <w:r>
              <w:rPr>
                <w:spacing w:val="-1"/>
              </w:rPr>
              <w:t>25.69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090" w:hRule="atLeast"/>
        </w:trPr>
        <w:tc>
          <w:tcPr>
            <w:tcW w:w="809" w:type="dxa"/>
            <w:vMerge w:val="continue"/>
            <w:tcBorders>
              <w:top w:val="nil"/>
              <w:left w:val="nil"/>
              <w:bottom w:val="nil"/>
            </w:tcBorders>
            <w:vAlign w:val="top"/>
          </w:tcPr>
          <w:p>
            <w:pPr>
              <w:rPr>
                <w:rFonts w:ascii="Arial"/>
                <w:sz w:val="21"/>
              </w:rPr>
            </w:pPr>
          </w:p>
        </w:tc>
        <w:tc>
          <w:tcPr>
            <w:tcW w:w="1427" w:type="dxa"/>
            <w:vAlign w:val="top"/>
          </w:tcPr>
          <w:p>
            <w:pPr>
              <w:spacing w:line="251" w:lineRule="auto"/>
              <w:rPr>
                <w:rFonts w:ascii="Arial"/>
                <w:sz w:val="21"/>
              </w:rPr>
            </w:pPr>
          </w:p>
          <w:p>
            <w:pPr>
              <w:pStyle w:val="6"/>
              <w:spacing w:before="68" w:line="228" w:lineRule="auto"/>
              <w:ind w:left="198" w:right="136" w:hanging="61"/>
              <w:rPr>
                <w:rFonts w:ascii="仿宋" w:hAnsi="仿宋" w:eastAsia="仿宋" w:cs="仿宋"/>
              </w:rPr>
            </w:pPr>
            <w:r>
              <w:rPr>
                <w:spacing w:val="-4"/>
              </w:rPr>
              <w:t>V.</w:t>
            </w:r>
            <w:r>
              <w:rPr>
                <w:spacing w:val="10"/>
              </w:rPr>
              <w:t xml:space="preserve">  </w:t>
            </w:r>
            <w:r>
              <w:rPr>
                <w:rFonts w:ascii="仿宋" w:hAnsi="仿宋" w:eastAsia="仿宋" w:cs="仿宋"/>
                <w:spacing w:val="-4"/>
              </w:rPr>
              <w:t>干热性稀</w:t>
            </w:r>
            <w:r>
              <w:rPr>
                <w:rFonts w:ascii="仿宋" w:hAnsi="仿宋" w:eastAsia="仿宋" w:cs="仿宋"/>
                <w:spacing w:val="1"/>
              </w:rPr>
              <w:t xml:space="preserve"> </w:t>
            </w:r>
            <w:r>
              <w:rPr>
                <w:rFonts w:ascii="仿宋" w:hAnsi="仿宋" w:eastAsia="仿宋" w:cs="仿宋"/>
                <w:spacing w:val="-3"/>
              </w:rPr>
              <w:t>树灌木草丛</w:t>
            </w:r>
          </w:p>
        </w:tc>
        <w:tc>
          <w:tcPr>
            <w:tcW w:w="1277" w:type="dxa"/>
            <w:vAlign w:val="top"/>
          </w:tcPr>
          <w:p>
            <w:pPr>
              <w:spacing w:before="184" w:line="218" w:lineRule="auto"/>
              <w:ind w:left="125"/>
              <w:rPr>
                <w:rFonts w:ascii="仿宋" w:hAnsi="仿宋" w:eastAsia="仿宋" w:cs="仿宋"/>
                <w:sz w:val="21"/>
                <w:szCs w:val="21"/>
              </w:rPr>
            </w:pPr>
            <w:r>
              <w:rPr>
                <w:rFonts w:ascii="仿宋" w:hAnsi="仿宋" w:eastAsia="仿宋" w:cs="仿宋"/>
                <w:spacing w:val="-8"/>
                <w:sz w:val="21"/>
                <w:szCs w:val="21"/>
              </w:rPr>
              <w:t>含锥连栎、</w:t>
            </w:r>
          </w:p>
          <w:p>
            <w:pPr>
              <w:spacing w:before="23" w:line="229" w:lineRule="auto"/>
              <w:ind w:left="337" w:right="111" w:hanging="208"/>
              <w:rPr>
                <w:rFonts w:ascii="仿宋" w:hAnsi="仿宋" w:eastAsia="仿宋" w:cs="仿宋"/>
                <w:sz w:val="21"/>
                <w:szCs w:val="21"/>
              </w:rPr>
            </w:pPr>
            <w:r>
              <w:rPr>
                <w:rFonts w:ascii="仿宋" w:hAnsi="仿宋" w:eastAsia="仿宋" w:cs="仿宋"/>
                <w:spacing w:val="-4"/>
                <w:sz w:val="21"/>
                <w:szCs w:val="21"/>
              </w:rPr>
              <w:t>车桑子的中</w:t>
            </w:r>
            <w:r>
              <w:rPr>
                <w:rFonts w:ascii="仿宋" w:hAnsi="仿宋" w:eastAsia="仿宋" w:cs="仿宋"/>
                <w:sz w:val="21"/>
                <w:szCs w:val="21"/>
              </w:rPr>
              <w:t xml:space="preserve"> </w:t>
            </w:r>
            <w:r>
              <w:rPr>
                <w:rFonts w:ascii="仿宋" w:hAnsi="仿宋" w:eastAsia="仿宋" w:cs="仿宋"/>
                <w:spacing w:val="-4"/>
                <w:sz w:val="21"/>
                <w:szCs w:val="21"/>
              </w:rPr>
              <w:t>草草丛</w:t>
            </w:r>
          </w:p>
        </w:tc>
        <w:tc>
          <w:tcPr>
            <w:tcW w:w="3401" w:type="dxa"/>
            <w:vAlign w:val="top"/>
          </w:tcPr>
          <w:p>
            <w:pPr>
              <w:spacing w:before="47" w:line="215" w:lineRule="auto"/>
              <w:ind w:left="137"/>
              <w:rPr>
                <w:rFonts w:ascii="仿宋" w:hAnsi="仿宋" w:eastAsia="仿宋" w:cs="仿宋"/>
                <w:sz w:val="21"/>
                <w:szCs w:val="21"/>
              </w:rPr>
            </w:pPr>
            <w:r>
              <w:rPr>
                <w:rFonts w:ascii="仿宋" w:hAnsi="仿宋" w:eastAsia="仿宋" w:cs="仿宋"/>
                <w:spacing w:val="-12"/>
                <w:sz w:val="21"/>
                <w:szCs w:val="21"/>
              </w:rPr>
              <w:t>零星分布于在河谷坡面山地，</w:t>
            </w:r>
            <w:r>
              <w:rPr>
                <w:rFonts w:ascii="仿宋" w:hAnsi="仿宋" w:eastAsia="仿宋" w:cs="仿宋"/>
                <w:spacing w:val="59"/>
                <w:sz w:val="21"/>
                <w:szCs w:val="21"/>
              </w:rPr>
              <w:t xml:space="preserve"> </w:t>
            </w:r>
            <w:r>
              <w:rPr>
                <w:rFonts w:ascii="仿宋" w:hAnsi="仿宋" w:eastAsia="仿宋" w:cs="仿宋"/>
                <w:spacing w:val="-12"/>
                <w:sz w:val="21"/>
                <w:szCs w:val="21"/>
              </w:rPr>
              <w:t>是锥</w:t>
            </w:r>
          </w:p>
          <w:p>
            <w:pPr>
              <w:spacing w:before="27" w:line="218" w:lineRule="auto"/>
              <w:ind w:left="137"/>
              <w:rPr>
                <w:rFonts w:ascii="仿宋" w:hAnsi="仿宋" w:eastAsia="仿宋" w:cs="仿宋"/>
                <w:sz w:val="21"/>
                <w:szCs w:val="21"/>
              </w:rPr>
            </w:pPr>
            <w:r>
              <w:rPr>
                <w:rFonts w:ascii="仿宋" w:hAnsi="仿宋" w:eastAsia="仿宋" w:cs="仿宋"/>
                <w:spacing w:val="-1"/>
                <w:sz w:val="21"/>
                <w:szCs w:val="21"/>
              </w:rPr>
              <w:t>连栎被破坏后形成的次生植被，海</w:t>
            </w:r>
          </w:p>
          <w:p>
            <w:pPr>
              <w:pStyle w:val="6"/>
              <w:spacing w:before="24" w:line="219" w:lineRule="auto"/>
              <w:ind w:left="212"/>
              <w:rPr>
                <w:rFonts w:ascii="仿宋" w:hAnsi="仿宋" w:eastAsia="仿宋" w:cs="仿宋"/>
              </w:rPr>
            </w:pPr>
            <w:r>
              <w:rPr>
                <w:rFonts w:ascii="仿宋" w:hAnsi="仿宋" w:eastAsia="仿宋" w:cs="仿宋"/>
                <w:spacing w:val="-3"/>
              </w:rPr>
              <w:t>拔一般不超过</w:t>
            </w:r>
            <w:r>
              <w:rPr>
                <w:rFonts w:ascii="仿宋" w:hAnsi="仿宋" w:eastAsia="仿宋" w:cs="仿宋"/>
                <w:spacing w:val="-44"/>
              </w:rPr>
              <w:t xml:space="preserve"> </w:t>
            </w:r>
            <w:r>
              <w:rPr>
                <w:spacing w:val="-3"/>
              </w:rPr>
              <w:t>2100m</w:t>
            </w:r>
            <w:r>
              <w:rPr>
                <w:spacing w:val="24"/>
              </w:rPr>
              <w:t xml:space="preserve"> </w:t>
            </w:r>
            <w:r>
              <w:rPr>
                <w:rFonts w:ascii="仿宋" w:hAnsi="仿宋" w:eastAsia="仿宋" w:cs="仿宋"/>
                <w:spacing w:val="-3"/>
              </w:rPr>
              <w:t>受人为扰动</w:t>
            </w:r>
          </w:p>
          <w:p>
            <w:pPr>
              <w:spacing w:before="23" w:line="189" w:lineRule="auto"/>
              <w:ind w:left="1187"/>
              <w:rPr>
                <w:rFonts w:ascii="仿宋" w:hAnsi="仿宋" w:eastAsia="仿宋" w:cs="仿宋"/>
                <w:sz w:val="21"/>
                <w:szCs w:val="21"/>
              </w:rPr>
            </w:pPr>
            <w:r>
              <w:rPr>
                <w:rFonts w:ascii="仿宋" w:hAnsi="仿宋" w:eastAsia="仿宋" w:cs="仿宋"/>
                <w:spacing w:val="-3"/>
                <w:sz w:val="21"/>
                <w:szCs w:val="21"/>
              </w:rPr>
              <w:t>较大的山坡</w:t>
            </w:r>
          </w:p>
        </w:tc>
        <w:tc>
          <w:tcPr>
            <w:tcW w:w="949" w:type="dxa"/>
            <w:vAlign w:val="top"/>
          </w:tcPr>
          <w:p>
            <w:pPr>
              <w:spacing w:line="430" w:lineRule="auto"/>
              <w:rPr>
                <w:rFonts w:ascii="Arial"/>
                <w:sz w:val="21"/>
              </w:rPr>
            </w:pPr>
          </w:p>
          <w:p>
            <w:pPr>
              <w:pStyle w:val="6"/>
              <w:spacing w:before="60" w:line="188" w:lineRule="auto"/>
              <w:ind w:left="291"/>
            </w:pPr>
            <w:r>
              <w:rPr>
                <w:spacing w:val="-1"/>
              </w:rPr>
              <w:t>40.3</w:t>
            </w:r>
          </w:p>
        </w:tc>
        <w:tc>
          <w:tcPr>
            <w:tcW w:w="946" w:type="dxa"/>
            <w:tcBorders>
              <w:right w:val="nil"/>
            </w:tcBorders>
            <w:vAlign w:val="top"/>
          </w:tcPr>
          <w:p>
            <w:pPr>
              <w:spacing w:line="430" w:lineRule="auto"/>
              <w:rPr>
                <w:rFonts w:ascii="Arial"/>
                <w:sz w:val="21"/>
              </w:rPr>
            </w:pPr>
          </w:p>
          <w:p>
            <w:pPr>
              <w:pStyle w:val="6"/>
              <w:spacing w:before="60" w:line="188" w:lineRule="auto"/>
              <w:ind w:left="290"/>
            </w:pPr>
            <w:r>
              <w:rPr>
                <w:spacing w:val="-1"/>
              </w:rPr>
              <w:t>4.91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20" w:hRule="atLeast"/>
        </w:trPr>
        <w:tc>
          <w:tcPr>
            <w:tcW w:w="809" w:type="dxa"/>
            <w:vMerge w:val="continue"/>
            <w:tcBorders>
              <w:top w:val="nil"/>
              <w:left w:val="nil"/>
              <w:bottom w:val="nil"/>
            </w:tcBorders>
            <w:vAlign w:val="top"/>
          </w:tcPr>
          <w:p>
            <w:pPr>
              <w:rPr>
                <w:rFonts w:ascii="Arial"/>
                <w:sz w:val="21"/>
              </w:rPr>
            </w:pPr>
          </w:p>
        </w:tc>
        <w:tc>
          <w:tcPr>
            <w:tcW w:w="1427" w:type="dxa"/>
            <w:vAlign w:val="top"/>
          </w:tcPr>
          <w:p>
            <w:pPr>
              <w:pStyle w:val="6"/>
              <w:spacing w:before="52" w:line="216" w:lineRule="auto"/>
              <w:ind w:left="208"/>
              <w:rPr>
                <w:rFonts w:ascii="仿宋" w:hAnsi="仿宋" w:eastAsia="仿宋" w:cs="仿宋"/>
              </w:rPr>
            </w:pPr>
            <w:r>
              <w:rPr>
                <w:spacing w:val="-3"/>
              </w:rPr>
              <w:t>VI.</w:t>
            </w:r>
            <w:r>
              <w:rPr>
                <w:spacing w:val="11"/>
              </w:rPr>
              <w:t xml:space="preserve">  </w:t>
            </w:r>
            <w:r>
              <w:rPr>
                <w:rFonts w:ascii="仿宋" w:hAnsi="仿宋" w:eastAsia="仿宋" w:cs="仿宋"/>
                <w:spacing w:val="-3"/>
              </w:rPr>
              <w:t>暖温性</w:t>
            </w:r>
          </w:p>
          <w:p>
            <w:pPr>
              <w:spacing w:before="26" w:line="217" w:lineRule="auto"/>
              <w:ind w:left="201"/>
              <w:rPr>
                <w:rFonts w:ascii="仿宋" w:hAnsi="仿宋" w:eastAsia="仿宋" w:cs="仿宋"/>
                <w:sz w:val="21"/>
                <w:szCs w:val="21"/>
              </w:rPr>
            </w:pPr>
            <w:r>
              <w:rPr>
                <w:rFonts w:ascii="仿宋" w:hAnsi="仿宋" w:eastAsia="仿宋" w:cs="仿宋"/>
                <w:spacing w:val="-3"/>
                <w:sz w:val="21"/>
                <w:szCs w:val="21"/>
              </w:rPr>
              <w:t>稀树灌木草</w:t>
            </w:r>
          </w:p>
          <w:p>
            <w:pPr>
              <w:spacing w:before="25" w:line="187" w:lineRule="auto"/>
              <w:ind w:left="621"/>
              <w:rPr>
                <w:rFonts w:ascii="仿宋" w:hAnsi="仿宋" w:eastAsia="仿宋" w:cs="仿宋"/>
                <w:sz w:val="21"/>
                <w:szCs w:val="21"/>
              </w:rPr>
            </w:pPr>
            <w:r>
              <w:rPr>
                <w:rFonts w:ascii="仿宋" w:hAnsi="仿宋" w:eastAsia="仿宋" w:cs="仿宋"/>
                <w:sz w:val="21"/>
                <w:szCs w:val="21"/>
              </w:rPr>
              <w:t>丛</w:t>
            </w:r>
          </w:p>
        </w:tc>
        <w:tc>
          <w:tcPr>
            <w:tcW w:w="1277" w:type="dxa"/>
            <w:vAlign w:val="top"/>
          </w:tcPr>
          <w:p>
            <w:pPr>
              <w:spacing w:before="53" w:line="218" w:lineRule="auto"/>
              <w:ind w:left="125"/>
              <w:rPr>
                <w:rFonts w:ascii="仿宋" w:hAnsi="仿宋" w:eastAsia="仿宋" w:cs="仿宋"/>
                <w:sz w:val="21"/>
                <w:szCs w:val="21"/>
              </w:rPr>
            </w:pPr>
            <w:r>
              <w:rPr>
                <w:rFonts w:ascii="仿宋" w:hAnsi="仿宋" w:eastAsia="仿宋" w:cs="仿宋"/>
                <w:spacing w:val="-3"/>
                <w:sz w:val="21"/>
                <w:szCs w:val="21"/>
              </w:rPr>
              <w:t>含云南松和</w:t>
            </w:r>
          </w:p>
          <w:p>
            <w:pPr>
              <w:spacing w:before="24" w:line="216" w:lineRule="auto"/>
              <w:ind w:left="124"/>
              <w:rPr>
                <w:rFonts w:ascii="仿宋" w:hAnsi="仿宋" w:eastAsia="仿宋" w:cs="仿宋"/>
                <w:sz w:val="21"/>
                <w:szCs w:val="21"/>
              </w:rPr>
            </w:pPr>
            <w:r>
              <w:rPr>
                <w:rFonts w:ascii="仿宋" w:hAnsi="仿宋" w:eastAsia="仿宋" w:cs="仿宋"/>
                <w:spacing w:val="-3"/>
                <w:sz w:val="21"/>
                <w:szCs w:val="21"/>
              </w:rPr>
              <w:t>珍珠花的中</w:t>
            </w:r>
          </w:p>
          <w:p>
            <w:pPr>
              <w:spacing w:before="26" w:line="187" w:lineRule="auto"/>
              <w:ind w:left="337"/>
              <w:rPr>
                <w:rFonts w:ascii="仿宋" w:hAnsi="仿宋" w:eastAsia="仿宋" w:cs="仿宋"/>
                <w:sz w:val="21"/>
                <w:szCs w:val="21"/>
              </w:rPr>
            </w:pPr>
            <w:r>
              <w:rPr>
                <w:rFonts w:ascii="仿宋" w:hAnsi="仿宋" w:eastAsia="仿宋" w:cs="仿宋"/>
                <w:spacing w:val="-4"/>
                <w:sz w:val="21"/>
                <w:szCs w:val="21"/>
              </w:rPr>
              <w:t>草草丛</w:t>
            </w:r>
          </w:p>
        </w:tc>
        <w:tc>
          <w:tcPr>
            <w:tcW w:w="3401" w:type="dxa"/>
            <w:vAlign w:val="top"/>
          </w:tcPr>
          <w:p>
            <w:pPr>
              <w:spacing w:before="189" w:line="228" w:lineRule="auto"/>
              <w:ind w:left="1186" w:right="123" w:hanging="1048"/>
              <w:rPr>
                <w:rFonts w:ascii="仿宋" w:hAnsi="仿宋" w:eastAsia="仿宋" w:cs="仿宋"/>
                <w:sz w:val="21"/>
                <w:szCs w:val="21"/>
              </w:rPr>
            </w:pPr>
            <w:r>
              <w:rPr>
                <w:rFonts w:ascii="仿宋" w:hAnsi="仿宋" w:eastAsia="仿宋" w:cs="仿宋"/>
                <w:spacing w:val="-2"/>
                <w:sz w:val="21"/>
                <w:szCs w:val="21"/>
              </w:rPr>
              <w:t>分布在河谷坡面山地，受人为扰动</w:t>
            </w:r>
            <w:r>
              <w:rPr>
                <w:rFonts w:ascii="仿宋" w:hAnsi="仿宋" w:eastAsia="仿宋" w:cs="仿宋"/>
                <w:spacing w:val="12"/>
                <w:sz w:val="21"/>
                <w:szCs w:val="21"/>
              </w:rPr>
              <w:t xml:space="preserve"> </w:t>
            </w:r>
            <w:r>
              <w:rPr>
                <w:rFonts w:ascii="仿宋" w:hAnsi="仿宋" w:eastAsia="仿宋" w:cs="仿宋"/>
                <w:spacing w:val="-3"/>
                <w:sz w:val="21"/>
                <w:szCs w:val="21"/>
              </w:rPr>
              <w:t>较大的山坡</w:t>
            </w:r>
          </w:p>
        </w:tc>
        <w:tc>
          <w:tcPr>
            <w:tcW w:w="949" w:type="dxa"/>
            <w:vAlign w:val="top"/>
          </w:tcPr>
          <w:p>
            <w:pPr>
              <w:spacing w:line="299" w:lineRule="auto"/>
              <w:rPr>
                <w:rFonts w:ascii="Arial"/>
                <w:sz w:val="21"/>
              </w:rPr>
            </w:pPr>
          </w:p>
          <w:p>
            <w:pPr>
              <w:pStyle w:val="6"/>
              <w:spacing w:before="61" w:line="188" w:lineRule="auto"/>
              <w:ind w:left="208"/>
            </w:pPr>
            <w:r>
              <w:rPr>
                <w:spacing w:val="-4"/>
              </w:rPr>
              <w:t>172.87</w:t>
            </w:r>
          </w:p>
        </w:tc>
        <w:tc>
          <w:tcPr>
            <w:tcW w:w="946" w:type="dxa"/>
            <w:tcBorders>
              <w:right w:val="nil"/>
            </w:tcBorders>
            <w:vAlign w:val="top"/>
          </w:tcPr>
          <w:p>
            <w:pPr>
              <w:spacing w:line="299" w:lineRule="auto"/>
              <w:rPr>
                <w:rFonts w:ascii="Arial"/>
                <w:sz w:val="21"/>
              </w:rPr>
            </w:pPr>
          </w:p>
          <w:p>
            <w:pPr>
              <w:pStyle w:val="6"/>
              <w:spacing w:before="61" w:line="188" w:lineRule="auto"/>
              <w:ind w:left="238"/>
            </w:pPr>
            <w:r>
              <w:rPr>
                <w:spacing w:val="-1"/>
              </w:rPr>
              <w:t>21.07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809" w:type="dxa"/>
            <w:vMerge w:val="continue"/>
            <w:tcBorders>
              <w:top w:val="nil"/>
              <w:left w:val="nil"/>
              <w:bottom w:val="nil"/>
            </w:tcBorders>
            <w:vAlign w:val="top"/>
          </w:tcPr>
          <w:p>
            <w:pPr>
              <w:rPr>
                <w:rFonts w:ascii="Arial"/>
                <w:sz w:val="21"/>
              </w:rPr>
            </w:pPr>
          </w:p>
        </w:tc>
        <w:tc>
          <w:tcPr>
            <w:tcW w:w="1427" w:type="dxa"/>
            <w:vMerge w:val="restart"/>
            <w:tcBorders>
              <w:bottom w:val="nil"/>
            </w:tcBorders>
            <w:vAlign w:val="top"/>
          </w:tcPr>
          <w:p>
            <w:pPr>
              <w:spacing w:line="262" w:lineRule="auto"/>
              <w:rPr>
                <w:rFonts w:ascii="Arial"/>
                <w:sz w:val="21"/>
              </w:rPr>
            </w:pPr>
          </w:p>
          <w:p>
            <w:pPr>
              <w:pStyle w:val="6"/>
              <w:spacing w:before="68" w:line="229" w:lineRule="auto"/>
              <w:ind w:left="305" w:right="171" w:hanging="132"/>
              <w:rPr>
                <w:rFonts w:ascii="仿宋" w:hAnsi="仿宋" w:eastAsia="仿宋" w:cs="仿宋"/>
              </w:rPr>
            </w:pPr>
            <w:r>
              <w:rPr>
                <w:spacing w:val="-4"/>
              </w:rPr>
              <w:t>VII.</w:t>
            </w:r>
            <w:r>
              <w:rPr>
                <w:spacing w:val="12"/>
              </w:rPr>
              <w:t xml:space="preserve">  </w:t>
            </w:r>
            <w:r>
              <w:rPr>
                <w:rFonts w:ascii="仿宋" w:hAnsi="仿宋" w:eastAsia="仿宋" w:cs="仿宋"/>
                <w:spacing w:val="-4"/>
              </w:rPr>
              <w:t>暖性石</w:t>
            </w:r>
            <w:r>
              <w:rPr>
                <w:rFonts w:ascii="仿宋" w:hAnsi="仿宋" w:eastAsia="仿宋" w:cs="仿宋"/>
              </w:rPr>
              <w:t xml:space="preserve"> </w:t>
            </w:r>
            <w:r>
              <w:rPr>
                <w:rFonts w:ascii="仿宋" w:hAnsi="仿宋" w:eastAsia="仿宋" w:cs="仿宋"/>
                <w:spacing w:val="-3"/>
              </w:rPr>
              <w:t>灰岩灌丛</w:t>
            </w:r>
          </w:p>
        </w:tc>
        <w:tc>
          <w:tcPr>
            <w:tcW w:w="1277" w:type="dxa"/>
            <w:vAlign w:val="top"/>
          </w:tcPr>
          <w:p>
            <w:pPr>
              <w:spacing w:before="190" w:line="217" w:lineRule="auto"/>
              <w:ind w:left="231"/>
              <w:rPr>
                <w:rFonts w:ascii="仿宋" w:hAnsi="仿宋" w:eastAsia="仿宋" w:cs="仿宋"/>
                <w:sz w:val="21"/>
                <w:szCs w:val="21"/>
              </w:rPr>
            </w:pPr>
            <w:r>
              <w:rPr>
                <w:rFonts w:ascii="仿宋" w:hAnsi="仿宋" w:eastAsia="仿宋" w:cs="仿宋"/>
                <w:spacing w:val="-4"/>
                <w:sz w:val="21"/>
                <w:szCs w:val="21"/>
              </w:rPr>
              <w:t>铁仔灌丛</w:t>
            </w:r>
          </w:p>
        </w:tc>
        <w:tc>
          <w:tcPr>
            <w:tcW w:w="3401" w:type="dxa"/>
            <w:vAlign w:val="top"/>
          </w:tcPr>
          <w:p>
            <w:pPr>
              <w:spacing w:before="55" w:line="212" w:lineRule="auto"/>
              <w:ind w:left="1317" w:right="123" w:hanging="1179"/>
              <w:rPr>
                <w:rFonts w:ascii="仿宋" w:hAnsi="仿宋" w:eastAsia="仿宋" w:cs="仿宋"/>
                <w:sz w:val="21"/>
                <w:szCs w:val="21"/>
              </w:rPr>
            </w:pPr>
            <w:r>
              <w:rPr>
                <w:rFonts w:ascii="仿宋" w:hAnsi="仿宋" w:eastAsia="仿宋" w:cs="仿宋"/>
                <w:spacing w:val="-2"/>
                <w:sz w:val="21"/>
                <w:szCs w:val="21"/>
              </w:rPr>
              <w:t>分布较广，在人为扰动较大的山坡</w:t>
            </w:r>
            <w:r>
              <w:rPr>
                <w:rFonts w:ascii="仿宋" w:hAnsi="仿宋" w:eastAsia="仿宋" w:cs="仿宋"/>
                <w:spacing w:val="12"/>
                <w:sz w:val="21"/>
                <w:szCs w:val="21"/>
              </w:rPr>
              <w:t xml:space="preserve"> </w:t>
            </w:r>
            <w:r>
              <w:rPr>
                <w:rFonts w:ascii="仿宋" w:hAnsi="仿宋" w:eastAsia="仿宋" w:cs="仿宋"/>
                <w:spacing w:val="-8"/>
                <w:sz w:val="21"/>
                <w:szCs w:val="21"/>
              </w:rPr>
              <w:t>皆有分布</w:t>
            </w:r>
          </w:p>
        </w:tc>
        <w:tc>
          <w:tcPr>
            <w:tcW w:w="949" w:type="dxa"/>
            <w:vAlign w:val="top"/>
          </w:tcPr>
          <w:p>
            <w:pPr>
              <w:pStyle w:val="6"/>
              <w:spacing w:before="228" w:line="188" w:lineRule="auto"/>
              <w:ind w:left="244"/>
            </w:pPr>
            <w:r>
              <w:rPr>
                <w:spacing w:val="-2"/>
              </w:rPr>
              <w:t>60.46</w:t>
            </w:r>
          </w:p>
        </w:tc>
        <w:tc>
          <w:tcPr>
            <w:tcW w:w="946" w:type="dxa"/>
            <w:tcBorders>
              <w:right w:val="nil"/>
            </w:tcBorders>
            <w:vAlign w:val="top"/>
          </w:tcPr>
          <w:p>
            <w:pPr>
              <w:pStyle w:val="6"/>
              <w:spacing w:before="228" w:line="188" w:lineRule="auto"/>
              <w:ind w:left="295"/>
            </w:pPr>
            <w:r>
              <w:rPr>
                <w:spacing w:val="-2"/>
              </w:rPr>
              <w:t>7.37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7" w:hRule="atLeast"/>
        </w:trPr>
        <w:tc>
          <w:tcPr>
            <w:tcW w:w="809" w:type="dxa"/>
            <w:vMerge w:val="continue"/>
            <w:tcBorders>
              <w:top w:val="nil"/>
              <w:left w:val="nil"/>
            </w:tcBorders>
            <w:vAlign w:val="top"/>
          </w:tcPr>
          <w:p>
            <w:pPr>
              <w:rPr>
                <w:rFonts w:ascii="Arial"/>
                <w:sz w:val="21"/>
              </w:rPr>
            </w:pPr>
          </w:p>
        </w:tc>
        <w:tc>
          <w:tcPr>
            <w:tcW w:w="1427" w:type="dxa"/>
            <w:vMerge w:val="continue"/>
            <w:tcBorders>
              <w:top w:val="nil"/>
            </w:tcBorders>
            <w:vAlign w:val="top"/>
          </w:tcPr>
          <w:p>
            <w:pPr>
              <w:rPr>
                <w:rFonts w:ascii="Arial"/>
                <w:sz w:val="21"/>
              </w:rPr>
            </w:pPr>
          </w:p>
        </w:tc>
        <w:tc>
          <w:tcPr>
            <w:tcW w:w="1277" w:type="dxa"/>
            <w:vAlign w:val="top"/>
          </w:tcPr>
          <w:p>
            <w:pPr>
              <w:spacing w:before="193" w:line="215" w:lineRule="auto"/>
              <w:ind w:left="129"/>
              <w:rPr>
                <w:rFonts w:ascii="仿宋" w:hAnsi="仿宋" w:eastAsia="仿宋" w:cs="仿宋"/>
                <w:sz w:val="21"/>
                <w:szCs w:val="21"/>
              </w:rPr>
            </w:pPr>
            <w:r>
              <w:rPr>
                <w:rFonts w:ascii="仿宋" w:hAnsi="仿宋" w:eastAsia="仿宋" w:cs="仿宋"/>
                <w:spacing w:val="-4"/>
                <w:sz w:val="21"/>
                <w:szCs w:val="21"/>
              </w:rPr>
              <w:t>车桑子灌丛</w:t>
            </w:r>
          </w:p>
        </w:tc>
        <w:tc>
          <w:tcPr>
            <w:tcW w:w="3401" w:type="dxa"/>
            <w:vAlign w:val="top"/>
          </w:tcPr>
          <w:p>
            <w:pPr>
              <w:pStyle w:val="6"/>
              <w:spacing w:before="56" w:line="211" w:lineRule="auto"/>
              <w:ind w:left="1609" w:right="197" w:hanging="1396"/>
              <w:rPr>
                <w:rFonts w:ascii="仿宋" w:hAnsi="仿宋" w:eastAsia="仿宋" w:cs="仿宋"/>
              </w:rPr>
            </w:pPr>
            <w:r>
              <w:rPr>
                <w:rFonts w:ascii="仿宋" w:hAnsi="仿宋" w:eastAsia="仿宋" w:cs="仿宋"/>
                <w:spacing w:val="-4"/>
              </w:rPr>
              <w:t>零星分布于库区，海拔</w:t>
            </w:r>
            <w:r>
              <w:rPr>
                <w:rFonts w:ascii="仿宋" w:hAnsi="仿宋" w:eastAsia="仿宋" w:cs="仿宋"/>
                <w:spacing w:val="-40"/>
              </w:rPr>
              <w:t xml:space="preserve"> </w:t>
            </w:r>
            <w:r>
              <w:rPr>
                <w:spacing w:val="-4"/>
              </w:rPr>
              <w:t>2200m</w:t>
            </w:r>
            <w:r>
              <w:rPr>
                <w:spacing w:val="36"/>
              </w:rPr>
              <w:t xml:space="preserve"> </w:t>
            </w:r>
            <w:r>
              <w:rPr>
                <w:rFonts w:ascii="仿宋" w:hAnsi="仿宋" w:eastAsia="仿宋" w:cs="仿宋"/>
                <w:spacing w:val="-4"/>
              </w:rPr>
              <w:t>以</w:t>
            </w:r>
            <w:r>
              <w:rPr>
                <w:rFonts w:ascii="仿宋" w:hAnsi="仿宋" w:eastAsia="仿宋" w:cs="仿宋"/>
              </w:rPr>
              <w:t xml:space="preserve"> 下</w:t>
            </w:r>
          </w:p>
        </w:tc>
        <w:tc>
          <w:tcPr>
            <w:tcW w:w="949" w:type="dxa"/>
            <w:vAlign w:val="top"/>
          </w:tcPr>
          <w:p>
            <w:pPr>
              <w:pStyle w:val="6"/>
              <w:spacing w:before="229" w:line="188" w:lineRule="auto"/>
              <w:ind w:left="239"/>
            </w:pPr>
            <w:r>
              <w:rPr>
                <w:spacing w:val="-1"/>
              </w:rPr>
              <w:t>28.05</w:t>
            </w:r>
          </w:p>
        </w:tc>
        <w:tc>
          <w:tcPr>
            <w:tcW w:w="946" w:type="dxa"/>
            <w:tcBorders>
              <w:right w:val="nil"/>
            </w:tcBorders>
            <w:vAlign w:val="top"/>
          </w:tcPr>
          <w:p>
            <w:pPr>
              <w:pStyle w:val="6"/>
              <w:spacing w:before="229" w:line="188" w:lineRule="auto"/>
              <w:ind w:left="295"/>
            </w:pPr>
            <w:r>
              <w:rPr>
                <w:spacing w:val="-2"/>
              </w:rPr>
              <w:t>3.42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809" w:type="dxa"/>
            <w:tcBorders>
              <w:left w:val="nil"/>
              <w:bottom w:val="single" w:color="000000" w:sz="12" w:space="0"/>
            </w:tcBorders>
            <w:vAlign w:val="top"/>
          </w:tcPr>
          <w:p>
            <w:pPr>
              <w:spacing w:before="79" w:line="217" w:lineRule="auto"/>
              <w:ind w:left="114"/>
              <w:rPr>
                <w:rFonts w:ascii="仿宋" w:hAnsi="仿宋" w:eastAsia="仿宋" w:cs="仿宋"/>
                <w:sz w:val="21"/>
                <w:szCs w:val="21"/>
              </w:rPr>
            </w:pPr>
            <w:r>
              <w:rPr>
                <w:rFonts w:ascii="宋体" w:hAnsi="宋体" w:eastAsia="宋体" w:cs="宋体"/>
                <w:spacing w:val="-4"/>
                <w:sz w:val="21"/>
                <w:szCs w:val="21"/>
              </w:rPr>
              <w:t>②</w:t>
            </w:r>
            <w:r>
              <w:rPr>
                <w:rFonts w:ascii="仿宋" w:hAnsi="仿宋" w:eastAsia="仿宋" w:cs="仿宋"/>
                <w:spacing w:val="-4"/>
                <w:sz w:val="21"/>
                <w:szCs w:val="21"/>
              </w:rPr>
              <w:t>人</w:t>
            </w:r>
          </w:p>
        </w:tc>
        <w:tc>
          <w:tcPr>
            <w:tcW w:w="1427" w:type="dxa"/>
            <w:tcBorders>
              <w:bottom w:val="single" w:color="000000" w:sz="12" w:space="0"/>
            </w:tcBorders>
            <w:vAlign w:val="top"/>
          </w:tcPr>
          <w:p>
            <w:pPr>
              <w:pStyle w:val="6"/>
              <w:spacing w:before="79" w:line="218" w:lineRule="auto"/>
              <w:ind w:left="182"/>
              <w:rPr>
                <w:rFonts w:ascii="仿宋" w:hAnsi="仿宋" w:eastAsia="仿宋" w:cs="仿宋"/>
              </w:rPr>
            </w:pPr>
            <w:r>
              <w:rPr>
                <w:spacing w:val="-3"/>
              </w:rPr>
              <w:t>I.</w:t>
            </w:r>
            <w:r>
              <w:rPr>
                <w:spacing w:val="7"/>
              </w:rPr>
              <w:t xml:space="preserve">  </w:t>
            </w:r>
            <w:r>
              <w:rPr>
                <w:rFonts w:ascii="仿宋" w:hAnsi="仿宋" w:eastAsia="仿宋" w:cs="仿宋"/>
                <w:spacing w:val="-3"/>
              </w:rPr>
              <w:t>农田植被</w:t>
            </w:r>
          </w:p>
        </w:tc>
        <w:tc>
          <w:tcPr>
            <w:tcW w:w="1277" w:type="dxa"/>
            <w:tcBorders>
              <w:bottom w:val="single" w:color="000000" w:sz="12" w:space="0"/>
            </w:tcBorders>
            <w:vAlign w:val="top"/>
          </w:tcPr>
          <w:p>
            <w:pPr>
              <w:spacing w:before="79" w:line="218" w:lineRule="auto"/>
              <w:ind w:left="227"/>
              <w:rPr>
                <w:rFonts w:ascii="仿宋" w:hAnsi="仿宋" w:eastAsia="仿宋" w:cs="仿宋"/>
                <w:sz w:val="21"/>
                <w:szCs w:val="21"/>
              </w:rPr>
            </w:pPr>
            <w:r>
              <w:rPr>
                <w:rFonts w:ascii="仿宋" w:hAnsi="仿宋" w:eastAsia="仿宋" w:cs="仿宋"/>
                <w:spacing w:val="-3"/>
                <w:sz w:val="21"/>
                <w:szCs w:val="21"/>
              </w:rPr>
              <w:t>水田植被</w:t>
            </w:r>
          </w:p>
        </w:tc>
        <w:tc>
          <w:tcPr>
            <w:tcW w:w="3401" w:type="dxa"/>
            <w:tcBorders>
              <w:bottom w:val="single" w:color="000000" w:sz="12" w:space="0"/>
            </w:tcBorders>
            <w:vAlign w:val="top"/>
          </w:tcPr>
          <w:p>
            <w:pPr>
              <w:spacing w:before="79" w:line="215" w:lineRule="auto"/>
              <w:ind w:left="137"/>
              <w:rPr>
                <w:rFonts w:ascii="仿宋" w:hAnsi="仿宋" w:eastAsia="仿宋" w:cs="仿宋"/>
                <w:sz w:val="21"/>
                <w:szCs w:val="21"/>
              </w:rPr>
            </w:pPr>
            <w:r>
              <w:rPr>
                <w:rFonts w:ascii="仿宋" w:hAnsi="仿宋" w:eastAsia="仿宋" w:cs="仿宋"/>
                <w:spacing w:val="-1"/>
                <w:sz w:val="21"/>
                <w:szCs w:val="21"/>
              </w:rPr>
              <w:t>零星分布在村寨附近水利条件较好</w:t>
            </w:r>
          </w:p>
        </w:tc>
        <w:tc>
          <w:tcPr>
            <w:tcW w:w="949" w:type="dxa"/>
            <w:tcBorders>
              <w:bottom w:val="single" w:color="000000" w:sz="12" w:space="0"/>
            </w:tcBorders>
            <w:vAlign w:val="top"/>
          </w:tcPr>
          <w:p>
            <w:pPr>
              <w:pStyle w:val="6"/>
              <w:spacing w:before="115" w:line="188" w:lineRule="auto"/>
              <w:ind w:left="260"/>
            </w:pPr>
            <w:r>
              <w:rPr>
                <w:spacing w:val="-5"/>
              </w:rPr>
              <w:t>18.14</w:t>
            </w:r>
          </w:p>
        </w:tc>
        <w:tc>
          <w:tcPr>
            <w:tcW w:w="946" w:type="dxa"/>
            <w:tcBorders>
              <w:bottom w:val="single" w:color="000000" w:sz="12" w:space="0"/>
              <w:right w:val="nil"/>
            </w:tcBorders>
            <w:vAlign w:val="top"/>
          </w:tcPr>
          <w:p>
            <w:pPr>
              <w:pStyle w:val="6"/>
              <w:spacing w:before="115" w:line="188" w:lineRule="auto"/>
              <w:ind w:left="291"/>
            </w:pPr>
            <w:r>
              <w:rPr>
                <w:spacing w:val="-1"/>
              </w:rPr>
              <w:t>2.21</w:t>
            </w:r>
          </w:p>
        </w:tc>
      </w:tr>
    </w:tbl>
    <w:p>
      <w:pPr>
        <w:spacing w:line="143" w:lineRule="exact"/>
        <w:rPr>
          <w:rFonts w:ascii="Arial"/>
          <w:sz w:val="12"/>
        </w:rPr>
      </w:pPr>
    </w:p>
    <w:p>
      <w:pPr>
        <w:spacing w:line="143" w:lineRule="exact"/>
        <w:rPr>
          <w:rFonts w:ascii="Arial" w:hAnsi="Arial" w:eastAsia="Arial" w:cs="Arial"/>
          <w:sz w:val="12"/>
          <w:szCs w:val="12"/>
        </w:rPr>
        <w:sectPr>
          <w:headerReference r:id="rId282" w:type="default"/>
          <w:footerReference r:id="rId283" w:type="default"/>
          <w:pgSz w:w="11907" w:h="16839"/>
          <w:pgMar w:top="1156" w:right="1548" w:bottom="1374" w:left="1549" w:header="881" w:footer="1210" w:gutter="0"/>
        </w:sectPr>
      </w:pPr>
    </w:p>
    <w:p>
      <w:pPr>
        <w:spacing w:before="41"/>
      </w:pPr>
    </w:p>
    <w:tbl>
      <w:tblPr>
        <w:tblStyle w:val="5"/>
        <w:tblW w:w="88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1427"/>
        <w:gridCol w:w="1277"/>
        <w:gridCol w:w="3401"/>
        <w:gridCol w:w="949"/>
        <w:gridCol w:w="9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58" w:hRule="atLeast"/>
        </w:trPr>
        <w:tc>
          <w:tcPr>
            <w:tcW w:w="823" w:type="dxa"/>
            <w:tcBorders>
              <w:top w:val="single" w:color="000000" w:sz="12" w:space="0"/>
              <w:left w:val="nil"/>
            </w:tcBorders>
            <w:vAlign w:val="top"/>
          </w:tcPr>
          <w:p>
            <w:pPr>
              <w:spacing w:line="368" w:lineRule="auto"/>
              <w:rPr>
                <w:rFonts w:ascii="Arial"/>
                <w:sz w:val="21"/>
              </w:rPr>
            </w:pPr>
          </w:p>
          <w:p>
            <w:pPr>
              <w:spacing w:before="69" w:line="239" w:lineRule="auto"/>
              <w:ind w:left="13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植被</w:t>
            </w:r>
          </w:p>
          <w:p>
            <w:pPr>
              <w:spacing w:before="1" w:line="215" w:lineRule="auto"/>
              <w:ind w:left="13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属性</w:t>
            </w:r>
          </w:p>
        </w:tc>
        <w:tc>
          <w:tcPr>
            <w:tcW w:w="1427" w:type="dxa"/>
            <w:tcBorders>
              <w:top w:val="single" w:color="000000" w:sz="12" w:space="0"/>
            </w:tcBorders>
            <w:vAlign w:val="top"/>
          </w:tcPr>
          <w:p>
            <w:pPr>
              <w:spacing w:line="252" w:lineRule="auto"/>
              <w:rPr>
                <w:rFonts w:ascii="Arial"/>
                <w:sz w:val="21"/>
              </w:rPr>
            </w:pPr>
          </w:p>
          <w:p>
            <w:pPr>
              <w:spacing w:line="252" w:lineRule="auto"/>
              <w:rPr>
                <w:rFonts w:ascii="Arial"/>
                <w:sz w:val="21"/>
              </w:rPr>
            </w:pPr>
          </w:p>
          <w:p>
            <w:pPr>
              <w:spacing w:before="68" w:line="218" w:lineRule="auto"/>
              <w:ind w:left="302"/>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植被亚型</w:t>
            </w:r>
          </w:p>
        </w:tc>
        <w:tc>
          <w:tcPr>
            <w:tcW w:w="1277" w:type="dxa"/>
            <w:tcBorders>
              <w:top w:val="single" w:color="000000" w:sz="12" w:space="0"/>
            </w:tcBorders>
            <w:vAlign w:val="top"/>
          </w:tcPr>
          <w:p>
            <w:pPr>
              <w:spacing w:line="252" w:lineRule="auto"/>
              <w:rPr>
                <w:rFonts w:ascii="Arial"/>
                <w:sz w:val="21"/>
              </w:rPr>
            </w:pPr>
          </w:p>
          <w:p>
            <w:pPr>
              <w:spacing w:line="252" w:lineRule="auto"/>
              <w:rPr>
                <w:rFonts w:ascii="Arial"/>
                <w:sz w:val="21"/>
              </w:rPr>
            </w:pPr>
          </w:p>
          <w:p>
            <w:pPr>
              <w:spacing w:before="68" w:line="218" w:lineRule="auto"/>
              <w:ind w:left="438"/>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群系</w:t>
            </w:r>
          </w:p>
        </w:tc>
        <w:tc>
          <w:tcPr>
            <w:tcW w:w="3401" w:type="dxa"/>
            <w:tcBorders>
              <w:top w:val="single" w:color="000000" w:sz="12" w:space="0"/>
            </w:tcBorders>
            <w:vAlign w:val="top"/>
          </w:tcPr>
          <w:p>
            <w:pPr>
              <w:spacing w:line="252" w:lineRule="auto"/>
              <w:rPr>
                <w:rFonts w:ascii="Arial"/>
                <w:sz w:val="21"/>
              </w:rPr>
            </w:pPr>
          </w:p>
          <w:p>
            <w:pPr>
              <w:spacing w:line="252" w:lineRule="auto"/>
              <w:rPr>
                <w:rFonts w:ascii="Arial"/>
                <w:sz w:val="21"/>
              </w:rPr>
            </w:pPr>
          </w:p>
          <w:p>
            <w:pPr>
              <w:spacing w:before="68" w:line="216" w:lineRule="auto"/>
              <w:ind w:left="129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分布情况</w:t>
            </w:r>
          </w:p>
        </w:tc>
        <w:tc>
          <w:tcPr>
            <w:tcW w:w="949" w:type="dxa"/>
            <w:tcBorders>
              <w:top w:val="single" w:color="000000" w:sz="12" w:space="0"/>
            </w:tcBorders>
            <w:vAlign w:val="top"/>
          </w:tcPr>
          <w:p>
            <w:pPr>
              <w:spacing w:before="302" w:line="219" w:lineRule="auto"/>
              <w:ind w:left="280"/>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面积</w:t>
            </w:r>
          </w:p>
          <w:p>
            <w:pPr>
              <w:pStyle w:val="6"/>
              <w:spacing w:before="24" w:line="229" w:lineRule="auto"/>
              <w:ind w:left="396" w:right="184" w:hanging="196"/>
              <w:rPr>
                <w:rFonts w:ascii="仿宋" w:hAnsi="仿宋" w:eastAsia="仿宋" w:cs="仿宋"/>
              </w:rPr>
            </w:pPr>
            <w:r>
              <w:rPr>
                <w:rFonts w:ascii="仿宋" w:hAnsi="仿宋" w:eastAsia="仿宋" w:cs="仿宋"/>
                <w:spacing w:val="-4"/>
                <w14:textOutline w14:w="3810" w14:cap="flat" w14:cmpd="sng">
                  <w14:solidFill>
                    <w14:srgbClr w14:val="000000"/>
                  </w14:solidFill>
                  <w14:prstDash w14:val="solid"/>
                  <w14:miter w14:val="0"/>
                </w14:textOutline>
              </w:rPr>
              <w:t>（</w:t>
            </w:r>
            <w:r>
              <w:rPr>
                <w:b/>
                <w:bCs/>
                <w:spacing w:val="-4"/>
              </w:rPr>
              <w:t>hm</w:t>
            </w:r>
            <w:r>
              <w:rPr>
                <w:b/>
                <w:bCs/>
                <w:spacing w:val="-4"/>
                <w:position w:val="6"/>
                <w:sz w:val="14"/>
                <w:szCs w:val="14"/>
              </w:rPr>
              <w:t>2</w:t>
            </w:r>
            <w:r>
              <w:rPr>
                <w:b/>
                <w:bCs/>
                <w:spacing w:val="2"/>
                <w:position w:val="6"/>
                <w:sz w:val="14"/>
                <w:szCs w:val="14"/>
              </w:rPr>
              <w:t xml:space="preserve"> </w:t>
            </w:r>
            <w:r>
              <w:rPr>
                <w:rFonts w:ascii="仿宋" w:hAnsi="仿宋" w:eastAsia="仿宋" w:cs="仿宋"/>
                <w14:textOutline w14:w="3810" w14:cap="flat" w14:cmpd="sng">
                  <w14:solidFill>
                    <w14:srgbClr w14:val="000000"/>
                  </w14:solidFill>
                  <w14:prstDash w14:val="solid"/>
                  <w14:miter w14:val="0"/>
                </w14:textOutline>
              </w:rPr>
              <w:t>)</w:t>
            </w:r>
          </w:p>
        </w:tc>
        <w:tc>
          <w:tcPr>
            <w:tcW w:w="946" w:type="dxa"/>
            <w:tcBorders>
              <w:top w:val="single" w:color="000000" w:sz="12" w:space="0"/>
              <w:right w:val="nil"/>
            </w:tcBorders>
            <w:vAlign w:val="top"/>
          </w:tcPr>
          <w:p>
            <w:pPr>
              <w:spacing w:before="30" w:line="218" w:lineRule="auto"/>
              <w:ind w:left="204"/>
              <w:rPr>
                <w:rFonts w:ascii="仿宋" w:hAnsi="仿宋" w:eastAsia="仿宋" w:cs="仿宋"/>
                <w:sz w:val="21"/>
                <w:szCs w:val="21"/>
              </w:rPr>
            </w:pPr>
            <w:r>
              <w:rPr>
                <w:rFonts w:ascii="仿宋" w:hAnsi="仿宋" w:eastAsia="仿宋" w:cs="仿宋"/>
                <w:spacing w:val="-11"/>
                <w:sz w:val="21"/>
                <w:szCs w:val="21"/>
                <w14:textOutline w14:w="3810" w14:cap="flat" w14:cmpd="sng">
                  <w14:solidFill>
                    <w14:srgbClr w14:val="000000"/>
                  </w14:solidFill>
                  <w14:prstDash w14:val="solid"/>
                  <w14:miter w14:val="0"/>
                </w14:textOutline>
              </w:rPr>
              <w:t>占评价</w:t>
            </w:r>
          </w:p>
          <w:p>
            <w:pPr>
              <w:spacing w:before="24" w:line="221" w:lineRule="auto"/>
              <w:ind w:left="186"/>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区总面</w:t>
            </w:r>
          </w:p>
          <w:p>
            <w:pPr>
              <w:spacing w:before="20" w:line="219" w:lineRule="auto"/>
              <w:ind w:left="17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积的比</w:t>
            </w:r>
          </w:p>
          <w:p>
            <w:pPr>
              <w:spacing w:before="23" w:line="219" w:lineRule="auto"/>
              <w:ind w:left="378"/>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例</w:t>
            </w:r>
          </w:p>
          <w:p>
            <w:pPr>
              <w:pStyle w:val="6"/>
              <w:spacing w:before="23" w:line="200" w:lineRule="auto"/>
              <w:ind w:left="169"/>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w:t>
            </w:r>
            <w:r>
              <w:rPr>
                <w:rFonts w:ascii="仿宋" w:hAnsi="仿宋" w:eastAsia="仿宋" w:cs="仿宋"/>
                <w:spacing w:val="-5"/>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5" w:hRule="atLeast"/>
        </w:trPr>
        <w:tc>
          <w:tcPr>
            <w:tcW w:w="823" w:type="dxa"/>
            <w:vMerge w:val="restart"/>
            <w:tcBorders>
              <w:left w:val="nil"/>
              <w:bottom w:val="nil"/>
            </w:tcBorders>
            <w:vAlign w:val="top"/>
          </w:tcPr>
          <w:p>
            <w:pPr>
              <w:spacing w:before="60" w:line="239" w:lineRule="auto"/>
              <w:ind w:left="141"/>
              <w:rPr>
                <w:rFonts w:ascii="仿宋" w:hAnsi="仿宋" w:eastAsia="仿宋" w:cs="仿宋"/>
                <w:sz w:val="21"/>
                <w:szCs w:val="21"/>
              </w:rPr>
            </w:pPr>
            <w:r>
              <w:rPr>
                <w:rFonts w:ascii="仿宋" w:hAnsi="仿宋" w:eastAsia="仿宋" w:cs="仿宋"/>
                <w:spacing w:val="-5"/>
                <w:sz w:val="21"/>
                <w:szCs w:val="21"/>
              </w:rPr>
              <w:t>工植</w:t>
            </w:r>
          </w:p>
          <w:p>
            <w:pPr>
              <w:spacing w:line="218" w:lineRule="auto"/>
              <w:ind w:left="136"/>
              <w:rPr>
                <w:rFonts w:ascii="仿宋" w:hAnsi="仿宋" w:eastAsia="仿宋" w:cs="仿宋"/>
                <w:sz w:val="21"/>
                <w:szCs w:val="21"/>
              </w:rPr>
            </w:pPr>
            <w:r>
              <w:rPr>
                <w:rFonts w:ascii="仿宋" w:hAnsi="仿宋" w:eastAsia="仿宋" w:cs="仿宋"/>
                <w:sz w:val="21"/>
                <w:szCs w:val="21"/>
              </w:rPr>
              <w:t>被</w:t>
            </w:r>
          </w:p>
        </w:tc>
        <w:tc>
          <w:tcPr>
            <w:tcW w:w="1427" w:type="dxa"/>
            <w:vMerge w:val="restart"/>
            <w:tcBorders>
              <w:bottom w:val="nil"/>
            </w:tcBorders>
            <w:vAlign w:val="top"/>
          </w:tcPr>
          <w:p>
            <w:pPr>
              <w:rPr>
                <w:rFonts w:ascii="Arial"/>
                <w:sz w:val="21"/>
              </w:rPr>
            </w:pPr>
          </w:p>
        </w:tc>
        <w:tc>
          <w:tcPr>
            <w:tcW w:w="1277" w:type="dxa"/>
            <w:vAlign w:val="top"/>
          </w:tcPr>
          <w:p>
            <w:pPr>
              <w:rPr>
                <w:rFonts w:ascii="Arial"/>
                <w:sz w:val="21"/>
              </w:rPr>
            </w:pPr>
          </w:p>
        </w:tc>
        <w:tc>
          <w:tcPr>
            <w:tcW w:w="3401" w:type="dxa"/>
            <w:vAlign w:val="top"/>
          </w:tcPr>
          <w:p>
            <w:pPr>
              <w:spacing w:before="59" w:line="198" w:lineRule="auto"/>
              <w:ind w:left="674"/>
              <w:rPr>
                <w:rFonts w:ascii="仿宋" w:hAnsi="仿宋" w:eastAsia="仿宋" w:cs="仿宋"/>
                <w:sz w:val="21"/>
                <w:szCs w:val="21"/>
              </w:rPr>
            </w:pPr>
            <w:r>
              <w:rPr>
                <w:rFonts w:ascii="仿宋" w:hAnsi="仿宋" w:eastAsia="仿宋" w:cs="仿宋"/>
                <w:spacing w:val="-5"/>
                <w:sz w:val="21"/>
                <w:szCs w:val="21"/>
              </w:rPr>
              <w:t>的地方，主要种植水稻</w:t>
            </w:r>
          </w:p>
        </w:tc>
        <w:tc>
          <w:tcPr>
            <w:tcW w:w="949" w:type="dxa"/>
            <w:vAlign w:val="top"/>
          </w:tcPr>
          <w:p>
            <w:pPr>
              <w:rPr>
                <w:rFonts w:ascii="Arial"/>
                <w:sz w:val="21"/>
              </w:rPr>
            </w:pPr>
          </w:p>
        </w:tc>
        <w:tc>
          <w:tcPr>
            <w:tcW w:w="946"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823" w:type="dxa"/>
            <w:vMerge w:val="continue"/>
            <w:tcBorders>
              <w:top w:val="nil"/>
              <w:left w:val="nil"/>
              <w:bottom w:val="nil"/>
            </w:tcBorders>
            <w:vAlign w:val="top"/>
          </w:tcPr>
          <w:p>
            <w:pPr>
              <w:rPr>
                <w:rFonts w:ascii="Arial"/>
                <w:sz w:val="21"/>
              </w:rPr>
            </w:pPr>
          </w:p>
        </w:tc>
        <w:tc>
          <w:tcPr>
            <w:tcW w:w="1427" w:type="dxa"/>
            <w:vMerge w:val="continue"/>
            <w:tcBorders>
              <w:top w:val="nil"/>
            </w:tcBorders>
            <w:vAlign w:val="top"/>
          </w:tcPr>
          <w:p>
            <w:pPr>
              <w:rPr>
                <w:rFonts w:ascii="Arial"/>
                <w:sz w:val="21"/>
              </w:rPr>
            </w:pPr>
          </w:p>
        </w:tc>
        <w:tc>
          <w:tcPr>
            <w:tcW w:w="1277" w:type="dxa"/>
            <w:vAlign w:val="top"/>
          </w:tcPr>
          <w:p>
            <w:pPr>
              <w:spacing w:before="177" w:line="218" w:lineRule="auto"/>
              <w:ind w:left="232"/>
              <w:rPr>
                <w:rFonts w:ascii="仿宋" w:hAnsi="仿宋" w:eastAsia="仿宋" w:cs="仿宋"/>
                <w:sz w:val="21"/>
                <w:szCs w:val="21"/>
              </w:rPr>
            </w:pPr>
            <w:r>
              <w:rPr>
                <w:rFonts w:ascii="仿宋" w:hAnsi="仿宋" w:eastAsia="仿宋" w:cs="仿宋"/>
                <w:spacing w:val="-4"/>
                <w:sz w:val="21"/>
                <w:szCs w:val="21"/>
              </w:rPr>
              <w:t>旱地植被</w:t>
            </w:r>
          </w:p>
        </w:tc>
        <w:tc>
          <w:tcPr>
            <w:tcW w:w="3401" w:type="dxa"/>
            <w:vAlign w:val="top"/>
          </w:tcPr>
          <w:p>
            <w:pPr>
              <w:spacing w:before="42" w:line="215" w:lineRule="auto"/>
              <w:ind w:left="139"/>
              <w:rPr>
                <w:rFonts w:ascii="仿宋" w:hAnsi="仿宋" w:eastAsia="仿宋" w:cs="仿宋"/>
                <w:sz w:val="21"/>
                <w:szCs w:val="21"/>
              </w:rPr>
            </w:pPr>
            <w:r>
              <w:rPr>
                <w:rFonts w:ascii="仿宋" w:hAnsi="仿宋" w:eastAsia="仿宋" w:cs="仿宋"/>
                <w:spacing w:val="-2"/>
                <w:sz w:val="21"/>
                <w:szCs w:val="21"/>
              </w:rPr>
              <w:t>分布在村寨附近水利条件较差的地</w:t>
            </w:r>
          </w:p>
          <w:p>
            <w:pPr>
              <w:spacing w:before="27" w:line="195" w:lineRule="auto"/>
              <w:ind w:left="247"/>
              <w:rPr>
                <w:rFonts w:ascii="仿宋" w:hAnsi="仿宋" w:eastAsia="仿宋" w:cs="仿宋"/>
                <w:sz w:val="21"/>
                <w:szCs w:val="21"/>
              </w:rPr>
            </w:pPr>
            <w:r>
              <w:rPr>
                <w:rFonts w:ascii="仿宋" w:hAnsi="仿宋" w:eastAsia="仿宋" w:cs="仿宋"/>
                <w:spacing w:val="-2"/>
                <w:sz w:val="21"/>
                <w:szCs w:val="21"/>
              </w:rPr>
              <w:t>方，主要种植玉米、蔬菜等作物</w:t>
            </w:r>
          </w:p>
        </w:tc>
        <w:tc>
          <w:tcPr>
            <w:tcW w:w="949" w:type="dxa"/>
            <w:vAlign w:val="top"/>
          </w:tcPr>
          <w:p>
            <w:pPr>
              <w:pStyle w:val="6"/>
              <w:spacing w:before="215" w:line="188" w:lineRule="auto"/>
              <w:ind w:left="212"/>
            </w:pPr>
            <w:r>
              <w:rPr>
                <w:spacing w:val="-6"/>
              </w:rPr>
              <w:t>118.45</w:t>
            </w:r>
          </w:p>
        </w:tc>
        <w:tc>
          <w:tcPr>
            <w:tcW w:w="946" w:type="dxa"/>
            <w:tcBorders>
              <w:right w:val="nil"/>
            </w:tcBorders>
            <w:vAlign w:val="top"/>
          </w:tcPr>
          <w:p>
            <w:pPr>
              <w:pStyle w:val="6"/>
              <w:spacing w:before="215" w:line="188" w:lineRule="auto"/>
              <w:ind w:left="259"/>
            </w:pPr>
            <w:r>
              <w:rPr>
                <w:spacing w:val="-5"/>
              </w:rPr>
              <w:t>14.44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823" w:type="dxa"/>
            <w:vMerge w:val="continue"/>
            <w:tcBorders>
              <w:top w:val="nil"/>
              <w:left w:val="nil"/>
            </w:tcBorders>
            <w:vAlign w:val="top"/>
          </w:tcPr>
          <w:p>
            <w:pPr>
              <w:rPr>
                <w:rFonts w:ascii="Arial"/>
                <w:sz w:val="21"/>
              </w:rPr>
            </w:pPr>
          </w:p>
        </w:tc>
        <w:tc>
          <w:tcPr>
            <w:tcW w:w="1427" w:type="dxa"/>
            <w:vAlign w:val="top"/>
          </w:tcPr>
          <w:p>
            <w:pPr>
              <w:pStyle w:val="6"/>
              <w:spacing w:before="44" w:line="216" w:lineRule="auto"/>
              <w:ind w:left="304" w:right="142" w:hanging="157"/>
              <w:rPr>
                <w:rFonts w:ascii="仿宋" w:hAnsi="仿宋" w:eastAsia="仿宋" w:cs="仿宋"/>
              </w:rPr>
            </w:pPr>
            <w:r>
              <w:rPr>
                <w:spacing w:val="-3"/>
              </w:rPr>
              <w:t>II.</w:t>
            </w:r>
            <w:r>
              <w:rPr>
                <w:spacing w:val="7"/>
              </w:rPr>
              <w:t xml:space="preserve">  </w:t>
            </w:r>
            <w:r>
              <w:rPr>
                <w:rFonts w:ascii="仿宋" w:hAnsi="仿宋" w:eastAsia="仿宋" w:cs="仿宋"/>
                <w:spacing w:val="-3"/>
              </w:rPr>
              <w:t>经济林及</w:t>
            </w:r>
            <w:r>
              <w:rPr>
                <w:rFonts w:ascii="仿宋" w:hAnsi="仿宋" w:eastAsia="仿宋" w:cs="仿宋"/>
              </w:rPr>
              <w:t xml:space="preserve"> </w:t>
            </w:r>
            <w:r>
              <w:rPr>
                <w:rFonts w:ascii="仿宋" w:hAnsi="仿宋" w:eastAsia="仿宋" w:cs="仿宋"/>
                <w:spacing w:val="-3"/>
              </w:rPr>
              <w:t>经济作物</w:t>
            </w:r>
          </w:p>
        </w:tc>
        <w:tc>
          <w:tcPr>
            <w:tcW w:w="1277" w:type="dxa"/>
            <w:vAlign w:val="top"/>
          </w:tcPr>
          <w:p>
            <w:pPr>
              <w:spacing w:before="182" w:line="218" w:lineRule="auto"/>
              <w:ind w:left="228"/>
              <w:rPr>
                <w:rFonts w:ascii="仿宋" w:hAnsi="仿宋" w:eastAsia="仿宋" w:cs="仿宋"/>
                <w:sz w:val="21"/>
                <w:szCs w:val="21"/>
              </w:rPr>
            </w:pPr>
            <w:r>
              <w:rPr>
                <w:rFonts w:ascii="仿宋" w:hAnsi="仿宋" w:eastAsia="仿宋" w:cs="仿宋"/>
                <w:spacing w:val="-3"/>
                <w:sz w:val="21"/>
                <w:szCs w:val="21"/>
              </w:rPr>
              <w:t>核桃园等</w:t>
            </w:r>
          </w:p>
        </w:tc>
        <w:tc>
          <w:tcPr>
            <w:tcW w:w="3401" w:type="dxa"/>
            <w:vAlign w:val="top"/>
          </w:tcPr>
          <w:p>
            <w:pPr>
              <w:spacing w:before="44" w:line="216" w:lineRule="auto"/>
              <w:ind w:left="976" w:right="123" w:hanging="840"/>
              <w:rPr>
                <w:rFonts w:ascii="仿宋" w:hAnsi="仿宋" w:eastAsia="仿宋" w:cs="仿宋"/>
                <w:sz w:val="21"/>
                <w:szCs w:val="21"/>
              </w:rPr>
            </w:pPr>
            <w:r>
              <w:rPr>
                <w:rFonts w:ascii="仿宋" w:hAnsi="仿宋" w:eastAsia="仿宋" w:cs="仿宋"/>
                <w:spacing w:val="-8"/>
                <w:sz w:val="21"/>
                <w:szCs w:val="21"/>
              </w:rPr>
              <w:t>拟建水库引水、 引洪和输水管道两</w:t>
            </w:r>
            <w:r>
              <w:rPr>
                <w:rFonts w:ascii="仿宋" w:hAnsi="仿宋" w:eastAsia="仿宋" w:cs="仿宋"/>
                <w:spacing w:val="8"/>
                <w:sz w:val="21"/>
                <w:szCs w:val="21"/>
              </w:rPr>
              <w:t xml:space="preserve"> </w:t>
            </w:r>
            <w:r>
              <w:rPr>
                <w:rFonts w:ascii="仿宋" w:hAnsi="仿宋" w:eastAsia="仿宋" w:cs="仿宋"/>
                <w:spacing w:val="-2"/>
                <w:sz w:val="21"/>
                <w:szCs w:val="21"/>
              </w:rPr>
              <w:t>侧的村庄均栽培</w:t>
            </w:r>
          </w:p>
        </w:tc>
        <w:tc>
          <w:tcPr>
            <w:tcW w:w="949" w:type="dxa"/>
            <w:vAlign w:val="top"/>
          </w:tcPr>
          <w:p>
            <w:pPr>
              <w:pStyle w:val="6"/>
              <w:spacing w:before="218" w:line="188" w:lineRule="auto"/>
              <w:ind w:left="244"/>
            </w:pPr>
            <w:r>
              <w:rPr>
                <w:spacing w:val="-2"/>
              </w:rPr>
              <w:t>38.69</w:t>
            </w:r>
          </w:p>
        </w:tc>
        <w:tc>
          <w:tcPr>
            <w:tcW w:w="946" w:type="dxa"/>
            <w:tcBorders>
              <w:right w:val="nil"/>
            </w:tcBorders>
            <w:vAlign w:val="top"/>
          </w:tcPr>
          <w:p>
            <w:pPr>
              <w:pStyle w:val="6"/>
              <w:spacing w:before="218" w:line="188" w:lineRule="auto"/>
              <w:ind w:left="291"/>
            </w:pPr>
            <w:r>
              <w:rPr>
                <w:spacing w:val="-1"/>
              </w:rPr>
              <w:t>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6" w:hRule="atLeast"/>
        </w:trPr>
        <w:tc>
          <w:tcPr>
            <w:tcW w:w="2250" w:type="dxa"/>
            <w:gridSpan w:val="2"/>
            <w:vMerge w:val="restart"/>
            <w:tcBorders>
              <w:left w:val="nil"/>
              <w:bottom w:val="nil"/>
            </w:tcBorders>
            <w:vAlign w:val="top"/>
          </w:tcPr>
          <w:p>
            <w:pPr>
              <w:spacing w:line="298" w:lineRule="auto"/>
              <w:rPr>
                <w:rFonts w:ascii="Arial"/>
                <w:sz w:val="21"/>
              </w:rPr>
            </w:pPr>
          </w:p>
          <w:p>
            <w:pPr>
              <w:spacing w:line="298" w:lineRule="auto"/>
              <w:rPr>
                <w:rFonts w:ascii="Arial"/>
                <w:sz w:val="21"/>
              </w:rPr>
            </w:pPr>
          </w:p>
          <w:p>
            <w:pPr>
              <w:spacing w:before="68" w:line="217" w:lineRule="auto"/>
              <w:ind w:left="937"/>
              <w:rPr>
                <w:rFonts w:ascii="仿宋" w:hAnsi="仿宋" w:eastAsia="仿宋" w:cs="仿宋"/>
                <w:sz w:val="21"/>
                <w:szCs w:val="21"/>
              </w:rPr>
            </w:pPr>
            <w:r>
              <w:rPr>
                <w:rFonts w:ascii="仿宋" w:hAnsi="仿宋" w:eastAsia="仿宋" w:cs="仿宋"/>
                <w:spacing w:val="-4"/>
                <w:sz w:val="21"/>
                <w:szCs w:val="21"/>
              </w:rPr>
              <w:t>其他</w:t>
            </w:r>
          </w:p>
        </w:tc>
        <w:tc>
          <w:tcPr>
            <w:tcW w:w="1277" w:type="dxa"/>
            <w:vAlign w:val="top"/>
          </w:tcPr>
          <w:p>
            <w:pPr>
              <w:spacing w:before="185" w:line="219" w:lineRule="auto"/>
              <w:ind w:left="438"/>
              <w:rPr>
                <w:rFonts w:ascii="仿宋" w:hAnsi="仿宋" w:eastAsia="仿宋" w:cs="仿宋"/>
                <w:sz w:val="21"/>
                <w:szCs w:val="21"/>
              </w:rPr>
            </w:pPr>
            <w:r>
              <w:rPr>
                <w:rFonts w:ascii="仿宋" w:hAnsi="仿宋" w:eastAsia="仿宋" w:cs="仿宋"/>
                <w:spacing w:val="-4"/>
                <w:sz w:val="21"/>
                <w:szCs w:val="21"/>
              </w:rPr>
              <w:t>水域</w:t>
            </w:r>
          </w:p>
        </w:tc>
        <w:tc>
          <w:tcPr>
            <w:tcW w:w="3401" w:type="dxa"/>
            <w:vAlign w:val="top"/>
          </w:tcPr>
          <w:p>
            <w:pPr>
              <w:spacing w:before="49" w:line="214" w:lineRule="auto"/>
              <w:ind w:left="766" w:right="143" w:hanging="630"/>
              <w:rPr>
                <w:rFonts w:ascii="仿宋" w:hAnsi="仿宋" w:eastAsia="仿宋" w:cs="仿宋"/>
                <w:sz w:val="21"/>
                <w:szCs w:val="21"/>
              </w:rPr>
            </w:pPr>
            <w:r>
              <w:rPr>
                <w:rFonts w:ascii="仿宋" w:hAnsi="仿宋" w:eastAsia="仿宋" w:cs="仿宋"/>
                <w:spacing w:val="-3"/>
                <w:sz w:val="21"/>
                <w:szCs w:val="21"/>
              </w:rPr>
              <w:t>桂花河、马龙河及其支流、山间的</w:t>
            </w:r>
            <w:r>
              <w:rPr>
                <w:rFonts w:ascii="仿宋" w:hAnsi="仿宋" w:eastAsia="仿宋" w:cs="仿宋"/>
                <w:spacing w:val="9"/>
                <w:sz w:val="21"/>
                <w:szCs w:val="21"/>
              </w:rPr>
              <w:t xml:space="preserve"> </w:t>
            </w:r>
            <w:r>
              <w:rPr>
                <w:rFonts w:ascii="仿宋" w:hAnsi="仿宋" w:eastAsia="仿宋" w:cs="仿宋"/>
                <w:spacing w:val="-2"/>
                <w:sz w:val="21"/>
                <w:szCs w:val="21"/>
              </w:rPr>
              <w:t>箐沟和水库、池塘等</w:t>
            </w:r>
          </w:p>
        </w:tc>
        <w:tc>
          <w:tcPr>
            <w:tcW w:w="949" w:type="dxa"/>
            <w:vAlign w:val="top"/>
          </w:tcPr>
          <w:p>
            <w:pPr>
              <w:pStyle w:val="6"/>
              <w:spacing w:before="222" w:line="188" w:lineRule="auto"/>
              <w:ind w:left="244"/>
            </w:pPr>
            <w:r>
              <w:rPr>
                <w:spacing w:val="-2"/>
              </w:rPr>
              <w:t>35.45</w:t>
            </w:r>
          </w:p>
        </w:tc>
        <w:tc>
          <w:tcPr>
            <w:tcW w:w="946" w:type="dxa"/>
            <w:tcBorders>
              <w:right w:val="nil"/>
            </w:tcBorders>
            <w:vAlign w:val="top"/>
          </w:tcPr>
          <w:p>
            <w:pPr>
              <w:pStyle w:val="6"/>
              <w:spacing w:before="222" w:line="188" w:lineRule="auto"/>
              <w:ind w:left="291"/>
            </w:pPr>
            <w:r>
              <w:rPr>
                <w:spacing w:val="-1"/>
              </w:rPr>
              <w:t>4.32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250" w:type="dxa"/>
            <w:gridSpan w:val="2"/>
            <w:vMerge w:val="continue"/>
            <w:tcBorders>
              <w:top w:val="nil"/>
              <w:left w:val="nil"/>
              <w:bottom w:val="nil"/>
            </w:tcBorders>
            <w:vAlign w:val="top"/>
          </w:tcPr>
          <w:p>
            <w:pPr>
              <w:rPr>
                <w:rFonts w:ascii="Arial"/>
                <w:sz w:val="21"/>
              </w:rPr>
            </w:pPr>
          </w:p>
        </w:tc>
        <w:tc>
          <w:tcPr>
            <w:tcW w:w="1277" w:type="dxa"/>
            <w:vAlign w:val="top"/>
          </w:tcPr>
          <w:p>
            <w:pPr>
              <w:spacing w:before="72" w:line="205" w:lineRule="auto"/>
              <w:ind w:left="128"/>
              <w:rPr>
                <w:rFonts w:ascii="仿宋" w:hAnsi="仿宋" w:eastAsia="仿宋" w:cs="仿宋"/>
                <w:sz w:val="21"/>
                <w:szCs w:val="21"/>
              </w:rPr>
            </w:pPr>
            <w:r>
              <w:rPr>
                <w:rFonts w:ascii="仿宋" w:hAnsi="仿宋" w:eastAsia="仿宋" w:cs="仿宋"/>
                <w:spacing w:val="-3"/>
                <w:sz w:val="21"/>
                <w:szCs w:val="21"/>
              </w:rPr>
              <w:t>公路、道路</w:t>
            </w:r>
          </w:p>
        </w:tc>
        <w:tc>
          <w:tcPr>
            <w:tcW w:w="3401" w:type="dxa"/>
            <w:vAlign w:val="top"/>
          </w:tcPr>
          <w:p>
            <w:pPr>
              <w:spacing w:before="72" w:line="205" w:lineRule="auto"/>
              <w:ind w:left="770"/>
              <w:rPr>
                <w:rFonts w:ascii="仿宋" w:hAnsi="仿宋" w:eastAsia="仿宋" w:cs="仿宋"/>
                <w:sz w:val="21"/>
                <w:szCs w:val="21"/>
              </w:rPr>
            </w:pPr>
            <w:r>
              <w:rPr>
                <w:rFonts w:ascii="仿宋" w:hAnsi="仿宋" w:eastAsia="仿宋" w:cs="仿宋"/>
                <w:spacing w:val="-2"/>
                <w:sz w:val="21"/>
                <w:szCs w:val="21"/>
              </w:rPr>
              <w:t>原老公路及乡间公路</w:t>
            </w:r>
          </w:p>
        </w:tc>
        <w:tc>
          <w:tcPr>
            <w:tcW w:w="949" w:type="dxa"/>
            <w:vAlign w:val="top"/>
          </w:tcPr>
          <w:p>
            <w:pPr>
              <w:pStyle w:val="6"/>
              <w:spacing w:before="110" w:line="188" w:lineRule="auto"/>
              <w:ind w:left="293"/>
            </w:pPr>
            <w:r>
              <w:rPr>
                <w:spacing w:val="-1"/>
              </w:rPr>
              <w:t>27.8</w:t>
            </w:r>
          </w:p>
        </w:tc>
        <w:tc>
          <w:tcPr>
            <w:tcW w:w="946" w:type="dxa"/>
            <w:tcBorders>
              <w:right w:val="nil"/>
            </w:tcBorders>
            <w:vAlign w:val="top"/>
          </w:tcPr>
          <w:p>
            <w:pPr>
              <w:pStyle w:val="6"/>
              <w:spacing w:before="110" w:line="188" w:lineRule="auto"/>
              <w:ind w:left="296"/>
            </w:pPr>
            <w:r>
              <w:rPr>
                <w:spacing w:val="-2"/>
              </w:rPr>
              <w:t>3.39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2250" w:type="dxa"/>
            <w:gridSpan w:val="2"/>
            <w:vMerge w:val="continue"/>
            <w:tcBorders>
              <w:top w:val="nil"/>
              <w:left w:val="nil"/>
              <w:bottom w:val="nil"/>
            </w:tcBorders>
            <w:vAlign w:val="top"/>
          </w:tcPr>
          <w:p>
            <w:pPr>
              <w:rPr>
                <w:rFonts w:ascii="Arial"/>
                <w:sz w:val="21"/>
              </w:rPr>
            </w:pPr>
          </w:p>
        </w:tc>
        <w:tc>
          <w:tcPr>
            <w:tcW w:w="1277" w:type="dxa"/>
            <w:vAlign w:val="top"/>
          </w:tcPr>
          <w:p>
            <w:pPr>
              <w:spacing w:before="74" w:line="202" w:lineRule="auto"/>
              <w:ind w:left="336"/>
              <w:rPr>
                <w:rFonts w:ascii="仿宋" w:hAnsi="仿宋" w:eastAsia="仿宋" w:cs="仿宋"/>
                <w:sz w:val="21"/>
                <w:szCs w:val="21"/>
              </w:rPr>
            </w:pPr>
            <w:r>
              <w:rPr>
                <w:rFonts w:ascii="仿宋" w:hAnsi="仿宋" w:eastAsia="仿宋" w:cs="仿宋"/>
                <w:spacing w:val="-4"/>
                <w:sz w:val="21"/>
                <w:szCs w:val="21"/>
              </w:rPr>
              <w:t>采土场</w:t>
            </w:r>
          </w:p>
        </w:tc>
        <w:tc>
          <w:tcPr>
            <w:tcW w:w="3401" w:type="dxa"/>
            <w:vAlign w:val="top"/>
          </w:tcPr>
          <w:p>
            <w:pPr>
              <w:spacing w:before="74" w:line="202" w:lineRule="auto"/>
              <w:ind w:left="976"/>
              <w:rPr>
                <w:rFonts w:ascii="仿宋" w:hAnsi="仿宋" w:eastAsia="仿宋" w:cs="仿宋"/>
                <w:sz w:val="21"/>
                <w:szCs w:val="21"/>
              </w:rPr>
            </w:pPr>
            <w:r>
              <w:rPr>
                <w:rFonts w:ascii="仿宋" w:hAnsi="仿宋" w:eastAsia="仿宋" w:cs="仿宋"/>
                <w:spacing w:val="-2"/>
                <w:sz w:val="21"/>
                <w:szCs w:val="21"/>
              </w:rPr>
              <w:t>水库建设采土场</w:t>
            </w:r>
          </w:p>
        </w:tc>
        <w:tc>
          <w:tcPr>
            <w:tcW w:w="949" w:type="dxa"/>
            <w:vAlign w:val="top"/>
          </w:tcPr>
          <w:p>
            <w:pPr>
              <w:pStyle w:val="6"/>
              <w:spacing w:before="111" w:line="188" w:lineRule="auto"/>
              <w:ind w:left="292"/>
            </w:pPr>
            <w:r>
              <w:rPr>
                <w:spacing w:val="-1"/>
              </w:rPr>
              <w:t>4.35</w:t>
            </w:r>
          </w:p>
        </w:tc>
        <w:tc>
          <w:tcPr>
            <w:tcW w:w="946" w:type="dxa"/>
            <w:tcBorders>
              <w:right w:val="nil"/>
            </w:tcBorders>
            <w:vAlign w:val="top"/>
          </w:tcPr>
          <w:p>
            <w:pPr>
              <w:pStyle w:val="6"/>
              <w:spacing w:before="111" w:line="188" w:lineRule="auto"/>
              <w:ind w:left="295"/>
            </w:pPr>
            <w:r>
              <w:rPr>
                <w:spacing w:val="-2"/>
              </w:rPr>
              <w:t>0.53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2250" w:type="dxa"/>
            <w:gridSpan w:val="2"/>
            <w:vMerge w:val="continue"/>
            <w:tcBorders>
              <w:top w:val="nil"/>
              <w:left w:val="nil"/>
            </w:tcBorders>
            <w:vAlign w:val="top"/>
          </w:tcPr>
          <w:p>
            <w:pPr>
              <w:rPr>
                <w:rFonts w:ascii="Arial"/>
                <w:sz w:val="21"/>
              </w:rPr>
            </w:pPr>
          </w:p>
        </w:tc>
        <w:tc>
          <w:tcPr>
            <w:tcW w:w="1277" w:type="dxa"/>
            <w:vAlign w:val="top"/>
          </w:tcPr>
          <w:p>
            <w:pPr>
              <w:spacing w:before="77" w:line="199" w:lineRule="auto"/>
              <w:ind w:left="334"/>
              <w:rPr>
                <w:rFonts w:ascii="仿宋" w:hAnsi="仿宋" w:eastAsia="仿宋" w:cs="仿宋"/>
                <w:sz w:val="21"/>
                <w:szCs w:val="21"/>
              </w:rPr>
            </w:pPr>
            <w:r>
              <w:rPr>
                <w:rFonts w:ascii="仿宋" w:hAnsi="仿宋" w:eastAsia="仿宋" w:cs="仿宋"/>
                <w:spacing w:val="-4"/>
                <w:sz w:val="21"/>
                <w:szCs w:val="21"/>
              </w:rPr>
              <w:t>居民点</w:t>
            </w:r>
          </w:p>
        </w:tc>
        <w:tc>
          <w:tcPr>
            <w:tcW w:w="3401" w:type="dxa"/>
            <w:vAlign w:val="top"/>
          </w:tcPr>
          <w:p>
            <w:pPr>
              <w:spacing w:before="77" w:line="199" w:lineRule="auto"/>
              <w:ind w:left="661"/>
              <w:rPr>
                <w:rFonts w:ascii="仿宋" w:hAnsi="仿宋" w:eastAsia="仿宋" w:cs="仿宋"/>
                <w:sz w:val="21"/>
                <w:szCs w:val="21"/>
              </w:rPr>
            </w:pPr>
            <w:r>
              <w:rPr>
                <w:rFonts w:ascii="仿宋" w:hAnsi="仿宋" w:eastAsia="仿宋" w:cs="仿宋"/>
                <w:spacing w:val="-2"/>
                <w:sz w:val="21"/>
                <w:szCs w:val="21"/>
              </w:rPr>
              <w:t>村庄、工厂及其生活区</w:t>
            </w:r>
          </w:p>
        </w:tc>
        <w:tc>
          <w:tcPr>
            <w:tcW w:w="949" w:type="dxa"/>
            <w:vAlign w:val="top"/>
          </w:tcPr>
          <w:p>
            <w:pPr>
              <w:pStyle w:val="6"/>
              <w:spacing w:before="113" w:line="188" w:lineRule="auto"/>
              <w:ind w:left="260"/>
            </w:pPr>
            <w:r>
              <w:rPr>
                <w:spacing w:val="-5"/>
              </w:rPr>
              <w:t>10.24</w:t>
            </w:r>
          </w:p>
        </w:tc>
        <w:tc>
          <w:tcPr>
            <w:tcW w:w="946" w:type="dxa"/>
            <w:tcBorders>
              <w:right w:val="nil"/>
            </w:tcBorders>
            <w:vAlign w:val="top"/>
          </w:tcPr>
          <w:p>
            <w:pPr>
              <w:pStyle w:val="6"/>
              <w:spacing w:before="113" w:line="188" w:lineRule="auto"/>
              <w:ind w:left="312"/>
            </w:pPr>
            <w:r>
              <w:rPr>
                <w:spacing w:val="-6"/>
              </w:rPr>
              <w:t>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trPr>
        <w:tc>
          <w:tcPr>
            <w:tcW w:w="6928" w:type="dxa"/>
            <w:gridSpan w:val="4"/>
            <w:tcBorders>
              <w:left w:val="nil"/>
              <w:bottom w:val="single" w:color="000000" w:sz="12" w:space="0"/>
            </w:tcBorders>
            <w:vAlign w:val="top"/>
          </w:tcPr>
          <w:p>
            <w:pPr>
              <w:spacing w:before="79" w:line="218" w:lineRule="auto"/>
              <w:ind w:left="3280"/>
              <w:rPr>
                <w:rFonts w:ascii="仿宋" w:hAnsi="仿宋" w:eastAsia="仿宋" w:cs="仿宋"/>
                <w:sz w:val="21"/>
                <w:szCs w:val="21"/>
              </w:rPr>
            </w:pPr>
            <w:r>
              <w:rPr>
                <w:rFonts w:ascii="仿宋" w:hAnsi="仿宋" w:eastAsia="仿宋" w:cs="仿宋"/>
                <w:spacing w:val="-5"/>
                <w:sz w:val="21"/>
                <w:szCs w:val="21"/>
              </w:rPr>
              <w:t>合计</w:t>
            </w:r>
          </w:p>
        </w:tc>
        <w:tc>
          <w:tcPr>
            <w:tcW w:w="949" w:type="dxa"/>
            <w:tcBorders>
              <w:bottom w:val="single" w:color="000000" w:sz="12" w:space="0"/>
            </w:tcBorders>
            <w:vAlign w:val="top"/>
          </w:tcPr>
          <w:p>
            <w:pPr>
              <w:pStyle w:val="6"/>
              <w:spacing w:before="117" w:line="188" w:lineRule="auto"/>
              <w:ind w:left="248"/>
            </w:pPr>
            <w:r>
              <w:rPr>
                <w:spacing w:val="-3"/>
              </w:rPr>
              <w:t>820.5</w:t>
            </w:r>
          </w:p>
        </w:tc>
        <w:tc>
          <w:tcPr>
            <w:tcW w:w="946" w:type="dxa"/>
            <w:tcBorders>
              <w:bottom w:val="single" w:color="000000" w:sz="12" w:space="0"/>
              <w:right w:val="nil"/>
            </w:tcBorders>
            <w:vAlign w:val="top"/>
          </w:tcPr>
          <w:p>
            <w:pPr>
              <w:pStyle w:val="6"/>
              <w:spacing w:before="117" w:line="188" w:lineRule="auto"/>
              <w:ind w:left="206"/>
            </w:pPr>
            <w:r>
              <w:rPr>
                <w:spacing w:val="-4"/>
              </w:rPr>
              <w:t>100.00</w:t>
            </w:r>
          </w:p>
        </w:tc>
      </w:tr>
    </w:tbl>
    <w:p>
      <w:pPr>
        <w:spacing w:before="113" w:line="220" w:lineRule="auto"/>
        <w:ind w:left="832"/>
        <w:rPr>
          <w:rFonts w:ascii="宋体" w:hAnsi="宋体" w:eastAsia="宋体" w:cs="宋体"/>
          <w:sz w:val="24"/>
          <w:szCs w:val="24"/>
        </w:rPr>
      </w:pPr>
      <w:r>
        <w:rPr>
          <w:rFonts w:ascii="宋体" w:hAnsi="宋体" w:eastAsia="宋体" w:cs="宋体"/>
          <w:spacing w:val="-17"/>
          <w:sz w:val="24"/>
          <w:szCs w:val="24"/>
        </w:rPr>
        <w:t>Ⅰ.经济林</w:t>
      </w:r>
    </w:p>
    <w:p>
      <w:pPr>
        <w:spacing w:before="182" w:line="468" w:lineRule="exact"/>
        <w:ind w:left="753"/>
        <w:rPr>
          <w:rFonts w:ascii="宋体" w:hAnsi="宋体" w:eastAsia="宋体" w:cs="宋体"/>
          <w:sz w:val="24"/>
          <w:szCs w:val="24"/>
        </w:rPr>
      </w:pPr>
      <w:r>
        <w:rPr>
          <w:rFonts w:ascii="宋体" w:hAnsi="宋体" w:eastAsia="宋体" w:cs="宋体"/>
          <w:position w:val="17"/>
          <w:sz w:val="24"/>
          <w:szCs w:val="24"/>
        </w:rPr>
        <w:t>评价区的经济林主要是核桃园和桃园，其中核桃园</w:t>
      </w:r>
      <w:r>
        <w:rPr>
          <w:rFonts w:ascii="宋体" w:hAnsi="宋体" w:eastAsia="宋体" w:cs="宋体"/>
          <w:spacing w:val="-1"/>
          <w:position w:val="17"/>
          <w:sz w:val="24"/>
          <w:szCs w:val="24"/>
        </w:rPr>
        <w:t>的面积最大，主要分布</w:t>
      </w:r>
    </w:p>
    <w:p>
      <w:pPr>
        <w:spacing w:line="218" w:lineRule="auto"/>
        <w:ind w:left="273"/>
        <w:rPr>
          <w:rFonts w:ascii="宋体" w:hAnsi="宋体" w:eastAsia="宋体" w:cs="宋体"/>
          <w:sz w:val="24"/>
          <w:szCs w:val="24"/>
        </w:rPr>
      </w:pPr>
      <w:r>
        <w:rPr>
          <w:rFonts w:ascii="宋体" w:hAnsi="宋体" w:eastAsia="宋体" w:cs="宋体"/>
          <w:sz w:val="24"/>
          <w:szCs w:val="24"/>
        </w:rPr>
        <w:t>在水湿条件较好坡耕地。这几年核桃价格不断上涨，</w:t>
      </w:r>
      <w:r>
        <w:rPr>
          <w:rFonts w:ascii="宋体" w:hAnsi="宋体" w:eastAsia="宋体" w:cs="宋体"/>
          <w:spacing w:val="-1"/>
          <w:sz w:val="24"/>
          <w:szCs w:val="24"/>
        </w:rPr>
        <w:t>刺激了核桃种植业的扩</w:t>
      </w:r>
    </w:p>
    <w:p>
      <w:pPr>
        <w:spacing w:before="184" w:line="468" w:lineRule="exact"/>
        <w:ind w:left="277"/>
        <w:rPr>
          <w:rFonts w:ascii="宋体" w:hAnsi="宋体" w:eastAsia="宋体" w:cs="宋体"/>
          <w:sz w:val="24"/>
          <w:szCs w:val="24"/>
        </w:rPr>
      </w:pPr>
      <w:r>
        <w:rPr>
          <w:rFonts w:ascii="宋体" w:hAnsi="宋体" w:eastAsia="宋体" w:cs="宋体"/>
          <w:spacing w:val="-1"/>
          <w:position w:val="17"/>
          <w:sz w:val="24"/>
          <w:szCs w:val="24"/>
        </w:rPr>
        <w:t>大，低海拔地区较为平缓，或者坡度不超过</w:t>
      </w:r>
      <w:r>
        <w:rPr>
          <w:rFonts w:ascii="宋体" w:hAnsi="宋体" w:eastAsia="宋体" w:cs="宋体"/>
          <w:spacing w:val="-50"/>
          <w:position w:val="17"/>
          <w:sz w:val="24"/>
          <w:szCs w:val="24"/>
        </w:rPr>
        <w:t xml:space="preserve"> </w:t>
      </w:r>
      <w:r>
        <w:rPr>
          <w:rFonts w:ascii="Times New Roman" w:hAnsi="Times New Roman" w:eastAsia="Times New Roman" w:cs="Times New Roman"/>
          <w:spacing w:val="-1"/>
          <w:position w:val="17"/>
          <w:sz w:val="24"/>
          <w:szCs w:val="24"/>
        </w:rPr>
        <w:t>3</w:t>
      </w:r>
      <w:r>
        <w:rPr>
          <w:rFonts w:ascii="Times New Roman" w:hAnsi="Times New Roman" w:eastAsia="Times New Roman" w:cs="Times New Roman"/>
          <w:spacing w:val="-2"/>
          <w:position w:val="17"/>
          <w:sz w:val="24"/>
          <w:szCs w:val="24"/>
        </w:rPr>
        <w:t>5°</w:t>
      </w:r>
      <w:r>
        <w:rPr>
          <w:rFonts w:ascii="Times New Roman" w:hAnsi="Times New Roman" w:eastAsia="Times New Roman" w:cs="Times New Roman"/>
          <w:spacing w:val="-31"/>
          <w:position w:val="17"/>
          <w:sz w:val="24"/>
          <w:szCs w:val="24"/>
        </w:rPr>
        <w:t xml:space="preserve"> </w:t>
      </w:r>
      <w:r>
        <w:rPr>
          <w:rFonts w:ascii="宋体" w:hAnsi="宋体" w:eastAsia="宋体" w:cs="宋体"/>
          <w:spacing w:val="-2"/>
          <w:position w:val="17"/>
          <w:sz w:val="24"/>
          <w:szCs w:val="24"/>
        </w:rPr>
        <w:t>的低海拔山地、耕地主要种植</w:t>
      </w:r>
    </w:p>
    <w:p>
      <w:pPr>
        <w:spacing w:before="1" w:line="219" w:lineRule="auto"/>
        <w:ind w:left="296"/>
        <w:rPr>
          <w:rFonts w:ascii="宋体" w:hAnsi="宋体" w:eastAsia="宋体" w:cs="宋体"/>
          <w:sz w:val="24"/>
          <w:szCs w:val="24"/>
        </w:rPr>
      </w:pPr>
      <w:r>
        <w:rPr>
          <w:rFonts w:ascii="宋体" w:hAnsi="宋体" w:eastAsia="宋体" w:cs="宋体"/>
          <w:spacing w:val="-13"/>
          <w:sz w:val="24"/>
          <w:szCs w:val="24"/>
        </w:rPr>
        <w:t>了核桃。</w:t>
      </w:r>
    </w:p>
    <w:p>
      <w:pPr>
        <w:spacing w:before="183" w:line="220" w:lineRule="auto"/>
        <w:ind w:left="796"/>
        <w:rPr>
          <w:rFonts w:ascii="宋体" w:hAnsi="宋体" w:eastAsia="宋体" w:cs="宋体"/>
          <w:sz w:val="24"/>
          <w:szCs w:val="24"/>
        </w:rPr>
      </w:pPr>
      <w:r>
        <w:rPr>
          <w:rFonts w:ascii="宋体" w:hAnsi="宋体" w:eastAsia="宋体" w:cs="宋体"/>
          <w:spacing w:val="-10"/>
          <w:sz w:val="24"/>
          <w:szCs w:val="24"/>
        </w:rPr>
        <w:t>Ⅱ.农作物</w:t>
      </w:r>
    </w:p>
    <w:p>
      <w:pPr>
        <w:spacing w:before="182" w:line="360" w:lineRule="auto"/>
        <w:ind w:left="275" w:right="397" w:firstLine="478"/>
        <w:rPr>
          <w:rFonts w:ascii="宋体" w:hAnsi="宋体" w:eastAsia="宋体" w:cs="宋体"/>
          <w:sz w:val="24"/>
          <w:szCs w:val="24"/>
        </w:rPr>
      </w:pPr>
      <w:r>
        <w:rPr>
          <w:rFonts w:ascii="宋体" w:hAnsi="宋体" w:eastAsia="宋体" w:cs="宋体"/>
          <w:spacing w:val="-4"/>
          <w:sz w:val="24"/>
          <w:szCs w:val="24"/>
        </w:rPr>
        <w:t>评价区是传统的农业生产区，具有大量的农田、农地。 农田及农地所在地</w:t>
      </w:r>
      <w:r>
        <w:rPr>
          <w:rFonts w:ascii="宋体" w:hAnsi="宋体" w:eastAsia="宋体" w:cs="宋体"/>
          <w:spacing w:val="3"/>
          <w:sz w:val="24"/>
          <w:szCs w:val="24"/>
        </w:rPr>
        <w:t xml:space="preserve"> </w:t>
      </w:r>
      <w:r>
        <w:rPr>
          <w:rFonts w:ascii="宋体" w:hAnsi="宋体" w:eastAsia="宋体" w:cs="宋体"/>
          <w:spacing w:val="-6"/>
          <w:sz w:val="24"/>
          <w:szCs w:val="24"/>
        </w:rPr>
        <w:t>段较为开阔平缓、土层深厚。</w:t>
      </w:r>
      <w:r>
        <w:rPr>
          <w:rFonts w:ascii="宋体" w:hAnsi="宋体" w:eastAsia="宋体" w:cs="宋体"/>
          <w:spacing w:val="45"/>
          <w:sz w:val="24"/>
          <w:szCs w:val="24"/>
        </w:rPr>
        <w:t xml:space="preserve"> </w:t>
      </w:r>
      <w:r>
        <w:rPr>
          <w:rFonts w:ascii="宋体" w:hAnsi="宋体" w:eastAsia="宋体" w:cs="宋体"/>
          <w:spacing w:val="-6"/>
          <w:sz w:val="24"/>
          <w:szCs w:val="24"/>
        </w:rPr>
        <w:t>其中农田种植水稻；农地主要种</w:t>
      </w:r>
      <w:r>
        <w:rPr>
          <w:rFonts w:ascii="宋体" w:hAnsi="宋体" w:eastAsia="宋体" w:cs="宋体"/>
          <w:spacing w:val="-7"/>
          <w:sz w:val="24"/>
          <w:szCs w:val="24"/>
        </w:rPr>
        <w:t>植烟草、玉米、</w:t>
      </w:r>
      <w:r>
        <w:rPr>
          <w:rFonts w:ascii="宋体" w:hAnsi="宋体" w:eastAsia="宋体" w:cs="宋体"/>
          <w:sz w:val="24"/>
          <w:szCs w:val="24"/>
        </w:rPr>
        <w:t xml:space="preserve"> 果蔬等，其中玉米分布面积最大，在农地边主要分</w:t>
      </w:r>
      <w:r>
        <w:rPr>
          <w:rFonts w:ascii="宋体" w:hAnsi="宋体" w:eastAsia="宋体" w:cs="宋体"/>
          <w:spacing w:val="-1"/>
          <w:sz w:val="24"/>
          <w:szCs w:val="24"/>
        </w:rPr>
        <w:t>布着一些热带地区常见的杂</w:t>
      </w:r>
    </w:p>
    <w:p>
      <w:pPr>
        <w:spacing w:line="212" w:lineRule="auto"/>
        <w:ind w:left="276"/>
        <w:rPr>
          <w:rFonts w:ascii="宋体" w:hAnsi="宋体" w:eastAsia="宋体" w:cs="宋体"/>
          <w:sz w:val="24"/>
          <w:szCs w:val="24"/>
        </w:rPr>
      </w:pPr>
      <w:r>
        <w:rPr>
          <w:rFonts w:ascii="宋体" w:hAnsi="宋体" w:eastAsia="宋体" w:cs="宋体"/>
          <w:spacing w:val="-1"/>
          <w:sz w:val="24"/>
          <w:szCs w:val="24"/>
        </w:rPr>
        <w:t>草如紫茎泽兰</w:t>
      </w:r>
      <w:r>
        <w:rPr>
          <w:rFonts w:ascii="宋体" w:hAnsi="宋体" w:eastAsia="宋体" w:cs="宋体"/>
          <w:spacing w:val="-63"/>
          <w:sz w:val="24"/>
          <w:szCs w:val="24"/>
        </w:rPr>
        <w:t xml:space="preserve"> </w:t>
      </w:r>
      <w:r>
        <w:rPr>
          <w:rFonts w:ascii="Times New Roman" w:hAnsi="Times New Roman" w:eastAsia="Times New Roman" w:cs="Times New Roman"/>
          <w:i/>
          <w:iCs/>
          <w:spacing w:val="-1"/>
          <w:sz w:val="24"/>
          <w:szCs w:val="24"/>
        </w:rPr>
        <w:t>Ageratina adenophora</w:t>
      </w:r>
      <w:r>
        <w:rPr>
          <w:rFonts w:ascii="宋体" w:hAnsi="宋体" w:eastAsia="宋体" w:cs="宋体"/>
          <w:spacing w:val="-1"/>
          <w:sz w:val="24"/>
          <w:szCs w:val="24"/>
        </w:rPr>
        <w:t>、藿香蓟</w:t>
      </w:r>
      <w:r>
        <w:rPr>
          <w:rFonts w:ascii="宋体" w:hAnsi="宋体" w:eastAsia="宋体" w:cs="宋体"/>
          <w:spacing w:val="-55"/>
          <w:sz w:val="24"/>
          <w:szCs w:val="24"/>
        </w:rPr>
        <w:t xml:space="preserve"> </w:t>
      </w:r>
      <w:r>
        <w:rPr>
          <w:rFonts w:ascii="Times New Roman" w:hAnsi="Times New Roman" w:eastAsia="Times New Roman" w:cs="Times New Roman"/>
          <w:i/>
          <w:iCs/>
          <w:spacing w:val="-1"/>
          <w:sz w:val="24"/>
          <w:szCs w:val="24"/>
        </w:rPr>
        <w:t>Ageratum conyzoides</w:t>
      </w:r>
      <w:r>
        <w:rPr>
          <w:rFonts w:ascii="宋体" w:hAnsi="宋体" w:eastAsia="宋体" w:cs="宋体"/>
          <w:spacing w:val="-1"/>
          <w:sz w:val="24"/>
          <w:szCs w:val="24"/>
        </w:rPr>
        <w:t>、蒿多种</w:t>
      </w:r>
    </w:p>
    <w:p>
      <w:pPr>
        <w:spacing w:before="192" w:line="468" w:lineRule="exact"/>
        <w:ind w:left="254"/>
        <w:rPr>
          <w:rFonts w:ascii="Times New Roman" w:hAnsi="Times New Roman" w:eastAsia="Times New Roman" w:cs="Times New Roman"/>
          <w:sz w:val="24"/>
          <w:szCs w:val="24"/>
        </w:rPr>
      </w:pPr>
      <w:r>
        <w:rPr>
          <w:rFonts w:ascii="Times New Roman" w:hAnsi="Times New Roman" w:eastAsia="Times New Roman" w:cs="Times New Roman"/>
          <w:i/>
          <w:iCs/>
          <w:position w:val="17"/>
          <w:sz w:val="24"/>
          <w:szCs w:val="24"/>
        </w:rPr>
        <w:t xml:space="preserve">Artemisia </w:t>
      </w:r>
      <w:r>
        <w:rPr>
          <w:rFonts w:ascii="Times New Roman" w:hAnsi="Times New Roman" w:eastAsia="Times New Roman" w:cs="Times New Roman"/>
          <w:position w:val="17"/>
          <w:sz w:val="24"/>
          <w:szCs w:val="24"/>
        </w:rPr>
        <w:t>spp.</w:t>
      </w:r>
      <w:r>
        <w:rPr>
          <w:rFonts w:ascii="宋体" w:hAnsi="宋体" w:eastAsia="宋体" w:cs="宋体"/>
          <w:position w:val="17"/>
          <w:sz w:val="24"/>
          <w:szCs w:val="24"/>
        </w:rPr>
        <w:t>、莎草多种</w:t>
      </w:r>
      <w:r>
        <w:rPr>
          <w:rFonts w:ascii="宋体" w:hAnsi="宋体" w:eastAsia="宋体" w:cs="宋体"/>
          <w:spacing w:val="-26"/>
          <w:position w:val="17"/>
          <w:sz w:val="24"/>
          <w:szCs w:val="24"/>
        </w:rPr>
        <w:t xml:space="preserve"> </w:t>
      </w:r>
      <w:r>
        <w:rPr>
          <w:rFonts w:ascii="Times New Roman" w:hAnsi="Times New Roman" w:eastAsia="Times New Roman" w:cs="Times New Roman"/>
          <w:i/>
          <w:iCs/>
          <w:position w:val="17"/>
          <w:sz w:val="24"/>
          <w:szCs w:val="24"/>
        </w:rPr>
        <w:t xml:space="preserve">Cyperus </w:t>
      </w:r>
      <w:r>
        <w:rPr>
          <w:rFonts w:ascii="Times New Roman" w:hAnsi="Times New Roman" w:eastAsia="Times New Roman" w:cs="Times New Roman"/>
          <w:position w:val="17"/>
          <w:sz w:val="24"/>
          <w:szCs w:val="24"/>
        </w:rPr>
        <w:t xml:space="preserve">spp.  </w:t>
      </w:r>
      <w:r>
        <w:rPr>
          <w:rFonts w:ascii="宋体" w:hAnsi="宋体" w:eastAsia="宋体" w:cs="宋体"/>
          <w:position w:val="17"/>
          <w:sz w:val="24"/>
          <w:szCs w:val="24"/>
        </w:rPr>
        <w:t>、鬼针草</w:t>
      </w:r>
      <w:r>
        <w:rPr>
          <w:rFonts w:ascii="宋体" w:hAnsi="宋体" w:eastAsia="宋体" w:cs="宋体"/>
          <w:spacing w:val="-54"/>
          <w:position w:val="17"/>
          <w:sz w:val="24"/>
          <w:szCs w:val="24"/>
        </w:rPr>
        <w:t xml:space="preserve"> </w:t>
      </w:r>
      <w:r>
        <w:rPr>
          <w:rFonts w:ascii="Times New Roman" w:hAnsi="Times New Roman" w:eastAsia="Times New Roman" w:cs="Times New Roman"/>
          <w:i/>
          <w:iCs/>
          <w:position w:val="17"/>
          <w:sz w:val="24"/>
          <w:szCs w:val="24"/>
        </w:rPr>
        <w:t>Biden</w:t>
      </w:r>
      <w:r>
        <w:rPr>
          <w:rFonts w:ascii="Times New Roman" w:hAnsi="Times New Roman" w:eastAsia="Times New Roman" w:cs="Times New Roman"/>
          <w:i/>
          <w:iCs/>
          <w:spacing w:val="-1"/>
          <w:position w:val="17"/>
          <w:sz w:val="24"/>
          <w:szCs w:val="24"/>
        </w:rPr>
        <w:t>s</w:t>
      </w:r>
      <w:r>
        <w:rPr>
          <w:rFonts w:ascii="Times New Roman" w:hAnsi="Times New Roman" w:eastAsia="Times New Roman" w:cs="Times New Roman"/>
          <w:i/>
          <w:iCs/>
          <w:spacing w:val="-26"/>
          <w:position w:val="17"/>
          <w:sz w:val="24"/>
          <w:szCs w:val="24"/>
        </w:rPr>
        <w:t xml:space="preserve"> </w:t>
      </w:r>
      <w:r>
        <w:rPr>
          <w:rFonts w:ascii="Times New Roman" w:hAnsi="Times New Roman" w:eastAsia="Times New Roman" w:cs="Times New Roman"/>
          <w:i/>
          <w:iCs/>
          <w:spacing w:val="-1"/>
          <w:position w:val="17"/>
          <w:sz w:val="24"/>
          <w:szCs w:val="24"/>
        </w:rPr>
        <w:t>pilosa</w:t>
      </w:r>
      <w:r>
        <w:rPr>
          <w:rFonts w:ascii="宋体" w:hAnsi="宋体" w:eastAsia="宋体" w:cs="宋体"/>
          <w:spacing w:val="-1"/>
          <w:position w:val="17"/>
          <w:sz w:val="24"/>
          <w:szCs w:val="24"/>
        </w:rPr>
        <w:t>、白酒草</w:t>
      </w:r>
      <w:r>
        <w:rPr>
          <w:rFonts w:ascii="宋体" w:hAnsi="宋体" w:eastAsia="宋体" w:cs="宋体"/>
          <w:spacing w:val="-44"/>
          <w:position w:val="17"/>
          <w:sz w:val="24"/>
          <w:szCs w:val="24"/>
        </w:rPr>
        <w:t xml:space="preserve"> </w:t>
      </w:r>
      <w:r>
        <w:rPr>
          <w:rFonts w:ascii="Times New Roman" w:hAnsi="Times New Roman" w:eastAsia="Times New Roman" w:cs="Times New Roman"/>
          <w:i/>
          <w:iCs/>
          <w:spacing w:val="-1"/>
          <w:position w:val="17"/>
          <w:sz w:val="24"/>
          <w:szCs w:val="24"/>
        </w:rPr>
        <w:t>Conyza</w:t>
      </w:r>
    </w:p>
    <w:p>
      <w:pPr>
        <w:spacing w:before="1" w:line="212" w:lineRule="auto"/>
        <w:ind w:left="224"/>
        <w:rPr>
          <w:rFonts w:ascii="宋体" w:hAnsi="宋体" w:eastAsia="宋体" w:cs="宋体"/>
          <w:sz w:val="24"/>
          <w:szCs w:val="24"/>
        </w:rPr>
      </w:pPr>
      <w:r>
        <w:rPr>
          <w:rFonts w:ascii="Times New Roman" w:hAnsi="Times New Roman" w:eastAsia="Times New Roman" w:cs="Times New Roman"/>
          <w:i/>
          <w:iCs/>
          <w:sz w:val="24"/>
          <w:szCs w:val="24"/>
        </w:rPr>
        <w:t>japonica</w:t>
      </w:r>
      <w:r>
        <w:rPr>
          <w:rFonts w:ascii="宋体" w:hAnsi="宋体" w:eastAsia="宋体" w:cs="宋体"/>
          <w:spacing w:val="4"/>
          <w:sz w:val="24"/>
          <w:szCs w:val="24"/>
        </w:rPr>
        <w:t>、臭灵丹</w:t>
      </w:r>
      <w:r>
        <w:rPr>
          <w:rFonts w:ascii="宋体" w:hAnsi="宋体" w:eastAsia="宋体" w:cs="宋体"/>
          <w:spacing w:val="-63"/>
          <w:sz w:val="24"/>
          <w:szCs w:val="24"/>
        </w:rPr>
        <w:t xml:space="preserve"> </w:t>
      </w:r>
      <w:r>
        <w:rPr>
          <w:rFonts w:ascii="Times New Roman" w:hAnsi="Times New Roman" w:eastAsia="Times New Roman" w:cs="Times New Roman"/>
          <w:i/>
          <w:iCs/>
          <w:sz w:val="24"/>
          <w:szCs w:val="24"/>
        </w:rPr>
        <w:t>Laggera</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i/>
          <w:iCs/>
          <w:sz w:val="24"/>
          <w:szCs w:val="24"/>
        </w:rPr>
        <w:t>alata</w:t>
      </w:r>
      <w:r>
        <w:rPr>
          <w:rFonts w:ascii="Times New Roman" w:hAnsi="Times New Roman" w:eastAsia="Times New Roman" w:cs="Times New Roman"/>
          <w:i/>
          <w:iCs/>
          <w:spacing w:val="4"/>
          <w:sz w:val="24"/>
          <w:szCs w:val="24"/>
        </w:rPr>
        <w:t xml:space="preserve"> </w:t>
      </w:r>
      <w:r>
        <w:rPr>
          <w:rFonts w:ascii="宋体" w:hAnsi="宋体" w:eastAsia="宋体" w:cs="宋体"/>
          <w:spacing w:val="4"/>
          <w:sz w:val="24"/>
          <w:szCs w:val="24"/>
        </w:rPr>
        <w:t>等。</w:t>
      </w:r>
    </w:p>
    <w:p>
      <w:pPr>
        <w:spacing w:before="192" w:line="360" w:lineRule="auto"/>
        <w:ind w:left="269" w:right="370" w:firstLine="485"/>
        <w:rPr>
          <w:rFonts w:ascii="宋体" w:hAnsi="宋体" w:eastAsia="宋体" w:cs="宋体"/>
          <w:sz w:val="24"/>
          <w:szCs w:val="24"/>
        </w:rPr>
      </w:pPr>
      <w:r>
        <w:rPr>
          <w:rFonts w:ascii="宋体" w:hAnsi="宋体" w:eastAsia="宋体" w:cs="宋体"/>
          <w:spacing w:val="-1"/>
          <w:sz w:val="24"/>
          <w:szCs w:val="24"/>
        </w:rPr>
        <w:t>农地周边也有一些零星残存或次生的阳性乔灌木树种，如清香木</w:t>
      </w:r>
      <w:r>
        <w:rPr>
          <w:rFonts w:ascii="宋体" w:hAnsi="宋体" w:eastAsia="宋体" w:cs="宋体"/>
          <w:spacing w:val="-51"/>
          <w:sz w:val="24"/>
          <w:szCs w:val="24"/>
        </w:rPr>
        <w:t xml:space="preserve"> </w:t>
      </w:r>
      <w:r>
        <w:rPr>
          <w:rFonts w:ascii="Times New Roman" w:hAnsi="Times New Roman" w:eastAsia="Times New Roman" w:cs="Times New Roman"/>
          <w:i/>
          <w:iCs/>
          <w:spacing w:val="-1"/>
          <w:sz w:val="24"/>
          <w:szCs w:val="24"/>
        </w:rPr>
        <w:t xml:space="preserve">Pistacia   </w:t>
      </w:r>
      <w:r>
        <w:rPr>
          <w:rFonts w:ascii="Times New Roman" w:hAnsi="Times New Roman" w:eastAsia="Times New Roman" w:cs="Times New Roman"/>
          <w:i/>
          <w:iCs/>
          <w:spacing w:val="-3"/>
          <w:sz w:val="24"/>
          <w:szCs w:val="24"/>
        </w:rPr>
        <w:t>weinmannifolia</w:t>
      </w:r>
      <w:r>
        <w:rPr>
          <w:rFonts w:ascii="宋体" w:hAnsi="宋体" w:eastAsia="宋体" w:cs="宋体"/>
          <w:spacing w:val="-3"/>
          <w:sz w:val="24"/>
          <w:szCs w:val="24"/>
        </w:rPr>
        <w:t>、余甘子</w:t>
      </w:r>
      <w:r>
        <w:rPr>
          <w:rFonts w:ascii="宋体" w:hAnsi="宋体" w:eastAsia="宋体" w:cs="宋体"/>
          <w:spacing w:val="-66"/>
          <w:sz w:val="24"/>
          <w:szCs w:val="24"/>
        </w:rPr>
        <w:t xml:space="preserve"> </w:t>
      </w:r>
      <w:r>
        <w:rPr>
          <w:rFonts w:ascii="Times New Roman" w:hAnsi="Times New Roman" w:eastAsia="Times New Roman" w:cs="Times New Roman"/>
          <w:i/>
          <w:iCs/>
          <w:spacing w:val="-3"/>
          <w:sz w:val="24"/>
          <w:szCs w:val="24"/>
        </w:rPr>
        <w:t>Phyllanthus emblica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、斑鸠菊</w:t>
      </w:r>
      <w:r>
        <w:rPr>
          <w:rFonts w:ascii="宋体" w:hAnsi="宋体" w:eastAsia="宋体" w:cs="宋体"/>
          <w:spacing w:val="-29"/>
          <w:sz w:val="24"/>
          <w:szCs w:val="24"/>
        </w:rPr>
        <w:t xml:space="preserve"> </w:t>
      </w:r>
      <w:r>
        <w:rPr>
          <w:rFonts w:ascii="Times New Roman" w:hAnsi="Times New Roman" w:eastAsia="Times New Roman" w:cs="Times New Roman"/>
          <w:i/>
          <w:iCs/>
          <w:spacing w:val="-3"/>
          <w:sz w:val="24"/>
          <w:szCs w:val="24"/>
        </w:rPr>
        <w:t>Vernonia esculenta</w:t>
      </w:r>
      <w:r>
        <w:rPr>
          <w:rFonts w:ascii="宋体" w:hAnsi="宋体" w:eastAsia="宋体" w:cs="宋体"/>
          <w:spacing w:val="-3"/>
          <w:sz w:val="24"/>
          <w:szCs w:val="24"/>
        </w:rPr>
        <w:t>、薄叶鼠</w:t>
      </w:r>
    </w:p>
    <w:p>
      <w:pPr>
        <w:spacing w:line="212" w:lineRule="auto"/>
        <w:ind w:left="276"/>
        <w:rPr>
          <w:rFonts w:ascii="宋体" w:hAnsi="宋体" w:eastAsia="宋体" w:cs="宋体"/>
          <w:sz w:val="24"/>
          <w:szCs w:val="24"/>
        </w:rPr>
      </w:pPr>
      <w:r>
        <w:rPr>
          <w:rFonts w:ascii="宋体" w:hAnsi="宋体" w:eastAsia="宋体" w:cs="宋体"/>
          <w:spacing w:val="2"/>
          <w:sz w:val="24"/>
          <w:szCs w:val="24"/>
        </w:rPr>
        <w:t>李</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Rhamnusleptophylla</w:t>
      </w:r>
      <w:r>
        <w:rPr>
          <w:rFonts w:ascii="宋体" w:hAnsi="宋体" w:eastAsia="宋体" w:cs="宋体"/>
          <w:spacing w:val="2"/>
          <w:sz w:val="24"/>
          <w:szCs w:val="24"/>
        </w:rPr>
        <w:t>、悬钩子多种</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Rubus</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sz w:val="24"/>
          <w:szCs w:val="24"/>
        </w:rPr>
        <w:t>spp</w:t>
      </w:r>
      <w:r>
        <w:rPr>
          <w:rFonts w:ascii="Times New Roman" w:hAnsi="Times New Roman" w:eastAsia="Times New Roman" w:cs="Times New Roman"/>
          <w:spacing w:val="2"/>
          <w:sz w:val="24"/>
          <w:szCs w:val="24"/>
        </w:rPr>
        <w:t>.</w:t>
      </w:r>
      <w:r>
        <w:rPr>
          <w:rFonts w:ascii="宋体" w:hAnsi="宋体" w:eastAsia="宋体" w:cs="宋体"/>
          <w:spacing w:val="2"/>
          <w:sz w:val="24"/>
          <w:szCs w:val="24"/>
        </w:rPr>
        <w:t>等。</w:t>
      </w:r>
    </w:p>
    <w:p>
      <w:pPr>
        <w:spacing w:before="191" w:line="220" w:lineRule="auto"/>
        <w:ind w:left="755"/>
        <w:rPr>
          <w:rFonts w:ascii="宋体" w:hAnsi="宋体" w:eastAsia="宋体" w:cs="宋体"/>
          <w:sz w:val="24"/>
          <w:szCs w:val="24"/>
        </w:rPr>
      </w:pPr>
      <w:r>
        <w:rPr>
          <w:rFonts w:ascii="宋体" w:hAnsi="宋体" w:eastAsia="宋体" w:cs="宋体"/>
          <w:sz w:val="24"/>
          <w:szCs w:val="24"/>
        </w:rPr>
        <w:t>此类农田农地植被，缺乏当地的原生物种，更没有珍稀濒危特有保护植物。</w:t>
      </w:r>
    </w:p>
    <w:p>
      <w:pPr>
        <w:spacing w:before="215" w:line="217" w:lineRule="auto"/>
        <w:ind w:left="753"/>
        <w:rPr>
          <w:rFonts w:ascii="宋体" w:hAnsi="宋体" w:eastAsia="宋体" w:cs="宋体"/>
          <w:sz w:val="24"/>
          <w:szCs w:val="24"/>
        </w:rPr>
      </w:pPr>
      <w:r>
        <w:rPr>
          <w:rFonts w:ascii="宋体" w:hAnsi="宋体" w:eastAsia="宋体" w:cs="宋体"/>
          <w:spacing w:val="-2"/>
          <w:sz w:val="24"/>
          <w:szCs w:val="24"/>
        </w:rPr>
        <w:t>⑤维管植物调查</w:t>
      </w:r>
    </w:p>
    <w:p>
      <w:pPr>
        <w:spacing w:before="159" w:line="338" w:lineRule="auto"/>
        <w:ind w:left="274" w:right="250" w:firstLine="479"/>
        <w:rPr>
          <w:rFonts w:ascii="Times New Roman" w:hAnsi="Times New Roman" w:eastAsia="Times New Roman" w:cs="Times New Roman"/>
          <w:sz w:val="24"/>
          <w:szCs w:val="24"/>
        </w:rPr>
      </w:pPr>
      <w:r>
        <w:rPr>
          <w:rFonts w:ascii="宋体" w:hAnsi="宋体" w:eastAsia="宋体" w:cs="宋体"/>
          <w:spacing w:val="-3"/>
          <w:sz w:val="24"/>
          <w:szCs w:val="24"/>
        </w:rPr>
        <w:t xml:space="preserve">评价区及附近地区共记录维管植物有 </w:t>
      </w:r>
      <w:r>
        <w:rPr>
          <w:rFonts w:ascii="Times New Roman" w:hAnsi="Times New Roman" w:eastAsia="Times New Roman" w:cs="Times New Roman"/>
          <w:spacing w:val="-3"/>
          <w:sz w:val="24"/>
          <w:szCs w:val="24"/>
        </w:rPr>
        <w:t>132</w:t>
      </w:r>
      <w:r>
        <w:rPr>
          <w:rFonts w:ascii="Times New Roman" w:hAnsi="Times New Roman" w:eastAsia="Times New Roman" w:cs="Times New Roman"/>
          <w:spacing w:val="27"/>
          <w:w w:val="101"/>
          <w:sz w:val="24"/>
          <w:szCs w:val="24"/>
        </w:rPr>
        <w:t xml:space="preserve"> </w:t>
      </w:r>
      <w:r>
        <w:rPr>
          <w:rFonts w:ascii="宋体" w:hAnsi="宋体" w:eastAsia="宋体" w:cs="宋体"/>
          <w:spacing w:val="-3"/>
          <w:sz w:val="24"/>
          <w:szCs w:val="24"/>
        </w:rPr>
        <w:t>科</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358</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属</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499</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种。蕨类植物共</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20</w:t>
      </w:r>
      <w:r>
        <w:rPr>
          <w:rFonts w:ascii="Times New Roman" w:hAnsi="Times New Roman" w:eastAsia="Times New Roman" w:cs="Times New Roman"/>
          <w:sz w:val="24"/>
          <w:szCs w:val="24"/>
        </w:rPr>
        <w:t xml:space="preserve"> </w:t>
      </w:r>
      <w:r>
        <w:rPr>
          <w:rFonts w:ascii="宋体" w:hAnsi="宋体" w:eastAsia="宋体" w:cs="宋体"/>
          <w:spacing w:val="-5"/>
          <w:sz w:val="24"/>
          <w:szCs w:val="24"/>
        </w:rPr>
        <w:t>科</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23</w:t>
      </w:r>
      <w:r>
        <w:rPr>
          <w:rFonts w:ascii="Times New Roman" w:hAnsi="Times New Roman" w:eastAsia="Times New Roman" w:cs="Times New Roman"/>
          <w:spacing w:val="26"/>
          <w:sz w:val="24"/>
          <w:szCs w:val="24"/>
        </w:rPr>
        <w:t xml:space="preserve"> </w:t>
      </w:r>
      <w:r>
        <w:rPr>
          <w:rFonts w:ascii="宋体" w:hAnsi="宋体" w:eastAsia="宋体" w:cs="宋体"/>
          <w:spacing w:val="-5"/>
          <w:sz w:val="24"/>
          <w:szCs w:val="24"/>
        </w:rPr>
        <w:t>属</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40</w:t>
      </w:r>
      <w:r>
        <w:rPr>
          <w:rFonts w:ascii="Times New Roman" w:hAnsi="Times New Roman" w:eastAsia="Times New Roman" w:cs="Times New Roman"/>
          <w:spacing w:val="24"/>
          <w:sz w:val="24"/>
          <w:szCs w:val="24"/>
        </w:rPr>
        <w:t xml:space="preserve"> </w:t>
      </w:r>
      <w:r>
        <w:rPr>
          <w:rFonts w:ascii="宋体" w:hAnsi="宋体" w:eastAsia="宋体" w:cs="宋体"/>
          <w:spacing w:val="-5"/>
          <w:sz w:val="24"/>
          <w:szCs w:val="24"/>
        </w:rPr>
        <w:t xml:space="preserve">种、种子植物共 </w:t>
      </w:r>
      <w:r>
        <w:rPr>
          <w:rFonts w:ascii="Times New Roman" w:hAnsi="Times New Roman" w:eastAsia="Times New Roman" w:cs="Times New Roman"/>
          <w:spacing w:val="-5"/>
          <w:sz w:val="24"/>
          <w:szCs w:val="24"/>
        </w:rPr>
        <w:t>112</w:t>
      </w:r>
      <w:r>
        <w:rPr>
          <w:rFonts w:ascii="Times New Roman" w:hAnsi="Times New Roman" w:eastAsia="Times New Roman" w:cs="Times New Roman"/>
          <w:spacing w:val="23"/>
          <w:sz w:val="24"/>
          <w:szCs w:val="24"/>
        </w:rPr>
        <w:t xml:space="preserve"> </w:t>
      </w:r>
      <w:r>
        <w:rPr>
          <w:rFonts w:ascii="宋体" w:hAnsi="宋体" w:eastAsia="宋体" w:cs="宋体"/>
          <w:spacing w:val="-5"/>
          <w:sz w:val="24"/>
          <w:szCs w:val="24"/>
        </w:rPr>
        <w:t>科</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335</w:t>
      </w:r>
      <w:r>
        <w:rPr>
          <w:rFonts w:ascii="Times New Roman" w:hAnsi="Times New Roman" w:eastAsia="Times New Roman" w:cs="Times New Roman"/>
          <w:spacing w:val="26"/>
          <w:sz w:val="24"/>
          <w:szCs w:val="24"/>
        </w:rPr>
        <w:t xml:space="preserve"> </w:t>
      </w:r>
      <w:r>
        <w:rPr>
          <w:rFonts w:ascii="宋体" w:hAnsi="宋体" w:eastAsia="宋体" w:cs="宋体"/>
          <w:spacing w:val="-5"/>
          <w:sz w:val="24"/>
          <w:szCs w:val="24"/>
        </w:rPr>
        <w:t>属</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459</w:t>
      </w:r>
      <w:r>
        <w:rPr>
          <w:rFonts w:ascii="Times New Roman" w:hAnsi="Times New Roman" w:eastAsia="Times New Roman" w:cs="Times New Roman"/>
          <w:spacing w:val="24"/>
          <w:sz w:val="24"/>
          <w:szCs w:val="24"/>
        </w:rPr>
        <w:t xml:space="preserve"> </w:t>
      </w:r>
      <w:r>
        <w:rPr>
          <w:rFonts w:ascii="宋体" w:hAnsi="宋体" w:eastAsia="宋体" w:cs="宋体"/>
          <w:spacing w:val="-5"/>
          <w:sz w:val="24"/>
          <w:szCs w:val="24"/>
        </w:rPr>
        <w:t>种。其中，裸子植</w:t>
      </w:r>
      <w:r>
        <w:rPr>
          <w:rFonts w:ascii="宋体" w:hAnsi="宋体" w:eastAsia="宋体" w:cs="宋体"/>
          <w:spacing w:val="-6"/>
          <w:sz w:val="24"/>
          <w:szCs w:val="24"/>
        </w:rPr>
        <w:t>物</w:t>
      </w:r>
      <w:r>
        <w:rPr>
          <w:rFonts w:ascii="宋体" w:hAnsi="宋体" w:eastAsia="宋体" w:cs="宋体"/>
          <w:spacing w:val="-23"/>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23"/>
          <w:w w:val="101"/>
          <w:sz w:val="24"/>
          <w:szCs w:val="24"/>
        </w:rPr>
        <w:t xml:space="preserve"> </w:t>
      </w:r>
      <w:r>
        <w:rPr>
          <w:rFonts w:ascii="宋体" w:hAnsi="宋体" w:eastAsia="宋体" w:cs="宋体"/>
          <w:spacing w:val="-6"/>
          <w:sz w:val="24"/>
          <w:szCs w:val="24"/>
        </w:rPr>
        <w:t>科</w:t>
      </w:r>
      <w:r>
        <w:rPr>
          <w:rFonts w:ascii="宋体" w:hAnsi="宋体" w:eastAsia="宋体" w:cs="宋体"/>
          <w:spacing w:val="-34"/>
          <w:sz w:val="24"/>
          <w:szCs w:val="24"/>
        </w:rPr>
        <w:t xml:space="preserve">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25"/>
          <w:w w:val="101"/>
          <w:sz w:val="24"/>
          <w:szCs w:val="24"/>
        </w:rPr>
        <w:t xml:space="preserve"> </w:t>
      </w:r>
      <w:r>
        <w:rPr>
          <w:rFonts w:ascii="宋体" w:hAnsi="宋体" w:eastAsia="宋体" w:cs="宋体"/>
          <w:spacing w:val="-6"/>
          <w:sz w:val="24"/>
          <w:szCs w:val="24"/>
        </w:rPr>
        <w:t>属</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7</w:t>
      </w:r>
    </w:p>
    <w:p>
      <w:pPr>
        <w:spacing w:before="1" w:line="218" w:lineRule="auto"/>
        <w:ind w:left="274"/>
        <w:rPr>
          <w:rFonts w:ascii="宋体" w:hAnsi="宋体" w:eastAsia="宋体" w:cs="宋体"/>
          <w:sz w:val="24"/>
          <w:szCs w:val="24"/>
        </w:rPr>
      </w:pPr>
      <w:r>
        <w:rPr>
          <w:rFonts w:ascii="宋体" w:hAnsi="宋体" w:eastAsia="宋体" w:cs="宋体"/>
          <w:spacing w:val="-3"/>
          <w:sz w:val="24"/>
          <w:szCs w:val="24"/>
        </w:rPr>
        <w:t>种；被子植物</w:t>
      </w:r>
      <w:r>
        <w:rPr>
          <w:rFonts w:ascii="宋体" w:hAnsi="宋体" w:eastAsia="宋体" w:cs="宋体"/>
          <w:spacing w:val="-20"/>
          <w:sz w:val="24"/>
          <w:szCs w:val="24"/>
        </w:rPr>
        <w:t xml:space="preserve"> </w:t>
      </w:r>
      <w:r>
        <w:rPr>
          <w:rFonts w:ascii="Times New Roman" w:hAnsi="Times New Roman" w:eastAsia="Times New Roman" w:cs="Times New Roman"/>
          <w:spacing w:val="-3"/>
          <w:sz w:val="24"/>
          <w:szCs w:val="24"/>
        </w:rPr>
        <w:t xml:space="preserve">109 </w:t>
      </w:r>
      <w:r>
        <w:rPr>
          <w:rFonts w:ascii="宋体" w:hAnsi="宋体" w:eastAsia="宋体" w:cs="宋体"/>
          <w:spacing w:val="-3"/>
          <w:sz w:val="24"/>
          <w:szCs w:val="24"/>
        </w:rPr>
        <w:t>科</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330</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属</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452 </w:t>
      </w:r>
      <w:r>
        <w:rPr>
          <w:rFonts w:ascii="宋体" w:hAnsi="宋体" w:eastAsia="宋体" w:cs="宋体"/>
          <w:spacing w:val="-3"/>
          <w:sz w:val="24"/>
          <w:szCs w:val="24"/>
        </w:rPr>
        <w:t>种，包含单子叶植物</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 xml:space="preserve">17 </w:t>
      </w:r>
      <w:r>
        <w:rPr>
          <w:rFonts w:ascii="宋体" w:hAnsi="宋体" w:eastAsia="宋体" w:cs="宋体"/>
          <w:spacing w:val="-3"/>
          <w:sz w:val="24"/>
          <w:szCs w:val="24"/>
        </w:rPr>
        <w:t>科</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64</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属</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82 </w:t>
      </w:r>
      <w:r>
        <w:rPr>
          <w:rFonts w:ascii="宋体" w:hAnsi="宋体" w:eastAsia="宋体" w:cs="宋体"/>
          <w:spacing w:val="-3"/>
          <w:sz w:val="24"/>
          <w:szCs w:val="24"/>
        </w:rPr>
        <w:t>种、双子叶</w:t>
      </w:r>
    </w:p>
    <w:p>
      <w:pPr>
        <w:spacing w:line="218" w:lineRule="auto"/>
        <w:rPr>
          <w:rFonts w:ascii="宋体" w:hAnsi="宋体" w:eastAsia="宋体" w:cs="宋体"/>
          <w:sz w:val="24"/>
          <w:szCs w:val="24"/>
        </w:rPr>
        <w:sectPr>
          <w:headerReference r:id="rId284" w:type="default"/>
          <w:footerReference r:id="rId285" w:type="default"/>
          <w:pgSz w:w="11907" w:h="16839"/>
          <w:pgMar w:top="1156" w:right="1548" w:bottom="1374" w:left="1534" w:header="881" w:footer="1210" w:gutter="0"/>
        </w:sectPr>
      </w:pPr>
    </w:p>
    <w:p>
      <w:pPr>
        <w:spacing w:line="349" w:lineRule="auto"/>
        <w:rPr>
          <w:rFonts w:ascii="Arial"/>
          <w:sz w:val="21"/>
        </w:rPr>
      </w:pPr>
    </w:p>
    <w:p>
      <w:pPr>
        <w:spacing w:before="78" w:line="439" w:lineRule="exact"/>
        <w:ind w:left="40"/>
        <w:rPr>
          <w:rFonts w:ascii="宋体" w:hAnsi="宋体" w:eastAsia="宋体" w:cs="宋体"/>
          <w:sz w:val="24"/>
          <w:szCs w:val="24"/>
        </w:rPr>
      </w:pPr>
      <w:r>
        <w:rPr>
          <w:rFonts w:ascii="宋体" w:hAnsi="宋体" w:eastAsia="宋体" w:cs="宋体"/>
          <w:spacing w:val="-2"/>
          <w:position w:val="15"/>
          <w:sz w:val="24"/>
          <w:szCs w:val="24"/>
        </w:rPr>
        <w:t>植物</w:t>
      </w:r>
      <w:r>
        <w:rPr>
          <w:rFonts w:ascii="宋体" w:hAnsi="宋体" w:eastAsia="宋体" w:cs="宋体"/>
          <w:spacing w:val="-48"/>
          <w:position w:val="15"/>
          <w:sz w:val="24"/>
          <w:szCs w:val="24"/>
        </w:rPr>
        <w:t xml:space="preserve"> </w:t>
      </w:r>
      <w:r>
        <w:rPr>
          <w:rFonts w:ascii="Times New Roman" w:hAnsi="Times New Roman" w:eastAsia="Times New Roman" w:cs="Times New Roman"/>
          <w:spacing w:val="-2"/>
          <w:position w:val="15"/>
          <w:sz w:val="24"/>
          <w:szCs w:val="24"/>
        </w:rPr>
        <w:t xml:space="preserve">92 </w:t>
      </w:r>
      <w:r>
        <w:rPr>
          <w:rFonts w:ascii="宋体" w:hAnsi="宋体" w:eastAsia="宋体" w:cs="宋体"/>
          <w:spacing w:val="-2"/>
          <w:position w:val="15"/>
          <w:sz w:val="24"/>
          <w:szCs w:val="24"/>
        </w:rPr>
        <w:t>科</w:t>
      </w:r>
      <w:r>
        <w:rPr>
          <w:rFonts w:ascii="宋体" w:hAnsi="宋体" w:eastAsia="宋体" w:cs="宋体"/>
          <w:spacing w:val="-54"/>
          <w:position w:val="15"/>
          <w:sz w:val="24"/>
          <w:szCs w:val="24"/>
        </w:rPr>
        <w:t xml:space="preserve"> </w:t>
      </w:r>
      <w:r>
        <w:rPr>
          <w:rFonts w:ascii="Times New Roman" w:hAnsi="Times New Roman" w:eastAsia="Times New Roman" w:cs="Times New Roman"/>
          <w:spacing w:val="-2"/>
          <w:position w:val="15"/>
          <w:sz w:val="24"/>
          <w:szCs w:val="24"/>
        </w:rPr>
        <w:t xml:space="preserve">266 </w:t>
      </w:r>
      <w:r>
        <w:rPr>
          <w:rFonts w:ascii="宋体" w:hAnsi="宋体" w:eastAsia="宋体" w:cs="宋体"/>
          <w:spacing w:val="-2"/>
          <w:position w:val="15"/>
          <w:sz w:val="24"/>
          <w:szCs w:val="24"/>
        </w:rPr>
        <w:t>属</w:t>
      </w:r>
      <w:r>
        <w:rPr>
          <w:rFonts w:ascii="宋体" w:hAnsi="宋体" w:eastAsia="宋体" w:cs="宋体"/>
          <w:spacing w:val="-48"/>
          <w:position w:val="15"/>
          <w:sz w:val="24"/>
          <w:szCs w:val="24"/>
        </w:rPr>
        <w:t xml:space="preserve"> </w:t>
      </w:r>
      <w:r>
        <w:rPr>
          <w:rFonts w:ascii="Times New Roman" w:hAnsi="Times New Roman" w:eastAsia="Times New Roman" w:cs="Times New Roman"/>
          <w:spacing w:val="-2"/>
          <w:position w:val="15"/>
          <w:sz w:val="24"/>
          <w:szCs w:val="24"/>
        </w:rPr>
        <w:t xml:space="preserve">370 </w:t>
      </w:r>
      <w:r>
        <w:rPr>
          <w:rFonts w:ascii="宋体" w:hAnsi="宋体" w:eastAsia="宋体" w:cs="宋体"/>
          <w:spacing w:val="-2"/>
          <w:position w:val="15"/>
          <w:sz w:val="24"/>
          <w:szCs w:val="24"/>
        </w:rPr>
        <w:t>种。其中</w:t>
      </w:r>
      <w:r>
        <w:rPr>
          <w:rFonts w:ascii="宋体" w:hAnsi="宋体" w:eastAsia="宋体" w:cs="宋体"/>
          <w:spacing w:val="-3"/>
          <w:position w:val="15"/>
          <w:sz w:val="24"/>
          <w:szCs w:val="24"/>
        </w:rPr>
        <w:t xml:space="preserve">，自然分布的植物分属 </w:t>
      </w:r>
      <w:r>
        <w:rPr>
          <w:rFonts w:ascii="Times New Roman" w:hAnsi="Times New Roman" w:eastAsia="Times New Roman" w:cs="Times New Roman"/>
          <w:spacing w:val="-3"/>
          <w:position w:val="15"/>
          <w:sz w:val="24"/>
          <w:szCs w:val="24"/>
        </w:rPr>
        <w:t xml:space="preserve">122 </w:t>
      </w:r>
      <w:r>
        <w:rPr>
          <w:rFonts w:ascii="宋体" w:hAnsi="宋体" w:eastAsia="宋体" w:cs="宋体"/>
          <w:spacing w:val="-3"/>
          <w:position w:val="15"/>
          <w:sz w:val="24"/>
          <w:szCs w:val="24"/>
        </w:rPr>
        <w:t>科</w:t>
      </w:r>
      <w:r>
        <w:rPr>
          <w:rFonts w:ascii="宋体" w:hAnsi="宋体" w:eastAsia="宋体" w:cs="宋体"/>
          <w:spacing w:val="-47"/>
          <w:position w:val="15"/>
          <w:sz w:val="24"/>
          <w:szCs w:val="24"/>
        </w:rPr>
        <w:t xml:space="preserve"> </w:t>
      </w:r>
      <w:r>
        <w:rPr>
          <w:rFonts w:ascii="Times New Roman" w:hAnsi="Times New Roman" w:eastAsia="Times New Roman" w:cs="Times New Roman"/>
          <w:spacing w:val="-3"/>
          <w:position w:val="15"/>
          <w:sz w:val="24"/>
          <w:szCs w:val="24"/>
        </w:rPr>
        <w:t>301</w:t>
      </w:r>
      <w:r>
        <w:rPr>
          <w:rFonts w:ascii="Times New Roman" w:hAnsi="Times New Roman" w:eastAsia="Times New Roman" w:cs="Times New Roman"/>
          <w:spacing w:val="12"/>
          <w:position w:val="15"/>
          <w:sz w:val="24"/>
          <w:szCs w:val="24"/>
        </w:rPr>
        <w:t xml:space="preserve"> </w:t>
      </w:r>
      <w:r>
        <w:rPr>
          <w:rFonts w:ascii="宋体" w:hAnsi="宋体" w:eastAsia="宋体" w:cs="宋体"/>
          <w:spacing w:val="-3"/>
          <w:position w:val="15"/>
          <w:sz w:val="24"/>
          <w:szCs w:val="24"/>
        </w:rPr>
        <w:t>属</w:t>
      </w:r>
      <w:r>
        <w:rPr>
          <w:rFonts w:ascii="宋体" w:hAnsi="宋体" w:eastAsia="宋体" w:cs="宋体"/>
          <w:spacing w:val="-53"/>
          <w:position w:val="15"/>
          <w:sz w:val="24"/>
          <w:szCs w:val="24"/>
        </w:rPr>
        <w:t xml:space="preserve"> </w:t>
      </w:r>
      <w:r>
        <w:rPr>
          <w:rFonts w:ascii="Times New Roman" w:hAnsi="Times New Roman" w:eastAsia="Times New Roman" w:cs="Times New Roman"/>
          <w:spacing w:val="-3"/>
          <w:position w:val="15"/>
          <w:sz w:val="24"/>
          <w:szCs w:val="24"/>
        </w:rPr>
        <w:t>417</w:t>
      </w:r>
      <w:r>
        <w:rPr>
          <w:rFonts w:ascii="Times New Roman" w:hAnsi="Times New Roman" w:eastAsia="Times New Roman" w:cs="Times New Roman"/>
          <w:spacing w:val="11"/>
          <w:position w:val="15"/>
          <w:sz w:val="24"/>
          <w:szCs w:val="24"/>
        </w:rPr>
        <w:t xml:space="preserve"> </w:t>
      </w:r>
      <w:r>
        <w:rPr>
          <w:rFonts w:ascii="宋体" w:hAnsi="宋体" w:eastAsia="宋体" w:cs="宋体"/>
          <w:spacing w:val="-3"/>
          <w:position w:val="15"/>
          <w:sz w:val="24"/>
          <w:szCs w:val="24"/>
        </w:rPr>
        <w:t>种，占</w:t>
      </w:r>
    </w:p>
    <w:p>
      <w:pPr>
        <w:spacing w:before="1" w:line="218" w:lineRule="auto"/>
        <w:ind w:left="42"/>
        <w:rPr>
          <w:rFonts w:ascii="宋体" w:hAnsi="宋体" w:eastAsia="宋体" w:cs="宋体"/>
          <w:sz w:val="24"/>
          <w:szCs w:val="24"/>
        </w:rPr>
      </w:pPr>
      <w:r>
        <w:rPr>
          <w:rFonts w:ascii="宋体" w:hAnsi="宋体" w:eastAsia="宋体" w:cs="宋体"/>
          <w:spacing w:val="-6"/>
          <w:sz w:val="24"/>
          <w:szCs w:val="24"/>
        </w:rPr>
        <w:t>总种数的</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83.56%</w:t>
      </w:r>
      <w:r>
        <w:rPr>
          <w:rFonts w:ascii="宋体" w:hAnsi="宋体" w:eastAsia="宋体" w:cs="宋体"/>
          <w:spacing w:val="-6"/>
          <w:sz w:val="24"/>
          <w:szCs w:val="24"/>
        </w:rPr>
        <w:t>；人工栽培的植物分属</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 xml:space="preserve">40 </w:t>
      </w:r>
      <w:r>
        <w:rPr>
          <w:rFonts w:ascii="宋体" w:hAnsi="宋体" w:eastAsia="宋体" w:cs="宋体"/>
          <w:spacing w:val="-6"/>
          <w:sz w:val="24"/>
          <w:szCs w:val="24"/>
        </w:rPr>
        <w:t>科</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 xml:space="preserve">69 </w:t>
      </w:r>
      <w:r>
        <w:rPr>
          <w:rFonts w:ascii="宋体" w:hAnsi="宋体" w:eastAsia="宋体" w:cs="宋体"/>
          <w:spacing w:val="-6"/>
          <w:sz w:val="24"/>
          <w:szCs w:val="24"/>
        </w:rPr>
        <w:t>属</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 xml:space="preserve">82 </w:t>
      </w:r>
      <w:r>
        <w:rPr>
          <w:rFonts w:ascii="宋体" w:hAnsi="宋体" w:eastAsia="宋体" w:cs="宋体"/>
          <w:spacing w:val="-6"/>
          <w:sz w:val="24"/>
          <w:szCs w:val="24"/>
        </w:rPr>
        <w:t>种，</w:t>
      </w:r>
      <w:r>
        <w:rPr>
          <w:rFonts w:ascii="宋体" w:hAnsi="宋体" w:eastAsia="宋体" w:cs="宋体"/>
          <w:spacing w:val="-57"/>
          <w:sz w:val="24"/>
          <w:szCs w:val="24"/>
        </w:rPr>
        <w:t xml:space="preserve"> </w:t>
      </w:r>
      <w:r>
        <w:rPr>
          <w:rFonts w:ascii="宋体" w:hAnsi="宋体" w:eastAsia="宋体" w:cs="宋体"/>
          <w:spacing w:val="-7"/>
          <w:sz w:val="24"/>
          <w:szCs w:val="24"/>
        </w:rPr>
        <w:t>占总种数的</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16.43%</w:t>
      </w:r>
      <w:r>
        <w:rPr>
          <w:rFonts w:ascii="宋体" w:hAnsi="宋体" w:eastAsia="宋体" w:cs="宋体"/>
          <w:spacing w:val="-7"/>
          <w:sz w:val="24"/>
          <w:szCs w:val="24"/>
        </w:rPr>
        <w:t>，</w:t>
      </w:r>
    </w:p>
    <w:p>
      <w:pPr>
        <w:spacing w:before="155" w:line="220" w:lineRule="auto"/>
        <w:jc w:val="right"/>
        <w:rPr>
          <w:rFonts w:ascii="宋体" w:hAnsi="宋体" w:eastAsia="宋体" w:cs="宋体"/>
          <w:sz w:val="24"/>
          <w:szCs w:val="24"/>
        </w:rPr>
      </w:pPr>
      <w:r>
        <w:rPr>
          <w:rFonts w:ascii="宋体" w:hAnsi="宋体" w:eastAsia="宋体" w:cs="宋体"/>
          <w:spacing w:val="-6"/>
          <w:sz w:val="24"/>
          <w:szCs w:val="24"/>
        </w:rPr>
        <w:t>可见当地的人类活动历史悠长，</w:t>
      </w:r>
      <w:r>
        <w:rPr>
          <w:rFonts w:ascii="宋体" w:hAnsi="宋体" w:eastAsia="宋体" w:cs="宋体"/>
          <w:spacing w:val="-31"/>
          <w:sz w:val="24"/>
          <w:szCs w:val="24"/>
        </w:rPr>
        <w:t xml:space="preserve"> </w:t>
      </w:r>
      <w:r>
        <w:rPr>
          <w:rFonts w:ascii="宋体" w:hAnsi="宋体" w:eastAsia="宋体" w:cs="宋体"/>
          <w:spacing w:val="-6"/>
          <w:sz w:val="24"/>
          <w:szCs w:val="24"/>
        </w:rPr>
        <w:t>栽培植物在当地生物</w:t>
      </w:r>
      <w:r>
        <w:rPr>
          <w:rFonts w:ascii="宋体" w:hAnsi="宋体" w:eastAsia="宋体" w:cs="宋体"/>
          <w:spacing w:val="-7"/>
          <w:sz w:val="24"/>
          <w:szCs w:val="24"/>
        </w:rPr>
        <w:t>多样性中占了比较多的比重。</w:t>
      </w:r>
    </w:p>
    <w:p>
      <w:pPr>
        <w:spacing w:before="181" w:line="218" w:lineRule="auto"/>
        <w:ind w:left="2733"/>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0"/>
          <w:sz w:val="21"/>
          <w:szCs w:val="21"/>
        </w:rPr>
        <w:t xml:space="preserve"> </w:t>
      </w:r>
      <w:r>
        <w:rPr>
          <w:rFonts w:ascii="Times New Roman" w:hAnsi="Times New Roman" w:eastAsia="Times New Roman" w:cs="Times New Roman"/>
          <w:b/>
          <w:bCs/>
          <w:spacing w:val="-1"/>
          <w:sz w:val="21"/>
          <w:szCs w:val="21"/>
        </w:rPr>
        <w:t xml:space="preserve">3.2-24    </w:t>
      </w:r>
      <w:r>
        <w:rPr>
          <w:rFonts w:ascii="宋体" w:hAnsi="宋体" w:eastAsia="宋体" w:cs="宋体"/>
          <w:spacing w:val="-1"/>
          <w:sz w:val="21"/>
          <w:szCs w:val="21"/>
          <w14:textOutline w14:w="3810" w14:cap="flat" w14:cmpd="sng">
            <w14:solidFill>
              <w14:srgbClr w14:val="000000"/>
            </w14:solidFill>
            <w14:prstDash w14:val="solid"/>
            <w14:miter w14:val="0"/>
          </w14:textOutline>
        </w:rPr>
        <w:t>评价区维管植物组成情况</w:t>
      </w:r>
    </w:p>
    <w:p>
      <w:pPr>
        <w:spacing w:line="19" w:lineRule="exact"/>
      </w:pPr>
    </w:p>
    <w:tbl>
      <w:tblPr>
        <w:tblStyle w:val="5"/>
        <w:tblW w:w="813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9"/>
        <w:gridCol w:w="1625"/>
        <w:gridCol w:w="1623"/>
        <w:gridCol w:w="1624"/>
        <w:gridCol w:w="16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3264" w:type="dxa"/>
            <w:gridSpan w:val="2"/>
            <w:vMerge w:val="restart"/>
            <w:tcBorders>
              <w:top w:val="single" w:color="000000" w:sz="12" w:space="0"/>
              <w:left w:val="nil"/>
              <w:bottom w:val="nil"/>
            </w:tcBorders>
            <w:vAlign w:val="top"/>
          </w:tcPr>
          <w:p>
            <w:pPr>
              <w:spacing w:before="197" w:line="217" w:lineRule="auto"/>
              <w:ind w:left="1231"/>
              <w:rPr>
                <w:rFonts w:ascii="仿宋" w:hAnsi="仿宋" w:eastAsia="仿宋" w:cs="仿宋"/>
                <w:sz w:val="21"/>
                <w:szCs w:val="21"/>
              </w:rPr>
            </w:pPr>
            <w:r>
              <w:rPr>
                <w:rFonts w:ascii="仿宋" w:hAnsi="仿宋" w:eastAsia="仿宋" w:cs="仿宋"/>
                <w:spacing w:val="-3"/>
                <w:sz w:val="21"/>
                <w:szCs w:val="21"/>
              </w:rPr>
              <w:t>植物类群</w:t>
            </w:r>
          </w:p>
        </w:tc>
        <w:tc>
          <w:tcPr>
            <w:tcW w:w="4872" w:type="dxa"/>
            <w:gridSpan w:val="3"/>
            <w:tcBorders>
              <w:top w:val="single" w:color="000000" w:sz="12" w:space="0"/>
              <w:right w:val="nil"/>
            </w:tcBorders>
            <w:vAlign w:val="top"/>
          </w:tcPr>
          <w:p>
            <w:pPr>
              <w:spacing w:before="52" w:line="218" w:lineRule="auto"/>
              <w:ind w:left="2031"/>
              <w:rPr>
                <w:rFonts w:ascii="仿宋" w:hAnsi="仿宋" w:eastAsia="仿宋" w:cs="仿宋"/>
                <w:sz w:val="21"/>
                <w:szCs w:val="21"/>
              </w:rPr>
            </w:pPr>
            <w:r>
              <w:rPr>
                <w:rFonts w:ascii="仿宋" w:hAnsi="仿宋" w:eastAsia="仿宋" w:cs="仿宋"/>
                <w:spacing w:val="-4"/>
                <w:sz w:val="21"/>
                <w:szCs w:val="21"/>
              </w:rPr>
              <w:t>统计项目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1" w:hRule="atLeast"/>
        </w:trPr>
        <w:tc>
          <w:tcPr>
            <w:tcW w:w="3264" w:type="dxa"/>
            <w:gridSpan w:val="2"/>
            <w:vMerge w:val="continue"/>
            <w:tcBorders>
              <w:top w:val="nil"/>
              <w:left w:val="nil"/>
            </w:tcBorders>
            <w:vAlign w:val="top"/>
          </w:tcPr>
          <w:p>
            <w:pPr>
              <w:rPr>
                <w:rFonts w:ascii="Arial"/>
                <w:sz w:val="21"/>
              </w:rPr>
            </w:pPr>
          </w:p>
        </w:tc>
        <w:tc>
          <w:tcPr>
            <w:tcW w:w="1623" w:type="dxa"/>
            <w:vAlign w:val="top"/>
          </w:tcPr>
          <w:p>
            <w:pPr>
              <w:spacing w:before="40" w:line="203" w:lineRule="auto"/>
              <w:ind w:left="719"/>
              <w:rPr>
                <w:rFonts w:ascii="仿宋" w:hAnsi="仿宋" w:eastAsia="仿宋" w:cs="仿宋"/>
                <w:sz w:val="21"/>
                <w:szCs w:val="21"/>
              </w:rPr>
            </w:pPr>
            <w:r>
              <w:rPr>
                <w:rFonts w:ascii="仿宋" w:hAnsi="仿宋" w:eastAsia="仿宋" w:cs="仿宋"/>
                <w:sz w:val="21"/>
                <w:szCs w:val="21"/>
              </w:rPr>
              <w:t>科</w:t>
            </w:r>
          </w:p>
        </w:tc>
        <w:tc>
          <w:tcPr>
            <w:tcW w:w="1624" w:type="dxa"/>
            <w:vAlign w:val="top"/>
          </w:tcPr>
          <w:p>
            <w:pPr>
              <w:spacing w:before="40" w:line="203" w:lineRule="auto"/>
              <w:ind w:left="719"/>
              <w:rPr>
                <w:rFonts w:ascii="仿宋" w:hAnsi="仿宋" w:eastAsia="仿宋" w:cs="仿宋"/>
                <w:sz w:val="21"/>
                <w:szCs w:val="21"/>
              </w:rPr>
            </w:pPr>
            <w:r>
              <w:rPr>
                <w:rFonts w:ascii="仿宋" w:hAnsi="仿宋" w:eastAsia="仿宋" w:cs="仿宋"/>
                <w:sz w:val="21"/>
                <w:szCs w:val="21"/>
              </w:rPr>
              <w:t>属</w:t>
            </w:r>
          </w:p>
        </w:tc>
        <w:tc>
          <w:tcPr>
            <w:tcW w:w="1625" w:type="dxa"/>
            <w:tcBorders>
              <w:right w:val="nil"/>
            </w:tcBorders>
            <w:vAlign w:val="top"/>
          </w:tcPr>
          <w:p>
            <w:pPr>
              <w:spacing w:before="40" w:line="203" w:lineRule="auto"/>
              <w:ind w:left="720"/>
              <w:rPr>
                <w:rFonts w:ascii="仿宋" w:hAnsi="仿宋" w:eastAsia="仿宋" w:cs="仿宋"/>
                <w:sz w:val="21"/>
                <w:szCs w:val="21"/>
              </w:rPr>
            </w:pPr>
            <w:r>
              <w:rPr>
                <w:rFonts w:ascii="仿宋" w:hAnsi="仿宋" w:eastAsia="仿宋" w:cs="仿宋"/>
                <w:sz w:val="21"/>
                <w:szCs w:val="21"/>
              </w:rPr>
              <w:t>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3264" w:type="dxa"/>
            <w:gridSpan w:val="2"/>
            <w:tcBorders>
              <w:left w:val="nil"/>
            </w:tcBorders>
            <w:vAlign w:val="top"/>
          </w:tcPr>
          <w:p>
            <w:pPr>
              <w:spacing w:before="40" w:line="195" w:lineRule="auto"/>
              <w:ind w:left="1235"/>
              <w:rPr>
                <w:rFonts w:ascii="仿宋" w:hAnsi="仿宋" w:eastAsia="仿宋" w:cs="仿宋"/>
                <w:sz w:val="21"/>
                <w:szCs w:val="21"/>
              </w:rPr>
            </w:pPr>
            <w:r>
              <w:rPr>
                <w:rFonts w:ascii="仿宋" w:hAnsi="仿宋" w:eastAsia="仿宋" w:cs="仿宋"/>
                <w:spacing w:val="-4"/>
                <w:sz w:val="21"/>
                <w:szCs w:val="21"/>
              </w:rPr>
              <w:t>蕨类植物</w:t>
            </w:r>
          </w:p>
        </w:tc>
        <w:tc>
          <w:tcPr>
            <w:tcW w:w="1623" w:type="dxa"/>
            <w:vAlign w:val="top"/>
          </w:tcPr>
          <w:p>
            <w:pPr>
              <w:pStyle w:val="6"/>
              <w:spacing w:before="78" w:line="182" w:lineRule="auto"/>
              <w:ind w:left="709"/>
            </w:pPr>
            <w:r>
              <w:rPr>
                <w:spacing w:val="-1"/>
              </w:rPr>
              <w:t>20</w:t>
            </w:r>
          </w:p>
        </w:tc>
        <w:tc>
          <w:tcPr>
            <w:tcW w:w="1624" w:type="dxa"/>
            <w:vAlign w:val="top"/>
          </w:tcPr>
          <w:p>
            <w:pPr>
              <w:pStyle w:val="6"/>
              <w:spacing w:before="78" w:line="182" w:lineRule="auto"/>
              <w:ind w:left="709"/>
            </w:pPr>
            <w:r>
              <w:rPr>
                <w:spacing w:val="-1"/>
              </w:rPr>
              <w:t>23</w:t>
            </w:r>
          </w:p>
        </w:tc>
        <w:tc>
          <w:tcPr>
            <w:tcW w:w="1625" w:type="dxa"/>
            <w:tcBorders>
              <w:right w:val="nil"/>
            </w:tcBorders>
            <w:vAlign w:val="top"/>
          </w:tcPr>
          <w:p>
            <w:pPr>
              <w:pStyle w:val="6"/>
              <w:spacing w:before="78" w:line="182" w:lineRule="auto"/>
              <w:ind w:left="708"/>
            </w:pPr>
            <w:r>
              <w:rPr>
                <w:spacing w:val="-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2" w:hRule="atLeast"/>
        </w:trPr>
        <w:tc>
          <w:tcPr>
            <w:tcW w:w="1639" w:type="dxa"/>
            <w:vMerge w:val="restart"/>
            <w:tcBorders>
              <w:left w:val="nil"/>
              <w:bottom w:val="nil"/>
            </w:tcBorders>
            <w:vAlign w:val="top"/>
          </w:tcPr>
          <w:p>
            <w:pPr>
              <w:spacing w:before="196" w:line="217" w:lineRule="auto"/>
              <w:ind w:left="422"/>
              <w:rPr>
                <w:rFonts w:ascii="仿宋" w:hAnsi="仿宋" w:eastAsia="仿宋" w:cs="仿宋"/>
                <w:sz w:val="21"/>
                <w:szCs w:val="21"/>
              </w:rPr>
            </w:pPr>
            <w:r>
              <w:rPr>
                <w:rFonts w:ascii="仿宋" w:hAnsi="仿宋" w:eastAsia="仿宋" w:cs="仿宋"/>
                <w:spacing w:val="-3"/>
                <w:sz w:val="21"/>
                <w:szCs w:val="21"/>
              </w:rPr>
              <w:t>种子植物</w:t>
            </w:r>
          </w:p>
        </w:tc>
        <w:tc>
          <w:tcPr>
            <w:tcW w:w="1625" w:type="dxa"/>
            <w:vAlign w:val="top"/>
          </w:tcPr>
          <w:p>
            <w:pPr>
              <w:spacing w:before="54" w:line="200" w:lineRule="auto"/>
              <w:ind w:left="402"/>
              <w:rPr>
                <w:rFonts w:ascii="仿宋" w:hAnsi="仿宋" w:eastAsia="仿宋" w:cs="仿宋"/>
                <w:sz w:val="21"/>
                <w:szCs w:val="21"/>
              </w:rPr>
            </w:pPr>
            <w:r>
              <w:rPr>
                <w:rFonts w:ascii="仿宋" w:hAnsi="仿宋" w:eastAsia="仿宋" w:cs="仿宋"/>
                <w:spacing w:val="-3"/>
                <w:sz w:val="21"/>
                <w:szCs w:val="21"/>
              </w:rPr>
              <w:t>裸子植物</w:t>
            </w:r>
          </w:p>
        </w:tc>
        <w:tc>
          <w:tcPr>
            <w:tcW w:w="1623" w:type="dxa"/>
            <w:vAlign w:val="top"/>
          </w:tcPr>
          <w:p>
            <w:pPr>
              <w:pStyle w:val="6"/>
              <w:spacing w:before="93" w:line="186" w:lineRule="auto"/>
              <w:ind w:left="766"/>
            </w:pPr>
            <w:r>
              <w:t>3</w:t>
            </w:r>
          </w:p>
        </w:tc>
        <w:tc>
          <w:tcPr>
            <w:tcW w:w="1624" w:type="dxa"/>
            <w:vAlign w:val="top"/>
          </w:tcPr>
          <w:p>
            <w:pPr>
              <w:pStyle w:val="6"/>
              <w:spacing w:before="96" w:line="183" w:lineRule="auto"/>
              <w:ind w:left="768"/>
            </w:pPr>
            <w:r>
              <w:t>5</w:t>
            </w:r>
          </w:p>
        </w:tc>
        <w:tc>
          <w:tcPr>
            <w:tcW w:w="1625" w:type="dxa"/>
            <w:tcBorders>
              <w:right w:val="nil"/>
            </w:tcBorders>
            <w:vAlign w:val="top"/>
          </w:tcPr>
          <w:p>
            <w:pPr>
              <w:pStyle w:val="6"/>
              <w:spacing w:before="96" w:line="183" w:lineRule="auto"/>
              <w:ind w:left="765"/>
            </w:pPr>
            <w: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1639" w:type="dxa"/>
            <w:vMerge w:val="continue"/>
            <w:tcBorders>
              <w:top w:val="nil"/>
              <w:left w:val="nil"/>
            </w:tcBorders>
            <w:vAlign w:val="top"/>
          </w:tcPr>
          <w:p>
            <w:pPr>
              <w:rPr>
                <w:rFonts w:ascii="Arial"/>
                <w:sz w:val="21"/>
              </w:rPr>
            </w:pPr>
          </w:p>
        </w:tc>
        <w:tc>
          <w:tcPr>
            <w:tcW w:w="1625" w:type="dxa"/>
            <w:vAlign w:val="top"/>
          </w:tcPr>
          <w:p>
            <w:pPr>
              <w:spacing w:before="50" w:line="186" w:lineRule="auto"/>
              <w:ind w:left="402"/>
              <w:rPr>
                <w:rFonts w:ascii="仿宋" w:hAnsi="仿宋" w:eastAsia="仿宋" w:cs="仿宋"/>
                <w:sz w:val="21"/>
                <w:szCs w:val="21"/>
              </w:rPr>
            </w:pPr>
            <w:r>
              <w:rPr>
                <w:rFonts w:ascii="仿宋" w:hAnsi="仿宋" w:eastAsia="仿宋" w:cs="仿宋"/>
                <w:spacing w:val="-3"/>
                <w:sz w:val="21"/>
                <w:szCs w:val="21"/>
              </w:rPr>
              <w:t>被子植物</w:t>
            </w:r>
          </w:p>
        </w:tc>
        <w:tc>
          <w:tcPr>
            <w:tcW w:w="1623" w:type="dxa"/>
            <w:vAlign w:val="top"/>
          </w:tcPr>
          <w:p>
            <w:pPr>
              <w:pStyle w:val="6"/>
              <w:spacing w:before="88" w:line="172" w:lineRule="auto"/>
              <w:ind w:left="676"/>
            </w:pPr>
            <w:r>
              <w:rPr>
                <w:spacing w:val="-6"/>
              </w:rPr>
              <w:t>109</w:t>
            </w:r>
          </w:p>
        </w:tc>
        <w:tc>
          <w:tcPr>
            <w:tcW w:w="1624" w:type="dxa"/>
            <w:vAlign w:val="top"/>
          </w:tcPr>
          <w:p>
            <w:pPr>
              <w:pStyle w:val="6"/>
              <w:spacing w:before="88" w:line="172" w:lineRule="auto"/>
              <w:ind w:left="661"/>
            </w:pPr>
            <w:r>
              <w:rPr>
                <w:spacing w:val="-2"/>
              </w:rPr>
              <w:t>330</w:t>
            </w:r>
          </w:p>
        </w:tc>
        <w:tc>
          <w:tcPr>
            <w:tcW w:w="1625" w:type="dxa"/>
            <w:tcBorders>
              <w:right w:val="nil"/>
            </w:tcBorders>
            <w:vAlign w:val="top"/>
          </w:tcPr>
          <w:p>
            <w:pPr>
              <w:pStyle w:val="6"/>
              <w:spacing w:before="88" w:line="172" w:lineRule="auto"/>
              <w:ind w:left="655"/>
            </w:pPr>
            <w:r>
              <w:rPr>
                <w:spacing w:val="-1"/>
              </w:rPr>
              <w:t>452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7" w:hRule="atLeast"/>
        </w:trPr>
        <w:tc>
          <w:tcPr>
            <w:tcW w:w="3264" w:type="dxa"/>
            <w:gridSpan w:val="2"/>
            <w:tcBorders>
              <w:left w:val="nil"/>
              <w:bottom w:val="single" w:color="000000" w:sz="12" w:space="0"/>
            </w:tcBorders>
            <w:vAlign w:val="top"/>
          </w:tcPr>
          <w:p>
            <w:pPr>
              <w:spacing w:before="56" w:line="203" w:lineRule="auto"/>
              <w:ind w:left="1447"/>
              <w:rPr>
                <w:rFonts w:ascii="仿宋" w:hAnsi="仿宋" w:eastAsia="仿宋" w:cs="仿宋"/>
                <w:sz w:val="21"/>
                <w:szCs w:val="21"/>
              </w:rPr>
            </w:pPr>
            <w:r>
              <w:rPr>
                <w:rFonts w:ascii="仿宋" w:hAnsi="仿宋" w:eastAsia="仿宋" w:cs="仿宋"/>
                <w:spacing w:val="-5"/>
                <w:sz w:val="21"/>
                <w:szCs w:val="21"/>
              </w:rPr>
              <w:t>合计</w:t>
            </w:r>
          </w:p>
        </w:tc>
        <w:tc>
          <w:tcPr>
            <w:tcW w:w="1623" w:type="dxa"/>
            <w:tcBorders>
              <w:bottom w:val="single" w:color="000000" w:sz="12" w:space="0"/>
            </w:tcBorders>
            <w:vAlign w:val="top"/>
          </w:tcPr>
          <w:p>
            <w:pPr>
              <w:pStyle w:val="6"/>
              <w:spacing w:before="94" w:line="186" w:lineRule="auto"/>
              <w:ind w:left="676"/>
            </w:pPr>
            <w:r>
              <w:rPr>
                <w:spacing w:val="-6"/>
              </w:rPr>
              <w:t>132</w:t>
            </w:r>
          </w:p>
        </w:tc>
        <w:tc>
          <w:tcPr>
            <w:tcW w:w="1624" w:type="dxa"/>
            <w:tcBorders>
              <w:bottom w:val="single" w:color="000000" w:sz="12" w:space="0"/>
            </w:tcBorders>
            <w:vAlign w:val="top"/>
          </w:tcPr>
          <w:p>
            <w:pPr>
              <w:pStyle w:val="6"/>
              <w:spacing w:before="94" w:line="186" w:lineRule="auto"/>
              <w:ind w:left="661"/>
            </w:pPr>
            <w:r>
              <w:rPr>
                <w:spacing w:val="-2"/>
              </w:rPr>
              <w:t>358</w:t>
            </w:r>
          </w:p>
        </w:tc>
        <w:tc>
          <w:tcPr>
            <w:tcW w:w="1625" w:type="dxa"/>
            <w:tcBorders>
              <w:bottom w:val="single" w:color="000000" w:sz="12" w:space="0"/>
              <w:right w:val="nil"/>
            </w:tcBorders>
            <w:vAlign w:val="top"/>
          </w:tcPr>
          <w:p>
            <w:pPr>
              <w:pStyle w:val="6"/>
              <w:spacing w:before="94" w:line="186" w:lineRule="auto"/>
              <w:ind w:left="655"/>
            </w:pPr>
            <w:r>
              <w:rPr>
                <w:spacing w:val="-1"/>
              </w:rPr>
              <w:t>499</w:t>
            </w:r>
          </w:p>
        </w:tc>
      </w:tr>
    </w:tbl>
    <w:p>
      <w:pPr>
        <w:spacing w:before="147" w:line="217" w:lineRule="auto"/>
        <w:ind w:left="517"/>
        <w:rPr>
          <w:rFonts w:ascii="宋体" w:hAnsi="宋体" w:eastAsia="宋体" w:cs="宋体"/>
          <w:sz w:val="24"/>
          <w:szCs w:val="24"/>
        </w:rPr>
      </w:pPr>
      <w:r>
        <w:rPr>
          <w:rFonts w:ascii="宋体" w:hAnsi="宋体" w:eastAsia="宋体" w:cs="宋体"/>
          <w:spacing w:val="-1"/>
          <w:sz w:val="24"/>
          <w:szCs w:val="24"/>
        </w:rPr>
        <w:t>⑥评价区植物区系组成</w:t>
      </w:r>
    </w:p>
    <w:p>
      <w:pPr>
        <w:spacing w:before="158" w:line="439" w:lineRule="exact"/>
        <w:ind w:left="518"/>
        <w:rPr>
          <w:rFonts w:ascii="宋体" w:hAnsi="宋体" w:eastAsia="宋体" w:cs="宋体"/>
          <w:sz w:val="24"/>
          <w:szCs w:val="24"/>
        </w:rPr>
      </w:pPr>
      <w:r>
        <w:rPr>
          <w:rFonts w:ascii="宋体" w:hAnsi="宋体" w:eastAsia="宋体" w:cs="宋体"/>
          <w:spacing w:val="7"/>
          <w:position w:val="15"/>
          <w:sz w:val="24"/>
          <w:szCs w:val="24"/>
        </w:rPr>
        <w:t>评价区植物区系属于泛北极植物区中国</w:t>
      </w:r>
      <w:r>
        <w:rPr>
          <w:rFonts w:ascii="Times New Roman" w:hAnsi="Times New Roman" w:eastAsia="Times New Roman" w:cs="Times New Roman"/>
          <w:spacing w:val="7"/>
          <w:position w:val="15"/>
          <w:sz w:val="24"/>
          <w:szCs w:val="24"/>
        </w:rPr>
        <w:t>-</w:t>
      </w:r>
      <w:r>
        <w:rPr>
          <w:rFonts w:ascii="宋体" w:hAnsi="宋体" w:eastAsia="宋体" w:cs="宋体"/>
          <w:spacing w:val="7"/>
          <w:position w:val="15"/>
          <w:sz w:val="24"/>
          <w:szCs w:val="24"/>
        </w:rPr>
        <w:t>喜</w:t>
      </w:r>
      <w:r>
        <w:rPr>
          <w:rFonts w:ascii="宋体" w:hAnsi="宋体" w:eastAsia="宋体" w:cs="宋体"/>
          <w:spacing w:val="6"/>
          <w:position w:val="15"/>
          <w:sz w:val="24"/>
          <w:szCs w:val="24"/>
        </w:rPr>
        <w:t>马拉雅植物亚区</w:t>
      </w:r>
      <w:r>
        <w:rPr>
          <w:rFonts w:ascii="Times New Roman" w:hAnsi="Times New Roman" w:eastAsia="Times New Roman" w:cs="Times New Roman"/>
          <w:spacing w:val="6"/>
          <w:position w:val="15"/>
          <w:sz w:val="24"/>
          <w:szCs w:val="24"/>
        </w:rPr>
        <w:t>-</w:t>
      </w:r>
      <w:r>
        <w:rPr>
          <w:rFonts w:ascii="宋体" w:hAnsi="宋体" w:eastAsia="宋体" w:cs="宋体"/>
          <w:spacing w:val="6"/>
          <w:position w:val="15"/>
          <w:sz w:val="24"/>
          <w:szCs w:val="24"/>
        </w:rPr>
        <w:t>云南高原地区</w:t>
      </w:r>
    </w:p>
    <w:p>
      <w:pPr>
        <w:spacing w:before="1" w:line="219" w:lineRule="auto"/>
        <w:ind w:left="59"/>
        <w:rPr>
          <w:rFonts w:ascii="宋体" w:hAnsi="宋体" w:eastAsia="宋体" w:cs="宋体"/>
          <w:sz w:val="24"/>
          <w:szCs w:val="24"/>
        </w:rPr>
      </w:pPr>
      <w:r>
        <w:rPr>
          <w:rFonts w:ascii="宋体" w:hAnsi="宋体" w:eastAsia="宋体" w:cs="宋体"/>
          <w:spacing w:val="-8"/>
          <w:sz w:val="24"/>
          <w:szCs w:val="24"/>
        </w:rPr>
        <w:t>的滇中高原小区（李锡文</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1995</w:t>
      </w:r>
      <w:r>
        <w:rPr>
          <w:rFonts w:ascii="宋体" w:hAnsi="宋体" w:eastAsia="宋体" w:cs="宋体"/>
          <w:spacing w:val="-8"/>
          <w:sz w:val="24"/>
          <w:szCs w:val="24"/>
        </w:rPr>
        <w:t>）。</w:t>
      </w:r>
    </w:p>
    <w:p>
      <w:pPr>
        <w:spacing w:before="155" w:line="440" w:lineRule="exact"/>
        <w:ind w:left="518"/>
        <w:rPr>
          <w:rFonts w:ascii="宋体" w:hAnsi="宋体" w:eastAsia="宋体" w:cs="宋体"/>
          <w:sz w:val="24"/>
          <w:szCs w:val="24"/>
        </w:rPr>
      </w:pPr>
      <w:r>
        <w:rPr>
          <w:rFonts w:ascii="宋体" w:hAnsi="宋体" w:eastAsia="宋体" w:cs="宋体"/>
          <w:spacing w:val="-3"/>
          <w:position w:val="15"/>
          <w:sz w:val="24"/>
          <w:szCs w:val="24"/>
        </w:rPr>
        <w:t xml:space="preserve">评价区共有种子植物 </w:t>
      </w:r>
      <w:r>
        <w:rPr>
          <w:rFonts w:ascii="Times New Roman" w:hAnsi="Times New Roman" w:eastAsia="Times New Roman" w:cs="Times New Roman"/>
          <w:spacing w:val="-3"/>
          <w:position w:val="15"/>
          <w:sz w:val="24"/>
          <w:szCs w:val="24"/>
        </w:rPr>
        <w:t>112</w:t>
      </w:r>
      <w:r>
        <w:rPr>
          <w:rFonts w:ascii="Times New Roman" w:hAnsi="Times New Roman" w:eastAsia="Times New Roman" w:cs="Times New Roman"/>
          <w:spacing w:val="36"/>
          <w:position w:val="15"/>
          <w:sz w:val="24"/>
          <w:szCs w:val="24"/>
        </w:rPr>
        <w:t xml:space="preserve"> </w:t>
      </w:r>
      <w:r>
        <w:rPr>
          <w:rFonts w:ascii="宋体" w:hAnsi="宋体" w:eastAsia="宋体" w:cs="宋体"/>
          <w:spacing w:val="-3"/>
          <w:position w:val="15"/>
          <w:sz w:val="24"/>
          <w:szCs w:val="24"/>
        </w:rPr>
        <w:t>科</w:t>
      </w:r>
      <w:r>
        <w:rPr>
          <w:rFonts w:ascii="宋体" w:hAnsi="宋体" w:eastAsia="宋体" w:cs="宋体"/>
          <w:spacing w:val="-24"/>
          <w:position w:val="15"/>
          <w:sz w:val="24"/>
          <w:szCs w:val="24"/>
        </w:rPr>
        <w:t xml:space="preserve"> </w:t>
      </w:r>
      <w:r>
        <w:rPr>
          <w:rFonts w:ascii="Times New Roman" w:hAnsi="Times New Roman" w:eastAsia="Times New Roman" w:cs="Times New Roman"/>
          <w:spacing w:val="-3"/>
          <w:position w:val="15"/>
          <w:sz w:val="24"/>
          <w:szCs w:val="24"/>
        </w:rPr>
        <w:t>335</w:t>
      </w:r>
      <w:r>
        <w:rPr>
          <w:rFonts w:ascii="Times New Roman" w:hAnsi="Times New Roman" w:eastAsia="Times New Roman" w:cs="Times New Roman"/>
          <w:spacing w:val="36"/>
          <w:position w:val="15"/>
          <w:sz w:val="24"/>
          <w:szCs w:val="24"/>
        </w:rPr>
        <w:t xml:space="preserve"> </w:t>
      </w:r>
      <w:r>
        <w:rPr>
          <w:rFonts w:ascii="宋体" w:hAnsi="宋体" w:eastAsia="宋体" w:cs="宋体"/>
          <w:spacing w:val="-3"/>
          <w:position w:val="15"/>
          <w:sz w:val="24"/>
          <w:szCs w:val="24"/>
        </w:rPr>
        <w:t>属</w:t>
      </w:r>
      <w:r>
        <w:rPr>
          <w:rFonts w:ascii="宋体" w:hAnsi="宋体" w:eastAsia="宋体" w:cs="宋体"/>
          <w:spacing w:val="-30"/>
          <w:position w:val="15"/>
          <w:sz w:val="24"/>
          <w:szCs w:val="24"/>
        </w:rPr>
        <w:t xml:space="preserve"> </w:t>
      </w:r>
      <w:r>
        <w:rPr>
          <w:rFonts w:ascii="Times New Roman" w:hAnsi="Times New Roman" w:eastAsia="Times New Roman" w:cs="Times New Roman"/>
          <w:spacing w:val="-3"/>
          <w:position w:val="15"/>
          <w:sz w:val="24"/>
          <w:szCs w:val="24"/>
        </w:rPr>
        <w:t>459</w:t>
      </w:r>
      <w:r>
        <w:rPr>
          <w:rFonts w:ascii="Times New Roman" w:hAnsi="Times New Roman" w:eastAsia="Times New Roman" w:cs="Times New Roman"/>
          <w:spacing w:val="36"/>
          <w:position w:val="15"/>
          <w:sz w:val="24"/>
          <w:szCs w:val="24"/>
        </w:rPr>
        <w:t xml:space="preserve"> </w:t>
      </w:r>
      <w:r>
        <w:rPr>
          <w:rFonts w:ascii="宋体" w:hAnsi="宋体" w:eastAsia="宋体" w:cs="宋体"/>
          <w:spacing w:val="-3"/>
          <w:position w:val="15"/>
          <w:sz w:val="24"/>
          <w:szCs w:val="24"/>
        </w:rPr>
        <w:t>种，其中自然分布的种子植物共有</w:t>
      </w:r>
    </w:p>
    <w:p>
      <w:pPr>
        <w:spacing w:before="1" w:line="218" w:lineRule="auto"/>
        <w:ind w:left="58"/>
        <w:rPr>
          <w:rFonts w:ascii="宋体" w:hAnsi="宋体" w:eastAsia="宋体" w:cs="宋体"/>
          <w:sz w:val="24"/>
          <w:szCs w:val="24"/>
        </w:rPr>
      </w:pPr>
      <w:r>
        <w:rPr>
          <w:rFonts w:ascii="Times New Roman" w:hAnsi="Times New Roman" w:eastAsia="Times New Roman" w:cs="Times New Roman"/>
          <w:spacing w:val="-6"/>
          <w:sz w:val="24"/>
          <w:szCs w:val="24"/>
        </w:rPr>
        <w:t xml:space="preserve">102 </w:t>
      </w:r>
      <w:r>
        <w:rPr>
          <w:rFonts w:ascii="宋体" w:hAnsi="宋体" w:eastAsia="宋体" w:cs="宋体"/>
          <w:spacing w:val="-6"/>
          <w:sz w:val="24"/>
          <w:szCs w:val="24"/>
        </w:rPr>
        <w:t>科</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278</w:t>
      </w:r>
      <w:r>
        <w:rPr>
          <w:rFonts w:ascii="Times New Roman" w:hAnsi="Times New Roman" w:eastAsia="Times New Roman" w:cs="Times New Roman"/>
          <w:spacing w:val="11"/>
          <w:sz w:val="24"/>
          <w:szCs w:val="24"/>
        </w:rPr>
        <w:t xml:space="preserve"> </w:t>
      </w:r>
      <w:r>
        <w:rPr>
          <w:rFonts w:ascii="宋体" w:hAnsi="宋体" w:eastAsia="宋体" w:cs="宋体"/>
          <w:spacing w:val="-6"/>
          <w:sz w:val="24"/>
          <w:szCs w:val="24"/>
        </w:rPr>
        <w:t>属</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377</w:t>
      </w:r>
      <w:r>
        <w:rPr>
          <w:rFonts w:ascii="Times New Roman" w:hAnsi="Times New Roman" w:eastAsia="Times New Roman" w:cs="Times New Roman"/>
          <w:spacing w:val="9"/>
          <w:sz w:val="24"/>
          <w:szCs w:val="24"/>
        </w:rPr>
        <w:t xml:space="preserve"> </w:t>
      </w:r>
      <w:r>
        <w:rPr>
          <w:rFonts w:ascii="宋体" w:hAnsi="宋体" w:eastAsia="宋体" w:cs="宋体"/>
          <w:spacing w:val="-6"/>
          <w:sz w:val="24"/>
          <w:szCs w:val="24"/>
        </w:rPr>
        <w:t>种。</w:t>
      </w:r>
    </w:p>
    <w:p>
      <w:pPr>
        <w:spacing w:before="181" w:line="218" w:lineRule="auto"/>
        <w:ind w:left="3155"/>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8"/>
          <w:sz w:val="21"/>
          <w:szCs w:val="21"/>
        </w:rPr>
        <w:t xml:space="preserve"> </w:t>
      </w:r>
      <w:r>
        <w:rPr>
          <w:rFonts w:ascii="Times New Roman" w:hAnsi="Times New Roman" w:eastAsia="Times New Roman" w:cs="Times New Roman"/>
          <w:b/>
          <w:bCs/>
          <w:spacing w:val="-1"/>
          <w:sz w:val="21"/>
          <w:szCs w:val="21"/>
        </w:rPr>
        <w:t xml:space="preserve">3.2-25    </w:t>
      </w:r>
      <w:r>
        <w:rPr>
          <w:rFonts w:ascii="宋体" w:hAnsi="宋体" w:eastAsia="宋体" w:cs="宋体"/>
          <w:spacing w:val="-1"/>
          <w:sz w:val="21"/>
          <w:szCs w:val="21"/>
          <w14:textOutline w14:w="3810" w14:cap="flat" w14:cmpd="sng">
            <w14:solidFill>
              <w14:srgbClr w14:val="000000"/>
            </w14:solidFill>
            <w14:prstDash w14:val="solid"/>
            <w14:miter w14:val="0"/>
          </w14:textOutline>
        </w:rPr>
        <w:t>评价区植物区系</w:t>
      </w:r>
    </w:p>
    <w:p>
      <w:pPr>
        <w:spacing w:line="20"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53"/>
        <w:gridCol w:w="1554"/>
        <w:gridCol w:w="14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7" w:hRule="atLeast"/>
        </w:trPr>
        <w:tc>
          <w:tcPr>
            <w:tcW w:w="5353" w:type="dxa"/>
            <w:tcBorders>
              <w:top w:val="single" w:color="000000" w:sz="12" w:space="0"/>
              <w:left w:val="nil"/>
            </w:tcBorders>
            <w:vAlign w:val="top"/>
          </w:tcPr>
          <w:p>
            <w:pPr>
              <w:pStyle w:val="6"/>
              <w:spacing w:before="36" w:line="211" w:lineRule="auto"/>
              <w:ind w:left="1368"/>
            </w:pPr>
            <w:r>
              <w:rPr>
                <w:rFonts w:ascii="仿宋" w:hAnsi="仿宋" w:eastAsia="仿宋" w:cs="仿宋"/>
                <w:spacing w:val="-12"/>
              </w:rPr>
              <w:t>地理成分</w:t>
            </w:r>
            <w:r>
              <w:rPr>
                <w:spacing w:val="-12"/>
              </w:rPr>
              <w:t>(</w:t>
            </w:r>
            <w:r>
              <w:rPr>
                <w:rFonts w:ascii="仿宋" w:hAnsi="仿宋" w:eastAsia="仿宋" w:cs="仿宋"/>
                <w:spacing w:val="-12"/>
              </w:rPr>
              <w:t>根据吴征镒，</w:t>
            </w:r>
            <w:r>
              <w:rPr>
                <w:rFonts w:ascii="仿宋" w:hAnsi="仿宋" w:eastAsia="仿宋" w:cs="仿宋"/>
                <w:spacing w:val="74"/>
              </w:rPr>
              <w:t xml:space="preserve"> </w:t>
            </w:r>
            <w:r>
              <w:rPr>
                <w:spacing w:val="-12"/>
              </w:rPr>
              <w:t>1991)</w:t>
            </w:r>
          </w:p>
        </w:tc>
        <w:tc>
          <w:tcPr>
            <w:tcW w:w="1554" w:type="dxa"/>
            <w:tcBorders>
              <w:top w:val="single" w:color="000000" w:sz="12" w:space="0"/>
            </w:tcBorders>
            <w:vAlign w:val="top"/>
          </w:tcPr>
          <w:p>
            <w:pPr>
              <w:spacing w:before="36" w:line="211" w:lineRule="auto"/>
              <w:ind w:left="578"/>
              <w:rPr>
                <w:rFonts w:ascii="仿宋" w:hAnsi="仿宋" w:eastAsia="仿宋" w:cs="仿宋"/>
                <w:sz w:val="21"/>
                <w:szCs w:val="21"/>
              </w:rPr>
            </w:pPr>
            <w:r>
              <w:rPr>
                <w:rFonts w:ascii="仿宋" w:hAnsi="仿宋" w:eastAsia="仿宋" w:cs="仿宋"/>
                <w:spacing w:val="-4"/>
                <w:sz w:val="21"/>
                <w:szCs w:val="21"/>
              </w:rPr>
              <w:t>属数</w:t>
            </w:r>
          </w:p>
        </w:tc>
        <w:tc>
          <w:tcPr>
            <w:tcW w:w="1414" w:type="dxa"/>
            <w:tcBorders>
              <w:top w:val="single" w:color="000000" w:sz="12" w:space="0"/>
              <w:right w:val="nil"/>
            </w:tcBorders>
            <w:vAlign w:val="top"/>
          </w:tcPr>
          <w:p>
            <w:pPr>
              <w:pStyle w:val="6"/>
              <w:spacing w:before="36" w:line="211" w:lineRule="auto"/>
              <w:ind w:left="350"/>
            </w:pPr>
            <w:r>
              <w:rPr>
                <w:rFonts w:ascii="仿宋" w:hAnsi="仿宋" w:eastAsia="仿宋" w:cs="仿宋"/>
                <w:spacing w:val="-13"/>
              </w:rPr>
              <w:t>占总数</w:t>
            </w:r>
            <w:r>
              <w:rPr>
                <w:spacing w:val="-1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8" w:hRule="atLeast"/>
        </w:trPr>
        <w:tc>
          <w:tcPr>
            <w:tcW w:w="5353" w:type="dxa"/>
            <w:tcBorders>
              <w:left w:val="nil"/>
            </w:tcBorders>
            <w:vAlign w:val="top"/>
          </w:tcPr>
          <w:p>
            <w:pPr>
              <w:pStyle w:val="6"/>
              <w:spacing w:before="49" w:line="216" w:lineRule="auto"/>
              <w:ind w:left="146"/>
              <w:rPr>
                <w:rFonts w:ascii="仿宋" w:hAnsi="仿宋" w:eastAsia="仿宋" w:cs="仿宋"/>
              </w:rPr>
            </w:pPr>
            <w:r>
              <w:rPr>
                <w:spacing w:val="-7"/>
              </w:rPr>
              <w:t>1.</w:t>
            </w:r>
            <w:r>
              <w:rPr>
                <w:spacing w:val="10"/>
              </w:rPr>
              <w:t xml:space="preserve">  </w:t>
            </w:r>
            <w:r>
              <w:rPr>
                <w:rFonts w:ascii="仿宋" w:hAnsi="仿宋" w:eastAsia="仿宋" w:cs="仿宋"/>
                <w:spacing w:val="-7"/>
              </w:rPr>
              <w:t>世界分布</w:t>
            </w:r>
          </w:p>
        </w:tc>
        <w:tc>
          <w:tcPr>
            <w:tcW w:w="1554" w:type="dxa"/>
            <w:vAlign w:val="top"/>
          </w:tcPr>
          <w:p>
            <w:pPr>
              <w:pStyle w:val="6"/>
              <w:spacing w:before="88" w:line="186" w:lineRule="auto"/>
              <w:ind w:left="677"/>
            </w:pPr>
            <w:r>
              <w:rPr>
                <w:spacing w:val="-3"/>
              </w:rPr>
              <w:t>39</w:t>
            </w:r>
          </w:p>
        </w:tc>
        <w:tc>
          <w:tcPr>
            <w:tcW w:w="1414" w:type="dxa"/>
            <w:tcBorders>
              <w:right w:val="nil"/>
            </w:tcBorders>
            <w:vAlign w:val="top"/>
          </w:tcPr>
          <w:p>
            <w:pPr>
              <w:pStyle w:val="6"/>
              <w:spacing w:before="88" w:line="186" w:lineRule="auto"/>
              <w:ind w:left="492"/>
            </w:pPr>
            <w:r>
              <w:rPr>
                <w:spacing w:val="-5"/>
              </w:rPr>
              <w:t>16.38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5353" w:type="dxa"/>
            <w:tcBorders>
              <w:left w:val="nil"/>
            </w:tcBorders>
            <w:vAlign w:val="top"/>
          </w:tcPr>
          <w:p>
            <w:pPr>
              <w:pStyle w:val="6"/>
              <w:spacing w:before="36" w:line="203" w:lineRule="auto"/>
              <w:ind w:left="126"/>
              <w:rPr>
                <w:rFonts w:ascii="仿宋" w:hAnsi="仿宋" w:eastAsia="仿宋" w:cs="仿宋"/>
              </w:rPr>
            </w:pPr>
            <w:r>
              <w:rPr>
                <w:spacing w:val="-4"/>
              </w:rPr>
              <w:t>2.</w:t>
            </w:r>
            <w:r>
              <w:rPr>
                <w:spacing w:val="12"/>
              </w:rPr>
              <w:t xml:space="preserve">  </w:t>
            </w:r>
            <w:r>
              <w:rPr>
                <w:rFonts w:ascii="仿宋" w:hAnsi="仿宋" w:eastAsia="仿宋" w:cs="仿宋"/>
                <w:spacing w:val="-4"/>
              </w:rPr>
              <w:t>泛热带分布</w:t>
            </w:r>
          </w:p>
        </w:tc>
        <w:tc>
          <w:tcPr>
            <w:tcW w:w="1554" w:type="dxa"/>
            <w:vAlign w:val="top"/>
          </w:tcPr>
          <w:p>
            <w:pPr>
              <w:pStyle w:val="6"/>
              <w:spacing w:before="74" w:line="186" w:lineRule="auto"/>
              <w:ind w:left="677"/>
            </w:pPr>
            <w:r>
              <w:rPr>
                <w:spacing w:val="-3"/>
              </w:rPr>
              <w:t>63</w:t>
            </w:r>
          </w:p>
        </w:tc>
        <w:tc>
          <w:tcPr>
            <w:tcW w:w="1414" w:type="dxa"/>
            <w:tcBorders>
              <w:right w:val="nil"/>
            </w:tcBorders>
            <w:vAlign w:val="top"/>
          </w:tcPr>
          <w:p>
            <w:pPr>
              <w:pStyle w:val="6"/>
              <w:spacing w:before="74" w:line="186" w:lineRule="auto"/>
              <w:ind w:left="472"/>
            </w:pPr>
            <w:r>
              <w:rPr>
                <w:spacing w:val="-1"/>
              </w:rPr>
              <w:t>22.66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5353" w:type="dxa"/>
            <w:tcBorders>
              <w:left w:val="nil"/>
            </w:tcBorders>
            <w:vAlign w:val="top"/>
          </w:tcPr>
          <w:p>
            <w:pPr>
              <w:pStyle w:val="6"/>
              <w:spacing w:before="36" w:line="201" w:lineRule="auto"/>
              <w:ind w:left="131"/>
              <w:rPr>
                <w:rFonts w:ascii="仿宋" w:hAnsi="仿宋" w:eastAsia="仿宋" w:cs="仿宋"/>
              </w:rPr>
            </w:pPr>
            <w:r>
              <w:rPr>
                <w:spacing w:val="-1"/>
              </w:rPr>
              <w:t xml:space="preserve">3.  </w:t>
            </w:r>
            <w:r>
              <w:rPr>
                <w:rFonts w:ascii="仿宋" w:hAnsi="仿宋" w:eastAsia="仿宋" w:cs="仿宋"/>
                <w:spacing w:val="-1"/>
              </w:rPr>
              <w:t>热带亚洲和热带美洲间断分布</w:t>
            </w:r>
          </w:p>
        </w:tc>
        <w:tc>
          <w:tcPr>
            <w:tcW w:w="1554" w:type="dxa"/>
            <w:vAlign w:val="top"/>
          </w:tcPr>
          <w:p>
            <w:pPr>
              <w:pStyle w:val="6"/>
              <w:spacing w:before="74" w:line="186" w:lineRule="auto"/>
              <w:ind w:left="734"/>
            </w:pPr>
            <w:r>
              <w:t>8</w:t>
            </w:r>
          </w:p>
        </w:tc>
        <w:tc>
          <w:tcPr>
            <w:tcW w:w="1414" w:type="dxa"/>
            <w:tcBorders>
              <w:right w:val="nil"/>
            </w:tcBorders>
            <w:vAlign w:val="top"/>
          </w:tcPr>
          <w:p>
            <w:pPr>
              <w:pStyle w:val="6"/>
              <w:spacing w:before="74" w:line="186" w:lineRule="auto"/>
              <w:ind w:left="524"/>
            </w:pPr>
            <w:r>
              <w:rPr>
                <w:spacing w:val="-1"/>
              </w:rPr>
              <w:t>2.88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5353" w:type="dxa"/>
            <w:tcBorders>
              <w:left w:val="nil"/>
            </w:tcBorders>
            <w:vAlign w:val="top"/>
          </w:tcPr>
          <w:p>
            <w:pPr>
              <w:pStyle w:val="6"/>
              <w:spacing w:before="37" w:line="201" w:lineRule="auto"/>
              <w:ind w:left="125"/>
              <w:rPr>
                <w:rFonts w:ascii="仿宋" w:hAnsi="仿宋" w:eastAsia="仿宋" w:cs="仿宋"/>
              </w:rPr>
            </w:pPr>
            <w:r>
              <w:rPr>
                <w:spacing w:val="-5"/>
              </w:rPr>
              <w:t>4.</w:t>
            </w:r>
            <w:r>
              <w:rPr>
                <w:spacing w:val="20"/>
                <w:w w:val="101"/>
              </w:rPr>
              <w:t xml:space="preserve">  </w:t>
            </w:r>
            <w:r>
              <w:rPr>
                <w:rFonts w:ascii="仿宋" w:hAnsi="仿宋" w:eastAsia="仿宋" w:cs="仿宋"/>
                <w:spacing w:val="-5"/>
              </w:rPr>
              <w:t>旧世界热带分布</w:t>
            </w:r>
          </w:p>
        </w:tc>
        <w:tc>
          <w:tcPr>
            <w:tcW w:w="1554" w:type="dxa"/>
            <w:vAlign w:val="top"/>
          </w:tcPr>
          <w:p>
            <w:pPr>
              <w:pStyle w:val="6"/>
              <w:spacing w:before="76" w:line="186" w:lineRule="auto"/>
              <w:ind w:left="693"/>
            </w:pPr>
            <w:r>
              <w:rPr>
                <w:spacing w:val="-6"/>
              </w:rPr>
              <w:t>15</w:t>
            </w:r>
          </w:p>
        </w:tc>
        <w:tc>
          <w:tcPr>
            <w:tcW w:w="1414" w:type="dxa"/>
            <w:tcBorders>
              <w:right w:val="nil"/>
            </w:tcBorders>
            <w:vAlign w:val="top"/>
          </w:tcPr>
          <w:p>
            <w:pPr>
              <w:pStyle w:val="6"/>
              <w:spacing w:before="76" w:line="186" w:lineRule="auto"/>
              <w:ind w:left="530"/>
            </w:pPr>
            <w:r>
              <w:rPr>
                <w:spacing w:val="-3"/>
              </w:rPr>
              <w:t>5.40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5353" w:type="dxa"/>
            <w:tcBorders>
              <w:left w:val="nil"/>
            </w:tcBorders>
            <w:vAlign w:val="top"/>
          </w:tcPr>
          <w:p>
            <w:pPr>
              <w:pStyle w:val="6"/>
              <w:spacing w:before="39" w:line="200" w:lineRule="auto"/>
              <w:ind w:left="132"/>
              <w:rPr>
                <w:rFonts w:ascii="仿宋" w:hAnsi="仿宋" w:eastAsia="仿宋" w:cs="仿宋"/>
              </w:rPr>
            </w:pPr>
            <w:r>
              <w:rPr>
                <w:spacing w:val="-1"/>
              </w:rPr>
              <w:t xml:space="preserve">5.  </w:t>
            </w:r>
            <w:r>
              <w:rPr>
                <w:rFonts w:ascii="仿宋" w:hAnsi="仿宋" w:eastAsia="仿宋" w:cs="仿宋"/>
                <w:spacing w:val="-1"/>
              </w:rPr>
              <w:t>热带亚洲和热带大洋洲分布</w:t>
            </w:r>
          </w:p>
        </w:tc>
        <w:tc>
          <w:tcPr>
            <w:tcW w:w="1554" w:type="dxa"/>
            <w:vAlign w:val="top"/>
          </w:tcPr>
          <w:p>
            <w:pPr>
              <w:pStyle w:val="6"/>
              <w:spacing w:before="77" w:line="186" w:lineRule="auto"/>
              <w:ind w:left="730"/>
            </w:pPr>
            <w:r>
              <w:t>9</w:t>
            </w:r>
          </w:p>
        </w:tc>
        <w:tc>
          <w:tcPr>
            <w:tcW w:w="1414" w:type="dxa"/>
            <w:tcBorders>
              <w:right w:val="nil"/>
            </w:tcBorders>
            <w:vAlign w:val="top"/>
          </w:tcPr>
          <w:p>
            <w:pPr>
              <w:pStyle w:val="6"/>
              <w:spacing w:before="77" w:line="186" w:lineRule="auto"/>
              <w:ind w:left="529"/>
            </w:pPr>
            <w:r>
              <w:rPr>
                <w:spacing w:val="-2"/>
              </w:rPr>
              <w:t>3.24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5353" w:type="dxa"/>
            <w:tcBorders>
              <w:left w:val="nil"/>
            </w:tcBorders>
            <w:vAlign w:val="top"/>
          </w:tcPr>
          <w:p>
            <w:pPr>
              <w:pStyle w:val="6"/>
              <w:spacing w:before="39" w:line="198" w:lineRule="auto"/>
              <w:ind w:left="131"/>
              <w:rPr>
                <w:rFonts w:ascii="仿宋" w:hAnsi="仿宋" w:eastAsia="仿宋" w:cs="仿宋"/>
              </w:rPr>
            </w:pPr>
            <w:r>
              <w:rPr>
                <w:spacing w:val="-1"/>
              </w:rPr>
              <w:t xml:space="preserve">6.  </w:t>
            </w:r>
            <w:r>
              <w:rPr>
                <w:rFonts w:ascii="仿宋" w:hAnsi="仿宋" w:eastAsia="仿宋" w:cs="仿宋"/>
                <w:spacing w:val="-1"/>
              </w:rPr>
              <w:t>热带亚洲和热带非洲分布</w:t>
            </w:r>
          </w:p>
        </w:tc>
        <w:tc>
          <w:tcPr>
            <w:tcW w:w="1554" w:type="dxa"/>
            <w:vAlign w:val="top"/>
          </w:tcPr>
          <w:p>
            <w:pPr>
              <w:pStyle w:val="6"/>
              <w:spacing w:before="78" w:line="185" w:lineRule="auto"/>
              <w:ind w:left="734"/>
            </w:pPr>
            <w:r>
              <w:t>8</w:t>
            </w:r>
          </w:p>
        </w:tc>
        <w:tc>
          <w:tcPr>
            <w:tcW w:w="1414" w:type="dxa"/>
            <w:tcBorders>
              <w:right w:val="nil"/>
            </w:tcBorders>
            <w:vAlign w:val="top"/>
          </w:tcPr>
          <w:p>
            <w:pPr>
              <w:pStyle w:val="6"/>
              <w:spacing w:before="78" w:line="185" w:lineRule="auto"/>
              <w:ind w:left="524"/>
            </w:pPr>
            <w:r>
              <w:rPr>
                <w:spacing w:val="-1"/>
              </w:rPr>
              <w:t>2.88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5353" w:type="dxa"/>
            <w:tcBorders>
              <w:left w:val="nil"/>
            </w:tcBorders>
            <w:vAlign w:val="top"/>
          </w:tcPr>
          <w:p>
            <w:pPr>
              <w:pStyle w:val="6"/>
              <w:spacing w:before="42" w:line="196" w:lineRule="auto"/>
              <w:ind w:left="130"/>
              <w:rPr>
                <w:rFonts w:ascii="仿宋" w:hAnsi="仿宋" w:eastAsia="仿宋" w:cs="仿宋"/>
              </w:rPr>
            </w:pPr>
            <w:r>
              <w:rPr>
                <w:spacing w:val="-4"/>
              </w:rPr>
              <w:t>7.</w:t>
            </w:r>
            <w:r>
              <w:rPr>
                <w:spacing w:val="12"/>
              </w:rPr>
              <w:t xml:space="preserve">  </w:t>
            </w:r>
            <w:r>
              <w:rPr>
                <w:rFonts w:ascii="仿宋" w:hAnsi="仿宋" w:eastAsia="仿宋" w:cs="仿宋"/>
                <w:spacing w:val="-4"/>
              </w:rPr>
              <w:t>热带亚洲分布</w:t>
            </w:r>
          </w:p>
        </w:tc>
        <w:tc>
          <w:tcPr>
            <w:tcW w:w="1554" w:type="dxa"/>
            <w:vAlign w:val="top"/>
          </w:tcPr>
          <w:p>
            <w:pPr>
              <w:pStyle w:val="6"/>
              <w:spacing w:before="80" w:line="183" w:lineRule="auto"/>
              <w:ind w:left="673"/>
            </w:pPr>
            <w:r>
              <w:rPr>
                <w:spacing w:val="-1"/>
              </w:rPr>
              <w:t>22</w:t>
            </w:r>
          </w:p>
        </w:tc>
        <w:tc>
          <w:tcPr>
            <w:tcW w:w="1414" w:type="dxa"/>
            <w:tcBorders>
              <w:right w:val="nil"/>
            </w:tcBorders>
            <w:vAlign w:val="top"/>
          </w:tcPr>
          <w:p>
            <w:pPr>
              <w:pStyle w:val="6"/>
              <w:spacing w:before="80" w:line="183" w:lineRule="auto"/>
              <w:ind w:left="528"/>
            </w:pPr>
            <w:r>
              <w:rPr>
                <w:spacing w:val="-2"/>
              </w:rPr>
              <w:t>7.91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5353" w:type="dxa"/>
            <w:tcBorders>
              <w:left w:val="nil"/>
            </w:tcBorders>
            <w:vAlign w:val="top"/>
          </w:tcPr>
          <w:p>
            <w:pPr>
              <w:pStyle w:val="6"/>
              <w:spacing w:before="44" w:line="194" w:lineRule="auto"/>
              <w:ind w:left="138"/>
            </w:pPr>
            <w:r>
              <w:rPr>
                <w:rFonts w:ascii="仿宋" w:hAnsi="仿宋" w:eastAsia="仿宋" w:cs="仿宋"/>
                <w:spacing w:val="-2"/>
              </w:rPr>
              <w:t>热带成分合计</w:t>
            </w:r>
            <w:r>
              <w:rPr>
                <w:spacing w:val="-2"/>
              </w:rPr>
              <w:t>(2-7)</w:t>
            </w:r>
          </w:p>
        </w:tc>
        <w:tc>
          <w:tcPr>
            <w:tcW w:w="1554" w:type="dxa"/>
            <w:vAlign w:val="top"/>
          </w:tcPr>
          <w:p>
            <w:pPr>
              <w:pStyle w:val="6"/>
              <w:spacing w:before="82" w:line="181" w:lineRule="auto"/>
              <w:ind w:left="641"/>
            </w:pPr>
            <w:r>
              <w:rPr>
                <w:spacing w:val="-6"/>
              </w:rPr>
              <w:t>125</w:t>
            </w:r>
          </w:p>
        </w:tc>
        <w:tc>
          <w:tcPr>
            <w:tcW w:w="1414" w:type="dxa"/>
            <w:tcBorders>
              <w:right w:val="nil"/>
            </w:tcBorders>
            <w:vAlign w:val="top"/>
          </w:tcPr>
          <w:p>
            <w:pPr>
              <w:pStyle w:val="6"/>
              <w:spacing w:before="82" w:line="181" w:lineRule="auto"/>
              <w:ind w:left="476"/>
            </w:pPr>
            <w:r>
              <w:rPr>
                <w:spacing w:val="-2"/>
              </w:rPr>
              <w:t>39.21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5353" w:type="dxa"/>
            <w:tcBorders>
              <w:left w:val="nil"/>
            </w:tcBorders>
            <w:vAlign w:val="top"/>
          </w:tcPr>
          <w:p>
            <w:pPr>
              <w:pStyle w:val="6"/>
              <w:spacing w:before="47" w:line="193" w:lineRule="auto"/>
              <w:ind w:left="135"/>
              <w:rPr>
                <w:rFonts w:ascii="仿宋" w:hAnsi="仿宋" w:eastAsia="仿宋" w:cs="仿宋"/>
              </w:rPr>
            </w:pPr>
            <w:r>
              <w:rPr>
                <w:spacing w:val="-5"/>
              </w:rPr>
              <w:t>8.</w:t>
            </w:r>
            <w:r>
              <w:rPr>
                <w:spacing w:val="11"/>
              </w:rPr>
              <w:t xml:space="preserve">  </w:t>
            </w:r>
            <w:r>
              <w:rPr>
                <w:rFonts w:ascii="仿宋" w:hAnsi="仿宋" w:eastAsia="仿宋" w:cs="仿宋"/>
                <w:spacing w:val="-5"/>
              </w:rPr>
              <w:t>北温带分布</w:t>
            </w:r>
          </w:p>
        </w:tc>
        <w:tc>
          <w:tcPr>
            <w:tcW w:w="1554" w:type="dxa"/>
            <w:vAlign w:val="top"/>
          </w:tcPr>
          <w:p>
            <w:pPr>
              <w:pStyle w:val="6"/>
              <w:spacing w:before="85" w:line="180" w:lineRule="auto"/>
              <w:ind w:left="678"/>
            </w:pPr>
            <w:r>
              <w:rPr>
                <w:spacing w:val="-3"/>
              </w:rPr>
              <w:t>54</w:t>
            </w:r>
          </w:p>
        </w:tc>
        <w:tc>
          <w:tcPr>
            <w:tcW w:w="1414" w:type="dxa"/>
            <w:tcBorders>
              <w:right w:val="nil"/>
            </w:tcBorders>
            <w:vAlign w:val="top"/>
          </w:tcPr>
          <w:p>
            <w:pPr>
              <w:pStyle w:val="6"/>
              <w:spacing w:before="85" w:line="180" w:lineRule="auto"/>
              <w:ind w:left="492"/>
            </w:pPr>
            <w:r>
              <w:rPr>
                <w:spacing w:val="-5"/>
              </w:rPr>
              <w:t>19.42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5353" w:type="dxa"/>
            <w:tcBorders>
              <w:left w:val="nil"/>
            </w:tcBorders>
            <w:vAlign w:val="top"/>
          </w:tcPr>
          <w:p>
            <w:pPr>
              <w:pStyle w:val="6"/>
              <w:spacing w:before="47" w:line="191" w:lineRule="auto"/>
              <w:ind w:left="130"/>
              <w:rPr>
                <w:rFonts w:ascii="仿宋" w:hAnsi="仿宋" w:eastAsia="仿宋" w:cs="仿宋"/>
              </w:rPr>
            </w:pPr>
            <w:r>
              <w:rPr>
                <w:spacing w:val="-3"/>
              </w:rPr>
              <w:t>9.</w:t>
            </w:r>
            <w:r>
              <w:rPr>
                <w:spacing w:val="12"/>
              </w:rPr>
              <w:t xml:space="preserve">  </w:t>
            </w:r>
            <w:r>
              <w:rPr>
                <w:rFonts w:ascii="仿宋" w:hAnsi="仿宋" w:eastAsia="仿宋" w:cs="仿宋"/>
                <w:spacing w:val="-3"/>
              </w:rPr>
              <w:t>东亚和北美间断分布</w:t>
            </w:r>
          </w:p>
        </w:tc>
        <w:tc>
          <w:tcPr>
            <w:tcW w:w="1554" w:type="dxa"/>
            <w:vAlign w:val="top"/>
          </w:tcPr>
          <w:p>
            <w:pPr>
              <w:pStyle w:val="6"/>
              <w:spacing w:before="85" w:line="178" w:lineRule="auto"/>
              <w:ind w:left="693"/>
            </w:pPr>
            <w:r>
              <w:rPr>
                <w:spacing w:val="-6"/>
              </w:rPr>
              <w:t>13</w:t>
            </w:r>
          </w:p>
        </w:tc>
        <w:tc>
          <w:tcPr>
            <w:tcW w:w="1414" w:type="dxa"/>
            <w:tcBorders>
              <w:right w:val="nil"/>
            </w:tcBorders>
            <w:vAlign w:val="top"/>
          </w:tcPr>
          <w:p>
            <w:pPr>
              <w:pStyle w:val="6"/>
              <w:spacing w:before="85" w:line="178" w:lineRule="auto"/>
              <w:ind w:left="523"/>
            </w:pPr>
            <w:r>
              <w:rPr>
                <w:spacing w:val="-1"/>
              </w:rPr>
              <w:t>4.68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5353" w:type="dxa"/>
            <w:tcBorders>
              <w:left w:val="nil"/>
            </w:tcBorders>
            <w:vAlign w:val="top"/>
          </w:tcPr>
          <w:p>
            <w:pPr>
              <w:pStyle w:val="6"/>
              <w:spacing w:before="48" w:line="190" w:lineRule="auto"/>
              <w:ind w:left="146"/>
              <w:rPr>
                <w:rFonts w:ascii="仿宋" w:hAnsi="仿宋" w:eastAsia="仿宋" w:cs="仿宋"/>
              </w:rPr>
            </w:pPr>
            <w:r>
              <w:rPr>
                <w:spacing w:val="-6"/>
              </w:rPr>
              <w:t>10.</w:t>
            </w:r>
            <w:r>
              <w:rPr>
                <w:spacing w:val="17"/>
                <w:w w:val="101"/>
              </w:rPr>
              <w:t xml:space="preserve">  </w:t>
            </w:r>
            <w:r>
              <w:rPr>
                <w:rFonts w:ascii="仿宋" w:hAnsi="仿宋" w:eastAsia="仿宋" w:cs="仿宋"/>
                <w:spacing w:val="-6"/>
              </w:rPr>
              <w:t>旧世界温带分布</w:t>
            </w:r>
          </w:p>
        </w:tc>
        <w:tc>
          <w:tcPr>
            <w:tcW w:w="1554" w:type="dxa"/>
            <w:vAlign w:val="top"/>
          </w:tcPr>
          <w:p>
            <w:pPr>
              <w:pStyle w:val="6"/>
              <w:spacing w:before="87" w:line="176" w:lineRule="auto"/>
              <w:ind w:left="693"/>
            </w:pPr>
            <w:r>
              <w:rPr>
                <w:spacing w:val="-6"/>
              </w:rPr>
              <w:t>17</w:t>
            </w:r>
          </w:p>
        </w:tc>
        <w:tc>
          <w:tcPr>
            <w:tcW w:w="1414" w:type="dxa"/>
            <w:tcBorders>
              <w:right w:val="nil"/>
            </w:tcBorders>
            <w:vAlign w:val="top"/>
          </w:tcPr>
          <w:p>
            <w:pPr>
              <w:pStyle w:val="6"/>
              <w:spacing w:before="87" w:line="176" w:lineRule="auto"/>
              <w:ind w:left="529"/>
            </w:pPr>
            <w:r>
              <w:rPr>
                <w:spacing w:val="-3"/>
              </w:rPr>
              <w:t>6.12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5353" w:type="dxa"/>
            <w:tcBorders>
              <w:left w:val="nil"/>
            </w:tcBorders>
            <w:vAlign w:val="top"/>
          </w:tcPr>
          <w:p>
            <w:pPr>
              <w:pStyle w:val="6"/>
              <w:spacing w:before="52" w:line="189" w:lineRule="auto"/>
              <w:ind w:left="146"/>
              <w:rPr>
                <w:rFonts w:ascii="仿宋" w:hAnsi="仿宋" w:eastAsia="仿宋" w:cs="仿宋"/>
              </w:rPr>
            </w:pPr>
            <w:r>
              <w:rPr>
                <w:spacing w:val="-5"/>
              </w:rPr>
              <w:t>11.</w:t>
            </w:r>
            <w:r>
              <w:rPr>
                <w:spacing w:val="9"/>
              </w:rPr>
              <w:t xml:space="preserve">  </w:t>
            </w:r>
            <w:r>
              <w:rPr>
                <w:rFonts w:ascii="仿宋" w:hAnsi="仿宋" w:eastAsia="仿宋" w:cs="仿宋"/>
                <w:spacing w:val="-5"/>
              </w:rPr>
              <w:t>温带亚洲分布</w:t>
            </w:r>
          </w:p>
        </w:tc>
        <w:tc>
          <w:tcPr>
            <w:tcW w:w="1554" w:type="dxa"/>
            <w:vAlign w:val="top"/>
          </w:tcPr>
          <w:p>
            <w:pPr>
              <w:pStyle w:val="6"/>
              <w:spacing w:before="89" w:line="176" w:lineRule="auto"/>
              <w:ind w:left="746"/>
            </w:pPr>
            <w:r>
              <w:t>1</w:t>
            </w:r>
          </w:p>
        </w:tc>
        <w:tc>
          <w:tcPr>
            <w:tcW w:w="1414" w:type="dxa"/>
            <w:tcBorders>
              <w:right w:val="nil"/>
            </w:tcBorders>
            <w:vAlign w:val="top"/>
          </w:tcPr>
          <w:p>
            <w:pPr>
              <w:pStyle w:val="6"/>
              <w:spacing w:before="89" w:line="176" w:lineRule="auto"/>
              <w:ind w:left="528"/>
            </w:pPr>
            <w:r>
              <w:rPr>
                <w:spacing w:val="-2"/>
              </w:rPr>
              <w:t>0.36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5353" w:type="dxa"/>
            <w:tcBorders>
              <w:left w:val="nil"/>
            </w:tcBorders>
            <w:vAlign w:val="top"/>
          </w:tcPr>
          <w:p>
            <w:pPr>
              <w:pStyle w:val="6"/>
              <w:spacing w:before="52" w:line="187" w:lineRule="auto"/>
              <w:ind w:left="146"/>
              <w:rPr>
                <w:rFonts w:ascii="仿宋" w:hAnsi="仿宋" w:eastAsia="仿宋" w:cs="仿宋"/>
              </w:rPr>
            </w:pPr>
            <w:r>
              <w:rPr>
                <w:spacing w:val="-2"/>
              </w:rPr>
              <w:t xml:space="preserve">12.  </w:t>
            </w:r>
            <w:r>
              <w:rPr>
                <w:rFonts w:ascii="仿宋" w:hAnsi="仿宋" w:eastAsia="仿宋" w:cs="仿宋"/>
                <w:spacing w:val="-2"/>
              </w:rPr>
              <w:t>地中海、西亚至中亚分布</w:t>
            </w:r>
          </w:p>
        </w:tc>
        <w:tc>
          <w:tcPr>
            <w:tcW w:w="1554" w:type="dxa"/>
            <w:vAlign w:val="top"/>
          </w:tcPr>
          <w:p>
            <w:pPr>
              <w:pStyle w:val="6"/>
              <w:spacing w:before="90" w:line="173" w:lineRule="auto"/>
              <w:ind w:left="730"/>
            </w:pPr>
            <w:r>
              <w:t>3</w:t>
            </w:r>
          </w:p>
        </w:tc>
        <w:tc>
          <w:tcPr>
            <w:tcW w:w="1414" w:type="dxa"/>
            <w:tcBorders>
              <w:right w:val="nil"/>
            </w:tcBorders>
            <w:vAlign w:val="top"/>
          </w:tcPr>
          <w:p>
            <w:pPr>
              <w:pStyle w:val="6"/>
              <w:spacing w:before="90" w:line="173" w:lineRule="auto"/>
              <w:ind w:left="545"/>
            </w:pPr>
            <w:r>
              <w:rPr>
                <w:spacing w:val="-6"/>
              </w:rPr>
              <w:t>1.08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5353" w:type="dxa"/>
            <w:tcBorders>
              <w:left w:val="nil"/>
            </w:tcBorders>
            <w:vAlign w:val="top"/>
          </w:tcPr>
          <w:p>
            <w:pPr>
              <w:pStyle w:val="6"/>
              <w:spacing w:before="54" w:line="186" w:lineRule="auto"/>
              <w:ind w:left="146"/>
              <w:rPr>
                <w:rFonts w:ascii="仿宋" w:hAnsi="仿宋" w:eastAsia="仿宋" w:cs="仿宋"/>
              </w:rPr>
            </w:pPr>
            <w:r>
              <w:rPr>
                <w:spacing w:val="-8"/>
              </w:rPr>
              <w:t>13.</w:t>
            </w:r>
            <w:r>
              <w:rPr>
                <w:spacing w:val="20"/>
                <w:w w:val="101"/>
              </w:rPr>
              <w:t xml:space="preserve">  </w:t>
            </w:r>
            <w:r>
              <w:rPr>
                <w:rFonts w:ascii="仿宋" w:hAnsi="仿宋" w:eastAsia="仿宋" w:cs="仿宋"/>
                <w:spacing w:val="-8"/>
              </w:rPr>
              <w:t>中亚分布</w:t>
            </w:r>
          </w:p>
        </w:tc>
        <w:tc>
          <w:tcPr>
            <w:tcW w:w="1554" w:type="dxa"/>
            <w:vAlign w:val="top"/>
          </w:tcPr>
          <w:p>
            <w:pPr>
              <w:pStyle w:val="6"/>
              <w:spacing w:before="92" w:line="172" w:lineRule="auto"/>
              <w:ind w:left="746"/>
            </w:pPr>
            <w:r>
              <w:t>1</w:t>
            </w:r>
          </w:p>
        </w:tc>
        <w:tc>
          <w:tcPr>
            <w:tcW w:w="1414" w:type="dxa"/>
            <w:tcBorders>
              <w:right w:val="nil"/>
            </w:tcBorders>
            <w:vAlign w:val="top"/>
          </w:tcPr>
          <w:p>
            <w:pPr>
              <w:pStyle w:val="6"/>
              <w:spacing w:before="92" w:line="172" w:lineRule="auto"/>
              <w:ind w:left="528"/>
            </w:pPr>
            <w:r>
              <w:rPr>
                <w:spacing w:val="-2"/>
              </w:rPr>
              <w:t>0.36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5353" w:type="dxa"/>
            <w:tcBorders>
              <w:left w:val="nil"/>
            </w:tcBorders>
            <w:vAlign w:val="top"/>
          </w:tcPr>
          <w:p>
            <w:pPr>
              <w:pStyle w:val="6"/>
              <w:spacing w:before="55" w:line="184" w:lineRule="auto"/>
              <w:ind w:left="146"/>
              <w:rPr>
                <w:rFonts w:ascii="仿宋" w:hAnsi="仿宋" w:eastAsia="仿宋" w:cs="仿宋"/>
              </w:rPr>
            </w:pPr>
            <w:r>
              <w:rPr>
                <w:spacing w:val="-6"/>
              </w:rPr>
              <w:t>14.</w:t>
            </w:r>
            <w:r>
              <w:rPr>
                <w:spacing w:val="11"/>
              </w:rPr>
              <w:t xml:space="preserve">  </w:t>
            </w:r>
            <w:r>
              <w:rPr>
                <w:rFonts w:ascii="仿宋" w:hAnsi="仿宋" w:eastAsia="仿宋" w:cs="仿宋"/>
                <w:spacing w:val="-6"/>
              </w:rPr>
              <w:t>东亚分布</w:t>
            </w:r>
          </w:p>
        </w:tc>
        <w:tc>
          <w:tcPr>
            <w:tcW w:w="1554" w:type="dxa"/>
            <w:vAlign w:val="top"/>
          </w:tcPr>
          <w:p>
            <w:pPr>
              <w:pStyle w:val="6"/>
              <w:spacing w:before="93" w:line="170" w:lineRule="auto"/>
              <w:ind w:left="673"/>
            </w:pPr>
            <w:r>
              <w:rPr>
                <w:spacing w:val="-1"/>
              </w:rPr>
              <w:t>20</w:t>
            </w:r>
          </w:p>
        </w:tc>
        <w:tc>
          <w:tcPr>
            <w:tcW w:w="1414" w:type="dxa"/>
            <w:tcBorders>
              <w:right w:val="nil"/>
            </w:tcBorders>
            <w:vAlign w:val="top"/>
          </w:tcPr>
          <w:p>
            <w:pPr>
              <w:pStyle w:val="6"/>
              <w:spacing w:before="93" w:line="170" w:lineRule="auto"/>
              <w:ind w:left="528"/>
            </w:pPr>
            <w:r>
              <w:rPr>
                <w:spacing w:val="-2"/>
              </w:rPr>
              <w:t>7.19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5353" w:type="dxa"/>
            <w:tcBorders>
              <w:left w:val="nil"/>
            </w:tcBorders>
            <w:vAlign w:val="top"/>
          </w:tcPr>
          <w:p>
            <w:pPr>
              <w:pStyle w:val="6"/>
              <w:spacing w:before="58" w:line="183" w:lineRule="auto"/>
              <w:ind w:left="138"/>
              <w:rPr>
                <w:rFonts w:ascii="仿宋" w:hAnsi="仿宋" w:eastAsia="仿宋" w:cs="仿宋"/>
              </w:rPr>
            </w:pPr>
            <w:r>
              <w:rPr>
                <w:rFonts w:ascii="仿宋" w:hAnsi="仿宋" w:eastAsia="仿宋" w:cs="仿宋"/>
                <w:spacing w:val="-4"/>
              </w:rPr>
              <w:t>温带成分合计（</w:t>
            </w:r>
            <w:r>
              <w:rPr>
                <w:spacing w:val="-4"/>
              </w:rPr>
              <w:t>8-</w:t>
            </w:r>
            <w:r>
              <w:rPr>
                <w:spacing w:val="-22"/>
              </w:rPr>
              <w:t xml:space="preserve"> </w:t>
            </w:r>
            <w:r>
              <w:rPr>
                <w:spacing w:val="-4"/>
              </w:rPr>
              <w:t>14</w:t>
            </w:r>
            <w:r>
              <w:rPr>
                <w:rFonts w:ascii="仿宋" w:hAnsi="仿宋" w:eastAsia="仿宋" w:cs="仿宋"/>
                <w:spacing w:val="-4"/>
              </w:rPr>
              <w:t>）</w:t>
            </w:r>
          </w:p>
        </w:tc>
        <w:tc>
          <w:tcPr>
            <w:tcW w:w="1554" w:type="dxa"/>
            <w:vAlign w:val="top"/>
          </w:tcPr>
          <w:p>
            <w:pPr>
              <w:pStyle w:val="6"/>
              <w:spacing w:before="96" w:line="169" w:lineRule="auto"/>
              <w:ind w:left="641"/>
            </w:pPr>
            <w:r>
              <w:rPr>
                <w:spacing w:val="-6"/>
              </w:rPr>
              <w:t>109</w:t>
            </w:r>
          </w:p>
        </w:tc>
        <w:tc>
          <w:tcPr>
            <w:tcW w:w="1414" w:type="dxa"/>
            <w:tcBorders>
              <w:right w:val="nil"/>
            </w:tcBorders>
            <w:vAlign w:val="top"/>
          </w:tcPr>
          <w:p>
            <w:pPr>
              <w:pStyle w:val="6"/>
              <w:spacing w:before="96" w:line="169" w:lineRule="auto"/>
              <w:ind w:left="471"/>
            </w:pPr>
            <w:r>
              <w:rPr>
                <w:spacing w:val="-1"/>
              </w:rPr>
              <w:t>44.96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5353" w:type="dxa"/>
            <w:tcBorders>
              <w:left w:val="nil"/>
            </w:tcBorders>
            <w:vAlign w:val="top"/>
          </w:tcPr>
          <w:p>
            <w:pPr>
              <w:pStyle w:val="6"/>
              <w:spacing w:before="58" w:line="182" w:lineRule="auto"/>
              <w:ind w:left="146"/>
              <w:rPr>
                <w:rFonts w:ascii="仿宋" w:hAnsi="仿宋" w:eastAsia="仿宋" w:cs="仿宋"/>
              </w:rPr>
            </w:pPr>
            <w:r>
              <w:rPr>
                <w:spacing w:val="-8"/>
              </w:rPr>
              <w:t>15.</w:t>
            </w:r>
            <w:r>
              <w:rPr>
                <w:spacing w:val="23"/>
              </w:rPr>
              <w:t xml:space="preserve">  </w:t>
            </w:r>
            <w:r>
              <w:rPr>
                <w:rFonts w:ascii="仿宋" w:hAnsi="仿宋" w:eastAsia="仿宋" w:cs="仿宋"/>
                <w:spacing w:val="-8"/>
              </w:rPr>
              <w:t>中国特有分布</w:t>
            </w:r>
          </w:p>
        </w:tc>
        <w:tc>
          <w:tcPr>
            <w:tcW w:w="1554" w:type="dxa"/>
            <w:vAlign w:val="top"/>
          </w:tcPr>
          <w:p>
            <w:pPr>
              <w:pStyle w:val="6"/>
              <w:spacing w:before="99" w:line="165" w:lineRule="auto"/>
              <w:ind w:left="731"/>
            </w:pPr>
            <w:r>
              <w:t>5</w:t>
            </w:r>
          </w:p>
        </w:tc>
        <w:tc>
          <w:tcPr>
            <w:tcW w:w="1414" w:type="dxa"/>
            <w:tcBorders>
              <w:right w:val="nil"/>
            </w:tcBorders>
            <w:vAlign w:val="top"/>
          </w:tcPr>
          <w:p>
            <w:pPr>
              <w:pStyle w:val="6"/>
              <w:spacing w:before="96" w:line="168" w:lineRule="auto"/>
              <w:ind w:left="545"/>
            </w:pPr>
            <w:r>
              <w:rPr>
                <w:spacing w:val="-6"/>
              </w:rPr>
              <w:t>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1" w:hRule="atLeast"/>
        </w:trPr>
        <w:tc>
          <w:tcPr>
            <w:tcW w:w="5353" w:type="dxa"/>
            <w:tcBorders>
              <w:left w:val="nil"/>
              <w:bottom w:val="single" w:color="000000" w:sz="12" w:space="0"/>
            </w:tcBorders>
            <w:vAlign w:val="top"/>
          </w:tcPr>
          <w:p>
            <w:pPr>
              <w:spacing w:before="60" w:line="203" w:lineRule="auto"/>
              <w:ind w:left="2496"/>
              <w:rPr>
                <w:rFonts w:ascii="仿宋" w:hAnsi="仿宋" w:eastAsia="仿宋" w:cs="仿宋"/>
                <w:sz w:val="21"/>
                <w:szCs w:val="21"/>
              </w:rPr>
            </w:pPr>
            <w:r>
              <w:rPr>
                <w:rFonts w:ascii="仿宋" w:hAnsi="仿宋" w:eastAsia="仿宋" w:cs="仿宋"/>
                <w:spacing w:val="-6"/>
                <w:sz w:val="21"/>
                <w:szCs w:val="21"/>
              </w:rPr>
              <w:t>总计</w:t>
            </w:r>
          </w:p>
        </w:tc>
        <w:tc>
          <w:tcPr>
            <w:tcW w:w="1554" w:type="dxa"/>
            <w:tcBorders>
              <w:bottom w:val="single" w:color="000000" w:sz="12" w:space="0"/>
            </w:tcBorders>
            <w:vAlign w:val="top"/>
          </w:tcPr>
          <w:p>
            <w:pPr>
              <w:pStyle w:val="6"/>
              <w:spacing w:before="98" w:line="186" w:lineRule="auto"/>
              <w:ind w:left="621"/>
            </w:pPr>
            <w:r>
              <w:rPr>
                <w:spacing w:val="-1"/>
              </w:rPr>
              <w:t>278</w:t>
            </w:r>
          </w:p>
        </w:tc>
        <w:tc>
          <w:tcPr>
            <w:tcW w:w="1414" w:type="dxa"/>
            <w:tcBorders>
              <w:bottom w:val="single" w:color="000000" w:sz="12" w:space="0"/>
              <w:right w:val="nil"/>
            </w:tcBorders>
            <w:vAlign w:val="top"/>
          </w:tcPr>
          <w:p>
            <w:pPr>
              <w:pStyle w:val="6"/>
              <w:spacing w:before="98" w:line="186" w:lineRule="auto"/>
              <w:ind w:left="571"/>
            </w:pPr>
            <w:r>
              <w:rPr>
                <w:spacing w:val="-6"/>
              </w:rPr>
              <w:t>100</w:t>
            </w:r>
          </w:p>
        </w:tc>
      </w:tr>
    </w:tbl>
    <w:p>
      <w:pPr>
        <w:spacing w:before="114" w:line="468" w:lineRule="exact"/>
        <w:ind w:left="522"/>
        <w:rPr>
          <w:rFonts w:ascii="宋体" w:hAnsi="宋体" w:eastAsia="宋体" w:cs="宋体"/>
          <w:sz w:val="24"/>
          <w:szCs w:val="24"/>
        </w:rPr>
      </w:pPr>
      <w:r>
        <w:rPr>
          <w:rFonts w:ascii="宋体" w:hAnsi="宋体" w:eastAsia="宋体" w:cs="宋体"/>
          <w:spacing w:val="-1"/>
          <w:position w:val="17"/>
          <w:sz w:val="24"/>
          <w:szCs w:val="24"/>
        </w:rPr>
        <w:t>分析结果表明，评价区内自然分布的种子植物区系全部</w:t>
      </w:r>
      <w:r>
        <w:rPr>
          <w:rFonts w:ascii="宋体" w:hAnsi="宋体" w:eastAsia="宋体" w:cs="宋体"/>
          <w:spacing w:val="-37"/>
          <w:position w:val="17"/>
          <w:sz w:val="24"/>
          <w:szCs w:val="24"/>
        </w:rPr>
        <w:t xml:space="preserve"> </w:t>
      </w:r>
      <w:r>
        <w:rPr>
          <w:rFonts w:ascii="Times New Roman" w:hAnsi="Times New Roman" w:eastAsia="Times New Roman" w:cs="Times New Roman"/>
          <w:spacing w:val="-1"/>
          <w:position w:val="17"/>
          <w:sz w:val="24"/>
          <w:szCs w:val="24"/>
        </w:rPr>
        <w:t xml:space="preserve">278 </w:t>
      </w:r>
      <w:r>
        <w:rPr>
          <w:rFonts w:ascii="宋体" w:hAnsi="宋体" w:eastAsia="宋体" w:cs="宋体"/>
          <w:spacing w:val="-1"/>
          <w:position w:val="17"/>
          <w:sz w:val="24"/>
          <w:szCs w:val="24"/>
        </w:rPr>
        <w:t>个属，中国所</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有的</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个植物区系地理分布类型都在这一地区出现。其中，世界分布类型占</w:t>
      </w:r>
    </w:p>
    <w:p>
      <w:pPr>
        <w:spacing w:before="184" w:line="219" w:lineRule="auto"/>
        <w:ind w:left="58"/>
        <w:rPr>
          <w:rFonts w:ascii="宋体" w:hAnsi="宋体" w:eastAsia="宋体" w:cs="宋体"/>
          <w:sz w:val="24"/>
          <w:szCs w:val="24"/>
        </w:rPr>
      </w:pPr>
      <w:r>
        <w:rPr>
          <w:rFonts w:ascii="Times New Roman" w:hAnsi="Times New Roman" w:eastAsia="Times New Roman" w:cs="Times New Roman"/>
          <w:spacing w:val="-2"/>
          <w:sz w:val="24"/>
          <w:szCs w:val="24"/>
        </w:rPr>
        <w:t>16.38%</w:t>
      </w:r>
      <w:r>
        <w:rPr>
          <w:rFonts w:ascii="宋体" w:hAnsi="宋体" w:eastAsia="宋体" w:cs="宋体"/>
          <w:spacing w:val="-2"/>
          <w:sz w:val="24"/>
          <w:szCs w:val="24"/>
        </w:rPr>
        <w:t>，热带分布类型占</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39.21</w:t>
      </w:r>
      <w:r>
        <w:rPr>
          <w:rFonts w:ascii="Times New Roman" w:hAnsi="Times New Roman" w:eastAsia="Times New Roman" w:cs="Times New Roman"/>
          <w:spacing w:val="-3"/>
          <w:sz w:val="24"/>
          <w:szCs w:val="24"/>
        </w:rPr>
        <w:t>%</w:t>
      </w:r>
      <w:r>
        <w:rPr>
          <w:rFonts w:ascii="宋体" w:hAnsi="宋体" w:eastAsia="宋体" w:cs="宋体"/>
          <w:spacing w:val="-3"/>
          <w:sz w:val="24"/>
          <w:szCs w:val="24"/>
        </w:rPr>
        <w:t>，温带分布类型占</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44.96</w:t>
      </w:r>
      <w:r>
        <w:rPr>
          <w:rFonts w:ascii="宋体" w:hAnsi="宋体" w:eastAsia="宋体" w:cs="宋体"/>
          <w:spacing w:val="-3"/>
          <w:sz w:val="24"/>
          <w:szCs w:val="24"/>
        </w:rPr>
        <w:t>，中国特有占</w:t>
      </w:r>
    </w:p>
    <w:p>
      <w:pPr>
        <w:spacing w:before="183" w:line="468" w:lineRule="exact"/>
        <w:ind w:left="58"/>
        <w:rPr>
          <w:rFonts w:ascii="宋体" w:hAnsi="宋体" w:eastAsia="宋体" w:cs="宋体"/>
          <w:sz w:val="24"/>
          <w:szCs w:val="24"/>
        </w:rPr>
      </w:pPr>
      <w:r>
        <w:rPr>
          <w:rFonts w:ascii="Times New Roman" w:hAnsi="Times New Roman" w:eastAsia="Times New Roman" w:cs="Times New Roman"/>
          <w:spacing w:val="-1"/>
          <w:position w:val="17"/>
          <w:sz w:val="24"/>
          <w:szCs w:val="24"/>
        </w:rPr>
        <w:t>1.80%</w:t>
      </w:r>
      <w:r>
        <w:rPr>
          <w:rFonts w:ascii="宋体" w:hAnsi="宋体" w:eastAsia="宋体" w:cs="宋体"/>
          <w:spacing w:val="-1"/>
          <w:position w:val="17"/>
          <w:sz w:val="24"/>
          <w:szCs w:val="24"/>
        </w:rPr>
        <w:t>。相对而言，温带成分相对比较多，与云南植被中描述滇中高原的植物区</w:t>
      </w:r>
    </w:p>
    <w:p>
      <w:pPr>
        <w:spacing w:line="218" w:lineRule="auto"/>
        <w:ind w:left="44"/>
        <w:rPr>
          <w:rFonts w:ascii="宋体" w:hAnsi="宋体" w:eastAsia="宋体" w:cs="宋体"/>
          <w:sz w:val="24"/>
          <w:szCs w:val="24"/>
        </w:rPr>
      </w:pPr>
      <w:r>
        <w:rPr>
          <w:rFonts w:ascii="宋体" w:hAnsi="宋体" w:eastAsia="宋体" w:cs="宋体"/>
          <w:spacing w:val="-3"/>
          <w:sz w:val="24"/>
          <w:szCs w:val="24"/>
        </w:rPr>
        <w:t>系组成基本接近一致。</w:t>
      </w:r>
      <w:r>
        <w:rPr>
          <w:rFonts w:ascii="宋体" w:hAnsi="宋体" w:eastAsia="宋体" w:cs="宋体"/>
          <w:spacing w:val="-33"/>
          <w:sz w:val="24"/>
          <w:szCs w:val="24"/>
        </w:rPr>
        <w:t xml:space="preserve"> </w:t>
      </w:r>
      <w:r>
        <w:rPr>
          <w:rFonts w:ascii="宋体" w:hAnsi="宋体" w:eastAsia="宋体" w:cs="宋体"/>
          <w:spacing w:val="-3"/>
          <w:sz w:val="24"/>
          <w:szCs w:val="24"/>
        </w:rPr>
        <w:t>本评价区属于滇中高原核心区，处于热带向温带过渡的</w:t>
      </w:r>
    </w:p>
    <w:p>
      <w:pPr>
        <w:spacing w:line="218" w:lineRule="auto"/>
        <w:rPr>
          <w:rFonts w:ascii="宋体" w:hAnsi="宋体" w:eastAsia="宋体" w:cs="宋体"/>
          <w:sz w:val="24"/>
          <w:szCs w:val="24"/>
        </w:rPr>
        <w:sectPr>
          <w:headerReference r:id="rId286" w:type="default"/>
          <w:footerReference r:id="rId287" w:type="default"/>
          <w:pgSz w:w="11907" w:h="16839"/>
          <w:pgMar w:top="1156" w:right="1593" w:bottom="1374" w:left="1770" w:header="881" w:footer="1210" w:gutter="0"/>
        </w:sectPr>
      </w:pPr>
    </w:p>
    <w:p>
      <w:pPr>
        <w:spacing w:line="317" w:lineRule="auto"/>
        <w:rPr>
          <w:rFonts w:ascii="Arial"/>
          <w:sz w:val="21"/>
        </w:rPr>
      </w:pPr>
    </w:p>
    <w:p>
      <w:pPr>
        <w:spacing w:before="78" w:line="360" w:lineRule="auto"/>
        <w:ind w:left="40" w:right="176" w:firstLine="16"/>
        <w:rPr>
          <w:rFonts w:ascii="宋体" w:hAnsi="宋体" w:eastAsia="宋体" w:cs="宋体"/>
          <w:sz w:val="24"/>
          <w:szCs w:val="24"/>
        </w:rPr>
      </w:pPr>
      <w:r>
        <w:rPr>
          <w:rFonts w:ascii="宋体" w:hAnsi="宋体" w:eastAsia="宋体" w:cs="宋体"/>
          <w:spacing w:val="-1"/>
          <w:sz w:val="24"/>
          <w:szCs w:val="24"/>
        </w:rPr>
        <w:t>区域，既有热带成分，也有亚热带成分。另外，评价区植被类型在水平地带性</w:t>
      </w:r>
      <w:r>
        <w:rPr>
          <w:rFonts w:ascii="宋体" w:hAnsi="宋体" w:eastAsia="宋体" w:cs="宋体"/>
          <w:spacing w:val="5"/>
          <w:sz w:val="24"/>
          <w:szCs w:val="24"/>
        </w:rPr>
        <w:t xml:space="preserve"> </w:t>
      </w:r>
      <w:r>
        <w:rPr>
          <w:rFonts w:ascii="宋体" w:hAnsi="宋体" w:eastAsia="宋体" w:cs="宋体"/>
          <w:spacing w:val="-1"/>
          <w:sz w:val="24"/>
          <w:szCs w:val="24"/>
        </w:rPr>
        <w:t>上滇中、滇东高原半湿润常绿阔叶林、云南松林区</w:t>
      </w:r>
      <w:r>
        <w:rPr>
          <w:rFonts w:ascii="宋体" w:hAnsi="宋体" w:eastAsia="宋体" w:cs="宋体"/>
          <w:spacing w:val="-2"/>
          <w:sz w:val="24"/>
          <w:szCs w:val="24"/>
        </w:rPr>
        <w:t>，滇中高原盆谷滇青冈林、</w:t>
      </w:r>
      <w:r>
        <w:rPr>
          <w:rFonts w:ascii="宋体" w:hAnsi="宋体" w:eastAsia="宋体" w:cs="宋体"/>
          <w:sz w:val="24"/>
          <w:szCs w:val="24"/>
        </w:rPr>
        <w:t xml:space="preserve"> 元江锥林、云南松林区。中山以上地区，植物区系</w:t>
      </w:r>
      <w:r>
        <w:rPr>
          <w:rFonts w:ascii="宋体" w:hAnsi="宋体" w:eastAsia="宋体" w:cs="宋体"/>
          <w:spacing w:val="-1"/>
          <w:sz w:val="24"/>
          <w:szCs w:val="24"/>
        </w:rPr>
        <w:t>以温带分布类型为主，分布</w:t>
      </w:r>
      <w:r>
        <w:rPr>
          <w:rFonts w:ascii="宋体" w:hAnsi="宋体" w:eastAsia="宋体" w:cs="宋体"/>
          <w:sz w:val="24"/>
          <w:szCs w:val="24"/>
        </w:rPr>
        <w:t xml:space="preserve"> </w:t>
      </w:r>
      <w:r>
        <w:rPr>
          <w:rFonts w:ascii="宋体" w:hAnsi="宋体" w:eastAsia="宋体" w:cs="宋体"/>
          <w:spacing w:val="-6"/>
          <w:sz w:val="24"/>
          <w:szCs w:val="24"/>
        </w:rPr>
        <w:t>有大量的温带植物，而低海拔地区则以以热带和亚热带分布属种为主，</w:t>
      </w:r>
      <w:r>
        <w:rPr>
          <w:rFonts w:ascii="宋体" w:hAnsi="宋体" w:eastAsia="宋体" w:cs="宋体"/>
          <w:spacing w:val="73"/>
          <w:sz w:val="24"/>
          <w:szCs w:val="24"/>
        </w:rPr>
        <w:t xml:space="preserve"> </w:t>
      </w:r>
      <w:r>
        <w:rPr>
          <w:rFonts w:ascii="宋体" w:hAnsi="宋体" w:eastAsia="宋体" w:cs="宋体"/>
          <w:spacing w:val="-6"/>
          <w:sz w:val="24"/>
          <w:szCs w:val="24"/>
        </w:rPr>
        <w:t>与温带</w:t>
      </w:r>
      <w:r>
        <w:rPr>
          <w:rFonts w:ascii="宋体" w:hAnsi="宋体" w:eastAsia="宋体" w:cs="宋体"/>
          <w:sz w:val="24"/>
          <w:szCs w:val="24"/>
        </w:rPr>
        <w:t xml:space="preserve"> </w:t>
      </w:r>
      <w:r>
        <w:rPr>
          <w:rFonts w:ascii="宋体" w:hAnsi="宋体" w:eastAsia="宋体" w:cs="宋体"/>
          <w:spacing w:val="-4"/>
          <w:sz w:val="24"/>
          <w:szCs w:val="24"/>
        </w:rPr>
        <w:t>区系混杂， 植物区系成分混杂，这一特征反映了该地区植物区系与其他地区具</w:t>
      </w:r>
    </w:p>
    <w:p>
      <w:pPr>
        <w:spacing w:line="220" w:lineRule="auto"/>
        <w:ind w:left="40"/>
        <w:rPr>
          <w:rFonts w:ascii="宋体" w:hAnsi="宋体" w:eastAsia="宋体" w:cs="宋体"/>
          <w:sz w:val="24"/>
          <w:szCs w:val="24"/>
        </w:rPr>
      </w:pPr>
      <w:r>
        <w:rPr>
          <w:rFonts w:ascii="宋体" w:hAnsi="宋体" w:eastAsia="宋体" w:cs="宋体"/>
          <w:spacing w:val="-6"/>
          <w:sz w:val="24"/>
          <w:szCs w:val="24"/>
        </w:rPr>
        <w:t>有广泛的联系。</w:t>
      </w:r>
    </w:p>
    <w:p>
      <w:pPr>
        <w:spacing w:before="181" w:line="360" w:lineRule="auto"/>
        <w:ind w:left="39" w:right="259" w:firstLine="483"/>
        <w:rPr>
          <w:rFonts w:ascii="宋体" w:hAnsi="宋体" w:eastAsia="宋体" w:cs="宋体"/>
          <w:sz w:val="24"/>
          <w:szCs w:val="24"/>
        </w:rPr>
      </w:pPr>
      <w:r>
        <w:rPr>
          <w:rFonts w:ascii="宋体" w:hAnsi="宋体" w:eastAsia="宋体" w:cs="宋体"/>
          <w:spacing w:val="-6"/>
          <w:sz w:val="24"/>
          <w:szCs w:val="24"/>
        </w:rPr>
        <w:t>该地区历史上人为干扰较大，栽培物种较多。</w:t>
      </w:r>
      <w:r>
        <w:rPr>
          <w:rFonts w:ascii="宋体" w:hAnsi="宋体" w:eastAsia="宋体" w:cs="宋体"/>
          <w:spacing w:val="52"/>
          <w:sz w:val="24"/>
          <w:szCs w:val="24"/>
        </w:rPr>
        <w:t xml:space="preserve"> </w:t>
      </w:r>
      <w:r>
        <w:rPr>
          <w:rFonts w:ascii="宋体" w:hAnsi="宋体" w:eastAsia="宋体" w:cs="宋体"/>
          <w:spacing w:val="-6"/>
          <w:sz w:val="24"/>
          <w:szCs w:val="24"/>
        </w:rPr>
        <w:t>其中，记录的维管植物有</w:t>
      </w:r>
      <w:r>
        <w:rPr>
          <w:rFonts w:ascii="宋体" w:hAnsi="宋体" w:eastAsia="宋体" w:cs="宋体"/>
          <w:sz w:val="24"/>
          <w:szCs w:val="24"/>
        </w:rPr>
        <w:t xml:space="preserve">  </w:t>
      </w:r>
      <w:r>
        <w:rPr>
          <w:rFonts w:ascii="Times New Roman" w:hAnsi="Times New Roman" w:eastAsia="Times New Roman" w:cs="Times New Roman"/>
          <w:spacing w:val="-3"/>
          <w:sz w:val="24"/>
          <w:szCs w:val="24"/>
        </w:rPr>
        <w:t xml:space="preserve">132 </w:t>
      </w:r>
      <w:r>
        <w:rPr>
          <w:rFonts w:ascii="宋体" w:hAnsi="宋体" w:eastAsia="宋体" w:cs="宋体"/>
          <w:spacing w:val="-3"/>
          <w:sz w:val="24"/>
          <w:szCs w:val="24"/>
        </w:rPr>
        <w:t>科</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358 </w:t>
      </w:r>
      <w:r>
        <w:rPr>
          <w:rFonts w:ascii="宋体" w:hAnsi="宋体" w:eastAsia="宋体" w:cs="宋体"/>
          <w:spacing w:val="-3"/>
          <w:sz w:val="24"/>
          <w:szCs w:val="24"/>
        </w:rPr>
        <w:t>属</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499 </w:t>
      </w:r>
      <w:r>
        <w:rPr>
          <w:rFonts w:ascii="宋体" w:hAnsi="宋体" w:eastAsia="宋体" w:cs="宋体"/>
          <w:spacing w:val="-3"/>
          <w:sz w:val="24"/>
          <w:szCs w:val="24"/>
        </w:rPr>
        <w:t>种，人工栽培的植物有</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40 </w:t>
      </w:r>
      <w:r>
        <w:rPr>
          <w:rFonts w:ascii="宋体" w:hAnsi="宋体" w:eastAsia="宋体" w:cs="宋体"/>
          <w:spacing w:val="-3"/>
          <w:sz w:val="24"/>
          <w:szCs w:val="24"/>
        </w:rPr>
        <w:t>科</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69 </w:t>
      </w:r>
      <w:r>
        <w:rPr>
          <w:rFonts w:ascii="宋体" w:hAnsi="宋体" w:eastAsia="宋体" w:cs="宋体"/>
          <w:spacing w:val="-3"/>
          <w:sz w:val="24"/>
          <w:szCs w:val="24"/>
        </w:rPr>
        <w:t>属</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82</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 xml:space="preserve">种；种子植物 </w:t>
      </w:r>
      <w:r>
        <w:rPr>
          <w:rFonts w:ascii="Times New Roman" w:hAnsi="Times New Roman" w:eastAsia="Times New Roman" w:cs="Times New Roman"/>
          <w:spacing w:val="-4"/>
          <w:sz w:val="24"/>
          <w:szCs w:val="24"/>
        </w:rPr>
        <w:t xml:space="preserve">112 </w:t>
      </w:r>
      <w:r>
        <w:rPr>
          <w:rFonts w:ascii="宋体" w:hAnsi="宋体" w:eastAsia="宋体" w:cs="宋体"/>
          <w:spacing w:val="-4"/>
          <w:sz w:val="24"/>
          <w:szCs w:val="24"/>
        </w:rPr>
        <w:t>科</w:t>
      </w:r>
      <w:r>
        <w:rPr>
          <w:rFonts w:ascii="宋体" w:hAnsi="宋体" w:eastAsia="宋体" w:cs="宋体"/>
          <w:sz w:val="24"/>
          <w:szCs w:val="24"/>
        </w:rPr>
        <w:t xml:space="preserve">  </w:t>
      </w:r>
      <w:r>
        <w:rPr>
          <w:rFonts w:ascii="Times New Roman" w:hAnsi="Times New Roman" w:eastAsia="Times New Roman" w:cs="Times New Roman"/>
          <w:spacing w:val="-2"/>
          <w:sz w:val="24"/>
          <w:szCs w:val="24"/>
        </w:rPr>
        <w:t xml:space="preserve">335 </w:t>
      </w:r>
      <w:r>
        <w:rPr>
          <w:rFonts w:ascii="宋体" w:hAnsi="宋体" w:eastAsia="宋体" w:cs="宋体"/>
          <w:spacing w:val="-2"/>
          <w:sz w:val="24"/>
          <w:szCs w:val="24"/>
        </w:rPr>
        <w:t>属</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459 </w:t>
      </w:r>
      <w:r>
        <w:rPr>
          <w:rFonts w:ascii="宋体" w:hAnsi="宋体" w:eastAsia="宋体" w:cs="宋体"/>
          <w:spacing w:val="-2"/>
          <w:sz w:val="24"/>
          <w:szCs w:val="24"/>
        </w:rPr>
        <w:t xml:space="preserve">种，自然分布的种子植物有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 xml:space="preserve">02 </w:t>
      </w:r>
      <w:r>
        <w:rPr>
          <w:rFonts w:ascii="宋体" w:hAnsi="宋体" w:eastAsia="宋体" w:cs="宋体"/>
          <w:spacing w:val="-3"/>
          <w:sz w:val="24"/>
          <w:szCs w:val="24"/>
        </w:rPr>
        <w:t>科</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278 </w:t>
      </w:r>
      <w:r>
        <w:rPr>
          <w:rFonts w:ascii="宋体" w:hAnsi="宋体" w:eastAsia="宋体" w:cs="宋体"/>
          <w:spacing w:val="-3"/>
          <w:sz w:val="24"/>
          <w:szCs w:val="24"/>
        </w:rPr>
        <w:t>属</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377 </w:t>
      </w:r>
      <w:r>
        <w:rPr>
          <w:rFonts w:ascii="宋体" w:hAnsi="宋体" w:eastAsia="宋体" w:cs="宋体"/>
          <w:spacing w:val="-3"/>
          <w:sz w:val="24"/>
          <w:szCs w:val="24"/>
        </w:rPr>
        <w:t>种。数据表明，很多</w:t>
      </w:r>
    </w:p>
    <w:p>
      <w:pPr>
        <w:spacing w:line="218" w:lineRule="auto"/>
        <w:ind w:left="41"/>
        <w:rPr>
          <w:rFonts w:ascii="宋体" w:hAnsi="宋体" w:eastAsia="宋体" w:cs="宋体"/>
          <w:sz w:val="24"/>
          <w:szCs w:val="24"/>
        </w:rPr>
      </w:pPr>
      <w:r>
        <w:rPr>
          <w:rFonts w:ascii="宋体" w:hAnsi="宋体" w:eastAsia="宋体" w:cs="宋体"/>
          <w:spacing w:val="-3"/>
          <w:sz w:val="24"/>
          <w:szCs w:val="24"/>
        </w:rPr>
        <w:t>温带分布的植物在评价区的山地消失。</w:t>
      </w:r>
    </w:p>
    <w:p>
      <w:pPr>
        <w:spacing w:before="184" w:line="360" w:lineRule="auto"/>
        <w:ind w:left="41" w:right="66" w:firstLine="477"/>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世界分布。指遍布世界各大洲而没有特殊分布中心</w:t>
      </w:r>
      <w:r>
        <w:rPr>
          <w:rFonts w:ascii="宋体" w:hAnsi="宋体" w:eastAsia="宋体" w:cs="宋体"/>
          <w:spacing w:val="-2"/>
          <w:sz w:val="24"/>
          <w:szCs w:val="24"/>
        </w:rPr>
        <w:t xml:space="preserve">的属，或虽有一个或  </w:t>
      </w:r>
      <w:r>
        <w:rPr>
          <w:rFonts w:ascii="宋体" w:hAnsi="宋体" w:eastAsia="宋体" w:cs="宋体"/>
          <w:spacing w:val="-5"/>
          <w:sz w:val="24"/>
          <w:szCs w:val="24"/>
        </w:rPr>
        <w:t>数个分布中心而包含世界分布种的属。</w:t>
      </w:r>
      <w:r>
        <w:rPr>
          <w:rFonts w:ascii="宋体" w:hAnsi="宋体" w:eastAsia="宋体" w:cs="宋体"/>
          <w:spacing w:val="42"/>
          <w:sz w:val="24"/>
          <w:szCs w:val="24"/>
        </w:rPr>
        <w:t xml:space="preserve"> </w:t>
      </w:r>
      <w:r>
        <w:rPr>
          <w:rFonts w:ascii="宋体" w:hAnsi="宋体" w:eastAsia="宋体" w:cs="宋体"/>
          <w:spacing w:val="-5"/>
          <w:sz w:val="24"/>
          <w:szCs w:val="24"/>
        </w:rPr>
        <w:t>评价区属</w:t>
      </w:r>
      <w:r>
        <w:rPr>
          <w:rFonts w:ascii="宋体" w:hAnsi="宋体" w:eastAsia="宋体" w:cs="宋体"/>
          <w:spacing w:val="-6"/>
          <w:sz w:val="24"/>
          <w:szCs w:val="24"/>
        </w:rPr>
        <w:t>于此分布型的有</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 xml:space="preserve">39 </w:t>
      </w:r>
      <w:r>
        <w:rPr>
          <w:rFonts w:ascii="宋体" w:hAnsi="宋体" w:eastAsia="宋体" w:cs="宋体"/>
          <w:spacing w:val="-6"/>
          <w:sz w:val="24"/>
          <w:szCs w:val="24"/>
        </w:rPr>
        <w:t>属，占总数</w:t>
      </w:r>
    </w:p>
    <w:p>
      <w:pPr>
        <w:spacing w:line="212" w:lineRule="auto"/>
        <w:ind w:left="59"/>
        <w:rPr>
          <w:rFonts w:ascii="宋体" w:hAnsi="宋体" w:eastAsia="宋体" w:cs="宋体"/>
          <w:sz w:val="24"/>
          <w:szCs w:val="24"/>
        </w:rPr>
      </w:pPr>
      <w:r>
        <w:rPr>
          <w:rFonts w:ascii="宋体" w:hAnsi="宋体" w:eastAsia="宋体" w:cs="宋体"/>
          <w:spacing w:val="-2"/>
          <w:sz w:val="24"/>
          <w:szCs w:val="24"/>
        </w:rPr>
        <w:t>的</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16.38%</w:t>
      </w:r>
      <w:r>
        <w:rPr>
          <w:rFonts w:ascii="宋体" w:hAnsi="宋体" w:eastAsia="宋体" w:cs="宋体"/>
          <w:spacing w:val="-2"/>
          <w:sz w:val="24"/>
          <w:szCs w:val="24"/>
        </w:rPr>
        <w:t>。常见的如剪股颖属</w:t>
      </w:r>
      <w:r>
        <w:rPr>
          <w:rFonts w:ascii="宋体" w:hAnsi="宋体" w:eastAsia="宋体" w:cs="宋体"/>
          <w:spacing w:val="-71"/>
          <w:sz w:val="24"/>
          <w:szCs w:val="24"/>
        </w:rPr>
        <w:t xml:space="preserve"> </w:t>
      </w:r>
      <w:r>
        <w:rPr>
          <w:rFonts w:ascii="Times New Roman" w:hAnsi="Times New Roman" w:eastAsia="Times New Roman" w:cs="Times New Roman"/>
          <w:i/>
          <w:iCs/>
          <w:spacing w:val="-2"/>
          <w:sz w:val="24"/>
          <w:szCs w:val="24"/>
        </w:rPr>
        <w:t>Agrostis</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、银莲花属</w:t>
      </w:r>
      <w:r>
        <w:rPr>
          <w:rFonts w:ascii="宋体" w:hAnsi="宋体" w:eastAsia="宋体" w:cs="宋体"/>
          <w:spacing w:val="-71"/>
          <w:sz w:val="24"/>
          <w:szCs w:val="24"/>
        </w:rPr>
        <w:t xml:space="preserve"> </w:t>
      </w:r>
      <w:r>
        <w:rPr>
          <w:rFonts w:ascii="Times New Roman" w:hAnsi="Times New Roman" w:eastAsia="Times New Roman" w:cs="Times New Roman"/>
          <w:i/>
          <w:iCs/>
          <w:spacing w:val="-2"/>
          <w:sz w:val="24"/>
          <w:szCs w:val="24"/>
        </w:rPr>
        <w:t>Anemone</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、蒿属</w:t>
      </w:r>
      <w:r>
        <w:rPr>
          <w:rFonts w:ascii="宋体" w:hAnsi="宋体" w:eastAsia="宋体" w:cs="宋体"/>
          <w:spacing w:val="-72"/>
          <w:sz w:val="24"/>
          <w:szCs w:val="24"/>
        </w:rPr>
        <w:t xml:space="preserve"> </w:t>
      </w:r>
      <w:r>
        <w:rPr>
          <w:rFonts w:ascii="Times New Roman" w:hAnsi="Times New Roman" w:eastAsia="Times New Roman" w:cs="Times New Roman"/>
          <w:i/>
          <w:iCs/>
          <w:spacing w:val="-2"/>
          <w:sz w:val="24"/>
          <w:szCs w:val="24"/>
        </w:rPr>
        <w:t>Artemisia</w:t>
      </w:r>
      <w:r>
        <w:rPr>
          <w:rFonts w:ascii="宋体" w:hAnsi="宋体" w:eastAsia="宋体" w:cs="宋体"/>
          <w:spacing w:val="-2"/>
          <w:sz w:val="24"/>
          <w:szCs w:val="24"/>
        </w:rPr>
        <w:t>、</w:t>
      </w:r>
    </w:p>
    <w:p>
      <w:pPr>
        <w:spacing w:before="193" w:line="360" w:lineRule="auto"/>
        <w:ind w:left="41" w:right="93" w:hanging="3"/>
        <w:rPr>
          <w:rFonts w:ascii="宋体" w:hAnsi="宋体" w:eastAsia="宋体" w:cs="宋体"/>
          <w:sz w:val="24"/>
          <w:szCs w:val="24"/>
        </w:rPr>
      </w:pPr>
      <w:r>
        <w:rPr>
          <w:rFonts w:ascii="宋体" w:hAnsi="宋体" w:eastAsia="宋体" w:cs="宋体"/>
          <w:sz w:val="24"/>
          <w:szCs w:val="24"/>
        </w:rPr>
        <w:t>黄耆属</w:t>
      </w:r>
      <w:r>
        <w:rPr>
          <w:rFonts w:ascii="宋体" w:hAnsi="宋体" w:eastAsia="宋体" w:cs="宋体"/>
          <w:spacing w:val="-71"/>
          <w:sz w:val="24"/>
          <w:szCs w:val="24"/>
        </w:rPr>
        <w:t xml:space="preserve"> </w:t>
      </w:r>
      <w:r>
        <w:rPr>
          <w:rFonts w:ascii="Times New Roman" w:hAnsi="Times New Roman" w:eastAsia="Times New Roman" w:cs="Times New Roman"/>
          <w:i/>
          <w:iCs/>
          <w:sz w:val="24"/>
          <w:szCs w:val="24"/>
        </w:rPr>
        <w:t>Astragalus</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、鬼针草属</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Bide</w:t>
      </w:r>
      <w:r>
        <w:rPr>
          <w:rFonts w:ascii="Times New Roman" w:hAnsi="Times New Roman" w:eastAsia="Times New Roman" w:cs="Times New Roman"/>
          <w:i/>
          <w:iCs/>
          <w:spacing w:val="-1"/>
          <w:sz w:val="24"/>
          <w:szCs w:val="24"/>
        </w:rPr>
        <w:t xml:space="preserve">ns </w:t>
      </w:r>
      <w:r>
        <w:rPr>
          <w:rFonts w:ascii="宋体" w:hAnsi="宋体" w:eastAsia="宋体" w:cs="宋体"/>
          <w:spacing w:val="-1"/>
          <w:sz w:val="24"/>
          <w:szCs w:val="24"/>
        </w:rPr>
        <w:t>等。此类分布型属的植物多数为草本，如</w:t>
      </w:r>
      <w:r>
        <w:rPr>
          <w:rFonts w:ascii="宋体" w:hAnsi="宋体" w:eastAsia="宋体" w:cs="宋体"/>
          <w:sz w:val="24"/>
          <w:szCs w:val="24"/>
        </w:rPr>
        <w:t xml:space="preserve">  </w:t>
      </w:r>
      <w:r>
        <w:rPr>
          <w:rFonts w:ascii="宋体" w:hAnsi="宋体" w:eastAsia="宋体" w:cs="宋体"/>
          <w:spacing w:val="-3"/>
          <w:sz w:val="24"/>
          <w:szCs w:val="24"/>
        </w:rPr>
        <w:t>莎草属</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Cyperus</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、飞蓬属</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Erigeron</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、大戟属</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Euphorbia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、牛膝菊属</w:t>
      </w:r>
      <w:r>
        <w:rPr>
          <w:rFonts w:ascii="宋体" w:hAnsi="宋体" w:eastAsia="宋体" w:cs="宋体"/>
          <w:spacing w:val="-43"/>
          <w:sz w:val="24"/>
          <w:szCs w:val="24"/>
        </w:rPr>
        <w:t xml:space="preserve"> </w:t>
      </w:r>
      <w:r>
        <w:rPr>
          <w:rFonts w:ascii="Times New Roman" w:hAnsi="Times New Roman" w:eastAsia="Times New Roman" w:cs="Times New Roman"/>
          <w:i/>
          <w:iCs/>
          <w:spacing w:val="-3"/>
          <w:sz w:val="24"/>
          <w:szCs w:val="24"/>
        </w:rPr>
        <w:t>Galinsoga</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、拉</w:t>
      </w:r>
    </w:p>
    <w:p>
      <w:pPr>
        <w:spacing w:line="219" w:lineRule="auto"/>
        <w:ind w:left="41"/>
        <w:rPr>
          <w:rFonts w:ascii="宋体" w:hAnsi="宋体" w:eastAsia="宋体" w:cs="宋体"/>
          <w:sz w:val="24"/>
          <w:szCs w:val="24"/>
        </w:rPr>
      </w:pPr>
      <w:r>
        <w:rPr>
          <w:rFonts w:ascii="宋体" w:hAnsi="宋体" w:eastAsia="宋体" w:cs="宋体"/>
          <w:spacing w:val="-3"/>
          <w:sz w:val="24"/>
          <w:szCs w:val="24"/>
        </w:rPr>
        <w:t>拉藤属</w:t>
      </w:r>
      <w:r>
        <w:rPr>
          <w:rFonts w:ascii="宋体" w:hAnsi="宋体" w:eastAsia="宋体" w:cs="宋体"/>
          <w:spacing w:val="-43"/>
          <w:sz w:val="24"/>
          <w:szCs w:val="24"/>
        </w:rPr>
        <w:t xml:space="preserve"> </w:t>
      </w:r>
      <w:r>
        <w:rPr>
          <w:rFonts w:ascii="Times New Roman" w:hAnsi="Times New Roman" w:eastAsia="Times New Roman" w:cs="Times New Roman"/>
          <w:i/>
          <w:iCs/>
          <w:spacing w:val="-3"/>
          <w:sz w:val="24"/>
          <w:szCs w:val="24"/>
        </w:rPr>
        <w:t>Galium</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、龙胆属</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Gentiana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w:t>
      </w:r>
      <w:r>
        <w:rPr>
          <w:rFonts w:ascii="宋体" w:hAnsi="宋体" w:eastAsia="宋体" w:cs="宋体"/>
          <w:spacing w:val="-4"/>
          <w:sz w:val="24"/>
          <w:szCs w:val="24"/>
        </w:rPr>
        <w:t>老鹳草属</w:t>
      </w:r>
      <w:r>
        <w:rPr>
          <w:rFonts w:ascii="宋体" w:hAnsi="宋体" w:eastAsia="宋体" w:cs="宋体"/>
          <w:spacing w:val="-43"/>
          <w:sz w:val="24"/>
          <w:szCs w:val="24"/>
        </w:rPr>
        <w:t xml:space="preserve"> </w:t>
      </w:r>
      <w:r>
        <w:rPr>
          <w:rFonts w:ascii="Times New Roman" w:hAnsi="Times New Roman" w:eastAsia="Times New Roman" w:cs="Times New Roman"/>
          <w:i/>
          <w:iCs/>
          <w:spacing w:val="-4"/>
          <w:sz w:val="24"/>
          <w:szCs w:val="24"/>
        </w:rPr>
        <w:t xml:space="preserve">Geranium </w:t>
      </w:r>
      <w:r>
        <w:rPr>
          <w:rFonts w:ascii="宋体" w:hAnsi="宋体" w:eastAsia="宋体" w:cs="宋体"/>
          <w:spacing w:val="-4"/>
          <w:sz w:val="24"/>
          <w:szCs w:val="24"/>
        </w:rPr>
        <w:t>等。</w:t>
      </w:r>
    </w:p>
    <w:p>
      <w:pPr>
        <w:spacing w:before="183" w:line="233" w:lineRule="auto"/>
        <w:ind w:left="517"/>
        <w:rPr>
          <w:rFonts w:ascii="宋体" w:hAnsi="宋体" w:eastAsia="宋体" w:cs="宋体"/>
          <w:sz w:val="24"/>
          <w:szCs w:val="24"/>
        </w:rPr>
      </w:pPr>
      <w:r>
        <w:rPr>
          <w:rFonts w:ascii="Times New Roman" w:hAnsi="Times New Roman" w:eastAsia="Times New Roman" w:cs="Times New Roman"/>
          <w:b/>
          <w:bCs/>
          <w:spacing w:val="-4"/>
          <w:sz w:val="24"/>
          <w:szCs w:val="24"/>
        </w:rPr>
        <w:t>b.</w:t>
      </w:r>
      <w:r>
        <w:rPr>
          <w:rFonts w:ascii="宋体" w:hAnsi="宋体" w:eastAsia="宋体" w:cs="宋体"/>
          <w:spacing w:val="-4"/>
          <w:sz w:val="24"/>
          <w:szCs w:val="24"/>
          <w14:textOutline w14:w="4354" w14:cap="flat" w14:cmpd="sng">
            <w14:solidFill>
              <w14:srgbClr w14:val="000000"/>
            </w14:solidFill>
            <w14:prstDash w14:val="solid"/>
            <w14:miter w14:val="0"/>
          </w14:textOutline>
        </w:rPr>
        <w:t>泛热带分布及其变型。</w:t>
      </w:r>
      <w:r>
        <w:rPr>
          <w:rFonts w:ascii="宋体" w:hAnsi="宋体" w:eastAsia="宋体" w:cs="宋体"/>
          <w:spacing w:val="-32"/>
          <w:sz w:val="24"/>
          <w:szCs w:val="24"/>
        </w:rPr>
        <w:t xml:space="preserve"> </w:t>
      </w:r>
      <w:r>
        <w:rPr>
          <w:rFonts w:ascii="宋体" w:hAnsi="宋体" w:eastAsia="宋体" w:cs="宋体"/>
          <w:spacing w:val="-4"/>
          <w:sz w:val="24"/>
          <w:szCs w:val="24"/>
        </w:rPr>
        <w:t>泛热带分布属指普遍分布于东、西两半球热</w:t>
      </w:r>
      <w:r>
        <w:rPr>
          <w:rFonts w:ascii="宋体" w:hAnsi="宋体" w:eastAsia="宋体" w:cs="宋体"/>
          <w:spacing w:val="-5"/>
          <w:sz w:val="24"/>
          <w:szCs w:val="24"/>
        </w:rPr>
        <w:t>带，</w:t>
      </w:r>
    </w:p>
    <w:p>
      <w:pPr>
        <w:spacing w:before="165" w:line="360" w:lineRule="auto"/>
        <w:ind w:left="39" w:right="55"/>
        <w:rPr>
          <w:rFonts w:ascii="宋体" w:hAnsi="宋体" w:eastAsia="宋体" w:cs="宋体"/>
          <w:sz w:val="24"/>
          <w:szCs w:val="24"/>
        </w:rPr>
      </w:pPr>
      <w:r>
        <w:rPr>
          <w:rFonts w:ascii="宋体" w:hAnsi="宋体" w:eastAsia="宋体" w:cs="宋体"/>
          <w:sz w:val="24"/>
          <w:szCs w:val="24"/>
        </w:rPr>
        <w:t>和在全世界热带范围内有一个或数个分布中心，但在</w:t>
      </w:r>
      <w:r>
        <w:rPr>
          <w:rFonts w:ascii="宋体" w:hAnsi="宋体" w:eastAsia="宋体" w:cs="宋体"/>
          <w:spacing w:val="-1"/>
          <w:sz w:val="24"/>
          <w:szCs w:val="24"/>
        </w:rPr>
        <w:t>其他地区也有一些种类分</w:t>
      </w:r>
      <w:r>
        <w:rPr>
          <w:rFonts w:ascii="宋体" w:hAnsi="宋体" w:eastAsia="宋体" w:cs="宋体"/>
          <w:sz w:val="24"/>
          <w:szCs w:val="24"/>
        </w:rPr>
        <w:t xml:space="preserve">  </w:t>
      </w:r>
      <w:r>
        <w:rPr>
          <w:rFonts w:ascii="宋体" w:hAnsi="宋体" w:eastAsia="宋体" w:cs="宋体"/>
          <w:spacing w:val="-5"/>
          <w:sz w:val="24"/>
          <w:szCs w:val="24"/>
        </w:rPr>
        <w:t>布的热带属，有不少属广布于热带、亚热带甚至到温带。</w:t>
      </w:r>
      <w:r>
        <w:rPr>
          <w:rFonts w:ascii="宋体" w:hAnsi="宋体" w:eastAsia="宋体" w:cs="宋体"/>
          <w:spacing w:val="43"/>
          <w:sz w:val="24"/>
          <w:szCs w:val="24"/>
        </w:rPr>
        <w:t xml:space="preserve"> </w:t>
      </w:r>
      <w:r>
        <w:rPr>
          <w:rFonts w:ascii="宋体" w:hAnsi="宋体" w:eastAsia="宋体" w:cs="宋体"/>
          <w:spacing w:val="-5"/>
          <w:sz w:val="24"/>
          <w:szCs w:val="24"/>
        </w:rPr>
        <w:t>评价区属于此</w:t>
      </w:r>
      <w:r>
        <w:rPr>
          <w:rFonts w:ascii="宋体" w:hAnsi="宋体" w:eastAsia="宋体" w:cs="宋体"/>
          <w:spacing w:val="-6"/>
          <w:sz w:val="24"/>
          <w:szCs w:val="24"/>
        </w:rPr>
        <w:t>分布型</w:t>
      </w:r>
      <w:r>
        <w:rPr>
          <w:rFonts w:ascii="宋体" w:hAnsi="宋体" w:eastAsia="宋体" w:cs="宋体"/>
          <w:sz w:val="24"/>
          <w:szCs w:val="24"/>
        </w:rPr>
        <w:t xml:space="preserve">  </w:t>
      </w:r>
      <w:r>
        <w:rPr>
          <w:rFonts w:ascii="宋体" w:hAnsi="宋体" w:eastAsia="宋体" w:cs="宋体"/>
          <w:spacing w:val="-3"/>
          <w:sz w:val="24"/>
          <w:szCs w:val="24"/>
        </w:rPr>
        <w:t>的有</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63 </w:t>
      </w:r>
      <w:r>
        <w:rPr>
          <w:rFonts w:ascii="宋体" w:hAnsi="宋体" w:eastAsia="宋体" w:cs="宋体"/>
          <w:spacing w:val="-3"/>
          <w:sz w:val="24"/>
          <w:szCs w:val="24"/>
        </w:rPr>
        <w:t>属，占总数的</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22.66%</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。常见的乔木属有合欢属</w:t>
      </w:r>
      <w:r>
        <w:rPr>
          <w:rFonts w:ascii="宋体" w:hAnsi="宋体" w:eastAsia="宋体" w:cs="宋体"/>
          <w:spacing w:val="-72"/>
          <w:sz w:val="24"/>
          <w:szCs w:val="24"/>
        </w:rPr>
        <w:t xml:space="preserve"> </w:t>
      </w:r>
      <w:r>
        <w:rPr>
          <w:rFonts w:ascii="Times New Roman" w:hAnsi="Times New Roman" w:eastAsia="Times New Roman" w:cs="Times New Roman"/>
          <w:i/>
          <w:iCs/>
          <w:spacing w:val="-3"/>
          <w:sz w:val="24"/>
          <w:szCs w:val="24"/>
        </w:rPr>
        <w:t>Albizia</w:t>
      </w:r>
      <w:r>
        <w:rPr>
          <w:rFonts w:ascii="Times New Roman" w:hAnsi="Times New Roman" w:eastAsia="Times New Roman" w:cs="Times New Roman"/>
          <w:i/>
          <w:iCs/>
          <w:spacing w:val="-32"/>
          <w:sz w:val="24"/>
          <w:szCs w:val="24"/>
        </w:rPr>
        <w:t xml:space="preserve"> </w:t>
      </w:r>
      <w:r>
        <w:rPr>
          <w:rFonts w:ascii="宋体" w:hAnsi="宋体" w:eastAsia="宋体" w:cs="宋体"/>
          <w:spacing w:val="-3"/>
          <w:sz w:val="24"/>
          <w:szCs w:val="24"/>
        </w:rPr>
        <w:t>、朴属</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Celtis</w:t>
      </w:r>
      <w:r>
        <w:rPr>
          <w:rFonts w:ascii="Times New Roman" w:hAnsi="Times New Roman" w:eastAsia="Times New Roman" w:cs="Times New Roman"/>
          <w:i/>
          <w:iCs/>
          <w:spacing w:val="-35"/>
          <w:sz w:val="24"/>
          <w:szCs w:val="24"/>
        </w:rPr>
        <w:t xml:space="preserve"> </w:t>
      </w:r>
      <w:r>
        <w:rPr>
          <w:rFonts w:ascii="宋体" w:hAnsi="宋体" w:eastAsia="宋体" w:cs="宋体"/>
          <w:spacing w:val="-3"/>
          <w:sz w:val="24"/>
          <w:szCs w:val="24"/>
        </w:rPr>
        <w:t>、柿</w:t>
      </w:r>
    </w:p>
    <w:p>
      <w:pPr>
        <w:spacing w:before="1" w:line="212" w:lineRule="auto"/>
        <w:ind w:left="41"/>
        <w:rPr>
          <w:rFonts w:ascii="宋体" w:hAnsi="宋体" w:eastAsia="宋体" w:cs="宋体"/>
          <w:sz w:val="24"/>
          <w:szCs w:val="24"/>
        </w:rPr>
      </w:pPr>
      <w:r>
        <w:rPr>
          <w:rFonts w:ascii="宋体" w:hAnsi="宋体" w:eastAsia="宋体" w:cs="宋体"/>
          <w:spacing w:val="-1"/>
          <w:sz w:val="24"/>
          <w:szCs w:val="24"/>
        </w:rPr>
        <w:t>属</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Diospyros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、榕属</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 xml:space="preserve">Ficus </w:t>
      </w:r>
      <w:r>
        <w:rPr>
          <w:rFonts w:ascii="宋体" w:hAnsi="宋体" w:eastAsia="宋体" w:cs="宋体"/>
          <w:spacing w:val="-1"/>
          <w:sz w:val="24"/>
          <w:szCs w:val="24"/>
        </w:rPr>
        <w:t>等；灌木属有车桑子属</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Do</w:t>
      </w:r>
      <w:r>
        <w:rPr>
          <w:rFonts w:ascii="Times New Roman" w:hAnsi="Times New Roman" w:eastAsia="Times New Roman" w:cs="Times New Roman"/>
          <w:i/>
          <w:iCs/>
          <w:spacing w:val="-2"/>
          <w:sz w:val="24"/>
          <w:szCs w:val="24"/>
        </w:rPr>
        <w:t>donaea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、花椒属</w:t>
      </w:r>
    </w:p>
    <w:p>
      <w:pPr>
        <w:spacing w:before="192" w:line="468" w:lineRule="exact"/>
        <w:ind w:left="29"/>
        <w:rPr>
          <w:rFonts w:ascii="宋体" w:hAnsi="宋体" w:eastAsia="宋体" w:cs="宋体"/>
          <w:sz w:val="24"/>
          <w:szCs w:val="24"/>
        </w:rPr>
      </w:pPr>
      <w:r>
        <w:rPr>
          <w:rFonts w:ascii="Times New Roman" w:hAnsi="Times New Roman" w:eastAsia="Times New Roman" w:cs="Times New Roman"/>
          <w:i/>
          <w:iCs/>
          <w:spacing w:val="-2"/>
          <w:position w:val="17"/>
          <w:sz w:val="24"/>
          <w:szCs w:val="24"/>
        </w:rPr>
        <w:t>Zanthoxylum</w:t>
      </w:r>
      <w:r>
        <w:rPr>
          <w:rFonts w:ascii="Times New Roman" w:hAnsi="Times New Roman" w:eastAsia="Times New Roman" w:cs="Times New Roman"/>
          <w:i/>
          <w:iCs/>
          <w:spacing w:val="-30"/>
          <w:position w:val="17"/>
          <w:sz w:val="24"/>
          <w:szCs w:val="24"/>
        </w:rPr>
        <w:t xml:space="preserve"> </w:t>
      </w:r>
      <w:r>
        <w:rPr>
          <w:rFonts w:ascii="宋体" w:hAnsi="宋体" w:eastAsia="宋体" w:cs="宋体"/>
          <w:spacing w:val="-2"/>
          <w:position w:val="17"/>
          <w:sz w:val="24"/>
          <w:szCs w:val="24"/>
        </w:rPr>
        <w:t>、紫金牛属</w:t>
      </w:r>
      <w:r>
        <w:rPr>
          <w:rFonts w:ascii="宋体" w:hAnsi="宋体" w:eastAsia="宋体" w:cs="宋体"/>
          <w:spacing w:val="-72"/>
          <w:position w:val="17"/>
          <w:sz w:val="24"/>
          <w:szCs w:val="24"/>
        </w:rPr>
        <w:t xml:space="preserve"> </w:t>
      </w:r>
      <w:r>
        <w:rPr>
          <w:rFonts w:ascii="Times New Roman" w:hAnsi="Times New Roman" w:eastAsia="Times New Roman" w:cs="Times New Roman"/>
          <w:i/>
          <w:iCs/>
          <w:spacing w:val="-2"/>
          <w:position w:val="17"/>
          <w:sz w:val="24"/>
          <w:szCs w:val="24"/>
        </w:rPr>
        <w:t>Ardisia</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2"/>
          <w:position w:val="17"/>
          <w:sz w:val="24"/>
          <w:szCs w:val="24"/>
        </w:rPr>
        <w:t>、厚皮香属</w:t>
      </w:r>
      <w:r>
        <w:rPr>
          <w:rFonts w:ascii="宋体" w:hAnsi="宋体" w:eastAsia="宋体" w:cs="宋体"/>
          <w:spacing w:val="-43"/>
          <w:position w:val="17"/>
          <w:sz w:val="24"/>
          <w:szCs w:val="24"/>
        </w:rPr>
        <w:t xml:space="preserve"> </w:t>
      </w:r>
      <w:r>
        <w:rPr>
          <w:rFonts w:ascii="Times New Roman" w:hAnsi="Times New Roman" w:eastAsia="Times New Roman" w:cs="Times New Roman"/>
          <w:i/>
          <w:iCs/>
          <w:spacing w:val="-2"/>
          <w:position w:val="17"/>
          <w:sz w:val="24"/>
          <w:szCs w:val="24"/>
        </w:rPr>
        <w:t xml:space="preserve">Ternstroemia </w:t>
      </w:r>
      <w:r>
        <w:rPr>
          <w:rFonts w:ascii="宋体" w:hAnsi="宋体" w:eastAsia="宋体" w:cs="宋体"/>
          <w:spacing w:val="-2"/>
          <w:position w:val="17"/>
          <w:sz w:val="24"/>
          <w:szCs w:val="24"/>
        </w:rPr>
        <w:t>等；草本属如球穗草属</w:t>
      </w:r>
    </w:p>
    <w:p>
      <w:pPr>
        <w:spacing w:line="212" w:lineRule="auto"/>
        <w:ind w:left="23"/>
        <w:rPr>
          <w:rFonts w:ascii="宋体" w:hAnsi="宋体" w:eastAsia="宋体" w:cs="宋体"/>
          <w:sz w:val="24"/>
          <w:szCs w:val="24"/>
        </w:rPr>
      </w:pPr>
      <w:r>
        <w:rPr>
          <w:rFonts w:ascii="Times New Roman" w:hAnsi="Times New Roman" w:eastAsia="Times New Roman" w:cs="Times New Roman"/>
          <w:i/>
          <w:iCs/>
          <w:spacing w:val="-1"/>
          <w:sz w:val="24"/>
          <w:szCs w:val="24"/>
        </w:rPr>
        <w:t>Hackelochloa</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、黄茅属</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Heteropogon</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、凤仙花属</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Impatiens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、木蓝属</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Indig</w:t>
      </w:r>
      <w:r>
        <w:rPr>
          <w:rFonts w:ascii="Times New Roman" w:hAnsi="Times New Roman" w:eastAsia="Times New Roman" w:cs="Times New Roman"/>
          <w:i/>
          <w:iCs/>
          <w:spacing w:val="-2"/>
          <w:sz w:val="24"/>
          <w:szCs w:val="24"/>
        </w:rPr>
        <w:t>ofera</w:t>
      </w:r>
      <w:r>
        <w:rPr>
          <w:rFonts w:ascii="宋体" w:hAnsi="宋体" w:eastAsia="宋体" w:cs="宋体"/>
          <w:spacing w:val="-2"/>
          <w:sz w:val="24"/>
          <w:szCs w:val="24"/>
        </w:rPr>
        <w:t>、</w:t>
      </w:r>
    </w:p>
    <w:p>
      <w:pPr>
        <w:spacing w:before="192" w:line="468" w:lineRule="exact"/>
        <w:ind w:left="46"/>
        <w:rPr>
          <w:rFonts w:ascii="宋体" w:hAnsi="宋体" w:eastAsia="宋体" w:cs="宋体"/>
          <w:sz w:val="24"/>
          <w:szCs w:val="24"/>
        </w:rPr>
      </w:pPr>
      <w:r>
        <w:rPr>
          <w:rFonts w:ascii="宋体" w:hAnsi="宋体" w:eastAsia="宋体" w:cs="宋体"/>
          <w:spacing w:val="-3"/>
          <w:position w:val="17"/>
          <w:sz w:val="24"/>
          <w:szCs w:val="24"/>
        </w:rPr>
        <w:t>马缨丹属</w:t>
      </w:r>
      <w:r>
        <w:rPr>
          <w:rFonts w:ascii="宋体" w:hAnsi="宋体" w:eastAsia="宋体" w:cs="宋体"/>
          <w:spacing w:val="-68"/>
          <w:position w:val="17"/>
          <w:sz w:val="24"/>
          <w:szCs w:val="24"/>
        </w:rPr>
        <w:t xml:space="preserve"> </w:t>
      </w:r>
      <w:r>
        <w:rPr>
          <w:rFonts w:ascii="Times New Roman" w:hAnsi="Times New Roman" w:eastAsia="Times New Roman" w:cs="Times New Roman"/>
          <w:i/>
          <w:iCs/>
          <w:spacing w:val="-3"/>
          <w:position w:val="17"/>
          <w:sz w:val="24"/>
          <w:szCs w:val="24"/>
        </w:rPr>
        <w:t>Lantana</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3"/>
          <w:position w:val="17"/>
          <w:sz w:val="24"/>
          <w:szCs w:val="24"/>
        </w:rPr>
        <w:t>、半边莲属</w:t>
      </w:r>
      <w:r>
        <w:rPr>
          <w:rFonts w:ascii="宋体" w:hAnsi="宋体" w:eastAsia="宋体" w:cs="宋体"/>
          <w:spacing w:val="-67"/>
          <w:position w:val="17"/>
          <w:sz w:val="24"/>
          <w:szCs w:val="24"/>
        </w:rPr>
        <w:t xml:space="preserve"> </w:t>
      </w:r>
      <w:r>
        <w:rPr>
          <w:rFonts w:ascii="Times New Roman" w:hAnsi="Times New Roman" w:eastAsia="Times New Roman" w:cs="Times New Roman"/>
          <w:i/>
          <w:iCs/>
          <w:spacing w:val="-3"/>
          <w:position w:val="17"/>
          <w:sz w:val="24"/>
          <w:szCs w:val="24"/>
        </w:rPr>
        <w:t>Lobelia</w:t>
      </w:r>
      <w:r>
        <w:rPr>
          <w:rFonts w:ascii="Times New Roman" w:hAnsi="Times New Roman" w:eastAsia="Times New Roman" w:cs="Times New Roman"/>
          <w:i/>
          <w:iCs/>
          <w:spacing w:val="-34"/>
          <w:position w:val="17"/>
          <w:sz w:val="24"/>
          <w:szCs w:val="24"/>
        </w:rPr>
        <w:t xml:space="preserve"> </w:t>
      </w:r>
      <w:r>
        <w:rPr>
          <w:rFonts w:ascii="宋体" w:hAnsi="宋体" w:eastAsia="宋体" w:cs="宋体"/>
          <w:spacing w:val="-3"/>
          <w:position w:val="17"/>
          <w:sz w:val="24"/>
          <w:szCs w:val="24"/>
        </w:rPr>
        <w:t>、牛奶菜属</w:t>
      </w:r>
      <w:r>
        <w:rPr>
          <w:rFonts w:ascii="宋体" w:hAnsi="宋体" w:eastAsia="宋体" w:cs="宋体"/>
          <w:spacing w:val="-68"/>
          <w:position w:val="17"/>
          <w:sz w:val="24"/>
          <w:szCs w:val="24"/>
        </w:rPr>
        <w:t xml:space="preserve"> </w:t>
      </w:r>
      <w:r>
        <w:rPr>
          <w:rFonts w:ascii="Times New Roman" w:hAnsi="Times New Roman" w:eastAsia="Times New Roman" w:cs="Times New Roman"/>
          <w:i/>
          <w:iCs/>
          <w:spacing w:val="-3"/>
          <w:position w:val="17"/>
          <w:sz w:val="24"/>
          <w:szCs w:val="24"/>
        </w:rPr>
        <w:t xml:space="preserve">Marsdenia </w:t>
      </w:r>
      <w:r>
        <w:rPr>
          <w:rFonts w:ascii="宋体" w:hAnsi="宋体" w:eastAsia="宋体" w:cs="宋体"/>
          <w:spacing w:val="-3"/>
          <w:position w:val="17"/>
          <w:sz w:val="24"/>
          <w:szCs w:val="24"/>
        </w:rPr>
        <w:t>等；</w:t>
      </w:r>
      <w:r>
        <w:rPr>
          <w:rFonts w:ascii="宋体" w:hAnsi="宋体" w:eastAsia="宋体" w:cs="宋体"/>
          <w:spacing w:val="-26"/>
          <w:position w:val="17"/>
          <w:sz w:val="24"/>
          <w:szCs w:val="24"/>
        </w:rPr>
        <w:t xml:space="preserve"> </w:t>
      </w:r>
      <w:r>
        <w:rPr>
          <w:rFonts w:ascii="宋体" w:hAnsi="宋体" w:eastAsia="宋体" w:cs="宋体"/>
          <w:spacing w:val="-3"/>
          <w:position w:val="17"/>
          <w:sz w:val="24"/>
          <w:szCs w:val="24"/>
        </w:rPr>
        <w:t>藤本</w:t>
      </w:r>
      <w:r>
        <w:rPr>
          <w:rFonts w:ascii="宋体" w:hAnsi="宋体" w:eastAsia="宋体" w:cs="宋体"/>
          <w:spacing w:val="-4"/>
          <w:position w:val="17"/>
          <w:sz w:val="24"/>
          <w:szCs w:val="24"/>
        </w:rPr>
        <w:t>植物则有</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南蛇藤属</w:t>
      </w:r>
      <w:r>
        <w:rPr>
          <w:rFonts w:ascii="宋体" w:hAnsi="宋体" w:eastAsia="宋体" w:cs="宋体"/>
          <w:spacing w:val="-32"/>
          <w:sz w:val="24"/>
          <w:szCs w:val="24"/>
        </w:rPr>
        <w:t xml:space="preserve"> </w:t>
      </w:r>
      <w:r>
        <w:rPr>
          <w:rFonts w:ascii="Times New Roman" w:hAnsi="Times New Roman" w:eastAsia="Times New Roman" w:cs="Times New Roman"/>
          <w:i/>
          <w:iCs/>
          <w:spacing w:val="-2"/>
          <w:sz w:val="24"/>
          <w:szCs w:val="24"/>
        </w:rPr>
        <w:t>Celastrus</w:t>
      </w:r>
      <w:r>
        <w:rPr>
          <w:rFonts w:ascii="宋体" w:hAnsi="宋体" w:eastAsia="宋体" w:cs="宋体"/>
          <w:spacing w:val="-2"/>
          <w:sz w:val="24"/>
          <w:szCs w:val="24"/>
        </w:rPr>
        <w:t>、薯蓣属</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Dioscorea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、素馨属</w:t>
      </w:r>
      <w:r>
        <w:rPr>
          <w:rFonts w:ascii="宋体" w:hAnsi="宋体" w:eastAsia="宋体" w:cs="宋体"/>
          <w:spacing w:val="-68"/>
          <w:sz w:val="24"/>
          <w:szCs w:val="24"/>
        </w:rPr>
        <w:t xml:space="preserve"> </w:t>
      </w:r>
      <w:r>
        <w:rPr>
          <w:rFonts w:ascii="Times New Roman" w:hAnsi="Times New Roman" w:eastAsia="Times New Roman" w:cs="Times New Roman"/>
          <w:i/>
          <w:iCs/>
          <w:spacing w:val="-2"/>
          <w:sz w:val="24"/>
          <w:szCs w:val="24"/>
        </w:rPr>
        <w:t>Jasminum</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、菝葜属</w:t>
      </w:r>
      <w:r>
        <w:rPr>
          <w:rFonts w:ascii="宋体" w:hAnsi="宋体" w:eastAsia="宋体" w:cs="宋体"/>
          <w:spacing w:val="-58"/>
          <w:sz w:val="24"/>
          <w:szCs w:val="24"/>
        </w:rPr>
        <w:t xml:space="preserve"> </w:t>
      </w:r>
      <w:r>
        <w:rPr>
          <w:rFonts w:ascii="Times New Roman" w:hAnsi="Times New Roman" w:eastAsia="Times New Roman" w:cs="Times New Roman"/>
          <w:i/>
          <w:iCs/>
          <w:spacing w:val="-2"/>
          <w:sz w:val="24"/>
          <w:szCs w:val="24"/>
        </w:rPr>
        <w:t xml:space="preserve">Smilax </w:t>
      </w:r>
      <w:r>
        <w:rPr>
          <w:rFonts w:ascii="宋体" w:hAnsi="宋体" w:eastAsia="宋体" w:cs="宋体"/>
          <w:spacing w:val="-2"/>
          <w:sz w:val="24"/>
          <w:szCs w:val="24"/>
        </w:rPr>
        <w:t>等。</w:t>
      </w:r>
    </w:p>
    <w:p>
      <w:pPr>
        <w:spacing w:before="183" w:line="360" w:lineRule="auto"/>
        <w:ind w:left="41" w:right="176" w:firstLine="480"/>
        <w:rPr>
          <w:rFonts w:ascii="宋体" w:hAnsi="宋体" w:eastAsia="宋体" w:cs="宋体"/>
          <w:sz w:val="24"/>
          <w:szCs w:val="24"/>
        </w:rPr>
      </w:pPr>
      <w:r>
        <w:rPr>
          <w:rFonts w:ascii="Times New Roman" w:hAnsi="Times New Roman" w:eastAsia="Times New Roman" w:cs="Times New Roman"/>
          <w:b/>
          <w:bCs/>
          <w:sz w:val="24"/>
          <w:szCs w:val="24"/>
        </w:rPr>
        <w:t>c.</w:t>
      </w:r>
      <w:r>
        <w:rPr>
          <w:rFonts w:ascii="宋体" w:hAnsi="宋体" w:eastAsia="宋体" w:cs="宋体"/>
          <w:sz w:val="24"/>
          <w:szCs w:val="24"/>
          <w14:textOutline w14:w="4354" w14:cap="flat" w14:cmpd="sng">
            <w14:solidFill>
              <w14:srgbClr w14:val="000000"/>
            </w14:solidFill>
            <w14:prstDash w14:val="solid"/>
            <w14:miter w14:val="0"/>
          </w14:textOutline>
        </w:rPr>
        <w:t>热带亚洲和热带美洲间断分布。</w:t>
      </w:r>
      <w:r>
        <w:rPr>
          <w:rFonts w:ascii="宋体" w:hAnsi="宋体" w:eastAsia="宋体" w:cs="宋体"/>
          <w:sz w:val="24"/>
          <w:szCs w:val="24"/>
        </w:rPr>
        <w:t>指间断分布于美洲和亚洲温暖地区的热</w:t>
      </w:r>
      <w:r>
        <w:rPr>
          <w:rFonts w:ascii="宋体" w:hAnsi="宋体" w:eastAsia="宋体" w:cs="宋体"/>
          <w:spacing w:val="4"/>
          <w:sz w:val="24"/>
          <w:szCs w:val="24"/>
        </w:rPr>
        <w:t xml:space="preserve"> </w:t>
      </w:r>
      <w:r>
        <w:rPr>
          <w:rFonts w:ascii="宋体" w:hAnsi="宋体" w:eastAsia="宋体" w:cs="宋体"/>
          <w:spacing w:val="-5"/>
          <w:sz w:val="24"/>
          <w:szCs w:val="24"/>
        </w:rPr>
        <w:t>带属，在东半球从亚洲可能延伸到澳大利亚东北部或西南太平洋岛</w:t>
      </w:r>
      <w:r>
        <w:rPr>
          <w:rFonts w:ascii="宋体" w:hAnsi="宋体" w:eastAsia="宋体" w:cs="宋体"/>
          <w:spacing w:val="-6"/>
          <w:sz w:val="24"/>
          <w:szCs w:val="24"/>
        </w:rPr>
        <w:t>屿。</w:t>
      </w:r>
      <w:r>
        <w:rPr>
          <w:rFonts w:ascii="宋体" w:hAnsi="宋体" w:eastAsia="宋体" w:cs="宋体"/>
          <w:spacing w:val="43"/>
          <w:sz w:val="24"/>
          <w:szCs w:val="24"/>
        </w:rPr>
        <w:t xml:space="preserve"> </w:t>
      </w:r>
      <w:r>
        <w:rPr>
          <w:rFonts w:ascii="宋体" w:hAnsi="宋体" w:eastAsia="宋体" w:cs="宋体"/>
          <w:spacing w:val="-6"/>
          <w:sz w:val="24"/>
          <w:szCs w:val="24"/>
        </w:rPr>
        <w:t>评价区</w:t>
      </w:r>
      <w:r>
        <w:rPr>
          <w:rFonts w:ascii="宋体" w:hAnsi="宋体" w:eastAsia="宋体" w:cs="宋体"/>
          <w:sz w:val="24"/>
          <w:szCs w:val="24"/>
        </w:rPr>
        <w:t xml:space="preserve"> </w:t>
      </w:r>
      <w:r>
        <w:rPr>
          <w:rFonts w:ascii="宋体" w:hAnsi="宋体" w:eastAsia="宋体" w:cs="宋体"/>
          <w:spacing w:val="-2"/>
          <w:sz w:val="24"/>
          <w:szCs w:val="24"/>
        </w:rPr>
        <w:t>属于此分布型较少，仅有</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 xml:space="preserve">8 </w:t>
      </w:r>
      <w:r>
        <w:rPr>
          <w:rFonts w:ascii="宋体" w:hAnsi="宋体" w:eastAsia="宋体" w:cs="宋体"/>
          <w:spacing w:val="-2"/>
          <w:sz w:val="24"/>
          <w:szCs w:val="24"/>
        </w:rPr>
        <w:t>属，占总数的</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2.88%</w:t>
      </w:r>
      <w:r>
        <w:rPr>
          <w:rFonts w:ascii="宋体" w:hAnsi="宋体" w:eastAsia="宋体" w:cs="宋体"/>
          <w:spacing w:val="-2"/>
          <w:sz w:val="24"/>
          <w:szCs w:val="24"/>
        </w:rPr>
        <w:t>。此分布型在本区出现的主要</w:t>
      </w:r>
    </w:p>
    <w:p>
      <w:pPr>
        <w:spacing w:line="212" w:lineRule="auto"/>
        <w:ind w:left="42"/>
        <w:rPr>
          <w:rFonts w:ascii="宋体" w:hAnsi="宋体" w:eastAsia="宋体" w:cs="宋体"/>
          <w:sz w:val="24"/>
          <w:szCs w:val="24"/>
        </w:rPr>
      </w:pPr>
      <w:r>
        <w:rPr>
          <w:rFonts w:ascii="宋体" w:hAnsi="宋体" w:eastAsia="宋体" w:cs="宋体"/>
          <w:spacing w:val="-2"/>
          <w:sz w:val="24"/>
          <w:szCs w:val="24"/>
        </w:rPr>
        <w:t>为龙舌兰属</w:t>
      </w:r>
      <w:r>
        <w:rPr>
          <w:rFonts w:ascii="宋体" w:hAnsi="宋体" w:eastAsia="宋体" w:cs="宋体"/>
          <w:spacing w:val="-71"/>
          <w:sz w:val="24"/>
          <w:szCs w:val="24"/>
        </w:rPr>
        <w:t xml:space="preserve"> </w:t>
      </w:r>
      <w:r>
        <w:rPr>
          <w:rFonts w:ascii="Times New Roman" w:hAnsi="Times New Roman" w:eastAsia="Times New Roman" w:cs="Times New Roman"/>
          <w:i/>
          <w:iCs/>
          <w:spacing w:val="-2"/>
          <w:sz w:val="24"/>
          <w:szCs w:val="24"/>
        </w:rPr>
        <w:t>Agave</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、秋英属</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Cosmos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、黄杞属</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Engelhardtia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、柃木属</w:t>
      </w:r>
      <w:r>
        <w:rPr>
          <w:rFonts w:ascii="宋体" w:hAnsi="宋体" w:eastAsia="宋体" w:cs="宋体"/>
          <w:spacing w:val="-64"/>
          <w:sz w:val="24"/>
          <w:szCs w:val="24"/>
        </w:rPr>
        <w:t xml:space="preserve"> </w:t>
      </w:r>
      <w:r>
        <w:rPr>
          <w:rFonts w:ascii="Times New Roman" w:hAnsi="Times New Roman" w:eastAsia="Times New Roman" w:cs="Times New Roman"/>
          <w:i/>
          <w:iCs/>
          <w:spacing w:val="-2"/>
          <w:sz w:val="24"/>
          <w:szCs w:val="24"/>
        </w:rPr>
        <w:t>Eur</w:t>
      </w:r>
      <w:r>
        <w:rPr>
          <w:rFonts w:ascii="Times New Roman" w:hAnsi="Times New Roman" w:eastAsia="Times New Roman" w:cs="Times New Roman"/>
          <w:i/>
          <w:iCs/>
          <w:spacing w:val="-3"/>
          <w:sz w:val="24"/>
          <w:szCs w:val="24"/>
        </w:rPr>
        <w:t>ya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、白珠</w:t>
      </w:r>
    </w:p>
    <w:p>
      <w:pPr>
        <w:spacing w:line="212" w:lineRule="auto"/>
        <w:rPr>
          <w:rFonts w:ascii="宋体" w:hAnsi="宋体" w:eastAsia="宋体" w:cs="宋体"/>
          <w:sz w:val="24"/>
          <w:szCs w:val="24"/>
        </w:rPr>
        <w:sectPr>
          <w:headerReference r:id="rId288" w:type="default"/>
          <w:footerReference r:id="rId289" w:type="default"/>
          <w:pgSz w:w="11907" w:h="16839"/>
          <w:pgMar w:top="1156" w:right="1768" w:bottom="1374" w:left="1770" w:header="881" w:footer="1210" w:gutter="0"/>
        </w:sectPr>
      </w:pPr>
    </w:p>
    <w:p>
      <w:pPr>
        <w:spacing w:line="317" w:lineRule="auto"/>
        <w:rPr>
          <w:rFonts w:ascii="Arial"/>
          <w:sz w:val="21"/>
        </w:rPr>
      </w:pPr>
    </w:p>
    <w:p>
      <w:pPr>
        <w:spacing w:before="78" w:line="360" w:lineRule="auto"/>
        <w:ind w:left="38" w:right="70"/>
        <w:jc w:val="both"/>
        <w:rPr>
          <w:rFonts w:ascii="宋体" w:hAnsi="宋体" w:eastAsia="宋体" w:cs="宋体"/>
          <w:sz w:val="24"/>
          <w:szCs w:val="24"/>
        </w:rPr>
      </w:pPr>
      <w:r>
        <w:rPr>
          <w:rFonts w:ascii="宋体" w:hAnsi="宋体" w:eastAsia="宋体" w:cs="宋体"/>
          <w:spacing w:val="-3"/>
          <w:sz w:val="24"/>
          <w:szCs w:val="24"/>
        </w:rPr>
        <w:t>树属</w:t>
      </w:r>
      <w:r>
        <w:rPr>
          <w:rFonts w:ascii="宋体" w:hAnsi="宋体" w:eastAsia="宋体" w:cs="宋体"/>
          <w:spacing w:val="-26"/>
          <w:sz w:val="24"/>
          <w:szCs w:val="24"/>
        </w:rPr>
        <w:t xml:space="preserve"> </w:t>
      </w:r>
      <w:r>
        <w:rPr>
          <w:rFonts w:ascii="Times New Roman" w:hAnsi="Times New Roman" w:eastAsia="Times New Roman" w:cs="Times New Roman"/>
          <w:i/>
          <w:iCs/>
          <w:spacing w:val="-3"/>
          <w:sz w:val="24"/>
          <w:szCs w:val="24"/>
        </w:rPr>
        <w:t>Gaultheria</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、木姜子属</w:t>
      </w:r>
      <w:r>
        <w:rPr>
          <w:rFonts w:ascii="宋体" w:hAnsi="宋体" w:eastAsia="宋体" w:cs="宋体"/>
          <w:spacing w:val="-68"/>
          <w:sz w:val="24"/>
          <w:szCs w:val="24"/>
        </w:rPr>
        <w:t xml:space="preserve"> </w:t>
      </w:r>
      <w:r>
        <w:rPr>
          <w:rFonts w:ascii="Times New Roman" w:hAnsi="Times New Roman" w:eastAsia="Times New Roman" w:cs="Times New Roman"/>
          <w:i/>
          <w:iCs/>
          <w:spacing w:val="-3"/>
          <w:sz w:val="24"/>
          <w:szCs w:val="24"/>
        </w:rPr>
        <w:t>Litsea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、安息香属</w:t>
      </w:r>
      <w:r>
        <w:rPr>
          <w:rFonts w:ascii="宋体" w:hAnsi="宋体" w:eastAsia="宋体" w:cs="宋体"/>
          <w:spacing w:val="-58"/>
          <w:sz w:val="24"/>
          <w:szCs w:val="24"/>
        </w:rPr>
        <w:t xml:space="preserve"> </w:t>
      </w:r>
      <w:r>
        <w:rPr>
          <w:rFonts w:ascii="Times New Roman" w:hAnsi="Times New Roman" w:eastAsia="Times New Roman" w:cs="Times New Roman"/>
          <w:i/>
          <w:iCs/>
          <w:spacing w:val="-3"/>
          <w:sz w:val="24"/>
          <w:szCs w:val="24"/>
        </w:rPr>
        <w:t>Styrax</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、旱金莲属</w:t>
      </w:r>
      <w:r>
        <w:rPr>
          <w:rFonts w:ascii="宋体" w:hAnsi="宋体" w:eastAsia="宋体" w:cs="宋体"/>
          <w:spacing w:val="-43"/>
          <w:sz w:val="24"/>
          <w:szCs w:val="24"/>
        </w:rPr>
        <w:t xml:space="preserve"> </w:t>
      </w:r>
      <w:r>
        <w:rPr>
          <w:rFonts w:ascii="Times New Roman" w:hAnsi="Times New Roman" w:eastAsia="Times New Roman" w:cs="Times New Roman"/>
          <w:i/>
          <w:iCs/>
          <w:spacing w:val="-3"/>
          <w:sz w:val="24"/>
          <w:szCs w:val="24"/>
        </w:rPr>
        <w:t xml:space="preserve">Tropaeolum </w:t>
      </w:r>
      <w:r>
        <w:rPr>
          <w:rFonts w:ascii="宋体" w:hAnsi="宋体" w:eastAsia="宋体" w:cs="宋体"/>
          <w:spacing w:val="-3"/>
          <w:sz w:val="24"/>
          <w:szCs w:val="24"/>
        </w:rPr>
        <w:t>为代</w:t>
      </w:r>
      <w:r>
        <w:rPr>
          <w:rFonts w:ascii="宋体" w:hAnsi="宋体" w:eastAsia="宋体" w:cs="宋体"/>
          <w:sz w:val="24"/>
          <w:szCs w:val="24"/>
        </w:rPr>
        <w:t xml:space="preserve"> 表，这些属在评价区出现的种类通常是当地阔叶林或针阔</w:t>
      </w:r>
      <w:r>
        <w:rPr>
          <w:rFonts w:ascii="宋体" w:hAnsi="宋体" w:eastAsia="宋体" w:cs="宋体"/>
          <w:spacing w:val="-1"/>
          <w:sz w:val="24"/>
          <w:szCs w:val="24"/>
        </w:rPr>
        <w:t>混交林物种的主要组</w:t>
      </w:r>
    </w:p>
    <w:p>
      <w:pPr>
        <w:spacing w:line="220" w:lineRule="auto"/>
        <w:ind w:left="41"/>
        <w:rPr>
          <w:rFonts w:ascii="宋体" w:hAnsi="宋体" w:eastAsia="宋体" w:cs="宋体"/>
          <w:sz w:val="24"/>
          <w:szCs w:val="24"/>
        </w:rPr>
      </w:pPr>
      <w:r>
        <w:rPr>
          <w:rFonts w:ascii="宋体" w:hAnsi="宋体" w:eastAsia="宋体" w:cs="宋体"/>
          <w:spacing w:val="-9"/>
          <w:sz w:val="24"/>
          <w:szCs w:val="24"/>
        </w:rPr>
        <w:t>成成分。</w:t>
      </w:r>
    </w:p>
    <w:p>
      <w:pPr>
        <w:spacing w:before="182" w:line="360" w:lineRule="auto"/>
        <w:ind w:left="38" w:right="90" w:firstLine="483"/>
        <w:rPr>
          <w:rFonts w:ascii="宋体" w:hAnsi="宋体" w:eastAsia="宋体" w:cs="宋体"/>
          <w:sz w:val="24"/>
          <w:szCs w:val="24"/>
        </w:rPr>
      </w:pPr>
      <w:r>
        <w:rPr>
          <w:rFonts w:ascii="Times New Roman" w:hAnsi="Times New Roman" w:eastAsia="Times New Roman" w:cs="Times New Roman"/>
          <w:b/>
          <w:bCs/>
          <w:sz w:val="24"/>
          <w:szCs w:val="24"/>
        </w:rPr>
        <w:t>d.</w:t>
      </w:r>
      <w:r>
        <w:rPr>
          <w:rFonts w:ascii="宋体" w:hAnsi="宋体" w:eastAsia="宋体" w:cs="宋体"/>
          <w:sz w:val="24"/>
          <w:szCs w:val="24"/>
          <w14:textOutline w14:w="4354" w14:cap="flat" w14:cmpd="sng">
            <w14:solidFill>
              <w14:srgbClr w14:val="000000"/>
            </w14:solidFill>
            <w14:prstDash w14:val="solid"/>
            <w14:miter w14:val="0"/>
          </w14:textOutline>
        </w:rPr>
        <w:t>旧世界热带分布及其变型。</w:t>
      </w:r>
      <w:r>
        <w:rPr>
          <w:rFonts w:ascii="宋体" w:hAnsi="宋体" w:eastAsia="宋体" w:cs="宋体"/>
          <w:sz w:val="24"/>
          <w:szCs w:val="24"/>
        </w:rPr>
        <w:t xml:space="preserve">指分布于亚洲、非洲和大洋洲热带地区及其  </w:t>
      </w:r>
      <w:r>
        <w:rPr>
          <w:rFonts w:ascii="宋体" w:hAnsi="宋体" w:eastAsia="宋体" w:cs="宋体"/>
          <w:spacing w:val="-6"/>
          <w:sz w:val="24"/>
          <w:szCs w:val="24"/>
        </w:rPr>
        <w:t>邻近岛屿的属。</w:t>
      </w:r>
      <w:r>
        <w:rPr>
          <w:rFonts w:ascii="宋体" w:hAnsi="宋体" w:eastAsia="宋体" w:cs="宋体"/>
          <w:spacing w:val="42"/>
          <w:sz w:val="24"/>
          <w:szCs w:val="24"/>
        </w:rPr>
        <w:t xml:space="preserve"> </w:t>
      </w:r>
      <w:r>
        <w:rPr>
          <w:rFonts w:ascii="宋体" w:hAnsi="宋体" w:eastAsia="宋体" w:cs="宋体"/>
          <w:spacing w:val="-6"/>
          <w:sz w:val="24"/>
          <w:szCs w:val="24"/>
        </w:rPr>
        <w:t>评价区属于此分布型的有</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15</w:t>
      </w:r>
      <w:r>
        <w:rPr>
          <w:rFonts w:ascii="Times New Roman" w:hAnsi="Times New Roman" w:eastAsia="Times New Roman" w:cs="Times New Roman"/>
          <w:spacing w:val="-7"/>
          <w:sz w:val="24"/>
          <w:szCs w:val="24"/>
        </w:rPr>
        <w:t xml:space="preserve"> </w:t>
      </w:r>
      <w:r>
        <w:rPr>
          <w:rFonts w:ascii="宋体" w:hAnsi="宋体" w:eastAsia="宋体" w:cs="宋体"/>
          <w:spacing w:val="-7"/>
          <w:sz w:val="24"/>
          <w:szCs w:val="24"/>
        </w:rPr>
        <w:t>属，占总数的</w:t>
      </w:r>
      <w:r>
        <w:rPr>
          <w:rFonts w:ascii="宋体" w:hAnsi="宋体" w:eastAsia="宋体" w:cs="宋体"/>
          <w:spacing w:val="-29"/>
          <w:sz w:val="24"/>
          <w:szCs w:val="24"/>
        </w:rPr>
        <w:t xml:space="preserve"> </w:t>
      </w:r>
      <w:r>
        <w:rPr>
          <w:rFonts w:ascii="Times New Roman" w:hAnsi="Times New Roman" w:eastAsia="Times New Roman" w:cs="Times New Roman"/>
          <w:spacing w:val="-7"/>
          <w:sz w:val="24"/>
          <w:szCs w:val="24"/>
        </w:rPr>
        <w:t>5.40%</w:t>
      </w:r>
      <w:r>
        <w:rPr>
          <w:rFonts w:ascii="宋体" w:hAnsi="宋体" w:eastAsia="宋体" w:cs="宋体"/>
          <w:spacing w:val="-7"/>
          <w:sz w:val="24"/>
          <w:szCs w:val="24"/>
        </w:rPr>
        <w:t>，多为延伸到</w:t>
      </w:r>
      <w:r>
        <w:rPr>
          <w:rFonts w:ascii="宋体" w:hAnsi="宋体" w:eastAsia="宋体" w:cs="宋体"/>
          <w:sz w:val="24"/>
          <w:szCs w:val="24"/>
        </w:rPr>
        <w:t xml:space="preserve"> </w:t>
      </w:r>
      <w:r>
        <w:rPr>
          <w:rFonts w:ascii="宋体" w:hAnsi="宋体" w:eastAsia="宋体" w:cs="宋体"/>
          <w:spacing w:val="-1"/>
          <w:sz w:val="24"/>
          <w:szCs w:val="24"/>
        </w:rPr>
        <w:t>温带的属，如牛膝属</w:t>
      </w:r>
      <w:r>
        <w:rPr>
          <w:rFonts w:ascii="宋体" w:hAnsi="宋体" w:eastAsia="宋体" w:cs="宋体"/>
          <w:spacing w:val="-71"/>
          <w:sz w:val="24"/>
          <w:szCs w:val="24"/>
        </w:rPr>
        <w:t xml:space="preserve"> </w:t>
      </w:r>
      <w:r>
        <w:rPr>
          <w:rFonts w:ascii="Times New Roman" w:hAnsi="Times New Roman" w:eastAsia="Times New Roman" w:cs="Times New Roman"/>
          <w:i/>
          <w:iCs/>
          <w:spacing w:val="-1"/>
          <w:sz w:val="24"/>
          <w:szCs w:val="24"/>
        </w:rPr>
        <w:t>Achyranthes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、荩草属</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Arthraxon</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、雨久花属</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w:t>
      </w:r>
      <w:r>
        <w:rPr>
          <w:rFonts w:ascii="Times New Roman" w:hAnsi="Times New Roman" w:eastAsia="Times New Roman" w:cs="Times New Roman"/>
          <w:i/>
          <w:iCs/>
          <w:spacing w:val="-2"/>
          <w:sz w:val="24"/>
          <w:szCs w:val="24"/>
        </w:rPr>
        <w:t>ichhornia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、黄</w:t>
      </w:r>
    </w:p>
    <w:p>
      <w:pPr>
        <w:spacing w:line="212" w:lineRule="auto"/>
        <w:ind w:left="41"/>
        <w:rPr>
          <w:rFonts w:ascii="宋体" w:hAnsi="宋体" w:eastAsia="宋体" w:cs="宋体"/>
          <w:sz w:val="24"/>
          <w:szCs w:val="24"/>
        </w:rPr>
      </w:pPr>
      <w:r>
        <w:rPr>
          <w:rFonts w:ascii="宋体" w:hAnsi="宋体" w:eastAsia="宋体" w:cs="宋体"/>
          <w:spacing w:val="-2"/>
          <w:sz w:val="24"/>
          <w:szCs w:val="24"/>
        </w:rPr>
        <w:t>金茅属</w:t>
      </w:r>
      <w:r>
        <w:rPr>
          <w:rFonts w:ascii="宋体" w:hAnsi="宋体" w:eastAsia="宋体" w:cs="宋体"/>
          <w:spacing w:val="-54"/>
          <w:sz w:val="24"/>
          <w:szCs w:val="24"/>
        </w:rPr>
        <w:t xml:space="preserve"> </w:t>
      </w:r>
      <w:r>
        <w:rPr>
          <w:rFonts w:ascii="Times New Roman" w:hAnsi="Times New Roman" w:eastAsia="Times New Roman" w:cs="Times New Roman"/>
          <w:i/>
          <w:iCs/>
          <w:spacing w:val="-2"/>
          <w:sz w:val="24"/>
          <w:szCs w:val="24"/>
        </w:rPr>
        <w:t>Eulalia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、白饭树属</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Flueggea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、爵床属</w:t>
      </w:r>
      <w:r>
        <w:rPr>
          <w:rFonts w:ascii="宋体" w:hAnsi="宋体" w:eastAsia="宋体" w:cs="宋体"/>
          <w:spacing w:val="-68"/>
          <w:sz w:val="24"/>
          <w:szCs w:val="24"/>
        </w:rPr>
        <w:t xml:space="preserve"> </w:t>
      </w:r>
      <w:r>
        <w:rPr>
          <w:rFonts w:ascii="Times New Roman" w:hAnsi="Times New Roman" w:eastAsia="Times New Roman" w:cs="Times New Roman"/>
          <w:i/>
          <w:iCs/>
          <w:spacing w:val="-2"/>
          <w:sz w:val="24"/>
          <w:szCs w:val="24"/>
        </w:rPr>
        <w:t>Justicia</w:t>
      </w:r>
      <w:r>
        <w:rPr>
          <w:rFonts w:ascii="宋体" w:hAnsi="宋体" w:eastAsia="宋体" w:cs="宋体"/>
          <w:spacing w:val="-2"/>
          <w:sz w:val="24"/>
          <w:szCs w:val="24"/>
        </w:rPr>
        <w:t>、菅属</w:t>
      </w:r>
      <w:r>
        <w:rPr>
          <w:rFonts w:ascii="宋体" w:hAnsi="宋体" w:eastAsia="宋体" w:cs="宋体"/>
          <w:spacing w:val="-22"/>
          <w:sz w:val="24"/>
          <w:szCs w:val="24"/>
        </w:rPr>
        <w:t xml:space="preserve"> </w:t>
      </w:r>
      <w:r>
        <w:rPr>
          <w:rFonts w:ascii="Times New Roman" w:hAnsi="Times New Roman" w:eastAsia="Times New Roman" w:cs="Times New Roman"/>
          <w:i/>
          <w:iCs/>
          <w:spacing w:val="-2"/>
          <w:sz w:val="24"/>
          <w:szCs w:val="24"/>
        </w:rPr>
        <w:t xml:space="preserve">Themeda </w:t>
      </w:r>
      <w:r>
        <w:rPr>
          <w:rFonts w:ascii="宋体" w:hAnsi="宋体" w:eastAsia="宋体" w:cs="宋体"/>
          <w:spacing w:val="-2"/>
          <w:sz w:val="24"/>
          <w:szCs w:val="24"/>
        </w:rPr>
        <w:t>等。</w:t>
      </w:r>
    </w:p>
    <w:p>
      <w:pPr>
        <w:spacing w:before="192" w:line="360" w:lineRule="auto"/>
        <w:ind w:left="41" w:right="158" w:firstLine="480"/>
        <w:rPr>
          <w:rFonts w:ascii="宋体" w:hAnsi="宋体" w:eastAsia="宋体" w:cs="宋体"/>
          <w:sz w:val="24"/>
          <w:szCs w:val="24"/>
        </w:rPr>
      </w:pPr>
      <w:r>
        <w:rPr>
          <w:rFonts w:ascii="Times New Roman" w:hAnsi="Times New Roman" w:eastAsia="Times New Roman" w:cs="Times New Roman"/>
          <w:b/>
          <w:bCs/>
          <w:sz w:val="24"/>
          <w:szCs w:val="24"/>
        </w:rPr>
        <w:t>e.</w:t>
      </w:r>
      <w:r>
        <w:rPr>
          <w:rFonts w:ascii="宋体" w:hAnsi="宋体" w:eastAsia="宋体" w:cs="宋体"/>
          <w:sz w:val="24"/>
          <w:szCs w:val="24"/>
          <w14:textOutline w14:w="4354" w14:cap="flat" w14:cmpd="sng">
            <w14:solidFill>
              <w14:srgbClr w14:val="000000"/>
            </w14:solidFill>
            <w14:prstDash w14:val="solid"/>
            <w14:miter w14:val="0"/>
          </w14:textOutline>
        </w:rPr>
        <w:t>热带亚洲至热带大洋洲分布。</w:t>
      </w:r>
      <w:r>
        <w:rPr>
          <w:rFonts w:ascii="宋体" w:hAnsi="宋体" w:eastAsia="宋体" w:cs="宋体"/>
          <w:sz w:val="24"/>
          <w:szCs w:val="24"/>
        </w:rPr>
        <w:t>指旧世界热带分布区的东翼，其西端有时</w:t>
      </w:r>
      <w:r>
        <w:rPr>
          <w:rFonts w:ascii="宋体" w:hAnsi="宋体" w:eastAsia="宋体" w:cs="宋体"/>
          <w:spacing w:val="2"/>
          <w:sz w:val="24"/>
          <w:szCs w:val="24"/>
        </w:rPr>
        <w:t xml:space="preserve"> </w:t>
      </w:r>
      <w:r>
        <w:rPr>
          <w:rFonts w:ascii="宋体" w:hAnsi="宋体" w:eastAsia="宋体" w:cs="宋体"/>
          <w:spacing w:val="-6"/>
          <w:sz w:val="24"/>
          <w:szCs w:val="24"/>
        </w:rPr>
        <w:t>可达马达加斯加，但一般不到非洲大陆。</w:t>
      </w:r>
      <w:r>
        <w:rPr>
          <w:rFonts w:ascii="宋体" w:hAnsi="宋体" w:eastAsia="宋体" w:cs="宋体"/>
          <w:spacing w:val="58"/>
          <w:sz w:val="24"/>
          <w:szCs w:val="24"/>
        </w:rPr>
        <w:t xml:space="preserve"> </w:t>
      </w:r>
      <w:r>
        <w:rPr>
          <w:rFonts w:ascii="宋体" w:hAnsi="宋体" w:eastAsia="宋体" w:cs="宋体"/>
          <w:spacing w:val="-6"/>
          <w:sz w:val="24"/>
          <w:szCs w:val="24"/>
        </w:rPr>
        <w:t>评价区属于此分布型的</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 xml:space="preserve">9 </w:t>
      </w:r>
      <w:r>
        <w:rPr>
          <w:rFonts w:ascii="宋体" w:hAnsi="宋体" w:eastAsia="宋体" w:cs="宋体"/>
          <w:spacing w:val="-6"/>
          <w:sz w:val="24"/>
          <w:szCs w:val="24"/>
        </w:rPr>
        <w:t>属，占总数</w:t>
      </w:r>
      <w:r>
        <w:rPr>
          <w:rFonts w:ascii="宋体" w:hAnsi="宋体" w:eastAsia="宋体" w:cs="宋体"/>
          <w:sz w:val="24"/>
          <w:szCs w:val="24"/>
        </w:rPr>
        <w:t xml:space="preserve"> </w:t>
      </w:r>
      <w:r>
        <w:rPr>
          <w:rFonts w:ascii="宋体" w:hAnsi="宋体" w:eastAsia="宋体" w:cs="宋体"/>
          <w:spacing w:val="-1"/>
          <w:sz w:val="24"/>
          <w:szCs w:val="24"/>
        </w:rPr>
        <w:t>的</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3.24%</w:t>
      </w:r>
      <w:r>
        <w:rPr>
          <w:rFonts w:ascii="宋体" w:hAnsi="宋体" w:eastAsia="宋体" w:cs="宋体"/>
          <w:spacing w:val="-1"/>
          <w:sz w:val="24"/>
          <w:szCs w:val="24"/>
        </w:rPr>
        <w:t>，如臭椿属</w:t>
      </w:r>
      <w:r>
        <w:rPr>
          <w:rFonts w:ascii="宋体" w:hAnsi="宋体" w:eastAsia="宋体" w:cs="宋体"/>
          <w:spacing w:val="-71"/>
          <w:sz w:val="24"/>
          <w:szCs w:val="24"/>
        </w:rPr>
        <w:t xml:space="preserve"> </w:t>
      </w:r>
      <w:r>
        <w:rPr>
          <w:rFonts w:ascii="Times New Roman" w:hAnsi="Times New Roman" w:eastAsia="Times New Roman" w:cs="Times New Roman"/>
          <w:i/>
          <w:iCs/>
          <w:spacing w:val="-1"/>
          <w:sz w:val="24"/>
          <w:szCs w:val="24"/>
        </w:rPr>
        <w:t>Ailanthus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、杜英属</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w:t>
      </w:r>
      <w:r>
        <w:rPr>
          <w:rFonts w:ascii="Times New Roman" w:hAnsi="Times New Roman" w:eastAsia="Times New Roman" w:cs="Times New Roman"/>
          <w:i/>
          <w:iCs/>
          <w:spacing w:val="-2"/>
          <w:sz w:val="24"/>
          <w:szCs w:val="24"/>
        </w:rPr>
        <w:t>laeocarpus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、瓜馥木属</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Fissistigma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、糯</w:t>
      </w:r>
    </w:p>
    <w:p>
      <w:pPr>
        <w:spacing w:line="212" w:lineRule="auto"/>
        <w:ind w:left="39"/>
        <w:rPr>
          <w:rFonts w:ascii="宋体" w:hAnsi="宋体" w:eastAsia="宋体" w:cs="宋体"/>
          <w:sz w:val="24"/>
          <w:szCs w:val="24"/>
        </w:rPr>
      </w:pPr>
      <w:r>
        <w:rPr>
          <w:rFonts w:ascii="宋体" w:hAnsi="宋体" w:eastAsia="宋体" w:cs="宋体"/>
          <w:spacing w:val="-2"/>
          <w:sz w:val="24"/>
          <w:szCs w:val="24"/>
        </w:rPr>
        <w:t>米团属</w:t>
      </w:r>
      <w:r>
        <w:rPr>
          <w:rFonts w:ascii="宋体" w:hAnsi="宋体" w:eastAsia="宋体" w:cs="宋体"/>
          <w:spacing w:val="-40"/>
          <w:sz w:val="24"/>
          <w:szCs w:val="24"/>
        </w:rPr>
        <w:t xml:space="preserve"> </w:t>
      </w:r>
      <w:r>
        <w:rPr>
          <w:rFonts w:ascii="Times New Roman" w:hAnsi="Times New Roman" w:eastAsia="Times New Roman" w:cs="Times New Roman"/>
          <w:i/>
          <w:iCs/>
          <w:spacing w:val="-2"/>
          <w:sz w:val="24"/>
          <w:szCs w:val="24"/>
        </w:rPr>
        <w:t>Gonostegia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、野牡丹属</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Melastoma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、梁王茶属</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Nothopanax</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、石仙桃属</w:t>
      </w:r>
    </w:p>
    <w:p>
      <w:pPr>
        <w:spacing w:before="191" w:line="220" w:lineRule="auto"/>
        <w:ind w:left="24"/>
        <w:rPr>
          <w:rFonts w:ascii="宋体" w:hAnsi="宋体" w:eastAsia="宋体" w:cs="宋体"/>
          <w:sz w:val="24"/>
          <w:szCs w:val="24"/>
        </w:rPr>
      </w:pPr>
      <w:r>
        <w:rPr>
          <w:rFonts w:ascii="Times New Roman" w:hAnsi="Times New Roman" w:eastAsia="Times New Roman" w:cs="Times New Roman"/>
          <w:i/>
          <w:iCs/>
          <w:spacing w:val="-3"/>
          <w:sz w:val="24"/>
          <w:szCs w:val="24"/>
        </w:rPr>
        <w:t>Pholidota</w:t>
      </w:r>
      <w:r>
        <w:rPr>
          <w:rFonts w:ascii="Times New Roman" w:hAnsi="Times New Roman" w:eastAsia="Times New Roman" w:cs="Times New Roman"/>
          <w:i/>
          <w:iCs/>
          <w:spacing w:val="-29"/>
          <w:sz w:val="24"/>
          <w:szCs w:val="24"/>
        </w:rPr>
        <w:t xml:space="preserve"> </w:t>
      </w:r>
      <w:r>
        <w:rPr>
          <w:rFonts w:ascii="宋体" w:hAnsi="宋体" w:eastAsia="宋体" w:cs="宋体"/>
          <w:spacing w:val="-3"/>
          <w:sz w:val="24"/>
          <w:szCs w:val="24"/>
        </w:rPr>
        <w:t>、茅瓜属</w:t>
      </w:r>
      <w:r>
        <w:rPr>
          <w:rFonts w:ascii="宋体" w:hAnsi="宋体" w:eastAsia="宋体" w:cs="宋体"/>
          <w:spacing w:val="-58"/>
          <w:sz w:val="24"/>
          <w:szCs w:val="24"/>
        </w:rPr>
        <w:t xml:space="preserve"> </w:t>
      </w:r>
      <w:r>
        <w:rPr>
          <w:rFonts w:ascii="Times New Roman" w:hAnsi="Times New Roman" w:eastAsia="Times New Roman" w:cs="Times New Roman"/>
          <w:i/>
          <w:iCs/>
          <w:spacing w:val="-3"/>
          <w:sz w:val="24"/>
          <w:szCs w:val="24"/>
        </w:rPr>
        <w:t>Solena</w:t>
      </w:r>
      <w:r>
        <w:rPr>
          <w:rFonts w:ascii="Times New Roman" w:hAnsi="Times New Roman" w:eastAsia="Times New Roman" w:cs="Times New Roman"/>
          <w:i/>
          <w:iCs/>
          <w:spacing w:val="-35"/>
          <w:sz w:val="24"/>
          <w:szCs w:val="24"/>
        </w:rPr>
        <w:t xml:space="preserve"> </w:t>
      </w:r>
      <w:r>
        <w:rPr>
          <w:rFonts w:ascii="宋体" w:hAnsi="宋体" w:eastAsia="宋体" w:cs="宋体"/>
          <w:spacing w:val="-3"/>
          <w:sz w:val="24"/>
          <w:szCs w:val="24"/>
        </w:rPr>
        <w:t>、水锦树属</w:t>
      </w:r>
      <w:r>
        <w:rPr>
          <w:rFonts w:ascii="宋体" w:hAnsi="宋体" w:eastAsia="宋体" w:cs="宋体"/>
          <w:spacing w:val="-30"/>
          <w:sz w:val="24"/>
          <w:szCs w:val="24"/>
        </w:rPr>
        <w:t xml:space="preserve"> </w:t>
      </w:r>
      <w:r>
        <w:rPr>
          <w:rFonts w:ascii="Times New Roman" w:hAnsi="Times New Roman" w:eastAsia="Times New Roman" w:cs="Times New Roman"/>
          <w:i/>
          <w:iCs/>
          <w:spacing w:val="-3"/>
          <w:sz w:val="24"/>
          <w:szCs w:val="24"/>
        </w:rPr>
        <w:t>Wendlandia</w:t>
      </w:r>
      <w:r>
        <w:rPr>
          <w:rFonts w:ascii="宋体" w:hAnsi="宋体" w:eastAsia="宋体" w:cs="宋体"/>
          <w:spacing w:val="-3"/>
          <w:sz w:val="24"/>
          <w:szCs w:val="24"/>
        </w:rPr>
        <w:t>、</w:t>
      </w:r>
    </w:p>
    <w:p>
      <w:pPr>
        <w:spacing w:before="182" w:line="360" w:lineRule="auto"/>
        <w:ind w:left="44" w:right="175" w:firstLine="475"/>
        <w:rPr>
          <w:rFonts w:ascii="宋体" w:hAnsi="宋体" w:eastAsia="宋体" w:cs="宋体"/>
          <w:sz w:val="24"/>
          <w:szCs w:val="24"/>
        </w:rPr>
      </w:pPr>
      <w:r>
        <w:rPr>
          <w:rFonts w:ascii="Times New Roman" w:hAnsi="Times New Roman" w:eastAsia="Times New Roman" w:cs="Times New Roman"/>
          <w:b/>
          <w:bCs/>
          <w:sz w:val="24"/>
          <w:szCs w:val="24"/>
        </w:rPr>
        <w:t>f.</w:t>
      </w:r>
      <w:r>
        <w:rPr>
          <w:rFonts w:ascii="宋体" w:hAnsi="宋体" w:eastAsia="宋体" w:cs="宋体"/>
          <w:sz w:val="24"/>
          <w:szCs w:val="24"/>
          <w14:textOutline w14:w="4354" w14:cap="flat" w14:cmpd="sng">
            <w14:solidFill>
              <w14:srgbClr w14:val="000000"/>
            </w14:solidFill>
            <w14:prstDash w14:val="solid"/>
            <w14:miter w14:val="0"/>
          </w14:textOutline>
        </w:rPr>
        <w:t>热带亚洲至热带非洲分布及其变型</w:t>
      </w:r>
      <w:r>
        <w:rPr>
          <w:rFonts w:ascii="宋体" w:hAnsi="宋体" w:eastAsia="宋体" w:cs="宋体"/>
          <w:sz w:val="24"/>
          <w:szCs w:val="24"/>
        </w:rPr>
        <w:t>。指旧世界热带</w:t>
      </w:r>
      <w:r>
        <w:rPr>
          <w:rFonts w:ascii="宋体" w:hAnsi="宋体" w:eastAsia="宋体" w:cs="宋体"/>
          <w:spacing w:val="-1"/>
          <w:sz w:val="24"/>
          <w:szCs w:val="24"/>
        </w:rPr>
        <w:t>分布区的西翼，即从 热带非洲至印度</w:t>
      </w:r>
      <w:r>
        <w:rPr>
          <w:rFonts w:ascii="Times New Roman" w:hAnsi="Times New Roman" w:eastAsia="Times New Roman" w:cs="Times New Roman"/>
          <w:spacing w:val="-1"/>
          <w:sz w:val="24"/>
          <w:szCs w:val="24"/>
        </w:rPr>
        <w:t>-</w:t>
      </w:r>
      <w:r>
        <w:rPr>
          <w:rFonts w:ascii="宋体" w:hAnsi="宋体" w:eastAsia="宋体" w:cs="宋体"/>
          <w:spacing w:val="-1"/>
          <w:sz w:val="24"/>
          <w:szCs w:val="24"/>
        </w:rPr>
        <w:t>马来西亚</w:t>
      </w:r>
      <w:r>
        <w:rPr>
          <w:rFonts w:ascii="Times New Roman" w:hAnsi="Times New Roman" w:eastAsia="Times New Roman" w:cs="Times New Roman"/>
          <w:spacing w:val="-1"/>
          <w:sz w:val="24"/>
          <w:szCs w:val="24"/>
        </w:rPr>
        <w:t>(</w:t>
      </w:r>
      <w:r>
        <w:rPr>
          <w:rFonts w:ascii="宋体" w:hAnsi="宋体" w:eastAsia="宋体" w:cs="宋体"/>
          <w:spacing w:val="-1"/>
          <w:sz w:val="24"/>
          <w:szCs w:val="24"/>
        </w:rPr>
        <w:t>特别是其西部</w:t>
      </w:r>
      <w:r>
        <w:rPr>
          <w:rFonts w:ascii="Times New Roman" w:hAnsi="Times New Roman" w:eastAsia="Times New Roman" w:cs="Times New Roman"/>
          <w:spacing w:val="-1"/>
          <w:sz w:val="24"/>
          <w:szCs w:val="24"/>
        </w:rPr>
        <w:t>)</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，有的属也分布到斐济等南</w:t>
      </w:r>
      <w:r>
        <w:rPr>
          <w:rFonts w:ascii="宋体" w:hAnsi="宋体" w:eastAsia="宋体" w:cs="宋体"/>
          <w:spacing w:val="-2"/>
          <w:sz w:val="24"/>
          <w:szCs w:val="24"/>
        </w:rPr>
        <w:t>太平洋岛</w:t>
      </w:r>
    </w:p>
    <w:p>
      <w:pPr>
        <w:spacing w:line="218" w:lineRule="auto"/>
        <w:ind w:left="48"/>
        <w:rPr>
          <w:rFonts w:ascii="宋体" w:hAnsi="宋体" w:eastAsia="宋体" w:cs="宋体"/>
          <w:sz w:val="24"/>
          <w:szCs w:val="24"/>
        </w:rPr>
      </w:pPr>
      <w:r>
        <w:rPr>
          <w:rFonts w:ascii="宋体" w:hAnsi="宋体" w:eastAsia="宋体" w:cs="宋体"/>
          <w:spacing w:val="-7"/>
          <w:sz w:val="24"/>
          <w:szCs w:val="24"/>
        </w:rPr>
        <w:t>屿，但不见于澳大利亚大陆。</w:t>
      </w:r>
      <w:r>
        <w:rPr>
          <w:rFonts w:ascii="宋体" w:hAnsi="宋体" w:eastAsia="宋体" w:cs="宋体"/>
          <w:spacing w:val="55"/>
          <w:sz w:val="24"/>
          <w:szCs w:val="24"/>
        </w:rPr>
        <w:t xml:space="preserve"> </w:t>
      </w:r>
      <w:r>
        <w:rPr>
          <w:rFonts w:ascii="宋体" w:hAnsi="宋体" w:eastAsia="宋体" w:cs="宋体"/>
          <w:spacing w:val="-7"/>
          <w:sz w:val="24"/>
          <w:szCs w:val="24"/>
        </w:rPr>
        <w:t>评价区属于此分布型的有</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 xml:space="preserve">8 </w:t>
      </w:r>
      <w:r>
        <w:rPr>
          <w:rFonts w:ascii="宋体" w:hAnsi="宋体" w:eastAsia="宋体" w:cs="宋体"/>
          <w:spacing w:val="-7"/>
          <w:sz w:val="24"/>
          <w:szCs w:val="24"/>
        </w:rPr>
        <w:t>属，占总数的</w:t>
      </w:r>
    </w:p>
    <w:p>
      <w:pPr>
        <w:spacing w:before="185" w:line="233" w:lineRule="auto"/>
        <w:ind w:left="35"/>
        <w:rPr>
          <w:rFonts w:ascii="宋体" w:hAnsi="宋体" w:eastAsia="宋体" w:cs="宋体"/>
          <w:sz w:val="24"/>
          <w:szCs w:val="24"/>
        </w:rPr>
      </w:pPr>
      <w:r>
        <w:rPr>
          <w:rFonts w:ascii="Times New Roman" w:hAnsi="Times New Roman" w:eastAsia="Times New Roman" w:cs="Times New Roman"/>
          <w:spacing w:val="-1"/>
          <w:sz w:val="24"/>
          <w:szCs w:val="24"/>
        </w:rPr>
        <w:t>2.88%</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。该区出现的此类型属也多为主要分布到温带地区</w:t>
      </w:r>
      <w:r>
        <w:rPr>
          <w:rFonts w:ascii="宋体" w:hAnsi="宋体" w:eastAsia="宋体" w:cs="宋体"/>
          <w:spacing w:val="-2"/>
          <w:sz w:val="24"/>
          <w:szCs w:val="24"/>
        </w:rPr>
        <w:t>的属如水麻属</w:t>
      </w:r>
    </w:p>
    <w:p>
      <w:pPr>
        <w:spacing w:before="165" w:line="468" w:lineRule="exact"/>
        <w:ind w:left="23"/>
        <w:rPr>
          <w:rFonts w:ascii="宋体" w:hAnsi="宋体" w:eastAsia="宋体" w:cs="宋体"/>
          <w:sz w:val="24"/>
          <w:szCs w:val="24"/>
        </w:rPr>
      </w:pPr>
      <w:r>
        <w:rPr>
          <w:rFonts w:ascii="Times New Roman" w:hAnsi="Times New Roman" w:eastAsia="Times New Roman" w:cs="Times New Roman"/>
          <w:i/>
          <w:iCs/>
          <w:spacing w:val="-1"/>
          <w:position w:val="17"/>
          <w:sz w:val="24"/>
          <w:szCs w:val="24"/>
        </w:rPr>
        <w:t>Debregeasia</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1"/>
          <w:position w:val="17"/>
          <w:sz w:val="24"/>
          <w:szCs w:val="24"/>
        </w:rPr>
        <w:t>、姜花属</w:t>
      </w:r>
      <w:r>
        <w:rPr>
          <w:rFonts w:ascii="宋体" w:hAnsi="宋体" w:eastAsia="宋体" w:cs="宋体"/>
          <w:spacing w:val="-66"/>
          <w:position w:val="17"/>
          <w:sz w:val="24"/>
          <w:szCs w:val="24"/>
        </w:rPr>
        <w:t xml:space="preserve"> </w:t>
      </w:r>
      <w:r>
        <w:rPr>
          <w:rFonts w:ascii="Times New Roman" w:hAnsi="Times New Roman" w:eastAsia="Times New Roman" w:cs="Times New Roman"/>
          <w:i/>
          <w:iCs/>
          <w:spacing w:val="-1"/>
          <w:position w:val="17"/>
          <w:sz w:val="24"/>
          <w:szCs w:val="24"/>
        </w:rPr>
        <w:t>Hedyc</w:t>
      </w:r>
      <w:r>
        <w:rPr>
          <w:rFonts w:ascii="Times New Roman" w:hAnsi="Times New Roman" w:eastAsia="Times New Roman" w:cs="Times New Roman"/>
          <w:i/>
          <w:iCs/>
          <w:spacing w:val="-2"/>
          <w:position w:val="17"/>
          <w:sz w:val="24"/>
          <w:szCs w:val="24"/>
        </w:rPr>
        <w:t>hium</w:t>
      </w:r>
      <w:r>
        <w:rPr>
          <w:rFonts w:ascii="Times New Roman" w:hAnsi="Times New Roman" w:eastAsia="Times New Roman" w:cs="Times New Roman"/>
          <w:i/>
          <w:iCs/>
          <w:spacing w:val="-34"/>
          <w:position w:val="17"/>
          <w:sz w:val="24"/>
          <w:szCs w:val="24"/>
        </w:rPr>
        <w:t xml:space="preserve"> </w:t>
      </w:r>
      <w:r>
        <w:rPr>
          <w:rFonts w:ascii="宋体" w:hAnsi="宋体" w:eastAsia="宋体" w:cs="宋体"/>
          <w:spacing w:val="-2"/>
          <w:position w:val="17"/>
          <w:sz w:val="24"/>
          <w:szCs w:val="24"/>
        </w:rPr>
        <w:t>、芒属</w:t>
      </w:r>
      <w:r>
        <w:rPr>
          <w:rFonts w:ascii="宋体" w:hAnsi="宋体" w:eastAsia="宋体" w:cs="宋体"/>
          <w:spacing w:val="-67"/>
          <w:position w:val="17"/>
          <w:sz w:val="24"/>
          <w:szCs w:val="24"/>
        </w:rPr>
        <w:t xml:space="preserve"> </w:t>
      </w:r>
      <w:r>
        <w:rPr>
          <w:rFonts w:ascii="Times New Roman" w:hAnsi="Times New Roman" w:eastAsia="Times New Roman" w:cs="Times New Roman"/>
          <w:i/>
          <w:iCs/>
          <w:spacing w:val="-2"/>
          <w:position w:val="17"/>
          <w:sz w:val="24"/>
          <w:szCs w:val="24"/>
        </w:rPr>
        <w:t>Miscanthus</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2"/>
          <w:position w:val="17"/>
          <w:sz w:val="24"/>
          <w:szCs w:val="24"/>
        </w:rPr>
        <w:t>、铁仔属</w:t>
      </w:r>
      <w:r>
        <w:rPr>
          <w:rFonts w:ascii="宋体" w:hAnsi="宋体" w:eastAsia="宋体" w:cs="宋体"/>
          <w:spacing w:val="-68"/>
          <w:position w:val="17"/>
          <w:sz w:val="24"/>
          <w:szCs w:val="24"/>
        </w:rPr>
        <w:t xml:space="preserve"> </w:t>
      </w:r>
      <w:r>
        <w:rPr>
          <w:rFonts w:ascii="Times New Roman" w:hAnsi="Times New Roman" w:eastAsia="Times New Roman" w:cs="Times New Roman"/>
          <w:i/>
          <w:iCs/>
          <w:spacing w:val="-2"/>
          <w:position w:val="17"/>
          <w:sz w:val="24"/>
          <w:szCs w:val="24"/>
        </w:rPr>
        <w:t>Myrsine</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2"/>
          <w:position w:val="17"/>
          <w:sz w:val="24"/>
          <w:szCs w:val="24"/>
        </w:rPr>
        <w:t>、香茶菜属</w:t>
      </w:r>
    </w:p>
    <w:p>
      <w:pPr>
        <w:spacing w:before="1" w:line="212" w:lineRule="auto"/>
        <w:ind w:left="24"/>
        <w:rPr>
          <w:rFonts w:ascii="宋体" w:hAnsi="宋体" w:eastAsia="宋体" w:cs="宋体"/>
          <w:sz w:val="24"/>
          <w:szCs w:val="24"/>
        </w:rPr>
      </w:pPr>
      <w:r>
        <w:rPr>
          <w:rFonts w:ascii="Times New Roman" w:hAnsi="Times New Roman" w:eastAsia="Times New Roman" w:cs="Times New Roman"/>
          <w:i/>
          <w:iCs/>
          <w:spacing w:val="-1"/>
          <w:sz w:val="24"/>
          <w:szCs w:val="24"/>
        </w:rPr>
        <w:t>Rabdosia</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、鸟足兰属</w:t>
      </w:r>
      <w:r>
        <w:rPr>
          <w:rFonts w:ascii="宋体" w:hAnsi="宋体" w:eastAsia="宋体" w:cs="宋体"/>
          <w:spacing w:val="-58"/>
          <w:sz w:val="24"/>
          <w:szCs w:val="24"/>
        </w:rPr>
        <w:t xml:space="preserve"> </w:t>
      </w:r>
      <w:r>
        <w:rPr>
          <w:rFonts w:ascii="Times New Roman" w:hAnsi="Times New Roman" w:eastAsia="Times New Roman" w:cs="Times New Roman"/>
          <w:i/>
          <w:iCs/>
          <w:spacing w:val="-1"/>
          <w:sz w:val="24"/>
          <w:szCs w:val="24"/>
        </w:rPr>
        <w:t xml:space="preserve">Satyrium </w:t>
      </w:r>
      <w:r>
        <w:rPr>
          <w:rFonts w:ascii="宋体" w:hAnsi="宋体" w:eastAsia="宋体" w:cs="宋体"/>
          <w:spacing w:val="-1"/>
          <w:sz w:val="24"/>
          <w:szCs w:val="24"/>
        </w:rPr>
        <w:t>等。</w:t>
      </w:r>
    </w:p>
    <w:p>
      <w:pPr>
        <w:spacing w:before="192" w:line="360" w:lineRule="auto"/>
        <w:ind w:left="42" w:right="177" w:firstLine="479"/>
        <w:rPr>
          <w:rFonts w:ascii="宋体" w:hAnsi="宋体" w:eastAsia="宋体" w:cs="宋体"/>
          <w:sz w:val="24"/>
          <w:szCs w:val="24"/>
        </w:rPr>
      </w:pPr>
      <w:r>
        <w:rPr>
          <w:rFonts w:ascii="Times New Roman" w:hAnsi="Times New Roman" w:eastAsia="Times New Roman" w:cs="Times New Roman"/>
          <w:b/>
          <w:bCs/>
          <w:sz w:val="24"/>
          <w:szCs w:val="24"/>
        </w:rPr>
        <w:t>g.</w:t>
      </w:r>
      <w:r>
        <w:rPr>
          <w:rFonts w:ascii="宋体" w:hAnsi="宋体" w:eastAsia="宋体" w:cs="宋体"/>
          <w:sz w:val="24"/>
          <w:szCs w:val="24"/>
          <w14:textOutline w14:w="4354" w14:cap="flat" w14:cmpd="sng">
            <w14:solidFill>
              <w14:srgbClr w14:val="000000"/>
            </w14:solidFill>
            <w14:prstDash w14:val="solid"/>
            <w14:miter w14:val="0"/>
          </w14:textOutline>
        </w:rPr>
        <w:t>热带亚洲</w:t>
      </w:r>
      <w:r>
        <w:rPr>
          <w:rFonts w:ascii="Times New Roman" w:hAnsi="Times New Roman" w:eastAsia="Times New Roman" w:cs="Times New Roman"/>
          <w:b/>
          <w:bCs/>
          <w:sz w:val="24"/>
          <w:szCs w:val="24"/>
        </w:rPr>
        <w:t>(</w:t>
      </w:r>
      <w:r>
        <w:rPr>
          <w:rFonts w:ascii="宋体" w:hAnsi="宋体" w:eastAsia="宋体" w:cs="宋体"/>
          <w:sz w:val="24"/>
          <w:szCs w:val="24"/>
          <w14:textOutline w14:w="4354" w14:cap="flat" w14:cmpd="sng">
            <w14:solidFill>
              <w14:srgbClr w14:val="000000"/>
            </w14:solidFill>
            <w14:prstDash w14:val="solid"/>
            <w14:miter w14:val="0"/>
          </w14:textOutline>
        </w:rPr>
        <w:t>印度</w:t>
      </w:r>
      <w:r>
        <w:rPr>
          <w:rFonts w:ascii="Times New Roman" w:hAnsi="Times New Roman" w:eastAsia="Times New Roman" w:cs="Times New Roman"/>
          <w:b/>
          <w:bCs/>
          <w:sz w:val="24"/>
          <w:szCs w:val="24"/>
        </w:rPr>
        <w:t>-</w:t>
      </w:r>
      <w:r>
        <w:rPr>
          <w:rFonts w:ascii="宋体" w:hAnsi="宋体" w:eastAsia="宋体" w:cs="宋体"/>
          <w:sz w:val="24"/>
          <w:szCs w:val="24"/>
          <w14:textOutline w14:w="4354" w14:cap="flat" w14:cmpd="sng">
            <w14:solidFill>
              <w14:srgbClr w14:val="000000"/>
            </w14:solidFill>
            <w14:prstDash w14:val="solid"/>
            <w14:miter w14:val="0"/>
          </w14:textOutline>
        </w:rPr>
        <w:t>马来西亚</w:t>
      </w:r>
      <w:r>
        <w:rPr>
          <w:rFonts w:ascii="Times New Roman" w:hAnsi="Times New Roman" w:eastAsia="Times New Roman" w:cs="Times New Roman"/>
          <w:b/>
          <w:bCs/>
          <w:sz w:val="24"/>
          <w:szCs w:val="24"/>
        </w:rPr>
        <w:t>)</w:t>
      </w:r>
      <w:r>
        <w:rPr>
          <w:rFonts w:ascii="宋体" w:hAnsi="宋体" w:eastAsia="宋体" w:cs="宋体"/>
          <w:sz w:val="24"/>
          <w:szCs w:val="24"/>
          <w14:textOutline w14:w="4354" w14:cap="flat" w14:cmpd="sng">
            <w14:solidFill>
              <w14:srgbClr w14:val="000000"/>
            </w14:solidFill>
            <w14:prstDash w14:val="solid"/>
            <w14:miter w14:val="0"/>
          </w14:textOutline>
        </w:rPr>
        <w:t>分布及其变型</w:t>
      </w:r>
      <w:r>
        <w:rPr>
          <w:rFonts w:ascii="宋体" w:hAnsi="宋体" w:eastAsia="宋体" w:cs="宋体"/>
          <w:sz w:val="24"/>
          <w:szCs w:val="24"/>
        </w:rPr>
        <w:t>。热带亚洲是旧世界热带的中心</w:t>
      </w:r>
      <w:r>
        <w:rPr>
          <w:rFonts w:ascii="宋体" w:hAnsi="宋体" w:eastAsia="宋体" w:cs="宋体"/>
          <w:spacing w:val="6"/>
          <w:sz w:val="24"/>
          <w:szCs w:val="24"/>
        </w:rPr>
        <w:t xml:space="preserve"> </w:t>
      </w:r>
      <w:r>
        <w:rPr>
          <w:rFonts w:ascii="宋体" w:hAnsi="宋体" w:eastAsia="宋体" w:cs="宋体"/>
          <w:sz w:val="24"/>
          <w:szCs w:val="24"/>
        </w:rPr>
        <w:t>部分，热带亚洲分布的范围包括印度、斯里兰</w:t>
      </w:r>
      <w:r>
        <w:rPr>
          <w:rFonts w:ascii="宋体" w:hAnsi="宋体" w:eastAsia="宋体" w:cs="宋体"/>
          <w:spacing w:val="-1"/>
          <w:sz w:val="24"/>
          <w:szCs w:val="24"/>
        </w:rPr>
        <w:t>卡、中南半岛、印度尼西亚、加</w:t>
      </w:r>
      <w:r>
        <w:rPr>
          <w:rFonts w:ascii="宋体" w:hAnsi="宋体" w:eastAsia="宋体" w:cs="宋体"/>
          <w:sz w:val="24"/>
          <w:szCs w:val="24"/>
        </w:rPr>
        <w:t xml:space="preserve"> 里曼丹、菲律宾及新几内亚等，东可达斐济等</w:t>
      </w:r>
      <w:r>
        <w:rPr>
          <w:rFonts w:ascii="宋体" w:hAnsi="宋体" w:eastAsia="宋体" w:cs="宋体"/>
          <w:spacing w:val="-1"/>
          <w:sz w:val="24"/>
          <w:szCs w:val="24"/>
        </w:rPr>
        <w:t>南太平洋岛屿，但不到澳大利亚</w:t>
      </w:r>
    </w:p>
    <w:p>
      <w:pPr>
        <w:spacing w:before="1" w:line="218" w:lineRule="auto"/>
        <w:ind w:left="42"/>
        <w:rPr>
          <w:rFonts w:ascii="宋体" w:hAnsi="宋体" w:eastAsia="宋体" w:cs="宋体"/>
          <w:sz w:val="24"/>
          <w:szCs w:val="24"/>
        </w:rPr>
      </w:pPr>
      <w:r>
        <w:rPr>
          <w:rFonts w:ascii="宋体" w:hAnsi="宋体" w:eastAsia="宋体" w:cs="宋体"/>
          <w:spacing w:val="-1"/>
          <w:sz w:val="24"/>
          <w:szCs w:val="24"/>
        </w:rPr>
        <w:t>大陆，其分布区的北部边缘，到达我国西南、</w:t>
      </w:r>
      <w:r>
        <w:rPr>
          <w:rFonts w:ascii="宋体" w:hAnsi="宋体" w:eastAsia="宋体" w:cs="宋体"/>
          <w:spacing w:val="-2"/>
          <w:sz w:val="24"/>
          <w:szCs w:val="24"/>
        </w:rPr>
        <w:t>华南及台湾，甚至更北地区。</w:t>
      </w:r>
    </w:p>
    <w:p>
      <w:pPr>
        <w:spacing w:before="183" w:line="360" w:lineRule="auto"/>
        <w:ind w:left="39" w:right="81" w:firstLine="479"/>
        <w:rPr>
          <w:rFonts w:ascii="宋体" w:hAnsi="宋体" w:eastAsia="宋体" w:cs="宋体"/>
          <w:sz w:val="24"/>
          <w:szCs w:val="24"/>
        </w:rPr>
      </w:pPr>
      <w:r>
        <w:rPr>
          <w:rFonts w:ascii="宋体" w:hAnsi="宋体" w:eastAsia="宋体" w:cs="宋体"/>
          <w:spacing w:val="-2"/>
          <w:sz w:val="24"/>
          <w:szCs w:val="24"/>
        </w:rPr>
        <w:t>评价区属于此分布型的有</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22 </w:t>
      </w:r>
      <w:r>
        <w:rPr>
          <w:rFonts w:ascii="宋体" w:hAnsi="宋体" w:eastAsia="宋体" w:cs="宋体"/>
          <w:spacing w:val="-2"/>
          <w:sz w:val="24"/>
          <w:szCs w:val="24"/>
        </w:rPr>
        <w:t>属，占总数的</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7.91%</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。其中，热带亚洲</w:t>
      </w:r>
      <w:r>
        <w:rPr>
          <w:rFonts w:ascii="宋体" w:hAnsi="宋体" w:eastAsia="宋体" w:cs="宋体"/>
          <w:spacing w:val="-3"/>
          <w:sz w:val="24"/>
          <w:szCs w:val="24"/>
        </w:rPr>
        <w:t>广布的</w:t>
      </w:r>
      <w:r>
        <w:rPr>
          <w:rFonts w:ascii="宋体" w:hAnsi="宋体" w:eastAsia="宋体" w:cs="宋体"/>
          <w:sz w:val="24"/>
          <w:szCs w:val="24"/>
        </w:rPr>
        <w:t xml:space="preserve"> </w:t>
      </w:r>
      <w:r>
        <w:rPr>
          <w:rFonts w:ascii="宋体" w:hAnsi="宋体" w:eastAsia="宋体" w:cs="宋体"/>
          <w:spacing w:val="-1"/>
          <w:sz w:val="24"/>
          <w:szCs w:val="24"/>
        </w:rPr>
        <w:t>青冈属</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Cyclobalanopsis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、茶梨属</w:t>
      </w:r>
      <w:r>
        <w:rPr>
          <w:rFonts w:ascii="宋体" w:hAnsi="宋体" w:eastAsia="宋体" w:cs="宋体"/>
          <w:spacing w:val="-71"/>
          <w:sz w:val="24"/>
          <w:szCs w:val="24"/>
        </w:rPr>
        <w:t xml:space="preserve"> </w:t>
      </w:r>
      <w:r>
        <w:rPr>
          <w:rFonts w:ascii="Times New Roman" w:hAnsi="Times New Roman" w:eastAsia="Times New Roman" w:cs="Times New Roman"/>
          <w:i/>
          <w:iCs/>
          <w:spacing w:val="-1"/>
          <w:sz w:val="24"/>
          <w:szCs w:val="24"/>
        </w:rPr>
        <w:t>Anneslea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、木荷</w:t>
      </w:r>
      <w:r>
        <w:rPr>
          <w:rFonts w:ascii="Times New Roman" w:hAnsi="Times New Roman" w:eastAsia="Times New Roman" w:cs="Times New Roman"/>
          <w:i/>
          <w:iCs/>
          <w:spacing w:val="-2"/>
          <w:sz w:val="24"/>
          <w:szCs w:val="24"/>
        </w:rPr>
        <w:t>Schima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、润楠属</w:t>
      </w:r>
      <w:r>
        <w:rPr>
          <w:rFonts w:ascii="宋体" w:hAnsi="宋体" w:eastAsia="宋体" w:cs="宋体"/>
          <w:spacing w:val="-68"/>
          <w:sz w:val="24"/>
          <w:szCs w:val="24"/>
        </w:rPr>
        <w:t xml:space="preserve"> </w:t>
      </w:r>
      <w:r>
        <w:rPr>
          <w:rFonts w:ascii="Times New Roman" w:hAnsi="Times New Roman" w:eastAsia="Times New Roman" w:cs="Times New Roman"/>
          <w:i/>
          <w:iCs/>
          <w:spacing w:val="-2"/>
          <w:sz w:val="24"/>
          <w:szCs w:val="24"/>
        </w:rPr>
        <w:t>Machilus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、毒</w:t>
      </w:r>
      <w:r>
        <w:rPr>
          <w:rFonts w:ascii="宋体" w:hAnsi="宋体" w:eastAsia="宋体" w:cs="宋体"/>
          <w:sz w:val="24"/>
          <w:szCs w:val="24"/>
        </w:rPr>
        <w:t xml:space="preserve">  药树属</w:t>
      </w:r>
      <w:r>
        <w:rPr>
          <w:rFonts w:ascii="宋体" w:hAnsi="宋体" w:eastAsia="宋体" w:cs="宋体"/>
          <w:spacing w:val="-58"/>
          <w:sz w:val="24"/>
          <w:szCs w:val="24"/>
        </w:rPr>
        <w:t xml:space="preserve"> </w:t>
      </w:r>
      <w:r>
        <w:rPr>
          <w:rFonts w:ascii="Times New Roman" w:hAnsi="Times New Roman" w:eastAsia="Times New Roman" w:cs="Times New Roman"/>
          <w:i/>
          <w:iCs/>
          <w:sz w:val="24"/>
          <w:szCs w:val="24"/>
        </w:rPr>
        <w:t xml:space="preserve">Sladenia </w:t>
      </w:r>
      <w:r>
        <w:rPr>
          <w:rFonts w:ascii="宋体" w:hAnsi="宋体" w:eastAsia="宋体" w:cs="宋体"/>
          <w:sz w:val="24"/>
          <w:szCs w:val="24"/>
        </w:rPr>
        <w:t>等为阔叶林中具有显著群</w:t>
      </w:r>
      <w:r>
        <w:rPr>
          <w:rFonts w:ascii="宋体" w:hAnsi="宋体" w:eastAsia="宋体" w:cs="宋体"/>
          <w:spacing w:val="-1"/>
          <w:sz w:val="24"/>
          <w:szCs w:val="24"/>
        </w:rPr>
        <w:t xml:space="preserve">落学意义的乔灌木的代表；水蔗草属 </w:t>
      </w:r>
      <w:r>
        <w:rPr>
          <w:rFonts w:ascii="Times New Roman" w:hAnsi="Times New Roman" w:eastAsia="Times New Roman" w:cs="Times New Roman"/>
          <w:spacing w:val="-1"/>
          <w:sz w:val="24"/>
          <w:szCs w:val="24"/>
        </w:rPr>
        <w:t>(</w:t>
      </w:r>
      <w:r>
        <w:rPr>
          <w:rFonts w:ascii="Times New Roman" w:hAnsi="Times New Roman" w:eastAsia="Times New Roman" w:cs="Times New Roman"/>
          <w:i/>
          <w:iCs/>
          <w:spacing w:val="-1"/>
          <w:sz w:val="24"/>
          <w:szCs w:val="24"/>
        </w:rPr>
        <w:t>Apluda</w:t>
      </w:r>
      <w:r>
        <w:rPr>
          <w:rFonts w:ascii="Times New Roman" w:hAnsi="Times New Roman" w:eastAsia="Times New Roman" w:cs="Times New Roman"/>
          <w:spacing w:val="-1"/>
          <w:sz w:val="24"/>
          <w:szCs w:val="24"/>
        </w:rPr>
        <w:t>)</w:t>
      </w:r>
      <w:r>
        <w:rPr>
          <w:rFonts w:ascii="宋体" w:hAnsi="宋体" w:eastAsia="宋体" w:cs="宋体"/>
          <w:spacing w:val="-1"/>
          <w:sz w:val="24"/>
          <w:szCs w:val="24"/>
        </w:rPr>
        <w:t>、舞花姜属（</w:t>
      </w:r>
      <w:r>
        <w:rPr>
          <w:rFonts w:ascii="Times New Roman" w:hAnsi="Times New Roman" w:eastAsia="Times New Roman" w:cs="Times New Roman"/>
          <w:i/>
          <w:iCs/>
          <w:spacing w:val="-1"/>
          <w:sz w:val="24"/>
          <w:szCs w:val="24"/>
        </w:rPr>
        <w:t>Globba</w:t>
      </w:r>
      <w:r>
        <w:rPr>
          <w:rFonts w:ascii="宋体" w:hAnsi="宋体" w:eastAsia="宋体" w:cs="宋体"/>
          <w:spacing w:val="-1"/>
          <w:sz w:val="24"/>
          <w:szCs w:val="24"/>
        </w:rPr>
        <w:t>）等则为林下多见的草本。鸡屎藤属</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w:t>
      </w:r>
      <w:r>
        <w:rPr>
          <w:rFonts w:ascii="Times New Roman" w:hAnsi="Times New Roman" w:eastAsia="Times New Roman" w:cs="Times New Roman"/>
          <w:i/>
          <w:iCs/>
          <w:spacing w:val="-1"/>
          <w:sz w:val="24"/>
          <w:szCs w:val="24"/>
        </w:rPr>
        <w:t>Paederia</w:t>
      </w:r>
      <w:r>
        <w:rPr>
          <w:rFonts w:ascii="Times New Roman" w:hAnsi="Times New Roman" w:eastAsia="Times New Roman" w:cs="Times New Roman"/>
          <w:spacing w:val="-1"/>
          <w:sz w:val="24"/>
          <w:szCs w:val="24"/>
        </w:rPr>
        <w:t>)</w:t>
      </w:r>
      <w:r>
        <w:rPr>
          <w:rFonts w:ascii="宋体" w:hAnsi="宋体" w:eastAsia="宋体" w:cs="宋体"/>
          <w:spacing w:val="-1"/>
          <w:sz w:val="24"/>
          <w:szCs w:val="24"/>
        </w:rPr>
        <w:t>等</w:t>
      </w:r>
    </w:p>
    <w:p>
      <w:pPr>
        <w:spacing w:before="1" w:line="218" w:lineRule="auto"/>
        <w:ind w:left="42"/>
        <w:rPr>
          <w:rFonts w:ascii="宋体" w:hAnsi="宋体" w:eastAsia="宋体" w:cs="宋体"/>
          <w:sz w:val="24"/>
          <w:szCs w:val="24"/>
        </w:rPr>
      </w:pPr>
      <w:r>
        <w:rPr>
          <w:rFonts w:ascii="宋体" w:hAnsi="宋体" w:eastAsia="宋体" w:cs="宋体"/>
          <w:spacing w:val="-6"/>
          <w:sz w:val="24"/>
          <w:szCs w:val="24"/>
        </w:rPr>
        <w:t>为林下常见藤本。</w:t>
      </w:r>
    </w:p>
    <w:p>
      <w:pPr>
        <w:spacing w:before="184" w:line="233" w:lineRule="auto"/>
        <w:ind w:left="520"/>
        <w:rPr>
          <w:rFonts w:ascii="宋体" w:hAnsi="宋体" w:eastAsia="宋体" w:cs="宋体"/>
          <w:sz w:val="24"/>
          <w:szCs w:val="24"/>
        </w:rPr>
      </w:pPr>
      <w:r>
        <w:rPr>
          <w:rFonts w:ascii="Times New Roman" w:hAnsi="Times New Roman" w:eastAsia="Times New Roman" w:cs="Times New Roman"/>
          <w:b/>
          <w:bCs/>
          <w:spacing w:val="-3"/>
          <w:sz w:val="24"/>
          <w:szCs w:val="24"/>
        </w:rPr>
        <w:t>h.</w:t>
      </w:r>
      <w:r>
        <w:rPr>
          <w:rFonts w:ascii="宋体" w:hAnsi="宋体" w:eastAsia="宋体" w:cs="宋体"/>
          <w:spacing w:val="-3"/>
          <w:sz w:val="24"/>
          <w:szCs w:val="24"/>
          <w14:textOutline w14:w="4354" w14:cap="flat" w14:cmpd="sng">
            <w14:solidFill>
              <w14:srgbClr w14:val="000000"/>
            </w14:solidFill>
            <w14:prstDash w14:val="solid"/>
            <w14:miter w14:val="0"/>
          </w14:textOutline>
        </w:rPr>
        <w:t>北温带分布及其变型。</w:t>
      </w:r>
      <w:r>
        <w:rPr>
          <w:rFonts w:ascii="宋体" w:hAnsi="宋体" w:eastAsia="宋体" w:cs="宋体"/>
          <w:spacing w:val="-24"/>
          <w:sz w:val="24"/>
          <w:szCs w:val="24"/>
        </w:rPr>
        <w:t xml:space="preserve"> </w:t>
      </w:r>
      <w:r>
        <w:rPr>
          <w:rFonts w:ascii="宋体" w:hAnsi="宋体" w:eastAsia="宋体" w:cs="宋体"/>
          <w:spacing w:val="-3"/>
          <w:sz w:val="24"/>
          <w:szCs w:val="24"/>
        </w:rPr>
        <w:t>指广泛分布于欧洲、亚洲和北美洲温带地区的</w:t>
      </w:r>
    </w:p>
    <w:p>
      <w:pPr>
        <w:spacing w:before="165" w:line="220" w:lineRule="auto"/>
        <w:ind w:left="41"/>
        <w:rPr>
          <w:rFonts w:ascii="宋体" w:hAnsi="宋体" w:eastAsia="宋体" w:cs="宋体"/>
          <w:sz w:val="24"/>
          <w:szCs w:val="24"/>
        </w:rPr>
      </w:pPr>
      <w:r>
        <w:rPr>
          <w:rFonts w:ascii="宋体" w:hAnsi="宋体" w:eastAsia="宋体" w:cs="宋体"/>
          <w:sz w:val="24"/>
          <w:szCs w:val="24"/>
        </w:rPr>
        <w:t>属，由于历史和地理的原因，有些属沿山脉向南延</w:t>
      </w:r>
      <w:r>
        <w:rPr>
          <w:rFonts w:ascii="宋体" w:hAnsi="宋体" w:eastAsia="宋体" w:cs="宋体"/>
          <w:spacing w:val="-1"/>
          <w:sz w:val="24"/>
          <w:szCs w:val="24"/>
        </w:rPr>
        <w:t>伸到热带山区，甚至到南半</w:t>
      </w:r>
    </w:p>
    <w:p>
      <w:pPr>
        <w:spacing w:line="220" w:lineRule="auto"/>
        <w:rPr>
          <w:rFonts w:ascii="宋体" w:hAnsi="宋体" w:eastAsia="宋体" w:cs="宋体"/>
          <w:sz w:val="24"/>
          <w:szCs w:val="24"/>
        </w:rPr>
        <w:sectPr>
          <w:footerReference r:id="rId290" w:type="default"/>
          <w:pgSz w:w="11907" w:h="16839"/>
          <w:pgMar w:top="1156" w:right="1768" w:bottom="1374" w:left="1770" w:header="881" w:footer="1210" w:gutter="0"/>
        </w:sectPr>
      </w:pPr>
    </w:p>
    <w:p>
      <w:pPr>
        <w:spacing w:line="317" w:lineRule="auto"/>
        <w:rPr>
          <w:rFonts w:ascii="Arial"/>
          <w:sz w:val="21"/>
        </w:rPr>
      </w:pPr>
    </w:p>
    <w:p>
      <w:pPr>
        <w:spacing w:before="78" w:line="218" w:lineRule="auto"/>
        <w:ind w:left="39"/>
        <w:rPr>
          <w:rFonts w:ascii="Times New Roman" w:hAnsi="Times New Roman" w:eastAsia="Times New Roman" w:cs="Times New Roman"/>
          <w:sz w:val="24"/>
          <w:szCs w:val="24"/>
        </w:rPr>
      </w:pPr>
      <w:r>
        <w:rPr>
          <w:rFonts w:ascii="宋体" w:hAnsi="宋体" w:eastAsia="宋体" w:cs="宋体"/>
          <w:spacing w:val="-5"/>
          <w:sz w:val="24"/>
          <w:szCs w:val="24"/>
        </w:rPr>
        <w:t>球温带，但其原始类型或分布中心仍在北温带。</w:t>
      </w:r>
      <w:r>
        <w:rPr>
          <w:rFonts w:ascii="宋体" w:hAnsi="宋体" w:eastAsia="宋体" w:cs="宋体"/>
          <w:spacing w:val="43"/>
          <w:sz w:val="24"/>
          <w:szCs w:val="24"/>
        </w:rPr>
        <w:t xml:space="preserve"> </w:t>
      </w:r>
      <w:r>
        <w:rPr>
          <w:rFonts w:ascii="宋体" w:hAnsi="宋体" w:eastAsia="宋体" w:cs="宋体"/>
          <w:spacing w:val="-5"/>
          <w:sz w:val="24"/>
          <w:szCs w:val="24"/>
        </w:rPr>
        <w:t>评价区属</w:t>
      </w:r>
      <w:r>
        <w:rPr>
          <w:rFonts w:ascii="宋体" w:hAnsi="宋体" w:eastAsia="宋体" w:cs="宋体"/>
          <w:spacing w:val="-6"/>
          <w:sz w:val="24"/>
          <w:szCs w:val="24"/>
        </w:rPr>
        <w:t>于此分布型的有</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54</w:t>
      </w:r>
    </w:p>
    <w:p>
      <w:pPr>
        <w:spacing w:before="184" w:line="468" w:lineRule="exact"/>
        <w:ind w:left="41"/>
        <w:rPr>
          <w:rFonts w:ascii="宋体" w:hAnsi="宋体" w:eastAsia="宋体" w:cs="宋体"/>
          <w:sz w:val="24"/>
          <w:szCs w:val="24"/>
        </w:rPr>
      </w:pPr>
      <w:r>
        <w:rPr>
          <w:rFonts w:ascii="宋体" w:hAnsi="宋体" w:eastAsia="宋体" w:cs="宋体"/>
          <w:spacing w:val="-3"/>
          <w:position w:val="16"/>
          <w:sz w:val="24"/>
          <w:szCs w:val="24"/>
        </w:rPr>
        <w:t xml:space="preserve">属，占总数的 </w:t>
      </w:r>
      <w:r>
        <w:rPr>
          <w:rFonts w:ascii="Times New Roman" w:hAnsi="Times New Roman" w:eastAsia="Times New Roman" w:cs="Times New Roman"/>
          <w:spacing w:val="-3"/>
          <w:position w:val="16"/>
          <w:sz w:val="24"/>
          <w:szCs w:val="24"/>
        </w:rPr>
        <w:t>19.42%</w:t>
      </w:r>
      <w:r>
        <w:rPr>
          <w:rFonts w:ascii="Times New Roman" w:hAnsi="Times New Roman" w:eastAsia="Times New Roman" w:cs="Times New Roman"/>
          <w:spacing w:val="-18"/>
          <w:position w:val="16"/>
          <w:sz w:val="24"/>
          <w:szCs w:val="24"/>
        </w:rPr>
        <w:t xml:space="preserve"> </w:t>
      </w:r>
      <w:r>
        <w:rPr>
          <w:rFonts w:ascii="宋体" w:hAnsi="宋体" w:eastAsia="宋体" w:cs="宋体"/>
          <w:spacing w:val="-3"/>
          <w:position w:val="16"/>
          <w:sz w:val="24"/>
          <w:szCs w:val="24"/>
        </w:rPr>
        <w:t>。许多此类型的属往往是该地常绿阔叶林、针阔混交林或</w:t>
      </w:r>
    </w:p>
    <w:p>
      <w:pPr>
        <w:spacing w:line="219" w:lineRule="auto"/>
        <w:ind w:left="39"/>
        <w:rPr>
          <w:rFonts w:ascii="宋体" w:hAnsi="宋体" w:eastAsia="宋体" w:cs="宋体"/>
          <w:sz w:val="24"/>
          <w:szCs w:val="24"/>
        </w:rPr>
      </w:pPr>
      <w:r>
        <w:rPr>
          <w:rFonts w:ascii="宋体" w:hAnsi="宋体" w:eastAsia="宋体" w:cs="宋体"/>
          <w:spacing w:val="-1"/>
          <w:sz w:val="24"/>
          <w:szCs w:val="24"/>
        </w:rPr>
        <w:t>针叶林的建群种、优势种或重要成分，如桤木属</w:t>
      </w:r>
      <w:r>
        <w:rPr>
          <w:rFonts w:ascii="宋体" w:hAnsi="宋体" w:eastAsia="宋体" w:cs="宋体"/>
          <w:spacing w:val="-60"/>
          <w:sz w:val="24"/>
          <w:szCs w:val="24"/>
        </w:rPr>
        <w:t xml:space="preserve"> </w:t>
      </w:r>
      <w:r>
        <w:rPr>
          <w:rFonts w:ascii="Times New Roman" w:hAnsi="Times New Roman" w:eastAsia="Times New Roman" w:cs="Times New Roman"/>
          <w:i/>
          <w:iCs/>
          <w:spacing w:val="-1"/>
          <w:sz w:val="24"/>
          <w:szCs w:val="24"/>
        </w:rPr>
        <w:t>Alnus</w:t>
      </w:r>
      <w:r>
        <w:rPr>
          <w:rFonts w:ascii="宋体" w:hAnsi="宋体" w:eastAsia="宋体" w:cs="宋体"/>
          <w:spacing w:val="-1"/>
          <w:sz w:val="24"/>
          <w:szCs w:val="24"/>
        </w:rPr>
        <w:t>、桦木属</w:t>
      </w:r>
      <w:r>
        <w:rPr>
          <w:rFonts w:ascii="宋体" w:hAnsi="宋体" w:eastAsia="宋体" w:cs="宋体"/>
          <w:spacing w:val="-45"/>
          <w:sz w:val="24"/>
          <w:szCs w:val="24"/>
        </w:rPr>
        <w:t xml:space="preserve"> </w:t>
      </w:r>
      <w:r>
        <w:rPr>
          <w:rFonts w:ascii="Times New Roman" w:hAnsi="Times New Roman" w:eastAsia="Times New Roman" w:cs="Times New Roman"/>
          <w:i/>
          <w:iCs/>
          <w:spacing w:val="-1"/>
          <w:sz w:val="24"/>
          <w:szCs w:val="24"/>
        </w:rPr>
        <w:t>Betula</w:t>
      </w:r>
      <w:r>
        <w:rPr>
          <w:rFonts w:ascii="宋体" w:hAnsi="宋体" w:eastAsia="宋体" w:cs="宋体"/>
          <w:spacing w:val="-1"/>
          <w:sz w:val="24"/>
          <w:szCs w:val="24"/>
        </w:rPr>
        <w:t>、栎属</w:t>
      </w:r>
    </w:p>
    <w:p>
      <w:pPr>
        <w:spacing w:before="183" w:line="468" w:lineRule="exact"/>
        <w:ind w:left="41"/>
        <w:rPr>
          <w:rFonts w:ascii="宋体" w:hAnsi="宋体" w:eastAsia="宋体" w:cs="宋体"/>
          <w:sz w:val="24"/>
          <w:szCs w:val="24"/>
        </w:rPr>
      </w:pPr>
      <w:r>
        <w:rPr>
          <w:rFonts w:ascii="Times New Roman" w:hAnsi="Times New Roman" w:eastAsia="Times New Roman" w:cs="Times New Roman"/>
          <w:i/>
          <w:iCs/>
          <w:spacing w:val="-2"/>
          <w:position w:val="17"/>
          <w:sz w:val="24"/>
          <w:szCs w:val="24"/>
        </w:rPr>
        <w:t>Quercus</w:t>
      </w:r>
      <w:r>
        <w:rPr>
          <w:rFonts w:ascii="宋体" w:hAnsi="宋体" w:eastAsia="宋体" w:cs="宋体"/>
          <w:spacing w:val="-2"/>
          <w:position w:val="17"/>
          <w:sz w:val="24"/>
          <w:szCs w:val="24"/>
        </w:rPr>
        <w:t>、槭属</w:t>
      </w:r>
      <w:r>
        <w:rPr>
          <w:rFonts w:ascii="宋体" w:hAnsi="宋体" w:eastAsia="宋体" w:cs="宋体"/>
          <w:spacing w:val="-39"/>
          <w:position w:val="17"/>
          <w:sz w:val="24"/>
          <w:szCs w:val="24"/>
        </w:rPr>
        <w:t xml:space="preserve"> </w:t>
      </w:r>
      <w:r>
        <w:rPr>
          <w:rFonts w:ascii="Times New Roman" w:hAnsi="Times New Roman" w:eastAsia="Times New Roman" w:cs="Times New Roman"/>
          <w:i/>
          <w:iCs/>
          <w:spacing w:val="-2"/>
          <w:position w:val="17"/>
          <w:sz w:val="24"/>
          <w:szCs w:val="24"/>
        </w:rPr>
        <w:t xml:space="preserve">Acer  </w:t>
      </w:r>
      <w:r>
        <w:rPr>
          <w:rFonts w:ascii="宋体" w:hAnsi="宋体" w:eastAsia="宋体" w:cs="宋体"/>
          <w:spacing w:val="-2"/>
          <w:position w:val="17"/>
          <w:sz w:val="24"/>
          <w:szCs w:val="24"/>
        </w:rPr>
        <w:t>、杜鹃花属</w:t>
      </w:r>
      <w:r>
        <w:rPr>
          <w:rFonts w:ascii="宋体" w:hAnsi="宋体" w:eastAsia="宋体" w:cs="宋体"/>
          <w:spacing w:val="-45"/>
          <w:position w:val="17"/>
          <w:sz w:val="24"/>
          <w:szCs w:val="24"/>
        </w:rPr>
        <w:t xml:space="preserve"> </w:t>
      </w:r>
      <w:r>
        <w:rPr>
          <w:rFonts w:ascii="Times New Roman" w:hAnsi="Times New Roman" w:eastAsia="Times New Roman" w:cs="Times New Roman"/>
          <w:i/>
          <w:iCs/>
          <w:spacing w:val="-2"/>
          <w:position w:val="17"/>
          <w:sz w:val="24"/>
          <w:szCs w:val="24"/>
        </w:rPr>
        <w:t>Rhododendron</w:t>
      </w:r>
      <w:r>
        <w:rPr>
          <w:rFonts w:ascii="宋体" w:hAnsi="宋体" w:eastAsia="宋体" w:cs="宋体"/>
          <w:spacing w:val="-2"/>
          <w:position w:val="17"/>
          <w:sz w:val="24"/>
          <w:szCs w:val="24"/>
        </w:rPr>
        <w:t>、蔷薇属</w:t>
      </w:r>
      <w:r>
        <w:rPr>
          <w:rFonts w:ascii="宋体" w:hAnsi="宋体" w:eastAsia="宋体" w:cs="宋体"/>
          <w:spacing w:val="-44"/>
          <w:position w:val="17"/>
          <w:sz w:val="24"/>
          <w:szCs w:val="24"/>
        </w:rPr>
        <w:t xml:space="preserve"> </w:t>
      </w:r>
      <w:r>
        <w:rPr>
          <w:rFonts w:ascii="Times New Roman" w:hAnsi="Times New Roman" w:eastAsia="Times New Roman" w:cs="Times New Roman"/>
          <w:i/>
          <w:iCs/>
          <w:spacing w:val="-2"/>
          <w:position w:val="17"/>
          <w:sz w:val="24"/>
          <w:szCs w:val="24"/>
        </w:rPr>
        <w:t>Rosa</w:t>
      </w:r>
      <w:r>
        <w:rPr>
          <w:rFonts w:ascii="宋体" w:hAnsi="宋体" w:eastAsia="宋体" w:cs="宋体"/>
          <w:spacing w:val="-2"/>
          <w:position w:val="17"/>
          <w:sz w:val="24"/>
          <w:szCs w:val="24"/>
        </w:rPr>
        <w:t>、花楸属</w:t>
      </w:r>
      <w:r>
        <w:rPr>
          <w:rFonts w:ascii="宋体" w:hAnsi="宋体" w:eastAsia="宋体" w:cs="宋体"/>
          <w:spacing w:val="-38"/>
          <w:position w:val="17"/>
          <w:sz w:val="24"/>
          <w:szCs w:val="24"/>
        </w:rPr>
        <w:t xml:space="preserve"> </w:t>
      </w:r>
      <w:r>
        <w:rPr>
          <w:rFonts w:ascii="Times New Roman" w:hAnsi="Times New Roman" w:eastAsia="Times New Roman" w:cs="Times New Roman"/>
          <w:i/>
          <w:iCs/>
          <w:spacing w:val="-2"/>
          <w:position w:val="17"/>
          <w:sz w:val="24"/>
          <w:szCs w:val="24"/>
        </w:rPr>
        <w:t>Sorbus</w:t>
      </w:r>
      <w:r>
        <w:rPr>
          <w:rFonts w:ascii="宋体" w:hAnsi="宋体" w:eastAsia="宋体" w:cs="宋体"/>
          <w:spacing w:val="-2"/>
          <w:position w:val="17"/>
          <w:sz w:val="24"/>
          <w:szCs w:val="24"/>
        </w:rPr>
        <w:t>、</w:t>
      </w:r>
    </w:p>
    <w:p>
      <w:pPr>
        <w:spacing w:line="212" w:lineRule="auto"/>
        <w:ind w:left="41"/>
        <w:rPr>
          <w:rFonts w:ascii="宋体" w:hAnsi="宋体" w:eastAsia="宋体" w:cs="宋体"/>
          <w:sz w:val="24"/>
          <w:szCs w:val="24"/>
        </w:rPr>
      </w:pPr>
      <w:r>
        <w:rPr>
          <w:rFonts w:ascii="宋体" w:hAnsi="宋体" w:eastAsia="宋体" w:cs="宋体"/>
          <w:spacing w:val="-2"/>
          <w:sz w:val="24"/>
          <w:szCs w:val="24"/>
        </w:rPr>
        <w:t>绣线菊属</w:t>
      </w:r>
      <w:r>
        <w:rPr>
          <w:rFonts w:ascii="宋体" w:hAnsi="宋体" w:eastAsia="宋体" w:cs="宋体"/>
          <w:spacing w:val="-59"/>
          <w:sz w:val="24"/>
          <w:szCs w:val="24"/>
        </w:rPr>
        <w:t xml:space="preserve"> </w:t>
      </w:r>
      <w:r>
        <w:rPr>
          <w:rFonts w:ascii="Times New Roman" w:hAnsi="Times New Roman" w:eastAsia="Times New Roman" w:cs="Times New Roman"/>
          <w:i/>
          <w:iCs/>
          <w:spacing w:val="-2"/>
          <w:sz w:val="24"/>
          <w:szCs w:val="24"/>
        </w:rPr>
        <w:t>Spiraea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、荚蒾属</w:t>
      </w:r>
      <w:r>
        <w:rPr>
          <w:rFonts w:ascii="宋体" w:hAnsi="宋体" w:eastAsia="宋体" w:cs="宋体"/>
          <w:spacing w:val="-30"/>
          <w:sz w:val="24"/>
          <w:szCs w:val="24"/>
        </w:rPr>
        <w:t xml:space="preserve"> </w:t>
      </w:r>
      <w:r>
        <w:rPr>
          <w:rFonts w:ascii="Times New Roman" w:hAnsi="Times New Roman" w:eastAsia="Times New Roman" w:cs="Times New Roman"/>
          <w:i/>
          <w:iCs/>
          <w:spacing w:val="-2"/>
          <w:sz w:val="24"/>
          <w:szCs w:val="24"/>
        </w:rPr>
        <w:t xml:space="preserve">Viburnum </w:t>
      </w:r>
      <w:r>
        <w:rPr>
          <w:rFonts w:ascii="宋体" w:hAnsi="宋体" w:eastAsia="宋体" w:cs="宋体"/>
          <w:spacing w:val="-2"/>
          <w:sz w:val="24"/>
          <w:szCs w:val="24"/>
        </w:rPr>
        <w:t>等。此外，草本属在该类型中所</w:t>
      </w:r>
      <w:r>
        <w:rPr>
          <w:rFonts w:ascii="宋体" w:hAnsi="宋体" w:eastAsia="宋体" w:cs="宋体"/>
          <w:spacing w:val="-3"/>
          <w:sz w:val="24"/>
          <w:szCs w:val="24"/>
        </w:rPr>
        <w:t>占的比重</w:t>
      </w:r>
    </w:p>
    <w:p>
      <w:pPr>
        <w:spacing w:before="192" w:line="212" w:lineRule="auto"/>
        <w:ind w:left="39"/>
        <w:rPr>
          <w:rFonts w:ascii="宋体" w:hAnsi="宋体" w:eastAsia="宋体" w:cs="宋体"/>
          <w:sz w:val="24"/>
          <w:szCs w:val="24"/>
        </w:rPr>
      </w:pPr>
      <w:r>
        <w:rPr>
          <w:rFonts w:ascii="宋体" w:hAnsi="宋体" w:eastAsia="宋体" w:cs="宋体"/>
          <w:spacing w:val="-1"/>
          <w:sz w:val="24"/>
          <w:szCs w:val="24"/>
        </w:rPr>
        <w:t>较大，如香青属</w:t>
      </w:r>
      <w:r>
        <w:rPr>
          <w:rFonts w:ascii="宋体" w:hAnsi="宋体" w:eastAsia="宋体" w:cs="宋体"/>
          <w:spacing w:val="-46"/>
          <w:sz w:val="24"/>
          <w:szCs w:val="24"/>
        </w:rPr>
        <w:t xml:space="preserve"> </w:t>
      </w:r>
      <w:r>
        <w:rPr>
          <w:rFonts w:ascii="Times New Roman" w:hAnsi="Times New Roman" w:eastAsia="Times New Roman" w:cs="Times New Roman"/>
          <w:i/>
          <w:iCs/>
          <w:spacing w:val="-1"/>
          <w:sz w:val="24"/>
          <w:szCs w:val="24"/>
        </w:rPr>
        <w:t>Anaphalis</w:t>
      </w:r>
      <w:r>
        <w:rPr>
          <w:rFonts w:ascii="宋体" w:hAnsi="宋体" w:eastAsia="宋体" w:cs="宋体"/>
          <w:spacing w:val="-1"/>
          <w:sz w:val="24"/>
          <w:szCs w:val="24"/>
        </w:rPr>
        <w:t>、紫菀属</w:t>
      </w:r>
      <w:r>
        <w:rPr>
          <w:rFonts w:ascii="宋体" w:hAnsi="宋体" w:eastAsia="宋体" w:cs="宋体"/>
          <w:spacing w:val="-71"/>
          <w:sz w:val="24"/>
          <w:szCs w:val="24"/>
        </w:rPr>
        <w:t xml:space="preserve"> </w:t>
      </w:r>
      <w:r>
        <w:rPr>
          <w:rFonts w:ascii="Times New Roman" w:hAnsi="Times New Roman" w:eastAsia="Times New Roman" w:cs="Times New Roman"/>
          <w:i/>
          <w:iCs/>
          <w:spacing w:val="-1"/>
          <w:sz w:val="24"/>
          <w:szCs w:val="24"/>
        </w:rPr>
        <w:t>Aster</w:t>
      </w:r>
      <w:r>
        <w:rPr>
          <w:rFonts w:ascii="宋体" w:hAnsi="宋体" w:eastAsia="宋体" w:cs="宋体"/>
          <w:spacing w:val="-1"/>
          <w:sz w:val="24"/>
          <w:szCs w:val="24"/>
        </w:rPr>
        <w:t>、天南星属</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Arisaema</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、扁穗草属</w:t>
      </w:r>
    </w:p>
    <w:p>
      <w:pPr>
        <w:spacing w:before="192" w:line="468" w:lineRule="exact"/>
        <w:ind w:left="24"/>
        <w:rPr>
          <w:rFonts w:ascii="宋体" w:hAnsi="宋体" w:eastAsia="宋体" w:cs="宋体"/>
          <w:sz w:val="24"/>
          <w:szCs w:val="24"/>
        </w:rPr>
      </w:pPr>
      <w:r>
        <w:rPr>
          <w:rFonts w:ascii="Times New Roman" w:hAnsi="Times New Roman" w:eastAsia="Times New Roman" w:cs="Times New Roman"/>
          <w:i/>
          <w:iCs/>
          <w:spacing w:val="-1"/>
          <w:position w:val="17"/>
          <w:sz w:val="24"/>
          <w:szCs w:val="24"/>
        </w:rPr>
        <w:t>Blysmus</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1"/>
          <w:position w:val="17"/>
          <w:sz w:val="24"/>
          <w:szCs w:val="24"/>
        </w:rPr>
        <w:t>、柴胡属</w:t>
      </w:r>
      <w:r>
        <w:rPr>
          <w:rFonts w:ascii="宋体" w:hAnsi="宋体" w:eastAsia="宋体" w:cs="宋体"/>
          <w:spacing w:val="-66"/>
          <w:position w:val="17"/>
          <w:sz w:val="24"/>
          <w:szCs w:val="24"/>
        </w:rPr>
        <w:t xml:space="preserve"> </w:t>
      </w:r>
      <w:r>
        <w:rPr>
          <w:rFonts w:ascii="Times New Roman" w:hAnsi="Times New Roman" w:eastAsia="Times New Roman" w:cs="Times New Roman"/>
          <w:i/>
          <w:iCs/>
          <w:spacing w:val="-1"/>
          <w:position w:val="17"/>
          <w:sz w:val="24"/>
          <w:szCs w:val="24"/>
        </w:rPr>
        <w:t>Bupleuru</w:t>
      </w:r>
      <w:r>
        <w:rPr>
          <w:rFonts w:ascii="Times New Roman" w:hAnsi="Times New Roman" w:eastAsia="Times New Roman" w:cs="Times New Roman"/>
          <w:i/>
          <w:iCs/>
          <w:spacing w:val="-2"/>
          <w:position w:val="17"/>
          <w:sz w:val="24"/>
          <w:szCs w:val="24"/>
        </w:rPr>
        <w:t>m</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2"/>
          <w:position w:val="17"/>
          <w:sz w:val="24"/>
          <w:szCs w:val="24"/>
        </w:rPr>
        <w:t>、风轮菜属</w:t>
      </w:r>
      <w:r>
        <w:rPr>
          <w:rFonts w:ascii="宋体" w:hAnsi="宋体" w:eastAsia="宋体" w:cs="宋体"/>
          <w:spacing w:val="-44"/>
          <w:position w:val="17"/>
          <w:sz w:val="24"/>
          <w:szCs w:val="24"/>
        </w:rPr>
        <w:t xml:space="preserve"> </w:t>
      </w:r>
      <w:r>
        <w:rPr>
          <w:rFonts w:ascii="Times New Roman" w:hAnsi="Times New Roman" w:eastAsia="Times New Roman" w:cs="Times New Roman"/>
          <w:i/>
          <w:iCs/>
          <w:spacing w:val="-2"/>
          <w:position w:val="17"/>
          <w:sz w:val="24"/>
          <w:szCs w:val="24"/>
        </w:rPr>
        <w:t>Clinopodium</w:t>
      </w:r>
      <w:r>
        <w:rPr>
          <w:rFonts w:ascii="宋体" w:hAnsi="宋体" w:eastAsia="宋体" w:cs="宋体"/>
          <w:spacing w:val="-2"/>
          <w:position w:val="17"/>
          <w:sz w:val="24"/>
          <w:szCs w:val="24"/>
        </w:rPr>
        <w:t>、薄荷属</w:t>
      </w:r>
      <w:r>
        <w:rPr>
          <w:rFonts w:ascii="宋体" w:hAnsi="宋体" w:eastAsia="宋体" w:cs="宋体"/>
          <w:spacing w:val="-47"/>
          <w:position w:val="17"/>
          <w:sz w:val="24"/>
          <w:szCs w:val="24"/>
        </w:rPr>
        <w:t xml:space="preserve"> </w:t>
      </w:r>
      <w:r>
        <w:rPr>
          <w:rFonts w:ascii="Times New Roman" w:hAnsi="Times New Roman" w:eastAsia="Times New Roman" w:cs="Times New Roman"/>
          <w:i/>
          <w:iCs/>
          <w:spacing w:val="-2"/>
          <w:position w:val="17"/>
          <w:sz w:val="24"/>
          <w:szCs w:val="24"/>
        </w:rPr>
        <w:t>Mentha</w:t>
      </w:r>
      <w:r>
        <w:rPr>
          <w:rFonts w:ascii="宋体" w:hAnsi="宋体" w:eastAsia="宋体" w:cs="宋体"/>
          <w:spacing w:val="-2"/>
          <w:position w:val="17"/>
          <w:sz w:val="24"/>
          <w:szCs w:val="24"/>
        </w:rPr>
        <w:t>、夏枯草</w:t>
      </w:r>
    </w:p>
    <w:p>
      <w:pPr>
        <w:spacing w:before="1" w:line="232" w:lineRule="auto"/>
        <w:ind w:left="41"/>
        <w:rPr>
          <w:rFonts w:ascii="宋体" w:hAnsi="宋体" w:eastAsia="宋体" w:cs="宋体"/>
          <w:sz w:val="24"/>
          <w:szCs w:val="24"/>
        </w:rPr>
      </w:pPr>
      <w:r>
        <w:rPr>
          <w:rFonts w:ascii="宋体" w:hAnsi="宋体" w:eastAsia="宋体" w:cs="宋体"/>
          <w:spacing w:val="-1"/>
          <w:sz w:val="24"/>
          <w:szCs w:val="24"/>
        </w:rPr>
        <w:t>属</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 xml:space="preserve">Prunella </w:t>
      </w:r>
      <w:r>
        <w:rPr>
          <w:rFonts w:ascii="宋体" w:hAnsi="宋体" w:eastAsia="宋体" w:cs="宋体"/>
          <w:spacing w:val="-1"/>
          <w:sz w:val="24"/>
          <w:szCs w:val="24"/>
        </w:rPr>
        <w:t>等，它们大多是当地不同类型群落中草本层的主要组成成</w:t>
      </w:r>
      <w:r>
        <w:rPr>
          <w:rFonts w:ascii="宋体" w:hAnsi="宋体" w:eastAsia="宋体" w:cs="宋体"/>
          <w:spacing w:val="-2"/>
          <w:sz w:val="24"/>
          <w:szCs w:val="24"/>
        </w:rPr>
        <w:t>分。</w:t>
      </w:r>
    </w:p>
    <w:p>
      <w:pPr>
        <w:spacing w:before="165" w:line="360" w:lineRule="auto"/>
        <w:ind w:left="43" w:right="32" w:firstLine="474"/>
        <w:rPr>
          <w:rFonts w:ascii="宋体" w:hAnsi="宋体" w:eastAsia="宋体" w:cs="宋体"/>
          <w:sz w:val="24"/>
          <w:szCs w:val="24"/>
        </w:rPr>
      </w:pPr>
      <w:r>
        <w:rPr>
          <w:rFonts w:ascii="Times New Roman" w:hAnsi="Times New Roman" w:eastAsia="Times New Roman" w:cs="Times New Roman"/>
          <w:b/>
          <w:bCs/>
          <w:spacing w:val="-3"/>
          <w:sz w:val="24"/>
          <w:szCs w:val="24"/>
        </w:rPr>
        <w:t>i.</w:t>
      </w:r>
      <w:r>
        <w:rPr>
          <w:rFonts w:ascii="宋体" w:hAnsi="宋体" w:eastAsia="宋体" w:cs="宋体"/>
          <w:spacing w:val="-3"/>
          <w:sz w:val="24"/>
          <w:szCs w:val="24"/>
          <w14:textOutline w14:w="4354" w14:cap="flat" w14:cmpd="sng">
            <w14:solidFill>
              <w14:srgbClr w14:val="000000"/>
            </w14:solidFill>
            <w14:prstDash w14:val="solid"/>
            <w14:miter w14:val="0"/>
          </w14:textOutline>
        </w:rPr>
        <w:t>东亚和北美洲间断分布及其变型。</w:t>
      </w:r>
      <w:r>
        <w:rPr>
          <w:rFonts w:ascii="宋体" w:hAnsi="宋体" w:eastAsia="宋体" w:cs="宋体"/>
          <w:spacing w:val="-9"/>
          <w:sz w:val="24"/>
          <w:szCs w:val="24"/>
        </w:rPr>
        <w:t xml:space="preserve"> </w:t>
      </w:r>
      <w:r>
        <w:rPr>
          <w:rFonts w:ascii="宋体" w:hAnsi="宋体" w:eastAsia="宋体" w:cs="宋体"/>
          <w:spacing w:val="-3"/>
          <w:sz w:val="24"/>
          <w:szCs w:val="24"/>
        </w:rPr>
        <w:t>指间断分布于东亚和北美洲温带及亚热</w:t>
      </w:r>
      <w:r>
        <w:rPr>
          <w:rFonts w:ascii="宋体" w:hAnsi="宋体" w:eastAsia="宋体" w:cs="宋体"/>
          <w:sz w:val="24"/>
          <w:szCs w:val="24"/>
        </w:rPr>
        <w:t xml:space="preserve"> </w:t>
      </w:r>
      <w:r>
        <w:rPr>
          <w:rFonts w:ascii="宋体" w:hAnsi="宋体" w:eastAsia="宋体" w:cs="宋体"/>
          <w:spacing w:val="-7"/>
          <w:sz w:val="24"/>
          <w:szCs w:val="24"/>
        </w:rPr>
        <w:t>带地区的属。</w:t>
      </w:r>
      <w:r>
        <w:rPr>
          <w:rFonts w:ascii="宋体" w:hAnsi="宋体" w:eastAsia="宋体" w:cs="宋体"/>
          <w:spacing w:val="50"/>
          <w:sz w:val="24"/>
          <w:szCs w:val="24"/>
        </w:rPr>
        <w:t xml:space="preserve"> </w:t>
      </w:r>
      <w:r>
        <w:rPr>
          <w:rFonts w:ascii="宋体" w:hAnsi="宋体" w:eastAsia="宋体" w:cs="宋体"/>
          <w:spacing w:val="-7"/>
          <w:sz w:val="24"/>
          <w:szCs w:val="24"/>
        </w:rPr>
        <w:t>评价区属于此分布型的有</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13 </w:t>
      </w:r>
      <w:r>
        <w:rPr>
          <w:rFonts w:ascii="宋体" w:hAnsi="宋体" w:eastAsia="宋体" w:cs="宋体"/>
          <w:spacing w:val="-7"/>
          <w:sz w:val="24"/>
          <w:szCs w:val="24"/>
        </w:rPr>
        <w:t>属，占总数的</w:t>
      </w:r>
      <w:r>
        <w:rPr>
          <w:rFonts w:ascii="宋体" w:hAnsi="宋体" w:eastAsia="宋体" w:cs="宋体"/>
          <w:spacing w:val="-37"/>
          <w:sz w:val="24"/>
          <w:szCs w:val="24"/>
        </w:rPr>
        <w:t xml:space="preserve"> </w:t>
      </w:r>
      <w:r>
        <w:rPr>
          <w:rFonts w:ascii="Times New Roman" w:hAnsi="Times New Roman" w:eastAsia="Times New Roman" w:cs="Times New Roman"/>
          <w:spacing w:val="-7"/>
          <w:sz w:val="24"/>
          <w:szCs w:val="24"/>
        </w:rPr>
        <w:t>4.68%</w:t>
      </w:r>
      <w:r>
        <w:rPr>
          <w:rFonts w:ascii="Times New Roman" w:hAnsi="Times New Roman" w:eastAsia="Times New Roman" w:cs="Times New Roman"/>
          <w:spacing w:val="-27"/>
          <w:sz w:val="24"/>
          <w:szCs w:val="24"/>
        </w:rPr>
        <w:t xml:space="preserve"> </w:t>
      </w:r>
      <w:r>
        <w:rPr>
          <w:rFonts w:ascii="宋体" w:hAnsi="宋体" w:eastAsia="宋体" w:cs="宋体"/>
          <w:spacing w:val="-7"/>
          <w:sz w:val="24"/>
          <w:szCs w:val="24"/>
        </w:rPr>
        <w:t>。本类型中，乔</w:t>
      </w:r>
    </w:p>
    <w:p>
      <w:pPr>
        <w:spacing w:before="1" w:line="212" w:lineRule="auto"/>
        <w:ind w:left="40"/>
        <w:rPr>
          <w:rFonts w:ascii="宋体" w:hAnsi="宋体" w:eastAsia="宋体" w:cs="宋体"/>
          <w:sz w:val="24"/>
          <w:szCs w:val="24"/>
        </w:rPr>
      </w:pPr>
      <w:r>
        <w:rPr>
          <w:rFonts w:ascii="宋体" w:hAnsi="宋体" w:eastAsia="宋体" w:cs="宋体"/>
          <w:spacing w:val="-3"/>
          <w:sz w:val="24"/>
          <w:szCs w:val="24"/>
        </w:rPr>
        <w:t>木有锥属</w:t>
      </w:r>
      <w:r>
        <w:rPr>
          <w:rFonts w:ascii="宋体" w:hAnsi="宋体" w:eastAsia="宋体" w:cs="宋体"/>
          <w:spacing w:val="-37"/>
          <w:sz w:val="24"/>
          <w:szCs w:val="24"/>
        </w:rPr>
        <w:t xml:space="preserve"> </w:t>
      </w:r>
      <w:r>
        <w:rPr>
          <w:rFonts w:ascii="Times New Roman" w:hAnsi="Times New Roman" w:eastAsia="Times New Roman" w:cs="Times New Roman"/>
          <w:i/>
          <w:iCs/>
          <w:spacing w:val="-3"/>
          <w:sz w:val="24"/>
          <w:szCs w:val="24"/>
        </w:rPr>
        <w:t>Castanopsis</w:t>
      </w:r>
      <w:r>
        <w:rPr>
          <w:rFonts w:ascii="Times New Roman" w:hAnsi="Times New Roman" w:eastAsia="Times New Roman" w:cs="Times New Roman"/>
          <w:i/>
          <w:iCs/>
          <w:spacing w:val="-35"/>
          <w:sz w:val="24"/>
          <w:szCs w:val="24"/>
        </w:rPr>
        <w:t xml:space="preserve"> </w:t>
      </w:r>
      <w:r>
        <w:rPr>
          <w:rFonts w:ascii="宋体" w:hAnsi="宋体" w:eastAsia="宋体" w:cs="宋体"/>
          <w:spacing w:val="-3"/>
          <w:sz w:val="24"/>
          <w:szCs w:val="24"/>
        </w:rPr>
        <w:t>、柯属</w:t>
      </w:r>
      <w:r>
        <w:rPr>
          <w:rFonts w:ascii="宋体" w:hAnsi="宋体" w:eastAsia="宋体" w:cs="宋体"/>
          <w:spacing w:val="-67"/>
          <w:sz w:val="24"/>
          <w:szCs w:val="24"/>
        </w:rPr>
        <w:t xml:space="preserve"> </w:t>
      </w:r>
      <w:r>
        <w:rPr>
          <w:rFonts w:ascii="Times New Roman" w:hAnsi="Times New Roman" w:eastAsia="Times New Roman" w:cs="Times New Roman"/>
          <w:i/>
          <w:iCs/>
          <w:spacing w:val="-3"/>
          <w:sz w:val="24"/>
          <w:szCs w:val="24"/>
        </w:rPr>
        <w:t>Lithocarpus</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、漆属</w:t>
      </w:r>
      <w:r>
        <w:rPr>
          <w:rFonts w:ascii="宋体" w:hAnsi="宋体" w:eastAsia="宋体" w:cs="宋体"/>
          <w:spacing w:val="-43"/>
          <w:sz w:val="24"/>
          <w:szCs w:val="24"/>
        </w:rPr>
        <w:t xml:space="preserve"> </w:t>
      </w:r>
      <w:r>
        <w:rPr>
          <w:rFonts w:ascii="Times New Roman" w:hAnsi="Times New Roman" w:eastAsia="Times New Roman" w:cs="Times New Roman"/>
          <w:i/>
          <w:iCs/>
          <w:spacing w:val="-3"/>
          <w:sz w:val="24"/>
          <w:szCs w:val="24"/>
        </w:rPr>
        <w:t>Toxicodendron</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、长喙木兰属</w:t>
      </w:r>
    </w:p>
    <w:p>
      <w:pPr>
        <w:spacing w:before="192" w:line="233" w:lineRule="auto"/>
        <w:ind w:left="22"/>
        <w:rPr>
          <w:rFonts w:ascii="宋体" w:hAnsi="宋体" w:eastAsia="宋体" w:cs="宋体"/>
          <w:sz w:val="24"/>
          <w:szCs w:val="24"/>
        </w:rPr>
      </w:pPr>
      <w:r>
        <w:rPr>
          <w:rFonts w:ascii="Times New Roman" w:hAnsi="Times New Roman" w:eastAsia="Times New Roman" w:cs="Times New Roman"/>
          <w:i/>
          <w:iCs/>
          <w:sz w:val="24"/>
          <w:szCs w:val="24"/>
        </w:rPr>
        <w:t xml:space="preserve">Lirianthe </w:t>
      </w:r>
      <w:r>
        <w:rPr>
          <w:rFonts w:ascii="宋体" w:hAnsi="宋体" w:eastAsia="宋体" w:cs="宋体"/>
          <w:sz w:val="24"/>
          <w:szCs w:val="24"/>
        </w:rPr>
        <w:t>等，这些属的许多种类在该地区系及群落学</w:t>
      </w:r>
      <w:r>
        <w:rPr>
          <w:rFonts w:ascii="宋体" w:hAnsi="宋体" w:eastAsia="宋体" w:cs="宋体"/>
          <w:spacing w:val="-1"/>
          <w:sz w:val="24"/>
          <w:szCs w:val="24"/>
        </w:rPr>
        <w:t>上均具有非常重要的意</w:t>
      </w:r>
    </w:p>
    <w:p>
      <w:pPr>
        <w:spacing w:before="165" w:line="468" w:lineRule="exact"/>
        <w:ind w:left="42"/>
        <w:rPr>
          <w:rFonts w:ascii="宋体" w:hAnsi="宋体" w:eastAsia="宋体" w:cs="宋体"/>
          <w:sz w:val="24"/>
          <w:szCs w:val="24"/>
        </w:rPr>
      </w:pPr>
      <w:r>
        <w:rPr>
          <w:rFonts w:ascii="宋体" w:hAnsi="宋体" w:eastAsia="宋体" w:cs="宋体"/>
          <w:spacing w:val="-1"/>
          <w:position w:val="17"/>
          <w:sz w:val="24"/>
          <w:szCs w:val="24"/>
        </w:rPr>
        <w:t>义；灌木以珍珠花属</w:t>
      </w:r>
      <w:r>
        <w:rPr>
          <w:rFonts w:ascii="宋体" w:hAnsi="宋体" w:eastAsia="宋体" w:cs="宋体"/>
          <w:spacing w:val="-68"/>
          <w:position w:val="17"/>
          <w:sz w:val="24"/>
          <w:szCs w:val="24"/>
        </w:rPr>
        <w:t xml:space="preserve"> </w:t>
      </w:r>
      <w:r>
        <w:rPr>
          <w:rFonts w:ascii="Times New Roman" w:hAnsi="Times New Roman" w:eastAsia="Times New Roman" w:cs="Times New Roman"/>
          <w:i/>
          <w:iCs/>
          <w:spacing w:val="-1"/>
          <w:position w:val="17"/>
          <w:sz w:val="24"/>
          <w:szCs w:val="24"/>
        </w:rPr>
        <w:t>Lyonia</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1"/>
          <w:position w:val="17"/>
          <w:sz w:val="24"/>
          <w:szCs w:val="24"/>
        </w:rPr>
        <w:t>、石楠属</w:t>
      </w:r>
      <w:r>
        <w:rPr>
          <w:rFonts w:ascii="宋体" w:hAnsi="宋体" w:eastAsia="宋体" w:cs="宋体"/>
          <w:spacing w:val="-66"/>
          <w:position w:val="17"/>
          <w:sz w:val="24"/>
          <w:szCs w:val="24"/>
        </w:rPr>
        <w:t xml:space="preserve"> </w:t>
      </w:r>
      <w:r>
        <w:rPr>
          <w:rFonts w:ascii="Times New Roman" w:hAnsi="Times New Roman" w:eastAsia="Times New Roman" w:cs="Times New Roman"/>
          <w:i/>
          <w:iCs/>
          <w:spacing w:val="-1"/>
          <w:position w:val="17"/>
          <w:sz w:val="24"/>
          <w:szCs w:val="24"/>
        </w:rPr>
        <w:t>Photinia</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1"/>
          <w:position w:val="17"/>
          <w:sz w:val="24"/>
          <w:szCs w:val="24"/>
        </w:rPr>
        <w:t>、马醉木属</w:t>
      </w:r>
      <w:r>
        <w:rPr>
          <w:rFonts w:ascii="宋体" w:hAnsi="宋体" w:eastAsia="宋体" w:cs="宋体"/>
          <w:spacing w:val="-65"/>
          <w:position w:val="17"/>
          <w:sz w:val="24"/>
          <w:szCs w:val="24"/>
        </w:rPr>
        <w:t xml:space="preserve"> </w:t>
      </w:r>
      <w:r>
        <w:rPr>
          <w:rFonts w:ascii="Times New Roman" w:hAnsi="Times New Roman" w:eastAsia="Times New Roman" w:cs="Times New Roman"/>
          <w:i/>
          <w:iCs/>
          <w:spacing w:val="-1"/>
          <w:position w:val="17"/>
          <w:sz w:val="24"/>
          <w:szCs w:val="24"/>
        </w:rPr>
        <w:t>Pieri</w:t>
      </w:r>
      <w:r>
        <w:rPr>
          <w:rFonts w:ascii="Times New Roman" w:hAnsi="Times New Roman" w:eastAsia="Times New Roman" w:cs="Times New Roman"/>
          <w:i/>
          <w:iCs/>
          <w:spacing w:val="-2"/>
          <w:position w:val="17"/>
          <w:sz w:val="24"/>
          <w:szCs w:val="24"/>
        </w:rPr>
        <w:t xml:space="preserve">s </w:t>
      </w:r>
      <w:r>
        <w:rPr>
          <w:rFonts w:ascii="宋体" w:hAnsi="宋体" w:eastAsia="宋体" w:cs="宋体"/>
          <w:spacing w:val="-2"/>
          <w:position w:val="17"/>
          <w:sz w:val="24"/>
          <w:szCs w:val="24"/>
        </w:rPr>
        <w:t>等为代表，这些</w:t>
      </w:r>
    </w:p>
    <w:p>
      <w:pPr>
        <w:spacing w:before="1" w:line="218" w:lineRule="auto"/>
        <w:ind w:left="45"/>
        <w:rPr>
          <w:rFonts w:ascii="宋体" w:hAnsi="宋体" w:eastAsia="宋体" w:cs="宋体"/>
          <w:sz w:val="24"/>
          <w:szCs w:val="24"/>
        </w:rPr>
      </w:pPr>
      <w:r>
        <w:rPr>
          <w:rFonts w:ascii="宋体" w:hAnsi="宋体" w:eastAsia="宋体" w:cs="宋体"/>
          <w:sz w:val="24"/>
          <w:szCs w:val="24"/>
        </w:rPr>
        <w:t>常为当地常绿阔叶林下的重要组成成分；草本</w:t>
      </w:r>
      <w:r>
        <w:rPr>
          <w:rFonts w:ascii="宋体" w:hAnsi="宋体" w:eastAsia="宋体" w:cs="宋体"/>
          <w:spacing w:val="-1"/>
          <w:sz w:val="24"/>
          <w:szCs w:val="24"/>
        </w:rPr>
        <w:t>中如落新妇属</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 xml:space="preserve">Astilbe </w:t>
      </w:r>
      <w:r>
        <w:rPr>
          <w:rFonts w:ascii="宋体" w:hAnsi="宋体" w:eastAsia="宋体" w:cs="宋体"/>
          <w:spacing w:val="-1"/>
          <w:sz w:val="24"/>
          <w:szCs w:val="24"/>
        </w:rPr>
        <w:t>等。</w:t>
      </w:r>
    </w:p>
    <w:p>
      <w:pPr>
        <w:spacing w:before="184" w:line="360" w:lineRule="auto"/>
        <w:ind w:left="41" w:right="95" w:firstLine="464"/>
        <w:rPr>
          <w:rFonts w:ascii="宋体" w:hAnsi="宋体" w:eastAsia="宋体" w:cs="宋体"/>
          <w:sz w:val="24"/>
          <w:szCs w:val="24"/>
        </w:rPr>
      </w:pPr>
      <w:r>
        <w:rPr>
          <w:rFonts w:ascii="Times New Roman" w:hAnsi="Times New Roman" w:eastAsia="Times New Roman" w:cs="Times New Roman"/>
          <w:b/>
          <w:bCs/>
          <w:spacing w:val="-1"/>
          <w:sz w:val="24"/>
          <w:szCs w:val="24"/>
        </w:rPr>
        <w:t>j.</w:t>
      </w:r>
      <w:r>
        <w:rPr>
          <w:rFonts w:ascii="宋体" w:hAnsi="宋体" w:eastAsia="宋体" w:cs="宋体"/>
          <w:spacing w:val="-1"/>
          <w:sz w:val="24"/>
          <w:szCs w:val="24"/>
          <w14:textOutline w14:w="4354" w14:cap="flat" w14:cmpd="sng">
            <w14:solidFill>
              <w14:srgbClr w14:val="000000"/>
            </w14:solidFill>
            <w14:prstDash w14:val="solid"/>
            <w14:miter w14:val="0"/>
          </w14:textOutline>
        </w:rPr>
        <w:t>旧世界温带分布及其变型</w:t>
      </w:r>
      <w:r>
        <w:rPr>
          <w:rFonts w:ascii="宋体" w:hAnsi="宋体" w:eastAsia="宋体" w:cs="宋体"/>
          <w:spacing w:val="-1"/>
          <w:sz w:val="24"/>
          <w:szCs w:val="24"/>
        </w:rPr>
        <w:t xml:space="preserve">。指广泛分布于欧洲、亚洲中高纬度的温带和  </w:t>
      </w:r>
      <w:r>
        <w:rPr>
          <w:rFonts w:ascii="宋体" w:hAnsi="宋体" w:eastAsia="宋体" w:cs="宋体"/>
          <w:spacing w:val="-5"/>
          <w:sz w:val="24"/>
          <w:szCs w:val="24"/>
        </w:rPr>
        <w:t>寒温带，或最多有个别延伸到北非及亚洲</w:t>
      </w:r>
      <w:r>
        <w:rPr>
          <w:rFonts w:ascii="Times New Roman" w:hAnsi="Times New Roman" w:eastAsia="Times New Roman" w:cs="Times New Roman"/>
          <w:spacing w:val="-5"/>
          <w:sz w:val="24"/>
          <w:szCs w:val="24"/>
        </w:rPr>
        <w:t>-</w:t>
      </w:r>
      <w:r>
        <w:rPr>
          <w:rFonts w:ascii="宋体" w:hAnsi="宋体" w:eastAsia="宋体" w:cs="宋体"/>
          <w:spacing w:val="-5"/>
          <w:sz w:val="24"/>
          <w:szCs w:val="24"/>
        </w:rPr>
        <w:t>非洲热带山地或澳大利亚的属。</w:t>
      </w:r>
      <w:r>
        <w:rPr>
          <w:rFonts w:ascii="宋体" w:hAnsi="宋体" w:eastAsia="宋体" w:cs="宋体"/>
          <w:spacing w:val="43"/>
          <w:sz w:val="24"/>
          <w:szCs w:val="24"/>
        </w:rPr>
        <w:t xml:space="preserve"> </w:t>
      </w:r>
      <w:r>
        <w:rPr>
          <w:rFonts w:ascii="宋体" w:hAnsi="宋体" w:eastAsia="宋体" w:cs="宋体"/>
          <w:spacing w:val="-5"/>
          <w:sz w:val="24"/>
          <w:szCs w:val="24"/>
        </w:rPr>
        <w:t>评价</w:t>
      </w:r>
      <w:r>
        <w:rPr>
          <w:rFonts w:ascii="宋体" w:hAnsi="宋体" w:eastAsia="宋体" w:cs="宋体"/>
          <w:sz w:val="24"/>
          <w:szCs w:val="24"/>
        </w:rPr>
        <w:t xml:space="preserve"> </w:t>
      </w:r>
      <w:r>
        <w:rPr>
          <w:rFonts w:ascii="宋体" w:hAnsi="宋体" w:eastAsia="宋体" w:cs="宋体"/>
          <w:spacing w:val="-3"/>
          <w:sz w:val="24"/>
          <w:szCs w:val="24"/>
        </w:rPr>
        <w:t>区属于此分布型的有</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 xml:space="preserve">17 </w:t>
      </w:r>
      <w:r>
        <w:rPr>
          <w:rFonts w:ascii="宋体" w:hAnsi="宋体" w:eastAsia="宋体" w:cs="宋体"/>
          <w:spacing w:val="-3"/>
          <w:sz w:val="24"/>
          <w:szCs w:val="24"/>
        </w:rPr>
        <w:t>属，占总数的</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6.12%</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。本区的此分布型属的特点是：除</w:t>
      </w:r>
    </w:p>
    <w:p>
      <w:pPr>
        <w:spacing w:line="212" w:lineRule="auto"/>
        <w:ind w:left="40"/>
        <w:rPr>
          <w:rFonts w:ascii="宋体" w:hAnsi="宋体" w:eastAsia="宋体" w:cs="宋体"/>
          <w:sz w:val="24"/>
          <w:szCs w:val="24"/>
        </w:rPr>
      </w:pPr>
      <w:r>
        <w:rPr>
          <w:rFonts w:ascii="宋体" w:hAnsi="宋体" w:eastAsia="宋体" w:cs="宋体"/>
          <w:spacing w:val="-2"/>
          <w:sz w:val="24"/>
          <w:szCs w:val="24"/>
        </w:rPr>
        <w:t>栒子属</w:t>
      </w:r>
      <w:r>
        <w:rPr>
          <w:rFonts w:ascii="宋体" w:hAnsi="宋体" w:eastAsia="宋体" w:cs="宋体"/>
          <w:spacing w:val="-36"/>
          <w:sz w:val="24"/>
          <w:szCs w:val="24"/>
        </w:rPr>
        <w:t xml:space="preserve"> </w:t>
      </w:r>
      <w:r>
        <w:rPr>
          <w:rFonts w:ascii="Times New Roman" w:hAnsi="Times New Roman" w:eastAsia="Times New Roman" w:cs="Times New Roman"/>
          <w:i/>
          <w:iCs/>
          <w:spacing w:val="-2"/>
          <w:sz w:val="24"/>
          <w:szCs w:val="24"/>
        </w:rPr>
        <w:t>Cotoneaster</w:t>
      </w:r>
      <w:r>
        <w:rPr>
          <w:rFonts w:ascii="宋体" w:hAnsi="宋体" w:eastAsia="宋体" w:cs="宋体"/>
          <w:spacing w:val="-2"/>
          <w:sz w:val="24"/>
          <w:szCs w:val="24"/>
        </w:rPr>
        <w:t>、火棘属</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Pyracantha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、梨属</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 xml:space="preserve">Pyrus </w:t>
      </w:r>
      <w:r>
        <w:rPr>
          <w:rFonts w:ascii="宋体" w:hAnsi="宋体" w:eastAsia="宋体" w:cs="宋体"/>
          <w:spacing w:val="-2"/>
          <w:sz w:val="24"/>
          <w:szCs w:val="24"/>
        </w:rPr>
        <w:t>等少数几个属为木本外，</w:t>
      </w:r>
    </w:p>
    <w:p>
      <w:pPr>
        <w:spacing w:before="192" w:line="213" w:lineRule="auto"/>
        <w:ind w:left="40"/>
        <w:rPr>
          <w:rFonts w:ascii="宋体" w:hAnsi="宋体" w:eastAsia="宋体" w:cs="宋体"/>
          <w:sz w:val="24"/>
          <w:szCs w:val="24"/>
        </w:rPr>
      </w:pPr>
      <w:r>
        <w:rPr>
          <w:rFonts w:ascii="宋体" w:hAnsi="宋体" w:eastAsia="宋体" w:cs="宋体"/>
          <w:spacing w:val="-2"/>
          <w:sz w:val="24"/>
          <w:szCs w:val="24"/>
        </w:rPr>
        <w:t>其余均为草本，以天名精属</w:t>
      </w:r>
      <w:r>
        <w:rPr>
          <w:rFonts w:ascii="宋体" w:hAnsi="宋体" w:eastAsia="宋体" w:cs="宋体"/>
          <w:spacing w:val="-34"/>
          <w:sz w:val="24"/>
          <w:szCs w:val="24"/>
        </w:rPr>
        <w:t xml:space="preserve"> </w:t>
      </w:r>
      <w:r>
        <w:rPr>
          <w:rFonts w:ascii="Times New Roman" w:hAnsi="Times New Roman" w:eastAsia="Times New Roman" w:cs="Times New Roman"/>
          <w:i/>
          <w:iCs/>
          <w:spacing w:val="-2"/>
          <w:sz w:val="24"/>
          <w:szCs w:val="24"/>
        </w:rPr>
        <w:t>Carpesium</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、川续断属</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Dipsacus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、羊耳菊属</w:t>
      </w:r>
    </w:p>
    <w:p>
      <w:pPr>
        <w:spacing w:before="191" w:line="468" w:lineRule="exact"/>
        <w:ind w:left="23"/>
        <w:rPr>
          <w:rFonts w:ascii="宋体" w:hAnsi="宋体" w:eastAsia="宋体" w:cs="宋体"/>
          <w:sz w:val="24"/>
          <w:szCs w:val="24"/>
        </w:rPr>
      </w:pPr>
      <w:r>
        <w:rPr>
          <w:rFonts w:ascii="Times New Roman" w:hAnsi="Times New Roman" w:eastAsia="Times New Roman" w:cs="Times New Roman"/>
          <w:i/>
          <w:iCs/>
          <w:spacing w:val="-1"/>
          <w:position w:val="17"/>
          <w:sz w:val="24"/>
          <w:szCs w:val="24"/>
        </w:rPr>
        <w:t>Duhaldea</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1"/>
          <w:position w:val="17"/>
          <w:sz w:val="24"/>
          <w:szCs w:val="24"/>
        </w:rPr>
        <w:t>、香薷属</w:t>
      </w:r>
      <w:r>
        <w:rPr>
          <w:rFonts w:ascii="宋体" w:hAnsi="宋体" w:eastAsia="宋体" w:cs="宋体"/>
          <w:spacing w:val="-65"/>
          <w:position w:val="17"/>
          <w:sz w:val="24"/>
          <w:szCs w:val="24"/>
        </w:rPr>
        <w:t xml:space="preserve"> </w:t>
      </w:r>
      <w:r>
        <w:rPr>
          <w:rFonts w:ascii="Times New Roman" w:hAnsi="Times New Roman" w:eastAsia="Times New Roman" w:cs="Times New Roman"/>
          <w:i/>
          <w:iCs/>
          <w:spacing w:val="-1"/>
          <w:position w:val="17"/>
          <w:sz w:val="24"/>
          <w:szCs w:val="24"/>
        </w:rPr>
        <w:t>Elsholtzia</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1"/>
          <w:position w:val="17"/>
          <w:sz w:val="24"/>
          <w:szCs w:val="24"/>
        </w:rPr>
        <w:t>、荞麦属</w:t>
      </w:r>
      <w:r>
        <w:rPr>
          <w:rFonts w:ascii="宋体" w:hAnsi="宋体" w:eastAsia="宋体" w:cs="宋体"/>
          <w:spacing w:val="-66"/>
          <w:position w:val="17"/>
          <w:sz w:val="24"/>
          <w:szCs w:val="24"/>
        </w:rPr>
        <w:t xml:space="preserve"> </w:t>
      </w:r>
      <w:r>
        <w:rPr>
          <w:rFonts w:ascii="Times New Roman" w:hAnsi="Times New Roman" w:eastAsia="Times New Roman" w:cs="Times New Roman"/>
          <w:i/>
          <w:iCs/>
          <w:spacing w:val="-1"/>
          <w:position w:val="17"/>
          <w:sz w:val="24"/>
          <w:szCs w:val="24"/>
        </w:rPr>
        <w:t>Fagopyrum</w:t>
      </w:r>
      <w:r>
        <w:rPr>
          <w:rFonts w:ascii="Times New Roman" w:hAnsi="Times New Roman" w:eastAsia="Times New Roman" w:cs="Times New Roman"/>
          <w:i/>
          <w:iCs/>
          <w:spacing w:val="-34"/>
          <w:position w:val="17"/>
          <w:sz w:val="24"/>
          <w:szCs w:val="24"/>
        </w:rPr>
        <w:t xml:space="preserve"> </w:t>
      </w:r>
      <w:r>
        <w:rPr>
          <w:rFonts w:ascii="宋体" w:hAnsi="宋体" w:eastAsia="宋体" w:cs="宋体"/>
          <w:spacing w:val="-1"/>
          <w:position w:val="17"/>
          <w:sz w:val="24"/>
          <w:szCs w:val="24"/>
        </w:rPr>
        <w:t>、益母草属</w:t>
      </w:r>
      <w:r>
        <w:rPr>
          <w:rFonts w:ascii="宋体" w:hAnsi="宋体" w:eastAsia="宋体" w:cs="宋体"/>
          <w:spacing w:val="-67"/>
          <w:position w:val="17"/>
          <w:sz w:val="24"/>
          <w:szCs w:val="24"/>
        </w:rPr>
        <w:t xml:space="preserve"> </w:t>
      </w:r>
      <w:r>
        <w:rPr>
          <w:rFonts w:ascii="Times New Roman" w:hAnsi="Times New Roman" w:eastAsia="Times New Roman" w:cs="Times New Roman"/>
          <w:i/>
          <w:iCs/>
          <w:spacing w:val="-1"/>
          <w:position w:val="17"/>
          <w:sz w:val="24"/>
          <w:szCs w:val="24"/>
        </w:rPr>
        <w:t xml:space="preserve">Leonurus </w:t>
      </w:r>
      <w:r>
        <w:rPr>
          <w:rFonts w:ascii="宋体" w:hAnsi="宋体" w:eastAsia="宋体" w:cs="宋体"/>
          <w:spacing w:val="-1"/>
          <w:position w:val="17"/>
          <w:sz w:val="24"/>
          <w:szCs w:val="24"/>
        </w:rPr>
        <w:t>等为代</w:t>
      </w:r>
    </w:p>
    <w:p>
      <w:pPr>
        <w:spacing w:before="2" w:line="220" w:lineRule="auto"/>
        <w:ind w:left="38"/>
        <w:rPr>
          <w:rFonts w:ascii="宋体" w:hAnsi="宋体" w:eastAsia="宋体" w:cs="宋体"/>
          <w:sz w:val="24"/>
          <w:szCs w:val="24"/>
        </w:rPr>
      </w:pPr>
      <w:r>
        <w:rPr>
          <w:rFonts w:ascii="宋体" w:hAnsi="宋体" w:eastAsia="宋体" w:cs="宋体"/>
          <w:spacing w:val="-11"/>
          <w:sz w:val="24"/>
          <w:szCs w:val="24"/>
        </w:rPr>
        <w:t>表。</w:t>
      </w:r>
    </w:p>
    <w:p>
      <w:pPr>
        <w:spacing w:before="180" w:line="468" w:lineRule="exact"/>
        <w:ind w:left="520"/>
        <w:rPr>
          <w:rFonts w:ascii="宋体" w:hAnsi="宋体" w:eastAsia="宋体" w:cs="宋体"/>
          <w:sz w:val="24"/>
          <w:szCs w:val="24"/>
        </w:rPr>
      </w:pPr>
      <w:r>
        <w:rPr>
          <w:rFonts w:ascii="Times New Roman" w:hAnsi="Times New Roman" w:eastAsia="Times New Roman" w:cs="Times New Roman"/>
          <w:b/>
          <w:bCs/>
          <w:spacing w:val="-1"/>
          <w:position w:val="16"/>
          <w:sz w:val="24"/>
          <w:szCs w:val="24"/>
        </w:rPr>
        <w:t>h.</w:t>
      </w:r>
      <w:r>
        <w:rPr>
          <w:rFonts w:ascii="宋体" w:hAnsi="宋体" w:eastAsia="宋体" w:cs="宋体"/>
          <w:spacing w:val="-1"/>
          <w:position w:val="16"/>
          <w:sz w:val="24"/>
          <w:szCs w:val="24"/>
          <w14:textOutline w14:w="4354" w14:cap="flat" w14:cmpd="sng">
            <w14:solidFill>
              <w14:srgbClr w14:val="000000"/>
            </w14:solidFill>
            <w14:prstDash w14:val="solid"/>
            <w14:miter w14:val="0"/>
          </w14:textOutline>
        </w:rPr>
        <w:t>温带亚洲分布</w:t>
      </w:r>
      <w:r>
        <w:rPr>
          <w:rFonts w:ascii="宋体" w:hAnsi="宋体" w:eastAsia="宋体" w:cs="宋体"/>
          <w:spacing w:val="-1"/>
          <w:position w:val="16"/>
          <w:sz w:val="24"/>
          <w:szCs w:val="24"/>
        </w:rPr>
        <w:t>。指分布区主要局限于亚洲温带地区的属，其分布区范围</w:t>
      </w:r>
    </w:p>
    <w:p>
      <w:pPr>
        <w:spacing w:before="2" w:line="218" w:lineRule="auto"/>
        <w:ind w:left="43"/>
        <w:rPr>
          <w:rFonts w:ascii="宋体" w:hAnsi="宋体" w:eastAsia="宋体" w:cs="宋体"/>
          <w:sz w:val="24"/>
          <w:szCs w:val="24"/>
        </w:rPr>
      </w:pPr>
      <w:r>
        <w:rPr>
          <w:rFonts w:ascii="宋体" w:hAnsi="宋体" w:eastAsia="宋体" w:cs="宋体"/>
          <w:sz w:val="24"/>
          <w:szCs w:val="24"/>
        </w:rPr>
        <w:t>一般包括从中亚至东西伯利亚和东北亚，南</w:t>
      </w:r>
      <w:r>
        <w:rPr>
          <w:rFonts w:ascii="宋体" w:hAnsi="宋体" w:eastAsia="宋体" w:cs="宋体"/>
          <w:spacing w:val="-1"/>
          <w:sz w:val="24"/>
          <w:szCs w:val="24"/>
        </w:rPr>
        <w:t>部界限至喜马拉雅山区，我国西</w:t>
      </w:r>
    </w:p>
    <w:p>
      <w:pPr>
        <w:spacing w:before="183" w:line="468" w:lineRule="exact"/>
        <w:ind w:left="42"/>
        <w:rPr>
          <w:rFonts w:ascii="宋体" w:hAnsi="宋体" w:eastAsia="宋体" w:cs="宋体"/>
          <w:sz w:val="24"/>
          <w:szCs w:val="24"/>
        </w:rPr>
      </w:pPr>
      <w:r>
        <w:rPr>
          <w:rFonts w:ascii="宋体" w:hAnsi="宋体" w:eastAsia="宋体" w:cs="宋体"/>
          <w:position w:val="17"/>
          <w:sz w:val="24"/>
          <w:szCs w:val="24"/>
        </w:rPr>
        <w:t>南、华北至东北，朝鲜和日本北部。也有一些</w:t>
      </w:r>
      <w:r>
        <w:rPr>
          <w:rFonts w:ascii="宋体" w:hAnsi="宋体" w:eastAsia="宋体" w:cs="宋体"/>
          <w:spacing w:val="-1"/>
          <w:position w:val="17"/>
          <w:sz w:val="24"/>
          <w:szCs w:val="24"/>
        </w:rPr>
        <w:t>属种分布到亚热带，个别属种到</w:t>
      </w:r>
    </w:p>
    <w:p>
      <w:pPr>
        <w:spacing w:line="218" w:lineRule="auto"/>
        <w:ind w:left="38"/>
        <w:rPr>
          <w:rFonts w:ascii="宋体" w:hAnsi="宋体" w:eastAsia="宋体" w:cs="宋体"/>
          <w:sz w:val="24"/>
          <w:szCs w:val="24"/>
        </w:rPr>
      </w:pPr>
      <w:r>
        <w:rPr>
          <w:rFonts w:ascii="宋体" w:hAnsi="宋体" w:eastAsia="宋体" w:cs="宋体"/>
          <w:spacing w:val="-6"/>
          <w:sz w:val="24"/>
          <w:szCs w:val="24"/>
        </w:rPr>
        <w:t>达亚洲热带，甚至到新几内亚。</w:t>
      </w:r>
      <w:r>
        <w:rPr>
          <w:rFonts w:ascii="宋体" w:hAnsi="宋体" w:eastAsia="宋体" w:cs="宋体"/>
          <w:spacing w:val="43"/>
          <w:sz w:val="24"/>
          <w:szCs w:val="24"/>
        </w:rPr>
        <w:t xml:space="preserve"> </w:t>
      </w:r>
      <w:r>
        <w:rPr>
          <w:rFonts w:ascii="宋体" w:hAnsi="宋体" w:eastAsia="宋体" w:cs="宋体"/>
          <w:spacing w:val="-6"/>
          <w:sz w:val="24"/>
          <w:szCs w:val="24"/>
        </w:rPr>
        <w:t>评价区属于此分布型的仅</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属，杭子梢属</w:t>
      </w:r>
    </w:p>
    <w:p>
      <w:pPr>
        <w:spacing w:before="223" w:line="183" w:lineRule="auto"/>
        <w:ind w:left="46"/>
        <w:rPr>
          <w:rFonts w:ascii="宋体" w:hAnsi="宋体" w:eastAsia="宋体" w:cs="宋体"/>
          <w:sz w:val="24"/>
          <w:szCs w:val="24"/>
        </w:rPr>
      </w:pPr>
      <w:r>
        <w:rPr>
          <w:rFonts w:ascii="Times New Roman" w:hAnsi="Times New Roman" w:eastAsia="Times New Roman" w:cs="Times New Roman"/>
          <w:i/>
          <w:iCs/>
          <w:spacing w:val="-2"/>
          <w:sz w:val="24"/>
          <w:szCs w:val="24"/>
        </w:rPr>
        <w:t>Campylotropis</w:t>
      </w:r>
      <w:r>
        <w:rPr>
          <w:rFonts w:ascii="宋体" w:hAnsi="宋体" w:eastAsia="宋体" w:cs="宋体"/>
          <w:spacing w:val="-2"/>
          <w:sz w:val="24"/>
          <w:szCs w:val="24"/>
        </w:rPr>
        <w:t>。</w:t>
      </w:r>
    </w:p>
    <w:p>
      <w:pPr>
        <w:spacing w:before="192" w:line="360" w:lineRule="auto"/>
        <w:ind w:left="41" w:right="50" w:firstLine="476"/>
        <w:rPr>
          <w:rFonts w:ascii="宋体" w:hAnsi="宋体" w:eastAsia="宋体" w:cs="宋体"/>
          <w:sz w:val="24"/>
          <w:szCs w:val="24"/>
        </w:rPr>
      </w:pPr>
      <w:r>
        <w:rPr>
          <w:rFonts w:ascii="Times New Roman" w:hAnsi="Times New Roman" w:eastAsia="Times New Roman" w:cs="Times New Roman"/>
          <w:b/>
          <w:bCs/>
          <w:spacing w:val="-3"/>
          <w:sz w:val="24"/>
          <w:szCs w:val="24"/>
        </w:rPr>
        <w:t>i.</w:t>
      </w:r>
      <w:r>
        <w:rPr>
          <w:rFonts w:ascii="宋体" w:hAnsi="宋体" w:eastAsia="宋体" w:cs="宋体"/>
          <w:spacing w:val="-3"/>
          <w:sz w:val="24"/>
          <w:szCs w:val="24"/>
          <w14:textOutline w14:w="4354" w14:cap="flat" w14:cmpd="sng">
            <w14:solidFill>
              <w14:srgbClr w14:val="000000"/>
            </w14:solidFill>
            <w14:prstDash w14:val="solid"/>
            <w14:miter w14:val="0"/>
          </w14:textOutline>
        </w:rPr>
        <w:t>地中海区、</w:t>
      </w:r>
      <w:r>
        <w:rPr>
          <w:rFonts w:ascii="宋体" w:hAnsi="宋体" w:eastAsia="宋体" w:cs="宋体"/>
          <w:spacing w:val="-25"/>
          <w:sz w:val="24"/>
          <w:szCs w:val="24"/>
        </w:rPr>
        <w:t xml:space="preserve"> </w:t>
      </w:r>
      <w:r>
        <w:rPr>
          <w:rFonts w:ascii="宋体" w:hAnsi="宋体" w:eastAsia="宋体" w:cs="宋体"/>
          <w:spacing w:val="-3"/>
          <w:sz w:val="24"/>
          <w:szCs w:val="24"/>
          <w14:textOutline w14:w="4354" w14:cap="flat" w14:cmpd="sng">
            <w14:solidFill>
              <w14:srgbClr w14:val="000000"/>
            </w14:solidFill>
            <w14:prstDash w14:val="solid"/>
            <w14:miter w14:val="0"/>
          </w14:textOutline>
        </w:rPr>
        <w:t>西亚至中亚分布及其变型</w:t>
      </w:r>
      <w:r>
        <w:rPr>
          <w:rFonts w:ascii="宋体" w:hAnsi="宋体" w:eastAsia="宋体" w:cs="宋体"/>
          <w:spacing w:val="-3"/>
          <w:sz w:val="24"/>
          <w:szCs w:val="24"/>
        </w:rPr>
        <w:t>。指分布于现代地中海周围，经</w:t>
      </w:r>
      <w:r>
        <w:rPr>
          <w:rFonts w:ascii="宋体" w:hAnsi="宋体" w:eastAsia="宋体" w:cs="宋体"/>
          <w:spacing w:val="-4"/>
          <w:sz w:val="24"/>
          <w:szCs w:val="24"/>
        </w:rPr>
        <w:t>过西</w:t>
      </w:r>
      <w:r>
        <w:rPr>
          <w:rFonts w:ascii="宋体" w:hAnsi="宋体" w:eastAsia="宋体" w:cs="宋体"/>
          <w:sz w:val="24"/>
          <w:szCs w:val="24"/>
        </w:rPr>
        <w:t xml:space="preserve"> </w:t>
      </w:r>
      <w:r>
        <w:rPr>
          <w:rFonts w:ascii="宋体" w:hAnsi="宋体" w:eastAsia="宋体" w:cs="宋体"/>
          <w:spacing w:val="-4"/>
          <w:sz w:val="24"/>
          <w:szCs w:val="24"/>
        </w:rPr>
        <w:t>亚和西南亚至中亚和我国新疆、青藏高原及蒙古高原一带的属。 评价区属于此</w:t>
      </w:r>
    </w:p>
    <w:p>
      <w:pPr>
        <w:spacing w:before="1" w:line="212" w:lineRule="auto"/>
        <w:ind w:left="42"/>
        <w:rPr>
          <w:rFonts w:ascii="宋体" w:hAnsi="宋体" w:eastAsia="宋体" w:cs="宋体"/>
          <w:sz w:val="24"/>
          <w:szCs w:val="24"/>
        </w:rPr>
      </w:pPr>
      <w:r>
        <w:rPr>
          <w:rFonts w:ascii="宋体" w:hAnsi="宋体" w:eastAsia="宋体" w:cs="宋体"/>
          <w:spacing w:val="-3"/>
          <w:sz w:val="24"/>
          <w:szCs w:val="24"/>
        </w:rPr>
        <w:t>分布型的有</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 xml:space="preserve">属，占总数的 </w:t>
      </w:r>
      <w:r>
        <w:rPr>
          <w:rFonts w:ascii="Times New Roman" w:hAnsi="Times New Roman" w:eastAsia="Times New Roman" w:cs="Times New Roman"/>
          <w:spacing w:val="-3"/>
          <w:sz w:val="24"/>
          <w:szCs w:val="24"/>
        </w:rPr>
        <w:t>1.08%</w:t>
      </w:r>
      <w:r>
        <w:rPr>
          <w:rFonts w:ascii="宋体" w:hAnsi="宋体" w:eastAsia="宋体" w:cs="宋体"/>
          <w:spacing w:val="-3"/>
          <w:sz w:val="24"/>
          <w:szCs w:val="24"/>
        </w:rPr>
        <w:t>，如常春藤属</w:t>
      </w:r>
      <w:r>
        <w:rPr>
          <w:rFonts w:ascii="宋体" w:hAnsi="宋体" w:eastAsia="宋体" w:cs="宋体"/>
          <w:spacing w:val="-66"/>
          <w:sz w:val="24"/>
          <w:szCs w:val="24"/>
        </w:rPr>
        <w:t xml:space="preserve"> </w:t>
      </w:r>
      <w:r>
        <w:rPr>
          <w:rFonts w:ascii="Times New Roman" w:hAnsi="Times New Roman" w:eastAsia="Times New Roman" w:cs="Times New Roman"/>
          <w:i/>
          <w:iCs/>
          <w:spacing w:val="-3"/>
          <w:sz w:val="24"/>
          <w:szCs w:val="24"/>
        </w:rPr>
        <w:t>Hedera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、沙针属</w:t>
      </w:r>
      <w:r>
        <w:rPr>
          <w:rFonts w:ascii="宋体" w:hAnsi="宋体" w:eastAsia="宋体" w:cs="宋体"/>
          <w:spacing w:val="-45"/>
          <w:sz w:val="24"/>
          <w:szCs w:val="24"/>
        </w:rPr>
        <w:t xml:space="preserve"> </w:t>
      </w:r>
      <w:r>
        <w:rPr>
          <w:rFonts w:ascii="Times New Roman" w:hAnsi="Times New Roman" w:eastAsia="Times New Roman" w:cs="Times New Roman"/>
          <w:i/>
          <w:iCs/>
          <w:spacing w:val="-3"/>
          <w:sz w:val="24"/>
          <w:szCs w:val="24"/>
        </w:rPr>
        <w:t>O</w:t>
      </w:r>
      <w:r>
        <w:rPr>
          <w:rFonts w:ascii="Times New Roman" w:hAnsi="Times New Roman" w:eastAsia="Times New Roman" w:cs="Times New Roman"/>
          <w:i/>
          <w:iCs/>
          <w:spacing w:val="-4"/>
          <w:sz w:val="24"/>
          <w:szCs w:val="24"/>
        </w:rPr>
        <w:t>syris</w:t>
      </w:r>
      <w:r>
        <w:rPr>
          <w:rFonts w:ascii="Times New Roman" w:hAnsi="Times New Roman" w:eastAsia="Times New Roman" w:cs="Times New Roman"/>
          <w:i/>
          <w:iCs/>
          <w:spacing w:val="-33"/>
          <w:sz w:val="24"/>
          <w:szCs w:val="24"/>
        </w:rPr>
        <w:t xml:space="preserve"> </w:t>
      </w:r>
      <w:r>
        <w:rPr>
          <w:rFonts w:ascii="宋体" w:hAnsi="宋体" w:eastAsia="宋体" w:cs="宋体"/>
          <w:spacing w:val="-4"/>
          <w:sz w:val="24"/>
          <w:szCs w:val="24"/>
        </w:rPr>
        <w:t>、黄连</w:t>
      </w:r>
    </w:p>
    <w:p>
      <w:pPr>
        <w:spacing w:line="212" w:lineRule="auto"/>
        <w:rPr>
          <w:rFonts w:ascii="宋体" w:hAnsi="宋体" w:eastAsia="宋体" w:cs="宋体"/>
          <w:sz w:val="24"/>
          <w:szCs w:val="24"/>
        </w:rPr>
        <w:sectPr>
          <w:footerReference r:id="rId291" w:type="default"/>
          <w:pgSz w:w="11907" w:h="16839"/>
          <w:pgMar w:top="1156" w:right="1768" w:bottom="1374" w:left="1770" w:header="881" w:footer="1210" w:gutter="0"/>
        </w:sectPr>
      </w:pPr>
    </w:p>
    <w:p>
      <w:pPr>
        <w:spacing w:line="317" w:lineRule="auto"/>
        <w:rPr>
          <w:rFonts w:ascii="Arial"/>
          <w:sz w:val="21"/>
        </w:rPr>
      </w:pPr>
    </w:p>
    <w:p>
      <w:pPr>
        <w:spacing w:before="78" w:line="220" w:lineRule="auto"/>
        <w:ind w:left="40"/>
        <w:rPr>
          <w:rFonts w:ascii="宋体" w:hAnsi="宋体" w:eastAsia="宋体" w:cs="宋体"/>
          <w:sz w:val="24"/>
          <w:szCs w:val="24"/>
        </w:rPr>
      </w:pPr>
      <w:r>
        <w:rPr>
          <w:rFonts w:ascii="宋体" w:hAnsi="宋体" w:eastAsia="宋体" w:cs="宋体"/>
          <w:spacing w:val="-1"/>
          <w:sz w:val="24"/>
          <w:szCs w:val="24"/>
        </w:rPr>
        <w:t>木属</w:t>
      </w:r>
      <w:r>
        <w:rPr>
          <w:rFonts w:ascii="宋体" w:hAnsi="宋体" w:eastAsia="宋体" w:cs="宋体"/>
          <w:spacing w:val="-61"/>
          <w:sz w:val="24"/>
          <w:szCs w:val="24"/>
        </w:rPr>
        <w:t xml:space="preserve"> </w:t>
      </w:r>
      <w:r>
        <w:rPr>
          <w:rFonts w:ascii="Times New Roman" w:hAnsi="Times New Roman" w:eastAsia="Times New Roman" w:cs="Times New Roman"/>
          <w:i/>
          <w:iCs/>
          <w:spacing w:val="-1"/>
          <w:sz w:val="24"/>
          <w:szCs w:val="24"/>
        </w:rPr>
        <w:t>Pistacia</w:t>
      </w:r>
      <w:r>
        <w:rPr>
          <w:rFonts w:ascii="宋体" w:hAnsi="宋体" w:eastAsia="宋体" w:cs="宋体"/>
          <w:spacing w:val="-1"/>
          <w:sz w:val="24"/>
          <w:szCs w:val="24"/>
        </w:rPr>
        <w:t>。</w:t>
      </w:r>
    </w:p>
    <w:p>
      <w:pPr>
        <w:spacing w:before="181" w:line="468" w:lineRule="exact"/>
        <w:ind w:right="30"/>
        <w:jc w:val="right"/>
        <w:rPr>
          <w:rFonts w:ascii="宋体" w:hAnsi="宋体" w:eastAsia="宋体" w:cs="宋体"/>
          <w:sz w:val="24"/>
          <w:szCs w:val="24"/>
        </w:rPr>
      </w:pPr>
      <w:r>
        <w:rPr>
          <w:rFonts w:ascii="Times New Roman" w:hAnsi="Times New Roman" w:eastAsia="Times New Roman" w:cs="Times New Roman"/>
          <w:b/>
          <w:bCs/>
          <w:spacing w:val="-5"/>
          <w:position w:val="17"/>
          <w:sz w:val="24"/>
          <w:szCs w:val="24"/>
        </w:rPr>
        <w:t>j.</w:t>
      </w:r>
      <w:r>
        <w:rPr>
          <w:rFonts w:ascii="宋体" w:hAnsi="宋体" w:eastAsia="宋体" w:cs="宋体"/>
          <w:spacing w:val="-5"/>
          <w:position w:val="17"/>
          <w:sz w:val="24"/>
          <w:szCs w:val="24"/>
          <w14:textOutline w14:w="4354" w14:cap="flat" w14:cmpd="sng">
            <w14:solidFill>
              <w14:srgbClr w14:val="000000"/>
            </w14:solidFill>
            <w14:prstDash w14:val="solid"/>
            <w14:miter w14:val="0"/>
          </w14:textOutline>
        </w:rPr>
        <w:t>中亚分布</w:t>
      </w:r>
      <w:r>
        <w:rPr>
          <w:rFonts w:ascii="宋体" w:hAnsi="宋体" w:eastAsia="宋体" w:cs="宋体"/>
          <w:spacing w:val="-5"/>
          <w:position w:val="17"/>
          <w:sz w:val="24"/>
          <w:szCs w:val="24"/>
        </w:rPr>
        <w:t>。指仅分布于中亚，延伸至云南高原的属。</w:t>
      </w:r>
      <w:r>
        <w:rPr>
          <w:rFonts w:ascii="宋体" w:hAnsi="宋体" w:eastAsia="宋体" w:cs="宋体"/>
          <w:spacing w:val="60"/>
          <w:position w:val="17"/>
          <w:sz w:val="24"/>
          <w:szCs w:val="24"/>
        </w:rPr>
        <w:t xml:space="preserve"> </w:t>
      </w:r>
      <w:r>
        <w:rPr>
          <w:rFonts w:ascii="宋体" w:hAnsi="宋体" w:eastAsia="宋体" w:cs="宋体"/>
          <w:spacing w:val="-5"/>
          <w:position w:val="17"/>
          <w:sz w:val="24"/>
          <w:szCs w:val="24"/>
        </w:rPr>
        <w:t>评价区属于此分布型</w:t>
      </w:r>
    </w:p>
    <w:p>
      <w:pPr>
        <w:spacing w:before="1" w:line="218" w:lineRule="auto"/>
        <w:ind w:left="59"/>
        <w:rPr>
          <w:rFonts w:ascii="宋体" w:hAnsi="宋体" w:eastAsia="宋体" w:cs="宋体"/>
          <w:sz w:val="24"/>
          <w:szCs w:val="24"/>
        </w:rPr>
      </w:pPr>
      <w:r>
        <w:rPr>
          <w:rFonts w:ascii="宋体" w:hAnsi="宋体" w:eastAsia="宋体" w:cs="宋体"/>
          <w:spacing w:val="-3"/>
          <w:sz w:val="24"/>
          <w:szCs w:val="24"/>
        </w:rPr>
        <w:t>的有</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属，即冬青属</w:t>
      </w:r>
      <w:r>
        <w:rPr>
          <w:rFonts w:ascii="宋体" w:hAnsi="宋体" w:eastAsia="宋体" w:cs="宋体"/>
          <w:spacing w:val="-67"/>
          <w:sz w:val="24"/>
          <w:szCs w:val="24"/>
        </w:rPr>
        <w:t xml:space="preserve"> </w:t>
      </w:r>
      <w:r>
        <w:rPr>
          <w:rFonts w:ascii="Times New Roman" w:hAnsi="Times New Roman" w:eastAsia="Times New Roman" w:cs="Times New Roman"/>
          <w:i/>
          <w:iCs/>
          <w:spacing w:val="-3"/>
          <w:sz w:val="24"/>
          <w:szCs w:val="24"/>
        </w:rPr>
        <w:t>Ilex</w:t>
      </w:r>
      <w:r>
        <w:rPr>
          <w:rFonts w:ascii="Times New Roman" w:hAnsi="Times New Roman" w:eastAsia="Times New Roman" w:cs="Times New Roman"/>
          <w:i/>
          <w:iCs/>
          <w:spacing w:val="-27"/>
          <w:sz w:val="24"/>
          <w:szCs w:val="24"/>
        </w:rPr>
        <w:t xml:space="preserve"> </w:t>
      </w:r>
      <w:r>
        <w:rPr>
          <w:rFonts w:ascii="宋体" w:hAnsi="宋体" w:eastAsia="宋体" w:cs="宋体"/>
          <w:spacing w:val="-3"/>
          <w:sz w:val="24"/>
          <w:szCs w:val="24"/>
        </w:rPr>
        <w:t>。这表明本区系与地中海</w:t>
      </w:r>
      <w:r>
        <w:rPr>
          <w:rFonts w:ascii="宋体" w:hAnsi="宋体" w:eastAsia="宋体" w:cs="宋体"/>
          <w:spacing w:val="-4"/>
          <w:sz w:val="24"/>
          <w:szCs w:val="24"/>
        </w:rPr>
        <w:t>地区的联系十分微弱。</w:t>
      </w:r>
    </w:p>
    <w:p>
      <w:pPr>
        <w:spacing w:before="183" w:line="360" w:lineRule="auto"/>
        <w:ind w:left="39" w:right="83" w:firstLine="480"/>
        <w:rPr>
          <w:rFonts w:ascii="宋体" w:hAnsi="宋体" w:eastAsia="宋体" w:cs="宋体"/>
          <w:sz w:val="24"/>
          <w:szCs w:val="24"/>
        </w:rPr>
      </w:pPr>
      <w:r>
        <w:rPr>
          <w:rFonts w:ascii="Times New Roman" w:hAnsi="Times New Roman" w:eastAsia="Times New Roman" w:cs="Times New Roman"/>
          <w:b/>
          <w:bCs/>
          <w:spacing w:val="-5"/>
          <w:sz w:val="24"/>
          <w:szCs w:val="24"/>
        </w:rPr>
        <w:t>k.</w:t>
      </w:r>
      <w:r>
        <w:rPr>
          <w:rFonts w:ascii="宋体" w:hAnsi="宋体" w:eastAsia="宋体" w:cs="宋体"/>
          <w:spacing w:val="-5"/>
          <w:sz w:val="24"/>
          <w:szCs w:val="24"/>
          <w14:textOutline w14:w="4354" w14:cap="flat" w14:cmpd="sng">
            <w14:solidFill>
              <w14:srgbClr w14:val="000000"/>
            </w14:solidFill>
            <w14:prstDash w14:val="solid"/>
            <w14:miter w14:val="0"/>
          </w14:textOutline>
        </w:rPr>
        <w:t>东亚分布</w:t>
      </w:r>
      <w:r>
        <w:rPr>
          <w:rFonts w:ascii="宋体" w:hAnsi="宋体" w:eastAsia="宋体" w:cs="宋体"/>
          <w:spacing w:val="-5"/>
          <w:sz w:val="24"/>
          <w:szCs w:val="24"/>
        </w:rPr>
        <w:t>。指的是从东喜马拉雅一直分布到日本的属。</w:t>
      </w:r>
      <w:r>
        <w:rPr>
          <w:rFonts w:ascii="宋体" w:hAnsi="宋体" w:eastAsia="宋体" w:cs="宋体"/>
          <w:spacing w:val="43"/>
          <w:sz w:val="24"/>
          <w:szCs w:val="24"/>
        </w:rPr>
        <w:t xml:space="preserve"> </w:t>
      </w:r>
      <w:r>
        <w:rPr>
          <w:rFonts w:ascii="宋体" w:hAnsi="宋体" w:eastAsia="宋体" w:cs="宋体"/>
          <w:spacing w:val="-5"/>
          <w:sz w:val="24"/>
          <w:szCs w:val="24"/>
        </w:rPr>
        <w:t>评价区属</w:t>
      </w:r>
      <w:r>
        <w:rPr>
          <w:rFonts w:ascii="宋体" w:hAnsi="宋体" w:eastAsia="宋体" w:cs="宋体"/>
          <w:spacing w:val="-6"/>
          <w:sz w:val="24"/>
          <w:szCs w:val="24"/>
        </w:rPr>
        <w:t>于此分</w:t>
      </w:r>
      <w:r>
        <w:rPr>
          <w:rFonts w:ascii="宋体" w:hAnsi="宋体" w:eastAsia="宋体" w:cs="宋体"/>
          <w:sz w:val="24"/>
          <w:szCs w:val="24"/>
        </w:rPr>
        <w:t xml:space="preserve">  </w:t>
      </w:r>
      <w:r>
        <w:rPr>
          <w:rFonts w:ascii="宋体" w:hAnsi="宋体" w:eastAsia="宋体" w:cs="宋体"/>
          <w:spacing w:val="-2"/>
          <w:sz w:val="24"/>
          <w:szCs w:val="24"/>
        </w:rPr>
        <w:t>布型的有</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 </w:t>
      </w:r>
      <w:r>
        <w:rPr>
          <w:rFonts w:ascii="宋体" w:hAnsi="宋体" w:eastAsia="宋体" w:cs="宋体"/>
          <w:spacing w:val="-2"/>
          <w:sz w:val="24"/>
          <w:szCs w:val="24"/>
        </w:rPr>
        <w:t>属，占总数的</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7.19%</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。木本种类主要以南酸枣属</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Choer</w:t>
      </w:r>
      <w:r>
        <w:rPr>
          <w:rFonts w:ascii="Times New Roman" w:hAnsi="Times New Roman" w:eastAsia="Times New Roman" w:cs="Times New Roman"/>
          <w:i/>
          <w:iCs/>
          <w:spacing w:val="-3"/>
          <w:sz w:val="24"/>
          <w:szCs w:val="24"/>
        </w:rPr>
        <w:t>ospondias</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柏木属</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Cupressus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、栘衣属</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Docynia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、青荚叶属</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Helw</w:t>
      </w:r>
      <w:r>
        <w:rPr>
          <w:rFonts w:ascii="Times New Roman" w:hAnsi="Times New Roman" w:eastAsia="Times New Roman" w:cs="Times New Roman"/>
          <w:i/>
          <w:iCs/>
          <w:spacing w:val="-3"/>
          <w:sz w:val="24"/>
          <w:szCs w:val="24"/>
        </w:rPr>
        <w:t>ingia</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、侧柏属</w:t>
      </w:r>
      <w:r>
        <w:rPr>
          <w:rFonts w:ascii="宋体" w:hAnsi="宋体" w:eastAsia="宋体" w:cs="宋体"/>
          <w:spacing w:val="-65"/>
          <w:sz w:val="24"/>
          <w:szCs w:val="24"/>
        </w:rPr>
        <w:t xml:space="preserve"> </w:t>
      </w:r>
      <w:r>
        <w:rPr>
          <w:rFonts w:ascii="Times New Roman" w:hAnsi="Times New Roman" w:eastAsia="Times New Roman" w:cs="Times New Roman"/>
          <w:i/>
          <w:iCs/>
          <w:spacing w:val="-3"/>
          <w:sz w:val="24"/>
          <w:szCs w:val="24"/>
        </w:rPr>
        <w:t>Platycladus</w:t>
      </w:r>
      <w:r>
        <w:rPr>
          <w:rFonts w:ascii="Times New Roman" w:hAnsi="Times New Roman" w:eastAsia="Times New Roman" w:cs="Times New Roman"/>
          <w:i/>
          <w:iCs/>
          <w:spacing w:val="-35"/>
          <w:sz w:val="24"/>
          <w:szCs w:val="24"/>
        </w:rPr>
        <w:t xml:space="preserve"> </w:t>
      </w:r>
      <w:r>
        <w:rPr>
          <w:rFonts w:ascii="宋体" w:hAnsi="宋体" w:eastAsia="宋体" w:cs="宋体"/>
          <w:spacing w:val="-3"/>
          <w:sz w:val="24"/>
          <w:szCs w:val="24"/>
        </w:rPr>
        <w:t>、</w:t>
      </w:r>
      <w:r>
        <w:rPr>
          <w:rFonts w:ascii="宋体" w:hAnsi="宋体" w:eastAsia="宋体" w:cs="宋体"/>
          <w:sz w:val="24"/>
          <w:szCs w:val="24"/>
        </w:rPr>
        <w:t xml:space="preserve"> 扁核木属</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 xml:space="preserve">Prinsepia </w:t>
      </w:r>
      <w:r>
        <w:rPr>
          <w:rFonts w:ascii="宋体" w:hAnsi="宋体" w:eastAsia="宋体" w:cs="宋体"/>
          <w:sz w:val="24"/>
          <w:szCs w:val="24"/>
        </w:rPr>
        <w:t>为代表，这些均为常绿或</w:t>
      </w:r>
      <w:r>
        <w:rPr>
          <w:rFonts w:ascii="宋体" w:hAnsi="宋体" w:eastAsia="宋体" w:cs="宋体"/>
          <w:spacing w:val="-1"/>
          <w:sz w:val="24"/>
          <w:szCs w:val="24"/>
        </w:rPr>
        <w:t>落叶的乔木、灌木，多为该地常绿</w:t>
      </w:r>
      <w:r>
        <w:rPr>
          <w:rFonts w:ascii="宋体" w:hAnsi="宋体" w:eastAsia="宋体" w:cs="宋体"/>
          <w:sz w:val="24"/>
          <w:szCs w:val="24"/>
        </w:rPr>
        <w:t xml:space="preserve"> </w:t>
      </w:r>
      <w:r>
        <w:rPr>
          <w:rFonts w:ascii="宋体" w:hAnsi="宋体" w:eastAsia="宋体" w:cs="宋体"/>
          <w:spacing w:val="-1"/>
          <w:sz w:val="24"/>
          <w:szCs w:val="24"/>
        </w:rPr>
        <w:t>阔叶林、针阔混交林中的重要成分。草本主要有兔儿风属</w:t>
      </w:r>
      <w:r>
        <w:rPr>
          <w:rFonts w:ascii="宋体" w:hAnsi="宋体" w:eastAsia="宋体" w:cs="宋体"/>
          <w:spacing w:val="-70"/>
          <w:sz w:val="24"/>
          <w:szCs w:val="24"/>
        </w:rPr>
        <w:t xml:space="preserve"> </w:t>
      </w:r>
      <w:r>
        <w:rPr>
          <w:rFonts w:ascii="Times New Roman" w:hAnsi="Times New Roman" w:eastAsia="Times New Roman" w:cs="Times New Roman"/>
          <w:i/>
          <w:iCs/>
          <w:spacing w:val="-1"/>
          <w:sz w:val="24"/>
          <w:szCs w:val="24"/>
        </w:rPr>
        <w:t>Ainsliaea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 xml:space="preserve">、沿阶草属 </w:t>
      </w:r>
      <w:r>
        <w:rPr>
          <w:rFonts w:ascii="Times New Roman" w:hAnsi="Times New Roman" w:eastAsia="Times New Roman" w:cs="Times New Roman"/>
          <w:i/>
          <w:iCs/>
          <w:spacing w:val="-2"/>
          <w:sz w:val="24"/>
          <w:szCs w:val="24"/>
        </w:rPr>
        <w:t>Ophiopogon</w:t>
      </w:r>
      <w:r>
        <w:rPr>
          <w:rFonts w:ascii="Times New Roman" w:hAnsi="Times New Roman" w:eastAsia="Times New Roman" w:cs="Times New Roman"/>
          <w:i/>
          <w:iCs/>
          <w:spacing w:val="-30"/>
          <w:sz w:val="24"/>
          <w:szCs w:val="24"/>
        </w:rPr>
        <w:t xml:space="preserve"> </w:t>
      </w:r>
      <w:r>
        <w:rPr>
          <w:rFonts w:ascii="宋体" w:hAnsi="宋体" w:eastAsia="宋体" w:cs="宋体"/>
          <w:spacing w:val="-2"/>
          <w:sz w:val="24"/>
          <w:szCs w:val="24"/>
        </w:rPr>
        <w:t>、吉祥草属</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Reineckea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、石莲属</w:t>
      </w:r>
      <w:r>
        <w:rPr>
          <w:rFonts w:ascii="宋体" w:hAnsi="宋体" w:eastAsia="宋体" w:cs="宋体"/>
          <w:spacing w:val="-58"/>
          <w:sz w:val="24"/>
          <w:szCs w:val="24"/>
        </w:rPr>
        <w:t xml:space="preserve"> </w:t>
      </w:r>
      <w:r>
        <w:rPr>
          <w:rFonts w:ascii="Times New Roman" w:hAnsi="Times New Roman" w:eastAsia="Times New Roman" w:cs="Times New Roman"/>
          <w:i/>
          <w:iCs/>
          <w:spacing w:val="-2"/>
          <w:sz w:val="24"/>
          <w:szCs w:val="24"/>
        </w:rPr>
        <w:t>Sinocrassula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、半夏属</w:t>
      </w:r>
      <w:r>
        <w:rPr>
          <w:rFonts w:ascii="宋体" w:hAnsi="宋体" w:eastAsia="宋体" w:cs="宋体"/>
          <w:spacing w:val="-65"/>
          <w:sz w:val="24"/>
          <w:szCs w:val="24"/>
        </w:rPr>
        <w:t xml:space="preserve"> </w:t>
      </w:r>
      <w:r>
        <w:rPr>
          <w:rFonts w:ascii="Times New Roman" w:hAnsi="Times New Roman" w:eastAsia="Times New Roman" w:cs="Times New Roman"/>
          <w:i/>
          <w:iCs/>
          <w:spacing w:val="-2"/>
          <w:sz w:val="24"/>
          <w:szCs w:val="24"/>
        </w:rPr>
        <w:t>Pinellia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、合耳</w:t>
      </w:r>
      <w:r>
        <w:rPr>
          <w:rFonts w:ascii="宋体" w:hAnsi="宋体" w:eastAsia="宋体" w:cs="宋体"/>
          <w:sz w:val="24"/>
          <w:szCs w:val="24"/>
        </w:rPr>
        <w:t xml:space="preserve"> 菊属</w:t>
      </w:r>
      <w:r>
        <w:rPr>
          <w:rFonts w:ascii="宋体" w:hAnsi="宋体" w:eastAsia="宋体" w:cs="宋体"/>
          <w:spacing w:val="-59"/>
          <w:sz w:val="24"/>
          <w:szCs w:val="24"/>
        </w:rPr>
        <w:t xml:space="preserve"> </w:t>
      </w:r>
      <w:r>
        <w:rPr>
          <w:rFonts w:ascii="Times New Roman" w:hAnsi="Times New Roman" w:eastAsia="Times New Roman" w:cs="Times New Roman"/>
          <w:i/>
          <w:iCs/>
          <w:sz w:val="24"/>
          <w:szCs w:val="24"/>
        </w:rPr>
        <w:t xml:space="preserve">Synotis </w:t>
      </w:r>
      <w:r>
        <w:rPr>
          <w:rFonts w:ascii="宋体" w:hAnsi="宋体" w:eastAsia="宋体" w:cs="宋体"/>
          <w:sz w:val="24"/>
          <w:szCs w:val="24"/>
        </w:rPr>
        <w:t>等，这些属的种类往往是当地不同类型</w:t>
      </w:r>
      <w:r>
        <w:rPr>
          <w:rFonts w:ascii="宋体" w:hAnsi="宋体" w:eastAsia="宋体" w:cs="宋体"/>
          <w:spacing w:val="-1"/>
          <w:sz w:val="24"/>
          <w:szCs w:val="24"/>
        </w:rPr>
        <w:t>群落中草本层的优势或常见</w:t>
      </w:r>
    </w:p>
    <w:p>
      <w:pPr>
        <w:spacing w:line="220" w:lineRule="auto"/>
        <w:ind w:left="41"/>
        <w:rPr>
          <w:rFonts w:ascii="宋体" w:hAnsi="宋体" w:eastAsia="宋体" w:cs="宋体"/>
          <w:sz w:val="24"/>
          <w:szCs w:val="24"/>
        </w:rPr>
      </w:pPr>
      <w:r>
        <w:rPr>
          <w:rFonts w:ascii="宋体" w:hAnsi="宋体" w:eastAsia="宋体" w:cs="宋体"/>
          <w:spacing w:val="-11"/>
          <w:sz w:val="24"/>
          <w:szCs w:val="24"/>
        </w:rPr>
        <w:t>成分。</w:t>
      </w:r>
    </w:p>
    <w:p>
      <w:pPr>
        <w:spacing w:before="182" w:line="360" w:lineRule="auto"/>
        <w:ind w:left="39" w:right="41" w:firstLine="478"/>
        <w:rPr>
          <w:rFonts w:ascii="宋体" w:hAnsi="宋体" w:eastAsia="宋体" w:cs="宋体"/>
          <w:sz w:val="24"/>
          <w:szCs w:val="24"/>
        </w:rPr>
      </w:pPr>
      <w:r>
        <w:rPr>
          <w:rFonts w:ascii="Times New Roman" w:hAnsi="Times New Roman" w:eastAsia="Times New Roman" w:cs="Times New Roman"/>
          <w:b/>
          <w:bCs/>
          <w:spacing w:val="-6"/>
          <w:sz w:val="24"/>
          <w:szCs w:val="24"/>
        </w:rPr>
        <w:t>l.</w:t>
      </w:r>
      <w:r>
        <w:rPr>
          <w:rFonts w:ascii="宋体" w:hAnsi="宋体" w:eastAsia="宋体" w:cs="宋体"/>
          <w:spacing w:val="-6"/>
          <w:sz w:val="24"/>
          <w:szCs w:val="24"/>
          <w14:textOutline w14:w="4354" w14:cap="flat" w14:cmpd="sng">
            <w14:solidFill>
              <w14:srgbClr w14:val="000000"/>
            </w14:solidFill>
            <w14:prstDash w14:val="solid"/>
            <w14:miter w14:val="0"/>
          </w14:textOutline>
        </w:rPr>
        <w:t>中国特有分布</w:t>
      </w:r>
      <w:r>
        <w:rPr>
          <w:rFonts w:ascii="宋体" w:hAnsi="宋体" w:eastAsia="宋体" w:cs="宋体"/>
          <w:spacing w:val="-6"/>
          <w:sz w:val="24"/>
          <w:szCs w:val="24"/>
        </w:rPr>
        <w:t>。以云南或西南诸省为分布中心，</w:t>
      </w:r>
      <w:r>
        <w:rPr>
          <w:rFonts w:ascii="宋体" w:hAnsi="宋体" w:eastAsia="宋体" w:cs="宋体"/>
          <w:spacing w:val="85"/>
          <w:sz w:val="24"/>
          <w:szCs w:val="24"/>
        </w:rPr>
        <w:t xml:space="preserve"> </w:t>
      </w:r>
      <w:r>
        <w:rPr>
          <w:rFonts w:ascii="宋体" w:hAnsi="宋体" w:eastAsia="宋体" w:cs="宋体"/>
          <w:spacing w:val="-6"/>
          <w:sz w:val="24"/>
          <w:szCs w:val="24"/>
        </w:rPr>
        <w:t>向东北、东或西北方向辐</w:t>
      </w:r>
      <w:r>
        <w:rPr>
          <w:rFonts w:ascii="宋体" w:hAnsi="宋体" w:eastAsia="宋体" w:cs="宋体"/>
          <w:sz w:val="24"/>
          <w:szCs w:val="24"/>
        </w:rPr>
        <w:t xml:space="preserve"> </w:t>
      </w:r>
      <w:r>
        <w:rPr>
          <w:rFonts w:ascii="宋体" w:hAnsi="宋体" w:eastAsia="宋体" w:cs="宋体"/>
          <w:spacing w:val="-6"/>
          <w:sz w:val="24"/>
          <w:szCs w:val="24"/>
        </w:rPr>
        <w:t>射并逐渐减少，主要分布于秦岭</w:t>
      </w:r>
      <w:r>
        <w:rPr>
          <w:rFonts w:ascii="Times New Roman" w:hAnsi="Times New Roman" w:eastAsia="Times New Roman" w:cs="Times New Roman"/>
          <w:spacing w:val="-6"/>
          <w:sz w:val="24"/>
          <w:szCs w:val="24"/>
        </w:rPr>
        <w:t>-</w:t>
      </w:r>
      <w:r>
        <w:rPr>
          <w:rFonts w:ascii="Times New Roman" w:hAnsi="Times New Roman" w:eastAsia="Times New Roman" w:cs="Times New Roman"/>
          <w:spacing w:val="-22"/>
          <w:sz w:val="24"/>
          <w:szCs w:val="24"/>
        </w:rPr>
        <w:t xml:space="preserve"> </w:t>
      </w:r>
      <w:r>
        <w:rPr>
          <w:rFonts w:ascii="宋体" w:hAnsi="宋体" w:eastAsia="宋体" w:cs="宋体"/>
          <w:spacing w:val="-6"/>
          <w:sz w:val="24"/>
          <w:szCs w:val="24"/>
        </w:rPr>
        <w:t>山东以南的亚热带和热带地区。</w:t>
      </w:r>
      <w:r>
        <w:rPr>
          <w:rFonts w:ascii="宋体" w:hAnsi="宋体" w:eastAsia="宋体" w:cs="宋体"/>
          <w:spacing w:val="42"/>
          <w:sz w:val="24"/>
          <w:szCs w:val="24"/>
        </w:rPr>
        <w:t xml:space="preserve"> </w:t>
      </w:r>
      <w:r>
        <w:rPr>
          <w:rFonts w:ascii="宋体" w:hAnsi="宋体" w:eastAsia="宋体" w:cs="宋体"/>
          <w:spacing w:val="-6"/>
          <w:sz w:val="24"/>
          <w:szCs w:val="24"/>
        </w:rPr>
        <w:t>评价区属于此</w:t>
      </w:r>
    </w:p>
    <w:p>
      <w:pPr>
        <w:spacing w:before="1" w:line="232" w:lineRule="auto"/>
        <w:ind w:left="42"/>
        <w:rPr>
          <w:rFonts w:ascii="宋体" w:hAnsi="宋体" w:eastAsia="宋体" w:cs="宋体"/>
          <w:sz w:val="24"/>
          <w:szCs w:val="24"/>
        </w:rPr>
      </w:pPr>
      <w:r>
        <w:rPr>
          <w:rFonts w:ascii="宋体" w:hAnsi="宋体" w:eastAsia="宋体" w:cs="宋体"/>
          <w:spacing w:val="-2"/>
          <w:sz w:val="24"/>
          <w:szCs w:val="24"/>
        </w:rPr>
        <w:t>分布型的有</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 xml:space="preserve">属，占总数的 </w:t>
      </w:r>
      <w:r>
        <w:rPr>
          <w:rFonts w:ascii="Times New Roman" w:hAnsi="Times New Roman" w:eastAsia="Times New Roman" w:cs="Times New Roman"/>
          <w:spacing w:val="-2"/>
          <w:sz w:val="24"/>
          <w:szCs w:val="24"/>
        </w:rPr>
        <w:t>1.80%</w:t>
      </w:r>
      <w:r>
        <w:rPr>
          <w:rFonts w:ascii="宋体" w:hAnsi="宋体" w:eastAsia="宋体" w:cs="宋体"/>
          <w:spacing w:val="-2"/>
          <w:sz w:val="24"/>
          <w:szCs w:val="24"/>
        </w:rPr>
        <w:t>，如牛筋条属</w:t>
      </w:r>
      <w:r>
        <w:rPr>
          <w:rFonts w:ascii="宋体" w:hAnsi="宋体" w:eastAsia="宋体" w:cs="宋体"/>
          <w:spacing w:val="-67"/>
          <w:sz w:val="24"/>
          <w:szCs w:val="24"/>
        </w:rPr>
        <w:t xml:space="preserve"> </w:t>
      </w:r>
      <w:r>
        <w:rPr>
          <w:rFonts w:ascii="Times New Roman" w:hAnsi="Times New Roman" w:eastAsia="Times New Roman" w:cs="Times New Roman"/>
          <w:i/>
          <w:iCs/>
          <w:spacing w:val="-2"/>
          <w:sz w:val="24"/>
          <w:szCs w:val="24"/>
        </w:rPr>
        <w:t>Dich</w:t>
      </w:r>
      <w:r>
        <w:rPr>
          <w:rFonts w:ascii="Times New Roman" w:hAnsi="Times New Roman" w:eastAsia="Times New Roman" w:cs="Times New Roman"/>
          <w:i/>
          <w:iCs/>
          <w:spacing w:val="-3"/>
          <w:sz w:val="24"/>
          <w:szCs w:val="24"/>
        </w:rPr>
        <w:t>otomanthes</w:t>
      </w:r>
      <w:r>
        <w:rPr>
          <w:rFonts w:ascii="Times New Roman" w:hAnsi="Times New Roman" w:eastAsia="Times New Roman" w:cs="Times New Roman"/>
          <w:i/>
          <w:iCs/>
          <w:spacing w:val="-32"/>
          <w:sz w:val="24"/>
          <w:szCs w:val="24"/>
        </w:rPr>
        <w:t xml:space="preserve"> </w:t>
      </w:r>
      <w:r>
        <w:rPr>
          <w:rFonts w:ascii="宋体" w:hAnsi="宋体" w:eastAsia="宋体" w:cs="宋体"/>
          <w:spacing w:val="-3"/>
          <w:sz w:val="24"/>
          <w:szCs w:val="24"/>
        </w:rPr>
        <w:t>、油杉属</w:t>
      </w:r>
    </w:p>
    <w:p>
      <w:pPr>
        <w:spacing w:before="166" w:line="212" w:lineRule="auto"/>
        <w:ind w:left="23"/>
        <w:rPr>
          <w:rFonts w:ascii="宋体" w:hAnsi="宋体" w:eastAsia="宋体" w:cs="宋体"/>
          <w:sz w:val="24"/>
          <w:szCs w:val="24"/>
        </w:rPr>
      </w:pPr>
      <w:r>
        <w:rPr>
          <w:rFonts w:ascii="Times New Roman" w:hAnsi="Times New Roman" w:eastAsia="Times New Roman" w:cs="Times New Roman"/>
          <w:i/>
          <w:iCs/>
          <w:spacing w:val="-1"/>
          <w:sz w:val="24"/>
          <w:szCs w:val="24"/>
        </w:rPr>
        <w:t>Keteleeria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、地涌金莲属</w:t>
      </w:r>
      <w:r>
        <w:rPr>
          <w:rFonts w:ascii="宋体" w:hAnsi="宋体" w:eastAsia="宋体" w:cs="宋体"/>
          <w:spacing w:val="-68"/>
          <w:sz w:val="24"/>
          <w:szCs w:val="24"/>
        </w:rPr>
        <w:t xml:space="preserve"> </w:t>
      </w:r>
      <w:r>
        <w:rPr>
          <w:rFonts w:ascii="Times New Roman" w:hAnsi="Times New Roman" w:eastAsia="Times New Roman" w:cs="Times New Roman"/>
          <w:i/>
          <w:iCs/>
          <w:spacing w:val="-1"/>
          <w:sz w:val="24"/>
          <w:szCs w:val="24"/>
        </w:rPr>
        <w:t>Musella</w:t>
      </w:r>
      <w:r>
        <w:rPr>
          <w:rFonts w:ascii="Times New Roman" w:hAnsi="Times New Roman" w:eastAsia="Times New Roman" w:cs="Times New Roman"/>
          <w:i/>
          <w:iCs/>
          <w:spacing w:val="-35"/>
          <w:sz w:val="24"/>
          <w:szCs w:val="24"/>
        </w:rPr>
        <w:t xml:space="preserve"> </w:t>
      </w:r>
      <w:r>
        <w:rPr>
          <w:rFonts w:ascii="宋体" w:hAnsi="宋体" w:eastAsia="宋体" w:cs="宋体"/>
          <w:spacing w:val="-1"/>
          <w:sz w:val="24"/>
          <w:szCs w:val="24"/>
        </w:rPr>
        <w:t>、松属</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Pinus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、翅茎草属</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Pteryg</w:t>
      </w:r>
      <w:r>
        <w:rPr>
          <w:rFonts w:ascii="Times New Roman" w:hAnsi="Times New Roman" w:eastAsia="Times New Roman" w:cs="Times New Roman"/>
          <w:i/>
          <w:iCs/>
          <w:spacing w:val="-2"/>
          <w:sz w:val="24"/>
          <w:szCs w:val="24"/>
        </w:rPr>
        <w:t>iella</w:t>
      </w:r>
      <w:r>
        <w:rPr>
          <w:rFonts w:ascii="宋体" w:hAnsi="宋体" w:eastAsia="宋体" w:cs="宋体"/>
          <w:spacing w:val="-2"/>
          <w:sz w:val="24"/>
          <w:szCs w:val="24"/>
        </w:rPr>
        <w:t>。</w:t>
      </w:r>
    </w:p>
    <w:p>
      <w:pPr>
        <w:spacing w:before="192" w:line="360" w:lineRule="auto"/>
        <w:ind w:left="39" w:right="30" w:firstLine="479"/>
        <w:rPr>
          <w:rFonts w:ascii="宋体" w:hAnsi="宋体" w:eastAsia="宋体" w:cs="宋体"/>
          <w:sz w:val="24"/>
          <w:szCs w:val="24"/>
        </w:rPr>
      </w:pPr>
      <w:r>
        <w:rPr>
          <w:rFonts w:ascii="宋体" w:hAnsi="宋体" w:eastAsia="宋体" w:cs="宋体"/>
          <w:spacing w:val="-3"/>
          <w:sz w:val="24"/>
          <w:szCs w:val="24"/>
        </w:rPr>
        <w:t>评价区内世界分布、外来物种引种及栽培植物的种类较多。这是由</w:t>
      </w:r>
      <w:r>
        <w:rPr>
          <w:rFonts w:ascii="宋体" w:hAnsi="宋体" w:eastAsia="宋体" w:cs="宋体"/>
          <w:spacing w:val="-4"/>
          <w:sz w:val="24"/>
          <w:szCs w:val="24"/>
        </w:rPr>
        <w:t>于当地经</w:t>
      </w:r>
      <w:r>
        <w:rPr>
          <w:rFonts w:ascii="宋体" w:hAnsi="宋体" w:eastAsia="宋体" w:cs="宋体"/>
          <w:sz w:val="24"/>
          <w:szCs w:val="24"/>
        </w:rPr>
        <w:t xml:space="preserve"> </w:t>
      </w:r>
      <w:r>
        <w:rPr>
          <w:rFonts w:ascii="宋体" w:hAnsi="宋体" w:eastAsia="宋体" w:cs="宋体"/>
          <w:spacing w:val="-12"/>
          <w:sz w:val="24"/>
          <w:szCs w:val="24"/>
        </w:rPr>
        <w:t>济开发历史久远、人口密集，</w:t>
      </w:r>
      <w:r>
        <w:rPr>
          <w:rFonts w:ascii="宋体" w:hAnsi="宋体" w:eastAsia="宋体" w:cs="宋体"/>
          <w:spacing w:val="44"/>
          <w:sz w:val="24"/>
          <w:szCs w:val="24"/>
        </w:rPr>
        <w:t xml:space="preserve"> </w:t>
      </w:r>
      <w:r>
        <w:rPr>
          <w:rFonts w:ascii="宋体" w:hAnsi="宋体" w:eastAsia="宋体" w:cs="宋体"/>
          <w:spacing w:val="-12"/>
          <w:sz w:val="24"/>
          <w:szCs w:val="24"/>
        </w:rPr>
        <w:t>尤其是近年来当地经济开发迅猛，</w:t>
      </w:r>
      <w:r>
        <w:rPr>
          <w:rFonts w:ascii="宋体" w:hAnsi="宋体" w:eastAsia="宋体" w:cs="宋体"/>
          <w:spacing w:val="32"/>
          <w:sz w:val="24"/>
          <w:szCs w:val="24"/>
        </w:rPr>
        <w:t xml:space="preserve"> </w:t>
      </w:r>
      <w:r>
        <w:rPr>
          <w:rFonts w:ascii="宋体" w:hAnsi="宋体" w:eastAsia="宋体" w:cs="宋体"/>
          <w:spacing w:val="-12"/>
          <w:sz w:val="24"/>
          <w:szCs w:val="24"/>
        </w:rPr>
        <w:t>人类活动对植被</w:t>
      </w:r>
      <w:r>
        <w:rPr>
          <w:rFonts w:ascii="宋体" w:hAnsi="宋体" w:eastAsia="宋体" w:cs="宋体"/>
          <w:sz w:val="24"/>
          <w:szCs w:val="24"/>
        </w:rPr>
        <w:t xml:space="preserve"> </w:t>
      </w:r>
      <w:r>
        <w:rPr>
          <w:rFonts w:ascii="宋体" w:hAnsi="宋体" w:eastAsia="宋体" w:cs="宋体"/>
          <w:spacing w:val="-7"/>
          <w:sz w:val="24"/>
          <w:szCs w:val="24"/>
        </w:rPr>
        <w:t>和环境破坏很大，</w:t>
      </w:r>
      <w:r>
        <w:rPr>
          <w:rFonts w:ascii="宋体" w:hAnsi="宋体" w:eastAsia="宋体" w:cs="宋体"/>
          <w:spacing w:val="30"/>
          <w:sz w:val="24"/>
          <w:szCs w:val="24"/>
        </w:rPr>
        <w:t xml:space="preserve"> </w:t>
      </w:r>
      <w:r>
        <w:rPr>
          <w:rFonts w:ascii="宋体" w:hAnsi="宋体" w:eastAsia="宋体" w:cs="宋体"/>
          <w:spacing w:val="-7"/>
          <w:sz w:val="24"/>
          <w:szCs w:val="24"/>
        </w:rPr>
        <w:t>当地生长的植物区系已经受到较为严重的</w:t>
      </w:r>
      <w:r>
        <w:rPr>
          <w:rFonts w:ascii="宋体" w:hAnsi="宋体" w:eastAsia="宋体" w:cs="宋体"/>
          <w:spacing w:val="-8"/>
          <w:sz w:val="24"/>
          <w:szCs w:val="24"/>
        </w:rPr>
        <w:t>人为干扰。原生植物</w:t>
      </w:r>
      <w:r>
        <w:rPr>
          <w:rFonts w:ascii="宋体" w:hAnsi="宋体" w:eastAsia="宋体" w:cs="宋体"/>
          <w:sz w:val="24"/>
          <w:szCs w:val="24"/>
        </w:rPr>
        <w:t xml:space="preserve"> </w:t>
      </w:r>
      <w:r>
        <w:rPr>
          <w:rFonts w:ascii="宋体" w:hAnsi="宋体" w:eastAsia="宋体" w:cs="宋体"/>
          <w:spacing w:val="-11"/>
          <w:sz w:val="24"/>
          <w:szCs w:val="24"/>
        </w:rPr>
        <w:t>退缩到一些不可耕种的陡坡、岩石、缺水地区， 区系成分较为复杂，</w:t>
      </w:r>
      <w:r>
        <w:rPr>
          <w:rFonts w:ascii="宋体" w:hAnsi="宋体" w:eastAsia="宋体" w:cs="宋体"/>
          <w:spacing w:val="51"/>
          <w:sz w:val="24"/>
          <w:szCs w:val="24"/>
        </w:rPr>
        <w:t xml:space="preserve"> </w:t>
      </w:r>
      <w:r>
        <w:rPr>
          <w:rFonts w:ascii="宋体" w:hAnsi="宋体" w:eastAsia="宋体" w:cs="宋体"/>
          <w:spacing w:val="-11"/>
          <w:sz w:val="24"/>
          <w:szCs w:val="24"/>
        </w:rPr>
        <w:t>很多外来物</w:t>
      </w:r>
      <w:r>
        <w:rPr>
          <w:rFonts w:ascii="宋体" w:hAnsi="宋体" w:eastAsia="宋体" w:cs="宋体"/>
          <w:sz w:val="24"/>
          <w:szCs w:val="24"/>
        </w:rPr>
        <w:t xml:space="preserve"> </w:t>
      </w:r>
      <w:r>
        <w:rPr>
          <w:rFonts w:ascii="宋体" w:hAnsi="宋体" w:eastAsia="宋体" w:cs="宋体"/>
          <w:spacing w:val="-12"/>
          <w:sz w:val="24"/>
          <w:szCs w:val="24"/>
        </w:rPr>
        <w:t>种已成为先锋物种，</w:t>
      </w:r>
      <w:r>
        <w:rPr>
          <w:rFonts w:ascii="宋体" w:hAnsi="宋体" w:eastAsia="宋体" w:cs="宋体"/>
          <w:spacing w:val="44"/>
          <w:sz w:val="24"/>
          <w:szCs w:val="24"/>
        </w:rPr>
        <w:t xml:space="preserve"> </w:t>
      </w:r>
      <w:r>
        <w:rPr>
          <w:rFonts w:ascii="宋体" w:hAnsi="宋体" w:eastAsia="宋体" w:cs="宋体"/>
          <w:spacing w:val="-12"/>
          <w:sz w:val="24"/>
          <w:szCs w:val="24"/>
        </w:rPr>
        <w:t>侵入当地生态系统中，</w:t>
      </w:r>
      <w:r>
        <w:rPr>
          <w:rFonts w:ascii="宋体" w:hAnsi="宋体" w:eastAsia="宋体" w:cs="宋体"/>
          <w:spacing w:val="45"/>
          <w:sz w:val="24"/>
          <w:szCs w:val="24"/>
        </w:rPr>
        <w:t xml:space="preserve"> </w:t>
      </w:r>
      <w:r>
        <w:rPr>
          <w:rFonts w:ascii="宋体" w:hAnsi="宋体" w:eastAsia="宋体" w:cs="宋体"/>
          <w:spacing w:val="-12"/>
          <w:sz w:val="24"/>
          <w:szCs w:val="24"/>
        </w:rPr>
        <w:t>如</w:t>
      </w:r>
      <w:r>
        <w:rPr>
          <w:rFonts w:ascii="宋体" w:hAnsi="宋体" w:eastAsia="宋体" w:cs="宋体"/>
          <w:spacing w:val="-13"/>
          <w:sz w:val="24"/>
          <w:szCs w:val="24"/>
        </w:rPr>
        <w:t>破坏草、秋英、黑荆木、喜旱莲子</w:t>
      </w:r>
    </w:p>
    <w:p>
      <w:pPr>
        <w:spacing w:before="1" w:line="219" w:lineRule="auto"/>
        <w:ind w:left="41"/>
        <w:rPr>
          <w:rFonts w:ascii="宋体" w:hAnsi="宋体" w:eastAsia="宋体" w:cs="宋体"/>
          <w:sz w:val="24"/>
          <w:szCs w:val="24"/>
        </w:rPr>
      </w:pPr>
      <w:r>
        <w:rPr>
          <w:rFonts w:ascii="宋体" w:hAnsi="宋体" w:eastAsia="宋体" w:cs="宋体"/>
          <w:spacing w:val="-1"/>
          <w:sz w:val="24"/>
          <w:szCs w:val="24"/>
        </w:rPr>
        <w:t>草等，已改变了原有的区系组成。</w:t>
      </w:r>
    </w:p>
    <w:p>
      <w:pPr>
        <w:spacing w:before="183" w:line="217" w:lineRule="auto"/>
        <w:ind w:left="517"/>
        <w:rPr>
          <w:rFonts w:ascii="宋体" w:hAnsi="宋体" w:eastAsia="宋体" w:cs="宋体"/>
          <w:sz w:val="24"/>
          <w:szCs w:val="24"/>
        </w:rPr>
      </w:pPr>
      <w:r>
        <w:rPr>
          <w:rFonts w:ascii="宋体" w:hAnsi="宋体" w:eastAsia="宋体" w:cs="宋体"/>
          <w:spacing w:val="-1"/>
          <w:sz w:val="24"/>
          <w:szCs w:val="24"/>
        </w:rPr>
        <w:t>⑦重点保护植物及名木古树资源</w:t>
      </w:r>
    </w:p>
    <w:p>
      <w:pPr>
        <w:spacing w:before="186"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重点保护植物</w:t>
      </w:r>
    </w:p>
    <w:p>
      <w:pPr>
        <w:spacing w:before="164" w:line="468" w:lineRule="exact"/>
        <w:ind w:left="518"/>
        <w:rPr>
          <w:rFonts w:ascii="宋体" w:hAnsi="宋体" w:eastAsia="宋体" w:cs="宋体"/>
          <w:sz w:val="24"/>
          <w:szCs w:val="24"/>
        </w:rPr>
      </w:pPr>
      <w:r>
        <w:rPr>
          <w:rFonts w:ascii="宋体" w:hAnsi="宋体" w:eastAsia="宋体" w:cs="宋体"/>
          <w:position w:val="17"/>
          <w:sz w:val="24"/>
          <w:szCs w:val="24"/>
        </w:rPr>
        <w:t>在本项目现场调查爱好期间，评价区内没有发现国</w:t>
      </w:r>
      <w:r>
        <w:rPr>
          <w:rFonts w:ascii="宋体" w:hAnsi="宋体" w:eastAsia="宋体" w:cs="宋体"/>
          <w:spacing w:val="-1"/>
          <w:position w:val="17"/>
          <w:sz w:val="24"/>
          <w:szCs w:val="24"/>
        </w:rPr>
        <w:t>家级和云南省级重点保</w:t>
      </w:r>
    </w:p>
    <w:p>
      <w:pPr>
        <w:spacing w:before="1" w:line="219" w:lineRule="auto"/>
        <w:ind w:left="40"/>
        <w:rPr>
          <w:rFonts w:ascii="宋体" w:hAnsi="宋体" w:eastAsia="宋体" w:cs="宋体"/>
          <w:sz w:val="24"/>
          <w:szCs w:val="24"/>
        </w:rPr>
      </w:pPr>
      <w:r>
        <w:rPr>
          <w:rFonts w:ascii="宋体" w:hAnsi="宋体" w:eastAsia="宋体" w:cs="宋体"/>
          <w:spacing w:val="-9"/>
          <w:sz w:val="24"/>
          <w:szCs w:val="24"/>
        </w:rPr>
        <w:t>护植物。</w:t>
      </w:r>
    </w:p>
    <w:p>
      <w:pPr>
        <w:spacing w:before="183" w:line="468" w:lineRule="exact"/>
        <w:ind w:left="519"/>
        <w:rPr>
          <w:rFonts w:ascii="宋体" w:hAnsi="宋体" w:eastAsia="宋体" w:cs="宋体"/>
          <w:sz w:val="24"/>
          <w:szCs w:val="24"/>
        </w:rPr>
      </w:pPr>
      <w:r>
        <w:rPr>
          <w:rFonts w:ascii="宋体" w:hAnsi="宋体" w:eastAsia="宋体" w:cs="宋体"/>
          <w:spacing w:val="-6"/>
          <w:position w:val="17"/>
          <w:sz w:val="24"/>
          <w:szCs w:val="24"/>
        </w:rPr>
        <w:t>根据《国家重点保护野生植物名录》</w:t>
      </w:r>
      <w:r>
        <w:rPr>
          <w:rFonts w:ascii="宋体" w:hAnsi="宋体" w:eastAsia="宋体" w:cs="宋体"/>
          <w:spacing w:val="-51"/>
          <w:position w:val="17"/>
          <w:sz w:val="24"/>
          <w:szCs w:val="24"/>
        </w:rPr>
        <w:t xml:space="preserve"> </w:t>
      </w:r>
      <w:r>
        <w:rPr>
          <w:rFonts w:ascii="宋体" w:hAnsi="宋体" w:eastAsia="宋体" w:cs="宋体"/>
          <w:spacing w:val="-6"/>
          <w:position w:val="17"/>
          <w:sz w:val="24"/>
          <w:szCs w:val="24"/>
        </w:rPr>
        <w:t>（国家林业和草原局 农业农村部公告</w:t>
      </w:r>
    </w:p>
    <w:p>
      <w:pPr>
        <w:spacing w:line="219" w:lineRule="auto"/>
        <w:ind w:left="35"/>
        <w:rPr>
          <w:rFonts w:ascii="宋体" w:hAnsi="宋体" w:eastAsia="宋体" w:cs="宋体"/>
          <w:sz w:val="24"/>
          <w:szCs w:val="24"/>
        </w:rPr>
      </w:pPr>
      <w:r>
        <w:rPr>
          <w:rFonts w:ascii="Times New Roman" w:hAnsi="Times New Roman" w:eastAsia="Times New Roman" w:cs="Times New Roman"/>
          <w:spacing w:val="-5"/>
          <w:sz w:val="24"/>
          <w:szCs w:val="24"/>
        </w:rPr>
        <w:t xml:space="preserve">2021 </w:t>
      </w:r>
      <w:r>
        <w:rPr>
          <w:rFonts w:ascii="宋体" w:hAnsi="宋体" w:eastAsia="宋体" w:cs="宋体"/>
          <w:spacing w:val="-5"/>
          <w:sz w:val="24"/>
          <w:szCs w:val="24"/>
        </w:rPr>
        <w:t>年第</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15</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号</w:t>
      </w:r>
      <w:r>
        <w:rPr>
          <w:rFonts w:ascii="宋体" w:hAnsi="宋体" w:eastAsia="宋体" w:cs="宋体"/>
          <w:spacing w:val="-44"/>
          <w:w w:val="70"/>
          <w:sz w:val="24"/>
          <w:szCs w:val="24"/>
        </w:rPr>
        <w:t>），</w:t>
      </w:r>
      <w:r>
        <w:rPr>
          <w:rFonts w:ascii="宋体" w:hAnsi="宋体" w:eastAsia="宋体" w:cs="宋体"/>
          <w:spacing w:val="-5"/>
          <w:sz w:val="24"/>
          <w:szCs w:val="24"/>
        </w:rPr>
        <w:t>《云南省第一批省级重点保护野生植物名录》（</w:t>
      </w:r>
      <w:r>
        <w:rPr>
          <w:rFonts w:ascii="Times New Roman" w:hAnsi="Times New Roman" w:eastAsia="Times New Roman" w:cs="Times New Roman"/>
          <w:spacing w:val="-5"/>
          <w:sz w:val="24"/>
          <w:szCs w:val="24"/>
        </w:rPr>
        <w:t>1989</w:t>
      </w:r>
      <w:r>
        <w:rPr>
          <w:rFonts w:ascii="宋体" w:hAnsi="宋体" w:eastAsia="宋体" w:cs="宋体"/>
          <w:spacing w:val="-5"/>
          <w:sz w:val="24"/>
          <w:szCs w:val="24"/>
        </w:rPr>
        <w:t>）等资</w:t>
      </w:r>
    </w:p>
    <w:p>
      <w:pPr>
        <w:spacing w:before="183" w:line="468" w:lineRule="exact"/>
        <w:ind w:left="39"/>
        <w:rPr>
          <w:rFonts w:ascii="宋体" w:hAnsi="宋体" w:eastAsia="宋体" w:cs="宋体"/>
          <w:sz w:val="24"/>
          <w:szCs w:val="24"/>
        </w:rPr>
      </w:pPr>
      <w:r>
        <w:rPr>
          <w:rFonts w:ascii="宋体" w:hAnsi="宋体" w:eastAsia="宋体" w:cs="宋体"/>
          <w:spacing w:val="-3"/>
          <w:position w:val="17"/>
          <w:sz w:val="24"/>
          <w:szCs w:val="24"/>
        </w:rPr>
        <w:t>料，调查期间评价区没有发现国家级和省级</w:t>
      </w:r>
      <w:r>
        <w:rPr>
          <w:rFonts w:ascii="宋体" w:hAnsi="宋体" w:eastAsia="宋体" w:cs="宋体"/>
          <w:spacing w:val="-4"/>
          <w:position w:val="17"/>
          <w:sz w:val="24"/>
          <w:szCs w:val="24"/>
        </w:rPr>
        <w:t>保护野生植物。 根据</w:t>
      </w:r>
      <w:r>
        <w:rPr>
          <w:rFonts w:ascii="宋体" w:hAnsi="宋体" w:eastAsia="宋体" w:cs="宋体"/>
          <w:spacing w:val="-54"/>
          <w:position w:val="17"/>
          <w:sz w:val="24"/>
          <w:szCs w:val="24"/>
        </w:rPr>
        <w:t xml:space="preserve"> </w:t>
      </w:r>
      <w:r>
        <w:rPr>
          <w:rFonts w:ascii="Times New Roman" w:hAnsi="Times New Roman" w:eastAsia="Times New Roman" w:cs="Times New Roman"/>
          <w:spacing w:val="-4"/>
          <w:position w:val="17"/>
          <w:sz w:val="24"/>
          <w:szCs w:val="24"/>
        </w:rPr>
        <w:t xml:space="preserve">2012 </w:t>
      </w:r>
      <w:r>
        <w:rPr>
          <w:rFonts w:ascii="宋体" w:hAnsi="宋体" w:eastAsia="宋体" w:cs="宋体"/>
          <w:spacing w:val="-4"/>
          <w:position w:val="17"/>
          <w:sz w:val="24"/>
          <w:szCs w:val="24"/>
        </w:rPr>
        <w:t>年国家林</w:t>
      </w:r>
    </w:p>
    <w:p>
      <w:pPr>
        <w:spacing w:before="2" w:line="218" w:lineRule="auto"/>
        <w:ind w:left="38"/>
        <w:rPr>
          <w:rFonts w:ascii="宋体" w:hAnsi="宋体" w:eastAsia="宋体" w:cs="宋体"/>
          <w:sz w:val="24"/>
          <w:szCs w:val="24"/>
        </w:rPr>
      </w:pPr>
      <w:r>
        <w:rPr>
          <w:rFonts w:ascii="宋体" w:hAnsi="宋体" w:eastAsia="宋体" w:cs="宋体"/>
          <w:sz w:val="24"/>
          <w:szCs w:val="24"/>
        </w:rPr>
        <w:t>业局（现国家林业和草原局）和国家发展和改革委员会联</w:t>
      </w:r>
      <w:r>
        <w:rPr>
          <w:rFonts w:ascii="宋体" w:hAnsi="宋体" w:eastAsia="宋体" w:cs="宋体"/>
          <w:spacing w:val="-1"/>
          <w:sz w:val="24"/>
          <w:szCs w:val="24"/>
        </w:rPr>
        <w:t>合下发了</w:t>
      </w:r>
      <w:r>
        <w:rPr>
          <w:rFonts w:ascii="Times New Roman" w:hAnsi="Times New Roman" w:eastAsia="Times New Roman" w:cs="Times New Roman"/>
          <w:spacing w:val="-1"/>
          <w:sz w:val="24"/>
          <w:szCs w:val="24"/>
        </w:rPr>
        <w:t>“</w:t>
      </w:r>
      <w:r>
        <w:rPr>
          <w:rFonts w:ascii="宋体" w:hAnsi="宋体" w:eastAsia="宋体" w:cs="宋体"/>
          <w:spacing w:val="-1"/>
          <w:sz w:val="24"/>
          <w:szCs w:val="24"/>
        </w:rPr>
        <w:t>关于印发</w:t>
      </w:r>
    </w:p>
    <w:p>
      <w:pPr>
        <w:spacing w:line="218" w:lineRule="auto"/>
        <w:rPr>
          <w:rFonts w:ascii="宋体" w:hAnsi="宋体" w:eastAsia="宋体" w:cs="宋体"/>
          <w:sz w:val="24"/>
          <w:szCs w:val="24"/>
        </w:rPr>
        <w:sectPr>
          <w:footerReference r:id="rId292" w:type="default"/>
          <w:pgSz w:w="11907" w:h="16839"/>
          <w:pgMar w:top="1156" w:right="1768" w:bottom="1374" w:left="1770" w:header="881" w:footer="1210" w:gutter="0"/>
        </w:sectPr>
      </w:pPr>
    </w:p>
    <w:p>
      <w:pPr>
        <w:spacing w:line="317" w:lineRule="auto"/>
        <w:rPr>
          <w:rFonts w:ascii="Arial"/>
          <w:sz w:val="21"/>
        </w:rPr>
      </w:pPr>
    </w:p>
    <w:p>
      <w:pPr>
        <w:spacing w:before="78" w:line="468" w:lineRule="exact"/>
        <w:ind w:left="40"/>
        <w:rPr>
          <w:rFonts w:ascii="宋体" w:hAnsi="宋体" w:eastAsia="宋体" w:cs="宋体"/>
          <w:sz w:val="24"/>
          <w:szCs w:val="24"/>
        </w:rPr>
      </w:pPr>
      <w:r>
        <w:rPr>
          <w:rFonts w:ascii="宋体" w:hAnsi="宋体" w:eastAsia="宋体" w:cs="宋体"/>
          <w:spacing w:val="-5"/>
          <w:position w:val="17"/>
          <w:sz w:val="24"/>
          <w:szCs w:val="24"/>
        </w:rPr>
        <w:t>《全国极小种群野生植物拯救保护工程规划（</w:t>
      </w:r>
      <w:r>
        <w:rPr>
          <w:rFonts w:ascii="Times New Roman" w:hAnsi="Times New Roman" w:eastAsia="Times New Roman" w:cs="Times New Roman"/>
          <w:spacing w:val="-5"/>
          <w:position w:val="17"/>
          <w:sz w:val="24"/>
          <w:szCs w:val="24"/>
        </w:rPr>
        <w:t xml:space="preserve">2011—2015 </w:t>
      </w:r>
      <w:r>
        <w:rPr>
          <w:rFonts w:ascii="宋体" w:hAnsi="宋体" w:eastAsia="宋体" w:cs="宋体"/>
          <w:spacing w:val="-5"/>
          <w:position w:val="17"/>
          <w:sz w:val="24"/>
          <w:szCs w:val="24"/>
        </w:rPr>
        <w:t>年）》的通知</w:t>
      </w:r>
      <w:r>
        <w:rPr>
          <w:rFonts w:ascii="Times New Roman" w:hAnsi="Times New Roman" w:eastAsia="Times New Roman" w:cs="Times New Roman"/>
          <w:spacing w:val="-5"/>
          <w:position w:val="17"/>
          <w:sz w:val="24"/>
          <w:szCs w:val="24"/>
        </w:rPr>
        <w:t>”</w:t>
      </w:r>
      <w:r>
        <w:rPr>
          <w:rFonts w:ascii="Times New Roman" w:hAnsi="Times New Roman" w:eastAsia="Times New Roman" w:cs="Times New Roman"/>
          <w:spacing w:val="39"/>
          <w:w w:val="101"/>
          <w:position w:val="17"/>
          <w:sz w:val="24"/>
          <w:szCs w:val="24"/>
        </w:rPr>
        <w:t xml:space="preserve"> </w:t>
      </w:r>
      <w:r>
        <w:rPr>
          <w:rFonts w:ascii="宋体" w:hAnsi="宋体" w:eastAsia="宋体" w:cs="宋体"/>
          <w:spacing w:val="-5"/>
          <w:position w:val="17"/>
          <w:sz w:val="24"/>
          <w:szCs w:val="24"/>
        </w:rPr>
        <w:t>（林规</w:t>
      </w:r>
    </w:p>
    <w:p>
      <w:pPr>
        <w:spacing w:line="219" w:lineRule="auto"/>
        <w:ind w:left="43"/>
        <w:rPr>
          <w:rFonts w:ascii="Times New Roman" w:hAnsi="Times New Roman" w:eastAsia="Times New Roman" w:cs="Times New Roman"/>
          <w:sz w:val="24"/>
          <w:szCs w:val="24"/>
        </w:rPr>
      </w:pPr>
      <w:r>
        <w:rPr>
          <w:rFonts w:ascii="宋体" w:hAnsi="宋体" w:eastAsia="宋体" w:cs="宋体"/>
          <w:spacing w:val="-3"/>
          <w:sz w:val="24"/>
          <w:szCs w:val="24"/>
        </w:rPr>
        <w:t>发［</w:t>
      </w:r>
      <w:r>
        <w:rPr>
          <w:rFonts w:ascii="Times New Roman" w:hAnsi="Times New Roman" w:eastAsia="Times New Roman" w:cs="Times New Roman"/>
          <w:spacing w:val="-3"/>
          <w:sz w:val="24"/>
          <w:szCs w:val="24"/>
        </w:rPr>
        <w:t>2012</w:t>
      </w:r>
      <w:r>
        <w:rPr>
          <w:rFonts w:ascii="宋体" w:hAnsi="宋体" w:eastAsia="宋体" w:cs="宋体"/>
          <w:spacing w:val="-3"/>
          <w:sz w:val="24"/>
          <w:szCs w:val="24"/>
        </w:rPr>
        <w:t>］</w:t>
      </w:r>
      <w:r>
        <w:rPr>
          <w:rFonts w:ascii="Times New Roman" w:hAnsi="Times New Roman" w:eastAsia="Times New Roman" w:cs="Times New Roman"/>
          <w:spacing w:val="-3"/>
          <w:sz w:val="24"/>
          <w:szCs w:val="24"/>
        </w:rPr>
        <w:t>59</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w:t>
      </w:r>
      <w:r>
        <w:rPr>
          <w:rFonts w:ascii="宋体" w:hAnsi="宋体" w:eastAsia="宋体" w:cs="宋体"/>
          <w:spacing w:val="-21"/>
          <w:sz w:val="24"/>
          <w:szCs w:val="24"/>
        </w:rPr>
        <w:t>），</w:t>
      </w:r>
      <w:r>
        <w:rPr>
          <w:rFonts w:ascii="宋体" w:hAnsi="宋体" w:eastAsia="宋体" w:cs="宋体"/>
          <w:spacing w:val="-3"/>
          <w:sz w:val="24"/>
          <w:szCs w:val="24"/>
        </w:rPr>
        <w:t>最新出版的《云南省极小种群野生植物保护名录（</w:t>
      </w:r>
      <w:r>
        <w:rPr>
          <w:rFonts w:ascii="Times New Roman" w:hAnsi="Times New Roman" w:eastAsia="Times New Roman" w:cs="Times New Roman"/>
          <w:spacing w:val="-3"/>
          <w:sz w:val="24"/>
          <w:szCs w:val="24"/>
        </w:rPr>
        <w:t>2021</w:t>
      </w:r>
    </w:p>
    <w:p>
      <w:pPr>
        <w:spacing w:before="183" w:line="360" w:lineRule="auto"/>
        <w:ind w:left="39" w:right="67"/>
        <w:rPr>
          <w:rFonts w:ascii="宋体" w:hAnsi="宋体" w:eastAsia="宋体" w:cs="宋体"/>
          <w:sz w:val="24"/>
          <w:szCs w:val="24"/>
        </w:rPr>
      </w:pPr>
      <w:r>
        <w:rPr>
          <w:rFonts w:ascii="宋体" w:hAnsi="宋体" w:eastAsia="宋体" w:cs="宋体"/>
          <w:spacing w:val="-4"/>
          <w:sz w:val="24"/>
          <w:szCs w:val="24"/>
        </w:rPr>
        <w:t>版）》等资料显示，调查期间评价区没有发现极小种群野生植物。根据《中</w:t>
      </w:r>
      <w:r>
        <w:rPr>
          <w:rFonts w:ascii="宋体" w:hAnsi="宋体" w:eastAsia="宋体" w:cs="宋体"/>
          <w:spacing w:val="-5"/>
          <w:sz w:val="24"/>
          <w:szCs w:val="24"/>
        </w:rPr>
        <w:t>国生</w:t>
      </w:r>
      <w:r>
        <w:rPr>
          <w:rFonts w:ascii="宋体" w:hAnsi="宋体" w:eastAsia="宋体" w:cs="宋体"/>
          <w:sz w:val="24"/>
          <w:szCs w:val="24"/>
        </w:rPr>
        <w:t xml:space="preserve"> </w:t>
      </w:r>
      <w:r>
        <w:rPr>
          <w:rFonts w:ascii="宋体" w:hAnsi="宋体" w:eastAsia="宋体" w:cs="宋体"/>
          <w:spacing w:val="-6"/>
          <w:sz w:val="24"/>
          <w:szCs w:val="24"/>
        </w:rPr>
        <w:t>物多样性红色名录</w:t>
      </w:r>
      <w:r>
        <w:rPr>
          <w:rFonts w:ascii="Times New Roman" w:hAnsi="Times New Roman" w:eastAsia="Times New Roman" w:cs="Times New Roman"/>
          <w:spacing w:val="-6"/>
          <w:sz w:val="24"/>
          <w:szCs w:val="24"/>
        </w:rPr>
        <w:t>—</w:t>
      </w:r>
      <w:r>
        <w:rPr>
          <w:rFonts w:ascii="Times New Roman" w:hAnsi="Times New Roman" w:eastAsia="Times New Roman" w:cs="Times New Roman"/>
          <w:spacing w:val="-46"/>
          <w:sz w:val="24"/>
          <w:szCs w:val="24"/>
        </w:rPr>
        <w:t xml:space="preserve"> </w:t>
      </w:r>
      <w:r>
        <w:rPr>
          <w:rFonts w:ascii="宋体" w:hAnsi="宋体" w:eastAsia="宋体" w:cs="宋体"/>
          <w:spacing w:val="-6"/>
          <w:sz w:val="24"/>
          <w:szCs w:val="24"/>
        </w:rPr>
        <w:t>高等植物卷》（</w:t>
      </w:r>
      <w:r>
        <w:rPr>
          <w:rFonts w:ascii="Times New Roman" w:hAnsi="Times New Roman" w:eastAsia="Times New Roman" w:cs="Times New Roman"/>
          <w:spacing w:val="-6"/>
          <w:sz w:val="24"/>
          <w:szCs w:val="24"/>
        </w:rPr>
        <w:t xml:space="preserve">2013 </w:t>
      </w:r>
      <w:r>
        <w:rPr>
          <w:rFonts w:ascii="宋体" w:hAnsi="宋体" w:eastAsia="宋体" w:cs="宋体"/>
          <w:spacing w:val="-6"/>
          <w:sz w:val="24"/>
          <w:szCs w:val="24"/>
        </w:rPr>
        <w:t>年</w:t>
      </w:r>
      <w:r>
        <w:rPr>
          <w:rFonts w:ascii="宋体" w:hAnsi="宋体" w:eastAsia="宋体" w:cs="宋体"/>
          <w:spacing w:val="-30"/>
          <w:sz w:val="24"/>
          <w:szCs w:val="24"/>
        </w:rPr>
        <w:t>），</w:t>
      </w:r>
      <w:r>
        <w:rPr>
          <w:rFonts w:ascii="宋体" w:hAnsi="宋体" w:eastAsia="宋体" w:cs="宋体"/>
          <w:spacing w:val="-6"/>
          <w:sz w:val="24"/>
          <w:szCs w:val="24"/>
        </w:rPr>
        <w:t>评价区内没有发现受威胁的高等</w:t>
      </w:r>
    </w:p>
    <w:p>
      <w:pPr>
        <w:spacing w:line="219" w:lineRule="auto"/>
        <w:ind w:left="40"/>
        <w:rPr>
          <w:rFonts w:ascii="宋体" w:hAnsi="宋体" w:eastAsia="宋体" w:cs="宋体"/>
          <w:sz w:val="24"/>
          <w:szCs w:val="24"/>
        </w:rPr>
      </w:pPr>
      <w:r>
        <w:rPr>
          <w:rFonts w:ascii="宋体" w:hAnsi="宋体" w:eastAsia="宋体" w:cs="宋体"/>
          <w:spacing w:val="-10"/>
          <w:sz w:val="24"/>
          <w:szCs w:val="24"/>
        </w:rPr>
        <w:t>植物。</w:t>
      </w:r>
    </w:p>
    <w:p>
      <w:pPr>
        <w:spacing w:before="182" w:line="360" w:lineRule="auto"/>
        <w:ind w:left="40" w:right="176" w:firstLine="480"/>
        <w:rPr>
          <w:rFonts w:ascii="宋体" w:hAnsi="宋体" w:eastAsia="宋体" w:cs="宋体"/>
          <w:sz w:val="24"/>
          <w:szCs w:val="24"/>
        </w:rPr>
      </w:pPr>
      <w:r>
        <w:rPr>
          <w:rFonts w:ascii="宋体" w:hAnsi="宋体" w:eastAsia="宋体" w:cs="宋体"/>
          <w:spacing w:val="-8"/>
          <w:sz w:val="24"/>
          <w:szCs w:val="24"/>
        </w:rPr>
        <w:t>本区域属于金沙江流域中山峡谷地区，</w:t>
      </w:r>
      <w:r>
        <w:rPr>
          <w:rFonts w:ascii="宋体" w:hAnsi="宋体" w:eastAsia="宋体" w:cs="宋体"/>
          <w:spacing w:val="73"/>
          <w:sz w:val="24"/>
          <w:szCs w:val="24"/>
        </w:rPr>
        <w:t xml:space="preserve"> </w:t>
      </w:r>
      <w:r>
        <w:rPr>
          <w:rFonts w:ascii="宋体" w:hAnsi="宋体" w:eastAsia="宋体" w:cs="宋体"/>
          <w:spacing w:val="-8"/>
          <w:sz w:val="24"/>
          <w:szCs w:val="24"/>
        </w:rPr>
        <w:t>沿线人口居住稠密，耕种历史长，</w:t>
      </w:r>
      <w:r>
        <w:rPr>
          <w:rFonts w:ascii="宋体" w:hAnsi="宋体" w:eastAsia="宋体" w:cs="宋体"/>
          <w:sz w:val="24"/>
          <w:szCs w:val="24"/>
        </w:rPr>
        <w:t xml:space="preserve"> 植被破坏严重，人为干扰非常剧烈，很少有保护植物</w:t>
      </w:r>
      <w:r>
        <w:rPr>
          <w:rFonts w:ascii="宋体" w:hAnsi="宋体" w:eastAsia="宋体" w:cs="宋体"/>
          <w:spacing w:val="-1"/>
          <w:sz w:val="24"/>
          <w:szCs w:val="24"/>
        </w:rPr>
        <w:t>出现，在调查期间评价区</w:t>
      </w:r>
      <w:r>
        <w:rPr>
          <w:rFonts w:ascii="宋体" w:hAnsi="宋体" w:eastAsia="宋体" w:cs="宋体"/>
          <w:sz w:val="24"/>
          <w:szCs w:val="24"/>
        </w:rPr>
        <w:t xml:space="preserve"> 内没有发现任何保护植物。假如在后续的施工期、运</w:t>
      </w:r>
      <w:r>
        <w:rPr>
          <w:rFonts w:ascii="宋体" w:hAnsi="宋体" w:eastAsia="宋体" w:cs="宋体"/>
          <w:spacing w:val="-1"/>
          <w:sz w:val="24"/>
          <w:szCs w:val="24"/>
        </w:rPr>
        <w:t>营期等过程发现国家重点</w:t>
      </w:r>
      <w:r>
        <w:rPr>
          <w:rFonts w:ascii="宋体" w:hAnsi="宋体" w:eastAsia="宋体" w:cs="宋体"/>
          <w:sz w:val="24"/>
          <w:szCs w:val="24"/>
        </w:rPr>
        <w:t xml:space="preserve"> 保护植物、极小种群野生植物或珍稀濒危植物，应根</w:t>
      </w:r>
      <w:r>
        <w:rPr>
          <w:rFonts w:ascii="宋体" w:hAnsi="宋体" w:eastAsia="宋体" w:cs="宋体"/>
          <w:spacing w:val="-1"/>
          <w:sz w:val="24"/>
          <w:szCs w:val="24"/>
        </w:rPr>
        <w:t>据国家法律法规按照植物</w:t>
      </w:r>
    </w:p>
    <w:p>
      <w:pPr>
        <w:spacing w:before="1" w:line="219" w:lineRule="auto"/>
        <w:ind w:left="40"/>
        <w:rPr>
          <w:rFonts w:ascii="宋体" w:hAnsi="宋体" w:eastAsia="宋体" w:cs="宋体"/>
          <w:sz w:val="24"/>
          <w:szCs w:val="24"/>
        </w:rPr>
      </w:pPr>
      <w:r>
        <w:rPr>
          <w:rFonts w:ascii="宋体" w:hAnsi="宋体" w:eastAsia="宋体" w:cs="宋体"/>
          <w:spacing w:val="-2"/>
          <w:sz w:val="24"/>
          <w:szCs w:val="24"/>
        </w:rPr>
        <w:t>保护的流程设法予以针对性保护，如迁地保护、挂牌等。</w:t>
      </w:r>
    </w:p>
    <w:p>
      <w:pPr>
        <w:spacing w:before="183"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名木古树</w:t>
      </w:r>
    </w:p>
    <w:p>
      <w:pPr>
        <w:spacing w:before="165" w:line="360" w:lineRule="auto"/>
        <w:ind w:left="38" w:right="95" w:firstLine="482"/>
        <w:rPr>
          <w:rFonts w:ascii="宋体" w:hAnsi="宋体" w:eastAsia="宋体" w:cs="宋体"/>
          <w:sz w:val="24"/>
          <w:szCs w:val="24"/>
        </w:rPr>
      </w:pPr>
      <w:r>
        <w:rPr>
          <w:rFonts w:ascii="宋体" w:hAnsi="宋体" w:eastAsia="宋体" w:cs="宋体"/>
          <w:spacing w:val="-1"/>
          <w:sz w:val="24"/>
          <w:szCs w:val="24"/>
        </w:rPr>
        <w:t>按照全国绿化委员会、国家林业局文件（全绿字﹝</w:t>
      </w:r>
      <w:r>
        <w:rPr>
          <w:rFonts w:ascii="Times New Roman" w:hAnsi="Times New Roman" w:eastAsia="Times New Roman" w:cs="Times New Roman"/>
          <w:spacing w:val="-1"/>
          <w:sz w:val="24"/>
          <w:szCs w:val="24"/>
        </w:rPr>
        <w:t>2001</w:t>
      </w:r>
      <w:r>
        <w:rPr>
          <w:rFonts w:ascii="宋体" w:hAnsi="宋体" w:eastAsia="宋体" w:cs="宋体"/>
          <w:spacing w:val="-1"/>
          <w:sz w:val="24"/>
          <w:szCs w:val="24"/>
        </w:rPr>
        <w:t>﹞</w:t>
      </w:r>
      <w:r>
        <w:rPr>
          <w:rFonts w:ascii="Times New Roman" w:hAnsi="Times New Roman" w:eastAsia="Times New Roman" w:cs="Times New Roman"/>
          <w:spacing w:val="-1"/>
          <w:sz w:val="24"/>
          <w:szCs w:val="24"/>
        </w:rPr>
        <w:t>15</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号）对古树名</w:t>
      </w:r>
      <w:r>
        <w:rPr>
          <w:rFonts w:ascii="宋体" w:hAnsi="宋体" w:eastAsia="宋体" w:cs="宋体"/>
          <w:sz w:val="24"/>
          <w:szCs w:val="24"/>
        </w:rPr>
        <w:t xml:space="preserve"> </w:t>
      </w:r>
      <w:r>
        <w:rPr>
          <w:rFonts w:ascii="宋体" w:hAnsi="宋体" w:eastAsia="宋体" w:cs="宋体"/>
          <w:spacing w:val="-2"/>
          <w:sz w:val="24"/>
          <w:szCs w:val="24"/>
        </w:rPr>
        <w:t>木的界定，古树指树龄在</w:t>
      </w:r>
      <w:r>
        <w:rPr>
          <w:rFonts w:ascii="宋体" w:hAnsi="宋体" w:eastAsia="宋体" w:cs="宋体"/>
          <w:spacing w:val="-15"/>
          <w:sz w:val="24"/>
          <w:szCs w:val="24"/>
        </w:rPr>
        <w:t xml:space="preserve"> </w:t>
      </w:r>
      <w:r>
        <w:rPr>
          <w:rFonts w:ascii="Times New Roman" w:hAnsi="Times New Roman" w:eastAsia="Times New Roman" w:cs="Times New Roman"/>
          <w:spacing w:val="-2"/>
          <w:sz w:val="24"/>
          <w:szCs w:val="24"/>
        </w:rPr>
        <w:t xml:space="preserve">100 </w:t>
      </w:r>
      <w:r>
        <w:rPr>
          <w:rFonts w:ascii="宋体" w:hAnsi="宋体" w:eastAsia="宋体" w:cs="宋体"/>
          <w:spacing w:val="-2"/>
          <w:sz w:val="24"/>
          <w:szCs w:val="24"/>
        </w:rPr>
        <w:t xml:space="preserve">年以上的树木；名木指在历史上或社会上有重大 </w:t>
      </w:r>
      <w:r>
        <w:rPr>
          <w:rFonts w:ascii="宋体" w:hAnsi="宋体" w:eastAsia="宋体" w:cs="宋体"/>
          <w:spacing w:val="-1"/>
          <w:sz w:val="24"/>
          <w:szCs w:val="24"/>
        </w:rPr>
        <w:t xml:space="preserve">影响的中外历代名人、领袖人物所植或者具有极其重要的历史、文化价值、纪 </w:t>
      </w:r>
      <w:r>
        <w:rPr>
          <w:rFonts w:ascii="宋体" w:hAnsi="宋体" w:eastAsia="宋体" w:cs="宋体"/>
          <w:spacing w:val="-2"/>
          <w:sz w:val="24"/>
          <w:szCs w:val="24"/>
        </w:rPr>
        <w:t>念意义的树木。古树名木的分级及标准：古树分为国家</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I</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II</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III</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级，国家</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I </w:t>
      </w:r>
      <w:r>
        <w:rPr>
          <w:rFonts w:ascii="宋体" w:hAnsi="宋体" w:eastAsia="宋体" w:cs="宋体"/>
          <w:spacing w:val="-3"/>
          <w:sz w:val="24"/>
          <w:szCs w:val="24"/>
        </w:rPr>
        <w:t>级</w:t>
      </w:r>
      <w:r>
        <w:rPr>
          <w:rFonts w:ascii="宋体" w:hAnsi="宋体" w:eastAsia="宋体" w:cs="宋体"/>
          <w:sz w:val="24"/>
          <w:szCs w:val="24"/>
        </w:rPr>
        <w:t xml:space="preserve"> </w:t>
      </w:r>
      <w:r>
        <w:rPr>
          <w:rFonts w:ascii="宋体" w:hAnsi="宋体" w:eastAsia="宋体" w:cs="宋体"/>
          <w:spacing w:val="-6"/>
          <w:sz w:val="24"/>
          <w:szCs w:val="24"/>
        </w:rPr>
        <w:t>古树树龄</w:t>
      </w:r>
      <w:r>
        <w:rPr>
          <w:rFonts w:ascii="宋体" w:hAnsi="宋体" w:eastAsia="宋体" w:cs="宋体"/>
          <w:spacing w:val="-33"/>
          <w:sz w:val="24"/>
          <w:szCs w:val="24"/>
        </w:rPr>
        <w:t xml:space="preserve"> </w:t>
      </w:r>
      <w:r>
        <w:rPr>
          <w:rFonts w:ascii="Times New Roman" w:hAnsi="Times New Roman" w:eastAsia="Times New Roman" w:cs="Times New Roman"/>
          <w:spacing w:val="-6"/>
          <w:sz w:val="24"/>
          <w:szCs w:val="24"/>
        </w:rPr>
        <w:t xml:space="preserve">500 </w:t>
      </w:r>
      <w:r>
        <w:rPr>
          <w:rFonts w:ascii="宋体" w:hAnsi="宋体" w:eastAsia="宋体" w:cs="宋体"/>
          <w:spacing w:val="-6"/>
          <w:sz w:val="24"/>
          <w:szCs w:val="24"/>
        </w:rPr>
        <w:t>年以上，</w:t>
      </w:r>
      <w:r>
        <w:rPr>
          <w:rFonts w:ascii="宋体" w:hAnsi="宋体" w:eastAsia="宋体" w:cs="宋体"/>
          <w:spacing w:val="39"/>
          <w:sz w:val="24"/>
          <w:szCs w:val="24"/>
        </w:rPr>
        <w:t xml:space="preserve"> </w:t>
      </w:r>
      <w:r>
        <w:rPr>
          <w:rFonts w:ascii="宋体" w:hAnsi="宋体" w:eastAsia="宋体" w:cs="宋体"/>
          <w:spacing w:val="-6"/>
          <w:sz w:val="24"/>
          <w:szCs w:val="24"/>
        </w:rPr>
        <w:t>国家</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II</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级古树</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 xml:space="preserve">300-499 </w:t>
      </w:r>
      <w:r>
        <w:rPr>
          <w:rFonts w:ascii="宋体" w:hAnsi="宋体" w:eastAsia="宋体" w:cs="宋体"/>
          <w:spacing w:val="-6"/>
          <w:sz w:val="24"/>
          <w:szCs w:val="24"/>
        </w:rPr>
        <w:t>年，国家</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III</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级古树</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100-299 </w:t>
      </w:r>
      <w:r>
        <w:rPr>
          <w:rFonts w:ascii="宋体" w:hAnsi="宋体" w:eastAsia="宋体" w:cs="宋体"/>
          <w:spacing w:val="-6"/>
          <w:sz w:val="24"/>
          <w:szCs w:val="24"/>
        </w:rPr>
        <w:t>年。</w:t>
      </w:r>
    </w:p>
    <w:p>
      <w:pPr>
        <w:spacing w:line="219" w:lineRule="auto"/>
        <w:ind w:left="62"/>
        <w:rPr>
          <w:rFonts w:ascii="宋体" w:hAnsi="宋体" w:eastAsia="宋体" w:cs="宋体"/>
          <w:sz w:val="24"/>
          <w:szCs w:val="24"/>
        </w:rPr>
      </w:pPr>
      <w:r>
        <w:rPr>
          <w:rFonts w:ascii="宋体" w:hAnsi="宋体" w:eastAsia="宋体" w:cs="宋体"/>
          <w:spacing w:val="-4"/>
          <w:sz w:val="24"/>
          <w:szCs w:val="24"/>
        </w:rPr>
        <w:t>国家级名木不受年龄限制，不分级。</w:t>
      </w:r>
    </w:p>
    <w:p>
      <w:pPr>
        <w:spacing w:before="183" w:line="468" w:lineRule="exact"/>
        <w:ind w:left="518"/>
        <w:rPr>
          <w:rFonts w:ascii="宋体" w:hAnsi="宋体" w:eastAsia="宋体" w:cs="宋体"/>
          <w:sz w:val="24"/>
          <w:szCs w:val="24"/>
        </w:rPr>
      </w:pPr>
      <w:r>
        <w:rPr>
          <w:rFonts w:ascii="宋体" w:hAnsi="宋体" w:eastAsia="宋体" w:cs="宋体"/>
          <w:spacing w:val="-6"/>
          <w:position w:val="17"/>
          <w:sz w:val="24"/>
          <w:szCs w:val="24"/>
        </w:rPr>
        <w:t>据野外实地调查，</w:t>
      </w:r>
      <w:r>
        <w:rPr>
          <w:rFonts w:ascii="宋体" w:hAnsi="宋体" w:eastAsia="宋体" w:cs="宋体"/>
          <w:spacing w:val="63"/>
          <w:position w:val="17"/>
          <w:sz w:val="24"/>
          <w:szCs w:val="24"/>
        </w:rPr>
        <w:t xml:space="preserve"> </w:t>
      </w:r>
      <w:r>
        <w:rPr>
          <w:rFonts w:ascii="宋体" w:hAnsi="宋体" w:eastAsia="宋体" w:cs="宋体"/>
          <w:spacing w:val="-6"/>
          <w:position w:val="17"/>
          <w:sz w:val="24"/>
          <w:szCs w:val="24"/>
        </w:rPr>
        <w:t>昙华山风景名胜区附近有上百株侧柏为名木古树，但距</w:t>
      </w:r>
    </w:p>
    <w:p>
      <w:pPr>
        <w:spacing w:before="1" w:line="219" w:lineRule="auto"/>
        <w:ind w:left="43"/>
        <w:rPr>
          <w:rFonts w:ascii="宋体" w:hAnsi="宋体" w:eastAsia="宋体" w:cs="宋体"/>
          <w:sz w:val="24"/>
          <w:szCs w:val="24"/>
        </w:rPr>
      </w:pPr>
      <w:r>
        <w:rPr>
          <w:rFonts w:ascii="宋体" w:hAnsi="宋体" w:eastAsia="宋体" w:cs="宋体"/>
          <w:spacing w:val="-3"/>
          <w:sz w:val="24"/>
          <w:szCs w:val="24"/>
        </w:rPr>
        <w:t>离最近的工程尚远，超过</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公里，工程对此处的影响微乎其微。</w:t>
      </w:r>
    </w:p>
    <w:p>
      <w:pPr>
        <w:spacing w:before="182" w:line="360" w:lineRule="auto"/>
        <w:ind w:left="40" w:right="176" w:firstLine="480"/>
        <w:rPr>
          <w:rFonts w:ascii="宋体" w:hAnsi="宋体" w:eastAsia="宋体" w:cs="宋体"/>
          <w:sz w:val="24"/>
          <w:szCs w:val="24"/>
        </w:rPr>
      </w:pPr>
      <w:r>
        <w:rPr>
          <w:rFonts w:ascii="宋体" w:hAnsi="宋体" w:eastAsia="宋体" w:cs="宋体"/>
          <w:spacing w:val="-9"/>
          <w:sz w:val="24"/>
          <w:szCs w:val="24"/>
        </w:rPr>
        <w:t>调查期间， 评价区内没有发现名木古树。</w:t>
      </w:r>
      <w:r>
        <w:rPr>
          <w:rFonts w:ascii="宋体" w:hAnsi="宋体" w:eastAsia="宋体" w:cs="宋体"/>
          <w:spacing w:val="45"/>
          <w:sz w:val="24"/>
          <w:szCs w:val="24"/>
        </w:rPr>
        <w:t xml:space="preserve"> </w:t>
      </w:r>
      <w:r>
        <w:rPr>
          <w:rFonts w:ascii="宋体" w:hAnsi="宋体" w:eastAsia="宋体" w:cs="宋体"/>
          <w:spacing w:val="-9"/>
          <w:sz w:val="24"/>
          <w:szCs w:val="24"/>
        </w:rPr>
        <w:t>假如在后续的施工期、运营期等</w:t>
      </w:r>
      <w:r>
        <w:rPr>
          <w:rFonts w:ascii="宋体" w:hAnsi="宋体" w:eastAsia="宋体" w:cs="宋体"/>
          <w:sz w:val="24"/>
          <w:szCs w:val="24"/>
        </w:rPr>
        <w:t xml:space="preserve"> 过程发现名木古树，因根据国家法律法规按照植物保</w:t>
      </w:r>
      <w:r>
        <w:rPr>
          <w:rFonts w:ascii="宋体" w:hAnsi="宋体" w:eastAsia="宋体" w:cs="宋体"/>
          <w:spacing w:val="-1"/>
          <w:sz w:val="24"/>
          <w:szCs w:val="24"/>
        </w:rPr>
        <w:t>护的流程设法予以挂牌保</w:t>
      </w:r>
    </w:p>
    <w:p>
      <w:pPr>
        <w:spacing w:before="1" w:line="220" w:lineRule="auto"/>
        <w:ind w:left="40"/>
        <w:rPr>
          <w:rFonts w:ascii="宋体" w:hAnsi="宋体" w:eastAsia="宋体" w:cs="宋体"/>
          <w:sz w:val="24"/>
          <w:szCs w:val="24"/>
        </w:rPr>
      </w:pPr>
      <w:r>
        <w:rPr>
          <w:rFonts w:ascii="宋体" w:hAnsi="宋体" w:eastAsia="宋体" w:cs="宋体"/>
          <w:spacing w:val="-12"/>
          <w:sz w:val="24"/>
          <w:szCs w:val="24"/>
        </w:rPr>
        <w:t>护。</w:t>
      </w:r>
    </w:p>
    <w:p>
      <w:pPr>
        <w:spacing w:before="181" w:line="232"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评价区特有植物</w:t>
      </w:r>
    </w:p>
    <w:p>
      <w:pPr>
        <w:spacing w:before="167" w:line="360" w:lineRule="auto"/>
        <w:ind w:left="40" w:right="176" w:firstLine="480"/>
        <w:rPr>
          <w:rFonts w:ascii="宋体" w:hAnsi="宋体" w:eastAsia="宋体" w:cs="宋体"/>
          <w:sz w:val="24"/>
          <w:szCs w:val="24"/>
        </w:rPr>
      </w:pPr>
      <w:r>
        <w:rPr>
          <w:rFonts w:ascii="宋体" w:hAnsi="宋体" w:eastAsia="宋体" w:cs="宋体"/>
          <w:spacing w:val="-9"/>
          <w:sz w:val="24"/>
          <w:szCs w:val="24"/>
        </w:rPr>
        <w:t>依据《楚雄市紫溪山省级自然保护区综合科学考察报告》、《紫溪山省级自</w:t>
      </w:r>
      <w:r>
        <w:rPr>
          <w:rFonts w:ascii="宋体" w:hAnsi="宋体" w:eastAsia="宋体" w:cs="宋体"/>
          <w:spacing w:val="4"/>
          <w:sz w:val="24"/>
          <w:szCs w:val="24"/>
        </w:rPr>
        <w:t xml:space="preserve"> </w:t>
      </w:r>
      <w:r>
        <w:rPr>
          <w:rFonts w:ascii="宋体" w:hAnsi="宋体" w:eastAsia="宋体" w:cs="宋体"/>
          <w:sz w:val="24"/>
          <w:szCs w:val="24"/>
        </w:rPr>
        <w:t>然保护区种子植物区系多样性特征》和《云南大姚昙</w:t>
      </w:r>
      <w:r>
        <w:rPr>
          <w:rFonts w:ascii="宋体" w:hAnsi="宋体" w:eastAsia="宋体" w:cs="宋体"/>
          <w:spacing w:val="-1"/>
          <w:sz w:val="24"/>
          <w:szCs w:val="24"/>
        </w:rPr>
        <w:t>华山地区种子植物区系调</w:t>
      </w:r>
    </w:p>
    <w:p>
      <w:pPr>
        <w:spacing w:line="218" w:lineRule="auto"/>
        <w:ind w:left="39"/>
        <w:rPr>
          <w:rFonts w:ascii="宋体" w:hAnsi="宋体" w:eastAsia="宋体" w:cs="宋体"/>
          <w:sz w:val="24"/>
          <w:szCs w:val="24"/>
        </w:rPr>
      </w:pPr>
      <w:r>
        <w:rPr>
          <w:rFonts w:ascii="宋体" w:hAnsi="宋体" w:eastAsia="宋体" w:cs="宋体"/>
          <w:spacing w:val="-1"/>
          <w:sz w:val="24"/>
          <w:szCs w:val="24"/>
        </w:rPr>
        <w:t>研》等文献资料，经过现场调查，评价范围内未发现楚雄</w:t>
      </w:r>
      <w:r>
        <w:rPr>
          <w:rFonts w:ascii="宋体" w:hAnsi="宋体" w:eastAsia="宋体" w:cs="宋体"/>
          <w:spacing w:val="-2"/>
          <w:sz w:val="24"/>
          <w:szCs w:val="24"/>
        </w:rPr>
        <w:t>市狭域特有植物。</w:t>
      </w:r>
    </w:p>
    <w:p>
      <w:pPr>
        <w:spacing w:before="184" w:line="469" w:lineRule="exact"/>
        <w:ind w:right="29"/>
        <w:jc w:val="right"/>
        <w:rPr>
          <w:rFonts w:ascii="宋体" w:hAnsi="宋体" w:eastAsia="宋体" w:cs="宋体"/>
          <w:sz w:val="24"/>
          <w:szCs w:val="24"/>
        </w:rPr>
      </w:pPr>
      <w:r>
        <w:rPr>
          <w:rFonts w:ascii="宋体" w:hAnsi="宋体" w:eastAsia="宋体" w:cs="宋体"/>
          <w:spacing w:val="-3"/>
          <w:position w:val="17"/>
          <w:sz w:val="24"/>
          <w:szCs w:val="24"/>
        </w:rPr>
        <w:t>如果在未来流域内进行调查时发现新的狭域特有植物，建</w:t>
      </w:r>
      <w:r>
        <w:rPr>
          <w:rFonts w:ascii="宋体" w:hAnsi="宋体" w:eastAsia="宋体" w:cs="宋体"/>
          <w:spacing w:val="-4"/>
          <w:position w:val="17"/>
          <w:sz w:val="24"/>
          <w:szCs w:val="24"/>
        </w:rPr>
        <w:t>议立时联系当地林</w:t>
      </w:r>
    </w:p>
    <w:p>
      <w:pPr>
        <w:spacing w:line="219" w:lineRule="auto"/>
        <w:ind w:left="41"/>
        <w:rPr>
          <w:rFonts w:ascii="宋体" w:hAnsi="宋体" w:eastAsia="宋体" w:cs="宋体"/>
          <w:sz w:val="24"/>
          <w:szCs w:val="24"/>
        </w:rPr>
      </w:pPr>
      <w:r>
        <w:rPr>
          <w:rFonts w:ascii="宋体" w:hAnsi="宋体" w:eastAsia="宋体" w:cs="宋体"/>
          <w:spacing w:val="-4"/>
          <w:sz w:val="24"/>
          <w:szCs w:val="24"/>
        </w:rPr>
        <w:t>草部门进行针对性保护。</w:t>
      </w:r>
    </w:p>
    <w:p>
      <w:pPr>
        <w:spacing w:before="183" w:line="232" w:lineRule="auto"/>
        <w:ind w:left="517"/>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评价区主要资源植物</w:t>
      </w:r>
    </w:p>
    <w:p>
      <w:pPr>
        <w:spacing w:line="232" w:lineRule="auto"/>
        <w:rPr>
          <w:rFonts w:ascii="宋体" w:hAnsi="宋体" w:eastAsia="宋体" w:cs="宋体"/>
          <w:sz w:val="24"/>
          <w:szCs w:val="24"/>
        </w:rPr>
        <w:sectPr>
          <w:footerReference r:id="rId293" w:type="default"/>
          <w:pgSz w:w="11907" w:h="16839"/>
          <w:pgMar w:top="1156" w:right="1768" w:bottom="1374" w:left="1770" w:header="881" w:footer="1210" w:gutter="0"/>
        </w:sectPr>
      </w:pPr>
    </w:p>
    <w:p>
      <w:pPr>
        <w:spacing w:line="317" w:lineRule="auto"/>
        <w:rPr>
          <w:rFonts w:ascii="Arial"/>
          <w:sz w:val="21"/>
        </w:rPr>
      </w:pPr>
    </w:p>
    <w:p>
      <w:pPr>
        <w:spacing w:before="78" w:line="468" w:lineRule="exact"/>
        <w:ind w:left="518"/>
        <w:rPr>
          <w:rFonts w:ascii="宋体" w:hAnsi="宋体" w:eastAsia="宋体" w:cs="宋体"/>
          <w:sz w:val="24"/>
          <w:szCs w:val="24"/>
        </w:rPr>
      </w:pPr>
      <w:r>
        <w:rPr>
          <w:rFonts w:ascii="宋体" w:hAnsi="宋体" w:eastAsia="宋体" w:cs="宋体"/>
          <w:spacing w:val="-10"/>
          <w:position w:val="17"/>
          <w:sz w:val="24"/>
          <w:szCs w:val="24"/>
        </w:rPr>
        <w:t>据不完全统计，</w:t>
      </w:r>
      <w:r>
        <w:rPr>
          <w:rFonts w:ascii="宋体" w:hAnsi="宋体" w:eastAsia="宋体" w:cs="宋体"/>
          <w:spacing w:val="36"/>
          <w:position w:val="17"/>
          <w:sz w:val="24"/>
          <w:szCs w:val="24"/>
        </w:rPr>
        <w:t xml:space="preserve"> </w:t>
      </w:r>
      <w:r>
        <w:rPr>
          <w:rFonts w:ascii="宋体" w:hAnsi="宋体" w:eastAsia="宋体" w:cs="宋体"/>
          <w:spacing w:val="-10"/>
          <w:position w:val="17"/>
          <w:sz w:val="24"/>
          <w:szCs w:val="24"/>
        </w:rPr>
        <w:t>评价区资源植物可分为</w:t>
      </w:r>
      <w:r>
        <w:rPr>
          <w:rFonts w:ascii="宋体" w:hAnsi="宋体" w:eastAsia="宋体" w:cs="宋体"/>
          <w:spacing w:val="-50"/>
          <w:position w:val="17"/>
          <w:sz w:val="24"/>
          <w:szCs w:val="24"/>
        </w:rPr>
        <w:t xml:space="preserve"> </w:t>
      </w:r>
      <w:r>
        <w:rPr>
          <w:rFonts w:ascii="Times New Roman" w:hAnsi="Times New Roman" w:eastAsia="Times New Roman" w:cs="Times New Roman"/>
          <w:spacing w:val="-10"/>
          <w:position w:val="17"/>
          <w:sz w:val="24"/>
          <w:szCs w:val="24"/>
        </w:rPr>
        <w:t xml:space="preserve">6 </w:t>
      </w:r>
      <w:r>
        <w:rPr>
          <w:rFonts w:ascii="宋体" w:hAnsi="宋体" w:eastAsia="宋体" w:cs="宋体"/>
          <w:spacing w:val="-11"/>
          <w:position w:val="17"/>
          <w:sz w:val="24"/>
          <w:szCs w:val="24"/>
        </w:rPr>
        <w:t>类，</w:t>
      </w:r>
      <w:r>
        <w:rPr>
          <w:rFonts w:ascii="宋体" w:hAnsi="宋体" w:eastAsia="宋体" w:cs="宋体"/>
          <w:spacing w:val="-36"/>
          <w:position w:val="17"/>
          <w:sz w:val="24"/>
          <w:szCs w:val="24"/>
        </w:rPr>
        <w:t xml:space="preserve"> </w:t>
      </w:r>
      <w:r>
        <w:rPr>
          <w:rFonts w:ascii="宋体" w:hAnsi="宋体" w:eastAsia="宋体" w:cs="宋体"/>
          <w:spacing w:val="-11"/>
          <w:position w:val="17"/>
          <w:sz w:val="24"/>
          <w:szCs w:val="24"/>
        </w:rPr>
        <w:t>即用材树种、药用植物、观赏</w:t>
      </w:r>
    </w:p>
    <w:p>
      <w:pPr>
        <w:spacing w:line="219" w:lineRule="auto"/>
        <w:ind w:left="40"/>
        <w:rPr>
          <w:rFonts w:ascii="宋体" w:hAnsi="宋体" w:eastAsia="宋体" w:cs="宋体"/>
          <w:sz w:val="24"/>
          <w:szCs w:val="24"/>
        </w:rPr>
      </w:pPr>
      <w:r>
        <w:rPr>
          <w:rFonts w:ascii="宋体" w:hAnsi="宋体" w:eastAsia="宋体" w:cs="宋体"/>
          <w:spacing w:val="-3"/>
          <w:sz w:val="24"/>
          <w:szCs w:val="24"/>
        </w:rPr>
        <w:t>花卉、绿化美化植物、蜜源植物、野生蔬菜等，分述如下：</w:t>
      </w:r>
    </w:p>
    <w:p>
      <w:pPr>
        <w:spacing w:before="183" w:line="360" w:lineRule="auto"/>
        <w:ind w:left="35" w:right="83" w:firstLine="480"/>
        <w:rPr>
          <w:rFonts w:ascii="Times New Roman" w:hAnsi="Times New Roman" w:eastAsia="Times New Roman" w:cs="Times New Roman"/>
          <w:sz w:val="24"/>
          <w:szCs w:val="24"/>
        </w:rPr>
      </w:pPr>
      <w:r>
        <w:rPr>
          <w:rFonts w:ascii="Times New Roman" w:hAnsi="Times New Roman" w:eastAsia="Times New Roman" w:cs="Times New Roman"/>
          <w:sz w:val="24"/>
          <w:szCs w:val="24"/>
        </w:rPr>
        <w:t>I.</w:t>
      </w:r>
      <w:r>
        <w:rPr>
          <w:rFonts w:ascii="宋体" w:hAnsi="宋体" w:eastAsia="宋体" w:cs="宋体"/>
          <w:sz w:val="24"/>
          <w:szCs w:val="24"/>
        </w:rPr>
        <w:t>材用树种：云南松</w:t>
      </w:r>
      <w:r>
        <w:rPr>
          <w:rFonts w:ascii="宋体" w:hAnsi="宋体" w:eastAsia="宋体" w:cs="宋体"/>
          <w:spacing w:val="-58"/>
          <w:sz w:val="24"/>
          <w:szCs w:val="24"/>
        </w:rPr>
        <w:t xml:space="preserve"> </w:t>
      </w:r>
      <w:r>
        <w:rPr>
          <w:rFonts w:ascii="Times New Roman" w:hAnsi="Times New Roman" w:eastAsia="Times New Roman" w:cs="Times New Roman"/>
          <w:i/>
          <w:iCs/>
          <w:sz w:val="24"/>
          <w:szCs w:val="24"/>
        </w:rPr>
        <w:t>Pinus yunnanensis</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、云南油杉</w:t>
      </w:r>
      <w:r>
        <w:rPr>
          <w:rFonts w:ascii="宋体" w:hAnsi="宋体" w:eastAsia="宋体" w:cs="宋体"/>
          <w:spacing w:val="-59"/>
          <w:sz w:val="24"/>
          <w:szCs w:val="24"/>
        </w:rPr>
        <w:t xml:space="preserve"> </w:t>
      </w:r>
      <w:r>
        <w:rPr>
          <w:rFonts w:ascii="Times New Roman" w:hAnsi="Times New Roman" w:eastAsia="Times New Roman" w:cs="Times New Roman"/>
          <w:i/>
          <w:iCs/>
          <w:sz w:val="24"/>
          <w:szCs w:val="24"/>
        </w:rPr>
        <w:t>Ketele</w:t>
      </w:r>
      <w:r>
        <w:rPr>
          <w:rFonts w:ascii="Times New Roman" w:hAnsi="Times New Roman" w:eastAsia="Times New Roman" w:cs="Times New Roman"/>
          <w:i/>
          <w:iCs/>
          <w:spacing w:val="-1"/>
          <w:sz w:val="24"/>
          <w:szCs w:val="24"/>
        </w:rPr>
        <w:t>eria</w:t>
      </w:r>
      <w:r>
        <w:rPr>
          <w:rFonts w:ascii="Times New Roman" w:hAnsi="Times New Roman" w:eastAsia="Times New Roman" w:cs="Times New Roman"/>
          <w:i/>
          <w:iCs/>
          <w:spacing w:val="37"/>
          <w:sz w:val="24"/>
          <w:szCs w:val="24"/>
        </w:rPr>
        <w:t xml:space="preserve"> </w:t>
      </w:r>
      <w:r>
        <w:rPr>
          <w:rFonts w:ascii="Times New Roman" w:hAnsi="Times New Roman" w:eastAsia="Times New Roman" w:cs="Times New Roman"/>
          <w:i/>
          <w:iCs/>
          <w:spacing w:val="-1"/>
          <w:sz w:val="24"/>
          <w:szCs w:val="24"/>
        </w:rPr>
        <w:t>evelyniana</w:t>
      </w:r>
      <w:r>
        <w:rPr>
          <w:rFonts w:ascii="宋体" w:hAnsi="宋体" w:eastAsia="宋体" w:cs="宋体"/>
          <w:spacing w:val="-1"/>
          <w:sz w:val="24"/>
          <w:szCs w:val="24"/>
        </w:rPr>
        <w:t>、侧</w:t>
      </w:r>
      <w:r>
        <w:rPr>
          <w:rFonts w:ascii="宋体" w:hAnsi="宋体" w:eastAsia="宋体" w:cs="宋体"/>
          <w:sz w:val="24"/>
          <w:szCs w:val="24"/>
        </w:rPr>
        <w:t xml:space="preserve"> </w:t>
      </w:r>
      <w:r>
        <w:rPr>
          <w:rFonts w:ascii="宋体" w:hAnsi="宋体" w:eastAsia="宋体" w:cs="宋体"/>
          <w:spacing w:val="8"/>
          <w:sz w:val="24"/>
          <w:szCs w:val="24"/>
        </w:rPr>
        <w:t xml:space="preserve">柏 </w:t>
      </w:r>
      <w:r>
        <w:rPr>
          <w:rFonts w:ascii="Times New Roman" w:hAnsi="Times New Roman" w:eastAsia="Times New Roman" w:cs="Times New Roman"/>
          <w:i/>
          <w:iCs/>
          <w:sz w:val="24"/>
          <w:szCs w:val="24"/>
        </w:rPr>
        <w:t>Platycladus</w:t>
      </w:r>
      <w:r>
        <w:rPr>
          <w:rFonts w:ascii="Times New Roman" w:hAnsi="Times New Roman" w:eastAsia="Times New Roman" w:cs="Times New Roman"/>
          <w:i/>
          <w:iCs/>
          <w:spacing w:val="8"/>
          <w:sz w:val="24"/>
          <w:szCs w:val="24"/>
        </w:rPr>
        <w:t xml:space="preserve">  </w:t>
      </w:r>
      <w:r>
        <w:rPr>
          <w:rFonts w:ascii="Times New Roman" w:hAnsi="Times New Roman" w:eastAsia="Times New Roman" w:cs="Times New Roman"/>
          <w:i/>
          <w:iCs/>
          <w:sz w:val="24"/>
          <w:szCs w:val="24"/>
        </w:rPr>
        <w:t>orientalis</w:t>
      </w:r>
      <w:r>
        <w:rPr>
          <w:rFonts w:ascii="Times New Roman" w:hAnsi="Times New Roman" w:eastAsia="Times New Roman" w:cs="Times New Roman"/>
          <w:i/>
          <w:iCs/>
          <w:spacing w:val="-31"/>
          <w:sz w:val="24"/>
          <w:szCs w:val="24"/>
        </w:rPr>
        <w:t xml:space="preserve"> </w:t>
      </w:r>
      <w:r>
        <w:rPr>
          <w:rFonts w:ascii="宋体" w:hAnsi="宋体" w:eastAsia="宋体" w:cs="宋体"/>
          <w:spacing w:val="8"/>
          <w:sz w:val="24"/>
          <w:szCs w:val="24"/>
        </w:rPr>
        <w:t xml:space="preserve">、尼泊尔桤木 </w:t>
      </w:r>
      <w:r>
        <w:rPr>
          <w:rFonts w:ascii="Times New Roman" w:hAnsi="Times New Roman" w:eastAsia="Times New Roman" w:cs="Times New Roman"/>
          <w:i/>
          <w:iCs/>
          <w:sz w:val="24"/>
          <w:szCs w:val="24"/>
        </w:rPr>
        <w:t>Alnus</w:t>
      </w:r>
      <w:r>
        <w:rPr>
          <w:rFonts w:ascii="Times New Roman" w:hAnsi="Times New Roman" w:eastAsia="Times New Roman" w:cs="Times New Roman"/>
          <w:i/>
          <w:iCs/>
          <w:spacing w:val="8"/>
          <w:sz w:val="24"/>
          <w:szCs w:val="24"/>
        </w:rPr>
        <w:t xml:space="preserve">  </w:t>
      </w:r>
      <w:r>
        <w:rPr>
          <w:rFonts w:ascii="Times New Roman" w:hAnsi="Times New Roman" w:eastAsia="Times New Roman" w:cs="Times New Roman"/>
          <w:i/>
          <w:iCs/>
          <w:sz w:val="24"/>
          <w:szCs w:val="24"/>
        </w:rPr>
        <w:t>nepalensis</w:t>
      </w:r>
      <w:r>
        <w:rPr>
          <w:rFonts w:ascii="Times New Roman" w:hAnsi="Times New Roman" w:eastAsia="Times New Roman" w:cs="Times New Roman"/>
          <w:i/>
          <w:iCs/>
          <w:spacing w:val="8"/>
          <w:sz w:val="24"/>
          <w:szCs w:val="24"/>
        </w:rPr>
        <w:t xml:space="preserve"> </w:t>
      </w:r>
      <w:r>
        <w:rPr>
          <w:rFonts w:ascii="宋体" w:hAnsi="宋体" w:eastAsia="宋体" w:cs="宋体"/>
          <w:spacing w:val="8"/>
          <w:sz w:val="24"/>
          <w:szCs w:val="24"/>
        </w:rPr>
        <w:t>、杉木</w:t>
      </w:r>
      <w:r>
        <w:rPr>
          <w:rFonts w:ascii="宋体" w:hAnsi="宋体" w:eastAsia="宋体" w:cs="宋体"/>
          <w:spacing w:val="36"/>
          <w:sz w:val="24"/>
          <w:szCs w:val="24"/>
        </w:rPr>
        <w:t xml:space="preserve"> </w:t>
      </w:r>
      <w:r>
        <w:rPr>
          <w:rFonts w:ascii="Times New Roman" w:hAnsi="Times New Roman" w:eastAsia="Times New Roman" w:cs="Times New Roman"/>
          <w:i/>
          <w:iCs/>
          <w:sz w:val="24"/>
          <w:szCs w:val="24"/>
        </w:rPr>
        <w:t xml:space="preserve">Cunninghamia </w:t>
      </w:r>
      <w:r>
        <w:rPr>
          <w:rFonts w:ascii="Times New Roman" w:hAnsi="Times New Roman" w:eastAsia="Times New Roman" w:cs="Times New Roman"/>
          <w:i/>
          <w:iCs/>
          <w:spacing w:val="-1"/>
          <w:sz w:val="24"/>
          <w:szCs w:val="24"/>
        </w:rPr>
        <w:t>lanceolata</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、白柯</w:t>
      </w:r>
      <w:r>
        <w:rPr>
          <w:rFonts w:ascii="宋体" w:hAnsi="宋体" w:eastAsia="宋体" w:cs="宋体"/>
          <w:spacing w:val="-68"/>
          <w:sz w:val="24"/>
          <w:szCs w:val="24"/>
        </w:rPr>
        <w:t xml:space="preserve"> </w:t>
      </w:r>
      <w:r>
        <w:rPr>
          <w:rFonts w:ascii="Times New Roman" w:hAnsi="Times New Roman" w:eastAsia="Times New Roman" w:cs="Times New Roman"/>
          <w:i/>
          <w:iCs/>
          <w:spacing w:val="-1"/>
          <w:sz w:val="24"/>
          <w:szCs w:val="24"/>
        </w:rPr>
        <w:t>Lithocarpus dealbatus</w:t>
      </w:r>
      <w:r>
        <w:rPr>
          <w:rFonts w:ascii="宋体" w:hAnsi="宋体" w:eastAsia="宋体" w:cs="宋体"/>
          <w:spacing w:val="-1"/>
          <w:sz w:val="24"/>
          <w:szCs w:val="24"/>
        </w:rPr>
        <w:t>、元</w:t>
      </w:r>
      <w:r>
        <w:rPr>
          <w:rFonts w:ascii="宋体" w:hAnsi="宋体" w:eastAsia="宋体" w:cs="宋体"/>
          <w:spacing w:val="-2"/>
          <w:sz w:val="24"/>
          <w:szCs w:val="24"/>
        </w:rPr>
        <w:t>江锥</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Castanopsis orthacantha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、高山锥</w:t>
      </w:r>
      <w:r>
        <w:rPr>
          <w:rFonts w:ascii="宋体" w:hAnsi="宋体" w:eastAsia="宋体" w:cs="宋体"/>
          <w:sz w:val="24"/>
          <w:szCs w:val="24"/>
        </w:rPr>
        <w:t xml:space="preserve"> </w:t>
      </w:r>
      <w:r>
        <w:rPr>
          <w:rFonts w:ascii="Times New Roman" w:hAnsi="Times New Roman" w:eastAsia="Times New Roman" w:cs="Times New Roman"/>
          <w:i/>
          <w:iCs/>
          <w:sz w:val="24"/>
          <w:szCs w:val="24"/>
        </w:rPr>
        <w:t xml:space="preserve">Castanopsis  delavayi </w:t>
      </w:r>
      <w:r>
        <w:rPr>
          <w:rFonts w:ascii="宋体" w:hAnsi="宋体" w:eastAsia="宋体" w:cs="宋体"/>
          <w:sz w:val="24"/>
          <w:szCs w:val="24"/>
        </w:rPr>
        <w:t>、</w:t>
      </w:r>
      <w:r>
        <w:rPr>
          <w:rFonts w:ascii="宋体" w:hAnsi="宋体" w:eastAsia="宋体" w:cs="宋体"/>
          <w:spacing w:val="-69"/>
          <w:sz w:val="24"/>
          <w:szCs w:val="24"/>
        </w:rPr>
        <w:t xml:space="preserve"> </w:t>
      </w:r>
      <w:r>
        <w:rPr>
          <w:rFonts w:ascii="宋体" w:hAnsi="宋体" w:eastAsia="宋体" w:cs="宋体"/>
          <w:sz w:val="24"/>
          <w:szCs w:val="24"/>
        </w:rPr>
        <w:t>滇青冈</w:t>
      </w:r>
      <w:r>
        <w:rPr>
          <w:rFonts w:ascii="宋体" w:hAnsi="宋体" w:eastAsia="宋体" w:cs="宋体"/>
          <w:spacing w:val="96"/>
          <w:sz w:val="24"/>
          <w:szCs w:val="24"/>
        </w:rPr>
        <w:t xml:space="preserve"> </w:t>
      </w:r>
      <w:r>
        <w:rPr>
          <w:rFonts w:ascii="Times New Roman" w:hAnsi="Times New Roman" w:eastAsia="Times New Roman" w:cs="Times New Roman"/>
          <w:i/>
          <w:iCs/>
          <w:sz w:val="24"/>
          <w:szCs w:val="24"/>
        </w:rPr>
        <w:t>Cyclobalanopsis  glaucoid</w:t>
      </w:r>
      <w:r>
        <w:rPr>
          <w:rFonts w:ascii="Times New Roman" w:hAnsi="Times New Roman" w:eastAsia="Times New Roman" w:cs="Times New Roman"/>
          <w:i/>
          <w:iCs/>
          <w:spacing w:val="-1"/>
          <w:sz w:val="24"/>
          <w:szCs w:val="24"/>
        </w:rPr>
        <w:t xml:space="preserve">es </w:t>
      </w:r>
      <w:r>
        <w:rPr>
          <w:rFonts w:ascii="宋体" w:hAnsi="宋体" w:eastAsia="宋体" w:cs="宋体"/>
          <w:spacing w:val="-1"/>
          <w:sz w:val="24"/>
          <w:szCs w:val="24"/>
        </w:rPr>
        <w:t>、</w:t>
      </w:r>
      <w:r>
        <w:rPr>
          <w:rFonts w:ascii="宋体" w:hAnsi="宋体" w:eastAsia="宋体" w:cs="宋体"/>
          <w:spacing w:val="-67"/>
          <w:sz w:val="24"/>
          <w:szCs w:val="24"/>
        </w:rPr>
        <w:t xml:space="preserve"> </w:t>
      </w:r>
      <w:r>
        <w:rPr>
          <w:rFonts w:ascii="宋体" w:hAnsi="宋体" w:eastAsia="宋体" w:cs="宋体"/>
          <w:spacing w:val="-1"/>
          <w:sz w:val="24"/>
          <w:szCs w:val="24"/>
        </w:rPr>
        <w:t>栓</w:t>
      </w:r>
      <w:r>
        <w:rPr>
          <w:rFonts w:ascii="宋体" w:hAnsi="宋体" w:eastAsia="宋体" w:cs="宋体"/>
          <w:spacing w:val="-67"/>
          <w:sz w:val="24"/>
          <w:szCs w:val="24"/>
        </w:rPr>
        <w:t xml:space="preserve"> </w:t>
      </w:r>
      <w:r>
        <w:rPr>
          <w:rFonts w:ascii="宋体" w:hAnsi="宋体" w:eastAsia="宋体" w:cs="宋体"/>
          <w:spacing w:val="-1"/>
          <w:sz w:val="24"/>
          <w:szCs w:val="24"/>
        </w:rPr>
        <w:t>皮</w:t>
      </w:r>
      <w:r>
        <w:rPr>
          <w:rFonts w:ascii="宋体" w:hAnsi="宋体" w:eastAsia="宋体" w:cs="宋体"/>
          <w:spacing w:val="-68"/>
          <w:sz w:val="24"/>
          <w:szCs w:val="24"/>
        </w:rPr>
        <w:t xml:space="preserve"> </w:t>
      </w:r>
      <w:r>
        <w:rPr>
          <w:rFonts w:ascii="宋体" w:hAnsi="宋体" w:eastAsia="宋体" w:cs="宋体"/>
          <w:spacing w:val="-1"/>
          <w:sz w:val="24"/>
          <w:szCs w:val="24"/>
        </w:rPr>
        <w:t>栎</w:t>
      </w:r>
      <w:r>
        <w:rPr>
          <w:rFonts w:ascii="宋体" w:hAnsi="宋体" w:eastAsia="宋体" w:cs="宋体"/>
          <w:spacing w:val="50"/>
          <w:sz w:val="24"/>
          <w:szCs w:val="24"/>
        </w:rPr>
        <w:t xml:space="preserve"> </w:t>
      </w:r>
      <w:r>
        <w:rPr>
          <w:rFonts w:ascii="Times New Roman" w:hAnsi="Times New Roman" w:eastAsia="Times New Roman" w:cs="Times New Roman"/>
          <w:i/>
          <w:iCs/>
          <w:spacing w:val="-1"/>
          <w:sz w:val="24"/>
          <w:szCs w:val="24"/>
        </w:rPr>
        <w:t>Quercus</w:t>
      </w:r>
      <w:r>
        <w:rPr>
          <w:rFonts w:ascii="Times New Roman" w:hAnsi="Times New Roman" w:eastAsia="Times New Roman" w:cs="Times New Roman"/>
          <w:i/>
          <w:iCs/>
          <w:sz w:val="24"/>
          <w:szCs w:val="24"/>
        </w:rPr>
        <w:t xml:space="preserve"> variabilis</w:t>
      </w:r>
      <w:r>
        <w:rPr>
          <w:rFonts w:ascii="Times New Roman" w:hAnsi="Times New Roman" w:eastAsia="Times New Roman" w:cs="Times New Roman"/>
          <w:i/>
          <w:iCs/>
          <w:spacing w:val="-34"/>
          <w:sz w:val="24"/>
          <w:szCs w:val="24"/>
        </w:rPr>
        <w:t xml:space="preserve"> </w:t>
      </w:r>
      <w:r>
        <w:rPr>
          <w:rFonts w:ascii="宋体" w:hAnsi="宋体" w:eastAsia="宋体" w:cs="宋体"/>
          <w:spacing w:val="8"/>
          <w:sz w:val="24"/>
          <w:szCs w:val="24"/>
        </w:rPr>
        <w:t>、黄毛青冈</w:t>
      </w:r>
      <w:r>
        <w:rPr>
          <w:rFonts w:ascii="宋体" w:hAnsi="宋体" w:eastAsia="宋体" w:cs="宋体"/>
          <w:spacing w:val="35"/>
          <w:sz w:val="24"/>
          <w:szCs w:val="24"/>
        </w:rPr>
        <w:t xml:space="preserve"> </w:t>
      </w:r>
      <w:r>
        <w:rPr>
          <w:rFonts w:ascii="Times New Roman" w:hAnsi="Times New Roman" w:eastAsia="Times New Roman" w:cs="Times New Roman"/>
          <w:i/>
          <w:iCs/>
          <w:sz w:val="24"/>
          <w:szCs w:val="24"/>
        </w:rPr>
        <w:t>Cyclobalanopsis</w:t>
      </w:r>
      <w:r>
        <w:rPr>
          <w:rFonts w:ascii="Times New Roman" w:hAnsi="Times New Roman" w:eastAsia="Times New Roman" w:cs="Times New Roman"/>
          <w:i/>
          <w:iCs/>
          <w:spacing w:val="8"/>
          <w:sz w:val="24"/>
          <w:szCs w:val="24"/>
        </w:rPr>
        <w:t xml:space="preserve"> </w:t>
      </w:r>
      <w:r>
        <w:rPr>
          <w:rFonts w:ascii="Times New Roman" w:hAnsi="Times New Roman" w:eastAsia="Times New Roman" w:cs="Times New Roman"/>
          <w:i/>
          <w:iCs/>
          <w:sz w:val="24"/>
          <w:szCs w:val="24"/>
        </w:rPr>
        <w:t>delavayi</w:t>
      </w:r>
      <w:r>
        <w:rPr>
          <w:rFonts w:ascii="Times New Roman" w:hAnsi="Times New Roman" w:eastAsia="Times New Roman" w:cs="Times New Roman"/>
          <w:i/>
          <w:iCs/>
          <w:spacing w:val="-9"/>
          <w:sz w:val="24"/>
          <w:szCs w:val="24"/>
        </w:rPr>
        <w:t xml:space="preserve"> </w:t>
      </w:r>
      <w:r>
        <w:rPr>
          <w:rFonts w:ascii="宋体" w:hAnsi="宋体" w:eastAsia="宋体" w:cs="宋体"/>
          <w:spacing w:val="8"/>
          <w:sz w:val="24"/>
          <w:szCs w:val="24"/>
        </w:rPr>
        <w:t xml:space="preserve">、锐齿槲栎 </w:t>
      </w:r>
      <w:r>
        <w:rPr>
          <w:rFonts w:ascii="Times New Roman" w:hAnsi="Times New Roman" w:eastAsia="Times New Roman" w:cs="Times New Roman"/>
          <w:i/>
          <w:iCs/>
          <w:sz w:val="24"/>
          <w:szCs w:val="24"/>
        </w:rPr>
        <w:t>Quercus</w:t>
      </w:r>
      <w:r>
        <w:rPr>
          <w:rFonts w:ascii="Times New Roman" w:hAnsi="Times New Roman" w:eastAsia="Times New Roman" w:cs="Times New Roman"/>
          <w:i/>
          <w:iCs/>
          <w:spacing w:val="8"/>
          <w:sz w:val="24"/>
          <w:szCs w:val="24"/>
        </w:rPr>
        <w:t xml:space="preserve">  </w:t>
      </w:r>
      <w:r>
        <w:rPr>
          <w:rFonts w:ascii="Times New Roman" w:hAnsi="Times New Roman" w:eastAsia="Times New Roman" w:cs="Times New Roman"/>
          <w:i/>
          <w:iCs/>
          <w:sz w:val="24"/>
          <w:szCs w:val="24"/>
        </w:rPr>
        <w:t>aliena</w:t>
      </w:r>
      <w:r>
        <w:rPr>
          <w:rFonts w:ascii="Times New Roman" w:hAnsi="Times New Roman" w:eastAsia="Times New Roman" w:cs="Times New Roman"/>
          <w:i/>
          <w:iCs/>
          <w:spacing w:val="8"/>
          <w:sz w:val="24"/>
          <w:szCs w:val="24"/>
        </w:rPr>
        <w:t xml:space="preserve">  </w:t>
      </w:r>
      <w:r>
        <w:rPr>
          <w:rFonts w:ascii="Times New Roman" w:hAnsi="Times New Roman" w:eastAsia="Times New Roman" w:cs="Times New Roman"/>
          <w:sz w:val="24"/>
          <w:szCs w:val="24"/>
        </w:rPr>
        <w:t>var</w:t>
      </w:r>
      <w:r>
        <w:rPr>
          <w:rFonts w:ascii="Times New Roman" w:hAnsi="Times New Roman" w:eastAsia="Times New Roman" w:cs="Times New Roman"/>
          <w:spacing w:val="8"/>
          <w:sz w:val="24"/>
          <w:szCs w:val="24"/>
        </w:rPr>
        <w:t>.</w:t>
      </w:r>
      <w:r>
        <w:rPr>
          <w:rFonts w:ascii="Times New Roman" w:hAnsi="Times New Roman" w:eastAsia="Times New Roman" w:cs="Times New Roman"/>
          <w:sz w:val="24"/>
          <w:szCs w:val="24"/>
        </w:rPr>
        <w:t xml:space="preserve"> </w:t>
      </w:r>
      <w:r>
        <w:rPr>
          <w:rFonts w:ascii="Times New Roman" w:hAnsi="Times New Roman" w:eastAsia="Times New Roman" w:cs="Times New Roman"/>
          <w:i/>
          <w:iCs/>
          <w:spacing w:val="-1"/>
          <w:sz w:val="24"/>
          <w:szCs w:val="24"/>
        </w:rPr>
        <w:t>acutiserrata</w:t>
      </w:r>
      <w:r>
        <w:rPr>
          <w:rFonts w:ascii="Times New Roman" w:hAnsi="Times New Roman" w:eastAsia="Times New Roman" w:cs="Times New Roman"/>
          <w:i/>
          <w:iCs/>
          <w:spacing w:val="-35"/>
          <w:sz w:val="24"/>
          <w:szCs w:val="24"/>
        </w:rPr>
        <w:t xml:space="preserve"> </w:t>
      </w:r>
      <w:r>
        <w:rPr>
          <w:rFonts w:ascii="宋体" w:hAnsi="宋体" w:eastAsia="宋体" w:cs="宋体"/>
          <w:spacing w:val="-1"/>
          <w:sz w:val="24"/>
          <w:szCs w:val="24"/>
        </w:rPr>
        <w:t>、糙皮桦</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Betula ut</w:t>
      </w:r>
      <w:r>
        <w:rPr>
          <w:rFonts w:ascii="Times New Roman" w:hAnsi="Times New Roman" w:eastAsia="Times New Roman" w:cs="Times New Roman"/>
          <w:i/>
          <w:iCs/>
          <w:spacing w:val="-2"/>
          <w:sz w:val="24"/>
          <w:szCs w:val="24"/>
        </w:rPr>
        <w:t>ilis</w:t>
      </w:r>
      <w:r>
        <w:rPr>
          <w:rFonts w:ascii="Times New Roman" w:hAnsi="Times New Roman" w:eastAsia="Times New Roman" w:cs="Times New Roman"/>
          <w:i/>
          <w:iCs/>
          <w:spacing w:val="-35"/>
          <w:sz w:val="24"/>
          <w:szCs w:val="24"/>
        </w:rPr>
        <w:t xml:space="preserve"> </w:t>
      </w:r>
      <w:r>
        <w:rPr>
          <w:rFonts w:ascii="宋体" w:hAnsi="宋体" w:eastAsia="宋体" w:cs="宋体"/>
          <w:spacing w:val="-2"/>
          <w:sz w:val="24"/>
          <w:szCs w:val="24"/>
        </w:rPr>
        <w:t>、胡桃</w:t>
      </w:r>
      <w:r>
        <w:rPr>
          <w:rFonts w:ascii="宋体" w:hAnsi="宋体" w:eastAsia="宋体" w:cs="宋体"/>
          <w:spacing w:val="-68"/>
          <w:sz w:val="24"/>
          <w:szCs w:val="24"/>
        </w:rPr>
        <w:t xml:space="preserve"> </w:t>
      </w:r>
      <w:r>
        <w:rPr>
          <w:rFonts w:ascii="Times New Roman" w:hAnsi="Times New Roman" w:eastAsia="Times New Roman" w:cs="Times New Roman"/>
          <w:i/>
          <w:iCs/>
          <w:spacing w:val="-2"/>
          <w:sz w:val="24"/>
          <w:szCs w:val="24"/>
        </w:rPr>
        <w:t>Juglans regia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、棕榈</w:t>
      </w:r>
      <w:r>
        <w:rPr>
          <w:rFonts w:ascii="宋体" w:hAnsi="宋体" w:eastAsia="宋体" w:cs="宋体"/>
          <w:spacing w:val="-43"/>
          <w:sz w:val="24"/>
          <w:szCs w:val="24"/>
        </w:rPr>
        <w:t xml:space="preserve"> </w:t>
      </w:r>
      <w:r>
        <w:rPr>
          <w:rFonts w:ascii="Times New Roman" w:hAnsi="Times New Roman" w:eastAsia="Times New Roman" w:cs="Times New Roman"/>
          <w:i/>
          <w:iCs/>
          <w:spacing w:val="-2"/>
          <w:sz w:val="24"/>
          <w:szCs w:val="24"/>
        </w:rPr>
        <w:t>Trachycarpus</w:t>
      </w:r>
      <w:r>
        <w:rPr>
          <w:rFonts w:ascii="Times New Roman" w:hAnsi="Times New Roman" w:eastAsia="Times New Roman" w:cs="Times New Roman"/>
          <w:i/>
          <w:iCs/>
          <w:spacing w:val="-57"/>
          <w:sz w:val="24"/>
          <w:szCs w:val="24"/>
        </w:rPr>
        <w:t xml:space="preserve"> </w:t>
      </w:r>
      <w:r>
        <w:rPr>
          <w:rFonts w:ascii="Times New Roman" w:hAnsi="Times New Roman" w:eastAsia="Times New Roman" w:cs="Times New Roman"/>
          <w:i/>
          <w:iCs/>
          <w:spacing w:val="-2"/>
          <w:sz w:val="24"/>
          <w:szCs w:val="24"/>
        </w:rPr>
        <w:t>fortunei</w:t>
      </w:r>
    </w:p>
    <w:p>
      <w:pPr>
        <w:spacing w:line="219" w:lineRule="auto"/>
        <w:ind w:left="41"/>
        <w:rPr>
          <w:rFonts w:ascii="宋体" w:hAnsi="宋体" w:eastAsia="宋体" w:cs="宋体"/>
          <w:sz w:val="24"/>
          <w:szCs w:val="24"/>
        </w:rPr>
      </w:pPr>
      <w:r>
        <w:rPr>
          <w:rFonts w:ascii="宋体" w:hAnsi="宋体" w:eastAsia="宋体" w:cs="宋体"/>
          <w:spacing w:val="-17"/>
          <w:sz w:val="24"/>
          <w:szCs w:val="24"/>
        </w:rPr>
        <w:t>等；</w:t>
      </w:r>
    </w:p>
    <w:p>
      <w:pPr>
        <w:spacing w:before="182" w:line="360" w:lineRule="auto"/>
        <w:ind w:left="23" w:right="83" w:firstLine="492"/>
        <w:rPr>
          <w:rFonts w:ascii="宋体" w:hAnsi="宋体" w:eastAsia="宋体" w:cs="宋体"/>
          <w:sz w:val="24"/>
          <w:szCs w:val="24"/>
        </w:rPr>
      </w:pPr>
      <w:r>
        <w:rPr>
          <w:rFonts w:ascii="Times New Roman" w:hAnsi="Times New Roman" w:eastAsia="Times New Roman" w:cs="Times New Roman"/>
          <w:spacing w:val="-4"/>
          <w:sz w:val="24"/>
          <w:szCs w:val="24"/>
        </w:rPr>
        <w:t>II.</w:t>
      </w:r>
      <w:r>
        <w:rPr>
          <w:rFonts w:ascii="宋体" w:hAnsi="宋体" w:eastAsia="宋体" w:cs="宋体"/>
          <w:spacing w:val="-4"/>
          <w:sz w:val="24"/>
          <w:szCs w:val="24"/>
        </w:rPr>
        <w:t>药用植物：芫荽</w:t>
      </w:r>
      <w:r>
        <w:rPr>
          <w:rFonts w:ascii="宋体" w:hAnsi="宋体" w:eastAsia="宋体" w:cs="宋体"/>
          <w:spacing w:val="-44"/>
          <w:sz w:val="24"/>
          <w:szCs w:val="24"/>
        </w:rPr>
        <w:t xml:space="preserve"> </w:t>
      </w:r>
      <w:r>
        <w:rPr>
          <w:rFonts w:ascii="Times New Roman" w:hAnsi="Times New Roman" w:eastAsia="Times New Roman" w:cs="Times New Roman"/>
          <w:i/>
          <w:iCs/>
          <w:spacing w:val="-4"/>
          <w:sz w:val="24"/>
          <w:szCs w:val="24"/>
        </w:rPr>
        <w:t>Coriandrum</w:t>
      </w:r>
      <w:r>
        <w:rPr>
          <w:rFonts w:ascii="Times New Roman" w:hAnsi="Times New Roman" w:eastAsia="Times New Roman" w:cs="Times New Roman"/>
          <w:i/>
          <w:iCs/>
          <w:spacing w:val="-17"/>
          <w:sz w:val="24"/>
          <w:szCs w:val="24"/>
        </w:rPr>
        <w:t xml:space="preserve"> </w:t>
      </w:r>
      <w:r>
        <w:rPr>
          <w:rFonts w:ascii="Times New Roman" w:hAnsi="Times New Roman" w:eastAsia="Times New Roman" w:cs="Times New Roman"/>
          <w:i/>
          <w:iCs/>
          <w:spacing w:val="-4"/>
          <w:sz w:val="24"/>
          <w:szCs w:val="24"/>
        </w:rPr>
        <w:t>sativum</w:t>
      </w:r>
      <w:r>
        <w:rPr>
          <w:rFonts w:ascii="宋体" w:hAnsi="宋体" w:eastAsia="宋体" w:cs="宋体"/>
          <w:spacing w:val="-4"/>
          <w:sz w:val="24"/>
          <w:szCs w:val="24"/>
        </w:rPr>
        <w:t>、繁缕</w:t>
      </w:r>
      <w:r>
        <w:rPr>
          <w:rFonts w:ascii="宋体" w:hAnsi="宋体" w:eastAsia="宋体" w:cs="宋体"/>
          <w:spacing w:val="-58"/>
          <w:sz w:val="24"/>
          <w:szCs w:val="24"/>
        </w:rPr>
        <w:t xml:space="preserve"> </w:t>
      </w:r>
      <w:r>
        <w:rPr>
          <w:rFonts w:ascii="Times New Roman" w:hAnsi="Times New Roman" w:eastAsia="Times New Roman" w:cs="Times New Roman"/>
          <w:i/>
          <w:iCs/>
          <w:spacing w:val="-4"/>
          <w:sz w:val="24"/>
          <w:szCs w:val="24"/>
        </w:rPr>
        <w:t>Stellaria</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pacing w:val="-4"/>
          <w:sz w:val="24"/>
          <w:szCs w:val="24"/>
        </w:rPr>
        <w:t>media</w:t>
      </w:r>
      <w:r>
        <w:rPr>
          <w:rFonts w:ascii="宋体" w:hAnsi="宋体" w:eastAsia="宋体" w:cs="宋体"/>
          <w:spacing w:val="-4"/>
          <w:sz w:val="24"/>
          <w:szCs w:val="24"/>
        </w:rPr>
        <w:t>、栓皮栎</w:t>
      </w:r>
      <w:r>
        <w:rPr>
          <w:rFonts w:ascii="宋体" w:hAnsi="宋体" w:eastAsia="宋体" w:cs="宋体"/>
          <w:spacing w:val="-48"/>
          <w:sz w:val="24"/>
          <w:szCs w:val="24"/>
        </w:rPr>
        <w:t xml:space="preserve"> </w:t>
      </w:r>
      <w:r>
        <w:rPr>
          <w:rFonts w:ascii="Times New Roman" w:hAnsi="Times New Roman" w:eastAsia="Times New Roman" w:cs="Times New Roman"/>
          <w:i/>
          <w:iCs/>
          <w:spacing w:val="-4"/>
          <w:sz w:val="24"/>
          <w:szCs w:val="24"/>
        </w:rPr>
        <w:t>Quercus</w:t>
      </w:r>
      <w:r>
        <w:rPr>
          <w:rFonts w:ascii="Times New Roman" w:hAnsi="Times New Roman" w:eastAsia="Times New Roman" w:cs="Times New Roman"/>
          <w:i/>
          <w:iCs/>
          <w:sz w:val="24"/>
          <w:szCs w:val="24"/>
        </w:rPr>
        <w:t xml:space="preserve"> variabilis</w:t>
      </w:r>
      <w:r>
        <w:rPr>
          <w:rFonts w:ascii="Times New Roman" w:hAnsi="Times New Roman" w:eastAsia="Times New Roman" w:cs="Times New Roman"/>
          <w:i/>
          <w:iCs/>
          <w:spacing w:val="-25"/>
          <w:sz w:val="24"/>
          <w:szCs w:val="24"/>
        </w:rPr>
        <w:t xml:space="preserve"> </w:t>
      </w:r>
      <w:r>
        <w:rPr>
          <w:rFonts w:ascii="宋体" w:hAnsi="宋体" w:eastAsia="宋体" w:cs="宋体"/>
          <w:spacing w:val="4"/>
          <w:sz w:val="24"/>
          <w:szCs w:val="24"/>
        </w:rPr>
        <w:t xml:space="preserve">、黄花稔 </w:t>
      </w:r>
      <w:r>
        <w:rPr>
          <w:rFonts w:ascii="Times New Roman" w:hAnsi="Times New Roman" w:eastAsia="Times New Roman" w:cs="Times New Roman"/>
          <w:i/>
          <w:iCs/>
          <w:sz w:val="24"/>
          <w:szCs w:val="24"/>
        </w:rPr>
        <w:t>Sidaszechuensis</w:t>
      </w:r>
      <w:r>
        <w:rPr>
          <w:rFonts w:ascii="Times New Roman" w:hAnsi="Times New Roman" w:eastAsia="Times New Roman" w:cs="Times New Roman"/>
          <w:i/>
          <w:iCs/>
          <w:spacing w:val="-31"/>
          <w:sz w:val="24"/>
          <w:szCs w:val="24"/>
        </w:rPr>
        <w:t xml:space="preserve"> </w:t>
      </w:r>
      <w:r>
        <w:rPr>
          <w:rFonts w:ascii="宋体" w:hAnsi="宋体" w:eastAsia="宋体" w:cs="宋体"/>
          <w:spacing w:val="4"/>
          <w:sz w:val="24"/>
          <w:szCs w:val="24"/>
        </w:rPr>
        <w:t xml:space="preserve">、松柏钝果寄生 </w:t>
      </w:r>
      <w:r>
        <w:rPr>
          <w:rFonts w:ascii="Times New Roman" w:hAnsi="Times New Roman" w:eastAsia="Times New Roman" w:cs="Times New Roman"/>
          <w:i/>
          <w:iCs/>
          <w:sz w:val="24"/>
          <w:szCs w:val="24"/>
        </w:rPr>
        <w:t>Taxilluscaloreas</w:t>
      </w:r>
      <w:r>
        <w:rPr>
          <w:rFonts w:ascii="Times New Roman" w:hAnsi="Times New Roman" w:eastAsia="Times New Roman" w:cs="Times New Roman"/>
          <w:i/>
          <w:iCs/>
          <w:spacing w:val="-31"/>
          <w:sz w:val="24"/>
          <w:szCs w:val="24"/>
        </w:rPr>
        <w:t xml:space="preserve"> </w:t>
      </w:r>
      <w:r>
        <w:rPr>
          <w:rFonts w:ascii="宋体" w:hAnsi="宋体" w:eastAsia="宋体" w:cs="宋体"/>
          <w:spacing w:val="4"/>
          <w:sz w:val="24"/>
          <w:szCs w:val="24"/>
        </w:rPr>
        <w:t>、金花小檗</w:t>
      </w:r>
      <w:r>
        <w:rPr>
          <w:rFonts w:ascii="宋体" w:hAnsi="宋体" w:eastAsia="宋体" w:cs="宋体"/>
          <w:sz w:val="24"/>
          <w:szCs w:val="24"/>
        </w:rPr>
        <w:t xml:space="preserve"> </w:t>
      </w:r>
      <w:r>
        <w:rPr>
          <w:rFonts w:ascii="Times New Roman" w:hAnsi="Times New Roman" w:eastAsia="Times New Roman" w:cs="Times New Roman"/>
          <w:i/>
          <w:iCs/>
          <w:spacing w:val="-2"/>
          <w:sz w:val="24"/>
          <w:szCs w:val="24"/>
        </w:rPr>
        <w:t>Berberis wilsoniae</w:t>
      </w:r>
      <w:r>
        <w:rPr>
          <w:rFonts w:ascii="Times New Roman" w:hAnsi="Times New Roman" w:eastAsia="Times New Roman" w:cs="Times New Roman"/>
          <w:i/>
          <w:iCs/>
          <w:spacing w:val="35"/>
          <w:w w:val="101"/>
          <w:sz w:val="24"/>
          <w:szCs w:val="24"/>
        </w:rPr>
        <w:t xml:space="preserve"> </w:t>
      </w:r>
      <w:r>
        <w:rPr>
          <w:rFonts w:ascii="宋体" w:hAnsi="宋体" w:eastAsia="宋体" w:cs="宋体"/>
          <w:spacing w:val="-2"/>
          <w:sz w:val="24"/>
          <w:szCs w:val="24"/>
        </w:rPr>
        <w:t>、</w:t>
      </w:r>
      <w:r>
        <w:rPr>
          <w:rFonts w:ascii="宋体" w:hAnsi="宋体" w:eastAsia="宋体" w:cs="宋体"/>
          <w:spacing w:val="-51"/>
          <w:sz w:val="24"/>
          <w:szCs w:val="24"/>
        </w:rPr>
        <w:t xml:space="preserve"> </w:t>
      </w:r>
      <w:r>
        <w:rPr>
          <w:rFonts w:ascii="宋体" w:hAnsi="宋体" w:eastAsia="宋体" w:cs="宋体"/>
          <w:spacing w:val="-2"/>
          <w:sz w:val="24"/>
          <w:szCs w:val="24"/>
        </w:rPr>
        <w:t>野</w:t>
      </w:r>
      <w:r>
        <w:rPr>
          <w:rFonts w:ascii="宋体" w:hAnsi="宋体" w:eastAsia="宋体" w:cs="宋体"/>
          <w:spacing w:val="-49"/>
          <w:sz w:val="24"/>
          <w:szCs w:val="24"/>
        </w:rPr>
        <w:t xml:space="preserve"> </w:t>
      </w:r>
      <w:r>
        <w:rPr>
          <w:rFonts w:ascii="宋体" w:hAnsi="宋体" w:eastAsia="宋体" w:cs="宋体"/>
          <w:spacing w:val="-2"/>
          <w:sz w:val="24"/>
          <w:szCs w:val="24"/>
        </w:rPr>
        <w:t>漆</w:t>
      </w:r>
      <w:r>
        <w:rPr>
          <w:rFonts w:ascii="宋体" w:hAnsi="宋体" w:eastAsia="宋体" w:cs="宋体"/>
          <w:spacing w:val="74"/>
          <w:sz w:val="24"/>
          <w:szCs w:val="24"/>
        </w:rPr>
        <w:t xml:space="preserve"> </w:t>
      </w:r>
      <w:r>
        <w:rPr>
          <w:rFonts w:ascii="Times New Roman" w:hAnsi="Times New Roman" w:eastAsia="Times New Roman" w:cs="Times New Roman"/>
          <w:i/>
          <w:iCs/>
          <w:spacing w:val="-2"/>
          <w:sz w:val="24"/>
          <w:szCs w:val="24"/>
        </w:rPr>
        <w:t>Toxicodendron  succedaneum</w:t>
      </w:r>
      <w:r>
        <w:rPr>
          <w:rFonts w:ascii="Times New Roman" w:hAnsi="Times New Roman" w:eastAsia="Times New Roman" w:cs="Times New Roman"/>
          <w:i/>
          <w:iCs/>
          <w:spacing w:val="28"/>
          <w:sz w:val="24"/>
          <w:szCs w:val="24"/>
        </w:rPr>
        <w:t xml:space="preserve"> </w:t>
      </w:r>
      <w:r>
        <w:rPr>
          <w:rFonts w:ascii="宋体" w:hAnsi="宋体" w:eastAsia="宋体" w:cs="宋体"/>
          <w:spacing w:val="-2"/>
          <w:sz w:val="24"/>
          <w:szCs w:val="24"/>
        </w:rPr>
        <w:t>、</w:t>
      </w:r>
      <w:r>
        <w:rPr>
          <w:rFonts w:ascii="宋体" w:hAnsi="宋体" w:eastAsia="宋体" w:cs="宋体"/>
          <w:spacing w:val="-47"/>
          <w:sz w:val="24"/>
          <w:szCs w:val="24"/>
        </w:rPr>
        <w:t xml:space="preserve"> </w:t>
      </w:r>
      <w:r>
        <w:rPr>
          <w:rFonts w:ascii="宋体" w:hAnsi="宋体" w:eastAsia="宋体" w:cs="宋体"/>
          <w:spacing w:val="-2"/>
          <w:sz w:val="24"/>
          <w:szCs w:val="24"/>
        </w:rPr>
        <w:t>短</w:t>
      </w:r>
      <w:r>
        <w:rPr>
          <w:rFonts w:ascii="宋体" w:hAnsi="宋体" w:eastAsia="宋体" w:cs="宋体"/>
          <w:spacing w:val="-47"/>
          <w:sz w:val="24"/>
          <w:szCs w:val="24"/>
        </w:rPr>
        <w:t xml:space="preserve"> </w:t>
      </w:r>
      <w:r>
        <w:rPr>
          <w:rFonts w:ascii="宋体" w:hAnsi="宋体" w:eastAsia="宋体" w:cs="宋体"/>
          <w:spacing w:val="-2"/>
          <w:sz w:val="24"/>
          <w:szCs w:val="24"/>
        </w:rPr>
        <w:t>葶</w:t>
      </w:r>
      <w:r>
        <w:rPr>
          <w:rFonts w:ascii="宋体" w:hAnsi="宋体" w:eastAsia="宋体" w:cs="宋体"/>
          <w:spacing w:val="-41"/>
          <w:sz w:val="24"/>
          <w:szCs w:val="24"/>
        </w:rPr>
        <w:t xml:space="preserve"> </w:t>
      </w:r>
      <w:r>
        <w:rPr>
          <w:rFonts w:ascii="宋体" w:hAnsi="宋体" w:eastAsia="宋体" w:cs="宋体"/>
          <w:spacing w:val="-2"/>
          <w:sz w:val="24"/>
          <w:szCs w:val="24"/>
        </w:rPr>
        <w:t>飞</w:t>
      </w:r>
      <w:r>
        <w:rPr>
          <w:rFonts w:ascii="宋体" w:hAnsi="宋体" w:eastAsia="宋体" w:cs="宋体"/>
          <w:spacing w:val="-48"/>
          <w:sz w:val="24"/>
          <w:szCs w:val="24"/>
        </w:rPr>
        <w:t xml:space="preserve"> </w:t>
      </w:r>
      <w:r>
        <w:rPr>
          <w:rFonts w:ascii="宋体" w:hAnsi="宋体" w:eastAsia="宋体" w:cs="宋体"/>
          <w:spacing w:val="-2"/>
          <w:sz w:val="24"/>
          <w:szCs w:val="24"/>
        </w:rPr>
        <w:t>蓬</w:t>
      </w:r>
      <w:r>
        <w:rPr>
          <w:rFonts w:ascii="宋体" w:hAnsi="宋体" w:eastAsia="宋体" w:cs="宋体"/>
          <w:spacing w:val="64"/>
          <w:sz w:val="24"/>
          <w:szCs w:val="24"/>
        </w:rPr>
        <w:t xml:space="preserve"> </w:t>
      </w:r>
      <w:r>
        <w:rPr>
          <w:rFonts w:ascii="Times New Roman" w:hAnsi="Times New Roman" w:eastAsia="Times New Roman" w:cs="Times New Roman"/>
          <w:spacing w:val="-2"/>
          <w:sz w:val="24"/>
          <w:szCs w:val="24"/>
        </w:rPr>
        <w:t>Erigeron</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 xml:space="preserve">breviscapus </w:t>
      </w:r>
      <w:r>
        <w:rPr>
          <w:rFonts w:ascii="宋体" w:hAnsi="宋体" w:eastAsia="宋体" w:cs="宋体"/>
          <w:spacing w:val="-1"/>
          <w:sz w:val="24"/>
          <w:szCs w:val="24"/>
        </w:rPr>
        <w:t>、</w:t>
      </w:r>
      <w:r>
        <w:rPr>
          <w:rFonts w:ascii="宋体" w:hAnsi="宋体" w:eastAsia="宋体" w:cs="宋体"/>
          <w:spacing w:val="-55"/>
          <w:sz w:val="24"/>
          <w:szCs w:val="24"/>
        </w:rPr>
        <w:t xml:space="preserve"> </w:t>
      </w:r>
      <w:r>
        <w:rPr>
          <w:rFonts w:ascii="宋体" w:hAnsi="宋体" w:eastAsia="宋体" w:cs="宋体"/>
          <w:spacing w:val="-1"/>
          <w:sz w:val="24"/>
          <w:szCs w:val="24"/>
        </w:rPr>
        <w:t>大</w:t>
      </w:r>
      <w:r>
        <w:rPr>
          <w:rFonts w:ascii="宋体" w:hAnsi="宋体" w:eastAsia="宋体" w:cs="宋体"/>
          <w:spacing w:val="-70"/>
          <w:sz w:val="24"/>
          <w:szCs w:val="24"/>
        </w:rPr>
        <w:t xml:space="preserve"> </w:t>
      </w:r>
      <w:r>
        <w:rPr>
          <w:rFonts w:ascii="宋体" w:hAnsi="宋体" w:eastAsia="宋体" w:cs="宋体"/>
          <w:spacing w:val="-1"/>
          <w:sz w:val="24"/>
          <w:szCs w:val="24"/>
        </w:rPr>
        <w:t>狼</w:t>
      </w:r>
      <w:r>
        <w:rPr>
          <w:rFonts w:ascii="宋体" w:hAnsi="宋体" w:eastAsia="宋体" w:cs="宋体"/>
          <w:spacing w:val="-68"/>
          <w:sz w:val="24"/>
          <w:szCs w:val="24"/>
        </w:rPr>
        <w:t xml:space="preserve"> </w:t>
      </w:r>
      <w:r>
        <w:rPr>
          <w:rFonts w:ascii="宋体" w:hAnsi="宋体" w:eastAsia="宋体" w:cs="宋体"/>
          <w:spacing w:val="-1"/>
          <w:sz w:val="24"/>
          <w:szCs w:val="24"/>
        </w:rPr>
        <w:t>毒</w:t>
      </w:r>
      <w:r>
        <w:rPr>
          <w:rFonts w:ascii="宋体" w:hAnsi="宋体" w:eastAsia="宋体" w:cs="宋体"/>
          <w:spacing w:val="32"/>
          <w:sz w:val="24"/>
          <w:szCs w:val="24"/>
        </w:rPr>
        <w:t xml:space="preserve"> </w:t>
      </w:r>
      <w:r>
        <w:rPr>
          <w:rFonts w:ascii="Times New Roman" w:hAnsi="Times New Roman" w:eastAsia="Times New Roman" w:cs="Times New Roman"/>
          <w:i/>
          <w:iCs/>
          <w:spacing w:val="-1"/>
          <w:sz w:val="24"/>
          <w:szCs w:val="24"/>
        </w:rPr>
        <w:t>Euphorbia</w:t>
      </w:r>
      <w:r>
        <w:rPr>
          <w:rFonts w:ascii="Times New Roman" w:hAnsi="Times New Roman" w:eastAsia="Times New Roman" w:cs="Times New Roman"/>
          <w:i/>
          <w:iCs/>
          <w:spacing w:val="27"/>
          <w:sz w:val="24"/>
          <w:szCs w:val="24"/>
        </w:rPr>
        <w:t xml:space="preserve"> </w:t>
      </w:r>
      <w:r>
        <w:rPr>
          <w:rFonts w:ascii="Times New Roman" w:hAnsi="Times New Roman" w:eastAsia="Times New Roman" w:cs="Times New Roman"/>
          <w:i/>
          <w:iCs/>
          <w:spacing w:val="-1"/>
          <w:sz w:val="24"/>
          <w:szCs w:val="24"/>
        </w:rPr>
        <w:t xml:space="preserve">jolkinii </w:t>
      </w:r>
      <w:r>
        <w:rPr>
          <w:rFonts w:ascii="宋体" w:hAnsi="宋体" w:eastAsia="宋体" w:cs="宋体"/>
          <w:spacing w:val="-1"/>
          <w:sz w:val="24"/>
          <w:szCs w:val="24"/>
        </w:rPr>
        <w:t>、</w:t>
      </w:r>
      <w:r>
        <w:rPr>
          <w:rFonts w:ascii="宋体" w:hAnsi="宋体" w:eastAsia="宋体" w:cs="宋体"/>
          <w:spacing w:val="-69"/>
          <w:sz w:val="24"/>
          <w:szCs w:val="24"/>
        </w:rPr>
        <w:t xml:space="preserve"> </w:t>
      </w:r>
      <w:r>
        <w:rPr>
          <w:rFonts w:ascii="宋体" w:hAnsi="宋体" w:eastAsia="宋体" w:cs="宋体"/>
          <w:spacing w:val="-1"/>
          <w:sz w:val="24"/>
          <w:szCs w:val="24"/>
        </w:rPr>
        <w:t>茅瓜</w:t>
      </w:r>
      <w:r>
        <w:rPr>
          <w:rFonts w:ascii="宋体" w:hAnsi="宋体" w:eastAsia="宋体" w:cs="宋体"/>
          <w:spacing w:val="39"/>
          <w:sz w:val="24"/>
          <w:szCs w:val="24"/>
        </w:rPr>
        <w:t xml:space="preserve"> </w:t>
      </w:r>
      <w:r>
        <w:rPr>
          <w:rFonts w:ascii="Times New Roman" w:hAnsi="Times New Roman" w:eastAsia="Times New Roman" w:cs="Times New Roman"/>
          <w:i/>
          <w:iCs/>
          <w:spacing w:val="-1"/>
          <w:sz w:val="24"/>
          <w:szCs w:val="24"/>
        </w:rPr>
        <w:t xml:space="preserve">Solena heterophylla </w:t>
      </w:r>
      <w:r>
        <w:rPr>
          <w:rFonts w:ascii="宋体" w:hAnsi="宋体" w:eastAsia="宋体" w:cs="宋体"/>
          <w:spacing w:val="-1"/>
          <w:sz w:val="24"/>
          <w:szCs w:val="24"/>
        </w:rPr>
        <w:t>、</w:t>
      </w:r>
      <w:r>
        <w:rPr>
          <w:rFonts w:ascii="宋体" w:hAnsi="宋体" w:eastAsia="宋体" w:cs="宋体"/>
          <w:spacing w:val="-62"/>
          <w:sz w:val="24"/>
          <w:szCs w:val="24"/>
        </w:rPr>
        <w:t xml:space="preserve"> </w:t>
      </w:r>
      <w:r>
        <w:rPr>
          <w:rFonts w:ascii="宋体" w:hAnsi="宋体" w:eastAsia="宋体" w:cs="宋体"/>
          <w:spacing w:val="-1"/>
          <w:sz w:val="24"/>
          <w:szCs w:val="24"/>
        </w:rPr>
        <w:t>川</w:t>
      </w:r>
      <w:r>
        <w:rPr>
          <w:rFonts w:ascii="宋体" w:hAnsi="宋体" w:eastAsia="宋体" w:cs="宋体"/>
          <w:spacing w:val="-67"/>
          <w:sz w:val="24"/>
          <w:szCs w:val="24"/>
        </w:rPr>
        <w:t xml:space="preserve"> </w:t>
      </w:r>
      <w:r>
        <w:rPr>
          <w:rFonts w:ascii="宋体" w:hAnsi="宋体" w:eastAsia="宋体" w:cs="宋体"/>
          <w:spacing w:val="-1"/>
          <w:sz w:val="24"/>
          <w:szCs w:val="24"/>
        </w:rPr>
        <w:t>续</w:t>
      </w:r>
      <w:r>
        <w:rPr>
          <w:rFonts w:ascii="宋体" w:hAnsi="宋体" w:eastAsia="宋体" w:cs="宋体"/>
          <w:spacing w:val="-60"/>
          <w:sz w:val="24"/>
          <w:szCs w:val="24"/>
        </w:rPr>
        <w:t xml:space="preserve"> </w:t>
      </w:r>
      <w:r>
        <w:rPr>
          <w:rFonts w:ascii="宋体" w:hAnsi="宋体" w:eastAsia="宋体" w:cs="宋体"/>
          <w:spacing w:val="-1"/>
          <w:sz w:val="24"/>
          <w:szCs w:val="24"/>
        </w:rPr>
        <w:t>断</w:t>
      </w:r>
      <w:r>
        <w:rPr>
          <w:rFonts w:ascii="宋体" w:hAnsi="宋体" w:eastAsia="宋体" w:cs="宋体"/>
          <w:sz w:val="24"/>
          <w:szCs w:val="24"/>
        </w:rPr>
        <w:t xml:space="preserve"> </w:t>
      </w:r>
      <w:r>
        <w:rPr>
          <w:rFonts w:ascii="Times New Roman" w:hAnsi="Times New Roman" w:eastAsia="Times New Roman" w:cs="Times New Roman"/>
          <w:i/>
          <w:iCs/>
          <w:spacing w:val="-1"/>
          <w:sz w:val="24"/>
          <w:szCs w:val="24"/>
        </w:rPr>
        <w:t>Dipsacus asperoides</w:t>
      </w:r>
      <w:r>
        <w:rPr>
          <w:rFonts w:ascii="宋体" w:hAnsi="宋体" w:eastAsia="宋体" w:cs="宋体"/>
          <w:spacing w:val="-1"/>
          <w:sz w:val="24"/>
          <w:szCs w:val="24"/>
        </w:rPr>
        <w:t>、柿树</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Diospyros</w:t>
      </w:r>
      <w:r>
        <w:rPr>
          <w:rFonts w:ascii="Times New Roman" w:hAnsi="Times New Roman" w:eastAsia="Times New Roman" w:cs="Times New Roman"/>
          <w:i/>
          <w:iCs/>
          <w:spacing w:val="-11"/>
          <w:sz w:val="24"/>
          <w:szCs w:val="24"/>
        </w:rPr>
        <w:t xml:space="preserve"> </w:t>
      </w:r>
      <w:r>
        <w:rPr>
          <w:rFonts w:ascii="Times New Roman" w:hAnsi="Times New Roman" w:eastAsia="Times New Roman" w:cs="Times New Roman"/>
          <w:i/>
          <w:iCs/>
          <w:spacing w:val="-1"/>
          <w:sz w:val="24"/>
          <w:szCs w:val="24"/>
        </w:rPr>
        <w:t>kaki</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、土瓜狼毒</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Euphorbia</w:t>
      </w:r>
      <w:r>
        <w:rPr>
          <w:rFonts w:ascii="Times New Roman" w:hAnsi="Times New Roman" w:eastAsia="Times New Roman" w:cs="Times New Roman"/>
          <w:i/>
          <w:iCs/>
          <w:spacing w:val="-25"/>
          <w:sz w:val="24"/>
          <w:szCs w:val="24"/>
        </w:rPr>
        <w:t xml:space="preserve"> </w:t>
      </w:r>
      <w:r>
        <w:rPr>
          <w:rFonts w:ascii="Times New Roman" w:hAnsi="Times New Roman" w:eastAsia="Times New Roman" w:cs="Times New Roman"/>
          <w:i/>
          <w:iCs/>
          <w:spacing w:val="-1"/>
          <w:sz w:val="24"/>
          <w:szCs w:val="24"/>
        </w:rPr>
        <w:t>pro</w:t>
      </w:r>
      <w:r>
        <w:rPr>
          <w:rFonts w:ascii="Times New Roman" w:hAnsi="Times New Roman" w:eastAsia="Times New Roman" w:cs="Times New Roman"/>
          <w:i/>
          <w:iCs/>
          <w:spacing w:val="-2"/>
          <w:sz w:val="24"/>
          <w:szCs w:val="24"/>
        </w:rPr>
        <w:t>lifera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、霸王鞭</w:t>
      </w:r>
    </w:p>
    <w:p>
      <w:pPr>
        <w:spacing w:line="212" w:lineRule="auto"/>
        <w:ind w:left="24"/>
        <w:rPr>
          <w:rFonts w:ascii="宋体" w:hAnsi="宋体" w:eastAsia="宋体" w:cs="宋体"/>
          <w:sz w:val="24"/>
          <w:szCs w:val="24"/>
        </w:rPr>
      </w:pPr>
      <w:r>
        <w:rPr>
          <w:rFonts w:ascii="Times New Roman" w:hAnsi="Times New Roman" w:eastAsia="Times New Roman" w:cs="Times New Roman"/>
          <w:i/>
          <w:iCs/>
          <w:sz w:val="24"/>
          <w:szCs w:val="24"/>
        </w:rPr>
        <w:t>Euphorbia</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sz w:val="24"/>
          <w:szCs w:val="24"/>
        </w:rPr>
        <w:t>royleana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、白饭树</w:t>
      </w:r>
      <w:r>
        <w:rPr>
          <w:rFonts w:ascii="Times New Roman" w:hAnsi="Times New Roman" w:eastAsia="Times New Roman" w:cs="Times New Roman"/>
          <w:i/>
          <w:iCs/>
          <w:sz w:val="24"/>
          <w:szCs w:val="24"/>
        </w:rPr>
        <w:t>Flueggeavirosa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、马桑</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Coriaria</w:t>
      </w:r>
      <w:r>
        <w:rPr>
          <w:rFonts w:ascii="Times New Roman" w:hAnsi="Times New Roman" w:eastAsia="Times New Roman" w:cs="Times New Roman"/>
          <w:spacing w:val="2"/>
          <w:sz w:val="24"/>
          <w:szCs w:val="24"/>
        </w:rPr>
        <w:t xml:space="preserve"> </w:t>
      </w:r>
      <w:r>
        <w:rPr>
          <w:rFonts w:ascii="Times New Roman" w:hAnsi="Times New Roman" w:eastAsia="Times New Roman" w:cs="Times New Roman"/>
          <w:sz w:val="24"/>
          <w:szCs w:val="24"/>
        </w:rPr>
        <w:t>nepalensis</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等；</w:t>
      </w:r>
    </w:p>
    <w:p>
      <w:pPr>
        <w:spacing w:before="193" w:line="360" w:lineRule="auto"/>
        <w:ind w:left="24" w:firstLine="49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III.</w:t>
      </w:r>
      <w:r>
        <w:rPr>
          <w:rFonts w:ascii="宋体" w:hAnsi="宋体" w:eastAsia="宋体" w:cs="宋体"/>
          <w:spacing w:val="-5"/>
          <w:sz w:val="24"/>
          <w:szCs w:val="24"/>
        </w:rPr>
        <w:t>花卉植物：云南含笑</w:t>
      </w:r>
      <w:r>
        <w:rPr>
          <w:rFonts w:ascii="Times New Roman" w:hAnsi="Times New Roman" w:eastAsia="Times New Roman" w:cs="Times New Roman"/>
          <w:i/>
          <w:iCs/>
          <w:spacing w:val="-5"/>
          <w:sz w:val="24"/>
          <w:szCs w:val="24"/>
        </w:rPr>
        <w:t>Michelia</w:t>
      </w:r>
      <w:r>
        <w:rPr>
          <w:rFonts w:ascii="Times New Roman" w:hAnsi="Times New Roman" w:eastAsia="Times New Roman" w:cs="Times New Roman"/>
          <w:i/>
          <w:iCs/>
          <w:spacing w:val="-36"/>
          <w:sz w:val="24"/>
          <w:szCs w:val="24"/>
        </w:rPr>
        <w:t xml:space="preserve"> </w:t>
      </w:r>
      <w:r>
        <w:rPr>
          <w:rFonts w:ascii="Times New Roman" w:hAnsi="Times New Roman" w:eastAsia="Times New Roman" w:cs="Times New Roman"/>
          <w:i/>
          <w:iCs/>
          <w:spacing w:val="-5"/>
          <w:sz w:val="24"/>
          <w:szCs w:val="24"/>
        </w:rPr>
        <w:t>yunnanensis</w:t>
      </w:r>
      <w:r>
        <w:rPr>
          <w:rFonts w:ascii="宋体" w:hAnsi="宋体" w:eastAsia="宋体" w:cs="宋体"/>
          <w:spacing w:val="-5"/>
          <w:sz w:val="24"/>
          <w:szCs w:val="24"/>
        </w:rPr>
        <w:t>、木香花</w:t>
      </w:r>
      <w:r>
        <w:rPr>
          <w:rFonts w:ascii="Times New Roman" w:hAnsi="Times New Roman" w:eastAsia="Times New Roman" w:cs="Times New Roman"/>
          <w:i/>
          <w:iCs/>
          <w:spacing w:val="-5"/>
          <w:sz w:val="24"/>
          <w:szCs w:val="24"/>
        </w:rPr>
        <w:t>Rosa banksiae</w:t>
      </w:r>
      <w:r>
        <w:rPr>
          <w:rFonts w:ascii="宋体" w:hAnsi="宋体" w:eastAsia="宋体" w:cs="宋体"/>
          <w:spacing w:val="-5"/>
          <w:sz w:val="24"/>
          <w:szCs w:val="24"/>
        </w:rPr>
        <w:t>、李</w:t>
      </w:r>
      <w:r>
        <w:rPr>
          <w:rFonts w:ascii="宋体" w:hAnsi="宋体" w:eastAsia="宋体" w:cs="宋体"/>
          <w:spacing w:val="-68"/>
          <w:sz w:val="24"/>
          <w:szCs w:val="24"/>
        </w:rPr>
        <w:t xml:space="preserve"> </w:t>
      </w:r>
      <w:r>
        <w:rPr>
          <w:rFonts w:ascii="Times New Roman" w:hAnsi="Times New Roman" w:eastAsia="Times New Roman" w:cs="Times New Roman"/>
          <w:i/>
          <w:iCs/>
          <w:spacing w:val="-5"/>
          <w:sz w:val="24"/>
          <w:szCs w:val="24"/>
        </w:rPr>
        <w:t>Prunu</w:t>
      </w:r>
      <w:r>
        <w:rPr>
          <w:rFonts w:ascii="Times New Roman" w:hAnsi="Times New Roman" w:eastAsia="Times New Roman" w:cs="Times New Roman"/>
          <w:i/>
          <w:iCs/>
          <w:spacing w:val="-6"/>
          <w:sz w:val="24"/>
          <w:szCs w:val="24"/>
        </w:rPr>
        <w:t xml:space="preserve">s  </w:t>
      </w:r>
      <w:r>
        <w:rPr>
          <w:rFonts w:ascii="Times New Roman" w:hAnsi="Times New Roman" w:eastAsia="Times New Roman" w:cs="Times New Roman"/>
          <w:i/>
          <w:iCs/>
          <w:sz w:val="24"/>
          <w:szCs w:val="24"/>
        </w:rPr>
        <w:t>salicina</w:t>
      </w:r>
      <w:r>
        <w:rPr>
          <w:rFonts w:ascii="宋体" w:hAnsi="宋体" w:eastAsia="宋体" w:cs="宋体"/>
          <w:sz w:val="24"/>
          <w:szCs w:val="24"/>
        </w:rPr>
        <w:t xml:space="preserve">、矮探春 </w:t>
      </w:r>
      <w:r>
        <w:rPr>
          <w:rFonts w:ascii="Times New Roman" w:hAnsi="Times New Roman" w:eastAsia="Times New Roman" w:cs="Times New Roman"/>
          <w:i/>
          <w:iCs/>
          <w:sz w:val="24"/>
          <w:szCs w:val="24"/>
        </w:rPr>
        <w:t>Jasminum</w:t>
      </w:r>
      <w:r>
        <w:rPr>
          <w:rFonts w:ascii="Times New Roman" w:hAnsi="Times New Roman" w:eastAsia="Times New Roman" w:cs="Times New Roman"/>
          <w:i/>
          <w:iCs/>
          <w:spacing w:val="34"/>
          <w:w w:val="101"/>
          <w:sz w:val="24"/>
          <w:szCs w:val="24"/>
        </w:rPr>
        <w:t xml:space="preserve"> </w:t>
      </w:r>
      <w:r>
        <w:rPr>
          <w:rFonts w:ascii="Times New Roman" w:hAnsi="Times New Roman" w:eastAsia="Times New Roman" w:cs="Times New Roman"/>
          <w:i/>
          <w:iCs/>
          <w:sz w:val="24"/>
          <w:szCs w:val="24"/>
        </w:rPr>
        <w:t>humile</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 xml:space="preserve">、美丽马醉木 </w:t>
      </w:r>
      <w:r>
        <w:rPr>
          <w:rFonts w:ascii="Times New Roman" w:hAnsi="Times New Roman" w:eastAsia="Times New Roman" w:cs="Times New Roman"/>
          <w:i/>
          <w:iCs/>
          <w:sz w:val="24"/>
          <w:szCs w:val="24"/>
        </w:rPr>
        <w:t>Pi</w:t>
      </w:r>
      <w:r>
        <w:rPr>
          <w:rFonts w:ascii="Times New Roman" w:hAnsi="Times New Roman" w:eastAsia="Times New Roman" w:cs="Times New Roman"/>
          <w:i/>
          <w:iCs/>
          <w:spacing w:val="-1"/>
          <w:sz w:val="24"/>
          <w:szCs w:val="24"/>
        </w:rPr>
        <w:t>eris</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pacing w:val="-1"/>
          <w:sz w:val="24"/>
          <w:szCs w:val="24"/>
        </w:rPr>
        <w:t>formosa</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Don  </w:t>
      </w:r>
      <w:r>
        <w:rPr>
          <w:rFonts w:ascii="宋体" w:hAnsi="宋体" w:eastAsia="宋体" w:cs="宋体"/>
          <w:spacing w:val="-1"/>
          <w:sz w:val="24"/>
          <w:szCs w:val="24"/>
        </w:rPr>
        <w:t xml:space="preserve">金花小檗 </w:t>
      </w:r>
      <w:r>
        <w:rPr>
          <w:rFonts w:ascii="Times New Roman" w:hAnsi="Times New Roman" w:eastAsia="Times New Roman" w:cs="Times New Roman"/>
          <w:i/>
          <w:iCs/>
          <w:spacing w:val="-4"/>
          <w:sz w:val="24"/>
          <w:szCs w:val="24"/>
        </w:rPr>
        <w:t>Berberis wilsoniae</w:t>
      </w:r>
      <w:r>
        <w:rPr>
          <w:rFonts w:ascii="宋体" w:hAnsi="宋体" w:eastAsia="宋体" w:cs="宋体"/>
          <w:spacing w:val="-4"/>
          <w:sz w:val="24"/>
          <w:szCs w:val="24"/>
        </w:rPr>
        <w:t>、滇姜花</w:t>
      </w:r>
      <w:r>
        <w:rPr>
          <w:rFonts w:ascii="宋体" w:hAnsi="宋体" w:eastAsia="宋体" w:cs="宋体"/>
          <w:spacing w:val="-56"/>
          <w:sz w:val="24"/>
          <w:szCs w:val="24"/>
        </w:rPr>
        <w:t xml:space="preserve"> </w:t>
      </w:r>
      <w:r>
        <w:rPr>
          <w:rFonts w:ascii="Times New Roman" w:hAnsi="Times New Roman" w:eastAsia="Times New Roman" w:cs="Times New Roman"/>
          <w:i/>
          <w:iCs/>
          <w:spacing w:val="-4"/>
          <w:sz w:val="24"/>
          <w:szCs w:val="24"/>
        </w:rPr>
        <w:t>Hedychium</w:t>
      </w:r>
      <w:r>
        <w:rPr>
          <w:rFonts w:ascii="Times New Roman" w:hAnsi="Times New Roman" w:eastAsia="Times New Roman" w:cs="Times New Roman"/>
          <w:i/>
          <w:iCs/>
          <w:spacing w:val="-19"/>
          <w:sz w:val="24"/>
          <w:szCs w:val="24"/>
        </w:rPr>
        <w:t xml:space="preserve"> </w:t>
      </w:r>
      <w:r>
        <w:rPr>
          <w:rFonts w:ascii="Times New Roman" w:hAnsi="Times New Roman" w:eastAsia="Times New Roman" w:cs="Times New Roman"/>
          <w:i/>
          <w:iCs/>
          <w:spacing w:val="-4"/>
          <w:sz w:val="24"/>
          <w:szCs w:val="24"/>
        </w:rPr>
        <w:t>yunnanense</w:t>
      </w:r>
      <w:r>
        <w:rPr>
          <w:rFonts w:ascii="宋体" w:hAnsi="宋体" w:eastAsia="宋体" w:cs="宋体"/>
          <w:spacing w:val="-4"/>
          <w:sz w:val="24"/>
          <w:szCs w:val="24"/>
        </w:rPr>
        <w:t>、短葶飞蓬</w:t>
      </w:r>
      <w:r>
        <w:rPr>
          <w:rFonts w:ascii="宋体" w:hAnsi="宋体" w:eastAsia="宋体" w:cs="宋体"/>
          <w:spacing w:val="-67"/>
          <w:sz w:val="24"/>
          <w:szCs w:val="24"/>
        </w:rPr>
        <w:t xml:space="preserve"> </w:t>
      </w:r>
      <w:r>
        <w:rPr>
          <w:rFonts w:ascii="Times New Roman" w:hAnsi="Times New Roman" w:eastAsia="Times New Roman" w:cs="Times New Roman"/>
          <w:i/>
          <w:iCs/>
          <w:spacing w:val="-4"/>
          <w:sz w:val="24"/>
          <w:szCs w:val="24"/>
        </w:rPr>
        <w:t>Erigeron breviscapus</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10"/>
          <w:sz w:val="24"/>
          <w:szCs w:val="24"/>
        </w:rPr>
        <w:t xml:space="preserve">天竺葵 </w:t>
      </w:r>
      <w:r>
        <w:rPr>
          <w:rFonts w:ascii="Times New Roman" w:hAnsi="Times New Roman" w:eastAsia="Times New Roman" w:cs="Times New Roman"/>
          <w:i/>
          <w:iCs/>
          <w:sz w:val="24"/>
          <w:szCs w:val="24"/>
        </w:rPr>
        <w:t>Pelargonium</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hortorum</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 xml:space="preserve">、密蒙花 </w:t>
      </w:r>
      <w:r>
        <w:rPr>
          <w:rFonts w:ascii="Times New Roman" w:hAnsi="Times New Roman" w:eastAsia="Times New Roman" w:cs="Times New Roman"/>
          <w:i/>
          <w:iCs/>
          <w:sz w:val="24"/>
          <w:szCs w:val="24"/>
        </w:rPr>
        <w:t>Buddleja</w:t>
      </w:r>
      <w:r>
        <w:rPr>
          <w:rFonts w:ascii="Times New Roman" w:hAnsi="Times New Roman" w:eastAsia="Times New Roman" w:cs="Times New Roman"/>
          <w:i/>
          <w:iCs/>
          <w:spacing w:val="10"/>
          <w:sz w:val="24"/>
          <w:szCs w:val="24"/>
        </w:rPr>
        <w:t xml:space="preserve">  </w:t>
      </w:r>
      <w:r>
        <w:rPr>
          <w:rFonts w:ascii="Times New Roman" w:hAnsi="Times New Roman" w:eastAsia="Times New Roman" w:cs="Times New Roman"/>
          <w:i/>
          <w:iCs/>
          <w:sz w:val="24"/>
          <w:szCs w:val="24"/>
        </w:rPr>
        <w:t>officinalis</w:t>
      </w:r>
      <w:r>
        <w:rPr>
          <w:rFonts w:ascii="Times New Roman" w:hAnsi="Times New Roman" w:eastAsia="Times New Roman" w:cs="Times New Roman"/>
          <w:i/>
          <w:iCs/>
          <w:spacing w:val="10"/>
          <w:sz w:val="24"/>
          <w:szCs w:val="24"/>
        </w:rPr>
        <w:t xml:space="preserve"> </w:t>
      </w:r>
      <w:r>
        <w:rPr>
          <w:rFonts w:ascii="宋体" w:hAnsi="宋体" w:eastAsia="宋体" w:cs="宋体"/>
          <w:spacing w:val="10"/>
          <w:sz w:val="24"/>
          <w:szCs w:val="24"/>
        </w:rPr>
        <w:t xml:space="preserve">、三脉紫菀 </w:t>
      </w:r>
      <w:r>
        <w:rPr>
          <w:rFonts w:ascii="Times New Roman" w:hAnsi="Times New Roman" w:eastAsia="Times New Roman" w:cs="Times New Roman"/>
          <w:i/>
          <w:iCs/>
          <w:sz w:val="24"/>
          <w:szCs w:val="24"/>
        </w:rPr>
        <w:t>Aster</w:t>
      </w:r>
      <w:r>
        <w:rPr>
          <w:rFonts w:ascii="Times New Roman" w:hAnsi="Times New Roman" w:eastAsia="Times New Roman" w:cs="Times New Roman"/>
          <w:i/>
          <w:iCs/>
          <w:spacing w:val="5"/>
          <w:sz w:val="24"/>
          <w:szCs w:val="24"/>
        </w:rPr>
        <w:t xml:space="preserve">  </w:t>
      </w:r>
      <w:r>
        <w:rPr>
          <w:rFonts w:ascii="Times New Roman" w:hAnsi="Times New Roman" w:eastAsia="Times New Roman" w:cs="Times New Roman"/>
          <w:i/>
          <w:iCs/>
          <w:spacing w:val="-4"/>
          <w:sz w:val="24"/>
          <w:szCs w:val="24"/>
        </w:rPr>
        <w:t>ageratoides</w:t>
      </w:r>
      <w:r>
        <w:rPr>
          <w:rFonts w:ascii="宋体" w:hAnsi="宋体" w:eastAsia="宋体" w:cs="宋体"/>
          <w:spacing w:val="-4"/>
          <w:sz w:val="24"/>
          <w:szCs w:val="24"/>
        </w:rPr>
        <w:t>、白背枫</w:t>
      </w:r>
      <w:r>
        <w:rPr>
          <w:rFonts w:ascii="宋体" w:hAnsi="宋体" w:eastAsia="宋体" w:cs="宋体"/>
          <w:spacing w:val="-66"/>
          <w:sz w:val="24"/>
          <w:szCs w:val="24"/>
        </w:rPr>
        <w:t xml:space="preserve"> </w:t>
      </w:r>
      <w:r>
        <w:rPr>
          <w:rFonts w:ascii="Times New Roman" w:hAnsi="Times New Roman" w:eastAsia="Times New Roman" w:cs="Times New Roman"/>
          <w:i/>
          <w:iCs/>
          <w:spacing w:val="-4"/>
          <w:sz w:val="24"/>
          <w:szCs w:val="24"/>
        </w:rPr>
        <w:t>Buddleja asiatica</w:t>
      </w:r>
      <w:r>
        <w:rPr>
          <w:rFonts w:ascii="宋体" w:hAnsi="宋体" w:eastAsia="宋体" w:cs="宋体"/>
          <w:spacing w:val="-4"/>
          <w:sz w:val="24"/>
          <w:szCs w:val="24"/>
        </w:rPr>
        <w:t>、三脉紫菀</w:t>
      </w:r>
      <w:r>
        <w:rPr>
          <w:rFonts w:ascii="宋体" w:hAnsi="宋体" w:eastAsia="宋体" w:cs="宋体"/>
          <w:spacing w:val="-71"/>
          <w:sz w:val="24"/>
          <w:szCs w:val="24"/>
        </w:rPr>
        <w:t xml:space="preserve"> </w:t>
      </w:r>
      <w:r>
        <w:rPr>
          <w:rFonts w:ascii="Times New Roman" w:hAnsi="Times New Roman" w:eastAsia="Times New Roman" w:cs="Times New Roman"/>
          <w:i/>
          <w:iCs/>
          <w:spacing w:val="-4"/>
          <w:sz w:val="24"/>
          <w:szCs w:val="24"/>
        </w:rPr>
        <w:t>Aster</w:t>
      </w:r>
      <w:r>
        <w:rPr>
          <w:rFonts w:ascii="Times New Roman" w:hAnsi="Times New Roman" w:eastAsia="Times New Roman" w:cs="Times New Roman"/>
          <w:i/>
          <w:iCs/>
          <w:spacing w:val="-12"/>
          <w:sz w:val="24"/>
          <w:szCs w:val="24"/>
        </w:rPr>
        <w:t xml:space="preserve"> </w:t>
      </w:r>
      <w:r>
        <w:rPr>
          <w:rFonts w:ascii="Times New Roman" w:hAnsi="Times New Roman" w:eastAsia="Times New Roman" w:cs="Times New Roman"/>
          <w:i/>
          <w:iCs/>
          <w:spacing w:val="-4"/>
          <w:sz w:val="24"/>
          <w:szCs w:val="24"/>
        </w:rPr>
        <w:t>ageratoi</w:t>
      </w:r>
      <w:r>
        <w:rPr>
          <w:rFonts w:ascii="Times New Roman" w:hAnsi="Times New Roman" w:eastAsia="Times New Roman" w:cs="Times New Roman"/>
          <w:i/>
          <w:iCs/>
          <w:spacing w:val="-5"/>
          <w:sz w:val="24"/>
          <w:szCs w:val="24"/>
        </w:rPr>
        <w:t>des</w:t>
      </w:r>
      <w:r>
        <w:rPr>
          <w:rFonts w:ascii="宋体" w:hAnsi="宋体" w:eastAsia="宋体" w:cs="宋体"/>
          <w:spacing w:val="-5"/>
          <w:sz w:val="24"/>
          <w:szCs w:val="24"/>
        </w:rPr>
        <w:t>、牛口刺</w:t>
      </w:r>
      <w:r>
        <w:rPr>
          <w:rFonts w:ascii="宋体" w:hAnsi="宋体" w:eastAsia="宋体" w:cs="宋体"/>
          <w:spacing w:val="-44"/>
          <w:sz w:val="24"/>
          <w:szCs w:val="24"/>
        </w:rPr>
        <w:t xml:space="preserve"> </w:t>
      </w:r>
      <w:r>
        <w:rPr>
          <w:rFonts w:ascii="Times New Roman" w:hAnsi="Times New Roman" w:eastAsia="Times New Roman" w:cs="Times New Roman"/>
          <w:i/>
          <w:iCs/>
          <w:spacing w:val="-5"/>
          <w:sz w:val="24"/>
          <w:szCs w:val="24"/>
        </w:rPr>
        <w:t>Cirsium</w:t>
      </w:r>
    </w:p>
    <w:p>
      <w:pPr>
        <w:spacing w:line="212" w:lineRule="auto"/>
        <w:jc w:val="right"/>
        <w:rPr>
          <w:rFonts w:ascii="宋体" w:hAnsi="宋体" w:eastAsia="宋体" w:cs="宋体"/>
          <w:sz w:val="24"/>
          <w:szCs w:val="24"/>
        </w:rPr>
      </w:pPr>
      <w:r>
        <w:rPr>
          <w:rFonts w:ascii="Times New Roman" w:hAnsi="Times New Roman" w:eastAsia="Times New Roman" w:cs="Times New Roman"/>
          <w:i/>
          <w:iCs/>
          <w:spacing w:val="-3"/>
          <w:sz w:val="24"/>
          <w:szCs w:val="24"/>
        </w:rPr>
        <w:t>shansiense</w:t>
      </w:r>
      <w:r>
        <w:rPr>
          <w:rFonts w:ascii="宋体" w:hAnsi="宋体" w:eastAsia="宋体" w:cs="宋体"/>
          <w:spacing w:val="-3"/>
          <w:sz w:val="24"/>
          <w:szCs w:val="24"/>
        </w:rPr>
        <w:t>、流苏贝母兰</w:t>
      </w:r>
      <w:r>
        <w:rPr>
          <w:rFonts w:ascii="宋体" w:hAnsi="宋体" w:eastAsia="宋体" w:cs="宋体"/>
          <w:spacing w:val="-44"/>
          <w:sz w:val="24"/>
          <w:szCs w:val="24"/>
        </w:rPr>
        <w:t xml:space="preserve"> </w:t>
      </w:r>
      <w:r>
        <w:rPr>
          <w:rFonts w:ascii="Times New Roman" w:hAnsi="Times New Roman" w:eastAsia="Times New Roman" w:cs="Times New Roman"/>
          <w:i/>
          <w:iCs/>
          <w:spacing w:val="-3"/>
          <w:sz w:val="24"/>
          <w:szCs w:val="24"/>
        </w:rPr>
        <w:t>Coelogy</w:t>
      </w:r>
      <w:r>
        <w:rPr>
          <w:rFonts w:ascii="Times New Roman" w:hAnsi="Times New Roman" w:eastAsia="Times New Roman" w:cs="Times New Roman"/>
          <w:i/>
          <w:iCs/>
          <w:spacing w:val="-4"/>
          <w:sz w:val="24"/>
          <w:szCs w:val="24"/>
        </w:rPr>
        <w:t>nefimbriata</w:t>
      </w:r>
      <w:r>
        <w:rPr>
          <w:rFonts w:ascii="宋体" w:hAnsi="宋体" w:eastAsia="宋体" w:cs="宋体"/>
          <w:spacing w:val="-4"/>
          <w:sz w:val="24"/>
          <w:szCs w:val="24"/>
        </w:rPr>
        <w:t>、珠光香青</w:t>
      </w:r>
      <w:r>
        <w:rPr>
          <w:rFonts w:ascii="宋体" w:hAnsi="宋体" w:eastAsia="宋体" w:cs="宋体"/>
          <w:spacing w:val="-71"/>
          <w:sz w:val="24"/>
          <w:szCs w:val="24"/>
        </w:rPr>
        <w:t xml:space="preserve"> </w:t>
      </w:r>
      <w:r>
        <w:rPr>
          <w:rFonts w:ascii="Times New Roman" w:hAnsi="Times New Roman" w:eastAsia="Times New Roman" w:cs="Times New Roman"/>
          <w:i/>
          <w:iCs/>
          <w:spacing w:val="-4"/>
          <w:sz w:val="24"/>
          <w:szCs w:val="24"/>
        </w:rPr>
        <w:t xml:space="preserve">Anaphalis margaritacea </w:t>
      </w:r>
      <w:r>
        <w:rPr>
          <w:rFonts w:ascii="宋体" w:hAnsi="宋体" w:eastAsia="宋体" w:cs="宋体"/>
          <w:spacing w:val="-4"/>
          <w:sz w:val="24"/>
          <w:szCs w:val="24"/>
        </w:rPr>
        <w:t>等；</w:t>
      </w:r>
    </w:p>
    <w:p>
      <w:pPr>
        <w:spacing w:before="193" w:line="360" w:lineRule="auto"/>
        <w:ind w:left="23" w:right="83" w:firstLine="492"/>
        <w:rPr>
          <w:rFonts w:ascii="宋体" w:hAnsi="宋体" w:eastAsia="宋体" w:cs="宋体"/>
          <w:sz w:val="24"/>
          <w:szCs w:val="24"/>
        </w:rPr>
      </w:pPr>
      <w:r>
        <w:rPr>
          <w:rFonts w:ascii="Times New Roman" w:hAnsi="Times New Roman" w:eastAsia="Times New Roman" w:cs="Times New Roman"/>
          <w:sz w:val="24"/>
          <w:szCs w:val="24"/>
        </w:rPr>
        <w:t>IV</w:t>
      </w:r>
      <w:r>
        <w:rPr>
          <w:rFonts w:ascii="Times New Roman" w:hAnsi="Times New Roman" w:eastAsia="Times New Roman" w:cs="Times New Roman"/>
          <w:spacing w:val="1"/>
          <w:sz w:val="24"/>
          <w:szCs w:val="24"/>
        </w:rPr>
        <w:t>.</w:t>
      </w:r>
      <w:r>
        <w:rPr>
          <w:rFonts w:ascii="宋体" w:hAnsi="宋体" w:eastAsia="宋体" w:cs="宋体"/>
          <w:spacing w:val="1"/>
          <w:sz w:val="24"/>
          <w:szCs w:val="24"/>
        </w:rPr>
        <w:t xml:space="preserve">绿化植物：青榨槭 </w:t>
      </w:r>
      <w:r>
        <w:rPr>
          <w:rFonts w:ascii="Times New Roman" w:hAnsi="Times New Roman" w:eastAsia="Times New Roman" w:cs="Times New Roman"/>
          <w:i/>
          <w:iCs/>
          <w:sz w:val="24"/>
          <w:szCs w:val="24"/>
        </w:rPr>
        <w:t>Acer</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davidii</w:t>
      </w:r>
      <w:r>
        <w:rPr>
          <w:rFonts w:ascii="Times New Roman" w:hAnsi="Times New Roman" w:eastAsia="Times New Roman" w:cs="Times New Roman"/>
          <w:i/>
          <w:iCs/>
          <w:spacing w:val="-27"/>
          <w:sz w:val="24"/>
          <w:szCs w:val="24"/>
        </w:rPr>
        <w:t xml:space="preserve"> </w:t>
      </w:r>
      <w:r>
        <w:rPr>
          <w:rFonts w:ascii="宋体" w:hAnsi="宋体" w:eastAsia="宋体" w:cs="宋体"/>
          <w:spacing w:val="1"/>
          <w:sz w:val="24"/>
          <w:szCs w:val="24"/>
        </w:rPr>
        <w:t xml:space="preserve">、鸡爪槭 </w:t>
      </w:r>
      <w:r>
        <w:rPr>
          <w:rFonts w:ascii="Times New Roman" w:hAnsi="Times New Roman" w:eastAsia="Times New Roman" w:cs="Times New Roman"/>
          <w:i/>
          <w:iCs/>
          <w:sz w:val="24"/>
          <w:szCs w:val="24"/>
        </w:rPr>
        <w:t>Acer</w:t>
      </w:r>
      <w:r>
        <w:rPr>
          <w:rFonts w:ascii="Times New Roman" w:hAnsi="Times New Roman" w:eastAsia="Times New Roman" w:cs="Times New Roman"/>
          <w:i/>
          <w:iCs/>
          <w:spacing w:val="-29"/>
          <w:sz w:val="24"/>
          <w:szCs w:val="24"/>
        </w:rPr>
        <w:t xml:space="preserve"> </w:t>
      </w:r>
      <w:r>
        <w:rPr>
          <w:rFonts w:ascii="Times New Roman" w:hAnsi="Times New Roman" w:eastAsia="Times New Roman" w:cs="Times New Roman"/>
          <w:i/>
          <w:iCs/>
          <w:sz w:val="24"/>
          <w:szCs w:val="24"/>
        </w:rPr>
        <w:t>palmatum</w:t>
      </w:r>
      <w:r>
        <w:rPr>
          <w:rFonts w:ascii="Times New Roman" w:hAnsi="Times New Roman" w:eastAsia="Times New Roman" w:cs="Times New Roman"/>
          <w:i/>
          <w:iCs/>
          <w:spacing w:val="-31"/>
          <w:sz w:val="24"/>
          <w:szCs w:val="24"/>
        </w:rPr>
        <w:t xml:space="preserve"> </w:t>
      </w:r>
      <w:r>
        <w:rPr>
          <w:rFonts w:ascii="宋体" w:hAnsi="宋体" w:eastAsia="宋体" w:cs="宋体"/>
          <w:spacing w:val="1"/>
          <w:sz w:val="24"/>
          <w:szCs w:val="24"/>
        </w:rPr>
        <w:t xml:space="preserve">、马桑 </w:t>
      </w:r>
      <w:r>
        <w:rPr>
          <w:rFonts w:ascii="Times New Roman" w:hAnsi="Times New Roman" w:eastAsia="Times New Roman" w:cs="Times New Roman"/>
          <w:i/>
          <w:iCs/>
          <w:sz w:val="24"/>
          <w:szCs w:val="24"/>
        </w:rPr>
        <w:t xml:space="preserve">Coriaria </w:t>
      </w:r>
      <w:r>
        <w:rPr>
          <w:rFonts w:ascii="Times New Roman" w:hAnsi="Times New Roman" w:eastAsia="Times New Roman" w:cs="Times New Roman"/>
          <w:i/>
          <w:iCs/>
          <w:spacing w:val="-1"/>
          <w:sz w:val="24"/>
          <w:szCs w:val="24"/>
        </w:rPr>
        <w:t>nepalensis</w:t>
      </w:r>
      <w:r>
        <w:rPr>
          <w:rFonts w:ascii="Times New Roman" w:hAnsi="Times New Roman" w:eastAsia="Times New Roman" w:cs="Times New Roman"/>
          <w:i/>
          <w:iCs/>
          <w:spacing w:val="-19"/>
          <w:sz w:val="24"/>
          <w:szCs w:val="24"/>
        </w:rPr>
        <w:t xml:space="preserve"> </w:t>
      </w:r>
      <w:r>
        <w:rPr>
          <w:rFonts w:ascii="宋体" w:hAnsi="宋体" w:eastAsia="宋体" w:cs="宋体"/>
          <w:spacing w:val="-1"/>
          <w:sz w:val="24"/>
          <w:szCs w:val="24"/>
        </w:rPr>
        <w:t>、尼泊尔桤木</w:t>
      </w:r>
      <w:r>
        <w:rPr>
          <w:rFonts w:ascii="宋体" w:hAnsi="宋体" w:eastAsia="宋体" w:cs="宋体"/>
          <w:spacing w:val="-72"/>
          <w:sz w:val="24"/>
          <w:szCs w:val="24"/>
        </w:rPr>
        <w:t xml:space="preserve"> </w:t>
      </w:r>
      <w:r>
        <w:rPr>
          <w:rFonts w:ascii="Times New Roman" w:hAnsi="Times New Roman" w:eastAsia="Times New Roman" w:cs="Times New Roman"/>
          <w:i/>
          <w:iCs/>
          <w:spacing w:val="-1"/>
          <w:sz w:val="24"/>
          <w:szCs w:val="24"/>
        </w:rPr>
        <w:t>Alnus nepalensis</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、络石</w:t>
      </w:r>
      <w:r>
        <w:rPr>
          <w:rFonts w:ascii="宋体" w:hAnsi="宋体" w:eastAsia="宋体" w:cs="宋体"/>
          <w:spacing w:val="-43"/>
          <w:sz w:val="24"/>
          <w:szCs w:val="24"/>
        </w:rPr>
        <w:t xml:space="preserve"> </w:t>
      </w:r>
      <w:r>
        <w:rPr>
          <w:rFonts w:ascii="Times New Roman" w:hAnsi="Times New Roman" w:eastAsia="Times New Roman" w:cs="Times New Roman"/>
          <w:i/>
          <w:iCs/>
          <w:spacing w:val="-1"/>
          <w:sz w:val="24"/>
          <w:szCs w:val="24"/>
        </w:rPr>
        <w:t>Trachelospermum</w:t>
      </w:r>
      <w:r>
        <w:rPr>
          <w:rFonts w:ascii="Times New Roman" w:hAnsi="Times New Roman" w:eastAsia="Times New Roman" w:cs="Times New Roman"/>
          <w:i/>
          <w:iCs/>
          <w:spacing w:val="-57"/>
          <w:sz w:val="24"/>
          <w:szCs w:val="24"/>
        </w:rPr>
        <w:t xml:space="preserve"> </w:t>
      </w:r>
      <w:r>
        <w:rPr>
          <w:rFonts w:ascii="Times New Roman" w:hAnsi="Times New Roman" w:eastAsia="Times New Roman" w:cs="Times New Roman"/>
          <w:i/>
          <w:iCs/>
          <w:spacing w:val="-1"/>
          <w:sz w:val="24"/>
          <w:szCs w:val="24"/>
        </w:rPr>
        <w:t>jasminoides</w:t>
      </w:r>
      <w:r>
        <w:rPr>
          <w:rFonts w:ascii="宋体" w:hAnsi="宋体" w:eastAsia="宋体" w:cs="宋体"/>
          <w:spacing w:val="-1"/>
          <w:sz w:val="24"/>
          <w:szCs w:val="24"/>
        </w:rPr>
        <w:t>、水</w:t>
      </w:r>
      <w:r>
        <w:rPr>
          <w:rFonts w:ascii="宋体" w:hAnsi="宋体" w:eastAsia="宋体" w:cs="宋体"/>
          <w:sz w:val="24"/>
          <w:szCs w:val="24"/>
        </w:rPr>
        <w:t xml:space="preserve"> </w:t>
      </w:r>
      <w:r>
        <w:rPr>
          <w:rFonts w:ascii="宋体" w:hAnsi="宋体" w:eastAsia="宋体" w:cs="宋体"/>
          <w:spacing w:val="-5"/>
          <w:sz w:val="24"/>
          <w:szCs w:val="24"/>
        </w:rPr>
        <w:t>红木</w:t>
      </w:r>
      <w:r>
        <w:rPr>
          <w:rFonts w:ascii="宋体" w:hAnsi="宋体" w:eastAsia="宋体" w:cs="宋体"/>
          <w:spacing w:val="-41"/>
          <w:sz w:val="24"/>
          <w:szCs w:val="24"/>
        </w:rPr>
        <w:t xml:space="preserve"> </w:t>
      </w:r>
      <w:r>
        <w:rPr>
          <w:rFonts w:ascii="Times New Roman" w:hAnsi="Times New Roman" w:eastAsia="Times New Roman" w:cs="Times New Roman"/>
          <w:i/>
          <w:iCs/>
          <w:spacing w:val="-5"/>
          <w:sz w:val="24"/>
          <w:szCs w:val="24"/>
        </w:rPr>
        <w:t>Viburnum cylindricum</w:t>
      </w:r>
      <w:r>
        <w:rPr>
          <w:rFonts w:ascii="宋体" w:hAnsi="宋体" w:eastAsia="宋体" w:cs="宋体"/>
          <w:spacing w:val="-5"/>
          <w:sz w:val="24"/>
          <w:szCs w:val="24"/>
        </w:rPr>
        <w:t>、杉木</w:t>
      </w:r>
      <w:r>
        <w:rPr>
          <w:rFonts w:ascii="宋体" w:hAnsi="宋体" w:eastAsia="宋体" w:cs="宋体"/>
          <w:spacing w:val="-56"/>
          <w:sz w:val="24"/>
          <w:szCs w:val="24"/>
        </w:rPr>
        <w:t xml:space="preserve"> </w:t>
      </w:r>
      <w:r>
        <w:rPr>
          <w:rFonts w:ascii="Times New Roman" w:hAnsi="Times New Roman" w:eastAsia="Times New Roman" w:cs="Times New Roman"/>
          <w:i/>
          <w:iCs/>
          <w:spacing w:val="-5"/>
          <w:sz w:val="24"/>
          <w:szCs w:val="24"/>
        </w:rPr>
        <w:t>Cunninghamia lanceolata</w:t>
      </w:r>
      <w:r>
        <w:rPr>
          <w:rFonts w:ascii="宋体" w:hAnsi="宋体" w:eastAsia="宋体" w:cs="宋体"/>
          <w:spacing w:val="-5"/>
          <w:sz w:val="24"/>
          <w:szCs w:val="24"/>
        </w:rPr>
        <w:t>、垂柳</w:t>
      </w:r>
      <w:r>
        <w:rPr>
          <w:rFonts w:ascii="宋体" w:hAnsi="宋体" w:eastAsia="宋体" w:cs="宋体"/>
          <w:spacing w:val="-69"/>
          <w:sz w:val="24"/>
          <w:szCs w:val="24"/>
        </w:rPr>
        <w:t xml:space="preserve"> </w:t>
      </w:r>
      <w:r>
        <w:rPr>
          <w:rFonts w:ascii="Times New Roman" w:hAnsi="Times New Roman" w:eastAsia="Times New Roman" w:cs="Times New Roman"/>
          <w:i/>
          <w:iCs/>
          <w:spacing w:val="-5"/>
          <w:sz w:val="24"/>
          <w:szCs w:val="24"/>
        </w:rPr>
        <w:t>Salix babylonica</w:t>
      </w:r>
      <w:r>
        <w:rPr>
          <w:rFonts w:ascii="Times New Roman" w:hAnsi="Times New Roman" w:eastAsia="Times New Roman" w:cs="Times New Roman"/>
          <w:i/>
          <w:iCs/>
          <w:spacing w:val="-34"/>
          <w:sz w:val="24"/>
          <w:szCs w:val="24"/>
        </w:rPr>
        <w:t xml:space="preserve"> </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1"/>
          <w:sz w:val="24"/>
          <w:szCs w:val="24"/>
        </w:rPr>
        <w:t>元江锥</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 xml:space="preserve">Castanopsis  orthacantha </w:t>
      </w:r>
      <w:r>
        <w:rPr>
          <w:rFonts w:ascii="宋体" w:hAnsi="宋体" w:eastAsia="宋体" w:cs="宋体"/>
          <w:spacing w:val="-1"/>
          <w:sz w:val="24"/>
          <w:szCs w:val="24"/>
        </w:rPr>
        <w:t>、</w:t>
      </w:r>
      <w:r>
        <w:rPr>
          <w:rFonts w:ascii="宋体" w:hAnsi="宋体" w:eastAsia="宋体" w:cs="宋体"/>
          <w:spacing w:val="-60"/>
          <w:sz w:val="24"/>
          <w:szCs w:val="24"/>
        </w:rPr>
        <w:t xml:space="preserve"> </w:t>
      </w:r>
      <w:r>
        <w:rPr>
          <w:rFonts w:ascii="宋体" w:hAnsi="宋体" w:eastAsia="宋体" w:cs="宋体"/>
          <w:spacing w:val="-1"/>
          <w:sz w:val="24"/>
          <w:szCs w:val="24"/>
        </w:rPr>
        <w:t>云</w:t>
      </w:r>
      <w:r>
        <w:rPr>
          <w:rFonts w:ascii="宋体" w:hAnsi="宋体" w:eastAsia="宋体" w:cs="宋体"/>
          <w:spacing w:val="-65"/>
          <w:sz w:val="24"/>
          <w:szCs w:val="24"/>
        </w:rPr>
        <w:t xml:space="preserve"> </w:t>
      </w:r>
      <w:r>
        <w:rPr>
          <w:rFonts w:ascii="宋体" w:hAnsi="宋体" w:eastAsia="宋体" w:cs="宋体"/>
          <w:spacing w:val="-1"/>
          <w:sz w:val="24"/>
          <w:szCs w:val="24"/>
        </w:rPr>
        <w:t>南</w:t>
      </w:r>
      <w:r>
        <w:rPr>
          <w:rFonts w:ascii="宋体" w:hAnsi="宋体" w:eastAsia="宋体" w:cs="宋体"/>
          <w:spacing w:val="-67"/>
          <w:sz w:val="24"/>
          <w:szCs w:val="24"/>
        </w:rPr>
        <w:t xml:space="preserve"> </w:t>
      </w:r>
      <w:r>
        <w:rPr>
          <w:rFonts w:ascii="宋体" w:hAnsi="宋体" w:eastAsia="宋体" w:cs="宋体"/>
          <w:spacing w:val="-1"/>
          <w:sz w:val="24"/>
          <w:szCs w:val="24"/>
        </w:rPr>
        <w:t>松</w:t>
      </w:r>
      <w:r>
        <w:rPr>
          <w:rFonts w:ascii="宋体" w:hAnsi="宋体" w:eastAsia="宋体" w:cs="宋体"/>
          <w:spacing w:val="35"/>
          <w:sz w:val="24"/>
          <w:szCs w:val="24"/>
        </w:rPr>
        <w:t xml:space="preserve"> </w:t>
      </w:r>
      <w:r>
        <w:rPr>
          <w:rFonts w:ascii="Times New Roman" w:hAnsi="Times New Roman" w:eastAsia="Times New Roman" w:cs="Times New Roman"/>
          <w:i/>
          <w:iCs/>
          <w:spacing w:val="-1"/>
          <w:sz w:val="24"/>
          <w:szCs w:val="24"/>
        </w:rPr>
        <w:t xml:space="preserve">Pinus  yunnanensis </w:t>
      </w:r>
      <w:r>
        <w:rPr>
          <w:rFonts w:ascii="宋体" w:hAnsi="宋体" w:eastAsia="宋体" w:cs="宋体"/>
          <w:spacing w:val="-1"/>
          <w:sz w:val="24"/>
          <w:szCs w:val="24"/>
        </w:rPr>
        <w:t>、</w:t>
      </w:r>
      <w:r>
        <w:rPr>
          <w:rFonts w:ascii="宋体" w:hAnsi="宋体" w:eastAsia="宋体" w:cs="宋体"/>
          <w:spacing w:val="-59"/>
          <w:sz w:val="24"/>
          <w:szCs w:val="24"/>
        </w:rPr>
        <w:t xml:space="preserve"> </w:t>
      </w:r>
      <w:r>
        <w:rPr>
          <w:rFonts w:ascii="宋体" w:hAnsi="宋体" w:eastAsia="宋体" w:cs="宋体"/>
          <w:spacing w:val="-1"/>
          <w:sz w:val="24"/>
          <w:szCs w:val="24"/>
        </w:rPr>
        <w:t>云</w:t>
      </w:r>
      <w:r>
        <w:rPr>
          <w:rFonts w:ascii="宋体" w:hAnsi="宋体" w:eastAsia="宋体" w:cs="宋体"/>
          <w:spacing w:val="-65"/>
          <w:sz w:val="24"/>
          <w:szCs w:val="24"/>
        </w:rPr>
        <w:t xml:space="preserve"> </w:t>
      </w:r>
      <w:r>
        <w:rPr>
          <w:rFonts w:ascii="宋体" w:hAnsi="宋体" w:eastAsia="宋体" w:cs="宋体"/>
          <w:spacing w:val="-1"/>
          <w:sz w:val="24"/>
          <w:szCs w:val="24"/>
        </w:rPr>
        <w:t>南</w:t>
      </w:r>
      <w:r>
        <w:rPr>
          <w:rFonts w:ascii="宋体" w:hAnsi="宋体" w:eastAsia="宋体" w:cs="宋体"/>
          <w:spacing w:val="-45"/>
          <w:sz w:val="24"/>
          <w:szCs w:val="24"/>
        </w:rPr>
        <w:t xml:space="preserve"> </w:t>
      </w:r>
      <w:r>
        <w:rPr>
          <w:rFonts w:ascii="宋体" w:hAnsi="宋体" w:eastAsia="宋体" w:cs="宋体"/>
          <w:spacing w:val="-1"/>
          <w:sz w:val="24"/>
          <w:szCs w:val="24"/>
        </w:rPr>
        <w:t>山</w:t>
      </w:r>
      <w:r>
        <w:rPr>
          <w:rFonts w:ascii="宋体" w:hAnsi="宋体" w:eastAsia="宋体" w:cs="宋体"/>
          <w:spacing w:val="-69"/>
          <w:sz w:val="24"/>
          <w:szCs w:val="24"/>
        </w:rPr>
        <w:t xml:space="preserve"> </w:t>
      </w:r>
      <w:r>
        <w:rPr>
          <w:rFonts w:ascii="宋体" w:hAnsi="宋体" w:eastAsia="宋体" w:cs="宋体"/>
          <w:spacing w:val="-1"/>
          <w:sz w:val="24"/>
          <w:szCs w:val="24"/>
        </w:rPr>
        <w:t>梅</w:t>
      </w:r>
      <w:r>
        <w:rPr>
          <w:rFonts w:ascii="宋体" w:hAnsi="宋体" w:eastAsia="宋体" w:cs="宋体"/>
          <w:spacing w:val="-64"/>
          <w:sz w:val="24"/>
          <w:szCs w:val="24"/>
        </w:rPr>
        <w:t xml:space="preserve"> </w:t>
      </w:r>
      <w:r>
        <w:rPr>
          <w:rFonts w:ascii="宋体" w:hAnsi="宋体" w:eastAsia="宋体" w:cs="宋体"/>
          <w:spacing w:val="-1"/>
          <w:sz w:val="24"/>
          <w:szCs w:val="24"/>
        </w:rPr>
        <w:t>花</w:t>
      </w:r>
      <w:r>
        <w:rPr>
          <w:rFonts w:ascii="宋体" w:hAnsi="宋体" w:eastAsia="宋体" w:cs="宋体"/>
          <w:sz w:val="24"/>
          <w:szCs w:val="24"/>
        </w:rPr>
        <w:t xml:space="preserve"> </w:t>
      </w:r>
      <w:r>
        <w:rPr>
          <w:rFonts w:ascii="Times New Roman" w:hAnsi="Times New Roman" w:eastAsia="Times New Roman" w:cs="Times New Roman"/>
          <w:i/>
          <w:iCs/>
          <w:sz w:val="24"/>
          <w:szCs w:val="24"/>
        </w:rPr>
        <w:t>Philadelphus</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z w:val="24"/>
          <w:szCs w:val="24"/>
        </w:rPr>
        <w:t>delavayi</w:t>
      </w:r>
      <w:r>
        <w:rPr>
          <w:rFonts w:ascii="宋体" w:hAnsi="宋体" w:eastAsia="宋体" w:cs="宋体"/>
          <w:sz w:val="24"/>
          <w:szCs w:val="24"/>
        </w:rPr>
        <w:t>、西南栒子</w:t>
      </w:r>
      <w:r>
        <w:rPr>
          <w:rFonts w:ascii="宋体" w:hAnsi="宋体" w:eastAsia="宋体" w:cs="宋体"/>
          <w:spacing w:val="-33"/>
          <w:sz w:val="24"/>
          <w:szCs w:val="24"/>
        </w:rPr>
        <w:t xml:space="preserve"> </w:t>
      </w:r>
      <w:r>
        <w:rPr>
          <w:rFonts w:ascii="Times New Roman" w:hAnsi="Times New Roman" w:eastAsia="Times New Roman" w:cs="Times New Roman"/>
          <w:i/>
          <w:iCs/>
          <w:sz w:val="24"/>
          <w:szCs w:val="24"/>
        </w:rPr>
        <w:t>Cotoneaster</w:t>
      </w:r>
      <w:r>
        <w:rPr>
          <w:rFonts w:ascii="Times New Roman" w:hAnsi="Times New Roman" w:eastAsia="Times New Roman" w:cs="Times New Roman"/>
          <w:i/>
          <w:iCs/>
          <w:spacing w:val="-15"/>
          <w:sz w:val="24"/>
          <w:szCs w:val="24"/>
        </w:rPr>
        <w:t xml:space="preserve"> </w:t>
      </w:r>
      <w:r>
        <w:rPr>
          <w:rFonts w:ascii="Times New Roman" w:hAnsi="Times New Roman" w:eastAsia="Times New Roman" w:cs="Times New Roman"/>
          <w:i/>
          <w:iCs/>
          <w:sz w:val="24"/>
          <w:szCs w:val="24"/>
        </w:rPr>
        <w:t>franchetii</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 xml:space="preserve">、滇青冈 </w:t>
      </w:r>
      <w:r>
        <w:rPr>
          <w:rFonts w:ascii="Times New Roman" w:hAnsi="Times New Roman" w:eastAsia="Times New Roman" w:cs="Times New Roman"/>
          <w:i/>
          <w:iCs/>
          <w:sz w:val="24"/>
          <w:szCs w:val="24"/>
        </w:rPr>
        <w:t>Cyclobala</w:t>
      </w:r>
      <w:r>
        <w:rPr>
          <w:rFonts w:ascii="Times New Roman" w:hAnsi="Times New Roman" w:eastAsia="Times New Roman" w:cs="Times New Roman"/>
          <w:i/>
          <w:iCs/>
          <w:spacing w:val="-1"/>
          <w:sz w:val="24"/>
          <w:szCs w:val="24"/>
        </w:rPr>
        <w:t>nopsis</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1"/>
          <w:sz w:val="24"/>
          <w:szCs w:val="24"/>
        </w:rPr>
        <w:t>glaucoides</w:t>
      </w:r>
      <w:r>
        <w:rPr>
          <w:rFonts w:ascii="Times New Roman" w:hAnsi="Times New Roman" w:eastAsia="Times New Roman" w:cs="Times New Roman"/>
          <w:i/>
          <w:iCs/>
          <w:spacing w:val="-20"/>
          <w:sz w:val="24"/>
          <w:szCs w:val="24"/>
        </w:rPr>
        <w:t xml:space="preserve"> </w:t>
      </w:r>
      <w:r>
        <w:rPr>
          <w:rFonts w:ascii="宋体" w:hAnsi="宋体" w:eastAsia="宋体" w:cs="宋体"/>
          <w:spacing w:val="-1"/>
          <w:sz w:val="24"/>
          <w:szCs w:val="24"/>
        </w:rPr>
        <w:t>、</w:t>
      </w:r>
      <w:r>
        <w:rPr>
          <w:rFonts w:ascii="宋体" w:hAnsi="宋体" w:eastAsia="宋体" w:cs="宋体"/>
          <w:spacing w:val="-69"/>
          <w:sz w:val="24"/>
          <w:szCs w:val="24"/>
        </w:rPr>
        <w:t xml:space="preserve"> </w:t>
      </w:r>
      <w:r>
        <w:rPr>
          <w:rFonts w:ascii="宋体" w:hAnsi="宋体" w:eastAsia="宋体" w:cs="宋体"/>
          <w:spacing w:val="-1"/>
          <w:sz w:val="24"/>
          <w:szCs w:val="24"/>
        </w:rPr>
        <w:t xml:space="preserve">白柯 </w:t>
      </w:r>
      <w:r>
        <w:rPr>
          <w:rFonts w:ascii="Times New Roman" w:hAnsi="Times New Roman" w:eastAsia="Times New Roman" w:cs="Times New Roman"/>
          <w:i/>
          <w:iCs/>
          <w:spacing w:val="-1"/>
          <w:sz w:val="24"/>
          <w:szCs w:val="24"/>
        </w:rPr>
        <w:t>Lithocarpus</w:t>
      </w:r>
      <w:r>
        <w:rPr>
          <w:rFonts w:ascii="Times New Roman" w:hAnsi="Times New Roman" w:eastAsia="Times New Roman" w:cs="Times New Roman"/>
          <w:i/>
          <w:iCs/>
          <w:spacing w:val="37"/>
          <w:w w:val="101"/>
          <w:sz w:val="24"/>
          <w:szCs w:val="24"/>
        </w:rPr>
        <w:t xml:space="preserve"> </w:t>
      </w:r>
      <w:r>
        <w:rPr>
          <w:rFonts w:ascii="Times New Roman" w:hAnsi="Times New Roman" w:eastAsia="Times New Roman" w:cs="Times New Roman"/>
          <w:i/>
          <w:iCs/>
          <w:spacing w:val="-1"/>
          <w:sz w:val="24"/>
          <w:szCs w:val="24"/>
        </w:rPr>
        <w:t>dealbatus</w:t>
      </w:r>
      <w:r>
        <w:rPr>
          <w:rFonts w:ascii="Times New Roman" w:hAnsi="Times New Roman" w:eastAsia="Times New Roman" w:cs="Times New Roman"/>
          <w:i/>
          <w:iCs/>
          <w:spacing w:val="-28"/>
          <w:sz w:val="24"/>
          <w:szCs w:val="24"/>
        </w:rPr>
        <w:t xml:space="preserve"> </w:t>
      </w:r>
      <w:r>
        <w:rPr>
          <w:rFonts w:ascii="宋体" w:hAnsi="宋体" w:eastAsia="宋体" w:cs="宋体"/>
          <w:spacing w:val="-1"/>
          <w:sz w:val="24"/>
          <w:szCs w:val="24"/>
        </w:rPr>
        <w:t xml:space="preserve">、云南油杉 </w:t>
      </w:r>
      <w:r>
        <w:rPr>
          <w:rFonts w:ascii="Times New Roman" w:hAnsi="Times New Roman" w:eastAsia="Times New Roman" w:cs="Times New Roman"/>
          <w:i/>
          <w:iCs/>
          <w:spacing w:val="-1"/>
          <w:sz w:val="24"/>
          <w:szCs w:val="24"/>
        </w:rPr>
        <w:t>Keteleeria</w:t>
      </w:r>
      <w:r>
        <w:rPr>
          <w:rFonts w:ascii="Times New Roman" w:hAnsi="Times New Roman" w:eastAsia="Times New Roman" w:cs="Times New Roman"/>
          <w:i/>
          <w:iCs/>
          <w:spacing w:val="40"/>
          <w:w w:val="101"/>
          <w:sz w:val="24"/>
          <w:szCs w:val="24"/>
        </w:rPr>
        <w:t xml:space="preserve"> </w:t>
      </w:r>
      <w:r>
        <w:rPr>
          <w:rFonts w:ascii="Times New Roman" w:hAnsi="Times New Roman" w:eastAsia="Times New Roman" w:cs="Times New Roman"/>
          <w:i/>
          <w:iCs/>
          <w:spacing w:val="-1"/>
          <w:sz w:val="24"/>
          <w:szCs w:val="24"/>
        </w:rPr>
        <w:t>evelyniana</w:t>
      </w:r>
      <w:r>
        <w:rPr>
          <w:rFonts w:ascii="宋体" w:hAnsi="宋体" w:eastAsia="宋体" w:cs="宋体"/>
          <w:spacing w:val="-1"/>
          <w:sz w:val="24"/>
          <w:szCs w:val="24"/>
        </w:rPr>
        <w:t>、侧柏</w:t>
      </w:r>
    </w:p>
    <w:p>
      <w:pPr>
        <w:spacing w:line="212" w:lineRule="auto"/>
        <w:ind w:left="24"/>
        <w:rPr>
          <w:rFonts w:ascii="宋体" w:hAnsi="宋体" w:eastAsia="宋体" w:cs="宋体"/>
          <w:sz w:val="24"/>
          <w:szCs w:val="24"/>
        </w:rPr>
      </w:pPr>
      <w:r>
        <w:rPr>
          <w:rFonts w:ascii="Times New Roman" w:hAnsi="Times New Roman" w:eastAsia="Times New Roman" w:cs="Times New Roman"/>
          <w:i/>
          <w:iCs/>
          <w:spacing w:val="-4"/>
          <w:sz w:val="24"/>
          <w:szCs w:val="24"/>
        </w:rPr>
        <w:t>Platycladus orientalis</w:t>
      </w:r>
      <w:r>
        <w:rPr>
          <w:rFonts w:ascii="宋体" w:hAnsi="宋体" w:eastAsia="宋体" w:cs="宋体"/>
          <w:spacing w:val="-4"/>
          <w:sz w:val="24"/>
          <w:szCs w:val="24"/>
        </w:rPr>
        <w:t>、高山锥</w:t>
      </w:r>
      <w:r>
        <w:rPr>
          <w:rFonts w:ascii="宋体" w:hAnsi="宋体" w:eastAsia="宋体" w:cs="宋体"/>
          <w:spacing w:val="-30"/>
          <w:sz w:val="24"/>
          <w:szCs w:val="24"/>
        </w:rPr>
        <w:t xml:space="preserve"> </w:t>
      </w:r>
      <w:r>
        <w:rPr>
          <w:rFonts w:ascii="Times New Roman" w:hAnsi="Times New Roman" w:eastAsia="Times New Roman" w:cs="Times New Roman"/>
          <w:i/>
          <w:iCs/>
          <w:spacing w:val="-4"/>
          <w:sz w:val="24"/>
          <w:szCs w:val="24"/>
        </w:rPr>
        <w:t>Castanopsis delavayi</w:t>
      </w:r>
      <w:r>
        <w:rPr>
          <w:rFonts w:ascii="宋体" w:hAnsi="宋体" w:eastAsia="宋体" w:cs="宋体"/>
          <w:spacing w:val="-4"/>
          <w:sz w:val="24"/>
          <w:szCs w:val="24"/>
        </w:rPr>
        <w:t>、栓皮栎</w:t>
      </w:r>
      <w:r>
        <w:rPr>
          <w:rFonts w:ascii="宋体" w:hAnsi="宋体" w:eastAsia="宋体" w:cs="宋体"/>
          <w:spacing w:val="-49"/>
          <w:sz w:val="24"/>
          <w:szCs w:val="24"/>
        </w:rPr>
        <w:t xml:space="preserve"> </w:t>
      </w:r>
      <w:r>
        <w:rPr>
          <w:rFonts w:ascii="Times New Roman" w:hAnsi="Times New Roman" w:eastAsia="Times New Roman" w:cs="Times New Roman"/>
          <w:i/>
          <w:iCs/>
          <w:spacing w:val="-4"/>
          <w:sz w:val="24"/>
          <w:szCs w:val="24"/>
        </w:rPr>
        <w:t xml:space="preserve">Quercus variabilis </w:t>
      </w:r>
      <w:r>
        <w:rPr>
          <w:rFonts w:ascii="宋体" w:hAnsi="宋体" w:eastAsia="宋体" w:cs="宋体"/>
          <w:spacing w:val="-4"/>
          <w:sz w:val="24"/>
          <w:szCs w:val="24"/>
        </w:rPr>
        <w:t>等；</w:t>
      </w:r>
    </w:p>
    <w:p>
      <w:pPr>
        <w:spacing w:before="192" w:line="212" w:lineRule="auto"/>
        <w:ind w:left="512"/>
        <w:rPr>
          <w:rFonts w:ascii="宋体" w:hAnsi="宋体" w:eastAsia="宋体" w:cs="宋体"/>
          <w:sz w:val="24"/>
          <w:szCs w:val="24"/>
        </w:rPr>
      </w:pPr>
      <w:r>
        <w:rPr>
          <w:rFonts w:ascii="Times New Roman" w:hAnsi="Times New Roman" w:eastAsia="Times New Roman" w:cs="Times New Roman"/>
          <w:sz w:val="24"/>
          <w:szCs w:val="24"/>
        </w:rPr>
        <w:t>V.</w:t>
      </w:r>
      <w:r>
        <w:rPr>
          <w:rFonts w:ascii="宋体" w:hAnsi="宋体" w:eastAsia="宋体" w:cs="宋体"/>
          <w:sz w:val="24"/>
          <w:szCs w:val="24"/>
        </w:rPr>
        <w:t xml:space="preserve">芳香油植物：云南松 </w:t>
      </w:r>
      <w:r>
        <w:rPr>
          <w:rFonts w:ascii="Times New Roman" w:hAnsi="Times New Roman" w:eastAsia="Times New Roman" w:cs="Times New Roman"/>
          <w:i/>
          <w:iCs/>
          <w:sz w:val="24"/>
          <w:szCs w:val="24"/>
        </w:rPr>
        <w:t>Pinus yunnanensis</w:t>
      </w:r>
      <w:r>
        <w:rPr>
          <w:rFonts w:ascii="宋体" w:hAnsi="宋体" w:eastAsia="宋体" w:cs="宋体"/>
          <w:sz w:val="24"/>
          <w:szCs w:val="24"/>
        </w:rPr>
        <w:t>、扁核木</w:t>
      </w:r>
      <w:r>
        <w:rPr>
          <w:rFonts w:ascii="宋体" w:hAnsi="宋体" w:eastAsia="宋体" w:cs="宋体"/>
          <w:spacing w:val="-45"/>
          <w:sz w:val="24"/>
          <w:szCs w:val="24"/>
        </w:rPr>
        <w:t xml:space="preserve"> </w:t>
      </w:r>
      <w:r>
        <w:rPr>
          <w:rFonts w:ascii="Times New Roman" w:hAnsi="Times New Roman" w:eastAsia="Times New Roman" w:cs="Times New Roman"/>
          <w:i/>
          <w:iCs/>
          <w:sz w:val="24"/>
          <w:szCs w:val="24"/>
        </w:rPr>
        <w:t>Prinsepia</w:t>
      </w:r>
      <w:r>
        <w:rPr>
          <w:rFonts w:ascii="Times New Roman" w:hAnsi="Times New Roman" w:eastAsia="Times New Roman" w:cs="Times New Roman"/>
          <w:i/>
          <w:iCs/>
          <w:spacing w:val="37"/>
          <w:sz w:val="24"/>
          <w:szCs w:val="24"/>
        </w:rPr>
        <w:t xml:space="preserve"> </w:t>
      </w:r>
      <w:r>
        <w:rPr>
          <w:rFonts w:ascii="Times New Roman" w:hAnsi="Times New Roman" w:eastAsia="Times New Roman" w:cs="Times New Roman"/>
          <w:i/>
          <w:iCs/>
          <w:sz w:val="24"/>
          <w:szCs w:val="24"/>
        </w:rPr>
        <w:t>utilis</w:t>
      </w:r>
      <w:r>
        <w:rPr>
          <w:rFonts w:ascii="宋体" w:hAnsi="宋体" w:eastAsia="宋体" w:cs="宋体"/>
          <w:sz w:val="24"/>
          <w:szCs w:val="24"/>
        </w:rPr>
        <w:t>、木香花</w:t>
      </w:r>
    </w:p>
    <w:p>
      <w:pPr>
        <w:spacing w:line="212" w:lineRule="auto"/>
        <w:rPr>
          <w:rFonts w:ascii="宋体" w:hAnsi="宋体" w:eastAsia="宋体" w:cs="宋体"/>
          <w:sz w:val="24"/>
          <w:szCs w:val="24"/>
        </w:rPr>
        <w:sectPr>
          <w:headerReference r:id="rId294" w:type="default"/>
          <w:footerReference r:id="rId295" w:type="default"/>
          <w:pgSz w:w="11907" w:h="16839"/>
          <w:pgMar w:top="1156" w:right="1714" w:bottom="1373" w:left="1770" w:header="881" w:footer="1210" w:gutter="0"/>
        </w:sectPr>
      </w:pPr>
    </w:p>
    <w:p>
      <w:pPr>
        <w:spacing w:line="317" w:lineRule="auto"/>
        <w:rPr>
          <w:rFonts w:ascii="Arial"/>
          <w:sz w:val="21"/>
        </w:rPr>
      </w:pPr>
    </w:p>
    <w:p>
      <w:pPr>
        <w:spacing w:before="78" w:line="360" w:lineRule="auto"/>
        <w:ind w:left="24" w:right="81"/>
        <w:jc w:val="both"/>
        <w:rPr>
          <w:rFonts w:ascii="宋体" w:hAnsi="宋体" w:eastAsia="宋体" w:cs="宋体"/>
          <w:sz w:val="24"/>
          <w:szCs w:val="24"/>
        </w:rPr>
      </w:pPr>
      <w:r>
        <w:rPr>
          <w:rFonts w:ascii="Times New Roman" w:hAnsi="Times New Roman" w:eastAsia="Times New Roman" w:cs="Times New Roman"/>
          <w:i/>
          <w:iCs/>
          <w:spacing w:val="-1"/>
          <w:sz w:val="24"/>
          <w:szCs w:val="24"/>
        </w:rPr>
        <w:t>Rosa banksiae</w:t>
      </w:r>
      <w:r>
        <w:rPr>
          <w:rFonts w:ascii="宋体" w:hAnsi="宋体" w:eastAsia="宋体" w:cs="宋体"/>
          <w:spacing w:val="-1"/>
          <w:sz w:val="24"/>
          <w:szCs w:val="24"/>
        </w:rPr>
        <w:t xml:space="preserve">、水红木 </w:t>
      </w:r>
      <w:r>
        <w:rPr>
          <w:rFonts w:ascii="Times New Roman" w:hAnsi="Times New Roman" w:eastAsia="Times New Roman" w:cs="Times New Roman"/>
          <w:i/>
          <w:iCs/>
          <w:spacing w:val="-1"/>
          <w:sz w:val="24"/>
          <w:szCs w:val="24"/>
        </w:rPr>
        <w:t>Viburnum cylindricum</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、余甘子</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Phyl</w:t>
      </w:r>
      <w:r>
        <w:rPr>
          <w:rFonts w:ascii="Times New Roman" w:hAnsi="Times New Roman" w:eastAsia="Times New Roman" w:cs="Times New Roman"/>
          <w:i/>
          <w:iCs/>
          <w:spacing w:val="-2"/>
          <w:sz w:val="24"/>
          <w:szCs w:val="24"/>
        </w:rPr>
        <w:t>lanthus emblica</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、红叶</w:t>
      </w:r>
      <w:r>
        <w:rPr>
          <w:rFonts w:ascii="宋体" w:hAnsi="宋体" w:eastAsia="宋体" w:cs="宋体"/>
          <w:sz w:val="24"/>
          <w:szCs w:val="24"/>
        </w:rPr>
        <w:t xml:space="preserve"> </w:t>
      </w:r>
      <w:r>
        <w:rPr>
          <w:rFonts w:ascii="宋体" w:hAnsi="宋体" w:eastAsia="宋体" w:cs="宋体"/>
          <w:spacing w:val="-1"/>
          <w:sz w:val="24"/>
          <w:szCs w:val="24"/>
        </w:rPr>
        <w:t>木姜子</w:t>
      </w:r>
      <w:r>
        <w:rPr>
          <w:rFonts w:ascii="宋体" w:hAnsi="宋体" w:eastAsia="宋体" w:cs="宋体"/>
          <w:spacing w:val="-50"/>
          <w:sz w:val="24"/>
          <w:szCs w:val="24"/>
        </w:rPr>
        <w:t xml:space="preserve"> </w:t>
      </w:r>
      <w:r>
        <w:rPr>
          <w:rFonts w:ascii="Times New Roman" w:hAnsi="Times New Roman" w:eastAsia="Times New Roman" w:cs="Times New Roman"/>
          <w:i/>
          <w:iCs/>
          <w:spacing w:val="-1"/>
          <w:sz w:val="24"/>
          <w:szCs w:val="24"/>
        </w:rPr>
        <w:t>Litsea rubescens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、滇白珠</w:t>
      </w:r>
      <w:r>
        <w:rPr>
          <w:rFonts w:ascii="宋体" w:hAnsi="宋体" w:eastAsia="宋体" w:cs="宋体"/>
          <w:spacing w:val="-43"/>
          <w:sz w:val="24"/>
          <w:szCs w:val="24"/>
        </w:rPr>
        <w:t xml:space="preserve"> </w:t>
      </w:r>
      <w:r>
        <w:rPr>
          <w:rFonts w:ascii="Times New Roman" w:hAnsi="Times New Roman" w:eastAsia="Times New Roman" w:cs="Times New Roman"/>
          <w:i/>
          <w:iCs/>
          <w:spacing w:val="-1"/>
          <w:sz w:val="24"/>
          <w:szCs w:val="24"/>
        </w:rPr>
        <w:t>Gaultheria</w:t>
      </w:r>
      <w:r>
        <w:rPr>
          <w:rFonts w:ascii="Times New Roman" w:hAnsi="Times New Roman" w:eastAsia="Times New Roman" w:cs="Times New Roman"/>
          <w:i/>
          <w:iCs/>
          <w:spacing w:val="34"/>
          <w:w w:val="101"/>
          <w:sz w:val="24"/>
          <w:szCs w:val="24"/>
        </w:rPr>
        <w:t xml:space="preserve"> </w:t>
      </w:r>
      <w:r>
        <w:rPr>
          <w:rFonts w:ascii="Times New Roman" w:hAnsi="Times New Roman" w:eastAsia="Times New Roman" w:cs="Times New Roman"/>
          <w:i/>
          <w:iCs/>
          <w:spacing w:val="-1"/>
          <w:sz w:val="24"/>
          <w:szCs w:val="24"/>
        </w:rPr>
        <w:t>leucocarpa</w:t>
      </w:r>
      <w:r>
        <w:rPr>
          <w:rFonts w:ascii="Times New Roman" w:hAnsi="Times New Roman" w:eastAsia="Times New Roman" w:cs="Times New Roman"/>
          <w:i/>
          <w:iCs/>
          <w:spacing w:val="26"/>
          <w:w w:val="101"/>
          <w:sz w:val="24"/>
          <w:szCs w:val="24"/>
        </w:rPr>
        <w:t xml:space="preserve"> </w:t>
      </w:r>
      <w:r>
        <w:rPr>
          <w:rFonts w:ascii="Times New Roman" w:hAnsi="Times New Roman" w:eastAsia="Times New Roman" w:cs="Times New Roman"/>
          <w:spacing w:val="-1"/>
          <w:sz w:val="24"/>
          <w:szCs w:val="24"/>
        </w:rPr>
        <w:t xml:space="preserve">var. </w:t>
      </w:r>
      <w:r>
        <w:rPr>
          <w:rFonts w:ascii="Times New Roman" w:hAnsi="Times New Roman" w:eastAsia="Times New Roman" w:cs="Times New Roman"/>
          <w:i/>
          <w:iCs/>
          <w:spacing w:val="-1"/>
          <w:sz w:val="24"/>
          <w:szCs w:val="24"/>
        </w:rPr>
        <w:t>yunnanensis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、野拔子</w:t>
      </w:r>
      <w:r>
        <w:rPr>
          <w:rFonts w:ascii="宋体" w:hAnsi="宋体" w:eastAsia="宋体" w:cs="宋体"/>
          <w:sz w:val="24"/>
          <w:szCs w:val="24"/>
        </w:rPr>
        <w:t xml:space="preserve"> </w:t>
      </w:r>
      <w:r>
        <w:rPr>
          <w:rFonts w:ascii="Times New Roman" w:hAnsi="Times New Roman" w:eastAsia="Times New Roman" w:cs="Times New Roman"/>
          <w:i/>
          <w:iCs/>
          <w:sz w:val="24"/>
          <w:szCs w:val="24"/>
        </w:rPr>
        <w:t>Elsholtzia</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z w:val="24"/>
          <w:szCs w:val="24"/>
        </w:rPr>
        <w:t>rugulosa</w:t>
      </w:r>
      <w:r>
        <w:rPr>
          <w:rFonts w:ascii="宋体" w:hAnsi="宋体" w:eastAsia="宋体" w:cs="宋体"/>
          <w:sz w:val="24"/>
          <w:szCs w:val="24"/>
        </w:rPr>
        <w:t xml:space="preserve">、芫荽 </w:t>
      </w:r>
      <w:r>
        <w:rPr>
          <w:rFonts w:ascii="Times New Roman" w:hAnsi="Times New Roman" w:eastAsia="Times New Roman" w:cs="Times New Roman"/>
          <w:i/>
          <w:iCs/>
          <w:sz w:val="24"/>
          <w:szCs w:val="24"/>
        </w:rPr>
        <w:t>Coriandrum</w:t>
      </w:r>
      <w:r>
        <w:rPr>
          <w:rFonts w:ascii="Times New Roman" w:hAnsi="Times New Roman" w:eastAsia="Times New Roman" w:cs="Times New Roman"/>
          <w:i/>
          <w:iCs/>
          <w:spacing w:val="28"/>
          <w:sz w:val="24"/>
          <w:szCs w:val="24"/>
        </w:rPr>
        <w:t xml:space="preserve"> </w:t>
      </w:r>
      <w:r>
        <w:rPr>
          <w:rFonts w:ascii="Times New Roman" w:hAnsi="Times New Roman" w:eastAsia="Times New Roman" w:cs="Times New Roman"/>
          <w:i/>
          <w:iCs/>
          <w:sz w:val="24"/>
          <w:szCs w:val="24"/>
        </w:rPr>
        <w:t>sativum</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 xml:space="preserve">、小蜡 </w:t>
      </w:r>
      <w:r>
        <w:rPr>
          <w:rFonts w:ascii="Times New Roman" w:hAnsi="Times New Roman" w:eastAsia="Times New Roman" w:cs="Times New Roman"/>
          <w:i/>
          <w:iCs/>
          <w:sz w:val="24"/>
          <w:szCs w:val="24"/>
        </w:rPr>
        <w:t>Ligustrumsinen</w:t>
      </w:r>
      <w:r>
        <w:rPr>
          <w:rFonts w:ascii="Times New Roman" w:hAnsi="Times New Roman" w:eastAsia="Times New Roman" w:cs="Times New Roman"/>
          <w:i/>
          <w:iCs/>
          <w:spacing w:val="-1"/>
          <w:sz w:val="24"/>
          <w:szCs w:val="24"/>
        </w:rPr>
        <w:t>se</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、粗糠柴</w:t>
      </w:r>
    </w:p>
    <w:p>
      <w:pPr>
        <w:spacing w:line="212" w:lineRule="auto"/>
        <w:ind w:left="22"/>
        <w:rPr>
          <w:rFonts w:ascii="宋体" w:hAnsi="宋体" w:eastAsia="宋体" w:cs="宋体"/>
          <w:sz w:val="24"/>
          <w:szCs w:val="24"/>
        </w:rPr>
      </w:pPr>
      <w:r>
        <w:rPr>
          <w:rFonts w:ascii="Times New Roman" w:hAnsi="Times New Roman" w:eastAsia="Times New Roman" w:cs="Times New Roman"/>
          <w:i/>
          <w:iCs/>
          <w:sz w:val="24"/>
          <w:szCs w:val="24"/>
        </w:rPr>
        <w:t>Mallotus</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z w:val="24"/>
          <w:szCs w:val="24"/>
        </w:rPr>
        <w:t>philippinensis</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、苎麻</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Boehmeria nivea</w:t>
      </w:r>
      <w:r>
        <w:rPr>
          <w:rFonts w:ascii="宋体" w:hAnsi="宋体" w:eastAsia="宋体" w:cs="宋体"/>
          <w:sz w:val="24"/>
          <w:szCs w:val="24"/>
        </w:rPr>
        <w:t>、铁仔</w:t>
      </w:r>
      <w:r>
        <w:rPr>
          <w:rFonts w:ascii="宋体" w:hAnsi="宋体" w:eastAsia="宋体" w:cs="宋体"/>
          <w:spacing w:val="-57"/>
          <w:sz w:val="24"/>
          <w:szCs w:val="24"/>
        </w:rPr>
        <w:t xml:space="preserve"> </w:t>
      </w:r>
      <w:r>
        <w:rPr>
          <w:rFonts w:ascii="Times New Roman" w:hAnsi="Times New Roman" w:eastAsia="Times New Roman" w:cs="Times New Roman"/>
          <w:i/>
          <w:iCs/>
          <w:sz w:val="24"/>
          <w:szCs w:val="24"/>
        </w:rPr>
        <w:t xml:space="preserve">Myrsine </w:t>
      </w:r>
      <w:r>
        <w:rPr>
          <w:rFonts w:ascii="Times New Roman" w:hAnsi="Times New Roman" w:eastAsia="Times New Roman" w:cs="Times New Roman"/>
          <w:i/>
          <w:iCs/>
          <w:spacing w:val="-1"/>
          <w:sz w:val="24"/>
          <w:szCs w:val="24"/>
        </w:rPr>
        <w:t xml:space="preserve">africana </w:t>
      </w:r>
      <w:r>
        <w:rPr>
          <w:rFonts w:ascii="宋体" w:hAnsi="宋体" w:eastAsia="宋体" w:cs="宋体"/>
          <w:spacing w:val="-1"/>
          <w:sz w:val="24"/>
          <w:szCs w:val="24"/>
        </w:rPr>
        <w:t>等；</w:t>
      </w:r>
    </w:p>
    <w:p>
      <w:pPr>
        <w:spacing w:before="192" w:line="468" w:lineRule="exact"/>
        <w:ind w:left="512"/>
        <w:rPr>
          <w:rFonts w:ascii="宋体" w:hAnsi="宋体" w:eastAsia="宋体" w:cs="宋体"/>
          <w:sz w:val="24"/>
          <w:szCs w:val="24"/>
        </w:rPr>
      </w:pPr>
      <w:r>
        <w:rPr>
          <w:rFonts w:ascii="Times New Roman" w:hAnsi="Times New Roman" w:eastAsia="Times New Roman" w:cs="Times New Roman"/>
          <w:position w:val="17"/>
          <w:sz w:val="24"/>
          <w:szCs w:val="24"/>
        </w:rPr>
        <w:t>VI.</w:t>
      </w:r>
      <w:r>
        <w:rPr>
          <w:rFonts w:ascii="宋体" w:hAnsi="宋体" w:eastAsia="宋体" w:cs="宋体"/>
          <w:position w:val="17"/>
          <w:sz w:val="24"/>
          <w:szCs w:val="24"/>
        </w:rPr>
        <w:t xml:space="preserve">野生蔬菜：蕺菜 </w:t>
      </w:r>
      <w:r>
        <w:rPr>
          <w:rFonts w:ascii="Times New Roman" w:hAnsi="Times New Roman" w:eastAsia="Times New Roman" w:cs="Times New Roman"/>
          <w:i/>
          <w:iCs/>
          <w:position w:val="17"/>
          <w:sz w:val="24"/>
          <w:szCs w:val="24"/>
        </w:rPr>
        <w:t>Houttuyniacordata</w:t>
      </w:r>
      <w:r>
        <w:rPr>
          <w:rFonts w:ascii="Times New Roman" w:hAnsi="Times New Roman" w:eastAsia="Times New Roman" w:cs="Times New Roman"/>
          <w:i/>
          <w:iCs/>
          <w:spacing w:val="-30"/>
          <w:position w:val="17"/>
          <w:sz w:val="24"/>
          <w:szCs w:val="24"/>
        </w:rPr>
        <w:t xml:space="preserve"> </w:t>
      </w:r>
      <w:r>
        <w:rPr>
          <w:rFonts w:ascii="宋体" w:hAnsi="宋体" w:eastAsia="宋体" w:cs="宋体"/>
          <w:position w:val="17"/>
          <w:sz w:val="24"/>
          <w:szCs w:val="24"/>
        </w:rPr>
        <w:t>、粘山药</w:t>
      </w:r>
      <w:r>
        <w:rPr>
          <w:rFonts w:ascii="宋体" w:hAnsi="宋体" w:eastAsia="宋体" w:cs="宋体"/>
          <w:spacing w:val="-67"/>
          <w:position w:val="17"/>
          <w:sz w:val="24"/>
          <w:szCs w:val="24"/>
        </w:rPr>
        <w:t xml:space="preserve"> </w:t>
      </w:r>
      <w:r>
        <w:rPr>
          <w:rFonts w:ascii="Times New Roman" w:hAnsi="Times New Roman" w:eastAsia="Times New Roman" w:cs="Times New Roman"/>
          <w:i/>
          <w:iCs/>
          <w:position w:val="17"/>
          <w:sz w:val="24"/>
          <w:szCs w:val="24"/>
        </w:rPr>
        <w:t>Dioscorea hemsleyi</w:t>
      </w:r>
      <w:r>
        <w:rPr>
          <w:rFonts w:ascii="Times New Roman" w:hAnsi="Times New Roman" w:eastAsia="Times New Roman" w:cs="Times New Roman"/>
          <w:i/>
          <w:iCs/>
          <w:spacing w:val="-34"/>
          <w:position w:val="17"/>
          <w:sz w:val="24"/>
          <w:szCs w:val="24"/>
        </w:rPr>
        <w:t xml:space="preserve"> </w:t>
      </w:r>
      <w:r>
        <w:rPr>
          <w:rFonts w:ascii="宋体" w:hAnsi="宋体" w:eastAsia="宋体" w:cs="宋体"/>
          <w:position w:val="17"/>
          <w:sz w:val="24"/>
          <w:szCs w:val="24"/>
        </w:rPr>
        <w:t>、宽叶</w:t>
      </w:r>
    </w:p>
    <w:p>
      <w:pPr>
        <w:spacing w:line="212" w:lineRule="auto"/>
        <w:ind w:left="42"/>
        <w:rPr>
          <w:rFonts w:ascii="宋体" w:hAnsi="宋体" w:eastAsia="宋体" w:cs="宋体"/>
          <w:sz w:val="24"/>
          <w:szCs w:val="24"/>
        </w:rPr>
      </w:pPr>
      <w:r>
        <w:rPr>
          <w:rFonts w:ascii="宋体" w:hAnsi="宋体" w:eastAsia="宋体" w:cs="宋体"/>
          <w:sz w:val="24"/>
          <w:szCs w:val="24"/>
        </w:rPr>
        <w:t>韭</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Allium hookeri</w:t>
      </w:r>
      <w:r>
        <w:rPr>
          <w:rFonts w:ascii="宋体" w:hAnsi="宋体" w:eastAsia="宋体" w:cs="宋体"/>
          <w:sz w:val="24"/>
          <w:szCs w:val="24"/>
        </w:rPr>
        <w:t>、薄荷</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Ment</w:t>
      </w:r>
      <w:r>
        <w:rPr>
          <w:rFonts w:ascii="Times New Roman" w:hAnsi="Times New Roman" w:eastAsia="Times New Roman" w:cs="Times New Roman"/>
          <w:i/>
          <w:iCs/>
          <w:spacing w:val="-1"/>
          <w:sz w:val="24"/>
          <w:szCs w:val="24"/>
        </w:rPr>
        <w:t>ha canadensis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、扁核木</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Prinsepia utilis</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、苦荞麦</w:t>
      </w:r>
    </w:p>
    <w:p>
      <w:pPr>
        <w:spacing w:before="192" w:line="212" w:lineRule="auto"/>
        <w:ind w:left="24"/>
        <w:rPr>
          <w:rFonts w:ascii="Times New Roman" w:hAnsi="Times New Roman" w:eastAsia="Times New Roman" w:cs="Times New Roman"/>
          <w:sz w:val="24"/>
          <w:szCs w:val="24"/>
        </w:rPr>
      </w:pPr>
      <w:r>
        <w:rPr>
          <w:rFonts w:ascii="Times New Roman" w:hAnsi="Times New Roman" w:eastAsia="Times New Roman" w:cs="Times New Roman"/>
          <w:i/>
          <w:iCs/>
          <w:spacing w:val="-1"/>
          <w:sz w:val="24"/>
          <w:szCs w:val="24"/>
        </w:rPr>
        <w:t>Fagopyrum tataricum</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、粗毛碎米荠</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Cardamine hirsuta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、假酸浆</w:t>
      </w:r>
      <w:r>
        <w:rPr>
          <w:rFonts w:ascii="宋体" w:hAnsi="宋体" w:eastAsia="宋体" w:cs="宋体"/>
          <w:spacing w:val="-66"/>
          <w:sz w:val="24"/>
          <w:szCs w:val="24"/>
        </w:rPr>
        <w:t xml:space="preserve"> </w:t>
      </w:r>
      <w:r>
        <w:rPr>
          <w:rFonts w:ascii="Times New Roman" w:hAnsi="Times New Roman" w:eastAsia="Times New Roman" w:cs="Times New Roman"/>
          <w:i/>
          <w:iCs/>
          <w:spacing w:val="-2"/>
          <w:sz w:val="24"/>
          <w:szCs w:val="24"/>
        </w:rPr>
        <w:t>Nicandra</w:t>
      </w:r>
    </w:p>
    <w:p>
      <w:pPr>
        <w:spacing w:before="192" w:line="212" w:lineRule="auto"/>
        <w:ind w:left="3"/>
        <w:rPr>
          <w:rFonts w:ascii="Times New Roman" w:hAnsi="Times New Roman" w:eastAsia="Times New Roman" w:cs="Times New Roman"/>
          <w:sz w:val="24"/>
          <w:szCs w:val="24"/>
        </w:rPr>
      </w:pPr>
      <w:r>
        <w:rPr>
          <w:rFonts w:ascii="Times New Roman" w:hAnsi="Times New Roman" w:eastAsia="Times New Roman" w:cs="Times New Roman"/>
          <w:i/>
          <w:iCs/>
          <w:sz w:val="24"/>
          <w:szCs w:val="24"/>
        </w:rPr>
        <w:t>physalodes</w:t>
      </w:r>
      <w:r>
        <w:rPr>
          <w:rFonts w:ascii="Times New Roman" w:hAnsi="Times New Roman" w:eastAsia="Times New Roman" w:cs="Times New Roman"/>
          <w:i/>
          <w:iCs/>
          <w:spacing w:val="-31"/>
          <w:sz w:val="24"/>
          <w:szCs w:val="24"/>
        </w:rPr>
        <w:t xml:space="preserve"> </w:t>
      </w:r>
      <w:r>
        <w:rPr>
          <w:rFonts w:ascii="宋体" w:hAnsi="宋体" w:eastAsia="宋体" w:cs="宋体"/>
          <w:spacing w:val="3"/>
          <w:sz w:val="24"/>
          <w:szCs w:val="24"/>
        </w:rPr>
        <w:t>、蕨</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Pteridiumaquilinum</w:t>
      </w:r>
      <w:r>
        <w:rPr>
          <w:rFonts w:ascii="Times New Roman" w:hAnsi="Times New Roman" w:eastAsia="Times New Roman" w:cs="Times New Roman"/>
          <w:i/>
          <w:iCs/>
          <w:spacing w:val="3"/>
          <w:sz w:val="24"/>
          <w:szCs w:val="24"/>
        </w:rPr>
        <w:t xml:space="preserve"> </w:t>
      </w:r>
      <w:r>
        <w:rPr>
          <w:rFonts w:ascii="Times New Roman" w:hAnsi="Times New Roman" w:eastAsia="Times New Roman" w:cs="Times New Roman"/>
          <w:sz w:val="24"/>
          <w:szCs w:val="24"/>
        </w:rPr>
        <w:t>var</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i/>
          <w:iCs/>
          <w:sz w:val="24"/>
          <w:szCs w:val="24"/>
        </w:rPr>
        <w:t>latiusculum</w:t>
      </w:r>
      <w:r>
        <w:rPr>
          <w:rFonts w:ascii="Times New Roman" w:hAnsi="Times New Roman" w:eastAsia="Times New Roman" w:cs="Times New Roman"/>
          <w:i/>
          <w:iCs/>
          <w:spacing w:val="-34"/>
          <w:sz w:val="24"/>
          <w:szCs w:val="24"/>
        </w:rPr>
        <w:t xml:space="preserve"> </w:t>
      </w:r>
      <w:r>
        <w:rPr>
          <w:rFonts w:ascii="宋体" w:hAnsi="宋体" w:eastAsia="宋体" w:cs="宋体"/>
          <w:spacing w:val="3"/>
          <w:sz w:val="24"/>
          <w:szCs w:val="24"/>
        </w:rPr>
        <w:t>、毛轴蕨</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Pteridium</w:t>
      </w:r>
    </w:p>
    <w:p>
      <w:pPr>
        <w:spacing w:before="192" w:line="468" w:lineRule="exact"/>
        <w:ind w:left="35"/>
        <w:rPr>
          <w:rFonts w:ascii="宋体" w:hAnsi="宋体" w:eastAsia="宋体" w:cs="宋体"/>
          <w:sz w:val="24"/>
          <w:szCs w:val="24"/>
        </w:rPr>
      </w:pPr>
      <w:r>
        <w:rPr>
          <w:rFonts w:ascii="Times New Roman" w:hAnsi="Times New Roman" w:eastAsia="Times New Roman" w:cs="Times New Roman"/>
          <w:i/>
          <w:iCs/>
          <w:spacing w:val="-1"/>
          <w:position w:val="17"/>
          <w:sz w:val="24"/>
          <w:szCs w:val="24"/>
        </w:rPr>
        <w:t>revolutum</w:t>
      </w:r>
      <w:r>
        <w:rPr>
          <w:rFonts w:ascii="Times New Roman" w:hAnsi="Times New Roman" w:eastAsia="Times New Roman" w:cs="Times New Roman"/>
          <w:i/>
          <w:iCs/>
          <w:spacing w:val="-34"/>
          <w:position w:val="17"/>
          <w:sz w:val="24"/>
          <w:szCs w:val="24"/>
        </w:rPr>
        <w:t xml:space="preserve"> </w:t>
      </w:r>
      <w:r>
        <w:rPr>
          <w:rFonts w:ascii="宋体" w:hAnsi="宋体" w:eastAsia="宋体" w:cs="宋体"/>
          <w:spacing w:val="-1"/>
          <w:position w:val="17"/>
          <w:sz w:val="24"/>
          <w:szCs w:val="24"/>
        </w:rPr>
        <w:t>、野茼蒿</w:t>
      </w:r>
      <w:r>
        <w:rPr>
          <w:rFonts w:ascii="宋体" w:hAnsi="宋体" w:eastAsia="宋体" w:cs="宋体"/>
          <w:spacing w:val="-44"/>
          <w:position w:val="17"/>
          <w:sz w:val="24"/>
          <w:szCs w:val="24"/>
        </w:rPr>
        <w:t xml:space="preserve"> </w:t>
      </w:r>
      <w:r>
        <w:rPr>
          <w:rFonts w:ascii="Times New Roman" w:hAnsi="Times New Roman" w:eastAsia="Times New Roman" w:cs="Times New Roman"/>
          <w:i/>
          <w:iCs/>
          <w:spacing w:val="-1"/>
          <w:position w:val="17"/>
          <w:sz w:val="24"/>
          <w:szCs w:val="24"/>
        </w:rPr>
        <w:t>Crassocep</w:t>
      </w:r>
      <w:r>
        <w:rPr>
          <w:rFonts w:ascii="Times New Roman" w:hAnsi="Times New Roman" w:eastAsia="Times New Roman" w:cs="Times New Roman"/>
          <w:i/>
          <w:iCs/>
          <w:spacing w:val="-2"/>
          <w:position w:val="17"/>
          <w:sz w:val="24"/>
          <w:szCs w:val="24"/>
        </w:rPr>
        <w:t>halum crepidioides</w:t>
      </w:r>
      <w:r>
        <w:rPr>
          <w:rFonts w:ascii="Times New Roman" w:hAnsi="Times New Roman" w:eastAsia="Times New Roman" w:cs="Times New Roman"/>
          <w:i/>
          <w:iCs/>
          <w:spacing w:val="-32"/>
          <w:position w:val="17"/>
          <w:sz w:val="24"/>
          <w:szCs w:val="24"/>
        </w:rPr>
        <w:t xml:space="preserve"> </w:t>
      </w:r>
      <w:r>
        <w:rPr>
          <w:rFonts w:ascii="宋体" w:hAnsi="宋体" w:eastAsia="宋体" w:cs="宋体"/>
          <w:spacing w:val="-2"/>
          <w:position w:val="17"/>
          <w:sz w:val="24"/>
          <w:szCs w:val="24"/>
        </w:rPr>
        <w:t>、水麻</w:t>
      </w:r>
      <w:r>
        <w:rPr>
          <w:rFonts w:ascii="宋体" w:hAnsi="宋体" w:eastAsia="宋体" w:cs="宋体"/>
          <w:spacing w:val="-67"/>
          <w:position w:val="17"/>
          <w:sz w:val="24"/>
          <w:szCs w:val="24"/>
        </w:rPr>
        <w:t xml:space="preserve"> </w:t>
      </w:r>
      <w:r>
        <w:rPr>
          <w:rFonts w:ascii="Times New Roman" w:hAnsi="Times New Roman" w:eastAsia="Times New Roman" w:cs="Times New Roman"/>
          <w:i/>
          <w:iCs/>
          <w:spacing w:val="-2"/>
          <w:position w:val="17"/>
          <w:sz w:val="24"/>
          <w:szCs w:val="24"/>
        </w:rPr>
        <w:t>Debregeasia orientalis</w:t>
      </w:r>
      <w:r>
        <w:rPr>
          <w:rFonts w:ascii="Times New Roman" w:hAnsi="Times New Roman" w:eastAsia="Times New Roman" w:cs="Times New Roman"/>
          <w:i/>
          <w:iCs/>
          <w:spacing w:val="-33"/>
          <w:position w:val="17"/>
          <w:sz w:val="24"/>
          <w:szCs w:val="24"/>
        </w:rPr>
        <w:t xml:space="preserve"> </w:t>
      </w:r>
      <w:r>
        <w:rPr>
          <w:rFonts w:ascii="宋体" w:hAnsi="宋体" w:eastAsia="宋体" w:cs="宋体"/>
          <w:spacing w:val="-2"/>
          <w:position w:val="17"/>
          <w:sz w:val="24"/>
          <w:szCs w:val="24"/>
        </w:rPr>
        <w:t>、扁</w:t>
      </w:r>
    </w:p>
    <w:p>
      <w:pPr>
        <w:spacing w:line="212" w:lineRule="auto"/>
        <w:ind w:left="42"/>
        <w:rPr>
          <w:rFonts w:ascii="宋体" w:hAnsi="宋体" w:eastAsia="宋体" w:cs="宋体"/>
          <w:sz w:val="24"/>
          <w:szCs w:val="24"/>
        </w:rPr>
      </w:pPr>
      <w:r>
        <w:rPr>
          <w:rFonts w:ascii="宋体" w:hAnsi="宋体" w:eastAsia="宋体" w:cs="宋体"/>
          <w:spacing w:val="4"/>
          <w:sz w:val="24"/>
          <w:szCs w:val="24"/>
        </w:rPr>
        <w:t>核木</w:t>
      </w:r>
      <w:r>
        <w:rPr>
          <w:rFonts w:ascii="宋体" w:hAnsi="宋体" w:eastAsia="宋体" w:cs="宋体"/>
          <w:spacing w:val="-63"/>
          <w:sz w:val="24"/>
          <w:szCs w:val="24"/>
        </w:rPr>
        <w:t xml:space="preserve"> </w:t>
      </w:r>
      <w:r>
        <w:rPr>
          <w:rFonts w:ascii="Times New Roman" w:hAnsi="Times New Roman" w:eastAsia="Times New Roman" w:cs="Times New Roman"/>
          <w:i/>
          <w:iCs/>
          <w:sz w:val="24"/>
          <w:szCs w:val="24"/>
        </w:rPr>
        <w:t>Prinsepia</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i/>
          <w:iCs/>
          <w:sz w:val="24"/>
          <w:szCs w:val="24"/>
        </w:rPr>
        <w:t>utilis</w:t>
      </w:r>
      <w:r>
        <w:rPr>
          <w:rFonts w:ascii="Times New Roman" w:hAnsi="Times New Roman" w:eastAsia="Times New Roman" w:cs="Times New Roman"/>
          <w:i/>
          <w:iCs/>
          <w:spacing w:val="-33"/>
          <w:sz w:val="24"/>
          <w:szCs w:val="24"/>
        </w:rPr>
        <w:t xml:space="preserve"> </w:t>
      </w:r>
      <w:r>
        <w:rPr>
          <w:rFonts w:ascii="宋体" w:hAnsi="宋体" w:eastAsia="宋体" w:cs="宋体"/>
          <w:spacing w:val="4"/>
          <w:sz w:val="24"/>
          <w:szCs w:val="24"/>
        </w:rPr>
        <w:t>、紫苏</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Perilla</w:t>
      </w:r>
      <w:r>
        <w:rPr>
          <w:rFonts w:ascii="Times New Roman" w:hAnsi="Times New Roman" w:eastAsia="Times New Roman" w:cs="Times New Roman"/>
          <w:i/>
          <w:iCs/>
          <w:spacing w:val="-41"/>
          <w:sz w:val="24"/>
          <w:szCs w:val="24"/>
        </w:rPr>
        <w:t xml:space="preserve"> </w:t>
      </w:r>
      <w:r>
        <w:rPr>
          <w:rFonts w:ascii="Times New Roman" w:hAnsi="Times New Roman" w:eastAsia="Times New Roman" w:cs="Times New Roman"/>
          <w:i/>
          <w:iCs/>
          <w:sz w:val="24"/>
          <w:szCs w:val="24"/>
        </w:rPr>
        <w:t>frutescens</w:t>
      </w:r>
      <w:r>
        <w:rPr>
          <w:rFonts w:ascii="宋体" w:hAnsi="宋体" w:eastAsia="宋体" w:cs="宋体"/>
          <w:spacing w:val="4"/>
          <w:sz w:val="24"/>
          <w:szCs w:val="24"/>
        </w:rPr>
        <w:t>、柳叶菜</w:t>
      </w:r>
      <w:r>
        <w:rPr>
          <w:rFonts w:ascii="宋体" w:hAnsi="宋体" w:eastAsia="宋体" w:cs="宋体"/>
          <w:spacing w:val="-54"/>
          <w:sz w:val="24"/>
          <w:szCs w:val="24"/>
        </w:rPr>
        <w:t xml:space="preserve"> </w:t>
      </w:r>
      <w:r>
        <w:rPr>
          <w:rFonts w:ascii="Times New Roman" w:hAnsi="Times New Roman" w:eastAsia="Times New Roman" w:cs="Times New Roman"/>
          <w:i/>
          <w:iCs/>
          <w:sz w:val="24"/>
          <w:szCs w:val="24"/>
        </w:rPr>
        <w:t>Epilobiumhirsutum</w:t>
      </w:r>
      <w:r>
        <w:rPr>
          <w:rFonts w:ascii="Times New Roman" w:hAnsi="Times New Roman" w:eastAsia="Times New Roman" w:cs="Times New Roman"/>
          <w:i/>
          <w:iCs/>
          <w:spacing w:val="4"/>
          <w:sz w:val="24"/>
          <w:szCs w:val="24"/>
        </w:rPr>
        <w:t xml:space="preserve"> </w:t>
      </w:r>
      <w:r>
        <w:rPr>
          <w:rFonts w:ascii="宋体" w:hAnsi="宋体" w:eastAsia="宋体" w:cs="宋体"/>
          <w:spacing w:val="4"/>
          <w:sz w:val="24"/>
          <w:szCs w:val="24"/>
        </w:rPr>
        <w:t>等。</w:t>
      </w:r>
    </w:p>
    <w:p>
      <w:pPr>
        <w:spacing w:before="192" w:line="360" w:lineRule="auto"/>
        <w:ind w:left="40" w:right="13" w:firstLine="478"/>
        <w:rPr>
          <w:rFonts w:ascii="宋体" w:hAnsi="宋体" w:eastAsia="宋体" w:cs="宋体"/>
          <w:sz w:val="24"/>
          <w:szCs w:val="24"/>
        </w:rPr>
      </w:pPr>
      <w:r>
        <w:rPr>
          <w:rFonts w:ascii="宋体" w:hAnsi="宋体" w:eastAsia="宋体" w:cs="宋体"/>
          <w:spacing w:val="-10"/>
          <w:sz w:val="24"/>
          <w:szCs w:val="24"/>
        </w:rPr>
        <w:t>评价区及其周边地区栽培植物种类繁多、资源丰富，</w:t>
      </w:r>
      <w:r>
        <w:rPr>
          <w:rFonts w:ascii="宋体" w:hAnsi="宋体" w:eastAsia="宋体" w:cs="宋体"/>
          <w:spacing w:val="-44"/>
          <w:sz w:val="24"/>
          <w:szCs w:val="24"/>
        </w:rPr>
        <w:t xml:space="preserve"> </w:t>
      </w:r>
      <w:r>
        <w:rPr>
          <w:rFonts w:ascii="宋体" w:hAnsi="宋体" w:eastAsia="宋体" w:cs="宋体"/>
          <w:spacing w:val="-11"/>
          <w:sz w:val="24"/>
          <w:szCs w:val="24"/>
        </w:rPr>
        <w:t>主要为亚热带经济作物，</w:t>
      </w:r>
      <w:r>
        <w:rPr>
          <w:rFonts w:ascii="宋体" w:hAnsi="宋体" w:eastAsia="宋体" w:cs="宋体"/>
          <w:sz w:val="24"/>
          <w:szCs w:val="24"/>
        </w:rPr>
        <w:t xml:space="preserve"> </w:t>
      </w:r>
      <w:r>
        <w:rPr>
          <w:rFonts w:ascii="宋体" w:hAnsi="宋体" w:eastAsia="宋体" w:cs="宋体"/>
          <w:spacing w:val="-12"/>
          <w:sz w:val="24"/>
          <w:szCs w:val="24"/>
        </w:rPr>
        <w:t>其中较常见的有核桃、桃、苹果、烟草、柑橘等，</w:t>
      </w:r>
      <w:r>
        <w:rPr>
          <w:rFonts w:ascii="宋体" w:hAnsi="宋体" w:eastAsia="宋体" w:cs="宋体"/>
          <w:spacing w:val="47"/>
          <w:sz w:val="24"/>
          <w:szCs w:val="24"/>
        </w:rPr>
        <w:t xml:space="preserve"> </w:t>
      </w:r>
      <w:r>
        <w:rPr>
          <w:rFonts w:ascii="宋体" w:hAnsi="宋体" w:eastAsia="宋体" w:cs="宋体"/>
          <w:spacing w:val="-12"/>
          <w:sz w:val="24"/>
          <w:szCs w:val="24"/>
        </w:rPr>
        <w:t>这些经济作</w:t>
      </w:r>
      <w:r>
        <w:rPr>
          <w:rFonts w:ascii="宋体" w:hAnsi="宋体" w:eastAsia="宋体" w:cs="宋体"/>
          <w:spacing w:val="-13"/>
          <w:sz w:val="24"/>
          <w:szCs w:val="24"/>
        </w:rPr>
        <w:t>物不仅产量高，</w:t>
      </w:r>
      <w:r>
        <w:rPr>
          <w:rFonts w:ascii="宋体" w:hAnsi="宋体" w:eastAsia="宋体" w:cs="宋体"/>
          <w:spacing w:val="51"/>
          <w:sz w:val="24"/>
          <w:szCs w:val="24"/>
        </w:rPr>
        <w:t xml:space="preserve"> </w:t>
      </w:r>
      <w:r>
        <w:rPr>
          <w:rFonts w:ascii="宋体" w:hAnsi="宋体" w:eastAsia="宋体" w:cs="宋体"/>
          <w:spacing w:val="-13"/>
          <w:sz w:val="24"/>
          <w:szCs w:val="24"/>
        </w:rPr>
        <w:t>市</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场和销路也较广，是当地百姓的重要经济来源。</w:t>
      </w:r>
    </w:p>
    <w:p>
      <w:pPr>
        <w:spacing w:before="105" w:line="466" w:lineRule="exact"/>
        <w:ind w:left="525"/>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4</w:t>
      </w:r>
      <w:r>
        <w:rPr>
          <w:rFonts w:ascii="宋体" w:hAnsi="宋体" w:eastAsia="宋体" w:cs="宋体"/>
          <w:spacing w:val="-1"/>
          <w:position w:val="17"/>
          <w:sz w:val="24"/>
          <w:szCs w:val="24"/>
        </w:rPr>
        <w:t>）野生陆生动物现状调查及评价</w:t>
      </w:r>
    </w:p>
    <w:p>
      <w:pPr>
        <w:spacing w:before="1" w:line="217" w:lineRule="auto"/>
        <w:ind w:left="518"/>
        <w:rPr>
          <w:rFonts w:ascii="宋体" w:hAnsi="宋体" w:eastAsia="宋体" w:cs="宋体"/>
          <w:sz w:val="24"/>
          <w:szCs w:val="24"/>
        </w:rPr>
      </w:pPr>
      <w:r>
        <w:rPr>
          <w:rFonts w:ascii="宋体" w:hAnsi="宋体" w:eastAsia="宋体" w:cs="宋体"/>
          <w:spacing w:val="-1"/>
          <w:sz w:val="24"/>
          <w:szCs w:val="24"/>
        </w:rPr>
        <w:t>①调查范围、时间和方法</w:t>
      </w:r>
    </w:p>
    <w:p>
      <w:pPr>
        <w:spacing w:before="263" w:line="468" w:lineRule="exact"/>
        <w:ind w:left="518"/>
        <w:rPr>
          <w:rFonts w:ascii="宋体" w:hAnsi="宋体" w:eastAsia="宋体" w:cs="宋体"/>
          <w:sz w:val="24"/>
          <w:szCs w:val="24"/>
        </w:rPr>
      </w:pPr>
      <w:r>
        <w:rPr>
          <w:rFonts w:ascii="Times New Roman" w:hAnsi="Times New Roman" w:eastAsia="Times New Roman" w:cs="Times New Roman"/>
          <w:spacing w:val="-1"/>
          <w:position w:val="16"/>
          <w:sz w:val="24"/>
          <w:szCs w:val="24"/>
        </w:rPr>
        <w:t>a.</w:t>
      </w:r>
      <w:r>
        <w:rPr>
          <w:rFonts w:ascii="宋体" w:hAnsi="宋体" w:eastAsia="宋体" w:cs="宋体"/>
          <w:spacing w:val="-1"/>
          <w:position w:val="16"/>
          <w:sz w:val="24"/>
          <w:szCs w:val="24"/>
        </w:rPr>
        <w:t>调查范围和时间</w:t>
      </w:r>
    </w:p>
    <w:p>
      <w:pPr>
        <w:spacing w:line="220" w:lineRule="auto"/>
        <w:ind w:left="613"/>
        <w:rPr>
          <w:rFonts w:ascii="宋体" w:hAnsi="宋体" w:eastAsia="宋体" w:cs="宋体"/>
          <w:sz w:val="24"/>
          <w:szCs w:val="24"/>
        </w:rPr>
      </w:pPr>
      <w:r>
        <w:rPr>
          <w:rFonts w:ascii="宋体" w:hAnsi="宋体" w:eastAsia="宋体" w:cs="宋体"/>
          <w:spacing w:val="-15"/>
          <w:sz w:val="24"/>
          <w:szCs w:val="24"/>
        </w:rPr>
        <w:t>Ⅰ</w:t>
      </w:r>
      <w:r>
        <w:rPr>
          <w:rFonts w:ascii="Times New Roman" w:hAnsi="Times New Roman" w:eastAsia="Times New Roman" w:cs="Times New Roman"/>
          <w:spacing w:val="-15"/>
          <w:sz w:val="24"/>
          <w:szCs w:val="24"/>
        </w:rPr>
        <w:t>.</w:t>
      </w:r>
      <w:r>
        <w:rPr>
          <w:rFonts w:ascii="宋体" w:hAnsi="宋体" w:eastAsia="宋体" w:cs="宋体"/>
          <w:spacing w:val="-15"/>
          <w:sz w:val="24"/>
          <w:szCs w:val="24"/>
        </w:rPr>
        <w:t>调查范围</w:t>
      </w:r>
    </w:p>
    <w:p>
      <w:pPr>
        <w:spacing w:before="182" w:line="360" w:lineRule="auto"/>
        <w:ind w:left="38" w:firstLine="498"/>
        <w:rPr>
          <w:rFonts w:ascii="宋体" w:hAnsi="宋体" w:eastAsia="宋体" w:cs="宋体"/>
          <w:sz w:val="24"/>
          <w:szCs w:val="24"/>
        </w:rPr>
      </w:pPr>
      <w:r>
        <w:rPr>
          <w:rFonts w:ascii="宋体" w:hAnsi="宋体" w:eastAsia="宋体" w:cs="宋体"/>
          <w:spacing w:val="-1"/>
          <w:sz w:val="24"/>
          <w:szCs w:val="24"/>
        </w:rPr>
        <w:t>本次野生动物现状调查范围楚雄市大姚桂花水库工程评价区</w:t>
      </w:r>
      <w:r>
        <w:rPr>
          <w:rFonts w:ascii="宋体" w:hAnsi="宋体" w:eastAsia="宋体" w:cs="宋体"/>
          <w:spacing w:val="-2"/>
          <w:sz w:val="24"/>
          <w:szCs w:val="24"/>
        </w:rPr>
        <w:t>，含水库坝址、</w:t>
      </w:r>
      <w:r>
        <w:rPr>
          <w:rFonts w:ascii="宋体" w:hAnsi="宋体" w:eastAsia="宋体" w:cs="宋体"/>
          <w:sz w:val="24"/>
          <w:szCs w:val="24"/>
        </w:rPr>
        <w:t xml:space="preserve"> </w:t>
      </w:r>
      <w:r>
        <w:rPr>
          <w:rFonts w:ascii="宋体" w:hAnsi="宋体" w:eastAsia="宋体" w:cs="宋体"/>
          <w:spacing w:val="-1"/>
          <w:sz w:val="24"/>
          <w:szCs w:val="24"/>
        </w:rPr>
        <w:t>淹没区、引水工程、引洪工程、新建道路、渣场、生活区等工程设施外延</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 xml:space="preserve">300m  </w:t>
      </w:r>
      <w:r>
        <w:rPr>
          <w:rFonts w:ascii="宋体" w:hAnsi="宋体" w:eastAsia="宋体" w:cs="宋体"/>
          <w:spacing w:val="-12"/>
          <w:sz w:val="24"/>
          <w:szCs w:val="24"/>
        </w:rPr>
        <w:t>范围，</w:t>
      </w:r>
      <w:r>
        <w:rPr>
          <w:rFonts w:ascii="宋体" w:hAnsi="宋体" w:eastAsia="宋体" w:cs="宋体"/>
          <w:spacing w:val="-51"/>
          <w:sz w:val="24"/>
          <w:szCs w:val="24"/>
        </w:rPr>
        <w:t xml:space="preserve"> </w:t>
      </w:r>
      <w:r>
        <w:rPr>
          <w:rFonts w:ascii="宋体" w:hAnsi="宋体" w:eastAsia="宋体" w:cs="宋体"/>
          <w:spacing w:val="-12"/>
          <w:sz w:val="24"/>
          <w:szCs w:val="24"/>
        </w:rPr>
        <w:t>主要调查兽类（哺乳类）、鸟类、爬行类和两栖类</w:t>
      </w:r>
      <w:r>
        <w:rPr>
          <w:rFonts w:ascii="宋体" w:hAnsi="宋体" w:eastAsia="宋体" w:cs="宋体"/>
          <w:spacing w:val="-55"/>
          <w:sz w:val="24"/>
          <w:szCs w:val="24"/>
        </w:rPr>
        <w:t xml:space="preserve"> </w:t>
      </w:r>
      <w:r>
        <w:rPr>
          <w:rFonts w:ascii="Times New Roman" w:hAnsi="Times New Roman" w:eastAsia="Times New Roman" w:cs="Times New Roman"/>
          <w:spacing w:val="-12"/>
          <w:sz w:val="24"/>
          <w:szCs w:val="24"/>
        </w:rPr>
        <w:t xml:space="preserve">4 </w:t>
      </w:r>
      <w:r>
        <w:rPr>
          <w:rFonts w:ascii="宋体" w:hAnsi="宋体" w:eastAsia="宋体" w:cs="宋体"/>
          <w:spacing w:val="-12"/>
          <w:sz w:val="24"/>
          <w:szCs w:val="24"/>
        </w:rPr>
        <w:t>个陆</w:t>
      </w:r>
      <w:r>
        <w:rPr>
          <w:rFonts w:ascii="宋体" w:hAnsi="宋体" w:eastAsia="宋体" w:cs="宋体"/>
          <w:spacing w:val="-13"/>
          <w:sz w:val="24"/>
          <w:szCs w:val="24"/>
        </w:rPr>
        <w:t>生脊椎动物类群。</w:t>
      </w:r>
      <w:r>
        <w:rPr>
          <w:rFonts w:ascii="宋体" w:hAnsi="宋体" w:eastAsia="宋体" w:cs="宋体"/>
          <w:sz w:val="24"/>
          <w:szCs w:val="24"/>
        </w:rPr>
        <w:t xml:space="preserve">  </w:t>
      </w:r>
      <w:r>
        <w:rPr>
          <w:rFonts w:ascii="宋体" w:hAnsi="宋体" w:eastAsia="宋体" w:cs="宋体"/>
          <w:spacing w:val="-11"/>
          <w:sz w:val="24"/>
          <w:szCs w:val="24"/>
        </w:rPr>
        <w:t>本项目不涉及自然保护区和风景名胜区，</w:t>
      </w:r>
      <w:r>
        <w:rPr>
          <w:rFonts w:ascii="宋体" w:hAnsi="宋体" w:eastAsia="宋体" w:cs="宋体"/>
          <w:spacing w:val="46"/>
          <w:sz w:val="24"/>
          <w:szCs w:val="24"/>
        </w:rPr>
        <w:t xml:space="preserve"> </w:t>
      </w:r>
      <w:r>
        <w:rPr>
          <w:rFonts w:ascii="宋体" w:hAnsi="宋体" w:eastAsia="宋体" w:cs="宋体"/>
          <w:spacing w:val="-11"/>
          <w:sz w:val="24"/>
          <w:szCs w:val="24"/>
        </w:rPr>
        <w:t xml:space="preserve">由于调查期间处于禁渔期， 鱼类采用文 </w:t>
      </w:r>
      <w:r>
        <w:rPr>
          <w:rFonts w:ascii="宋体" w:hAnsi="宋体" w:eastAsia="宋体" w:cs="宋体"/>
          <w:spacing w:val="-1"/>
          <w:sz w:val="24"/>
          <w:szCs w:val="24"/>
        </w:rPr>
        <w:t>献资料、田野调查和实际访谈获取信息。调查内容包括各类群动物的组成情况、</w:t>
      </w:r>
    </w:p>
    <w:p>
      <w:pPr>
        <w:spacing w:line="219" w:lineRule="auto"/>
        <w:ind w:left="49"/>
        <w:rPr>
          <w:rFonts w:ascii="宋体" w:hAnsi="宋体" w:eastAsia="宋体" w:cs="宋体"/>
          <w:sz w:val="24"/>
          <w:szCs w:val="24"/>
        </w:rPr>
      </w:pPr>
      <w:r>
        <w:rPr>
          <w:rFonts w:ascii="宋体" w:hAnsi="宋体" w:eastAsia="宋体" w:cs="宋体"/>
          <w:spacing w:val="-5"/>
          <w:sz w:val="24"/>
          <w:szCs w:val="24"/>
        </w:rPr>
        <w:t>资源现状及生境特点等。</w:t>
      </w:r>
    </w:p>
    <w:p>
      <w:pPr>
        <w:spacing w:before="182" w:line="222" w:lineRule="auto"/>
        <w:ind w:left="577"/>
        <w:rPr>
          <w:rFonts w:ascii="宋体" w:hAnsi="宋体" w:eastAsia="宋体" w:cs="宋体"/>
          <w:sz w:val="24"/>
          <w:szCs w:val="24"/>
        </w:rPr>
      </w:pPr>
      <w:r>
        <w:rPr>
          <w:rFonts w:ascii="宋体" w:hAnsi="宋体" w:eastAsia="宋体" w:cs="宋体"/>
          <w:spacing w:val="-8"/>
          <w:sz w:val="24"/>
          <w:szCs w:val="24"/>
        </w:rPr>
        <w:t>Ⅱ</w:t>
      </w:r>
      <w:r>
        <w:rPr>
          <w:rFonts w:ascii="Times New Roman" w:hAnsi="Times New Roman" w:eastAsia="Times New Roman" w:cs="Times New Roman"/>
          <w:spacing w:val="-8"/>
          <w:sz w:val="24"/>
          <w:szCs w:val="24"/>
        </w:rPr>
        <w:t>.</w:t>
      </w:r>
      <w:r>
        <w:rPr>
          <w:rFonts w:ascii="宋体" w:hAnsi="宋体" w:eastAsia="宋体" w:cs="宋体"/>
          <w:spacing w:val="-8"/>
          <w:sz w:val="24"/>
          <w:szCs w:val="24"/>
        </w:rPr>
        <w:t>调查时间</w:t>
      </w:r>
    </w:p>
    <w:p>
      <w:pPr>
        <w:spacing w:before="181" w:line="360" w:lineRule="auto"/>
        <w:ind w:left="38" w:right="81" w:firstLine="503"/>
        <w:rPr>
          <w:rFonts w:ascii="宋体" w:hAnsi="宋体" w:eastAsia="宋体" w:cs="宋体"/>
          <w:sz w:val="24"/>
          <w:szCs w:val="24"/>
        </w:rPr>
      </w:pPr>
      <w:r>
        <w:rPr>
          <w:rFonts w:ascii="宋体" w:hAnsi="宋体" w:eastAsia="宋体" w:cs="宋体"/>
          <w:spacing w:val="-10"/>
          <w:sz w:val="24"/>
          <w:szCs w:val="24"/>
        </w:rPr>
        <w:t>实地调查为</w:t>
      </w:r>
      <w:r>
        <w:rPr>
          <w:rFonts w:ascii="宋体" w:hAnsi="宋体" w:eastAsia="宋体" w:cs="宋体"/>
          <w:spacing w:val="-49"/>
          <w:sz w:val="24"/>
          <w:szCs w:val="24"/>
        </w:rPr>
        <w:t xml:space="preserve"> </w:t>
      </w:r>
      <w:r>
        <w:rPr>
          <w:rFonts w:ascii="Times New Roman" w:hAnsi="Times New Roman" w:eastAsia="Times New Roman" w:cs="Times New Roman"/>
          <w:spacing w:val="-10"/>
          <w:sz w:val="24"/>
          <w:szCs w:val="24"/>
        </w:rPr>
        <w:t>2022</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年</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4</w:t>
      </w:r>
      <w:r>
        <w:rPr>
          <w:rFonts w:ascii="Times New Roman" w:hAnsi="Times New Roman" w:eastAsia="Times New Roman" w:cs="Times New Roman"/>
          <w:spacing w:val="19"/>
          <w:sz w:val="24"/>
          <w:szCs w:val="24"/>
        </w:rPr>
        <w:t xml:space="preserve"> </w:t>
      </w:r>
      <w:r>
        <w:rPr>
          <w:rFonts w:ascii="宋体" w:hAnsi="宋体" w:eastAsia="宋体" w:cs="宋体"/>
          <w:spacing w:val="-10"/>
          <w:sz w:val="24"/>
          <w:szCs w:val="24"/>
        </w:rPr>
        <w:t>月</w:t>
      </w:r>
      <w:r>
        <w:rPr>
          <w:rFonts w:ascii="宋体" w:hAnsi="宋体" w:eastAsia="宋体" w:cs="宋体"/>
          <w:spacing w:val="-28"/>
          <w:sz w:val="24"/>
          <w:szCs w:val="24"/>
        </w:rPr>
        <w:t xml:space="preserve"> </w:t>
      </w:r>
      <w:r>
        <w:rPr>
          <w:rFonts w:ascii="Times New Roman" w:hAnsi="Times New Roman" w:eastAsia="Times New Roman" w:cs="Times New Roman"/>
          <w:spacing w:val="-10"/>
          <w:sz w:val="24"/>
          <w:szCs w:val="24"/>
        </w:rPr>
        <w:t xml:space="preserve">1~3  </w:t>
      </w:r>
      <w:r>
        <w:rPr>
          <w:rFonts w:ascii="宋体" w:hAnsi="宋体" w:eastAsia="宋体" w:cs="宋体"/>
          <w:spacing w:val="-10"/>
          <w:sz w:val="24"/>
          <w:szCs w:val="24"/>
        </w:rPr>
        <w:t>日；</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2022</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10"/>
          <w:sz w:val="24"/>
          <w:szCs w:val="24"/>
        </w:rPr>
        <w:t>7</w:t>
      </w:r>
      <w:r>
        <w:rPr>
          <w:rFonts w:ascii="Times New Roman" w:hAnsi="Times New Roman" w:eastAsia="Times New Roman" w:cs="Times New Roman"/>
          <w:spacing w:val="18"/>
          <w:w w:val="101"/>
          <w:sz w:val="24"/>
          <w:szCs w:val="24"/>
        </w:rPr>
        <w:t xml:space="preserve"> </w:t>
      </w:r>
      <w:r>
        <w:rPr>
          <w:rFonts w:ascii="宋体" w:hAnsi="宋体" w:eastAsia="宋体" w:cs="宋体"/>
          <w:spacing w:val="-10"/>
          <w:sz w:val="24"/>
          <w:szCs w:val="24"/>
        </w:rPr>
        <w:t>月</w:t>
      </w:r>
      <w:r>
        <w:rPr>
          <w:rFonts w:ascii="宋体" w:hAnsi="宋体" w:eastAsia="宋体" w:cs="宋体"/>
          <w:spacing w:val="-52"/>
          <w:sz w:val="24"/>
          <w:szCs w:val="24"/>
        </w:rPr>
        <w:t xml:space="preserve"> </w:t>
      </w:r>
      <w:r>
        <w:rPr>
          <w:rFonts w:ascii="Times New Roman" w:hAnsi="Times New Roman" w:eastAsia="Times New Roman" w:cs="Times New Roman"/>
          <w:spacing w:val="-10"/>
          <w:sz w:val="24"/>
          <w:szCs w:val="24"/>
        </w:rPr>
        <w:t xml:space="preserve">2~5  </w:t>
      </w:r>
      <w:r>
        <w:rPr>
          <w:rFonts w:ascii="宋体" w:hAnsi="宋体" w:eastAsia="宋体" w:cs="宋体"/>
          <w:spacing w:val="-10"/>
          <w:sz w:val="24"/>
          <w:szCs w:val="24"/>
        </w:rPr>
        <w:t>日；</w:t>
      </w:r>
      <w:r>
        <w:rPr>
          <w:rFonts w:ascii="宋体" w:hAnsi="宋体" w:eastAsia="宋体" w:cs="宋体"/>
          <w:spacing w:val="-53"/>
          <w:sz w:val="24"/>
          <w:szCs w:val="24"/>
        </w:rPr>
        <w:t xml:space="preserve"> </w:t>
      </w:r>
      <w:r>
        <w:rPr>
          <w:rFonts w:ascii="Times New Roman" w:hAnsi="Times New Roman" w:eastAsia="Times New Roman" w:cs="Times New Roman"/>
          <w:spacing w:val="-10"/>
          <w:sz w:val="24"/>
          <w:szCs w:val="24"/>
        </w:rPr>
        <w:t>2022</w:t>
      </w:r>
      <w:r>
        <w:rPr>
          <w:rFonts w:ascii="Times New Roman" w:hAnsi="Times New Roman" w:eastAsia="Times New Roman" w:cs="Times New Roman"/>
          <w:spacing w:val="14"/>
          <w:sz w:val="24"/>
          <w:szCs w:val="24"/>
        </w:rPr>
        <w:t xml:space="preserve"> </w:t>
      </w:r>
      <w:r>
        <w:rPr>
          <w:rFonts w:ascii="宋体" w:hAnsi="宋体" w:eastAsia="宋体" w:cs="宋体"/>
          <w:spacing w:val="-10"/>
          <w:sz w:val="24"/>
          <w:szCs w:val="24"/>
        </w:rPr>
        <w:t>年</w:t>
      </w:r>
      <w:r>
        <w:rPr>
          <w:rFonts w:ascii="宋体" w:hAnsi="宋体" w:eastAsia="宋体" w:cs="宋体"/>
          <w:spacing w:val="-28"/>
          <w:sz w:val="24"/>
          <w:szCs w:val="24"/>
        </w:rPr>
        <w:t xml:space="preserve"> </w:t>
      </w:r>
      <w:r>
        <w:rPr>
          <w:rFonts w:ascii="Times New Roman" w:hAnsi="Times New Roman" w:eastAsia="Times New Roman" w:cs="Times New Roman"/>
          <w:spacing w:val="-10"/>
          <w:sz w:val="24"/>
          <w:szCs w:val="24"/>
        </w:rPr>
        <w:t>10</w:t>
      </w:r>
      <w:r>
        <w:rPr>
          <w:rFonts w:ascii="Times New Roman" w:hAnsi="Times New Roman" w:eastAsia="Times New Roman" w:cs="Times New Roman"/>
          <w:spacing w:val="19"/>
          <w:sz w:val="24"/>
          <w:szCs w:val="24"/>
        </w:rPr>
        <w:t xml:space="preserve"> </w:t>
      </w:r>
      <w:r>
        <w:rPr>
          <w:rFonts w:ascii="宋体" w:hAnsi="宋体" w:eastAsia="宋体" w:cs="宋体"/>
          <w:spacing w:val="-10"/>
          <w:sz w:val="24"/>
          <w:szCs w:val="24"/>
        </w:rPr>
        <w:t>月</w:t>
      </w:r>
      <w:r>
        <w:rPr>
          <w:rFonts w:ascii="宋体" w:hAnsi="宋体" w:eastAsia="宋体" w:cs="宋体"/>
          <w:spacing w:val="-29"/>
          <w:sz w:val="24"/>
          <w:szCs w:val="24"/>
        </w:rPr>
        <w:t xml:space="preserve"> </w:t>
      </w:r>
      <w:r>
        <w:rPr>
          <w:rFonts w:ascii="Times New Roman" w:hAnsi="Times New Roman" w:eastAsia="Times New Roman" w:cs="Times New Roman"/>
          <w:spacing w:val="-10"/>
          <w:sz w:val="24"/>
          <w:szCs w:val="24"/>
        </w:rPr>
        <w:t>11~13</w:t>
      </w:r>
      <w:r>
        <w:rPr>
          <w:rFonts w:ascii="Times New Roman" w:hAnsi="Times New Roman" w:eastAsia="Times New Roman" w:cs="Times New Roman"/>
          <w:sz w:val="24"/>
          <w:szCs w:val="24"/>
        </w:rPr>
        <w:t xml:space="preserve"> </w:t>
      </w:r>
      <w:r>
        <w:rPr>
          <w:rFonts w:ascii="宋体" w:hAnsi="宋体" w:eastAsia="宋体" w:cs="宋体"/>
          <w:spacing w:val="-11"/>
          <w:sz w:val="24"/>
          <w:szCs w:val="24"/>
        </w:rPr>
        <w:t>日；</w:t>
      </w:r>
      <w:r>
        <w:rPr>
          <w:rFonts w:ascii="Times New Roman" w:hAnsi="Times New Roman" w:eastAsia="Times New Roman" w:cs="Times New Roman"/>
          <w:spacing w:val="-11"/>
          <w:sz w:val="24"/>
          <w:szCs w:val="24"/>
        </w:rPr>
        <w:t xml:space="preserve">2023 </w:t>
      </w:r>
      <w:r>
        <w:rPr>
          <w:rFonts w:ascii="宋体" w:hAnsi="宋体" w:eastAsia="宋体" w:cs="宋体"/>
          <w:spacing w:val="-11"/>
          <w:sz w:val="24"/>
          <w:szCs w:val="24"/>
        </w:rPr>
        <w:t>年</w:t>
      </w:r>
      <w:r>
        <w:rPr>
          <w:rFonts w:ascii="宋体" w:hAnsi="宋体" w:eastAsia="宋体" w:cs="宋体"/>
          <w:spacing w:val="-45"/>
          <w:sz w:val="24"/>
          <w:szCs w:val="24"/>
        </w:rPr>
        <w:t xml:space="preserve"> </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11"/>
          <w:sz w:val="24"/>
          <w:szCs w:val="24"/>
        </w:rPr>
        <w:t>月</w:t>
      </w:r>
      <w:r>
        <w:rPr>
          <w:rFonts w:ascii="宋体" w:hAnsi="宋体" w:eastAsia="宋体" w:cs="宋体"/>
          <w:spacing w:val="-56"/>
          <w:sz w:val="24"/>
          <w:szCs w:val="24"/>
        </w:rPr>
        <w:t xml:space="preserve"> </w:t>
      </w:r>
      <w:r>
        <w:rPr>
          <w:rFonts w:ascii="Times New Roman" w:hAnsi="Times New Roman" w:eastAsia="Times New Roman" w:cs="Times New Roman"/>
          <w:spacing w:val="-11"/>
          <w:sz w:val="24"/>
          <w:szCs w:val="24"/>
        </w:rPr>
        <w:t xml:space="preserve">4~6  </w:t>
      </w:r>
      <w:r>
        <w:rPr>
          <w:rFonts w:ascii="宋体" w:hAnsi="宋体" w:eastAsia="宋体" w:cs="宋体"/>
          <w:spacing w:val="-11"/>
          <w:sz w:val="24"/>
          <w:szCs w:val="24"/>
        </w:rPr>
        <w:t>日，有效调查时间为</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11</w:t>
      </w:r>
      <w:r>
        <w:rPr>
          <w:rFonts w:ascii="Times New Roman" w:hAnsi="Times New Roman" w:eastAsia="Times New Roman" w:cs="Times New Roman"/>
          <w:spacing w:val="14"/>
          <w:sz w:val="24"/>
          <w:szCs w:val="24"/>
        </w:rPr>
        <w:t xml:space="preserve"> </w:t>
      </w:r>
      <w:r>
        <w:rPr>
          <w:rFonts w:ascii="宋体" w:hAnsi="宋体" w:eastAsia="宋体" w:cs="宋体"/>
          <w:spacing w:val="-11"/>
          <w:sz w:val="24"/>
          <w:szCs w:val="24"/>
        </w:rPr>
        <w:t>天，调查期间均为多云或阴云天气。</w:t>
      </w:r>
      <w:r>
        <w:rPr>
          <w:rFonts w:ascii="宋体" w:hAnsi="宋体" w:eastAsia="宋体" w:cs="宋体"/>
          <w:sz w:val="24"/>
          <w:szCs w:val="24"/>
        </w:rPr>
        <w:t xml:space="preserve"> </w:t>
      </w:r>
      <w:r>
        <w:rPr>
          <w:rFonts w:ascii="宋体" w:hAnsi="宋体" w:eastAsia="宋体" w:cs="宋体"/>
          <w:spacing w:val="-3"/>
          <w:sz w:val="24"/>
          <w:szCs w:val="24"/>
        </w:rPr>
        <w:t xml:space="preserve">在调查时段上，上午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41"/>
          <w:sz w:val="24"/>
          <w:szCs w:val="24"/>
        </w:rPr>
        <w:t xml:space="preserve"> </w:t>
      </w:r>
      <w:r>
        <w:rPr>
          <w:rFonts w:ascii="宋体" w:hAnsi="宋体" w:eastAsia="宋体" w:cs="宋体"/>
          <w:spacing w:val="-3"/>
          <w:sz w:val="24"/>
          <w:szCs w:val="24"/>
        </w:rPr>
        <w:t xml:space="preserve">时之前及下午 </w:t>
      </w:r>
      <w:r>
        <w:rPr>
          <w:rFonts w:ascii="Times New Roman" w:hAnsi="Times New Roman" w:eastAsia="Times New Roman" w:cs="Times New Roman"/>
          <w:spacing w:val="-3"/>
          <w:sz w:val="24"/>
          <w:szCs w:val="24"/>
        </w:rPr>
        <w:t>16:30</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之后主要进行路线调查</w:t>
      </w:r>
      <w:r>
        <w:rPr>
          <w:rFonts w:ascii="宋体" w:hAnsi="宋体" w:eastAsia="宋体" w:cs="宋体"/>
          <w:spacing w:val="-4"/>
          <w:sz w:val="24"/>
          <w:szCs w:val="24"/>
        </w:rPr>
        <w:t>，其余时段</w:t>
      </w:r>
    </w:p>
    <w:p>
      <w:pPr>
        <w:spacing w:line="219" w:lineRule="auto"/>
        <w:ind w:left="41"/>
        <w:rPr>
          <w:rFonts w:ascii="宋体" w:hAnsi="宋体" w:eastAsia="宋体" w:cs="宋体"/>
          <w:sz w:val="24"/>
          <w:szCs w:val="24"/>
        </w:rPr>
      </w:pPr>
      <w:r>
        <w:rPr>
          <w:rFonts w:ascii="宋体" w:hAnsi="宋体" w:eastAsia="宋体" w:cs="宋体"/>
          <w:spacing w:val="-2"/>
          <w:sz w:val="24"/>
          <w:szCs w:val="24"/>
        </w:rPr>
        <w:t>主要进行访问调查、非线路区调查及外围水库、河流及湿地调查。</w:t>
      </w:r>
    </w:p>
    <w:p>
      <w:pPr>
        <w:spacing w:before="183" w:line="235" w:lineRule="auto"/>
        <w:ind w:left="526"/>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调查方法</w:t>
      </w:r>
    </w:p>
    <w:p>
      <w:pPr>
        <w:spacing w:line="235" w:lineRule="auto"/>
        <w:rPr>
          <w:rFonts w:ascii="宋体" w:hAnsi="宋体" w:eastAsia="宋体" w:cs="宋体"/>
          <w:sz w:val="24"/>
          <w:szCs w:val="24"/>
        </w:rPr>
        <w:sectPr>
          <w:headerReference r:id="rId296" w:type="default"/>
          <w:footerReference r:id="rId297" w:type="default"/>
          <w:pgSz w:w="11907" w:h="16839"/>
          <w:pgMar w:top="1156" w:right="1717" w:bottom="1374" w:left="1770" w:header="881" w:footer="1210" w:gutter="0"/>
        </w:sectPr>
      </w:pPr>
    </w:p>
    <w:p>
      <w:pPr>
        <w:spacing w:line="351" w:lineRule="auto"/>
        <w:rPr>
          <w:rFonts w:ascii="Arial"/>
          <w:sz w:val="21"/>
        </w:rPr>
      </w:pPr>
    </w:p>
    <w:p>
      <w:pPr>
        <w:spacing w:before="78" w:line="338" w:lineRule="auto"/>
        <w:ind w:left="39" w:right="66" w:firstLine="482"/>
        <w:rPr>
          <w:rFonts w:ascii="宋体" w:hAnsi="宋体" w:eastAsia="宋体" w:cs="宋体"/>
          <w:sz w:val="24"/>
          <w:szCs w:val="24"/>
        </w:rPr>
      </w:pPr>
      <w:r>
        <w:rPr>
          <w:rFonts w:ascii="宋体" w:hAnsi="宋体" w:eastAsia="宋体" w:cs="宋体"/>
          <w:spacing w:val="-6"/>
          <w:sz w:val="24"/>
          <w:szCs w:val="24"/>
        </w:rPr>
        <w:t>鉴于各陆生脊椎动物类群生物学和生态学特点，</w:t>
      </w:r>
      <w:r>
        <w:rPr>
          <w:rFonts w:ascii="宋体" w:hAnsi="宋体" w:eastAsia="宋体" w:cs="宋体"/>
          <w:spacing w:val="-29"/>
          <w:sz w:val="24"/>
          <w:szCs w:val="24"/>
        </w:rPr>
        <w:t xml:space="preserve"> </w:t>
      </w:r>
      <w:r>
        <w:rPr>
          <w:rFonts w:ascii="宋体" w:hAnsi="宋体" w:eastAsia="宋体" w:cs="宋体"/>
          <w:spacing w:val="-6"/>
          <w:sz w:val="24"/>
          <w:szCs w:val="24"/>
        </w:rPr>
        <w:t>本次调查主要采用了路线调</w:t>
      </w:r>
      <w:r>
        <w:rPr>
          <w:rFonts w:ascii="宋体" w:hAnsi="宋体" w:eastAsia="宋体" w:cs="宋体"/>
          <w:sz w:val="24"/>
          <w:szCs w:val="24"/>
        </w:rPr>
        <w:t xml:space="preserve"> </w:t>
      </w:r>
      <w:r>
        <w:rPr>
          <w:rFonts w:ascii="宋体" w:hAnsi="宋体" w:eastAsia="宋体" w:cs="宋体"/>
          <w:spacing w:val="-11"/>
          <w:sz w:val="24"/>
          <w:szCs w:val="24"/>
        </w:rPr>
        <w:t>查、位点（样点）</w:t>
      </w:r>
      <w:r>
        <w:rPr>
          <w:rFonts w:ascii="宋体" w:hAnsi="宋体" w:eastAsia="宋体" w:cs="宋体"/>
          <w:spacing w:val="-19"/>
          <w:sz w:val="24"/>
          <w:szCs w:val="24"/>
        </w:rPr>
        <w:t xml:space="preserve"> </w:t>
      </w:r>
      <w:r>
        <w:rPr>
          <w:rFonts w:ascii="宋体" w:hAnsi="宋体" w:eastAsia="宋体" w:cs="宋体"/>
          <w:spacing w:val="-11"/>
          <w:sz w:val="24"/>
          <w:szCs w:val="24"/>
        </w:rPr>
        <w:t>调查、访问调查以及生境判定法。调查期间，</w:t>
      </w:r>
      <w:r>
        <w:rPr>
          <w:rFonts w:ascii="宋体" w:hAnsi="宋体" w:eastAsia="宋体" w:cs="宋体"/>
          <w:spacing w:val="60"/>
          <w:sz w:val="24"/>
          <w:szCs w:val="24"/>
        </w:rPr>
        <w:t xml:space="preserve"> </w:t>
      </w:r>
      <w:r>
        <w:rPr>
          <w:rFonts w:ascii="宋体" w:hAnsi="宋体" w:eastAsia="宋体" w:cs="宋体"/>
          <w:spacing w:val="-11"/>
          <w:sz w:val="24"/>
          <w:szCs w:val="24"/>
        </w:rPr>
        <w:t>除了对调查路线</w:t>
      </w:r>
      <w:r>
        <w:rPr>
          <w:rFonts w:ascii="宋体" w:hAnsi="宋体" w:eastAsia="宋体" w:cs="宋体"/>
          <w:sz w:val="24"/>
          <w:szCs w:val="24"/>
        </w:rPr>
        <w:t xml:space="preserve"> </w:t>
      </w:r>
      <w:r>
        <w:rPr>
          <w:rFonts w:ascii="宋体" w:hAnsi="宋体" w:eastAsia="宋体" w:cs="宋体"/>
          <w:spacing w:val="-9"/>
          <w:sz w:val="24"/>
          <w:szCs w:val="24"/>
        </w:rPr>
        <w:t>和调查位点出现的动物进行记录以外， 对出现在调查区，</w:t>
      </w:r>
      <w:r>
        <w:rPr>
          <w:rFonts w:ascii="宋体" w:hAnsi="宋体" w:eastAsia="宋体" w:cs="宋体"/>
          <w:spacing w:val="-10"/>
          <w:sz w:val="24"/>
          <w:szCs w:val="24"/>
        </w:rPr>
        <w:t xml:space="preserve"> 但未出现在调查路线和</w:t>
      </w:r>
      <w:r>
        <w:rPr>
          <w:rFonts w:ascii="宋体" w:hAnsi="宋体" w:eastAsia="宋体" w:cs="宋体"/>
          <w:sz w:val="24"/>
          <w:szCs w:val="24"/>
        </w:rPr>
        <w:t xml:space="preserve"> </w:t>
      </w:r>
      <w:r>
        <w:rPr>
          <w:rFonts w:ascii="宋体" w:hAnsi="宋体" w:eastAsia="宋体" w:cs="宋体"/>
          <w:spacing w:val="-6"/>
          <w:sz w:val="24"/>
          <w:szCs w:val="24"/>
        </w:rPr>
        <w:t>位点的动物也进行记录。此外， 对调查区内出现的国家级和云</w:t>
      </w:r>
      <w:r>
        <w:rPr>
          <w:rFonts w:ascii="宋体" w:hAnsi="宋体" w:eastAsia="宋体" w:cs="宋体"/>
          <w:spacing w:val="-7"/>
          <w:sz w:val="24"/>
          <w:szCs w:val="24"/>
        </w:rPr>
        <w:t>南省级保护动物发</w:t>
      </w:r>
    </w:p>
    <w:p>
      <w:pPr>
        <w:spacing w:line="220" w:lineRule="auto"/>
        <w:ind w:left="41"/>
        <w:rPr>
          <w:rFonts w:ascii="宋体" w:hAnsi="宋体" w:eastAsia="宋体" w:cs="宋体"/>
          <w:sz w:val="24"/>
          <w:szCs w:val="24"/>
        </w:rPr>
      </w:pPr>
      <w:r>
        <w:rPr>
          <w:rFonts w:ascii="宋体" w:hAnsi="宋体" w:eastAsia="宋体" w:cs="宋体"/>
          <w:spacing w:val="-5"/>
          <w:sz w:val="24"/>
          <w:szCs w:val="24"/>
        </w:rPr>
        <w:t>现点进行定位记录。</w:t>
      </w:r>
    </w:p>
    <w:p>
      <w:pPr>
        <w:spacing w:before="153" w:line="220" w:lineRule="auto"/>
        <w:ind w:left="597"/>
        <w:rPr>
          <w:rFonts w:ascii="宋体" w:hAnsi="宋体" w:eastAsia="宋体" w:cs="宋体"/>
          <w:sz w:val="24"/>
          <w:szCs w:val="24"/>
        </w:rPr>
      </w:pPr>
      <w:r>
        <w:rPr>
          <w:rFonts w:ascii="宋体" w:hAnsi="宋体" w:eastAsia="宋体" w:cs="宋体"/>
          <w:spacing w:val="-10"/>
          <w:sz w:val="24"/>
          <w:szCs w:val="24"/>
        </w:rPr>
        <w:t>Ⅰ</w:t>
      </w:r>
      <w:r>
        <w:rPr>
          <w:rFonts w:ascii="Times New Roman" w:hAnsi="Times New Roman" w:eastAsia="Times New Roman" w:cs="Times New Roman"/>
          <w:spacing w:val="-10"/>
          <w:sz w:val="24"/>
          <w:szCs w:val="24"/>
        </w:rPr>
        <w:t>.</w:t>
      </w:r>
      <w:r>
        <w:rPr>
          <w:rFonts w:ascii="宋体" w:hAnsi="宋体" w:eastAsia="宋体" w:cs="宋体"/>
          <w:spacing w:val="-10"/>
          <w:sz w:val="24"/>
          <w:szCs w:val="24"/>
        </w:rPr>
        <w:t>踏查和生境分类</w:t>
      </w:r>
    </w:p>
    <w:p>
      <w:pPr>
        <w:spacing w:before="156" w:line="338" w:lineRule="auto"/>
        <w:ind w:left="35" w:right="66" w:firstLine="480"/>
        <w:rPr>
          <w:rFonts w:ascii="宋体" w:hAnsi="宋体" w:eastAsia="宋体" w:cs="宋体"/>
          <w:sz w:val="24"/>
          <w:szCs w:val="24"/>
        </w:rPr>
      </w:pPr>
      <w:r>
        <w:rPr>
          <w:rFonts w:ascii="Times New Roman" w:hAnsi="Times New Roman" w:eastAsia="Times New Roman" w:cs="Times New Roman"/>
          <w:spacing w:val="-12"/>
          <w:sz w:val="24"/>
          <w:szCs w:val="24"/>
        </w:rPr>
        <w:t>2022</w:t>
      </w:r>
      <w:r>
        <w:rPr>
          <w:rFonts w:ascii="Times New Roman" w:hAnsi="Times New Roman" w:eastAsia="Times New Roman" w:cs="Times New Roman"/>
          <w:spacing w:val="24"/>
          <w:sz w:val="24"/>
          <w:szCs w:val="24"/>
        </w:rPr>
        <w:t xml:space="preserve"> </w:t>
      </w:r>
      <w:r>
        <w:rPr>
          <w:rFonts w:ascii="宋体" w:hAnsi="宋体" w:eastAsia="宋体" w:cs="宋体"/>
          <w:spacing w:val="-12"/>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4</w:t>
      </w:r>
      <w:r>
        <w:rPr>
          <w:rFonts w:ascii="Times New Roman" w:hAnsi="Times New Roman" w:eastAsia="Times New Roman" w:cs="Times New Roman"/>
          <w:spacing w:val="16"/>
          <w:w w:val="101"/>
          <w:sz w:val="24"/>
          <w:szCs w:val="24"/>
        </w:rPr>
        <w:t xml:space="preserve"> </w:t>
      </w:r>
      <w:r>
        <w:rPr>
          <w:rFonts w:ascii="宋体" w:hAnsi="宋体" w:eastAsia="宋体" w:cs="宋体"/>
          <w:spacing w:val="-12"/>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 xml:space="preserve">1~3  </w:t>
      </w:r>
      <w:r>
        <w:rPr>
          <w:rFonts w:ascii="宋体" w:hAnsi="宋体" w:eastAsia="宋体" w:cs="宋体"/>
          <w:spacing w:val="-12"/>
          <w:sz w:val="24"/>
          <w:szCs w:val="24"/>
        </w:rPr>
        <w:t>日；</w:t>
      </w:r>
      <w:r>
        <w:rPr>
          <w:rFonts w:ascii="宋体" w:hAnsi="宋体" w:eastAsia="宋体" w:cs="宋体"/>
          <w:spacing w:val="-52"/>
          <w:sz w:val="24"/>
          <w:szCs w:val="24"/>
        </w:rPr>
        <w:t xml:space="preserve"> </w:t>
      </w:r>
      <w:r>
        <w:rPr>
          <w:rFonts w:ascii="Times New Roman" w:hAnsi="Times New Roman" w:eastAsia="Times New Roman" w:cs="Times New Roman"/>
          <w:spacing w:val="-12"/>
          <w:sz w:val="24"/>
          <w:szCs w:val="24"/>
        </w:rPr>
        <w:t>2022</w:t>
      </w:r>
      <w:r>
        <w:rPr>
          <w:rFonts w:ascii="Times New Roman" w:hAnsi="Times New Roman" w:eastAsia="Times New Roman" w:cs="Times New Roman"/>
          <w:spacing w:val="11"/>
          <w:sz w:val="24"/>
          <w:szCs w:val="24"/>
        </w:rPr>
        <w:t xml:space="preserve"> </w:t>
      </w:r>
      <w:r>
        <w:rPr>
          <w:rFonts w:ascii="宋体" w:hAnsi="宋体" w:eastAsia="宋体" w:cs="宋体"/>
          <w:spacing w:val="-12"/>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12"/>
          <w:sz w:val="24"/>
          <w:szCs w:val="24"/>
        </w:rPr>
        <w:t>7</w:t>
      </w:r>
      <w:r>
        <w:rPr>
          <w:rFonts w:ascii="Times New Roman" w:hAnsi="Times New Roman" w:eastAsia="Times New Roman" w:cs="Times New Roman"/>
          <w:spacing w:val="16"/>
          <w:w w:val="101"/>
          <w:sz w:val="24"/>
          <w:szCs w:val="24"/>
        </w:rPr>
        <w:t xml:space="preserve"> </w:t>
      </w:r>
      <w:r>
        <w:rPr>
          <w:rFonts w:ascii="宋体" w:hAnsi="宋体" w:eastAsia="宋体" w:cs="宋体"/>
          <w:spacing w:val="-12"/>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12"/>
          <w:sz w:val="24"/>
          <w:szCs w:val="24"/>
        </w:rPr>
        <w:t xml:space="preserve">2~5  </w:t>
      </w:r>
      <w:r>
        <w:rPr>
          <w:rFonts w:ascii="宋体" w:hAnsi="宋体" w:eastAsia="宋体" w:cs="宋体"/>
          <w:spacing w:val="-12"/>
          <w:sz w:val="24"/>
          <w:szCs w:val="24"/>
        </w:rPr>
        <w:t>日；</w:t>
      </w:r>
      <w:r>
        <w:rPr>
          <w:rFonts w:ascii="宋体" w:hAnsi="宋体" w:eastAsia="宋体" w:cs="宋体"/>
          <w:spacing w:val="-52"/>
          <w:sz w:val="24"/>
          <w:szCs w:val="24"/>
        </w:rPr>
        <w:t xml:space="preserve"> </w:t>
      </w:r>
      <w:r>
        <w:rPr>
          <w:rFonts w:ascii="Times New Roman" w:hAnsi="Times New Roman" w:eastAsia="Times New Roman" w:cs="Times New Roman"/>
          <w:spacing w:val="-12"/>
          <w:sz w:val="24"/>
          <w:szCs w:val="24"/>
        </w:rPr>
        <w:t>2022</w:t>
      </w:r>
      <w:r>
        <w:rPr>
          <w:rFonts w:ascii="Times New Roman" w:hAnsi="Times New Roman" w:eastAsia="Times New Roman" w:cs="Times New Roman"/>
          <w:spacing w:val="10"/>
          <w:sz w:val="24"/>
          <w:szCs w:val="24"/>
        </w:rPr>
        <w:t xml:space="preserve"> </w:t>
      </w:r>
      <w:r>
        <w:rPr>
          <w:rFonts w:ascii="宋体" w:hAnsi="宋体" w:eastAsia="宋体" w:cs="宋体"/>
          <w:spacing w:val="-12"/>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10</w:t>
      </w:r>
      <w:r>
        <w:rPr>
          <w:rFonts w:ascii="Times New Roman" w:hAnsi="Times New Roman" w:eastAsia="Times New Roman" w:cs="Times New Roman"/>
          <w:spacing w:val="17"/>
          <w:sz w:val="24"/>
          <w:szCs w:val="24"/>
        </w:rPr>
        <w:t xml:space="preserve"> </w:t>
      </w:r>
      <w:r>
        <w:rPr>
          <w:rFonts w:ascii="宋体" w:hAnsi="宋体" w:eastAsia="宋体" w:cs="宋体"/>
          <w:spacing w:val="-12"/>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 xml:space="preserve">11~13  </w:t>
      </w:r>
      <w:r>
        <w:rPr>
          <w:rFonts w:ascii="宋体" w:hAnsi="宋体" w:eastAsia="宋体" w:cs="宋体"/>
          <w:spacing w:val="-12"/>
          <w:sz w:val="24"/>
          <w:szCs w:val="24"/>
        </w:rPr>
        <w:t>日；</w:t>
      </w:r>
      <w:r>
        <w:rPr>
          <w:rFonts w:ascii="宋体" w:hAnsi="宋体" w:eastAsia="宋体" w:cs="宋体"/>
          <w:spacing w:val="-52"/>
          <w:sz w:val="24"/>
          <w:szCs w:val="24"/>
        </w:rPr>
        <w:t xml:space="preserve"> </w:t>
      </w:r>
      <w:r>
        <w:rPr>
          <w:rFonts w:ascii="Times New Roman" w:hAnsi="Times New Roman" w:eastAsia="Times New Roman" w:cs="Times New Roman"/>
          <w:spacing w:val="-12"/>
          <w:sz w:val="24"/>
          <w:szCs w:val="24"/>
        </w:rPr>
        <w:t>2023</w:t>
      </w:r>
      <w:r>
        <w:rPr>
          <w:rFonts w:ascii="Times New Roman" w:hAnsi="Times New Roman" w:eastAsia="Times New Roman" w:cs="Times New Roman"/>
          <w:spacing w:val="10"/>
          <w:sz w:val="24"/>
          <w:szCs w:val="24"/>
        </w:rPr>
        <w:t xml:space="preserve"> </w:t>
      </w:r>
      <w:r>
        <w:rPr>
          <w:rFonts w:ascii="宋体" w:hAnsi="宋体" w:eastAsia="宋体" w:cs="宋体"/>
          <w:spacing w:val="-12"/>
          <w:sz w:val="24"/>
          <w:szCs w:val="24"/>
        </w:rPr>
        <w:t>年</w:t>
      </w:r>
      <w:r>
        <w:rPr>
          <w:rFonts w:ascii="宋体" w:hAnsi="宋体" w:eastAsia="宋体" w:cs="宋体"/>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26"/>
          <w:w w:val="101"/>
          <w:sz w:val="24"/>
          <w:szCs w:val="24"/>
        </w:rPr>
        <w:t xml:space="preserve"> </w:t>
      </w:r>
      <w:r>
        <w:rPr>
          <w:rFonts w:ascii="宋体" w:hAnsi="宋体" w:eastAsia="宋体" w:cs="宋体"/>
          <w:spacing w:val="-8"/>
          <w:sz w:val="24"/>
          <w:szCs w:val="24"/>
        </w:rPr>
        <w:t>月</w:t>
      </w:r>
      <w:r>
        <w:rPr>
          <w:rFonts w:ascii="宋体" w:hAnsi="宋体" w:eastAsia="宋体" w:cs="宋体"/>
          <w:spacing w:val="-57"/>
          <w:sz w:val="24"/>
          <w:szCs w:val="24"/>
        </w:rPr>
        <w:t xml:space="preserve"> </w:t>
      </w:r>
      <w:r>
        <w:rPr>
          <w:rFonts w:ascii="Times New Roman" w:hAnsi="Times New Roman" w:eastAsia="Times New Roman" w:cs="Times New Roman"/>
          <w:spacing w:val="-8"/>
          <w:sz w:val="24"/>
          <w:szCs w:val="24"/>
        </w:rPr>
        <w:t>4~6</w:t>
      </w:r>
      <w:r>
        <w:rPr>
          <w:rFonts w:ascii="Times New Roman" w:hAnsi="Times New Roman" w:eastAsia="Times New Roman" w:cs="Times New Roman"/>
          <w:spacing w:val="51"/>
          <w:sz w:val="24"/>
          <w:szCs w:val="24"/>
        </w:rPr>
        <w:t xml:space="preserve"> </w:t>
      </w:r>
      <w:r>
        <w:rPr>
          <w:rFonts w:ascii="宋体" w:hAnsi="宋体" w:eastAsia="宋体" w:cs="宋体"/>
          <w:spacing w:val="-8"/>
          <w:sz w:val="24"/>
          <w:szCs w:val="24"/>
        </w:rPr>
        <w:t>日，对评价区进行了全面踏查，</w:t>
      </w:r>
      <w:r>
        <w:rPr>
          <w:rFonts w:ascii="宋体" w:hAnsi="宋体" w:eastAsia="宋体" w:cs="宋体"/>
          <w:spacing w:val="38"/>
          <w:sz w:val="24"/>
          <w:szCs w:val="24"/>
        </w:rPr>
        <w:t xml:space="preserve"> </w:t>
      </w:r>
      <w:r>
        <w:rPr>
          <w:rFonts w:ascii="宋体" w:hAnsi="宋体" w:eastAsia="宋体" w:cs="宋体"/>
          <w:spacing w:val="-8"/>
          <w:sz w:val="24"/>
          <w:szCs w:val="24"/>
        </w:rPr>
        <w:t>对调查区的野生动物生境类型和交通条</w:t>
      </w:r>
      <w:r>
        <w:rPr>
          <w:rFonts w:ascii="宋体" w:hAnsi="宋体" w:eastAsia="宋体" w:cs="宋体"/>
          <w:sz w:val="24"/>
          <w:szCs w:val="24"/>
        </w:rPr>
        <w:t xml:space="preserve"> </w:t>
      </w:r>
      <w:r>
        <w:rPr>
          <w:rFonts w:ascii="宋体" w:hAnsi="宋体" w:eastAsia="宋体" w:cs="宋体"/>
          <w:spacing w:val="-11"/>
          <w:sz w:val="24"/>
          <w:szCs w:val="24"/>
        </w:rPr>
        <w:t>件进行了摸查，</w:t>
      </w:r>
      <w:r>
        <w:rPr>
          <w:rFonts w:ascii="宋体" w:hAnsi="宋体" w:eastAsia="宋体" w:cs="宋体"/>
          <w:spacing w:val="33"/>
          <w:sz w:val="24"/>
          <w:szCs w:val="24"/>
        </w:rPr>
        <w:t xml:space="preserve"> </w:t>
      </w:r>
      <w:r>
        <w:rPr>
          <w:rFonts w:ascii="宋体" w:hAnsi="宋体" w:eastAsia="宋体" w:cs="宋体"/>
          <w:spacing w:val="-11"/>
          <w:sz w:val="24"/>
          <w:szCs w:val="24"/>
        </w:rPr>
        <w:t>为调查路线选择提供了依据</w:t>
      </w:r>
      <w:r>
        <w:rPr>
          <w:rFonts w:ascii="宋体" w:hAnsi="宋体" w:eastAsia="宋体" w:cs="宋体"/>
          <w:spacing w:val="-12"/>
          <w:sz w:val="24"/>
          <w:szCs w:val="24"/>
        </w:rPr>
        <w:t>和参考。基于踏查结果，</w:t>
      </w:r>
      <w:r>
        <w:rPr>
          <w:rFonts w:ascii="宋体" w:hAnsi="宋体" w:eastAsia="宋体" w:cs="宋体"/>
          <w:spacing w:val="28"/>
          <w:sz w:val="24"/>
          <w:szCs w:val="24"/>
        </w:rPr>
        <w:t xml:space="preserve"> </w:t>
      </w:r>
      <w:r>
        <w:rPr>
          <w:rFonts w:ascii="宋体" w:hAnsi="宋体" w:eastAsia="宋体" w:cs="宋体"/>
          <w:spacing w:val="-12"/>
          <w:sz w:val="24"/>
          <w:szCs w:val="24"/>
        </w:rPr>
        <w:t>将调查区的</w:t>
      </w:r>
      <w:r>
        <w:rPr>
          <w:rFonts w:ascii="宋体" w:hAnsi="宋体" w:eastAsia="宋体" w:cs="宋体"/>
          <w:sz w:val="24"/>
          <w:szCs w:val="24"/>
        </w:rPr>
        <w:t xml:space="preserve"> </w:t>
      </w:r>
      <w:r>
        <w:rPr>
          <w:rFonts w:ascii="宋体" w:hAnsi="宋体" w:eastAsia="宋体" w:cs="宋体"/>
          <w:spacing w:val="-10"/>
          <w:sz w:val="24"/>
          <w:szCs w:val="24"/>
        </w:rPr>
        <w:t>野生动物生境划分为</w:t>
      </w:r>
      <w:r>
        <w:rPr>
          <w:rFonts w:ascii="宋体" w:hAnsi="宋体" w:eastAsia="宋体" w:cs="宋体"/>
          <w:spacing w:val="-49"/>
          <w:sz w:val="24"/>
          <w:szCs w:val="24"/>
        </w:rPr>
        <w:t xml:space="preserve"> </w:t>
      </w:r>
      <w:r>
        <w:rPr>
          <w:rFonts w:ascii="Times New Roman" w:hAnsi="Times New Roman" w:eastAsia="Times New Roman" w:cs="Times New Roman"/>
          <w:spacing w:val="-10"/>
          <w:sz w:val="24"/>
          <w:szCs w:val="24"/>
        </w:rPr>
        <w:t xml:space="preserve">5 </w:t>
      </w:r>
      <w:r>
        <w:rPr>
          <w:rFonts w:ascii="宋体" w:hAnsi="宋体" w:eastAsia="宋体" w:cs="宋体"/>
          <w:spacing w:val="-10"/>
          <w:sz w:val="24"/>
          <w:szCs w:val="24"/>
        </w:rPr>
        <w:t>类，</w:t>
      </w:r>
      <w:r>
        <w:rPr>
          <w:rFonts w:ascii="宋体" w:hAnsi="宋体" w:eastAsia="宋体" w:cs="宋体"/>
          <w:spacing w:val="-31"/>
          <w:sz w:val="24"/>
          <w:szCs w:val="24"/>
        </w:rPr>
        <w:t xml:space="preserve"> </w:t>
      </w:r>
      <w:r>
        <w:rPr>
          <w:rFonts w:ascii="宋体" w:hAnsi="宋体" w:eastAsia="宋体" w:cs="宋体"/>
          <w:spacing w:val="-10"/>
          <w:sz w:val="24"/>
          <w:szCs w:val="24"/>
        </w:rPr>
        <w:t>即森林、灌草丛、旱地、水域滩涂</w:t>
      </w:r>
      <w:r>
        <w:rPr>
          <w:rFonts w:ascii="宋体" w:hAnsi="宋体" w:eastAsia="宋体" w:cs="宋体"/>
          <w:spacing w:val="-11"/>
          <w:sz w:val="24"/>
          <w:szCs w:val="24"/>
        </w:rPr>
        <w:t>和居民区，</w:t>
      </w:r>
      <w:r>
        <w:rPr>
          <w:rFonts w:ascii="宋体" w:hAnsi="宋体" w:eastAsia="宋体" w:cs="宋体"/>
          <w:spacing w:val="47"/>
          <w:sz w:val="24"/>
          <w:szCs w:val="24"/>
        </w:rPr>
        <w:t xml:space="preserve"> </w:t>
      </w:r>
      <w:r>
        <w:rPr>
          <w:rFonts w:ascii="宋体" w:hAnsi="宋体" w:eastAsia="宋体" w:cs="宋体"/>
          <w:spacing w:val="-11"/>
          <w:sz w:val="24"/>
          <w:szCs w:val="24"/>
        </w:rPr>
        <w:t>具体定</w:t>
      </w:r>
    </w:p>
    <w:p>
      <w:pPr>
        <w:spacing w:line="220" w:lineRule="auto"/>
        <w:ind w:left="42"/>
        <w:rPr>
          <w:rFonts w:ascii="宋体" w:hAnsi="宋体" w:eastAsia="宋体" w:cs="宋体"/>
          <w:sz w:val="24"/>
          <w:szCs w:val="24"/>
        </w:rPr>
      </w:pPr>
      <w:r>
        <w:rPr>
          <w:rFonts w:ascii="宋体" w:hAnsi="宋体" w:eastAsia="宋体" w:cs="宋体"/>
          <w:spacing w:val="-13"/>
          <w:sz w:val="24"/>
          <w:szCs w:val="24"/>
        </w:rPr>
        <w:t>义如下：</w:t>
      </w:r>
    </w:p>
    <w:p>
      <w:pPr>
        <w:spacing w:before="154" w:line="440" w:lineRule="exact"/>
        <w:ind w:left="521"/>
        <w:rPr>
          <w:rFonts w:ascii="宋体" w:hAnsi="宋体" w:eastAsia="宋体" w:cs="宋体"/>
          <w:sz w:val="24"/>
          <w:szCs w:val="24"/>
        </w:rPr>
      </w:pPr>
      <w:r>
        <w:rPr>
          <w:rFonts w:ascii="宋体" w:hAnsi="宋体" w:eastAsia="宋体" w:cs="宋体"/>
          <w:spacing w:val="-7"/>
          <w:position w:val="15"/>
          <w:sz w:val="24"/>
          <w:szCs w:val="24"/>
          <w14:textOutline w14:w="4354" w14:cap="flat" w14:cmpd="sng">
            <w14:solidFill>
              <w14:srgbClr w14:val="000000"/>
            </w14:solidFill>
            <w14:prstDash w14:val="solid"/>
            <w14:miter w14:val="0"/>
          </w14:textOutline>
        </w:rPr>
        <w:t>森林</w:t>
      </w:r>
      <w:r>
        <w:rPr>
          <w:rFonts w:ascii="宋体" w:hAnsi="宋体" w:eastAsia="宋体" w:cs="宋体"/>
          <w:spacing w:val="-7"/>
          <w:position w:val="15"/>
          <w:sz w:val="24"/>
          <w:szCs w:val="24"/>
        </w:rPr>
        <w:t>：自然形成或人工种植的森林区域， 调查区内森林主要为云南松林和半</w:t>
      </w:r>
    </w:p>
    <w:p>
      <w:pPr>
        <w:spacing w:before="1" w:line="219" w:lineRule="auto"/>
        <w:ind w:left="39"/>
        <w:rPr>
          <w:rFonts w:ascii="宋体" w:hAnsi="宋体" w:eastAsia="宋体" w:cs="宋体"/>
          <w:sz w:val="24"/>
          <w:szCs w:val="24"/>
        </w:rPr>
      </w:pPr>
      <w:r>
        <w:rPr>
          <w:rFonts w:ascii="宋体" w:hAnsi="宋体" w:eastAsia="宋体" w:cs="宋体"/>
          <w:spacing w:val="-5"/>
          <w:sz w:val="24"/>
          <w:szCs w:val="24"/>
        </w:rPr>
        <w:t>湿润常绿阔叶林。</w:t>
      </w:r>
    </w:p>
    <w:p>
      <w:pPr>
        <w:spacing w:before="153" w:line="220" w:lineRule="auto"/>
        <w:ind w:left="524"/>
        <w:rPr>
          <w:rFonts w:ascii="宋体" w:hAnsi="宋体" w:eastAsia="宋体" w:cs="宋体"/>
          <w:sz w:val="24"/>
          <w:szCs w:val="24"/>
        </w:rPr>
      </w:pPr>
      <w:r>
        <w:rPr>
          <w:rFonts w:ascii="宋体" w:hAnsi="宋体" w:eastAsia="宋体" w:cs="宋体"/>
          <w:spacing w:val="-1"/>
          <w:sz w:val="24"/>
          <w:szCs w:val="24"/>
          <w14:textOutline w14:w="4354" w14:cap="flat" w14:cmpd="sng">
            <w14:solidFill>
              <w14:srgbClr w14:val="000000"/>
            </w14:solidFill>
            <w14:prstDash w14:val="solid"/>
            <w14:miter w14:val="0"/>
          </w14:textOutline>
        </w:rPr>
        <w:t>灌草丛</w:t>
      </w:r>
      <w:r>
        <w:rPr>
          <w:rFonts w:ascii="宋体" w:hAnsi="宋体" w:eastAsia="宋体" w:cs="宋体"/>
          <w:spacing w:val="-1"/>
          <w:sz w:val="24"/>
          <w:szCs w:val="24"/>
        </w:rPr>
        <w:t>：林间空地、森林边缘、旱地地埂和围</w:t>
      </w:r>
      <w:r>
        <w:rPr>
          <w:rFonts w:ascii="宋体" w:hAnsi="宋体" w:eastAsia="宋体" w:cs="宋体"/>
          <w:spacing w:val="-2"/>
          <w:sz w:val="24"/>
          <w:szCs w:val="24"/>
        </w:rPr>
        <w:t>界自然形成的灌草丛区域。</w:t>
      </w:r>
    </w:p>
    <w:p>
      <w:pPr>
        <w:spacing w:before="155" w:line="220" w:lineRule="auto"/>
        <w:ind w:left="524"/>
        <w:rPr>
          <w:rFonts w:ascii="宋体" w:hAnsi="宋体" w:eastAsia="宋体" w:cs="宋体"/>
          <w:sz w:val="24"/>
          <w:szCs w:val="24"/>
        </w:rPr>
      </w:pPr>
      <w:r>
        <w:rPr>
          <w:rFonts w:ascii="宋体" w:hAnsi="宋体" w:eastAsia="宋体" w:cs="宋体"/>
          <w:spacing w:val="-4"/>
          <w:sz w:val="24"/>
          <w:szCs w:val="24"/>
          <w14:textOutline w14:w="4354" w14:cap="flat" w14:cmpd="sng">
            <w14:solidFill>
              <w14:srgbClr w14:val="000000"/>
            </w14:solidFill>
            <w14:prstDash w14:val="solid"/>
            <w14:miter w14:val="0"/>
          </w14:textOutline>
        </w:rPr>
        <w:t>旱地</w:t>
      </w:r>
      <w:r>
        <w:rPr>
          <w:rFonts w:ascii="宋体" w:hAnsi="宋体" w:eastAsia="宋体" w:cs="宋体"/>
          <w:spacing w:val="-4"/>
          <w:sz w:val="24"/>
          <w:szCs w:val="24"/>
        </w:rPr>
        <w:t>：调查区内的旱地区域。</w:t>
      </w:r>
    </w:p>
    <w:p>
      <w:pPr>
        <w:spacing w:before="154" w:line="220" w:lineRule="auto"/>
        <w:ind w:left="524"/>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水域滩涂</w:t>
      </w:r>
      <w:r>
        <w:rPr>
          <w:rFonts w:ascii="宋体" w:hAnsi="宋体" w:eastAsia="宋体" w:cs="宋体"/>
          <w:spacing w:val="-2"/>
          <w:sz w:val="24"/>
          <w:szCs w:val="24"/>
        </w:rPr>
        <w:t>：主要为项目周边的河流、水库及周边滩涂地带。</w:t>
      </w:r>
    </w:p>
    <w:p>
      <w:pPr>
        <w:spacing w:before="154" w:line="219" w:lineRule="auto"/>
        <w:ind w:left="523"/>
        <w:rPr>
          <w:rFonts w:ascii="宋体" w:hAnsi="宋体" w:eastAsia="宋体" w:cs="宋体"/>
          <w:sz w:val="24"/>
          <w:szCs w:val="24"/>
        </w:rPr>
      </w:pPr>
      <w:r>
        <w:rPr>
          <w:rFonts w:ascii="宋体" w:hAnsi="宋体" w:eastAsia="宋体" w:cs="宋体"/>
          <w:spacing w:val="-2"/>
          <w:sz w:val="24"/>
          <w:szCs w:val="24"/>
          <w14:textOutline w14:w="4354" w14:cap="flat" w14:cmpd="sng">
            <w14:solidFill>
              <w14:srgbClr w14:val="000000"/>
            </w14:solidFill>
            <w14:prstDash w14:val="solid"/>
            <w14:miter w14:val="0"/>
          </w14:textOutline>
        </w:rPr>
        <w:t>居民区</w:t>
      </w:r>
      <w:r>
        <w:rPr>
          <w:rFonts w:ascii="宋体" w:hAnsi="宋体" w:eastAsia="宋体" w:cs="宋体"/>
          <w:spacing w:val="-2"/>
          <w:sz w:val="24"/>
          <w:szCs w:val="24"/>
        </w:rPr>
        <w:t>：调查区内的村庄，含村庄四旁树及绿地。</w:t>
      </w:r>
    </w:p>
    <w:p>
      <w:pPr>
        <w:spacing w:before="155" w:line="220" w:lineRule="auto"/>
        <w:ind w:left="560"/>
        <w:rPr>
          <w:rFonts w:ascii="宋体" w:hAnsi="宋体" w:eastAsia="宋体" w:cs="宋体"/>
          <w:sz w:val="24"/>
          <w:szCs w:val="24"/>
        </w:rPr>
      </w:pPr>
      <w:r>
        <w:rPr>
          <w:rFonts w:ascii="宋体" w:hAnsi="宋体" w:eastAsia="宋体" w:cs="宋体"/>
          <w:spacing w:val="-8"/>
          <w:sz w:val="24"/>
          <w:szCs w:val="24"/>
        </w:rPr>
        <w:t>Ⅱ</w:t>
      </w:r>
      <w:r>
        <w:rPr>
          <w:rFonts w:ascii="Times New Roman" w:hAnsi="Times New Roman" w:eastAsia="Times New Roman" w:cs="Times New Roman"/>
          <w:spacing w:val="-8"/>
          <w:sz w:val="24"/>
          <w:szCs w:val="24"/>
        </w:rPr>
        <w:t>.</w:t>
      </w:r>
      <w:r>
        <w:rPr>
          <w:rFonts w:ascii="宋体" w:hAnsi="宋体" w:eastAsia="宋体" w:cs="宋体"/>
          <w:spacing w:val="-8"/>
          <w:sz w:val="24"/>
          <w:szCs w:val="24"/>
        </w:rPr>
        <w:t>路线调查</w:t>
      </w:r>
    </w:p>
    <w:p>
      <w:pPr>
        <w:spacing w:before="159" w:line="338" w:lineRule="auto"/>
        <w:ind w:left="39" w:right="66" w:firstLine="479"/>
        <w:rPr>
          <w:rFonts w:ascii="宋体" w:hAnsi="宋体" w:eastAsia="宋体" w:cs="宋体"/>
          <w:sz w:val="24"/>
          <w:szCs w:val="24"/>
        </w:rPr>
      </w:pPr>
      <w:r>
        <w:rPr>
          <w:rFonts w:ascii="宋体" w:hAnsi="宋体" w:eastAsia="宋体" w:cs="宋体"/>
          <w:spacing w:val="-5"/>
          <w:sz w:val="24"/>
          <w:szCs w:val="24"/>
        </w:rPr>
        <w:t>在调查区内根据不同海拔、不同生境布设调查路线。基于以上前提</w:t>
      </w:r>
      <w:r>
        <w:rPr>
          <w:rFonts w:ascii="宋体" w:hAnsi="宋体" w:eastAsia="宋体" w:cs="宋体"/>
          <w:spacing w:val="-6"/>
          <w:sz w:val="24"/>
          <w:szCs w:val="24"/>
        </w:rPr>
        <w:t>，</w:t>
      </w:r>
      <w:r>
        <w:rPr>
          <w:rFonts w:ascii="宋体" w:hAnsi="宋体" w:eastAsia="宋体" w:cs="宋体"/>
          <w:spacing w:val="-54"/>
          <w:sz w:val="24"/>
          <w:szCs w:val="24"/>
        </w:rPr>
        <w:t xml:space="preserve"> </w:t>
      </w:r>
      <w:r>
        <w:rPr>
          <w:rFonts w:ascii="宋体" w:hAnsi="宋体" w:eastAsia="宋体" w:cs="宋体"/>
          <w:spacing w:val="-6"/>
          <w:sz w:val="24"/>
          <w:szCs w:val="24"/>
        </w:rPr>
        <w:t>主要利</w:t>
      </w:r>
      <w:r>
        <w:rPr>
          <w:rFonts w:ascii="宋体" w:hAnsi="宋体" w:eastAsia="宋体" w:cs="宋体"/>
          <w:sz w:val="24"/>
          <w:szCs w:val="24"/>
        </w:rPr>
        <w:t xml:space="preserve"> </w:t>
      </w:r>
      <w:r>
        <w:rPr>
          <w:rFonts w:ascii="宋体" w:hAnsi="宋体" w:eastAsia="宋体" w:cs="宋体"/>
          <w:spacing w:val="-8"/>
          <w:sz w:val="24"/>
          <w:szCs w:val="24"/>
        </w:rPr>
        <w:t>用调查区内现有的公路、小路、便道、机耕道路作为调查路线，</w:t>
      </w:r>
      <w:r>
        <w:rPr>
          <w:rFonts w:ascii="宋体" w:hAnsi="宋体" w:eastAsia="宋体" w:cs="宋体"/>
          <w:spacing w:val="54"/>
          <w:sz w:val="24"/>
          <w:szCs w:val="24"/>
        </w:rPr>
        <w:t xml:space="preserve"> </w:t>
      </w:r>
      <w:r>
        <w:rPr>
          <w:rFonts w:ascii="宋体" w:hAnsi="宋体" w:eastAsia="宋体" w:cs="宋体"/>
          <w:spacing w:val="-8"/>
          <w:sz w:val="24"/>
          <w:szCs w:val="24"/>
        </w:rPr>
        <w:t>沿途利用卡尔蔡</w:t>
      </w:r>
      <w:r>
        <w:rPr>
          <w:rFonts w:ascii="宋体" w:hAnsi="宋体" w:eastAsia="宋体" w:cs="宋体"/>
          <w:sz w:val="24"/>
          <w:szCs w:val="24"/>
        </w:rPr>
        <w:t xml:space="preserve"> </w:t>
      </w:r>
      <w:r>
        <w:rPr>
          <w:rFonts w:ascii="宋体" w:hAnsi="宋体" w:eastAsia="宋体" w:cs="宋体"/>
          <w:spacing w:val="-7"/>
          <w:sz w:val="24"/>
          <w:szCs w:val="24"/>
        </w:rPr>
        <w:t>司、尼康等品牌的</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25 </w:t>
      </w:r>
      <w:r>
        <w:rPr>
          <w:rFonts w:ascii="宋体" w:hAnsi="宋体" w:eastAsia="宋体" w:cs="宋体"/>
          <w:spacing w:val="-7"/>
          <w:sz w:val="24"/>
          <w:szCs w:val="24"/>
        </w:rPr>
        <w:t>双筒望远镜进行观察记</w:t>
      </w:r>
      <w:r>
        <w:rPr>
          <w:rFonts w:ascii="宋体" w:hAnsi="宋体" w:eastAsia="宋体" w:cs="宋体"/>
          <w:spacing w:val="-8"/>
          <w:sz w:val="24"/>
          <w:szCs w:val="24"/>
        </w:rPr>
        <w:t>录路线两侧（视野范围内，</w:t>
      </w:r>
      <w:r>
        <w:rPr>
          <w:rFonts w:ascii="宋体" w:hAnsi="宋体" w:eastAsia="宋体" w:cs="宋体"/>
          <w:spacing w:val="34"/>
          <w:sz w:val="24"/>
          <w:szCs w:val="24"/>
        </w:rPr>
        <w:t xml:space="preserve"> </w:t>
      </w:r>
      <w:r>
        <w:rPr>
          <w:rFonts w:ascii="宋体" w:hAnsi="宋体" w:eastAsia="宋体" w:cs="宋体"/>
          <w:spacing w:val="-8"/>
          <w:sz w:val="24"/>
          <w:szCs w:val="24"/>
        </w:rPr>
        <w:t>不定</w:t>
      </w:r>
      <w:r>
        <w:rPr>
          <w:rFonts w:ascii="宋体" w:hAnsi="宋体" w:eastAsia="宋体" w:cs="宋体"/>
          <w:sz w:val="24"/>
          <w:szCs w:val="24"/>
        </w:rPr>
        <w:t xml:space="preserve"> </w:t>
      </w:r>
      <w:r>
        <w:rPr>
          <w:rFonts w:ascii="宋体" w:hAnsi="宋体" w:eastAsia="宋体" w:cs="宋体"/>
          <w:spacing w:val="1"/>
          <w:sz w:val="24"/>
          <w:szCs w:val="24"/>
        </w:rPr>
        <w:t>宽）出现的动物尸体和踪迹（粪便、足迹、羽毛等</w:t>
      </w:r>
      <w:r>
        <w:rPr>
          <w:rFonts w:ascii="宋体" w:hAnsi="宋体" w:eastAsia="宋体" w:cs="宋体"/>
          <w:spacing w:val="-61"/>
          <w:w w:val="97"/>
          <w:sz w:val="24"/>
          <w:szCs w:val="24"/>
        </w:rPr>
        <w:t>），</w:t>
      </w:r>
      <w:r>
        <w:rPr>
          <w:rFonts w:ascii="宋体" w:hAnsi="宋体" w:eastAsia="宋体" w:cs="宋体"/>
          <w:spacing w:val="1"/>
          <w:sz w:val="24"/>
          <w:szCs w:val="24"/>
        </w:rPr>
        <w:t>鉴定其</w:t>
      </w:r>
      <w:r>
        <w:rPr>
          <w:rFonts w:ascii="宋体" w:hAnsi="宋体" w:eastAsia="宋体" w:cs="宋体"/>
          <w:sz w:val="24"/>
          <w:szCs w:val="24"/>
        </w:rPr>
        <w:t>种类，记录个体数</w:t>
      </w:r>
      <w:r>
        <w:rPr>
          <w:rFonts w:ascii="宋体" w:hAnsi="宋体" w:eastAsia="宋体" w:cs="宋体"/>
          <w:spacing w:val="2"/>
          <w:sz w:val="24"/>
          <w:szCs w:val="24"/>
        </w:rPr>
        <w:t xml:space="preserve"> </w:t>
      </w:r>
      <w:r>
        <w:rPr>
          <w:rFonts w:ascii="宋体" w:hAnsi="宋体" w:eastAsia="宋体" w:cs="宋体"/>
          <w:spacing w:val="-6"/>
          <w:sz w:val="24"/>
          <w:szCs w:val="24"/>
        </w:rPr>
        <w:t>量以及生境类型等资料。在调查过程中， 对调查路线沿途听到</w:t>
      </w:r>
      <w:r>
        <w:rPr>
          <w:rFonts w:ascii="宋体" w:hAnsi="宋体" w:eastAsia="宋体" w:cs="宋体"/>
          <w:spacing w:val="-7"/>
          <w:sz w:val="24"/>
          <w:szCs w:val="24"/>
        </w:rPr>
        <w:t>动物鸣声也进行鉴</w:t>
      </w:r>
      <w:r>
        <w:rPr>
          <w:rFonts w:ascii="宋体" w:hAnsi="宋体" w:eastAsia="宋体" w:cs="宋体"/>
          <w:sz w:val="24"/>
          <w:szCs w:val="24"/>
        </w:rPr>
        <w:t xml:space="preserve"> </w:t>
      </w:r>
      <w:r>
        <w:rPr>
          <w:rFonts w:ascii="宋体" w:hAnsi="宋体" w:eastAsia="宋体" w:cs="宋体"/>
          <w:spacing w:val="-1"/>
          <w:sz w:val="24"/>
          <w:szCs w:val="24"/>
        </w:rPr>
        <w:t>定记录。本次调查共设置调查路线</w:t>
      </w:r>
      <w:r>
        <w:rPr>
          <w:rFonts w:ascii="宋体" w:hAnsi="宋体" w:eastAsia="宋体" w:cs="宋体"/>
          <w:spacing w:val="-26"/>
          <w:sz w:val="24"/>
          <w:szCs w:val="24"/>
        </w:rPr>
        <w:t xml:space="preserve"> </w:t>
      </w:r>
      <w:r>
        <w:rPr>
          <w:rFonts w:ascii="Times New Roman" w:hAnsi="Times New Roman" w:eastAsia="Times New Roman" w:cs="Times New Roman"/>
          <w:spacing w:val="-1"/>
          <w:sz w:val="24"/>
          <w:szCs w:val="24"/>
        </w:rPr>
        <w:t>25</w:t>
      </w:r>
      <w:r>
        <w:rPr>
          <w:rFonts w:ascii="Times New Roman" w:hAnsi="Times New Roman" w:eastAsia="Times New Roman" w:cs="Times New Roman"/>
          <w:spacing w:val="37"/>
          <w:w w:val="101"/>
          <w:sz w:val="24"/>
          <w:szCs w:val="24"/>
        </w:rPr>
        <w:t xml:space="preserve"> </w:t>
      </w:r>
      <w:r>
        <w:rPr>
          <w:rFonts w:ascii="宋体" w:hAnsi="宋体" w:eastAsia="宋体" w:cs="宋体"/>
          <w:spacing w:val="-1"/>
          <w:sz w:val="24"/>
          <w:szCs w:val="24"/>
        </w:rPr>
        <w:t>条，共约</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32.75km</w:t>
      </w:r>
      <w:r>
        <w:rPr>
          <w:rFonts w:ascii="宋体" w:hAnsi="宋体" w:eastAsia="宋体" w:cs="宋体"/>
          <w:spacing w:val="-1"/>
          <w:sz w:val="24"/>
          <w:szCs w:val="24"/>
        </w:rPr>
        <w:t>，调查路线布设情况见</w:t>
      </w:r>
    </w:p>
    <w:p>
      <w:pPr>
        <w:spacing w:before="1" w:line="218" w:lineRule="auto"/>
        <w:ind w:left="58"/>
        <w:rPr>
          <w:rFonts w:ascii="宋体" w:hAnsi="宋体" w:eastAsia="宋体" w:cs="宋体"/>
          <w:sz w:val="24"/>
          <w:szCs w:val="24"/>
        </w:rPr>
      </w:pPr>
      <w:r>
        <w:rPr>
          <w:rFonts w:ascii="宋体" w:hAnsi="宋体" w:eastAsia="宋体" w:cs="宋体"/>
          <w:spacing w:val="-12"/>
          <w:sz w:val="24"/>
          <w:szCs w:val="24"/>
        </w:rPr>
        <w:t>附图</w:t>
      </w:r>
      <w:r>
        <w:rPr>
          <w:rFonts w:ascii="宋体" w:hAnsi="宋体" w:eastAsia="宋体" w:cs="宋体"/>
          <w:spacing w:val="-30"/>
          <w:sz w:val="24"/>
          <w:szCs w:val="24"/>
        </w:rPr>
        <w:t xml:space="preserve"> </w:t>
      </w:r>
      <w:r>
        <w:rPr>
          <w:rFonts w:ascii="Times New Roman" w:hAnsi="Times New Roman" w:eastAsia="Times New Roman" w:cs="Times New Roman"/>
          <w:spacing w:val="-12"/>
          <w:sz w:val="24"/>
          <w:szCs w:val="24"/>
        </w:rPr>
        <w:t>16</w:t>
      </w:r>
      <w:r>
        <w:rPr>
          <w:rFonts w:ascii="宋体" w:hAnsi="宋体" w:eastAsia="宋体" w:cs="宋体"/>
          <w:spacing w:val="-12"/>
          <w:sz w:val="24"/>
          <w:szCs w:val="24"/>
        </w:rPr>
        <w:t>。</w:t>
      </w:r>
    </w:p>
    <w:p>
      <w:pPr>
        <w:spacing w:before="154" w:line="220" w:lineRule="auto"/>
        <w:ind w:left="518"/>
        <w:rPr>
          <w:rFonts w:ascii="宋体" w:hAnsi="宋体" w:eastAsia="宋体" w:cs="宋体"/>
          <w:sz w:val="24"/>
          <w:szCs w:val="24"/>
        </w:rPr>
      </w:pPr>
      <w:r>
        <w:rPr>
          <w:rFonts w:ascii="宋体" w:hAnsi="宋体" w:eastAsia="宋体" w:cs="宋体"/>
          <w:spacing w:val="-1"/>
          <w:sz w:val="24"/>
          <w:szCs w:val="24"/>
        </w:rPr>
        <w:t>Ⅲ</w:t>
      </w:r>
      <w:r>
        <w:rPr>
          <w:rFonts w:ascii="Times New Roman" w:hAnsi="Times New Roman" w:eastAsia="Times New Roman" w:cs="Times New Roman"/>
          <w:spacing w:val="-1"/>
          <w:sz w:val="24"/>
          <w:szCs w:val="24"/>
        </w:rPr>
        <w:t>.</w:t>
      </w:r>
      <w:r>
        <w:rPr>
          <w:rFonts w:ascii="宋体" w:hAnsi="宋体" w:eastAsia="宋体" w:cs="宋体"/>
          <w:spacing w:val="-1"/>
          <w:sz w:val="24"/>
          <w:szCs w:val="24"/>
        </w:rPr>
        <w:t>位点（样点）调查</w:t>
      </w:r>
    </w:p>
    <w:p>
      <w:pPr>
        <w:spacing w:before="156" w:line="338" w:lineRule="auto"/>
        <w:ind w:left="66" w:firstLine="454"/>
        <w:rPr>
          <w:rFonts w:ascii="宋体" w:hAnsi="宋体" w:eastAsia="宋体" w:cs="宋体"/>
          <w:sz w:val="24"/>
          <w:szCs w:val="24"/>
        </w:rPr>
      </w:pPr>
      <w:r>
        <w:rPr>
          <w:rFonts w:ascii="宋体" w:hAnsi="宋体" w:eastAsia="宋体" w:cs="宋体"/>
          <w:spacing w:val="-6"/>
          <w:sz w:val="24"/>
          <w:szCs w:val="24"/>
        </w:rPr>
        <w:t>主要用于桂花河及其支流等河流、碧么水库等周围水库（水塘）</w:t>
      </w:r>
      <w:r>
        <w:rPr>
          <w:rFonts w:ascii="宋体" w:hAnsi="宋体" w:eastAsia="宋体" w:cs="宋体"/>
          <w:spacing w:val="-28"/>
          <w:sz w:val="24"/>
          <w:szCs w:val="24"/>
        </w:rPr>
        <w:t xml:space="preserve"> </w:t>
      </w:r>
      <w:r>
        <w:rPr>
          <w:rFonts w:ascii="宋体" w:hAnsi="宋体" w:eastAsia="宋体" w:cs="宋体"/>
          <w:spacing w:val="-6"/>
          <w:sz w:val="24"/>
          <w:szCs w:val="24"/>
        </w:rPr>
        <w:t>的鸟类调查</w:t>
      </w:r>
      <w:r>
        <w:rPr>
          <w:rFonts w:ascii="宋体" w:hAnsi="宋体" w:eastAsia="宋体" w:cs="宋体"/>
          <w:sz w:val="24"/>
          <w:szCs w:val="24"/>
        </w:rPr>
        <w:t xml:space="preserve"> </w:t>
      </w:r>
      <w:r>
        <w:rPr>
          <w:rFonts w:ascii="宋体" w:hAnsi="宋体" w:eastAsia="宋体" w:cs="宋体"/>
          <w:spacing w:val="-2"/>
          <w:sz w:val="24"/>
          <w:szCs w:val="24"/>
        </w:rPr>
        <w:t>以及村庄的动物调查。在水库周边视野较为开阔区域以及村庄内设置调查位点，</w:t>
      </w:r>
    </w:p>
    <w:p>
      <w:pPr>
        <w:spacing w:before="1" w:line="219" w:lineRule="auto"/>
        <w:ind w:left="40"/>
        <w:rPr>
          <w:rFonts w:ascii="宋体" w:hAnsi="宋体" w:eastAsia="宋体" w:cs="宋体"/>
          <w:sz w:val="24"/>
          <w:szCs w:val="24"/>
        </w:rPr>
      </w:pPr>
      <w:r>
        <w:rPr>
          <w:rFonts w:ascii="宋体" w:hAnsi="宋体" w:eastAsia="宋体" w:cs="宋体"/>
          <w:spacing w:val="-1"/>
          <w:sz w:val="24"/>
          <w:szCs w:val="24"/>
        </w:rPr>
        <w:t>利用</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8</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双筒望远镜对位点周边（不定半径）出现的动物进行观察记录。</w:t>
      </w:r>
    </w:p>
    <w:p>
      <w:pPr>
        <w:spacing w:before="155" w:line="220" w:lineRule="auto"/>
        <w:ind w:left="528"/>
        <w:rPr>
          <w:rFonts w:ascii="宋体" w:hAnsi="宋体" w:eastAsia="宋体" w:cs="宋体"/>
          <w:sz w:val="24"/>
          <w:szCs w:val="24"/>
        </w:rPr>
      </w:pPr>
      <w:r>
        <w:rPr>
          <w:rFonts w:ascii="宋体" w:hAnsi="宋体" w:eastAsia="宋体" w:cs="宋体"/>
          <w:spacing w:val="-4"/>
          <w:sz w:val="24"/>
          <w:szCs w:val="24"/>
        </w:rPr>
        <w:t>Ⅳ</w:t>
      </w:r>
      <w:r>
        <w:rPr>
          <w:rFonts w:ascii="Times New Roman" w:hAnsi="Times New Roman" w:eastAsia="Times New Roman" w:cs="Times New Roman"/>
          <w:spacing w:val="-4"/>
          <w:sz w:val="24"/>
          <w:szCs w:val="24"/>
        </w:rPr>
        <w:t>.</w:t>
      </w:r>
      <w:r>
        <w:rPr>
          <w:rFonts w:ascii="宋体" w:hAnsi="宋体" w:eastAsia="宋体" w:cs="宋体"/>
          <w:spacing w:val="-4"/>
          <w:sz w:val="24"/>
          <w:szCs w:val="24"/>
        </w:rPr>
        <w:t>访问调查</w:t>
      </w:r>
    </w:p>
    <w:p>
      <w:pPr>
        <w:spacing w:before="154" w:line="220" w:lineRule="auto"/>
        <w:ind w:left="548"/>
        <w:rPr>
          <w:rFonts w:ascii="宋体" w:hAnsi="宋体" w:eastAsia="宋体" w:cs="宋体"/>
          <w:sz w:val="24"/>
          <w:szCs w:val="24"/>
        </w:rPr>
      </w:pPr>
      <w:r>
        <w:rPr>
          <w:rFonts w:ascii="宋体" w:hAnsi="宋体" w:eastAsia="宋体" w:cs="宋体"/>
          <w:spacing w:val="-13"/>
          <w:sz w:val="24"/>
          <w:szCs w:val="24"/>
        </w:rPr>
        <w:t>由于调查季节、调查时间的限制，</w:t>
      </w:r>
      <w:r>
        <w:rPr>
          <w:rFonts w:ascii="宋体" w:hAnsi="宋体" w:eastAsia="宋体" w:cs="宋体"/>
          <w:spacing w:val="30"/>
          <w:sz w:val="24"/>
          <w:szCs w:val="24"/>
        </w:rPr>
        <w:t xml:space="preserve"> </w:t>
      </w:r>
      <w:r>
        <w:rPr>
          <w:rFonts w:ascii="宋体" w:hAnsi="宋体" w:eastAsia="宋体" w:cs="宋体"/>
          <w:spacing w:val="-13"/>
          <w:sz w:val="24"/>
          <w:szCs w:val="24"/>
        </w:rPr>
        <w:t>且部分动物的警惕性较高，</w:t>
      </w:r>
      <w:r>
        <w:rPr>
          <w:rFonts w:ascii="宋体" w:hAnsi="宋体" w:eastAsia="宋体" w:cs="宋体"/>
          <w:spacing w:val="29"/>
          <w:sz w:val="24"/>
          <w:szCs w:val="24"/>
        </w:rPr>
        <w:t xml:space="preserve"> </w:t>
      </w:r>
      <w:r>
        <w:rPr>
          <w:rFonts w:ascii="宋体" w:hAnsi="宋体" w:eastAsia="宋体" w:cs="宋体"/>
          <w:spacing w:val="-13"/>
          <w:sz w:val="24"/>
          <w:szCs w:val="24"/>
        </w:rPr>
        <w:t>在实地调</w:t>
      </w:r>
      <w:r>
        <w:rPr>
          <w:rFonts w:ascii="宋体" w:hAnsi="宋体" w:eastAsia="宋体" w:cs="宋体"/>
          <w:spacing w:val="-14"/>
          <w:sz w:val="24"/>
          <w:szCs w:val="24"/>
        </w:rPr>
        <w:t>查过</w:t>
      </w:r>
    </w:p>
    <w:p>
      <w:pPr>
        <w:spacing w:line="220" w:lineRule="auto"/>
        <w:rPr>
          <w:rFonts w:ascii="宋体" w:hAnsi="宋体" w:eastAsia="宋体" w:cs="宋体"/>
          <w:sz w:val="24"/>
          <w:szCs w:val="24"/>
        </w:rPr>
        <w:sectPr>
          <w:headerReference r:id="rId298" w:type="default"/>
          <w:footerReference r:id="rId299" w:type="default"/>
          <w:pgSz w:w="11907" w:h="16839"/>
          <w:pgMar w:top="1156" w:right="1732" w:bottom="1374" w:left="1770" w:header="881" w:footer="1210" w:gutter="0"/>
        </w:sectPr>
      </w:pPr>
    </w:p>
    <w:p>
      <w:pPr>
        <w:spacing w:line="345" w:lineRule="auto"/>
        <w:rPr>
          <w:rFonts w:ascii="Arial"/>
          <w:sz w:val="21"/>
        </w:rPr>
      </w:pPr>
    </w:p>
    <w:p>
      <w:pPr>
        <w:spacing w:before="78" w:line="339" w:lineRule="auto"/>
        <w:ind w:left="38" w:right="85"/>
        <w:rPr>
          <w:rFonts w:ascii="宋体" w:hAnsi="宋体" w:eastAsia="宋体" w:cs="宋体"/>
          <w:sz w:val="24"/>
          <w:szCs w:val="24"/>
        </w:rPr>
      </w:pPr>
      <w:r>
        <w:rPr>
          <w:rFonts w:ascii="宋体" w:hAnsi="宋体" w:eastAsia="宋体" w:cs="宋体"/>
          <w:spacing w:val="-6"/>
          <w:sz w:val="24"/>
          <w:szCs w:val="24"/>
        </w:rPr>
        <w:t>程中难以遇见， 故访查调查可有效收集调查区内辨识度较高的动</w:t>
      </w:r>
      <w:r>
        <w:rPr>
          <w:rFonts w:ascii="宋体" w:hAnsi="宋体" w:eastAsia="宋体" w:cs="宋体"/>
          <w:spacing w:val="-7"/>
          <w:sz w:val="24"/>
          <w:szCs w:val="24"/>
        </w:rPr>
        <w:t>物资料。本次访</w:t>
      </w:r>
      <w:r>
        <w:rPr>
          <w:rFonts w:ascii="宋体" w:hAnsi="宋体" w:eastAsia="宋体" w:cs="宋体"/>
          <w:sz w:val="24"/>
          <w:szCs w:val="24"/>
        </w:rPr>
        <w:t xml:space="preserve"> </w:t>
      </w:r>
      <w:r>
        <w:rPr>
          <w:rFonts w:ascii="宋体" w:hAnsi="宋体" w:eastAsia="宋体" w:cs="宋体"/>
          <w:spacing w:val="-6"/>
          <w:sz w:val="24"/>
          <w:szCs w:val="24"/>
        </w:rPr>
        <w:t xml:space="preserve">查对象主要为调查区内的居民和劳作人员等。访查内容主要为： </w:t>
      </w:r>
      <w:r>
        <w:rPr>
          <w:rFonts w:ascii="宋体" w:hAnsi="宋体" w:eastAsia="宋体" w:cs="宋体"/>
          <w:spacing w:val="-7"/>
          <w:sz w:val="24"/>
          <w:szCs w:val="24"/>
        </w:rPr>
        <w:t>调查区及周边可</w:t>
      </w:r>
      <w:r>
        <w:rPr>
          <w:rFonts w:ascii="宋体" w:hAnsi="宋体" w:eastAsia="宋体" w:cs="宋体"/>
          <w:sz w:val="24"/>
          <w:szCs w:val="24"/>
        </w:rPr>
        <w:t xml:space="preserve"> </w:t>
      </w:r>
      <w:r>
        <w:rPr>
          <w:rFonts w:ascii="宋体" w:hAnsi="宋体" w:eastAsia="宋体" w:cs="宋体"/>
          <w:spacing w:val="-10"/>
          <w:sz w:val="24"/>
          <w:szCs w:val="24"/>
        </w:rPr>
        <w:t>见的大中型动物主要有哪些；</w:t>
      </w:r>
      <w:r>
        <w:rPr>
          <w:rFonts w:ascii="宋体" w:hAnsi="宋体" w:eastAsia="宋体" w:cs="宋体"/>
          <w:spacing w:val="33"/>
          <w:sz w:val="24"/>
          <w:szCs w:val="24"/>
        </w:rPr>
        <w:t xml:space="preserve"> </w:t>
      </w:r>
      <w:r>
        <w:rPr>
          <w:rFonts w:ascii="宋体" w:hAnsi="宋体" w:eastAsia="宋体" w:cs="宋体"/>
          <w:spacing w:val="-10"/>
          <w:sz w:val="24"/>
          <w:szCs w:val="24"/>
        </w:rPr>
        <w:t>当地历史上和现</w:t>
      </w:r>
      <w:r>
        <w:rPr>
          <w:rFonts w:ascii="宋体" w:hAnsi="宋体" w:eastAsia="宋体" w:cs="宋体"/>
          <w:spacing w:val="-11"/>
          <w:sz w:val="24"/>
          <w:szCs w:val="24"/>
        </w:rPr>
        <w:t>在是否存在狩猎习俗， 主要狩猎对</w:t>
      </w:r>
      <w:r>
        <w:rPr>
          <w:rFonts w:ascii="宋体" w:hAnsi="宋体" w:eastAsia="宋体" w:cs="宋体"/>
          <w:sz w:val="24"/>
          <w:szCs w:val="24"/>
        </w:rPr>
        <w:t xml:space="preserve"> </w:t>
      </w:r>
      <w:r>
        <w:rPr>
          <w:rFonts w:ascii="宋体" w:hAnsi="宋体" w:eastAsia="宋体" w:cs="宋体"/>
          <w:spacing w:val="-17"/>
          <w:sz w:val="24"/>
          <w:szCs w:val="24"/>
        </w:rPr>
        <w:t>象有哪些；</w:t>
      </w:r>
      <w:r>
        <w:rPr>
          <w:rFonts w:ascii="宋体" w:hAnsi="宋体" w:eastAsia="宋体" w:cs="宋体"/>
          <w:spacing w:val="-68"/>
          <w:sz w:val="24"/>
          <w:szCs w:val="24"/>
        </w:rPr>
        <w:t xml:space="preserve"> </w:t>
      </w:r>
      <w:r>
        <w:rPr>
          <w:rFonts w:ascii="宋体" w:hAnsi="宋体" w:eastAsia="宋体" w:cs="宋体"/>
          <w:spacing w:val="-17"/>
          <w:sz w:val="24"/>
          <w:szCs w:val="24"/>
        </w:rPr>
        <w:t>当地是否有毒蛇分布，</w:t>
      </w:r>
      <w:r>
        <w:rPr>
          <w:rFonts w:ascii="宋体" w:hAnsi="宋体" w:eastAsia="宋体" w:cs="宋体"/>
          <w:spacing w:val="-48"/>
          <w:sz w:val="24"/>
          <w:szCs w:val="24"/>
        </w:rPr>
        <w:t xml:space="preserve"> </w:t>
      </w:r>
      <w:r>
        <w:rPr>
          <w:rFonts w:ascii="宋体" w:hAnsi="宋体" w:eastAsia="宋体" w:cs="宋体"/>
          <w:spacing w:val="-17"/>
          <w:sz w:val="24"/>
          <w:szCs w:val="24"/>
        </w:rPr>
        <w:t>大概特征是什么；</w:t>
      </w:r>
      <w:r>
        <w:rPr>
          <w:rFonts w:ascii="宋体" w:hAnsi="宋体" w:eastAsia="宋体" w:cs="宋体"/>
          <w:spacing w:val="-32"/>
          <w:sz w:val="24"/>
          <w:szCs w:val="24"/>
        </w:rPr>
        <w:t xml:space="preserve"> </w:t>
      </w:r>
      <w:r>
        <w:rPr>
          <w:rFonts w:ascii="宋体" w:hAnsi="宋体" w:eastAsia="宋体" w:cs="宋体"/>
          <w:spacing w:val="-17"/>
          <w:sz w:val="24"/>
          <w:szCs w:val="24"/>
        </w:rPr>
        <w:t>当地主要的食用蛙类有哪些；</w:t>
      </w:r>
      <w:r>
        <w:rPr>
          <w:rFonts w:ascii="宋体" w:hAnsi="宋体" w:eastAsia="宋体" w:cs="宋体"/>
          <w:sz w:val="24"/>
          <w:szCs w:val="24"/>
        </w:rPr>
        <w:t xml:space="preserve"> </w:t>
      </w:r>
      <w:r>
        <w:rPr>
          <w:rFonts w:ascii="宋体" w:hAnsi="宋体" w:eastAsia="宋体" w:cs="宋体"/>
          <w:spacing w:val="-9"/>
          <w:sz w:val="24"/>
          <w:szCs w:val="24"/>
        </w:rPr>
        <w:t>在调查区是否有分布； 周边是否有秋季夜间上山采用灯光或</w:t>
      </w:r>
      <w:r>
        <w:rPr>
          <w:rFonts w:ascii="宋体" w:hAnsi="宋体" w:eastAsia="宋体" w:cs="宋体"/>
          <w:spacing w:val="-10"/>
          <w:sz w:val="24"/>
          <w:szCs w:val="24"/>
        </w:rPr>
        <w:t>火光捕鸟的情况； 秋</w:t>
      </w:r>
      <w:r>
        <w:rPr>
          <w:rFonts w:ascii="宋体" w:hAnsi="宋体" w:eastAsia="宋体" w:cs="宋体"/>
          <w:sz w:val="24"/>
          <w:szCs w:val="24"/>
        </w:rPr>
        <w:t xml:space="preserve"> </w:t>
      </w:r>
      <w:r>
        <w:rPr>
          <w:rFonts w:ascii="宋体" w:hAnsi="宋体" w:eastAsia="宋体" w:cs="宋体"/>
          <w:spacing w:val="-9"/>
          <w:sz w:val="24"/>
          <w:szCs w:val="24"/>
        </w:rPr>
        <w:t>季夜间是否有鸟类飞入村舍的现象； 秋季夜间是否听到鸟叫</w:t>
      </w:r>
      <w:r>
        <w:rPr>
          <w:rFonts w:ascii="宋体" w:hAnsi="宋体" w:eastAsia="宋体" w:cs="宋体"/>
          <w:spacing w:val="-10"/>
          <w:sz w:val="24"/>
          <w:szCs w:val="24"/>
        </w:rPr>
        <w:t>声； 调查区周边是否</w:t>
      </w:r>
    </w:p>
    <w:p>
      <w:pPr>
        <w:spacing w:line="219" w:lineRule="auto"/>
        <w:ind w:left="40"/>
        <w:rPr>
          <w:rFonts w:ascii="宋体" w:hAnsi="宋体" w:eastAsia="宋体" w:cs="宋体"/>
          <w:sz w:val="24"/>
          <w:szCs w:val="24"/>
        </w:rPr>
      </w:pPr>
      <w:r>
        <w:rPr>
          <w:rFonts w:ascii="宋体" w:hAnsi="宋体" w:eastAsia="宋体" w:cs="宋体"/>
          <w:spacing w:val="-5"/>
          <w:sz w:val="24"/>
          <w:szCs w:val="24"/>
        </w:rPr>
        <w:t>有秋季捕鹰场所。</w:t>
      </w:r>
    </w:p>
    <w:p>
      <w:pPr>
        <w:spacing w:before="155" w:line="338" w:lineRule="auto"/>
        <w:ind w:left="40" w:right="96" w:firstLine="493"/>
        <w:rPr>
          <w:rFonts w:ascii="宋体" w:hAnsi="宋体" w:eastAsia="宋体" w:cs="宋体"/>
          <w:sz w:val="24"/>
          <w:szCs w:val="24"/>
        </w:rPr>
      </w:pPr>
      <w:r>
        <w:rPr>
          <w:rFonts w:ascii="宋体" w:hAnsi="宋体" w:eastAsia="宋体" w:cs="宋体"/>
          <w:spacing w:val="-10"/>
          <w:sz w:val="24"/>
          <w:szCs w:val="24"/>
        </w:rPr>
        <w:t>除此之外，也利用《中国兽类野外手册》（史密斯等，</w:t>
      </w:r>
      <w:r>
        <w:rPr>
          <w:rFonts w:ascii="Times New Roman" w:hAnsi="Times New Roman" w:eastAsia="Times New Roman" w:cs="Times New Roman"/>
          <w:spacing w:val="-10"/>
          <w:sz w:val="24"/>
          <w:szCs w:val="24"/>
        </w:rPr>
        <w:t>200</w:t>
      </w:r>
      <w:r>
        <w:rPr>
          <w:rFonts w:ascii="Times New Roman" w:hAnsi="Times New Roman" w:eastAsia="Times New Roman" w:cs="Times New Roman"/>
          <w:spacing w:val="-11"/>
          <w:sz w:val="24"/>
          <w:szCs w:val="24"/>
        </w:rPr>
        <w:t>9</w:t>
      </w:r>
      <w:r>
        <w:rPr>
          <w:rFonts w:ascii="宋体" w:hAnsi="宋体" w:eastAsia="宋体" w:cs="宋体"/>
          <w:spacing w:val="-11"/>
          <w:sz w:val="24"/>
          <w:szCs w:val="24"/>
        </w:rPr>
        <w:t>）、《中国鸟类野</w:t>
      </w:r>
      <w:r>
        <w:rPr>
          <w:rFonts w:ascii="宋体" w:hAnsi="宋体" w:eastAsia="宋体" w:cs="宋体"/>
          <w:sz w:val="24"/>
          <w:szCs w:val="24"/>
        </w:rPr>
        <w:t xml:space="preserve"> </w:t>
      </w:r>
      <w:r>
        <w:rPr>
          <w:rFonts w:ascii="宋体" w:hAnsi="宋体" w:eastAsia="宋体" w:cs="宋体"/>
          <w:spacing w:val="-24"/>
          <w:sz w:val="24"/>
          <w:szCs w:val="24"/>
        </w:rPr>
        <w:t>外手册》（约翰·马敬能等，</w:t>
      </w:r>
      <w:r>
        <w:rPr>
          <w:rFonts w:ascii="宋体" w:hAnsi="宋体" w:eastAsia="宋体" w:cs="宋体"/>
          <w:spacing w:val="-44"/>
          <w:sz w:val="24"/>
          <w:szCs w:val="24"/>
        </w:rPr>
        <w:t xml:space="preserve"> </w:t>
      </w:r>
      <w:r>
        <w:rPr>
          <w:rFonts w:ascii="Times New Roman" w:hAnsi="Times New Roman" w:eastAsia="Times New Roman" w:cs="Times New Roman"/>
          <w:spacing w:val="-24"/>
          <w:sz w:val="24"/>
          <w:szCs w:val="24"/>
        </w:rPr>
        <w:t>2000</w:t>
      </w:r>
      <w:r>
        <w:rPr>
          <w:rFonts w:ascii="宋体" w:hAnsi="宋体" w:eastAsia="宋体" w:cs="宋体"/>
          <w:spacing w:val="-24"/>
          <w:sz w:val="24"/>
          <w:szCs w:val="24"/>
        </w:rPr>
        <w:t xml:space="preserve">）、《中国鸟类观察手册》（刘阳和陈水华， </w:t>
      </w:r>
      <w:r>
        <w:rPr>
          <w:rFonts w:ascii="Times New Roman" w:hAnsi="Times New Roman" w:eastAsia="Times New Roman" w:cs="Times New Roman"/>
          <w:spacing w:val="-24"/>
          <w:sz w:val="24"/>
          <w:szCs w:val="24"/>
        </w:rPr>
        <w:t>2021</w:t>
      </w:r>
      <w:r>
        <w:rPr>
          <w:rFonts w:ascii="宋体" w:hAnsi="宋体" w:eastAsia="宋体" w:cs="宋体"/>
          <w:spacing w:val="-24"/>
          <w:sz w:val="24"/>
          <w:szCs w:val="24"/>
        </w:rPr>
        <w:t>）</w:t>
      </w:r>
      <w:r>
        <w:rPr>
          <w:rFonts w:ascii="宋体" w:hAnsi="宋体" w:eastAsia="宋体" w:cs="宋体"/>
          <w:sz w:val="24"/>
          <w:szCs w:val="24"/>
        </w:rPr>
        <w:t xml:space="preserve"> </w:t>
      </w:r>
      <w:r>
        <w:rPr>
          <w:rFonts w:ascii="宋体" w:hAnsi="宋体" w:eastAsia="宋体" w:cs="宋体"/>
          <w:spacing w:val="-3"/>
          <w:sz w:val="24"/>
          <w:szCs w:val="24"/>
        </w:rPr>
        <w:t>和《中国爬行动物图鉴》（中国野生动物保护协会，</w:t>
      </w:r>
      <w:r>
        <w:rPr>
          <w:rFonts w:ascii="Times New Roman" w:hAnsi="Times New Roman" w:eastAsia="Times New Roman" w:cs="Times New Roman"/>
          <w:spacing w:val="-3"/>
          <w:sz w:val="24"/>
          <w:szCs w:val="24"/>
        </w:rPr>
        <w:t>2002</w:t>
      </w:r>
      <w:r>
        <w:rPr>
          <w:rFonts w:ascii="宋体" w:hAnsi="宋体" w:eastAsia="宋体" w:cs="宋体"/>
          <w:spacing w:val="-3"/>
          <w:sz w:val="24"/>
          <w:szCs w:val="24"/>
        </w:rPr>
        <w:t>）的图片请</w:t>
      </w:r>
      <w:r>
        <w:rPr>
          <w:rFonts w:ascii="宋体" w:hAnsi="宋体" w:eastAsia="宋体" w:cs="宋体"/>
          <w:spacing w:val="-4"/>
          <w:sz w:val="24"/>
          <w:szCs w:val="24"/>
        </w:rPr>
        <w:t>当地居民进</w:t>
      </w:r>
    </w:p>
    <w:p>
      <w:pPr>
        <w:spacing w:line="219" w:lineRule="auto"/>
        <w:ind w:left="43"/>
        <w:rPr>
          <w:rFonts w:ascii="宋体" w:hAnsi="宋体" w:eastAsia="宋体" w:cs="宋体"/>
          <w:sz w:val="24"/>
          <w:szCs w:val="24"/>
        </w:rPr>
      </w:pPr>
      <w:r>
        <w:rPr>
          <w:rFonts w:ascii="宋体" w:hAnsi="宋体" w:eastAsia="宋体" w:cs="宋体"/>
          <w:spacing w:val="-3"/>
          <w:sz w:val="24"/>
          <w:szCs w:val="24"/>
        </w:rPr>
        <w:t>行辨识，收集当地陆生动物资料。参考了以下文献资料：</w:t>
      </w:r>
    </w:p>
    <w:p>
      <w:pPr>
        <w:spacing w:before="155" w:line="441" w:lineRule="exact"/>
        <w:ind w:left="519"/>
        <w:rPr>
          <w:rFonts w:ascii="宋体" w:hAnsi="宋体" w:eastAsia="宋体" w:cs="宋体"/>
          <w:sz w:val="24"/>
          <w:szCs w:val="24"/>
        </w:rPr>
      </w:pPr>
      <w:r>
        <w:rPr>
          <w:rFonts w:ascii="宋体" w:hAnsi="宋体" w:eastAsia="宋体" w:cs="宋体"/>
          <w:spacing w:val="3"/>
          <w:position w:val="15"/>
          <w:sz w:val="24"/>
          <w:szCs w:val="24"/>
        </w:rPr>
        <w:t>岩道</w:t>
      </w:r>
      <w:r>
        <w:rPr>
          <w:rFonts w:ascii="Times New Roman" w:hAnsi="Times New Roman" w:eastAsia="Times New Roman" w:cs="Times New Roman"/>
          <w:spacing w:val="3"/>
          <w:position w:val="15"/>
          <w:sz w:val="24"/>
          <w:szCs w:val="24"/>
        </w:rPr>
        <w:t xml:space="preserve">,  </w:t>
      </w:r>
      <w:r>
        <w:rPr>
          <w:rFonts w:ascii="宋体" w:hAnsi="宋体" w:eastAsia="宋体" w:cs="宋体"/>
          <w:spacing w:val="3"/>
          <w:position w:val="15"/>
          <w:sz w:val="24"/>
          <w:szCs w:val="24"/>
        </w:rPr>
        <w:t>韩联宪</w:t>
      </w:r>
      <w:r>
        <w:rPr>
          <w:rFonts w:ascii="Times New Roman" w:hAnsi="Times New Roman" w:eastAsia="Times New Roman" w:cs="Times New Roman"/>
          <w:spacing w:val="3"/>
          <w:position w:val="15"/>
          <w:sz w:val="24"/>
          <w:szCs w:val="24"/>
        </w:rPr>
        <w:t xml:space="preserve">,  </w:t>
      </w:r>
      <w:r>
        <w:rPr>
          <w:rFonts w:ascii="宋体" w:hAnsi="宋体" w:eastAsia="宋体" w:cs="宋体"/>
          <w:spacing w:val="3"/>
          <w:position w:val="15"/>
          <w:sz w:val="24"/>
          <w:szCs w:val="24"/>
        </w:rPr>
        <w:t>程闯等</w:t>
      </w:r>
      <w:r>
        <w:rPr>
          <w:rFonts w:ascii="Times New Roman" w:hAnsi="Times New Roman" w:eastAsia="Times New Roman" w:cs="Times New Roman"/>
          <w:spacing w:val="3"/>
          <w:position w:val="15"/>
          <w:sz w:val="24"/>
          <w:szCs w:val="24"/>
        </w:rPr>
        <w:t xml:space="preserve">.  </w:t>
      </w:r>
      <w:r>
        <w:rPr>
          <w:rFonts w:ascii="宋体" w:hAnsi="宋体" w:eastAsia="宋体" w:cs="宋体"/>
          <w:spacing w:val="3"/>
          <w:position w:val="15"/>
          <w:sz w:val="24"/>
          <w:szCs w:val="24"/>
        </w:rPr>
        <w:t>紫溪山云南松林春季鸟类的垂直空间分布</w:t>
      </w:r>
      <w:r>
        <w:rPr>
          <w:rFonts w:ascii="Times New Roman" w:hAnsi="Times New Roman" w:eastAsia="Times New Roman" w:cs="Times New Roman"/>
          <w:spacing w:val="3"/>
          <w:position w:val="15"/>
          <w:sz w:val="24"/>
          <w:szCs w:val="24"/>
        </w:rPr>
        <w:t xml:space="preserve">(J).  </w:t>
      </w:r>
      <w:r>
        <w:rPr>
          <w:rFonts w:ascii="宋体" w:hAnsi="宋体" w:eastAsia="宋体" w:cs="宋体"/>
          <w:spacing w:val="3"/>
          <w:position w:val="15"/>
          <w:sz w:val="24"/>
          <w:szCs w:val="24"/>
        </w:rPr>
        <w:t>西南</w:t>
      </w:r>
    </w:p>
    <w:p>
      <w:pPr>
        <w:spacing w:before="1" w:line="212" w:lineRule="auto"/>
        <w:ind w:left="40"/>
        <w:rPr>
          <w:rFonts w:ascii="Times New Roman" w:hAnsi="Times New Roman" w:eastAsia="Times New Roman" w:cs="Times New Roman"/>
          <w:sz w:val="24"/>
          <w:szCs w:val="24"/>
        </w:rPr>
      </w:pPr>
      <w:r>
        <w:rPr>
          <w:rFonts w:ascii="宋体" w:hAnsi="宋体" w:eastAsia="宋体" w:cs="宋体"/>
          <w:sz w:val="24"/>
          <w:szCs w:val="24"/>
        </w:rPr>
        <w:t>林业大学学报</w:t>
      </w:r>
      <w:r>
        <w:rPr>
          <w:rFonts w:ascii="Times New Roman" w:hAnsi="Times New Roman" w:eastAsia="Times New Roman" w:cs="Times New Roman"/>
          <w:sz w:val="24"/>
          <w:szCs w:val="24"/>
        </w:rPr>
        <w:t>, 2012, 032(0</w:t>
      </w:r>
      <w:r>
        <w:rPr>
          <w:rFonts w:ascii="Times New Roman" w:hAnsi="Times New Roman" w:eastAsia="Times New Roman" w:cs="Times New Roman"/>
          <w:spacing w:val="-1"/>
          <w:sz w:val="24"/>
          <w:szCs w:val="24"/>
        </w:rPr>
        <w:t>01): 69-73.</w:t>
      </w:r>
    </w:p>
    <w:p>
      <w:pPr>
        <w:spacing w:before="162" w:line="339" w:lineRule="auto"/>
        <w:ind w:left="40" w:right="84" w:firstLine="482"/>
        <w:rPr>
          <w:rFonts w:ascii="宋体" w:hAnsi="宋体" w:eastAsia="宋体" w:cs="宋体"/>
          <w:sz w:val="24"/>
          <w:szCs w:val="24"/>
        </w:rPr>
      </w:pPr>
      <w:r>
        <w:rPr>
          <w:rFonts w:ascii="宋体" w:hAnsi="宋体" w:eastAsia="宋体" w:cs="宋体"/>
          <w:spacing w:val="3"/>
          <w:sz w:val="24"/>
          <w:szCs w:val="24"/>
        </w:rPr>
        <w:t>冯莹莹</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李奇生</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梁丹等</w:t>
      </w:r>
      <w:r>
        <w:rPr>
          <w:rFonts w:ascii="Times New Roman" w:hAnsi="Times New Roman" w:eastAsia="Times New Roman" w:cs="Times New Roman"/>
          <w:spacing w:val="3"/>
          <w:sz w:val="24"/>
          <w:szCs w:val="24"/>
        </w:rPr>
        <w:t>.</w:t>
      </w:r>
      <w:r>
        <w:rPr>
          <w:rFonts w:ascii="宋体" w:hAnsi="宋体" w:eastAsia="宋体" w:cs="宋体"/>
          <w:spacing w:val="3"/>
          <w:sz w:val="24"/>
          <w:szCs w:val="24"/>
        </w:rPr>
        <w:t>云南紫溪山自然保护区近十年冬季鸟类记录</w:t>
      </w:r>
      <w:r>
        <w:rPr>
          <w:rFonts w:ascii="Times New Roman" w:hAnsi="Times New Roman" w:eastAsia="Times New Roman" w:cs="Times New Roman"/>
          <w:spacing w:val="3"/>
          <w:sz w:val="24"/>
          <w:szCs w:val="24"/>
        </w:rPr>
        <w:t>©//</w:t>
      </w:r>
      <w:r>
        <w:rPr>
          <w:rFonts w:ascii="宋体" w:hAnsi="宋体" w:eastAsia="宋体" w:cs="宋体"/>
          <w:spacing w:val="3"/>
          <w:sz w:val="24"/>
          <w:szCs w:val="24"/>
        </w:rPr>
        <w:t>第</w:t>
      </w:r>
      <w:r>
        <w:rPr>
          <w:rFonts w:ascii="宋体" w:hAnsi="宋体" w:eastAsia="宋体" w:cs="宋体"/>
          <w:spacing w:val="1"/>
          <w:sz w:val="24"/>
          <w:szCs w:val="24"/>
        </w:rPr>
        <w:t xml:space="preserve"> </w:t>
      </w:r>
      <w:r>
        <w:rPr>
          <w:rFonts w:ascii="宋体" w:hAnsi="宋体" w:eastAsia="宋体" w:cs="宋体"/>
          <w:spacing w:val="4"/>
          <w:sz w:val="24"/>
          <w:szCs w:val="24"/>
        </w:rPr>
        <w:t>十三届全国野生动物生态与资源保护学术研讨会暨第六届</w:t>
      </w:r>
      <w:r>
        <w:rPr>
          <w:rFonts w:ascii="宋体" w:hAnsi="宋体" w:eastAsia="宋体" w:cs="宋体"/>
          <w:spacing w:val="3"/>
          <w:sz w:val="24"/>
          <w:szCs w:val="24"/>
        </w:rPr>
        <w:t>中国西部动物学学术</w:t>
      </w:r>
    </w:p>
    <w:p>
      <w:pPr>
        <w:spacing w:before="1" w:line="218" w:lineRule="auto"/>
        <w:ind w:left="39"/>
        <w:rPr>
          <w:rFonts w:ascii="Times New Roman" w:hAnsi="Times New Roman" w:eastAsia="Times New Roman" w:cs="Times New Roman"/>
          <w:sz w:val="24"/>
          <w:szCs w:val="24"/>
        </w:rPr>
      </w:pPr>
      <w:r>
        <w:rPr>
          <w:rFonts w:ascii="宋体" w:hAnsi="宋体" w:eastAsia="宋体" w:cs="宋体"/>
          <w:spacing w:val="-1"/>
          <w:sz w:val="24"/>
          <w:szCs w:val="24"/>
        </w:rPr>
        <w:t>研讨会论文摘要集</w:t>
      </w:r>
      <w:r>
        <w:rPr>
          <w:rFonts w:ascii="Times New Roman" w:hAnsi="Times New Roman" w:eastAsia="Times New Roman" w:cs="Times New Roman"/>
          <w:spacing w:val="-1"/>
          <w:sz w:val="24"/>
          <w:szCs w:val="24"/>
        </w:rPr>
        <w:t>. 2017.</w:t>
      </w:r>
    </w:p>
    <w:p>
      <w:pPr>
        <w:spacing w:before="155" w:line="440" w:lineRule="exact"/>
        <w:ind w:left="523"/>
        <w:rPr>
          <w:rFonts w:ascii="宋体" w:hAnsi="宋体" w:eastAsia="宋体" w:cs="宋体"/>
          <w:sz w:val="24"/>
          <w:szCs w:val="24"/>
        </w:rPr>
      </w:pPr>
      <w:r>
        <w:rPr>
          <w:rFonts w:ascii="宋体" w:hAnsi="宋体" w:eastAsia="宋体" w:cs="宋体"/>
          <w:spacing w:val="1"/>
          <w:position w:val="15"/>
          <w:sz w:val="24"/>
          <w:szCs w:val="24"/>
        </w:rPr>
        <w:t>冯莹莹</w:t>
      </w:r>
      <w:r>
        <w:rPr>
          <w:rFonts w:ascii="Times New Roman" w:hAnsi="Times New Roman" w:eastAsia="Times New Roman" w:cs="Times New Roman"/>
          <w:spacing w:val="1"/>
          <w:position w:val="15"/>
          <w:sz w:val="24"/>
          <w:szCs w:val="24"/>
        </w:rPr>
        <w:t xml:space="preserve">,  </w:t>
      </w:r>
      <w:r>
        <w:rPr>
          <w:rFonts w:ascii="宋体" w:hAnsi="宋体" w:eastAsia="宋体" w:cs="宋体"/>
          <w:spacing w:val="1"/>
          <w:position w:val="15"/>
          <w:sz w:val="24"/>
          <w:szCs w:val="24"/>
        </w:rPr>
        <w:t>李奇生</w:t>
      </w:r>
      <w:r>
        <w:rPr>
          <w:rFonts w:ascii="Times New Roman" w:hAnsi="Times New Roman" w:eastAsia="Times New Roman" w:cs="Times New Roman"/>
          <w:spacing w:val="1"/>
          <w:position w:val="15"/>
          <w:sz w:val="24"/>
          <w:szCs w:val="24"/>
        </w:rPr>
        <w:t xml:space="preserve">,  </w:t>
      </w:r>
      <w:r>
        <w:rPr>
          <w:rFonts w:ascii="宋体" w:hAnsi="宋体" w:eastAsia="宋体" w:cs="宋体"/>
          <w:spacing w:val="1"/>
          <w:position w:val="15"/>
          <w:sz w:val="24"/>
          <w:szCs w:val="24"/>
        </w:rPr>
        <w:t>梁丹</w:t>
      </w:r>
      <w:r>
        <w:rPr>
          <w:rFonts w:ascii="Times New Roman" w:hAnsi="Times New Roman" w:eastAsia="Times New Roman" w:cs="Times New Roman"/>
          <w:spacing w:val="1"/>
          <w:position w:val="15"/>
          <w:sz w:val="24"/>
          <w:szCs w:val="24"/>
        </w:rPr>
        <w:t xml:space="preserve">,  </w:t>
      </w:r>
      <w:r>
        <w:rPr>
          <w:rFonts w:ascii="宋体" w:hAnsi="宋体" w:eastAsia="宋体" w:cs="宋体"/>
          <w:spacing w:val="1"/>
          <w:position w:val="15"/>
          <w:sz w:val="24"/>
          <w:szCs w:val="24"/>
        </w:rPr>
        <w:t>等</w:t>
      </w:r>
      <w:r>
        <w:rPr>
          <w:rFonts w:ascii="Times New Roman" w:hAnsi="Times New Roman" w:eastAsia="Times New Roman" w:cs="Times New Roman"/>
          <w:spacing w:val="1"/>
          <w:position w:val="15"/>
          <w:sz w:val="24"/>
          <w:szCs w:val="24"/>
        </w:rPr>
        <w:t xml:space="preserve">.  </w:t>
      </w:r>
      <w:r>
        <w:rPr>
          <w:rFonts w:ascii="宋体" w:hAnsi="宋体" w:eastAsia="宋体" w:cs="宋体"/>
          <w:spacing w:val="1"/>
          <w:position w:val="15"/>
          <w:sz w:val="24"/>
          <w:szCs w:val="24"/>
        </w:rPr>
        <w:t>云南紫溪山冬季鸟类丰富度年间变化研究</w:t>
      </w:r>
      <w:r>
        <w:rPr>
          <w:rFonts w:ascii="Times New Roman" w:hAnsi="Times New Roman" w:eastAsia="Times New Roman" w:cs="Times New Roman"/>
          <w:spacing w:val="1"/>
          <w:position w:val="15"/>
          <w:sz w:val="24"/>
          <w:szCs w:val="24"/>
        </w:rPr>
        <w:t>(J).</w:t>
      </w:r>
      <w:r>
        <w:rPr>
          <w:rFonts w:ascii="宋体" w:hAnsi="宋体" w:eastAsia="宋体" w:cs="宋体"/>
          <w:spacing w:val="1"/>
          <w:position w:val="15"/>
          <w:sz w:val="24"/>
          <w:szCs w:val="24"/>
        </w:rPr>
        <w:t>西</w:t>
      </w:r>
    </w:p>
    <w:p>
      <w:pPr>
        <w:spacing w:before="1" w:line="212" w:lineRule="auto"/>
        <w:ind w:left="42"/>
        <w:rPr>
          <w:rFonts w:ascii="Times New Roman" w:hAnsi="Times New Roman" w:eastAsia="Times New Roman" w:cs="Times New Roman"/>
          <w:sz w:val="24"/>
          <w:szCs w:val="24"/>
        </w:rPr>
      </w:pPr>
      <w:r>
        <w:rPr>
          <w:rFonts w:ascii="宋体" w:hAnsi="宋体" w:eastAsia="宋体" w:cs="宋体"/>
          <w:spacing w:val="-3"/>
          <w:sz w:val="24"/>
          <w:szCs w:val="24"/>
        </w:rPr>
        <w:t>南林业大学学报</w:t>
      </w:r>
      <w:r>
        <w:rPr>
          <w:rFonts w:ascii="Times New Roman" w:hAnsi="Times New Roman" w:eastAsia="Times New Roman" w:cs="Times New Roman"/>
          <w:spacing w:val="-3"/>
          <w:sz w:val="24"/>
          <w:szCs w:val="24"/>
        </w:rPr>
        <w:t>, 2019, 039(004):</w:t>
      </w:r>
      <w:r>
        <w:rPr>
          <w:rFonts w:ascii="Times New Roman" w:hAnsi="Times New Roman" w:eastAsia="Times New Roman" w:cs="Times New Roman"/>
          <w:spacing w:val="39"/>
          <w:sz w:val="24"/>
          <w:szCs w:val="24"/>
        </w:rPr>
        <w:t xml:space="preserve"> </w:t>
      </w:r>
      <w:r>
        <w:rPr>
          <w:rFonts w:ascii="Times New Roman" w:hAnsi="Times New Roman" w:eastAsia="Times New Roman" w:cs="Times New Roman"/>
          <w:spacing w:val="-3"/>
          <w:sz w:val="24"/>
          <w:szCs w:val="24"/>
        </w:rPr>
        <w:t>110-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115.</w:t>
      </w:r>
    </w:p>
    <w:p>
      <w:pPr>
        <w:spacing w:before="165" w:line="217" w:lineRule="auto"/>
        <w:ind w:left="517"/>
        <w:rPr>
          <w:rFonts w:ascii="宋体" w:hAnsi="宋体" w:eastAsia="宋体" w:cs="宋体"/>
          <w:sz w:val="24"/>
          <w:szCs w:val="24"/>
        </w:rPr>
      </w:pPr>
      <w:r>
        <w:rPr>
          <w:rFonts w:ascii="宋体" w:hAnsi="宋体" w:eastAsia="宋体" w:cs="宋体"/>
          <w:spacing w:val="-1"/>
          <w:sz w:val="24"/>
          <w:szCs w:val="24"/>
        </w:rPr>
        <w:t>②价区陆生动物调查</w:t>
      </w:r>
    </w:p>
    <w:p>
      <w:pPr>
        <w:spacing w:before="152" w:line="339" w:lineRule="auto"/>
        <w:ind w:left="39" w:firstLine="479"/>
        <w:rPr>
          <w:rFonts w:ascii="宋体" w:hAnsi="宋体" w:eastAsia="宋体" w:cs="宋体"/>
          <w:sz w:val="24"/>
          <w:szCs w:val="24"/>
        </w:rPr>
      </w:pPr>
      <w:r>
        <w:rPr>
          <w:rFonts w:ascii="宋体" w:hAnsi="宋体" w:eastAsia="宋体" w:cs="宋体"/>
          <w:spacing w:val="-3"/>
          <w:sz w:val="24"/>
          <w:szCs w:val="24"/>
        </w:rPr>
        <w:t>评价区在中国动物地理二级区划中属于东洋</w:t>
      </w:r>
      <w:r>
        <w:rPr>
          <w:rFonts w:ascii="宋体" w:hAnsi="宋体" w:eastAsia="宋体" w:cs="宋体"/>
          <w:spacing w:val="-4"/>
          <w:sz w:val="24"/>
          <w:szCs w:val="24"/>
        </w:rPr>
        <w:t xml:space="preserve">界、中印亚界、西南区、西南山 </w:t>
      </w:r>
      <w:r>
        <w:rPr>
          <w:rFonts w:ascii="宋体" w:hAnsi="宋体" w:eastAsia="宋体" w:cs="宋体"/>
          <w:spacing w:val="-7"/>
          <w:sz w:val="24"/>
          <w:szCs w:val="24"/>
        </w:rPr>
        <w:t>地亚区，在云南陆栖脊椎动物地理三级区划中属于西南山地亚区、滇</w:t>
      </w:r>
      <w:r>
        <w:rPr>
          <w:rFonts w:ascii="宋体" w:hAnsi="宋体" w:eastAsia="宋体" w:cs="宋体"/>
          <w:spacing w:val="-8"/>
          <w:sz w:val="24"/>
          <w:szCs w:val="24"/>
        </w:rPr>
        <w:t>中高原小区。</w:t>
      </w:r>
      <w:r>
        <w:rPr>
          <w:rFonts w:ascii="宋体" w:hAnsi="宋体" w:eastAsia="宋体" w:cs="宋体"/>
          <w:sz w:val="24"/>
          <w:szCs w:val="24"/>
        </w:rPr>
        <w:t xml:space="preserve"> </w:t>
      </w:r>
      <w:r>
        <w:rPr>
          <w:rFonts w:ascii="宋体" w:hAnsi="宋体" w:eastAsia="宋体" w:cs="宋体"/>
          <w:spacing w:val="-8"/>
          <w:sz w:val="24"/>
          <w:szCs w:val="24"/>
        </w:rPr>
        <w:t>桂花水库工程两侧森林植被覆盖率相对较低，</w:t>
      </w:r>
      <w:r>
        <w:rPr>
          <w:rFonts w:ascii="宋体" w:hAnsi="宋体" w:eastAsia="宋体" w:cs="宋体"/>
          <w:spacing w:val="50"/>
          <w:sz w:val="24"/>
          <w:szCs w:val="24"/>
        </w:rPr>
        <w:t xml:space="preserve"> </w:t>
      </w:r>
      <w:r>
        <w:rPr>
          <w:rFonts w:ascii="宋体" w:hAnsi="宋体" w:eastAsia="宋体" w:cs="宋体"/>
          <w:spacing w:val="-8"/>
          <w:sz w:val="24"/>
          <w:szCs w:val="24"/>
        </w:rPr>
        <w:t xml:space="preserve">引水区、引洪区和输水管道沿线虽 </w:t>
      </w:r>
      <w:r>
        <w:rPr>
          <w:rFonts w:ascii="宋体" w:hAnsi="宋体" w:eastAsia="宋体" w:cs="宋体"/>
          <w:spacing w:val="-9"/>
          <w:sz w:val="24"/>
          <w:szCs w:val="24"/>
        </w:rPr>
        <w:t>然植被覆盖率较高， 但长期受人为活动干扰影响</w:t>
      </w:r>
      <w:r>
        <w:rPr>
          <w:rFonts w:ascii="宋体" w:hAnsi="宋体" w:eastAsia="宋体" w:cs="宋体"/>
          <w:spacing w:val="-10"/>
          <w:sz w:val="24"/>
          <w:szCs w:val="24"/>
        </w:rPr>
        <w:t xml:space="preserve">， 评价区不是大型哺乳动物活动 </w:t>
      </w:r>
      <w:r>
        <w:rPr>
          <w:rFonts w:ascii="宋体" w:hAnsi="宋体" w:eastAsia="宋体" w:cs="宋体"/>
          <w:spacing w:val="-6"/>
          <w:sz w:val="24"/>
          <w:szCs w:val="24"/>
        </w:rPr>
        <w:t>区域， 区域内种群数量相对较多的是较适应人</w:t>
      </w:r>
      <w:r>
        <w:rPr>
          <w:rFonts w:ascii="宋体" w:hAnsi="宋体" w:eastAsia="宋体" w:cs="宋体"/>
          <w:spacing w:val="-7"/>
          <w:sz w:val="24"/>
          <w:szCs w:val="24"/>
        </w:rPr>
        <w:t xml:space="preserve">类的物种。根据实地调查、访谈和 </w:t>
      </w:r>
      <w:r>
        <w:rPr>
          <w:rFonts w:ascii="宋体" w:hAnsi="宋体" w:eastAsia="宋体" w:cs="宋体"/>
          <w:spacing w:val="-3"/>
          <w:sz w:val="24"/>
          <w:szCs w:val="24"/>
        </w:rPr>
        <w:t>查阅相关文献资料，评价区及附近地区分布有陆栖脊椎动物</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 xml:space="preserve">24  </w:t>
      </w:r>
      <w:r>
        <w:rPr>
          <w:rFonts w:ascii="宋体" w:hAnsi="宋体" w:eastAsia="宋体" w:cs="宋体"/>
          <w:spacing w:val="-4"/>
          <w:sz w:val="24"/>
          <w:szCs w:val="24"/>
        </w:rPr>
        <w:t>目</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70</w:t>
      </w:r>
      <w:r>
        <w:rPr>
          <w:rFonts w:ascii="Times New Roman" w:hAnsi="Times New Roman" w:eastAsia="Times New Roman" w:cs="Times New Roman"/>
          <w:spacing w:val="33"/>
          <w:w w:val="101"/>
          <w:sz w:val="24"/>
          <w:szCs w:val="24"/>
        </w:rPr>
        <w:t xml:space="preserve"> </w:t>
      </w:r>
      <w:r>
        <w:rPr>
          <w:rFonts w:ascii="宋体" w:hAnsi="宋体" w:eastAsia="宋体" w:cs="宋体"/>
          <w:spacing w:val="-4"/>
          <w:sz w:val="24"/>
          <w:szCs w:val="24"/>
        </w:rPr>
        <w:t xml:space="preserve">科 </w:t>
      </w:r>
      <w:r>
        <w:rPr>
          <w:rFonts w:ascii="Times New Roman" w:hAnsi="Times New Roman" w:eastAsia="Times New Roman" w:cs="Times New Roman"/>
          <w:spacing w:val="-4"/>
          <w:sz w:val="24"/>
          <w:szCs w:val="24"/>
        </w:rPr>
        <w:t>131</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 xml:space="preserve">属 </w:t>
      </w:r>
      <w:r>
        <w:rPr>
          <w:rFonts w:ascii="Times New Roman" w:hAnsi="Times New Roman" w:eastAsia="Times New Roman" w:cs="Times New Roman"/>
          <w:spacing w:val="-18"/>
          <w:sz w:val="24"/>
          <w:szCs w:val="24"/>
        </w:rPr>
        <w:t>170</w:t>
      </w:r>
      <w:r>
        <w:rPr>
          <w:rFonts w:ascii="Times New Roman" w:hAnsi="Times New Roman" w:eastAsia="Times New Roman" w:cs="Times New Roman"/>
          <w:spacing w:val="9"/>
          <w:sz w:val="24"/>
          <w:szCs w:val="24"/>
        </w:rPr>
        <w:t xml:space="preserve"> </w:t>
      </w:r>
      <w:r>
        <w:rPr>
          <w:rFonts w:ascii="宋体" w:hAnsi="宋体" w:eastAsia="宋体" w:cs="宋体"/>
          <w:spacing w:val="-18"/>
          <w:sz w:val="24"/>
          <w:szCs w:val="24"/>
        </w:rPr>
        <w:t>种，</w:t>
      </w:r>
      <w:r>
        <w:rPr>
          <w:rFonts w:ascii="宋体" w:hAnsi="宋体" w:eastAsia="宋体" w:cs="宋体"/>
          <w:spacing w:val="-37"/>
          <w:sz w:val="24"/>
          <w:szCs w:val="24"/>
        </w:rPr>
        <w:t xml:space="preserve"> </w:t>
      </w:r>
      <w:r>
        <w:rPr>
          <w:rFonts w:ascii="宋体" w:hAnsi="宋体" w:eastAsia="宋体" w:cs="宋体"/>
          <w:spacing w:val="-18"/>
          <w:sz w:val="24"/>
          <w:szCs w:val="24"/>
        </w:rPr>
        <w:t>其中： 两栖类</w:t>
      </w:r>
      <w:r>
        <w:rPr>
          <w:rFonts w:ascii="宋体" w:hAnsi="宋体" w:eastAsia="宋体" w:cs="宋体"/>
          <w:spacing w:val="-32"/>
          <w:sz w:val="24"/>
          <w:szCs w:val="24"/>
        </w:rPr>
        <w:t xml:space="preserve"> </w:t>
      </w:r>
      <w:r>
        <w:rPr>
          <w:rFonts w:ascii="Times New Roman" w:hAnsi="Times New Roman" w:eastAsia="Times New Roman" w:cs="Times New Roman"/>
          <w:spacing w:val="-18"/>
          <w:sz w:val="24"/>
          <w:szCs w:val="24"/>
        </w:rPr>
        <w:t xml:space="preserve">1  </w:t>
      </w:r>
      <w:r>
        <w:rPr>
          <w:rFonts w:ascii="宋体" w:hAnsi="宋体" w:eastAsia="宋体" w:cs="宋体"/>
          <w:spacing w:val="-18"/>
          <w:sz w:val="24"/>
          <w:szCs w:val="24"/>
        </w:rPr>
        <w:t>目</w:t>
      </w:r>
      <w:r>
        <w:rPr>
          <w:rFonts w:ascii="宋体" w:hAnsi="宋体" w:eastAsia="宋体" w:cs="宋体"/>
          <w:spacing w:val="-51"/>
          <w:sz w:val="24"/>
          <w:szCs w:val="24"/>
        </w:rPr>
        <w:t xml:space="preserve"> </w:t>
      </w:r>
      <w:r>
        <w:rPr>
          <w:rFonts w:ascii="Times New Roman" w:hAnsi="Times New Roman" w:eastAsia="Times New Roman" w:cs="Times New Roman"/>
          <w:spacing w:val="-18"/>
          <w:sz w:val="24"/>
          <w:szCs w:val="24"/>
        </w:rPr>
        <w:t>7</w:t>
      </w:r>
      <w:r>
        <w:rPr>
          <w:rFonts w:ascii="Times New Roman" w:hAnsi="Times New Roman" w:eastAsia="Times New Roman" w:cs="Times New Roman"/>
          <w:spacing w:val="10"/>
          <w:sz w:val="24"/>
          <w:szCs w:val="24"/>
        </w:rPr>
        <w:t xml:space="preserve"> </w:t>
      </w:r>
      <w:r>
        <w:rPr>
          <w:rFonts w:ascii="宋体" w:hAnsi="宋体" w:eastAsia="宋体" w:cs="宋体"/>
          <w:spacing w:val="-18"/>
          <w:sz w:val="24"/>
          <w:szCs w:val="24"/>
        </w:rPr>
        <w:t>科</w:t>
      </w:r>
      <w:r>
        <w:rPr>
          <w:rFonts w:ascii="宋体" w:hAnsi="宋体" w:eastAsia="宋体" w:cs="宋体"/>
          <w:spacing w:val="-32"/>
          <w:sz w:val="24"/>
          <w:szCs w:val="24"/>
        </w:rPr>
        <w:t xml:space="preserve"> </w:t>
      </w:r>
      <w:r>
        <w:rPr>
          <w:rFonts w:ascii="Times New Roman" w:hAnsi="Times New Roman" w:eastAsia="Times New Roman" w:cs="Times New Roman"/>
          <w:spacing w:val="-18"/>
          <w:sz w:val="24"/>
          <w:szCs w:val="24"/>
        </w:rPr>
        <w:t>13</w:t>
      </w:r>
      <w:r>
        <w:rPr>
          <w:rFonts w:ascii="Times New Roman" w:hAnsi="Times New Roman" w:eastAsia="Times New Roman" w:cs="Times New Roman"/>
          <w:spacing w:val="11"/>
          <w:sz w:val="24"/>
          <w:szCs w:val="24"/>
        </w:rPr>
        <w:t xml:space="preserve"> </w:t>
      </w:r>
      <w:r>
        <w:rPr>
          <w:rFonts w:ascii="宋体" w:hAnsi="宋体" w:eastAsia="宋体" w:cs="宋体"/>
          <w:spacing w:val="-18"/>
          <w:sz w:val="24"/>
          <w:szCs w:val="24"/>
        </w:rPr>
        <w:t>属</w:t>
      </w:r>
      <w:r>
        <w:rPr>
          <w:rFonts w:ascii="宋体" w:hAnsi="宋体" w:eastAsia="宋体" w:cs="宋体"/>
          <w:spacing w:val="-32"/>
          <w:sz w:val="24"/>
          <w:szCs w:val="24"/>
        </w:rPr>
        <w:t xml:space="preserve"> </w:t>
      </w:r>
      <w:r>
        <w:rPr>
          <w:rFonts w:ascii="Times New Roman" w:hAnsi="Times New Roman" w:eastAsia="Times New Roman" w:cs="Times New Roman"/>
          <w:spacing w:val="-18"/>
          <w:sz w:val="24"/>
          <w:szCs w:val="24"/>
        </w:rPr>
        <w:t>17</w:t>
      </w:r>
      <w:r>
        <w:rPr>
          <w:rFonts w:ascii="Times New Roman" w:hAnsi="Times New Roman" w:eastAsia="Times New Roman" w:cs="Times New Roman"/>
          <w:spacing w:val="10"/>
          <w:sz w:val="24"/>
          <w:szCs w:val="24"/>
        </w:rPr>
        <w:t xml:space="preserve"> </w:t>
      </w:r>
      <w:r>
        <w:rPr>
          <w:rFonts w:ascii="宋体" w:hAnsi="宋体" w:eastAsia="宋体" w:cs="宋体"/>
          <w:spacing w:val="-18"/>
          <w:sz w:val="24"/>
          <w:szCs w:val="24"/>
        </w:rPr>
        <w:t>种，</w:t>
      </w:r>
      <w:r>
        <w:rPr>
          <w:rFonts w:ascii="宋体" w:hAnsi="宋体" w:eastAsia="宋体" w:cs="宋体"/>
          <w:spacing w:val="-39"/>
          <w:sz w:val="24"/>
          <w:szCs w:val="24"/>
        </w:rPr>
        <w:t xml:space="preserve"> </w:t>
      </w:r>
      <w:r>
        <w:rPr>
          <w:rFonts w:ascii="宋体" w:hAnsi="宋体" w:eastAsia="宋体" w:cs="宋体"/>
          <w:spacing w:val="-18"/>
          <w:sz w:val="24"/>
          <w:szCs w:val="24"/>
        </w:rPr>
        <w:t>爬行类</w:t>
      </w:r>
      <w:r>
        <w:rPr>
          <w:rFonts w:ascii="宋体" w:hAnsi="宋体" w:eastAsia="宋体" w:cs="宋体"/>
          <w:spacing w:val="-32"/>
          <w:sz w:val="24"/>
          <w:szCs w:val="24"/>
        </w:rPr>
        <w:t xml:space="preserve"> </w:t>
      </w:r>
      <w:r>
        <w:rPr>
          <w:rFonts w:ascii="Times New Roman" w:hAnsi="Times New Roman" w:eastAsia="Times New Roman" w:cs="Times New Roman"/>
          <w:spacing w:val="-18"/>
          <w:sz w:val="24"/>
          <w:szCs w:val="24"/>
        </w:rPr>
        <w:t>1</w:t>
      </w:r>
      <w:r>
        <w:rPr>
          <w:rFonts w:ascii="Times New Roman" w:hAnsi="Times New Roman" w:eastAsia="Times New Roman" w:cs="Times New Roman"/>
          <w:spacing w:val="-19"/>
          <w:sz w:val="24"/>
          <w:szCs w:val="24"/>
        </w:rPr>
        <w:t xml:space="preserve">  </w:t>
      </w:r>
      <w:r>
        <w:rPr>
          <w:rFonts w:ascii="宋体" w:hAnsi="宋体" w:eastAsia="宋体" w:cs="宋体"/>
          <w:spacing w:val="-19"/>
          <w:sz w:val="24"/>
          <w:szCs w:val="24"/>
        </w:rPr>
        <w:t>目</w:t>
      </w:r>
      <w:r>
        <w:rPr>
          <w:rFonts w:ascii="宋体" w:hAnsi="宋体" w:eastAsia="宋体" w:cs="宋体"/>
          <w:spacing w:val="-50"/>
          <w:sz w:val="24"/>
          <w:szCs w:val="24"/>
        </w:rPr>
        <w:t xml:space="preserve"> </w:t>
      </w:r>
      <w:r>
        <w:rPr>
          <w:rFonts w:ascii="Times New Roman" w:hAnsi="Times New Roman" w:eastAsia="Times New Roman" w:cs="Times New Roman"/>
          <w:spacing w:val="-19"/>
          <w:sz w:val="24"/>
          <w:szCs w:val="24"/>
        </w:rPr>
        <w:t>6</w:t>
      </w:r>
      <w:r>
        <w:rPr>
          <w:rFonts w:ascii="Times New Roman" w:hAnsi="Times New Roman" w:eastAsia="Times New Roman" w:cs="Times New Roman"/>
          <w:spacing w:val="10"/>
          <w:sz w:val="24"/>
          <w:szCs w:val="24"/>
        </w:rPr>
        <w:t xml:space="preserve"> </w:t>
      </w:r>
      <w:r>
        <w:rPr>
          <w:rFonts w:ascii="宋体" w:hAnsi="宋体" w:eastAsia="宋体" w:cs="宋体"/>
          <w:spacing w:val="-19"/>
          <w:sz w:val="24"/>
          <w:szCs w:val="24"/>
        </w:rPr>
        <w:t>科</w:t>
      </w:r>
      <w:r>
        <w:rPr>
          <w:rFonts w:ascii="宋体" w:hAnsi="宋体" w:eastAsia="宋体" w:cs="宋体"/>
          <w:spacing w:val="-32"/>
          <w:sz w:val="24"/>
          <w:szCs w:val="24"/>
        </w:rPr>
        <w:t xml:space="preserve"> </w:t>
      </w:r>
      <w:r>
        <w:rPr>
          <w:rFonts w:ascii="Times New Roman" w:hAnsi="Times New Roman" w:eastAsia="Times New Roman" w:cs="Times New Roman"/>
          <w:spacing w:val="-19"/>
          <w:sz w:val="24"/>
          <w:szCs w:val="24"/>
        </w:rPr>
        <w:t>15</w:t>
      </w:r>
      <w:r>
        <w:rPr>
          <w:rFonts w:ascii="Times New Roman" w:hAnsi="Times New Roman" w:eastAsia="Times New Roman" w:cs="Times New Roman"/>
          <w:spacing w:val="11"/>
          <w:sz w:val="24"/>
          <w:szCs w:val="24"/>
        </w:rPr>
        <w:t xml:space="preserve"> </w:t>
      </w:r>
      <w:r>
        <w:rPr>
          <w:rFonts w:ascii="宋体" w:hAnsi="宋体" w:eastAsia="宋体" w:cs="宋体"/>
          <w:spacing w:val="-19"/>
          <w:sz w:val="24"/>
          <w:szCs w:val="24"/>
        </w:rPr>
        <w:t>属</w:t>
      </w:r>
      <w:r>
        <w:rPr>
          <w:rFonts w:ascii="宋体" w:hAnsi="宋体" w:eastAsia="宋体" w:cs="宋体"/>
          <w:spacing w:val="-32"/>
          <w:sz w:val="24"/>
          <w:szCs w:val="24"/>
        </w:rPr>
        <w:t xml:space="preserve"> </w:t>
      </w:r>
      <w:r>
        <w:rPr>
          <w:rFonts w:ascii="Times New Roman" w:hAnsi="Times New Roman" w:eastAsia="Times New Roman" w:cs="Times New Roman"/>
          <w:spacing w:val="-19"/>
          <w:sz w:val="24"/>
          <w:szCs w:val="24"/>
        </w:rPr>
        <w:t>18</w:t>
      </w:r>
      <w:r>
        <w:rPr>
          <w:rFonts w:ascii="Times New Roman" w:hAnsi="Times New Roman" w:eastAsia="Times New Roman" w:cs="Times New Roman"/>
          <w:spacing w:val="10"/>
          <w:sz w:val="24"/>
          <w:szCs w:val="24"/>
        </w:rPr>
        <w:t xml:space="preserve"> </w:t>
      </w:r>
      <w:r>
        <w:rPr>
          <w:rFonts w:ascii="宋体" w:hAnsi="宋体" w:eastAsia="宋体" w:cs="宋体"/>
          <w:spacing w:val="-19"/>
          <w:sz w:val="24"/>
          <w:szCs w:val="24"/>
        </w:rPr>
        <w:t>种，</w:t>
      </w:r>
      <w:r>
        <w:rPr>
          <w:rFonts w:ascii="宋体" w:hAnsi="宋体" w:eastAsia="宋体" w:cs="宋体"/>
          <w:spacing w:val="-33"/>
          <w:sz w:val="24"/>
          <w:szCs w:val="24"/>
        </w:rPr>
        <w:t xml:space="preserve"> </w:t>
      </w:r>
      <w:r>
        <w:rPr>
          <w:rFonts w:ascii="宋体" w:hAnsi="宋体" w:eastAsia="宋体" w:cs="宋体"/>
          <w:spacing w:val="-19"/>
          <w:sz w:val="24"/>
          <w:szCs w:val="24"/>
        </w:rPr>
        <w:t xml:space="preserve">鸟类 </w:t>
      </w:r>
      <w:r>
        <w:rPr>
          <w:rFonts w:ascii="Times New Roman" w:hAnsi="Times New Roman" w:eastAsia="Times New Roman" w:cs="Times New Roman"/>
          <w:spacing w:val="-8"/>
          <w:sz w:val="24"/>
          <w:szCs w:val="24"/>
        </w:rPr>
        <w:t xml:space="preserve">15  </w:t>
      </w:r>
      <w:r>
        <w:rPr>
          <w:rFonts w:ascii="宋体" w:hAnsi="宋体" w:eastAsia="宋体" w:cs="宋体"/>
          <w:spacing w:val="-8"/>
          <w:sz w:val="24"/>
          <w:szCs w:val="24"/>
        </w:rPr>
        <w:t>目</w:t>
      </w:r>
      <w:r>
        <w:rPr>
          <w:rFonts w:ascii="宋体" w:hAnsi="宋体" w:eastAsia="宋体" w:cs="宋体"/>
          <w:spacing w:val="-44"/>
          <w:sz w:val="24"/>
          <w:szCs w:val="24"/>
        </w:rPr>
        <w:t xml:space="preserve"> </w:t>
      </w:r>
      <w:r>
        <w:rPr>
          <w:rFonts w:ascii="Times New Roman" w:hAnsi="Times New Roman" w:eastAsia="Times New Roman" w:cs="Times New Roman"/>
          <w:spacing w:val="-8"/>
          <w:sz w:val="24"/>
          <w:szCs w:val="24"/>
        </w:rPr>
        <w:t xml:space="preserve">44 </w:t>
      </w:r>
      <w:r>
        <w:rPr>
          <w:rFonts w:ascii="宋体" w:hAnsi="宋体" w:eastAsia="宋体" w:cs="宋体"/>
          <w:spacing w:val="-8"/>
          <w:sz w:val="24"/>
          <w:szCs w:val="24"/>
        </w:rPr>
        <w:t>科</w:t>
      </w:r>
      <w:r>
        <w:rPr>
          <w:rFonts w:ascii="宋体" w:hAnsi="宋体" w:eastAsia="宋体" w:cs="宋体"/>
          <w:spacing w:val="-45"/>
          <w:sz w:val="24"/>
          <w:szCs w:val="24"/>
        </w:rPr>
        <w:t xml:space="preserve"> </w:t>
      </w:r>
      <w:r>
        <w:rPr>
          <w:rFonts w:ascii="Times New Roman" w:hAnsi="Times New Roman" w:eastAsia="Times New Roman" w:cs="Times New Roman"/>
          <w:spacing w:val="-8"/>
          <w:sz w:val="24"/>
          <w:szCs w:val="24"/>
        </w:rPr>
        <w:t xml:space="preserve">80 </w:t>
      </w:r>
      <w:r>
        <w:rPr>
          <w:rFonts w:ascii="宋体" w:hAnsi="宋体" w:eastAsia="宋体" w:cs="宋体"/>
          <w:spacing w:val="-8"/>
          <w:sz w:val="24"/>
          <w:szCs w:val="24"/>
        </w:rPr>
        <w:t>属</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105 </w:t>
      </w:r>
      <w:r>
        <w:rPr>
          <w:rFonts w:ascii="宋体" w:hAnsi="宋体" w:eastAsia="宋体" w:cs="宋体"/>
          <w:spacing w:val="-8"/>
          <w:sz w:val="24"/>
          <w:szCs w:val="24"/>
        </w:rPr>
        <w:t>种，</w:t>
      </w:r>
      <w:r>
        <w:rPr>
          <w:rFonts w:ascii="宋体" w:hAnsi="宋体" w:eastAsia="宋体" w:cs="宋体"/>
          <w:spacing w:val="-40"/>
          <w:sz w:val="24"/>
          <w:szCs w:val="24"/>
        </w:rPr>
        <w:t xml:space="preserve"> </w:t>
      </w:r>
      <w:r>
        <w:rPr>
          <w:rFonts w:ascii="宋体" w:hAnsi="宋体" w:eastAsia="宋体" w:cs="宋体"/>
          <w:spacing w:val="-8"/>
          <w:sz w:val="24"/>
          <w:szCs w:val="24"/>
        </w:rPr>
        <w:t>哺乳类</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 xml:space="preserve">7  </w:t>
      </w:r>
      <w:r>
        <w:rPr>
          <w:rFonts w:ascii="宋体" w:hAnsi="宋体" w:eastAsia="宋体" w:cs="宋体"/>
          <w:spacing w:val="-8"/>
          <w:sz w:val="24"/>
          <w:szCs w:val="24"/>
        </w:rPr>
        <w:t>目</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13 </w:t>
      </w:r>
      <w:r>
        <w:rPr>
          <w:rFonts w:ascii="宋体" w:hAnsi="宋体" w:eastAsia="宋体" w:cs="宋体"/>
          <w:spacing w:val="-8"/>
          <w:sz w:val="24"/>
          <w:szCs w:val="24"/>
        </w:rPr>
        <w:t>科</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23</w:t>
      </w:r>
      <w:r>
        <w:rPr>
          <w:rFonts w:ascii="Times New Roman" w:hAnsi="Times New Roman" w:eastAsia="Times New Roman" w:cs="Times New Roman"/>
          <w:spacing w:val="12"/>
          <w:sz w:val="24"/>
          <w:szCs w:val="24"/>
        </w:rPr>
        <w:t xml:space="preserve"> </w:t>
      </w:r>
      <w:r>
        <w:rPr>
          <w:rFonts w:ascii="宋体" w:hAnsi="宋体" w:eastAsia="宋体" w:cs="宋体"/>
          <w:spacing w:val="-8"/>
          <w:sz w:val="24"/>
          <w:szCs w:val="24"/>
        </w:rPr>
        <w:t>属</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30</w:t>
      </w:r>
      <w:r>
        <w:rPr>
          <w:rFonts w:ascii="Times New Roman" w:hAnsi="Times New Roman" w:eastAsia="Times New Roman" w:cs="Times New Roman"/>
          <w:spacing w:val="9"/>
          <w:sz w:val="24"/>
          <w:szCs w:val="24"/>
        </w:rPr>
        <w:t xml:space="preserve"> </w:t>
      </w:r>
      <w:r>
        <w:rPr>
          <w:rFonts w:ascii="宋体" w:hAnsi="宋体" w:eastAsia="宋体" w:cs="宋体"/>
          <w:spacing w:val="-8"/>
          <w:sz w:val="24"/>
          <w:szCs w:val="24"/>
        </w:rPr>
        <w:t>种。具体分布在各纲中的数</w:t>
      </w:r>
    </w:p>
    <w:p>
      <w:pPr>
        <w:spacing w:line="219" w:lineRule="auto"/>
        <w:ind w:left="39"/>
        <w:rPr>
          <w:rFonts w:ascii="宋体" w:hAnsi="宋体" w:eastAsia="宋体" w:cs="宋体"/>
          <w:sz w:val="24"/>
          <w:szCs w:val="24"/>
        </w:rPr>
      </w:pPr>
      <w:r>
        <w:rPr>
          <w:rFonts w:ascii="宋体" w:hAnsi="宋体" w:eastAsia="宋体" w:cs="宋体"/>
          <w:spacing w:val="-4"/>
          <w:sz w:val="24"/>
          <w:szCs w:val="24"/>
        </w:rPr>
        <w:t>量状况参见下表。</w:t>
      </w:r>
    </w:p>
    <w:p>
      <w:pPr>
        <w:pStyle w:val="2"/>
        <w:spacing w:before="180" w:line="218" w:lineRule="auto"/>
        <w:ind w:left="2316"/>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3.2-26    </w:t>
      </w:r>
      <w:r>
        <w:rPr>
          <w14:textOutline w14:w="3810" w14:cap="flat" w14:cmpd="sng">
            <w14:solidFill>
              <w14:srgbClr w14:val="000000"/>
            </w14:solidFill>
            <w14:prstDash w14:val="solid"/>
            <w14:miter w14:val="0"/>
          </w14:textOutline>
        </w:rPr>
        <w:t>陆栖脊椎动物各纲下分</w:t>
      </w:r>
      <w:r>
        <w:rPr>
          <w:spacing w:val="-1"/>
          <w14:textOutline w14:w="3810" w14:cap="flat" w14:cmpd="sng">
            <w14:solidFill>
              <w14:srgbClr w14:val="000000"/>
            </w14:solidFill>
            <w14:prstDash w14:val="solid"/>
            <w14:miter w14:val="0"/>
          </w14:textOutline>
        </w:rPr>
        <w:t>类阶元数量</w:t>
      </w:r>
    </w:p>
    <w:p>
      <w:pPr>
        <w:spacing w:line="20" w:lineRule="exact"/>
      </w:pPr>
    </w:p>
    <w:tbl>
      <w:tblPr>
        <w:tblStyle w:val="5"/>
        <w:tblW w:w="813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0"/>
        <w:gridCol w:w="1512"/>
        <w:gridCol w:w="1415"/>
        <w:gridCol w:w="1560"/>
        <w:gridCol w:w="1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9" w:hRule="atLeast"/>
        </w:trPr>
        <w:tc>
          <w:tcPr>
            <w:tcW w:w="2090" w:type="dxa"/>
            <w:tcBorders>
              <w:top w:val="single" w:color="000000" w:sz="12" w:space="0"/>
              <w:left w:val="nil"/>
            </w:tcBorders>
            <w:vAlign w:val="top"/>
          </w:tcPr>
          <w:p>
            <w:pPr>
              <w:spacing w:before="30" w:line="201" w:lineRule="auto"/>
              <w:ind w:left="855"/>
              <w:rPr>
                <w:rFonts w:ascii="仿宋" w:hAnsi="仿宋" w:eastAsia="仿宋" w:cs="仿宋"/>
                <w:sz w:val="21"/>
                <w:szCs w:val="21"/>
              </w:rPr>
            </w:pPr>
            <w:r>
              <w:rPr>
                <w:rFonts w:ascii="仿宋" w:hAnsi="仿宋" w:eastAsia="仿宋" w:cs="仿宋"/>
                <w:spacing w:val="-4"/>
                <w:sz w:val="21"/>
                <w:szCs w:val="21"/>
              </w:rPr>
              <w:t>项目</w:t>
            </w:r>
          </w:p>
        </w:tc>
        <w:tc>
          <w:tcPr>
            <w:tcW w:w="1512" w:type="dxa"/>
            <w:tcBorders>
              <w:top w:val="single" w:color="000000" w:sz="12" w:space="0"/>
            </w:tcBorders>
            <w:vAlign w:val="top"/>
          </w:tcPr>
          <w:p>
            <w:pPr>
              <w:spacing w:before="30" w:line="201" w:lineRule="auto"/>
              <w:ind w:left="696"/>
              <w:rPr>
                <w:rFonts w:ascii="仿宋" w:hAnsi="仿宋" w:eastAsia="仿宋" w:cs="仿宋"/>
                <w:sz w:val="21"/>
                <w:szCs w:val="21"/>
              </w:rPr>
            </w:pPr>
            <w:r>
              <w:rPr>
                <w:rFonts w:ascii="仿宋" w:hAnsi="仿宋" w:eastAsia="仿宋" w:cs="仿宋"/>
                <w:sz w:val="21"/>
                <w:szCs w:val="21"/>
              </w:rPr>
              <w:t>目</w:t>
            </w:r>
          </w:p>
        </w:tc>
        <w:tc>
          <w:tcPr>
            <w:tcW w:w="1415" w:type="dxa"/>
            <w:tcBorders>
              <w:top w:val="single" w:color="000000" w:sz="12" w:space="0"/>
            </w:tcBorders>
            <w:vAlign w:val="top"/>
          </w:tcPr>
          <w:p>
            <w:pPr>
              <w:spacing w:before="30" w:line="201" w:lineRule="auto"/>
              <w:ind w:left="614"/>
              <w:rPr>
                <w:rFonts w:ascii="仿宋" w:hAnsi="仿宋" w:eastAsia="仿宋" w:cs="仿宋"/>
                <w:sz w:val="21"/>
                <w:szCs w:val="21"/>
              </w:rPr>
            </w:pPr>
            <w:r>
              <w:rPr>
                <w:rFonts w:ascii="仿宋" w:hAnsi="仿宋" w:eastAsia="仿宋" w:cs="仿宋"/>
                <w:sz w:val="21"/>
                <w:szCs w:val="21"/>
              </w:rPr>
              <w:t>科</w:t>
            </w:r>
          </w:p>
        </w:tc>
        <w:tc>
          <w:tcPr>
            <w:tcW w:w="1560" w:type="dxa"/>
            <w:tcBorders>
              <w:top w:val="single" w:color="000000" w:sz="12" w:space="0"/>
            </w:tcBorders>
            <w:vAlign w:val="top"/>
          </w:tcPr>
          <w:p>
            <w:pPr>
              <w:spacing w:before="30" w:line="201" w:lineRule="auto"/>
              <w:ind w:left="685"/>
              <w:rPr>
                <w:rFonts w:ascii="仿宋" w:hAnsi="仿宋" w:eastAsia="仿宋" w:cs="仿宋"/>
                <w:sz w:val="21"/>
                <w:szCs w:val="21"/>
              </w:rPr>
            </w:pPr>
            <w:r>
              <w:rPr>
                <w:rFonts w:ascii="仿宋" w:hAnsi="仿宋" w:eastAsia="仿宋" w:cs="仿宋"/>
                <w:sz w:val="21"/>
                <w:szCs w:val="21"/>
              </w:rPr>
              <w:t>属</w:t>
            </w:r>
          </w:p>
        </w:tc>
        <w:tc>
          <w:tcPr>
            <w:tcW w:w="1559" w:type="dxa"/>
            <w:tcBorders>
              <w:top w:val="single" w:color="000000" w:sz="12" w:space="0"/>
              <w:right w:val="nil"/>
            </w:tcBorders>
            <w:vAlign w:val="top"/>
          </w:tcPr>
          <w:p>
            <w:pPr>
              <w:spacing w:before="30" w:line="201" w:lineRule="auto"/>
              <w:ind w:left="687"/>
              <w:rPr>
                <w:rFonts w:ascii="仿宋" w:hAnsi="仿宋" w:eastAsia="仿宋" w:cs="仿宋"/>
                <w:sz w:val="21"/>
                <w:szCs w:val="21"/>
              </w:rPr>
            </w:pPr>
            <w:r>
              <w:rPr>
                <w:rFonts w:ascii="仿宋" w:hAnsi="仿宋" w:eastAsia="仿宋" w:cs="仿宋"/>
                <w:sz w:val="21"/>
                <w:szCs w:val="21"/>
              </w:rPr>
              <w:t>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 w:hRule="atLeast"/>
        </w:trPr>
        <w:tc>
          <w:tcPr>
            <w:tcW w:w="2090" w:type="dxa"/>
            <w:tcBorders>
              <w:left w:val="nil"/>
            </w:tcBorders>
            <w:vAlign w:val="top"/>
          </w:tcPr>
          <w:p>
            <w:pPr>
              <w:spacing w:before="40" w:line="194" w:lineRule="auto"/>
              <w:ind w:left="760"/>
              <w:rPr>
                <w:rFonts w:ascii="仿宋" w:hAnsi="仿宋" w:eastAsia="仿宋" w:cs="仿宋"/>
                <w:sz w:val="21"/>
                <w:szCs w:val="21"/>
              </w:rPr>
            </w:pPr>
            <w:r>
              <w:rPr>
                <w:rFonts w:ascii="仿宋" w:hAnsi="仿宋" w:eastAsia="仿宋" w:cs="仿宋"/>
                <w:spacing w:val="-9"/>
                <w:sz w:val="21"/>
                <w:szCs w:val="21"/>
              </w:rPr>
              <w:t>两栖类</w:t>
            </w:r>
          </w:p>
        </w:tc>
        <w:tc>
          <w:tcPr>
            <w:tcW w:w="1512" w:type="dxa"/>
            <w:vAlign w:val="top"/>
          </w:tcPr>
          <w:p>
            <w:pPr>
              <w:pStyle w:val="6"/>
              <w:spacing w:before="76" w:line="183" w:lineRule="auto"/>
              <w:ind w:left="723"/>
            </w:pPr>
            <w:r>
              <w:t>1</w:t>
            </w:r>
          </w:p>
        </w:tc>
        <w:tc>
          <w:tcPr>
            <w:tcW w:w="1415" w:type="dxa"/>
            <w:vAlign w:val="top"/>
          </w:tcPr>
          <w:p>
            <w:pPr>
              <w:pStyle w:val="6"/>
              <w:spacing w:before="79" w:line="180" w:lineRule="auto"/>
              <w:ind w:left="660"/>
            </w:pPr>
            <w:r>
              <w:t>7</w:t>
            </w:r>
          </w:p>
        </w:tc>
        <w:tc>
          <w:tcPr>
            <w:tcW w:w="1560" w:type="dxa"/>
            <w:vAlign w:val="top"/>
          </w:tcPr>
          <w:p>
            <w:pPr>
              <w:pStyle w:val="6"/>
              <w:spacing w:before="76" w:line="183" w:lineRule="auto"/>
              <w:ind w:left="695"/>
            </w:pPr>
            <w:r>
              <w:rPr>
                <w:spacing w:val="-6"/>
              </w:rPr>
              <w:t>13</w:t>
            </w:r>
          </w:p>
        </w:tc>
        <w:tc>
          <w:tcPr>
            <w:tcW w:w="1559" w:type="dxa"/>
            <w:tcBorders>
              <w:right w:val="nil"/>
            </w:tcBorders>
            <w:vAlign w:val="top"/>
          </w:tcPr>
          <w:p>
            <w:pPr>
              <w:pStyle w:val="6"/>
              <w:spacing w:before="76" w:line="183" w:lineRule="auto"/>
              <w:ind w:left="696"/>
            </w:pPr>
            <w:r>
              <w:rPr>
                <w:spacing w:val="-6"/>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0" w:hRule="atLeast"/>
        </w:trPr>
        <w:tc>
          <w:tcPr>
            <w:tcW w:w="2090" w:type="dxa"/>
            <w:tcBorders>
              <w:left w:val="nil"/>
            </w:tcBorders>
            <w:vAlign w:val="top"/>
          </w:tcPr>
          <w:p>
            <w:pPr>
              <w:spacing w:before="46" w:line="188" w:lineRule="auto"/>
              <w:ind w:left="748"/>
              <w:rPr>
                <w:rFonts w:ascii="仿宋" w:hAnsi="仿宋" w:eastAsia="仿宋" w:cs="仿宋"/>
                <w:sz w:val="21"/>
                <w:szCs w:val="21"/>
              </w:rPr>
            </w:pPr>
            <w:r>
              <w:rPr>
                <w:rFonts w:ascii="仿宋" w:hAnsi="仿宋" w:eastAsia="仿宋" w:cs="仿宋"/>
                <w:spacing w:val="-3"/>
                <w:sz w:val="21"/>
                <w:szCs w:val="21"/>
              </w:rPr>
              <w:t>爬行类</w:t>
            </w:r>
          </w:p>
        </w:tc>
        <w:tc>
          <w:tcPr>
            <w:tcW w:w="1512" w:type="dxa"/>
            <w:vAlign w:val="top"/>
          </w:tcPr>
          <w:p>
            <w:pPr>
              <w:pStyle w:val="6"/>
              <w:spacing w:before="84" w:line="174" w:lineRule="auto"/>
              <w:ind w:left="723"/>
            </w:pPr>
            <w:r>
              <w:t>1</w:t>
            </w:r>
          </w:p>
        </w:tc>
        <w:tc>
          <w:tcPr>
            <w:tcW w:w="1415" w:type="dxa"/>
            <w:vAlign w:val="top"/>
          </w:tcPr>
          <w:p>
            <w:pPr>
              <w:pStyle w:val="6"/>
              <w:spacing w:before="84" w:line="174" w:lineRule="auto"/>
              <w:ind w:left="661"/>
            </w:pPr>
            <w:r>
              <w:t>6</w:t>
            </w:r>
          </w:p>
        </w:tc>
        <w:tc>
          <w:tcPr>
            <w:tcW w:w="1560" w:type="dxa"/>
            <w:vAlign w:val="top"/>
          </w:tcPr>
          <w:p>
            <w:pPr>
              <w:pStyle w:val="6"/>
              <w:spacing w:before="84" w:line="174" w:lineRule="auto"/>
              <w:ind w:left="695"/>
            </w:pPr>
            <w:r>
              <w:rPr>
                <w:spacing w:val="-6"/>
              </w:rPr>
              <w:t>15</w:t>
            </w:r>
          </w:p>
        </w:tc>
        <w:tc>
          <w:tcPr>
            <w:tcW w:w="1559" w:type="dxa"/>
            <w:tcBorders>
              <w:right w:val="nil"/>
            </w:tcBorders>
            <w:vAlign w:val="top"/>
          </w:tcPr>
          <w:p>
            <w:pPr>
              <w:pStyle w:val="6"/>
              <w:spacing w:before="84" w:line="174" w:lineRule="auto"/>
              <w:ind w:left="696"/>
            </w:pPr>
            <w:r>
              <w:rPr>
                <w:spacing w:val="-12"/>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4" w:hRule="atLeast"/>
        </w:trPr>
        <w:tc>
          <w:tcPr>
            <w:tcW w:w="2090" w:type="dxa"/>
            <w:tcBorders>
              <w:left w:val="nil"/>
              <w:bottom w:val="single" w:color="000000" w:sz="12" w:space="0"/>
            </w:tcBorders>
            <w:vAlign w:val="top"/>
          </w:tcPr>
          <w:p>
            <w:pPr>
              <w:spacing w:before="53" w:line="203" w:lineRule="auto"/>
              <w:ind w:left="864"/>
              <w:rPr>
                <w:rFonts w:ascii="仿宋" w:hAnsi="仿宋" w:eastAsia="仿宋" w:cs="仿宋"/>
                <w:sz w:val="21"/>
                <w:szCs w:val="21"/>
              </w:rPr>
            </w:pPr>
            <w:r>
              <w:rPr>
                <w:rFonts w:ascii="仿宋" w:hAnsi="仿宋" w:eastAsia="仿宋" w:cs="仿宋"/>
                <w:spacing w:val="-6"/>
                <w:sz w:val="21"/>
                <w:szCs w:val="21"/>
              </w:rPr>
              <w:t>鸟类</w:t>
            </w:r>
          </w:p>
        </w:tc>
        <w:tc>
          <w:tcPr>
            <w:tcW w:w="1512" w:type="dxa"/>
            <w:tcBorders>
              <w:bottom w:val="single" w:color="000000" w:sz="12" w:space="0"/>
            </w:tcBorders>
            <w:vAlign w:val="top"/>
          </w:tcPr>
          <w:p>
            <w:pPr>
              <w:pStyle w:val="6"/>
              <w:spacing w:before="91" w:line="186" w:lineRule="auto"/>
              <w:ind w:left="670"/>
            </w:pPr>
            <w:r>
              <w:rPr>
                <w:spacing w:val="-12"/>
              </w:rPr>
              <w:t>15</w:t>
            </w:r>
          </w:p>
        </w:tc>
        <w:tc>
          <w:tcPr>
            <w:tcW w:w="1415" w:type="dxa"/>
            <w:tcBorders>
              <w:bottom w:val="single" w:color="000000" w:sz="12" w:space="0"/>
            </w:tcBorders>
            <w:vAlign w:val="top"/>
          </w:tcPr>
          <w:p>
            <w:pPr>
              <w:pStyle w:val="6"/>
              <w:spacing w:before="91" w:line="186" w:lineRule="auto"/>
              <w:ind w:left="602"/>
            </w:pPr>
            <w:r>
              <w:rPr>
                <w:spacing w:val="-1"/>
              </w:rPr>
              <w:t>44</w:t>
            </w:r>
          </w:p>
        </w:tc>
        <w:tc>
          <w:tcPr>
            <w:tcW w:w="1560" w:type="dxa"/>
            <w:tcBorders>
              <w:bottom w:val="single" w:color="000000" w:sz="12" w:space="0"/>
            </w:tcBorders>
            <w:vAlign w:val="top"/>
          </w:tcPr>
          <w:p>
            <w:pPr>
              <w:pStyle w:val="6"/>
              <w:spacing w:before="91" w:line="186" w:lineRule="auto"/>
              <w:ind w:left="684"/>
            </w:pPr>
            <w:r>
              <w:rPr>
                <w:spacing w:val="-4"/>
              </w:rPr>
              <w:t>80</w:t>
            </w:r>
          </w:p>
        </w:tc>
        <w:tc>
          <w:tcPr>
            <w:tcW w:w="1559" w:type="dxa"/>
            <w:tcBorders>
              <w:bottom w:val="single" w:color="000000" w:sz="12" w:space="0"/>
              <w:right w:val="nil"/>
            </w:tcBorders>
            <w:vAlign w:val="top"/>
          </w:tcPr>
          <w:p>
            <w:pPr>
              <w:pStyle w:val="6"/>
              <w:spacing w:before="91" w:line="186" w:lineRule="auto"/>
              <w:ind w:left="644"/>
            </w:pPr>
            <w:r>
              <w:rPr>
                <w:spacing w:val="-8"/>
              </w:rPr>
              <w:t>105</w:t>
            </w:r>
          </w:p>
        </w:tc>
      </w:tr>
    </w:tbl>
    <w:p>
      <w:pPr>
        <w:spacing w:line="75" w:lineRule="exact"/>
        <w:rPr>
          <w:rFonts w:ascii="Arial"/>
          <w:sz w:val="6"/>
        </w:rPr>
      </w:pPr>
    </w:p>
    <w:p>
      <w:pPr>
        <w:spacing w:line="75" w:lineRule="exact"/>
        <w:rPr>
          <w:rFonts w:ascii="Arial" w:hAnsi="Arial" w:eastAsia="Arial" w:cs="Arial"/>
          <w:sz w:val="6"/>
          <w:szCs w:val="6"/>
        </w:rPr>
        <w:sectPr>
          <w:headerReference r:id="rId300" w:type="default"/>
          <w:footerReference r:id="rId301" w:type="default"/>
          <w:pgSz w:w="11907" w:h="16839"/>
          <w:pgMar w:top="1156" w:right="1713" w:bottom="1373" w:left="1770" w:header="881" w:footer="1210" w:gutter="0"/>
        </w:sectPr>
      </w:pPr>
    </w:p>
    <w:p>
      <w:pPr>
        <w:spacing w:before="41"/>
      </w:pPr>
    </w:p>
    <w:tbl>
      <w:tblPr>
        <w:tblStyle w:val="5"/>
        <w:tblW w:w="813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3"/>
        <w:gridCol w:w="1511"/>
        <w:gridCol w:w="1414"/>
        <w:gridCol w:w="1559"/>
        <w:gridCol w:w="15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2" w:hRule="atLeast"/>
        </w:trPr>
        <w:tc>
          <w:tcPr>
            <w:tcW w:w="2093" w:type="dxa"/>
            <w:tcBorders>
              <w:top w:val="single" w:color="000000" w:sz="12" w:space="0"/>
              <w:left w:val="nil"/>
            </w:tcBorders>
            <w:vAlign w:val="top"/>
          </w:tcPr>
          <w:p>
            <w:pPr>
              <w:spacing w:before="31" w:line="194" w:lineRule="auto"/>
              <w:ind w:left="756"/>
              <w:rPr>
                <w:rFonts w:ascii="仿宋" w:hAnsi="仿宋" w:eastAsia="仿宋" w:cs="仿宋"/>
                <w:sz w:val="21"/>
                <w:szCs w:val="21"/>
              </w:rPr>
            </w:pPr>
            <w:r>
              <w:rPr>
                <w:rFonts w:ascii="仿宋" w:hAnsi="仿宋" w:eastAsia="仿宋" w:cs="仿宋"/>
                <w:spacing w:val="-5"/>
                <w:sz w:val="21"/>
                <w:szCs w:val="21"/>
              </w:rPr>
              <w:t>哺乳类</w:t>
            </w:r>
          </w:p>
        </w:tc>
        <w:tc>
          <w:tcPr>
            <w:tcW w:w="1511" w:type="dxa"/>
            <w:tcBorders>
              <w:top w:val="single" w:color="000000" w:sz="12" w:space="0"/>
            </w:tcBorders>
            <w:vAlign w:val="top"/>
          </w:tcPr>
          <w:p>
            <w:pPr>
              <w:pStyle w:val="6"/>
              <w:spacing w:before="71" w:line="179" w:lineRule="auto"/>
              <w:ind w:left="703"/>
            </w:pPr>
            <w:r>
              <w:t>7</w:t>
            </w:r>
          </w:p>
        </w:tc>
        <w:tc>
          <w:tcPr>
            <w:tcW w:w="1414" w:type="dxa"/>
            <w:tcBorders>
              <w:top w:val="single" w:color="000000" w:sz="12" w:space="0"/>
            </w:tcBorders>
            <w:vAlign w:val="top"/>
          </w:tcPr>
          <w:p>
            <w:pPr>
              <w:pStyle w:val="6"/>
              <w:spacing w:before="68" w:line="182" w:lineRule="auto"/>
              <w:ind w:left="622"/>
            </w:pPr>
            <w:r>
              <w:rPr>
                <w:spacing w:val="-6"/>
              </w:rPr>
              <w:t>13</w:t>
            </w:r>
          </w:p>
        </w:tc>
        <w:tc>
          <w:tcPr>
            <w:tcW w:w="1559" w:type="dxa"/>
            <w:tcBorders>
              <w:top w:val="single" w:color="000000" w:sz="12" w:space="0"/>
            </w:tcBorders>
            <w:vAlign w:val="top"/>
          </w:tcPr>
          <w:p>
            <w:pPr>
              <w:pStyle w:val="6"/>
              <w:spacing w:before="68" w:line="182" w:lineRule="auto"/>
              <w:ind w:left="674"/>
            </w:pPr>
            <w:r>
              <w:rPr>
                <w:spacing w:val="-1"/>
              </w:rPr>
              <w:t>23</w:t>
            </w:r>
          </w:p>
        </w:tc>
        <w:tc>
          <w:tcPr>
            <w:tcW w:w="1559" w:type="dxa"/>
            <w:tcBorders>
              <w:top w:val="single" w:color="000000" w:sz="12" w:space="0"/>
              <w:right w:val="nil"/>
            </w:tcBorders>
            <w:vAlign w:val="top"/>
          </w:tcPr>
          <w:p>
            <w:pPr>
              <w:pStyle w:val="6"/>
              <w:spacing w:before="68" w:line="182" w:lineRule="auto"/>
              <w:ind w:left="680"/>
            </w:pPr>
            <w:r>
              <w:rPr>
                <w:spacing w:val="-3"/>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7" w:hRule="atLeast"/>
        </w:trPr>
        <w:tc>
          <w:tcPr>
            <w:tcW w:w="2093" w:type="dxa"/>
            <w:tcBorders>
              <w:left w:val="nil"/>
              <w:bottom w:val="single" w:color="000000" w:sz="12" w:space="0"/>
            </w:tcBorders>
            <w:vAlign w:val="top"/>
          </w:tcPr>
          <w:p>
            <w:pPr>
              <w:spacing w:before="46" w:line="203" w:lineRule="auto"/>
              <w:ind w:left="855"/>
              <w:rPr>
                <w:rFonts w:ascii="仿宋" w:hAnsi="仿宋" w:eastAsia="仿宋" w:cs="仿宋"/>
                <w:sz w:val="21"/>
                <w:szCs w:val="21"/>
              </w:rPr>
            </w:pPr>
            <w:r>
              <w:rPr>
                <w:rFonts w:ascii="仿宋" w:hAnsi="仿宋" w:eastAsia="仿宋" w:cs="仿宋"/>
                <w:spacing w:val="-4"/>
                <w:sz w:val="21"/>
                <w:szCs w:val="21"/>
              </w:rPr>
              <w:t>小计</w:t>
            </w:r>
          </w:p>
        </w:tc>
        <w:tc>
          <w:tcPr>
            <w:tcW w:w="1511" w:type="dxa"/>
            <w:tcBorders>
              <w:bottom w:val="single" w:color="000000" w:sz="12" w:space="0"/>
            </w:tcBorders>
            <w:vAlign w:val="top"/>
          </w:tcPr>
          <w:p>
            <w:pPr>
              <w:pStyle w:val="6"/>
              <w:spacing w:before="84" w:line="186" w:lineRule="auto"/>
              <w:ind w:left="647"/>
            </w:pPr>
            <w:r>
              <w:rPr>
                <w:spacing w:val="-2"/>
              </w:rPr>
              <w:t>24</w:t>
            </w:r>
          </w:p>
        </w:tc>
        <w:tc>
          <w:tcPr>
            <w:tcW w:w="1414" w:type="dxa"/>
            <w:tcBorders>
              <w:bottom w:val="single" w:color="000000" w:sz="12" w:space="0"/>
            </w:tcBorders>
            <w:vAlign w:val="top"/>
          </w:tcPr>
          <w:p>
            <w:pPr>
              <w:pStyle w:val="6"/>
              <w:spacing w:before="84" w:line="186" w:lineRule="auto"/>
              <w:ind w:left="605"/>
            </w:pPr>
            <w:r>
              <w:rPr>
                <w:spacing w:val="-2"/>
              </w:rPr>
              <w:t>70</w:t>
            </w:r>
          </w:p>
        </w:tc>
        <w:tc>
          <w:tcPr>
            <w:tcW w:w="1559" w:type="dxa"/>
            <w:tcBorders>
              <w:bottom w:val="single" w:color="000000" w:sz="12" w:space="0"/>
            </w:tcBorders>
            <w:vAlign w:val="top"/>
          </w:tcPr>
          <w:p>
            <w:pPr>
              <w:pStyle w:val="6"/>
              <w:spacing w:before="84" w:line="186" w:lineRule="auto"/>
              <w:ind w:left="642"/>
            </w:pPr>
            <w:r>
              <w:rPr>
                <w:spacing w:val="-6"/>
              </w:rPr>
              <w:t>131</w:t>
            </w:r>
          </w:p>
        </w:tc>
        <w:tc>
          <w:tcPr>
            <w:tcW w:w="1559" w:type="dxa"/>
            <w:tcBorders>
              <w:bottom w:val="single" w:color="000000" w:sz="12" w:space="0"/>
              <w:right w:val="nil"/>
            </w:tcBorders>
            <w:vAlign w:val="top"/>
          </w:tcPr>
          <w:p>
            <w:pPr>
              <w:pStyle w:val="6"/>
              <w:spacing w:before="84" w:line="186" w:lineRule="auto"/>
              <w:ind w:left="644"/>
            </w:pPr>
            <w:r>
              <w:rPr>
                <w:spacing w:val="-6"/>
              </w:rPr>
              <w:t>170</w:t>
            </w:r>
          </w:p>
        </w:tc>
      </w:tr>
    </w:tbl>
    <w:p>
      <w:pPr>
        <w:spacing w:before="147"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两栖类</w:t>
      </w:r>
    </w:p>
    <w:p>
      <w:pPr>
        <w:spacing w:before="137" w:line="439" w:lineRule="exact"/>
        <w:jc w:val="right"/>
        <w:rPr>
          <w:rFonts w:ascii="宋体" w:hAnsi="宋体" w:eastAsia="宋体" w:cs="宋体"/>
          <w:sz w:val="24"/>
          <w:szCs w:val="24"/>
        </w:rPr>
      </w:pPr>
      <w:r>
        <w:rPr>
          <w:rFonts w:ascii="宋体" w:hAnsi="宋体" w:eastAsia="宋体" w:cs="宋体"/>
          <w:spacing w:val="-7"/>
          <w:position w:val="15"/>
          <w:sz w:val="24"/>
          <w:szCs w:val="24"/>
        </w:rPr>
        <w:t>评价区记录分布有两栖动物</w:t>
      </w:r>
      <w:r>
        <w:rPr>
          <w:rFonts w:ascii="宋体" w:hAnsi="宋体" w:eastAsia="宋体" w:cs="宋体"/>
          <w:spacing w:val="-24"/>
          <w:position w:val="15"/>
          <w:sz w:val="24"/>
          <w:szCs w:val="24"/>
        </w:rPr>
        <w:t xml:space="preserve"> </w:t>
      </w:r>
      <w:r>
        <w:rPr>
          <w:rFonts w:ascii="Times New Roman" w:hAnsi="Times New Roman" w:eastAsia="Times New Roman" w:cs="Times New Roman"/>
          <w:spacing w:val="-7"/>
          <w:position w:val="15"/>
          <w:sz w:val="24"/>
          <w:szCs w:val="24"/>
        </w:rPr>
        <w:t>17</w:t>
      </w:r>
      <w:r>
        <w:rPr>
          <w:rFonts w:ascii="Times New Roman" w:hAnsi="Times New Roman" w:eastAsia="Times New Roman" w:cs="Times New Roman"/>
          <w:spacing w:val="13"/>
          <w:position w:val="15"/>
          <w:sz w:val="24"/>
          <w:szCs w:val="24"/>
        </w:rPr>
        <w:t xml:space="preserve"> </w:t>
      </w:r>
      <w:r>
        <w:rPr>
          <w:rFonts w:ascii="宋体" w:hAnsi="宋体" w:eastAsia="宋体" w:cs="宋体"/>
          <w:spacing w:val="-7"/>
          <w:position w:val="15"/>
          <w:sz w:val="24"/>
          <w:szCs w:val="24"/>
        </w:rPr>
        <w:t xml:space="preserve">种，隶属于 </w:t>
      </w:r>
      <w:r>
        <w:rPr>
          <w:rFonts w:ascii="Times New Roman" w:hAnsi="Times New Roman" w:eastAsia="Times New Roman" w:cs="Times New Roman"/>
          <w:spacing w:val="-7"/>
          <w:position w:val="15"/>
          <w:sz w:val="24"/>
          <w:szCs w:val="24"/>
        </w:rPr>
        <w:t xml:space="preserve">1  </w:t>
      </w:r>
      <w:r>
        <w:rPr>
          <w:rFonts w:ascii="宋体" w:hAnsi="宋体" w:eastAsia="宋体" w:cs="宋体"/>
          <w:spacing w:val="-7"/>
          <w:position w:val="15"/>
          <w:sz w:val="24"/>
          <w:szCs w:val="24"/>
        </w:rPr>
        <w:t>目</w:t>
      </w:r>
      <w:r>
        <w:rPr>
          <w:rFonts w:ascii="宋体" w:hAnsi="宋体" w:eastAsia="宋体" w:cs="宋体"/>
          <w:spacing w:val="-47"/>
          <w:position w:val="15"/>
          <w:sz w:val="24"/>
          <w:szCs w:val="24"/>
        </w:rPr>
        <w:t xml:space="preserve"> </w:t>
      </w:r>
      <w:r>
        <w:rPr>
          <w:rFonts w:ascii="Times New Roman" w:hAnsi="Times New Roman" w:eastAsia="Times New Roman" w:cs="Times New Roman"/>
          <w:spacing w:val="-7"/>
          <w:position w:val="15"/>
          <w:sz w:val="24"/>
          <w:szCs w:val="24"/>
        </w:rPr>
        <w:t>7</w:t>
      </w:r>
      <w:r>
        <w:rPr>
          <w:rFonts w:ascii="Times New Roman" w:hAnsi="Times New Roman" w:eastAsia="Times New Roman" w:cs="Times New Roman"/>
          <w:spacing w:val="13"/>
          <w:position w:val="15"/>
          <w:sz w:val="24"/>
          <w:szCs w:val="24"/>
        </w:rPr>
        <w:t xml:space="preserve"> </w:t>
      </w:r>
      <w:r>
        <w:rPr>
          <w:rFonts w:ascii="宋体" w:hAnsi="宋体" w:eastAsia="宋体" w:cs="宋体"/>
          <w:spacing w:val="-7"/>
          <w:position w:val="15"/>
          <w:sz w:val="24"/>
          <w:szCs w:val="24"/>
        </w:rPr>
        <w:t>科</w:t>
      </w:r>
      <w:r>
        <w:rPr>
          <w:rFonts w:ascii="宋体" w:hAnsi="宋体" w:eastAsia="宋体" w:cs="宋体"/>
          <w:spacing w:val="-29"/>
          <w:position w:val="15"/>
          <w:sz w:val="24"/>
          <w:szCs w:val="24"/>
        </w:rPr>
        <w:t xml:space="preserve"> </w:t>
      </w:r>
      <w:r>
        <w:rPr>
          <w:rFonts w:ascii="Times New Roman" w:hAnsi="Times New Roman" w:eastAsia="Times New Roman" w:cs="Times New Roman"/>
          <w:spacing w:val="-7"/>
          <w:position w:val="15"/>
          <w:sz w:val="24"/>
          <w:szCs w:val="24"/>
        </w:rPr>
        <w:t>13</w:t>
      </w:r>
      <w:r>
        <w:rPr>
          <w:rFonts w:ascii="Times New Roman" w:hAnsi="Times New Roman" w:eastAsia="Times New Roman" w:cs="Times New Roman"/>
          <w:spacing w:val="14"/>
          <w:position w:val="15"/>
          <w:sz w:val="24"/>
          <w:szCs w:val="24"/>
        </w:rPr>
        <w:t xml:space="preserve"> </w:t>
      </w:r>
      <w:r>
        <w:rPr>
          <w:rFonts w:ascii="宋体" w:hAnsi="宋体" w:eastAsia="宋体" w:cs="宋体"/>
          <w:spacing w:val="-7"/>
          <w:position w:val="15"/>
          <w:sz w:val="24"/>
          <w:szCs w:val="24"/>
        </w:rPr>
        <w:t>属，两栖动物种类、</w:t>
      </w:r>
    </w:p>
    <w:p>
      <w:pPr>
        <w:spacing w:line="219" w:lineRule="auto"/>
        <w:ind w:left="41"/>
        <w:rPr>
          <w:rFonts w:ascii="宋体" w:hAnsi="宋体" w:eastAsia="宋体" w:cs="宋体"/>
          <w:sz w:val="24"/>
          <w:szCs w:val="24"/>
        </w:rPr>
      </w:pPr>
      <w:r>
        <w:rPr>
          <w:rFonts w:ascii="宋体" w:hAnsi="宋体" w:eastAsia="宋体" w:cs="宋体"/>
          <w:spacing w:val="-1"/>
          <w:sz w:val="24"/>
          <w:szCs w:val="24"/>
        </w:rPr>
        <w:t>数量不多。具体种类见下表。</w:t>
      </w:r>
    </w:p>
    <w:p>
      <w:pPr>
        <w:pStyle w:val="2"/>
        <w:spacing w:before="181" w:line="218" w:lineRule="auto"/>
        <w:ind w:left="2632"/>
      </w:pPr>
      <w:r>
        <w:rPr>
          <w:spacing w:val="-1"/>
          <w14:textOutline w14:w="3810" w14:cap="flat" w14:cmpd="sng">
            <w14:solidFill>
              <w14:srgbClr w14:val="000000"/>
            </w14:solidFill>
            <w14:prstDash w14:val="solid"/>
            <w14:miter w14:val="0"/>
          </w14:textOutline>
        </w:rPr>
        <w:t>表</w:t>
      </w:r>
      <w:r>
        <w:rPr>
          <w:spacing w:val="-33"/>
        </w:rPr>
        <w:t xml:space="preserve"> </w:t>
      </w:r>
      <w:r>
        <w:rPr>
          <w:rFonts w:ascii="Times New Roman" w:hAnsi="Times New Roman" w:eastAsia="Times New Roman" w:cs="Times New Roman"/>
          <w:b/>
          <w:bCs/>
          <w:spacing w:val="-1"/>
        </w:rPr>
        <w:t xml:space="preserve">3.2-27    </w:t>
      </w:r>
      <w:r>
        <w:rPr>
          <w:spacing w:val="-1"/>
          <w14:textOutline w14:w="3810" w14:cap="flat" w14:cmpd="sng">
            <w14:solidFill>
              <w14:srgbClr w14:val="000000"/>
            </w14:solidFill>
            <w14:prstDash w14:val="solid"/>
            <w14:miter w14:val="0"/>
          </w14:textOutline>
        </w:rPr>
        <w:t>评价区两栖动物组成统计表</w:t>
      </w:r>
    </w:p>
    <w:p>
      <w:pPr>
        <w:spacing w:line="19" w:lineRule="exact"/>
      </w:pPr>
    </w:p>
    <w:tbl>
      <w:tblPr>
        <w:tblStyle w:val="5"/>
        <w:tblW w:w="833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16"/>
        <w:gridCol w:w="4112"/>
        <w:gridCol w:w="24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73" w:hRule="atLeast"/>
        </w:trPr>
        <w:tc>
          <w:tcPr>
            <w:tcW w:w="1816" w:type="dxa"/>
            <w:tcBorders>
              <w:top w:val="single" w:color="000000" w:sz="12" w:space="0"/>
              <w:left w:val="nil"/>
            </w:tcBorders>
            <w:vAlign w:val="top"/>
          </w:tcPr>
          <w:p>
            <w:pPr>
              <w:spacing w:before="30" w:line="204" w:lineRule="auto"/>
              <w:ind w:left="860"/>
              <w:rPr>
                <w:rFonts w:ascii="仿宋" w:hAnsi="仿宋" w:eastAsia="仿宋" w:cs="仿宋"/>
                <w:sz w:val="21"/>
                <w:szCs w:val="21"/>
              </w:rPr>
            </w:pPr>
            <w:r>
              <w:rPr>
                <w:rFonts w:ascii="仿宋" w:hAnsi="仿宋" w:eastAsia="仿宋" w:cs="仿宋"/>
                <w:sz w:val="21"/>
                <w:szCs w:val="21"/>
              </w:rPr>
              <w:t>目</w:t>
            </w:r>
          </w:p>
        </w:tc>
        <w:tc>
          <w:tcPr>
            <w:tcW w:w="4112" w:type="dxa"/>
            <w:tcBorders>
              <w:top w:val="single" w:color="000000" w:sz="12" w:space="0"/>
            </w:tcBorders>
            <w:vAlign w:val="top"/>
          </w:tcPr>
          <w:p>
            <w:pPr>
              <w:spacing w:before="30" w:line="204" w:lineRule="auto"/>
              <w:ind w:left="1962"/>
              <w:rPr>
                <w:rFonts w:ascii="仿宋" w:hAnsi="仿宋" w:eastAsia="仿宋" w:cs="仿宋"/>
                <w:sz w:val="21"/>
                <w:szCs w:val="21"/>
              </w:rPr>
            </w:pPr>
            <w:r>
              <w:rPr>
                <w:rFonts w:ascii="仿宋" w:hAnsi="仿宋" w:eastAsia="仿宋" w:cs="仿宋"/>
                <w:sz w:val="21"/>
                <w:szCs w:val="21"/>
              </w:rPr>
              <w:t>科</w:t>
            </w:r>
          </w:p>
        </w:tc>
        <w:tc>
          <w:tcPr>
            <w:tcW w:w="2409" w:type="dxa"/>
            <w:tcBorders>
              <w:top w:val="single" w:color="000000" w:sz="12" w:space="0"/>
              <w:right w:val="nil"/>
            </w:tcBorders>
            <w:vAlign w:val="top"/>
          </w:tcPr>
          <w:p>
            <w:pPr>
              <w:spacing w:before="30" w:line="204" w:lineRule="auto"/>
              <w:ind w:left="1007"/>
              <w:rPr>
                <w:rFonts w:ascii="仿宋" w:hAnsi="仿宋" w:eastAsia="仿宋" w:cs="仿宋"/>
                <w:sz w:val="21"/>
                <w:szCs w:val="21"/>
              </w:rPr>
            </w:pPr>
            <w:r>
              <w:rPr>
                <w:rFonts w:ascii="仿宋" w:hAnsi="仿宋" w:eastAsia="仿宋" w:cs="仿宋"/>
                <w:spacing w:val="-4"/>
                <w:sz w:val="21"/>
                <w:szCs w:val="21"/>
              </w:rPr>
              <w:t>种数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73" w:hRule="atLeast"/>
        </w:trPr>
        <w:tc>
          <w:tcPr>
            <w:tcW w:w="1816" w:type="dxa"/>
            <w:vMerge w:val="restart"/>
            <w:tcBorders>
              <w:left w:val="nil"/>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pStyle w:val="6"/>
              <w:spacing w:before="68" w:line="221" w:lineRule="auto"/>
              <w:ind w:left="216"/>
            </w:pPr>
            <w:r>
              <w:rPr>
                <w:rFonts w:ascii="仿宋" w:hAnsi="仿宋" w:eastAsia="仿宋" w:cs="仿宋"/>
                <w:spacing w:val="-3"/>
              </w:rPr>
              <w:t>无尾目</w:t>
            </w:r>
            <w:r>
              <w:rPr>
                <w:rFonts w:ascii="仿宋" w:hAnsi="仿宋" w:eastAsia="仿宋" w:cs="仿宋"/>
                <w:spacing w:val="-46"/>
              </w:rPr>
              <w:t xml:space="preserve"> </w:t>
            </w:r>
            <w:r>
              <w:rPr>
                <w:spacing w:val="-3"/>
              </w:rPr>
              <w:t>ANURA</w:t>
            </w:r>
          </w:p>
        </w:tc>
        <w:tc>
          <w:tcPr>
            <w:tcW w:w="4112" w:type="dxa"/>
            <w:vAlign w:val="top"/>
          </w:tcPr>
          <w:p>
            <w:pPr>
              <w:pStyle w:val="6"/>
              <w:spacing w:before="34" w:line="201" w:lineRule="auto"/>
              <w:ind w:left="1118"/>
            </w:pPr>
            <w:r>
              <w:rPr>
                <w:rFonts w:ascii="仿宋" w:hAnsi="仿宋" w:eastAsia="仿宋" w:cs="仿宋"/>
                <w:spacing w:val="-2"/>
              </w:rPr>
              <w:t>角蟾科</w:t>
            </w:r>
            <w:r>
              <w:rPr>
                <w:rFonts w:ascii="仿宋" w:hAnsi="仿宋" w:eastAsia="仿宋" w:cs="仿宋"/>
                <w:spacing w:val="-42"/>
              </w:rPr>
              <w:t xml:space="preserve"> </w:t>
            </w:r>
            <w:r>
              <w:rPr>
                <w:spacing w:val="-2"/>
              </w:rPr>
              <w:t>Megophryidae</w:t>
            </w:r>
          </w:p>
        </w:tc>
        <w:tc>
          <w:tcPr>
            <w:tcW w:w="2409" w:type="dxa"/>
            <w:tcBorders>
              <w:right w:val="nil"/>
            </w:tcBorders>
            <w:vAlign w:val="top"/>
          </w:tcPr>
          <w:p>
            <w:pPr>
              <w:pStyle w:val="6"/>
              <w:spacing w:before="73" w:line="186" w:lineRule="auto"/>
              <w:ind w:left="1173"/>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1816" w:type="dxa"/>
            <w:vMerge w:val="continue"/>
            <w:tcBorders>
              <w:top w:val="nil"/>
              <w:left w:val="nil"/>
              <w:bottom w:val="nil"/>
            </w:tcBorders>
            <w:vAlign w:val="top"/>
          </w:tcPr>
          <w:p>
            <w:pPr>
              <w:rPr>
                <w:rFonts w:ascii="Arial"/>
                <w:sz w:val="21"/>
              </w:rPr>
            </w:pPr>
          </w:p>
        </w:tc>
        <w:tc>
          <w:tcPr>
            <w:tcW w:w="4112" w:type="dxa"/>
            <w:vAlign w:val="top"/>
          </w:tcPr>
          <w:p>
            <w:pPr>
              <w:pStyle w:val="6"/>
              <w:spacing w:before="38" w:line="198" w:lineRule="auto"/>
              <w:ind w:left="1287"/>
            </w:pPr>
            <w:r>
              <w:rPr>
                <w:rFonts w:ascii="仿宋" w:hAnsi="仿宋" w:eastAsia="仿宋" w:cs="仿宋"/>
                <w:spacing w:val="-2"/>
              </w:rPr>
              <w:t>蟾蜍科</w:t>
            </w:r>
            <w:r>
              <w:rPr>
                <w:rFonts w:ascii="仿宋" w:hAnsi="仿宋" w:eastAsia="仿宋" w:cs="仿宋"/>
                <w:spacing w:val="-43"/>
              </w:rPr>
              <w:t xml:space="preserve"> </w:t>
            </w:r>
            <w:r>
              <w:rPr>
                <w:spacing w:val="-2"/>
              </w:rPr>
              <w:t>Bufonidae</w:t>
            </w:r>
          </w:p>
        </w:tc>
        <w:tc>
          <w:tcPr>
            <w:tcW w:w="2409" w:type="dxa"/>
            <w:tcBorders>
              <w:right w:val="nil"/>
            </w:tcBorders>
            <w:vAlign w:val="top"/>
          </w:tcPr>
          <w:p>
            <w:pPr>
              <w:pStyle w:val="6"/>
              <w:spacing w:before="76" w:line="186" w:lineRule="auto"/>
              <w:ind w:left="1153"/>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816" w:type="dxa"/>
            <w:vMerge w:val="continue"/>
            <w:tcBorders>
              <w:top w:val="nil"/>
              <w:left w:val="nil"/>
              <w:bottom w:val="nil"/>
            </w:tcBorders>
            <w:vAlign w:val="top"/>
          </w:tcPr>
          <w:p>
            <w:pPr>
              <w:rPr>
                <w:rFonts w:ascii="Arial"/>
                <w:sz w:val="21"/>
              </w:rPr>
            </w:pPr>
          </w:p>
        </w:tc>
        <w:tc>
          <w:tcPr>
            <w:tcW w:w="4112" w:type="dxa"/>
            <w:vAlign w:val="top"/>
          </w:tcPr>
          <w:p>
            <w:pPr>
              <w:pStyle w:val="6"/>
              <w:spacing w:before="43" w:line="195" w:lineRule="auto"/>
              <w:ind w:left="1393"/>
            </w:pPr>
            <w:r>
              <w:rPr>
                <w:rFonts w:ascii="仿宋" w:hAnsi="仿宋" w:eastAsia="仿宋" w:cs="仿宋"/>
                <w:spacing w:val="-2"/>
              </w:rPr>
              <w:t>雨蛙科</w:t>
            </w:r>
            <w:r>
              <w:rPr>
                <w:rFonts w:ascii="仿宋" w:hAnsi="仿宋" w:eastAsia="仿宋" w:cs="仿宋"/>
                <w:spacing w:val="-48"/>
              </w:rPr>
              <w:t xml:space="preserve"> </w:t>
            </w:r>
            <w:r>
              <w:rPr>
                <w:spacing w:val="-2"/>
              </w:rPr>
              <w:t>Hylidae</w:t>
            </w:r>
          </w:p>
        </w:tc>
        <w:tc>
          <w:tcPr>
            <w:tcW w:w="2409" w:type="dxa"/>
            <w:tcBorders>
              <w:right w:val="nil"/>
            </w:tcBorders>
            <w:vAlign w:val="top"/>
          </w:tcPr>
          <w:p>
            <w:pPr>
              <w:pStyle w:val="6"/>
              <w:spacing w:before="81" w:line="182" w:lineRule="auto"/>
              <w:ind w:left="1173"/>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1816" w:type="dxa"/>
            <w:vMerge w:val="continue"/>
            <w:tcBorders>
              <w:top w:val="nil"/>
              <w:left w:val="nil"/>
              <w:bottom w:val="nil"/>
            </w:tcBorders>
            <w:vAlign w:val="top"/>
          </w:tcPr>
          <w:p>
            <w:pPr>
              <w:rPr>
                <w:rFonts w:ascii="Arial"/>
                <w:sz w:val="21"/>
              </w:rPr>
            </w:pPr>
          </w:p>
        </w:tc>
        <w:tc>
          <w:tcPr>
            <w:tcW w:w="4112" w:type="dxa"/>
            <w:vAlign w:val="top"/>
          </w:tcPr>
          <w:p>
            <w:pPr>
              <w:pStyle w:val="6"/>
              <w:spacing w:before="44" w:line="193" w:lineRule="auto"/>
              <w:ind w:left="1089"/>
            </w:pPr>
            <w:r>
              <w:rPr>
                <w:rFonts w:ascii="仿宋" w:hAnsi="仿宋" w:eastAsia="仿宋" w:cs="仿宋"/>
                <w:spacing w:val="-2"/>
              </w:rPr>
              <w:t>树蛙科</w:t>
            </w:r>
            <w:r>
              <w:rPr>
                <w:rFonts w:ascii="仿宋" w:hAnsi="仿宋" w:eastAsia="仿宋" w:cs="仿宋"/>
                <w:spacing w:val="-34"/>
              </w:rPr>
              <w:t xml:space="preserve"> </w:t>
            </w:r>
            <w:r>
              <w:rPr>
                <w:spacing w:val="-2"/>
              </w:rPr>
              <w:t>Rhacophoridae</w:t>
            </w:r>
          </w:p>
        </w:tc>
        <w:tc>
          <w:tcPr>
            <w:tcW w:w="2409" w:type="dxa"/>
            <w:tcBorders>
              <w:right w:val="nil"/>
            </w:tcBorders>
            <w:vAlign w:val="top"/>
          </w:tcPr>
          <w:p>
            <w:pPr>
              <w:pStyle w:val="6"/>
              <w:spacing w:before="83" w:line="179" w:lineRule="auto"/>
              <w:ind w:left="1173"/>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1816" w:type="dxa"/>
            <w:vMerge w:val="continue"/>
            <w:tcBorders>
              <w:top w:val="nil"/>
              <w:left w:val="nil"/>
              <w:bottom w:val="nil"/>
            </w:tcBorders>
            <w:vAlign w:val="top"/>
          </w:tcPr>
          <w:p>
            <w:pPr>
              <w:rPr>
                <w:rFonts w:ascii="Arial"/>
                <w:sz w:val="21"/>
              </w:rPr>
            </w:pPr>
          </w:p>
        </w:tc>
        <w:tc>
          <w:tcPr>
            <w:tcW w:w="4112" w:type="dxa"/>
            <w:vAlign w:val="top"/>
          </w:tcPr>
          <w:p>
            <w:pPr>
              <w:pStyle w:val="6"/>
              <w:spacing w:before="47" w:line="190" w:lineRule="auto"/>
              <w:ind w:left="1158"/>
            </w:pPr>
            <w:r>
              <w:rPr>
                <w:rFonts w:ascii="仿宋" w:hAnsi="仿宋" w:eastAsia="仿宋" w:cs="仿宋"/>
                <w:spacing w:val="-2"/>
              </w:rPr>
              <w:t>姬蛙科</w:t>
            </w:r>
            <w:r>
              <w:rPr>
                <w:rFonts w:ascii="仿宋" w:hAnsi="仿宋" w:eastAsia="仿宋" w:cs="仿宋"/>
                <w:spacing w:val="-37"/>
              </w:rPr>
              <w:t xml:space="preserve"> </w:t>
            </w:r>
            <w:r>
              <w:rPr>
                <w:spacing w:val="-2"/>
              </w:rPr>
              <w:t>Microhylidae</w:t>
            </w:r>
          </w:p>
        </w:tc>
        <w:tc>
          <w:tcPr>
            <w:tcW w:w="2409" w:type="dxa"/>
            <w:tcBorders>
              <w:right w:val="nil"/>
            </w:tcBorders>
            <w:vAlign w:val="top"/>
          </w:tcPr>
          <w:p>
            <w:pPr>
              <w:pStyle w:val="6"/>
              <w:spacing w:before="86" w:line="176" w:lineRule="auto"/>
              <w:ind w:left="1152"/>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1816" w:type="dxa"/>
            <w:vMerge w:val="continue"/>
            <w:tcBorders>
              <w:top w:val="nil"/>
              <w:left w:val="nil"/>
              <w:bottom w:val="nil"/>
            </w:tcBorders>
            <w:vAlign w:val="top"/>
          </w:tcPr>
          <w:p>
            <w:pPr>
              <w:rPr>
                <w:rFonts w:ascii="Arial"/>
                <w:sz w:val="21"/>
              </w:rPr>
            </w:pPr>
          </w:p>
        </w:tc>
        <w:tc>
          <w:tcPr>
            <w:tcW w:w="4112" w:type="dxa"/>
            <w:vAlign w:val="top"/>
          </w:tcPr>
          <w:p>
            <w:pPr>
              <w:pStyle w:val="6"/>
              <w:spacing w:before="52" w:line="187" w:lineRule="auto"/>
              <w:ind w:left="991"/>
            </w:pPr>
            <w:r>
              <w:rPr>
                <w:rFonts w:ascii="仿宋" w:hAnsi="仿宋" w:eastAsia="仿宋" w:cs="仿宋"/>
                <w:spacing w:val="-2"/>
              </w:rPr>
              <w:t>叉舌蛙科</w:t>
            </w:r>
            <w:r>
              <w:rPr>
                <w:rFonts w:ascii="仿宋" w:hAnsi="仿宋" w:eastAsia="仿宋" w:cs="仿宋"/>
                <w:spacing w:val="-33"/>
              </w:rPr>
              <w:t xml:space="preserve"> </w:t>
            </w:r>
            <w:r>
              <w:rPr>
                <w:spacing w:val="-2"/>
              </w:rPr>
              <w:t>Dicroglossidae</w:t>
            </w:r>
          </w:p>
        </w:tc>
        <w:tc>
          <w:tcPr>
            <w:tcW w:w="2409" w:type="dxa"/>
            <w:tcBorders>
              <w:right w:val="nil"/>
            </w:tcBorders>
            <w:vAlign w:val="top"/>
          </w:tcPr>
          <w:p>
            <w:pPr>
              <w:pStyle w:val="6"/>
              <w:spacing w:before="89" w:line="174" w:lineRule="auto"/>
              <w:ind w:left="1173"/>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4" w:hRule="atLeast"/>
        </w:trPr>
        <w:tc>
          <w:tcPr>
            <w:tcW w:w="1816" w:type="dxa"/>
            <w:vMerge w:val="continue"/>
            <w:tcBorders>
              <w:top w:val="nil"/>
              <w:left w:val="nil"/>
            </w:tcBorders>
            <w:vAlign w:val="top"/>
          </w:tcPr>
          <w:p>
            <w:pPr>
              <w:rPr>
                <w:rFonts w:ascii="Arial"/>
                <w:sz w:val="21"/>
              </w:rPr>
            </w:pPr>
          </w:p>
        </w:tc>
        <w:tc>
          <w:tcPr>
            <w:tcW w:w="4112" w:type="dxa"/>
            <w:vAlign w:val="top"/>
          </w:tcPr>
          <w:p>
            <w:pPr>
              <w:pStyle w:val="6"/>
              <w:spacing w:before="54" w:line="184" w:lineRule="auto"/>
              <w:ind w:left="1484"/>
            </w:pPr>
            <w:r>
              <w:rPr>
                <w:rFonts w:ascii="仿宋" w:hAnsi="仿宋" w:eastAsia="仿宋" w:cs="仿宋"/>
                <w:spacing w:val="-2"/>
              </w:rPr>
              <w:t>蛙科</w:t>
            </w:r>
            <w:r>
              <w:rPr>
                <w:rFonts w:ascii="仿宋" w:hAnsi="仿宋" w:eastAsia="仿宋" w:cs="仿宋"/>
                <w:spacing w:val="-48"/>
              </w:rPr>
              <w:t xml:space="preserve"> </w:t>
            </w:r>
            <w:r>
              <w:rPr>
                <w:spacing w:val="-2"/>
              </w:rPr>
              <w:t>Ranidae</w:t>
            </w:r>
          </w:p>
        </w:tc>
        <w:tc>
          <w:tcPr>
            <w:tcW w:w="2409" w:type="dxa"/>
            <w:tcBorders>
              <w:right w:val="nil"/>
            </w:tcBorders>
            <w:vAlign w:val="top"/>
          </w:tcPr>
          <w:p>
            <w:pPr>
              <w:pStyle w:val="6"/>
              <w:spacing w:before="95" w:line="167" w:lineRule="auto"/>
              <w:ind w:left="1156"/>
            </w:pPr>
            <w: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8" w:hRule="atLeast"/>
        </w:trPr>
        <w:tc>
          <w:tcPr>
            <w:tcW w:w="1816" w:type="dxa"/>
            <w:tcBorders>
              <w:left w:val="nil"/>
              <w:bottom w:val="single" w:color="000000" w:sz="12" w:space="0"/>
            </w:tcBorders>
            <w:vAlign w:val="top"/>
          </w:tcPr>
          <w:p>
            <w:pPr>
              <w:pStyle w:val="6"/>
              <w:spacing w:before="57" w:line="203" w:lineRule="auto"/>
              <w:ind w:left="436"/>
              <w:rPr>
                <w:rFonts w:ascii="仿宋" w:hAnsi="仿宋" w:eastAsia="仿宋" w:cs="仿宋"/>
              </w:rPr>
            </w:pPr>
            <w:r>
              <w:rPr>
                <w:rFonts w:ascii="仿宋" w:hAnsi="仿宋" w:eastAsia="仿宋" w:cs="仿宋"/>
                <w:spacing w:val="-28"/>
              </w:rPr>
              <w:t>合计：</w:t>
            </w:r>
            <w:r>
              <w:rPr>
                <w:rFonts w:ascii="仿宋" w:hAnsi="仿宋" w:eastAsia="仿宋" w:cs="仿宋"/>
                <w:spacing w:val="14"/>
              </w:rPr>
              <w:t xml:space="preserve"> </w:t>
            </w:r>
            <w:r>
              <w:rPr>
                <w:spacing w:val="-28"/>
              </w:rPr>
              <w:t>1</w:t>
            </w:r>
            <w:r>
              <w:rPr>
                <w:spacing w:val="51"/>
                <w:w w:val="101"/>
              </w:rPr>
              <w:t xml:space="preserve"> </w:t>
            </w:r>
            <w:r>
              <w:rPr>
                <w:rFonts w:ascii="仿宋" w:hAnsi="仿宋" w:eastAsia="仿宋" w:cs="仿宋"/>
                <w:spacing w:val="-28"/>
              </w:rPr>
              <w:t>目</w:t>
            </w:r>
          </w:p>
        </w:tc>
        <w:tc>
          <w:tcPr>
            <w:tcW w:w="4112" w:type="dxa"/>
            <w:tcBorders>
              <w:bottom w:val="single" w:color="000000" w:sz="12" w:space="0"/>
            </w:tcBorders>
            <w:vAlign w:val="top"/>
          </w:tcPr>
          <w:p>
            <w:pPr>
              <w:pStyle w:val="6"/>
              <w:spacing w:before="57" w:line="203" w:lineRule="auto"/>
              <w:ind w:left="1877"/>
              <w:rPr>
                <w:rFonts w:ascii="仿宋" w:hAnsi="仿宋" w:eastAsia="仿宋" w:cs="仿宋"/>
              </w:rPr>
            </w:pPr>
            <w:r>
              <w:rPr>
                <w:spacing w:val="-4"/>
              </w:rPr>
              <w:t>7</w:t>
            </w:r>
            <w:r>
              <w:rPr>
                <w:spacing w:val="15"/>
                <w:w w:val="101"/>
              </w:rPr>
              <w:t xml:space="preserve"> </w:t>
            </w:r>
            <w:r>
              <w:rPr>
                <w:rFonts w:ascii="仿宋" w:hAnsi="仿宋" w:eastAsia="仿宋" w:cs="仿宋"/>
                <w:spacing w:val="-4"/>
              </w:rPr>
              <w:t>科</w:t>
            </w:r>
          </w:p>
        </w:tc>
        <w:tc>
          <w:tcPr>
            <w:tcW w:w="2409" w:type="dxa"/>
            <w:tcBorders>
              <w:bottom w:val="single" w:color="000000" w:sz="12" w:space="0"/>
              <w:right w:val="nil"/>
            </w:tcBorders>
            <w:vAlign w:val="top"/>
          </w:tcPr>
          <w:p>
            <w:pPr>
              <w:pStyle w:val="6"/>
              <w:spacing w:before="57" w:line="203" w:lineRule="auto"/>
              <w:ind w:left="990"/>
              <w:rPr>
                <w:rFonts w:ascii="仿宋" w:hAnsi="仿宋" w:eastAsia="仿宋" w:cs="仿宋"/>
              </w:rPr>
            </w:pPr>
            <w:r>
              <w:rPr>
                <w:spacing w:val="-8"/>
              </w:rPr>
              <w:t>17</w:t>
            </w:r>
            <w:r>
              <w:rPr>
                <w:spacing w:val="16"/>
              </w:rPr>
              <w:t xml:space="preserve"> </w:t>
            </w:r>
            <w:r>
              <w:rPr>
                <w:rFonts w:ascii="仿宋" w:hAnsi="仿宋" w:eastAsia="仿宋" w:cs="仿宋"/>
                <w:spacing w:val="-8"/>
              </w:rPr>
              <w:t>种</w:t>
            </w:r>
          </w:p>
        </w:tc>
      </w:tr>
    </w:tbl>
    <w:p>
      <w:pPr>
        <w:spacing w:before="149" w:line="338" w:lineRule="auto"/>
        <w:ind w:left="38" w:right="86" w:firstLine="480"/>
        <w:rPr>
          <w:rFonts w:ascii="宋体" w:hAnsi="宋体" w:eastAsia="宋体" w:cs="宋体"/>
          <w:sz w:val="24"/>
          <w:szCs w:val="24"/>
        </w:rPr>
      </w:pPr>
      <w:r>
        <w:rPr>
          <w:rFonts w:ascii="宋体" w:hAnsi="宋体" w:eastAsia="宋体" w:cs="宋体"/>
          <w:spacing w:val="-12"/>
          <w:sz w:val="24"/>
          <w:szCs w:val="24"/>
        </w:rPr>
        <w:t>评价区域海拔差异不大，</w:t>
      </w:r>
      <w:r>
        <w:rPr>
          <w:rFonts w:ascii="宋体" w:hAnsi="宋体" w:eastAsia="宋体" w:cs="宋体"/>
          <w:spacing w:val="31"/>
          <w:sz w:val="24"/>
          <w:szCs w:val="24"/>
        </w:rPr>
        <w:t xml:space="preserve"> </w:t>
      </w:r>
      <w:r>
        <w:rPr>
          <w:rFonts w:ascii="宋体" w:hAnsi="宋体" w:eastAsia="宋体" w:cs="宋体"/>
          <w:spacing w:val="-12"/>
          <w:sz w:val="24"/>
          <w:szCs w:val="24"/>
        </w:rPr>
        <w:t>库区森林植被分布较为稀疏，</w:t>
      </w:r>
      <w:r>
        <w:rPr>
          <w:rFonts w:ascii="宋体" w:hAnsi="宋体" w:eastAsia="宋体" w:cs="宋体"/>
          <w:spacing w:val="30"/>
          <w:sz w:val="24"/>
          <w:szCs w:val="24"/>
        </w:rPr>
        <w:t xml:space="preserve"> </w:t>
      </w:r>
      <w:r>
        <w:rPr>
          <w:rFonts w:ascii="宋体" w:hAnsi="宋体" w:eastAsia="宋体" w:cs="宋体"/>
          <w:spacing w:val="-13"/>
          <w:sz w:val="24"/>
          <w:szCs w:val="24"/>
        </w:rPr>
        <w:t>而引水工程、引洪工</w:t>
      </w:r>
      <w:r>
        <w:rPr>
          <w:rFonts w:ascii="宋体" w:hAnsi="宋体" w:eastAsia="宋体" w:cs="宋体"/>
          <w:sz w:val="24"/>
          <w:szCs w:val="24"/>
        </w:rPr>
        <w:t xml:space="preserve"> </w:t>
      </w:r>
      <w:r>
        <w:rPr>
          <w:rFonts w:ascii="宋体" w:hAnsi="宋体" w:eastAsia="宋体" w:cs="宋体"/>
          <w:spacing w:val="-9"/>
          <w:sz w:val="24"/>
          <w:szCs w:val="24"/>
        </w:rPr>
        <w:t>程和输水工程区域森林植被分布较多， 稀树灌木草丛和耕</w:t>
      </w:r>
      <w:r>
        <w:rPr>
          <w:rFonts w:ascii="宋体" w:hAnsi="宋体" w:eastAsia="宋体" w:cs="宋体"/>
          <w:spacing w:val="-10"/>
          <w:sz w:val="24"/>
          <w:szCs w:val="24"/>
        </w:rPr>
        <w:t>地植被居多， 显示出评</w:t>
      </w:r>
      <w:r>
        <w:rPr>
          <w:rFonts w:ascii="宋体" w:hAnsi="宋体" w:eastAsia="宋体" w:cs="宋体"/>
          <w:sz w:val="24"/>
          <w:szCs w:val="24"/>
        </w:rPr>
        <w:t xml:space="preserve"> </w:t>
      </w:r>
      <w:r>
        <w:rPr>
          <w:rFonts w:ascii="宋体" w:hAnsi="宋体" w:eastAsia="宋体" w:cs="宋体"/>
          <w:spacing w:val="-8"/>
          <w:sz w:val="24"/>
          <w:szCs w:val="24"/>
        </w:rPr>
        <w:t>价区受人为干扰突出，</w:t>
      </w:r>
      <w:r>
        <w:rPr>
          <w:rFonts w:ascii="宋体" w:hAnsi="宋体" w:eastAsia="宋体" w:cs="宋体"/>
          <w:spacing w:val="55"/>
          <w:sz w:val="24"/>
          <w:szCs w:val="24"/>
        </w:rPr>
        <w:t xml:space="preserve"> </w:t>
      </w:r>
      <w:r>
        <w:rPr>
          <w:rFonts w:ascii="宋体" w:hAnsi="宋体" w:eastAsia="宋体" w:cs="宋体"/>
          <w:spacing w:val="-8"/>
          <w:sz w:val="24"/>
          <w:szCs w:val="24"/>
        </w:rPr>
        <w:t>两栖动物种类、数量不多。常见种类为饰纹姬蛙、黑眶蟾</w:t>
      </w:r>
      <w:r>
        <w:rPr>
          <w:rFonts w:ascii="宋体" w:hAnsi="宋体" w:eastAsia="宋体" w:cs="宋体"/>
          <w:sz w:val="24"/>
          <w:szCs w:val="24"/>
        </w:rPr>
        <w:t xml:space="preserve"> </w:t>
      </w:r>
      <w:r>
        <w:rPr>
          <w:rFonts w:ascii="宋体" w:hAnsi="宋体" w:eastAsia="宋体" w:cs="宋体"/>
          <w:spacing w:val="-14"/>
          <w:sz w:val="24"/>
          <w:szCs w:val="24"/>
        </w:rPr>
        <w:t>蜍、棘胸蛙等；</w:t>
      </w:r>
      <w:r>
        <w:rPr>
          <w:rFonts w:ascii="宋体" w:hAnsi="宋体" w:eastAsia="宋体" w:cs="宋体"/>
          <w:spacing w:val="74"/>
          <w:sz w:val="24"/>
          <w:szCs w:val="24"/>
        </w:rPr>
        <w:t xml:space="preserve"> </w:t>
      </w:r>
      <w:r>
        <w:rPr>
          <w:rFonts w:ascii="宋体" w:hAnsi="宋体" w:eastAsia="宋体" w:cs="宋体"/>
          <w:spacing w:val="-14"/>
          <w:sz w:val="24"/>
          <w:szCs w:val="24"/>
        </w:rPr>
        <w:t>沼水蛙、沼蛙、滇蛙等现为偶见种；</w:t>
      </w:r>
      <w:r>
        <w:rPr>
          <w:rFonts w:ascii="宋体" w:hAnsi="宋体" w:eastAsia="宋体" w:cs="宋体"/>
          <w:spacing w:val="74"/>
          <w:sz w:val="24"/>
          <w:szCs w:val="24"/>
        </w:rPr>
        <w:t xml:space="preserve"> </w:t>
      </w:r>
      <w:r>
        <w:rPr>
          <w:rFonts w:ascii="宋体" w:hAnsi="宋体" w:eastAsia="宋体" w:cs="宋体"/>
          <w:spacing w:val="-14"/>
          <w:sz w:val="24"/>
          <w:szCs w:val="24"/>
        </w:rPr>
        <w:t>中华蟾蜍、黑斑蛙、棕点湍</w:t>
      </w:r>
    </w:p>
    <w:p>
      <w:pPr>
        <w:spacing w:before="1" w:line="219" w:lineRule="auto"/>
        <w:ind w:left="40"/>
        <w:rPr>
          <w:rFonts w:ascii="宋体" w:hAnsi="宋体" w:eastAsia="宋体" w:cs="宋体"/>
          <w:sz w:val="24"/>
          <w:szCs w:val="24"/>
        </w:rPr>
      </w:pPr>
      <w:r>
        <w:rPr>
          <w:rFonts w:ascii="宋体" w:hAnsi="宋体" w:eastAsia="宋体" w:cs="宋体"/>
          <w:spacing w:val="-5"/>
          <w:sz w:val="24"/>
          <w:szCs w:val="24"/>
        </w:rPr>
        <w:t>蛙等在区域内少见。</w:t>
      </w:r>
    </w:p>
    <w:p>
      <w:pPr>
        <w:spacing w:before="152" w:line="339" w:lineRule="auto"/>
        <w:ind w:left="35" w:firstLine="483"/>
        <w:rPr>
          <w:rFonts w:ascii="宋体" w:hAnsi="宋体" w:eastAsia="宋体" w:cs="宋体"/>
          <w:sz w:val="24"/>
          <w:szCs w:val="24"/>
        </w:rPr>
      </w:pPr>
      <w:r>
        <w:rPr>
          <w:rFonts w:ascii="宋体" w:hAnsi="宋体" w:eastAsia="宋体" w:cs="宋体"/>
          <w:spacing w:val="-2"/>
          <w:sz w:val="24"/>
          <w:szCs w:val="24"/>
        </w:rPr>
        <w:t xml:space="preserve">评价区分布的 </w:t>
      </w:r>
      <w:r>
        <w:rPr>
          <w:rFonts w:ascii="Times New Roman" w:hAnsi="Times New Roman" w:eastAsia="Times New Roman" w:cs="Times New Roman"/>
          <w:spacing w:val="-2"/>
          <w:sz w:val="24"/>
          <w:szCs w:val="24"/>
        </w:rPr>
        <w:t>17</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种两栖动物均属于东洋界成分，其中广</w:t>
      </w:r>
      <w:r>
        <w:rPr>
          <w:rFonts w:ascii="宋体" w:hAnsi="宋体" w:eastAsia="宋体" w:cs="宋体"/>
          <w:spacing w:val="-3"/>
          <w:sz w:val="24"/>
          <w:szCs w:val="24"/>
        </w:rPr>
        <w:t>布于东洋界各区的 有</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种，西南区的</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种，华南和西南两区共有种</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种，分别</w:t>
      </w:r>
      <w:r>
        <w:rPr>
          <w:rFonts w:ascii="宋体" w:hAnsi="宋体" w:eastAsia="宋体" w:cs="宋体"/>
          <w:spacing w:val="-4"/>
          <w:sz w:val="24"/>
          <w:szCs w:val="24"/>
        </w:rPr>
        <w:t>占种数的</w:t>
      </w:r>
      <w:r>
        <w:rPr>
          <w:rFonts w:ascii="宋体" w:hAnsi="宋体" w:eastAsia="宋体" w:cs="宋体"/>
          <w:spacing w:val="-39"/>
          <w:sz w:val="24"/>
          <w:szCs w:val="24"/>
        </w:rPr>
        <w:t xml:space="preserve"> </w:t>
      </w:r>
      <w:r>
        <w:rPr>
          <w:rFonts w:ascii="Times New Roman" w:hAnsi="Times New Roman" w:eastAsia="Times New Roman" w:cs="Times New Roman"/>
          <w:spacing w:val="-4"/>
          <w:sz w:val="24"/>
          <w:szCs w:val="24"/>
        </w:rPr>
        <w:t>58.82%</w:t>
      </w:r>
      <w:r>
        <w:rPr>
          <w:rFonts w:ascii="宋体" w:hAnsi="宋体" w:eastAsia="宋体" w:cs="宋体"/>
          <w:spacing w:val="-4"/>
          <w:sz w:val="24"/>
          <w:szCs w:val="24"/>
        </w:rPr>
        <w:t>、</w:t>
      </w:r>
      <w:r>
        <w:rPr>
          <w:rFonts w:ascii="宋体" w:hAnsi="宋体" w:eastAsia="宋体" w:cs="宋体"/>
          <w:sz w:val="24"/>
          <w:szCs w:val="24"/>
        </w:rPr>
        <w:t xml:space="preserve"> </w:t>
      </w:r>
      <w:r>
        <w:rPr>
          <w:rFonts w:ascii="Times New Roman" w:hAnsi="Times New Roman" w:eastAsia="Times New Roman" w:cs="Times New Roman"/>
          <w:spacing w:val="-9"/>
          <w:sz w:val="24"/>
          <w:szCs w:val="24"/>
        </w:rPr>
        <w:t>29.41%</w:t>
      </w:r>
      <w:r>
        <w:rPr>
          <w:rFonts w:ascii="宋体" w:hAnsi="宋体" w:eastAsia="宋体" w:cs="宋体"/>
          <w:spacing w:val="-9"/>
          <w:sz w:val="24"/>
          <w:szCs w:val="24"/>
        </w:rPr>
        <w:t>和</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11.76%</w:t>
      </w:r>
      <w:r>
        <w:rPr>
          <w:rFonts w:ascii="宋体" w:hAnsi="宋体" w:eastAsia="宋体" w:cs="宋体"/>
          <w:spacing w:val="-9"/>
          <w:sz w:val="24"/>
          <w:szCs w:val="24"/>
        </w:rPr>
        <w:t>，说明该地区的两栖动物以东洋界、西南区的成分为主</w:t>
      </w:r>
      <w:r>
        <w:rPr>
          <w:rFonts w:ascii="宋体" w:hAnsi="宋体" w:eastAsia="宋体" w:cs="宋体"/>
          <w:spacing w:val="-10"/>
          <w:sz w:val="24"/>
          <w:szCs w:val="24"/>
        </w:rPr>
        <w:t>， 华南、</w:t>
      </w:r>
      <w:r>
        <w:rPr>
          <w:rFonts w:ascii="宋体" w:hAnsi="宋体" w:eastAsia="宋体" w:cs="宋体"/>
          <w:sz w:val="24"/>
          <w:szCs w:val="24"/>
        </w:rPr>
        <w:t xml:space="preserve">  </w:t>
      </w:r>
      <w:r>
        <w:rPr>
          <w:rFonts w:ascii="宋体" w:hAnsi="宋体" w:eastAsia="宋体" w:cs="宋体"/>
          <w:spacing w:val="-2"/>
          <w:sz w:val="24"/>
          <w:szCs w:val="24"/>
        </w:rPr>
        <w:t xml:space="preserve">西南和华中共有次之。在评价区范围内分布的 </w:t>
      </w:r>
      <w:r>
        <w:rPr>
          <w:rFonts w:ascii="Times New Roman" w:hAnsi="Times New Roman" w:eastAsia="Times New Roman" w:cs="Times New Roman"/>
          <w:spacing w:val="-2"/>
          <w:sz w:val="24"/>
          <w:szCs w:val="24"/>
        </w:rPr>
        <w:t>17</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种两栖动物中，均为云南省常</w:t>
      </w:r>
    </w:p>
    <w:p>
      <w:pPr>
        <w:spacing w:before="1" w:line="218" w:lineRule="auto"/>
        <w:ind w:left="43"/>
        <w:rPr>
          <w:rFonts w:ascii="宋体" w:hAnsi="宋体" w:eastAsia="宋体" w:cs="宋体"/>
          <w:sz w:val="24"/>
          <w:szCs w:val="24"/>
        </w:rPr>
      </w:pPr>
      <w:r>
        <w:rPr>
          <w:rFonts w:ascii="宋体" w:hAnsi="宋体" w:eastAsia="宋体" w:cs="宋体"/>
          <w:spacing w:val="-2"/>
          <w:sz w:val="24"/>
          <w:szCs w:val="24"/>
        </w:rPr>
        <w:t>见物种，分布较广，未发现国家级和云南省级保护物种。</w:t>
      </w:r>
    </w:p>
    <w:p>
      <w:pPr>
        <w:spacing w:before="156"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爬行类</w:t>
      </w:r>
    </w:p>
    <w:p>
      <w:pPr>
        <w:spacing w:before="137" w:line="338" w:lineRule="auto"/>
        <w:ind w:left="40" w:right="87" w:firstLine="479"/>
        <w:rPr>
          <w:rFonts w:ascii="宋体" w:hAnsi="宋体" w:eastAsia="宋体" w:cs="宋体"/>
          <w:sz w:val="24"/>
          <w:szCs w:val="24"/>
        </w:rPr>
      </w:pPr>
      <w:r>
        <w:rPr>
          <w:rFonts w:ascii="宋体" w:hAnsi="宋体" w:eastAsia="宋体" w:cs="宋体"/>
          <w:spacing w:val="-6"/>
          <w:sz w:val="24"/>
          <w:szCs w:val="24"/>
        </w:rPr>
        <w:t>根据对评价区及邻近地区现场调查及文献记载，</w:t>
      </w:r>
      <w:r>
        <w:rPr>
          <w:rFonts w:ascii="宋体" w:hAnsi="宋体" w:eastAsia="宋体" w:cs="宋体"/>
          <w:spacing w:val="-26"/>
          <w:sz w:val="24"/>
          <w:szCs w:val="24"/>
        </w:rPr>
        <w:t xml:space="preserve"> </w:t>
      </w:r>
      <w:r>
        <w:rPr>
          <w:rFonts w:ascii="宋体" w:hAnsi="宋体" w:eastAsia="宋体" w:cs="宋体"/>
          <w:spacing w:val="-6"/>
          <w:sz w:val="24"/>
          <w:szCs w:val="24"/>
        </w:rPr>
        <w:t>影响区及评价区分布有爬行</w:t>
      </w:r>
      <w:r>
        <w:rPr>
          <w:rFonts w:ascii="宋体" w:hAnsi="宋体" w:eastAsia="宋体" w:cs="宋体"/>
          <w:sz w:val="24"/>
          <w:szCs w:val="24"/>
        </w:rPr>
        <w:t xml:space="preserve"> </w:t>
      </w:r>
      <w:r>
        <w:rPr>
          <w:rFonts w:ascii="宋体" w:hAnsi="宋体" w:eastAsia="宋体" w:cs="宋体"/>
          <w:spacing w:val="-10"/>
          <w:sz w:val="24"/>
          <w:szCs w:val="24"/>
        </w:rPr>
        <w:t>动物</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18 </w:t>
      </w:r>
      <w:r>
        <w:rPr>
          <w:rFonts w:ascii="宋体" w:hAnsi="宋体" w:eastAsia="宋体" w:cs="宋体"/>
          <w:spacing w:val="-10"/>
          <w:sz w:val="24"/>
          <w:szCs w:val="24"/>
        </w:rPr>
        <w:t>种，</w:t>
      </w:r>
      <w:r>
        <w:rPr>
          <w:rFonts w:ascii="宋体" w:hAnsi="宋体" w:eastAsia="宋体" w:cs="宋体"/>
          <w:spacing w:val="-49"/>
          <w:sz w:val="24"/>
          <w:szCs w:val="24"/>
        </w:rPr>
        <w:t xml:space="preserve"> </w:t>
      </w:r>
      <w:r>
        <w:rPr>
          <w:rFonts w:ascii="宋体" w:hAnsi="宋体" w:eastAsia="宋体" w:cs="宋体"/>
          <w:spacing w:val="-10"/>
          <w:sz w:val="24"/>
          <w:szCs w:val="24"/>
        </w:rPr>
        <w:t>隶属</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目</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 xml:space="preserve">6 </w:t>
      </w:r>
      <w:r>
        <w:rPr>
          <w:rFonts w:ascii="宋体" w:hAnsi="宋体" w:eastAsia="宋体" w:cs="宋体"/>
          <w:spacing w:val="-10"/>
          <w:sz w:val="24"/>
          <w:szCs w:val="24"/>
        </w:rPr>
        <w:t>科</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15</w:t>
      </w:r>
      <w:r>
        <w:rPr>
          <w:rFonts w:ascii="Times New Roman" w:hAnsi="Times New Roman" w:eastAsia="Times New Roman" w:cs="Times New Roman"/>
          <w:spacing w:val="12"/>
          <w:sz w:val="24"/>
          <w:szCs w:val="24"/>
        </w:rPr>
        <w:t xml:space="preserve"> </w:t>
      </w:r>
      <w:r>
        <w:rPr>
          <w:rFonts w:ascii="宋体" w:hAnsi="宋体" w:eastAsia="宋体" w:cs="宋体"/>
          <w:spacing w:val="-10"/>
          <w:sz w:val="24"/>
          <w:szCs w:val="24"/>
        </w:rPr>
        <w:t>属，</w:t>
      </w:r>
      <w:r>
        <w:rPr>
          <w:rFonts w:ascii="宋体" w:hAnsi="宋体" w:eastAsia="宋体" w:cs="宋体"/>
          <w:spacing w:val="-55"/>
          <w:sz w:val="24"/>
          <w:szCs w:val="24"/>
        </w:rPr>
        <w:t xml:space="preserve"> </w:t>
      </w:r>
      <w:r>
        <w:rPr>
          <w:rFonts w:ascii="宋体" w:hAnsi="宋体" w:eastAsia="宋体" w:cs="宋体"/>
          <w:spacing w:val="-10"/>
          <w:sz w:val="24"/>
          <w:szCs w:val="24"/>
        </w:rPr>
        <w:t>评价区爬行动物种类、数量</w:t>
      </w:r>
      <w:r>
        <w:rPr>
          <w:rFonts w:ascii="宋体" w:hAnsi="宋体" w:eastAsia="宋体" w:cs="宋体"/>
          <w:spacing w:val="-11"/>
          <w:sz w:val="24"/>
          <w:szCs w:val="24"/>
        </w:rPr>
        <w:t>不多。具体种类见</w:t>
      </w:r>
    </w:p>
    <w:p>
      <w:pPr>
        <w:spacing w:before="2" w:line="220" w:lineRule="auto"/>
        <w:ind w:left="46"/>
        <w:rPr>
          <w:rFonts w:ascii="宋体" w:hAnsi="宋体" w:eastAsia="宋体" w:cs="宋体"/>
          <w:sz w:val="24"/>
          <w:szCs w:val="24"/>
        </w:rPr>
      </w:pPr>
      <w:r>
        <w:rPr>
          <w:rFonts w:ascii="宋体" w:hAnsi="宋体" w:eastAsia="宋体" w:cs="宋体"/>
          <w:spacing w:val="-12"/>
          <w:sz w:val="24"/>
          <w:szCs w:val="24"/>
        </w:rPr>
        <w:t>下表。</w:t>
      </w:r>
    </w:p>
    <w:p>
      <w:pPr>
        <w:pStyle w:val="2"/>
        <w:spacing w:before="179" w:line="218" w:lineRule="auto"/>
        <w:ind w:left="2632"/>
      </w:pPr>
      <w:r>
        <w:rPr>
          <w:spacing w:val="-1"/>
          <w14:textOutline w14:w="3810" w14:cap="flat" w14:cmpd="sng">
            <w14:solidFill>
              <w14:srgbClr w14:val="000000"/>
            </w14:solidFill>
            <w14:prstDash w14:val="solid"/>
            <w14:miter w14:val="0"/>
          </w14:textOutline>
        </w:rPr>
        <w:t>表</w:t>
      </w:r>
      <w:r>
        <w:rPr>
          <w:spacing w:val="-33"/>
        </w:rPr>
        <w:t xml:space="preserve"> </w:t>
      </w:r>
      <w:r>
        <w:rPr>
          <w:rFonts w:ascii="Times New Roman" w:hAnsi="Times New Roman" w:eastAsia="Times New Roman" w:cs="Times New Roman"/>
          <w:b/>
          <w:bCs/>
          <w:spacing w:val="-1"/>
        </w:rPr>
        <w:t xml:space="preserve">3.2-28    </w:t>
      </w:r>
      <w:r>
        <w:rPr>
          <w:spacing w:val="-1"/>
          <w14:textOutline w14:w="3810" w14:cap="flat" w14:cmpd="sng">
            <w14:solidFill>
              <w14:srgbClr w14:val="000000"/>
            </w14:solidFill>
            <w14:prstDash w14:val="solid"/>
            <w14:miter w14:val="0"/>
          </w14:textOutline>
        </w:rPr>
        <w:t>评价区爬行动物组成统计表</w:t>
      </w:r>
    </w:p>
    <w:p>
      <w:pPr>
        <w:spacing w:line="20" w:lineRule="exact"/>
      </w:pPr>
    </w:p>
    <w:tbl>
      <w:tblPr>
        <w:tblStyle w:val="5"/>
        <w:tblW w:w="8272"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4372"/>
        <w:gridCol w:w="18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2092" w:type="dxa"/>
            <w:tcBorders>
              <w:top w:val="single" w:color="000000" w:sz="12" w:space="0"/>
              <w:left w:val="nil"/>
            </w:tcBorders>
            <w:vAlign w:val="top"/>
          </w:tcPr>
          <w:p>
            <w:pPr>
              <w:spacing w:before="36" w:line="209" w:lineRule="auto"/>
              <w:ind w:left="991"/>
              <w:rPr>
                <w:rFonts w:ascii="仿宋" w:hAnsi="仿宋" w:eastAsia="仿宋" w:cs="仿宋"/>
                <w:sz w:val="21"/>
                <w:szCs w:val="21"/>
              </w:rPr>
            </w:pPr>
            <w:r>
              <w:rPr>
                <w:rFonts w:ascii="仿宋" w:hAnsi="仿宋" w:eastAsia="仿宋" w:cs="仿宋"/>
                <w:sz w:val="21"/>
                <w:szCs w:val="21"/>
              </w:rPr>
              <w:t>目</w:t>
            </w:r>
          </w:p>
        </w:tc>
        <w:tc>
          <w:tcPr>
            <w:tcW w:w="4372" w:type="dxa"/>
            <w:tcBorders>
              <w:top w:val="single" w:color="000000" w:sz="12" w:space="0"/>
            </w:tcBorders>
            <w:vAlign w:val="top"/>
          </w:tcPr>
          <w:p>
            <w:pPr>
              <w:spacing w:before="36" w:line="209" w:lineRule="auto"/>
              <w:ind w:left="2092"/>
              <w:rPr>
                <w:rFonts w:ascii="仿宋" w:hAnsi="仿宋" w:eastAsia="仿宋" w:cs="仿宋"/>
                <w:sz w:val="21"/>
                <w:szCs w:val="21"/>
              </w:rPr>
            </w:pPr>
            <w:r>
              <w:rPr>
                <w:rFonts w:ascii="仿宋" w:hAnsi="仿宋" w:eastAsia="仿宋" w:cs="仿宋"/>
                <w:sz w:val="21"/>
                <w:szCs w:val="21"/>
              </w:rPr>
              <w:t>科</w:t>
            </w:r>
          </w:p>
        </w:tc>
        <w:tc>
          <w:tcPr>
            <w:tcW w:w="1808" w:type="dxa"/>
            <w:tcBorders>
              <w:top w:val="single" w:color="000000" w:sz="12" w:space="0"/>
              <w:right w:val="nil"/>
            </w:tcBorders>
            <w:vAlign w:val="top"/>
          </w:tcPr>
          <w:p>
            <w:pPr>
              <w:spacing w:before="36" w:line="209" w:lineRule="auto"/>
              <w:ind w:left="706"/>
              <w:rPr>
                <w:rFonts w:ascii="仿宋" w:hAnsi="仿宋" w:eastAsia="仿宋" w:cs="仿宋"/>
                <w:sz w:val="21"/>
                <w:szCs w:val="21"/>
              </w:rPr>
            </w:pPr>
            <w:r>
              <w:rPr>
                <w:rFonts w:ascii="仿宋" w:hAnsi="仿宋" w:eastAsia="仿宋" w:cs="仿宋"/>
                <w:spacing w:val="-4"/>
                <w:sz w:val="21"/>
                <w:szCs w:val="21"/>
              </w:rPr>
              <w:t>种数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2092" w:type="dxa"/>
            <w:vMerge w:val="restart"/>
            <w:tcBorders>
              <w:left w:val="nil"/>
              <w:bottom w:val="nil"/>
            </w:tcBorders>
            <w:vAlign w:val="top"/>
          </w:tcPr>
          <w:p>
            <w:pPr>
              <w:spacing w:line="351" w:lineRule="auto"/>
              <w:rPr>
                <w:rFonts w:ascii="Arial"/>
                <w:sz w:val="21"/>
              </w:rPr>
            </w:pPr>
          </w:p>
          <w:p>
            <w:pPr>
              <w:spacing w:line="352" w:lineRule="auto"/>
              <w:rPr>
                <w:rFonts w:ascii="Arial"/>
                <w:sz w:val="21"/>
              </w:rPr>
            </w:pPr>
          </w:p>
          <w:p>
            <w:pPr>
              <w:pStyle w:val="6"/>
              <w:spacing w:before="69" w:line="216" w:lineRule="auto"/>
              <w:ind w:left="120"/>
            </w:pPr>
            <w:r>
              <w:rPr>
                <w:rFonts w:ascii="仿宋" w:hAnsi="仿宋" w:eastAsia="仿宋" w:cs="仿宋"/>
                <w:spacing w:val="-3"/>
              </w:rPr>
              <w:t>有鳞目</w:t>
            </w:r>
            <w:r>
              <w:rPr>
                <w:rFonts w:ascii="仿宋" w:hAnsi="仿宋" w:eastAsia="仿宋" w:cs="仿宋"/>
                <w:spacing w:val="-33"/>
              </w:rPr>
              <w:t xml:space="preserve"> </w:t>
            </w:r>
            <w:r>
              <w:rPr>
                <w:spacing w:val="-3"/>
              </w:rPr>
              <w:t>SQUAMATA</w:t>
            </w:r>
          </w:p>
        </w:tc>
        <w:tc>
          <w:tcPr>
            <w:tcW w:w="4372" w:type="dxa"/>
            <w:vAlign w:val="top"/>
          </w:tcPr>
          <w:p>
            <w:pPr>
              <w:pStyle w:val="6"/>
              <w:spacing w:before="41" w:line="205" w:lineRule="auto"/>
              <w:ind w:left="1348"/>
            </w:pPr>
            <w:r>
              <w:rPr>
                <w:rFonts w:ascii="仿宋" w:hAnsi="仿宋" w:eastAsia="仿宋" w:cs="仿宋"/>
                <w:spacing w:val="-2"/>
              </w:rPr>
              <w:t>壁虎科</w:t>
            </w:r>
            <w:r>
              <w:rPr>
                <w:rFonts w:ascii="仿宋" w:hAnsi="仿宋" w:eastAsia="仿宋" w:cs="仿宋"/>
                <w:spacing w:val="-41"/>
              </w:rPr>
              <w:t xml:space="preserve"> </w:t>
            </w:r>
            <w:r>
              <w:rPr>
                <w:spacing w:val="-2"/>
              </w:rPr>
              <w:t>Gekkonidae</w:t>
            </w:r>
          </w:p>
        </w:tc>
        <w:tc>
          <w:tcPr>
            <w:tcW w:w="1808" w:type="dxa"/>
            <w:tcBorders>
              <w:right w:val="nil"/>
            </w:tcBorders>
            <w:vAlign w:val="top"/>
          </w:tcPr>
          <w:p>
            <w:pPr>
              <w:pStyle w:val="6"/>
              <w:spacing w:before="80" w:line="186" w:lineRule="auto"/>
              <w:ind w:left="858"/>
            </w:pPr>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2092" w:type="dxa"/>
            <w:vMerge w:val="continue"/>
            <w:tcBorders>
              <w:top w:val="nil"/>
              <w:left w:val="nil"/>
              <w:bottom w:val="nil"/>
            </w:tcBorders>
            <w:vAlign w:val="top"/>
          </w:tcPr>
          <w:p>
            <w:pPr>
              <w:rPr>
                <w:rFonts w:ascii="Arial"/>
                <w:sz w:val="21"/>
              </w:rPr>
            </w:pPr>
          </w:p>
        </w:tc>
        <w:tc>
          <w:tcPr>
            <w:tcW w:w="4372" w:type="dxa"/>
            <w:vAlign w:val="top"/>
          </w:tcPr>
          <w:p>
            <w:pPr>
              <w:pStyle w:val="6"/>
              <w:spacing w:before="46" w:line="201" w:lineRule="auto"/>
              <w:ind w:left="1342"/>
            </w:pPr>
            <w:r>
              <w:rPr>
                <w:rFonts w:ascii="仿宋" w:hAnsi="仿宋" w:eastAsia="仿宋" w:cs="仿宋"/>
                <w:spacing w:val="-3"/>
              </w:rPr>
              <w:t>石龙子科</w:t>
            </w:r>
            <w:r>
              <w:rPr>
                <w:rFonts w:ascii="仿宋" w:hAnsi="仿宋" w:eastAsia="仿宋" w:cs="仿宋"/>
                <w:spacing w:val="-28"/>
              </w:rPr>
              <w:t xml:space="preserve"> </w:t>
            </w:r>
            <w:r>
              <w:rPr>
                <w:spacing w:val="-3"/>
              </w:rPr>
              <w:t>Scincidae</w:t>
            </w:r>
          </w:p>
        </w:tc>
        <w:tc>
          <w:tcPr>
            <w:tcW w:w="1808" w:type="dxa"/>
            <w:tcBorders>
              <w:right w:val="nil"/>
            </w:tcBorders>
            <w:vAlign w:val="top"/>
          </w:tcPr>
          <w:p>
            <w:pPr>
              <w:pStyle w:val="6"/>
              <w:spacing w:before="84" w:line="186" w:lineRule="auto"/>
              <w:ind w:left="853"/>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2092" w:type="dxa"/>
            <w:vMerge w:val="continue"/>
            <w:tcBorders>
              <w:top w:val="nil"/>
              <w:left w:val="nil"/>
              <w:bottom w:val="nil"/>
            </w:tcBorders>
            <w:vAlign w:val="top"/>
          </w:tcPr>
          <w:p>
            <w:pPr>
              <w:rPr>
                <w:rFonts w:ascii="Arial"/>
                <w:sz w:val="21"/>
              </w:rPr>
            </w:pPr>
          </w:p>
        </w:tc>
        <w:tc>
          <w:tcPr>
            <w:tcW w:w="4372" w:type="dxa"/>
            <w:vAlign w:val="top"/>
          </w:tcPr>
          <w:p>
            <w:pPr>
              <w:pStyle w:val="6"/>
              <w:spacing w:before="49" w:line="198" w:lineRule="auto"/>
              <w:ind w:left="1447"/>
            </w:pPr>
            <w:r>
              <w:rPr>
                <w:rFonts w:ascii="仿宋" w:hAnsi="仿宋" w:eastAsia="仿宋" w:cs="仿宋"/>
                <w:spacing w:val="-2"/>
              </w:rPr>
              <w:t>蛇蜥科</w:t>
            </w:r>
            <w:r>
              <w:rPr>
                <w:rFonts w:ascii="仿宋" w:hAnsi="仿宋" w:eastAsia="仿宋" w:cs="仿宋"/>
                <w:spacing w:val="-45"/>
              </w:rPr>
              <w:t xml:space="preserve"> </w:t>
            </w:r>
            <w:r>
              <w:rPr>
                <w:spacing w:val="-2"/>
              </w:rPr>
              <w:t>Anguidae</w:t>
            </w:r>
          </w:p>
        </w:tc>
        <w:tc>
          <w:tcPr>
            <w:tcW w:w="1808" w:type="dxa"/>
            <w:tcBorders>
              <w:right w:val="nil"/>
            </w:tcBorders>
            <w:vAlign w:val="top"/>
          </w:tcPr>
          <w:p>
            <w:pPr>
              <w:pStyle w:val="6"/>
              <w:spacing w:before="88" w:line="185" w:lineRule="auto"/>
              <w:ind w:left="853"/>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2092" w:type="dxa"/>
            <w:vMerge w:val="continue"/>
            <w:tcBorders>
              <w:top w:val="nil"/>
              <w:left w:val="nil"/>
              <w:bottom w:val="nil"/>
            </w:tcBorders>
            <w:vAlign w:val="top"/>
          </w:tcPr>
          <w:p>
            <w:pPr>
              <w:rPr>
                <w:rFonts w:ascii="Arial"/>
                <w:sz w:val="21"/>
              </w:rPr>
            </w:pPr>
          </w:p>
        </w:tc>
        <w:tc>
          <w:tcPr>
            <w:tcW w:w="4372" w:type="dxa"/>
            <w:vAlign w:val="top"/>
          </w:tcPr>
          <w:p>
            <w:pPr>
              <w:pStyle w:val="6"/>
              <w:spacing w:before="54" w:line="194" w:lineRule="auto"/>
              <w:ind w:left="1427"/>
            </w:pPr>
            <w:r>
              <w:rPr>
                <w:rFonts w:ascii="仿宋" w:hAnsi="仿宋" w:eastAsia="仿宋" w:cs="仿宋"/>
                <w:spacing w:val="-2"/>
              </w:rPr>
              <w:t>鬣蜥科</w:t>
            </w:r>
            <w:r>
              <w:rPr>
                <w:rFonts w:ascii="仿宋" w:hAnsi="仿宋" w:eastAsia="仿宋" w:cs="仿宋"/>
                <w:spacing w:val="-48"/>
              </w:rPr>
              <w:t xml:space="preserve"> </w:t>
            </w:r>
            <w:r>
              <w:rPr>
                <w:spacing w:val="-2"/>
              </w:rPr>
              <w:t>Agamidae</w:t>
            </w:r>
          </w:p>
        </w:tc>
        <w:tc>
          <w:tcPr>
            <w:tcW w:w="1808" w:type="dxa"/>
            <w:tcBorders>
              <w:right w:val="nil"/>
            </w:tcBorders>
            <w:vAlign w:val="top"/>
          </w:tcPr>
          <w:p>
            <w:pPr>
              <w:pStyle w:val="6"/>
              <w:spacing w:before="92" w:line="181" w:lineRule="auto"/>
              <w:ind w:left="874"/>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2092" w:type="dxa"/>
            <w:vMerge w:val="continue"/>
            <w:tcBorders>
              <w:top w:val="nil"/>
              <w:left w:val="nil"/>
              <w:bottom w:val="nil"/>
            </w:tcBorders>
            <w:vAlign w:val="top"/>
          </w:tcPr>
          <w:p>
            <w:pPr>
              <w:rPr>
                <w:rFonts w:ascii="Arial"/>
                <w:sz w:val="21"/>
              </w:rPr>
            </w:pPr>
          </w:p>
        </w:tc>
        <w:tc>
          <w:tcPr>
            <w:tcW w:w="4372" w:type="dxa"/>
            <w:vAlign w:val="top"/>
          </w:tcPr>
          <w:p>
            <w:pPr>
              <w:pStyle w:val="6"/>
              <w:spacing w:before="57" w:line="191" w:lineRule="auto"/>
              <w:ind w:left="1545"/>
            </w:pPr>
            <w:r>
              <w:rPr>
                <w:rFonts w:ascii="仿宋" w:hAnsi="仿宋" w:eastAsia="仿宋" w:cs="仿宋"/>
                <w:spacing w:val="-2"/>
              </w:rPr>
              <w:t>蝰科</w:t>
            </w:r>
            <w:r>
              <w:rPr>
                <w:rFonts w:ascii="仿宋" w:hAnsi="仿宋" w:eastAsia="仿宋" w:cs="仿宋"/>
                <w:spacing w:val="-45"/>
              </w:rPr>
              <w:t xml:space="preserve"> </w:t>
            </w:r>
            <w:r>
              <w:rPr>
                <w:spacing w:val="-2"/>
              </w:rPr>
              <w:t>Viperidae</w:t>
            </w:r>
          </w:p>
        </w:tc>
        <w:tc>
          <w:tcPr>
            <w:tcW w:w="1808" w:type="dxa"/>
            <w:tcBorders>
              <w:right w:val="nil"/>
            </w:tcBorders>
            <w:vAlign w:val="top"/>
          </w:tcPr>
          <w:p>
            <w:pPr>
              <w:pStyle w:val="6"/>
              <w:spacing w:before="96" w:line="177" w:lineRule="auto"/>
              <w:ind w:left="858"/>
            </w:pPr>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9" w:hRule="atLeast"/>
        </w:trPr>
        <w:tc>
          <w:tcPr>
            <w:tcW w:w="2092" w:type="dxa"/>
            <w:vMerge w:val="continue"/>
            <w:tcBorders>
              <w:top w:val="nil"/>
              <w:left w:val="nil"/>
              <w:bottom w:val="single" w:color="000000" w:sz="12" w:space="0"/>
            </w:tcBorders>
            <w:vAlign w:val="top"/>
          </w:tcPr>
          <w:p>
            <w:pPr>
              <w:rPr>
                <w:rFonts w:ascii="Arial"/>
                <w:sz w:val="21"/>
              </w:rPr>
            </w:pPr>
          </w:p>
        </w:tc>
        <w:tc>
          <w:tcPr>
            <w:tcW w:w="4372" w:type="dxa"/>
            <w:tcBorders>
              <w:bottom w:val="single" w:color="000000" w:sz="12" w:space="0"/>
            </w:tcBorders>
            <w:vAlign w:val="top"/>
          </w:tcPr>
          <w:p>
            <w:pPr>
              <w:pStyle w:val="6"/>
              <w:spacing w:before="62" w:line="208" w:lineRule="auto"/>
              <w:ind w:left="1391"/>
            </w:pPr>
            <w:r>
              <w:rPr>
                <w:rFonts w:ascii="仿宋" w:hAnsi="仿宋" w:eastAsia="仿宋" w:cs="仿宋"/>
                <w:spacing w:val="-2"/>
              </w:rPr>
              <w:t>游蛇科</w:t>
            </w:r>
            <w:r>
              <w:rPr>
                <w:rFonts w:ascii="仿宋" w:hAnsi="仿宋" w:eastAsia="仿宋" w:cs="仿宋"/>
                <w:spacing w:val="-44"/>
              </w:rPr>
              <w:t xml:space="preserve"> </w:t>
            </w:r>
            <w:r>
              <w:rPr>
                <w:spacing w:val="-2"/>
              </w:rPr>
              <w:t>Colubridae</w:t>
            </w:r>
          </w:p>
        </w:tc>
        <w:tc>
          <w:tcPr>
            <w:tcW w:w="1808" w:type="dxa"/>
            <w:tcBorders>
              <w:bottom w:val="single" w:color="000000" w:sz="12" w:space="0"/>
              <w:right w:val="nil"/>
            </w:tcBorders>
            <w:vAlign w:val="top"/>
          </w:tcPr>
          <w:p>
            <w:pPr>
              <w:pStyle w:val="6"/>
              <w:spacing w:before="103" w:line="183" w:lineRule="auto"/>
              <w:ind w:left="857"/>
            </w:pPr>
            <w:r>
              <w:t>7</w:t>
            </w:r>
          </w:p>
        </w:tc>
      </w:tr>
    </w:tbl>
    <w:p>
      <w:pPr>
        <w:rPr>
          <w:rFonts w:ascii="Arial"/>
          <w:sz w:val="21"/>
        </w:rPr>
      </w:pPr>
    </w:p>
    <w:p>
      <w:pPr>
        <w:rPr>
          <w:rFonts w:ascii="Arial" w:hAnsi="Arial" w:eastAsia="Arial" w:cs="Arial"/>
          <w:sz w:val="21"/>
          <w:szCs w:val="21"/>
        </w:rPr>
        <w:sectPr>
          <w:headerReference r:id="rId302" w:type="default"/>
          <w:footerReference r:id="rId303" w:type="default"/>
          <w:pgSz w:w="11907" w:h="16839"/>
          <w:pgMar w:top="1156" w:right="1712" w:bottom="1373" w:left="1770" w:header="881" w:footer="1210" w:gutter="0"/>
        </w:sectPr>
      </w:pPr>
    </w:p>
    <w:p>
      <w:pPr>
        <w:spacing w:before="41"/>
      </w:pPr>
    </w:p>
    <w:tbl>
      <w:tblPr>
        <w:tblStyle w:val="5"/>
        <w:tblW w:w="8286" w:type="dxa"/>
        <w:tblInd w:w="10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06"/>
        <w:gridCol w:w="4372"/>
        <w:gridCol w:w="180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84" w:hRule="atLeast"/>
        </w:trPr>
        <w:tc>
          <w:tcPr>
            <w:tcW w:w="2106" w:type="dxa"/>
            <w:tcBorders>
              <w:left w:val="nil"/>
              <w:right w:val="single" w:color="000000" w:sz="2" w:space="0"/>
            </w:tcBorders>
            <w:vAlign w:val="top"/>
          </w:tcPr>
          <w:p>
            <w:pPr>
              <w:pStyle w:val="6"/>
              <w:spacing w:before="36" w:line="209" w:lineRule="auto"/>
              <w:ind w:left="581"/>
              <w:rPr>
                <w:rFonts w:ascii="仿宋" w:hAnsi="仿宋" w:eastAsia="仿宋" w:cs="仿宋"/>
              </w:rPr>
            </w:pPr>
            <w:r>
              <w:rPr>
                <w:rFonts w:ascii="仿宋" w:hAnsi="仿宋" w:eastAsia="仿宋" w:cs="仿宋"/>
                <w:spacing w:val="-28"/>
              </w:rPr>
              <w:t>合计：</w:t>
            </w:r>
            <w:r>
              <w:rPr>
                <w:rFonts w:ascii="仿宋" w:hAnsi="仿宋" w:eastAsia="仿宋" w:cs="仿宋"/>
                <w:spacing w:val="14"/>
              </w:rPr>
              <w:t xml:space="preserve"> </w:t>
            </w:r>
            <w:r>
              <w:rPr>
                <w:spacing w:val="-28"/>
              </w:rPr>
              <w:t>1</w:t>
            </w:r>
            <w:r>
              <w:rPr>
                <w:spacing w:val="51"/>
                <w:w w:val="101"/>
              </w:rPr>
              <w:t xml:space="preserve"> </w:t>
            </w:r>
            <w:r>
              <w:rPr>
                <w:rFonts w:ascii="仿宋" w:hAnsi="仿宋" w:eastAsia="仿宋" w:cs="仿宋"/>
                <w:spacing w:val="-28"/>
              </w:rPr>
              <w:t>目</w:t>
            </w:r>
          </w:p>
        </w:tc>
        <w:tc>
          <w:tcPr>
            <w:tcW w:w="4372" w:type="dxa"/>
            <w:tcBorders>
              <w:left w:val="single" w:color="000000" w:sz="2" w:space="0"/>
              <w:right w:val="single" w:color="000000" w:sz="2" w:space="0"/>
            </w:tcBorders>
            <w:vAlign w:val="top"/>
          </w:tcPr>
          <w:p>
            <w:pPr>
              <w:pStyle w:val="6"/>
              <w:spacing w:before="36" w:line="209" w:lineRule="auto"/>
              <w:ind w:left="2008"/>
              <w:rPr>
                <w:rFonts w:ascii="仿宋" w:hAnsi="仿宋" w:eastAsia="仿宋" w:cs="仿宋"/>
              </w:rPr>
            </w:pPr>
            <w:r>
              <w:rPr>
                <w:spacing w:val="-5"/>
              </w:rPr>
              <w:t>6</w:t>
            </w:r>
            <w:r>
              <w:rPr>
                <w:spacing w:val="15"/>
                <w:w w:val="101"/>
              </w:rPr>
              <w:t xml:space="preserve"> </w:t>
            </w:r>
            <w:r>
              <w:rPr>
                <w:rFonts w:ascii="仿宋" w:hAnsi="仿宋" w:eastAsia="仿宋" w:cs="仿宋"/>
                <w:spacing w:val="-5"/>
              </w:rPr>
              <w:t>科</w:t>
            </w:r>
          </w:p>
        </w:tc>
        <w:tc>
          <w:tcPr>
            <w:tcW w:w="1808" w:type="dxa"/>
            <w:tcBorders>
              <w:left w:val="single" w:color="000000" w:sz="2" w:space="0"/>
              <w:right w:val="nil"/>
            </w:tcBorders>
            <w:vAlign w:val="top"/>
          </w:tcPr>
          <w:p>
            <w:pPr>
              <w:pStyle w:val="6"/>
              <w:spacing w:before="75" w:line="186" w:lineRule="auto"/>
              <w:ind w:left="821"/>
            </w:pPr>
            <w:r>
              <w:rPr>
                <w:spacing w:val="-12"/>
              </w:rPr>
              <w:t>18</w:t>
            </w:r>
          </w:p>
        </w:tc>
      </w:tr>
    </w:tbl>
    <w:p>
      <w:pPr>
        <w:spacing w:before="143" w:line="339" w:lineRule="auto"/>
        <w:ind w:left="118" w:right="107" w:firstLine="477"/>
        <w:rPr>
          <w:rFonts w:ascii="宋体" w:hAnsi="宋体" w:eastAsia="宋体" w:cs="宋体"/>
          <w:sz w:val="24"/>
          <w:szCs w:val="24"/>
        </w:rPr>
      </w:pPr>
      <w:r>
        <w:rPr>
          <w:rFonts w:ascii="宋体" w:hAnsi="宋体" w:eastAsia="宋体" w:cs="宋体"/>
          <w:spacing w:val="-17"/>
          <w:sz w:val="24"/>
          <w:szCs w:val="24"/>
        </w:rPr>
        <w:t>评价区域海拔差异不大，</w:t>
      </w:r>
      <w:r>
        <w:rPr>
          <w:rFonts w:ascii="宋体" w:hAnsi="宋体" w:eastAsia="宋体" w:cs="宋体"/>
          <w:spacing w:val="48"/>
          <w:sz w:val="24"/>
          <w:szCs w:val="24"/>
        </w:rPr>
        <w:t xml:space="preserve"> </w:t>
      </w:r>
      <w:r>
        <w:rPr>
          <w:rFonts w:ascii="宋体" w:hAnsi="宋体" w:eastAsia="宋体" w:cs="宋体"/>
          <w:spacing w:val="-17"/>
          <w:sz w:val="24"/>
          <w:szCs w:val="24"/>
        </w:rPr>
        <w:t>区域内灌丛植被分布广泛，</w:t>
      </w:r>
      <w:r>
        <w:rPr>
          <w:rFonts w:ascii="宋体" w:hAnsi="宋体" w:eastAsia="宋体" w:cs="宋体"/>
          <w:spacing w:val="28"/>
          <w:sz w:val="24"/>
          <w:szCs w:val="24"/>
        </w:rPr>
        <w:t xml:space="preserve"> </w:t>
      </w:r>
      <w:r>
        <w:rPr>
          <w:rFonts w:ascii="宋体" w:hAnsi="宋体" w:eastAsia="宋体" w:cs="宋体"/>
          <w:spacing w:val="-17"/>
          <w:sz w:val="24"/>
          <w:szCs w:val="24"/>
        </w:rPr>
        <w:t>但受人</w:t>
      </w:r>
      <w:r>
        <w:rPr>
          <w:rFonts w:ascii="宋体" w:hAnsi="宋体" w:eastAsia="宋体" w:cs="宋体"/>
          <w:spacing w:val="-18"/>
          <w:sz w:val="24"/>
          <w:szCs w:val="24"/>
        </w:rPr>
        <w:t>为干扰突出，</w:t>
      </w:r>
      <w:r>
        <w:rPr>
          <w:rFonts w:ascii="宋体" w:hAnsi="宋体" w:eastAsia="宋体" w:cs="宋体"/>
          <w:spacing w:val="28"/>
          <w:sz w:val="24"/>
          <w:szCs w:val="24"/>
        </w:rPr>
        <w:t xml:space="preserve"> </w:t>
      </w:r>
      <w:r>
        <w:rPr>
          <w:rFonts w:ascii="宋体" w:hAnsi="宋体" w:eastAsia="宋体" w:cs="宋体"/>
          <w:spacing w:val="-18"/>
          <w:sz w:val="24"/>
          <w:szCs w:val="24"/>
        </w:rPr>
        <w:t>爬</w:t>
      </w:r>
      <w:r>
        <w:rPr>
          <w:rFonts w:ascii="宋体" w:hAnsi="宋体" w:eastAsia="宋体" w:cs="宋体"/>
          <w:sz w:val="24"/>
          <w:szCs w:val="24"/>
        </w:rPr>
        <w:t xml:space="preserve"> </w:t>
      </w:r>
      <w:r>
        <w:rPr>
          <w:rFonts w:ascii="宋体" w:hAnsi="宋体" w:eastAsia="宋体" w:cs="宋体"/>
          <w:spacing w:val="-3"/>
          <w:sz w:val="24"/>
          <w:szCs w:val="24"/>
        </w:rPr>
        <w:t>行动物种类、数量不多。中国壁虎、丽纹攀蜥、铜蜓蜥、中国石龙子、黑眉锦蛇</w:t>
      </w:r>
      <w:r>
        <w:rPr>
          <w:rFonts w:ascii="宋体" w:hAnsi="宋体" w:eastAsia="宋体" w:cs="宋体"/>
          <w:sz w:val="24"/>
          <w:szCs w:val="24"/>
        </w:rPr>
        <w:t xml:space="preserve"> </w:t>
      </w:r>
      <w:r>
        <w:rPr>
          <w:rFonts w:ascii="宋体" w:hAnsi="宋体" w:eastAsia="宋体" w:cs="宋体"/>
          <w:spacing w:val="-8"/>
          <w:sz w:val="24"/>
          <w:szCs w:val="24"/>
        </w:rPr>
        <w:t>等为区域内常见种类；</w:t>
      </w:r>
      <w:r>
        <w:rPr>
          <w:rFonts w:ascii="宋体" w:hAnsi="宋体" w:eastAsia="宋体" w:cs="宋体"/>
          <w:spacing w:val="56"/>
          <w:sz w:val="24"/>
          <w:szCs w:val="24"/>
        </w:rPr>
        <w:t xml:space="preserve"> </w:t>
      </w:r>
      <w:r>
        <w:rPr>
          <w:rFonts w:ascii="宋体" w:hAnsi="宋体" w:eastAsia="宋体" w:cs="宋体"/>
          <w:spacing w:val="-8"/>
          <w:sz w:val="24"/>
          <w:szCs w:val="24"/>
        </w:rPr>
        <w:t>云南半叶趾虎、细脆蛇蜥、斜鳞蛇、紫灰蛇、赤练蛇</w:t>
      </w:r>
      <w:r>
        <w:rPr>
          <w:rFonts w:ascii="宋体" w:hAnsi="宋体" w:eastAsia="宋体" w:cs="宋体"/>
          <w:spacing w:val="-9"/>
          <w:sz w:val="24"/>
          <w:szCs w:val="24"/>
        </w:rPr>
        <w:t>、蝮</w:t>
      </w:r>
    </w:p>
    <w:p>
      <w:pPr>
        <w:spacing w:line="219" w:lineRule="auto"/>
        <w:ind w:left="116"/>
        <w:rPr>
          <w:rFonts w:ascii="宋体" w:hAnsi="宋体" w:eastAsia="宋体" w:cs="宋体"/>
          <w:sz w:val="24"/>
          <w:szCs w:val="24"/>
        </w:rPr>
      </w:pPr>
      <w:r>
        <w:rPr>
          <w:rFonts w:ascii="宋体" w:hAnsi="宋体" w:eastAsia="宋体" w:cs="宋体"/>
          <w:spacing w:val="-3"/>
          <w:sz w:val="24"/>
          <w:szCs w:val="24"/>
        </w:rPr>
        <w:t>蛇、灰鼠蛇、红脖颈槽蛇等区域内少见。</w:t>
      </w:r>
    </w:p>
    <w:p>
      <w:pPr>
        <w:spacing w:before="150" w:line="339" w:lineRule="auto"/>
        <w:ind w:left="116" w:right="20" w:firstLine="482"/>
        <w:rPr>
          <w:rFonts w:ascii="宋体" w:hAnsi="宋体" w:eastAsia="宋体" w:cs="宋体"/>
          <w:sz w:val="24"/>
          <w:szCs w:val="24"/>
        </w:rPr>
      </w:pPr>
      <w:r>
        <w:rPr>
          <w:rFonts w:ascii="宋体" w:hAnsi="宋体" w:eastAsia="宋体" w:cs="宋体"/>
          <w:spacing w:val="-1"/>
          <w:sz w:val="24"/>
          <w:szCs w:val="24"/>
        </w:rPr>
        <w:t>从区系组成情况看，两栖爬行动物区系的组成主要是西南地区的物种成分。</w:t>
      </w:r>
      <w:r>
        <w:rPr>
          <w:rFonts w:ascii="宋体" w:hAnsi="宋体" w:eastAsia="宋体" w:cs="宋体"/>
          <w:spacing w:val="13"/>
          <w:sz w:val="24"/>
          <w:szCs w:val="24"/>
        </w:rPr>
        <w:t xml:space="preserve"> </w:t>
      </w:r>
      <w:r>
        <w:rPr>
          <w:rFonts w:ascii="宋体" w:hAnsi="宋体" w:eastAsia="宋体" w:cs="宋体"/>
          <w:spacing w:val="-2"/>
          <w:sz w:val="24"/>
          <w:szCs w:val="24"/>
        </w:rPr>
        <w:t xml:space="preserve">统计各区系成分所占的比例，绝大多数是广布于东洋界各区的，有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 xml:space="preserve">种，占所 </w:t>
      </w:r>
      <w:r>
        <w:rPr>
          <w:rFonts w:ascii="宋体" w:hAnsi="宋体" w:eastAsia="宋体" w:cs="宋体"/>
          <w:spacing w:val="-5"/>
          <w:sz w:val="24"/>
          <w:szCs w:val="24"/>
        </w:rPr>
        <w:t>有该类物种数的</w:t>
      </w:r>
      <w:r>
        <w:rPr>
          <w:rFonts w:ascii="宋体" w:hAnsi="宋体" w:eastAsia="宋体" w:cs="宋体"/>
          <w:spacing w:val="-29"/>
          <w:sz w:val="24"/>
          <w:szCs w:val="24"/>
        </w:rPr>
        <w:t xml:space="preserve"> </w:t>
      </w:r>
      <w:r>
        <w:rPr>
          <w:rFonts w:ascii="Times New Roman" w:hAnsi="Times New Roman" w:eastAsia="Times New Roman" w:cs="Times New Roman"/>
          <w:spacing w:val="-5"/>
          <w:sz w:val="24"/>
          <w:szCs w:val="24"/>
        </w:rPr>
        <w:t>66.67%</w:t>
      </w:r>
      <w:r>
        <w:rPr>
          <w:rFonts w:ascii="宋体" w:hAnsi="宋体" w:eastAsia="宋体" w:cs="宋体"/>
          <w:spacing w:val="-5"/>
          <w:sz w:val="24"/>
          <w:szCs w:val="24"/>
        </w:rPr>
        <w:t xml:space="preserve">；其次为东洋界西南区成分，共有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 xml:space="preserve">种， 占所有该类物 </w:t>
      </w:r>
      <w:r>
        <w:rPr>
          <w:rFonts w:ascii="宋体" w:hAnsi="宋体" w:eastAsia="宋体" w:cs="宋体"/>
          <w:spacing w:val="-8"/>
          <w:sz w:val="24"/>
          <w:szCs w:val="24"/>
        </w:rPr>
        <w:t>种数的</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16.67%</w:t>
      </w:r>
      <w:r>
        <w:rPr>
          <w:rFonts w:ascii="宋体" w:hAnsi="宋体" w:eastAsia="宋体" w:cs="宋体"/>
          <w:spacing w:val="-8"/>
          <w:sz w:val="24"/>
          <w:szCs w:val="24"/>
        </w:rPr>
        <w:t>；华南区成分有</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种， 占所有该类物种数的</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5.56%</w:t>
      </w:r>
      <w:r>
        <w:rPr>
          <w:rFonts w:ascii="宋体" w:hAnsi="宋体" w:eastAsia="宋体" w:cs="宋体"/>
          <w:spacing w:val="-8"/>
          <w:sz w:val="24"/>
          <w:szCs w:val="24"/>
        </w:rPr>
        <w:t xml:space="preserve">；华南、华中共 </w:t>
      </w:r>
      <w:r>
        <w:rPr>
          <w:rFonts w:ascii="宋体" w:hAnsi="宋体" w:eastAsia="宋体" w:cs="宋体"/>
          <w:spacing w:val="-5"/>
          <w:sz w:val="24"/>
          <w:szCs w:val="24"/>
        </w:rPr>
        <w:t xml:space="preserve">有的物种有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32"/>
          <w:w w:val="101"/>
          <w:sz w:val="24"/>
          <w:szCs w:val="24"/>
        </w:rPr>
        <w:t xml:space="preserve"> </w:t>
      </w:r>
      <w:r>
        <w:rPr>
          <w:rFonts w:ascii="宋体" w:hAnsi="宋体" w:eastAsia="宋体" w:cs="宋体"/>
          <w:spacing w:val="-5"/>
          <w:sz w:val="24"/>
          <w:szCs w:val="24"/>
        </w:rPr>
        <w:t>种，占所有该类物种数的</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5.56%</w:t>
      </w:r>
      <w:r>
        <w:rPr>
          <w:rFonts w:ascii="宋体" w:hAnsi="宋体" w:eastAsia="宋体" w:cs="宋体"/>
          <w:spacing w:val="-5"/>
          <w:sz w:val="24"/>
          <w:szCs w:val="24"/>
        </w:rPr>
        <w:t xml:space="preserve">；华南、西南共有的物种有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2"/>
          <w:w w:val="101"/>
          <w:sz w:val="24"/>
          <w:szCs w:val="24"/>
        </w:rPr>
        <w:t xml:space="preserve"> </w:t>
      </w:r>
      <w:r>
        <w:rPr>
          <w:rFonts w:ascii="宋体" w:hAnsi="宋体" w:eastAsia="宋体" w:cs="宋体"/>
          <w:spacing w:val="-5"/>
          <w:sz w:val="24"/>
          <w:szCs w:val="24"/>
        </w:rPr>
        <w:t>种，</w:t>
      </w:r>
      <w:r>
        <w:rPr>
          <w:rFonts w:ascii="宋体" w:hAnsi="宋体" w:eastAsia="宋体" w:cs="宋体"/>
          <w:sz w:val="24"/>
          <w:szCs w:val="24"/>
        </w:rPr>
        <w:t xml:space="preserve"> </w:t>
      </w:r>
      <w:r>
        <w:rPr>
          <w:rFonts w:ascii="宋体" w:hAnsi="宋体" w:eastAsia="宋体" w:cs="宋体"/>
          <w:spacing w:val="-2"/>
          <w:sz w:val="24"/>
          <w:szCs w:val="24"/>
        </w:rPr>
        <w:t>占所有该类物种数的</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5.56%</w:t>
      </w:r>
      <w:r>
        <w:rPr>
          <w:rFonts w:ascii="宋体" w:hAnsi="宋体" w:eastAsia="宋体" w:cs="宋体"/>
          <w:spacing w:val="-2"/>
          <w:sz w:val="24"/>
          <w:szCs w:val="24"/>
        </w:rPr>
        <w:t>。可见，广布于东洋界各</w:t>
      </w:r>
      <w:r>
        <w:rPr>
          <w:rFonts w:ascii="宋体" w:hAnsi="宋体" w:eastAsia="宋体" w:cs="宋体"/>
          <w:spacing w:val="-3"/>
          <w:sz w:val="24"/>
          <w:szCs w:val="24"/>
        </w:rPr>
        <w:t xml:space="preserve">区的物种及西南区成分的物 </w:t>
      </w:r>
      <w:r>
        <w:rPr>
          <w:rFonts w:ascii="宋体" w:hAnsi="宋体" w:eastAsia="宋体" w:cs="宋体"/>
          <w:spacing w:val="-6"/>
          <w:sz w:val="24"/>
          <w:szCs w:val="24"/>
        </w:rPr>
        <w:t>种成分最多， 华中或华南独有的物种成分比较少。各个物种所</w:t>
      </w:r>
      <w:r>
        <w:rPr>
          <w:rFonts w:ascii="宋体" w:hAnsi="宋体" w:eastAsia="宋体" w:cs="宋体"/>
          <w:spacing w:val="-7"/>
          <w:sz w:val="24"/>
          <w:szCs w:val="24"/>
        </w:rPr>
        <w:t>隶属的动物地理区</w:t>
      </w:r>
    </w:p>
    <w:p>
      <w:pPr>
        <w:spacing w:before="1" w:line="218" w:lineRule="auto"/>
        <w:ind w:left="115"/>
        <w:rPr>
          <w:rFonts w:ascii="宋体" w:hAnsi="宋体" w:eastAsia="宋体" w:cs="宋体"/>
          <w:sz w:val="24"/>
          <w:szCs w:val="24"/>
        </w:rPr>
      </w:pPr>
      <w:r>
        <w:rPr>
          <w:rFonts w:ascii="宋体" w:hAnsi="宋体" w:eastAsia="宋体" w:cs="宋体"/>
          <w:spacing w:val="-1"/>
          <w:sz w:val="24"/>
          <w:szCs w:val="24"/>
        </w:rPr>
        <w:t>划情况及相对数量、分布范围等详见附录</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4-2</w:t>
      </w:r>
      <w:r>
        <w:rPr>
          <w:rFonts w:ascii="宋体" w:hAnsi="宋体" w:eastAsia="宋体" w:cs="宋体"/>
          <w:spacing w:val="-1"/>
          <w:sz w:val="24"/>
          <w:szCs w:val="24"/>
        </w:rPr>
        <w:t>。</w:t>
      </w:r>
    </w:p>
    <w:p>
      <w:pPr>
        <w:spacing w:before="155" w:line="233" w:lineRule="auto"/>
        <w:ind w:left="594"/>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鸟类</w:t>
      </w:r>
    </w:p>
    <w:p>
      <w:pPr>
        <w:spacing w:before="136" w:line="339" w:lineRule="auto"/>
        <w:ind w:left="120" w:right="106" w:firstLine="476"/>
        <w:rPr>
          <w:rFonts w:ascii="宋体" w:hAnsi="宋体" w:eastAsia="宋体" w:cs="宋体"/>
          <w:sz w:val="24"/>
          <w:szCs w:val="24"/>
        </w:rPr>
      </w:pPr>
      <w:r>
        <w:rPr>
          <w:rFonts w:ascii="宋体" w:hAnsi="宋体" w:eastAsia="宋体" w:cs="宋体"/>
          <w:spacing w:val="-11"/>
          <w:sz w:val="24"/>
          <w:szCs w:val="24"/>
        </w:rPr>
        <w:t>根据对评价区及邻近地区现场调查及文献记载， 评价区分布有鸟类合计：</w:t>
      </w:r>
      <w:r>
        <w:rPr>
          <w:rFonts w:ascii="宋体" w:hAnsi="宋体" w:eastAsia="宋体" w:cs="宋体"/>
          <w:spacing w:val="41"/>
          <w:sz w:val="24"/>
          <w:szCs w:val="24"/>
        </w:rPr>
        <w:t xml:space="preserve"> </w:t>
      </w:r>
      <w:r>
        <w:rPr>
          <w:rFonts w:ascii="Times New Roman" w:hAnsi="Times New Roman" w:eastAsia="Times New Roman" w:cs="Times New Roman"/>
          <w:spacing w:val="-11"/>
          <w:sz w:val="24"/>
          <w:szCs w:val="24"/>
        </w:rPr>
        <w:t>15</w:t>
      </w:r>
      <w:r>
        <w:rPr>
          <w:rFonts w:ascii="Times New Roman" w:hAnsi="Times New Roman" w:eastAsia="Times New Roman" w:cs="Times New Roman"/>
          <w:sz w:val="24"/>
          <w:szCs w:val="24"/>
        </w:rPr>
        <w:t xml:space="preserve"> </w:t>
      </w:r>
      <w:r>
        <w:rPr>
          <w:rFonts w:ascii="宋体" w:hAnsi="宋体" w:eastAsia="宋体" w:cs="宋体"/>
          <w:spacing w:val="-15"/>
          <w:sz w:val="24"/>
          <w:szCs w:val="24"/>
        </w:rPr>
        <w:t>目</w:t>
      </w:r>
      <w:r>
        <w:rPr>
          <w:rFonts w:ascii="宋体" w:hAnsi="宋体" w:eastAsia="宋体" w:cs="宋体"/>
          <w:spacing w:val="-44"/>
          <w:sz w:val="24"/>
          <w:szCs w:val="24"/>
        </w:rPr>
        <w:t xml:space="preserve"> </w:t>
      </w:r>
      <w:r>
        <w:rPr>
          <w:rFonts w:ascii="Times New Roman" w:hAnsi="Times New Roman" w:eastAsia="Times New Roman" w:cs="Times New Roman"/>
          <w:spacing w:val="-15"/>
          <w:sz w:val="24"/>
          <w:szCs w:val="24"/>
        </w:rPr>
        <w:t xml:space="preserve">44 </w:t>
      </w:r>
      <w:r>
        <w:rPr>
          <w:rFonts w:ascii="宋体" w:hAnsi="宋体" w:eastAsia="宋体" w:cs="宋体"/>
          <w:spacing w:val="-15"/>
          <w:sz w:val="24"/>
          <w:szCs w:val="24"/>
        </w:rPr>
        <w:t>科</w:t>
      </w:r>
      <w:r>
        <w:rPr>
          <w:rFonts w:ascii="宋体" w:hAnsi="宋体" w:eastAsia="宋体" w:cs="宋体"/>
          <w:spacing w:val="-46"/>
          <w:sz w:val="24"/>
          <w:szCs w:val="24"/>
        </w:rPr>
        <w:t xml:space="preserve"> </w:t>
      </w:r>
      <w:r>
        <w:rPr>
          <w:rFonts w:ascii="Times New Roman" w:hAnsi="Times New Roman" w:eastAsia="Times New Roman" w:cs="Times New Roman"/>
          <w:spacing w:val="-15"/>
          <w:sz w:val="24"/>
          <w:szCs w:val="24"/>
        </w:rPr>
        <w:t>80</w:t>
      </w:r>
      <w:r>
        <w:rPr>
          <w:rFonts w:ascii="Times New Roman" w:hAnsi="Times New Roman" w:eastAsia="Times New Roman" w:cs="Times New Roman"/>
          <w:spacing w:val="12"/>
          <w:sz w:val="24"/>
          <w:szCs w:val="24"/>
        </w:rPr>
        <w:t xml:space="preserve"> </w:t>
      </w:r>
      <w:r>
        <w:rPr>
          <w:rFonts w:ascii="宋体" w:hAnsi="宋体" w:eastAsia="宋体" w:cs="宋体"/>
          <w:spacing w:val="-15"/>
          <w:sz w:val="24"/>
          <w:szCs w:val="24"/>
        </w:rPr>
        <w:t>属</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 xml:space="preserve">105 </w:t>
      </w:r>
      <w:r>
        <w:rPr>
          <w:rFonts w:ascii="宋体" w:hAnsi="宋体" w:eastAsia="宋体" w:cs="宋体"/>
          <w:spacing w:val="-15"/>
          <w:sz w:val="24"/>
          <w:szCs w:val="24"/>
        </w:rPr>
        <w:t>种，</w:t>
      </w:r>
      <w:r>
        <w:rPr>
          <w:rFonts w:ascii="宋体" w:hAnsi="宋体" w:eastAsia="宋体" w:cs="宋体"/>
          <w:spacing w:val="-55"/>
          <w:sz w:val="24"/>
          <w:szCs w:val="24"/>
        </w:rPr>
        <w:t xml:space="preserve"> </w:t>
      </w:r>
      <w:r>
        <w:rPr>
          <w:rFonts w:ascii="宋体" w:hAnsi="宋体" w:eastAsia="宋体" w:cs="宋体"/>
          <w:spacing w:val="-15"/>
          <w:sz w:val="24"/>
          <w:szCs w:val="24"/>
        </w:rPr>
        <w:t>评价区受人为干扰突出，</w:t>
      </w:r>
      <w:r>
        <w:rPr>
          <w:rFonts w:ascii="宋体" w:hAnsi="宋体" w:eastAsia="宋体" w:cs="宋体"/>
          <w:spacing w:val="42"/>
          <w:sz w:val="24"/>
          <w:szCs w:val="24"/>
        </w:rPr>
        <w:t xml:space="preserve"> </w:t>
      </w:r>
      <w:r>
        <w:rPr>
          <w:rFonts w:ascii="宋体" w:hAnsi="宋体" w:eastAsia="宋体" w:cs="宋体"/>
          <w:spacing w:val="-15"/>
          <w:sz w:val="24"/>
          <w:szCs w:val="24"/>
        </w:rPr>
        <w:t>鸟类种类、数量不多；</w:t>
      </w:r>
      <w:r>
        <w:rPr>
          <w:rFonts w:ascii="宋体" w:hAnsi="宋体" w:eastAsia="宋体" w:cs="宋体"/>
          <w:spacing w:val="58"/>
          <w:sz w:val="24"/>
          <w:szCs w:val="24"/>
        </w:rPr>
        <w:t xml:space="preserve"> </w:t>
      </w:r>
      <w:r>
        <w:rPr>
          <w:rFonts w:ascii="宋体" w:hAnsi="宋体" w:eastAsia="宋体" w:cs="宋体"/>
          <w:spacing w:val="-15"/>
          <w:sz w:val="24"/>
          <w:szCs w:val="24"/>
        </w:rPr>
        <w:t>区域内常</w:t>
      </w:r>
      <w:r>
        <w:rPr>
          <w:rFonts w:ascii="宋体" w:hAnsi="宋体" w:eastAsia="宋体" w:cs="宋体"/>
          <w:sz w:val="24"/>
          <w:szCs w:val="24"/>
        </w:rPr>
        <w:t xml:space="preserve"> </w:t>
      </w:r>
      <w:r>
        <w:rPr>
          <w:rFonts w:ascii="宋体" w:hAnsi="宋体" w:eastAsia="宋体" w:cs="宋体"/>
          <w:spacing w:val="-8"/>
          <w:sz w:val="24"/>
          <w:szCs w:val="24"/>
        </w:rPr>
        <w:t>见的鸟类主要为雀形目的鹎科、鸫科、画眉科、鹡鸰科种类，</w:t>
      </w:r>
      <w:r>
        <w:rPr>
          <w:rFonts w:ascii="宋体" w:hAnsi="宋体" w:eastAsia="宋体" w:cs="宋体"/>
          <w:spacing w:val="50"/>
          <w:sz w:val="24"/>
          <w:szCs w:val="24"/>
        </w:rPr>
        <w:t xml:space="preserve"> </w:t>
      </w:r>
      <w:r>
        <w:rPr>
          <w:rFonts w:ascii="宋体" w:hAnsi="宋体" w:eastAsia="宋体" w:cs="宋体"/>
          <w:spacing w:val="-8"/>
          <w:sz w:val="24"/>
          <w:szCs w:val="24"/>
        </w:rPr>
        <w:t>其他种类在评价区</w:t>
      </w:r>
    </w:p>
    <w:p>
      <w:pPr>
        <w:spacing w:line="219" w:lineRule="auto"/>
        <w:ind w:left="145"/>
        <w:rPr>
          <w:rFonts w:ascii="宋体" w:hAnsi="宋体" w:eastAsia="宋体" w:cs="宋体"/>
          <w:sz w:val="24"/>
          <w:szCs w:val="24"/>
        </w:rPr>
      </w:pPr>
      <w:r>
        <w:rPr>
          <w:rFonts w:ascii="宋体" w:hAnsi="宋体" w:eastAsia="宋体" w:cs="宋体"/>
          <w:spacing w:val="-2"/>
          <w:sz w:val="24"/>
          <w:szCs w:val="24"/>
        </w:rPr>
        <w:t>内不多见或种群数量不大。具体种类见下表。</w:t>
      </w:r>
    </w:p>
    <w:p>
      <w:pPr>
        <w:pStyle w:val="2"/>
        <w:spacing w:before="181" w:line="218" w:lineRule="auto"/>
        <w:ind w:left="3289"/>
      </w:pPr>
      <w:r>
        <w:rPr>
          <w:spacing w:val="-1"/>
          <w14:textOutline w14:w="3810" w14:cap="flat" w14:cmpd="sng">
            <w14:solidFill>
              <w14:srgbClr w14:val="000000"/>
            </w14:solidFill>
            <w14:prstDash w14:val="solid"/>
            <w14:miter w14:val="0"/>
          </w14:textOutline>
        </w:rPr>
        <w:t>表</w:t>
      </w:r>
      <w:r>
        <w:rPr>
          <w:spacing w:val="-44"/>
        </w:rPr>
        <w:t xml:space="preserve"> </w:t>
      </w:r>
      <w:r>
        <w:rPr>
          <w:rFonts w:ascii="Times New Roman" w:hAnsi="Times New Roman" w:eastAsia="Times New Roman" w:cs="Times New Roman"/>
          <w:b/>
          <w:bCs/>
          <w:spacing w:val="-1"/>
        </w:rPr>
        <w:t xml:space="preserve">3.2-29  </w:t>
      </w:r>
      <w:r>
        <w:rPr>
          <w:spacing w:val="-1"/>
          <w14:textOutline w14:w="3810" w14:cap="flat" w14:cmpd="sng">
            <w14:solidFill>
              <w14:srgbClr w14:val="000000"/>
            </w14:solidFill>
            <w14:prstDash w14:val="solid"/>
            <w14:miter w14:val="0"/>
          </w14:textOutline>
        </w:rPr>
        <w:t>评价区鸟类组成</w:t>
      </w:r>
    </w:p>
    <w:p>
      <w:pPr>
        <w:spacing w:line="20" w:lineRule="exact"/>
      </w:pPr>
    </w:p>
    <w:tbl>
      <w:tblPr>
        <w:tblStyle w:val="5"/>
        <w:tblW w:w="852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52"/>
        <w:gridCol w:w="3425"/>
        <w:gridCol w:w="14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3" w:hRule="atLeast"/>
        </w:trPr>
        <w:tc>
          <w:tcPr>
            <w:tcW w:w="3652" w:type="dxa"/>
            <w:tcBorders>
              <w:top w:val="single" w:color="000000" w:sz="12" w:space="0"/>
              <w:left w:val="nil"/>
            </w:tcBorders>
            <w:vAlign w:val="top"/>
          </w:tcPr>
          <w:p>
            <w:pPr>
              <w:spacing w:before="64" w:line="222" w:lineRule="auto"/>
              <w:ind w:left="1771"/>
              <w:rPr>
                <w:rFonts w:ascii="仿宋" w:hAnsi="仿宋" w:eastAsia="仿宋" w:cs="仿宋"/>
                <w:sz w:val="21"/>
                <w:szCs w:val="21"/>
              </w:rPr>
            </w:pPr>
            <w:r>
              <w:rPr>
                <w:rFonts w:ascii="仿宋" w:hAnsi="仿宋" w:eastAsia="仿宋" w:cs="仿宋"/>
                <w:sz w:val="21"/>
                <w:szCs w:val="21"/>
              </w:rPr>
              <w:t>目</w:t>
            </w:r>
          </w:p>
        </w:tc>
        <w:tc>
          <w:tcPr>
            <w:tcW w:w="3425" w:type="dxa"/>
            <w:tcBorders>
              <w:top w:val="single" w:color="000000" w:sz="12" w:space="0"/>
            </w:tcBorders>
            <w:vAlign w:val="top"/>
          </w:tcPr>
          <w:p>
            <w:pPr>
              <w:spacing w:before="64" w:line="218" w:lineRule="auto"/>
              <w:ind w:left="1617"/>
              <w:rPr>
                <w:rFonts w:ascii="仿宋" w:hAnsi="仿宋" w:eastAsia="仿宋" w:cs="仿宋"/>
                <w:sz w:val="21"/>
                <w:szCs w:val="21"/>
              </w:rPr>
            </w:pPr>
            <w:r>
              <w:rPr>
                <w:rFonts w:ascii="仿宋" w:hAnsi="仿宋" w:eastAsia="仿宋" w:cs="仿宋"/>
                <w:sz w:val="21"/>
                <w:szCs w:val="21"/>
              </w:rPr>
              <w:t>科</w:t>
            </w:r>
          </w:p>
        </w:tc>
        <w:tc>
          <w:tcPr>
            <w:tcW w:w="1443" w:type="dxa"/>
            <w:tcBorders>
              <w:top w:val="single" w:color="000000" w:sz="12" w:space="0"/>
              <w:right w:val="nil"/>
            </w:tcBorders>
            <w:vAlign w:val="top"/>
          </w:tcPr>
          <w:p>
            <w:pPr>
              <w:spacing w:before="64" w:line="219" w:lineRule="auto"/>
              <w:ind w:left="522"/>
              <w:rPr>
                <w:rFonts w:ascii="仿宋" w:hAnsi="仿宋" w:eastAsia="仿宋" w:cs="仿宋"/>
                <w:sz w:val="21"/>
                <w:szCs w:val="21"/>
              </w:rPr>
            </w:pPr>
            <w:r>
              <w:rPr>
                <w:rFonts w:ascii="仿宋" w:hAnsi="仿宋" w:eastAsia="仿宋" w:cs="仿宋"/>
                <w:spacing w:val="-4"/>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tcBorders>
              <w:left w:val="nil"/>
            </w:tcBorders>
            <w:vAlign w:val="top"/>
          </w:tcPr>
          <w:p>
            <w:pPr>
              <w:pStyle w:val="6"/>
              <w:spacing w:before="45" w:line="213" w:lineRule="auto"/>
              <w:ind w:left="757"/>
            </w:pPr>
            <w:r>
              <w:rPr>
                <w:rFonts w:ascii="仿宋" w:hAnsi="仿宋" w:eastAsia="仿宋" w:cs="仿宋"/>
                <w:spacing w:val="-1"/>
              </w:rPr>
              <w:t>鹏鹏目</w:t>
            </w:r>
            <w:r>
              <w:rPr>
                <w:rFonts w:ascii="仿宋" w:hAnsi="仿宋" w:eastAsia="仿宋" w:cs="仿宋"/>
                <w:spacing w:val="-48"/>
              </w:rPr>
              <w:t xml:space="preserve"> </w:t>
            </w:r>
            <w:r>
              <w:rPr>
                <w:spacing w:val="-1"/>
              </w:rPr>
              <w:t>Podicipediformes</w:t>
            </w:r>
          </w:p>
        </w:tc>
        <w:tc>
          <w:tcPr>
            <w:tcW w:w="3425" w:type="dxa"/>
            <w:vAlign w:val="top"/>
          </w:tcPr>
          <w:p>
            <w:pPr>
              <w:pStyle w:val="6"/>
              <w:spacing w:before="45" w:line="213" w:lineRule="auto"/>
              <w:ind w:left="785"/>
            </w:pPr>
            <w:r>
              <w:rPr>
                <w:rFonts w:ascii="仿宋" w:hAnsi="仿宋" w:eastAsia="仿宋" w:cs="仿宋"/>
                <w:spacing w:val="-2"/>
              </w:rPr>
              <w:t>鹏鹏科</w:t>
            </w:r>
            <w:r>
              <w:rPr>
                <w:rFonts w:ascii="仿宋" w:hAnsi="仿宋" w:eastAsia="仿宋" w:cs="仿宋"/>
                <w:spacing w:val="-35"/>
              </w:rPr>
              <w:t xml:space="preserve"> </w:t>
            </w:r>
            <w:r>
              <w:rPr>
                <w:spacing w:val="-2"/>
              </w:rPr>
              <w:t>Podicipedidae</w:t>
            </w:r>
          </w:p>
        </w:tc>
        <w:tc>
          <w:tcPr>
            <w:tcW w:w="1443" w:type="dxa"/>
            <w:tcBorders>
              <w:right w:val="nil"/>
            </w:tcBorders>
            <w:vAlign w:val="top"/>
          </w:tcPr>
          <w:p>
            <w:pPr>
              <w:pStyle w:val="6"/>
              <w:spacing w:before="85"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52" w:type="dxa"/>
            <w:tcBorders>
              <w:left w:val="nil"/>
            </w:tcBorders>
            <w:vAlign w:val="top"/>
          </w:tcPr>
          <w:p>
            <w:pPr>
              <w:pStyle w:val="6"/>
              <w:spacing w:before="48" w:line="216" w:lineRule="auto"/>
              <w:ind w:left="897"/>
            </w:pPr>
            <w:r>
              <w:rPr>
                <w:rFonts w:ascii="仿宋" w:hAnsi="仿宋" w:eastAsia="仿宋" w:cs="仿宋"/>
                <w:spacing w:val="-2"/>
              </w:rPr>
              <w:t>鹤形目</w:t>
            </w:r>
            <w:r>
              <w:rPr>
                <w:rFonts w:ascii="仿宋" w:hAnsi="仿宋" w:eastAsia="仿宋" w:cs="仿宋"/>
                <w:spacing w:val="-35"/>
              </w:rPr>
              <w:t xml:space="preserve"> </w:t>
            </w:r>
            <w:r>
              <w:rPr>
                <w:spacing w:val="-2"/>
              </w:rPr>
              <w:t>Ciconiiformes</w:t>
            </w:r>
          </w:p>
        </w:tc>
        <w:tc>
          <w:tcPr>
            <w:tcW w:w="3425" w:type="dxa"/>
            <w:vAlign w:val="top"/>
          </w:tcPr>
          <w:p>
            <w:pPr>
              <w:pStyle w:val="6"/>
              <w:spacing w:before="48" w:line="216" w:lineRule="auto"/>
              <w:ind w:left="1106"/>
            </w:pPr>
            <w:r>
              <w:rPr>
                <w:rFonts w:ascii="仿宋" w:hAnsi="仿宋" w:eastAsia="仿宋" w:cs="仿宋"/>
                <w:spacing w:val="-3"/>
              </w:rPr>
              <w:t>鸯科</w:t>
            </w:r>
            <w:r>
              <w:rPr>
                <w:rFonts w:ascii="仿宋" w:hAnsi="仿宋" w:eastAsia="仿宋" w:cs="仿宋"/>
                <w:spacing w:val="-43"/>
              </w:rPr>
              <w:t xml:space="preserve"> </w:t>
            </w:r>
            <w:r>
              <w:rPr>
                <w:spacing w:val="-3"/>
              </w:rPr>
              <w:t>Ardeidae</w:t>
            </w:r>
          </w:p>
        </w:tc>
        <w:tc>
          <w:tcPr>
            <w:tcW w:w="1443" w:type="dxa"/>
            <w:tcBorders>
              <w:right w:val="nil"/>
            </w:tcBorders>
            <w:vAlign w:val="top"/>
          </w:tcPr>
          <w:p>
            <w:pPr>
              <w:pStyle w:val="6"/>
              <w:spacing w:before="89" w:line="183" w:lineRule="auto"/>
              <w:ind w:left="677"/>
            </w:pPr>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tcBorders>
              <w:left w:val="nil"/>
            </w:tcBorders>
            <w:vAlign w:val="top"/>
          </w:tcPr>
          <w:p>
            <w:pPr>
              <w:pStyle w:val="6"/>
              <w:spacing w:before="48" w:line="215" w:lineRule="auto"/>
              <w:ind w:left="925"/>
            </w:pPr>
            <w:r>
              <w:rPr>
                <w:rFonts w:ascii="仿宋" w:hAnsi="仿宋" w:eastAsia="仿宋" w:cs="仿宋"/>
                <w:spacing w:val="-1"/>
              </w:rPr>
              <w:t>雁形目</w:t>
            </w:r>
            <w:r>
              <w:rPr>
                <w:rFonts w:ascii="仿宋" w:hAnsi="仿宋" w:eastAsia="仿宋" w:cs="仿宋"/>
                <w:spacing w:val="-51"/>
              </w:rPr>
              <w:t xml:space="preserve"> </w:t>
            </w:r>
            <w:r>
              <w:rPr>
                <w:spacing w:val="-1"/>
              </w:rPr>
              <w:t>Anseriformes</w:t>
            </w:r>
          </w:p>
        </w:tc>
        <w:tc>
          <w:tcPr>
            <w:tcW w:w="3425" w:type="dxa"/>
            <w:vAlign w:val="top"/>
          </w:tcPr>
          <w:p>
            <w:pPr>
              <w:pStyle w:val="6"/>
              <w:spacing w:before="48" w:line="215" w:lineRule="auto"/>
              <w:ind w:left="1114"/>
            </w:pPr>
            <w:r>
              <w:rPr>
                <w:rFonts w:ascii="仿宋" w:hAnsi="仿宋" w:eastAsia="仿宋" w:cs="仿宋"/>
                <w:spacing w:val="-3"/>
              </w:rPr>
              <w:t>鸭科</w:t>
            </w:r>
            <w:r>
              <w:rPr>
                <w:rFonts w:ascii="仿宋" w:hAnsi="仿宋" w:eastAsia="仿宋" w:cs="仿宋"/>
                <w:spacing w:val="-45"/>
              </w:rPr>
              <w:t xml:space="preserve"> </w:t>
            </w:r>
            <w:r>
              <w:rPr>
                <w:spacing w:val="-3"/>
              </w:rPr>
              <w:t>Anatidae</w:t>
            </w:r>
          </w:p>
        </w:tc>
        <w:tc>
          <w:tcPr>
            <w:tcW w:w="1443" w:type="dxa"/>
            <w:tcBorders>
              <w:right w:val="nil"/>
            </w:tcBorders>
            <w:vAlign w:val="top"/>
          </w:tcPr>
          <w:p>
            <w:pPr>
              <w:pStyle w:val="6"/>
              <w:spacing w:before="87"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vMerge w:val="restart"/>
            <w:tcBorders>
              <w:left w:val="nil"/>
              <w:bottom w:val="nil"/>
            </w:tcBorders>
            <w:vAlign w:val="top"/>
          </w:tcPr>
          <w:p>
            <w:pPr>
              <w:pStyle w:val="6"/>
              <w:spacing w:before="206" w:line="231" w:lineRule="auto"/>
              <w:ind w:left="896"/>
            </w:pPr>
            <w:r>
              <w:rPr>
                <w:rFonts w:ascii="仿宋" w:hAnsi="仿宋" w:eastAsia="仿宋" w:cs="仿宋"/>
                <w:spacing w:val="-2"/>
              </w:rPr>
              <w:t>集形目</w:t>
            </w:r>
            <w:r>
              <w:rPr>
                <w:rFonts w:ascii="仿宋" w:hAnsi="仿宋" w:eastAsia="仿宋" w:cs="仿宋"/>
                <w:spacing w:val="-39"/>
              </w:rPr>
              <w:t xml:space="preserve"> </w:t>
            </w:r>
            <w:r>
              <w:rPr>
                <w:spacing w:val="-2"/>
              </w:rPr>
              <w:t>Falconiformes</w:t>
            </w:r>
          </w:p>
        </w:tc>
        <w:tc>
          <w:tcPr>
            <w:tcW w:w="3425" w:type="dxa"/>
            <w:vAlign w:val="top"/>
          </w:tcPr>
          <w:p>
            <w:pPr>
              <w:pStyle w:val="6"/>
              <w:spacing w:before="51" w:line="212" w:lineRule="auto"/>
              <w:ind w:left="1012"/>
            </w:pPr>
            <w:r>
              <w:rPr>
                <w:rFonts w:ascii="仿宋" w:hAnsi="仿宋" w:eastAsia="仿宋" w:cs="仿宋"/>
                <w:spacing w:val="-2"/>
              </w:rPr>
              <w:t>鹰科</w:t>
            </w:r>
            <w:r>
              <w:rPr>
                <w:rFonts w:ascii="仿宋" w:hAnsi="仿宋" w:eastAsia="仿宋" w:cs="仿宋"/>
                <w:spacing w:val="-41"/>
              </w:rPr>
              <w:t xml:space="preserve"> </w:t>
            </w:r>
            <w:r>
              <w:rPr>
                <w:spacing w:val="-2"/>
              </w:rPr>
              <w:t>Accipitrida</w:t>
            </w:r>
          </w:p>
        </w:tc>
        <w:tc>
          <w:tcPr>
            <w:tcW w:w="1443" w:type="dxa"/>
            <w:tcBorders>
              <w:right w:val="nil"/>
            </w:tcBorders>
            <w:vAlign w:val="top"/>
          </w:tcPr>
          <w:p>
            <w:pPr>
              <w:pStyle w:val="6"/>
              <w:spacing w:before="89" w:line="186" w:lineRule="auto"/>
              <w:ind w:left="675"/>
            </w:pPr>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52" w:type="dxa"/>
            <w:vMerge w:val="continue"/>
            <w:tcBorders>
              <w:top w:val="nil"/>
              <w:left w:val="nil"/>
            </w:tcBorders>
            <w:vAlign w:val="top"/>
          </w:tcPr>
          <w:p>
            <w:pPr>
              <w:rPr>
                <w:rFonts w:ascii="Arial"/>
                <w:sz w:val="21"/>
              </w:rPr>
            </w:pPr>
          </w:p>
        </w:tc>
        <w:tc>
          <w:tcPr>
            <w:tcW w:w="3425" w:type="dxa"/>
            <w:vAlign w:val="top"/>
          </w:tcPr>
          <w:p>
            <w:pPr>
              <w:pStyle w:val="6"/>
              <w:spacing w:before="52" w:line="212" w:lineRule="auto"/>
              <w:ind w:left="1030"/>
            </w:pPr>
            <w:r>
              <w:rPr>
                <w:rFonts w:ascii="仿宋" w:hAnsi="仿宋" w:eastAsia="仿宋" w:cs="仿宋"/>
                <w:spacing w:val="-2"/>
              </w:rPr>
              <w:t>集科</w:t>
            </w:r>
            <w:r>
              <w:rPr>
                <w:rFonts w:ascii="仿宋" w:hAnsi="仿宋" w:eastAsia="仿宋" w:cs="仿宋"/>
                <w:spacing w:val="-48"/>
              </w:rPr>
              <w:t xml:space="preserve"> </w:t>
            </w:r>
            <w:r>
              <w:rPr>
                <w:spacing w:val="-2"/>
              </w:rPr>
              <w:t>Falconidae</w:t>
            </w:r>
          </w:p>
        </w:tc>
        <w:tc>
          <w:tcPr>
            <w:tcW w:w="1443" w:type="dxa"/>
            <w:tcBorders>
              <w:right w:val="nil"/>
            </w:tcBorders>
            <w:vAlign w:val="top"/>
          </w:tcPr>
          <w:p>
            <w:pPr>
              <w:pStyle w:val="6"/>
              <w:spacing w:before="91"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tcBorders>
              <w:left w:val="nil"/>
            </w:tcBorders>
            <w:vAlign w:val="top"/>
          </w:tcPr>
          <w:p>
            <w:pPr>
              <w:pStyle w:val="6"/>
              <w:spacing w:before="54" w:line="210" w:lineRule="auto"/>
              <w:ind w:left="996"/>
            </w:pPr>
            <w:r>
              <w:rPr>
                <w:rFonts w:ascii="仿宋" w:hAnsi="仿宋" w:eastAsia="仿宋" w:cs="仿宋"/>
                <w:spacing w:val="-2"/>
              </w:rPr>
              <w:t>鸡形目</w:t>
            </w:r>
            <w:r>
              <w:rPr>
                <w:rFonts w:ascii="仿宋" w:hAnsi="仿宋" w:eastAsia="仿宋" w:cs="仿宋"/>
                <w:spacing w:val="-36"/>
              </w:rPr>
              <w:t xml:space="preserve"> </w:t>
            </w:r>
            <w:r>
              <w:rPr>
                <w:spacing w:val="-2"/>
              </w:rPr>
              <w:t>Galliformes</w:t>
            </w:r>
          </w:p>
        </w:tc>
        <w:tc>
          <w:tcPr>
            <w:tcW w:w="3425" w:type="dxa"/>
            <w:vAlign w:val="top"/>
          </w:tcPr>
          <w:p>
            <w:pPr>
              <w:pStyle w:val="6"/>
              <w:spacing w:before="54" w:line="210" w:lineRule="auto"/>
              <w:ind w:left="984"/>
            </w:pPr>
            <w:r>
              <w:rPr>
                <w:rFonts w:ascii="仿宋" w:hAnsi="仿宋" w:eastAsia="仿宋" w:cs="仿宋"/>
                <w:spacing w:val="-2"/>
              </w:rPr>
              <w:t>维科</w:t>
            </w:r>
            <w:r>
              <w:rPr>
                <w:rFonts w:ascii="仿宋" w:hAnsi="仿宋" w:eastAsia="仿宋" w:cs="仿宋"/>
                <w:spacing w:val="-41"/>
              </w:rPr>
              <w:t xml:space="preserve"> </w:t>
            </w:r>
            <w:r>
              <w:rPr>
                <w:spacing w:val="-2"/>
              </w:rPr>
              <w:t>Phasianidae</w:t>
            </w:r>
          </w:p>
        </w:tc>
        <w:tc>
          <w:tcPr>
            <w:tcW w:w="1443" w:type="dxa"/>
            <w:tcBorders>
              <w:right w:val="nil"/>
            </w:tcBorders>
            <w:vAlign w:val="top"/>
          </w:tcPr>
          <w:p>
            <w:pPr>
              <w:pStyle w:val="6"/>
              <w:spacing w:before="92" w:line="186" w:lineRule="auto"/>
              <w:ind w:left="670"/>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tcBorders>
              <w:left w:val="nil"/>
            </w:tcBorders>
            <w:vAlign w:val="top"/>
          </w:tcPr>
          <w:p>
            <w:pPr>
              <w:pStyle w:val="6"/>
              <w:spacing w:before="56" w:line="208" w:lineRule="auto"/>
              <w:ind w:left="1012"/>
            </w:pPr>
            <w:r>
              <w:rPr>
                <w:rFonts w:ascii="仿宋" w:hAnsi="仿宋" w:eastAsia="仿宋" w:cs="仿宋"/>
                <w:spacing w:val="-2"/>
              </w:rPr>
              <w:t>鹤形目</w:t>
            </w:r>
            <w:r>
              <w:rPr>
                <w:rFonts w:ascii="仿宋" w:hAnsi="仿宋" w:eastAsia="仿宋" w:cs="仿宋"/>
                <w:spacing w:val="-41"/>
              </w:rPr>
              <w:t xml:space="preserve"> </w:t>
            </w:r>
            <w:r>
              <w:rPr>
                <w:spacing w:val="-2"/>
              </w:rPr>
              <w:t>Gruiformes</w:t>
            </w:r>
          </w:p>
        </w:tc>
        <w:tc>
          <w:tcPr>
            <w:tcW w:w="3425" w:type="dxa"/>
            <w:vAlign w:val="top"/>
          </w:tcPr>
          <w:p>
            <w:pPr>
              <w:pStyle w:val="6"/>
              <w:spacing w:before="56" w:line="208" w:lineRule="auto"/>
              <w:ind w:left="1032"/>
            </w:pPr>
            <w:r>
              <w:rPr>
                <w:rFonts w:ascii="仿宋" w:hAnsi="仿宋" w:eastAsia="仿宋" w:cs="仿宋"/>
                <w:spacing w:val="-2"/>
              </w:rPr>
              <w:t>秧鸡科</w:t>
            </w:r>
            <w:r>
              <w:rPr>
                <w:rFonts w:ascii="仿宋" w:hAnsi="仿宋" w:eastAsia="仿宋" w:cs="仿宋"/>
                <w:spacing w:val="-47"/>
              </w:rPr>
              <w:t xml:space="preserve"> </w:t>
            </w:r>
            <w:r>
              <w:rPr>
                <w:spacing w:val="-2"/>
              </w:rPr>
              <w:t>Rallidae</w:t>
            </w:r>
          </w:p>
        </w:tc>
        <w:tc>
          <w:tcPr>
            <w:tcW w:w="1443" w:type="dxa"/>
            <w:tcBorders>
              <w:right w:val="nil"/>
            </w:tcBorders>
            <w:vAlign w:val="top"/>
          </w:tcPr>
          <w:p>
            <w:pPr>
              <w:pStyle w:val="6"/>
              <w:spacing w:before="94" w:line="186" w:lineRule="auto"/>
              <w:ind w:left="675"/>
            </w:pPr>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52" w:type="dxa"/>
            <w:vMerge w:val="restart"/>
            <w:tcBorders>
              <w:left w:val="nil"/>
              <w:bottom w:val="nil"/>
            </w:tcBorders>
            <w:vAlign w:val="top"/>
          </w:tcPr>
          <w:p>
            <w:pPr>
              <w:pStyle w:val="6"/>
              <w:spacing w:before="213" w:line="217" w:lineRule="auto"/>
              <w:ind w:left="808"/>
            </w:pPr>
            <w:r>
              <w:rPr>
                <w:rFonts w:ascii="仿宋" w:hAnsi="仿宋" w:eastAsia="仿宋" w:cs="仿宋"/>
                <w:spacing w:val="-2"/>
              </w:rPr>
              <w:t>待形目</w:t>
            </w:r>
            <w:r>
              <w:rPr>
                <w:rFonts w:ascii="仿宋" w:hAnsi="仿宋" w:eastAsia="仿宋" w:cs="仿宋"/>
                <w:spacing w:val="-30"/>
              </w:rPr>
              <w:t xml:space="preserve"> </w:t>
            </w:r>
            <w:r>
              <w:rPr>
                <w:spacing w:val="-2"/>
              </w:rPr>
              <w:t>Charadriiformes</w:t>
            </w:r>
          </w:p>
        </w:tc>
        <w:tc>
          <w:tcPr>
            <w:tcW w:w="3425" w:type="dxa"/>
            <w:vAlign w:val="top"/>
          </w:tcPr>
          <w:p>
            <w:pPr>
              <w:pStyle w:val="6"/>
              <w:spacing w:before="58" w:line="207" w:lineRule="auto"/>
              <w:ind w:left="943"/>
            </w:pPr>
            <w:r>
              <w:rPr>
                <w:rFonts w:ascii="仿宋" w:hAnsi="仿宋" w:eastAsia="仿宋" w:cs="仿宋"/>
                <w:spacing w:val="-2"/>
              </w:rPr>
              <w:t>待科</w:t>
            </w:r>
            <w:r>
              <w:rPr>
                <w:rFonts w:ascii="仿宋" w:hAnsi="仿宋" w:eastAsia="仿宋" w:cs="仿宋"/>
                <w:spacing w:val="-39"/>
              </w:rPr>
              <w:t xml:space="preserve"> </w:t>
            </w:r>
            <w:r>
              <w:rPr>
                <w:spacing w:val="-2"/>
              </w:rPr>
              <w:t>Charadriidae</w:t>
            </w:r>
          </w:p>
        </w:tc>
        <w:tc>
          <w:tcPr>
            <w:tcW w:w="1443" w:type="dxa"/>
            <w:tcBorders>
              <w:right w:val="nil"/>
            </w:tcBorders>
            <w:vAlign w:val="top"/>
          </w:tcPr>
          <w:p>
            <w:pPr>
              <w:pStyle w:val="6"/>
              <w:spacing w:before="96"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vMerge w:val="continue"/>
            <w:tcBorders>
              <w:top w:val="nil"/>
              <w:left w:val="nil"/>
            </w:tcBorders>
            <w:vAlign w:val="top"/>
          </w:tcPr>
          <w:p>
            <w:pPr>
              <w:rPr>
                <w:rFonts w:ascii="Arial"/>
                <w:sz w:val="21"/>
              </w:rPr>
            </w:pPr>
          </w:p>
        </w:tc>
        <w:tc>
          <w:tcPr>
            <w:tcW w:w="3425" w:type="dxa"/>
            <w:vAlign w:val="top"/>
          </w:tcPr>
          <w:p>
            <w:pPr>
              <w:pStyle w:val="6"/>
              <w:spacing w:before="58" w:line="206" w:lineRule="auto"/>
              <w:ind w:left="928"/>
            </w:pPr>
            <w:r>
              <w:rPr>
                <w:rFonts w:ascii="仿宋" w:hAnsi="仿宋" w:eastAsia="仿宋" w:cs="仿宋"/>
                <w:spacing w:val="-3"/>
              </w:rPr>
              <w:t>酗科</w:t>
            </w:r>
            <w:r>
              <w:rPr>
                <w:rFonts w:ascii="仿宋" w:hAnsi="仿宋" w:eastAsia="仿宋" w:cs="仿宋"/>
                <w:spacing w:val="-27"/>
              </w:rPr>
              <w:t xml:space="preserve"> </w:t>
            </w:r>
            <w:r>
              <w:rPr>
                <w:spacing w:val="-3"/>
              </w:rPr>
              <w:t>Scolopacidae</w:t>
            </w:r>
          </w:p>
        </w:tc>
        <w:tc>
          <w:tcPr>
            <w:tcW w:w="1443" w:type="dxa"/>
            <w:tcBorders>
              <w:right w:val="nil"/>
            </w:tcBorders>
            <w:vAlign w:val="top"/>
          </w:tcPr>
          <w:p>
            <w:pPr>
              <w:pStyle w:val="6"/>
              <w:spacing w:before="97" w:line="186" w:lineRule="auto"/>
              <w:ind w:left="670"/>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tcBorders>
              <w:left w:val="nil"/>
            </w:tcBorders>
            <w:vAlign w:val="top"/>
          </w:tcPr>
          <w:p>
            <w:pPr>
              <w:pStyle w:val="6"/>
              <w:spacing w:before="60" w:line="204" w:lineRule="auto"/>
              <w:ind w:left="839"/>
            </w:pPr>
            <w:r>
              <w:rPr>
                <w:rFonts w:ascii="仿宋" w:hAnsi="仿宋" w:eastAsia="仿宋" w:cs="仿宋"/>
                <w:spacing w:val="-2"/>
              </w:rPr>
              <w:t>鸽形目</w:t>
            </w:r>
            <w:r>
              <w:rPr>
                <w:rFonts w:ascii="仿宋" w:hAnsi="仿宋" w:eastAsia="仿宋" w:cs="仿宋"/>
                <w:spacing w:val="-36"/>
              </w:rPr>
              <w:t xml:space="preserve"> </w:t>
            </w:r>
            <w:r>
              <w:rPr>
                <w:spacing w:val="-2"/>
              </w:rPr>
              <w:t>Columbiformes</w:t>
            </w:r>
          </w:p>
        </w:tc>
        <w:tc>
          <w:tcPr>
            <w:tcW w:w="3425" w:type="dxa"/>
            <w:vAlign w:val="top"/>
          </w:tcPr>
          <w:p>
            <w:pPr>
              <w:pStyle w:val="6"/>
              <w:spacing w:before="60" w:line="204" w:lineRule="auto"/>
              <w:ind w:left="868"/>
            </w:pPr>
            <w:r>
              <w:rPr>
                <w:rFonts w:ascii="仿宋" w:hAnsi="仿宋" w:eastAsia="仿宋" w:cs="仿宋"/>
                <w:spacing w:val="-2"/>
              </w:rPr>
              <w:t>鸠鸽科</w:t>
            </w:r>
            <w:r>
              <w:rPr>
                <w:rFonts w:ascii="仿宋" w:hAnsi="仿宋" w:eastAsia="仿宋" w:cs="仿宋"/>
                <w:spacing w:val="-42"/>
              </w:rPr>
              <w:t xml:space="preserve"> </w:t>
            </w:r>
            <w:r>
              <w:rPr>
                <w:spacing w:val="-2"/>
              </w:rPr>
              <w:t>Columbidae</w:t>
            </w:r>
          </w:p>
        </w:tc>
        <w:tc>
          <w:tcPr>
            <w:tcW w:w="1443" w:type="dxa"/>
            <w:tcBorders>
              <w:right w:val="nil"/>
            </w:tcBorders>
            <w:vAlign w:val="top"/>
          </w:tcPr>
          <w:p>
            <w:pPr>
              <w:pStyle w:val="6"/>
              <w:spacing w:before="100" w:line="186" w:lineRule="auto"/>
              <w:ind w:left="671"/>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52" w:type="dxa"/>
            <w:tcBorders>
              <w:left w:val="nil"/>
            </w:tcBorders>
            <w:vAlign w:val="top"/>
          </w:tcPr>
          <w:p>
            <w:pPr>
              <w:pStyle w:val="6"/>
              <w:spacing w:before="63" w:line="203" w:lineRule="auto"/>
              <w:ind w:left="933"/>
            </w:pPr>
            <w:r>
              <w:rPr>
                <w:rFonts w:ascii="仿宋" w:hAnsi="仿宋" w:eastAsia="仿宋" w:cs="仿宋"/>
                <w:spacing w:val="-2"/>
              </w:rPr>
              <w:t>鹃形目</w:t>
            </w:r>
            <w:r>
              <w:rPr>
                <w:rFonts w:ascii="仿宋" w:hAnsi="仿宋" w:eastAsia="仿宋" w:cs="仿宋"/>
                <w:spacing w:val="-45"/>
              </w:rPr>
              <w:t xml:space="preserve"> </w:t>
            </w:r>
            <w:r>
              <w:rPr>
                <w:spacing w:val="-2"/>
              </w:rPr>
              <w:t>Cuculiformes</w:t>
            </w:r>
          </w:p>
        </w:tc>
        <w:tc>
          <w:tcPr>
            <w:tcW w:w="3425" w:type="dxa"/>
            <w:vAlign w:val="top"/>
          </w:tcPr>
          <w:p>
            <w:pPr>
              <w:pStyle w:val="6"/>
              <w:spacing w:before="63" w:line="203" w:lineRule="auto"/>
              <w:ind w:left="955"/>
            </w:pPr>
            <w:r>
              <w:rPr>
                <w:rFonts w:ascii="仿宋" w:hAnsi="仿宋" w:eastAsia="仿宋" w:cs="仿宋"/>
                <w:spacing w:val="-2"/>
              </w:rPr>
              <w:t>杜鹃科</w:t>
            </w:r>
            <w:r>
              <w:rPr>
                <w:rFonts w:ascii="仿宋" w:hAnsi="仿宋" w:eastAsia="仿宋" w:cs="仿宋"/>
                <w:spacing w:val="-43"/>
              </w:rPr>
              <w:t xml:space="preserve"> </w:t>
            </w:r>
            <w:r>
              <w:rPr>
                <w:spacing w:val="-2"/>
              </w:rPr>
              <w:t>Cuculidae</w:t>
            </w:r>
          </w:p>
        </w:tc>
        <w:tc>
          <w:tcPr>
            <w:tcW w:w="1443" w:type="dxa"/>
            <w:tcBorders>
              <w:right w:val="nil"/>
            </w:tcBorders>
            <w:vAlign w:val="top"/>
          </w:tcPr>
          <w:p>
            <w:pPr>
              <w:pStyle w:val="6"/>
              <w:spacing w:before="101" w:line="186" w:lineRule="auto"/>
              <w:ind w:left="670"/>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vMerge w:val="restart"/>
            <w:tcBorders>
              <w:left w:val="nil"/>
              <w:bottom w:val="nil"/>
            </w:tcBorders>
            <w:vAlign w:val="top"/>
          </w:tcPr>
          <w:p>
            <w:pPr>
              <w:pStyle w:val="6"/>
              <w:spacing w:before="219" w:line="212" w:lineRule="auto"/>
              <w:ind w:left="975"/>
            </w:pPr>
            <w:r>
              <w:rPr>
                <w:rFonts w:ascii="仿宋" w:hAnsi="仿宋" w:eastAsia="仿宋" w:cs="仿宋"/>
                <w:spacing w:val="-2"/>
              </w:rPr>
              <w:t>鹊形目</w:t>
            </w:r>
            <w:r>
              <w:rPr>
                <w:rFonts w:ascii="仿宋" w:hAnsi="仿宋" w:eastAsia="仿宋" w:cs="仿宋"/>
                <w:spacing w:val="-37"/>
              </w:rPr>
              <w:t xml:space="preserve"> </w:t>
            </w:r>
            <w:r>
              <w:rPr>
                <w:spacing w:val="-2"/>
              </w:rPr>
              <w:t>Strigiformes</w:t>
            </w:r>
          </w:p>
        </w:tc>
        <w:tc>
          <w:tcPr>
            <w:tcW w:w="3425" w:type="dxa"/>
            <w:vAlign w:val="top"/>
          </w:tcPr>
          <w:p>
            <w:pPr>
              <w:pStyle w:val="6"/>
              <w:spacing w:before="63" w:line="202" w:lineRule="auto"/>
              <w:ind w:left="1008"/>
            </w:pPr>
            <w:r>
              <w:rPr>
                <w:rFonts w:ascii="仿宋" w:hAnsi="仿宋" w:eastAsia="仿宋" w:cs="仿宋"/>
                <w:spacing w:val="-3"/>
              </w:rPr>
              <w:t>聘鹊科</w:t>
            </w:r>
            <w:r>
              <w:rPr>
                <w:rFonts w:ascii="仿宋" w:hAnsi="仿宋" w:eastAsia="仿宋" w:cs="仿宋"/>
                <w:spacing w:val="-38"/>
              </w:rPr>
              <w:t xml:space="preserve"> </w:t>
            </w:r>
            <w:r>
              <w:rPr>
                <w:spacing w:val="-3"/>
              </w:rPr>
              <w:t>Strigidae</w:t>
            </w:r>
          </w:p>
        </w:tc>
        <w:tc>
          <w:tcPr>
            <w:tcW w:w="1443" w:type="dxa"/>
            <w:tcBorders>
              <w:right w:val="nil"/>
            </w:tcBorders>
            <w:vAlign w:val="top"/>
          </w:tcPr>
          <w:p>
            <w:pPr>
              <w:pStyle w:val="6"/>
              <w:spacing w:before="102"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vMerge w:val="continue"/>
            <w:tcBorders>
              <w:top w:val="nil"/>
              <w:left w:val="nil"/>
            </w:tcBorders>
            <w:vAlign w:val="top"/>
          </w:tcPr>
          <w:p>
            <w:pPr>
              <w:rPr>
                <w:rFonts w:ascii="Arial"/>
                <w:sz w:val="21"/>
              </w:rPr>
            </w:pPr>
          </w:p>
        </w:tc>
        <w:tc>
          <w:tcPr>
            <w:tcW w:w="3425" w:type="dxa"/>
            <w:vAlign w:val="top"/>
          </w:tcPr>
          <w:p>
            <w:pPr>
              <w:pStyle w:val="6"/>
              <w:spacing w:before="66" w:line="199" w:lineRule="auto"/>
              <w:ind w:left="959"/>
            </w:pPr>
            <w:r>
              <w:rPr>
                <w:rFonts w:ascii="仿宋" w:hAnsi="仿宋" w:eastAsia="仿宋" w:cs="仿宋"/>
                <w:spacing w:val="-2"/>
              </w:rPr>
              <w:t>草鹊科</w:t>
            </w:r>
            <w:r>
              <w:rPr>
                <w:rFonts w:ascii="仿宋" w:hAnsi="仿宋" w:eastAsia="仿宋" w:cs="仿宋"/>
                <w:spacing w:val="-46"/>
              </w:rPr>
              <w:t xml:space="preserve"> </w:t>
            </w:r>
            <w:r>
              <w:rPr>
                <w:spacing w:val="-2"/>
              </w:rPr>
              <w:t>Tytonidae</w:t>
            </w:r>
          </w:p>
        </w:tc>
        <w:tc>
          <w:tcPr>
            <w:tcW w:w="1443" w:type="dxa"/>
            <w:tcBorders>
              <w:right w:val="nil"/>
            </w:tcBorders>
            <w:vAlign w:val="top"/>
          </w:tcPr>
          <w:p>
            <w:pPr>
              <w:pStyle w:val="6"/>
              <w:spacing w:before="105"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52" w:type="dxa"/>
            <w:tcBorders>
              <w:left w:val="nil"/>
            </w:tcBorders>
            <w:vAlign w:val="top"/>
          </w:tcPr>
          <w:p>
            <w:pPr>
              <w:pStyle w:val="6"/>
              <w:spacing w:before="68" w:line="198" w:lineRule="auto"/>
              <w:ind w:left="943"/>
            </w:pPr>
            <w:r>
              <w:rPr>
                <w:rFonts w:ascii="仿宋" w:hAnsi="仿宋" w:eastAsia="仿宋" w:cs="仿宋"/>
                <w:spacing w:val="-2"/>
              </w:rPr>
              <w:t>雨燕目</w:t>
            </w:r>
            <w:r>
              <w:rPr>
                <w:rFonts w:ascii="仿宋" w:hAnsi="仿宋" w:eastAsia="仿宋" w:cs="仿宋"/>
                <w:spacing w:val="-40"/>
              </w:rPr>
              <w:t xml:space="preserve"> </w:t>
            </w:r>
            <w:r>
              <w:rPr>
                <w:spacing w:val="-2"/>
              </w:rPr>
              <w:t>Apodiformes</w:t>
            </w:r>
          </w:p>
        </w:tc>
        <w:tc>
          <w:tcPr>
            <w:tcW w:w="3425" w:type="dxa"/>
            <w:vAlign w:val="top"/>
          </w:tcPr>
          <w:p>
            <w:pPr>
              <w:pStyle w:val="6"/>
              <w:spacing w:before="68" w:line="198" w:lineRule="auto"/>
              <w:ind w:left="972"/>
            </w:pPr>
            <w:r>
              <w:rPr>
                <w:rFonts w:ascii="仿宋" w:hAnsi="仿宋" w:eastAsia="仿宋" w:cs="仿宋"/>
                <w:spacing w:val="-2"/>
              </w:rPr>
              <w:t>雨燕科</w:t>
            </w:r>
            <w:r>
              <w:rPr>
                <w:rFonts w:ascii="仿宋" w:hAnsi="仿宋" w:eastAsia="仿宋" w:cs="仿宋"/>
                <w:spacing w:val="-45"/>
              </w:rPr>
              <w:t xml:space="preserve"> </w:t>
            </w:r>
            <w:r>
              <w:rPr>
                <w:spacing w:val="-2"/>
              </w:rPr>
              <w:t>Apodidae</w:t>
            </w:r>
          </w:p>
        </w:tc>
        <w:tc>
          <w:tcPr>
            <w:tcW w:w="1443" w:type="dxa"/>
            <w:tcBorders>
              <w:right w:val="nil"/>
            </w:tcBorders>
            <w:vAlign w:val="top"/>
          </w:tcPr>
          <w:p>
            <w:pPr>
              <w:pStyle w:val="6"/>
              <w:spacing w:before="106"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tcBorders>
              <w:left w:val="nil"/>
            </w:tcBorders>
            <w:vAlign w:val="top"/>
          </w:tcPr>
          <w:p>
            <w:pPr>
              <w:pStyle w:val="6"/>
              <w:spacing w:before="68" w:line="197" w:lineRule="auto"/>
              <w:ind w:left="795"/>
            </w:pPr>
            <w:r>
              <w:rPr>
                <w:rFonts w:ascii="仿宋" w:hAnsi="仿宋" w:eastAsia="仿宋" w:cs="仿宋"/>
                <w:spacing w:val="-2"/>
              </w:rPr>
              <w:t>佛法僧目</w:t>
            </w:r>
            <w:r>
              <w:rPr>
                <w:rFonts w:ascii="仿宋" w:hAnsi="仿宋" w:eastAsia="仿宋" w:cs="仿宋"/>
                <w:spacing w:val="-34"/>
              </w:rPr>
              <w:t xml:space="preserve"> </w:t>
            </w:r>
            <w:r>
              <w:rPr>
                <w:spacing w:val="-2"/>
              </w:rPr>
              <w:t>Coraciiformes</w:t>
            </w:r>
          </w:p>
        </w:tc>
        <w:tc>
          <w:tcPr>
            <w:tcW w:w="3425" w:type="dxa"/>
            <w:vAlign w:val="top"/>
          </w:tcPr>
          <w:p>
            <w:pPr>
              <w:pStyle w:val="6"/>
              <w:spacing w:before="68" w:line="197" w:lineRule="auto"/>
              <w:ind w:left="877"/>
            </w:pPr>
            <w:r>
              <w:rPr>
                <w:rFonts w:ascii="仿宋" w:hAnsi="仿宋" w:eastAsia="仿宋" w:cs="仿宋"/>
                <w:spacing w:val="-2"/>
              </w:rPr>
              <w:t>翠鸟科</w:t>
            </w:r>
            <w:r>
              <w:rPr>
                <w:rFonts w:ascii="仿宋" w:hAnsi="仿宋" w:eastAsia="仿宋" w:cs="仿宋"/>
                <w:spacing w:val="-43"/>
              </w:rPr>
              <w:t xml:space="preserve"> </w:t>
            </w:r>
            <w:r>
              <w:rPr>
                <w:spacing w:val="-2"/>
              </w:rPr>
              <w:t>Alcedinidae</w:t>
            </w:r>
          </w:p>
        </w:tc>
        <w:tc>
          <w:tcPr>
            <w:tcW w:w="1443" w:type="dxa"/>
            <w:tcBorders>
              <w:right w:val="nil"/>
            </w:tcBorders>
            <w:vAlign w:val="top"/>
          </w:tcPr>
          <w:p>
            <w:pPr>
              <w:pStyle w:val="6"/>
              <w:spacing w:before="107" w:line="184" w:lineRule="auto"/>
              <w:ind w:left="671"/>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52" w:type="dxa"/>
            <w:tcBorders>
              <w:left w:val="nil"/>
            </w:tcBorders>
            <w:vAlign w:val="top"/>
          </w:tcPr>
          <w:p>
            <w:pPr>
              <w:pStyle w:val="6"/>
              <w:spacing w:before="72" w:line="194" w:lineRule="auto"/>
              <w:ind w:left="943"/>
            </w:pPr>
            <w:r>
              <w:rPr>
                <w:rFonts w:ascii="仿宋" w:hAnsi="仿宋" w:eastAsia="仿宋" w:cs="仿宋"/>
                <w:spacing w:val="-2"/>
              </w:rPr>
              <w:t>戴胜目</w:t>
            </w:r>
            <w:r>
              <w:rPr>
                <w:rFonts w:ascii="仿宋" w:hAnsi="仿宋" w:eastAsia="仿宋" w:cs="仿宋"/>
                <w:spacing w:val="-40"/>
              </w:rPr>
              <w:t xml:space="preserve"> </w:t>
            </w:r>
            <w:r>
              <w:rPr>
                <w:spacing w:val="-2"/>
              </w:rPr>
              <w:t>Upupiformes</w:t>
            </w:r>
          </w:p>
        </w:tc>
        <w:tc>
          <w:tcPr>
            <w:tcW w:w="3425" w:type="dxa"/>
            <w:vAlign w:val="top"/>
          </w:tcPr>
          <w:p>
            <w:pPr>
              <w:pStyle w:val="6"/>
              <w:spacing w:before="72" w:line="194" w:lineRule="auto"/>
              <w:ind w:left="972"/>
            </w:pPr>
            <w:r>
              <w:rPr>
                <w:rFonts w:ascii="仿宋" w:hAnsi="仿宋" w:eastAsia="仿宋" w:cs="仿宋"/>
                <w:spacing w:val="-2"/>
              </w:rPr>
              <w:t>戴胜科</w:t>
            </w:r>
            <w:r>
              <w:rPr>
                <w:rFonts w:ascii="仿宋" w:hAnsi="仿宋" w:eastAsia="仿宋" w:cs="仿宋"/>
                <w:spacing w:val="-45"/>
              </w:rPr>
              <w:t xml:space="preserve"> </w:t>
            </w:r>
            <w:r>
              <w:rPr>
                <w:spacing w:val="-2"/>
              </w:rPr>
              <w:t>Upupidae</w:t>
            </w:r>
          </w:p>
        </w:tc>
        <w:tc>
          <w:tcPr>
            <w:tcW w:w="1443" w:type="dxa"/>
            <w:tcBorders>
              <w:right w:val="nil"/>
            </w:tcBorders>
            <w:vAlign w:val="top"/>
          </w:tcPr>
          <w:p>
            <w:pPr>
              <w:pStyle w:val="6"/>
              <w:spacing w:before="109" w:line="182"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9" w:hRule="atLeast"/>
        </w:trPr>
        <w:tc>
          <w:tcPr>
            <w:tcW w:w="3652" w:type="dxa"/>
            <w:tcBorders>
              <w:left w:val="nil"/>
              <w:bottom w:val="single" w:color="000000" w:sz="12" w:space="0"/>
            </w:tcBorders>
            <w:vAlign w:val="top"/>
          </w:tcPr>
          <w:p>
            <w:pPr>
              <w:pStyle w:val="6"/>
              <w:spacing w:before="73" w:line="216" w:lineRule="auto"/>
              <w:ind w:left="1054"/>
            </w:pPr>
            <w:r>
              <w:rPr>
                <w:rFonts w:ascii="仿宋" w:hAnsi="仿宋" w:eastAsia="仿宋" w:cs="仿宋"/>
                <w:spacing w:val="-3"/>
              </w:rPr>
              <w:t>鸳形目</w:t>
            </w:r>
            <w:r>
              <w:rPr>
                <w:rFonts w:ascii="仿宋" w:hAnsi="仿宋" w:eastAsia="仿宋" w:cs="仿宋"/>
                <w:spacing w:val="-39"/>
              </w:rPr>
              <w:t xml:space="preserve"> </w:t>
            </w:r>
            <w:r>
              <w:rPr>
                <w:spacing w:val="-3"/>
              </w:rPr>
              <w:t>Piciformes</w:t>
            </w:r>
          </w:p>
        </w:tc>
        <w:tc>
          <w:tcPr>
            <w:tcW w:w="3425" w:type="dxa"/>
            <w:tcBorders>
              <w:bottom w:val="single" w:color="000000" w:sz="12" w:space="0"/>
            </w:tcBorders>
            <w:vAlign w:val="top"/>
          </w:tcPr>
          <w:p>
            <w:pPr>
              <w:pStyle w:val="6"/>
              <w:spacing w:before="72" w:line="213" w:lineRule="auto"/>
              <w:ind w:left="874"/>
            </w:pPr>
            <w:r>
              <w:rPr>
                <w:rFonts w:ascii="仿宋" w:hAnsi="仿宋" w:eastAsia="仿宋" w:cs="仿宋"/>
                <w:spacing w:val="-2"/>
              </w:rPr>
              <w:t>拟鸳科</w:t>
            </w:r>
            <w:r>
              <w:rPr>
                <w:rFonts w:ascii="仿宋" w:hAnsi="仿宋" w:eastAsia="仿宋" w:cs="仿宋"/>
                <w:spacing w:val="-40"/>
              </w:rPr>
              <w:t xml:space="preserve"> </w:t>
            </w:r>
            <w:r>
              <w:rPr>
                <w:spacing w:val="-2"/>
              </w:rPr>
              <w:t>Capitonidae</w:t>
            </w:r>
          </w:p>
        </w:tc>
        <w:tc>
          <w:tcPr>
            <w:tcW w:w="1443" w:type="dxa"/>
            <w:tcBorders>
              <w:bottom w:val="single" w:color="000000" w:sz="12" w:space="0"/>
              <w:right w:val="nil"/>
            </w:tcBorders>
            <w:vAlign w:val="top"/>
          </w:tcPr>
          <w:p>
            <w:pPr>
              <w:pStyle w:val="6"/>
              <w:spacing w:before="112" w:line="186" w:lineRule="auto"/>
              <w:ind w:left="671"/>
            </w:pPr>
            <w:r>
              <w:t>2</w:t>
            </w:r>
          </w:p>
        </w:tc>
      </w:tr>
    </w:tbl>
    <w:p>
      <w:pPr>
        <w:spacing w:line="79" w:lineRule="exact"/>
        <w:rPr>
          <w:rFonts w:ascii="Arial"/>
          <w:sz w:val="6"/>
        </w:rPr>
      </w:pPr>
    </w:p>
    <w:p>
      <w:pPr>
        <w:spacing w:line="79" w:lineRule="exact"/>
        <w:rPr>
          <w:rFonts w:ascii="Arial" w:hAnsi="Arial" w:eastAsia="Arial" w:cs="Arial"/>
          <w:sz w:val="6"/>
          <w:szCs w:val="6"/>
        </w:rPr>
        <w:sectPr>
          <w:headerReference r:id="rId304" w:type="default"/>
          <w:footerReference r:id="rId305" w:type="default"/>
          <w:pgSz w:w="11907" w:h="16839"/>
          <w:pgMar w:top="1156" w:right="1692" w:bottom="1374" w:left="1693" w:header="881" w:footer="1210" w:gutter="0"/>
        </w:sectPr>
      </w:pPr>
    </w:p>
    <w:p>
      <w:pPr>
        <w:spacing w:before="41"/>
      </w:pPr>
    </w:p>
    <w:tbl>
      <w:tblPr>
        <w:tblStyle w:val="5"/>
        <w:tblW w:w="853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66"/>
        <w:gridCol w:w="3425"/>
        <w:gridCol w:w="14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3" w:hRule="atLeast"/>
        </w:trPr>
        <w:tc>
          <w:tcPr>
            <w:tcW w:w="3666" w:type="dxa"/>
            <w:tcBorders>
              <w:top w:val="single" w:color="000000" w:sz="12" w:space="0"/>
              <w:left w:val="nil"/>
            </w:tcBorders>
            <w:vAlign w:val="top"/>
          </w:tcPr>
          <w:p>
            <w:pPr>
              <w:spacing w:before="64" w:line="222" w:lineRule="auto"/>
              <w:ind w:left="1786"/>
              <w:rPr>
                <w:rFonts w:ascii="仿宋" w:hAnsi="仿宋" w:eastAsia="仿宋" w:cs="仿宋"/>
                <w:sz w:val="21"/>
                <w:szCs w:val="21"/>
              </w:rPr>
            </w:pPr>
            <w:r>
              <w:rPr>
                <w:rFonts w:ascii="仿宋" w:hAnsi="仿宋" w:eastAsia="仿宋" w:cs="仿宋"/>
                <w:sz w:val="21"/>
                <w:szCs w:val="21"/>
              </w:rPr>
              <w:t>目</w:t>
            </w:r>
          </w:p>
        </w:tc>
        <w:tc>
          <w:tcPr>
            <w:tcW w:w="3425" w:type="dxa"/>
            <w:tcBorders>
              <w:top w:val="single" w:color="000000" w:sz="12" w:space="0"/>
            </w:tcBorders>
            <w:vAlign w:val="top"/>
          </w:tcPr>
          <w:p>
            <w:pPr>
              <w:spacing w:before="64" w:line="218" w:lineRule="auto"/>
              <w:ind w:left="1618"/>
              <w:rPr>
                <w:rFonts w:ascii="仿宋" w:hAnsi="仿宋" w:eastAsia="仿宋" w:cs="仿宋"/>
                <w:sz w:val="21"/>
                <w:szCs w:val="21"/>
              </w:rPr>
            </w:pPr>
            <w:r>
              <w:rPr>
                <w:rFonts w:ascii="仿宋" w:hAnsi="仿宋" w:eastAsia="仿宋" w:cs="仿宋"/>
                <w:sz w:val="21"/>
                <w:szCs w:val="21"/>
              </w:rPr>
              <w:t>科</w:t>
            </w:r>
          </w:p>
        </w:tc>
        <w:tc>
          <w:tcPr>
            <w:tcW w:w="1444" w:type="dxa"/>
            <w:tcBorders>
              <w:top w:val="single" w:color="000000" w:sz="12" w:space="0"/>
              <w:right w:val="nil"/>
            </w:tcBorders>
            <w:vAlign w:val="top"/>
          </w:tcPr>
          <w:p>
            <w:pPr>
              <w:spacing w:before="64" w:line="219" w:lineRule="auto"/>
              <w:ind w:left="522"/>
              <w:rPr>
                <w:rFonts w:ascii="仿宋" w:hAnsi="仿宋" w:eastAsia="仿宋" w:cs="仿宋"/>
                <w:sz w:val="21"/>
                <w:szCs w:val="21"/>
              </w:rPr>
            </w:pPr>
            <w:r>
              <w:rPr>
                <w:rFonts w:ascii="仿宋" w:hAnsi="仿宋" w:eastAsia="仿宋" w:cs="仿宋"/>
                <w:spacing w:val="-4"/>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3666" w:type="dxa"/>
            <w:tcBorders>
              <w:left w:val="nil"/>
            </w:tcBorders>
            <w:vAlign w:val="top"/>
          </w:tcPr>
          <w:p>
            <w:pPr>
              <w:rPr>
                <w:rFonts w:ascii="Arial"/>
                <w:sz w:val="21"/>
              </w:rPr>
            </w:pPr>
          </w:p>
        </w:tc>
        <w:tc>
          <w:tcPr>
            <w:tcW w:w="3425" w:type="dxa"/>
            <w:vAlign w:val="top"/>
          </w:tcPr>
          <w:p>
            <w:pPr>
              <w:pStyle w:val="6"/>
              <w:spacing w:before="46" w:line="217" w:lineRule="auto"/>
              <w:ind w:left="976"/>
            </w:pPr>
            <w:r>
              <w:rPr>
                <w:rFonts w:ascii="仿宋" w:hAnsi="仿宋" w:eastAsia="仿宋" w:cs="仿宋"/>
                <w:spacing w:val="-3"/>
              </w:rPr>
              <w:t>啄木鸟科</w:t>
            </w:r>
            <w:r>
              <w:rPr>
                <w:rFonts w:ascii="仿宋" w:hAnsi="仿宋" w:eastAsia="仿宋" w:cs="仿宋"/>
                <w:spacing w:val="-44"/>
              </w:rPr>
              <w:t xml:space="preserve"> </w:t>
            </w:r>
            <w:r>
              <w:rPr>
                <w:spacing w:val="-3"/>
              </w:rPr>
              <w:t>Picidae</w:t>
            </w:r>
          </w:p>
        </w:tc>
        <w:tc>
          <w:tcPr>
            <w:tcW w:w="1444" w:type="dxa"/>
            <w:tcBorders>
              <w:right w:val="nil"/>
            </w:tcBorders>
            <w:vAlign w:val="top"/>
          </w:tcPr>
          <w:p>
            <w:pPr>
              <w:pStyle w:val="6"/>
              <w:spacing w:before="84" w:line="186" w:lineRule="auto"/>
              <w:ind w:left="676"/>
            </w:pPr>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66" w:type="dxa"/>
            <w:vMerge w:val="restart"/>
            <w:tcBorders>
              <w:left w:val="nil"/>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8" w:line="219" w:lineRule="auto"/>
              <w:ind w:left="923"/>
            </w:pPr>
            <w:r>
              <w:rPr>
                <w:rFonts w:ascii="仿宋" w:hAnsi="仿宋" w:eastAsia="仿宋" w:cs="仿宋"/>
                <w:spacing w:val="-2"/>
              </w:rPr>
              <w:t>雀形目</w:t>
            </w:r>
            <w:r>
              <w:rPr>
                <w:rFonts w:ascii="仿宋" w:hAnsi="仿宋" w:eastAsia="仿宋" w:cs="仿宋"/>
                <w:spacing w:val="-35"/>
              </w:rPr>
              <w:t xml:space="preserve"> </w:t>
            </w:r>
            <w:r>
              <w:rPr>
                <w:spacing w:val="-2"/>
              </w:rPr>
              <w:t>Passeriformes</w:t>
            </w:r>
          </w:p>
        </w:tc>
        <w:tc>
          <w:tcPr>
            <w:tcW w:w="3425" w:type="dxa"/>
            <w:vAlign w:val="top"/>
          </w:tcPr>
          <w:p>
            <w:pPr>
              <w:pStyle w:val="6"/>
              <w:spacing w:before="45" w:line="216" w:lineRule="auto"/>
              <w:ind w:left="960"/>
            </w:pPr>
            <w:r>
              <w:rPr>
                <w:rFonts w:ascii="仿宋" w:hAnsi="仿宋" w:eastAsia="仿宋" w:cs="仿宋"/>
                <w:spacing w:val="-3"/>
              </w:rPr>
              <w:t>百灵科</w:t>
            </w:r>
            <w:r>
              <w:rPr>
                <w:rFonts w:ascii="仿宋" w:hAnsi="仿宋" w:eastAsia="仿宋" w:cs="仿宋"/>
                <w:spacing w:val="-42"/>
              </w:rPr>
              <w:t xml:space="preserve"> </w:t>
            </w:r>
            <w:r>
              <w:rPr>
                <w:spacing w:val="-3"/>
              </w:rPr>
              <w:t>Alaudidae</w:t>
            </w:r>
          </w:p>
        </w:tc>
        <w:tc>
          <w:tcPr>
            <w:tcW w:w="1444" w:type="dxa"/>
            <w:tcBorders>
              <w:right w:val="nil"/>
            </w:tcBorders>
            <w:vAlign w:val="top"/>
          </w:tcPr>
          <w:p>
            <w:pPr>
              <w:pStyle w:val="6"/>
              <w:spacing w:before="84" w:line="186" w:lineRule="auto"/>
              <w:ind w:left="69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47" w:line="216" w:lineRule="auto"/>
              <w:ind w:left="935"/>
            </w:pPr>
            <w:r>
              <w:rPr>
                <w:rFonts w:ascii="仿宋" w:hAnsi="仿宋" w:eastAsia="仿宋" w:cs="仿宋"/>
                <w:spacing w:val="-2"/>
              </w:rPr>
              <w:t>燕科</w:t>
            </w:r>
            <w:r>
              <w:rPr>
                <w:rFonts w:ascii="仿宋" w:hAnsi="仿宋" w:eastAsia="仿宋" w:cs="仿宋"/>
                <w:spacing w:val="-43"/>
              </w:rPr>
              <w:t xml:space="preserve"> </w:t>
            </w:r>
            <w:r>
              <w:rPr>
                <w:spacing w:val="-2"/>
              </w:rPr>
              <w:t>Hirundinidae</w:t>
            </w:r>
          </w:p>
        </w:tc>
        <w:tc>
          <w:tcPr>
            <w:tcW w:w="1444" w:type="dxa"/>
            <w:tcBorders>
              <w:right w:val="nil"/>
            </w:tcBorders>
            <w:vAlign w:val="top"/>
          </w:tcPr>
          <w:p>
            <w:pPr>
              <w:pStyle w:val="6"/>
              <w:spacing w:before="86" w:line="186" w:lineRule="auto"/>
              <w:ind w:left="67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49" w:line="216" w:lineRule="auto"/>
              <w:ind w:left="851"/>
            </w:pPr>
            <w:r>
              <w:rPr>
                <w:rFonts w:ascii="仿宋" w:hAnsi="仿宋" w:eastAsia="仿宋" w:cs="仿宋"/>
                <w:spacing w:val="-2"/>
              </w:rPr>
              <w:t>鹡鸰科</w:t>
            </w:r>
            <w:r>
              <w:rPr>
                <w:rFonts w:ascii="仿宋" w:hAnsi="仿宋" w:eastAsia="仿宋" w:cs="仿宋"/>
                <w:spacing w:val="-38"/>
              </w:rPr>
              <w:t xml:space="preserve"> </w:t>
            </w:r>
            <w:r>
              <w:rPr>
                <w:spacing w:val="-2"/>
              </w:rPr>
              <w:t>Motacillidae</w:t>
            </w:r>
          </w:p>
        </w:tc>
        <w:tc>
          <w:tcPr>
            <w:tcW w:w="1444" w:type="dxa"/>
            <w:tcBorders>
              <w:right w:val="nil"/>
            </w:tcBorders>
            <w:vAlign w:val="top"/>
          </w:tcPr>
          <w:p>
            <w:pPr>
              <w:pStyle w:val="6"/>
              <w:spacing w:before="91" w:line="183" w:lineRule="auto"/>
              <w:ind w:left="677"/>
            </w:pPr>
            <w: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49" w:line="212" w:lineRule="auto"/>
              <w:ind w:left="917"/>
            </w:pPr>
            <w:r>
              <w:rPr>
                <w:rFonts w:ascii="仿宋" w:hAnsi="仿宋" w:eastAsia="仿宋" w:cs="仿宋"/>
                <w:spacing w:val="-2"/>
              </w:rPr>
              <w:t>鹎科</w:t>
            </w:r>
            <w:r>
              <w:rPr>
                <w:rFonts w:ascii="仿宋" w:hAnsi="仿宋" w:eastAsia="仿宋" w:cs="仿宋"/>
                <w:spacing w:val="-41"/>
              </w:rPr>
              <w:t xml:space="preserve"> </w:t>
            </w:r>
            <w:r>
              <w:rPr>
                <w:spacing w:val="-2"/>
              </w:rPr>
              <w:t>Pycnonotidae</w:t>
            </w:r>
          </w:p>
        </w:tc>
        <w:tc>
          <w:tcPr>
            <w:tcW w:w="1444" w:type="dxa"/>
            <w:tcBorders>
              <w:right w:val="nil"/>
            </w:tcBorders>
            <w:vAlign w:val="top"/>
          </w:tcPr>
          <w:p>
            <w:pPr>
              <w:pStyle w:val="6"/>
              <w:spacing w:before="90" w:line="183" w:lineRule="auto"/>
              <w:ind w:left="675"/>
            </w:pPr>
            <w: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52" w:line="212" w:lineRule="auto"/>
              <w:ind w:left="618"/>
            </w:pPr>
            <w:r>
              <w:rPr>
                <w:rFonts w:ascii="仿宋" w:hAnsi="仿宋" w:eastAsia="仿宋" w:cs="仿宋"/>
                <w:spacing w:val="-3"/>
              </w:rPr>
              <w:t>山椒鸟科</w:t>
            </w:r>
            <w:r>
              <w:rPr>
                <w:rFonts w:ascii="仿宋" w:hAnsi="仿宋" w:eastAsia="仿宋" w:cs="仿宋"/>
                <w:spacing w:val="-35"/>
              </w:rPr>
              <w:t xml:space="preserve"> </w:t>
            </w:r>
            <w:r>
              <w:rPr>
                <w:spacing w:val="-3"/>
              </w:rPr>
              <w:t>Campephagidae</w:t>
            </w:r>
          </w:p>
        </w:tc>
        <w:tc>
          <w:tcPr>
            <w:tcW w:w="1444" w:type="dxa"/>
            <w:tcBorders>
              <w:right w:val="nil"/>
            </w:tcBorders>
            <w:vAlign w:val="top"/>
          </w:tcPr>
          <w:p>
            <w:pPr>
              <w:pStyle w:val="6"/>
              <w:spacing w:before="90" w:line="186" w:lineRule="auto"/>
              <w:ind w:left="69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52" w:line="213" w:lineRule="auto"/>
              <w:ind w:left="1014"/>
            </w:pPr>
            <w:r>
              <w:rPr>
                <w:rFonts w:ascii="仿宋" w:hAnsi="仿宋" w:eastAsia="仿宋" w:cs="仿宋"/>
                <w:spacing w:val="-2"/>
              </w:rPr>
              <w:t>伯劳科</w:t>
            </w:r>
            <w:r>
              <w:rPr>
                <w:rFonts w:ascii="仿宋" w:hAnsi="仿宋" w:eastAsia="仿宋" w:cs="仿宋"/>
                <w:spacing w:val="-46"/>
              </w:rPr>
              <w:t xml:space="preserve"> </w:t>
            </w:r>
            <w:r>
              <w:rPr>
                <w:spacing w:val="-2"/>
              </w:rPr>
              <w:t>Laniidae</w:t>
            </w:r>
          </w:p>
        </w:tc>
        <w:tc>
          <w:tcPr>
            <w:tcW w:w="1444" w:type="dxa"/>
            <w:tcBorders>
              <w:right w:val="nil"/>
            </w:tcBorders>
            <w:vAlign w:val="top"/>
          </w:tcPr>
          <w:p>
            <w:pPr>
              <w:pStyle w:val="6"/>
              <w:spacing w:before="91" w:line="186" w:lineRule="auto"/>
              <w:ind w:left="67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51" w:line="212" w:lineRule="auto"/>
              <w:ind w:left="984"/>
            </w:pPr>
            <w:r>
              <w:rPr>
                <w:rFonts w:ascii="仿宋" w:hAnsi="仿宋" w:eastAsia="仿宋" w:cs="仿宋"/>
                <w:spacing w:val="-2"/>
              </w:rPr>
              <w:t>黄鹂科</w:t>
            </w:r>
            <w:r>
              <w:rPr>
                <w:rFonts w:ascii="仿宋" w:hAnsi="仿宋" w:eastAsia="仿宋" w:cs="仿宋"/>
                <w:spacing w:val="-43"/>
              </w:rPr>
              <w:t xml:space="preserve"> </w:t>
            </w:r>
            <w:r>
              <w:rPr>
                <w:spacing w:val="-2"/>
              </w:rPr>
              <w:t>Oriolidae</w:t>
            </w:r>
          </w:p>
        </w:tc>
        <w:tc>
          <w:tcPr>
            <w:tcW w:w="1444" w:type="dxa"/>
            <w:tcBorders>
              <w:right w:val="nil"/>
            </w:tcBorders>
            <w:vAlign w:val="top"/>
          </w:tcPr>
          <w:p>
            <w:pPr>
              <w:pStyle w:val="6"/>
              <w:spacing w:before="91" w:line="186" w:lineRule="auto"/>
              <w:ind w:left="69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55" w:line="210" w:lineRule="auto"/>
              <w:ind w:left="932"/>
            </w:pPr>
            <w:r>
              <w:rPr>
                <w:rFonts w:ascii="仿宋" w:hAnsi="仿宋" w:eastAsia="仿宋" w:cs="仿宋"/>
                <w:spacing w:val="-2"/>
              </w:rPr>
              <w:t>卷尾科</w:t>
            </w:r>
            <w:r>
              <w:rPr>
                <w:rFonts w:ascii="仿宋" w:hAnsi="仿宋" w:eastAsia="仿宋" w:cs="仿宋"/>
                <w:spacing w:val="-41"/>
              </w:rPr>
              <w:t xml:space="preserve"> </w:t>
            </w:r>
            <w:r>
              <w:rPr>
                <w:spacing w:val="-2"/>
              </w:rPr>
              <w:t>Dicruridae</w:t>
            </w:r>
          </w:p>
        </w:tc>
        <w:tc>
          <w:tcPr>
            <w:tcW w:w="1444" w:type="dxa"/>
            <w:tcBorders>
              <w:right w:val="nil"/>
            </w:tcBorders>
            <w:vAlign w:val="top"/>
          </w:tcPr>
          <w:p>
            <w:pPr>
              <w:pStyle w:val="6"/>
              <w:spacing w:before="93" w:line="186" w:lineRule="auto"/>
              <w:ind w:left="67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56" w:line="210" w:lineRule="auto"/>
              <w:ind w:left="1099"/>
            </w:pPr>
            <w:r>
              <w:rPr>
                <w:rFonts w:ascii="仿宋" w:hAnsi="仿宋" w:eastAsia="仿宋" w:cs="仿宋"/>
                <w:spacing w:val="-2"/>
              </w:rPr>
              <w:t>鸦科</w:t>
            </w:r>
            <w:r>
              <w:rPr>
                <w:rFonts w:ascii="仿宋" w:hAnsi="仿宋" w:eastAsia="仿宋" w:cs="仿宋"/>
                <w:spacing w:val="-45"/>
              </w:rPr>
              <w:t xml:space="preserve"> </w:t>
            </w:r>
            <w:r>
              <w:rPr>
                <w:spacing w:val="-2"/>
              </w:rPr>
              <w:t>Corvidae</w:t>
            </w:r>
          </w:p>
        </w:tc>
        <w:tc>
          <w:tcPr>
            <w:tcW w:w="1444" w:type="dxa"/>
            <w:tcBorders>
              <w:right w:val="nil"/>
            </w:tcBorders>
            <w:vAlign w:val="top"/>
          </w:tcPr>
          <w:p>
            <w:pPr>
              <w:pStyle w:val="6"/>
              <w:spacing w:before="94" w:line="186" w:lineRule="auto"/>
              <w:ind w:left="671"/>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55" w:line="209" w:lineRule="auto"/>
              <w:ind w:left="1109"/>
            </w:pPr>
            <w:r>
              <w:rPr>
                <w:rFonts w:ascii="仿宋" w:hAnsi="仿宋" w:eastAsia="仿宋" w:cs="仿宋"/>
                <w:spacing w:val="-3"/>
              </w:rPr>
              <w:t>鸫科</w:t>
            </w:r>
            <w:r>
              <w:rPr>
                <w:rFonts w:ascii="仿宋" w:hAnsi="仿宋" w:eastAsia="仿宋" w:cs="仿宋"/>
                <w:spacing w:val="-39"/>
              </w:rPr>
              <w:t xml:space="preserve"> </w:t>
            </w:r>
            <w:r>
              <w:rPr>
                <w:spacing w:val="-3"/>
              </w:rPr>
              <w:t>Turdidae</w:t>
            </w:r>
          </w:p>
        </w:tc>
        <w:tc>
          <w:tcPr>
            <w:tcW w:w="1444" w:type="dxa"/>
            <w:tcBorders>
              <w:right w:val="nil"/>
            </w:tcBorders>
            <w:vAlign w:val="top"/>
          </w:tcPr>
          <w:p>
            <w:pPr>
              <w:pStyle w:val="6"/>
              <w:spacing w:before="93" w:line="186" w:lineRule="auto"/>
              <w:ind w:left="676"/>
            </w:pPr>
            <w: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58" w:line="207" w:lineRule="auto"/>
              <w:ind w:left="905"/>
            </w:pPr>
            <w:r>
              <w:rPr>
                <w:rFonts w:ascii="仿宋" w:hAnsi="仿宋" w:eastAsia="仿宋" w:cs="仿宋"/>
                <w:spacing w:val="-2"/>
              </w:rPr>
              <w:t>鹟科</w:t>
            </w:r>
            <w:r>
              <w:rPr>
                <w:rFonts w:ascii="仿宋" w:hAnsi="仿宋" w:eastAsia="仿宋" w:cs="仿宋"/>
                <w:spacing w:val="-40"/>
              </w:rPr>
              <w:t xml:space="preserve"> </w:t>
            </w:r>
            <w:r>
              <w:rPr>
                <w:spacing w:val="-2"/>
              </w:rPr>
              <w:t>Muscicapidae</w:t>
            </w:r>
          </w:p>
        </w:tc>
        <w:tc>
          <w:tcPr>
            <w:tcW w:w="1444" w:type="dxa"/>
            <w:tcBorders>
              <w:right w:val="nil"/>
            </w:tcBorders>
            <w:vAlign w:val="top"/>
          </w:tcPr>
          <w:p>
            <w:pPr>
              <w:pStyle w:val="6"/>
              <w:spacing w:before="96" w:line="186" w:lineRule="auto"/>
              <w:ind w:left="67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58" w:line="208" w:lineRule="auto"/>
              <w:ind w:left="731"/>
            </w:pPr>
            <w:r>
              <w:rPr>
                <w:rFonts w:ascii="仿宋" w:hAnsi="仿宋" w:eastAsia="仿宋" w:cs="仿宋"/>
                <w:spacing w:val="-2"/>
              </w:rPr>
              <w:t>扇尾鹟科</w:t>
            </w:r>
            <w:r>
              <w:rPr>
                <w:rFonts w:ascii="仿宋" w:hAnsi="仿宋" w:eastAsia="仿宋" w:cs="仿宋"/>
                <w:spacing w:val="-38"/>
              </w:rPr>
              <w:t xml:space="preserve"> </w:t>
            </w:r>
            <w:r>
              <w:rPr>
                <w:spacing w:val="-2"/>
              </w:rPr>
              <w:t>Rhipiduridae</w:t>
            </w:r>
          </w:p>
        </w:tc>
        <w:tc>
          <w:tcPr>
            <w:tcW w:w="1444" w:type="dxa"/>
            <w:tcBorders>
              <w:right w:val="nil"/>
            </w:tcBorders>
            <w:vAlign w:val="top"/>
          </w:tcPr>
          <w:p>
            <w:pPr>
              <w:pStyle w:val="6"/>
              <w:spacing w:before="97" w:line="186" w:lineRule="auto"/>
              <w:ind w:left="69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58" w:line="206" w:lineRule="auto"/>
              <w:ind w:left="941"/>
            </w:pPr>
            <w:r>
              <w:rPr>
                <w:rFonts w:ascii="仿宋" w:hAnsi="仿宋" w:eastAsia="仿宋" w:cs="仿宋"/>
                <w:spacing w:val="-3"/>
              </w:rPr>
              <w:t>画眉科</w:t>
            </w:r>
            <w:r>
              <w:rPr>
                <w:rFonts w:ascii="仿宋" w:hAnsi="仿宋" w:eastAsia="仿宋" w:cs="仿宋"/>
                <w:spacing w:val="-44"/>
              </w:rPr>
              <w:t xml:space="preserve"> </w:t>
            </w:r>
            <w:r>
              <w:rPr>
                <w:spacing w:val="-3"/>
              </w:rPr>
              <w:t>Timaliidae</w:t>
            </w:r>
          </w:p>
        </w:tc>
        <w:tc>
          <w:tcPr>
            <w:tcW w:w="1444" w:type="dxa"/>
            <w:tcBorders>
              <w:right w:val="nil"/>
            </w:tcBorders>
            <w:vAlign w:val="top"/>
          </w:tcPr>
          <w:p>
            <w:pPr>
              <w:pStyle w:val="6"/>
              <w:spacing w:before="96" w:line="186" w:lineRule="auto"/>
              <w:ind w:left="676"/>
            </w:pPr>
            <w: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60" w:line="205" w:lineRule="auto"/>
              <w:ind w:left="609"/>
            </w:pPr>
            <w:r>
              <w:rPr>
                <w:rFonts w:ascii="仿宋" w:hAnsi="仿宋" w:eastAsia="仿宋" w:cs="仿宋"/>
                <w:spacing w:val="-1"/>
              </w:rPr>
              <w:t>鸦雀科</w:t>
            </w:r>
            <w:r>
              <w:rPr>
                <w:rFonts w:ascii="仿宋" w:hAnsi="仿宋" w:eastAsia="仿宋" w:cs="仿宋"/>
                <w:spacing w:val="-45"/>
              </w:rPr>
              <w:t xml:space="preserve"> </w:t>
            </w:r>
            <w:r>
              <w:rPr>
                <w:spacing w:val="-1"/>
              </w:rPr>
              <w:t>Paradoxornithidae</w:t>
            </w:r>
          </w:p>
        </w:tc>
        <w:tc>
          <w:tcPr>
            <w:tcW w:w="1444" w:type="dxa"/>
            <w:tcBorders>
              <w:right w:val="nil"/>
            </w:tcBorders>
            <w:vAlign w:val="top"/>
          </w:tcPr>
          <w:p>
            <w:pPr>
              <w:pStyle w:val="6"/>
              <w:spacing w:before="99" w:line="186" w:lineRule="auto"/>
              <w:ind w:left="67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61" w:line="205" w:lineRule="auto"/>
              <w:ind w:left="778"/>
            </w:pPr>
            <w:r>
              <w:rPr>
                <w:rFonts w:ascii="仿宋" w:hAnsi="仿宋" w:eastAsia="仿宋" w:cs="仿宋"/>
                <w:spacing w:val="-2"/>
              </w:rPr>
              <w:t>扇尾莺科</w:t>
            </w:r>
            <w:r>
              <w:rPr>
                <w:rFonts w:ascii="仿宋" w:hAnsi="仿宋" w:eastAsia="仿宋" w:cs="仿宋"/>
                <w:spacing w:val="-39"/>
              </w:rPr>
              <w:t xml:space="preserve"> </w:t>
            </w:r>
            <w:r>
              <w:rPr>
                <w:spacing w:val="-2"/>
              </w:rPr>
              <w:t>Cisticolidae</w:t>
            </w:r>
          </w:p>
        </w:tc>
        <w:tc>
          <w:tcPr>
            <w:tcW w:w="1444" w:type="dxa"/>
            <w:tcBorders>
              <w:right w:val="nil"/>
            </w:tcBorders>
            <w:vAlign w:val="top"/>
          </w:tcPr>
          <w:p>
            <w:pPr>
              <w:pStyle w:val="6"/>
              <w:spacing w:before="100" w:line="186" w:lineRule="auto"/>
              <w:ind w:left="67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61" w:line="204" w:lineRule="auto"/>
              <w:ind w:left="1099"/>
            </w:pPr>
            <w:r>
              <w:rPr>
                <w:rFonts w:ascii="仿宋" w:hAnsi="仿宋" w:eastAsia="仿宋" w:cs="仿宋"/>
                <w:spacing w:val="-4"/>
              </w:rPr>
              <w:t>莺科</w:t>
            </w:r>
            <w:r>
              <w:rPr>
                <w:rFonts w:ascii="仿宋" w:hAnsi="仿宋" w:eastAsia="仿宋" w:cs="仿宋"/>
                <w:spacing w:val="-34"/>
              </w:rPr>
              <w:t xml:space="preserve"> </w:t>
            </w:r>
            <w:r>
              <w:rPr>
                <w:spacing w:val="-4"/>
              </w:rPr>
              <w:t>Sylviidae</w:t>
            </w:r>
          </w:p>
        </w:tc>
        <w:tc>
          <w:tcPr>
            <w:tcW w:w="1444" w:type="dxa"/>
            <w:tcBorders>
              <w:right w:val="nil"/>
            </w:tcBorders>
            <w:vAlign w:val="top"/>
          </w:tcPr>
          <w:p>
            <w:pPr>
              <w:pStyle w:val="6"/>
              <w:spacing w:before="100" w:line="186" w:lineRule="auto"/>
              <w:ind w:left="671"/>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63" w:line="202" w:lineRule="auto"/>
              <w:ind w:left="731"/>
            </w:pPr>
            <w:r>
              <w:rPr>
                <w:rFonts w:ascii="仿宋" w:hAnsi="仿宋" w:eastAsia="仿宋" w:cs="仿宋"/>
                <w:spacing w:val="-2"/>
              </w:rPr>
              <w:t>绣眼鸟科</w:t>
            </w:r>
            <w:r>
              <w:rPr>
                <w:rFonts w:ascii="仿宋" w:hAnsi="仿宋" w:eastAsia="仿宋" w:cs="仿宋"/>
                <w:spacing w:val="-39"/>
              </w:rPr>
              <w:t xml:space="preserve"> </w:t>
            </w:r>
            <w:r>
              <w:rPr>
                <w:spacing w:val="-2"/>
              </w:rPr>
              <w:t>Zosteropidae</w:t>
            </w:r>
          </w:p>
        </w:tc>
        <w:tc>
          <w:tcPr>
            <w:tcW w:w="1444" w:type="dxa"/>
            <w:tcBorders>
              <w:right w:val="nil"/>
            </w:tcBorders>
            <w:vAlign w:val="top"/>
          </w:tcPr>
          <w:p>
            <w:pPr>
              <w:pStyle w:val="6"/>
              <w:spacing w:before="101" w:line="186" w:lineRule="auto"/>
              <w:ind w:left="67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65" w:line="202" w:lineRule="auto"/>
              <w:ind w:left="634"/>
            </w:pPr>
            <w:r>
              <w:rPr>
                <w:rFonts w:ascii="仿宋" w:hAnsi="仿宋" w:eastAsia="仿宋" w:cs="仿宋"/>
                <w:spacing w:val="-1"/>
              </w:rPr>
              <w:t>长尾山雀科</w:t>
            </w:r>
            <w:r>
              <w:rPr>
                <w:rFonts w:ascii="仿宋" w:hAnsi="仿宋" w:eastAsia="仿宋" w:cs="仿宋"/>
                <w:spacing w:val="-50"/>
              </w:rPr>
              <w:t xml:space="preserve"> </w:t>
            </w:r>
            <w:r>
              <w:rPr>
                <w:spacing w:val="-1"/>
              </w:rPr>
              <w:t>Aegithalidae</w:t>
            </w:r>
          </w:p>
        </w:tc>
        <w:tc>
          <w:tcPr>
            <w:tcW w:w="1444" w:type="dxa"/>
            <w:tcBorders>
              <w:right w:val="nil"/>
            </w:tcBorders>
            <w:vAlign w:val="top"/>
          </w:tcPr>
          <w:p>
            <w:pPr>
              <w:pStyle w:val="6"/>
              <w:spacing w:before="103" w:line="186" w:lineRule="auto"/>
              <w:ind w:left="69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64" w:line="202" w:lineRule="auto"/>
              <w:ind w:left="1085"/>
            </w:pPr>
            <w:r>
              <w:rPr>
                <w:rFonts w:ascii="仿宋" w:hAnsi="仿宋" w:eastAsia="仿宋" w:cs="仿宋"/>
                <w:spacing w:val="-4"/>
              </w:rPr>
              <w:t>山雀科</w:t>
            </w:r>
            <w:r>
              <w:rPr>
                <w:rFonts w:ascii="仿宋" w:hAnsi="仿宋" w:eastAsia="仿宋" w:cs="仿宋"/>
                <w:spacing w:val="-46"/>
              </w:rPr>
              <w:t xml:space="preserve"> </w:t>
            </w:r>
            <w:r>
              <w:rPr>
                <w:spacing w:val="-4"/>
              </w:rPr>
              <w:t>Paridae</w:t>
            </w:r>
          </w:p>
        </w:tc>
        <w:tc>
          <w:tcPr>
            <w:tcW w:w="1444" w:type="dxa"/>
            <w:tcBorders>
              <w:right w:val="nil"/>
            </w:tcBorders>
            <w:vAlign w:val="top"/>
          </w:tcPr>
          <w:p>
            <w:pPr>
              <w:pStyle w:val="6"/>
              <w:spacing w:before="103" w:line="186" w:lineRule="auto"/>
              <w:ind w:left="67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66" w:line="199" w:lineRule="auto"/>
              <w:ind w:left="1172"/>
            </w:pPr>
            <w:r>
              <w:rPr>
                <w:rFonts w:ascii="仿宋" w:hAnsi="仿宋" w:eastAsia="仿宋" w:cs="仿宋"/>
                <w:spacing w:val="-4"/>
              </w:rPr>
              <w:t>䴓科</w:t>
            </w:r>
            <w:r>
              <w:rPr>
                <w:rFonts w:ascii="仿宋" w:hAnsi="仿宋" w:eastAsia="仿宋" w:cs="仿宋"/>
                <w:spacing w:val="-33"/>
              </w:rPr>
              <w:t xml:space="preserve"> </w:t>
            </w:r>
            <w:r>
              <w:rPr>
                <w:spacing w:val="-4"/>
              </w:rPr>
              <w:t>Sittidae</w:t>
            </w:r>
          </w:p>
        </w:tc>
        <w:tc>
          <w:tcPr>
            <w:tcW w:w="1444" w:type="dxa"/>
            <w:tcBorders>
              <w:right w:val="nil"/>
            </w:tcBorders>
            <w:vAlign w:val="top"/>
          </w:tcPr>
          <w:p>
            <w:pPr>
              <w:pStyle w:val="6"/>
              <w:spacing w:before="104" w:line="186" w:lineRule="auto"/>
              <w:ind w:left="69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68" w:line="199" w:lineRule="auto"/>
              <w:ind w:left="866"/>
            </w:pPr>
            <w:r>
              <w:rPr>
                <w:rFonts w:ascii="仿宋" w:hAnsi="仿宋" w:eastAsia="仿宋" w:cs="仿宋"/>
                <w:spacing w:val="-3"/>
              </w:rPr>
              <w:t>啄花鸟科</w:t>
            </w:r>
            <w:r>
              <w:rPr>
                <w:rFonts w:ascii="仿宋" w:hAnsi="仿宋" w:eastAsia="仿宋" w:cs="仿宋"/>
                <w:spacing w:val="-39"/>
              </w:rPr>
              <w:t xml:space="preserve"> </w:t>
            </w:r>
            <w:r>
              <w:rPr>
                <w:spacing w:val="-3"/>
              </w:rPr>
              <w:t>Dicaeidae</w:t>
            </w:r>
          </w:p>
        </w:tc>
        <w:tc>
          <w:tcPr>
            <w:tcW w:w="1444" w:type="dxa"/>
            <w:tcBorders>
              <w:right w:val="nil"/>
            </w:tcBorders>
            <w:vAlign w:val="top"/>
          </w:tcPr>
          <w:p>
            <w:pPr>
              <w:pStyle w:val="6"/>
              <w:spacing w:before="106" w:line="186" w:lineRule="auto"/>
              <w:ind w:left="69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67" w:line="198" w:lineRule="auto"/>
              <w:ind w:left="713"/>
            </w:pPr>
            <w:r>
              <w:rPr>
                <w:rFonts w:ascii="仿宋" w:hAnsi="仿宋" w:eastAsia="仿宋" w:cs="仿宋"/>
                <w:spacing w:val="-1"/>
              </w:rPr>
              <w:t>花蜜鸟科</w:t>
            </w:r>
            <w:r>
              <w:rPr>
                <w:rFonts w:ascii="仿宋" w:hAnsi="仿宋" w:eastAsia="仿宋" w:cs="仿宋"/>
                <w:spacing w:val="-52"/>
              </w:rPr>
              <w:t xml:space="preserve"> </w:t>
            </w:r>
            <w:r>
              <w:rPr>
                <w:spacing w:val="-1"/>
              </w:rPr>
              <w:t>Nectariniidae</w:t>
            </w:r>
          </w:p>
        </w:tc>
        <w:tc>
          <w:tcPr>
            <w:tcW w:w="1444" w:type="dxa"/>
            <w:tcBorders>
              <w:right w:val="nil"/>
            </w:tcBorders>
            <w:vAlign w:val="top"/>
          </w:tcPr>
          <w:p>
            <w:pPr>
              <w:pStyle w:val="6"/>
              <w:spacing w:before="105" w:line="186" w:lineRule="auto"/>
              <w:ind w:left="69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71" w:line="196" w:lineRule="auto"/>
              <w:ind w:left="1043"/>
            </w:pPr>
            <w:r>
              <w:rPr>
                <w:rFonts w:ascii="仿宋" w:hAnsi="仿宋" w:eastAsia="仿宋" w:cs="仿宋"/>
                <w:spacing w:val="-2"/>
              </w:rPr>
              <w:t>雀科</w:t>
            </w:r>
            <w:r>
              <w:rPr>
                <w:rFonts w:ascii="仿宋" w:hAnsi="仿宋" w:eastAsia="仿宋" w:cs="仿宋"/>
                <w:spacing w:val="-43"/>
              </w:rPr>
              <w:t xml:space="preserve"> </w:t>
            </w:r>
            <w:r>
              <w:rPr>
                <w:spacing w:val="-2"/>
              </w:rPr>
              <w:t>Passeridae</w:t>
            </w:r>
          </w:p>
        </w:tc>
        <w:tc>
          <w:tcPr>
            <w:tcW w:w="1444" w:type="dxa"/>
            <w:tcBorders>
              <w:right w:val="nil"/>
            </w:tcBorders>
            <w:vAlign w:val="top"/>
          </w:tcPr>
          <w:p>
            <w:pPr>
              <w:pStyle w:val="6"/>
              <w:spacing w:before="108" w:line="184" w:lineRule="auto"/>
              <w:ind w:left="67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5"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70" w:line="197" w:lineRule="auto"/>
              <w:ind w:left="821"/>
            </w:pPr>
            <w:r>
              <w:rPr>
                <w:rFonts w:ascii="仿宋" w:hAnsi="仿宋" w:eastAsia="仿宋" w:cs="仿宋"/>
                <w:spacing w:val="-2"/>
              </w:rPr>
              <w:t>梅花雀科</w:t>
            </w:r>
            <w:r>
              <w:rPr>
                <w:rFonts w:ascii="仿宋" w:hAnsi="仿宋" w:eastAsia="仿宋" w:cs="仿宋"/>
                <w:spacing w:val="-37"/>
              </w:rPr>
              <w:t xml:space="preserve"> </w:t>
            </w:r>
            <w:r>
              <w:rPr>
                <w:spacing w:val="-2"/>
              </w:rPr>
              <w:t>Estrildidae</w:t>
            </w:r>
          </w:p>
        </w:tc>
        <w:tc>
          <w:tcPr>
            <w:tcW w:w="1444" w:type="dxa"/>
            <w:tcBorders>
              <w:right w:val="nil"/>
            </w:tcBorders>
            <w:vAlign w:val="top"/>
          </w:tcPr>
          <w:p>
            <w:pPr>
              <w:pStyle w:val="6"/>
              <w:spacing w:before="109" w:line="184" w:lineRule="auto"/>
              <w:ind w:left="672"/>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666" w:type="dxa"/>
            <w:vMerge w:val="continue"/>
            <w:tcBorders>
              <w:top w:val="nil"/>
              <w:left w:val="nil"/>
              <w:bottom w:val="nil"/>
            </w:tcBorders>
            <w:vAlign w:val="top"/>
          </w:tcPr>
          <w:p>
            <w:pPr>
              <w:rPr>
                <w:rFonts w:ascii="Arial"/>
                <w:sz w:val="21"/>
              </w:rPr>
            </w:pPr>
          </w:p>
        </w:tc>
        <w:tc>
          <w:tcPr>
            <w:tcW w:w="3425" w:type="dxa"/>
            <w:vAlign w:val="top"/>
          </w:tcPr>
          <w:p>
            <w:pPr>
              <w:pStyle w:val="6"/>
              <w:spacing w:before="71" w:line="195" w:lineRule="auto"/>
              <w:ind w:left="894"/>
            </w:pPr>
            <w:r>
              <w:rPr>
                <w:rFonts w:ascii="仿宋" w:hAnsi="仿宋" w:eastAsia="仿宋" w:cs="仿宋"/>
                <w:spacing w:val="-2"/>
              </w:rPr>
              <w:t>燕雀科</w:t>
            </w:r>
            <w:r>
              <w:rPr>
                <w:rFonts w:ascii="仿宋" w:hAnsi="仿宋" w:eastAsia="仿宋" w:cs="仿宋"/>
                <w:spacing w:val="-40"/>
              </w:rPr>
              <w:t xml:space="preserve"> </w:t>
            </w:r>
            <w:r>
              <w:rPr>
                <w:spacing w:val="-2"/>
              </w:rPr>
              <w:t>Fringillidae</w:t>
            </w:r>
          </w:p>
        </w:tc>
        <w:tc>
          <w:tcPr>
            <w:tcW w:w="1444" w:type="dxa"/>
            <w:tcBorders>
              <w:right w:val="nil"/>
            </w:tcBorders>
            <w:vAlign w:val="top"/>
          </w:tcPr>
          <w:p>
            <w:pPr>
              <w:pStyle w:val="6"/>
              <w:spacing w:before="108" w:line="183" w:lineRule="auto"/>
              <w:ind w:left="692"/>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666" w:type="dxa"/>
            <w:vMerge w:val="continue"/>
            <w:tcBorders>
              <w:top w:val="nil"/>
              <w:left w:val="nil"/>
            </w:tcBorders>
            <w:vAlign w:val="top"/>
          </w:tcPr>
          <w:p>
            <w:pPr>
              <w:rPr>
                <w:rFonts w:ascii="Arial"/>
                <w:sz w:val="21"/>
              </w:rPr>
            </w:pPr>
          </w:p>
        </w:tc>
        <w:tc>
          <w:tcPr>
            <w:tcW w:w="3425" w:type="dxa"/>
            <w:vAlign w:val="top"/>
          </w:tcPr>
          <w:p>
            <w:pPr>
              <w:pStyle w:val="6"/>
              <w:spacing w:before="73" w:line="194" w:lineRule="auto"/>
              <w:ind w:left="959"/>
            </w:pPr>
            <w:r>
              <w:rPr>
                <w:rFonts w:ascii="仿宋" w:hAnsi="仿宋" w:eastAsia="仿宋" w:cs="仿宋"/>
                <w:spacing w:val="-2"/>
              </w:rPr>
              <w:t>鹀科</w:t>
            </w:r>
            <w:r>
              <w:rPr>
                <w:rFonts w:ascii="仿宋" w:hAnsi="仿宋" w:eastAsia="仿宋" w:cs="仿宋"/>
                <w:spacing w:val="-45"/>
              </w:rPr>
              <w:t xml:space="preserve"> </w:t>
            </w:r>
            <w:r>
              <w:rPr>
                <w:spacing w:val="-2"/>
              </w:rPr>
              <w:t>Emberizidae</w:t>
            </w:r>
          </w:p>
        </w:tc>
        <w:tc>
          <w:tcPr>
            <w:tcW w:w="1444" w:type="dxa"/>
            <w:tcBorders>
              <w:right w:val="nil"/>
            </w:tcBorders>
            <w:vAlign w:val="top"/>
          </w:tcPr>
          <w:p>
            <w:pPr>
              <w:pStyle w:val="6"/>
              <w:spacing w:before="111" w:line="181" w:lineRule="auto"/>
              <w:ind w:left="671"/>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3666" w:type="dxa"/>
            <w:tcBorders>
              <w:left w:val="nil"/>
              <w:bottom w:val="single" w:color="000000" w:sz="12" w:space="0"/>
            </w:tcBorders>
            <w:vAlign w:val="top"/>
          </w:tcPr>
          <w:p>
            <w:pPr>
              <w:pStyle w:val="6"/>
              <w:spacing w:before="74" w:line="216" w:lineRule="auto"/>
              <w:ind w:left="1308"/>
              <w:rPr>
                <w:rFonts w:ascii="仿宋" w:hAnsi="仿宋" w:eastAsia="仿宋" w:cs="仿宋"/>
              </w:rPr>
            </w:pPr>
            <w:r>
              <w:rPr>
                <w:rFonts w:ascii="仿宋" w:hAnsi="仿宋" w:eastAsia="仿宋" w:cs="仿宋"/>
                <w:spacing w:val="-24"/>
              </w:rPr>
              <w:t>合计：</w:t>
            </w:r>
            <w:r>
              <w:rPr>
                <w:rFonts w:ascii="仿宋" w:hAnsi="仿宋" w:eastAsia="仿宋" w:cs="仿宋"/>
                <w:spacing w:val="18"/>
              </w:rPr>
              <w:t xml:space="preserve"> </w:t>
            </w:r>
            <w:r>
              <w:rPr>
                <w:spacing w:val="-24"/>
              </w:rPr>
              <w:t>15</w:t>
            </w:r>
            <w:r>
              <w:rPr>
                <w:spacing w:val="52"/>
                <w:w w:val="101"/>
              </w:rPr>
              <w:t xml:space="preserve"> </w:t>
            </w:r>
            <w:r>
              <w:rPr>
                <w:rFonts w:ascii="仿宋" w:hAnsi="仿宋" w:eastAsia="仿宋" w:cs="仿宋"/>
                <w:spacing w:val="-24"/>
              </w:rPr>
              <w:t>目</w:t>
            </w:r>
          </w:p>
        </w:tc>
        <w:tc>
          <w:tcPr>
            <w:tcW w:w="3425" w:type="dxa"/>
            <w:tcBorders>
              <w:bottom w:val="single" w:color="000000" w:sz="12" w:space="0"/>
            </w:tcBorders>
            <w:vAlign w:val="top"/>
          </w:tcPr>
          <w:p>
            <w:pPr>
              <w:pStyle w:val="6"/>
              <w:spacing w:before="74" w:line="216" w:lineRule="auto"/>
              <w:ind w:left="1471"/>
              <w:rPr>
                <w:rFonts w:ascii="仿宋" w:hAnsi="仿宋" w:eastAsia="仿宋" w:cs="仿宋"/>
              </w:rPr>
            </w:pPr>
            <w:r>
              <w:rPr>
                <w:spacing w:val="-1"/>
              </w:rPr>
              <w:t>44</w:t>
            </w:r>
            <w:r>
              <w:rPr>
                <w:spacing w:val="15"/>
                <w:w w:val="101"/>
              </w:rPr>
              <w:t xml:space="preserve"> </w:t>
            </w:r>
            <w:r>
              <w:rPr>
                <w:rFonts w:ascii="仿宋" w:hAnsi="仿宋" w:eastAsia="仿宋" w:cs="仿宋"/>
                <w:spacing w:val="-1"/>
              </w:rPr>
              <w:t>科</w:t>
            </w:r>
          </w:p>
        </w:tc>
        <w:tc>
          <w:tcPr>
            <w:tcW w:w="1444" w:type="dxa"/>
            <w:tcBorders>
              <w:bottom w:val="single" w:color="000000" w:sz="12" w:space="0"/>
              <w:right w:val="nil"/>
            </w:tcBorders>
            <w:vAlign w:val="top"/>
          </w:tcPr>
          <w:p>
            <w:pPr>
              <w:pStyle w:val="6"/>
              <w:spacing w:before="112" w:line="186" w:lineRule="auto"/>
              <w:ind w:left="574"/>
            </w:pPr>
            <w:r>
              <w:rPr>
                <w:spacing w:val="-6"/>
              </w:rPr>
              <w:t>105</w:t>
            </w:r>
          </w:p>
        </w:tc>
      </w:tr>
    </w:tbl>
    <w:p>
      <w:pPr>
        <w:spacing w:before="145" w:line="440" w:lineRule="exact"/>
        <w:ind w:left="609"/>
        <w:rPr>
          <w:rFonts w:ascii="Times New Roman" w:hAnsi="Times New Roman" w:eastAsia="Times New Roman" w:cs="Times New Roman"/>
          <w:sz w:val="24"/>
          <w:szCs w:val="24"/>
        </w:rPr>
      </w:pPr>
      <w:r>
        <w:rPr>
          <w:rFonts w:ascii="宋体" w:hAnsi="宋体" w:eastAsia="宋体" w:cs="宋体"/>
          <w:spacing w:val="-10"/>
          <w:position w:val="15"/>
          <w:sz w:val="24"/>
          <w:szCs w:val="24"/>
        </w:rPr>
        <w:t>评价区内记述的</w:t>
      </w:r>
      <w:r>
        <w:rPr>
          <w:rFonts w:ascii="宋体" w:hAnsi="宋体" w:eastAsia="宋体" w:cs="宋体"/>
          <w:spacing w:val="-31"/>
          <w:position w:val="15"/>
          <w:sz w:val="24"/>
          <w:szCs w:val="24"/>
        </w:rPr>
        <w:t xml:space="preserve"> </w:t>
      </w:r>
      <w:r>
        <w:rPr>
          <w:rFonts w:ascii="Times New Roman" w:hAnsi="Times New Roman" w:eastAsia="Times New Roman" w:cs="Times New Roman"/>
          <w:spacing w:val="-10"/>
          <w:position w:val="15"/>
          <w:sz w:val="24"/>
          <w:szCs w:val="24"/>
        </w:rPr>
        <w:t xml:space="preserve">105 </w:t>
      </w:r>
      <w:r>
        <w:rPr>
          <w:rFonts w:ascii="宋体" w:hAnsi="宋体" w:eastAsia="宋体" w:cs="宋体"/>
          <w:spacing w:val="-10"/>
          <w:position w:val="15"/>
          <w:sz w:val="24"/>
          <w:szCs w:val="24"/>
        </w:rPr>
        <w:t>种鸟类中， 大部分为留鸟和冬候鸟，</w:t>
      </w:r>
      <w:r>
        <w:rPr>
          <w:rFonts w:ascii="宋体" w:hAnsi="宋体" w:eastAsia="宋体" w:cs="宋体"/>
          <w:spacing w:val="47"/>
          <w:position w:val="15"/>
          <w:sz w:val="24"/>
          <w:szCs w:val="24"/>
        </w:rPr>
        <w:t xml:space="preserve"> </w:t>
      </w:r>
      <w:r>
        <w:rPr>
          <w:rFonts w:ascii="宋体" w:hAnsi="宋体" w:eastAsia="宋体" w:cs="宋体"/>
          <w:spacing w:val="-10"/>
          <w:position w:val="15"/>
          <w:sz w:val="24"/>
          <w:szCs w:val="24"/>
        </w:rPr>
        <w:t>分别有</w:t>
      </w:r>
      <w:r>
        <w:rPr>
          <w:rFonts w:ascii="宋体" w:hAnsi="宋体" w:eastAsia="宋体" w:cs="宋体"/>
          <w:spacing w:val="-51"/>
          <w:position w:val="15"/>
          <w:sz w:val="24"/>
          <w:szCs w:val="24"/>
        </w:rPr>
        <w:t xml:space="preserve"> </w:t>
      </w:r>
      <w:r>
        <w:rPr>
          <w:rFonts w:ascii="Times New Roman" w:hAnsi="Times New Roman" w:eastAsia="Times New Roman" w:cs="Times New Roman"/>
          <w:spacing w:val="-10"/>
          <w:position w:val="15"/>
          <w:sz w:val="24"/>
          <w:szCs w:val="24"/>
        </w:rPr>
        <w:t xml:space="preserve">72 </w:t>
      </w:r>
      <w:r>
        <w:rPr>
          <w:rFonts w:ascii="宋体" w:hAnsi="宋体" w:eastAsia="宋体" w:cs="宋体"/>
          <w:spacing w:val="-10"/>
          <w:position w:val="15"/>
          <w:sz w:val="24"/>
          <w:szCs w:val="24"/>
        </w:rPr>
        <w:t>种和</w:t>
      </w:r>
      <w:r>
        <w:rPr>
          <w:rFonts w:ascii="宋体" w:hAnsi="宋体" w:eastAsia="宋体" w:cs="宋体"/>
          <w:spacing w:val="-32"/>
          <w:position w:val="15"/>
          <w:sz w:val="24"/>
          <w:szCs w:val="24"/>
        </w:rPr>
        <w:t xml:space="preserve"> </w:t>
      </w:r>
      <w:r>
        <w:rPr>
          <w:rFonts w:ascii="Times New Roman" w:hAnsi="Times New Roman" w:eastAsia="Times New Roman" w:cs="Times New Roman"/>
          <w:spacing w:val="-11"/>
          <w:position w:val="15"/>
          <w:sz w:val="24"/>
          <w:szCs w:val="24"/>
        </w:rPr>
        <w:t>16</w:t>
      </w:r>
    </w:p>
    <w:p>
      <w:pPr>
        <w:spacing w:line="219" w:lineRule="auto"/>
        <w:ind w:left="130"/>
        <w:rPr>
          <w:rFonts w:ascii="宋体" w:hAnsi="宋体" w:eastAsia="宋体" w:cs="宋体"/>
          <w:sz w:val="24"/>
          <w:szCs w:val="24"/>
        </w:rPr>
      </w:pPr>
      <w:r>
        <w:rPr>
          <w:rFonts w:ascii="宋体" w:hAnsi="宋体" w:eastAsia="宋体" w:cs="宋体"/>
          <w:spacing w:val="-3"/>
          <w:sz w:val="24"/>
          <w:szCs w:val="24"/>
        </w:rPr>
        <w:t>种，少量夏候鸟（</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种）和旅鸟（</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种</w:t>
      </w:r>
      <w:r>
        <w:rPr>
          <w:rFonts w:ascii="宋体" w:hAnsi="宋体" w:eastAsia="宋体" w:cs="宋体"/>
          <w:spacing w:val="-35"/>
          <w:sz w:val="24"/>
          <w:szCs w:val="24"/>
        </w:rPr>
        <w:t>），</w:t>
      </w:r>
      <w:r>
        <w:rPr>
          <w:rFonts w:ascii="宋体" w:hAnsi="宋体" w:eastAsia="宋体" w:cs="宋体"/>
          <w:spacing w:val="-3"/>
          <w:sz w:val="24"/>
          <w:szCs w:val="24"/>
        </w:rPr>
        <w:t>见下表。</w:t>
      </w:r>
    </w:p>
    <w:p>
      <w:pPr>
        <w:pStyle w:val="2"/>
        <w:spacing w:before="181" w:line="218" w:lineRule="auto"/>
        <w:ind w:left="2723"/>
      </w:pPr>
      <w:r>
        <w:rPr>
          <w:spacing w:val="-1"/>
          <w14:textOutline w14:w="3810" w14:cap="flat" w14:cmpd="sng">
            <w14:solidFill>
              <w14:srgbClr w14:val="000000"/>
            </w14:solidFill>
            <w14:prstDash w14:val="solid"/>
            <w14:miter w14:val="0"/>
          </w14:textOutline>
        </w:rPr>
        <w:t>表</w:t>
      </w:r>
      <w:r>
        <w:rPr>
          <w:spacing w:val="-33"/>
        </w:rPr>
        <w:t xml:space="preserve"> </w:t>
      </w:r>
      <w:r>
        <w:rPr>
          <w:rFonts w:ascii="Times New Roman" w:hAnsi="Times New Roman" w:eastAsia="Times New Roman" w:cs="Times New Roman"/>
          <w:b/>
          <w:bCs/>
          <w:spacing w:val="-1"/>
        </w:rPr>
        <w:t xml:space="preserve">3.2-30    </w:t>
      </w:r>
      <w:r>
        <w:rPr>
          <w:spacing w:val="-1"/>
          <w14:textOutline w14:w="3810" w14:cap="flat" w14:cmpd="sng">
            <w14:solidFill>
              <w14:srgbClr w14:val="000000"/>
            </w14:solidFill>
            <w14:prstDash w14:val="solid"/>
            <w14:miter w14:val="0"/>
          </w14:textOutline>
        </w:rPr>
        <w:t>评价区鸟类居留状况统计表</w:t>
      </w:r>
    </w:p>
    <w:p>
      <w:pPr>
        <w:spacing w:line="20" w:lineRule="exact"/>
      </w:pPr>
    </w:p>
    <w:tbl>
      <w:tblPr>
        <w:tblStyle w:val="5"/>
        <w:tblW w:w="8451" w:type="dxa"/>
        <w:tblInd w:w="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4"/>
        <w:gridCol w:w="1383"/>
        <w:gridCol w:w="1418"/>
        <w:gridCol w:w="1417"/>
        <w:gridCol w:w="1379"/>
        <w:gridCol w:w="8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82" w:hRule="atLeast"/>
        </w:trPr>
        <w:tc>
          <w:tcPr>
            <w:tcW w:w="2034" w:type="dxa"/>
            <w:tcBorders>
              <w:top w:val="single" w:color="000000" w:sz="12" w:space="0"/>
              <w:left w:val="nil"/>
            </w:tcBorders>
            <w:vAlign w:val="top"/>
          </w:tcPr>
          <w:p>
            <w:pPr>
              <w:spacing w:before="45" w:line="199" w:lineRule="auto"/>
              <w:ind w:left="617"/>
              <w:rPr>
                <w:rFonts w:ascii="仿宋" w:hAnsi="仿宋" w:eastAsia="仿宋" w:cs="仿宋"/>
                <w:sz w:val="21"/>
                <w:szCs w:val="21"/>
              </w:rPr>
            </w:pPr>
            <w:r>
              <w:rPr>
                <w:rFonts w:ascii="仿宋" w:hAnsi="仿宋" w:eastAsia="仿宋" w:cs="仿宋"/>
                <w:spacing w:val="-3"/>
                <w:sz w:val="21"/>
                <w:szCs w:val="21"/>
              </w:rPr>
              <w:t>居留状态</w:t>
            </w:r>
          </w:p>
        </w:tc>
        <w:tc>
          <w:tcPr>
            <w:tcW w:w="1383" w:type="dxa"/>
            <w:tcBorders>
              <w:top w:val="single" w:color="000000" w:sz="12" w:space="0"/>
            </w:tcBorders>
            <w:vAlign w:val="top"/>
          </w:tcPr>
          <w:p>
            <w:pPr>
              <w:spacing w:before="45" w:line="199" w:lineRule="auto"/>
              <w:ind w:left="515"/>
              <w:rPr>
                <w:rFonts w:ascii="仿宋" w:hAnsi="仿宋" w:eastAsia="仿宋" w:cs="仿宋"/>
                <w:sz w:val="21"/>
                <w:szCs w:val="21"/>
              </w:rPr>
            </w:pPr>
            <w:r>
              <w:rPr>
                <w:rFonts w:ascii="仿宋" w:hAnsi="仿宋" w:eastAsia="仿宋" w:cs="仿宋"/>
                <w:spacing w:val="-10"/>
                <w:sz w:val="21"/>
                <w:szCs w:val="21"/>
              </w:rPr>
              <w:t>留鸟</w:t>
            </w:r>
          </w:p>
        </w:tc>
        <w:tc>
          <w:tcPr>
            <w:tcW w:w="1418" w:type="dxa"/>
            <w:tcBorders>
              <w:top w:val="single" w:color="000000" w:sz="12" w:space="0"/>
            </w:tcBorders>
            <w:vAlign w:val="top"/>
          </w:tcPr>
          <w:p>
            <w:pPr>
              <w:spacing w:before="45" w:line="199" w:lineRule="auto"/>
              <w:ind w:left="406"/>
              <w:rPr>
                <w:rFonts w:ascii="仿宋" w:hAnsi="仿宋" w:eastAsia="仿宋" w:cs="仿宋"/>
                <w:sz w:val="21"/>
                <w:szCs w:val="21"/>
              </w:rPr>
            </w:pPr>
            <w:r>
              <w:rPr>
                <w:rFonts w:ascii="仿宋" w:hAnsi="仿宋" w:eastAsia="仿宋" w:cs="仿宋"/>
                <w:spacing w:val="-4"/>
                <w:sz w:val="21"/>
                <w:szCs w:val="21"/>
              </w:rPr>
              <w:t>冬候鸟</w:t>
            </w:r>
          </w:p>
        </w:tc>
        <w:tc>
          <w:tcPr>
            <w:tcW w:w="1417" w:type="dxa"/>
            <w:tcBorders>
              <w:top w:val="single" w:color="000000" w:sz="12" w:space="0"/>
            </w:tcBorders>
            <w:vAlign w:val="top"/>
          </w:tcPr>
          <w:p>
            <w:pPr>
              <w:spacing w:before="45" w:line="199" w:lineRule="auto"/>
              <w:ind w:left="410"/>
              <w:rPr>
                <w:rFonts w:ascii="仿宋" w:hAnsi="仿宋" w:eastAsia="仿宋" w:cs="仿宋"/>
                <w:sz w:val="21"/>
                <w:szCs w:val="21"/>
              </w:rPr>
            </w:pPr>
            <w:r>
              <w:rPr>
                <w:rFonts w:ascii="仿宋" w:hAnsi="仿宋" w:eastAsia="仿宋" w:cs="仿宋"/>
                <w:spacing w:val="-5"/>
                <w:sz w:val="21"/>
                <w:szCs w:val="21"/>
              </w:rPr>
              <w:t>夏候鸟</w:t>
            </w:r>
          </w:p>
        </w:tc>
        <w:tc>
          <w:tcPr>
            <w:tcW w:w="1379" w:type="dxa"/>
            <w:tcBorders>
              <w:top w:val="single" w:color="000000" w:sz="12" w:space="0"/>
            </w:tcBorders>
            <w:vAlign w:val="top"/>
          </w:tcPr>
          <w:p>
            <w:pPr>
              <w:spacing w:before="45" w:line="199" w:lineRule="auto"/>
              <w:ind w:left="490"/>
              <w:rPr>
                <w:rFonts w:ascii="仿宋" w:hAnsi="仿宋" w:eastAsia="仿宋" w:cs="仿宋"/>
                <w:sz w:val="21"/>
                <w:szCs w:val="21"/>
              </w:rPr>
            </w:pPr>
            <w:r>
              <w:rPr>
                <w:rFonts w:ascii="仿宋" w:hAnsi="仿宋" w:eastAsia="仿宋" w:cs="仿宋"/>
                <w:spacing w:val="-4"/>
                <w:sz w:val="21"/>
                <w:szCs w:val="21"/>
              </w:rPr>
              <w:t>旅鸟</w:t>
            </w:r>
          </w:p>
        </w:tc>
        <w:tc>
          <w:tcPr>
            <w:tcW w:w="820" w:type="dxa"/>
            <w:tcBorders>
              <w:top w:val="single" w:color="000000" w:sz="12" w:space="0"/>
              <w:right w:val="nil"/>
            </w:tcBorders>
            <w:vAlign w:val="top"/>
          </w:tcPr>
          <w:p>
            <w:pPr>
              <w:spacing w:before="45" w:line="199" w:lineRule="auto"/>
              <w:ind w:left="217"/>
              <w:rPr>
                <w:rFonts w:ascii="仿宋" w:hAnsi="仿宋" w:eastAsia="仿宋" w:cs="仿宋"/>
                <w:sz w:val="21"/>
                <w:szCs w:val="21"/>
              </w:rPr>
            </w:pPr>
            <w:r>
              <w:rPr>
                <w:rFonts w:ascii="仿宋" w:hAnsi="仿宋" w:eastAsia="仿宋" w:cs="仿宋"/>
                <w:spacing w:val="-5"/>
                <w:sz w:val="21"/>
                <w:szCs w:val="21"/>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295" w:hRule="atLeast"/>
        </w:trPr>
        <w:tc>
          <w:tcPr>
            <w:tcW w:w="2034" w:type="dxa"/>
            <w:tcBorders>
              <w:left w:val="nil"/>
            </w:tcBorders>
            <w:vAlign w:val="top"/>
          </w:tcPr>
          <w:p>
            <w:pPr>
              <w:spacing w:before="62" w:line="196" w:lineRule="auto"/>
              <w:ind w:left="829"/>
              <w:rPr>
                <w:rFonts w:ascii="仿宋" w:hAnsi="仿宋" w:eastAsia="仿宋" w:cs="仿宋"/>
                <w:sz w:val="21"/>
                <w:szCs w:val="21"/>
              </w:rPr>
            </w:pPr>
            <w:r>
              <w:rPr>
                <w:rFonts w:ascii="仿宋" w:hAnsi="仿宋" w:eastAsia="仿宋" w:cs="仿宋"/>
                <w:spacing w:val="-4"/>
                <w:sz w:val="21"/>
                <w:szCs w:val="21"/>
              </w:rPr>
              <w:t>种数</w:t>
            </w:r>
          </w:p>
        </w:tc>
        <w:tc>
          <w:tcPr>
            <w:tcW w:w="1383" w:type="dxa"/>
            <w:vAlign w:val="top"/>
          </w:tcPr>
          <w:p>
            <w:pPr>
              <w:pStyle w:val="6"/>
              <w:spacing w:before="99" w:line="184" w:lineRule="auto"/>
              <w:ind w:left="592"/>
            </w:pPr>
            <w:r>
              <w:rPr>
                <w:spacing w:val="-2"/>
              </w:rPr>
              <w:t>72</w:t>
            </w:r>
          </w:p>
        </w:tc>
        <w:tc>
          <w:tcPr>
            <w:tcW w:w="1418" w:type="dxa"/>
            <w:vAlign w:val="top"/>
          </w:tcPr>
          <w:p>
            <w:pPr>
              <w:pStyle w:val="6"/>
              <w:spacing w:before="99" w:line="184" w:lineRule="auto"/>
              <w:ind w:left="625"/>
            </w:pPr>
            <w:r>
              <w:rPr>
                <w:spacing w:val="-6"/>
              </w:rPr>
              <w:t>16</w:t>
            </w:r>
          </w:p>
        </w:tc>
        <w:tc>
          <w:tcPr>
            <w:tcW w:w="1417" w:type="dxa"/>
            <w:vAlign w:val="top"/>
          </w:tcPr>
          <w:p>
            <w:pPr>
              <w:pStyle w:val="6"/>
              <w:spacing w:before="99" w:line="184" w:lineRule="auto"/>
              <w:ind w:left="625"/>
            </w:pPr>
            <w:r>
              <w:rPr>
                <w:spacing w:val="-6"/>
              </w:rPr>
              <w:t>12</w:t>
            </w:r>
          </w:p>
        </w:tc>
        <w:tc>
          <w:tcPr>
            <w:tcW w:w="1379" w:type="dxa"/>
            <w:vAlign w:val="top"/>
          </w:tcPr>
          <w:p>
            <w:pPr>
              <w:pStyle w:val="6"/>
              <w:spacing w:before="102" w:line="181" w:lineRule="auto"/>
              <w:ind w:left="644"/>
            </w:pPr>
            <w:r>
              <w:t>5</w:t>
            </w:r>
          </w:p>
        </w:tc>
        <w:tc>
          <w:tcPr>
            <w:tcW w:w="820" w:type="dxa"/>
            <w:tcBorders>
              <w:right w:val="nil"/>
            </w:tcBorders>
            <w:vAlign w:val="top"/>
          </w:tcPr>
          <w:p>
            <w:pPr>
              <w:pStyle w:val="6"/>
              <w:spacing w:before="99" w:line="184" w:lineRule="auto"/>
              <w:ind w:left="274"/>
            </w:pPr>
            <w:r>
              <w:rPr>
                <w:spacing w:val="-8"/>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034" w:type="dxa"/>
            <w:tcBorders>
              <w:left w:val="nil"/>
              <w:bottom w:val="single" w:color="000000" w:sz="12" w:space="0"/>
            </w:tcBorders>
            <w:vAlign w:val="top"/>
          </w:tcPr>
          <w:p>
            <w:pPr>
              <w:pStyle w:val="6"/>
              <w:spacing w:before="72" w:line="209" w:lineRule="auto"/>
              <w:ind w:left="145"/>
              <w:rPr>
                <w:rFonts w:ascii="仿宋" w:hAnsi="仿宋" w:eastAsia="仿宋" w:cs="仿宋"/>
              </w:rPr>
            </w:pPr>
            <w:r>
              <w:rPr>
                <w:rFonts w:ascii="仿宋" w:hAnsi="仿宋" w:eastAsia="仿宋" w:cs="仿宋"/>
                <w:spacing w:val="-6"/>
              </w:rPr>
              <w:t>占所有鸟比例（</w:t>
            </w:r>
            <w:r>
              <w:rPr>
                <w:spacing w:val="-6"/>
              </w:rPr>
              <w:t>%</w:t>
            </w:r>
            <w:r>
              <w:rPr>
                <w:rFonts w:ascii="仿宋" w:hAnsi="仿宋" w:eastAsia="仿宋" w:cs="仿宋"/>
                <w:spacing w:val="-6"/>
              </w:rPr>
              <w:t>）</w:t>
            </w:r>
          </w:p>
        </w:tc>
        <w:tc>
          <w:tcPr>
            <w:tcW w:w="1383" w:type="dxa"/>
            <w:tcBorders>
              <w:bottom w:val="single" w:color="000000" w:sz="12" w:space="0"/>
            </w:tcBorders>
            <w:vAlign w:val="top"/>
          </w:tcPr>
          <w:p>
            <w:pPr>
              <w:pStyle w:val="6"/>
              <w:spacing w:before="109" w:line="186" w:lineRule="auto"/>
              <w:ind w:left="461"/>
            </w:pPr>
            <w:r>
              <w:rPr>
                <w:spacing w:val="-2"/>
              </w:rPr>
              <w:t>68.57</w:t>
            </w:r>
          </w:p>
        </w:tc>
        <w:tc>
          <w:tcPr>
            <w:tcW w:w="1418" w:type="dxa"/>
            <w:tcBorders>
              <w:bottom w:val="single" w:color="000000" w:sz="12" w:space="0"/>
            </w:tcBorders>
            <w:vAlign w:val="top"/>
          </w:tcPr>
          <w:p>
            <w:pPr>
              <w:pStyle w:val="6"/>
              <w:spacing w:before="109" w:line="186" w:lineRule="auto"/>
              <w:ind w:left="493"/>
            </w:pPr>
            <w:r>
              <w:rPr>
                <w:spacing w:val="-5"/>
              </w:rPr>
              <w:t>15.24</w:t>
            </w:r>
          </w:p>
        </w:tc>
        <w:tc>
          <w:tcPr>
            <w:tcW w:w="1417" w:type="dxa"/>
            <w:tcBorders>
              <w:bottom w:val="single" w:color="000000" w:sz="12" w:space="0"/>
            </w:tcBorders>
            <w:vAlign w:val="top"/>
          </w:tcPr>
          <w:p>
            <w:pPr>
              <w:pStyle w:val="6"/>
              <w:spacing w:before="109" w:line="186" w:lineRule="auto"/>
              <w:ind w:left="493"/>
            </w:pPr>
            <w:r>
              <w:rPr>
                <w:spacing w:val="-5"/>
              </w:rPr>
              <w:t>11.43</w:t>
            </w:r>
          </w:p>
        </w:tc>
        <w:tc>
          <w:tcPr>
            <w:tcW w:w="1379" w:type="dxa"/>
            <w:tcBorders>
              <w:bottom w:val="single" w:color="000000" w:sz="12" w:space="0"/>
            </w:tcBorders>
            <w:vAlign w:val="top"/>
          </w:tcPr>
          <w:p>
            <w:pPr>
              <w:pStyle w:val="6"/>
              <w:spacing w:before="109" w:line="186" w:lineRule="auto"/>
              <w:ind w:left="506"/>
            </w:pPr>
            <w:r>
              <w:rPr>
                <w:spacing w:val="-1"/>
              </w:rPr>
              <w:t>4.76</w:t>
            </w:r>
          </w:p>
        </w:tc>
        <w:tc>
          <w:tcPr>
            <w:tcW w:w="820" w:type="dxa"/>
            <w:tcBorders>
              <w:bottom w:val="single" w:color="000000" w:sz="12" w:space="0"/>
              <w:right w:val="nil"/>
            </w:tcBorders>
            <w:vAlign w:val="top"/>
          </w:tcPr>
          <w:p>
            <w:pPr>
              <w:pStyle w:val="6"/>
              <w:spacing w:before="109" w:line="186" w:lineRule="auto"/>
              <w:ind w:left="274"/>
            </w:pPr>
            <w:r>
              <w:rPr>
                <w:spacing w:val="-6"/>
              </w:rPr>
              <w:t>100</w:t>
            </w:r>
          </w:p>
        </w:tc>
      </w:tr>
    </w:tbl>
    <w:p>
      <w:pPr>
        <w:spacing w:before="143" w:line="339" w:lineRule="auto"/>
        <w:ind w:left="131" w:right="106" w:firstLine="478"/>
        <w:jc w:val="both"/>
        <w:rPr>
          <w:rFonts w:ascii="宋体" w:hAnsi="宋体" w:eastAsia="宋体" w:cs="宋体"/>
          <w:sz w:val="24"/>
          <w:szCs w:val="24"/>
        </w:rPr>
      </w:pPr>
      <w:r>
        <w:rPr>
          <w:rFonts w:ascii="宋体" w:hAnsi="宋体" w:eastAsia="宋体" w:cs="宋体"/>
          <w:spacing w:val="-16"/>
          <w:sz w:val="24"/>
          <w:szCs w:val="24"/>
        </w:rPr>
        <w:t>在所记录的</w:t>
      </w:r>
      <w:r>
        <w:rPr>
          <w:rFonts w:ascii="宋体" w:hAnsi="宋体" w:eastAsia="宋体" w:cs="宋体"/>
          <w:spacing w:val="-14"/>
          <w:sz w:val="24"/>
          <w:szCs w:val="24"/>
        </w:rPr>
        <w:t xml:space="preserve"> </w:t>
      </w:r>
      <w:r>
        <w:rPr>
          <w:rFonts w:ascii="Times New Roman" w:hAnsi="Times New Roman" w:eastAsia="Times New Roman" w:cs="Times New Roman"/>
          <w:spacing w:val="-16"/>
          <w:sz w:val="24"/>
          <w:szCs w:val="24"/>
        </w:rPr>
        <w:t xml:space="preserve">105 </w:t>
      </w:r>
      <w:r>
        <w:rPr>
          <w:rFonts w:ascii="宋体" w:hAnsi="宋体" w:eastAsia="宋体" w:cs="宋体"/>
          <w:spacing w:val="-16"/>
          <w:sz w:val="24"/>
          <w:szCs w:val="24"/>
        </w:rPr>
        <w:t>种鸟类中， 冬候鸟和旅鸟是非繁殖鸟，</w:t>
      </w:r>
      <w:r>
        <w:rPr>
          <w:rFonts w:ascii="宋体" w:hAnsi="宋体" w:eastAsia="宋体" w:cs="宋体"/>
          <w:spacing w:val="34"/>
          <w:sz w:val="24"/>
          <w:szCs w:val="24"/>
        </w:rPr>
        <w:t xml:space="preserve"> </w:t>
      </w:r>
      <w:r>
        <w:rPr>
          <w:rFonts w:ascii="宋体" w:hAnsi="宋体" w:eastAsia="宋体" w:cs="宋体"/>
          <w:spacing w:val="-16"/>
          <w:sz w:val="24"/>
          <w:szCs w:val="24"/>
        </w:rPr>
        <w:t>不参与区系分析，</w:t>
      </w:r>
      <w:r>
        <w:rPr>
          <w:rFonts w:ascii="宋体" w:hAnsi="宋体" w:eastAsia="宋体" w:cs="宋体"/>
          <w:spacing w:val="33"/>
          <w:sz w:val="24"/>
          <w:szCs w:val="24"/>
        </w:rPr>
        <w:t xml:space="preserve"> </w:t>
      </w:r>
      <w:r>
        <w:rPr>
          <w:rFonts w:ascii="宋体" w:hAnsi="宋体" w:eastAsia="宋体" w:cs="宋体"/>
          <w:spacing w:val="-16"/>
          <w:sz w:val="24"/>
          <w:szCs w:val="24"/>
        </w:rPr>
        <w:t>繁</w:t>
      </w:r>
      <w:r>
        <w:rPr>
          <w:rFonts w:ascii="宋体" w:hAnsi="宋体" w:eastAsia="宋体" w:cs="宋体"/>
          <w:sz w:val="24"/>
          <w:szCs w:val="24"/>
        </w:rPr>
        <w:t xml:space="preserve"> </w:t>
      </w:r>
      <w:r>
        <w:rPr>
          <w:rFonts w:ascii="宋体" w:hAnsi="宋体" w:eastAsia="宋体" w:cs="宋体"/>
          <w:spacing w:val="-2"/>
          <w:sz w:val="24"/>
          <w:szCs w:val="24"/>
        </w:rPr>
        <w:t>殖鸟有</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84</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种，大部分为东洋界物种，共有</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58</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种，占全部繁殖鸟的</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69.05%</w:t>
      </w:r>
      <w:r>
        <w:rPr>
          <w:rFonts w:ascii="宋体" w:hAnsi="宋体" w:eastAsia="宋体" w:cs="宋体"/>
          <w:spacing w:val="-3"/>
          <w:sz w:val="24"/>
          <w:szCs w:val="24"/>
        </w:rPr>
        <w:t>；东</w:t>
      </w:r>
      <w:r>
        <w:rPr>
          <w:rFonts w:ascii="宋体" w:hAnsi="宋体" w:eastAsia="宋体" w:cs="宋体"/>
          <w:sz w:val="24"/>
          <w:szCs w:val="24"/>
        </w:rPr>
        <w:t xml:space="preserve"> </w:t>
      </w:r>
      <w:r>
        <w:rPr>
          <w:rFonts w:ascii="宋体" w:hAnsi="宋体" w:eastAsia="宋体" w:cs="宋体"/>
          <w:spacing w:val="-10"/>
          <w:sz w:val="24"/>
          <w:szCs w:val="24"/>
        </w:rPr>
        <w:t>洋</w:t>
      </w:r>
      <w:r>
        <w:rPr>
          <w:rFonts w:ascii="Times New Roman" w:hAnsi="Times New Roman" w:eastAsia="Times New Roman" w:cs="Times New Roman"/>
          <w:spacing w:val="-10"/>
          <w:sz w:val="24"/>
          <w:szCs w:val="24"/>
        </w:rPr>
        <w:t>-</w:t>
      </w:r>
      <w:r>
        <w:rPr>
          <w:rFonts w:ascii="宋体" w:hAnsi="宋体" w:eastAsia="宋体" w:cs="宋体"/>
          <w:spacing w:val="-10"/>
          <w:sz w:val="24"/>
          <w:szCs w:val="24"/>
        </w:rPr>
        <w:t>古北两界广布种有</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 xml:space="preserve">23 </w:t>
      </w:r>
      <w:r>
        <w:rPr>
          <w:rFonts w:ascii="宋体" w:hAnsi="宋体" w:eastAsia="宋体" w:cs="宋体"/>
          <w:spacing w:val="-10"/>
          <w:sz w:val="24"/>
          <w:szCs w:val="24"/>
        </w:rPr>
        <w:t>种，</w:t>
      </w:r>
      <w:r>
        <w:rPr>
          <w:rFonts w:ascii="宋体" w:hAnsi="宋体" w:eastAsia="宋体" w:cs="宋体"/>
          <w:spacing w:val="-35"/>
          <w:sz w:val="24"/>
          <w:szCs w:val="24"/>
        </w:rPr>
        <w:t xml:space="preserve"> </w:t>
      </w:r>
      <w:r>
        <w:rPr>
          <w:rFonts w:ascii="宋体" w:hAnsi="宋体" w:eastAsia="宋体" w:cs="宋体"/>
          <w:spacing w:val="-10"/>
          <w:sz w:val="24"/>
          <w:szCs w:val="24"/>
        </w:rPr>
        <w:t>占全部繁殖鸟的</w:t>
      </w:r>
      <w:r>
        <w:rPr>
          <w:rFonts w:ascii="宋体" w:hAnsi="宋体" w:eastAsia="宋体" w:cs="宋体"/>
          <w:spacing w:val="-54"/>
          <w:sz w:val="24"/>
          <w:szCs w:val="24"/>
        </w:rPr>
        <w:t xml:space="preserve"> </w:t>
      </w:r>
      <w:r>
        <w:rPr>
          <w:rFonts w:ascii="Times New Roman" w:hAnsi="Times New Roman" w:eastAsia="Times New Roman" w:cs="Times New Roman"/>
          <w:spacing w:val="-10"/>
          <w:sz w:val="24"/>
          <w:szCs w:val="24"/>
        </w:rPr>
        <w:t>27.</w:t>
      </w:r>
      <w:r>
        <w:rPr>
          <w:rFonts w:ascii="Times New Roman" w:hAnsi="Times New Roman" w:eastAsia="Times New Roman" w:cs="Times New Roman"/>
          <w:spacing w:val="-11"/>
          <w:sz w:val="24"/>
          <w:szCs w:val="24"/>
        </w:rPr>
        <w:t>38%</w:t>
      </w:r>
      <w:r>
        <w:rPr>
          <w:rFonts w:ascii="宋体" w:hAnsi="宋体" w:eastAsia="宋体" w:cs="宋体"/>
          <w:spacing w:val="-11"/>
          <w:sz w:val="24"/>
          <w:szCs w:val="24"/>
        </w:rPr>
        <w:t>；其余</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 xml:space="preserve">3 </w:t>
      </w:r>
      <w:r>
        <w:rPr>
          <w:rFonts w:ascii="宋体" w:hAnsi="宋体" w:eastAsia="宋体" w:cs="宋体"/>
          <w:spacing w:val="-11"/>
          <w:sz w:val="24"/>
          <w:szCs w:val="24"/>
        </w:rPr>
        <w:t>种为古北界种，</w:t>
      </w:r>
      <w:r>
        <w:rPr>
          <w:rFonts w:ascii="宋体" w:hAnsi="宋体" w:eastAsia="宋体" w:cs="宋体"/>
          <w:spacing w:val="56"/>
          <w:sz w:val="24"/>
          <w:szCs w:val="24"/>
        </w:rPr>
        <w:t xml:space="preserve"> </w:t>
      </w:r>
      <w:r>
        <w:rPr>
          <w:rFonts w:ascii="宋体" w:hAnsi="宋体" w:eastAsia="宋体" w:cs="宋体"/>
          <w:spacing w:val="-11"/>
          <w:sz w:val="24"/>
          <w:szCs w:val="24"/>
        </w:rPr>
        <w:t>占</w:t>
      </w:r>
    </w:p>
    <w:p>
      <w:pPr>
        <w:spacing w:before="1" w:line="219" w:lineRule="auto"/>
        <w:ind w:left="130"/>
        <w:rPr>
          <w:rFonts w:ascii="宋体" w:hAnsi="宋体" w:eastAsia="宋体" w:cs="宋体"/>
          <w:sz w:val="24"/>
          <w:szCs w:val="24"/>
        </w:rPr>
      </w:pPr>
      <w:r>
        <w:rPr>
          <w:rFonts w:ascii="宋体" w:hAnsi="宋体" w:eastAsia="宋体" w:cs="宋体"/>
          <w:spacing w:val="-2"/>
          <w:sz w:val="24"/>
          <w:szCs w:val="24"/>
        </w:rPr>
        <w:t>全部繁殖鸟的</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3.57%</w:t>
      </w:r>
      <w:r>
        <w:rPr>
          <w:rFonts w:ascii="宋体" w:hAnsi="宋体" w:eastAsia="宋体" w:cs="宋体"/>
          <w:spacing w:val="-2"/>
          <w:sz w:val="24"/>
          <w:szCs w:val="24"/>
        </w:rPr>
        <w:t>，详见下表。</w:t>
      </w:r>
    </w:p>
    <w:p>
      <w:pPr>
        <w:pStyle w:val="2"/>
        <w:spacing w:before="181" w:line="218" w:lineRule="auto"/>
        <w:ind w:left="2513"/>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3.2-31    </w:t>
      </w:r>
      <w:r>
        <w:rPr>
          <w14:textOutline w14:w="3810" w14:cap="flat" w14:cmpd="sng">
            <w14:solidFill>
              <w14:srgbClr w14:val="000000"/>
            </w14:solidFill>
            <w14:prstDash w14:val="solid"/>
            <w14:miter w14:val="0"/>
          </w14:textOutline>
        </w:rPr>
        <w:t>评价区繁殖鸟类区</w:t>
      </w:r>
      <w:r>
        <w:rPr>
          <w:spacing w:val="-1"/>
          <w14:textOutline w14:w="3810" w14:cap="flat" w14:cmpd="sng">
            <w14:solidFill>
              <w14:srgbClr w14:val="000000"/>
            </w14:solidFill>
            <w14:prstDash w14:val="solid"/>
            <w14:miter w14:val="0"/>
          </w14:textOutline>
        </w:rPr>
        <w:t>系成分统计表</w:t>
      </w:r>
    </w:p>
    <w:p>
      <w:pPr>
        <w:spacing w:line="20" w:lineRule="exact"/>
      </w:pPr>
    </w:p>
    <w:tbl>
      <w:tblPr>
        <w:tblStyle w:val="5"/>
        <w:tblW w:w="8391" w:type="dxa"/>
        <w:tblInd w:w="10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55"/>
        <w:gridCol w:w="1702"/>
        <w:gridCol w:w="1700"/>
        <w:gridCol w:w="1702"/>
        <w:gridCol w:w="103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88" w:hRule="atLeast"/>
        </w:trPr>
        <w:tc>
          <w:tcPr>
            <w:tcW w:w="2255" w:type="dxa"/>
            <w:tcBorders>
              <w:left w:val="nil"/>
              <w:right w:val="single" w:color="000000" w:sz="2" w:space="0"/>
            </w:tcBorders>
            <w:vAlign w:val="top"/>
          </w:tcPr>
          <w:p>
            <w:pPr>
              <w:spacing w:before="45" w:line="204" w:lineRule="auto"/>
              <w:ind w:left="60"/>
              <w:rPr>
                <w:rFonts w:ascii="仿宋" w:hAnsi="仿宋" w:eastAsia="仿宋" w:cs="仿宋"/>
                <w:sz w:val="21"/>
                <w:szCs w:val="21"/>
              </w:rPr>
            </w:pPr>
            <w:r>
              <w:rPr>
                <w:rFonts w:ascii="仿宋" w:hAnsi="仿宋" w:eastAsia="仿宋" w:cs="仿宋"/>
                <w:spacing w:val="-6"/>
                <w:sz w:val="21"/>
                <w:szCs w:val="21"/>
              </w:rPr>
              <w:t>区系从属</w:t>
            </w:r>
          </w:p>
        </w:tc>
        <w:tc>
          <w:tcPr>
            <w:tcW w:w="1702" w:type="dxa"/>
            <w:tcBorders>
              <w:left w:val="single" w:color="000000" w:sz="2" w:space="0"/>
              <w:right w:val="single" w:color="000000" w:sz="2" w:space="0"/>
            </w:tcBorders>
            <w:vAlign w:val="top"/>
          </w:tcPr>
          <w:p>
            <w:pPr>
              <w:spacing w:before="45" w:line="204" w:lineRule="auto"/>
              <w:ind w:left="552"/>
              <w:rPr>
                <w:rFonts w:ascii="仿宋" w:hAnsi="仿宋" w:eastAsia="仿宋" w:cs="仿宋"/>
                <w:sz w:val="21"/>
                <w:szCs w:val="21"/>
              </w:rPr>
            </w:pPr>
            <w:r>
              <w:rPr>
                <w:rFonts w:ascii="仿宋" w:hAnsi="仿宋" w:eastAsia="仿宋" w:cs="仿宋"/>
                <w:spacing w:val="-5"/>
                <w:sz w:val="21"/>
                <w:szCs w:val="21"/>
              </w:rPr>
              <w:t>东洋界</w:t>
            </w:r>
          </w:p>
        </w:tc>
        <w:tc>
          <w:tcPr>
            <w:tcW w:w="1700" w:type="dxa"/>
            <w:tcBorders>
              <w:left w:val="single" w:color="000000" w:sz="2" w:space="0"/>
              <w:right w:val="single" w:color="000000" w:sz="2" w:space="0"/>
            </w:tcBorders>
            <w:vAlign w:val="top"/>
          </w:tcPr>
          <w:p>
            <w:pPr>
              <w:spacing w:before="45" w:line="204" w:lineRule="auto"/>
              <w:ind w:left="550"/>
              <w:rPr>
                <w:rFonts w:ascii="仿宋" w:hAnsi="仿宋" w:eastAsia="仿宋" w:cs="仿宋"/>
                <w:sz w:val="21"/>
                <w:szCs w:val="21"/>
              </w:rPr>
            </w:pPr>
            <w:r>
              <w:rPr>
                <w:rFonts w:ascii="仿宋" w:hAnsi="仿宋" w:eastAsia="仿宋" w:cs="仿宋"/>
                <w:spacing w:val="-5"/>
                <w:sz w:val="21"/>
                <w:szCs w:val="21"/>
              </w:rPr>
              <w:t>古北界</w:t>
            </w:r>
          </w:p>
        </w:tc>
        <w:tc>
          <w:tcPr>
            <w:tcW w:w="1702" w:type="dxa"/>
            <w:tcBorders>
              <w:left w:val="single" w:color="000000" w:sz="2" w:space="0"/>
              <w:right w:val="single" w:color="000000" w:sz="2" w:space="0"/>
            </w:tcBorders>
            <w:vAlign w:val="top"/>
          </w:tcPr>
          <w:p>
            <w:pPr>
              <w:spacing w:before="45" w:line="204" w:lineRule="auto"/>
              <w:ind w:left="547"/>
              <w:rPr>
                <w:rFonts w:ascii="仿宋" w:hAnsi="仿宋" w:eastAsia="仿宋" w:cs="仿宋"/>
                <w:sz w:val="21"/>
                <w:szCs w:val="21"/>
              </w:rPr>
            </w:pPr>
            <w:r>
              <w:rPr>
                <w:rFonts w:ascii="仿宋" w:hAnsi="仿宋" w:eastAsia="仿宋" w:cs="仿宋"/>
                <w:spacing w:val="-3"/>
                <w:sz w:val="21"/>
                <w:szCs w:val="21"/>
              </w:rPr>
              <w:t>广布种</w:t>
            </w:r>
          </w:p>
        </w:tc>
        <w:tc>
          <w:tcPr>
            <w:tcW w:w="1032" w:type="dxa"/>
            <w:tcBorders>
              <w:left w:val="single" w:color="000000" w:sz="2" w:space="0"/>
              <w:right w:val="nil"/>
            </w:tcBorders>
            <w:vAlign w:val="top"/>
          </w:tcPr>
          <w:p>
            <w:pPr>
              <w:spacing w:before="45" w:line="204" w:lineRule="auto"/>
              <w:ind w:left="322"/>
              <w:rPr>
                <w:rFonts w:ascii="仿宋" w:hAnsi="仿宋" w:eastAsia="仿宋" w:cs="仿宋"/>
                <w:sz w:val="21"/>
                <w:szCs w:val="21"/>
              </w:rPr>
            </w:pPr>
            <w:r>
              <w:rPr>
                <w:rFonts w:ascii="仿宋" w:hAnsi="仿宋" w:eastAsia="仿宋" w:cs="仿宋"/>
                <w:spacing w:val="-5"/>
                <w:sz w:val="21"/>
                <w:szCs w:val="21"/>
              </w:rPr>
              <w:t>合计</w:t>
            </w:r>
          </w:p>
        </w:tc>
      </w:tr>
    </w:tbl>
    <w:p>
      <w:pPr>
        <w:spacing w:line="98" w:lineRule="exact"/>
        <w:rPr>
          <w:rFonts w:ascii="Arial"/>
          <w:sz w:val="8"/>
        </w:rPr>
      </w:pPr>
    </w:p>
    <w:p>
      <w:pPr>
        <w:spacing w:line="98" w:lineRule="exact"/>
        <w:rPr>
          <w:rFonts w:ascii="Arial" w:hAnsi="Arial" w:eastAsia="Arial" w:cs="Arial"/>
          <w:sz w:val="8"/>
          <w:szCs w:val="8"/>
        </w:rPr>
        <w:sectPr>
          <w:headerReference r:id="rId306" w:type="default"/>
          <w:footerReference r:id="rId307" w:type="default"/>
          <w:pgSz w:w="11907" w:h="16839"/>
          <w:pgMar w:top="1156" w:right="1692" w:bottom="1373" w:left="1679" w:header="881" w:footer="1210" w:gutter="0"/>
        </w:sectPr>
      </w:pPr>
    </w:p>
    <w:p>
      <w:pPr>
        <w:spacing w:before="41"/>
      </w:pPr>
    </w:p>
    <w:tbl>
      <w:tblPr>
        <w:tblStyle w:val="5"/>
        <w:tblW w:w="8391" w:type="dxa"/>
        <w:tblInd w:w="1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5"/>
        <w:gridCol w:w="1702"/>
        <w:gridCol w:w="1700"/>
        <w:gridCol w:w="1702"/>
        <w:gridCol w:w="10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9" w:hRule="atLeast"/>
        </w:trPr>
        <w:tc>
          <w:tcPr>
            <w:tcW w:w="2255" w:type="dxa"/>
            <w:tcBorders>
              <w:top w:val="single" w:color="000000" w:sz="12" w:space="0"/>
              <w:left w:val="nil"/>
            </w:tcBorders>
            <w:vAlign w:val="top"/>
          </w:tcPr>
          <w:p>
            <w:pPr>
              <w:spacing w:before="52" w:line="199" w:lineRule="auto"/>
              <w:ind w:left="44"/>
              <w:rPr>
                <w:rFonts w:ascii="仿宋" w:hAnsi="仿宋" w:eastAsia="仿宋" w:cs="仿宋"/>
                <w:sz w:val="21"/>
                <w:szCs w:val="21"/>
              </w:rPr>
            </w:pPr>
            <w:r>
              <w:rPr>
                <w:rFonts w:ascii="仿宋" w:hAnsi="仿宋" w:eastAsia="仿宋" w:cs="仿宋"/>
                <w:spacing w:val="-4"/>
                <w:sz w:val="21"/>
                <w:szCs w:val="21"/>
              </w:rPr>
              <w:t>种数</w:t>
            </w:r>
          </w:p>
        </w:tc>
        <w:tc>
          <w:tcPr>
            <w:tcW w:w="1702" w:type="dxa"/>
            <w:tcBorders>
              <w:top w:val="single" w:color="000000" w:sz="12" w:space="0"/>
            </w:tcBorders>
            <w:vAlign w:val="top"/>
          </w:tcPr>
          <w:p>
            <w:pPr>
              <w:pStyle w:val="6"/>
              <w:spacing w:before="90" w:line="186" w:lineRule="auto"/>
              <w:ind w:left="753"/>
            </w:pPr>
            <w:r>
              <w:rPr>
                <w:spacing w:val="-3"/>
              </w:rPr>
              <w:t>58</w:t>
            </w:r>
          </w:p>
        </w:tc>
        <w:tc>
          <w:tcPr>
            <w:tcW w:w="1700" w:type="dxa"/>
            <w:tcBorders>
              <w:top w:val="single" w:color="000000" w:sz="12" w:space="0"/>
            </w:tcBorders>
            <w:vAlign w:val="top"/>
          </w:tcPr>
          <w:p>
            <w:pPr>
              <w:pStyle w:val="6"/>
              <w:spacing w:before="90" w:line="186" w:lineRule="auto"/>
              <w:ind w:left="803"/>
            </w:pPr>
            <w:r>
              <w:t>3</w:t>
            </w:r>
          </w:p>
        </w:tc>
        <w:tc>
          <w:tcPr>
            <w:tcW w:w="1702" w:type="dxa"/>
            <w:tcBorders>
              <w:top w:val="single" w:color="000000" w:sz="12" w:space="0"/>
            </w:tcBorders>
            <w:vAlign w:val="top"/>
          </w:tcPr>
          <w:p>
            <w:pPr>
              <w:pStyle w:val="6"/>
              <w:spacing w:before="90" w:line="186" w:lineRule="auto"/>
              <w:ind w:left="748"/>
            </w:pPr>
            <w:r>
              <w:rPr>
                <w:spacing w:val="-1"/>
              </w:rPr>
              <w:t>23</w:t>
            </w:r>
          </w:p>
        </w:tc>
        <w:tc>
          <w:tcPr>
            <w:tcW w:w="1032" w:type="dxa"/>
            <w:tcBorders>
              <w:top w:val="single" w:color="000000" w:sz="12" w:space="0"/>
              <w:right w:val="nil"/>
            </w:tcBorders>
            <w:vAlign w:val="top"/>
          </w:tcPr>
          <w:p>
            <w:pPr>
              <w:pStyle w:val="6"/>
              <w:spacing w:before="90" w:line="186" w:lineRule="auto"/>
              <w:ind w:left="420"/>
            </w:pPr>
            <w:r>
              <w:rPr>
                <w:spacing w:val="-7"/>
              </w:rPr>
              <w:t>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2255" w:type="dxa"/>
            <w:tcBorders>
              <w:left w:val="nil"/>
              <w:bottom w:val="single" w:color="000000" w:sz="12" w:space="0"/>
            </w:tcBorders>
            <w:vAlign w:val="top"/>
          </w:tcPr>
          <w:p>
            <w:pPr>
              <w:pStyle w:val="6"/>
              <w:spacing w:before="62" w:line="203" w:lineRule="auto"/>
              <w:ind w:left="78"/>
              <w:rPr>
                <w:rFonts w:ascii="仿宋" w:hAnsi="仿宋" w:eastAsia="仿宋" w:cs="仿宋"/>
              </w:rPr>
            </w:pPr>
            <w:r>
              <w:rPr>
                <w:rFonts w:ascii="仿宋" w:hAnsi="仿宋" w:eastAsia="仿宋" w:cs="仿宋"/>
                <w:spacing w:val="-6"/>
              </w:rPr>
              <w:t>占区系鸟比例（</w:t>
            </w:r>
            <w:r>
              <w:rPr>
                <w:spacing w:val="-6"/>
              </w:rPr>
              <w:t>%</w:t>
            </w:r>
            <w:r>
              <w:rPr>
                <w:rFonts w:ascii="仿宋" w:hAnsi="仿宋" w:eastAsia="仿宋" w:cs="仿宋"/>
                <w:spacing w:val="-6"/>
              </w:rPr>
              <w:t>）</w:t>
            </w:r>
          </w:p>
        </w:tc>
        <w:tc>
          <w:tcPr>
            <w:tcW w:w="1702" w:type="dxa"/>
            <w:tcBorders>
              <w:bottom w:val="single" w:color="000000" w:sz="12" w:space="0"/>
            </w:tcBorders>
            <w:vAlign w:val="top"/>
          </w:tcPr>
          <w:p>
            <w:pPr>
              <w:pStyle w:val="6"/>
              <w:spacing w:before="100" w:line="186" w:lineRule="auto"/>
              <w:ind w:left="619"/>
            </w:pPr>
            <w:r>
              <w:rPr>
                <w:spacing w:val="-2"/>
              </w:rPr>
              <w:t>75.61</w:t>
            </w:r>
          </w:p>
        </w:tc>
        <w:tc>
          <w:tcPr>
            <w:tcW w:w="1700" w:type="dxa"/>
            <w:tcBorders>
              <w:bottom w:val="single" w:color="000000" w:sz="12" w:space="0"/>
            </w:tcBorders>
            <w:vAlign w:val="top"/>
          </w:tcPr>
          <w:p>
            <w:pPr>
              <w:pStyle w:val="6"/>
              <w:spacing w:before="100" w:line="186" w:lineRule="auto"/>
              <w:ind w:left="667"/>
            </w:pPr>
            <w:r>
              <w:rPr>
                <w:spacing w:val="-1"/>
              </w:rPr>
              <w:t>2.44</w:t>
            </w:r>
          </w:p>
        </w:tc>
        <w:tc>
          <w:tcPr>
            <w:tcW w:w="1702" w:type="dxa"/>
            <w:tcBorders>
              <w:bottom w:val="single" w:color="000000" w:sz="12" w:space="0"/>
            </w:tcBorders>
            <w:vAlign w:val="top"/>
          </w:tcPr>
          <w:p>
            <w:pPr>
              <w:pStyle w:val="6"/>
              <w:spacing w:before="100" w:line="186" w:lineRule="auto"/>
              <w:ind w:left="616"/>
            </w:pPr>
            <w:r>
              <w:rPr>
                <w:spacing w:val="-1"/>
              </w:rPr>
              <w:t>21.95</w:t>
            </w:r>
          </w:p>
        </w:tc>
        <w:tc>
          <w:tcPr>
            <w:tcW w:w="1032" w:type="dxa"/>
            <w:tcBorders>
              <w:bottom w:val="single" w:color="000000" w:sz="12" w:space="0"/>
              <w:right w:val="nil"/>
            </w:tcBorders>
            <w:vAlign w:val="top"/>
          </w:tcPr>
          <w:p>
            <w:pPr>
              <w:pStyle w:val="6"/>
              <w:spacing w:before="100" w:line="186" w:lineRule="auto"/>
              <w:ind w:left="379"/>
            </w:pPr>
            <w:r>
              <w:rPr>
                <w:spacing w:val="-6"/>
              </w:rPr>
              <w:t>100</w:t>
            </w:r>
          </w:p>
        </w:tc>
      </w:tr>
    </w:tbl>
    <w:p>
      <w:pPr>
        <w:spacing w:before="145" w:line="339" w:lineRule="auto"/>
        <w:ind w:left="38" w:right="81" w:firstLine="480"/>
        <w:rPr>
          <w:rFonts w:ascii="宋体" w:hAnsi="宋体" w:eastAsia="宋体" w:cs="宋体"/>
          <w:sz w:val="24"/>
          <w:szCs w:val="24"/>
        </w:rPr>
      </w:pPr>
      <w:r>
        <w:rPr>
          <w:rFonts w:ascii="宋体" w:hAnsi="宋体" w:eastAsia="宋体" w:cs="宋体"/>
          <w:spacing w:val="-3"/>
          <w:sz w:val="24"/>
          <w:szCs w:val="24"/>
        </w:rPr>
        <w:t>评价区所处区域在中国动物区划中属于东洋界西南区（滇中高原</w:t>
      </w:r>
      <w:r>
        <w:rPr>
          <w:rFonts w:ascii="宋体" w:hAnsi="宋体" w:eastAsia="宋体" w:cs="宋体"/>
          <w:spacing w:val="-4"/>
          <w:sz w:val="24"/>
          <w:szCs w:val="24"/>
        </w:rPr>
        <w:t>亚区</w:t>
      </w:r>
      <w:r>
        <w:rPr>
          <w:rFonts w:ascii="宋体" w:hAnsi="宋体" w:eastAsia="宋体" w:cs="宋体"/>
          <w:spacing w:val="-6"/>
          <w:sz w:val="24"/>
          <w:szCs w:val="24"/>
        </w:rPr>
        <w:t>），</w:t>
      </w:r>
      <w:r>
        <w:rPr>
          <w:rFonts w:ascii="宋体" w:hAnsi="宋体" w:eastAsia="宋体" w:cs="宋体"/>
          <w:spacing w:val="-4"/>
          <w:sz w:val="24"/>
          <w:szCs w:val="24"/>
        </w:rPr>
        <w:t>从</w:t>
      </w:r>
      <w:r>
        <w:rPr>
          <w:rFonts w:ascii="宋体" w:hAnsi="宋体" w:eastAsia="宋体" w:cs="宋体"/>
          <w:sz w:val="24"/>
          <w:szCs w:val="24"/>
        </w:rPr>
        <w:t xml:space="preserve"> </w:t>
      </w:r>
      <w:r>
        <w:rPr>
          <w:rFonts w:ascii="宋体" w:hAnsi="宋体" w:eastAsia="宋体" w:cs="宋体"/>
          <w:spacing w:val="-6"/>
          <w:sz w:val="24"/>
          <w:szCs w:val="24"/>
        </w:rPr>
        <w:t>记述的评价区内分布的鸟类区系特点上，</w:t>
      </w:r>
      <w:r>
        <w:rPr>
          <w:rFonts w:ascii="宋体" w:hAnsi="宋体" w:eastAsia="宋体" w:cs="宋体"/>
          <w:spacing w:val="-14"/>
          <w:sz w:val="24"/>
          <w:szCs w:val="24"/>
        </w:rPr>
        <w:t xml:space="preserve"> </w:t>
      </w:r>
      <w:r>
        <w:rPr>
          <w:rFonts w:ascii="宋体" w:hAnsi="宋体" w:eastAsia="宋体" w:cs="宋体"/>
          <w:spacing w:val="-6"/>
          <w:sz w:val="24"/>
          <w:szCs w:val="24"/>
        </w:rPr>
        <w:t>分界特征上与当地在中国动物地理区划</w:t>
      </w:r>
    </w:p>
    <w:p>
      <w:pPr>
        <w:spacing w:line="219" w:lineRule="auto"/>
        <w:ind w:left="61"/>
        <w:rPr>
          <w:rFonts w:ascii="宋体" w:hAnsi="宋体" w:eastAsia="宋体" w:cs="宋体"/>
          <w:sz w:val="24"/>
          <w:szCs w:val="24"/>
        </w:rPr>
      </w:pPr>
      <w:r>
        <w:rPr>
          <w:rFonts w:ascii="宋体" w:hAnsi="宋体" w:eastAsia="宋体" w:cs="宋体"/>
          <w:spacing w:val="-7"/>
          <w:sz w:val="24"/>
          <w:szCs w:val="24"/>
        </w:rPr>
        <w:t>中的位置大致相符。</w:t>
      </w:r>
    </w:p>
    <w:p>
      <w:pPr>
        <w:spacing w:before="154" w:line="233" w:lineRule="auto"/>
        <w:ind w:left="517"/>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哺乳类</w:t>
      </w:r>
    </w:p>
    <w:p>
      <w:pPr>
        <w:spacing w:before="137" w:line="440" w:lineRule="exact"/>
        <w:ind w:left="519"/>
        <w:rPr>
          <w:rFonts w:ascii="宋体" w:hAnsi="宋体" w:eastAsia="宋体" w:cs="宋体"/>
          <w:sz w:val="24"/>
          <w:szCs w:val="24"/>
        </w:rPr>
      </w:pPr>
      <w:r>
        <w:rPr>
          <w:rFonts w:ascii="宋体" w:hAnsi="宋体" w:eastAsia="宋体" w:cs="宋体"/>
          <w:spacing w:val="-7"/>
          <w:position w:val="15"/>
          <w:sz w:val="24"/>
          <w:szCs w:val="24"/>
        </w:rPr>
        <w:t>根据对建设影响区、评价区及邻近地区现场调查及文献记载， 项目评价区分</w:t>
      </w:r>
    </w:p>
    <w:p>
      <w:pPr>
        <w:spacing w:before="1" w:line="218" w:lineRule="auto"/>
        <w:ind w:left="39"/>
        <w:rPr>
          <w:rFonts w:ascii="宋体" w:hAnsi="宋体" w:eastAsia="宋体" w:cs="宋体"/>
          <w:sz w:val="24"/>
          <w:szCs w:val="24"/>
        </w:rPr>
      </w:pPr>
      <w:r>
        <w:rPr>
          <w:rFonts w:ascii="宋体" w:hAnsi="宋体" w:eastAsia="宋体" w:cs="宋体"/>
          <w:spacing w:val="-4"/>
          <w:sz w:val="24"/>
          <w:szCs w:val="24"/>
        </w:rPr>
        <w:t>布有哺乳动物</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30 </w:t>
      </w:r>
      <w:r>
        <w:rPr>
          <w:rFonts w:ascii="宋体" w:hAnsi="宋体" w:eastAsia="宋体" w:cs="宋体"/>
          <w:spacing w:val="-4"/>
          <w:sz w:val="24"/>
          <w:szCs w:val="24"/>
        </w:rPr>
        <w:t>种，隶属于</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7  </w:t>
      </w:r>
      <w:r>
        <w:rPr>
          <w:rFonts w:ascii="宋体" w:hAnsi="宋体" w:eastAsia="宋体" w:cs="宋体"/>
          <w:spacing w:val="-4"/>
          <w:sz w:val="24"/>
          <w:szCs w:val="24"/>
        </w:rPr>
        <w:t>目</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13 </w:t>
      </w:r>
      <w:r>
        <w:rPr>
          <w:rFonts w:ascii="宋体" w:hAnsi="宋体" w:eastAsia="宋体" w:cs="宋体"/>
          <w:spacing w:val="-4"/>
          <w:sz w:val="24"/>
          <w:szCs w:val="24"/>
        </w:rPr>
        <w:t>科</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23 </w:t>
      </w:r>
      <w:r>
        <w:rPr>
          <w:rFonts w:ascii="宋体" w:hAnsi="宋体" w:eastAsia="宋体" w:cs="宋体"/>
          <w:spacing w:val="-4"/>
          <w:sz w:val="24"/>
          <w:szCs w:val="24"/>
        </w:rPr>
        <w:t>属。具体种类见下表。</w:t>
      </w:r>
    </w:p>
    <w:p>
      <w:pPr>
        <w:pStyle w:val="2"/>
        <w:spacing w:before="180" w:line="219" w:lineRule="auto"/>
        <w:ind w:left="2949"/>
      </w:pPr>
      <w:r>
        <w:rPr>
          <w:spacing w:val="-1"/>
          <w14:textOutline w14:w="3810" w14:cap="flat" w14:cmpd="sng">
            <w14:solidFill>
              <w14:srgbClr w14:val="000000"/>
            </w14:solidFill>
            <w14:prstDash w14:val="solid"/>
            <w14:miter w14:val="0"/>
          </w14:textOutline>
        </w:rPr>
        <w:t>表</w:t>
      </w:r>
      <w:r>
        <w:rPr>
          <w:spacing w:val="-37"/>
        </w:rPr>
        <w:t xml:space="preserve"> </w:t>
      </w:r>
      <w:r>
        <w:rPr>
          <w:rFonts w:ascii="Times New Roman" w:hAnsi="Times New Roman" w:eastAsia="Times New Roman" w:cs="Times New Roman"/>
          <w:b/>
          <w:bCs/>
          <w:spacing w:val="-1"/>
        </w:rPr>
        <w:t xml:space="preserve">3.2-32    </w:t>
      </w:r>
      <w:r>
        <w:rPr>
          <w:spacing w:val="-1"/>
          <w14:textOutline w14:w="3810" w14:cap="flat" w14:cmpd="sng">
            <w14:solidFill>
              <w14:srgbClr w14:val="000000"/>
            </w14:solidFill>
            <w14:prstDash w14:val="solid"/>
            <w14:miter w14:val="0"/>
          </w14:textOutline>
        </w:rPr>
        <w:t>评价区哺乳动物组成</w:t>
      </w:r>
    </w:p>
    <w:p>
      <w:pPr>
        <w:spacing w:line="19" w:lineRule="exact"/>
      </w:pPr>
    </w:p>
    <w:tbl>
      <w:tblPr>
        <w:tblStyle w:val="5"/>
        <w:tblW w:w="8295" w:type="dxa"/>
        <w:tblInd w:w="3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76"/>
        <w:gridCol w:w="3566"/>
        <w:gridCol w:w="145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5" w:hRule="atLeast"/>
        </w:trPr>
        <w:tc>
          <w:tcPr>
            <w:tcW w:w="3276" w:type="dxa"/>
            <w:tcBorders>
              <w:top w:val="single" w:color="000000" w:sz="12" w:space="0"/>
              <w:left w:val="nil"/>
            </w:tcBorders>
            <w:vAlign w:val="top"/>
          </w:tcPr>
          <w:p>
            <w:pPr>
              <w:spacing w:before="30" w:line="206" w:lineRule="auto"/>
              <w:ind w:left="1590"/>
              <w:rPr>
                <w:rFonts w:ascii="仿宋" w:hAnsi="仿宋" w:eastAsia="仿宋" w:cs="仿宋"/>
                <w:sz w:val="21"/>
                <w:szCs w:val="21"/>
              </w:rPr>
            </w:pPr>
            <w:r>
              <w:rPr>
                <w:rFonts w:ascii="仿宋" w:hAnsi="仿宋" w:eastAsia="仿宋" w:cs="仿宋"/>
                <w:sz w:val="21"/>
                <w:szCs w:val="21"/>
              </w:rPr>
              <w:t>目</w:t>
            </w:r>
          </w:p>
        </w:tc>
        <w:tc>
          <w:tcPr>
            <w:tcW w:w="3566" w:type="dxa"/>
            <w:tcBorders>
              <w:top w:val="single" w:color="000000" w:sz="12" w:space="0"/>
            </w:tcBorders>
            <w:vAlign w:val="top"/>
          </w:tcPr>
          <w:p>
            <w:pPr>
              <w:spacing w:before="30" w:line="206" w:lineRule="auto"/>
              <w:ind w:left="1688"/>
              <w:rPr>
                <w:rFonts w:ascii="仿宋" w:hAnsi="仿宋" w:eastAsia="仿宋" w:cs="仿宋"/>
                <w:sz w:val="21"/>
                <w:szCs w:val="21"/>
              </w:rPr>
            </w:pPr>
            <w:r>
              <w:rPr>
                <w:rFonts w:ascii="仿宋" w:hAnsi="仿宋" w:eastAsia="仿宋" w:cs="仿宋"/>
                <w:sz w:val="21"/>
                <w:szCs w:val="21"/>
              </w:rPr>
              <w:t>科</w:t>
            </w:r>
          </w:p>
        </w:tc>
        <w:tc>
          <w:tcPr>
            <w:tcW w:w="1453" w:type="dxa"/>
            <w:tcBorders>
              <w:top w:val="single" w:color="000000" w:sz="12" w:space="0"/>
              <w:right w:val="nil"/>
            </w:tcBorders>
            <w:vAlign w:val="top"/>
          </w:tcPr>
          <w:p>
            <w:pPr>
              <w:spacing w:before="30" w:line="206" w:lineRule="auto"/>
              <w:ind w:left="521"/>
              <w:rPr>
                <w:rFonts w:ascii="仿宋" w:hAnsi="仿宋" w:eastAsia="仿宋" w:cs="仿宋"/>
                <w:sz w:val="21"/>
                <w:szCs w:val="21"/>
              </w:rPr>
            </w:pPr>
            <w:r>
              <w:rPr>
                <w:rFonts w:ascii="仿宋" w:hAnsi="仿宋" w:eastAsia="仿宋" w:cs="仿宋"/>
                <w:spacing w:val="-4"/>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276" w:type="dxa"/>
            <w:tcBorders>
              <w:left w:val="nil"/>
            </w:tcBorders>
            <w:vAlign w:val="top"/>
          </w:tcPr>
          <w:p>
            <w:pPr>
              <w:pStyle w:val="6"/>
              <w:spacing w:before="47" w:line="212" w:lineRule="auto"/>
              <w:ind w:left="575"/>
            </w:pPr>
            <w:r>
              <w:rPr>
                <w:rFonts w:ascii="仿宋" w:hAnsi="仿宋" w:eastAsia="仿宋" w:cs="仿宋"/>
                <w:spacing w:val="-2"/>
              </w:rPr>
              <w:t>劳亚食虫目</w:t>
            </w:r>
            <w:r>
              <w:rPr>
                <w:rFonts w:ascii="仿宋" w:hAnsi="仿宋" w:eastAsia="仿宋" w:cs="仿宋"/>
                <w:spacing w:val="-44"/>
              </w:rPr>
              <w:t xml:space="preserve"> </w:t>
            </w:r>
            <w:r>
              <w:rPr>
                <w:spacing w:val="-2"/>
              </w:rPr>
              <w:t>Eulipotyphla</w:t>
            </w:r>
          </w:p>
        </w:tc>
        <w:tc>
          <w:tcPr>
            <w:tcW w:w="3566" w:type="dxa"/>
            <w:vAlign w:val="top"/>
          </w:tcPr>
          <w:p>
            <w:pPr>
              <w:pStyle w:val="6"/>
              <w:spacing w:before="46" w:line="213" w:lineRule="auto"/>
              <w:ind w:left="1190"/>
            </w:pPr>
            <w:r>
              <w:rPr>
                <w:rFonts w:ascii="仿宋" w:hAnsi="仿宋" w:eastAsia="仿宋" w:cs="仿宋"/>
                <w:spacing w:val="-3"/>
              </w:rPr>
              <w:t>鼹科</w:t>
            </w:r>
            <w:r>
              <w:rPr>
                <w:rFonts w:ascii="仿宋" w:hAnsi="仿宋" w:eastAsia="仿宋" w:cs="仿宋"/>
                <w:spacing w:val="-39"/>
              </w:rPr>
              <w:t xml:space="preserve"> </w:t>
            </w:r>
            <w:r>
              <w:rPr>
                <w:spacing w:val="-3"/>
              </w:rPr>
              <w:t>Talpidae</w:t>
            </w:r>
          </w:p>
        </w:tc>
        <w:tc>
          <w:tcPr>
            <w:tcW w:w="1453" w:type="dxa"/>
            <w:tcBorders>
              <w:right w:val="nil"/>
            </w:tcBorders>
            <w:vAlign w:val="top"/>
          </w:tcPr>
          <w:p>
            <w:pPr>
              <w:pStyle w:val="6"/>
              <w:spacing w:before="85"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276" w:type="dxa"/>
            <w:tcBorders>
              <w:left w:val="nil"/>
            </w:tcBorders>
            <w:vAlign w:val="top"/>
          </w:tcPr>
          <w:p>
            <w:pPr>
              <w:rPr>
                <w:rFonts w:ascii="Arial"/>
                <w:sz w:val="21"/>
              </w:rPr>
            </w:pPr>
          </w:p>
        </w:tc>
        <w:tc>
          <w:tcPr>
            <w:tcW w:w="3566" w:type="dxa"/>
            <w:vAlign w:val="top"/>
          </w:tcPr>
          <w:p>
            <w:pPr>
              <w:pStyle w:val="6"/>
              <w:spacing w:before="49" w:line="214" w:lineRule="auto"/>
              <w:ind w:left="1057"/>
            </w:pPr>
            <w:r>
              <w:rPr>
                <w:rFonts w:ascii="仿宋" w:hAnsi="仿宋" w:eastAsia="仿宋" w:cs="仿宋"/>
                <w:spacing w:val="-3"/>
              </w:rPr>
              <w:t>鼩鼱科</w:t>
            </w:r>
            <w:r>
              <w:rPr>
                <w:rFonts w:ascii="仿宋" w:hAnsi="仿宋" w:eastAsia="仿宋" w:cs="仿宋"/>
                <w:spacing w:val="-33"/>
              </w:rPr>
              <w:t xml:space="preserve"> </w:t>
            </w:r>
            <w:r>
              <w:rPr>
                <w:spacing w:val="-3"/>
              </w:rPr>
              <w:t>Soricidae</w:t>
            </w:r>
          </w:p>
        </w:tc>
        <w:tc>
          <w:tcPr>
            <w:tcW w:w="1453" w:type="dxa"/>
            <w:tcBorders>
              <w:right w:val="nil"/>
            </w:tcBorders>
            <w:vAlign w:val="top"/>
          </w:tcPr>
          <w:p>
            <w:pPr>
              <w:pStyle w:val="6"/>
              <w:spacing w:before="86" w:line="186" w:lineRule="auto"/>
              <w:ind w:left="671"/>
            </w:pPr>
            <w: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2" w:hRule="atLeast"/>
        </w:trPr>
        <w:tc>
          <w:tcPr>
            <w:tcW w:w="3276" w:type="dxa"/>
            <w:tcBorders>
              <w:left w:val="nil"/>
            </w:tcBorders>
            <w:vAlign w:val="top"/>
          </w:tcPr>
          <w:p>
            <w:pPr>
              <w:pStyle w:val="6"/>
              <w:spacing w:before="50" w:line="212" w:lineRule="auto"/>
              <w:ind w:left="856"/>
            </w:pPr>
            <w:r>
              <w:rPr>
                <w:rFonts w:ascii="仿宋" w:hAnsi="仿宋" w:eastAsia="仿宋" w:cs="仿宋"/>
                <w:spacing w:val="-3"/>
              </w:rPr>
              <w:t>攀鼩目</w:t>
            </w:r>
            <w:r>
              <w:rPr>
                <w:rFonts w:ascii="仿宋" w:hAnsi="仿宋" w:eastAsia="仿宋" w:cs="仿宋"/>
                <w:spacing w:val="-29"/>
              </w:rPr>
              <w:t xml:space="preserve"> </w:t>
            </w:r>
            <w:r>
              <w:rPr>
                <w:spacing w:val="-3"/>
              </w:rPr>
              <w:t>Scandentia</w:t>
            </w:r>
          </w:p>
        </w:tc>
        <w:tc>
          <w:tcPr>
            <w:tcW w:w="3566" w:type="dxa"/>
            <w:vAlign w:val="top"/>
          </w:tcPr>
          <w:p>
            <w:pPr>
              <w:pStyle w:val="6"/>
              <w:spacing w:before="50" w:line="212" w:lineRule="auto"/>
              <w:ind w:left="1031"/>
            </w:pPr>
            <w:r>
              <w:rPr>
                <w:rFonts w:ascii="仿宋" w:hAnsi="仿宋" w:eastAsia="仿宋" w:cs="仿宋"/>
                <w:spacing w:val="-2"/>
              </w:rPr>
              <w:t>树鼩科</w:t>
            </w:r>
            <w:r>
              <w:rPr>
                <w:rFonts w:ascii="仿宋" w:hAnsi="仿宋" w:eastAsia="仿宋" w:cs="仿宋"/>
                <w:spacing w:val="-43"/>
              </w:rPr>
              <w:t xml:space="preserve"> </w:t>
            </w:r>
            <w:r>
              <w:rPr>
                <w:spacing w:val="-2"/>
              </w:rPr>
              <w:t>Tupaiidae</w:t>
            </w:r>
          </w:p>
        </w:tc>
        <w:tc>
          <w:tcPr>
            <w:tcW w:w="1453" w:type="dxa"/>
            <w:tcBorders>
              <w:right w:val="nil"/>
            </w:tcBorders>
            <w:vAlign w:val="top"/>
          </w:tcPr>
          <w:p>
            <w:pPr>
              <w:pStyle w:val="6"/>
              <w:spacing w:before="89"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276" w:type="dxa"/>
            <w:vMerge w:val="restart"/>
            <w:tcBorders>
              <w:left w:val="nil"/>
              <w:bottom w:val="nil"/>
            </w:tcBorders>
            <w:vAlign w:val="top"/>
          </w:tcPr>
          <w:p>
            <w:pPr>
              <w:spacing w:line="293" w:lineRule="auto"/>
              <w:rPr>
                <w:rFonts w:ascii="Arial"/>
                <w:sz w:val="21"/>
              </w:rPr>
            </w:pPr>
          </w:p>
          <w:p>
            <w:pPr>
              <w:pStyle w:val="6"/>
              <w:spacing w:before="68" w:line="213" w:lineRule="auto"/>
              <w:ind w:left="874"/>
            </w:pPr>
            <w:r>
              <w:rPr>
                <w:rFonts w:ascii="仿宋" w:hAnsi="仿宋" w:eastAsia="仿宋" w:cs="仿宋"/>
                <w:spacing w:val="-3"/>
              </w:rPr>
              <w:t>翼手目</w:t>
            </w:r>
            <w:r>
              <w:rPr>
                <w:rFonts w:ascii="仿宋" w:hAnsi="仿宋" w:eastAsia="仿宋" w:cs="仿宋"/>
                <w:spacing w:val="-34"/>
              </w:rPr>
              <w:t xml:space="preserve"> </w:t>
            </w:r>
            <w:r>
              <w:rPr>
                <w:spacing w:val="-3"/>
              </w:rPr>
              <w:t>Chiroptera</w:t>
            </w:r>
          </w:p>
        </w:tc>
        <w:tc>
          <w:tcPr>
            <w:tcW w:w="3566" w:type="dxa"/>
            <w:vAlign w:val="top"/>
          </w:tcPr>
          <w:p>
            <w:pPr>
              <w:pStyle w:val="6"/>
              <w:spacing w:before="52" w:line="212" w:lineRule="auto"/>
              <w:ind w:left="735"/>
            </w:pPr>
            <w:r>
              <w:rPr>
                <w:rFonts w:ascii="仿宋" w:hAnsi="仿宋" w:eastAsia="仿宋" w:cs="仿宋"/>
                <w:spacing w:val="-2"/>
              </w:rPr>
              <w:t>菊头蝠科</w:t>
            </w:r>
            <w:r>
              <w:rPr>
                <w:rFonts w:ascii="仿宋" w:hAnsi="仿宋" w:eastAsia="仿宋" w:cs="仿宋"/>
                <w:spacing w:val="-40"/>
              </w:rPr>
              <w:t xml:space="preserve"> </w:t>
            </w:r>
            <w:r>
              <w:rPr>
                <w:spacing w:val="-2"/>
              </w:rPr>
              <w:t>Rhinolophidae</w:t>
            </w:r>
          </w:p>
        </w:tc>
        <w:tc>
          <w:tcPr>
            <w:tcW w:w="1453" w:type="dxa"/>
            <w:tcBorders>
              <w:right w:val="nil"/>
            </w:tcBorders>
            <w:vAlign w:val="top"/>
          </w:tcPr>
          <w:p>
            <w:pPr>
              <w:pStyle w:val="6"/>
              <w:spacing w:before="91" w:line="186" w:lineRule="auto"/>
              <w:ind w:left="675"/>
            </w:pPr>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2" w:hRule="atLeast"/>
        </w:trPr>
        <w:tc>
          <w:tcPr>
            <w:tcW w:w="3276" w:type="dxa"/>
            <w:vMerge w:val="continue"/>
            <w:tcBorders>
              <w:top w:val="nil"/>
              <w:left w:val="nil"/>
              <w:bottom w:val="nil"/>
            </w:tcBorders>
            <w:vAlign w:val="top"/>
          </w:tcPr>
          <w:p>
            <w:pPr>
              <w:rPr>
                <w:rFonts w:ascii="Arial"/>
                <w:sz w:val="21"/>
              </w:rPr>
            </w:pPr>
          </w:p>
        </w:tc>
        <w:tc>
          <w:tcPr>
            <w:tcW w:w="3566" w:type="dxa"/>
            <w:vAlign w:val="top"/>
          </w:tcPr>
          <w:p>
            <w:pPr>
              <w:pStyle w:val="6"/>
              <w:spacing w:before="55" w:line="208" w:lineRule="auto"/>
              <w:ind w:left="811"/>
            </w:pPr>
            <w:r>
              <w:rPr>
                <w:rFonts w:ascii="仿宋" w:hAnsi="仿宋" w:eastAsia="仿宋" w:cs="仿宋"/>
                <w:spacing w:val="-2"/>
              </w:rPr>
              <w:t>蹄蝠科</w:t>
            </w:r>
            <w:r>
              <w:rPr>
                <w:rFonts w:ascii="仿宋" w:hAnsi="仿宋" w:eastAsia="仿宋" w:cs="仿宋"/>
                <w:spacing w:val="-35"/>
              </w:rPr>
              <w:t xml:space="preserve"> </w:t>
            </w:r>
            <w:r>
              <w:rPr>
                <w:spacing w:val="-2"/>
              </w:rPr>
              <w:t>Hipposideridae</w:t>
            </w:r>
          </w:p>
        </w:tc>
        <w:tc>
          <w:tcPr>
            <w:tcW w:w="1453" w:type="dxa"/>
            <w:tcBorders>
              <w:right w:val="nil"/>
            </w:tcBorders>
            <w:vAlign w:val="top"/>
          </w:tcPr>
          <w:p>
            <w:pPr>
              <w:pStyle w:val="6"/>
              <w:spacing w:before="92"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2" w:hRule="atLeast"/>
        </w:trPr>
        <w:tc>
          <w:tcPr>
            <w:tcW w:w="3276" w:type="dxa"/>
            <w:vMerge w:val="continue"/>
            <w:tcBorders>
              <w:top w:val="nil"/>
              <w:left w:val="nil"/>
            </w:tcBorders>
            <w:vAlign w:val="top"/>
          </w:tcPr>
          <w:p>
            <w:pPr>
              <w:rPr>
                <w:rFonts w:ascii="Arial"/>
                <w:sz w:val="21"/>
              </w:rPr>
            </w:pPr>
          </w:p>
        </w:tc>
        <w:tc>
          <w:tcPr>
            <w:tcW w:w="3566" w:type="dxa"/>
            <w:vAlign w:val="top"/>
          </w:tcPr>
          <w:p>
            <w:pPr>
              <w:pStyle w:val="6"/>
              <w:spacing w:before="57" w:line="206" w:lineRule="auto"/>
              <w:ind w:left="760"/>
            </w:pPr>
            <w:r>
              <w:rPr>
                <w:rFonts w:ascii="仿宋" w:hAnsi="仿宋" w:eastAsia="仿宋" w:cs="仿宋"/>
                <w:spacing w:val="-1"/>
              </w:rPr>
              <w:t>蝙蝠科</w:t>
            </w:r>
            <w:r>
              <w:rPr>
                <w:rFonts w:ascii="仿宋" w:hAnsi="仿宋" w:eastAsia="仿宋" w:cs="仿宋"/>
                <w:spacing w:val="-50"/>
              </w:rPr>
              <w:t xml:space="preserve"> </w:t>
            </w:r>
            <w:r>
              <w:rPr>
                <w:spacing w:val="-1"/>
              </w:rPr>
              <w:t>Vespertilionidae</w:t>
            </w:r>
          </w:p>
        </w:tc>
        <w:tc>
          <w:tcPr>
            <w:tcW w:w="1453" w:type="dxa"/>
            <w:tcBorders>
              <w:right w:val="nil"/>
            </w:tcBorders>
            <w:vAlign w:val="top"/>
          </w:tcPr>
          <w:p>
            <w:pPr>
              <w:pStyle w:val="6"/>
              <w:spacing w:before="96" w:line="186" w:lineRule="auto"/>
              <w:ind w:left="675"/>
            </w:pPr>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276" w:type="dxa"/>
            <w:vMerge w:val="restart"/>
            <w:tcBorders>
              <w:left w:val="nil"/>
              <w:bottom w:val="nil"/>
            </w:tcBorders>
            <w:vAlign w:val="top"/>
          </w:tcPr>
          <w:p>
            <w:pPr>
              <w:pStyle w:val="6"/>
              <w:spacing w:before="214" w:line="220" w:lineRule="auto"/>
              <w:ind w:left="897"/>
            </w:pPr>
            <w:r>
              <w:rPr>
                <w:rFonts w:ascii="仿宋" w:hAnsi="仿宋" w:eastAsia="仿宋" w:cs="仿宋"/>
                <w:spacing w:val="-2"/>
              </w:rPr>
              <w:t>食肉目</w:t>
            </w:r>
            <w:r>
              <w:rPr>
                <w:rFonts w:ascii="仿宋" w:hAnsi="仿宋" w:eastAsia="仿宋" w:cs="仿宋"/>
                <w:spacing w:val="-43"/>
              </w:rPr>
              <w:t xml:space="preserve"> </w:t>
            </w:r>
            <w:r>
              <w:rPr>
                <w:spacing w:val="-2"/>
              </w:rPr>
              <w:t>Carnivora</w:t>
            </w:r>
          </w:p>
        </w:tc>
        <w:tc>
          <w:tcPr>
            <w:tcW w:w="3566" w:type="dxa"/>
            <w:vAlign w:val="top"/>
          </w:tcPr>
          <w:p>
            <w:pPr>
              <w:pStyle w:val="6"/>
              <w:spacing w:before="59" w:line="206" w:lineRule="auto"/>
              <w:ind w:left="1093"/>
            </w:pPr>
            <w:r>
              <w:rPr>
                <w:rFonts w:ascii="仿宋" w:hAnsi="仿宋" w:eastAsia="仿宋" w:cs="仿宋"/>
                <w:spacing w:val="-2"/>
              </w:rPr>
              <w:t>鼬科</w:t>
            </w:r>
            <w:r>
              <w:rPr>
                <w:rFonts w:ascii="仿宋" w:hAnsi="仿宋" w:eastAsia="仿宋" w:cs="仿宋"/>
                <w:spacing w:val="-47"/>
              </w:rPr>
              <w:t xml:space="preserve"> </w:t>
            </w:r>
            <w:r>
              <w:rPr>
                <w:spacing w:val="-2"/>
              </w:rPr>
              <w:t>Mustelidae</w:t>
            </w:r>
          </w:p>
        </w:tc>
        <w:tc>
          <w:tcPr>
            <w:tcW w:w="1453" w:type="dxa"/>
            <w:tcBorders>
              <w:right w:val="nil"/>
            </w:tcBorders>
            <w:vAlign w:val="top"/>
          </w:tcPr>
          <w:p>
            <w:pPr>
              <w:pStyle w:val="6"/>
              <w:spacing w:before="98" w:line="186" w:lineRule="auto"/>
              <w:ind w:left="670"/>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2" w:hRule="atLeast"/>
        </w:trPr>
        <w:tc>
          <w:tcPr>
            <w:tcW w:w="3276" w:type="dxa"/>
            <w:vMerge w:val="continue"/>
            <w:tcBorders>
              <w:top w:val="nil"/>
              <w:left w:val="nil"/>
            </w:tcBorders>
            <w:vAlign w:val="top"/>
          </w:tcPr>
          <w:p>
            <w:pPr>
              <w:rPr>
                <w:rFonts w:ascii="Arial"/>
                <w:sz w:val="21"/>
              </w:rPr>
            </w:pPr>
          </w:p>
        </w:tc>
        <w:tc>
          <w:tcPr>
            <w:tcW w:w="3566" w:type="dxa"/>
            <w:vAlign w:val="top"/>
          </w:tcPr>
          <w:p>
            <w:pPr>
              <w:pStyle w:val="6"/>
              <w:spacing w:before="62" w:line="202" w:lineRule="auto"/>
              <w:ind w:left="1007"/>
            </w:pPr>
            <w:r>
              <w:rPr>
                <w:rFonts w:ascii="仿宋" w:hAnsi="仿宋" w:eastAsia="仿宋" w:cs="仿宋"/>
                <w:spacing w:val="-2"/>
              </w:rPr>
              <w:t>灵猫科</w:t>
            </w:r>
            <w:r>
              <w:rPr>
                <w:rFonts w:ascii="仿宋" w:hAnsi="仿宋" w:eastAsia="仿宋" w:cs="仿宋"/>
                <w:spacing w:val="-47"/>
              </w:rPr>
              <w:t xml:space="preserve"> </w:t>
            </w:r>
            <w:r>
              <w:rPr>
                <w:spacing w:val="-2"/>
              </w:rPr>
              <w:t>Viverridae</w:t>
            </w:r>
          </w:p>
        </w:tc>
        <w:tc>
          <w:tcPr>
            <w:tcW w:w="1453" w:type="dxa"/>
            <w:tcBorders>
              <w:right w:val="nil"/>
            </w:tcBorders>
            <w:vAlign w:val="top"/>
          </w:tcPr>
          <w:p>
            <w:pPr>
              <w:pStyle w:val="6"/>
              <w:spacing w:before="99"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276" w:type="dxa"/>
            <w:tcBorders>
              <w:left w:val="nil"/>
            </w:tcBorders>
            <w:vAlign w:val="top"/>
          </w:tcPr>
          <w:p>
            <w:pPr>
              <w:pStyle w:val="6"/>
              <w:spacing w:before="64" w:line="201" w:lineRule="auto"/>
              <w:ind w:left="792"/>
            </w:pPr>
            <w:r>
              <w:rPr>
                <w:rFonts w:ascii="仿宋" w:hAnsi="仿宋" w:eastAsia="仿宋" w:cs="仿宋"/>
                <w:spacing w:val="-2"/>
              </w:rPr>
              <w:t>偶蹄目</w:t>
            </w:r>
            <w:r>
              <w:rPr>
                <w:rFonts w:ascii="仿宋" w:hAnsi="仿宋" w:eastAsia="仿宋" w:cs="仿宋"/>
                <w:spacing w:val="-38"/>
              </w:rPr>
              <w:t xml:space="preserve"> </w:t>
            </w:r>
            <w:r>
              <w:rPr>
                <w:spacing w:val="-2"/>
              </w:rPr>
              <w:t>Artiodactyla</w:t>
            </w:r>
          </w:p>
        </w:tc>
        <w:tc>
          <w:tcPr>
            <w:tcW w:w="3566" w:type="dxa"/>
            <w:vAlign w:val="top"/>
          </w:tcPr>
          <w:p>
            <w:pPr>
              <w:pStyle w:val="6"/>
              <w:spacing w:before="64" w:line="201" w:lineRule="auto"/>
              <w:ind w:left="1180"/>
            </w:pPr>
            <w:r>
              <w:rPr>
                <w:rFonts w:ascii="仿宋" w:hAnsi="仿宋" w:eastAsia="仿宋" w:cs="仿宋"/>
                <w:spacing w:val="-3"/>
              </w:rPr>
              <w:t>鹿科</w:t>
            </w:r>
            <w:r>
              <w:rPr>
                <w:rFonts w:ascii="仿宋" w:hAnsi="仿宋" w:eastAsia="仿宋" w:cs="仿宋"/>
                <w:spacing w:val="-40"/>
              </w:rPr>
              <w:t xml:space="preserve"> </w:t>
            </w:r>
            <w:r>
              <w:rPr>
                <w:spacing w:val="-3"/>
              </w:rPr>
              <w:t>Cervidae</w:t>
            </w:r>
          </w:p>
        </w:tc>
        <w:tc>
          <w:tcPr>
            <w:tcW w:w="1453" w:type="dxa"/>
            <w:tcBorders>
              <w:right w:val="nil"/>
            </w:tcBorders>
            <w:vAlign w:val="top"/>
          </w:tcPr>
          <w:p>
            <w:pPr>
              <w:pStyle w:val="6"/>
              <w:spacing w:before="103"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276" w:type="dxa"/>
            <w:vMerge w:val="restart"/>
            <w:tcBorders>
              <w:left w:val="nil"/>
              <w:bottom w:val="nil"/>
            </w:tcBorders>
            <w:vAlign w:val="top"/>
          </w:tcPr>
          <w:p>
            <w:pPr>
              <w:spacing w:line="306" w:lineRule="auto"/>
              <w:rPr>
                <w:rFonts w:ascii="Arial"/>
                <w:sz w:val="21"/>
              </w:rPr>
            </w:pPr>
          </w:p>
          <w:p>
            <w:pPr>
              <w:pStyle w:val="6"/>
              <w:spacing w:before="69" w:line="222" w:lineRule="auto"/>
              <w:ind w:left="948"/>
            </w:pPr>
            <w:r>
              <w:rPr>
                <w:rFonts w:ascii="仿宋" w:hAnsi="仿宋" w:eastAsia="仿宋" w:cs="仿宋"/>
                <w:spacing w:val="-3"/>
              </w:rPr>
              <w:t>啮齿目</w:t>
            </w:r>
            <w:r>
              <w:rPr>
                <w:rFonts w:ascii="仿宋" w:hAnsi="仿宋" w:eastAsia="仿宋" w:cs="仿宋"/>
                <w:spacing w:val="-45"/>
              </w:rPr>
              <w:t xml:space="preserve"> </w:t>
            </w:r>
            <w:r>
              <w:rPr>
                <w:spacing w:val="-3"/>
              </w:rPr>
              <w:t>Rodentia</w:t>
            </w:r>
          </w:p>
        </w:tc>
        <w:tc>
          <w:tcPr>
            <w:tcW w:w="3566" w:type="dxa"/>
            <w:vAlign w:val="top"/>
          </w:tcPr>
          <w:p>
            <w:pPr>
              <w:pStyle w:val="6"/>
              <w:spacing w:before="66" w:line="200" w:lineRule="auto"/>
              <w:ind w:left="1053"/>
            </w:pPr>
            <w:r>
              <w:rPr>
                <w:rFonts w:ascii="仿宋" w:hAnsi="仿宋" w:eastAsia="仿宋" w:cs="仿宋"/>
                <w:spacing w:val="-3"/>
              </w:rPr>
              <w:t>松鼠科</w:t>
            </w:r>
            <w:r>
              <w:rPr>
                <w:rFonts w:ascii="仿宋" w:hAnsi="仿宋" w:eastAsia="仿宋" w:cs="仿宋"/>
                <w:spacing w:val="-30"/>
              </w:rPr>
              <w:t xml:space="preserve"> </w:t>
            </w:r>
            <w:r>
              <w:rPr>
                <w:spacing w:val="-3"/>
              </w:rPr>
              <w:t>Sciuridae</w:t>
            </w:r>
          </w:p>
        </w:tc>
        <w:tc>
          <w:tcPr>
            <w:tcW w:w="1453" w:type="dxa"/>
            <w:tcBorders>
              <w:right w:val="nil"/>
            </w:tcBorders>
            <w:vAlign w:val="top"/>
          </w:tcPr>
          <w:p>
            <w:pPr>
              <w:pStyle w:val="6"/>
              <w:spacing w:before="105" w:line="186" w:lineRule="auto"/>
              <w:ind w:left="675"/>
            </w:pPr>
            <w: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276" w:type="dxa"/>
            <w:vMerge w:val="continue"/>
            <w:tcBorders>
              <w:top w:val="nil"/>
              <w:left w:val="nil"/>
              <w:bottom w:val="nil"/>
            </w:tcBorders>
            <w:vAlign w:val="top"/>
          </w:tcPr>
          <w:p>
            <w:pPr>
              <w:rPr>
                <w:rFonts w:ascii="Arial"/>
                <w:sz w:val="21"/>
              </w:rPr>
            </w:pPr>
          </w:p>
        </w:tc>
        <w:tc>
          <w:tcPr>
            <w:tcW w:w="3566" w:type="dxa"/>
            <w:vAlign w:val="top"/>
          </w:tcPr>
          <w:p>
            <w:pPr>
              <w:pStyle w:val="6"/>
              <w:spacing w:before="68" w:line="197" w:lineRule="auto"/>
              <w:ind w:left="1025"/>
            </w:pPr>
            <w:r>
              <w:rPr>
                <w:rFonts w:ascii="仿宋" w:hAnsi="仿宋" w:eastAsia="仿宋" w:cs="仿宋"/>
                <w:spacing w:val="-2"/>
              </w:rPr>
              <w:t>仓鼠科</w:t>
            </w:r>
            <w:r>
              <w:rPr>
                <w:rFonts w:ascii="仿宋" w:hAnsi="仿宋" w:eastAsia="仿宋" w:cs="仿宋"/>
                <w:spacing w:val="-45"/>
              </w:rPr>
              <w:t xml:space="preserve"> </w:t>
            </w:r>
            <w:r>
              <w:rPr>
                <w:spacing w:val="-2"/>
              </w:rPr>
              <w:t>Cricetidae</w:t>
            </w:r>
          </w:p>
        </w:tc>
        <w:tc>
          <w:tcPr>
            <w:tcW w:w="1453" w:type="dxa"/>
            <w:tcBorders>
              <w:right w:val="nil"/>
            </w:tcBorders>
            <w:vAlign w:val="top"/>
          </w:tcPr>
          <w:p>
            <w:pPr>
              <w:pStyle w:val="6"/>
              <w:spacing w:before="105" w:line="186"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3" w:hRule="atLeast"/>
        </w:trPr>
        <w:tc>
          <w:tcPr>
            <w:tcW w:w="3276" w:type="dxa"/>
            <w:vMerge w:val="continue"/>
            <w:tcBorders>
              <w:top w:val="nil"/>
              <w:left w:val="nil"/>
            </w:tcBorders>
            <w:vAlign w:val="top"/>
          </w:tcPr>
          <w:p>
            <w:pPr>
              <w:rPr>
                <w:rFonts w:ascii="Arial"/>
                <w:sz w:val="21"/>
              </w:rPr>
            </w:pPr>
          </w:p>
        </w:tc>
        <w:tc>
          <w:tcPr>
            <w:tcW w:w="3566" w:type="dxa"/>
            <w:vAlign w:val="top"/>
          </w:tcPr>
          <w:p>
            <w:pPr>
              <w:pStyle w:val="6"/>
              <w:spacing w:before="70" w:line="196" w:lineRule="auto"/>
              <w:ind w:left="1225"/>
            </w:pPr>
            <w:r>
              <w:rPr>
                <w:rFonts w:ascii="仿宋" w:hAnsi="仿宋" w:eastAsia="仿宋" w:cs="仿宋"/>
                <w:spacing w:val="-5"/>
              </w:rPr>
              <w:t>鼠科</w:t>
            </w:r>
            <w:r>
              <w:rPr>
                <w:rFonts w:ascii="仿宋" w:hAnsi="仿宋" w:eastAsia="仿宋" w:cs="仿宋"/>
                <w:spacing w:val="-47"/>
              </w:rPr>
              <w:t xml:space="preserve"> </w:t>
            </w:r>
            <w:r>
              <w:rPr>
                <w:spacing w:val="-5"/>
              </w:rPr>
              <w:t>Muridae</w:t>
            </w:r>
          </w:p>
        </w:tc>
        <w:tc>
          <w:tcPr>
            <w:tcW w:w="1453" w:type="dxa"/>
            <w:tcBorders>
              <w:right w:val="nil"/>
            </w:tcBorders>
            <w:vAlign w:val="top"/>
          </w:tcPr>
          <w:p>
            <w:pPr>
              <w:pStyle w:val="6"/>
              <w:spacing w:before="108" w:line="183" w:lineRule="auto"/>
              <w:ind w:left="676"/>
            </w:pPr>
            <w: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3276" w:type="dxa"/>
            <w:tcBorders>
              <w:left w:val="nil"/>
            </w:tcBorders>
            <w:vAlign w:val="top"/>
          </w:tcPr>
          <w:p>
            <w:pPr>
              <w:pStyle w:val="6"/>
              <w:spacing w:before="71" w:line="196" w:lineRule="auto"/>
              <w:ind w:left="780"/>
            </w:pPr>
            <w:r>
              <w:rPr>
                <w:rFonts w:ascii="仿宋" w:hAnsi="仿宋" w:eastAsia="仿宋" w:cs="仿宋"/>
                <w:spacing w:val="-2"/>
              </w:rPr>
              <w:t>兔形目</w:t>
            </w:r>
            <w:r>
              <w:rPr>
                <w:rFonts w:ascii="仿宋" w:hAnsi="仿宋" w:eastAsia="仿宋" w:cs="仿宋"/>
                <w:spacing w:val="-42"/>
              </w:rPr>
              <w:t xml:space="preserve"> </w:t>
            </w:r>
            <w:r>
              <w:rPr>
                <w:spacing w:val="-2"/>
              </w:rPr>
              <w:t>Lagomorpha</w:t>
            </w:r>
          </w:p>
        </w:tc>
        <w:tc>
          <w:tcPr>
            <w:tcW w:w="3566" w:type="dxa"/>
            <w:vAlign w:val="top"/>
          </w:tcPr>
          <w:p>
            <w:pPr>
              <w:pStyle w:val="6"/>
              <w:spacing w:before="71" w:line="196" w:lineRule="auto"/>
              <w:ind w:left="1131"/>
            </w:pPr>
            <w:r>
              <w:rPr>
                <w:rFonts w:ascii="仿宋" w:hAnsi="仿宋" w:eastAsia="仿宋" w:cs="仿宋"/>
                <w:spacing w:val="-2"/>
              </w:rPr>
              <w:t>兔科</w:t>
            </w:r>
            <w:r>
              <w:rPr>
                <w:rFonts w:ascii="仿宋" w:hAnsi="仿宋" w:eastAsia="仿宋" w:cs="仿宋"/>
                <w:spacing w:val="-45"/>
              </w:rPr>
              <w:t xml:space="preserve"> </w:t>
            </w:r>
            <w:r>
              <w:rPr>
                <w:spacing w:val="-2"/>
              </w:rPr>
              <w:t>Leporidae</w:t>
            </w:r>
          </w:p>
        </w:tc>
        <w:tc>
          <w:tcPr>
            <w:tcW w:w="1453" w:type="dxa"/>
            <w:tcBorders>
              <w:right w:val="nil"/>
            </w:tcBorders>
            <w:vAlign w:val="top"/>
          </w:tcPr>
          <w:p>
            <w:pPr>
              <w:pStyle w:val="6"/>
              <w:spacing w:before="109" w:line="183" w:lineRule="auto"/>
              <w:ind w:left="691"/>
            </w:pPr>
            <w: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8" w:hRule="atLeast"/>
        </w:trPr>
        <w:tc>
          <w:tcPr>
            <w:tcW w:w="3276" w:type="dxa"/>
            <w:tcBorders>
              <w:left w:val="nil"/>
              <w:bottom w:val="single" w:color="000000" w:sz="12" w:space="0"/>
            </w:tcBorders>
            <w:vAlign w:val="top"/>
          </w:tcPr>
          <w:p>
            <w:pPr>
              <w:pStyle w:val="6"/>
              <w:spacing w:before="73" w:line="215" w:lineRule="auto"/>
              <w:ind w:left="1165"/>
              <w:rPr>
                <w:rFonts w:ascii="仿宋" w:hAnsi="仿宋" w:eastAsia="仿宋" w:cs="仿宋"/>
              </w:rPr>
            </w:pPr>
            <w:r>
              <w:rPr>
                <w:rFonts w:ascii="仿宋" w:hAnsi="仿宋" w:eastAsia="仿宋" w:cs="仿宋"/>
                <w:spacing w:val="-25"/>
              </w:rPr>
              <w:t>合计：</w:t>
            </w:r>
            <w:r>
              <w:rPr>
                <w:rFonts w:ascii="仿宋" w:hAnsi="仿宋" w:eastAsia="仿宋" w:cs="仿宋"/>
                <w:spacing w:val="-1"/>
              </w:rPr>
              <w:t xml:space="preserve"> </w:t>
            </w:r>
            <w:r>
              <w:rPr>
                <w:spacing w:val="-25"/>
              </w:rPr>
              <w:t>7</w:t>
            </w:r>
            <w:r>
              <w:rPr>
                <w:spacing w:val="51"/>
                <w:w w:val="101"/>
              </w:rPr>
              <w:t xml:space="preserve"> </w:t>
            </w:r>
            <w:r>
              <w:rPr>
                <w:rFonts w:ascii="仿宋" w:hAnsi="仿宋" w:eastAsia="仿宋" w:cs="仿宋"/>
                <w:spacing w:val="-25"/>
              </w:rPr>
              <w:t>目</w:t>
            </w:r>
          </w:p>
        </w:tc>
        <w:tc>
          <w:tcPr>
            <w:tcW w:w="3566" w:type="dxa"/>
            <w:tcBorders>
              <w:bottom w:val="single" w:color="000000" w:sz="12" w:space="0"/>
            </w:tcBorders>
            <w:vAlign w:val="top"/>
          </w:tcPr>
          <w:p>
            <w:pPr>
              <w:pStyle w:val="6"/>
              <w:spacing w:before="73" w:line="215" w:lineRule="auto"/>
              <w:ind w:left="1562"/>
              <w:rPr>
                <w:rFonts w:ascii="仿宋" w:hAnsi="仿宋" w:eastAsia="仿宋" w:cs="仿宋"/>
              </w:rPr>
            </w:pPr>
            <w:r>
              <w:rPr>
                <w:spacing w:val="-8"/>
              </w:rPr>
              <w:t>13</w:t>
            </w:r>
            <w:r>
              <w:rPr>
                <w:spacing w:val="15"/>
                <w:w w:val="101"/>
              </w:rPr>
              <w:t xml:space="preserve"> </w:t>
            </w:r>
            <w:r>
              <w:rPr>
                <w:rFonts w:ascii="仿宋" w:hAnsi="仿宋" w:eastAsia="仿宋" w:cs="仿宋"/>
                <w:spacing w:val="-8"/>
              </w:rPr>
              <w:t>科</w:t>
            </w:r>
          </w:p>
        </w:tc>
        <w:tc>
          <w:tcPr>
            <w:tcW w:w="1453" w:type="dxa"/>
            <w:tcBorders>
              <w:bottom w:val="single" w:color="000000" w:sz="12" w:space="0"/>
              <w:right w:val="nil"/>
            </w:tcBorders>
            <w:vAlign w:val="top"/>
          </w:tcPr>
          <w:p>
            <w:pPr>
              <w:pStyle w:val="6"/>
              <w:spacing w:before="73" w:line="215" w:lineRule="auto"/>
              <w:ind w:left="478"/>
              <w:rPr>
                <w:rFonts w:ascii="仿宋" w:hAnsi="仿宋" w:eastAsia="仿宋" w:cs="仿宋"/>
              </w:rPr>
            </w:pPr>
            <w:r>
              <w:rPr>
                <w:spacing w:val="-3"/>
              </w:rPr>
              <w:t>30</w:t>
            </w:r>
            <w:r>
              <w:rPr>
                <w:spacing w:val="16"/>
              </w:rPr>
              <w:t xml:space="preserve"> </w:t>
            </w:r>
            <w:r>
              <w:rPr>
                <w:rFonts w:ascii="仿宋" w:hAnsi="仿宋" w:eastAsia="仿宋" w:cs="仿宋"/>
                <w:spacing w:val="-3"/>
              </w:rPr>
              <w:t>种</w:t>
            </w:r>
          </w:p>
        </w:tc>
      </w:tr>
    </w:tbl>
    <w:p>
      <w:pPr>
        <w:spacing w:before="149" w:line="338" w:lineRule="auto"/>
        <w:ind w:left="38" w:firstLine="510"/>
        <w:jc w:val="both"/>
        <w:rPr>
          <w:rFonts w:ascii="宋体" w:hAnsi="宋体" w:eastAsia="宋体" w:cs="宋体"/>
          <w:sz w:val="24"/>
          <w:szCs w:val="24"/>
        </w:rPr>
      </w:pPr>
      <w:r>
        <w:rPr>
          <w:rFonts w:ascii="宋体" w:hAnsi="宋体" w:eastAsia="宋体" w:cs="宋体"/>
          <w:spacing w:val="-2"/>
          <w:sz w:val="24"/>
          <w:szCs w:val="24"/>
        </w:rPr>
        <w:t>由于评价区域受人为干扰较大，评价区内活动的哺乳动物种类、数量不多。</w:t>
      </w:r>
      <w:r>
        <w:rPr>
          <w:rFonts w:ascii="宋体" w:hAnsi="宋体" w:eastAsia="宋体" w:cs="宋体"/>
          <w:spacing w:val="14"/>
          <w:sz w:val="24"/>
          <w:szCs w:val="24"/>
        </w:rPr>
        <w:t xml:space="preserve"> </w:t>
      </w:r>
      <w:r>
        <w:rPr>
          <w:rFonts w:ascii="宋体" w:hAnsi="宋体" w:eastAsia="宋体" w:cs="宋体"/>
          <w:spacing w:val="-8"/>
          <w:sz w:val="24"/>
          <w:szCs w:val="24"/>
        </w:rPr>
        <w:t>区域内常见的哺乳动物为主要为小型啮齿类，</w:t>
      </w:r>
      <w:r>
        <w:rPr>
          <w:rFonts w:ascii="宋体" w:hAnsi="宋体" w:eastAsia="宋体" w:cs="宋体"/>
          <w:spacing w:val="46"/>
          <w:sz w:val="24"/>
          <w:szCs w:val="24"/>
        </w:rPr>
        <w:t xml:space="preserve"> </w:t>
      </w:r>
      <w:r>
        <w:rPr>
          <w:rFonts w:ascii="宋体" w:hAnsi="宋体" w:eastAsia="宋体" w:cs="宋体"/>
          <w:spacing w:val="-8"/>
          <w:sz w:val="24"/>
          <w:szCs w:val="24"/>
        </w:rPr>
        <w:t xml:space="preserve">如褐家鼠、小家鼠、赤腹松鼠、珀 </w:t>
      </w:r>
      <w:r>
        <w:rPr>
          <w:rFonts w:ascii="宋体" w:hAnsi="宋体" w:eastAsia="宋体" w:cs="宋体"/>
          <w:spacing w:val="-3"/>
          <w:sz w:val="24"/>
          <w:szCs w:val="24"/>
        </w:rPr>
        <w:t>氏长吻松鼠、黄胸鼠等。大足鼠、北社鼠、川西白</w:t>
      </w:r>
      <w:r>
        <w:rPr>
          <w:rFonts w:ascii="宋体" w:hAnsi="宋体" w:eastAsia="宋体" w:cs="宋体"/>
          <w:spacing w:val="-4"/>
          <w:sz w:val="24"/>
          <w:szCs w:val="24"/>
        </w:rPr>
        <w:t xml:space="preserve">腹鼠、黑线姬鼠、北树鼩等在 </w:t>
      </w:r>
      <w:r>
        <w:rPr>
          <w:rFonts w:ascii="宋体" w:hAnsi="宋体" w:eastAsia="宋体" w:cs="宋体"/>
          <w:spacing w:val="-3"/>
          <w:sz w:val="24"/>
          <w:szCs w:val="24"/>
        </w:rPr>
        <w:t>评价区内为少见种。长尾鼩鼹、滇绒鼠、云南兔、黄鼬、果子狸等在评价区内为</w:t>
      </w:r>
    </w:p>
    <w:p>
      <w:pPr>
        <w:spacing w:line="218" w:lineRule="auto"/>
        <w:ind w:left="40"/>
        <w:rPr>
          <w:rFonts w:ascii="宋体" w:hAnsi="宋体" w:eastAsia="宋体" w:cs="宋体"/>
          <w:sz w:val="24"/>
          <w:szCs w:val="24"/>
        </w:rPr>
      </w:pPr>
      <w:r>
        <w:rPr>
          <w:rFonts w:ascii="宋体" w:hAnsi="宋体" w:eastAsia="宋体" w:cs="宋体"/>
          <w:spacing w:val="-3"/>
          <w:sz w:val="24"/>
          <w:szCs w:val="24"/>
        </w:rPr>
        <w:t>偶见种，主要活动于评价区灌丛较茂盛区域。</w:t>
      </w:r>
    </w:p>
    <w:p>
      <w:pPr>
        <w:spacing w:before="153" w:line="339" w:lineRule="auto"/>
        <w:ind w:left="39" w:right="79" w:firstLine="479"/>
        <w:jc w:val="both"/>
        <w:rPr>
          <w:rFonts w:ascii="宋体" w:hAnsi="宋体" w:eastAsia="宋体" w:cs="宋体"/>
          <w:sz w:val="24"/>
          <w:szCs w:val="24"/>
        </w:rPr>
      </w:pPr>
      <w:r>
        <w:rPr>
          <w:rFonts w:ascii="宋体" w:hAnsi="宋体" w:eastAsia="宋体" w:cs="宋体"/>
          <w:spacing w:val="-4"/>
          <w:sz w:val="24"/>
          <w:szCs w:val="24"/>
        </w:rPr>
        <w:t>评价区分布有哺乳动物</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30 </w:t>
      </w:r>
      <w:r>
        <w:rPr>
          <w:rFonts w:ascii="宋体" w:hAnsi="宋体" w:eastAsia="宋体" w:cs="宋体"/>
          <w:spacing w:val="-4"/>
          <w:sz w:val="24"/>
          <w:szCs w:val="24"/>
        </w:rPr>
        <w:t>种，隶属</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13 </w:t>
      </w:r>
      <w:r>
        <w:rPr>
          <w:rFonts w:ascii="宋体" w:hAnsi="宋体" w:eastAsia="宋体" w:cs="宋体"/>
          <w:spacing w:val="-4"/>
          <w:sz w:val="24"/>
          <w:szCs w:val="24"/>
        </w:rPr>
        <w:t>科</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23 </w:t>
      </w:r>
      <w:r>
        <w:rPr>
          <w:rFonts w:ascii="宋体" w:hAnsi="宋体" w:eastAsia="宋体" w:cs="宋体"/>
          <w:spacing w:val="-5"/>
          <w:sz w:val="24"/>
          <w:szCs w:val="24"/>
        </w:rPr>
        <w:t>属。其中</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18 </w:t>
      </w:r>
      <w:r>
        <w:rPr>
          <w:rFonts w:ascii="宋体" w:hAnsi="宋体" w:eastAsia="宋体" w:cs="宋体"/>
          <w:spacing w:val="-5"/>
          <w:sz w:val="24"/>
          <w:szCs w:val="24"/>
        </w:rPr>
        <w:t>种属于东洋界广布</w:t>
      </w:r>
      <w:r>
        <w:rPr>
          <w:rFonts w:ascii="宋体" w:hAnsi="宋体" w:eastAsia="宋体" w:cs="宋体"/>
          <w:sz w:val="24"/>
          <w:szCs w:val="24"/>
        </w:rPr>
        <w:t xml:space="preserve"> </w:t>
      </w:r>
      <w:r>
        <w:rPr>
          <w:rFonts w:ascii="宋体" w:hAnsi="宋体" w:eastAsia="宋体" w:cs="宋体"/>
          <w:spacing w:val="-10"/>
          <w:sz w:val="24"/>
          <w:szCs w:val="24"/>
        </w:rPr>
        <w:t>种， 占哺乳类的</w:t>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60.00%</w:t>
      </w:r>
      <w:r>
        <w:rPr>
          <w:rFonts w:ascii="宋体" w:hAnsi="宋体" w:eastAsia="宋体" w:cs="宋体"/>
          <w:spacing w:val="-10"/>
          <w:sz w:val="24"/>
          <w:szCs w:val="24"/>
        </w:rPr>
        <w:t>；</w:t>
      </w:r>
      <w:r>
        <w:rPr>
          <w:rFonts w:ascii="Times New Roman" w:hAnsi="Times New Roman" w:eastAsia="Times New Roman" w:cs="Times New Roman"/>
          <w:spacing w:val="-10"/>
          <w:sz w:val="24"/>
          <w:szCs w:val="24"/>
        </w:rPr>
        <w:t xml:space="preserve">9 </w:t>
      </w:r>
      <w:r>
        <w:rPr>
          <w:rFonts w:ascii="宋体" w:hAnsi="宋体" w:eastAsia="宋体" w:cs="宋体"/>
          <w:spacing w:val="-10"/>
          <w:sz w:val="24"/>
          <w:szCs w:val="24"/>
        </w:rPr>
        <w:t>种属于古北东洋广布种，</w:t>
      </w:r>
      <w:r>
        <w:rPr>
          <w:rFonts w:ascii="宋体" w:hAnsi="宋体" w:eastAsia="宋体" w:cs="宋体"/>
          <w:spacing w:val="82"/>
          <w:sz w:val="24"/>
          <w:szCs w:val="24"/>
        </w:rPr>
        <w:t xml:space="preserve"> </w:t>
      </w:r>
      <w:r>
        <w:rPr>
          <w:rFonts w:ascii="宋体" w:hAnsi="宋体" w:eastAsia="宋体" w:cs="宋体"/>
          <w:spacing w:val="-10"/>
          <w:sz w:val="24"/>
          <w:szCs w:val="24"/>
        </w:rPr>
        <w:t>占哺乳类动物的</w:t>
      </w:r>
      <w:r>
        <w:rPr>
          <w:rFonts w:ascii="宋体" w:hAnsi="宋体" w:eastAsia="宋体" w:cs="宋体"/>
          <w:spacing w:val="-49"/>
          <w:sz w:val="24"/>
          <w:szCs w:val="24"/>
        </w:rPr>
        <w:t xml:space="preserve"> </w:t>
      </w:r>
      <w:r>
        <w:rPr>
          <w:rFonts w:ascii="Times New Roman" w:hAnsi="Times New Roman" w:eastAsia="Times New Roman" w:cs="Times New Roman"/>
          <w:spacing w:val="-10"/>
          <w:sz w:val="24"/>
          <w:szCs w:val="24"/>
        </w:rPr>
        <w:t>30.00%</w:t>
      </w:r>
      <w:r>
        <w:rPr>
          <w:rFonts w:ascii="宋体" w:hAnsi="宋体" w:eastAsia="宋体" w:cs="宋体"/>
          <w:spacing w:val="-10"/>
          <w:sz w:val="24"/>
          <w:szCs w:val="24"/>
        </w:rPr>
        <w:t>；</w:t>
      </w:r>
      <w:r>
        <w:rPr>
          <w:rFonts w:ascii="Times New Roman" w:hAnsi="Times New Roman" w:eastAsia="Times New Roman" w:cs="Times New Roman"/>
          <w:spacing w:val="-10"/>
          <w:sz w:val="24"/>
          <w:szCs w:val="24"/>
        </w:rPr>
        <w:t>2</w:t>
      </w:r>
      <w:r>
        <w:rPr>
          <w:rFonts w:ascii="Times New Roman" w:hAnsi="Times New Roman" w:eastAsia="Times New Roman" w:cs="Times New Roman"/>
          <w:sz w:val="24"/>
          <w:szCs w:val="24"/>
        </w:rPr>
        <w:t xml:space="preserve"> </w:t>
      </w:r>
      <w:r>
        <w:rPr>
          <w:rFonts w:ascii="宋体" w:hAnsi="宋体" w:eastAsia="宋体" w:cs="宋体"/>
          <w:spacing w:val="-11"/>
          <w:sz w:val="24"/>
          <w:szCs w:val="24"/>
        </w:rPr>
        <w:t>种属于古北界广布种，</w:t>
      </w:r>
      <w:r>
        <w:rPr>
          <w:rFonts w:ascii="宋体" w:hAnsi="宋体" w:eastAsia="宋体" w:cs="宋体"/>
          <w:spacing w:val="86"/>
          <w:sz w:val="24"/>
          <w:szCs w:val="24"/>
        </w:rPr>
        <w:t xml:space="preserve"> </w:t>
      </w:r>
      <w:r>
        <w:rPr>
          <w:rFonts w:ascii="宋体" w:hAnsi="宋体" w:eastAsia="宋体" w:cs="宋体"/>
          <w:spacing w:val="-11"/>
          <w:sz w:val="24"/>
          <w:szCs w:val="24"/>
        </w:rPr>
        <w:t>占哺乳类动物的</w:t>
      </w:r>
      <w:r>
        <w:rPr>
          <w:rFonts w:ascii="宋体" w:hAnsi="宋体" w:eastAsia="宋体" w:cs="宋体"/>
          <w:spacing w:val="-49"/>
          <w:sz w:val="24"/>
          <w:szCs w:val="24"/>
        </w:rPr>
        <w:t xml:space="preserve"> </w:t>
      </w:r>
      <w:r>
        <w:rPr>
          <w:rFonts w:ascii="Times New Roman" w:hAnsi="Times New Roman" w:eastAsia="Times New Roman" w:cs="Times New Roman"/>
          <w:spacing w:val="-11"/>
          <w:sz w:val="24"/>
          <w:szCs w:val="24"/>
        </w:rPr>
        <w:t>6.67%</w:t>
      </w:r>
      <w:r>
        <w:rPr>
          <w:rFonts w:ascii="宋体" w:hAnsi="宋体" w:eastAsia="宋体" w:cs="宋体"/>
          <w:spacing w:val="-11"/>
          <w:sz w:val="24"/>
          <w:szCs w:val="24"/>
        </w:rPr>
        <w:t>；东洋界西南种有</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种， 占哺乳类</w:t>
      </w:r>
      <w:r>
        <w:rPr>
          <w:rFonts w:ascii="宋体" w:hAnsi="宋体" w:eastAsia="宋体" w:cs="宋体"/>
          <w:sz w:val="24"/>
          <w:szCs w:val="24"/>
        </w:rPr>
        <w:t xml:space="preserve"> </w:t>
      </w:r>
      <w:r>
        <w:rPr>
          <w:rFonts w:ascii="宋体" w:hAnsi="宋体" w:eastAsia="宋体" w:cs="宋体"/>
          <w:spacing w:val="-2"/>
          <w:sz w:val="24"/>
          <w:szCs w:val="24"/>
        </w:rPr>
        <w:t>动物的</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3.33%</w:t>
      </w:r>
      <w:r>
        <w:rPr>
          <w:rFonts w:ascii="宋体" w:hAnsi="宋体" w:eastAsia="宋体" w:cs="宋体"/>
          <w:spacing w:val="-2"/>
          <w:sz w:val="24"/>
          <w:szCs w:val="24"/>
        </w:rPr>
        <w:t>。评价区所处区域在中国</w:t>
      </w:r>
      <w:r>
        <w:rPr>
          <w:rFonts w:ascii="宋体" w:hAnsi="宋体" w:eastAsia="宋体" w:cs="宋体"/>
          <w:spacing w:val="-3"/>
          <w:sz w:val="24"/>
          <w:szCs w:val="24"/>
        </w:rPr>
        <w:t>动物区划中属于东洋界西南区（滇中高原</w:t>
      </w:r>
      <w:r>
        <w:rPr>
          <w:rFonts w:ascii="宋体" w:hAnsi="宋体" w:eastAsia="宋体" w:cs="宋体"/>
          <w:sz w:val="24"/>
          <w:szCs w:val="24"/>
        </w:rPr>
        <w:t xml:space="preserve"> </w:t>
      </w:r>
      <w:r>
        <w:rPr>
          <w:rFonts w:ascii="宋体" w:hAnsi="宋体" w:eastAsia="宋体" w:cs="宋体"/>
          <w:spacing w:val="-3"/>
          <w:sz w:val="24"/>
          <w:szCs w:val="24"/>
        </w:rPr>
        <w:t>亚区）。从记述的评价区内分布的兽类区系特点上看，分界特征与当地</w:t>
      </w:r>
      <w:r>
        <w:rPr>
          <w:rFonts w:ascii="宋体" w:hAnsi="宋体" w:eastAsia="宋体" w:cs="宋体"/>
          <w:spacing w:val="-4"/>
          <w:sz w:val="24"/>
          <w:szCs w:val="24"/>
        </w:rPr>
        <w:t>在中国动</w:t>
      </w:r>
      <w:r>
        <w:rPr>
          <w:rFonts w:ascii="宋体" w:hAnsi="宋体" w:eastAsia="宋体" w:cs="宋体"/>
          <w:sz w:val="24"/>
          <w:szCs w:val="24"/>
        </w:rPr>
        <w:t xml:space="preserve"> </w:t>
      </w:r>
      <w:r>
        <w:rPr>
          <w:rFonts w:ascii="宋体" w:hAnsi="宋体" w:eastAsia="宋体" w:cs="宋体"/>
          <w:spacing w:val="-12"/>
          <w:sz w:val="24"/>
          <w:szCs w:val="24"/>
        </w:rPr>
        <w:t>物地理区划中的位置相符，</w:t>
      </w:r>
      <w:r>
        <w:rPr>
          <w:rFonts w:ascii="宋体" w:hAnsi="宋体" w:eastAsia="宋体" w:cs="宋体"/>
          <w:spacing w:val="33"/>
          <w:sz w:val="24"/>
          <w:szCs w:val="24"/>
        </w:rPr>
        <w:t xml:space="preserve"> </w:t>
      </w:r>
      <w:r>
        <w:rPr>
          <w:rFonts w:ascii="宋体" w:hAnsi="宋体" w:eastAsia="宋体" w:cs="宋体"/>
          <w:spacing w:val="-12"/>
          <w:sz w:val="24"/>
          <w:szCs w:val="24"/>
        </w:rPr>
        <w:t>为东洋界物种。</w:t>
      </w:r>
      <w:r>
        <w:rPr>
          <w:rFonts w:ascii="宋体" w:hAnsi="宋体" w:eastAsia="宋体" w:cs="宋体"/>
          <w:spacing w:val="-13"/>
          <w:sz w:val="24"/>
          <w:szCs w:val="24"/>
        </w:rPr>
        <w:t>在东洋界分区的成分分析上，</w:t>
      </w:r>
      <w:r>
        <w:rPr>
          <w:rFonts w:ascii="宋体" w:hAnsi="宋体" w:eastAsia="宋体" w:cs="宋体"/>
          <w:spacing w:val="59"/>
          <w:sz w:val="24"/>
          <w:szCs w:val="24"/>
        </w:rPr>
        <w:t xml:space="preserve"> </w:t>
      </w:r>
      <w:r>
        <w:rPr>
          <w:rFonts w:ascii="宋体" w:hAnsi="宋体" w:eastAsia="宋体" w:cs="宋体"/>
          <w:spacing w:val="-13"/>
          <w:sz w:val="24"/>
          <w:szCs w:val="24"/>
        </w:rPr>
        <w:t>由于评</w:t>
      </w:r>
    </w:p>
    <w:p>
      <w:pPr>
        <w:spacing w:line="218" w:lineRule="auto"/>
        <w:ind w:left="40"/>
        <w:rPr>
          <w:rFonts w:ascii="宋体" w:hAnsi="宋体" w:eastAsia="宋体" w:cs="宋体"/>
          <w:sz w:val="24"/>
          <w:szCs w:val="24"/>
        </w:rPr>
      </w:pPr>
      <w:r>
        <w:rPr>
          <w:rFonts w:ascii="宋体" w:hAnsi="宋体" w:eastAsia="宋体" w:cs="宋体"/>
          <w:sz w:val="24"/>
          <w:szCs w:val="24"/>
        </w:rPr>
        <w:t>价范围狭小、记述兽类种类较少，难于准确</w:t>
      </w:r>
      <w:r>
        <w:rPr>
          <w:rFonts w:ascii="宋体" w:hAnsi="宋体" w:eastAsia="宋体" w:cs="宋体"/>
          <w:spacing w:val="-1"/>
          <w:sz w:val="24"/>
          <w:szCs w:val="24"/>
        </w:rPr>
        <w:t>反映当地动物的分区特征。</w:t>
      </w:r>
    </w:p>
    <w:p>
      <w:pPr>
        <w:spacing w:line="218" w:lineRule="auto"/>
        <w:rPr>
          <w:rFonts w:ascii="宋体" w:hAnsi="宋体" w:eastAsia="宋体" w:cs="宋体"/>
          <w:sz w:val="24"/>
          <w:szCs w:val="24"/>
        </w:rPr>
        <w:sectPr>
          <w:headerReference r:id="rId308" w:type="default"/>
          <w:footerReference r:id="rId309" w:type="default"/>
          <w:pgSz w:w="11907" w:h="16839"/>
          <w:pgMar w:top="1156" w:right="1718" w:bottom="1374" w:left="1770" w:header="881" w:footer="1210" w:gutter="0"/>
        </w:sectPr>
      </w:pPr>
    </w:p>
    <w:p>
      <w:pPr>
        <w:spacing w:line="350" w:lineRule="auto"/>
        <w:rPr>
          <w:rFonts w:ascii="Arial"/>
          <w:sz w:val="21"/>
        </w:rPr>
      </w:pPr>
    </w:p>
    <w:p>
      <w:pPr>
        <w:spacing w:before="78" w:line="217" w:lineRule="auto"/>
        <w:ind w:left="517"/>
        <w:rPr>
          <w:rFonts w:ascii="宋体" w:hAnsi="宋体" w:eastAsia="宋体" w:cs="宋体"/>
          <w:sz w:val="24"/>
          <w:szCs w:val="24"/>
        </w:rPr>
      </w:pPr>
      <w:r>
        <w:rPr>
          <w:rFonts w:ascii="宋体" w:hAnsi="宋体" w:eastAsia="宋体" w:cs="宋体"/>
          <w:spacing w:val="-1"/>
          <w:sz w:val="24"/>
          <w:szCs w:val="24"/>
        </w:rPr>
        <w:t>③评价区珍稀、濒危和保护动物</w:t>
      </w:r>
    </w:p>
    <w:p>
      <w:pPr>
        <w:spacing w:before="154" w:line="339" w:lineRule="auto"/>
        <w:ind w:left="40" w:firstLine="479"/>
        <w:rPr>
          <w:rFonts w:ascii="宋体" w:hAnsi="宋体" w:eastAsia="宋体" w:cs="宋体"/>
          <w:sz w:val="24"/>
          <w:szCs w:val="24"/>
        </w:rPr>
      </w:pPr>
      <w:r>
        <w:rPr>
          <w:rFonts w:ascii="宋体" w:hAnsi="宋体" w:eastAsia="宋体" w:cs="宋体"/>
          <w:spacing w:val="-11"/>
          <w:sz w:val="24"/>
          <w:szCs w:val="24"/>
        </w:rPr>
        <w:t>根据《国家重点保护野生动物名录》（</w:t>
      </w:r>
      <w:r>
        <w:rPr>
          <w:rFonts w:ascii="Times New Roman" w:hAnsi="Times New Roman" w:eastAsia="Times New Roman" w:cs="Times New Roman"/>
          <w:spacing w:val="-11"/>
          <w:sz w:val="24"/>
          <w:szCs w:val="24"/>
        </w:rPr>
        <w:t>20</w:t>
      </w:r>
      <w:r>
        <w:rPr>
          <w:rFonts w:ascii="Times New Roman" w:hAnsi="Times New Roman" w:eastAsia="Times New Roman" w:cs="Times New Roman"/>
          <w:spacing w:val="-12"/>
          <w:sz w:val="24"/>
          <w:szCs w:val="24"/>
        </w:rPr>
        <w:t xml:space="preserve">21 </w:t>
      </w:r>
      <w:r>
        <w:rPr>
          <w:rFonts w:ascii="宋体" w:hAnsi="宋体" w:eastAsia="宋体" w:cs="宋体"/>
          <w:spacing w:val="-12"/>
          <w:sz w:val="24"/>
          <w:szCs w:val="24"/>
        </w:rPr>
        <w:t xml:space="preserve">年）、《云南省省级重点保护野生 </w:t>
      </w:r>
      <w:r>
        <w:rPr>
          <w:rFonts w:ascii="宋体" w:hAnsi="宋体" w:eastAsia="宋体" w:cs="宋体"/>
          <w:spacing w:val="-23"/>
          <w:sz w:val="24"/>
          <w:szCs w:val="24"/>
        </w:rPr>
        <w:t>动物名录》（</w:t>
      </w:r>
      <w:r>
        <w:rPr>
          <w:rFonts w:ascii="Times New Roman" w:hAnsi="Times New Roman" w:eastAsia="Times New Roman" w:cs="Times New Roman"/>
          <w:spacing w:val="-23"/>
          <w:sz w:val="24"/>
          <w:szCs w:val="24"/>
        </w:rPr>
        <w:t>1988</w:t>
      </w:r>
      <w:r>
        <w:rPr>
          <w:rFonts w:ascii="Times New Roman" w:hAnsi="Times New Roman" w:eastAsia="Times New Roman" w:cs="Times New Roman"/>
          <w:spacing w:val="10"/>
          <w:sz w:val="24"/>
          <w:szCs w:val="24"/>
        </w:rPr>
        <w:t xml:space="preserve"> </w:t>
      </w:r>
      <w:r>
        <w:rPr>
          <w:rFonts w:ascii="宋体" w:hAnsi="宋体" w:eastAsia="宋体" w:cs="宋体"/>
          <w:spacing w:val="-23"/>
          <w:sz w:val="24"/>
          <w:szCs w:val="24"/>
        </w:rPr>
        <w:t>年）、《中国生物多样性红色名录—脊椎动物卷》（</w:t>
      </w:r>
      <w:r>
        <w:rPr>
          <w:rFonts w:ascii="Times New Roman" w:hAnsi="Times New Roman" w:eastAsia="Times New Roman" w:cs="Times New Roman"/>
          <w:spacing w:val="-23"/>
          <w:sz w:val="24"/>
          <w:szCs w:val="24"/>
        </w:rPr>
        <w:t>2015</w:t>
      </w:r>
      <w:r>
        <w:rPr>
          <w:rFonts w:ascii="Times New Roman" w:hAnsi="Times New Roman" w:eastAsia="Times New Roman" w:cs="Times New Roman"/>
          <w:spacing w:val="10"/>
          <w:sz w:val="24"/>
          <w:szCs w:val="24"/>
        </w:rPr>
        <w:t xml:space="preserve"> </w:t>
      </w:r>
      <w:r>
        <w:rPr>
          <w:rFonts w:ascii="宋体" w:hAnsi="宋体" w:eastAsia="宋体" w:cs="宋体"/>
          <w:spacing w:val="-23"/>
          <w:sz w:val="24"/>
          <w:szCs w:val="24"/>
        </w:rPr>
        <w:t>年）、《中</w:t>
      </w:r>
      <w:r>
        <w:rPr>
          <w:rFonts w:ascii="宋体" w:hAnsi="宋体" w:eastAsia="宋体" w:cs="宋体"/>
          <w:sz w:val="24"/>
          <w:szCs w:val="24"/>
        </w:rPr>
        <w:t xml:space="preserve"> </w:t>
      </w:r>
      <w:r>
        <w:rPr>
          <w:rFonts w:ascii="宋体" w:hAnsi="宋体" w:eastAsia="宋体" w:cs="宋体"/>
          <w:spacing w:val="-16"/>
          <w:sz w:val="24"/>
          <w:szCs w:val="24"/>
        </w:rPr>
        <w:t>国脊椎动物红色名录》（</w:t>
      </w:r>
      <w:r>
        <w:rPr>
          <w:rFonts w:ascii="Times New Roman" w:hAnsi="Times New Roman" w:eastAsia="Times New Roman" w:cs="Times New Roman"/>
          <w:spacing w:val="-16"/>
          <w:sz w:val="24"/>
          <w:szCs w:val="24"/>
        </w:rPr>
        <w:t>2016</w:t>
      </w:r>
      <w:r>
        <w:rPr>
          <w:rFonts w:ascii="Times New Roman" w:hAnsi="Times New Roman" w:eastAsia="Times New Roman" w:cs="Times New Roman"/>
          <w:spacing w:val="10"/>
          <w:sz w:val="24"/>
          <w:szCs w:val="24"/>
        </w:rPr>
        <w:t xml:space="preserve"> </w:t>
      </w:r>
      <w:r>
        <w:rPr>
          <w:rFonts w:ascii="宋体" w:hAnsi="宋体" w:eastAsia="宋体" w:cs="宋体"/>
          <w:spacing w:val="-16"/>
          <w:sz w:val="24"/>
          <w:szCs w:val="24"/>
        </w:rPr>
        <w:t>年）、《世界自然保护联盟濒危物种红色名录》（</w:t>
      </w:r>
      <w:r>
        <w:rPr>
          <w:rFonts w:ascii="Times New Roman" w:hAnsi="Times New Roman" w:eastAsia="Times New Roman" w:cs="Times New Roman"/>
          <w:spacing w:val="-16"/>
          <w:sz w:val="24"/>
          <w:szCs w:val="24"/>
        </w:rPr>
        <w:t>2016</w:t>
      </w:r>
      <w:r>
        <w:rPr>
          <w:rFonts w:ascii="Times New Roman" w:hAnsi="Times New Roman" w:eastAsia="Times New Roman" w:cs="Times New Roman"/>
          <w:sz w:val="24"/>
          <w:szCs w:val="24"/>
        </w:rPr>
        <w:t xml:space="preserve">  </w:t>
      </w:r>
      <w:r>
        <w:rPr>
          <w:rFonts w:ascii="宋体" w:hAnsi="宋体" w:eastAsia="宋体" w:cs="宋体"/>
          <w:spacing w:val="-10"/>
          <w:sz w:val="24"/>
          <w:szCs w:val="24"/>
        </w:rPr>
        <w:t>年）、《濒危野生动植物种国际贸易公约附录物种名录》（</w:t>
      </w:r>
      <w:r>
        <w:rPr>
          <w:rFonts w:ascii="Times New Roman" w:hAnsi="Times New Roman" w:eastAsia="Times New Roman" w:cs="Times New Roman"/>
          <w:spacing w:val="-10"/>
          <w:sz w:val="24"/>
          <w:szCs w:val="24"/>
        </w:rPr>
        <w:t xml:space="preserve">2016  </w:t>
      </w:r>
      <w:r>
        <w:rPr>
          <w:rFonts w:ascii="宋体" w:hAnsi="宋体" w:eastAsia="宋体" w:cs="宋体"/>
          <w:spacing w:val="-10"/>
          <w:sz w:val="24"/>
          <w:szCs w:val="24"/>
        </w:rPr>
        <w:t>年）和特有情况，</w:t>
      </w:r>
    </w:p>
    <w:p>
      <w:pPr>
        <w:spacing w:line="218" w:lineRule="auto"/>
        <w:ind w:left="38"/>
        <w:rPr>
          <w:rFonts w:ascii="宋体" w:hAnsi="宋体" w:eastAsia="宋体" w:cs="宋体"/>
          <w:sz w:val="24"/>
          <w:szCs w:val="24"/>
        </w:rPr>
      </w:pPr>
      <w:r>
        <w:rPr>
          <w:rFonts w:ascii="宋体" w:hAnsi="宋体" w:eastAsia="宋体" w:cs="宋体"/>
          <w:spacing w:val="-1"/>
          <w:sz w:val="24"/>
          <w:szCs w:val="24"/>
        </w:rPr>
        <w:t>评价区的珍稀保护动物情况见下表。</w:t>
      </w:r>
    </w:p>
    <w:p>
      <w:pPr>
        <w:pStyle w:val="2"/>
        <w:spacing w:before="182" w:line="218" w:lineRule="auto"/>
        <w:ind w:left="2211"/>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3.2-33    </w:t>
      </w:r>
      <w:r>
        <w:rPr>
          <w14:textOutline w14:w="3810" w14:cap="flat" w14:cmpd="sng">
            <w14:solidFill>
              <w14:srgbClr w14:val="000000"/>
            </w14:solidFill>
            <w14:prstDash w14:val="solid"/>
            <w14:miter w14:val="0"/>
          </w14:textOutline>
        </w:rPr>
        <w:t>调查区珍稀、濒危和保护</w:t>
      </w:r>
      <w:r>
        <w:rPr>
          <w:spacing w:val="-1"/>
          <w14:textOutline w14:w="3810" w14:cap="flat" w14:cmpd="sng">
            <w14:solidFill>
              <w14:srgbClr w14:val="000000"/>
            </w14:solidFill>
            <w14:prstDash w14:val="solid"/>
            <w14:miter w14:val="0"/>
          </w14:textOutline>
        </w:rPr>
        <w:t>动物一览表</w:t>
      </w:r>
    </w:p>
    <w:p>
      <w:pPr>
        <w:spacing w:line="19" w:lineRule="exact"/>
      </w:pPr>
    </w:p>
    <w:tbl>
      <w:tblPr>
        <w:tblStyle w:val="5"/>
        <w:tblW w:w="8307"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7"/>
        <w:gridCol w:w="1376"/>
        <w:gridCol w:w="2345"/>
        <w:gridCol w:w="690"/>
        <w:gridCol w:w="847"/>
        <w:gridCol w:w="686"/>
        <w:gridCol w:w="827"/>
        <w:gridCol w:w="10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517" w:type="dxa"/>
            <w:vMerge w:val="restart"/>
            <w:tcBorders>
              <w:top w:val="single" w:color="000000" w:sz="12" w:space="0"/>
              <w:left w:val="nil"/>
              <w:bottom w:val="nil"/>
            </w:tcBorders>
            <w:textDirection w:val="tbRlV"/>
            <w:vAlign w:val="top"/>
          </w:tcPr>
          <w:p>
            <w:pPr>
              <w:spacing w:before="151" w:line="202" w:lineRule="auto"/>
              <w:ind w:left="59"/>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序</w:t>
            </w:r>
            <w:r>
              <w:rPr>
                <w:rFonts w:ascii="仿宋" w:hAnsi="仿宋" w:eastAsia="仿宋" w:cs="仿宋"/>
                <w:spacing w:val="-2"/>
                <w:sz w:val="21"/>
                <w:szCs w:val="21"/>
              </w:rPr>
              <w:t xml:space="preserve"> </w:t>
            </w:r>
            <w:r>
              <w:rPr>
                <w:rFonts w:ascii="仿宋" w:hAnsi="仿宋" w:eastAsia="仿宋" w:cs="仿宋"/>
                <w:spacing w:val="-2"/>
                <w:sz w:val="21"/>
                <w:szCs w:val="21"/>
                <w14:textOutline w14:w="3810" w14:cap="flat" w14:cmpd="sng">
                  <w14:solidFill>
                    <w14:srgbClr w14:val="000000"/>
                  </w14:solidFill>
                  <w14:prstDash w14:val="solid"/>
                  <w14:miter w14:val="0"/>
                </w14:textOutline>
              </w:rPr>
              <w:t>号</w:t>
            </w:r>
          </w:p>
        </w:tc>
        <w:tc>
          <w:tcPr>
            <w:tcW w:w="1376" w:type="dxa"/>
            <w:vMerge w:val="restart"/>
            <w:tcBorders>
              <w:top w:val="single" w:color="000000" w:sz="12" w:space="0"/>
              <w:bottom w:val="nil"/>
            </w:tcBorders>
            <w:vAlign w:val="top"/>
          </w:tcPr>
          <w:p>
            <w:pPr>
              <w:spacing w:before="215" w:line="218" w:lineRule="auto"/>
              <w:ind w:left="410"/>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中文名</w:t>
            </w:r>
          </w:p>
        </w:tc>
        <w:tc>
          <w:tcPr>
            <w:tcW w:w="2345" w:type="dxa"/>
            <w:vMerge w:val="restart"/>
            <w:tcBorders>
              <w:top w:val="single" w:color="000000" w:sz="12" w:space="0"/>
              <w:bottom w:val="nil"/>
            </w:tcBorders>
            <w:vAlign w:val="top"/>
          </w:tcPr>
          <w:p>
            <w:pPr>
              <w:spacing w:before="215" w:line="220" w:lineRule="auto"/>
              <w:ind w:left="866"/>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拉丁名</w:t>
            </w:r>
          </w:p>
        </w:tc>
        <w:tc>
          <w:tcPr>
            <w:tcW w:w="1537" w:type="dxa"/>
            <w:gridSpan w:val="2"/>
            <w:tcBorders>
              <w:top w:val="single" w:color="000000" w:sz="12" w:space="0"/>
            </w:tcBorders>
            <w:vAlign w:val="top"/>
          </w:tcPr>
          <w:p>
            <w:pPr>
              <w:spacing w:before="54" w:line="217" w:lineRule="auto"/>
              <w:ind w:left="35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保护情况</w:t>
            </w:r>
          </w:p>
        </w:tc>
        <w:tc>
          <w:tcPr>
            <w:tcW w:w="686" w:type="dxa"/>
            <w:vMerge w:val="restart"/>
            <w:tcBorders>
              <w:top w:val="single" w:color="000000" w:sz="12" w:space="0"/>
              <w:bottom w:val="nil"/>
            </w:tcBorders>
            <w:vAlign w:val="top"/>
          </w:tcPr>
          <w:p>
            <w:pPr>
              <w:spacing w:before="215" w:line="218" w:lineRule="auto"/>
              <w:ind w:left="14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特有</w:t>
            </w:r>
          </w:p>
        </w:tc>
        <w:tc>
          <w:tcPr>
            <w:tcW w:w="1846" w:type="dxa"/>
            <w:gridSpan w:val="2"/>
            <w:tcBorders>
              <w:top w:val="single" w:color="000000" w:sz="12" w:space="0"/>
              <w:right w:val="nil"/>
            </w:tcBorders>
            <w:vAlign w:val="top"/>
          </w:tcPr>
          <w:p>
            <w:pPr>
              <w:spacing w:before="54" w:line="219" w:lineRule="auto"/>
              <w:ind w:left="51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红色名录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517" w:type="dxa"/>
            <w:vMerge w:val="continue"/>
            <w:tcBorders>
              <w:top w:val="nil"/>
              <w:left w:val="nil"/>
            </w:tcBorders>
            <w:textDirection w:val="tbRlV"/>
            <w:vAlign w:val="top"/>
          </w:tcPr>
          <w:p>
            <w:pPr>
              <w:rPr>
                <w:rFonts w:ascii="Arial"/>
                <w:sz w:val="21"/>
              </w:rPr>
            </w:pPr>
          </w:p>
        </w:tc>
        <w:tc>
          <w:tcPr>
            <w:tcW w:w="1376" w:type="dxa"/>
            <w:vMerge w:val="continue"/>
            <w:tcBorders>
              <w:top w:val="nil"/>
            </w:tcBorders>
            <w:vAlign w:val="top"/>
          </w:tcPr>
          <w:p>
            <w:pPr>
              <w:rPr>
                <w:rFonts w:ascii="Arial"/>
                <w:sz w:val="21"/>
              </w:rPr>
            </w:pPr>
          </w:p>
        </w:tc>
        <w:tc>
          <w:tcPr>
            <w:tcW w:w="2345" w:type="dxa"/>
            <w:vMerge w:val="continue"/>
            <w:tcBorders>
              <w:top w:val="nil"/>
            </w:tcBorders>
            <w:vAlign w:val="top"/>
          </w:tcPr>
          <w:p>
            <w:pPr>
              <w:rPr>
                <w:rFonts w:ascii="Arial"/>
                <w:sz w:val="21"/>
              </w:rPr>
            </w:pPr>
          </w:p>
        </w:tc>
        <w:tc>
          <w:tcPr>
            <w:tcW w:w="690" w:type="dxa"/>
            <w:vAlign w:val="top"/>
          </w:tcPr>
          <w:p>
            <w:pPr>
              <w:spacing w:before="55" w:line="218" w:lineRule="auto"/>
              <w:ind w:left="173"/>
              <w:rPr>
                <w:rFonts w:ascii="仿宋" w:hAnsi="仿宋" w:eastAsia="仿宋" w:cs="仿宋"/>
                <w:sz w:val="21"/>
                <w:szCs w:val="21"/>
              </w:rPr>
            </w:pPr>
            <w:r>
              <w:rPr>
                <w:rFonts w:ascii="仿宋" w:hAnsi="仿宋" w:eastAsia="仿宋" w:cs="仿宋"/>
                <w:spacing w:val="-10"/>
                <w:sz w:val="21"/>
                <w:szCs w:val="21"/>
                <w14:textOutline w14:w="3810" w14:cap="flat" w14:cmpd="sng">
                  <w14:solidFill>
                    <w14:srgbClr w14:val="000000"/>
                  </w14:solidFill>
                  <w14:prstDash w14:val="solid"/>
                  <w14:miter w14:val="0"/>
                </w14:textOutline>
              </w:rPr>
              <w:t>中国</w:t>
            </w:r>
          </w:p>
        </w:tc>
        <w:tc>
          <w:tcPr>
            <w:tcW w:w="847" w:type="dxa"/>
            <w:vAlign w:val="top"/>
          </w:tcPr>
          <w:p>
            <w:pPr>
              <w:pStyle w:val="6"/>
              <w:spacing w:before="93" w:line="186" w:lineRule="auto"/>
              <w:ind w:left="114"/>
            </w:pPr>
            <w:r>
              <w:rPr>
                <w:b/>
                <w:bCs/>
                <w:spacing w:val="-2"/>
              </w:rPr>
              <w:t>CITES</w:t>
            </w:r>
          </w:p>
        </w:tc>
        <w:tc>
          <w:tcPr>
            <w:tcW w:w="686" w:type="dxa"/>
            <w:vMerge w:val="continue"/>
            <w:tcBorders>
              <w:top w:val="nil"/>
            </w:tcBorders>
            <w:vAlign w:val="top"/>
          </w:tcPr>
          <w:p>
            <w:pPr>
              <w:rPr>
                <w:rFonts w:ascii="Arial"/>
                <w:sz w:val="21"/>
              </w:rPr>
            </w:pPr>
          </w:p>
        </w:tc>
        <w:tc>
          <w:tcPr>
            <w:tcW w:w="827" w:type="dxa"/>
            <w:vAlign w:val="top"/>
          </w:tcPr>
          <w:p>
            <w:pPr>
              <w:spacing w:before="55" w:line="218" w:lineRule="auto"/>
              <w:ind w:left="241"/>
              <w:rPr>
                <w:rFonts w:ascii="仿宋" w:hAnsi="仿宋" w:eastAsia="仿宋" w:cs="仿宋"/>
                <w:sz w:val="21"/>
                <w:szCs w:val="21"/>
              </w:rPr>
            </w:pPr>
            <w:r>
              <w:rPr>
                <w:rFonts w:ascii="仿宋" w:hAnsi="仿宋" w:eastAsia="仿宋" w:cs="仿宋"/>
                <w:spacing w:val="-10"/>
                <w:sz w:val="21"/>
                <w:szCs w:val="21"/>
                <w14:textOutline w14:w="3810" w14:cap="flat" w14:cmpd="sng">
                  <w14:solidFill>
                    <w14:srgbClr w14:val="000000"/>
                  </w14:solidFill>
                  <w14:prstDash w14:val="solid"/>
                  <w14:miter w14:val="0"/>
                </w14:textOutline>
              </w:rPr>
              <w:t>中国</w:t>
            </w:r>
          </w:p>
        </w:tc>
        <w:tc>
          <w:tcPr>
            <w:tcW w:w="1019" w:type="dxa"/>
            <w:tcBorders>
              <w:right w:val="nil"/>
            </w:tcBorders>
            <w:vAlign w:val="top"/>
          </w:tcPr>
          <w:p>
            <w:pPr>
              <w:pStyle w:val="6"/>
              <w:spacing w:before="93" w:line="186" w:lineRule="auto"/>
              <w:ind w:left="242"/>
            </w:pPr>
            <w:r>
              <w:rPr>
                <w:b/>
                <w:bCs/>
                <w:spacing w:val="-2"/>
              </w:rPr>
              <w:t>IUCN</w:t>
            </w:r>
          </w:p>
        </w:tc>
      </w:tr>
    </w:tbl>
    <w:p>
      <w:pPr>
        <w:spacing w:before="55" w:line="218" w:lineRule="auto"/>
        <w:ind w:left="3256"/>
        <w:rPr>
          <w:rFonts w:ascii="Times New Roman" w:hAnsi="Times New Roman" w:eastAsia="Times New Roman" w:cs="Times New Roman"/>
          <w:sz w:val="21"/>
          <w:szCs w:val="21"/>
        </w:rPr>
      </w:pPr>
      <w:r>
        <w:rPr>
          <w:rFonts w:ascii="仿宋" w:hAnsi="仿宋" w:eastAsia="仿宋" w:cs="仿宋"/>
          <w:spacing w:val="-3"/>
          <w:sz w:val="21"/>
          <w:szCs w:val="21"/>
        </w:rPr>
        <w:t>哺乳纲</w:t>
      </w:r>
      <w:r>
        <w:rPr>
          <w:rFonts w:ascii="仿宋" w:hAnsi="仿宋" w:eastAsia="仿宋" w:cs="仿宋"/>
          <w:spacing w:val="-41"/>
          <w:sz w:val="21"/>
          <w:szCs w:val="21"/>
        </w:rPr>
        <w:t xml:space="preserve"> </w:t>
      </w:r>
      <w:r>
        <w:rPr>
          <w:rFonts w:ascii="Times New Roman" w:hAnsi="Times New Roman" w:eastAsia="Times New Roman" w:cs="Times New Roman"/>
          <w:spacing w:val="-3"/>
          <w:sz w:val="21"/>
          <w:szCs w:val="21"/>
        </w:rPr>
        <w:t>MAMMALIA</w:t>
      </w:r>
    </w:p>
    <w:p>
      <w:pPr>
        <w:spacing w:line="16" w:lineRule="exact"/>
      </w:pPr>
    </w:p>
    <w:tbl>
      <w:tblPr>
        <w:tblStyle w:val="5"/>
        <w:tblW w:w="8307"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7"/>
        <w:gridCol w:w="1376"/>
        <w:gridCol w:w="2345"/>
        <w:gridCol w:w="690"/>
        <w:gridCol w:w="847"/>
        <w:gridCol w:w="686"/>
        <w:gridCol w:w="827"/>
        <w:gridCol w:w="10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517" w:type="dxa"/>
            <w:tcBorders>
              <w:left w:val="nil"/>
            </w:tcBorders>
            <w:vAlign w:val="top"/>
          </w:tcPr>
          <w:p>
            <w:pPr>
              <w:pStyle w:val="6"/>
              <w:spacing w:before="104" w:line="186" w:lineRule="auto"/>
              <w:ind w:left="209"/>
            </w:pPr>
            <w:r>
              <w:t>4</w:t>
            </w:r>
          </w:p>
        </w:tc>
        <w:tc>
          <w:tcPr>
            <w:tcW w:w="1376" w:type="dxa"/>
            <w:vAlign w:val="top"/>
          </w:tcPr>
          <w:p>
            <w:pPr>
              <w:spacing w:before="65" w:line="219" w:lineRule="auto"/>
              <w:ind w:left="490"/>
              <w:rPr>
                <w:rFonts w:ascii="仿宋" w:hAnsi="仿宋" w:eastAsia="仿宋" w:cs="仿宋"/>
                <w:sz w:val="21"/>
                <w:szCs w:val="21"/>
              </w:rPr>
            </w:pPr>
            <w:r>
              <w:rPr>
                <w:rFonts w:ascii="仿宋" w:hAnsi="仿宋" w:eastAsia="仿宋" w:cs="仿宋"/>
                <w:spacing w:val="-4"/>
                <w:sz w:val="21"/>
                <w:szCs w:val="21"/>
              </w:rPr>
              <w:t>黄鼬</w:t>
            </w:r>
          </w:p>
        </w:tc>
        <w:tc>
          <w:tcPr>
            <w:tcW w:w="2345" w:type="dxa"/>
            <w:vAlign w:val="top"/>
          </w:tcPr>
          <w:p>
            <w:pPr>
              <w:pStyle w:val="6"/>
              <w:spacing w:before="99" w:line="228" w:lineRule="auto"/>
              <w:ind w:left="477"/>
            </w:pPr>
            <w:r>
              <w:rPr>
                <w:i/>
                <w:iCs/>
              </w:rPr>
              <w:t>Mustela</w:t>
            </w:r>
            <w:r>
              <w:rPr>
                <w:i/>
                <w:iCs/>
                <w:spacing w:val="6"/>
              </w:rPr>
              <w:t xml:space="preserve"> </w:t>
            </w:r>
            <w:r>
              <w:rPr>
                <w:i/>
                <w:iCs/>
              </w:rPr>
              <w:t>sibirica</w:t>
            </w:r>
          </w:p>
        </w:tc>
        <w:tc>
          <w:tcPr>
            <w:tcW w:w="690" w:type="dxa"/>
            <w:vAlign w:val="top"/>
          </w:tcPr>
          <w:p>
            <w:pPr>
              <w:rPr>
                <w:rFonts w:ascii="Arial"/>
                <w:sz w:val="21"/>
              </w:rPr>
            </w:pPr>
          </w:p>
        </w:tc>
        <w:tc>
          <w:tcPr>
            <w:tcW w:w="847" w:type="dxa"/>
            <w:vAlign w:val="top"/>
          </w:tcPr>
          <w:p>
            <w:pPr>
              <w:pStyle w:val="6"/>
              <w:spacing w:before="65" w:line="232" w:lineRule="auto"/>
              <w:ind w:left="254"/>
              <w:rPr>
                <w:rFonts w:ascii="宋体" w:hAnsi="宋体" w:eastAsia="宋体" w:cs="宋体"/>
              </w:rPr>
            </w:pPr>
            <w:r>
              <w:rPr>
                <w:spacing w:val="-4"/>
              </w:rPr>
              <w:t>C</w:t>
            </w:r>
            <w:r>
              <w:rPr>
                <w:rFonts w:ascii="宋体" w:hAnsi="宋体" w:eastAsia="宋体" w:cs="宋体"/>
                <w:spacing w:val="-4"/>
              </w:rPr>
              <w:t>Ⅲ</w:t>
            </w:r>
          </w:p>
        </w:tc>
        <w:tc>
          <w:tcPr>
            <w:tcW w:w="686" w:type="dxa"/>
            <w:vAlign w:val="top"/>
          </w:tcPr>
          <w:p>
            <w:pPr>
              <w:rPr>
                <w:rFonts w:ascii="Arial"/>
                <w:sz w:val="21"/>
              </w:rPr>
            </w:pPr>
          </w:p>
        </w:tc>
        <w:tc>
          <w:tcPr>
            <w:tcW w:w="827" w:type="dxa"/>
            <w:vAlign w:val="top"/>
          </w:tcPr>
          <w:p>
            <w:pPr>
              <w:rPr>
                <w:rFonts w:ascii="Arial"/>
                <w:sz w:val="21"/>
              </w:rPr>
            </w:pPr>
          </w:p>
        </w:tc>
        <w:tc>
          <w:tcPr>
            <w:tcW w:w="1019" w:type="dxa"/>
            <w:tcBorders>
              <w:right w:val="nil"/>
            </w:tcBorders>
            <w:vAlign w:val="top"/>
          </w:tcPr>
          <w:p>
            <w:pPr>
              <w:rPr>
                <w:rFonts w:ascii="Arial"/>
                <w:sz w:val="21"/>
              </w:rPr>
            </w:pPr>
          </w:p>
        </w:tc>
      </w:tr>
    </w:tbl>
    <w:p>
      <w:pPr>
        <w:spacing w:before="57" w:line="220" w:lineRule="auto"/>
        <w:ind w:left="3695"/>
        <w:rPr>
          <w:rFonts w:ascii="Times New Roman" w:hAnsi="Times New Roman" w:eastAsia="Times New Roman" w:cs="Times New Roman"/>
          <w:sz w:val="21"/>
          <w:szCs w:val="21"/>
        </w:rPr>
      </w:pPr>
      <w:r>
        <w:rPr>
          <w:rFonts w:ascii="仿宋" w:hAnsi="仿宋" w:eastAsia="仿宋" w:cs="仿宋"/>
          <w:spacing w:val="-5"/>
          <w:sz w:val="21"/>
          <w:szCs w:val="21"/>
        </w:rPr>
        <w:t>鸟纲</w:t>
      </w:r>
      <w:r>
        <w:rPr>
          <w:rFonts w:ascii="仿宋" w:hAnsi="仿宋" w:eastAsia="仿宋" w:cs="仿宋"/>
          <w:spacing w:val="-47"/>
          <w:sz w:val="21"/>
          <w:szCs w:val="21"/>
        </w:rPr>
        <w:t xml:space="preserve"> </w:t>
      </w:r>
      <w:r>
        <w:rPr>
          <w:rFonts w:ascii="Times New Roman" w:hAnsi="Times New Roman" w:eastAsia="Times New Roman" w:cs="Times New Roman"/>
          <w:spacing w:val="-5"/>
          <w:sz w:val="21"/>
          <w:szCs w:val="21"/>
        </w:rPr>
        <w:t>AVES</w:t>
      </w:r>
    </w:p>
    <w:p>
      <w:pPr>
        <w:spacing w:line="132" w:lineRule="auto"/>
        <w:rPr>
          <w:rFonts w:ascii="Arial"/>
          <w:sz w:val="2"/>
        </w:rPr>
      </w:pPr>
    </w:p>
    <w:tbl>
      <w:tblPr>
        <w:tblStyle w:val="5"/>
        <w:tblW w:w="8307"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7"/>
        <w:gridCol w:w="1376"/>
        <w:gridCol w:w="2345"/>
        <w:gridCol w:w="690"/>
        <w:gridCol w:w="847"/>
        <w:gridCol w:w="686"/>
        <w:gridCol w:w="827"/>
        <w:gridCol w:w="10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9" w:hRule="atLeast"/>
        </w:trPr>
        <w:tc>
          <w:tcPr>
            <w:tcW w:w="517" w:type="dxa"/>
            <w:tcBorders>
              <w:left w:val="nil"/>
            </w:tcBorders>
            <w:vAlign w:val="top"/>
          </w:tcPr>
          <w:p>
            <w:pPr>
              <w:pStyle w:val="6"/>
              <w:spacing w:before="99" w:line="186" w:lineRule="auto"/>
              <w:ind w:left="230"/>
            </w:pPr>
            <w:r>
              <w:t>1</w:t>
            </w:r>
          </w:p>
        </w:tc>
        <w:tc>
          <w:tcPr>
            <w:tcW w:w="1376" w:type="dxa"/>
            <w:vAlign w:val="top"/>
          </w:tcPr>
          <w:p>
            <w:pPr>
              <w:spacing w:before="60" w:line="218" w:lineRule="auto"/>
              <w:ind w:left="491"/>
              <w:rPr>
                <w:rFonts w:ascii="仿宋" w:hAnsi="仿宋" w:eastAsia="仿宋" w:cs="仿宋"/>
                <w:sz w:val="21"/>
                <w:szCs w:val="21"/>
              </w:rPr>
            </w:pPr>
            <w:r>
              <w:rPr>
                <w:rFonts w:ascii="仿宋" w:hAnsi="仿宋" w:eastAsia="仿宋" w:cs="仿宋"/>
                <w:spacing w:val="-4"/>
                <w:sz w:val="21"/>
                <w:szCs w:val="21"/>
              </w:rPr>
              <w:t>红隼</w:t>
            </w:r>
          </w:p>
        </w:tc>
        <w:tc>
          <w:tcPr>
            <w:tcW w:w="2345" w:type="dxa"/>
            <w:vAlign w:val="top"/>
          </w:tcPr>
          <w:p>
            <w:pPr>
              <w:pStyle w:val="6"/>
              <w:spacing w:before="95" w:line="222" w:lineRule="auto"/>
              <w:ind w:left="403"/>
            </w:pPr>
            <w:r>
              <w:rPr>
                <w:i/>
                <w:iCs/>
              </w:rPr>
              <w:t>Falco</w:t>
            </w:r>
            <w:r>
              <w:rPr>
                <w:i/>
                <w:iCs/>
                <w:spacing w:val="7"/>
              </w:rPr>
              <w:t xml:space="preserve"> </w:t>
            </w:r>
            <w:r>
              <w:rPr>
                <w:i/>
                <w:iCs/>
              </w:rPr>
              <w:t>tinnunculus</w:t>
            </w:r>
          </w:p>
        </w:tc>
        <w:tc>
          <w:tcPr>
            <w:tcW w:w="690" w:type="dxa"/>
            <w:vAlign w:val="top"/>
          </w:tcPr>
          <w:p>
            <w:pPr>
              <w:spacing w:before="60" w:line="220" w:lineRule="auto"/>
              <w:ind w:left="177"/>
              <w:rPr>
                <w:rFonts w:ascii="仿宋" w:hAnsi="仿宋" w:eastAsia="仿宋" w:cs="仿宋"/>
                <w:sz w:val="21"/>
                <w:szCs w:val="21"/>
              </w:rPr>
            </w:pPr>
            <w:r>
              <w:rPr>
                <w:rFonts w:ascii="宋体" w:hAnsi="宋体" w:eastAsia="宋体" w:cs="宋体"/>
                <w:spacing w:val="-23"/>
                <w:sz w:val="21"/>
                <w:szCs w:val="21"/>
              </w:rPr>
              <w:t>Ⅱ</w:t>
            </w:r>
            <w:r>
              <w:rPr>
                <w:rFonts w:ascii="仿宋" w:hAnsi="仿宋" w:eastAsia="仿宋" w:cs="仿宋"/>
                <w:spacing w:val="-23"/>
                <w:sz w:val="21"/>
                <w:szCs w:val="21"/>
              </w:rPr>
              <w:t>级</w:t>
            </w:r>
          </w:p>
        </w:tc>
        <w:tc>
          <w:tcPr>
            <w:tcW w:w="847" w:type="dxa"/>
            <w:vAlign w:val="top"/>
          </w:tcPr>
          <w:p>
            <w:pPr>
              <w:pStyle w:val="6"/>
              <w:spacing w:before="60" w:line="227" w:lineRule="auto"/>
              <w:ind w:left="254"/>
              <w:rPr>
                <w:rFonts w:ascii="宋体" w:hAnsi="宋体" w:eastAsia="宋体" w:cs="宋体"/>
              </w:rPr>
            </w:pPr>
            <w:r>
              <w:rPr>
                <w:spacing w:val="-4"/>
              </w:rPr>
              <w:t>C</w:t>
            </w:r>
            <w:r>
              <w:rPr>
                <w:rFonts w:ascii="宋体" w:hAnsi="宋体" w:eastAsia="宋体" w:cs="宋体"/>
                <w:spacing w:val="-4"/>
              </w:rPr>
              <w:t>Ⅱ</w:t>
            </w:r>
          </w:p>
        </w:tc>
        <w:tc>
          <w:tcPr>
            <w:tcW w:w="686" w:type="dxa"/>
            <w:vAlign w:val="top"/>
          </w:tcPr>
          <w:p>
            <w:pPr>
              <w:rPr>
                <w:rFonts w:ascii="Arial"/>
                <w:sz w:val="21"/>
              </w:rPr>
            </w:pPr>
          </w:p>
        </w:tc>
        <w:tc>
          <w:tcPr>
            <w:tcW w:w="827" w:type="dxa"/>
            <w:vAlign w:val="top"/>
          </w:tcPr>
          <w:p>
            <w:pPr>
              <w:rPr>
                <w:rFonts w:ascii="Arial"/>
                <w:sz w:val="21"/>
              </w:rPr>
            </w:pPr>
          </w:p>
        </w:tc>
        <w:tc>
          <w:tcPr>
            <w:tcW w:w="1019"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3" w:hRule="atLeast"/>
        </w:trPr>
        <w:tc>
          <w:tcPr>
            <w:tcW w:w="517" w:type="dxa"/>
            <w:tcBorders>
              <w:left w:val="nil"/>
            </w:tcBorders>
            <w:vAlign w:val="top"/>
          </w:tcPr>
          <w:p>
            <w:pPr>
              <w:pStyle w:val="6"/>
              <w:spacing w:before="94" w:line="186" w:lineRule="auto"/>
              <w:ind w:left="210"/>
            </w:pPr>
            <w:r>
              <w:t>2</w:t>
            </w:r>
          </w:p>
        </w:tc>
        <w:tc>
          <w:tcPr>
            <w:tcW w:w="1376" w:type="dxa"/>
            <w:vAlign w:val="top"/>
          </w:tcPr>
          <w:p>
            <w:pPr>
              <w:spacing w:before="55" w:line="221" w:lineRule="auto"/>
              <w:ind w:left="387"/>
              <w:rPr>
                <w:rFonts w:ascii="仿宋" w:hAnsi="仿宋" w:eastAsia="仿宋" w:cs="仿宋"/>
                <w:sz w:val="21"/>
                <w:szCs w:val="21"/>
              </w:rPr>
            </w:pPr>
            <w:r>
              <w:rPr>
                <w:rFonts w:ascii="仿宋" w:hAnsi="仿宋" w:eastAsia="仿宋" w:cs="仿宋"/>
                <w:spacing w:val="-4"/>
                <w:sz w:val="21"/>
                <w:szCs w:val="21"/>
              </w:rPr>
              <w:t>普通鵟</w:t>
            </w:r>
          </w:p>
        </w:tc>
        <w:tc>
          <w:tcPr>
            <w:tcW w:w="2345" w:type="dxa"/>
            <w:vAlign w:val="top"/>
          </w:tcPr>
          <w:p>
            <w:pPr>
              <w:pStyle w:val="6"/>
              <w:spacing w:before="89" w:line="222" w:lineRule="auto"/>
              <w:ind w:left="660"/>
            </w:pPr>
            <w:r>
              <w:rPr>
                <w:i/>
                <w:iCs/>
              </w:rPr>
              <w:t>Buteo</w:t>
            </w:r>
            <w:r>
              <w:rPr>
                <w:i/>
                <w:iCs/>
                <w:spacing w:val="7"/>
              </w:rPr>
              <w:t xml:space="preserve"> </w:t>
            </w:r>
            <w:r>
              <w:rPr>
                <w:i/>
                <w:iCs/>
              </w:rPr>
              <w:t>buteo</w:t>
            </w:r>
          </w:p>
        </w:tc>
        <w:tc>
          <w:tcPr>
            <w:tcW w:w="690" w:type="dxa"/>
            <w:vAlign w:val="top"/>
          </w:tcPr>
          <w:p>
            <w:pPr>
              <w:spacing w:before="54" w:line="220" w:lineRule="auto"/>
              <w:ind w:left="177"/>
              <w:rPr>
                <w:rFonts w:ascii="仿宋" w:hAnsi="仿宋" w:eastAsia="仿宋" w:cs="仿宋"/>
                <w:sz w:val="21"/>
                <w:szCs w:val="21"/>
              </w:rPr>
            </w:pPr>
            <w:r>
              <w:rPr>
                <w:rFonts w:ascii="宋体" w:hAnsi="宋体" w:eastAsia="宋体" w:cs="宋体"/>
                <w:spacing w:val="-23"/>
                <w:sz w:val="21"/>
                <w:szCs w:val="21"/>
              </w:rPr>
              <w:t>Ⅱ</w:t>
            </w:r>
            <w:r>
              <w:rPr>
                <w:rFonts w:ascii="仿宋" w:hAnsi="仿宋" w:eastAsia="仿宋" w:cs="仿宋"/>
                <w:spacing w:val="-23"/>
                <w:sz w:val="21"/>
                <w:szCs w:val="21"/>
              </w:rPr>
              <w:t>级</w:t>
            </w:r>
          </w:p>
        </w:tc>
        <w:tc>
          <w:tcPr>
            <w:tcW w:w="847" w:type="dxa"/>
            <w:vAlign w:val="top"/>
          </w:tcPr>
          <w:p>
            <w:pPr>
              <w:pStyle w:val="6"/>
              <w:spacing w:before="55" w:line="226" w:lineRule="auto"/>
              <w:ind w:left="254"/>
              <w:rPr>
                <w:rFonts w:ascii="宋体" w:hAnsi="宋体" w:eastAsia="宋体" w:cs="宋体"/>
              </w:rPr>
            </w:pPr>
            <w:r>
              <w:rPr>
                <w:spacing w:val="-4"/>
              </w:rPr>
              <w:t>C</w:t>
            </w:r>
            <w:r>
              <w:rPr>
                <w:rFonts w:ascii="宋体" w:hAnsi="宋体" w:eastAsia="宋体" w:cs="宋体"/>
                <w:spacing w:val="-4"/>
              </w:rPr>
              <w:t>Ⅱ</w:t>
            </w:r>
          </w:p>
        </w:tc>
        <w:tc>
          <w:tcPr>
            <w:tcW w:w="686" w:type="dxa"/>
            <w:vAlign w:val="top"/>
          </w:tcPr>
          <w:p>
            <w:pPr>
              <w:rPr>
                <w:rFonts w:ascii="Arial"/>
                <w:sz w:val="21"/>
              </w:rPr>
            </w:pPr>
          </w:p>
        </w:tc>
        <w:tc>
          <w:tcPr>
            <w:tcW w:w="827" w:type="dxa"/>
            <w:vAlign w:val="top"/>
          </w:tcPr>
          <w:p>
            <w:pPr>
              <w:rPr>
                <w:rFonts w:ascii="Arial"/>
                <w:sz w:val="21"/>
              </w:rPr>
            </w:pPr>
          </w:p>
        </w:tc>
        <w:tc>
          <w:tcPr>
            <w:tcW w:w="1019"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22" w:hRule="atLeast"/>
        </w:trPr>
        <w:tc>
          <w:tcPr>
            <w:tcW w:w="517" w:type="dxa"/>
            <w:tcBorders>
              <w:left w:val="nil"/>
            </w:tcBorders>
            <w:vAlign w:val="top"/>
          </w:tcPr>
          <w:p>
            <w:pPr>
              <w:pStyle w:val="6"/>
              <w:spacing w:before="145" w:line="186" w:lineRule="auto"/>
              <w:ind w:left="215"/>
            </w:pPr>
            <w:r>
              <w:t>3</w:t>
            </w:r>
          </w:p>
        </w:tc>
        <w:tc>
          <w:tcPr>
            <w:tcW w:w="1376" w:type="dxa"/>
            <w:vAlign w:val="top"/>
          </w:tcPr>
          <w:p>
            <w:pPr>
              <w:spacing w:before="106" w:line="218" w:lineRule="auto"/>
              <w:ind w:left="384"/>
              <w:rPr>
                <w:rFonts w:ascii="仿宋" w:hAnsi="仿宋" w:eastAsia="仿宋" w:cs="仿宋"/>
                <w:sz w:val="21"/>
                <w:szCs w:val="21"/>
              </w:rPr>
            </w:pPr>
            <w:r>
              <w:rPr>
                <w:rFonts w:ascii="仿宋" w:hAnsi="仿宋" w:eastAsia="仿宋" w:cs="仿宋"/>
                <w:spacing w:val="-3"/>
                <w:sz w:val="21"/>
                <w:szCs w:val="21"/>
              </w:rPr>
              <w:t>松雀鹰</w:t>
            </w:r>
          </w:p>
        </w:tc>
        <w:tc>
          <w:tcPr>
            <w:tcW w:w="2345" w:type="dxa"/>
            <w:vAlign w:val="top"/>
          </w:tcPr>
          <w:p>
            <w:pPr>
              <w:pStyle w:val="6"/>
              <w:spacing w:before="141" w:line="190" w:lineRule="auto"/>
              <w:ind w:left="404"/>
            </w:pPr>
            <w:r>
              <w:rPr>
                <w:i/>
                <w:iCs/>
              </w:rPr>
              <w:t>Accipiter</w:t>
            </w:r>
            <w:r>
              <w:rPr>
                <w:i/>
                <w:iCs/>
                <w:spacing w:val="10"/>
              </w:rPr>
              <w:t xml:space="preserve"> </w:t>
            </w:r>
            <w:r>
              <w:rPr>
                <w:i/>
                <w:iCs/>
              </w:rPr>
              <w:t>virgatus</w:t>
            </w:r>
          </w:p>
        </w:tc>
        <w:tc>
          <w:tcPr>
            <w:tcW w:w="690" w:type="dxa"/>
            <w:vAlign w:val="top"/>
          </w:tcPr>
          <w:p>
            <w:pPr>
              <w:spacing w:before="106" w:line="220" w:lineRule="auto"/>
              <w:ind w:left="177"/>
              <w:rPr>
                <w:rFonts w:ascii="仿宋" w:hAnsi="仿宋" w:eastAsia="仿宋" w:cs="仿宋"/>
                <w:sz w:val="21"/>
                <w:szCs w:val="21"/>
              </w:rPr>
            </w:pPr>
            <w:r>
              <w:rPr>
                <w:rFonts w:ascii="宋体" w:hAnsi="宋体" w:eastAsia="宋体" w:cs="宋体"/>
                <w:spacing w:val="-23"/>
                <w:sz w:val="21"/>
                <w:szCs w:val="21"/>
              </w:rPr>
              <w:t>Ⅱ</w:t>
            </w:r>
            <w:r>
              <w:rPr>
                <w:rFonts w:ascii="仿宋" w:hAnsi="仿宋" w:eastAsia="仿宋" w:cs="仿宋"/>
                <w:spacing w:val="-23"/>
                <w:sz w:val="21"/>
                <w:szCs w:val="21"/>
              </w:rPr>
              <w:t>级</w:t>
            </w:r>
          </w:p>
        </w:tc>
        <w:tc>
          <w:tcPr>
            <w:tcW w:w="847" w:type="dxa"/>
            <w:vAlign w:val="top"/>
          </w:tcPr>
          <w:p>
            <w:pPr>
              <w:pStyle w:val="6"/>
              <w:spacing w:before="107" w:line="235" w:lineRule="auto"/>
              <w:ind w:left="254"/>
              <w:rPr>
                <w:rFonts w:ascii="宋体" w:hAnsi="宋体" w:eastAsia="宋体" w:cs="宋体"/>
              </w:rPr>
            </w:pPr>
            <w:r>
              <w:rPr>
                <w:spacing w:val="-4"/>
              </w:rPr>
              <w:t>C</w:t>
            </w:r>
            <w:r>
              <w:rPr>
                <w:rFonts w:ascii="宋体" w:hAnsi="宋体" w:eastAsia="宋体" w:cs="宋体"/>
                <w:spacing w:val="-4"/>
              </w:rPr>
              <w:t>Ⅱ</w:t>
            </w:r>
          </w:p>
        </w:tc>
        <w:tc>
          <w:tcPr>
            <w:tcW w:w="686" w:type="dxa"/>
            <w:vAlign w:val="top"/>
          </w:tcPr>
          <w:p>
            <w:pPr>
              <w:rPr>
                <w:rFonts w:ascii="Arial"/>
                <w:sz w:val="21"/>
              </w:rPr>
            </w:pPr>
          </w:p>
        </w:tc>
        <w:tc>
          <w:tcPr>
            <w:tcW w:w="827" w:type="dxa"/>
            <w:vAlign w:val="top"/>
          </w:tcPr>
          <w:p>
            <w:pPr>
              <w:rPr>
                <w:rFonts w:ascii="Arial"/>
                <w:sz w:val="21"/>
              </w:rPr>
            </w:pPr>
          </w:p>
        </w:tc>
        <w:tc>
          <w:tcPr>
            <w:tcW w:w="1019"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3" w:hRule="atLeast"/>
        </w:trPr>
        <w:tc>
          <w:tcPr>
            <w:tcW w:w="517" w:type="dxa"/>
            <w:tcBorders>
              <w:left w:val="nil"/>
            </w:tcBorders>
            <w:vAlign w:val="top"/>
          </w:tcPr>
          <w:p>
            <w:pPr>
              <w:pStyle w:val="6"/>
              <w:spacing w:before="141" w:line="186" w:lineRule="auto"/>
              <w:ind w:left="209"/>
            </w:pPr>
            <w:r>
              <w:t>4</w:t>
            </w:r>
          </w:p>
        </w:tc>
        <w:tc>
          <w:tcPr>
            <w:tcW w:w="1376" w:type="dxa"/>
            <w:vAlign w:val="top"/>
          </w:tcPr>
          <w:p>
            <w:pPr>
              <w:spacing w:before="103" w:line="218" w:lineRule="auto"/>
              <w:ind w:left="490"/>
              <w:rPr>
                <w:rFonts w:ascii="仿宋" w:hAnsi="仿宋" w:eastAsia="仿宋" w:cs="仿宋"/>
                <w:sz w:val="21"/>
                <w:szCs w:val="21"/>
              </w:rPr>
            </w:pPr>
            <w:r>
              <w:rPr>
                <w:rFonts w:ascii="仿宋" w:hAnsi="仿宋" w:eastAsia="仿宋" w:cs="仿宋"/>
                <w:spacing w:val="-4"/>
                <w:sz w:val="21"/>
                <w:szCs w:val="21"/>
              </w:rPr>
              <w:t>雀鹰</w:t>
            </w:r>
          </w:p>
        </w:tc>
        <w:tc>
          <w:tcPr>
            <w:tcW w:w="2345" w:type="dxa"/>
            <w:vAlign w:val="top"/>
          </w:tcPr>
          <w:p>
            <w:pPr>
              <w:pStyle w:val="6"/>
              <w:spacing w:before="138" w:line="190" w:lineRule="auto"/>
              <w:ind w:left="532"/>
            </w:pPr>
            <w:r>
              <w:rPr>
                <w:i/>
                <w:iCs/>
              </w:rPr>
              <w:t>Accipiter</w:t>
            </w:r>
            <w:r>
              <w:rPr>
                <w:i/>
                <w:iCs/>
                <w:spacing w:val="10"/>
              </w:rPr>
              <w:t xml:space="preserve"> </w:t>
            </w:r>
            <w:r>
              <w:rPr>
                <w:i/>
                <w:iCs/>
              </w:rPr>
              <w:t>nisus</w:t>
            </w:r>
          </w:p>
        </w:tc>
        <w:tc>
          <w:tcPr>
            <w:tcW w:w="690" w:type="dxa"/>
            <w:vAlign w:val="top"/>
          </w:tcPr>
          <w:p>
            <w:pPr>
              <w:spacing w:before="102" w:line="220" w:lineRule="auto"/>
              <w:ind w:left="177"/>
              <w:rPr>
                <w:rFonts w:ascii="仿宋" w:hAnsi="仿宋" w:eastAsia="仿宋" w:cs="仿宋"/>
                <w:sz w:val="21"/>
                <w:szCs w:val="21"/>
              </w:rPr>
            </w:pPr>
            <w:r>
              <w:rPr>
                <w:rFonts w:ascii="宋体" w:hAnsi="宋体" w:eastAsia="宋体" w:cs="宋体"/>
                <w:spacing w:val="-23"/>
                <w:sz w:val="21"/>
                <w:szCs w:val="21"/>
              </w:rPr>
              <w:t>Ⅱ</w:t>
            </w:r>
            <w:r>
              <w:rPr>
                <w:rFonts w:ascii="仿宋" w:hAnsi="仿宋" w:eastAsia="仿宋" w:cs="仿宋"/>
                <w:spacing w:val="-23"/>
                <w:sz w:val="21"/>
                <w:szCs w:val="21"/>
              </w:rPr>
              <w:t>级</w:t>
            </w:r>
          </w:p>
        </w:tc>
        <w:tc>
          <w:tcPr>
            <w:tcW w:w="847" w:type="dxa"/>
            <w:vAlign w:val="top"/>
          </w:tcPr>
          <w:p>
            <w:pPr>
              <w:pStyle w:val="6"/>
              <w:spacing w:before="103" w:line="235" w:lineRule="auto"/>
              <w:ind w:left="254"/>
              <w:rPr>
                <w:rFonts w:ascii="宋体" w:hAnsi="宋体" w:eastAsia="宋体" w:cs="宋体"/>
              </w:rPr>
            </w:pPr>
            <w:r>
              <w:rPr>
                <w:spacing w:val="-4"/>
              </w:rPr>
              <w:t>C</w:t>
            </w:r>
            <w:r>
              <w:rPr>
                <w:rFonts w:ascii="宋体" w:hAnsi="宋体" w:eastAsia="宋体" w:cs="宋体"/>
                <w:spacing w:val="-4"/>
              </w:rPr>
              <w:t>Ⅱ</w:t>
            </w:r>
          </w:p>
        </w:tc>
        <w:tc>
          <w:tcPr>
            <w:tcW w:w="686" w:type="dxa"/>
            <w:vAlign w:val="top"/>
          </w:tcPr>
          <w:p>
            <w:pPr>
              <w:rPr>
                <w:rFonts w:ascii="Arial"/>
                <w:sz w:val="21"/>
              </w:rPr>
            </w:pPr>
          </w:p>
        </w:tc>
        <w:tc>
          <w:tcPr>
            <w:tcW w:w="827" w:type="dxa"/>
            <w:vAlign w:val="top"/>
          </w:tcPr>
          <w:p>
            <w:pPr>
              <w:rPr>
                <w:rFonts w:ascii="Arial"/>
                <w:sz w:val="21"/>
              </w:rPr>
            </w:pPr>
          </w:p>
        </w:tc>
        <w:tc>
          <w:tcPr>
            <w:tcW w:w="1019"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16" w:hRule="atLeast"/>
        </w:trPr>
        <w:tc>
          <w:tcPr>
            <w:tcW w:w="517" w:type="dxa"/>
            <w:tcBorders>
              <w:left w:val="nil"/>
            </w:tcBorders>
            <w:vAlign w:val="top"/>
          </w:tcPr>
          <w:p>
            <w:pPr>
              <w:pStyle w:val="6"/>
              <w:spacing w:before="144" w:line="183" w:lineRule="auto"/>
              <w:ind w:left="216"/>
            </w:pPr>
            <w:r>
              <w:t>5</w:t>
            </w:r>
          </w:p>
        </w:tc>
        <w:tc>
          <w:tcPr>
            <w:tcW w:w="1376" w:type="dxa"/>
            <w:vAlign w:val="top"/>
          </w:tcPr>
          <w:p>
            <w:pPr>
              <w:spacing w:before="102" w:line="219" w:lineRule="auto"/>
              <w:ind w:left="506"/>
              <w:rPr>
                <w:rFonts w:ascii="仿宋" w:hAnsi="仿宋" w:eastAsia="仿宋" w:cs="仿宋"/>
                <w:sz w:val="21"/>
                <w:szCs w:val="21"/>
              </w:rPr>
            </w:pPr>
            <w:r>
              <w:rPr>
                <w:rFonts w:ascii="仿宋" w:hAnsi="仿宋" w:eastAsia="仿宋" w:cs="仿宋"/>
                <w:spacing w:val="-8"/>
                <w:sz w:val="21"/>
                <w:szCs w:val="21"/>
              </w:rPr>
              <w:t>画眉</w:t>
            </w:r>
          </w:p>
        </w:tc>
        <w:tc>
          <w:tcPr>
            <w:tcW w:w="2345" w:type="dxa"/>
            <w:vAlign w:val="top"/>
          </w:tcPr>
          <w:p>
            <w:pPr>
              <w:pStyle w:val="6"/>
              <w:spacing w:before="137" w:line="232" w:lineRule="auto"/>
              <w:ind w:left="428"/>
            </w:pPr>
            <w:r>
              <w:rPr>
                <w:i/>
                <w:iCs/>
                <w:spacing w:val="-1"/>
              </w:rPr>
              <w:t>Garrulax canorus</w:t>
            </w:r>
          </w:p>
        </w:tc>
        <w:tc>
          <w:tcPr>
            <w:tcW w:w="690" w:type="dxa"/>
            <w:vAlign w:val="top"/>
          </w:tcPr>
          <w:p>
            <w:pPr>
              <w:spacing w:before="102" w:line="220" w:lineRule="auto"/>
              <w:ind w:left="177"/>
              <w:rPr>
                <w:rFonts w:ascii="仿宋" w:hAnsi="仿宋" w:eastAsia="仿宋" w:cs="仿宋"/>
                <w:sz w:val="21"/>
                <w:szCs w:val="21"/>
              </w:rPr>
            </w:pPr>
            <w:r>
              <w:rPr>
                <w:rFonts w:ascii="宋体" w:hAnsi="宋体" w:eastAsia="宋体" w:cs="宋体"/>
                <w:spacing w:val="-23"/>
                <w:sz w:val="21"/>
                <w:szCs w:val="21"/>
              </w:rPr>
              <w:t>Ⅱ</w:t>
            </w:r>
            <w:r>
              <w:rPr>
                <w:rFonts w:ascii="仿宋" w:hAnsi="仿宋" w:eastAsia="仿宋" w:cs="仿宋"/>
                <w:spacing w:val="-23"/>
                <w:sz w:val="21"/>
                <w:szCs w:val="21"/>
              </w:rPr>
              <w:t>级</w:t>
            </w:r>
          </w:p>
        </w:tc>
        <w:tc>
          <w:tcPr>
            <w:tcW w:w="847" w:type="dxa"/>
            <w:vAlign w:val="top"/>
          </w:tcPr>
          <w:p>
            <w:pPr>
              <w:pStyle w:val="6"/>
              <w:spacing w:before="103" w:line="235" w:lineRule="auto"/>
              <w:ind w:left="254"/>
              <w:rPr>
                <w:rFonts w:ascii="宋体" w:hAnsi="宋体" w:eastAsia="宋体" w:cs="宋体"/>
              </w:rPr>
            </w:pPr>
            <w:r>
              <w:rPr>
                <w:spacing w:val="-4"/>
              </w:rPr>
              <w:t>C</w:t>
            </w:r>
            <w:r>
              <w:rPr>
                <w:rFonts w:ascii="宋体" w:hAnsi="宋体" w:eastAsia="宋体" w:cs="宋体"/>
                <w:spacing w:val="-4"/>
              </w:rPr>
              <w:t>Ⅱ</w:t>
            </w:r>
          </w:p>
        </w:tc>
        <w:tc>
          <w:tcPr>
            <w:tcW w:w="686" w:type="dxa"/>
            <w:vAlign w:val="top"/>
          </w:tcPr>
          <w:p>
            <w:pPr>
              <w:rPr>
                <w:rFonts w:ascii="Arial"/>
                <w:sz w:val="21"/>
              </w:rPr>
            </w:pPr>
          </w:p>
        </w:tc>
        <w:tc>
          <w:tcPr>
            <w:tcW w:w="827" w:type="dxa"/>
            <w:vAlign w:val="top"/>
          </w:tcPr>
          <w:p>
            <w:pPr>
              <w:rPr>
                <w:rFonts w:ascii="Arial"/>
                <w:sz w:val="21"/>
              </w:rPr>
            </w:pPr>
          </w:p>
        </w:tc>
        <w:tc>
          <w:tcPr>
            <w:tcW w:w="1019" w:type="dxa"/>
            <w:tcBorders>
              <w:right w:val="nil"/>
            </w:tcBorders>
            <w:vAlign w:val="top"/>
          </w:tcPr>
          <w:p>
            <w:pPr>
              <w:rPr>
                <w:rFonts w:ascii="Arial"/>
                <w:sz w:val="21"/>
              </w:rPr>
            </w:pPr>
          </w:p>
        </w:tc>
      </w:tr>
    </w:tbl>
    <w:p>
      <w:pPr>
        <w:spacing w:before="54" w:line="217" w:lineRule="auto"/>
        <w:ind w:left="3388"/>
        <w:rPr>
          <w:rFonts w:ascii="Times New Roman" w:hAnsi="Times New Roman" w:eastAsia="Times New Roman" w:cs="Times New Roman"/>
          <w:sz w:val="21"/>
          <w:szCs w:val="21"/>
        </w:rPr>
      </w:pPr>
      <w:r>
        <w:rPr>
          <w:rFonts w:ascii="仿宋" w:hAnsi="仿宋" w:eastAsia="仿宋" w:cs="仿宋"/>
          <w:spacing w:val="-2"/>
          <w:sz w:val="21"/>
          <w:szCs w:val="21"/>
        </w:rPr>
        <w:t>爬行纲</w:t>
      </w:r>
      <w:r>
        <w:rPr>
          <w:rFonts w:ascii="仿宋" w:hAnsi="仿宋" w:eastAsia="仿宋" w:cs="仿宋"/>
          <w:spacing w:val="-44"/>
          <w:sz w:val="21"/>
          <w:szCs w:val="21"/>
        </w:rPr>
        <w:t xml:space="preserve"> </w:t>
      </w:r>
      <w:r>
        <w:rPr>
          <w:rFonts w:ascii="Times New Roman" w:hAnsi="Times New Roman" w:eastAsia="Times New Roman" w:cs="Times New Roman"/>
          <w:spacing w:val="-2"/>
          <w:sz w:val="21"/>
          <w:szCs w:val="21"/>
        </w:rPr>
        <w:t>REPTILIA</w:t>
      </w:r>
    </w:p>
    <w:p>
      <w:pPr>
        <w:spacing w:line="18" w:lineRule="exact"/>
      </w:pPr>
    </w:p>
    <w:tbl>
      <w:tblPr>
        <w:tblStyle w:val="5"/>
        <w:tblW w:w="8307"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7"/>
        <w:gridCol w:w="1376"/>
        <w:gridCol w:w="2345"/>
        <w:gridCol w:w="690"/>
        <w:gridCol w:w="847"/>
        <w:gridCol w:w="686"/>
        <w:gridCol w:w="827"/>
        <w:gridCol w:w="10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7" w:hRule="atLeast"/>
        </w:trPr>
        <w:tc>
          <w:tcPr>
            <w:tcW w:w="517" w:type="dxa"/>
            <w:tcBorders>
              <w:left w:val="nil"/>
            </w:tcBorders>
            <w:vAlign w:val="top"/>
          </w:tcPr>
          <w:p>
            <w:pPr>
              <w:pStyle w:val="6"/>
              <w:spacing w:before="104" w:line="186" w:lineRule="auto"/>
              <w:ind w:left="230"/>
            </w:pPr>
            <w:r>
              <w:t>1</w:t>
            </w:r>
          </w:p>
        </w:tc>
        <w:tc>
          <w:tcPr>
            <w:tcW w:w="1376" w:type="dxa"/>
            <w:vAlign w:val="top"/>
          </w:tcPr>
          <w:p>
            <w:pPr>
              <w:spacing w:before="65" w:line="218" w:lineRule="auto"/>
              <w:ind w:left="284"/>
              <w:rPr>
                <w:rFonts w:ascii="仿宋" w:hAnsi="仿宋" w:eastAsia="仿宋" w:cs="仿宋"/>
                <w:sz w:val="21"/>
                <w:szCs w:val="21"/>
              </w:rPr>
            </w:pPr>
            <w:r>
              <w:rPr>
                <w:rFonts w:ascii="仿宋" w:hAnsi="仿宋" w:eastAsia="仿宋" w:cs="仿宋"/>
                <w:spacing w:val="-4"/>
                <w:sz w:val="21"/>
                <w:szCs w:val="21"/>
              </w:rPr>
              <w:t>细脆蛇蜥</w:t>
            </w:r>
          </w:p>
        </w:tc>
        <w:tc>
          <w:tcPr>
            <w:tcW w:w="2345" w:type="dxa"/>
            <w:vAlign w:val="top"/>
          </w:tcPr>
          <w:p>
            <w:pPr>
              <w:pStyle w:val="6"/>
              <w:spacing w:before="100" w:line="190" w:lineRule="auto"/>
              <w:ind w:left="461"/>
            </w:pPr>
            <w:r>
              <w:rPr>
                <w:i/>
                <w:iCs/>
                <w:spacing w:val="3"/>
              </w:rPr>
              <w:t>Dopasiagracilis</w:t>
            </w:r>
          </w:p>
        </w:tc>
        <w:tc>
          <w:tcPr>
            <w:tcW w:w="690" w:type="dxa"/>
            <w:vAlign w:val="top"/>
          </w:tcPr>
          <w:p>
            <w:pPr>
              <w:rPr>
                <w:rFonts w:ascii="Arial"/>
                <w:sz w:val="21"/>
              </w:rPr>
            </w:pPr>
          </w:p>
        </w:tc>
        <w:tc>
          <w:tcPr>
            <w:tcW w:w="847" w:type="dxa"/>
            <w:vAlign w:val="top"/>
          </w:tcPr>
          <w:p>
            <w:pPr>
              <w:rPr>
                <w:rFonts w:ascii="Arial"/>
                <w:sz w:val="21"/>
              </w:rPr>
            </w:pPr>
          </w:p>
        </w:tc>
        <w:tc>
          <w:tcPr>
            <w:tcW w:w="686" w:type="dxa"/>
            <w:vAlign w:val="top"/>
          </w:tcPr>
          <w:p>
            <w:pPr>
              <w:rPr>
                <w:rFonts w:ascii="Arial"/>
                <w:sz w:val="21"/>
              </w:rPr>
            </w:pPr>
          </w:p>
        </w:tc>
        <w:tc>
          <w:tcPr>
            <w:tcW w:w="827" w:type="dxa"/>
            <w:vAlign w:val="top"/>
          </w:tcPr>
          <w:p>
            <w:pPr>
              <w:pStyle w:val="6"/>
              <w:spacing w:before="106" w:line="183" w:lineRule="auto"/>
              <w:ind w:left="276"/>
            </w:pPr>
            <w:r>
              <w:rPr>
                <w:spacing w:val="-3"/>
              </w:rPr>
              <w:t>EN</w:t>
            </w:r>
          </w:p>
        </w:tc>
        <w:tc>
          <w:tcPr>
            <w:tcW w:w="1019"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7" w:hRule="atLeast"/>
        </w:trPr>
        <w:tc>
          <w:tcPr>
            <w:tcW w:w="517" w:type="dxa"/>
            <w:tcBorders>
              <w:left w:val="nil"/>
            </w:tcBorders>
            <w:vAlign w:val="top"/>
          </w:tcPr>
          <w:p>
            <w:pPr>
              <w:pStyle w:val="6"/>
              <w:spacing w:before="96" w:line="186" w:lineRule="auto"/>
              <w:ind w:left="210"/>
            </w:pPr>
            <w:r>
              <w:t>2</w:t>
            </w:r>
          </w:p>
        </w:tc>
        <w:tc>
          <w:tcPr>
            <w:tcW w:w="1376" w:type="dxa"/>
            <w:vAlign w:val="top"/>
          </w:tcPr>
          <w:p>
            <w:pPr>
              <w:spacing w:before="57" w:line="219" w:lineRule="auto"/>
              <w:ind w:left="395"/>
              <w:rPr>
                <w:rFonts w:ascii="仿宋" w:hAnsi="仿宋" w:eastAsia="仿宋" w:cs="仿宋"/>
                <w:sz w:val="21"/>
                <w:szCs w:val="21"/>
              </w:rPr>
            </w:pPr>
            <w:r>
              <w:rPr>
                <w:rFonts w:ascii="仿宋" w:hAnsi="仿宋" w:eastAsia="仿宋" w:cs="仿宋"/>
                <w:spacing w:val="-6"/>
                <w:sz w:val="21"/>
                <w:szCs w:val="21"/>
              </w:rPr>
              <w:t>乌梢蛇</w:t>
            </w:r>
          </w:p>
        </w:tc>
        <w:tc>
          <w:tcPr>
            <w:tcW w:w="2345" w:type="dxa"/>
            <w:vAlign w:val="top"/>
          </w:tcPr>
          <w:p>
            <w:pPr>
              <w:pStyle w:val="6"/>
              <w:spacing w:before="92" w:line="190" w:lineRule="auto"/>
              <w:ind w:left="367"/>
            </w:pPr>
            <w:r>
              <w:rPr>
                <w:i/>
                <w:iCs/>
              </w:rPr>
              <w:t>Zaocys</w:t>
            </w:r>
            <w:r>
              <w:rPr>
                <w:i/>
                <w:iCs/>
                <w:spacing w:val="4"/>
              </w:rPr>
              <w:t xml:space="preserve"> </w:t>
            </w:r>
            <w:r>
              <w:rPr>
                <w:i/>
                <w:iCs/>
              </w:rPr>
              <w:t>dhumnades</w:t>
            </w:r>
          </w:p>
        </w:tc>
        <w:tc>
          <w:tcPr>
            <w:tcW w:w="690" w:type="dxa"/>
            <w:vAlign w:val="top"/>
          </w:tcPr>
          <w:p>
            <w:pPr>
              <w:rPr>
                <w:rFonts w:ascii="Arial"/>
                <w:sz w:val="21"/>
              </w:rPr>
            </w:pPr>
          </w:p>
        </w:tc>
        <w:tc>
          <w:tcPr>
            <w:tcW w:w="847" w:type="dxa"/>
            <w:vAlign w:val="top"/>
          </w:tcPr>
          <w:p>
            <w:pPr>
              <w:rPr>
                <w:rFonts w:ascii="Arial"/>
                <w:sz w:val="21"/>
              </w:rPr>
            </w:pPr>
          </w:p>
        </w:tc>
        <w:tc>
          <w:tcPr>
            <w:tcW w:w="686" w:type="dxa"/>
            <w:vAlign w:val="top"/>
          </w:tcPr>
          <w:p>
            <w:pPr>
              <w:rPr>
                <w:rFonts w:ascii="Arial"/>
                <w:sz w:val="21"/>
              </w:rPr>
            </w:pPr>
          </w:p>
        </w:tc>
        <w:tc>
          <w:tcPr>
            <w:tcW w:w="827" w:type="dxa"/>
            <w:vAlign w:val="top"/>
          </w:tcPr>
          <w:p>
            <w:pPr>
              <w:pStyle w:val="6"/>
              <w:spacing w:before="99" w:line="183" w:lineRule="auto"/>
              <w:ind w:left="261"/>
            </w:pPr>
            <w:r>
              <w:rPr>
                <w:spacing w:val="-1"/>
              </w:rPr>
              <w:t>VU</w:t>
            </w:r>
          </w:p>
        </w:tc>
        <w:tc>
          <w:tcPr>
            <w:tcW w:w="1019" w:type="dxa"/>
            <w:tcBorders>
              <w:right w:val="nil"/>
            </w:tcBorders>
            <w:vAlign w:val="top"/>
          </w:tcPr>
          <w:p>
            <w:pPr>
              <w:rPr>
                <w:rFonts w:ascii="Arial"/>
                <w:sz w:val="21"/>
              </w:rPr>
            </w:pPr>
          </w:p>
        </w:tc>
      </w:tr>
    </w:tbl>
    <w:p>
      <w:pPr>
        <w:spacing w:before="55" w:line="218" w:lineRule="auto"/>
        <w:ind w:left="3272"/>
        <w:rPr>
          <w:rFonts w:ascii="Times New Roman" w:hAnsi="Times New Roman" w:eastAsia="Times New Roman" w:cs="Times New Roman"/>
          <w:sz w:val="21"/>
          <w:szCs w:val="21"/>
        </w:rPr>
      </w:pPr>
      <w:r>
        <w:rPr>
          <w:rFonts w:ascii="仿宋" w:hAnsi="仿宋" w:eastAsia="仿宋" w:cs="仿宋"/>
          <w:spacing w:val="-3"/>
          <w:sz w:val="21"/>
          <w:szCs w:val="21"/>
        </w:rPr>
        <w:t>两栖纲</w:t>
      </w:r>
      <w:r>
        <w:rPr>
          <w:rFonts w:ascii="仿宋" w:hAnsi="仿宋" w:eastAsia="仿宋" w:cs="仿宋"/>
          <w:spacing w:val="-43"/>
          <w:sz w:val="21"/>
          <w:szCs w:val="21"/>
        </w:rPr>
        <w:t xml:space="preserve"> </w:t>
      </w:r>
      <w:r>
        <w:rPr>
          <w:rFonts w:ascii="Times New Roman" w:hAnsi="Times New Roman" w:eastAsia="Times New Roman" w:cs="Times New Roman"/>
          <w:spacing w:val="-3"/>
          <w:sz w:val="21"/>
          <w:szCs w:val="21"/>
        </w:rPr>
        <w:t>AMPHIBIAN</w:t>
      </w:r>
    </w:p>
    <w:p>
      <w:pPr>
        <w:spacing w:line="17"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2"/>
        <w:gridCol w:w="1376"/>
        <w:gridCol w:w="2345"/>
        <w:gridCol w:w="690"/>
        <w:gridCol w:w="847"/>
        <w:gridCol w:w="685"/>
        <w:gridCol w:w="827"/>
        <w:gridCol w:w="10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2" w:hRule="atLeast"/>
        </w:trPr>
        <w:tc>
          <w:tcPr>
            <w:tcW w:w="532" w:type="dxa"/>
            <w:tcBorders>
              <w:left w:val="nil"/>
            </w:tcBorders>
            <w:vAlign w:val="top"/>
          </w:tcPr>
          <w:p>
            <w:pPr>
              <w:pStyle w:val="6"/>
              <w:spacing w:before="104" w:line="186" w:lineRule="auto"/>
              <w:ind w:left="245"/>
            </w:pPr>
            <w:r>
              <w:t>1</w:t>
            </w:r>
          </w:p>
        </w:tc>
        <w:tc>
          <w:tcPr>
            <w:tcW w:w="1376" w:type="dxa"/>
            <w:vAlign w:val="top"/>
          </w:tcPr>
          <w:p>
            <w:pPr>
              <w:spacing w:before="65" w:line="216" w:lineRule="auto"/>
              <w:ind w:left="384"/>
              <w:rPr>
                <w:rFonts w:ascii="仿宋" w:hAnsi="仿宋" w:eastAsia="仿宋" w:cs="仿宋"/>
                <w:sz w:val="21"/>
                <w:szCs w:val="21"/>
              </w:rPr>
            </w:pPr>
            <w:r>
              <w:rPr>
                <w:rFonts w:ascii="仿宋" w:hAnsi="仿宋" w:eastAsia="仿宋" w:cs="仿宋"/>
                <w:spacing w:val="-4"/>
                <w:sz w:val="21"/>
                <w:szCs w:val="21"/>
              </w:rPr>
              <w:t>棘胸蛙</w:t>
            </w:r>
          </w:p>
        </w:tc>
        <w:tc>
          <w:tcPr>
            <w:tcW w:w="2345" w:type="dxa"/>
            <w:vAlign w:val="top"/>
          </w:tcPr>
          <w:p>
            <w:pPr>
              <w:pStyle w:val="6"/>
              <w:spacing w:before="100" w:line="190" w:lineRule="auto"/>
              <w:ind w:left="423"/>
            </w:pPr>
            <w:r>
              <w:rPr>
                <w:i/>
                <w:iCs/>
                <w:spacing w:val="2"/>
              </w:rPr>
              <w:t>Quasipaaspinosa</w:t>
            </w:r>
          </w:p>
        </w:tc>
        <w:tc>
          <w:tcPr>
            <w:tcW w:w="690" w:type="dxa"/>
            <w:vAlign w:val="top"/>
          </w:tcPr>
          <w:p>
            <w:pPr>
              <w:rPr>
                <w:rFonts w:ascii="Arial"/>
                <w:sz w:val="21"/>
              </w:rPr>
            </w:pPr>
          </w:p>
        </w:tc>
        <w:tc>
          <w:tcPr>
            <w:tcW w:w="847" w:type="dxa"/>
            <w:vAlign w:val="top"/>
          </w:tcPr>
          <w:p>
            <w:pPr>
              <w:rPr>
                <w:rFonts w:ascii="Arial"/>
                <w:sz w:val="21"/>
              </w:rPr>
            </w:pPr>
          </w:p>
        </w:tc>
        <w:tc>
          <w:tcPr>
            <w:tcW w:w="685" w:type="dxa"/>
            <w:vAlign w:val="top"/>
          </w:tcPr>
          <w:p>
            <w:pPr>
              <w:spacing w:before="65" w:line="220" w:lineRule="auto"/>
              <w:ind w:left="248"/>
              <w:rPr>
                <w:rFonts w:ascii="仿宋" w:hAnsi="仿宋" w:eastAsia="仿宋" w:cs="仿宋"/>
                <w:sz w:val="21"/>
                <w:szCs w:val="21"/>
              </w:rPr>
            </w:pPr>
            <w:r>
              <w:rPr>
                <w:rFonts w:ascii="仿宋" w:hAnsi="仿宋" w:eastAsia="仿宋" w:cs="仿宋"/>
                <w:sz w:val="21"/>
                <w:szCs w:val="21"/>
              </w:rPr>
              <w:t>是</w:t>
            </w:r>
          </w:p>
        </w:tc>
        <w:tc>
          <w:tcPr>
            <w:tcW w:w="827" w:type="dxa"/>
            <w:vAlign w:val="top"/>
          </w:tcPr>
          <w:p>
            <w:pPr>
              <w:pStyle w:val="6"/>
              <w:spacing w:before="106" w:line="183" w:lineRule="auto"/>
              <w:ind w:left="261"/>
            </w:pPr>
            <w:r>
              <w:rPr>
                <w:spacing w:val="-1"/>
              </w:rPr>
              <w:t>VU</w:t>
            </w:r>
          </w:p>
        </w:tc>
        <w:tc>
          <w:tcPr>
            <w:tcW w:w="1019"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532" w:type="dxa"/>
            <w:tcBorders>
              <w:left w:val="nil"/>
            </w:tcBorders>
            <w:vAlign w:val="top"/>
          </w:tcPr>
          <w:p>
            <w:pPr>
              <w:pStyle w:val="6"/>
              <w:spacing w:before="100" w:line="186" w:lineRule="auto"/>
              <w:ind w:left="225"/>
            </w:pPr>
            <w:r>
              <w:t>2</w:t>
            </w:r>
          </w:p>
        </w:tc>
        <w:tc>
          <w:tcPr>
            <w:tcW w:w="1376" w:type="dxa"/>
            <w:vAlign w:val="top"/>
          </w:tcPr>
          <w:p>
            <w:pPr>
              <w:spacing w:before="62" w:line="214" w:lineRule="auto"/>
              <w:ind w:left="279"/>
              <w:rPr>
                <w:rFonts w:ascii="仿宋" w:hAnsi="仿宋" w:eastAsia="仿宋" w:cs="仿宋"/>
                <w:sz w:val="21"/>
                <w:szCs w:val="21"/>
              </w:rPr>
            </w:pPr>
            <w:r>
              <w:rPr>
                <w:rFonts w:ascii="仿宋" w:hAnsi="仿宋" w:eastAsia="仿宋" w:cs="仿宋"/>
                <w:spacing w:val="-3"/>
                <w:sz w:val="21"/>
                <w:szCs w:val="21"/>
              </w:rPr>
              <w:t>棕点湍蛙</w:t>
            </w:r>
          </w:p>
        </w:tc>
        <w:tc>
          <w:tcPr>
            <w:tcW w:w="2345" w:type="dxa"/>
            <w:vAlign w:val="top"/>
          </w:tcPr>
          <w:p>
            <w:pPr>
              <w:pStyle w:val="6"/>
              <w:spacing w:before="97" w:line="190" w:lineRule="auto"/>
              <w:ind w:left="391"/>
            </w:pPr>
            <w:r>
              <w:rPr>
                <w:i/>
                <w:iCs/>
              </w:rPr>
              <w:t>Amolops</w:t>
            </w:r>
            <w:r>
              <w:rPr>
                <w:i/>
                <w:iCs/>
                <w:spacing w:val="10"/>
              </w:rPr>
              <w:t xml:space="preserve"> </w:t>
            </w:r>
            <w:r>
              <w:rPr>
                <w:i/>
                <w:iCs/>
              </w:rPr>
              <w:t>loloensis</w:t>
            </w:r>
          </w:p>
        </w:tc>
        <w:tc>
          <w:tcPr>
            <w:tcW w:w="690" w:type="dxa"/>
            <w:vAlign w:val="top"/>
          </w:tcPr>
          <w:p>
            <w:pPr>
              <w:rPr>
                <w:rFonts w:ascii="Arial"/>
                <w:sz w:val="21"/>
              </w:rPr>
            </w:pPr>
          </w:p>
        </w:tc>
        <w:tc>
          <w:tcPr>
            <w:tcW w:w="847" w:type="dxa"/>
            <w:vAlign w:val="top"/>
          </w:tcPr>
          <w:p>
            <w:pPr>
              <w:rPr>
                <w:rFonts w:ascii="Arial"/>
                <w:sz w:val="21"/>
              </w:rPr>
            </w:pPr>
          </w:p>
        </w:tc>
        <w:tc>
          <w:tcPr>
            <w:tcW w:w="685" w:type="dxa"/>
            <w:vAlign w:val="top"/>
          </w:tcPr>
          <w:p>
            <w:pPr>
              <w:spacing w:before="62" w:line="214" w:lineRule="auto"/>
              <w:ind w:left="248"/>
              <w:rPr>
                <w:rFonts w:ascii="仿宋" w:hAnsi="仿宋" w:eastAsia="仿宋" w:cs="仿宋"/>
                <w:sz w:val="21"/>
                <w:szCs w:val="21"/>
              </w:rPr>
            </w:pPr>
            <w:r>
              <w:rPr>
                <w:rFonts w:ascii="仿宋" w:hAnsi="仿宋" w:eastAsia="仿宋" w:cs="仿宋"/>
                <w:sz w:val="21"/>
                <w:szCs w:val="21"/>
              </w:rPr>
              <w:t>是</w:t>
            </w:r>
          </w:p>
        </w:tc>
        <w:tc>
          <w:tcPr>
            <w:tcW w:w="827" w:type="dxa"/>
            <w:vAlign w:val="top"/>
          </w:tcPr>
          <w:p>
            <w:pPr>
              <w:pStyle w:val="6"/>
              <w:spacing w:before="103" w:line="183" w:lineRule="auto"/>
              <w:ind w:left="261"/>
            </w:pPr>
            <w:r>
              <w:rPr>
                <w:spacing w:val="-1"/>
              </w:rPr>
              <w:t>VU</w:t>
            </w:r>
          </w:p>
        </w:tc>
        <w:tc>
          <w:tcPr>
            <w:tcW w:w="1019"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532" w:type="dxa"/>
            <w:tcBorders>
              <w:left w:val="nil"/>
            </w:tcBorders>
            <w:vAlign w:val="top"/>
          </w:tcPr>
          <w:p>
            <w:pPr>
              <w:pStyle w:val="6"/>
              <w:spacing w:before="109" w:line="186" w:lineRule="auto"/>
              <w:ind w:left="229"/>
            </w:pPr>
            <w:r>
              <w:t>3</w:t>
            </w:r>
          </w:p>
        </w:tc>
        <w:tc>
          <w:tcPr>
            <w:tcW w:w="1376" w:type="dxa"/>
            <w:vAlign w:val="top"/>
          </w:tcPr>
          <w:p>
            <w:pPr>
              <w:spacing w:before="71" w:line="207" w:lineRule="auto"/>
              <w:ind w:left="493"/>
              <w:rPr>
                <w:rFonts w:ascii="仿宋" w:hAnsi="仿宋" w:eastAsia="仿宋" w:cs="仿宋"/>
                <w:sz w:val="21"/>
                <w:szCs w:val="21"/>
              </w:rPr>
            </w:pPr>
            <w:r>
              <w:rPr>
                <w:rFonts w:ascii="仿宋" w:hAnsi="仿宋" w:eastAsia="仿宋" w:cs="仿宋"/>
                <w:spacing w:val="-5"/>
                <w:sz w:val="21"/>
                <w:szCs w:val="21"/>
              </w:rPr>
              <w:t>滇蛙</w:t>
            </w:r>
          </w:p>
        </w:tc>
        <w:tc>
          <w:tcPr>
            <w:tcW w:w="2345" w:type="dxa"/>
            <w:vAlign w:val="top"/>
          </w:tcPr>
          <w:p>
            <w:pPr>
              <w:pStyle w:val="6"/>
              <w:spacing w:before="106" w:line="190" w:lineRule="auto"/>
              <w:ind w:left="332"/>
            </w:pPr>
            <w:r>
              <w:rPr>
                <w:i/>
                <w:iCs/>
                <w:spacing w:val="3"/>
              </w:rPr>
              <w:t>Nidiranapleuraden</w:t>
            </w:r>
          </w:p>
        </w:tc>
        <w:tc>
          <w:tcPr>
            <w:tcW w:w="690" w:type="dxa"/>
            <w:vAlign w:val="top"/>
          </w:tcPr>
          <w:p>
            <w:pPr>
              <w:rPr>
                <w:rFonts w:ascii="Arial"/>
                <w:sz w:val="21"/>
              </w:rPr>
            </w:pPr>
          </w:p>
        </w:tc>
        <w:tc>
          <w:tcPr>
            <w:tcW w:w="847" w:type="dxa"/>
            <w:vAlign w:val="top"/>
          </w:tcPr>
          <w:p>
            <w:pPr>
              <w:rPr>
                <w:rFonts w:ascii="Arial"/>
                <w:sz w:val="21"/>
              </w:rPr>
            </w:pPr>
          </w:p>
        </w:tc>
        <w:tc>
          <w:tcPr>
            <w:tcW w:w="685" w:type="dxa"/>
            <w:vAlign w:val="top"/>
          </w:tcPr>
          <w:p>
            <w:pPr>
              <w:spacing w:before="71" w:line="207" w:lineRule="auto"/>
              <w:ind w:left="248"/>
              <w:rPr>
                <w:rFonts w:ascii="仿宋" w:hAnsi="仿宋" w:eastAsia="仿宋" w:cs="仿宋"/>
                <w:sz w:val="21"/>
                <w:szCs w:val="21"/>
              </w:rPr>
            </w:pPr>
            <w:r>
              <w:rPr>
                <w:rFonts w:ascii="仿宋" w:hAnsi="仿宋" w:eastAsia="仿宋" w:cs="仿宋"/>
                <w:sz w:val="21"/>
                <w:szCs w:val="21"/>
              </w:rPr>
              <w:t>是</w:t>
            </w:r>
          </w:p>
        </w:tc>
        <w:tc>
          <w:tcPr>
            <w:tcW w:w="827" w:type="dxa"/>
            <w:vAlign w:val="top"/>
          </w:tcPr>
          <w:p>
            <w:pPr>
              <w:rPr>
                <w:rFonts w:ascii="Arial"/>
                <w:sz w:val="21"/>
              </w:rPr>
            </w:pPr>
          </w:p>
        </w:tc>
        <w:tc>
          <w:tcPr>
            <w:tcW w:w="1019"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2" w:hRule="atLeast"/>
        </w:trPr>
        <w:tc>
          <w:tcPr>
            <w:tcW w:w="532" w:type="dxa"/>
            <w:tcBorders>
              <w:left w:val="nil"/>
              <w:bottom w:val="single" w:color="000000" w:sz="12" w:space="0"/>
            </w:tcBorders>
            <w:vAlign w:val="top"/>
          </w:tcPr>
          <w:p>
            <w:pPr>
              <w:pStyle w:val="6"/>
              <w:spacing w:before="116" w:line="186" w:lineRule="auto"/>
              <w:ind w:left="224"/>
            </w:pPr>
            <w:r>
              <w:t>4</w:t>
            </w:r>
          </w:p>
        </w:tc>
        <w:tc>
          <w:tcPr>
            <w:tcW w:w="1376" w:type="dxa"/>
            <w:tcBorders>
              <w:bottom w:val="single" w:color="000000" w:sz="12" w:space="0"/>
            </w:tcBorders>
            <w:vAlign w:val="top"/>
          </w:tcPr>
          <w:p>
            <w:pPr>
              <w:spacing w:before="77" w:line="218" w:lineRule="auto"/>
              <w:ind w:left="287"/>
              <w:rPr>
                <w:rFonts w:ascii="仿宋" w:hAnsi="仿宋" w:eastAsia="仿宋" w:cs="仿宋"/>
                <w:sz w:val="21"/>
                <w:szCs w:val="21"/>
              </w:rPr>
            </w:pPr>
            <w:r>
              <w:rPr>
                <w:rFonts w:ascii="仿宋" w:hAnsi="仿宋" w:eastAsia="仿宋" w:cs="仿宋"/>
                <w:spacing w:val="-5"/>
                <w:sz w:val="21"/>
                <w:szCs w:val="21"/>
              </w:rPr>
              <w:t>昭觉林蛙</w:t>
            </w:r>
          </w:p>
        </w:tc>
        <w:tc>
          <w:tcPr>
            <w:tcW w:w="2345" w:type="dxa"/>
            <w:tcBorders>
              <w:bottom w:val="single" w:color="000000" w:sz="12" w:space="0"/>
            </w:tcBorders>
            <w:vAlign w:val="top"/>
          </w:tcPr>
          <w:p>
            <w:pPr>
              <w:pStyle w:val="6"/>
              <w:spacing w:before="112" w:line="218" w:lineRule="auto"/>
              <w:ind w:left="268"/>
            </w:pPr>
            <w:r>
              <w:rPr>
                <w:i/>
                <w:iCs/>
              </w:rPr>
              <w:t>Rana</w:t>
            </w:r>
            <w:r>
              <w:rPr>
                <w:i/>
                <w:iCs/>
                <w:spacing w:val="4"/>
              </w:rPr>
              <w:t xml:space="preserve"> </w:t>
            </w:r>
            <w:r>
              <w:rPr>
                <w:i/>
                <w:iCs/>
              </w:rPr>
              <w:t>chaochiaoensis</w:t>
            </w:r>
          </w:p>
        </w:tc>
        <w:tc>
          <w:tcPr>
            <w:tcW w:w="690" w:type="dxa"/>
            <w:tcBorders>
              <w:bottom w:val="single" w:color="000000" w:sz="12" w:space="0"/>
            </w:tcBorders>
            <w:vAlign w:val="top"/>
          </w:tcPr>
          <w:p>
            <w:pPr>
              <w:rPr>
                <w:rFonts w:ascii="Arial"/>
                <w:sz w:val="21"/>
              </w:rPr>
            </w:pPr>
          </w:p>
        </w:tc>
        <w:tc>
          <w:tcPr>
            <w:tcW w:w="847" w:type="dxa"/>
            <w:tcBorders>
              <w:bottom w:val="single" w:color="000000" w:sz="12" w:space="0"/>
            </w:tcBorders>
            <w:vAlign w:val="top"/>
          </w:tcPr>
          <w:p>
            <w:pPr>
              <w:rPr>
                <w:rFonts w:ascii="Arial"/>
                <w:sz w:val="21"/>
              </w:rPr>
            </w:pPr>
          </w:p>
        </w:tc>
        <w:tc>
          <w:tcPr>
            <w:tcW w:w="685" w:type="dxa"/>
            <w:tcBorders>
              <w:bottom w:val="single" w:color="000000" w:sz="12" w:space="0"/>
            </w:tcBorders>
            <w:vAlign w:val="top"/>
          </w:tcPr>
          <w:p>
            <w:pPr>
              <w:spacing w:before="78" w:line="220" w:lineRule="auto"/>
              <w:ind w:left="248"/>
              <w:rPr>
                <w:rFonts w:ascii="仿宋" w:hAnsi="仿宋" w:eastAsia="仿宋" w:cs="仿宋"/>
                <w:sz w:val="21"/>
                <w:szCs w:val="21"/>
              </w:rPr>
            </w:pPr>
            <w:r>
              <w:rPr>
                <w:rFonts w:ascii="仿宋" w:hAnsi="仿宋" w:eastAsia="仿宋" w:cs="仿宋"/>
                <w:sz w:val="21"/>
                <w:szCs w:val="21"/>
              </w:rPr>
              <w:t>是</w:t>
            </w:r>
          </w:p>
        </w:tc>
        <w:tc>
          <w:tcPr>
            <w:tcW w:w="827" w:type="dxa"/>
            <w:tcBorders>
              <w:bottom w:val="single" w:color="000000" w:sz="12" w:space="0"/>
            </w:tcBorders>
            <w:vAlign w:val="top"/>
          </w:tcPr>
          <w:p>
            <w:pPr>
              <w:rPr>
                <w:rFonts w:ascii="Arial"/>
                <w:sz w:val="21"/>
              </w:rPr>
            </w:pPr>
          </w:p>
        </w:tc>
        <w:tc>
          <w:tcPr>
            <w:tcW w:w="1019" w:type="dxa"/>
            <w:tcBorders>
              <w:bottom w:val="single" w:color="000000" w:sz="12" w:space="0"/>
              <w:right w:val="nil"/>
            </w:tcBorders>
            <w:vAlign w:val="top"/>
          </w:tcPr>
          <w:p>
            <w:pPr>
              <w:rPr>
                <w:rFonts w:ascii="Arial"/>
                <w:sz w:val="21"/>
              </w:rPr>
            </w:pPr>
          </w:p>
        </w:tc>
      </w:tr>
    </w:tbl>
    <w:p>
      <w:pPr>
        <w:spacing w:before="170" w:line="220" w:lineRule="auto"/>
        <w:ind w:left="38"/>
        <w:rPr>
          <w:rFonts w:ascii="宋体" w:hAnsi="宋体" w:eastAsia="宋体" w:cs="宋体"/>
          <w:sz w:val="21"/>
          <w:szCs w:val="21"/>
        </w:rPr>
      </w:pPr>
      <w:r>
        <w:rPr>
          <w:rFonts w:ascii="宋体" w:hAnsi="宋体" w:eastAsia="宋体" w:cs="宋体"/>
          <w:spacing w:val="-5"/>
          <w:sz w:val="21"/>
          <w:szCs w:val="21"/>
          <w14:textOutline w14:w="3810" w14:cap="flat" w14:cmpd="sng">
            <w14:solidFill>
              <w14:srgbClr w14:val="000000"/>
            </w14:solidFill>
            <w14:prstDash w14:val="solid"/>
            <w14:miter w14:val="0"/>
          </w14:textOutline>
        </w:rPr>
        <w:t>注：保护级别：</w:t>
      </w:r>
      <w:r>
        <w:rPr>
          <w:rFonts w:ascii="宋体" w:hAnsi="宋体" w:eastAsia="宋体" w:cs="宋体"/>
          <w:spacing w:val="-38"/>
          <w:sz w:val="21"/>
          <w:szCs w:val="21"/>
        </w:rPr>
        <w:t xml:space="preserve"> </w:t>
      </w:r>
      <w:r>
        <w:rPr>
          <w:rFonts w:ascii="宋体" w:hAnsi="宋体" w:eastAsia="宋体" w:cs="宋体"/>
          <w:spacing w:val="-5"/>
          <w:sz w:val="21"/>
          <w:szCs w:val="21"/>
          <w14:textOutline w14:w="3810" w14:cap="flat" w14:cmpd="sng">
            <w14:solidFill>
              <w14:srgbClr w14:val="000000"/>
            </w14:solidFill>
            <w14:prstDash w14:val="solid"/>
            <w14:miter w14:val="0"/>
          </w14:textOutline>
        </w:rPr>
        <w:t>Ⅰ级：国家Ⅰ级重点保护野生动物；</w:t>
      </w:r>
      <w:r>
        <w:rPr>
          <w:rFonts w:ascii="宋体" w:hAnsi="宋体" w:eastAsia="宋体" w:cs="宋体"/>
          <w:spacing w:val="-80"/>
          <w:sz w:val="21"/>
          <w:szCs w:val="21"/>
        </w:rPr>
        <w:t xml:space="preserve"> </w:t>
      </w:r>
      <w:r>
        <w:rPr>
          <w:rFonts w:ascii="宋体" w:hAnsi="宋体" w:eastAsia="宋体" w:cs="宋体"/>
          <w:spacing w:val="-5"/>
          <w:sz w:val="21"/>
          <w:szCs w:val="21"/>
          <w14:textOutline w14:w="3810" w14:cap="flat" w14:cmpd="sng">
            <w14:solidFill>
              <w14:srgbClr w14:val="000000"/>
            </w14:solidFill>
            <w14:prstDash w14:val="solid"/>
            <w14:miter w14:val="0"/>
          </w14:textOutline>
        </w:rPr>
        <w:t>Ⅱ级：国家Ⅱ级重点保护野生动物。省</w:t>
      </w:r>
    </w:p>
    <w:p>
      <w:pPr>
        <w:spacing w:before="191" w:line="440" w:lineRule="exact"/>
        <w:ind w:left="41"/>
        <w:rPr>
          <w:rFonts w:ascii="Times New Roman" w:hAnsi="Times New Roman" w:eastAsia="Times New Roman" w:cs="Times New Roman"/>
          <w:sz w:val="21"/>
          <w:szCs w:val="21"/>
        </w:rPr>
      </w:pPr>
      <w:r>
        <w:rPr>
          <w:rFonts w:ascii="宋体" w:hAnsi="宋体" w:eastAsia="宋体" w:cs="宋体"/>
          <w:spacing w:val="-8"/>
          <w:position w:val="17"/>
          <w:sz w:val="21"/>
          <w:szCs w:val="21"/>
          <w14:textOutline w14:w="3810" w14:cap="flat" w14:cmpd="sng">
            <w14:solidFill>
              <w14:srgbClr w14:val="000000"/>
            </w14:solidFill>
            <w14:prstDash w14:val="solid"/>
            <w14:miter w14:val="0"/>
          </w14:textOutline>
        </w:rPr>
        <w:t>级：云南省省级保护野生动物。</w:t>
      </w:r>
      <w:r>
        <w:rPr>
          <w:rFonts w:ascii="Times New Roman" w:hAnsi="Times New Roman" w:eastAsia="Times New Roman" w:cs="Times New Roman"/>
          <w:b/>
          <w:bCs/>
          <w:spacing w:val="-8"/>
          <w:position w:val="17"/>
          <w:sz w:val="21"/>
          <w:szCs w:val="21"/>
        </w:rPr>
        <w:t>C</w:t>
      </w:r>
      <w:r>
        <w:rPr>
          <w:rFonts w:ascii="宋体" w:hAnsi="宋体" w:eastAsia="宋体" w:cs="宋体"/>
          <w:spacing w:val="-8"/>
          <w:position w:val="17"/>
          <w:sz w:val="21"/>
          <w:szCs w:val="21"/>
          <w14:textOutline w14:w="3810" w14:cap="flat" w14:cmpd="sng">
            <w14:solidFill>
              <w14:srgbClr w14:val="000000"/>
            </w14:solidFill>
            <w14:prstDash w14:val="solid"/>
            <w14:miter w14:val="0"/>
          </w14:textOutline>
        </w:rPr>
        <w:t>Ⅰ：</w:t>
      </w:r>
      <w:r>
        <w:rPr>
          <w:rFonts w:ascii="Times New Roman" w:hAnsi="Times New Roman" w:eastAsia="Times New Roman" w:cs="Times New Roman"/>
          <w:b/>
          <w:bCs/>
          <w:spacing w:val="-8"/>
          <w:position w:val="17"/>
          <w:sz w:val="21"/>
          <w:szCs w:val="21"/>
        </w:rPr>
        <w:t xml:space="preserve">2019 </w:t>
      </w:r>
      <w:r>
        <w:rPr>
          <w:rFonts w:ascii="宋体" w:hAnsi="宋体" w:eastAsia="宋体" w:cs="宋体"/>
          <w:spacing w:val="-8"/>
          <w:position w:val="17"/>
          <w:sz w:val="21"/>
          <w:szCs w:val="21"/>
          <w14:textOutline w14:w="3810" w14:cap="flat" w14:cmpd="sng">
            <w14:solidFill>
              <w14:srgbClr w14:val="000000"/>
            </w14:solidFill>
            <w14:prstDash w14:val="solid"/>
            <w14:miter w14:val="0"/>
          </w14:textOutline>
        </w:rPr>
        <w:t>年</w:t>
      </w:r>
      <w:r>
        <w:rPr>
          <w:rFonts w:ascii="宋体" w:hAnsi="宋体" w:eastAsia="宋体" w:cs="宋体"/>
          <w:spacing w:val="-37"/>
          <w:position w:val="17"/>
          <w:sz w:val="21"/>
          <w:szCs w:val="21"/>
        </w:rPr>
        <w:t xml:space="preserve"> </w:t>
      </w:r>
      <w:r>
        <w:rPr>
          <w:rFonts w:ascii="Times New Roman" w:hAnsi="Times New Roman" w:eastAsia="Times New Roman" w:cs="Times New Roman"/>
          <w:b/>
          <w:bCs/>
          <w:spacing w:val="-8"/>
          <w:position w:val="17"/>
          <w:sz w:val="21"/>
          <w:szCs w:val="21"/>
        </w:rPr>
        <w:t>12</w:t>
      </w:r>
      <w:r>
        <w:rPr>
          <w:rFonts w:ascii="Times New Roman" w:hAnsi="Times New Roman" w:eastAsia="Times New Roman" w:cs="Times New Roman"/>
          <w:b/>
          <w:bCs/>
          <w:spacing w:val="14"/>
          <w:w w:val="101"/>
          <w:position w:val="17"/>
          <w:sz w:val="21"/>
          <w:szCs w:val="21"/>
        </w:rPr>
        <w:t xml:space="preserve"> </w:t>
      </w:r>
      <w:r>
        <w:rPr>
          <w:rFonts w:ascii="宋体" w:hAnsi="宋体" w:eastAsia="宋体" w:cs="宋体"/>
          <w:spacing w:val="-8"/>
          <w:position w:val="17"/>
          <w:sz w:val="21"/>
          <w:szCs w:val="21"/>
          <w14:textOutline w14:w="3810" w14:cap="flat" w14:cmpd="sng">
            <w14:solidFill>
              <w14:srgbClr w14:val="000000"/>
            </w14:solidFill>
            <w14:prstDash w14:val="solid"/>
            <w14:miter w14:val="0"/>
          </w14:textOutline>
        </w:rPr>
        <w:t>月发布的</w:t>
      </w:r>
      <w:r>
        <w:rPr>
          <w:rFonts w:ascii="宋体" w:hAnsi="宋体" w:eastAsia="宋体" w:cs="宋体"/>
          <w:spacing w:val="-43"/>
          <w:position w:val="17"/>
          <w:sz w:val="21"/>
          <w:szCs w:val="21"/>
        </w:rPr>
        <w:t xml:space="preserve"> </w:t>
      </w:r>
      <w:r>
        <w:rPr>
          <w:rFonts w:ascii="Times New Roman" w:hAnsi="Times New Roman" w:eastAsia="Times New Roman" w:cs="Times New Roman"/>
          <w:b/>
          <w:bCs/>
          <w:spacing w:val="-8"/>
          <w:position w:val="17"/>
          <w:sz w:val="21"/>
          <w:szCs w:val="21"/>
        </w:rPr>
        <w:t>CITES</w:t>
      </w:r>
      <w:r>
        <w:rPr>
          <w:rFonts w:ascii="Times New Roman" w:hAnsi="Times New Roman" w:eastAsia="Times New Roman" w:cs="Times New Roman"/>
          <w:b/>
          <w:bCs/>
          <w:spacing w:val="15"/>
          <w:position w:val="17"/>
          <w:sz w:val="21"/>
          <w:szCs w:val="21"/>
        </w:rPr>
        <w:t xml:space="preserve"> </w:t>
      </w:r>
      <w:r>
        <w:rPr>
          <w:rFonts w:ascii="宋体" w:hAnsi="宋体" w:eastAsia="宋体" w:cs="宋体"/>
          <w:spacing w:val="-8"/>
          <w:position w:val="17"/>
          <w:sz w:val="21"/>
          <w:szCs w:val="21"/>
          <w14:textOutline w14:w="3810" w14:cap="flat" w14:cmpd="sng">
            <w14:solidFill>
              <w14:srgbClr w14:val="000000"/>
            </w14:solidFill>
            <w14:prstDash w14:val="solid"/>
            <w14:miter w14:val="0"/>
          </w14:textOutline>
        </w:rPr>
        <w:t>公约附录Ⅰ;</w:t>
      </w:r>
      <w:r>
        <w:rPr>
          <w:rFonts w:ascii="宋体" w:hAnsi="宋体" w:eastAsia="宋体" w:cs="宋体"/>
          <w:spacing w:val="-9"/>
          <w:position w:val="17"/>
          <w:sz w:val="21"/>
          <w:szCs w:val="21"/>
        </w:rPr>
        <w:t xml:space="preserve"> </w:t>
      </w:r>
      <w:r>
        <w:rPr>
          <w:rFonts w:ascii="Times New Roman" w:hAnsi="Times New Roman" w:eastAsia="Times New Roman" w:cs="Times New Roman"/>
          <w:b/>
          <w:bCs/>
          <w:spacing w:val="-9"/>
          <w:position w:val="17"/>
          <w:sz w:val="21"/>
          <w:szCs w:val="21"/>
        </w:rPr>
        <w:t>C</w:t>
      </w:r>
      <w:r>
        <w:rPr>
          <w:rFonts w:ascii="宋体" w:hAnsi="宋体" w:eastAsia="宋体" w:cs="宋体"/>
          <w:spacing w:val="-9"/>
          <w:position w:val="17"/>
          <w:sz w:val="21"/>
          <w:szCs w:val="21"/>
          <w14:textOutline w14:w="3810" w14:cap="flat" w14:cmpd="sng">
            <w14:solidFill>
              <w14:srgbClr w14:val="000000"/>
            </w14:solidFill>
            <w14:prstDash w14:val="solid"/>
            <w14:miter w14:val="0"/>
          </w14:textOutline>
        </w:rPr>
        <w:t>Ⅱ：</w:t>
      </w:r>
      <w:r>
        <w:rPr>
          <w:rFonts w:ascii="宋体" w:hAnsi="宋体" w:eastAsia="宋体" w:cs="宋体"/>
          <w:spacing w:val="-9"/>
          <w:position w:val="17"/>
          <w:sz w:val="21"/>
          <w:szCs w:val="21"/>
        </w:rPr>
        <w:t xml:space="preserve"> </w:t>
      </w:r>
      <w:r>
        <w:rPr>
          <w:rFonts w:ascii="Times New Roman" w:hAnsi="Times New Roman" w:eastAsia="Times New Roman" w:cs="Times New Roman"/>
          <w:b/>
          <w:bCs/>
          <w:spacing w:val="-9"/>
          <w:position w:val="17"/>
          <w:sz w:val="21"/>
          <w:szCs w:val="21"/>
        </w:rPr>
        <w:t>CITES</w:t>
      </w:r>
    </w:p>
    <w:p>
      <w:pPr>
        <w:spacing w:before="1" w:line="218" w:lineRule="auto"/>
        <w:ind w:left="54"/>
        <w:rPr>
          <w:rFonts w:ascii="宋体" w:hAnsi="宋体" w:eastAsia="宋体" w:cs="宋体"/>
          <w:sz w:val="21"/>
          <w:szCs w:val="21"/>
        </w:rPr>
      </w:pPr>
      <w:r>
        <w:rPr>
          <w:rFonts w:ascii="宋体" w:hAnsi="宋体" w:eastAsia="宋体" w:cs="宋体"/>
          <w:spacing w:val="-7"/>
          <w:sz w:val="21"/>
          <w:szCs w:val="21"/>
          <w14:textOutline w14:w="3810" w14:cap="flat" w14:cmpd="sng">
            <w14:solidFill>
              <w14:srgbClr w14:val="000000"/>
            </w14:solidFill>
            <w14:prstDash w14:val="solid"/>
            <w14:miter w14:val="0"/>
          </w14:textOutline>
        </w:rPr>
        <w:t>附录Ⅱ;</w:t>
      </w:r>
      <w:r>
        <w:rPr>
          <w:rFonts w:ascii="宋体" w:hAnsi="宋体" w:eastAsia="宋体" w:cs="宋体"/>
          <w:spacing w:val="27"/>
          <w:sz w:val="21"/>
          <w:szCs w:val="21"/>
        </w:rPr>
        <w:t xml:space="preserve"> </w:t>
      </w:r>
      <w:r>
        <w:rPr>
          <w:rFonts w:ascii="Times New Roman" w:hAnsi="Times New Roman" w:eastAsia="Times New Roman" w:cs="Times New Roman"/>
          <w:b/>
          <w:bCs/>
          <w:spacing w:val="-7"/>
          <w:sz w:val="21"/>
          <w:szCs w:val="21"/>
        </w:rPr>
        <w:t>C</w:t>
      </w:r>
      <w:r>
        <w:rPr>
          <w:rFonts w:ascii="宋体" w:hAnsi="宋体" w:eastAsia="宋体" w:cs="宋体"/>
          <w:spacing w:val="-7"/>
          <w:sz w:val="21"/>
          <w:szCs w:val="21"/>
          <w14:textOutline w14:w="3810" w14:cap="flat" w14:cmpd="sng">
            <w14:solidFill>
              <w14:srgbClr w14:val="000000"/>
            </w14:solidFill>
            <w14:prstDash w14:val="solid"/>
            <w14:miter w14:val="0"/>
          </w14:textOutline>
        </w:rPr>
        <w:t>Ⅲ：</w:t>
      </w:r>
      <w:r>
        <w:rPr>
          <w:rFonts w:ascii="宋体" w:hAnsi="宋体" w:eastAsia="宋体" w:cs="宋体"/>
          <w:spacing w:val="-50"/>
          <w:sz w:val="21"/>
          <w:szCs w:val="21"/>
        </w:rPr>
        <w:t xml:space="preserve"> </w:t>
      </w:r>
      <w:r>
        <w:rPr>
          <w:rFonts w:ascii="Times New Roman" w:hAnsi="Times New Roman" w:eastAsia="Times New Roman" w:cs="Times New Roman"/>
          <w:b/>
          <w:bCs/>
          <w:spacing w:val="-7"/>
          <w:sz w:val="21"/>
          <w:szCs w:val="21"/>
        </w:rPr>
        <w:t>CITES</w:t>
      </w:r>
      <w:r>
        <w:rPr>
          <w:rFonts w:ascii="Times New Roman" w:hAnsi="Times New Roman" w:eastAsia="Times New Roman" w:cs="Times New Roman"/>
          <w:b/>
          <w:bCs/>
          <w:spacing w:val="25"/>
          <w:sz w:val="21"/>
          <w:szCs w:val="21"/>
        </w:rPr>
        <w:t xml:space="preserve"> </w:t>
      </w:r>
      <w:r>
        <w:rPr>
          <w:rFonts w:ascii="宋体" w:hAnsi="宋体" w:eastAsia="宋体" w:cs="宋体"/>
          <w:spacing w:val="-7"/>
          <w:sz w:val="21"/>
          <w:szCs w:val="21"/>
          <w14:textOutline w14:w="3810" w14:cap="flat" w14:cmpd="sng">
            <w14:solidFill>
              <w14:srgbClr w14:val="000000"/>
            </w14:solidFill>
            <w14:prstDash w14:val="solid"/>
            <w14:miter w14:val="0"/>
          </w14:textOutline>
        </w:rPr>
        <w:t>附录Ⅲ。特有：是</w:t>
      </w:r>
      <w:r>
        <w:rPr>
          <w:rFonts w:ascii="Times New Roman" w:hAnsi="Times New Roman" w:eastAsia="Times New Roman" w:cs="Times New Roman"/>
          <w:b/>
          <w:bCs/>
          <w:spacing w:val="-7"/>
          <w:sz w:val="21"/>
          <w:szCs w:val="21"/>
        </w:rPr>
        <w:t>-</w:t>
      </w:r>
      <w:r>
        <w:rPr>
          <w:rFonts w:ascii="Times New Roman" w:hAnsi="Times New Roman" w:eastAsia="Times New Roman" w:cs="Times New Roman"/>
          <w:b/>
          <w:bCs/>
          <w:spacing w:val="-25"/>
          <w:sz w:val="21"/>
          <w:szCs w:val="21"/>
        </w:rPr>
        <w:t xml:space="preserve"> </w:t>
      </w:r>
      <w:r>
        <w:rPr>
          <w:rFonts w:ascii="宋体" w:hAnsi="宋体" w:eastAsia="宋体" w:cs="宋体"/>
          <w:spacing w:val="-7"/>
          <w:sz w:val="21"/>
          <w:szCs w:val="21"/>
          <w14:textOutline w14:w="3810" w14:cap="flat" w14:cmpd="sng">
            <w14:solidFill>
              <w14:srgbClr w14:val="000000"/>
            </w14:solidFill>
            <w14:prstDash w14:val="solid"/>
            <w14:miter w14:val="0"/>
          </w14:textOutline>
        </w:rPr>
        <w:t>中</w:t>
      </w:r>
      <w:r>
        <w:rPr>
          <w:rFonts w:ascii="宋体" w:hAnsi="宋体" w:eastAsia="宋体" w:cs="宋体"/>
          <w:spacing w:val="-8"/>
          <w:sz w:val="21"/>
          <w:szCs w:val="21"/>
          <w14:textOutline w14:w="3810" w14:cap="flat" w14:cmpd="sng">
            <w14:solidFill>
              <w14:srgbClr w14:val="000000"/>
            </w14:solidFill>
            <w14:prstDash w14:val="solid"/>
            <w14:miter w14:val="0"/>
          </w14:textOutline>
        </w:rPr>
        <w:t>国特有物种。红色名录：在此仅列出受胁物种，</w:t>
      </w:r>
    </w:p>
    <w:p>
      <w:pPr>
        <w:spacing w:before="191" w:line="220" w:lineRule="auto"/>
        <w:ind w:left="38"/>
        <w:rPr>
          <w:rFonts w:ascii="宋体" w:hAnsi="宋体" w:eastAsia="宋体" w:cs="宋体"/>
          <w:sz w:val="21"/>
          <w:szCs w:val="21"/>
        </w:rPr>
      </w:pPr>
      <w:r>
        <w:rPr>
          <w:rFonts w:ascii="Times New Roman" w:hAnsi="Times New Roman" w:eastAsia="Times New Roman" w:cs="Times New Roman"/>
          <w:b/>
          <w:bCs/>
          <w:spacing w:val="-4"/>
          <w:sz w:val="21"/>
          <w:szCs w:val="21"/>
        </w:rPr>
        <w:t>CR</w:t>
      </w:r>
      <w:r>
        <w:rPr>
          <w:rFonts w:ascii="宋体" w:hAnsi="宋体" w:eastAsia="宋体" w:cs="宋体"/>
          <w:spacing w:val="-4"/>
          <w:sz w:val="21"/>
          <w:szCs w:val="21"/>
          <w14:textOutline w14:w="3810" w14:cap="flat" w14:cmpd="sng">
            <w14:solidFill>
              <w14:srgbClr w14:val="000000"/>
            </w14:solidFill>
            <w14:prstDash w14:val="solid"/>
            <w14:miter w14:val="0"/>
          </w14:textOutline>
        </w:rPr>
        <w:t>：极危种；</w:t>
      </w:r>
      <w:r>
        <w:rPr>
          <w:rFonts w:ascii="宋体" w:hAnsi="宋体" w:eastAsia="宋体" w:cs="宋体"/>
          <w:spacing w:val="-21"/>
          <w:sz w:val="21"/>
          <w:szCs w:val="21"/>
        </w:rPr>
        <w:t xml:space="preserve"> </w:t>
      </w:r>
      <w:r>
        <w:rPr>
          <w:rFonts w:ascii="Times New Roman" w:hAnsi="Times New Roman" w:eastAsia="Times New Roman" w:cs="Times New Roman"/>
          <w:b/>
          <w:bCs/>
          <w:spacing w:val="-4"/>
          <w:sz w:val="21"/>
          <w:szCs w:val="21"/>
        </w:rPr>
        <w:t>EN</w:t>
      </w:r>
      <w:r>
        <w:rPr>
          <w:rFonts w:ascii="宋体" w:hAnsi="宋体" w:eastAsia="宋体" w:cs="宋体"/>
          <w:spacing w:val="-4"/>
          <w:sz w:val="21"/>
          <w:szCs w:val="21"/>
          <w14:textOutline w14:w="3810" w14:cap="flat" w14:cmpd="sng">
            <w14:solidFill>
              <w14:srgbClr w14:val="000000"/>
            </w14:solidFill>
            <w14:prstDash w14:val="solid"/>
            <w14:miter w14:val="0"/>
          </w14:textOutline>
        </w:rPr>
        <w:t>：濒危种；</w:t>
      </w:r>
      <w:r>
        <w:rPr>
          <w:rFonts w:ascii="Times New Roman" w:hAnsi="Times New Roman" w:eastAsia="Times New Roman" w:cs="Times New Roman"/>
          <w:b/>
          <w:bCs/>
          <w:spacing w:val="-4"/>
          <w:sz w:val="21"/>
          <w:szCs w:val="21"/>
        </w:rPr>
        <w:t>VU</w:t>
      </w:r>
      <w:r>
        <w:rPr>
          <w:rFonts w:ascii="宋体" w:hAnsi="宋体" w:eastAsia="宋体" w:cs="宋体"/>
          <w:spacing w:val="-4"/>
          <w:sz w:val="21"/>
          <w:szCs w:val="21"/>
          <w14:textOutline w14:w="3810" w14:cap="flat" w14:cmpd="sng">
            <w14:solidFill>
              <w14:srgbClr w14:val="000000"/>
            </w14:solidFill>
            <w14:prstDash w14:val="solid"/>
            <w14:miter w14:val="0"/>
          </w14:textOutline>
        </w:rPr>
        <w:t>：易危种。</w:t>
      </w:r>
    </w:p>
    <w:p>
      <w:pPr>
        <w:spacing w:before="132" w:line="360" w:lineRule="auto"/>
        <w:ind w:left="39" w:right="66" w:firstLine="480"/>
        <w:rPr>
          <w:rFonts w:ascii="宋体" w:hAnsi="宋体" w:eastAsia="宋体" w:cs="宋体"/>
          <w:sz w:val="24"/>
          <w:szCs w:val="24"/>
        </w:rPr>
      </w:pPr>
      <w:r>
        <w:rPr>
          <w:rFonts w:ascii="宋体" w:hAnsi="宋体" w:eastAsia="宋体" w:cs="宋体"/>
          <w:spacing w:val="-7"/>
          <w:sz w:val="24"/>
          <w:szCs w:val="24"/>
        </w:rPr>
        <w:t>根据现场调查和资料查阅， 评价区记录了国家Ⅱ级重点保护动物</w:t>
      </w:r>
      <w:r>
        <w:rPr>
          <w:rFonts w:ascii="宋体" w:hAnsi="宋体" w:eastAsia="宋体" w:cs="宋体"/>
          <w:spacing w:val="-39"/>
          <w:sz w:val="24"/>
          <w:szCs w:val="24"/>
        </w:rPr>
        <w:t xml:space="preserve"> </w:t>
      </w:r>
      <w:r>
        <w:rPr>
          <w:rFonts w:ascii="Times New Roman" w:hAnsi="Times New Roman" w:eastAsia="Times New Roman" w:cs="Times New Roman"/>
          <w:spacing w:val="-7"/>
          <w:sz w:val="24"/>
          <w:szCs w:val="24"/>
        </w:rPr>
        <w:t xml:space="preserve">5 </w:t>
      </w:r>
      <w:r>
        <w:rPr>
          <w:rFonts w:ascii="宋体" w:hAnsi="宋体" w:eastAsia="宋体" w:cs="宋体"/>
          <w:spacing w:val="-7"/>
          <w:sz w:val="24"/>
          <w:szCs w:val="24"/>
        </w:rPr>
        <w:t>种，均为</w:t>
      </w:r>
      <w:r>
        <w:rPr>
          <w:rFonts w:ascii="宋体" w:hAnsi="宋体" w:eastAsia="宋体" w:cs="宋体"/>
          <w:sz w:val="24"/>
          <w:szCs w:val="24"/>
        </w:rPr>
        <w:t xml:space="preserve"> </w:t>
      </w:r>
      <w:r>
        <w:rPr>
          <w:rFonts w:ascii="宋体" w:hAnsi="宋体" w:eastAsia="宋体" w:cs="宋体"/>
          <w:spacing w:val="-7"/>
          <w:sz w:val="24"/>
          <w:szCs w:val="24"/>
        </w:rPr>
        <w:t>鸟类，分别为普通鵟</w:t>
      </w:r>
      <w:r>
        <w:rPr>
          <w:rFonts w:ascii="宋体" w:hAnsi="宋体" w:eastAsia="宋体" w:cs="宋体"/>
          <w:spacing w:val="-65"/>
          <w:sz w:val="24"/>
          <w:szCs w:val="24"/>
        </w:rPr>
        <w:t xml:space="preserve"> </w:t>
      </w:r>
      <w:r>
        <w:rPr>
          <w:rFonts w:ascii="Times New Roman" w:hAnsi="Times New Roman" w:eastAsia="Times New Roman" w:cs="Times New Roman"/>
          <w:i/>
          <w:iCs/>
          <w:spacing w:val="-7"/>
          <w:sz w:val="24"/>
          <w:szCs w:val="24"/>
        </w:rPr>
        <w:t>Buteo buteo</w:t>
      </w:r>
      <w:r>
        <w:rPr>
          <w:rFonts w:ascii="宋体" w:hAnsi="宋体" w:eastAsia="宋体" w:cs="宋体"/>
          <w:spacing w:val="-7"/>
          <w:sz w:val="24"/>
          <w:szCs w:val="24"/>
        </w:rPr>
        <w:t>、雀鷹</w:t>
      </w:r>
      <w:r>
        <w:rPr>
          <w:rFonts w:ascii="宋体" w:hAnsi="宋体" w:eastAsia="宋体" w:cs="宋体"/>
          <w:spacing w:val="-72"/>
          <w:sz w:val="24"/>
          <w:szCs w:val="24"/>
        </w:rPr>
        <w:t xml:space="preserve"> </w:t>
      </w:r>
      <w:r>
        <w:rPr>
          <w:rFonts w:ascii="Times New Roman" w:hAnsi="Times New Roman" w:eastAsia="Times New Roman" w:cs="Times New Roman"/>
          <w:i/>
          <w:iCs/>
          <w:spacing w:val="-7"/>
          <w:sz w:val="24"/>
          <w:szCs w:val="24"/>
        </w:rPr>
        <w:t>Accipiter</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i/>
          <w:iCs/>
          <w:spacing w:val="-7"/>
          <w:sz w:val="24"/>
          <w:szCs w:val="24"/>
        </w:rPr>
        <w:t>nisus</w:t>
      </w:r>
      <w:r>
        <w:rPr>
          <w:rFonts w:ascii="宋体" w:hAnsi="宋体" w:eastAsia="宋体" w:cs="宋体"/>
          <w:spacing w:val="-7"/>
          <w:sz w:val="24"/>
          <w:szCs w:val="24"/>
        </w:rPr>
        <w:t>、松雀鹰（</w:t>
      </w:r>
      <w:r>
        <w:rPr>
          <w:rFonts w:ascii="Times New Roman" w:hAnsi="Times New Roman" w:eastAsia="Times New Roman" w:cs="Times New Roman"/>
          <w:i/>
          <w:iCs/>
          <w:spacing w:val="-8"/>
          <w:sz w:val="24"/>
          <w:szCs w:val="24"/>
        </w:rPr>
        <w:t>Accipiter</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i/>
          <w:iCs/>
          <w:spacing w:val="-8"/>
          <w:sz w:val="24"/>
          <w:szCs w:val="24"/>
        </w:rPr>
        <w:t>virgatus</w:t>
      </w:r>
      <w:r>
        <w:rPr>
          <w:rFonts w:ascii="Times New Roman" w:hAnsi="Times New Roman" w:eastAsia="Times New Roman" w:cs="Times New Roman"/>
          <w:i/>
          <w:iCs/>
          <w:spacing w:val="-33"/>
          <w:sz w:val="24"/>
          <w:szCs w:val="24"/>
        </w:rPr>
        <w:t xml:space="preserve"> </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2"/>
          <w:sz w:val="24"/>
          <w:szCs w:val="24"/>
        </w:rPr>
        <w:t>红隼</w:t>
      </w:r>
      <w:r>
        <w:rPr>
          <w:rFonts w:ascii="宋体" w:hAnsi="宋体" w:eastAsia="宋体" w:cs="宋体"/>
          <w:spacing w:val="-35"/>
          <w:sz w:val="24"/>
          <w:szCs w:val="24"/>
        </w:rPr>
        <w:t xml:space="preserve"> </w:t>
      </w:r>
      <w:r>
        <w:rPr>
          <w:rFonts w:ascii="Times New Roman" w:hAnsi="Times New Roman" w:eastAsia="Times New Roman" w:cs="Times New Roman"/>
          <w:i/>
          <w:iCs/>
          <w:spacing w:val="-2"/>
          <w:sz w:val="24"/>
          <w:szCs w:val="24"/>
        </w:rPr>
        <w:t>Falco</w:t>
      </w:r>
      <w:r>
        <w:rPr>
          <w:rFonts w:ascii="Times New Roman" w:hAnsi="Times New Roman" w:eastAsia="Times New Roman" w:cs="Times New Roman"/>
          <w:i/>
          <w:iCs/>
          <w:spacing w:val="39"/>
          <w:w w:val="101"/>
          <w:sz w:val="24"/>
          <w:szCs w:val="24"/>
        </w:rPr>
        <w:t xml:space="preserve"> </w:t>
      </w:r>
      <w:r>
        <w:rPr>
          <w:rFonts w:ascii="Times New Roman" w:hAnsi="Times New Roman" w:eastAsia="Times New Roman" w:cs="Times New Roman"/>
          <w:i/>
          <w:iCs/>
          <w:spacing w:val="-2"/>
          <w:sz w:val="24"/>
          <w:szCs w:val="24"/>
        </w:rPr>
        <w:t>tinnunculus</w:t>
      </w:r>
      <w:r>
        <w:rPr>
          <w:rFonts w:ascii="Times New Roman" w:hAnsi="Times New Roman" w:eastAsia="Times New Roman" w:cs="Times New Roman"/>
          <w:i/>
          <w:iCs/>
          <w:spacing w:val="23"/>
          <w:w w:val="101"/>
          <w:sz w:val="24"/>
          <w:szCs w:val="24"/>
        </w:rPr>
        <w:t xml:space="preserve"> </w:t>
      </w:r>
      <w:r>
        <w:rPr>
          <w:rFonts w:ascii="宋体" w:hAnsi="宋体" w:eastAsia="宋体" w:cs="宋体"/>
          <w:spacing w:val="-2"/>
          <w:sz w:val="24"/>
          <w:szCs w:val="24"/>
        </w:rPr>
        <w:t>和画眉</w:t>
      </w:r>
      <w:r>
        <w:rPr>
          <w:rFonts w:ascii="宋体" w:hAnsi="宋体" w:eastAsia="宋体" w:cs="宋体"/>
          <w:spacing w:val="-30"/>
          <w:sz w:val="24"/>
          <w:szCs w:val="24"/>
        </w:rPr>
        <w:t xml:space="preserve"> </w:t>
      </w:r>
      <w:r>
        <w:rPr>
          <w:rFonts w:ascii="Times New Roman" w:hAnsi="Times New Roman" w:eastAsia="Times New Roman" w:cs="Times New Roman"/>
          <w:i/>
          <w:iCs/>
          <w:spacing w:val="-2"/>
          <w:sz w:val="24"/>
          <w:szCs w:val="24"/>
        </w:rPr>
        <w:t>Garrulax</w:t>
      </w:r>
      <w:r>
        <w:rPr>
          <w:rFonts w:ascii="Times New Roman" w:hAnsi="Times New Roman" w:eastAsia="Times New Roman" w:cs="Times New Roman"/>
          <w:i/>
          <w:iCs/>
          <w:spacing w:val="37"/>
          <w:sz w:val="24"/>
          <w:szCs w:val="24"/>
        </w:rPr>
        <w:t xml:space="preserve"> </w:t>
      </w:r>
      <w:r>
        <w:rPr>
          <w:rFonts w:ascii="Times New Roman" w:hAnsi="Times New Roman" w:eastAsia="Times New Roman" w:cs="Times New Roman"/>
          <w:i/>
          <w:iCs/>
          <w:spacing w:val="-2"/>
          <w:sz w:val="24"/>
          <w:szCs w:val="24"/>
        </w:rPr>
        <w:t>canorus</w:t>
      </w:r>
      <w:r>
        <w:rPr>
          <w:rFonts w:ascii="Times New Roman" w:hAnsi="Times New Roman" w:eastAsia="Times New Roman" w:cs="Times New Roman"/>
          <w:i/>
          <w:iCs/>
          <w:spacing w:val="-27"/>
          <w:sz w:val="24"/>
          <w:szCs w:val="24"/>
        </w:rPr>
        <w:t xml:space="preserve"> </w:t>
      </w:r>
      <w:r>
        <w:rPr>
          <w:rFonts w:ascii="宋体" w:hAnsi="宋体" w:eastAsia="宋体" w:cs="宋体"/>
          <w:spacing w:val="-2"/>
          <w:sz w:val="24"/>
          <w:szCs w:val="24"/>
        </w:rPr>
        <w:t>。其中被列入《濒危野生动植物</w:t>
      </w:r>
      <w:r>
        <w:rPr>
          <w:rFonts w:ascii="宋体" w:hAnsi="宋体" w:eastAsia="宋体" w:cs="宋体"/>
          <w:sz w:val="24"/>
          <w:szCs w:val="24"/>
        </w:rPr>
        <w:t xml:space="preserve"> </w:t>
      </w:r>
      <w:r>
        <w:rPr>
          <w:rFonts w:ascii="宋体" w:hAnsi="宋体" w:eastAsia="宋体" w:cs="宋体"/>
          <w:spacing w:val="-9"/>
          <w:sz w:val="24"/>
          <w:szCs w:val="24"/>
        </w:rPr>
        <w:t>种国际贸易公约附录物种名录》（</w:t>
      </w:r>
      <w:r>
        <w:rPr>
          <w:rFonts w:ascii="Times New Roman" w:hAnsi="Times New Roman" w:eastAsia="Times New Roman" w:cs="Times New Roman"/>
          <w:spacing w:val="-9"/>
          <w:sz w:val="24"/>
          <w:szCs w:val="24"/>
        </w:rPr>
        <w:t xml:space="preserve">2016 </w:t>
      </w:r>
      <w:r>
        <w:rPr>
          <w:rFonts w:ascii="宋体" w:hAnsi="宋体" w:eastAsia="宋体" w:cs="宋体"/>
          <w:spacing w:val="-10"/>
          <w:sz w:val="24"/>
          <w:szCs w:val="24"/>
        </w:rPr>
        <w:t>年）</w:t>
      </w:r>
      <w:r>
        <w:rPr>
          <w:rFonts w:ascii="宋体" w:hAnsi="宋体" w:eastAsia="宋体" w:cs="宋体"/>
          <w:spacing w:val="-36"/>
          <w:sz w:val="24"/>
          <w:szCs w:val="24"/>
        </w:rPr>
        <w:t xml:space="preserve"> </w:t>
      </w:r>
      <w:r>
        <w:rPr>
          <w:rFonts w:ascii="宋体" w:hAnsi="宋体" w:eastAsia="宋体" w:cs="宋体"/>
          <w:spacing w:val="-10"/>
          <w:sz w:val="24"/>
          <w:szCs w:val="24"/>
        </w:rPr>
        <w:t>附录Ⅱ的物种有：普通鵟、 雀鷹、松</w:t>
      </w:r>
      <w:r>
        <w:rPr>
          <w:rFonts w:ascii="宋体" w:hAnsi="宋体" w:eastAsia="宋体" w:cs="宋体"/>
          <w:sz w:val="24"/>
          <w:szCs w:val="24"/>
        </w:rPr>
        <w:t xml:space="preserve"> </w:t>
      </w:r>
      <w:r>
        <w:rPr>
          <w:rFonts w:ascii="宋体" w:hAnsi="宋体" w:eastAsia="宋体" w:cs="宋体"/>
          <w:spacing w:val="-6"/>
          <w:sz w:val="24"/>
          <w:szCs w:val="24"/>
        </w:rPr>
        <w:t>雀鹰、红隼和画眉； 附录Ⅲ有：黄鼬。被列为《中国生物多</w:t>
      </w:r>
      <w:r>
        <w:rPr>
          <w:rFonts w:ascii="宋体" w:hAnsi="宋体" w:eastAsia="宋体" w:cs="宋体"/>
          <w:spacing w:val="-7"/>
          <w:sz w:val="24"/>
          <w:szCs w:val="24"/>
        </w:rPr>
        <w:t>样性红色名录</w:t>
      </w:r>
      <w:r>
        <w:rPr>
          <w:rFonts w:ascii="Times New Roman" w:hAnsi="Times New Roman" w:eastAsia="Times New Roman" w:cs="Times New Roman"/>
          <w:spacing w:val="-7"/>
          <w:sz w:val="24"/>
          <w:szCs w:val="24"/>
        </w:rPr>
        <w:t>—</w:t>
      </w:r>
      <w:r>
        <w:rPr>
          <w:rFonts w:ascii="宋体" w:hAnsi="宋体" w:eastAsia="宋体" w:cs="宋体"/>
          <w:spacing w:val="-7"/>
          <w:sz w:val="24"/>
          <w:szCs w:val="24"/>
        </w:rPr>
        <w:t>脊椎</w:t>
      </w:r>
    </w:p>
    <w:p>
      <w:pPr>
        <w:spacing w:line="212" w:lineRule="auto"/>
        <w:ind w:left="40"/>
        <w:rPr>
          <w:rFonts w:ascii="宋体" w:hAnsi="宋体" w:eastAsia="宋体" w:cs="宋体"/>
          <w:sz w:val="24"/>
          <w:szCs w:val="24"/>
        </w:rPr>
      </w:pPr>
      <w:r>
        <w:rPr>
          <w:rFonts w:ascii="宋体" w:hAnsi="宋体" w:eastAsia="宋体" w:cs="宋体"/>
          <w:spacing w:val="-6"/>
          <w:sz w:val="24"/>
          <w:szCs w:val="24"/>
        </w:rPr>
        <w:t>动物卷》（</w:t>
      </w:r>
      <w:r>
        <w:rPr>
          <w:rFonts w:ascii="Times New Roman" w:hAnsi="Times New Roman" w:eastAsia="Times New Roman" w:cs="Times New Roman"/>
          <w:spacing w:val="-6"/>
          <w:sz w:val="24"/>
          <w:szCs w:val="24"/>
        </w:rPr>
        <w:t xml:space="preserve">2015 </w:t>
      </w:r>
      <w:r>
        <w:rPr>
          <w:rFonts w:ascii="宋体" w:hAnsi="宋体" w:eastAsia="宋体" w:cs="宋体"/>
          <w:spacing w:val="-6"/>
          <w:sz w:val="24"/>
          <w:szCs w:val="24"/>
        </w:rPr>
        <w:t>年）</w:t>
      </w:r>
      <w:r>
        <w:rPr>
          <w:rFonts w:ascii="宋体" w:hAnsi="宋体" w:eastAsia="宋体" w:cs="宋体"/>
          <w:spacing w:val="-26"/>
          <w:sz w:val="24"/>
          <w:szCs w:val="24"/>
        </w:rPr>
        <w:t xml:space="preserve"> </w:t>
      </w:r>
      <w:r>
        <w:rPr>
          <w:rFonts w:ascii="宋体" w:hAnsi="宋体" w:eastAsia="宋体" w:cs="宋体"/>
          <w:spacing w:val="-6"/>
          <w:sz w:val="24"/>
          <w:szCs w:val="24"/>
        </w:rPr>
        <w:t>中濒危物种仅一种： 细脆蛇蜥</w:t>
      </w:r>
      <w:r>
        <w:rPr>
          <w:rFonts w:ascii="宋体" w:hAnsi="宋体" w:eastAsia="宋体" w:cs="宋体"/>
          <w:spacing w:val="-67"/>
          <w:sz w:val="24"/>
          <w:szCs w:val="24"/>
        </w:rPr>
        <w:t xml:space="preserve"> </w:t>
      </w:r>
      <w:r>
        <w:rPr>
          <w:rFonts w:ascii="Times New Roman" w:hAnsi="Times New Roman" w:eastAsia="Times New Roman" w:cs="Times New Roman"/>
          <w:i/>
          <w:iCs/>
          <w:spacing w:val="-7"/>
          <w:sz w:val="24"/>
          <w:szCs w:val="24"/>
        </w:rPr>
        <w:t>Dopasiagracilis</w:t>
      </w:r>
      <w:r>
        <w:rPr>
          <w:rFonts w:ascii="宋体" w:hAnsi="宋体" w:eastAsia="宋体" w:cs="宋体"/>
          <w:spacing w:val="-7"/>
          <w:sz w:val="24"/>
          <w:szCs w:val="24"/>
        </w:rPr>
        <w:t>；易危物种有</w:t>
      </w:r>
    </w:p>
    <w:p>
      <w:pPr>
        <w:spacing w:line="212" w:lineRule="auto"/>
        <w:rPr>
          <w:rFonts w:ascii="宋体" w:hAnsi="宋体" w:eastAsia="宋体" w:cs="宋体"/>
          <w:sz w:val="24"/>
          <w:szCs w:val="24"/>
        </w:rPr>
        <w:sectPr>
          <w:headerReference r:id="rId310" w:type="default"/>
          <w:footerReference r:id="rId311" w:type="default"/>
          <w:pgSz w:w="11907" w:h="16839"/>
          <w:pgMar w:top="1156" w:right="1731" w:bottom="1374" w:left="1770" w:header="881" w:footer="1210" w:gutter="0"/>
        </w:sectPr>
      </w:pPr>
    </w:p>
    <w:p>
      <w:pPr>
        <w:spacing w:line="317" w:lineRule="auto"/>
        <w:rPr>
          <w:rFonts w:ascii="Arial"/>
          <w:sz w:val="21"/>
        </w:rPr>
      </w:pPr>
    </w:p>
    <w:p>
      <w:pPr>
        <w:spacing w:before="78" w:line="360" w:lineRule="auto"/>
        <w:ind w:left="39" w:right="30"/>
        <w:jc w:val="both"/>
        <w:rPr>
          <w:rFonts w:ascii="宋体" w:hAnsi="宋体" w:eastAsia="宋体" w:cs="宋体"/>
          <w:sz w:val="24"/>
          <w:szCs w:val="24"/>
        </w:rPr>
      </w:pP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种：</w:t>
      </w:r>
      <w:r>
        <w:rPr>
          <w:rFonts w:ascii="宋体" w:hAnsi="宋体" w:eastAsia="宋体" w:cs="宋体"/>
          <w:spacing w:val="-26"/>
          <w:sz w:val="24"/>
          <w:szCs w:val="24"/>
        </w:rPr>
        <w:t xml:space="preserve"> </w:t>
      </w:r>
      <w:r>
        <w:rPr>
          <w:rFonts w:ascii="宋体" w:hAnsi="宋体" w:eastAsia="宋体" w:cs="宋体"/>
          <w:spacing w:val="-2"/>
          <w:sz w:val="24"/>
          <w:szCs w:val="24"/>
        </w:rPr>
        <w:t>乌梢蛇</w:t>
      </w:r>
      <w:r>
        <w:rPr>
          <w:rFonts w:ascii="宋体" w:hAnsi="宋体" w:eastAsia="宋体" w:cs="宋体"/>
          <w:spacing w:val="-59"/>
          <w:sz w:val="24"/>
          <w:szCs w:val="24"/>
        </w:rPr>
        <w:t xml:space="preserve"> </w:t>
      </w:r>
      <w:r>
        <w:rPr>
          <w:rFonts w:ascii="Times New Roman" w:hAnsi="Times New Roman" w:eastAsia="Times New Roman" w:cs="Times New Roman"/>
          <w:i/>
          <w:iCs/>
          <w:spacing w:val="-2"/>
          <w:sz w:val="24"/>
          <w:szCs w:val="24"/>
        </w:rPr>
        <w:t>Zaocys</w:t>
      </w:r>
      <w:r>
        <w:rPr>
          <w:rFonts w:ascii="Times New Roman" w:hAnsi="Times New Roman" w:eastAsia="Times New Roman" w:cs="Times New Roman"/>
          <w:i/>
          <w:iCs/>
          <w:spacing w:val="35"/>
          <w:sz w:val="24"/>
          <w:szCs w:val="24"/>
        </w:rPr>
        <w:t xml:space="preserve"> </w:t>
      </w:r>
      <w:r>
        <w:rPr>
          <w:rFonts w:ascii="Times New Roman" w:hAnsi="Times New Roman" w:eastAsia="Times New Roman" w:cs="Times New Roman"/>
          <w:i/>
          <w:iCs/>
          <w:spacing w:val="-2"/>
          <w:sz w:val="24"/>
          <w:szCs w:val="24"/>
        </w:rPr>
        <w:t>dhumnades</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、棘胸蛙</w:t>
      </w:r>
      <w:r>
        <w:rPr>
          <w:rFonts w:ascii="宋体" w:hAnsi="宋体" w:eastAsia="宋体" w:cs="宋体"/>
          <w:spacing w:val="-48"/>
          <w:sz w:val="24"/>
          <w:szCs w:val="24"/>
        </w:rPr>
        <w:t xml:space="preserve"> </w:t>
      </w:r>
      <w:r>
        <w:rPr>
          <w:rFonts w:ascii="Times New Roman" w:hAnsi="Times New Roman" w:eastAsia="Times New Roman" w:cs="Times New Roman"/>
          <w:i/>
          <w:iCs/>
          <w:spacing w:val="-2"/>
          <w:sz w:val="24"/>
          <w:szCs w:val="24"/>
        </w:rPr>
        <w:t>Quasipa</w:t>
      </w:r>
      <w:r>
        <w:rPr>
          <w:rFonts w:ascii="Times New Roman" w:hAnsi="Times New Roman" w:eastAsia="Times New Roman" w:cs="Times New Roman"/>
          <w:i/>
          <w:iCs/>
          <w:spacing w:val="-3"/>
          <w:sz w:val="24"/>
          <w:szCs w:val="24"/>
        </w:rPr>
        <w:t>a</w:t>
      </w:r>
      <w:r>
        <w:rPr>
          <w:rFonts w:ascii="Times New Roman" w:hAnsi="Times New Roman" w:eastAsia="Times New Roman" w:cs="Times New Roman"/>
          <w:i/>
          <w:iCs/>
          <w:spacing w:val="28"/>
          <w:w w:val="101"/>
          <w:sz w:val="24"/>
          <w:szCs w:val="24"/>
        </w:rPr>
        <w:t xml:space="preserve"> </w:t>
      </w:r>
      <w:r>
        <w:rPr>
          <w:rFonts w:ascii="Times New Roman" w:hAnsi="Times New Roman" w:eastAsia="Times New Roman" w:cs="Times New Roman"/>
          <w:i/>
          <w:iCs/>
          <w:spacing w:val="-3"/>
          <w:sz w:val="24"/>
          <w:szCs w:val="24"/>
        </w:rPr>
        <w:t xml:space="preserve">spinosa  </w:t>
      </w:r>
      <w:r>
        <w:rPr>
          <w:rFonts w:ascii="宋体" w:hAnsi="宋体" w:eastAsia="宋体" w:cs="宋体"/>
          <w:spacing w:val="-3"/>
          <w:sz w:val="24"/>
          <w:szCs w:val="24"/>
        </w:rPr>
        <w:t>、棕点湍蛙</w:t>
      </w:r>
      <w:r>
        <w:rPr>
          <w:rFonts w:ascii="宋体" w:hAnsi="宋体" w:eastAsia="宋体" w:cs="宋体"/>
          <w:spacing w:val="-71"/>
          <w:sz w:val="24"/>
          <w:szCs w:val="24"/>
        </w:rPr>
        <w:t xml:space="preserve"> </w:t>
      </w:r>
      <w:r>
        <w:rPr>
          <w:rFonts w:ascii="Times New Roman" w:hAnsi="Times New Roman" w:eastAsia="Times New Roman" w:cs="Times New Roman"/>
          <w:i/>
          <w:iCs/>
          <w:spacing w:val="-3"/>
          <w:sz w:val="24"/>
          <w:szCs w:val="24"/>
        </w:rPr>
        <w:t>Amolops</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8"/>
          <w:sz w:val="24"/>
          <w:szCs w:val="24"/>
        </w:rPr>
        <w:t>loloensis</w:t>
      </w:r>
      <w:r>
        <w:rPr>
          <w:rFonts w:ascii="宋体" w:hAnsi="宋体" w:eastAsia="宋体" w:cs="宋体"/>
          <w:spacing w:val="-8"/>
          <w:sz w:val="24"/>
          <w:szCs w:val="24"/>
        </w:rPr>
        <w:t>。</w:t>
      </w:r>
      <w:r>
        <w:rPr>
          <w:rFonts w:ascii="Times New Roman" w:hAnsi="Times New Roman" w:eastAsia="Times New Roman" w:cs="Times New Roman"/>
          <w:spacing w:val="-8"/>
          <w:sz w:val="24"/>
          <w:szCs w:val="24"/>
        </w:rPr>
        <w:t xml:space="preserve">4 </w:t>
      </w:r>
      <w:r>
        <w:rPr>
          <w:rFonts w:ascii="宋体" w:hAnsi="宋体" w:eastAsia="宋体" w:cs="宋体"/>
          <w:spacing w:val="-8"/>
          <w:sz w:val="24"/>
          <w:szCs w:val="24"/>
        </w:rPr>
        <w:t>种中国特有种，</w:t>
      </w:r>
      <w:r>
        <w:rPr>
          <w:rFonts w:ascii="宋体" w:hAnsi="宋体" w:eastAsia="宋体" w:cs="宋体"/>
          <w:spacing w:val="27"/>
          <w:sz w:val="24"/>
          <w:szCs w:val="24"/>
        </w:rPr>
        <w:t xml:space="preserve"> </w:t>
      </w:r>
      <w:r>
        <w:rPr>
          <w:rFonts w:ascii="宋体" w:hAnsi="宋体" w:eastAsia="宋体" w:cs="宋体"/>
          <w:spacing w:val="-8"/>
          <w:sz w:val="24"/>
          <w:szCs w:val="24"/>
        </w:rPr>
        <w:t>均为两栖动物：</w:t>
      </w:r>
      <w:r>
        <w:rPr>
          <w:rFonts w:ascii="宋体" w:hAnsi="宋体" w:eastAsia="宋体" w:cs="宋体"/>
          <w:spacing w:val="31"/>
          <w:sz w:val="24"/>
          <w:szCs w:val="24"/>
        </w:rPr>
        <w:t xml:space="preserve"> </w:t>
      </w:r>
      <w:r>
        <w:rPr>
          <w:rFonts w:ascii="宋体" w:hAnsi="宋体" w:eastAsia="宋体" w:cs="宋体"/>
          <w:spacing w:val="-8"/>
          <w:sz w:val="24"/>
          <w:szCs w:val="24"/>
        </w:rPr>
        <w:t>棘胸蛙</w:t>
      </w:r>
      <w:r>
        <w:rPr>
          <w:rFonts w:ascii="宋体" w:hAnsi="宋体" w:eastAsia="宋体" w:cs="宋体"/>
          <w:spacing w:val="-49"/>
          <w:sz w:val="24"/>
          <w:szCs w:val="24"/>
        </w:rPr>
        <w:t xml:space="preserve"> </w:t>
      </w:r>
      <w:r>
        <w:rPr>
          <w:rFonts w:ascii="Times New Roman" w:hAnsi="Times New Roman" w:eastAsia="Times New Roman" w:cs="Times New Roman"/>
          <w:i/>
          <w:iCs/>
          <w:spacing w:val="-8"/>
          <w:sz w:val="24"/>
          <w:szCs w:val="24"/>
        </w:rPr>
        <w:t xml:space="preserve">Quasipaaspinosa </w:t>
      </w:r>
      <w:r>
        <w:rPr>
          <w:rFonts w:ascii="Times New Roman" w:hAnsi="Times New Roman" w:eastAsia="Times New Roman" w:cs="Times New Roman"/>
          <w:i/>
          <w:iCs/>
          <w:spacing w:val="-9"/>
          <w:sz w:val="24"/>
          <w:szCs w:val="24"/>
        </w:rPr>
        <w:t xml:space="preserve"> </w:t>
      </w:r>
      <w:r>
        <w:rPr>
          <w:rFonts w:ascii="宋体" w:hAnsi="宋体" w:eastAsia="宋体" w:cs="宋体"/>
          <w:spacing w:val="-9"/>
          <w:sz w:val="24"/>
          <w:szCs w:val="24"/>
        </w:rPr>
        <w:t>、棕点湍蛙</w:t>
      </w:r>
    </w:p>
    <w:p>
      <w:pPr>
        <w:spacing w:line="212" w:lineRule="auto"/>
        <w:ind w:left="18"/>
        <w:rPr>
          <w:rFonts w:ascii="宋体" w:hAnsi="宋体" w:eastAsia="宋体" w:cs="宋体"/>
          <w:sz w:val="24"/>
          <w:szCs w:val="24"/>
        </w:rPr>
      </w:pPr>
      <w:r>
        <w:rPr>
          <w:rFonts w:ascii="Times New Roman" w:hAnsi="Times New Roman" w:eastAsia="Times New Roman" w:cs="Times New Roman"/>
          <w:i/>
          <w:iCs/>
          <w:sz w:val="24"/>
          <w:szCs w:val="24"/>
        </w:rPr>
        <w:t>Amolops</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sz w:val="24"/>
          <w:szCs w:val="24"/>
        </w:rPr>
        <w:t>loloensis</w:t>
      </w:r>
      <w:r>
        <w:rPr>
          <w:rFonts w:ascii="Times New Roman" w:hAnsi="Times New Roman" w:eastAsia="Times New Roman" w:cs="Times New Roman"/>
          <w:i/>
          <w:iCs/>
          <w:spacing w:val="-27"/>
          <w:sz w:val="24"/>
          <w:szCs w:val="24"/>
        </w:rPr>
        <w:t xml:space="preserve"> </w:t>
      </w:r>
      <w:r>
        <w:rPr>
          <w:rFonts w:ascii="宋体" w:hAnsi="宋体" w:eastAsia="宋体" w:cs="宋体"/>
          <w:spacing w:val="2"/>
          <w:sz w:val="24"/>
          <w:szCs w:val="24"/>
        </w:rPr>
        <w:t>、滇蛙</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Nidiranapleuraden</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、昭觉林蛙</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Rana</w:t>
      </w:r>
      <w:r>
        <w:rPr>
          <w:rFonts w:ascii="Times New Roman" w:hAnsi="Times New Roman" w:eastAsia="Times New Roman" w:cs="Times New Roman"/>
          <w:i/>
          <w:iCs/>
          <w:spacing w:val="2"/>
          <w:sz w:val="24"/>
          <w:szCs w:val="24"/>
        </w:rPr>
        <w:t xml:space="preserve"> </w:t>
      </w:r>
      <w:r>
        <w:rPr>
          <w:rFonts w:ascii="Times New Roman" w:hAnsi="Times New Roman" w:eastAsia="Times New Roman" w:cs="Times New Roman"/>
          <w:i/>
          <w:iCs/>
          <w:sz w:val="24"/>
          <w:szCs w:val="24"/>
        </w:rPr>
        <w:t>chaochiaoensis</w:t>
      </w:r>
      <w:r>
        <w:rPr>
          <w:rFonts w:ascii="宋体" w:hAnsi="宋体" w:eastAsia="宋体" w:cs="宋体"/>
          <w:spacing w:val="2"/>
          <w:sz w:val="24"/>
          <w:szCs w:val="24"/>
        </w:rPr>
        <w:t>。</w:t>
      </w:r>
    </w:p>
    <w:p>
      <w:pPr>
        <w:spacing w:before="224" w:line="218"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）水生生态现状调查及评价</w:t>
      </w:r>
    </w:p>
    <w:p>
      <w:pPr>
        <w:spacing w:before="155" w:line="441" w:lineRule="exact"/>
        <w:ind w:left="518"/>
        <w:rPr>
          <w:rFonts w:ascii="宋体" w:hAnsi="宋体" w:eastAsia="宋体" w:cs="宋体"/>
          <w:sz w:val="24"/>
          <w:szCs w:val="24"/>
        </w:rPr>
      </w:pPr>
      <w:r>
        <w:rPr>
          <w:rFonts w:ascii="宋体" w:hAnsi="宋体" w:eastAsia="宋体" w:cs="宋体"/>
          <w:spacing w:val="-2"/>
          <w:position w:val="15"/>
          <w:sz w:val="24"/>
          <w:szCs w:val="24"/>
        </w:rPr>
        <w:t>①调查范围和方法</w:t>
      </w:r>
    </w:p>
    <w:p>
      <w:pPr>
        <w:spacing w:line="234"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调查范围和时间</w:t>
      </w:r>
    </w:p>
    <w:p>
      <w:pPr>
        <w:spacing w:before="135" w:line="222" w:lineRule="auto"/>
        <w:ind w:left="597"/>
        <w:rPr>
          <w:rFonts w:ascii="宋体" w:hAnsi="宋体" w:eastAsia="宋体" w:cs="宋体"/>
          <w:sz w:val="24"/>
          <w:szCs w:val="24"/>
        </w:rPr>
      </w:pPr>
      <w:r>
        <w:rPr>
          <w:rFonts w:ascii="宋体" w:hAnsi="宋体" w:eastAsia="宋体" w:cs="宋体"/>
          <w:spacing w:val="-15"/>
          <w:sz w:val="24"/>
          <w:szCs w:val="24"/>
        </w:rPr>
        <w:t>Ⅰ</w:t>
      </w:r>
      <w:r>
        <w:rPr>
          <w:rFonts w:ascii="Times New Roman" w:hAnsi="Times New Roman" w:eastAsia="Times New Roman" w:cs="Times New Roman"/>
          <w:spacing w:val="-15"/>
          <w:sz w:val="24"/>
          <w:szCs w:val="24"/>
        </w:rPr>
        <w:t>.</w:t>
      </w:r>
      <w:r>
        <w:rPr>
          <w:rFonts w:ascii="宋体" w:hAnsi="宋体" w:eastAsia="宋体" w:cs="宋体"/>
          <w:spacing w:val="-15"/>
          <w:sz w:val="24"/>
          <w:szCs w:val="24"/>
        </w:rPr>
        <w:t>调查时间</w:t>
      </w:r>
    </w:p>
    <w:p>
      <w:pPr>
        <w:spacing w:before="151" w:line="441" w:lineRule="exact"/>
        <w:ind w:right="4"/>
        <w:jc w:val="right"/>
        <w:rPr>
          <w:rFonts w:ascii="宋体" w:hAnsi="宋体" w:eastAsia="宋体" w:cs="宋体"/>
          <w:sz w:val="24"/>
          <w:szCs w:val="24"/>
        </w:rPr>
      </w:pPr>
      <w:r>
        <w:rPr>
          <w:rFonts w:ascii="宋体" w:hAnsi="宋体" w:eastAsia="宋体" w:cs="宋体"/>
          <w:spacing w:val="-3"/>
          <w:position w:val="15"/>
          <w:sz w:val="24"/>
          <w:szCs w:val="24"/>
        </w:rPr>
        <w:t>为了解本项目评价范围内水生生态现状，评价于</w:t>
      </w:r>
      <w:r>
        <w:rPr>
          <w:rFonts w:ascii="宋体" w:hAnsi="宋体" w:eastAsia="宋体" w:cs="宋体"/>
          <w:spacing w:val="-32"/>
          <w:position w:val="15"/>
          <w:sz w:val="24"/>
          <w:szCs w:val="24"/>
        </w:rPr>
        <w:t xml:space="preserve"> </w:t>
      </w:r>
      <w:r>
        <w:rPr>
          <w:rFonts w:ascii="Times New Roman" w:hAnsi="Times New Roman" w:eastAsia="Times New Roman" w:cs="Times New Roman"/>
          <w:spacing w:val="-3"/>
          <w:position w:val="15"/>
          <w:sz w:val="24"/>
          <w:szCs w:val="24"/>
        </w:rPr>
        <w:t>2022</w:t>
      </w:r>
      <w:r>
        <w:rPr>
          <w:rFonts w:ascii="Times New Roman" w:hAnsi="Times New Roman" w:eastAsia="Times New Roman" w:cs="Times New Roman"/>
          <w:spacing w:val="33"/>
          <w:position w:val="15"/>
          <w:sz w:val="24"/>
          <w:szCs w:val="24"/>
        </w:rPr>
        <w:t xml:space="preserve"> </w:t>
      </w:r>
      <w:r>
        <w:rPr>
          <w:rFonts w:ascii="宋体" w:hAnsi="宋体" w:eastAsia="宋体" w:cs="宋体"/>
          <w:spacing w:val="-3"/>
          <w:position w:val="15"/>
          <w:sz w:val="24"/>
          <w:szCs w:val="24"/>
        </w:rPr>
        <w:t xml:space="preserve">年 </w:t>
      </w:r>
      <w:r>
        <w:rPr>
          <w:rFonts w:ascii="Times New Roman" w:hAnsi="Times New Roman" w:eastAsia="Times New Roman" w:cs="Times New Roman"/>
          <w:spacing w:val="-3"/>
          <w:position w:val="15"/>
          <w:sz w:val="24"/>
          <w:szCs w:val="24"/>
        </w:rPr>
        <w:t>10</w:t>
      </w:r>
      <w:r>
        <w:rPr>
          <w:rFonts w:ascii="Times New Roman" w:hAnsi="Times New Roman" w:eastAsia="Times New Roman" w:cs="Times New Roman"/>
          <w:spacing w:val="38"/>
          <w:position w:val="15"/>
          <w:sz w:val="24"/>
          <w:szCs w:val="24"/>
        </w:rPr>
        <w:t xml:space="preserve"> </w:t>
      </w:r>
      <w:r>
        <w:rPr>
          <w:rFonts w:ascii="宋体" w:hAnsi="宋体" w:eastAsia="宋体" w:cs="宋体"/>
          <w:spacing w:val="-3"/>
          <w:position w:val="15"/>
          <w:sz w:val="24"/>
          <w:szCs w:val="24"/>
        </w:rPr>
        <w:t>月</w:t>
      </w:r>
      <w:r>
        <w:rPr>
          <w:rFonts w:ascii="宋体" w:hAnsi="宋体" w:eastAsia="宋体" w:cs="宋体"/>
          <w:spacing w:val="-4"/>
          <w:position w:val="15"/>
          <w:sz w:val="24"/>
          <w:szCs w:val="24"/>
        </w:rPr>
        <w:t xml:space="preserve"> </w:t>
      </w:r>
      <w:r>
        <w:rPr>
          <w:rFonts w:ascii="Times New Roman" w:hAnsi="Times New Roman" w:eastAsia="Times New Roman" w:cs="Times New Roman"/>
          <w:spacing w:val="-4"/>
          <w:position w:val="15"/>
          <w:sz w:val="24"/>
          <w:szCs w:val="24"/>
        </w:rPr>
        <w:t xml:space="preserve">12~13  </w:t>
      </w:r>
      <w:r>
        <w:rPr>
          <w:rFonts w:ascii="宋体" w:hAnsi="宋体" w:eastAsia="宋体" w:cs="宋体"/>
          <w:spacing w:val="-4"/>
          <w:position w:val="15"/>
          <w:sz w:val="24"/>
          <w:szCs w:val="24"/>
        </w:rPr>
        <w:t>日对</w:t>
      </w:r>
    </w:p>
    <w:p>
      <w:pPr>
        <w:spacing w:line="218" w:lineRule="auto"/>
        <w:ind w:left="38"/>
        <w:rPr>
          <w:rFonts w:ascii="宋体" w:hAnsi="宋体" w:eastAsia="宋体" w:cs="宋体"/>
          <w:sz w:val="24"/>
          <w:szCs w:val="24"/>
        </w:rPr>
      </w:pPr>
      <w:r>
        <w:rPr>
          <w:rFonts w:ascii="宋体" w:hAnsi="宋体" w:eastAsia="宋体" w:cs="宋体"/>
          <w:spacing w:val="-3"/>
          <w:sz w:val="24"/>
          <w:szCs w:val="24"/>
        </w:rPr>
        <w:t>评价区域的水生生态的现状进行了补充调查。</w:t>
      </w:r>
    </w:p>
    <w:p>
      <w:pPr>
        <w:spacing w:before="158" w:line="338" w:lineRule="auto"/>
        <w:ind w:left="40" w:right="31" w:firstLine="480"/>
        <w:rPr>
          <w:rFonts w:ascii="宋体" w:hAnsi="宋体" w:eastAsia="宋体" w:cs="宋体"/>
          <w:sz w:val="24"/>
          <w:szCs w:val="24"/>
        </w:rPr>
      </w:pPr>
      <w:r>
        <w:rPr>
          <w:rFonts w:ascii="宋体" w:hAnsi="宋体" w:eastAsia="宋体" w:cs="宋体"/>
          <w:spacing w:val="-21"/>
          <w:sz w:val="24"/>
          <w:szCs w:val="24"/>
        </w:rPr>
        <w:t>调查人员： 谭治刚， 植物学， 工程师，</w:t>
      </w:r>
      <w:r>
        <w:rPr>
          <w:rFonts w:ascii="宋体" w:hAnsi="宋体" w:eastAsia="宋体" w:cs="宋体"/>
          <w:spacing w:val="18"/>
          <w:sz w:val="24"/>
          <w:szCs w:val="24"/>
        </w:rPr>
        <w:t xml:space="preserve"> </w:t>
      </w:r>
      <w:r>
        <w:rPr>
          <w:rFonts w:ascii="宋体" w:hAnsi="宋体" w:eastAsia="宋体" w:cs="宋体"/>
          <w:spacing w:val="-21"/>
          <w:sz w:val="24"/>
          <w:szCs w:val="24"/>
        </w:rPr>
        <w:t>中国</w:t>
      </w:r>
      <w:r>
        <w:rPr>
          <w:rFonts w:ascii="宋体" w:hAnsi="宋体" w:eastAsia="宋体" w:cs="宋体"/>
          <w:spacing w:val="-22"/>
          <w:sz w:val="24"/>
          <w:szCs w:val="24"/>
        </w:rPr>
        <w:t>科学院昆明植物研究所，</w:t>
      </w:r>
      <w:r>
        <w:rPr>
          <w:rFonts w:ascii="宋体" w:hAnsi="宋体" w:eastAsia="宋体" w:cs="宋体"/>
          <w:spacing w:val="44"/>
          <w:sz w:val="24"/>
          <w:szCs w:val="24"/>
        </w:rPr>
        <w:t xml:space="preserve"> </w:t>
      </w:r>
      <w:r>
        <w:rPr>
          <w:rFonts w:ascii="宋体" w:hAnsi="宋体" w:eastAsia="宋体" w:cs="宋体"/>
          <w:spacing w:val="-22"/>
          <w:sz w:val="24"/>
          <w:szCs w:val="24"/>
        </w:rPr>
        <w:t>主要负</w:t>
      </w:r>
      <w:r>
        <w:rPr>
          <w:rFonts w:ascii="宋体" w:hAnsi="宋体" w:eastAsia="宋体" w:cs="宋体"/>
          <w:sz w:val="24"/>
          <w:szCs w:val="24"/>
        </w:rPr>
        <w:t xml:space="preserve"> </w:t>
      </w:r>
      <w:r>
        <w:rPr>
          <w:rFonts w:ascii="宋体" w:hAnsi="宋体" w:eastAsia="宋体" w:cs="宋体"/>
          <w:spacing w:val="-19"/>
          <w:sz w:val="24"/>
          <w:szCs w:val="24"/>
        </w:rPr>
        <w:t>责资料收集及数据分析；</w:t>
      </w:r>
      <w:r>
        <w:rPr>
          <w:rFonts w:ascii="宋体" w:hAnsi="宋体" w:eastAsia="宋体" w:cs="宋体"/>
          <w:spacing w:val="57"/>
          <w:sz w:val="24"/>
          <w:szCs w:val="24"/>
        </w:rPr>
        <w:t xml:space="preserve"> </w:t>
      </w:r>
      <w:r>
        <w:rPr>
          <w:rFonts w:ascii="宋体" w:hAnsi="宋体" w:eastAsia="宋体" w:cs="宋体"/>
          <w:spacing w:val="-19"/>
          <w:sz w:val="24"/>
          <w:szCs w:val="24"/>
        </w:rPr>
        <w:t>何华杰， 生态学， 高级工程师，</w:t>
      </w:r>
      <w:r>
        <w:rPr>
          <w:rFonts w:ascii="宋体" w:hAnsi="宋体" w:eastAsia="宋体" w:cs="宋体"/>
          <w:spacing w:val="59"/>
          <w:sz w:val="24"/>
          <w:szCs w:val="24"/>
        </w:rPr>
        <w:t xml:space="preserve"> </w:t>
      </w:r>
      <w:r>
        <w:rPr>
          <w:rFonts w:ascii="宋体" w:hAnsi="宋体" w:eastAsia="宋体" w:cs="宋体"/>
          <w:spacing w:val="-19"/>
          <w:sz w:val="24"/>
          <w:szCs w:val="24"/>
        </w:rPr>
        <w:t>中国科学院昆明植物研</w:t>
      </w:r>
      <w:r>
        <w:rPr>
          <w:rFonts w:ascii="宋体" w:hAnsi="宋体" w:eastAsia="宋体" w:cs="宋体"/>
          <w:sz w:val="24"/>
          <w:szCs w:val="24"/>
        </w:rPr>
        <w:t xml:space="preserve"> </w:t>
      </w:r>
      <w:r>
        <w:rPr>
          <w:rFonts w:ascii="宋体" w:hAnsi="宋体" w:eastAsia="宋体" w:cs="宋体"/>
          <w:spacing w:val="-14"/>
          <w:sz w:val="24"/>
          <w:szCs w:val="24"/>
        </w:rPr>
        <w:t>究所， 主要负责实验室检验及浮游植物鉴定；</w:t>
      </w:r>
      <w:r>
        <w:rPr>
          <w:rFonts w:ascii="宋体" w:hAnsi="宋体" w:eastAsia="宋体" w:cs="宋体"/>
          <w:spacing w:val="52"/>
          <w:sz w:val="24"/>
          <w:szCs w:val="24"/>
        </w:rPr>
        <w:t xml:space="preserve"> </w:t>
      </w:r>
      <w:r>
        <w:rPr>
          <w:rFonts w:ascii="宋体" w:hAnsi="宋体" w:eastAsia="宋体" w:cs="宋体"/>
          <w:spacing w:val="-14"/>
          <w:sz w:val="24"/>
          <w:szCs w:val="24"/>
        </w:rPr>
        <w:t>黄俊玲，工程师，环境科学， 云南</w:t>
      </w:r>
      <w:r>
        <w:rPr>
          <w:rFonts w:ascii="宋体" w:hAnsi="宋体" w:eastAsia="宋体" w:cs="宋体"/>
          <w:sz w:val="24"/>
          <w:szCs w:val="24"/>
        </w:rPr>
        <w:t xml:space="preserve"> </w:t>
      </w:r>
      <w:r>
        <w:rPr>
          <w:rFonts w:ascii="宋体" w:hAnsi="宋体" w:eastAsia="宋体" w:cs="宋体"/>
          <w:spacing w:val="-9"/>
          <w:sz w:val="24"/>
          <w:szCs w:val="24"/>
        </w:rPr>
        <w:t>联创环境工程有限公司，主要负责数据收集及报告撰写</w:t>
      </w:r>
      <w:r>
        <w:rPr>
          <w:rFonts w:ascii="宋体" w:hAnsi="宋体" w:eastAsia="宋体" w:cs="宋体"/>
          <w:spacing w:val="-10"/>
          <w:sz w:val="24"/>
          <w:szCs w:val="24"/>
        </w:rPr>
        <w:t>：孙锐林， 环境科学， 工</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程师，云南联创环境工程有限公司，主要负责野</w:t>
      </w:r>
      <w:r>
        <w:rPr>
          <w:rFonts w:ascii="宋体" w:hAnsi="宋体" w:eastAsia="宋体" w:cs="宋体"/>
          <w:spacing w:val="-2"/>
          <w:sz w:val="24"/>
          <w:szCs w:val="24"/>
        </w:rPr>
        <w:t>外采样及数据收集。</w:t>
      </w:r>
    </w:p>
    <w:p>
      <w:pPr>
        <w:spacing w:before="157" w:line="220" w:lineRule="auto"/>
        <w:ind w:left="560"/>
        <w:rPr>
          <w:rFonts w:ascii="宋体" w:hAnsi="宋体" w:eastAsia="宋体" w:cs="宋体"/>
          <w:sz w:val="24"/>
          <w:szCs w:val="24"/>
        </w:rPr>
      </w:pPr>
      <w:r>
        <w:rPr>
          <w:rFonts w:ascii="宋体" w:hAnsi="宋体" w:eastAsia="宋体" w:cs="宋体"/>
          <w:spacing w:val="-8"/>
          <w:sz w:val="24"/>
          <w:szCs w:val="24"/>
        </w:rPr>
        <w:t>Ⅱ</w:t>
      </w:r>
      <w:r>
        <w:rPr>
          <w:rFonts w:ascii="Times New Roman" w:hAnsi="Times New Roman" w:eastAsia="Times New Roman" w:cs="Times New Roman"/>
          <w:spacing w:val="-8"/>
          <w:sz w:val="24"/>
          <w:szCs w:val="24"/>
        </w:rPr>
        <w:t>.</w:t>
      </w:r>
      <w:r>
        <w:rPr>
          <w:rFonts w:ascii="宋体" w:hAnsi="宋体" w:eastAsia="宋体" w:cs="宋体"/>
          <w:spacing w:val="-8"/>
          <w:sz w:val="24"/>
          <w:szCs w:val="24"/>
        </w:rPr>
        <w:t>调查范围</w:t>
      </w:r>
    </w:p>
    <w:p>
      <w:pPr>
        <w:spacing w:before="122" w:line="360" w:lineRule="auto"/>
        <w:ind w:left="38" w:right="30" w:firstLine="483"/>
        <w:rPr>
          <w:rFonts w:ascii="宋体" w:hAnsi="宋体" w:eastAsia="宋体" w:cs="宋体"/>
          <w:sz w:val="24"/>
          <w:szCs w:val="24"/>
        </w:rPr>
      </w:pPr>
      <w:r>
        <w:rPr>
          <w:rFonts w:ascii="宋体" w:hAnsi="宋体" w:eastAsia="宋体" w:cs="宋体"/>
          <w:spacing w:val="-3"/>
          <w:sz w:val="24"/>
          <w:szCs w:val="24"/>
        </w:rPr>
        <w:t>水生生态调查的范围包括拟建水库坝址至库尾（桂花河</w:t>
      </w:r>
      <w:r>
        <w:rPr>
          <w:rFonts w:ascii="宋体" w:hAnsi="宋体" w:eastAsia="宋体" w:cs="宋体"/>
          <w:spacing w:val="-4"/>
          <w:sz w:val="24"/>
          <w:szCs w:val="24"/>
        </w:rPr>
        <w:t>）、减水河段至桂花</w:t>
      </w:r>
      <w:r>
        <w:rPr>
          <w:rFonts w:ascii="宋体" w:hAnsi="宋体" w:eastAsia="宋体" w:cs="宋体"/>
          <w:sz w:val="24"/>
          <w:szCs w:val="24"/>
        </w:rPr>
        <w:t xml:space="preserve"> </w:t>
      </w:r>
      <w:r>
        <w:rPr>
          <w:rFonts w:ascii="宋体" w:hAnsi="宋体" w:eastAsia="宋体" w:cs="宋体"/>
          <w:spacing w:val="-13"/>
          <w:sz w:val="24"/>
          <w:szCs w:val="24"/>
        </w:rPr>
        <w:t>河与罗子左河交汇口，</w:t>
      </w:r>
      <w:r>
        <w:rPr>
          <w:rFonts w:ascii="宋体" w:hAnsi="宋体" w:eastAsia="宋体" w:cs="宋体"/>
          <w:spacing w:val="69"/>
          <w:sz w:val="24"/>
          <w:szCs w:val="24"/>
        </w:rPr>
        <w:t xml:space="preserve"> </w:t>
      </w:r>
      <w:r>
        <w:rPr>
          <w:rFonts w:ascii="宋体" w:hAnsi="宋体" w:eastAsia="宋体" w:cs="宋体"/>
          <w:spacing w:val="-13"/>
          <w:sz w:val="24"/>
          <w:szCs w:val="24"/>
        </w:rPr>
        <w:t>引水工程、引洪工程、输水工程涉及的沿线水域，</w:t>
      </w:r>
      <w:r>
        <w:rPr>
          <w:rFonts w:ascii="宋体" w:hAnsi="宋体" w:eastAsia="宋体" w:cs="宋体"/>
          <w:spacing w:val="41"/>
          <w:sz w:val="24"/>
          <w:szCs w:val="24"/>
        </w:rPr>
        <w:t xml:space="preserve"> </w:t>
      </w:r>
      <w:r>
        <w:rPr>
          <w:rFonts w:ascii="宋体" w:hAnsi="宋体" w:eastAsia="宋体" w:cs="宋体"/>
          <w:spacing w:val="-13"/>
          <w:sz w:val="24"/>
          <w:szCs w:val="24"/>
        </w:rPr>
        <w:t>如碧么</w:t>
      </w:r>
    </w:p>
    <w:p>
      <w:pPr>
        <w:spacing w:line="219" w:lineRule="auto"/>
        <w:ind w:left="42"/>
        <w:rPr>
          <w:rFonts w:ascii="宋体" w:hAnsi="宋体" w:eastAsia="宋体" w:cs="宋体"/>
          <w:sz w:val="24"/>
          <w:szCs w:val="24"/>
        </w:rPr>
      </w:pPr>
      <w:r>
        <w:rPr>
          <w:rFonts w:ascii="宋体" w:hAnsi="宋体" w:eastAsia="宋体" w:cs="宋体"/>
          <w:spacing w:val="-2"/>
          <w:sz w:val="24"/>
          <w:szCs w:val="24"/>
        </w:rPr>
        <w:t>水库其边线外延</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300m</w:t>
      </w:r>
      <w:r>
        <w:rPr>
          <w:rFonts w:ascii="宋体" w:hAnsi="宋体" w:eastAsia="宋体" w:cs="宋体"/>
          <w:spacing w:val="-2"/>
          <w:sz w:val="24"/>
          <w:szCs w:val="24"/>
        </w:rPr>
        <w:t>。</w:t>
      </w:r>
    </w:p>
    <w:p>
      <w:pPr>
        <w:spacing w:before="183" w:line="235"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调查方法</w:t>
      </w:r>
    </w:p>
    <w:p>
      <w:pPr>
        <w:spacing w:before="162" w:line="220" w:lineRule="auto"/>
        <w:ind w:left="597"/>
        <w:rPr>
          <w:rFonts w:ascii="宋体" w:hAnsi="宋体" w:eastAsia="宋体" w:cs="宋体"/>
          <w:sz w:val="24"/>
          <w:szCs w:val="24"/>
        </w:rPr>
      </w:pPr>
      <w:r>
        <w:rPr>
          <w:rFonts w:ascii="宋体" w:hAnsi="宋体" w:eastAsia="宋体" w:cs="宋体"/>
          <w:spacing w:val="-8"/>
          <w:sz w:val="24"/>
          <w:szCs w:val="24"/>
        </w:rPr>
        <w:t>Ⅰ</w:t>
      </w:r>
      <w:r>
        <w:rPr>
          <w:rFonts w:ascii="Times New Roman" w:hAnsi="Times New Roman" w:eastAsia="Times New Roman" w:cs="Times New Roman"/>
          <w:spacing w:val="-8"/>
          <w:sz w:val="24"/>
          <w:szCs w:val="24"/>
        </w:rPr>
        <w:t>.</w:t>
      </w:r>
      <w:r>
        <w:rPr>
          <w:rFonts w:ascii="宋体" w:hAnsi="宋体" w:eastAsia="宋体" w:cs="宋体"/>
          <w:spacing w:val="-8"/>
          <w:sz w:val="24"/>
          <w:szCs w:val="24"/>
        </w:rPr>
        <w:t>监测断面（区域）设置</w:t>
      </w:r>
    </w:p>
    <w:p>
      <w:pPr>
        <w:spacing w:before="182" w:line="360" w:lineRule="auto"/>
        <w:ind w:left="33" w:right="91" w:firstLine="484"/>
        <w:rPr>
          <w:rFonts w:ascii="宋体" w:hAnsi="宋体" w:eastAsia="宋体" w:cs="宋体"/>
          <w:sz w:val="24"/>
          <w:szCs w:val="24"/>
        </w:rPr>
      </w:pPr>
      <w:r>
        <w:rPr>
          <w:rFonts w:ascii="宋体" w:hAnsi="宋体" w:eastAsia="宋体" w:cs="宋体"/>
          <w:spacing w:val="-1"/>
          <w:sz w:val="24"/>
          <w:szCs w:val="24"/>
        </w:rPr>
        <w:t xml:space="preserve">在根据水库区域河道形态、水文情况和本项项目涉水工程分布情况，设置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个监测断面：分别为：拟建水库库尾（桂花河</w:t>
      </w:r>
      <w:r>
        <w:rPr>
          <w:rFonts w:ascii="宋体" w:hAnsi="宋体" w:eastAsia="宋体" w:cs="宋体"/>
          <w:spacing w:val="-64"/>
          <w:w w:val="96"/>
          <w:sz w:val="24"/>
          <w:szCs w:val="24"/>
        </w:rPr>
        <w:t>）（</w:t>
      </w:r>
      <w:r>
        <w:rPr>
          <w:rFonts w:ascii="Times New Roman" w:hAnsi="Times New Roman" w:eastAsia="Times New Roman" w:cs="Times New Roman"/>
          <w:spacing w:val="-1"/>
          <w:sz w:val="24"/>
          <w:szCs w:val="24"/>
        </w:rPr>
        <w:t>W1</w:t>
      </w:r>
      <w:r>
        <w:rPr>
          <w:rFonts w:ascii="宋体" w:hAnsi="宋体" w:eastAsia="宋体" w:cs="宋体"/>
          <w:spacing w:val="-64"/>
          <w:w w:val="96"/>
          <w:sz w:val="24"/>
          <w:szCs w:val="24"/>
        </w:rPr>
        <w:t>），</w:t>
      </w:r>
      <w:r>
        <w:rPr>
          <w:rFonts w:ascii="宋体" w:hAnsi="宋体" w:eastAsia="宋体" w:cs="宋体"/>
          <w:spacing w:val="-1"/>
          <w:sz w:val="24"/>
          <w:szCs w:val="24"/>
        </w:rPr>
        <w:t>拟建坝址区（</w:t>
      </w:r>
      <w:r>
        <w:rPr>
          <w:rFonts w:ascii="Times New Roman" w:hAnsi="Times New Roman" w:eastAsia="Times New Roman" w:cs="Times New Roman"/>
          <w:spacing w:val="-1"/>
          <w:sz w:val="24"/>
          <w:szCs w:val="24"/>
        </w:rPr>
        <w:t>W2</w:t>
      </w:r>
      <w:r>
        <w:rPr>
          <w:rFonts w:ascii="宋体" w:hAnsi="宋体" w:eastAsia="宋体" w:cs="宋体"/>
          <w:spacing w:val="-1"/>
          <w:sz w:val="24"/>
          <w:szCs w:val="24"/>
        </w:rPr>
        <w:t>）、</w:t>
      </w:r>
      <w:r>
        <w:rPr>
          <w:rFonts w:ascii="宋体" w:hAnsi="宋体" w:eastAsia="宋体" w:cs="宋体"/>
          <w:spacing w:val="7"/>
          <w:sz w:val="24"/>
          <w:szCs w:val="24"/>
        </w:rPr>
        <w:t xml:space="preserve"> </w:t>
      </w:r>
      <w:r>
        <w:rPr>
          <w:rFonts w:ascii="宋体" w:hAnsi="宋体" w:eastAsia="宋体" w:cs="宋体"/>
          <w:sz w:val="24"/>
          <w:szCs w:val="24"/>
        </w:rPr>
        <w:t>罗子左河引水区（</w:t>
      </w:r>
      <w:r>
        <w:rPr>
          <w:rFonts w:ascii="Times New Roman" w:hAnsi="Times New Roman" w:eastAsia="Times New Roman" w:cs="Times New Roman"/>
          <w:sz w:val="24"/>
          <w:szCs w:val="24"/>
        </w:rPr>
        <w:t>W3</w:t>
      </w:r>
      <w:r>
        <w:rPr>
          <w:rFonts w:ascii="宋体" w:hAnsi="宋体" w:eastAsia="宋体" w:cs="宋体"/>
          <w:sz w:val="24"/>
          <w:szCs w:val="24"/>
        </w:rPr>
        <w:t>）和桂花河与罗子左河交汇口（</w:t>
      </w:r>
      <w:r>
        <w:rPr>
          <w:rFonts w:ascii="Times New Roman" w:hAnsi="Times New Roman" w:eastAsia="Times New Roman" w:cs="Times New Roman"/>
          <w:sz w:val="24"/>
          <w:szCs w:val="24"/>
        </w:rPr>
        <w:t>W4</w:t>
      </w:r>
      <w:r>
        <w:rPr>
          <w:rFonts w:ascii="宋体" w:hAnsi="宋体" w:eastAsia="宋体" w:cs="宋体"/>
          <w:spacing w:val="-63"/>
          <w:w w:val="98"/>
          <w:sz w:val="24"/>
          <w:szCs w:val="24"/>
        </w:rPr>
        <w:t>）；</w:t>
      </w:r>
      <w:r>
        <w:rPr>
          <w:rFonts w:ascii="宋体" w:hAnsi="宋体" w:eastAsia="宋体" w:cs="宋体"/>
          <w:sz w:val="24"/>
          <w:szCs w:val="24"/>
        </w:rPr>
        <w:t>每个断面分别设置</w:t>
      </w:r>
    </w:p>
    <w:p>
      <w:pPr>
        <w:spacing w:before="1" w:line="218" w:lineRule="auto"/>
        <w:ind w:left="58"/>
        <w:rPr>
          <w:rFonts w:ascii="宋体" w:hAnsi="宋体" w:eastAsia="宋体" w:cs="宋体"/>
          <w:sz w:val="24"/>
          <w:szCs w:val="24"/>
        </w:rPr>
      </w:pP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至</w:t>
      </w:r>
      <w:r>
        <w:rPr>
          <w:rFonts w:ascii="宋体" w:hAnsi="宋体" w:eastAsia="宋体" w:cs="宋体"/>
          <w:spacing w:val="-38"/>
          <w:sz w:val="24"/>
          <w:szCs w:val="24"/>
        </w:rPr>
        <w:t xml:space="preserve"> </w:t>
      </w:r>
      <w:r>
        <w:rPr>
          <w:rFonts w:ascii="Times New Roman" w:hAnsi="Times New Roman" w:eastAsia="Times New Roman" w:cs="Times New Roman"/>
          <w:spacing w:val="-9"/>
          <w:sz w:val="24"/>
          <w:szCs w:val="24"/>
        </w:rPr>
        <w:t xml:space="preserve">2 </w:t>
      </w:r>
      <w:r>
        <w:rPr>
          <w:rFonts w:ascii="宋体" w:hAnsi="宋体" w:eastAsia="宋体" w:cs="宋体"/>
          <w:spacing w:val="-9"/>
          <w:sz w:val="24"/>
          <w:szCs w:val="24"/>
        </w:rPr>
        <w:t>个样点，断面位置见生态调查样线样方布置图，</w:t>
      </w:r>
      <w:r>
        <w:rPr>
          <w:rFonts w:ascii="宋体" w:hAnsi="宋体" w:eastAsia="宋体" w:cs="宋体"/>
          <w:spacing w:val="80"/>
          <w:sz w:val="24"/>
          <w:szCs w:val="24"/>
        </w:rPr>
        <w:t xml:space="preserve"> </w:t>
      </w:r>
      <w:r>
        <w:rPr>
          <w:rFonts w:ascii="宋体" w:hAnsi="宋体" w:eastAsia="宋体" w:cs="宋体"/>
          <w:spacing w:val="-9"/>
          <w:sz w:val="24"/>
          <w:szCs w:val="24"/>
        </w:rPr>
        <w:t>附图</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15</w:t>
      </w:r>
      <w:r>
        <w:rPr>
          <w:rFonts w:ascii="宋体" w:hAnsi="宋体" w:eastAsia="宋体" w:cs="宋体"/>
          <w:spacing w:val="-9"/>
          <w:sz w:val="24"/>
          <w:szCs w:val="24"/>
        </w:rPr>
        <w:t>。</w:t>
      </w:r>
    </w:p>
    <w:p>
      <w:pPr>
        <w:spacing w:before="184" w:line="360" w:lineRule="auto"/>
        <w:ind w:left="42" w:right="117" w:firstLine="518"/>
        <w:rPr>
          <w:rFonts w:ascii="宋体" w:hAnsi="宋体" w:eastAsia="宋体" w:cs="宋体"/>
          <w:sz w:val="24"/>
          <w:szCs w:val="24"/>
        </w:rPr>
      </w:pPr>
      <w:r>
        <w:rPr>
          <w:rFonts w:ascii="宋体" w:hAnsi="宋体" w:eastAsia="宋体" w:cs="宋体"/>
          <w:spacing w:val="-2"/>
          <w:sz w:val="24"/>
          <w:szCs w:val="24"/>
        </w:rPr>
        <w:t>Ⅱ</w:t>
      </w:r>
      <w:r>
        <w:rPr>
          <w:rFonts w:ascii="Times New Roman" w:hAnsi="Times New Roman" w:eastAsia="Times New Roman" w:cs="Times New Roman"/>
          <w:spacing w:val="-2"/>
          <w:sz w:val="24"/>
          <w:szCs w:val="24"/>
        </w:rPr>
        <w:t>.</w:t>
      </w:r>
      <w:r>
        <w:rPr>
          <w:rFonts w:ascii="宋体" w:hAnsi="宋体" w:eastAsia="宋体" w:cs="宋体"/>
          <w:spacing w:val="-2"/>
          <w:sz w:val="24"/>
          <w:szCs w:val="24"/>
        </w:rPr>
        <w:t>通过定性调查采集浮游生物进行属种鉴定，了解水体中浮游生物的种类</w:t>
      </w:r>
      <w:r>
        <w:rPr>
          <w:rFonts w:ascii="宋体" w:hAnsi="宋体" w:eastAsia="宋体" w:cs="宋体"/>
          <w:spacing w:val="14"/>
          <w:sz w:val="24"/>
          <w:szCs w:val="24"/>
        </w:rPr>
        <w:t xml:space="preserve"> </w:t>
      </w:r>
      <w:r>
        <w:rPr>
          <w:rFonts w:ascii="宋体" w:hAnsi="宋体" w:eastAsia="宋体" w:cs="宋体"/>
          <w:spacing w:val="-13"/>
          <w:sz w:val="24"/>
          <w:szCs w:val="24"/>
        </w:rPr>
        <w:t>组成、其分布状况。采集方法：</w:t>
      </w:r>
      <w:r>
        <w:rPr>
          <w:rFonts w:ascii="宋体" w:hAnsi="宋体" w:eastAsia="宋体" w:cs="宋体"/>
          <w:spacing w:val="73"/>
          <w:sz w:val="24"/>
          <w:szCs w:val="24"/>
        </w:rPr>
        <w:t xml:space="preserve"> </w:t>
      </w:r>
      <w:r>
        <w:rPr>
          <w:rFonts w:ascii="Times New Roman" w:hAnsi="Times New Roman" w:eastAsia="Times New Roman" w:cs="Times New Roman"/>
          <w:spacing w:val="-13"/>
          <w:sz w:val="24"/>
          <w:szCs w:val="24"/>
        </w:rPr>
        <w:t>25</w:t>
      </w:r>
      <w:r>
        <w:rPr>
          <w:rFonts w:ascii="Times New Roman" w:hAnsi="Times New Roman" w:eastAsia="Times New Roman" w:cs="Times New Roman"/>
          <w:spacing w:val="-2"/>
          <w:position w:val="8"/>
          <w:sz w:val="15"/>
          <w:szCs w:val="15"/>
        </w:rPr>
        <w:t>#</w:t>
      </w:r>
      <w:r>
        <w:rPr>
          <w:rFonts w:ascii="Times New Roman" w:hAnsi="Times New Roman" w:eastAsia="Times New Roman" w:cs="Times New Roman"/>
          <w:spacing w:val="-21"/>
          <w:position w:val="8"/>
          <w:sz w:val="15"/>
          <w:szCs w:val="15"/>
        </w:rPr>
        <w:t xml:space="preserve"> </w:t>
      </w:r>
      <w:r>
        <w:rPr>
          <w:rFonts w:ascii="宋体" w:hAnsi="宋体" w:eastAsia="宋体" w:cs="宋体"/>
          <w:spacing w:val="-2"/>
          <w:sz w:val="24"/>
          <w:szCs w:val="24"/>
        </w:rPr>
        <w:t>定性网在选定的采集样点上进行水平拖取。</w:t>
      </w:r>
    </w:p>
    <w:p>
      <w:pPr>
        <w:spacing w:before="1" w:line="218" w:lineRule="auto"/>
        <w:ind w:left="37"/>
        <w:rPr>
          <w:rFonts w:ascii="Times New Roman" w:hAnsi="Times New Roman" w:eastAsia="Times New Roman" w:cs="Times New Roman"/>
          <w:sz w:val="24"/>
          <w:szCs w:val="24"/>
        </w:rPr>
      </w:pPr>
      <w:r>
        <w:rPr>
          <w:rFonts w:ascii="宋体" w:hAnsi="宋体" w:eastAsia="宋体" w:cs="宋体"/>
          <w:spacing w:val="-1"/>
          <w:sz w:val="24"/>
          <w:szCs w:val="24"/>
        </w:rPr>
        <w:t>将定性网缚于长</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2m</w:t>
      </w:r>
      <w:r>
        <w:rPr>
          <w:rFonts w:ascii="Times New Roman" w:hAnsi="Times New Roman" w:eastAsia="Times New Roman" w:cs="Times New Roman"/>
          <w:spacing w:val="29"/>
          <w:w w:val="101"/>
          <w:sz w:val="24"/>
          <w:szCs w:val="24"/>
        </w:rPr>
        <w:t xml:space="preserve"> </w:t>
      </w:r>
      <w:r>
        <w:rPr>
          <w:rFonts w:ascii="宋体" w:hAnsi="宋体" w:eastAsia="宋体" w:cs="宋体"/>
          <w:spacing w:val="-1"/>
          <w:sz w:val="24"/>
          <w:szCs w:val="24"/>
        </w:rPr>
        <w:t>的竹竿上，将网置于水中</w:t>
      </w:r>
      <w:r>
        <w:rPr>
          <w:rFonts w:ascii="宋体" w:hAnsi="宋体" w:eastAsia="宋体" w:cs="宋体"/>
          <w:spacing w:val="-2"/>
          <w:sz w:val="24"/>
          <w:szCs w:val="24"/>
        </w:rPr>
        <w:t>，使网口在水面以下深约</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50cm</w:t>
      </w:r>
    </w:p>
    <w:p>
      <w:pPr>
        <w:spacing w:before="184" w:line="360" w:lineRule="auto"/>
        <w:ind w:left="37" w:right="68" w:firstLine="6"/>
        <w:rPr>
          <w:rFonts w:ascii="宋体" w:hAnsi="宋体" w:eastAsia="宋体" w:cs="宋体"/>
          <w:sz w:val="24"/>
          <w:szCs w:val="24"/>
        </w:rPr>
      </w:pPr>
      <w:r>
        <w:rPr>
          <w:rFonts w:ascii="宋体" w:hAnsi="宋体" w:eastAsia="宋体" w:cs="宋体"/>
          <w:spacing w:val="-5"/>
          <w:sz w:val="24"/>
          <w:szCs w:val="24"/>
        </w:rPr>
        <w:t>处，做</w:t>
      </w:r>
      <w:r>
        <w:rPr>
          <w:rFonts w:ascii="Times New Roman" w:hAnsi="Times New Roman" w:eastAsia="Times New Roman" w:cs="Times New Roman"/>
          <w:spacing w:val="-5"/>
          <w:sz w:val="24"/>
          <w:szCs w:val="24"/>
        </w:rPr>
        <w:t>“∞”</w:t>
      </w:r>
      <w:r>
        <w:rPr>
          <w:rFonts w:ascii="宋体" w:hAnsi="宋体" w:eastAsia="宋体" w:cs="宋体"/>
          <w:spacing w:val="-5"/>
          <w:sz w:val="24"/>
          <w:szCs w:val="24"/>
        </w:rPr>
        <w:t>形反复拖曳，拖曳速度每秒约</w:t>
      </w:r>
      <w:r>
        <w:rPr>
          <w:rFonts w:ascii="宋体" w:hAnsi="宋体" w:eastAsia="宋体" w:cs="宋体"/>
          <w:spacing w:val="-64"/>
          <w:sz w:val="24"/>
          <w:szCs w:val="24"/>
        </w:rPr>
        <w:t xml:space="preserve"> </w:t>
      </w:r>
      <w:r>
        <w:rPr>
          <w:rFonts w:ascii="Times New Roman" w:hAnsi="Times New Roman" w:eastAsia="Times New Roman" w:cs="Times New Roman"/>
          <w:spacing w:val="-5"/>
          <w:sz w:val="24"/>
          <w:szCs w:val="24"/>
        </w:rPr>
        <w:t>20cm</w:t>
      </w:r>
      <w:r>
        <w:rPr>
          <w:rFonts w:ascii="宋体" w:hAnsi="宋体" w:eastAsia="宋体" w:cs="宋体"/>
          <w:spacing w:val="-5"/>
          <w:sz w:val="24"/>
          <w:szCs w:val="24"/>
        </w:rPr>
        <w:t>～</w:t>
      </w:r>
      <w:r>
        <w:rPr>
          <w:rFonts w:ascii="Times New Roman" w:hAnsi="Times New Roman" w:eastAsia="Times New Roman" w:cs="Times New Roman"/>
          <w:spacing w:val="-5"/>
          <w:sz w:val="24"/>
          <w:szCs w:val="24"/>
        </w:rPr>
        <w:t>30cm</w:t>
      </w:r>
      <w:r>
        <w:rPr>
          <w:rFonts w:ascii="宋体" w:hAnsi="宋体" w:eastAsia="宋体" w:cs="宋体"/>
          <w:spacing w:val="-5"/>
          <w:sz w:val="24"/>
          <w:szCs w:val="24"/>
        </w:rPr>
        <w:t>，时间为</w:t>
      </w:r>
      <w:r>
        <w:rPr>
          <w:rFonts w:ascii="宋体" w:hAnsi="宋体" w:eastAsia="宋体" w:cs="宋体"/>
          <w:spacing w:val="-60"/>
          <w:sz w:val="24"/>
          <w:szCs w:val="24"/>
        </w:rPr>
        <w:t xml:space="preserve"> </w:t>
      </w:r>
      <w:r>
        <w:rPr>
          <w:rFonts w:ascii="Times New Roman" w:hAnsi="Times New Roman" w:eastAsia="Times New Roman" w:cs="Times New Roman"/>
          <w:spacing w:val="-5"/>
          <w:sz w:val="24"/>
          <w:szCs w:val="24"/>
        </w:rPr>
        <w:t>3</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5 </w:t>
      </w:r>
      <w:r>
        <w:rPr>
          <w:rFonts w:ascii="宋体" w:hAnsi="宋体" w:eastAsia="宋体" w:cs="宋体"/>
          <w:spacing w:val="-6"/>
          <w:sz w:val="24"/>
          <w:szCs w:val="24"/>
        </w:rPr>
        <w:t>分钟。然后</w:t>
      </w:r>
      <w:r>
        <w:rPr>
          <w:rFonts w:ascii="宋体" w:hAnsi="宋体" w:eastAsia="宋体" w:cs="宋体"/>
          <w:sz w:val="24"/>
          <w:szCs w:val="24"/>
        </w:rPr>
        <w:t xml:space="preserve">  </w:t>
      </w:r>
      <w:r>
        <w:rPr>
          <w:rFonts w:ascii="宋体" w:hAnsi="宋体" w:eastAsia="宋体" w:cs="宋体"/>
          <w:spacing w:val="-8"/>
          <w:sz w:val="24"/>
          <w:szCs w:val="24"/>
        </w:rPr>
        <w:t>将网提起抖动，待水滤去后，打开集中杯，倒入贴有标签的标本瓶中。用</w:t>
      </w:r>
      <w:r>
        <w:rPr>
          <w:rFonts w:ascii="宋体" w:hAnsi="宋体" w:eastAsia="宋体" w:cs="宋体"/>
          <w:spacing w:val="-52"/>
          <w:sz w:val="24"/>
          <w:szCs w:val="24"/>
        </w:rPr>
        <w:t xml:space="preserve"> </w:t>
      </w:r>
      <w:r>
        <w:rPr>
          <w:rFonts w:ascii="Times New Roman" w:hAnsi="Times New Roman" w:eastAsia="Times New Roman" w:cs="Times New Roman"/>
          <w:spacing w:val="-8"/>
          <w:sz w:val="24"/>
          <w:szCs w:val="24"/>
        </w:rPr>
        <w:t>4%</w:t>
      </w:r>
      <w:r>
        <w:rPr>
          <w:rFonts w:ascii="宋体" w:hAnsi="宋体" w:eastAsia="宋体" w:cs="宋体"/>
          <w:spacing w:val="-8"/>
          <w:sz w:val="24"/>
          <w:szCs w:val="24"/>
        </w:rPr>
        <w:t>福尔</w:t>
      </w:r>
    </w:p>
    <w:p>
      <w:pPr>
        <w:spacing w:before="1" w:line="219" w:lineRule="auto"/>
        <w:ind w:left="46"/>
        <w:rPr>
          <w:rFonts w:ascii="宋体" w:hAnsi="宋体" w:eastAsia="宋体" w:cs="宋体"/>
          <w:sz w:val="24"/>
          <w:szCs w:val="24"/>
        </w:rPr>
      </w:pPr>
      <w:r>
        <w:rPr>
          <w:rFonts w:ascii="宋体" w:hAnsi="宋体" w:eastAsia="宋体" w:cs="宋体"/>
          <w:spacing w:val="-8"/>
          <w:sz w:val="24"/>
          <w:szCs w:val="24"/>
        </w:rPr>
        <w:t>马林溶液固定样品，进行属种鉴定。</w:t>
      </w:r>
    </w:p>
    <w:p>
      <w:pPr>
        <w:spacing w:line="219" w:lineRule="auto"/>
        <w:rPr>
          <w:rFonts w:ascii="宋体" w:hAnsi="宋体" w:eastAsia="宋体" w:cs="宋体"/>
          <w:sz w:val="24"/>
          <w:szCs w:val="24"/>
        </w:rPr>
        <w:sectPr>
          <w:headerReference r:id="rId312" w:type="default"/>
          <w:footerReference r:id="rId313" w:type="default"/>
          <w:pgSz w:w="11907" w:h="16839"/>
          <w:pgMar w:top="1156" w:right="1768" w:bottom="1374" w:left="1770" w:header="881" w:footer="1210" w:gutter="0"/>
        </w:sectPr>
      </w:pPr>
    </w:p>
    <w:p>
      <w:pPr>
        <w:spacing w:line="317" w:lineRule="auto"/>
        <w:rPr>
          <w:rFonts w:ascii="Arial"/>
          <w:sz w:val="21"/>
        </w:rPr>
      </w:pPr>
    </w:p>
    <w:p>
      <w:pPr>
        <w:spacing w:before="78" w:line="360" w:lineRule="auto"/>
        <w:ind w:left="38" w:right="75" w:firstLine="482"/>
        <w:rPr>
          <w:rFonts w:ascii="宋体" w:hAnsi="宋体" w:eastAsia="宋体" w:cs="宋体"/>
          <w:sz w:val="24"/>
          <w:szCs w:val="24"/>
        </w:rPr>
      </w:pPr>
      <w:r>
        <w:rPr>
          <w:rFonts w:ascii="宋体" w:hAnsi="宋体" w:eastAsia="宋体" w:cs="宋体"/>
          <w:spacing w:val="-1"/>
          <w:sz w:val="24"/>
          <w:szCs w:val="24"/>
        </w:rPr>
        <w:t>浮游植物的定量计算采用显微镜视野法进行计数，用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0.1ml </w:t>
      </w:r>
      <w:r>
        <w:rPr>
          <w:rFonts w:ascii="宋体" w:hAnsi="宋体" w:eastAsia="宋体" w:cs="宋体"/>
          <w:spacing w:val="-1"/>
          <w:sz w:val="24"/>
          <w:szCs w:val="24"/>
        </w:rPr>
        <w:t>计数框，面积</w:t>
      </w:r>
      <w:r>
        <w:rPr>
          <w:rFonts w:ascii="宋体" w:hAnsi="宋体" w:eastAsia="宋体" w:cs="宋体"/>
          <w:sz w:val="24"/>
          <w:szCs w:val="24"/>
        </w:rPr>
        <w:t xml:space="preserve">  </w:t>
      </w:r>
      <w:r>
        <w:rPr>
          <w:rFonts w:ascii="宋体" w:hAnsi="宋体" w:eastAsia="宋体" w:cs="宋体"/>
          <w:spacing w:val="-1"/>
          <w:sz w:val="24"/>
          <w:szCs w:val="24"/>
        </w:rPr>
        <w:t>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20mm×20mm</w:t>
      </w:r>
      <w:r>
        <w:rPr>
          <w:rFonts w:ascii="宋体" w:hAnsi="宋体" w:eastAsia="宋体" w:cs="宋体"/>
          <w:spacing w:val="-1"/>
          <w:sz w:val="24"/>
          <w:szCs w:val="24"/>
        </w:rPr>
        <w:t>，计数时将样品摇匀，用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0.1ml</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吸管在样品中央部位吸出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 xml:space="preserve">0.1ml </w:t>
      </w:r>
      <w:r>
        <w:rPr>
          <w:rFonts w:ascii="宋体" w:hAnsi="宋体" w:eastAsia="宋体" w:cs="宋体"/>
          <w:sz w:val="24"/>
          <w:szCs w:val="24"/>
        </w:rPr>
        <w:t>样品注入计数框内，盖上盖玻片，然后在</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200</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倍放大倍数下的显微镜视野面积</w:t>
      </w:r>
      <w:r>
        <w:rPr>
          <w:rFonts w:ascii="宋体" w:hAnsi="宋体" w:eastAsia="宋体" w:cs="宋体"/>
          <w:sz w:val="24"/>
          <w:szCs w:val="24"/>
        </w:rPr>
        <w:t xml:space="preserve">  </w:t>
      </w:r>
      <w:r>
        <w:rPr>
          <w:rFonts w:ascii="宋体" w:hAnsi="宋体" w:eastAsia="宋体" w:cs="宋体"/>
          <w:spacing w:val="-2"/>
          <w:sz w:val="24"/>
          <w:szCs w:val="24"/>
        </w:rPr>
        <w:t>计数浮游植物细胞数，每片计数</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 xml:space="preserve">100 </w:t>
      </w:r>
      <w:r>
        <w:rPr>
          <w:rFonts w:ascii="宋体" w:hAnsi="宋体" w:eastAsia="宋体" w:cs="宋体"/>
          <w:spacing w:val="-2"/>
          <w:sz w:val="24"/>
          <w:szCs w:val="24"/>
        </w:rPr>
        <w:t>个视野，每个样品计数</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次</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片</w:t>
      </w:r>
      <w:r>
        <w:rPr>
          <w:rFonts w:ascii="Times New Roman" w:hAnsi="Times New Roman" w:eastAsia="Times New Roman" w:cs="Times New Roman"/>
          <w:spacing w:val="-2"/>
          <w:sz w:val="24"/>
          <w:szCs w:val="24"/>
        </w:rPr>
        <w:t>)</w:t>
      </w:r>
      <w:r>
        <w:rPr>
          <w:rFonts w:ascii="宋体" w:hAnsi="宋体" w:eastAsia="宋体" w:cs="宋体"/>
          <w:spacing w:val="-2"/>
          <w:sz w:val="24"/>
          <w:szCs w:val="24"/>
        </w:rPr>
        <w:t>取其平均</w:t>
      </w:r>
    </w:p>
    <w:p>
      <w:pPr>
        <w:spacing w:line="219" w:lineRule="auto"/>
        <w:ind w:left="39"/>
        <w:rPr>
          <w:rFonts w:ascii="宋体" w:hAnsi="宋体" w:eastAsia="宋体" w:cs="宋体"/>
          <w:sz w:val="24"/>
          <w:szCs w:val="24"/>
        </w:rPr>
      </w:pPr>
      <w:r>
        <w:rPr>
          <w:rFonts w:ascii="宋体" w:hAnsi="宋体" w:eastAsia="宋体" w:cs="宋体"/>
          <w:spacing w:val="-11"/>
          <w:sz w:val="24"/>
          <w:szCs w:val="24"/>
        </w:rPr>
        <w:t>值。</w:t>
      </w:r>
    </w:p>
    <w:p>
      <w:pPr>
        <w:spacing w:before="182" w:line="360" w:lineRule="auto"/>
        <w:ind w:left="41" w:right="53" w:firstLine="480"/>
        <w:rPr>
          <w:rFonts w:ascii="宋体" w:hAnsi="宋体" w:eastAsia="宋体" w:cs="宋体"/>
          <w:sz w:val="24"/>
          <w:szCs w:val="24"/>
        </w:rPr>
      </w:pPr>
      <w:r>
        <w:rPr>
          <w:rFonts w:ascii="宋体" w:hAnsi="宋体" w:eastAsia="宋体" w:cs="宋体"/>
          <w:spacing w:val="-3"/>
          <w:sz w:val="24"/>
          <w:szCs w:val="24"/>
        </w:rPr>
        <w:t>用</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0.025m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32"/>
          <w:position w:val="8"/>
          <w:sz w:val="15"/>
          <w:szCs w:val="15"/>
        </w:rPr>
        <w:t xml:space="preserve"> </w:t>
      </w:r>
      <w:r>
        <w:rPr>
          <w:rFonts w:ascii="宋体" w:hAnsi="宋体" w:eastAsia="宋体" w:cs="宋体"/>
          <w:spacing w:val="-3"/>
          <w:sz w:val="24"/>
          <w:szCs w:val="24"/>
        </w:rPr>
        <w:t>的改良式彼得生采泥器采集底泥，经</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40</w:t>
      </w:r>
      <w:r>
        <w:rPr>
          <w:rFonts w:ascii="Times New Roman" w:hAnsi="Times New Roman" w:eastAsia="Times New Roman" w:cs="Times New Roman"/>
          <w:spacing w:val="55"/>
          <w:sz w:val="24"/>
          <w:szCs w:val="24"/>
        </w:rPr>
        <w:t xml:space="preserve"> </w:t>
      </w:r>
      <w:r>
        <w:rPr>
          <w:rFonts w:ascii="宋体" w:hAnsi="宋体" w:eastAsia="宋体" w:cs="宋体"/>
          <w:spacing w:val="-3"/>
          <w:sz w:val="24"/>
          <w:szCs w:val="24"/>
        </w:rPr>
        <w:t>目</w:t>
      </w:r>
      <w:r>
        <w:rPr>
          <w:rFonts w:ascii="Times New Roman" w:hAnsi="Times New Roman" w:eastAsia="Times New Roman" w:cs="Times New Roman"/>
          <w:spacing w:val="-3"/>
          <w:sz w:val="24"/>
          <w:szCs w:val="24"/>
        </w:rPr>
        <w:t>(</w:t>
      </w:r>
      <w:r>
        <w:rPr>
          <w:rFonts w:ascii="宋体" w:hAnsi="宋体" w:eastAsia="宋体" w:cs="宋体"/>
          <w:spacing w:val="-3"/>
          <w:sz w:val="24"/>
          <w:szCs w:val="24"/>
        </w:rPr>
        <w:t>孔径为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0.45mm)</w:t>
      </w:r>
      <w:r>
        <w:rPr>
          <w:rFonts w:ascii="宋体" w:hAnsi="宋体" w:eastAsia="宋体" w:cs="宋体"/>
          <w:spacing w:val="-3"/>
          <w:sz w:val="24"/>
          <w:szCs w:val="24"/>
        </w:rPr>
        <w:t>筛过</w:t>
      </w:r>
      <w:r>
        <w:rPr>
          <w:rFonts w:ascii="宋体" w:hAnsi="宋体" w:eastAsia="宋体" w:cs="宋体"/>
          <w:sz w:val="24"/>
          <w:szCs w:val="24"/>
        </w:rPr>
        <w:t xml:space="preserve"> </w:t>
      </w:r>
      <w:r>
        <w:rPr>
          <w:rFonts w:ascii="宋体" w:hAnsi="宋体" w:eastAsia="宋体" w:cs="宋体"/>
          <w:spacing w:val="-1"/>
          <w:sz w:val="24"/>
          <w:szCs w:val="24"/>
        </w:rPr>
        <w:t>滤，挑选筛上底栖动物，用</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75%(</w:t>
      </w:r>
      <w:r>
        <w:rPr>
          <w:rFonts w:ascii="宋体" w:hAnsi="宋体" w:eastAsia="宋体" w:cs="宋体"/>
          <w:spacing w:val="-1"/>
          <w:sz w:val="24"/>
          <w:szCs w:val="24"/>
        </w:rPr>
        <w:t>体积分数</w:t>
      </w:r>
      <w:r>
        <w:rPr>
          <w:rFonts w:ascii="Times New Roman" w:hAnsi="Times New Roman" w:eastAsia="Times New Roman" w:cs="Times New Roman"/>
          <w:spacing w:val="-1"/>
          <w:sz w:val="24"/>
          <w:szCs w:val="24"/>
        </w:rPr>
        <w:t>)</w:t>
      </w:r>
      <w:r>
        <w:rPr>
          <w:rFonts w:ascii="宋体" w:hAnsi="宋体" w:eastAsia="宋体" w:cs="宋体"/>
          <w:spacing w:val="-1"/>
          <w:sz w:val="24"/>
          <w:szCs w:val="24"/>
        </w:rPr>
        <w:t>酒精固定，带回实验室进行计数和</w:t>
      </w:r>
    </w:p>
    <w:p>
      <w:pPr>
        <w:spacing w:before="1" w:line="218" w:lineRule="auto"/>
        <w:ind w:left="67"/>
        <w:rPr>
          <w:rFonts w:ascii="宋体" w:hAnsi="宋体" w:eastAsia="宋体" w:cs="宋体"/>
          <w:sz w:val="24"/>
          <w:szCs w:val="24"/>
        </w:rPr>
      </w:pPr>
      <w:r>
        <w:rPr>
          <w:rFonts w:ascii="宋体" w:hAnsi="宋体" w:eastAsia="宋体" w:cs="宋体"/>
          <w:spacing w:val="-1"/>
          <w:sz w:val="24"/>
          <w:szCs w:val="24"/>
        </w:rPr>
        <w:t>电了天平称重。根据采样器开口面积推算出水底每平方米内的</w:t>
      </w:r>
      <w:r>
        <w:rPr>
          <w:rFonts w:ascii="宋体" w:hAnsi="宋体" w:eastAsia="宋体" w:cs="宋体"/>
          <w:spacing w:val="-2"/>
          <w:sz w:val="24"/>
          <w:szCs w:val="24"/>
        </w:rPr>
        <w:t>底栖动物数量</w:t>
      </w:r>
    </w:p>
    <w:p>
      <w:pPr>
        <w:spacing w:before="183" w:line="468" w:lineRule="exact"/>
        <w:ind w:left="39"/>
        <w:rPr>
          <w:rFonts w:ascii="宋体" w:hAnsi="宋体" w:eastAsia="宋体" w:cs="宋体"/>
          <w:sz w:val="24"/>
          <w:szCs w:val="24"/>
        </w:rPr>
      </w:pP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个</w:t>
      </w:r>
      <w:r>
        <w:rPr>
          <w:rFonts w:ascii="Times New Roman" w:hAnsi="Times New Roman" w:eastAsia="Times New Roman" w:cs="Times New Roman"/>
          <w:spacing w:val="-1"/>
          <w:position w:val="17"/>
          <w:sz w:val="24"/>
          <w:szCs w:val="24"/>
        </w:rPr>
        <w:t>)</w:t>
      </w:r>
      <w:r>
        <w:rPr>
          <w:rFonts w:ascii="宋体" w:hAnsi="宋体" w:eastAsia="宋体" w:cs="宋体"/>
          <w:spacing w:val="-1"/>
          <w:position w:val="17"/>
          <w:sz w:val="24"/>
          <w:szCs w:val="24"/>
        </w:rPr>
        <w:t>和生物量</w:t>
      </w:r>
      <w:r>
        <w:rPr>
          <w:rFonts w:ascii="Times New Roman" w:hAnsi="Times New Roman" w:eastAsia="Times New Roman" w:cs="Times New Roman"/>
          <w:spacing w:val="-1"/>
          <w:position w:val="17"/>
          <w:sz w:val="24"/>
          <w:szCs w:val="24"/>
        </w:rPr>
        <w:t>(mg)</w:t>
      </w:r>
      <w:r>
        <w:rPr>
          <w:rFonts w:ascii="宋体" w:hAnsi="宋体" w:eastAsia="宋体" w:cs="宋体"/>
          <w:spacing w:val="-1"/>
          <w:position w:val="17"/>
          <w:sz w:val="24"/>
          <w:szCs w:val="24"/>
        </w:rPr>
        <w:t>，底栖动物鉴定要借助解剖镜和显微镜进行，部分小型底栖</w:t>
      </w:r>
    </w:p>
    <w:p>
      <w:pPr>
        <w:spacing w:line="212" w:lineRule="auto"/>
        <w:ind w:left="40"/>
        <w:rPr>
          <w:rFonts w:ascii="宋体" w:hAnsi="宋体" w:eastAsia="宋体" w:cs="宋体"/>
          <w:sz w:val="24"/>
          <w:szCs w:val="24"/>
        </w:rPr>
      </w:pPr>
      <w:r>
        <w:rPr>
          <w:rFonts w:ascii="宋体" w:hAnsi="宋体" w:eastAsia="宋体" w:cs="宋体"/>
          <w:spacing w:val="-2"/>
          <w:sz w:val="24"/>
          <w:szCs w:val="24"/>
        </w:rPr>
        <w:t>动物用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puris </w:t>
      </w:r>
      <w:r>
        <w:rPr>
          <w:rFonts w:ascii="宋体" w:hAnsi="宋体" w:eastAsia="宋体" w:cs="宋体"/>
          <w:spacing w:val="-2"/>
          <w:sz w:val="24"/>
          <w:szCs w:val="24"/>
        </w:rPr>
        <w:t>胶封片，经透明后再进行鉴定。</w:t>
      </w:r>
    </w:p>
    <w:p>
      <w:pPr>
        <w:spacing w:before="193" w:line="360" w:lineRule="auto"/>
        <w:ind w:left="39" w:right="176" w:firstLine="503"/>
        <w:rPr>
          <w:rFonts w:ascii="宋体" w:hAnsi="宋体" w:eastAsia="宋体" w:cs="宋体"/>
          <w:sz w:val="24"/>
          <w:szCs w:val="24"/>
        </w:rPr>
      </w:pPr>
      <w:r>
        <w:rPr>
          <w:rFonts w:ascii="宋体" w:hAnsi="宋体" w:eastAsia="宋体" w:cs="宋体"/>
          <w:spacing w:val="-1"/>
          <w:sz w:val="24"/>
          <w:szCs w:val="24"/>
        </w:rPr>
        <w:t>同时在评价区涉及的桂花河、罗子左河、碧么水库和拟建桂花水库坝</w:t>
      </w:r>
      <w:r>
        <w:rPr>
          <w:rFonts w:ascii="宋体" w:hAnsi="宋体" w:eastAsia="宋体" w:cs="宋体"/>
          <w:spacing w:val="-2"/>
          <w:sz w:val="24"/>
          <w:szCs w:val="24"/>
        </w:rPr>
        <w:t>址区</w:t>
      </w:r>
      <w:r>
        <w:rPr>
          <w:rFonts w:ascii="宋体" w:hAnsi="宋体" w:eastAsia="宋体" w:cs="宋体"/>
          <w:sz w:val="24"/>
          <w:szCs w:val="24"/>
        </w:rPr>
        <w:t xml:space="preserve"> </w:t>
      </w:r>
      <w:r>
        <w:rPr>
          <w:rFonts w:ascii="宋体" w:hAnsi="宋体" w:eastAsia="宋体" w:cs="宋体"/>
          <w:spacing w:val="-6"/>
          <w:sz w:val="24"/>
          <w:szCs w:val="24"/>
        </w:rPr>
        <w:t>的</w:t>
      </w:r>
      <w:r>
        <w:rPr>
          <w:rFonts w:ascii="宋体" w:hAnsi="宋体" w:eastAsia="宋体" w:cs="宋体"/>
          <w:spacing w:val="-53"/>
          <w:sz w:val="24"/>
          <w:szCs w:val="24"/>
        </w:rPr>
        <w:t xml:space="preserve"> </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个工作点进行访问、采集调查。</w:t>
      </w:r>
      <w:r>
        <w:rPr>
          <w:rFonts w:ascii="宋体" w:hAnsi="宋体" w:eastAsia="宋体" w:cs="宋体"/>
          <w:spacing w:val="73"/>
          <w:sz w:val="24"/>
          <w:szCs w:val="24"/>
        </w:rPr>
        <w:t xml:space="preserve"> </w:t>
      </w:r>
      <w:r>
        <w:rPr>
          <w:rFonts w:ascii="宋体" w:hAnsi="宋体" w:eastAsia="宋体" w:cs="宋体"/>
          <w:spacing w:val="-6"/>
          <w:sz w:val="24"/>
          <w:szCs w:val="24"/>
        </w:rPr>
        <w:t>由于调查时处于禁渔期，无法采集鱼类标</w:t>
      </w:r>
      <w:r>
        <w:rPr>
          <w:rFonts w:ascii="宋体" w:hAnsi="宋体" w:eastAsia="宋体" w:cs="宋体"/>
          <w:sz w:val="24"/>
          <w:szCs w:val="24"/>
        </w:rPr>
        <w:t xml:space="preserve"> </w:t>
      </w:r>
      <w:r>
        <w:rPr>
          <w:rFonts w:ascii="宋体" w:hAnsi="宋体" w:eastAsia="宋体" w:cs="宋体"/>
          <w:spacing w:val="-3"/>
          <w:sz w:val="24"/>
          <w:szCs w:val="24"/>
        </w:rPr>
        <w:t>本，</w:t>
      </w:r>
      <w:r>
        <w:rPr>
          <w:rFonts w:ascii="宋体" w:hAnsi="宋体" w:eastAsia="宋体" w:cs="宋体"/>
          <w:spacing w:val="-26"/>
          <w:sz w:val="24"/>
          <w:szCs w:val="24"/>
        </w:rPr>
        <w:t xml:space="preserve"> </w:t>
      </w:r>
      <w:r>
        <w:rPr>
          <w:rFonts w:ascii="宋体" w:hAnsi="宋体" w:eastAsia="宋体" w:cs="宋体"/>
          <w:spacing w:val="-3"/>
          <w:sz w:val="24"/>
          <w:szCs w:val="24"/>
        </w:rPr>
        <w:t>是以鱼类信息通过访查和资料调查而获得</w:t>
      </w:r>
      <w:r>
        <w:rPr>
          <w:rFonts w:ascii="宋体" w:hAnsi="宋体" w:eastAsia="宋体" w:cs="宋体"/>
          <w:spacing w:val="-4"/>
          <w:sz w:val="24"/>
          <w:szCs w:val="24"/>
        </w:rPr>
        <w:t>。记录采样水域的环境特点，包</w:t>
      </w:r>
      <w:r>
        <w:rPr>
          <w:rFonts w:ascii="宋体" w:hAnsi="宋体" w:eastAsia="宋体" w:cs="宋体"/>
          <w:sz w:val="24"/>
          <w:szCs w:val="24"/>
        </w:rPr>
        <w:t xml:space="preserve"> 括两岸土地利用类型、植被类型、水面宽度、水深、</w:t>
      </w:r>
      <w:r>
        <w:rPr>
          <w:rFonts w:ascii="宋体" w:hAnsi="宋体" w:eastAsia="宋体" w:cs="宋体"/>
          <w:spacing w:val="-1"/>
          <w:sz w:val="24"/>
          <w:szCs w:val="24"/>
        </w:rPr>
        <w:t>河底基质类型、水质状况</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等。对调查地区的村民进行走访，了解鱼类的种类与分布情况。</w:t>
      </w:r>
    </w:p>
    <w:p>
      <w:pPr>
        <w:spacing w:before="217" w:line="217" w:lineRule="auto"/>
        <w:ind w:left="517"/>
        <w:rPr>
          <w:rFonts w:ascii="宋体" w:hAnsi="宋体" w:eastAsia="宋体" w:cs="宋体"/>
          <w:sz w:val="24"/>
          <w:szCs w:val="24"/>
        </w:rPr>
      </w:pPr>
      <w:r>
        <w:rPr>
          <w:rFonts w:ascii="宋体" w:hAnsi="宋体" w:eastAsia="宋体" w:cs="宋体"/>
          <w:spacing w:val="-1"/>
          <w:sz w:val="24"/>
          <w:szCs w:val="24"/>
        </w:rPr>
        <w:t>②浮游植物现状及评价</w:t>
      </w:r>
    </w:p>
    <w:p>
      <w:pPr>
        <w:spacing w:before="156"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浮游植物的种类组成和分布</w:t>
      </w:r>
    </w:p>
    <w:p>
      <w:pPr>
        <w:spacing w:before="141" w:line="338" w:lineRule="auto"/>
        <w:ind w:left="42" w:right="29" w:firstLine="477"/>
        <w:rPr>
          <w:rFonts w:ascii="宋体" w:hAnsi="宋体" w:eastAsia="宋体" w:cs="宋体"/>
          <w:sz w:val="24"/>
          <w:szCs w:val="24"/>
        </w:rPr>
      </w:pPr>
      <w:r>
        <w:rPr>
          <w:rFonts w:ascii="宋体" w:hAnsi="宋体" w:eastAsia="宋体" w:cs="宋体"/>
          <w:spacing w:val="-5"/>
          <w:sz w:val="24"/>
          <w:szCs w:val="24"/>
        </w:rPr>
        <w:t>通过对</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个浮游植物定性样品的室内镜检，共检出浮游植物</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pacing w:val="40"/>
          <w:sz w:val="24"/>
          <w:szCs w:val="24"/>
        </w:rPr>
        <w:t xml:space="preserve"> </w:t>
      </w:r>
      <w:r>
        <w:rPr>
          <w:rFonts w:ascii="宋体" w:hAnsi="宋体" w:eastAsia="宋体" w:cs="宋体"/>
          <w:spacing w:val="-5"/>
          <w:sz w:val="24"/>
          <w:szCs w:val="24"/>
        </w:rPr>
        <w:t>门</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纲</w:t>
      </w:r>
      <w:r>
        <w:rPr>
          <w:rFonts w:ascii="宋体" w:hAnsi="宋体" w:eastAsia="宋体" w:cs="宋体"/>
          <w:spacing w:val="-29"/>
          <w:sz w:val="24"/>
          <w:szCs w:val="24"/>
        </w:rPr>
        <w:t xml:space="preserve"> </w:t>
      </w:r>
      <w:r>
        <w:rPr>
          <w:rFonts w:ascii="Times New Roman" w:hAnsi="Times New Roman" w:eastAsia="Times New Roman" w:cs="Times New Roman"/>
          <w:spacing w:val="-5"/>
          <w:sz w:val="24"/>
          <w:szCs w:val="24"/>
        </w:rPr>
        <w:t xml:space="preserve">13  </w:t>
      </w:r>
      <w:r>
        <w:rPr>
          <w:rFonts w:ascii="宋体" w:hAnsi="宋体" w:eastAsia="宋体" w:cs="宋体"/>
          <w:spacing w:val="-5"/>
          <w:sz w:val="24"/>
          <w:szCs w:val="24"/>
        </w:rPr>
        <w:t>目</w:t>
      </w:r>
      <w:r>
        <w:rPr>
          <w:rFonts w:ascii="宋体" w:hAnsi="宋体" w:eastAsia="宋体" w:cs="宋体"/>
          <w:sz w:val="24"/>
          <w:szCs w:val="24"/>
        </w:rPr>
        <w:t xml:space="preserve"> </w:t>
      </w:r>
      <w:r>
        <w:rPr>
          <w:rFonts w:ascii="Times New Roman" w:hAnsi="Times New Roman" w:eastAsia="Times New Roman" w:cs="Times New Roman"/>
          <w:spacing w:val="-10"/>
          <w:sz w:val="24"/>
          <w:szCs w:val="24"/>
        </w:rPr>
        <w:t xml:space="preserve">18 </w:t>
      </w:r>
      <w:r>
        <w:rPr>
          <w:rFonts w:ascii="宋体" w:hAnsi="宋体" w:eastAsia="宋体" w:cs="宋体"/>
          <w:spacing w:val="-10"/>
          <w:sz w:val="24"/>
          <w:szCs w:val="24"/>
        </w:rPr>
        <w:t>科</w:t>
      </w:r>
      <w:r>
        <w:rPr>
          <w:rFonts w:ascii="宋体" w:hAnsi="宋体" w:eastAsia="宋体" w:cs="宋体"/>
          <w:spacing w:val="-40"/>
          <w:sz w:val="24"/>
          <w:szCs w:val="24"/>
        </w:rPr>
        <w:t xml:space="preserve"> </w:t>
      </w:r>
      <w:r>
        <w:rPr>
          <w:rFonts w:ascii="Times New Roman" w:hAnsi="Times New Roman" w:eastAsia="Times New Roman" w:cs="Times New Roman"/>
          <w:spacing w:val="-10"/>
          <w:sz w:val="24"/>
          <w:szCs w:val="24"/>
        </w:rPr>
        <w:t>23</w:t>
      </w:r>
      <w:r>
        <w:rPr>
          <w:rFonts w:ascii="Times New Roman" w:hAnsi="Times New Roman" w:eastAsia="Times New Roman" w:cs="Times New Roman"/>
          <w:spacing w:val="11"/>
          <w:sz w:val="24"/>
          <w:szCs w:val="24"/>
        </w:rPr>
        <w:t xml:space="preserve"> </w:t>
      </w:r>
      <w:r>
        <w:rPr>
          <w:rFonts w:ascii="宋体" w:hAnsi="宋体" w:eastAsia="宋体" w:cs="宋体"/>
          <w:spacing w:val="-10"/>
          <w:sz w:val="24"/>
          <w:szCs w:val="24"/>
        </w:rPr>
        <w:t>属</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 xml:space="preserve">41 </w:t>
      </w:r>
      <w:r>
        <w:rPr>
          <w:rFonts w:ascii="宋体" w:hAnsi="宋体" w:eastAsia="宋体" w:cs="宋体"/>
          <w:spacing w:val="-10"/>
          <w:sz w:val="24"/>
          <w:szCs w:val="24"/>
        </w:rPr>
        <w:t>种。其中蓝藻门</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 xml:space="preserve">3 </w:t>
      </w:r>
      <w:r>
        <w:rPr>
          <w:rFonts w:ascii="宋体" w:hAnsi="宋体" w:eastAsia="宋体" w:cs="宋体"/>
          <w:spacing w:val="-10"/>
          <w:sz w:val="24"/>
          <w:szCs w:val="24"/>
        </w:rPr>
        <w:t>种， 占检出总种数的</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7.32%</w:t>
      </w:r>
      <w:r>
        <w:rPr>
          <w:rFonts w:ascii="宋体" w:hAnsi="宋体" w:eastAsia="宋体" w:cs="宋体"/>
          <w:spacing w:val="-10"/>
          <w:sz w:val="24"/>
          <w:szCs w:val="24"/>
        </w:rPr>
        <w:t>；金藻门</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种， 占检</w:t>
      </w:r>
      <w:r>
        <w:rPr>
          <w:rFonts w:ascii="宋体" w:hAnsi="宋体" w:eastAsia="宋体" w:cs="宋体"/>
          <w:sz w:val="24"/>
          <w:szCs w:val="24"/>
        </w:rPr>
        <w:t xml:space="preserve"> </w:t>
      </w:r>
      <w:r>
        <w:rPr>
          <w:rFonts w:ascii="宋体" w:hAnsi="宋体" w:eastAsia="宋体" w:cs="宋体"/>
          <w:spacing w:val="-7"/>
          <w:sz w:val="24"/>
          <w:szCs w:val="24"/>
        </w:rPr>
        <w:t>出总种数的</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2.44%</w:t>
      </w:r>
      <w:r>
        <w:rPr>
          <w:rFonts w:ascii="宋体" w:hAnsi="宋体" w:eastAsia="宋体" w:cs="宋体"/>
          <w:spacing w:val="-7"/>
          <w:sz w:val="24"/>
          <w:szCs w:val="24"/>
        </w:rPr>
        <w:t>；硅藻门</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17 </w:t>
      </w:r>
      <w:r>
        <w:rPr>
          <w:rFonts w:ascii="宋体" w:hAnsi="宋体" w:eastAsia="宋体" w:cs="宋体"/>
          <w:spacing w:val="-7"/>
          <w:sz w:val="24"/>
          <w:szCs w:val="24"/>
        </w:rPr>
        <w:t>种， 占检出总种数的</w:t>
      </w:r>
      <w:r>
        <w:rPr>
          <w:rFonts w:ascii="宋体" w:hAnsi="宋体" w:eastAsia="宋体" w:cs="宋体"/>
          <w:spacing w:val="-57"/>
          <w:sz w:val="24"/>
          <w:szCs w:val="24"/>
        </w:rPr>
        <w:t xml:space="preserve"> </w:t>
      </w:r>
      <w:r>
        <w:rPr>
          <w:rFonts w:ascii="Times New Roman" w:hAnsi="Times New Roman" w:eastAsia="Times New Roman" w:cs="Times New Roman"/>
          <w:spacing w:val="-7"/>
          <w:sz w:val="24"/>
          <w:szCs w:val="24"/>
        </w:rPr>
        <w:t>41.46%</w:t>
      </w:r>
      <w:r>
        <w:rPr>
          <w:rFonts w:ascii="宋体" w:hAnsi="宋体" w:eastAsia="宋体" w:cs="宋体"/>
          <w:spacing w:val="-7"/>
          <w:sz w:val="24"/>
          <w:szCs w:val="24"/>
        </w:rPr>
        <w:t>；隐藻门</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 xml:space="preserve">2 </w:t>
      </w:r>
      <w:r>
        <w:rPr>
          <w:rFonts w:ascii="宋体" w:hAnsi="宋体" w:eastAsia="宋体" w:cs="宋体"/>
          <w:spacing w:val="-7"/>
          <w:sz w:val="24"/>
          <w:szCs w:val="24"/>
        </w:rPr>
        <w:t>种， 占检</w:t>
      </w:r>
      <w:r>
        <w:rPr>
          <w:rFonts w:ascii="宋体" w:hAnsi="宋体" w:eastAsia="宋体" w:cs="宋体"/>
          <w:sz w:val="24"/>
          <w:szCs w:val="24"/>
        </w:rPr>
        <w:t xml:space="preserve"> </w:t>
      </w:r>
      <w:r>
        <w:rPr>
          <w:rFonts w:ascii="宋体" w:hAnsi="宋体" w:eastAsia="宋体" w:cs="宋体"/>
          <w:spacing w:val="-10"/>
          <w:sz w:val="24"/>
          <w:szCs w:val="24"/>
        </w:rPr>
        <w:t>出总种数的</w:t>
      </w:r>
      <w:r>
        <w:rPr>
          <w:rFonts w:ascii="宋体" w:hAnsi="宋体" w:eastAsia="宋体" w:cs="宋体"/>
          <w:spacing w:val="-56"/>
          <w:sz w:val="24"/>
          <w:szCs w:val="24"/>
        </w:rPr>
        <w:t xml:space="preserve"> </w:t>
      </w:r>
      <w:r>
        <w:rPr>
          <w:rFonts w:ascii="Times New Roman" w:hAnsi="Times New Roman" w:eastAsia="Times New Roman" w:cs="Times New Roman"/>
          <w:spacing w:val="-10"/>
          <w:sz w:val="24"/>
          <w:szCs w:val="24"/>
        </w:rPr>
        <w:t>4.88%</w:t>
      </w:r>
      <w:r>
        <w:rPr>
          <w:rFonts w:ascii="宋体" w:hAnsi="宋体" w:eastAsia="宋体" w:cs="宋体"/>
          <w:spacing w:val="-10"/>
          <w:sz w:val="24"/>
          <w:szCs w:val="24"/>
        </w:rPr>
        <w:t>；甲藻门</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 xml:space="preserve">1 </w:t>
      </w:r>
      <w:r>
        <w:rPr>
          <w:rFonts w:ascii="宋体" w:hAnsi="宋体" w:eastAsia="宋体" w:cs="宋体"/>
          <w:spacing w:val="-10"/>
          <w:sz w:val="24"/>
          <w:szCs w:val="24"/>
        </w:rPr>
        <w:t>种， 占检出总种数的</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2.44%</w:t>
      </w:r>
      <w:r>
        <w:rPr>
          <w:rFonts w:ascii="宋体" w:hAnsi="宋体" w:eastAsia="宋体" w:cs="宋体"/>
          <w:spacing w:val="-10"/>
          <w:sz w:val="24"/>
          <w:szCs w:val="24"/>
        </w:rPr>
        <w:t>；</w:t>
      </w:r>
      <w:r>
        <w:rPr>
          <w:rFonts w:ascii="宋体" w:hAnsi="宋体" w:eastAsia="宋体" w:cs="宋体"/>
          <w:spacing w:val="-11"/>
          <w:sz w:val="24"/>
          <w:szCs w:val="24"/>
        </w:rPr>
        <w:t>绿藻门</w:t>
      </w:r>
      <w:r>
        <w:rPr>
          <w:rFonts w:ascii="宋体" w:hAnsi="宋体" w:eastAsia="宋体" w:cs="宋体"/>
          <w:spacing w:val="-31"/>
          <w:sz w:val="24"/>
          <w:szCs w:val="24"/>
        </w:rPr>
        <w:t xml:space="preserve"> </w:t>
      </w:r>
      <w:r>
        <w:rPr>
          <w:rFonts w:ascii="Times New Roman" w:hAnsi="Times New Roman" w:eastAsia="Times New Roman" w:cs="Times New Roman"/>
          <w:spacing w:val="-11"/>
          <w:sz w:val="24"/>
          <w:szCs w:val="24"/>
        </w:rPr>
        <w:t xml:space="preserve">17 </w:t>
      </w:r>
      <w:r>
        <w:rPr>
          <w:rFonts w:ascii="宋体" w:hAnsi="宋体" w:eastAsia="宋体" w:cs="宋体"/>
          <w:spacing w:val="-11"/>
          <w:sz w:val="24"/>
          <w:szCs w:val="24"/>
        </w:rPr>
        <w:t>种， 占检出</w:t>
      </w:r>
      <w:r>
        <w:rPr>
          <w:rFonts w:ascii="宋体" w:hAnsi="宋体" w:eastAsia="宋体" w:cs="宋体"/>
          <w:sz w:val="24"/>
          <w:szCs w:val="24"/>
        </w:rPr>
        <w:t xml:space="preserve"> 总种数的 </w:t>
      </w:r>
      <w:r>
        <w:rPr>
          <w:rFonts w:ascii="Times New Roman" w:hAnsi="Times New Roman" w:eastAsia="Times New Roman" w:cs="Times New Roman"/>
          <w:sz w:val="24"/>
          <w:szCs w:val="24"/>
        </w:rPr>
        <w:t>41.46%</w:t>
      </w:r>
      <w:r>
        <w:rPr>
          <w:rFonts w:ascii="宋体" w:hAnsi="宋体" w:eastAsia="宋体" w:cs="宋体"/>
          <w:sz w:val="24"/>
          <w:szCs w:val="24"/>
        </w:rPr>
        <w:t>。从各门的种类数量和所占比例看，浮游</w:t>
      </w:r>
      <w:r>
        <w:rPr>
          <w:rFonts w:ascii="宋体" w:hAnsi="宋体" w:eastAsia="宋体" w:cs="宋体"/>
          <w:spacing w:val="-1"/>
          <w:sz w:val="24"/>
          <w:szCs w:val="24"/>
        </w:rPr>
        <w:t>植物以硅藻门和绿藻</w:t>
      </w:r>
      <w:r>
        <w:rPr>
          <w:rFonts w:ascii="宋体" w:hAnsi="宋体" w:eastAsia="宋体" w:cs="宋体"/>
          <w:sz w:val="24"/>
          <w:szCs w:val="24"/>
        </w:rPr>
        <w:t xml:space="preserve"> </w:t>
      </w:r>
      <w:r>
        <w:rPr>
          <w:rFonts w:ascii="宋体" w:hAnsi="宋体" w:eastAsia="宋体" w:cs="宋体"/>
          <w:spacing w:val="-8"/>
          <w:sz w:val="24"/>
          <w:szCs w:val="24"/>
        </w:rPr>
        <w:t>门的种类最多，</w:t>
      </w:r>
      <w:r>
        <w:rPr>
          <w:rFonts w:ascii="宋体" w:hAnsi="宋体" w:eastAsia="宋体" w:cs="宋体"/>
          <w:spacing w:val="51"/>
          <w:sz w:val="24"/>
          <w:szCs w:val="24"/>
        </w:rPr>
        <w:t xml:space="preserve"> </w:t>
      </w:r>
      <w:r>
        <w:rPr>
          <w:rFonts w:ascii="宋体" w:hAnsi="宋体" w:eastAsia="宋体" w:cs="宋体"/>
          <w:spacing w:val="-8"/>
          <w:sz w:val="24"/>
          <w:szCs w:val="24"/>
        </w:rPr>
        <w:t>蓝藻门、金藻门、隐藻门和甲藻门的种类较少。从每个采样断面</w:t>
      </w:r>
    </w:p>
    <w:p>
      <w:pPr>
        <w:spacing w:before="1" w:line="218" w:lineRule="auto"/>
        <w:ind w:left="41"/>
        <w:rPr>
          <w:rFonts w:ascii="宋体" w:hAnsi="宋体" w:eastAsia="宋体" w:cs="宋体"/>
          <w:sz w:val="24"/>
          <w:szCs w:val="24"/>
        </w:rPr>
      </w:pPr>
      <w:r>
        <w:rPr>
          <w:rFonts w:ascii="宋体" w:hAnsi="宋体" w:eastAsia="宋体" w:cs="宋体"/>
          <w:spacing w:val="-1"/>
          <w:sz w:val="24"/>
          <w:szCs w:val="24"/>
        </w:rPr>
        <w:t>上看，各个采样点主要以硅藻和绿藻门种类居多，见下表。</w:t>
      </w:r>
    </w:p>
    <w:p>
      <w:pPr>
        <w:pStyle w:val="2"/>
        <w:spacing w:before="182" w:line="218" w:lineRule="auto"/>
        <w:ind w:left="2105"/>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3.2-34    </w:t>
      </w:r>
      <w:r>
        <w:rPr>
          <w14:textOutline w14:w="3810" w14:cap="flat" w14:cmpd="sng">
            <w14:solidFill>
              <w14:srgbClr w14:val="000000"/>
            </w14:solidFill>
            <w14:prstDash w14:val="solid"/>
            <w14:miter w14:val="0"/>
          </w14:textOutline>
        </w:rPr>
        <w:t>工程评价区域浮游植物种类</w:t>
      </w:r>
      <w:r>
        <w:rPr>
          <w:spacing w:val="-1"/>
          <w14:textOutline w14:w="3810" w14:cap="flat" w14:cmpd="sng">
            <w14:solidFill>
              <w14:srgbClr w14:val="000000"/>
            </w14:solidFill>
            <w14:prstDash w14:val="solid"/>
            <w14:miter w14:val="0"/>
          </w14:textOutline>
        </w:rPr>
        <w:t>组成及分布</w:t>
      </w:r>
    </w:p>
    <w:p>
      <w:pPr>
        <w:spacing w:line="20"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110"/>
        <w:gridCol w:w="1043"/>
        <w:gridCol w:w="1109"/>
        <w:gridCol w:w="1004"/>
        <w:gridCol w:w="1041"/>
        <w:gridCol w:w="1109"/>
        <w:gridCol w:w="1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691" w:type="dxa"/>
            <w:vMerge w:val="restart"/>
            <w:tcBorders>
              <w:top w:val="single" w:color="000000" w:sz="12" w:space="0"/>
              <w:left w:val="nil"/>
              <w:bottom w:val="nil"/>
            </w:tcBorders>
            <w:vAlign w:val="top"/>
          </w:tcPr>
          <w:p>
            <w:pPr>
              <w:spacing w:before="35" w:line="222" w:lineRule="auto"/>
              <w:ind w:left="162" w:right="126" w:hanging="5"/>
              <w:rPr>
                <w:rFonts w:ascii="仿宋" w:hAnsi="仿宋" w:eastAsia="仿宋" w:cs="仿宋"/>
                <w:sz w:val="21"/>
                <w:szCs w:val="21"/>
              </w:rPr>
            </w:pPr>
            <w:r>
              <w:rPr>
                <w:rFonts w:ascii="仿宋" w:hAnsi="仿宋" w:eastAsia="仿宋" w:cs="仿宋"/>
                <w:spacing w:val="-8"/>
                <w:sz w:val="21"/>
                <w:szCs w:val="21"/>
              </w:rPr>
              <w:t>采样</w:t>
            </w:r>
            <w:r>
              <w:rPr>
                <w:rFonts w:ascii="仿宋" w:hAnsi="仿宋" w:eastAsia="仿宋" w:cs="仿宋"/>
                <w:sz w:val="21"/>
                <w:szCs w:val="21"/>
              </w:rPr>
              <w:t xml:space="preserve"> </w:t>
            </w:r>
            <w:r>
              <w:rPr>
                <w:rFonts w:ascii="仿宋" w:hAnsi="仿宋" w:eastAsia="仿宋" w:cs="仿宋"/>
                <w:spacing w:val="-11"/>
                <w:sz w:val="21"/>
                <w:szCs w:val="21"/>
              </w:rPr>
              <w:t>断面</w:t>
            </w:r>
          </w:p>
        </w:tc>
        <w:tc>
          <w:tcPr>
            <w:tcW w:w="1110" w:type="dxa"/>
            <w:tcBorders>
              <w:top w:val="single" w:color="000000" w:sz="12" w:space="0"/>
            </w:tcBorders>
            <w:vAlign w:val="top"/>
          </w:tcPr>
          <w:p>
            <w:pPr>
              <w:spacing w:before="30" w:line="204" w:lineRule="auto"/>
              <w:ind w:left="254"/>
              <w:rPr>
                <w:rFonts w:ascii="仿宋" w:hAnsi="仿宋" w:eastAsia="仿宋" w:cs="仿宋"/>
                <w:sz w:val="21"/>
                <w:szCs w:val="21"/>
              </w:rPr>
            </w:pPr>
            <w:r>
              <w:rPr>
                <w:rFonts w:ascii="仿宋" w:hAnsi="仿宋" w:eastAsia="仿宋" w:cs="仿宋"/>
                <w:spacing w:val="-5"/>
                <w:sz w:val="21"/>
                <w:szCs w:val="21"/>
              </w:rPr>
              <w:t>蓝藻门</w:t>
            </w:r>
          </w:p>
        </w:tc>
        <w:tc>
          <w:tcPr>
            <w:tcW w:w="1043" w:type="dxa"/>
            <w:tcBorders>
              <w:top w:val="single" w:color="000000" w:sz="12" w:space="0"/>
            </w:tcBorders>
            <w:vAlign w:val="top"/>
          </w:tcPr>
          <w:p>
            <w:pPr>
              <w:spacing w:before="30" w:line="204" w:lineRule="auto"/>
              <w:ind w:left="215"/>
              <w:rPr>
                <w:rFonts w:ascii="仿宋" w:hAnsi="仿宋" w:eastAsia="仿宋" w:cs="仿宋"/>
                <w:sz w:val="21"/>
                <w:szCs w:val="21"/>
              </w:rPr>
            </w:pPr>
            <w:r>
              <w:rPr>
                <w:rFonts w:ascii="仿宋" w:hAnsi="仿宋" w:eastAsia="仿宋" w:cs="仿宋"/>
                <w:spacing w:val="-4"/>
                <w:sz w:val="21"/>
                <w:szCs w:val="21"/>
              </w:rPr>
              <w:t>金藻门</w:t>
            </w:r>
          </w:p>
        </w:tc>
        <w:tc>
          <w:tcPr>
            <w:tcW w:w="1109" w:type="dxa"/>
            <w:tcBorders>
              <w:top w:val="single" w:color="000000" w:sz="12" w:space="0"/>
            </w:tcBorders>
            <w:vAlign w:val="top"/>
          </w:tcPr>
          <w:p>
            <w:pPr>
              <w:spacing w:before="30" w:line="204" w:lineRule="auto"/>
              <w:ind w:left="248"/>
              <w:rPr>
                <w:rFonts w:ascii="仿宋" w:hAnsi="仿宋" w:eastAsia="仿宋" w:cs="仿宋"/>
                <w:sz w:val="21"/>
                <w:szCs w:val="21"/>
              </w:rPr>
            </w:pPr>
            <w:r>
              <w:rPr>
                <w:rFonts w:ascii="仿宋" w:hAnsi="仿宋" w:eastAsia="仿宋" w:cs="仿宋"/>
                <w:spacing w:val="-3"/>
                <w:sz w:val="21"/>
                <w:szCs w:val="21"/>
              </w:rPr>
              <w:t>硅藻门</w:t>
            </w:r>
          </w:p>
        </w:tc>
        <w:tc>
          <w:tcPr>
            <w:tcW w:w="1004" w:type="dxa"/>
            <w:tcBorders>
              <w:top w:val="single" w:color="000000" w:sz="12" w:space="0"/>
            </w:tcBorders>
            <w:vAlign w:val="top"/>
          </w:tcPr>
          <w:p>
            <w:pPr>
              <w:spacing w:before="30" w:line="204" w:lineRule="auto"/>
              <w:ind w:left="206"/>
              <w:rPr>
                <w:rFonts w:ascii="仿宋" w:hAnsi="仿宋" w:eastAsia="仿宋" w:cs="仿宋"/>
                <w:sz w:val="21"/>
                <w:szCs w:val="21"/>
              </w:rPr>
            </w:pPr>
            <w:r>
              <w:rPr>
                <w:rFonts w:ascii="仿宋" w:hAnsi="仿宋" w:eastAsia="仿宋" w:cs="仿宋"/>
                <w:spacing w:val="-6"/>
                <w:sz w:val="21"/>
                <w:szCs w:val="21"/>
              </w:rPr>
              <w:t>隐藻门</w:t>
            </w:r>
          </w:p>
        </w:tc>
        <w:tc>
          <w:tcPr>
            <w:tcW w:w="1041" w:type="dxa"/>
            <w:tcBorders>
              <w:top w:val="single" w:color="000000" w:sz="12" w:space="0"/>
            </w:tcBorders>
            <w:vAlign w:val="top"/>
          </w:tcPr>
          <w:p>
            <w:pPr>
              <w:spacing w:before="30" w:line="204" w:lineRule="auto"/>
              <w:ind w:left="242"/>
              <w:rPr>
                <w:rFonts w:ascii="仿宋" w:hAnsi="仿宋" w:eastAsia="仿宋" w:cs="仿宋"/>
                <w:sz w:val="21"/>
                <w:szCs w:val="21"/>
              </w:rPr>
            </w:pPr>
            <w:r>
              <w:rPr>
                <w:rFonts w:ascii="仿宋" w:hAnsi="仿宋" w:eastAsia="仿宋" w:cs="仿宋"/>
                <w:spacing w:val="-10"/>
                <w:sz w:val="21"/>
                <w:szCs w:val="21"/>
              </w:rPr>
              <w:t>甲藻门</w:t>
            </w:r>
          </w:p>
        </w:tc>
        <w:tc>
          <w:tcPr>
            <w:tcW w:w="1109" w:type="dxa"/>
            <w:tcBorders>
              <w:top w:val="single" w:color="000000" w:sz="12" w:space="0"/>
            </w:tcBorders>
            <w:vAlign w:val="top"/>
          </w:tcPr>
          <w:p>
            <w:pPr>
              <w:spacing w:before="30" w:line="204" w:lineRule="auto"/>
              <w:ind w:left="253"/>
              <w:rPr>
                <w:rFonts w:ascii="仿宋" w:hAnsi="仿宋" w:eastAsia="仿宋" w:cs="仿宋"/>
                <w:sz w:val="21"/>
                <w:szCs w:val="21"/>
              </w:rPr>
            </w:pPr>
            <w:r>
              <w:rPr>
                <w:rFonts w:ascii="仿宋" w:hAnsi="仿宋" w:eastAsia="仿宋" w:cs="仿宋"/>
                <w:spacing w:val="-4"/>
                <w:sz w:val="21"/>
                <w:szCs w:val="21"/>
              </w:rPr>
              <w:t>绿藻门</w:t>
            </w:r>
          </w:p>
        </w:tc>
        <w:tc>
          <w:tcPr>
            <w:tcW w:w="1214" w:type="dxa"/>
            <w:tcBorders>
              <w:top w:val="single" w:color="000000" w:sz="12" w:space="0"/>
              <w:right w:val="nil"/>
            </w:tcBorders>
            <w:vAlign w:val="top"/>
          </w:tcPr>
          <w:p>
            <w:pPr>
              <w:spacing w:before="30" w:line="204" w:lineRule="auto"/>
              <w:ind w:left="414"/>
              <w:rPr>
                <w:rFonts w:ascii="仿宋" w:hAnsi="仿宋" w:eastAsia="仿宋" w:cs="仿宋"/>
                <w:sz w:val="21"/>
                <w:szCs w:val="21"/>
              </w:rPr>
            </w:pPr>
            <w:r>
              <w:rPr>
                <w:rFonts w:ascii="仿宋" w:hAnsi="仿宋" w:eastAsia="仿宋" w:cs="仿宋"/>
                <w:spacing w:val="-5"/>
                <w:sz w:val="21"/>
                <w:szCs w:val="21"/>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691" w:type="dxa"/>
            <w:vMerge w:val="continue"/>
            <w:tcBorders>
              <w:top w:val="nil"/>
              <w:left w:val="nil"/>
            </w:tcBorders>
            <w:vAlign w:val="top"/>
          </w:tcPr>
          <w:p>
            <w:pPr>
              <w:rPr>
                <w:rFonts w:ascii="Arial"/>
                <w:sz w:val="21"/>
              </w:rPr>
            </w:pPr>
          </w:p>
        </w:tc>
        <w:tc>
          <w:tcPr>
            <w:tcW w:w="1110" w:type="dxa"/>
            <w:vAlign w:val="top"/>
          </w:tcPr>
          <w:p>
            <w:pPr>
              <w:pStyle w:val="6"/>
              <w:spacing w:before="34" w:line="201" w:lineRule="auto"/>
              <w:ind w:left="207"/>
              <w:rPr>
                <w:rFonts w:ascii="仿宋" w:hAnsi="仿宋" w:eastAsia="仿宋" w:cs="仿宋"/>
              </w:rPr>
            </w:pPr>
            <w:r>
              <w:rPr>
                <w:spacing w:val="-4"/>
              </w:rPr>
              <w:t>S</w:t>
            </w:r>
            <w:r>
              <w:rPr>
                <w:rFonts w:ascii="仿宋" w:hAnsi="仿宋" w:eastAsia="仿宋" w:cs="仿宋"/>
                <w:spacing w:val="-4"/>
              </w:rPr>
              <w:t>（</w:t>
            </w:r>
            <w:r>
              <w:rPr>
                <w:spacing w:val="-4"/>
              </w:rPr>
              <w:t>%</w:t>
            </w:r>
            <w:r>
              <w:rPr>
                <w:rFonts w:ascii="仿宋" w:hAnsi="仿宋" w:eastAsia="仿宋" w:cs="仿宋"/>
                <w:spacing w:val="-4"/>
              </w:rPr>
              <w:t>）</w:t>
            </w:r>
          </w:p>
        </w:tc>
        <w:tc>
          <w:tcPr>
            <w:tcW w:w="1043" w:type="dxa"/>
            <w:vAlign w:val="top"/>
          </w:tcPr>
          <w:p>
            <w:pPr>
              <w:pStyle w:val="6"/>
              <w:spacing w:before="34" w:line="201" w:lineRule="auto"/>
              <w:ind w:left="174"/>
              <w:rPr>
                <w:rFonts w:ascii="仿宋" w:hAnsi="仿宋" w:eastAsia="仿宋" w:cs="仿宋"/>
              </w:rPr>
            </w:pPr>
            <w:r>
              <w:rPr>
                <w:spacing w:val="-4"/>
              </w:rPr>
              <w:t>S</w:t>
            </w:r>
            <w:r>
              <w:rPr>
                <w:rFonts w:ascii="仿宋" w:hAnsi="仿宋" w:eastAsia="仿宋" w:cs="仿宋"/>
                <w:spacing w:val="-4"/>
              </w:rPr>
              <w:t>（</w:t>
            </w:r>
            <w:r>
              <w:rPr>
                <w:spacing w:val="-4"/>
              </w:rPr>
              <w:t>%</w:t>
            </w:r>
            <w:r>
              <w:rPr>
                <w:rFonts w:ascii="仿宋" w:hAnsi="仿宋" w:eastAsia="仿宋" w:cs="仿宋"/>
                <w:spacing w:val="-4"/>
              </w:rPr>
              <w:t>）</w:t>
            </w:r>
          </w:p>
        </w:tc>
        <w:tc>
          <w:tcPr>
            <w:tcW w:w="1109" w:type="dxa"/>
            <w:vAlign w:val="top"/>
          </w:tcPr>
          <w:p>
            <w:pPr>
              <w:pStyle w:val="6"/>
              <w:spacing w:before="34" w:line="201" w:lineRule="auto"/>
              <w:ind w:left="207"/>
              <w:rPr>
                <w:rFonts w:ascii="仿宋" w:hAnsi="仿宋" w:eastAsia="仿宋" w:cs="仿宋"/>
              </w:rPr>
            </w:pPr>
            <w:r>
              <w:rPr>
                <w:spacing w:val="-4"/>
              </w:rPr>
              <w:t>S</w:t>
            </w:r>
            <w:r>
              <w:rPr>
                <w:rFonts w:ascii="仿宋" w:hAnsi="仿宋" w:eastAsia="仿宋" w:cs="仿宋"/>
                <w:spacing w:val="-4"/>
              </w:rPr>
              <w:t>（</w:t>
            </w:r>
            <w:r>
              <w:rPr>
                <w:spacing w:val="-4"/>
              </w:rPr>
              <w:t>%</w:t>
            </w:r>
            <w:r>
              <w:rPr>
                <w:rFonts w:ascii="仿宋" w:hAnsi="仿宋" w:eastAsia="仿宋" w:cs="仿宋"/>
                <w:spacing w:val="-4"/>
              </w:rPr>
              <w:t>）</w:t>
            </w:r>
          </w:p>
        </w:tc>
        <w:tc>
          <w:tcPr>
            <w:tcW w:w="1004" w:type="dxa"/>
            <w:vAlign w:val="top"/>
          </w:tcPr>
          <w:p>
            <w:pPr>
              <w:pStyle w:val="6"/>
              <w:spacing w:before="34" w:line="201" w:lineRule="auto"/>
              <w:ind w:left="156"/>
              <w:rPr>
                <w:rFonts w:ascii="仿宋" w:hAnsi="仿宋" w:eastAsia="仿宋" w:cs="仿宋"/>
              </w:rPr>
            </w:pPr>
            <w:r>
              <w:rPr>
                <w:spacing w:val="-4"/>
              </w:rPr>
              <w:t>S</w:t>
            </w:r>
            <w:r>
              <w:rPr>
                <w:rFonts w:ascii="仿宋" w:hAnsi="仿宋" w:eastAsia="仿宋" w:cs="仿宋"/>
                <w:spacing w:val="-4"/>
              </w:rPr>
              <w:t>（</w:t>
            </w:r>
            <w:r>
              <w:rPr>
                <w:spacing w:val="-4"/>
              </w:rPr>
              <w:t>%</w:t>
            </w:r>
            <w:r>
              <w:rPr>
                <w:rFonts w:ascii="仿宋" w:hAnsi="仿宋" w:eastAsia="仿宋" w:cs="仿宋"/>
                <w:spacing w:val="-4"/>
              </w:rPr>
              <w:t>）</w:t>
            </w:r>
          </w:p>
        </w:tc>
        <w:tc>
          <w:tcPr>
            <w:tcW w:w="1041" w:type="dxa"/>
            <w:vAlign w:val="top"/>
          </w:tcPr>
          <w:p>
            <w:pPr>
              <w:pStyle w:val="6"/>
              <w:spacing w:before="34" w:line="201" w:lineRule="auto"/>
              <w:ind w:left="173"/>
              <w:rPr>
                <w:rFonts w:ascii="仿宋" w:hAnsi="仿宋" w:eastAsia="仿宋" w:cs="仿宋"/>
              </w:rPr>
            </w:pPr>
            <w:r>
              <w:rPr>
                <w:spacing w:val="-4"/>
              </w:rPr>
              <w:t>S</w:t>
            </w:r>
            <w:r>
              <w:rPr>
                <w:rFonts w:ascii="仿宋" w:hAnsi="仿宋" w:eastAsia="仿宋" w:cs="仿宋"/>
                <w:spacing w:val="-4"/>
              </w:rPr>
              <w:t>（</w:t>
            </w:r>
            <w:r>
              <w:rPr>
                <w:spacing w:val="-4"/>
              </w:rPr>
              <w:t>%</w:t>
            </w:r>
            <w:r>
              <w:rPr>
                <w:rFonts w:ascii="仿宋" w:hAnsi="仿宋" w:eastAsia="仿宋" w:cs="仿宋"/>
                <w:spacing w:val="-4"/>
              </w:rPr>
              <w:t>）</w:t>
            </w:r>
          </w:p>
        </w:tc>
        <w:tc>
          <w:tcPr>
            <w:tcW w:w="1109" w:type="dxa"/>
            <w:vAlign w:val="top"/>
          </w:tcPr>
          <w:p>
            <w:pPr>
              <w:pStyle w:val="6"/>
              <w:spacing w:before="34" w:line="201" w:lineRule="auto"/>
              <w:ind w:left="208"/>
              <w:rPr>
                <w:rFonts w:ascii="仿宋" w:hAnsi="仿宋" w:eastAsia="仿宋" w:cs="仿宋"/>
              </w:rPr>
            </w:pPr>
            <w:r>
              <w:rPr>
                <w:spacing w:val="-4"/>
              </w:rPr>
              <w:t>S</w:t>
            </w:r>
            <w:r>
              <w:rPr>
                <w:rFonts w:ascii="仿宋" w:hAnsi="仿宋" w:eastAsia="仿宋" w:cs="仿宋"/>
                <w:spacing w:val="-4"/>
              </w:rPr>
              <w:t>（</w:t>
            </w:r>
            <w:r>
              <w:rPr>
                <w:spacing w:val="-4"/>
              </w:rPr>
              <w:t>%</w:t>
            </w:r>
            <w:r>
              <w:rPr>
                <w:rFonts w:ascii="仿宋" w:hAnsi="仿宋" w:eastAsia="仿宋" w:cs="仿宋"/>
                <w:spacing w:val="-4"/>
              </w:rPr>
              <w:t>）</w:t>
            </w:r>
          </w:p>
        </w:tc>
        <w:tc>
          <w:tcPr>
            <w:tcW w:w="1214" w:type="dxa"/>
            <w:tcBorders>
              <w:right w:val="nil"/>
            </w:tcBorders>
            <w:vAlign w:val="top"/>
          </w:tcPr>
          <w:p>
            <w:pPr>
              <w:pStyle w:val="6"/>
              <w:spacing w:before="34" w:line="201" w:lineRule="auto"/>
              <w:ind w:left="261"/>
              <w:rPr>
                <w:rFonts w:ascii="仿宋" w:hAnsi="仿宋" w:eastAsia="仿宋" w:cs="仿宋"/>
              </w:rPr>
            </w:pPr>
            <w:r>
              <w:rPr>
                <w:spacing w:val="-4"/>
              </w:rPr>
              <w:t>S</w:t>
            </w:r>
            <w:r>
              <w:rPr>
                <w:rFonts w:ascii="仿宋" w:hAnsi="仿宋" w:eastAsia="仿宋" w:cs="仿宋"/>
                <w:spacing w:val="-4"/>
              </w:rPr>
              <w:t>（</w:t>
            </w:r>
            <w:r>
              <w:rPr>
                <w:spacing w:val="-4"/>
              </w:rPr>
              <w:t>%</w:t>
            </w:r>
            <w:r>
              <w:rPr>
                <w:rFonts w:ascii="仿宋" w:hAnsi="仿宋" w:eastAsia="仿宋" w:cs="仿宋"/>
                <w:spacing w:val="-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2" w:hRule="atLeast"/>
        </w:trPr>
        <w:tc>
          <w:tcPr>
            <w:tcW w:w="691" w:type="dxa"/>
            <w:tcBorders>
              <w:left w:val="nil"/>
            </w:tcBorders>
            <w:vAlign w:val="top"/>
          </w:tcPr>
          <w:p>
            <w:pPr>
              <w:pStyle w:val="6"/>
              <w:spacing w:before="198" w:line="186" w:lineRule="auto"/>
              <w:ind w:left="203"/>
            </w:pPr>
            <w:r>
              <w:rPr>
                <w:spacing w:val="-1"/>
              </w:rPr>
              <w:t>W1</w:t>
            </w:r>
          </w:p>
        </w:tc>
        <w:tc>
          <w:tcPr>
            <w:tcW w:w="1110" w:type="dxa"/>
            <w:vAlign w:val="top"/>
          </w:tcPr>
          <w:p>
            <w:pPr>
              <w:pStyle w:val="6"/>
              <w:spacing w:before="61" w:line="186" w:lineRule="auto"/>
              <w:ind w:left="502"/>
            </w:pPr>
            <w:r>
              <w:t>2</w:t>
            </w:r>
          </w:p>
          <w:p>
            <w:pPr>
              <w:pStyle w:val="6"/>
              <w:spacing w:before="31" w:line="195" w:lineRule="auto"/>
              <w:ind w:left="171"/>
              <w:rPr>
                <w:rFonts w:ascii="仿宋" w:hAnsi="仿宋" w:eastAsia="仿宋" w:cs="仿宋"/>
              </w:rPr>
            </w:pPr>
            <w:r>
              <w:rPr>
                <w:rFonts w:ascii="仿宋" w:hAnsi="仿宋" w:eastAsia="仿宋" w:cs="仿宋"/>
                <w:spacing w:val="-3"/>
              </w:rPr>
              <w:t>（</w:t>
            </w:r>
            <w:r>
              <w:rPr>
                <w:spacing w:val="-3"/>
              </w:rPr>
              <w:t>9.52</w:t>
            </w:r>
            <w:r>
              <w:rPr>
                <w:rFonts w:ascii="仿宋" w:hAnsi="仿宋" w:eastAsia="仿宋" w:cs="仿宋"/>
                <w:spacing w:val="-3"/>
              </w:rPr>
              <w:t>）</w:t>
            </w:r>
          </w:p>
        </w:tc>
        <w:tc>
          <w:tcPr>
            <w:tcW w:w="1043" w:type="dxa"/>
            <w:vAlign w:val="top"/>
          </w:tcPr>
          <w:p>
            <w:pPr>
              <w:pStyle w:val="6"/>
              <w:spacing w:before="61" w:line="186" w:lineRule="auto"/>
              <w:ind w:left="472"/>
            </w:pPr>
            <w:r>
              <w:t>0</w:t>
            </w:r>
          </w:p>
          <w:p>
            <w:pPr>
              <w:pStyle w:val="6"/>
              <w:spacing w:before="31" w:line="195" w:lineRule="auto"/>
              <w:ind w:left="136"/>
              <w:rPr>
                <w:rFonts w:ascii="仿宋" w:hAnsi="仿宋" w:eastAsia="仿宋" w:cs="仿宋"/>
              </w:rPr>
            </w:pPr>
            <w:r>
              <w:rPr>
                <w:rFonts w:ascii="仿宋" w:hAnsi="仿宋" w:eastAsia="仿宋" w:cs="仿宋"/>
                <w:spacing w:val="-3"/>
              </w:rPr>
              <w:t>（</w:t>
            </w:r>
            <w:r>
              <w:rPr>
                <w:spacing w:val="-3"/>
              </w:rPr>
              <w:t>0.00</w:t>
            </w:r>
            <w:r>
              <w:rPr>
                <w:rFonts w:ascii="仿宋" w:hAnsi="仿宋" w:eastAsia="仿宋" w:cs="仿宋"/>
                <w:spacing w:val="-3"/>
              </w:rPr>
              <w:t>）</w:t>
            </w:r>
          </w:p>
        </w:tc>
        <w:tc>
          <w:tcPr>
            <w:tcW w:w="1109" w:type="dxa"/>
            <w:vAlign w:val="top"/>
          </w:tcPr>
          <w:p>
            <w:pPr>
              <w:pStyle w:val="6"/>
              <w:spacing w:before="61" w:line="186" w:lineRule="auto"/>
              <w:ind w:left="470"/>
            </w:pPr>
            <w:r>
              <w:rPr>
                <w:spacing w:val="-12"/>
              </w:rPr>
              <w:t>10</w:t>
            </w:r>
          </w:p>
          <w:p>
            <w:pPr>
              <w:pStyle w:val="6"/>
              <w:spacing w:before="31" w:line="195" w:lineRule="auto"/>
              <w:ind w:left="118"/>
              <w:rPr>
                <w:rFonts w:ascii="仿宋" w:hAnsi="仿宋" w:eastAsia="仿宋" w:cs="仿宋"/>
              </w:rPr>
            </w:pPr>
            <w:r>
              <w:rPr>
                <w:rFonts w:ascii="仿宋" w:hAnsi="仿宋" w:eastAsia="仿宋" w:cs="仿宋"/>
                <w:spacing w:val="-2"/>
              </w:rPr>
              <w:t>（</w:t>
            </w:r>
            <w:r>
              <w:rPr>
                <w:spacing w:val="-2"/>
              </w:rPr>
              <w:t>47.62</w:t>
            </w:r>
            <w:r>
              <w:rPr>
                <w:rFonts w:ascii="仿宋" w:hAnsi="仿宋" w:eastAsia="仿宋" w:cs="仿宋"/>
                <w:spacing w:val="-2"/>
              </w:rPr>
              <w:t>）</w:t>
            </w:r>
          </w:p>
        </w:tc>
        <w:tc>
          <w:tcPr>
            <w:tcW w:w="1004" w:type="dxa"/>
            <w:vAlign w:val="top"/>
          </w:tcPr>
          <w:p>
            <w:pPr>
              <w:pStyle w:val="6"/>
              <w:spacing w:before="61" w:line="186" w:lineRule="auto"/>
              <w:ind w:left="450"/>
            </w:pPr>
            <w:r>
              <w:t>2</w:t>
            </w:r>
          </w:p>
          <w:p>
            <w:pPr>
              <w:pStyle w:val="6"/>
              <w:spacing w:before="31" w:line="195" w:lineRule="auto"/>
              <w:ind w:left="118"/>
              <w:rPr>
                <w:rFonts w:ascii="仿宋" w:hAnsi="仿宋" w:eastAsia="仿宋" w:cs="仿宋"/>
              </w:rPr>
            </w:pPr>
            <w:r>
              <w:rPr>
                <w:rFonts w:ascii="仿宋" w:hAnsi="仿宋" w:eastAsia="仿宋" w:cs="仿宋"/>
                <w:spacing w:val="-3"/>
              </w:rPr>
              <w:t>（</w:t>
            </w:r>
            <w:r>
              <w:rPr>
                <w:spacing w:val="-3"/>
              </w:rPr>
              <w:t>9.52</w:t>
            </w:r>
            <w:r>
              <w:rPr>
                <w:rFonts w:ascii="仿宋" w:hAnsi="仿宋" w:eastAsia="仿宋" w:cs="仿宋"/>
                <w:spacing w:val="-3"/>
              </w:rPr>
              <w:t>）</w:t>
            </w:r>
          </w:p>
        </w:tc>
        <w:tc>
          <w:tcPr>
            <w:tcW w:w="1041" w:type="dxa"/>
            <w:vAlign w:val="top"/>
          </w:tcPr>
          <w:p>
            <w:pPr>
              <w:pStyle w:val="6"/>
              <w:spacing w:before="61" w:line="186" w:lineRule="auto"/>
              <w:ind w:left="488"/>
            </w:pPr>
            <w:r>
              <w:t>1</w:t>
            </w:r>
          </w:p>
          <w:p>
            <w:pPr>
              <w:pStyle w:val="6"/>
              <w:spacing w:before="31" w:line="195" w:lineRule="auto"/>
              <w:ind w:left="136"/>
              <w:rPr>
                <w:rFonts w:ascii="仿宋" w:hAnsi="仿宋" w:eastAsia="仿宋" w:cs="仿宋"/>
              </w:rPr>
            </w:pPr>
            <w:r>
              <w:rPr>
                <w:rFonts w:ascii="仿宋" w:hAnsi="仿宋" w:eastAsia="仿宋" w:cs="仿宋"/>
                <w:spacing w:val="-3"/>
              </w:rPr>
              <w:t>（</w:t>
            </w:r>
            <w:r>
              <w:rPr>
                <w:spacing w:val="-3"/>
              </w:rPr>
              <w:t>4.76</w:t>
            </w:r>
            <w:r>
              <w:rPr>
                <w:rFonts w:ascii="仿宋" w:hAnsi="仿宋" w:eastAsia="仿宋" w:cs="仿宋"/>
                <w:spacing w:val="-3"/>
              </w:rPr>
              <w:t>）</w:t>
            </w:r>
          </w:p>
        </w:tc>
        <w:tc>
          <w:tcPr>
            <w:tcW w:w="1109" w:type="dxa"/>
            <w:vAlign w:val="top"/>
          </w:tcPr>
          <w:p>
            <w:pPr>
              <w:pStyle w:val="6"/>
              <w:spacing w:before="61" w:line="186" w:lineRule="auto"/>
              <w:ind w:left="508"/>
            </w:pPr>
            <w:r>
              <w:t>6</w:t>
            </w:r>
          </w:p>
          <w:p>
            <w:pPr>
              <w:pStyle w:val="6"/>
              <w:spacing w:before="31" w:line="195" w:lineRule="auto"/>
              <w:ind w:left="119"/>
              <w:rPr>
                <w:rFonts w:ascii="仿宋" w:hAnsi="仿宋" w:eastAsia="仿宋" w:cs="仿宋"/>
              </w:rPr>
            </w:pPr>
            <w:r>
              <w:rPr>
                <w:rFonts w:ascii="仿宋" w:hAnsi="仿宋" w:eastAsia="仿宋" w:cs="仿宋"/>
                <w:spacing w:val="-2"/>
              </w:rPr>
              <w:t>（</w:t>
            </w:r>
            <w:r>
              <w:rPr>
                <w:spacing w:val="-2"/>
              </w:rPr>
              <w:t>28.57</w:t>
            </w:r>
            <w:r>
              <w:rPr>
                <w:rFonts w:ascii="仿宋" w:hAnsi="仿宋" w:eastAsia="仿宋" w:cs="仿宋"/>
                <w:spacing w:val="-2"/>
              </w:rPr>
              <w:t>）</w:t>
            </w:r>
          </w:p>
        </w:tc>
        <w:tc>
          <w:tcPr>
            <w:tcW w:w="1214" w:type="dxa"/>
            <w:tcBorders>
              <w:right w:val="nil"/>
            </w:tcBorders>
            <w:vAlign w:val="top"/>
          </w:tcPr>
          <w:p>
            <w:pPr>
              <w:pStyle w:val="6"/>
              <w:spacing w:before="61" w:line="186" w:lineRule="auto"/>
              <w:ind w:left="503"/>
            </w:pPr>
            <w:r>
              <w:rPr>
                <w:spacing w:val="-2"/>
              </w:rPr>
              <w:t>21</w:t>
            </w:r>
          </w:p>
          <w:p>
            <w:pPr>
              <w:pStyle w:val="6"/>
              <w:spacing w:before="31" w:line="195" w:lineRule="auto"/>
              <w:ind w:left="119"/>
              <w:rPr>
                <w:rFonts w:ascii="仿宋" w:hAnsi="仿宋" w:eastAsia="仿宋" w:cs="仿宋"/>
              </w:rPr>
            </w:pPr>
            <w:r>
              <w:rPr>
                <w:rFonts w:ascii="仿宋" w:hAnsi="仿宋" w:eastAsia="仿宋" w:cs="仿宋"/>
                <w:spacing w:val="-2"/>
              </w:rPr>
              <w:t>（</w:t>
            </w:r>
            <w:r>
              <w:rPr>
                <w:spacing w:val="-2"/>
              </w:rPr>
              <w:t>100.00</w:t>
            </w:r>
            <w:r>
              <w:rPr>
                <w:rFonts w:ascii="仿宋" w:hAnsi="仿宋" w:eastAsia="仿宋" w:cs="仿宋"/>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3" w:hRule="atLeast"/>
        </w:trPr>
        <w:tc>
          <w:tcPr>
            <w:tcW w:w="691" w:type="dxa"/>
            <w:tcBorders>
              <w:left w:val="nil"/>
            </w:tcBorders>
            <w:vAlign w:val="top"/>
          </w:tcPr>
          <w:p>
            <w:pPr>
              <w:pStyle w:val="6"/>
              <w:spacing w:before="205" w:line="186" w:lineRule="auto"/>
              <w:ind w:left="203"/>
            </w:pPr>
            <w:r>
              <w:rPr>
                <w:spacing w:val="-1"/>
              </w:rPr>
              <w:t>W2</w:t>
            </w:r>
          </w:p>
        </w:tc>
        <w:tc>
          <w:tcPr>
            <w:tcW w:w="1110" w:type="dxa"/>
            <w:vAlign w:val="top"/>
          </w:tcPr>
          <w:p>
            <w:pPr>
              <w:pStyle w:val="6"/>
              <w:spacing w:before="69" w:line="186" w:lineRule="auto"/>
              <w:ind w:left="506"/>
            </w:pPr>
            <w:r>
              <w:t>3</w:t>
            </w:r>
          </w:p>
          <w:p>
            <w:pPr>
              <w:pStyle w:val="6"/>
              <w:spacing w:before="31" w:line="189" w:lineRule="auto"/>
              <w:ind w:left="118"/>
              <w:rPr>
                <w:rFonts w:ascii="仿宋" w:hAnsi="仿宋" w:eastAsia="仿宋" w:cs="仿宋"/>
              </w:rPr>
            </w:pPr>
            <w:r>
              <w:rPr>
                <w:rFonts w:ascii="仿宋" w:hAnsi="仿宋" w:eastAsia="仿宋" w:cs="仿宋"/>
                <w:spacing w:val="-2"/>
              </w:rPr>
              <w:t>（</w:t>
            </w:r>
            <w:r>
              <w:rPr>
                <w:spacing w:val="-2"/>
              </w:rPr>
              <w:t>10.71</w:t>
            </w:r>
            <w:r>
              <w:rPr>
                <w:rFonts w:ascii="仿宋" w:hAnsi="仿宋" w:eastAsia="仿宋" w:cs="仿宋"/>
                <w:spacing w:val="-2"/>
              </w:rPr>
              <w:t>）</w:t>
            </w:r>
          </w:p>
        </w:tc>
        <w:tc>
          <w:tcPr>
            <w:tcW w:w="1043" w:type="dxa"/>
            <w:vAlign w:val="top"/>
          </w:tcPr>
          <w:p>
            <w:pPr>
              <w:pStyle w:val="6"/>
              <w:spacing w:before="69" w:line="186" w:lineRule="auto"/>
              <w:ind w:left="489"/>
            </w:pPr>
            <w:r>
              <w:t>1</w:t>
            </w:r>
          </w:p>
          <w:p>
            <w:pPr>
              <w:pStyle w:val="6"/>
              <w:spacing w:before="31" w:line="189" w:lineRule="auto"/>
              <w:ind w:left="136"/>
              <w:rPr>
                <w:rFonts w:ascii="仿宋" w:hAnsi="仿宋" w:eastAsia="仿宋" w:cs="仿宋"/>
              </w:rPr>
            </w:pPr>
            <w:r>
              <w:rPr>
                <w:rFonts w:ascii="仿宋" w:hAnsi="仿宋" w:eastAsia="仿宋" w:cs="仿宋"/>
                <w:spacing w:val="-3"/>
              </w:rPr>
              <w:t>（</w:t>
            </w:r>
            <w:r>
              <w:rPr>
                <w:spacing w:val="-3"/>
              </w:rPr>
              <w:t>3.57</w:t>
            </w:r>
            <w:r>
              <w:rPr>
                <w:rFonts w:ascii="仿宋" w:hAnsi="仿宋" w:eastAsia="仿宋" w:cs="仿宋"/>
                <w:spacing w:val="-3"/>
              </w:rPr>
              <w:t>）</w:t>
            </w:r>
          </w:p>
        </w:tc>
        <w:tc>
          <w:tcPr>
            <w:tcW w:w="1109" w:type="dxa"/>
            <w:vAlign w:val="top"/>
          </w:tcPr>
          <w:p>
            <w:pPr>
              <w:pStyle w:val="6"/>
              <w:spacing w:before="69" w:line="186" w:lineRule="auto"/>
              <w:ind w:left="470"/>
            </w:pPr>
            <w:r>
              <w:rPr>
                <w:spacing w:val="-6"/>
              </w:rPr>
              <w:t>12</w:t>
            </w:r>
          </w:p>
          <w:p>
            <w:pPr>
              <w:pStyle w:val="6"/>
              <w:spacing w:before="31" w:line="189" w:lineRule="auto"/>
              <w:ind w:left="118"/>
              <w:rPr>
                <w:rFonts w:ascii="仿宋" w:hAnsi="仿宋" w:eastAsia="仿宋" w:cs="仿宋"/>
              </w:rPr>
            </w:pPr>
            <w:r>
              <w:rPr>
                <w:rFonts w:ascii="仿宋" w:hAnsi="仿宋" w:eastAsia="仿宋" w:cs="仿宋"/>
                <w:spacing w:val="-2"/>
              </w:rPr>
              <w:t>（</w:t>
            </w:r>
            <w:r>
              <w:rPr>
                <w:spacing w:val="-2"/>
              </w:rPr>
              <w:t>42.86</w:t>
            </w:r>
            <w:r>
              <w:rPr>
                <w:rFonts w:ascii="仿宋" w:hAnsi="仿宋" w:eastAsia="仿宋" w:cs="仿宋"/>
                <w:spacing w:val="-2"/>
              </w:rPr>
              <w:t>）</w:t>
            </w:r>
          </w:p>
        </w:tc>
        <w:tc>
          <w:tcPr>
            <w:tcW w:w="1004" w:type="dxa"/>
            <w:vAlign w:val="top"/>
          </w:tcPr>
          <w:p>
            <w:pPr>
              <w:pStyle w:val="6"/>
              <w:spacing w:before="69" w:line="186" w:lineRule="auto"/>
              <w:ind w:left="471"/>
            </w:pPr>
            <w:r>
              <w:t>1</w:t>
            </w:r>
          </w:p>
          <w:p>
            <w:pPr>
              <w:pStyle w:val="6"/>
              <w:spacing w:before="31" w:line="189" w:lineRule="auto"/>
              <w:ind w:left="118"/>
              <w:rPr>
                <w:rFonts w:ascii="仿宋" w:hAnsi="仿宋" w:eastAsia="仿宋" w:cs="仿宋"/>
              </w:rPr>
            </w:pPr>
            <w:r>
              <w:rPr>
                <w:rFonts w:ascii="仿宋" w:hAnsi="仿宋" w:eastAsia="仿宋" w:cs="仿宋"/>
                <w:spacing w:val="-3"/>
              </w:rPr>
              <w:t>（</w:t>
            </w:r>
            <w:r>
              <w:rPr>
                <w:spacing w:val="-3"/>
              </w:rPr>
              <w:t>3.57</w:t>
            </w:r>
            <w:r>
              <w:rPr>
                <w:rFonts w:ascii="仿宋" w:hAnsi="仿宋" w:eastAsia="仿宋" w:cs="仿宋"/>
                <w:spacing w:val="-3"/>
              </w:rPr>
              <w:t>）</w:t>
            </w:r>
          </w:p>
        </w:tc>
        <w:tc>
          <w:tcPr>
            <w:tcW w:w="1041" w:type="dxa"/>
            <w:vAlign w:val="top"/>
          </w:tcPr>
          <w:p>
            <w:pPr>
              <w:pStyle w:val="6"/>
              <w:spacing w:before="69" w:line="186" w:lineRule="auto"/>
              <w:ind w:left="488"/>
            </w:pPr>
            <w:r>
              <w:t>1</w:t>
            </w:r>
          </w:p>
          <w:p>
            <w:pPr>
              <w:pStyle w:val="6"/>
              <w:spacing w:before="31" w:line="189" w:lineRule="auto"/>
              <w:ind w:left="136"/>
              <w:rPr>
                <w:rFonts w:ascii="仿宋" w:hAnsi="仿宋" w:eastAsia="仿宋" w:cs="仿宋"/>
              </w:rPr>
            </w:pPr>
            <w:r>
              <w:rPr>
                <w:rFonts w:ascii="仿宋" w:hAnsi="仿宋" w:eastAsia="仿宋" w:cs="仿宋"/>
                <w:spacing w:val="-3"/>
              </w:rPr>
              <w:t>（</w:t>
            </w:r>
            <w:r>
              <w:rPr>
                <w:spacing w:val="-3"/>
              </w:rPr>
              <w:t>3.57</w:t>
            </w:r>
            <w:r>
              <w:rPr>
                <w:rFonts w:ascii="仿宋" w:hAnsi="仿宋" w:eastAsia="仿宋" w:cs="仿宋"/>
                <w:spacing w:val="-3"/>
              </w:rPr>
              <w:t>）</w:t>
            </w:r>
          </w:p>
        </w:tc>
        <w:tc>
          <w:tcPr>
            <w:tcW w:w="1109" w:type="dxa"/>
            <w:vAlign w:val="top"/>
          </w:tcPr>
          <w:p>
            <w:pPr>
              <w:pStyle w:val="6"/>
              <w:spacing w:before="69" w:line="186" w:lineRule="auto"/>
              <w:ind w:left="471"/>
            </w:pPr>
            <w:r>
              <w:rPr>
                <w:spacing w:val="-6"/>
              </w:rPr>
              <w:t>10</w:t>
            </w:r>
          </w:p>
          <w:p>
            <w:pPr>
              <w:pStyle w:val="6"/>
              <w:spacing w:before="31" w:line="189" w:lineRule="auto"/>
              <w:ind w:left="119"/>
              <w:rPr>
                <w:rFonts w:ascii="仿宋" w:hAnsi="仿宋" w:eastAsia="仿宋" w:cs="仿宋"/>
              </w:rPr>
            </w:pPr>
            <w:r>
              <w:rPr>
                <w:rFonts w:ascii="仿宋" w:hAnsi="仿宋" w:eastAsia="仿宋" w:cs="仿宋"/>
                <w:spacing w:val="-2"/>
              </w:rPr>
              <w:t>（</w:t>
            </w:r>
            <w:r>
              <w:rPr>
                <w:spacing w:val="-2"/>
              </w:rPr>
              <w:t>35.71</w:t>
            </w:r>
            <w:r>
              <w:rPr>
                <w:rFonts w:ascii="仿宋" w:hAnsi="仿宋" w:eastAsia="仿宋" w:cs="仿宋"/>
                <w:spacing w:val="-2"/>
              </w:rPr>
              <w:t>）</w:t>
            </w:r>
          </w:p>
        </w:tc>
        <w:tc>
          <w:tcPr>
            <w:tcW w:w="1214" w:type="dxa"/>
            <w:tcBorders>
              <w:right w:val="nil"/>
            </w:tcBorders>
            <w:vAlign w:val="top"/>
          </w:tcPr>
          <w:p>
            <w:pPr>
              <w:pStyle w:val="6"/>
              <w:spacing w:before="69" w:line="186" w:lineRule="auto"/>
              <w:ind w:left="503"/>
            </w:pPr>
            <w:r>
              <w:rPr>
                <w:spacing w:val="-1"/>
              </w:rPr>
              <w:t>28</w:t>
            </w:r>
          </w:p>
          <w:p>
            <w:pPr>
              <w:pStyle w:val="6"/>
              <w:spacing w:before="31" w:line="189" w:lineRule="auto"/>
              <w:ind w:left="119"/>
              <w:rPr>
                <w:rFonts w:ascii="仿宋" w:hAnsi="仿宋" w:eastAsia="仿宋" w:cs="仿宋"/>
              </w:rPr>
            </w:pPr>
            <w:r>
              <w:rPr>
                <w:rFonts w:ascii="仿宋" w:hAnsi="仿宋" w:eastAsia="仿宋" w:cs="仿宋"/>
                <w:spacing w:val="-2"/>
              </w:rPr>
              <w:t>（</w:t>
            </w:r>
            <w:r>
              <w:rPr>
                <w:spacing w:val="-2"/>
              </w:rPr>
              <w:t>100.00</w:t>
            </w:r>
            <w:r>
              <w:rPr>
                <w:rFonts w:ascii="仿宋" w:hAnsi="仿宋" w:eastAsia="仿宋" w:cs="仿宋"/>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2" w:hRule="atLeast"/>
        </w:trPr>
        <w:tc>
          <w:tcPr>
            <w:tcW w:w="691" w:type="dxa"/>
            <w:tcBorders>
              <w:left w:val="nil"/>
            </w:tcBorders>
            <w:vAlign w:val="top"/>
          </w:tcPr>
          <w:p>
            <w:pPr>
              <w:pStyle w:val="6"/>
              <w:spacing w:before="211" w:line="186" w:lineRule="auto"/>
              <w:ind w:left="203"/>
            </w:pPr>
            <w:r>
              <w:rPr>
                <w:spacing w:val="-1"/>
              </w:rPr>
              <w:t>W3</w:t>
            </w:r>
          </w:p>
        </w:tc>
        <w:tc>
          <w:tcPr>
            <w:tcW w:w="1110" w:type="dxa"/>
            <w:vAlign w:val="top"/>
          </w:tcPr>
          <w:p>
            <w:pPr>
              <w:pStyle w:val="6"/>
              <w:spacing w:before="74" w:line="186" w:lineRule="auto"/>
              <w:ind w:left="502"/>
            </w:pPr>
            <w:r>
              <w:t>2</w:t>
            </w:r>
          </w:p>
          <w:p>
            <w:pPr>
              <w:pStyle w:val="6"/>
              <w:spacing w:before="30" w:line="184" w:lineRule="auto"/>
              <w:ind w:left="171"/>
              <w:rPr>
                <w:rFonts w:ascii="仿宋" w:hAnsi="仿宋" w:eastAsia="仿宋" w:cs="仿宋"/>
              </w:rPr>
            </w:pPr>
            <w:r>
              <w:rPr>
                <w:rFonts w:ascii="仿宋" w:hAnsi="仿宋" w:eastAsia="仿宋" w:cs="仿宋"/>
                <w:spacing w:val="-3"/>
              </w:rPr>
              <w:t>（</w:t>
            </w:r>
            <w:r>
              <w:rPr>
                <w:spacing w:val="-3"/>
              </w:rPr>
              <w:t>9.09</w:t>
            </w:r>
            <w:r>
              <w:rPr>
                <w:rFonts w:ascii="仿宋" w:hAnsi="仿宋" w:eastAsia="仿宋" w:cs="仿宋"/>
                <w:spacing w:val="-3"/>
              </w:rPr>
              <w:t>）</w:t>
            </w:r>
          </w:p>
        </w:tc>
        <w:tc>
          <w:tcPr>
            <w:tcW w:w="1043" w:type="dxa"/>
            <w:vAlign w:val="top"/>
          </w:tcPr>
          <w:p>
            <w:pPr>
              <w:pStyle w:val="6"/>
              <w:spacing w:before="74" w:line="186" w:lineRule="auto"/>
              <w:ind w:left="489"/>
            </w:pPr>
            <w:r>
              <w:t>1</w:t>
            </w:r>
          </w:p>
          <w:p>
            <w:pPr>
              <w:pStyle w:val="6"/>
              <w:spacing w:before="30" w:line="184" w:lineRule="auto"/>
              <w:ind w:left="136"/>
              <w:rPr>
                <w:rFonts w:ascii="仿宋" w:hAnsi="仿宋" w:eastAsia="仿宋" w:cs="仿宋"/>
              </w:rPr>
            </w:pPr>
            <w:r>
              <w:rPr>
                <w:rFonts w:ascii="仿宋" w:hAnsi="仿宋" w:eastAsia="仿宋" w:cs="仿宋"/>
                <w:spacing w:val="-3"/>
              </w:rPr>
              <w:t>（</w:t>
            </w:r>
            <w:r>
              <w:rPr>
                <w:spacing w:val="-3"/>
              </w:rPr>
              <w:t>4.55</w:t>
            </w:r>
            <w:r>
              <w:rPr>
                <w:rFonts w:ascii="仿宋" w:hAnsi="仿宋" w:eastAsia="仿宋" w:cs="仿宋"/>
                <w:spacing w:val="-3"/>
              </w:rPr>
              <w:t>）</w:t>
            </w:r>
          </w:p>
        </w:tc>
        <w:tc>
          <w:tcPr>
            <w:tcW w:w="1109" w:type="dxa"/>
            <w:vAlign w:val="top"/>
          </w:tcPr>
          <w:p>
            <w:pPr>
              <w:pStyle w:val="6"/>
              <w:spacing w:before="74" w:line="186" w:lineRule="auto"/>
              <w:ind w:left="506"/>
            </w:pPr>
            <w:r>
              <w:t>9</w:t>
            </w:r>
          </w:p>
          <w:p>
            <w:pPr>
              <w:pStyle w:val="6"/>
              <w:spacing w:before="30" w:line="184" w:lineRule="auto"/>
              <w:ind w:left="118"/>
              <w:rPr>
                <w:rFonts w:ascii="仿宋" w:hAnsi="仿宋" w:eastAsia="仿宋" w:cs="仿宋"/>
              </w:rPr>
            </w:pPr>
            <w:r>
              <w:rPr>
                <w:rFonts w:ascii="仿宋" w:hAnsi="仿宋" w:eastAsia="仿宋" w:cs="仿宋"/>
                <w:spacing w:val="-2"/>
              </w:rPr>
              <w:t>（</w:t>
            </w:r>
            <w:r>
              <w:rPr>
                <w:spacing w:val="-2"/>
              </w:rPr>
              <w:t>40.91</w:t>
            </w:r>
            <w:r>
              <w:rPr>
                <w:rFonts w:ascii="仿宋" w:hAnsi="仿宋" w:eastAsia="仿宋" w:cs="仿宋"/>
                <w:spacing w:val="-2"/>
              </w:rPr>
              <w:t>）</w:t>
            </w:r>
          </w:p>
        </w:tc>
        <w:tc>
          <w:tcPr>
            <w:tcW w:w="1004" w:type="dxa"/>
            <w:vAlign w:val="top"/>
          </w:tcPr>
          <w:p>
            <w:pPr>
              <w:pStyle w:val="6"/>
              <w:spacing w:before="74" w:line="186" w:lineRule="auto"/>
              <w:ind w:left="450"/>
            </w:pPr>
            <w:r>
              <w:t>2</w:t>
            </w:r>
          </w:p>
          <w:p>
            <w:pPr>
              <w:pStyle w:val="6"/>
              <w:spacing w:before="30" w:line="184" w:lineRule="auto"/>
              <w:ind w:left="118"/>
              <w:rPr>
                <w:rFonts w:ascii="仿宋" w:hAnsi="仿宋" w:eastAsia="仿宋" w:cs="仿宋"/>
              </w:rPr>
            </w:pPr>
            <w:r>
              <w:rPr>
                <w:rFonts w:ascii="仿宋" w:hAnsi="仿宋" w:eastAsia="仿宋" w:cs="仿宋"/>
                <w:spacing w:val="-3"/>
              </w:rPr>
              <w:t>（</w:t>
            </w:r>
            <w:r>
              <w:rPr>
                <w:spacing w:val="-3"/>
              </w:rPr>
              <w:t>9.09</w:t>
            </w:r>
            <w:r>
              <w:rPr>
                <w:rFonts w:ascii="仿宋" w:hAnsi="仿宋" w:eastAsia="仿宋" w:cs="仿宋"/>
                <w:spacing w:val="-3"/>
              </w:rPr>
              <w:t>）</w:t>
            </w:r>
          </w:p>
        </w:tc>
        <w:tc>
          <w:tcPr>
            <w:tcW w:w="1041" w:type="dxa"/>
            <w:vAlign w:val="top"/>
          </w:tcPr>
          <w:p>
            <w:pPr>
              <w:pStyle w:val="6"/>
              <w:spacing w:before="74" w:line="186" w:lineRule="auto"/>
              <w:ind w:left="488"/>
            </w:pPr>
            <w:r>
              <w:t>1</w:t>
            </w:r>
          </w:p>
          <w:p>
            <w:pPr>
              <w:pStyle w:val="6"/>
              <w:spacing w:before="30" w:line="184" w:lineRule="auto"/>
              <w:ind w:left="136"/>
              <w:rPr>
                <w:rFonts w:ascii="仿宋" w:hAnsi="仿宋" w:eastAsia="仿宋" w:cs="仿宋"/>
              </w:rPr>
            </w:pPr>
            <w:r>
              <w:rPr>
                <w:rFonts w:ascii="仿宋" w:hAnsi="仿宋" w:eastAsia="仿宋" w:cs="仿宋"/>
                <w:spacing w:val="-3"/>
              </w:rPr>
              <w:t>（</w:t>
            </w:r>
            <w:r>
              <w:rPr>
                <w:spacing w:val="-3"/>
              </w:rPr>
              <w:t>4.55</w:t>
            </w:r>
            <w:r>
              <w:rPr>
                <w:rFonts w:ascii="仿宋" w:hAnsi="仿宋" w:eastAsia="仿宋" w:cs="仿宋"/>
                <w:spacing w:val="-3"/>
              </w:rPr>
              <w:t>）</w:t>
            </w:r>
          </w:p>
        </w:tc>
        <w:tc>
          <w:tcPr>
            <w:tcW w:w="1109" w:type="dxa"/>
            <w:vAlign w:val="top"/>
          </w:tcPr>
          <w:p>
            <w:pPr>
              <w:pStyle w:val="6"/>
              <w:spacing w:before="77" w:line="183" w:lineRule="auto"/>
              <w:ind w:left="507"/>
            </w:pPr>
            <w:r>
              <w:t>7</w:t>
            </w:r>
          </w:p>
          <w:p>
            <w:pPr>
              <w:pStyle w:val="6"/>
              <w:spacing w:before="30" w:line="184" w:lineRule="auto"/>
              <w:ind w:left="119"/>
              <w:rPr>
                <w:rFonts w:ascii="仿宋" w:hAnsi="仿宋" w:eastAsia="仿宋" w:cs="仿宋"/>
              </w:rPr>
            </w:pPr>
            <w:r>
              <w:rPr>
                <w:rFonts w:ascii="仿宋" w:hAnsi="仿宋" w:eastAsia="仿宋" w:cs="仿宋"/>
                <w:spacing w:val="-2"/>
              </w:rPr>
              <w:t>（</w:t>
            </w:r>
            <w:r>
              <w:rPr>
                <w:spacing w:val="-2"/>
              </w:rPr>
              <w:t>31.82</w:t>
            </w:r>
            <w:r>
              <w:rPr>
                <w:rFonts w:ascii="仿宋" w:hAnsi="仿宋" w:eastAsia="仿宋" w:cs="仿宋"/>
                <w:spacing w:val="-2"/>
              </w:rPr>
              <w:t>）</w:t>
            </w:r>
          </w:p>
        </w:tc>
        <w:tc>
          <w:tcPr>
            <w:tcW w:w="1214" w:type="dxa"/>
            <w:tcBorders>
              <w:right w:val="nil"/>
            </w:tcBorders>
            <w:vAlign w:val="top"/>
          </w:tcPr>
          <w:p>
            <w:pPr>
              <w:pStyle w:val="6"/>
              <w:spacing w:before="74" w:line="186" w:lineRule="auto"/>
              <w:ind w:left="503"/>
            </w:pPr>
            <w:r>
              <w:rPr>
                <w:spacing w:val="-2"/>
              </w:rPr>
              <w:t>22</w:t>
            </w:r>
          </w:p>
          <w:p>
            <w:pPr>
              <w:pStyle w:val="6"/>
              <w:spacing w:before="30" w:line="184" w:lineRule="auto"/>
              <w:ind w:left="119"/>
              <w:rPr>
                <w:rFonts w:ascii="仿宋" w:hAnsi="仿宋" w:eastAsia="仿宋" w:cs="仿宋"/>
              </w:rPr>
            </w:pPr>
            <w:r>
              <w:rPr>
                <w:rFonts w:ascii="仿宋" w:hAnsi="仿宋" w:eastAsia="仿宋" w:cs="仿宋"/>
                <w:spacing w:val="-2"/>
              </w:rPr>
              <w:t>（</w:t>
            </w:r>
            <w:r>
              <w:rPr>
                <w:spacing w:val="-2"/>
              </w:rPr>
              <w:t>100.00</w:t>
            </w:r>
            <w:r>
              <w:rPr>
                <w:rFonts w:ascii="仿宋" w:hAnsi="仿宋" w:eastAsia="仿宋" w:cs="仿宋"/>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9" w:hRule="atLeast"/>
        </w:trPr>
        <w:tc>
          <w:tcPr>
            <w:tcW w:w="691" w:type="dxa"/>
            <w:tcBorders>
              <w:left w:val="nil"/>
              <w:bottom w:val="single" w:color="000000" w:sz="12" w:space="0"/>
            </w:tcBorders>
            <w:vAlign w:val="top"/>
          </w:tcPr>
          <w:p>
            <w:pPr>
              <w:pStyle w:val="6"/>
              <w:spacing w:before="81" w:line="176" w:lineRule="auto"/>
              <w:ind w:left="203"/>
            </w:pPr>
            <w:r>
              <w:rPr>
                <w:spacing w:val="-1"/>
              </w:rPr>
              <w:t>W4</w:t>
            </w:r>
          </w:p>
        </w:tc>
        <w:tc>
          <w:tcPr>
            <w:tcW w:w="1110" w:type="dxa"/>
            <w:tcBorders>
              <w:bottom w:val="single" w:color="000000" w:sz="12" w:space="0"/>
            </w:tcBorders>
            <w:vAlign w:val="top"/>
          </w:tcPr>
          <w:p>
            <w:pPr>
              <w:pStyle w:val="6"/>
              <w:spacing w:before="81" w:line="176" w:lineRule="auto"/>
              <w:ind w:left="501"/>
            </w:pPr>
            <w:r>
              <w:t>4</w:t>
            </w:r>
          </w:p>
        </w:tc>
        <w:tc>
          <w:tcPr>
            <w:tcW w:w="1043" w:type="dxa"/>
            <w:tcBorders>
              <w:bottom w:val="single" w:color="000000" w:sz="12" w:space="0"/>
            </w:tcBorders>
            <w:vAlign w:val="top"/>
          </w:tcPr>
          <w:p>
            <w:pPr>
              <w:pStyle w:val="6"/>
              <w:spacing w:before="81" w:line="176" w:lineRule="auto"/>
              <w:ind w:left="489"/>
            </w:pPr>
            <w:r>
              <w:t>1</w:t>
            </w:r>
          </w:p>
        </w:tc>
        <w:tc>
          <w:tcPr>
            <w:tcW w:w="1109" w:type="dxa"/>
            <w:tcBorders>
              <w:bottom w:val="single" w:color="000000" w:sz="12" w:space="0"/>
            </w:tcBorders>
            <w:vAlign w:val="top"/>
          </w:tcPr>
          <w:p>
            <w:pPr>
              <w:pStyle w:val="6"/>
              <w:spacing w:before="81" w:line="176" w:lineRule="auto"/>
              <w:ind w:left="470"/>
            </w:pPr>
            <w:r>
              <w:rPr>
                <w:spacing w:val="-6"/>
              </w:rPr>
              <w:t>14</w:t>
            </w:r>
          </w:p>
        </w:tc>
        <w:tc>
          <w:tcPr>
            <w:tcW w:w="1004" w:type="dxa"/>
            <w:tcBorders>
              <w:bottom w:val="single" w:color="000000" w:sz="12" w:space="0"/>
            </w:tcBorders>
            <w:vAlign w:val="top"/>
          </w:tcPr>
          <w:p>
            <w:pPr>
              <w:pStyle w:val="6"/>
              <w:spacing w:before="81" w:line="176" w:lineRule="auto"/>
              <w:ind w:left="471"/>
            </w:pPr>
            <w:r>
              <w:t>1</w:t>
            </w:r>
          </w:p>
        </w:tc>
        <w:tc>
          <w:tcPr>
            <w:tcW w:w="1041" w:type="dxa"/>
            <w:tcBorders>
              <w:bottom w:val="single" w:color="000000" w:sz="12" w:space="0"/>
            </w:tcBorders>
            <w:vAlign w:val="top"/>
          </w:tcPr>
          <w:p>
            <w:pPr>
              <w:pStyle w:val="6"/>
              <w:spacing w:before="81" w:line="176" w:lineRule="auto"/>
              <w:ind w:left="488"/>
            </w:pPr>
            <w:r>
              <w:t>1</w:t>
            </w:r>
          </w:p>
        </w:tc>
        <w:tc>
          <w:tcPr>
            <w:tcW w:w="1109" w:type="dxa"/>
            <w:tcBorders>
              <w:bottom w:val="single" w:color="000000" w:sz="12" w:space="0"/>
            </w:tcBorders>
            <w:vAlign w:val="top"/>
          </w:tcPr>
          <w:p>
            <w:pPr>
              <w:pStyle w:val="6"/>
              <w:spacing w:before="81" w:line="176" w:lineRule="auto"/>
              <w:ind w:left="471"/>
            </w:pPr>
            <w:r>
              <w:rPr>
                <w:spacing w:val="-6"/>
              </w:rPr>
              <w:t>13</w:t>
            </w:r>
          </w:p>
        </w:tc>
        <w:tc>
          <w:tcPr>
            <w:tcW w:w="1214" w:type="dxa"/>
            <w:tcBorders>
              <w:bottom w:val="single" w:color="000000" w:sz="12" w:space="0"/>
              <w:right w:val="nil"/>
            </w:tcBorders>
            <w:vAlign w:val="top"/>
          </w:tcPr>
          <w:p>
            <w:pPr>
              <w:pStyle w:val="6"/>
              <w:spacing w:before="81" w:line="176" w:lineRule="auto"/>
              <w:ind w:left="507"/>
            </w:pPr>
            <w:r>
              <w:rPr>
                <w:spacing w:val="-5"/>
              </w:rPr>
              <w:t>34</w:t>
            </w:r>
          </w:p>
        </w:tc>
      </w:tr>
    </w:tbl>
    <w:p>
      <w:pPr>
        <w:spacing w:line="155" w:lineRule="exact"/>
        <w:rPr>
          <w:rFonts w:ascii="Arial"/>
          <w:sz w:val="13"/>
        </w:rPr>
      </w:pPr>
    </w:p>
    <w:p>
      <w:pPr>
        <w:spacing w:line="155" w:lineRule="exact"/>
        <w:rPr>
          <w:rFonts w:ascii="Arial" w:hAnsi="Arial" w:eastAsia="Arial" w:cs="Arial"/>
          <w:sz w:val="13"/>
          <w:szCs w:val="13"/>
        </w:rPr>
        <w:sectPr>
          <w:footerReference r:id="rId314" w:type="default"/>
          <w:pgSz w:w="11907" w:h="16839"/>
          <w:pgMar w:top="1156" w:right="1768" w:bottom="1374" w:left="1770" w:header="881" w:footer="1210" w:gutter="0"/>
        </w:sectPr>
      </w:pPr>
    </w:p>
    <w:p>
      <w:pPr>
        <w:spacing w:before="41"/>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2"/>
        <w:gridCol w:w="1110"/>
        <w:gridCol w:w="1042"/>
        <w:gridCol w:w="1109"/>
        <w:gridCol w:w="1004"/>
        <w:gridCol w:w="1041"/>
        <w:gridCol w:w="1109"/>
        <w:gridCol w:w="1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6" w:hRule="atLeast"/>
        </w:trPr>
        <w:tc>
          <w:tcPr>
            <w:tcW w:w="692" w:type="dxa"/>
            <w:tcBorders>
              <w:top w:val="single" w:color="000000" w:sz="12" w:space="0"/>
              <w:left w:val="nil"/>
            </w:tcBorders>
            <w:vAlign w:val="top"/>
          </w:tcPr>
          <w:p>
            <w:pPr>
              <w:rPr>
                <w:rFonts w:ascii="Arial"/>
                <w:sz w:val="21"/>
              </w:rPr>
            </w:pPr>
          </w:p>
        </w:tc>
        <w:tc>
          <w:tcPr>
            <w:tcW w:w="1110" w:type="dxa"/>
            <w:tcBorders>
              <w:top w:val="single" w:color="000000" w:sz="12" w:space="0"/>
            </w:tcBorders>
            <w:vAlign w:val="top"/>
          </w:tcPr>
          <w:p>
            <w:pPr>
              <w:pStyle w:val="6"/>
              <w:spacing w:before="30" w:line="198" w:lineRule="auto"/>
              <w:ind w:left="117"/>
              <w:rPr>
                <w:rFonts w:ascii="仿宋" w:hAnsi="仿宋" w:eastAsia="仿宋" w:cs="仿宋"/>
              </w:rPr>
            </w:pPr>
            <w:r>
              <w:rPr>
                <w:rFonts w:ascii="仿宋" w:hAnsi="仿宋" w:eastAsia="仿宋" w:cs="仿宋"/>
                <w:spacing w:val="-2"/>
              </w:rPr>
              <w:t>（</w:t>
            </w:r>
            <w:r>
              <w:rPr>
                <w:spacing w:val="-2"/>
              </w:rPr>
              <w:t>11.76</w:t>
            </w:r>
            <w:r>
              <w:rPr>
                <w:rFonts w:ascii="仿宋" w:hAnsi="仿宋" w:eastAsia="仿宋" w:cs="仿宋"/>
                <w:spacing w:val="-2"/>
              </w:rPr>
              <w:t>）</w:t>
            </w:r>
          </w:p>
        </w:tc>
        <w:tc>
          <w:tcPr>
            <w:tcW w:w="1042" w:type="dxa"/>
            <w:tcBorders>
              <w:top w:val="single" w:color="000000" w:sz="12" w:space="0"/>
            </w:tcBorders>
            <w:vAlign w:val="top"/>
          </w:tcPr>
          <w:p>
            <w:pPr>
              <w:pStyle w:val="6"/>
              <w:spacing w:before="30" w:line="198" w:lineRule="auto"/>
              <w:ind w:left="135"/>
              <w:rPr>
                <w:rFonts w:ascii="仿宋" w:hAnsi="仿宋" w:eastAsia="仿宋" w:cs="仿宋"/>
              </w:rPr>
            </w:pPr>
            <w:r>
              <w:rPr>
                <w:rFonts w:ascii="仿宋" w:hAnsi="仿宋" w:eastAsia="仿宋" w:cs="仿宋"/>
                <w:spacing w:val="-3"/>
              </w:rPr>
              <w:t>（</w:t>
            </w:r>
            <w:r>
              <w:rPr>
                <w:spacing w:val="-3"/>
              </w:rPr>
              <w:t>2.94</w:t>
            </w:r>
            <w:r>
              <w:rPr>
                <w:rFonts w:ascii="仿宋" w:hAnsi="仿宋" w:eastAsia="仿宋" w:cs="仿宋"/>
                <w:spacing w:val="-3"/>
              </w:rPr>
              <w:t>）</w:t>
            </w:r>
          </w:p>
        </w:tc>
        <w:tc>
          <w:tcPr>
            <w:tcW w:w="1109" w:type="dxa"/>
            <w:tcBorders>
              <w:top w:val="single" w:color="000000" w:sz="12" w:space="0"/>
            </w:tcBorders>
            <w:vAlign w:val="top"/>
          </w:tcPr>
          <w:p>
            <w:pPr>
              <w:pStyle w:val="6"/>
              <w:spacing w:before="30" w:line="198" w:lineRule="auto"/>
              <w:ind w:left="118"/>
              <w:rPr>
                <w:rFonts w:ascii="仿宋" w:hAnsi="仿宋" w:eastAsia="仿宋" w:cs="仿宋"/>
              </w:rPr>
            </w:pPr>
            <w:r>
              <w:rPr>
                <w:rFonts w:ascii="仿宋" w:hAnsi="仿宋" w:eastAsia="仿宋" w:cs="仿宋"/>
                <w:spacing w:val="-2"/>
              </w:rPr>
              <w:t>（</w:t>
            </w:r>
            <w:r>
              <w:rPr>
                <w:spacing w:val="-2"/>
              </w:rPr>
              <w:t>41.18</w:t>
            </w:r>
            <w:r>
              <w:rPr>
                <w:rFonts w:ascii="仿宋" w:hAnsi="仿宋" w:eastAsia="仿宋" w:cs="仿宋"/>
                <w:spacing w:val="-2"/>
              </w:rPr>
              <w:t>）</w:t>
            </w:r>
          </w:p>
        </w:tc>
        <w:tc>
          <w:tcPr>
            <w:tcW w:w="1004" w:type="dxa"/>
            <w:tcBorders>
              <w:top w:val="single" w:color="000000" w:sz="12" w:space="0"/>
            </w:tcBorders>
            <w:vAlign w:val="top"/>
          </w:tcPr>
          <w:p>
            <w:pPr>
              <w:pStyle w:val="6"/>
              <w:spacing w:before="30" w:line="198" w:lineRule="auto"/>
              <w:ind w:left="118"/>
              <w:rPr>
                <w:rFonts w:ascii="仿宋" w:hAnsi="仿宋" w:eastAsia="仿宋" w:cs="仿宋"/>
              </w:rPr>
            </w:pPr>
            <w:r>
              <w:rPr>
                <w:rFonts w:ascii="仿宋" w:hAnsi="仿宋" w:eastAsia="仿宋" w:cs="仿宋"/>
                <w:spacing w:val="-3"/>
              </w:rPr>
              <w:t>（</w:t>
            </w:r>
            <w:r>
              <w:rPr>
                <w:spacing w:val="-3"/>
              </w:rPr>
              <w:t>2.94</w:t>
            </w:r>
            <w:r>
              <w:rPr>
                <w:rFonts w:ascii="仿宋" w:hAnsi="仿宋" w:eastAsia="仿宋" w:cs="仿宋"/>
                <w:spacing w:val="-3"/>
              </w:rPr>
              <w:t>）</w:t>
            </w:r>
          </w:p>
        </w:tc>
        <w:tc>
          <w:tcPr>
            <w:tcW w:w="1041" w:type="dxa"/>
            <w:tcBorders>
              <w:top w:val="single" w:color="000000" w:sz="12" w:space="0"/>
            </w:tcBorders>
            <w:vAlign w:val="top"/>
          </w:tcPr>
          <w:p>
            <w:pPr>
              <w:pStyle w:val="6"/>
              <w:spacing w:before="30" w:line="198" w:lineRule="auto"/>
              <w:ind w:left="136"/>
              <w:rPr>
                <w:rFonts w:ascii="仿宋" w:hAnsi="仿宋" w:eastAsia="仿宋" w:cs="仿宋"/>
              </w:rPr>
            </w:pPr>
            <w:r>
              <w:rPr>
                <w:rFonts w:ascii="仿宋" w:hAnsi="仿宋" w:eastAsia="仿宋" w:cs="仿宋"/>
                <w:spacing w:val="-3"/>
              </w:rPr>
              <w:t>（</w:t>
            </w:r>
            <w:r>
              <w:rPr>
                <w:spacing w:val="-3"/>
              </w:rPr>
              <w:t>2.94</w:t>
            </w:r>
            <w:r>
              <w:rPr>
                <w:rFonts w:ascii="仿宋" w:hAnsi="仿宋" w:eastAsia="仿宋" w:cs="仿宋"/>
                <w:spacing w:val="-3"/>
              </w:rPr>
              <w:t>）</w:t>
            </w:r>
          </w:p>
        </w:tc>
        <w:tc>
          <w:tcPr>
            <w:tcW w:w="1109" w:type="dxa"/>
            <w:tcBorders>
              <w:top w:val="single" w:color="000000" w:sz="12" w:space="0"/>
            </w:tcBorders>
            <w:vAlign w:val="top"/>
          </w:tcPr>
          <w:p>
            <w:pPr>
              <w:pStyle w:val="6"/>
              <w:spacing w:before="30" w:line="198" w:lineRule="auto"/>
              <w:ind w:left="119"/>
              <w:rPr>
                <w:rFonts w:ascii="仿宋" w:hAnsi="仿宋" w:eastAsia="仿宋" w:cs="仿宋"/>
              </w:rPr>
            </w:pPr>
            <w:r>
              <w:rPr>
                <w:rFonts w:ascii="仿宋" w:hAnsi="仿宋" w:eastAsia="仿宋" w:cs="仿宋"/>
                <w:spacing w:val="-2"/>
              </w:rPr>
              <w:t>（</w:t>
            </w:r>
            <w:r>
              <w:rPr>
                <w:spacing w:val="-2"/>
              </w:rPr>
              <w:t>38.24</w:t>
            </w:r>
            <w:r>
              <w:rPr>
                <w:rFonts w:ascii="仿宋" w:hAnsi="仿宋" w:eastAsia="仿宋" w:cs="仿宋"/>
                <w:spacing w:val="-2"/>
              </w:rPr>
              <w:t>）</w:t>
            </w:r>
          </w:p>
        </w:tc>
        <w:tc>
          <w:tcPr>
            <w:tcW w:w="1214" w:type="dxa"/>
            <w:tcBorders>
              <w:top w:val="single" w:color="000000" w:sz="12" w:space="0"/>
              <w:right w:val="nil"/>
            </w:tcBorders>
            <w:vAlign w:val="top"/>
          </w:tcPr>
          <w:p>
            <w:pPr>
              <w:pStyle w:val="6"/>
              <w:spacing w:before="30" w:line="198" w:lineRule="auto"/>
              <w:ind w:left="119"/>
              <w:rPr>
                <w:rFonts w:ascii="仿宋" w:hAnsi="仿宋" w:eastAsia="仿宋" w:cs="仿宋"/>
              </w:rPr>
            </w:pPr>
            <w:r>
              <w:rPr>
                <w:rFonts w:ascii="仿宋" w:hAnsi="仿宋" w:eastAsia="仿宋" w:cs="仿宋"/>
                <w:spacing w:val="-2"/>
              </w:rPr>
              <w:t>（</w:t>
            </w:r>
            <w:r>
              <w:rPr>
                <w:spacing w:val="-2"/>
              </w:rPr>
              <w:t>100.00</w:t>
            </w:r>
            <w:r>
              <w:rPr>
                <w:rFonts w:ascii="仿宋" w:hAnsi="仿宋" w:eastAsia="仿宋" w:cs="仿宋"/>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5" w:hRule="atLeast"/>
        </w:trPr>
        <w:tc>
          <w:tcPr>
            <w:tcW w:w="692" w:type="dxa"/>
            <w:vMerge w:val="restart"/>
            <w:tcBorders>
              <w:left w:val="nil"/>
              <w:bottom w:val="nil"/>
            </w:tcBorders>
            <w:vAlign w:val="top"/>
          </w:tcPr>
          <w:p>
            <w:pPr>
              <w:spacing w:before="163" w:line="218" w:lineRule="auto"/>
              <w:ind w:left="164"/>
              <w:rPr>
                <w:rFonts w:ascii="仿宋" w:hAnsi="仿宋" w:eastAsia="仿宋" w:cs="仿宋"/>
                <w:sz w:val="21"/>
                <w:szCs w:val="21"/>
              </w:rPr>
            </w:pPr>
            <w:r>
              <w:rPr>
                <w:rFonts w:ascii="仿宋" w:hAnsi="仿宋" w:eastAsia="仿宋" w:cs="仿宋"/>
                <w:spacing w:val="-6"/>
                <w:sz w:val="21"/>
                <w:szCs w:val="21"/>
              </w:rPr>
              <w:t>总计</w:t>
            </w:r>
          </w:p>
        </w:tc>
        <w:tc>
          <w:tcPr>
            <w:tcW w:w="1110" w:type="dxa"/>
            <w:tcBorders>
              <w:bottom w:val="nil"/>
            </w:tcBorders>
            <w:vAlign w:val="top"/>
          </w:tcPr>
          <w:p>
            <w:pPr>
              <w:pStyle w:val="6"/>
              <w:spacing w:before="65" w:line="159" w:lineRule="auto"/>
              <w:ind w:left="505"/>
            </w:pPr>
            <w:r>
              <w:t>3</w:t>
            </w:r>
          </w:p>
        </w:tc>
        <w:tc>
          <w:tcPr>
            <w:tcW w:w="1042" w:type="dxa"/>
            <w:tcBorders>
              <w:bottom w:val="nil"/>
            </w:tcBorders>
            <w:vAlign w:val="top"/>
          </w:tcPr>
          <w:p>
            <w:pPr>
              <w:pStyle w:val="6"/>
              <w:spacing w:before="65" w:line="159" w:lineRule="auto"/>
              <w:ind w:left="488"/>
            </w:pPr>
            <w:r>
              <w:t>1</w:t>
            </w:r>
          </w:p>
        </w:tc>
        <w:tc>
          <w:tcPr>
            <w:tcW w:w="1109" w:type="dxa"/>
            <w:tcBorders>
              <w:bottom w:val="nil"/>
            </w:tcBorders>
            <w:vAlign w:val="top"/>
          </w:tcPr>
          <w:p>
            <w:pPr>
              <w:pStyle w:val="6"/>
              <w:spacing w:before="65" w:line="159" w:lineRule="auto"/>
              <w:ind w:left="470"/>
            </w:pPr>
            <w:r>
              <w:rPr>
                <w:spacing w:val="-6"/>
              </w:rPr>
              <w:t>15</w:t>
            </w:r>
          </w:p>
        </w:tc>
        <w:tc>
          <w:tcPr>
            <w:tcW w:w="1004" w:type="dxa"/>
            <w:tcBorders>
              <w:bottom w:val="nil"/>
            </w:tcBorders>
            <w:vAlign w:val="top"/>
          </w:tcPr>
          <w:p>
            <w:pPr>
              <w:pStyle w:val="6"/>
              <w:spacing w:before="65" w:line="159" w:lineRule="auto"/>
              <w:ind w:left="450"/>
            </w:pPr>
            <w:r>
              <w:t>2</w:t>
            </w:r>
          </w:p>
        </w:tc>
        <w:tc>
          <w:tcPr>
            <w:tcW w:w="1041" w:type="dxa"/>
            <w:tcBorders>
              <w:bottom w:val="nil"/>
            </w:tcBorders>
            <w:vAlign w:val="top"/>
          </w:tcPr>
          <w:p>
            <w:pPr>
              <w:pStyle w:val="6"/>
              <w:spacing w:before="65" w:line="159" w:lineRule="auto"/>
              <w:ind w:left="488"/>
            </w:pPr>
            <w:r>
              <w:t>1</w:t>
            </w:r>
          </w:p>
        </w:tc>
        <w:tc>
          <w:tcPr>
            <w:tcW w:w="1109" w:type="dxa"/>
            <w:tcBorders>
              <w:bottom w:val="nil"/>
            </w:tcBorders>
            <w:vAlign w:val="top"/>
          </w:tcPr>
          <w:p>
            <w:pPr>
              <w:pStyle w:val="6"/>
              <w:spacing w:before="65" w:line="159" w:lineRule="auto"/>
              <w:ind w:left="471"/>
            </w:pPr>
            <w:r>
              <w:rPr>
                <w:spacing w:val="-6"/>
              </w:rPr>
              <w:t>17</w:t>
            </w:r>
          </w:p>
        </w:tc>
        <w:tc>
          <w:tcPr>
            <w:tcW w:w="1214" w:type="dxa"/>
            <w:tcBorders>
              <w:bottom w:val="nil"/>
              <w:right w:val="nil"/>
            </w:tcBorders>
            <w:vAlign w:val="top"/>
          </w:tcPr>
          <w:p>
            <w:pPr>
              <w:pStyle w:val="6"/>
              <w:spacing w:before="65" w:line="159" w:lineRule="auto"/>
              <w:ind w:left="502"/>
            </w:pPr>
            <w:r>
              <w:rPr>
                <w:spacing w:val="-2"/>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9" w:hRule="atLeast"/>
        </w:trPr>
        <w:tc>
          <w:tcPr>
            <w:tcW w:w="692" w:type="dxa"/>
            <w:vMerge w:val="continue"/>
            <w:tcBorders>
              <w:top w:val="nil"/>
              <w:left w:val="nil"/>
              <w:bottom w:val="single" w:color="000000" w:sz="12" w:space="0"/>
            </w:tcBorders>
            <w:vAlign w:val="top"/>
          </w:tcPr>
          <w:p>
            <w:pPr>
              <w:rPr>
                <w:rFonts w:ascii="Arial"/>
                <w:sz w:val="21"/>
              </w:rPr>
            </w:pPr>
          </w:p>
        </w:tc>
        <w:tc>
          <w:tcPr>
            <w:tcW w:w="1110" w:type="dxa"/>
            <w:tcBorders>
              <w:top w:val="nil"/>
              <w:bottom w:val="single" w:color="000000" w:sz="12" w:space="0"/>
            </w:tcBorders>
            <w:vAlign w:val="top"/>
          </w:tcPr>
          <w:p>
            <w:pPr>
              <w:pStyle w:val="6"/>
              <w:spacing w:before="48" w:line="203" w:lineRule="auto"/>
              <w:ind w:left="170"/>
              <w:rPr>
                <w:rFonts w:ascii="仿宋" w:hAnsi="仿宋" w:eastAsia="仿宋" w:cs="仿宋"/>
              </w:rPr>
            </w:pPr>
            <w:r>
              <w:rPr>
                <w:rFonts w:ascii="仿宋" w:hAnsi="仿宋" w:eastAsia="仿宋" w:cs="仿宋"/>
                <w:spacing w:val="-3"/>
              </w:rPr>
              <w:t>（</w:t>
            </w:r>
            <w:r>
              <w:rPr>
                <w:spacing w:val="-3"/>
              </w:rPr>
              <w:t>7.32</w:t>
            </w:r>
            <w:r>
              <w:rPr>
                <w:rFonts w:ascii="仿宋" w:hAnsi="仿宋" w:eastAsia="仿宋" w:cs="仿宋"/>
                <w:spacing w:val="-3"/>
              </w:rPr>
              <w:t>）</w:t>
            </w:r>
          </w:p>
        </w:tc>
        <w:tc>
          <w:tcPr>
            <w:tcW w:w="1042" w:type="dxa"/>
            <w:tcBorders>
              <w:top w:val="nil"/>
              <w:bottom w:val="single" w:color="000000" w:sz="12" w:space="0"/>
            </w:tcBorders>
            <w:vAlign w:val="top"/>
          </w:tcPr>
          <w:p>
            <w:pPr>
              <w:pStyle w:val="6"/>
              <w:spacing w:before="48" w:line="203" w:lineRule="auto"/>
              <w:ind w:left="135"/>
              <w:rPr>
                <w:rFonts w:ascii="仿宋" w:hAnsi="仿宋" w:eastAsia="仿宋" w:cs="仿宋"/>
              </w:rPr>
            </w:pPr>
            <w:r>
              <w:rPr>
                <w:rFonts w:ascii="仿宋" w:hAnsi="仿宋" w:eastAsia="仿宋" w:cs="仿宋"/>
                <w:spacing w:val="-3"/>
              </w:rPr>
              <w:t>（</w:t>
            </w:r>
            <w:r>
              <w:rPr>
                <w:spacing w:val="-3"/>
              </w:rPr>
              <w:t>2.44</w:t>
            </w:r>
            <w:r>
              <w:rPr>
                <w:rFonts w:ascii="仿宋" w:hAnsi="仿宋" w:eastAsia="仿宋" w:cs="仿宋"/>
                <w:spacing w:val="-3"/>
              </w:rPr>
              <w:t>）</w:t>
            </w:r>
          </w:p>
        </w:tc>
        <w:tc>
          <w:tcPr>
            <w:tcW w:w="1109" w:type="dxa"/>
            <w:tcBorders>
              <w:top w:val="nil"/>
              <w:bottom w:val="single" w:color="000000" w:sz="12" w:space="0"/>
            </w:tcBorders>
            <w:vAlign w:val="top"/>
          </w:tcPr>
          <w:p>
            <w:pPr>
              <w:pStyle w:val="6"/>
              <w:spacing w:before="48" w:line="203" w:lineRule="auto"/>
              <w:ind w:left="118"/>
              <w:rPr>
                <w:rFonts w:ascii="仿宋" w:hAnsi="仿宋" w:eastAsia="仿宋" w:cs="仿宋"/>
              </w:rPr>
            </w:pPr>
            <w:r>
              <w:rPr>
                <w:rFonts w:ascii="仿宋" w:hAnsi="仿宋" w:eastAsia="仿宋" w:cs="仿宋"/>
                <w:spacing w:val="-2"/>
              </w:rPr>
              <w:t>（</w:t>
            </w:r>
            <w:r>
              <w:rPr>
                <w:spacing w:val="-2"/>
              </w:rPr>
              <w:t>36.59</w:t>
            </w:r>
            <w:r>
              <w:rPr>
                <w:rFonts w:ascii="仿宋" w:hAnsi="仿宋" w:eastAsia="仿宋" w:cs="仿宋"/>
                <w:spacing w:val="-2"/>
              </w:rPr>
              <w:t>）</w:t>
            </w:r>
          </w:p>
        </w:tc>
        <w:tc>
          <w:tcPr>
            <w:tcW w:w="1004" w:type="dxa"/>
            <w:tcBorders>
              <w:top w:val="nil"/>
              <w:bottom w:val="single" w:color="000000" w:sz="12" w:space="0"/>
            </w:tcBorders>
            <w:vAlign w:val="top"/>
          </w:tcPr>
          <w:p>
            <w:pPr>
              <w:pStyle w:val="6"/>
              <w:spacing w:before="48" w:line="203" w:lineRule="auto"/>
              <w:ind w:left="118"/>
              <w:rPr>
                <w:rFonts w:ascii="仿宋" w:hAnsi="仿宋" w:eastAsia="仿宋" w:cs="仿宋"/>
              </w:rPr>
            </w:pPr>
            <w:r>
              <w:rPr>
                <w:rFonts w:ascii="仿宋" w:hAnsi="仿宋" w:eastAsia="仿宋" w:cs="仿宋"/>
                <w:spacing w:val="-3"/>
              </w:rPr>
              <w:t>（</w:t>
            </w:r>
            <w:r>
              <w:rPr>
                <w:spacing w:val="-3"/>
              </w:rPr>
              <w:t>7.32</w:t>
            </w:r>
            <w:r>
              <w:rPr>
                <w:rFonts w:ascii="仿宋" w:hAnsi="仿宋" w:eastAsia="仿宋" w:cs="仿宋"/>
                <w:spacing w:val="-3"/>
              </w:rPr>
              <w:t>）</w:t>
            </w:r>
          </w:p>
        </w:tc>
        <w:tc>
          <w:tcPr>
            <w:tcW w:w="1041" w:type="dxa"/>
            <w:tcBorders>
              <w:top w:val="nil"/>
              <w:bottom w:val="single" w:color="000000" w:sz="12" w:space="0"/>
            </w:tcBorders>
            <w:vAlign w:val="top"/>
          </w:tcPr>
          <w:p>
            <w:pPr>
              <w:pStyle w:val="6"/>
              <w:spacing w:before="48" w:line="203" w:lineRule="auto"/>
              <w:ind w:left="136"/>
              <w:rPr>
                <w:rFonts w:ascii="仿宋" w:hAnsi="仿宋" w:eastAsia="仿宋" w:cs="仿宋"/>
              </w:rPr>
            </w:pPr>
            <w:r>
              <w:rPr>
                <w:rFonts w:ascii="仿宋" w:hAnsi="仿宋" w:eastAsia="仿宋" w:cs="仿宋"/>
                <w:spacing w:val="-3"/>
              </w:rPr>
              <w:t>（</w:t>
            </w:r>
            <w:r>
              <w:rPr>
                <w:spacing w:val="-3"/>
              </w:rPr>
              <w:t>2.44</w:t>
            </w:r>
            <w:r>
              <w:rPr>
                <w:rFonts w:ascii="仿宋" w:hAnsi="仿宋" w:eastAsia="仿宋" w:cs="仿宋"/>
                <w:spacing w:val="-3"/>
              </w:rPr>
              <w:t>）</w:t>
            </w:r>
          </w:p>
        </w:tc>
        <w:tc>
          <w:tcPr>
            <w:tcW w:w="1109" w:type="dxa"/>
            <w:tcBorders>
              <w:top w:val="nil"/>
              <w:bottom w:val="single" w:color="000000" w:sz="12" w:space="0"/>
            </w:tcBorders>
            <w:vAlign w:val="top"/>
          </w:tcPr>
          <w:p>
            <w:pPr>
              <w:pStyle w:val="6"/>
              <w:spacing w:before="48" w:line="203" w:lineRule="auto"/>
              <w:ind w:left="119"/>
              <w:rPr>
                <w:rFonts w:ascii="仿宋" w:hAnsi="仿宋" w:eastAsia="仿宋" w:cs="仿宋"/>
              </w:rPr>
            </w:pPr>
            <w:r>
              <w:rPr>
                <w:rFonts w:ascii="仿宋" w:hAnsi="仿宋" w:eastAsia="仿宋" w:cs="仿宋"/>
                <w:spacing w:val="-2"/>
              </w:rPr>
              <w:t>（</w:t>
            </w:r>
            <w:r>
              <w:rPr>
                <w:spacing w:val="-2"/>
              </w:rPr>
              <w:t>41.46</w:t>
            </w:r>
            <w:r>
              <w:rPr>
                <w:rFonts w:ascii="仿宋" w:hAnsi="仿宋" w:eastAsia="仿宋" w:cs="仿宋"/>
                <w:spacing w:val="-2"/>
              </w:rPr>
              <w:t>）</w:t>
            </w:r>
          </w:p>
        </w:tc>
        <w:tc>
          <w:tcPr>
            <w:tcW w:w="1214" w:type="dxa"/>
            <w:tcBorders>
              <w:top w:val="nil"/>
              <w:bottom w:val="single" w:color="000000" w:sz="12" w:space="0"/>
              <w:right w:val="nil"/>
            </w:tcBorders>
            <w:vAlign w:val="top"/>
          </w:tcPr>
          <w:p>
            <w:pPr>
              <w:pStyle w:val="6"/>
              <w:spacing w:before="48" w:line="203" w:lineRule="auto"/>
              <w:ind w:left="119"/>
              <w:rPr>
                <w:rFonts w:ascii="仿宋" w:hAnsi="仿宋" w:eastAsia="仿宋" w:cs="仿宋"/>
              </w:rPr>
            </w:pPr>
            <w:r>
              <w:rPr>
                <w:rFonts w:ascii="仿宋" w:hAnsi="仿宋" w:eastAsia="仿宋" w:cs="仿宋"/>
                <w:spacing w:val="-2"/>
              </w:rPr>
              <w:t>（</w:t>
            </w:r>
            <w:r>
              <w:rPr>
                <w:spacing w:val="-2"/>
              </w:rPr>
              <w:t>100.00</w:t>
            </w:r>
            <w:r>
              <w:rPr>
                <w:rFonts w:ascii="仿宋" w:hAnsi="仿宋" w:eastAsia="仿宋" w:cs="仿宋"/>
                <w:spacing w:val="-2"/>
              </w:rPr>
              <w:t>）</w:t>
            </w:r>
          </w:p>
        </w:tc>
      </w:tr>
    </w:tbl>
    <w:p>
      <w:pPr>
        <w:spacing w:before="172" w:line="233" w:lineRule="auto"/>
        <w:ind w:left="460"/>
        <w:rPr>
          <w:rFonts w:ascii="宋体" w:hAnsi="宋体" w:eastAsia="宋体" w:cs="宋体"/>
          <w:sz w:val="21"/>
          <w:szCs w:val="21"/>
        </w:rPr>
      </w:pPr>
      <w:r>
        <w:rPr>
          <w:rFonts w:ascii="宋体" w:hAnsi="宋体" w:eastAsia="宋体" w:cs="宋体"/>
          <w:spacing w:val="-13"/>
          <w:sz w:val="21"/>
          <w:szCs w:val="21"/>
          <w14:textOutline w14:w="3810" w14:cap="flat" w14:cmpd="sng">
            <w14:solidFill>
              <w14:srgbClr w14:val="000000"/>
            </w14:solidFill>
            <w14:prstDash w14:val="solid"/>
            <w14:miter w14:val="0"/>
          </w14:textOutline>
        </w:rPr>
        <w:t>注：</w:t>
      </w:r>
      <w:r>
        <w:rPr>
          <w:rFonts w:ascii="宋体" w:hAnsi="宋体" w:eastAsia="宋体" w:cs="宋体"/>
          <w:spacing w:val="-13"/>
          <w:sz w:val="21"/>
          <w:szCs w:val="21"/>
        </w:rPr>
        <w:t xml:space="preserve"> </w:t>
      </w:r>
      <w:r>
        <w:rPr>
          <w:rFonts w:ascii="Times New Roman" w:hAnsi="Times New Roman" w:eastAsia="Times New Roman" w:cs="Times New Roman"/>
          <w:b/>
          <w:bCs/>
          <w:spacing w:val="-13"/>
          <w:sz w:val="21"/>
          <w:szCs w:val="21"/>
        </w:rPr>
        <w:t>S</w:t>
      </w:r>
      <w:r>
        <w:rPr>
          <w:rFonts w:ascii="Times New Roman" w:hAnsi="Times New Roman" w:eastAsia="Times New Roman" w:cs="Times New Roman"/>
          <w:b/>
          <w:bCs/>
          <w:spacing w:val="11"/>
          <w:sz w:val="21"/>
          <w:szCs w:val="21"/>
        </w:rPr>
        <w:t xml:space="preserve"> </w:t>
      </w:r>
      <w:r>
        <w:rPr>
          <w:rFonts w:ascii="宋体" w:hAnsi="宋体" w:eastAsia="宋体" w:cs="宋体"/>
          <w:spacing w:val="-13"/>
          <w:sz w:val="21"/>
          <w:szCs w:val="21"/>
          <w14:textOutline w14:w="3810" w14:cap="flat" w14:cmpd="sng">
            <w14:solidFill>
              <w14:srgbClr w14:val="000000"/>
            </w14:solidFill>
            <w14:prstDash w14:val="solid"/>
            <w14:miter w14:val="0"/>
          </w14:textOutline>
        </w:rPr>
        <w:t>为种类数，“（</w:t>
      </w:r>
      <w:r>
        <w:rPr>
          <w:rFonts w:ascii="Times New Roman" w:hAnsi="Times New Roman" w:eastAsia="Times New Roman" w:cs="Times New Roman"/>
          <w:b/>
          <w:bCs/>
          <w:spacing w:val="-13"/>
          <w:sz w:val="21"/>
          <w:szCs w:val="21"/>
        </w:rPr>
        <w:t>%</w:t>
      </w:r>
      <w:r>
        <w:rPr>
          <w:rFonts w:ascii="宋体" w:hAnsi="宋体" w:eastAsia="宋体" w:cs="宋体"/>
          <w:spacing w:val="-13"/>
          <w:sz w:val="21"/>
          <w:szCs w:val="21"/>
          <w14:textOutline w14:w="3810" w14:cap="flat" w14:cmpd="sng">
            <w14:solidFill>
              <w14:srgbClr w14:val="000000"/>
            </w14:solidFill>
            <w14:prstDash w14:val="solid"/>
            <w14:miter w14:val="0"/>
          </w14:textOutline>
        </w:rPr>
        <w:t>）”中数字表示种类数占该点总种</w:t>
      </w:r>
      <w:r>
        <w:rPr>
          <w:rFonts w:ascii="宋体" w:hAnsi="宋体" w:eastAsia="宋体" w:cs="宋体"/>
          <w:spacing w:val="-14"/>
          <w:sz w:val="21"/>
          <w:szCs w:val="21"/>
          <w14:textOutline w14:w="3810" w14:cap="flat" w14:cmpd="sng">
            <w14:solidFill>
              <w14:srgbClr w14:val="000000"/>
            </w14:solidFill>
            <w14:prstDash w14:val="solid"/>
            <w14:miter w14:val="0"/>
          </w14:textOutline>
        </w:rPr>
        <w:t>数的百分数</w:t>
      </w:r>
    </w:p>
    <w:p>
      <w:pPr>
        <w:spacing w:before="116" w:line="219" w:lineRule="auto"/>
        <w:ind w:left="518"/>
        <w:rPr>
          <w:rFonts w:ascii="宋体" w:hAnsi="宋体" w:eastAsia="宋体" w:cs="宋体"/>
          <w:sz w:val="24"/>
          <w:szCs w:val="24"/>
        </w:rPr>
      </w:pPr>
      <w:r>
        <w:rPr>
          <w:rFonts w:ascii="宋体" w:hAnsi="宋体" w:eastAsia="宋体" w:cs="宋体"/>
          <w:spacing w:val="-2"/>
          <w:sz w:val="24"/>
          <w:szCs w:val="24"/>
        </w:rPr>
        <w:t>在检测出的浮游植物</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个门类中，种类在所有采样点有不同程度的分布。</w:t>
      </w:r>
    </w:p>
    <w:p>
      <w:pPr>
        <w:spacing w:before="184" w:line="360" w:lineRule="auto"/>
        <w:ind w:left="45" w:right="32" w:hanging="5"/>
        <w:rPr>
          <w:rFonts w:ascii="宋体" w:hAnsi="宋体" w:eastAsia="宋体" w:cs="宋体"/>
          <w:sz w:val="24"/>
          <w:szCs w:val="24"/>
        </w:rPr>
      </w:pPr>
      <w:r>
        <w:rPr>
          <w:rFonts w:ascii="宋体" w:hAnsi="宋体" w:eastAsia="宋体" w:cs="宋体"/>
          <w:sz w:val="24"/>
          <w:szCs w:val="24"/>
        </w:rPr>
        <w:t>其中铜绿微囊藻</w:t>
      </w:r>
      <w:r>
        <w:rPr>
          <w:rFonts w:ascii="宋体" w:hAnsi="宋体" w:eastAsia="宋体" w:cs="宋体"/>
          <w:spacing w:val="-68"/>
          <w:sz w:val="24"/>
          <w:szCs w:val="24"/>
        </w:rPr>
        <w:t xml:space="preserve"> </w:t>
      </w:r>
      <w:r>
        <w:rPr>
          <w:rFonts w:ascii="Times New Roman" w:hAnsi="Times New Roman" w:eastAsia="Times New Roman" w:cs="Times New Roman"/>
          <w:i/>
          <w:iCs/>
          <w:sz w:val="24"/>
          <w:szCs w:val="24"/>
        </w:rPr>
        <w:t>Microcystis aeruginosa</w:t>
      </w:r>
      <w:r>
        <w:rPr>
          <w:rFonts w:ascii="宋体" w:hAnsi="宋体" w:eastAsia="宋体" w:cs="宋体"/>
          <w:spacing w:val="-1"/>
          <w:sz w:val="24"/>
          <w:szCs w:val="24"/>
        </w:rPr>
        <w:t>、短小舟形藻</w:t>
      </w:r>
      <w:r>
        <w:rPr>
          <w:rFonts w:ascii="宋体" w:hAnsi="宋体" w:eastAsia="宋体" w:cs="宋体"/>
          <w:spacing w:val="-56"/>
          <w:sz w:val="24"/>
          <w:szCs w:val="24"/>
        </w:rPr>
        <w:t xml:space="preserve"> </w:t>
      </w:r>
      <w:r>
        <w:rPr>
          <w:rFonts w:ascii="Times New Roman" w:hAnsi="Times New Roman" w:eastAsia="Times New Roman" w:cs="Times New Roman"/>
          <w:i/>
          <w:iCs/>
          <w:spacing w:val="-1"/>
          <w:sz w:val="24"/>
          <w:szCs w:val="24"/>
        </w:rPr>
        <w:t>Navicula exigua</w:t>
      </w:r>
      <w:r>
        <w:rPr>
          <w:rFonts w:ascii="宋体" w:hAnsi="宋体" w:eastAsia="宋体" w:cs="宋体"/>
          <w:spacing w:val="-1"/>
          <w:sz w:val="24"/>
          <w:szCs w:val="24"/>
        </w:rPr>
        <w:t>、啮蚀隐藻</w:t>
      </w:r>
      <w:r>
        <w:rPr>
          <w:rFonts w:ascii="宋体" w:hAnsi="宋体" w:eastAsia="宋体" w:cs="宋体"/>
          <w:sz w:val="24"/>
          <w:szCs w:val="24"/>
        </w:rPr>
        <w:t xml:space="preserve"> </w:t>
      </w:r>
      <w:r>
        <w:rPr>
          <w:rFonts w:ascii="Times New Roman" w:hAnsi="Times New Roman" w:eastAsia="Times New Roman" w:cs="Times New Roman"/>
          <w:i/>
          <w:iCs/>
          <w:spacing w:val="-2"/>
          <w:sz w:val="24"/>
          <w:szCs w:val="24"/>
        </w:rPr>
        <w:t>Cryptomonas erosa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、角甲藻</w:t>
      </w:r>
      <w:r>
        <w:rPr>
          <w:rFonts w:ascii="宋体" w:hAnsi="宋体" w:eastAsia="宋体" w:cs="宋体"/>
          <w:spacing w:val="-44"/>
          <w:sz w:val="24"/>
          <w:szCs w:val="24"/>
        </w:rPr>
        <w:t xml:space="preserve"> </w:t>
      </w:r>
      <w:r>
        <w:rPr>
          <w:rFonts w:ascii="Times New Roman" w:hAnsi="Times New Roman" w:eastAsia="Times New Roman" w:cs="Times New Roman"/>
          <w:i/>
          <w:iCs/>
          <w:spacing w:val="-2"/>
          <w:sz w:val="24"/>
          <w:szCs w:val="24"/>
        </w:rPr>
        <w:t>Ceratium hirundinella</w:t>
      </w:r>
      <w:r>
        <w:rPr>
          <w:rFonts w:ascii="Times New Roman" w:hAnsi="Times New Roman" w:eastAsia="Times New Roman" w:cs="Times New Roman"/>
          <w:i/>
          <w:iCs/>
          <w:spacing w:val="-33"/>
          <w:sz w:val="24"/>
          <w:szCs w:val="24"/>
        </w:rPr>
        <w:t xml:space="preserve"> </w:t>
      </w:r>
      <w:r>
        <w:rPr>
          <w:rFonts w:ascii="宋体" w:hAnsi="宋体" w:eastAsia="宋体" w:cs="宋体"/>
          <w:spacing w:val="-2"/>
          <w:sz w:val="24"/>
          <w:szCs w:val="24"/>
        </w:rPr>
        <w:t>、环</w:t>
      </w:r>
      <w:r>
        <w:rPr>
          <w:rFonts w:ascii="宋体" w:hAnsi="宋体" w:eastAsia="宋体" w:cs="宋体"/>
          <w:spacing w:val="-3"/>
          <w:sz w:val="24"/>
          <w:szCs w:val="24"/>
        </w:rPr>
        <w:t>丝藻</w:t>
      </w:r>
      <w:r>
        <w:rPr>
          <w:rFonts w:ascii="宋体" w:hAnsi="宋体" w:eastAsia="宋体" w:cs="宋体"/>
          <w:spacing w:val="-35"/>
          <w:sz w:val="24"/>
          <w:szCs w:val="24"/>
        </w:rPr>
        <w:t xml:space="preserve"> </w:t>
      </w:r>
      <w:r>
        <w:rPr>
          <w:rFonts w:ascii="Times New Roman" w:hAnsi="Times New Roman" w:eastAsia="Times New Roman" w:cs="Times New Roman"/>
          <w:i/>
          <w:iCs/>
          <w:spacing w:val="-3"/>
          <w:sz w:val="24"/>
          <w:szCs w:val="24"/>
        </w:rPr>
        <w:t>Ulothrix zonata</w:t>
      </w:r>
      <w:r>
        <w:rPr>
          <w:rFonts w:ascii="Times New Roman" w:hAnsi="Times New Roman" w:eastAsia="Times New Roman" w:cs="Times New Roman"/>
          <w:i/>
          <w:iCs/>
          <w:spacing w:val="-33"/>
          <w:sz w:val="24"/>
          <w:szCs w:val="24"/>
        </w:rPr>
        <w:t xml:space="preserve"> </w:t>
      </w:r>
      <w:r>
        <w:rPr>
          <w:rFonts w:ascii="宋体" w:hAnsi="宋体" w:eastAsia="宋体" w:cs="宋体"/>
          <w:spacing w:val="-3"/>
          <w:sz w:val="24"/>
          <w:szCs w:val="24"/>
        </w:rPr>
        <w:t>、普通</w:t>
      </w:r>
    </w:p>
    <w:p>
      <w:pPr>
        <w:spacing w:line="212" w:lineRule="auto"/>
        <w:ind w:left="42"/>
        <w:rPr>
          <w:rFonts w:ascii="宋体" w:hAnsi="宋体" w:eastAsia="宋体" w:cs="宋体"/>
          <w:sz w:val="24"/>
          <w:szCs w:val="24"/>
        </w:rPr>
      </w:pPr>
      <w:r>
        <w:rPr>
          <w:rFonts w:ascii="宋体" w:hAnsi="宋体" w:eastAsia="宋体" w:cs="宋体"/>
          <w:spacing w:val="-1"/>
          <w:sz w:val="24"/>
          <w:szCs w:val="24"/>
        </w:rPr>
        <w:t>水绵</w:t>
      </w:r>
      <w:r>
        <w:rPr>
          <w:rFonts w:ascii="宋体" w:hAnsi="宋体" w:eastAsia="宋体" w:cs="宋体"/>
          <w:spacing w:val="-59"/>
          <w:sz w:val="24"/>
          <w:szCs w:val="24"/>
        </w:rPr>
        <w:t xml:space="preserve"> </w:t>
      </w:r>
      <w:r>
        <w:rPr>
          <w:rFonts w:ascii="Times New Roman" w:hAnsi="Times New Roman" w:eastAsia="Times New Roman" w:cs="Times New Roman"/>
          <w:i/>
          <w:iCs/>
          <w:spacing w:val="-1"/>
          <w:sz w:val="24"/>
          <w:szCs w:val="24"/>
        </w:rPr>
        <w:t>Spirogyra communis</w:t>
      </w:r>
      <w:r>
        <w:rPr>
          <w:rFonts w:ascii="Times New Roman" w:hAnsi="Times New Roman" w:eastAsia="Times New Roman" w:cs="Times New Roman"/>
          <w:i/>
          <w:iCs/>
          <w:spacing w:val="-33"/>
          <w:sz w:val="24"/>
          <w:szCs w:val="24"/>
        </w:rPr>
        <w:t xml:space="preserve"> </w:t>
      </w:r>
      <w:r>
        <w:rPr>
          <w:rFonts w:ascii="宋体" w:hAnsi="宋体" w:eastAsia="宋体" w:cs="宋体"/>
          <w:spacing w:val="-1"/>
          <w:sz w:val="24"/>
          <w:szCs w:val="24"/>
        </w:rPr>
        <w:t xml:space="preserve">、钝鼓 </w:t>
      </w:r>
      <w:r>
        <w:rPr>
          <w:rFonts w:ascii="Times New Roman" w:hAnsi="Times New Roman" w:eastAsia="Times New Roman" w:cs="Times New Roman"/>
          <w:i/>
          <w:iCs/>
          <w:spacing w:val="-1"/>
          <w:sz w:val="24"/>
          <w:szCs w:val="24"/>
        </w:rPr>
        <w:t>Cosmarium obtusatum</w:t>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种在所有采样点均出</w:t>
      </w:r>
    </w:p>
    <w:p>
      <w:pPr>
        <w:spacing w:before="191" w:line="233" w:lineRule="auto"/>
        <w:ind w:left="41"/>
        <w:rPr>
          <w:rFonts w:ascii="宋体" w:hAnsi="宋体" w:eastAsia="宋体" w:cs="宋体"/>
          <w:sz w:val="24"/>
          <w:szCs w:val="24"/>
        </w:rPr>
      </w:pPr>
      <w:r>
        <w:rPr>
          <w:rFonts w:ascii="宋体" w:hAnsi="宋体" w:eastAsia="宋体" w:cs="宋体"/>
          <w:spacing w:val="-1"/>
          <w:sz w:val="24"/>
          <w:szCs w:val="24"/>
        </w:rPr>
        <w:t>现，占总种数的</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17.03%</w:t>
      </w:r>
      <w:r>
        <w:rPr>
          <w:rFonts w:ascii="宋体" w:hAnsi="宋体" w:eastAsia="宋体" w:cs="宋体"/>
          <w:spacing w:val="-1"/>
          <w:sz w:val="24"/>
          <w:szCs w:val="24"/>
        </w:rPr>
        <w:t>，表明所有采样点的浮游植物种类组成相似</w:t>
      </w:r>
      <w:r>
        <w:rPr>
          <w:rFonts w:ascii="宋体" w:hAnsi="宋体" w:eastAsia="宋体" w:cs="宋体"/>
          <w:spacing w:val="-2"/>
          <w:sz w:val="24"/>
          <w:szCs w:val="24"/>
        </w:rPr>
        <w:t>性较差。</w:t>
      </w:r>
    </w:p>
    <w:p>
      <w:pPr>
        <w:spacing w:before="166" w:line="360" w:lineRule="auto"/>
        <w:ind w:left="40" w:right="176" w:firstLine="481"/>
        <w:rPr>
          <w:rFonts w:ascii="宋体" w:hAnsi="宋体" w:eastAsia="宋体" w:cs="宋体"/>
          <w:sz w:val="24"/>
          <w:szCs w:val="24"/>
        </w:rPr>
      </w:pPr>
      <w:r>
        <w:rPr>
          <w:rFonts w:ascii="宋体" w:hAnsi="宋体" w:eastAsia="宋体" w:cs="宋体"/>
          <w:spacing w:val="-1"/>
          <w:sz w:val="24"/>
          <w:szCs w:val="24"/>
        </w:rPr>
        <w:t>从上表中可以看出，本次所采集检测到的浮游植物种类组成在</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个采样点</w:t>
      </w:r>
      <w:r>
        <w:rPr>
          <w:rFonts w:ascii="宋体" w:hAnsi="宋体" w:eastAsia="宋体" w:cs="宋体"/>
          <w:sz w:val="24"/>
          <w:szCs w:val="24"/>
        </w:rPr>
        <w:t xml:space="preserve"> </w:t>
      </w:r>
      <w:r>
        <w:rPr>
          <w:rFonts w:ascii="宋体" w:hAnsi="宋体" w:eastAsia="宋体" w:cs="宋体"/>
          <w:spacing w:val="-2"/>
          <w:sz w:val="24"/>
          <w:szCs w:val="24"/>
        </w:rPr>
        <w:t>有一定的区别：断面</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 xml:space="preserve">W1 </w:t>
      </w:r>
      <w:r>
        <w:rPr>
          <w:rFonts w:ascii="宋体" w:hAnsi="宋体" w:eastAsia="宋体" w:cs="宋体"/>
          <w:spacing w:val="-2"/>
          <w:sz w:val="24"/>
          <w:szCs w:val="24"/>
        </w:rPr>
        <w:t>有</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个门共计</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21 </w:t>
      </w:r>
      <w:r>
        <w:rPr>
          <w:rFonts w:ascii="宋体" w:hAnsi="宋体" w:eastAsia="宋体" w:cs="宋体"/>
          <w:spacing w:val="-2"/>
          <w:sz w:val="24"/>
          <w:szCs w:val="24"/>
        </w:rPr>
        <w:t>种；断面</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 xml:space="preserve">W2 </w:t>
      </w:r>
      <w:r>
        <w:rPr>
          <w:rFonts w:ascii="宋体" w:hAnsi="宋体" w:eastAsia="宋体" w:cs="宋体"/>
          <w:spacing w:val="-2"/>
          <w:sz w:val="24"/>
          <w:szCs w:val="24"/>
        </w:rPr>
        <w:t>有</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个门共计</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28</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种；</w:t>
      </w:r>
    </w:p>
    <w:p>
      <w:pPr>
        <w:spacing w:before="1" w:line="219" w:lineRule="auto"/>
        <w:ind w:left="48"/>
        <w:rPr>
          <w:rFonts w:ascii="宋体" w:hAnsi="宋体" w:eastAsia="宋体" w:cs="宋体"/>
          <w:sz w:val="24"/>
          <w:szCs w:val="24"/>
        </w:rPr>
      </w:pPr>
      <w:r>
        <w:rPr>
          <w:rFonts w:ascii="宋体" w:hAnsi="宋体" w:eastAsia="宋体" w:cs="宋体"/>
          <w:spacing w:val="-3"/>
          <w:sz w:val="24"/>
          <w:szCs w:val="24"/>
        </w:rPr>
        <w:t>断面</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W3 </w:t>
      </w:r>
      <w:r>
        <w:rPr>
          <w:rFonts w:ascii="宋体" w:hAnsi="宋体" w:eastAsia="宋体" w:cs="宋体"/>
          <w:spacing w:val="-3"/>
          <w:sz w:val="24"/>
          <w:szCs w:val="24"/>
        </w:rPr>
        <w:t>有</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个门共计</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22 </w:t>
      </w:r>
      <w:r>
        <w:rPr>
          <w:rFonts w:ascii="宋体" w:hAnsi="宋体" w:eastAsia="宋体" w:cs="宋体"/>
          <w:spacing w:val="-3"/>
          <w:sz w:val="24"/>
          <w:szCs w:val="24"/>
        </w:rPr>
        <w:t>种；断面</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 xml:space="preserve">W4 </w:t>
      </w:r>
      <w:r>
        <w:rPr>
          <w:rFonts w:ascii="宋体" w:hAnsi="宋体" w:eastAsia="宋体" w:cs="宋体"/>
          <w:spacing w:val="-3"/>
          <w:sz w:val="24"/>
          <w:szCs w:val="24"/>
        </w:rPr>
        <w:t>有</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个门共计</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34</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种。</w:t>
      </w:r>
    </w:p>
    <w:p>
      <w:pPr>
        <w:spacing w:before="182" w:line="468" w:lineRule="exact"/>
        <w:ind w:left="522"/>
        <w:rPr>
          <w:rFonts w:ascii="宋体" w:hAnsi="宋体" w:eastAsia="宋体" w:cs="宋体"/>
          <w:sz w:val="24"/>
          <w:szCs w:val="24"/>
        </w:rPr>
      </w:pPr>
      <w:r>
        <w:rPr>
          <w:rFonts w:ascii="宋体" w:hAnsi="宋体" w:eastAsia="宋体" w:cs="宋体"/>
          <w:position w:val="17"/>
          <w:sz w:val="24"/>
          <w:szCs w:val="24"/>
        </w:rPr>
        <w:t>从上述样点的浮游植物种类组成上可以看出</w:t>
      </w:r>
      <w:r>
        <w:rPr>
          <w:rFonts w:ascii="宋体" w:hAnsi="宋体" w:eastAsia="宋体" w:cs="宋体"/>
          <w:spacing w:val="-1"/>
          <w:position w:val="17"/>
          <w:sz w:val="24"/>
          <w:szCs w:val="24"/>
        </w:rPr>
        <w:t>，主要以硅藻门和绿藻门种类</w:t>
      </w:r>
    </w:p>
    <w:p>
      <w:pPr>
        <w:spacing w:before="1" w:line="220" w:lineRule="auto"/>
        <w:ind w:left="41"/>
        <w:rPr>
          <w:rFonts w:ascii="宋体" w:hAnsi="宋体" w:eastAsia="宋体" w:cs="宋体"/>
          <w:sz w:val="24"/>
          <w:szCs w:val="24"/>
        </w:rPr>
      </w:pPr>
      <w:r>
        <w:rPr>
          <w:rFonts w:ascii="宋体" w:hAnsi="宋体" w:eastAsia="宋体" w:cs="宋体"/>
          <w:spacing w:val="-11"/>
          <w:sz w:val="24"/>
          <w:szCs w:val="24"/>
        </w:rPr>
        <w:t>居多。</w:t>
      </w:r>
    </w:p>
    <w:p>
      <w:pPr>
        <w:spacing w:before="182"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浮游植物的现存量</w:t>
      </w:r>
    </w:p>
    <w:p>
      <w:pPr>
        <w:spacing w:before="165" w:line="360" w:lineRule="auto"/>
        <w:ind w:left="59" w:right="53" w:firstLine="460"/>
        <w:rPr>
          <w:rFonts w:ascii="宋体" w:hAnsi="宋体" w:eastAsia="宋体" w:cs="宋体"/>
          <w:sz w:val="24"/>
          <w:szCs w:val="24"/>
        </w:rPr>
      </w:pPr>
      <w:r>
        <w:rPr>
          <w:rFonts w:ascii="宋体" w:hAnsi="宋体" w:eastAsia="宋体" w:cs="宋体"/>
          <w:spacing w:val="-9"/>
          <w:sz w:val="24"/>
          <w:szCs w:val="24"/>
        </w:rPr>
        <w:t>根据对浮游植物</w:t>
      </w:r>
      <w:r>
        <w:rPr>
          <w:rFonts w:ascii="宋体" w:hAnsi="宋体" w:eastAsia="宋体" w:cs="宋体"/>
          <w:spacing w:val="-57"/>
          <w:sz w:val="24"/>
          <w:szCs w:val="24"/>
        </w:rPr>
        <w:t xml:space="preserve"> </w:t>
      </w:r>
      <w:r>
        <w:rPr>
          <w:rFonts w:ascii="Times New Roman" w:hAnsi="Times New Roman" w:eastAsia="Times New Roman" w:cs="Times New Roman"/>
          <w:spacing w:val="-9"/>
          <w:sz w:val="24"/>
          <w:szCs w:val="24"/>
        </w:rPr>
        <w:t xml:space="preserve">4 </w:t>
      </w:r>
      <w:r>
        <w:rPr>
          <w:rFonts w:ascii="宋体" w:hAnsi="宋体" w:eastAsia="宋体" w:cs="宋体"/>
          <w:spacing w:val="-9"/>
          <w:sz w:val="24"/>
          <w:szCs w:val="24"/>
        </w:rPr>
        <w:t>个定量样品的统计结果，</w:t>
      </w:r>
      <w:r>
        <w:rPr>
          <w:rFonts w:ascii="宋体" w:hAnsi="宋体" w:eastAsia="宋体" w:cs="宋体"/>
          <w:spacing w:val="66"/>
          <w:sz w:val="24"/>
          <w:szCs w:val="24"/>
        </w:rPr>
        <w:t xml:space="preserve"> </w:t>
      </w:r>
      <w:r>
        <w:rPr>
          <w:rFonts w:ascii="宋体" w:hAnsi="宋体" w:eastAsia="宋体" w:cs="宋体"/>
          <w:spacing w:val="-9"/>
          <w:sz w:val="24"/>
          <w:szCs w:val="24"/>
        </w:rPr>
        <w:t>见</w:t>
      </w:r>
      <w:r>
        <w:rPr>
          <w:rFonts w:ascii="宋体" w:hAnsi="宋体" w:eastAsia="宋体" w:cs="宋体"/>
          <w:spacing w:val="-10"/>
          <w:sz w:val="24"/>
          <w:szCs w:val="24"/>
        </w:rPr>
        <w:t>下表， 评价区内的浮游植物</w:t>
      </w:r>
      <w:r>
        <w:rPr>
          <w:rFonts w:ascii="宋体" w:hAnsi="宋体" w:eastAsia="宋体" w:cs="宋体"/>
          <w:sz w:val="24"/>
          <w:szCs w:val="24"/>
        </w:rPr>
        <w:t xml:space="preserve">  </w:t>
      </w:r>
      <w:r>
        <w:rPr>
          <w:rFonts w:ascii="宋体" w:hAnsi="宋体" w:eastAsia="宋体" w:cs="宋体"/>
          <w:spacing w:val="-4"/>
          <w:sz w:val="24"/>
          <w:szCs w:val="24"/>
        </w:rPr>
        <w:t>的平均数量为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2.30×10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4"/>
          <w:sz w:val="24"/>
          <w:szCs w:val="24"/>
        </w:rPr>
        <w:t>，硅藻</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1.18×10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，绿藻</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0.80×10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5"/>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5"/>
          <w:sz w:val="24"/>
          <w:szCs w:val="24"/>
        </w:rPr>
        <w:t>，隐</w:t>
      </w:r>
    </w:p>
    <w:p>
      <w:pPr>
        <w:spacing w:line="234" w:lineRule="auto"/>
        <w:ind w:left="42"/>
        <w:rPr>
          <w:rFonts w:ascii="宋体" w:hAnsi="宋体" w:eastAsia="宋体" w:cs="宋体"/>
          <w:sz w:val="24"/>
          <w:szCs w:val="24"/>
        </w:rPr>
      </w:pPr>
      <w:r>
        <w:rPr>
          <w:rFonts w:ascii="宋体" w:hAnsi="宋体" w:eastAsia="宋体" w:cs="宋体"/>
          <w:spacing w:val="-4"/>
          <w:sz w:val="24"/>
          <w:szCs w:val="24"/>
        </w:rPr>
        <w:t>藻</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0.17×10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，甲藻</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0.10×10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4"/>
          <w:sz w:val="24"/>
          <w:szCs w:val="24"/>
        </w:rPr>
        <w:t>，金藻</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0.05×10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，蓝藻</w:t>
      </w:r>
    </w:p>
    <w:p>
      <w:pPr>
        <w:spacing w:before="164" w:line="468" w:lineRule="exact"/>
        <w:ind w:left="38"/>
        <w:rPr>
          <w:rFonts w:ascii="宋体" w:hAnsi="宋体" w:eastAsia="宋体" w:cs="宋体"/>
          <w:sz w:val="24"/>
          <w:szCs w:val="24"/>
        </w:rPr>
      </w:pPr>
      <w:r>
        <w:rPr>
          <w:rFonts w:ascii="Times New Roman" w:hAnsi="Times New Roman" w:eastAsia="Times New Roman" w:cs="Times New Roman"/>
          <w:spacing w:val="-5"/>
          <w:position w:val="17"/>
          <w:sz w:val="24"/>
          <w:szCs w:val="24"/>
        </w:rPr>
        <w:t>0.001×10</w:t>
      </w:r>
      <w:r>
        <w:rPr>
          <w:rFonts w:ascii="Times New Roman" w:hAnsi="Times New Roman" w:eastAsia="Times New Roman" w:cs="Times New Roman"/>
          <w:spacing w:val="-5"/>
          <w:position w:val="25"/>
          <w:sz w:val="15"/>
          <w:szCs w:val="15"/>
        </w:rPr>
        <w:t>6</w:t>
      </w:r>
      <w:r>
        <w:rPr>
          <w:rFonts w:ascii="Times New Roman" w:hAnsi="Times New Roman" w:eastAsia="Times New Roman" w:cs="Times New Roman"/>
          <w:spacing w:val="-5"/>
          <w:position w:val="17"/>
          <w:sz w:val="24"/>
          <w:szCs w:val="24"/>
        </w:rPr>
        <w:t>cell</w:t>
      </w:r>
      <w:r>
        <w:rPr>
          <w:rFonts w:ascii="Times New Roman" w:hAnsi="Times New Roman" w:eastAsia="Times New Roman" w:cs="Times New Roman"/>
          <w:spacing w:val="-30"/>
          <w:position w:val="17"/>
          <w:sz w:val="24"/>
          <w:szCs w:val="24"/>
        </w:rPr>
        <w:t xml:space="preserve"> </w:t>
      </w:r>
      <w:r>
        <w:rPr>
          <w:rFonts w:ascii="Times New Roman" w:hAnsi="Times New Roman" w:eastAsia="Times New Roman" w:cs="Times New Roman"/>
          <w:spacing w:val="-5"/>
          <w:position w:val="17"/>
          <w:sz w:val="24"/>
          <w:szCs w:val="24"/>
        </w:rPr>
        <w:t>·L</w:t>
      </w:r>
      <w:r>
        <w:rPr>
          <w:rFonts w:ascii="Times New Roman" w:hAnsi="Times New Roman" w:eastAsia="Times New Roman" w:cs="Times New Roman"/>
          <w:spacing w:val="-5"/>
          <w:position w:val="25"/>
          <w:sz w:val="15"/>
          <w:szCs w:val="15"/>
        </w:rPr>
        <w:t>-</w:t>
      </w:r>
      <w:r>
        <w:rPr>
          <w:rFonts w:ascii="Times New Roman" w:hAnsi="Times New Roman" w:eastAsia="Times New Roman" w:cs="Times New Roman"/>
          <w:spacing w:val="-20"/>
          <w:position w:val="25"/>
          <w:sz w:val="15"/>
          <w:szCs w:val="15"/>
        </w:rPr>
        <w:t xml:space="preserve"> </w:t>
      </w:r>
      <w:r>
        <w:rPr>
          <w:rFonts w:ascii="Times New Roman" w:hAnsi="Times New Roman" w:eastAsia="Times New Roman" w:cs="Times New Roman"/>
          <w:spacing w:val="-5"/>
          <w:position w:val="25"/>
          <w:sz w:val="15"/>
          <w:szCs w:val="15"/>
        </w:rPr>
        <w:t xml:space="preserve">1 </w:t>
      </w:r>
      <w:r>
        <w:rPr>
          <w:rFonts w:ascii="宋体" w:hAnsi="宋体" w:eastAsia="宋体" w:cs="宋体"/>
          <w:spacing w:val="-5"/>
          <w:position w:val="17"/>
          <w:sz w:val="24"/>
          <w:szCs w:val="24"/>
        </w:rPr>
        <w:t>；平均生物量为</w:t>
      </w:r>
      <w:r>
        <w:rPr>
          <w:rFonts w:ascii="宋体" w:hAnsi="宋体" w:eastAsia="宋体" w:cs="宋体"/>
          <w:spacing w:val="-54"/>
          <w:position w:val="17"/>
          <w:sz w:val="24"/>
          <w:szCs w:val="24"/>
        </w:rPr>
        <w:t xml:space="preserve"> </w:t>
      </w:r>
      <w:r>
        <w:rPr>
          <w:rFonts w:ascii="Times New Roman" w:hAnsi="Times New Roman" w:eastAsia="Times New Roman" w:cs="Times New Roman"/>
          <w:spacing w:val="-5"/>
          <w:position w:val="17"/>
          <w:sz w:val="24"/>
          <w:szCs w:val="24"/>
        </w:rPr>
        <w:t>2.33mg·L</w:t>
      </w:r>
      <w:r>
        <w:rPr>
          <w:rFonts w:ascii="Times New Roman" w:hAnsi="Times New Roman" w:eastAsia="Times New Roman" w:cs="Times New Roman"/>
          <w:spacing w:val="-5"/>
          <w:position w:val="25"/>
          <w:sz w:val="15"/>
          <w:szCs w:val="15"/>
        </w:rPr>
        <w:t>-</w:t>
      </w:r>
      <w:r>
        <w:rPr>
          <w:rFonts w:ascii="Times New Roman" w:hAnsi="Times New Roman" w:eastAsia="Times New Roman" w:cs="Times New Roman"/>
          <w:spacing w:val="-19"/>
          <w:position w:val="25"/>
          <w:sz w:val="15"/>
          <w:szCs w:val="15"/>
        </w:rPr>
        <w:t xml:space="preserve"> </w:t>
      </w:r>
      <w:r>
        <w:rPr>
          <w:rFonts w:ascii="Times New Roman" w:hAnsi="Times New Roman" w:eastAsia="Times New Roman" w:cs="Times New Roman"/>
          <w:spacing w:val="-5"/>
          <w:position w:val="25"/>
          <w:sz w:val="15"/>
          <w:szCs w:val="15"/>
        </w:rPr>
        <w:t>1</w:t>
      </w:r>
      <w:r>
        <w:rPr>
          <w:rFonts w:ascii="宋体" w:hAnsi="宋体" w:eastAsia="宋体" w:cs="宋体"/>
          <w:spacing w:val="-5"/>
          <w:position w:val="17"/>
          <w:sz w:val="24"/>
          <w:szCs w:val="24"/>
        </w:rPr>
        <w:t>（湿重</w:t>
      </w:r>
      <w:r>
        <w:rPr>
          <w:rFonts w:ascii="宋体" w:hAnsi="宋体" w:eastAsia="宋体" w:cs="宋体"/>
          <w:spacing w:val="-15"/>
          <w:position w:val="17"/>
          <w:sz w:val="24"/>
          <w:szCs w:val="24"/>
        </w:rPr>
        <w:t>），</w:t>
      </w:r>
      <w:r>
        <w:rPr>
          <w:rFonts w:ascii="宋体" w:hAnsi="宋体" w:eastAsia="宋体" w:cs="宋体"/>
          <w:spacing w:val="-5"/>
          <w:position w:val="17"/>
          <w:sz w:val="24"/>
          <w:szCs w:val="24"/>
        </w:rPr>
        <w:t xml:space="preserve">其中绿藻 </w:t>
      </w:r>
      <w:r>
        <w:rPr>
          <w:rFonts w:ascii="Times New Roman" w:hAnsi="Times New Roman" w:eastAsia="Times New Roman" w:cs="Times New Roman"/>
          <w:spacing w:val="-5"/>
          <w:position w:val="17"/>
          <w:sz w:val="24"/>
          <w:szCs w:val="24"/>
        </w:rPr>
        <w:t>1.16mg·L</w:t>
      </w:r>
      <w:r>
        <w:rPr>
          <w:rFonts w:ascii="Times New Roman" w:hAnsi="Times New Roman" w:eastAsia="Times New Roman" w:cs="Times New Roman"/>
          <w:spacing w:val="-5"/>
          <w:position w:val="25"/>
          <w:sz w:val="15"/>
          <w:szCs w:val="15"/>
        </w:rPr>
        <w:t>-</w:t>
      </w:r>
      <w:r>
        <w:rPr>
          <w:rFonts w:ascii="Times New Roman" w:hAnsi="Times New Roman" w:eastAsia="Times New Roman" w:cs="Times New Roman"/>
          <w:spacing w:val="-19"/>
          <w:position w:val="25"/>
          <w:sz w:val="15"/>
          <w:szCs w:val="15"/>
        </w:rPr>
        <w:t xml:space="preserve"> </w:t>
      </w:r>
      <w:r>
        <w:rPr>
          <w:rFonts w:ascii="Times New Roman" w:hAnsi="Times New Roman" w:eastAsia="Times New Roman" w:cs="Times New Roman"/>
          <w:spacing w:val="-5"/>
          <w:position w:val="25"/>
          <w:sz w:val="15"/>
          <w:szCs w:val="15"/>
        </w:rPr>
        <w:t>1</w:t>
      </w:r>
      <w:r>
        <w:rPr>
          <w:rFonts w:ascii="Times New Roman" w:hAnsi="Times New Roman" w:eastAsia="Times New Roman" w:cs="Times New Roman"/>
          <w:spacing w:val="-11"/>
          <w:position w:val="25"/>
          <w:sz w:val="15"/>
          <w:szCs w:val="15"/>
        </w:rPr>
        <w:t xml:space="preserve"> </w:t>
      </w:r>
      <w:r>
        <w:rPr>
          <w:rFonts w:ascii="宋体" w:hAnsi="宋体" w:eastAsia="宋体" w:cs="宋体"/>
          <w:spacing w:val="-5"/>
          <w:position w:val="17"/>
          <w:sz w:val="24"/>
          <w:szCs w:val="24"/>
        </w:rPr>
        <w:t>，硅</w:t>
      </w:r>
    </w:p>
    <w:p>
      <w:pPr>
        <w:spacing w:line="212" w:lineRule="auto"/>
        <w:ind w:left="42"/>
        <w:rPr>
          <w:rFonts w:ascii="宋体" w:hAnsi="宋体" w:eastAsia="宋体" w:cs="宋体"/>
          <w:sz w:val="24"/>
          <w:szCs w:val="24"/>
        </w:rPr>
      </w:pPr>
      <w:r>
        <w:rPr>
          <w:rFonts w:ascii="宋体" w:hAnsi="宋体" w:eastAsia="宋体" w:cs="宋体"/>
          <w:spacing w:val="-4"/>
          <w:sz w:val="24"/>
          <w:szCs w:val="24"/>
        </w:rPr>
        <w:t>藻</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1.08mg·L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，隐藻</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0.05mg·L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，甲藻</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0.03mg·L</w:t>
      </w:r>
      <w:r>
        <w:rPr>
          <w:rFonts w:ascii="Times New Roman" w:hAnsi="Times New Roman" w:eastAsia="Times New Roman" w:cs="Times New Roman"/>
          <w:spacing w:val="-5"/>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5"/>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5"/>
          <w:sz w:val="24"/>
          <w:szCs w:val="24"/>
        </w:rPr>
        <w:t>，金藻</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0.003mg·L</w:t>
      </w:r>
      <w:r>
        <w:rPr>
          <w:rFonts w:ascii="Times New Roman" w:hAnsi="Times New Roman" w:eastAsia="Times New Roman" w:cs="Times New Roman"/>
          <w:spacing w:val="-5"/>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5"/>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5"/>
          <w:sz w:val="24"/>
          <w:szCs w:val="24"/>
        </w:rPr>
        <w:t>，蓝藻</w:t>
      </w:r>
    </w:p>
    <w:p>
      <w:pPr>
        <w:spacing w:before="192" w:line="468" w:lineRule="exact"/>
        <w:ind w:left="38"/>
        <w:rPr>
          <w:rFonts w:ascii="宋体" w:hAnsi="宋体" w:eastAsia="宋体" w:cs="宋体"/>
          <w:sz w:val="24"/>
          <w:szCs w:val="24"/>
        </w:rPr>
      </w:pPr>
      <w:r>
        <w:rPr>
          <w:rFonts w:ascii="Times New Roman" w:hAnsi="Times New Roman" w:eastAsia="Times New Roman" w:cs="Times New Roman"/>
          <w:spacing w:val="-1"/>
          <w:position w:val="17"/>
          <w:sz w:val="24"/>
          <w:szCs w:val="24"/>
        </w:rPr>
        <w:t>0.001mg·L</w:t>
      </w:r>
      <w:r>
        <w:rPr>
          <w:rFonts w:ascii="Times New Roman" w:hAnsi="Times New Roman" w:eastAsia="Times New Roman" w:cs="Times New Roman"/>
          <w:spacing w:val="-1"/>
          <w:position w:val="25"/>
          <w:sz w:val="15"/>
          <w:szCs w:val="15"/>
        </w:rPr>
        <w:t>-</w:t>
      </w:r>
      <w:r>
        <w:rPr>
          <w:rFonts w:ascii="Times New Roman" w:hAnsi="Times New Roman" w:eastAsia="Times New Roman" w:cs="Times New Roman"/>
          <w:spacing w:val="-19"/>
          <w:position w:val="25"/>
          <w:sz w:val="15"/>
          <w:szCs w:val="15"/>
        </w:rPr>
        <w:t xml:space="preserve"> </w:t>
      </w:r>
      <w:r>
        <w:rPr>
          <w:rFonts w:ascii="Times New Roman" w:hAnsi="Times New Roman" w:eastAsia="Times New Roman" w:cs="Times New Roman"/>
          <w:spacing w:val="-1"/>
          <w:position w:val="25"/>
          <w:sz w:val="15"/>
          <w:szCs w:val="15"/>
        </w:rPr>
        <w:t xml:space="preserve">1 </w:t>
      </w:r>
      <w:r>
        <w:rPr>
          <w:rFonts w:ascii="宋体" w:hAnsi="宋体" w:eastAsia="宋体" w:cs="宋体"/>
          <w:spacing w:val="-1"/>
          <w:position w:val="17"/>
          <w:sz w:val="24"/>
          <w:szCs w:val="24"/>
        </w:rPr>
        <w:t>。从数量上排序</w:t>
      </w:r>
      <w:r>
        <w:rPr>
          <w:rFonts w:ascii="宋体" w:hAnsi="宋体" w:eastAsia="宋体" w:cs="宋体"/>
          <w:spacing w:val="-2"/>
          <w:position w:val="17"/>
          <w:sz w:val="24"/>
          <w:szCs w:val="24"/>
        </w:rPr>
        <w:t>为硅藻门</w:t>
      </w:r>
      <w:r>
        <w:rPr>
          <w:rFonts w:ascii="Times New Roman" w:hAnsi="Times New Roman" w:eastAsia="Times New Roman" w:cs="Times New Roman"/>
          <w:spacing w:val="-2"/>
          <w:position w:val="17"/>
          <w:sz w:val="24"/>
          <w:szCs w:val="24"/>
        </w:rPr>
        <w:t>&gt;</w:t>
      </w:r>
      <w:r>
        <w:rPr>
          <w:rFonts w:ascii="宋体" w:hAnsi="宋体" w:eastAsia="宋体" w:cs="宋体"/>
          <w:spacing w:val="-2"/>
          <w:position w:val="17"/>
          <w:sz w:val="24"/>
          <w:szCs w:val="24"/>
        </w:rPr>
        <w:t>绿藻门</w:t>
      </w:r>
      <w:r>
        <w:rPr>
          <w:rFonts w:ascii="Times New Roman" w:hAnsi="Times New Roman" w:eastAsia="Times New Roman" w:cs="Times New Roman"/>
          <w:spacing w:val="-2"/>
          <w:position w:val="17"/>
          <w:sz w:val="24"/>
          <w:szCs w:val="24"/>
        </w:rPr>
        <w:t>&gt;</w:t>
      </w:r>
      <w:r>
        <w:rPr>
          <w:rFonts w:ascii="宋体" w:hAnsi="宋体" w:eastAsia="宋体" w:cs="宋体"/>
          <w:spacing w:val="-2"/>
          <w:position w:val="17"/>
          <w:sz w:val="24"/>
          <w:szCs w:val="24"/>
        </w:rPr>
        <w:t>隐藻门</w:t>
      </w:r>
      <w:r>
        <w:rPr>
          <w:rFonts w:ascii="Times New Roman" w:hAnsi="Times New Roman" w:eastAsia="Times New Roman" w:cs="Times New Roman"/>
          <w:spacing w:val="-2"/>
          <w:position w:val="17"/>
          <w:sz w:val="24"/>
          <w:szCs w:val="24"/>
        </w:rPr>
        <w:t>&gt;</w:t>
      </w:r>
      <w:r>
        <w:rPr>
          <w:rFonts w:ascii="宋体" w:hAnsi="宋体" w:eastAsia="宋体" w:cs="宋体"/>
          <w:spacing w:val="-2"/>
          <w:position w:val="17"/>
          <w:sz w:val="24"/>
          <w:szCs w:val="24"/>
        </w:rPr>
        <w:t>甲藻门</w:t>
      </w:r>
      <w:r>
        <w:rPr>
          <w:rFonts w:ascii="Times New Roman" w:hAnsi="Times New Roman" w:eastAsia="Times New Roman" w:cs="Times New Roman"/>
          <w:spacing w:val="-2"/>
          <w:position w:val="17"/>
          <w:sz w:val="24"/>
          <w:szCs w:val="24"/>
        </w:rPr>
        <w:t>&gt;</w:t>
      </w:r>
      <w:r>
        <w:rPr>
          <w:rFonts w:ascii="宋体" w:hAnsi="宋体" w:eastAsia="宋体" w:cs="宋体"/>
          <w:spacing w:val="-2"/>
          <w:position w:val="17"/>
          <w:sz w:val="24"/>
          <w:szCs w:val="24"/>
        </w:rPr>
        <w:t>金藻门＞蓝藻；</w:t>
      </w:r>
    </w:p>
    <w:p>
      <w:pPr>
        <w:spacing w:line="234" w:lineRule="auto"/>
        <w:ind w:left="42"/>
        <w:rPr>
          <w:rFonts w:ascii="宋体" w:hAnsi="宋体" w:eastAsia="宋体" w:cs="宋体"/>
          <w:sz w:val="24"/>
          <w:szCs w:val="24"/>
        </w:rPr>
      </w:pPr>
      <w:r>
        <w:rPr>
          <w:rFonts w:ascii="宋体" w:hAnsi="宋体" w:eastAsia="宋体" w:cs="宋体"/>
          <w:spacing w:val="-1"/>
          <w:sz w:val="24"/>
          <w:szCs w:val="24"/>
        </w:rPr>
        <w:t>从生物量上排序为绿藻门</w:t>
      </w:r>
      <w:r>
        <w:rPr>
          <w:rFonts w:ascii="Times New Roman" w:hAnsi="Times New Roman" w:eastAsia="Times New Roman" w:cs="Times New Roman"/>
          <w:spacing w:val="-1"/>
          <w:sz w:val="24"/>
          <w:szCs w:val="24"/>
        </w:rPr>
        <w:t>&gt;</w:t>
      </w:r>
      <w:r>
        <w:rPr>
          <w:rFonts w:ascii="宋体" w:hAnsi="宋体" w:eastAsia="宋体" w:cs="宋体"/>
          <w:spacing w:val="-1"/>
          <w:sz w:val="24"/>
          <w:szCs w:val="24"/>
        </w:rPr>
        <w:t>硅藻门</w:t>
      </w:r>
      <w:r>
        <w:rPr>
          <w:rFonts w:ascii="Times New Roman" w:hAnsi="Times New Roman" w:eastAsia="Times New Roman" w:cs="Times New Roman"/>
          <w:spacing w:val="-1"/>
          <w:sz w:val="24"/>
          <w:szCs w:val="24"/>
        </w:rPr>
        <w:t>&gt;</w:t>
      </w:r>
      <w:r>
        <w:rPr>
          <w:rFonts w:ascii="宋体" w:hAnsi="宋体" w:eastAsia="宋体" w:cs="宋体"/>
          <w:spacing w:val="-1"/>
          <w:sz w:val="24"/>
          <w:szCs w:val="24"/>
        </w:rPr>
        <w:t xml:space="preserve">隐藻门 </w:t>
      </w:r>
      <w:r>
        <w:rPr>
          <w:rFonts w:ascii="Times New Roman" w:hAnsi="Times New Roman" w:eastAsia="Times New Roman" w:cs="Times New Roman"/>
          <w:spacing w:val="-1"/>
          <w:sz w:val="24"/>
          <w:szCs w:val="24"/>
        </w:rPr>
        <w:t>&gt;</w:t>
      </w:r>
      <w:r>
        <w:rPr>
          <w:rFonts w:ascii="宋体" w:hAnsi="宋体" w:eastAsia="宋体" w:cs="宋体"/>
          <w:spacing w:val="-1"/>
          <w:sz w:val="24"/>
          <w:szCs w:val="24"/>
        </w:rPr>
        <w:t xml:space="preserve">甲藻门 </w:t>
      </w:r>
      <w:r>
        <w:rPr>
          <w:rFonts w:ascii="Times New Roman" w:hAnsi="Times New Roman" w:eastAsia="Times New Roman" w:cs="Times New Roman"/>
          <w:spacing w:val="-1"/>
          <w:sz w:val="24"/>
          <w:szCs w:val="24"/>
        </w:rPr>
        <w:t>&gt;</w:t>
      </w:r>
      <w:r>
        <w:rPr>
          <w:rFonts w:ascii="宋体" w:hAnsi="宋体" w:eastAsia="宋体" w:cs="宋体"/>
          <w:spacing w:val="-1"/>
          <w:sz w:val="24"/>
          <w:szCs w:val="24"/>
        </w:rPr>
        <w:t>金藻门＞蓝藻。</w:t>
      </w:r>
    </w:p>
    <w:p>
      <w:pPr>
        <w:spacing w:before="164" w:line="219" w:lineRule="auto"/>
        <w:ind w:left="524"/>
        <w:rPr>
          <w:rFonts w:ascii="宋体" w:hAnsi="宋体" w:eastAsia="宋体" w:cs="宋体"/>
          <w:sz w:val="24"/>
          <w:szCs w:val="24"/>
        </w:rPr>
      </w:pPr>
      <w:r>
        <w:rPr>
          <w:rFonts w:ascii="宋体" w:hAnsi="宋体" w:eastAsia="宋体" w:cs="宋体"/>
          <w:spacing w:val="-4"/>
          <w:sz w:val="24"/>
          <w:szCs w:val="24"/>
        </w:rPr>
        <w:t>具体各采样断面的数量和生物量的现状为：</w:t>
      </w:r>
    </w:p>
    <w:p>
      <w:pPr>
        <w:spacing w:before="183" w:line="468" w:lineRule="exact"/>
        <w:ind w:right="24"/>
        <w:jc w:val="right"/>
        <w:rPr>
          <w:rFonts w:ascii="宋体" w:hAnsi="宋体" w:eastAsia="宋体" w:cs="宋体"/>
          <w:sz w:val="24"/>
          <w:szCs w:val="24"/>
        </w:rPr>
      </w:pPr>
      <w:r>
        <w:rPr>
          <w:rFonts w:ascii="宋体" w:hAnsi="宋体" w:eastAsia="宋体" w:cs="宋体"/>
          <w:spacing w:val="-3"/>
          <w:position w:val="16"/>
          <w:sz w:val="24"/>
          <w:szCs w:val="24"/>
        </w:rPr>
        <w:t>断面</w:t>
      </w:r>
      <w:r>
        <w:rPr>
          <w:rFonts w:ascii="宋体" w:hAnsi="宋体" w:eastAsia="宋体" w:cs="宋体"/>
          <w:spacing w:val="-57"/>
          <w:position w:val="16"/>
          <w:sz w:val="24"/>
          <w:szCs w:val="24"/>
        </w:rPr>
        <w:t xml:space="preserve"> </w:t>
      </w:r>
      <w:r>
        <w:rPr>
          <w:rFonts w:ascii="Times New Roman" w:hAnsi="Times New Roman" w:eastAsia="Times New Roman" w:cs="Times New Roman"/>
          <w:spacing w:val="-3"/>
          <w:position w:val="16"/>
          <w:sz w:val="24"/>
          <w:szCs w:val="24"/>
        </w:rPr>
        <w:t xml:space="preserve">W1 </w:t>
      </w:r>
      <w:r>
        <w:rPr>
          <w:rFonts w:ascii="宋体" w:hAnsi="宋体" w:eastAsia="宋体" w:cs="宋体"/>
          <w:spacing w:val="-3"/>
          <w:position w:val="16"/>
          <w:sz w:val="24"/>
          <w:szCs w:val="24"/>
        </w:rPr>
        <w:t>浮游植物的数量为</w:t>
      </w:r>
      <w:r>
        <w:rPr>
          <w:rFonts w:ascii="宋体" w:hAnsi="宋体" w:eastAsia="宋体" w:cs="宋体"/>
          <w:spacing w:val="-55"/>
          <w:position w:val="16"/>
          <w:sz w:val="24"/>
          <w:szCs w:val="24"/>
        </w:rPr>
        <w:t xml:space="preserve"> </w:t>
      </w:r>
      <w:r>
        <w:rPr>
          <w:rFonts w:ascii="Times New Roman" w:hAnsi="Times New Roman" w:eastAsia="Times New Roman" w:cs="Times New Roman"/>
          <w:spacing w:val="-3"/>
          <w:position w:val="16"/>
          <w:sz w:val="24"/>
          <w:szCs w:val="24"/>
        </w:rPr>
        <w:t>2.11×10</w:t>
      </w:r>
      <w:r>
        <w:rPr>
          <w:rFonts w:ascii="Times New Roman" w:hAnsi="Times New Roman" w:eastAsia="Times New Roman" w:cs="Times New Roman"/>
          <w:spacing w:val="-3"/>
          <w:position w:val="24"/>
          <w:sz w:val="15"/>
          <w:szCs w:val="15"/>
        </w:rPr>
        <w:t>6</w:t>
      </w:r>
      <w:r>
        <w:rPr>
          <w:rFonts w:ascii="Times New Roman" w:hAnsi="Times New Roman" w:eastAsia="Times New Roman" w:cs="Times New Roman"/>
          <w:spacing w:val="-3"/>
          <w:position w:val="16"/>
          <w:sz w:val="24"/>
          <w:szCs w:val="24"/>
        </w:rPr>
        <w:t>cell</w:t>
      </w:r>
      <w:r>
        <w:rPr>
          <w:rFonts w:ascii="Times New Roman" w:hAnsi="Times New Roman" w:eastAsia="Times New Roman" w:cs="Times New Roman"/>
          <w:spacing w:val="-32"/>
          <w:position w:val="16"/>
          <w:sz w:val="24"/>
          <w:szCs w:val="24"/>
        </w:rPr>
        <w:t xml:space="preserve"> </w:t>
      </w:r>
      <w:r>
        <w:rPr>
          <w:rFonts w:ascii="Times New Roman" w:hAnsi="Times New Roman" w:eastAsia="Times New Roman" w:cs="Times New Roman"/>
          <w:spacing w:val="-3"/>
          <w:position w:val="16"/>
          <w:sz w:val="24"/>
          <w:szCs w:val="24"/>
        </w:rPr>
        <w:t>·L</w:t>
      </w:r>
      <w:r>
        <w:rPr>
          <w:rFonts w:ascii="Times New Roman" w:hAnsi="Times New Roman" w:eastAsia="Times New Roman" w:cs="Times New Roman"/>
          <w:spacing w:val="-3"/>
          <w:position w:val="24"/>
          <w:sz w:val="15"/>
          <w:szCs w:val="15"/>
        </w:rPr>
        <w:t>-</w:t>
      </w:r>
      <w:r>
        <w:rPr>
          <w:rFonts w:ascii="Times New Roman" w:hAnsi="Times New Roman" w:eastAsia="Times New Roman" w:cs="Times New Roman"/>
          <w:spacing w:val="-19"/>
          <w:position w:val="24"/>
          <w:sz w:val="15"/>
          <w:szCs w:val="15"/>
        </w:rPr>
        <w:t xml:space="preserve"> </w:t>
      </w:r>
      <w:r>
        <w:rPr>
          <w:rFonts w:ascii="Times New Roman" w:hAnsi="Times New Roman" w:eastAsia="Times New Roman" w:cs="Times New Roman"/>
          <w:spacing w:val="-3"/>
          <w:position w:val="24"/>
          <w:sz w:val="15"/>
          <w:szCs w:val="15"/>
        </w:rPr>
        <w:t>1</w:t>
      </w:r>
      <w:r>
        <w:rPr>
          <w:rFonts w:ascii="Times New Roman" w:hAnsi="Times New Roman" w:eastAsia="Times New Roman" w:cs="Times New Roman"/>
          <w:spacing w:val="-11"/>
          <w:position w:val="24"/>
          <w:sz w:val="15"/>
          <w:szCs w:val="15"/>
        </w:rPr>
        <w:t xml:space="preserve"> </w:t>
      </w:r>
      <w:r>
        <w:rPr>
          <w:rFonts w:ascii="宋体" w:hAnsi="宋体" w:eastAsia="宋体" w:cs="宋体"/>
          <w:spacing w:val="-3"/>
          <w:position w:val="16"/>
          <w:sz w:val="24"/>
          <w:szCs w:val="24"/>
        </w:rPr>
        <w:t>，其中硅藻</w:t>
      </w:r>
      <w:r>
        <w:rPr>
          <w:rFonts w:ascii="宋体" w:hAnsi="宋体" w:eastAsia="宋体" w:cs="宋体"/>
          <w:spacing w:val="-32"/>
          <w:position w:val="16"/>
          <w:sz w:val="24"/>
          <w:szCs w:val="24"/>
        </w:rPr>
        <w:t xml:space="preserve"> </w:t>
      </w:r>
      <w:r>
        <w:rPr>
          <w:rFonts w:ascii="Times New Roman" w:hAnsi="Times New Roman" w:eastAsia="Times New Roman" w:cs="Times New Roman"/>
          <w:spacing w:val="-3"/>
          <w:position w:val="16"/>
          <w:sz w:val="24"/>
          <w:szCs w:val="24"/>
        </w:rPr>
        <w:t>1</w:t>
      </w:r>
      <w:r>
        <w:rPr>
          <w:rFonts w:ascii="Times New Roman" w:hAnsi="Times New Roman" w:eastAsia="Times New Roman" w:cs="Times New Roman"/>
          <w:spacing w:val="-4"/>
          <w:position w:val="16"/>
          <w:sz w:val="24"/>
          <w:szCs w:val="24"/>
        </w:rPr>
        <w:t>.12×10</w:t>
      </w:r>
      <w:r>
        <w:rPr>
          <w:rFonts w:ascii="Times New Roman" w:hAnsi="Times New Roman" w:eastAsia="Times New Roman" w:cs="Times New Roman"/>
          <w:spacing w:val="-4"/>
          <w:position w:val="24"/>
          <w:sz w:val="15"/>
          <w:szCs w:val="15"/>
        </w:rPr>
        <w:t>6</w:t>
      </w:r>
      <w:r>
        <w:rPr>
          <w:rFonts w:ascii="Times New Roman" w:hAnsi="Times New Roman" w:eastAsia="Times New Roman" w:cs="Times New Roman"/>
          <w:spacing w:val="-4"/>
          <w:position w:val="16"/>
          <w:sz w:val="24"/>
          <w:szCs w:val="24"/>
        </w:rPr>
        <w:t>cell</w:t>
      </w:r>
      <w:r>
        <w:rPr>
          <w:rFonts w:ascii="Times New Roman" w:hAnsi="Times New Roman" w:eastAsia="Times New Roman" w:cs="Times New Roman"/>
          <w:spacing w:val="-32"/>
          <w:position w:val="16"/>
          <w:sz w:val="24"/>
          <w:szCs w:val="24"/>
        </w:rPr>
        <w:t xml:space="preserve"> </w:t>
      </w:r>
      <w:r>
        <w:rPr>
          <w:rFonts w:ascii="Times New Roman" w:hAnsi="Times New Roman" w:eastAsia="Times New Roman" w:cs="Times New Roman"/>
          <w:spacing w:val="-4"/>
          <w:position w:val="16"/>
          <w:sz w:val="24"/>
          <w:szCs w:val="24"/>
        </w:rPr>
        <w:t>·L</w:t>
      </w:r>
      <w:r>
        <w:rPr>
          <w:rFonts w:ascii="Times New Roman" w:hAnsi="Times New Roman" w:eastAsia="Times New Roman" w:cs="Times New Roman"/>
          <w:spacing w:val="-4"/>
          <w:position w:val="24"/>
          <w:sz w:val="15"/>
          <w:szCs w:val="15"/>
        </w:rPr>
        <w:t>-</w:t>
      </w:r>
      <w:r>
        <w:rPr>
          <w:rFonts w:ascii="Times New Roman" w:hAnsi="Times New Roman" w:eastAsia="Times New Roman" w:cs="Times New Roman"/>
          <w:spacing w:val="-19"/>
          <w:position w:val="24"/>
          <w:sz w:val="15"/>
          <w:szCs w:val="15"/>
        </w:rPr>
        <w:t xml:space="preserve"> </w:t>
      </w:r>
      <w:r>
        <w:rPr>
          <w:rFonts w:ascii="Times New Roman" w:hAnsi="Times New Roman" w:eastAsia="Times New Roman" w:cs="Times New Roman"/>
          <w:spacing w:val="-4"/>
          <w:position w:val="24"/>
          <w:sz w:val="15"/>
          <w:szCs w:val="15"/>
        </w:rPr>
        <w:t>1</w:t>
      </w:r>
      <w:r>
        <w:rPr>
          <w:rFonts w:ascii="Times New Roman" w:hAnsi="Times New Roman" w:eastAsia="Times New Roman" w:cs="Times New Roman"/>
          <w:spacing w:val="-11"/>
          <w:position w:val="24"/>
          <w:sz w:val="15"/>
          <w:szCs w:val="15"/>
        </w:rPr>
        <w:t xml:space="preserve"> </w:t>
      </w:r>
      <w:r>
        <w:rPr>
          <w:rFonts w:ascii="宋体" w:hAnsi="宋体" w:eastAsia="宋体" w:cs="宋体"/>
          <w:spacing w:val="-4"/>
          <w:position w:val="16"/>
          <w:sz w:val="24"/>
          <w:szCs w:val="24"/>
        </w:rPr>
        <w:t>，绿</w:t>
      </w:r>
    </w:p>
    <w:p>
      <w:pPr>
        <w:spacing w:line="234" w:lineRule="auto"/>
        <w:ind w:left="42"/>
        <w:rPr>
          <w:rFonts w:ascii="宋体" w:hAnsi="宋体" w:eastAsia="宋体" w:cs="宋体"/>
          <w:sz w:val="24"/>
          <w:szCs w:val="24"/>
        </w:rPr>
      </w:pPr>
      <w:r>
        <w:rPr>
          <w:rFonts w:ascii="宋体" w:hAnsi="宋体" w:eastAsia="宋体" w:cs="宋体"/>
          <w:spacing w:val="-4"/>
          <w:sz w:val="24"/>
          <w:szCs w:val="24"/>
        </w:rPr>
        <w:t>藻</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0.74×10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4"/>
          <w:sz w:val="24"/>
          <w:szCs w:val="24"/>
        </w:rPr>
        <w:t>，隐藻</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0.16×10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4"/>
          <w:sz w:val="24"/>
          <w:szCs w:val="24"/>
        </w:rPr>
        <w:t>，甲藻</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0.08×10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，金藻</w:t>
      </w:r>
    </w:p>
    <w:p>
      <w:pPr>
        <w:spacing w:before="164" w:line="360" w:lineRule="auto"/>
        <w:ind w:left="41" w:right="124" w:hanging="3"/>
        <w:rPr>
          <w:rFonts w:ascii="宋体" w:hAnsi="宋体" w:eastAsia="宋体" w:cs="宋体"/>
          <w:sz w:val="24"/>
          <w:szCs w:val="24"/>
        </w:rPr>
      </w:pPr>
      <w:r>
        <w:rPr>
          <w:rFonts w:ascii="Times New Roman" w:hAnsi="Times New Roman" w:eastAsia="Times New Roman" w:cs="Times New Roman"/>
          <w:spacing w:val="-5"/>
          <w:sz w:val="24"/>
          <w:szCs w:val="24"/>
        </w:rPr>
        <w:t>0.01cell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·L</w:t>
      </w:r>
      <w:r>
        <w:rPr>
          <w:rFonts w:ascii="Times New Roman" w:hAnsi="Times New Roman" w:eastAsia="Times New Roman" w:cs="Times New Roman"/>
          <w:spacing w:val="-5"/>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5"/>
          <w:position w:val="8"/>
          <w:sz w:val="15"/>
          <w:szCs w:val="15"/>
        </w:rPr>
        <w:t>1</w:t>
      </w:r>
      <w:r>
        <w:rPr>
          <w:rFonts w:ascii="Times New Roman" w:hAnsi="Times New Roman" w:eastAsia="Times New Roman" w:cs="Times New Roman"/>
          <w:spacing w:val="-12"/>
          <w:position w:val="8"/>
          <w:sz w:val="15"/>
          <w:szCs w:val="15"/>
        </w:rPr>
        <w:t xml:space="preserve"> </w:t>
      </w:r>
      <w:r>
        <w:rPr>
          <w:rFonts w:ascii="宋体" w:hAnsi="宋体" w:eastAsia="宋体" w:cs="宋体"/>
          <w:spacing w:val="-5"/>
          <w:sz w:val="24"/>
          <w:szCs w:val="24"/>
        </w:rPr>
        <w:t>，蓝藻</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0.001×10</w:t>
      </w:r>
      <w:r>
        <w:rPr>
          <w:rFonts w:ascii="Times New Roman" w:hAnsi="Times New Roman" w:eastAsia="Times New Roman" w:cs="Times New Roman"/>
          <w:spacing w:val="-5"/>
          <w:position w:val="8"/>
          <w:sz w:val="15"/>
          <w:szCs w:val="15"/>
        </w:rPr>
        <w:t>6</w:t>
      </w:r>
      <w:r>
        <w:rPr>
          <w:rFonts w:ascii="Times New Roman" w:hAnsi="Times New Roman" w:eastAsia="Times New Roman" w:cs="Times New Roman"/>
          <w:spacing w:val="-5"/>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·L</w:t>
      </w:r>
      <w:r>
        <w:rPr>
          <w:rFonts w:ascii="Times New Roman" w:hAnsi="Times New Roman" w:eastAsia="Times New Roman" w:cs="Times New Roman"/>
          <w:spacing w:val="-5"/>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5"/>
          <w:position w:val="8"/>
          <w:sz w:val="15"/>
          <w:szCs w:val="15"/>
        </w:rPr>
        <w:t xml:space="preserve">1 </w:t>
      </w:r>
      <w:r>
        <w:rPr>
          <w:rFonts w:ascii="宋体" w:hAnsi="宋体" w:eastAsia="宋体" w:cs="宋体"/>
          <w:spacing w:val="-5"/>
          <w:sz w:val="24"/>
          <w:szCs w:val="24"/>
        </w:rPr>
        <w:t>；生物量为</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2.11m</w:t>
      </w:r>
      <w:r>
        <w:rPr>
          <w:rFonts w:ascii="Times New Roman" w:hAnsi="Times New Roman" w:eastAsia="Times New Roman" w:cs="Times New Roman"/>
          <w:spacing w:val="-6"/>
          <w:sz w:val="24"/>
          <w:szCs w:val="24"/>
        </w:rPr>
        <w:t>g</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6"/>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6"/>
          <w:sz w:val="24"/>
          <w:szCs w:val="24"/>
        </w:rPr>
        <w:t xml:space="preserve">，其中绿藻 </w:t>
      </w:r>
      <w:r>
        <w:rPr>
          <w:rFonts w:ascii="Times New Roman" w:hAnsi="Times New Roman" w:eastAsia="Times New Roman" w:cs="Times New Roman"/>
          <w:spacing w:val="-6"/>
          <w:sz w:val="24"/>
          <w:szCs w:val="24"/>
        </w:rPr>
        <w:t>1.04mg</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position w:val="8"/>
          <w:sz w:val="15"/>
          <w:szCs w:val="15"/>
        </w:rPr>
        <w:t xml:space="preserve"> </w:t>
      </w:r>
      <w:r>
        <w:rPr>
          <w:rFonts w:ascii="Times New Roman" w:hAnsi="Times New Roman" w:eastAsia="Times New Roman" w:cs="Times New Roman"/>
          <w:spacing w:val="-8"/>
          <w:position w:val="8"/>
          <w:sz w:val="15"/>
          <w:szCs w:val="15"/>
        </w:rPr>
        <w:t>1</w:t>
      </w:r>
      <w:r>
        <w:rPr>
          <w:rFonts w:ascii="Times New Roman" w:hAnsi="Times New Roman" w:eastAsia="Times New Roman" w:cs="Times New Roman"/>
          <w:spacing w:val="-6"/>
          <w:position w:val="8"/>
          <w:sz w:val="15"/>
          <w:szCs w:val="15"/>
        </w:rPr>
        <w:t xml:space="preserve"> </w:t>
      </w:r>
      <w:r>
        <w:rPr>
          <w:rFonts w:ascii="宋体" w:hAnsi="宋体" w:eastAsia="宋体" w:cs="宋体"/>
          <w:spacing w:val="-8"/>
          <w:sz w:val="24"/>
          <w:szCs w:val="24"/>
        </w:rPr>
        <w:t>，硅藻</w:t>
      </w:r>
      <w:r>
        <w:rPr>
          <w:rFonts w:ascii="宋体" w:hAnsi="宋体" w:eastAsia="宋体" w:cs="宋体"/>
          <w:spacing w:val="-22"/>
          <w:sz w:val="24"/>
          <w:szCs w:val="24"/>
        </w:rPr>
        <w:t xml:space="preserve"> </w:t>
      </w:r>
      <w:r>
        <w:rPr>
          <w:rFonts w:ascii="Times New Roman" w:hAnsi="Times New Roman" w:eastAsia="Times New Roman" w:cs="Times New Roman"/>
          <w:spacing w:val="-8"/>
          <w:sz w:val="24"/>
          <w:szCs w:val="24"/>
        </w:rPr>
        <w:t>1.01mg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0"/>
          <w:sz w:val="24"/>
          <w:szCs w:val="24"/>
        </w:rPr>
        <w:t>·L</w:t>
      </w:r>
      <w:r>
        <w:rPr>
          <w:rFonts w:ascii="Times New Roman" w:hAnsi="Times New Roman" w:eastAsia="Times New Roman" w:cs="Times New Roman"/>
          <w:spacing w:val="-7"/>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7"/>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7"/>
          <w:sz w:val="24"/>
          <w:szCs w:val="24"/>
        </w:rPr>
        <w:t>，隐藻</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0.04mg</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7"/>
          <w:sz w:val="24"/>
          <w:szCs w:val="24"/>
        </w:rPr>
        <w:t>·L</w:t>
      </w:r>
      <w:r>
        <w:rPr>
          <w:rFonts w:ascii="Times New Roman" w:hAnsi="Times New Roman" w:eastAsia="Times New Roman" w:cs="Times New Roman"/>
          <w:spacing w:val="-7"/>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7"/>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7"/>
          <w:sz w:val="24"/>
          <w:szCs w:val="24"/>
        </w:rPr>
        <w:t>，甲藻</w:t>
      </w:r>
      <w:r>
        <w:rPr>
          <w:rFonts w:ascii="宋体" w:hAnsi="宋体" w:eastAsia="宋体" w:cs="宋体"/>
          <w:spacing w:val="-41"/>
          <w:sz w:val="24"/>
          <w:szCs w:val="24"/>
        </w:rPr>
        <w:t xml:space="preserve"> </w:t>
      </w:r>
      <w:r>
        <w:rPr>
          <w:rFonts w:ascii="Times New Roman" w:hAnsi="Times New Roman" w:eastAsia="Times New Roman" w:cs="Times New Roman"/>
          <w:spacing w:val="-7"/>
          <w:sz w:val="24"/>
          <w:szCs w:val="24"/>
        </w:rPr>
        <w:t>0.02mg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·L</w:t>
      </w:r>
      <w:r>
        <w:rPr>
          <w:rFonts w:ascii="Times New Roman" w:hAnsi="Times New Roman" w:eastAsia="Times New Roman" w:cs="Times New Roman"/>
          <w:spacing w:val="-7"/>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7"/>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7"/>
          <w:sz w:val="24"/>
          <w:szCs w:val="24"/>
        </w:rPr>
        <w:t>，金藻</w:t>
      </w:r>
      <w:r>
        <w:rPr>
          <w:rFonts w:ascii="宋体" w:hAnsi="宋体" w:eastAsia="宋体" w:cs="宋体"/>
          <w:spacing w:val="-41"/>
          <w:sz w:val="24"/>
          <w:szCs w:val="24"/>
        </w:rPr>
        <w:t xml:space="preserve"> </w:t>
      </w:r>
      <w:r>
        <w:rPr>
          <w:rFonts w:ascii="Times New Roman" w:hAnsi="Times New Roman" w:eastAsia="Times New Roman" w:cs="Times New Roman"/>
          <w:spacing w:val="-7"/>
          <w:sz w:val="24"/>
          <w:szCs w:val="24"/>
        </w:rPr>
        <w:t>0.002mg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·L</w:t>
      </w:r>
      <w:r>
        <w:rPr>
          <w:rFonts w:ascii="Times New Roman" w:hAnsi="Times New Roman" w:eastAsia="Times New Roman" w:cs="Times New Roman"/>
          <w:spacing w:val="-7"/>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7"/>
          <w:position w:val="8"/>
          <w:sz w:val="15"/>
          <w:szCs w:val="15"/>
        </w:rPr>
        <w:t>1</w:t>
      </w:r>
      <w:r>
        <w:rPr>
          <w:rFonts w:ascii="Times New Roman" w:hAnsi="Times New Roman" w:eastAsia="Times New Roman" w:cs="Times New Roman"/>
          <w:spacing w:val="-12"/>
          <w:position w:val="8"/>
          <w:sz w:val="15"/>
          <w:szCs w:val="15"/>
        </w:rPr>
        <w:t xml:space="preserve"> </w:t>
      </w:r>
      <w:r>
        <w:rPr>
          <w:rFonts w:ascii="宋体" w:hAnsi="宋体" w:eastAsia="宋体" w:cs="宋体"/>
          <w:spacing w:val="-7"/>
          <w:sz w:val="24"/>
          <w:szCs w:val="24"/>
        </w:rPr>
        <w:t xml:space="preserve">，蓝 </w:t>
      </w:r>
      <w:r>
        <w:rPr>
          <w:rFonts w:ascii="宋体" w:hAnsi="宋体" w:eastAsia="宋体" w:cs="宋体"/>
          <w:spacing w:val="-2"/>
          <w:sz w:val="24"/>
          <w:szCs w:val="24"/>
        </w:rPr>
        <w:t>藻</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0.001mg·L</w:t>
      </w:r>
      <w:r>
        <w:rPr>
          <w:rFonts w:ascii="Times New Roman" w:hAnsi="Times New Roman" w:eastAsia="Times New Roman" w:cs="Times New Roman"/>
          <w:spacing w:val="-2"/>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2"/>
          <w:position w:val="8"/>
          <w:sz w:val="15"/>
          <w:szCs w:val="15"/>
        </w:rPr>
        <w:t xml:space="preserve">1 </w:t>
      </w:r>
      <w:r>
        <w:rPr>
          <w:rFonts w:ascii="宋体" w:hAnsi="宋体" w:eastAsia="宋体" w:cs="宋体"/>
          <w:spacing w:val="-2"/>
          <w:sz w:val="24"/>
          <w:szCs w:val="24"/>
        </w:rPr>
        <w:t>。从数量上排序为硅藻门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绿藻门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隐藻门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甲藻门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金藻门＞蓝</w:t>
      </w:r>
    </w:p>
    <w:p>
      <w:pPr>
        <w:spacing w:line="234" w:lineRule="auto"/>
        <w:ind w:left="42"/>
        <w:rPr>
          <w:rFonts w:ascii="宋体" w:hAnsi="宋体" w:eastAsia="宋体" w:cs="宋体"/>
          <w:sz w:val="24"/>
          <w:szCs w:val="24"/>
        </w:rPr>
      </w:pPr>
      <w:r>
        <w:rPr>
          <w:rFonts w:ascii="宋体" w:hAnsi="宋体" w:eastAsia="宋体" w:cs="宋体"/>
          <w:spacing w:val="-1"/>
          <w:sz w:val="24"/>
          <w:szCs w:val="24"/>
        </w:rPr>
        <w:t>藻；从生物量上排序为绿藻门</w:t>
      </w:r>
      <w:r>
        <w:rPr>
          <w:rFonts w:ascii="Times New Roman" w:hAnsi="Times New Roman" w:eastAsia="Times New Roman" w:cs="Times New Roman"/>
          <w:spacing w:val="-1"/>
          <w:sz w:val="24"/>
          <w:szCs w:val="24"/>
        </w:rPr>
        <w:t>&gt;</w:t>
      </w:r>
      <w:r>
        <w:rPr>
          <w:rFonts w:ascii="宋体" w:hAnsi="宋体" w:eastAsia="宋体" w:cs="宋体"/>
          <w:spacing w:val="-1"/>
          <w:sz w:val="24"/>
          <w:szCs w:val="24"/>
        </w:rPr>
        <w:t>硅藻门</w:t>
      </w:r>
      <w:r>
        <w:rPr>
          <w:rFonts w:ascii="Times New Roman" w:hAnsi="Times New Roman" w:eastAsia="Times New Roman" w:cs="Times New Roman"/>
          <w:spacing w:val="-1"/>
          <w:sz w:val="24"/>
          <w:szCs w:val="24"/>
        </w:rPr>
        <w:t>&gt;</w:t>
      </w:r>
      <w:r>
        <w:rPr>
          <w:rFonts w:ascii="宋体" w:hAnsi="宋体" w:eastAsia="宋体" w:cs="宋体"/>
          <w:spacing w:val="-1"/>
          <w:sz w:val="24"/>
          <w:szCs w:val="24"/>
        </w:rPr>
        <w:t xml:space="preserve">隐藻门 </w:t>
      </w:r>
      <w:r>
        <w:rPr>
          <w:rFonts w:ascii="Times New Roman" w:hAnsi="Times New Roman" w:eastAsia="Times New Roman" w:cs="Times New Roman"/>
          <w:spacing w:val="-1"/>
          <w:sz w:val="24"/>
          <w:szCs w:val="24"/>
        </w:rPr>
        <w:t>&gt;</w:t>
      </w:r>
      <w:r>
        <w:rPr>
          <w:rFonts w:ascii="宋体" w:hAnsi="宋体" w:eastAsia="宋体" w:cs="宋体"/>
          <w:spacing w:val="-1"/>
          <w:sz w:val="24"/>
          <w:szCs w:val="24"/>
        </w:rPr>
        <w:t xml:space="preserve">甲藻门 </w:t>
      </w:r>
      <w:r>
        <w:rPr>
          <w:rFonts w:ascii="Times New Roman" w:hAnsi="Times New Roman" w:eastAsia="Times New Roman" w:cs="Times New Roman"/>
          <w:spacing w:val="-1"/>
          <w:sz w:val="24"/>
          <w:szCs w:val="24"/>
        </w:rPr>
        <w:t>&gt;</w:t>
      </w:r>
      <w:r>
        <w:rPr>
          <w:rFonts w:ascii="宋体" w:hAnsi="宋体" w:eastAsia="宋体" w:cs="宋体"/>
          <w:spacing w:val="-1"/>
          <w:sz w:val="24"/>
          <w:szCs w:val="24"/>
        </w:rPr>
        <w:t>金藻门＞蓝藻。</w:t>
      </w:r>
    </w:p>
    <w:p>
      <w:pPr>
        <w:spacing w:before="164" w:line="468" w:lineRule="exact"/>
        <w:ind w:left="528"/>
        <w:rPr>
          <w:rFonts w:ascii="宋体" w:hAnsi="宋体" w:eastAsia="宋体" w:cs="宋体"/>
          <w:sz w:val="24"/>
          <w:szCs w:val="24"/>
        </w:rPr>
      </w:pPr>
      <w:r>
        <w:rPr>
          <w:rFonts w:ascii="宋体" w:hAnsi="宋体" w:eastAsia="宋体" w:cs="宋体"/>
          <w:spacing w:val="-3"/>
          <w:position w:val="16"/>
          <w:sz w:val="24"/>
          <w:szCs w:val="24"/>
        </w:rPr>
        <w:t>断面</w:t>
      </w:r>
      <w:r>
        <w:rPr>
          <w:rFonts w:ascii="宋体" w:hAnsi="宋体" w:eastAsia="宋体" w:cs="宋体"/>
          <w:spacing w:val="-57"/>
          <w:position w:val="16"/>
          <w:sz w:val="24"/>
          <w:szCs w:val="24"/>
        </w:rPr>
        <w:t xml:space="preserve"> </w:t>
      </w:r>
      <w:r>
        <w:rPr>
          <w:rFonts w:ascii="Times New Roman" w:hAnsi="Times New Roman" w:eastAsia="Times New Roman" w:cs="Times New Roman"/>
          <w:spacing w:val="-3"/>
          <w:position w:val="16"/>
          <w:sz w:val="24"/>
          <w:szCs w:val="24"/>
        </w:rPr>
        <w:t xml:space="preserve">W2 </w:t>
      </w:r>
      <w:r>
        <w:rPr>
          <w:rFonts w:ascii="宋体" w:hAnsi="宋体" w:eastAsia="宋体" w:cs="宋体"/>
          <w:spacing w:val="-3"/>
          <w:position w:val="16"/>
          <w:sz w:val="24"/>
          <w:szCs w:val="24"/>
        </w:rPr>
        <w:t>浮游植物的数量为</w:t>
      </w:r>
      <w:r>
        <w:rPr>
          <w:rFonts w:ascii="宋体" w:hAnsi="宋体" w:eastAsia="宋体" w:cs="宋体"/>
          <w:spacing w:val="-54"/>
          <w:position w:val="16"/>
          <w:sz w:val="24"/>
          <w:szCs w:val="24"/>
        </w:rPr>
        <w:t xml:space="preserve"> </w:t>
      </w:r>
      <w:r>
        <w:rPr>
          <w:rFonts w:ascii="Times New Roman" w:hAnsi="Times New Roman" w:eastAsia="Times New Roman" w:cs="Times New Roman"/>
          <w:spacing w:val="-3"/>
          <w:position w:val="16"/>
          <w:sz w:val="24"/>
          <w:szCs w:val="24"/>
        </w:rPr>
        <w:t>2.14</w:t>
      </w:r>
      <w:r>
        <w:rPr>
          <w:rFonts w:ascii="Times New Roman" w:hAnsi="Times New Roman" w:eastAsia="Times New Roman" w:cs="Times New Roman"/>
          <w:spacing w:val="-3"/>
          <w:position w:val="24"/>
          <w:sz w:val="15"/>
          <w:szCs w:val="15"/>
        </w:rPr>
        <w:t>6</w:t>
      </w:r>
      <w:r>
        <w:rPr>
          <w:rFonts w:ascii="Times New Roman" w:hAnsi="Times New Roman" w:eastAsia="Times New Roman" w:cs="Times New Roman"/>
          <w:spacing w:val="-3"/>
          <w:position w:val="16"/>
          <w:sz w:val="24"/>
          <w:szCs w:val="24"/>
        </w:rPr>
        <w:t>cell</w:t>
      </w:r>
      <w:r>
        <w:rPr>
          <w:rFonts w:ascii="Times New Roman" w:hAnsi="Times New Roman" w:eastAsia="Times New Roman" w:cs="Times New Roman"/>
          <w:spacing w:val="-33"/>
          <w:position w:val="16"/>
          <w:sz w:val="24"/>
          <w:szCs w:val="24"/>
        </w:rPr>
        <w:t xml:space="preserve"> </w:t>
      </w:r>
      <w:r>
        <w:rPr>
          <w:rFonts w:ascii="Times New Roman" w:hAnsi="Times New Roman" w:eastAsia="Times New Roman" w:cs="Times New Roman"/>
          <w:spacing w:val="-3"/>
          <w:position w:val="16"/>
          <w:sz w:val="24"/>
          <w:szCs w:val="24"/>
        </w:rPr>
        <w:t>·L</w:t>
      </w:r>
      <w:r>
        <w:rPr>
          <w:rFonts w:ascii="Times New Roman" w:hAnsi="Times New Roman" w:eastAsia="Times New Roman" w:cs="Times New Roman"/>
          <w:spacing w:val="-3"/>
          <w:position w:val="24"/>
          <w:sz w:val="15"/>
          <w:szCs w:val="15"/>
        </w:rPr>
        <w:t>-</w:t>
      </w:r>
      <w:r>
        <w:rPr>
          <w:rFonts w:ascii="Times New Roman" w:hAnsi="Times New Roman" w:eastAsia="Times New Roman" w:cs="Times New Roman"/>
          <w:spacing w:val="-19"/>
          <w:position w:val="24"/>
          <w:sz w:val="15"/>
          <w:szCs w:val="15"/>
        </w:rPr>
        <w:t xml:space="preserve"> </w:t>
      </w:r>
      <w:r>
        <w:rPr>
          <w:rFonts w:ascii="Times New Roman" w:hAnsi="Times New Roman" w:eastAsia="Times New Roman" w:cs="Times New Roman"/>
          <w:spacing w:val="-3"/>
          <w:position w:val="24"/>
          <w:sz w:val="15"/>
          <w:szCs w:val="15"/>
        </w:rPr>
        <w:t>1</w:t>
      </w:r>
      <w:r>
        <w:rPr>
          <w:rFonts w:ascii="Times New Roman" w:hAnsi="Times New Roman" w:eastAsia="Times New Roman" w:cs="Times New Roman"/>
          <w:spacing w:val="-11"/>
          <w:position w:val="24"/>
          <w:sz w:val="15"/>
          <w:szCs w:val="15"/>
        </w:rPr>
        <w:t xml:space="preserve"> </w:t>
      </w:r>
      <w:r>
        <w:rPr>
          <w:rFonts w:ascii="宋体" w:hAnsi="宋体" w:eastAsia="宋体" w:cs="宋体"/>
          <w:spacing w:val="-3"/>
          <w:position w:val="16"/>
          <w:sz w:val="24"/>
          <w:szCs w:val="24"/>
        </w:rPr>
        <w:t>，其</w:t>
      </w:r>
      <w:r>
        <w:rPr>
          <w:rFonts w:ascii="宋体" w:hAnsi="宋体" w:eastAsia="宋体" w:cs="宋体"/>
          <w:spacing w:val="-4"/>
          <w:position w:val="16"/>
          <w:sz w:val="24"/>
          <w:szCs w:val="24"/>
        </w:rPr>
        <w:t>中硅藻</w:t>
      </w:r>
      <w:r>
        <w:rPr>
          <w:rFonts w:ascii="宋体" w:hAnsi="宋体" w:eastAsia="宋体" w:cs="宋体"/>
          <w:spacing w:val="-32"/>
          <w:position w:val="16"/>
          <w:sz w:val="24"/>
          <w:szCs w:val="24"/>
        </w:rPr>
        <w:t xml:space="preserve"> </w:t>
      </w:r>
      <w:r>
        <w:rPr>
          <w:rFonts w:ascii="Times New Roman" w:hAnsi="Times New Roman" w:eastAsia="Times New Roman" w:cs="Times New Roman"/>
          <w:spacing w:val="-4"/>
          <w:position w:val="16"/>
          <w:sz w:val="24"/>
          <w:szCs w:val="24"/>
        </w:rPr>
        <w:t>1.12×10</w:t>
      </w:r>
      <w:r>
        <w:rPr>
          <w:rFonts w:ascii="Times New Roman" w:hAnsi="Times New Roman" w:eastAsia="Times New Roman" w:cs="Times New Roman"/>
          <w:spacing w:val="-4"/>
          <w:position w:val="24"/>
          <w:sz w:val="15"/>
          <w:szCs w:val="15"/>
        </w:rPr>
        <w:t>6</w:t>
      </w:r>
      <w:r>
        <w:rPr>
          <w:rFonts w:ascii="Times New Roman" w:hAnsi="Times New Roman" w:eastAsia="Times New Roman" w:cs="Times New Roman"/>
          <w:spacing w:val="-4"/>
          <w:position w:val="16"/>
          <w:sz w:val="24"/>
          <w:szCs w:val="24"/>
        </w:rPr>
        <w:t>cell</w:t>
      </w:r>
      <w:r>
        <w:rPr>
          <w:rFonts w:ascii="Times New Roman" w:hAnsi="Times New Roman" w:eastAsia="Times New Roman" w:cs="Times New Roman"/>
          <w:spacing w:val="-32"/>
          <w:position w:val="16"/>
          <w:sz w:val="24"/>
          <w:szCs w:val="24"/>
        </w:rPr>
        <w:t xml:space="preserve"> </w:t>
      </w:r>
      <w:r>
        <w:rPr>
          <w:rFonts w:ascii="Times New Roman" w:hAnsi="Times New Roman" w:eastAsia="Times New Roman" w:cs="Times New Roman"/>
          <w:spacing w:val="-4"/>
          <w:position w:val="16"/>
          <w:sz w:val="24"/>
          <w:szCs w:val="24"/>
        </w:rPr>
        <w:t>·L</w:t>
      </w:r>
      <w:r>
        <w:rPr>
          <w:rFonts w:ascii="Times New Roman" w:hAnsi="Times New Roman" w:eastAsia="Times New Roman" w:cs="Times New Roman"/>
          <w:spacing w:val="-4"/>
          <w:position w:val="24"/>
          <w:sz w:val="15"/>
          <w:szCs w:val="15"/>
        </w:rPr>
        <w:t>-</w:t>
      </w:r>
      <w:r>
        <w:rPr>
          <w:rFonts w:ascii="Times New Roman" w:hAnsi="Times New Roman" w:eastAsia="Times New Roman" w:cs="Times New Roman"/>
          <w:spacing w:val="-19"/>
          <w:position w:val="24"/>
          <w:sz w:val="15"/>
          <w:szCs w:val="15"/>
        </w:rPr>
        <w:t xml:space="preserve"> </w:t>
      </w:r>
      <w:r>
        <w:rPr>
          <w:rFonts w:ascii="Times New Roman" w:hAnsi="Times New Roman" w:eastAsia="Times New Roman" w:cs="Times New Roman"/>
          <w:spacing w:val="-4"/>
          <w:position w:val="24"/>
          <w:sz w:val="15"/>
          <w:szCs w:val="15"/>
        </w:rPr>
        <w:t>1</w:t>
      </w:r>
      <w:r>
        <w:rPr>
          <w:rFonts w:ascii="Times New Roman" w:hAnsi="Times New Roman" w:eastAsia="Times New Roman" w:cs="Times New Roman"/>
          <w:spacing w:val="-12"/>
          <w:position w:val="24"/>
          <w:sz w:val="15"/>
          <w:szCs w:val="15"/>
        </w:rPr>
        <w:t xml:space="preserve"> </w:t>
      </w:r>
      <w:r>
        <w:rPr>
          <w:rFonts w:ascii="宋体" w:hAnsi="宋体" w:eastAsia="宋体" w:cs="宋体"/>
          <w:spacing w:val="-4"/>
          <w:position w:val="16"/>
          <w:sz w:val="24"/>
          <w:szCs w:val="24"/>
        </w:rPr>
        <w:t>，绿藻</w:t>
      </w:r>
    </w:p>
    <w:p>
      <w:pPr>
        <w:spacing w:line="234" w:lineRule="auto"/>
        <w:ind w:left="38"/>
        <w:rPr>
          <w:rFonts w:ascii="Times New Roman" w:hAnsi="Times New Roman" w:eastAsia="Times New Roman" w:cs="Times New Roman"/>
          <w:sz w:val="15"/>
          <w:szCs w:val="15"/>
        </w:rPr>
      </w:pPr>
      <w:r>
        <w:rPr>
          <w:rFonts w:ascii="Times New Roman" w:hAnsi="Times New Roman" w:eastAsia="Times New Roman" w:cs="Times New Roman"/>
          <w:spacing w:val="-4"/>
          <w:sz w:val="24"/>
          <w:szCs w:val="24"/>
        </w:rPr>
        <w:t>0.78×10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，隐藻</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0.15×10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4"/>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，甲藻</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0.08×10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，金藻</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0.01cell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p>
    <w:p>
      <w:pPr>
        <w:spacing w:line="234" w:lineRule="auto"/>
        <w:rPr>
          <w:rFonts w:ascii="Times New Roman" w:hAnsi="Times New Roman" w:eastAsia="Times New Roman" w:cs="Times New Roman"/>
          <w:sz w:val="15"/>
          <w:szCs w:val="15"/>
        </w:rPr>
        <w:sectPr>
          <w:footerReference r:id="rId315" w:type="default"/>
          <w:pgSz w:w="11907" w:h="16839"/>
          <w:pgMar w:top="1156" w:right="1768" w:bottom="1374" w:left="1770" w:header="881" w:footer="1210" w:gutter="0"/>
        </w:sectPr>
      </w:pPr>
    </w:p>
    <w:p>
      <w:pPr>
        <w:spacing w:line="317" w:lineRule="auto"/>
        <w:rPr>
          <w:rFonts w:ascii="Arial"/>
          <w:sz w:val="21"/>
        </w:rPr>
      </w:pPr>
    </w:p>
    <w:p>
      <w:pPr>
        <w:spacing w:before="78" w:line="468" w:lineRule="exact"/>
        <w:ind w:left="48"/>
        <w:rPr>
          <w:rFonts w:ascii="宋体" w:hAnsi="宋体" w:eastAsia="宋体" w:cs="宋体"/>
          <w:sz w:val="24"/>
          <w:szCs w:val="24"/>
        </w:rPr>
      </w:pPr>
      <w:r>
        <w:rPr>
          <w:rFonts w:ascii="Times New Roman" w:hAnsi="Times New Roman" w:eastAsia="Times New Roman" w:cs="Times New Roman"/>
          <w:spacing w:val="-6"/>
          <w:position w:val="25"/>
          <w:sz w:val="15"/>
          <w:szCs w:val="15"/>
        </w:rPr>
        <w:t>1</w:t>
      </w:r>
      <w:r>
        <w:rPr>
          <w:rFonts w:ascii="Times New Roman" w:hAnsi="Times New Roman" w:eastAsia="Times New Roman" w:cs="Times New Roman"/>
          <w:spacing w:val="-9"/>
          <w:position w:val="25"/>
          <w:sz w:val="15"/>
          <w:szCs w:val="15"/>
        </w:rPr>
        <w:t xml:space="preserve"> </w:t>
      </w:r>
      <w:r>
        <w:rPr>
          <w:rFonts w:ascii="宋体" w:hAnsi="宋体" w:eastAsia="宋体" w:cs="宋体"/>
          <w:spacing w:val="-6"/>
          <w:position w:val="17"/>
          <w:sz w:val="24"/>
          <w:szCs w:val="24"/>
        </w:rPr>
        <w:t>，蓝藻</w:t>
      </w:r>
      <w:r>
        <w:rPr>
          <w:rFonts w:ascii="宋体" w:hAnsi="宋体" w:eastAsia="宋体" w:cs="宋体"/>
          <w:spacing w:val="-41"/>
          <w:position w:val="17"/>
          <w:sz w:val="24"/>
          <w:szCs w:val="24"/>
        </w:rPr>
        <w:t xml:space="preserve"> </w:t>
      </w:r>
      <w:r>
        <w:rPr>
          <w:rFonts w:ascii="Times New Roman" w:hAnsi="Times New Roman" w:eastAsia="Times New Roman" w:cs="Times New Roman"/>
          <w:spacing w:val="-6"/>
          <w:position w:val="17"/>
          <w:sz w:val="24"/>
          <w:szCs w:val="24"/>
        </w:rPr>
        <w:t>0.001×10</w:t>
      </w:r>
      <w:r>
        <w:rPr>
          <w:rFonts w:ascii="Times New Roman" w:hAnsi="Times New Roman" w:eastAsia="Times New Roman" w:cs="Times New Roman"/>
          <w:spacing w:val="-6"/>
          <w:position w:val="25"/>
          <w:sz w:val="15"/>
          <w:szCs w:val="15"/>
        </w:rPr>
        <w:t>6</w:t>
      </w:r>
      <w:r>
        <w:rPr>
          <w:rFonts w:ascii="Times New Roman" w:hAnsi="Times New Roman" w:eastAsia="Times New Roman" w:cs="Times New Roman"/>
          <w:spacing w:val="-6"/>
          <w:position w:val="17"/>
          <w:sz w:val="24"/>
          <w:szCs w:val="24"/>
        </w:rPr>
        <w:t>cell</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spacing w:val="-6"/>
          <w:position w:val="17"/>
          <w:sz w:val="24"/>
          <w:szCs w:val="24"/>
        </w:rPr>
        <w:t>·L</w:t>
      </w:r>
      <w:r>
        <w:rPr>
          <w:rFonts w:ascii="Times New Roman" w:hAnsi="Times New Roman" w:eastAsia="Times New Roman" w:cs="Times New Roman"/>
          <w:spacing w:val="-6"/>
          <w:position w:val="25"/>
          <w:sz w:val="15"/>
          <w:szCs w:val="15"/>
        </w:rPr>
        <w:t>-</w:t>
      </w:r>
      <w:r>
        <w:rPr>
          <w:rFonts w:ascii="Times New Roman" w:hAnsi="Times New Roman" w:eastAsia="Times New Roman" w:cs="Times New Roman"/>
          <w:spacing w:val="-20"/>
          <w:position w:val="25"/>
          <w:sz w:val="15"/>
          <w:szCs w:val="15"/>
        </w:rPr>
        <w:t xml:space="preserve"> </w:t>
      </w:r>
      <w:r>
        <w:rPr>
          <w:rFonts w:ascii="Times New Roman" w:hAnsi="Times New Roman" w:eastAsia="Times New Roman" w:cs="Times New Roman"/>
          <w:spacing w:val="-6"/>
          <w:position w:val="25"/>
          <w:sz w:val="15"/>
          <w:szCs w:val="15"/>
        </w:rPr>
        <w:t xml:space="preserve">1 </w:t>
      </w:r>
      <w:r>
        <w:rPr>
          <w:rFonts w:ascii="宋体" w:hAnsi="宋体" w:eastAsia="宋体" w:cs="宋体"/>
          <w:spacing w:val="-6"/>
          <w:position w:val="17"/>
          <w:sz w:val="24"/>
          <w:szCs w:val="24"/>
        </w:rPr>
        <w:t>；生物量为</w:t>
      </w:r>
      <w:r>
        <w:rPr>
          <w:rFonts w:ascii="宋体" w:hAnsi="宋体" w:eastAsia="宋体" w:cs="宋体"/>
          <w:spacing w:val="-42"/>
          <w:position w:val="17"/>
          <w:sz w:val="24"/>
          <w:szCs w:val="24"/>
        </w:rPr>
        <w:t xml:space="preserve"> </w:t>
      </w:r>
      <w:r>
        <w:rPr>
          <w:rFonts w:ascii="Times New Roman" w:hAnsi="Times New Roman" w:eastAsia="Times New Roman" w:cs="Times New Roman"/>
          <w:spacing w:val="-6"/>
          <w:position w:val="17"/>
          <w:sz w:val="24"/>
          <w:szCs w:val="24"/>
        </w:rPr>
        <w:t>2.19mg</w:t>
      </w:r>
      <w:r>
        <w:rPr>
          <w:rFonts w:ascii="Times New Roman" w:hAnsi="Times New Roman" w:eastAsia="Times New Roman" w:cs="Times New Roman"/>
          <w:spacing w:val="-32"/>
          <w:position w:val="17"/>
          <w:sz w:val="24"/>
          <w:szCs w:val="24"/>
        </w:rPr>
        <w:t xml:space="preserve"> </w:t>
      </w:r>
      <w:r>
        <w:rPr>
          <w:rFonts w:ascii="Times New Roman" w:hAnsi="Times New Roman" w:eastAsia="Times New Roman" w:cs="Times New Roman"/>
          <w:spacing w:val="-6"/>
          <w:position w:val="17"/>
          <w:sz w:val="24"/>
          <w:szCs w:val="24"/>
        </w:rPr>
        <w:t>·L</w:t>
      </w:r>
      <w:r>
        <w:rPr>
          <w:rFonts w:ascii="Times New Roman" w:hAnsi="Times New Roman" w:eastAsia="Times New Roman" w:cs="Times New Roman"/>
          <w:spacing w:val="-6"/>
          <w:position w:val="25"/>
          <w:sz w:val="15"/>
          <w:szCs w:val="15"/>
        </w:rPr>
        <w:t>-</w:t>
      </w:r>
      <w:r>
        <w:rPr>
          <w:rFonts w:ascii="Times New Roman" w:hAnsi="Times New Roman" w:eastAsia="Times New Roman" w:cs="Times New Roman"/>
          <w:spacing w:val="-19"/>
          <w:position w:val="25"/>
          <w:sz w:val="15"/>
          <w:szCs w:val="15"/>
        </w:rPr>
        <w:t xml:space="preserve"> </w:t>
      </w:r>
      <w:r>
        <w:rPr>
          <w:rFonts w:ascii="Times New Roman" w:hAnsi="Times New Roman" w:eastAsia="Times New Roman" w:cs="Times New Roman"/>
          <w:spacing w:val="-6"/>
          <w:position w:val="25"/>
          <w:sz w:val="15"/>
          <w:szCs w:val="15"/>
        </w:rPr>
        <w:t>1</w:t>
      </w:r>
      <w:r>
        <w:rPr>
          <w:rFonts w:ascii="Times New Roman" w:hAnsi="Times New Roman" w:eastAsia="Times New Roman" w:cs="Times New Roman"/>
          <w:spacing w:val="-11"/>
          <w:position w:val="25"/>
          <w:sz w:val="15"/>
          <w:szCs w:val="15"/>
        </w:rPr>
        <w:t xml:space="preserve"> </w:t>
      </w:r>
      <w:r>
        <w:rPr>
          <w:rFonts w:ascii="宋体" w:hAnsi="宋体" w:eastAsia="宋体" w:cs="宋体"/>
          <w:spacing w:val="-6"/>
          <w:position w:val="17"/>
          <w:sz w:val="24"/>
          <w:szCs w:val="24"/>
        </w:rPr>
        <w:t xml:space="preserve">，其中绿藻 </w:t>
      </w:r>
      <w:r>
        <w:rPr>
          <w:rFonts w:ascii="Times New Roman" w:hAnsi="Times New Roman" w:eastAsia="Times New Roman" w:cs="Times New Roman"/>
          <w:spacing w:val="-6"/>
          <w:position w:val="17"/>
          <w:sz w:val="24"/>
          <w:szCs w:val="24"/>
        </w:rPr>
        <w:t>1.08mg</w:t>
      </w:r>
      <w:r>
        <w:rPr>
          <w:rFonts w:ascii="Times New Roman" w:hAnsi="Times New Roman" w:eastAsia="Times New Roman" w:cs="Times New Roman"/>
          <w:spacing w:val="-31"/>
          <w:position w:val="17"/>
          <w:sz w:val="24"/>
          <w:szCs w:val="24"/>
        </w:rPr>
        <w:t xml:space="preserve"> </w:t>
      </w:r>
      <w:r>
        <w:rPr>
          <w:rFonts w:ascii="Times New Roman" w:hAnsi="Times New Roman" w:eastAsia="Times New Roman" w:cs="Times New Roman"/>
          <w:spacing w:val="-6"/>
          <w:position w:val="17"/>
          <w:sz w:val="24"/>
          <w:szCs w:val="24"/>
        </w:rPr>
        <w:t>·L</w:t>
      </w:r>
      <w:r>
        <w:rPr>
          <w:rFonts w:ascii="Times New Roman" w:hAnsi="Times New Roman" w:eastAsia="Times New Roman" w:cs="Times New Roman"/>
          <w:spacing w:val="-6"/>
          <w:position w:val="25"/>
          <w:sz w:val="15"/>
          <w:szCs w:val="15"/>
        </w:rPr>
        <w:t>-</w:t>
      </w:r>
      <w:r>
        <w:rPr>
          <w:rFonts w:ascii="Times New Roman" w:hAnsi="Times New Roman" w:eastAsia="Times New Roman" w:cs="Times New Roman"/>
          <w:spacing w:val="-19"/>
          <w:position w:val="25"/>
          <w:sz w:val="15"/>
          <w:szCs w:val="15"/>
        </w:rPr>
        <w:t xml:space="preserve"> </w:t>
      </w:r>
      <w:r>
        <w:rPr>
          <w:rFonts w:ascii="Times New Roman" w:hAnsi="Times New Roman" w:eastAsia="Times New Roman" w:cs="Times New Roman"/>
          <w:spacing w:val="-6"/>
          <w:position w:val="25"/>
          <w:sz w:val="15"/>
          <w:szCs w:val="15"/>
        </w:rPr>
        <w:t>1</w:t>
      </w:r>
      <w:r>
        <w:rPr>
          <w:rFonts w:ascii="Times New Roman" w:hAnsi="Times New Roman" w:eastAsia="Times New Roman" w:cs="Times New Roman"/>
          <w:spacing w:val="-11"/>
          <w:position w:val="25"/>
          <w:sz w:val="15"/>
          <w:szCs w:val="15"/>
        </w:rPr>
        <w:t xml:space="preserve"> </w:t>
      </w:r>
      <w:r>
        <w:rPr>
          <w:rFonts w:ascii="宋体" w:hAnsi="宋体" w:eastAsia="宋体" w:cs="宋体"/>
          <w:spacing w:val="-6"/>
          <w:position w:val="17"/>
          <w:sz w:val="24"/>
          <w:szCs w:val="24"/>
        </w:rPr>
        <w:t>，硅藻</w:t>
      </w:r>
    </w:p>
    <w:p>
      <w:pPr>
        <w:spacing w:line="212" w:lineRule="auto"/>
        <w:ind w:left="58"/>
        <w:rPr>
          <w:rFonts w:ascii="宋体" w:hAnsi="宋体" w:eastAsia="宋体" w:cs="宋体"/>
          <w:sz w:val="24"/>
          <w:szCs w:val="24"/>
        </w:rPr>
      </w:pPr>
      <w:r>
        <w:rPr>
          <w:rFonts w:ascii="Times New Roman" w:hAnsi="Times New Roman" w:eastAsia="Times New Roman" w:cs="Times New Roman"/>
          <w:spacing w:val="-7"/>
          <w:sz w:val="24"/>
          <w:szCs w:val="24"/>
        </w:rPr>
        <w:t>1.02mg</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7"/>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6"/>
          <w:position w:val="8"/>
          <w:sz w:val="15"/>
          <w:szCs w:val="15"/>
        </w:rPr>
        <w:t>1</w:t>
      </w:r>
      <w:r>
        <w:rPr>
          <w:rFonts w:ascii="Times New Roman" w:hAnsi="Times New Roman" w:eastAsia="Times New Roman" w:cs="Times New Roman"/>
          <w:spacing w:val="-12"/>
          <w:position w:val="8"/>
          <w:sz w:val="15"/>
          <w:szCs w:val="15"/>
        </w:rPr>
        <w:t xml:space="preserve"> </w:t>
      </w:r>
      <w:r>
        <w:rPr>
          <w:rFonts w:ascii="宋体" w:hAnsi="宋体" w:eastAsia="宋体" w:cs="宋体"/>
          <w:spacing w:val="-6"/>
          <w:sz w:val="24"/>
          <w:szCs w:val="24"/>
        </w:rPr>
        <w:t>，隐藻</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0.05mg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6"/>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6"/>
          <w:sz w:val="24"/>
          <w:szCs w:val="24"/>
        </w:rPr>
        <w:t>，甲藻</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0.04mg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6"/>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6"/>
          <w:sz w:val="24"/>
          <w:szCs w:val="24"/>
        </w:rPr>
        <w:t>，金藻</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0.00</w:t>
      </w:r>
      <w:r>
        <w:rPr>
          <w:rFonts w:ascii="Times New Roman" w:hAnsi="Times New Roman" w:eastAsia="Times New Roman" w:cs="Times New Roman"/>
          <w:spacing w:val="-7"/>
          <w:sz w:val="24"/>
          <w:szCs w:val="24"/>
        </w:rPr>
        <w:t>3mg</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7"/>
          <w:sz w:val="24"/>
          <w:szCs w:val="24"/>
        </w:rPr>
        <w:t>·L</w:t>
      </w:r>
      <w:r>
        <w:rPr>
          <w:rFonts w:ascii="Times New Roman" w:hAnsi="Times New Roman" w:eastAsia="Times New Roman" w:cs="Times New Roman"/>
          <w:spacing w:val="-7"/>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7"/>
          <w:position w:val="8"/>
          <w:sz w:val="15"/>
          <w:szCs w:val="15"/>
        </w:rPr>
        <w:t>1</w:t>
      </w:r>
      <w:r>
        <w:rPr>
          <w:rFonts w:ascii="Times New Roman" w:hAnsi="Times New Roman" w:eastAsia="Times New Roman" w:cs="Times New Roman"/>
          <w:spacing w:val="-12"/>
          <w:position w:val="8"/>
          <w:sz w:val="15"/>
          <w:szCs w:val="15"/>
        </w:rPr>
        <w:t xml:space="preserve"> </w:t>
      </w:r>
      <w:r>
        <w:rPr>
          <w:rFonts w:ascii="宋体" w:hAnsi="宋体" w:eastAsia="宋体" w:cs="宋体"/>
          <w:spacing w:val="-7"/>
          <w:sz w:val="24"/>
          <w:szCs w:val="24"/>
        </w:rPr>
        <w:t>，蓝藻</w:t>
      </w:r>
    </w:p>
    <w:p>
      <w:pPr>
        <w:spacing w:before="192" w:line="468" w:lineRule="exact"/>
        <w:ind w:left="38"/>
        <w:rPr>
          <w:rFonts w:ascii="宋体" w:hAnsi="宋体" w:eastAsia="宋体" w:cs="宋体"/>
          <w:sz w:val="24"/>
          <w:szCs w:val="24"/>
        </w:rPr>
      </w:pPr>
      <w:r>
        <w:rPr>
          <w:rFonts w:ascii="Times New Roman" w:hAnsi="Times New Roman" w:eastAsia="Times New Roman" w:cs="Times New Roman"/>
          <w:spacing w:val="-1"/>
          <w:position w:val="17"/>
          <w:sz w:val="24"/>
          <w:szCs w:val="24"/>
        </w:rPr>
        <w:t>0.001mg·L</w:t>
      </w:r>
      <w:r>
        <w:rPr>
          <w:rFonts w:ascii="Times New Roman" w:hAnsi="Times New Roman" w:eastAsia="Times New Roman" w:cs="Times New Roman"/>
          <w:spacing w:val="-1"/>
          <w:position w:val="25"/>
          <w:sz w:val="15"/>
          <w:szCs w:val="15"/>
        </w:rPr>
        <w:t>-</w:t>
      </w:r>
      <w:r>
        <w:rPr>
          <w:rFonts w:ascii="Times New Roman" w:hAnsi="Times New Roman" w:eastAsia="Times New Roman" w:cs="Times New Roman"/>
          <w:spacing w:val="-19"/>
          <w:position w:val="25"/>
          <w:sz w:val="15"/>
          <w:szCs w:val="15"/>
        </w:rPr>
        <w:t xml:space="preserve"> </w:t>
      </w:r>
      <w:r>
        <w:rPr>
          <w:rFonts w:ascii="Times New Roman" w:hAnsi="Times New Roman" w:eastAsia="Times New Roman" w:cs="Times New Roman"/>
          <w:spacing w:val="-1"/>
          <w:position w:val="25"/>
          <w:sz w:val="15"/>
          <w:szCs w:val="15"/>
        </w:rPr>
        <w:t xml:space="preserve">1 </w:t>
      </w:r>
      <w:r>
        <w:rPr>
          <w:rFonts w:ascii="宋体" w:hAnsi="宋体" w:eastAsia="宋体" w:cs="宋体"/>
          <w:spacing w:val="-1"/>
          <w:position w:val="17"/>
          <w:sz w:val="24"/>
          <w:szCs w:val="24"/>
        </w:rPr>
        <w:t>。从数量上排序</w:t>
      </w:r>
      <w:r>
        <w:rPr>
          <w:rFonts w:ascii="宋体" w:hAnsi="宋体" w:eastAsia="宋体" w:cs="宋体"/>
          <w:spacing w:val="-2"/>
          <w:position w:val="17"/>
          <w:sz w:val="24"/>
          <w:szCs w:val="24"/>
        </w:rPr>
        <w:t>为硅藻门</w:t>
      </w:r>
      <w:r>
        <w:rPr>
          <w:rFonts w:ascii="Times New Roman" w:hAnsi="Times New Roman" w:eastAsia="Times New Roman" w:cs="Times New Roman"/>
          <w:spacing w:val="-2"/>
          <w:position w:val="17"/>
          <w:sz w:val="24"/>
          <w:szCs w:val="24"/>
        </w:rPr>
        <w:t>&gt;</w:t>
      </w:r>
      <w:r>
        <w:rPr>
          <w:rFonts w:ascii="宋体" w:hAnsi="宋体" w:eastAsia="宋体" w:cs="宋体"/>
          <w:spacing w:val="-2"/>
          <w:position w:val="17"/>
          <w:sz w:val="24"/>
          <w:szCs w:val="24"/>
        </w:rPr>
        <w:t>绿藻门</w:t>
      </w:r>
      <w:r>
        <w:rPr>
          <w:rFonts w:ascii="Times New Roman" w:hAnsi="Times New Roman" w:eastAsia="Times New Roman" w:cs="Times New Roman"/>
          <w:spacing w:val="-2"/>
          <w:position w:val="17"/>
          <w:sz w:val="24"/>
          <w:szCs w:val="24"/>
        </w:rPr>
        <w:t>&gt;</w:t>
      </w:r>
      <w:r>
        <w:rPr>
          <w:rFonts w:ascii="宋体" w:hAnsi="宋体" w:eastAsia="宋体" w:cs="宋体"/>
          <w:spacing w:val="-2"/>
          <w:position w:val="17"/>
          <w:sz w:val="24"/>
          <w:szCs w:val="24"/>
        </w:rPr>
        <w:t>隐藻门</w:t>
      </w:r>
      <w:r>
        <w:rPr>
          <w:rFonts w:ascii="Times New Roman" w:hAnsi="Times New Roman" w:eastAsia="Times New Roman" w:cs="Times New Roman"/>
          <w:spacing w:val="-2"/>
          <w:position w:val="17"/>
          <w:sz w:val="24"/>
          <w:szCs w:val="24"/>
        </w:rPr>
        <w:t>&gt;</w:t>
      </w:r>
      <w:r>
        <w:rPr>
          <w:rFonts w:ascii="宋体" w:hAnsi="宋体" w:eastAsia="宋体" w:cs="宋体"/>
          <w:spacing w:val="-2"/>
          <w:position w:val="17"/>
          <w:sz w:val="24"/>
          <w:szCs w:val="24"/>
        </w:rPr>
        <w:t>甲藻门</w:t>
      </w:r>
      <w:r>
        <w:rPr>
          <w:rFonts w:ascii="Times New Roman" w:hAnsi="Times New Roman" w:eastAsia="Times New Roman" w:cs="Times New Roman"/>
          <w:spacing w:val="-2"/>
          <w:position w:val="17"/>
          <w:sz w:val="24"/>
          <w:szCs w:val="24"/>
        </w:rPr>
        <w:t>&gt;</w:t>
      </w:r>
      <w:r>
        <w:rPr>
          <w:rFonts w:ascii="宋体" w:hAnsi="宋体" w:eastAsia="宋体" w:cs="宋体"/>
          <w:spacing w:val="-2"/>
          <w:position w:val="17"/>
          <w:sz w:val="24"/>
          <w:szCs w:val="24"/>
        </w:rPr>
        <w:t>金藻门＞蓝藻；</w:t>
      </w:r>
    </w:p>
    <w:p>
      <w:pPr>
        <w:spacing w:line="234" w:lineRule="auto"/>
        <w:ind w:left="42"/>
        <w:rPr>
          <w:rFonts w:ascii="宋体" w:hAnsi="宋体" w:eastAsia="宋体" w:cs="宋体"/>
          <w:sz w:val="24"/>
          <w:szCs w:val="24"/>
        </w:rPr>
      </w:pPr>
      <w:r>
        <w:rPr>
          <w:rFonts w:ascii="宋体" w:hAnsi="宋体" w:eastAsia="宋体" w:cs="宋体"/>
          <w:spacing w:val="-1"/>
          <w:sz w:val="24"/>
          <w:szCs w:val="24"/>
        </w:rPr>
        <w:t>从生物量上排序为绿藻门</w:t>
      </w:r>
      <w:r>
        <w:rPr>
          <w:rFonts w:ascii="Times New Roman" w:hAnsi="Times New Roman" w:eastAsia="Times New Roman" w:cs="Times New Roman"/>
          <w:spacing w:val="-1"/>
          <w:sz w:val="24"/>
          <w:szCs w:val="24"/>
        </w:rPr>
        <w:t>&gt;</w:t>
      </w:r>
      <w:r>
        <w:rPr>
          <w:rFonts w:ascii="宋体" w:hAnsi="宋体" w:eastAsia="宋体" w:cs="宋体"/>
          <w:spacing w:val="-1"/>
          <w:sz w:val="24"/>
          <w:szCs w:val="24"/>
        </w:rPr>
        <w:t>硅藻门</w:t>
      </w:r>
      <w:r>
        <w:rPr>
          <w:rFonts w:ascii="Times New Roman" w:hAnsi="Times New Roman" w:eastAsia="Times New Roman" w:cs="Times New Roman"/>
          <w:spacing w:val="-1"/>
          <w:sz w:val="24"/>
          <w:szCs w:val="24"/>
        </w:rPr>
        <w:t>&gt;</w:t>
      </w:r>
      <w:r>
        <w:rPr>
          <w:rFonts w:ascii="宋体" w:hAnsi="宋体" w:eastAsia="宋体" w:cs="宋体"/>
          <w:spacing w:val="-1"/>
          <w:sz w:val="24"/>
          <w:szCs w:val="24"/>
        </w:rPr>
        <w:t xml:space="preserve">隐藻门 </w:t>
      </w:r>
      <w:r>
        <w:rPr>
          <w:rFonts w:ascii="Times New Roman" w:hAnsi="Times New Roman" w:eastAsia="Times New Roman" w:cs="Times New Roman"/>
          <w:spacing w:val="-1"/>
          <w:sz w:val="24"/>
          <w:szCs w:val="24"/>
        </w:rPr>
        <w:t>&gt;</w:t>
      </w:r>
      <w:r>
        <w:rPr>
          <w:rFonts w:ascii="宋体" w:hAnsi="宋体" w:eastAsia="宋体" w:cs="宋体"/>
          <w:spacing w:val="-1"/>
          <w:sz w:val="24"/>
          <w:szCs w:val="24"/>
        </w:rPr>
        <w:t xml:space="preserve">甲藻门 </w:t>
      </w:r>
      <w:r>
        <w:rPr>
          <w:rFonts w:ascii="Times New Roman" w:hAnsi="Times New Roman" w:eastAsia="Times New Roman" w:cs="Times New Roman"/>
          <w:spacing w:val="-1"/>
          <w:sz w:val="24"/>
          <w:szCs w:val="24"/>
        </w:rPr>
        <w:t>&gt;</w:t>
      </w:r>
      <w:r>
        <w:rPr>
          <w:rFonts w:ascii="宋体" w:hAnsi="宋体" w:eastAsia="宋体" w:cs="宋体"/>
          <w:spacing w:val="-1"/>
          <w:sz w:val="24"/>
          <w:szCs w:val="24"/>
        </w:rPr>
        <w:t>金藻门＞蓝藻。</w:t>
      </w:r>
    </w:p>
    <w:p>
      <w:pPr>
        <w:spacing w:before="164" w:line="233" w:lineRule="auto"/>
        <w:ind w:left="528"/>
        <w:rPr>
          <w:rFonts w:ascii="宋体" w:hAnsi="宋体" w:eastAsia="宋体" w:cs="宋体"/>
          <w:sz w:val="24"/>
          <w:szCs w:val="24"/>
        </w:rPr>
      </w:pPr>
      <w:r>
        <w:rPr>
          <w:rFonts w:ascii="宋体" w:hAnsi="宋体" w:eastAsia="宋体" w:cs="宋体"/>
          <w:spacing w:val="-3"/>
          <w:sz w:val="24"/>
          <w:szCs w:val="24"/>
        </w:rPr>
        <w:t>断面</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W3 </w:t>
      </w:r>
      <w:r>
        <w:rPr>
          <w:rFonts w:ascii="宋体" w:hAnsi="宋体" w:eastAsia="宋体" w:cs="宋体"/>
          <w:spacing w:val="-3"/>
          <w:sz w:val="24"/>
          <w:szCs w:val="24"/>
        </w:rPr>
        <w:t>浮游植物的数量为</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2.03×10</w:t>
      </w:r>
      <w:r>
        <w:rPr>
          <w:rFonts w:ascii="Times New Roman" w:hAnsi="Times New Roman" w:eastAsia="Times New Roman" w:cs="Times New Roman"/>
          <w:spacing w:val="-3"/>
          <w:position w:val="8"/>
          <w:sz w:val="15"/>
          <w:szCs w:val="15"/>
        </w:rPr>
        <w:t>6</w:t>
      </w:r>
      <w:r>
        <w:rPr>
          <w:rFonts w:ascii="Times New Roman" w:hAnsi="Times New Roman" w:eastAsia="Times New Roman" w:cs="Times New Roman"/>
          <w:spacing w:val="-3"/>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3"/>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3"/>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3"/>
          <w:sz w:val="24"/>
          <w:szCs w:val="24"/>
        </w:rPr>
        <w:t>，其中硅藻</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1.07×10</w:t>
      </w:r>
      <w:r>
        <w:rPr>
          <w:rFonts w:ascii="Times New Roman" w:hAnsi="Times New Roman" w:eastAsia="Times New Roman" w:cs="Times New Roman"/>
          <w:spacing w:val="-3"/>
          <w:position w:val="8"/>
          <w:sz w:val="15"/>
          <w:szCs w:val="15"/>
        </w:rPr>
        <w:t>6</w:t>
      </w:r>
      <w:r>
        <w:rPr>
          <w:rFonts w:ascii="Times New Roman" w:hAnsi="Times New Roman" w:eastAsia="Times New Roman" w:cs="Times New Roman"/>
          <w:spacing w:val="-3"/>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3"/>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3"/>
          <w:position w:val="8"/>
          <w:sz w:val="15"/>
          <w:szCs w:val="15"/>
        </w:rPr>
        <w:t>1</w:t>
      </w:r>
      <w:r>
        <w:rPr>
          <w:rFonts w:ascii="宋体" w:hAnsi="宋体" w:eastAsia="宋体" w:cs="宋体"/>
          <w:spacing w:val="-3"/>
          <w:sz w:val="24"/>
          <w:szCs w:val="24"/>
        </w:rPr>
        <w:t>，</w:t>
      </w:r>
    </w:p>
    <w:p>
      <w:pPr>
        <w:spacing w:before="164" w:line="234" w:lineRule="auto"/>
        <w:ind w:left="41"/>
        <w:rPr>
          <w:rFonts w:ascii="宋体" w:hAnsi="宋体" w:eastAsia="宋体" w:cs="宋体"/>
          <w:sz w:val="24"/>
          <w:szCs w:val="24"/>
        </w:rPr>
      </w:pPr>
      <w:r>
        <w:rPr>
          <w:rFonts w:ascii="宋体" w:hAnsi="宋体" w:eastAsia="宋体" w:cs="宋体"/>
          <w:spacing w:val="-3"/>
          <w:sz w:val="24"/>
          <w:szCs w:val="24"/>
        </w:rPr>
        <w:t>绿藻</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0.71×10</w:t>
      </w:r>
      <w:r>
        <w:rPr>
          <w:rFonts w:ascii="Times New Roman" w:hAnsi="Times New Roman" w:eastAsia="Times New Roman" w:cs="Times New Roman"/>
          <w:spacing w:val="-3"/>
          <w:position w:val="8"/>
          <w:sz w:val="15"/>
          <w:szCs w:val="15"/>
        </w:rPr>
        <w:t>6</w:t>
      </w:r>
      <w:r>
        <w:rPr>
          <w:rFonts w:ascii="Times New Roman" w:hAnsi="Times New Roman" w:eastAsia="Times New Roman" w:cs="Times New Roman"/>
          <w:spacing w:val="-3"/>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3"/>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3"/>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，隐</w:t>
      </w:r>
      <w:r>
        <w:rPr>
          <w:rFonts w:ascii="宋体" w:hAnsi="宋体" w:eastAsia="宋体" w:cs="宋体"/>
          <w:spacing w:val="-4"/>
          <w:sz w:val="24"/>
          <w:szCs w:val="24"/>
        </w:rPr>
        <w:t>藻</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0.13×10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4"/>
          <w:sz w:val="24"/>
          <w:szCs w:val="24"/>
        </w:rPr>
        <w:t>，甲藻</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0.10×10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4"/>
          <w:sz w:val="24"/>
          <w:szCs w:val="24"/>
        </w:rPr>
        <w:t>，金藻</w:t>
      </w:r>
    </w:p>
    <w:p>
      <w:pPr>
        <w:spacing w:before="163" w:line="360" w:lineRule="auto"/>
        <w:ind w:left="41" w:right="116" w:hanging="3"/>
        <w:rPr>
          <w:rFonts w:ascii="宋体" w:hAnsi="宋体" w:eastAsia="宋体" w:cs="宋体"/>
          <w:sz w:val="24"/>
          <w:szCs w:val="24"/>
        </w:rPr>
      </w:pPr>
      <w:r>
        <w:rPr>
          <w:rFonts w:ascii="Times New Roman" w:hAnsi="Times New Roman" w:eastAsia="Times New Roman" w:cs="Times New Roman"/>
          <w:spacing w:val="-5"/>
          <w:sz w:val="24"/>
          <w:szCs w:val="24"/>
        </w:rPr>
        <w:t>0.02cell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·L</w:t>
      </w:r>
      <w:r>
        <w:rPr>
          <w:rFonts w:ascii="Times New Roman" w:hAnsi="Times New Roman" w:eastAsia="Times New Roman" w:cs="Times New Roman"/>
          <w:spacing w:val="-5"/>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5"/>
          <w:position w:val="8"/>
          <w:sz w:val="15"/>
          <w:szCs w:val="15"/>
        </w:rPr>
        <w:t>1</w:t>
      </w:r>
      <w:r>
        <w:rPr>
          <w:rFonts w:ascii="Times New Roman" w:hAnsi="Times New Roman" w:eastAsia="Times New Roman" w:cs="Times New Roman"/>
          <w:spacing w:val="-12"/>
          <w:position w:val="8"/>
          <w:sz w:val="15"/>
          <w:szCs w:val="15"/>
        </w:rPr>
        <w:t xml:space="preserve"> </w:t>
      </w:r>
      <w:r>
        <w:rPr>
          <w:rFonts w:ascii="宋体" w:hAnsi="宋体" w:eastAsia="宋体" w:cs="宋体"/>
          <w:spacing w:val="-5"/>
          <w:sz w:val="24"/>
          <w:szCs w:val="24"/>
        </w:rPr>
        <w:t>，蓝藻</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0.001×10</w:t>
      </w:r>
      <w:r>
        <w:rPr>
          <w:rFonts w:ascii="Times New Roman" w:hAnsi="Times New Roman" w:eastAsia="Times New Roman" w:cs="Times New Roman"/>
          <w:spacing w:val="-5"/>
          <w:position w:val="8"/>
          <w:sz w:val="15"/>
          <w:szCs w:val="15"/>
        </w:rPr>
        <w:t>6</w:t>
      </w:r>
      <w:r>
        <w:rPr>
          <w:rFonts w:ascii="Times New Roman" w:hAnsi="Times New Roman" w:eastAsia="Times New Roman" w:cs="Times New Roman"/>
          <w:spacing w:val="-5"/>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·L</w:t>
      </w:r>
      <w:r>
        <w:rPr>
          <w:rFonts w:ascii="Times New Roman" w:hAnsi="Times New Roman" w:eastAsia="Times New Roman" w:cs="Times New Roman"/>
          <w:spacing w:val="-5"/>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5"/>
          <w:position w:val="8"/>
          <w:sz w:val="15"/>
          <w:szCs w:val="15"/>
        </w:rPr>
        <w:t xml:space="preserve">1 </w:t>
      </w:r>
      <w:r>
        <w:rPr>
          <w:rFonts w:ascii="宋体" w:hAnsi="宋体" w:eastAsia="宋体" w:cs="宋体"/>
          <w:spacing w:val="-5"/>
          <w:sz w:val="24"/>
          <w:szCs w:val="24"/>
        </w:rPr>
        <w:t>；生物量为</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2.10mg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·L</w:t>
      </w:r>
      <w:r>
        <w:rPr>
          <w:rFonts w:ascii="Times New Roman" w:hAnsi="Times New Roman" w:eastAsia="Times New Roman" w:cs="Times New Roman"/>
          <w:spacing w:val="-5"/>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5"/>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5"/>
          <w:sz w:val="24"/>
          <w:szCs w:val="24"/>
        </w:rPr>
        <w:t>，其</w:t>
      </w:r>
      <w:r>
        <w:rPr>
          <w:rFonts w:ascii="宋体" w:hAnsi="宋体" w:eastAsia="宋体" w:cs="宋体"/>
          <w:spacing w:val="-6"/>
          <w:sz w:val="24"/>
          <w:szCs w:val="24"/>
        </w:rPr>
        <w:t xml:space="preserve">中绿藻 </w:t>
      </w:r>
      <w:r>
        <w:rPr>
          <w:rFonts w:ascii="Times New Roman" w:hAnsi="Times New Roman" w:eastAsia="Times New Roman" w:cs="Times New Roman"/>
          <w:spacing w:val="-6"/>
          <w:sz w:val="24"/>
          <w:szCs w:val="24"/>
        </w:rPr>
        <w:t>1.02mg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position w:val="8"/>
          <w:sz w:val="15"/>
          <w:szCs w:val="15"/>
        </w:rPr>
        <w:t xml:space="preserve"> </w:t>
      </w:r>
      <w:r>
        <w:rPr>
          <w:rFonts w:ascii="Times New Roman" w:hAnsi="Times New Roman" w:eastAsia="Times New Roman" w:cs="Times New Roman"/>
          <w:spacing w:val="-8"/>
          <w:position w:val="8"/>
          <w:sz w:val="15"/>
          <w:szCs w:val="15"/>
        </w:rPr>
        <w:t>1</w:t>
      </w:r>
      <w:r>
        <w:rPr>
          <w:rFonts w:ascii="Times New Roman" w:hAnsi="Times New Roman" w:eastAsia="Times New Roman" w:cs="Times New Roman"/>
          <w:spacing w:val="2"/>
          <w:position w:val="8"/>
          <w:sz w:val="15"/>
          <w:szCs w:val="15"/>
        </w:rPr>
        <w:t xml:space="preserve"> </w:t>
      </w:r>
      <w:r>
        <w:rPr>
          <w:rFonts w:ascii="宋体" w:hAnsi="宋体" w:eastAsia="宋体" w:cs="宋体"/>
          <w:spacing w:val="-8"/>
          <w:sz w:val="24"/>
          <w:szCs w:val="24"/>
        </w:rPr>
        <w:t>，硅藻</w:t>
      </w:r>
      <w:r>
        <w:rPr>
          <w:rFonts w:ascii="宋体" w:hAnsi="宋体" w:eastAsia="宋体" w:cs="宋体"/>
          <w:spacing w:val="-22"/>
          <w:sz w:val="24"/>
          <w:szCs w:val="24"/>
        </w:rPr>
        <w:t xml:space="preserve"> </w:t>
      </w:r>
      <w:r>
        <w:rPr>
          <w:rFonts w:ascii="Times New Roman" w:hAnsi="Times New Roman" w:eastAsia="Times New Roman" w:cs="Times New Roman"/>
          <w:spacing w:val="-8"/>
          <w:sz w:val="24"/>
          <w:szCs w:val="24"/>
        </w:rPr>
        <w:t>1.02mg</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1"/>
          <w:sz w:val="24"/>
          <w:szCs w:val="24"/>
        </w:rPr>
        <w:t>·L</w:t>
      </w:r>
      <w:r>
        <w:rPr>
          <w:rFonts w:ascii="Times New Roman" w:hAnsi="Times New Roman" w:eastAsia="Times New Roman" w:cs="Times New Roman"/>
          <w:spacing w:val="-7"/>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7"/>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7"/>
          <w:sz w:val="24"/>
          <w:szCs w:val="24"/>
        </w:rPr>
        <w:t>，隐藻</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0.04mg</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7"/>
          <w:sz w:val="24"/>
          <w:szCs w:val="24"/>
        </w:rPr>
        <w:t>·L</w:t>
      </w:r>
      <w:r>
        <w:rPr>
          <w:rFonts w:ascii="Times New Roman" w:hAnsi="Times New Roman" w:eastAsia="Times New Roman" w:cs="Times New Roman"/>
          <w:spacing w:val="-7"/>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7"/>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7"/>
          <w:sz w:val="24"/>
          <w:szCs w:val="24"/>
        </w:rPr>
        <w:t>，甲藻</w:t>
      </w:r>
      <w:r>
        <w:rPr>
          <w:rFonts w:ascii="宋体" w:hAnsi="宋体" w:eastAsia="宋体" w:cs="宋体"/>
          <w:spacing w:val="-41"/>
          <w:sz w:val="24"/>
          <w:szCs w:val="24"/>
        </w:rPr>
        <w:t xml:space="preserve"> </w:t>
      </w:r>
      <w:r>
        <w:rPr>
          <w:rFonts w:ascii="Times New Roman" w:hAnsi="Times New Roman" w:eastAsia="Times New Roman" w:cs="Times New Roman"/>
          <w:spacing w:val="-7"/>
          <w:sz w:val="24"/>
          <w:szCs w:val="24"/>
        </w:rPr>
        <w:t>0.02mg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·L</w:t>
      </w:r>
      <w:r>
        <w:rPr>
          <w:rFonts w:ascii="Times New Roman" w:hAnsi="Times New Roman" w:eastAsia="Times New Roman" w:cs="Times New Roman"/>
          <w:spacing w:val="-7"/>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7"/>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7"/>
          <w:sz w:val="24"/>
          <w:szCs w:val="24"/>
        </w:rPr>
        <w:t>，金藻</w:t>
      </w:r>
      <w:r>
        <w:rPr>
          <w:rFonts w:ascii="宋体" w:hAnsi="宋体" w:eastAsia="宋体" w:cs="宋体"/>
          <w:spacing w:val="-41"/>
          <w:sz w:val="24"/>
          <w:szCs w:val="24"/>
        </w:rPr>
        <w:t xml:space="preserve"> </w:t>
      </w:r>
      <w:r>
        <w:rPr>
          <w:rFonts w:ascii="Times New Roman" w:hAnsi="Times New Roman" w:eastAsia="Times New Roman" w:cs="Times New Roman"/>
          <w:spacing w:val="-7"/>
          <w:sz w:val="24"/>
          <w:szCs w:val="24"/>
        </w:rPr>
        <w:t>0.002mg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·L</w:t>
      </w:r>
      <w:r>
        <w:rPr>
          <w:rFonts w:ascii="Times New Roman" w:hAnsi="Times New Roman" w:eastAsia="Times New Roman" w:cs="Times New Roman"/>
          <w:spacing w:val="-7"/>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7"/>
          <w:position w:val="8"/>
          <w:sz w:val="15"/>
          <w:szCs w:val="15"/>
        </w:rPr>
        <w:t>1</w:t>
      </w:r>
      <w:r>
        <w:rPr>
          <w:rFonts w:ascii="Times New Roman" w:hAnsi="Times New Roman" w:eastAsia="Times New Roman" w:cs="Times New Roman"/>
          <w:spacing w:val="-12"/>
          <w:position w:val="8"/>
          <w:sz w:val="15"/>
          <w:szCs w:val="15"/>
        </w:rPr>
        <w:t xml:space="preserve"> </w:t>
      </w:r>
      <w:r>
        <w:rPr>
          <w:rFonts w:ascii="宋体" w:hAnsi="宋体" w:eastAsia="宋体" w:cs="宋体"/>
          <w:spacing w:val="-7"/>
          <w:sz w:val="24"/>
          <w:szCs w:val="24"/>
        </w:rPr>
        <w:t xml:space="preserve">，蓝 </w:t>
      </w:r>
      <w:r>
        <w:rPr>
          <w:rFonts w:ascii="宋体" w:hAnsi="宋体" w:eastAsia="宋体" w:cs="宋体"/>
          <w:spacing w:val="-2"/>
          <w:sz w:val="24"/>
          <w:szCs w:val="24"/>
        </w:rPr>
        <w:t>藻</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0.001mg·L</w:t>
      </w:r>
      <w:r>
        <w:rPr>
          <w:rFonts w:ascii="Times New Roman" w:hAnsi="Times New Roman" w:eastAsia="Times New Roman" w:cs="Times New Roman"/>
          <w:spacing w:val="-2"/>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2"/>
          <w:position w:val="8"/>
          <w:sz w:val="15"/>
          <w:szCs w:val="15"/>
        </w:rPr>
        <w:t xml:space="preserve">1 </w:t>
      </w:r>
      <w:r>
        <w:rPr>
          <w:rFonts w:ascii="宋体" w:hAnsi="宋体" w:eastAsia="宋体" w:cs="宋体"/>
          <w:spacing w:val="-2"/>
          <w:sz w:val="24"/>
          <w:szCs w:val="24"/>
        </w:rPr>
        <w:t>。从数量上排序为硅藻门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绿藻门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隐藻门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甲藻门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金藻门＞蓝</w:t>
      </w:r>
    </w:p>
    <w:p>
      <w:pPr>
        <w:spacing w:before="1" w:line="234" w:lineRule="auto"/>
        <w:ind w:left="42"/>
        <w:rPr>
          <w:rFonts w:ascii="宋体" w:hAnsi="宋体" w:eastAsia="宋体" w:cs="宋体"/>
          <w:sz w:val="24"/>
          <w:szCs w:val="24"/>
        </w:rPr>
      </w:pPr>
      <w:r>
        <w:rPr>
          <w:rFonts w:ascii="宋体" w:hAnsi="宋体" w:eastAsia="宋体" w:cs="宋体"/>
          <w:spacing w:val="-1"/>
          <w:sz w:val="24"/>
          <w:szCs w:val="24"/>
        </w:rPr>
        <w:t>藻；从生物量上排序为绿藻门</w:t>
      </w:r>
      <w:r>
        <w:rPr>
          <w:rFonts w:ascii="Times New Roman" w:hAnsi="Times New Roman" w:eastAsia="Times New Roman" w:cs="Times New Roman"/>
          <w:spacing w:val="-1"/>
          <w:sz w:val="24"/>
          <w:szCs w:val="24"/>
        </w:rPr>
        <w:t>&gt;</w:t>
      </w:r>
      <w:r>
        <w:rPr>
          <w:rFonts w:ascii="宋体" w:hAnsi="宋体" w:eastAsia="宋体" w:cs="宋体"/>
          <w:spacing w:val="-1"/>
          <w:sz w:val="24"/>
          <w:szCs w:val="24"/>
        </w:rPr>
        <w:t>硅藻门</w:t>
      </w:r>
      <w:r>
        <w:rPr>
          <w:rFonts w:ascii="Times New Roman" w:hAnsi="Times New Roman" w:eastAsia="Times New Roman" w:cs="Times New Roman"/>
          <w:spacing w:val="-1"/>
          <w:sz w:val="24"/>
          <w:szCs w:val="24"/>
        </w:rPr>
        <w:t>&gt;</w:t>
      </w:r>
      <w:r>
        <w:rPr>
          <w:rFonts w:ascii="宋体" w:hAnsi="宋体" w:eastAsia="宋体" w:cs="宋体"/>
          <w:spacing w:val="-1"/>
          <w:sz w:val="24"/>
          <w:szCs w:val="24"/>
        </w:rPr>
        <w:t xml:space="preserve">隐藻门 </w:t>
      </w:r>
      <w:r>
        <w:rPr>
          <w:rFonts w:ascii="Times New Roman" w:hAnsi="Times New Roman" w:eastAsia="Times New Roman" w:cs="Times New Roman"/>
          <w:spacing w:val="-1"/>
          <w:sz w:val="24"/>
          <w:szCs w:val="24"/>
        </w:rPr>
        <w:t>&gt;</w:t>
      </w:r>
      <w:r>
        <w:rPr>
          <w:rFonts w:ascii="宋体" w:hAnsi="宋体" w:eastAsia="宋体" w:cs="宋体"/>
          <w:spacing w:val="-1"/>
          <w:sz w:val="24"/>
          <w:szCs w:val="24"/>
        </w:rPr>
        <w:t xml:space="preserve">甲藻门 </w:t>
      </w:r>
      <w:r>
        <w:rPr>
          <w:rFonts w:ascii="Times New Roman" w:hAnsi="Times New Roman" w:eastAsia="Times New Roman" w:cs="Times New Roman"/>
          <w:spacing w:val="-1"/>
          <w:sz w:val="24"/>
          <w:szCs w:val="24"/>
        </w:rPr>
        <w:t>&gt;</w:t>
      </w:r>
      <w:r>
        <w:rPr>
          <w:rFonts w:ascii="宋体" w:hAnsi="宋体" w:eastAsia="宋体" w:cs="宋体"/>
          <w:spacing w:val="-1"/>
          <w:sz w:val="24"/>
          <w:szCs w:val="24"/>
        </w:rPr>
        <w:t>金藻门＞蓝藻。</w:t>
      </w:r>
    </w:p>
    <w:p>
      <w:pPr>
        <w:spacing w:before="164" w:line="233" w:lineRule="auto"/>
        <w:ind w:left="528"/>
        <w:rPr>
          <w:rFonts w:ascii="宋体" w:hAnsi="宋体" w:eastAsia="宋体" w:cs="宋体"/>
          <w:sz w:val="24"/>
          <w:szCs w:val="24"/>
        </w:rPr>
      </w:pPr>
      <w:r>
        <w:rPr>
          <w:rFonts w:ascii="宋体" w:hAnsi="宋体" w:eastAsia="宋体" w:cs="宋体"/>
          <w:spacing w:val="-3"/>
          <w:sz w:val="24"/>
          <w:szCs w:val="24"/>
        </w:rPr>
        <w:t>断面</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W4 </w:t>
      </w:r>
      <w:r>
        <w:rPr>
          <w:rFonts w:ascii="宋体" w:hAnsi="宋体" w:eastAsia="宋体" w:cs="宋体"/>
          <w:spacing w:val="-3"/>
          <w:sz w:val="24"/>
          <w:szCs w:val="24"/>
        </w:rPr>
        <w:t>浮游植物的数量为</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2.90×10</w:t>
      </w:r>
      <w:r>
        <w:rPr>
          <w:rFonts w:ascii="Times New Roman" w:hAnsi="Times New Roman" w:eastAsia="Times New Roman" w:cs="Times New Roman"/>
          <w:spacing w:val="-3"/>
          <w:position w:val="8"/>
          <w:sz w:val="15"/>
          <w:szCs w:val="15"/>
        </w:rPr>
        <w:t>6</w:t>
      </w:r>
      <w:r>
        <w:rPr>
          <w:rFonts w:ascii="Times New Roman" w:hAnsi="Times New Roman" w:eastAsia="Times New Roman" w:cs="Times New Roman"/>
          <w:spacing w:val="-3"/>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3"/>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3"/>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3"/>
          <w:sz w:val="24"/>
          <w:szCs w:val="24"/>
        </w:rPr>
        <w:t>，其中硅藻</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1.52×10</w:t>
      </w:r>
      <w:r>
        <w:rPr>
          <w:rFonts w:ascii="Times New Roman" w:hAnsi="Times New Roman" w:eastAsia="Times New Roman" w:cs="Times New Roman"/>
          <w:spacing w:val="-3"/>
          <w:position w:val="8"/>
          <w:sz w:val="15"/>
          <w:szCs w:val="15"/>
        </w:rPr>
        <w:t>6</w:t>
      </w:r>
      <w:r>
        <w:rPr>
          <w:rFonts w:ascii="Times New Roman" w:hAnsi="Times New Roman" w:eastAsia="Times New Roman" w:cs="Times New Roman"/>
          <w:spacing w:val="-3"/>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3"/>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3"/>
          <w:position w:val="8"/>
          <w:sz w:val="15"/>
          <w:szCs w:val="15"/>
        </w:rPr>
        <w:t>1</w:t>
      </w:r>
      <w:r>
        <w:rPr>
          <w:rFonts w:ascii="宋体" w:hAnsi="宋体" w:eastAsia="宋体" w:cs="宋体"/>
          <w:spacing w:val="-3"/>
          <w:sz w:val="24"/>
          <w:szCs w:val="24"/>
        </w:rPr>
        <w:t>，</w:t>
      </w:r>
    </w:p>
    <w:p>
      <w:pPr>
        <w:spacing w:before="165" w:line="234" w:lineRule="auto"/>
        <w:ind w:left="41"/>
        <w:rPr>
          <w:rFonts w:ascii="宋体" w:hAnsi="宋体" w:eastAsia="宋体" w:cs="宋体"/>
          <w:sz w:val="24"/>
          <w:szCs w:val="24"/>
        </w:rPr>
      </w:pPr>
      <w:r>
        <w:rPr>
          <w:rFonts w:ascii="宋体" w:hAnsi="宋体" w:eastAsia="宋体" w:cs="宋体"/>
          <w:spacing w:val="-3"/>
          <w:sz w:val="24"/>
          <w:szCs w:val="24"/>
        </w:rPr>
        <w:t>绿藻</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0.98×10</w:t>
      </w:r>
      <w:r>
        <w:rPr>
          <w:rFonts w:ascii="Times New Roman" w:hAnsi="Times New Roman" w:eastAsia="Times New Roman" w:cs="Times New Roman"/>
          <w:spacing w:val="-3"/>
          <w:position w:val="8"/>
          <w:sz w:val="15"/>
          <w:szCs w:val="15"/>
        </w:rPr>
        <w:t>6</w:t>
      </w:r>
      <w:r>
        <w:rPr>
          <w:rFonts w:ascii="Times New Roman" w:hAnsi="Times New Roman" w:eastAsia="Times New Roman" w:cs="Times New Roman"/>
          <w:spacing w:val="-3"/>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·L</w:t>
      </w:r>
      <w:r>
        <w:rPr>
          <w:rFonts w:ascii="Times New Roman" w:hAnsi="Times New Roman" w:eastAsia="Times New Roman" w:cs="Times New Roman"/>
          <w:spacing w:val="-3"/>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3"/>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，隐</w:t>
      </w:r>
      <w:r>
        <w:rPr>
          <w:rFonts w:ascii="宋体" w:hAnsi="宋体" w:eastAsia="宋体" w:cs="宋体"/>
          <w:spacing w:val="-4"/>
          <w:sz w:val="24"/>
          <w:szCs w:val="24"/>
        </w:rPr>
        <w:t>藻</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0.26×10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4"/>
          <w:sz w:val="24"/>
          <w:szCs w:val="24"/>
        </w:rPr>
        <w:t>，甲藻</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0.15×10</w:t>
      </w:r>
      <w:r>
        <w:rPr>
          <w:rFonts w:ascii="Times New Roman" w:hAnsi="Times New Roman" w:eastAsia="Times New Roman" w:cs="Times New Roman"/>
          <w:spacing w:val="-4"/>
          <w:position w:val="8"/>
          <w:sz w:val="15"/>
          <w:szCs w:val="15"/>
        </w:rPr>
        <w:t>6</w:t>
      </w:r>
      <w:r>
        <w:rPr>
          <w:rFonts w:ascii="Times New Roman" w:hAnsi="Times New Roman" w:eastAsia="Times New Roman" w:cs="Times New Roman"/>
          <w:spacing w:val="-4"/>
          <w:sz w:val="24"/>
          <w:szCs w:val="24"/>
        </w:rPr>
        <w:t>cell</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·L</w:t>
      </w:r>
      <w:r>
        <w:rPr>
          <w:rFonts w:ascii="Times New Roman" w:hAnsi="Times New Roman" w:eastAsia="Times New Roman" w:cs="Times New Roman"/>
          <w:spacing w:val="-4"/>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4"/>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4"/>
          <w:sz w:val="24"/>
          <w:szCs w:val="24"/>
        </w:rPr>
        <w:t>，金藻</w:t>
      </w:r>
    </w:p>
    <w:p>
      <w:pPr>
        <w:spacing w:before="164" w:line="360" w:lineRule="auto"/>
        <w:ind w:left="38" w:right="116"/>
        <w:rPr>
          <w:rFonts w:ascii="宋体" w:hAnsi="宋体" w:eastAsia="宋体" w:cs="宋体"/>
          <w:sz w:val="24"/>
          <w:szCs w:val="24"/>
        </w:rPr>
      </w:pPr>
      <w:r>
        <w:rPr>
          <w:rFonts w:ascii="Times New Roman" w:hAnsi="Times New Roman" w:eastAsia="Times New Roman" w:cs="Times New Roman"/>
          <w:spacing w:val="-5"/>
          <w:sz w:val="24"/>
          <w:szCs w:val="24"/>
        </w:rPr>
        <w:t>0.01cell</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5"/>
          <w:sz w:val="24"/>
          <w:szCs w:val="24"/>
        </w:rPr>
        <w:t>·L</w:t>
      </w:r>
      <w:r>
        <w:rPr>
          <w:rFonts w:ascii="Times New Roman" w:hAnsi="Times New Roman" w:eastAsia="Times New Roman" w:cs="Times New Roman"/>
          <w:spacing w:val="-5"/>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5"/>
          <w:position w:val="8"/>
          <w:sz w:val="15"/>
          <w:szCs w:val="15"/>
        </w:rPr>
        <w:t>1</w:t>
      </w:r>
      <w:r>
        <w:rPr>
          <w:rFonts w:ascii="Times New Roman" w:hAnsi="Times New Roman" w:eastAsia="Times New Roman" w:cs="Times New Roman"/>
          <w:spacing w:val="-12"/>
          <w:position w:val="8"/>
          <w:sz w:val="15"/>
          <w:szCs w:val="15"/>
        </w:rPr>
        <w:t xml:space="preserve"> </w:t>
      </w:r>
      <w:r>
        <w:rPr>
          <w:rFonts w:ascii="宋体" w:hAnsi="宋体" w:eastAsia="宋体" w:cs="宋体"/>
          <w:spacing w:val="-5"/>
          <w:sz w:val="24"/>
          <w:szCs w:val="24"/>
        </w:rPr>
        <w:t>，蓝藻</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0.001×10</w:t>
      </w:r>
      <w:r>
        <w:rPr>
          <w:rFonts w:ascii="Times New Roman" w:hAnsi="Times New Roman" w:eastAsia="Times New Roman" w:cs="Times New Roman"/>
          <w:spacing w:val="-5"/>
          <w:position w:val="8"/>
          <w:sz w:val="15"/>
          <w:szCs w:val="15"/>
        </w:rPr>
        <w:t>6</w:t>
      </w:r>
      <w:r>
        <w:rPr>
          <w:rFonts w:ascii="Times New Roman" w:hAnsi="Times New Roman" w:eastAsia="Times New Roman" w:cs="Times New Roman"/>
          <w:spacing w:val="-5"/>
          <w:sz w:val="24"/>
          <w:szCs w:val="24"/>
        </w:rPr>
        <w:t>cell</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·L</w:t>
      </w:r>
      <w:r>
        <w:rPr>
          <w:rFonts w:ascii="Times New Roman" w:hAnsi="Times New Roman" w:eastAsia="Times New Roman" w:cs="Times New Roman"/>
          <w:spacing w:val="-5"/>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5"/>
          <w:position w:val="8"/>
          <w:sz w:val="15"/>
          <w:szCs w:val="15"/>
        </w:rPr>
        <w:t xml:space="preserve">1 </w:t>
      </w:r>
      <w:r>
        <w:rPr>
          <w:rFonts w:ascii="宋体" w:hAnsi="宋体" w:eastAsia="宋体" w:cs="宋体"/>
          <w:spacing w:val="-5"/>
          <w:sz w:val="24"/>
          <w:szCs w:val="24"/>
        </w:rPr>
        <w:t>；生物量为</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2.90mg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·L</w:t>
      </w:r>
      <w:r>
        <w:rPr>
          <w:rFonts w:ascii="Times New Roman" w:hAnsi="Times New Roman" w:eastAsia="Times New Roman" w:cs="Times New Roman"/>
          <w:spacing w:val="-5"/>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5"/>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5"/>
          <w:sz w:val="24"/>
          <w:szCs w:val="24"/>
        </w:rPr>
        <w:t>，其</w:t>
      </w:r>
      <w:r>
        <w:rPr>
          <w:rFonts w:ascii="宋体" w:hAnsi="宋体" w:eastAsia="宋体" w:cs="宋体"/>
          <w:spacing w:val="-6"/>
          <w:sz w:val="24"/>
          <w:szCs w:val="24"/>
        </w:rPr>
        <w:t xml:space="preserve">中绿藻 </w:t>
      </w:r>
      <w:r>
        <w:rPr>
          <w:rFonts w:ascii="Times New Roman" w:hAnsi="Times New Roman" w:eastAsia="Times New Roman" w:cs="Times New Roman"/>
          <w:spacing w:val="-6"/>
          <w:sz w:val="24"/>
          <w:szCs w:val="24"/>
        </w:rPr>
        <w:t>1.50mg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position w:val="8"/>
          <w:sz w:val="15"/>
          <w:szCs w:val="15"/>
        </w:rPr>
        <w:t xml:space="preserve"> </w:t>
      </w:r>
      <w:r>
        <w:rPr>
          <w:rFonts w:ascii="Times New Roman" w:hAnsi="Times New Roman" w:eastAsia="Times New Roman" w:cs="Times New Roman"/>
          <w:spacing w:val="-7"/>
          <w:position w:val="8"/>
          <w:sz w:val="15"/>
          <w:szCs w:val="15"/>
        </w:rPr>
        <w:t>1</w:t>
      </w:r>
      <w:r>
        <w:rPr>
          <w:rFonts w:ascii="Times New Roman" w:hAnsi="Times New Roman" w:eastAsia="Times New Roman" w:cs="Times New Roman"/>
          <w:spacing w:val="-8"/>
          <w:position w:val="8"/>
          <w:sz w:val="15"/>
          <w:szCs w:val="15"/>
        </w:rPr>
        <w:t xml:space="preserve"> </w:t>
      </w:r>
      <w:r>
        <w:rPr>
          <w:rFonts w:ascii="宋体" w:hAnsi="宋体" w:eastAsia="宋体" w:cs="宋体"/>
          <w:spacing w:val="-7"/>
          <w:sz w:val="24"/>
          <w:szCs w:val="24"/>
        </w:rPr>
        <w:t>，硅藻</w:t>
      </w:r>
      <w:r>
        <w:rPr>
          <w:rFonts w:ascii="宋体" w:hAnsi="宋体" w:eastAsia="宋体" w:cs="宋体"/>
          <w:spacing w:val="-22"/>
          <w:sz w:val="24"/>
          <w:szCs w:val="24"/>
        </w:rPr>
        <w:t xml:space="preserve"> </w:t>
      </w:r>
      <w:r>
        <w:rPr>
          <w:rFonts w:ascii="Times New Roman" w:hAnsi="Times New Roman" w:eastAsia="Times New Roman" w:cs="Times New Roman"/>
          <w:spacing w:val="-7"/>
          <w:sz w:val="24"/>
          <w:szCs w:val="24"/>
        </w:rPr>
        <w:t>1.28mg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4"/>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6"/>
          <w:position w:val="8"/>
          <w:sz w:val="15"/>
          <w:szCs w:val="15"/>
        </w:rPr>
        <w:t>1</w:t>
      </w:r>
      <w:r>
        <w:rPr>
          <w:rFonts w:ascii="Times New Roman" w:hAnsi="Times New Roman" w:eastAsia="Times New Roman" w:cs="Times New Roman"/>
          <w:spacing w:val="-11"/>
          <w:position w:val="8"/>
          <w:sz w:val="15"/>
          <w:szCs w:val="15"/>
        </w:rPr>
        <w:t xml:space="preserve"> </w:t>
      </w:r>
      <w:r>
        <w:rPr>
          <w:rFonts w:ascii="宋体" w:hAnsi="宋体" w:eastAsia="宋体" w:cs="宋体"/>
          <w:spacing w:val="-6"/>
          <w:sz w:val="24"/>
          <w:szCs w:val="24"/>
        </w:rPr>
        <w:t>，隐藻</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0.07mg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6"/>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6"/>
          <w:sz w:val="24"/>
          <w:szCs w:val="24"/>
        </w:rPr>
        <w:t>，甲藻</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0.04mg</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6"/>
          <w:position w:val="8"/>
          <w:sz w:val="15"/>
          <w:szCs w:val="15"/>
        </w:rPr>
        <w:t>1</w:t>
      </w:r>
      <w:r>
        <w:rPr>
          <w:rFonts w:ascii="Times New Roman" w:hAnsi="Times New Roman" w:eastAsia="Times New Roman" w:cs="Times New Roman"/>
          <w:spacing w:val="-10"/>
          <w:position w:val="8"/>
          <w:sz w:val="15"/>
          <w:szCs w:val="15"/>
        </w:rPr>
        <w:t xml:space="preserve"> </w:t>
      </w:r>
      <w:r>
        <w:rPr>
          <w:rFonts w:ascii="宋体" w:hAnsi="宋体" w:eastAsia="宋体" w:cs="宋体"/>
          <w:spacing w:val="-6"/>
          <w:sz w:val="24"/>
          <w:szCs w:val="24"/>
        </w:rPr>
        <w:t>，金藻</w:t>
      </w:r>
      <w:r>
        <w:rPr>
          <w:rFonts w:ascii="宋体" w:hAnsi="宋体" w:eastAsia="宋体" w:cs="宋体"/>
          <w:spacing w:val="-41"/>
          <w:sz w:val="24"/>
          <w:szCs w:val="24"/>
        </w:rPr>
        <w:t xml:space="preserve"> </w:t>
      </w:r>
      <w:r>
        <w:rPr>
          <w:rFonts w:ascii="Times New Roman" w:hAnsi="Times New Roman" w:eastAsia="Times New Roman" w:cs="Times New Roman"/>
          <w:spacing w:val="-6"/>
          <w:sz w:val="24"/>
          <w:szCs w:val="24"/>
        </w:rPr>
        <w:t>0.005mg</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·L</w:t>
      </w:r>
      <w:r>
        <w:rPr>
          <w:rFonts w:ascii="Times New Roman" w:hAnsi="Times New Roman" w:eastAsia="Times New Roman" w:cs="Times New Roman"/>
          <w:spacing w:val="-6"/>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6"/>
          <w:position w:val="8"/>
          <w:sz w:val="15"/>
          <w:szCs w:val="15"/>
        </w:rPr>
        <w:t>1</w:t>
      </w:r>
      <w:r>
        <w:rPr>
          <w:rFonts w:ascii="Times New Roman" w:hAnsi="Times New Roman" w:eastAsia="Times New Roman" w:cs="Times New Roman"/>
          <w:spacing w:val="13"/>
          <w:w w:val="101"/>
          <w:position w:val="8"/>
          <w:sz w:val="15"/>
          <w:szCs w:val="15"/>
        </w:rPr>
        <w:t xml:space="preserve"> </w:t>
      </w:r>
      <w:r>
        <w:rPr>
          <w:rFonts w:ascii="宋体" w:hAnsi="宋体" w:eastAsia="宋体" w:cs="宋体"/>
          <w:spacing w:val="-6"/>
          <w:sz w:val="24"/>
          <w:szCs w:val="24"/>
        </w:rPr>
        <w:t>蓝藻</w:t>
      </w:r>
      <w:r>
        <w:rPr>
          <w:rFonts w:ascii="宋体" w:hAnsi="宋体" w:eastAsia="宋体" w:cs="宋体"/>
          <w:sz w:val="24"/>
          <w:szCs w:val="24"/>
        </w:rPr>
        <w:t xml:space="preserve"> </w:t>
      </w:r>
      <w:r>
        <w:rPr>
          <w:rFonts w:ascii="Times New Roman" w:hAnsi="Times New Roman" w:eastAsia="Times New Roman" w:cs="Times New Roman"/>
          <w:spacing w:val="-1"/>
          <w:sz w:val="24"/>
          <w:szCs w:val="24"/>
        </w:rPr>
        <w:t>0.001mg·L</w:t>
      </w:r>
      <w:r>
        <w:rPr>
          <w:rFonts w:ascii="Times New Roman" w:hAnsi="Times New Roman" w:eastAsia="Times New Roman" w:cs="Times New Roman"/>
          <w:spacing w:val="-1"/>
          <w:position w:val="8"/>
          <w:sz w:val="15"/>
          <w:szCs w:val="15"/>
        </w:rPr>
        <w:t>-</w:t>
      </w:r>
      <w:r>
        <w:rPr>
          <w:rFonts w:ascii="Times New Roman" w:hAnsi="Times New Roman" w:eastAsia="Times New Roman" w:cs="Times New Roman"/>
          <w:spacing w:val="-19"/>
          <w:position w:val="8"/>
          <w:sz w:val="15"/>
          <w:szCs w:val="15"/>
        </w:rPr>
        <w:t xml:space="preserve"> </w:t>
      </w:r>
      <w:r>
        <w:rPr>
          <w:rFonts w:ascii="Times New Roman" w:hAnsi="Times New Roman" w:eastAsia="Times New Roman" w:cs="Times New Roman"/>
          <w:spacing w:val="-1"/>
          <w:position w:val="8"/>
          <w:sz w:val="15"/>
          <w:szCs w:val="15"/>
        </w:rPr>
        <w:t xml:space="preserve">1 </w:t>
      </w:r>
      <w:r>
        <w:rPr>
          <w:rFonts w:ascii="宋体" w:hAnsi="宋体" w:eastAsia="宋体" w:cs="宋体"/>
          <w:spacing w:val="-1"/>
          <w:sz w:val="24"/>
          <w:szCs w:val="24"/>
        </w:rPr>
        <w:t>。从数量上排序</w:t>
      </w:r>
      <w:r>
        <w:rPr>
          <w:rFonts w:ascii="宋体" w:hAnsi="宋体" w:eastAsia="宋体" w:cs="宋体"/>
          <w:spacing w:val="-2"/>
          <w:sz w:val="24"/>
          <w:szCs w:val="24"/>
        </w:rPr>
        <w:t>为硅藻门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绿藻门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隐藻门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甲藻门</w:t>
      </w:r>
      <w:r>
        <w:rPr>
          <w:rFonts w:ascii="Times New Roman" w:hAnsi="Times New Roman" w:eastAsia="Times New Roman" w:cs="Times New Roman"/>
          <w:spacing w:val="-2"/>
          <w:sz w:val="24"/>
          <w:szCs w:val="24"/>
        </w:rPr>
        <w:t>&gt;</w:t>
      </w:r>
      <w:r>
        <w:rPr>
          <w:rFonts w:ascii="宋体" w:hAnsi="宋体" w:eastAsia="宋体" w:cs="宋体"/>
          <w:spacing w:val="-2"/>
          <w:sz w:val="24"/>
          <w:szCs w:val="24"/>
        </w:rPr>
        <w:t>金藻门＞蓝藻；</w:t>
      </w:r>
    </w:p>
    <w:p>
      <w:pPr>
        <w:spacing w:line="234" w:lineRule="auto"/>
        <w:ind w:left="42"/>
        <w:rPr>
          <w:rFonts w:ascii="宋体" w:hAnsi="宋体" w:eastAsia="宋体" w:cs="宋体"/>
          <w:sz w:val="24"/>
          <w:szCs w:val="24"/>
        </w:rPr>
      </w:pPr>
      <w:r>
        <w:rPr>
          <w:rFonts w:ascii="宋体" w:hAnsi="宋体" w:eastAsia="宋体" w:cs="宋体"/>
          <w:spacing w:val="-1"/>
          <w:sz w:val="24"/>
          <w:szCs w:val="24"/>
        </w:rPr>
        <w:t>从生物量上排序为绿藻门</w:t>
      </w:r>
      <w:r>
        <w:rPr>
          <w:rFonts w:ascii="Times New Roman" w:hAnsi="Times New Roman" w:eastAsia="Times New Roman" w:cs="Times New Roman"/>
          <w:spacing w:val="-1"/>
          <w:sz w:val="24"/>
          <w:szCs w:val="24"/>
        </w:rPr>
        <w:t>&gt;</w:t>
      </w:r>
      <w:r>
        <w:rPr>
          <w:rFonts w:ascii="宋体" w:hAnsi="宋体" w:eastAsia="宋体" w:cs="宋体"/>
          <w:spacing w:val="-1"/>
          <w:sz w:val="24"/>
          <w:szCs w:val="24"/>
        </w:rPr>
        <w:t>硅藻门</w:t>
      </w:r>
      <w:r>
        <w:rPr>
          <w:rFonts w:ascii="Times New Roman" w:hAnsi="Times New Roman" w:eastAsia="Times New Roman" w:cs="Times New Roman"/>
          <w:spacing w:val="-1"/>
          <w:sz w:val="24"/>
          <w:szCs w:val="24"/>
        </w:rPr>
        <w:t>&gt;</w:t>
      </w:r>
      <w:r>
        <w:rPr>
          <w:rFonts w:ascii="宋体" w:hAnsi="宋体" w:eastAsia="宋体" w:cs="宋体"/>
          <w:spacing w:val="-1"/>
          <w:sz w:val="24"/>
          <w:szCs w:val="24"/>
        </w:rPr>
        <w:t xml:space="preserve">隐藻门 </w:t>
      </w:r>
      <w:r>
        <w:rPr>
          <w:rFonts w:ascii="Times New Roman" w:hAnsi="Times New Roman" w:eastAsia="Times New Roman" w:cs="Times New Roman"/>
          <w:spacing w:val="-1"/>
          <w:sz w:val="24"/>
          <w:szCs w:val="24"/>
        </w:rPr>
        <w:t>&gt;</w:t>
      </w:r>
      <w:r>
        <w:rPr>
          <w:rFonts w:ascii="宋体" w:hAnsi="宋体" w:eastAsia="宋体" w:cs="宋体"/>
          <w:spacing w:val="-1"/>
          <w:sz w:val="24"/>
          <w:szCs w:val="24"/>
        </w:rPr>
        <w:t xml:space="preserve">甲藻门 </w:t>
      </w:r>
      <w:r>
        <w:rPr>
          <w:rFonts w:ascii="Times New Roman" w:hAnsi="Times New Roman" w:eastAsia="Times New Roman" w:cs="Times New Roman"/>
          <w:spacing w:val="-1"/>
          <w:sz w:val="24"/>
          <w:szCs w:val="24"/>
        </w:rPr>
        <w:t>&gt;</w:t>
      </w:r>
      <w:r>
        <w:rPr>
          <w:rFonts w:ascii="宋体" w:hAnsi="宋体" w:eastAsia="宋体" w:cs="宋体"/>
          <w:spacing w:val="-1"/>
          <w:sz w:val="24"/>
          <w:szCs w:val="24"/>
        </w:rPr>
        <w:t>金藻门＞蓝藻。</w:t>
      </w:r>
    </w:p>
    <w:p>
      <w:pPr>
        <w:spacing w:before="163" w:line="468" w:lineRule="exact"/>
        <w:ind w:right="28"/>
        <w:jc w:val="right"/>
        <w:rPr>
          <w:rFonts w:ascii="宋体" w:hAnsi="宋体" w:eastAsia="宋体" w:cs="宋体"/>
          <w:sz w:val="24"/>
          <w:szCs w:val="24"/>
        </w:rPr>
      </w:pPr>
      <w:r>
        <w:rPr>
          <w:rFonts w:ascii="宋体" w:hAnsi="宋体" w:eastAsia="宋体" w:cs="宋体"/>
          <w:spacing w:val="-7"/>
          <w:position w:val="17"/>
          <w:sz w:val="24"/>
          <w:szCs w:val="24"/>
        </w:rPr>
        <w:t>比较</w:t>
      </w:r>
      <w:r>
        <w:rPr>
          <w:rFonts w:ascii="宋体" w:hAnsi="宋体" w:eastAsia="宋体" w:cs="宋体"/>
          <w:spacing w:val="-46"/>
          <w:position w:val="17"/>
          <w:sz w:val="24"/>
          <w:szCs w:val="24"/>
        </w:rPr>
        <w:t xml:space="preserve"> </w:t>
      </w:r>
      <w:r>
        <w:rPr>
          <w:rFonts w:ascii="Times New Roman" w:hAnsi="Times New Roman" w:eastAsia="Times New Roman" w:cs="Times New Roman"/>
          <w:spacing w:val="-7"/>
          <w:position w:val="17"/>
          <w:sz w:val="24"/>
          <w:szCs w:val="24"/>
        </w:rPr>
        <w:t xml:space="preserve">4 </w:t>
      </w:r>
      <w:r>
        <w:rPr>
          <w:rFonts w:ascii="宋体" w:hAnsi="宋体" w:eastAsia="宋体" w:cs="宋体"/>
          <w:spacing w:val="-7"/>
          <w:position w:val="17"/>
          <w:sz w:val="24"/>
          <w:szCs w:val="24"/>
        </w:rPr>
        <w:t>个点的浮游植物数量和生物量可以看出： 断面</w:t>
      </w:r>
      <w:r>
        <w:rPr>
          <w:rFonts w:ascii="宋体" w:hAnsi="宋体" w:eastAsia="宋体" w:cs="宋体"/>
          <w:spacing w:val="-57"/>
          <w:position w:val="17"/>
          <w:sz w:val="24"/>
          <w:szCs w:val="24"/>
        </w:rPr>
        <w:t xml:space="preserve"> </w:t>
      </w:r>
      <w:r>
        <w:rPr>
          <w:rFonts w:ascii="Times New Roman" w:hAnsi="Times New Roman" w:eastAsia="Times New Roman" w:cs="Times New Roman"/>
          <w:spacing w:val="-7"/>
          <w:position w:val="17"/>
          <w:sz w:val="24"/>
          <w:szCs w:val="24"/>
        </w:rPr>
        <w:t xml:space="preserve">W4 </w:t>
      </w:r>
      <w:r>
        <w:rPr>
          <w:rFonts w:ascii="宋体" w:hAnsi="宋体" w:eastAsia="宋体" w:cs="宋体"/>
          <w:spacing w:val="-7"/>
          <w:position w:val="17"/>
          <w:sz w:val="24"/>
          <w:szCs w:val="24"/>
        </w:rPr>
        <w:t>无论在数量上还是</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生物量上均高于断面</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W1</w:t>
      </w:r>
      <w:r>
        <w:rPr>
          <w:rFonts w:ascii="宋体" w:hAnsi="宋体" w:eastAsia="宋体" w:cs="宋体"/>
          <w:spacing w:val="-2"/>
          <w:sz w:val="24"/>
          <w:szCs w:val="24"/>
        </w:rPr>
        <w:t>、断面</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W2</w:t>
      </w:r>
      <w:r>
        <w:rPr>
          <w:rFonts w:ascii="宋体" w:hAnsi="宋体" w:eastAsia="宋体" w:cs="宋体"/>
          <w:spacing w:val="-2"/>
          <w:sz w:val="24"/>
          <w:szCs w:val="24"/>
        </w:rPr>
        <w:t>、断面</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W3</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宋体" w:hAnsi="宋体" w:eastAsia="宋体" w:cs="宋体"/>
          <w:spacing w:val="-3"/>
          <w:sz w:val="24"/>
          <w:szCs w:val="24"/>
        </w:rPr>
        <w:t>但总体相差不大。</w:t>
      </w:r>
    </w:p>
    <w:p>
      <w:pPr>
        <w:pStyle w:val="2"/>
        <w:spacing w:before="241" w:line="232" w:lineRule="auto"/>
        <w:ind w:left="1861"/>
        <w:rPr>
          <w:rFonts w:ascii="宋体" w:hAnsi="宋体" w:eastAsia="宋体" w:cs="宋体"/>
        </w:rPr>
      </w:pPr>
      <w:r>
        <w:rPr>
          <w:spacing w:val="-1"/>
          <w14:textOutline w14:w="3810" w14:cap="flat" w14:cmpd="sng">
            <w14:solidFill>
              <w14:srgbClr w14:val="000000"/>
            </w14:solidFill>
            <w14:prstDash w14:val="solid"/>
            <w14:miter w14:val="0"/>
          </w14:textOutline>
        </w:rPr>
        <w:t>表</w:t>
      </w:r>
      <w:r>
        <w:rPr>
          <w:spacing w:val="-36"/>
        </w:rPr>
        <w:t xml:space="preserve"> </w:t>
      </w:r>
      <w:r>
        <w:rPr>
          <w:rFonts w:ascii="Times New Roman" w:hAnsi="Times New Roman" w:eastAsia="Times New Roman" w:cs="Times New Roman"/>
          <w:b/>
          <w:bCs/>
          <w:spacing w:val="-1"/>
        </w:rPr>
        <w:t xml:space="preserve">3.2-35    </w:t>
      </w:r>
      <w:r>
        <w:rPr>
          <w:rFonts w:ascii="宋体" w:hAnsi="宋体" w:eastAsia="宋体" w:cs="宋体"/>
          <w:spacing w:val="-1"/>
          <w14:textOutline w14:w="3810" w14:cap="flat" w14:cmpd="sng">
            <w14:solidFill>
              <w14:srgbClr w14:val="000000"/>
            </w14:solidFill>
            <w14:prstDash w14:val="solid"/>
            <w14:miter w14:val="0"/>
          </w14:textOutline>
        </w:rPr>
        <w:t>工程评价区域浮游植物的数量（</w:t>
      </w:r>
      <w:r>
        <w:rPr>
          <w:rFonts w:ascii="Times New Roman" w:hAnsi="Times New Roman" w:eastAsia="Times New Roman" w:cs="Times New Roman"/>
          <w:b/>
          <w:bCs/>
          <w:spacing w:val="-1"/>
        </w:rPr>
        <w:t>10</w:t>
      </w:r>
      <w:r>
        <w:rPr>
          <w:rFonts w:ascii="Times New Roman" w:hAnsi="Times New Roman" w:eastAsia="Times New Roman" w:cs="Times New Roman"/>
          <w:b/>
          <w:bCs/>
          <w:spacing w:val="-1"/>
          <w:position w:val="6"/>
          <w:sz w:val="14"/>
          <w:szCs w:val="14"/>
        </w:rPr>
        <w:t>6</w:t>
      </w:r>
      <w:r>
        <w:rPr>
          <w:rFonts w:ascii="Times New Roman" w:hAnsi="Times New Roman" w:eastAsia="Times New Roman" w:cs="Times New Roman"/>
          <w:b/>
          <w:bCs/>
          <w:spacing w:val="-1"/>
        </w:rPr>
        <w:t>cell</w:t>
      </w:r>
      <w:r>
        <w:rPr>
          <w:rFonts w:ascii="Times New Roman" w:hAnsi="Times New Roman" w:eastAsia="Times New Roman" w:cs="Times New Roman"/>
          <w:b/>
          <w:bCs/>
          <w:spacing w:val="-32"/>
        </w:rPr>
        <w:t xml:space="preserve"> </w:t>
      </w:r>
      <w:r>
        <w:rPr>
          <w:rFonts w:ascii="Times New Roman" w:hAnsi="Times New Roman" w:eastAsia="Times New Roman" w:cs="Times New Roman"/>
          <w:b/>
          <w:bCs/>
          <w:spacing w:val="-1"/>
        </w:rPr>
        <w:t>·L</w:t>
      </w:r>
      <w:r>
        <w:rPr>
          <w:rFonts w:ascii="Times New Roman" w:hAnsi="Times New Roman" w:eastAsia="Times New Roman" w:cs="Times New Roman"/>
          <w:b/>
          <w:bCs/>
          <w:spacing w:val="-1"/>
          <w:position w:val="6"/>
          <w:sz w:val="14"/>
          <w:szCs w:val="14"/>
        </w:rPr>
        <w:t>-1</w:t>
      </w:r>
      <w:r>
        <w:rPr>
          <w:rFonts w:ascii="宋体" w:hAnsi="宋体" w:eastAsia="宋体" w:cs="宋体"/>
          <w:spacing w:val="-1"/>
          <w14:textOutline w14:w="3810" w14:cap="flat" w14:cmpd="sng">
            <w14:solidFill>
              <w14:srgbClr w14:val="000000"/>
            </w14:solidFill>
            <w14:prstDash w14:val="solid"/>
            <w14:miter w14:val="0"/>
          </w14:textOutline>
        </w:rPr>
        <w:t>）</w:t>
      </w:r>
    </w:p>
    <w:p>
      <w:pPr>
        <w:spacing w:line="46" w:lineRule="auto"/>
        <w:rPr>
          <w:rFonts w:ascii="Arial"/>
          <w:sz w:val="2"/>
        </w:rPr>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4"/>
        <w:gridCol w:w="933"/>
        <w:gridCol w:w="933"/>
        <w:gridCol w:w="934"/>
        <w:gridCol w:w="934"/>
        <w:gridCol w:w="933"/>
        <w:gridCol w:w="934"/>
        <w:gridCol w:w="15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2" w:hRule="atLeast"/>
        </w:trPr>
        <w:tc>
          <w:tcPr>
            <w:tcW w:w="1204" w:type="dxa"/>
            <w:tcBorders>
              <w:top w:val="single" w:color="000000" w:sz="12" w:space="0"/>
              <w:left w:val="nil"/>
            </w:tcBorders>
            <w:vAlign w:val="top"/>
          </w:tcPr>
          <w:p>
            <w:pPr>
              <w:spacing w:before="36" w:line="207" w:lineRule="auto"/>
              <w:ind w:left="203"/>
              <w:rPr>
                <w:rFonts w:ascii="仿宋" w:hAnsi="仿宋" w:eastAsia="仿宋" w:cs="仿宋"/>
                <w:sz w:val="21"/>
                <w:szCs w:val="21"/>
              </w:rPr>
            </w:pPr>
            <w:r>
              <w:rPr>
                <w:rFonts w:ascii="仿宋" w:hAnsi="仿宋" w:eastAsia="仿宋" w:cs="仿宋"/>
                <w:spacing w:val="-3"/>
                <w:sz w:val="21"/>
                <w:szCs w:val="21"/>
              </w:rPr>
              <w:t>采样断面</w:t>
            </w:r>
          </w:p>
        </w:tc>
        <w:tc>
          <w:tcPr>
            <w:tcW w:w="933" w:type="dxa"/>
            <w:tcBorders>
              <w:top w:val="single" w:color="000000" w:sz="12" w:space="0"/>
            </w:tcBorders>
            <w:vAlign w:val="top"/>
          </w:tcPr>
          <w:p>
            <w:pPr>
              <w:spacing w:before="36" w:line="207" w:lineRule="auto"/>
              <w:ind w:left="265"/>
              <w:rPr>
                <w:rFonts w:ascii="仿宋" w:hAnsi="仿宋" w:eastAsia="仿宋" w:cs="仿宋"/>
                <w:sz w:val="21"/>
                <w:szCs w:val="21"/>
              </w:rPr>
            </w:pPr>
            <w:r>
              <w:rPr>
                <w:rFonts w:ascii="仿宋" w:hAnsi="仿宋" w:eastAsia="仿宋" w:cs="仿宋"/>
                <w:spacing w:val="-4"/>
                <w:sz w:val="21"/>
                <w:szCs w:val="21"/>
              </w:rPr>
              <w:t>硅藻</w:t>
            </w:r>
          </w:p>
        </w:tc>
        <w:tc>
          <w:tcPr>
            <w:tcW w:w="933" w:type="dxa"/>
            <w:tcBorders>
              <w:top w:val="single" w:color="000000" w:sz="12" w:space="0"/>
            </w:tcBorders>
            <w:vAlign w:val="top"/>
          </w:tcPr>
          <w:p>
            <w:pPr>
              <w:spacing w:before="36" w:line="207" w:lineRule="auto"/>
              <w:ind w:left="269"/>
              <w:rPr>
                <w:rFonts w:ascii="仿宋" w:hAnsi="仿宋" w:eastAsia="仿宋" w:cs="仿宋"/>
                <w:sz w:val="21"/>
                <w:szCs w:val="21"/>
              </w:rPr>
            </w:pPr>
            <w:r>
              <w:rPr>
                <w:rFonts w:ascii="仿宋" w:hAnsi="仿宋" w:eastAsia="仿宋" w:cs="仿宋"/>
                <w:spacing w:val="-5"/>
                <w:sz w:val="21"/>
                <w:szCs w:val="21"/>
              </w:rPr>
              <w:t>绿藻</w:t>
            </w:r>
          </w:p>
        </w:tc>
        <w:tc>
          <w:tcPr>
            <w:tcW w:w="934" w:type="dxa"/>
            <w:tcBorders>
              <w:top w:val="single" w:color="000000" w:sz="12" w:space="0"/>
            </w:tcBorders>
            <w:vAlign w:val="top"/>
          </w:tcPr>
          <w:p>
            <w:pPr>
              <w:spacing w:before="36" w:line="207" w:lineRule="auto"/>
              <w:ind w:left="277"/>
              <w:rPr>
                <w:rFonts w:ascii="仿宋" w:hAnsi="仿宋" w:eastAsia="仿宋" w:cs="仿宋"/>
                <w:sz w:val="21"/>
                <w:szCs w:val="21"/>
              </w:rPr>
            </w:pPr>
            <w:r>
              <w:rPr>
                <w:rFonts w:ascii="仿宋" w:hAnsi="仿宋" w:eastAsia="仿宋" w:cs="仿宋"/>
                <w:spacing w:val="-6"/>
                <w:sz w:val="21"/>
                <w:szCs w:val="21"/>
              </w:rPr>
              <w:t>隐藻</w:t>
            </w:r>
          </w:p>
        </w:tc>
        <w:tc>
          <w:tcPr>
            <w:tcW w:w="934" w:type="dxa"/>
            <w:tcBorders>
              <w:top w:val="single" w:color="000000" w:sz="12" w:space="0"/>
            </w:tcBorders>
            <w:vAlign w:val="top"/>
          </w:tcPr>
          <w:p>
            <w:pPr>
              <w:spacing w:before="36" w:line="207" w:lineRule="auto"/>
              <w:ind w:left="295"/>
              <w:rPr>
                <w:rFonts w:ascii="仿宋" w:hAnsi="仿宋" w:eastAsia="仿宋" w:cs="仿宋"/>
                <w:sz w:val="21"/>
                <w:szCs w:val="21"/>
              </w:rPr>
            </w:pPr>
            <w:r>
              <w:rPr>
                <w:rFonts w:ascii="仿宋" w:hAnsi="仿宋" w:eastAsia="仿宋" w:cs="仿宋"/>
                <w:spacing w:val="-11"/>
                <w:sz w:val="21"/>
                <w:szCs w:val="21"/>
              </w:rPr>
              <w:t>甲藻</w:t>
            </w:r>
          </w:p>
        </w:tc>
        <w:tc>
          <w:tcPr>
            <w:tcW w:w="933" w:type="dxa"/>
            <w:tcBorders>
              <w:top w:val="single" w:color="000000" w:sz="12" w:space="0"/>
            </w:tcBorders>
            <w:vAlign w:val="top"/>
          </w:tcPr>
          <w:p>
            <w:pPr>
              <w:spacing w:before="36" w:line="207" w:lineRule="auto"/>
              <w:ind w:left="267"/>
              <w:rPr>
                <w:rFonts w:ascii="仿宋" w:hAnsi="仿宋" w:eastAsia="仿宋" w:cs="仿宋"/>
                <w:sz w:val="21"/>
                <w:szCs w:val="21"/>
              </w:rPr>
            </w:pPr>
            <w:r>
              <w:rPr>
                <w:rFonts w:ascii="仿宋" w:hAnsi="仿宋" w:eastAsia="仿宋" w:cs="仿宋"/>
                <w:spacing w:val="-4"/>
                <w:sz w:val="21"/>
                <w:szCs w:val="21"/>
              </w:rPr>
              <w:t>金藻</w:t>
            </w:r>
          </w:p>
        </w:tc>
        <w:tc>
          <w:tcPr>
            <w:tcW w:w="934" w:type="dxa"/>
            <w:tcBorders>
              <w:top w:val="single" w:color="000000" w:sz="12" w:space="0"/>
            </w:tcBorders>
            <w:vAlign w:val="top"/>
          </w:tcPr>
          <w:p>
            <w:pPr>
              <w:spacing w:before="36" w:line="207" w:lineRule="auto"/>
              <w:ind w:left="274"/>
              <w:rPr>
                <w:rFonts w:ascii="仿宋" w:hAnsi="仿宋" w:eastAsia="仿宋" w:cs="仿宋"/>
                <w:sz w:val="21"/>
                <w:szCs w:val="21"/>
              </w:rPr>
            </w:pPr>
            <w:r>
              <w:rPr>
                <w:rFonts w:ascii="仿宋" w:hAnsi="仿宋" w:eastAsia="仿宋" w:cs="仿宋"/>
                <w:spacing w:val="-5"/>
                <w:sz w:val="21"/>
                <w:szCs w:val="21"/>
              </w:rPr>
              <w:t>蓝藻</w:t>
            </w:r>
          </w:p>
        </w:tc>
        <w:tc>
          <w:tcPr>
            <w:tcW w:w="1516" w:type="dxa"/>
            <w:tcBorders>
              <w:top w:val="single" w:color="000000" w:sz="12" w:space="0"/>
              <w:right w:val="nil"/>
            </w:tcBorders>
            <w:vAlign w:val="top"/>
          </w:tcPr>
          <w:p>
            <w:pPr>
              <w:spacing w:before="36" w:line="207" w:lineRule="auto"/>
              <w:ind w:left="353"/>
              <w:rPr>
                <w:rFonts w:ascii="仿宋" w:hAnsi="仿宋" w:eastAsia="仿宋" w:cs="仿宋"/>
                <w:sz w:val="21"/>
                <w:szCs w:val="21"/>
              </w:rPr>
            </w:pPr>
            <w:r>
              <w:rPr>
                <w:rFonts w:ascii="仿宋" w:hAnsi="仿宋" w:eastAsia="仿宋" w:cs="仿宋"/>
                <w:spacing w:val="-4"/>
                <w:sz w:val="21"/>
                <w:szCs w:val="21"/>
              </w:rPr>
              <w:t>细胞密度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1" w:hRule="atLeast"/>
        </w:trPr>
        <w:tc>
          <w:tcPr>
            <w:tcW w:w="1204" w:type="dxa"/>
            <w:tcBorders>
              <w:left w:val="nil"/>
            </w:tcBorders>
            <w:vAlign w:val="top"/>
          </w:tcPr>
          <w:p>
            <w:pPr>
              <w:pStyle w:val="6"/>
              <w:spacing w:before="60" w:line="169" w:lineRule="auto"/>
              <w:ind w:left="458"/>
            </w:pPr>
            <w:r>
              <w:rPr>
                <w:spacing w:val="-1"/>
              </w:rPr>
              <w:t>W1</w:t>
            </w:r>
          </w:p>
        </w:tc>
        <w:tc>
          <w:tcPr>
            <w:tcW w:w="933" w:type="dxa"/>
            <w:vAlign w:val="top"/>
          </w:tcPr>
          <w:p>
            <w:pPr>
              <w:pStyle w:val="6"/>
              <w:spacing w:before="60" w:line="169" w:lineRule="auto"/>
              <w:ind w:left="303"/>
            </w:pPr>
            <w:r>
              <w:rPr>
                <w:spacing w:val="-6"/>
              </w:rPr>
              <w:t>1.12</w:t>
            </w:r>
          </w:p>
        </w:tc>
        <w:tc>
          <w:tcPr>
            <w:tcW w:w="933" w:type="dxa"/>
            <w:vAlign w:val="top"/>
          </w:tcPr>
          <w:p>
            <w:pPr>
              <w:pStyle w:val="6"/>
              <w:spacing w:before="60" w:line="169" w:lineRule="auto"/>
              <w:ind w:left="286"/>
            </w:pPr>
            <w:r>
              <w:rPr>
                <w:spacing w:val="-2"/>
              </w:rPr>
              <w:t>0.74</w:t>
            </w:r>
          </w:p>
        </w:tc>
        <w:tc>
          <w:tcPr>
            <w:tcW w:w="934" w:type="dxa"/>
            <w:vAlign w:val="top"/>
          </w:tcPr>
          <w:p>
            <w:pPr>
              <w:pStyle w:val="6"/>
              <w:spacing w:before="60" w:line="169" w:lineRule="auto"/>
              <w:ind w:left="288"/>
            </w:pPr>
            <w:r>
              <w:rPr>
                <w:spacing w:val="-2"/>
              </w:rPr>
              <w:t>0.16</w:t>
            </w:r>
          </w:p>
        </w:tc>
        <w:tc>
          <w:tcPr>
            <w:tcW w:w="934" w:type="dxa"/>
            <w:vAlign w:val="top"/>
          </w:tcPr>
          <w:p>
            <w:pPr>
              <w:pStyle w:val="6"/>
              <w:spacing w:before="60" w:line="169" w:lineRule="auto"/>
              <w:ind w:left="287"/>
            </w:pPr>
            <w:r>
              <w:rPr>
                <w:spacing w:val="-2"/>
              </w:rPr>
              <w:t>0.08</w:t>
            </w:r>
          </w:p>
        </w:tc>
        <w:tc>
          <w:tcPr>
            <w:tcW w:w="933" w:type="dxa"/>
            <w:vAlign w:val="top"/>
          </w:tcPr>
          <w:p>
            <w:pPr>
              <w:pStyle w:val="6"/>
              <w:spacing w:before="60" w:line="169" w:lineRule="auto"/>
              <w:ind w:left="287"/>
            </w:pPr>
            <w:r>
              <w:rPr>
                <w:spacing w:val="-2"/>
              </w:rPr>
              <w:t>0.01</w:t>
            </w:r>
          </w:p>
        </w:tc>
        <w:tc>
          <w:tcPr>
            <w:tcW w:w="934" w:type="dxa"/>
            <w:vAlign w:val="top"/>
          </w:tcPr>
          <w:p>
            <w:pPr>
              <w:pStyle w:val="6"/>
              <w:spacing w:before="60" w:line="169" w:lineRule="auto"/>
              <w:ind w:left="236"/>
            </w:pPr>
            <w:r>
              <w:rPr>
                <w:spacing w:val="-2"/>
              </w:rPr>
              <w:t>0.001</w:t>
            </w:r>
          </w:p>
        </w:tc>
        <w:tc>
          <w:tcPr>
            <w:tcW w:w="1516" w:type="dxa"/>
            <w:tcBorders>
              <w:right w:val="nil"/>
            </w:tcBorders>
            <w:vAlign w:val="top"/>
          </w:tcPr>
          <w:p>
            <w:pPr>
              <w:pStyle w:val="6"/>
              <w:spacing w:before="60" w:line="169" w:lineRule="auto"/>
              <w:ind w:left="576"/>
            </w:pPr>
            <w:r>
              <w:rPr>
                <w:spacing w:val="-1"/>
              </w:rPr>
              <w:t>2.11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0" w:hRule="atLeast"/>
        </w:trPr>
        <w:tc>
          <w:tcPr>
            <w:tcW w:w="1204" w:type="dxa"/>
            <w:tcBorders>
              <w:left w:val="nil"/>
            </w:tcBorders>
            <w:vAlign w:val="top"/>
          </w:tcPr>
          <w:p>
            <w:pPr>
              <w:pStyle w:val="6"/>
              <w:spacing w:before="67" w:line="162" w:lineRule="auto"/>
              <w:ind w:left="458"/>
            </w:pPr>
            <w:r>
              <w:rPr>
                <w:spacing w:val="-1"/>
              </w:rPr>
              <w:t>W2</w:t>
            </w:r>
          </w:p>
        </w:tc>
        <w:tc>
          <w:tcPr>
            <w:tcW w:w="933" w:type="dxa"/>
            <w:vAlign w:val="top"/>
          </w:tcPr>
          <w:p>
            <w:pPr>
              <w:pStyle w:val="6"/>
              <w:spacing w:before="67" w:line="162" w:lineRule="auto"/>
              <w:ind w:left="303"/>
            </w:pPr>
            <w:r>
              <w:rPr>
                <w:spacing w:val="-6"/>
              </w:rPr>
              <w:t>1.12</w:t>
            </w:r>
          </w:p>
        </w:tc>
        <w:tc>
          <w:tcPr>
            <w:tcW w:w="933" w:type="dxa"/>
            <w:vAlign w:val="top"/>
          </w:tcPr>
          <w:p>
            <w:pPr>
              <w:pStyle w:val="6"/>
              <w:spacing w:before="67" w:line="162" w:lineRule="auto"/>
              <w:ind w:left="286"/>
            </w:pPr>
            <w:r>
              <w:rPr>
                <w:spacing w:val="-2"/>
              </w:rPr>
              <w:t>0.78</w:t>
            </w:r>
          </w:p>
        </w:tc>
        <w:tc>
          <w:tcPr>
            <w:tcW w:w="934" w:type="dxa"/>
            <w:vAlign w:val="top"/>
          </w:tcPr>
          <w:p>
            <w:pPr>
              <w:pStyle w:val="6"/>
              <w:spacing w:before="67" w:line="162" w:lineRule="auto"/>
              <w:ind w:left="288"/>
            </w:pPr>
            <w:r>
              <w:rPr>
                <w:spacing w:val="-2"/>
              </w:rPr>
              <w:t>0.15</w:t>
            </w:r>
          </w:p>
        </w:tc>
        <w:tc>
          <w:tcPr>
            <w:tcW w:w="934" w:type="dxa"/>
            <w:vAlign w:val="top"/>
          </w:tcPr>
          <w:p>
            <w:pPr>
              <w:pStyle w:val="6"/>
              <w:spacing w:before="67" w:line="162" w:lineRule="auto"/>
              <w:ind w:left="287"/>
            </w:pPr>
            <w:r>
              <w:rPr>
                <w:spacing w:val="-2"/>
              </w:rPr>
              <w:t>0.08</w:t>
            </w:r>
          </w:p>
        </w:tc>
        <w:tc>
          <w:tcPr>
            <w:tcW w:w="933" w:type="dxa"/>
            <w:vAlign w:val="top"/>
          </w:tcPr>
          <w:p>
            <w:pPr>
              <w:pStyle w:val="6"/>
              <w:spacing w:before="67" w:line="162" w:lineRule="auto"/>
              <w:ind w:left="287"/>
            </w:pPr>
            <w:r>
              <w:rPr>
                <w:spacing w:val="-2"/>
              </w:rPr>
              <w:t>0.01</w:t>
            </w:r>
          </w:p>
        </w:tc>
        <w:tc>
          <w:tcPr>
            <w:tcW w:w="934" w:type="dxa"/>
            <w:vAlign w:val="top"/>
          </w:tcPr>
          <w:p>
            <w:pPr>
              <w:pStyle w:val="6"/>
              <w:spacing w:before="67" w:line="162" w:lineRule="auto"/>
              <w:ind w:left="236"/>
            </w:pPr>
            <w:r>
              <w:rPr>
                <w:spacing w:val="-2"/>
              </w:rPr>
              <w:t>0.001</w:t>
            </w:r>
          </w:p>
        </w:tc>
        <w:tc>
          <w:tcPr>
            <w:tcW w:w="1516" w:type="dxa"/>
            <w:tcBorders>
              <w:right w:val="nil"/>
            </w:tcBorders>
            <w:vAlign w:val="top"/>
          </w:tcPr>
          <w:p>
            <w:pPr>
              <w:pStyle w:val="6"/>
              <w:spacing w:before="67" w:line="162" w:lineRule="auto"/>
              <w:ind w:left="576"/>
            </w:pPr>
            <w:r>
              <w:rPr>
                <w:spacing w:val="-1"/>
              </w:rPr>
              <w:t>2.14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1" w:hRule="atLeast"/>
        </w:trPr>
        <w:tc>
          <w:tcPr>
            <w:tcW w:w="1204" w:type="dxa"/>
            <w:tcBorders>
              <w:left w:val="nil"/>
            </w:tcBorders>
            <w:vAlign w:val="top"/>
          </w:tcPr>
          <w:p>
            <w:pPr>
              <w:pStyle w:val="6"/>
              <w:spacing w:before="73" w:line="157" w:lineRule="exact"/>
              <w:ind w:left="458"/>
            </w:pPr>
            <w:r>
              <w:rPr>
                <w:spacing w:val="-1"/>
                <w:position w:val="-2"/>
              </w:rPr>
              <w:t>W3</w:t>
            </w:r>
          </w:p>
        </w:tc>
        <w:tc>
          <w:tcPr>
            <w:tcW w:w="933" w:type="dxa"/>
            <w:vAlign w:val="top"/>
          </w:tcPr>
          <w:p>
            <w:pPr>
              <w:pStyle w:val="6"/>
              <w:spacing w:before="73" w:line="157" w:lineRule="exact"/>
              <w:ind w:left="303"/>
            </w:pPr>
            <w:r>
              <w:rPr>
                <w:spacing w:val="-6"/>
                <w:position w:val="-2"/>
              </w:rPr>
              <w:t>1.07</w:t>
            </w:r>
          </w:p>
        </w:tc>
        <w:tc>
          <w:tcPr>
            <w:tcW w:w="933" w:type="dxa"/>
            <w:vAlign w:val="top"/>
          </w:tcPr>
          <w:p>
            <w:pPr>
              <w:pStyle w:val="6"/>
              <w:spacing w:before="73" w:line="157" w:lineRule="exact"/>
              <w:ind w:left="286"/>
            </w:pPr>
            <w:r>
              <w:rPr>
                <w:spacing w:val="-2"/>
                <w:position w:val="-2"/>
              </w:rPr>
              <w:t>0.71</w:t>
            </w:r>
          </w:p>
        </w:tc>
        <w:tc>
          <w:tcPr>
            <w:tcW w:w="934" w:type="dxa"/>
            <w:vAlign w:val="top"/>
          </w:tcPr>
          <w:p>
            <w:pPr>
              <w:pStyle w:val="6"/>
              <w:spacing w:before="73" w:line="157" w:lineRule="exact"/>
              <w:ind w:left="288"/>
            </w:pPr>
            <w:r>
              <w:rPr>
                <w:spacing w:val="-2"/>
                <w:position w:val="-2"/>
              </w:rPr>
              <w:t>0.13</w:t>
            </w:r>
          </w:p>
        </w:tc>
        <w:tc>
          <w:tcPr>
            <w:tcW w:w="934" w:type="dxa"/>
            <w:vAlign w:val="top"/>
          </w:tcPr>
          <w:p>
            <w:pPr>
              <w:pStyle w:val="6"/>
              <w:spacing w:before="73" w:line="157" w:lineRule="exact"/>
              <w:ind w:left="287"/>
            </w:pPr>
            <w:r>
              <w:rPr>
                <w:spacing w:val="-2"/>
                <w:position w:val="-2"/>
              </w:rPr>
              <w:t>0.10</w:t>
            </w:r>
          </w:p>
        </w:tc>
        <w:tc>
          <w:tcPr>
            <w:tcW w:w="933" w:type="dxa"/>
            <w:vAlign w:val="top"/>
          </w:tcPr>
          <w:p>
            <w:pPr>
              <w:pStyle w:val="6"/>
              <w:spacing w:before="73" w:line="157" w:lineRule="exact"/>
              <w:ind w:left="287"/>
            </w:pPr>
            <w:r>
              <w:rPr>
                <w:spacing w:val="-2"/>
                <w:position w:val="-2"/>
              </w:rPr>
              <w:t>0.02</w:t>
            </w:r>
          </w:p>
        </w:tc>
        <w:tc>
          <w:tcPr>
            <w:tcW w:w="934" w:type="dxa"/>
            <w:vAlign w:val="top"/>
          </w:tcPr>
          <w:p>
            <w:pPr>
              <w:pStyle w:val="6"/>
              <w:spacing w:before="73" w:line="157" w:lineRule="exact"/>
              <w:ind w:left="236"/>
            </w:pPr>
            <w:r>
              <w:rPr>
                <w:spacing w:val="-2"/>
                <w:position w:val="-2"/>
              </w:rPr>
              <w:t>0.001</w:t>
            </w:r>
          </w:p>
        </w:tc>
        <w:tc>
          <w:tcPr>
            <w:tcW w:w="1516" w:type="dxa"/>
            <w:tcBorders>
              <w:right w:val="nil"/>
            </w:tcBorders>
            <w:vAlign w:val="top"/>
          </w:tcPr>
          <w:p>
            <w:pPr>
              <w:pStyle w:val="6"/>
              <w:spacing w:before="73" w:line="157" w:lineRule="exact"/>
              <w:ind w:left="576"/>
            </w:pPr>
            <w:r>
              <w:rPr>
                <w:spacing w:val="-1"/>
                <w:position w:val="-2"/>
              </w:rPr>
              <w:t>2.03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5" w:hRule="atLeast"/>
        </w:trPr>
        <w:tc>
          <w:tcPr>
            <w:tcW w:w="1204" w:type="dxa"/>
            <w:tcBorders>
              <w:left w:val="nil"/>
              <w:bottom w:val="single" w:color="000000" w:sz="12" w:space="0"/>
            </w:tcBorders>
            <w:vAlign w:val="top"/>
          </w:tcPr>
          <w:p>
            <w:pPr>
              <w:pStyle w:val="6"/>
              <w:spacing w:before="78" w:line="175" w:lineRule="auto"/>
              <w:ind w:left="458"/>
            </w:pPr>
            <w:r>
              <w:rPr>
                <w:spacing w:val="-1"/>
              </w:rPr>
              <w:t>W4</w:t>
            </w:r>
          </w:p>
        </w:tc>
        <w:tc>
          <w:tcPr>
            <w:tcW w:w="933" w:type="dxa"/>
            <w:tcBorders>
              <w:bottom w:val="single" w:color="000000" w:sz="12" w:space="0"/>
            </w:tcBorders>
            <w:vAlign w:val="top"/>
          </w:tcPr>
          <w:p>
            <w:pPr>
              <w:pStyle w:val="6"/>
              <w:spacing w:before="78" w:line="175" w:lineRule="auto"/>
              <w:ind w:left="303"/>
            </w:pPr>
            <w:r>
              <w:rPr>
                <w:spacing w:val="-6"/>
              </w:rPr>
              <w:t>1.52</w:t>
            </w:r>
          </w:p>
        </w:tc>
        <w:tc>
          <w:tcPr>
            <w:tcW w:w="933" w:type="dxa"/>
            <w:tcBorders>
              <w:bottom w:val="single" w:color="000000" w:sz="12" w:space="0"/>
            </w:tcBorders>
            <w:vAlign w:val="top"/>
          </w:tcPr>
          <w:p>
            <w:pPr>
              <w:pStyle w:val="6"/>
              <w:spacing w:before="78" w:line="175" w:lineRule="auto"/>
              <w:ind w:left="286"/>
            </w:pPr>
            <w:r>
              <w:rPr>
                <w:spacing w:val="-2"/>
              </w:rPr>
              <w:t>0.98</w:t>
            </w:r>
          </w:p>
        </w:tc>
        <w:tc>
          <w:tcPr>
            <w:tcW w:w="934" w:type="dxa"/>
            <w:tcBorders>
              <w:bottom w:val="single" w:color="000000" w:sz="12" w:space="0"/>
            </w:tcBorders>
            <w:vAlign w:val="top"/>
          </w:tcPr>
          <w:p>
            <w:pPr>
              <w:pStyle w:val="6"/>
              <w:spacing w:before="78" w:line="175" w:lineRule="auto"/>
              <w:ind w:left="288"/>
            </w:pPr>
            <w:r>
              <w:rPr>
                <w:spacing w:val="-2"/>
              </w:rPr>
              <w:t>0.26</w:t>
            </w:r>
          </w:p>
        </w:tc>
        <w:tc>
          <w:tcPr>
            <w:tcW w:w="934" w:type="dxa"/>
            <w:tcBorders>
              <w:bottom w:val="single" w:color="000000" w:sz="12" w:space="0"/>
            </w:tcBorders>
            <w:vAlign w:val="top"/>
          </w:tcPr>
          <w:p>
            <w:pPr>
              <w:pStyle w:val="6"/>
              <w:spacing w:before="78" w:line="175" w:lineRule="auto"/>
              <w:ind w:left="287"/>
            </w:pPr>
            <w:r>
              <w:rPr>
                <w:spacing w:val="-2"/>
              </w:rPr>
              <w:t>0.15</w:t>
            </w:r>
          </w:p>
        </w:tc>
        <w:tc>
          <w:tcPr>
            <w:tcW w:w="933" w:type="dxa"/>
            <w:tcBorders>
              <w:bottom w:val="single" w:color="000000" w:sz="12" w:space="0"/>
            </w:tcBorders>
            <w:vAlign w:val="top"/>
          </w:tcPr>
          <w:p>
            <w:pPr>
              <w:pStyle w:val="6"/>
              <w:spacing w:before="78" w:line="175" w:lineRule="auto"/>
              <w:ind w:left="287"/>
            </w:pPr>
            <w:r>
              <w:rPr>
                <w:spacing w:val="-2"/>
              </w:rPr>
              <w:t>0.01</w:t>
            </w:r>
          </w:p>
        </w:tc>
        <w:tc>
          <w:tcPr>
            <w:tcW w:w="934" w:type="dxa"/>
            <w:tcBorders>
              <w:bottom w:val="single" w:color="000000" w:sz="12" w:space="0"/>
            </w:tcBorders>
            <w:vAlign w:val="top"/>
          </w:tcPr>
          <w:p>
            <w:pPr>
              <w:pStyle w:val="6"/>
              <w:spacing w:before="78" w:line="175" w:lineRule="auto"/>
              <w:ind w:left="236"/>
            </w:pPr>
            <w:r>
              <w:rPr>
                <w:spacing w:val="-2"/>
              </w:rPr>
              <w:t>0.001</w:t>
            </w:r>
          </w:p>
        </w:tc>
        <w:tc>
          <w:tcPr>
            <w:tcW w:w="1516" w:type="dxa"/>
            <w:tcBorders>
              <w:bottom w:val="single" w:color="000000" w:sz="12" w:space="0"/>
              <w:right w:val="nil"/>
            </w:tcBorders>
            <w:vAlign w:val="top"/>
          </w:tcPr>
          <w:p>
            <w:pPr>
              <w:pStyle w:val="6"/>
              <w:spacing w:before="78" w:line="175" w:lineRule="auto"/>
              <w:ind w:left="576"/>
            </w:pPr>
            <w:r>
              <w:rPr>
                <w:spacing w:val="-1"/>
              </w:rPr>
              <w:t>2.92</w:t>
            </w:r>
          </w:p>
        </w:tc>
      </w:tr>
    </w:tbl>
    <w:p>
      <w:pPr>
        <w:pStyle w:val="2"/>
        <w:spacing w:before="172" w:line="212" w:lineRule="auto"/>
        <w:ind w:left="1837"/>
        <w:rPr>
          <w:rFonts w:ascii="宋体" w:hAnsi="宋体" w:eastAsia="宋体" w:cs="宋体"/>
        </w:rPr>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3.2-36    </w:t>
      </w:r>
      <w:r>
        <w:rPr>
          <w:rFonts w:ascii="宋体" w:hAnsi="宋体" w:eastAsia="宋体" w:cs="宋体"/>
          <w14:textOutline w14:w="3810" w14:cap="flat" w14:cmpd="sng">
            <w14:solidFill>
              <w14:srgbClr w14:val="000000"/>
            </w14:solidFill>
            <w14:prstDash w14:val="solid"/>
            <w14:miter w14:val="0"/>
          </w14:textOutline>
        </w:rPr>
        <w:t>工程评价区域浮游植物的生物量（</w:t>
      </w:r>
      <w:r>
        <w:rPr>
          <w:rFonts w:ascii="Times New Roman" w:hAnsi="Times New Roman" w:eastAsia="Times New Roman" w:cs="Times New Roman"/>
          <w:b/>
          <w:bCs/>
        </w:rPr>
        <w:t>mg</w:t>
      </w:r>
      <w:r>
        <w:rPr>
          <w:rFonts w:ascii="宋体" w:hAnsi="宋体" w:eastAsia="宋体" w:cs="宋体"/>
          <w14:textOutline w14:w="3810" w14:cap="flat" w14:cmpd="sng">
            <w14:solidFill>
              <w14:srgbClr w14:val="000000"/>
            </w14:solidFill>
            <w14:prstDash w14:val="solid"/>
            <w14:miter w14:val="0"/>
          </w14:textOutline>
        </w:rPr>
        <w:t>·</w:t>
      </w:r>
      <w:r>
        <w:rPr>
          <w:rFonts w:ascii="Times New Roman" w:hAnsi="Times New Roman" w:eastAsia="Times New Roman" w:cs="Times New Roman"/>
          <w:b/>
          <w:bCs/>
        </w:rPr>
        <w:t>L</w:t>
      </w:r>
      <w:r>
        <w:rPr>
          <w:rFonts w:ascii="Times New Roman" w:hAnsi="Times New Roman" w:eastAsia="Times New Roman" w:cs="Times New Roman"/>
          <w:b/>
          <w:bCs/>
          <w:position w:val="6"/>
          <w:sz w:val="14"/>
          <w:szCs w:val="14"/>
        </w:rPr>
        <w:t>-</w:t>
      </w:r>
      <w:r>
        <w:rPr>
          <w:rFonts w:ascii="Times New Roman" w:hAnsi="Times New Roman" w:eastAsia="Times New Roman" w:cs="Times New Roman"/>
          <w:b/>
          <w:bCs/>
          <w:spacing w:val="-1"/>
          <w:position w:val="6"/>
          <w:sz w:val="14"/>
          <w:szCs w:val="14"/>
        </w:rPr>
        <w:t>1</w:t>
      </w:r>
      <w:r>
        <w:rPr>
          <w:rFonts w:ascii="宋体" w:hAnsi="宋体" w:eastAsia="宋体" w:cs="宋体"/>
          <w:spacing w:val="-1"/>
          <w14:textOutline w14:w="3810" w14:cap="flat" w14:cmpd="sng">
            <w14:solidFill>
              <w14:srgbClr w14:val="000000"/>
            </w14:solidFill>
            <w14:prstDash w14:val="solid"/>
            <w14:miter w14:val="0"/>
          </w14:textOutline>
        </w:rPr>
        <w:t>）</w:t>
      </w:r>
    </w:p>
    <w:p>
      <w:pPr>
        <w:spacing w:line="27"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0"/>
        <w:gridCol w:w="934"/>
        <w:gridCol w:w="935"/>
        <w:gridCol w:w="936"/>
        <w:gridCol w:w="934"/>
        <w:gridCol w:w="934"/>
        <w:gridCol w:w="1126"/>
        <w:gridCol w:w="12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3" w:hRule="atLeast"/>
        </w:trPr>
        <w:tc>
          <w:tcPr>
            <w:tcW w:w="1240" w:type="dxa"/>
            <w:tcBorders>
              <w:top w:val="single" w:color="000000" w:sz="12" w:space="0"/>
              <w:left w:val="nil"/>
            </w:tcBorders>
            <w:vAlign w:val="top"/>
          </w:tcPr>
          <w:p>
            <w:pPr>
              <w:spacing w:before="36" w:line="208" w:lineRule="auto"/>
              <w:ind w:left="221"/>
              <w:rPr>
                <w:rFonts w:ascii="仿宋" w:hAnsi="仿宋" w:eastAsia="仿宋" w:cs="仿宋"/>
                <w:sz w:val="21"/>
                <w:szCs w:val="21"/>
              </w:rPr>
            </w:pPr>
            <w:r>
              <w:rPr>
                <w:rFonts w:ascii="仿宋" w:hAnsi="仿宋" w:eastAsia="仿宋" w:cs="仿宋"/>
                <w:spacing w:val="-3"/>
                <w:sz w:val="21"/>
                <w:szCs w:val="21"/>
              </w:rPr>
              <w:t>采样断面</w:t>
            </w:r>
          </w:p>
        </w:tc>
        <w:tc>
          <w:tcPr>
            <w:tcW w:w="934" w:type="dxa"/>
            <w:tcBorders>
              <w:top w:val="single" w:color="000000" w:sz="12" w:space="0"/>
            </w:tcBorders>
            <w:vAlign w:val="top"/>
          </w:tcPr>
          <w:p>
            <w:pPr>
              <w:spacing w:before="36" w:line="208" w:lineRule="auto"/>
              <w:ind w:left="269"/>
              <w:rPr>
                <w:rFonts w:ascii="仿宋" w:hAnsi="仿宋" w:eastAsia="仿宋" w:cs="仿宋"/>
                <w:sz w:val="21"/>
                <w:szCs w:val="21"/>
              </w:rPr>
            </w:pPr>
            <w:r>
              <w:rPr>
                <w:rFonts w:ascii="仿宋" w:hAnsi="仿宋" w:eastAsia="仿宋" w:cs="仿宋"/>
                <w:spacing w:val="-5"/>
                <w:sz w:val="21"/>
                <w:szCs w:val="21"/>
              </w:rPr>
              <w:t>绿藻</w:t>
            </w:r>
          </w:p>
        </w:tc>
        <w:tc>
          <w:tcPr>
            <w:tcW w:w="935" w:type="dxa"/>
            <w:tcBorders>
              <w:top w:val="single" w:color="000000" w:sz="12" w:space="0"/>
            </w:tcBorders>
            <w:vAlign w:val="top"/>
          </w:tcPr>
          <w:p>
            <w:pPr>
              <w:spacing w:before="36" w:line="208" w:lineRule="auto"/>
              <w:ind w:left="266"/>
              <w:rPr>
                <w:rFonts w:ascii="仿宋" w:hAnsi="仿宋" w:eastAsia="仿宋" w:cs="仿宋"/>
                <w:sz w:val="21"/>
                <w:szCs w:val="21"/>
              </w:rPr>
            </w:pPr>
            <w:r>
              <w:rPr>
                <w:rFonts w:ascii="仿宋" w:hAnsi="仿宋" w:eastAsia="仿宋" w:cs="仿宋"/>
                <w:spacing w:val="-4"/>
                <w:sz w:val="21"/>
                <w:szCs w:val="21"/>
              </w:rPr>
              <w:t>硅藻</w:t>
            </w:r>
          </w:p>
        </w:tc>
        <w:tc>
          <w:tcPr>
            <w:tcW w:w="936" w:type="dxa"/>
            <w:tcBorders>
              <w:top w:val="single" w:color="000000" w:sz="12" w:space="0"/>
            </w:tcBorders>
            <w:vAlign w:val="top"/>
          </w:tcPr>
          <w:p>
            <w:pPr>
              <w:spacing w:before="36" w:line="208" w:lineRule="auto"/>
              <w:ind w:left="276"/>
              <w:rPr>
                <w:rFonts w:ascii="仿宋" w:hAnsi="仿宋" w:eastAsia="仿宋" w:cs="仿宋"/>
                <w:sz w:val="21"/>
                <w:szCs w:val="21"/>
              </w:rPr>
            </w:pPr>
            <w:r>
              <w:rPr>
                <w:rFonts w:ascii="仿宋" w:hAnsi="仿宋" w:eastAsia="仿宋" w:cs="仿宋"/>
                <w:spacing w:val="-6"/>
                <w:sz w:val="21"/>
                <w:szCs w:val="21"/>
              </w:rPr>
              <w:t>隐藻</w:t>
            </w:r>
          </w:p>
        </w:tc>
        <w:tc>
          <w:tcPr>
            <w:tcW w:w="934" w:type="dxa"/>
            <w:tcBorders>
              <w:top w:val="single" w:color="000000" w:sz="12" w:space="0"/>
            </w:tcBorders>
            <w:vAlign w:val="top"/>
          </w:tcPr>
          <w:p>
            <w:pPr>
              <w:spacing w:before="36" w:line="208" w:lineRule="auto"/>
              <w:ind w:left="294"/>
              <w:rPr>
                <w:rFonts w:ascii="仿宋" w:hAnsi="仿宋" w:eastAsia="仿宋" w:cs="仿宋"/>
                <w:sz w:val="21"/>
                <w:szCs w:val="21"/>
              </w:rPr>
            </w:pPr>
            <w:r>
              <w:rPr>
                <w:rFonts w:ascii="仿宋" w:hAnsi="仿宋" w:eastAsia="仿宋" w:cs="仿宋"/>
                <w:spacing w:val="-11"/>
                <w:sz w:val="21"/>
                <w:szCs w:val="21"/>
              </w:rPr>
              <w:t>甲藻</w:t>
            </w:r>
          </w:p>
        </w:tc>
        <w:tc>
          <w:tcPr>
            <w:tcW w:w="934" w:type="dxa"/>
            <w:tcBorders>
              <w:top w:val="single" w:color="000000" w:sz="12" w:space="0"/>
            </w:tcBorders>
            <w:vAlign w:val="top"/>
          </w:tcPr>
          <w:p>
            <w:pPr>
              <w:spacing w:before="36" w:line="208" w:lineRule="auto"/>
              <w:ind w:left="268"/>
              <w:rPr>
                <w:rFonts w:ascii="仿宋" w:hAnsi="仿宋" w:eastAsia="仿宋" w:cs="仿宋"/>
                <w:sz w:val="21"/>
                <w:szCs w:val="21"/>
              </w:rPr>
            </w:pPr>
            <w:r>
              <w:rPr>
                <w:rFonts w:ascii="仿宋" w:hAnsi="仿宋" w:eastAsia="仿宋" w:cs="仿宋"/>
                <w:spacing w:val="-4"/>
                <w:sz w:val="21"/>
                <w:szCs w:val="21"/>
              </w:rPr>
              <w:t>金藻</w:t>
            </w:r>
          </w:p>
        </w:tc>
        <w:tc>
          <w:tcPr>
            <w:tcW w:w="1126" w:type="dxa"/>
            <w:tcBorders>
              <w:top w:val="single" w:color="000000" w:sz="12" w:space="0"/>
            </w:tcBorders>
            <w:vAlign w:val="top"/>
          </w:tcPr>
          <w:p>
            <w:pPr>
              <w:spacing w:before="30" w:line="213" w:lineRule="auto"/>
              <w:ind w:left="370"/>
              <w:rPr>
                <w:rFonts w:ascii="仿宋" w:hAnsi="仿宋" w:eastAsia="仿宋" w:cs="仿宋"/>
                <w:sz w:val="21"/>
                <w:szCs w:val="21"/>
              </w:rPr>
            </w:pPr>
            <w:r>
              <w:rPr>
                <w:rFonts w:ascii="仿宋" w:hAnsi="仿宋" w:eastAsia="仿宋" w:cs="仿宋"/>
                <w:spacing w:val="-5"/>
                <w:sz w:val="21"/>
                <w:szCs w:val="21"/>
              </w:rPr>
              <w:t>蓝藻</w:t>
            </w:r>
          </w:p>
        </w:tc>
        <w:tc>
          <w:tcPr>
            <w:tcW w:w="1282" w:type="dxa"/>
            <w:tcBorders>
              <w:top w:val="single" w:color="000000" w:sz="12" w:space="0"/>
              <w:right w:val="nil"/>
            </w:tcBorders>
            <w:vAlign w:val="top"/>
          </w:tcPr>
          <w:p>
            <w:pPr>
              <w:spacing w:before="36" w:line="208" w:lineRule="auto"/>
              <w:ind w:left="349"/>
              <w:rPr>
                <w:rFonts w:ascii="仿宋" w:hAnsi="仿宋" w:eastAsia="仿宋" w:cs="仿宋"/>
                <w:sz w:val="21"/>
                <w:szCs w:val="21"/>
              </w:rPr>
            </w:pPr>
            <w:r>
              <w:rPr>
                <w:rFonts w:ascii="仿宋" w:hAnsi="仿宋" w:eastAsia="仿宋" w:cs="仿宋"/>
                <w:spacing w:val="-6"/>
                <w:sz w:val="21"/>
                <w:szCs w:val="21"/>
              </w:rPr>
              <w:t>生物量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1240" w:type="dxa"/>
            <w:tcBorders>
              <w:left w:val="nil"/>
            </w:tcBorders>
            <w:vAlign w:val="top"/>
          </w:tcPr>
          <w:p>
            <w:pPr>
              <w:pStyle w:val="6"/>
              <w:spacing w:before="82" w:line="186" w:lineRule="auto"/>
              <w:ind w:left="476"/>
            </w:pPr>
            <w:r>
              <w:rPr>
                <w:spacing w:val="-1"/>
              </w:rPr>
              <w:t>W1</w:t>
            </w:r>
          </w:p>
        </w:tc>
        <w:tc>
          <w:tcPr>
            <w:tcW w:w="934" w:type="dxa"/>
            <w:vAlign w:val="top"/>
          </w:tcPr>
          <w:p>
            <w:pPr>
              <w:pStyle w:val="6"/>
              <w:spacing w:before="82" w:line="186" w:lineRule="auto"/>
              <w:ind w:left="303"/>
            </w:pPr>
            <w:r>
              <w:rPr>
                <w:spacing w:val="-6"/>
              </w:rPr>
              <w:t>1.04</w:t>
            </w:r>
          </w:p>
        </w:tc>
        <w:tc>
          <w:tcPr>
            <w:tcW w:w="935" w:type="dxa"/>
            <w:vAlign w:val="top"/>
          </w:tcPr>
          <w:p>
            <w:pPr>
              <w:pStyle w:val="6"/>
              <w:spacing w:before="82" w:line="186" w:lineRule="auto"/>
              <w:ind w:left="304"/>
            </w:pPr>
            <w:r>
              <w:rPr>
                <w:spacing w:val="-6"/>
              </w:rPr>
              <w:t>1.01</w:t>
            </w:r>
          </w:p>
        </w:tc>
        <w:tc>
          <w:tcPr>
            <w:tcW w:w="936" w:type="dxa"/>
            <w:vAlign w:val="top"/>
          </w:tcPr>
          <w:p>
            <w:pPr>
              <w:pStyle w:val="6"/>
              <w:spacing w:before="82" w:line="186" w:lineRule="auto"/>
              <w:ind w:left="287"/>
            </w:pPr>
            <w:r>
              <w:rPr>
                <w:spacing w:val="-2"/>
              </w:rPr>
              <w:t>0.04</w:t>
            </w:r>
          </w:p>
        </w:tc>
        <w:tc>
          <w:tcPr>
            <w:tcW w:w="934" w:type="dxa"/>
            <w:vAlign w:val="top"/>
          </w:tcPr>
          <w:p>
            <w:pPr>
              <w:pStyle w:val="6"/>
              <w:spacing w:before="82" w:line="186" w:lineRule="auto"/>
              <w:ind w:left="286"/>
            </w:pPr>
            <w:r>
              <w:rPr>
                <w:spacing w:val="-2"/>
              </w:rPr>
              <w:t>0.02</w:t>
            </w:r>
          </w:p>
        </w:tc>
        <w:tc>
          <w:tcPr>
            <w:tcW w:w="934" w:type="dxa"/>
            <w:vAlign w:val="top"/>
          </w:tcPr>
          <w:p>
            <w:pPr>
              <w:pStyle w:val="6"/>
              <w:spacing w:before="82" w:line="186" w:lineRule="auto"/>
              <w:ind w:left="235"/>
            </w:pPr>
            <w:r>
              <w:rPr>
                <w:spacing w:val="-2"/>
              </w:rPr>
              <w:t>0.002</w:t>
            </w:r>
          </w:p>
        </w:tc>
        <w:tc>
          <w:tcPr>
            <w:tcW w:w="1126" w:type="dxa"/>
            <w:vAlign w:val="top"/>
          </w:tcPr>
          <w:p>
            <w:pPr>
              <w:pStyle w:val="6"/>
              <w:spacing w:before="60" w:line="186" w:lineRule="auto"/>
              <w:ind w:left="332"/>
            </w:pPr>
            <w:r>
              <w:rPr>
                <w:spacing w:val="-2"/>
              </w:rPr>
              <w:t>0.001</w:t>
            </w:r>
          </w:p>
        </w:tc>
        <w:tc>
          <w:tcPr>
            <w:tcW w:w="1282" w:type="dxa"/>
            <w:tcBorders>
              <w:right w:val="nil"/>
            </w:tcBorders>
            <w:vAlign w:val="top"/>
          </w:tcPr>
          <w:p>
            <w:pPr>
              <w:pStyle w:val="6"/>
              <w:spacing w:before="82" w:line="186" w:lineRule="auto"/>
              <w:ind w:left="460"/>
            </w:pPr>
            <w:r>
              <w:rPr>
                <w:spacing w:val="-1"/>
              </w:rPr>
              <w:t>2.11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4" w:hRule="atLeast"/>
        </w:trPr>
        <w:tc>
          <w:tcPr>
            <w:tcW w:w="1240" w:type="dxa"/>
            <w:tcBorders>
              <w:left w:val="nil"/>
            </w:tcBorders>
            <w:vAlign w:val="top"/>
          </w:tcPr>
          <w:p>
            <w:pPr>
              <w:pStyle w:val="6"/>
              <w:spacing w:before="88" w:line="184" w:lineRule="auto"/>
              <w:ind w:left="476"/>
            </w:pPr>
            <w:r>
              <w:rPr>
                <w:spacing w:val="-1"/>
              </w:rPr>
              <w:t>W2</w:t>
            </w:r>
          </w:p>
        </w:tc>
        <w:tc>
          <w:tcPr>
            <w:tcW w:w="934" w:type="dxa"/>
            <w:vAlign w:val="top"/>
          </w:tcPr>
          <w:p>
            <w:pPr>
              <w:pStyle w:val="6"/>
              <w:spacing w:before="88" w:line="184" w:lineRule="auto"/>
              <w:ind w:left="303"/>
            </w:pPr>
            <w:r>
              <w:rPr>
                <w:spacing w:val="-6"/>
              </w:rPr>
              <w:t>1.08</w:t>
            </w:r>
          </w:p>
        </w:tc>
        <w:tc>
          <w:tcPr>
            <w:tcW w:w="935" w:type="dxa"/>
            <w:vAlign w:val="top"/>
          </w:tcPr>
          <w:p>
            <w:pPr>
              <w:pStyle w:val="6"/>
              <w:spacing w:before="88" w:line="184" w:lineRule="auto"/>
              <w:ind w:left="304"/>
            </w:pPr>
            <w:r>
              <w:rPr>
                <w:spacing w:val="-6"/>
              </w:rPr>
              <w:t>1.02</w:t>
            </w:r>
          </w:p>
        </w:tc>
        <w:tc>
          <w:tcPr>
            <w:tcW w:w="936" w:type="dxa"/>
            <w:vAlign w:val="top"/>
          </w:tcPr>
          <w:p>
            <w:pPr>
              <w:pStyle w:val="6"/>
              <w:spacing w:before="88" w:line="184" w:lineRule="auto"/>
              <w:ind w:left="287"/>
            </w:pPr>
            <w:r>
              <w:rPr>
                <w:spacing w:val="-2"/>
              </w:rPr>
              <w:t>0.05</w:t>
            </w:r>
          </w:p>
        </w:tc>
        <w:tc>
          <w:tcPr>
            <w:tcW w:w="934" w:type="dxa"/>
            <w:vAlign w:val="top"/>
          </w:tcPr>
          <w:p>
            <w:pPr>
              <w:pStyle w:val="6"/>
              <w:spacing w:before="88" w:line="184" w:lineRule="auto"/>
              <w:ind w:left="286"/>
            </w:pPr>
            <w:r>
              <w:rPr>
                <w:spacing w:val="-2"/>
              </w:rPr>
              <w:t>0.04</w:t>
            </w:r>
          </w:p>
        </w:tc>
        <w:tc>
          <w:tcPr>
            <w:tcW w:w="934" w:type="dxa"/>
            <w:vAlign w:val="top"/>
          </w:tcPr>
          <w:p>
            <w:pPr>
              <w:pStyle w:val="6"/>
              <w:spacing w:before="88" w:line="184" w:lineRule="auto"/>
              <w:ind w:left="235"/>
            </w:pPr>
            <w:r>
              <w:rPr>
                <w:spacing w:val="-2"/>
              </w:rPr>
              <w:t>0.003</w:t>
            </w:r>
          </w:p>
        </w:tc>
        <w:tc>
          <w:tcPr>
            <w:tcW w:w="1126" w:type="dxa"/>
            <w:vAlign w:val="top"/>
          </w:tcPr>
          <w:p>
            <w:pPr>
              <w:pStyle w:val="6"/>
              <w:spacing w:before="67" w:line="186" w:lineRule="auto"/>
              <w:ind w:left="332"/>
            </w:pPr>
            <w:r>
              <w:rPr>
                <w:spacing w:val="-2"/>
              </w:rPr>
              <w:t>0.001</w:t>
            </w:r>
          </w:p>
        </w:tc>
        <w:tc>
          <w:tcPr>
            <w:tcW w:w="1282" w:type="dxa"/>
            <w:tcBorders>
              <w:right w:val="nil"/>
            </w:tcBorders>
            <w:vAlign w:val="top"/>
          </w:tcPr>
          <w:p>
            <w:pPr>
              <w:pStyle w:val="6"/>
              <w:spacing w:before="88" w:line="184" w:lineRule="auto"/>
              <w:ind w:left="460"/>
            </w:pPr>
            <w:r>
              <w:rPr>
                <w:spacing w:val="-1"/>
              </w:rPr>
              <w:t>2.19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5" w:hRule="atLeast"/>
        </w:trPr>
        <w:tc>
          <w:tcPr>
            <w:tcW w:w="1240" w:type="dxa"/>
            <w:tcBorders>
              <w:left w:val="nil"/>
            </w:tcBorders>
            <w:vAlign w:val="top"/>
          </w:tcPr>
          <w:p>
            <w:pPr>
              <w:pStyle w:val="6"/>
              <w:spacing w:before="94" w:line="179" w:lineRule="auto"/>
              <w:ind w:left="476"/>
            </w:pPr>
            <w:r>
              <w:rPr>
                <w:spacing w:val="-1"/>
              </w:rPr>
              <w:t>W3</w:t>
            </w:r>
          </w:p>
        </w:tc>
        <w:tc>
          <w:tcPr>
            <w:tcW w:w="934" w:type="dxa"/>
            <w:vAlign w:val="top"/>
          </w:tcPr>
          <w:p>
            <w:pPr>
              <w:pStyle w:val="6"/>
              <w:spacing w:before="94" w:line="179" w:lineRule="auto"/>
              <w:ind w:left="303"/>
            </w:pPr>
            <w:r>
              <w:rPr>
                <w:spacing w:val="-6"/>
              </w:rPr>
              <w:t>1.02</w:t>
            </w:r>
          </w:p>
        </w:tc>
        <w:tc>
          <w:tcPr>
            <w:tcW w:w="935" w:type="dxa"/>
            <w:vAlign w:val="top"/>
          </w:tcPr>
          <w:p>
            <w:pPr>
              <w:pStyle w:val="6"/>
              <w:spacing w:before="94" w:line="179" w:lineRule="auto"/>
              <w:ind w:left="304"/>
            </w:pPr>
            <w:r>
              <w:rPr>
                <w:spacing w:val="-6"/>
              </w:rPr>
              <w:t>1.02</w:t>
            </w:r>
          </w:p>
        </w:tc>
        <w:tc>
          <w:tcPr>
            <w:tcW w:w="936" w:type="dxa"/>
            <w:vAlign w:val="top"/>
          </w:tcPr>
          <w:p>
            <w:pPr>
              <w:pStyle w:val="6"/>
              <w:spacing w:before="94" w:line="179" w:lineRule="auto"/>
              <w:ind w:left="287"/>
            </w:pPr>
            <w:r>
              <w:rPr>
                <w:spacing w:val="-2"/>
              </w:rPr>
              <w:t>0.04</w:t>
            </w:r>
          </w:p>
        </w:tc>
        <w:tc>
          <w:tcPr>
            <w:tcW w:w="934" w:type="dxa"/>
            <w:vAlign w:val="top"/>
          </w:tcPr>
          <w:p>
            <w:pPr>
              <w:pStyle w:val="6"/>
              <w:spacing w:before="94" w:line="179" w:lineRule="auto"/>
              <w:ind w:left="286"/>
            </w:pPr>
            <w:r>
              <w:rPr>
                <w:spacing w:val="-2"/>
              </w:rPr>
              <w:t>0.02</w:t>
            </w:r>
          </w:p>
        </w:tc>
        <w:tc>
          <w:tcPr>
            <w:tcW w:w="934" w:type="dxa"/>
            <w:vAlign w:val="top"/>
          </w:tcPr>
          <w:p>
            <w:pPr>
              <w:pStyle w:val="6"/>
              <w:spacing w:before="94" w:line="179" w:lineRule="auto"/>
              <w:ind w:left="235"/>
            </w:pPr>
            <w:r>
              <w:rPr>
                <w:spacing w:val="-2"/>
              </w:rPr>
              <w:t>0.002</w:t>
            </w:r>
          </w:p>
        </w:tc>
        <w:tc>
          <w:tcPr>
            <w:tcW w:w="1126" w:type="dxa"/>
            <w:vAlign w:val="top"/>
          </w:tcPr>
          <w:p>
            <w:pPr>
              <w:pStyle w:val="6"/>
              <w:spacing w:before="72" w:line="186" w:lineRule="auto"/>
              <w:ind w:left="332"/>
            </w:pPr>
            <w:r>
              <w:rPr>
                <w:spacing w:val="-2"/>
              </w:rPr>
              <w:t>0.001</w:t>
            </w:r>
          </w:p>
        </w:tc>
        <w:tc>
          <w:tcPr>
            <w:tcW w:w="1282" w:type="dxa"/>
            <w:tcBorders>
              <w:right w:val="nil"/>
            </w:tcBorders>
            <w:vAlign w:val="top"/>
          </w:tcPr>
          <w:p>
            <w:pPr>
              <w:pStyle w:val="6"/>
              <w:spacing w:before="94" w:line="179" w:lineRule="auto"/>
              <w:ind w:left="460"/>
            </w:pPr>
            <w:r>
              <w:rPr>
                <w:spacing w:val="-1"/>
              </w:rPr>
              <w:t>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9" w:hRule="atLeast"/>
        </w:trPr>
        <w:tc>
          <w:tcPr>
            <w:tcW w:w="1240" w:type="dxa"/>
            <w:tcBorders>
              <w:left w:val="nil"/>
              <w:bottom w:val="single" w:color="000000" w:sz="12" w:space="0"/>
            </w:tcBorders>
            <w:vAlign w:val="top"/>
          </w:tcPr>
          <w:p>
            <w:pPr>
              <w:pStyle w:val="6"/>
              <w:spacing w:before="98" w:line="186" w:lineRule="auto"/>
              <w:ind w:left="476"/>
            </w:pPr>
            <w:r>
              <w:rPr>
                <w:spacing w:val="-1"/>
              </w:rPr>
              <w:t>W4</w:t>
            </w:r>
          </w:p>
        </w:tc>
        <w:tc>
          <w:tcPr>
            <w:tcW w:w="934" w:type="dxa"/>
            <w:tcBorders>
              <w:bottom w:val="single" w:color="000000" w:sz="12" w:space="0"/>
            </w:tcBorders>
            <w:vAlign w:val="top"/>
          </w:tcPr>
          <w:p>
            <w:pPr>
              <w:pStyle w:val="6"/>
              <w:spacing w:before="98" w:line="186" w:lineRule="auto"/>
              <w:ind w:left="303"/>
            </w:pPr>
            <w:r>
              <w:rPr>
                <w:spacing w:val="-6"/>
              </w:rPr>
              <w:t>1.50</w:t>
            </w:r>
          </w:p>
        </w:tc>
        <w:tc>
          <w:tcPr>
            <w:tcW w:w="935" w:type="dxa"/>
            <w:tcBorders>
              <w:bottom w:val="single" w:color="000000" w:sz="12" w:space="0"/>
            </w:tcBorders>
            <w:vAlign w:val="top"/>
          </w:tcPr>
          <w:p>
            <w:pPr>
              <w:pStyle w:val="6"/>
              <w:spacing w:before="98" w:line="186" w:lineRule="auto"/>
              <w:ind w:left="304"/>
            </w:pPr>
            <w:r>
              <w:rPr>
                <w:spacing w:val="-6"/>
              </w:rPr>
              <w:t>1.28</w:t>
            </w:r>
          </w:p>
        </w:tc>
        <w:tc>
          <w:tcPr>
            <w:tcW w:w="936" w:type="dxa"/>
            <w:tcBorders>
              <w:bottom w:val="single" w:color="000000" w:sz="12" w:space="0"/>
            </w:tcBorders>
            <w:vAlign w:val="top"/>
          </w:tcPr>
          <w:p>
            <w:pPr>
              <w:pStyle w:val="6"/>
              <w:spacing w:before="98" w:line="186" w:lineRule="auto"/>
              <w:ind w:left="287"/>
            </w:pPr>
            <w:r>
              <w:rPr>
                <w:spacing w:val="-2"/>
              </w:rPr>
              <w:t>0.07</w:t>
            </w:r>
          </w:p>
        </w:tc>
        <w:tc>
          <w:tcPr>
            <w:tcW w:w="934" w:type="dxa"/>
            <w:tcBorders>
              <w:bottom w:val="single" w:color="000000" w:sz="12" w:space="0"/>
            </w:tcBorders>
            <w:vAlign w:val="top"/>
          </w:tcPr>
          <w:p>
            <w:pPr>
              <w:pStyle w:val="6"/>
              <w:spacing w:before="98" w:line="186" w:lineRule="auto"/>
              <w:ind w:left="286"/>
            </w:pPr>
            <w:r>
              <w:rPr>
                <w:spacing w:val="-2"/>
              </w:rPr>
              <w:t>0.04</w:t>
            </w:r>
          </w:p>
        </w:tc>
        <w:tc>
          <w:tcPr>
            <w:tcW w:w="934" w:type="dxa"/>
            <w:tcBorders>
              <w:bottom w:val="single" w:color="000000" w:sz="12" w:space="0"/>
            </w:tcBorders>
            <w:vAlign w:val="top"/>
          </w:tcPr>
          <w:p>
            <w:pPr>
              <w:pStyle w:val="6"/>
              <w:spacing w:before="98" w:line="186" w:lineRule="auto"/>
              <w:ind w:left="235"/>
            </w:pPr>
            <w:r>
              <w:rPr>
                <w:spacing w:val="-2"/>
              </w:rPr>
              <w:t>0.005</w:t>
            </w:r>
          </w:p>
        </w:tc>
        <w:tc>
          <w:tcPr>
            <w:tcW w:w="1126" w:type="dxa"/>
            <w:tcBorders>
              <w:bottom w:val="single" w:color="000000" w:sz="12" w:space="0"/>
            </w:tcBorders>
            <w:vAlign w:val="top"/>
          </w:tcPr>
          <w:p>
            <w:pPr>
              <w:pStyle w:val="6"/>
              <w:spacing w:before="77" w:line="186" w:lineRule="auto"/>
              <w:ind w:left="332"/>
            </w:pPr>
            <w:r>
              <w:rPr>
                <w:spacing w:val="-2"/>
              </w:rPr>
              <w:t>0.001</w:t>
            </w:r>
          </w:p>
        </w:tc>
        <w:tc>
          <w:tcPr>
            <w:tcW w:w="1282" w:type="dxa"/>
            <w:tcBorders>
              <w:bottom w:val="single" w:color="000000" w:sz="12" w:space="0"/>
              <w:right w:val="nil"/>
            </w:tcBorders>
            <w:vAlign w:val="top"/>
          </w:tcPr>
          <w:p>
            <w:pPr>
              <w:pStyle w:val="6"/>
              <w:spacing w:before="98" w:line="186" w:lineRule="auto"/>
              <w:ind w:left="460"/>
            </w:pPr>
            <w:r>
              <w:rPr>
                <w:spacing w:val="-1"/>
              </w:rPr>
              <w:t>2.90</w:t>
            </w:r>
          </w:p>
        </w:tc>
      </w:tr>
    </w:tbl>
    <w:p>
      <w:pPr>
        <w:spacing w:before="145" w:line="232"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浮游植物的现状评价</w:t>
      </w:r>
    </w:p>
    <w:p>
      <w:pPr>
        <w:spacing w:before="140" w:line="338" w:lineRule="auto"/>
        <w:ind w:left="39" w:right="30" w:firstLine="480"/>
        <w:rPr>
          <w:rFonts w:ascii="宋体" w:hAnsi="宋体" w:eastAsia="宋体" w:cs="宋体"/>
          <w:sz w:val="24"/>
          <w:szCs w:val="24"/>
        </w:rPr>
      </w:pPr>
      <w:r>
        <w:rPr>
          <w:rFonts w:ascii="宋体" w:hAnsi="宋体" w:eastAsia="宋体" w:cs="宋体"/>
          <w:spacing w:val="-12"/>
          <w:sz w:val="24"/>
          <w:szCs w:val="24"/>
        </w:rPr>
        <w:t>根据采样、鉴定和分析，</w:t>
      </w:r>
      <w:r>
        <w:rPr>
          <w:rFonts w:ascii="宋体" w:hAnsi="宋体" w:eastAsia="宋体" w:cs="宋体"/>
          <w:spacing w:val="29"/>
          <w:sz w:val="24"/>
          <w:szCs w:val="24"/>
        </w:rPr>
        <w:t xml:space="preserve"> </w:t>
      </w:r>
      <w:r>
        <w:rPr>
          <w:rFonts w:ascii="宋体" w:hAnsi="宋体" w:eastAsia="宋体" w:cs="宋体"/>
          <w:spacing w:val="-12"/>
          <w:sz w:val="24"/>
          <w:szCs w:val="24"/>
        </w:rPr>
        <w:t>评价区域河段内的浮游植物种</w:t>
      </w:r>
      <w:r>
        <w:rPr>
          <w:rFonts w:ascii="宋体" w:hAnsi="宋体" w:eastAsia="宋体" w:cs="宋体"/>
          <w:spacing w:val="-13"/>
          <w:sz w:val="24"/>
          <w:szCs w:val="24"/>
        </w:rPr>
        <w:t>类组成复杂，</w:t>
      </w:r>
      <w:r>
        <w:rPr>
          <w:rFonts w:ascii="宋体" w:hAnsi="宋体" w:eastAsia="宋体" w:cs="宋体"/>
          <w:spacing w:val="32"/>
          <w:sz w:val="24"/>
          <w:szCs w:val="24"/>
        </w:rPr>
        <w:t xml:space="preserve"> </w:t>
      </w:r>
      <w:r>
        <w:rPr>
          <w:rFonts w:ascii="宋体" w:hAnsi="宋体" w:eastAsia="宋体" w:cs="宋体"/>
          <w:spacing w:val="-13"/>
          <w:sz w:val="24"/>
          <w:szCs w:val="24"/>
        </w:rPr>
        <w:t>浮游植</w:t>
      </w:r>
      <w:r>
        <w:rPr>
          <w:rFonts w:ascii="宋体" w:hAnsi="宋体" w:eastAsia="宋体" w:cs="宋体"/>
          <w:sz w:val="24"/>
          <w:szCs w:val="24"/>
        </w:rPr>
        <w:t xml:space="preserve"> </w:t>
      </w:r>
      <w:r>
        <w:rPr>
          <w:rFonts w:ascii="宋体" w:hAnsi="宋体" w:eastAsia="宋体" w:cs="宋体"/>
          <w:spacing w:val="-13"/>
          <w:sz w:val="24"/>
          <w:szCs w:val="24"/>
        </w:rPr>
        <w:t>物以硅藻门和绿藻门的种类最多， 蓝藻门、隐藻门、甲藻门、金藻门的种类较少。</w:t>
      </w:r>
    </w:p>
    <w:p>
      <w:pPr>
        <w:spacing w:before="1" w:line="218" w:lineRule="auto"/>
        <w:ind w:left="42"/>
        <w:rPr>
          <w:rFonts w:ascii="宋体" w:hAnsi="宋体" w:eastAsia="宋体" w:cs="宋体"/>
          <w:sz w:val="24"/>
          <w:szCs w:val="24"/>
        </w:rPr>
      </w:pPr>
      <w:r>
        <w:rPr>
          <w:rFonts w:ascii="宋体" w:hAnsi="宋体" w:eastAsia="宋体" w:cs="宋体"/>
          <w:spacing w:val="-6"/>
          <w:sz w:val="24"/>
          <w:szCs w:val="24"/>
        </w:rPr>
        <w:t>从每个采样断面上看， 各个采样点主要以硅藻门和绿藻</w:t>
      </w:r>
      <w:r>
        <w:rPr>
          <w:rFonts w:ascii="宋体" w:hAnsi="宋体" w:eastAsia="宋体" w:cs="宋体"/>
          <w:spacing w:val="-7"/>
          <w:sz w:val="24"/>
          <w:szCs w:val="24"/>
        </w:rPr>
        <w:t>门种类居多。从浮游植物</w:t>
      </w:r>
    </w:p>
    <w:p>
      <w:pPr>
        <w:spacing w:line="218" w:lineRule="auto"/>
        <w:rPr>
          <w:rFonts w:ascii="宋体" w:hAnsi="宋体" w:eastAsia="宋体" w:cs="宋体"/>
          <w:sz w:val="24"/>
          <w:szCs w:val="24"/>
        </w:rPr>
        <w:sectPr>
          <w:footerReference r:id="rId316" w:type="default"/>
          <w:pgSz w:w="11907" w:h="16839"/>
          <w:pgMar w:top="1156" w:right="1768" w:bottom="1374" w:left="1770" w:header="881" w:footer="1210" w:gutter="0"/>
        </w:sectPr>
      </w:pPr>
    </w:p>
    <w:p>
      <w:pPr>
        <w:spacing w:line="350" w:lineRule="auto"/>
        <w:rPr>
          <w:rFonts w:ascii="Arial"/>
          <w:sz w:val="21"/>
        </w:rPr>
      </w:pPr>
    </w:p>
    <w:p>
      <w:pPr>
        <w:spacing w:before="78" w:line="338" w:lineRule="auto"/>
        <w:ind w:left="62" w:right="39"/>
        <w:jc w:val="both"/>
        <w:rPr>
          <w:rFonts w:ascii="宋体" w:hAnsi="宋体" w:eastAsia="宋体" w:cs="宋体"/>
          <w:sz w:val="24"/>
          <w:szCs w:val="24"/>
        </w:rPr>
      </w:pPr>
      <w:r>
        <w:rPr>
          <w:rFonts w:ascii="宋体" w:hAnsi="宋体" w:eastAsia="宋体" w:cs="宋体"/>
          <w:spacing w:val="-13"/>
          <w:sz w:val="24"/>
          <w:szCs w:val="24"/>
        </w:rPr>
        <w:t>数量和生物量可以看出：</w:t>
      </w:r>
      <w:r>
        <w:rPr>
          <w:rFonts w:ascii="宋体" w:hAnsi="宋体" w:eastAsia="宋体" w:cs="宋体"/>
          <w:spacing w:val="49"/>
          <w:sz w:val="24"/>
          <w:szCs w:val="24"/>
        </w:rPr>
        <w:t xml:space="preserve"> </w:t>
      </w:r>
      <w:r>
        <w:rPr>
          <w:rFonts w:ascii="宋体" w:hAnsi="宋体" w:eastAsia="宋体" w:cs="宋体"/>
          <w:spacing w:val="-13"/>
          <w:sz w:val="24"/>
          <w:szCs w:val="24"/>
        </w:rPr>
        <w:t>硅藻和绿藻是浮游植物的主体，</w:t>
      </w:r>
      <w:r>
        <w:rPr>
          <w:rFonts w:ascii="宋体" w:hAnsi="宋体" w:eastAsia="宋体" w:cs="宋体"/>
          <w:spacing w:val="57"/>
          <w:sz w:val="24"/>
          <w:szCs w:val="24"/>
        </w:rPr>
        <w:t xml:space="preserve"> </w:t>
      </w:r>
      <w:r>
        <w:rPr>
          <w:rFonts w:ascii="宋体" w:hAnsi="宋体" w:eastAsia="宋体" w:cs="宋体"/>
          <w:spacing w:val="-13"/>
          <w:sz w:val="24"/>
          <w:szCs w:val="24"/>
        </w:rPr>
        <w:t>隐藻、甲藻、金藻、蓝</w:t>
      </w:r>
      <w:r>
        <w:rPr>
          <w:rFonts w:ascii="宋体" w:hAnsi="宋体" w:eastAsia="宋体" w:cs="宋体"/>
          <w:sz w:val="24"/>
          <w:szCs w:val="24"/>
        </w:rPr>
        <w:t xml:space="preserve"> </w:t>
      </w:r>
      <w:r>
        <w:rPr>
          <w:rFonts w:ascii="宋体" w:hAnsi="宋体" w:eastAsia="宋体" w:cs="宋体"/>
          <w:spacing w:val="-2"/>
          <w:sz w:val="24"/>
          <w:szCs w:val="24"/>
        </w:rPr>
        <w:t>藻较少；断面</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W4</w:t>
      </w:r>
      <w:r>
        <w:rPr>
          <w:rFonts w:ascii="Times New Roman" w:hAnsi="Times New Roman" w:eastAsia="Times New Roman" w:cs="Times New Roman"/>
          <w:spacing w:val="46"/>
          <w:sz w:val="24"/>
          <w:szCs w:val="24"/>
        </w:rPr>
        <w:t xml:space="preserve"> </w:t>
      </w:r>
      <w:r>
        <w:rPr>
          <w:rFonts w:ascii="宋体" w:hAnsi="宋体" w:eastAsia="宋体" w:cs="宋体"/>
          <w:spacing w:val="-2"/>
          <w:sz w:val="24"/>
          <w:szCs w:val="24"/>
        </w:rPr>
        <w:t>的无论在数量上还是生物量上都要断面</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W1</w:t>
      </w:r>
      <w:r>
        <w:rPr>
          <w:rFonts w:ascii="宋体" w:hAnsi="宋体" w:eastAsia="宋体" w:cs="宋体"/>
          <w:spacing w:val="-2"/>
          <w:sz w:val="24"/>
          <w:szCs w:val="24"/>
        </w:rPr>
        <w:t>、断面</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W2</w:t>
      </w:r>
      <w:r>
        <w:rPr>
          <w:rFonts w:ascii="宋体" w:hAnsi="宋体" w:eastAsia="宋体" w:cs="宋体"/>
          <w:spacing w:val="-2"/>
          <w:sz w:val="24"/>
          <w:szCs w:val="24"/>
        </w:rPr>
        <w:t>、断面</w:t>
      </w:r>
    </w:p>
    <w:p>
      <w:pPr>
        <w:spacing w:line="220" w:lineRule="auto"/>
        <w:ind w:left="54"/>
        <w:rPr>
          <w:rFonts w:ascii="宋体" w:hAnsi="宋体" w:eastAsia="宋体" w:cs="宋体"/>
          <w:sz w:val="24"/>
          <w:szCs w:val="24"/>
        </w:rPr>
      </w:pPr>
      <w:r>
        <w:rPr>
          <w:rFonts w:ascii="Times New Roman" w:hAnsi="Times New Roman" w:eastAsia="Times New Roman" w:cs="Times New Roman"/>
          <w:spacing w:val="-3"/>
          <w:sz w:val="24"/>
          <w:szCs w:val="24"/>
        </w:rPr>
        <w:t>W3</w:t>
      </w:r>
      <w:r>
        <w:rPr>
          <w:rFonts w:ascii="宋体" w:hAnsi="宋体" w:eastAsia="宋体" w:cs="宋体"/>
          <w:spacing w:val="-3"/>
          <w:sz w:val="24"/>
          <w:szCs w:val="24"/>
        </w:rPr>
        <w:t>，但总体相差不大。</w:t>
      </w:r>
    </w:p>
    <w:p>
      <w:pPr>
        <w:spacing w:before="156" w:line="338" w:lineRule="auto"/>
        <w:ind w:left="60" w:right="36" w:firstLine="482"/>
        <w:rPr>
          <w:rFonts w:ascii="宋体" w:hAnsi="宋体" w:eastAsia="宋体" w:cs="宋体"/>
          <w:sz w:val="24"/>
          <w:szCs w:val="24"/>
        </w:rPr>
      </w:pPr>
      <w:r>
        <w:rPr>
          <w:rFonts w:ascii="宋体" w:hAnsi="宋体" w:eastAsia="宋体" w:cs="宋体"/>
          <w:spacing w:val="-10"/>
          <w:sz w:val="24"/>
          <w:szCs w:val="24"/>
        </w:rPr>
        <w:t>水体中的浮游植物作为初级生产者， 在水生生态系统中起着重要作用， 可以</w:t>
      </w:r>
      <w:r>
        <w:rPr>
          <w:rFonts w:ascii="宋体" w:hAnsi="宋体" w:eastAsia="宋体" w:cs="宋体"/>
          <w:spacing w:val="3"/>
          <w:sz w:val="24"/>
          <w:szCs w:val="24"/>
        </w:rPr>
        <w:t xml:space="preserve"> </w:t>
      </w:r>
      <w:r>
        <w:rPr>
          <w:rFonts w:ascii="宋体" w:hAnsi="宋体" w:eastAsia="宋体" w:cs="宋体"/>
          <w:spacing w:val="-6"/>
          <w:sz w:val="24"/>
          <w:szCs w:val="24"/>
        </w:rPr>
        <w:t>为浮游动物及鱼类提供饵料来源， 会直接影响食物链下端的物</w:t>
      </w:r>
      <w:r>
        <w:rPr>
          <w:rFonts w:ascii="宋体" w:hAnsi="宋体" w:eastAsia="宋体" w:cs="宋体"/>
          <w:spacing w:val="-7"/>
          <w:sz w:val="24"/>
          <w:szCs w:val="24"/>
        </w:rPr>
        <w:t>种数量和种类。本</w:t>
      </w:r>
      <w:r>
        <w:rPr>
          <w:rFonts w:ascii="宋体" w:hAnsi="宋体" w:eastAsia="宋体" w:cs="宋体"/>
          <w:sz w:val="24"/>
          <w:szCs w:val="24"/>
        </w:rPr>
        <w:t xml:space="preserve"> </w:t>
      </w:r>
      <w:r>
        <w:rPr>
          <w:rFonts w:ascii="宋体" w:hAnsi="宋体" w:eastAsia="宋体" w:cs="宋体"/>
          <w:spacing w:val="-1"/>
          <w:sz w:val="24"/>
          <w:szCs w:val="24"/>
        </w:rPr>
        <w:t>次采集样品中仅发现藻类植物</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41</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种，表明本评价河段内藻类植物种类少。结合</w:t>
      </w:r>
      <w:r>
        <w:rPr>
          <w:rFonts w:ascii="宋体" w:hAnsi="宋体" w:eastAsia="宋体" w:cs="宋体"/>
          <w:sz w:val="24"/>
          <w:szCs w:val="24"/>
        </w:rPr>
        <w:t xml:space="preserve"> </w:t>
      </w:r>
      <w:r>
        <w:rPr>
          <w:rFonts w:ascii="宋体" w:hAnsi="宋体" w:eastAsia="宋体" w:cs="宋体"/>
          <w:spacing w:val="-6"/>
          <w:sz w:val="24"/>
          <w:szCs w:val="24"/>
        </w:rPr>
        <w:t>种类组成、数量和生物量看， 本评价区域四个采样断面的浮游</w:t>
      </w:r>
      <w:r>
        <w:rPr>
          <w:rFonts w:ascii="宋体" w:hAnsi="宋体" w:eastAsia="宋体" w:cs="宋体"/>
          <w:spacing w:val="-7"/>
          <w:sz w:val="24"/>
          <w:szCs w:val="24"/>
        </w:rPr>
        <w:t>植物在种类和数量</w:t>
      </w:r>
    </w:p>
    <w:p>
      <w:pPr>
        <w:spacing w:line="220" w:lineRule="auto"/>
        <w:ind w:left="62"/>
        <w:rPr>
          <w:rFonts w:ascii="宋体" w:hAnsi="宋体" w:eastAsia="宋体" w:cs="宋体"/>
          <w:sz w:val="24"/>
          <w:szCs w:val="24"/>
        </w:rPr>
      </w:pPr>
      <w:r>
        <w:rPr>
          <w:rFonts w:ascii="宋体" w:hAnsi="宋体" w:eastAsia="宋体" w:cs="宋体"/>
          <w:spacing w:val="-1"/>
          <w:sz w:val="24"/>
          <w:szCs w:val="24"/>
        </w:rPr>
        <w:t>上硅藻和绿藻为主，蓝藻、隐藻、甲藻和金藻较少。</w:t>
      </w:r>
    </w:p>
    <w:p>
      <w:pPr>
        <w:spacing w:before="154" w:line="217" w:lineRule="auto"/>
        <w:ind w:left="539"/>
        <w:rPr>
          <w:rFonts w:ascii="宋体" w:hAnsi="宋体" w:eastAsia="宋体" w:cs="宋体"/>
          <w:sz w:val="24"/>
          <w:szCs w:val="24"/>
        </w:rPr>
      </w:pPr>
      <w:r>
        <w:rPr>
          <w:rFonts w:ascii="宋体" w:hAnsi="宋体" w:eastAsia="宋体" w:cs="宋体"/>
          <w:spacing w:val="-1"/>
          <w:sz w:val="24"/>
          <w:szCs w:val="24"/>
        </w:rPr>
        <w:t>③浮游动物现状及评价</w:t>
      </w:r>
    </w:p>
    <w:p>
      <w:pPr>
        <w:spacing w:before="157" w:line="219" w:lineRule="auto"/>
        <w:ind w:left="540"/>
        <w:rPr>
          <w:rFonts w:ascii="宋体" w:hAnsi="宋体" w:eastAsia="宋体" w:cs="宋体"/>
          <w:sz w:val="24"/>
          <w:szCs w:val="24"/>
        </w:rPr>
      </w:pPr>
      <w:r>
        <w:rPr>
          <w:rFonts w:ascii="宋体" w:hAnsi="宋体" w:eastAsia="宋体" w:cs="宋体"/>
          <w:spacing w:val="-2"/>
          <w:sz w:val="24"/>
          <w:szCs w:val="24"/>
        </w:rPr>
        <w:t>通过对四个采样断面浮游动物定性、定量样品的室内鉴定，其现状如下：</w:t>
      </w:r>
    </w:p>
    <w:p>
      <w:pPr>
        <w:spacing w:before="154" w:line="339" w:lineRule="auto"/>
        <w:ind w:left="60" w:right="37" w:firstLine="480"/>
        <w:rPr>
          <w:rFonts w:ascii="宋体" w:hAnsi="宋体" w:eastAsia="宋体" w:cs="宋体"/>
          <w:sz w:val="24"/>
          <w:szCs w:val="24"/>
        </w:rPr>
      </w:pPr>
      <w:r>
        <w:rPr>
          <w:rFonts w:ascii="宋体" w:hAnsi="宋体" w:eastAsia="宋体" w:cs="宋体"/>
          <w:spacing w:val="-5"/>
          <w:sz w:val="24"/>
          <w:szCs w:val="24"/>
        </w:rPr>
        <w:t>此次调查检测出四个采样断面有浮游动物共</w:t>
      </w:r>
      <w:r>
        <w:rPr>
          <w:rFonts w:ascii="宋体" w:hAnsi="宋体" w:eastAsia="宋体" w:cs="宋体"/>
          <w:spacing w:val="-34"/>
          <w:sz w:val="24"/>
          <w:szCs w:val="24"/>
        </w:rPr>
        <w:t xml:space="preserve"> </w:t>
      </w:r>
      <w:r>
        <w:rPr>
          <w:rFonts w:ascii="Times New Roman" w:hAnsi="Times New Roman" w:eastAsia="Times New Roman" w:cs="Times New Roman"/>
          <w:spacing w:val="-5"/>
          <w:sz w:val="24"/>
          <w:szCs w:val="24"/>
        </w:rPr>
        <w:t xml:space="preserve">28 </w:t>
      </w:r>
      <w:r>
        <w:rPr>
          <w:rFonts w:ascii="宋体" w:hAnsi="宋体" w:eastAsia="宋体" w:cs="宋体"/>
          <w:spacing w:val="-5"/>
          <w:sz w:val="24"/>
          <w:szCs w:val="24"/>
        </w:rPr>
        <w:t>种（附录</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5-2</w:t>
      </w:r>
      <w:r>
        <w:rPr>
          <w:rFonts w:ascii="宋体" w:hAnsi="宋体" w:eastAsia="宋体" w:cs="宋体"/>
          <w:spacing w:val="-5"/>
          <w:sz w:val="24"/>
          <w:szCs w:val="24"/>
        </w:rPr>
        <w:t>）。其中原生动</w:t>
      </w:r>
      <w:r>
        <w:rPr>
          <w:rFonts w:ascii="宋体" w:hAnsi="宋体" w:eastAsia="宋体" w:cs="宋体"/>
          <w:sz w:val="24"/>
          <w:szCs w:val="24"/>
        </w:rPr>
        <w:t xml:space="preserve"> </w:t>
      </w:r>
      <w:r>
        <w:rPr>
          <w:rFonts w:ascii="宋体" w:hAnsi="宋体" w:eastAsia="宋体" w:cs="宋体"/>
          <w:spacing w:val="-8"/>
          <w:sz w:val="24"/>
          <w:szCs w:val="24"/>
        </w:rPr>
        <w:t>物门</w:t>
      </w:r>
      <w:r>
        <w:rPr>
          <w:rFonts w:ascii="宋体" w:hAnsi="宋体" w:eastAsia="宋体" w:cs="宋体"/>
          <w:spacing w:val="-33"/>
          <w:sz w:val="24"/>
          <w:szCs w:val="24"/>
        </w:rPr>
        <w:t xml:space="preserve"> </w:t>
      </w:r>
      <w:r>
        <w:rPr>
          <w:rFonts w:ascii="Times New Roman" w:hAnsi="Times New Roman" w:eastAsia="Times New Roman" w:cs="Times New Roman"/>
          <w:spacing w:val="-8"/>
          <w:sz w:val="24"/>
          <w:szCs w:val="24"/>
        </w:rPr>
        <w:t>7</w:t>
      </w:r>
      <w:r>
        <w:rPr>
          <w:rFonts w:ascii="Times New Roman" w:hAnsi="Times New Roman" w:eastAsia="Times New Roman" w:cs="Times New Roman"/>
          <w:spacing w:val="13"/>
          <w:sz w:val="24"/>
          <w:szCs w:val="24"/>
        </w:rPr>
        <w:t xml:space="preserve"> </w:t>
      </w:r>
      <w:r>
        <w:rPr>
          <w:rFonts w:ascii="宋体" w:hAnsi="宋体" w:eastAsia="宋体" w:cs="宋体"/>
          <w:spacing w:val="-8"/>
          <w:sz w:val="24"/>
          <w:szCs w:val="24"/>
        </w:rPr>
        <w:t>种，</w:t>
      </w:r>
      <w:r>
        <w:rPr>
          <w:rFonts w:ascii="宋体" w:hAnsi="宋体" w:eastAsia="宋体" w:cs="宋体"/>
          <w:spacing w:val="-31"/>
          <w:sz w:val="24"/>
          <w:szCs w:val="24"/>
        </w:rPr>
        <w:t xml:space="preserve"> </w:t>
      </w:r>
      <w:r>
        <w:rPr>
          <w:rFonts w:ascii="宋体" w:hAnsi="宋体" w:eastAsia="宋体" w:cs="宋体"/>
          <w:spacing w:val="-8"/>
          <w:sz w:val="24"/>
          <w:szCs w:val="24"/>
        </w:rPr>
        <w:t>轮虫类</w:t>
      </w:r>
      <w:r>
        <w:rPr>
          <w:rFonts w:ascii="宋体" w:hAnsi="宋体" w:eastAsia="宋体" w:cs="宋体"/>
          <w:spacing w:val="-28"/>
          <w:sz w:val="24"/>
          <w:szCs w:val="24"/>
        </w:rPr>
        <w:t xml:space="preserve"> </w:t>
      </w:r>
      <w:r>
        <w:rPr>
          <w:rFonts w:ascii="Times New Roman" w:hAnsi="Times New Roman" w:eastAsia="Times New Roman" w:cs="Times New Roman"/>
          <w:spacing w:val="-8"/>
          <w:sz w:val="24"/>
          <w:szCs w:val="24"/>
        </w:rPr>
        <w:t xml:space="preserve">15 </w:t>
      </w:r>
      <w:r>
        <w:rPr>
          <w:rFonts w:ascii="宋体" w:hAnsi="宋体" w:eastAsia="宋体" w:cs="宋体"/>
          <w:spacing w:val="-8"/>
          <w:sz w:val="24"/>
          <w:szCs w:val="24"/>
        </w:rPr>
        <w:t>种，桡足类</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13"/>
          <w:sz w:val="24"/>
          <w:szCs w:val="24"/>
        </w:rPr>
        <w:t xml:space="preserve"> </w:t>
      </w:r>
      <w:r>
        <w:rPr>
          <w:rFonts w:ascii="宋体" w:hAnsi="宋体" w:eastAsia="宋体" w:cs="宋体"/>
          <w:spacing w:val="-8"/>
          <w:sz w:val="24"/>
          <w:szCs w:val="24"/>
        </w:rPr>
        <w:t>种，枝角类</w:t>
      </w:r>
      <w:r>
        <w:rPr>
          <w:rFonts w:ascii="宋体" w:hAnsi="宋体" w:eastAsia="宋体" w:cs="宋体"/>
          <w:spacing w:val="-47"/>
          <w:sz w:val="24"/>
          <w:szCs w:val="24"/>
        </w:rPr>
        <w:t xml:space="preserve"> </w:t>
      </w:r>
      <w:r>
        <w:rPr>
          <w:rFonts w:ascii="Times New Roman" w:hAnsi="Times New Roman" w:eastAsia="Times New Roman" w:cs="Times New Roman"/>
          <w:spacing w:val="-8"/>
          <w:sz w:val="24"/>
          <w:szCs w:val="24"/>
        </w:rPr>
        <w:t>3</w:t>
      </w:r>
      <w:r>
        <w:rPr>
          <w:rFonts w:ascii="Times New Roman" w:hAnsi="Times New Roman" w:eastAsia="Times New Roman" w:cs="Times New Roman"/>
          <w:spacing w:val="13"/>
          <w:sz w:val="24"/>
          <w:szCs w:val="24"/>
        </w:rPr>
        <w:t xml:space="preserve"> </w:t>
      </w:r>
      <w:r>
        <w:rPr>
          <w:rFonts w:ascii="宋体" w:hAnsi="宋体" w:eastAsia="宋体" w:cs="宋体"/>
          <w:spacing w:val="-8"/>
          <w:sz w:val="24"/>
          <w:szCs w:val="24"/>
        </w:rPr>
        <w:t>种，</w:t>
      </w:r>
      <w:r>
        <w:rPr>
          <w:rFonts w:ascii="宋体" w:hAnsi="宋体" w:eastAsia="宋体" w:cs="宋体"/>
          <w:spacing w:val="-32"/>
          <w:sz w:val="24"/>
          <w:szCs w:val="24"/>
        </w:rPr>
        <w:t xml:space="preserve"> </w:t>
      </w:r>
      <w:r>
        <w:rPr>
          <w:rFonts w:ascii="宋体" w:hAnsi="宋体" w:eastAsia="宋体" w:cs="宋体"/>
          <w:spacing w:val="-8"/>
          <w:sz w:val="24"/>
          <w:szCs w:val="24"/>
        </w:rPr>
        <w:t>表明本评价区域河段内浮</w:t>
      </w:r>
    </w:p>
    <w:p>
      <w:pPr>
        <w:spacing w:before="1" w:line="218" w:lineRule="auto"/>
        <w:ind w:left="60"/>
        <w:rPr>
          <w:rFonts w:ascii="宋体" w:hAnsi="宋体" w:eastAsia="宋体" w:cs="宋体"/>
          <w:sz w:val="24"/>
          <w:szCs w:val="24"/>
        </w:rPr>
      </w:pPr>
      <w:r>
        <w:rPr>
          <w:rFonts w:ascii="宋体" w:hAnsi="宋体" w:eastAsia="宋体" w:cs="宋体"/>
          <w:spacing w:val="-1"/>
          <w:sz w:val="24"/>
          <w:szCs w:val="24"/>
        </w:rPr>
        <w:t>游动物种类比较丰富；其分布及组成见下表。</w:t>
      </w:r>
    </w:p>
    <w:p>
      <w:pPr>
        <w:spacing w:before="150" w:line="339" w:lineRule="auto"/>
        <w:ind w:left="54" w:right="36" w:firstLine="487"/>
        <w:rPr>
          <w:rFonts w:ascii="宋体" w:hAnsi="宋体" w:eastAsia="宋体" w:cs="宋体"/>
          <w:sz w:val="24"/>
          <w:szCs w:val="24"/>
        </w:rPr>
      </w:pPr>
      <w:r>
        <w:rPr>
          <w:rFonts w:ascii="宋体" w:hAnsi="宋体" w:eastAsia="宋体" w:cs="宋体"/>
          <w:spacing w:val="-7"/>
          <w:sz w:val="24"/>
          <w:szCs w:val="24"/>
        </w:rPr>
        <w:t>本次所采集检测到的浮游动物种类组成在四个采样断面有一定的区别： 断面</w:t>
      </w:r>
      <w:r>
        <w:rPr>
          <w:rFonts w:ascii="宋体" w:hAnsi="宋体" w:eastAsia="宋体" w:cs="宋体"/>
          <w:spacing w:val="13"/>
          <w:sz w:val="24"/>
          <w:szCs w:val="24"/>
        </w:rPr>
        <w:t xml:space="preserve"> </w:t>
      </w:r>
      <w:r>
        <w:rPr>
          <w:rFonts w:ascii="Times New Roman" w:hAnsi="Times New Roman" w:eastAsia="Times New Roman" w:cs="Times New Roman"/>
          <w:spacing w:val="-2"/>
          <w:sz w:val="24"/>
          <w:szCs w:val="24"/>
        </w:rPr>
        <w:t xml:space="preserve">W1 </w:t>
      </w:r>
      <w:r>
        <w:rPr>
          <w:rFonts w:ascii="宋体" w:hAnsi="宋体" w:eastAsia="宋体" w:cs="宋体"/>
          <w:spacing w:val="-2"/>
          <w:sz w:val="24"/>
          <w:szCs w:val="24"/>
        </w:rPr>
        <w:t>有</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 xml:space="preserve">15 </w:t>
      </w:r>
      <w:r>
        <w:rPr>
          <w:rFonts w:ascii="宋体" w:hAnsi="宋体" w:eastAsia="宋体" w:cs="宋体"/>
          <w:spacing w:val="-2"/>
          <w:sz w:val="24"/>
          <w:szCs w:val="24"/>
        </w:rPr>
        <w:t>种，其中原生动物</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种，占该断面的</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14.29%</w:t>
      </w:r>
      <w:r>
        <w:rPr>
          <w:rFonts w:ascii="宋体" w:hAnsi="宋体" w:eastAsia="宋体" w:cs="宋体"/>
          <w:spacing w:val="-2"/>
          <w:sz w:val="24"/>
          <w:szCs w:val="24"/>
        </w:rPr>
        <w:t>；轮虫类</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种，占该断面</w:t>
      </w:r>
      <w:r>
        <w:rPr>
          <w:rFonts w:ascii="宋体" w:hAnsi="宋体" w:eastAsia="宋体" w:cs="宋体"/>
          <w:sz w:val="24"/>
          <w:szCs w:val="24"/>
        </w:rPr>
        <w:t xml:space="preserve"> </w:t>
      </w:r>
      <w:r>
        <w:rPr>
          <w:rFonts w:ascii="宋体" w:hAnsi="宋体" w:eastAsia="宋体" w:cs="宋体"/>
          <w:spacing w:val="-11"/>
          <w:sz w:val="24"/>
          <w:szCs w:val="24"/>
        </w:rPr>
        <w:t>的</w:t>
      </w:r>
      <w:r>
        <w:rPr>
          <w:rFonts w:ascii="宋体" w:hAnsi="宋体" w:eastAsia="宋体" w:cs="宋体"/>
          <w:spacing w:val="-38"/>
          <w:sz w:val="24"/>
          <w:szCs w:val="24"/>
        </w:rPr>
        <w:t xml:space="preserve"> </w:t>
      </w:r>
      <w:r>
        <w:rPr>
          <w:rFonts w:ascii="Times New Roman" w:hAnsi="Times New Roman" w:eastAsia="Times New Roman" w:cs="Times New Roman"/>
          <w:spacing w:val="-11"/>
          <w:sz w:val="24"/>
          <w:szCs w:val="24"/>
        </w:rPr>
        <w:t>64.26%</w:t>
      </w:r>
      <w:r>
        <w:rPr>
          <w:rFonts w:ascii="宋体" w:hAnsi="宋体" w:eastAsia="宋体" w:cs="宋体"/>
          <w:spacing w:val="-11"/>
          <w:sz w:val="24"/>
          <w:szCs w:val="24"/>
        </w:rPr>
        <w:t>；枝角类</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种，</w:t>
      </w:r>
      <w:r>
        <w:rPr>
          <w:rFonts w:ascii="宋体" w:hAnsi="宋体" w:eastAsia="宋体" w:cs="宋体"/>
          <w:spacing w:val="-44"/>
          <w:sz w:val="24"/>
          <w:szCs w:val="24"/>
        </w:rPr>
        <w:t xml:space="preserve"> </w:t>
      </w:r>
      <w:r>
        <w:rPr>
          <w:rFonts w:ascii="宋体" w:hAnsi="宋体" w:eastAsia="宋体" w:cs="宋体"/>
          <w:spacing w:val="-11"/>
          <w:sz w:val="24"/>
          <w:szCs w:val="24"/>
        </w:rPr>
        <w:t>占该断面的</w:t>
      </w:r>
      <w:r>
        <w:rPr>
          <w:rFonts w:ascii="宋体" w:hAnsi="宋体" w:eastAsia="宋体" w:cs="宋体"/>
          <w:spacing w:val="-51"/>
          <w:sz w:val="24"/>
          <w:szCs w:val="24"/>
        </w:rPr>
        <w:t xml:space="preserve"> </w:t>
      </w:r>
      <w:r>
        <w:rPr>
          <w:rFonts w:ascii="Times New Roman" w:hAnsi="Times New Roman" w:eastAsia="Times New Roman" w:cs="Times New Roman"/>
          <w:spacing w:val="-11"/>
          <w:sz w:val="24"/>
          <w:szCs w:val="24"/>
        </w:rPr>
        <w:t>7.14%</w:t>
      </w:r>
      <w:r>
        <w:rPr>
          <w:rFonts w:ascii="宋体" w:hAnsi="宋体" w:eastAsia="宋体" w:cs="宋体"/>
          <w:spacing w:val="-11"/>
          <w:sz w:val="24"/>
          <w:szCs w:val="24"/>
        </w:rPr>
        <w:t>；桡足类</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 xml:space="preserve">2 </w:t>
      </w:r>
      <w:r>
        <w:rPr>
          <w:rFonts w:ascii="宋体" w:hAnsi="宋体" w:eastAsia="宋体" w:cs="宋体"/>
          <w:spacing w:val="-11"/>
          <w:sz w:val="24"/>
          <w:szCs w:val="24"/>
        </w:rPr>
        <w:t>种，</w:t>
      </w:r>
      <w:r>
        <w:rPr>
          <w:rFonts w:ascii="宋体" w:hAnsi="宋体" w:eastAsia="宋体" w:cs="宋体"/>
          <w:spacing w:val="-44"/>
          <w:sz w:val="24"/>
          <w:szCs w:val="24"/>
        </w:rPr>
        <w:t xml:space="preserve"> </w:t>
      </w:r>
      <w:r>
        <w:rPr>
          <w:rFonts w:ascii="宋体" w:hAnsi="宋体" w:eastAsia="宋体" w:cs="宋体"/>
          <w:spacing w:val="-11"/>
          <w:sz w:val="24"/>
          <w:szCs w:val="24"/>
        </w:rPr>
        <w:t>占该断面的</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14.29%</w:t>
      </w:r>
      <w:r>
        <w:rPr>
          <w:rFonts w:ascii="Times New Roman" w:hAnsi="Times New Roman" w:eastAsia="Times New Roman" w:cs="Times New Roman"/>
          <w:spacing w:val="-26"/>
          <w:sz w:val="24"/>
          <w:szCs w:val="24"/>
        </w:rPr>
        <w:t xml:space="preserve"> </w:t>
      </w:r>
      <w:r>
        <w:rPr>
          <w:rFonts w:ascii="宋体" w:hAnsi="宋体" w:eastAsia="宋体" w:cs="宋体"/>
          <w:spacing w:val="-11"/>
          <w:sz w:val="24"/>
          <w:szCs w:val="24"/>
        </w:rPr>
        <w:t>。</w:t>
      </w:r>
      <w:r>
        <w:rPr>
          <w:rFonts w:ascii="宋体" w:hAnsi="宋体" w:eastAsia="宋体" w:cs="宋体"/>
          <w:sz w:val="24"/>
          <w:szCs w:val="24"/>
        </w:rPr>
        <w:t xml:space="preserve"> </w:t>
      </w:r>
      <w:r>
        <w:rPr>
          <w:rFonts w:ascii="宋体" w:hAnsi="宋体" w:eastAsia="宋体" w:cs="宋体"/>
          <w:spacing w:val="-6"/>
          <w:sz w:val="24"/>
          <w:szCs w:val="24"/>
        </w:rPr>
        <w:t>断面</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W2</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有</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23</w:t>
      </w:r>
      <w:r>
        <w:rPr>
          <w:rFonts w:ascii="Times New Roman" w:hAnsi="Times New Roman" w:eastAsia="Times New Roman" w:cs="Times New Roman"/>
          <w:spacing w:val="18"/>
          <w:sz w:val="24"/>
          <w:szCs w:val="24"/>
        </w:rPr>
        <w:t xml:space="preserve"> </w:t>
      </w:r>
      <w:r>
        <w:rPr>
          <w:rFonts w:ascii="宋体" w:hAnsi="宋体" w:eastAsia="宋体" w:cs="宋体"/>
          <w:spacing w:val="-6"/>
          <w:sz w:val="24"/>
          <w:szCs w:val="24"/>
        </w:rPr>
        <w:t>种，</w:t>
      </w:r>
      <w:r>
        <w:rPr>
          <w:rFonts w:ascii="宋体" w:hAnsi="宋体" w:eastAsia="宋体" w:cs="宋体"/>
          <w:spacing w:val="-28"/>
          <w:sz w:val="24"/>
          <w:szCs w:val="24"/>
        </w:rPr>
        <w:t xml:space="preserve"> </w:t>
      </w:r>
      <w:r>
        <w:rPr>
          <w:rFonts w:ascii="宋体" w:hAnsi="宋体" w:eastAsia="宋体" w:cs="宋体"/>
          <w:spacing w:val="-6"/>
          <w:sz w:val="24"/>
          <w:szCs w:val="24"/>
        </w:rPr>
        <w:t>其中原生动物</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7</w:t>
      </w:r>
      <w:r>
        <w:rPr>
          <w:rFonts w:ascii="Times New Roman" w:hAnsi="Times New Roman" w:eastAsia="Times New Roman" w:cs="Times New Roman"/>
          <w:spacing w:val="18"/>
          <w:sz w:val="24"/>
          <w:szCs w:val="24"/>
        </w:rPr>
        <w:t xml:space="preserve"> </w:t>
      </w:r>
      <w:r>
        <w:rPr>
          <w:rFonts w:ascii="宋体" w:hAnsi="宋体" w:eastAsia="宋体" w:cs="宋体"/>
          <w:spacing w:val="-6"/>
          <w:sz w:val="24"/>
          <w:szCs w:val="24"/>
        </w:rPr>
        <w:t>种，占该断面的</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30.43%</w:t>
      </w:r>
      <w:r>
        <w:rPr>
          <w:rFonts w:ascii="宋体" w:hAnsi="宋体" w:eastAsia="宋体" w:cs="宋体"/>
          <w:spacing w:val="-6"/>
          <w:sz w:val="24"/>
          <w:szCs w:val="24"/>
        </w:rPr>
        <w:t xml:space="preserve">；轮虫类 </w:t>
      </w:r>
      <w:r>
        <w:rPr>
          <w:rFonts w:ascii="Times New Roman" w:hAnsi="Times New Roman" w:eastAsia="Times New Roman" w:cs="Times New Roman"/>
          <w:spacing w:val="-6"/>
          <w:sz w:val="24"/>
          <w:szCs w:val="24"/>
        </w:rPr>
        <w:t>10</w:t>
      </w:r>
      <w:r>
        <w:rPr>
          <w:rFonts w:ascii="Times New Roman" w:hAnsi="Times New Roman" w:eastAsia="Times New Roman" w:cs="Times New Roman"/>
          <w:spacing w:val="18"/>
          <w:w w:val="101"/>
          <w:sz w:val="24"/>
          <w:szCs w:val="24"/>
        </w:rPr>
        <w:t xml:space="preserve"> </w:t>
      </w:r>
      <w:r>
        <w:rPr>
          <w:rFonts w:ascii="宋体" w:hAnsi="宋体" w:eastAsia="宋体" w:cs="宋体"/>
          <w:spacing w:val="-6"/>
          <w:sz w:val="24"/>
          <w:szCs w:val="24"/>
        </w:rPr>
        <w:t>种，占</w:t>
      </w:r>
      <w:r>
        <w:rPr>
          <w:rFonts w:ascii="宋体" w:hAnsi="宋体" w:eastAsia="宋体" w:cs="宋体"/>
          <w:sz w:val="24"/>
          <w:szCs w:val="24"/>
        </w:rPr>
        <w:t xml:space="preserve"> </w:t>
      </w:r>
      <w:r>
        <w:rPr>
          <w:rFonts w:ascii="宋体" w:hAnsi="宋体" w:eastAsia="宋体" w:cs="宋体"/>
          <w:spacing w:val="-7"/>
          <w:sz w:val="24"/>
          <w:szCs w:val="24"/>
        </w:rPr>
        <w:t>该断面的</w:t>
      </w:r>
      <w:r>
        <w:rPr>
          <w:rFonts w:ascii="宋体" w:hAnsi="宋体" w:eastAsia="宋体" w:cs="宋体"/>
          <w:spacing w:val="-56"/>
          <w:sz w:val="24"/>
          <w:szCs w:val="24"/>
        </w:rPr>
        <w:t xml:space="preserve"> </w:t>
      </w:r>
      <w:r>
        <w:rPr>
          <w:rFonts w:ascii="Times New Roman" w:hAnsi="Times New Roman" w:eastAsia="Times New Roman" w:cs="Times New Roman"/>
          <w:spacing w:val="-7"/>
          <w:sz w:val="24"/>
          <w:szCs w:val="24"/>
        </w:rPr>
        <w:t>43.48%</w:t>
      </w:r>
      <w:r>
        <w:rPr>
          <w:rFonts w:ascii="宋体" w:hAnsi="宋体" w:eastAsia="宋体" w:cs="宋体"/>
          <w:spacing w:val="-7"/>
          <w:sz w:val="24"/>
          <w:szCs w:val="24"/>
        </w:rPr>
        <w:t>；枝角类</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3 </w:t>
      </w:r>
      <w:r>
        <w:rPr>
          <w:rFonts w:ascii="宋体" w:hAnsi="宋体" w:eastAsia="宋体" w:cs="宋体"/>
          <w:spacing w:val="-7"/>
          <w:sz w:val="24"/>
          <w:szCs w:val="24"/>
        </w:rPr>
        <w:t>种， 占该断面的</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13.04%</w:t>
      </w:r>
      <w:r>
        <w:rPr>
          <w:rFonts w:ascii="宋体" w:hAnsi="宋体" w:eastAsia="宋体" w:cs="宋体"/>
          <w:spacing w:val="-7"/>
          <w:sz w:val="24"/>
          <w:szCs w:val="24"/>
        </w:rPr>
        <w:t>；桡足类</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 xml:space="preserve">3 </w:t>
      </w:r>
      <w:r>
        <w:rPr>
          <w:rFonts w:ascii="宋体" w:hAnsi="宋体" w:eastAsia="宋体" w:cs="宋体"/>
          <w:spacing w:val="-7"/>
          <w:sz w:val="24"/>
          <w:szCs w:val="24"/>
        </w:rPr>
        <w:t>种， 占该断</w:t>
      </w:r>
      <w:r>
        <w:rPr>
          <w:rFonts w:ascii="宋体" w:hAnsi="宋体" w:eastAsia="宋体" w:cs="宋体"/>
          <w:spacing w:val="-8"/>
          <w:sz w:val="24"/>
          <w:szCs w:val="24"/>
        </w:rPr>
        <w:t>面的</w:t>
      </w:r>
      <w:r>
        <w:rPr>
          <w:rFonts w:ascii="宋体" w:hAnsi="宋体" w:eastAsia="宋体" w:cs="宋体"/>
          <w:sz w:val="24"/>
          <w:szCs w:val="24"/>
        </w:rPr>
        <w:t xml:space="preserve"> </w:t>
      </w:r>
      <w:r>
        <w:rPr>
          <w:rFonts w:ascii="Times New Roman" w:hAnsi="Times New Roman" w:eastAsia="Times New Roman" w:cs="Times New Roman"/>
          <w:spacing w:val="-8"/>
          <w:sz w:val="24"/>
          <w:szCs w:val="24"/>
        </w:rPr>
        <w:t>13.04%</w:t>
      </w:r>
      <w:r>
        <w:rPr>
          <w:rFonts w:ascii="宋体" w:hAnsi="宋体" w:eastAsia="宋体" w:cs="宋体"/>
          <w:spacing w:val="-8"/>
          <w:sz w:val="24"/>
          <w:szCs w:val="24"/>
        </w:rPr>
        <w:t>。断面</w:t>
      </w:r>
      <w:r>
        <w:rPr>
          <w:rFonts w:ascii="宋体" w:hAnsi="宋体" w:eastAsia="宋体" w:cs="宋体"/>
          <w:spacing w:val="-57"/>
          <w:sz w:val="24"/>
          <w:szCs w:val="24"/>
        </w:rPr>
        <w:t xml:space="preserve"> </w:t>
      </w:r>
      <w:r>
        <w:rPr>
          <w:rFonts w:ascii="Times New Roman" w:hAnsi="Times New Roman" w:eastAsia="Times New Roman" w:cs="Times New Roman"/>
          <w:spacing w:val="-8"/>
          <w:sz w:val="24"/>
          <w:szCs w:val="24"/>
        </w:rPr>
        <w:t xml:space="preserve">W3 </w:t>
      </w:r>
      <w:r>
        <w:rPr>
          <w:rFonts w:ascii="宋体" w:hAnsi="宋体" w:eastAsia="宋体" w:cs="宋体"/>
          <w:spacing w:val="-8"/>
          <w:sz w:val="24"/>
          <w:szCs w:val="24"/>
        </w:rPr>
        <w:t>有</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15 </w:t>
      </w:r>
      <w:r>
        <w:rPr>
          <w:rFonts w:ascii="宋体" w:hAnsi="宋体" w:eastAsia="宋体" w:cs="宋体"/>
          <w:spacing w:val="-8"/>
          <w:sz w:val="24"/>
          <w:szCs w:val="24"/>
        </w:rPr>
        <w:t>种，</w:t>
      </w:r>
      <w:r>
        <w:rPr>
          <w:rFonts w:ascii="宋体" w:hAnsi="宋体" w:eastAsia="宋体" w:cs="宋体"/>
          <w:spacing w:val="-59"/>
          <w:sz w:val="24"/>
          <w:szCs w:val="24"/>
        </w:rPr>
        <w:t xml:space="preserve"> </w:t>
      </w:r>
      <w:r>
        <w:rPr>
          <w:rFonts w:ascii="宋体" w:hAnsi="宋体" w:eastAsia="宋体" w:cs="宋体"/>
          <w:spacing w:val="-8"/>
          <w:sz w:val="24"/>
          <w:szCs w:val="24"/>
        </w:rPr>
        <w:t>其中原生动物</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 xml:space="preserve">3 </w:t>
      </w:r>
      <w:r>
        <w:rPr>
          <w:rFonts w:ascii="宋体" w:hAnsi="宋体" w:eastAsia="宋体" w:cs="宋体"/>
          <w:spacing w:val="-8"/>
          <w:sz w:val="24"/>
          <w:szCs w:val="24"/>
        </w:rPr>
        <w:t>种， 占该断面的</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20.00%</w:t>
      </w:r>
      <w:r>
        <w:rPr>
          <w:rFonts w:ascii="宋体" w:hAnsi="宋体" w:eastAsia="宋体" w:cs="宋体"/>
          <w:spacing w:val="-9"/>
          <w:sz w:val="24"/>
          <w:szCs w:val="24"/>
        </w:rPr>
        <w:t>；轮虫类</w:t>
      </w:r>
      <w:r>
        <w:rPr>
          <w:rFonts w:ascii="宋体" w:hAnsi="宋体" w:eastAsia="宋体" w:cs="宋体"/>
          <w:spacing w:val="-33"/>
          <w:sz w:val="24"/>
          <w:szCs w:val="24"/>
        </w:rPr>
        <w:t xml:space="preserve"> </w:t>
      </w:r>
      <w:r>
        <w:rPr>
          <w:rFonts w:ascii="Times New Roman" w:hAnsi="Times New Roman" w:eastAsia="Times New Roman" w:cs="Times New Roman"/>
          <w:spacing w:val="-9"/>
          <w:sz w:val="24"/>
          <w:szCs w:val="24"/>
        </w:rPr>
        <w:t>10</w:t>
      </w:r>
      <w:r>
        <w:rPr>
          <w:rFonts w:ascii="Times New Roman" w:hAnsi="Times New Roman" w:eastAsia="Times New Roman" w:cs="Times New Roman"/>
          <w:sz w:val="24"/>
          <w:szCs w:val="24"/>
        </w:rPr>
        <w:t xml:space="preserve"> </w:t>
      </w:r>
      <w:r>
        <w:rPr>
          <w:rFonts w:ascii="宋体" w:hAnsi="宋体" w:eastAsia="宋体" w:cs="宋体"/>
          <w:spacing w:val="-4"/>
          <w:sz w:val="24"/>
          <w:szCs w:val="24"/>
        </w:rPr>
        <w:t>种， 占该断面的</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66.67%</w:t>
      </w:r>
      <w:r>
        <w:rPr>
          <w:rFonts w:ascii="宋体" w:hAnsi="宋体" w:eastAsia="宋体" w:cs="宋体"/>
          <w:spacing w:val="-4"/>
          <w:sz w:val="24"/>
          <w:szCs w:val="24"/>
        </w:rPr>
        <w:t>；枝角类</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种，占该断面的</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13.</w:t>
      </w:r>
      <w:r>
        <w:rPr>
          <w:rFonts w:ascii="Times New Roman" w:hAnsi="Times New Roman" w:eastAsia="Times New Roman" w:cs="Times New Roman"/>
          <w:spacing w:val="-5"/>
          <w:sz w:val="24"/>
          <w:szCs w:val="24"/>
        </w:rPr>
        <w:t>33%</w:t>
      </w:r>
      <w:r>
        <w:rPr>
          <w:rFonts w:ascii="宋体" w:hAnsi="宋体" w:eastAsia="宋体" w:cs="宋体"/>
          <w:spacing w:val="-5"/>
          <w:sz w:val="24"/>
          <w:szCs w:val="24"/>
        </w:rPr>
        <w:t>；桡足类未检出。断</w:t>
      </w:r>
      <w:r>
        <w:rPr>
          <w:rFonts w:ascii="宋体" w:hAnsi="宋体" w:eastAsia="宋体" w:cs="宋体"/>
          <w:sz w:val="24"/>
          <w:szCs w:val="24"/>
        </w:rPr>
        <w:t xml:space="preserve"> </w:t>
      </w:r>
      <w:r>
        <w:rPr>
          <w:rFonts w:ascii="宋体" w:hAnsi="宋体" w:eastAsia="宋体" w:cs="宋体"/>
          <w:spacing w:val="-6"/>
          <w:sz w:val="24"/>
          <w:szCs w:val="24"/>
        </w:rPr>
        <w:t>面</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W4</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有</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25</w:t>
      </w:r>
      <w:r>
        <w:rPr>
          <w:rFonts w:ascii="Times New Roman" w:hAnsi="Times New Roman" w:eastAsia="Times New Roman" w:cs="Times New Roman"/>
          <w:spacing w:val="18"/>
          <w:sz w:val="24"/>
          <w:szCs w:val="24"/>
        </w:rPr>
        <w:t xml:space="preserve"> </w:t>
      </w:r>
      <w:r>
        <w:rPr>
          <w:rFonts w:ascii="宋体" w:hAnsi="宋体" w:eastAsia="宋体" w:cs="宋体"/>
          <w:spacing w:val="-6"/>
          <w:sz w:val="24"/>
          <w:szCs w:val="24"/>
        </w:rPr>
        <w:t>种，其中原生动物</w:t>
      </w:r>
      <w:r>
        <w:rPr>
          <w:rFonts w:ascii="宋体" w:hAnsi="宋体" w:eastAsia="宋体" w:cs="宋体"/>
          <w:spacing w:val="-42"/>
          <w:sz w:val="24"/>
          <w:szCs w:val="24"/>
        </w:rPr>
        <w:t xml:space="preserve"> </w:t>
      </w:r>
      <w:r>
        <w:rPr>
          <w:rFonts w:ascii="Times New Roman" w:hAnsi="Times New Roman" w:eastAsia="Times New Roman" w:cs="Times New Roman"/>
          <w:spacing w:val="-6"/>
          <w:sz w:val="24"/>
          <w:szCs w:val="24"/>
        </w:rPr>
        <w:t>7</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种，占该断面的</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28.00%</w:t>
      </w:r>
      <w:r>
        <w:rPr>
          <w:rFonts w:ascii="宋体" w:hAnsi="宋体" w:eastAsia="宋体" w:cs="宋体"/>
          <w:spacing w:val="-6"/>
          <w:sz w:val="24"/>
          <w:szCs w:val="24"/>
        </w:rPr>
        <w:t xml:space="preserve">；轮虫类 </w:t>
      </w:r>
      <w:r>
        <w:rPr>
          <w:rFonts w:ascii="Times New Roman" w:hAnsi="Times New Roman" w:eastAsia="Times New Roman" w:cs="Times New Roman"/>
          <w:spacing w:val="-6"/>
          <w:sz w:val="24"/>
          <w:szCs w:val="24"/>
        </w:rPr>
        <w:t>13</w:t>
      </w:r>
      <w:r>
        <w:rPr>
          <w:rFonts w:ascii="Times New Roman" w:hAnsi="Times New Roman" w:eastAsia="Times New Roman" w:cs="Times New Roman"/>
          <w:spacing w:val="18"/>
          <w:sz w:val="24"/>
          <w:szCs w:val="24"/>
        </w:rPr>
        <w:t xml:space="preserve"> </w:t>
      </w:r>
      <w:r>
        <w:rPr>
          <w:rFonts w:ascii="宋体" w:hAnsi="宋体" w:eastAsia="宋体" w:cs="宋体"/>
          <w:spacing w:val="-6"/>
          <w:sz w:val="24"/>
          <w:szCs w:val="24"/>
        </w:rPr>
        <w:t>种， 占该</w:t>
      </w:r>
    </w:p>
    <w:p>
      <w:pPr>
        <w:spacing w:before="1" w:line="218" w:lineRule="auto"/>
        <w:ind w:left="70"/>
        <w:rPr>
          <w:rFonts w:ascii="Times New Roman" w:hAnsi="Times New Roman" w:eastAsia="Times New Roman" w:cs="Times New Roman"/>
          <w:sz w:val="24"/>
          <w:szCs w:val="24"/>
        </w:rPr>
      </w:pPr>
      <w:r>
        <w:rPr>
          <w:rFonts w:ascii="宋体" w:hAnsi="宋体" w:eastAsia="宋体" w:cs="宋体"/>
          <w:spacing w:val="-12"/>
          <w:sz w:val="24"/>
          <w:szCs w:val="24"/>
        </w:rPr>
        <w:t>断面的</w:t>
      </w:r>
      <w:r>
        <w:rPr>
          <w:rFonts w:ascii="宋体" w:hAnsi="宋体" w:eastAsia="宋体" w:cs="宋体"/>
          <w:spacing w:val="-41"/>
          <w:sz w:val="24"/>
          <w:szCs w:val="24"/>
        </w:rPr>
        <w:t xml:space="preserve"> </w:t>
      </w:r>
      <w:r>
        <w:rPr>
          <w:rFonts w:ascii="Times New Roman" w:hAnsi="Times New Roman" w:eastAsia="Times New Roman" w:cs="Times New Roman"/>
          <w:spacing w:val="-12"/>
          <w:sz w:val="24"/>
          <w:szCs w:val="24"/>
        </w:rPr>
        <w:t>53.57%</w:t>
      </w:r>
      <w:r>
        <w:rPr>
          <w:rFonts w:ascii="宋体" w:hAnsi="宋体" w:eastAsia="宋体" w:cs="宋体"/>
          <w:spacing w:val="-12"/>
          <w:sz w:val="24"/>
          <w:szCs w:val="24"/>
        </w:rPr>
        <w:t>；枝角类</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 xml:space="preserve">3 </w:t>
      </w:r>
      <w:r>
        <w:rPr>
          <w:rFonts w:ascii="宋体" w:hAnsi="宋体" w:eastAsia="宋体" w:cs="宋体"/>
          <w:spacing w:val="-12"/>
          <w:sz w:val="24"/>
          <w:szCs w:val="24"/>
        </w:rPr>
        <w:t>种，占该断面的</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12.00%</w:t>
      </w:r>
      <w:r>
        <w:rPr>
          <w:rFonts w:ascii="宋体" w:hAnsi="宋体" w:eastAsia="宋体" w:cs="宋体"/>
          <w:spacing w:val="-12"/>
          <w:sz w:val="24"/>
          <w:szCs w:val="24"/>
        </w:rPr>
        <w:t>；桡足类</w:t>
      </w:r>
      <w:r>
        <w:rPr>
          <w:rFonts w:ascii="宋体" w:hAnsi="宋体" w:eastAsia="宋体" w:cs="宋体"/>
          <w:spacing w:val="-55"/>
          <w:sz w:val="24"/>
          <w:szCs w:val="24"/>
        </w:rPr>
        <w:t xml:space="preserve"> </w:t>
      </w:r>
      <w:r>
        <w:rPr>
          <w:rFonts w:ascii="Times New Roman" w:hAnsi="Times New Roman" w:eastAsia="Times New Roman" w:cs="Times New Roman"/>
          <w:spacing w:val="-12"/>
          <w:sz w:val="24"/>
          <w:szCs w:val="24"/>
        </w:rPr>
        <w:t xml:space="preserve">2 </w:t>
      </w:r>
      <w:r>
        <w:rPr>
          <w:rFonts w:ascii="宋体" w:hAnsi="宋体" w:eastAsia="宋体" w:cs="宋体"/>
          <w:spacing w:val="-12"/>
          <w:sz w:val="24"/>
          <w:szCs w:val="24"/>
        </w:rPr>
        <w:t>种，占该断面的</w:t>
      </w:r>
      <w:r>
        <w:rPr>
          <w:rFonts w:ascii="宋体" w:hAnsi="宋体" w:eastAsia="宋体" w:cs="宋体"/>
          <w:spacing w:val="-44"/>
          <w:sz w:val="24"/>
          <w:szCs w:val="24"/>
        </w:rPr>
        <w:t xml:space="preserve"> </w:t>
      </w:r>
      <w:r>
        <w:rPr>
          <w:rFonts w:ascii="Times New Roman" w:hAnsi="Times New Roman" w:eastAsia="Times New Roman" w:cs="Times New Roman"/>
          <w:spacing w:val="-12"/>
          <w:sz w:val="24"/>
          <w:szCs w:val="24"/>
        </w:rPr>
        <w:t>8.00%</w:t>
      </w:r>
    </w:p>
    <w:p>
      <w:pPr>
        <w:pStyle w:val="2"/>
        <w:spacing w:before="181" w:line="218" w:lineRule="auto"/>
        <w:ind w:left="2127"/>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3.2-37    </w:t>
      </w:r>
      <w:r>
        <w:rPr>
          <w14:textOutline w14:w="3810" w14:cap="flat" w14:cmpd="sng">
            <w14:solidFill>
              <w14:srgbClr w14:val="000000"/>
            </w14:solidFill>
            <w14:prstDash w14:val="solid"/>
            <w14:miter w14:val="0"/>
          </w14:textOutline>
        </w:rPr>
        <w:t>工程评价区域浮游动物种类</w:t>
      </w:r>
      <w:r>
        <w:rPr>
          <w:spacing w:val="-1"/>
          <w14:textOutline w14:w="3810" w14:cap="flat" w14:cmpd="sng">
            <w14:solidFill>
              <w14:srgbClr w14:val="000000"/>
            </w14:solidFill>
            <w14:prstDash w14:val="solid"/>
            <w14:miter w14:val="0"/>
          </w14:textOutline>
        </w:rPr>
        <w:t>组成及分布</w:t>
      </w:r>
    </w:p>
    <w:p>
      <w:pPr>
        <w:spacing w:line="20" w:lineRule="exact"/>
      </w:pPr>
    </w:p>
    <w:tbl>
      <w:tblPr>
        <w:tblStyle w:val="5"/>
        <w:tblW w:w="839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2"/>
        <w:gridCol w:w="1414"/>
        <w:gridCol w:w="387"/>
        <w:gridCol w:w="1145"/>
        <w:gridCol w:w="276"/>
        <w:gridCol w:w="1138"/>
        <w:gridCol w:w="1429"/>
        <w:gridCol w:w="435"/>
        <w:gridCol w:w="10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1132" w:type="dxa"/>
            <w:tcBorders>
              <w:top w:val="single" w:color="000000" w:sz="12" w:space="0"/>
              <w:left w:val="nil"/>
            </w:tcBorders>
            <w:vAlign w:val="top"/>
          </w:tcPr>
          <w:p>
            <w:pPr>
              <w:spacing w:before="31" w:line="203" w:lineRule="auto"/>
              <w:ind w:left="167"/>
              <w:rPr>
                <w:rFonts w:ascii="仿宋" w:hAnsi="仿宋" w:eastAsia="仿宋" w:cs="仿宋"/>
                <w:sz w:val="21"/>
                <w:szCs w:val="21"/>
              </w:rPr>
            </w:pPr>
            <w:r>
              <w:rPr>
                <w:rFonts w:ascii="仿宋" w:hAnsi="仿宋" w:eastAsia="仿宋" w:cs="仿宋"/>
                <w:spacing w:val="-3"/>
                <w:sz w:val="21"/>
                <w:szCs w:val="21"/>
              </w:rPr>
              <w:t>采样断面</w:t>
            </w:r>
          </w:p>
        </w:tc>
        <w:tc>
          <w:tcPr>
            <w:tcW w:w="1414" w:type="dxa"/>
            <w:tcBorders>
              <w:top w:val="single" w:color="000000" w:sz="12" w:space="0"/>
            </w:tcBorders>
            <w:vAlign w:val="top"/>
          </w:tcPr>
          <w:p>
            <w:pPr>
              <w:spacing w:before="31" w:line="203" w:lineRule="auto"/>
              <w:ind w:left="300"/>
              <w:rPr>
                <w:rFonts w:ascii="仿宋" w:hAnsi="仿宋" w:eastAsia="仿宋" w:cs="仿宋"/>
                <w:sz w:val="21"/>
                <w:szCs w:val="21"/>
              </w:rPr>
            </w:pPr>
            <w:r>
              <w:rPr>
                <w:rFonts w:ascii="仿宋" w:hAnsi="仿宋" w:eastAsia="仿宋" w:cs="仿宋"/>
                <w:spacing w:val="-4"/>
                <w:sz w:val="21"/>
                <w:szCs w:val="21"/>
              </w:rPr>
              <w:t>原生动物</w:t>
            </w:r>
          </w:p>
        </w:tc>
        <w:tc>
          <w:tcPr>
            <w:tcW w:w="1532" w:type="dxa"/>
            <w:gridSpan w:val="2"/>
            <w:tcBorders>
              <w:top w:val="single" w:color="000000" w:sz="12" w:space="0"/>
            </w:tcBorders>
            <w:vAlign w:val="top"/>
          </w:tcPr>
          <w:p>
            <w:pPr>
              <w:spacing w:before="31" w:line="203" w:lineRule="auto"/>
              <w:ind w:left="459"/>
              <w:rPr>
                <w:rFonts w:ascii="仿宋" w:hAnsi="仿宋" w:eastAsia="仿宋" w:cs="仿宋"/>
                <w:sz w:val="21"/>
                <w:szCs w:val="21"/>
              </w:rPr>
            </w:pPr>
            <w:r>
              <w:rPr>
                <w:rFonts w:ascii="仿宋" w:hAnsi="仿宋" w:eastAsia="仿宋" w:cs="仿宋"/>
                <w:spacing w:val="-3"/>
                <w:sz w:val="21"/>
                <w:szCs w:val="21"/>
              </w:rPr>
              <w:t>轮虫类</w:t>
            </w:r>
          </w:p>
        </w:tc>
        <w:tc>
          <w:tcPr>
            <w:tcW w:w="1414" w:type="dxa"/>
            <w:gridSpan w:val="2"/>
            <w:tcBorders>
              <w:top w:val="single" w:color="000000" w:sz="12" w:space="0"/>
            </w:tcBorders>
            <w:vAlign w:val="top"/>
          </w:tcPr>
          <w:p>
            <w:pPr>
              <w:spacing w:before="31" w:line="203" w:lineRule="auto"/>
              <w:ind w:left="403"/>
              <w:rPr>
                <w:rFonts w:ascii="仿宋" w:hAnsi="仿宋" w:eastAsia="仿宋" w:cs="仿宋"/>
                <w:sz w:val="21"/>
                <w:szCs w:val="21"/>
              </w:rPr>
            </w:pPr>
            <w:r>
              <w:rPr>
                <w:rFonts w:ascii="仿宋" w:hAnsi="仿宋" w:eastAsia="仿宋" w:cs="仿宋"/>
                <w:spacing w:val="-4"/>
                <w:sz w:val="21"/>
                <w:szCs w:val="21"/>
              </w:rPr>
              <w:t>枝角类</w:t>
            </w:r>
          </w:p>
        </w:tc>
        <w:tc>
          <w:tcPr>
            <w:tcW w:w="1429" w:type="dxa"/>
            <w:tcBorders>
              <w:top w:val="single" w:color="000000" w:sz="12" w:space="0"/>
            </w:tcBorders>
            <w:vAlign w:val="top"/>
          </w:tcPr>
          <w:p>
            <w:pPr>
              <w:spacing w:before="31" w:line="203" w:lineRule="auto"/>
              <w:ind w:left="410"/>
              <w:rPr>
                <w:rFonts w:ascii="仿宋" w:hAnsi="仿宋" w:eastAsia="仿宋" w:cs="仿宋"/>
                <w:sz w:val="21"/>
                <w:szCs w:val="21"/>
              </w:rPr>
            </w:pPr>
            <w:r>
              <w:rPr>
                <w:rFonts w:ascii="仿宋" w:hAnsi="仿宋" w:eastAsia="仿宋" w:cs="仿宋"/>
                <w:spacing w:val="-4"/>
                <w:sz w:val="21"/>
                <w:szCs w:val="21"/>
              </w:rPr>
              <w:t>桡足类</w:t>
            </w:r>
          </w:p>
        </w:tc>
        <w:tc>
          <w:tcPr>
            <w:tcW w:w="1473" w:type="dxa"/>
            <w:gridSpan w:val="2"/>
            <w:tcBorders>
              <w:top w:val="single" w:color="000000" w:sz="12" w:space="0"/>
              <w:right w:val="nil"/>
            </w:tcBorders>
            <w:vAlign w:val="top"/>
          </w:tcPr>
          <w:p>
            <w:pPr>
              <w:spacing w:before="31" w:line="203" w:lineRule="auto"/>
              <w:ind w:left="544"/>
              <w:rPr>
                <w:rFonts w:ascii="仿宋" w:hAnsi="仿宋" w:eastAsia="仿宋" w:cs="仿宋"/>
                <w:sz w:val="21"/>
                <w:szCs w:val="21"/>
              </w:rPr>
            </w:pPr>
            <w:r>
              <w:rPr>
                <w:rFonts w:ascii="仿宋" w:hAnsi="仿宋" w:eastAsia="仿宋" w:cs="仿宋"/>
                <w:spacing w:val="-5"/>
                <w:sz w:val="21"/>
                <w:szCs w:val="21"/>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1132" w:type="dxa"/>
            <w:tcBorders>
              <w:left w:val="nil"/>
            </w:tcBorders>
            <w:vAlign w:val="top"/>
          </w:tcPr>
          <w:p>
            <w:pPr>
              <w:pStyle w:val="6"/>
              <w:spacing w:before="59" w:line="186" w:lineRule="auto"/>
              <w:ind w:left="422"/>
            </w:pPr>
            <w:r>
              <w:rPr>
                <w:spacing w:val="-1"/>
              </w:rPr>
              <w:t>W1</w:t>
            </w:r>
          </w:p>
        </w:tc>
        <w:tc>
          <w:tcPr>
            <w:tcW w:w="1414" w:type="dxa"/>
            <w:vAlign w:val="top"/>
          </w:tcPr>
          <w:p>
            <w:pPr>
              <w:pStyle w:val="6"/>
              <w:spacing w:before="36" w:line="199" w:lineRule="auto"/>
              <w:ind w:left="121"/>
              <w:rPr>
                <w:rFonts w:ascii="仿宋" w:hAnsi="仿宋" w:eastAsia="仿宋" w:cs="仿宋"/>
              </w:rPr>
            </w:pPr>
            <w:r>
              <w:rPr>
                <w:spacing w:val="-1"/>
              </w:rPr>
              <w:t>2</w:t>
            </w:r>
            <w:r>
              <w:rPr>
                <w:rFonts w:ascii="仿宋" w:hAnsi="仿宋" w:eastAsia="仿宋" w:cs="仿宋"/>
                <w:spacing w:val="-1"/>
              </w:rPr>
              <w:t>（</w:t>
            </w:r>
            <w:r>
              <w:rPr>
                <w:spacing w:val="-1"/>
              </w:rPr>
              <w:t>14.29%</w:t>
            </w:r>
            <w:r>
              <w:rPr>
                <w:rFonts w:ascii="仿宋" w:hAnsi="仿宋" w:eastAsia="仿宋" w:cs="仿宋"/>
                <w:spacing w:val="-1"/>
              </w:rPr>
              <w:t>）</w:t>
            </w:r>
          </w:p>
        </w:tc>
        <w:tc>
          <w:tcPr>
            <w:tcW w:w="1532" w:type="dxa"/>
            <w:gridSpan w:val="2"/>
            <w:vAlign w:val="top"/>
          </w:tcPr>
          <w:p>
            <w:pPr>
              <w:pStyle w:val="6"/>
              <w:spacing w:before="36" w:line="199" w:lineRule="auto"/>
              <w:ind w:left="183"/>
              <w:rPr>
                <w:rFonts w:ascii="仿宋" w:hAnsi="仿宋" w:eastAsia="仿宋" w:cs="仿宋"/>
              </w:rPr>
            </w:pPr>
            <w:r>
              <w:rPr>
                <w:spacing w:val="-1"/>
              </w:rPr>
              <w:t>9</w:t>
            </w:r>
            <w:r>
              <w:rPr>
                <w:rFonts w:ascii="仿宋" w:hAnsi="仿宋" w:eastAsia="仿宋" w:cs="仿宋"/>
                <w:spacing w:val="-1"/>
              </w:rPr>
              <w:t>（</w:t>
            </w:r>
            <w:r>
              <w:rPr>
                <w:spacing w:val="-1"/>
              </w:rPr>
              <w:t>64.26%</w:t>
            </w:r>
            <w:r>
              <w:rPr>
                <w:rFonts w:ascii="仿宋" w:hAnsi="仿宋" w:eastAsia="仿宋" w:cs="仿宋"/>
                <w:spacing w:val="-1"/>
              </w:rPr>
              <w:t>）</w:t>
            </w:r>
          </w:p>
        </w:tc>
        <w:tc>
          <w:tcPr>
            <w:tcW w:w="1414" w:type="dxa"/>
            <w:gridSpan w:val="2"/>
            <w:vAlign w:val="top"/>
          </w:tcPr>
          <w:p>
            <w:pPr>
              <w:pStyle w:val="6"/>
              <w:spacing w:before="36" w:line="199" w:lineRule="auto"/>
              <w:ind w:left="194"/>
              <w:rPr>
                <w:rFonts w:ascii="仿宋" w:hAnsi="仿宋" w:eastAsia="仿宋" w:cs="仿宋"/>
              </w:rPr>
            </w:pPr>
            <w:r>
              <w:rPr>
                <w:spacing w:val="-3"/>
              </w:rPr>
              <w:t>1</w:t>
            </w:r>
            <w:r>
              <w:rPr>
                <w:rFonts w:ascii="仿宋" w:hAnsi="仿宋" w:eastAsia="仿宋" w:cs="仿宋"/>
                <w:spacing w:val="-3"/>
              </w:rPr>
              <w:t>（</w:t>
            </w:r>
            <w:r>
              <w:rPr>
                <w:spacing w:val="-3"/>
              </w:rPr>
              <w:t>7.14%</w:t>
            </w:r>
            <w:r>
              <w:rPr>
                <w:rFonts w:ascii="仿宋" w:hAnsi="仿宋" w:eastAsia="仿宋" w:cs="仿宋"/>
                <w:spacing w:val="-3"/>
              </w:rPr>
              <w:t>）</w:t>
            </w:r>
          </w:p>
        </w:tc>
        <w:tc>
          <w:tcPr>
            <w:tcW w:w="1429" w:type="dxa"/>
            <w:vAlign w:val="top"/>
          </w:tcPr>
          <w:p>
            <w:pPr>
              <w:pStyle w:val="6"/>
              <w:spacing w:before="36" w:line="199" w:lineRule="auto"/>
              <w:ind w:left="129"/>
              <w:rPr>
                <w:rFonts w:ascii="仿宋" w:hAnsi="仿宋" w:eastAsia="仿宋" w:cs="仿宋"/>
              </w:rPr>
            </w:pPr>
            <w:r>
              <w:rPr>
                <w:spacing w:val="-1"/>
              </w:rPr>
              <w:t>2</w:t>
            </w:r>
            <w:r>
              <w:rPr>
                <w:rFonts w:ascii="仿宋" w:hAnsi="仿宋" w:eastAsia="仿宋" w:cs="仿宋"/>
                <w:spacing w:val="-1"/>
              </w:rPr>
              <w:t>（</w:t>
            </w:r>
            <w:r>
              <w:rPr>
                <w:spacing w:val="-1"/>
              </w:rPr>
              <w:t>14.29%</w:t>
            </w:r>
            <w:r>
              <w:rPr>
                <w:rFonts w:ascii="仿宋" w:hAnsi="仿宋" w:eastAsia="仿宋" w:cs="仿宋"/>
                <w:spacing w:val="-1"/>
              </w:rPr>
              <w:t>）</w:t>
            </w:r>
          </w:p>
        </w:tc>
        <w:tc>
          <w:tcPr>
            <w:tcW w:w="435" w:type="dxa"/>
            <w:tcBorders>
              <w:right w:val="nil"/>
            </w:tcBorders>
            <w:vAlign w:val="top"/>
          </w:tcPr>
          <w:p>
            <w:pPr>
              <w:pStyle w:val="6"/>
              <w:spacing w:before="75" w:line="186" w:lineRule="auto"/>
              <w:ind w:left="198"/>
            </w:pPr>
            <w:r>
              <w:rPr>
                <w:spacing w:val="-6"/>
              </w:rPr>
              <w:t>14</w:t>
            </w:r>
          </w:p>
        </w:tc>
        <w:tc>
          <w:tcPr>
            <w:tcW w:w="1038" w:type="dxa"/>
            <w:tcBorders>
              <w:left w:val="nil"/>
              <w:right w:val="nil"/>
            </w:tcBorders>
            <w:vAlign w:val="top"/>
          </w:tcPr>
          <w:p>
            <w:pPr>
              <w:pStyle w:val="6"/>
              <w:spacing w:before="36" w:line="199" w:lineRule="auto"/>
              <w:rPr>
                <w:rFonts w:ascii="仿宋" w:hAnsi="仿宋" w:eastAsia="仿宋" w:cs="仿宋"/>
              </w:rPr>
            </w:pPr>
            <w:r>
              <w:rPr>
                <w:rFonts w:ascii="仿宋" w:hAnsi="仿宋" w:eastAsia="仿宋" w:cs="仿宋"/>
                <w:spacing w:val="-7"/>
              </w:rPr>
              <w:t>（</w:t>
            </w:r>
            <w:r>
              <w:rPr>
                <w:spacing w:val="-7"/>
              </w:rPr>
              <w:t>100%</w:t>
            </w:r>
            <w:r>
              <w:rPr>
                <w:rFonts w:ascii="仿宋" w:hAnsi="仿宋" w:eastAsia="仿宋" w:cs="仿宋"/>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1132" w:type="dxa"/>
            <w:tcBorders>
              <w:left w:val="nil"/>
            </w:tcBorders>
            <w:vAlign w:val="top"/>
          </w:tcPr>
          <w:p>
            <w:pPr>
              <w:pStyle w:val="6"/>
              <w:spacing w:before="63" w:line="186" w:lineRule="auto"/>
              <w:ind w:left="422"/>
            </w:pPr>
            <w:r>
              <w:rPr>
                <w:spacing w:val="-1"/>
              </w:rPr>
              <w:t>W2</w:t>
            </w:r>
          </w:p>
        </w:tc>
        <w:tc>
          <w:tcPr>
            <w:tcW w:w="1414" w:type="dxa"/>
            <w:vAlign w:val="top"/>
          </w:tcPr>
          <w:p>
            <w:pPr>
              <w:pStyle w:val="6"/>
              <w:spacing w:before="41" w:line="194" w:lineRule="auto"/>
              <w:ind w:left="124"/>
              <w:rPr>
                <w:rFonts w:ascii="仿宋" w:hAnsi="仿宋" w:eastAsia="仿宋" w:cs="仿宋"/>
              </w:rPr>
            </w:pPr>
            <w:r>
              <w:rPr>
                <w:spacing w:val="-1"/>
              </w:rPr>
              <w:t>7</w:t>
            </w:r>
            <w:r>
              <w:rPr>
                <w:rFonts w:ascii="仿宋" w:hAnsi="仿宋" w:eastAsia="仿宋" w:cs="仿宋"/>
                <w:spacing w:val="-1"/>
              </w:rPr>
              <w:t>（</w:t>
            </w:r>
            <w:r>
              <w:rPr>
                <w:spacing w:val="-1"/>
              </w:rPr>
              <w:t>30.43%</w:t>
            </w:r>
            <w:r>
              <w:rPr>
                <w:rFonts w:ascii="仿宋" w:hAnsi="仿宋" w:eastAsia="仿宋" w:cs="仿宋"/>
                <w:spacing w:val="-1"/>
              </w:rPr>
              <w:t>）</w:t>
            </w:r>
          </w:p>
        </w:tc>
        <w:tc>
          <w:tcPr>
            <w:tcW w:w="387" w:type="dxa"/>
            <w:tcBorders>
              <w:right w:val="nil"/>
            </w:tcBorders>
            <w:vAlign w:val="top"/>
          </w:tcPr>
          <w:p>
            <w:pPr>
              <w:pStyle w:val="6"/>
              <w:spacing w:before="79" w:line="181" w:lineRule="auto"/>
              <w:ind w:left="148"/>
            </w:pPr>
            <w:r>
              <w:rPr>
                <w:spacing w:val="-6"/>
              </w:rPr>
              <w:t>10</w:t>
            </w:r>
          </w:p>
        </w:tc>
        <w:tc>
          <w:tcPr>
            <w:tcW w:w="1145" w:type="dxa"/>
            <w:tcBorders>
              <w:left w:val="nil"/>
            </w:tcBorders>
            <w:vAlign w:val="top"/>
          </w:tcPr>
          <w:p>
            <w:pPr>
              <w:pStyle w:val="6"/>
              <w:spacing w:before="41" w:line="194" w:lineRule="auto"/>
              <w:rPr>
                <w:rFonts w:ascii="仿宋" w:hAnsi="仿宋" w:eastAsia="仿宋" w:cs="仿宋"/>
              </w:rPr>
            </w:pPr>
            <w:r>
              <w:rPr>
                <w:rFonts w:ascii="仿宋" w:hAnsi="仿宋" w:eastAsia="仿宋" w:cs="仿宋"/>
                <w:spacing w:val="-6"/>
              </w:rPr>
              <w:t>（</w:t>
            </w:r>
            <w:r>
              <w:rPr>
                <w:spacing w:val="-6"/>
              </w:rPr>
              <w:t>43.48%</w:t>
            </w:r>
            <w:r>
              <w:rPr>
                <w:rFonts w:ascii="仿宋" w:hAnsi="仿宋" w:eastAsia="仿宋" w:cs="仿宋"/>
                <w:spacing w:val="-6"/>
              </w:rPr>
              <w:t>）</w:t>
            </w:r>
          </w:p>
        </w:tc>
        <w:tc>
          <w:tcPr>
            <w:tcW w:w="276" w:type="dxa"/>
            <w:tcBorders>
              <w:right w:val="nil"/>
            </w:tcBorders>
            <w:vAlign w:val="top"/>
          </w:tcPr>
          <w:p>
            <w:pPr>
              <w:pStyle w:val="6"/>
              <w:spacing w:before="79" w:line="181" w:lineRule="auto"/>
              <w:ind w:left="126"/>
            </w:pPr>
            <w:r>
              <w:t>3</w:t>
            </w:r>
          </w:p>
        </w:tc>
        <w:tc>
          <w:tcPr>
            <w:tcW w:w="1138" w:type="dxa"/>
            <w:tcBorders>
              <w:left w:val="nil"/>
            </w:tcBorders>
            <w:vAlign w:val="top"/>
          </w:tcPr>
          <w:p>
            <w:pPr>
              <w:pStyle w:val="6"/>
              <w:spacing w:before="41" w:line="194" w:lineRule="auto"/>
              <w:rPr>
                <w:rFonts w:ascii="仿宋" w:hAnsi="仿宋" w:eastAsia="仿宋" w:cs="仿宋"/>
              </w:rPr>
            </w:pPr>
            <w:r>
              <w:rPr>
                <w:rFonts w:ascii="仿宋" w:hAnsi="仿宋" w:eastAsia="仿宋" w:cs="仿宋"/>
                <w:spacing w:val="-6"/>
              </w:rPr>
              <w:t>（</w:t>
            </w:r>
            <w:r>
              <w:rPr>
                <w:spacing w:val="-6"/>
              </w:rPr>
              <w:t>13.04%</w:t>
            </w:r>
            <w:r>
              <w:rPr>
                <w:rFonts w:ascii="仿宋" w:hAnsi="仿宋" w:eastAsia="仿宋" w:cs="仿宋"/>
                <w:spacing w:val="-6"/>
              </w:rPr>
              <w:t>）</w:t>
            </w:r>
          </w:p>
        </w:tc>
        <w:tc>
          <w:tcPr>
            <w:tcW w:w="1429" w:type="dxa"/>
            <w:vAlign w:val="top"/>
          </w:tcPr>
          <w:p>
            <w:pPr>
              <w:pStyle w:val="6"/>
              <w:spacing w:before="41" w:line="194" w:lineRule="auto"/>
              <w:ind w:left="134"/>
              <w:rPr>
                <w:rFonts w:ascii="仿宋" w:hAnsi="仿宋" w:eastAsia="仿宋" w:cs="仿宋"/>
              </w:rPr>
            </w:pPr>
            <w:r>
              <w:rPr>
                <w:spacing w:val="-1"/>
              </w:rPr>
              <w:t>3</w:t>
            </w:r>
            <w:r>
              <w:rPr>
                <w:rFonts w:ascii="仿宋" w:hAnsi="仿宋" w:eastAsia="仿宋" w:cs="仿宋"/>
                <w:spacing w:val="-1"/>
              </w:rPr>
              <w:t>（</w:t>
            </w:r>
            <w:r>
              <w:rPr>
                <w:spacing w:val="-1"/>
              </w:rPr>
              <w:t>13.04%</w:t>
            </w:r>
            <w:r>
              <w:rPr>
                <w:rFonts w:ascii="仿宋" w:hAnsi="仿宋" w:eastAsia="仿宋" w:cs="仿宋"/>
                <w:spacing w:val="-1"/>
              </w:rPr>
              <w:t>）</w:t>
            </w:r>
          </w:p>
        </w:tc>
        <w:tc>
          <w:tcPr>
            <w:tcW w:w="435" w:type="dxa"/>
            <w:tcBorders>
              <w:right w:val="nil"/>
            </w:tcBorders>
            <w:vAlign w:val="top"/>
          </w:tcPr>
          <w:p>
            <w:pPr>
              <w:pStyle w:val="6"/>
              <w:spacing w:before="79" w:line="181" w:lineRule="auto"/>
              <w:ind w:left="178"/>
            </w:pPr>
            <w:r>
              <w:rPr>
                <w:spacing w:val="-1"/>
              </w:rPr>
              <w:t>23</w:t>
            </w:r>
          </w:p>
        </w:tc>
        <w:tc>
          <w:tcPr>
            <w:tcW w:w="1038" w:type="dxa"/>
            <w:tcBorders>
              <w:left w:val="nil"/>
              <w:right w:val="nil"/>
            </w:tcBorders>
            <w:vAlign w:val="top"/>
          </w:tcPr>
          <w:p>
            <w:pPr>
              <w:pStyle w:val="6"/>
              <w:spacing w:before="41" w:line="194" w:lineRule="auto"/>
              <w:rPr>
                <w:rFonts w:ascii="仿宋" w:hAnsi="仿宋" w:eastAsia="仿宋" w:cs="仿宋"/>
              </w:rPr>
            </w:pPr>
            <w:r>
              <w:rPr>
                <w:rFonts w:ascii="仿宋" w:hAnsi="仿宋" w:eastAsia="仿宋" w:cs="仿宋"/>
                <w:spacing w:val="-7"/>
              </w:rPr>
              <w:t>（</w:t>
            </w:r>
            <w:r>
              <w:rPr>
                <w:spacing w:val="-7"/>
              </w:rPr>
              <w:t>100%</w:t>
            </w:r>
            <w:r>
              <w:rPr>
                <w:rFonts w:ascii="仿宋" w:hAnsi="仿宋" w:eastAsia="仿宋" w:cs="仿宋"/>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1132" w:type="dxa"/>
            <w:tcBorders>
              <w:left w:val="nil"/>
            </w:tcBorders>
            <w:vAlign w:val="top"/>
          </w:tcPr>
          <w:p>
            <w:pPr>
              <w:pStyle w:val="6"/>
              <w:spacing w:before="68" w:line="186" w:lineRule="auto"/>
              <w:ind w:left="422"/>
            </w:pPr>
            <w:r>
              <w:rPr>
                <w:spacing w:val="-1"/>
              </w:rPr>
              <w:t>W3</w:t>
            </w:r>
          </w:p>
        </w:tc>
        <w:tc>
          <w:tcPr>
            <w:tcW w:w="1414" w:type="dxa"/>
            <w:vAlign w:val="top"/>
          </w:tcPr>
          <w:p>
            <w:pPr>
              <w:pStyle w:val="6"/>
              <w:spacing w:before="45" w:line="190" w:lineRule="auto"/>
              <w:ind w:left="125"/>
              <w:rPr>
                <w:rFonts w:ascii="仿宋" w:hAnsi="仿宋" w:eastAsia="仿宋" w:cs="仿宋"/>
              </w:rPr>
            </w:pPr>
            <w:r>
              <w:rPr>
                <w:spacing w:val="-1"/>
              </w:rPr>
              <w:t>3</w:t>
            </w:r>
            <w:r>
              <w:rPr>
                <w:rFonts w:ascii="仿宋" w:hAnsi="仿宋" w:eastAsia="仿宋" w:cs="仿宋"/>
                <w:spacing w:val="-1"/>
              </w:rPr>
              <w:t>（</w:t>
            </w:r>
            <w:r>
              <w:rPr>
                <w:spacing w:val="-1"/>
              </w:rPr>
              <w:t>20.00%</w:t>
            </w:r>
            <w:r>
              <w:rPr>
                <w:rFonts w:ascii="仿宋" w:hAnsi="仿宋" w:eastAsia="仿宋" w:cs="仿宋"/>
                <w:spacing w:val="-1"/>
              </w:rPr>
              <w:t>）</w:t>
            </w:r>
          </w:p>
        </w:tc>
        <w:tc>
          <w:tcPr>
            <w:tcW w:w="387" w:type="dxa"/>
            <w:tcBorders>
              <w:right w:val="nil"/>
            </w:tcBorders>
            <w:vAlign w:val="top"/>
          </w:tcPr>
          <w:p>
            <w:pPr>
              <w:pStyle w:val="6"/>
              <w:spacing w:before="84" w:line="176" w:lineRule="auto"/>
              <w:ind w:left="148"/>
            </w:pPr>
            <w:r>
              <w:rPr>
                <w:spacing w:val="-6"/>
              </w:rPr>
              <w:t>10</w:t>
            </w:r>
          </w:p>
        </w:tc>
        <w:tc>
          <w:tcPr>
            <w:tcW w:w="1145" w:type="dxa"/>
            <w:tcBorders>
              <w:left w:val="nil"/>
            </w:tcBorders>
            <w:vAlign w:val="top"/>
          </w:tcPr>
          <w:p>
            <w:pPr>
              <w:pStyle w:val="6"/>
              <w:spacing w:before="45" w:line="190" w:lineRule="auto"/>
              <w:rPr>
                <w:rFonts w:ascii="仿宋" w:hAnsi="仿宋" w:eastAsia="仿宋" w:cs="仿宋"/>
              </w:rPr>
            </w:pPr>
            <w:r>
              <w:rPr>
                <w:rFonts w:ascii="仿宋" w:hAnsi="仿宋" w:eastAsia="仿宋" w:cs="仿宋"/>
                <w:spacing w:val="-6"/>
              </w:rPr>
              <w:t>（</w:t>
            </w:r>
            <w:r>
              <w:rPr>
                <w:spacing w:val="-6"/>
              </w:rPr>
              <w:t>66.67%</w:t>
            </w:r>
            <w:r>
              <w:rPr>
                <w:rFonts w:ascii="仿宋" w:hAnsi="仿宋" w:eastAsia="仿宋" w:cs="仿宋"/>
                <w:spacing w:val="-6"/>
              </w:rPr>
              <w:t>）</w:t>
            </w:r>
          </w:p>
        </w:tc>
        <w:tc>
          <w:tcPr>
            <w:tcW w:w="276" w:type="dxa"/>
            <w:tcBorders>
              <w:right w:val="nil"/>
            </w:tcBorders>
            <w:vAlign w:val="top"/>
          </w:tcPr>
          <w:p>
            <w:pPr>
              <w:pStyle w:val="6"/>
              <w:spacing w:before="84" w:line="176" w:lineRule="auto"/>
              <w:ind w:left="121"/>
            </w:pPr>
            <w:r>
              <w:t>2</w:t>
            </w:r>
          </w:p>
        </w:tc>
        <w:tc>
          <w:tcPr>
            <w:tcW w:w="1138" w:type="dxa"/>
            <w:tcBorders>
              <w:left w:val="nil"/>
            </w:tcBorders>
            <w:vAlign w:val="top"/>
          </w:tcPr>
          <w:p>
            <w:pPr>
              <w:pStyle w:val="6"/>
              <w:spacing w:before="45" w:line="190" w:lineRule="auto"/>
              <w:rPr>
                <w:rFonts w:ascii="仿宋" w:hAnsi="仿宋" w:eastAsia="仿宋" w:cs="仿宋"/>
              </w:rPr>
            </w:pPr>
            <w:r>
              <w:rPr>
                <w:rFonts w:ascii="仿宋" w:hAnsi="仿宋" w:eastAsia="仿宋" w:cs="仿宋"/>
                <w:spacing w:val="-6"/>
              </w:rPr>
              <w:t>（</w:t>
            </w:r>
            <w:r>
              <w:rPr>
                <w:spacing w:val="-6"/>
              </w:rPr>
              <w:t>13.33%</w:t>
            </w:r>
            <w:r>
              <w:rPr>
                <w:rFonts w:ascii="仿宋" w:hAnsi="仿宋" w:eastAsia="仿宋" w:cs="仿宋"/>
                <w:spacing w:val="-6"/>
              </w:rPr>
              <w:t>）</w:t>
            </w:r>
          </w:p>
        </w:tc>
        <w:tc>
          <w:tcPr>
            <w:tcW w:w="1429" w:type="dxa"/>
            <w:vAlign w:val="top"/>
          </w:tcPr>
          <w:p>
            <w:pPr>
              <w:pStyle w:val="6"/>
              <w:spacing w:before="155" w:line="101" w:lineRule="exact"/>
              <w:ind w:left="684"/>
            </w:pPr>
            <w:r>
              <w:rPr>
                <w:position w:val="-2"/>
              </w:rPr>
              <w:t>-</w:t>
            </w:r>
          </w:p>
        </w:tc>
        <w:tc>
          <w:tcPr>
            <w:tcW w:w="435" w:type="dxa"/>
            <w:tcBorders>
              <w:right w:val="nil"/>
            </w:tcBorders>
            <w:vAlign w:val="top"/>
          </w:tcPr>
          <w:p>
            <w:pPr>
              <w:pStyle w:val="6"/>
              <w:spacing w:before="84" w:line="176" w:lineRule="auto"/>
              <w:ind w:left="198"/>
            </w:pPr>
            <w:r>
              <w:rPr>
                <w:spacing w:val="-6"/>
              </w:rPr>
              <w:t>15</w:t>
            </w:r>
          </w:p>
        </w:tc>
        <w:tc>
          <w:tcPr>
            <w:tcW w:w="1038" w:type="dxa"/>
            <w:tcBorders>
              <w:left w:val="nil"/>
              <w:right w:val="nil"/>
            </w:tcBorders>
            <w:vAlign w:val="top"/>
          </w:tcPr>
          <w:p>
            <w:pPr>
              <w:pStyle w:val="6"/>
              <w:spacing w:before="45" w:line="190" w:lineRule="auto"/>
              <w:rPr>
                <w:rFonts w:ascii="仿宋" w:hAnsi="仿宋" w:eastAsia="仿宋" w:cs="仿宋"/>
              </w:rPr>
            </w:pPr>
            <w:r>
              <w:rPr>
                <w:rFonts w:ascii="仿宋" w:hAnsi="仿宋" w:eastAsia="仿宋" w:cs="仿宋"/>
                <w:spacing w:val="-7"/>
              </w:rPr>
              <w:t>（</w:t>
            </w:r>
            <w:r>
              <w:rPr>
                <w:spacing w:val="-7"/>
              </w:rPr>
              <w:t>100%</w:t>
            </w:r>
            <w:r>
              <w:rPr>
                <w:rFonts w:ascii="仿宋" w:hAnsi="仿宋" w:eastAsia="仿宋" w:cs="仿宋"/>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1132" w:type="dxa"/>
            <w:tcBorders>
              <w:left w:val="nil"/>
            </w:tcBorders>
            <w:vAlign w:val="top"/>
          </w:tcPr>
          <w:p>
            <w:pPr>
              <w:pStyle w:val="6"/>
              <w:spacing w:before="73" w:line="186" w:lineRule="auto"/>
              <w:ind w:left="422"/>
            </w:pPr>
            <w:r>
              <w:rPr>
                <w:spacing w:val="-1"/>
              </w:rPr>
              <w:t>W4</w:t>
            </w:r>
          </w:p>
        </w:tc>
        <w:tc>
          <w:tcPr>
            <w:tcW w:w="1414" w:type="dxa"/>
            <w:vAlign w:val="top"/>
          </w:tcPr>
          <w:p>
            <w:pPr>
              <w:pStyle w:val="6"/>
              <w:spacing w:before="51" w:line="185" w:lineRule="auto"/>
              <w:ind w:left="124"/>
              <w:rPr>
                <w:rFonts w:ascii="仿宋" w:hAnsi="仿宋" w:eastAsia="仿宋" w:cs="仿宋"/>
              </w:rPr>
            </w:pPr>
            <w:r>
              <w:rPr>
                <w:spacing w:val="-1"/>
              </w:rPr>
              <w:t>7</w:t>
            </w:r>
            <w:r>
              <w:rPr>
                <w:rFonts w:ascii="仿宋" w:hAnsi="仿宋" w:eastAsia="仿宋" w:cs="仿宋"/>
                <w:spacing w:val="-1"/>
              </w:rPr>
              <w:t>（</w:t>
            </w:r>
            <w:r>
              <w:rPr>
                <w:spacing w:val="-1"/>
              </w:rPr>
              <w:t>28.00%</w:t>
            </w:r>
            <w:r>
              <w:rPr>
                <w:rFonts w:ascii="仿宋" w:hAnsi="仿宋" w:eastAsia="仿宋" w:cs="仿宋"/>
                <w:spacing w:val="-1"/>
              </w:rPr>
              <w:t>）</w:t>
            </w:r>
          </w:p>
        </w:tc>
        <w:tc>
          <w:tcPr>
            <w:tcW w:w="387" w:type="dxa"/>
            <w:tcBorders>
              <w:right w:val="nil"/>
            </w:tcBorders>
            <w:vAlign w:val="top"/>
          </w:tcPr>
          <w:p>
            <w:pPr>
              <w:pStyle w:val="6"/>
              <w:spacing w:before="88" w:line="172" w:lineRule="auto"/>
              <w:ind w:left="148"/>
            </w:pPr>
            <w:r>
              <w:rPr>
                <w:spacing w:val="-6"/>
              </w:rPr>
              <w:t>13</w:t>
            </w:r>
          </w:p>
        </w:tc>
        <w:tc>
          <w:tcPr>
            <w:tcW w:w="1145" w:type="dxa"/>
            <w:tcBorders>
              <w:left w:val="nil"/>
            </w:tcBorders>
            <w:vAlign w:val="top"/>
          </w:tcPr>
          <w:p>
            <w:pPr>
              <w:pStyle w:val="6"/>
              <w:spacing w:before="51" w:line="185" w:lineRule="auto"/>
              <w:rPr>
                <w:rFonts w:ascii="仿宋" w:hAnsi="仿宋" w:eastAsia="仿宋" w:cs="仿宋"/>
              </w:rPr>
            </w:pPr>
            <w:r>
              <w:rPr>
                <w:rFonts w:ascii="仿宋" w:hAnsi="仿宋" w:eastAsia="仿宋" w:cs="仿宋"/>
                <w:spacing w:val="-6"/>
              </w:rPr>
              <w:t>（</w:t>
            </w:r>
            <w:r>
              <w:rPr>
                <w:spacing w:val="-6"/>
              </w:rPr>
              <w:t>52.00%</w:t>
            </w:r>
            <w:r>
              <w:rPr>
                <w:rFonts w:ascii="仿宋" w:hAnsi="仿宋" w:eastAsia="仿宋" w:cs="仿宋"/>
                <w:spacing w:val="-6"/>
              </w:rPr>
              <w:t>）</w:t>
            </w:r>
          </w:p>
        </w:tc>
        <w:tc>
          <w:tcPr>
            <w:tcW w:w="276" w:type="dxa"/>
            <w:tcBorders>
              <w:right w:val="nil"/>
            </w:tcBorders>
            <w:vAlign w:val="top"/>
          </w:tcPr>
          <w:p>
            <w:pPr>
              <w:pStyle w:val="6"/>
              <w:spacing w:before="88" w:line="172" w:lineRule="auto"/>
              <w:ind w:left="126"/>
            </w:pPr>
            <w:r>
              <w:t>3</w:t>
            </w:r>
          </w:p>
        </w:tc>
        <w:tc>
          <w:tcPr>
            <w:tcW w:w="1138" w:type="dxa"/>
            <w:tcBorders>
              <w:left w:val="nil"/>
            </w:tcBorders>
            <w:vAlign w:val="top"/>
          </w:tcPr>
          <w:p>
            <w:pPr>
              <w:pStyle w:val="6"/>
              <w:spacing w:before="51" w:line="185" w:lineRule="auto"/>
              <w:rPr>
                <w:rFonts w:ascii="仿宋" w:hAnsi="仿宋" w:eastAsia="仿宋" w:cs="仿宋"/>
              </w:rPr>
            </w:pPr>
            <w:r>
              <w:rPr>
                <w:rFonts w:ascii="仿宋" w:hAnsi="仿宋" w:eastAsia="仿宋" w:cs="仿宋"/>
                <w:spacing w:val="-6"/>
              </w:rPr>
              <w:t>（</w:t>
            </w:r>
            <w:r>
              <w:rPr>
                <w:spacing w:val="-6"/>
              </w:rPr>
              <w:t>12.00%</w:t>
            </w:r>
            <w:r>
              <w:rPr>
                <w:rFonts w:ascii="仿宋" w:hAnsi="仿宋" w:eastAsia="仿宋" w:cs="仿宋"/>
                <w:spacing w:val="-6"/>
              </w:rPr>
              <w:t>）</w:t>
            </w:r>
          </w:p>
        </w:tc>
        <w:tc>
          <w:tcPr>
            <w:tcW w:w="1429" w:type="dxa"/>
            <w:vAlign w:val="top"/>
          </w:tcPr>
          <w:p>
            <w:pPr>
              <w:pStyle w:val="6"/>
              <w:spacing w:before="51" w:line="185" w:lineRule="auto"/>
              <w:ind w:left="182"/>
              <w:rPr>
                <w:rFonts w:ascii="仿宋" w:hAnsi="仿宋" w:eastAsia="仿宋" w:cs="仿宋"/>
              </w:rPr>
            </w:pPr>
            <w:r>
              <w:rPr>
                <w:spacing w:val="-1"/>
              </w:rPr>
              <w:t>2</w:t>
            </w:r>
            <w:r>
              <w:rPr>
                <w:rFonts w:ascii="仿宋" w:hAnsi="仿宋" w:eastAsia="仿宋" w:cs="仿宋"/>
                <w:spacing w:val="-1"/>
              </w:rPr>
              <w:t>（</w:t>
            </w:r>
            <w:r>
              <w:rPr>
                <w:spacing w:val="-1"/>
              </w:rPr>
              <w:t>8.00%</w:t>
            </w:r>
            <w:r>
              <w:rPr>
                <w:rFonts w:ascii="仿宋" w:hAnsi="仿宋" w:eastAsia="仿宋" w:cs="仿宋"/>
                <w:spacing w:val="-1"/>
              </w:rPr>
              <w:t>）</w:t>
            </w:r>
          </w:p>
        </w:tc>
        <w:tc>
          <w:tcPr>
            <w:tcW w:w="435" w:type="dxa"/>
            <w:tcBorders>
              <w:right w:val="nil"/>
            </w:tcBorders>
            <w:vAlign w:val="top"/>
          </w:tcPr>
          <w:p>
            <w:pPr>
              <w:pStyle w:val="6"/>
              <w:spacing w:before="88" w:line="172" w:lineRule="auto"/>
              <w:ind w:left="178"/>
            </w:pPr>
            <w:r>
              <w:rPr>
                <w:spacing w:val="-1"/>
              </w:rPr>
              <w:t>25</w:t>
            </w:r>
          </w:p>
        </w:tc>
        <w:tc>
          <w:tcPr>
            <w:tcW w:w="1038" w:type="dxa"/>
            <w:tcBorders>
              <w:left w:val="nil"/>
              <w:right w:val="nil"/>
            </w:tcBorders>
            <w:vAlign w:val="top"/>
          </w:tcPr>
          <w:p>
            <w:pPr>
              <w:pStyle w:val="6"/>
              <w:spacing w:before="51" w:line="185" w:lineRule="auto"/>
              <w:rPr>
                <w:rFonts w:ascii="仿宋" w:hAnsi="仿宋" w:eastAsia="仿宋" w:cs="仿宋"/>
              </w:rPr>
            </w:pPr>
            <w:r>
              <w:rPr>
                <w:rFonts w:ascii="仿宋" w:hAnsi="仿宋" w:eastAsia="仿宋" w:cs="仿宋"/>
                <w:spacing w:val="-7"/>
              </w:rPr>
              <w:t>（</w:t>
            </w:r>
            <w:r>
              <w:rPr>
                <w:spacing w:val="-7"/>
              </w:rPr>
              <w:t>100%</w:t>
            </w:r>
            <w:r>
              <w:rPr>
                <w:rFonts w:ascii="仿宋" w:hAnsi="仿宋" w:eastAsia="仿宋" w:cs="仿宋"/>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8" w:hRule="atLeast"/>
        </w:trPr>
        <w:tc>
          <w:tcPr>
            <w:tcW w:w="1132" w:type="dxa"/>
            <w:tcBorders>
              <w:left w:val="nil"/>
              <w:bottom w:val="single" w:color="000000" w:sz="12" w:space="0"/>
            </w:tcBorders>
            <w:vAlign w:val="top"/>
          </w:tcPr>
          <w:p>
            <w:pPr>
              <w:spacing w:before="57" w:line="203" w:lineRule="auto"/>
              <w:ind w:left="385"/>
              <w:rPr>
                <w:rFonts w:ascii="仿宋" w:hAnsi="仿宋" w:eastAsia="仿宋" w:cs="仿宋"/>
                <w:sz w:val="21"/>
                <w:szCs w:val="21"/>
              </w:rPr>
            </w:pPr>
            <w:r>
              <w:rPr>
                <w:rFonts w:ascii="仿宋" w:hAnsi="仿宋" w:eastAsia="仿宋" w:cs="仿宋"/>
                <w:spacing w:val="-6"/>
                <w:sz w:val="21"/>
                <w:szCs w:val="21"/>
              </w:rPr>
              <w:t>总计</w:t>
            </w:r>
          </w:p>
        </w:tc>
        <w:tc>
          <w:tcPr>
            <w:tcW w:w="1414" w:type="dxa"/>
            <w:tcBorders>
              <w:bottom w:val="single" w:color="000000" w:sz="12" w:space="0"/>
            </w:tcBorders>
            <w:vAlign w:val="top"/>
          </w:tcPr>
          <w:p>
            <w:pPr>
              <w:pStyle w:val="6"/>
              <w:spacing w:before="57" w:line="203" w:lineRule="auto"/>
              <w:ind w:left="124"/>
              <w:rPr>
                <w:rFonts w:ascii="仿宋" w:hAnsi="仿宋" w:eastAsia="仿宋" w:cs="仿宋"/>
              </w:rPr>
            </w:pPr>
            <w:r>
              <w:rPr>
                <w:spacing w:val="-1"/>
              </w:rPr>
              <w:t>7</w:t>
            </w:r>
            <w:r>
              <w:rPr>
                <w:rFonts w:ascii="仿宋" w:hAnsi="仿宋" w:eastAsia="仿宋" w:cs="仿宋"/>
                <w:spacing w:val="-1"/>
              </w:rPr>
              <w:t>（</w:t>
            </w:r>
            <w:r>
              <w:rPr>
                <w:spacing w:val="-1"/>
              </w:rPr>
              <w:t>25.00%</w:t>
            </w:r>
            <w:r>
              <w:rPr>
                <w:rFonts w:ascii="仿宋" w:hAnsi="仿宋" w:eastAsia="仿宋" w:cs="仿宋"/>
                <w:spacing w:val="-1"/>
              </w:rPr>
              <w:t>）</w:t>
            </w:r>
          </w:p>
        </w:tc>
        <w:tc>
          <w:tcPr>
            <w:tcW w:w="387" w:type="dxa"/>
            <w:tcBorders>
              <w:bottom w:val="single" w:color="000000" w:sz="12" w:space="0"/>
              <w:right w:val="nil"/>
            </w:tcBorders>
            <w:vAlign w:val="top"/>
          </w:tcPr>
          <w:p>
            <w:pPr>
              <w:pStyle w:val="6"/>
              <w:spacing w:before="95" w:line="186" w:lineRule="auto"/>
              <w:ind w:left="148"/>
            </w:pPr>
            <w:r>
              <w:rPr>
                <w:spacing w:val="-6"/>
              </w:rPr>
              <w:t>15</w:t>
            </w:r>
          </w:p>
        </w:tc>
        <w:tc>
          <w:tcPr>
            <w:tcW w:w="1145" w:type="dxa"/>
            <w:tcBorders>
              <w:left w:val="nil"/>
              <w:bottom w:val="single" w:color="000000" w:sz="12" w:space="0"/>
            </w:tcBorders>
            <w:vAlign w:val="top"/>
          </w:tcPr>
          <w:p>
            <w:pPr>
              <w:pStyle w:val="6"/>
              <w:spacing w:before="57" w:line="203" w:lineRule="auto"/>
              <w:rPr>
                <w:rFonts w:ascii="仿宋" w:hAnsi="仿宋" w:eastAsia="仿宋" w:cs="仿宋"/>
              </w:rPr>
            </w:pPr>
            <w:r>
              <w:rPr>
                <w:rFonts w:ascii="仿宋" w:hAnsi="仿宋" w:eastAsia="仿宋" w:cs="仿宋"/>
                <w:spacing w:val="-6"/>
              </w:rPr>
              <w:t>（</w:t>
            </w:r>
            <w:r>
              <w:rPr>
                <w:spacing w:val="-6"/>
              </w:rPr>
              <w:t>53.57%</w:t>
            </w:r>
            <w:r>
              <w:rPr>
                <w:rFonts w:ascii="仿宋" w:hAnsi="仿宋" w:eastAsia="仿宋" w:cs="仿宋"/>
                <w:spacing w:val="-6"/>
              </w:rPr>
              <w:t>）</w:t>
            </w:r>
          </w:p>
        </w:tc>
        <w:tc>
          <w:tcPr>
            <w:tcW w:w="276" w:type="dxa"/>
            <w:tcBorders>
              <w:bottom w:val="single" w:color="000000" w:sz="12" w:space="0"/>
              <w:right w:val="nil"/>
            </w:tcBorders>
            <w:vAlign w:val="top"/>
          </w:tcPr>
          <w:p>
            <w:pPr>
              <w:pStyle w:val="6"/>
              <w:spacing w:before="95" w:line="186" w:lineRule="auto"/>
              <w:ind w:left="126"/>
            </w:pPr>
            <w:r>
              <w:t>3</w:t>
            </w:r>
          </w:p>
        </w:tc>
        <w:tc>
          <w:tcPr>
            <w:tcW w:w="1138" w:type="dxa"/>
            <w:tcBorders>
              <w:left w:val="nil"/>
              <w:bottom w:val="single" w:color="000000" w:sz="12" w:space="0"/>
            </w:tcBorders>
            <w:vAlign w:val="top"/>
          </w:tcPr>
          <w:p>
            <w:pPr>
              <w:pStyle w:val="6"/>
              <w:spacing w:before="57" w:line="203" w:lineRule="auto"/>
              <w:rPr>
                <w:rFonts w:ascii="仿宋" w:hAnsi="仿宋" w:eastAsia="仿宋" w:cs="仿宋"/>
              </w:rPr>
            </w:pPr>
            <w:r>
              <w:rPr>
                <w:rFonts w:ascii="仿宋" w:hAnsi="仿宋" w:eastAsia="仿宋" w:cs="仿宋"/>
                <w:spacing w:val="-6"/>
              </w:rPr>
              <w:t>（</w:t>
            </w:r>
            <w:r>
              <w:rPr>
                <w:spacing w:val="-6"/>
              </w:rPr>
              <w:t>10.71%</w:t>
            </w:r>
            <w:r>
              <w:rPr>
                <w:rFonts w:ascii="仿宋" w:hAnsi="仿宋" w:eastAsia="仿宋" w:cs="仿宋"/>
                <w:spacing w:val="-6"/>
              </w:rPr>
              <w:t>）</w:t>
            </w:r>
          </w:p>
        </w:tc>
        <w:tc>
          <w:tcPr>
            <w:tcW w:w="1429" w:type="dxa"/>
            <w:tcBorders>
              <w:bottom w:val="single" w:color="000000" w:sz="12" w:space="0"/>
            </w:tcBorders>
            <w:vAlign w:val="top"/>
          </w:tcPr>
          <w:p>
            <w:pPr>
              <w:pStyle w:val="6"/>
              <w:spacing w:before="57" w:line="203" w:lineRule="auto"/>
              <w:ind w:left="134"/>
              <w:rPr>
                <w:rFonts w:ascii="仿宋" w:hAnsi="仿宋" w:eastAsia="仿宋" w:cs="仿宋"/>
              </w:rPr>
            </w:pPr>
            <w:r>
              <w:rPr>
                <w:spacing w:val="-1"/>
              </w:rPr>
              <w:t>3</w:t>
            </w:r>
            <w:r>
              <w:rPr>
                <w:rFonts w:ascii="仿宋" w:hAnsi="仿宋" w:eastAsia="仿宋" w:cs="仿宋"/>
                <w:spacing w:val="-1"/>
              </w:rPr>
              <w:t>（</w:t>
            </w:r>
            <w:r>
              <w:rPr>
                <w:spacing w:val="-1"/>
              </w:rPr>
              <w:t>10.71%</w:t>
            </w:r>
            <w:r>
              <w:rPr>
                <w:rFonts w:ascii="仿宋" w:hAnsi="仿宋" w:eastAsia="仿宋" w:cs="仿宋"/>
                <w:spacing w:val="-1"/>
              </w:rPr>
              <w:t>）</w:t>
            </w:r>
          </w:p>
        </w:tc>
        <w:tc>
          <w:tcPr>
            <w:tcW w:w="435" w:type="dxa"/>
            <w:tcBorders>
              <w:bottom w:val="single" w:color="000000" w:sz="12" w:space="0"/>
              <w:right w:val="nil"/>
            </w:tcBorders>
            <w:vAlign w:val="top"/>
          </w:tcPr>
          <w:p>
            <w:pPr>
              <w:pStyle w:val="6"/>
              <w:spacing w:before="95" w:line="186" w:lineRule="auto"/>
              <w:ind w:left="178"/>
            </w:pPr>
            <w:r>
              <w:rPr>
                <w:spacing w:val="-1"/>
              </w:rPr>
              <w:t>28</w:t>
            </w:r>
          </w:p>
        </w:tc>
        <w:tc>
          <w:tcPr>
            <w:tcW w:w="1038" w:type="dxa"/>
            <w:tcBorders>
              <w:left w:val="nil"/>
              <w:bottom w:val="single" w:color="000000" w:sz="12" w:space="0"/>
              <w:right w:val="nil"/>
            </w:tcBorders>
            <w:vAlign w:val="top"/>
          </w:tcPr>
          <w:p>
            <w:pPr>
              <w:pStyle w:val="6"/>
              <w:spacing w:before="57" w:line="203" w:lineRule="auto"/>
              <w:rPr>
                <w:rFonts w:ascii="仿宋" w:hAnsi="仿宋" w:eastAsia="仿宋" w:cs="仿宋"/>
              </w:rPr>
            </w:pPr>
            <w:r>
              <w:rPr>
                <w:rFonts w:ascii="仿宋" w:hAnsi="仿宋" w:eastAsia="仿宋" w:cs="仿宋"/>
                <w:spacing w:val="-7"/>
              </w:rPr>
              <w:t>（</w:t>
            </w:r>
            <w:r>
              <w:rPr>
                <w:spacing w:val="-7"/>
              </w:rPr>
              <w:t>100%</w:t>
            </w:r>
            <w:r>
              <w:rPr>
                <w:rFonts w:ascii="仿宋" w:hAnsi="仿宋" w:eastAsia="仿宋" w:cs="仿宋"/>
                <w:spacing w:val="-7"/>
              </w:rPr>
              <w:t>）</w:t>
            </w:r>
          </w:p>
        </w:tc>
      </w:tr>
    </w:tbl>
    <w:p>
      <w:pPr>
        <w:spacing w:before="172" w:line="233" w:lineRule="auto"/>
        <w:ind w:left="482"/>
        <w:rPr>
          <w:rFonts w:ascii="宋体" w:hAnsi="宋体" w:eastAsia="宋体" w:cs="宋体"/>
          <w:sz w:val="21"/>
          <w:szCs w:val="21"/>
        </w:rPr>
      </w:pPr>
      <w:r>
        <w:rPr>
          <w:rFonts w:ascii="宋体" w:hAnsi="宋体" w:eastAsia="宋体" w:cs="宋体"/>
          <w:spacing w:val="-13"/>
          <w:sz w:val="21"/>
          <w:szCs w:val="21"/>
          <w14:textOutline w14:w="3810" w14:cap="flat" w14:cmpd="sng">
            <w14:solidFill>
              <w14:srgbClr w14:val="000000"/>
            </w14:solidFill>
            <w14:prstDash w14:val="solid"/>
            <w14:miter w14:val="0"/>
          </w14:textOutline>
        </w:rPr>
        <w:t>注：“</w:t>
      </w:r>
      <w:r>
        <w:rPr>
          <w:rFonts w:ascii="Times New Roman" w:hAnsi="Times New Roman" w:eastAsia="Times New Roman" w:cs="Times New Roman"/>
          <w:b/>
          <w:bCs/>
          <w:spacing w:val="-13"/>
          <w:sz w:val="21"/>
          <w:szCs w:val="21"/>
        </w:rPr>
        <w:t>-</w:t>
      </w:r>
      <w:r>
        <w:rPr>
          <w:rFonts w:ascii="Times New Roman" w:hAnsi="Times New Roman" w:eastAsia="Times New Roman" w:cs="Times New Roman"/>
          <w:b/>
          <w:bCs/>
          <w:spacing w:val="-25"/>
          <w:sz w:val="21"/>
          <w:szCs w:val="21"/>
        </w:rPr>
        <w:t xml:space="preserve"> </w:t>
      </w:r>
      <w:r>
        <w:rPr>
          <w:rFonts w:ascii="宋体" w:hAnsi="宋体" w:eastAsia="宋体" w:cs="宋体"/>
          <w:spacing w:val="-13"/>
          <w:sz w:val="21"/>
          <w:szCs w:val="21"/>
          <w14:textOutline w14:w="3810" w14:cap="flat" w14:cmpd="sng">
            <w14:solidFill>
              <w14:srgbClr w14:val="000000"/>
            </w14:solidFill>
            <w14:prstDash w14:val="solid"/>
            <w14:miter w14:val="0"/>
          </w14:textOutline>
        </w:rPr>
        <w:t>”表示未检出，“（</w:t>
      </w:r>
      <w:r>
        <w:rPr>
          <w:rFonts w:ascii="Times New Roman" w:hAnsi="Times New Roman" w:eastAsia="Times New Roman" w:cs="Times New Roman"/>
          <w:b/>
          <w:bCs/>
          <w:spacing w:val="-13"/>
          <w:sz w:val="21"/>
          <w:szCs w:val="21"/>
        </w:rPr>
        <w:t>%</w:t>
      </w:r>
      <w:r>
        <w:rPr>
          <w:rFonts w:ascii="宋体" w:hAnsi="宋体" w:eastAsia="宋体" w:cs="宋体"/>
          <w:spacing w:val="-13"/>
          <w:sz w:val="21"/>
          <w:szCs w:val="21"/>
          <w14:textOutline w14:w="3810" w14:cap="flat" w14:cmpd="sng">
            <w14:solidFill>
              <w14:srgbClr w14:val="000000"/>
            </w14:solidFill>
            <w14:prstDash w14:val="solid"/>
            <w14:miter w14:val="0"/>
          </w14:textOutline>
        </w:rPr>
        <w:t>）”中数字表示种类数占该点总种数的百分数</w:t>
      </w:r>
    </w:p>
    <w:p>
      <w:pPr>
        <w:spacing w:before="150" w:line="338" w:lineRule="auto"/>
        <w:ind w:left="60" w:right="36" w:firstLine="481"/>
        <w:jc w:val="both"/>
        <w:rPr>
          <w:rFonts w:ascii="宋体" w:hAnsi="宋体" w:eastAsia="宋体" w:cs="宋体"/>
          <w:sz w:val="24"/>
          <w:szCs w:val="24"/>
        </w:rPr>
      </w:pPr>
      <w:r>
        <w:rPr>
          <w:rFonts w:ascii="宋体" w:hAnsi="宋体" w:eastAsia="宋体" w:cs="宋体"/>
          <w:spacing w:val="-11"/>
          <w:sz w:val="24"/>
          <w:szCs w:val="24"/>
        </w:rPr>
        <w:t>浮游动物以浮游藻类为食， 但同时其也有是部分鱼类的</w:t>
      </w:r>
      <w:r>
        <w:rPr>
          <w:rFonts w:ascii="宋体" w:hAnsi="宋体" w:eastAsia="宋体" w:cs="宋体"/>
          <w:spacing w:val="-12"/>
          <w:sz w:val="24"/>
          <w:szCs w:val="24"/>
        </w:rPr>
        <w:t>饵料来源；</w:t>
      </w:r>
      <w:r>
        <w:rPr>
          <w:rFonts w:ascii="宋体" w:hAnsi="宋体" w:eastAsia="宋体" w:cs="宋体"/>
          <w:spacing w:val="37"/>
          <w:sz w:val="24"/>
          <w:szCs w:val="24"/>
        </w:rPr>
        <w:t xml:space="preserve"> </w:t>
      </w:r>
      <w:r>
        <w:rPr>
          <w:rFonts w:ascii="宋体" w:hAnsi="宋体" w:eastAsia="宋体" w:cs="宋体"/>
          <w:spacing w:val="-12"/>
          <w:sz w:val="24"/>
          <w:szCs w:val="24"/>
        </w:rPr>
        <w:t>因此其种</w:t>
      </w:r>
      <w:r>
        <w:rPr>
          <w:rFonts w:ascii="宋体" w:hAnsi="宋体" w:eastAsia="宋体" w:cs="宋体"/>
          <w:sz w:val="24"/>
          <w:szCs w:val="24"/>
        </w:rPr>
        <w:t xml:space="preserve"> </w:t>
      </w:r>
      <w:r>
        <w:rPr>
          <w:rFonts w:ascii="宋体" w:hAnsi="宋体" w:eastAsia="宋体" w:cs="宋体"/>
          <w:spacing w:val="-16"/>
          <w:sz w:val="24"/>
          <w:szCs w:val="24"/>
        </w:rPr>
        <w:t>类的相对丰富，</w:t>
      </w:r>
      <w:r>
        <w:rPr>
          <w:rFonts w:ascii="宋体" w:hAnsi="宋体" w:eastAsia="宋体" w:cs="宋体"/>
          <w:spacing w:val="32"/>
          <w:sz w:val="24"/>
          <w:szCs w:val="24"/>
        </w:rPr>
        <w:t xml:space="preserve"> </w:t>
      </w:r>
      <w:r>
        <w:rPr>
          <w:rFonts w:ascii="宋体" w:hAnsi="宋体" w:eastAsia="宋体" w:cs="宋体"/>
          <w:spacing w:val="-16"/>
          <w:sz w:val="24"/>
          <w:szCs w:val="24"/>
        </w:rPr>
        <w:t>但由于水体较小，</w:t>
      </w:r>
      <w:r>
        <w:rPr>
          <w:rFonts w:ascii="宋体" w:hAnsi="宋体" w:eastAsia="宋体" w:cs="宋体"/>
          <w:spacing w:val="32"/>
          <w:sz w:val="24"/>
          <w:szCs w:val="24"/>
        </w:rPr>
        <w:t xml:space="preserve"> </w:t>
      </w:r>
      <w:r>
        <w:rPr>
          <w:rFonts w:ascii="宋体" w:hAnsi="宋体" w:eastAsia="宋体" w:cs="宋体"/>
          <w:spacing w:val="-16"/>
          <w:sz w:val="24"/>
          <w:szCs w:val="24"/>
        </w:rPr>
        <w:t>浮游动物的生物量相对较低，</w:t>
      </w:r>
      <w:r>
        <w:rPr>
          <w:rFonts w:ascii="宋体" w:hAnsi="宋体" w:eastAsia="宋体" w:cs="宋体"/>
          <w:spacing w:val="32"/>
          <w:sz w:val="24"/>
          <w:szCs w:val="24"/>
        </w:rPr>
        <w:t xml:space="preserve"> </w:t>
      </w:r>
      <w:r>
        <w:rPr>
          <w:rFonts w:ascii="宋体" w:hAnsi="宋体" w:eastAsia="宋体" w:cs="宋体"/>
          <w:spacing w:val="-16"/>
          <w:sz w:val="24"/>
          <w:szCs w:val="24"/>
        </w:rPr>
        <w:t>直接影响食物链</w:t>
      </w:r>
    </w:p>
    <w:p>
      <w:pPr>
        <w:spacing w:line="218" w:lineRule="auto"/>
        <w:ind w:left="68"/>
        <w:rPr>
          <w:rFonts w:ascii="宋体" w:hAnsi="宋体" w:eastAsia="宋体" w:cs="宋体"/>
          <w:sz w:val="24"/>
          <w:szCs w:val="24"/>
        </w:rPr>
      </w:pPr>
      <w:r>
        <w:rPr>
          <w:rFonts w:ascii="宋体" w:hAnsi="宋体" w:eastAsia="宋体" w:cs="宋体"/>
          <w:spacing w:val="-11"/>
          <w:sz w:val="24"/>
          <w:szCs w:val="24"/>
        </w:rPr>
        <w:t>下端的物种，</w:t>
      </w:r>
      <w:r>
        <w:rPr>
          <w:rFonts w:ascii="宋体" w:hAnsi="宋体" w:eastAsia="宋体" w:cs="宋体"/>
          <w:spacing w:val="45"/>
          <w:sz w:val="24"/>
          <w:szCs w:val="24"/>
        </w:rPr>
        <w:t xml:space="preserve"> </w:t>
      </w:r>
      <w:r>
        <w:rPr>
          <w:rFonts w:ascii="宋体" w:hAnsi="宋体" w:eastAsia="宋体" w:cs="宋体"/>
          <w:spacing w:val="-11"/>
          <w:sz w:val="24"/>
          <w:szCs w:val="24"/>
        </w:rPr>
        <w:t>即鱼类的数量和种类， 这使得本评价区域水库内的鱼类种类和数量</w:t>
      </w:r>
    </w:p>
    <w:p>
      <w:pPr>
        <w:spacing w:line="218" w:lineRule="auto"/>
        <w:rPr>
          <w:rFonts w:ascii="宋体" w:hAnsi="宋体" w:eastAsia="宋体" w:cs="宋体"/>
          <w:sz w:val="24"/>
          <w:szCs w:val="24"/>
        </w:rPr>
        <w:sectPr>
          <w:headerReference r:id="rId317" w:type="default"/>
          <w:footerReference r:id="rId318" w:type="default"/>
          <w:pgSz w:w="11907" w:h="16839"/>
          <w:pgMar w:top="1156" w:right="1762" w:bottom="1374" w:left="1748" w:header="881" w:footer="1210" w:gutter="0"/>
        </w:sectPr>
      </w:pPr>
    </w:p>
    <w:p>
      <w:pPr>
        <w:spacing w:line="349" w:lineRule="auto"/>
        <w:rPr>
          <w:rFonts w:ascii="Arial"/>
          <w:sz w:val="21"/>
        </w:rPr>
      </w:pPr>
    </w:p>
    <w:p>
      <w:pPr>
        <w:spacing w:before="79" w:line="220" w:lineRule="auto"/>
        <w:ind w:left="40"/>
        <w:rPr>
          <w:rFonts w:ascii="宋体" w:hAnsi="宋体" w:eastAsia="宋体" w:cs="宋体"/>
          <w:sz w:val="24"/>
          <w:szCs w:val="24"/>
        </w:rPr>
      </w:pPr>
      <w:r>
        <w:rPr>
          <w:rFonts w:ascii="宋体" w:hAnsi="宋体" w:eastAsia="宋体" w:cs="宋体"/>
          <w:spacing w:val="-2"/>
          <w:sz w:val="24"/>
          <w:szCs w:val="24"/>
        </w:rPr>
        <w:t>均相对较少。</w:t>
      </w:r>
    </w:p>
    <w:p>
      <w:pPr>
        <w:spacing w:before="153" w:line="217" w:lineRule="auto"/>
        <w:ind w:left="517"/>
        <w:rPr>
          <w:rFonts w:ascii="宋体" w:hAnsi="宋体" w:eastAsia="宋体" w:cs="宋体"/>
          <w:sz w:val="24"/>
          <w:szCs w:val="24"/>
        </w:rPr>
      </w:pPr>
      <w:r>
        <w:rPr>
          <w:rFonts w:ascii="宋体" w:hAnsi="宋体" w:eastAsia="宋体" w:cs="宋体"/>
          <w:spacing w:val="-1"/>
          <w:sz w:val="24"/>
          <w:szCs w:val="24"/>
        </w:rPr>
        <w:t>④底栖动物现状及评价</w:t>
      </w:r>
    </w:p>
    <w:p>
      <w:pPr>
        <w:spacing w:before="157" w:line="219" w:lineRule="auto"/>
        <w:ind w:left="519"/>
        <w:rPr>
          <w:rFonts w:ascii="宋体" w:hAnsi="宋体" w:eastAsia="宋体" w:cs="宋体"/>
          <w:sz w:val="24"/>
          <w:szCs w:val="24"/>
        </w:rPr>
      </w:pPr>
      <w:r>
        <w:rPr>
          <w:rFonts w:ascii="宋体" w:hAnsi="宋体" w:eastAsia="宋体" w:cs="宋体"/>
          <w:spacing w:val="-2"/>
          <w:sz w:val="24"/>
          <w:szCs w:val="24"/>
        </w:rPr>
        <w:t>通过对四个采样断面底栖动物定性、定量样品的室内鉴定，其现状如下：</w:t>
      </w:r>
    </w:p>
    <w:p>
      <w:pPr>
        <w:spacing w:before="159" w:line="338" w:lineRule="auto"/>
        <w:ind w:left="33" w:right="129" w:firstLine="487"/>
        <w:rPr>
          <w:rFonts w:ascii="宋体" w:hAnsi="宋体" w:eastAsia="宋体" w:cs="宋体"/>
          <w:sz w:val="24"/>
          <w:szCs w:val="24"/>
        </w:rPr>
      </w:pPr>
      <w:r>
        <w:rPr>
          <w:rFonts w:ascii="宋体" w:hAnsi="宋体" w:eastAsia="宋体" w:cs="宋体"/>
          <w:spacing w:val="-9"/>
          <w:sz w:val="24"/>
          <w:szCs w:val="24"/>
        </w:rPr>
        <w:t>此次调查的四个采样断面共检出底栖动物</w:t>
      </w:r>
      <w:r>
        <w:rPr>
          <w:rFonts w:ascii="宋体" w:hAnsi="宋体" w:eastAsia="宋体" w:cs="宋体"/>
          <w:spacing w:val="-56"/>
          <w:sz w:val="24"/>
          <w:szCs w:val="24"/>
        </w:rPr>
        <w:t xml:space="preserve"> </w:t>
      </w:r>
      <w:r>
        <w:rPr>
          <w:rFonts w:ascii="Times New Roman" w:hAnsi="Times New Roman" w:eastAsia="Times New Roman" w:cs="Times New Roman"/>
          <w:spacing w:val="-9"/>
          <w:sz w:val="24"/>
          <w:szCs w:val="24"/>
        </w:rPr>
        <w:t xml:space="preserve">4 </w:t>
      </w:r>
      <w:r>
        <w:rPr>
          <w:rFonts w:ascii="宋体" w:hAnsi="宋体" w:eastAsia="宋体" w:cs="宋体"/>
          <w:spacing w:val="-9"/>
          <w:sz w:val="24"/>
          <w:szCs w:val="24"/>
        </w:rPr>
        <w:t>类，</w:t>
      </w:r>
      <w:r>
        <w:rPr>
          <w:rFonts w:ascii="宋体" w:hAnsi="宋体" w:eastAsia="宋体" w:cs="宋体"/>
          <w:spacing w:val="-63"/>
          <w:sz w:val="24"/>
          <w:szCs w:val="24"/>
        </w:rPr>
        <w:t xml:space="preserve"> </w:t>
      </w:r>
      <w:r>
        <w:rPr>
          <w:rFonts w:ascii="宋体" w:hAnsi="宋体" w:eastAsia="宋体" w:cs="宋体"/>
          <w:spacing w:val="-9"/>
          <w:sz w:val="24"/>
          <w:szCs w:val="24"/>
        </w:rPr>
        <w:t>但</w:t>
      </w:r>
      <w:r>
        <w:rPr>
          <w:rFonts w:ascii="宋体" w:hAnsi="宋体" w:eastAsia="宋体" w:cs="宋体"/>
          <w:spacing w:val="-10"/>
          <w:sz w:val="24"/>
          <w:szCs w:val="24"/>
        </w:rPr>
        <w:t>种类稀少，</w:t>
      </w:r>
      <w:r>
        <w:rPr>
          <w:rFonts w:ascii="宋体" w:hAnsi="宋体" w:eastAsia="宋体" w:cs="宋体"/>
          <w:spacing w:val="28"/>
          <w:sz w:val="24"/>
          <w:szCs w:val="24"/>
        </w:rPr>
        <w:t xml:space="preserve"> </w:t>
      </w:r>
      <w:r>
        <w:rPr>
          <w:rFonts w:ascii="宋体" w:hAnsi="宋体" w:eastAsia="宋体" w:cs="宋体"/>
          <w:spacing w:val="-10"/>
          <w:sz w:val="24"/>
          <w:szCs w:val="24"/>
        </w:rPr>
        <w:t>仅</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 xml:space="preserve">7 </w:t>
      </w:r>
      <w:r>
        <w:rPr>
          <w:rFonts w:ascii="宋体" w:hAnsi="宋体" w:eastAsia="宋体" w:cs="宋体"/>
          <w:spacing w:val="-10"/>
          <w:sz w:val="24"/>
          <w:szCs w:val="24"/>
        </w:rPr>
        <w:t xml:space="preserve">种。断面 </w:t>
      </w:r>
      <w:r>
        <w:rPr>
          <w:rFonts w:ascii="Times New Roman" w:hAnsi="Times New Roman" w:eastAsia="Times New Roman" w:cs="Times New Roman"/>
          <w:spacing w:val="-6"/>
          <w:sz w:val="24"/>
          <w:szCs w:val="24"/>
        </w:rPr>
        <w:t xml:space="preserve">W1 </w:t>
      </w:r>
      <w:r>
        <w:rPr>
          <w:rFonts w:ascii="宋体" w:hAnsi="宋体" w:eastAsia="宋体" w:cs="宋体"/>
          <w:spacing w:val="-6"/>
          <w:sz w:val="24"/>
          <w:szCs w:val="24"/>
        </w:rPr>
        <w:t>有</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种，</w:t>
      </w:r>
      <w:r>
        <w:rPr>
          <w:rFonts w:ascii="宋体" w:hAnsi="宋体" w:eastAsia="宋体" w:cs="宋体"/>
          <w:spacing w:val="-32"/>
          <w:sz w:val="24"/>
          <w:szCs w:val="24"/>
        </w:rPr>
        <w:t xml:space="preserve"> </w:t>
      </w:r>
      <w:r>
        <w:rPr>
          <w:rFonts w:ascii="宋体" w:hAnsi="宋体" w:eastAsia="宋体" w:cs="宋体"/>
          <w:spacing w:val="-6"/>
          <w:sz w:val="24"/>
          <w:szCs w:val="24"/>
        </w:rPr>
        <w:t>软体动物、水生昆虫、甲壳类和寡毛类各</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种，</w:t>
      </w:r>
      <w:r>
        <w:rPr>
          <w:rFonts w:ascii="宋体" w:hAnsi="宋体" w:eastAsia="宋体" w:cs="宋体"/>
          <w:spacing w:val="-32"/>
          <w:sz w:val="24"/>
          <w:szCs w:val="24"/>
        </w:rPr>
        <w:t xml:space="preserve"> </w:t>
      </w:r>
      <w:r>
        <w:rPr>
          <w:rFonts w:ascii="宋体" w:hAnsi="宋体" w:eastAsia="宋体" w:cs="宋体"/>
          <w:spacing w:val="-7"/>
          <w:sz w:val="24"/>
          <w:szCs w:val="24"/>
        </w:rPr>
        <w:t>分别占该断面总数 的</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25.00%</w:t>
      </w:r>
      <w:r>
        <w:rPr>
          <w:rFonts w:ascii="宋体" w:hAnsi="宋体" w:eastAsia="宋体" w:cs="宋体"/>
          <w:spacing w:val="-7"/>
          <w:sz w:val="24"/>
          <w:szCs w:val="24"/>
        </w:rPr>
        <w:t>。断面</w:t>
      </w:r>
      <w:r>
        <w:rPr>
          <w:rFonts w:ascii="宋体" w:hAnsi="宋体" w:eastAsia="宋体" w:cs="宋体"/>
          <w:spacing w:val="-57"/>
          <w:sz w:val="24"/>
          <w:szCs w:val="24"/>
        </w:rPr>
        <w:t xml:space="preserve"> </w:t>
      </w:r>
      <w:r>
        <w:rPr>
          <w:rFonts w:ascii="Times New Roman" w:hAnsi="Times New Roman" w:eastAsia="Times New Roman" w:cs="Times New Roman"/>
          <w:spacing w:val="-7"/>
          <w:sz w:val="24"/>
          <w:szCs w:val="24"/>
        </w:rPr>
        <w:t xml:space="preserve">W2 </w:t>
      </w:r>
      <w:r>
        <w:rPr>
          <w:rFonts w:ascii="宋体" w:hAnsi="宋体" w:eastAsia="宋体" w:cs="宋体"/>
          <w:spacing w:val="-7"/>
          <w:sz w:val="24"/>
          <w:szCs w:val="24"/>
        </w:rPr>
        <w:t>有</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6 </w:t>
      </w:r>
      <w:r>
        <w:rPr>
          <w:rFonts w:ascii="宋体" w:hAnsi="宋体" w:eastAsia="宋体" w:cs="宋体"/>
          <w:spacing w:val="-7"/>
          <w:sz w:val="24"/>
          <w:szCs w:val="24"/>
        </w:rPr>
        <w:t>种，</w:t>
      </w:r>
      <w:r>
        <w:rPr>
          <w:rFonts w:ascii="宋体" w:hAnsi="宋体" w:eastAsia="宋体" w:cs="宋体"/>
          <w:spacing w:val="-47"/>
          <w:sz w:val="24"/>
          <w:szCs w:val="24"/>
        </w:rPr>
        <w:t xml:space="preserve"> </w:t>
      </w:r>
      <w:r>
        <w:rPr>
          <w:rFonts w:ascii="宋体" w:hAnsi="宋体" w:eastAsia="宋体" w:cs="宋体"/>
          <w:spacing w:val="-7"/>
          <w:sz w:val="24"/>
          <w:szCs w:val="24"/>
        </w:rPr>
        <w:t>软体动物</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2</w:t>
      </w:r>
      <w:r>
        <w:rPr>
          <w:rFonts w:ascii="宋体" w:hAnsi="宋体" w:eastAsia="宋体" w:cs="宋体"/>
          <w:spacing w:val="-7"/>
          <w:sz w:val="24"/>
          <w:szCs w:val="24"/>
        </w:rPr>
        <w:t>、水生昆虫、寡毛类各</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 </w:t>
      </w:r>
      <w:r>
        <w:rPr>
          <w:rFonts w:ascii="宋体" w:hAnsi="宋体" w:eastAsia="宋体" w:cs="宋体"/>
          <w:spacing w:val="-7"/>
          <w:sz w:val="24"/>
          <w:szCs w:val="24"/>
        </w:rPr>
        <w:t>种，</w:t>
      </w:r>
      <w:r>
        <w:rPr>
          <w:rFonts w:ascii="宋体" w:hAnsi="宋体" w:eastAsia="宋体" w:cs="宋体"/>
          <w:spacing w:val="-47"/>
          <w:sz w:val="24"/>
          <w:szCs w:val="24"/>
        </w:rPr>
        <w:t xml:space="preserve"> </w:t>
      </w:r>
      <w:r>
        <w:rPr>
          <w:rFonts w:ascii="宋体" w:hAnsi="宋体" w:eastAsia="宋体" w:cs="宋体"/>
          <w:spacing w:val="-7"/>
          <w:sz w:val="24"/>
          <w:szCs w:val="24"/>
        </w:rPr>
        <w:t xml:space="preserve">分别占该 </w:t>
      </w:r>
      <w:r>
        <w:rPr>
          <w:rFonts w:ascii="宋体" w:hAnsi="宋体" w:eastAsia="宋体" w:cs="宋体"/>
          <w:spacing w:val="-3"/>
          <w:sz w:val="24"/>
          <w:szCs w:val="24"/>
        </w:rPr>
        <w:t>断面总数的</w:t>
      </w:r>
      <w:r>
        <w:rPr>
          <w:rFonts w:ascii="宋体" w:hAnsi="宋体" w:eastAsia="宋体" w:cs="宋体"/>
          <w:spacing w:val="-21"/>
          <w:sz w:val="24"/>
          <w:szCs w:val="24"/>
        </w:rPr>
        <w:t xml:space="preserve"> </w:t>
      </w:r>
      <w:r>
        <w:rPr>
          <w:rFonts w:ascii="Times New Roman" w:hAnsi="Times New Roman" w:eastAsia="Times New Roman" w:cs="Times New Roman"/>
          <w:spacing w:val="-3"/>
          <w:sz w:val="24"/>
          <w:szCs w:val="24"/>
        </w:rPr>
        <w:t>33.33%</w:t>
      </w:r>
      <w:r>
        <w:rPr>
          <w:rFonts w:ascii="宋体" w:hAnsi="宋体" w:eastAsia="宋体" w:cs="宋体"/>
          <w:spacing w:val="-3"/>
          <w:sz w:val="24"/>
          <w:szCs w:val="24"/>
        </w:rPr>
        <w:t xml:space="preserve">，甲壳类未检出；水生昆虫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6"/>
          <w:sz w:val="24"/>
          <w:szCs w:val="24"/>
        </w:rPr>
        <w:t xml:space="preserve"> </w:t>
      </w:r>
      <w:r>
        <w:rPr>
          <w:rFonts w:ascii="宋体" w:hAnsi="宋体" w:eastAsia="宋体" w:cs="宋体"/>
          <w:spacing w:val="-3"/>
          <w:sz w:val="24"/>
          <w:szCs w:val="24"/>
        </w:rPr>
        <w:t xml:space="preserve">种，占该断面总数的 </w:t>
      </w:r>
      <w:r>
        <w:rPr>
          <w:rFonts w:ascii="Times New Roman" w:hAnsi="Times New Roman" w:eastAsia="Times New Roman" w:cs="Times New Roman"/>
          <w:spacing w:val="-3"/>
          <w:sz w:val="24"/>
          <w:szCs w:val="24"/>
        </w:rPr>
        <w:t>16.67%</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5"/>
          <w:sz w:val="24"/>
          <w:szCs w:val="24"/>
        </w:rPr>
        <w:t xml:space="preserve">甲壳类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 xml:space="preserve">种，占该断面总数的 </w:t>
      </w:r>
      <w:r>
        <w:rPr>
          <w:rFonts w:ascii="Times New Roman" w:hAnsi="Times New Roman" w:eastAsia="Times New Roman" w:cs="Times New Roman"/>
          <w:spacing w:val="-5"/>
          <w:sz w:val="24"/>
          <w:szCs w:val="24"/>
        </w:rPr>
        <w:t>16.67%</w:t>
      </w:r>
      <w:r>
        <w:rPr>
          <w:rFonts w:ascii="宋体" w:hAnsi="宋体" w:eastAsia="宋体" w:cs="宋体"/>
          <w:spacing w:val="-5"/>
          <w:sz w:val="24"/>
          <w:szCs w:val="24"/>
        </w:rPr>
        <w:t xml:space="preserve">；寡毛类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 xml:space="preserve">种，占该断面总数的 </w:t>
      </w:r>
      <w:r>
        <w:rPr>
          <w:rFonts w:ascii="Times New Roman" w:hAnsi="Times New Roman" w:eastAsia="Times New Roman" w:cs="Times New Roman"/>
          <w:spacing w:val="-5"/>
          <w:sz w:val="24"/>
          <w:szCs w:val="24"/>
        </w:rPr>
        <w:t>16</w:t>
      </w:r>
      <w:r>
        <w:rPr>
          <w:rFonts w:ascii="Times New Roman" w:hAnsi="Times New Roman" w:eastAsia="Times New Roman" w:cs="Times New Roman"/>
          <w:spacing w:val="-6"/>
          <w:sz w:val="24"/>
          <w:szCs w:val="24"/>
        </w:rPr>
        <w:t>.67%</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2"/>
          <w:sz w:val="24"/>
          <w:szCs w:val="24"/>
        </w:rPr>
        <w:t>断面</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W3</w:t>
      </w:r>
      <w:r>
        <w:rPr>
          <w:rFonts w:ascii="Times New Roman" w:hAnsi="Times New Roman" w:eastAsia="Times New Roman" w:cs="Times New Roman"/>
          <w:spacing w:val="37"/>
          <w:w w:val="101"/>
          <w:sz w:val="24"/>
          <w:szCs w:val="24"/>
        </w:rPr>
        <w:t xml:space="preserve"> </w:t>
      </w:r>
      <w:r>
        <w:rPr>
          <w:rFonts w:ascii="宋体" w:hAnsi="宋体" w:eastAsia="宋体" w:cs="宋体"/>
          <w:spacing w:val="-2"/>
          <w:sz w:val="24"/>
          <w:szCs w:val="24"/>
        </w:rPr>
        <w:t>有</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36"/>
          <w:sz w:val="24"/>
          <w:szCs w:val="24"/>
        </w:rPr>
        <w:t xml:space="preserve"> </w:t>
      </w:r>
      <w:r>
        <w:rPr>
          <w:rFonts w:ascii="宋体" w:hAnsi="宋体" w:eastAsia="宋体" w:cs="宋体"/>
          <w:spacing w:val="-2"/>
          <w:sz w:val="24"/>
          <w:szCs w:val="24"/>
        </w:rPr>
        <w:t>种，软体动物、水生昆虫和寡毛类各</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6"/>
          <w:sz w:val="24"/>
          <w:szCs w:val="24"/>
        </w:rPr>
        <w:t xml:space="preserve"> </w:t>
      </w:r>
      <w:r>
        <w:rPr>
          <w:rFonts w:ascii="宋体" w:hAnsi="宋体" w:eastAsia="宋体" w:cs="宋体"/>
          <w:spacing w:val="-2"/>
          <w:sz w:val="24"/>
          <w:szCs w:val="24"/>
        </w:rPr>
        <w:t xml:space="preserve">种，分别占该断面总数的 </w:t>
      </w:r>
      <w:r>
        <w:rPr>
          <w:rFonts w:ascii="Times New Roman" w:hAnsi="Times New Roman" w:eastAsia="Times New Roman" w:cs="Times New Roman"/>
          <w:spacing w:val="-9"/>
          <w:sz w:val="24"/>
          <w:szCs w:val="24"/>
        </w:rPr>
        <w:t>33.33%</w:t>
      </w:r>
      <w:r>
        <w:rPr>
          <w:rFonts w:ascii="宋体" w:hAnsi="宋体" w:eastAsia="宋体" w:cs="宋体"/>
          <w:spacing w:val="-9"/>
          <w:sz w:val="24"/>
          <w:szCs w:val="24"/>
        </w:rPr>
        <w:t>，甲壳类未检出。断面</w:t>
      </w:r>
      <w:r>
        <w:rPr>
          <w:rFonts w:ascii="宋体" w:hAnsi="宋体" w:eastAsia="宋体" w:cs="宋体"/>
          <w:spacing w:val="-57"/>
          <w:sz w:val="24"/>
          <w:szCs w:val="24"/>
        </w:rPr>
        <w:t xml:space="preserve"> </w:t>
      </w:r>
      <w:r>
        <w:rPr>
          <w:rFonts w:ascii="Times New Roman" w:hAnsi="Times New Roman" w:eastAsia="Times New Roman" w:cs="Times New Roman"/>
          <w:spacing w:val="-9"/>
          <w:sz w:val="24"/>
          <w:szCs w:val="24"/>
        </w:rPr>
        <w:t xml:space="preserve">W4 </w:t>
      </w:r>
      <w:r>
        <w:rPr>
          <w:rFonts w:ascii="宋体" w:hAnsi="宋体" w:eastAsia="宋体" w:cs="宋体"/>
          <w:spacing w:val="-9"/>
          <w:sz w:val="24"/>
          <w:szCs w:val="24"/>
        </w:rPr>
        <w:t>有</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 xml:space="preserve">7 </w:t>
      </w:r>
      <w:r>
        <w:rPr>
          <w:rFonts w:ascii="宋体" w:hAnsi="宋体" w:eastAsia="宋体" w:cs="宋体"/>
          <w:spacing w:val="-9"/>
          <w:sz w:val="24"/>
          <w:szCs w:val="24"/>
        </w:rPr>
        <w:t>种，软体动物、水生昆虫和寡毛类各</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 xml:space="preserve">2 </w:t>
      </w:r>
      <w:r>
        <w:rPr>
          <w:rFonts w:ascii="宋体" w:hAnsi="宋体" w:eastAsia="宋体" w:cs="宋体"/>
          <w:spacing w:val="-10"/>
          <w:sz w:val="24"/>
          <w:szCs w:val="24"/>
        </w:rPr>
        <w:t>种，</w:t>
      </w:r>
    </w:p>
    <w:p>
      <w:pPr>
        <w:spacing w:line="219" w:lineRule="auto"/>
        <w:ind w:left="42"/>
        <w:rPr>
          <w:rFonts w:ascii="宋体" w:hAnsi="宋体" w:eastAsia="宋体" w:cs="宋体"/>
          <w:sz w:val="24"/>
          <w:szCs w:val="24"/>
        </w:rPr>
      </w:pPr>
      <w:r>
        <w:rPr>
          <w:rFonts w:ascii="宋体" w:hAnsi="宋体" w:eastAsia="宋体" w:cs="宋体"/>
          <w:spacing w:val="-3"/>
          <w:sz w:val="24"/>
          <w:szCs w:val="24"/>
        </w:rPr>
        <w:t>分别占该断面总数的</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28.57%</w:t>
      </w:r>
      <w:r>
        <w:rPr>
          <w:rFonts w:ascii="宋体" w:hAnsi="宋体" w:eastAsia="宋体" w:cs="宋体"/>
          <w:spacing w:val="-3"/>
          <w:sz w:val="24"/>
          <w:szCs w:val="24"/>
        </w:rPr>
        <w:t xml:space="preserve">，甲壳类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种，占该断面总数的</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14.29%</w:t>
      </w:r>
      <w:r>
        <w:rPr>
          <w:rFonts w:ascii="宋体" w:hAnsi="宋体" w:eastAsia="宋体" w:cs="宋体"/>
          <w:spacing w:val="-3"/>
          <w:sz w:val="24"/>
          <w:szCs w:val="24"/>
        </w:rPr>
        <w:t>。</w:t>
      </w:r>
    </w:p>
    <w:p>
      <w:pPr>
        <w:pStyle w:val="2"/>
        <w:spacing w:before="180" w:line="219" w:lineRule="auto"/>
        <w:ind w:left="2316"/>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3.2-38    </w:t>
      </w:r>
      <w:r>
        <w:rPr>
          <w14:textOutline w14:w="3810" w14:cap="flat" w14:cmpd="sng">
            <w14:solidFill>
              <w14:srgbClr w14:val="000000"/>
            </w14:solidFill>
            <w14:prstDash w14:val="solid"/>
            <w14:miter w14:val="0"/>
          </w14:textOutline>
        </w:rPr>
        <w:t>工程评价区域底栖动物</w:t>
      </w:r>
      <w:r>
        <w:rPr>
          <w:spacing w:val="-1"/>
          <w14:textOutline w14:w="3810" w14:cap="flat" w14:cmpd="sng">
            <w14:solidFill>
              <w14:srgbClr w14:val="000000"/>
            </w14:solidFill>
            <w14:prstDash w14:val="solid"/>
            <w14:miter w14:val="0"/>
          </w14:textOutline>
        </w:rPr>
        <w:t>组成及分布</w:t>
      </w:r>
    </w:p>
    <w:p>
      <w:pPr>
        <w:spacing w:line="20" w:lineRule="exact"/>
      </w:pPr>
    </w:p>
    <w:tbl>
      <w:tblPr>
        <w:tblStyle w:val="5"/>
        <w:tblW w:w="853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7"/>
        <w:gridCol w:w="276"/>
        <w:gridCol w:w="1144"/>
        <w:gridCol w:w="276"/>
        <w:gridCol w:w="1144"/>
        <w:gridCol w:w="1419"/>
        <w:gridCol w:w="276"/>
        <w:gridCol w:w="1144"/>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1437" w:type="dxa"/>
            <w:tcBorders>
              <w:top w:val="single" w:color="000000" w:sz="12" w:space="0"/>
              <w:left w:val="nil"/>
            </w:tcBorders>
            <w:vAlign w:val="top"/>
          </w:tcPr>
          <w:p>
            <w:pPr>
              <w:spacing w:before="31" w:line="203" w:lineRule="auto"/>
              <w:ind w:left="320"/>
              <w:rPr>
                <w:rFonts w:ascii="仿宋" w:hAnsi="仿宋" w:eastAsia="仿宋" w:cs="仿宋"/>
                <w:sz w:val="21"/>
                <w:szCs w:val="21"/>
              </w:rPr>
            </w:pPr>
            <w:r>
              <w:rPr>
                <w:rFonts w:ascii="仿宋" w:hAnsi="仿宋" w:eastAsia="仿宋" w:cs="仿宋"/>
                <w:spacing w:val="-3"/>
                <w:sz w:val="21"/>
                <w:szCs w:val="21"/>
              </w:rPr>
              <w:t>采样断面</w:t>
            </w:r>
          </w:p>
        </w:tc>
        <w:tc>
          <w:tcPr>
            <w:tcW w:w="1420" w:type="dxa"/>
            <w:gridSpan w:val="2"/>
            <w:tcBorders>
              <w:top w:val="single" w:color="000000" w:sz="12" w:space="0"/>
            </w:tcBorders>
            <w:vAlign w:val="top"/>
          </w:tcPr>
          <w:p>
            <w:pPr>
              <w:spacing w:before="31" w:line="203" w:lineRule="auto"/>
              <w:ind w:left="299"/>
              <w:rPr>
                <w:rFonts w:ascii="仿宋" w:hAnsi="仿宋" w:eastAsia="仿宋" w:cs="仿宋"/>
                <w:sz w:val="21"/>
                <w:szCs w:val="21"/>
              </w:rPr>
            </w:pPr>
            <w:r>
              <w:rPr>
                <w:rFonts w:ascii="仿宋" w:hAnsi="仿宋" w:eastAsia="仿宋" w:cs="仿宋"/>
                <w:spacing w:val="-3"/>
                <w:sz w:val="21"/>
                <w:szCs w:val="21"/>
              </w:rPr>
              <w:t>软体动物</w:t>
            </w:r>
          </w:p>
        </w:tc>
        <w:tc>
          <w:tcPr>
            <w:tcW w:w="1420" w:type="dxa"/>
            <w:gridSpan w:val="2"/>
            <w:tcBorders>
              <w:top w:val="single" w:color="000000" w:sz="12" w:space="0"/>
            </w:tcBorders>
            <w:vAlign w:val="top"/>
          </w:tcPr>
          <w:p>
            <w:pPr>
              <w:spacing w:before="31" w:line="203" w:lineRule="auto"/>
              <w:ind w:left="298"/>
              <w:rPr>
                <w:rFonts w:ascii="仿宋" w:hAnsi="仿宋" w:eastAsia="仿宋" w:cs="仿宋"/>
                <w:sz w:val="21"/>
                <w:szCs w:val="21"/>
              </w:rPr>
            </w:pPr>
            <w:r>
              <w:rPr>
                <w:rFonts w:ascii="仿宋" w:hAnsi="仿宋" w:eastAsia="仿宋" w:cs="仿宋"/>
                <w:spacing w:val="-3"/>
                <w:sz w:val="21"/>
                <w:szCs w:val="21"/>
              </w:rPr>
              <w:t>水生昆虫</w:t>
            </w:r>
          </w:p>
        </w:tc>
        <w:tc>
          <w:tcPr>
            <w:tcW w:w="1419" w:type="dxa"/>
            <w:tcBorders>
              <w:top w:val="single" w:color="000000" w:sz="12" w:space="0"/>
            </w:tcBorders>
            <w:vAlign w:val="top"/>
          </w:tcPr>
          <w:p>
            <w:pPr>
              <w:spacing w:before="31" w:line="203" w:lineRule="auto"/>
              <w:ind w:left="433"/>
              <w:rPr>
                <w:rFonts w:ascii="仿宋" w:hAnsi="仿宋" w:eastAsia="仿宋" w:cs="仿宋"/>
                <w:sz w:val="21"/>
                <w:szCs w:val="21"/>
              </w:rPr>
            </w:pPr>
            <w:r>
              <w:rPr>
                <w:rFonts w:ascii="仿宋" w:hAnsi="仿宋" w:eastAsia="仿宋" w:cs="仿宋"/>
                <w:spacing w:val="-10"/>
                <w:sz w:val="21"/>
                <w:szCs w:val="21"/>
              </w:rPr>
              <w:t>甲壳类</w:t>
            </w:r>
          </w:p>
        </w:tc>
        <w:tc>
          <w:tcPr>
            <w:tcW w:w="1420" w:type="dxa"/>
            <w:gridSpan w:val="2"/>
            <w:tcBorders>
              <w:top w:val="single" w:color="000000" w:sz="12" w:space="0"/>
            </w:tcBorders>
            <w:vAlign w:val="top"/>
          </w:tcPr>
          <w:p>
            <w:pPr>
              <w:spacing w:before="31" w:line="203" w:lineRule="auto"/>
              <w:ind w:left="406"/>
              <w:rPr>
                <w:rFonts w:ascii="仿宋" w:hAnsi="仿宋" w:eastAsia="仿宋" w:cs="仿宋"/>
                <w:sz w:val="21"/>
                <w:szCs w:val="21"/>
              </w:rPr>
            </w:pPr>
            <w:r>
              <w:rPr>
                <w:rFonts w:ascii="仿宋" w:hAnsi="仿宋" w:eastAsia="仿宋" w:cs="仿宋"/>
                <w:spacing w:val="-4"/>
                <w:sz w:val="21"/>
                <w:szCs w:val="21"/>
              </w:rPr>
              <w:t>寡毛类</w:t>
            </w:r>
          </w:p>
        </w:tc>
        <w:tc>
          <w:tcPr>
            <w:tcW w:w="1421" w:type="dxa"/>
            <w:tcBorders>
              <w:top w:val="single" w:color="000000" w:sz="12" w:space="0"/>
              <w:right w:val="nil"/>
            </w:tcBorders>
            <w:vAlign w:val="top"/>
          </w:tcPr>
          <w:p>
            <w:pPr>
              <w:spacing w:before="31" w:line="203" w:lineRule="auto"/>
              <w:ind w:left="517"/>
              <w:rPr>
                <w:rFonts w:ascii="仿宋" w:hAnsi="仿宋" w:eastAsia="仿宋" w:cs="仿宋"/>
                <w:sz w:val="21"/>
                <w:szCs w:val="21"/>
              </w:rPr>
            </w:pPr>
            <w:r>
              <w:rPr>
                <w:rFonts w:ascii="仿宋" w:hAnsi="仿宋" w:eastAsia="仿宋" w:cs="仿宋"/>
                <w:spacing w:val="-5"/>
                <w:sz w:val="21"/>
                <w:szCs w:val="21"/>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1437" w:type="dxa"/>
            <w:tcBorders>
              <w:left w:val="nil"/>
            </w:tcBorders>
            <w:vAlign w:val="top"/>
          </w:tcPr>
          <w:p>
            <w:pPr>
              <w:pStyle w:val="6"/>
              <w:spacing w:before="74" w:line="186" w:lineRule="auto"/>
              <w:ind w:left="575"/>
            </w:pPr>
            <w:r>
              <w:rPr>
                <w:spacing w:val="-1"/>
              </w:rPr>
              <w:t>W1</w:t>
            </w:r>
          </w:p>
        </w:tc>
        <w:tc>
          <w:tcPr>
            <w:tcW w:w="1420" w:type="dxa"/>
            <w:gridSpan w:val="2"/>
            <w:vAlign w:val="top"/>
          </w:tcPr>
          <w:p>
            <w:pPr>
              <w:pStyle w:val="6"/>
              <w:spacing w:before="35" w:line="199" w:lineRule="auto"/>
              <w:ind w:left="143"/>
              <w:rPr>
                <w:rFonts w:ascii="仿宋" w:hAnsi="仿宋" w:eastAsia="仿宋" w:cs="仿宋"/>
              </w:rPr>
            </w:pPr>
            <w:r>
              <w:rPr>
                <w:spacing w:val="-3"/>
              </w:rPr>
              <w:t>1</w:t>
            </w:r>
            <w:r>
              <w:rPr>
                <w:rFonts w:ascii="仿宋" w:hAnsi="仿宋" w:eastAsia="仿宋" w:cs="仿宋"/>
                <w:spacing w:val="-3"/>
              </w:rPr>
              <w:t>（</w:t>
            </w:r>
            <w:r>
              <w:rPr>
                <w:spacing w:val="-3"/>
              </w:rPr>
              <w:t>25.00%</w:t>
            </w:r>
            <w:r>
              <w:rPr>
                <w:rFonts w:ascii="仿宋" w:hAnsi="仿宋" w:eastAsia="仿宋" w:cs="仿宋"/>
                <w:spacing w:val="-3"/>
              </w:rPr>
              <w:t>）</w:t>
            </w:r>
          </w:p>
        </w:tc>
        <w:tc>
          <w:tcPr>
            <w:tcW w:w="1420" w:type="dxa"/>
            <w:gridSpan w:val="2"/>
            <w:vAlign w:val="top"/>
          </w:tcPr>
          <w:p>
            <w:pPr>
              <w:pStyle w:val="6"/>
              <w:spacing w:before="35" w:line="199" w:lineRule="auto"/>
              <w:ind w:left="143"/>
              <w:rPr>
                <w:rFonts w:ascii="仿宋" w:hAnsi="仿宋" w:eastAsia="仿宋" w:cs="仿宋"/>
              </w:rPr>
            </w:pPr>
            <w:r>
              <w:rPr>
                <w:spacing w:val="-3"/>
              </w:rPr>
              <w:t>1</w:t>
            </w:r>
            <w:r>
              <w:rPr>
                <w:rFonts w:ascii="仿宋" w:hAnsi="仿宋" w:eastAsia="仿宋" w:cs="仿宋"/>
                <w:spacing w:val="-3"/>
              </w:rPr>
              <w:t>（</w:t>
            </w:r>
            <w:r>
              <w:rPr>
                <w:spacing w:val="-3"/>
              </w:rPr>
              <w:t>25.00%</w:t>
            </w:r>
            <w:r>
              <w:rPr>
                <w:rFonts w:ascii="仿宋" w:hAnsi="仿宋" w:eastAsia="仿宋" w:cs="仿宋"/>
                <w:spacing w:val="-3"/>
              </w:rPr>
              <w:t>）</w:t>
            </w:r>
          </w:p>
        </w:tc>
        <w:tc>
          <w:tcPr>
            <w:tcW w:w="1419" w:type="dxa"/>
            <w:vAlign w:val="top"/>
          </w:tcPr>
          <w:p>
            <w:pPr>
              <w:pStyle w:val="6"/>
              <w:spacing w:before="35" w:line="199" w:lineRule="auto"/>
              <w:ind w:left="144"/>
              <w:rPr>
                <w:rFonts w:ascii="仿宋" w:hAnsi="仿宋" w:eastAsia="仿宋" w:cs="仿宋"/>
              </w:rPr>
            </w:pPr>
            <w:r>
              <w:rPr>
                <w:spacing w:val="-3"/>
              </w:rPr>
              <w:t>1</w:t>
            </w:r>
            <w:r>
              <w:rPr>
                <w:rFonts w:ascii="仿宋" w:hAnsi="仿宋" w:eastAsia="仿宋" w:cs="仿宋"/>
                <w:spacing w:val="-3"/>
              </w:rPr>
              <w:t>（</w:t>
            </w:r>
            <w:r>
              <w:rPr>
                <w:spacing w:val="-3"/>
              </w:rPr>
              <w:t>25.00%</w:t>
            </w:r>
            <w:r>
              <w:rPr>
                <w:rFonts w:ascii="仿宋" w:hAnsi="仿宋" w:eastAsia="仿宋" w:cs="仿宋"/>
                <w:spacing w:val="-3"/>
              </w:rPr>
              <w:t>）</w:t>
            </w:r>
          </w:p>
        </w:tc>
        <w:tc>
          <w:tcPr>
            <w:tcW w:w="1420" w:type="dxa"/>
            <w:gridSpan w:val="2"/>
            <w:vAlign w:val="top"/>
          </w:tcPr>
          <w:p>
            <w:pPr>
              <w:pStyle w:val="6"/>
              <w:spacing w:before="35" w:line="199" w:lineRule="auto"/>
              <w:ind w:left="145"/>
              <w:rPr>
                <w:rFonts w:ascii="仿宋" w:hAnsi="仿宋" w:eastAsia="仿宋" w:cs="仿宋"/>
              </w:rPr>
            </w:pPr>
            <w:r>
              <w:rPr>
                <w:spacing w:val="-3"/>
              </w:rPr>
              <w:t>1</w:t>
            </w:r>
            <w:r>
              <w:rPr>
                <w:rFonts w:ascii="仿宋" w:hAnsi="仿宋" w:eastAsia="仿宋" w:cs="仿宋"/>
                <w:spacing w:val="-3"/>
              </w:rPr>
              <w:t>（</w:t>
            </w:r>
            <w:r>
              <w:rPr>
                <w:spacing w:val="-3"/>
              </w:rPr>
              <w:t>25.00%</w:t>
            </w:r>
            <w:r>
              <w:rPr>
                <w:rFonts w:ascii="仿宋" w:hAnsi="仿宋" w:eastAsia="仿宋" w:cs="仿宋"/>
                <w:spacing w:val="-3"/>
              </w:rPr>
              <w:t>）</w:t>
            </w:r>
          </w:p>
        </w:tc>
        <w:tc>
          <w:tcPr>
            <w:tcW w:w="1421" w:type="dxa"/>
            <w:tcBorders>
              <w:right w:val="nil"/>
            </w:tcBorders>
            <w:vAlign w:val="top"/>
          </w:tcPr>
          <w:p>
            <w:pPr>
              <w:pStyle w:val="6"/>
              <w:spacing w:before="35" w:line="199" w:lineRule="auto"/>
              <w:ind w:left="203"/>
              <w:rPr>
                <w:rFonts w:ascii="仿宋" w:hAnsi="仿宋" w:eastAsia="仿宋" w:cs="仿宋"/>
              </w:rPr>
            </w:pPr>
            <w:r>
              <w:rPr>
                <w:spacing w:val="-1"/>
              </w:rPr>
              <w:t>4</w:t>
            </w:r>
            <w:r>
              <w:rPr>
                <w:rFonts w:ascii="仿宋" w:hAnsi="仿宋" w:eastAsia="仿宋" w:cs="仿宋"/>
                <w:spacing w:val="-1"/>
              </w:rPr>
              <w:t>（</w:t>
            </w:r>
            <w:r>
              <w:rPr>
                <w:spacing w:val="-1"/>
              </w:rPr>
              <w:t>100%</w:t>
            </w:r>
            <w:r>
              <w:rPr>
                <w:rFonts w:ascii="仿宋" w:hAnsi="仿宋" w:eastAsia="仿宋" w:cs="仿宋"/>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1437" w:type="dxa"/>
            <w:tcBorders>
              <w:left w:val="nil"/>
            </w:tcBorders>
            <w:vAlign w:val="top"/>
          </w:tcPr>
          <w:p>
            <w:pPr>
              <w:pStyle w:val="6"/>
              <w:spacing w:before="78" w:line="183" w:lineRule="auto"/>
              <w:ind w:left="575"/>
            </w:pPr>
            <w:r>
              <w:rPr>
                <w:spacing w:val="-2"/>
              </w:rPr>
              <w:t>W2</w:t>
            </w:r>
          </w:p>
        </w:tc>
        <w:tc>
          <w:tcPr>
            <w:tcW w:w="276" w:type="dxa"/>
            <w:tcBorders>
              <w:right w:val="nil"/>
            </w:tcBorders>
            <w:vAlign w:val="top"/>
          </w:tcPr>
          <w:p>
            <w:pPr>
              <w:pStyle w:val="6"/>
              <w:spacing w:before="80" w:line="181" w:lineRule="auto"/>
              <w:ind w:left="123"/>
            </w:pPr>
            <w:r>
              <w:t>2</w:t>
            </w:r>
          </w:p>
        </w:tc>
        <w:tc>
          <w:tcPr>
            <w:tcW w:w="1144" w:type="dxa"/>
            <w:tcBorders>
              <w:left w:val="nil"/>
            </w:tcBorders>
            <w:vAlign w:val="top"/>
          </w:tcPr>
          <w:p>
            <w:pPr>
              <w:pStyle w:val="6"/>
              <w:spacing w:before="42" w:line="194" w:lineRule="auto"/>
              <w:rPr>
                <w:rFonts w:ascii="仿宋" w:hAnsi="仿宋" w:eastAsia="仿宋" w:cs="仿宋"/>
              </w:rPr>
            </w:pPr>
            <w:r>
              <w:rPr>
                <w:rFonts w:ascii="仿宋" w:hAnsi="仿宋" w:eastAsia="仿宋" w:cs="仿宋"/>
                <w:spacing w:val="-6"/>
              </w:rPr>
              <w:t>（</w:t>
            </w:r>
            <w:r>
              <w:rPr>
                <w:spacing w:val="-6"/>
              </w:rPr>
              <w:t>33.33%</w:t>
            </w:r>
            <w:r>
              <w:rPr>
                <w:rFonts w:ascii="仿宋" w:hAnsi="仿宋" w:eastAsia="仿宋" w:cs="仿宋"/>
                <w:spacing w:val="-6"/>
              </w:rPr>
              <w:t>）</w:t>
            </w:r>
          </w:p>
        </w:tc>
        <w:tc>
          <w:tcPr>
            <w:tcW w:w="276" w:type="dxa"/>
            <w:tcBorders>
              <w:right w:val="nil"/>
            </w:tcBorders>
            <w:vAlign w:val="top"/>
          </w:tcPr>
          <w:p>
            <w:pPr>
              <w:pStyle w:val="6"/>
              <w:spacing w:before="80" w:line="181" w:lineRule="auto"/>
              <w:ind w:left="143"/>
            </w:pPr>
            <w:r>
              <w:t>1</w:t>
            </w:r>
          </w:p>
        </w:tc>
        <w:tc>
          <w:tcPr>
            <w:tcW w:w="1144" w:type="dxa"/>
            <w:tcBorders>
              <w:left w:val="nil"/>
            </w:tcBorders>
            <w:vAlign w:val="top"/>
          </w:tcPr>
          <w:p>
            <w:pPr>
              <w:pStyle w:val="6"/>
              <w:spacing w:before="42" w:line="194" w:lineRule="auto"/>
              <w:rPr>
                <w:rFonts w:ascii="仿宋" w:hAnsi="仿宋" w:eastAsia="仿宋" w:cs="仿宋"/>
              </w:rPr>
            </w:pPr>
            <w:r>
              <w:rPr>
                <w:rFonts w:ascii="仿宋" w:hAnsi="仿宋" w:eastAsia="仿宋" w:cs="仿宋"/>
                <w:spacing w:val="-6"/>
              </w:rPr>
              <w:t>（</w:t>
            </w:r>
            <w:r>
              <w:rPr>
                <w:spacing w:val="-6"/>
              </w:rPr>
              <w:t>16.67%</w:t>
            </w:r>
            <w:r>
              <w:rPr>
                <w:rFonts w:ascii="仿宋" w:hAnsi="仿宋" w:eastAsia="仿宋" w:cs="仿宋"/>
                <w:spacing w:val="-6"/>
              </w:rPr>
              <w:t>）</w:t>
            </w:r>
          </w:p>
        </w:tc>
        <w:tc>
          <w:tcPr>
            <w:tcW w:w="1419" w:type="dxa"/>
            <w:vAlign w:val="top"/>
          </w:tcPr>
          <w:p>
            <w:pPr>
              <w:pStyle w:val="6"/>
              <w:spacing w:before="42" w:line="194" w:lineRule="auto"/>
              <w:ind w:left="144"/>
              <w:rPr>
                <w:rFonts w:ascii="仿宋" w:hAnsi="仿宋" w:eastAsia="仿宋" w:cs="仿宋"/>
              </w:rPr>
            </w:pPr>
            <w:r>
              <w:rPr>
                <w:spacing w:val="-3"/>
              </w:rPr>
              <w:t>1</w:t>
            </w:r>
            <w:r>
              <w:rPr>
                <w:rFonts w:ascii="仿宋" w:hAnsi="仿宋" w:eastAsia="仿宋" w:cs="仿宋"/>
                <w:spacing w:val="-3"/>
              </w:rPr>
              <w:t>（</w:t>
            </w:r>
            <w:r>
              <w:rPr>
                <w:spacing w:val="-3"/>
              </w:rPr>
              <w:t>16.67%</w:t>
            </w:r>
            <w:r>
              <w:rPr>
                <w:rFonts w:ascii="仿宋" w:hAnsi="仿宋" w:eastAsia="仿宋" w:cs="仿宋"/>
                <w:spacing w:val="-3"/>
              </w:rPr>
              <w:t>）</w:t>
            </w:r>
          </w:p>
        </w:tc>
        <w:tc>
          <w:tcPr>
            <w:tcW w:w="276" w:type="dxa"/>
            <w:tcBorders>
              <w:right w:val="nil"/>
            </w:tcBorders>
            <w:vAlign w:val="top"/>
          </w:tcPr>
          <w:p>
            <w:pPr>
              <w:pStyle w:val="6"/>
              <w:spacing w:before="80" w:line="181" w:lineRule="auto"/>
              <w:ind w:left="125"/>
            </w:pPr>
            <w:r>
              <w:t>2</w:t>
            </w:r>
          </w:p>
        </w:tc>
        <w:tc>
          <w:tcPr>
            <w:tcW w:w="1144" w:type="dxa"/>
            <w:tcBorders>
              <w:left w:val="nil"/>
            </w:tcBorders>
            <w:vAlign w:val="top"/>
          </w:tcPr>
          <w:p>
            <w:pPr>
              <w:pStyle w:val="6"/>
              <w:spacing w:before="42" w:line="194" w:lineRule="auto"/>
              <w:rPr>
                <w:rFonts w:ascii="仿宋" w:hAnsi="仿宋" w:eastAsia="仿宋" w:cs="仿宋"/>
              </w:rPr>
            </w:pPr>
            <w:r>
              <w:rPr>
                <w:rFonts w:ascii="仿宋" w:hAnsi="仿宋" w:eastAsia="仿宋" w:cs="仿宋"/>
                <w:spacing w:val="-6"/>
              </w:rPr>
              <w:t>（</w:t>
            </w:r>
            <w:r>
              <w:rPr>
                <w:spacing w:val="-6"/>
              </w:rPr>
              <w:t>33.33%</w:t>
            </w:r>
            <w:r>
              <w:rPr>
                <w:rFonts w:ascii="仿宋" w:hAnsi="仿宋" w:eastAsia="仿宋" w:cs="仿宋"/>
                <w:spacing w:val="-6"/>
              </w:rPr>
              <w:t>）</w:t>
            </w:r>
          </w:p>
        </w:tc>
        <w:tc>
          <w:tcPr>
            <w:tcW w:w="1421" w:type="dxa"/>
            <w:tcBorders>
              <w:right w:val="nil"/>
            </w:tcBorders>
            <w:vAlign w:val="top"/>
          </w:tcPr>
          <w:p>
            <w:pPr>
              <w:pStyle w:val="6"/>
              <w:spacing w:before="42" w:line="194" w:lineRule="auto"/>
              <w:ind w:left="208"/>
              <w:rPr>
                <w:rFonts w:ascii="仿宋" w:hAnsi="仿宋" w:eastAsia="仿宋" w:cs="仿宋"/>
              </w:rPr>
            </w:pPr>
            <w:r>
              <w:rPr>
                <w:spacing w:val="-2"/>
              </w:rPr>
              <w:t>6</w:t>
            </w:r>
            <w:r>
              <w:rPr>
                <w:rFonts w:ascii="仿宋" w:hAnsi="仿宋" w:eastAsia="仿宋" w:cs="仿宋"/>
                <w:spacing w:val="-2"/>
              </w:rPr>
              <w:t>（</w:t>
            </w:r>
            <w:r>
              <w:rPr>
                <w:spacing w:val="-2"/>
              </w:rPr>
              <w:t>100%</w:t>
            </w:r>
            <w:r>
              <w:rPr>
                <w:rFonts w:ascii="仿宋" w:hAnsi="仿宋" w:eastAsia="仿宋" w:cs="仿宋"/>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1437" w:type="dxa"/>
            <w:tcBorders>
              <w:left w:val="nil"/>
            </w:tcBorders>
            <w:vAlign w:val="top"/>
          </w:tcPr>
          <w:p>
            <w:pPr>
              <w:pStyle w:val="6"/>
              <w:spacing w:before="84" w:line="176" w:lineRule="auto"/>
              <w:ind w:left="575"/>
            </w:pPr>
            <w:r>
              <w:rPr>
                <w:spacing w:val="-1"/>
              </w:rPr>
              <w:t>W3</w:t>
            </w:r>
          </w:p>
        </w:tc>
        <w:tc>
          <w:tcPr>
            <w:tcW w:w="276" w:type="dxa"/>
            <w:tcBorders>
              <w:right w:val="nil"/>
            </w:tcBorders>
            <w:vAlign w:val="top"/>
          </w:tcPr>
          <w:p>
            <w:pPr>
              <w:pStyle w:val="6"/>
              <w:spacing w:before="84" w:line="176" w:lineRule="auto"/>
              <w:ind w:left="123"/>
            </w:pPr>
            <w:r>
              <w:t>2</w:t>
            </w:r>
          </w:p>
        </w:tc>
        <w:tc>
          <w:tcPr>
            <w:tcW w:w="1144" w:type="dxa"/>
            <w:tcBorders>
              <w:left w:val="nil"/>
            </w:tcBorders>
            <w:vAlign w:val="top"/>
          </w:tcPr>
          <w:p>
            <w:pPr>
              <w:pStyle w:val="6"/>
              <w:spacing w:before="45" w:line="190" w:lineRule="auto"/>
              <w:rPr>
                <w:rFonts w:ascii="仿宋" w:hAnsi="仿宋" w:eastAsia="仿宋" w:cs="仿宋"/>
              </w:rPr>
            </w:pPr>
            <w:r>
              <w:rPr>
                <w:rFonts w:ascii="仿宋" w:hAnsi="仿宋" w:eastAsia="仿宋" w:cs="仿宋"/>
                <w:spacing w:val="-6"/>
              </w:rPr>
              <w:t>（</w:t>
            </w:r>
            <w:r>
              <w:rPr>
                <w:spacing w:val="-6"/>
              </w:rPr>
              <w:t>33.33%</w:t>
            </w:r>
            <w:r>
              <w:rPr>
                <w:rFonts w:ascii="仿宋" w:hAnsi="仿宋" w:eastAsia="仿宋" w:cs="仿宋"/>
                <w:spacing w:val="-6"/>
              </w:rPr>
              <w:t>）</w:t>
            </w:r>
          </w:p>
        </w:tc>
        <w:tc>
          <w:tcPr>
            <w:tcW w:w="276" w:type="dxa"/>
            <w:tcBorders>
              <w:right w:val="nil"/>
            </w:tcBorders>
            <w:vAlign w:val="top"/>
          </w:tcPr>
          <w:p>
            <w:pPr>
              <w:pStyle w:val="6"/>
              <w:spacing w:before="84" w:line="176" w:lineRule="auto"/>
              <w:ind w:left="123"/>
            </w:pPr>
            <w:r>
              <w:t>2</w:t>
            </w:r>
          </w:p>
        </w:tc>
        <w:tc>
          <w:tcPr>
            <w:tcW w:w="1144" w:type="dxa"/>
            <w:tcBorders>
              <w:left w:val="nil"/>
            </w:tcBorders>
            <w:vAlign w:val="top"/>
          </w:tcPr>
          <w:p>
            <w:pPr>
              <w:pStyle w:val="6"/>
              <w:spacing w:before="45" w:line="190" w:lineRule="auto"/>
              <w:rPr>
                <w:rFonts w:ascii="仿宋" w:hAnsi="仿宋" w:eastAsia="仿宋" w:cs="仿宋"/>
              </w:rPr>
            </w:pPr>
            <w:r>
              <w:rPr>
                <w:rFonts w:ascii="仿宋" w:hAnsi="仿宋" w:eastAsia="仿宋" w:cs="仿宋"/>
                <w:spacing w:val="-6"/>
              </w:rPr>
              <w:t>（</w:t>
            </w:r>
            <w:r>
              <w:rPr>
                <w:spacing w:val="-6"/>
              </w:rPr>
              <w:t>33.33%</w:t>
            </w:r>
            <w:r>
              <w:rPr>
                <w:rFonts w:ascii="仿宋" w:hAnsi="仿宋" w:eastAsia="仿宋" w:cs="仿宋"/>
                <w:spacing w:val="-6"/>
              </w:rPr>
              <w:t>）</w:t>
            </w:r>
          </w:p>
        </w:tc>
        <w:tc>
          <w:tcPr>
            <w:tcW w:w="1419" w:type="dxa"/>
            <w:vAlign w:val="top"/>
          </w:tcPr>
          <w:p>
            <w:pPr>
              <w:pStyle w:val="6"/>
              <w:spacing w:before="155" w:line="101" w:lineRule="exact"/>
              <w:ind w:left="679"/>
            </w:pPr>
            <w:r>
              <w:rPr>
                <w:position w:val="-2"/>
              </w:rPr>
              <w:t>-</w:t>
            </w:r>
          </w:p>
        </w:tc>
        <w:tc>
          <w:tcPr>
            <w:tcW w:w="276" w:type="dxa"/>
            <w:tcBorders>
              <w:right w:val="nil"/>
            </w:tcBorders>
            <w:vAlign w:val="top"/>
          </w:tcPr>
          <w:p>
            <w:pPr>
              <w:pStyle w:val="6"/>
              <w:spacing w:before="84" w:line="176" w:lineRule="auto"/>
              <w:ind w:left="125"/>
            </w:pPr>
            <w:r>
              <w:t>2</w:t>
            </w:r>
          </w:p>
        </w:tc>
        <w:tc>
          <w:tcPr>
            <w:tcW w:w="1144" w:type="dxa"/>
            <w:tcBorders>
              <w:left w:val="nil"/>
            </w:tcBorders>
            <w:vAlign w:val="top"/>
          </w:tcPr>
          <w:p>
            <w:pPr>
              <w:pStyle w:val="6"/>
              <w:spacing w:before="45" w:line="190" w:lineRule="auto"/>
              <w:rPr>
                <w:rFonts w:ascii="仿宋" w:hAnsi="仿宋" w:eastAsia="仿宋" w:cs="仿宋"/>
              </w:rPr>
            </w:pPr>
            <w:r>
              <w:rPr>
                <w:rFonts w:ascii="仿宋" w:hAnsi="仿宋" w:eastAsia="仿宋" w:cs="仿宋"/>
                <w:spacing w:val="-6"/>
              </w:rPr>
              <w:t>（</w:t>
            </w:r>
            <w:r>
              <w:rPr>
                <w:spacing w:val="-6"/>
              </w:rPr>
              <w:t>33.33%</w:t>
            </w:r>
            <w:r>
              <w:rPr>
                <w:rFonts w:ascii="仿宋" w:hAnsi="仿宋" w:eastAsia="仿宋" w:cs="仿宋"/>
                <w:spacing w:val="-6"/>
              </w:rPr>
              <w:t>）</w:t>
            </w:r>
          </w:p>
        </w:tc>
        <w:tc>
          <w:tcPr>
            <w:tcW w:w="1421" w:type="dxa"/>
            <w:tcBorders>
              <w:right w:val="nil"/>
            </w:tcBorders>
            <w:vAlign w:val="top"/>
          </w:tcPr>
          <w:p>
            <w:pPr>
              <w:pStyle w:val="6"/>
              <w:spacing w:before="45" w:line="190" w:lineRule="auto"/>
              <w:ind w:left="208"/>
              <w:rPr>
                <w:rFonts w:ascii="仿宋" w:hAnsi="仿宋" w:eastAsia="仿宋" w:cs="仿宋"/>
              </w:rPr>
            </w:pPr>
            <w:r>
              <w:rPr>
                <w:spacing w:val="-2"/>
              </w:rPr>
              <w:t>6</w:t>
            </w:r>
            <w:r>
              <w:rPr>
                <w:rFonts w:ascii="仿宋" w:hAnsi="仿宋" w:eastAsia="仿宋" w:cs="仿宋"/>
                <w:spacing w:val="-2"/>
              </w:rPr>
              <w:t>（</w:t>
            </w:r>
            <w:r>
              <w:rPr>
                <w:spacing w:val="-2"/>
              </w:rPr>
              <w:t>100%</w:t>
            </w:r>
            <w:r>
              <w:rPr>
                <w:rFonts w:ascii="仿宋" w:hAnsi="仿宋" w:eastAsia="仿宋" w:cs="仿宋"/>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2" w:hRule="atLeast"/>
        </w:trPr>
        <w:tc>
          <w:tcPr>
            <w:tcW w:w="1437" w:type="dxa"/>
            <w:tcBorders>
              <w:left w:val="nil"/>
            </w:tcBorders>
            <w:vAlign w:val="top"/>
          </w:tcPr>
          <w:p>
            <w:pPr>
              <w:pStyle w:val="6"/>
              <w:spacing w:before="88" w:line="172" w:lineRule="auto"/>
              <w:ind w:left="575"/>
            </w:pPr>
            <w:r>
              <w:rPr>
                <w:spacing w:val="-1"/>
              </w:rPr>
              <w:t>W4</w:t>
            </w:r>
          </w:p>
        </w:tc>
        <w:tc>
          <w:tcPr>
            <w:tcW w:w="276" w:type="dxa"/>
            <w:tcBorders>
              <w:right w:val="nil"/>
            </w:tcBorders>
            <w:vAlign w:val="top"/>
          </w:tcPr>
          <w:p>
            <w:pPr>
              <w:pStyle w:val="6"/>
              <w:spacing w:before="88" w:line="172" w:lineRule="auto"/>
              <w:ind w:left="123"/>
            </w:pPr>
            <w:r>
              <w:t>2</w:t>
            </w:r>
          </w:p>
        </w:tc>
        <w:tc>
          <w:tcPr>
            <w:tcW w:w="1144" w:type="dxa"/>
            <w:tcBorders>
              <w:left w:val="nil"/>
            </w:tcBorders>
            <w:vAlign w:val="top"/>
          </w:tcPr>
          <w:p>
            <w:pPr>
              <w:pStyle w:val="6"/>
              <w:spacing w:before="51" w:line="185" w:lineRule="auto"/>
              <w:rPr>
                <w:rFonts w:ascii="仿宋" w:hAnsi="仿宋" w:eastAsia="仿宋" w:cs="仿宋"/>
              </w:rPr>
            </w:pPr>
            <w:r>
              <w:rPr>
                <w:rFonts w:ascii="仿宋" w:hAnsi="仿宋" w:eastAsia="仿宋" w:cs="仿宋"/>
                <w:spacing w:val="-6"/>
              </w:rPr>
              <w:t>（</w:t>
            </w:r>
            <w:r>
              <w:rPr>
                <w:spacing w:val="-6"/>
              </w:rPr>
              <w:t>28.57%</w:t>
            </w:r>
            <w:r>
              <w:rPr>
                <w:rFonts w:ascii="仿宋" w:hAnsi="仿宋" w:eastAsia="仿宋" w:cs="仿宋"/>
                <w:spacing w:val="-6"/>
              </w:rPr>
              <w:t>）</w:t>
            </w:r>
          </w:p>
        </w:tc>
        <w:tc>
          <w:tcPr>
            <w:tcW w:w="276" w:type="dxa"/>
            <w:tcBorders>
              <w:right w:val="nil"/>
            </w:tcBorders>
            <w:vAlign w:val="top"/>
          </w:tcPr>
          <w:p>
            <w:pPr>
              <w:pStyle w:val="6"/>
              <w:spacing w:before="88" w:line="172" w:lineRule="auto"/>
              <w:ind w:left="123"/>
            </w:pPr>
            <w:r>
              <w:t>2</w:t>
            </w:r>
          </w:p>
        </w:tc>
        <w:tc>
          <w:tcPr>
            <w:tcW w:w="1144" w:type="dxa"/>
            <w:tcBorders>
              <w:left w:val="nil"/>
            </w:tcBorders>
            <w:vAlign w:val="top"/>
          </w:tcPr>
          <w:p>
            <w:pPr>
              <w:pStyle w:val="6"/>
              <w:spacing w:before="51" w:line="185" w:lineRule="auto"/>
              <w:rPr>
                <w:rFonts w:ascii="仿宋" w:hAnsi="仿宋" w:eastAsia="仿宋" w:cs="仿宋"/>
              </w:rPr>
            </w:pPr>
            <w:r>
              <w:rPr>
                <w:rFonts w:ascii="仿宋" w:hAnsi="仿宋" w:eastAsia="仿宋" w:cs="仿宋"/>
                <w:spacing w:val="-6"/>
              </w:rPr>
              <w:t>（</w:t>
            </w:r>
            <w:r>
              <w:rPr>
                <w:spacing w:val="-6"/>
              </w:rPr>
              <w:t>28.57%</w:t>
            </w:r>
            <w:r>
              <w:rPr>
                <w:rFonts w:ascii="仿宋" w:hAnsi="仿宋" w:eastAsia="仿宋" w:cs="仿宋"/>
                <w:spacing w:val="-6"/>
              </w:rPr>
              <w:t>）</w:t>
            </w:r>
          </w:p>
        </w:tc>
        <w:tc>
          <w:tcPr>
            <w:tcW w:w="1419" w:type="dxa"/>
            <w:vAlign w:val="top"/>
          </w:tcPr>
          <w:p>
            <w:pPr>
              <w:pStyle w:val="6"/>
              <w:spacing w:before="51" w:line="185" w:lineRule="auto"/>
              <w:ind w:left="144"/>
              <w:rPr>
                <w:rFonts w:ascii="仿宋" w:hAnsi="仿宋" w:eastAsia="仿宋" w:cs="仿宋"/>
              </w:rPr>
            </w:pPr>
            <w:r>
              <w:rPr>
                <w:spacing w:val="-3"/>
              </w:rPr>
              <w:t>1</w:t>
            </w:r>
            <w:r>
              <w:rPr>
                <w:rFonts w:ascii="仿宋" w:hAnsi="仿宋" w:eastAsia="仿宋" w:cs="仿宋"/>
                <w:spacing w:val="-3"/>
              </w:rPr>
              <w:t>（</w:t>
            </w:r>
            <w:r>
              <w:rPr>
                <w:spacing w:val="-3"/>
              </w:rPr>
              <w:t>14.29%</w:t>
            </w:r>
            <w:r>
              <w:rPr>
                <w:rFonts w:ascii="仿宋" w:hAnsi="仿宋" w:eastAsia="仿宋" w:cs="仿宋"/>
                <w:spacing w:val="-3"/>
              </w:rPr>
              <w:t>）</w:t>
            </w:r>
          </w:p>
        </w:tc>
        <w:tc>
          <w:tcPr>
            <w:tcW w:w="276" w:type="dxa"/>
            <w:tcBorders>
              <w:right w:val="nil"/>
            </w:tcBorders>
            <w:vAlign w:val="top"/>
          </w:tcPr>
          <w:p>
            <w:pPr>
              <w:pStyle w:val="6"/>
              <w:spacing w:before="88" w:line="172" w:lineRule="auto"/>
              <w:ind w:left="125"/>
            </w:pPr>
            <w:r>
              <w:t>2</w:t>
            </w:r>
          </w:p>
        </w:tc>
        <w:tc>
          <w:tcPr>
            <w:tcW w:w="1144" w:type="dxa"/>
            <w:tcBorders>
              <w:left w:val="nil"/>
            </w:tcBorders>
            <w:vAlign w:val="top"/>
          </w:tcPr>
          <w:p>
            <w:pPr>
              <w:pStyle w:val="6"/>
              <w:spacing w:before="51" w:line="185" w:lineRule="auto"/>
              <w:rPr>
                <w:rFonts w:ascii="仿宋" w:hAnsi="仿宋" w:eastAsia="仿宋" w:cs="仿宋"/>
              </w:rPr>
            </w:pPr>
            <w:r>
              <w:rPr>
                <w:rFonts w:ascii="仿宋" w:hAnsi="仿宋" w:eastAsia="仿宋" w:cs="仿宋"/>
                <w:spacing w:val="-6"/>
              </w:rPr>
              <w:t>（</w:t>
            </w:r>
            <w:r>
              <w:rPr>
                <w:spacing w:val="-6"/>
              </w:rPr>
              <w:t>28.57%</w:t>
            </w:r>
            <w:r>
              <w:rPr>
                <w:rFonts w:ascii="仿宋" w:hAnsi="仿宋" w:eastAsia="仿宋" w:cs="仿宋"/>
                <w:spacing w:val="-6"/>
              </w:rPr>
              <w:t>）</w:t>
            </w:r>
          </w:p>
        </w:tc>
        <w:tc>
          <w:tcPr>
            <w:tcW w:w="1421" w:type="dxa"/>
            <w:tcBorders>
              <w:right w:val="nil"/>
            </w:tcBorders>
            <w:vAlign w:val="top"/>
          </w:tcPr>
          <w:p>
            <w:pPr>
              <w:pStyle w:val="6"/>
              <w:spacing w:before="51" w:line="185" w:lineRule="auto"/>
              <w:ind w:left="207"/>
              <w:rPr>
                <w:rFonts w:ascii="仿宋" w:hAnsi="仿宋" w:eastAsia="仿宋" w:cs="仿宋"/>
              </w:rPr>
            </w:pPr>
            <w:r>
              <w:rPr>
                <w:spacing w:val="-2"/>
              </w:rPr>
              <w:t>7</w:t>
            </w:r>
            <w:r>
              <w:rPr>
                <w:rFonts w:ascii="仿宋" w:hAnsi="仿宋" w:eastAsia="仿宋" w:cs="仿宋"/>
                <w:spacing w:val="-2"/>
              </w:rPr>
              <w:t>（</w:t>
            </w:r>
            <w:r>
              <w:rPr>
                <w:spacing w:val="-2"/>
              </w:rPr>
              <w:t>100%</w:t>
            </w:r>
            <w:r>
              <w:rPr>
                <w:rFonts w:ascii="仿宋" w:hAnsi="仿宋" w:eastAsia="仿宋" w:cs="仿宋"/>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7" w:hRule="atLeast"/>
        </w:trPr>
        <w:tc>
          <w:tcPr>
            <w:tcW w:w="1437" w:type="dxa"/>
            <w:tcBorders>
              <w:left w:val="nil"/>
              <w:bottom w:val="single" w:color="000000" w:sz="12" w:space="0"/>
            </w:tcBorders>
            <w:vAlign w:val="top"/>
          </w:tcPr>
          <w:p>
            <w:pPr>
              <w:spacing w:before="56" w:line="203" w:lineRule="auto"/>
              <w:ind w:left="534"/>
              <w:rPr>
                <w:rFonts w:ascii="仿宋" w:hAnsi="仿宋" w:eastAsia="仿宋" w:cs="仿宋"/>
                <w:sz w:val="21"/>
                <w:szCs w:val="21"/>
              </w:rPr>
            </w:pPr>
            <w:r>
              <w:rPr>
                <w:rFonts w:ascii="仿宋" w:hAnsi="仿宋" w:eastAsia="仿宋" w:cs="仿宋"/>
                <w:spacing w:val="-5"/>
                <w:sz w:val="21"/>
                <w:szCs w:val="21"/>
              </w:rPr>
              <w:t>合计</w:t>
            </w:r>
          </w:p>
        </w:tc>
        <w:tc>
          <w:tcPr>
            <w:tcW w:w="276" w:type="dxa"/>
            <w:tcBorders>
              <w:bottom w:val="single" w:color="000000" w:sz="12" w:space="0"/>
              <w:right w:val="nil"/>
            </w:tcBorders>
            <w:vAlign w:val="top"/>
          </w:tcPr>
          <w:p>
            <w:pPr>
              <w:pStyle w:val="6"/>
              <w:spacing w:before="94" w:line="186" w:lineRule="auto"/>
              <w:ind w:left="123"/>
            </w:pPr>
            <w:r>
              <w:t>2</w:t>
            </w:r>
          </w:p>
        </w:tc>
        <w:tc>
          <w:tcPr>
            <w:tcW w:w="1144" w:type="dxa"/>
            <w:tcBorders>
              <w:left w:val="nil"/>
              <w:bottom w:val="single" w:color="000000" w:sz="12" w:space="0"/>
            </w:tcBorders>
            <w:vAlign w:val="top"/>
          </w:tcPr>
          <w:p>
            <w:pPr>
              <w:pStyle w:val="6"/>
              <w:spacing w:before="56" w:line="203" w:lineRule="auto"/>
              <w:rPr>
                <w:rFonts w:ascii="仿宋" w:hAnsi="仿宋" w:eastAsia="仿宋" w:cs="仿宋"/>
              </w:rPr>
            </w:pPr>
            <w:r>
              <w:rPr>
                <w:rFonts w:ascii="仿宋" w:hAnsi="仿宋" w:eastAsia="仿宋" w:cs="仿宋"/>
                <w:spacing w:val="-6"/>
              </w:rPr>
              <w:t>（</w:t>
            </w:r>
            <w:r>
              <w:rPr>
                <w:spacing w:val="-6"/>
              </w:rPr>
              <w:t>28.57%</w:t>
            </w:r>
            <w:r>
              <w:rPr>
                <w:rFonts w:ascii="仿宋" w:hAnsi="仿宋" w:eastAsia="仿宋" w:cs="仿宋"/>
                <w:spacing w:val="-6"/>
              </w:rPr>
              <w:t>）</w:t>
            </w:r>
          </w:p>
        </w:tc>
        <w:tc>
          <w:tcPr>
            <w:tcW w:w="276" w:type="dxa"/>
            <w:tcBorders>
              <w:bottom w:val="single" w:color="000000" w:sz="12" w:space="0"/>
              <w:right w:val="nil"/>
            </w:tcBorders>
            <w:vAlign w:val="top"/>
          </w:tcPr>
          <w:p>
            <w:pPr>
              <w:pStyle w:val="6"/>
              <w:spacing w:before="94" w:line="186" w:lineRule="auto"/>
              <w:ind w:left="123"/>
            </w:pPr>
            <w:r>
              <w:t>2</w:t>
            </w:r>
          </w:p>
        </w:tc>
        <w:tc>
          <w:tcPr>
            <w:tcW w:w="1144" w:type="dxa"/>
            <w:tcBorders>
              <w:left w:val="nil"/>
              <w:bottom w:val="single" w:color="000000" w:sz="12" w:space="0"/>
            </w:tcBorders>
            <w:vAlign w:val="top"/>
          </w:tcPr>
          <w:p>
            <w:pPr>
              <w:pStyle w:val="6"/>
              <w:spacing w:before="56" w:line="203" w:lineRule="auto"/>
              <w:rPr>
                <w:rFonts w:ascii="仿宋" w:hAnsi="仿宋" w:eastAsia="仿宋" w:cs="仿宋"/>
              </w:rPr>
            </w:pPr>
            <w:r>
              <w:rPr>
                <w:rFonts w:ascii="仿宋" w:hAnsi="仿宋" w:eastAsia="仿宋" w:cs="仿宋"/>
                <w:spacing w:val="-6"/>
              </w:rPr>
              <w:t>（</w:t>
            </w:r>
            <w:r>
              <w:rPr>
                <w:spacing w:val="-6"/>
              </w:rPr>
              <w:t>28.57%</w:t>
            </w:r>
            <w:r>
              <w:rPr>
                <w:rFonts w:ascii="仿宋" w:hAnsi="仿宋" w:eastAsia="仿宋" w:cs="仿宋"/>
                <w:spacing w:val="-6"/>
              </w:rPr>
              <w:t>）</w:t>
            </w:r>
          </w:p>
        </w:tc>
        <w:tc>
          <w:tcPr>
            <w:tcW w:w="1419" w:type="dxa"/>
            <w:tcBorders>
              <w:bottom w:val="single" w:color="000000" w:sz="12" w:space="0"/>
            </w:tcBorders>
            <w:vAlign w:val="top"/>
          </w:tcPr>
          <w:p>
            <w:pPr>
              <w:pStyle w:val="6"/>
              <w:spacing w:before="56" w:line="203" w:lineRule="auto"/>
              <w:ind w:left="144"/>
              <w:rPr>
                <w:rFonts w:ascii="仿宋" w:hAnsi="仿宋" w:eastAsia="仿宋" w:cs="仿宋"/>
              </w:rPr>
            </w:pPr>
            <w:r>
              <w:rPr>
                <w:spacing w:val="-3"/>
              </w:rPr>
              <w:t>1</w:t>
            </w:r>
            <w:r>
              <w:rPr>
                <w:rFonts w:ascii="仿宋" w:hAnsi="仿宋" w:eastAsia="仿宋" w:cs="仿宋"/>
                <w:spacing w:val="-3"/>
              </w:rPr>
              <w:t>（</w:t>
            </w:r>
            <w:r>
              <w:rPr>
                <w:spacing w:val="-3"/>
              </w:rPr>
              <w:t>14.29%</w:t>
            </w:r>
            <w:r>
              <w:rPr>
                <w:rFonts w:ascii="仿宋" w:hAnsi="仿宋" w:eastAsia="仿宋" w:cs="仿宋"/>
                <w:spacing w:val="-3"/>
              </w:rPr>
              <w:t>）</w:t>
            </w:r>
          </w:p>
        </w:tc>
        <w:tc>
          <w:tcPr>
            <w:tcW w:w="276" w:type="dxa"/>
            <w:tcBorders>
              <w:bottom w:val="single" w:color="000000" w:sz="12" w:space="0"/>
              <w:right w:val="nil"/>
            </w:tcBorders>
            <w:vAlign w:val="top"/>
          </w:tcPr>
          <w:p>
            <w:pPr>
              <w:pStyle w:val="6"/>
              <w:spacing w:before="94" w:line="186" w:lineRule="auto"/>
              <w:ind w:left="125"/>
            </w:pPr>
            <w:r>
              <w:t>2</w:t>
            </w:r>
          </w:p>
        </w:tc>
        <w:tc>
          <w:tcPr>
            <w:tcW w:w="1144" w:type="dxa"/>
            <w:tcBorders>
              <w:left w:val="nil"/>
              <w:bottom w:val="single" w:color="000000" w:sz="12" w:space="0"/>
            </w:tcBorders>
            <w:vAlign w:val="top"/>
          </w:tcPr>
          <w:p>
            <w:pPr>
              <w:pStyle w:val="6"/>
              <w:spacing w:before="56" w:line="203" w:lineRule="auto"/>
              <w:rPr>
                <w:rFonts w:ascii="仿宋" w:hAnsi="仿宋" w:eastAsia="仿宋" w:cs="仿宋"/>
              </w:rPr>
            </w:pPr>
            <w:r>
              <w:rPr>
                <w:rFonts w:ascii="仿宋" w:hAnsi="仿宋" w:eastAsia="仿宋" w:cs="仿宋"/>
                <w:spacing w:val="-6"/>
              </w:rPr>
              <w:t>（</w:t>
            </w:r>
            <w:r>
              <w:rPr>
                <w:spacing w:val="-6"/>
              </w:rPr>
              <w:t>28.57%</w:t>
            </w:r>
            <w:r>
              <w:rPr>
                <w:rFonts w:ascii="仿宋" w:hAnsi="仿宋" w:eastAsia="仿宋" w:cs="仿宋"/>
                <w:spacing w:val="-6"/>
              </w:rPr>
              <w:t>）</w:t>
            </w:r>
          </w:p>
        </w:tc>
        <w:tc>
          <w:tcPr>
            <w:tcW w:w="1421" w:type="dxa"/>
            <w:tcBorders>
              <w:bottom w:val="single" w:color="000000" w:sz="12" w:space="0"/>
              <w:right w:val="nil"/>
            </w:tcBorders>
            <w:vAlign w:val="top"/>
          </w:tcPr>
          <w:p>
            <w:pPr>
              <w:pStyle w:val="6"/>
              <w:spacing w:before="56" w:line="203" w:lineRule="auto"/>
              <w:ind w:left="207"/>
              <w:rPr>
                <w:rFonts w:ascii="仿宋" w:hAnsi="仿宋" w:eastAsia="仿宋" w:cs="仿宋"/>
              </w:rPr>
            </w:pPr>
            <w:r>
              <w:rPr>
                <w:spacing w:val="-2"/>
              </w:rPr>
              <w:t>7</w:t>
            </w:r>
            <w:r>
              <w:rPr>
                <w:rFonts w:ascii="仿宋" w:hAnsi="仿宋" w:eastAsia="仿宋" w:cs="仿宋"/>
                <w:spacing w:val="-2"/>
              </w:rPr>
              <w:t>（</w:t>
            </w:r>
            <w:r>
              <w:rPr>
                <w:spacing w:val="-2"/>
              </w:rPr>
              <w:t>100%</w:t>
            </w:r>
            <w:r>
              <w:rPr>
                <w:rFonts w:ascii="仿宋" w:hAnsi="仿宋" w:eastAsia="仿宋" w:cs="仿宋"/>
                <w:spacing w:val="-2"/>
              </w:rPr>
              <w:t>）</w:t>
            </w:r>
          </w:p>
        </w:tc>
      </w:tr>
    </w:tbl>
    <w:p>
      <w:pPr>
        <w:spacing w:before="172" w:line="233" w:lineRule="auto"/>
        <w:ind w:left="460"/>
        <w:rPr>
          <w:rFonts w:ascii="宋体" w:hAnsi="宋体" w:eastAsia="宋体" w:cs="宋体"/>
          <w:sz w:val="21"/>
          <w:szCs w:val="21"/>
        </w:rPr>
      </w:pPr>
      <w:r>
        <w:rPr>
          <w:rFonts w:ascii="宋体" w:hAnsi="宋体" w:eastAsia="宋体" w:cs="宋体"/>
          <w:spacing w:val="-13"/>
          <w:sz w:val="21"/>
          <w:szCs w:val="21"/>
          <w14:textOutline w14:w="3810" w14:cap="flat" w14:cmpd="sng">
            <w14:solidFill>
              <w14:srgbClr w14:val="000000"/>
            </w14:solidFill>
            <w14:prstDash w14:val="solid"/>
            <w14:miter w14:val="0"/>
          </w14:textOutline>
        </w:rPr>
        <w:t>注：“</w:t>
      </w:r>
      <w:r>
        <w:rPr>
          <w:rFonts w:ascii="Times New Roman" w:hAnsi="Times New Roman" w:eastAsia="Times New Roman" w:cs="Times New Roman"/>
          <w:b/>
          <w:bCs/>
          <w:spacing w:val="-13"/>
          <w:sz w:val="21"/>
          <w:szCs w:val="21"/>
        </w:rPr>
        <w:t>-</w:t>
      </w:r>
      <w:r>
        <w:rPr>
          <w:rFonts w:ascii="Times New Roman" w:hAnsi="Times New Roman" w:eastAsia="Times New Roman" w:cs="Times New Roman"/>
          <w:b/>
          <w:bCs/>
          <w:spacing w:val="-25"/>
          <w:sz w:val="21"/>
          <w:szCs w:val="21"/>
        </w:rPr>
        <w:t xml:space="preserve"> </w:t>
      </w:r>
      <w:r>
        <w:rPr>
          <w:rFonts w:ascii="宋体" w:hAnsi="宋体" w:eastAsia="宋体" w:cs="宋体"/>
          <w:spacing w:val="-13"/>
          <w:sz w:val="21"/>
          <w:szCs w:val="21"/>
          <w14:textOutline w14:w="3810" w14:cap="flat" w14:cmpd="sng">
            <w14:solidFill>
              <w14:srgbClr w14:val="000000"/>
            </w14:solidFill>
            <w14:prstDash w14:val="solid"/>
            <w14:miter w14:val="0"/>
          </w14:textOutline>
        </w:rPr>
        <w:t>”表示未检出，“（</w:t>
      </w:r>
      <w:r>
        <w:rPr>
          <w:rFonts w:ascii="Times New Roman" w:hAnsi="Times New Roman" w:eastAsia="Times New Roman" w:cs="Times New Roman"/>
          <w:b/>
          <w:bCs/>
          <w:spacing w:val="-13"/>
          <w:sz w:val="21"/>
          <w:szCs w:val="21"/>
        </w:rPr>
        <w:t>%</w:t>
      </w:r>
      <w:r>
        <w:rPr>
          <w:rFonts w:ascii="宋体" w:hAnsi="宋体" w:eastAsia="宋体" w:cs="宋体"/>
          <w:spacing w:val="-13"/>
          <w:sz w:val="21"/>
          <w:szCs w:val="21"/>
          <w14:textOutline w14:w="3810" w14:cap="flat" w14:cmpd="sng">
            <w14:solidFill>
              <w14:srgbClr w14:val="000000"/>
            </w14:solidFill>
            <w14:prstDash w14:val="solid"/>
            <w14:miter w14:val="0"/>
          </w14:textOutline>
        </w:rPr>
        <w:t>）”中数字表示种类数占该点总种数的百分数</w:t>
      </w:r>
    </w:p>
    <w:p>
      <w:pPr>
        <w:spacing w:before="150" w:line="439" w:lineRule="exact"/>
        <w:ind w:left="517"/>
        <w:rPr>
          <w:rFonts w:ascii="宋体" w:hAnsi="宋体" w:eastAsia="宋体" w:cs="宋体"/>
          <w:sz w:val="24"/>
          <w:szCs w:val="24"/>
        </w:rPr>
      </w:pPr>
      <w:r>
        <w:rPr>
          <w:rFonts w:ascii="宋体" w:hAnsi="宋体" w:eastAsia="宋体" w:cs="宋体"/>
          <w:spacing w:val="-1"/>
          <w:position w:val="15"/>
          <w:sz w:val="24"/>
          <w:szCs w:val="24"/>
        </w:rPr>
        <w:t>⑤鱼类现状及评价</w:t>
      </w:r>
    </w:p>
    <w:p>
      <w:pPr>
        <w:spacing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鱼类资源调查</w:t>
      </w:r>
    </w:p>
    <w:p>
      <w:pPr>
        <w:spacing w:before="139" w:line="338" w:lineRule="auto"/>
        <w:ind w:left="42" w:right="216" w:firstLine="479"/>
        <w:jc w:val="both"/>
        <w:rPr>
          <w:rFonts w:ascii="宋体" w:hAnsi="宋体" w:eastAsia="宋体" w:cs="宋体"/>
          <w:sz w:val="24"/>
          <w:szCs w:val="24"/>
        </w:rPr>
      </w:pPr>
      <w:r>
        <w:rPr>
          <w:rFonts w:ascii="宋体" w:hAnsi="宋体" w:eastAsia="宋体" w:cs="宋体"/>
          <w:spacing w:val="-12"/>
          <w:sz w:val="24"/>
          <w:szCs w:val="24"/>
        </w:rPr>
        <w:t>经过市场和田间调查，</w:t>
      </w:r>
      <w:r>
        <w:rPr>
          <w:rFonts w:ascii="宋体" w:hAnsi="宋体" w:eastAsia="宋体" w:cs="宋体"/>
          <w:spacing w:val="32"/>
          <w:sz w:val="24"/>
          <w:szCs w:val="24"/>
        </w:rPr>
        <w:t xml:space="preserve"> </w:t>
      </w:r>
      <w:r>
        <w:rPr>
          <w:rFonts w:ascii="宋体" w:hAnsi="宋体" w:eastAsia="宋体" w:cs="宋体"/>
          <w:spacing w:val="-12"/>
          <w:sz w:val="24"/>
          <w:szCs w:val="24"/>
        </w:rPr>
        <w:t>查阅相关文献资料，</w:t>
      </w:r>
      <w:r>
        <w:rPr>
          <w:rFonts w:ascii="宋体" w:hAnsi="宋体" w:eastAsia="宋体" w:cs="宋体"/>
          <w:spacing w:val="31"/>
          <w:sz w:val="24"/>
          <w:szCs w:val="24"/>
        </w:rPr>
        <w:t xml:space="preserve"> </w:t>
      </w:r>
      <w:r>
        <w:rPr>
          <w:rFonts w:ascii="宋体" w:hAnsi="宋体" w:eastAsia="宋体" w:cs="宋体"/>
          <w:spacing w:val="-12"/>
          <w:sz w:val="24"/>
          <w:szCs w:val="24"/>
        </w:rPr>
        <w:t>本</w:t>
      </w:r>
      <w:r>
        <w:rPr>
          <w:rFonts w:ascii="宋体" w:hAnsi="宋体" w:eastAsia="宋体" w:cs="宋体"/>
          <w:spacing w:val="-13"/>
          <w:sz w:val="24"/>
          <w:szCs w:val="24"/>
        </w:rPr>
        <w:t>项目涉及桂花河及其支流、引</w:t>
      </w:r>
      <w:r>
        <w:rPr>
          <w:rFonts w:ascii="宋体" w:hAnsi="宋体" w:eastAsia="宋体" w:cs="宋体"/>
          <w:sz w:val="24"/>
          <w:szCs w:val="24"/>
        </w:rPr>
        <w:t xml:space="preserve"> </w:t>
      </w:r>
      <w:r>
        <w:rPr>
          <w:rFonts w:ascii="宋体" w:hAnsi="宋体" w:eastAsia="宋体" w:cs="宋体"/>
          <w:spacing w:val="-3"/>
          <w:sz w:val="24"/>
          <w:szCs w:val="24"/>
        </w:rPr>
        <w:t>水、引洪、输水管道等沿线河段、水塘和碧么水库。本次调查主要在评</w:t>
      </w:r>
      <w:r>
        <w:rPr>
          <w:rFonts w:ascii="宋体" w:hAnsi="宋体" w:eastAsia="宋体" w:cs="宋体"/>
          <w:spacing w:val="-4"/>
          <w:sz w:val="24"/>
          <w:szCs w:val="24"/>
        </w:rPr>
        <w:t>价区涉及</w:t>
      </w:r>
      <w:r>
        <w:rPr>
          <w:rFonts w:ascii="宋体" w:hAnsi="宋体" w:eastAsia="宋体" w:cs="宋体"/>
          <w:sz w:val="24"/>
          <w:szCs w:val="24"/>
        </w:rPr>
        <w:t xml:space="preserve"> </w:t>
      </w:r>
      <w:r>
        <w:rPr>
          <w:rFonts w:ascii="宋体" w:hAnsi="宋体" w:eastAsia="宋体" w:cs="宋体"/>
          <w:spacing w:val="-3"/>
          <w:sz w:val="24"/>
          <w:szCs w:val="24"/>
        </w:rPr>
        <w:t>的桂花河、罗子左河、拟建桂花水库坝址区和碧么水库</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个工作点进行访</w:t>
      </w:r>
      <w:r>
        <w:rPr>
          <w:rFonts w:ascii="宋体" w:hAnsi="宋体" w:eastAsia="宋体" w:cs="宋体"/>
          <w:spacing w:val="-4"/>
          <w:sz w:val="24"/>
          <w:szCs w:val="24"/>
        </w:rPr>
        <w:t>问和市</w:t>
      </w:r>
    </w:p>
    <w:p>
      <w:pPr>
        <w:spacing w:before="1" w:line="218" w:lineRule="auto"/>
        <w:ind w:left="38"/>
        <w:rPr>
          <w:rFonts w:ascii="宋体" w:hAnsi="宋体" w:eastAsia="宋体" w:cs="宋体"/>
          <w:sz w:val="24"/>
          <w:szCs w:val="24"/>
        </w:rPr>
      </w:pPr>
      <w:r>
        <w:rPr>
          <w:rFonts w:ascii="宋体" w:hAnsi="宋体" w:eastAsia="宋体" w:cs="宋体"/>
          <w:spacing w:val="-2"/>
          <w:sz w:val="24"/>
          <w:szCs w:val="24"/>
        </w:rPr>
        <w:t>场调查。由于是禁渔期，没有进行捕捞，没有采到鱼类标本。</w:t>
      </w:r>
    </w:p>
    <w:p>
      <w:pPr>
        <w:spacing w:before="156" w:line="439" w:lineRule="exact"/>
        <w:ind w:left="519"/>
        <w:rPr>
          <w:rFonts w:ascii="宋体" w:hAnsi="宋体" w:eastAsia="宋体" w:cs="宋体"/>
          <w:sz w:val="24"/>
          <w:szCs w:val="24"/>
        </w:rPr>
      </w:pPr>
      <w:r>
        <w:rPr>
          <w:rFonts w:ascii="宋体" w:hAnsi="宋体" w:eastAsia="宋体" w:cs="宋体"/>
          <w:spacing w:val="-9"/>
          <w:position w:val="15"/>
          <w:sz w:val="24"/>
          <w:szCs w:val="24"/>
        </w:rPr>
        <w:t>通过调查得知， 本评价区涉及流域和水库内有鱼类</w:t>
      </w:r>
      <w:r>
        <w:rPr>
          <w:rFonts w:ascii="宋体" w:hAnsi="宋体" w:eastAsia="宋体" w:cs="宋体"/>
          <w:spacing w:val="-48"/>
          <w:position w:val="15"/>
          <w:sz w:val="24"/>
          <w:szCs w:val="24"/>
        </w:rPr>
        <w:t xml:space="preserve"> </w:t>
      </w:r>
      <w:r>
        <w:rPr>
          <w:rFonts w:ascii="Times New Roman" w:hAnsi="Times New Roman" w:eastAsia="Times New Roman" w:cs="Times New Roman"/>
          <w:spacing w:val="-9"/>
          <w:position w:val="15"/>
          <w:sz w:val="24"/>
          <w:szCs w:val="24"/>
        </w:rPr>
        <w:t xml:space="preserve">5  </w:t>
      </w:r>
      <w:r>
        <w:rPr>
          <w:rFonts w:ascii="宋体" w:hAnsi="宋体" w:eastAsia="宋体" w:cs="宋体"/>
          <w:spacing w:val="-9"/>
          <w:position w:val="15"/>
          <w:sz w:val="24"/>
          <w:szCs w:val="24"/>
        </w:rPr>
        <w:t>目</w:t>
      </w:r>
      <w:r>
        <w:rPr>
          <w:rFonts w:ascii="宋体" w:hAnsi="宋体" w:eastAsia="宋体" w:cs="宋体"/>
          <w:spacing w:val="-51"/>
          <w:position w:val="15"/>
          <w:sz w:val="24"/>
          <w:szCs w:val="24"/>
        </w:rPr>
        <w:t xml:space="preserve"> </w:t>
      </w:r>
      <w:r>
        <w:rPr>
          <w:rFonts w:ascii="Times New Roman" w:hAnsi="Times New Roman" w:eastAsia="Times New Roman" w:cs="Times New Roman"/>
          <w:spacing w:val="-9"/>
          <w:position w:val="15"/>
          <w:sz w:val="24"/>
          <w:szCs w:val="24"/>
        </w:rPr>
        <w:t xml:space="preserve">9 </w:t>
      </w:r>
      <w:r>
        <w:rPr>
          <w:rFonts w:ascii="宋体" w:hAnsi="宋体" w:eastAsia="宋体" w:cs="宋体"/>
          <w:spacing w:val="-9"/>
          <w:position w:val="15"/>
          <w:sz w:val="24"/>
          <w:szCs w:val="24"/>
        </w:rPr>
        <w:t>科</w:t>
      </w:r>
      <w:r>
        <w:rPr>
          <w:rFonts w:ascii="宋体" w:hAnsi="宋体" w:eastAsia="宋体" w:cs="宋体"/>
          <w:spacing w:val="-32"/>
          <w:position w:val="15"/>
          <w:sz w:val="24"/>
          <w:szCs w:val="24"/>
        </w:rPr>
        <w:t xml:space="preserve"> </w:t>
      </w:r>
      <w:r>
        <w:rPr>
          <w:rFonts w:ascii="Times New Roman" w:hAnsi="Times New Roman" w:eastAsia="Times New Roman" w:cs="Times New Roman"/>
          <w:spacing w:val="-10"/>
          <w:position w:val="15"/>
          <w:sz w:val="24"/>
          <w:szCs w:val="24"/>
        </w:rPr>
        <w:t xml:space="preserve">19 </w:t>
      </w:r>
      <w:r>
        <w:rPr>
          <w:rFonts w:ascii="宋体" w:hAnsi="宋体" w:eastAsia="宋体" w:cs="宋体"/>
          <w:spacing w:val="-10"/>
          <w:position w:val="15"/>
          <w:sz w:val="24"/>
          <w:szCs w:val="24"/>
        </w:rPr>
        <w:t>属</w:t>
      </w:r>
      <w:r>
        <w:rPr>
          <w:rFonts w:ascii="宋体" w:hAnsi="宋体" w:eastAsia="宋体" w:cs="宋体"/>
          <w:spacing w:val="-32"/>
          <w:position w:val="15"/>
          <w:sz w:val="24"/>
          <w:szCs w:val="24"/>
        </w:rPr>
        <w:t xml:space="preserve"> </w:t>
      </w:r>
      <w:r>
        <w:rPr>
          <w:rFonts w:ascii="Times New Roman" w:hAnsi="Times New Roman" w:eastAsia="Times New Roman" w:cs="Times New Roman"/>
          <w:spacing w:val="-10"/>
          <w:position w:val="15"/>
          <w:sz w:val="24"/>
          <w:szCs w:val="24"/>
        </w:rPr>
        <w:t>19</w:t>
      </w:r>
      <w:r>
        <w:rPr>
          <w:rFonts w:ascii="Times New Roman" w:hAnsi="Times New Roman" w:eastAsia="Times New Roman" w:cs="Times New Roman"/>
          <w:spacing w:val="10"/>
          <w:position w:val="15"/>
          <w:sz w:val="24"/>
          <w:szCs w:val="24"/>
        </w:rPr>
        <w:t xml:space="preserve"> </w:t>
      </w:r>
      <w:r>
        <w:rPr>
          <w:rFonts w:ascii="宋体" w:hAnsi="宋体" w:eastAsia="宋体" w:cs="宋体"/>
          <w:spacing w:val="-10"/>
          <w:position w:val="15"/>
          <w:sz w:val="24"/>
          <w:szCs w:val="24"/>
        </w:rPr>
        <w:t>种，均</w:t>
      </w:r>
    </w:p>
    <w:p>
      <w:pPr>
        <w:spacing w:before="1" w:line="219" w:lineRule="auto"/>
        <w:ind w:left="43"/>
        <w:rPr>
          <w:rFonts w:ascii="宋体" w:hAnsi="宋体" w:eastAsia="宋体" w:cs="宋体"/>
          <w:sz w:val="24"/>
          <w:szCs w:val="24"/>
        </w:rPr>
      </w:pPr>
      <w:r>
        <w:rPr>
          <w:rFonts w:ascii="宋体" w:hAnsi="宋体" w:eastAsia="宋体" w:cs="宋体"/>
          <w:spacing w:val="-1"/>
          <w:sz w:val="24"/>
          <w:szCs w:val="24"/>
        </w:rPr>
        <w:t>不属于珍稀濒危物种、鱼类种质资源等，列表如下。</w:t>
      </w:r>
    </w:p>
    <w:p>
      <w:pPr>
        <w:pStyle w:val="2"/>
        <w:spacing w:before="181" w:line="218" w:lineRule="auto"/>
        <w:ind w:left="2001"/>
      </w:pPr>
      <w:r>
        <w:rPr>
          <w14:textOutline w14:w="3810" w14:cap="flat" w14:cmpd="sng">
            <w14:solidFill>
              <w14:srgbClr w14:val="000000"/>
            </w14:solidFill>
            <w14:prstDash w14:val="solid"/>
            <w14:miter w14:val="0"/>
          </w14:textOutline>
        </w:rPr>
        <w:t>表</w:t>
      </w:r>
      <w:r>
        <w:rPr>
          <w:spacing w:val="-47"/>
        </w:rPr>
        <w:t xml:space="preserve"> </w:t>
      </w:r>
      <w:r>
        <w:rPr>
          <w:rFonts w:ascii="Times New Roman" w:hAnsi="Times New Roman" w:eastAsia="Times New Roman" w:cs="Times New Roman"/>
          <w:b/>
          <w:bCs/>
        </w:rPr>
        <w:t xml:space="preserve">3.2-39    </w:t>
      </w:r>
      <w:r>
        <w:rPr>
          <w14:textOutline w14:w="3810" w14:cap="flat" w14:cmpd="sng">
            <w14:solidFill>
              <w14:srgbClr w14:val="000000"/>
            </w14:solidFill>
            <w14:prstDash w14:val="solid"/>
            <w14:miter w14:val="0"/>
          </w14:textOutline>
        </w:rPr>
        <w:t>评价区域各工作点采集到的鱼</w:t>
      </w:r>
      <w:r>
        <w:rPr>
          <w:spacing w:val="-1"/>
          <w14:textOutline w14:w="3810" w14:cap="flat" w14:cmpd="sng">
            <w14:solidFill>
              <w14:srgbClr w14:val="000000"/>
            </w14:solidFill>
            <w14:prstDash w14:val="solid"/>
            <w14:miter w14:val="0"/>
          </w14:textOutline>
        </w:rPr>
        <w:t>类动物名录</w:t>
      </w:r>
    </w:p>
    <w:p>
      <w:pPr>
        <w:spacing w:line="20"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0"/>
        <w:gridCol w:w="1210"/>
        <w:gridCol w:w="2048"/>
        <w:gridCol w:w="701"/>
        <w:gridCol w:w="1454"/>
        <w:gridCol w:w="894"/>
        <w:gridCol w:w="14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0" w:hRule="atLeast"/>
        </w:trPr>
        <w:tc>
          <w:tcPr>
            <w:tcW w:w="590" w:type="dxa"/>
            <w:tcBorders>
              <w:top w:val="single" w:color="000000" w:sz="12" w:space="0"/>
              <w:left w:val="nil"/>
            </w:tcBorders>
            <w:textDirection w:val="tbRlV"/>
            <w:vAlign w:val="top"/>
          </w:tcPr>
          <w:p>
            <w:pPr>
              <w:spacing w:before="180" w:line="202" w:lineRule="auto"/>
              <w:ind w:left="51"/>
              <w:rPr>
                <w:rFonts w:ascii="仿宋" w:hAnsi="仿宋" w:eastAsia="仿宋" w:cs="仿宋"/>
                <w:sz w:val="21"/>
                <w:szCs w:val="21"/>
              </w:rPr>
            </w:pPr>
            <w:r>
              <w:rPr>
                <w:rFonts w:ascii="仿宋" w:hAnsi="仿宋" w:eastAsia="仿宋" w:cs="仿宋"/>
                <w:spacing w:val="-1"/>
                <w:sz w:val="21"/>
                <w:szCs w:val="21"/>
                <w14:textOutline w14:w="3810" w14:cap="flat" w14:cmpd="sng">
                  <w14:solidFill>
                    <w14:srgbClr w14:val="000000"/>
                  </w14:solidFill>
                  <w14:prstDash w14:val="solid"/>
                  <w14:miter w14:val="0"/>
                </w14:textOutline>
              </w:rPr>
              <w:t>序</w:t>
            </w:r>
            <w:r>
              <w:rPr>
                <w:rFonts w:ascii="仿宋" w:hAnsi="仿宋" w:eastAsia="仿宋" w:cs="仿宋"/>
                <w:spacing w:val="-1"/>
                <w:sz w:val="21"/>
                <w:szCs w:val="21"/>
              </w:rPr>
              <w:t xml:space="preserve"> </w:t>
            </w:r>
            <w:r>
              <w:rPr>
                <w:rFonts w:ascii="仿宋" w:hAnsi="仿宋" w:eastAsia="仿宋" w:cs="仿宋"/>
                <w:spacing w:val="-1"/>
                <w:sz w:val="21"/>
                <w:szCs w:val="21"/>
                <w14:textOutline w14:w="3810" w14:cap="flat" w14:cmpd="sng">
                  <w14:solidFill>
                    <w14:srgbClr w14:val="000000"/>
                  </w14:solidFill>
                  <w14:prstDash w14:val="solid"/>
                  <w14:miter w14:val="0"/>
                </w14:textOutline>
              </w:rPr>
              <w:t>号</w:t>
            </w:r>
          </w:p>
        </w:tc>
        <w:tc>
          <w:tcPr>
            <w:tcW w:w="1210" w:type="dxa"/>
            <w:tcBorders>
              <w:top w:val="single" w:color="000000" w:sz="12" w:space="0"/>
            </w:tcBorders>
            <w:vAlign w:val="top"/>
          </w:tcPr>
          <w:p>
            <w:pPr>
              <w:spacing w:before="207" w:line="218" w:lineRule="auto"/>
              <w:ind w:left="326"/>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中文名</w:t>
            </w:r>
          </w:p>
        </w:tc>
        <w:tc>
          <w:tcPr>
            <w:tcW w:w="2048" w:type="dxa"/>
            <w:tcBorders>
              <w:top w:val="single" w:color="000000" w:sz="12" w:space="0"/>
            </w:tcBorders>
            <w:vAlign w:val="top"/>
          </w:tcPr>
          <w:p>
            <w:pPr>
              <w:spacing w:before="206" w:line="220" w:lineRule="auto"/>
              <w:ind w:left="71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拉丁名</w:t>
            </w:r>
          </w:p>
        </w:tc>
        <w:tc>
          <w:tcPr>
            <w:tcW w:w="701" w:type="dxa"/>
            <w:tcBorders>
              <w:top w:val="single" w:color="000000" w:sz="12" w:space="0"/>
            </w:tcBorders>
            <w:vAlign w:val="top"/>
          </w:tcPr>
          <w:p>
            <w:pPr>
              <w:spacing w:before="50" w:line="246" w:lineRule="auto"/>
              <w:ind w:left="151" w:right="138" w:hanging="1"/>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保护</w:t>
            </w:r>
            <w:r>
              <w:rPr>
                <w:rFonts w:ascii="仿宋" w:hAnsi="仿宋" w:eastAsia="仿宋" w:cs="仿宋"/>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级别</w:t>
            </w:r>
          </w:p>
        </w:tc>
        <w:tc>
          <w:tcPr>
            <w:tcW w:w="1454" w:type="dxa"/>
            <w:tcBorders>
              <w:top w:val="single" w:color="000000" w:sz="12" w:space="0"/>
            </w:tcBorders>
            <w:vAlign w:val="top"/>
          </w:tcPr>
          <w:p>
            <w:pPr>
              <w:spacing w:before="206" w:line="219" w:lineRule="auto"/>
              <w:ind w:left="32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主要生境</w:t>
            </w:r>
          </w:p>
        </w:tc>
        <w:tc>
          <w:tcPr>
            <w:tcW w:w="894" w:type="dxa"/>
            <w:tcBorders>
              <w:top w:val="single" w:color="000000" w:sz="12" w:space="0"/>
            </w:tcBorders>
            <w:vAlign w:val="top"/>
          </w:tcPr>
          <w:p>
            <w:pPr>
              <w:spacing w:before="50" w:line="246" w:lineRule="auto"/>
              <w:ind w:left="355" w:right="128" w:hanging="203"/>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资料来</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源</w:t>
            </w:r>
          </w:p>
        </w:tc>
        <w:tc>
          <w:tcPr>
            <w:tcW w:w="1424" w:type="dxa"/>
            <w:tcBorders>
              <w:top w:val="single" w:color="000000" w:sz="12" w:space="0"/>
              <w:right w:val="nil"/>
            </w:tcBorders>
            <w:vAlign w:val="top"/>
          </w:tcPr>
          <w:p>
            <w:pPr>
              <w:spacing w:before="207" w:line="220" w:lineRule="auto"/>
              <w:ind w:left="51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590" w:type="dxa"/>
            <w:tcBorders>
              <w:left w:val="nil"/>
            </w:tcBorders>
            <w:vAlign w:val="top"/>
          </w:tcPr>
          <w:p>
            <w:pPr>
              <w:pStyle w:val="6"/>
              <w:spacing w:before="96" w:line="188" w:lineRule="auto"/>
              <w:ind w:left="181"/>
            </w:pPr>
            <w:r>
              <w:rPr>
                <w:spacing w:val="-3"/>
              </w:rPr>
              <w:t>O1</w:t>
            </w:r>
          </w:p>
        </w:tc>
        <w:tc>
          <w:tcPr>
            <w:tcW w:w="1210" w:type="dxa"/>
            <w:vAlign w:val="top"/>
          </w:tcPr>
          <w:p>
            <w:pPr>
              <w:spacing w:before="59" w:line="213" w:lineRule="auto"/>
              <w:ind w:left="29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鲤形目</w:t>
            </w:r>
          </w:p>
        </w:tc>
        <w:tc>
          <w:tcPr>
            <w:tcW w:w="2048" w:type="dxa"/>
            <w:vAlign w:val="top"/>
          </w:tcPr>
          <w:p>
            <w:pPr>
              <w:pStyle w:val="6"/>
              <w:spacing w:before="95" w:line="189" w:lineRule="auto"/>
              <w:ind w:left="369"/>
            </w:pPr>
            <w:r>
              <w:rPr>
                <w:b/>
                <w:bCs/>
                <w:spacing w:val="-1"/>
              </w:rPr>
              <w:t>Cypriniformes</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590" w:type="dxa"/>
            <w:tcBorders>
              <w:left w:val="nil"/>
            </w:tcBorders>
            <w:vAlign w:val="top"/>
          </w:tcPr>
          <w:p>
            <w:pPr>
              <w:pStyle w:val="6"/>
              <w:spacing w:before="102" w:line="188" w:lineRule="auto"/>
              <w:ind w:left="190"/>
            </w:pPr>
            <w:r>
              <w:rPr>
                <w:b/>
                <w:bCs/>
                <w:spacing w:val="-2"/>
              </w:rPr>
              <w:t>F1</w:t>
            </w:r>
          </w:p>
        </w:tc>
        <w:tc>
          <w:tcPr>
            <w:tcW w:w="1210" w:type="dxa"/>
            <w:vAlign w:val="top"/>
          </w:tcPr>
          <w:p>
            <w:pPr>
              <w:spacing w:before="66" w:line="209" w:lineRule="auto"/>
              <w:ind w:left="40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鲤科</w:t>
            </w:r>
          </w:p>
        </w:tc>
        <w:tc>
          <w:tcPr>
            <w:tcW w:w="2048" w:type="dxa"/>
            <w:vAlign w:val="top"/>
          </w:tcPr>
          <w:p>
            <w:pPr>
              <w:pStyle w:val="6"/>
              <w:spacing w:before="102" w:line="188" w:lineRule="auto"/>
              <w:ind w:left="520"/>
            </w:pPr>
            <w:r>
              <w:rPr>
                <w:b/>
                <w:bCs/>
                <w:spacing w:val="-1"/>
              </w:rPr>
              <w:t>Cyprinidae</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53" w:hRule="atLeast"/>
        </w:trPr>
        <w:tc>
          <w:tcPr>
            <w:tcW w:w="590" w:type="dxa"/>
            <w:tcBorders>
              <w:left w:val="nil"/>
              <w:bottom w:val="single" w:color="000000" w:sz="12" w:space="0"/>
            </w:tcBorders>
            <w:vAlign w:val="top"/>
          </w:tcPr>
          <w:p>
            <w:pPr>
              <w:spacing w:line="354" w:lineRule="auto"/>
              <w:rPr>
                <w:rFonts w:ascii="Arial"/>
                <w:sz w:val="21"/>
              </w:rPr>
            </w:pPr>
          </w:p>
          <w:p>
            <w:pPr>
              <w:pStyle w:val="6"/>
              <w:spacing w:before="61" w:line="188" w:lineRule="auto"/>
              <w:ind w:left="274"/>
            </w:pPr>
            <w:r>
              <w:t>1</w:t>
            </w:r>
          </w:p>
        </w:tc>
        <w:tc>
          <w:tcPr>
            <w:tcW w:w="1210" w:type="dxa"/>
            <w:tcBorders>
              <w:bottom w:val="single" w:color="000000" w:sz="12" w:space="0"/>
            </w:tcBorders>
            <w:vAlign w:val="top"/>
          </w:tcPr>
          <w:p>
            <w:pPr>
              <w:spacing w:line="310" w:lineRule="auto"/>
              <w:rPr>
                <w:rFonts w:ascii="Arial"/>
                <w:sz w:val="21"/>
              </w:rPr>
            </w:pPr>
          </w:p>
          <w:p>
            <w:pPr>
              <w:spacing w:before="68" w:line="216" w:lineRule="auto"/>
              <w:ind w:left="301"/>
              <w:rPr>
                <w:rFonts w:ascii="仿宋" w:hAnsi="仿宋" w:eastAsia="仿宋" w:cs="仿宋"/>
                <w:sz w:val="21"/>
                <w:szCs w:val="21"/>
              </w:rPr>
            </w:pPr>
            <w:r>
              <w:rPr>
                <w:rFonts w:ascii="仿宋" w:hAnsi="仿宋" w:eastAsia="仿宋" w:cs="仿宋"/>
                <w:spacing w:val="-4"/>
                <w:sz w:val="21"/>
                <w:szCs w:val="21"/>
              </w:rPr>
              <w:t>棒花鱼</w:t>
            </w:r>
          </w:p>
        </w:tc>
        <w:tc>
          <w:tcPr>
            <w:tcW w:w="2048" w:type="dxa"/>
            <w:tcBorders>
              <w:bottom w:val="single" w:color="000000" w:sz="12" w:space="0"/>
            </w:tcBorders>
            <w:vAlign w:val="top"/>
          </w:tcPr>
          <w:p>
            <w:pPr>
              <w:spacing w:line="350" w:lineRule="auto"/>
              <w:rPr>
                <w:rFonts w:ascii="Arial"/>
                <w:sz w:val="21"/>
              </w:rPr>
            </w:pPr>
          </w:p>
          <w:p>
            <w:pPr>
              <w:pStyle w:val="6"/>
              <w:spacing w:before="60" w:line="235" w:lineRule="auto"/>
              <w:ind w:left="208"/>
            </w:pPr>
            <w:r>
              <w:rPr>
                <w:i/>
                <w:iCs/>
                <w:spacing w:val="3"/>
              </w:rPr>
              <w:t>Abbottinarivularis</w:t>
            </w:r>
          </w:p>
        </w:tc>
        <w:tc>
          <w:tcPr>
            <w:tcW w:w="701" w:type="dxa"/>
            <w:tcBorders>
              <w:bottom w:val="single" w:color="000000" w:sz="12" w:space="0"/>
            </w:tcBorders>
            <w:vAlign w:val="top"/>
          </w:tcPr>
          <w:p>
            <w:pPr>
              <w:rPr>
                <w:rFonts w:ascii="Arial"/>
                <w:sz w:val="21"/>
              </w:rPr>
            </w:pPr>
          </w:p>
        </w:tc>
        <w:tc>
          <w:tcPr>
            <w:tcW w:w="1454" w:type="dxa"/>
            <w:tcBorders>
              <w:bottom w:val="single" w:color="000000" w:sz="12" w:space="0"/>
            </w:tcBorders>
            <w:vAlign w:val="top"/>
          </w:tcPr>
          <w:p>
            <w:pPr>
              <w:spacing w:before="67" w:line="256" w:lineRule="auto"/>
              <w:ind w:left="211" w:right="200" w:firstLine="112"/>
              <w:rPr>
                <w:rFonts w:ascii="仿宋" w:hAnsi="仿宋" w:eastAsia="仿宋" w:cs="仿宋"/>
                <w:sz w:val="21"/>
                <w:szCs w:val="21"/>
              </w:rPr>
            </w:pPr>
            <w:r>
              <w:rPr>
                <w:rFonts w:ascii="仿宋" w:hAnsi="仿宋" w:eastAsia="仿宋" w:cs="仿宋"/>
                <w:spacing w:val="-5"/>
                <w:sz w:val="21"/>
                <w:szCs w:val="21"/>
              </w:rPr>
              <w:t>河流、水</w:t>
            </w:r>
            <w:r>
              <w:rPr>
                <w:rFonts w:ascii="仿宋" w:hAnsi="仿宋" w:eastAsia="仿宋" w:cs="仿宋"/>
                <w:sz w:val="21"/>
                <w:szCs w:val="21"/>
              </w:rPr>
              <w:t xml:space="preserve">  </w:t>
            </w:r>
            <w:r>
              <w:rPr>
                <w:rFonts w:ascii="仿宋" w:hAnsi="仿宋" w:eastAsia="仿宋" w:cs="仿宋"/>
                <w:spacing w:val="-10"/>
                <w:sz w:val="21"/>
                <w:szCs w:val="21"/>
              </w:rPr>
              <w:t>库、鱼塘、</w:t>
            </w:r>
            <w:r>
              <w:rPr>
                <w:rFonts w:ascii="仿宋" w:hAnsi="仿宋" w:eastAsia="仿宋" w:cs="仿宋"/>
                <w:spacing w:val="2"/>
                <w:sz w:val="21"/>
                <w:szCs w:val="21"/>
              </w:rPr>
              <w:t xml:space="preserve"> </w:t>
            </w:r>
            <w:r>
              <w:rPr>
                <w:rFonts w:ascii="仿宋" w:hAnsi="仿宋" w:eastAsia="仿宋" w:cs="仿宋"/>
                <w:spacing w:val="-3"/>
                <w:sz w:val="21"/>
                <w:szCs w:val="21"/>
              </w:rPr>
              <w:t>水塘、沟渠</w:t>
            </w:r>
          </w:p>
        </w:tc>
        <w:tc>
          <w:tcPr>
            <w:tcW w:w="894" w:type="dxa"/>
            <w:tcBorders>
              <w:bottom w:val="single" w:color="000000" w:sz="12" w:space="0"/>
            </w:tcBorders>
            <w:vAlign w:val="top"/>
          </w:tcPr>
          <w:p>
            <w:pPr>
              <w:pStyle w:val="6"/>
              <w:spacing w:before="223" w:line="247" w:lineRule="auto"/>
              <w:ind w:left="259" w:right="175" w:hanging="60"/>
              <w:rPr>
                <w:rFonts w:ascii="仿宋" w:hAnsi="仿宋" w:eastAsia="仿宋" w:cs="仿宋"/>
              </w:rPr>
            </w:pP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bottom w:val="single" w:color="000000" w:sz="12" w:space="0"/>
              <w:right w:val="nil"/>
            </w:tcBorders>
            <w:vAlign w:val="top"/>
          </w:tcPr>
          <w:p>
            <w:pPr>
              <w:spacing w:before="225" w:line="247" w:lineRule="auto"/>
              <w:ind w:left="520" w:right="186" w:hanging="314"/>
              <w:rPr>
                <w:rFonts w:ascii="仿宋" w:hAnsi="仿宋" w:eastAsia="仿宋" w:cs="仿宋"/>
                <w:sz w:val="21"/>
                <w:szCs w:val="21"/>
              </w:rPr>
            </w:pPr>
            <w:r>
              <w:rPr>
                <w:rFonts w:ascii="仿宋" w:hAnsi="仿宋" w:eastAsia="仿宋" w:cs="仿宋"/>
                <w:spacing w:val="-5"/>
                <w:sz w:val="21"/>
                <w:szCs w:val="21"/>
              </w:rPr>
              <w:t>引入非经济</w:t>
            </w:r>
            <w:r>
              <w:rPr>
                <w:rFonts w:ascii="仿宋" w:hAnsi="仿宋" w:eastAsia="仿宋" w:cs="仿宋"/>
                <w:spacing w:val="2"/>
                <w:sz w:val="21"/>
                <w:szCs w:val="21"/>
              </w:rPr>
              <w:t xml:space="preserve"> </w:t>
            </w:r>
            <w:r>
              <w:rPr>
                <w:rFonts w:ascii="仿宋" w:hAnsi="仿宋" w:eastAsia="仿宋" w:cs="仿宋"/>
                <w:spacing w:val="-6"/>
                <w:sz w:val="21"/>
                <w:szCs w:val="21"/>
              </w:rPr>
              <w:t>鱼类</w:t>
            </w:r>
          </w:p>
        </w:tc>
      </w:tr>
    </w:tbl>
    <w:p>
      <w:pPr>
        <w:rPr>
          <w:rFonts w:ascii="Arial"/>
          <w:sz w:val="21"/>
        </w:rPr>
      </w:pPr>
    </w:p>
    <w:p>
      <w:pPr>
        <w:rPr>
          <w:rFonts w:ascii="Arial" w:hAnsi="Arial" w:eastAsia="Arial" w:cs="Arial"/>
          <w:sz w:val="21"/>
          <w:szCs w:val="21"/>
        </w:rPr>
        <w:sectPr>
          <w:headerReference r:id="rId319" w:type="default"/>
          <w:footerReference r:id="rId320" w:type="default"/>
          <w:pgSz w:w="11907" w:h="16839"/>
          <w:pgMar w:top="1156" w:right="1582" w:bottom="1374" w:left="1770" w:header="881" w:footer="1210" w:gutter="0"/>
        </w:sectPr>
      </w:pPr>
    </w:p>
    <w:p>
      <w:pPr>
        <w:spacing w:before="41"/>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0"/>
        <w:gridCol w:w="1210"/>
        <w:gridCol w:w="2048"/>
        <w:gridCol w:w="701"/>
        <w:gridCol w:w="1454"/>
        <w:gridCol w:w="894"/>
        <w:gridCol w:w="14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590" w:type="dxa"/>
            <w:tcBorders>
              <w:top w:val="single" w:color="000000" w:sz="12" w:space="0"/>
              <w:left w:val="nil"/>
            </w:tcBorders>
            <w:textDirection w:val="tbRlV"/>
            <w:vAlign w:val="top"/>
          </w:tcPr>
          <w:p>
            <w:pPr>
              <w:spacing w:before="180" w:line="202" w:lineRule="auto"/>
              <w:ind w:left="5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序</w:t>
            </w:r>
            <w:r>
              <w:rPr>
                <w:rFonts w:ascii="仿宋" w:hAnsi="仿宋" w:eastAsia="仿宋" w:cs="仿宋"/>
                <w:spacing w:val="-2"/>
                <w:sz w:val="21"/>
                <w:szCs w:val="21"/>
              </w:rPr>
              <w:t xml:space="preserve"> </w:t>
            </w:r>
            <w:r>
              <w:rPr>
                <w:rFonts w:ascii="仿宋" w:hAnsi="仿宋" w:eastAsia="仿宋" w:cs="仿宋"/>
                <w:spacing w:val="-2"/>
                <w:sz w:val="21"/>
                <w:szCs w:val="21"/>
                <w14:textOutline w14:w="3810" w14:cap="flat" w14:cmpd="sng">
                  <w14:solidFill>
                    <w14:srgbClr w14:val="000000"/>
                  </w14:solidFill>
                  <w14:prstDash w14:val="solid"/>
                  <w14:miter w14:val="0"/>
                </w14:textOutline>
              </w:rPr>
              <w:t>号</w:t>
            </w:r>
          </w:p>
        </w:tc>
        <w:tc>
          <w:tcPr>
            <w:tcW w:w="1210" w:type="dxa"/>
            <w:tcBorders>
              <w:top w:val="single" w:color="000000" w:sz="12" w:space="0"/>
            </w:tcBorders>
            <w:vAlign w:val="top"/>
          </w:tcPr>
          <w:p>
            <w:pPr>
              <w:spacing w:before="207" w:line="218" w:lineRule="auto"/>
              <w:ind w:left="326"/>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中文名</w:t>
            </w:r>
          </w:p>
        </w:tc>
        <w:tc>
          <w:tcPr>
            <w:tcW w:w="2048" w:type="dxa"/>
            <w:tcBorders>
              <w:top w:val="single" w:color="000000" w:sz="12" w:space="0"/>
            </w:tcBorders>
            <w:vAlign w:val="top"/>
          </w:tcPr>
          <w:p>
            <w:pPr>
              <w:spacing w:before="206" w:line="220" w:lineRule="auto"/>
              <w:ind w:left="71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拉丁名</w:t>
            </w:r>
          </w:p>
        </w:tc>
        <w:tc>
          <w:tcPr>
            <w:tcW w:w="701" w:type="dxa"/>
            <w:tcBorders>
              <w:top w:val="single" w:color="000000" w:sz="12" w:space="0"/>
            </w:tcBorders>
            <w:vAlign w:val="top"/>
          </w:tcPr>
          <w:p>
            <w:pPr>
              <w:spacing w:before="50" w:line="247" w:lineRule="auto"/>
              <w:ind w:left="151" w:right="138" w:hanging="1"/>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保护</w:t>
            </w:r>
            <w:r>
              <w:rPr>
                <w:rFonts w:ascii="仿宋" w:hAnsi="仿宋" w:eastAsia="仿宋" w:cs="仿宋"/>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级别</w:t>
            </w:r>
          </w:p>
        </w:tc>
        <w:tc>
          <w:tcPr>
            <w:tcW w:w="1454" w:type="dxa"/>
            <w:tcBorders>
              <w:top w:val="single" w:color="000000" w:sz="12" w:space="0"/>
            </w:tcBorders>
            <w:vAlign w:val="top"/>
          </w:tcPr>
          <w:p>
            <w:pPr>
              <w:spacing w:before="206" w:line="219" w:lineRule="auto"/>
              <w:ind w:left="32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主要生境</w:t>
            </w:r>
          </w:p>
        </w:tc>
        <w:tc>
          <w:tcPr>
            <w:tcW w:w="894" w:type="dxa"/>
            <w:tcBorders>
              <w:top w:val="single" w:color="000000" w:sz="12" w:space="0"/>
            </w:tcBorders>
            <w:vAlign w:val="top"/>
          </w:tcPr>
          <w:p>
            <w:pPr>
              <w:spacing w:before="51" w:line="248" w:lineRule="auto"/>
              <w:ind w:left="355" w:right="128" w:hanging="203"/>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资料来</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源</w:t>
            </w:r>
          </w:p>
        </w:tc>
        <w:tc>
          <w:tcPr>
            <w:tcW w:w="1424" w:type="dxa"/>
            <w:tcBorders>
              <w:top w:val="single" w:color="000000" w:sz="12" w:space="0"/>
              <w:right w:val="nil"/>
            </w:tcBorders>
            <w:vAlign w:val="top"/>
          </w:tcPr>
          <w:p>
            <w:pPr>
              <w:spacing w:before="207" w:line="220" w:lineRule="auto"/>
              <w:ind w:left="51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590" w:type="dxa"/>
            <w:tcBorders>
              <w:left w:val="nil"/>
            </w:tcBorders>
            <w:vAlign w:val="top"/>
          </w:tcPr>
          <w:p>
            <w:pPr>
              <w:pStyle w:val="6"/>
              <w:spacing w:before="245" w:line="188" w:lineRule="auto"/>
              <w:ind w:left="254"/>
            </w:pPr>
            <w:r>
              <w:t>2</w:t>
            </w:r>
          </w:p>
        </w:tc>
        <w:tc>
          <w:tcPr>
            <w:tcW w:w="1210" w:type="dxa"/>
            <w:vAlign w:val="top"/>
          </w:tcPr>
          <w:p>
            <w:pPr>
              <w:spacing w:before="208" w:line="219" w:lineRule="auto"/>
              <w:ind w:left="406"/>
              <w:rPr>
                <w:rFonts w:ascii="仿宋" w:hAnsi="仿宋" w:eastAsia="仿宋" w:cs="仿宋"/>
                <w:sz w:val="21"/>
                <w:szCs w:val="21"/>
              </w:rPr>
            </w:pPr>
            <w:r>
              <w:rPr>
                <w:rFonts w:ascii="仿宋" w:hAnsi="仿宋" w:eastAsia="仿宋" w:cs="仿宋"/>
                <w:spacing w:val="-4"/>
                <w:sz w:val="21"/>
                <w:szCs w:val="21"/>
              </w:rPr>
              <w:t>鲫鱼</w:t>
            </w:r>
          </w:p>
        </w:tc>
        <w:tc>
          <w:tcPr>
            <w:tcW w:w="2048" w:type="dxa"/>
            <w:vAlign w:val="top"/>
          </w:tcPr>
          <w:p>
            <w:pPr>
              <w:pStyle w:val="6"/>
              <w:spacing w:before="243" w:line="232" w:lineRule="auto"/>
              <w:ind w:left="267"/>
            </w:pPr>
            <w:r>
              <w:rPr>
                <w:i/>
                <w:iCs/>
                <w:spacing w:val="2"/>
              </w:rPr>
              <w:t>Carassiusauratus</w:t>
            </w:r>
          </w:p>
        </w:tc>
        <w:tc>
          <w:tcPr>
            <w:tcW w:w="701" w:type="dxa"/>
            <w:vAlign w:val="top"/>
          </w:tcPr>
          <w:p>
            <w:pPr>
              <w:rPr>
                <w:rFonts w:ascii="Arial"/>
                <w:sz w:val="21"/>
              </w:rPr>
            </w:pPr>
          </w:p>
        </w:tc>
        <w:tc>
          <w:tcPr>
            <w:tcW w:w="1454" w:type="dxa"/>
            <w:vAlign w:val="top"/>
          </w:tcPr>
          <w:p>
            <w:pPr>
              <w:spacing w:before="52" w:line="312" w:lineRule="exact"/>
              <w:ind w:left="323"/>
              <w:rPr>
                <w:rFonts w:ascii="仿宋" w:hAnsi="仿宋" w:eastAsia="仿宋" w:cs="仿宋"/>
                <w:sz w:val="21"/>
                <w:szCs w:val="21"/>
              </w:rPr>
            </w:pPr>
            <w:r>
              <w:rPr>
                <w:rFonts w:ascii="仿宋" w:hAnsi="仿宋" w:eastAsia="仿宋" w:cs="仿宋"/>
                <w:spacing w:val="-4"/>
                <w:position w:val="7"/>
                <w:sz w:val="21"/>
                <w:szCs w:val="21"/>
              </w:rPr>
              <w:t>河流、水</w:t>
            </w:r>
          </w:p>
          <w:p>
            <w:pPr>
              <w:spacing w:line="218" w:lineRule="auto"/>
              <w:ind w:left="321"/>
              <w:rPr>
                <w:rFonts w:ascii="仿宋" w:hAnsi="仿宋" w:eastAsia="仿宋" w:cs="仿宋"/>
                <w:sz w:val="21"/>
                <w:szCs w:val="21"/>
              </w:rPr>
            </w:pPr>
            <w:r>
              <w:rPr>
                <w:rFonts w:ascii="仿宋" w:hAnsi="仿宋" w:eastAsia="仿宋" w:cs="仿宋"/>
                <w:spacing w:val="-4"/>
                <w:sz w:val="21"/>
                <w:szCs w:val="21"/>
              </w:rPr>
              <w:t>库、鱼塘</w:t>
            </w:r>
          </w:p>
        </w:tc>
        <w:tc>
          <w:tcPr>
            <w:tcW w:w="894" w:type="dxa"/>
            <w:vAlign w:val="top"/>
          </w:tcPr>
          <w:p>
            <w:pPr>
              <w:spacing w:before="208" w:line="222" w:lineRule="auto"/>
              <w:ind w:left="284"/>
              <w:rPr>
                <w:rFonts w:ascii="仿宋" w:hAnsi="仿宋" w:eastAsia="仿宋" w:cs="仿宋"/>
                <w:sz w:val="21"/>
                <w:szCs w:val="21"/>
              </w:rPr>
            </w:pPr>
            <w:r>
              <w:rPr>
                <w:rFonts w:ascii="仿宋" w:hAnsi="仿宋" w:eastAsia="仿宋" w:cs="仿宋"/>
                <w:spacing w:val="-13"/>
                <w:sz w:val="21"/>
                <w:szCs w:val="21"/>
              </w:rPr>
              <w:t>目击</w:t>
            </w:r>
          </w:p>
        </w:tc>
        <w:tc>
          <w:tcPr>
            <w:tcW w:w="1424" w:type="dxa"/>
            <w:tcBorders>
              <w:right w:val="nil"/>
            </w:tcBorders>
            <w:vAlign w:val="top"/>
          </w:tcPr>
          <w:p>
            <w:pPr>
              <w:spacing w:before="53" w:line="247" w:lineRule="auto"/>
              <w:ind w:left="620" w:right="186" w:hanging="414"/>
              <w:rPr>
                <w:rFonts w:ascii="仿宋" w:hAnsi="仿宋" w:eastAsia="仿宋" w:cs="仿宋"/>
                <w:sz w:val="21"/>
                <w:szCs w:val="21"/>
              </w:rPr>
            </w:pPr>
            <w:r>
              <w:rPr>
                <w:rFonts w:ascii="仿宋" w:hAnsi="仿宋" w:eastAsia="仿宋" w:cs="仿宋"/>
                <w:spacing w:val="-5"/>
                <w:sz w:val="21"/>
                <w:szCs w:val="21"/>
              </w:rPr>
              <w:t>引入经济鱼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9" w:hRule="atLeast"/>
        </w:trPr>
        <w:tc>
          <w:tcPr>
            <w:tcW w:w="590" w:type="dxa"/>
            <w:tcBorders>
              <w:left w:val="nil"/>
            </w:tcBorders>
            <w:vAlign w:val="top"/>
          </w:tcPr>
          <w:p>
            <w:pPr>
              <w:pStyle w:val="6"/>
              <w:spacing w:before="248" w:line="188" w:lineRule="auto"/>
              <w:ind w:left="258"/>
            </w:pPr>
            <w:r>
              <w:t>3</w:t>
            </w:r>
          </w:p>
        </w:tc>
        <w:tc>
          <w:tcPr>
            <w:tcW w:w="1210" w:type="dxa"/>
            <w:vAlign w:val="top"/>
          </w:tcPr>
          <w:p>
            <w:pPr>
              <w:spacing w:before="212" w:line="220" w:lineRule="auto"/>
              <w:ind w:left="510"/>
              <w:rPr>
                <w:rFonts w:ascii="仿宋" w:hAnsi="仿宋" w:eastAsia="仿宋" w:cs="仿宋"/>
                <w:sz w:val="21"/>
                <w:szCs w:val="21"/>
              </w:rPr>
            </w:pPr>
            <w:r>
              <w:rPr>
                <w:rFonts w:ascii="仿宋" w:hAnsi="仿宋" w:eastAsia="仿宋" w:cs="仿宋"/>
                <w:sz w:val="21"/>
                <w:szCs w:val="21"/>
              </w:rPr>
              <w:t>鲮</w:t>
            </w:r>
          </w:p>
        </w:tc>
        <w:tc>
          <w:tcPr>
            <w:tcW w:w="2048" w:type="dxa"/>
            <w:vAlign w:val="top"/>
          </w:tcPr>
          <w:p>
            <w:pPr>
              <w:pStyle w:val="6"/>
              <w:spacing w:before="246" w:line="232" w:lineRule="auto"/>
              <w:ind w:left="138"/>
            </w:pPr>
            <w:r>
              <w:rPr>
                <w:i/>
                <w:iCs/>
                <w:spacing w:val="-1"/>
              </w:rPr>
              <w:t>Cirrhinus molitorel</w:t>
            </w:r>
            <w:r>
              <w:rPr>
                <w:i/>
                <w:iCs/>
                <w:spacing w:val="-2"/>
              </w:rPr>
              <w:t>la</w:t>
            </w:r>
          </w:p>
        </w:tc>
        <w:tc>
          <w:tcPr>
            <w:tcW w:w="701" w:type="dxa"/>
            <w:vAlign w:val="top"/>
          </w:tcPr>
          <w:p>
            <w:pPr>
              <w:rPr>
                <w:rFonts w:ascii="Arial"/>
                <w:sz w:val="21"/>
              </w:rPr>
            </w:pPr>
          </w:p>
        </w:tc>
        <w:tc>
          <w:tcPr>
            <w:tcW w:w="1454" w:type="dxa"/>
            <w:vAlign w:val="top"/>
          </w:tcPr>
          <w:p>
            <w:pPr>
              <w:spacing w:before="212" w:line="218" w:lineRule="auto"/>
              <w:ind w:left="218"/>
              <w:rPr>
                <w:rFonts w:ascii="仿宋" w:hAnsi="仿宋" w:eastAsia="仿宋" w:cs="仿宋"/>
                <w:sz w:val="21"/>
                <w:szCs w:val="21"/>
              </w:rPr>
            </w:pPr>
            <w:r>
              <w:rPr>
                <w:rFonts w:ascii="仿宋" w:hAnsi="仿宋" w:eastAsia="仿宋" w:cs="仿宋"/>
                <w:spacing w:val="-4"/>
                <w:sz w:val="21"/>
                <w:szCs w:val="21"/>
              </w:rPr>
              <w:t>河流、水库</w:t>
            </w:r>
          </w:p>
        </w:tc>
        <w:tc>
          <w:tcPr>
            <w:tcW w:w="894" w:type="dxa"/>
            <w:vAlign w:val="top"/>
          </w:tcPr>
          <w:p>
            <w:pPr>
              <w:spacing w:before="211" w:line="220" w:lineRule="auto"/>
              <w:ind w:left="250"/>
              <w:rPr>
                <w:rFonts w:ascii="仿宋" w:hAnsi="仿宋" w:eastAsia="仿宋" w:cs="仿宋"/>
                <w:sz w:val="21"/>
                <w:szCs w:val="21"/>
              </w:rPr>
            </w:pPr>
            <w:r>
              <w:rPr>
                <w:rFonts w:ascii="仿宋" w:hAnsi="仿宋" w:eastAsia="仿宋" w:cs="仿宋"/>
                <w:spacing w:val="-5"/>
                <w:sz w:val="21"/>
                <w:szCs w:val="21"/>
              </w:rPr>
              <w:t>访查</w:t>
            </w:r>
          </w:p>
        </w:tc>
        <w:tc>
          <w:tcPr>
            <w:tcW w:w="1424" w:type="dxa"/>
            <w:tcBorders>
              <w:right w:val="nil"/>
            </w:tcBorders>
            <w:vAlign w:val="top"/>
          </w:tcPr>
          <w:p>
            <w:pPr>
              <w:spacing w:before="56" w:line="247" w:lineRule="auto"/>
              <w:ind w:left="520" w:right="186" w:hanging="314"/>
              <w:rPr>
                <w:rFonts w:ascii="仿宋" w:hAnsi="仿宋" w:eastAsia="仿宋" w:cs="仿宋"/>
                <w:sz w:val="21"/>
                <w:szCs w:val="21"/>
              </w:rPr>
            </w:pPr>
            <w:r>
              <w:rPr>
                <w:rFonts w:ascii="仿宋" w:hAnsi="仿宋" w:eastAsia="仿宋" w:cs="仿宋"/>
                <w:spacing w:val="-5"/>
                <w:sz w:val="21"/>
                <w:szCs w:val="21"/>
              </w:rPr>
              <w:t>引入非经济</w:t>
            </w:r>
            <w:r>
              <w:rPr>
                <w:rFonts w:ascii="仿宋" w:hAnsi="仿宋" w:eastAsia="仿宋" w:cs="仿宋"/>
                <w:spacing w:val="2"/>
                <w:sz w:val="21"/>
                <w:szCs w:val="21"/>
              </w:rPr>
              <w:t xml:space="preserve"> </w:t>
            </w:r>
            <w:r>
              <w:rPr>
                <w:rFonts w:ascii="仿宋" w:hAnsi="仿宋" w:eastAsia="仿宋" w:cs="仿宋"/>
                <w:spacing w:val="-6"/>
                <w:sz w:val="21"/>
                <w:szCs w:val="21"/>
              </w:rPr>
              <w:t>鱼类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590" w:type="dxa"/>
            <w:tcBorders>
              <w:left w:val="nil"/>
            </w:tcBorders>
            <w:vAlign w:val="top"/>
          </w:tcPr>
          <w:p>
            <w:pPr>
              <w:pStyle w:val="6"/>
              <w:spacing w:before="248" w:line="188" w:lineRule="auto"/>
              <w:ind w:left="252"/>
            </w:pPr>
            <w:r>
              <w:t>4</w:t>
            </w:r>
          </w:p>
        </w:tc>
        <w:tc>
          <w:tcPr>
            <w:tcW w:w="1210" w:type="dxa"/>
            <w:vAlign w:val="top"/>
          </w:tcPr>
          <w:p>
            <w:pPr>
              <w:spacing w:before="211" w:line="218" w:lineRule="auto"/>
              <w:ind w:left="408"/>
              <w:rPr>
                <w:rFonts w:ascii="仿宋" w:hAnsi="仿宋" w:eastAsia="仿宋" w:cs="仿宋"/>
                <w:sz w:val="21"/>
                <w:szCs w:val="21"/>
              </w:rPr>
            </w:pPr>
            <w:r>
              <w:rPr>
                <w:rFonts w:ascii="仿宋" w:hAnsi="仿宋" w:eastAsia="仿宋" w:cs="仿宋"/>
                <w:spacing w:val="-5"/>
                <w:sz w:val="21"/>
                <w:szCs w:val="21"/>
              </w:rPr>
              <w:t>草鱼</w:t>
            </w:r>
          </w:p>
        </w:tc>
        <w:tc>
          <w:tcPr>
            <w:tcW w:w="2048" w:type="dxa"/>
            <w:vAlign w:val="top"/>
          </w:tcPr>
          <w:p>
            <w:pPr>
              <w:pStyle w:val="6"/>
              <w:spacing w:before="87" w:line="263" w:lineRule="auto"/>
              <w:ind w:left="748" w:right="212" w:hanging="525"/>
            </w:pPr>
            <w:r>
              <w:rPr>
                <w:i/>
                <w:iCs/>
                <w:spacing w:val="-1"/>
              </w:rPr>
              <w:t>Ctenopharyngodon</w:t>
            </w:r>
            <w:r>
              <w:rPr>
                <w:i/>
                <w:iCs/>
              </w:rPr>
              <w:t xml:space="preserve"> </w:t>
            </w:r>
            <w:r>
              <w:rPr>
                <w:i/>
                <w:iCs/>
                <w:spacing w:val="-1"/>
              </w:rPr>
              <w:t>idellus</w:t>
            </w:r>
          </w:p>
        </w:tc>
        <w:tc>
          <w:tcPr>
            <w:tcW w:w="701" w:type="dxa"/>
            <w:vAlign w:val="top"/>
          </w:tcPr>
          <w:p>
            <w:pPr>
              <w:rPr>
                <w:rFonts w:ascii="Arial"/>
                <w:sz w:val="21"/>
              </w:rPr>
            </w:pPr>
          </w:p>
        </w:tc>
        <w:tc>
          <w:tcPr>
            <w:tcW w:w="1454" w:type="dxa"/>
            <w:vAlign w:val="top"/>
          </w:tcPr>
          <w:p>
            <w:pPr>
              <w:spacing w:before="55" w:line="312" w:lineRule="exact"/>
              <w:ind w:left="323"/>
              <w:rPr>
                <w:rFonts w:ascii="仿宋" w:hAnsi="仿宋" w:eastAsia="仿宋" w:cs="仿宋"/>
                <w:sz w:val="21"/>
                <w:szCs w:val="21"/>
              </w:rPr>
            </w:pPr>
            <w:r>
              <w:rPr>
                <w:rFonts w:ascii="仿宋" w:hAnsi="仿宋" w:eastAsia="仿宋" w:cs="仿宋"/>
                <w:spacing w:val="-4"/>
                <w:position w:val="7"/>
                <w:sz w:val="21"/>
                <w:szCs w:val="21"/>
              </w:rPr>
              <w:t>河流、水</w:t>
            </w:r>
          </w:p>
          <w:p>
            <w:pPr>
              <w:spacing w:line="218" w:lineRule="auto"/>
              <w:ind w:left="321"/>
              <w:rPr>
                <w:rFonts w:ascii="仿宋" w:hAnsi="仿宋" w:eastAsia="仿宋" w:cs="仿宋"/>
                <w:sz w:val="21"/>
                <w:szCs w:val="21"/>
              </w:rPr>
            </w:pPr>
            <w:r>
              <w:rPr>
                <w:rFonts w:ascii="仿宋" w:hAnsi="仿宋" w:eastAsia="仿宋" w:cs="仿宋"/>
                <w:spacing w:val="-4"/>
                <w:sz w:val="21"/>
                <w:szCs w:val="21"/>
              </w:rPr>
              <w:t>库、鱼塘</w:t>
            </w:r>
          </w:p>
        </w:tc>
        <w:tc>
          <w:tcPr>
            <w:tcW w:w="894" w:type="dxa"/>
            <w:vAlign w:val="top"/>
          </w:tcPr>
          <w:p>
            <w:pPr>
              <w:spacing w:before="211" w:line="222" w:lineRule="auto"/>
              <w:ind w:left="284"/>
              <w:rPr>
                <w:rFonts w:ascii="仿宋" w:hAnsi="仿宋" w:eastAsia="仿宋" w:cs="仿宋"/>
                <w:sz w:val="21"/>
                <w:szCs w:val="21"/>
              </w:rPr>
            </w:pPr>
            <w:r>
              <w:rPr>
                <w:rFonts w:ascii="仿宋" w:hAnsi="仿宋" w:eastAsia="仿宋" w:cs="仿宋"/>
                <w:spacing w:val="-13"/>
                <w:sz w:val="21"/>
                <w:szCs w:val="21"/>
              </w:rPr>
              <w:t>目击</w:t>
            </w:r>
          </w:p>
        </w:tc>
        <w:tc>
          <w:tcPr>
            <w:tcW w:w="1424" w:type="dxa"/>
            <w:tcBorders>
              <w:right w:val="nil"/>
            </w:tcBorders>
            <w:vAlign w:val="top"/>
          </w:tcPr>
          <w:p>
            <w:pPr>
              <w:spacing w:before="55" w:line="247" w:lineRule="auto"/>
              <w:ind w:left="620" w:right="186" w:hanging="414"/>
              <w:rPr>
                <w:rFonts w:ascii="仿宋" w:hAnsi="仿宋" w:eastAsia="仿宋" w:cs="仿宋"/>
                <w:sz w:val="21"/>
                <w:szCs w:val="21"/>
              </w:rPr>
            </w:pPr>
            <w:r>
              <w:rPr>
                <w:rFonts w:ascii="仿宋" w:hAnsi="仿宋" w:eastAsia="仿宋" w:cs="仿宋"/>
                <w:spacing w:val="-5"/>
                <w:sz w:val="21"/>
                <w:szCs w:val="21"/>
              </w:rPr>
              <w:t>引入经济鱼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590" w:type="dxa"/>
            <w:tcBorders>
              <w:left w:val="nil"/>
            </w:tcBorders>
            <w:vAlign w:val="top"/>
          </w:tcPr>
          <w:p>
            <w:pPr>
              <w:pStyle w:val="6"/>
              <w:spacing w:before="252" w:line="185" w:lineRule="auto"/>
              <w:ind w:left="259"/>
            </w:pPr>
            <w:r>
              <w:t>5</w:t>
            </w:r>
          </w:p>
        </w:tc>
        <w:tc>
          <w:tcPr>
            <w:tcW w:w="1210" w:type="dxa"/>
            <w:vAlign w:val="top"/>
          </w:tcPr>
          <w:p>
            <w:pPr>
              <w:spacing w:before="213" w:line="223" w:lineRule="auto"/>
              <w:ind w:left="405"/>
              <w:rPr>
                <w:rFonts w:ascii="仿宋" w:hAnsi="仿宋" w:eastAsia="仿宋" w:cs="仿宋"/>
                <w:sz w:val="21"/>
                <w:szCs w:val="21"/>
              </w:rPr>
            </w:pPr>
            <w:r>
              <w:rPr>
                <w:rFonts w:ascii="仿宋" w:hAnsi="仿宋" w:eastAsia="仿宋" w:cs="仿宋"/>
                <w:spacing w:val="-4"/>
                <w:sz w:val="21"/>
                <w:szCs w:val="21"/>
              </w:rPr>
              <w:t>鲤鱼</w:t>
            </w:r>
          </w:p>
        </w:tc>
        <w:tc>
          <w:tcPr>
            <w:tcW w:w="2048" w:type="dxa"/>
            <w:vAlign w:val="top"/>
          </w:tcPr>
          <w:p>
            <w:pPr>
              <w:pStyle w:val="6"/>
              <w:spacing w:before="247" w:line="190" w:lineRule="auto"/>
              <w:ind w:left="348"/>
            </w:pPr>
            <w:r>
              <w:rPr>
                <w:i/>
                <w:iCs/>
                <w:spacing w:val="-1"/>
              </w:rPr>
              <w:t>Cyprinus carpio</w:t>
            </w:r>
          </w:p>
        </w:tc>
        <w:tc>
          <w:tcPr>
            <w:tcW w:w="701" w:type="dxa"/>
            <w:vAlign w:val="top"/>
          </w:tcPr>
          <w:p>
            <w:pPr>
              <w:rPr>
                <w:rFonts w:ascii="Arial"/>
                <w:sz w:val="21"/>
              </w:rPr>
            </w:pPr>
          </w:p>
        </w:tc>
        <w:tc>
          <w:tcPr>
            <w:tcW w:w="1454" w:type="dxa"/>
            <w:vAlign w:val="top"/>
          </w:tcPr>
          <w:p>
            <w:pPr>
              <w:spacing w:before="57" w:line="312" w:lineRule="exact"/>
              <w:ind w:left="323"/>
              <w:rPr>
                <w:rFonts w:ascii="仿宋" w:hAnsi="仿宋" w:eastAsia="仿宋" w:cs="仿宋"/>
                <w:sz w:val="21"/>
                <w:szCs w:val="21"/>
              </w:rPr>
            </w:pPr>
            <w:r>
              <w:rPr>
                <w:rFonts w:ascii="仿宋" w:hAnsi="仿宋" w:eastAsia="仿宋" w:cs="仿宋"/>
                <w:spacing w:val="-4"/>
                <w:position w:val="7"/>
                <w:sz w:val="21"/>
                <w:szCs w:val="21"/>
              </w:rPr>
              <w:t>河流、水</w:t>
            </w:r>
          </w:p>
          <w:p>
            <w:pPr>
              <w:spacing w:line="217" w:lineRule="auto"/>
              <w:ind w:left="321"/>
              <w:rPr>
                <w:rFonts w:ascii="仿宋" w:hAnsi="仿宋" w:eastAsia="仿宋" w:cs="仿宋"/>
                <w:sz w:val="21"/>
                <w:szCs w:val="21"/>
              </w:rPr>
            </w:pPr>
            <w:r>
              <w:rPr>
                <w:rFonts w:ascii="仿宋" w:hAnsi="仿宋" w:eastAsia="仿宋" w:cs="仿宋"/>
                <w:spacing w:val="-4"/>
                <w:sz w:val="21"/>
                <w:szCs w:val="21"/>
              </w:rPr>
              <w:t>库、鱼塘</w:t>
            </w:r>
          </w:p>
        </w:tc>
        <w:tc>
          <w:tcPr>
            <w:tcW w:w="894" w:type="dxa"/>
            <w:vAlign w:val="top"/>
          </w:tcPr>
          <w:p>
            <w:pPr>
              <w:spacing w:before="212" w:line="222" w:lineRule="auto"/>
              <w:ind w:left="284"/>
              <w:rPr>
                <w:rFonts w:ascii="仿宋" w:hAnsi="仿宋" w:eastAsia="仿宋" w:cs="仿宋"/>
                <w:sz w:val="21"/>
                <w:szCs w:val="21"/>
              </w:rPr>
            </w:pPr>
            <w:r>
              <w:rPr>
                <w:rFonts w:ascii="仿宋" w:hAnsi="仿宋" w:eastAsia="仿宋" w:cs="仿宋"/>
                <w:spacing w:val="-13"/>
                <w:sz w:val="21"/>
                <w:szCs w:val="21"/>
              </w:rPr>
              <w:t>目击</w:t>
            </w:r>
          </w:p>
        </w:tc>
        <w:tc>
          <w:tcPr>
            <w:tcW w:w="1424" w:type="dxa"/>
            <w:tcBorders>
              <w:right w:val="nil"/>
            </w:tcBorders>
            <w:vAlign w:val="top"/>
          </w:tcPr>
          <w:p>
            <w:pPr>
              <w:spacing w:before="57" w:line="246" w:lineRule="auto"/>
              <w:ind w:left="620" w:right="186" w:hanging="414"/>
              <w:rPr>
                <w:rFonts w:ascii="仿宋" w:hAnsi="仿宋" w:eastAsia="仿宋" w:cs="仿宋"/>
                <w:sz w:val="21"/>
                <w:szCs w:val="21"/>
              </w:rPr>
            </w:pPr>
            <w:r>
              <w:rPr>
                <w:rFonts w:ascii="仿宋" w:hAnsi="仿宋" w:eastAsia="仿宋" w:cs="仿宋"/>
                <w:spacing w:val="-5"/>
                <w:sz w:val="21"/>
                <w:szCs w:val="21"/>
              </w:rPr>
              <w:t>引入经济鱼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590" w:type="dxa"/>
            <w:tcBorders>
              <w:left w:val="nil"/>
            </w:tcBorders>
            <w:vAlign w:val="top"/>
          </w:tcPr>
          <w:p>
            <w:pPr>
              <w:pStyle w:val="6"/>
              <w:spacing w:before="252" w:line="188" w:lineRule="auto"/>
              <w:ind w:left="258"/>
            </w:pPr>
            <w:r>
              <w:t>6</w:t>
            </w:r>
          </w:p>
        </w:tc>
        <w:tc>
          <w:tcPr>
            <w:tcW w:w="1210" w:type="dxa"/>
            <w:vAlign w:val="top"/>
          </w:tcPr>
          <w:p>
            <w:pPr>
              <w:spacing w:before="215" w:line="220" w:lineRule="auto"/>
              <w:ind w:left="305"/>
              <w:rPr>
                <w:rFonts w:ascii="仿宋" w:hAnsi="仿宋" w:eastAsia="仿宋" w:cs="仿宋"/>
                <w:sz w:val="21"/>
                <w:szCs w:val="21"/>
              </w:rPr>
            </w:pPr>
            <w:r>
              <w:rPr>
                <w:rFonts w:ascii="仿宋" w:hAnsi="仿宋" w:eastAsia="仿宋" w:cs="仿宋"/>
                <w:spacing w:val="-5"/>
                <w:sz w:val="21"/>
                <w:szCs w:val="21"/>
              </w:rPr>
              <w:t>马口鱼</w:t>
            </w:r>
          </w:p>
        </w:tc>
        <w:tc>
          <w:tcPr>
            <w:tcW w:w="2048" w:type="dxa"/>
            <w:vAlign w:val="top"/>
          </w:tcPr>
          <w:p>
            <w:pPr>
              <w:pStyle w:val="6"/>
              <w:spacing w:before="248" w:line="192" w:lineRule="auto"/>
              <w:ind w:left="143"/>
            </w:pPr>
            <w:r>
              <w:rPr>
                <w:i/>
                <w:iCs/>
                <w:spacing w:val="-1"/>
              </w:rPr>
              <w:t>Opsariichthys bidens</w:t>
            </w:r>
          </w:p>
        </w:tc>
        <w:tc>
          <w:tcPr>
            <w:tcW w:w="701" w:type="dxa"/>
            <w:vAlign w:val="top"/>
          </w:tcPr>
          <w:p>
            <w:pPr>
              <w:rPr>
                <w:rFonts w:ascii="Arial"/>
                <w:sz w:val="21"/>
              </w:rPr>
            </w:pPr>
          </w:p>
        </w:tc>
        <w:tc>
          <w:tcPr>
            <w:tcW w:w="1454" w:type="dxa"/>
            <w:vAlign w:val="top"/>
          </w:tcPr>
          <w:p>
            <w:pPr>
              <w:spacing w:before="216" w:line="218" w:lineRule="auto"/>
              <w:ind w:left="218"/>
              <w:rPr>
                <w:rFonts w:ascii="仿宋" w:hAnsi="仿宋" w:eastAsia="仿宋" w:cs="仿宋"/>
                <w:sz w:val="21"/>
                <w:szCs w:val="21"/>
              </w:rPr>
            </w:pPr>
            <w:r>
              <w:rPr>
                <w:rFonts w:ascii="仿宋" w:hAnsi="仿宋" w:eastAsia="仿宋" w:cs="仿宋"/>
                <w:spacing w:val="-4"/>
                <w:sz w:val="21"/>
                <w:szCs w:val="21"/>
              </w:rPr>
              <w:t>河流、水库</w:t>
            </w:r>
          </w:p>
        </w:tc>
        <w:tc>
          <w:tcPr>
            <w:tcW w:w="894" w:type="dxa"/>
            <w:vAlign w:val="top"/>
          </w:tcPr>
          <w:p>
            <w:pPr>
              <w:spacing w:before="215" w:line="220" w:lineRule="auto"/>
              <w:ind w:left="250"/>
              <w:rPr>
                <w:rFonts w:ascii="仿宋" w:hAnsi="仿宋" w:eastAsia="仿宋" w:cs="仿宋"/>
                <w:sz w:val="21"/>
                <w:szCs w:val="21"/>
              </w:rPr>
            </w:pPr>
            <w:r>
              <w:rPr>
                <w:rFonts w:ascii="仿宋" w:hAnsi="仿宋" w:eastAsia="仿宋" w:cs="仿宋"/>
                <w:spacing w:val="-5"/>
                <w:sz w:val="21"/>
                <w:szCs w:val="21"/>
              </w:rPr>
              <w:t>访查</w:t>
            </w:r>
          </w:p>
        </w:tc>
        <w:tc>
          <w:tcPr>
            <w:tcW w:w="1424" w:type="dxa"/>
            <w:tcBorders>
              <w:right w:val="nil"/>
            </w:tcBorders>
            <w:vAlign w:val="top"/>
          </w:tcPr>
          <w:p>
            <w:pPr>
              <w:spacing w:before="60" w:line="245" w:lineRule="auto"/>
              <w:ind w:left="520" w:right="186" w:hanging="319"/>
              <w:rPr>
                <w:rFonts w:ascii="仿宋" w:hAnsi="仿宋" w:eastAsia="仿宋" w:cs="仿宋"/>
                <w:sz w:val="21"/>
                <w:szCs w:val="21"/>
              </w:rPr>
            </w:pPr>
            <w:r>
              <w:rPr>
                <w:rFonts w:ascii="仿宋" w:hAnsi="仿宋" w:eastAsia="仿宋" w:cs="仿宋"/>
                <w:spacing w:val="-4"/>
                <w:sz w:val="21"/>
                <w:szCs w:val="21"/>
              </w:rPr>
              <w:t>土著非经济</w:t>
            </w:r>
            <w:r>
              <w:rPr>
                <w:rFonts w:ascii="仿宋" w:hAnsi="仿宋" w:eastAsia="仿宋" w:cs="仿宋"/>
                <w:spacing w:val="2"/>
                <w:sz w:val="21"/>
                <w:szCs w:val="21"/>
              </w:rPr>
              <w:t xml:space="preserve"> </w:t>
            </w:r>
            <w:r>
              <w:rPr>
                <w:rFonts w:ascii="仿宋" w:hAnsi="仿宋" w:eastAsia="仿宋" w:cs="仿宋"/>
                <w:spacing w:val="-6"/>
                <w:sz w:val="21"/>
                <w:szCs w:val="21"/>
              </w:rPr>
              <w:t>鱼类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9" w:hRule="atLeast"/>
        </w:trPr>
        <w:tc>
          <w:tcPr>
            <w:tcW w:w="590" w:type="dxa"/>
            <w:tcBorders>
              <w:left w:val="nil"/>
            </w:tcBorders>
            <w:vAlign w:val="top"/>
          </w:tcPr>
          <w:p>
            <w:pPr>
              <w:spacing w:line="349" w:lineRule="auto"/>
              <w:rPr>
                <w:rFonts w:ascii="Arial"/>
                <w:sz w:val="21"/>
              </w:rPr>
            </w:pPr>
          </w:p>
          <w:p>
            <w:pPr>
              <w:pStyle w:val="6"/>
              <w:spacing w:before="60" w:line="185" w:lineRule="auto"/>
              <w:ind w:left="257"/>
            </w:pPr>
            <w:r>
              <w:t>7</w:t>
            </w:r>
          </w:p>
        </w:tc>
        <w:tc>
          <w:tcPr>
            <w:tcW w:w="1210" w:type="dxa"/>
            <w:vAlign w:val="top"/>
          </w:tcPr>
          <w:p>
            <w:pPr>
              <w:spacing w:line="302" w:lineRule="auto"/>
              <w:rPr>
                <w:rFonts w:ascii="Arial"/>
                <w:sz w:val="21"/>
              </w:rPr>
            </w:pPr>
          </w:p>
          <w:p>
            <w:pPr>
              <w:spacing w:before="68" w:line="218" w:lineRule="auto"/>
              <w:ind w:left="306"/>
              <w:rPr>
                <w:rFonts w:ascii="仿宋" w:hAnsi="仿宋" w:eastAsia="仿宋" w:cs="仿宋"/>
                <w:sz w:val="21"/>
                <w:szCs w:val="21"/>
              </w:rPr>
            </w:pPr>
            <w:r>
              <w:rPr>
                <w:rFonts w:ascii="仿宋" w:hAnsi="仿宋" w:eastAsia="仿宋" w:cs="仿宋"/>
                <w:spacing w:val="-5"/>
                <w:sz w:val="21"/>
                <w:szCs w:val="21"/>
              </w:rPr>
              <w:t>麦穗鱼</w:t>
            </w:r>
          </w:p>
        </w:tc>
        <w:tc>
          <w:tcPr>
            <w:tcW w:w="2048" w:type="dxa"/>
            <w:vAlign w:val="top"/>
          </w:tcPr>
          <w:p>
            <w:pPr>
              <w:spacing w:line="345" w:lineRule="auto"/>
              <w:rPr>
                <w:rFonts w:ascii="Arial"/>
                <w:sz w:val="21"/>
              </w:rPr>
            </w:pPr>
          </w:p>
          <w:p>
            <w:pPr>
              <w:pStyle w:val="6"/>
              <w:spacing w:before="60" w:line="190" w:lineRule="auto"/>
              <w:ind w:left="101"/>
            </w:pPr>
            <w:r>
              <w:rPr>
                <w:i/>
                <w:iCs/>
                <w:spacing w:val="1"/>
              </w:rPr>
              <w:t>Pseudorasbora</w:t>
            </w:r>
            <w:r>
              <w:rPr>
                <w:i/>
                <w:iCs/>
                <w:spacing w:val="-13"/>
              </w:rPr>
              <w:t xml:space="preserve"> </w:t>
            </w:r>
            <w:r>
              <w:rPr>
                <w:i/>
                <w:iCs/>
                <w:spacing w:val="1"/>
              </w:rPr>
              <w:t>parva</w:t>
            </w:r>
          </w:p>
        </w:tc>
        <w:tc>
          <w:tcPr>
            <w:tcW w:w="701" w:type="dxa"/>
            <w:vAlign w:val="top"/>
          </w:tcPr>
          <w:p>
            <w:pPr>
              <w:rPr>
                <w:rFonts w:ascii="Arial"/>
                <w:sz w:val="21"/>
              </w:rPr>
            </w:pPr>
          </w:p>
        </w:tc>
        <w:tc>
          <w:tcPr>
            <w:tcW w:w="1454" w:type="dxa"/>
            <w:vAlign w:val="top"/>
          </w:tcPr>
          <w:p>
            <w:pPr>
              <w:spacing w:before="62" w:line="254" w:lineRule="auto"/>
              <w:ind w:left="211" w:right="200" w:firstLine="112"/>
              <w:rPr>
                <w:rFonts w:ascii="仿宋" w:hAnsi="仿宋" w:eastAsia="仿宋" w:cs="仿宋"/>
                <w:sz w:val="21"/>
                <w:szCs w:val="21"/>
              </w:rPr>
            </w:pPr>
            <w:r>
              <w:rPr>
                <w:rFonts w:ascii="仿宋" w:hAnsi="仿宋" w:eastAsia="仿宋" w:cs="仿宋"/>
                <w:spacing w:val="-5"/>
                <w:sz w:val="21"/>
                <w:szCs w:val="21"/>
              </w:rPr>
              <w:t>河流、水</w:t>
            </w:r>
            <w:r>
              <w:rPr>
                <w:rFonts w:ascii="仿宋" w:hAnsi="仿宋" w:eastAsia="仿宋" w:cs="仿宋"/>
                <w:sz w:val="21"/>
                <w:szCs w:val="21"/>
              </w:rPr>
              <w:t xml:space="preserve">  </w:t>
            </w:r>
            <w:r>
              <w:rPr>
                <w:rFonts w:ascii="仿宋" w:hAnsi="仿宋" w:eastAsia="仿宋" w:cs="仿宋"/>
                <w:spacing w:val="-10"/>
                <w:sz w:val="21"/>
                <w:szCs w:val="21"/>
              </w:rPr>
              <w:t>库、鱼塘、</w:t>
            </w:r>
            <w:r>
              <w:rPr>
                <w:rFonts w:ascii="仿宋" w:hAnsi="仿宋" w:eastAsia="仿宋" w:cs="仿宋"/>
                <w:spacing w:val="2"/>
                <w:sz w:val="21"/>
                <w:szCs w:val="21"/>
              </w:rPr>
              <w:t xml:space="preserve"> </w:t>
            </w:r>
            <w:r>
              <w:rPr>
                <w:rFonts w:ascii="仿宋" w:hAnsi="仿宋" w:eastAsia="仿宋" w:cs="仿宋"/>
                <w:spacing w:val="-3"/>
                <w:sz w:val="21"/>
                <w:szCs w:val="21"/>
              </w:rPr>
              <w:t>水塘、沟渠</w:t>
            </w:r>
          </w:p>
        </w:tc>
        <w:tc>
          <w:tcPr>
            <w:tcW w:w="894" w:type="dxa"/>
            <w:vAlign w:val="top"/>
          </w:tcPr>
          <w:p>
            <w:pPr>
              <w:spacing w:line="302" w:lineRule="auto"/>
              <w:rPr>
                <w:rFonts w:ascii="Arial"/>
                <w:sz w:val="21"/>
              </w:rPr>
            </w:pPr>
          </w:p>
          <w:p>
            <w:pPr>
              <w:spacing w:before="68" w:line="222" w:lineRule="auto"/>
              <w:ind w:left="284"/>
              <w:rPr>
                <w:rFonts w:ascii="仿宋" w:hAnsi="仿宋" w:eastAsia="仿宋" w:cs="仿宋"/>
                <w:sz w:val="21"/>
                <w:szCs w:val="21"/>
              </w:rPr>
            </w:pPr>
            <w:r>
              <w:rPr>
                <w:rFonts w:ascii="仿宋" w:hAnsi="仿宋" w:eastAsia="仿宋" w:cs="仿宋"/>
                <w:spacing w:val="-13"/>
                <w:sz w:val="21"/>
                <w:szCs w:val="21"/>
              </w:rPr>
              <w:t>目击</w:t>
            </w:r>
          </w:p>
        </w:tc>
        <w:tc>
          <w:tcPr>
            <w:tcW w:w="1424" w:type="dxa"/>
            <w:tcBorders>
              <w:right w:val="nil"/>
            </w:tcBorders>
            <w:vAlign w:val="top"/>
          </w:tcPr>
          <w:p>
            <w:pPr>
              <w:spacing w:before="217" w:line="247" w:lineRule="auto"/>
              <w:ind w:left="520" w:right="186" w:hanging="314"/>
              <w:rPr>
                <w:rFonts w:ascii="仿宋" w:hAnsi="仿宋" w:eastAsia="仿宋" w:cs="仿宋"/>
                <w:sz w:val="21"/>
                <w:szCs w:val="21"/>
              </w:rPr>
            </w:pPr>
            <w:r>
              <w:rPr>
                <w:rFonts w:ascii="仿宋" w:hAnsi="仿宋" w:eastAsia="仿宋" w:cs="仿宋"/>
                <w:spacing w:val="-5"/>
                <w:sz w:val="21"/>
                <w:szCs w:val="21"/>
              </w:rPr>
              <w:t>引入非经济</w:t>
            </w:r>
            <w:r>
              <w:rPr>
                <w:rFonts w:ascii="仿宋" w:hAnsi="仿宋" w:eastAsia="仿宋" w:cs="仿宋"/>
                <w:spacing w:val="2"/>
                <w:sz w:val="21"/>
                <w:szCs w:val="21"/>
              </w:rPr>
              <w:t xml:space="preserve"> </w:t>
            </w:r>
            <w:r>
              <w:rPr>
                <w:rFonts w:ascii="仿宋" w:hAnsi="仿宋" w:eastAsia="仿宋" w:cs="仿宋"/>
                <w:spacing w:val="-6"/>
                <w:sz w:val="21"/>
                <w:szCs w:val="21"/>
              </w:rPr>
              <w:t>鱼类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9" w:hRule="atLeast"/>
        </w:trPr>
        <w:tc>
          <w:tcPr>
            <w:tcW w:w="590" w:type="dxa"/>
            <w:tcBorders>
              <w:left w:val="nil"/>
            </w:tcBorders>
            <w:vAlign w:val="top"/>
          </w:tcPr>
          <w:p>
            <w:pPr>
              <w:spacing w:line="348" w:lineRule="auto"/>
              <w:rPr>
                <w:rFonts w:ascii="Arial"/>
                <w:sz w:val="21"/>
              </w:rPr>
            </w:pPr>
          </w:p>
          <w:p>
            <w:pPr>
              <w:pStyle w:val="6"/>
              <w:spacing w:before="60" w:line="188" w:lineRule="auto"/>
              <w:ind w:left="262"/>
            </w:pPr>
            <w:r>
              <w:t>8</w:t>
            </w:r>
          </w:p>
        </w:tc>
        <w:tc>
          <w:tcPr>
            <w:tcW w:w="1210" w:type="dxa"/>
            <w:vAlign w:val="top"/>
          </w:tcPr>
          <w:p>
            <w:pPr>
              <w:spacing w:line="304" w:lineRule="auto"/>
              <w:rPr>
                <w:rFonts w:ascii="Arial"/>
                <w:sz w:val="21"/>
              </w:rPr>
            </w:pPr>
          </w:p>
          <w:p>
            <w:pPr>
              <w:spacing w:before="68" w:line="217" w:lineRule="auto"/>
              <w:ind w:left="222"/>
              <w:rPr>
                <w:rFonts w:ascii="仿宋" w:hAnsi="仿宋" w:eastAsia="仿宋" w:cs="仿宋"/>
                <w:sz w:val="21"/>
                <w:szCs w:val="21"/>
              </w:rPr>
            </w:pPr>
            <w:r>
              <w:rPr>
                <w:rFonts w:ascii="仿宋" w:hAnsi="仿宋" w:eastAsia="仿宋" w:cs="仿宋"/>
                <w:spacing w:val="-8"/>
                <w:sz w:val="21"/>
                <w:szCs w:val="21"/>
              </w:rPr>
              <w:t>中华鳑鲏</w:t>
            </w:r>
          </w:p>
        </w:tc>
        <w:tc>
          <w:tcPr>
            <w:tcW w:w="2048" w:type="dxa"/>
            <w:vAlign w:val="top"/>
          </w:tcPr>
          <w:p>
            <w:pPr>
              <w:spacing w:line="343" w:lineRule="auto"/>
              <w:rPr>
                <w:rFonts w:ascii="Arial"/>
                <w:sz w:val="21"/>
              </w:rPr>
            </w:pPr>
          </w:p>
          <w:p>
            <w:pPr>
              <w:pStyle w:val="6"/>
              <w:spacing w:before="61" w:line="235" w:lineRule="auto"/>
              <w:ind w:left="295"/>
            </w:pPr>
            <w:r>
              <w:rPr>
                <w:i/>
                <w:iCs/>
              </w:rPr>
              <w:t>Rhodeus</w:t>
            </w:r>
            <w:r>
              <w:rPr>
                <w:i/>
                <w:iCs/>
                <w:spacing w:val="5"/>
              </w:rPr>
              <w:t xml:space="preserve"> </w:t>
            </w:r>
            <w:r>
              <w:rPr>
                <w:i/>
                <w:iCs/>
              </w:rPr>
              <w:t>sinensis</w:t>
            </w:r>
          </w:p>
        </w:tc>
        <w:tc>
          <w:tcPr>
            <w:tcW w:w="701" w:type="dxa"/>
            <w:vAlign w:val="top"/>
          </w:tcPr>
          <w:p>
            <w:pPr>
              <w:rPr>
                <w:rFonts w:ascii="Arial"/>
                <w:sz w:val="21"/>
              </w:rPr>
            </w:pPr>
          </w:p>
        </w:tc>
        <w:tc>
          <w:tcPr>
            <w:tcW w:w="1454" w:type="dxa"/>
            <w:vAlign w:val="top"/>
          </w:tcPr>
          <w:p>
            <w:pPr>
              <w:spacing w:before="62" w:line="254" w:lineRule="auto"/>
              <w:ind w:left="211" w:right="200" w:firstLine="112"/>
              <w:rPr>
                <w:rFonts w:ascii="仿宋" w:hAnsi="仿宋" w:eastAsia="仿宋" w:cs="仿宋"/>
                <w:sz w:val="21"/>
                <w:szCs w:val="21"/>
              </w:rPr>
            </w:pPr>
            <w:r>
              <w:rPr>
                <w:rFonts w:ascii="仿宋" w:hAnsi="仿宋" w:eastAsia="仿宋" w:cs="仿宋"/>
                <w:spacing w:val="-5"/>
                <w:sz w:val="21"/>
                <w:szCs w:val="21"/>
              </w:rPr>
              <w:t>河流、水</w:t>
            </w:r>
            <w:r>
              <w:rPr>
                <w:rFonts w:ascii="仿宋" w:hAnsi="仿宋" w:eastAsia="仿宋" w:cs="仿宋"/>
                <w:sz w:val="21"/>
                <w:szCs w:val="21"/>
              </w:rPr>
              <w:t xml:space="preserve">  </w:t>
            </w:r>
            <w:r>
              <w:rPr>
                <w:rFonts w:ascii="仿宋" w:hAnsi="仿宋" w:eastAsia="仿宋" w:cs="仿宋"/>
                <w:spacing w:val="-10"/>
                <w:sz w:val="21"/>
                <w:szCs w:val="21"/>
              </w:rPr>
              <w:t>库、鱼塘、</w:t>
            </w:r>
            <w:r>
              <w:rPr>
                <w:rFonts w:ascii="仿宋" w:hAnsi="仿宋" w:eastAsia="仿宋" w:cs="仿宋"/>
                <w:spacing w:val="2"/>
                <w:sz w:val="21"/>
                <w:szCs w:val="21"/>
              </w:rPr>
              <w:t xml:space="preserve"> </w:t>
            </w:r>
            <w:r>
              <w:rPr>
                <w:rFonts w:ascii="仿宋" w:hAnsi="仿宋" w:eastAsia="仿宋" w:cs="仿宋"/>
                <w:spacing w:val="-3"/>
                <w:sz w:val="21"/>
                <w:szCs w:val="21"/>
              </w:rPr>
              <w:t>水塘、沟渠</w:t>
            </w:r>
          </w:p>
        </w:tc>
        <w:tc>
          <w:tcPr>
            <w:tcW w:w="894" w:type="dxa"/>
            <w:vAlign w:val="top"/>
          </w:tcPr>
          <w:p>
            <w:pPr>
              <w:pStyle w:val="6"/>
              <w:spacing w:before="62" w:line="254" w:lineRule="auto"/>
              <w:ind w:left="198" w:right="163" w:hanging="53"/>
              <w:jc w:val="right"/>
              <w:rPr>
                <w:rFonts w:ascii="仿宋" w:hAnsi="仿宋" w:eastAsia="仿宋" w:cs="仿宋"/>
              </w:rPr>
            </w:pPr>
            <w:r>
              <w:rPr>
                <w:rFonts w:ascii="仿宋" w:hAnsi="仿宋" w:eastAsia="仿宋" w:cs="仿宋"/>
                <w:spacing w:val="-17"/>
              </w:rPr>
              <w:t>访查、</w:t>
            </w:r>
            <w:r>
              <w:rPr>
                <w:rFonts w:ascii="仿宋" w:hAnsi="仿宋" w:eastAsia="仿宋" w:cs="仿宋"/>
              </w:rPr>
              <w:t xml:space="preserve"> </w:t>
            </w: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right w:val="nil"/>
            </w:tcBorders>
            <w:vAlign w:val="top"/>
          </w:tcPr>
          <w:p>
            <w:pPr>
              <w:spacing w:before="218" w:line="247" w:lineRule="auto"/>
              <w:ind w:left="621" w:right="186" w:hanging="420"/>
              <w:rPr>
                <w:rFonts w:ascii="仿宋" w:hAnsi="仿宋" w:eastAsia="仿宋" w:cs="仿宋"/>
                <w:sz w:val="21"/>
                <w:szCs w:val="21"/>
              </w:rPr>
            </w:pPr>
            <w:r>
              <w:rPr>
                <w:rFonts w:ascii="仿宋" w:hAnsi="仿宋" w:eastAsia="仿宋" w:cs="仿宋"/>
                <w:spacing w:val="-4"/>
                <w:sz w:val="21"/>
                <w:szCs w:val="21"/>
              </w:rPr>
              <w:t>土著经济鱼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590" w:type="dxa"/>
            <w:tcBorders>
              <w:left w:val="nil"/>
            </w:tcBorders>
            <w:vAlign w:val="top"/>
          </w:tcPr>
          <w:p>
            <w:pPr>
              <w:pStyle w:val="6"/>
              <w:spacing w:before="101" w:line="188" w:lineRule="auto"/>
              <w:ind w:left="190"/>
            </w:pPr>
            <w:r>
              <w:rPr>
                <w:b/>
                <w:bCs/>
                <w:spacing w:val="-2"/>
              </w:rPr>
              <w:t>F2</w:t>
            </w:r>
          </w:p>
        </w:tc>
        <w:tc>
          <w:tcPr>
            <w:tcW w:w="1210" w:type="dxa"/>
            <w:vAlign w:val="top"/>
          </w:tcPr>
          <w:p>
            <w:pPr>
              <w:spacing w:before="64" w:line="213" w:lineRule="auto"/>
              <w:ind w:left="40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鳅科</w:t>
            </w:r>
          </w:p>
        </w:tc>
        <w:tc>
          <w:tcPr>
            <w:tcW w:w="2048" w:type="dxa"/>
            <w:vAlign w:val="top"/>
          </w:tcPr>
          <w:p>
            <w:pPr>
              <w:pStyle w:val="6"/>
              <w:spacing w:before="101" w:line="188" w:lineRule="auto"/>
              <w:ind w:left="591"/>
            </w:pPr>
            <w:r>
              <w:rPr>
                <w:b/>
                <w:bCs/>
                <w:spacing w:val="-1"/>
              </w:rPr>
              <w:t>Cobitidae</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9" w:hRule="atLeast"/>
        </w:trPr>
        <w:tc>
          <w:tcPr>
            <w:tcW w:w="590" w:type="dxa"/>
            <w:tcBorders>
              <w:left w:val="nil"/>
            </w:tcBorders>
            <w:vAlign w:val="top"/>
          </w:tcPr>
          <w:p>
            <w:pPr>
              <w:spacing w:line="350" w:lineRule="auto"/>
              <w:rPr>
                <w:rFonts w:ascii="Arial"/>
                <w:sz w:val="21"/>
              </w:rPr>
            </w:pPr>
          </w:p>
          <w:p>
            <w:pPr>
              <w:pStyle w:val="6"/>
              <w:spacing w:before="60" w:line="188" w:lineRule="auto"/>
              <w:ind w:left="257"/>
            </w:pPr>
            <w:r>
              <w:t>9</w:t>
            </w:r>
          </w:p>
        </w:tc>
        <w:tc>
          <w:tcPr>
            <w:tcW w:w="1210" w:type="dxa"/>
            <w:vAlign w:val="top"/>
          </w:tcPr>
          <w:p>
            <w:pPr>
              <w:spacing w:line="306" w:lineRule="auto"/>
              <w:rPr>
                <w:rFonts w:ascii="Arial"/>
                <w:sz w:val="21"/>
              </w:rPr>
            </w:pPr>
          </w:p>
          <w:p>
            <w:pPr>
              <w:spacing w:before="68" w:line="220" w:lineRule="auto"/>
              <w:ind w:left="404"/>
              <w:rPr>
                <w:rFonts w:ascii="仿宋" w:hAnsi="仿宋" w:eastAsia="仿宋" w:cs="仿宋"/>
                <w:sz w:val="21"/>
                <w:szCs w:val="21"/>
              </w:rPr>
            </w:pPr>
            <w:r>
              <w:rPr>
                <w:rFonts w:ascii="仿宋" w:hAnsi="仿宋" w:eastAsia="仿宋" w:cs="仿宋"/>
                <w:spacing w:val="-4"/>
                <w:sz w:val="21"/>
                <w:szCs w:val="21"/>
              </w:rPr>
              <w:t>泥鳅</w:t>
            </w:r>
          </w:p>
        </w:tc>
        <w:tc>
          <w:tcPr>
            <w:tcW w:w="2048" w:type="dxa"/>
            <w:vAlign w:val="top"/>
          </w:tcPr>
          <w:p>
            <w:pPr>
              <w:pStyle w:val="6"/>
              <w:spacing w:before="255" w:line="190" w:lineRule="auto"/>
              <w:ind w:left="564"/>
            </w:pPr>
            <w:r>
              <w:rPr>
                <w:i/>
                <w:iCs/>
              </w:rPr>
              <w:t>Misgurnus</w:t>
            </w:r>
          </w:p>
          <w:p>
            <w:pPr>
              <w:pStyle w:val="6"/>
              <w:spacing w:before="120" w:line="190" w:lineRule="auto"/>
              <w:ind w:left="319"/>
            </w:pPr>
            <w:r>
              <w:rPr>
                <w:i/>
                <w:iCs/>
                <w:spacing w:val="-1"/>
              </w:rPr>
              <w:t>anguillicaudatus</w:t>
            </w:r>
          </w:p>
        </w:tc>
        <w:tc>
          <w:tcPr>
            <w:tcW w:w="701" w:type="dxa"/>
            <w:vAlign w:val="top"/>
          </w:tcPr>
          <w:p>
            <w:pPr>
              <w:rPr>
                <w:rFonts w:ascii="Arial"/>
                <w:sz w:val="21"/>
              </w:rPr>
            </w:pPr>
          </w:p>
        </w:tc>
        <w:tc>
          <w:tcPr>
            <w:tcW w:w="1454" w:type="dxa"/>
            <w:vAlign w:val="top"/>
          </w:tcPr>
          <w:p>
            <w:pPr>
              <w:spacing w:before="65" w:line="253" w:lineRule="auto"/>
              <w:ind w:left="211" w:right="200" w:firstLine="109"/>
              <w:rPr>
                <w:rFonts w:ascii="仿宋" w:hAnsi="仿宋" w:eastAsia="仿宋" w:cs="仿宋"/>
                <w:sz w:val="21"/>
                <w:szCs w:val="21"/>
              </w:rPr>
            </w:pPr>
            <w:r>
              <w:rPr>
                <w:rFonts w:ascii="仿宋" w:hAnsi="仿宋" w:eastAsia="仿宋" w:cs="仿宋"/>
                <w:spacing w:val="-5"/>
                <w:sz w:val="21"/>
                <w:szCs w:val="21"/>
              </w:rPr>
              <w:t>沼泽、鱼</w:t>
            </w:r>
            <w:r>
              <w:rPr>
                <w:rFonts w:ascii="仿宋" w:hAnsi="仿宋" w:eastAsia="仿宋" w:cs="仿宋"/>
                <w:sz w:val="21"/>
                <w:szCs w:val="21"/>
              </w:rPr>
              <w:t xml:space="preserve">  </w:t>
            </w:r>
            <w:r>
              <w:rPr>
                <w:rFonts w:ascii="仿宋" w:hAnsi="仿宋" w:eastAsia="仿宋" w:cs="仿宋"/>
                <w:spacing w:val="-10"/>
                <w:sz w:val="21"/>
                <w:szCs w:val="21"/>
              </w:rPr>
              <w:t>塘、水田、</w:t>
            </w:r>
            <w:r>
              <w:rPr>
                <w:rFonts w:ascii="仿宋" w:hAnsi="仿宋" w:eastAsia="仿宋" w:cs="仿宋"/>
                <w:spacing w:val="2"/>
                <w:sz w:val="21"/>
                <w:szCs w:val="21"/>
              </w:rPr>
              <w:t xml:space="preserve"> </w:t>
            </w:r>
            <w:r>
              <w:rPr>
                <w:rFonts w:ascii="仿宋" w:hAnsi="仿宋" w:eastAsia="仿宋" w:cs="仿宋"/>
                <w:spacing w:val="-3"/>
                <w:sz w:val="21"/>
                <w:szCs w:val="21"/>
              </w:rPr>
              <w:t>水塘、沟渠</w:t>
            </w:r>
          </w:p>
        </w:tc>
        <w:tc>
          <w:tcPr>
            <w:tcW w:w="894" w:type="dxa"/>
            <w:vAlign w:val="top"/>
          </w:tcPr>
          <w:p>
            <w:pPr>
              <w:pStyle w:val="6"/>
              <w:spacing w:before="65" w:line="253" w:lineRule="auto"/>
              <w:ind w:left="198" w:right="163" w:hanging="53"/>
              <w:jc w:val="right"/>
              <w:rPr>
                <w:rFonts w:ascii="仿宋" w:hAnsi="仿宋" w:eastAsia="仿宋" w:cs="仿宋"/>
              </w:rPr>
            </w:pPr>
            <w:r>
              <w:rPr>
                <w:rFonts w:ascii="仿宋" w:hAnsi="仿宋" w:eastAsia="仿宋" w:cs="仿宋"/>
                <w:spacing w:val="-17"/>
              </w:rPr>
              <w:t>访查、</w:t>
            </w:r>
            <w:r>
              <w:rPr>
                <w:rFonts w:ascii="仿宋" w:hAnsi="仿宋" w:eastAsia="仿宋" w:cs="仿宋"/>
              </w:rPr>
              <w:t xml:space="preserve"> </w:t>
            </w: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right w:val="nil"/>
            </w:tcBorders>
            <w:vAlign w:val="top"/>
          </w:tcPr>
          <w:p>
            <w:pPr>
              <w:spacing w:before="221" w:line="247" w:lineRule="auto"/>
              <w:ind w:left="621" w:right="186" w:hanging="420"/>
              <w:rPr>
                <w:rFonts w:ascii="仿宋" w:hAnsi="仿宋" w:eastAsia="仿宋" w:cs="仿宋"/>
                <w:sz w:val="21"/>
                <w:szCs w:val="21"/>
              </w:rPr>
            </w:pPr>
            <w:r>
              <w:rPr>
                <w:rFonts w:ascii="仿宋" w:hAnsi="仿宋" w:eastAsia="仿宋" w:cs="仿宋"/>
                <w:spacing w:val="-4"/>
                <w:sz w:val="21"/>
                <w:szCs w:val="21"/>
              </w:rPr>
              <w:t>土著经济鱼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9" w:hRule="atLeast"/>
        </w:trPr>
        <w:tc>
          <w:tcPr>
            <w:tcW w:w="590" w:type="dxa"/>
            <w:tcBorders>
              <w:left w:val="nil"/>
            </w:tcBorders>
            <w:vAlign w:val="top"/>
          </w:tcPr>
          <w:p>
            <w:pPr>
              <w:spacing w:line="352" w:lineRule="auto"/>
              <w:rPr>
                <w:rFonts w:ascii="Arial"/>
                <w:sz w:val="21"/>
              </w:rPr>
            </w:pPr>
          </w:p>
          <w:p>
            <w:pPr>
              <w:pStyle w:val="6"/>
              <w:spacing w:before="60" w:line="188" w:lineRule="auto"/>
              <w:ind w:left="221"/>
            </w:pPr>
            <w:r>
              <w:rPr>
                <w:spacing w:val="-6"/>
              </w:rPr>
              <w:t>10</w:t>
            </w:r>
          </w:p>
        </w:tc>
        <w:tc>
          <w:tcPr>
            <w:tcW w:w="1210" w:type="dxa"/>
            <w:vAlign w:val="top"/>
          </w:tcPr>
          <w:p>
            <w:pPr>
              <w:spacing w:line="308" w:lineRule="auto"/>
              <w:rPr>
                <w:rFonts w:ascii="Arial"/>
                <w:sz w:val="21"/>
              </w:rPr>
            </w:pPr>
          </w:p>
          <w:p>
            <w:pPr>
              <w:spacing w:before="68" w:line="218" w:lineRule="auto"/>
              <w:ind w:left="194"/>
              <w:rPr>
                <w:rFonts w:ascii="仿宋" w:hAnsi="仿宋" w:eastAsia="仿宋" w:cs="仿宋"/>
                <w:sz w:val="21"/>
                <w:szCs w:val="21"/>
              </w:rPr>
            </w:pPr>
            <w:r>
              <w:rPr>
                <w:rFonts w:ascii="仿宋" w:hAnsi="仿宋" w:eastAsia="仿宋" w:cs="仿宋"/>
                <w:spacing w:val="-3"/>
                <w:sz w:val="21"/>
                <w:szCs w:val="21"/>
              </w:rPr>
              <w:t>横纹南鳅</w:t>
            </w:r>
          </w:p>
        </w:tc>
        <w:tc>
          <w:tcPr>
            <w:tcW w:w="2048" w:type="dxa"/>
            <w:vAlign w:val="top"/>
          </w:tcPr>
          <w:p>
            <w:pPr>
              <w:spacing w:line="348" w:lineRule="auto"/>
              <w:rPr>
                <w:rFonts w:ascii="Arial"/>
                <w:sz w:val="21"/>
              </w:rPr>
            </w:pPr>
          </w:p>
          <w:p>
            <w:pPr>
              <w:pStyle w:val="6"/>
              <w:spacing w:before="61" w:line="192" w:lineRule="auto"/>
              <w:ind w:left="144"/>
            </w:pPr>
            <w:r>
              <w:rPr>
                <w:i/>
                <w:iCs/>
                <w:spacing w:val="2"/>
              </w:rPr>
              <w:t>Schisturafasciolatus</w:t>
            </w:r>
          </w:p>
        </w:tc>
        <w:tc>
          <w:tcPr>
            <w:tcW w:w="701" w:type="dxa"/>
            <w:vAlign w:val="top"/>
          </w:tcPr>
          <w:p>
            <w:pPr>
              <w:rPr>
                <w:rFonts w:ascii="Arial"/>
                <w:sz w:val="21"/>
              </w:rPr>
            </w:pPr>
          </w:p>
        </w:tc>
        <w:tc>
          <w:tcPr>
            <w:tcW w:w="1454" w:type="dxa"/>
            <w:vAlign w:val="top"/>
          </w:tcPr>
          <w:p>
            <w:pPr>
              <w:spacing w:before="65" w:line="253" w:lineRule="auto"/>
              <w:ind w:left="211" w:right="200" w:firstLine="109"/>
              <w:rPr>
                <w:rFonts w:ascii="仿宋" w:hAnsi="仿宋" w:eastAsia="仿宋" w:cs="仿宋"/>
                <w:sz w:val="21"/>
                <w:szCs w:val="21"/>
              </w:rPr>
            </w:pPr>
            <w:r>
              <w:rPr>
                <w:rFonts w:ascii="仿宋" w:hAnsi="仿宋" w:eastAsia="仿宋" w:cs="仿宋"/>
                <w:spacing w:val="-5"/>
                <w:sz w:val="21"/>
                <w:szCs w:val="21"/>
              </w:rPr>
              <w:t>沼泽、鱼</w:t>
            </w:r>
            <w:r>
              <w:rPr>
                <w:rFonts w:ascii="仿宋" w:hAnsi="仿宋" w:eastAsia="仿宋" w:cs="仿宋"/>
                <w:sz w:val="21"/>
                <w:szCs w:val="21"/>
              </w:rPr>
              <w:t xml:space="preserve">  </w:t>
            </w:r>
            <w:r>
              <w:rPr>
                <w:rFonts w:ascii="仿宋" w:hAnsi="仿宋" w:eastAsia="仿宋" w:cs="仿宋"/>
                <w:spacing w:val="-10"/>
                <w:sz w:val="21"/>
                <w:szCs w:val="21"/>
              </w:rPr>
              <w:t>塘、水田、</w:t>
            </w:r>
            <w:r>
              <w:rPr>
                <w:rFonts w:ascii="仿宋" w:hAnsi="仿宋" w:eastAsia="仿宋" w:cs="仿宋"/>
                <w:spacing w:val="2"/>
                <w:sz w:val="21"/>
                <w:szCs w:val="21"/>
              </w:rPr>
              <w:t xml:space="preserve"> </w:t>
            </w:r>
            <w:r>
              <w:rPr>
                <w:rFonts w:ascii="仿宋" w:hAnsi="仿宋" w:eastAsia="仿宋" w:cs="仿宋"/>
                <w:spacing w:val="-3"/>
                <w:sz w:val="21"/>
                <w:szCs w:val="21"/>
              </w:rPr>
              <w:t>水塘、沟渠</w:t>
            </w:r>
          </w:p>
        </w:tc>
        <w:tc>
          <w:tcPr>
            <w:tcW w:w="894" w:type="dxa"/>
            <w:vAlign w:val="top"/>
          </w:tcPr>
          <w:p>
            <w:pPr>
              <w:spacing w:line="308" w:lineRule="auto"/>
              <w:rPr>
                <w:rFonts w:ascii="Arial"/>
                <w:sz w:val="21"/>
              </w:rPr>
            </w:pPr>
          </w:p>
          <w:p>
            <w:pPr>
              <w:spacing w:before="68" w:line="219" w:lineRule="auto"/>
              <w:ind w:left="248"/>
              <w:rPr>
                <w:rFonts w:ascii="仿宋" w:hAnsi="仿宋" w:eastAsia="仿宋" w:cs="仿宋"/>
                <w:sz w:val="21"/>
                <w:szCs w:val="21"/>
              </w:rPr>
            </w:pPr>
            <w:r>
              <w:rPr>
                <w:rFonts w:ascii="仿宋" w:hAnsi="仿宋" w:eastAsia="仿宋" w:cs="仿宋"/>
                <w:spacing w:val="-4"/>
                <w:sz w:val="21"/>
                <w:szCs w:val="21"/>
              </w:rPr>
              <w:t>捕获</w:t>
            </w:r>
          </w:p>
        </w:tc>
        <w:tc>
          <w:tcPr>
            <w:tcW w:w="1424" w:type="dxa"/>
            <w:tcBorders>
              <w:right w:val="nil"/>
            </w:tcBorders>
            <w:vAlign w:val="top"/>
          </w:tcPr>
          <w:p>
            <w:pPr>
              <w:spacing w:before="223" w:line="247" w:lineRule="auto"/>
              <w:ind w:left="621" w:right="186" w:hanging="420"/>
              <w:rPr>
                <w:rFonts w:ascii="仿宋" w:hAnsi="仿宋" w:eastAsia="仿宋" w:cs="仿宋"/>
                <w:sz w:val="21"/>
                <w:szCs w:val="21"/>
              </w:rPr>
            </w:pPr>
            <w:r>
              <w:rPr>
                <w:rFonts w:ascii="仿宋" w:hAnsi="仿宋" w:eastAsia="仿宋" w:cs="仿宋"/>
                <w:spacing w:val="-4"/>
                <w:sz w:val="21"/>
                <w:szCs w:val="21"/>
              </w:rPr>
              <w:t>土著经济鱼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590" w:type="dxa"/>
            <w:tcBorders>
              <w:left w:val="nil"/>
            </w:tcBorders>
            <w:vAlign w:val="top"/>
          </w:tcPr>
          <w:p>
            <w:pPr>
              <w:pStyle w:val="6"/>
              <w:spacing w:before="105" w:line="188" w:lineRule="auto"/>
              <w:ind w:left="190"/>
            </w:pPr>
            <w:r>
              <w:rPr>
                <w:b/>
                <w:bCs/>
                <w:spacing w:val="-3"/>
              </w:rPr>
              <w:t>F3</w:t>
            </w:r>
          </w:p>
        </w:tc>
        <w:tc>
          <w:tcPr>
            <w:tcW w:w="1210" w:type="dxa"/>
            <w:vAlign w:val="top"/>
          </w:tcPr>
          <w:p>
            <w:pPr>
              <w:spacing w:before="69" w:line="209" w:lineRule="auto"/>
              <w:ind w:left="29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爬鳅科</w:t>
            </w:r>
          </w:p>
        </w:tc>
        <w:tc>
          <w:tcPr>
            <w:tcW w:w="2048" w:type="dxa"/>
            <w:vAlign w:val="top"/>
          </w:tcPr>
          <w:p>
            <w:pPr>
              <w:pStyle w:val="6"/>
              <w:spacing w:before="107" w:line="186" w:lineRule="auto"/>
              <w:ind w:left="522"/>
            </w:pPr>
            <w:r>
              <w:rPr>
                <w:b/>
                <w:bCs/>
                <w:spacing w:val="-1"/>
              </w:rPr>
              <w:t>Balitoridae</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590" w:type="dxa"/>
            <w:tcBorders>
              <w:left w:val="nil"/>
            </w:tcBorders>
            <w:vAlign w:val="top"/>
          </w:tcPr>
          <w:p>
            <w:pPr>
              <w:pStyle w:val="6"/>
              <w:spacing w:before="261" w:line="188" w:lineRule="auto"/>
              <w:ind w:left="226"/>
            </w:pPr>
            <w:r>
              <w:rPr>
                <w:spacing w:val="-13"/>
              </w:rPr>
              <w:t>11</w:t>
            </w:r>
          </w:p>
        </w:tc>
        <w:tc>
          <w:tcPr>
            <w:tcW w:w="1210" w:type="dxa"/>
            <w:vAlign w:val="top"/>
          </w:tcPr>
          <w:p>
            <w:pPr>
              <w:spacing w:before="225" w:line="220" w:lineRule="auto"/>
              <w:ind w:left="195"/>
              <w:rPr>
                <w:rFonts w:ascii="仿宋" w:hAnsi="仿宋" w:eastAsia="仿宋" w:cs="仿宋"/>
                <w:sz w:val="21"/>
                <w:szCs w:val="21"/>
              </w:rPr>
            </w:pPr>
            <w:r>
              <w:rPr>
                <w:rFonts w:ascii="仿宋" w:hAnsi="仿宋" w:eastAsia="仿宋" w:cs="仿宋"/>
                <w:spacing w:val="-3"/>
                <w:sz w:val="21"/>
                <w:szCs w:val="21"/>
              </w:rPr>
              <w:t>长须爬鳅</w:t>
            </w:r>
          </w:p>
        </w:tc>
        <w:tc>
          <w:tcPr>
            <w:tcW w:w="2048" w:type="dxa"/>
            <w:vAlign w:val="top"/>
          </w:tcPr>
          <w:p>
            <w:pPr>
              <w:pStyle w:val="6"/>
              <w:spacing w:before="103" w:line="190" w:lineRule="auto"/>
              <w:ind w:left="664"/>
            </w:pPr>
            <w:r>
              <w:rPr>
                <w:i/>
                <w:iCs/>
                <w:spacing w:val="1"/>
              </w:rPr>
              <w:t>Balitora</w:t>
            </w:r>
          </w:p>
          <w:p>
            <w:pPr>
              <w:pStyle w:val="6"/>
              <w:spacing w:before="120" w:line="190" w:lineRule="auto"/>
              <w:ind w:left="479"/>
            </w:pPr>
            <w:r>
              <w:rPr>
                <w:i/>
                <w:iCs/>
                <w:spacing w:val="-1"/>
              </w:rPr>
              <w:t>longibarbata</w:t>
            </w:r>
          </w:p>
        </w:tc>
        <w:tc>
          <w:tcPr>
            <w:tcW w:w="701" w:type="dxa"/>
            <w:vAlign w:val="top"/>
          </w:tcPr>
          <w:p>
            <w:pPr>
              <w:rPr>
                <w:rFonts w:ascii="Arial"/>
                <w:sz w:val="21"/>
              </w:rPr>
            </w:pPr>
          </w:p>
        </w:tc>
        <w:tc>
          <w:tcPr>
            <w:tcW w:w="1454" w:type="dxa"/>
            <w:vAlign w:val="top"/>
          </w:tcPr>
          <w:p>
            <w:pPr>
              <w:spacing w:before="225" w:line="218" w:lineRule="auto"/>
              <w:ind w:left="218"/>
              <w:rPr>
                <w:rFonts w:ascii="仿宋" w:hAnsi="仿宋" w:eastAsia="仿宋" w:cs="仿宋"/>
                <w:sz w:val="21"/>
                <w:szCs w:val="21"/>
              </w:rPr>
            </w:pPr>
            <w:r>
              <w:rPr>
                <w:rFonts w:ascii="仿宋" w:hAnsi="仿宋" w:eastAsia="仿宋" w:cs="仿宋"/>
                <w:spacing w:val="-4"/>
                <w:sz w:val="21"/>
                <w:szCs w:val="21"/>
              </w:rPr>
              <w:t>河流、水库</w:t>
            </w:r>
          </w:p>
        </w:tc>
        <w:tc>
          <w:tcPr>
            <w:tcW w:w="894" w:type="dxa"/>
            <w:vAlign w:val="top"/>
          </w:tcPr>
          <w:p>
            <w:pPr>
              <w:pStyle w:val="6"/>
              <w:spacing w:before="68" w:line="241" w:lineRule="auto"/>
              <w:ind w:left="259" w:right="175" w:hanging="60"/>
              <w:rPr>
                <w:rFonts w:ascii="仿宋" w:hAnsi="仿宋" w:eastAsia="仿宋" w:cs="仿宋"/>
              </w:rPr>
            </w:pP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right w:val="nil"/>
            </w:tcBorders>
            <w:vAlign w:val="top"/>
          </w:tcPr>
          <w:p>
            <w:pPr>
              <w:spacing w:before="68" w:line="241" w:lineRule="auto"/>
              <w:ind w:left="520" w:right="186" w:hanging="319"/>
              <w:rPr>
                <w:rFonts w:ascii="仿宋" w:hAnsi="仿宋" w:eastAsia="仿宋" w:cs="仿宋"/>
                <w:sz w:val="21"/>
                <w:szCs w:val="21"/>
              </w:rPr>
            </w:pPr>
            <w:r>
              <w:rPr>
                <w:rFonts w:ascii="仿宋" w:hAnsi="仿宋" w:eastAsia="仿宋" w:cs="仿宋"/>
                <w:spacing w:val="-4"/>
                <w:sz w:val="21"/>
                <w:szCs w:val="21"/>
              </w:rPr>
              <w:t>土著非经济</w:t>
            </w:r>
            <w:r>
              <w:rPr>
                <w:rFonts w:ascii="仿宋" w:hAnsi="仿宋" w:eastAsia="仿宋" w:cs="仿宋"/>
                <w:spacing w:val="2"/>
                <w:sz w:val="21"/>
                <w:szCs w:val="21"/>
              </w:rPr>
              <w:t xml:space="preserve"> </w:t>
            </w:r>
            <w:r>
              <w:rPr>
                <w:rFonts w:ascii="仿宋" w:hAnsi="仿宋" w:eastAsia="仿宋" w:cs="仿宋"/>
                <w:spacing w:val="-6"/>
                <w:sz w:val="21"/>
                <w:szCs w:val="21"/>
              </w:rPr>
              <w:t>鱼类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590" w:type="dxa"/>
            <w:tcBorders>
              <w:left w:val="nil"/>
            </w:tcBorders>
            <w:vAlign w:val="top"/>
          </w:tcPr>
          <w:p>
            <w:pPr>
              <w:pStyle w:val="6"/>
              <w:spacing w:before="107" w:line="188" w:lineRule="auto"/>
              <w:ind w:left="176"/>
            </w:pPr>
            <w:r>
              <w:rPr>
                <w:b/>
                <w:bCs/>
                <w:spacing w:val="-3"/>
              </w:rPr>
              <w:t>O2</w:t>
            </w:r>
          </w:p>
        </w:tc>
        <w:tc>
          <w:tcPr>
            <w:tcW w:w="1210" w:type="dxa"/>
            <w:vAlign w:val="top"/>
          </w:tcPr>
          <w:p>
            <w:pPr>
              <w:spacing w:before="70" w:line="207" w:lineRule="auto"/>
              <w:ind w:left="29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鲇形目</w:t>
            </w:r>
          </w:p>
        </w:tc>
        <w:tc>
          <w:tcPr>
            <w:tcW w:w="2048" w:type="dxa"/>
            <w:vAlign w:val="top"/>
          </w:tcPr>
          <w:p>
            <w:pPr>
              <w:pStyle w:val="6"/>
              <w:spacing w:before="106" w:line="189" w:lineRule="auto"/>
              <w:ind w:left="471"/>
            </w:pPr>
            <w:r>
              <w:rPr>
                <w:b/>
                <w:bCs/>
                <w:spacing w:val="-1"/>
              </w:rPr>
              <w:t>Siluriformes</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590" w:type="dxa"/>
            <w:tcBorders>
              <w:left w:val="nil"/>
            </w:tcBorders>
            <w:vAlign w:val="top"/>
          </w:tcPr>
          <w:p>
            <w:pPr>
              <w:pStyle w:val="6"/>
              <w:spacing w:before="109" w:line="188" w:lineRule="auto"/>
              <w:ind w:left="190"/>
            </w:pPr>
            <w:r>
              <w:rPr>
                <w:b/>
                <w:bCs/>
                <w:spacing w:val="-2"/>
              </w:rPr>
              <w:t>F4</w:t>
            </w:r>
          </w:p>
        </w:tc>
        <w:tc>
          <w:tcPr>
            <w:tcW w:w="1210" w:type="dxa"/>
            <w:vAlign w:val="top"/>
          </w:tcPr>
          <w:p>
            <w:pPr>
              <w:spacing w:before="72" w:line="206" w:lineRule="auto"/>
              <w:ind w:left="40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鮡科</w:t>
            </w:r>
          </w:p>
        </w:tc>
        <w:tc>
          <w:tcPr>
            <w:tcW w:w="2048" w:type="dxa"/>
            <w:vAlign w:val="top"/>
          </w:tcPr>
          <w:p>
            <w:pPr>
              <w:pStyle w:val="6"/>
              <w:spacing w:before="108" w:line="188" w:lineRule="auto"/>
              <w:ind w:left="616"/>
            </w:pPr>
            <w:r>
              <w:rPr>
                <w:b/>
                <w:bCs/>
                <w:spacing w:val="-2"/>
              </w:rPr>
              <w:t>Sisoridae</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590" w:type="dxa"/>
            <w:tcBorders>
              <w:left w:val="nil"/>
            </w:tcBorders>
            <w:vAlign w:val="top"/>
          </w:tcPr>
          <w:p>
            <w:pPr>
              <w:pStyle w:val="6"/>
              <w:spacing w:before="264" w:line="188" w:lineRule="auto"/>
              <w:ind w:left="221"/>
            </w:pPr>
            <w:r>
              <w:rPr>
                <w:spacing w:val="-6"/>
              </w:rPr>
              <w:t>12</w:t>
            </w:r>
          </w:p>
        </w:tc>
        <w:tc>
          <w:tcPr>
            <w:tcW w:w="1210" w:type="dxa"/>
            <w:vAlign w:val="top"/>
          </w:tcPr>
          <w:p>
            <w:pPr>
              <w:spacing w:before="71"/>
              <w:ind w:left="512" w:right="183" w:hanging="317"/>
              <w:rPr>
                <w:rFonts w:ascii="仿宋" w:hAnsi="仿宋" w:eastAsia="仿宋" w:cs="仿宋"/>
                <w:sz w:val="21"/>
                <w:szCs w:val="21"/>
              </w:rPr>
            </w:pPr>
            <w:r>
              <w:rPr>
                <w:rFonts w:ascii="仿宋" w:hAnsi="仿宋" w:eastAsia="仿宋" w:cs="仿宋"/>
                <w:spacing w:val="-4"/>
                <w:sz w:val="21"/>
                <w:szCs w:val="21"/>
              </w:rPr>
              <w:t>长须纹胸</w:t>
            </w:r>
            <w:r>
              <w:rPr>
                <w:rFonts w:ascii="仿宋" w:hAnsi="仿宋" w:eastAsia="仿宋" w:cs="仿宋"/>
                <w:spacing w:val="1"/>
                <w:sz w:val="21"/>
                <w:szCs w:val="21"/>
              </w:rPr>
              <w:t xml:space="preserve"> </w:t>
            </w:r>
            <w:r>
              <w:rPr>
                <w:rFonts w:ascii="仿宋" w:hAnsi="仿宋" w:eastAsia="仿宋" w:cs="仿宋"/>
                <w:sz w:val="21"/>
                <w:szCs w:val="21"/>
              </w:rPr>
              <w:t>鮡</w:t>
            </w:r>
          </w:p>
        </w:tc>
        <w:tc>
          <w:tcPr>
            <w:tcW w:w="2048" w:type="dxa"/>
            <w:vAlign w:val="top"/>
          </w:tcPr>
          <w:p>
            <w:pPr>
              <w:pStyle w:val="6"/>
              <w:spacing w:before="104" w:line="314" w:lineRule="exact"/>
              <w:ind w:left="473"/>
            </w:pPr>
            <w:r>
              <w:rPr>
                <w:i/>
                <w:iCs/>
                <w:spacing w:val="-2"/>
                <w:position w:val="10"/>
              </w:rPr>
              <w:t>Glyptothorax</w:t>
            </w:r>
          </w:p>
          <w:p>
            <w:pPr>
              <w:pStyle w:val="6"/>
              <w:spacing w:line="189" w:lineRule="auto"/>
              <w:ind w:left="585"/>
            </w:pPr>
            <w:r>
              <w:rPr>
                <w:i/>
                <w:iCs/>
                <w:spacing w:val="-1"/>
              </w:rPr>
              <w:t>longinema</w:t>
            </w:r>
          </w:p>
        </w:tc>
        <w:tc>
          <w:tcPr>
            <w:tcW w:w="701" w:type="dxa"/>
            <w:vAlign w:val="top"/>
          </w:tcPr>
          <w:p>
            <w:pPr>
              <w:rPr>
                <w:rFonts w:ascii="Arial"/>
                <w:sz w:val="21"/>
              </w:rPr>
            </w:pPr>
          </w:p>
        </w:tc>
        <w:tc>
          <w:tcPr>
            <w:tcW w:w="1454" w:type="dxa"/>
            <w:vAlign w:val="top"/>
          </w:tcPr>
          <w:p>
            <w:pPr>
              <w:spacing w:before="228" w:line="218" w:lineRule="auto"/>
              <w:ind w:left="218"/>
              <w:rPr>
                <w:rFonts w:ascii="仿宋" w:hAnsi="仿宋" w:eastAsia="仿宋" w:cs="仿宋"/>
                <w:sz w:val="21"/>
                <w:szCs w:val="21"/>
              </w:rPr>
            </w:pPr>
            <w:r>
              <w:rPr>
                <w:rFonts w:ascii="仿宋" w:hAnsi="仿宋" w:eastAsia="仿宋" w:cs="仿宋"/>
                <w:spacing w:val="-4"/>
                <w:sz w:val="21"/>
                <w:szCs w:val="21"/>
              </w:rPr>
              <w:t>河流、水库</w:t>
            </w:r>
          </w:p>
        </w:tc>
        <w:tc>
          <w:tcPr>
            <w:tcW w:w="894" w:type="dxa"/>
            <w:vAlign w:val="top"/>
          </w:tcPr>
          <w:p>
            <w:pPr>
              <w:pStyle w:val="6"/>
              <w:spacing w:before="71"/>
              <w:ind w:left="259" w:right="175" w:hanging="60"/>
              <w:rPr>
                <w:rFonts w:ascii="仿宋" w:hAnsi="仿宋" w:eastAsia="仿宋" w:cs="仿宋"/>
              </w:rPr>
            </w:pP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right w:val="nil"/>
            </w:tcBorders>
            <w:vAlign w:val="top"/>
          </w:tcPr>
          <w:p>
            <w:pPr>
              <w:spacing w:before="71"/>
              <w:ind w:left="621" w:right="186" w:hanging="420"/>
              <w:rPr>
                <w:rFonts w:ascii="仿宋" w:hAnsi="仿宋" w:eastAsia="仿宋" w:cs="仿宋"/>
                <w:sz w:val="21"/>
                <w:szCs w:val="21"/>
              </w:rPr>
            </w:pPr>
            <w:r>
              <w:rPr>
                <w:rFonts w:ascii="仿宋" w:hAnsi="仿宋" w:eastAsia="仿宋" w:cs="仿宋"/>
                <w:spacing w:val="-4"/>
                <w:sz w:val="21"/>
                <w:szCs w:val="21"/>
              </w:rPr>
              <w:t>土著经济鱼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590" w:type="dxa"/>
            <w:tcBorders>
              <w:left w:val="nil"/>
            </w:tcBorders>
            <w:vAlign w:val="top"/>
          </w:tcPr>
          <w:p>
            <w:pPr>
              <w:pStyle w:val="6"/>
              <w:spacing w:before="266" w:line="188" w:lineRule="auto"/>
              <w:ind w:left="221"/>
            </w:pPr>
            <w:r>
              <w:rPr>
                <w:spacing w:val="-12"/>
              </w:rPr>
              <w:t>13</w:t>
            </w:r>
          </w:p>
        </w:tc>
        <w:tc>
          <w:tcPr>
            <w:tcW w:w="1210" w:type="dxa"/>
            <w:vAlign w:val="top"/>
          </w:tcPr>
          <w:p>
            <w:pPr>
              <w:spacing w:before="229" w:line="218" w:lineRule="auto"/>
              <w:ind w:left="510"/>
              <w:rPr>
                <w:rFonts w:ascii="仿宋" w:hAnsi="仿宋" w:eastAsia="仿宋" w:cs="仿宋"/>
                <w:sz w:val="21"/>
                <w:szCs w:val="21"/>
              </w:rPr>
            </w:pPr>
            <w:r>
              <w:rPr>
                <w:rFonts w:ascii="仿宋" w:hAnsi="仿宋" w:eastAsia="仿宋" w:cs="仿宋"/>
                <w:sz w:val="21"/>
                <w:szCs w:val="21"/>
              </w:rPr>
              <w:t>鲇</w:t>
            </w:r>
          </w:p>
        </w:tc>
        <w:tc>
          <w:tcPr>
            <w:tcW w:w="2048" w:type="dxa"/>
            <w:vAlign w:val="top"/>
          </w:tcPr>
          <w:p>
            <w:pPr>
              <w:pStyle w:val="6"/>
              <w:spacing w:before="264" w:line="232" w:lineRule="auto"/>
              <w:ind w:left="429"/>
            </w:pPr>
            <w:r>
              <w:rPr>
                <w:i/>
                <w:iCs/>
              </w:rPr>
              <w:t>Silurus asotus</w:t>
            </w:r>
          </w:p>
        </w:tc>
        <w:tc>
          <w:tcPr>
            <w:tcW w:w="701" w:type="dxa"/>
            <w:vAlign w:val="top"/>
          </w:tcPr>
          <w:p>
            <w:pPr>
              <w:rPr>
                <w:rFonts w:ascii="Arial"/>
                <w:sz w:val="21"/>
              </w:rPr>
            </w:pPr>
          </w:p>
        </w:tc>
        <w:tc>
          <w:tcPr>
            <w:tcW w:w="1454" w:type="dxa"/>
            <w:vAlign w:val="top"/>
          </w:tcPr>
          <w:p>
            <w:pPr>
              <w:spacing w:before="229" w:line="218" w:lineRule="auto"/>
              <w:ind w:left="218"/>
              <w:rPr>
                <w:rFonts w:ascii="仿宋" w:hAnsi="仿宋" w:eastAsia="仿宋" w:cs="仿宋"/>
                <w:sz w:val="21"/>
                <w:szCs w:val="21"/>
              </w:rPr>
            </w:pPr>
            <w:r>
              <w:rPr>
                <w:rFonts w:ascii="仿宋" w:hAnsi="仿宋" w:eastAsia="仿宋" w:cs="仿宋"/>
                <w:spacing w:val="-4"/>
                <w:sz w:val="21"/>
                <w:szCs w:val="21"/>
              </w:rPr>
              <w:t>河流、水库</w:t>
            </w:r>
          </w:p>
        </w:tc>
        <w:tc>
          <w:tcPr>
            <w:tcW w:w="894" w:type="dxa"/>
            <w:vAlign w:val="top"/>
          </w:tcPr>
          <w:p>
            <w:pPr>
              <w:pStyle w:val="6"/>
              <w:spacing w:before="73" w:line="239" w:lineRule="auto"/>
              <w:ind w:left="259" w:right="175" w:hanging="60"/>
              <w:rPr>
                <w:rFonts w:ascii="仿宋" w:hAnsi="仿宋" w:eastAsia="仿宋" w:cs="仿宋"/>
              </w:rPr>
            </w:pP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right w:val="nil"/>
            </w:tcBorders>
            <w:vAlign w:val="top"/>
          </w:tcPr>
          <w:p>
            <w:pPr>
              <w:spacing w:before="73" w:line="239" w:lineRule="auto"/>
              <w:ind w:left="621" w:right="186" w:hanging="420"/>
              <w:rPr>
                <w:rFonts w:ascii="仿宋" w:hAnsi="仿宋" w:eastAsia="仿宋" w:cs="仿宋"/>
                <w:sz w:val="21"/>
                <w:szCs w:val="21"/>
              </w:rPr>
            </w:pPr>
            <w:r>
              <w:rPr>
                <w:rFonts w:ascii="仿宋" w:hAnsi="仿宋" w:eastAsia="仿宋" w:cs="仿宋"/>
                <w:spacing w:val="-4"/>
                <w:sz w:val="21"/>
                <w:szCs w:val="21"/>
              </w:rPr>
              <w:t>土著经济鱼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590" w:type="dxa"/>
            <w:tcBorders>
              <w:left w:val="nil"/>
            </w:tcBorders>
            <w:vAlign w:val="top"/>
          </w:tcPr>
          <w:p>
            <w:pPr>
              <w:pStyle w:val="6"/>
              <w:spacing w:before="269" w:line="188" w:lineRule="auto"/>
              <w:ind w:left="221"/>
            </w:pPr>
            <w:r>
              <w:rPr>
                <w:spacing w:val="-6"/>
              </w:rPr>
              <w:t>14</w:t>
            </w:r>
          </w:p>
        </w:tc>
        <w:tc>
          <w:tcPr>
            <w:tcW w:w="1210" w:type="dxa"/>
            <w:vAlign w:val="top"/>
          </w:tcPr>
          <w:p>
            <w:pPr>
              <w:spacing w:before="232" w:line="219" w:lineRule="auto"/>
              <w:ind w:left="195"/>
              <w:rPr>
                <w:rFonts w:ascii="仿宋" w:hAnsi="仿宋" w:eastAsia="仿宋" w:cs="仿宋"/>
                <w:sz w:val="21"/>
                <w:szCs w:val="21"/>
              </w:rPr>
            </w:pPr>
            <w:r>
              <w:rPr>
                <w:rFonts w:ascii="仿宋" w:hAnsi="仿宋" w:eastAsia="仿宋" w:cs="仿宋"/>
                <w:spacing w:val="-3"/>
                <w:sz w:val="21"/>
                <w:szCs w:val="21"/>
              </w:rPr>
              <w:t>平吻褶鮡</w:t>
            </w:r>
          </w:p>
        </w:tc>
        <w:tc>
          <w:tcPr>
            <w:tcW w:w="2048" w:type="dxa"/>
            <w:vAlign w:val="top"/>
          </w:tcPr>
          <w:p>
            <w:pPr>
              <w:pStyle w:val="6"/>
              <w:spacing w:before="266" w:line="190" w:lineRule="auto"/>
              <w:ind w:left="239"/>
            </w:pPr>
            <w:r>
              <w:rPr>
                <w:i/>
                <w:iCs/>
              </w:rPr>
              <w:t>Pseudechenepavie</w:t>
            </w:r>
          </w:p>
        </w:tc>
        <w:tc>
          <w:tcPr>
            <w:tcW w:w="701" w:type="dxa"/>
            <w:vAlign w:val="top"/>
          </w:tcPr>
          <w:p>
            <w:pPr>
              <w:rPr>
                <w:rFonts w:ascii="Arial"/>
                <w:sz w:val="21"/>
              </w:rPr>
            </w:pPr>
          </w:p>
        </w:tc>
        <w:tc>
          <w:tcPr>
            <w:tcW w:w="1454" w:type="dxa"/>
            <w:vAlign w:val="top"/>
          </w:tcPr>
          <w:p>
            <w:pPr>
              <w:spacing w:before="232" w:line="218" w:lineRule="auto"/>
              <w:ind w:left="218"/>
              <w:rPr>
                <w:rFonts w:ascii="仿宋" w:hAnsi="仿宋" w:eastAsia="仿宋" w:cs="仿宋"/>
                <w:sz w:val="21"/>
                <w:szCs w:val="21"/>
              </w:rPr>
            </w:pPr>
            <w:r>
              <w:rPr>
                <w:rFonts w:ascii="仿宋" w:hAnsi="仿宋" w:eastAsia="仿宋" w:cs="仿宋"/>
                <w:spacing w:val="-4"/>
                <w:sz w:val="21"/>
                <w:szCs w:val="21"/>
              </w:rPr>
              <w:t>河流、水库</w:t>
            </w:r>
          </w:p>
        </w:tc>
        <w:tc>
          <w:tcPr>
            <w:tcW w:w="894" w:type="dxa"/>
            <w:vAlign w:val="top"/>
          </w:tcPr>
          <w:p>
            <w:pPr>
              <w:spacing w:before="232" w:line="219" w:lineRule="auto"/>
              <w:ind w:left="248"/>
              <w:rPr>
                <w:rFonts w:ascii="仿宋" w:hAnsi="仿宋" w:eastAsia="仿宋" w:cs="仿宋"/>
                <w:sz w:val="21"/>
                <w:szCs w:val="21"/>
              </w:rPr>
            </w:pPr>
            <w:r>
              <w:rPr>
                <w:rFonts w:ascii="仿宋" w:hAnsi="仿宋" w:eastAsia="仿宋" w:cs="仿宋"/>
                <w:spacing w:val="-4"/>
                <w:sz w:val="21"/>
                <w:szCs w:val="21"/>
              </w:rPr>
              <w:t>捕获</w:t>
            </w:r>
          </w:p>
        </w:tc>
        <w:tc>
          <w:tcPr>
            <w:tcW w:w="1424" w:type="dxa"/>
            <w:tcBorders>
              <w:right w:val="nil"/>
            </w:tcBorders>
            <w:vAlign w:val="top"/>
          </w:tcPr>
          <w:p>
            <w:pPr>
              <w:spacing w:before="76" w:line="238" w:lineRule="auto"/>
              <w:ind w:left="621" w:right="186" w:hanging="420"/>
              <w:rPr>
                <w:rFonts w:ascii="仿宋" w:hAnsi="仿宋" w:eastAsia="仿宋" w:cs="仿宋"/>
                <w:sz w:val="21"/>
                <w:szCs w:val="21"/>
              </w:rPr>
            </w:pPr>
            <w:r>
              <w:rPr>
                <w:rFonts w:ascii="仿宋" w:hAnsi="仿宋" w:eastAsia="仿宋" w:cs="仿宋"/>
                <w:spacing w:val="-4"/>
                <w:sz w:val="21"/>
                <w:szCs w:val="21"/>
              </w:rPr>
              <w:t>土著经济鱼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590" w:type="dxa"/>
            <w:tcBorders>
              <w:left w:val="nil"/>
            </w:tcBorders>
            <w:vAlign w:val="top"/>
          </w:tcPr>
          <w:p>
            <w:pPr>
              <w:pStyle w:val="6"/>
              <w:spacing w:before="113" w:line="188" w:lineRule="auto"/>
              <w:ind w:left="176"/>
            </w:pPr>
            <w:r>
              <w:rPr>
                <w:b/>
                <w:bCs/>
                <w:spacing w:val="-3"/>
              </w:rPr>
              <w:t>O3</w:t>
            </w:r>
          </w:p>
        </w:tc>
        <w:tc>
          <w:tcPr>
            <w:tcW w:w="1210" w:type="dxa"/>
            <w:vAlign w:val="top"/>
          </w:tcPr>
          <w:p>
            <w:pPr>
              <w:spacing w:before="77" w:line="201" w:lineRule="auto"/>
              <w:ind w:left="20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合鳃鱼目</w:t>
            </w:r>
          </w:p>
        </w:tc>
        <w:tc>
          <w:tcPr>
            <w:tcW w:w="2048" w:type="dxa"/>
            <w:vAlign w:val="top"/>
          </w:tcPr>
          <w:p>
            <w:pPr>
              <w:pStyle w:val="6"/>
              <w:spacing w:before="113" w:line="188" w:lineRule="auto"/>
              <w:ind w:left="266"/>
            </w:pPr>
            <w:r>
              <w:rPr>
                <w:b/>
                <w:bCs/>
                <w:spacing w:val="-1"/>
              </w:rPr>
              <w:t>Syngnathiformes</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590" w:type="dxa"/>
            <w:tcBorders>
              <w:left w:val="nil"/>
            </w:tcBorders>
            <w:vAlign w:val="top"/>
          </w:tcPr>
          <w:p>
            <w:pPr>
              <w:pStyle w:val="6"/>
              <w:spacing w:before="117" w:line="185" w:lineRule="auto"/>
              <w:ind w:left="190"/>
            </w:pPr>
            <w:r>
              <w:rPr>
                <w:b/>
                <w:bCs/>
                <w:spacing w:val="-2"/>
              </w:rPr>
              <w:t>F5</w:t>
            </w:r>
          </w:p>
        </w:tc>
        <w:tc>
          <w:tcPr>
            <w:tcW w:w="1210" w:type="dxa"/>
            <w:vAlign w:val="top"/>
          </w:tcPr>
          <w:p>
            <w:pPr>
              <w:spacing w:before="77" w:line="201" w:lineRule="auto"/>
              <w:ind w:left="20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合鳃鱼科</w:t>
            </w:r>
          </w:p>
        </w:tc>
        <w:tc>
          <w:tcPr>
            <w:tcW w:w="2048" w:type="dxa"/>
            <w:vAlign w:val="top"/>
          </w:tcPr>
          <w:p>
            <w:pPr>
              <w:pStyle w:val="6"/>
              <w:spacing w:before="114" w:line="188" w:lineRule="auto"/>
              <w:ind w:left="354"/>
            </w:pPr>
            <w:r>
              <w:rPr>
                <w:b/>
                <w:bCs/>
                <w:spacing w:val="-1"/>
              </w:rPr>
              <w:t>Synbranchidae</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0" w:hRule="atLeast"/>
        </w:trPr>
        <w:tc>
          <w:tcPr>
            <w:tcW w:w="590" w:type="dxa"/>
            <w:tcBorders>
              <w:left w:val="nil"/>
            </w:tcBorders>
            <w:vAlign w:val="top"/>
          </w:tcPr>
          <w:p>
            <w:pPr>
              <w:spacing w:line="365" w:lineRule="auto"/>
              <w:rPr>
                <w:rFonts w:ascii="Arial"/>
                <w:sz w:val="21"/>
              </w:rPr>
            </w:pPr>
          </w:p>
          <w:p>
            <w:pPr>
              <w:pStyle w:val="6"/>
              <w:spacing w:before="61" w:line="188" w:lineRule="auto"/>
              <w:ind w:left="221"/>
            </w:pPr>
            <w:r>
              <w:rPr>
                <w:spacing w:val="-6"/>
              </w:rPr>
              <w:t>15</w:t>
            </w:r>
          </w:p>
        </w:tc>
        <w:tc>
          <w:tcPr>
            <w:tcW w:w="1210" w:type="dxa"/>
            <w:vAlign w:val="top"/>
          </w:tcPr>
          <w:p>
            <w:pPr>
              <w:spacing w:line="321" w:lineRule="auto"/>
              <w:rPr>
                <w:rFonts w:ascii="Arial"/>
                <w:sz w:val="21"/>
              </w:rPr>
            </w:pPr>
          </w:p>
          <w:p>
            <w:pPr>
              <w:spacing w:before="68" w:line="218" w:lineRule="auto"/>
              <w:ind w:left="406"/>
              <w:rPr>
                <w:rFonts w:ascii="仿宋" w:hAnsi="仿宋" w:eastAsia="仿宋" w:cs="仿宋"/>
                <w:sz w:val="21"/>
                <w:szCs w:val="21"/>
              </w:rPr>
            </w:pPr>
            <w:r>
              <w:rPr>
                <w:rFonts w:ascii="仿宋" w:hAnsi="仿宋" w:eastAsia="仿宋" w:cs="仿宋"/>
                <w:spacing w:val="-4"/>
                <w:sz w:val="21"/>
                <w:szCs w:val="21"/>
              </w:rPr>
              <w:t>鳝鱼</w:t>
            </w:r>
          </w:p>
        </w:tc>
        <w:tc>
          <w:tcPr>
            <w:tcW w:w="2048" w:type="dxa"/>
            <w:vAlign w:val="top"/>
          </w:tcPr>
          <w:p>
            <w:pPr>
              <w:spacing w:line="364" w:lineRule="auto"/>
              <w:rPr>
                <w:rFonts w:ascii="Arial"/>
                <w:sz w:val="21"/>
              </w:rPr>
            </w:pPr>
          </w:p>
          <w:p>
            <w:pPr>
              <w:pStyle w:val="6"/>
              <w:spacing w:before="60" w:line="190" w:lineRule="auto"/>
              <w:ind w:left="252"/>
            </w:pPr>
            <w:r>
              <w:rPr>
                <w:i/>
                <w:iCs/>
              </w:rPr>
              <w:t>Monopterus</w:t>
            </w:r>
            <w:r>
              <w:rPr>
                <w:i/>
                <w:iCs/>
                <w:spacing w:val="6"/>
              </w:rPr>
              <w:t xml:space="preserve"> </w:t>
            </w:r>
            <w:r>
              <w:rPr>
                <w:i/>
                <w:iCs/>
              </w:rPr>
              <w:t>albus</w:t>
            </w:r>
          </w:p>
        </w:tc>
        <w:tc>
          <w:tcPr>
            <w:tcW w:w="701" w:type="dxa"/>
            <w:vAlign w:val="top"/>
          </w:tcPr>
          <w:p>
            <w:pPr>
              <w:rPr>
                <w:rFonts w:ascii="Arial"/>
                <w:sz w:val="21"/>
              </w:rPr>
            </w:pPr>
          </w:p>
        </w:tc>
        <w:tc>
          <w:tcPr>
            <w:tcW w:w="1454" w:type="dxa"/>
            <w:vAlign w:val="top"/>
          </w:tcPr>
          <w:p>
            <w:pPr>
              <w:spacing w:before="80" w:line="249" w:lineRule="auto"/>
              <w:ind w:left="211" w:right="200" w:firstLine="109"/>
              <w:rPr>
                <w:rFonts w:ascii="仿宋" w:hAnsi="仿宋" w:eastAsia="仿宋" w:cs="仿宋"/>
                <w:sz w:val="21"/>
                <w:szCs w:val="21"/>
              </w:rPr>
            </w:pPr>
            <w:r>
              <w:rPr>
                <w:rFonts w:ascii="仿宋" w:hAnsi="仿宋" w:eastAsia="仿宋" w:cs="仿宋"/>
                <w:spacing w:val="-5"/>
                <w:sz w:val="21"/>
                <w:szCs w:val="21"/>
              </w:rPr>
              <w:t>沼泽、鱼</w:t>
            </w:r>
            <w:r>
              <w:rPr>
                <w:rFonts w:ascii="仿宋" w:hAnsi="仿宋" w:eastAsia="仿宋" w:cs="仿宋"/>
                <w:sz w:val="21"/>
                <w:szCs w:val="21"/>
              </w:rPr>
              <w:t xml:space="preserve">  </w:t>
            </w:r>
            <w:r>
              <w:rPr>
                <w:rFonts w:ascii="仿宋" w:hAnsi="仿宋" w:eastAsia="仿宋" w:cs="仿宋"/>
                <w:spacing w:val="-10"/>
                <w:sz w:val="21"/>
                <w:szCs w:val="21"/>
              </w:rPr>
              <w:t>塘、水田、</w:t>
            </w:r>
            <w:r>
              <w:rPr>
                <w:rFonts w:ascii="仿宋" w:hAnsi="仿宋" w:eastAsia="仿宋" w:cs="仿宋"/>
                <w:spacing w:val="2"/>
                <w:sz w:val="21"/>
                <w:szCs w:val="21"/>
              </w:rPr>
              <w:t xml:space="preserve"> </w:t>
            </w:r>
            <w:r>
              <w:rPr>
                <w:rFonts w:ascii="仿宋" w:hAnsi="仿宋" w:eastAsia="仿宋" w:cs="仿宋"/>
                <w:spacing w:val="-3"/>
                <w:sz w:val="21"/>
                <w:szCs w:val="21"/>
              </w:rPr>
              <w:t>水塘、沟渠</w:t>
            </w:r>
          </w:p>
        </w:tc>
        <w:tc>
          <w:tcPr>
            <w:tcW w:w="894" w:type="dxa"/>
            <w:vAlign w:val="top"/>
          </w:tcPr>
          <w:p>
            <w:pPr>
              <w:pStyle w:val="6"/>
              <w:spacing w:before="80" w:line="249" w:lineRule="auto"/>
              <w:ind w:left="198" w:right="163" w:hanging="53"/>
              <w:jc w:val="right"/>
              <w:rPr>
                <w:rFonts w:ascii="仿宋" w:hAnsi="仿宋" w:eastAsia="仿宋" w:cs="仿宋"/>
              </w:rPr>
            </w:pPr>
            <w:r>
              <w:rPr>
                <w:rFonts w:ascii="仿宋" w:hAnsi="仿宋" w:eastAsia="仿宋" w:cs="仿宋"/>
                <w:spacing w:val="-17"/>
              </w:rPr>
              <w:t>访查、</w:t>
            </w:r>
            <w:r>
              <w:rPr>
                <w:rFonts w:ascii="仿宋" w:hAnsi="仿宋" w:eastAsia="仿宋" w:cs="仿宋"/>
              </w:rPr>
              <w:t xml:space="preserve"> </w:t>
            </w: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right w:val="nil"/>
            </w:tcBorders>
            <w:vAlign w:val="top"/>
          </w:tcPr>
          <w:p>
            <w:pPr>
              <w:spacing w:before="236" w:line="247" w:lineRule="auto"/>
              <w:ind w:left="621" w:right="186" w:hanging="420"/>
              <w:rPr>
                <w:rFonts w:ascii="仿宋" w:hAnsi="仿宋" w:eastAsia="仿宋" w:cs="仿宋"/>
                <w:sz w:val="21"/>
                <w:szCs w:val="21"/>
              </w:rPr>
            </w:pPr>
            <w:r>
              <w:rPr>
                <w:rFonts w:ascii="仿宋" w:hAnsi="仿宋" w:eastAsia="仿宋" w:cs="仿宋"/>
                <w:spacing w:val="-4"/>
                <w:sz w:val="21"/>
                <w:szCs w:val="21"/>
              </w:rPr>
              <w:t>土著经济鱼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590" w:type="dxa"/>
            <w:tcBorders>
              <w:left w:val="nil"/>
            </w:tcBorders>
            <w:vAlign w:val="top"/>
          </w:tcPr>
          <w:p>
            <w:pPr>
              <w:pStyle w:val="6"/>
              <w:spacing w:before="116" w:line="188" w:lineRule="auto"/>
              <w:ind w:left="176"/>
            </w:pPr>
            <w:r>
              <w:rPr>
                <w:b/>
                <w:bCs/>
                <w:spacing w:val="-3"/>
              </w:rPr>
              <w:t>O4</w:t>
            </w:r>
          </w:p>
        </w:tc>
        <w:tc>
          <w:tcPr>
            <w:tcW w:w="1210" w:type="dxa"/>
            <w:vAlign w:val="top"/>
          </w:tcPr>
          <w:p>
            <w:pPr>
              <w:spacing w:before="80" w:line="198" w:lineRule="auto"/>
              <w:ind w:left="29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鳉形目</w:t>
            </w:r>
          </w:p>
        </w:tc>
        <w:tc>
          <w:tcPr>
            <w:tcW w:w="2048" w:type="dxa"/>
            <w:vAlign w:val="top"/>
          </w:tcPr>
          <w:p>
            <w:pPr>
              <w:pStyle w:val="6"/>
              <w:spacing w:before="116" w:line="188" w:lineRule="auto"/>
              <w:ind w:left="112"/>
            </w:pPr>
            <w:r>
              <w:rPr>
                <w:b/>
                <w:bCs/>
                <w:spacing w:val="-1"/>
              </w:rPr>
              <w:t>Cyprinodontiformes</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trPr>
        <w:tc>
          <w:tcPr>
            <w:tcW w:w="590" w:type="dxa"/>
            <w:tcBorders>
              <w:left w:val="nil"/>
              <w:bottom w:val="single" w:color="000000" w:sz="12" w:space="0"/>
            </w:tcBorders>
            <w:vAlign w:val="top"/>
          </w:tcPr>
          <w:p>
            <w:pPr>
              <w:pStyle w:val="6"/>
              <w:spacing w:before="117" w:line="188" w:lineRule="auto"/>
              <w:ind w:left="190"/>
            </w:pPr>
            <w:r>
              <w:rPr>
                <w:b/>
                <w:bCs/>
                <w:spacing w:val="-2"/>
              </w:rPr>
              <w:t>F6</w:t>
            </w:r>
          </w:p>
        </w:tc>
        <w:tc>
          <w:tcPr>
            <w:tcW w:w="1210" w:type="dxa"/>
            <w:tcBorders>
              <w:bottom w:val="single" w:color="000000" w:sz="12" w:space="0"/>
            </w:tcBorders>
            <w:vAlign w:val="top"/>
          </w:tcPr>
          <w:p>
            <w:pPr>
              <w:spacing w:before="81" w:line="218" w:lineRule="auto"/>
              <w:ind w:left="29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胎鳉科</w:t>
            </w:r>
          </w:p>
        </w:tc>
        <w:tc>
          <w:tcPr>
            <w:tcW w:w="2048" w:type="dxa"/>
            <w:tcBorders>
              <w:bottom w:val="single" w:color="000000" w:sz="12" w:space="0"/>
            </w:tcBorders>
            <w:vAlign w:val="top"/>
          </w:tcPr>
          <w:p>
            <w:pPr>
              <w:pStyle w:val="6"/>
              <w:spacing w:before="119" w:line="186" w:lineRule="auto"/>
              <w:ind w:left="541"/>
            </w:pPr>
            <w:r>
              <w:rPr>
                <w:b/>
                <w:bCs/>
                <w:spacing w:val="-1"/>
              </w:rPr>
              <w:t>Poeciliidae</w:t>
            </w:r>
          </w:p>
        </w:tc>
        <w:tc>
          <w:tcPr>
            <w:tcW w:w="701" w:type="dxa"/>
            <w:tcBorders>
              <w:bottom w:val="single" w:color="000000" w:sz="12" w:space="0"/>
            </w:tcBorders>
            <w:vAlign w:val="top"/>
          </w:tcPr>
          <w:p>
            <w:pPr>
              <w:rPr>
                <w:rFonts w:ascii="Arial"/>
                <w:sz w:val="21"/>
              </w:rPr>
            </w:pPr>
          </w:p>
        </w:tc>
        <w:tc>
          <w:tcPr>
            <w:tcW w:w="1454" w:type="dxa"/>
            <w:tcBorders>
              <w:bottom w:val="single" w:color="000000" w:sz="12" w:space="0"/>
            </w:tcBorders>
            <w:vAlign w:val="top"/>
          </w:tcPr>
          <w:p>
            <w:pPr>
              <w:rPr>
                <w:rFonts w:ascii="Arial"/>
                <w:sz w:val="21"/>
              </w:rPr>
            </w:pPr>
          </w:p>
        </w:tc>
        <w:tc>
          <w:tcPr>
            <w:tcW w:w="894" w:type="dxa"/>
            <w:tcBorders>
              <w:bottom w:val="single" w:color="000000" w:sz="12" w:space="0"/>
            </w:tcBorders>
            <w:vAlign w:val="top"/>
          </w:tcPr>
          <w:p>
            <w:pPr>
              <w:rPr>
                <w:rFonts w:ascii="Arial"/>
                <w:sz w:val="21"/>
              </w:rPr>
            </w:pPr>
          </w:p>
        </w:tc>
        <w:tc>
          <w:tcPr>
            <w:tcW w:w="1424" w:type="dxa"/>
            <w:tcBorders>
              <w:bottom w:val="single" w:color="000000" w:sz="12"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headerReference r:id="rId321" w:type="default"/>
          <w:footerReference r:id="rId322" w:type="default"/>
          <w:pgSz w:w="11907" w:h="16839"/>
          <w:pgMar w:top="1156" w:right="1768" w:bottom="1374" w:left="1770" w:header="881" w:footer="1210" w:gutter="0"/>
        </w:sectPr>
      </w:pPr>
    </w:p>
    <w:p>
      <w:pPr>
        <w:spacing w:before="41"/>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0"/>
        <w:gridCol w:w="1210"/>
        <w:gridCol w:w="2048"/>
        <w:gridCol w:w="701"/>
        <w:gridCol w:w="1454"/>
        <w:gridCol w:w="894"/>
        <w:gridCol w:w="14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5" w:hRule="atLeast"/>
        </w:trPr>
        <w:tc>
          <w:tcPr>
            <w:tcW w:w="590" w:type="dxa"/>
            <w:tcBorders>
              <w:top w:val="single" w:color="000000" w:sz="12" w:space="0"/>
              <w:left w:val="nil"/>
            </w:tcBorders>
            <w:textDirection w:val="tbRlV"/>
            <w:vAlign w:val="top"/>
          </w:tcPr>
          <w:p>
            <w:pPr>
              <w:spacing w:before="180" w:line="202" w:lineRule="auto"/>
              <w:ind w:left="5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序</w:t>
            </w:r>
            <w:r>
              <w:rPr>
                <w:rFonts w:ascii="仿宋" w:hAnsi="仿宋" w:eastAsia="仿宋" w:cs="仿宋"/>
                <w:spacing w:val="-2"/>
                <w:sz w:val="21"/>
                <w:szCs w:val="21"/>
              </w:rPr>
              <w:t xml:space="preserve"> </w:t>
            </w:r>
            <w:r>
              <w:rPr>
                <w:rFonts w:ascii="仿宋" w:hAnsi="仿宋" w:eastAsia="仿宋" w:cs="仿宋"/>
                <w:spacing w:val="-2"/>
                <w:sz w:val="21"/>
                <w:szCs w:val="21"/>
                <w14:textOutline w14:w="3810" w14:cap="flat" w14:cmpd="sng">
                  <w14:solidFill>
                    <w14:srgbClr w14:val="000000"/>
                  </w14:solidFill>
                  <w14:prstDash w14:val="solid"/>
                  <w14:miter w14:val="0"/>
                </w14:textOutline>
              </w:rPr>
              <w:t>号</w:t>
            </w:r>
          </w:p>
        </w:tc>
        <w:tc>
          <w:tcPr>
            <w:tcW w:w="1210" w:type="dxa"/>
            <w:tcBorders>
              <w:top w:val="single" w:color="000000" w:sz="12" w:space="0"/>
            </w:tcBorders>
            <w:vAlign w:val="top"/>
          </w:tcPr>
          <w:p>
            <w:pPr>
              <w:spacing w:before="207" w:line="218" w:lineRule="auto"/>
              <w:ind w:left="326"/>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中文名</w:t>
            </w:r>
          </w:p>
        </w:tc>
        <w:tc>
          <w:tcPr>
            <w:tcW w:w="2048" w:type="dxa"/>
            <w:tcBorders>
              <w:top w:val="single" w:color="000000" w:sz="12" w:space="0"/>
            </w:tcBorders>
            <w:vAlign w:val="top"/>
          </w:tcPr>
          <w:p>
            <w:pPr>
              <w:spacing w:before="206" w:line="220" w:lineRule="auto"/>
              <w:ind w:left="71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拉丁名</w:t>
            </w:r>
          </w:p>
        </w:tc>
        <w:tc>
          <w:tcPr>
            <w:tcW w:w="701" w:type="dxa"/>
            <w:tcBorders>
              <w:top w:val="single" w:color="000000" w:sz="12" w:space="0"/>
            </w:tcBorders>
            <w:vAlign w:val="top"/>
          </w:tcPr>
          <w:p>
            <w:pPr>
              <w:spacing w:before="50" w:line="247" w:lineRule="auto"/>
              <w:ind w:left="151" w:right="138" w:hanging="1"/>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保护</w:t>
            </w:r>
            <w:r>
              <w:rPr>
                <w:rFonts w:ascii="仿宋" w:hAnsi="仿宋" w:eastAsia="仿宋" w:cs="仿宋"/>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级别</w:t>
            </w:r>
          </w:p>
        </w:tc>
        <w:tc>
          <w:tcPr>
            <w:tcW w:w="1454" w:type="dxa"/>
            <w:tcBorders>
              <w:top w:val="single" w:color="000000" w:sz="12" w:space="0"/>
            </w:tcBorders>
            <w:vAlign w:val="top"/>
          </w:tcPr>
          <w:p>
            <w:pPr>
              <w:spacing w:before="206" w:line="219" w:lineRule="auto"/>
              <w:ind w:left="32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主要生境</w:t>
            </w:r>
          </w:p>
        </w:tc>
        <w:tc>
          <w:tcPr>
            <w:tcW w:w="894" w:type="dxa"/>
            <w:tcBorders>
              <w:top w:val="single" w:color="000000" w:sz="12" w:space="0"/>
            </w:tcBorders>
            <w:vAlign w:val="top"/>
          </w:tcPr>
          <w:p>
            <w:pPr>
              <w:spacing w:before="50" w:line="248" w:lineRule="auto"/>
              <w:ind w:left="355" w:right="128" w:hanging="203"/>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资料来</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源</w:t>
            </w:r>
          </w:p>
        </w:tc>
        <w:tc>
          <w:tcPr>
            <w:tcW w:w="1424" w:type="dxa"/>
            <w:tcBorders>
              <w:top w:val="single" w:color="000000" w:sz="12" w:space="0"/>
              <w:right w:val="nil"/>
            </w:tcBorders>
            <w:vAlign w:val="top"/>
          </w:tcPr>
          <w:p>
            <w:pPr>
              <w:spacing w:before="207" w:line="220" w:lineRule="auto"/>
              <w:ind w:left="51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590" w:type="dxa"/>
            <w:tcBorders>
              <w:left w:val="nil"/>
            </w:tcBorders>
            <w:vAlign w:val="top"/>
          </w:tcPr>
          <w:p>
            <w:pPr>
              <w:spacing w:line="340" w:lineRule="auto"/>
              <w:rPr>
                <w:rFonts w:ascii="Arial"/>
                <w:sz w:val="21"/>
              </w:rPr>
            </w:pPr>
          </w:p>
          <w:p>
            <w:pPr>
              <w:pStyle w:val="6"/>
              <w:spacing w:before="61" w:line="188" w:lineRule="auto"/>
              <w:ind w:left="221"/>
            </w:pPr>
            <w:r>
              <w:rPr>
                <w:spacing w:val="-6"/>
              </w:rPr>
              <w:t>16</w:t>
            </w:r>
          </w:p>
        </w:tc>
        <w:tc>
          <w:tcPr>
            <w:tcW w:w="1210" w:type="dxa"/>
            <w:vAlign w:val="top"/>
          </w:tcPr>
          <w:p>
            <w:pPr>
              <w:spacing w:line="296" w:lineRule="auto"/>
              <w:rPr>
                <w:rFonts w:ascii="Arial"/>
                <w:sz w:val="21"/>
              </w:rPr>
            </w:pPr>
          </w:p>
          <w:p>
            <w:pPr>
              <w:spacing w:before="68" w:line="219" w:lineRule="auto"/>
              <w:ind w:left="300"/>
              <w:rPr>
                <w:rFonts w:ascii="仿宋" w:hAnsi="仿宋" w:eastAsia="仿宋" w:cs="仿宋"/>
                <w:sz w:val="21"/>
                <w:szCs w:val="21"/>
              </w:rPr>
            </w:pPr>
            <w:r>
              <w:rPr>
                <w:rFonts w:ascii="仿宋" w:hAnsi="仿宋" w:eastAsia="仿宋" w:cs="仿宋"/>
                <w:spacing w:val="-4"/>
                <w:sz w:val="21"/>
                <w:szCs w:val="21"/>
              </w:rPr>
              <w:t>食蚊鱼</w:t>
            </w:r>
          </w:p>
        </w:tc>
        <w:tc>
          <w:tcPr>
            <w:tcW w:w="2048" w:type="dxa"/>
            <w:vAlign w:val="top"/>
          </w:tcPr>
          <w:p>
            <w:pPr>
              <w:spacing w:line="337" w:lineRule="auto"/>
              <w:rPr>
                <w:rFonts w:ascii="Arial"/>
                <w:sz w:val="21"/>
              </w:rPr>
            </w:pPr>
          </w:p>
          <w:p>
            <w:pPr>
              <w:pStyle w:val="6"/>
              <w:spacing w:before="60" w:line="192" w:lineRule="auto"/>
              <w:ind w:left="314"/>
            </w:pPr>
            <w:r>
              <w:rPr>
                <w:i/>
                <w:iCs/>
                <w:spacing w:val="-1"/>
              </w:rPr>
              <w:t>Gambusia affinis</w:t>
            </w:r>
          </w:p>
        </w:tc>
        <w:tc>
          <w:tcPr>
            <w:tcW w:w="701" w:type="dxa"/>
            <w:vAlign w:val="top"/>
          </w:tcPr>
          <w:p>
            <w:pPr>
              <w:rPr>
                <w:rFonts w:ascii="Arial"/>
                <w:sz w:val="21"/>
              </w:rPr>
            </w:pPr>
          </w:p>
        </w:tc>
        <w:tc>
          <w:tcPr>
            <w:tcW w:w="1454" w:type="dxa"/>
            <w:vAlign w:val="top"/>
          </w:tcPr>
          <w:p>
            <w:pPr>
              <w:spacing w:before="55" w:line="255" w:lineRule="auto"/>
              <w:ind w:left="211" w:right="200" w:firstLine="105"/>
              <w:rPr>
                <w:rFonts w:ascii="仿宋" w:hAnsi="仿宋" w:eastAsia="仿宋" w:cs="仿宋"/>
                <w:sz w:val="21"/>
                <w:szCs w:val="21"/>
              </w:rPr>
            </w:pPr>
            <w:r>
              <w:rPr>
                <w:rFonts w:ascii="仿宋" w:hAnsi="仿宋" w:eastAsia="仿宋" w:cs="仿宋"/>
                <w:spacing w:val="-4"/>
                <w:sz w:val="21"/>
                <w:szCs w:val="21"/>
              </w:rPr>
              <w:t>水库、鱼</w:t>
            </w:r>
            <w:r>
              <w:rPr>
                <w:rFonts w:ascii="仿宋" w:hAnsi="仿宋" w:eastAsia="仿宋" w:cs="仿宋"/>
                <w:sz w:val="21"/>
                <w:szCs w:val="21"/>
              </w:rPr>
              <w:t xml:space="preserve">  </w:t>
            </w:r>
            <w:r>
              <w:rPr>
                <w:rFonts w:ascii="仿宋" w:hAnsi="仿宋" w:eastAsia="仿宋" w:cs="仿宋"/>
                <w:spacing w:val="-10"/>
                <w:sz w:val="21"/>
                <w:szCs w:val="21"/>
              </w:rPr>
              <w:t>塘、水田、</w:t>
            </w:r>
            <w:r>
              <w:rPr>
                <w:rFonts w:ascii="仿宋" w:hAnsi="仿宋" w:eastAsia="仿宋" w:cs="仿宋"/>
                <w:spacing w:val="2"/>
                <w:sz w:val="21"/>
                <w:szCs w:val="21"/>
              </w:rPr>
              <w:t xml:space="preserve"> </w:t>
            </w:r>
            <w:r>
              <w:rPr>
                <w:rFonts w:ascii="仿宋" w:hAnsi="仿宋" w:eastAsia="仿宋" w:cs="仿宋"/>
                <w:spacing w:val="-3"/>
                <w:sz w:val="21"/>
                <w:szCs w:val="21"/>
              </w:rPr>
              <w:t>水塘、沟渠</w:t>
            </w:r>
          </w:p>
        </w:tc>
        <w:tc>
          <w:tcPr>
            <w:tcW w:w="894" w:type="dxa"/>
            <w:vAlign w:val="top"/>
          </w:tcPr>
          <w:p>
            <w:pPr>
              <w:pStyle w:val="6"/>
              <w:spacing w:before="55" w:line="255" w:lineRule="auto"/>
              <w:ind w:left="198" w:right="162" w:hanging="53"/>
              <w:jc w:val="right"/>
              <w:rPr>
                <w:rFonts w:ascii="仿宋" w:hAnsi="仿宋" w:eastAsia="仿宋" w:cs="仿宋"/>
              </w:rPr>
            </w:pPr>
            <w:r>
              <w:rPr>
                <w:rFonts w:ascii="仿宋" w:hAnsi="仿宋" w:eastAsia="仿宋" w:cs="仿宋"/>
                <w:spacing w:val="-17"/>
              </w:rPr>
              <w:t>访查、</w:t>
            </w:r>
            <w:r>
              <w:rPr>
                <w:rFonts w:ascii="仿宋" w:hAnsi="仿宋" w:eastAsia="仿宋" w:cs="仿宋"/>
              </w:rPr>
              <w:t xml:space="preserve"> </w:t>
            </w: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right w:val="nil"/>
            </w:tcBorders>
            <w:vAlign w:val="top"/>
          </w:tcPr>
          <w:p>
            <w:pPr>
              <w:spacing w:before="211" w:line="247" w:lineRule="auto"/>
              <w:ind w:left="520" w:right="186" w:hanging="314"/>
              <w:rPr>
                <w:rFonts w:ascii="仿宋" w:hAnsi="仿宋" w:eastAsia="仿宋" w:cs="仿宋"/>
                <w:sz w:val="21"/>
                <w:szCs w:val="21"/>
              </w:rPr>
            </w:pPr>
            <w:r>
              <w:rPr>
                <w:rFonts w:ascii="仿宋" w:hAnsi="仿宋" w:eastAsia="仿宋" w:cs="仿宋"/>
                <w:spacing w:val="-5"/>
                <w:sz w:val="21"/>
                <w:szCs w:val="21"/>
              </w:rPr>
              <w:t>引入非经济</w:t>
            </w:r>
            <w:r>
              <w:rPr>
                <w:rFonts w:ascii="仿宋" w:hAnsi="仿宋" w:eastAsia="仿宋" w:cs="仿宋"/>
                <w:spacing w:val="2"/>
                <w:sz w:val="21"/>
                <w:szCs w:val="21"/>
              </w:rPr>
              <w:t xml:space="preserve"> </w:t>
            </w:r>
            <w:r>
              <w:rPr>
                <w:rFonts w:ascii="仿宋" w:hAnsi="仿宋" w:eastAsia="仿宋" w:cs="仿宋"/>
                <w:spacing w:val="-6"/>
                <w:sz w:val="21"/>
                <w:szCs w:val="21"/>
              </w:rPr>
              <w:t>鱼类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590" w:type="dxa"/>
            <w:tcBorders>
              <w:left w:val="nil"/>
            </w:tcBorders>
            <w:vAlign w:val="top"/>
          </w:tcPr>
          <w:p>
            <w:pPr>
              <w:pStyle w:val="6"/>
              <w:spacing w:before="100" w:line="185" w:lineRule="auto"/>
              <w:ind w:left="190"/>
            </w:pPr>
            <w:r>
              <w:rPr>
                <w:b/>
                <w:bCs/>
                <w:spacing w:val="-3"/>
              </w:rPr>
              <w:t>F7</w:t>
            </w:r>
          </w:p>
        </w:tc>
        <w:tc>
          <w:tcPr>
            <w:tcW w:w="1210" w:type="dxa"/>
            <w:vAlign w:val="top"/>
          </w:tcPr>
          <w:p>
            <w:pPr>
              <w:spacing w:before="61" w:line="215" w:lineRule="auto"/>
              <w:ind w:left="30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青鳉科</w:t>
            </w:r>
          </w:p>
        </w:tc>
        <w:tc>
          <w:tcPr>
            <w:tcW w:w="2048" w:type="dxa"/>
            <w:vAlign w:val="top"/>
          </w:tcPr>
          <w:p>
            <w:pPr>
              <w:pStyle w:val="6"/>
              <w:spacing w:before="97" w:line="188" w:lineRule="auto"/>
              <w:ind w:left="497"/>
            </w:pPr>
            <w:r>
              <w:rPr>
                <w:b/>
                <w:bCs/>
                <w:spacing w:val="-1"/>
              </w:rPr>
              <w:t>Oryziatidae</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590" w:type="dxa"/>
            <w:tcBorders>
              <w:left w:val="nil"/>
            </w:tcBorders>
            <w:vAlign w:val="top"/>
          </w:tcPr>
          <w:p>
            <w:pPr>
              <w:spacing w:line="347" w:lineRule="auto"/>
              <w:rPr>
                <w:rFonts w:ascii="Arial"/>
                <w:sz w:val="21"/>
              </w:rPr>
            </w:pPr>
          </w:p>
          <w:p>
            <w:pPr>
              <w:pStyle w:val="6"/>
              <w:spacing w:before="60" w:line="188" w:lineRule="auto"/>
              <w:ind w:left="221"/>
            </w:pPr>
            <w:r>
              <w:rPr>
                <w:spacing w:val="-6"/>
              </w:rPr>
              <w:t>17</w:t>
            </w:r>
          </w:p>
        </w:tc>
        <w:tc>
          <w:tcPr>
            <w:tcW w:w="1210" w:type="dxa"/>
            <w:vAlign w:val="top"/>
          </w:tcPr>
          <w:p>
            <w:pPr>
              <w:spacing w:line="303" w:lineRule="auto"/>
              <w:rPr>
                <w:rFonts w:ascii="Arial"/>
                <w:sz w:val="21"/>
              </w:rPr>
            </w:pPr>
          </w:p>
          <w:p>
            <w:pPr>
              <w:spacing w:before="69" w:line="217" w:lineRule="auto"/>
              <w:ind w:left="222"/>
              <w:rPr>
                <w:rFonts w:ascii="仿宋" w:hAnsi="仿宋" w:eastAsia="仿宋" w:cs="仿宋"/>
                <w:sz w:val="21"/>
                <w:szCs w:val="21"/>
              </w:rPr>
            </w:pPr>
            <w:r>
              <w:rPr>
                <w:rFonts w:ascii="仿宋" w:hAnsi="仿宋" w:eastAsia="仿宋" w:cs="仿宋"/>
                <w:spacing w:val="-8"/>
                <w:sz w:val="21"/>
                <w:szCs w:val="21"/>
              </w:rPr>
              <w:t>中华青鳉</w:t>
            </w:r>
          </w:p>
        </w:tc>
        <w:tc>
          <w:tcPr>
            <w:tcW w:w="2048" w:type="dxa"/>
            <w:vAlign w:val="top"/>
          </w:tcPr>
          <w:p>
            <w:pPr>
              <w:pStyle w:val="6"/>
              <w:spacing w:before="250" w:line="272" w:lineRule="auto"/>
              <w:ind w:left="685" w:right="388" w:hanging="285"/>
            </w:pPr>
            <w:r>
              <w:rPr>
                <w:i/>
                <w:iCs/>
                <w:spacing w:val="-1"/>
              </w:rPr>
              <w:t>Oryzias latipes</w:t>
            </w:r>
            <w:r>
              <w:rPr>
                <w:i/>
                <w:iCs/>
                <w:spacing w:val="2"/>
              </w:rPr>
              <w:t xml:space="preserve"> </w:t>
            </w:r>
            <w:r>
              <w:rPr>
                <w:i/>
                <w:iCs/>
              </w:rPr>
              <w:t>sinensis</w:t>
            </w:r>
          </w:p>
        </w:tc>
        <w:tc>
          <w:tcPr>
            <w:tcW w:w="701" w:type="dxa"/>
            <w:vAlign w:val="top"/>
          </w:tcPr>
          <w:p>
            <w:pPr>
              <w:rPr>
                <w:rFonts w:ascii="Arial"/>
                <w:sz w:val="21"/>
              </w:rPr>
            </w:pPr>
          </w:p>
        </w:tc>
        <w:tc>
          <w:tcPr>
            <w:tcW w:w="1454" w:type="dxa"/>
            <w:vAlign w:val="top"/>
          </w:tcPr>
          <w:p>
            <w:pPr>
              <w:spacing w:before="61" w:line="253" w:lineRule="auto"/>
              <w:ind w:left="211" w:right="200" w:firstLine="105"/>
              <w:rPr>
                <w:rFonts w:ascii="仿宋" w:hAnsi="仿宋" w:eastAsia="仿宋" w:cs="仿宋"/>
                <w:sz w:val="21"/>
                <w:szCs w:val="21"/>
              </w:rPr>
            </w:pPr>
            <w:r>
              <w:rPr>
                <w:rFonts w:ascii="仿宋" w:hAnsi="仿宋" w:eastAsia="仿宋" w:cs="仿宋"/>
                <w:spacing w:val="-4"/>
                <w:sz w:val="21"/>
                <w:szCs w:val="21"/>
              </w:rPr>
              <w:t>水库、鱼</w:t>
            </w:r>
            <w:r>
              <w:rPr>
                <w:rFonts w:ascii="仿宋" w:hAnsi="仿宋" w:eastAsia="仿宋" w:cs="仿宋"/>
                <w:sz w:val="21"/>
                <w:szCs w:val="21"/>
              </w:rPr>
              <w:t xml:space="preserve">  </w:t>
            </w:r>
            <w:r>
              <w:rPr>
                <w:rFonts w:ascii="仿宋" w:hAnsi="仿宋" w:eastAsia="仿宋" w:cs="仿宋"/>
                <w:spacing w:val="-10"/>
                <w:sz w:val="21"/>
                <w:szCs w:val="21"/>
              </w:rPr>
              <w:t>塘、水田、</w:t>
            </w:r>
            <w:r>
              <w:rPr>
                <w:rFonts w:ascii="仿宋" w:hAnsi="仿宋" w:eastAsia="仿宋" w:cs="仿宋"/>
                <w:spacing w:val="2"/>
                <w:sz w:val="21"/>
                <w:szCs w:val="21"/>
              </w:rPr>
              <w:t xml:space="preserve"> </w:t>
            </w:r>
            <w:r>
              <w:rPr>
                <w:rFonts w:ascii="仿宋" w:hAnsi="仿宋" w:eastAsia="仿宋" w:cs="仿宋"/>
                <w:spacing w:val="-3"/>
                <w:sz w:val="21"/>
                <w:szCs w:val="21"/>
              </w:rPr>
              <w:t>水塘、沟渠</w:t>
            </w:r>
          </w:p>
        </w:tc>
        <w:tc>
          <w:tcPr>
            <w:tcW w:w="894" w:type="dxa"/>
            <w:vAlign w:val="top"/>
          </w:tcPr>
          <w:p>
            <w:pPr>
              <w:pStyle w:val="6"/>
              <w:spacing w:before="61" w:line="253" w:lineRule="auto"/>
              <w:ind w:left="198" w:right="163" w:hanging="53"/>
              <w:jc w:val="right"/>
              <w:rPr>
                <w:rFonts w:ascii="仿宋" w:hAnsi="仿宋" w:eastAsia="仿宋" w:cs="仿宋"/>
              </w:rPr>
            </w:pPr>
            <w:r>
              <w:rPr>
                <w:rFonts w:ascii="仿宋" w:hAnsi="仿宋" w:eastAsia="仿宋" w:cs="仿宋"/>
                <w:spacing w:val="-17"/>
              </w:rPr>
              <w:t>访查、</w:t>
            </w:r>
            <w:r>
              <w:rPr>
                <w:rFonts w:ascii="仿宋" w:hAnsi="仿宋" w:eastAsia="仿宋" w:cs="仿宋"/>
              </w:rPr>
              <w:t xml:space="preserve"> </w:t>
            </w: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right w:val="nil"/>
            </w:tcBorders>
            <w:vAlign w:val="top"/>
          </w:tcPr>
          <w:p>
            <w:pPr>
              <w:spacing w:before="218" w:line="247" w:lineRule="auto"/>
              <w:ind w:left="520" w:right="186" w:hanging="319"/>
              <w:rPr>
                <w:rFonts w:ascii="仿宋" w:hAnsi="仿宋" w:eastAsia="仿宋" w:cs="仿宋"/>
                <w:sz w:val="21"/>
                <w:szCs w:val="21"/>
              </w:rPr>
            </w:pPr>
            <w:r>
              <w:rPr>
                <w:rFonts w:ascii="仿宋" w:hAnsi="仿宋" w:eastAsia="仿宋" w:cs="仿宋"/>
                <w:spacing w:val="-4"/>
                <w:sz w:val="21"/>
                <w:szCs w:val="21"/>
              </w:rPr>
              <w:t>土著非经济</w:t>
            </w:r>
            <w:r>
              <w:rPr>
                <w:rFonts w:ascii="仿宋" w:hAnsi="仿宋" w:eastAsia="仿宋" w:cs="仿宋"/>
                <w:spacing w:val="2"/>
                <w:sz w:val="21"/>
                <w:szCs w:val="21"/>
              </w:rPr>
              <w:t xml:space="preserve"> </w:t>
            </w:r>
            <w:r>
              <w:rPr>
                <w:rFonts w:ascii="仿宋" w:hAnsi="仿宋" w:eastAsia="仿宋" w:cs="仿宋"/>
                <w:spacing w:val="-6"/>
                <w:sz w:val="21"/>
                <w:szCs w:val="21"/>
              </w:rPr>
              <w:t>鱼类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590" w:type="dxa"/>
            <w:tcBorders>
              <w:left w:val="nil"/>
            </w:tcBorders>
            <w:vAlign w:val="top"/>
          </w:tcPr>
          <w:p>
            <w:pPr>
              <w:pStyle w:val="6"/>
              <w:spacing w:before="103" w:line="188" w:lineRule="auto"/>
              <w:ind w:left="176"/>
            </w:pPr>
            <w:r>
              <w:rPr>
                <w:b/>
                <w:bCs/>
                <w:spacing w:val="-3"/>
              </w:rPr>
              <w:t>O5</w:t>
            </w:r>
          </w:p>
        </w:tc>
        <w:tc>
          <w:tcPr>
            <w:tcW w:w="1210" w:type="dxa"/>
            <w:vAlign w:val="top"/>
          </w:tcPr>
          <w:p>
            <w:pPr>
              <w:spacing w:before="67" w:line="209" w:lineRule="auto"/>
              <w:ind w:left="29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鲈形目</w:t>
            </w:r>
          </w:p>
        </w:tc>
        <w:tc>
          <w:tcPr>
            <w:tcW w:w="2048" w:type="dxa"/>
            <w:vAlign w:val="top"/>
          </w:tcPr>
          <w:p>
            <w:pPr>
              <w:pStyle w:val="6"/>
              <w:spacing w:before="105" w:line="186" w:lineRule="auto"/>
              <w:ind w:left="485"/>
            </w:pPr>
            <w:r>
              <w:rPr>
                <w:b/>
                <w:bCs/>
                <w:spacing w:val="-1"/>
              </w:rPr>
              <w:t>Perciformes</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590" w:type="dxa"/>
            <w:tcBorders>
              <w:left w:val="nil"/>
            </w:tcBorders>
            <w:vAlign w:val="top"/>
          </w:tcPr>
          <w:p>
            <w:pPr>
              <w:pStyle w:val="6"/>
              <w:spacing w:before="106" w:line="188" w:lineRule="auto"/>
              <w:ind w:left="190"/>
            </w:pPr>
            <w:r>
              <w:rPr>
                <w:b/>
                <w:bCs/>
                <w:spacing w:val="-3"/>
              </w:rPr>
              <w:t>F8</w:t>
            </w:r>
          </w:p>
        </w:tc>
        <w:tc>
          <w:tcPr>
            <w:tcW w:w="1210" w:type="dxa"/>
            <w:vAlign w:val="top"/>
          </w:tcPr>
          <w:p>
            <w:pPr>
              <w:spacing w:before="70" w:line="207" w:lineRule="auto"/>
              <w:ind w:left="313"/>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慈鲷科</w:t>
            </w:r>
          </w:p>
        </w:tc>
        <w:tc>
          <w:tcPr>
            <w:tcW w:w="2048" w:type="dxa"/>
            <w:vAlign w:val="top"/>
          </w:tcPr>
          <w:p>
            <w:pPr>
              <w:pStyle w:val="6"/>
              <w:spacing w:before="105" w:line="189" w:lineRule="auto"/>
              <w:ind w:left="602"/>
            </w:pPr>
            <w:r>
              <w:rPr>
                <w:b/>
                <w:bCs/>
                <w:spacing w:val="-1"/>
              </w:rPr>
              <w:t>Cichlidae</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590" w:type="dxa"/>
            <w:tcBorders>
              <w:left w:val="nil"/>
            </w:tcBorders>
            <w:vAlign w:val="top"/>
          </w:tcPr>
          <w:p>
            <w:pPr>
              <w:spacing w:line="356" w:lineRule="auto"/>
              <w:rPr>
                <w:rFonts w:ascii="Arial"/>
                <w:sz w:val="21"/>
              </w:rPr>
            </w:pPr>
          </w:p>
          <w:p>
            <w:pPr>
              <w:pStyle w:val="6"/>
              <w:spacing w:before="60" w:line="188" w:lineRule="auto"/>
              <w:ind w:left="221"/>
            </w:pPr>
            <w:r>
              <w:rPr>
                <w:spacing w:val="-6"/>
              </w:rPr>
              <w:t>18</w:t>
            </w:r>
          </w:p>
        </w:tc>
        <w:tc>
          <w:tcPr>
            <w:tcW w:w="1210" w:type="dxa"/>
            <w:vAlign w:val="top"/>
          </w:tcPr>
          <w:p>
            <w:pPr>
              <w:spacing w:before="225" w:line="251" w:lineRule="auto"/>
              <w:ind w:left="518" w:right="183" w:hanging="323"/>
              <w:rPr>
                <w:rFonts w:ascii="仿宋" w:hAnsi="仿宋" w:eastAsia="仿宋" w:cs="仿宋"/>
                <w:sz w:val="21"/>
                <w:szCs w:val="21"/>
              </w:rPr>
            </w:pPr>
            <w:r>
              <w:rPr>
                <w:rFonts w:ascii="仿宋" w:hAnsi="仿宋" w:eastAsia="仿宋" w:cs="仿宋"/>
                <w:spacing w:val="-4"/>
                <w:sz w:val="21"/>
                <w:szCs w:val="21"/>
              </w:rPr>
              <w:t>尼罗罗非</w:t>
            </w:r>
            <w:r>
              <w:rPr>
                <w:rFonts w:ascii="仿宋" w:hAnsi="仿宋" w:eastAsia="仿宋" w:cs="仿宋"/>
                <w:spacing w:val="1"/>
                <w:sz w:val="21"/>
                <w:szCs w:val="21"/>
              </w:rPr>
              <w:t xml:space="preserve"> </w:t>
            </w:r>
            <w:r>
              <w:rPr>
                <w:rFonts w:ascii="仿宋" w:hAnsi="仿宋" w:eastAsia="仿宋" w:cs="仿宋"/>
                <w:sz w:val="21"/>
                <w:szCs w:val="21"/>
              </w:rPr>
              <w:t>鱼</w:t>
            </w:r>
          </w:p>
        </w:tc>
        <w:tc>
          <w:tcPr>
            <w:tcW w:w="2048" w:type="dxa"/>
            <w:vAlign w:val="top"/>
          </w:tcPr>
          <w:p>
            <w:pPr>
              <w:pStyle w:val="6"/>
              <w:spacing w:before="261" w:line="312" w:lineRule="exact"/>
              <w:ind w:left="486"/>
            </w:pPr>
            <w:r>
              <w:rPr>
                <w:i/>
                <w:iCs/>
                <w:spacing w:val="-3"/>
                <w:position w:val="10"/>
              </w:rPr>
              <w:t>Oreochromis</w:t>
            </w:r>
          </w:p>
          <w:p>
            <w:pPr>
              <w:pStyle w:val="6"/>
              <w:spacing w:line="232" w:lineRule="auto"/>
              <w:ind w:left="662"/>
            </w:pPr>
            <w:r>
              <w:rPr>
                <w:i/>
                <w:iCs/>
                <w:spacing w:val="-1"/>
              </w:rPr>
              <w:t>niloticus</w:t>
            </w:r>
          </w:p>
        </w:tc>
        <w:tc>
          <w:tcPr>
            <w:tcW w:w="701" w:type="dxa"/>
            <w:vAlign w:val="top"/>
          </w:tcPr>
          <w:p>
            <w:pPr>
              <w:rPr>
                <w:rFonts w:ascii="Arial"/>
                <w:sz w:val="21"/>
              </w:rPr>
            </w:pPr>
          </w:p>
        </w:tc>
        <w:tc>
          <w:tcPr>
            <w:tcW w:w="1454" w:type="dxa"/>
            <w:vAlign w:val="top"/>
          </w:tcPr>
          <w:p>
            <w:pPr>
              <w:spacing w:before="69" w:line="251" w:lineRule="auto"/>
              <w:ind w:left="211" w:right="200" w:firstLine="105"/>
              <w:rPr>
                <w:rFonts w:ascii="仿宋" w:hAnsi="仿宋" w:eastAsia="仿宋" w:cs="仿宋"/>
                <w:sz w:val="21"/>
                <w:szCs w:val="21"/>
              </w:rPr>
            </w:pPr>
            <w:r>
              <w:rPr>
                <w:rFonts w:ascii="仿宋" w:hAnsi="仿宋" w:eastAsia="仿宋" w:cs="仿宋"/>
                <w:spacing w:val="-4"/>
                <w:sz w:val="21"/>
                <w:szCs w:val="21"/>
              </w:rPr>
              <w:t>水库、鱼</w:t>
            </w:r>
            <w:r>
              <w:rPr>
                <w:rFonts w:ascii="仿宋" w:hAnsi="仿宋" w:eastAsia="仿宋" w:cs="仿宋"/>
                <w:sz w:val="21"/>
                <w:szCs w:val="21"/>
              </w:rPr>
              <w:t xml:space="preserve">  </w:t>
            </w:r>
            <w:r>
              <w:rPr>
                <w:rFonts w:ascii="仿宋" w:hAnsi="仿宋" w:eastAsia="仿宋" w:cs="仿宋"/>
                <w:spacing w:val="-10"/>
                <w:sz w:val="21"/>
                <w:szCs w:val="21"/>
              </w:rPr>
              <w:t>塘、水田、</w:t>
            </w:r>
            <w:r>
              <w:rPr>
                <w:rFonts w:ascii="仿宋" w:hAnsi="仿宋" w:eastAsia="仿宋" w:cs="仿宋"/>
                <w:spacing w:val="2"/>
                <w:sz w:val="21"/>
                <w:szCs w:val="21"/>
              </w:rPr>
              <w:t xml:space="preserve"> </w:t>
            </w:r>
            <w:r>
              <w:rPr>
                <w:rFonts w:ascii="仿宋" w:hAnsi="仿宋" w:eastAsia="仿宋" w:cs="仿宋"/>
                <w:spacing w:val="-3"/>
                <w:sz w:val="21"/>
                <w:szCs w:val="21"/>
              </w:rPr>
              <w:t>水塘、沟渠</w:t>
            </w:r>
          </w:p>
        </w:tc>
        <w:tc>
          <w:tcPr>
            <w:tcW w:w="894" w:type="dxa"/>
            <w:vAlign w:val="top"/>
          </w:tcPr>
          <w:p>
            <w:pPr>
              <w:pStyle w:val="6"/>
              <w:spacing w:before="69" w:line="251" w:lineRule="auto"/>
              <w:ind w:left="198" w:right="163" w:hanging="53"/>
              <w:jc w:val="right"/>
              <w:rPr>
                <w:rFonts w:ascii="仿宋" w:hAnsi="仿宋" w:eastAsia="仿宋" w:cs="仿宋"/>
              </w:rPr>
            </w:pPr>
            <w:r>
              <w:rPr>
                <w:rFonts w:ascii="仿宋" w:hAnsi="仿宋" w:eastAsia="仿宋" w:cs="仿宋"/>
                <w:spacing w:val="-17"/>
              </w:rPr>
              <w:t>访查、</w:t>
            </w:r>
            <w:r>
              <w:rPr>
                <w:rFonts w:ascii="仿宋" w:hAnsi="仿宋" w:eastAsia="仿宋" w:cs="仿宋"/>
              </w:rPr>
              <w:t xml:space="preserve"> </w:t>
            </w: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right w:val="nil"/>
            </w:tcBorders>
            <w:vAlign w:val="top"/>
          </w:tcPr>
          <w:p>
            <w:pPr>
              <w:spacing w:before="227" w:line="247" w:lineRule="auto"/>
              <w:ind w:left="620" w:right="186" w:hanging="414"/>
              <w:rPr>
                <w:rFonts w:ascii="仿宋" w:hAnsi="仿宋" w:eastAsia="仿宋" w:cs="仿宋"/>
                <w:sz w:val="21"/>
                <w:szCs w:val="21"/>
              </w:rPr>
            </w:pPr>
            <w:r>
              <w:rPr>
                <w:rFonts w:ascii="仿宋" w:hAnsi="仿宋" w:eastAsia="仿宋" w:cs="仿宋"/>
                <w:spacing w:val="-5"/>
                <w:sz w:val="21"/>
                <w:szCs w:val="21"/>
              </w:rPr>
              <w:t>引入经济鱼</w:t>
            </w:r>
            <w:r>
              <w:rPr>
                <w:rFonts w:ascii="仿宋" w:hAnsi="仿宋" w:eastAsia="仿宋" w:cs="仿宋"/>
                <w:spacing w:val="2"/>
                <w:sz w:val="21"/>
                <w:szCs w:val="21"/>
              </w:rPr>
              <w:t xml:space="preserve"> </w:t>
            </w:r>
            <w:r>
              <w:rPr>
                <w:rFonts w:ascii="仿宋" w:hAnsi="仿宋" w:eastAsia="仿宋" w:cs="仿宋"/>
                <w:sz w:val="21"/>
                <w:szCs w:val="21"/>
              </w:rPr>
              <w:t>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590" w:type="dxa"/>
            <w:tcBorders>
              <w:left w:val="nil"/>
            </w:tcBorders>
            <w:vAlign w:val="top"/>
          </w:tcPr>
          <w:p>
            <w:pPr>
              <w:pStyle w:val="6"/>
              <w:spacing w:before="111" w:line="188" w:lineRule="auto"/>
              <w:ind w:left="190"/>
            </w:pPr>
            <w:r>
              <w:rPr>
                <w:b/>
                <w:bCs/>
                <w:spacing w:val="-2"/>
              </w:rPr>
              <w:t>F9</w:t>
            </w:r>
          </w:p>
        </w:tc>
        <w:tc>
          <w:tcPr>
            <w:tcW w:w="1210" w:type="dxa"/>
            <w:vAlign w:val="top"/>
          </w:tcPr>
          <w:p>
            <w:pPr>
              <w:spacing w:before="75" w:line="202" w:lineRule="auto"/>
              <w:ind w:left="193"/>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鰕虎鱼科</w:t>
            </w:r>
          </w:p>
        </w:tc>
        <w:tc>
          <w:tcPr>
            <w:tcW w:w="2048" w:type="dxa"/>
            <w:vAlign w:val="top"/>
          </w:tcPr>
          <w:p>
            <w:pPr>
              <w:pStyle w:val="6"/>
              <w:spacing w:before="110" w:line="189" w:lineRule="auto"/>
              <w:ind w:left="620"/>
            </w:pPr>
            <w:r>
              <w:rPr>
                <w:b/>
                <w:bCs/>
                <w:spacing w:val="-1"/>
              </w:rPr>
              <w:t>Gobiidae</w:t>
            </w:r>
          </w:p>
        </w:tc>
        <w:tc>
          <w:tcPr>
            <w:tcW w:w="701" w:type="dxa"/>
            <w:vAlign w:val="top"/>
          </w:tcPr>
          <w:p>
            <w:pPr>
              <w:rPr>
                <w:rFonts w:ascii="Arial"/>
                <w:sz w:val="21"/>
              </w:rPr>
            </w:pPr>
          </w:p>
        </w:tc>
        <w:tc>
          <w:tcPr>
            <w:tcW w:w="1454" w:type="dxa"/>
            <w:vAlign w:val="top"/>
          </w:tcPr>
          <w:p>
            <w:pPr>
              <w:rPr>
                <w:rFonts w:ascii="Arial"/>
                <w:sz w:val="21"/>
              </w:rPr>
            </w:pPr>
          </w:p>
        </w:tc>
        <w:tc>
          <w:tcPr>
            <w:tcW w:w="894" w:type="dxa"/>
            <w:vAlign w:val="top"/>
          </w:tcPr>
          <w:p>
            <w:pPr>
              <w:rPr>
                <w:rFonts w:ascii="Arial"/>
                <w:sz w:val="21"/>
              </w:rPr>
            </w:pPr>
          </w:p>
        </w:tc>
        <w:tc>
          <w:tcPr>
            <w:tcW w:w="1424"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62" w:hRule="atLeast"/>
        </w:trPr>
        <w:tc>
          <w:tcPr>
            <w:tcW w:w="590" w:type="dxa"/>
            <w:tcBorders>
              <w:left w:val="nil"/>
              <w:bottom w:val="single" w:color="000000" w:sz="12" w:space="0"/>
            </w:tcBorders>
            <w:vAlign w:val="top"/>
          </w:tcPr>
          <w:p>
            <w:pPr>
              <w:spacing w:line="363" w:lineRule="auto"/>
              <w:rPr>
                <w:rFonts w:ascii="Arial"/>
                <w:sz w:val="21"/>
              </w:rPr>
            </w:pPr>
          </w:p>
          <w:p>
            <w:pPr>
              <w:pStyle w:val="6"/>
              <w:spacing w:before="61" w:line="188" w:lineRule="auto"/>
              <w:ind w:left="221"/>
            </w:pPr>
            <w:r>
              <w:rPr>
                <w:spacing w:val="-6"/>
              </w:rPr>
              <w:t>19</w:t>
            </w:r>
          </w:p>
        </w:tc>
        <w:tc>
          <w:tcPr>
            <w:tcW w:w="1210" w:type="dxa"/>
            <w:tcBorders>
              <w:bottom w:val="single" w:color="000000" w:sz="12" w:space="0"/>
            </w:tcBorders>
            <w:vAlign w:val="top"/>
          </w:tcPr>
          <w:p>
            <w:pPr>
              <w:spacing w:before="233" w:line="247" w:lineRule="auto"/>
              <w:ind w:left="407" w:right="183" w:hanging="203"/>
              <w:rPr>
                <w:rFonts w:ascii="仿宋" w:hAnsi="仿宋" w:eastAsia="仿宋" w:cs="仿宋"/>
                <w:sz w:val="21"/>
                <w:szCs w:val="21"/>
              </w:rPr>
            </w:pPr>
            <w:r>
              <w:rPr>
                <w:rFonts w:ascii="仿宋" w:hAnsi="仿宋" w:eastAsia="仿宋" w:cs="仿宋"/>
                <w:spacing w:val="-6"/>
                <w:sz w:val="21"/>
                <w:szCs w:val="21"/>
              </w:rPr>
              <w:t>子陵吻鰕</w:t>
            </w:r>
            <w:r>
              <w:rPr>
                <w:rFonts w:ascii="仿宋" w:hAnsi="仿宋" w:eastAsia="仿宋" w:cs="仿宋"/>
                <w:sz w:val="21"/>
                <w:szCs w:val="21"/>
              </w:rPr>
              <w:t xml:space="preserve"> </w:t>
            </w:r>
            <w:r>
              <w:rPr>
                <w:rFonts w:ascii="仿宋" w:hAnsi="仿宋" w:eastAsia="仿宋" w:cs="仿宋"/>
                <w:spacing w:val="-5"/>
                <w:sz w:val="21"/>
                <w:szCs w:val="21"/>
              </w:rPr>
              <w:t>虎鱼</w:t>
            </w:r>
          </w:p>
        </w:tc>
        <w:tc>
          <w:tcPr>
            <w:tcW w:w="2048" w:type="dxa"/>
            <w:tcBorders>
              <w:bottom w:val="single" w:color="000000" w:sz="12" w:space="0"/>
            </w:tcBorders>
            <w:vAlign w:val="top"/>
          </w:tcPr>
          <w:p>
            <w:pPr>
              <w:spacing w:line="360" w:lineRule="auto"/>
              <w:rPr>
                <w:rFonts w:ascii="Arial"/>
                <w:sz w:val="21"/>
              </w:rPr>
            </w:pPr>
          </w:p>
          <w:p>
            <w:pPr>
              <w:pStyle w:val="6"/>
              <w:spacing w:before="60" w:line="192" w:lineRule="auto"/>
              <w:ind w:left="108"/>
            </w:pPr>
            <w:r>
              <w:rPr>
                <w:i/>
                <w:iCs/>
                <w:spacing w:val="3"/>
              </w:rPr>
              <w:t>Rhinogobiusgiurinus</w:t>
            </w:r>
          </w:p>
        </w:tc>
        <w:tc>
          <w:tcPr>
            <w:tcW w:w="701" w:type="dxa"/>
            <w:tcBorders>
              <w:bottom w:val="single" w:color="000000" w:sz="12" w:space="0"/>
            </w:tcBorders>
            <w:vAlign w:val="top"/>
          </w:tcPr>
          <w:p>
            <w:pPr>
              <w:rPr>
                <w:rFonts w:ascii="Arial"/>
                <w:sz w:val="21"/>
              </w:rPr>
            </w:pPr>
          </w:p>
        </w:tc>
        <w:tc>
          <w:tcPr>
            <w:tcW w:w="1454" w:type="dxa"/>
            <w:tcBorders>
              <w:bottom w:val="single" w:color="000000" w:sz="12" w:space="0"/>
            </w:tcBorders>
            <w:vAlign w:val="top"/>
          </w:tcPr>
          <w:p>
            <w:pPr>
              <w:spacing w:before="76" w:line="247" w:lineRule="auto"/>
              <w:ind w:left="212" w:right="234" w:firstLine="104"/>
              <w:rPr>
                <w:rFonts w:ascii="仿宋" w:hAnsi="仿宋" w:eastAsia="仿宋" w:cs="仿宋"/>
                <w:sz w:val="21"/>
                <w:szCs w:val="21"/>
              </w:rPr>
            </w:pPr>
            <w:r>
              <w:rPr>
                <w:rFonts w:ascii="仿宋" w:hAnsi="仿宋" w:eastAsia="仿宋" w:cs="仿宋"/>
                <w:spacing w:val="-4"/>
                <w:sz w:val="21"/>
                <w:szCs w:val="21"/>
              </w:rPr>
              <w:t>水库、鱼</w:t>
            </w:r>
            <w:r>
              <w:rPr>
                <w:rFonts w:ascii="仿宋" w:hAnsi="仿宋" w:eastAsia="仿宋" w:cs="仿宋"/>
                <w:spacing w:val="1"/>
                <w:sz w:val="21"/>
                <w:szCs w:val="21"/>
              </w:rPr>
              <w:t xml:space="preserve"> </w:t>
            </w:r>
            <w:r>
              <w:rPr>
                <w:rFonts w:ascii="仿宋" w:hAnsi="仿宋" w:eastAsia="仿宋" w:cs="仿宋"/>
                <w:spacing w:val="-10"/>
                <w:sz w:val="21"/>
                <w:szCs w:val="21"/>
              </w:rPr>
              <w:t>塘、水塘、</w:t>
            </w:r>
          </w:p>
          <w:p>
            <w:pPr>
              <w:spacing w:before="62" w:line="219" w:lineRule="auto"/>
              <w:ind w:left="529"/>
              <w:rPr>
                <w:rFonts w:ascii="仿宋" w:hAnsi="仿宋" w:eastAsia="仿宋" w:cs="仿宋"/>
                <w:sz w:val="21"/>
                <w:szCs w:val="21"/>
              </w:rPr>
            </w:pPr>
            <w:r>
              <w:rPr>
                <w:rFonts w:ascii="仿宋" w:hAnsi="仿宋" w:eastAsia="仿宋" w:cs="仿宋"/>
                <w:spacing w:val="-4"/>
                <w:sz w:val="21"/>
                <w:szCs w:val="21"/>
              </w:rPr>
              <w:t>沟渠</w:t>
            </w:r>
          </w:p>
        </w:tc>
        <w:tc>
          <w:tcPr>
            <w:tcW w:w="894" w:type="dxa"/>
            <w:tcBorders>
              <w:bottom w:val="single" w:color="000000" w:sz="12" w:space="0"/>
            </w:tcBorders>
            <w:vAlign w:val="top"/>
          </w:tcPr>
          <w:p>
            <w:pPr>
              <w:pStyle w:val="6"/>
              <w:spacing w:before="77" w:line="256" w:lineRule="auto"/>
              <w:ind w:left="198" w:right="163" w:hanging="53"/>
              <w:jc w:val="right"/>
              <w:rPr>
                <w:rFonts w:ascii="仿宋" w:hAnsi="仿宋" w:eastAsia="仿宋" w:cs="仿宋"/>
              </w:rPr>
            </w:pPr>
            <w:r>
              <w:rPr>
                <w:rFonts w:ascii="仿宋" w:hAnsi="仿宋" w:eastAsia="仿宋" w:cs="仿宋"/>
                <w:spacing w:val="-17"/>
              </w:rPr>
              <w:t>访查、</w:t>
            </w:r>
            <w:r>
              <w:rPr>
                <w:rFonts w:ascii="仿宋" w:hAnsi="仿宋" w:eastAsia="仿宋" w:cs="仿宋"/>
              </w:rPr>
              <w:t xml:space="preserve"> </w:t>
            </w:r>
            <w:r>
              <w:rPr>
                <w:rFonts w:ascii="仿宋" w:hAnsi="仿宋" w:eastAsia="仿宋" w:cs="仿宋"/>
                <w:spacing w:val="-9"/>
              </w:rPr>
              <w:t>资料</w:t>
            </w:r>
            <w:r>
              <w:rPr>
                <w:spacing w:val="-9"/>
              </w:rPr>
              <w:t>+</w:t>
            </w:r>
            <w:r>
              <w:rPr>
                <w:spacing w:val="1"/>
              </w:rPr>
              <w:t xml:space="preserve"> </w:t>
            </w:r>
            <w:r>
              <w:rPr>
                <w:rFonts w:ascii="仿宋" w:hAnsi="仿宋" w:eastAsia="仿宋" w:cs="仿宋"/>
                <w:spacing w:val="-7"/>
              </w:rPr>
              <w:t>生境</w:t>
            </w:r>
          </w:p>
        </w:tc>
        <w:tc>
          <w:tcPr>
            <w:tcW w:w="1424" w:type="dxa"/>
            <w:tcBorders>
              <w:bottom w:val="single" w:color="000000" w:sz="12" w:space="0"/>
              <w:right w:val="nil"/>
            </w:tcBorders>
            <w:vAlign w:val="top"/>
          </w:tcPr>
          <w:p>
            <w:pPr>
              <w:spacing w:before="234" w:line="247" w:lineRule="auto"/>
              <w:ind w:left="621" w:right="186" w:hanging="420"/>
              <w:rPr>
                <w:rFonts w:ascii="仿宋" w:hAnsi="仿宋" w:eastAsia="仿宋" w:cs="仿宋"/>
                <w:sz w:val="21"/>
                <w:szCs w:val="21"/>
              </w:rPr>
            </w:pPr>
            <w:r>
              <w:rPr>
                <w:rFonts w:ascii="仿宋" w:hAnsi="仿宋" w:eastAsia="仿宋" w:cs="仿宋"/>
                <w:spacing w:val="-4"/>
                <w:sz w:val="21"/>
                <w:szCs w:val="21"/>
              </w:rPr>
              <w:t>土著经济鱼</w:t>
            </w:r>
            <w:r>
              <w:rPr>
                <w:rFonts w:ascii="仿宋" w:hAnsi="仿宋" w:eastAsia="仿宋" w:cs="仿宋"/>
                <w:spacing w:val="2"/>
                <w:sz w:val="21"/>
                <w:szCs w:val="21"/>
              </w:rPr>
              <w:t xml:space="preserve"> </w:t>
            </w:r>
            <w:r>
              <w:rPr>
                <w:rFonts w:ascii="仿宋" w:hAnsi="仿宋" w:eastAsia="仿宋" w:cs="仿宋"/>
                <w:sz w:val="21"/>
                <w:szCs w:val="21"/>
              </w:rPr>
              <w:t>类</w:t>
            </w:r>
          </w:p>
        </w:tc>
      </w:tr>
    </w:tbl>
    <w:p>
      <w:pPr>
        <w:spacing w:before="114" w:line="360" w:lineRule="auto"/>
        <w:ind w:left="43" w:right="454" w:firstLine="475"/>
        <w:rPr>
          <w:rFonts w:ascii="宋体" w:hAnsi="宋体" w:eastAsia="宋体" w:cs="宋体"/>
          <w:sz w:val="24"/>
          <w:szCs w:val="24"/>
        </w:rPr>
      </w:pPr>
      <w:r>
        <w:rPr>
          <w:rFonts w:ascii="宋体" w:hAnsi="宋体" w:eastAsia="宋体" w:cs="宋体"/>
          <w:spacing w:val="-12"/>
          <w:sz w:val="24"/>
          <w:szCs w:val="24"/>
        </w:rPr>
        <w:t>评价区河段分布有鱼类</w:t>
      </w:r>
      <w:r>
        <w:rPr>
          <w:rFonts w:ascii="宋体" w:hAnsi="宋体" w:eastAsia="宋体" w:cs="宋体"/>
          <w:spacing w:val="-35"/>
          <w:sz w:val="24"/>
          <w:szCs w:val="24"/>
        </w:rPr>
        <w:t xml:space="preserve"> </w:t>
      </w:r>
      <w:r>
        <w:rPr>
          <w:rFonts w:ascii="Times New Roman" w:hAnsi="Times New Roman" w:eastAsia="Times New Roman" w:cs="Times New Roman"/>
          <w:spacing w:val="-12"/>
          <w:sz w:val="24"/>
          <w:szCs w:val="24"/>
        </w:rPr>
        <w:t xml:space="preserve">5  </w:t>
      </w:r>
      <w:r>
        <w:rPr>
          <w:rFonts w:ascii="宋体" w:hAnsi="宋体" w:eastAsia="宋体" w:cs="宋体"/>
          <w:spacing w:val="-12"/>
          <w:sz w:val="24"/>
          <w:szCs w:val="24"/>
        </w:rPr>
        <w:t>目</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 xml:space="preserve">9 </w:t>
      </w:r>
      <w:r>
        <w:rPr>
          <w:rFonts w:ascii="宋体" w:hAnsi="宋体" w:eastAsia="宋体" w:cs="宋体"/>
          <w:spacing w:val="-12"/>
          <w:sz w:val="24"/>
          <w:szCs w:val="24"/>
        </w:rPr>
        <w:t>科</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19</w:t>
      </w:r>
      <w:r>
        <w:rPr>
          <w:rFonts w:ascii="Times New Roman" w:hAnsi="Times New Roman" w:eastAsia="Times New Roman" w:cs="Times New Roman"/>
          <w:spacing w:val="11"/>
          <w:sz w:val="24"/>
          <w:szCs w:val="24"/>
        </w:rPr>
        <w:t xml:space="preserve"> </w:t>
      </w:r>
      <w:r>
        <w:rPr>
          <w:rFonts w:ascii="宋体" w:hAnsi="宋体" w:eastAsia="宋体" w:cs="宋体"/>
          <w:spacing w:val="-12"/>
          <w:sz w:val="24"/>
          <w:szCs w:val="24"/>
        </w:rPr>
        <w:t>属</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 xml:space="preserve">19 </w:t>
      </w:r>
      <w:r>
        <w:rPr>
          <w:rFonts w:ascii="宋体" w:hAnsi="宋体" w:eastAsia="宋体" w:cs="宋体"/>
          <w:spacing w:val="-12"/>
          <w:sz w:val="24"/>
          <w:szCs w:val="24"/>
        </w:rPr>
        <w:t>种，其中棒花鱼、</w:t>
      </w:r>
      <w:r>
        <w:rPr>
          <w:rFonts w:ascii="宋体" w:hAnsi="宋体" w:eastAsia="宋体" w:cs="宋体"/>
          <w:spacing w:val="45"/>
          <w:sz w:val="24"/>
          <w:szCs w:val="24"/>
        </w:rPr>
        <w:t xml:space="preserve"> </w:t>
      </w:r>
      <w:r>
        <w:rPr>
          <w:rFonts w:ascii="宋体" w:hAnsi="宋体" w:eastAsia="宋体" w:cs="宋体"/>
          <w:spacing w:val="-12"/>
          <w:sz w:val="24"/>
          <w:szCs w:val="24"/>
        </w:rPr>
        <w:t>鲫鱼、 鲮、草</w:t>
      </w:r>
      <w:r>
        <w:rPr>
          <w:rFonts w:ascii="宋体" w:hAnsi="宋体" w:eastAsia="宋体" w:cs="宋体"/>
          <w:sz w:val="24"/>
          <w:szCs w:val="24"/>
        </w:rPr>
        <w:t xml:space="preserve"> </w:t>
      </w:r>
      <w:r>
        <w:rPr>
          <w:rFonts w:ascii="宋体" w:hAnsi="宋体" w:eastAsia="宋体" w:cs="宋体"/>
          <w:spacing w:val="-7"/>
          <w:sz w:val="24"/>
          <w:szCs w:val="24"/>
        </w:rPr>
        <w:t>鱼、草鱼、 鲤鱼、 麦穗鱼、食蚊鱼、尼罗罗非鱼等</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9 </w:t>
      </w:r>
      <w:r>
        <w:rPr>
          <w:rFonts w:ascii="宋体" w:hAnsi="宋体" w:eastAsia="宋体" w:cs="宋体"/>
          <w:spacing w:val="-7"/>
          <w:sz w:val="24"/>
          <w:szCs w:val="24"/>
        </w:rPr>
        <w:t>种为引入养殖</w:t>
      </w:r>
      <w:r>
        <w:rPr>
          <w:rFonts w:ascii="宋体" w:hAnsi="宋体" w:eastAsia="宋体" w:cs="宋体"/>
          <w:spacing w:val="-8"/>
          <w:sz w:val="24"/>
          <w:szCs w:val="24"/>
        </w:rPr>
        <w:t>种类，其余</w:t>
      </w:r>
    </w:p>
    <w:p>
      <w:pPr>
        <w:spacing w:before="1" w:line="218" w:lineRule="auto"/>
        <w:ind w:left="58"/>
        <w:rPr>
          <w:rFonts w:ascii="宋体" w:hAnsi="宋体" w:eastAsia="宋体" w:cs="宋体"/>
          <w:sz w:val="24"/>
          <w:szCs w:val="24"/>
        </w:rPr>
      </w:pPr>
      <w:r>
        <w:rPr>
          <w:rFonts w:ascii="Times New Roman" w:hAnsi="Times New Roman" w:eastAsia="Times New Roman" w:cs="Times New Roman"/>
          <w:spacing w:val="-6"/>
          <w:sz w:val="24"/>
          <w:szCs w:val="24"/>
        </w:rPr>
        <w:t xml:space="preserve">12 </w:t>
      </w:r>
      <w:r>
        <w:rPr>
          <w:rFonts w:ascii="宋体" w:hAnsi="宋体" w:eastAsia="宋体" w:cs="宋体"/>
          <w:spacing w:val="-6"/>
          <w:sz w:val="24"/>
          <w:szCs w:val="24"/>
        </w:rPr>
        <w:t>种全部为原产土著鱼类（附录</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5-3</w:t>
      </w:r>
      <w:r>
        <w:rPr>
          <w:rFonts w:ascii="宋体" w:hAnsi="宋体" w:eastAsia="宋体" w:cs="宋体"/>
          <w:spacing w:val="-6"/>
          <w:sz w:val="24"/>
          <w:szCs w:val="24"/>
        </w:rPr>
        <w:t>）。</w:t>
      </w:r>
    </w:p>
    <w:p>
      <w:pPr>
        <w:spacing w:before="183" w:line="360" w:lineRule="auto"/>
        <w:ind w:left="42" w:right="343" w:firstLine="476"/>
        <w:rPr>
          <w:rFonts w:ascii="宋体" w:hAnsi="宋体" w:eastAsia="宋体" w:cs="宋体"/>
          <w:sz w:val="24"/>
          <w:szCs w:val="24"/>
        </w:rPr>
      </w:pPr>
      <w:r>
        <w:rPr>
          <w:rFonts w:ascii="宋体" w:hAnsi="宋体" w:eastAsia="宋体" w:cs="宋体"/>
          <w:spacing w:val="-11"/>
          <w:sz w:val="24"/>
          <w:szCs w:val="24"/>
        </w:rPr>
        <w:t>在</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 xml:space="preserve">6 </w:t>
      </w:r>
      <w:r>
        <w:rPr>
          <w:rFonts w:ascii="宋体" w:hAnsi="宋体" w:eastAsia="宋体" w:cs="宋体"/>
          <w:spacing w:val="-11"/>
          <w:sz w:val="24"/>
          <w:szCs w:val="24"/>
        </w:rPr>
        <w:t>个科中，以鲤科、</w:t>
      </w:r>
      <w:r>
        <w:rPr>
          <w:rFonts w:ascii="宋体" w:hAnsi="宋体" w:eastAsia="宋体" w:cs="宋体"/>
          <w:spacing w:val="42"/>
          <w:sz w:val="24"/>
          <w:szCs w:val="24"/>
        </w:rPr>
        <w:t xml:space="preserve"> </w:t>
      </w:r>
      <w:r>
        <w:rPr>
          <w:rFonts w:ascii="宋体" w:hAnsi="宋体" w:eastAsia="宋体" w:cs="宋体"/>
          <w:spacing w:val="-11"/>
          <w:sz w:val="24"/>
          <w:szCs w:val="24"/>
        </w:rPr>
        <w:t>鮡科和鳅科的种类最多，分别有</w:t>
      </w:r>
      <w:r>
        <w:rPr>
          <w:rFonts w:ascii="宋体" w:hAnsi="宋体" w:eastAsia="宋体" w:cs="宋体"/>
          <w:spacing w:val="-46"/>
          <w:sz w:val="24"/>
          <w:szCs w:val="24"/>
        </w:rPr>
        <w:t xml:space="preserve"> </w:t>
      </w:r>
      <w:r>
        <w:rPr>
          <w:rFonts w:ascii="Times New Roman" w:hAnsi="Times New Roman" w:eastAsia="Times New Roman" w:cs="Times New Roman"/>
          <w:spacing w:val="-11"/>
          <w:sz w:val="24"/>
          <w:szCs w:val="24"/>
        </w:rPr>
        <w:t xml:space="preserve">8 </w:t>
      </w:r>
      <w:r>
        <w:rPr>
          <w:rFonts w:ascii="宋体" w:hAnsi="宋体" w:eastAsia="宋体" w:cs="宋体"/>
          <w:spacing w:val="-11"/>
          <w:sz w:val="24"/>
          <w:szCs w:val="24"/>
        </w:rPr>
        <w:t>种、</w:t>
      </w:r>
      <w:r>
        <w:rPr>
          <w:rFonts w:ascii="宋体" w:hAnsi="宋体" w:eastAsia="宋体" w:cs="宋体"/>
          <w:spacing w:val="-37"/>
          <w:sz w:val="24"/>
          <w:szCs w:val="24"/>
        </w:rPr>
        <w:t xml:space="preserve"> </w:t>
      </w:r>
      <w:r>
        <w:rPr>
          <w:rFonts w:ascii="Times New Roman" w:hAnsi="Times New Roman" w:eastAsia="Times New Roman" w:cs="Times New Roman"/>
          <w:spacing w:val="-11"/>
          <w:sz w:val="24"/>
          <w:szCs w:val="24"/>
        </w:rPr>
        <w:t xml:space="preserve">3 </w:t>
      </w:r>
      <w:r>
        <w:rPr>
          <w:rFonts w:ascii="宋体" w:hAnsi="宋体" w:eastAsia="宋体" w:cs="宋体"/>
          <w:spacing w:val="-11"/>
          <w:sz w:val="24"/>
          <w:szCs w:val="24"/>
        </w:rPr>
        <w:t>种、</w:t>
      </w:r>
      <w:r>
        <w:rPr>
          <w:rFonts w:ascii="宋体" w:hAnsi="宋体" w:eastAsia="宋体" w:cs="宋体"/>
          <w:spacing w:val="-43"/>
          <w:sz w:val="24"/>
          <w:szCs w:val="24"/>
        </w:rPr>
        <w:t xml:space="preserve"> </w:t>
      </w:r>
      <w:r>
        <w:rPr>
          <w:rFonts w:ascii="Times New Roman" w:hAnsi="Times New Roman" w:eastAsia="Times New Roman" w:cs="Times New Roman"/>
          <w:spacing w:val="-11"/>
          <w:sz w:val="24"/>
          <w:szCs w:val="24"/>
        </w:rPr>
        <w:t xml:space="preserve">2 </w:t>
      </w:r>
      <w:r>
        <w:rPr>
          <w:rFonts w:ascii="宋体" w:hAnsi="宋体" w:eastAsia="宋体" w:cs="宋体"/>
          <w:spacing w:val="-11"/>
          <w:sz w:val="24"/>
          <w:szCs w:val="24"/>
        </w:rPr>
        <w:t>种，</w:t>
      </w:r>
      <w:r>
        <w:rPr>
          <w:rFonts w:ascii="宋体" w:hAnsi="宋体" w:eastAsia="宋体" w:cs="宋体"/>
          <w:sz w:val="24"/>
          <w:szCs w:val="24"/>
        </w:rPr>
        <w:t xml:space="preserve"> </w:t>
      </w:r>
      <w:r>
        <w:rPr>
          <w:rFonts w:ascii="宋体" w:hAnsi="宋体" w:eastAsia="宋体" w:cs="宋体"/>
          <w:spacing w:val="-5"/>
          <w:sz w:val="24"/>
          <w:szCs w:val="24"/>
        </w:rPr>
        <w:t>分别占全部鱼类种数的</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42.11%</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15.79%</w:t>
      </w:r>
      <w:r>
        <w:rPr>
          <w:rFonts w:ascii="Times New Roman" w:hAnsi="Times New Roman" w:eastAsia="Times New Roman" w:cs="Times New Roman"/>
          <w:spacing w:val="-33"/>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10.53%</w:t>
      </w:r>
      <w:r>
        <w:rPr>
          <w:rFonts w:ascii="宋体" w:hAnsi="宋体" w:eastAsia="宋体" w:cs="宋体"/>
          <w:spacing w:val="-5"/>
          <w:sz w:val="24"/>
          <w:szCs w:val="24"/>
        </w:rPr>
        <w:t xml:space="preserve">；其余各科均为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种，</w:t>
      </w:r>
      <w:r>
        <w:rPr>
          <w:rFonts w:ascii="宋体" w:hAnsi="宋体" w:eastAsia="宋体" w:cs="宋体"/>
          <w:spacing w:val="-27"/>
          <w:sz w:val="24"/>
          <w:szCs w:val="24"/>
        </w:rPr>
        <w:t xml:space="preserve"> </w:t>
      </w:r>
      <w:r>
        <w:rPr>
          <w:rFonts w:ascii="宋体" w:hAnsi="宋体" w:eastAsia="宋体" w:cs="宋体"/>
          <w:spacing w:val="-6"/>
          <w:sz w:val="24"/>
          <w:szCs w:val="24"/>
        </w:rPr>
        <w:t>分别占</w:t>
      </w:r>
    </w:p>
    <w:p>
      <w:pPr>
        <w:spacing w:line="233" w:lineRule="auto"/>
        <w:ind w:left="39"/>
        <w:rPr>
          <w:rFonts w:ascii="宋体" w:hAnsi="宋体" w:eastAsia="宋体" w:cs="宋体"/>
          <w:sz w:val="24"/>
          <w:szCs w:val="24"/>
        </w:rPr>
      </w:pPr>
      <w:r>
        <w:rPr>
          <w:rFonts w:ascii="宋体" w:hAnsi="宋体" w:eastAsia="宋体" w:cs="宋体"/>
          <w:spacing w:val="-2"/>
          <w:sz w:val="24"/>
          <w:szCs w:val="24"/>
        </w:rPr>
        <w:t>全部鱼类物种数的</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5.26%</w:t>
      </w:r>
      <w:r>
        <w:rPr>
          <w:rFonts w:ascii="宋体" w:hAnsi="宋体" w:eastAsia="宋体" w:cs="宋体"/>
          <w:spacing w:val="-2"/>
          <w:sz w:val="24"/>
          <w:szCs w:val="24"/>
        </w:rPr>
        <w:t>。</w:t>
      </w:r>
    </w:p>
    <w:p>
      <w:pPr>
        <w:spacing w:before="164" w:line="220" w:lineRule="auto"/>
        <w:ind w:left="519"/>
        <w:rPr>
          <w:rFonts w:ascii="宋体" w:hAnsi="宋体" w:eastAsia="宋体" w:cs="宋体"/>
          <w:sz w:val="24"/>
          <w:szCs w:val="24"/>
        </w:rPr>
      </w:pPr>
      <w:r>
        <w:rPr>
          <w:rFonts w:ascii="宋体" w:hAnsi="宋体" w:eastAsia="宋体" w:cs="宋体"/>
          <w:spacing w:val="-6"/>
          <w:sz w:val="24"/>
          <w:szCs w:val="24"/>
        </w:rPr>
        <w:t>根据香农威纳指数公式：</w:t>
      </w:r>
    </w:p>
    <w:p>
      <w:pPr>
        <w:spacing w:before="183" w:line="212" w:lineRule="auto"/>
        <w:ind w:left="514"/>
        <w:rPr>
          <w:rFonts w:ascii="宋体" w:hAnsi="宋体" w:eastAsia="宋体" w:cs="宋体"/>
          <w:sz w:val="24"/>
          <w:szCs w:val="24"/>
        </w:rPr>
      </w:pPr>
      <w:r>
        <w:rPr>
          <w:rFonts w:ascii="Times New Roman" w:hAnsi="Times New Roman" w:eastAsia="Times New Roman" w:cs="Times New Roman"/>
          <w:spacing w:val="3"/>
          <w:sz w:val="24"/>
          <w:szCs w:val="24"/>
        </w:rPr>
        <w:t>H = -</w:t>
      </w:r>
      <w:r>
        <w:rPr>
          <w:rFonts w:ascii="Times New Roman" w:hAnsi="Times New Roman" w:eastAsia="Times New Roman" w:cs="Times New Roman"/>
          <w:spacing w:val="8"/>
          <w:sz w:val="24"/>
          <w:szCs w:val="24"/>
        </w:rPr>
        <w:t xml:space="preserve"> </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r>
        <w:rPr>
          <w:rFonts w:ascii="Times New Roman" w:hAnsi="Times New Roman" w:eastAsia="Times New Roman" w:cs="Times New Roman"/>
          <w:sz w:val="24"/>
          <w:szCs w:val="24"/>
        </w:rPr>
        <w:t>P</w:t>
      </w:r>
      <w:r>
        <w:rPr>
          <w:rFonts w:ascii="Times New Roman" w:hAnsi="Times New Roman" w:eastAsia="Times New Roman" w:cs="Times New Roman"/>
          <w:sz w:val="15"/>
          <w:szCs w:val="15"/>
        </w:rPr>
        <w:t>i</w:t>
      </w:r>
      <w:r>
        <w:rPr>
          <w:rFonts w:ascii="宋体" w:hAnsi="宋体" w:eastAsia="宋体" w:cs="宋体"/>
          <w:spacing w:val="-66"/>
          <w:w w:val="96"/>
          <w:sz w:val="24"/>
          <w:szCs w:val="24"/>
        </w:rPr>
        <w:t>）（</w:t>
      </w:r>
      <w:r>
        <w:rPr>
          <w:rFonts w:ascii="Times New Roman" w:hAnsi="Times New Roman" w:eastAsia="Times New Roman" w:cs="Times New Roman"/>
          <w:sz w:val="24"/>
          <w:szCs w:val="24"/>
        </w:rPr>
        <w:t>lnP</w:t>
      </w:r>
      <w:r>
        <w:rPr>
          <w:rFonts w:ascii="Times New Roman" w:hAnsi="Times New Roman" w:eastAsia="Times New Roman" w:cs="Times New Roman"/>
          <w:sz w:val="15"/>
          <w:szCs w:val="15"/>
        </w:rPr>
        <w:t>i</w:t>
      </w:r>
      <w:r>
        <w:rPr>
          <w:rFonts w:ascii="宋体" w:hAnsi="宋体" w:eastAsia="宋体" w:cs="宋体"/>
          <w:spacing w:val="3"/>
          <w:sz w:val="24"/>
          <w:szCs w:val="24"/>
        </w:rPr>
        <w:t>）</w:t>
      </w:r>
    </w:p>
    <w:p>
      <w:pPr>
        <w:spacing w:before="192" w:line="468" w:lineRule="exact"/>
        <w:ind w:left="514"/>
        <w:rPr>
          <w:rFonts w:ascii="宋体" w:hAnsi="宋体" w:eastAsia="宋体" w:cs="宋体"/>
          <w:sz w:val="24"/>
          <w:szCs w:val="24"/>
        </w:rPr>
      </w:pPr>
      <w:r>
        <w:rPr>
          <w:rFonts w:ascii="Times New Roman" w:hAnsi="Times New Roman" w:eastAsia="Times New Roman" w:cs="Times New Roman"/>
          <w:spacing w:val="-5"/>
          <w:position w:val="17"/>
          <w:sz w:val="24"/>
          <w:szCs w:val="24"/>
        </w:rPr>
        <w:t>H—</w:t>
      </w:r>
      <w:r>
        <w:rPr>
          <w:rFonts w:ascii="宋体" w:hAnsi="宋体" w:eastAsia="宋体" w:cs="宋体"/>
          <w:spacing w:val="-5"/>
          <w:position w:val="17"/>
          <w:sz w:val="24"/>
          <w:szCs w:val="24"/>
        </w:rPr>
        <w:t>群落的多样性指数；</w:t>
      </w:r>
    </w:p>
    <w:p>
      <w:pPr>
        <w:spacing w:before="1" w:line="219" w:lineRule="auto"/>
        <w:ind w:left="525"/>
        <w:rPr>
          <w:rFonts w:ascii="宋体" w:hAnsi="宋体" w:eastAsia="宋体" w:cs="宋体"/>
          <w:sz w:val="24"/>
          <w:szCs w:val="24"/>
        </w:rPr>
      </w:pPr>
      <w:r>
        <w:rPr>
          <w:rFonts w:ascii="Times New Roman" w:hAnsi="Times New Roman" w:eastAsia="Times New Roman" w:cs="Times New Roman"/>
          <w:spacing w:val="-10"/>
          <w:sz w:val="24"/>
          <w:szCs w:val="24"/>
        </w:rPr>
        <w:t>S—</w:t>
      </w:r>
      <w:r>
        <w:rPr>
          <w:rFonts w:ascii="宋体" w:hAnsi="宋体" w:eastAsia="宋体" w:cs="宋体"/>
          <w:spacing w:val="-10"/>
          <w:sz w:val="24"/>
          <w:szCs w:val="24"/>
        </w:rPr>
        <w:t>种数；</w:t>
      </w:r>
    </w:p>
    <w:p>
      <w:pPr>
        <w:spacing w:before="182" w:line="468" w:lineRule="exact"/>
        <w:ind w:left="514"/>
        <w:rPr>
          <w:rFonts w:ascii="宋体" w:hAnsi="宋体" w:eastAsia="宋体" w:cs="宋体"/>
          <w:sz w:val="24"/>
          <w:szCs w:val="24"/>
        </w:rPr>
      </w:pPr>
      <w:r>
        <w:rPr>
          <w:rFonts w:ascii="Times New Roman" w:hAnsi="Times New Roman" w:eastAsia="Times New Roman" w:cs="Times New Roman"/>
          <w:spacing w:val="-1"/>
          <w:position w:val="16"/>
          <w:sz w:val="24"/>
          <w:szCs w:val="24"/>
        </w:rPr>
        <w:t>P</w:t>
      </w:r>
      <w:r>
        <w:rPr>
          <w:rFonts w:ascii="Times New Roman" w:hAnsi="Times New Roman" w:eastAsia="Times New Roman" w:cs="Times New Roman"/>
          <w:spacing w:val="-1"/>
          <w:position w:val="16"/>
          <w:sz w:val="15"/>
          <w:szCs w:val="15"/>
        </w:rPr>
        <w:t>i</w:t>
      </w:r>
      <w:r>
        <w:rPr>
          <w:rFonts w:ascii="Times New Roman" w:hAnsi="Times New Roman" w:eastAsia="Times New Roman" w:cs="Times New Roman"/>
          <w:spacing w:val="-1"/>
          <w:position w:val="16"/>
          <w:sz w:val="24"/>
          <w:szCs w:val="24"/>
        </w:rPr>
        <w:t>—</w:t>
      </w:r>
      <w:r>
        <w:rPr>
          <w:rFonts w:ascii="宋体" w:hAnsi="宋体" w:eastAsia="宋体" w:cs="宋体"/>
          <w:spacing w:val="-1"/>
          <w:position w:val="16"/>
          <w:sz w:val="24"/>
          <w:szCs w:val="24"/>
        </w:rPr>
        <w:t>样品种属于第</w:t>
      </w:r>
      <w:r>
        <w:rPr>
          <w:rFonts w:ascii="宋体" w:hAnsi="宋体" w:eastAsia="宋体" w:cs="宋体"/>
          <w:spacing w:val="-44"/>
          <w:position w:val="16"/>
          <w:sz w:val="24"/>
          <w:szCs w:val="24"/>
        </w:rPr>
        <w:t xml:space="preserve"> </w:t>
      </w:r>
      <w:r>
        <w:rPr>
          <w:rFonts w:ascii="Times New Roman" w:hAnsi="Times New Roman" w:eastAsia="Times New Roman" w:cs="Times New Roman"/>
          <w:spacing w:val="-1"/>
          <w:position w:val="16"/>
          <w:sz w:val="24"/>
          <w:szCs w:val="24"/>
        </w:rPr>
        <w:t xml:space="preserve">i </w:t>
      </w:r>
      <w:r>
        <w:rPr>
          <w:rFonts w:ascii="宋体" w:hAnsi="宋体" w:eastAsia="宋体" w:cs="宋体"/>
          <w:spacing w:val="-1"/>
          <w:position w:val="16"/>
          <w:sz w:val="24"/>
          <w:szCs w:val="24"/>
        </w:rPr>
        <w:t>种的个体比例，如样品总个体数为</w:t>
      </w:r>
      <w:r>
        <w:rPr>
          <w:rFonts w:ascii="宋体" w:hAnsi="宋体" w:eastAsia="宋体" w:cs="宋体"/>
          <w:spacing w:val="-63"/>
          <w:position w:val="16"/>
          <w:sz w:val="24"/>
          <w:szCs w:val="24"/>
        </w:rPr>
        <w:t xml:space="preserve"> </w:t>
      </w:r>
      <w:r>
        <w:rPr>
          <w:rFonts w:ascii="Times New Roman" w:hAnsi="Times New Roman" w:eastAsia="Times New Roman" w:cs="Times New Roman"/>
          <w:spacing w:val="-1"/>
          <w:position w:val="16"/>
          <w:sz w:val="24"/>
          <w:szCs w:val="24"/>
        </w:rPr>
        <w:t>N</w:t>
      </w:r>
      <w:r>
        <w:rPr>
          <w:rFonts w:ascii="宋体" w:hAnsi="宋体" w:eastAsia="宋体" w:cs="宋体"/>
          <w:spacing w:val="-1"/>
          <w:position w:val="16"/>
          <w:sz w:val="24"/>
          <w:szCs w:val="24"/>
        </w:rPr>
        <w:t>，第</w:t>
      </w:r>
      <w:r>
        <w:rPr>
          <w:rFonts w:ascii="宋体" w:hAnsi="宋体" w:eastAsia="宋体" w:cs="宋体"/>
          <w:spacing w:val="-37"/>
          <w:position w:val="16"/>
          <w:sz w:val="24"/>
          <w:szCs w:val="24"/>
        </w:rPr>
        <w:t xml:space="preserve"> </w:t>
      </w:r>
      <w:r>
        <w:rPr>
          <w:rFonts w:ascii="Times New Roman" w:hAnsi="Times New Roman" w:eastAsia="Times New Roman" w:cs="Times New Roman"/>
          <w:spacing w:val="-1"/>
          <w:position w:val="16"/>
          <w:sz w:val="24"/>
          <w:szCs w:val="24"/>
        </w:rPr>
        <w:t xml:space="preserve">i </w:t>
      </w:r>
      <w:r>
        <w:rPr>
          <w:rFonts w:ascii="宋体" w:hAnsi="宋体" w:eastAsia="宋体" w:cs="宋体"/>
          <w:spacing w:val="-1"/>
          <w:position w:val="16"/>
          <w:sz w:val="24"/>
          <w:szCs w:val="24"/>
        </w:rPr>
        <w:t>种个体数为</w:t>
      </w:r>
    </w:p>
    <w:p>
      <w:pPr>
        <w:spacing w:line="234" w:lineRule="auto"/>
        <w:ind w:left="31"/>
        <w:rPr>
          <w:rFonts w:ascii="宋体" w:hAnsi="宋体" w:eastAsia="宋体" w:cs="宋体"/>
          <w:sz w:val="24"/>
          <w:szCs w:val="24"/>
        </w:rPr>
      </w:pPr>
      <w:r>
        <w:rPr>
          <w:rFonts w:ascii="Times New Roman" w:hAnsi="Times New Roman" w:eastAsia="Times New Roman" w:cs="Times New Roman"/>
          <w:sz w:val="24"/>
          <w:szCs w:val="24"/>
        </w:rPr>
        <w:t>n</w:t>
      </w:r>
      <w:r>
        <w:rPr>
          <w:rFonts w:ascii="Times New Roman" w:hAnsi="Times New Roman" w:eastAsia="Times New Roman" w:cs="Times New Roman"/>
          <w:sz w:val="15"/>
          <w:szCs w:val="15"/>
        </w:rPr>
        <w:t>i</w:t>
      </w:r>
      <w:r>
        <w:rPr>
          <w:rFonts w:ascii="Times New Roman" w:hAnsi="Times New Roman" w:eastAsia="Times New Roman" w:cs="Times New Roman"/>
          <w:spacing w:val="-7"/>
          <w:sz w:val="15"/>
          <w:szCs w:val="15"/>
        </w:rPr>
        <w:t xml:space="preserve"> </w:t>
      </w:r>
      <w:r>
        <w:rPr>
          <w:rFonts w:ascii="宋体" w:hAnsi="宋体" w:eastAsia="宋体" w:cs="宋体"/>
          <w:spacing w:val="-18"/>
          <w:sz w:val="24"/>
          <w:szCs w:val="24"/>
        </w:rPr>
        <w:t>，则</w:t>
      </w:r>
      <w:r>
        <w:rPr>
          <w:rFonts w:ascii="宋体" w:hAnsi="宋体" w:eastAsia="宋体" w:cs="宋体"/>
          <w:spacing w:val="-35"/>
          <w:sz w:val="24"/>
          <w:szCs w:val="24"/>
        </w:rPr>
        <w:t xml:space="preserve"> </w:t>
      </w:r>
      <w:r>
        <w:rPr>
          <w:rFonts w:ascii="Times New Roman" w:hAnsi="Times New Roman" w:eastAsia="Times New Roman" w:cs="Times New Roman"/>
          <w:spacing w:val="-18"/>
          <w:sz w:val="24"/>
          <w:szCs w:val="24"/>
        </w:rPr>
        <w:t>P</w:t>
      </w:r>
      <w:r>
        <w:rPr>
          <w:rFonts w:ascii="Times New Roman" w:hAnsi="Times New Roman" w:eastAsia="Times New Roman" w:cs="Times New Roman"/>
          <w:sz w:val="15"/>
          <w:szCs w:val="15"/>
        </w:rPr>
        <w:t>i</w:t>
      </w:r>
      <w:r>
        <w:rPr>
          <w:rFonts w:ascii="Times New Roman" w:hAnsi="Times New Roman" w:eastAsia="Times New Roman" w:cs="Times New Roman"/>
          <w:spacing w:val="1"/>
          <w:sz w:val="15"/>
          <w:szCs w:val="15"/>
        </w:rPr>
        <w:t xml:space="preserve"> </w:t>
      </w:r>
      <w:r>
        <w:rPr>
          <w:rFonts w:ascii="Times New Roman" w:hAnsi="Times New Roman" w:eastAsia="Times New Roman" w:cs="Times New Roman"/>
          <w:spacing w:val="1"/>
          <w:sz w:val="24"/>
          <w:szCs w:val="24"/>
        </w:rPr>
        <w:t xml:space="preserve">= </w:t>
      </w:r>
      <w:r>
        <w:rPr>
          <w:rFonts w:ascii="Times New Roman" w:hAnsi="Times New Roman" w:eastAsia="Times New Roman" w:cs="Times New Roman"/>
          <w:sz w:val="24"/>
          <w:szCs w:val="24"/>
        </w:rPr>
        <w:t>n</w:t>
      </w:r>
      <w:r>
        <w:rPr>
          <w:rFonts w:ascii="Times New Roman" w:hAnsi="Times New Roman" w:eastAsia="Times New Roman" w:cs="Times New Roman"/>
          <w:sz w:val="15"/>
          <w:szCs w:val="15"/>
        </w:rPr>
        <w:t>i</w:t>
      </w:r>
      <w:r>
        <w:rPr>
          <w:rFonts w:ascii="Times New Roman" w:hAnsi="Times New Roman" w:eastAsia="Times New Roman" w:cs="Times New Roman"/>
          <w:spacing w:val="1"/>
          <w:sz w:val="24"/>
          <w:szCs w:val="24"/>
        </w:rPr>
        <w:t>/N</w:t>
      </w:r>
      <w:r>
        <w:rPr>
          <w:rFonts w:ascii="宋体" w:hAnsi="宋体" w:eastAsia="宋体" w:cs="宋体"/>
          <w:spacing w:val="1"/>
          <w:sz w:val="24"/>
          <w:szCs w:val="24"/>
        </w:rPr>
        <w:t>。</w:t>
      </w:r>
    </w:p>
    <w:p>
      <w:pPr>
        <w:spacing w:before="164" w:line="468" w:lineRule="exact"/>
        <w:ind w:left="520"/>
        <w:rPr>
          <w:rFonts w:ascii="宋体" w:hAnsi="宋体" w:eastAsia="宋体" w:cs="宋体"/>
          <w:sz w:val="24"/>
          <w:szCs w:val="24"/>
        </w:rPr>
      </w:pPr>
      <w:r>
        <w:rPr>
          <w:rFonts w:ascii="宋体" w:hAnsi="宋体" w:eastAsia="宋体" w:cs="宋体"/>
          <w:spacing w:val="-3"/>
          <w:position w:val="17"/>
          <w:sz w:val="24"/>
          <w:szCs w:val="24"/>
        </w:rPr>
        <w:t>本项目鱼类群落多样性指数为</w:t>
      </w:r>
      <w:r>
        <w:rPr>
          <w:rFonts w:ascii="宋体" w:hAnsi="宋体" w:eastAsia="宋体" w:cs="宋体"/>
          <w:spacing w:val="-23"/>
          <w:position w:val="17"/>
          <w:sz w:val="24"/>
          <w:szCs w:val="24"/>
        </w:rPr>
        <w:t xml:space="preserve"> </w:t>
      </w:r>
      <w:r>
        <w:rPr>
          <w:rFonts w:ascii="Times New Roman" w:hAnsi="Times New Roman" w:eastAsia="Times New Roman" w:cs="Times New Roman"/>
          <w:spacing w:val="-3"/>
          <w:position w:val="17"/>
          <w:sz w:val="24"/>
          <w:szCs w:val="24"/>
        </w:rPr>
        <w:t>11.53</w:t>
      </w:r>
      <w:r>
        <w:rPr>
          <w:rFonts w:ascii="宋体" w:hAnsi="宋体" w:eastAsia="宋体" w:cs="宋体"/>
          <w:spacing w:val="-3"/>
          <w:position w:val="17"/>
          <w:sz w:val="24"/>
          <w:szCs w:val="24"/>
        </w:rPr>
        <w:t>。</w:t>
      </w:r>
    </w:p>
    <w:p>
      <w:pPr>
        <w:spacing w:before="1" w:line="219" w:lineRule="auto"/>
        <w:ind w:left="524"/>
        <w:rPr>
          <w:rFonts w:ascii="宋体" w:hAnsi="宋体" w:eastAsia="宋体" w:cs="宋体"/>
          <w:sz w:val="24"/>
          <w:szCs w:val="24"/>
        </w:rPr>
      </w:pPr>
      <w:r>
        <w:rPr>
          <w:rFonts w:ascii="宋体" w:hAnsi="宋体" w:eastAsia="宋体" w:cs="宋体"/>
          <w:spacing w:val="-2"/>
          <w:sz w:val="24"/>
          <w:szCs w:val="24"/>
        </w:rPr>
        <w:t>具体情况见下表。</w:t>
      </w:r>
    </w:p>
    <w:p>
      <w:pPr>
        <w:pStyle w:val="2"/>
        <w:spacing w:before="198" w:line="218" w:lineRule="auto"/>
        <w:ind w:left="2316"/>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3.2-40    </w:t>
      </w:r>
      <w:r>
        <w:rPr>
          <w14:textOutline w14:w="3810" w14:cap="flat" w14:cmpd="sng">
            <w14:solidFill>
              <w14:srgbClr w14:val="000000"/>
            </w14:solidFill>
            <w14:prstDash w14:val="solid"/>
            <w14:miter w14:val="0"/>
          </w14:textOutline>
        </w:rPr>
        <w:t>评价区域各工作点鱼类</w:t>
      </w:r>
      <w:r>
        <w:rPr>
          <w:spacing w:val="-1"/>
          <w14:textOutline w14:w="3810" w14:cap="flat" w14:cmpd="sng">
            <w14:solidFill>
              <w14:srgbClr w14:val="000000"/>
            </w14:solidFill>
            <w14:prstDash w14:val="solid"/>
            <w14:miter w14:val="0"/>
          </w14:textOutline>
        </w:rPr>
        <w:t>分科统计表</w:t>
      </w:r>
    </w:p>
    <w:p>
      <w:pPr>
        <w:spacing w:line="91" w:lineRule="exact"/>
      </w:pPr>
    </w:p>
    <w:tbl>
      <w:tblPr>
        <w:tblStyle w:val="5"/>
        <w:tblW w:w="8629"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4"/>
        <w:gridCol w:w="738"/>
        <w:gridCol w:w="737"/>
        <w:gridCol w:w="850"/>
        <w:gridCol w:w="737"/>
        <w:gridCol w:w="794"/>
        <w:gridCol w:w="850"/>
        <w:gridCol w:w="851"/>
        <w:gridCol w:w="849"/>
        <w:gridCol w:w="680"/>
        <w:gridCol w:w="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3" w:hRule="atLeast"/>
        </w:trPr>
        <w:tc>
          <w:tcPr>
            <w:tcW w:w="864" w:type="dxa"/>
            <w:tcBorders>
              <w:top w:val="single" w:color="000000" w:sz="12" w:space="0"/>
              <w:left w:val="nil"/>
            </w:tcBorders>
            <w:vAlign w:val="top"/>
          </w:tcPr>
          <w:p>
            <w:pPr>
              <w:spacing w:before="165" w:line="220" w:lineRule="auto"/>
              <w:ind w:left="243"/>
              <w:rPr>
                <w:rFonts w:ascii="仿宋" w:hAnsi="仿宋" w:eastAsia="仿宋" w:cs="仿宋"/>
                <w:sz w:val="21"/>
                <w:szCs w:val="21"/>
              </w:rPr>
            </w:pPr>
            <w:r>
              <w:rPr>
                <w:rFonts w:ascii="仿宋" w:hAnsi="仿宋" w:eastAsia="仿宋" w:cs="仿宋"/>
                <w:spacing w:val="-4"/>
                <w:sz w:val="21"/>
                <w:szCs w:val="21"/>
              </w:rPr>
              <w:t>项目</w:t>
            </w:r>
          </w:p>
        </w:tc>
        <w:tc>
          <w:tcPr>
            <w:tcW w:w="738" w:type="dxa"/>
            <w:tcBorders>
              <w:top w:val="single" w:color="000000" w:sz="12" w:space="0"/>
            </w:tcBorders>
            <w:vAlign w:val="top"/>
          </w:tcPr>
          <w:p>
            <w:pPr>
              <w:spacing w:before="166" w:line="218" w:lineRule="auto"/>
              <w:ind w:left="169"/>
              <w:rPr>
                <w:rFonts w:ascii="仿宋" w:hAnsi="仿宋" w:eastAsia="仿宋" w:cs="仿宋"/>
                <w:sz w:val="21"/>
                <w:szCs w:val="21"/>
              </w:rPr>
            </w:pPr>
            <w:r>
              <w:rPr>
                <w:rFonts w:ascii="仿宋" w:hAnsi="仿宋" w:eastAsia="仿宋" w:cs="仿宋"/>
                <w:spacing w:val="-4"/>
                <w:sz w:val="21"/>
                <w:szCs w:val="21"/>
              </w:rPr>
              <w:t>鲤科</w:t>
            </w:r>
          </w:p>
        </w:tc>
        <w:tc>
          <w:tcPr>
            <w:tcW w:w="737" w:type="dxa"/>
            <w:tcBorders>
              <w:top w:val="single" w:color="000000" w:sz="12" w:space="0"/>
            </w:tcBorders>
            <w:vAlign w:val="top"/>
          </w:tcPr>
          <w:p>
            <w:pPr>
              <w:spacing w:before="166" w:line="218" w:lineRule="auto"/>
              <w:ind w:left="169"/>
              <w:rPr>
                <w:rFonts w:ascii="仿宋" w:hAnsi="仿宋" w:eastAsia="仿宋" w:cs="仿宋"/>
                <w:sz w:val="21"/>
                <w:szCs w:val="21"/>
              </w:rPr>
            </w:pPr>
            <w:r>
              <w:rPr>
                <w:rFonts w:ascii="仿宋" w:hAnsi="仿宋" w:eastAsia="仿宋" w:cs="仿宋"/>
                <w:spacing w:val="-4"/>
                <w:sz w:val="21"/>
                <w:szCs w:val="21"/>
              </w:rPr>
              <w:t>鳅科</w:t>
            </w:r>
          </w:p>
        </w:tc>
        <w:tc>
          <w:tcPr>
            <w:tcW w:w="850" w:type="dxa"/>
            <w:tcBorders>
              <w:top w:val="single" w:color="000000" w:sz="12" w:space="0"/>
            </w:tcBorders>
            <w:vAlign w:val="top"/>
          </w:tcPr>
          <w:p>
            <w:pPr>
              <w:spacing w:before="166" w:line="218" w:lineRule="auto"/>
              <w:ind w:left="119"/>
              <w:rPr>
                <w:rFonts w:ascii="仿宋" w:hAnsi="仿宋" w:eastAsia="仿宋" w:cs="仿宋"/>
                <w:sz w:val="21"/>
                <w:szCs w:val="21"/>
              </w:rPr>
            </w:pPr>
            <w:r>
              <w:rPr>
                <w:rFonts w:ascii="仿宋" w:hAnsi="仿宋" w:eastAsia="仿宋" w:cs="仿宋"/>
                <w:spacing w:val="-3"/>
                <w:sz w:val="21"/>
                <w:szCs w:val="21"/>
              </w:rPr>
              <w:t>爬鳅科</w:t>
            </w:r>
          </w:p>
        </w:tc>
        <w:tc>
          <w:tcPr>
            <w:tcW w:w="737" w:type="dxa"/>
            <w:tcBorders>
              <w:top w:val="single" w:color="000000" w:sz="12" w:space="0"/>
            </w:tcBorders>
            <w:vAlign w:val="top"/>
          </w:tcPr>
          <w:p>
            <w:pPr>
              <w:spacing w:before="166" w:line="218" w:lineRule="auto"/>
              <w:ind w:left="171"/>
              <w:rPr>
                <w:rFonts w:ascii="仿宋" w:hAnsi="仿宋" w:eastAsia="仿宋" w:cs="仿宋"/>
                <w:sz w:val="21"/>
                <w:szCs w:val="21"/>
              </w:rPr>
            </w:pPr>
            <w:r>
              <w:rPr>
                <w:rFonts w:ascii="仿宋" w:hAnsi="仿宋" w:eastAsia="仿宋" w:cs="仿宋"/>
                <w:spacing w:val="-4"/>
                <w:sz w:val="21"/>
                <w:szCs w:val="21"/>
              </w:rPr>
              <w:t>鮡科</w:t>
            </w:r>
          </w:p>
        </w:tc>
        <w:tc>
          <w:tcPr>
            <w:tcW w:w="794" w:type="dxa"/>
            <w:tcBorders>
              <w:top w:val="single" w:color="000000" w:sz="12" w:space="0"/>
            </w:tcBorders>
            <w:vAlign w:val="top"/>
          </w:tcPr>
          <w:p>
            <w:pPr>
              <w:spacing w:before="30" w:line="239" w:lineRule="auto"/>
              <w:ind w:left="204"/>
              <w:rPr>
                <w:rFonts w:ascii="仿宋" w:hAnsi="仿宋" w:eastAsia="仿宋" w:cs="仿宋"/>
                <w:sz w:val="21"/>
                <w:szCs w:val="21"/>
              </w:rPr>
            </w:pPr>
            <w:r>
              <w:rPr>
                <w:rFonts w:ascii="仿宋" w:hAnsi="仿宋" w:eastAsia="仿宋" w:cs="仿宋"/>
                <w:spacing w:val="-5"/>
                <w:sz w:val="21"/>
                <w:szCs w:val="21"/>
              </w:rPr>
              <w:t>合鳃</w:t>
            </w:r>
          </w:p>
          <w:p>
            <w:pPr>
              <w:spacing w:line="194" w:lineRule="auto"/>
              <w:ind w:left="205"/>
              <w:rPr>
                <w:rFonts w:ascii="仿宋" w:hAnsi="仿宋" w:eastAsia="仿宋" w:cs="仿宋"/>
                <w:sz w:val="21"/>
                <w:szCs w:val="21"/>
              </w:rPr>
            </w:pPr>
            <w:r>
              <w:rPr>
                <w:rFonts w:ascii="仿宋" w:hAnsi="仿宋" w:eastAsia="仿宋" w:cs="仿宋"/>
                <w:spacing w:val="-6"/>
                <w:sz w:val="21"/>
                <w:szCs w:val="21"/>
              </w:rPr>
              <w:t>鱼科</w:t>
            </w:r>
          </w:p>
        </w:tc>
        <w:tc>
          <w:tcPr>
            <w:tcW w:w="850" w:type="dxa"/>
            <w:tcBorders>
              <w:top w:val="single" w:color="000000" w:sz="12" w:space="0"/>
            </w:tcBorders>
            <w:vAlign w:val="top"/>
          </w:tcPr>
          <w:p>
            <w:pPr>
              <w:spacing w:before="166" w:line="218" w:lineRule="auto"/>
              <w:ind w:left="120"/>
              <w:rPr>
                <w:rFonts w:ascii="仿宋" w:hAnsi="仿宋" w:eastAsia="仿宋" w:cs="仿宋"/>
                <w:sz w:val="21"/>
                <w:szCs w:val="21"/>
              </w:rPr>
            </w:pPr>
            <w:r>
              <w:rPr>
                <w:rFonts w:ascii="仿宋" w:hAnsi="仿宋" w:eastAsia="仿宋" w:cs="仿宋"/>
                <w:spacing w:val="-4"/>
                <w:sz w:val="21"/>
                <w:szCs w:val="21"/>
              </w:rPr>
              <w:t>胎鳉科</w:t>
            </w:r>
          </w:p>
        </w:tc>
        <w:tc>
          <w:tcPr>
            <w:tcW w:w="851" w:type="dxa"/>
            <w:tcBorders>
              <w:top w:val="single" w:color="000000" w:sz="12" w:space="0"/>
            </w:tcBorders>
            <w:vAlign w:val="top"/>
          </w:tcPr>
          <w:p>
            <w:pPr>
              <w:spacing w:before="166" w:line="218" w:lineRule="auto"/>
              <w:ind w:left="126"/>
              <w:rPr>
                <w:rFonts w:ascii="仿宋" w:hAnsi="仿宋" w:eastAsia="仿宋" w:cs="仿宋"/>
                <w:sz w:val="21"/>
                <w:szCs w:val="21"/>
              </w:rPr>
            </w:pPr>
            <w:r>
              <w:rPr>
                <w:rFonts w:ascii="仿宋" w:hAnsi="仿宋" w:eastAsia="仿宋" w:cs="仿宋"/>
                <w:spacing w:val="-5"/>
                <w:sz w:val="21"/>
                <w:szCs w:val="21"/>
              </w:rPr>
              <w:t>青鳉科</w:t>
            </w:r>
          </w:p>
        </w:tc>
        <w:tc>
          <w:tcPr>
            <w:tcW w:w="849" w:type="dxa"/>
            <w:tcBorders>
              <w:top w:val="single" w:color="000000" w:sz="12" w:space="0"/>
            </w:tcBorders>
            <w:vAlign w:val="top"/>
          </w:tcPr>
          <w:p>
            <w:pPr>
              <w:spacing w:before="166" w:line="218" w:lineRule="auto"/>
              <w:ind w:left="133"/>
              <w:rPr>
                <w:rFonts w:ascii="仿宋" w:hAnsi="仿宋" w:eastAsia="仿宋" w:cs="仿宋"/>
                <w:sz w:val="21"/>
                <w:szCs w:val="21"/>
              </w:rPr>
            </w:pPr>
            <w:r>
              <w:rPr>
                <w:rFonts w:ascii="仿宋" w:hAnsi="仿宋" w:eastAsia="仿宋" w:cs="仿宋"/>
                <w:spacing w:val="-7"/>
                <w:sz w:val="21"/>
                <w:szCs w:val="21"/>
              </w:rPr>
              <w:t>慈鲷科</w:t>
            </w:r>
          </w:p>
        </w:tc>
        <w:tc>
          <w:tcPr>
            <w:tcW w:w="680" w:type="dxa"/>
            <w:tcBorders>
              <w:top w:val="single" w:color="000000" w:sz="12" w:space="0"/>
            </w:tcBorders>
            <w:vAlign w:val="top"/>
          </w:tcPr>
          <w:p>
            <w:pPr>
              <w:spacing w:before="29" w:line="217" w:lineRule="auto"/>
              <w:ind w:left="148" w:right="127" w:hanging="8"/>
              <w:rPr>
                <w:rFonts w:ascii="仿宋" w:hAnsi="仿宋" w:eastAsia="仿宋" w:cs="仿宋"/>
                <w:sz w:val="21"/>
                <w:szCs w:val="21"/>
              </w:rPr>
            </w:pPr>
            <w:r>
              <w:rPr>
                <w:rFonts w:ascii="仿宋" w:hAnsi="仿宋" w:eastAsia="仿宋" w:cs="仿宋"/>
                <w:spacing w:val="-7"/>
                <w:sz w:val="21"/>
                <w:szCs w:val="21"/>
              </w:rPr>
              <w:t>鰕虎</w:t>
            </w:r>
            <w:r>
              <w:rPr>
                <w:rFonts w:ascii="仿宋" w:hAnsi="仿宋" w:eastAsia="仿宋" w:cs="仿宋"/>
                <w:sz w:val="21"/>
                <w:szCs w:val="21"/>
              </w:rPr>
              <w:t xml:space="preserve"> </w:t>
            </w:r>
            <w:r>
              <w:rPr>
                <w:rFonts w:ascii="仿宋" w:hAnsi="仿宋" w:eastAsia="仿宋" w:cs="仿宋"/>
                <w:spacing w:val="-11"/>
                <w:sz w:val="21"/>
                <w:szCs w:val="21"/>
              </w:rPr>
              <w:t>鱼科</w:t>
            </w:r>
          </w:p>
        </w:tc>
        <w:tc>
          <w:tcPr>
            <w:tcW w:w="679" w:type="dxa"/>
            <w:tcBorders>
              <w:top w:val="single" w:color="000000" w:sz="12" w:space="0"/>
              <w:right w:val="nil"/>
            </w:tcBorders>
            <w:vAlign w:val="top"/>
          </w:tcPr>
          <w:p>
            <w:pPr>
              <w:spacing w:before="166" w:line="218" w:lineRule="auto"/>
              <w:ind w:left="146"/>
              <w:rPr>
                <w:rFonts w:ascii="仿宋" w:hAnsi="仿宋" w:eastAsia="仿宋" w:cs="仿宋"/>
                <w:sz w:val="21"/>
                <w:szCs w:val="21"/>
              </w:rPr>
            </w:pPr>
            <w:r>
              <w:rPr>
                <w:rFonts w:ascii="仿宋" w:hAnsi="仿宋" w:eastAsia="仿宋" w:cs="仿宋"/>
                <w:spacing w:val="-5"/>
                <w:sz w:val="21"/>
                <w:szCs w:val="21"/>
              </w:rPr>
              <w:t>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 w:hRule="atLeast"/>
        </w:trPr>
        <w:tc>
          <w:tcPr>
            <w:tcW w:w="864" w:type="dxa"/>
            <w:tcBorders>
              <w:left w:val="nil"/>
            </w:tcBorders>
            <w:vAlign w:val="top"/>
          </w:tcPr>
          <w:p>
            <w:pPr>
              <w:spacing w:before="47" w:line="188" w:lineRule="auto"/>
              <w:ind w:left="243"/>
              <w:rPr>
                <w:rFonts w:ascii="仿宋" w:hAnsi="仿宋" w:eastAsia="仿宋" w:cs="仿宋"/>
                <w:sz w:val="21"/>
                <w:szCs w:val="21"/>
              </w:rPr>
            </w:pPr>
            <w:r>
              <w:rPr>
                <w:rFonts w:ascii="仿宋" w:hAnsi="仿宋" w:eastAsia="仿宋" w:cs="仿宋"/>
                <w:spacing w:val="-4"/>
                <w:sz w:val="21"/>
                <w:szCs w:val="21"/>
              </w:rPr>
              <w:t>属数</w:t>
            </w:r>
          </w:p>
        </w:tc>
        <w:tc>
          <w:tcPr>
            <w:tcW w:w="738" w:type="dxa"/>
            <w:vAlign w:val="top"/>
          </w:tcPr>
          <w:p>
            <w:pPr>
              <w:pStyle w:val="6"/>
              <w:spacing w:before="85" w:line="174" w:lineRule="auto"/>
              <w:ind w:left="325"/>
            </w:pPr>
            <w:r>
              <w:t>8</w:t>
            </w:r>
          </w:p>
        </w:tc>
        <w:tc>
          <w:tcPr>
            <w:tcW w:w="737" w:type="dxa"/>
            <w:vAlign w:val="top"/>
          </w:tcPr>
          <w:p>
            <w:pPr>
              <w:pStyle w:val="6"/>
              <w:spacing w:before="85" w:line="174" w:lineRule="auto"/>
              <w:ind w:left="317"/>
            </w:pPr>
            <w:r>
              <w:t>2</w:t>
            </w:r>
          </w:p>
        </w:tc>
        <w:tc>
          <w:tcPr>
            <w:tcW w:w="850" w:type="dxa"/>
            <w:vAlign w:val="top"/>
          </w:tcPr>
          <w:p>
            <w:pPr>
              <w:pStyle w:val="6"/>
              <w:spacing w:before="85" w:line="174" w:lineRule="auto"/>
              <w:ind w:left="393"/>
            </w:pPr>
            <w:r>
              <w:t>1</w:t>
            </w:r>
          </w:p>
        </w:tc>
        <w:tc>
          <w:tcPr>
            <w:tcW w:w="737" w:type="dxa"/>
            <w:vAlign w:val="top"/>
          </w:tcPr>
          <w:p>
            <w:pPr>
              <w:pStyle w:val="6"/>
              <w:spacing w:before="85" w:line="174" w:lineRule="auto"/>
              <w:ind w:left="321"/>
            </w:pPr>
            <w:r>
              <w:t>3</w:t>
            </w:r>
          </w:p>
        </w:tc>
        <w:tc>
          <w:tcPr>
            <w:tcW w:w="794" w:type="dxa"/>
            <w:vAlign w:val="top"/>
          </w:tcPr>
          <w:p>
            <w:pPr>
              <w:pStyle w:val="6"/>
              <w:spacing w:before="85" w:line="174" w:lineRule="auto"/>
              <w:ind w:left="366"/>
            </w:pPr>
            <w:r>
              <w:t>1</w:t>
            </w:r>
          </w:p>
        </w:tc>
        <w:tc>
          <w:tcPr>
            <w:tcW w:w="850" w:type="dxa"/>
            <w:vAlign w:val="top"/>
          </w:tcPr>
          <w:p>
            <w:pPr>
              <w:pStyle w:val="6"/>
              <w:spacing w:before="85" w:line="174" w:lineRule="auto"/>
              <w:ind w:left="394"/>
            </w:pPr>
            <w:r>
              <w:t>1</w:t>
            </w:r>
          </w:p>
        </w:tc>
        <w:tc>
          <w:tcPr>
            <w:tcW w:w="851" w:type="dxa"/>
            <w:vAlign w:val="top"/>
          </w:tcPr>
          <w:p>
            <w:pPr>
              <w:pStyle w:val="6"/>
              <w:spacing w:before="85" w:line="174" w:lineRule="auto"/>
              <w:ind w:left="393"/>
            </w:pPr>
            <w:r>
              <w:t>1</w:t>
            </w:r>
          </w:p>
        </w:tc>
        <w:tc>
          <w:tcPr>
            <w:tcW w:w="849" w:type="dxa"/>
            <w:vAlign w:val="top"/>
          </w:tcPr>
          <w:p>
            <w:pPr>
              <w:pStyle w:val="6"/>
              <w:spacing w:before="85" w:line="174" w:lineRule="auto"/>
              <w:ind w:left="392"/>
            </w:pPr>
            <w:r>
              <w:t>1</w:t>
            </w:r>
          </w:p>
        </w:tc>
        <w:tc>
          <w:tcPr>
            <w:tcW w:w="680" w:type="dxa"/>
            <w:vAlign w:val="top"/>
          </w:tcPr>
          <w:p>
            <w:pPr>
              <w:pStyle w:val="6"/>
              <w:spacing w:before="85" w:line="174" w:lineRule="auto"/>
              <w:ind w:left="310"/>
            </w:pPr>
            <w:r>
              <w:t>1</w:t>
            </w:r>
          </w:p>
        </w:tc>
        <w:tc>
          <w:tcPr>
            <w:tcW w:w="679" w:type="dxa"/>
            <w:tcBorders>
              <w:right w:val="nil"/>
            </w:tcBorders>
            <w:vAlign w:val="top"/>
          </w:tcPr>
          <w:p>
            <w:pPr>
              <w:pStyle w:val="6"/>
              <w:spacing w:before="85" w:line="174" w:lineRule="auto"/>
              <w:ind w:left="256"/>
            </w:pPr>
            <w:r>
              <w:rPr>
                <w:spacing w:val="-6"/>
              </w:rPr>
              <w:t>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94" w:hRule="atLeast"/>
        </w:trPr>
        <w:tc>
          <w:tcPr>
            <w:tcW w:w="864" w:type="dxa"/>
            <w:tcBorders>
              <w:left w:val="nil"/>
              <w:bottom w:val="single" w:color="000000" w:sz="12" w:space="0"/>
            </w:tcBorders>
            <w:vAlign w:val="top"/>
          </w:tcPr>
          <w:p>
            <w:pPr>
              <w:spacing w:before="53" w:line="203" w:lineRule="auto"/>
              <w:ind w:left="244"/>
              <w:rPr>
                <w:rFonts w:ascii="仿宋" w:hAnsi="仿宋" w:eastAsia="仿宋" w:cs="仿宋"/>
                <w:sz w:val="21"/>
                <w:szCs w:val="21"/>
              </w:rPr>
            </w:pPr>
            <w:r>
              <w:rPr>
                <w:rFonts w:ascii="仿宋" w:hAnsi="仿宋" w:eastAsia="仿宋" w:cs="仿宋"/>
                <w:spacing w:val="-4"/>
                <w:sz w:val="21"/>
                <w:szCs w:val="21"/>
              </w:rPr>
              <w:t>种数</w:t>
            </w:r>
          </w:p>
        </w:tc>
        <w:tc>
          <w:tcPr>
            <w:tcW w:w="738" w:type="dxa"/>
            <w:tcBorders>
              <w:bottom w:val="single" w:color="000000" w:sz="12" w:space="0"/>
            </w:tcBorders>
            <w:vAlign w:val="top"/>
          </w:tcPr>
          <w:p>
            <w:pPr>
              <w:pStyle w:val="6"/>
              <w:spacing w:before="91" w:line="186" w:lineRule="auto"/>
              <w:ind w:left="325"/>
            </w:pPr>
            <w:r>
              <w:t>8</w:t>
            </w:r>
          </w:p>
        </w:tc>
        <w:tc>
          <w:tcPr>
            <w:tcW w:w="737" w:type="dxa"/>
            <w:tcBorders>
              <w:bottom w:val="single" w:color="000000" w:sz="12" w:space="0"/>
            </w:tcBorders>
            <w:vAlign w:val="top"/>
          </w:tcPr>
          <w:p>
            <w:pPr>
              <w:pStyle w:val="6"/>
              <w:spacing w:before="91" w:line="186" w:lineRule="auto"/>
              <w:ind w:left="317"/>
            </w:pPr>
            <w:r>
              <w:t>2</w:t>
            </w:r>
          </w:p>
        </w:tc>
        <w:tc>
          <w:tcPr>
            <w:tcW w:w="850" w:type="dxa"/>
            <w:tcBorders>
              <w:bottom w:val="single" w:color="000000" w:sz="12" w:space="0"/>
            </w:tcBorders>
            <w:vAlign w:val="top"/>
          </w:tcPr>
          <w:p>
            <w:pPr>
              <w:pStyle w:val="6"/>
              <w:spacing w:before="91" w:line="186" w:lineRule="auto"/>
              <w:ind w:left="393"/>
            </w:pPr>
            <w:r>
              <w:t>1</w:t>
            </w:r>
          </w:p>
        </w:tc>
        <w:tc>
          <w:tcPr>
            <w:tcW w:w="737" w:type="dxa"/>
            <w:tcBorders>
              <w:bottom w:val="single" w:color="000000" w:sz="12" w:space="0"/>
            </w:tcBorders>
            <w:vAlign w:val="top"/>
          </w:tcPr>
          <w:p>
            <w:pPr>
              <w:pStyle w:val="6"/>
              <w:spacing w:before="91" w:line="186" w:lineRule="auto"/>
              <w:ind w:left="321"/>
            </w:pPr>
            <w:r>
              <w:t>3</w:t>
            </w:r>
          </w:p>
        </w:tc>
        <w:tc>
          <w:tcPr>
            <w:tcW w:w="794" w:type="dxa"/>
            <w:tcBorders>
              <w:bottom w:val="single" w:color="000000" w:sz="12" w:space="0"/>
            </w:tcBorders>
            <w:vAlign w:val="top"/>
          </w:tcPr>
          <w:p>
            <w:pPr>
              <w:pStyle w:val="6"/>
              <w:spacing w:before="91" w:line="186" w:lineRule="auto"/>
              <w:ind w:left="366"/>
            </w:pPr>
            <w:r>
              <w:t>1</w:t>
            </w:r>
          </w:p>
        </w:tc>
        <w:tc>
          <w:tcPr>
            <w:tcW w:w="850" w:type="dxa"/>
            <w:tcBorders>
              <w:bottom w:val="single" w:color="000000" w:sz="12" w:space="0"/>
            </w:tcBorders>
            <w:vAlign w:val="top"/>
          </w:tcPr>
          <w:p>
            <w:pPr>
              <w:pStyle w:val="6"/>
              <w:spacing w:before="91" w:line="186" w:lineRule="auto"/>
              <w:ind w:left="394"/>
            </w:pPr>
            <w:r>
              <w:t>1</w:t>
            </w:r>
          </w:p>
        </w:tc>
        <w:tc>
          <w:tcPr>
            <w:tcW w:w="851" w:type="dxa"/>
            <w:tcBorders>
              <w:bottom w:val="single" w:color="000000" w:sz="12" w:space="0"/>
            </w:tcBorders>
            <w:vAlign w:val="top"/>
          </w:tcPr>
          <w:p>
            <w:pPr>
              <w:pStyle w:val="6"/>
              <w:spacing w:before="91" w:line="186" w:lineRule="auto"/>
              <w:ind w:left="393"/>
            </w:pPr>
            <w:r>
              <w:t>1</w:t>
            </w:r>
          </w:p>
        </w:tc>
        <w:tc>
          <w:tcPr>
            <w:tcW w:w="849" w:type="dxa"/>
            <w:tcBorders>
              <w:bottom w:val="single" w:color="000000" w:sz="12" w:space="0"/>
            </w:tcBorders>
            <w:vAlign w:val="top"/>
          </w:tcPr>
          <w:p>
            <w:pPr>
              <w:pStyle w:val="6"/>
              <w:spacing w:before="91" w:line="186" w:lineRule="auto"/>
              <w:ind w:left="392"/>
            </w:pPr>
            <w:r>
              <w:t>1</w:t>
            </w:r>
          </w:p>
        </w:tc>
        <w:tc>
          <w:tcPr>
            <w:tcW w:w="680" w:type="dxa"/>
            <w:tcBorders>
              <w:bottom w:val="single" w:color="000000" w:sz="12" w:space="0"/>
            </w:tcBorders>
            <w:vAlign w:val="top"/>
          </w:tcPr>
          <w:p>
            <w:pPr>
              <w:pStyle w:val="6"/>
              <w:spacing w:before="91" w:line="186" w:lineRule="auto"/>
              <w:ind w:left="310"/>
            </w:pPr>
            <w:r>
              <w:t>1</w:t>
            </w:r>
          </w:p>
        </w:tc>
        <w:tc>
          <w:tcPr>
            <w:tcW w:w="679" w:type="dxa"/>
            <w:tcBorders>
              <w:bottom w:val="single" w:color="000000" w:sz="12" w:space="0"/>
              <w:right w:val="nil"/>
            </w:tcBorders>
            <w:vAlign w:val="top"/>
          </w:tcPr>
          <w:p>
            <w:pPr>
              <w:pStyle w:val="6"/>
              <w:spacing w:before="91" w:line="186" w:lineRule="auto"/>
              <w:ind w:left="256"/>
            </w:pPr>
            <w:r>
              <w:rPr>
                <w:spacing w:val="-6"/>
              </w:rPr>
              <w:t>19</w:t>
            </w:r>
          </w:p>
        </w:tc>
      </w:tr>
    </w:tbl>
    <w:p>
      <w:pPr>
        <w:spacing w:line="67" w:lineRule="exact"/>
        <w:rPr>
          <w:rFonts w:ascii="Arial"/>
          <w:sz w:val="5"/>
        </w:rPr>
      </w:pPr>
    </w:p>
    <w:p>
      <w:pPr>
        <w:spacing w:line="67" w:lineRule="exact"/>
        <w:rPr>
          <w:rFonts w:ascii="Arial" w:hAnsi="Arial" w:eastAsia="Arial" w:cs="Arial"/>
          <w:sz w:val="5"/>
          <w:szCs w:val="5"/>
        </w:rPr>
        <w:sectPr>
          <w:headerReference r:id="rId323" w:type="default"/>
          <w:footerReference r:id="rId324" w:type="default"/>
          <w:pgSz w:w="11907" w:h="16839"/>
          <w:pgMar w:top="1156" w:right="1490" w:bottom="1374" w:left="1770" w:header="881" w:footer="1210" w:gutter="0"/>
        </w:sectPr>
      </w:pPr>
    </w:p>
    <w:p>
      <w:pPr>
        <w:spacing w:before="41"/>
      </w:pPr>
    </w:p>
    <w:tbl>
      <w:tblPr>
        <w:tblStyle w:val="5"/>
        <w:tblW w:w="8629" w:type="dxa"/>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64"/>
        <w:gridCol w:w="738"/>
        <w:gridCol w:w="737"/>
        <w:gridCol w:w="850"/>
        <w:gridCol w:w="737"/>
        <w:gridCol w:w="794"/>
        <w:gridCol w:w="850"/>
        <w:gridCol w:w="851"/>
        <w:gridCol w:w="849"/>
        <w:gridCol w:w="680"/>
        <w:gridCol w:w="67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44" w:hRule="atLeast"/>
        </w:trPr>
        <w:tc>
          <w:tcPr>
            <w:tcW w:w="864" w:type="dxa"/>
            <w:tcBorders>
              <w:left w:val="nil"/>
              <w:right w:val="single" w:color="000000" w:sz="2" w:space="0"/>
            </w:tcBorders>
            <w:vAlign w:val="top"/>
          </w:tcPr>
          <w:p>
            <w:pPr>
              <w:pStyle w:val="6"/>
              <w:spacing w:before="31" w:line="221" w:lineRule="auto"/>
              <w:ind w:left="258" w:right="107" w:hanging="85"/>
            </w:pPr>
            <w:r>
              <w:rPr>
                <w:rFonts w:ascii="仿宋" w:hAnsi="仿宋" w:eastAsia="仿宋" w:cs="仿宋"/>
                <w:spacing w:val="-17"/>
              </w:rPr>
              <w:t>占总种</w:t>
            </w:r>
            <w:r>
              <w:rPr>
                <w:rFonts w:ascii="仿宋" w:hAnsi="仿宋" w:eastAsia="仿宋" w:cs="仿宋"/>
              </w:rPr>
              <w:t xml:space="preserve"> </w:t>
            </w:r>
            <w:r>
              <w:rPr>
                <w:rFonts w:ascii="仿宋" w:hAnsi="仿宋" w:eastAsia="仿宋" w:cs="仿宋"/>
                <w:spacing w:val="-7"/>
              </w:rPr>
              <w:t>数</w:t>
            </w:r>
            <w:r>
              <w:rPr>
                <w:spacing w:val="-7"/>
              </w:rPr>
              <w:t>%</w:t>
            </w:r>
          </w:p>
        </w:tc>
        <w:tc>
          <w:tcPr>
            <w:tcW w:w="738" w:type="dxa"/>
            <w:tcBorders>
              <w:left w:val="single" w:color="000000" w:sz="2" w:space="0"/>
              <w:right w:val="single" w:color="000000" w:sz="2" w:space="0"/>
            </w:tcBorders>
            <w:vAlign w:val="top"/>
          </w:tcPr>
          <w:p>
            <w:pPr>
              <w:pStyle w:val="6"/>
              <w:spacing w:before="204" w:line="186" w:lineRule="auto"/>
              <w:ind w:left="132"/>
            </w:pPr>
            <w:r>
              <w:rPr>
                <w:spacing w:val="-1"/>
              </w:rPr>
              <w:t>42.11</w:t>
            </w:r>
          </w:p>
        </w:tc>
        <w:tc>
          <w:tcPr>
            <w:tcW w:w="737" w:type="dxa"/>
            <w:tcBorders>
              <w:left w:val="single" w:color="000000" w:sz="2" w:space="0"/>
              <w:right w:val="single" w:color="000000" w:sz="2" w:space="0"/>
            </w:tcBorders>
            <w:vAlign w:val="top"/>
          </w:tcPr>
          <w:p>
            <w:pPr>
              <w:pStyle w:val="6"/>
              <w:spacing w:before="204" w:line="186" w:lineRule="auto"/>
              <w:ind w:left="154"/>
            </w:pPr>
            <w:r>
              <w:rPr>
                <w:spacing w:val="-5"/>
              </w:rPr>
              <w:t>10.53</w:t>
            </w:r>
          </w:p>
        </w:tc>
        <w:tc>
          <w:tcPr>
            <w:tcW w:w="850" w:type="dxa"/>
            <w:tcBorders>
              <w:left w:val="single" w:color="000000" w:sz="2" w:space="0"/>
              <w:right w:val="single" w:color="000000" w:sz="2" w:space="0"/>
            </w:tcBorders>
            <w:vAlign w:val="top"/>
          </w:tcPr>
          <w:p>
            <w:pPr>
              <w:pStyle w:val="6"/>
              <w:spacing w:before="204" w:line="186" w:lineRule="auto"/>
              <w:ind w:left="248"/>
            </w:pPr>
            <w:r>
              <w:rPr>
                <w:spacing w:val="-3"/>
              </w:rPr>
              <w:t>5.26</w:t>
            </w:r>
          </w:p>
        </w:tc>
        <w:tc>
          <w:tcPr>
            <w:tcW w:w="737" w:type="dxa"/>
            <w:tcBorders>
              <w:left w:val="single" w:color="000000" w:sz="2" w:space="0"/>
              <w:right w:val="single" w:color="000000" w:sz="2" w:space="0"/>
            </w:tcBorders>
            <w:vAlign w:val="top"/>
          </w:tcPr>
          <w:p>
            <w:pPr>
              <w:pStyle w:val="6"/>
              <w:spacing w:before="204" w:line="186" w:lineRule="auto"/>
              <w:ind w:left="153"/>
            </w:pPr>
            <w:r>
              <w:rPr>
                <w:spacing w:val="-5"/>
              </w:rPr>
              <w:t>15.79</w:t>
            </w:r>
          </w:p>
        </w:tc>
        <w:tc>
          <w:tcPr>
            <w:tcW w:w="794" w:type="dxa"/>
            <w:tcBorders>
              <w:left w:val="single" w:color="000000" w:sz="2" w:space="0"/>
              <w:right w:val="single" w:color="000000" w:sz="2" w:space="0"/>
            </w:tcBorders>
            <w:vAlign w:val="top"/>
          </w:tcPr>
          <w:p>
            <w:pPr>
              <w:pStyle w:val="6"/>
              <w:spacing w:before="204" w:line="186" w:lineRule="auto"/>
              <w:ind w:left="220"/>
            </w:pPr>
            <w:r>
              <w:rPr>
                <w:spacing w:val="-3"/>
              </w:rPr>
              <w:t>5.26</w:t>
            </w:r>
          </w:p>
        </w:tc>
        <w:tc>
          <w:tcPr>
            <w:tcW w:w="850" w:type="dxa"/>
            <w:tcBorders>
              <w:left w:val="single" w:color="000000" w:sz="2" w:space="0"/>
              <w:right w:val="single" w:color="000000" w:sz="2" w:space="0"/>
            </w:tcBorders>
            <w:vAlign w:val="top"/>
          </w:tcPr>
          <w:p>
            <w:pPr>
              <w:pStyle w:val="6"/>
              <w:spacing w:before="204" w:line="186" w:lineRule="auto"/>
              <w:ind w:left="248"/>
            </w:pPr>
            <w:r>
              <w:rPr>
                <w:spacing w:val="-3"/>
              </w:rPr>
              <w:t>5.26</w:t>
            </w:r>
          </w:p>
        </w:tc>
        <w:tc>
          <w:tcPr>
            <w:tcW w:w="851" w:type="dxa"/>
            <w:tcBorders>
              <w:left w:val="single" w:color="000000" w:sz="2" w:space="0"/>
              <w:right w:val="single" w:color="000000" w:sz="2" w:space="0"/>
            </w:tcBorders>
            <w:vAlign w:val="top"/>
          </w:tcPr>
          <w:p>
            <w:pPr>
              <w:pStyle w:val="6"/>
              <w:spacing w:before="204" w:line="186" w:lineRule="auto"/>
              <w:ind w:left="248"/>
            </w:pPr>
            <w:r>
              <w:rPr>
                <w:spacing w:val="-3"/>
              </w:rPr>
              <w:t>5.26</w:t>
            </w:r>
          </w:p>
        </w:tc>
        <w:tc>
          <w:tcPr>
            <w:tcW w:w="849" w:type="dxa"/>
            <w:tcBorders>
              <w:left w:val="single" w:color="000000" w:sz="2" w:space="0"/>
              <w:right w:val="single" w:color="000000" w:sz="2" w:space="0"/>
            </w:tcBorders>
            <w:vAlign w:val="top"/>
          </w:tcPr>
          <w:p>
            <w:pPr>
              <w:pStyle w:val="6"/>
              <w:spacing w:before="204" w:line="186" w:lineRule="auto"/>
              <w:ind w:left="247"/>
            </w:pPr>
            <w:r>
              <w:rPr>
                <w:spacing w:val="-3"/>
              </w:rPr>
              <w:t>5.26</w:t>
            </w:r>
          </w:p>
        </w:tc>
        <w:tc>
          <w:tcPr>
            <w:tcW w:w="680" w:type="dxa"/>
            <w:tcBorders>
              <w:left w:val="single" w:color="000000" w:sz="2" w:space="0"/>
              <w:right w:val="single" w:color="000000" w:sz="2" w:space="0"/>
            </w:tcBorders>
            <w:vAlign w:val="top"/>
          </w:tcPr>
          <w:p>
            <w:pPr>
              <w:pStyle w:val="6"/>
              <w:spacing w:before="204" w:line="186" w:lineRule="auto"/>
              <w:ind w:left="163"/>
            </w:pPr>
            <w:r>
              <w:rPr>
                <w:spacing w:val="-3"/>
              </w:rPr>
              <w:t>5.26</w:t>
            </w:r>
          </w:p>
        </w:tc>
        <w:tc>
          <w:tcPr>
            <w:tcW w:w="679" w:type="dxa"/>
            <w:tcBorders>
              <w:left w:val="single" w:color="000000" w:sz="2" w:space="0"/>
              <w:right w:val="nil"/>
            </w:tcBorders>
            <w:vAlign w:val="top"/>
          </w:tcPr>
          <w:p>
            <w:pPr>
              <w:pStyle w:val="6"/>
              <w:spacing w:before="204" w:line="186" w:lineRule="auto"/>
              <w:ind w:left="204"/>
            </w:pPr>
            <w:r>
              <w:rPr>
                <w:spacing w:val="-6"/>
              </w:rPr>
              <w:t>100</w:t>
            </w:r>
          </w:p>
        </w:tc>
      </w:tr>
    </w:tbl>
    <w:p>
      <w:pPr>
        <w:spacing w:before="114" w:line="232"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评价区濒危鱼类调查</w:t>
      </w:r>
    </w:p>
    <w:p>
      <w:pPr>
        <w:spacing w:before="166" w:line="360" w:lineRule="auto"/>
        <w:ind w:left="35" w:right="375" w:firstLine="486"/>
        <w:rPr>
          <w:rFonts w:ascii="宋体" w:hAnsi="宋体" w:eastAsia="宋体" w:cs="宋体"/>
          <w:sz w:val="24"/>
          <w:szCs w:val="24"/>
        </w:rPr>
      </w:pPr>
      <w:r>
        <w:rPr>
          <w:rFonts w:ascii="宋体" w:hAnsi="宋体" w:eastAsia="宋体" w:cs="宋体"/>
          <w:spacing w:val="-4"/>
          <w:sz w:val="24"/>
          <w:szCs w:val="24"/>
        </w:rPr>
        <w:t>依据《中国濒危动物红皮书》，金沙江水系中分布有后背鲈鲤</w:t>
      </w:r>
      <w:r>
        <w:rPr>
          <w:rFonts w:ascii="宋体" w:hAnsi="宋体" w:eastAsia="宋体" w:cs="宋体"/>
          <w:spacing w:val="-64"/>
          <w:sz w:val="24"/>
          <w:szCs w:val="24"/>
        </w:rPr>
        <w:t xml:space="preserve"> </w:t>
      </w:r>
      <w:r>
        <w:rPr>
          <w:rFonts w:ascii="Times New Roman" w:hAnsi="Times New Roman" w:eastAsia="Times New Roman" w:cs="Times New Roman"/>
          <w:i/>
          <w:iCs/>
          <w:spacing w:val="-4"/>
          <w:sz w:val="24"/>
          <w:szCs w:val="24"/>
        </w:rPr>
        <w:t xml:space="preserve">Percocypris    </w:t>
      </w:r>
      <w:r>
        <w:rPr>
          <w:rFonts w:ascii="Times New Roman" w:hAnsi="Times New Roman" w:eastAsia="Times New Roman" w:cs="Times New Roman"/>
          <w:i/>
          <w:iCs/>
          <w:sz w:val="24"/>
          <w:szCs w:val="24"/>
        </w:rPr>
        <w:t>retrodorslis</w:t>
      </w:r>
      <w:r>
        <w:rPr>
          <w:rFonts w:ascii="宋体" w:hAnsi="宋体" w:eastAsia="宋体" w:cs="宋体"/>
          <w:sz w:val="24"/>
          <w:szCs w:val="24"/>
        </w:rPr>
        <w:t>、单纹似鳡</w:t>
      </w:r>
      <w:r>
        <w:rPr>
          <w:rFonts w:ascii="宋体" w:hAnsi="宋体" w:eastAsia="宋体" w:cs="宋体"/>
          <w:spacing w:val="-59"/>
          <w:sz w:val="24"/>
          <w:szCs w:val="24"/>
        </w:rPr>
        <w:t xml:space="preserve"> </w:t>
      </w:r>
      <w:r>
        <w:rPr>
          <w:rFonts w:ascii="Times New Roman" w:hAnsi="Times New Roman" w:eastAsia="Times New Roman" w:cs="Times New Roman"/>
          <w:i/>
          <w:iCs/>
          <w:sz w:val="24"/>
          <w:szCs w:val="24"/>
        </w:rPr>
        <w:t xml:space="preserve">Luciocyprinus </w:t>
      </w:r>
      <w:r>
        <w:rPr>
          <w:rFonts w:ascii="Times New Roman" w:hAnsi="Times New Roman" w:eastAsia="Times New Roman" w:cs="Times New Roman"/>
          <w:i/>
          <w:iCs/>
          <w:spacing w:val="-1"/>
          <w:sz w:val="24"/>
          <w:szCs w:val="24"/>
        </w:rPr>
        <w:t>langsoni</w:t>
      </w:r>
      <w:r>
        <w:rPr>
          <w:rFonts w:ascii="宋体" w:hAnsi="宋体" w:eastAsia="宋体" w:cs="宋体"/>
          <w:spacing w:val="-1"/>
          <w:sz w:val="24"/>
          <w:szCs w:val="24"/>
        </w:rPr>
        <w:t>、大头鲤</w:t>
      </w:r>
      <w:r>
        <w:rPr>
          <w:rFonts w:ascii="宋体" w:hAnsi="宋体" w:eastAsia="宋体" w:cs="宋体"/>
          <w:spacing w:val="-35"/>
          <w:sz w:val="24"/>
          <w:szCs w:val="24"/>
        </w:rPr>
        <w:t xml:space="preserve"> </w:t>
      </w:r>
      <w:r>
        <w:rPr>
          <w:rFonts w:ascii="Times New Roman" w:hAnsi="Times New Roman" w:eastAsia="Times New Roman" w:cs="Times New Roman"/>
          <w:i/>
          <w:iCs/>
          <w:spacing w:val="-1"/>
          <w:sz w:val="24"/>
          <w:szCs w:val="24"/>
        </w:rPr>
        <w:t>Cyprinus</w:t>
      </w:r>
      <w:r>
        <w:rPr>
          <w:rFonts w:ascii="Times New Roman" w:hAnsi="Times New Roman" w:eastAsia="Times New Roman" w:cs="Times New Roman"/>
          <w:i/>
          <w:iCs/>
          <w:spacing w:val="-26"/>
          <w:sz w:val="24"/>
          <w:szCs w:val="24"/>
        </w:rPr>
        <w:t xml:space="preserve"> </w:t>
      </w:r>
      <w:r>
        <w:rPr>
          <w:rFonts w:ascii="Times New Roman" w:hAnsi="Times New Roman" w:eastAsia="Times New Roman" w:cs="Times New Roman"/>
          <w:i/>
          <w:iCs/>
          <w:spacing w:val="-1"/>
          <w:sz w:val="24"/>
          <w:szCs w:val="24"/>
        </w:rPr>
        <w:t>pellegrini</w:t>
      </w:r>
      <w:r>
        <w:rPr>
          <w:rFonts w:ascii="宋体" w:hAnsi="宋体" w:eastAsia="宋体" w:cs="宋体"/>
          <w:spacing w:val="-1"/>
          <w:sz w:val="24"/>
          <w:szCs w:val="24"/>
        </w:rPr>
        <w:t>、翘嘴</w:t>
      </w:r>
    </w:p>
    <w:p>
      <w:pPr>
        <w:spacing w:line="212" w:lineRule="auto"/>
        <w:ind w:left="40"/>
        <w:rPr>
          <w:rFonts w:ascii="宋体" w:hAnsi="宋体" w:eastAsia="宋体" w:cs="宋体"/>
          <w:sz w:val="24"/>
          <w:szCs w:val="24"/>
        </w:rPr>
      </w:pPr>
      <w:r>
        <w:rPr>
          <w:rFonts w:ascii="宋体" w:hAnsi="宋体" w:eastAsia="宋体" w:cs="宋体"/>
          <w:spacing w:val="-1"/>
          <w:sz w:val="24"/>
          <w:szCs w:val="24"/>
        </w:rPr>
        <w:t>鲤</w:t>
      </w:r>
      <w:r>
        <w:rPr>
          <w:rFonts w:ascii="宋体" w:hAnsi="宋体" w:eastAsia="宋体" w:cs="宋体"/>
          <w:spacing w:val="-39"/>
          <w:sz w:val="24"/>
          <w:szCs w:val="24"/>
        </w:rPr>
        <w:t xml:space="preserve"> </w:t>
      </w:r>
      <w:r>
        <w:rPr>
          <w:rFonts w:ascii="Times New Roman" w:hAnsi="Times New Roman" w:eastAsia="Times New Roman" w:cs="Times New Roman"/>
          <w:i/>
          <w:iCs/>
          <w:spacing w:val="-1"/>
          <w:sz w:val="24"/>
          <w:szCs w:val="24"/>
        </w:rPr>
        <w:t>Cyprinus ilishaestomus</w:t>
      </w:r>
      <w:r>
        <w:rPr>
          <w:rFonts w:ascii="宋体" w:hAnsi="宋体" w:eastAsia="宋体" w:cs="宋体"/>
          <w:spacing w:val="-1"/>
          <w:sz w:val="24"/>
          <w:szCs w:val="24"/>
        </w:rPr>
        <w:t>、异鳔裂腹鱼</w:t>
      </w:r>
      <w:r>
        <w:rPr>
          <w:rFonts w:ascii="宋体" w:hAnsi="宋体" w:eastAsia="宋体" w:cs="宋体"/>
          <w:spacing w:val="-47"/>
          <w:sz w:val="24"/>
          <w:szCs w:val="24"/>
        </w:rPr>
        <w:t xml:space="preserve"> </w:t>
      </w:r>
      <w:r>
        <w:rPr>
          <w:rFonts w:ascii="Times New Roman" w:hAnsi="Times New Roman" w:eastAsia="Times New Roman" w:cs="Times New Roman"/>
          <w:i/>
          <w:iCs/>
          <w:spacing w:val="-1"/>
          <w:sz w:val="24"/>
          <w:szCs w:val="24"/>
        </w:rPr>
        <w:t>Schizothorax heterophysallidos</w:t>
      </w:r>
      <w:r>
        <w:rPr>
          <w:rFonts w:ascii="宋体" w:hAnsi="宋体" w:eastAsia="宋体" w:cs="宋体"/>
          <w:spacing w:val="-1"/>
          <w:sz w:val="24"/>
          <w:szCs w:val="24"/>
        </w:rPr>
        <w:t>、双孔鱼</w:t>
      </w:r>
    </w:p>
    <w:p>
      <w:pPr>
        <w:spacing w:before="192" w:line="360" w:lineRule="auto"/>
        <w:ind w:left="34" w:right="394" w:firstLine="12"/>
        <w:rPr>
          <w:rFonts w:ascii="宋体" w:hAnsi="宋体" w:eastAsia="宋体" w:cs="宋体"/>
          <w:sz w:val="24"/>
          <w:szCs w:val="24"/>
        </w:rPr>
      </w:pPr>
      <w:r>
        <w:rPr>
          <w:rFonts w:ascii="Times New Roman" w:hAnsi="Times New Roman" w:eastAsia="Times New Roman" w:cs="Times New Roman"/>
          <w:i/>
          <w:iCs/>
          <w:sz w:val="24"/>
          <w:szCs w:val="24"/>
        </w:rPr>
        <w:t>Gyrinocheilusaymonier</w:t>
      </w:r>
      <w:r>
        <w:rPr>
          <w:rFonts w:ascii="宋体" w:hAnsi="宋体" w:eastAsia="宋体" w:cs="宋体"/>
          <w:spacing w:val="-1"/>
          <w:sz w:val="24"/>
          <w:szCs w:val="24"/>
        </w:rPr>
        <w:t>、暗色唇鱼</w:t>
      </w:r>
      <w:r>
        <w:rPr>
          <w:rFonts w:ascii="宋体" w:hAnsi="宋体" w:eastAsia="宋体" w:cs="宋体"/>
          <w:spacing w:val="-47"/>
          <w:sz w:val="24"/>
          <w:szCs w:val="24"/>
        </w:rPr>
        <w:t xml:space="preserve"> </w:t>
      </w:r>
      <w:r>
        <w:rPr>
          <w:rFonts w:ascii="Times New Roman" w:hAnsi="Times New Roman" w:eastAsia="Times New Roman" w:cs="Times New Roman"/>
          <w:i/>
          <w:iCs/>
          <w:spacing w:val="-1"/>
          <w:sz w:val="24"/>
          <w:szCs w:val="24"/>
        </w:rPr>
        <w:t>Semilabeo obscurus</w:t>
      </w:r>
      <w:r>
        <w:rPr>
          <w:rFonts w:ascii="宋体" w:hAnsi="宋体" w:eastAsia="宋体" w:cs="宋体"/>
          <w:spacing w:val="-1"/>
          <w:sz w:val="24"/>
          <w:szCs w:val="24"/>
        </w:rPr>
        <w:t>、裸腹盲鲃</w:t>
      </w:r>
      <w:r>
        <w:rPr>
          <w:rFonts w:ascii="宋体" w:hAnsi="宋体" w:eastAsia="宋体" w:cs="宋体"/>
          <w:spacing w:val="-33"/>
          <w:sz w:val="24"/>
          <w:szCs w:val="24"/>
        </w:rPr>
        <w:t xml:space="preserve"> </w:t>
      </w:r>
      <w:r>
        <w:rPr>
          <w:rFonts w:ascii="Times New Roman" w:hAnsi="Times New Roman" w:eastAsia="Times New Roman" w:cs="Times New Roman"/>
          <w:i/>
          <w:iCs/>
          <w:spacing w:val="-1"/>
          <w:sz w:val="24"/>
          <w:szCs w:val="24"/>
        </w:rPr>
        <w:t xml:space="preserve">Typhlobarbus   </w:t>
      </w:r>
      <w:r>
        <w:rPr>
          <w:rFonts w:ascii="Times New Roman" w:hAnsi="Times New Roman" w:eastAsia="Times New Roman" w:cs="Times New Roman"/>
          <w:i/>
          <w:iCs/>
          <w:spacing w:val="-3"/>
          <w:sz w:val="24"/>
          <w:szCs w:val="24"/>
        </w:rPr>
        <w:t xml:space="preserve">nudiventris </w:t>
      </w:r>
      <w:r>
        <w:rPr>
          <w:rFonts w:ascii="宋体" w:hAnsi="宋体" w:eastAsia="宋体" w:cs="宋体"/>
          <w:spacing w:val="-3"/>
          <w:sz w:val="24"/>
          <w:szCs w:val="24"/>
        </w:rPr>
        <w:t>等珍稀鱼类。在评价区河</w:t>
      </w:r>
      <w:r>
        <w:rPr>
          <w:rFonts w:ascii="宋体" w:hAnsi="宋体" w:eastAsia="宋体" w:cs="宋体"/>
          <w:spacing w:val="-4"/>
          <w:sz w:val="24"/>
          <w:szCs w:val="24"/>
        </w:rPr>
        <w:t>段分布的</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19 </w:t>
      </w:r>
      <w:r>
        <w:rPr>
          <w:rFonts w:ascii="宋体" w:hAnsi="宋体" w:eastAsia="宋体" w:cs="宋体"/>
          <w:spacing w:val="-4"/>
          <w:sz w:val="24"/>
          <w:szCs w:val="24"/>
        </w:rPr>
        <w:t>种鱼类中， 未发现有上述被列</w:t>
      </w:r>
    </w:p>
    <w:p>
      <w:pPr>
        <w:spacing w:before="1" w:line="218" w:lineRule="auto"/>
        <w:ind w:left="38"/>
        <w:rPr>
          <w:rFonts w:ascii="宋体" w:hAnsi="宋体" w:eastAsia="宋体" w:cs="宋体"/>
          <w:sz w:val="24"/>
          <w:szCs w:val="24"/>
        </w:rPr>
      </w:pPr>
      <w:r>
        <w:rPr>
          <w:rFonts w:ascii="宋体" w:hAnsi="宋体" w:eastAsia="宋体" w:cs="宋体"/>
          <w:spacing w:val="-3"/>
          <w:sz w:val="24"/>
          <w:szCs w:val="24"/>
        </w:rPr>
        <w:t>入中国濒危动物红皮书的鱼类分布。</w:t>
      </w:r>
    </w:p>
    <w:p>
      <w:pPr>
        <w:spacing w:before="184"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特有鱼类</w:t>
      </w:r>
    </w:p>
    <w:p>
      <w:pPr>
        <w:spacing w:before="164" w:line="218" w:lineRule="auto"/>
        <w:ind w:left="518"/>
        <w:rPr>
          <w:rFonts w:ascii="宋体" w:hAnsi="宋体" w:eastAsia="宋体" w:cs="宋体"/>
          <w:sz w:val="24"/>
          <w:szCs w:val="24"/>
        </w:rPr>
      </w:pPr>
      <w:r>
        <w:rPr>
          <w:rFonts w:ascii="宋体" w:hAnsi="宋体" w:eastAsia="宋体" w:cs="宋体"/>
          <w:sz w:val="24"/>
          <w:szCs w:val="24"/>
        </w:rPr>
        <w:t>评价区水域处于万马河上游桂花河及其支流短小河</w:t>
      </w:r>
      <w:r>
        <w:rPr>
          <w:rFonts w:ascii="宋体" w:hAnsi="宋体" w:eastAsia="宋体" w:cs="宋体"/>
          <w:spacing w:val="-1"/>
          <w:sz w:val="24"/>
          <w:szCs w:val="24"/>
        </w:rPr>
        <w:t>流、沟箐中，流量很</w:t>
      </w:r>
    </w:p>
    <w:p>
      <w:pPr>
        <w:spacing w:before="185" w:line="468" w:lineRule="exact"/>
        <w:ind w:left="45"/>
        <w:rPr>
          <w:rFonts w:ascii="宋体" w:hAnsi="宋体" w:eastAsia="宋体" w:cs="宋体"/>
          <w:sz w:val="24"/>
          <w:szCs w:val="24"/>
        </w:rPr>
      </w:pPr>
      <w:r>
        <w:rPr>
          <w:rFonts w:ascii="宋体" w:hAnsi="宋体" w:eastAsia="宋体" w:cs="宋体"/>
          <w:spacing w:val="-2"/>
          <w:position w:val="17"/>
          <w:sz w:val="24"/>
          <w:szCs w:val="24"/>
        </w:rPr>
        <w:t xml:space="preserve">小，水温较低，水流湍急，鱼类物种多样性相对较低。评价区分布的 </w:t>
      </w:r>
      <w:r>
        <w:rPr>
          <w:rFonts w:ascii="Times New Roman" w:hAnsi="Times New Roman" w:eastAsia="Times New Roman" w:cs="Times New Roman"/>
          <w:spacing w:val="-2"/>
          <w:position w:val="17"/>
          <w:sz w:val="24"/>
          <w:szCs w:val="24"/>
        </w:rPr>
        <w:t xml:space="preserve">19 </w:t>
      </w:r>
      <w:r>
        <w:rPr>
          <w:rFonts w:ascii="宋体" w:hAnsi="宋体" w:eastAsia="宋体" w:cs="宋体"/>
          <w:spacing w:val="-2"/>
          <w:position w:val="17"/>
          <w:sz w:val="24"/>
          <w:szCs w:val="24"/>
        </w:rPr>
        <w:t>种鱼类</w:t>
      </w:r>
    </w:p>
    <w:p>
      <w:pPr>
        <w:spacing w:before="1" w:line="218" w:lineRule="auto"/>
        <w:ind w:left="61"/>
        <w:rPr>
          <w:rFonts w:ascii="宋体" w:hAnsi="宋体" w:eastAsia="宋体" w:cs="宋体"/>
          <w:sz w:val="24"/>
          <w:szCs w:val="24"/>
        </w:rPr>
      </w:pPr>
      <w:r>
        <w:rPr>
          <w:rFonts w:ascii="宋体" w:hAnsi="宋体" w:eastAsia="宋体" w:cs="宋体"/>
          <w:spacing w:val="-5"/>
          <w:sz w:val="24"/>
          <w:szCs w:val="24"/>
        </w:rPr>
        <w:t>中，</w:t>
      </w:r>
      <w:r>
        <w:rPr>
          <w:rFonts w:ascii="宋体" w:hAnsi="宋体" w:eastAsia="宋体" w:cs="宋体"/>
          <w:spacing w:val="-23"/>
          <w:sz w:val="24"/>
          <w:szCs w:val="24"/>
        </w:rPr>
        <w:t xml:space="preserve"> </w:t>
      </w:r>
      <w:r>
        <w:rPr>
          <w:rFonts w:ascii="宋体" w:hAnsi="宋体" w:eastAsia="宋体" w:cs="宋体"/>
          <w:spacing w:val="-5"/>
          <w:sz w:val="24"/>
          <w:szCs w:val="24"/>
        </w:rPr>
        <w:t>未发现仅分布在万马河，甚至金沙江流域的特有物种。</w:t>
      </w:r>
    </w:p>
    <w:p>
      <w:pPr>
        <w:spacing w:before="184" w:line="233" w:lineRule="auto"/>
        <w:ind w:left="517"/>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经济鱼类</w:t>
      </w:r>
    </w:p>
    <w:p>
      <w:pPr>
        <w:spacing w:before="165" w:line="468" w:lineRule="exact"/>
        <w:ind w:left="518"/>
        <w:rPr>
          <w:rFonts w:ascii="宋体" w:hAnsi="宋体" w:eastAsia="宋体" w:cs="宋体"/>
          <w:sz w:val="24"/>
          <w:szCs w:val="24"/>
        </w:rPr>
      </w:pPr>
      <w:r>
        <w:rPr>
          <w:rFonts w:ascii="宋体" w:hAnsi="宋体" w:eastAsia="宋体" w:cs="宋体"/>
          <w:spacing w:val="2"/>
          <w:position w:val="17"/>
          <w:sz w:val="24"/>
          <w:szCs w:val="24"/>
        </w:rPr>
        <w:t>评价水域河流涉及的经济鱼类主要有横纹南鳅</w:t>
      </w:r>
      <w:r>
        <w:rPr>
          <w:rFonts w:ascii="宋体" w:hAnsi="宋体" w:eastAsia="宋体" w:cs="宋体"/>
          <w:spacing w:val="-58"/>
          <w:position w:val="17"/>
          <w:sz w:val="24"/>
          <w:szCs w:val="24"/>
        </w:rPr>
        <w:t xml:space="preserve"> </w:t>
      </w:r>
      <w:r>
        <w:rPr>
          <w:rFonts w:ascii="Times New Roman" w:hAnsi="Times New Roman" w:eastAsia="Times New Roman" w:cs="Times New Roman"/>
          <w:i/>
          <w:iCs/>
          <w:position w:val="17"/>
          <w:sz w:val="24"/>
          <w:szCs w:val="24"/>
        </w:rPr>
        <w:t>Schisturafasciolatus</w:t>
      </w:r>
      <w:r>
        <w:rPr>
          <w:rFonts w:ascii="宋体" w:hAnsi="宋体" w:eastAsia="宋体" w:cs="宋体"/>
          <w:spacing w:val="1"/>
          <w:position w:val="17"/>
          <w:sz w:val="24"/>
          <w:szCs w:val="24"/>
        </w:rPr>
        <w:t>、棒花</w:t>
      </w:r>
    </w:p>
    <w:p>
      <w:pPr>
        <w:spacing w:line="212" w:lineRule="auto"/>
        <w:ind w:left="43"/>
        <w:rPr>
          <w:rFonts w:ascii="Times New Roman" w:hAnsi="Times New Roman" w:eastAsia="Times New Roman" w:cs="Times New Roman"/>
          <w:sz w:val="24"/>
          <w:szCs w:val="24"/>
        </w:rPr>
      </w:pPr>
      <w:r>
        <w:rPr>
          <w:rFonts w:ascii="宋体" w:hAnsi="宋体" w:eastAsia="宋体" w:cs="宋体"/>
          <w:spacing w:val="-1"/>
          <w:sz w:val="24"/>
          <w:szCs w:val="24"/>
        </w:rPr>
        <w:t>鱼</w:t>
      </w:r>
      <w:r>
        <w:rPr>
          <w:rFonts w:ascii="宋体" w:hAnsi="宋体" w:eastAsia="宋体" w:cs="宋体"/>
          <w:spacing w:val="-62"/>
          <w:sz w:val="24"/>
          <w:szCs w:val="24"/>
        </w:rPr>
        <w:t xml:space="preserve"> </w:t>
      </w:r>
      <w:r>
        <w:rPr>
          <w:rFonts w:ascii="Times New Roman" w:hAnsi="Times New Roman" w:eastAsia="Times New Roman" w:cs="Times New Roman"/>
          <w:i/>
          <w:iCs/>
          <w:spacing w:val="-1"/>
          <w:sz w:val="24"/>
          <w:szCs w:val="24"/>
        </w:rPr>
        <w:t xml:space="preserve">Abbottina rivalaris </w:t>
      </w:r>
      <w:r>
        <w:rPr>
          <w:rFonts w:ascii="宋体" w:hAnsi="宋体" w:eastAsia="宋体" w:cs="宋体"/>
          <w:spacing w:val="-1"/>
          <w:sz w:val="24"/>
          <w:szCs w:val="24"/>
        </w:rPr>
        <w:t>及养殖鱼类鲫鱼</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Cyprinus auratus</w:t>
      </w:r>
      <w:r>
        <w:rPr>
          <w:rFonts w:ascii="宋体" w:hAnsi="宋体" w:eastAsia="宋体" w:cs="宋体"/>
          <w:spacing w:val="-1"/>
          <w:sz w:val="24"/>
          <w:szCs w:val="24"/>
        </w:rPr>
        <w:t>、鲤鱼</w:t>
      </w:r>
      <w:r>
        <w:rPr>
          <w:rFonts w:ascii="宋体" w:hAnsi="宋体" w:eastAsia="宋体" w:cs="宋体"/>
          <w:spacing w:val="-32"/>
          <w:sz w:val="24"/>
          <w:szCs w:val="24"/>
        </w:rPr>
        <w:t xml:space="preserve"> </w:t>
      </w:r>
      <w:r>
        <w:rPr>
          <w:rFonts w:ascii="Times New Roman" w:hAnsi="Times New Roman" w:eastAsia="Times New Roman" w:cs="Times New Roman"/>
          <w:i/>
          <w:iCs/>
          <w:spacing w:val="-1"/>
          <w:sz w:val="24"/>
          <w:szCs w:val="24"/>
        </w:rPr>
        <w:t>Cyprinus</w:t>
      </w:r>
    </w:p>
    <w:p>
      <w:pPr>
        <w:spacing w:before="192" w:line="360" w:lineRule="auto"/>
        <w:ind w:left="39" w:right="326" w:hanging="3"/>
        <w:rPr>
          <w:rFonts w:ascii="宋体" w:hAnsi="宋体" w:eastAsia="宋体" w:cs="宋体"/>
          <w:sz w:val="24"/>
          <w:szCs w:val="24"/>
        </w:rPr>
      </w:pPr>
      <w:r>
        <w:rPr>
          <w:rFonts w:ascii="Times New Roman" w:hAnsi="Times New Roman" w:eastAsia="Times New Roman" w:cs="Times New Roman"/>
          <w:i/>
          <w:iCs/>
          <w:sz w:val="24"/>
          <w:szCs w:val="24"/>
        </w:rPr>
        <w:t>carpiochilia</w:t>
      </w:r>
      <w:r>
        <w:rPr>
          <w:rFonts w:ascii="宋体" w:hAnsi="宋体" w:eastAsia="宋体" w:cs="宋体"/>
          <w:spacing w:val="1"/>
          <w:sz w:val="24"/>
          <w:szCs w:val="24"/>
        </w:rPr>
        <w:t>、草鱼</w:t>
      </w:r>
      <w:r>
        <w:rPr>
          <w:rFonts w:ascii="宋体" w:hAnsi="宋体" w:eastAsia="宋体" w:cs="宋体"/>
          <w:spacing w:val="-22"/>
          <w:sz w:val="24"/>
          <w:szCs w:val="24"/>
        </w:rPr>
        <w:t xml:space="preserve"> </w:t>
      </w:r>
      <w:r>
        <w:rPr>
          <w:rFonts w:ascii="Times New Roman" w:hAnsi="Times New Roman" w:eastAsia="Times New Roman" w:cs="Times New Roman"/>
          <w:i/>
          <w:iCs/>
          <w:sz w:val="24"/>
          <w:szCs w:val="24"/>
        </w:rPr>
        <w:t>Ctenopharyngodonidellus</w:t>
      </w:r>
      <w:r>
        <w:rPr>
          <w:rFonts w:ascii="宋体" w:hAnsi="宋体" w:eastAsia="宋体" w:cs="宋体"/>
          <w:spacing w:val="1"/>
          <w:sz w:val="24"/>
          <w:szCs w:val="24"/>
        </w:rPr>
        <w:t>、鳝鱼</w:t>
      </w:r>
      <w:r>
        <w:rPr>
          <w:rFonts w:ascii="宋体" w:hAnsi="宋体" w:eastAsia="宋体" w:cs="宋体"/>
          <w:spacing w:val="-56"/>
          <w:sz w:val="24"/>
          <w:szCs w:val="24"/>
        </w:rPr>
        <w:t xml:space="preserve"> </w:t>
      </w:r>
      <w:r>
        <w:rPr>
          <w:rFonts w:ascii="Times New Roman" w:hAnsi="Times New Roman" w:eastAsia="Times New Roman" w:cs="Times New Roman"/>
          <w:i/>
          <w:iCs/>
          <w:sz w:val="24"/>
          <w:szCs w:val="24"/>
        </w:rPr>
        <w:t>Monopterus</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albus</w:t>
      </w:r>
      <w:r>
        <w:rPr>
          <w:rFonts w:ascii="Times New Roman" w:hAnsi="Times New Roman" w:eastAsia="Times New Roman" w:cs="Times New Roman"/>
          <w:i/>
          <w:iCs/>
          <w:spacing w:val="1"/>
          <w:sz w:val="24"/>
          <w:szCs w:val="24"/>
        </w:rPr>
        <w:t xml:space="preserve"> </w:t>
      </w:r>
      <w:r>
        <w:rPr>
          <w:rFonts w:ascii="宋体" w:hAnsi="宋体" w:eastAsia="宋体" w:cs="宋体"/>
          <w:spacing w:val="1"/>
          <w:sz w:val="24"/>
          <w:szCs w:val="24"/>
        </w:rPr>
        <w:t>等。这些经</w:t>
      </w:r>
      <w:r>
        <w:rPr>
          <w:rFonts w:ascii="宋体" w:hAnsi="宋体" w:eastAsia="宋体" w:cs="宋体"/>
          <w:sz w:val="24"/>
          <w:szCs w:val="24"/>
        </w:rPr>
        <w:t xml:space="preserve"> 济鱼类分布于桂花河的干、支流及附近的鱼塘、水田</w:t>
      </w:r>
      <w:r>
        <w:rPr>
          <w:rFonts w:ascii="宋体" w:hAnsi="宋体" w:eastAsia="宋体" w:cs="宋体"/>
          <w:spacing w:val="-1"/>
          <w:sz w:val="24"/>
          <w:szCs w:val="24"/>
        </w:rPr>
        <w:t>、池塘和输水管道终点碧</w:t>
      </w:r>
    </w:p>
    <w:p>
      <w:pPr>
        <w:spacing w:before="1" w:line="219" w:lineRule="auto"/>
        <w:ind w:left="44"/>
        <w:rPr>
          <w:rFonts w:ascii="宋体" w:hAnsi="宋体" w:eastAsia="宋体" w:cs="宋体"/>
          <w:sz w:val="24"/>
          <w:szCs w:val="24"/>
        </w:rPr>
      </w:pPr>
      <w:r>
        <w:rPr>
          <w:rFonts w:ascii="宋体" w:hAnsi="宋体" w:eastAsia="宋体" w:cs="宋体"/>
          <w:spacing w:val="-4"/>
          <w:sz w:val="24"/>
          <w:szCs w:val="24"/>
        </w:rPr>
        <w:t>么水库。</w:t>
      </w:r>
    </w:p>
    <w:p>
      <w:pPr>
        <w:spacing w:before="183" w:line="232" w:lineRule="auto"/>
        <w:ind w:left="518"/>
        <w:rPr>
          <w:rFonts w:ascii="宋体" w:hAnsi="宋体" w:eastAsia="宋体" w:cs="宋体"/>
          <w:sz w:val="24"/>
          <w:szCs w:val="24"/>
        </w:rPr>
      </w:pPr>
      <w:r>
        <w:rPr>
          <w:rFonts w:ascii="Times New Roman" w:hAnsi="Times New Roman" w:eastAsia="Times New Roman" w:cs="Times New Roman"/>
          <w:spacing w:val="-1"/>
          <w:sz w:val="24"/>
          <w:szCs w:val="24"/>
        </w:rPr>
        <w:t>e.</w:t>
      </w:r>
      <w:r>
        <w:rPr>
          <w:rFonts w:ascii="宋体" w:hAnsi="宋体" w:eastAsia="宋体" w:cs="宋体"/>
          <w:spacing w:val="-1"/>
          <w:sz w:val="24"/>
          <w:szCs w:val="24"/>
        </w:rPr>
        <w:t>评价区鱼类重要生境</w:t>
      </w:r>
    </w:p>
    <w:p>
      <w:pPr>
        <w:spacing w:before="166" w:line="220" w:lineRule="auto"/>
        <w:ind w:left="597"/>
        <w:rPr>
          <w:rFonts w:ascii="宋体" w:hAnsi="宋体" w:eastAsia="宋体" w:cs="宋体"/>
          <w:sz w:val="24"/>
          <w:szCs w:val="24"/>
        </w:rPr>
      </w:pPr>
      <w:r>
        <w:rPr>
          <w:rFonts w:ascii="宋体" w:hAnsi="宋体" w:eastAsia="宋体" w:cs="宋体"/>
          <w:spacing w:val="-17"/>
          <w:sz w:val="24"/>
          <w:szCs w:val="24"/>
        </w:rPr>
        <w:t>Ⅰ.产卵场</w:t>
      </w:r>
    </w:p>
    <w:p>
      <w:pPr>
        <w:spacing w:before="182" w:line="218" w:lineRule="auto"/>
        <w:ind w:left="518"/>
        <w:rPr>
          <w:rFonts w:ascii="宋体" w:hAnsi="宋体" w:eastAsia="宋体" w:cs="宋体"/>
          <w:sz w:val="24"/>
          <w:szCs w:val="24"/>
        </w:rPr>
      </w:pPr>
      <w:r>
        <w:rPr>
          <w:rFonts w:ascii="宋体" w:hAnsi="宋体" w:eastAsia="宋体" w:cs="宋体"/>
          <w:spacing w:val="-6"/>
          <w:sz w:val="24"/>
          <w:szCs w:val="24"/>
        </w:rPr>
        <w:t>评价区鱼类对产卵场要求并不严格，</w:t>
      </w:r>
      <w:r>
        <w:rPr>
          <w:rFonts w:ascii="宋体" w:hAnsi="宋体" w:eastAsia="宋体" w:cs="宋体"/>
          <w:spacing w:val="63"/>
          <w:sz w:val="24"/>
          <w:szCs w:val="24"/>
        </w:rPr>
        <w:t xml:space="preserve"> </w:t>
      </w:r>
      <w:r>
        <w:rPr>
          <w:rFonts w:ascii="宋体" w:hAnsi="宋体" w:eastAsia="宋体" w:cs="宋体"/>
          <w:spacing w:val="-6"/>
          <w:sz w:val="24"/>
          <w:szCs w:val="24"/>
        </w:rPr>
        <w:t>桂花河河床为卵石夹</w:t>
      </w:r>
      <w:r>
        <w:rPr>
          <w:rFonts w:ascii="宋体" w:hAnsi="宋体" w:eastAsia="宋体" w:cs="宋体"/>
          <w:spacing w:val="-7"/>
          <w:sz w:val="24"/>
          <w:szCs w:val="24"/>
        </w:rPr>
        <w:t>砂型，水流湍</w:t>
      </w:r>
    </w:p>
    <w:p>
      <w:pPr>
        <w:spacing w:before="185" w:line="360" w:lineRule="auto"/>
        <w:ind w:left="39" w:right="454" w:firstLine="7"/>
        <w:rPr>
          <w:rFonts w:ascii="宋体" w:hAnsi="宋体" w:eastAsia="宋体" w:cs="宋体"/>
          <w:sz w:val="24"/>
          <w:szCs w:val="24"/>
        </w:rPr>
      </w:pPr>
      <w:r>
        <w:rPr>
          <w:rFonts w:ascii="宋体" w:hAnsi="宋体" w:eastAsia="宋体" w:cs="宋体"/>
          <w:spacing w:val="-7"/>
          <w:sz w:val="24"/>
          <w:szCs w:val="24"/>
        </w:rPr>
        <w:t>急，滩潭较少， 河床底质多为砾石和沙砾， 极少有淤泥底质，不太</w:t>
      </w:r>
      <w:r>
        <w:rPr>
          <w:rFonts w:ascii="宋体" w:hAnsi="宋体" w:eastAsia="宋体" w:cs="宋体"/>
          <w:spacing w:val="-8"/>
          <w:sz w:val="24"/>
          <w:szCs w:val="24"/>
        </w:rPr>
        <w:t>符合这些鱼</w:t>
      </w:r>
      <w:r>
        <w:rPr>
          <w:rFonts w:ascii="宋体" w:hAnsi="宋体" w:eastAsia="宋体" w:cs="宋体"/>
          <w:sz w:val="24"/>
          <w:szCs w:val="24"/>
        </w:rPr>
        <w:t xml:space="preserve"> 类繁殖的生境条件。评价区鱼类在调查水域较为普遍</w:t>
      </w:r>
      <w:r>
        <w:rPr>
          <w:rFonts w:ascii="宋体" w:hAnsi="宋体" w:eastAsia="宋体" w:cs="宋体"/>
          <w:spacing w:val="-1"/>
          <w:sz w:val="24"/>
          <w:szCs w:val="24"/>
        </w:rPr>
        <w:t>，相应地这些鱼类产卵场</w:t>
      </w:r>
    </w:p>
    <w:p>
      <w:pPr>
        <w:spacing w:before="1" w:line="218" w:lineRule="auto"/>
        <w:ind w:left="44"/>
        <w:rPr>
          <w:rFonts w:ascii="宋体" w:hAnsi="宋体" w:eastAsia="宋体" w:cs="宋体"/>
          <w:sz w:val="24"/>
          <w:szCs w:val="24"/>
        </w:rPr>
      </w:pPr>
      <w:r>
        <w:rPr>
          <w:rFonts w:ascii="宋体" w:hAnsi="宋体" w:eastAsia="宋体" w:cs="宋体"/>
          <w:spacing w:val="-2"/>
          <w:sz w:val="24"/>
          <w:szCs w:val="24"/>
        </w:rPr>
        <w:t>也较为分散，适宜繁殖的产卵场分布较为广泛，但未形成规模。</w:t>
      </w:r>
    </w:p>
    <w:p>
      <w:pPr>
        <w:spacing w:before="184" w:line="220" w:lineRule="auto"/>
        <w:ind w:left="560"/>
        <w:rPr>
          <w:rFonts w:ascii="宋体" w:hAnsi="宋体" w:eastAsia="宋体" w:cs="宋体"/>
          <w:sz w:val="24"/>
          <w:szCs w:val="24"/>
        </w:rPr>
      </w:pPr>
      <w:r>
        <w:rPr>
          <w:rFonts w:ascii="宋体" w:hAnsi="宋体" w:eastAsia="宋体" w:cs="宋体"/>
          <w:spacing w:val="-10"/>
          <w:sz w:val="24"/>
          <w:szCs w:val="24"/>
        </w:rPr>
        <w:t>Ⅱ.索饵场</w:t>
      </w:r>
    </w:p>
    <w:p>
      <w:pPr>
        <w:spacing w:before="182" w:line="360" w:lineRule="auto"/>
        <w:ind w:left="39" w:right="454" w:firstLine="480"/>
        <w:rPr>
          <w:rFonts w:ascii="宋体" w:hAnsi="宋体" w:eastAsia="宋体" w:cs="宋体"/>
          <w:sz w:val="24"/>
          <w:szCs w:val="24"/>
        </w:rPr>
      </w:pPr>
      <w:r>
        <w:rPr>
          <w:rFonts w:ascii="宋体" w:hAnsi="宋体" w:eastAsia="宋体" w:cs="宋体"/>
          <w:spacing w:val="-1"/>
          <w:sz w:val="24"/>
          <w:szCs w:val="24"/>
        </w:rPr>
        <w:t>每年</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月份后，水温逐渐回升，鱼类从桂花河下游万马河或碧么水</w:t>
      </w:r>
      <w:r>
        <w:rPr>
          <w:rFonts w:ascii="宋体" w:hAnsi="宋体" w:eastAsia="宋体" w:cs="宋体"/>
          <w:spacing w:val="-2"/>
          <w:sz w:val="24"/>
          <w:szCs w:val="24"/>
        </w:rPr>
        <w:t>库上溯</w:t>
      </w:r>
      <w:r>
        <w:rPr>
          <w:rFonts w:ascii="宋体" w:hAnsi="宋体" w:eastAsia="宋体" w:cs="宋体"/>
          <w:sz w:val="24"/>
          <w:szCs w:val="24"/>
        </w:rPr>
        <w:t xml:space="preserve"> 至河流浅水的礁石或砾石滩索饵。调查河段鱼类多为</w:t>
      </w:r>
      <w:r>
        <w:rPr>
          <w:rFonts w:ascii="宋体" w:hAnsi="宋体" w:eastAsia="宋体" w:cs="宋体"/>
          <w:spacing w:val="-1"/>
          <w:sz w:val="24"/>
          <w:szCs w:val="24"/>
        </w:rPr>
        <w:t>以杂食性、底栖无脊椎动</w:t>
      </w:r>
      <w:r>
        <w:rPr>
          <w:rFonts w:ascii="宋体" w:hAnsi="宋体" w:eastAsia="宋体" w:cs="宋体"/>
          <w:sz w:val="24"/>
          <w:szCs w:val="24"/>
        </w:rPr>
        <w:t xml:space="preserve"> 物等为主要食物的鱼类，浅水区光照条件好，礁石或</w:t>
      </w:r>
      <w:r>
        <w:rPr>
          <w:rFonts w:ascii="宋体" w:hAnsi="宋体" w:eastAsia="宋体" w:cs="宋体"/>
          <w:spacing w:val="-1"/>
          <w:sz w:val="24"/>
          <w:szCs w:val="24"/>
        </w:rPr>
        <w:t>砾石滩底栖无脊椎动物较</w:t>
      </w:r>
    </w:p>
    <w:p>
      <w:pPr>
        <w:spacing w:line="219" w:lineRule="auto"/>
        <w:ind w:left="42"/>
        <w:rPr>
          <w:rFonts w:ascii="宋体" w:hAnsi="宋体" w:eastAsia="宋体" w:cs="宋体"/>
          <w:sz w:val="24"/>
          <w:szCs w:val="24"/>
        </w:rPr>
      </w:pPr>
      <w:r>
        <w:rPr>
          <w:rFonts w:ascii="宋体" w:hAnsi="宋体" w:eastAsia="宋体" w:cs="宋体"/>
          <w:spacing w:val="-3"/>
          <w:sz w:val="24"/>
          <w:szCs w:val="24"/>
        </w:rPr>
        <w:t>为丰富，往往成为鱼类重要的索饵场所。</w:t>
      </w:r>
    </w:p>
    <w:p>
      <w:pPr>
        <w:spacing w:line="219" w:lineRule="auto"/>
        <w:rPr>
          <w:rFonts w:ascii="宋体" w:hAnsi="宋体" w:eastAsia="宋体" w:cs="宋体"/>
          <w:sz w:val="24"/>
          <w:szCs w:val="24"/>
        </w:rPr>
        <w:sectPr>
          <w:footerReference r:id="rId325" w:type="default"/>
          <w:pgSz w:w="11907" w:h="16839"/>
          <w:pgMar w:top="1156" w:right="1490" w:bottom="1374" w:left="1770" w:header="881" w:footer="1210" w:gutter="0"/>
        </w:sectPr>
      </w:pPr>
    </w:p>
    <w:p>
      <w:pPr>
        <w:spacing w:line="317" w:lineRule="auto"/>
        <w:rPr>
          <w:rFonts w:ascii="Arial"/>
          <w:sz w:val="21"/>
        </w:rPr>
      </w:pPr>
    </w:p>
    <w:p>
      <w:pPr>
        <w:spacing w:before="78" w:line="360" w:lineRule="auto"/>
        <w:ind w:left="38" w:right="285" w:firstLine="481"/>
        <w:rPr>
          <w:rFonts w:ascii="宋体" w:hAnsi="宋体" w:eastAsia="宋体" w:cs="宋体"/>
          <w:sz w:val="24"/>
          <w:szCs w:val="24"/>
        </w:rPr>
      </w:pPr>
      <w:r>
        <w:rPr>
          <w:rFonts w:ascii="Times New Roman" w:hAnsi="Times New Roman" w:eastAsia="Times New Roman" w:cs="Times New Roman"/>
          <w:spacing w:val="-1"/>
          <w:sz w:val="24"/>
          <w:szCs w:val="24"/>
        </w:rPr>
        <w:t>6</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月以后，干支流水位开始上涨，部分鱼类会沿支流上溯索饵。喜急流性</w:t>
      </w:r>
      <w:r>
        <w:rPr>
          <w:rFonts w:ascii="宋体" w:hAnsi="宋体" w:eastAsia="宋体" w:cs="宋体"/>
          <w:sz w:val="24"/>
          <w:szCs w:val="24"/>
        </w:rPr>
        <w:t xml:space="preserve"> 鱼类早春索饵区多为礁石林立的险滩和平缓的砾石长滩</w:t>
      </w:r>
      <w:r>
        <w:rPr>
          <w:rFonts w:ascii="宋体" w:hAnsi="宋体" w:eastAsia="宋体" w:cs="宋体"/>
          <w:spacing w:val="-1"/>
          <w:sz w:val="24"/>
          <w:szCs w:val="24"/>
        </w:rPr>
        <w:t>，水流比较湍急，其索</w:t>
      </w:r>
      <w:r>
        <w:rPr>
          <w:rFonts w:ascii="宋体" w:hAnsi="宋体" w:eastAsia="宋体" w:cs="宋体"/>
          <w:sz w:val="24"/>
          <w:szCs w:val="24"/>
        </w:rPr>
        <w:t xml:space="preserve"> 饵区与产卵场重叠较大；缓流水或静水性鱼类往往在险</w:t>
      </w:r>
      <w:r>
        <w:rPr>
          <w:rFonts w:ascii="宋体" w:hAnsi="宋体" w:eastAsia="宋体" w:cs="宋体"/>
          <w:spacing w:val="-1"/>
          <w:sz w:val="24"/>
          <w:szCs w:val="24"/>
        </w:rPr>
        <w:t>滩间水流平缓的顺直深</w:t>
      </w:r>
    </w:p>
    <w:p>
      <w:pPr>
        <w:spacing w:line="219" w:lineRule="auto"/>
        <w:ind w:left="39"/>
        <w:rPr>
          <w:rFonts w:ascii="宋体" w:hAnsi="宋体" w:eastAsia="宋体" w:cs="宋体"/>
          <w:sz w:val="24"/>
          <w:szCs w:val="24"/>
        </w:rPr>
      </w:pPr>
      <w:r>
        <w:rPr>
          <w:rFonts w:ascii="宋体" w:hAnsi="宋体" w:eastAsia="宋体" w:cs="宋体"/>
          <w:spacing w:val="-6"/>
          <w:sz w:val="24"/>
          <w:szCs w:val="24"/>
        </w:rPr>
        <w:t>潭河段、 河湾洄水区、开阔平缓河段和支流河口河段及支流索饵。</w:t>
      </w:r>
    </w:p>
    <w:p>
      <w:pPr>
        <w:spacing w:before="182" w:line="220" w:lineRule="auto"/>
        <w:ind w:left="518"/>
        <w:rPr>
          <w:rFonts w:ascii="宋体" w:hAnsi="宋体" w:eastAsia="宋体" w:cs="宋体"/>
          <w:sz w:val="24"/>
          <w:szCs w:val="24"/>
        </w:rPr>
      </w:pPr>
      <w:r>
        <w:rPr>
          <w:rFonts w:ascii="宋体" w:hAnsi="宋体" w:eastAsia="宋体" w:cs="宋体"/>
          <w:spacing w:val="-2"/>
          <w:sz w:val="24"/>
          <w:szCs w:val="24"/>
        </w:rPr>
        <w:t>Ⅲ.越冬场</w:t>
      </w:r>
    </w:p>
    <w:p>
      <w:pPr>
        <w:spacing w:before="182" w:line="360" w:lineRule="auto"/>
        <w:ind w:left="39" w:right="164" w:firstLine="480"/>
        <w:rPr>
          <w:rFonts w:ascii="宋体" w:hAnsi="宋体" w:eastAsia="宋体" w:cs="宋体"/>
          <w:sz w:val="24"/>
          <w:szCs w:val="24"/>
        </w:rPr>
      </w:pPr>
      <w:r>
        <w:rPr>
          <w:rFonts w:ascii="宋体" w:hAnsi="宋体" w:eastAsia="宋体" w:cs="宋体"/>
          <w:spacing w:val="-7"/>
          <w:sz w:val="24"/>
          <w:szCs w:val="24"/>
        </w:rPr>
        <w:t>每年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月份以后，评价区水域进入枯水期，随着气温下降</w:t>
      </w:r>
      <w:r>
        <w:rPr>
          <w:rFonts w:ascii="宋体" w:hAnsi="宋体" w:eastAsia="宋体" w:cs="宋体"/>
          <w:spacing w:val="-8"/>
          <w:sz w:val="24"/>
          <w:szCs w:val="24"/>
        </w:rPr>
        <w:t>，水量减少，</w:t>
      </w:r>
      <w:r>
        <w:rPr>
          <w:rFonts w:ascii="宋体" w:hAnsi="宋体" w:eastAsia="宋体" w:cs="宋体"/>
          <w:spacing w:val="64"/>
          <w:sz w:val="24"/>
          <w:szCs w:val="24"/>
        </w:rPr>
        <w:t xml:space="preserve"> </w:t>
      </w:r>
      <w:r>
        <w:rPr>
          <w:rFonts w:ascii="宋体" w:hAnsi="宋体" w:eastAsia="宋体" w:cs="宋体"/>
          <w:spacing w:val="-8"/>
          <w:sz w:val="24"/>
          <w:szCs w:val="24"/>
        </w:rPr>
        <w:t>水</w:t>
      </w:r>
      <w:r>
        <w:rPr>
          <w:rFonts w:ascii="宋体" w:hAnsi="宋体" w:eastAsia="宋体" w:cs="宋体"/>
          <w:sz w:val="24"/>
          <w:szCs w:val="24"/>
        </w:rPr>
        <w:t xml:space="preserve"> 位降低，鱼类活动减少，鱼类从支流或浅水区进入马万</w:t>
      </w:r>
      <w:r>
        <w:rPr>
          <w:rFonts w:ascii="宋体" w:hAnsi="宋体" w:eastAsia="宋体" w:cs="宋体"/>
          <w:spacing w:val="-1"/>
          <w:sz w:val="24"/>
          <w:szCs w:val="24"/>
        </w:rPr>
        <w:t>河下游缓流的深水河槽</w:t>
      </w:r>
      <w:r>
        <w:rPr>
          <w:rFonts w:ascii="宋体" w:hAnsi="宋体" w:eastAsia="宋体" w:cs="宋体"/>
          <w:sz w:val="24"/>
          <w:szCs w:val="24"/>
        </w:rPr>
        <w:t xml:space="preserve">  或深潭中，或进入碧么水库越冬。评价区水域为部分</w:t>
      </w:r>
      <w:r>
        <w:rPr>
          <w:rFonts w:ascii="宋体" w:hAnsi="宋体" w:eastAsia="宋体" w:cs="宋体"/>
          <w:spacing w:val="-1"/>
          <w:sz w:val="24"/>
          <w:szCs w:val="24"/>
        </w:rPr>
        <w:t>鱼类提供了一定的越冬场</w:t>
      </w:r>
      <w:r>
        <w:rPr>
          <w:rFonts w:ascii="宋体" w:hAnsi="宋体" w:eastAsia="宋体" w:cs="宋体"/>
          <w:sz w:val="24"/>
          <w:szCs w:val="24"/>
        </w:rPr>
        <w:t xml:space="preserve">  所，但多数鱼类，特别是个体较大的鱼类，会降河至碧</w:t>
      </w:r>
      <w:r>
        <w:rPr>
          <w:rFonts w:ascii="宋体" w:hAnsi="宋体" w:eastAsia="宋体" w:cs="宋体"/>
          <w:spacing w:val="-1"/>
          <w:sz w:val="24"/>
          <w:szCs w:val="24"/>
        </w:rPr>
        <w:t>么水库深水区越冬，未</w:t>
      </w:r>
    </w:p>
    <w:p>
      <w:pPr>
        <w:spacing w:line="219" w:lineRule="auto"/>
        <w:ind w:left="42"/>
        <w:rPr>
          <w:rFonts w:ascii="宋体" w:hAnsi="宋体" w:eastAsia="宋体" w:cs="宋体"/>
          <w:sz w:val="24"/>
          <w:szCs w:val="24"/>
        </w:rPr>
      </w:pPr>
      <w:r>
        <w:rPr>
          <w:rFonts w:ascii="宋体" w:hAnsi="宋体" w:eastAsia="宋体" w:cs="宋体"/>
          <w:spacing w:val="-4"/>
          <w:sz w:val="24"/>
          <w:szCs w:val="24"/>
        </w:rPr>
        <w:t>形成规模较大的越冬场。</w:t>
      </w:r>
    </w:p>
    <w:p>
      <w:pPr>
        <w:spacing w:before="183" w:line="220" w:lineRule="auto"/>
        <w:ind w:left="528"/>
        <w:rPr>
          <w:rFonts w:ascii="宋体" w:hAnsi="宋体" w:eastAsia="宋体" w:cs="宋体"/>
          <w:sz w:val="24"/>
          <w:szCs w:val="24"/>
        </w:rPr>
      </w:pPr>
      <w:r>
        <w:rPr>
          <w:rFonts w:ascii="宋体" w:hAnsi="宋体" w:eastAsia="宋体" w:cs="宋体"/>
          <w:spacing w:val="-3"/>
          <w:sz w:val="24"/>
          <w:szCs w:val="24"/>
        </w:rPr>
        <w:t>Ⅳ.洄游通道</w:t>
      </w:r>
    </w:p>
    <w:p>
      <w:pPr>
        <w:spacing w:before="182" w:line="360" w:lineRule="auto"/>
        <w:ind w:left="40" w:right="284" w:firstLine="480"/>
        <w:rPr>
          <w:rFonts w:ascii="宋体" w:hAnsi="宋体" w:eastAsia="宋体" w:cs="宋体"/>
          <w:sz w:val="24"/>
          <w:szCs w:val="24"/>
        </w:rPr>
      </w:pPr>
      <w:r>
        <w:rPr>
          <w:rFonts w:ascii="宋体" w:hAnsi="宋体" w:eastAsia="宋体" w:cs="宋体"/>
          <w:sz w:val="24"/>
          <w:szCs w:val="24"/>
        </w:rPr>
        <w:t>本项目建设影响水域主要为桂花河和罗子左河部</w:t>
      </w:r>
      <w:r>
        <w:rPr>
          <w:rFonts w:ascii="宋体" w:hAnsi="宋体" w:eastAsia="宋体" w:cs="宋体"/>
          <w:spacing w:val="-1"/>
          <w:sz w:val="24"/>
          <w:szCs w:val="24"/>
        </w:rPr>
        <w:t>分河段，其中输水线路跨</w:t>
      </w:r>
      <w:r>
        <w:rPr>
          <w:rFonts w:ascii="宋体" w:hAnsi="宋体" w:eastAsia="宋体" w:cs="宋体"/>
          <w:sz w:val="24"/>
          <w:szCs w:val="24"/>
        </w:rPr>
        <w:t xml:space="preserve"> </w:t>
      </w:r>
      <w:r>
        <w:rPr>
          <w:rFonts w:ascii="宋体" w:hAnsi="宋体" w:eastAsia="宋体" w:cs="宋体"/>
          <w:spacing w:val="-1"/>
          <w:sz w:val="24"/>
          <w:szCs w:val="24"/>
        </w:rPr>
        <w:t>域多条沟箐部分无水中施工，对其他河段中鱼类影响很小，仅仅对输水终点区</w:t>
      </w:r>
    </w:p>
    <w:p>
      <w:pPr>
        <w:spacing w:before="1" w:line="219" w:lineRule="auto"/>
        <w:ind w:left="42"/>
        <w:rPr>
          <w:rFonts w:ascii="宋体" w:hAnsi="宋体" w:eastAsia="宋体" w:cs="宋体"/>
          <w:sz w:val="24"/>
          <w:szCs w:val="24"/>
        </w:rPr>
      </w:pPr>
      <w:r>
        <w:rPr>
          <w:rFonts w:ascii="宋体" w:hAnsi="宋体" w:eastAsia="宋体" w:cs="宋体"/>
          <w:sz w:val="24"/>
          <w:szCs w:val="24"/>
        </w:rPr>
        <w:t>碧么水库有些影响。由于桂花水库、碧么水库</w:t>
      </w:r>
      <w:r>
        <w:rPr>
          <w:rFonts w:ascii="宋体" w:hAnsi="宋体" w:eastAsia="宋体" w:cs="宋体"/>
          <w:spacing w:val="-1"/>
          <w:sz w:val="24"/>
          <w:szCs w:val="24"/>
        </w:rPr>
        <w:t>未来储水量大增，水体面积增</w:t>
      </w:r>
    </w:p>
    <w:p>
      <w:pPr>
        <w:spacing w:before="183" w:line="360" w:lineRule="auto"/>
        <w:ind w:left="41" w:right="284"/>
        <w:rPr>
          <w:rFonts w:ascii="宋体" w:hAnsi="宋体" w:eastAsia="宋体" w:cs="宋体"/>
          <w:sz w:val="24"/>
          <w:szCs w:val="24"/>
        </w:rPr>
      </w:pPr>
      <w:r>
        <w:rPr>
          <w:rFonts w:ascii="宋体" w:hAnsi="宋体" w:eastAsia="宋体" w:cs="宋体"/>
          <w:spacing w:val="-5"/>
          <w:sz w:val="24"/>
          <w:szCs w:val="24"/>
        </w:rPr>
        <w:t>大，可能会增加这些水库中鱼类的多样性和数量，特别是桂花</w:t>
      </w:r>
      <w:r>
        <w:rPr>
          <w:rFonts w:ascii="宋体" w:hAnsi="宋体" w:eastAsia="宋体" w:cs="宋体"/>
          <w:spacing w:val="-6"/>
          <w:sz w:val="24"/>
          <w:szCs w:val="24"/>
        </w:rPr>
        <w:t>水库。</w:t>
      </w:r>
      <w:r>
        <w:rPr>
          <w:rFonts w:ascii="宋体" w:hAnsi="宋体" w:eastAsia="宋体" w:cs="宋体"/>
          <w:spacing w:val="44"/>
          <w:sz w:val="24"/>
          <w:szCs w:val="24"/>
        </w:rPr>
        <w:t xml:space="preserve"> </w:t>
      </w:r>
      <w:r>
        <w:rPr>
          <w:rFonts w:ascii="宋体" w:hAnsi="宋体" w:eastAsia="宋体" w:cs="宋体"/>
          <w:spacing w:val="-6"/>
          <w:sz w:val="24"/>
          <w:szCs w:val="24"/>
        </w:rPr>
        <w:t>根据本次</w:t>
      </w:r>
      <w:r>
        <w:rPr>
          <w:rFonts w:ascii="宋体" w:hAnsi="宋体" w:eastAsia="宋体" w:cs="宋体"/>
          <w:sz w:val="24"/>
          <w:szCs w:val="24"/>
        </w:rPr>
        <w:t xml:space="preserve"> 生态调查及文献资料，评价区没有洄性游鱼类分</w:t>
      </w:r>
      <w:r>
        <w:rPr>
          <w:rFonts w:ascii="宋体" w:hAnsi="宋体" w:eastAsia="宋体" w:cs="宋体"/>
          <w:spacing w:val="-1"/>
          <w:sz w:val="24"/>
          <w:szCs w:val="24"/>
        </w:rPr>
        <w:t>布，因此不存在对鱼类洄游通</w:t>
      </w:r>
    </w:p>
    <w:p>
      <w:pPr>
        <w:spacing w:before="1" w:line="221" w:lineRule="auto"/>
        <w:ind w:left="38"/>
        <w:rPr>
          <w:rFonts w:ascii="宋体" w:hAnsi="宋体" w:eastAsia="宋体" w:cs="宋体"/>
          <w:sz w:val="24"/>
          <w:szCs w:val="24"/>
        </w:rPr>
      </w:pPr>
      <w:r>
        <w:rPr>
          <w:rFonts w:ascii="宋体" w:hAnsi="宋体" w:eastAsia="宋体" w:cs="宋体"/>
          <w:spacing w:val="-6"/>
          <w:sz w:val="24"/>
          <w:szCs w:val="24"/>
        </w:rPr>
        <w:t>道的影响问题。</w:t>
      </w:r>
    </w:p>
    <w:p>
      <w:pPr>
        <w:spacing w:before="179" w:line="218" w:lineRule="auto"/>
        <w:ind w:left="523"/>
        <w:rPr>
          <w:rFonts w:ascii="宋体" w:hAnsi="宋体" w:eastAsia="宋体" w:cs="宋体"/>
          <w:sz w:val="24"/>
          <w:szCs w:val="24"/>
        </w:rPr>
      </w:pPr>
      <w:r>
        <w:rPr>
          <w:rFonts w:ascii="宋体" w:hAnsi="宋体" w:eastAsia="宋体" w:cs="宋体"/>
          <w:spacing w:val="-1"/>
          <w:sz w:val="24"/>
          <w:szCs w:val="24"/>
        </w:rPr>
        <w:t>故评价区鱼类在调查水域较为普遍，本次生态调查未发现鱼类规模产卵</w:t>
      </w:r>
    </w:p>
    <w:p>
      <w:pPr>
        <w:spacing w:before="185" w:line="468" w:lineRule="exact"/>
        <w:ind w:left="38"/>
        <w:rPr>
          <w:rFonts w:ascii="宋体" w:hAnsi="宋体" w:eastAsia="宋体" w:cs="宋体"/>
          <w:sz w:val="24"/>
          <w:szCs w:val="24"/>
        </w:rPr>
      </w:pPr>
      <w:r>
        <w:rPr>
          <w:rFonts w:ascii="宋体" w:hAnsi="宋体" w:eastAsia="宋体" w:cs="宋体"/>
          <w:position w:val="17"/>
          <w:sz w:val="24"/>
          <w:szCs w:val="24"/>
        </w:rPr>
        <w:t>场；评价区涉及河段无明显的鱼类索饵场所和未形成规</w:t>
      </w:r>
      <w:r>
        <w:rPr>
          <w:rFonts w:ascii="宋体" w:hAnsi="宋体" w:eastAsia="宋体" w:cs="宋体"/>
          <w:spacing w:val="-1"/>
          <w:position w:val="17"/>
          <w:sz w:val="24"/>
          <w:szCs w:val="24"/>
        </w:rPr>
        <w:t>模较大的越冬场；评价</w:t>
      </w:r>
    </w:p>
    <w:p>
      <w:pPr>
        <w:spacing w:before="1" w:line="218" w:lineRule="auto"/>
        <w:ind w:left="57"/>
        <w:rPr>
          <w:rFonts w:ascii="宋体" w:hAnsi="宋体" w:eastAsia="宋体" w:cs="宋体"/>
          <w:sz w:val="24"/>
          <w:szCs w:val="24"/>
        </w:rPr>
      </w:pPr>
      <w:r>
        <w:rPr>
          <w:rFonts w:ascii="宋体" w:hAnsi="宋体" w:eastAsia="宋体" w:cs="宋体"/>
          <w:spacing w:val="-2"/>
          <w:sz w:val="24"/>
          <w:szCs w:val="24"/>
        </w:rPr>
        <w:t>区涉及河段未发现洄性游鱼类分布。</w:t>
      </w:r>
    </w:p>
    <w:p>
      <w:pPr>
        <w:spacing w:before="184" w:line="218" w:lineRule="auto"/>
        <w:ind w:left="522"/>
        <w:rPr>
          <w:rFonts w:ascii="宋体" w:hAnsi="宋体" w:eastAsia="宋体" w:cs="宋体"/>
          <w:sz w:val="24"/>
          <w:szCs w:val="24"/>
        </w:rPr>
      </w:pPr>
      <w:r>
        <w:rPr>
          <w:rFonts w:ascii="宋体" w:hAnsi="宋体" w:eastAsia="宋体" w:cs="宋体"/>
          <w:spacing w:val="-6"/>
          <w:sz w:val="24"/>
          <w:szCs w:val="24"/>
        </w:rPr>
        <w:t>综上所述， 本项目评价区范围内水域均不涉及鱼类三场一通道。</w:t>
      </w:r>
    </w:p>
    <w:p>
      <w:pPr>
        <w:spacing w:before="217" w:line="218"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）生态系统现状评价</w:t>
      </w:r>
    </w:p>
    <w:p>
      <w:pPr>
        <w:spacing w:before="155" w:line="441" w:lineRule="exact"/>
        <w:ind w:left="519"/>
        <w:rPr>
          <w:rFonts w:ascii="宋体" w:hAnsi="宋体" w:eastAsia="宋体" w:cs="宋体"/>
          <w:sz w:val="24"/>
          <w:szCs w:val="24"/>
        </w:rPr>
      </w:pPr>
      <w:r>
        <w:rPr>
          <w:rFonts w:ascii="宋体" w:hAnsi="宋体" w:eastAsia="宋体" w:cs="宋体"/>
          <w:spacing w:val="-10"/>
          <w:position w:val="15"/>
          <w:sz w:val="24"/>
          <w:szCs w:val="24"/>
        </w:rPr>
        <w:t>根据遥感影像解析和实地调查， 采用图形叠置法， 得出评价区主要有</w:t>
      </w:r>
      <w:r>
        <w:rPr>
          <w:rFonts w:ascii="宋体" w:hAnsi="宋体" w:eastAsia="宋体" w:cs="宋体"/>
          <w:spacing w:val="-39"/>
          <w:position w:val="15"/>
          <w:sz w:val="24"/>
          <w:szCs w:val="24"/>
        </w:rPr>
        <w:t xml:space="preserve"> </w:t>
      </w:r>
      <w:r>
        <w:rPr>
          <w:rFonts w:ascii="Times New Roman" w:hAnsi="Times New Roman" w:eastAsia="Times New Roman" w:cs="Times New Roman"/>
          <w:spacing w:val="-10"/>
          <w:position w:val="15"/>
          <w:sz w:val="24"/>
          <w:szCs w:val="24"/>
        </w:rPr>
        <w:t xml:space="preserve">5 </w:t>
      </w:r>
      <w:r>
        <w:rPr>
          <w:rFonts w:ascii="宋体" w:hAnsi="宋体" w:eastAsia="宋体" w:cs="宋体"/>
          <w:spacing w:val="-10"/>
          <w:position w:val="15"/>
          <w:sz w:val="24"/>
          <w:szCs w:val="24"/>
        </w:rPr>
        <w:t>种生</w:t>
      </w:r>
    </w:p>
    <w:p>
      <w:pPr>
        <w:spacing w:line="219" w:lineRule="auto"/>
        <w:ind w:left="39"/>
        <w:rPr>
          <w:rFonts w:ascii="宋体" w:hAnsi="宋体" w:eastAsia="宋体" w:cs="宋体"/>
          <w:sz w:val="24"/>
          <w:szCs w:val="24"/>
        </w:rPr>
      </w:pPr>
      <w:r>
        <w:rPr>
          <w:rFonts w:ascii="宋体" w:hAnsi="宋体" w:eastAsia="宋体" w:cs="宋体"/>
          <w:spacing w:val="-2"/>
          <w:sz w:val="24"/>
          <w:szCs w:val="24"/>
        </w:rPr>
        <w:t>态系统类型，其类型及特征见下表。</w:t>
      </w:r>
    </w:p>
    <w:p>
      <w:pPr>
        <w:pStyle w:val="2"/>
        <w:spacing w:before="181" w:line="232" w:lineRule="auto"/>
        <w:ind w:left="2497"/>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3.2-41    </w:t>
      </w:r>
      <w:r>
        <w:rPr>
          <w14:textOutline w14:w="3810" w14:cap="flat" w14:cmpd="sng">
            <w14:solidFill>
              <w14:srgbClr w14:val="000000"/>
            </w14:solidFill>
            <w14:prstDash w14:val="solid"/>
            <w14:miter w14:val="0"/>
          </w14:textOutline>
        </w:rPr>
        <w:t>评价区生态系统类</w:t>
      </w:r>
      <w:r>
        <w:rPr>
          <w:spacing w:val="-1"/>
          <w14:textOutline w14:w="3810" w14:cap="flat" w14:cmpd="sng">
            <w14:solidFill>
              <w14:srgbClr w14:val="000000"/>
            </w14:solidFill>
            <w14:prstDash w14:val="solid"/>
            <w14:miter w14:val="0"/>
          </w14:textOutline>
        </w:rPr>
        <w:t>型</w:t>
      </w:r>
      <w:r>
        <w:rPr>
          <w:rFonts w:ascii="Times New Roman" w:hAnsi="Times New Roman" w:eastAsia="Times New Roman" w:cs="Times New Roman"/>
          <w:b/>
          <w:bCs/>
          <w:spacing w:val="-1"/>
        </w:rPr>
        <w:t>/</w:t>
      </w:r>
      <w:r>
        <w:rPr>
          <w:spacing w:val="-1"/>
          <w14:textOutline w14:w="3810" w14:cap="flat" w14:cmpd="sng">
            <w14:solidFill>
              <w14:srgbClr w14:val="000000"/>
            </w14:solidFill>
            <w14:prstDash w14:val="solid"/>
            <w14:miter w14:val="0"/>
          </w14:textOutline>
        </w:rPr>
        <w:t>面积统计</w:t>
      </w:r>
    </w:p>
    <w:p>
      <w:pPr>
        <w:spacing w:line="50" w:lineRule="auto"/>
        <w:rPr>
          <w:rFonts w:ascii="Arial"/>
          <w:sz w:val="2"/>
        </w:rPr>
      </w:pPr>
    </w:p>
    <w:tbl>
      <w:tblPr>
        <w:tblStyle w:val="5"/>
        <w:tblW w:w="8459"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2154"/>
        <w:gridCol w:w="1017"/>
        <w:gridCol w:w="1701"/>
        <w:gridCol w:w="1134"/>
        <w:gridCol w:w="1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468" w:type="dxa"/>
            <w:vMerge w:val="restart"/>
            <w:tcBorders>
              <w:top w:val="single" w:color="000000" w:sz="12" w:space="0"/>
              <w:left w:val="nil"/>
              <w:bottom w:val="nil"/>
            </w:tcBorders>
            <w:textDirection w:val="tbRlV"/>
            <w:vAlign w:val="top"/>
          </w:tcPr>
          <w:p>
            <w:pPr>
              <w:spacing w:before="119" w:line="202" w:lineRule="auto"/>
              <w:ind w:left="225"/>
              <w:rPr>
                <w:rFonts w:ascii="仿宋" w:hAnsi="仿宋" w:eastAsia="仿宋" w:cs="仿宋"/>
                <w:sz w:val="21"/>
                <w:szCs w:val="21"/>
              </w:rPr>
            </w:pPr>
            <w:r>
              <w:rPr>
                <w:rFonts w:ascii="仿宋" w:hAnsi="仿宋" w:eastAsia="仿宋" w:cs="仿宋"/>
                <w:spacing w:val="-1"/>
                <w:sz w:val="21"/>
                <w:szCs w:val="21"/>
                <w14:textOutline w14:w="3810" w14:cap="flat" w14:cmpd="sng">
                  <w14:solidFill>
                    <w14:srgbClr w14:val="000000"/>
                  </w14:solidFill>
                  <w14:prstDash w14:val="solid"/>
                  <w14:miter w14:val="0"/>
                </w14:textOutline>
              </w:rPr>
              <w:t>序</w:t>
            </w:r>
            <w:r>
              <w:rPr>
                <w:rFonts w:ascii="仿宋" w:hAnsi="仿宋" w:eastAsia="仿宋" w:cs="仿宋"/>
                <w:spacing w:val="-1"/>
                <w:sz w:val="21"/>
                <w:szCs w:val="21"/>
              </w:rPr>
              <w:t xml:space="preserve"> </w:t>
            </w:r>
            <w:r>
              <w:rPr>
                <w:rFonts w:ascii="仿宋" w:hAnsi="仿宋" w:eastAsia="仿宋" w:cs="仿宋"/>
                <w:spacing w:val="-1"/>
                <w:sz w:val="21"/>
                <w:szCs w:val="21"/>
                <w14:textOutline w14:w="3810" w14:cap="flat" w14:cmpd="sng">
                  <w14:solidFill>
                    <w14:srgbClr w14:val="000000"/>
                  </w14:solidFill>
                  <w14:prstDash w14:val="solid"/>
                  <w14:miter w14:val="0"/>
                </w14:textOutline>
              </w:rPr>
              <w:t>号</w:t>
            </w:r>
          </w:p>
        </w:tc>
        <w:tc>
          <w:tcPr>
            <w:tcW w:w="2154" w:type="dxa"/>
            <w:vMerge w:val="restart"/>
            <w:tcBorders>
              <w:top w:val="single" w:color="000000" w:sz="12" w:space="0"/>
              <w:bottom w:val="nil"/>
            </w:tcBorders>
            <w:vAlign w:val="top"/>
          </w:tcPr>
          <w:p>
            <w:pPr>
              <w:spacing w:line="311" w:lineRule="auto"/>
              <w:rPr>
                <w:rFonts w:ascii="Arial"/>
                <w:sz w:val="21"/>
              </w:rPr>
            </w:pPr>
          </w:p>
          <w:p>
            <w:pPr>
              <w:spacing w:before="68" w:line="220" w:lineRule="auto"/>
              <w:ind w:left="46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生态系统类型</w:t>
            </w:r>
          </w:p>
        </w:tc>
        <w:tc>
          <w:tcPr>
            <w:tcW w:w="2718" w:type="dxa"/>
            <w:gridSpan w:val="2"/>
            <w:tcBorders>
              <w:top w:val="single" w:color="000000" w:sz="12" w:space="0"/>
            </w:tcBorders>
            <w:vAlign w:val="top"/>
          </w:tcPr>
          <w:p>
            <w:pPr>
              <w:spacing w:before="63" w:line="220" w:lineRule="auto"/>
              <w:ind w:left="84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项目占地区</w:t>
            </w:r>
          </w:p>
        </w:tc>
        <w:tc>
          <w:tcPr>
            <w:tcW w:w="3119" w:type="dxa"/>
            <w:gridSpan w:val="2"/>
            <w:tcBorders>
              <w:top w:val="single" w:color="000000" w:sz="12" w:space="0"/>
              <w:right w:val="nil"/>
            </w:tcBorders>
            <w:vAlign w:val="top"/>
          </w:tcPr>
          <w:p>
            <w:pPr>
              <w:spacing w:before="64" w:line="218" w:lineRule="auto"/>
              <w:ind w:left="125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0" w:hRule="atLeast"/>
        </w:trPr>
        <w:tc>
          <w:tcPr>
            <w:tcW w:w="468" w:type="dxa"/>
            <w:vMerge w:val="continue"/>
            <w:tcBorders>
              <w:top w:val="nil"/>
              <w:left w:val="nil"/>
            </w:tcBorders>
            <w:textDirection w:val="tbRlV"/>
            <w:vAlign w:val="top"/>
          </w:tcPr>
          <w:p>
            <w:pPr>
              <w:rPr>
                <w:rFonts w:ascii="Arial"/>
                <w:sz w:val="21"/>
              </w:rPr>
            </w:pPr>
          </w:p>
        </w:tc>
        <w:tc>
          <w:tcPr>
            <w:tcW w:w="2154" w:type="dxa"/>
            <w:vMerge w:val="continue"/>
            <w:tcBorders>
              <w:top w:val="nil"/>
            </w:tcBorders>
            <w:vAlign w:val="top"/>
          </w:tcPr>
          <w:p>
            <w:pPr>
              <w:rPr>
                <w:rFonts w:ascii="Arial"/>
                <w:sz w:val="21"/>
              </w:rPr>
            </w:pPr>
          </w:p>
        </w:tc>
        <w:tc>
          <w:tcPr>
            <w:tcW w:w="1017" w:type="dxa"/>
            <w:vAlign w:val="top"/>
          </w:tcPr>
          <w:p>
            <w:pPr>
              <w:pStyle w:val="6"/>
              <w:spacing w:before="57" w:line="243" w:lineRule="auto"/>
              <w:ind w:left="127" w:right="127" w:firstLine="185"/>
              <w:rPr>
                <w:rFonts w:ascii="仿宋" w:hAnsi="仿宋" w:eastAsia="仿宋" w:cs="仿宋"/>
              </w:rPr>
            </w:pPr>
            <w:r>
              <w:rPr>
                <w:rFonts w:ascii="仿宋" w:hAnsi="仿宋" w:eastAsia="仿宋" w:cs="仿宋"/>
                <w:spacing w:val="-9"/>
                <w14:textOutline w14:w="3810" w14:cap="flat" w14:cmpd="sng">
                  <w14:solidFill>
                    <w14:srgbClr w14:val="000000"/>
                  </w14:solidFill>
                  <w14:prstDash w14:val="solid"/>
                  <w14:miter w14:val="0"/>
                </w14:textOutline>
              </w:rPr>
              <w:t>面积</w:t>
            </w:r>
            <w:r>
              <w:rPr>
                <w:rFonts w:ascii="仿宋" w:hAnsi="仿宋" w:eastAsia="仿宋" w:cs="仿宋"/>
              </w:rPr>
              <w:t xml:space="preserve">  </w:t>
            </w:r>
            <w:r>
              <w:rPr>
                <w:rFonts w:ascii="仿宋" w:hAnsi="仿宋" w:eastAsia="仿宋" w:cs="仿宋"/>
                <w:spacing w:val="-6"/>
                <w14:textOutline w14:w="3810" w14:cap="flat" w14:cmpd="sng">
                  <w14:solidFill>
                    <w14:srgbClr w14:val="000000"/>
                  </w14:solidFill>
                  <w14:prstDash w14:val="solid"/>
                  <w14:miter w14:val="0"/>
                </w14:textOutline>
              </w:rPr>
              <w:t>（</w:t>
            </w:r>
            <w:r>
              <w:rPr>
                <w:b/>
                <w:bCs/>
                <w:spacing w:val="-6"/>
              </w:rPr>
              <w:t>hm</w:t>
            </w:r>
            <w:r>
              <w:rPr>
                <w:b/>
                <w:bCs/>
                <w:spacing w:val="-6"/>
                <w:position w:val="6"/>
                <w:sz w:val="14"/>
                <w:szCs w:val="14"/>
              </w:rPr>
              <w:t>2</w:t>
            </w:r>
            <w:r>
              <w:rPr>
                <w:rFonts w:ascii="仿宋" w:hAnsi="仿宋" w:eastAsia="仿宋" w:cs="仿宋"/>
                <w:spacing w:val="-6"/>
                <w14:textOutline w14:w="3810" w14:cap="flat" w14:cmpd="sng">
                  <w14:solidFill>
                    <w14:srgbClr w14:val="000000"/>
                  </w14:solidFill>
                  <w14:prstDash w14:val="solid"/>
                  <w14:miter w14:val="0"/>
                </w14:textOutline>
              </w:rPr>
              <w:t>）</w:t>
            </w:r>
          </w:p>
        </w:tc>
        <w:tc>
          <w:tcPr>
            <w:tcW w:w="1701" w:type="dxa"/>
            <w:vAlign w:val="top"/>
          </w:tcPr>
          <w:p>
            <w:pPr>
              <w:pStyle w:val="6"/>
              <w:spacing w:before="57" w:line="243" w:lineRule="auto"/>
              <w:ind w:left="241" w:right="111" w:hanging="81"/>
              <w:rPr>
                <w:rFonts w:ascii="仿宋" w:hAnsi="仿宋" w:eastAsia="仿宋" w:cs="仿宋"/>
              </w:rPr>
            </w:pPr>
            <w:r>
              <w:rPr>
                <w:rFonts w:ascii="仿宋" w:hAnsi="仿宋" w:eastAsia="仿宋" w:cs="仿宋"/>
                <w:spacing w:val="-7"/>
                <w14:textOutline w14:w="3810" w14:cap="flat" w14:cmpd="sng">
                  <w14:solidFill>
                    <w14:srgbClr w14:val="000000"/>
                  </w14:solidFill>
                  <w14:prstDash w14:val="solid"/>
                  <w14:miter w14:val="0"/>
                </w14:textOutline>
              </w:rPr>
              <w:t>占该类型总面积</w:t>
            </w:r>
            <w:r>
              <w:rPr>
                <w:rFonts w:ascii="仿宋" w:hAnsi="仿宋" w:eastAsia="仿宋" w:cs="仿宋"/>
                <w:spacing w:val="2"/>
              </w:rPr>
              <w:t xml:space="preserve"> </w:t>
            </w:r>
            <w:r>
              <w:rPr>
                <w:rFonts w:ascii="仿宋" w:hAnsi="仿宋" w:eastAsia="仿宋" w:cs="仿宋"/>
                <w:spacing w:val="-4"/>
                <w14:textOutline w14:w="3810" w14:cap="flat" w14:cmpd="sng">
                  <w14:solidFill>
                    <w14:srgbClr w14:val="000000"/>
                  </w14:solidFill>
                  <w14:prstDash w14:val="solid"/>
                  <w14:miter w14:val="0"/>
                </w14:textOutline>
              </w:rPr>
              <w:t>的比例（</w:t>
            </w:r>
            <w:r>
              <w:rPr>
                <w:b/>
                <w:bCs/>
                <w:spacing w:val="-4"/>
              </w:rPr>
              <w:t>%</w:t>
            </w:r>
            <w:r>
              <w:rPr>
                <w:rFonts w:ascii="仿宋" w:hAnsi="仿宋" w:eastAsia="仿宋" w:cs="仿宋"/>
                <w:spacing w:val="-4"/>
                <w14:textOutline w14:w="3810" w14:cap="flat" w14:cmpd="sng">
                  <w14:solidFill>
                    <w14:srgbClr w14:val="000000"/>
                  </w14:solidFill>
                  <w14:prstDash w14:val="solid"/>
                  <w14:miter w14:val="0"/>
                </w14:textOutline>
              </w:rPr>
              <w:t>）</w:t>
            </w:r>
          </w:p>
        </w:tc>
        <w:tc>
          <w:tcPr>
            <w:tcW w:w="1134" w:type="dxa"/>
            <w:vAlign w:val="top"/>
          </w:tcPr>
          <w:p>
            <w:pPr>
              <w:pStyle w:val="6"/>
              <w:spacing w:before="57" w:line="243" w:lineRule="auto"/>
              <w:ind w:left="185" w:right="187" w:firstLine="185"/>
              <w:rPr>
                <w:rFonts w:ascii="仿宋" w:hAnsi="仿宋" w:eastAsia="仿宋" w:cs="仿宋"/>
              </w:rPr>
            </w:pPr>
            <w:r>
              <w:rPr>
                <w:rFonts w:ascii="仿宋" w:hAnsi="仿宋" w:eastAsia="仿宋" w:cs="仿宋"/>
                <w:spacing w:val="-9"/>
                <w14:textOutline w14:w="3810" w14:cap="flat" w14:cmpd="sng">
                  <w14:solidFill>
                    <w14:srgbClr w14:val="000000"/>
                  </w14:solidFill>
                  <w14:prstDash w14:val="solid"/>
                  <w14:miter w14:val="0"/>
                </w14:textOutline>
              </w:rPr>
              <w:t>面积</w:t>
            </w:r>
            <w:r>
              <w:rPr>
                <w:rFonts w:ascii="仿宋" w:hAnsi="仿宋" w:eastAsia="仿宋" w:cs="仿宋"/>
              </w:rPr>
              <w:t xml:space="preserve">  </w:t>
            </w:r>
            <w:r>
              <w:rPr>
                <w:rFonts w:ascii="仿宋" w:hAnsi="仿宋" w:eastAsia="仿宋" w:cs="仿宋"/>
                <w:spacing w:val="-6"/>
                <w14:textOutline w14:w="3810" w14:cap="flat" w14:cmpd="sng">
                  <w14:solidFill>
                    <w14:srgbClr w14:val="000000"/>
                  </w14:solidFill>
                  <w14:prstDash w14:val="solid"/>
                  <w14:miter w14:val="0"/>
                </w14:textOutline>
              </w:rPr>
              <w:t>（</w:t>
            </w:r>
            <w:r>
              <w:rPr>
                <w:b/>
                <w:bCs/>
                <w:spacing w:val="-6"/>
              </w:rPr>
              <w:t>hm</w:t>
            </w:r>
            <w:r>
              <w:rPr>
                <w:b/>
                <w:bCs/>
                <w:spacing w:val="-6"/>
                <w:position w:val="6"/>
                <w:sz w:val="14"/>
                <w:szCs w:val="14"/>
              </w:rPr>
              <w:t>2</w:t>
            </w:r>
            <w:r>
              <w:rPr>
                <w:rFonts w:ascii="仿宋" w:hAnsi="仿宋" w:eastAsia="仿宋" w:cs="仿宋"/>
                <w:spacing w:val="-6"/>
                <w14:textOutline w14:w="3810" w14:cap="flat" w14:cmpd="sng">
                  <w14:solidFill>
                    <w14:srgbClr w14:val="000000"/>
                  </w14:solidFill>
                  <w14:prstDash w14:val="solid"/>
                  <w14:miter w14:val="0"/>
                </w14:textOutline>
              </w:rPr>
              <w:t>）</w:t>
            </w:r>
          </w:p>
        </w:tc>
        <w:tc>
          <w:tcPr>
            <w:tcW w:w="1985" w:type="dxa"/>
            <w:tcBorders>
              <w:right w:val="nil"/>
            </w:tcBorders>
            <w:vAlign w:val="top"/>
          </w:tcPr>
          <w:p>
            <w:pPr>
              <w:pStyle w:val="6"/>
              <w:spacing w:before="57" w:line="243" w:lineRule="auto"/>
              <w:ind w:left="499" w:right="151" w:hanging="304"/>
              <w:rPr>
                <w:rFonts w:ascii="仿宋" w:hAnsi="仿宋" w:eastAsia="仿宋" w:cs="仿宋"/>
              </w:rPr>
            </w:pPr>
            <w:r>
              <w:rPr>
                <w:rFonts w:ascii="仿宋" w:hAnsi="仿宋" w:eastAsia="仿宋" w:cs="仿宋"/>
                <w:spacing w:val="-6"/>
                <w14:textOutline w14:w="3810" w14:cap="flat" w14:cmpd="sng">
                  <w14:solidFill>
                    <w14:srgbClr w14:val="000000"/>
                  </w14:solidFill>
                  <w14:prstDash w14:val="solid"/>
                  <w14:miter w14:val="0"/>
                </w14:textOutline>
              </w:rPr>
              <w:t>占评价区总面积的</w:t>
            </w:r>
            <w:r>
              <w:rPr>
                <w:rFonts w:ascii="仿宋" w:hAnsi="仿宋" w:eastAsia="仿宋" w:cs="仿宋"/>
                <w:spacing w:val="2"/>
              </w:rPr>
              <w:t xml:space="preserve"> </w:t>
            </w:r>
            <w:r>
              <w:rPr>
                <w:rFonts w:ascii="仿宋" w:hAnsi="仿宋" w:eastAsia="仿宋" w:cs="仿宋"/>
                <w:spacing w:val="-7"/>
                <w14:textOutline w14:w="3810" w14:cap="flat" w14:cmpd="sng">
                  <w14:solidFill>
                    <w14:srgbClr w14:val="000000"/>
                  </w14:solidFill>
                  <w14:prstDash w14:val="solid"/>
                  <w14:miter w14:val="0"/>
                </w14:textOutline>
              </w:rPr>
              <w:t>比例（</w:t>
            </w:r>
            <w:r>
              <w:rPr>
                <w:b/>
                <w:bCs/>
                <w:spacing w:val="-7"/>
              </w:rPr>
              <w:t>%</w:t>
            </w:r>
            <w:r>
              <w:rPr>
                <w:rFonts w:ascii="仿宋" w:hAnsi="仿宋" w:eastAsia="仿宋" w:cs="仿宋"/>
                <w:spacing w:val="-7"/>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7" w:hRule="atLeast"/>
        </w:trPr>
        <w:tc>
          <w:tcPr>
            <w:tcW w:w="468" w:type="dxa"/>
            <w:tcBorders>
              <w:left w:val="nil"/>
            </w:tcBorders>
            <w:vAlign w:val="top"/>
          </w:tcPr>
          <w:p>
            <w:pPr>
              <w:pStyle w:val="6"/>
              <w:spacing w:before="122" w:line="186" w:lineRule="auto"/>
              <w:ind w:left="212"/>
            </w:pPr>
            <w:r>
              <w:t>1</w:t>
            </w:r>
          </w:p>
        </w:tc>
        <w:tc>
          <w:tcPr>
            <w:tcW w:w="2154" w:type="dxa"/>
            <w:vAlign w:val="top"/>
          </w:tcPr>
          <w:p>
            <w:pPr>
              <w:spacing w:before="83" w:line="218" w:lineRule="auto"/>
              <w:ind w:left="460"/>
              <w:rPr>
                <w:rFonts w:ascii="仿宋" w:hAnsi="仿宋" w:eastAsia="仿宋" w:cs="仿宋"/>
                <w:sz w:val="21"/>
                <w:szCs w:val="21"/>
              </w:rPr>
            </w:pPr>
            <w:r>
              <w:rPr>
                <w:rFonts w:ascii="仿宋" w:hAnsi="仿宋" w:eastAsia="仿宋" w:cs="仿宋"/>
                <w:spacing w:val="-3"/>
                <w:sz w:val="21"/>
                <w:szCs w:val="21"/>
              </w:rPr>
              <w:t>森林生态系统</w:t>
            </w:r>
          </w:p>
        </w:tc>
        <w:tc>
          <w:tcPr>
            <w:tcW w:w="1017" w:type="dxa"/>
            <w:vAlign w:val="top"/>
          </w:tcPr>
          <w:p>
            <w:pPr>
              <w:pStyle w:val="6"/>
              <w:spacing w:before="121" w:line="186" w:lineRule="auto"/>
              <w:ind w:left="281"/>
            </w:pPr>
            <w:r>
              <w:rPr>
                <w:spacing w:val="-3"/>
              </w:rPr>
              <w:t>87.53</w:t>
            </w:r>
          </w:p>
        </w:tc>
        <w:tc>
          <w:tcPr>
            <w:tcW w:w="1701" w:type="dxa"/>
            <w:vAlign w:val="top"/>
          </w:tcPr>
          <w:p>
            <w:pPr>
              <w:pStyle w:val="6"/>
              <w:spacing w:before="121" w:line="186" w:lineRule="auto"/>
              <w:ind w:left="636"/>
            </w:pPr>
            <w:r>
              <w:rPr>
                <w:spacing w:val="-5"/>
              </w:rPr>
              <w:t>18.28</w:t>
            </w:r>
          </w:p>
        </w:tc>
        <w:tc>
          <w:tcPr>
            <w:tcW w:w="1134" w:type="dxa"/>
            <w:vAlign w:val="top"/>
          </w:tcPr>
          <w:p>
            <w:pPr>
              <w:pStyle w:val="6"/>
              <w:spacing w:before="121" w:line="186" w:lineRule="auto"/>
              <w:ind w:left="278"/>
            </w:pPr>
            <w:r>
              <w:rPr>
                <w:spacing w:val="-1"/>
              </w:rPr>
              <w:t>478.87</w:t>
            </w:r>
          </w:p>
        </w:tc>
        <w:tc>
          <w:tcPr>
            <w:tcW w:w="1985" w:type="dxa"/>
            <w:tcBorders>
              <w:right w:val="nil"/>
            </w:tcBorders>
            <w:vAlign w:val="top"/>
          </w:tcPr>
          <w:p>
            <w:pPr>
              <w:pStyle w:val="6"/>
              <w:spacing w:before="121" w:line="186" w:lineRule="auto"/>
              <w:ind w:left="757"/>
            </w:pPr>
            <w:r>
              <w:rPr>
                <w:spacing w:val="-1"/>
              </w:rPr>
              <w:t>29.18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468" w:type="dxa"/>
            <w:tcBorders>
              <w:left w:val="nil"/>
            </w:tcBorders>
            <w:vAlign w:val="top"/>
          </w:tcPr>
          <w:p>
            <w:pPr>
              <w:pStyle w:val="6"/>
              <w:spacing w:before="124" w:line="186" w:lineRule="auto"/>
              <w:ind w:left="192"/>
            </w:pPr>
            <w:r>
              <w:t>2</w:t>
            </w:r>
          </w:p>
        </w:tc>
        <w:tc>
          <w:tcPr>
            <w:tcW w:w="2154" w:type="dxa"/>
            <w:vAlign w:val="top"/>
          </w:tcPr>
          <w:p>
            <w:pPr>
              <w:spacing w:before="85" w:line="214" w:lineRule="auto"/>
              <w:ind w:left="461"/>
              <w:rPr>
                <w:rFonts w:ascii="仿宋" w:hAnsi="仿宋" w:eastAsia="仿宋" w:cs="仿宋"/>
                <w:sz w:val="21"/>
                <w:szCs w:val="21"/>
              </w:rPr>
            </w:pPr>
            <w:r>
              <w:rPr>
                <w:rFonts w:ascii="仿宋" w:hAnsi="仿宋" w:eastAsia="仿宋" w:cs="仿宋"/>
                <w:spacing w:val="-3"/>
                <w:sz w:val="21"/>
                <w:szCs w:val="21"/>
              </w:rPr>
              <w:t>灌丛生态系统</w:t>
            </w:r>
          </w:p>
        </w:tc>
        <w:tc>
          <w:tcPr>
            <w:tcW w:w="1017" w:type="dxa"/>
            <w:vAlign w:val="top"/>
          </w:tcPr>
          <w:p>
            <w:pPr>
              <w:pStyle w:val="6"/>
              <w:spacing w:before="123" w:line="186" w:lineRule="auto"/>
              <w:ind w:left="273"/>
            </w:pPr>
            <w:r>
              <w:rPr>
                <w:spacing w:val="-1"/>
              </w:rPr>
              <w:t>27.58</w:t>
            </w:r>
          </w:p>
        </w:tc>
        <w:tc>
          <w:tcPr>
            <w:tcW w:w="1701" w:type="dxa"/>
            <w:vAlign w:val="top"/>
          </w:tcPr>
          <w:p>
            <w:pPr>
              <w:pStyle w:val="6"/>
              <w:spacing w:before="123" w:line="186" w:lineRule="auto"/>
              <w:ind w:left="620"/>
            </w:pPr>
            <w:r>
              <w:rPr>
                <w:spacing w:val="-2"/>
              </w:rPr>
              <w:t>34.79</w:t>
            </w:r>
          </w:p>
        </w:tc>
        <w:tc>
          <w:tcPr>
            <w:tcW w:w="1134" w:type="dxa"/>
            <w:vAlign w:val="top"/>
          </w:tcPr>
          <w:p>
            <w:pPr>
              <w:pStyle w:val="6"/>
              <w:spacing w:before="123" w:line="186" w:lineRule="auto"/>
              <w:ind w:left="334"/>
            </w:pPr>
            <w:r>
              <w:rPr>
                <w:spacing w:val="-2"/>
              </w:rPr>
              <w:t>79.28</w:t>
            </w:r>
          </w:p>
        </w:tc>
        <w:tc>
          <w:tcPr>
            <w:tcW w:w="1985" w:type="dxa"/>
            <w:tcBorders>
              <w:right w:val="nil"/>
            </w:tcBorders>
            <w:vAlign w:val="top"/>
          </w:tcPr>
          <w:p>
            <w:pPr>
              <w:pStyle w:val="6"/>
              <w:spacing w:before="123" w:line="186" w:lineRule="auto"/>
              <w:ind w:left="757"/>
            </w:pPr>
            <w:r>
              <w:rPr>
                <w:spacing w:val="-1"/>
              </w:rPr>
              <w:t>23.78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5" w:hRule="atLeast"/>
        </w:trPr>
        <w:tc>
          <w:tcPr>
            <w:tcW w:w="468" w:type="dxa"/>
            <w:tcBorders>
              <w:left w:val="nil"/>
              <w:bottom w:val="single" w:color="000000" w:sz="12" w:space="0"/>
            </w:tcBorders>
            <w:vAlign w:val="top"/>
          </w:tcPr>
          <w:p>
            <w:pPr>
              <w:pStyle w:val="6"/>
              <w:spacing w:before="129" w:line="186" w:lineRule="auto"/>
              <w:ind w:left="197"/>
            </w:pPr>
            <w:r>
              <w:t>3</w:t>
            </w:r>
          </w:p>
        </w:tc>
        <w:tc>
          <w:tcPr>
            <w:tcW w:w="2154" w:type="dxa"/>
            <w:tcBorders>
              <w:bottom w:val="single" w:color="000000" w:sz="12" w:space="0"/>
            </w:tcBorders>
            <w:vAlign w:val="top"/>
          </w:tcPr>
          <w:p>
            <w:pPr>
              <w:spacing w:before="90" w:line="218" w:lineRule="auto"/>
              <w:ind w:left="461"/>
              <w:rPr>
                <w:rFonts w:ascii="仿宋" w:hAnsi="仿宋" w:eastAsia="仿宋" w:cs="仿宋"/>
                <w:sz w:val="21"/>
                <w:szCs w:val="21"/>
              </w:rPr>
            </w:pPr>
            <w:r>
              <w:rPr>
                <w:rFonts w:ascii="仿宋" w:hAnsi="仿宋" w:eastAsia="仿宋" w:cs="仿宋"/>
                <w:spacing w:val="-3"/>
                <w:sz w:val="21"/>
                <w:szCs w:val="21"/>
              </w:rPr>
              <w:t>草地生态系统</w:t>
            </w:r>
          </w:p>
        </w:tc>
        <w:tc>
          <w:tcPr>
            <w:tcW w:w="1017" w:type="dxa"/>
            <w:tcBorders>
              <w:bottom w:val="single" w:color="000000" w:sz="12" w:space="0"/>
            </w:tcBorders>
            <w:vAlign w:val="top"/>
          </w:tcPr>
          <w:p>
            <w:pPr>
              <w:pStyle w:val="6"/>
              <w:spacing w:before="129" w:line="186" w:lineRule="auto"/>
              <w:ind w:left="346"/>
            </w:pPr>
            <w:r>
              <w:rPr>
                <w:spacing w:val="-6"/>
              </w:rPr>
              <w:t>1.58</w:t>
            </w:r>
          </w:p>
        </w:tc>
        <w:tc>
          <w:tcPr>
            <w:tcW w:w="1701" w:type="dxa"/>
            <w:tcBorders>
              <w:bottom w:val="single" w:color="000000" w:sz="12" w:space="0"/>
            </w:tcBorders>
            <w:vAlign w:val="top"/>
          </w:tcPr>
          <w:p>
            <w:pPr>
              <w:pStyle w:val="6"/>
              <w:spacing w:before="129" w:line="186" w:lineRule="auto"/>
              <w:ind w:left="636"/>
            </w:pPr>
            <w:r>
              <w:rPr>
                <w:spacing w:val="-5"/>
              </w:rPr>
              <w:t>17.12</w:t>
            </w:r>
          </w:p>
        </w:tc>
        <w:tc>
          <w:tcPr>
            <w:tcW w:w="1134" w:type="dxa"/>
            <w:tcBorders>
              <w:bottom w:val="single" w:color="000000" w:sz="12" w:space="0"/>
            </w:tcBorders>
            <w:vAlign w:val="top"/>
          </w:tcPr>
          <w:p>
            <w:pPr>
              <w:pStyle w:val="6"/>
              <w:spacing w:before="129" w:line="186" w:lineRule="auto"/>
              <w:ind w:left="387"/>
            </w:pPr>
            <w:r>
              <w:rPr>
                <w:spacing w:val="-2"/>
              </w:rPr>
              <w:t>9.23</w:t>
            </w:r>
          </w:p>
        </w:tc>
        <w:tc>
          <w:tcPr>
            <w:tcW w:w="1985" w:type="dxa"/>
            <w:tcBorders>
              <w:bottom w:val="single" w:color="000000" w:sz="12" w:space="0"/>
              <w:right w:val="nil"/>
            </w:tcBorders>
            <w:vAlign w:val="top"/>
          </w:tcPr>
          <w:p>
            <w:pPr>
              <w:pStyle w:val="6"/>
              <w:spacing w:before="129" w:line="186" w:lineRule="auto"/>
              <w:ind w:left="777"/>
            </w:pPr>
            <w:r>
              <w:rPr>
                <w:spacing w:val="-5"/>
              </w:rPr>
              <w:t>16.47</w:t>
            </w:r>
          </w:p>
        </w:tc>
      </w:tr>
    </w:tbl>
    <w:p>
      <w:pPr>
        <w:rPr>
          <w:rFonts w:ascii="Arial"/>
          <w:sz w:val="21"/>
        </w:rPr>
      </w:pPr>
    </w:p>
    <w:p>
      <w:pPr>
        <w:rPr>
          <w:rFonts w:ascii="Arial" w:hAnsi="Arial" w:eastAsia="Arial" w:cs="Arial"/>
          <w:sz w:val="21"/>
          <w:szCs w:val="21"/>
        </w:rPr>
        <w:sectPr>
          <w:headerReference r:id="rId326" w:type="default"/>
          <w:footerReference r:id="rId327" w:type="default"/>
          <w:pgSz w:w="11907" w:h="16839"/>
          <w:pgMar w:top="1156" w:right="1660" w:bottom="1374" w:left="1770" w:header="881" w:footer="1210" w:gutter="0"/>
        </w:sectPr>
      </w:pPr>
    </w:p>
    <w:p>
      <w:pPr>
        <w:spacing w:before="41"/>
      </w:pPr>
    </w:p>
    <w:tbl>
      <w:tblPr>
        <w:tblStyle w:val="5"/>
        <w:tblW w:w="8459"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8"/>
        <w:gridCol w:w="2154"/>
        <w:gridCol w:w="1017"/>
        <w:gridCol w:w="1701"/>
        <w:gridCol w:w="1134"/>
        <w:gridCol w:w="19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468" w:type="dxa"/>
            <w:vMerge w:val="restart"/>
            <w:tcBorders>
              <w:top w:val="single" w:color="000000" w:sz="12" w:space="0"/>
              <w:left w:val="nil"/>
              <w:bottom w:val="nil"/>
            </w:tcBorders>
            <w:textDirection w:val="tbRlV"/>
            <w:vAlign w:val="top"/>
          </w:tcPr>
          <w:p>
            <w:pPr>
              <w:spacing w:before="119" w:line="202" w:lineRule="auto"/>
              <w:ind w:left="226"/>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序</w:t>
            </w:r>
            <w:r>
              <w:rPr>
                <w:rFonts w:ascii="仿宋" w:hAnsi="仿宋" w:eastAsia="仿宋" w:cs="仿宋"/>
                <w:spacing w:val="-2"/>
                <w:sz w:val="21"/>
                <w:szCs w:val="21"/>
              </w:rPr>
              <w:t xml:space="preserve"> </w:t>
            </w:r>
            <w:r>
              <w:rPr>
                <w:rFonts w:ascii="仿宋" w:hAnsi="仿宋" w:eastAsia="仿宋" w:cs="仿宋"/>
                <w:spacing w:val="-2"/>
                <w:sz w:val="21"/>
                <w:szCs w:val="21"/>
                <w14:textOutline w14:w="3810" w14:cap="flat" w14:cmpd="sng">
                  <w14:solidFill>
                    <w14:srgbClr w14:val="000000"/>
                  </w14:solidFill>
                  <w14:prstDash w14:val="solid"/>
                  <w14:miter w14:val="0"/>
                </w14:textOutline>
              </w:rPr>
              <w:t>号</w:t>
            </w:r>
          </w:p>
        </w:tc>
        <w:tc>
          <w:tcPr>
            <w:tcW w:w="2154" w:type="dxa"/>
            <w:vMerge w:val="restart"/>
            <w:tcBorders>
              <w:top w:val="single" w:color="000000" w:sz="12" w:space="0"/>
              <w:bottom w:val="nil"/>
            </w:tcBorders>
            <w:vAlign w:val="top"/>
          </w:tcPr>
          <w:p>
            <w:pPr>
              <w:spacing w:line="312" w:lineRule="auto"/>
              <w:rPr>
                <w:rFonts w:ascii="Arial"/>
                <w:sz w:val="21"/>
              </w:rPr>
            </w:pPr>
          </w:p>
          <w:p>
            <w:pPr>
              <w:spacing w:before="68" w:line="220" w:lineRule="auto"/>
              <w:ind w:left="46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生态系统类型</w:t>
            </w:r>
          </w:p>
        </w:tc>
        <w:tc>
          <w:tcPr>
            <w:tcW w:w="2718" w:type="dxa"/>
            <w:gridSpan w:val="2"/>
            <w:tcBorders>
              <w:top w:val="single" w:color="000000" w:sz="12" w:space="0"/>
            </w:tcBorders>
            <w:vAlign w:val="top"/>
          </w:tcPr>
          <w:p>
            <w:pPr>
              <w:spacing w:before="65" w:line="220" w:lineRule="auto"/>
              <w:ind w:left="84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项目占地区</w:t>
            </w:r>
          </w:p>
        </w:tc>
        <w:tc>
          <w:tcPr>
            <w:tcW w:w="3119" w:type="dxa"/>
            <w:gridSpan w:val="2"/>
            <w:tcBorders>
              <w:top w:val="single" w:color="000000" w:sz="12" w:space="0"/>
              <w:right w:val="nil"/>
            </w:tcBorders>
            <w:vAlign w:val="top"/>
          </w:tcPr>
          <w:p>
            <w:pPr>
              <w:spacing w:before="65" w:line="218" w:lineRule="auto"/>
              <w:ind w:left="125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468" w:type="dxa"/>
            <w:vMerge w:val="continue"/>
            <w:tcBorders>
              <w:top w:val="nil"/>
              <w:left w:val="nil"/>
            </w:tcBorders>
            <w:textDirection w:val="tbRlV"/>
            <w:vAlign w:val="top"/>
          </w:tcPr>
          <w:p>
            <w:pPr>
              <w:rPr>
                <w:rFonts w:ascii="Arial"/>
                <w:sz w:val="21"/>
              </w:rPr>
            </w:pPr>
          </w:p>
        </w:tc>
        <w:tc>
          <w:tcPr>
            <w:tcW w:w="2154" w:type="dxa"/>
            <w:vMerge w:val="continue"/>
            <w:tcBorders>
              <w:top w:val="nil"/>
            </w:tcBorders>
            <w:vAlign w:val="top"/>
          </w:tcPr>
          <w:p>
            <w:pPr>
              <w:rPr>
                <w:rFonts w:ascii="Arial"/>
                <w:sz w:val="21"/>
              </w:rPr>
            </w:pPr>
          </w:p>
        </w:tc>
        <w:tc>
          <w:tcPr>
            <w:tcW w:w="1017" w:type="dxa"/>
            <w:vAlign w:val="top"/>
          </w:tcPr>
          <w:p>
            <w:pPr>
              <w:pStyle w:val="6"/>
              <w:spacing w:before="55" w:line="245" w:lineRule="auto"/>
              <w:ind w:left="127" w:right="127" w:firstLine="185"/>
              <w:rPr>
                <w:rFonts w:ascii="仿宋" w:hAnsi="仿宋" w:eastAsia="仿宋" w:cs="仿宋"/>
              </w:rPr>
            </w:pPr>
            <w:r>
              <w:rPr>
                <w:rFonts w:ascii="仿宋" w:hAnsi="仿宋" w:eastAsia="仿宋" w:cs="仿宋"/>
                <w:spacing w:val="-9"/>
                <w14:textOutline w14:w="3810" w14:cap="flat" w14:cmpd="sng">
                  <w14:solidFill>
                    <w14:srgbClr w14:val="000000"/>
                  </w14:solidFill>
                  <w14:prstDash w14:val="solid"/>
                  <w14:miter w14:val="0"/>
                </w14:textOutline>
              </w:rPr>
              <w:t>面积</w:t>
            </w:r>
            <w:r>
              <w:rPr>
                <w:rFonts w:ascii="仿宋" w:hAnsi="仿宋" w:eastAsia="仿宋" w:cs="仿宋"/>
              </w:rPr>
              <w:t xml:space="preserve">  </w:t>
            </w:r>
            <w:r>
              <w:rPr>
                <w:rFonts w:ascii="仿宋" w:hAnsi="仿宋" w:eastAsia="仿宋" w:cs="仿宋"/>
                <w:spacing w:val="-6"/>
                <w14:textOutline w14:w="3810" w14:cap="flat" w14:cmpd="sng">
                  <w14:solidFill>
                    <w14:srgbClr w14:val="000000"/>
                  </w14:solidFill>
                  <w14:prstDash w14:val="solid"/>
                  <w14:miter w14:val="0"/>
                </w14:textOutline>
              </w:rPr>
              <w:t>（</w:t>
            </w:r>
            <w:r>
              <w:rPr>
                <w:b/>
                <w:bCs/>
                <w:spacing w:val="-6"/>
              </w:rPr>
              <w:t>hm</w:t>
            </w:r>
            <w:r>
              <w:rPr>
                <w:b/>
                <w:bCs/>
                <w:spacing w:val="-6"/>
                <w:position w:val="6"/>
                <w:sz w:val="14"/>
                <w:szCs w:val="14"/>
              </w:rPr>
              <w:t>2</w:t>
            </w:r>
            <w:r>
              <w:rPr>
                <w:rFonts w:ascii="仿宋" w:hAnsi="仿宋" w:eastAsia="仿宋" w:cs="仿宋"/>
                <w:spacing w:val="-6"/>
                <w14:textOutline w14:w="3810" w14:cap="flat" w14:cmpd="sng">
                  <w14:solidFill>
                    <w14:srgbClr w14:val="000000"/>
                  </w14:solidFill>
                  <w14:prstDash w14:val="solid"/>
                  <w14:miter w14:val="0"/>
                </w14:textOutline>
              </w:rPr>
              <w:t>）</w:t>
            </w:r>
          </w:p>
        </w:tc>
        <w:tc>
          <w:tcPr>
            <w:tcW w:w="1701" w:type="dxa"/>
            <w:vAlign w:val="top"/>
          </w:tcPr>
          <w:p>
            <w:pPr>
              <w:pStyle w:val="6"/>
              <w:spacing w:before="55" w:line="245" w:lineRule="auto"/>
              <w:ind w:left="241" w:right="111" w:hanging="81"/>
              <w:rPr>
                <w:rFonts w:ascii="仿宋" w:hAnsi="仿宋" w:eastAsia="仿宋" w:cs="仿宋"/>
              </w:rPr>
            </w:pPr>
            <w:r>
              <w:rPr>
                <w:rFonts w:ascii="仿宋" w:hAnsi="仿宋" w:eastAsia="仿宋" w:cs="仿宋"/>
                <w:spacing w:val="-7"/>
                <w14:textOutline w14:w="3810" w14:cap="flat" w14:cmpd="sng">
                  <w14:solidFill>
                    <w14:srgbClr w14:val="000000"/>
                  </w14:solidFill>
                  <w14:prstDash w14:val="solid"/>
                  <w14:miter w14:val="0"/>
                </w14:textOutline>
              </w:rPr>
              <w:t>占该类型总面积</w:t>
            </w:r>
            <w:r>
              <w:rPr>
                <w:rFonts w:ascii="仿宋" w:hAnsi="仿宋" w:eastAsia="仿宋" w:cs="仿宋"/>
                <w:spacing w:val="2"/>
              </w:rPr>
              <w:t xml:space="preserve"> </w:t>
            </w:r>
            <w:r>
              <w:rPr>
                <w:rFonts w:ascii="仿宋" w:hAnsi="仿宋" w:eastAsia="仿宋" w:cs="仿宋"/>
                <w:spacing w:val="-4"/>
                <w14:textOutline w14:w="3810" w14:cap="flat" w14:cmpd="sng">
                  <w14:solidFill>
                    <w14:srgbClr w14:val="000000"/>
                  </w14:solidFill>
                  <w14:prstDash w14:val="solid"/>
                  <w14:miter w14:val="0"/>
                </w14:textOutline>
              </w:rPr>
              <w:t>的比例（</w:t>
            </w:r>
            <w:r>
              <w:rPr>
                <w:b/>
                <w:bCs/>
                <w:spacing w:val="-4"/>
              </w:rPr>
              <w:t>%</w:t>
            </w:r>
            <w:r>
              <w:rPr>
                <w:rFonts w:ascii="仿宋" w:hAnsi="仿宋" w:eastAsia="仿宋" w:cs="仿宋"/>
                <w:spacing w:val="-4"/>
                <w14:textOutline w14:w="3810" w14:cap="flat" w14:cmpd="sng">
                  <w14:solidFill>
                    <w14:srgbClr w14:val="000000"/>
                  </w14:solidFill>
                  <w14:prstDash w14:val="solid"/>
                  <w14:miter w14:val="0"/>
                </w14:textOutline>
              </w:rPr>
              <w:t>）</w:t>
            </w:r>
          </w:p>
        </w:tc>
        <w:tc>
          <w:tcPr>
            <w:tcW w:w="1134" w:type="dxa"/>
            <w:vAlign w:val="top"/>
          </w:tcPr>
          <w:p>
            <w:pPr>
              <w:pStyle w:val="6"/>
              <w:spacing w:before="55" w:line="245" w:lineRule="auto"/>
              <w:ind w:left="185" w:right="187" w:firstLine="185"/>
              <w:rPr>
                <w:rFonts w:ascii="仿宋" w:hAnsi="仿宋" w:eastAsia="仿宋" w:cs="仿宋"/>
              </w:rPr>
            </w:pPr>
            <w:r>
              <w:rPr>
                <w:rFonts w:ascii="仿宋" w:hAnsi="仿宋" w:eastAsia="仿宋" w:cs="仿宋"/>
                <w:spacing w:val="-9"/>
                <w14:textOutline w14:w="3810" w14:cap="flat" w14:cmpd="sng">
                  <w14:solidFill>
                    <w14:srgbClr w14:val="000000"/>
                  </w14:solidFill>
                  <w14:prstDash w14:val="solid"/>
                  <w14:miter w14:val="0"/>
                </w14:textOutline>
              </w:rPr>
              <w:t>面积</w:t>
            </w:r>
            <w:r>
              <w:rPr>
                <w:rFonts w:ascii="仿宋" w:hAnsi="仿宋" w:eastAsia="仿宋" w:cs="仿宋"/>
              </w:rPr>
              <w:t xml:space="preserve">  </w:t>
            </w:r>
            <w:r>
              <w:rPr>
                <w:rFonts w:ascii="仿宋" w:hAnsi="仿宋" w:eastAsia="仿宋" w:cs="仿宋"/>
                <w:spacing w:val="-6"/>
                <w14:textOutline w14:w="3810" w14:cap="flat" w14:cmpd="sng">
                  <w14:solidFill>
                    <w14:srgbClr w14:val="000000"/>
                  </w14:solidFill>
                  <w14:prstDash w14:val="solid"/>
                  <w14:miter w14:val="0"/>
                </w14:textOutline>
              </w:rPr>
              <w:t>（</w:t>
            </w:r>
            <w:r>
              <w:rPr>
                <w:b/>
                <w:bCs/>
                <w:spacing w:val="-6"/>
              </w:rPr>
              <w:t>hm</w:t>
            </w:r>
            <w:r>
              <w:rPr>
                <w:b/>
                <w:bCs/>
                <w:spacing w:val="-6"/>
                <w:position w:val="6"/>
                <w:sz w:val="14"/>
                <w:szCs w:val="14"/>
              </w:rPr>
              <w:t>2</w:t>
            </w:r>
            <w:r>
              <w:rPr>
                <w:rFonts w:ascii="仿宋" w:hAnsi="仿宋" w:eastAsia="仿宋" w:cs="仿宋"/>
                <w:spacing w:val="-6"/>
                <w14:textOutline w14:w="3810" w14:cap="flat" w14:cmpd="sng">
                  <w14:solidFill>
                    <w14:srgbClr w14:val="000000"/>
                  </w14:solidFill>
                  <w14:prstDash w14:val="solid"/>
                  <w14:miter w14:val="0"/>
                </w14:textOutline>
              </w:rPr>
              <w:t>）</w:t>
            </w:r>
          </w:p>
        </w:tc>
        <w:tc>
          <w:tcPr>
            <w:tcW w:w="1985" w:type="dxa"/>
            <w:tcBorders>
              <w:right w:val="nil"/>
            </w:tcBorders>
            <w:vAlign w:val="top"/>
          </w:tcPr>
          <w:p>
            <w:pPr>
              <w:pStyle w:val="6"/>
              <w:spacing w:before="55" w:line="245" w:lineRule="auto"/>
              <w:ind w:left="499" w:right="151" w:hanging="304"/>
              <w:rPr>
                <w:rFonts w:ascii="仿宋" w:hAnsi="仿宋" w:eastAsia="仿宋" w:cs="仿宋"/>
              </w:rPr>
            </w:pPr>
            <w:r>
              <w:rPr>
                <w:rFonts w:ascii="仿宋" w:hAnsi="仿宋" w:eastAsia="仿宋" w:cs="仿宋"/>
                <w:spacing w:val="-6"/>
                <w14:textOutline w14:w="3810" w14:cap="flat" w14:cmpd="sng">
                  <w14:solidFill>
                    <w14:srgbClr w14:val="000000"/>
                  </w14:solidFill>
                  <w14:prstDash w14:val="solid"/>
                  <w14:miter w14:val="0"/>
                </w14:textOutline>
              </w:rPr>
              <w:t>占评价区总面积的</w:t>
            </w:r>
            <w:r>
              <w:rPr>
                <w:rFonts w:ascii="仿宋" w:hAnsi="仿宋" w:eastAsia="仿宋" w:cs="仿宋"/>
                <w:spacing w:val="2"/>
              </w:rPr>
              <w:t xml:space="preserve"> </w:t>
            </w:r>
            <w:r>
              <w:rPr>
                <w:rFonts w:ascii="仿宋" w:hAnsi="仿宋" w:eastAsia="仿宋" w:cs="仿宋"/>
                <w:spacing w:val="-7"/>
                <w14:textOutline w14:w="3810" w14:cap="flat" w14:cmpd="sng">
                  <w14:solidFill>
                    <w14:srgbClr w14:val="000000"/>
                  </w14:solidFill>
                  <w14:prstDash w14:val="solid"/>
                  <w14:miter w14:val="0"/>
                </w14:textOutline>
              </w:rPr>
              <w:t>比例（</w:t>
            </w:r>
            <w:r>
              <w:rPr>
                <w:b/>
                <w:bCs/>
                <w:spacing w:val="-7"/>
              </w:rPr>
              <w:t>%</w:t>
            </w:r>
            <w:r>
              <w:rPr>
                <w:rFonts w:ascii="仿宋" w:hAnsi="仿宋" w:eastAsia="仿宋" w:cs="仿宋"/>
                <w:spacing w:val="-7"/>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468" w:type="dxa"/>
            <w:tcBorders>
              <w:left w:val="nil"/>
            </w:tcBorders>
            <w:vAlign w:val="top"/>
          </w:tcPr>
          <w:p>
            <w:pPr>
              <w:pStyle w:val="6"/>
              <w:spacing w:before="115" w:line="186" w:lineRule="auto"/>
              <w:ind w:left="191"/>
            </w:pPr>
            <w:r>
              <w:t>4</w:t>
            </w:r>
          </w:p>
        </w:tc>
        <w:tc>
          <w:tcPr>
            <w:tcW w:w="2154" w:type="dxa"/>
            <w:vAlign w:val="top"/>
          </w:tcPr>
          <w:p>
            <w:pPr>
              <w:spacing w:before="76" w:line="220" w:lineRule="auto"/>
              <w:ind w:left="458"/>
              <w:rPr>
                <w:rFonts w:ascii="仿宋" w:hAnsi="仿宋" w:eastAsia="仿宋" w:cs="仿宋"/>
                <w:sz w:val="21"/>
                <w:szCs w:val="21"/>
              </w:rPr>
            </w:pPr>
            <w:r>
              <w:rPr>
                <w:rFonts w:ascii="仿宋" w:hAnsi="仿宋" w:eastAsia="仿宋" w:cs="仿宋"/>
                <w:spacing w:val="-3"/>
                <w:sz w:val="21"/>
                <w:szCs w:val="21"/>
              </w:rPr>
              <w:t>农田生态系统</w:t>
            </w:r>
          </w:p>
        </w:tc>
        <w:tc>
          <w:tcPr>
            <w:tcW w:w="1017" w:type="dxa"/>
            <w:vAlign w:val="top"/>
          </w:tcPr>
          <w:p>
            <w:pPr>
              <w:pStyle w:val="6"/>
              <w:spacing w:before="115" w:line="186" w:lineRule="auto"/>
              <w:ind w:left="273"/>
            </w:pPr>
            <w:r>
              <w:rPr>
                <w:spacing w:val="-1"/>
              </w:rPr>
              <w:t>22.86</w:t>
            </w:r>
          </w:p>
        </w:tc>
        <w:tc>
          <w:tcPr>
            <w:tcW w:w="1701" w:type="dxa"/>
            <w:vAlign w:val="top"/>
          </w:tcPr>
          <w:p>
            <w:pPr>
              <w:pStyle w:val="6"/>
              <w:spacing w:before="115" w:line="186" w:lineRule="auto"/>
              <w:ind w:left="636"/>
            </w:pPr>
            <w:r>
              <w:rPr>
                <w:spacing w:val="-5"/>
              </w:rPr>
              <w:t>13.04</w:t>
            </w:r>
          </w:p>
        </w:tc>
        <w:tc>
          <w:tcPr>
            <w:tcW w:w="1134" w:type="dxa"/>
            <w:vAlign w:val="top"/>
          </w:tcPr>
          <w:p>
            <w:pPr>
              <w:pStyle w:val="6"/>
              <w:spacing w:before="115" w:line="186" w:lineRule="auto"/>
              <w:ind w:left="299"/>
            </w:pPr>
            <w:r>
              <w:rPr>
                <w:spacing w:val="-4"/>
              </w:rPr>
              <w:t>175.28</w:t>
            </w:r>
          </w:p>
        </w:tc>
        <w:tc>
          <w:tcPr>
            <w:tcW w:w="1985" w:type="dxa"/>
            <w:tcBorders>
              <w:right w:val="nil"/>
            </w:tcBorders>
            <w:vAlign w:val="top"/>
          </w:tcPr>
          <w:p>
            <w:pPr>
              <w:pStyle w:val="6"/>
              <w:spacing w:before="115" w:line="186" w:lineRule="auto"/>
              <w:ind w:left="757"/>
            </w:pPr>
            <w:r>
              <w:rPr>
                <w:spacing w:val="-1"/>
              </w:rPr>
              <w:t>21.24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2" w:hRule="atLeast"/>
        </w:trPr>
        <w:tc>
          <w:tcPr>
            <w:tcW w:w="468" w:type="dxa"/>
            <w:tcBorders>
              <w:left w:val="nil"/>
            </w:tcBorders>
            <w:vAlign w:val="top"/>
          </w:tcPr>
          <w:p>
            <w:pPr>
              <w:pStyle w:val="6"/>
              <w:spacing w:before="122" w:line="183" w:lineRule="auto"/>
              <w:ind w:left="198"/>
            </w:pPr>
            <w:r>
              <w:t>5</w:t>
            </w:r>
          </w:p>
        </w:tc>
        <w:tc>
          <w:tcPr>
            <w:tcW w:w="2154" w:type="dxa"/>
            <w:vAlign w:val="top"/>
          </w:tcPr>
          <w:p>
            <w:pPr>
              <w:spacing w:before="80" w:line="219" w:lineRule="auto"/>
              <w:ind w:left="457"/>
              <w:rPr>
                <w:rFonts w:ascii="仿宋" w:hAnsi="仿宋" w:eastAsia="仿宋" w:cs="仿宋"/>
                <w:sz w:val="21"/>
                <w:szCs w:val="21"/>
              </w:rPr>
            </w:pPr>
            <w:r>
              <w:rPr>
                <w:rFonts w:ascii="仿宋" w:hAnsi="仿宋" w:eastAsia="仿宋" w:cs="仿宋"/>
                <w:spacing w:val="-3"/>
                <w:sz w:val="21"/>
                <w:szCs w:val="21"/>
              </w:rPr>
              <w:t>水域生态系统</w:t>
            </w:r>
          </w:p>
        </w:tc>
        <w:tc>
          <w:tcPr>
            <w:tcW w:w="1017" w:type="dxa"/>
            <w:vAlign w:val="top"/>
          </w:tcPr>
          <w:p>
            <w:pPr>
              <w:pStyle w:val="6"/>
              <w:spacing w:before="119" w:line="186" w:lineRule="auto"/>
              <w:ind w:left="330"/>
            </w:pPr>
            <w:r>
              <w:rPr>
                <w:spacing w:val="-2"/>
              </w:rPr>
              <w:t>3.32</w:t>
            </w:r>
          </w:p>
        </w:tc>
        <w:tc>
          <w:tcPr>
            <w:tcW w:w="1701" w:type="dxa"/>
            <w:vAlign w:val="top"/>
          </w:tcPr>
          <w:p>
            <w:pPr>
              <w:pStyle w:val="6"/>
              <w:spacing w:before="119" w:line="186" w:lineRule="auto"/>
              <w:ind w:left="672"/>
            </w:pPr>
            <w:r>
              <w:rPr>
                <w:spacing w:val="-2"/>
              </w:rPr>
              <w:t>9.37</w:t>
            </w:r>
          </w:p>
        </w:tc>
        <w:tc>
          <w:tcPr>
            <w:tcW w:w="1134" w:type="dxa"/>
            <w:vAlign w:val="top"/>
          </w:tcPr>
          <w:p>
            <w:pPr>
              <w:pStyle w:val="6"/>
              <w:spacing w:before="119" w:line="186" w:lineRule="auto"/>
              <w:ind w:left="335"/>
            </w:pPr>
            <w:r>
              <w:rPr>
                <w:spacing w:val="-2"/>
              </w:rPr>
              <w:t>35.45</w:t>
            </w:r>
          </w:p>
        </w:tc>
        <w:tc>
          <w:tcPr>
            <w:tcW w:w="1985" w:type="dxa"/>
            <w:tcBorders>
              <w:right w:val="nil"/>
            </w:tcBorders>
            <w:vAlign w:val="top"/>
          </w:tcPr>
          <w:p>
            <w:pPr>
              <w:pStyle w:val="6"/>
              <w:spacing w:before="119" w:line="186" w:lineRule="auto"/>
              <w:ind w:left="810"/>
            </w:pPr>
            <w:r>
              <w:rPr>
                <w:spacing w:val="-1"/>
              </w:rPr>
              <w:t>2.56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2" w:hRule="atLeast"/>
        </w:trPr>
        <w:tc>
          <w:tcPr>
            <w:tcW w:w="468" w:type="dxa"/>
            <w:tcBorders>
              <w:left w:val="nil"/>
            </w:tcBorders>
            <w:vAlign w:val="top"/>
          </w:tcPr>
          <w:p>
            <w:pPr>
              <w:pStyle w:val="6"/>
              <w:spacing w:before="123" w:line="186" w:lineRule="auto"/>
              <w:ind w:left="197"/>
            </w:pPr>
            <w:r>
              <w:t>6</w:t>
            </w:r>
          </w:p>
        </w:tc>
        <w:tc>
          <w:tcPr>
            <w:tcW w:w="2154" w:type="dxa"/>
            <w:vAlign w:val="top"/>
          </w:tcPr>
          <w:p>
            <w:pPr>
              <w:spacing w:before="85" w:line="217" w:lineRule="auto"/>
              <w:ind w:left="462"/>
              <w:rPr>
                <w:rFonts w:ascii="仿宋" w:hAnsi="仿宋" w:eastAsia="仿宋" w:cs="仿宋"/>
                <w:sz w:val="21"/>
                <w:szCs w:val="21"/>
              </w:rPr>
            </w:pPr>
            <w:r>
              <w:rPr>
                <w:rFonts w:ascii="仿宋" w:hAnsi="仿宋" w:eastAsia="仿宋" w:cs="仿宋"/>
                <w:spacing w:val="-3"/>
                <w:sz w:val="21"/>
                <w:szCs w:val="21"/>
              </w:rPr>
              <w:t>交通运输用地</w:t>
            </w:r>
          </w:p>
        </w:tc>
        <w:tc>
          <w:tcPr>
            <w:tcW w:w="1017" w:type="dxa"/>
            <w:vAlign w:val="top"/>
          </w:tcPr>
          <w:p>
            <w:pPr>
              <w:pStyle w:val="6"/>
              <w:spacing w:before="123" w:line="186" w:lineRule="auto"/>
              <w:ind w:left="325"/>
            </w:pPr>
            <w:r>
              <w:rPr>
                <w:spacing w:val="-1"/>
              </w:rPr>
              <w:t>2.75</w:t>
            </w:r>
          </w:p>
        </w:tc>
        <w:tc>
          <w:tcPr>
            <w:tcW w:w="1701" w:type="dxa"/>
            <w:vAlign w:val="top"/>
          </w:tcPr>
          <w:p>
            <w:pPr>
              <w:pStyle w:val="6"/>
              <w:spacing w:before="123" w:line="186" w:lineRule="auto"/>
              <w:ind w:left="677"/>
            </w:pPr>
            <w:r>
              <w:rPr>
                <w:spacing w:val="-4"/>
              </w:rPr>
              <w:t>8.55</w:t>
            </w:r>
          </w:p>
        </w:tc>
        <w:tc>
          <w:tcPr>
            <w:tcW w:w="1134" w:type="dxa"/>
            <w:vAlign w:val="top"/>
          </w:tcPr>
          <w:p>
            <w:pPr>
              <w:pStyle w:val="6"/>
              <w:spacing w:before="123" w:line="186" w:lineRule="auto"/>
              <w:ind w:left="335"/>
            </w:pPr>
            <w:r>
              <w:rPr>
                <w:spacing w:val="-2"/>
              </w:rPr>
              <w:t>32.15</w:t>
            </w:r>
          </w:p>
        </w:tc>
        <w:tc>
          <w:tcPr>
            <w:tcW w:w="1985" w:type="dxa"/>
            <w:tcBorders>
              <w:right w:val="nil"/>
            </w:tcBorders>
            <w:vAlign w:val="top"/>
          </w:tcPr>
          <w:p>
            <w:pPr>
              <w:pStyle w:val="6"/>
              <w:spacing w:before="123" w:line="186" w:lineRule="auto"/>
              <w:ind w:left="830"/>
            </w:pPr>
            <w:r>
              <w:rPr>
                <w:spacing w:val="-6"/>
              </w:rPr>
              <w:t>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468" w:type="dxa"/>
            <w:tcBorders>
              <w:left w:val="nil"/>
            </w:tcBorders>
            <w:vAlign w:val="top"/>
          </w:tcPr>
          <w:p>
            <w:pPr>
              <w:pStyle w:val="6"/>
              <w:spacing w:before="129" w:line="183" w:lineRule="auto"/>
              <w:ind w:left="196"/>
            </w:pPr>
            <w:r>
              <w:t>7</w:t>
            </w:r>
          </w:p>
        </w:tc>
        <w:tc>
          <w:tcPr>
            <w:tcW w:w="2154" w:type="dxa"/>
            <w:vAlign w:val="top"/>
          </w:tcPr>
          <w:p>
            <w:pPr>
              <w:spacing w:before="87" w:line="213" w:lineRule="auto"/>
              <w:ind w:left="147"/>
              <w:rPr>
                <w:rFonts w:ascii="仿宋" w:hAnsi="仿宋" w:eastAsia="仿宋" w:cs="仿宋"/>
                <w:sz w:val="21"/>
                <w:szCs w:val="21"/>
              </w:rPr>
            </w:pPr>
            <w:r>
              <w:rPr>
                <w:rFonts w:ascii="仿宋" w:hAnsi="仿宋" w:eastAsia="仿宋" w:cs="仿宋"/>
                <w:spacing w:val="-2"/>
                <w:sz w:val="21"/>
                <w:szCs w:val="21"/>
              </w:rPr>
              <w:t>城镇村及工矿用地等</w:t>
            </w:r>
          </w:p>
        </w:tc>
        <w:tc>
          <w:tcPr>
            <w:tcW w:w="1017" w:type="dxa"/>
            <w:vAlign w:val="top"/>
          </w:tcPr>
          <w:p>
            <w:pPr>
              <w:pStyle w:val="6"/>
              <w:spacing w:before="126" w:line="186" w:lineRule="auto"/>
              <w:ind w:left="329"/>
            </w:pPr>
            <w:r>
              <w:rPr>
                <w:spacing w:val="-2"/>
              </w:rPr>
              <w:t>0.38</w:t>
            </w:r>
          </w:p>
        </w:tc>
        <w:tc>
          <w:tcPr>
            <w:tcW w:w="1701" w:type="dxa"/>
            <w:vAlign w:val="top"/>
          </w:tcPr>
          <w:p>
            <w:pPr>
              <w:pStyle w:val="6"/>
              <w:spacing w:before="126" w:line="186" w:lineRule="auto"/>
              <w:ind w:left="673"/>
            </w:pPr>
            <w:r>
              <w:rPr>
                <w:spacing w:val="-2"/>
              </w:rPr>
              <w:t>3.71</w:t>
            </w:r>
          </w:p>
        </w:tc>
        <w:tc>
          <w:tcPr>
            <w:tcW w:w="1134" w:type="dxa"/>
            <w:vAlign w:val="top"/>
          </w:tcPr>
          <w:p>
            <w:pPr>
              <w:pStyle w:val="6"/>
              <w:spacing w:before="126" w:line="186" w:lineRule="auto"/>
              <w:ind w:left="351"/>
            </w:pPr>
            <w:r>
              <w:rPr>
                <w:spacing w:val="-5"/>
              </w:rPr>
              <w:t>10.24</w:t>
            </w:r>
          </w:p>
        </w:tc>
        <w:tc>
          <w:tcPr>
            <w:tcW w:w="1985" w:type="dxa"/>
            <w:tcBorders>
              <w:right w:val="nil"/>
            </w:tcBorders>
            <w:vAlign w:val="top"/>
          </w:tcPr>
          <w:p>
            <w:pPr>
              <w:pStyle w:val="6"/>
              <w:spacing w:before="126" w:line="186" w:lineRule="auto"/>
              <w:ind w:left="815"/>
            </w:pPr>
            <w:r>
              <w:rPr>
                <w:spacing w:val="-3"/>
              </w:rPr>
              <w:t>5.13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7" w:hRule="atLeast"/>
        </w:trPr>
        <w:tc>
          <w:tcPr>
            <w:tcW w:w="468" w:type="dxa"/>
            <w:tcBorders>
              <w:left w:val="nil"/>
              <w:bottom w:val="single" w:color="000000" w:sz="12" w:space="0"/>
            </w:tcBorders>
            <w:vAlign w:val="top"/>
          </w:tcPr>
          <w:p>
            <w:pPr>
              <w:pStyle w:val="6"/>
              <w:spacing w:before="130" w:line="186" w:lineRule="auto"/>
              <w:ind w:left="201"/>
            </w:pPr>
            <w:r>
              <w:t>8</w:t>
            </w:r>
          </w:p>
        </w:tc>
        <w:tc>
          <w:tcPr>
            <w:tcW w:w="2154" w:type="dxa"/>
            <w:tcBorders>
              <w:bottom w:val="single" w:color="000000" w:sz="12" w:space="0"/>
            </w:tcBorders>
            <w:vAlign w:val="top"/>
          </w:tcPr>
          <w:p>
            <w:pPr>
              <w:spacing w:before="92" w:line="218" w:lineRule="auto"/>
              <w:ind w:left="883"/>
              <w:rPr>
                <w:rFonts w:ascii="仿宋" w:hAnsi="仿宋" w:eastAsia="仿宋" w:cs="仿宋"/>
                <w:sz w:val="21"/>
                <w:szCs w:val="21"/>
              </w:rPr>
            </w:pPr>
            <w:r>
              <w:rPr>
                <w:rFonts w:ascii="仿宋" w:hAnsi="仿宋" w:eastAsia="仿宋" w:cs="仿宋"/>
                <w:spacing w:val="-5"/>
                <w:sz w:val="21"/>
                <w:szCs w:val="21"/>
              </w:rPr>
              <w:t>合计</w:t>
            </w:r>
          </w:p>
        </w:tc>
        <w:tc>
          <w:tcPr>
            <w:tcW w:w="1017" w:type="dxa"/>
            <w:tcBorders>
              <w:bottom w:val="single" w:color="000000" w:sz="12" w:space="0"/>
            </w:tcBorders>
            <w:vAlign w:val="top"/>
          </w:tcPr>
          <w:p>
            <w:pPr>
              <w:pStyle w:val="6"/>
              <w:spacing w:before="130" w:line="186" w:lineRule="auto"/>
              <w:ind w:left="372"/>
            </w:pPr>
            <w:r>
              <w:rPr>
                <w:spacing w:val="-6"/>
              </w:rPr>
              <w:t>146</w:t>
            </w:r>
          </w:p>
        </w:tc>
        <w:tc>
          <w:tcPr>
            <w:tcW w:w="1701" w:type="dxa"/>
            <w:tcBorders>
              <w:bottom w:val="single" w:color="000000" w:sz="12" w:space="0"/>
            </w:tcBorders>
            <w:vAlign w:val="top"/>
          </w:tcPr>
          <w:p>
            <w:pPr>
              <w:pStyle w:val="6"/>
              <w:spacing w:before="130" w:line="186" w:lineRule="auto"/>
              <w:ind w:left="636"/>
            </w:pPr>
            <w:r>
              <w:rPr>
                <w:spacing w:val="-5"/>
              </w:rPr>
              <w:t>17.79</w:t>
            </w:r>
          </w:p>
        </w:tc>
        <w:tc>
          <w:tcPr>
            <w:tcW w:w="1134" w:type="dxa"/>
            <w:tcBorders>
              <w:bottom w:val="single" w:color="000000" w:sz="12" w:space="0"/>
            </w:tcBorders>
            <w:vAlign w:val="top"/>
          </w:tcPr>
          <w:p>
            <w:pPr>
              <w:pStyle w:val="6"/>
              <w:spacing w:before="130" w:line="186" w:lineRule="auto"/>
              <w:ind w:left="339"/>
            </w:pPr>
            <w:r>
              <w:rPr>
                <w:spacing w:val="-3"/>
              </w:rPr>
              <w:t>820.5</w:t>
            </w:r>
          </w:p>
        </w:tc>
        <w:tc>
          <w:tcPr>
            <w:tcW w:w="1985" w:type="dxa"/>
            <w:tcBorders>
              <w:bottom w:val="single" w:color="000000" w:sz="12" w:space="0"/>
              <w:right w:val="nil"/>
            </w:tcBorders>
            <w:vAlign w:val="top"/>
          </w:tcPr>
          <w:p>
            <w:pPr>
              <w:pStyle w:val="6"/>
              <w:spacing w:before="130" w:line="186" w:lineRule="auto"/>
              <w:ind w:left="856"/>
            </w:pPr>
            <w:r>
              <w:rPr>
                <w:spacing w:val="-6"/>
              </w:rPr>
              <w:t>100</w:t>
            </w:r>
          </w:p>
        </w:tc>
      </w:tr>
    </w:tbl>
    <w:p>
      <w:pPr>
        <w:spacing w:before="147" w:line="217" w:lineRule="auto"/>
        <w:ind w:left="518"/>
        <w:rPr>
          <w:rFonts w:ascii="宋体" w:hAnsi="宋体" w:eastAsia="宋体" w:cs="宋体"/>
          <w:sz w:val="24"/>
          <w:szCs w:val="24"/>
        </w:rPr>
      </w:pPr>
      <w:r>
        <w:rPr>
          <w:rFonts w:ascii="宋体" w:hAnsi="宋体" w:eastAsia="宋体" w:cs="宋体"/>
          <w:spacing w:val="-2"/>
          <w:sz w:val="24"/>
          <w:szCs w:val="24"/>
        </w:rPr>
        <w:t>①森林生态系统</w:t>
      </w:r>
    </w:p>
    <w:p>
      <w:pPr>
        <w:spacing w:before="153" w:line="339" w:lineRule="auto"/>
        <w:ind w:left="41" w:right="137" w:firstLine="478"/>
        <w:rPr>
          <w:rFonts w:ascii="宋体" w:hAnsi="宋体" w:eastAsia="宋体" w:cs="宋体"/>
          <w:sz w:val="24"/>
          <w:szCs w:val="24"/>
        </w:rPr>
      </w:pPr>
      <w:r>
        <w:rPr>
          <w:rFonts w:ascii="宋体" w:hAnsi="宋体" w:eastAsia="宋体" w:cs="宋体"/>
          <w:spacing w:val="-6"/>
          <w:sz w:val="24"/>
          <w:szCs w:val="24"/>
        </w:rPr>
        <w:t>森林生态系统是评价区内主要的生态系统类型，</w:t>
      </w:r>
      <w:r>
        <w:rPr>
          <w:rFonts w:ascii="宋体" w:hAnsi="宋体" w:eastAsia="宋体" w:cs="宋体"/>
          <w:spacing w:val="-26"/>
          <w:sz w:val="24"/>
          <w:szCs w:val="24"/>
        </w:rPr>
        <w:t xml:space="preserve"> </w:t>
      </w:r>
      <w:r>
        <w:rPr>
          <w:rFonts w:ascii="宋体" w:hAnsi="宋体" w:eastAsia="宋体" w:cs="宋体"/>
          <w:spacing w:val="-6"/>
          <w:sz w:val="24"/>
          <w:szCs w:val="24"/>
        </w:rPr>
        <w:t>该生态系统一般具有立木层</w:t>
      </w:r>
      <w:r>
        <w:rPr>
          <w:rFonts w:ascii="宋体" w:hAnsi="宋体" w:eastAsia="宋体" w:cs="宋体"/>
          <w:sz w:val="24"/>
          <w:szCs w:val="24"/>
        </w:rPr>
        <w:t xml:space="preserve"> </w:t>
      </w:r>
      <w:r>
        <w:rPr>
          <w:rFonts w:ascii="宋体" w:hAnsi="宋体" w:eastAsia="宋体" w:cs="宋体"/>
          <w:spacing w:val="-3"/>
          <w:sz w:val="24"/>
          <w:szCs w:val="24"/>
        </w:rPr>
        <w:t>（乔木层）、下木层（灌木层）和草本地被物层，郁闭度较高，</w:t>
      </w:r>
      <w:r>
        <w:rPr>
          <w:rFonts w:ascii="宋体" w:hAnsi="宋体" w:eastAsia="宋体" w:cs="宋体"/>
          <w:spacing w:val="-4"/>
          <w:sz w:val="24"/>
          <w:szCs w:val="24"/>
        </w:rPr>
        <w:t>由于受到人为因</w:t>
      </w:r>
      <w:r>
        <w:rPr>
          <w:rFonts w:ascii="宋体" w:hAnsi="宋体" w:eastAsia="宋体" w:cs="宋体"/>
          <w:sz w:val="24"/>
          <w:szCs w:val="24"/>
        </w:rPr>
        <w:t xml:space="preserve"> </w:t>
      </w:r>
      <w:r>
        <w:rPr>
          <w:rFonts w:ascii="宋体" w:hAnsi="宋体" w:eastAsia="宋体" w:cs="宋体"/>
          <w:spacing w:val="-9"/>
          <w:sz w:val="24"/>
          <w:szCs w:val="24"/>
        </w:rPr>
        <w:t>素干扰，</w:t>
      </w:r>
      <w:r>
        <w:rPr>
          <w:rFonts w:ascii="宋体" w:hAnsi="宋体" w:eastAsia="宋体" w:cs="宋体"/>
          <w:spacing w:val="-22"/>
          <w:sz w:val="24"/>
          <w:szCs w:val="24"/>
        </w:rPr>
        <w:t xml:space="preserve"> </w:t>
      </w:r>
      <w:r>
        <w:rPr>
          <w:rFonts w:ascii="宋体" w:hAnsi="宋体" w:eastAsia="宋体" w:cs="宋体"/>
          <w:spacing w:val="-9"/>
          <w:sz w:val="24"/>
          <w:szCs w:val="24"/>
        </w:rPr>
        <w:t>现有森林生态系统多以云南松天然次生林为主， 有少量次生的半湿润常</w:t>
      </w:r>
      <w:r>
        <w:rPr>
          <w:rFonts w:ascii="宋体" w:hAnsi="宋体" w:eastAsia="宋体" w:cs="宋体"/>
          <w:sz w:val="24"/>
          <w:szCs w:val="24"/>
        </w:rPr>
        <w:t xml:space="preserve"> </w:t>
      </w:r>
      <w:r>
        <w:rPr>
          <w:rFonts w:ascii="宋体" w:hAnsi="宋体" w:eastAsia="宋体" w:cs="宋体"/>
          <w:spacing w:val="-1"/>
          <w:sz w:val="24"/>
          <w:szCs w:val="24"/>
        </w:rPr>
        <w:t>绿阔叶林、硬叶常绿阔叶林、落叶阔叶林。此外，还有大量不稳定的灌木</w:t>
      </w:r>
      <w:r>
        <w:rPr>
          <w:rFonts w:ascii="宋体" w:hAnsi="宋体" w:eastAsia="宋体" w:cs="宋体"/>
          <w:spacing w:val="-2"/>
          <w:sz w:val="24"/>
          <w:szCs w:val="24"/>
        </w:rPr>
        <w:t>林地，</w:t>
      </w:r>
      <w:r>
        <w:rPr>
          <w:rFonts w:ascii="宋体" w:hAnsi="宋体" w:eastAsia="宋体" w:cs="宋体"/>
          <w:sz w:val="24"/>
          <w:szCs w:val="24"/>
        </w:rPr>
        <w:t xml:space="preserve"> </w:t>
      </w:r>
      <w:r>
        <w:rPr>
          <w:rFonts w:ascii="宋体" w:hAnsi="宋体" w:eastAsia="宋体" w:cs="宋体"/>
          <w:spacing w:val="-10"/>
          <w:sz w:val="24"/>
          <w:szCs w:val="24"/>
        </w:rPr>
        <w:t>如稀树灌丛。森林生态系统同时也是野生动物主要栖息场所，</w:t>
      </w:r>
      <w:r>
        <w:rPr>
          <w:rFonts w:ascii="宋体" w:hAnsi="宋体" w:eastAsia="宋体" w:cs="宋体"/>
          <w:spacing w:val="-38"/>
          <w:sz w:val="24"/>
          <w:szCs w:val="24"/>
        </w:rPr>
        <w:t xml:space="preserve"> </w:t>
      </w:r>
      <w:r>
        <w:rPr>
          <w:rFonts w:ascii="宋体" w:hAnsi="宋体" w:eastAsia="宋体" w:cs="宋体"/>
          <w:spacing w:val="-10"/>
          <w:sz w:val="24"/>
          <w:szCs w:val="24"/>
        </w:rPr>
        <w:t>一旦生态系统破坏，</w:t>
      </w:r>
    </w:p>
    <w:p>
      <w:pPr>
        <w:spacing w:line="219" w:lineRule="auto"/>
        <w:jc w:val="right"/>
        <w:rPr>
          <w:rFonts w:ascii="宋体" w:hAnsi="宋体" w:eastAsia="宋体" w:cs="宋体"/>
          <w:sz w:val="24"/>
          <w:szCs w:val="24"/>
        </w:rPr>
      </w:pPr>
      <w:r>
        <w:rPr>
          <w:rFonts w:ascii="宋体" w:hAnsi="宋体" w:eastAsia="宋体" w:cs="宋体"/>
          <w:spacing w:val="-7"/>
          <w:sz w:val="24"/>
          <w:szCs w:val="24"/>
        </w:rPr>
        <w:t>部分野生动物难以生存， 因此森林生态系统是该地区维持生物多样性的重要环</w:t>
      </w:r>
      <w:r>
        <w:rPr>
          <w:rFonts w:ascii="宋体" w:hAnsi="宋体" w:eastAsia="宋体" w:cs="宋体"/>
          <w:spacing w:val="-8"/>
          <w:sz w:val="24"/>
          <w:szCs w:val="24"/>
        </w:rPr>
        <w:t>节。</w:t>
      </w:r>
    </w:p>
    <w:p>
      <w:pPr>
        <w:spacing w:before="154" w:line="217" w:lineRule="auto"/>
        <w:ind w:left="517"/>
        <w:rPr>
          <w:rFonts w:ascii="宋体" w:hAnsi="宋体" w:eastAsia="宋体" w:cs="宋体"/>
          <w:sz w:val="24"/>
          <w:szCs w:val="24"/>
        </w:rPr>
      </w:pPr>
      <w:r>
        <w:rPr>
          <w:rFonts w:ascii="宋体" w:hAnsi="宋体" w:eastAsia="宋体" w:cs="宋体"/>
          <w:spacing w:val="-2"/>
          <w:sz w:val="24"/>
          <w:szCs w:val="24"/>
        </w:rPr>
        <w:t>②灌丛生态系统</w:t>
      </w:r>
    </w:p>
    <w:p>
      <w:pPr>
        <w:spacing w:before="156" w:line="339" w:lineRule="auto"/>
        <w:ind w:left="40" w:right="143" w:firstLine="481"/>
        <w:rPr>
          <w:rFonts w:ascii="宋体" w:hAnsi="宋体" w:eastAsia="宋体" w:cs="宋体"/>
          <w:sz w:val="24"/>
          <w:szCs w:val="24"/>
        </w:rPr>
      </w:pPr>
      <w:r>
        <w:rPr>
          <w:rFonts w:ascii="宋体" w:hAnsi="宋体" w:eastAsia="宋体" w:cs="宋体"/>
          <w:spacing w:val="-6"/>
          <w:sz w:val="24"/>
          <w:szCs w:val="24"/>
        </w:rPr>
        <w:t>灌丛生态系统属于草地生态系统和森林之间的过渡类型，</w:t>
      </w:r>
      <w:r>
        <w:rPr>
          <w:rFonts w:ascii="宋体" w:hAnsi="宋体" w:eastAsia="宋体" w:cs="宋体"/>
          <w:spacing w:val="-29"/>
          <w:sz w:val="24"/>
          <w:szCs w:val="24"/>
        </w:rPr>
        <w:t xml:space="preserve"> </w:t>
      </w:r>
      <w:r>
        <w:rPr>
          <w:rFonts w:ascii="宋体" w:hAnsi="宋体" w:eastAsia="宋体" w:cs="宋体"/>
          <w:spacing w:val="-6"/>
          <w:sz w:val="24"/>
          <w:szCs w:val="24"/>
        </w:rPr>
        <w:t>对保持水土起着重</w:t>
      </w:r>
      <w:r>
        <w:rPr>
          <w:rFonts w:ascii="宋体" w:hAnsi="宋体" w:eastAsia="宋体" w:cs="宋体"/>
          <w:sz w:val="24"/>
          <w:szCs w:val="24"/>
        </w:rPr>
        <w:t xml:space="preserve"> </w:t>
      </w:r>
      <w:r>
        <w:rPr>
          <w:rFonts w:ascii="宋体" w:hAnsi="宋体" w:eastAsia="宋体" w:cs="宋体"/>
          <w:spacing w:val="-5"/>
          <w:sz w:val="24"/>
          <w:szCs w:val="24"/>
        </w:rPr>
        <w:t>要的作用，是评价区分布较为广泛， 面积也较大的类型，主要由暖性灌丛组成，</w:t>
      </w:r>
      <w:r>
        <w:rPr>
          <w:rFonts w:ascii="宋体" w:hAnsi="宋体" w:eastAsia="宋体" w:cs="宋体"/>
          <w:spacing w:val="18"/>
          <w:sz w:val="24"/>
          <w:szCs w:val="24"/>
        </w:rPr>
        <w:t xml:space="preserve"> </w:t>
      </w:r>
      <w:r>
        <w:rPr>
          <w:rFonts w:ascii="宋体" w:hAnsi="宋体" w:eastAsia="宋体" w:cs="宋体"/>
          <w:spacing w:val="-16"/>
          <w:sz w:val="24"/>
          <w:szCs w:val="24"/>
        </w:rPr>
        <w:t>也是野生动物重要的栖息场所，</w:t>
      </w:r>
      <w:r>
        <w:rPr>
          <w:rFonts w:ascii="宋体" w:hAnsi="宋体" w:eastAsia="宋体" w:cs="宋体"/>
          <w:spacing w:val="30"/>
          <w:sz w:val="24"/>
          <w:szCs w:val="24"/>
        </w:rPr>
        <w:t xml:space="preserve"> </w:t>
      </w:r>
      <w:r>
        <w:rPr>
          <w:rFonts w:ascii="宋体" w:hAnsi="宋体" w:eastAsia="宋体" w:cs="宋体"/>
          <w:spacing w:val="-16"/>
          <w:sz w:val="24"/>
          <w:szCs w:val="24"/>
        </w:rPr>
        <w:t>特别是鸟类，</w:t>
      </w:r>
      <w:r>
        <w:rPr>
          <w:rFonts w:ascii="宋体" w:hAnsi="宋体" w:eastAsia="宋体" w:cs="宋体"/>
          <w:spacing w:val="34"/>
          <w:sz w:val="24"/>
          <w:szCs w:val="24"/>
        </w:rPr>
        <w:t xml:space="preserve"> </w:t>
      </w:r>
      <w:r>
        <w:rPr>
          <w:rFonts w:ascii="宋体" w:hAnsi="宋体" w:eastAsia="宋体" w:cs="宋体"/>
          <w:spacing w:val="-16"/>
          <w:sz w:val="24"/>
          <w:szCs w:val="24"/>
        </w:rPr>
        <w:t>一旦生态系统破坏，</w:t>
      </w:r>
      <w:r>
        <w:rPr>
          <w:rFonts w:ascii="宋体" w:hAnsi="宋体" w:eastAsia="宋体" w:cs="宋体"/>
          <w:spacing w:val="33"/>
          <w:sz w:val="24"/>
          <w:szCs w:val="24"/>
        </w:rPr>
        <w:t xml:space="preserve"> </w:t>
      </w:r>
      <w:r>
        <w:rPr>
          <w:rFonts w:ascii="宋体" w:hAnsi="宋体" w:eastAsia="宋体" w:cs="宋体"/>
          <w:spacing w:val="-16"/>
          <w:sz w:val="24"/>
          <w:szCs w:val="24"/>
        </w:rPr>
        <w:t>部分野生动物</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难以生存。灌丛为区域内生态耗水最大的系统类型。</w:t>
      </w:r>
    </w:p>
    <w:p>
      <w:pPr>
        <w:spacing w:before="156" w:line="217" w:lineRule="auto"/>
        <w:ind w:left="517"/>
        <w:rPr>
          <w:rFonts w:ascii="宋体" w:hAnsi="宋体" w:eastAsia="宋体" w:cs="宋体"/>
          <w:sz w:val="24"/>
          <w:szCs w:val="24"/>
        </w:rPr>
      </w:pPr>
      <w:r>
        <w:rPr>
          <w:rFonts w:ascii="宋体" w:hAnsi="宋体" w:eastAsia="宋体" w:cs="宋体"/>
          <w:spacing w:val="-2"/>
          <w:sz w:val="24"/>
          <w:szCs w:val="24"/>
        </w:rPr>
        <w:t>③草地生态系统</w:t>
      </w:r>
    </w:p>
    <w:p>
      <w:pPr>
        <w:spacing w:before="156" w:line="441" w:lineRule="exact"/>
        <w:ind w:left="521"/>
        <w:rPr>
          <w:rFonts w:ascii="宋体" w:hAnsi="宋体" w:eastAsia="宋体" w:cs="宋体"/>
          <w:sz w:val="24"/>
          <w:szCs w:val="24"/>
        </w:rPr>
      </w:pPr>
      <w:r>
        <w:rPr>
          <w:rFonts w:ascii="宋体" w:hAnsi="宋体" w:eastAsia="宋体" w:cs="宋体"/>
          <w:spacing w:val="-14"/>
          <w:position w:val="15"/>
          <w:sz w:val="24"/>
          <w:szCs w:val="24"/>
        </w:rPr>
        <w:t>草地生态系统由以黄茅、芒、野古草和白茅为建群种，</w:t>
      </w:r>
      <w:r>
        <w:rPr>
          <w:rFonts w:ascii="宋体" w:hAnsi="宋体" w:eastAsia="宋体" w:cs="宋体"/>
          <w:spacing w:val="-36"/>
          <w:position w:val="15"/>
          <w:sz w:val="24"/>
          <w:szCs w:val="24"/>
        </w:rPr>
        <w:t xml:space="preserve"> </w:t>
      </w:r>
      <w:r>
        <w:rPr>
          <w:rFonts w:ascii="宋体" w:hAnsi="宋体" w:eastAsia="宋体" w:cs="宋体"/>
          <w:spacing w:val="-14"/>
          <w:position w:val="15"/>
          <w:sz w:val="24"/>
          <w:szCs w:val="24"/>
        </w:rPr>
        <w:t>多分布在湖边滩涂区，</w:t>
      </w:r>
    </w:p>
    <w:p>
      <w:pPr>
        <w:spacing w:line="219" w:lineRule="auto"/>
        <w:ind w:left="68"/>
        <w:rPr>
          <w:rFonts w:ascii="宋体" w:hAnsi="宋体" w:eastAsia="宋体" w:cs="宋体"/>
          <w:sz w:val="24"/>
          <w:szCs w:val="24"/>
        </w:rPr>
      </w:pPr>
      <w:r>
        <w:rPr>
          <w:rFonts w:ascii="宋体" w:hAnsi="宋体" w:eastAsia="宋体" w:cs="宋体"/>
          <w:spacing w:val="-3"/>
          <w:sz w:val="24"/>
          <w:szCs w:val="24"/>
        </w:rPr>
        <w:t>由于地区水量丰沛，自然环境较好，草地植被生长较为茂盛。</w:t>
      </w:r>
    </w:p>
    <w:p>
      <w:pPr>
        <w:spacing w:before="156" w:line="217" w:lineRule="auto"/>
        <w:ind w:left="517"/>
        <w:rPr>
          <w:rFonts w:ascii="宋体" w:hAnsi="宋体" w:eastAsia="宋体" w:cs="宋体"/>
          <w:sz w:val="24"/>
          <w:szCs w:val="24"/>
        </w:rPr>
      </w:pPr>
      <w:r>
        <w:rPr>
          <w:rFonts w:ascii="宋体" w:hAnsi="宋体" w:eastAsia="宋体" w:cs="宋体"/>
          <w:spacing w:val="-2"/>
          <w:sz w:val="24"/>
          <w:szCs w:val="24"/>
        </w:rPr>
        <w:t>④农田生态系统</w:t>
      </w:r>
    </w:p>
    <w:p>
      <w:pPr>
        <w:spacing w:before="156" w:line="441" w:lineRule="exact"/>
        <w:ind w:left="519"/>
        <w:rPr>
          <w:rFonts w:ascii="宋体" w:hAnsi="宋体" w:eastAsia="宋体" w:cs="宋体"/>
          <w:sz w:val="24"/>
          <w:szCs w:val="24"/>
        </w:rPr>
      </w:pPr>
      <w:r>
        <w:rPr>
          <w:rFonts w:ascii="宋体" w:hAnsi="宋体" w:eastAsia="宋体" w:cs="宋体"/>
          <w:position w:val="15"/>
          <w:sz w:val="24"/>
          <w:szCs w:val="24"/>
        </w:rPr>
        <w:t>农田生态系统是区域社会经济稳定的基础。由于当地气候干燥，水量不足，</w:t>
      </w:r>
    </w:p>
    <w:p>
      <w:pPr>
        <w:spacing w:line="219" w:lineRule="auto"/>
        <w:ind w:left="39"/>
        <w:rPr>
          <w:rFonts w:ascii="宋体" w:hAnsi="宋体" w:eastAsia="宋体" w:cs="宋体"/>
          <w:sz w:val="24"/>
          <w:szCs w:val="24"/>
        </w:rPr>
      </w:pPr>
      <w:r>
        <w:rPr>
          <w:rFonts w:ascii="宋体" w:hAnsi="宋体" w:eastAsia="宋体" w:cs="宋体"/>
          <w:spacing w:val="-3"/>
          <w:sz w:val="24"/>
          <w:szCs w:val="24"/>
        </w:rPr>
        <w:t>地区生产力水平一般。</w:t>
      </w:r>
    </w:p>
    <w:p>
      <w:pPr>
        <w:spacing w:before="156" w:line="217" w:lineRule="auto"/>
        <w:ind w:left="517"/>
        <w:rPr>
          <w:rFonts w:ascii="宋体" w:hAnsi="宋体" w:eastAsia="宋体" w:cs="宋体"/>
          <w:sz w:val="24"/>
          <w:szCs w:val="24"/>
        </w:rPr>
      </w:pPr>
      <w:r>
        <w:rPr>
          <w:rFonts w:ascii="宋体" w:hAnsi="宋体" w:eastAsia="宋体" w:cs="宋体"/>
          <w:spacing w:val="-2"/>
          <w:sz w:val="24"/>
          <w:szCs w:val="24"/>
        </w:rPr>
        <w:t>⑤水域生态系统</w:t>
      </w:r>
    </w:p>
    <w:p>
      <w:pPr>
        <w:spacing w:before="154" w:line="339" w:lineRule="auto"/>
        <w:ind w:left="39" w:right="142" w:firstLine="480"/>
        <w:rPr>
          <w:rFonts w:ascii="宋体" w:hAnsi="宋体" w:eastAsia="宋体" w:cs="宋体"/>
          <w:sz w:val="24"/>
          <w:szCs w:val="24"/>
        </w:rPr>
      </w:pPr>
      <w:r>
        <w:rPr>
          <w:rFonts w:ascii="宋体" w:hAnsi="宋体" w:eastAsia="宋体" w:cs="宋体"/>
          <w:spacing w:val="-1"/>
          <w:sz w:val="24"/>
          <w:szCs w:val="24"/>
        </w:rPr>
        <w:t>相对于其他生态系统，评价区内的河流生态系统是最脆弱</w:t>
      </w:r>
      <w:r>
        <w:rPr>
          <w:rFonts w:ascii="宋体" w:hAnsi="宋体" w:eastAsia="宋体" w:cs="宋体"/>
          <w:spacing w:val="-2"/>
          <w:sz w:val="24"/>
          <w:szCs w:val="24"/>
        </w:rPr>
        <w:t>的生态系统类型，</w:t>
      </w:r>
      <w:r>
        <w:rPr>
          <w:rFonts w:ascii="宋体" w:hAnsi="宋体" w:eastAsia="宋体" w:cs="宋体"/>
          <w:sz w:val="24"/>
          <w:szCs w:val="24"/>
        </w:rPr>
        <w:t xml:space="preserve"> </w:t>
      </w:r>
      <w:r>
        <w:rPr>
          <w:rFonts w:ascii="宋体" w:hAnsi="宋体" w:eastAsia="宋体" w:cs="宋体"/>
          <w:spacing w:val="-6"/>
          <w:sz w:val="24"/>
          <w:szCs w:val="24"/>
        </w:rPr>
        <w:t>面临多重威胁。该生态系统由地表水系与河道及周围滩涂构成，</w:t>
      </w:r>
      <w:r>
        <w:rPr>
          <w:rFonts w:ascii="宋体" w:hAnsi="宋体" w:eastAsia="宋体" w:cs="宋体"/>
          <w:spacing w:val="-7"/>
          <w:sz w:val="24"/>
          <w:szCs w:val="24"/>
        </w:rPr>
        <w:t xml:space="preserve"> 具备完整的从浮</w:t>
      </w:r>
      <w:r>
        <w:rPr>
          <w:rFonts w:ascii="宋体" w:hAnsi="宋体" w:eastAsia="宋体" w:cs="宋体"/>
          <w:sz w:val="24"/>
          <w:szCs w:val="24"/>
        </w:rPr>
        <w:t xml:space="preserve"> </w:t>
      </w:r>
      <w:r>
        <w:rPr>
          <w:rFonts w:ascii="宋体" w:hAnsi="宋体" w:eastAsia="宋体" w:cs="宋体"/>
          <w:spacing w:val="-12"/>
          <w:sz w:val="24"/>
          <w:szCs w:val="24"/>
        </w:rPr>
        <w:t>游植物到高等动物的食物链条，</w:t>
      </w:r>
      <w:r>
        <w:rPr>
          <w:rFonts w:ascii="宋体" w:hAnsi="宋体" w:eastAsia="宋体" w:cs="宋体"/>
          <w:spacing w:val="59"/>
          <w:sz w:val="24"/>
          <w:szCs w:val="24"/>
        </w:rPr>
        <w:t xml:space="preserve"> </w:t>
      </w:r>
      <w:r>
        <w:rPr>
          <w:rFonts w:ascii="宋体" w:hAnsi="宋体" w:eastAsia="宋体" w:cs="宋体"/>
          <w:spacing w:val="-12"/>
          <w:sz w:val="24"/>
          <w:szCs w:val="24"/>
        </w:rPr>
        <w:t>由于水体面积</w:t>
      </w:r>
      <w:r>
        <w:rPr>
          <w:rFonts w:ascii="宋体" w:hAnsi="宋体" w:eastAsia="宋体" w:cs="宋体"/>
          <w:spacing w:val="-13"/>
          <w:sz w:val="24"/>
          <w:szCs w:val="24"/>
        </w:rPr>
        <w:t>非常狭小，</w:t>
      </w:r>
      <w:r>
        <w:rPr>
          <w:rFonts w:ascii="宋体" w:hAnsi="宋体" w:eastAsia="宋体" w:cs="宋体"/>
          <w:spacing w:val="32"/>
          <w:sz w:val="24"/>
          <w:szCs w:val="24"/>
        </w:rPr>
        <w:t xml:space="preserve"> </w:t>
      </w:r>
      <w:r>
        <w:rPr>
          <w:rFonts w:ascii="宋体" w:hAnsi="宋体" w:eastAsia="宋体" w:cs="宋体"/>
          <w:spacing w:val="-13"/>
          <w:sz w:val="24"/>
          <w:szCs w:val="24"/>
        </w:rPr>
        <w:t>生物多样性一般。湿地</w:t>
      </w:r>
      <w:r>
        <w:rPr>
          <w:rFonts w:ascii="宋体" w:hAnsi="宋体" w:eastAsia="宋体" w:cs="宋体"/>
          <w:sz w:val="24"/>
          <w:szCs w:val="24"/>
        </w:rPr>
        <w:t xml:space="preserve"> </w:t>
      </w:r>
      <w:r>
        <w:rPr>
          <w:rFonts w:ascii="宋体" w:hAnsi="宋体" w:eastAsia="宋体" w:cs="宋体"/>
          <w:spacing w:val="-9"/>
          <w:sz w:val="24"/>
          <w:szCs w:val="24"/>
        </w:rPr>
        <w:t>是水生植物唯一生存区，</w:t>
      </w:r>
      <w:r>
        <w:rPr>
          <w:rFonts w:ascii="宋体" w:hAnsi="宋体" w:eastAsia="宋体" w:cs="宋体"/>
          <w:spacing w:val="-20"/>
          <w:sz w:val="24"/>
          <w:szCs w:val="24"/>
        </w:rPr>
        <w:t xml:space="preserve"> </w:t>
      </w:r>
      <w:r>
        <w:rPr>
          <w:rFonts w:ascii="宋体" w:hAnsi="宋体" w:eastAsia="宋体" w:cs="宋体"/>
          <w:spacing w:val="-9"/>
          <w:sz w:val="24"/>
          <w:szCs w:val="24"/>
        </w:rPr>
        <w:t>一旦失去极难恢复， 而水生植物又是鱼虾青蛙类水生动</w:t>
      </w:r>
      <w:r>
        <w:rPr>
          <w:rFonts w:ascii="宋体" w:hAnsi="宋体" w:eastAsia="宋体" w:cs="宋体"/>
          <w:sz w:val="24"/>
          <w:szCs w:val="24"/>
        </w:rPr>
        <w:t xml:space="preserve"> </w:t>
      </w:r>
      <w:r>
        <w:rPr>
          <w:rFonts w:ascii="宋体" w:hAnsi="宋体" w:eastAsia="宋体" w:cs="宋体"/>
          <w:spacing w:val="-17"/>
          <w:sz w:val="24"/>
          <w:szCs w:val="24"/>
        </w:rPr>
        <w:t>物赖以生存的环境，</w:t>
      </w:r>
      <w:r>
        <w:rPr>
          <w:rFonts w:ascii="宋体" w:hAnsi="宋体" w:eastAsia="宋体" w:cs="宋体"/>
          <w:spacing w:val="50"/>
          <w:sz w:val="24"/>
          <w:szCs w:val="24"/>
        </w:rPr>
        <w:t xml:space="preserve"> </w:t>
      </w:r>
      <w:r>
        <w:rPr>
          <w:rFonts w:ascii="宋体" w:hAnsi="宋体" w:eastAsia="宋体" w:cs="宋体"/>
          <w:spacing w:val="-17"/>
          <w:sz w:val="24"/>
          <w:szCs w:val="24"/>
        </w:rPr>
        <w:t>是水鸟栖息，</w:t>
      </w:r>
      <w:r>
        <w:rPr>
          <w:rFonts w:ascii="宋体" w:hAnsi="宋体" w:eastAsia="宋体" w:cs="宋体"/>
          <w:spacing w:val="34"/>
          <w:sz w:val="24"/>
          <w:szCs w:val="24"/>
        </w:rPr>
        <w:t xml:space="preserve"> </w:t>
      </w:r>
      <w:r>
        <w:rPr>
          <w:rFonts w:ascii="宋体" w:hAnsi="宋体" w:eastAsia="宋体" w:cs="宋体"/>
          <w:spacing w:val="-17"/>
          <w:sz w:val="24"/>
          <w:szCs w:val="24"/>
        </w:rPr>
        <w:t>觅食的场所，</w:t>
      </w:r>
      <w:r>
        <w:rPr>
          <w:rFonts w:ascii="宋体" w:hAnsi="宋体" w:eastAsia="宋体" w:cs="宋体"/>
          <w:spacing w:val="49"/>
          <w:sz w:val="24"/>
          <w:szCs w:val="24"/>
        </w:rPr>
        <w:t xml:space="preserve"> </w:t>
      </w:r>
      <w:r>
        <w:rPr>
          <w:rFonts w:ascii="宋体" w:hAnsi="宋体" w:eastAsia="宋体" w:cs="宋体"/>
          <w:spacing w:val="-17"/>
          <w:sz w:val="24"/>
          <w:szCs w:val="24"/>
        </w:rPr>
        <w:t>因此湿地生态环境是生物多样性</w:t>
      </w:r>
    </w:p>
    <w:p>
      <w:pPr>
        <w:spacing w:before="1" w:line="219" w:lineRule="auto"/>
        <w:ind w:left="42"/>
        <w:rPr>
          <w:rFonts w:ascii="宋体" w:hAnsi="宋体" w:eastAsia="宋体" w:cs="宋体"/>
          <w:sz w:val="24"/>
          <w:szCs w:val="24"/>
        </w:rPr>
      </w:pPr>
      <w:r>
        <w:rPr>
          <w:rFonts w:ascii="宋体" w:hAnsi="宋体" w:eastAsia="宋体" w:cs="宋体"/>
          <w:spacing w:val="-6"/>
          <w:sz w:val="24"/>
          <w:szCs w:val="24"/>
        </w:rPr>
        <w:t>最为重要的环节。</w:t>
      </w:r>
    </w:p>
    <w:p>
      <w:pPr>
        <w:spacing w:line="219" w:lineRule="auto"/>
        <w:rPr>
          <w:rFonts w:ascii="宋体" w:hAnsi="宋体" w:eastAsia="宋体" w:cs="宋体"/>
          <w:sz w:val="24"/>
          <w:szCs w:val="24"/>
        </w:rPr>
        <w:sectPr>
          <w:headerReference r:id="rId328" w:type="default"/>
          <w:footerReference r:id="rId329" w:type="default"/>
          <w:pgSz w:w="11907" w:h="16839"/>
          <w:pgMar w:top="1156" w:right="1593" w:bottom="1374" w:left="1770" w:header="881" w:footer="1210" w:gutter="0"/>
        </w:sectPr>
      </w:pPr>
    </w:p>
    <w:p>
      <w:pPr>
        <w:spacing w:line="349" w:lineRule="auto"/>
        <w:rPr>
          <w:rFonts w:ascii="Arial"/>
          <w:sz w:val="21"/>
        </w:rPr>
      </w:pPr>
    </w:p>
    <w:p>
      <w:pPr>
        <w:spacing w:before="78"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7</w:t>
      </w:r>
      <w:r>
        <w:rPr>
          <w:rFonts w:ascii="宋体" w:hAnsi="宋体" w:eastAsia="宋体" w:cs="宋体"/>
          <w:spacing w:val="-2"/>
          <w:sz w:val="24"/>
          <w:szCs w:val="24"/>
        </w:rPr>
        <w:t>）土壤侵蚀现状</w:t>
      </w:r>
    </w:p>
    <w:p>
      <w:pPr>
        <w:spacing w:before="151" w:line="339" w:lineRule="auto"/>
        <w:ind w:left="38" w:right="30" w:firstLine="484"/>
        <w:rPr>
          <w:rFonts w:ascii="宋体" w:hAnsi="宋体" w:eastAsia="宋体" w:cs="宋体"/>
          <w:sz w:val="24"/>
          <w:szCs w:val="24"/>
        </w:rPr>
      </w:pPr>
      <w:r>
        <w:rPr>
          <w:rFonts w:ascii="宋体" w:hAnsi="宋体" w:eastAsia="宋体" w:cs="宋体"/>
          <w:spacing w:val="-6"/>
          <w:sz w:val="24"/>
          <w:szCs w:val="24"/>
        </w:rPr>
        <w:t>项目评价区位于金沙江流域的中山峡谷区，</w:t>
      </w:r>
      <w:r>
        <w:rPr>
          <w:rFonts w:ascii="宋体" w:hAnsi="宋体" w:eastAsia="宋体" w:cs="宋体"/>
          <w:spacing w:val="-29"/>
          <w:sz w:val="24"/>
          <w:szCs w:val="24"/>
        </w:rPr>
        <w:t xml:space="preserve"> </w:t>
      </w:r>
      <w:r>
        <w:rPr>
          <w:rFonts w:ascii="宋体" w:hAnsi="宋体" w:eastAsia="宋体" w:cs="宋体"/>
          <w:spacing w:val="-6"/>
          <w:sz w:val="24"/>
          <w:szCs w:val="24"/>
        </w:rPr>
        <w:t>一级支流万马河上游桂花河及其</w:t>
      </w:r>
      <w:r>
        <w:rPr>
          <w:rFonts w:ascii="宋体" w:hAnsi="宋体" w:eastAsia="宋体" w:cs="宋体"/>
          <w:sz w:val="24"/>
          <w:szCs w:val="24"/>
        </w:rPr>
        <w:t xml:space="preserve"> </w:t>
      </w:r>
      <w:r>
        <w:rPr>
          <w:rFonts w:ascii="宋体" w:hAnsi="宋体" w:eastAsia="宋体" w:cs="宋体"/>
          <w:spacing w:val="-12"/>
          <w:sz w:val="24"/>
          <w:szCs w:val="24"/>
        </w:rPr>
        <w:t>支流罗子左河等河谷，</w:t>
      </w:r>
      <w:r>
        <w:rPr>
          <w:rFonts w:ascii="宋体" w:hAnsi="宋体" w:eastAsia="宋体" w:cs="宋体"/>
          <w:spacing w:val="40"/>
          <w:sz w:val="24"/>
          <w:szCs w:val="24"/>
        </w:rPr>
        <w:t xml:space="preserve"> </w:t>
      </w:r>
      <w:r>
        <w:rPr>
          <w:rFonts w:ascii="宋体" w:hAnsi="宋体" w:eastAsia="宋体" w:cs="宋体"/>
          <w:spacing w:val="-12"/>
          <w:sz w:val="24"/>
          <w:szCs w:val="24"/>
        </w:rPr>
        <w:t>为中山侵蚀、剥蚀山地地貌，</w:t>
      </w:r>
      <w:r>
        <w:rPr>
          <w:rFonts w:ascii="宋体" w:hAnsi="宋体" w:eastAsia="宋体" w:cs="宋体"/>
          <w:spacing w:val="40"/>
          <w:sz w:val="24"/>
          <w:szCs w:val="24"/>
        </w:rPr>
        <w:t xml:space="preserve"> </w:t>
      </w:r>
      <w:r>
        <w:rPr>
          <w:rFonts w:ascii="宋体" w:hAnsi="宋体" w:eastAsia="宋体" w:cs="宋体"/>
          <w:spacing w:val="-12"/>
          <w:sz w:val="24"/>
          <w:szCs w:val="24"/>
        </w:rPr>
        <w:t>总体为南高北低</w:t>
      </w:r>
      <w:r>
        <w:rPr>
          <w:rFonts w:ascii="宋体" w:hAnsi="宋体" w:eastAsia="宋体" w:cs="宋体"/>
          <w:spacing w:val="-13"/>
          <w:sz w:val="24"/>
          <w:szCs w:val="24"/>
        </w:rPr>
        <w:t>。最高点为</w:t>
      </w:r>
      <w:r>
        <w:rPr>
          <w:rFonts w:ascii="宋体" w:hAnsi="宋体" w:eastAsia="宋体" w:cs="宋体"/>
          <w:sz w:val="24"/>
          <w:szCs w:val="24"/>
        </w:rPr>
        <w:t xml:space="preserve"> 南部六姑乍大箐和冷水箐的源头分水岭，标高为 </w:t>
      </w:r>
      <w:r>
        <w:rPr>
          <w:rFonts w:ascii="Times New Roman" w:hAnsi="Times New Roman" w:eastAsia="Times New Roman" w:cs="Times New Roman"/>
          <w:sz w:val="24"/>
          <w:szCs w:val="24"/>
        </w:rPr>
        <w:t>2630.31m</w:t>
      </w:r>
      <w:r>
        <w:rPr>
          <w:rFonts w:ascii="宋体" w:hAnsi="宋体" w:eastAsia="宋体" w:cs="宋体"/>
          <w:sz w:val="24"/>
          <w:szCs w:val="24"/>
        </w:rPr>
        <w:t>，最低点为北部桂花</w:t>
      </w:r>
      <w:r>
        <w:rPr>
          <w:rFonts w:ascii="宋体" w:hAnsi="宋体" w:eastAsia="宋体" w:cs="宋体"/>
          <w:spacing w:val="10"/>
          <w:sz w:val="24"/>
          <w:szCs w:val="24"/>
        </w:rPr>
        <w:t xml:space="preserve"> </w:t>
      </w:r>
      <w:r>
        <w:rPr>
          <w:rFonts w:ascii="宋体" w:hAnsi="宋体" w:eastAsia="宋体" w:cs="宋体"/>
          <w:spacing w:val="-7"/>
          <w:sz w:val="24"/>
          <w:szCs w:val="24"/>
        </w:rPr>
        <w:t>河与罗子左河交汇处下游岔处地，</w:t>
      </w:r>
      <w:r>
        <w:rPr>
          <w:rFonts w:ascii="宋体" w:hAnsi="宋体" w:eastAsia="宋体" w:cs="宋体"/>
          <w:spacing w:val="26"/>
          <w:sz w:val="24"/>
          <w:szCs w:val="24"/>
        </w:rPr>
        <w:t xml:space="preserve"> </w:t>
      </w:r>
      <w:r>
        <w:rPr>
          <w:rFonts w:ascii="宋体" w:hAnsi="宋体" w:eastAsia="宋体" w:cs="宋体"/>
          <w:spacing w:val="-7"/>
          <w:sz w:val="24"/>
          <w:szCs w:val="24"/>
        </w:rPr>
        <w:t>标高为</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1859.78m</w:t>
      </w:r>
      <w:r>
        <w:rPr>
          <w:rFonts w:ascii="宋体" w:hAnsi="宋体" w:eastAsia="宋体" w:cs="宋体"/>
          <w:spacing w:val="-7"/>
          <w:sz w:val="24"/>
          <w:szCs w:val="24"/>
        </w:rPr>
        <w:t>，</w:t>
      </w:r>
      <w:r>
        <w:rPr>
          <w:rFonts w:ascii="宋体" w:hAnsi="宋体" w:eastAsia="宋体" w:cs="宋体"/>
          <w:spacing w:val="-8"/>
          <w:sz w:val="24"/>
          <w:szCs w:val="24"/>
        </w:rPr>
        <w:t>区内最大高差</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770.53m</w:t>
      </w:r>
      <w:r>
        <w:rPr>
          <w:rFonts w:ascii="宋体" w:hAnsi="宋体" w:eastAsia="宋体" w:cs="宋体"/>
          <w:spacing w:val="-8"/>
          <w:sz w:val="24"/>
          <w:szCs w:val="24"/>
        </w:rPr>
        <w:t>。现</w:t>
      </w:r>
    </w:p>
    <w:p>
      <w:pPr>
        <w:spacing w:line="219" w:lineRule="auto"/>
        <w:ind w:left="38"/>
        <w:rPr>
          <w:rFonts w:ascii="宋体" w:hAnsi="宋体" w:eastAsia="宋体" w:cs="宋体"/>
          <w:sz w:val="24"/>
          <w:szCs w:val="24"/>
        </w:rPr>
      </w:pPr>
      <w:r>
        <w:rPr>
          <w:rFonts w:ascii="宋体" w:hAnsi="宋体" w:eastAsia="宋体" w:cs="宋体"/>
          <w:spacing w:val="-2"/>
          <w:sz w:val="24"/>
          <w:szCs w:val="24"/>
        </w:rPr>
        <w:t>场调查未发现规模较大的冲沟、坍塌、滑坡等现代物理地质现象。</w:t>
      </w:r>
    </w:p>
    <w:p>
      <w:pPr>
        <w:spacing w:before="155" w:line="439" w:lineRule="exact"/>
        <w:ind w:right="38"/>
        <w:jc w:val="right"/>
        <w:rPr>
          <w:rFonts w:ascii="宋体" w:hAnsi="宋体" w:eastAsia="宋体" w:cs="宋体"/>
          <w:sz w:val="24"/>
          <w:szCs w:val="24"/>
        </w:rPr>
      </w:pPr>
      <w:r>
        <w:rPr>
          <w:rFonts w:ascii="宋体" w:hAnsi="宋体" w:eastAsia="宋体" w:cs="宋体"/>
          <w:spacing w:val="-3"/>
          <w:position w:val="15"/>
          <w:sz w:val="24"/>
          <w:szCs w:val="24"/>
        </w:rPr>
        <w:t>由于评价区降雨量较少，年平均降水量约为</w:t>
      </w:r>
      <w:r>
        <w:rPr>
          <w:rFonts w:ascii="宋体" w:hAnsi="宋体" w:eastAsia="宋体" w:cs="宋体"/>
          <w:spacing w:val="-32"/>
          <w:position w:val="15"/>
          <w:sz w:val="24"/>
          <w:szCs w:val="24"/>
        </w:rPr>
        <w:t xml:space="preserve"> </w:t>
      </w:r>
      <w:r>
        <w:rPr>
          <w:rFonts w:ascii="Times New Roman" w:hAnsi="Times New Roman" w:eastAsia="Times New Roman" w:cs="Times New Roman"/>
          <w:spacing w:val="-3"/>
          <w:position w:val="15"/>
          <w:sz w:val="24"/>
          <w:szCs w:val="24"/>
        </w:rPr>
        <w:t>933.7mm</w:t>
      </w:r>
      <w:r>
        <w:rPr>
          <w:rFonts w:ascii="宋体" w:hAnsi="宋体" w:eastAsia="宋体" w:cs="宋体"/>
          <w:spacing w:val="-3"/>
          <w:position w:val="15"/>
          <w:sz w:val="24"/>
          <w:szCs w:val="24"/>
        </w:rPr>
        <w:t>，且集中于</w:t>
      </w:r>
      <w:r>
        <w:rPr>
          <w:rFonts w:ascii="宋体" w:hAnsi="宋体" w:eastAsia="宋体" w:cs="宋体"/>
          <w:spacing w:val="-31"/>
          <w:position w:val="15"/>
          <w:sz w:val="24"/>
          <w:szCs w:val="24"/>
        </w:rPr>
        <w:t xml:space="preserve"> </w:t>
      </w:r>
      <w:r>
        <w:rPr>
          <w:rFonts w:ascii="Times New Roman" w:hAnsi="Times New Roman" w:eastAsia="Times New Roman" w:cs="Times New Roman"/>
          <w:spacing w:val="-3"/>
          <w:position w:val="15"/>
          <w:sz w:val="24"/>
          <w:szCs w:val="24"/>
        </w:rPr>
        <w:t>6-</w:t>
      </w:r>
      <w:r>
        <w:rPr>
          <w:rFonts w:ascii="Times New Roman" w:hAnsi="Times New Roman" w:eastAsia="Times New Roman" w:cs="Times New Roman"/>
          <w:spacing w:val="-31"/>
          <w:position w:val="15"/>
          <w:sz w:val="24"/>
          <w:szCs w:val="24"/>
        </w:rPr>
        <w:t xml:space="preserve"> </w:t>
      </w:r>
      <w:r>
        <w:rPr>
          <w:rFonts w:ascii="Times New Roman" w:hAnsi="Times New Roman" w:eastAsia="Times New Roman" w:cs="Times New Roman"/>
          <w:spacing w:val="-3"/>
          <w:position w:val="15"/>
          <w:sz w:val="24"/>
          <w:szCs w:val="24"/>
        </w:rPr>
        <w:t>10</w:t>
      </w:r>
      <w:r>
        <w:rPr>
          <w:rFonts w:ascii="Times New Roman" w:hAnsi="Times New Roman" w:eastAsia="Times New Roman" w:cs="Times New Roman"/>
          <w:spacing w:val="33"/>
          <w:position w:val="15"/>
          <w:sz w:val="24"/>
          <w:szCs w:val="24"/>
        </w:rPr>
        <w:t xml:space="preserve"> </w:t>
      </w:r>
      <w:r>
        <w:rPr>
          <w:rFonts w:ascii="宋体" w:hAnsi="宋体" w:eastAsia="宋体" w:cs="宋体"/>
          <w:spacing w:val="-4"/>
          <w:position w:val="15"/>
          <w:sz w:val="24"/>
          <w:szCs w:val="24"/>
        </w:rPr>
        <w:t>月。</w:t>
      </w:r>
    </w:p>
    <w:p>
      <w:pPr>
        <w:spacing w:line="219" w:lineRule="auto"/>
        <w:ind w:left="58"/>
        <w:rPr>
          <w:rFonts w:ascii="宋体" w:hAnsi="宋体" w:eastAsia="宋体" w:cs="宋体"/>
          <w:sz w:val="24"/>
          <w:szCs w:val="24"/>
        </w:rPr>
      </w:pPr>
      <w:r>
        <w:rPr>
          <w:rFonts w:ascii="宋体" w:hAnsi="宋体" w:eastAsia="宋体" w:cs="宋体"/>
          <w:spacing w:val="-13"/>
          <w:sz w:val="24"/>
          <w:szCs w:val="24"/>
        </w:rPr>
        <w:t>因此，区内土壤侵蚀以风化剥蚀、冲刷侵蚀为主，</w:t>
      </w:r>
      <w:r>
        <w:rPr>
          <w:rFonts w:ascii="宋体" w:hAnsi="宋体" w:eastAsia="宋体" w:cs="宋体"/>
          <w:spacing w:val="-46"/>
          <w:sz w:val="24"/>
          <w:szCs w:val="24"/>
        </w:rPr>
        <w:t xml:space="preserve"> </w:t>
      </w:r>
      <w:r>
        <w:rPr>
          <w:rFonts w:ascii="宋体" w:hAnsi="宋体" w:eastAsia="宋体" w:cs="宋体"/>
          <w:spacing w:val="-13"/>
          <w:sz w:val="24"/>
          <w:szCs w:val="24"/>
        </w:rPr>
        <w:t>重力侵蚀一般与水力侵蚀共存。</w:t>
      </w:r>
    </w:p>
    <w:p>
      <w:pPr>
        <w:spacing w:before="155" w:line="440" w:lineRule="exact"/>
        <w:ind w:right="29"/>
        <w:jc w:val="right"/>
        <w:rPr>
          <w:rFonts w:ascii="宋体" w:hAnsi="宋体" w:eastAsia="宋体" w:cs="宋体"/>
          <w:sz w:val="24"/>
          <w:szCs w:val="24"/>
        </w:rPr>
      </w:pPr>
      <w:r>
        <w:rPr>
          <w:rFonts w:ascii="宋体" w:hAnsi="宋体" w:eastAsia="宋体" w:cs="宋体"/>
          <w:position w:val="15"/>
          <w:sz w:val="24"/>
          <w:szCs w:val="24"/>
        </w:rPr>
        <w:t xml:space="preserve">根据遥感影像解译制作的评价区土壤侵蚀现状见附图 </w:t>
      </w:r>
      <w:r>
        <w:rPr>
          <w:rFonts w:ascii="Times New Roman" w:hAnsi="Times New Roman" w:eastAsia="Times New Roman" w:cs="Times New Roman"/>
          <w:position w:val="15"/>
          <w:sz w:val="24"/>
          <w:szCs w:val="24"/>
        </w:rPr>
        <w:t>29</w:t>
      </w:r>
      <w:r>
        <w:rPr>
          <w:rFonts w:ascii="宋体" w:hAnsi="宋体" w:eastAsia="宋体" w:cs="宋体"/>
          <w:position w:val="15"/>
          <w:sz w:val="24"/>
          <w:szCs w:val="24"/>
        </w:rPr>
        <w:t>，评价区土壤侵蚀</w:t>
      </w:r>
    </w:p>
    <w:p>
      <w:pPr>
        <w:spacing w:before="1" w:line="219" w:lineRule="auto"/>
        <w:ind w:left="42"/>
        <w:rPr>
          <w:rFonts w:ascii="宋体" w:hAnsi="宋体" w:eastAsia="宋体" w:cs="宋体"/>
          <w:sz w:val="24"/>
          <w:szCs w:val="24"/>
        </w:rPr>
      </w:pPr>
      <w:r>
        <w:rPr>
          <w:rFonts w:ascii="宋体" w:hAnsi="宋体" w:eastAsia="宋体" w:cs="宋体"/>
          <w:spacing w:val="-4"/>
          <w:sz w:val="24"/>
          <w:szCs w:val="24"/>
        </w:rPr>
        <w:t>分级及面积统计见下表。</w:t>
      </w:r>
    </w:p>
    <w:p>
      <w:pPr>
        <w:pStyle w:val="2"/>
        <w:spacing w:before="180" w:line="218" w:lineRule="auto"/>
        <w:ind w:left="2422"/>
      </w:pPr>
      <w:r>
        <w:rPr>
          <w14:textOutline w14:w="3810" w14:cap="flat" w14:cmpd="sng">
            <w14:solidFill>
              <w14:srgbClr w14:val="000000"/>
            </w14:solidFill>
            <w14:prstDash w14:val="solid"/>
            <w14:miter w14:val="0"/>
          </w14:textOutline>
        </w:rPr>
        <w:t>表</w:t>
      </w:r>
      <w:r>
        <w:rPr>
          <w:spacing w:val="-48"/>
        </w:rPr>
        <w:t xml:space="preserve"> </w:t>
      </w:r>
      <w:r>
        <w:rPr>
          <w:rFonts w:ascii="Times New Roman" w:hAnsi="Times New Roman" w:eastAsia="Times New Roman" w:cs="Times New Roman"/>
          <w:b/>
          <w:bCs/>
        </w:rPr>
        <w:t xml:space="preserve">3.2-42    </w:t>
      </w:r>
      <w:r>
        <w:rPr>
          <w14:textOutline w14:w="3810" w14:cap="flat" w14:cmpd="sng">
            <w14:solidFill>
              <w14:srgbClr w14:val="000000"/>
            </w14:solidFill>
            <w14:prstDash w14:val="solid"/>
            <w14:miter w14:val="0"/>
          </w14:textOutline>
        </w:rPr>
        <w:t>评价区土壤侵蚀分</w:t>
      </w:r>
      <w:r>
        <w:rPr>
          <w:spacing w:val="-1"/>
          <w14:textOutline w14:w="3810" w14:cap="flat" w14:cmpd="sng">
            <w14:solidFill>
              <w14:srgbClr w14:val="000000"/>
            </w14:solidFill>
            <w14:prstDash w14:val="solid"/>
            <w14:miter w14:val="0"/>
          </w14:textOutline>
        </w:rPr>
        <w:t>级及面积统计</w:t>
      </w:r>
    </w:p>
    <w:p>
      <w:pPr>
        <w:spacing w:line="20" w:lineRule="exact"/>
      </w:pPr>
    </w:p>
    <w:tbl>
      <w:tblPr>
        <w:tblStyle w:val="5"/>
        <w:tblW w:w="8345"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3402"/>
        <w:gridCol w:w="31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trPr>
        <w:tc>
          <w:tcPr>
            <w:tcW w:w="1824" w:type="dxa"/>
            <w:tcBorders>
              <w:top w:val="single" w:color="000000" w:sz="12" w:space="0"/>
              <w:left w:val="nil"/>
            </w:tcBorders>
            <w:vAlign w:val="top"/>
          </w:tcPr>
          <w:p>
            <w:pPr>
              <w:spacing w:before="64" w:line="219" w:lineRule="auto"/>
              <w:ind w:left="304"/>
              <w:rPr>
                <w:rFonts w:ascii="仿宋" w:hAnsi="仿宋" w:eastAsia="仿宋" w:cs="仿宋"/>
                <w:sz w:val="21"/>
                <w:szCs w:val="21"/>
              </w:rPr>
            </w:pPr>
            <w:r>
              <w:rPr>
                <w:rFonts w:ascii="仿宋" w:hAnsi="仿宋" w:eastAsia="仿宋" w:cs="仿宋"/>
                <w:spacing w:val="-3"/>
                <w:sz w:val="21"/>
                <w:szCs w:val="21"/>
              </w:rPr>
              <w:t>土壤侵蚀强度</w:t>
            </w:r>
          </w:p>
        </w:tc>
        <w:tc>
          <w:tcPr>
            <w:tcW w:w="3402" w:type="dxa"/>
            <w:tcBorders>
              <w:top w:val="single" w:color="000000" w:sz="12" w:space="0"/>
            </w:tcBorders>
            <w:vAlign w:val="top"/>
          </w:tcPr>
          <w:p>
            <w:pPr>
              <w:pStyle w:val="6"/>
              <w:spacing w:before="64" w:line="233" w:lineRule="auto"/>
              <w:ind w:left="1109"/>
              <w:rPr>
                <w:rFonts w:ascii="仿宋" w:hAnsi="仿宋" w:eastAsia="仿宋" w:cs="仿宋"/>
              </w:rPr>
            </w:pPr>
            <w:r>
              <w:rPr>
                <w:rFonts w:ascii="仿宋" w:hAnsi="仿宋" w:eastAsia="仿宋" w:cs="仿宋"/>
                <w:spacing w:val="-3"/>
              </w:rPr>
              <w:t>面积（</w:t>
            </w:r>
            <w:r>
              <w:rPr>
                <w:spacing w:val="-3"/>
              </w:rPr>
              <w:t>hm2</w:t>
            </w:r>
            <w:r>
              <w:rPr>
                <w:rFonts w:ascii="仿宋" w:hAnsi="仿宋" w:eastAsia="仿宋" w:cs="仿宋"/>
                <w:spacing w:val="-3"/>
              </w:rPr>
              <w:t>）</w:t>
            </w:r>
          </w:p>
        </w:tc>
        <w:tc>
          <w:tcPr>
            <w:tcW w:w="3119" w:type="dxa"/>
            <w:tcBorders>
              <w:top w:val="single" w:color="000000" w:sz="12" w:space="0"/>
              <w:right w:val="nil"/>
            </w:tcBorders>
            <w:vAlign w:val="top"/>
          </w:tcPr>
          <w:p>
            <w:pPr>
              <w:pStyle w:val="6"/>
              <w:spacing w:before="64" w:line="232" w:lineRule="auto"/>
              <w:ind w:left="853"/>
              <w:rPr>
                <w:rFonts w:ascii="仿宋" w:hAnsi="仿宋" w:eastAsia="仿宋" w:cs="仿宋"/>
              </w:rPr>
            </w:pPr>
            <w:r>
              <w:rPr>
                <w:rFonts w:ascii="仿宋" w:hAnsi="仿宋" w:eastAsia="仿宋" w:cs="仿宋"/>
                <w:spacing w:val="-3"/>
              </w:rPr>
              <w:t>所占比例（</w:t>
            </w:r>
            <w:r>
              <w:rPr>
                <w:spacing w:val="-3"/>
              </w:rPr>
              <w:t>%</w:t>
            </w:r>
            <w:r>
              <w:rPr>
                <w:rFonts w:ascii="仿宋" w:hAnsi="仿宋" w:eastAsia="仿宋" w:cs="仿宋"/>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824" w:type="dxa"/>
            <w:tcBorders>
              <w:left w:val="nil"/>
            </w:tcBorders>
            <w:vAlign w:val="top"/>
          </w:tcPr>
          <w:p>
            <w:pPr>
              <w:spacing w:before="68" w:line="219" w:lineRule="auto"/>
              <w:ind w:left="511"/>
              <w:rPr>
                <w:rFonts w:ascii="仿宋" w:hAnsi="仿宋" w:eastAsia="仿宋" w:cs="仿宋"/>
                <w:sz w:val="21"/>
                <w:szCs w:val="21"/>
              </w:rPr>
            </w:pPr>
            <w:r>
              <w:rPr>
                <w:rFonts w:ascii="仿宋" w:hAnsi="仿宋" w:eastAsia="仿宋" w:cs="仿宋"/>
                <w:spacing w:val="-3"/>
                <w:sz w:val="21"/>
                <w:szCs w:val="21"/>
              </w:rPr>
              <w:t>微度侵蚀</w:t>
            </w:r>
          </w:p>
        </w:tc>
        <w:tc>
          <w:tcPr>
            <w:tcW w:w="3402" w:type="dxa"/>
            <w:vAlign w:val="top"/>
          </w:tcPr>
          <w:p>
            <w:pPr>
              <w:pStyle w:val="6"/>
              <w:spacing w:before="108" w:line="186" w:lineRule="auto"/>
              <w:ind w:left="1413"/>
            </w:pPr>
            <w:r>
              <w:rPr>
                <w:spacing w:val="-1"/>
              </w:rPr>
              <w:t>478.87</w:t>
            </w:r>
          </w:p>
        </w:tc>
        <w:tc>
          <w:tcPr>
            <w:tcW w:w="3119" w:type="dxa"/>
            <w:tcBorders>
              <w:right w:val="nil"/>
            </w:tcBorders>
            <w:vAlign w:val="top"/>
          </w:tcPr>
          <w:p>
            <w:pPr>
              <w:pStyle w:val="6"/>
              <w:spacing w:before="108" w:line="186" w:lineRule="auto"/>
              <w:ind w:left="1330"/>
            </w:pPr>
            <w:r>
              <w:rPr>
                <w:spacing w:val="-2"/>
              </w:rPr>
              <w:t>58.36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trPr>
        <w:tc>
          <w:tcPr>
            <w:tcW w:w="1824" w:type="dxa"/>
            <w:tcBorders>
              <w:left w:val="nil"/>
            </w:tcBorders>
            <w:vAlign w:val="top"/>
          </w:tcPr>
          <w:p>
            <w:pPr>
              <w:spacing w:before="74" w:line="218" w:lineRule="auto"/>
              <w:ind w:left="511"/>
              <w:rPr>
                <w:rFonts w:ascii="仿宋" w:hAnsi="仿宋" w:eastAsia="仿宋" w:cs="仿宋"/>
                <w:sz w:val="21"/>
                <w:szCs w:val="21"/>
              </w:rPr>
            </w:pPr>
            <w:r>
              <w:rPr>
                <w:rFonts w:ascii="仿宋" w:hAnsi="仿宋" w:eastAsia="仿宋" w:cs="仿宋"/>
                <w:spacing w:val="-3"/>
                <w:sz w:val="21"/>
                <w:szCs w:val="21"/>
              </w:rPr>
              <w:t>轻度侵蚀</w:t>
            </w:r>
          </w:p>
        </w:tc>
        <w:tc>
          <w:tcPr>
            <w:tcW w:w="3402" w:type="dxa"/>
            <w:vAlign w:val="top"/>
          </w:tcPr>
          <w:p>
            <w:pPr>
              <w:pStyle w:val="6"/>
              <w:spacing w:before="112" w:line="186" w:lineRule="auto"/>
              <w:ind w:left="1469"/>
            </w:pPr>
            <w:r>
              <w:rPr>
                <w:spacing w:val="-2"/>
              </w:rPr>
              <w:t>79.28</w:t>
            </w:r>
          </w:p>
        </w:tc>
        <w:tc>
          <w:tcPr>
            <w:tcW w:w="3119" w:type="dxa"/>
            <w:tcBorders>
              <w:right w:val="nil"/>
            </w:tcBorders>
            <w:vAlign w:val="top"/>
          </w:tcPr>
          <w:p>
            <w:pPr>
              <w:pStyle w:val="6"/>
              <w:spacing w:before="112" w:line="186" w:lineRule="auto"/>
              <w:ind w:left="1381"/>
            </w:pPr>
            <w:r>
              <w:rPr>
                <w:spacing w:val="-2"/>
              </w:rPr>
              <w:t>9.66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trPr>
        <w:tc>
          <w:tcPr>
            <w:tcW w:w="1824" w:type="dxa"/>
            <w:tcBorders>
              <w:left w:val="nil"/>
            </w:tcBorders>
            <w:vAlign w:val="top"/>
          </w:tcPr>
          <w:p>
            <w:pPr>
              <w:spacing w:before="77" w:line="218" w:lineRule="auto"/>
              <w:ind w:left="538"/>
              <w:rPr>
                <w:rFonts w:ascii="仿宋" w:hAnsi="仿宋" w:eastAsia="仿宋" w:cs="仿宋"/>
                <w:sz w:val="21"/>
                <w:szCs w:val="21"/>
              </w:rPr>
            </w:pPr>
            <w:r>
              <w:rPr>
                <w:rFonts w:ascii="仿宋" w:hAnsi="仿宋" w:eastAsia="仿宋" w:cs="仿宋"/>
                <w:spacing w:val="-8"/>
                <w:sz w:val="21"/>
                <w:szCs w:val="21"/>
              </w:rPr>
              <w:t>中度侵蚀</w:t>
            </w:r>
          </w:p>
        </w:tc>
        <w:tc>
          <w:tcPr>
            <w:tcW w:w="3402" w:type="dxa"/>
            <w:vAlign w:val="top"/>
          </w:tcPr>
          <w:p>
            <w:pPr>
              <w:pStyle w:val="6"/>
              <w:spacing w:before="117" w:line="186" w:lineRule="auto"/>
              <w:ind w:left="1523"/>
            </w:pPr>
            <w:r>
              <w:rPr>
                <w:spacing w:val="-2"/>
              </w:rPr>
              <w:t>9.23</w:t>
            </w:r>
          </w:p>
        </w:tc>
        <w:tc>
          <w:tcPr>
            <w:tcW w:w="3119" w:type="dxa"/>
            <w:tcBorders>
              <w:right w:val="nil"/>
            </w:tcBorders>
            <w:vAlign w:val="top"/>
          </w:tcPr>
          <w:p>
            <w:pPr>
              <w:pStyle w:val="6"/>
              <w:spacing w:before="117" w:line="186" w:lineRule="auto"/>
              <w:ind w:left="1398"/>
            </w:pPr>
            <w:r>
              <w:rPr>
                <w:spacing w:val="-6"/>
              </w:rPr>
              <w:t>1.12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824" w:type="dxa"/>
            <w:tcBorders>
              <w:left w:val="nil"/>
            </w:tcBorders>
            <w:vAlign w:val="top"/>
          </w:tcPr>
          <w:p>
            <w:pPr>
              <w:spacing w:before="82" w:line="218" w:lineRule="auto"/>
              <w:ind w:left="518"/>
              <w:rPr>
                <w:rFonts w:ascii="仿宋" w:hAnsi="仿宋" w:eastAsia="仿宋" w:cs="仿宋"/>
                <w:sz w:val="21"/>
                <w:szCs w:val="21"/>
              </w:rPr>
            </w:pPr>
            <w:r>
              <w:rPr>
                <w:rFonts w:ascii="仿宋" w:hAnsi="仿宋" w:eastAsia="仿宋" w:cs="仿宋"/>
                <w:spacing w:val="-4"/>
                <w:sz w:val="21"/>
                <w:szCs w:val="21"/>
              </w:rPr>
              <w:t>强烈侵蚀</w:t>
            </w:r>
          </w:p>
        </w:tc>
        <w:tc>
          <w:tcPr>
            <w:tcW w:w="3402" w:type="dxa"/>
            <w:vAlign w:val="top"/>
          </w:tcPr>
          <w:p>
            <w:pPr>
              <w:pStyle w:val="6"/>
              <w:spacing w:before="121" w:line="186" w:lineRule="auto"/>
              <w:ind w:left="1434"/>
            </w:pPr>
            <w:r>
              <w:rPr>
                <w:spacing w:val="-4"/>
              </w:rPr>
              <w:t>175.28</w:t>
            </w:r>
          </w:p>
        </w:tc>
        <w:tc>
          <w:tcPr>
            <w:tcW w:w="3119" w:type="dxa"/>
            <w:tcBorders>
              <w:right w:val="nil"/>
            </w:tcBorders>
            <w:vAlign w:val="top"/>
          </w:tcPr>
          <w:p>
            <w:pPr>
              <w:pStyle w:val="6"/>
              <w:spacing w:before="121" w:line="186" w:lineRule="auto"/>
              <w:ind w:left="1325"/>
            </w:pPr>
            <w:r>
              <w:rPr>
                <w:spacing w:val="-1"/>
              </w:rPr>
              <w:t>21.36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trPr>
        <w:tc>
          <w:tcPr>
            <w:tcW w:w="1824" w:type="dxa"/>
            <w:tcBorders>
              <w:left w:val="nil"/>
            </w:tcBorders>
            <w:vAlign w:val="top"/>
          </w:tcPr>
          <w:p>
            <w:pPr>
              <w:spacing w:before="87" w:line="214" w:lineRule="auto"/>
              <w:ind w:left="406"/>
              <w:rPr>
                <w:rFonts w:ascii="仿宋" w:hAnsi="仿宋" w:eastAsia="仿宋" w:cs="仿宋"/>
                <w:sz w:val="21"/>
                <w:szCs w:val="21"/>
              </w:rPr>
            </w:pPr>
            <w:r>
              <w:rPr>
                <w:rFonts w:ascii="仿宋" w:hAnsi="仿宋" w:eastAsia="仿宋" w:cs="仿宋"/>
                <w:spacing w:val="-3"/>
                <w:sz w:val="21"/>
                <w:szCs w:val="21"/>
              </w:rPr>
              <w:t>极强烈侵蚀</w:t>
            </w:r>
          </w:p>
        </w:tc>
        <w:tc>
          <w:tcPr>
            <w:tcW w:w="3402" w:type="dxa"/>
            <w:vAlign w:val="top"/>
          </w:tcPr>
          <w:p>
            <w:pPr>
              <w:pStyle w:val="6"/>
              <w:spacing w:before="125" w:line="186" w:lineRule="auto"/>
              <w:ind w:left="1469"/>
            </w:pPr>
            <w:r>
              <w:rPr>
                <w:spacing w:val="-2"/>
              </w:rPr>
              <w:t>77.84</w:t>
            </w:r>
          </w:p>
        </w:tc>
        <w:tc>
          <w:tcPr>
            <w:tcW w:w="3119" w:type="dxa"/>
            <w:tcBorders>
              <w:right w:val="nil"/>
            </w:tcBorders>
            <w:vAlign w:val="top"/>
          </w:tcPr>
          <w:p>
            <w:pPr>
              <w:pStyle w:val="6"/>
              <w:spacing w:before="125" w:line="186" w:lineRule="auto"/>
              <w:ind w:left="1381"/>
            </w:pPr>
            <w:r>
              <w:rPr>
                <w:spacing w:val="-2"/>
              </w:rPr>
              <w:t>9.49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67" w:hRule="atLeast"/>
        </w:trPr>
        <w:tc>
          <w:tcPr>
            <w:tcW w:w="1824" w:type="dxa"/>
            <w:tcBorders>
              <w:left w:val="nil"/>
              <w:bottom w:val="single" w:color="000000" w:sz="12" w:space="0"/>
            </w:tcBorders>
            <w:vAlign w:val="top"/>
          </w:tcPr>
          <w:p>
            <w:pPr>
              <w:spacing w:before="90" w:line="218" w:lineRule="auto"/>
              <w:ind w:left="727"/>
              <w:rPr>
                <w:rFonts w:ascii="仿宋" w:hAnsi="仿宋" w:eastAsia="仿宋" w:cs="仿宋"/>
                <w:sz w:val="21"/>
                <w:szCs w:val="21"/>
              </w:rPr>
            </w:pPr>
            <w:r>
              <w:rPr>
                <w:rFonts w:ascii="仿宋" w:hAnsi="仿宋" w:eastAsia="仿宋" w:cs="仿宋"/>
                <w:spacing w:val="-10"/>
                <w:sz w:val="21"/>
                <w:szCs w:val="21"/>
              </w:rPr>
              <w:t>合计</w:t>
            </w:r>
          </w:p>
        </w:tc>
        <w:tc>
          <w:tcPr>
            <w:tcW w:w="3402" w:type="dxa"/>
            <w:tcBorders>
              <w:bottom w:val="single" w:color="000000" w:sz="12" w:space="0"/>
            </w:tcBorders>
            <w:vAlign w:val="top"/>
          </w:tcPr>
          <w:p>
            <w:pPr>
              <w:pStyle w:val="6"/>
              <w:spacing w:before="130" w:line="186" w:lineRule="auto"/>
              <w:ind w:left="1474"/>
            </w:pPr>
            <w:r>
              <w:rPr>
                <w:spacing w:val="-3"/>
              </w:rPr>
              <w:t>820.5</w:t>
            </w:r>
          </w:p>
        </w:tc>
        <w:tc>
          <w:tcPr>
            <w:tcW w:w="3119" w:type="dxa"/>
            <w:tcBorders>
              <w:bottom w:val="single" w:color="000000" w:sz="12" w:space="0"/>
              <w:right w:val="nil"/>
            </w:tcBorders>
            <w:vAlign w:val="top"/>
          </w:tcPr>
          <w:p>
            <w:pPr>
              <w:pStyle w:val="6"/>
              <w:spacing w:before="130" w:line="186" w:lineRule="auto"/>
              <w:ind w:left="1293"/>
            </w:pPr>
            <w:r>
              <w:rPr>
                <w:spacing w:val="-4"/>
              </w:rPr>
              <w:t>100.00</w:t>
            </w:r>
          </w:p>
        </w:tc>
      </w:tr>
    </w:tbl>
    <w:p>
      <w:pPr>
        <w:spacing w:before="145" w:line="339" w:lineRule="auto"/>
        <w:ind w:left="59" w:right="30" w:firstLine="489"/>
        <w:jc w:val="both"/>
        <w:rPr>
          <w:rFonts w:ascii="宋体" w:hAnsi="宋体" w:eastAsia="宋体" w:cs="宋体"/>
          <w:sz w:val="24"/>
          <w:szCs w:val="24"/>
        </w:rPr>
      </w:pPr>
      <w:r>
        <w:rPr>
          <w:rFonts w:ascii="宋体" w:hAnsi="宋体" w:eastAsia="宋体" w:cs="宋体"/>
          <w:spacing w:val="-2"/>
          <w:sz w:val="24"/>
          <w:szCs w:val="24"/>
        </w:rPr>
        <w:t>由上表可见，评价区土壤侵蚀轻度及以下级别面积为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558.15hm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2"/>
          <w:sz w:val="24"/>
          <w:szCs w:val="24"/>
        </w:rPr>
        <w:t>，占总面积</w:t>
      </w:r>
      <w:r>
        <w:rPr>
          <w:rFonts w:ascii="宋体" w:hAnsi="宋体" w:eastAsia="宋体" w:cs="宋体"/>
          <w:sz w:val="24"/>
          <w:szCs w:val="24"/>
        </w:rPr>
        <w:t xml:space="preserve"> </w:t>
      </w:r>
      <w:r>
        <w:rPr>
          <w:rFonts w:ascii="宋体" w:hAnsi="宋体" w:eastAsia="宋体" w:cs="宋体"/>
          <w:spacing w:val="-3"/>
          <w:sz w:val="24"/>
          <w:szCs w:val="24"/>
        </w:rPr>
        <w:t>的</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68.03%</w:t>
      </w:r>
      <w:r>
        <w:rPr>
          <w:rFonts w:ascii="宋体" w:hAnsi="宋体" w:eastAsia="宋体" w:cs="宋体"/>
          <w:spacing w:val="-3"/>
          <w:sz w:val="24"/>
          <w:szCs w:val="24"/>
        </w:rPr>
        <w:t xml:space="preserve">；中度侵蚀及以上面积为 </w:t>
      </w:r>
      <w:r>
        <w:rPr>
          <w:rFonts w:ascii="Times New Roman" w:hAnsi="Times New Roman" w:eastAsia="Times New Roman" w:cs="Times New Roman"/>
          <w:spacing w:val="-3"/>
          <w:sz w:val="24"/>
          <w:szCs w:val="24"/>
        </w:rPr>
        <w:t>262.35hm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3"/>
          <w:sz w:val="24"/>
          <w:szCs w:val="24"/>
        </w:rPr>
        <w:t>，占总面积的</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30.85%</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。本</w:t>
      </w:r>
      <w:r>
        <w:rPr>
          <w:rFonts w:ascii="宋体" w:hAnsi="宋体" w:eastAsia="宋体" w:cs="宋体"/>
          <w:spacing w:val="-4"/>
          <w:sz w:val="24"/>
          <w:szCs w:val="24"/>
        </w:rPr>
        <w:t>评价区</w:t>
      </w:r>
    </w:p>
    <w:p>
      <w:pPr>
        <w:spacing w:line="212" w:lineRule="auto"/>
        <w:ind w:left="40"/>
        <w:rPr>
          <w:rFonts w:ascii="宋体" w:hAnsi="宋体" w:eastAsia="宋体" w:cs="宋体"/>
          <w:sz w:val="24"/>
          <w:szCs w:val="24"/>
        </w:rPr>
      </w:pPr>
      <w:r>
        <w:rPr>
          <w:rFonts w:ascii="宋体" w:hAnsi="宋体" w:eastAsia="宋体" w:cs="宋体"/>
          <w:spacing w:val="-1"/>
          <w:sz w:val="24"/>
          <w:szCs w:val="24"/>
        </w:rPr>
        <w:t>年均土壤侵蚀模数为</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2882.27t/(km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pPr>
        <w:spacing w:before="16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）植被覆盖度现状</w:t>
      </w:r>
    </w:p>
    <w:p>
      <w:pPr>
        <w:spacing w:before="123" w:line="360" w:lineRule="auto"/>
        <w:ind w:left="39" w:right="52"/>
        <w:rPr>
          <w:rFonts w:ascii="宋体" w:hAnsi="宋体" w:eastAsia="宋体" w:cs="宋体"/>
          <w:sz w:val="24"/>
          <w:szCs w:val="24"/>
        </w:rPr>
      </w:pPr>
      <w:r>
        <w:rPr>
          <w:rFonts w:ascii="宋体" w:hAnsi="宋体" w:eastAsia="宋体" w:cs="宋体"/>
          <w:spacing w:val="-10"/>
          <w:sz w:val="24"/>
          <w:szCs w:val="24"/>
        </w:rPr>
        <w:t>植被覆盖度可用于定量分析评价范围内的植被现状，本次评价基于</w:t>
      </w:r>
      <w:r>
        <w:rPr>
          <w:rFonts w:ascii="宋体" w:hAnsi="宋体" w:eastAsia="宋体" w:cs="宋体"/>
          <w:spacing w:val="-11"/>
          <w:sz w:val="24"/>
          <w:szCs w:val="24"/>
        </w:rPr>
        <w:t>遥感解译，采用</w:t>
      </w:r>
      <w:r>
        <w:rPr>
          <w:rFonts w:ascii="宋体" w:hAnsi="宋体" w:eastAsia="宋体" w:cs="宋体"/>
          <w:sz w:val="24"/>
          <w:szCs w:val="24"/>
        </w:rPr>
        <w:t xml:space="preserve"> </w:t>
      </w:r>
      <w:r>
        <w:rPr>
          <w:rFonts w:ascii="宋体" w:hAnsi="宋体" w:eastAsia="宋体" w:cs="宋体"/>
          <w:spacing w:val="-21"/>
          <w:sz w:val="24"/>
          <w:szCs w:val="24"/>
        </w:rPr>
        <w:t>植被指数法估算评价区的植被覆盖度。植被指数法主要是通过对各像元</w:t>
      </w:r>
      <w:r>
        <w:rPr>
          <w:rFonts w:ascii="宋体" w:hAnsi="宋体" w:eastAsia="宋体" w:cs="宋体"/>
          <w:spacing w:val="-22"/>
          <w:sz w:val="24"/>
          <w:szCs w:val="24"/>
        </w:rPr>
        <w:t xml:space="preserve">中植被类型及  </w:t>
      </w:r>
      <w:r>
        <w:rPr>
          <w:rFonts w:ascii="宋体" w:hAnsi="宋体" w:eastAsia="宋体" w:cs="宋体"/>
          <w:sz w:val="24"/>
          <w:szCs w:val="24"/>
        </w:rPr>
        <w:t>分布特征的分析，建立植被指数与植被覆盖度的转</w:t>
      </w:r>
      <w:r>
        <w:rPr>
          <w:rFonts w:ascii="宋体" w:hAnsi="宋体" w:eastAsia="宋体" w:cs="宋体"/>
          <w:spacing w:val="-1"/>
          <w:sz w:val="24"/>
          <w:szCs w:val="24"/>
        </w:rPr>
        <w:t>换关系。采用归一化植被指</w:t>
      </w:r>
    </w:p>
    <w:p>
      <w:pPr>
        <w:spacing w:line="218" w:lineRule="auto"/>
        <w:ind w:left="41"/>
        <w:rPr>
          <w:rFonts w:ascii="宋体" w:hAnsi="宋体" w:eastAsia="宋体" w:cs="宋体"/>
          <w:sz w:val="24"/>
          <w:szCs w:val="24"/>
        </w:rPr>
      </w:pPr>
      <w:r>
        <w:rPr>
          <w:rFonts w:ascii="宋体" w:hAnsi="宋体" w:eastAsia="宋体" w:cs="宋体"/>
          <w:spacing w:val="-4"/>
          <w:sz w:val="24"/>
          <w:szCs w:val="24"/>
        </w:rPr>
        <w:t>数（NDVI）估算植被覆盖度的方法如下：</w:t>
      </w:r>
    </w:p>
    <w:p>
      <w:pPr>
        <w:spacing w:before="185" w:line="468" w:lineRule="exact"/>
        <w:ind w:left="2269"/>
        <w:rPr>
          <w:rFonts w:ascii="宋体" w:hAnsi="宋体" w:eastAsia="宋体" w:cs="宋体"/>
          <w:sz w:val="24"/>
          <w:szCs w:val="24"/>
        </w:rPr>
      </w:pPr>
      <w:r>
        <w:rPr>
          <w:rFonts w:ascii="宋体" w:hAnsi="宋体" w:eastAsia="宋体" w:cs="宋体"/>
          <w:i/>
          <w:iCs/>
          <w:spacing w:val="-2"/>
          <w:position w:val="17"/>
          <w:sz w:val="25"/>
          <w:szCs w:val="25"/>
        </w:rPr>
        <w:t>FVC</w:t>
      </w:r>
      <w:r>
        <w:rPr>
          <w:rFonts w:ascii="宋体" w:hAnsi="宋体" w:eastAsia="宋体" w:cs="宋体"/>
          <w:spacing w:val="-53"/>
          <w:position w:val="17"/>
          <w:sz w:val="25"/>
          <w:szCs w:val="25"/>
        </w:rPr>
        <w:t xml:space="preserve"> </w:t>
      </w:r>
      <w:r>
        <w:rPr>
          <w:rFonts w:ascii="宋体" w:hAnsi="宋体" w:eastAsia="宋体" w:cs="宋体"/>
          <w:spacing w:val="-2"/>
          <w:position w:val="17"/>
          <w:sz w:val="24"/>
          <w:szCs w:val="24"/>
        </w:rPr>
        <w:t>=</w:t>
      </w:r>
      <w:r>
        <w:rPr>
          <w:rFonts w:ascii="宋体" w:hAnsi="宋体" w:eastAsia="宋体" w:cs="宋体"/>
          <w:spacing w:val="51"/>
          <w:position w:val="17"/>
          <w:sz w:val="24"/>
          <w:szCs w:val="24"/>
        </w:rPr>
        <w:t xml:space="preserve"> </w:t>
      </w:r>
      <w:r>
        <w:rPr>
          <w:rFonts w:ascii="宋体" w:hAnsi="宋体" w:eastAsia="宋体" w:cs="宋体"/>
          <w:spacing w:val="-2"/>
          <w:position w:val="17"/>
          <w:sz w:val="24"/>
          <w:szCs w:val="24"/>
        </w:rPr>
        <w:t>(</w:t>
      </w:r>
      <w:r>
        <w:rPr>
          <w:rFonts w:ascii="宋体" w:hAnsi="宋体" w:eastAsia="宋体" w:cs="宋体"/>
          <w:i/>
          <w:iCs/>
          <w:spacing w:val="-2"/>
          <w:position w:val="17"/>
          <w:sz w:val="25"/>
          <w:szCs w:val="25"/>
        </w:rPr>
        <w:t>NDVI</w:t>
      </w:r>
      <w:r>
        <w:rPr>
          <w:rFonts w:ascii="宋体" w:hAnsi="宋体" w:eastAsia="宋体" w:cs="宋体"/>
          <w:spacing w:val="-2"/>
          <w:position w:val="17"/>
          <w:sz w:val="24"/>
          <w:szCs w:val="24"/>
        </w:rPr>
        <w:t>-</w:t>
      </w:r>
      <w:r>
        <w:rPr>
          <w:rFonts w:ascii="宋体" w:hAnsi="宋体" w:eastAsia="宋体" w:cs="宋体"/>
          <w:i/>
          <w:iCs/>
          <w:spacing w:val="-2"/>
          <w:position w:val="17"/>
          <w:sz w:val="25"/>
          <w:szCs w:val="25"/>
        </w:rPr>
        <w:t>NDVIs</w:t>
      </w:r>
      <w:r>
        <w:rPr>
          <w:rFonts w:ascii="宋体" w:hAnsi="宋体" w:eastAsia="宋体" w:cs="宋体"/>
          <w:spacing w:val="-2"/>
          <w:position w:val="17"/>
          <w:sz w:val="24"/>
          <w:szCs w:val="24"/>
        </w:rPr>
        <w:t>)/(</w:t>
      </w:r>
      <w:r>
        <w:rPr>
          <w:rFonts w:ascii="宋体" w:hAnsi="宋体" w:eastAsia="宋体" w:cs="宋体"/>
          <w:i/>
          <w:iCs/>
          <w:spacing w:val="-2"/>
          <w:position w:val="17"/>
          <w:sz w:val="25"/>
          <w:szCs w:val="25"/>
        </w:rPr>
        <w:t>NDVIv</w:t>
      </w:r>
      <w:r>
        <w:rPr>
          <w:rFonts w:ascii="宋体" w:hAnsi="宋体" w:eastAsia="宋体" w:cs="宋体"/>
          <w:spacing w:val="-2"/>
          <w:position w:val="17"/>
          <w:sz w:val="24"/>
          <w:szCs w:val="24"/>
        </w:rPr>
        <w:t>-</w:t>
      </w:r>
      <w:r>
        <w:rPr>
          <w:rFonts w:ascii="宋体" w:hAnsi="宋体" w:eastAsia="宋体" w:cs="宋体"/>
          <w:i/>
          <w:iCs/>
          <w:spacing w:val="-3"/>
          <w:position w:val="17"/>
          <w:sz w:val="25"/>
          <w:szCs w:val="25"/>
        </w:rPr>
        <w:t>NDVIs</w:t>
      </w:r>
      <w:r>
        <w:rPr>
          <w:rFonts w:ascii="宋体" w:hAnsi="宋体" w:eastAsia="宋体" w:cs="宋体"/>
          <w:spacing w:val="-3"/>
          <w:position w:val="17"/>
          <w:sz w:val="24"/>
          <w:szCs w:val="24"/>
        </w:rPr>
        <w:t>)</w:t>
      </w:r>
    </w:p>
    <w:p>
      <w:pPr>
        <w:spacing w:before="1" w:line="212" w:lineRule="auto"/>
        <w:ind w:left="524"/>
        <w:rPr>
          <w:rFonts w:ascii="宋体" w:hAnsi="宋体" w:eastAsia="宋体" w:cs="宋体"/>
          <w:sz w:val="24"/>
          <w:szCs w:val="24"/>
        </w:rPr>
      </w:pPr>
      <w:r>
        <w:rPr>
          <w:rFonts w:ascii="宋体" w:hAnsi="宋体" w:eastAsia="宋体" w:cs="宋体"/>
          <w:spacing w:val="-10"/>
          <w:sz w:val="24"/>
          <w:szCs w:val="24"/>
        </w:rPr>
        <w:t xml:space="preserve">式中： </w:t>
      </w:r>
      <w:r>
        <w:rPr>
          <w:rFonts w:ascii="宋体" w:hAnsi="宋体" w:eastAsia="宋体" w:cs="宋体"/>
          <w:i/>
          <w:iCs/>
          <w:spacing w:val="-10"/>
          <w:sz w:val="25"/>
          <w:szCs w:val="25"/>
        </w:rPr>
        <w:t>FVC</w:t>
      </w:r>
      <w:r>
        <w:rPr>
          <w:rFonts w:ascii="宋体" w:hAnsi="宋体" w:eastAsia="宋体" w:cs="宋体"/>
          <w:spacing w:val="-10"/>
          <w:sz w:val="24"/>
          <w:szCs w:val="24"/>
        </w:rPr>
        <w:t>——所计算像元的植被覆盖度；</w:t>
      </w:r>
    </w:p>
    <w:p>
      <w:pPr>
        <w:spacing w:before="179" w:line="213" w:lineRule="auto"/>
        <w:ind w:left="1113"/>
        <w:rPr>
          <w:rFonts w:ascii="宋体" w:hAnsi="宋体" w:eastAsia="宋体" w:cs="宋体"/>
          <w:sz w:val="24"/>
          <w:szCs w:val="24"/>
        </w:rPr>
      </w:pPr>
      <w:r>
        <w:rPr>
          <w:rFonts w:ascii="宋体" w:hAnsi="宋体" w:eastAsia="宋体" w:cs="宋体"/>
          <w:i/>
          <w:iCs/>
          <w:spacing w:val="-4"/>
          <w:sz w:val="25"/>
          <w:szCs w:val="25"/>
        </w:rPr>
        <w:t>NDVI</w:t>
      </w:r>
      <w:r>
        <w:rPr>
          <w:rFonts w:ascii="宋体" w:hAnsi="宋体" w:eastAsia="宋体" w:cs="宋体"/>
          <w:spacing w:val="-4"/>
          <w:sz w:val="24"/>
          <w:szCs w:val="24"/>
        </w:rPr>
        <w:t>——所计算像元的</w:t>
      </w:r>
      <w:r>
        <w:rPr>
          <w:rFonts w:ascii="宋体" w:hAnsi="宋体" w:eastAsia="宋体" w:cs="宋体"/>
          <w:spacing w:val="-45"/>
          <w:sz w:val="24"/>
          <w:szCs w:val="24"/>
        </w:rPr>
        <w:t xml:space="preserve"> </w:t>
      </w:r>
      <w:r>
        <w:rPr>
          <w:rFonts w:ascii="宋体" w:hAnsi="宋体" w:eastAsia="宋体" w:cs="宋体"/>
          <w:spacing w:val="-4"/>
          <w:sz w:val="24"/>
          <w:szCs w:val="24"/>
        </w:rPr>
        <w:t>NDVI</w:t>
      </w:r>
      <w:r>
        <w:rPr>
          <w:rFonts w:ascii="宋体" w:hAnsi="宋体" w:eastAsia="宋体" w:cs="宋体"/>
          <w:spacing w:val="-50"/>
          <w:sz w:val="24"/>
          <w:szCs w:val="24"/>
        </w:rPr>
        <w:t xml:space="preserve"> </w:t>
      </w:r>
      <w:r>
        <w:rPr>
          <w:rFonts w:ascii="宋体" w:hAnsi="宋体" w:eastAsia="宋体" w:cs="宋体"/>
          <w:spacing w:val="-4"/>
          <w:sz w:val="24"/>
          <w:szCs w:val="24"/>
        </w:rPr>
        <w:t>值；</w:t>
      </w:r>
    </w:p>
    <w:p>
      <w:pPr>
        <w:spacing w:before="180" w:line="213" w:lineRule="auto"/>
        <w:ind w:left="993"/>
        <w:rPr>
          <w:rFonts w:ascii="宋体" w:hAnsi="宋体" w:eastAsia="宋体" w:cs="宋体"/>
          <w:sz w:val="24"/>
          <w:szCs w:val="24"/>
        </w:rPr>
      </w:pPr>
      <w:r>
        <w:rPr>
          <w:rFonts w:ascii="宋体" w:hAnsi="宋体" w:eastAsia="宋体" w:cs="宋体"/>
          <w:i/>
          <w:iCs/>
          <w:spacing w:val="-4"/>
          <w:sz w:val="25"/>
          <w:szCs w:val="25"/>
        </w:rPr>
        <w:t>NDVIv</w:t>
      </w:r>
      <w:r>
        <w:rPr>
          <w:rFonts w:ascii="宋体" w:hAnsi="宋体" w:eastAsia="宋体" w:cs="宋体"/>
          <w:spacing w:val="-4"/>
          <w:sz w:val="24"/>
          <w:szCs w:val="24"/>
        </w:rPr>
        <w:t>——纯植物像元的</w:t>
      </w:r>
      <w:r>
        <w:rPr>
          <w:rFonts w:ascii="宋体" w:hAnsi="宋体" w:eastAsia="宋体" w:cs="宋体"/>
          <w:spacing w:val="-46"/>
          <w:sz w:val="24"/>
          <w:szCs w:val="24"/>
        </w:rPr>
        <w:t xml:space="preserve"> </w:t>
      </w:r>
      <w:r>
        <w:rPr>
          <w:rFonts w:ascii="宋体" w:hAnsi="宋体" w:eastAsia="宋体" w:cs="宋体"/>
          <w:spacing w:val="-4"/>
          <w:sz w:val="24"/>
          <w:szCs w:val="24"/>
        </w:rPr>
        <w:t>NDVI</w:t>
      </w:r>
      <w:r>
        <w:rPr>
          <w:rFonts w:ascii="宋体" w:hAnsi="宋体" w:eastAsia="宋体" w:cs="宋体"/>
          <w:spacing w:val="-50"/>
          <w:sz w:val="24"/>
          <w:szCs w:val="24"/>
        </w:rPr>
        <w:t xml:space="preserve"> </w:t>
      </w:r>
      <w:r>
        <w:rPr>
          <w:rFonts w:ascii="宋体" w:hAnsi="宋体" w:eastAsia="宋体" w:cs="宋体"/>
          <w:spacing w:val="-4"/>
          <w:sz w:val="24"/>
          <w:szCs w:val="24"/>
        </w:rPr>
        <w:t>值；</w:t>
      </w:r>
    </w:p>
    <w:p>
      <w:pPr>
        <w:spacing w:before="180" w:line="213" w:lineRule="auto"/>
        <w:ind w:left="993"/>
        <w:rPr>
          <w:rFonts w:ascii="宋体" w:hAnsi="宋体" w:eastAsia="宋体" w:cs="宋体"/>
          <w:sz w:val="24"/>
          <w:szCs w:val="24"/>
        </w:rPr>
      </w:pPr>
      <w:r>
        <w:rPr>
          <w:rFonts w:ascii="宋体" w:hAnsi="宋体" w:eastAsia="宋体" w:cs="宋体"/>
          <w:i/>
          <w:iCs/>
          <w:spacing w:val="-3"/>
          <w:sz w:val="25"/>
          <w:szCs w:val="25"/>
        </w:rPr>
        <w:t>NDVIs</w:t>
      </w:r>
      <w:r>
        <w:rPr>
          <w:rFonts w:ascii="宋体" w:hAnsi="宋体" w:eastAsia="宋体" w:cs="宋体"/>
          <w:spacing w:val="-3"/>
          <w:sz w:val="24"/>
          <w:szCs w:val="24"/>
        </w:rPr>
        <w:t>——完全无植被覆盖像元的</w:t>
      </w:r>
      <w:r>
        <w:rPr>
          <w:rFonts w:ascii="宋体" w:hAnsi="宋体" w:eastAsia="宋体" w:cs="宋体"/>
          <w:spacing w:val="-42"/>
          <w:sz w:val="24"/>
          <w:szCs w:val="24"/>
        </w:rPr>
        <w:t xml:space="preserve"> </w:t>
      </w:r>
      <w:r>
        <w:rPr>
          <w:rFonts w:ascii="宋体" w:hAnsi="宋体" w:eastAsia="宋体" w:cs="宋体"/>
          <w:spacing w:val="-3"/>
          <w:sz w:val="24"/>
          <w:szCs w:val="24"/>
        </w:rPr>
        <w:t>NDVI</w:t>
      </w:r>
      <w:r>
        <w:rPr>
          <w:rFonts w:ascii="宋体" w:hAnsi="宋体" w:eastAsia="宋体" w:cs="宋体"/>
          <w:spacing w:val="-51"/>
          <w:sz w:val="24"/>
          <w:szCs w:val="24"/>
        </w:rPr>
        <w:t xml:space="preserve"> </w:t>
      </w:r>
      <w:r>
        <w:rPr>
          <w:rFonts w:ascii="宋体" w:hAnsi="宋体" w:eastAsia="宋体" w:cs="宋体"/>
          <w:spacing w:val="-3"/>
          <w:sz w:val="24"/>
          <w:szCs w:val="24"/>
        </w:rPr>
        <w:t>值。</w:t>
      </w:r>
    </w:p>
    <w:p>
      <w:pPr>
        <w:spacing w:before="180" w:line="218" w:lineRule="auto"/>
        <w:ind w:left="519"/>
        <w:rPr>
          <w:rFonts w:ascii="宋体" w:hAnsi="宋体" w:eastAsia="宋体" w:cs="宋体"/>
          <w:sz w:val="24"/>
          <w:szCs w:val="24"/>
        </w:rPr>
      </w:pPr>
      <w:r>
        <w:rPr>
          <w:rFonts w:ascii="宋体" w:hAnsi="宋体" w:eastAsia="宋体" w:cs="宋体"/>
          <w:sz w:val="24"/>
          <w:szCs w:val="24"/>
        </w:rPr>
        <w:t>根据遥感卫星影像数据，对评价区的植被覆盖度指数进行归一化分析  与</w:t>
      </w:r>
    </w:p>
    <w:p>
      <w:pPr>
        <w:spacing w:line="218" w:lineRule="auto"/>
        <w:rPr>
          <w:rFonts w:ascii="宋体" w:hAnsi="宋体" w:eastAsia="宋体" w:cs="宋体"/>
          <w:sz w:val="24"/>
          <w:szCs w:val="24"/>
        </w:rPr>
        <w:sectPr>
          <w:headerReference r:id="rId330" w:type="default"/>
          <w:footerReference r:id="rId331" w:type="default"/>
          <w:pgSz w:w="11907" w:h="16839"/>
          <w:pgMar w:top="1156" w:right="1768" w:bottom="1374" w:left="1770" w:header="881" w:footer="1210" w:gutter="0"/>
        </w:sectPr>
      </w:pPr>
    </w:p>
    <w:p>
      <w:pPr>
        <w:spacing w:line="317" w:lineRule="auto"/>
        <w:rPr>
          <w:rFonts w:ascii="Arial"/>
          <w:sz w:val="21"/>
        </w:rPr>
      </w:pPr>
    </w:p>
    <w:p>
      <w:pPr>
        <w:spacing w:before="78" w:line="218" w:lineRule="auto"/>
        <w:ind w:left="52"/>
        <w:rPr>
          <w:rFonts w:ascii="宋体" w:hAnsi="宋体" w:eastAsia="宋体" w:cs="宋体"/>
          <w:sz w:val="24"/>
          <w:szCs w:val="24"/>
        </w:rPr>
      </w:pPr>
      <w:r>
        <w:rPr>
          <w:rFonts w:ascii="宋体" w:hAnsi="宋体" w:eastAsia="宋体" w:cs="宋体"/>
          <w:spacing w:val="-1"/>
          <w:sz w:val="24"/>
          <w:szCs w:val="24"/>
        </w:rPr>
        <w:t>计算后，评价区植被覆盖度等级划分及面积比例情况见下表。</w:t>
      </w:r>
    </w:p>
    <w:p>
      <w:pPr>
        <w:pStyle w:val="2"/>
        <w:spacing w:before="242" w:line="219" w:lineRule="auto"/>
        <w:ind w:left="3067"/>
      </w:pPr>
      <w:r>
        <w:rPr>
          <w:spacing w:val="-1"/>
          <w14:textOutline w14:w="3810" w14:cap="flat" w14:cmpd="sng">
            <w14:solidFill>
              <w14:srgbClr w14:val="000000"/>
            </w14:solidFill>
            <w14:prstDash w14:val="solid"/>
            <w14:miter w14:val="0"/>
          </w14:textOutline>
        </w:rPr>
        <w:t>表</w:t>
      </w:r>
      <w:r>
        <w:rPr>
          <w:spacing w:val="-39"/>
        </w:rPr>
        <w:t xml:space="preserve"> </w:t>
      </w:r>
      <w:r>
        <w:rPr>
          <w:rFonts w:ascii="Times New Roman" w:hAnsi="Times New Roman" w:eastAsia="Times New Roman" w:cs="Times New Roman"/>
          <w:b/>
          <w:bCs/>
          <w:spacing w:val="-1"/>
        </w:rPr>
        <w:t xml:space="preserve">3.2-43    </w:t>
      </w:r>
      <w:r>
        <w:rPr>
          <w:spacing w:val="-1"/>
          <w14:textOutline w14:w="3810" w14:cap="flat" w14:cmpd="sng">
            <w14:solidFill>
              <w14:srgbClr w14:val="000000"/>
            </w14:solidFill>
            <w14:prstDash w14:val="solid"/>
            <w14:miter w14:val="0"/>
          </w14:textOutline>
        </w:rPr>
        <w:t>评价区植被覆盖度</w:t>
      </w:r>
    </w:p>
    <w:p>
      <w:pPr>
        <w:spacing w:line="19" w:lineRule="exact"/>
      </w:pPr>
    </w:p>
    <w:tbl>
      <w:tblPr>
        <w:tblStyle w:val="5"/>
        <w:tblW w:w="837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3"/>
        <w:gridCol w:w="2322"/>
        <w:gridCol w:w="1657"/>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67" w:hRule="atLeast"/>
        </w:trPr>
        <w:tc>
          <w:tcPr>
            <w:tcW w:w="2273" w:type="dxa"/>
            <w:tcBorders>
              <w:top w:val="single" w:color="000000" w:sz="12" w:space="0"/>
              <w:left w:val="nil"/>
            </w:tcBorders>
            <w:vAlign w:val="top"/>
          </w:tcPr>
          <w:p>
            <w:pPr>
              <w:pStyle w:val="6"/>
              <w:spacing w:before="129" w:line="218" w:lineRule="auto"/>
              <w:ind w:left="27"/>
              <w:rPr>
                <w:rFonts w:ascii="仿宋" w:hAnsi="仿宋" w:eastAsia="仿宋" w:cs="仿宋"/>
              </w:rPr>
            </w:pPr>
            <w:r>
              <w:rPr>
                <w:rFonts w:ascii="仿宋" w:hAnsi="仿宋" w:eastAsia="仿宋" w:cs="仿宋"/>
                <w:spacing w:val="-2"/>
              </w:rPr>
              <w:t>植被覆盖度（</w:t>
            </w:r>
            <w:r>
              <w:rPr>
                <w:spacing w:val="-2"/>
              </w:rPr>
              <w:t>FVC</w:t>
            </w:r>
            <w:r>
              <w:rPr>
                <w:rFonts w:ascii="仿宋" w:hAnsi="仿宋" w:eastAsia="仿宋" w:cs="仿宋"/>
                <w:spacing w:val="-2"/>
              </w:rPr>
              <w:t>）</w:t>
            </w:r>
          </w:p>
        </w:tc>
        <w:tc>
          <w:tcPr>
            <w:tcW w:w="2322" w:type="dxa"/>
            <w:tcBorders>
              <w:top w:val="single" w:color="000000" w:sz="12" w:space="0"/>
            </w:tcBorders>
            <w:vAlign w:val="top"/>
          </w:tcPr>
          <w:p>
            <w:pPr>
              <w:spacing w:before="129" w:line="218" w:lineRule="auto"/>
              <w:ind w:left="15"/>
              <w:rPr>
                <w:rFonts w:ascii="仿宋" w:hAnsi="仿宋" w:eastAsia="仿宋" w:cs="仿宋"/>
                <w:sz w:val="21"/>
                <w:szCs w:val="21"/>
              </w:rPr>
            </w:pPr>
            <w:r>
              <w:rPr>
                <w:rFonts w:ascii="仿宋" w:hAnsi="仿宋" w:eastAsia="仿宋" w:cs="仿宋"/>
                <w:spacing w:val="-2"/>
                <w:sz w:val="21"/>
                <w:szCs w:val="21"/>
              </w:rPr>
              <w:t>植被覆盖度等级</w:t>
            </w:r>
          </w:p>
        </w:tc>
        <w:tc>
          <w:tcPr>
            <w:tcW w:w="1657" w:type="dxa"/>
            <w:tcBorders>
              <w:top w:val="single" w:color="000000" w:sz="12" w:space="0"/>
            </w:tcBorders>
            <w:vAlign w:val="top"/>
          </w:tcPr>
          <w:p>
            <w:pPr>
              <w:spacing w:before="128" w:line="219" w:lineRule="auto"/>
              <w:ind w:left="20"/>
              <w:rPr>
                <w:rFonts w:ascii="仿宋" w:hAnsi="仿宋" w:eastAsia="仿宋" w:cs="仿宋"/>
                <w:sz w:val="21"/>
                <w:szCs w:val="21"/>
              </w:rPr>
            </w:pPr>
            <w:r>
              <w:rPr>
                <w:rFonts w:ascii="仿宋" w:hAnsi="仿宋" w:eastAsia="仿宋" w:cs="仿宋"/>
                <w:spacing w:val="-5"/>
                <w:sz w:val="21"/>
                <w:szCs w:val="21"/>
              </w:rPr>
              <w:t>面积（公顷）</w:t>
            </w:r>
          </w:p>
        </w:tc>
        <w:tc>
          <w:tcPr>
            <w:tcW w:w="2127" w:type="dxa"/>
            <w:tcBorders>
              <w:top w:val="single" w:color="000000" w:sz="12" w:space="0"/>
              <w:right w:val="nil"/>
            </w:tcBorders>
            <w:vAlign w:val="top"/>
          </w:tcPr>
          <w:p>
            <w:pPr>
              <w:pStyle w:val="6"/>
              <w:spacing w:before="128" w:line="233" w:lineRule="auto"/>
              <w:ind w:left="20"/>
              <w:rPr>
                <w:rFonts w:ascii="仿宋" w:hAnsi="仿宋" w:eastAsia="仿宋" w:cs="仿宋"/>
              </w:rPr>
            </w:pPr>
            <w:r>
              <w:rPr>
                <w:rFonts w:ascii="仿宋" w:hAnsi="仿宋" w:eastAsia="仿宋" w:cs="仿宋"/>
                <w:spacing w:val="-3"/>
              </w:rPr>
              <w:t>面积比例（</w:t>
            </w:r>
            <w:r>
              <w:rPr>
                <w:spacing w:val="-3"/>
              </w:rPr>
              <w:t>%</w:t>
            </w:r>
            <w:r>
              <w:rPr>
                <w:rFonts w:ascii="仿宋" w:hAnsi="仿宋" w:eastAsia="仿宋" w:cs="仿宋"/>
                <w:spacing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7" w:hRule="atLeast"/>
        </w:trPr>
        <w:tc>
          <w:tcPr>
            <w:tcW w:w="2273" w:type="dxa"/>
            <w:tcBorders>
              <w:left w:val="nil"/>
            </w:tcBorders>
            <w:vAlign w:val="top"/>
          </w:tcPr>
          <w:p>
            <w:pPr>
              <w:pStyle w:val="6"/>
              <w:spacing w:before="135" w:line="237" w:lineRule="auto"/>
              <w:ind w:left="545"/>
            </w:pPr>
            <w:r>
              <w:rPr>
                <w:spacing w:val="-1"/>
              </w:rPr>
              <w:t>0</w:t>
            </w:r>
            <w:r>
              <w:rPr>
                <w:rFonts w:ascii="仿宋" w:hAnsi="仿宋" w:eastAsia="仿宋" w:cs="仿宋"/>
                <w:spacing w:val="-1"/>
              </w:rPr>
              <w:t>＜</w:t>
            </w:r>
            <w:r>
              <w:rPr>
                <w:spacing w:val="-1"/>
              </w:rPr>
              <w:t>FVC≤0.25</w:t>
            </w:r>
          </w:p>
        </w:tc>
        <w:tc>
          <w:tcPr>
            <w:tcW w:w="2322" w:type="dxa"/>
            <w:vAlign w:val="top"/>
          </w:tcPr>
          <w:p>
            <w:pPr>
              <w:spacing w:before="134" w:line="219" w:lineRule="auto"/>
              <w:ind w:left="751"/>
              <w:rPr>
                <w:rFonts w:ascii="仿宋" w:hAnsi="仿宋" w:eastAsia="仿宋" w:cs="仿宋"/>
                <w:sz w:val="21"/>
                <w:szCs w:val="21"/>
              </w:rPr>
            </w:pPr>
            <w:r>
              <w:rPr>
                <w:rFonts w:ascii="仿宋" w:hAnsi="仿宋" w:eastAsia="仿宋" w:cs="仿宋"/>
                <w:spacing w:val="-3"/>
                <w:sz w:val="21"/>
                <w:szCs w:val="21"/>
              </w:rPr>
              <w:t>低覆盖度</w:t>
            </w:r>
          </w:p>
        </w:tc>
        <w:tc>
          <w:tcPr>
            <w:tcW w:w="1657" w:type="dxa"/>
            <w:vAlign w:val="top"/>
          </w:tcPr>
          <w:p>
            <w:pPr>
              <w:pStyle w:val="6"/>
              <w:spacing w:before="173" w:line="186" w:lineRule="auto"/>
              <w:ind w:left="542"/>
            </w:pPr>
            <w:r>
              <w:rPr>
                <w:spacing w:val="-1"/>
              </w:rPr>
              <w:t>214.43</w:t>
            </w:r>
          </w:p>
        </w:tc>
        <w:tc>
          <w:tcPr>
            <w:tcW w:w="2127" w:type="dxa"/>
            <w:tcBorders>
              <w:right w:val="nil"/>
            </w:tcBorders>
            <w:vAlign w:val="top"/>
          </w:tcPr>
          <w:p>
            <w:pPr>
              <w:pStyle w:val="6"/>
              <w:spacing w:before="173" w:line="186" w:lineRule="auto"/>
              <w:ind w:left="831"/>
            </w:pPr>
            <w:r>
              <w:rPr>
                <w:spacing w:val="-1"/>
              </w:rPr>
              <w:t>26.13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7" w:hRule="atLeast"/>
        </w:trPr>
        <w:tc>
          <w:tcPr>
            <w:tcW w:w="2273" w:type="dxa"/>
            <w:tcBorders>
              <w:left w:val="nil"/>
            </w:tcBorders>
            <w:vAlign w:val="top"/>
          </w:tcPr>
          <w:p>
            <w:pPr>
              <w:pStyle w:val="6"/>
              <w:spacing w:before="141" w:line="237" w:lineRule="auto"/>
              <w:ind w:left="465"/>
            </w:pPr>
            <w:r>
              <w:rPr>
                <w:spacing w:val="-1"/>
              </w:rPr>
              <w:t>0.25</w:t>
            </w:r>
            <w:r>
              <w:rPr>
                <w:rFonts w:ascii="仿宋" w:hAnsi="仿宋" w:eastAsia="仿宋" w:cs="仿宋"/>
                <w:spacing w:val="-1"/>
              </w:rPr>
              <w:t>＜</w:t>
            </w:r>
            <w:r>
              <w:rPr>
                <w:spacing w:val="-1"/>
              </w:rPr>
              <w:t>FVC≤0.5</w:t>
            </w:r>
          </w:p>
        </w:tc>
        <w:tc>
          <w:tcPr>
            <w:tcW w:w="2322" w:type="dxa"/>
            <w:vAlign w:val="top"/>
          </w:tcPr>
          <w:p>
            <w:pPr>
              <w:spacing w:before="140" w:line="218" w:lineRule="auto"/>
              <w:ind w:left="778"/>
              <w:rPr>
                <w:rFonts w:ascii="仿宋" w:hAnsi="仿宋" w:eastAsia="仿宋" w:cs="仿宋"/>
                <w:sz w:val="21"/>
                <w:szCs w:val="21"/>
              </w:rPr>
            </w:pPr>
            <w:r>
              <w:rPr>
                <w:rFonts w:ascii="仿宋" w:hAnsi="仿宋" w:eastAsia="仿宋" w:cs="仿宋"/>
                <w:spacing w:val="-8"/>
                <w:sz w:val="21"/>
                <w:szCs w:val="21"/>
              </w:rPr>
              <w:t>中覆盖度</w:t>
            </w:r>
          </w:p>
        </w:tc>
        <w:tc>
          <w:tcPr>
            <w:tcW w:w="1657" w:type="dxa"/>
            <w:vAlign w:val="top"/>
          </w:tcPr>
          <w:p>
            <w:pPr>
              <w:pStyle w:val="6"/>
              <w:spacing w:before="179" w:line="186" w:lineRule="auto"/>
              <w:ind w:left="597"/>
            </w:pPr>
            <w:r>
              <w:rPr>
                <w:spacing w:val="-2"/>
              </w:rPr>
              <w:t>38.69</w:t>
            </w:r>
          </w:p>
        </w:tc>
        <w:tc>
          <w:tcPr>
            <w:tcW w:w="2127" w:type="dxa"/>
            <w:tcBorders>
              <w:right w:val="nil"/>
            </w:tcBorders>
            <w:vAlign w:val="top"/>
          </w:tcPr>
          <w:p>
            <w:pPr>
              <w:pStyle w:val="6"/>
              <w:spacing w:before="179" w:line="186" w:lineRule="auto"/>
              <w:ind w:left="883"/>
            </w:pPr>
            <w:r>
              <w:rPr>
                <w:spacing w:val="-1"/>
              </w:rPr>
              <w:t>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68" w:hRule="atLeast"/>
        </w:trPr>
        <w:tc>
          <w:tcPr>
            <w:tcW w:w="2273" w:type="dxa"/>
            <w:tcBorders>
              <w:left w:val="nil"/>
            </w:tcBorders>
            <w:vAlign w:val="top"/>
          </w:tcPr>
          <w:p>
            <w:pPr>
              <w:pStyle w:val="6"/>
              <w:spacing w:before="148" w:line="237" w:lineRule="auto"/>
              <w:ind w:left="465"/>
            </w:pPr>
            <w:r>
              <w:rPr>
                <w:spacing w:val="-1"/>
              </w:rPr>
              <w:t>0.5</w:t>
            </w:r>
            <w:r>
              <w:rPr>
                <w:rFonts w:ascii="仿宋" w:hAnsi="仿宋" w:eastAsia="仿宋" w:cs="仿宋"/>
                <w:spacing w:val="-1"/>
              </w:rPr>
              <w:t>＜</w:t>
            </w:r>
            <w:r>
              <w:rPr>
                <w:spacing w:val="-1"/>
              </w:rPr>
              <w:t>FVC≤0.75</w:t>
            </w:r>
          </w:p>
        </w:tc>
        <w:tc>
          <w:tcPr>
            <w:tcW w:w="2322" w:type="dxa"/>
            <w:vAlign w:val="top"/>
          </w:tcPr>
          <w:p>
            <w:pPr>
              <w:spacing w:before="148" w:line="217" w:lineRule="auto"/>
              <w:ind w:left="647"/>
              <w:rPr>
                <w:rFonts w:ascii="仿宋" w:hAnsi="仿宋" w:eastAsia="仿宋" w:cs="仿宋"/>
                <w:sz w:val="21"/>
                <w:szCs w:val="21"/>
              </w:rPr>
            </w:pPr>
            <w:r>
              <w:rPr>
                <w:rFonts w:ascii="仿宋" w:hAnsi="仿宋" w:eastAsia="仿宋" w:cs="仿宋"/>
                <w:spacing w:val="-3"/>
                <w:sz w:val="21"/>
                <w:szCs w:val="21"/>
              </w:rPr>
              <w:t>较高覆盖度</w:t>
            </w:r>
          </w:p>
        </w:tc>
        <w:tc>
          <w:tcPr>
            <w:tcW w:w="1657" w:type="dxa"/>
            <w:vAlign w:val="top"/>
          </w:tcPr>
          <w:p>
            <w:pPr>
              <w:pStyle w:val="6"/>
              <w:spacing w:before="186" w:line="186" w:lineRule="auto"/>
              <w:ind w:left="602"/>
            </w:pPr>
            <w:r>
              <w:rPr>
                <w:spacing w:val="-3"/>
              </w:rPr>
              <w:t>88.51</w:t>
            </w:r>
          </w:p>
        </w:tc>
        <w:tc>
          <w:tcPr>
            <w:tcW w:w="2127" w:type="dxa"/>
            <w:tcBorders>
              <w:right w:val="nil"/>
            </w:tcBorders>
            <w:vAlign w:val="top"/>
          </w:tcPr>
          <w:p>
            <w:pPr>
              <w:pStyle w:val="6"/>
              <w:spacing w:before="186" w:line="186" w:lineRule="auto"/>
              <w:ind w:left="852"/>
            </w:pPr>
            <w:r>
              <w:rPr>
                <w:spacing w:val="-5"/>
              </w:rPr>
              <w:t>10.75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91" w:hRule="atLeast"/>
        </w:trPr>
        <w:tc>
          <w:tcPr>
            <w:tcW w:w="2273" w:type="dxa"/>
            <w:tcBorders>
              <w:left w:val="nil"/>
              <w:bottom w:val="single" w:color="000000" w:sz="12" w:space="0"/>
            </w:tcBorders>
            <w:vAlign w:val="top"/>
          </w:tcPr>
          <w:p>
            <w:pPr>
              <w:pStyle w:val="6"/>
              <w:spacing w:before="152" w:line="235" w:lineRule="auto"/>
              <w:ind w:left="650"/>
            </w:pPr>
            <w:r>
              <w:rPr>
                <w:spacing w:val="-1"/>
              </w:rPr>
              <w:t>FVC</w:t>
            </w:r>
            <w:r>
              <w:rPr>
                <w:rFonts w:ascii="仿宋" w:hAnsi="仿宋" w:eastAsia="仿宋" w:cs="仿宋"/>
                <w:spacing w:val="-1"/>
              </w:rPr>
              <w:t>＞</w:t>
            </w:r>
            <w:r>
              <w:rPr>
                <w:spacing w:val="-1"/>
              </w:rPr>
              <w:t>0.75</w:t>
            </w:r>
          </w:p>
        </w:tc>
        <w:tc>
          <w:tcPr>
            <w:tcW w:w="2322" w:type="dxa"/>
            <w:tcBorders>
              <w:bottom w:val="single" w:color="000000" w:sz="12" w:space="0"/>
            </w:tcBorders>
            <w:vAlign w:val="top"/>
          </w:tcPr>
          <w:p>
            <w:pPr>
              <w:spacing w:before="151" w:line="219" w:lineRule="auto"/>
              <w:ind w:left="758"/>
              <w:rPr>
                <w:rFonts w:ascii="仿宋" w:hAnsi="仿宋" w:eastAsia="仿宋" w:cs="仿宋"/>
                <w:sz w:val="21"/>
                <w:szCs w:val="21"/>
              </w:rPr>
            </w:pPr>
            <w:r>
              <w:rPr>
                <w:rFonts w:ascii="仿宋" w:hAnsi="仿宋" w:eastAsia="仿宋" w:cs="仿宋"/>
                <w:spacing w:val="-4"/>
                <w:sz w:val="21"/>
                <w:szCs w:val="21"/>
              </w:rPr>
              <w:t>高覆盖度</w:t>
            </w:r>
          </w:p>
        </w:tc>
        <w:tc>
          <w:tcPr>
            <w:tcW w:w="1657" w:type="dxa"/>
            <w:tcBorders>
              <w:bottom w:val="single" w:color="000000" w:sz="12" w:space="0"/>
            </w:tcBorders>
            <w:vAlign w:val="top"/>
          </w:tcPr>
          <w:p>
            <w:pPr>
              <w:pStyle w:val="6"/>
              <w:spacing w:before="190" w:line="186" w:lineRule="auto"/>
              <w:ind w:left="541"/>
            </w:pPr>
            <w:r>
              <w:rPr>
                <w:spacing w:val="-1"/>
              </w:rPr>
              <w:t>478.87</w:t>
            </w:r>
          </w:p>
        </w:tc>
        <w:tc>
          <w:tcPr>
            <w:tcW w:w="2127" w:type="dxa"/>
            <w:tcBorders>
              <w:bottom w:val="single" w:color="000000" w:sz="12" w:space="0"/>
              <w:right w:val="nil"/>
            </w:tcBorders>
            <w:vAlign w:val="top"/>
          </w:tcPr>
          <w:p>
            <w:pPr>
              <w:pStyle w:val="6"/>
              <w:spacing w:before="190" w:line="186" w:lineRule="auto"/>
              <w:ind w:left="837"/>
            </w:pPr>
            <w:r>
              <w:rPr>
                <w:spacing w:val="-2"/>
              </w:rPr>
              <w:t>58.36</w:t>
            </w:r>
          </w:p>
        </w:tc>
      </w:tr>
    </w:tbl>
    <w:p>
      <w:pPr>
        <w:spacing w:before="147" w:line="338" w:lineRule="auto"/>
        <w:ind w:left="54" w:right="66" w:firstLine="506"/>
        <w:jc w:val="both"/>
        <w:rPr>
          <w:rFonts w:ascii="宋体" w:hAnsi="宋体" w:eastAsia="宋体" w:cs="宋体"/>
          <w:sz w:val="24"/>
          <w:szCs w:val="24"/>
        </w:rPr>
      </w:pPr>
      <w:r>
        <w:rPr>
          <w:rFonts w:ascii="宋体" w:hAnsi="宋体" w:eastAsia="宋体" w:cs="宋体"/>
          <w:spacing w:val="3"/>
          <w:sz w:val="24"/>
          <w:szCs w:val="24"/>
        </w:rPr>
        <w:t>由上表可见，高覆盖度占评价区植被覆盖度面积最大，占评价区总面积的</w:t>
      </w:r>
      <w:r>
        <w:rPr>
          <w:rFonts w:ascii="宋体" w:hAnsi="宋体" w:eastAsia="宋体" w:cs="宋体"/>
          <w:spacing w:val="12"/>
          <w:sz w:val="24"/>
          <w:szCs w:val="24"/>
        </w:rPr>
        <w:t xml:space="preserve"> </w:t>
      </w:r>
      <w:r>
        <w:rPr>
          <w:rFonts w:ascii="Times New Roman" w:hAnsi="Times New Roman" w:eastAsia="Times New Roman" w:cs="Times New Roman"/>
          <w:spacing w:val="-1"/>
          <w:sz w:val="24"/>
          <w:szCs w:val="24"/>
        </w:rPr>
        <w:t>58.36%</w:t>
      </w:r>
      <w:r>
        <w:rPr>
          <w:rFonts w:ascii="宋体" w:hAnsi="宋体" w:eastAsia="宋体" w:cs="宋体"/>
          <w:spacing w:val="-1"/>
          <w:sz w:val="24"/>
          <w:szCs w:val="24"/>
        </w:rPr>
        <w:t xml:space="preserve">，中覆盖度以下区域占评价区总面积的 </w:t>
      </w:r>
      <w:r>
        <w:rPr>
          <w:rFonts w:ascii="Times New Roman" w:hAnsi="Times New Roman" w:eastAsia="Times New Roman" w:cs="Times New Roman"/>
          <w:spacing w:val="-1"/>
          <w:sz w:val="24"/>
          <w:szCs w:val="24"/>
        </w:rPr>
        <w:t>41.64%</w:t>
      </w:r>
      <w:r>
        <w:rPr>
          <w:rFonts w:ascii="宋体" w:hAnsi="宋体" w:eastAsia="宋体" w:cs="宋体"/>
          <w:spacing w:val="-1"/>
          <w:sz w:val="24"/>
          <w:szCs w:val="24"/>
        </w:rPr>
        <w:t>。根据植被覆盖度空间分</w:t>
      </w:r>
    </w:p>
    <w:p>
      <w:pPr>
        <w:spacing w:line="218" w:lineRule="auto"/>
        <w:ind w:left="52"/>
        <w:rPr>
          <w:rFonts w:ascii="宋体" w:hAnsi="宋体" w:eastAsia="宋体" w:cs="宋体"/>
          <w:sz w:val="24"/>
          <w:szCs w:val="24"/>
        </w:rPr>
      </w:pPr>
      <w:r>
        <w:rPr>
          <w:rFonts w:ascii="宋体" w:hAnsi="宋体" w:eastAsia="宋体" w:cs="宋体"/>
          <w:spacing w:val="-2"/>
          <w:sz w:val="24"/>
          <w:szCs w:val="24"/>
        </w:rPr>
        <w:t>布图，评价区植被覆盖度呈现从低海拔到高海拔升高的趋势。</w:t>
      </w:r>
    </w:p>
    <w:p>
      <w:pPr>
        <w:spacing w:line="253" w:lineRule="auto"/>
        <w:rPr>
          <w:rFonts w:ascii="Arial"/>
          <w:sz w:val="21"/>
        </w:rPr>
      </w:pPr>
    </w:p>
    <w:p>
      <w:pPr>
        <w:pStyle w:val="2"/>
        <w:spacing w:before="87" w:line="239" w:lineRule="auto"/>
        <w:ind w:left="47"/>
        <w:outlineLvl w:val="1"/>
        <w:rPr>
          <w:sz w:val="27"/>
          <w:szCs w:val="27"/>
        </w:rPr>
      </w:pPr>
      <w:bookmarkStart w:id="26" w:name="bookmark27"/>
      <w:bookmarkEnd w:id="26"/>
      <w:r>
        <w:rPr>
          <w:rFonts w:ascii="Times New Roman" w:hAnsi="Times New Roman" w:eastAsia="Times New Roman" w:cs="Times New Roman"/>
          <w:b/>
          <w:bCs/>
          <w:spacing w:val="9"/>
          <w:sz w:val="27"/>
          <w:szCs w:val="27"/>
        </w:rPr>
        <w:t xml:space="preserve">3.3 </w:t>
      </w:r>
      <w:r>
        <w:rPr>
          <w:spacing w:val="9"/>
          <w:sz w:val="27"/>
          <w:szCs w:val="27"/>
          <w14:textOutline w14:w="5072" w14:cap="flat" w14:cmpd="sng">
            <w14:solidFill>
              <w14:srgbClr w14:val="000000"/>
            </w14:solidFill>
            <w14:prstDash w14:val="solid"/>
            <w14:miter w14:val="0"/>
          </w14:textOutline>
        </w:rPr>
        <w:t>项目区现状污染源及主要环境问题</w:t>
      </w:r>
    </w:p>
    <w:p>
      <w:pPr>
        <w:spacing w:before="264" w:line="360" w:lineRule="auto"/>
        <w:ind w:left="53" w:firstLine="480"/>
        <w:jc w:val="both"/>
        <w:rPr>
          <w:rFonts w:ascii="宋体" w:hAnsi="宋体" w:eastAsia="宋体" w:cs="宋体"/>
          <w:sz w:val="24"/>
          <w:szCs w:val="24"/>
        </w:rPr>
      </w:pPr>
      <w:r>
        <w:rPr>
          <w:rFonts w:ascii="宋体" w:hAnsi="宋体" w:eastAsia="宋体" w:cs="宋体"/>
          <w:spacing w:val="-3"/>
          <w:sz w:val="24"/>
          <w:szCs w:val="24"/>
        </w:rPr>
        <w:t>桂花水库位于金沙江一级支流万马河上游支流桂花河上，水</w:t>
      </w:r>
      <w:r>
        <w:rPr>
          <w:rFonts w:ascii="宋体" w:hAnsi="宋体" w:eastAsia="宋体" w:cs="宋体"/>
          <w:spacing w:val="-4"/>
          <w:sz w:val="24"/>
          <w:szCs w:val="24"/>
        </w:rPr>
        <w:t>库坝址上游无村</w:t>
      </w:r>
      <w:r>
        <w:rPr>
          <w:rFonts w:ascii="宋体" w:hAnsi="宋体" w:eastAsia="宋体" w:cs="宋体"/>
          <w:sz w:val="24"/>
          <w:szCs w:val="24"/>
        </w:rPr>
        <w:t xml:space="preserve"> </w:t>
      </w:r>
      <w:r>
        <w:rPr>
          <w:rFonts w:ascii="宋体" w:hAnsi="宋体" w:eastAsia="宋体" w:cs="宋体"/>
          <w:spacing w:val="-4"/>
          <w:sz w:val="24"/>
          <w:szCs w:val="24"/>
        </w:rPr>
        <w:t>庄，</w:t>
      </w:r>
      <w:r>
        <w:rPr>
          <w:rFonts w:ascii="宋体" w:hAnsi="宋体" w:eastAsia="宋体" w:cs="宋体"/>
          <w:spacing w:val="-17"/>
          <w:sz w:val="24"/>
          <w:szCs w:val="24"/>
        </w:rPr>
        <w:t xml:space="preserve"> </w:t>
      </w:r>
      <w:r>
        <w:rPr>
          <w:rFonts w:ascii="宋体" w:hAnsi="宋体" w:eastAsia="宋体" w:cs="宋体"/>
          <w:spacing w:val="-4"/>
          <w:sz w:val="24"/>
          <w:szCs w:val="24"/>
        </w:rPr>
        <w:t>无工业污染源及生活污染源，污染源主要为农业面源污染。由于种植习惯，</w:t>
      </w:r>
    </w:p>
    <w:p>
      <w:pPr>
        <w:spacing w:before="1" w:line="218" w:lineRule="auto"/>
        <w:ind w:left="54"/>
        <w:rPr>
          <w:rFonts w:ascii="宋体" w:hAnsi="宋体" w:eastAsia="宋体" w:cs="宋体"/>
          <w:sz w:val="24"/>
          <w:szCs w:val="24"/>
        </w:rPr>
      </w:pPr>
      <w:r>
        <w:rPr>
          <w:rFonts w:ascii="宋体" w:hAnsi="宋体" w:eastAsia="宋体" w:cs="宋体"/>
          <w:spacing w:val="-7"/>
          <w:sz w:val="24"/>
          <w:szCs w:val="24"/>
        </w:rPr>
        <w:t>很少用化肥农药，</w:t>
      </w:r>
      <w:r>
        <w:rPr>
          <w:rFonts w:ascii="宋体" w:hAnsi="宋体" w:eastAsia="宋体" w:cs="宋体"/>
          <w:spacing w:val="73"/>
          <w:sz w:val="24"/>
          <w:szCs w:val="24"/>
        </w:rPr>
        <w:t xml:space="preserve"> </w:t>
      </w:r>
      <w:r>
        <w:rPr>
          <w:rFonts w:ascii="宋体" w:hAnsi="宋体" w:eastAsia="宋体" w:cs="宋体"/>
          <w:spacing w:val="-7"/>
          <w:sz w:val="24"/>
          <w:szCs w:val="24"/>
        </w:rPr>
        <w:t>一般都是用农家肥，所以化肥和农药带来的面源污染很小。</w:t>
      </w:r>
    </w:p>
    <w:p>
      <w:pPr>
        <w:spacing w:line="218" w:lineRule="auto"/>
        <w:rPr>
          <w:rFonts w:ascii="宋体" w:hAnsi="宋体" w:eastAsia="宋体" w:cs="宋体"/>
          <w:sz w:val="24"/>
          <w:szCs w:val="24"/>
        </w:rPr>
        <w:sectPr>
          <w:headerReference r:id="rId332" w:type="default"/>
          <w:footerReference r:id="rId333" w:type="default"/>
          <w:pgSz w:w="11907" w:h="16839"/>
          <w:pgMar w:top="1156" w:right="1731" w:bottom="1374" w:left="1757" w:header="881" w:footer="1210" w:gutter="0"/>
        </w:sectPr>
      </w:pPr>
    </w:p>
    <w:p>
      <w:pPr>
        <w:spacing w:line="248" w:lineRule="auto"/>
        <w:rPr>
          <w:rFonts w:ascii="Arial"/>
          <w:sz w:val="21"/>
        </w:rPr>
      </w:pPr>
    </w:p>
    <w:p>
      <w:pPr>
        <w:spacing w:line="249" w:lineRule="auto"/>
        <w:rPr>
          <w:rFonts w:ascii="Arial"/>
          <w:sz w:val="21"/>
        </w:rPr>
      </w:pPr>
    </w:p>
    <w:p>
      <w:pPr>
        <w:pStyle w:val="2"/>
        <w:spacing w:before="97" w:line="693" w:lineRule="exact"/>
        <w:ind w:left="2721"/>
        <w:rPr>
          <w:sz w:val="30"/>
          <w:szCs w:val="30"/>
        </w:rPr>
      </w:pPr>
      <w:bookmarkStart w:id="27" w:name="bookmark28"/>
      <w:bookmarkEnd w:id="27"/>
      <w:bookmarkStart w:id="28" w:name="bookmark29"/>
      <w:bookmarkEnd w:id="28"/>
      <w:r>
        <w:rPr>
          <w:rFonts w:ascii="Times New Roman" w:hAnsi="Times New Roman" w:eastAsia="Times New Roman" w:cs="Times New Roman"/>
          <w:b/>
          <w:bCs/>
          <w:position w:val="30"/>
          <w:sz w:val="30"/>
          <w:szCs w:val="30"/>
        </w:rPr>
        <w:t xml:space="preserve">4 </w:t>
      </w:r>
      <w:r>
        <w:rPr>
          <w:position w:val="30"/>
          <w:sz w:val="30"/>
          <w:szCs w:val="30"/>
          <w14:textOutline w14:w="5442" w14:cap="flat" w14:cmpd="sng">
            <w14:solidFill>
              <w14:srgbClr w14:val="000000"/>
            </w14:solidFill>
            <w14:prstDash w14:val="solid"/>
            <w14:miter w14:val="0"/>
          </w14:textOutline>
        </w:rPr>
        <w:t>环境影响预测与评价</w:t>
      </w:r>
    </w:p>
    <w:p>
      <w:pPr>
        <w:pStyle w:val="2"/>
        <w:spacing w:line="224" w:lineRule="auto"/>
        <w:ind w:left="36"/>
        <w:rPr>
          <w:sz w:val="27"/>
          <w:szCs w:val="27"/>
        </w:rPr>
      </w:pPr>
      <w:r>
        <w:rPr>
          <w:rFonts w:ascii="Times New Roman" w:hAnsi="Times New Roman" w:eastAsia="Times New Roman" w:cs="Times New Roman"/>
          <w:b/>
          <w:bCs/>
          <w:spacing w:val="8"/>
          <w:sz w:val="27"/>
          <w:szCs w:val="27"/>
        </w:rPr>
        <w:t xml:space="preserve">4.1 </w:t>
      </w:r>
      <w:r>
        <w:rPr>
          <w:spacing w:val="8"/>
          <w:sz w:val="27"/>
          <w:szCs w:val="27"/>
          <w14:textOutline w14:w="5072" w14:cap="flat" w14:cmpd="sng">
            <w14:solidFill>
              <w14:srgbClr w14:val="000000"/>
            </w14:solidFill>
            <w14:prstDash w14:val="solid"/>
            <w14:miter w14:val="0"/>
          </w14:textOutline>
        </w:rPr>
        <w:t>水资源利用影响评价</w:t>
      </w:r>
    </w:p>
    <w:p>
      <w:pPr>
        <w:spacing w:line="302" w:lineRule="auto"/>
        <w:rPr>
          <w:rFonts w:ascii="Arial"/>
          <w:sz w:val="21"/>
        </w:rPr>
      </w:pPr>
    </w:p>
    <w:p>
      <w:pPr>
        <w:pStyle w:val="2"/>
        <w:spacing w:before="78" w:line="235" w:lineRule="auto"/>
        <w:ind w:left="36"/>
        <w:outlineLvl w:val="2"/>
        <w:rPr>
          <w:sz w:val="24"/>
          <w:szCs w:val="24"/>
        </w:rPr>
      </w:pPr>
      <w:r>
        <w:rPr>
          <w:rFonts w:ascii="Times New Roman" w:hAnsi="Times New Roman" w:eastAsia="Times New Roman" w:cs="Times New Roman"/>
          <w:b/>
          <w:bCs/>
          <w:spacing w:val="-1"/>
          <w:sz w:val="24"/>
          <w:szCs w:val="24"/>
        </w:rPr>
        <w:t xml:space="preserve">4.1.1 </w:t>
      </w:r>
      <w:r>
        <w:rPr>
          <w:spacing w:val="-1"/>
          <w:sz w:val="24"/>
          <w:szCs w:val="24"/>
          <w14:textOutline w14:w="4354" w14:cap="flat" w14:cmpd="sng">
            <w14:solidFill>
              <w14:srgbClr w14:val="000000"/>
            </w14:solidFill>
            <w14:prstDash w14:val="solid"/>
            <w14:miter w14:val="0"/>
          </w14:textOutline>
        </w:rPr>
        <w:t>施工期</w:t>
      </w:r>
    </w:p>
    <w:p>
      <w:pPr>
        <w:spacing w:before="197" w:line="359" w:lineRule="auto"/>
        <w:ind w:left="40" w:right="30" w:firstLine="481"/>
        <w:jc w:val="both"/>
        <w:rPr>
          <w:rFonts w:ascii="宋体" w:hAnsi="宋体" w:eastAsia="宋体" w:cs="宋体"/>
          <w:sz w:val="24"/>
          <w:szCs w:val="24"/>
        </w:rPr>
      </w:pPr>
      <w:r>
        <w:rPr>
          <w:rFonts w:ascii="宋体" w:hAnsi="宋体" w:eastAsia="宋体" w:cs="宋体"/>
          <w:spacing w:val="-9"/>
          <w:sz w:val="24"/>
          <w:szCs w:val="24"/>
        </w:rPr>
        <w:t>大坝施工导流先利用河道过流， 进行导流输水放空隧洞施工，</w:t>
      </w:r>
      <w:r>
        <w:rPr>
          <w:rFonts w:ascii="宋体" w:hAnsi="宋体" w:eastAsia="宋体" w:cs="宋体"/>
          <w:spacing w:val="-41"/>
          <w:sz w:val="24"/>
          <w:szCs w:val="24"/>
        </w:rPr>
        <w:t xml:space="preserve"> </w:t>
      </w:r>
      <w:r>
        <w:rPr>
          <w:rFonts w:ascii="宋体" w:hAnsi="宋体" w:eastAsia="宋体" w:cs="宋体"/>
          <w:spacing w:val="-9"/>
          <w:sz w:val="24"/>
          <w:szCs w:val="24"/>
        </w:rPr>
        <w:t>此过程河道用</w:t>
      </w:r>
      <w:r>
        <w:rPr>
          <w:rFonts w:ascii="宋体" w:hAnsi="宋体" w:eastAsia="宋体" w:cs="宋体"/>
          <w:sz w:val="24"/>
          <w:szCs w:val="24"/>
        </w:rPr>
        <w:t xml:space="preserve"> </w:t>
      </w:r>
      <w:r>
        <w:rPr>
          <w:rFonts w:ascii="宋体" w:hAnsi="宋体" w:eastAsia="宋体" w:cs="宋体"/>
          <w:spacing w:val="-12"/>
          <w:sz w:val="24"/>
          <w:szCs w:val="24"/>
        </w:rPr>
        <w:t>水量均从原河道取水，</w:t>
      </w:r>
      <w:r>
        <w:rPr>
          <w:rFonts w:ascii="宋体" w:hAnsi="宋体" w:eastAsia="宋体" w:cs="宋体"/>
          <w:spacing w:val="36"/>
          <w:sz w:val="24"/>
          <w:szCs w:val="24"/>
        </w:rPr>
        <w:t xml:space="preserve"> </w:t>
      </w:r>
      <w:r>
        <w:rPr>
          <w:rFonts w:ascii="宋体" w:hAnsi="宋体" w:eastAsia="宋体" w:cs="宋体"/>
          <w:spacing w:val="-12"/>
          <w:sz w:val="24"/>
          <w:szCs w:val="24"/>
        </w:rPr>
        <w:t>对下游水资源利用无影响。河道截流时，</w:t>
      </w:r>
      <w:r>
        <w:rPr>
          <w:rFonts w:ascii="宋体" w:hAnsi="宋体" w:eastAsia="宋体" w:cs="宋体"/>
          <w:spacing w:val="44"/>
          <w:sz w:val="24"/>
          <w:szCs w:val="24"/>
        </w:rPr>
        <w:t xml:space="preserve"> </w:t>
      </w:r>
      <w:r>
        <w:rPr>
          <w:rFonts w:ascii="宋体" w:hAnsi="宋体" w:eastAsia="宋体" w:cs="宋体"/>
          <w:spacing w:val="-12"/>
          <w:sz w:val="24"/>
          <w:szCs w:val="24"/>
        </w:rPr>
        <w:t>导</w:t>
      </w:r>
      <w:r>
        <w:rPr>
          <w:rFonts w:ascii="宋体" w:hAnsi="宋体" w:eastAsia="宋体" w:cs="宋体"/>
          <w:spacing w:val="-13"/>
          <w:sz w:val="24"/>
          <w:szCs w:val="24"/>
        </w:rPr>
        <w:t>流为围堰、导</w:t>
      </w:r>
      <w:r>
        <w:rPr>
          <w:rFonts w:ascii="宋体" w:hAnsi="宋体" w:eastAsia="宋体" w:cs="宋体"/>
          <w:sz w:val="24"/>
          <w:szCs w:val="24"/>
        </w:rPr>
        <w:t xml:space="preserve"> </w:t>
      </w:r>
      <w:r>
        <w:rPr>
          <w:rFonts w:ascii="宋体" w:hAnsi="宋体" w:eastAsia="宋体" w:cs="宋体"/>
          <w:spacing w:val="-3"/>
          <w:sz w:val="24"/>
          <w:szCs w:val="24"/>
        </w:rPr>
        <w:t>流沟配合导流输水放空隧洞导流段导流，此过程河道用水量通过导流输水放空隧</w:t>
      </w:r>
      <w:r>
        <w:rPr>
          <w:rFonts w:ascii="宋体" w:hAnsi="宋体" w:eastAsia="宋体" w:cs="宋体"/>
          <w:sz w:val="24"/>
          <w:szCs w:val="24"/>
        </w:rPr>
        <w:t xml:space="preserve"> </w:t>
      </w:r>
      <w:r>
        <w:rPr>
          <w:rFonts w:ascii="宋体" w:hAnsi="宋体" w:eastAsia="宋体" w:cs="宋体"/>
          <w:spacing w:val="-7"/>
          <w:sz w:val="24"/>
          <w:szCs w:val="24"/>
        </w:rPr>
        <w:t>洞下泄满足，</w:t>
      </w:r>
      <w:r>
        <w:rPr>
          <w:rFonts w:ascii="宋体" w:hAnsi="宋体" w:eastAsia="宋体" w:cs="宋体"/>
          <w:spacing w:val="28"/>
          <w:sz w:val="24"/>
          <w:szCs w:val="24"/>
        </w:rPr>
        <w:t xml:space="preserve"> </w:t>
      </w:r>
      <w:r>
        <w:rPr>
          <w:rFonts w:ascii="宋体" w:hAnsi="宋体" w:eastAsia="宋体" w:cs="宋体"/>
          <w:spacing w:val="-7"/>
          <w:sz w:val="24"/>
          <w:szCs w:val="24"/>
        </w:rPr>
        <w:t>河道水量较天然河道水量无变化。引水、引洪工</w:t>
      </w:r>
      <w:r>
        <w:rPr>
          <w:rFonts w:ascii="宋体" w:hAnsi="宋体" w:eastAsia="宋体" w:cs="宋体"/>
          <w:spacing w:val="-8"/>
          <w:sz w:val="24"/>
          <w:szCs w:val="24"/>
        </w:rPr>
        <w:t>程导流前期利用纵</w:t>
      </w:r>
    </w:p>
    <w:p>
      <w:pPr>
        <w:spacing w:line="219" w:lineRule="auto"/>
        <w:ind w:left="63"/>
        <w:rPr>
          <w:rFonts w:ascii="宋体" w:hAnsi="宋体" w:eastAsia="宋体" w:cs="宋体"/>
          <w:sz w:val="24"/>
          <w:szCs w:val="24"/>
        </w:rPr>
      </w:pPr>
      <w:r>
        <w:rPr>
          <w:rFonts w:ascii="宋体" w:hAnsi="宋体" w:eastAsia="宋体" w:cs="宋体"/>
          <w:spacing w:val="-2"/>
          <w:sz w:val="24"/>
          <w:szCs w:val="24"/>
        </w:rPr>
        <w:t>向围堰挡水导流，后期利用冲沙闸导流。</w:t>
      </w:r>
    </w:p>
    <w:p>
      <w:pPr>
        <w:spacing w:before="181" w:line="220" w:lineRule="auto"/>
        <w:ind w:left="538"/>
        <w:rPr>
          <w:rFonts w:ascii="宋体" w:hAnsi="宋体" w:eastAsia="宋体" w:cs="宋体"/>
          <w:sz w:val="24"/>
          <w:szCs w:val="24"/>
        </w:rPr>
      </w:pPr>
      <w:r>
        <w:rPr>
          <w:rFonts w:ascii="宋体" w:hAnsi="宋体" w:eastAsia="宋体" w:cs="宋体"/>
          <w:spacing w:val="-2"/>
          <w:sz w:val="24"/>
          <w:szCs w:val="24"/>
        </w:rPr>
        <w:t>因此，从施工导流至水库下闸蓄水，河道水资源利用</w:t>
      </w:r>
      <w:r>
        <w:rPr>
          <w:rFonts w:ascii="宋体" w:hAnsi="宋体" w:eastAsia="宋体" w:cs="宋体"/>
          <w:spacing w:val="-3"/>
          <w:sz w:val="24"/>
          <w:szCs w:val="24"/>
        </w:rPr>
        <w:t>不受影响。</w:t>
      </w:r>
    </w:p>
    <w:p>
      <w:pPr>
        <w:spacing w:line="430" w:lineRule="auto"/>
        <w:rPr>
          <w:rFonts w:ascii="Arial"/>
          <w:sz w:val="21"/>
        </w:rPr>
      </w:pPr>
    </w:p>
    <w:p>
      <w:pPr>
        <w:pStyle w:val="2"/>
        <w:spacing w:before="79" w:line="234" w:lineRule="auto"/>
        <w:ind w:left="36"/>
        <w:outlineLvl w:val="2"/>
        <w:rPr>
          <w:sz w:val="24"/>
          <w:szCs w:val="24"/>
        </w:rPr>
      </w:pPr>
      <w:r>
        <w:rPr>
          <w:rFonts w:ascii="Times New Roman" w:hAnsi="Times New Roman" w:eastAsia="Times New Roman" w:cs="Times New Roman"/>
          <w:b/>
          <w:bCs/>
          <w:spacing w:val="-2"/>
          <w:sz w:val="24"/>
          <w:szCs w:val="24"/>
        </w:rPr>
        <w:t>4.1.2</w:t>
      </w:r>
      <w:r>
        <w:rPr>
          <w:rFonts w:ascii="Times New Roman" w:hAnsi="Times New Roman" w:eastAsia="Times New Roman" w:cs="Times New Roman"/>
          <w:b/>
          <w:bCs/>
          <w:spacing w:val="14"/>
          <w:sz w:val="24"/>
          <w:szCs w:val="24"/>
        </w:rPr>
        <w:t xml:space="preserve"> </w:t>
      </w:r>
      <w:r>
        <w:rPr>
          <w:spacing w:val="-2"/>
          <w:sz w:val="24"/>
          <w:szCs w:val="24"/>
          <w14:textOutline w14:w="4354" w14:cap="flat" w14:cmpd="sng">
            <w14:solidFill>
              <w14:srgbClr w14:val="000000"/>
            </w14:solidFill>
            <w14:prstDash w14:val="solid"/>
            <w14:miter w14:val="0"/>
          </w14:textOutline>
        </w:rPr>
        <w:t>运营期</w:t>
      </w:r>
    </w:p>
    <w:p>
      <w:pPr>
        <w:spacing w:before="277" w:line="360" w:lineRule="auto"/>
        <w:ind w:left="39" w:right="30" w:firstLine="481"/>
        <w:rPr>
          <w:rFonts w:ascii="宋体" w:hAnsi="宋体" w:eastAsia="宋体" w:cs="宋体"/>
          <w:sz w:val="24"/>
          <w:szCs w:val="24"/>
        </w:rPr>
      </w:pPr>
      <w:r>
        <w:rPr>
          <w:rFonts w:ascii="宋体" w:hAnsi="宋体" w:eastAsia="宋体" w:cs="宋体"/>
          <w:spacing w:val="-12"/>
          <w:sz w:val="24"/>
          <w:szCs w:val="24"/>
        </w:rPr>
        <w:t>桂花水库从桂花河上取水后，</w:t>
      </w:r>
      <w:r>
        <w:rPr>
          <w:rFonts w:ascii="宋体" w:hAnsi="宋体" w:eastAsia="宋体" w:cs="宋体"/>
          <w:spacing w:val="32"/>
          <w:sz w:val="24"/>
          <w:szCs w:val="24"/>
        </w:rPr>
        <w:t xml:space="preserve"> </w:t>
      </w:r>
      <w:r>
        <w:rPr>
          <w:rFonts w:ascii="宋体" w:hAnsi="宋体" w:eastAsia="宋体" w:cs="宋体"/>
          <w:spacing w:val="-12"/>
          <w:sz w:val="24"/>
          <w:szCs w:val="24"/>
        </w:rPr>
        <w:t>桂花河段水量</w:t>
      </w:r>
      <w:r>
        <w:rPr>
          <w:rFonts w:ascii="宋体" w:hAnsi="宋体" w:eastAsia="宋体" w:cs="宋体"/>
          <w:spacing w:val="-13"/>
          <w:sz w:val="24"/>
          <w:szCs w:val="24"/>
        </w:rPr>
        <w:t>减少。桂花水库建成后，</w:t>
      </w:r>
      <w:r>
        <w:rPr>
          <w:rFonts w:ascii="宋体" w:hAnsi="宋体" w:eastAsia="宋体" w:cs="宋体"/>
          <w:spacing w:val="32"/>
          <w:sz w:val="24"/>
          <w:szCs w:val="24"/>
        </w:rPr>
        <w:t xml:space="preserve"> </w:t>
      </w:r>
      <w:r>
        <w:rPr>
          <w:rFonts w:ascii="宋体" w:hAnsi="宋体" w:eastAsia="宋体" w:cs="宋体"/>
          <w:spacing w:val="-13"/>
          <w:sz w:val="24"/>
          <w:szCs w:val="24"/>
        </w:rPr>
        <w:t>可供给</w:t>
      </w:r>
      <w:r>
        <w:rPr>
          <w:rFonts w:ascii="宋体" w:hAnsi="宋体" w:eastAsia="宋体" w:cs="宋体"/>
          <w:sz w:val="24"/>
          <w:szCs w:val="24"/>
        </w:rPr>
        <w:t xml:space="preserve"> </w:t>
      </w:r>
      <w:r>
        <w:rPr>
          <w:rFonts w:ascii="宋体" w:hAnsi="宋体" w:eastAsia="宋体" w:cs="宋体"/>
          <w:spacing w:val="-6"/>
          <w:sz w:val="24"/>
          <w:szCs w:val="24"/>
        </w:rPr>
        <w:t>桂花灌片供水量</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248.6</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宋体" w:hAnsi="宋体" w:eastAsia="宋体" w:cs="宋体"/>
          <w:spacing w:val="-6"/>
          <w:sz w:val="24"/>
          <w:szCs w:val="24"/>
        </w:rPr>
        <w:t>，其中生活用水</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29.1</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宋体" w:hAnsi="宋体" w:eastAsia="宋体" w:cs="宋体"/>
          <w:spacing w:val="-6"/>
          <w:sz w:val="24"/>
          <w:szCs w:val="24"/>
        </w:rPr>
        <w:t>，工业</w:t>
      </w:r>
      <w:r>
        <w:rPr>
          <w:rFonts w:ascii="宋体" w:hAnsi="宋体" w:eastAsia="宋体" w:cs="宋体"/>
          <w:spacing w:val="-7"/>
          <w:sz w:val="24"/>
          <w:szCs w:val="24"/>
        </w:rPr>
        <w:t>供水量</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57.7</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6"/>
          <w:sz w:val="24"/>
          <w:szCs w:val="24"/>
        </w:rPr>
        <w:t xml:space="preserve">农业灌溉供水量 </w:t>
      </w:r>
      <w:r>
        <w:rPr>
          <w:rFonts w:ascii="Times New Roman" w:hAnsi="Times New Roman" w:eastAsia="Times New Roman" w:cs="Times New Roman"/>
          <w:spacing w:val="-6"/>
          <w:sz w:val="24"/>
          <w:szCs w:val="24"/>
        </w:rPr>
        <w:t xml:space="preserve">161.8  </w:t>
      </w:r>
      <w:r>
        <w:rPr>
          <w:rFonts w:ascii="宋体" w:hAnsi="宋体" w:eastAsia="宋体" w:cs="宋体"/>
          <w:spacing w:val="-6"/>
          <w:sz w:val="24"/>
          <w:szCs w:val="24"/>
        </w:rPr>
        <w:t xml:space="preserve">万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 xml:space="preserve">3 </w:t>
      </w:r>
      <w:r>
        <w:rPr>
          <w:rFonts w:ascii="宋体" w:hAnsi="宋体" w:eastAsia="宋体" w:cs="宋体"/>
          <w:spacing w:val="-6"/>
          <w:sz w:val="24"/>
          <w:szCs w:val="24"/>
        </w:rPr>
        <w:t>。桂花灌</w:t>
      </w:r>
      <w:r>
        <w:rPr>
          <w:rFonts w:ascii="宋体" w:hAnsi="宋体" w:eastAsia="宋体" w:cs="宋体"/>
          <w:spacing w:val="-7"/>
          <w:sz w:val="24"/>
          <w:szCs w:val="24"/>
        </w:rPr>
        <w:t>片内水资源供需基本平衡。</w:t>
      </w:r>
      <w:r>
        <w:rPr>
          <w:rFonts w:ascii="宋体" w:hAnsi="宋体" w:eastAsia="宋体" w:cs="宋体"/>
          <w:spacing w:val="46"/>
          <w:sz w:val="24"/>
          <w:szCs w:val="24"/>
        </w:rPr>
        <w:t xml:space="preserve"> </w:t>
      </w:r>
      <w:r>
        <w:rPr>
          <w:rFonts w:ascii="宋体" w:hAnsi="宋体" w:eastAsia="宋体" w:cs="宋体"/>
          <w:spacing w:val="-7"/>
          <w:sz w:val="24"/>
          <w:szCs w:val="24"/>
        </w:rPr>
        <w:t>桂花水库建成</w:t>
      </w:r>
    </w:p>
    <w:p>
      <w:pPr>
        <w:spacing w:before="1" w:line="219" w:lineRule="auto"/>
        <w:ind w:left="41"/>
        <w:rPr>
          <w:rFonts w:ascii="宋体" w:hAnsi="宋体" w:eastAsia="宋体" w:cs="宋体"/>
          <w:sz w:val="24"/>
          <w:szCs w:val="24"/>
        </w:rPr>
      </w:pPr>
      <w:r>
        <w:rPr>
          <w:rFonts w:ascii="宋体" w:hAnsi="宋体" w:eastAsia="宋体" w:cs="宋体"/>
          <w:spacing w:val="-4"/>
          <w:sz w:val="24"/>
          <w:szCs w:val="24"/>
        </w:rPr>
        <w:t>后，预留下游生活、工业及灌溉用水， 对该河段的水资源利用</w:t>
      </w:r>
      <w:r>
        <w:rPr>
          <w:rFonts w:ascii="宋体" w:hAnsi="宋体" w:eastAsia="宋体" w:cs="宋体"/>
          <w:spacing w:val="-5"/>
          <w:sz w:val="24"/>
          <w:szCs w:val="24"/>
        </w:rPr>
        <w:t>影响小。</w:t>
      </w:r>
    </w:p>
    <w:p>
      <w:pPr>
        <w:spacing w:before="182" w:line="360" w:lineRule="auto"/>
        <w:ind w:left="40" w:right="29" w:firstLine="496"/>
        <w:rPr>
          <w:rFonts w:ascii="宋体" w:hAnsi="宋体" w:eastAsia="宋体" w:cs="宋体"/>
          <w:sz w:val="24"/>
          <w:szCs w:val="24"/>
        </w:rPr>
      </w:pPr>
      <w:r>
        <w:rPr>
          <w:rFonts w:ascii="宋体" w:hAnsi="宋体" w:eastAsia="宋体" w:cs="宋体"/>
          <w:spacing w:val="-13"/>
          <w:sz w:val="24"/>
          <w:szCs w:val="24"/>
        </w:rPr>
        <w:t>引洪工程从者纳么河取水后，</w:t>
      </w:r>
      <w:r>
        <w:rPr>
          <w:rFonts w:ascii="宋体" w:hAnsi="宋体" w:eastAsia="宋体" w:cs="宋体"/>
          <w:spacing w:val="37"/>
          <w:sz w:val="24"/>
          <w:szCs w:val="24"/>
        </w:rPr>
        <w:t xml:space="preserve"> </w:t>
      </w:r>
      <w:r>
        <w:rPr>
          <w:rFonts w:ascii="宋体" w:hAnsi="宋体" w:eastAsia="宋体" w:cs="宋体"/>
          <w:spacing w:val="-13"/>
          <w:sz w:val="24"/>
          <w:szCs w:val="24"/>
        </w:rPr>
        <w:t>下游河道水量减少，但规划年水库建成后，</w:t>
      </w:r>
      <w:r>
        <w:rPr>
          <w:rFonts w:ascii="宋体" w:hAnsi="宋体" w:eastAsia="宋体" w:cs="宋体"/>
          <w:spacing w:val="31"/>
          <w:sz w:val="24"/>
          <w:szCs w:val="24"/>
        </w:rPr>
        <w:t xml:space="preserve"> </w:t>
      </w:r>
      <w:r>
        <w:rPr>
          <w:rFonts w:ascii="宋体" w:hAnsi="宋体" w:eastAsia="宋体" w:cs="宋体"/>
          <w:spacing w:val="-13"/>
          <w:sz w:val="24"/>
          <w:szCs w:val="24"/>
        </w:rPr>
        <w:t>桂</w:t>
      </w:r>
      <w:r>
        <w:rPr>
          <w:rFonts w:ascii="宋体" w:hAnsi="宋体" w:eastAsia="宋体" w:cs="宋体"/>
          <w:sz w:val="24"/>
          <w:szCs w:val="24"/>
        </w:rPr>
        <w:t xml:space="preserve"> </w:t>
      </w:r>
      <w:r>
        <w:rPr>
          <w:rFonts w:ascii="宋体" w:hAnsi="宋体" w:eastAsia="宋体" w:cs="宋体"/>
          <w:spacing w:val="-4"/>
          <w:sz w:val="24"/>
          <w:szCs w:val="24"/>
        </w:rPr>
        <w:t>花水库可供给者纳么灌片农业灌溉供水</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 xml:space="preserve">98.2 </w:t>
      </w:r>
      <w:r>
        <w:rPr>
          <w:rFonts w:ascii="宋体" w:hAnsi="宋体" w:eastAsia="宋体" w:cs="宋体"/>
          <w:spacing w:val="-4"/>
          <w:sz w:val="24"/>
          <w:szCs w:val="24"/>
        </w:rPr>
        <w:t>万</w:t>
      </w:r>
      <w:r>
        <w:rPr>
          <w:rFonts w:ascii="宋体" w:hAnsi="宋体" w:eastAsia="宋体" w:cs="宋体"/>
          <w:spacing w:val="-60"/>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宋体" w:hAnsi="宋体" w:eastAsia="宋体" w:cs="宋体"/>
          <w:spacing w:val="-4"/>
          <w:sz w:val="24"/>
          <w:szCs w:val="24"/>
        </w:rPr>
        <w:t>，且取水坝汛期</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6~10 </w:t>
      </w:r>
      <w:r>
        <w:rPr>
          <w:rFonts w:ascii="宋体" w:hAnsi="宋体" w:eastAsia="宋体" w:cs="宋体"/>
          <w:spacing w:val="-4"/>
          <w:sz w:val="24"/>
          <w:szCs w:val="24"/>
        </w:rPr>
        <w:t>月取水，</w:t>
      </w:r>
      <w:r>
        <w:rPr>
          <w:rFonts w:ascii="宋体" w:hAnsi="宋体" w:eastAsia="宋体" w:cs="宋体"/>
          <w:sz w:val="24"/>
          <w:szCs w:val="24"/>
        </w:rPr>
        <w:t xml:space="preserve"> </w:t>
      </w:r>
      <w:r>
        <w:rPr>
          <w:rFonts w:ascii="宋体" w:hAnsi="宋体" w:eastAsia="宋体" w:cs="宋体"/>
          <w:spacing w:val="-6"/>
          <w:sz w:val="24"/>
          <w:szCs w:val="24"/>
        </w:rPr>
        <w:t>其余季节不取水，汛期取水系数</w:t>
      </w:r>
      <w:r>
        <w:rPr>
          <w:rFonts w:ascii="宋体" w:hAnsi="宋体" w:eastAsia="宋体" w:cs="宋体"/>
          <w:spacing w:val="-25"/>
          <w:sz w:val="24"/>
          <w:szCs w:val="24"/>
        </w:rPr>
        <w:t xml:space="preserve"> </w:t>
      </w:r>
      <w:r>
        <w:rPr>
          <w:rFonts w:ascii="Times New Roman" w:hAnsi="Times New Roman" w:eastAsia="Times New Roman" w:cs="Times New Roman"/>
          <w:spacing w:val="-6"/>
          <w:sz w:val="24"/>
          <w:szCs w:val="24"/>
        </w:rPr>
        <w:t>0.6</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，枯期不引</w:t>
      </w:r>
      <w:r>
        <w:rPr>
          <w:rFonts w:ascii="宋体" w:hAnsi="宋体" w:eastAsia="宋体" w:cs="宋体"/>
          <w:spacing w:val="-7"/>
          <w:sz w:val="24"/>
          <w:szCs w:val="24"/>
        </w:rPr>
        <w:t>水，</w:t>
      </w:r>
      <w:r>
        <w:rPr>
          <w:rFonts w:ascii="宋体" w:hAnsi="宋体" w:eastAsia="宋体" w:cs="宋体"/>
          <w:spacing w:val="63"/>
          <w:sz w:val="24"/>
          <w:szCs w:val="24"/>
        </w:rPr>
        <w:t xml:space="preserve"> </w:t>
      </w:r>
      <w:r>
        <w:rPr>
          <w:rFonts w:ascii="宋体" w:hAnsi="宋体" w:eastAsia="宋体" w:cs="宋体"/>
          <w:spacing w:val="-7"/>
          <w:sz w:val="24"/>
          <w:szCs w:val="24"/>
        </w:rPr>
        <w:t>从者纳么河取水对该河段的</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水资源利用影响小。</w:t>
      </w:r>
    </w:p>
    <w:p>
      <w:pPr>
        <w:spacing w:before="105" w:line="466" w:lineRule="exact"/>
        <w:ind w:right="30"/>
        <w:jc w:val="right"/>
        <w:rPr>
          <w:rFonts w:ascii="宋体" w:hAnsi="宋体" w:eastAsia="宋体" w:cs="宋体"/>
          <w:sz w:val="24"/>
          <w:szCs w:val="24"/>
        </w:rPr>
      </w:pPr>
      <w:r>
        <w:rPr>
          <w:rFonts w:ascii="宋体" w:hAnsi="宋体" w:eastAsia="宋体" w:cs="宋体"/>
          <w:spacing w:val="-6"/>
          <w:position w:val="17"/>
          <w:sz w:val="24"/>
          <w:szCs w:val="24"/>
        </w:rPr>
        <w:t>桂花水库建成后，</w:t>
      </w:r>
      <w:r>
        <w:rPr>
          <w:rFonts w:ascii="宋体" w:hAnsi="宋体" w:eastAsia="宋体" w:cs="宋体"/>
          <w:spacing w:val="-28"/>
          <w:position w:val="17"/>
          <w:sz w:val="24"/>
          <w:szCs w:val="24"/>
        </w:rPr>
        <w:t xml:space="preserve"> </w:t>
      </w:r>
      <w:r>
        <w:rPr>
          <w:rFonts w:ascii="宋体" w:hAnsi="宋体" w:eastAsia="宋体" w:cs="宋体"/>
          <w:spacing w:val="-6"/>
          <w:position w:val="17"/>
          <w:sz w:val="24"/>
          <w:szCs w:val="24"/>
        </w:rPr>
        <w:t>全面解决了周边地区灌区干旱缺水严重的现状和解决农村</w:t>
      </w:r>
    </w:p>
    <w:p>
      <w:pPr>
        <w:spacing w:before="1" w:line="219" w:lineRule="auto"/>
        <w:ind w:left="39"/>
        <w:rPr>
          <w:rFonts w:ascii="宋体" w:hAnsi="宋体" w:eastAsia="宋体" w:cs="宋体"/>
          <w:sz w:val="24"/>
          <w:szCs w:val="24"/>
        </w:rPr>
      </w:pPr>
      <w:r>
        <w:rPr>
          <w:rFonts w:ascii="宋体" w:hAnsi="宋体" w:eastAsia="宋体" w:cs="宋体"/>
          <w:spacing w:val="-10"/>
          <w:sz w:val="24"/>
          <w:szCs w:val="24"/>
        </w:rPr>
        <w:t>饮水安全问题，</w:t>
      </w:r>
      <w:r>
        <w:rPr>
          <w:rFonts w:ascii="宋体" w:hAnsi="宋体" w:eastAsia="宋体" w:cs="宋体"/>
          <w:spacing w:val="69"/>
          <w:sz w:val="24"/>
          <w:szCs w:val="24"/>
        </w:rPr>
        <w:t xml:space="preserve"> </w:t>
      </w:r>
      <w:r>
        <w:rPr>
          <w:rFonts w:ascii="宋体" w:hAnsi="宋体" w:eastAsia="宋体" w:cs="宋体"/>
          <w:spacing w:val="-10"/>
          <w:sz w:val="24"/>
          <w:szCs w:val="24"/>
        </w:rPr>
        <w:t>有利于改善区域水资源利用。</w:t>
      </w:r>
    </w:p>
    <w:p>
      <w:pPr>
        <w:spacing w:line="386" w:lineRule="auto"/>
        <w:rPr>
          <w:rFonts w:ascii="Arial"/>
          <w:sz w:val="21"/>
        </w:rPr>
      </w:pPr>
    </w:p>
    <w:p>
      <w:pPr>
        <w:pStyle w:val="2"/>
        <w:spacing w:before="89"/>
        <w:ind w:left="36"/>
        <w:outlineLvl w:val="1"/>
        <w:rPr>
          <w:sz w:val="27"/>
          <w:szCs w:val="27"/>
        </w:rPr>
      </w:pPr>
      <w:bookmarkStart w:id="29" w:name="bookmark30"/>
      <w:bookmarkEnd w:id="29"/>
      <w:r>
        <w:rPr>
          <w:rFonts w:ascii="Times New Roman" w:hAnsi="Times New Roman" w:eastAsia="Times New Roman" w:cs="Times New Roman"/>
          <w:b/>
          <w:bCs/>
          <w:spacing w:val="8"/>
          <w:sz w:val="27"/>
          <w:szCs w:val="27"/>
        </w:rPr>
        <w:t xml:space="preserve">4.2 </w:t>
      </w:r>
      <w:r>
        <w:rPr>
          <w:spacing w:val="8"/>
          <w:sz w:val="27"/>
          <w:szCs w:val="27"/>
          <w14:textOutline w14:w="5072" w14:cap="flat" w14:cmpd="sng">
            <w14:solidFill>
              <w14:srgbClr w14:val="000000"/>
            </w14:solidFill>
            <w14:prstDash w14:val="solid"/>
            <w14:miter w14:val="0"/>
          </w14:textOutline>
        </w:rPr>
        <w:t>地表水环境影响预测与评价</w:t>
      </w:r>
    </w:p>
    <w:p>
      <w:pPr>
        <w:spacing w:line="279" w:lineRule="auto"/>
        <w:rPr>
          <w:rFonts w:ascii="Arial"/>
          <w:sz w:val="21"/>
        </w:rPr>
      </w:pPr>
    </w:p>
    <w:p>
      <w:pPr>
        <w:pStyle w:val="2"/>
        <w:spacing w:before="78" w:line="235" w:lineRule="auto"/>
        <w:ind w:left="36"/>
        <w:outlineLvl w:val="2"/>
        <w:rPr>
          <w:sz w:val="24"/>
          <w:szCs w:val="24"/>
        </w:rPr>
      </w:pPr>
      <w:r>
        <w:rPr>
          <w:rFonts w:ascii="Times New Roman" w:hAnsi="Times New Roman" w:eastAsia="Times New Roman" w:cs="Times New Roman"/>
          <w:b/>
          <w:bCs/>
          <w:spacing w:val="-1"/>
          <w:sz w:val="24"/>
          <w:szCs w:val="24"/>
        </w:rPr>
        <w:t xml:space="preserve">4.2.1 </w:t>
      </w:r>
      <w:r>
        <w:rPr>
          <w:spacing w:val="-1"/>
          <w:sz w:val="24"/>
          <w:szCs w:val="24"/>
          <w14:textOutline w14:w="4354" w14:cap="flat" w14:cmpd="sng">
            <w14:solidFill>
              <w14:srgbClr w14:val="000000"/>
            </w14:solidFill>
            <w14:prstDash w14:val="solid"/>
            <w14:miter w14:val="0"/>
          </w14:textOutline>
        </w:rPr>
        <w:t>施工期</w:t>
      </w:r>
    </w:p>
    <w:p>
      <w:pPr>
        <w:spacing w:before="195"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）水文情势分析</w:t>
      </w:r>
    </w:p>
    <w:p>
      <w:pPr>
        <w:spacing w:before="184" w:line="359" w:lineRule="auto"/>
        <w:ind w:left="42" w:right="31" w:firstLine="480"/>
        <w:jc w:val="both"/>
        <w:rPr>
          <w:rFonts w:ascii="宋体" w:hAnsi="宋体" w:eastAsia="宋体" w:cs="宋体"/>
          <w:sz w:val="24"/>
          <w:szCs w:val="24"/>
        </w:rPr>
      </w:pPr>
      <w:r>
        <w:rPr>
          <w:rFonts w:ascii="宋体" w:hAnsi="宋体" w:eastAsia="宋体" w:cs="宋体"/>
          <w:spacing w:val="-7"/>
          <w:sz w:val="24"/>
          <w:szCs w:val="24"/>
        </w:rPr>
        <w:t>大坝施工导流先利用河道过流， 进行导流输水放空隧洞施工，此过程河道用</w:t>
      </w:r>
      <w:r>
        <w:rPr>
          <w:rFonts w:ascii="宋体" w:hAnsi="宋体" w:eastAsia="宋体" w:cs="宋体"/>
          <w:spacing w:val="10"/>
          <w:sz w:val="24"/>
          <w:szCs w:val="24"/>
        </w:rPr>
        <w:t xml:space="preserve"> </w:t>
      </w:r>
      <w:r>
        <w:rPr>
          <w:rFonts w:ascii="宋体" w:hAnsi="宋体" w:eastAsia="宋体" w:cs="宋体"/>
          <w:spacing w:val="-12"/>
          <w:sz w:val="24"/>
          <w:szCs w:val="24"/>
        </w:rPr>
        <w:t>水量均从原河道取水，</w:t>
      </w:r>
      <w:r>
        <w:rPr>
          <w:rFonts w:ascii="宋体" w:hAnsi="宋体" w:eastAsia="宋体" w:cs="宋体"/>
          <w:spacing w:val="36"/>
          <w:sz w:val="24"/>
          <w:szCs w:val="24"/>
        </w:rPr>
        <w:t xml:space="preserve"> </w:t>
      </w:r>
      <w:r>
        <w:rPr>
          <w:rFonts w:ascii="宋体" w:hAnsi="宋体" w:eastAsia="宋体" w:cs="宋体"/>
          <w:spacing w:val="-12"/>
          <w:sz w:val="24"/>
          <w:szCs w:val="24"/>
        </w:rPr>
        <w:t>对下游水资源利用无影响。河道截流时</w:t>
      </w:r>
      <w:r>
        <w:rPr>
          <w:rFonts w:ascii="宋体" w:hAnsi="宋体" w:eastAsia="宋体" w:cs="宋体"/>
          <w:spacing w:val="-13"/>
          <w:sz w:val="24"/>
          <w:szCs w:val="24"/>
        </w:rPr>
        <w:t>，</w:t>
      </w:r>
      <w:r>
        <w:rPr>
          <w:rFonts w:ascii="宋体" w:hAnsi="宋体" w:eastAsia="宋体" w:cs="宋体"/>
          <w:spacing w:val="44"/>
          <w:sz w:val="24"/>
          <w:szCs w:val="24"/>
        </w:rPr>
        <w:t xml:space="preserve"> </w:t>
      </w:r>
      <w:r>
        <w:rPr>
          <w:rFonts w:ascii="宋体" w:hAnsi="宋体" w:eastAsia="宋体" w:cs="宋体"/>
          <w:spacing w:val="-13"/>
          <w:sz w:val="24"/>
          <w:szCs w:val="24"/>
        </w:rPr>
        <w:t>导流为围堰、导</w:t>
      </w:r>
    </w:p>
    <w:p>
      <w:pPr>
        <w:spacing w:line="219" w:lineRule="auto"/>
        <w:ind w:left="40"/>
        <w:rPr>
          <w:rFonts w:ascii="宋体" w:hAnsi="宋体" w:eastAsia="宋体" w:cs="宋体"/>
          <w:sz w:val="24"/>
          <w:szCs w:val="24"/>
        </w:rPr>
      </w:pPr>
      <w:r>
        <w:rPr>
          <w:rFonts w:ascii="宋体" w:hAnsi="宋体" w:eastAsia="宋体" w:cs="宋体"/>
          <w:spacing w:val="-3"/>
          <w:sz w:val="24"/>
          <w:szCs w:val="24"/>
        </w:rPr>
        <w:t>流沟配合导流输水放空隧洞导流段导流，此过程河道用水量通过导流输水放空隧</w:t>
      </w:r>
    </w:p>
    <w:p>
      <w:pPr>
        <w:spacing w:line="219" w:lineRule="auto"/>
        <w:rPr>
          <w:rFonts w:ascii="宋体" w:hAnsi="宋体" w:eastAsia="宋体" w:cs="宋体"/>
          <w:sz w:val="24"/>
          <w:szCs w:val="24"/>
        </w:rPr>
        <w:sectPr>
          <w:headerReference r:id="rId334" w:type="default"/>
          <w:footerReference r:id="rId335" w:type="default"/>
          <w:pgSz w:w="11907" w:h="16839"/>
          <w:pgMar w:top="1156" w:right="1768" w:bottom="1374" w:left="1770" w:header="881" w:footer="1210" w:gutter="0"/>
        </w:sectPr>
      </w:pPr>
    </w:p>
    <w:p>
      <w:pPr>
        <w:spacing w:before="319" w:line="467" w:lineRule="exact"/>
        <w:ind w:left="40"/>
        <w:rPr>
          <w:rFonts w:ascii="宋体" w:hAnsi="宋体" w:eastAsia="宋体" w:cs="宋体"/>
          <w:sz w:val="24"/>
          <w:szCs w:val="24"/>
        </w:rPr>
      </w:pPr>
      <w:r>
        <w:rPr>
          <w:rFonts w:ascii="宋体" w:hAnsi="宋体" w:eastAsia="宋体" w:cs="宋体"/>
          <w:spacing w:val="-7"/>
          <w:position w:val="17"/>
          <w:sz w:val="24"/>
          <w:szCs w:val="24"/>
        </w:rPr>
        <w:t>洞下泄满足，</w:t>
      </w:r>
      <w:r>
        <w:rPr>
          <w:rFonts w:ascii="宋体" w:hAnsi="宋体" w:eastAsia="宋体" w:cs="宋体"/>
          <w:spacing w:val="28"/>
          <w:position w:val="17"/>
          <w:sz w:val="24"/>
          <w:szCs w:val="24"/>
        </w:rPr>
        <w:t xml:space="preserve"> </w:t>
      </w:r>
      <w:r>
        <w:rPr>
          <w:rFonts w:ascii="宋体" w:hAnsi="宋体" w:eastAsia="宋体" w:cs="宋体"/>
          <w:spacing w:val="-7"/>
          <w:position w:val="17"/>
          <w:sz w:val="24"/>
          <w:szCs w:val="24"/>
        </w:rPr>
        <w:t>河道水量较天然河道水量无变化。引水、引洪工</w:t>
      </w:r>
      <w:r>
        <w:rPr>
          <w:rFonts w:ascii="宋体" w:hAnsi="宋体" w:eastAsia="宋体" w:cs="宋体"/>
          <w:spacing w:val="-8"/>
          <w:position w:val="17"/>
          <w:sz w:val="24"/>
          <w:szCs w:val="24"/>
        </w:rPr>
        <w:t>程导流前期利用纵</w:t>
      </w:r>
    </w:p>
    <w:p>
      <w:pPr>
        <w:spacing w:line="219" w:lineRule="auto"/>
        <w:ind w:left="63"/>
        <w:rPr>
          <w:rFonts w:ascii="宋体" w:hAnsi="宋体" w:eastAsia="宋体" w:cs="宋体"/>
          <w:sz w:val="24"/>
          <w:szCs w:val="24"/>
        </w:rPr>
      </w:pPr>
      <w:r>
        <w:rPr>
          <w:rFonts w:ascii="宋体" w:hAnsi="宋体" w:eastAsia="宋体" w:cs="宋体"/>
          <w:spacing w:val="-2"/>
          <w:sz w:val="24"/>
          <w:szCs w:val="24"/>
        </w:rPr>
        <w:t>向围堰挡水导流，后期利用冲沙闸导流。</w:t>
      </w:r>
    </w:p>
    <w:p>
      <w:pPr>
        <w:spacing w:before="182" w:line="359" w:lineRule="auto"/>
        <w:ind w:left="41" w:right="68" w:firstLine="477"/>
        <w:jc w:val="both"/>
        <w:rPr>
          <w:rFonts w:ascii="宋体" w:hAnsi="宋体" w:eastAsia="宋体" w:cs="宋体"/>
          <w:sz w:val="24"/>
          <w:szCs w:val="24"/>
        </w:rPr>
      </w:pPr>
      <w:r>
        <w:rPr>
          <w:rFonts w:ascii="宋体" w:hAnsi="宋体" w:eastAsia="宋体" w:cs="宋体"/>
          <w:spacing w:val="-6"/>
          <w:sz w:val="24"/>
          <w:szCs w:val="24"/>
        </w:rPr>
        <w:t>施工期对坝下游水文情势影响仅局限于近坝区河段，</w:t>
      </w:r>
      <w:r>
        <w:rPr>
          <w:rFonts w:ascii="宋体" w:hAnsi="宋体" w:eastAsia="宋体" w:cs="宋体"/>
          <w:spacing w:val="-25"/>
          <w:sz w:val="24"/>
          <w:szCs w:val="24"/>
        </w:rPr>
        <w:t xml:space="preserve"> </w:t>
      </w:r>
      <w:r>
        <w:rPr>
          <w:rFonts w:ascii="宋体" w:hAnsi="宋体" w:eastAsia="宋体" w:cs="宋体"/>
          <w:spacing w:val="-6"/>
          <w:sz w:val="24"/>
          <w:szCs w:val="24"/>
        </w:rPr>
        <w:t>在导流设施出口区域产</w:t>
      </w:r>
      <w:r>
        <w:rPr>
          <w:rFonts w:ascii="宋体" w:hAnsi="宋体" w:eastAsia="宋体" w:cs="宋体"/>
          <w:sz w:val="24"/>
          <w:szCs w:val="24"/>
        </w:rPr>
        <w:t xml:space="preserve"> </w:t>
      </w:r>
      <w:r>
        <w:rPr>
          <w:rFonts w:ascii="宋体" w:hAnsi="宋体" w:eastAsia="宋体" w:cs="宋体"/>
          <w:spacing w:val="-10"/>
          <w:sz w:val="24"/>
          <w:szCs w:val="24"/>
        </w:rPr>
        <w:t>生流速较大的急流段，但影响范围有限，</w:t>
      </w:r>
      <w:r>
        <w:rPr>
          <w:rFonts w:ascii="宋体" w:hAnsi="宋体" w:eastAsia="宋体" w:cs="宋体"/>
          <w:spacing w:val="49"/>
          <w:sz w:val="24"/>
          <w:szCs w:val="24"/>
        </w:rPr>
        <w:t xml:space="preserve"> </w:t>
      </w:r>
      <w:r>
        <w:rPr>
          <w:rFonts w:ascii="宋体" w:hAnsi="宋体" w:eastAsia="宋体" w:cs="宋体"/>
          <w:spacing w:val="-10"/>
          <w:sz w:val="24"/>
          <w:szCs w:val="24"/>
        </w:rPr>
        <w:t>因此</w:t>
      </w:r>
      <w:r>
        <w:rPr>
          <w:rFonts w:ascii="宋体" w:hAnsi="宋体" w:eastAsia="宋体" w:cs="宋体"/>
          <w:spacing w:val="-11"/>
          <w:sz w:val="24"/>
          <w:szCs w:val="24"/>
        </w:rPr>
        <w:t>，</w:t>
      </w:r>
      <w:r>
        <w:rPr>
          <w:rFonts w:ascii="宋体" w:hAnsi="宋体" w:eastAsia="宋体" w:cs="宋体"/>
          <w:spacing w:val="-30"/>
          <w:sz w:val="24"/>
          <w:szCs w:val="24"/>
        </w:rPr>
        <w:t xml:space="preserve"> </w:t>
      </w:r>
      <w:r>
        <w:rPr>
          <w:rFonts w:ascii="宋体" w:hAnsi="宋体" w:eastAsia="宋体" w:cs="宋体"/>
          <w:spacing w:val="-11"/>
          <w:sz w:val="24"/>
          <w:szCs w:val="24"/>
        </w:rPr>
        <w:t>导流期间对坝下游水文情势影响</w:t>
      </w:r>
    </w:p>
    <w:p>
      <w:pPr>
        <w:spacing w:line="221" w:lineRule="auto"/>
        <w:ind w:left="45"/>
        <w:rPr>
          <w:rFonts w:ascii="宋体" w:hAnsi="宋体" w:eastAsia="宋体" w:cs="宋体"/>
          <w:sz w:val="24"/>
          <w:szCs w:val="24"/>
        </w:rPr>
      </w:pPr>
      <w:r>
        <w:rPr>
          <w:rFonts w:ascii="宋体" w:hAnsi="宋体" w:eastAsia="宋体" w:cs="宋体"/>
          <w:spacing w:val="-13"/>
          <w:sz w:val="24"/>
          <w:szCs w:val="24"/>
        </w:rPr>
        <w:t>小。</w:t>
      </w:r>
    </w:p>
    <w:p>
      <w:pPr>
        <w:spacing w:before="178" w:line="467" w:lineRule="exact"/>
        <w:ind w:left="525"/>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2</w:t>
      </w:r>
      <w:r>
        <w:rPr>
          <w:rFonts w:ascii="宋体" w:hAnsi="宋体" w:eastAsia="宋体" w:cs="宋体"/>
          <w:spacing w:val="-2"/>
          <w:position w:val="17"/>
          <w:sz w:val="24"/>
          <w:szCs w:val="24"/>
        </w:rPr>
        <w:t>）水质影响分析</w:t>
      </w:r>
    </w:p>
    <w:p>
      <w:pPr>
        <w:spacing w:line="217" w:lineRule="auto"/>
        <w:ind w:left="518"/>
        <w:rPr>
          <w:rFonts w:ascii="宋体" w:hAnsi="宋体" w:eastAsia="宋体" w:cs="宋体"/>
          <w:sz w:val="24"/>
          <w:szCs w:val="24"/>
        </w:rPr>
      </w:pPr>
      <w:r>
        <w:rPr>
          <w:rFonts w:ascii="宋体" w:hAnsi="宋体" w:eastAsia="宋体" w:cs="宋体"/>
          <w:spacing w:val="-2"/>
          <w:sz w:val="24"/>
          <w:szCs w:val="24"/>
        </w:rPr>
        <w:t>①施工活动</w:t>
      </w:r>
    </w:p>
    <w:p>
      <w:pPr>
        <w:spacing w:before="186" w:line="359" w:lineRule="auto"/>
        <w:ind w:left="38" w:right="68" w:firstLine="484"/>
        <w:jc w:val="both"/>
        <w:rPr>
          <w:rFonts w:ascii="宋体" w:hAnsi="宋体" w:eastAsia="宋体" w:cs="宋体"/>
          <w:sz w:val="24"/>
          <w:szCs w:val="24"/>
        </w:rPr>
      </w:pPr>
      <w:r>
        <w:rPr>
          <w:rFonts w:ascii="宋体" w:hAnsi="宋体" w:eastAsia="宋体" w:cs="宋体"/>
          <w:spacing w:val="-13"/>
          <w:sz w:val="24"/>
          <w:szCs w:val="24"/>
        </w:rPr>
        <w:t>项目大坝、取水坝在河道上进行修筑，</w:t>
      </w:r>
      <w:r>
        <w:rPr>
          <w:rFonts w:ascii="宋体" w:hAnsi="宋体" w:eastAsia="宋体" w:cs="宋体"/>
          <w:spacing w:val="46"/>
          <w:sz w:val="24"/>
          <w:szCs w:val="24"/>
        </w:rPr>
        <w:t xml:space="preserve"> </w:t>
      </w:r>
      <w:r>
        <w:rPr>
          <w:rFonts w:ascii="宋体" w:hAnsi="宋体" w:eastAsia="宋体" w:cs="宋体"/>
          <w:spacing w:val="-13"/>
          <w:sz w:val="24"/>
          <w:szCs w:val="24"/>
        </w:rPr>
        <w:t>施工时场地平整、</w:t>
      </w:r>
      <w:r>
        <w:rPr>
          <w:rFonts w:ascii="宋体" w:hAnsi="宋体" w:eastAsia="宋体" w:cs="宋体"/>
          <w:spacing w:val="35"/>
          <w:sz w:val="24"/>
          <w:szCs w:val="24"/>
        </w:rPr>
        <w:t xml:space="preserve"> </w:t>
      </w:r>
      <w:r>
        <w:rPr>
          <w:rFonts w:ascii="宋体" w:hAnsi="宋体" w:eastAsia="宋体" w:cs="宋体"/>
          <w:spacing w:val="-13"/>
          <w:sz w:val="24"/>
          <w:szCs w:val="24"/>
        </w:rPr>
        <w:t>围堰构筑物填筑以</w:t>
      </w:r>
      <w:r>
        <w:rPr>
          <w:rFonts w:ascii="宋体" w:hAnsi="宋体" w:eastAsia="宋体" w:cs="宋体"/>
          <w:sz w:val="24"/>
          <w:szCs w:val="24"/>
        </w:rPr>
        <w:t xml:space="preserve"> </w:t>
      </w:r>
      <w:r>
        <w:rPr>
          <w:rFonts w:ascii="宋体" w:hAnsi="宋体" w:eastAsia="宋体" w:cs="宋体"/>
          <w:spacing w:val="-1"/>
          <w:sz w:val="24"/>
          <w:szCs w:val="24"/>
        </w:rPr>
        <w:t>及施工材料清运均有可能导致固废和施工材料进入地表水体，使得水质</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 xml:space="preserve">SS </w:t>
      </w:r>
      <w:r>
        <w:rPr>
          <w:rFonts w:ascii="宋体" w:hAnsi="宋体" w:eastAsia="宋体" w:cs="宋体"/>
          <w:spacing w:val="-1"/>
          <w:sz w:val="24"/>
          <w:szCs w:val="24"/>
        </w:rPr>
        <w:t>浓度</w:t>
      </w:r>
      <w:r>
        <w:rPr>
          <w:rFonts w:ascii="宋体" w:hAnsi="宋体" w:eastAsia="宋体" w:cs="宋体"/>
          <w:sz w:val="24"/>
          <w:szCs w:val="24"/>
        </w:rPr>
        <w:t xml:space="preserve"> </w:t>
      </w:r>
      <w:r>
        <w:rPr>
          <w:rFonts w:ascii="宋体" w:hAnsi="宋体" w:eastAsia="宋体" w:cs="宋体"/>
          <w:spacing w:val="-7"/>
          <w:sz w:val="24"/>
          <w:szCs w:val="24"/>
        </w:rPr>
        <w:t>增大。同时，</w:t>
      </w:r>
      <w:r>
        <w:rPr>
          <w:rFonts w:ascii="宋体" w:hAnsi="宋体" w:eastAsia="宋体" w:cs="宋体"/>
          <w:spacing w:val="36"/>
          <w:sz w:val="24"/>
          <w:szCs w:val="24"/>
        </w:rPr>
        <w:t xml:space="preserve"> </w:t>
      </w:r>
      <w:r>
        <w:rPr>
          <w:rFonts w:ascii="宋体" w:hAnsi="宋体" w:eastAsia="宋体" w:cs="宋体"/>
          <w:spacing w:val="-7"/>
          <w:sz w:val="24"/>
          <w:szCs w:val="24"/>
        </w:rPr>
        <w:t>施工机械不慎发生跑冒滴漏，油</w:t>
      </w:r>
      <w:r>
        <w:rPr>
          <w:rFonts w:ascii="宋体" w:hAnsi="宋体" w:eastAsia="宋体" w:cs="宋体"/>
          <w:spacing w:val="-8"/>
          <w:sz w:val="24"/>
          <w:szCs w:val="24"/>
        </w:rPr>
        <w:t>类也可能进入地表水体，影响河流</w:t>
      </w:r>
    </w:p>
    <w:p>
      <w:pPr>
        <w:spacing w:before="1" w:line="219" w:lineRule="auto"/>
        <w:ind w:left="42"/>
        <w:rPr>
          <w:rFonts w:ascii="宋体" w:hAnsi="宋体" w:eastAsia="宋体" w:cs="宋体"/>
          <w:sz w:val="24"/>
          <w:szCs w:val="24"/>
        </w:rPr>
      </w:pPr>
      <w:r>
        <w:rPr>
          <w:rFonts w:ascii="宋体" w:hAnsi="宋体" w:eastAsia="宋体" w:cs="宋体"/>
          <w:spacing w:val="-11"/>
          <w:sz w:val="24"/>
          <w:szCs w:val="24"/>
        </w:rPr>
        <w:t>水质。</w:t>
      </w:r>
    </w:p>
    <w:p>
      <w:pPr>
        <w:spacing w:before="182" w:line="359" w:lineRule="auto"/>
        <w:ind w:left="38" w:firstLine="480"/>
        <w:jc w:val="both"/>
        <w:rPr>
          <w:rFonts w:ascii="宋体" w:hAnsi="宋体" w:eastAsia="宋体" w:cs="宋体"/>
          <w:sz w:val="24"/>
          <w:szCs w:val="24"/>
        </w:rPr>
      </w:pPr>
      <w:r>
        <w:rPr>
          <w:rFonts w:ascii="宋体" w:hAnsi="宋体" w:eastAsia="宋体" w:cs="宋体"/>
          <w:spacing w:val="-6"/>
          <w:sz w:val="24"/>
          <w:szCs w:val="24"/>
        </w:rPr>
        <w:t>施工期间坝址基础开挖产生的土石方应及时运至弃渣场内堆存，</w:t>
      </w:r>
      <w:r>
        <w:rPr>
          <w:rFonts w:ascii="宋体" w:hAnsi="宋体" w:eastAsia="宋体" w:cs="宋体"/>
          <w:spacing w:val="-26"/>
          <w:sz w:val="24"/>
          <w:szCs w:val="24"/>
        </w:rPr>
        <w:t xml:space="preserve"> </w:t>
      </w:r>
      <w:r>
        <w:rPr>
          <w:rFonts w:ascii="宋体" w:hAnsi="宋体" w:eastAsia="宋体" w:cs="宋体"/>
          <w:spacing w:val="-6"/>
          <w:sz w:val="24"/>
          <w:szCs w:val="24"/>
        </w:rPr>
        <w:t>禁止乱丢乱</w:t>
      </w:r>
      <w:r>
        <w:rPr>
          <w:rFonts w:ascii="宋体" w:hAnsi="宋体" w:eastAsia="宋体" w:cs="宋体"/>
          <w:sz w:val="24"/>
          <w:szCs w:val="24"/>
        </w:rPr>
        <w:t xml:space="preserve"> </w:t>
      </w:r>
      <w:r>
        <w:rPr>
          <w:rFonts w:ascii="宋体" w:hAnsi="宋体" w:eastAsia="宋体" w:cs="宋体"/>
          <w:spacing w:val="-12"/>
          <w:sz w:val="24"/>
          <w:szCs w:val="24"/>
        </w:rPr>
        <w:t>弃。施工材料尽量在施工现场少堆存，</w:t>
      </w:r>
      <w:r>
        <w:rPr>
          <w:rFonts w:ascii="宋体" w:hAnsi="宋体" w:eastAsia="宋体" w:cs="宋体"/>
          <w:spacing w:val="38"/>
          <w:sz w:val="24"/>
          <w:szCs w:val="24"/>
        </w:rPr>
        <w:t xml:space="preserve"> </w:t>
      </w:r>
      <w:r>
        <w:rPr>
          <w:rFonts w:ascii="宋体" w:hAnsi="宋体" w:eastAsia="宋体" w:cs="宋体"/>
          <w:spacing w:val="-12"/>
          <w:sz w:val="24"/>
          <w:szCs w:val="24"/>
        </w:rPr>
        <w:t>做到用多少，</w:t>
      </w:r>
      <w:r>
        <w:rPr>
          <w:rFonts w:ascii="宋体" w:hAnsi="宋体" w:eastAsia="宋体" w:cs="宋体"/>
          <w:spacing w:val="38"/>
          <w:sz w:val="24"/>
          <w:szCs w:val="24"/>
        </w:rPr>
        <w:t xml:space="preserve"> </w:t>
      </w:r>
      <w:r>
        <w:rPr>
          <w:rFonts w:ascii="宋体" w:hAnsi="宋体" w:eastAsia="宋体" w:cs="宋体"/>
          <w:spacing w:val="-12"/>
          <w:sz w:val="24"/>
          <w:szCs w:val="24"/>
        </w:rPr>
        <w:t>堆多少。同时施工期间保证</w:t>
      </w:r>
      <w:r>
        <w:rPr>
          <w:rFonts w:ascii="宋体" w:hAnsi="宋体" w:eastAsia="宋体" w:cs="宋体"/>
          <w:sz w:val="24"/>
          <w:szCs w:val="24"/>
        </w:rPr>
        <w:t xml:space="preserve"> </w:t>
      </w:r>
      <w:r>
        <w:rPr>
          <w:rFonts w:ascii="宋体" w:hAnsi="宋体" w:eastAsia="宋体" w:cs="宋体"/>
          <w:spacing w:val="-1"/>
          <w:sz w:val="24"/>
          <w:szCs w:val="24"/>
        </w:rPr>
        <w:t>施工导流设施的正常运行，上游来水均从导流设施通过，不经过坝址施工现场，</w:t>
      </w:r>
      <w:r>
        <w:rPr>
          <w:rFonts w:ascii="宋体" w:hAnsi="宋体" w:eastAsia="宋体" w:cs="宋体"/>
          <w:spacing w:val="1"/>
          <w:sz w:val="24"/>
          <w:szCs w:val="24"/>
        </w:rPr>
        <w:t xml:space="preserve"> </w:t>
      </w:r>
      <w:r>
        <w:rPr>
          <w:rFonts w:ascii="宋体" w:hAnsi="宋体" w:eastAsia="宋体" w:cs="宋体"/>
          <w:spacing w:val="-6"/>
          <w:sz w:val="24"/>
          <w:szCs w:val="24"/>
        </w:rPr>
        <w:t>这样施工现场泥沙不会进入下游河道， 从源头切断了污染源。另</w:t>
      </w:r>
      <w:r>
        <w:rPr>
          <w:rFonts w:ascii="宋体" w:hAnsi="宋体" w:eastAsia="宋体" w:cs="宋体"/>
          <w:spacing w:val="-7"/>
          <w:sz w:val="24"/>
          <w:szCs w:val="24"/>
        </w:rPr>
        <w:t>外基础开挖后及</w:t>
      </w:r>
      <w:r>
        <w:rPr>
          <w:rFonts w:ascii="宋体" w:hAnsi="宋体" w:eastAsia="宋体" w:cs="宋体"/>
          <w:sz w:val="24"/>
          <w:szCs w:val="24"/>
        </w:rPr>
        <w:t xml:space="preserve"> </w:t>
      </w:r>
      <w:r>
        <w:rPr>
          <w:rFonts w:ascii="宋体" w:hAnsi="宋体" w:eastAsia="宋体" w:cs="宋体"/>
          <w:spacing w:val="-6"/>
          <w:sz w:val="24"/>
          <w:szCs w:val="24"/>
        </w:rPr>
        <w:t>时采取水保方案中提出的措施，</w:t>
      </w:r>
      <w:r>
        <w:rPr>
          <w:rFonts w:ascii="宋体" w:hAnsi="宋体" w:eastAsia="宋体" w:cs="宋体"/>
          <w:spacing w:val="-13"/>
          <w:sz w:val="24"/>
          <w:szCs w:val="24"/>
        </w:rPr>
        <w:t xml:space="preserve"> </w:t>
      </w:r>
      <w:r>
        <w:rPr>
          <w:rFonts w:ascii="宋体" w:hAnsi="宋体" w:eastAsia="宋体" w:cs="宋体"/>
          <w:spacing w:val="-6"/>
          <w:sz w:val="24"/>
          <w:szCs w:val="24"/>
        </w:rPr>
        <w:t>这样也能减小开挖面产生的水土流失进入下游河</w:t>
      </w:r>
      <w:r>
        <w:rPr>
          <w:rFonts w:ascii="宋体" w:hAnsi="宋体" w:eastAsia="宋体" w:cs="宋体"/>
          <w:sz w:val="24"/>
          <w:szCs w:val="24"/>
        </w:rPr>
        <w:t xml:space="preserve"> </w:t>
      </w:r>
      <w:r>
        <w:rPr>
          <w:rFonts w:ascii="宋体" w:hAnsi="宋体" w:eastAsia="宋体" w:cs="宋体"/>
          <w:spacing w:val="-7"/>
          <w:sz w:val="24"/>
          <w:szCs w:val="24"/>
        </w:rPr>
        <w:t>道。通过采取上述措施后，</w:t>
      </w:r>
      <w:r>
        <w:rPr>
          <w:rFonts w:ascii="宋体" w:hAnsi="宋体" w:eastAsia="宋体" w:cs="宋体"/>
          <w:spacing w:val="34"/>
          <w:sz w:val="24"/>
          <w:szCs w:val="24"/>
        </w:rPr>
        <w:t xml:space="preserve"> </w:t>
      </w:r>
      <w:r>
        <w:rPr>
          <w:rFonts w:ascii="宋体" w:hAnsi="宋体" w:eastAsia="宋体" w:cs="宋体"/>
          <w:spacing w:val="-7"/>
          <w:sz w:val="24"/>
          <w:szCs w:val="24"/>
        </w:rPr>
        <w:t>项目施工期间泥沙进入下游河道的可</w:t>
      </w:r>
      <w:r>
        <w:rPr>
          <w:rFonts w:ascii="宋体" w:hAnsi="宋体" w:eastAsia="宋体" w:cs="宋体"/>
          <w:spacing w:val="-8"/>
          <w:sz w:val="24"/>
          <w:szCs w:val="24"/>
        </w:rPr>
        <w:t>能性较小，对下</w:t>
      </w:r>
    </w:p>
    <w:p>
      <w:pPr>
        <w:spacing w:before="1" w:line="219" w:lineRule="auto"/>
        <w:ind w:left="39"/>
        <w:rPr>
          <w:rFonts w:ascii="宋体" w:hAnsi="宋体" w:eastAsia="宋体" w:cs="宋体"/>
          <w:sz w:val="24"/>
          <w:szCs w:val="24"/>
        </w:rPr>
      </w:pPr>
      <w:r>
        <w:rPr>
          <w:rFonts w:ascii="宋体" w:hAnsi="宋体" w:eastAsia="宋体" w:cs="宋体"/>
          <w:spacing w:val="-4"/>
          <w:sz w:val="24"/>
          <w:szCs w:val="24"/>
        </w:rPr>
        <w:t>游河道水质影响较小。</w:t>
      </w:r>
    </w:p>
    <w:p>
      <w:pPr>
        <w:spacing w:before="182" w:line="217" w:lineRule="auto"/>
        <w:ind w:left="517"/>
        <w:rPr>
          <w:rFonts w:ascii="宋体" w:hAnsi="宋体" w:eastAsia="宋体" w:cs="宋体"/>
          <w:sz w:val="24"/>
          <w:szCs w:val="24"/>
        </w:rPr>
      </w:pPr>
      <w:r>
        <w:rPr>
          <w:rFonts w:ascii="宋体" w:hAnsi="宋体" w:eastAsia="宋体" w:cs="宋体"/>
          <w:spacing w:val="-1"/>
          <w:sz w:val="24"/>
          <w:szCs w:val="24"/>
        </w:rPr>
        <w:t>②混凝土拌和系统废水</w:t>
      </w:r>
    </w:p>
    <w:p>
      <w:pPr>
        <w:spacing w:before="262" w:line="360" w:lineRule="auto"/>
        <w:ind w:left="40" w:right="68" w:firstLine="478"/>
        <w:rPr>
          <w:rFonts w:ascii="宋体" w:hAnsi="宋体" w:eastAsia="宋体" w:cs="宋体"/>
          <w:sz w:val="24"/>
          <w:szCs w:val="24"/>
        </w:rPr>
      </w:pPr>
      <w:r>
        <w:rPr>
          <w:rFonts w:ascii="宋体" w:hAnsi="宋体" w:eastAsia="宋体" w:cs="宋体"/>
          <w:spacing w:val="-6"/>
          <w:sz w:val="24"/>
          <w:szCs w:val="24"/>
        </w:rPr>
        <w:t>枢纽施工区混凝土拌合站生产期间会产生拌合站料罐冲洗废水，</w:t>
      </w:r>
      <w:r>
        <w:rPr>
          <w:rFonts w:ascii="宋体" w:hAnsi="宋体" w:eastAsia="宋体" w:cs="宋体"/>
          <w:spacing w:val="-25"/>
          <w:sz w:val="24"/>
          <w:szCs w:val="24"/>
        </w:rPr>
        <w:t xml:space="preserve"> </w:t>
      </w:r>
      <w:r>
        <w:rPr>
          <w:rFonts w:ascii="宋体" w:hAnsi="宋体" w:eastAsia="宋体" w:cs="宋体"/>
          <w:spacing w:val="-6"/>
          <w:sz w:val="24"/>
          <w:szCs w:val="24"/>
        </w:rPr>
        <w:t>按每天冲洗</w:t>
      </w:r>
      <w:r>
        <w:rPr>
          <w:rFonts w:ascii="宋体" w:hAnsi="宋体" w:eastAsia="宋体" w:cs="宋体"/>
          <w:sz w:val="24"/>
          <w:szCs w:val="24"/>
        </w:rPr>
        <w:t xml:space="preserve"> </w:t>
      </w:r>
      <w:r>
        <w:rPr>
          <w:rFonts w:ascii="宋体" w:hAnsi="宋体" w:eastAsia="宋体" w:cs="宋体"/>
          <w:spacing w:val="-4"/>
          <w:sz w:val="24"/>
          <w:szCs w:val="24"/>
        </w:rPr>
        <w:t>一次，每次冲洗产生的废水量约</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8m</w:t>
      </w:r>
      <w:r>
        <w:rPr>
          <w:rFonts w:ascii="Times New Roman" w:hAnsi="Times New Roman" w:eastAsia="Times New Roman" w:cs="Times New Roman"/>
          <w:spacing w:val="-4"/>
          <w:position w:val="8"/>
          <w:sz w:val="15"/>
          <w:szCs w:val="15"/>
        </w:rPr>
        <w:t>3</w:t>
      </w:r>
      <w:r>
        <w:rPr>
          <w:rFonts w:ascii="宋体" w:hAnsi="宋体" w:eastAsia="宋体" w:cs="宋体"/>
          <w:spacing w:val="-4"/>
          <w:sz w:val="24"/>
          <w:szCs w:val="24"/>
        </w:rPr>
        <w:t>，混凝土拌合</w:t>
      </w:r>
      <w:r>
        <w:rPr>
          <w:rFonts w:ascii="宋体" w:hAnsi="宋体" w:eastAsia="宋体" w:cs="宋体"/>
          <w:spacing w:val="-5"/>
          <w:sz w:val="24"/>
          <w:szCs w:val="24"/>
        </w:rPr>
        <w:t>站设置</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个冲洗废水沉淀池，</w:t>
      </w:r>
      <w:r>
        <w:rPr>
          <w:rFonts w:ascii="宋体" w:hAnsi="宋体" w:eastAsia="宋体" w:cs="宋体"/>
          <w:sz w:val="24"/>
          <w:szCs w:val="24"/>
        </w:rPr>
        <w:t xml:space="preserve"> </w:t>
      </w:r>
      <w:r>
        <w:rPr>
          <w:rFonts w:ascii="宋体" w:hAnsi="宋体" w:eastAsia="宋体" w:cs="宋体"/>
          <w:spacing w:val="-10"/>
          <w:sz w:val="24"/>
          <w:szCs w:val="24"/>
        </w:rPr>
        <w:t>冲洗废水经沉淀处理后回用于</w:t>
      </w:r>
      <w:r>
        <w:rPr>
          <w:rFonts w:hint="eastAsia" w:ascii="宋体" w:hAnsi="宋体" w:eastAsia="宋体" w:cs="宋体"/>
          <w:spacing w:val="-10"/>
          <w:sz w:val="24"/>
          <w:szCs w:val="24"/>
          <w:lang w:eastAsia="zh-CN"/>
        </w:rPr>
        <w:t>混凝土</w:t>
      </w:r>
      <w:r>
        <w:rPr>
          <w:rFonts w:ascii="宋体" w:hAnsi="宋体" w:eastAsia="宋体" w:cs="宋体"/>
          <w:spacing w:val="-10"/>
          <w:sz w:val="24"/>
          <w:szCs w:val="24"/>
        </w:rPr>
        <w:t>拌合， 不外排</w:t>
      </w:r>
      <w:r>
        <w:rPr>
          <w:rFonts w:ascii="宋体" w:hAnsi="宋体" w:eastAsia="宋体" w:cs="宋体"/>
          <w:spacing w:val="-11"/>
          <w:sz w:val="24"/>
          <w:szCs w:val="24"/>
        </w:rPr>
        <w:t>。沉淀池为混凝土结构，</w:t>
      </w:r>
      <w:r>
        <w:rPr>
          <w:rFonts w:ascii="宋体" w:hAnsi="宋体" w:eastAsia="宋体" w:cs="宋体"/>
          <w:spacing w:val="28"/>
          <w:sz w:val="24"/>
          <w:szCs w:val="24"/>
        </w:rPr>
        <w:t xml:space="preserve"> </w:t>
      </w:r>
      <w:r>
        <w:rPr>
          <w:rFonts w:ascii="宋体" w:hAnsi="宋体" w:eastAsia="宋体" w:cs="宋体"/>
          <w:spacing w:val="-11"/>
          <w:sz w:val="24"/>
          <w:szCs w:val="24"/>
        </w:rPr>
        <w:t>采用</w:t>
      </w:r>
    </w:p>
    <w:p>
      <w:pPr>
        <w:spacing w:line="234" w:lineRule="auto"/>
        <w:ind w:left="39"/>
        <w:rPr>
          <w:rFonts w:ascii="宋体" w:hAnsi="宋体" w:eastAsia="宋体" w:cs="宋体"/>
          <w:sz w:val="24"/>
          <w:szCs w:val="24"/>
        </w:rPr>
      </w:pPr>
      <w:r>
        <w:rPr>
          <w:rFonts w:ascii="宋体" w:hAnsi="宋体" w:eastAsia="宋体" w:cs="宋体"/>
          <w:spacing w:val="-3"/>
          <w:sz w:val="24"/>
          <w:szCs w:val="24"/>
        </w:rPr>
        <w:t>三级沉淀处理，总容积</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10m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w:t>
      </w:r>
    </w:p>
    <w:p>
      <w:pPr>
        <w:spacing w:before="164" w:line="468" w:lineRule="exact"/>
        <w:ind w:right="60"/>
        <w:jc w:val="right"/>
        <w:rPr>
          <w:rFonts w:ascii="宋体" w:hAnsi="宋体" w:eastAsia="宋体" w:cs="宋体"/>
          <w:sz w:val="24"/>
          <w:szCs w:val="24"/>
        </w:rPr>
      </w:pPr>
      <w:r>
        <w:rPr>
          <w:rFonts w:ascii="宋体" w:hAnsi="宋体" w:eastAsia="宋体" w:cs="宋体"/>
          <w:spacing w:val="-5"/>
          <w:position w:val="16"/>
          <w:sz w:val="24"/>
          <w:szCs w:val="24"/>
        </w:rPr>
        <w:t>其余施工段布置小型移动式混凝土搅拌设备设置</w:t>
      </w:r>
      <w:r>
        <w:rPr>
          <w:rFonts w:ascii="宋体" w:hAnsi="宋体" w:eastAsia="宋体" w:cs="宋体"/>
          <w:spacing w:val="-20"/>
          <w:position w:val="16"/>
          <w:sz w:val="24"/>
          <w:szCs w:val="24"/>
        </w:rPr>
        <w:t xml:space="preserve"> </w:t>
      </w:r>
      <w:r>
        <w:rPr>
          <w:rFonts w:ascii="Times New Roman" w:hAnsi="Times New Roman" w:eastAsia="Times New Roman" w:cs="Times New Roman"/>
          <w:spacing w:val="-5"/>
          <w:position w:val="16"/>
          <w:sz w:val="24"/>
          <w:szCs w:val="24"/>
        </w:rPr>
        <w:t xml:space="preserve">1 </w:t>
      </w:r>
      <w:r>
        <w:rPr>
          <w:rFonts w:ascii="宋体" w:hAnsi="宋体" w:eastAsia="宋体" w:cs="宋体"/>
          <w:spacing w:val="-5"/>
          <w:position w:val="16"/>
          <w:sz w:val="24"/>
          <w:szCs w:val="24"/>
        </w:rPr>
        <w:t>个容积</w:t>
      </w:r>
      <w:r>
        <w:rPr>
          <w:rFonts w:ascii="宋体" w:hAnsi="宋体" w:eastAsia="宋体" w:cs="宋体"/>
          <w:spacing w:val="-48"/>
          <w:position w:val="16"/>
          <w:sz w:val="24"/>
          <w:szCs w:val="24"/>
        </w:rPr>
        <w:t xml:space="preserve"> </w:t>
      </w:r>
      <w:r>
        <w:rPr>
          <w:rFonts w:ascii="Times New Roman" w:hAnsi="Times New Roman" w:eastAsia="Times New Roman" w:cs="Times New Roman"/>
          <w:spacing w:val="-5"/>
          <w:position w:val="16"/>
          <w:sz w:val="24"/>
          <w:szCs w:val="24"/>
        </w:rPr>
        <w:t>5m</w:t>
      </w:r>
      <w:r>
        <w:rPr>
          <w:rFonts w:ascii="Times New Roman" w:hAnsi="Times New Roman" w:eastAsia="Times New Roman" w:cs="Times New Roman"/>
          <w:spacing w:val="-5"/>
          <w:position w:val="24"/>
          <w:sz w:val="15"/>
          <w:szCs w:val="15"/>
        </w:rPr>
        <w:t xml:space="preserve">3  </w:t>
      </w:r>
      <w:r>
        <w:rPr>
          <w:rFonts w:ascii="宋体" w:hAnsi="宋体" w:eastAsia="宋体" w:cs="宋体"/>
          <w:spacing w:val="-5"/>
          <w:position w:val="16"/>
          <w:sz w:val="24"/>
          <w:szCs w:val="24"/>
        </w:rPr>
        <w:t>的沉淀池，废</w:t>
      </w:r>
    </w:p>
    <w:p>
      <w:pPr>
        <w:spacing w:line="219" w:lineRule="auto"/>
        <w:ind w:left="42"/>
        <w:rPr>
          <w:rFonts w:ascii="宋体" w:hAnsi="宋体" w:eastAsia="宋体" w:cs="宋体"/>
          <w:sz w:val="24"/>
          <w:szCs w:val="24"/>
        </w:rPr>
      </w:pPr>
      <w:r>
        <w:rPr>
          <w:rFonts w:ascii="宋体" w:hAnsi="宋体" w:eastAsia="宋体" w:cs="宋体"/>
          <w:spacing w:val="-1"/>
          <w:sz w:val="24"/>
          <w:szCs w:val="24"/>
        </w:rPr>
        <w:t>水经沉淀处理后回用于</w:t>
      </w:r>
      <w:r>
        <w:rPr>
          <w:rFonts w:hint="eastAsia" w:ascii="宋体" w:hAnsi="宋体" w:eastAsia="宋体" w:cs="宋体"/>
          <w:spacing w:val="-1"/>
          <w:sz w:val="24"/>
          <w:szCs w:val="24"/>
          <w:lang w:eastAsia="zh-CN"/>
        </w:rPr>
        <w:t>混凝土</w:t>
      </w:r>
      <w:r>
        <w:rPr>
          <w:rFonts w:ascii="宋体" w:hAnsi="宋体" w:eastAsia="宋体" w:cs="宋体"/>
          <w:spacing w:val="-1"/>
          <w:sz w:val="24"/>
          <w:szCs w:val="24"/>
        </w:rPr>
        <w:t>拌合，不外排。</w:t>
      </w:r>
    </w:p>
    <w:p>
      <w:pPr>
        <w:spacing w:before="183" w:line="468" w:lineRule="exact"/>
        <w:ind w:left="523"/>
        <w:rPr>
          <w:rFonts w:ascii="宋体" w:hAnsi="宋体" w:eastAsia="宋体" w:cs="宋体"/>
          <w:sz w:val="24"/>
          <w:szCs w:val="24"/>
        </w:rPr>
      </w:pPr>
      <w:r>
        <w:rPr>
          <w:rFonts w:ascii="宋体" w:hAnsi="宋体" w:eastAsia="宋体" w:cs="宋体"/>
          <w:spacing w:val="-1"/>
          <w:position w:val="17"/>
          <w:sz w:val="24"/>
          <w:szCs w:val="24"/>
        </w:rPr>
        <w:t>项目施工废水不外排，对下游地表水环境影响小。</w:t>
      </w:r>
    </w:p>
    <w:p>
      <w:pPr>
        <w:spacing w:line="217" w:lineRule="auto"/>
        <w:ind w:left="517"/>
        <w:rPr>
          <w:rFonts w:ascii="宋体" w:hAnsi="宋体" w:eastAsia="宋体" w:cs="宋体"/>
          <w:sz w:val="24"/>
          <w:szCs w:val="24"/>
        </w:rPr>
      </w:pPr>
      <w:r>
        <w:rPr>
          <w:rFonts w:ascii="宋体" w:hAnsi="宋体" w:eastAsia="宋体" w:cs="宋体"/>
          <w:spacing w:val="-1"/>
          <w:sz w:val="24"/>
          <w:szCs w:val="24"/>
        </w:rPr>
        <w:t>③砂石料加工系统废水</w:t>
      </w:r>
    </w:p>
    <w:p>
      <w:pPr>
        <w:spacing w:before="186" w:line="360" w:lineRule="auto"/>
        <w:ind w:left="39" w:right="67" w:firstLine="480"/>
        <w:jc w:val="both"/>
        <w:rPr>
          <w:rFonts w:ascii="宋体" w:hAnsi="宋体" w:eastAsia="宋体" w:cs="宋体"/>
          <w:sz w:val="24"/>
          <w:szCs w:val="24"/>
        </w:rPr>
      </w:pPr>
      <w:r>
        <w:rPr>
          <w:rFonts w:ascii="宋体" w:hAnsi="宋体" w:eastAsia="宋体" w:cs="宋体"/>
          <w:spacing w:val="-4"/>
          <w:sz w:val="24"/>
          <w:szCs w:val="24"/>
        </w:rPr>
        <w:t>料场开采石料进入砂石料加工系统前会进行清洗</w:t>
      </w:r>
      <w:r>
        <w:rPr>
          <w:rFonts w:ascii="宋体" w:hAnsi="宋体" w:eastAsia="宋体" w:cs="宋体"/>
          <w:spacing w:val="-5"/>
          <w:sz w:val="24"/>
          <w:szCs w:val="24"/>
        </w:rPr>
        <w:t>，清洗用水量为</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12m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4"/>
          <w:szCs w:val="24"/>
        </w:rPr>
        <w:t>/h</w:t>
      </w:r>
      <w:r>
        <w:rPr>
          <w:rFonts w:ascii="宋体" w:hAnsi="宋体" w:eastAsia="宋体" w:cs="宋体"/>
          <w:spacing w:val="-5"/>
          <w:sz w:val="24"/>
          <w:szCs w:val="24"/>
        </w:rPr>
        <w:t>。石</w:t>
      </w:r>
      <w:r>
        <w:rPr>
          <w:rFonts w:ascii="宋体" w:hAnsi="宋体" w:eastAsia="宋体" w:cs="宋体"/>
          <w:sz w:val="24"/>
          <w:szCs w:val="24"/>
        </w:rPr>
        <w:t xml:space="preserve"> </w:t>
      </w:r>
      <w:r>
        <w:rPr>
          <w:rFonts w:ascii="宋体" w:hAnsi="宋体" w:eastAsia="宋体" w:cs="宋体"/>
          <w:spacing w:val="-10"/>
          <w:sz w:val="24"/>
          <w:szCs w:val="24"/>
        </w:rPr>
        <w:t>料清洗废经三级沉淀池处理后循环利用，</w:t>
      </w:r>
      <w:r>
        <w:rPr>
          <w:rFonts w:ascii="宋体" w:hAnsi="宋体" w:eastAsia="宋体" w:cs="宋体"/>
          <w:spacing w:val="35"/>
          <w:sz w:val="24"/>
          <w:szCs w:val="24"/>
        </w:rPr>
        <w:t xml:space="preserve"> </w:t>
      </w:r>
      <w:r>
        <w:rPr>
          <w:rFonts w:ascii="宋体" w:hAnsi="宋体" w:eastAsia="宋体" w:cs="宋体"/>
          <w:spacing w:val="-10"/>
          <w:sz w:val="24"/>
          <w:szCs w:val="24"/>
        </w:rPr>
        <w:t>不外排。沉淀池为混凝土结构，</w:t>
      </w:r>
      <w:r>
        <w:rPr>
          <w:rFonts w:ascii="宋体" w:hAnsi="宋体" w:eastAsia="宋体" w:cs="宋体"/>
          <w:spacing w:val="-29"/>
          <w:sz w:val="24"/>
          <w:szCs w:val="24"/>
        </w:rPr>
        <w:t xml:space="preserve"> </w:t>
      </w:r>
      <w:r>
        <w:rPr>
          <w:rFonts w:ascii="宋体" w:hAnsi="宋体" w:eastAsia="宋体" w:cs="宋体"/>
          <w:spacing w:val="-10"/>
          <w:sz w:val="24"/>
          <w:szCs w:val="24"/>
        </w:rPr>
        <w:t>采用三</w:t>
      </w:r>
    </w:p>
    <w:p>
      <w:pPr>
        <w:spacing w:before="1" w:line="233" w:lineRule="auto"/>
        <w:ind w:left="43"/>
        <w:rPr>
          <w:rFonts w:ascii="宋体" w:hAnsi="宋体" w:eastAsia="宋体" w:cs="宋体"/>
          <w:sz w:val="24"/>
          <w:szCs w:val="24"/>
        </w:rPr>
      </w:pPr>
      <w:r>
        <w:rPr>
          <w:rFonts w:ascii="宋体" w:hAnsi="宋体" w:eastAsia="宋体" w:cs="宋体"/>
          <w:spacing w:val="-1"/>
          <w:sz w:val="24"/>
          <w:szCs w:val="24"/>
        </w:rPr>
        <w:t>级沉淀处理，总容积</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30m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4"/>
          <w:szCs w:val="24"/>
        </w:rPr>
        <w:t>。砂石料加工系统废水对下游</w:t>
      </w:r>
      <w:r>
        <w:rPr>
          <w:rFonts w:ascii="宋体" w:hAnsi="宋体" w:eastAsia="宋体" w:cs="宋体"/>
          <w:spacing w:val="-2"/>
          <w:sz w:val="24"/>
          <w:szCs w:val="24"/>
        </w:rPr>
        <w:t>地表水环境影响小。</w:t>
      </w:r>
    </w:p>
    <w:p>
      <w:pPr>
        <w:spacing w:line="233" w:lineRule="auto"/>
        <w:rPr>
          <w:rFonts w:ascii="宋体" w:hAnsi="宋体" w:eastAsia="宋体" w:cs="宋体"/>
          <w:sz w:val="24"/>
          <w:szCs w:val="24"/>
        </w:rPr>
        <w:sectPr>
          <w:headerReference r:id="rId336" w:type="default"/>
          <w:footerReference r:id="rId337" w:type="default"/>
          <w:pgSz w:w="11907" w:h="16839"/>
          <w:pgMar w:top="1156" w:right="1730" w:bottom="1374" w:left="1770" w:header="881" w:footer="1210" w:gutter="0"/>
        </w:sectPr>
      </w:pPr>
    </w:p>
    <w:p>
      <w:pPr>
        <w:spacing w:line="317" w:lineRule="auto"/>
        <w:rPr>
          <w:rFonts w:ascii="Arial"/>
          <w:sz w:val="21"/>
        </w:rPr>
      </w:pPr>
    </w:p>
    <w:p>
      <w:pPr>
        <w:spacing w:before="78" w:line="217" w:lineRule="auto"/>
        <w:ind w:left="517"/>
        <w:rPr>
          <w:rFonts w:ascii="宋体" w:hAnsi="宋体" w:eastAsia="宋体" w:cs="宋体"/>
          <w:sz w:val="24"/>
          <w:szCs w:val="24"/>
        </w:rPr>
      </w:pPr>
      <w:r>
        <w:rPr>
          <w:rFonts w:ascii="宋体" w:hAnsi="宋体" w:eastAsia="宋体" w:cs="宋体"/>
          <w:spacing w:val="-2"/>
          <w:sz w:val="24"/>
          <w:szCs w:val="24"/>
        </w:rPr>
        <w:t>④基坑排水</w:t>
      </w:r>
    </w:p>
    <w:p>
      <w:pPr>
        <w:spacing w:before="185" w:line="360" w:lineRule="auto"/>
        <w:ind w:left="39" w:firstLine="480"/>
        <w:rPr>
          <w:rFonts w:ascii="宋体" w:hAnsi="宋体" w:eastAsia="宋体" w:cs="宋体"/>
          <w:sz w:val="24"/>
          <w:szCs w:val="24"/>
        </w:rPr>
      </w:pPr>
      <w:r>
        <w:rPr>
          <w:rFonts w:ascii="宋体" w:hAnsi="宋体" w:eastAsia="宋体" w:cs="宋体"/>
          <w:spacing w:val="-1"/>
          <w:sz w:val="24"/>
          <w:szCs w:val="24"/>
        </w:rPr>
        <w:t>基坑排水主要为桂花水库坝址开挖产生的基坑渗水，其余取水坝开挖量</w:t>
      </w:r>
      <w:r>
        <w:rPr>
          <w:rFonts w:ascii="宋体" w:hAnsi="宋体" w:eastAsia="宋体" w:cs="宋体"/>
          <w:spacing w:val="-2"/>
          <w:sz w:val="24"/>
          <w:szCs w:val="24"/>
        </w:rPr>
        <w:t>小，</w:t>
      </w:r>
      <w:r>
        <w:rPr>
          <w:rFonts w:ascii="宋体" w:hAnsi="宋体" w:eastAsia="宋体" w:cs="宋体"/>
          <w:sz w:val="24"/>
          <w:szCs w:val="24"/>
        </w:rPr>
        <w:t xml:space="preserve"> </w:t>
      </w:r>
      <w:r>
        <w:rPr>
          <w:rFonts w:ascii="宋体" w:hAnsi="宋体" w:eastAsia="宋体" w:cs="宋体"/>
          <w:spacing w:val="-1"/>
          <w:sz w:val="24"/>
          <w:szCs w:val="24"/>
        </w:rPr>
        <w:t>无基坑渗水。基坑渗水主要为坝基水下部分开挖期间。根据岩土工程勘查报告，</w:t>
      </w:r>
      <w:r>
        <w:rPr>
          <w:rFonts w:ascii="宋体" w:hAnsi="宋体" w:eastAsia="宋体" w:cs="宋体"/>
          <w:sz w:val="24"/>
          <w:szCs w:val="24"/>
        </w:rPr>
        <w:t xml:space="preserve"> </w:t>
      </w:r>
      <w:r>
        <w:rPr>
          <w:rFonts w:ascii="宋体" w:hAnsi="宋体" w:eastAsia="宋体" w:cs="宋体"/>
          <w:spacing w:val="-7"/>
          <w:sz w:val="24"/>
          <w:szCs w:val="24"/>
        </w:rPr>
        <w:t>基坑排水强度约为</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2m</w:t>
      </w:r>
      <w:r>
        <w:rPr>
          <w:rFonts w:ascii="Times New Roman" w:hAnsi="Times New Roman" w:eastAsia="Times New Roman" w:cs="Times New Roman"/>
          <w:spacing w:val="-7"/>
          <w:position w:val="8"/>
          <w:sz w:val="15"/>
          <w:szCs w:val="15"/>
        </w:rPr>
        <w:t>3</w:t>
      </w:r>
      <w:r>
        <w:rPr>
          <w:rFonts w:ascii="Times New Roman" w:hAnsi="Times New Roman" w:eastAsia="Times New Roman" w:cs="Times New Roman"/>
          <w:spacing w:val="-7"/>
          <w:sz w:val="24"/>
          <w:szCs w:val="24"/>
        </w:rPr>
        <w:t>/h</w:t>
      </w:r>
      <w:r>
        <w:rPr>
          <w:rFonts w:ascii="Times New Roman" w:hAnsi="Times New Roman" w:eastAsia="Times New Roman" w:cs="Times New Roman"/>
          <w:spacing w:val="-27"/>
          <w:sz w:val="24"/>
          <w:szCs w:val="24"/>
        </w:rPr>
        <w:t xml:space="preserve"> </w:t>
      </w:r>
      <w:r>
        <w:rPr>
          <w:rFonts w:ascii="宋体" w:hAnsi="宋体" w:eastAsia="宋体" w:cs="宋体"/>
          <w:spacing w:val="-7"/>
          <w:sz w:val="24"/>
          <w:szCs w:val="24"/>
        </w:rPr>
        <w:t>。基坑排水设置</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个沉淀池， 沉淀池为混凝土结构，</w:t>
      </w:r>
      <w:r>
        <w:rPr>
          <w:rFonts w:ascii="宋体" w:hAnsi="宋体" w:eastAsia="宋体" w:cs="宋体"/>
          <w:spacing w:val="-28"/>
          <w:sz w:val="24"/>
          <w:szCs w:val="24"/>
        </w:rPr>
        <w:t xml:space="preserve"> </w:t>
      </w:r>
      <w:r>
        <w:rPr>
          <w:rFonts w:ascii="宋体" w:hAnsi="宋体" w:eastAsia="宋体" w:cs="宋体"/>
          <w:spacing w:val="-8"/>
          <w:sz w:val="24"/>
          <w:szCs w:val="24"/>
        </w:rPr>
        <w:t>采</w:t>
      </w:r>
      <w:r>
        <w:rPr>
          <w:rFonts w:ascii="宋体" w:hAnsi="宋体" w:eastAsia="宋体" w:cs="宋体"/>
          <w:sz w:val="24"/>
          <w:szCs w:val="24"/>
        </w:rPr>
        <w:t xml:space="preserve"> </w:t>
      </w:r>
      <w:r>
        <w:rPr>
          <w:rFonts w:ascii="宋体" w:hAnsi="宋体" w:eastAsia="宋体" w:cs="宋体"/>
          <w:spacing w:val="-1"/>
          <w:sz w:val="24"/>
          <w:szCs w:val="24"/>
        </w:rPr>
        <w:t xml:space="preserve">用三级沉淀处理，总容积 </w:t>
      </w:r>
      <w:r>
        <w:rPr>
          <w:rFonts w:ascii="Times New Roman" w:hAnsi="Times New Roman" w:eastAsia="Times New Roman" w:cs="Times New Roman"/>
          <w:spacing w:val="-1"/>
          <w:sz w:val="24"/>
          <w:szCs w:val="24"/>
        </w:rPr>
        <w:t>50m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4"/>
          <w:szCs w:val="24"/>
        </w:rPr>
        <w:t>。基坑排水经沉淀处理后回用于混凝</w:t>
      </w:r>
      <w:r>
        <w:rPr>
          <w:rFonts w:ascii="宋体" w:hAnsi="宋体" w:eastAsia="宋体" w:cs="宋体"/>
          <w:spacing w:val="-2"/>
          <w:sz w:val="24"/>
          <w:szCs w:val="24"/>
        </w:rPr>
        <w:t>土拌合、洒</w:t>
      </w:r>
    </w:p>
    <w:p>
      <w:pPr>
        <w:spacing w:line="219" w:lineRule="auto"/>
        <w:ind w:left="42"/>
        <w:rPr>
          <w:rFonts w:ascii="宋体" w:hAnsi="宋体" w:eastAsia="宋体" w:cs="宋体"/>
          <w:sz w:val="24"/>
          <w:szCs w:val="24"/>
        </w:rPr>
      </w:pPr>
      <w:r>
        <w:rPr>
          <w:rFonts w:ascii="宋体" w:hAnsi="宋体" w:eastAsia="宋体" w:cs="宋体"/>
          <w:spacing w:val="-1"/>
          <w:sz w:val="24"/>
          <w:szCs w:val="24"/>
        </w:rPr>
        <w:t>水降尘及其他施工用水，不外排，对下游地表水环境影响小。</w:t>
      </w:r>
    </w:p>
    <w:p>
      <w:pPr>
        <w:spacing w:before="105" w:line="217" w:lineRule="auto"/>
        <w:ind w:left="517"/>
        <w:rPr>
          <w:rFonts w:ascii="宋体" w:hAnsi="宋体" w:eastAsia="宋体" w:cs="宋体"/>
          <w:sz w:val="24"/>
          <w:szCs w:val="24"/>
        </w:rPr>
      </w:pPr>
      <w:r>
        <w:rPr>
          <w:rFonts w:ascii="宋体" w:hAnsi="宋体" w:eastAsia="宋体" w:cs="宋体"/>
          <w:spacing w:val="-2"/>
          <w:sz w:val="24"/>
          <w:szCs w:val="24"/>
        </w:rPr>
        <w:t>⑤施工生活污水</w:t>
      </w:r>
    </w:p>
    <w:p>
      <w:pPr>
        <w:spacing w:before="262" w:line="360" w:lineRule="auto"/>
        <w:ind w:left="40" w:right="58" w:firstLine="486"/>
        <w:rPr>
          <w:rFonts w:ascii="宋体" w:hAnsi="宋体" w:eastAsia="宋体" w:cs="宋体"/>
          <w:sz w:val="24"/>
          <w:szCs w:val="24"/>
        </w:rPr>
      </w:pPr>
      <w:r>
        <w:rPr>
          <w:rFonts w:ascii="宋体" w:hAnsi="宋体" w:eastAsia="宋体" w:cs="宋体"/>
          <w:spacing w:val="-1"/>
          <w:sz w:val="24"/>
          <w:szCs w:val="24"/>
        </w:rPr>
        <w:t xml:space="preserve">枢纽区施工生活区、砂石料场生活区分别设置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9"/>
          <w:sz w:val="24"/>
          <w:szCs w:val="24"/>
        </w:rPr>
        <w:t xml:space="preserve"> </w:t>
      </w:r>
      <w:r>
        <w:rPr>
          <w:rFonts w:ascii="宋体" w:hAnsi="宋体" w:eastAsia="宋体" w:cs="宋体"/>
          <w:spacing w:val="-1"/>
          <w:sz w:val="24"/>
          <w:szCs w:val="24"/>
        </w:rPr>
        <w:t xml:space="preserve">个隔油池和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8"/>
          <w:w w:val="101"/>
          <w:sz w:val="24"/>
          <w:szCs w:val="24"/>
        </w:rPr>
        <w:t xml:space="preserve"> </w:t>
      </w:r>
      <w:r>
        <w:rPr>
          <w:rFonts w:ascii="宋体" w:hAnsi="宋体" w:eastAsia="宋体" w:cs="宋体"/>
          <w:spacing w:val="-2"/>
          <w:sz w:val="24"/>
          <w:szCs w:val="24"/>
        </w:rPr>
        <w:t>个化粪池，</w:t>
      </w:r>
      <w:r>
        <w:rPr>
          <w:rFonts w:ascii="宋体" w:hAnsi="宋体" w:eastAsia="宋体" w:cs="宋体"/>
          <w:sz w:val="24"/>
          <w:szCs w:val="24"/>
        </w:rPr>
        <w:t xml:space="preserve"> </w:t>
      </w:r>
      <w:r>
        <w:rPr>
          <w:rFonts w:ascii="宋体" w:hAnsi="宋体" w:eastAsia="宋体" w:cs="宋体"/>
          <w:spacing w:val="-12"/>
          <w:sz w:val="24"/>
          <w:szCs w:val="24"/>
        </w:rPr>
        <w:t>隔油池容积</w:t>
      </w:r>
      <w:r>
        <w:rPr>
          <w:rFonts w:ascii="宋体" w:hAnsi="宋体" w:eastAsia="宋体" w:cs="宋体"/>
          <w:spacing w:val="-27"/>
          <w:sz w:val="24"/>
          <w:szCs w:val="24"/>
        </w:rPr>
        <w:t xml:space="preserve"> </w:t>
      </w:r>
      <w:r>
        <w:rPr>
          <w:rFonts w:ascii="Times New Roman" w:hAnsi="Times New Roman" w:eastAsia="Times New Roman" w:cs="Times New Roman"/>
          <w:spacing w:val="-12"/>
          <w:sz w:val="24"/>
          <w:szCs w:val="24"/>
        </w:rPr>
        <w:t>1m</w:t>
      </w:r>
      <w:r>
        <w:rPr>
          <w:rFonts w:ascii="Times New Roman" w:hAnsi="Times New Roman" w:eastAsia="Times New Roman" w:cs="Times New Roman"/>
          <w:spacing w:val="-11"/>
          <w:position w:val="8"/>
          <w:sz w:val="15"/>
          <w:szCs w:val="15"/>
        </w:rPr>
        <w:t>3</w:t>
      </w:r>
      <w:r>
        <w:rPr>
          <w:rFonts w:ascii="宋体" w:hAnsi="宋体" w:eastAsia="宋体" w:cs="宋体"/>
          <w:spacing w:val="-11"/>
          <w:sz w:val="24"/>
          <w:szCs w:val="24"/>
        </w:rPr>
        <w:t>，化粪池采用三格化粪池，混凝土结构，容积</w:t>
      </w:r>
      <w:r>
        <w:rPr>
          <w:rFonts w:ascii="宋体" w:hAnsi="宋体" w:eastAsia="宋体" w:cs="宋体"/>
          <w:spacing w:val="-62"/>
          <w:sz w:val="24"/>
          <w:szCs w:val="24"/>
        </w:rPr>
        <w:t xml:space="preserve"> </w:t>
      </w:r>
      <w:r>
        <w:rPr>
          <w:rFonts w:ascii="Times New Roman" w:hAnsi="Times New Roman" w:eastAsia="Times New Roman" w:cs="Times New Roman"/>
          <w:spacing w:val="-11"/>
          <w:sz w:val="24"/>
          <w:szCs w:val="24"/>
        </w:rPr>
        <w:t>30m</w:t>
      </w:r>
      <w:r>
        <w:rPr>
          <w:rFonts w:ascii="Times New Roman" w:hAnsi="Times New Roman" w:eastAsia="Times New Roman" w:cs="Times New Roman"/>
          <w:spacing w:val="-11"/>
          <w:position w:val="8"/>
          <w:sz w:val="15"/>
          <w:szCs w:val="15"/>
        </w:rPr>
        <w:t xml:space="preserve">3 </w:t>
      </w:r>
      <w:r>
        <w:rPr>
          <w:rFonts w:ascii="宋体" w:hAnsi="宋体" w:eastAsia="宋体" w:cs="宋体"/>
          <w:spacing w:val="-11"/>
          <w:sz w:val="24"/>
          <w:szCs w:val="24"/>
        </w:rPr>
        <w:t>。生活污水进入</w:t>
      </w:r>
      <w:r>
        <w:rPr>
          <w:rFonts w:ascii="宋体" w:hAnsi="宋体" w:eastAsia="宋体" w:cs="宋体"/>
          <w:sz w:val="24"/>
          <w:szCs w:val="24"/>
        </w:rPr>
        <w:t xml:space="preserve"> </w:t>
      </w:r>
      <w:r>
        <w:rPr>
          <w:rFonts w:ascii="宋体" w:hAnsi="宋体" w:eastAsia="宋体" w:cs="宋体"/>
          <w:spacing w:val="-9"/>
          <w:sz w:val="24"/>
          <w:szCs w:val="24"/>
        </w:rPr>
        <w:t>化粪池处理，并雇用当地村民定期清运用作农业肥料，</w:t>
      </w:r>
      <w:r>
        <w:rPr>
          <w:rFonts w:ascii="宋体" w:hAnsi="宋体" w:eastAsia="宋体" w:cs="宋体"/>
          <w:spacing w:val="-10"/>
          <w:sz w:val="24"/>
          <w:szCs w:val="24"/>
        </w:rPr>
        <w:t>生活污水不外排。施工生活</w:t>
      </w:r>
    </w:p>
    <w:p>
      <w:pPr>
        <w:spacing w:before="1" w:line="219" w:lineRule="auto"/>
        <w:ind w:left="41"/>
        <w:rPr>
          <w:rFonts w:ascii="宋体" w:hAnsi="宋体" w:eastAsia="宋体" w:cs="宋体"/>
          <w:sz w:val="24"/>
          <w:szCs w:val="24"/>
        </w:rPr>
      </w:pPr>
      <w:r>
        <w:rPr>
          <w:rFonts w:ascii="宋体" w:hAnsi="宋体" w:eastAsia="宋体" w:cs="宋体"/>
          <w:spacing w:val="-10"/>
          <w:sz w:val="24"/>
          <w:szCs w:val="24"/>
        </w:rPr>
        <w:t>污水对周围地表水环境影响小。</w:t>
      </w:r>
    </w:p>
    <w:p>
      <w:pPr>
        <w:spacing w:before="105" w:line="217" w:lineRule="auto"/>
        <w:ind w:left="517"/>
        <w:rPr>
          <w:rFonts w:ascii="宋体" w:hAnsi="宋体" w:eastAsia="宋体" w:cs="宋体"/>
          <w:sz w:val="24"/>
          <w:szCs w:val="24"/>
        </w:rPr>
      </w:pPr>
      <w:r>
        <w:rPr>
          <w:rFonts w:ascii="宋体" w:hAnsi="宋体" w:eastAsia="宋体" w:cs="宋体"/>
          <w:spacing w:val="-2"/>
          <w:sz w:val="24"/>
          <w:szCs w:val="24"/>
        </w:rPr>
        <w:t>⑥隧道施工涌水</w:t>
      </w:r>
    </w:p>
    <w:p>
      <w:pPr>
        <w:spacing w:before="262" w:line="468" w:lineRule="exact"/>
        <w:ind w:left="527"/>
        <w:rPr>
          <w:rFonts w:ascii="宋体" w:hAnsi="宋体" w:eastAsia="宋体" w:cs="宋体"/>
          <w:sz w:val="24"/>
          <w:szCs w:val="24"/>
        </w:rPr>
      </w:pPr>
      <w:r>
        <w:rPr>
          <w:rFonts w:ascii="宋体" w:hAnsi="宋体" w:eastAsia="宋体" w:cs="宋体"/>
          <w:spacing w:val="4"/>
          <w:position w:val="17"/>
          <w:sz w:val="24"/>
          <w:szCs w:val="24"/>
        </w:rPr>
        <w:t>根据计算，马茨河隧洞、六姑乍箐隧洞、独格里排隧洞施工过程</w:t>
      </w:r>
      <w:r>
        <w:rPr>
          <w:rFonts w:ascii="宋体" w:hAnsi="宋体" w:eastAsia="宋体" w:cs="宋体"/>
          <w:spacing w:val="3"/>
          <w:position w:val="17"/>
          <w:sz w:val="24"/>
          <w:szCs w:val="24"/>
        </w:rPr>
        <w:t>会产生涌</w:t>
      </w:r>
    </w:p>
    <w:p>
      <w:pPr>
        <w:spacing w:before="1" w:line="219" w:lineRule="auto"/>
        <w:ind w:left="42"/>
        <w:rPr>
          <w:rFonts w:ascii="宋体" w:hAnsi="宋体" w:eastAsia="宋体" w:cs="宋体"/>
          <w:sz w:val="24"/>
          <w:szCs w:val="24"/>
        </w:rPr>
      </w:pPr>
      <w:r>
        <w:rPr>
          <w:rFonts w:ascii="宋体" w:hAnsi="宋体" w:eastAsia="宋体" w:cs="宋体"/>
          <w:spacing w:val="-9"/>
          <w:sz w:val="24"/>
          <w:szCs w:val="24"/>
        </w:rPr>
        <w:t>水，</w:t>
      </w:r>
      <w:r>
        <w:rPr>
          <w:rFonts w:ascii="宋体" w:hAnsi="宋体" w:eastAsia="宋体" w:cs="宋体"/>
          <w:spacing w:val="-20"/>
          <w:sz w:val="24"/>
          <w:szCs w:val="24"/>
        </w:rPr>
        <w:t xml:space="preserve"> </w:t>
      </w:r>
      <w:r>
        <w:rPr>
          <w:rFonts w:ascii="宋体" w:hAnsi="宋体" w:eastAsia="宋体" w:cs="宋体"/>
          <w:spacing w:val="-9"/>
          <w:sz w:val="24"/>
          <w:szCs w:val="24"/>
        </w:rPr>
        <w:t>主要污染物为</w:t>
      </w:r>
      <w:r>
        <w:rPr>
          <w:rFonts w:ascii="宋体" w:hAnsi="宋体" w:eastAsia="宋体" w:cs="宋体"/>
          <w:spacing w:val="-38"/>
          <w:sz w:val="24"/>
          <w:szCs w:val="24"/>
        </w:rPr>
        <w:t xml:space="preserve"> </w:t>
      </w:r>
      <w:r>
        <w:rPr>
          <w:rFonts w:ascii="Times New Roman" w:hAnsi="Times New Roman" w:eastAsia="Times New Roman" w:cs="Times New Roman"/>
          <w:spacing w:val="-9"/>
          <w:sz w:val="24"/>
          <w:szCs w:val="24"/>
        </w:rPr>
        <w:t>SS</w:t>
      </w:r>
      <w:r>
        <w:rPr>
          <w:rFonts w:ascii="宋体" w:hAnsi="宋体" w:eastAsia="宋体" w:cs="宋体"/>
          <w:spacing w:val="-9"/>
          <w:sz w:val="24"/>
          <w:szCs w:val="24"/>
        </w:rPr>
        <w:t>。</w:t>
      </w:r>
    </w:p>
    <w:p>
      <w:pPr>
        <w:spacing w:before="183" w:line="360" w:lineRule="auto"/>
        <w:ind w:left="42" w:firstLine="489"/>
        <w:rPr>
          <w:rFonts w:ascii="宋体" w:hAnsi="宋体" w:eastAsia="宋体" w:cs="宋体"/>
          <w:sz w:val="24"/>
          <w:szCs w:val="24"/>
        </w:rPr>
      </w:pPr>
      <w:r>
        <w:rPr>
          <w:rFonts w:ascii="宋体" w:hAnsi="宋体" w:eastAsia="宋体" w:cs="宋体"/>
          <w:spacing w:val="-6"/>
          <w:sz w:val="24"/>
          <w:szCs w:val="24"/>
        </w:rPr>
        <w:t>隧洞涌水经沉淀池处理后外排，</w:t>
      </w:r>
      <w:r>
        <w:rPr>
          <w:rFonts w:ascii="宋体" w:hAnsi="宋体" w:eastAsia="宋体" w:cs="宋体"/>
          <w:spacing w:val="-31"/>
          <w:sz w:val="24"/>
          <w:szCs w:val="24"/>
        </w:rPr>
        <w:t xml:space="preserve"> </w:t>
      </w:r>
      <w:r>
        <w:rPr>
          <w:rFonts w:ascii="宋体" w:hAnsi="宋体" w:eastAsia="宋体" w:cs="宋体"/>
          <w:spacing w:val="-6"/>
          <w:sz w:val="24"/>
          <w:szCs w:val="24"/>
        </w:rPr>
        <w:t>因六苴河流域属于</w:t>
      </w:r>
      <w:r>
        <w:rPr>
          <w:rFonts w:ascii="宋体" w:hAnsi="宋体" w:eastAsia="宋体" w:cs="宋体"/>
          <w:spacing w:val="-7"/>
          <w:sz w:val="24"/>
          <w:szCs w:val="24"/>
        </w:rPr>
        <w:t>蜻蛉河大姚</w:t>
      </w:r>
      <w:r>
        <w:rPr>
          <w:rFonts w:ascii="Times New Roman" w:hAnsi="Times New Roman" w:eastAsia="Times New Roman" w:cs="Times New Roman"/>
          <w:spacing w:val="-7"/>
          <w:sz w:val="24"/>
          <w:szCs w:val="24"/>
        </w:rPr>
        <w:t>-</w:t>
      </w:r>
      <w:r>
        <w:rPr>
          <w:rFonts w:ascii="宋体" w:hAnsi="宋体" w:eastAsia="宋体" w:cs="宋体"/>
          <w:spacing w:val="-7"/>
          <w:sz w:val="24"/>
          <w:szCs w:val="24"/>
        </w:rPr>
        <w:t>元谋保留区，</w:t>
      </w:r>
      <w:r>
        <w:rPr>
          <w:rFonts w:ascii="宋体" w:hAnsi="宋体" w:eastAsia="宋体" w:cs="宋体"/>
          <w:sz w:val="24"/>
          <w:szCs w:val="24"/>
        </w:rPr>
        <w:t xml:space="preserve"> </w:t>
      </w:r>
      <w:r>
        <w:rPr>
          <w:rFonts w:ascii="宋体" w:hAnsi="宋体" w:eastAsia="宋体" w:cs="宋体"/>
          <w:spacing w:val="-8"/>
          <w:sz w:val="24"/>
          <w:szCs w:val="24"/>
        </w:rPr>
        <w:t>水质目类别Ⅱ类，禁止新建排污口，同时涌水量大，</w:t>
      </w:r>
      <w:r>
        <w:rPr>
          <w:rFonts w:ascii="宋体" w:hAnsi="宋体" w:eastAsia="宋体" w:cs="宋体"/>
          <w:spacing w:val="52"/>
          <w:sz w:val="24"/>
          <w:szCs w:val="24"/>
        </w:rPr>
        <w:t xml:space="preserve"> </w:t>
      </w:r>
      <w:r>
        <w:rPr>
          <w:rFonts w:ascii="宋体" w:hAnsi="宋体" w:eastAsia="宋体" w:cs="宋体"/>
          <w:spacing w:val="-8"/>
          <w:sz w:val="24"/>
          <w:szCs w:val="24"/>
        </w:rPr>
        <w:t>无法全部回用，环评提出将</w:t>
      </w:r>
    </w:p>
    <w:p>
      <w:pPr>
        <w:spacing w:before="1" w:line="219" w:lineRule="auto"/>
        <w:ind w:left="51"/>
        <w:rPr>
          <w:rFonts w:ascii="宋体" w:hAnsi="宋体" w:eastAsia="宋体" w:cs="宋体"/>
          <w:sz w:val="24"/>
          <w:szCs w:val="24"/>
        </w:rPr>
      </w:pPr>
      <w:r>
        <w:rPr>
          <w:rFonts w:ascii="宋体" w:hAnsi="宋体" w:eastAsia="宋体" w:cs="宋体"/>
          <w:spacing w:val="-2"/>
          <w:sz w:val="24"/>
          <w:szCs w:val="24"/>
        </w:rPr>
        <w:t>隧洞涌水抽至桂花河流域排放。</w:t>
      </w:r>
    </w:p>
    <w:p>
      <w:pPr>
        <w:spacing w:before="182" w:line="220" w:lineRule="auto"/>
        <w:ind w:left="531"/>
        <w:rPr>
          <w:rFonts w:ascii="宋体" w:hAnsi="宋体" w:eastAsia="宋体" w:cs="宋体"/>
          <w:sz w:val="24"/>
          <w:szCs w:val="24"/>
        </w:rPr>
      </w:pPr>
      <w:r>
        <w:rPr>
          <w:rFonts w:ascii="宋体" w:hAnsi="宋体" w:eastAsia="宋体" w:cs="宋体"/>
          <w:spacing w:val="-3"/>
          <w:sz w:val="24"/>
          <w:szCs w:val="24"/>
        </w:rPr>
        <w:t>隧洞施工涌水产生及处置情况见表</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4.2-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202" w:line="220" w:lineRule="auto"/>
        <w:ind w:left="2269"/>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45"/>
          <w:sz w:val="21"/>
          <w:szCs w:val="21"/>
        </w:rPr>
        <w:t xml:space="preserve"> </w:t>
      </w:r>
      <w:r>
        <w:rPr>
          <w:rFonts w:ascii="Times New Roman" w:hAnsi="Times New Roman" w:eastAsia="Times New Roman" w:cs="Times New Roman"/>
          <w:b/>
          <w:bCs/>
          <w:sz w:val="21"/>
          <w:szCs w:val="21"/>
        </w:rPr>
        <w:t xml:space="preserve">4.2-1    </w:t>
      </w:r>
      <w:r>
        <w:rPr>
          <w:rFonts w:ascii="宋体" w:hAnsi="宋体" w:eastAsia="宋体" w:cs="宋体"/>
          <w:sz w:val="21"/>
          <w:szCs w:val="21"/>
          <w14:textOutline w14:w="3810" w14:cap="flat" w14:cmpd="sng">
            <w14:solidFill>
              <w14:srgbClr w14:val="000000"/>
            </w14:solidFill>
            <w14:prstDash w14:val="solid"/>
            <w14:miter w14:val="0"/>
          </w14:textOutline>
        </w:rPr>
        <w:t>隧洞施工涌水产生及处</w:t>
      </w:r>
      <w:r>
        <w:rPr>
          <w:rFonts w:ascii="宋体" w:hAnsi="宋体" w:eastAsia="宋体" w:cs="宋体"/>
          <w:spacing w:val="-1"/>
          <w:sz w:val="21"/>
          <w:szCs w:val="21"/>
          <w14:textOutline w14:w="3810" w14:cap="flat" w14:cmpd="sng">
            <w14:solidFill>
              <w14:srgbClr w14:val="000000"/>
            </w14:solidFill>
            <w14:prstDash w14:val="solid"/>
            <w14:miter w14:val="0"/>
          </w14:textOutline>
        </w:rPr>
        <w:t>置情况表</w:t>
      </w:r>
    </w:p>
    <w:p>
      <w:pPr>
        <w:spacing w:line="53" w:lineRule="auto"/>
        <w:rPr>
          <w:rFonts w:ascii="Arial"/>
          <w:sz w:val="2"/>
        </w:rPr>
      </w:pPr>
    </w:p>
    <w:tbl>
      <w:tblPr>
        <w:tblStyle w:val="5"/>
        <w:tblW w:w="8307"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8"/>
        <w:gridCol w:w="1704"/>
        <w:gridCol w:w="1700"/>
        <w:gridCol w:w="2451"/>
        <w:gridCol w:w="8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558" w:type="dxa"/>
            <w:tcBorders>
              <w:top w:val="single" w:color="000000" w:sz="12" w:space="0"/>
              <w:left w:val="nil"/>
              <w:bottom w:val="single" w:color="000000" w:sz="4" w:space="0"/>
            </w:tcBorders>
            <w:vAlign w:val="top"/>
          </w:tcPr>
          <w:p>
            <w:pPr>
              <w:spacing w:before="51" w:line="217" w:lineRule="auto"/>
              <w:ind w:left="36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涌水隧洞</w:t>
            </w:r>
          </w:p>
        </w:tc>
        <w:tc>
          <w:tcPr>
            <w:tcW w:w="1704" w:type="dxa"/>
            <w:tcBorders>
              <w:top w:val="single" w:color="000000" w:sz="12" w:space="0"/>
              <w:bottom w:val="single" w:color="000000" w:sz="4" w:space="0"/>
            </w:tcBorders>
            <w:vAlign w:val="top"/>
          </w:tcPr>
          <w:p>
            <w:pPr>
              <w:pStyle w:val="6"/>
              <w:spacing w:before="51" w:line="225" w:lineRule="auto"/>
              <w:ind w:left="126"/>
              <w:rPr>
                <w:rFonts w:ascii="仿宋" w:hAnsi="仿宋" w:eastAsia="仿宋" w:cs="仿宋"/>
              </w:rPr>
            </w:pPr>
            <w:r>
              <w:rPr>
                <w:rFonts w:ascii="仿宋" w:hAnsi="仿宋" w:eastAsia="仿宋" w:cs="仿宋"/>
                <w:spacing w:val="-2"/>
                <w14:textOutline w14:w="3810" w14:cap="flat" w14:cmpd="sng">
                  <w14:solidFill>
                    <w14:srgbClr w14:val="000000"/>
                  </w14:solidFill>
                  <w14:prstDash w14:val="solid"/>
                  <w14:miter w14:val="0"/>
                </w14:textOutline>
              </w:rPr>
              <w:t>涌水量（</w:t>
            </w:r>
            <w:r>
              <w:rPr>
                <w:b/>
                <w:bCs/>
                <w:spacing w:val="-2"/>
              </w:rPr>
              <w:t>m</w:t>
            </w:r>
            <w:r>
              <w:rPr>
                <w:b/>
                <w:bCs/>
                <w:spacing w:val="-2"/>
                <w:position w:val="6"/>
                <w:sz w:val="14"/>
                <w:szCs w:val="14"/>
              </w:rPr>
              <w:t>3</w:t>
            </w:r>
            <w:r>
              <w:rPr>
                <w:b/>
                <w:bCs/>
                <w:spacing w:val="-2"/>
              </w:rPr>
              <w:t>/d</w:t>
            </w:r>
            <w:r>
              <w:rPr>
                <w:rFonts w:ascii="仿宋" w:hAnsi="仿宋" w:eastAsia="仿宋" w:cs="仿宋"/>
                <w:spacing w:val="-2"/>
                <w14:textOutline w14:w="3810" w14:cap="flat" w14:cmpd="sng">
                  <w14:solidFill>
                    <w14:srgbClr w14:val="000000"/>
                  </w14:solidFill>
                  <w14:prstDash w14:val="solid"/>
                  <w14:miter w14:val="0"/>
                </w14:textOutline>
              </w:rPr>
              <w:t>）</w:t>
            </w:r>
          </w:p>
        </w:tc>
        <w:tc>
          <w:tcPr>
            <w:tcW w:w="1700" w:type="dxa"/>
            <w:tcBorders>
              <w:top w:val="single" w:color="000000" w:sz="12" w:space="0"/>
              <w:bottom w:val="single" w:color="000000" w:sz="4" w:space="0"/>
            </w:tcBorders>
            <w:vAlign w:val="top"/>
          </w:tcPr>
          <w:p>
            <w:pPr>
              <w:spacing w:before="50" w:line="217" w:lineRule="auto"/>
              <w:ind w:left="439"/>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环保措施</w:t>
            </w:r>
          </w:p>
        </w:tc>
        <w:tc>
          <w:tcPr>
            <w:tcW w:w="2451" w:type="dxa"/>
            <w:tcBorders>
              <w:top w:val="single" w:color="000000" w:sz="12" w:space="0"/>
              <w:bottom w:val="single" w:color="000000" w:sz="4" w:space="0"/>
            </w:tcBorders>
            <w:vAlign w:val="top"/>
          </w:tcPr>
          <w:p>
            <w:pPr>
              <w:spacing w:before="50" w:line="219" w:lineRule="auto"/>
              <w:ind w:left="81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措施规模</w:t>
            </w:r>
          </w:p>
        </w:tc>
        <w:tc>
          <w:tcPr>
            <w:tcW w:w="894" w:type="dxa"/>
            <w:tcBorders>
              <w:top w:val="single" w:color="000000" w:sz="12" w:space="0"/>
              <w:bottom w:val="single" w:color="000000" w:sz="4" w:space="0"/>
              <w:right w:val="nil"/>
            </w:tcBorders>
            <w:vAlign w:val="top"/>
          </w:tcPr>
          <w:p>
            <w:pPr>
              <w:spacing w:before="51" w:line="218" w:lineRule="auto"/>
              <w:ind w:left="36"/>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排放去向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56" w:hRule="atLeast"/>
        </w:trPr>
        <w:tc>
          <w:tcPr>
            <w:tcW w:w="1558" w:type="dxa"/>
            <w:tcBorders>
              <w:top w:val="single" w:color="000000" w:sz="4" w:space="0"/>
              <w:left w:val="nil"/>
              <w:bottom w:val="single" w:color="000000" w:sz="4" w:space="0"/>
            </w:tcBorders>
            <w:vAlign w:val="top"/>
          </w:tcPr>
          <w:p>
            <w:pPr>
              <w:spacing w:line="302" w:lineRule="auto"/>
              <w:rPr>
                <w:rFonts w:ascii="Arial"/>
                <w:sz w:val="21"/>
              </w:rPr>
            </w:pPr>
          </w:p>
          <w:p>
            <w:pPr>
              <w:spacing w:line="302" w:lineRule="auto"/>
              <w:rPr>
                <w:rFonts w:ascii="Arial"/>
                <w:sz w:val="21"/>
              </w:rPr>
            </w:pPr>
          </w:p>
          <w:p>
            <w:pPr>
              <w:spacing w:before="68" w:line="217" w:lineRule="auto"/>
              <w:ind w:left="268"/>
              <w:rPr>
                <w:rFonts w:ascii="仿宋" w:hAnsi="仿宋" w:eastAsia="仿宋" w:cs="仿宋"/>
                <w:sz w:val="21"/>
                <w:szCs w:val="21"/>
              </w:rPr>
            </w:pPr>
            <w:r>
              <w:rPr>
                <w:rFonts w:ascii="仿宋" w:hAnsi="仿宋" w:eastAsia="仿宋" w:cs="仿宋"/>
                <w:spacing w:val="-3"/>
                <w:sz w:val="21"/>
                <w:szCs w:val="21"/>
              </w:rPr>
              <w:t>马茨河隧洞</w:t>
            </w:r>
          </w:p>
        </w:tc>
        <w:tc>
          <w:tcPr>
            <w:tcW w:w="1704" w:type="dxa"/>
            <w:tcBorders>
              <w:top w:val="single" w:color="000000" w:sz="4" w:space="0"/>
              <w:bottom w:val="single" w:color="000000" w:sz="4" w:space="0"/>
            </w:tcBorders>
            <w:vAlign w:val="top"/>
          </w:tcPr>
          <w:p>
            <w:pPr>
              <w:spacing w:line="323" w:lineRule="auto"/>
              <w:rPr>
                <w:rFonts w:ascii="Arial"/>
                <w:sz w:val="21"/>
              </w:rPr>
            </w:pPr>
          </w:p>
          <w:p>
            <w:pPr>
              <w:spacing w:line="324" w:lineRule="auto"/>
              <w:rPr>
                <w:rFonts w:ascii="Arial"/>
                <w:sz w:val="21"/>
              </w:rPr>
            </w:pPr>
          </w:p>
          <w:p>
            <w:pPr>
              <w:pStyle w:val="6"/>
              <w:spacing w:before="61" w:line="188" w:lineRule="auto"/>
              <w:ind w:left="568"/>
            </w:pPr>
            <w:r>
              <w:rPr>
                <w:spacing w:val="-2"/>
              </w:rPr>
              <w:t>6632.4</w:t>
            </w:r>
          </w:p>
        </w:tc>
        <w:tc>
          <w:tcPr>
            <w:tcW w:w="1700" w:type="dxa"/>
            <w:tcBorders>
              <w:top w:val="single" w:color="000000" w:sz="4" w:space="0"/>
              <w:bottom w:val="single" w:color="000000" w:sz="4" w:space="0"/>
            </w:tcBorders>
            <w:vAlign w:val="top"/>
          </w:tcPr>
          <w:p>
            <w:pPr>
              <w:pStyle w:val="6"/>
              <w:spacing w:before="51" w:line="233" w:lineRule="auto"/>
              <w:ind w:left="72"/>
              <w:rPr>
                <w:rFonts w:ascii="仿宋" w:hAnsi="仿宋" w:eastAsia="仿宋" w:cs="仿宋"/>
              </w:rPr>
            </w:pPr>
            <w:r>
              <w:rPr>
                <w:rFonts w:ascii="仿宋" w:hAnsi="仿宋" w:eastAsia="仿宋" w:cs="仿宋"/>
                <w:spacing w:val="-3"/>
              </w:rPr>
              <w:t>三级沉淀池</w:t>
            </w:r>
            <w:r>
              <w:rPr>
                <w:spacing w:val="-3"/>
              </w:rPr>
              <w:t>+</w:t>
            </w:r>
            <w:r>
              <w:rPr>
                <w:rFonts w:ascii="仿宋" w:hAnsi="仿宋" w:eastAsia="仿宋" w:cs="仿宋"/>
                <w:spacing w:val="-3"/>
              </w:rPr>
              <w:t>水泵</w:t>
            </w:r>
          </w:p>
          <w:p>
            <w:pPr>
              <w:pStyle w:val="6"/>
              <w:spacing w:before="47" w:line="232" w:lineRule="auto"/>
              <w:ind w:left="56"/>
              <w:rPr>
                <w:rFonts w:ascii="仿宋" w:hAnsi="仿宋" w:eastAsia="仿宋" w:cs="仿宋"/>
              </w:rPr>
            </w:pPr>
            <w:r>
              <w:rPr>
                <w:spacing w:val="-5"/>
              </w:rPr>
              <w:t>+</w:t>
            </w:r>
            <w:r>
              <w:rPr>
                <w:rFonts w:ascii="仿宋" w:hAnsi="仿宋" w:eastAsia="仿宋" w:cs="仿宋"/>
                <w:spacing w:val="-5"/>
              </w:rPr>
              <w:t>排水管道，进口</w:t>
            </w:r>
          </w:p>
          <w:p>
            <w:pPr>
              <w:pStyle w:val="6"/>
              <w:spacing w:before="48" w:line="231" w:lineRule="auto"/>
              <w:ind w:left="20"/>
              <w:rPr>
                <w:rFonts w:ascii="仿宋" w:hAnsi="仿宋" w:eastAsia="仿宋" w:cs="仿宋"/>
              </w:rPr>
            </w:pPr>
            <w:r>
              <w:rPr>
                <w:rFonts w:ascii="仿宋" w:hAnsi="仿宋" w:eastAsia="仿宋" w:cs="仿宋"/>
                <w:spacing w:val="-2"/>
              </w:rPr>
              <w:t>和</w:t>
            </w:r>
            <w:r>
              <w:rPr>
                <w:spacing w:val="-2"/>
              </w:rPr>
              <w:t>1#</w:t>
            </w:r>
            <w:r>
              <w:rPr>
                <w:rFonts w:ascii="仿宋" w:hAnsi="仿宋" w:eastAsia="仿宋" w:cs="仿宋"/>
                <w:spacing w:val="-2"/>
              </w:rPr>
              <w:t>支洞涌水经沉</w:t>
            </w:r>
          </w:p>
          <w:p>
            <w:pPr>
              <w:spacing w:before="49" w:line="218" w:lineRule="auto"/>
              <w:ind w:left="26"/>
              <w:rPr>
                <w:rFonts w:ascii="仿宋" w:hAnsi="仿宋" w:eastAsia="仿宋" w:cs="仿宋"/>
                <w:sz w:val="21"/>
                <w:szCs w:val="21"/>
              </w:rPr>
            </w:pPr>
            <w:r>
              <w:rPr>
                <w:rFonts w:ascii="仿宋" w:hAnsi="仿宋" w:eastAsia="仿宋" w:cs="仿宋"/>
                <w:spacing w:val="-3"/>
                <w:sz w:val="21"/>
                <w:szCs w:val="21"/>
              </w:rPr>
              <w:t>淀处理后直接排入</w:t>
            </w:r>
          </w:p>
          <w:p>
            <w:pPr>
              <w:spacing w:before="64" w:line="216" w:lineRule="auto"/>
              <w:ind w:left="550"/>
              <w:rPr>
                <w:rFonts w:ascii="仿宋" w:hAnsi="仿宋" w:eastAsia="仿宋" w:cs="仿宋"/>
                <w:sz w:val="21"/>
                <w:szCs w:val="21"/>
              </w:rPr>
            </w:pPr>
            <w:r>
              <w:rPr>
                <w:rFonts w:ascii="仿宋" w:hAnsi="仿宋" w:eastAsia="仿宋" w:cs="仿宋"/>
                <w:spacing w:val="-5"/>
                <w:sz w:val="21"/>
                <w:szCs w:val="21"/>
              </w:rPr>
              <w:t>马茨河</w:t>
            </w:r>
          </w:p>
        </w:tc>
        <w:tc>
          <w:tcPr>
            <w:tcW w:w="2451" w:type="dxa"/>
            <w:tcBorders>
              <w:top w:val="single" w:color="000000" w:sz="4" w:space="0"/>
              <w:bottom w:val="single" w:color="000000" w:sz="4" w:space="0"/>
            </w:tcBorders>
            <w:vAlign w:val="top"/>
          </w:tcPr>
          <w:p>
            <w:pPr>
              <w:pStyle w:val="6"/>
              <w:spacing w:before="208" w:line="217" w:lineRule="auto"/>
              <w:ind w:left="33"/>
              <w:rPr>
                <w:rFonts w:ascii="仿宋" w:hAnsi="仿宋" w:eastAsia="仿宋" w:cs="仿宋"/>
              </w:rPr>
            </w:pPr>
            <w:r>
              <w:rPr>
                <w:rFonts w:ascii="仿宋" w:hAnsi="仿宋" w:eastAsia="仿宋" w:cs="仿宋"/>
                <w:spacing w:val="-2"/>
              </w:rPr>
              <w:t>沉淀池</w:t>
            </w:r>
            <w:r>
              <w:rPr>
                <w:spacing w:val="-2"/>
              </w:rPr>
              <w:t>4</w:t>
            </w:r>
            <w:r>
              <w:rPr>
                <w:rFonts w:ascii="仿宋" w:hAnsi="仿宋" w:eastAsia="仿宋" w:cs="仿宋"/>
                <w:spacing w:val="-2"/>
              </w:rPr>
              <w:t>个（隧洞进出口各</w:t>
            </w:r>
          </w:p>
          <w:p>
            <w:pPr>
              <w:pStyle w:val="6"/>
              <w:spacing w:before="64" w:line="217" w:lineRule="auto"/>
              <w:ind w:left="196"/>
              <w:rPr>
                <w:rFonts w:ascii="仿宋" w:hAnsi="仿宋" w:eastAsia="仿宋" w:cs="仿宋"/>
              </w:rPr>
            </w:pPr>
            <w:r>
              <w:rPr>
                <w:spacing w:val="-5"/>
              </w:rPr>
              <w:t>1</w:t>
            </w:r>
            <w:r>
              <w:rPr>
                <w:rFonts w:ascii="仿宋" w:hAnsi="仿宋" w:eastAsia="仿宋" w:cs="仿宋"/>
                <w:spacing w:val="-5"/>
              </w:rPr>
              <w:t>个</w:t>
            </w:r>
            <w:r>
              <w:rPr>
                <w:rFonts w:ascii="仿宋" w:hAnsi="仿宋" w:eastAsia="仿宋" w:cs="仿宋"/>
                <w:spacing w:val="-43"/>
              </w:rPr>
              <w:t>），</w:t>
            </w:r>
            <w:r>
              <w:rPr>
                <w:rFonts w:ascii="仿宋" w:hAnsi="仿宋" w:eastAsia="仿宋" w:cs="仿宋"/>
                <w:spacing w:val="-5"/>
              </w:rPr>
              <w:t>沉淀池单个容积</w:t>
            </w:r>
          </w:p>
          <w:p>
            <w:pPr>
              <w:pStyle w:val="6"/>
              <w:spacing w:before="65" w:line="233" w:lineRule="auto"/>
              <w:jc w:val="right"/>
              <w:rPr>
                <w:rFonts w:ascii="仿宋" w:hAnsi="仿宋" w:eastAsia="仿宋" w:cs="仿宋"/>
              </w:rPr>
            </w:pPr>
            <w:r>
              <w:rPr>
                <w:spacing w:val="-6"/>
              </w:rPr>
              <w:t>150m</w:t>
            </w:r>
            <w:r>
              <w:rPr>
                <w:spacing w:val="-6"/>
                <w:position w:val="7"/>
                <w:sz w:val="14"/>
                <w:szCs w:val="14"/>
              </w:rPr>
              <w:t xml:space="preserve">3 </w:t>
            </w:r>
            <w:r>
              <w:rPr>
                <w:rFonts w:ascii="仿宋" w:hAnsi="仿宋" w:eastAsia="仿宋" w:cs="仿宋"/>
                <w:spacing w:val="-6"/>
              </w:rPr>
              <w:t>，沉淀时间</w:t>
            </w:r>
            <w:r>
              <w:rPr>
                <w:spacing w:val="-6"/>
              </w:rPr>
              <w:t>2h</w:t>
            </w:r>
            <w:r>
              <w:rPr>
                <w:spacing w:val="-17"/>
              </w:rPr>
              <w:t xml:space="preserve"> </w:t>
            </w:r>
            <w:r>
              <w:rPr>
                <w:rFonts w:ascii="仿宋" w:hAnsi="仿宋" w:eastAsia="仿宋" w:cs="仿宋"/>
                <w:spacing w:val="-6"/>
              </w:rPr>
              <w:t>，水泵</w:t>
            </w:r>
          </w:p>
          <w:p>
            <w:pPr>
              <w:pStyle w:val="6"/>
              <w:spacing w:before="46" w:line="217" w:lineRule="auto"/>
              <w:ind w:left="15"/>
            </w:pPr>
            <w:r>
              <w:rPr>
                <w:spacing w:val="1"/>
              </w:rPr>
              <w:t>4</w:t>
            </w:r>
            <w:r>
              <w:rPr>
                <w:rFonts w:ascii="仿宋" w:hAnsi="仿宋" w:eastAsia="仿宋" w:cs="仿宋"/>
                <w:spacing w:val="1"/>
              </w:rPr>
              <w:t>台（</w:t>
            </w:r>
            <w:r>
              <w:rPr>
                <w:spacing w:val="1"/>
              </w:rPr>
              <w:t>2</w:t>
            </w:r>
            <w:r>
              <w:rPr>
                <w:rFonts w:ascii="仿宋" w:hAnsi="仿宋" w:eastAsia="仿宋" w:cs="仿宋"/>
                <w:spacing w:val="1"/>
              </w:rPr>
              <w:t>备</w:t>
            </w:r>
            <w:r>
              <w:rPr>
                <w:spacing w:val="1"/>
              </w:rPr>
              <w:t>2</w:t>
            </w:r>
            <w:r>
              <w:rPr>
                <w:rFonts w:ascii="仿宋" w:hAnsi="仿宋" w:eastAsia="仿宋" w:cs="仿宋"/>
                <w:spacing w:val="1"/>
              </w:rPr>
              <w:t>用</w:t>
            </w:r>
            <w:r>
              <w:rPr>
                <w:rFonts w:ascii="仿宋" w:hAnsi="仿宋" w:eastAsia="仿宋" w:cs="仿宋"/>
                <w:spacing w:val="-58"/>
                <w:w w:val="99"/>
              </w:rPr>
              <w:t>），</w:t>
            </w:r>
            <w:r>
              <w:rPr>
                <w:rFonts w:ascii="仿宋" w:hAnsi="仿宋" w:eastAsia="仿宋" w:cs="仿宋"/>
                <w:spacing w:val="1"/>
              </w:rPr>
              <w:t>管道</w:t>
            </w:r>
            <w:r>
              <w:rPr>
                <w:spacing w:val="1"/>
              </w:rPr>
              <w:t>4.8</w:t>
            </w:r>
            <w:r>
              <w:t>km</w:t>
            </w:r>
          </w:p>
        </w:tc>
        <w:tc>
          <w:tcPr>
            <w:tcW w:w="894" w:type="dxa"/>
            <w:vMerge w:val="restart"/>
            <w:tcBorders>
              <w:top w:val="single" w:color="000000" w:sz="4" w:space="0"/>
              <w:bottom w:val="nil"/>
              <w:right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8" w:line="219" w:lineRule="auto"/>
              <w:ind w:left="150"/>
              <w:rPr>
                <w:rFonts w:ascii="仿宋" w:hAnsi="仿宋" w:eastAsia="仿宋" w:cs="仿宋"/>
                <w:sz w:val="21"/>
                <w:szCs w:val="21"/>
              </w:rPr>
            </w:pPr>
            <w:r>
              <w:rPr>
                <w:rFonts w:ascii="仿宋" w:hAnsi="仿宋" w:eastAsia="仿宋" w:cs="仿宋"/>
                <w:spacing w:val="-5"/>
                <w:sz w:val="21"/>
                <w:szCs w:val="21"/>
              </w:rPr>
              <w:t>马茨河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4" w:hRule="atLeast"/>
        </w:trPr>
        <w:tc>
          <w:tcPr>
            <w:tcW w:w="1558" w:type="dxa"/>
            <w:tcBorders>
              <w:top w:val="single" w:color="000000" w:sz="4" w:space="0"/>
              <w:left w:val="nil"/>
              <w:bottom w:val="single" w:color="000000" w:sz="4" w:space="0"/>
            </w:tcBorders>
            <w:vAlign w:val="top"/>
          </w:tcPr>
          <w:p>
            <w:pPr>
              <w:spacing w:line="456" w:lineRule="auto"/>
              <w:rPr>
                <w:rFonts w:ascii="Arial"/>
                <w:sz w:val="21"/>
              </w:rPr>
            </w:pPr>
          </w:p>
          <w:p>
            <w:pPr>
              <w:spacing w:before="68" w:line="217" w:lineRule="auto"/>
              <w:ind w:left="161"/>
              <w:rPr>
                <w:rFonts w:ascii="仿宋" w:hAnsi="仿宋" w:eastAsia="仿宋" w:cs="仿宋"/>
                <w:sz w:val="21"/>
                <w:szCs w:val="21"/>
              </w:rPr>
            </w:pPr>
            <w:r>
              <w:rPr>
                <w:rFonts w:ascii="仿宋" w:hAnsi="仿宋" w:eastAsia="仿宋" w:cs="仿宋"/>
                <w:spacing w:val="-3"/>
                <w:sz w:val="21"/>
                <w:szCs w:val="21"/>
              </w:rPr>
              <w:t>六姑乍箐隧洞</w:t>
            </w:r>
          </w:p>
        </w:tc>
        <w:tc>
          <w:tcPr>
            <w:tcW w:w="1704" w:type="dxa"/>
            <w:tcBorders>
              <w:top w:val="single" w:color="000000" w:sz="4" w:space="0"/>
              <w:bottom w:val="single" w:color="000000" w:sz="4" w:space="0"/>
            </w:tcBorders>
            <w:vAlign w:val="top"/>
          </w:tcPr>
          <w:p>
            <w:pPr>
              <w:spacing w:line="250" w:lineRule="auto"/>
              <w:rPr>
                <w:rFonts w:ascii="Arial"/>
                <w:sz w:val="21"/>
              </w:rPr>
            </w:pPr>
          </w:p>
          <w:p>
            <w:pPr>
              <w:spacing w:line="251" w:lineRule="auto"/>
              <w:rPr>
                <w:rFonts w:ascii="Arial"/>
                <w:sz w:val="21"/>
              </w:rPr>
            </w:pPr>
          </w:p>
          <w:p>
            <w:pPr>
              <w:pStyle w:val="6"/>
              <w:spacing w:before="60" w:line="188" w:lineRule="auto"/>
              <w:ind w:left="621"/>
            </w:pPr>
            <w:r>
              <w:rPr>
                <w:spacing w:val="-2"/>
              </w:rPr>
              <w:t>545.3</w:t>
            </w:r>
          </w:p>
        </w:tc>
        <w:tc>
          <w:tcPr>
            <w:tcW w:w="1700" w:type="dxa"/>
            <w:tcBorders>
              <w:top w:val="single" w:color="000000" w:sz="4" w:space="0"/>
              <w:bottom w:val="single" w:color="000000" w:sz="4" w:space="0"/>
            </w:tcBorders>
            <w:vAlign w:val="top"/>
          </w:tcPr>
          <w:p>
            <w:pPr>
              <w:spacing w:line="302" w:lineRule="auto"/>
              <w:rPr>
                <w:rFonts w:ascii="Arial"/>
                <w:sz w:val="21"/>
              </w:rPr>
            </w:pPr>
          </w:p>
          <w:p>
            <w:pPr>
              <w:pStyle w:val="6"/>
              <w:spacing w:before="68" w:line="253" w:lineRule="auto"/>
              <w:ind w:left="371" w:right="53" w:hanging="299"/>
              <w:rPr>
                <w:rFonts w:ascii="仿宋" w:hAnsi="仿宋" w:eastAsia="仿宋" w:cs="仿宋"/>
              </w:rPr>
            </w:pPr>
            <w:r>
              <w:rPr>
                <w:rFonts w:ascii="仿宋" w:hAnsi="仿宋" w:eastAsia="仿宋" w:cs="仿宋"/>
                <w:spacing w:val="-3"/>
              </w:rPr>
              <w:t>三级沉淀池</w:t>
            </w:r>
            <w:r>
              <w:rPr>
                <w:spacing w:val="-3"/>
              </w:rPr>
              <w:t>+</w:t>
            </w:r>
            <w:r>
              <w:rPr>
                <w:rFonts w:ascii="仿宋" w:hAnsi="仿宋" w:eastAsia="仿宋" w:cs="仿宋"/>
                <w:spacing w:val="-3"/>
              </w:rPr>
              <w:t>水泵</w:t>
            </w:r>
            <w:r>
              <w:rPr>
                <w:rFonts w:ascii="仿宋" w:hAnsi="仿宋" w:eastAsia="仿宋" w:cs="仿宋"/>
                <w:spacing w:val="3"/>
              </w:rPr>
              <w:t xml:space="preserve"> </w:t>
            </w:r>
            <w:r>
              <w:rPr>
                <w:spacing w:val="-1"/>
              </w:rPr>
              <w:t>+</w:t>
            </w:r>
            <w:r>
              <w:rPr>
                <w:rFonts w:ascii="仿宋" w:hAnsi="仿宋" w:eastAsia="仿宋" w:cs="仿宋"/>
                <w:spacing w:val="-1"/>
              </w:rPr>
              <w:t>排水管道</w:t>
            </w:r>
          </w:p>
        </w:tc>
        <w:tc>
          <w:tcPr>
            <w:tcW w:w="2451" w:type="dxa"/>
            <w:tcBorders>
              <w:top w:val="single" w:color="000000" w:sz="4" w:space="0"/>
              <w:bottom w:val="single" w:color="000000" w:sz="4" w:space="0"/>
            </w:tcBorders>
            <w:vAlign w:val="top"/>
          </w:tcPr>
          <w:p>
            <w:pPr>
              <w:pStyle w:val="6"/>
              <w:spacing w:before="60" w:line="217" w:lineRule="auto"/>
              <w:ind w:left="33"/>
              <w:rPr>
                <w:rFonts w:ascii="仿宋" w:hAnsi="仿宋" w:eastAsia="仿宋" w:cs="仿宋"/>
              </w:rPr>
            </w:pPr>
            <w:r>
              <w:rPr>
                <w:rFonts w:ascii="仿宋" w:hAnsi="仿宋" w:eastAsia="仿宋" w:cs="仿宋"/>
                <w:spacing w:val="-2"/>
              </w:rPr>
              <w:t>沉淀池</w:t>
            </w:r>
            <w:r>
              <w:rPr>
                <w:spacing w:val="-2"/>
              </w:rPr>
              <w:t>2</w:t>
            </w:r>
            <w:r>
              <w:rPr>
                <w:rFonts w:ascii="仿宋" w:hAnsi="仿宋" w:eastAsia="仿宋" w:cs="仿宋"/>
                <w:spacing w:val="-2"/>
              </w:rPr>
              <w:t>个（隧洞进出口各</w:t>
            </w:r>
          </w:p>
          <w:p>
            <w:pPr>
              <w:pStyle w:val="6"/>
              <w:spacing w:before="64" w:line="217" w:lineRule="auto"/>
              <w:ind w:left="196"/>
              <w:rPr>
                <w:rFonts w:ascii="仿宋" w:hAnsi="仿宋" w:eastAsia="仿宋" w:cs="仿宋"/>
              </w:rPr>
            </w:pPr>
            <w:r>
              <w:rPr>
                <w:spacing w:val="-5"/>
              </w:rPr>
              <w:t>1</w:t>
            </w:r>
            <w:r>
              <w:rPr>
                <w:rFonts w:ascii="仿宋" w:hAnsi="仿宋" w:eastAsia="仿宋" w:cs="仿宋"/>
                <w:spacing w:val="-5"/>
              </w:rPr>
              <w:t>个</w:t>
            </w:r>
            <w:r>
              <w:rPr>
                <w:rFonts w:ascii="仿宋" w:hAnsi="仿宋" w:eastAsia="仿宋" w:cs="仿宋"/>
                <w:spacing w:val="-43"/>
              </w:rPr>
              <w:t>），</w:t>
            </w:r>
            <w:r>
              <w:rPr>
                <w:rFonts w:ascii="仿宋" w:hAnsi="仿宋" w:eastAsia="仿宋" w:cs="仿宋"/>
                <w:spacing w:val="-5"/>
              </w:rPr>
              <w:t>沉淀池单个容积</w:t>
            </w:r>
          </w:p>
          <w:p>
            <w:pPr>
              <w:pStyle w:val="6"/>
              <w:spacing w:before="65" w:line="233" w:lineRule="auto"/>
              <w:ind w:left="12"/>
            </w:pPr>
            <w:r>
              <w:rPr>
                <w:spacing w:val="-5"/>
              </w:rPr>
              <w:t>30m</w:t>
            </w:r>
            <w:r>
              <w:rPr>
                <w:spacing w:val="-5"/>
                <w:position w:val="7"/>
                <w:sz w:val="14"/>
                <w:szCs w:val="14"/>
              </w:rPr>
              <w:t xml:space="preserve">3 </w:t>
            </w:r>
            <w:r>
              <w:rPr>
                <w:rFonts w:ascii="仿宋" w:hAnsi="仿宋" w:eastAsia="仿宋" w:cs="仿宋"/>
                <w:spacing w:val="-5"/>
              </w:rPr>
              <w:t>，沉淀时间</w:t>
            </w:r>
            <w:r>
              <w:rPr>
                <w:spacing w:val="-5"/>
              </w:rPr>
              <w:t>2h</w:t>
            </w:r>
            <w:r>
              <w:rPr>
                <w:spacing w:val="-18"/>
              </w:rPr>
              <w:t xml:space="preserve"> </w:t>
            </w:r>
            <w:r>
              <w:rPr>
                <w:rFonts w:ascii="仿宋" w:hAnsi="仿宋" w:eastAsia="仿宋" w:cs="仿宋"/>
                <w:spacing w:val="-5"/>
              </w:rPr>
              <w:t>，水泵</w:t>
            </w:r>
            <w:r>
              <w:rPr>
                <w:spacing w:val="-5"/>
              </w:rPr>
              <w:t>4</w:t>
            </w:r>
          </w:p>
          <w:p>
            <w:pPr>
              <w:pStyle w:val="6"/>
              <w:spacing w:before="47" w:line="209" w:lineRule="auto"/>
              <w:ind w:left="98"/>
            </w:pPr>
            <w:r>
              <w:rPr>
                <w:rFonts w:ascii="仿宋" w:hAnsi="仿宋" w:eastAsia="仿宋" w:cs="仿宋"/>
                <w:spacing w:val="-2"/>
              </w:rPr>
              <w:t>台（</w:t>
            </w:r>
            <w:r>
              <w:rPr>
                <w:spacing w:val="-2"/>
              </w:rPr>
              <w:t>2</w:t>
            </w:r>
            <w:r>
              <w:rPr>
                <w:rFonts w:ascii="仿宋" w:hAnsi="仿宋" w:eastAsia="仿宋" w:cs="仿宋"/>
                <w:spacing w:val="-2"/>
              </w:rPr>
              <w:t>备</w:t>
            </w:r>
            <w:r>
              <w:rPr>
                <w:spacing w:val="-2"/>
              </w:rPr>
              <w:t>2</w:t>
            </w:r>
            <w:r>
              <w:rPr>
                <w:rFonts w:ascii="仿宋" w:hAnsi="仿宋" w:eastAsia="仿宋" w:cs="仿宋"/>
                <w:spacing w:val="-2"/>
              </w:rPr>
              <w:t>用</w:t>
            </w:r>
            <w:r>
              <w:rPr>
                <w:rFonts w:ascii="仿宋" w:hAnsi="仿宋" w:eastAsia="仿宋" w:cs="仿宋"/>
                <w:spacing w:val="-57"/>
              </w:rPr>
              <w:t>），</w:t>
            </w:r>
            <w:r>
              <w:rPr>
                <w:rFonts w:ascii="仿宋" w:hAnsi="仿宋" w:eastAsia="仿宋" w:cs="仿宋"/>
                <w:spacing w:val="-2"/>
              </w:rPr>
              <w:t>管道</w:t>
            </w:r>
            <w:r>
              <w:rPr>
                <w:spacing w:val="-2"/>
              </w:rPr>
              <w:t>6.2km</w:t>
            </w:r>
          </w:p>
        </w:tc>
        <w:tc>
          <w:tcPr>
            <w:tcW w:w="894"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4" w:hRule="atLeast"/>
        </w:trPr>
        <w:tc>
          <w:tcPr>
            <w:tcW w:w="1558" w:type="dxa"/>
            <w:tcBorders>
              <w:top w:val="single" w:color="000000" w:sz="4" w:space="0"/>
              <w:left w:val="nil"/>
              <w:bottom w:val="nil"/>
            </w:tcBorders>
            <w:vAlign w:val="top"/>
          </w:tcPr>
          <w:p>
            <w:pPr>
              <w:rPr>
                <w:rFonts w:ascii="Arial"/>
                <w:sz w:val="21"/>
              </w:rPr>
            </w:pPr>
          </w:p>
        </w:tc>
        <w:tc>
          <w:tcPr>
            <w:tcW w:w="1704" w:type="dxa"/>
            <w:tcBorders>
              <w:top w:val="single" w:color="000000" w:sz="4" w:space="0"/>
              <w:bottom w:val="nil"/>
            </w:tcBorders>
            <w:vAlign w:val="top"/>
          </w:tcPr>
          <w:p>
            <w:pPr>
              <w:rPr>
                <w:rFonts w:ascii="Arial"/>
                <w:sz w:val="21"/>
              </w:rPr>
            </w:pPr>
          </w:p>
        </w:tc>
        <w:tc>
          <w:tcPr>
            <w:tcW w:w="1700" w:type="dxa"/>
            <w:tcBorders>
              <w:top w:val="single" w:color="000000" w:sz="4" w:space="0"/>
              <w:bottom w:val="nil"/>
            </w:tcBorders>
            <w:vAlign w:val="top"/>
          </w:tcPr>
          <w:p>
            <w:pPr>
              <w:rPr>
                <w:rFonts w:ascii="Arial"/>
                <w:sz w:val="21"/>
              </w:rPr>
            </w:pPr>
          </w:p>
        </w:tc>
        <w:tc>
          <w:tcPr>
            <w:tcW w:w="2451" w:type="dxa"/>
            <w:tcBorders>
              <w:top w:val="single" w:color="000000" w:sz="4" w:space="0"/>
              <w:bottom w:val="nil"/>
            </w:tcBorders>
            <w:vAlign w:val="top"/>
          </w:tcPr>
          <w:p>
            <w:pPr>
              <w:pStyle w:val="6"/>
              <w:spacing w:before="69" w:line="197" w:lineRule="auto"/>
              <w:ind w:left="33"/>
              <w:rPr>
                <w:rFonts w:ascii="仿宋" w:hAnsi="仿宋" w:eastAsia="仿宋" w:cs="仿宋"/>
              </w:rPr>
            </w:pPr>
            <w:r>
              <w:rPr>
                <w:rFonts w:ascii="仿宋" w:hAnsi="仿宋" w:eastAsia="仿宋" w:cs="仿宋"/>
                <w:spacing w:val="-2"/>
              </w:rPr>
              <w:t>沉淀池</w:t>
            </w:r>
            <w:r>
              <w:rPr>
                <w:spacing w:val="-2"/>
              </w:rPr>
              <w:t>2</w:t>
            </w:r>
            <w:r>
              <w:rPr>
                <w:rFonts w:ascii="仿宋" w:hAnsi="仿宋" w:eastAsia="仿宋" w:cs="仿宋"/>
                <w:spacing w:val="-2"/>
              </w:rPr>
              <w:t>个（隧洞进出口各</w:t>
            </w:r>
          </w:p>
        </w:tc>
        <w:tc>
          <w:tcPr>
            <w:tcW w:w="894"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62" w:hRule="atLeast"/>
        </w:trPr>
        <w:tc>
          <w:tcPr>
            <w:tcW w:w="1558" w:type="dxa"/>
            <w:tcBorders>
              <w:top w:val="nil"/>
              <w:left w:val="nil"/>
              <w:bottom w:val="single" w:color="000000" w:sz="12" w:space="0"/>
            </w:tcBorders>
            <w:vAlign w:val="top"/>
          </w:tcPr>
          <w:p>
            <w:pPr>
              <w:spacing w:before="234" w:line="217" w:lineRule="auto"/>
              <w:ind w:left="159"/>
              <w:rPr>
                <w:rFonts w:ascii="仿宋" w:hAnsi="仿宋" w:eastAsia="仿宋" w:cs="仿宋"/>
                <w:sz w:val="21"/>
                <w:szCs w:val="21"/>
              </w:rPr>
            </w:pPr>
            <w:r>
              <w:rPr>
                <w:rFonts w:ascii="仿宋" w:hAnsi="仿宋" w:eastAsia="仿宋" w:cs="仿宋"/>
                <w:spacing w:val="-2"/>
                <w:sz w:val="21"/>
                <w:szCs w:val="21"/>
              </w:rPr>
              <w:t>独格里排隧洞</w:t>
            </w:r>
          </w:p>
        </w:tc>
        <w:tc>
          <w:tcPr>
            <w:tcW w:w="1704" w:type="dxa"/>
            <w:tcBorders>
              <w:top w:val="nil"/>
              <w:bottom w:val="single" w:color="000000" w:sz="12" w:space="0"/>
            </w:tcBorders>
            <w:vAlign w:val="top"/>
          </w:tcPr>
          <w:p>
            <w:pPr>
              <w:pStyle w:val="6"/>
              <w:spacing w:before="270" w:line="188" w:lineRule="auto"/>
              <w:ind w:left="584"/>
            </w:pPr>
            <w:r>
              <w:rPr>
                <w:spacing w:val="-4"/>
              </w:rPr>
              <w:t>1591.3</w:t>
            </w:r>
          </w:p>
        </w:tc>
        <w:tc>
          <w:tcPr>
            <w:tcW w:w="1700" w:type="dxa"/>
            <w:tcBorders>
              <w:top w:val="nil"/>
              <w:bottom w:val="single" w:color="000000" w:sz="12" w:space="0"/>
            </w:tcBorders>
            <w:vAlign w:val="top"/>
          </w:tcPr>
          <w:p>
            <w:pPr>
              <w:pStyle w:val="6"/>
              <w:spacing w:before="78" w:line="253" w:lineRule="auto"/>
              <w:ind w:left="371" w:right="53" w:hanging="299"/>
              <w:rPr>
                <w:rFonts w:ascii="仿宋" w:hAnsi="仿宋" w:eastAsia="仿宋" w:cs="仿宋"/>
              </w:rPr>
            </w:pPr>
            <w:r>
              <w:rPr>
                <w:rFonts w:ascii="仿宋" w:hAnsi="仿宋" w:eastAsia="仿宋" w:cs="仿宋"/>
                <w:spacing w:val="-3"/>
              </w:rPr>
              <w:t>三级沉淀池</w:t>
            </w:r>
            <w:r>
              <w:rPr>
                <w:spacing w:val="-3"/>
              </w:rPr>
              <w:t>+</w:t>
            </w:r>
            <w:r>
              <w:rPr>
                <w:rFonts w:ascii="仿宋" w:hAnsi="仿宋" w:eastAsia="仿宋" w:cs="仿宋"/>
                <w:spacing w:val="-3"/>
              </w:rPr>
              <w:t>水泵</w:t>
            </w:r>
            <w:r>
              <w:rPr>
                <w:rFonts w:ascii="仿宋" w:hAnsi="仿宋" w:eastAsia="仿宋" w:cs="仿宋"/>
                <w:spacing w:val="3"/>
              </w:rPr>
              <w:t xml:space="preserve"> </w:t>
            </w:r>
            <w:r>
              <w:rPr>
                <w:spacing w:val="-1"/>
              </w:rPr>
              <w:t>+</w:t>
            </w:r>
            <w:r>
              <w:rPr>
                <w:rFonts w:ascii="仿宋" w:hAnsi="仿宋" w:eastAsia="仿宋" w:cs="仿宋"/>
                <w:spacing w:val="-1"/>
              </w:rPr>
              <w:t>排水管道</w:t>
            </w:r>
          </w:p>
        </w:tc>
        <w:tc>
          <w:tcPr>
            <w:tcW w:w="2451" w:type="dxa"/>
            <w:tcBorders>
              <w:top w:val="nil"/>
              <w:bottom w:val="single" w:color="000000" w:sz="12" w:space="0"/>
            </w:tcBorders>
            <w:vAlign w:val="top"/>
          </w:tcPr>
          <w:p>
            <w:pPr>
              <w:pStyle w:val="6"/>
              <w:spacing w:before="78" w:line="256" w:lineRule="auto"/>
              <w:ind w:left="16" w:right="3" w:firstLine="179"/>
            </w:pPr>
            <w:r>
              <w:rPr>
                <w:spacing w:val="-6"/>
              </w:rPr>
              <w:t>1</w:t>
            </w:r>
            <w:r>
              <w:rPr>
                <w:rFonts w:ascii="仿宋" w:hAnsi="仿宋" w:eastAsia="仿宋" w:cs="仿宋"/>
                <w:spacing w:val="-6"/>
              </w:rPr>
              <w:t>个</w:t>
            </w:r>
            <w:r>
              <w:rPr>
                <w:rFonts w:ascii="仿宋" w:hAnsi="仿宋" w:eastAsia="仿宋" w:cs="仿宋"/>
                <w:spacing w:val="-43"/>
              </w:rPr>
              <w:t>），</w:t>
            </w:r>
            <w:r>
              <w:rPr>
                <w:rFonts w:ascii="仿宋" w:hAnsi="仿宋" w:eastAsia="仿宋" w:cs="仿宋"/>
                <w:spacing w:val="-6"/>
              </w:rPr>
              <w:t xml:space="preserve">沉淀池单个容积  </w:t>
            </w:r>
            <w:r>
              <w:rPr>
                <w:spacing w:val="-5"/>
              </w:rPr>
              <w:t>80m</w:t>
            </w:r>
            <w:r>
              <w:rPr>
                <w:spacing w:val="-5"/>
                <w:position w:val="7"/>
                <w:sz w:val="14"/>
                <w:szCs w:val="14"/>
              </w:rPr>
              <w:t xml:space="preserve">3 </w:t>
            </w:r>
            <w:r>
              <w:rPr>
                <w:rFonts w:ascii="仿宋" w:hAnsi="仿宋" w:eastAsia="仿宋" w:cs="仿宋"/>
                <w:spacing w:val="-5"/>
              </w:rPr>
              <w:t>，沉淀时间</w:t>
            </w:r>
            <w:r>
              <w:rPr>
                <w:spacing w:val="-5"/>
              </w:rPr>
              <w:t>2h</w:t>
            </w:r>
            <w:r>
              <w:rPr>
                <w:spacing w:val="-22"/>
              </w:rPr>
              <w:t xml:space="preserve"> </w:t>
            </w:r>
            <w:r>
              <w:rPr>
                <w:rFonts w:ascii="仿宋" w:hAnsi="仿宋" w:eastAsia="仿宋" w:cs="仿宋"/>
                <w:spacing w:val="-5"/>
              </w:rPr>
              <w:t>，水泵</w:t>
            </w:r>
            <w:r>
              <w:rPr>
                <w:spacing w:val="-5"/>
              </w:rPr>
              <w:t>4</w:t>
            </w:r>
            <w:r>
              <w:t xml:space="preserve"> </w:t>
            </w:r>
            <w:r>
              <w:rPr>
                <w:rFonts w:ascii="仿宋" w:hAnsi="仿宋" w:eastAsia="仿宋" w:cs="仿宋"/>
              </w:rPr>
              <w:t>台（</w:t>
            </w:r>
            <w:r>
              <w:t>2</w:t>
            </w:r>
            <w:r>
              <w:rPr>
                <w:rFonts w:ascii="仿宋" w:hAnsi="仿宋" w:eastAsia="仿宋" w:cs="仿宋"/>
              </w:rPr>
              <w:t>备</w:t>
            </w:r>
            <w:r>
              <w:t>2</w:t>
            </w:r>
            <w:r>
              <w:rPr>
                <w:rFonts w:ascii="仿宋" w:hAnsi="仿宋" w:eastAsia="仿宋" w:cs="仿宋"/>
              </w:rPr>
              <w:t>用</w:t>
            </w:r>
            <w:r>
              <w:rPr>
                <w:rFonts w:ascii="仿宋" w:hAnsi="仿宋" w:eastAsia="仿宋" w:cs="仿宋"/>
                <w:spacing w:val="-58"/>
              </w:rPr>
              <w:t>），</w:t>
            </w:r>
            <w:r>
              <w:rPr>
                <w:rFonts w:ascii="仿宋" w:hAnsi="仿宋" w:eastAsia="仿宋" w:cs="仿宋"/>
              </w:rPr>
              <w:t>管道</w:t>
            </w:r>
            <w:r>
              <w:t>11.3km</w:t>
            </w:r>
          </w:p>
        </w:tc>
        <w:tc>
          <w:tcPr>
            <w:tcW w:w="894" w:type="dxa"/>
            <w:tcBorders>
              <w:top w:val="nil"/>
              <w:bottom w:val="single" w:color="000000" w:sz="12" w:space="0"/>
              <w:right w:val="nil"/>
            </w:tcBorders>
            <w:vAlign w:val="top"/>
          </w:tcPr>
          <w:p>
            <w:pPr>
              <w:rPr>
                <w:rFonts w:ascii="Arial"/>
                <w:sz w:val="21"/>
              </w:rPr>
            </w:pPr>
          </w:p>
        </w:tc>
      </w:tr>
    </w:tbl>
    <w:p>
      <w:pPr>
        <w:spacing w:before="113" w:line="220" w:lineRule="auto"/>
        <w:ind w:left="498"/>
        <w:rPr>
          <w:rFonts w:ascii="宋体" w:hAnsi="宋体" w:eastAsia="宋体" w:cs="宋体"/>
          <w:sz w:val="24"/>
          <w:szCs w:val="24"/>
        </w:rPr>
      </w:pPr>
      <w:r>
        <w:rPr>
          <w:rFonts w:ascii="宋体" w:hAnsi="宋体" w:eastAsia="宋体" w:cs="宋体"/>
          <w:spacing w:val="-9"/>
          <w:sz w:val="24"/>
          <w:szCs w:val="24"/>
        </w:rPr>
        <w:t>施工涌水中主要污染物为</w:t>
      </w:r>
      <w:r>
        <w:rPr>
          <w:rFonts w:ascii="宋体" w:hAnsi="宋体" w:eastAsia="宋体" w:cs="宋体"/>
          <w:spacing w:val="-45"/>
          <w:sz w:val="24"/>
          <w:szCs w:val="24"/>
        </w:rPr>
        <w:t xml:space="preserve"> </w:t>
      </w:r>
      <w:r>
        <w:rPr>
          <w:rFonts w:ascii="Times New Roman" w:hAnsi="Times New Roman" w:eastAsia="Times New Roman" w:cs="Times New Roman"/>
          <w:spacing w:val="-9"/>
          <w:sz w:val="24"/>
          <w:szCs w:val="24"/>
        </w:rPr>
        <w:t>SS</w:t>
      </w:r>
      <w:r>
        <w:rPr>
          <w:rFonts w:ascii="宋体" w:hAnsi="宋体" w:eastAsia="宋体" w:cs="宋体"/>
          <w:spacing w:val="-9"/>
          <w:sz w:val="24"/>
          <w:szCs w:val="24"/>
        </w:rPr>
        <w:t>，经沉淀处理后</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 xml:space="preserve">SS </w:t>
      </w:r>
      <w:r>
        <w:rPr>
          <w:rFonts w:ascii="宋体" w:hAnsi="宋体" w:eastAsia="宋体" w:cs="宋体"/>
          <w:spacing w:val="-9"/>
          <w:sz w:val="24"/>
          <w:szCs w:val="24"/>
        </w:rPr>
        <w:t>含量大降低，对马茨河及桂花</w:t>
      </w:r>
    </w:p>
    <w:p>
      <w:pPr>
        <w:spacing w:line="220" w:lineRule="auto"/>
        <w:rPr>
          <w:rFonts w:ascii="宋体" w:hAnsi="宋体" w:eastAsia="宋体" w:cs="宋体"/>
          <w:sz w:val="24"/>
          <w:szCs w:val="24"/>
        </w:rPr>
        <w:sectPr>
          <w:headerReference r:id="rId338" w:type="default"/>
          <w:footerReference r:id="rId339" w:type="default"/>
          <w:pgSz w:w="11907" w:h="16839"/>
          <w:pgMar w:top="1156" w:right="1730" w:bottom="1374" w:left="1770" w:header="881" w:footer="1210" w:gutter="0"/>
        </w:sectPr>
      </w:pPr>
    </w:p>
    <w:p>
      <w:pPr>
        <w:spacing w:line="316" w:lineRule="auto"/>
        <w:rPr>
          <w:rFonts w:ascii="Arial"/>
          <w:sz w:val="21"/>
        </w:rPr>
      </w:pPr>
    </w:p>
    <w:p>
      <w:pPr>
        <w:spacing w:before="78" w:line="220" w:lineRule="auto"/>
        <w:ind w:left="38"/>
        <w:rPr>
          <w:rFonts w:ascii="宋体" w:hAnsi="宋体" w:eastAsia="宋体" w:cs="宋体"/>
          <w:sz w:val="24"/>
          <w:szCs w:val="24"/>
        </w:rPr>
      </w:pPr>
      <w:r>
        <w:rPr>
          <w:rFonts w:ascii="宋体" w:hAnsi="宋体" w:eastAsia="宋体" w:cs="宋体"/>
          <w:spacing w:val="-10"/>
          <w:sz w:val="24"/>
          <w:szCs w:val="24"/>
        </w:rPr>
        <w:t>河地表水环境质量影响小。</w:t>
      </w:r>
    </w:p>
    <w:p>
      <w:pPr>
        <w:spacing w:before="105" w:line="217" w:lineRule="auto"/>
        <w:ind w:left="517"/>
        <w:rPr>
          <w:rFonts w:ascii="宋体" w:hAnsi="宋体" w:eastAsia="宋体" w:cs="宋体"/>
          <w:sz w:val="24"/>
          <w:szCs w:val="24"/>
        </w:rPr>
      </w:pPr>
      <w:r>
        <w:rPr>
          <w:rFonts w:ascii="宋体" w:hAnsi="宋体" w:eastAsia="宋体" w:cs="宋体"/>
          <w:spacing w:val="-1"/>
          <w:sz w:val="24"/>
          <w:szCs w:val="24"/>
        </w:rPr>
        <w:t>⑦库底清基对水质的影响</w:t>
      </w:r>
    </w:p>
    <w:p>
      <w:pPr>
        <w:spacing w:before="184" w:line="359" w:lineRule="auto"/>
        <w:ind w:left="39" w:right="30" w:firstLine="480"/>
        <w:jc w:val="both"/>
        <w:rPr>
          <w:rFonts w:ascii="宋体" w:hAnsi="宋体" w:eastAsia="宋体" w:cs="宋体"/>
          <w:sz w:val="24"/>
          <w:szCs w:val="24"/>
        </w:rPr>
      </w:pPr>
      <w:r>
        <w:rPr>
          <w:rFonts w:ascii="宋体" w:hAnsi="宋体" w:eastAsia="宋体" w:cs="宋体"/>
          <w:spacing w:val="-6"/>
          <w:sz w:val="24"/>
          <w:szCs w:val="24"/>
        </w:rPr>
        <w:t>库底清基是水库枢纽工程完成后、蓄水之前进行，</w:t>
      </w:r>
      <w:r>
        <w:rPr>
          <w:rFonts w:ascii="宋体" w:hAnsi="宋体" w:eastAsia="宋体" w:cs="宋体"/>
          <w:spacing w:val="-27"/>
          <w:sz w:val="24"/>
          <w:szCs w:val="24"/>
        </w:rPr>
        <w:t xml:space="preserve"> </w:t>
      </w:r>
      <w:r>
        <w:rPr>
          <w:rFonts w:ascii="宋体" w:hAnsi="宋体" w:eastAsia="宋体" w:cs="宋体"/>
          <w:spacing w:val="-6"/>
          <w:sz w:val="24"/>
          <w:szCs w:val="24"/>
        </w:rPr>
        <w:t>清基是对库区正常水位线</w:t>
      </w:r>
      <w:r>
        <w:rPr>
          <w:rFonts w:ascii="宋体" w:hAnsi="宋体" w:eastAsia="宋体" w:cs="宋体"/>
          <w:sz w:val="24"/>
          <w:szCs w:val="24"/>
        </w:rPr>
        <w:t xml:space="preserve"> </w:t>
      </w:r>
      <w:r>
        <w:rPr>
          <w:rFonts w:ascii="宋体" w:hAnsi="宋体" w:eastAsia="宋体" w:cs="宋体"/>
          <w:spacing w:val="-6"/>
          <w:sz w:val="24"/>
          <w:szCs w:val="24"/>
        </w:rPr>
        <w:t>以下区域进行清理，清理过程中上游来水通过导流兼供水洞进行</w:t>
      </w:r>
      <w:r>
        <w:rPr>
          <w:rFonts w:ascii="宋体" w:hAnsi="宋体" w:eastAsia="宋体" w:cs="宋体"/>
          <w:spacing w:val="-7"/>
          <w:sz w:val="24"/>
          <w:szCs w:val="24"/>
        </w:rPr>
        <w:t>泄流， 所有清基</w:t>
      </w:r>
      <w:r>
        <w:rPr>
          <w:rFonts w:ascii="宋体" w:hAnsi="宋体" w:eastAsia="宋体" w:cs="宋体"/>
          <w:sz w:val="24"/>
          <w:szCs w:val="24"/>
        </w:rPr>
        <w:t xml:space="preserve"> </w:t>
      </w:r>
      <w:r>
        <w:rPr>
          <w:rFonts w:ascii="宋体" w:hAnsi="宋体" w:eastAsia="宋体" w:cs="宋体"/>
          <w:spacing w:val="-12"/>
          <w:sz w:val="24"/>
          <w:szCs w:val="24"/>
        </w:rPr>
        <w:t>产生的土石方均运至弃渣场，植物清运出库区，</w:t>
      </w:r>
      <w:r>
        <w:rPr>
          <w:rFonts w:ascii="宋体" w:hAnsi="宋体" w:eastAsia="宋体" w:cs="宋体"/>
          <w:spacing w:val="41"/>
          <w:sz w:val="24"/>
          <w:szCs w:val="24"/>
        </w:rPr>
        <w:t xml:space="preserve"> </w:t>
      </w:r>
      <w:r>
        <w:rPr>
          <w:rFonts w:ascii="宋体" w:hAnsi="宋体" w:eastAsia="宋体" w:cs="宋体"/>
          <w:spacing w:val="-12"/>
          <w:sz w:val="24"/>
          <w:szCs w:val="24"/>
        </w:rPr>
        <w:t>不残留在库区内，</w:t>
      </w:r>
      <w:r>
        <w:rPr>
          <w:rFonts w:ascii="宋体" w:hAnsi="宋体" w:eastAsia="宋体" w:cs="宋体"/>
          <w:spacing w:val="35"/>
          <w:sz w:val="24"/>
          <w:szCs w:val="24"/>
        </w:rPr>
        <w:t xml:space="preserve"> </w:t>
      </w:r>
      <w:r>
        <w:rPr>
          <w:rFonts w:ascii="宋体" w:hAnsi="宋体" w:eastAsia="宋体" w:cs="宋体"/>
          <w:spacing w:val="-12"/>
          <w:sz w:val="24"/>
          <w:szCs w:val="24"/>
        </w:rPr>
        <w:t>也不会流失至</w:t>
      </w:r>
    </w:p>
    <w:p>
      <w:pPr>
        <w:spacing w:line="219" w:lineRule="auto"/>
        <w:ind w:left="46"/>
        <w:rPr>
          <w:rFonts w:ascii="宋体" w:hAnsi="宋体" w:eastAsia="宋体" w:cs="宋体"/>
          <w:sz w:val="24"/>
          <w:szCs w:val="24"/>
        </w:rPr>
      </w:pPr>
      <w:r>
        <w:rPr>
          <w:rFonts w:ascii="宋体" w:hAnsi="宋体" w:eastAsia="宋体" w:cs="宋体"/>
          <w:spacing w:val="-3"/>
          <w:sz w:val="24"/>
          <w:szCs w:val="24"/>
        </w:rPr>
        <w:t>下游河道，因此，清基对下游河道水质影响较小。</w:t>
      </w:r>
    </w:p>
    <w:p>
      <w:pPr>
        <w:spacing w:line="430" w:lineRule="auto"/>
        <w:rPr>
          <w:rFonts w:ascii="Arial"/>
          <w:sz w:val="21"/>
        </w:rPr>
      </w:pPr>
    </w:p>
    <w:p>
      <w:pPr>
        <w:pStyle w:val="2"/>
        <w:spacing w:before="79" w:line="234" w:lineRule="auto"/>
        <w:ind w:left="36"/>
        <w:outlineLvl w:val="2"/>
        <w:rPr>
          <w:sz w:val="24"/>
          <w:szCs w:val="24"/>
        </w:rPr>
      </w:pPr>
      <w:r>
        <w:rPr>
          <w:rFonts w:ascii="Times New Roman" w:hAnsi="Times New Roman" w:eastAsia="Times New Roman" w:cs="Times New Roman"/>
          <w:b/>
          <w:bCs/>
          <w:spacing w:val="-2"/>
          <w:sz w:val="24"/>
          <w:szCs w:val="24"/>
        </w:rPr>
        <w:t>4.2.2</w:t>
      </w:r>
      <w:r>
        <w:rPr>
          <w:rFonts w:ascii="Times New Roman" w:hAnsi="Times New Roman" w:eastAsia="Times New Roman" w:cs="Times New Roman"/>
          <w:b/>
          <w:bCs/>
          <w:spacing w:val="14"/>
          <w:sz w:val="24"/>
          <w:szCs w:val="24"/>
        </w:rPr>
        <w:t xml:space="preserve"> </w:t>
      </w:r>
      <w:r>
        <w:rPr>
          <w:spacing w:val="-2"/>
          <w:sz w:val="24"/>
          <w:szCs w:val="24"/>
          <w14:textOutline w14:w="4354" w14:cap="flat" w14:cmpd="sng">
            <w14:solidFill>
              <w14:srgbClr w14:val="000000"/>
            </w14:solidFill>
            <w14:prstDash w14:val="solid"/>
            <w14:miter w14:val="0"/>
          </w14:textOutline>
        </w:rPr>
        <w:t>运营期</w:t>
      </w:r>
    </w:p>
    <w:p>
      <w:pPr>
        <w:spacing w:before="199" w:line="218"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）水库水质预测影响评价</w:t>
      </w:r>
    </w:p>
    <w:p>
      <w:pPr>
        <w:spacing w:before="183" w:line="359" w:lineRule="auto"/>
        <w:ind w:left="59" w:right="30" w:firstLine="462"/>
        <w:rPr>
          <w:rFonts w:ascii="宋体" w:hAnsi="宋体" w:eastAsia="宋体" w:cs="宋体"/>
          <w:sz w:val="24"/>
          <w:szCs w:val="24"/>
        </w:rPr>
      </w:pPr>
      <w:r>
        <w:rPr>
          <w:rFonts w:ascii="宋体" w:hAnsi="宋体" w:eastAsia="宋体" w:cs="宋体"/>
          <w:spacing w:val="-10"/>
          <w:sz w:val="24"/>
          <w:szCs w:val="24"/>
        </w:rPr>
        <w:t>桂花水库建成运行， 项目本身并不排放污染物， 但水文特性从河流变为水库</w:t>
      </w:r>
      <w:r>
        <w:rPr>
          <w:rFonts w:ascii="宋体" w:hAnsi="宋体" w:eastAsia="宋体" w:cs="宋体"/>
          <w:spacing w:val="4"/>
          <w:sz w:val="24"/>
          <w:szCs w:val="24"/>
        </w:rPr>
        <w:t xml:space="preserve"> </w:t>
      </w:r>
      <w:r>
        <w:rPr>
          <w:rFonts w:ascii="宋体" w:hAnsi="宋体" w:eastAsia="宋体" w:cs="宋体"/>
          <w:spacing w:val="-19"/>
          <w:sz w:val="24"/>
          <w:szCs w:val="24"/>
        </w:rPr>
        <w:t>的水文特性，</w:t>
      </w:r>
      <w:r>
        <w:rPr>
          <w:rFonts w:ascii="宋体" w:hAnsi="宋体" w:eastAsia="宋体" w:cs="宋体"/>
          <w:spacing w:val="38"/>
          <w:sz w:val="24"/>
          <w:szCs w:val="24"/>
        </w:rPr>
        <w:t xml:space="preserve"> </w:t>
      </w:r>
      <w:r>
        <w:rPr>
          <w:rFonts w:ascii="宋体" w:hAnsi="宋体" w:eastAsia="宋体" w:cs="宋体"/>
          <w:spacing w:val="-19"/>
          <w:sz w:val="24"/>
          <w:szCs w:val="24"/>
        </w:rPr>
        <w:t>流速明显下降，</w:t>
      </w:r>
      <w:r>
        <w:rPr>
          <w:rFonts w:ascii="宋体" w:hAnsi="宋体" w:eastAsia="宋体" w:cs="宋体"/>
          <w:spacing w:val="-50"/>
          <w:sz w:val="24"/>
          <w:szCs w:val="24"/>
        </w:rPr>
        <w:t xml:space="preserve"> </w:t>
      </w:r>
      <w:r>
        <w:rPr>
          <w:rFonts w:ascii="宋体" w:hAnsi="宋体" w:eastAsia="宋体" w:cs="宋体"/>
          <w:spacing w:val="-19"/>
          <w:sz w:val="24"/>
          <w:szCs w:val="24"/>
        </w:rPr>
        <w:t>滞留时间增长，</w:t>
      </w:r>
      <w:r>
        <w:rPr>
          <w:rFonts w:ascii="宋体" w:hAnsi="宋体" w:eastAsia="宋体" w:cs="宋体"/>
          <w:spacing w:val="40"/>
          <w:sz w:val="24"/>
          <w:szCs w:val="24"/>
        </w:rPr>
        <w:t xml:space="preserve"> </w:t>
      </w:r>
      <w:r>
        <w:rPr>
          <w:rFonts w:ascii="宋体" w:hAnsi="宋体" w:eastAsia="宋体" w:cs="宋体"/>
          <w:spacing w:val="-19"/>
          <w:sz w:val="24"/>
          <w:szCs w:val="24"/>
        </w:rPr>
        <w:t>水的自净能力会</w:t>
      </w:r>
      <w:r>
        <w:rPr>
          <w:rFonts w:ascii="宋体" w:hAnsi="宋体" w:eastAsia="宋体" w:cs="宋体"/>
          <w:spacing w:val="-20"/>
          <w:sz w:val="24"/>
          <w:szCs w:val="24"/>
        </w:rPr>
        <w:t>发生改变，</w:t>
      </w:r>
      <w:r>
        <w:rPr>
          <w:rFonts w:ascii="宋体" w:hAnsi="宋体" w:eastAsia="宋体" w:cs="宋体"/>
          <w:spacing w:val="40"/>
          <w:sz w:val="24"/>
          <w:szCs w:val="24"/>
        </w:rPr>
        <w:t xml:space="preserve"> </w:t>
      </w:r>
      <w:r>
        <w:rPr>
          <w:rFonts w:ascii="宋体" w:hAnsi="宋体" w:eastAsia="宋体" w:cs="宋体"/>
          <w:spacing w:val="-20"/>
          <w:sz w:val="24"/>
          <w:szCs w:val="24"/>
        </w:rPr>
        <w:t>从而影</w:t>
      </w:r>
    </w:p>
    <w:p>
      <w:pPr>
        <w:spacing w:before="1" w:line="219" w:lineRule="auto"/>
        <w:ind w:left="51"/>
        <w:rPr>
          <w:rFonts w:ascii="宋体" w:hAnsi="宋体" w:eastAsia="宋体" w:cs="宋体"/>
          <w:sz w:val="24"/>
          <w:szCs w:val="24"/>
        </w:rPr>
      </w:pPr>
      <w:r>
        <w:rPr>
          <w:rFonts w:ascii="宋体" w:hAnsi="宋体" w:eastAsia="宋体" w:cs="宋体"/>
          <w:spacing w:val="-8"/>
          <w:sz w:val="24"/>
          <w:szCs w:val="24"/>
        </w:rPr>
        <w:t>响水库水质。</w:t>
      </w:r>
    </w:p>
    <w:p>
      <w:pPr>
        <w:spacing w:before="182" w:line="359" w:lineRule="auto"/>
        <w:ind w:left="38" w:right="29" w:firstLine="483"/>
        <w:rPr>
          <w:rFonts w:ascii="宋体" w:hAnsi="宋体" w:eastAsia="宋体" w:cs="宋体"/>
          <w:sz w:val="24"/>
          <w:szCs w:val="24"/>
        </w:rPr>
      </w:pPr>
      <w:r>
        <w:rPr>
          <w:rFonts w:ascii="宋体" w:hAnsi="宋体" w:eastAsia="宋体" w:cs="宋体"/>
          <w:spacing w:val="-3"/>
          <w:sz w:val="24"/>
          <w:szCs w:val="24"/>
        </w:rPr>
        <w:t>水库蓄水前将对淹没区进行库区清理，不存在大量有机物</w:t>
      </w:r>
      <w:r>
        <w:rPr>
          <w:rFonts w:ascii="宋体" w:hAnsi="宋体" w:eastAsia="宋体" w:cs="宋体"/>
          <w:spacing w:val="-4"/>
          <w:sz w:val="24"/>
          <w:szCs w:val="24"/>
        </w:rPr>
        <w:t>质在库内腐烂而导</w:t>
      </w:r>
      <w:r>
        <w:rPr>
          <w:rFonts w:ascii="宋体" w:hAnsi="宋体" w:eastAsia="宋体" w:cs="宋体"/>
          <w:sz w:val="24"/>
          <w:szCs w:val="24"/>
        </w:rPr>
        <w:t xml:space="preserve"> </w:t>
      </w:r>
      <w:r>
        <w:rPr>
          <w:rFonts w:ascii="宋体" w:hAnsi="宋体" w:eastAsia="宋体" w:cs="宋体"/>
          <w:spacing w:val="-6"/>
          <w:sz w:val="24"/>
          <w:szCs w:val="24"/>
        </w:rPr>
        <w:t>致水库水质恶化的可能。但在水库蓄水初期， 淹没区内少量的林</w:t>
      </w:r>
      <w:r>
        <w:rPr>
          <w:rFonts w:ascii="宋体" w:hAnsi="宋体" w:eastAsia="宋体" w:cs="宋体"/>
          <w:spacing w:val="-7"/>
          <w:sz w:val="24"/>
          <w:szCs w:val="24"/>
        </w:rPr>
        <w:t>木残留设施受淹</w:t>
      </w:r>
      <w:r>
        <w:rPr>
          <w:rFonts w:ascii="宋体" w:hAnsi="宋体" w:eastAsia="宋体" w:cs="宋体"/>
          <w:sz w:val="24"/>
          <w:szCs w:val="24"/>
        </w:rPr>
        <w:t xml:space="preserve"> </w:t>
      </w:r>
      <w:r>
        <w:rPr>
          <w:rFonts w:ascii="宋体" w:hAnsi="宋体" w:eastAsia="宋体" w:cs="宋体"/>
          <w:spacing w:val="1"/>
          <w:sz w:val="24"/>
          <w:szCs w:val="24"/>
        </w:rPr>
        <w:t xml:space="preserve">后，有机营养物质将进入水体，短期内库区水质 </w:t>
      </w:r>
      <w:r>
        <w:rPr>
          <w:rFonts w:ascii="Times New Roman" w:hAnsi="Times New Roman" w:eastAsia="Times New Roman" w:cs="Times New Roman"/>
          <w:spacing w:val="1"/>
          <w:sz w:val="24"/>
          <w:szCs w:val="24"/>
        </w:rPr>
        <w:t>N</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P  </w:t>
      </w:r>
      <w:r>
        <w:rPr>
          <w:rFonts w:ascii="宋体" w:hAnsi="宋体" w:eastAsia="宋体" w:cs="宋体"/>
          <w:spacing w:val="1"/>
          <w:sz w:val="24"/>
          <w:szCs w:val="24"/>
        </w:rPr>
        <w:t>等有机物含量将明显增</w:t>
      </w:r>
      <w:r>
        <w:rPr>
          <w:rFonts w:ascii="宋体" w:hAnsi="宋体" w:eastAsia="宋体" w:cs="宋体"/>
          <w:sz w:val="24"/>
          <w:szCs w:val="24"/>
        </w:rPr>
        <w:t xml:space="preserve"> </w:t>
      </w:r>
      <w:r>
        <w:rPr>
          <w:rFonts w:ascii="宋体" w:hAnsi="宋体" w:eastAsia="宋体" w:cs="宋体"/>
          <w:spacing w:val="-14"/>
          <w:sz w:val="24"/>
          <w:szCs w:val="24"/>
        </w:rPr>
        <w:t>高，</w:t>
      </w:r>
      <w:r>
        <w:rPr>
          <w:rFonts w:ascii="宋体" w:hAnsi="宋体" w:eastAsia="宋体" w:cs="宋体"/>
          <w:spacing w:val="-40"/>
          <w:sz w:val="24"/>
          <w:szCs w:val="24"/>
        </w:rPr>
        <w:t xml:space="preserve"> </w:t>
      </w:r>
      <w:r>
        <w:rPr>
          <w:rFonts w:ascii="宋体" w:hAnsi="宋体" w:eastAsia="宋体" w:cs="宋体"/>
          <w:spacing w:val="-14"/>
          <w:sz w:val="24"/>
          <w:szCs w:val="24"/>
        </w:rPr>
        <w:t>随着水文特性的改变（流速变缓，</w:t>
      </w:r>
      <w:r>
        <w:rPr>
          <w:rFonts w:ascii="宋体" w:hAnsi="宋体" w:eastAsia="宋体" w:cs="宋体"/>
          <w:spacing w:val="40"/>
          <w:sz w:val="24"/>
          <w:szCs w:val="24"/>
        </w:rPr>
        <w:t xml:space="preserve"> </w:t>
      </w:r>
      <w:r>
        <w:rPr>
          <w:rFonts w:ascii="宋体" w:hAnsi="宋体" w:eastAsia="宋体" w:cs="宋体"/>
          <w:spacing w:val="-14"/>
          <w:sz w:val="24"/>
          <w:szCs w:val="24"/>
        </w:rPr>
        <w:t>水深加大）</w:t>
      </w:r>
      <w:r>
        <w:rPr>
          <w:rFonts w:ascii="宋体" w:hAnsi="宋体" w:eastAsia="宋体" w:cs="宋体"/>
          <w:spacing w:val="28"/>
          <w:sz w:val="24"/>
          <w:szCs w:val="24"/>
        </w:rPr>
        <w:t xml:space="preserve"> </w:t>
      </w:r>
      <w:r>
        <w:rPr>
          <w:rFonts w:ascii="宋体" w:hAnsi="宋体" w:eastAsia="宋体" w:cs="宋体"/>
          <w:spacing w:val="-14"/>
          <w:sz w:val="24"/>
          <w:szCs w:val="24"/>
        </w:rPr>
        <w:t>以及被淹没的植被和土</w:t>
      </w:r>
      <w:r>
        <w:rPr>
          <w:rFonts w:ascii="宋体" w:hAnsi="宋体" w:eastAsia="宋体" w:cs="宋体"/>
          <w:spacing w:val="-15"/>
          <w:sz w:val="24"/>
          <w:szCs w:val="24"/>
        </w:rPr>
        <w:t>壤逐渐</w:t>
      </w:r>
      <w:r>
        <w:rPr>
          <w:rFonts w:ascii="宋体" w:hAnsi="宋体" w:eastAsia="宋体" w:cs="宋体"/>
          <w:sz w:val="24"/>
          <w:szCs w:val="24"/>
        </w:rPr>
        <w:t xml:space="preserve"> </w:t>
      </w:r>
      <w:r>
        <w:rPr>
          <w:rFonts w:ascii="宋体" w:hAnsi="宋体" w:eastAsia="宋体" w:cs="宋体"/>
          <w:spacing w:val="-6"/>
          <w:sz w:val="24"/>
          <w:szCs w:val="24"/>
        </w:rPr>
        <w:t>释放出有机物和氮磷营养盐，</w:t>
      </w:r>
      <w:r>
        <w:rPr>
          <w:rFonts w:ascii="宋体" w:hAnsi="宋体" w:eastAsia="宋体" w:cs="宋体"/>
          <w:spacing w:val="-13"/>
          <w:sz w:val="24"/>
          <w:szCs w:val="24"/>
        </w:rPr>
        <w:t xml:space="preserve"> </w:t>
      </w:r>
      <w:r>
        <w:rPr>
          <w:rFonts w:ascii="宋体" w:hAnsi="宋体" w:eastAsia="宋体" w:cs="宋体"/>
          <w:spacing w:val="-6"/>
          <w:sz w:val="24"/>
          <w:szCs w:val="24"/>
        </w:rPr>
        <w:t>为富营养化发生发展提供有利的水流结构和营养条</w:t>
      </w:r>
      <w:r>
        <w:rPr>
          <w:rFonts w:ascii="宋体" w:hAnsi="宋体" w:eastAsia="宋体" w:cs="宋体"/>
          <w:sz w:val="24"/>
          <w:szCs w:val="24"/>
        </w:rPr>
        <w:t xml:space="preserve"> </w:t>
      </w:r>
      <w:r>
        <w:rPr>
          <w:rFonts w:ascii="宋体" w:hAnsi="宋体" w:eastAsia="宋体" w:cs="宋体"/>
          <w:spacing w:val="-7"/>
          <w:sz w:val="24"/>
          <w:szCs w:val="24"/>
        </w:rPr>
        <w:t>件，</w:t>
      </w:r>
      <w:r>
        <w:rPr>
          <w:rFonts w:ascii="宋体" w:hAnsi="宋体" w:eastAsia="宋体" w:cs="宋体"/>
          <w:spacing w:val="-45"/>
          <w:sz w:val="24"/>
          <w:szCs w:val="24"/>
        </w:rPr>
        <w:t xml:space="preserve"> </w:t>
      </w:r>
      <w:r>
        <w:rPr>
          <w:rFonts w:ascii="宋体" w:hAnsi="宋体" w:eastAsia="宋体" w:cs="宋体"/>
          <w:spacing w:val="-7"/>
          <w:sz w:val="24"/>
          <w:szCs w:val="24"/>
        </w:rPr>
        <w:t>库区水体诱发富营养化的可能性加大。但是随着泥沙在库区底层淤积，</w:t>
      </w:r>
      <w:r>
        <w:rPr>
          <w:rFonts w:ascii="宋体" w:hAnsi="宋体" w:eastAsia="宋体" w:cs="宋体"/>
          <w:spacing w:val="-53"/>
          <w:sz w:val="24"/>
          <w:szCs w:val="24"/>
        </w:rPr>
        <w:t xml:space="preserve"> </w:t>
      </w:r>
      <w:r>
        <w:rPr>
          <w:rFonts w:ascii="宋体" w:hAnsi="宋体" w:eastAsia="宋体" w:cs="宋体"/>
          <w:spacing w:val="-7"/>
          <w:sz w:val="24"/>
          <w:szCs w:val="24"/>
        </w:rPr>
        <w:t>形成</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覆盖层，会减缓库底有机物释放。</w:t>
      </w:r>
    </w:p>
    <w:p>
      <w:pPr>
        <w:spacing w:before="183" w:line="359" w:lineRule="auto"/>
        <w:ind w:left="40" w:right="30" w:firstLine="480"/>
        <w:rPr>
          <w:rFonts w:ascii="宋体" w:hAnsi="宋体" w:eastAsia="宋体" w:cs="宋体"/>
          <w:sz w:val="24"/>
          <w:szCs w:val="24"/>
        </w:rPr>
      </w:pPr>
      <w:r>
        <w:rPr>
          <w:rFonts w:ascii="宋体" w:hAnsi="宋体" w:eastAsia="宋体" w:cs="宋体"/>
          <w:spacing w:val="-6"/>
          <w:sz w:val="24"/>
          <w:szCs w:val="24"/>
        </w:rPr>
        <w:t>本评价主要采用有关评价导则推荐的数学模式进行分析预测，</w:t>
      </w:r>
      <w:r>
        <w:rPr>
          <w:rFonts w:ascii="宋体" w:hAnsi="宋体" w:eastAsia="宋体" w:cs="宋体"/>
          <w:spacing w:val="-27"/>
          <w:sz w:val="24"/>
          <w:szCs w:val="24"/>
        </w:rPr>
        <w:t xml:space="preserve"> </w:t>
      </w:r>
      <w:r>
        <w:rPr>
          <w:rFonts w:ascii="宋体" w:hAnsi="宋体" w:eastAsia="宋体" w:cs="宋体"/>
          <w:spacing w:val="-6"/>
          <w:sz w:val="24"/>
          <w:szCs w:val="24"/>
        </w:rPr>
        <w:t>评价标准执行</w:t>
      </w:r>
      <w:r>
        <w:rPr>
          <w:rFonts w:ascii="宋体" w:hAnsi="宋体" w:eastAsia="宋体" w:cs="宋体"/>
          <w:sz w:val="24"/>
          <w:szCs w:val="24"/>
        </w:rPr>
        <w:t xml:space="preserve"> </w:t>
      </w:r>
      <w:r>
        <w:rPr>
          <w:rFonts w:ascii="宋体" w:hAnsi="宋体" w:eastAsia="宋体" w:cs="宋体"/>
          <w:spacing w:val="-9"/>
          <w:sz w:val="24"/>
          <w:szCs w:val="24"/>
        </w:rPr>
        <w:t>《地表水环境质量标准》（</w:t>
      </w:r>
      <w:r>
        <w:rPr>
          <w:rFonts w:ascii="Times New Roman" w:hAnsi="Times New Roman" w:eastAsia="Times New Roman" w:cs="Times New Roman"/>
          <w:spacing w:val="-9"/>
          <w:sz w:val="24"/>
          <w:szCs w:val="24"/>
        </w:rPr>
        <w:t>GB3838-20</w:t>
      </w:r>
      <w:r>
        <w:rPr>
          <w:rFonts w:ascii="Times New Roman" w:hAnsi="Times New Roman" w:eastAsia="Times New Roman" w:cs="Times New Roman"/>
          <w:spacing w:val="-10"/>
          <w:sz w:val="24"/>
          <w:szCs w:val="24"/>
        </w:rPr>
        <w:t>02</w:t>
      </w:r>
      <w:r>
        <w:rPr>
          <w:rFonts w:ascii="宋体" w:hAnsi="宋体" w:eastAsia="宋体" w:cs="宋体"/>
          <w:spacing w:val="-10"/>
          <w:sz w:val="24"/>
          <w:szCs w:val="24"/>
        </w:rPr>
        <w:t>）Ⅲ类标准， 主要评述对水资源综合利用</w:t>
      </w:r>
    </w:p>
    <w:p>
      <w:pPr>
        <w:spacing w:line="219" w:lineRule="auto"/>
        <w:ind w:left="40"/>
        <w:rPr>
          <w:rFonts w:ascii="宋体" w:hAnsi="宋体" w:eastAsia="宋体" w:cs="宋体"/>
          <w:sz w:val="24"/>
          <w:szCs w:val="24"/>
        </w:rPr>
      </w:pPr>
      <w:r>
        <w:rPr>
          <w:rFonts w:ascii="宋体" w:hAnsi="宋体" w:eastAsia="宋体" w:cs="宋体"/>
          <w:spacing w:val="-4"/>
          <w:sz w:val="24"/>
          <w:szCs w:val="24"/>
        </w:rPr>
        <w:t>和可持续利用的影响。</w:t>
      </w:r>
    </w:p>
    <w:p>
      <w:pPr>
        <w:spacing w:before="184" w:line="217" w:lineRule="auto"/>
        <w:ind w:left="518"/>
        <w:rPr>
          <w:rFonts w:ascii="宋体" w:hAnsi="宋体" w:eastAsia="宋体" w:cs="宋体"/>
          <w:sz w:val="24"/>
          <w:szCs w:val="24"/>
        </w:rPr>
      </w:pPr>
      <w:r>
        <w:rPr>
          <w:rFonts w:ascii="宋体" w:hAnsi="宋体" w:eastAsia="宋体" w:cs="宋体"/>
          <w:spacing w:val="-1"/>
          <w:sz w:val="24"/>
          <w:szCs w:val="24"/>
        </w:rPr>
        <w:t>①氮、磷浓度变化预测</w:t>
      </w:r>
    </w:p>
    <w:p>
      <w:pPr>
        <w:spacing w:before="184" w:line="467" w:lineRule="exact"/>
        <w:ind w:right="30"/>
        <w:jc w:val="right"/>
        <w:rPr>
          <w:rFonts w:ascii="宋体" w:hAnsi="宋体" w:eastAsia="宋体" w:cs="宋体"/>
          <w:sz w:val="24"/>
          <w:szCs w:val="24"/>
        </w:rPr>
      </w:pPr>
      <w:r>
        <w:rPr>
          <w:rFonts w:ascii="宋体" w:hAnsi="宋体" w:eastAsia="宋体" w:cs="宋体"/>
          <w:spacing w:val="-7"/>
          <w:position w:val="17"/>
          <w:sz w:val="24"/>
          <w:szCs w:val="24"/>
        </w:rPr>
        <w:t>采用狄隆数学模型分析营养元素氮、磷的浓度变化， 预测水库富营养化发展</w:t>
      </w:r>
    </w:p>
    <w:p>
      <w:pPr>
        <w:spacing w:line="219" w:lineRule="auto"/>
        <w:ind w:left="38"/>
        <w:rPr>
          <w:rFonts w:ascii="宋体" w:hAnsi="宋体" w:eastAsia="宋体" w:cs="宋体"/>
          <w:sz w:val="24"/>
          <w:szCs w:val="24"/>
        </w:rPr>
      </w:pPr>
      <w:r>
        <w:rPr>
          <w:rFonts w:ascii="宋体" w:hAnsi="宋体" w:eastAsia="宋体" w:cs="宋体"/>
          <w:spacing w:val="-10"/>
          <w:sz w:val="24"/>
          <w:szCs w:val="24"/>
        </w:rPr>
        <w:t>趋势。</w:t>
      </w:r>
    </w:p>
    <w:p>
      <w:pPr>
        <w:spacing w:before="181" w:line="213" w:lineRule="auto"/>
        <w:ind w:left="2651"/>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[P]=Ip</w:t>
      </w:r>
      <w:r>
        <w:rPr>
          <w:rFonts w:ascii="宋体" w:hAnsi="宋体" w:eastAsia="宋体" w:cs="宋体"/>
          <w:spacing w:val="-1"/>
          <w:sz w:val="24"/>
          <w:szCs w:val="24"/>
        </w:rPr>
        <w:t>（</w:t>
      </w:r>
      <w:r>
        <w:rPr>
          <w:rFonts w:ascii="Times New Roman" w:hAnsi="Times New Roman" w:eastAsia="Times New Roman" w:cs="Times New Roman"/>
          <w:spacing w:val="-1"/>
          <w:sz w:val="24"/>
          <w:szCs w:val="24"/>
        </w:rPr>
        <w:t>1-Rp</w:t>
      </w:r>
      <w:r>
        <w:rPr>
          <w:rFonts w:ascii="宋体" w:hAnsi="宋体" w:eastAsia="宋体" w:cs="宋体"/>
          <w:spacing w:val="-1"/>
          <w:sz w:val="24"/>
          <w:szCs w:val="24"/>
        </w:rPr>
        <w:t>）</w:t>
      </w:r>
      <w:r>
        <w:rPr>
          <w:rFonts w:ascii="Times New Roman" w:hAnsi="Times New Roman" w:eastAsia="Times New Roman" w:cs="Times New Roman"/>
          <w:spacing w:val="-1"/>
          <w:sz w:val="24"/>
          <w:szCs w:val="24"/>
        </w:rPr>
        <w:t>/rV= Ip</w:t>
      </w:r>
      <w:r>
        <w:rPr>
          <w:rFonts w:ascii="宋体" w:hAnsi="宋体" w:eastAsia="宋体" w:cs="宋体"/>
          <w:spacing w:val="-1"/>
          <w:sz w:val="24"/>
          <w:szCs w:val="24"/>
        </w:rPr>
        <w:t>（</w:t>
      </w:r>
      <w:r>
        <w:rPr>
          <w:rFonts w:ascii="Times New Roman" w:hAnsi="Times New Roman" w:eastAsia="Times New Roman" w:cs="Times New Roman"/>
          <w:spacing w:val="-1"/>
          <w:sz w:val="24"/>
          <w:szCs w:val="24"/>
        </w:rPr>
        <w:t>1-Rp</w:t>
      </w:r>
      <w:r>
        <w:rPr>
          <w:rFonts w:ascii="宋体" w:hAnsi="宋体" w:eastAsia="宋体" w:cs="宋体"/>
          <w:spacing w:val="-1"/>
          <w:sz w:val="24"/>
          <w:szCs w:val="24"/>
        </w:rPr>
        <w:t>）</w:t>
      </w:r>
      <w:r>
        <w:rPr>
          <w:rFonts w:ascii="Times New Roman" w:hAnsi="Times New Roman" w:eastAsia="Times New Roman" w:cs="Times New Roman"/>
          <w:spacing w:val="-1"/>
          <w:sz w:val="24"/>
          <w:szCs w:val="24"/>
        </w:rPr>
        <w:t>/rH</w:t>
      </w:r>
    </w:p>
    <w:p>
      <w:pPr>
        <w:spacing w:before="210" w:line="157" w:lineRule="auto"/>
        <w:ind w:left="3621"/>
        <w:rPr>
          <w:rFonts w:ascii="Times New Roman" w:hAnsi="Times New Roman" w:eastAsia="Times New Roman" w:cs="Times New Roman"/>
          <w:sz w:val="14"/>
          <w:szCs w:val="14"/>
        </w:rPr>
      </w:pPr>
      <w:r>
        <w:rPr>
          <w:rFonts w:ascii="Times New Roman" w:hAnsi="Times New Roman" w:eastAsia="Times New Roman" w:cs="Times New Roman"/>
          <w:i/>
          <w:iCs/>
          <w:position w:val="-12"/>
          <w:sz w:val="23"/>
          <w:szCs w:val="23"/>
        </w:rPr>
        <w:t>R</w:t>
      </w:r>
      <w:r>
        <w:rPr>
          <w:rFonts w:ascii="Times New Roman" w:hAnsi="Times New Roman" w:eastAsia="Times New Roman" w:cs="Times New Roman"/>
          <w:position w:val="-12"/>
          <w:sz w:val="23"/>
          <w:szCs w:val="23"/>
        </w:rPr>
        <w:t>p</w:t>
      </w:r>
      <w:r>
        <w:rPr>
          <w:rFonts w:ascii="Times New Roman" w:hAnsi="Times New Roman" w:eastAsia="Times New Roman" w:cs="Times New Roman"/>
          <w:spacing w:val="6"/>
          <w:position w:val="-12"/>
          <w:sz w:val="23"/>
          <w:szCs w:val="23"/>
        </w:rPr>
        <w:t xml:space="preserve"> </w:t>
      </w:r>
      <w:r>
        <w:rPr>
          <w:rFonts w:ascii="微软雅黑" w:hAnsi="微软雅黑" w:eastAsia="微软雅黑" w:cs="微软雅黑"/>
          <w:spacing w:val="6"/>
          <w:position w:val="-12"/>
          <w:sz w:val="23"/>
          <w:szCs w:val="23"/>
        </w:rPr>
        <w:t>=</w:t>
      </w:r>
      <w:r>
        <w:rPr>
          <w:rFonts w:ascii="微软雅黑" w:hAnsi="微软雅黑" w:eastAsia="微软雅黑" w:cs="微软雅黑"/>
          <w:spacing w:val="-13"/>
          <w:position w:val="-12"/>
          <w:sz w:val="23"/>
          <w:szCs w:val="23"/>
        </w:rPr>
        <w:t xml:space="preserve"> </w:t>
      </w:r>
      <w:r>
        <w:rPr>
          <w:rFonts w:ascii="Times New Roman" w:hAnsi="Times New Roman" w:eastAsia="Times New Roman" w:cs="Times New Roman"/>
          <w:spacing w:val="6"/>
          <w:position w:val="-12"/>
          <w:sz w:val="23"/>
          <w:szCs w:val="23"/>
        </w:rPr>
        <w:t>1</w:t>
      </w:r>
      <w:r>
        <w:rPr>
          <w:rFonts w:ascii="Times New Roman" w:hAnsi="Times New Roman" w:eastAsia="Times New Roman" w:cs="Times New Roman"/>
          <w:spacing w:val="-21"/>
          <w:position w:val="-12"/>
          <w:sz w:val="23"/>
          <w:szCs w:val="23"/>
        </w:rPr>
        <w:t xml:space="preserve"> </w:t>
      </w:r>
      <w:r>
        <w:rPr>
          <w:rFonts w:ascii="Times New Roman" w:hAnsi="Times New Roman" w:eastAsia="Times New Roman" w:cs="Times New Roman"/>
          <w:spacing w:val="6"/>
          <w:position w:val="-12"/>
          <w:sz w:val="23"/>
          <w:szCs w:val="23"/>
        </w:rPr>
        <w:t>-</w:t>
      </w:r>
      <w:r>
        <w:rPr>
          <w:rFonts w:ascii="Times New Roman" w:hAnsi="Times New Roman" w:eastAsia="Times New Roman" w:cs="Times New Roman"/>
          <w:spacing w:val="17"/>
          <w:w w:val="101"/>
          <w:position w:val="-12"/>
          <w:sz w:val="23"/>
          <w:szCs w:val="23"/>
        </w:rPr>
        <w:t xml:space="preserve"> </w:t>
      </w:r>
      <w:r>
        <w:rPr>
          <w:rFonts w:ascii="微软雅黑" w:hAnsi="微软雅黑" w:eastAsia="微软雅黑" w:cs="微软雅黑"/>
          <w:spacing w:val="6"/>
          <w:position w:val="1"/>
          <w:sz w:val="35"/>
          <w:szCs w:val="35"/>
          <w:u w:val="single" w:color="auto"/>
        </w:rPr>
        <w:t>Σ</w:t>
      </w:r>
      <w:r>
        <w:rPr>
          <w:rFonts w:ascii="微软雅黑" w:hAnsi="微软雅黑" w:eastAsia="微软雅黑" w:cs="微软雅黑"/>
          <w:spacing w:val="-66"/>
          <w:position w:val="1"/>
          <w:sz w:val="35"/>
          <w:szCs w:val="35"/>
          <w:u w:val="single" w:color="auto"/>
        </w:rPr>
        <w:t xml:space="preserve"> </w:t>
      </w:r>
      <w:r>
        <w:rPr>
          <w:rFonts w:ascii="Times New Roman" w:hAnsi="Times New Roman" w:eastAsia="Times New Roman" w:cs="Times New Roman"/>
          <w:position w:val="6"/>
          <w:sz w:val="23"/>
          <w:szCs w:val="23"/>
          <w:u w:val="single" w:color="auto"/>
        </w:rPr>
        <w:t>q</w:t>
      </w:r>
      <w:r>
        <w:rPr>
          <w:rFonts w:ascii="Times New Roman" w:hAnsi="Times New Roman" w:eastAsia="Times New Roman" w:cs="Times New Roman"/>
          <w:sz w:val="14"/>
          <w:szCs w:val="14"/>
          <w:u w:val="single" w:color="auto"/>
        </w:rPr>
        <w:t>a</w:t>
      </w:r>
      <w:r>
        <w:rPr>
          <w:rFonts w:ascii="Times New Roman" w:hAnsi="Times New Roman" w:eastAsia="Times New Roman" w:cs="Times New Roman"/>
          <w:spacing w:val="16"/>
          <w:sz w:val="14"/>
          <w:szCs w:val="14"/>
          <w:u w:val="single" w:color="auto"/>
        </w:rPr>
        <w:t xml:space="preserve"> </w:t>
      </w:r>
      <w:r>
        <w:rPr>
          <w:rFonts w:ascii="Times New Roman" w:hAnsi="Times New Roman" w:eastAsia="Times New Roman" w:cs="Times New Roman"/>
          <w:spacing w:val="6"/>
          <w:position w:val="6"/>
          <w:sz w:val="23"/>
          <w:szCs w:val="23"/>
          <w:u w:val="single" w:color="auto"/>
        </w:rPr>
        <w:t>[</w:t>
      </w:r>
      <w:r>
        <w:rPr>
          <w:rFonts w:ascii="Times New Roman" w:hAnsi="Times New Roman" w:eastAsia="Times New Roman" w:cs="Times New Roman"/>
          <w:i/>
          <w:iCs/>
          <w:spacing w:val="6"/>
          <w:position w:val="6"/>
          <w:sz w:val="23"/>
          <w:szCs w:val="23"/>
          <w:u w:val="single" w:color="auto"/>
        </w:rPr>
        <w:t>P</w:t>
      </w:r>
      <w:r>
        <w:rPr>
          <w:rFonts w:ascii="Times New Roman" w:hAnsi="Times New Roman" w:eastAsia="Times New Roman" w:cs="Times New Roman"/>
          <w:spacing w:val="6"/>
          <w:position w:val="6"/>
          <w:sz w:val="23"/>
          <w:szCs w:val="23"/>
          <w:u w:val="single" w:color="auto"/>
        </w:rPr>
        <w:t>]</w:t>
      </w:r>
      <w:r>
        <w:rPr>
          <w:rFonts w:ascii="Times New Roman" w:hAnsi="Times New Roman" w:eastAsia="Times New Roman" w:cs="Times New Roman"/>
          <w:spacing w:val="6"/>
          <w:sz w:val="14"/>
          <w:szCs w:val="14"/>
          <w:u w:val="single" w:color="auto"/>
        </w:rPr>
        <w:t>a</w:t>
      </w:r>
      <w:r>
        <w:rPr>
          <w:rFonts w:ascii="Times New Roman" w:hAnsi="Times New Roman" w:eastAsia="Times New Roman" w:cs="Times New Roman"/>
          <w:sz w:val="14"/>
          <w:szCs w:val="14"/>
          <w:u w:val="single" w:color="auto"/>
        </w:rPr>
        <w:t xml:space="preserve">  </w:t>
      </w:r>
    </w:p>
    <w:p>
      <w:pPr>
        <w:spacing w:before="1" w:line="161" w:lineRule="auto"/>
        <w:ind w:left="4444"/>
        <w:rPr>
          <w:rFonts w:ascii="Times New Roman" w:hAnsi="Times New Roman" w:eastAsia="Times New Roman" w:cs="Times New Roman"/>
          <w:sz w:val="14"/>
          <w:szCs w:val="14"/>
        </w:rPr>
      </w:pPr>
      <w:r>
        <w:rPr>
          <w:rFonts w:ascii="微软雅黑" w:hAnsi="微软雅黑" w:eastAsia="微软雅黑" w:cs="微软雅黑"/>
          <w:spacing w:val="18"/>
          <w:position w:val="-3"/>
          <w:sz w:val="35"/>
          <w:szCs w:val="35"/>
        </w:rPr>
        <w:t>Σ</w:t>
      </w:r>
      <w:r>
        <w:rPr>
          <w:rFonts w:ascii="微软雅黑" w:hAnsi="微软雅黑" w:eastAsia="微软雅黑" w:cs="微软雅黑"/>
          <w:spacing w:val="-65"/>
          <w:position w:val="-3"/>
          <w:sz w:val="35"/>
          <w:szCs w:val="35"/>
        </w:rPr>
        <w:t xml:space="preserve"> </w:t>
      </w:r>
      <w:r>
        <w:rPr>
          <w:rFonts w:ascii="Times New Roman" w:hAnsi="Times New Roman" w:eastAsia="Times New Roman" w:cs="Times New Roman"/>
          <w:position w:val="2"/>
          <w:sz w:val="23"/>
          <w:szCs w:val="23"/>
        </w:rPr>
        <w:t>q</w:t>
      </w:r>
      <w:r>
        <w:rPr>
          <w:rFonts w:ascii="Times New Roman" w:hAnsi="Times New Roman" w:eastAsia="Times New Roman" w:cs="Times New Roman"/>
          <w:position w:val="-3"/>
          <w:sz w:val="14"/>
          <w:szCs w:val="14"/>
        </w:rPr>
        <w:t>i</w:t>
      </w:r>
      <w:r>
        <w:rPr>
          <w:rFonts w:ascii="Times New Roman" w:hAnsi="Times New Roman" w:eastAsia="Times New Roman" w:cs="Times New Roman"/>
          <w:spacing w:val="18"/>
          <w:position w:val="-3"/>
          <w:sz w:val="14"/>
          <w:szCs w:val="14"/>
        </w:rPr>
        <w:t xml:space="preserve"> </w:t>
      </w:r>
      <w:r>
        <w:rPr>
          <w:rFonts w:ascii="Times New Roman" w:hAnsi="Times New Roman" w:eastAsia="Times New Roman" w:cs="Times New Roman"/>
          <w:spacing w:val="18"/>
          <w:position w:val="2"/>
          <w:sz w:val="23"/>
          <w:szCs w:val="23"/>
        </w:rPr>
        <w:t>[</w:t>
      </w:r>
      <w:r>
        <w:rPr>
          <w:rFonts w:ascii="Times New Roman" w:hAnsi="Times New Roman" w:eastAsia="Times New Roman" w:cs="Times New Roman"/>
          <w:i/>
          <w:iCs/>
          <w:spacing w:val="18"/>
          <w:position w:val="2"/>
          <w:sz w:val="23"/>
          <w:szCs w:val="23"/>
        </w:rPr>
        <w:t>P</w:t>
      </w:r>
      <w:r>
        <w:rPr>
          <w:rFonts w:ascii="Times New Roman" w:hAnsi="Times New Roman" w:eastAsia="Times New Roman" w:cs="Times New Roman"/>
          <w:spacing w:val="18"/>
          <w:position w:val="2"/>
          <w:sz w:val="23"/>
          <w:szCs w:val="23"/>
        </w:rPr>
        <w:t>]</w:t>
      </w:r>
      <w:r>
        <w:rPr>
          <w:rFonts w:ascii="Times New Roman" w:hAnsi="Times New Roman" w:eastAsia="Times New Roman" w:cs="Times New Roman"/>
          <w:spacing w:val="18"/>
          <w:position w:val="-3"/>
          <w:sz w:val="14"/>
          <w:szCs w:val="14"/>
        </w:rPr>
        <w:t>i</w:t>
      </w:r>
    </w:p>
    <w:p>
      <w:pPr>
        <w:spacing w:before="29" w:line="194" w:lineRule="auto"/>
        <w:ind w:left="411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r=Q/V</w:t>
      </w:r>
    </w:p>
    <w:p>
      <w:pPr>
        <w:spacing w:before="169" w:line="212" w:lineRule="auto"/>
        <w:ind w:left="524"/>
        <w:rPr>
          <w:rFonts w:ascii="宋体" w:hAnsi="宋体" w:eastAsia="宋体" w:cs="宋体"/>
          <w:sz w:val="24"/>
          <w:szCs w:val="24"/>
        </w:rPr>
      </w:pPr>
      <w:r>
        <w:rPr>
          <w:rFonts w:ascii="宋体" w:hAnsi="宋体" w:eastAsia="宋体" w:cs="宋体"/>
          <w:spacing w:val="-8"/>
          <w:sz w:val="24"/>
          <w:szCs w:val="24"/>
        </w:rPr>
        <w:t xml:space="preserve">式中： </w:t>
      </w:r>
      <w:r>
        <w:rPr>
          <w:rFonts w:ascii="Times New Roman" w:hAnsi="Times New Roman" w:eastAsia="Times New Roman" w:cs="Times New Roman"/>
          <w:spacing w:val="-8"/>
          <w:sz w:val="24"/>
          <w:szCs w:val="24"/>
        </w:rPr>
        <w:t>[P]</w:t>
      </w:r>
      <w:r>
        <w:rPr>
          <w:rFonts w:ascii="宋体" w:hAnsi="宋体" w:eastAsia="宋体" w:cs="宋体"/>
          <w:spacing w:val="-8"/>
          <w:sz w:val="24"/>
          <w:szCs w:val="24"/>
        </w:rPr>
        <w:t>——湖（库）中磷（氮）的平均浓度，</w:t>
      </w:r>
      <w:r>
        <w:rPr>
          <w:rFonts w:ascii="宋体" w:hAnsi="宋体" w:eastAsia="宋体" w:cs="宋体"/>
          <w:spacing w:val="-23"/>
          <w:sz w:val="24"/>
          <w:szCs w:val="24"/>
        </w:rPr>
        <w:t xml:space="preserve"> </w:t>
      </w:r>
      <w:r>
        <w:rPr>
          <w:rFonts w:ascii="Times New Roman" w:hAnsi="Times New Roman" w:eastAsia="Times New Roman" w:cs="Times New Roman"/>
          <w:spacing w:val="-8"/>
          <w:sz w:val="24"/>
          <w:szCs w:val="24"/>
        </w:rPr>
        <w:t>mg/L</w:t>
      </w:r>
      <w:r>
        <w:rPr>
          <w:rFonts w:ascii="宋体" w:hAnsi="宋体" w:eastAsia="宋体" w:cs="宋体"/>
          <w:spacing w:val="-8"/>
          <w:sz w:val="24"/>
          <w:szCs w:val="24"/>
        </w:rPr>
        <w:t>；</w:t>
      </w:r>
    </w:p>
    <w:p>
      <w:pPr>
        <w:spacing w:line="212" w:lineRule="auto"/>
        <w:rPr>
          <w:rFonts w:ascii="宋体" w:hAnsi="宋体" w:eastAsia="宋体" w:cs="宋体"/>
          <w:sz w:val="24"/>
          <w:szCs w:val="24"/>
        </w:rPr>
        <w:sectPr>
          <w:headerReference r:id="rId340" w:type="default"/>
          <w:footerReference r:id="rId341" w:type="default"/>
          <w:pgSz w:w="11907" w:h="16839"/>
          <w:pgMar w:top="1156" w:right="1768" w:bottom="1374" w:left="1770" w:header="881" w:footer="1210" w:gutter="0"/>
        </w:sectPr>
      </w:pPr>
    </w:p>
    <w:p>
      <w:pPr>
        <w:rPr>
          <w:rFonts w:ascii="Arial"/>
          <w:sz w:val="21"/>
        </w:rPr>
      </w:pPr>
    </w:p>
    <w:p>
      <w:pPr>
        <w:spacing w:before="78" w:line="212" w:lineRule="auto"/>
        <w:ind w:left="1236"/>
        <w:rPr>
          <w:rFonts w:ascii="宋体" w:hAnsi="宋体" w:eastAsia="宋体" w:cs="宋体"/>
          <w:sz w:val="24"/>
          <w:szCs w:val="24"/>
        </w:rPr>
      </w:pPr>
      <w:r>
        <w:rPr>
          <w:rFonts w:ascii="Times New Roman" w:hAnsi="Times New Roman" w:eastAsia="Times New Roman" w:cs="Times New Roman"/>
          <w:sz w:val="24"/>
          <w:szCs w:val="24"/>
        </w:rPr>
        <w:t>Ip</w:t>
      </w:r>
      <w:r>
        <w:rPr>
          <w:rFonts w:ascii="宋体" w:hAnsi="宋体" w:eastAsia="宋体" w:cs="宋体"/>
          <w:sz w:val="24"/>
          <w:szCs w:val="24"/>
        </w:rPr>
        <w:t>——单位时间进入湖（库）的氮（磷）</w:t>
      </w:r>
      <w:r>
        <w:rPr>
          <w:rFonts w:ascii="宋体" w:hAnsi="宋体" w:eastAsia="宋体" w:cs="宋体"/>
          <w:spacing w:val="-1"/>
          <w:sz w:val="24"/>
          <w:szCs w:val="24"/>
        </w:rPr>
        <w:t>质量，</w:t>
      </w:r>
      <w:r>
        <w:rPr>
          <w:rFonts w:ascii="Times New Roman" w:hAnsi="Times New Roman" w:eastAsia="Times New Roman" w:cs="Times New Roman"/>
          <w:spacing w:val="-1"/>
          <w:sz w:val="24"/>
          <w:szCs w:val="24"/>
        </w:rPr>
        <w:t>g/a</w:t>
      </w:r>
      <w:r>
        <w:rPr>
          <w:rFonts w:ascii="宋体" w:hAnsi="宋体" w:eastAsia="宋体" w:cs="宋体"/>
          <w:spacing w:val="-1"/>
          <w:sz w:val="24"/>
          <w:szCs w:val="24"/>
        </w:rPr>
        <w:t>；</w:t>
      </w:r>
    </w:p>
    <w:p>
      <w:pPr>
        <w:spacing w:before="190" w:line="467" w:lineRule="exact"/>
        <w:ind w:right="36"/>
        <w:jc w:val="right"/>
        <w:rPr>
          <w:rFonts w:ascii="宋体" w:hAnsi="宋体" w:eastAsia="宋体" w:cs="宋体"/>
          <w:sz w:val="24"/>
          <w:szCs w:val="24"/>
        </w:rPr>
      </w:pPr>
      <w:r>
        <w:rPr>
          <w:rFonts w:ascii="Times New Roman" w:hAnsi="Times New Roman" w:eastAsia="Times New Roman" w:cs="Times New Roman"/>
          <w:spacing w:val="-15"/>
          <w:position w:val="17"/>
          <w:sz w:val="24"/>
          <w:szCs w:val="24"/>
        </w:rPr>
        <w:t>Lp</w:t>
      </w:r>
      <w:r>
        <w:rPr>
          <w:rFonts w:ascii="宋体" w:hAnsi="宋体" w:eastAsia="宋体" w:cs="宋体"/>
          <w:spacing w:val="-15"/>
          <w:position w:val="17"/>
          <w:sz w:val="24"/>
          <w:szCs w:val="24"/>
        </w:rPr>
        <w:t>——单位时间、单位面积进入湖（库）的氮、磷负荷量，</w:t>
      </w:r>
      <w:r>
        <w:rPr>
          <w:rFonts w:ascii="宋体" w:hAnsi="宋体" w:eastAsia="宋体" w:cs="宋体"/>
          <w:spacing w:val="-47"/>
          <w:position w:val="17"/>
          <w:sz w:val="24"/>
          <w:szCs w:val="24"/>
        </w:rPr>
        <w:t xml:space="preserve"> </w:t>
      </w:r>
      <w:r>
        <w:rPr>
          <w:rFonts w:ascii="Times New Roman" w:hAnsi="Times New Roman" w:eastAsia="Times New Roman" w:cs="Times New Roman"/>
          <w:spacing w:val="-15"/>
          <w:position w:val="17"/>
          <w:sz w:val="24"/>
          <w:szCs w:val="24"/>
        </w:rPr>
        <w:t>g/</w:t>
      </w:r>
      <w:r>
        <w:rPr>
          <w:rFonts w:ascii="宋体" w:hAnsi="宋体" w:eastAsia="宋体" w:cs="宋体"/>
          <w:spacing w:val="-15"/>
          <w:position w:val="17"/>
          <w:sz w:val="24"/>
          <w:szCs w:val="24"/>
        </w:rPr>
        <w:t>（</w:t>
      </w:r>
      <w:r>
        <w:rPr>
          <w:rFonts w:ascii="Times New Roman" w:hAnsi="Times New Roman" w:eastAsia="Times New Roman" w:cs="Times New Roman"/>
          <w:spacing w:val="-15"/>
          <w:position w:val="17"/>
          <w:sz w:val="24"/>
          <w:szCs w:val="24"/>
        </w:rPr>
        <w:t>m</w:t>
      </w:r>
      <w:r>
        <w:rPr>
          <w:rFonts w:ascii="Times New Roman" w:hAnsi="Times New Roman" w:eastAsia="Times New Roman" w:cs="Times New Roman"/>
          <w:spacing w:val="3"/>
          <w:position w:val="25"/>
          <w:sz w:val="15"/>
          <w:szCs w:val="15"/>
        </w:rPr>
        <w:t>2</w:t>
      </w:r>
      <w:r>
        <w:rPr>
          <w:rFonts w:ascii="Times New Roman" w:hAnsi="Times New Roman" w:eastAsia="Times New Roman" w:cs="Times New Roman"/>
          <w:spacing w:val="3"/>
          <w:position w:val="17"/>
          <w:sz w:val="24"/>
          <w:szCs w:val="24"/>
        </w:rPr>
        <w:t>.a</w:t>
      </w:r>
      <w:r>
        <w:rPr>
          <w:rFonts w:ascii="宋体" w:hAnsi="宋体" w:eastAsia="宋体" w:cs="宋体"/>
          <w:spacing w:val="-43"/>
          <w:position w:val="17"/>
          <w:sz w:val="24"/>
          <w:szCs w:val="24"/>
        </w:rPr>
        <w:t>）；</w:t>
      </w:r>
    </w:p>
    <w:p>
      <w:pPr>
        <w:spacing w:line="233" w:lineRule="auto"/>
        <w:ind w:left="1234"/>
        <w:rPr>
          <w:rFonts w:ascii="宋体" w:hAnsi="宋体" w:eastAsia="宋体" w:cs="宋体"/>
          <w:sz w:val="24"/>
          <w:szCs w:val="24"/>
        </w:rPr>
      </w:pPr>
      <w:r>
        <w:rPr>
          <w:rFonts w:ascii="Times New Roman" w:hAnsi="Times New Roman" w:eastAsia="Times New Roman" w:cs="Times New Roman"/>
          <w:spacing w:val="-15"/>
          <w:sz w:val="24"/>
          <w:szCs w:val="24"/>
        </w:rPr>
        <w:t>H</w:t>
      </w:r>
      <w:r>
        <w:rPr>
          <w:rFonts w:ascii="宋体" w:hAnsi="宋体" w:eastAsia="宋体" w:cs="宋体"/>
          <w:spacing w:val="-15"/>
          <w:sz w:val="24"/>
          <w:szCs w:val="24"/>
        </w:rPr>
        <w:t>——平均水深，</w:t>
      </w:r>
      <w:r>
        <w:rPr>
          <w:rFonts w:ascii="宋体" w:hAnsi="宋体" w:eastAsia="宋体" w:cs="宋体"/>
          <w:spacing w:val="24"/>
          <w:sz w:val="24"/>
          <w:szCs w:val="24"/>
        </w:rPr>
        <w:t xml:space="preserve"> </w:t>
      </w:r>
      <w:r>
        <w:rPr>
          <w:rFonts w:ascii="Times New Roman" w:hAnsi="Times New Roman" w:eastAsia="Times New Roman" w:cs="Times New Roman"/>
          <w:spacing w:val="-15"/>
          <w:sz w:val="24"/>
          <w:szCs w:val="24"/>
        </w:rPr>
        <w:t>m</w:t>
      </w:r>
      <w:r>
        <w:rPr>
          <w:rFonts w:ascii="宋体" w:hAnsi="宋体" w:eastAsia="宋体" w:cs="宋体"/>
          <w:spacing w:val="-15"/>
          <w:sz w:val="24"/>
          <w:szCs w:val="24"/>
        </w:rPr>
        <w:t>；</w:t>
      </w:r>
    </w:p>
    <w:p>
      <w:pPr>
        <w:spacing w:before="163" w:line="467" w:lineRule="exact"/>
        <w:ind w:left="1234"/>
        <w:rPr>
          <w:rFonts w:ascii="宋体" w:hAnsi="宋体" w:eastAsia="宋体" w:cs="宋体"/>
          <w:sz w:val="24"/>
          <w:szCs w:val="24"/>
        </w:rPr>
      </w:pPr>
      <w:r>
        <w:rPr>
          <w:rFonts w:ascii="Times New Roman" w:hAnsi="Times New Roman" w:eastAsia="Times New Roman" w:cs="Times New Roman"/>
          <w:spacing w:val="-2"/>
          <w:position w:val="17"/>
          <w:sz w:val="24"/>
          <w:szCs w:val="24"/>
        </w:rPr>
        <w:t>Rp</w:t>
      </w:r>
      <w:r>
        <w:rPr>
          <w:rFonts w:ascii="宋体" w:hAnsi="宋体" w:eastAsia="宋体" w:cs="宋体"/>
          <w:spacing w:val="-2"/>
          <w:position w:val="17"/>
          <w:sz w:val="24"/>
          <w:szCs w:val="24"/>
        </w:rPr>
        <w:t>——氮、磷在湖（库）中的滞留率，量纲为</w:t>
      </w:r>
      <w:r>
        <w:rPr>
          <w:rFonts w:ascii="宋体" w:hAnsi="宋体" w:eastAsia="宋体" w:cs="宋体"/>
          <w:spacing w:val="-20"/>
          <w:position w:val="17"/>
          <w:sz w:val="24"/>
          <w:szCs w:val="24"/>
        </w:rPr>
        <w:t xml:space="preserve"> </w:t>
      </w:r>
      <w:r>
        <w:rPr>
          <w:rFonts w:ascii="Times New Roman" w:hAnsi="Times New Roman" w:eastAsia="Times New Roman" w:cs="Times New Roman"/>
          <w:spacing w:val="-2"/>
          <w:position w:val="17"/>
          <w:sz w:val="24"/>
          <w:szCs w:val="24"/>
        </w:rPr>
        <w:t>1</w:t>
      </w:r>
      <w:r>
        <w:rPr>
          <w:rFonts w:ascii="宋体" w:hAnsi="宋体" w:eastAsia="宋体" w:cs="宋体"/>
          <w:spacing w:val="-2"/>
          <w:position w:val="17"/>
          <w:sz w:val="24"/>
          <w:szCs w:val="24"/>
        </w:rPr>
        <w:t>；</w:t>
      </w:r>
    </w:p>
    <w:p>
      <w:pPr>
        <w:spacing w:line="212" w:lineRule="auto"/>
        <w:ind w:left="1237"/>
        <w:rPr>
          <w:rFonts w:ascii="宋体" w:hAnsi="宋体" w:eastAsia="宋体" w:cs="宋体"/>
          <w:sz w:val="24"/>
          <w:szCs w:val="24"/>
        </w:rPr>
      </w:pPr>
      <w:r>
        <w:rPr>
          <w:rFonts w:ascii="Times New Roman" w:hAnsi="Times New Roman" w:eastAsia="Times New Roman" w:cs="Times New Roman"/>
          <w:spacing w:val="-1"/>
          <w:sz w:val="24"/>
          <w:szCs w:val="24"/>
        </w:rPr>
        <w:t>qa</w:t>
      </w:r>
      <w:r>
        <w:rPr>
          <w:rFonts w:ascii="宋体" w:hAnsi="宋体" w:eastAsia="宋体" w:cs="宋体"/>
          <w:spacing w:val="-1"/>
          <w:sz w:val="24"/>
          <w:szCs w:val="24"/>
        </w:rPr>
        <w:t>——年出流的水量，</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/a</w:t>
      </w:r>
      <w:r>
        <w:rPr>
          <w:rFonts w:ascii="宋体" w:hAnsi="宋体" w:eastAsia="宋体" w:cs="宋体"/>
          <w:spacing w:val="-1"/>
          <w:sz w:val="24"/>
          <w:szCs w:val="24"/>
        </w:rPr>
        <w:t>；</w:t>
      </w:r>
    </w:p>
    <w:p>
      <w:pPr>
        <w:spacing w:before="190" w:line="213" w:lineRule="auto"/>
        <w:ind w:left="1237"/>
        <w:rPr>
          <w:rFonts w:ascii="宋体" w:hAnsi="宋体" w:eastAsia="宋体" w:cs="宋体"/>
          <w:sz w:val="24"/>
          <w:szCs w:val="24"/>
        </w:rPr>
      </w:pPr>
      <w:r>
        <w:rPr>
          <w:rFonts w:ascii="Times New Roman" w:hAnsi="Times New Roman" w:eastAsia="Times New Roman" w:cs="Times New Roman"/>
          <w:spacing w:val="-16"/>
          <w:sz w:val="24"/>
          <w:szCs w:val="24"/>
        </w:rPr>
        <w:t>qi</w:t>
      </w:r>
      <w:r>
        <w:rPr>
          <w:rFonts w:ascii="宋体" w:hAnsi="宋体" w:eastAsia="宋体" w:cs="宋体"/>
          <w:spacing w:val="-16"/>
          <w:sz w:val="24"/>
          <w:szCs w:val="24"/>
        </w:rPr>
        <w:t>——年入流的水量，</w:t>
      </w:r>
      <w:r>
        <w:rPr>
          <w:rFonts w:ascii="宋体" w:hAnsi="宋体" w:eastAsia="宋体" w:cs="宋体"/>
          <w:spacing w:val="54"/>
          <w:sz w:val="24"/>
          <w:szCs w:val="24"/>
        </w:rPr>
        <w:t xml:space="preserve"> </w:t>
      </w:r>
      <w:r>
        <w:rPr>
          <w:rFonts w:ascii="Times New Roman" w:hAnsi="Times New Roman" w:eastAsia="Times New Roman" w:cs="Times New Roman"/>
          <w:spacing w:val="-16"/>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/a</w:t>
      </w:r>
      <w:r>
        <w:rPr>
          <w:rFonts w:ascii="宋体" w:hAnsi="宋体" w:eastAsia="宋体" w:cs="宋体"/>
          <w:spacing w:val="4"/>
          <w:sz w:val="24"/>
          <w:szCs w:val="24"/>
        </w:rPr>
        <w:t>；</w:t>
      </w:r>
    </w:p>
    <w:p>
      <w:pPr>
        <w:spacing w:before="191" w:line="466" w:lineRule="exact"/>
        <w:ind w:left="1249"/>
        <w:rPr>
          <w:rFonts w:ascii="宋体" w:hAnsi="宋体" w:eastAsia="宋体" w:cs="宋体"/>
          <w:sz w:val="24"/>
          <w:szCs w:val="24"/>
        </w:rPr>
      </w:pPr>
      <w:r>
        <w:rPr>
          <w:rFonts w:ascii="Times New Roman" w:hAnsi="Times New Roman" w:eastAsia="Times New Roman" w:cs="Times New Roman"/>
          <w:spacing w:val="-8"/>
          <w:position w:val="17"/>
          <w:sz w:val="24"/>
          <w:szCs w:val="24"/>
        </w:rPr>
        <w:t>[P]a</w:t>
      </w:r>
      <w:r>
        <w:rPr>
          <w:rFonts w:ascii="宋体" w:hAnsi="宋体" w:eastAsia="宋体" w:cs="宋体"/>
          <w:spacing w:val="-8"/>
          <w:position w:val="17"/>
          <w:sz w:val="24"/>
          <w:szCs w:val="24"/>
        </w:rPr>
        <w:t>——年出流的氮（磷）平均浓度，</w:t>
      </w:r>
      <w:r>
        <w:rPr>
          <w:rFonts w:ascii="宋体" w:hAnsi="宋体" w:eastAsia="宋体" w:cs="宋体"/>
          <w:spacing w:val="54"/>
          <w:position w:val="17"/>
          <w:sz w:val="24"/>
          <w:szCs w:val="24"/>
        </w:rPr>
        <w:t xml:space="preserve"> </w:t>
      </w:r>
      <w:r>
        <w:rPr>
          <w:rFonts w:ascii="Times New Roman" w:hAnsi="Times New Roman" w:eastAsia="Times New Roman" w:cs="Times New Roman"/>
          <w:spacing w:val="-8"/>
          <w:position w:val="17"/>
          <w:sz w:val="24"/>
          <w:szCs w:val="24"/>
        </w:rPr>
        <w:t>mg/</w:t>
      </w:r>
      <w:r>
        <w:rPr>
          <w:rFonts w:ascii="Times New Roman" w:hAnsi="Times New Roman" w:eastAsia="Times New Roman" w:cs="Times New Roman"/>
          <w:spacing w:val="-9"/>
          <w:position w:val="17"/>
          <w:sz w:val="24"/>
          <w:szCs w:val="24"/>
        </w:rPr>
        <w:t>L</w:t>
      </w:r>
      <w:r>
        <w:rPr>
          <w:rFonts w:ascii="宋体" w:hAnsi="宋体" w:eastAsia="宋体" w:cs="宋体"/>
          <w:spacing w:val="-9"/>
          <w:position w:val="17"/>
          <w:sz w:val="24"/>
          <w:szCs w:val="24"/>
        </w:rPr>
        <w:t>；</w:t>
      </w:r>
    </w:p>
    <w:p>
      <w:pPr>
        <w:spacing w:before="1" w:line="212" w:lineRule="auto"/>
        <w:ind w:left="1249"/>
        <w:rPr>
          <w:rFonts w:ascii="宋体" w:hAnsi="宋体" w:eastAsia="宋体" w:cs="宋体"/>
          <w:sz w:val="24"/>
          <w:szCs w:val="24"/>
        </w:rPr>
      </w:pPr>
      <w:r>
        <w:rPr>
          <w:rFonts w:ascii="Times New Roman" w:hAnsi="Times New Roman" w:eastAsia="Times New Roman" w:cs="Times New Roman"/>
          <w:spacing w:val="-8"/>
          <w:sz w:val="24"/>
          <w:szCs w:val="24"/>
        </w:rPr>
        <w:t>[P]i</w:t>
      </w:r>
      <w:r>
        <w:rPr>
          <w:rFonts w:ascii="宋体" w:hAnsi="宋体" w:eastAsia="宋体" w:cs="宋体"/>
          <w:spacing w:val="-8"/>
          <w:sz w:val="24"/>
          <w:szCs w:val="24"/>
        </w:rPr>
        <w:t>——年入流的氮（磷）平均浓度，</w:t>
      </w:r>
      <w:r>
        <w:rPr>
          <w:rFonts w:ascii="宋体" w:hAnsi="宋体" w:eastAsia="宋体" w:cs="宋体"/>
          <w:spacing w:val="54"/>
          <w:sz w:val="24"/>
          <w:szCs w:val="24"/>
        </w:rPr>
        <w:t xml:space="preserve"> </w:t>
      </w:r>
      <w:r>
        <w:rPr>
          <w:rFonts w:ascii="Times New Roman" w:hAnsi="Times New Roman" w:eastAsia="Times New Roman" w:cs="Times New Roman"/>
          <w:spacing w:val="-8"/>
          <w:sz w:val="24"/>
          <w:szCs w:val="24"/>
        </w:rPr>
        <w:t>mg/</w:t>
      </w:r>
      <w:r>
        <w:rPr>
          <w:rFonts w:ascii="Times New Roman" w:hAnsi="Times New Roman" w:eastAsia="Times New Roman" w:cs="Times New Roman"/>
          <w:spacing w:val="-9"/>
          <w:sz w:val="24"/>
          <w:szCs w:val="24"/>
        </w:rPr>
        <w:t>L</w:t>
      </w:r>
      <w:r>
        <w:rPr>
          <w:rFonts w:ascii="宋体" w:hAnsi="宋体" w:eastAsia="宋体" w:cs="宋体"/>
          <w:spacing w:val="-9"/>
          <w:sz w:val="24"/>
          <w:szCs w:val="24"/>
        </w:rPr>
        <w:t>；</w:t>
      </w:r>
    </w:p>
    <w:p>
      <w:pPr>
        <w:spacing w:before="192" w:line="467" w:lineRule="exact"/>
        <w:ind w:left="1238"/>
        <w:rPr>
          <w:rFonts w:ascii="宋体" w:hAnsi="宋体" w:eastAsia="宋体" w:cs="宋体"/>
          <w:sz w:val="24"/>
          <w:szCs w:val="24"/>
        </w:rPr>
      </w:pPr>
      <w:r>
        <w:rPr>
          <w:rFonts w:ascii="Times New Roman" w:hAnsi="Times New Roman" w:eastAsia="Times New Roman" w:cs="Times New Roman"/>
          <w:spacing w:val="-7"/>
          <w:position w:val="17"/>
          <w:sz w:val="24"/>
          <w:szCs w:val="24"/>
        </w:rPr>
        <w:t>Q</w:t>
      </w:r>
      <w:r>
        <w:rPr>
          <w:rFonts w:ascii="宋体" w:hAnsi="宋体" w:eastAsia="宋体" w:cs="宋体"/>
          <w:spacing w:val="-7"/>
          <w:position w:val="17"/>
          <w:sz w:val="24"/>
          <w:szCs w:val="24"/>
        </w:rPr>
        <w:t xml:space="preserve">——湖（库）年出流水量， </w:t>
      </w:r>
      <w:r>
        <w:rPr>
          <w:rFonts w:ascii="Times New Roman" w:hAnsi="Times New Roman" w:eastAsia="Times New Roman" w:cs="Times New Roman"/>
          <w:spacing w:val="-7"/>
          <w:position w:val="17"/>
          <w:sz w:val="24"/>
          <w:szCs w:val="24"/>
        </w:rPr>
        <w:t>m</w:t>
      </w:r>
      <w:r>
        <w:rPr>
          <w:rFonts w:ascii="Times New Roman" w:hAnsi="Times New Roman" w:eastAsia="Times New Roman" w:cs="Times New Roman"/>
          <w:spacing w:val="-7"/>
          <w:position w:val="25"/>
          <w:sz w:val="15"/>
          <w:szCs w:val="15"/>
        </w:rPr>
        <w:t>3</w:t>
      </w:r>
      <w:r>
        <w:rPr>
          <w:rFonts w:ascii="Times New Roman" w:hAnsi="Times New Roman" w:eastAsia="Times New Roman" w:cs="Times New Roman"/>
          <w:spacing w:val="-7"/>
          <w:position w:val="17"/>
          <w:sz w:val="24"/>
          <w:szCs w:val="24"/>
        </w:rPr>
        <w:t>/a</w:t>
      </w:r>
      <w:r>
        <w:rPr>
          <w:rFonts w:ascii="宋体" w:hAnsi="宋体" w:eastAsia="宋体" w:cs="宋体"/>
          <w:spacing w:val="-7"/>
          <w:position w:val="17"/>
          <w:sz w:val="24"/>
          <w:szCs w:val="24"/>
        </w:rPr>
        <w:t>；</w:t>
      </w:r>
    </w:p>
    <w:p>
      <w:pPr>
        <w:spacing w:line="233" w:lineRule="auto"/>
        <w:ind w:left="1232"/>
        <w:rPr>
          <w:rFonts w:ascii="宋体" w:hAnsi="宋体" w:eastAsia="宋体" w:cs="宋体"/>
          <w:sz w:val="24"/>
          <w:szCs w:val="24"/>
        </w:rPr>
      </w:pPr>
      <w:r>
        <w:rPr>
          <w:rFonts w:ascii="Times New Roman" w:hAnsi="Times New Roman" w:eastAsia="Times New Roman" w:cs="Times New Roman"/>
          <w:sz w:val="24"/>
          <w:szCs w:val="24"/>
        </w:rPr>
        <w:t>V</w:t>
      </w:r>
      <w:r>
        <w:rPr>
          <w:rFonts w:ascii="宋体" w:hAnsi="宋体" w:eastAsia="宋体" w:cs="宋体"/>
          <w:sz w:val="24"/>
          <w:szCs w:val="24"/>
        </w:rPr>
        <w:t>——水体体积，</w:t>
      </w:r>
      <w:r>
        <w:rPr>
          <w:rFonts w:ascii="Times New Roman" w:hAnsi="Times New Roman" w:eastAsia="Times New Roman" w:cs="Times New Roman"/>
          <w:sz w:val="24"/>
          <w:szCs w:val="24"/>
        </w:rPr>
        <w:t>m</w:t>
      </w:r>
      <w:r>
        <w:rPr>
          <w:rFonts w:ascii="Times New Roman" w:hAnsi="Times New Roman" w:eastAsia="Times New Roman" w:cs="Times New Roman"/>
          <w:position w:val="8"/>
          <w:sz w:val="15"/>
          <w:szCs w:val="15"/>
        </w:rPr>
        <w:t>3</w:t>
      </w:r>
      <w:r>
        <w:rPr>
          <w:rFonts w:ascii="宋体" w:hAnsi="宋体" w:eastAsia="宋体" w:cs="宋体"/>
          <w:sz w:val="24"/>
          <w:szCs w:val="24"/>
        </w:rPr>
        <w:t>。</w:t>
      </w:r>
    </w:p>
    <w:p>
      <w:pPr>
        <w:spacing w:before="164" w:line="359" w:lineRule="auto"/>
        <w:ind w:left="42" w:right="67" w:firstLine="479"/>
        <w:rPr>
          <w:rFonts w:ascii="宋体" w:hAnsi="宋体" w:eastAsia="宋体" w:cs="宋体"/>
          <w:sz w:val="24"/>
          <w:szCs w:val="24"/>
        </w:rPr>
      </w:pPr>
      <w:r>
        <w:rPr>
          <w:rFonts w:ascii="宋体" w:hAnsi="宋体" w:eastAsia="宋体" w:cs="宋体"/>
          <w:spacing w:val="-9"/>
          <w:sz w:val="24"/>
          <w:szCs w:val="24"/>
        </w:rPr>
        <w:t>参数选择概化：</w:t>
      </w:r>
      <w:r>
        <w:rPr>
          <w:rFonts w:ascii="宋体" w:hAnsi="宋体" w:eastAsia="宋体" w:cs="宋体"/>
          <w:spacing w:val="-26"/>
          <w:sz w:val="24"/>
          <w:szCs w:val="24"/>
        </w:rPr>
        <w:t xml:space="preserve"> </w:t>
      </w:r>
      <w:r>
        <w:rPr>
          <w:rFonts w:ascii="宋体" w:hAnsi="宋体" w:eastAsia="宋体" w:cs="宋体"/>
          <w:spacing w:val="-9"/>
          <w:sz w:val="24"/>
          <w:szCs w:val="24"/>
        </w:rPr>
        <w:t>假设将来桂花水库建设前后磷</w:t>
      </w:r>
      <w:r>
        <w:rPr>
          <w:rFonts w:ascii="宋体" w:hAnsi="宋体" w:eastAsia="宋体" w:cs="宋体"/>
          <w:spacing w:val="-10"/>
          <w:sz w:val="24"/>
          <w:szCs w:val="24"/>
        </w:rPr>
        <w:t>污染负荷不变， 水库面积以正</w:t>
      </w:r>
      <w:r>
        <w:rPr>
          <w:rFonts w:ascii="宋体" w:hAnsi="宋体" w:eastAsia="宋体" w:cs="宋体"/>
          <w:sz w:val="24"/>
          <w:szCs w:val="24"/>
        </w:rPr>
        <w:t xml:space="preserve"> </w:t>
      </w:r>
      <w:r>
        <w:rPr>
          <w:rFonts w:ascii="宋体" w:hAnsi="宋体" w:eastAsia="宋体" w:cs="宋体"/>
          <w:spacing w:val="-12"/>
          <w:sz w:val="24"/>
          <w:szCs w:val="24"/>
        </w:rPr>
        <w:t>常水面积考虑，</w:t>
      </w:r>
      <w:r>
        <w:rPr>
          <w:rFonts w:ascii="宋体" w:hAnsi="宋体" w:eastAsia="宋体" w:cs="宋体"/>
          <w:spacing w:val="32"/>
          <w:sz w:val="24"/>
          <w:szCs w:val="24"/>
        </w:rPr>
        <w:t xml:space="preserve"> </w:t>
      </w:r>
      <w:r>
        <w:rPr>
          <w:rFonts w:ascii="宋体" w:hAnsi="宋体" w:eastAsia="宋体" w:cs="宋体"/>
          <w:spacing w:val="-12"/>
          <w:sz w:val="24"/>
          <w:szCs w:val="24"/>
        </w:rPr>
        <w:t>水库库容以正常库容计， 入库水</w:t>
      </w:r>
      <w:r>
        <w:rPr>
          <w:rFonts w:ascii="宋体" w:hAnsi="宋体" w:eastAsia="宋体" w:cs="宋体"/>
          <w:spacing w:val="-13"/>
          <w:sz w:val="24"/>
          <w:szCs w:val="24"/>
        </w:rPr>
        <w:t>量以多年平均水量计，</w:t>
      </w:r>
      <w:r>
        <w:rPr>
          <w:rFonts w:ascii="宋体" w:hAnsi="宋体" w:eastAsia="宋体" w:cs="宋体"/>
          <w:spacing w:val="-53"/>
          <w:sz w:val="24"/>
          <w:szCs w:val="24"/>
        </w:rPr>
        <w:t xml:space="preserve"> </w:t>
      </w:r>
      <w:r>
        <w:rPr>
          <w:rFonts w:ascii="宋体" w:hAnsi="宋体" w:eastAsia="宋体" w:cs="宋体"/>
          <w:spacing w:val="-13"/>
          <w:sz w:val="24"/>
          <w:szCs w:val="24"/>
        </w:rPr>
        <w:t>水库平均</w:t>
      </w:r>
      <w:r>
        <w:rPr>
          <w:rFonts w:ascii="宋体" w:hAnsi="宋体" w:eastAsia="宋体" w:cs="宋体"/>
          <w:sz w:val="24"/>
          <w:szCs w:val="24"/>
        </w:rPr>
        <w:t xml:space="preserve"> </w:t>
      </w:r>
      <w:r>
        <w:rPr>
          <w:rFonts w:ascii="宋体" w:hAnsi="宋体" w:eastAsia="宋体" w:cs="宋体"/>
          <w:spacing w:val="-8"/>
          <w:sz w:val="24"/>
          <w:szCs w:val="24"/>
        </w:rPr>
        <w:t>水深按</w:t>
      </w:r>
      <w:r>
        <w:rPr>
          <w:rFonts w:ascii="宋体" w:hAnsi="宋体" w:eastAsia="宋体" w:cs="宋体"/>
          <w:spacing w:val="90"/>
          <w:sz w:val="24"/>
          <w:szCs w:val="24"/>
        </w:rPr>
        <w:t xml:space="preserve"> </w:t>
      </w:r>
      <w:r>
        <w:rPr>
          <w:rFonts w:ascii="宋体" w:hAnsi="宋体" w:eastAsia="宋体" w:cs="宋体"/>
          <w:spacing w:val="-8"/>
          <w:sz w:val="24"/>
          <w:szCs w:val="24"/>
        </w:rPr>
        <w:t>“正常库容</w:t>
      </w:r>
      <w:r>
        <w:rPr>
          <w:rFonts w:ascii="Times New Roman" w:hAnsi="Times New Roman" w:eastAsia="Times New Roman" w:cs="Times New Roman"/>
          <w:spacing w:val="-8"/>
          <w:sz w:val="24"/>
          <w:szCs w:val="24"/>
        </w:rPr>
        <w:t>/</w:t>
      </w:r>
      <w:r>
        <w:rPr>
          <w:rFonts w:ascii="宋体" w:hAnsi="宋体" w:eastAsia="宋体" w:cs="宋体"/>
          <w:spacing w:val="-8"/>
          <w:sz w:val="24"/>
          <w:szCs w:val="24"/>
        </w:rPr>
        <w:t>正常高水面积”计，水库磷总滞留系数以</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 xml:space="preserve">0.001/a </w:t>
      </w:r>
      <w:r>
        <w:rPr>
          <w:rFonts w:ascii="宋体" w:hAnsi="宋体" w:eastAsia="宋体" w:cs="宋体"/>
          <w:spacing w:val="-8"/>
          <w:sz w:val="24"/>
          <w:szCs w:val="24"/>
        </w:rPr>
        <w:t>计，</w:t>
      </w:r>
      <w:r>
        <w:rPr>
          <w:rFonts w:ascii="宋体" w:hAnsi="宋体" w:eastAsia="宋体" w:cs="宋体"/>
          <w:spacing w:val="-65"/>
          <w:sz w:val="24"/>
          <w:szCs w:val="24"/>
        </w:rPr>
        <w:t xml:space="preserve"> </w:t>
      </w:r>
      <w:r>
        <w:rPr>
          <w:rFonts w:ascii="宋体" w:hAnsi="宋体" w:eastAsia="宋体" w:cs="宋体"/>
          <w:spacing w:val="-8"/>
          <w:sz w:val="24"/>
          <w:szCs w:val="24"/>
        </w:rPr>
        <w:t>水库氨</w:t>
      </w:r>
    </w:p>
    <w:p>
      <w:pPr>
        <w:spacing w:before="1" w:line="218" w:lineRule="auto"/>
        <w:ind w:left="37"/>
        <w:rPr>
          <w:rFonts w:ascii="宋体" w:hAnsi="宋体" w:eastAsia="宋体" w:cs="宋体"/>
          <w:sz w:val="24"/>
          <w:szCs w:val="24"/>
        </w:rPr>
      </w:pPr>
      <w:r>
        <w:rPr>
          <w:rFonts w:ascii="宋体" w:hAnsi="宋体" w:eastAsia="宋体" w:cs="宋体"/>
          <w:spacing w:val="-2"/>
          <w:sz w:val="24"/>
          <w:szCs w:val="24"/>
        </w:rPr>
        <w:t>氮滞留系数以</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0.001/a </w:t>
      </w:r>
      <w:r>
        <w:rPr>
          <w:rFonts w:ascii="宋体" w:hAnsi="宋体" w:eastAsia="宋体" w:cs="宋体"/>
          <w:spacing w:val="-2"/>
          <w:sz w:val="24"/>
          <w:szCs w:val="24"/>
        </w:rPr>
        <w:t>计。</w:t>
      </w:r>
    </w:p>
    <w:p>
      <w:pPr>
        <w:spacing w:before="183" w:line="359" w:lineRule="auto"/>
        <w:ind w:left="37" w:right="69" w:firstLine="481"/>
        <w:rPr>
          <w:rFonts w:ascii="宋体" w:hAnsi="宋体" w:eastAsia="宋体" w:cs="宋体"/>
          <w:sz w:val="24"/>
          <w:szCs w:val="24"/>
        </w:rPr>
      </w:pPr>
      <w:r>
        <w:rPr>
          <w:rFonts w:ascii="宋体" w:hAnsi="宋体" w:eastAsia="宋体" w:cs="宋体"/>
          <w:spacing w:val="-5"/>
          <w:sz w:val="24"/>
          <w:szCs w:val="24"/>
        </w:rPr>
        <w:t>计算结果： 桂花水库现状入库氨氮实测最大值取</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0.142mg/L</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，计算得水库氨</w:t>
      </w:r>
      <w:r>
        <w:rPr>
          <w:rFonts w:ascii="宋体" w:hAnsi="宋体" w:eastAsia="宋体" w:cs="宋体"/>
          <w:sz w:val="24"/>
          <w:szCs w:val="24"/>
        </w:rPr>
        <w:t xml:space="preserve"> </w:t>
      </w:r>
      <w:r>
        <w:rPr>
          <w:rFonts w:ascii="宋体" w:hAnsi="宋体" w:eastAsia="宋体" w:cs="宋体"/>
          <w:spacing w:val="-5"/>
          <w:sz w:val="24"/>
          <w:szCs w:val="24"/>
        </w:rPr>
        <w:t>氮预测值为</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0.185mg/L</w:t>
      </w:r>
      <w:r>
        <w:rPr>
          <w:rFonts w:ascii="宋体" w:hAnsi="宋体" w:eastAsia="宋体" w:cs="宋体"/>
          <w:spacing w:val="-5"/>
          <w:sz w:val="24"/>
          <w:szCs w:val="24"/>
        </w:rPr>
        <w:t>，较现状坝址实测</w:t>
      </w:r>
      <w:r>
        <w:rPr>
          <w:rFonts w:ascii="宋体" w:hAnsi="宋体" w:eastAsia="宋体" w:cs="宋体"/>
          <w:spacing w:val="-6"/>
          <w:sz w:val="24"/>
          <w:szCs w:val="24"/>
        </w:rPr>
        <w:t>氨氮最大值略有上升；</w:t>
      </w:r>
      <w:r>
        <w:rPr>
          <w:rFonts w:ascii="宋体" w:hAnsi="宋体" w:eastAsia="宋体" w:cs="宋体"/>
          <w:spacing w:val="60"/>
          <w:sz w:val="24"/>
          <w:szCs w:val="24"/>
        </w:rPr>
        <w:t xml:space="preserve"> </w:t>
      </w:r>
      <w:r>
        <w:rPr>
          <w:rFonts w:ascii="宋体" w:hAnsi="宋体" w:eastAsia="宋体" w:cs="宋体"/>
          <w:spacing w:val="-6"/>
          <w:sz w:val="24"/>
          <w:szCs w:val="24"/>
        </w:rPr>
        <w:t>总磷实测最大值</w:t>
      </w:r>
      <w:r>
        <w:rPr>
          <w:rFonts w:ascii="宋体" w:hAnsi="宋体" w:eastAsia="宋体" w:cs="宋体"/>
          <w:sz w:val="24"/>
          <w:szCs w:val="24"/>
        </w:rPr>
        <w:t xml:space="preserve"> </w:t>
      </w:r>
      <w:r>
        <w:rPr>
          <w:rFonts w:ascii="宋体" w:hAnsi="宋体" w:eastAsia="宋体" w:cs="宋体"/>
          <w:spacing w:val="-2"/>
          <w:sz w:val="24"/>
          <w:szCs w:val="24"/>
        </w:rPr>
        <w:t xml:space="preserve">取 </w:t>
      </w:r>
      <w:r>
        <w:rPr>
          <w:rFonts w:ascii="Times New Roman" w:hAnsi="Times New Roman" w:eastAsia="Times New Roman" w:cs="Times New Roman"/>
          <w:spacing w:val="-2"/>
          <w:sz w:val="24"/>
          <w:szCs w:val="24"/>
        </w:rPr>
        <w:t>0.024mg/L</w:t>
      </w:r>
      <w:r>
        <w:rPr>
          <w:rFonts w:ascii="宋体" w:hAnsi="宋体" w:eastAsia="宋体" w:cs="宋体"/>
          <w:spacing w:val="-2"/>
          <w:sz w:val="24"/>
          <w:szCs w:val="24"/>
        </w:rPr>
        <w:t xml:space="preserve">，计算得水库总磷预测值为 </w:t>
      </w:r>
      <w:r>
        <w:rPr>
          <w:rFonts w:ascii="Times New Roman" w:hAnsi="Times New Roman" w:eastAsia="Times New Roman" w:cs="Times New Roman"/>
          <w:spacing w:val="-2"/>
          <w:sz w:val="24"/>
          <w:szCs w:val="24"/>
        </w:rPr>
        <w:t>0.028mg/L</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，较现状坝址实测总磷最大</w:t>
      </w:r>
      <w:r>
        <w:rPr>
          <w:rFonts w:ascii="宋体" w:hAnsi="宋体" w:eastAsia="宋体" w:cs="宋体"/>
          <w:sz w:val="24"/>
          <w:szCs w:val="24"/>
        </w:rPr>
        <w:t xml:space="preserve"> </w:t>
      </w:r>
      <w:r>
        <w:rPr>
          <w:rFonts w:ascii="宋体" w:hAnsi="宋体" w:eastAsia="宋体" w:cs="宋体"/>
          <w:spacing w:val="-7"/>
          <w:sz w:val="24"/>
          <w:szCs w:val="24"/>
        </w:rPr>
        <w:t>值略有上升，均能满足《地表水环境质量标准》（</w:t>
      </w:r>
      <w:r>
        <w:rPr>
          <w:rFonts w:ascii="Times New Roman" w:hAnsi="Times New Roman" w:eastAsia="Times New Roman" w:cs="Times New Roman"/>
          <w:spacing w:val="-7"/>
          <w:sz w:val="24"/>
          <w:szCs w:val="24"/>
        </w:rPr>
        <w:t>GB3838-2002</w:t>
      </w:r>
      <w:r>
        <w:rPr>
          <w:rFonts w:ascii="宋体" w:hAnsi="宋体" w:eastAsia="宋体" w:cs="宋体"/>
          <w:spacing w:val="-7"/>
          <w:sz w:val="24"/>
          <w:szCs w:val="24"/>
        </w:rPr>
        <w:t>）Ⅲ类水质的保护</w:t>
      </w:r>
    </w:p>
    <w:p>
      <w:pPr>
        <w:spacing w:line="220" w:lineRule="auto"/>
        <w:ind w:left="85"/>
        <w:rPr>
          <w:rFonts w:ascii="宋体" w:hAnsi="宋体" w:eastAsia="宋体" w:cs="宋体"/>
          <w:sz w:val="24"/>
          <w:szCs w:val="24"/>
        </w:rPr>
      </w:pPr>
      <w:r>
        <w:rPr>
          <w:rFonts w:ascii="宋体" w:hAnsi="宋体" w:eastAsia="宋体" w:cs="宋体"/>
          <w:spacing w:val="-20"/>
          <w:sz w:val="24"/>
          <w:szCs w:val="24"/>
        </w:rPr>
        <w:t>目标。</w:t>
      </w:r>
    </w:p>
    <w:p>
      <w:pPr>
        <w:spacing w:before="181" w:line="217" w:lineRule="auto"/>
        <w:ind w:left="517"/>
        <w:rPr>
          <w:rFonts w:ascii="宋体" w:hAnsi="宋体" w:eastAsia="宋体" w:cs="宋体"/>
          <w:sz w:val="24"/>
          <w:szCs w:val="24"/>
        </w:rPr>
      </w:pPr>
      <w:r>
        <w:rPr>
          <w:rFonts w:ascii="宋体" w:hAnsi="宋体" w:eastAsia="宋体" w:cs="宋体"/>
          <w:spacing w:val="-1"/>
          <w:sz w:val="24"/>
          <w:szCs w:val="24"/>
        </w:rPr>
        <w:t>②水库富营养化分析</w:t>
      </w:r>
    </w:p>
    <w:p>
      <w:pPr>
        <w:spacing w:before="185" w:line="359" w:lineRule="auto"/>
        <w:ind w:left="39" w:right="67" w:firstLine="489"/>
        <w:rPr>
          <w:rFonts w:ascii="宋体" w:hAnsi="宋体" w:eastAsia="宋体" w:cs="宋体"/>
          <w:sz w:val="24"/>
          <w:szCs w:val="24"/>
        </w:rPr>
      </w:pPr>
      <w:r>
        <w:rPr>
          <w:rFonts w:ascii="宋体" w:hAnsi="宋体" w:eastAsia="宋体" w:cs="宋体"/>
          <w:spacing w:val="-6"/>
          <w:sz w:val="24"/>
          <w:szCs w:val="24"/>
        </w:rPr>
        <w:t>富营养化是指湖库水体接纳过量的氮、磷等营养物质，</w:t>
      </w:r>
      <w:r>
        <w:rPr>
          <w:rFonts w:ascii="宋体" w:hAnsi="宋体" w:eastAsia="宋体" w:cs="宋体"/>
          <w:spacing w:val="-28"/>
          <w:sz w:val="24"/>
          <w:szCs w:val="24"/>
        </w:rPr>
        <w:t xml:space="preserve"> </w:t>
      </w:r>
      <w:r>
        <w:rPr>
          <w:rFonts w:ascii="宋体" w:hAnsi="宋体" w:eastAsia="宋体" w:cs="宋体"/>
          <w:spacing w:val="-6"/>
          <w:sz w:val="24"/>
          <w:szCs w:val="24"/>
        </w:rPr>
        <w:t>使水</w:t>
      </w:r>
      <w:r>
        <w:rPr>
          <w:rFonts w:ascii="宋体" w:hAnsi="宋体" w:eastAsia="宋体" w:cs="宋体"/>
          <w:spacing w:val="-7"/>
          <w:sz w:val="24"/>
          <w:szCs w:val="24"/>
        </w:rPr>
        <w:t>体中藻类以及其</w:t>
      </w:r>
      <w:r>
        <w:rPr>
          <w:rFonts w:ascii="宋体" w:hAnsi="宋体" w:eastAsia="宋体" w:cs="宋体"/>
          <w:sz w:val="24"/>
          <w:szCs w:val="24"/>
        </w:rPr>
        <w:t xml:space="preserve"> </w:t>
      </w:r>
      <w:r>
        <w:rPr>
          <w:rFonts w:ascii="宋体" w:hAnsi="宋体" w:eastAsia="宋体" w:cs="宋体"/>
          <w:spacing w:val="-16"/>
          <w:sz w:val="24"/>
          <w:szCs w:val="24"/>
        </w:rPr>
        <w:t>它水生生物异常繁殖， 水体透明度和溶解氧降低，造成湖</w:t>
      </w:r>
      <w:r>
        <w:rPr>
          <w:rFonts w:ascii="宋体" w:hAnsi="宋体" w:eastAsia="宋体" w:cs="宋体"/>
          <w:spacing w:val="-17"/>
          <w:sz w:val="24"/>
          <w:szCs w:val="24"/>
        </w:rPr>
        <w:t>、库水质恶化， 加速湖、</w:t>
      </w:r>
      <w:r>
        <w:rPr>
          <w:rFonts w:ascii="宋体" w:hAnsi="宋体" w:eastAsia="宋体" w:cs="宋体"/>
          <w:sz w:val="24"/>
          <w:szCs w:val="24"/>
        </w:rPr>
        <w:t xml:space="preserve"> </w:t>
      </w:r>
      <w:r>
        <w:rPr>
          <w:rFonts w:ascii="宋体" w:hAnsi="宋体" w:eastAsia="宋体" w:cs="宋体"/>
          <w:spacing w:val="-13"/>
          <w:sz w:val="24"/>
          <w:szCs w:val="24"/>
        </w:rPr>
        <w:t>库老化，</w:t>
      </w:r>
      <w:r>
        <w:rPr>
          <w:rFonts w:ascii="宋体" w:hAnsi="宋体" w:eastAsia="宋体" w:cs="宋体"/>
          <w:spacing w:val="-36"/>
          <w:sz w:val="24"/>
          <w:szCs w:val="24"/>
        </w:rPr>
        <w:t xml:space="preserve"> </w:t>
      </w:r>
      <w:r>
        <w:rPr>
          <w:rFonts w:ascii="宋体" w:hAnsi="宋体" w:eastAsia="宋体" w:cs="宋体"/>
          <w:spacing w:val="-13"/>
          <w:sz w:val="24"/>
          <w:szCs w:val="24"/>
        </w:rPr>
        <w:t>从而使湖、库生态和水功能受到阻碍和破坏</w:t>
      </w:r>
      <w:r>
        <w:rPr>
          <w:rFonts w:ascii="宋体" w:hAnsi="宋体" w:eastAsia="宋体" w:cs="宋体"/>
          <w:spacing w:val="-14"/>
          <w:sz w:val="24"/>
          <w:szCs w:val="24"/>
        </w:rPr>
        <w:t>。严重的甚至发生“水华”，</w:t>
      </w:r>
    </w:p>
    <w:p>
      <w:pPr>
        <w:spacing w:before="1" w:line="219" w:lineRule="auto"/>
        <w:ind w:left="40"/>
        <w:rPr>
          <w:rFonts w:ascii="宋体" w:hAnsi="宋体" w:eastAsia="宋体" w:cs="宋体"/>
          <w:sz w:val="24"/>
          <w:szCs w:val="24"/>
        </w:rPr>
      </w:pPr>
      <w:r>
        <w:rPr>
          <w:rFonts w:ascii="宋体" w:hAnsi="宋体" w:eastAsia="宋体" w:cs="宋体"/>
          <w:spacing w:val="-2"/>
          <w:sz w:val="24"/>
          <w:szCs w:val="24"/>
        </w:rPr>
        <w:t>给水资源的利用造成破坏，给湖、库生态系统带来严重后果。</w:t>
      </w:r>
    </w:p>
    <w:p>
      <w:pPr>
        <w:spacing w:before="183" w:line="359" w:lineRule="auto"/>
        <w:ind w:left="37" w:firstLine="482"/>
        <w:rPr>
          <w:rFonts w:ascii="宋体" w:hAnsi="宋体" w:eastAsia="宋体" w:cs="宋体"/>
          <w:sz w:val="24"/>
          <w:szCs w:val="24"/>
        </w:rPr>
      </w:pPr>
      <w:r>
        <w:rPr>
          <w:rFonts w:ascii="宋体" w:hAnsi="宋体" w:eastAsia="宋体" w:cs="宋体"/>
          <w:spacing w:val="-3"/>
          <w:sz w:val="24"/>
          <w:szCs w:val="24"/>
        </w:rPr>
        <w:t>库的富营养化与水中</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TP</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TN</w:t>
      </w:r>
      <w:r>
        <w:rPr>
          <w:rFonts w:ascii="Times New Roman" w:hAnsi="Times New Roman" w:eastAsia="Times New Roman" w:cs="Times New Roman"/>
          <w:spacing w:val="22"/>
          <w:w w:val="101"/>
          <w:sz w:val="24"/>
          <w:szCs w:val="24"/>
        </w:rPr>
        <w:t xml:space="preserve"> </w:t>
      </w:r>
      <w:r>
        <w:rPr>
          <w:rFonts w:ascii="宋体" w:hAnsi="宋体" w:eastAsia="宋体" w:cs="宋体"/>
          <w:spacing w:val="-3"/>
          <w:sz w:val="24"/>
          <w:szCs w:val="24"/>
        </w:rPr>
        <w:t>浓度关系密切，在水库富营养化评价过</w:t>
      </w:r>
      <w:r>
        <w:rPr>
          <w:rFonts w:ascii="宋体" w:hAnsi="宋体" w:eastAsia="宋体" w:cs="宋体"/>
          <w:spacing w:val="-4"/>
          <w:sz w:val="24"/>
          <w:szCs w:val="24"/>
        </w:rPr>
        <w:t>程中，</w:t>
      </w:r>
      <w:r>
        <w:rPr>
          <w:rFonts w:ascii="宋体" w:hAnsi="宋体" w:eastAsia="宋体" w:cs="宋体"/>
          <w:sz w:val="24"/>
          <w:szCs w:val="24"/>
        </w:rPr>
        <w:t xml:space="preserve"> </w:t>
      </w:r>
      <w:r>
        <w:rPr>
          <w:rFonts w:ascii="宋体" w:hAnsi="宋体" w:eastAsia="宋体" w:cs="宋体"/>
          <w:spacing w:val="-3"/>
          <w:sz w:val="24"/>
          <w:szCs w:val="24"/>
        </w:rPr>
        <w:t>氮、磷营养元素植被评价采用水利部《城市供水水库水质调查评价》中“水库富</w:t>
      </w:r>
      <w:r>
        <w:rPr>
          <w:rFonts w:ascii="宋体" w:hAnsi="宋体" w:eastAsia="宋体" w:cs="宋体"/>
          <w:spacing w:val="1"/>
          <w:sz w:val="24"/>
          <w:szCs w:val="24"/>
        </w:rPr>
        <w:t xml:space="preserve"> </w:t>
      </w:r>
      <w:r>
        <w:rPr>
          <w:rFonts w:ascii="宋体" w:hAnsi="宋体" w:eastAsia="宋体" w:cs="宋体"/>
          <w:spacing w:val="-3"/>
          <w:sz w:val="24"/>
          <w:szCs w:val="24"/>
        </w:rPr>
        <w:t>营养话状况的氮、磷含量指标”所确定的标准进行评价，湖、库富营养化的判断</w:t>
      </w:r>
    </w:p>
    <w:p>
      <w:pPr>
        <w:spacing w:line="220" w:lineRule="auto"/>
        <w:ind w:left="43"/>
        <w:rPr>
          <w:rFonts w:ascii="宋体" w:hAnsi="宋体" w:eastAsia="宋体" w:cs="宋体"/>
          <w:sz w:val="24"/>
          <w:szCs w:val="24"/>
        </w:rPr>
      </w:pPr>
      <w:r>
        <w:rPr>
          <w:rFonts w:ascii="宋体" w:hAnsi="宋体" w:eastAsia="宋体" w:cs="宋体"/>
          <w:spacing w:val="-2"/>
          <w:sz w:val="24"/>
          <w:szCs w:val="24"/>
        </w:rPr>
        <w:t>关系如表</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4.2-2</w:t>
      </w:r>
      <w:r>
        <w:rPr>
          <w:rFonts w:ascii="宋体" w:hAnsi="宋体" w:eastAsia="宋体" w:cs="宋体"/>
          <w:spacing w:val="-2"/>
          <w:sz w:val="24"/>
          <w:szCs w:val="24"/>
        </w:rPr>
        <w:t>。</w:t>
      </w:r>
    </w:p>
    <w:p>
      <w:pPr>
        <w:spacing w:line="220" w:lineRule="auto"/>
        <w:rPr>
          <w:rFonts w:ascii="宋体" w:hAnsi="宋体" w:eastAsia="宋体" w:cs="宋体"/>
          <w:sz w:val="24"/>
          <w:szCs w:val="24"/>
        </w:rPr>
        <w:sectPr>
          <w:headerReference r:id="rId342" w:type="default"/>
          <w:footerReference r:id="rId343" w:type="default"/>
          <w:pgSz w:w="11907" w:h="16839"/>
          <w:pgMar w:top="1156" w:right="1730" w:bottom="1374" w:left="1770" w:header="881" w:footer="1210" w:gutter="0"/>
        </w:sectPr>
      </w:pPr>
    </w:p>
    <w:p>
      <w:pPr>
        <w:spacing w:line="346" w:lineRule="auto"/>
        <w:rPr>
          <w:rFonts w:ascii="Arial"/>
          <w:sz w:val="21"/>
        </w:rPr>
      </w:pPr>
    </w:p>
    <w:p>
      <w:pPr>
        <w:spacing w:before="69" w:line="218" w:lineRule="auto"/>
        <w:ind w:left="2690"/>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2"/>
          <w:sz w:val="21"/>
          <w:szCs w:val="21"/>
        </w:rPr>
        <w:t xml:space="preserve"> </w:t>
      </w:r>
      <w:r>
        <w:rPr>
          <w:rFonts w:ascii="Times New Roman" w:hAnsi="Times New Roman" w:eastAsia="Times New Roman" w:cs="Times New Roman"/>
          <w:b/>
          <w:bCs/>
          <w:spacing w:val="-1"/>
          <w:sz w:val="21"/>
          <w:szCs w:val="21"/>
        </w:rPr>
        <w:t xml:space="preserve">4.2-2    </w:t>
      </w:r>
      <w:r>
        <w:rPr>
          <w:rFonts w:ascii="宋体" w:hAnsi="宋体" w:eastAsia="宋体" w:cs="宋体"/>
          <w:spacing w:val="-1"/>
          <w:sz w:val="21"/>
          <w:szCs w:val="21"/>
          <w14:textOutline w14:w="3810" w14:cap="flat" w14:cmpd="sng">
            <w14:solidFill>
              <w14:srgbClr w14:val="000000"/>
            </w14:solidFill>
            <w14:prstDash w14:val="solid"/>
            <w14:miter w14:val="0"/>
          </w14:textOutline>
        </w:rPr>
        <w:t>富营养化程度评价标准</w:t>
      </w:r>
    </w:p>
    <w:p>
      <w:pPr>
        <w:spacing w:line="70" w:lineRule="auto"/>
        <w:rPr>
          <w:rFonts w:ascii="Arial"/>
          <w:sz w:val="2"/>
        </w:rPr>
      </w:pPr>
    </w:p>
    <w:tbl>
      <w:tblPr>
        <w:tblStyle w:val="5"/>
        <w:tblW w:w="8321"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24"/>
        <w:gridCol w:w="2797"/>
        <w:gridCol w:w="2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2724" w:type="dxa"/>
            <w:tcBorders>
              <w:top w:val="single" w:color="000000" w:sz="12" w:space="0"/>
              <w:left w:val="nil"/>
            </w:tcBorders>
            <w:vAlign w:val="top"/>
          </w:tcPr>
          <w:p>
            <w:pPr>
              <w:spacing w:before="50" w:line="217" w:lineRule="auto"/>
              <w:ind w:left="858"/>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营养化状况</w:t>
            </w:r>
          </w:p>
        </w:tc>
        <w:tc>
          <w:tcPr>
            <w:tcW w:w="2797" w:type="dxa"/>
            <w:tcBorders>
              <w:top w:val="single" w:color="000000" w:sz="12" w:space="0"/>
            </w:tcBorders>
            <w:vAlign w:val="top"/>
          </w:tcPr>
          <w:p>
            <w:pPr>
              <w:pStyle w:val="6"/>
              <w:spacing w:before="51" w:line="212" w:lineRule="auto"/>
              <w:ind w:left="895"/>
            </w:pPr>
            <w:r>
              <w:rPr>
                <w:rFonts w:ascii="仿宋" w:hAnsi="仿宋" w:eastAsia="仿宋" w:cs="仿宋"/>
                <w:spacing w:val="-3"/>
                <w14:textOutline w14:w="3810" w14:cap="flat" w14:cmpd="sng">
                  <w14:solidFill>
                    <w14:srgbClr w14:val="000000"/>
                  </w14:solidFill>
                  <w14:prstDash w14:val="solid"/>
                  <w14:miter w14:val="0"/>
                </w14:textOutline>
              </w:rPr>
              <w:t>总氮</w:t>
            </w:r>
            <w:r>
              <w:rPr>
                <w:b/>
                <w:bCs/>
                <w:spacing w:val="-3"/>
              </w:rPr>
              <w:t>(mg/L)</w:t>
            </w:r>
          </w:p>
        </w:tc>
        <w:tc>
          <w:tcPr>
            <w:tcW w:w="2800" w:type="dxa"/>
            <w:tcBorders>
              <w:top w:val="single" w:color="000000" w:sz="12" w:space="0"/>
              <w:right w:val="nil"/>
            </w:tcBorders>
            <w:vAlign w:val="top"/>
          </w:tcPr>
          <w:p>
            <w:pPr>
              <w:pStyle w:val="6"/>
              <w:spacing w:before="51" w:line="212" w:lineRule="auto"/>
              <w:ind w:left="902"/>
            </w:pPr>
            <w:r>
              <w:rPr>
                <w:rFonts w:ascii="仿宋" w:hAnsi="仿宋" w:eastAsia="仿宋" w:cs="仿宋"/>
                <w:spacing w:val="-3"/>
                <w14:textOutline w14:w="3810" w14:cap="flat" w14:cmpd="sng">
                  <w14:solidFill>
                    <w14:srgbClr w14:val="000000"/>
                  </w14:solidFill>
                  <w14:prstDash w14:val="solid"/>
                  <w14:miter w14:val="0"/>
                </w14:textOutline>
              </w:rPr>
              <w:t>总磷</w:t>
            </w:r>
            <w:r>
              <w:rPr>
                <w:b/>
                <w:bCs/>
                <w:spacing w:val="-3"/>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2724" w:type="dxa"/>
            <w:tcBorders>
              <w:left w:val="nil"/>
            </w:tcBorders>
            <w:vAlign w:val="top"/>
          </w:tcPr>
          <w:p>
            <w:pPr>
              <w:spacing w:before="55" w:line="216" w:lineRule="auto"/>
              <w:ind w:left="755"/>
              <w:rPr>
                <w:rFonts w:ascii="仿宋" w:hAnsi="仿宋" w:eastAsia="仿宋" w:cs="仿宋"/>
                <w:sz w:val="21"/>
                <w:szCs w:val="21"/>
              </w:rPr>
            </w:pPr>
            <w:r>
              <w:rPr>
                <w:rFonts w:ascii="仿宋" w:hAnsi="仿宋" w:eastAsia="仿宋" w:cs="仿宋"/>
                <w:spacing w:val="-3"/>
                <w:sz w:val="21"/>
                <w:szCs w:val="21"/>
              </w:rPr>
              <w:t>贫～中营养化</w:t>
            </w:r>
          </w:p>
        </w:tc>
        <w:tc>
          <w:tcPr>
            <w:tcW w:w="2797" w:type="dxa"/>
            <w:vAlign w:val="top"/>
          </w:tcPr>
          <w:p>
            <w:pPr>
              <w:pStyle w:val="6"/>
              <w:spacing w:before="92" w:line="188" w:lineRule="auto"/>
              <w:ind w:left="1081"/>
            </w:pPr>
            <w:r>
              <w:rPr>
                <w:spacing w:val="-1"/>
              </w:rPr>
              <w:t>0.2~0.4</w:t>
            </w:r>
          </w:p>
        </w:tc>
        <w:tc>
          <w:tcPr>
            <w:tcW w:w="2800" w:type="dxa"/>
            <w:tcBorders>
              <w:right w:val="nil"/>
            </w:tcBorders>
            <w:vAlign w:val="top"/>
          </w:tcPr>
          <w:p>
            <w:pPr>
              <w:pStyle w:val="6"/>
              <w:spacing w:before="90" w:line="209" w:lineRule="auto"/>
              <w:ind w:left="929"/>
            </w:pPr>
            <w:r>
              <w:rPr>
                <w:spacing w:val="-1"/>
              </w:rPr>
              <w:t>0.005~0.01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trPr>
        <w:tc>
          <w:tcPr>
            <w:tcW w:w="2724" w:type="dxa"/>
            <w:tcBorders>
              <w:left w:val="nil"/>
            </w:tcBorders>
            <w:vAlign w:val="top"/>
          </w:tcPr>
          <w:p>
            <w:pPr>
              <w:spacing w:before="60" w:line="211" w:lineRule="auto"/>
              <w:ind w:left="986"/>
              <w:rPr>
                <w:rFonts w:ascii="仿宋" w:hAnsi="仿宋" w:eastAsia="仿宋" w:cs="仿宋"/>
                <w:sz w:val="21"/>
                <w:szCs w:val="21"/>
              </w:rPr>
            </w:pPr>
            <w:r>
              <w:rPr>
                <w:rFonts w:ascii="仿宋" w:hAnsi="仿宋" w:eastAsia="仿宋" w:cs="仿宋"/>
                <w:spacing w:val="-8"/>
                <w:sz w:val="21"/>
                <w:szCs w:val="21"/>
              </w:rPr>
              <w:t>中营养化</w:t>
            </w:r>
          </w:p>
        </w:tc>
        <w:tc>
          <w:tcPr>
            <w:tcW w:w="2797" w:type="dxa"/>
            <w:vAlign w:val="top"/>
          </w:tcPr>
          <w:p>
            <w:pPr>
              <w:pStyle w:val="6"/>
              <w:spacing w:before="97" w:line="188" w:lineRule="auto"/>
              <w:ind w:left="1028"/>
            </w:pPr>
            <w:r>
              <w:rPr>
                <w:spacing w:val="-1"/>
              </w:rPr>
              <w:t>0.3~0.55</w:t>
            </w:r>
          </w:p>
        </w:tc>
        <w:tc>
          <w:tcPr>
            <w:tcW w:w="2800" w:type="dxa"/>
            <w:tcBorders>
              <w:right w:val="nil"/>
            </w:tcBorders>
            <w:vAlign w:val="top"/>
          </w:tcPr>
          <w:p>
            <w:pPr>
              <w:pStyle w:val="6"/>
              <w:spacing w:before="97" w:line="188" w:lineRule="auto"/>
              <w:ind w:left="982"/>
            </w:pPr>
            <w:r>
              <w:rPr>
                <w:spacing w:val="-1"/>
              </w:rPr>
              <w:t>0.01~0.03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2724" w:type="dxa"/>
            <w:tcBorders>
              <w:left w:val="nil"/>
            </w:tcBorders>
            <w:vAlign w:val="top"/>
          </w:tcPr>
          <w:p>
            <w:pPr>
              <w:spacing w:before="67" w:line="206" w:lineRule="auto"/>
              <w:ind w:left="776"/>
              <w:rPr>
                <w:rFonts w:ascii="仿宋" w:hAnsi="仿宋" w:eastAsia="仿宋" w:cs="仿宋"/>
                <w:sz w:val="21"/>
                <w:szCs w:val="21"/>
              </w:rPr>
            </w:pPr>
            <w:r>
              <w:rPr>
                <w:rFonts w:ascii="仿宋" w:hAnsi="仿宋" w:eastAsia="仿宋" w:cs="仿宋"/>
                <w:spacing w:val="-6"/>
                <w:sz w:val="21"/>
                <w:szCs w:val="21"/>
              </w:rPr>
              <w:t>中～富营养化</w:t>
            </w:r>
          </w:p>
        </w:tc>
        <w:tc>
          <w:tcPr>
            <w:tcW w:w="2797" w:type="dxa"/>
            <w:vAlign w:val="top"/>
          </w:tcPr>
          <w:p>
            <w:pPr>
              <w:pStyle w:val="6"/>
              <w:spacing w:before="104" w:line="188" w:lineRule="auto"/>
              <w:ind w:left="1028"/>
            </w:pPr>
            <w:r>
              <w:rPr>
                <w:spacing w:val="-1"/>
              </w:rPr>
              <w:t>0.54~1.5</w:t>
            </w:r>
          </w:p>
        </w:tc>
        <w:tc>
          <w:tcPr>
            <w:tcW w:w="2800" w:type="dxa"/>
            <w:tcBorders>
              <w:right w:val="nil"/>
            </w:tcBorders>
            <w:vAlign w:val="top"/>
          </w:tcPr>
          <w:p>
            <w:pPr>
              <w:pStyle w:val="6"/>
              <w:spacing w:before="104" w:line="188" w:lineRule="auto"/>
              <w:ind w:left="982"/>
            </w:pPr>
            <w:r>
              <w:rPr>
                <w:spacing w:val="-1"/>
              </w:rPr>
              <w:t>0.03~0.14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trPr>
        <w:tc>
          <w:tcPr>
            <w:tcW w:w="2724" w:type="dxa"/>
            <w:tcBorders>
              <w:left w:val="nil"/>
              <w:bottom w:val="single" w:color="000000" w:sz="12" w:space="0"/>
            </w:tcBorders>
            <w:vAlign w:val="top"/>
          </w:tcPr>
          <w:p>
            <w:pPr>
              <w:spacing w:before="72" w:line="217" w:lineRule="auto"/>
              <w:ind w:left="976"/>
              <w:rPr>
                <w:rFonts w:ascii="仿宋" w:hAnsi="仿宋" w:eastAsia="仿宋" w:cs="仿宋"/>
                <w:sz w:val="21"/>
                <w:szCs w:val="21"/>
              </w:rPr>
            </w:pPr>
            <w:r>
              <w:rPr>
                <w:rFonts w:ascii="仿宋" w:hAnsi="仿宋" w:eastAsia="仿宋" w:cs="仿宋"/>
                <w:spacing w:val="-6"/>
                <w:sz w:val="21"/>
                <w:szCs w:val="21"/>
              </w:rPr>
              <w:t>富营养化</w:t>
            </w:r>
          </w:p>
        </w:tc>
        <w:tc>
          <w:tcPr>
            <w:tcW w:w="2797" w:type="dxa"/>
            <w:tcBorders>
              <w:bottom w:val="single" w:color="000000" w:sz="12" w:space="0"/>
            </w:tcBorders>
            <w:vAlign w:val="top"/>
          </w:tcPr>
          <w:p>
            <w:pPr>
              <w:pStyle w:val="6"/>
              <w:spacing w:before="109" w:line="188" w:lineRule="auto"/>
              <w:ind w:left="1206"/>
            </w:pPr>
            <w:r>
              <w:rPr>
                <w:spacing w:val="-1"/>
              </w:rPr>
              <w:t>&gt;1.5</w:t>
            </w:r>
          </w:p>
        </w:tc>
        <w:tc>
          <w:tcPr>
            <w:tcW w:w="2800" w:type="dxa"/>
            <w:tcBorders>
              <w:bottom w:val="single" w:color="000000" w:sz="12" w:space="0"/>
              <w:right w:val="nil"/>
            </w:tcBorders>
            <w:vAlign w:val="top"/>
          </w:tcPr>
          <w:p>
            <w:pPr>
              <w:pStyle w:val="6"/>
              <w:spacing w:before="109" w:line="188" w:lineRule="auto"/>
              <w:ind w:left="1160"/>
            </w:pPr>
            <w:r>
              <w:rPr>
                <w:spacing w:val="-1"/>
              </w:rPr>
              <w:t>&gt;0.14</w:t>
            </w:r>
          </w:p>
        </w:tc>
      </w:tr>
    </w:tbl>
    <w:p>
      <w:pPr>
        <w:spacing w:before="35" w:line="220" w:lineRule="auto"/>
        <w:ind w:left="521"/>
        <w:rPr>
          <w:rFonts w:ascii="宋体" w:hAnsi="宋体" w:eastAsia="宋体" w:cs="宋体"/>
          <w:sz w:val="24"/>
          <w:szCs w:val="24"/>
        </w:rPr>
      </w:pPr>
      <w:r>
        <w:rPr>
          <w:rFonts w:ascii="宋体" w:hAnsi="宋体" w:eastAsia="宋体" w:cs="宋体"/>
          <w:spacing w:val="-16"/>
          <w:sz w:val="24"/>
          <w:szCs w:val="24"/>
        </w:rPr>
        <w:t>桂花水库工程建成运行后，</w:t>
      </w:r>
      <w:r>
        <w:rPr>
          <w:rFonts w:ascii="宋体" w:hAnsi="宋体" w:eastAsia="宋体" w:cs="宋体"/>
          <w:spacing w:val="-34"/>
          <w:sz w:val="24"/>
          <w:szCs w:val="24"/>
        </w:rPr>
        <w:t xml:space="preserve"> </w:t>
      </w:r>
      <w:r>
        <w:rPr>
          <w:rFonts w:ascii="宋体" w:hAnsi="宋体" w:eastAsia="宋体" w:cs="宋体"/>
          <w:spacing w:val="-16"/>
          <w:sz w:val="24"/>
          <w:szCs w:val="24"/>
        </w:rPr>
        <w:t>原天然河流变成水库，库区流速减少，</w:t>
      </w:r>
      <w:r>
        <w:rPr>
          <w:rFonts w:ascii="宋体" w:hAnsi="宋体" w:eastAsia="宋体" w:cs="宋体"/>
          <w:spacing w:val="-48"/>
          <w:sz w:val="24"/>
          <w:szCs w:val="24"/>
        </w:rPr>
        <w:t xml:space="preserve"> </w:t>
      </w:r>
      <w:r>
        <w:rPr>
          <w:rFonts w:ascii="宋体" w:hAnsi="宋体" w:eastAsia="宋体" w:cs="宋体"/>
          <w:spacing w:val="-16"/>
          <w:sz w:val="24"/>
          <w:szCs w:val="24"/>
        </w:rPr>
        <w:t>水深增大，</w:t>
      </w:r>
    </w:p>
    <w:p>
      <w:pPr>
        <w:spacing w:before="181" w:line="359" w:lineRule="auto"/>
        <w:ind w:left="39" w:right="30" w:hanging="1"/>
        <w:jc w:val="both"/>
        <w:rPr>
          <w:rFonts w:ascii="宋体" w:hAnsi="宋体" w:eastAsia="宋体" w:cs="宋体"/>
          <w:sz w:val="24"/>
          <w:szCs w:val="24"/>
        </w:rPr>
      </w:pPr>
      <w:r>
        <w:rPr>
          <w:rFonts w:ascii="宋体" w:hAnsi="宋体" w:eastAsia="宋体" w:cs="宋体"/>
          <w:spacing w:val="-13"/>
          <w:sz w:val="24"/>
          <w:szCs w:val="24"/>
        </w:rPr>
        <w:t>滞留时间变长，</w:t>
      </w:r>
      <w:r>
        <w:rPr>
          <w:rFonts w:ascii="宋体" w:hAnsi="宋体" w:eastAsia="宋体" w:cs="宋体"/>
          <w:spacing w:val="-53"/>
          <w:sz w:val="24"/>
          <w:szCs w:val="24"/>
        </w:rPr>
        <w:t xml:space="preserve"> </w:t>
      </w:r>
      <w:r>
        <w:rPr>
          <w:rFonts w:ascii="宋体" w:hAnsi="宋体" w:eastAsia="宋体" w:cs="宋体"/>
          <w:spacing w:val="-13"/>
          <w:sz w:val="24"/>
          <w:szCs w:val="24"/>
        </w:rPr>
        <w:t>水体中溶解氧降低，</w:t>
      </w:r>
      <w:r>
        <w:rPr>
          <w:rFonts w:ascii="宋体" w:hAnsi="宋体" w:eastAsia="宋体" w:cs="宋体"/>
          <w:spacing w:val="29"/>
          <w:sz w:val="24"/>
          <w:szCs w:val="24"/>
        </w:rPr>
        <w:t xml:space="preserve"> </w:t>
      </w:r>
      <w:r>
        <w:rPr>
          <w:rFonts w:ascii="宋体" w:hAnsi="宋体" w:eastAsia="宋体" w:cs="宋体"/>
          <w:spacing w:val="-13"/>
          <w:sz w:val="24"/>
          <w:szCs w:val="24"/>
        </w:rPr>
        <w:t>入库污染物</w:t>
      </w:r>
      <w:r>
        <w:rPr>
          <w:rFonts w:ascii="宋体" w:hAnsi="宋体" w:eastAsia="宋体" w:cs="宋体"/>
          <w:spacing w:val="-14"/>
          <w:sz w:val="24"/>
          <w:szCs w:val="24"/>
        </w:rPr>
        <w:t>沉积和积累，</w:t>
      </w:r>
      <w:r>
        <w:rPr>
          <w:rFonts w:ascii="宋体" w:hAnsi="宋体" w:eastAsia="宋体" w:cs="宋体"/>
          <w:spacing w:val="30"/>
          <w:sz w:val="24"/>
          <w:szCs w:val="24"/>
        </w:rPr>
        <w:t xml:space="preserve"> </w:t>
      </w:r>
      <w:r>
        <w:rPr>
          <w:rFonts w:ascii="宋体" w:hAnsi="宋体" w:eastAsia="宋体" w:cs="宋体"/>
          <w:spacing w:val="-14"/>
          <w:sz w:val="24"/>
          <w:szCs w:val="24"/>
        </w:rPr>
        <w:t>加上水库蓄水初期</w:t>
      </w:r>
      <w:r>
        <w:rPr>
          <w:rFonts w:ascii="宋体" w:hAnsi="宋体" w:eastAsia="宋体" w:cs="宋体"/>
          <w:sz w:val="24"/>
          <w:szCs w:val="24"/>
        </w:rPr>
        <w:t xml:space="preserve"> </w:t>
      </w:r>
      <w:r>
        <w:rPr>
          <w:rFonts w:ascii="宋体" w:hAnsi="宋体" w:eastAsia="宋体" w:cs="宋体"/>
          <w:spacing w:val="-10"/>
          <w:sz w:val="24"/>
          <w:szCs w:val="24"/>
        </w:rPr>
        <w:t>库盆土壤和残留物淹没后， 将释放出</w:t>
      </w:r>
      <w:r>
        <w:rPr>
          <w:rFonts w:ascii="宋体" w:hAnsi="宋体" w:eastAsia="宋体" w:cs="宋体"/>
          <w:spacing w:val="-57"/>
          <w:sz w:val="24"/>
          <w:szCs w:val="24"/>
        </w:rPr>
        <w:t xml:space="preserve"> </w:t>
      </w:r>
      <w:r>
        <w:rPr>
          <w:rFonts w:ascii="Times New Roman" w:hAnsi="Times New Roman" w:eastAsia="Times New Roman" w:cs="Times New Roman"/>
          <w:spacing w:val="-10"/>
          <w:sz w:val="24"/>
          <w:szCs w:val="24"/>
        </w:rPr>
        <w:t>N</w:t>
      </w:r>
      <w:r>
        <w:rPr>
          <w:rFonts w:ascii="Times New Roman" w:hAnsi="Times New Roman" w:eastAsia="Times New Roman" w:cs="Times New Roman"/>
          <w:spacing w:val="-34"/>
          <w:sz w:val="24"/>
          <w:szCs w:val="24"/>
        </w:rPr>
        <w:t xml:space="preserve"> </w:t>
      </w:r>
      <w:r>
        <w:rPr>
          <w:rFonts w:ascii="宋体" w:hAnsi="宋体" w:eastAsia="宋体" w:cs="宋体"/>
          <w:spacing w:val="-10"/>
          <w:sz w:val="24"/>
          <w:szCs w:val="24"/>
        </w:rPr>
        <w:t>、</w:t>
      </w:r>
      <w:r>
        <w:rPr>
          <w:rFonts w:ascii="Times New Roman" w:hAnsi="Times New Roman" w:eastAsia="Times New Roman" w:cs="Times New Roman"/>
          <w:spacing w:val="-10"/>
          <w:sz w:val="24"/>
          <w:szCs w:val="24"/>
        </w:rPr>
        <w:t xml:space="preserve">P </w:t>
      </w:r>
      <w:r>
        <w:rPr>
          <w:rFonts w:ascii="宋体" w:hAnsi="宋体" w:eastAsia="宋体" w:cs="宋体"/>
          <w:spacing w:val="-10"/>
          <w:sz w:val="24"/>
          <w:szCs w:val="24"/>
        </w:rPr>
        <w:t>等营养物质，</w:t>
      </w:r>
      <w:r>
        <w:rPr>
          <w:rFonts w:ascii="宋体" w:hAnsi="宋体" w:eastAsia="宋体" w:cs="宋体"/>
          <w:spacing w:val="50"/>
          <w:sz w:val="24"/>
          <w:szCs w:val="24"/>
        </w:rPr>
        <w:t xml:space="preserve"> </w:t>
      </w:r>
      <w:r>
        <w:rPr>
          <w:rFonts w:ascii="宋体" w:hAnsi="宋体" w:eastAsia="宋体" w:cs="宋体"/>
          <w:spacing w:val="-10"/>
          <w:sz w:val="24"/>
          <w:szCs w:val="24"/>
        </w:rPr>
        <w:t>可能导致水库水体浮游</w:t>
      </w:r>
    </w:p>
    <w:p>
      <w:pPr>
        <w:spacing w:line="219" w:lineRule="auto"/>
        <w:ind w:left="40"/>
        <w:rPr>
          <w:rFonts w:ascii="宋体" w:hAnsi="宋体" w:eastAsia="宋体" w:cs="宋体"/>
          <w:sz w:val="24"/>
          <w:szCs w:val="24"/>
        </w:rPr>
      </w:pPr>
      <w:r>
        <w:rPr>
          <w:rFonts w:ascii="宋体" w:hAnsi="宋体" w:eastAsia="宋体" w:cs="宋体"/>
          <w:spacing w:val="-1"/>
          <w:sz w:val="24"/>
          <w:szCs w:val="24"/>
        </w:rPr>
        <w:t>植物大量生长，形成水库富营养化，从而影响水资源的利用。</w:t>
      </w:r>
    </w:p>
    <w:p>
      <w:pPr>
        <w:spacing w:before="181" w:line="467" w:lineRule="exact"/>
        <w:ind w:right="31"/>
        <w:jc w:val="right"/>
        <w:rPr>
          <w:rFonts w:ascii="宋体" w:hAnsi="宋体" w:eastAsia="宋体" w:cs="宋体"/>
          <w:sz w:val="24"/>
          <w:szCs w:val="24"/>
        </w:rPr>
      </w:pPr>
      <w:r>
        <w:rPr>
          <w:rFonts w:ascii="宋体" w:hAnsi="宋体" w:eastAsia="宋体" w:cs="宋体"/>
          <w:spacing w:val="-6"/>
          <w:position w:val="17"/>
          <w:sz w:val="24"/>
          <w:szCs w:val="24"/>
        </w:rPr>
        <w:t>根据桂花水库水质监测报告资料可知，</w:t>
      </w:r>
      <w:r>
        <w:rPr>
          <w:rFonts w:ascii="宋体" w:hAnsi="宋体" w:eastAsia="宋体" w:cs="宋体"/>
          <w:spacing w:val="57"/>
          <w:position w:val="17"/>
          <w:sz w:val="24"/>
          <w:szCs w:val="24"/>
        </w:rPr>
        <w:t xml:space="preserve"> </w:t>
      </w:r>
      <w:r>
        <w:rPr>
          <w:rFonts w:ascii="宋体" w:hAnsi="宋体" w:eastAsia="宋体" w:cs="宋体"/>
          <w:spacing w:val="-6"/>
          <w:position w:val="17"/>
          <w:sz w:val="24"/>
          <w:szCs w:val="24"/>
        </w:rPr>
        <w:t>水库库尾、坝址</w:t>
      </w:r>
      <w:r>
        <w:rPr>
          <w:rFonts w:ascii="宋体" w:hAnsi="宋体" w:eastAsia="宋体" w:cs="宋体"/>
          <w:spacing w:val="-53"/>
          <w:position w:val="17"/>
          <w:sz w:val="24"/>
          <w:szCs w:val="24"/>
        </w:rPr>
        <w:t xml:space="preserve"> </w:t>
      </w:r>
      <w:r>
        <w:rPr>
          <w:rFonts w:ascii="Times New Roman" w:hAnsi="Times New Roman" w:eastAsia="Times New Roman" w:cs="Times New Roman"/>
          <w:spacing w:val="-6"/>
          <w:position w:val="17"/>
          <w:sz w:val="24"/>
          <w:szCs w:val="24"/>
        </w:rPr>
        <w:t xml:space="preserve">TP </w:t>
      </w:r>
      <w:r>
        <w:rPr>
          <w:rFonts w:ascii="宋体" w:hAnsi="宋体" w:eastAsia="宋体" w:cs="宋体"/>
          <w:spacing w:val="-6"/>
          <w:position w:val="17"/>
          <w:sz w:val="24"/>
          <w:szCs w:val="24"/>
        </w:rPr>
        <w:t>监测</w:t>
      </w:r>
      <w:r>
        <w:rPr>
          <w:rFonts w:ascii="宋体" w:hAnsi="宋体" w:eastAsia="宋体" w:cs="宋体"/>
          <w:spacing w:val="-7"/>
          <w:position w:val="17"/>
          <w:sz w:val="24"/>
          <w:szCs w:val="24"/>
        </w:rPr>
        <w:t>浓度值最大</w:t>
      </w:r>
    </w:p>
    <w:p>
      <w:pPr>
        <w:spacing w:line="212" w:lineRule="auto"/>
        <w:ind w:left="42"/>
        <w:rPr>
          <w:rFonts w:ascii="宋体" w:hAnsi="宋体" w:eastAsia="宋体" w:cs="宋体"/>
          <w:sz w:val="24"/>
          <w:szCs w:val="24"/>
        </w:rPr>
      </w:pPr>
      <w:r>
        <w:rPr>
          <w:rFonts w:ascii="宋体" w:hAnsi="宋体" w:eastAsia="宋体" w:cs="宋体"/>
          <w:spacing w:val="-2"/>
          <w:sz w:val="24"/>
          <w:szCs w:val="24"/>
        </w:rPr>
        <w:t>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0.024mg/L</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、氨氮监测浓度值为</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0.142mg/L</w:t>
      </w:r>
      <w:r>
        <w:rPr>
          <w:rFonts w:ascii="宋体" w:hAnsi="宋体" w:eastAsia="宋体" w:cs="宋体"/>
          <w:spacing w:val="-2"/>
          <w:sz w:val="24"/>
          <w:szCs w:val="24"/>
        </w:rPr>
        <w:t>。</w:t>
      </w:r>
    </w:p>
    <w:p>
      <w:pPr>
        <w:spacing w:before="192" w:line="359" w:lineRule="auto"/>
        <w:ind w:left="41" w:right="28" w:firstLine="480"/>
        <w:rPr>
          <w:rFonts w:ascii="宋体" w:hAnsi="宋体" w:eastAsia="宋体" w:cs="宋体"/>
          <w:sz w:val="24"/>
          <w:szCs w:val="24"/>
        </w:rPr>
      </w:pPr>
      <w:r>
        <w:rPr>
          <w:rFonts w:ascii="宋体" w:hAnsi="宋体" w:eastAsia="宋体" w:cs="宋体"/>
          <w:spacing w:val="-1"/>
          <w:sz w:val="24"/>
          <w:szCs w:val="24"/>
        </w:rPr>
        <w:t>桂花水库氨氮预测值为</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0.185mg/L</w:t>
      </w:r>
      <w:r>
        <w:rPr>
          <w:rFonts w:ascii="宋体" w:hAnsi="宋体" w:eastAsia="宋体" w:cs="宋体"/>
          <w:spacing w:val="-1"/>
          <w:sz w:val="24"/>
          <w:szCs w:val="24"/>
        </w:rPr>
        <w:t>，较现状实测氨氮最大值</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0.14</w:t>
      </w:r>
      <w:r>
        <w:rPr>
          <w:rFonts w:ascii="Times New Roman" w:hAnsi="Times New Roman" w:eastAsia="Times New Roman" w:cs="Times New Roman"/>
          <w:spacing w:val="-2"/>
          <w:sz w:val="24"/>
          <w:szCs w:val="24"/>
        </w:rPr>
        <w:t>2mg/L</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略有</w:t>
      </w:r>
      <w:r>
        <w:rPr>
          <w:rFonts w:ascii="宋体" w:hAnsi="宋体" w:eastAsia="宋体" w:cs="宋体"/>
          <w:sz w:val="24"/>
          <w:szCs w:val="24"/>
        </w:rPr>
        <w:t xml:space="preserve"> </w:t>
      </w:r>
      <w:r>
        <w:rPr>
          <w:rFonts w:ascii="宋体" w:hAnsi="宋体" w:eastAsia="宋体" w:cs="宋体"/>
          <w:spacing w:val="-11"/>
          <w:sz w:val="24"/>
          <w:szCs w:val="24"/>
        </w:rPr>
        <w:t>上升； 总磷预测值为</w:t>
      </w:r>
      <w:r>
        <w:rPr>
          <w:rFonts w:ascii="宋体" w:hAnsi="宋体" w:eastAsia="宋体" w:cs="宋体"/>
          <w:spacing w:val="-51"/>
          <w:sz w:val="24"/>
          <w:szCs w:val="24"/>
        </w:rPr>
        <w:t xml:space="preserve"> </w:t>
      </w:r>
      <w:r>
        <w:rPr>
          <w:rFonts w:ascii="Times New Roman" w:hAnsi="Times New Roman" w:eastAsia="Times New Roman" w:cs="Times New Roman"/>
          <w:spacing w:val="-11"/>
          <w:sz w:val="24"/>
          <w:szCs w:val="24"/>
        </w:rPr>
        <w:t>0.028mg/L</w:t>
      </w:r>
      <w:r>
        <w:rPr>
          <w:rFonts w:ascii="宋体" w:hAnsi="宋体" w:eastAsia="宋体" w:cs="宋体"/>
          <w:spacing w:val="-11"/>
          <w:sz w:val="24"/>
          <w:szCs w:val="24"/>
        </w:rPr>
        <w:t>，对照湖、 库富营养化的判别标准，</w:t>
      </w:r>
      <w:r>
        <w:rPr>
          <w:rFonts w:ascii="宋体" w:hAnsi="宋体" w:eastAsia="宋体" w:cs="宋体"/>
          <w:spacing w:val="60"/>
          <w:sz w:val="24"/>
          <w:szCs w:val="24"/>
        </w:rPr>
        <w:t xml:space="preserve"> </w:t>
      </w:r>
      <w:r>
        <w:rPr>
          <w:rFonts w:ascii="宋体" w:hAnsi="宋体" w:eastAsia="宋体" w:cs="宋体"/>
          <w:spacing w:val="-11"/>
          <w:sz w:val="24"/>
          <w:szCs w:val="24"/>
        </w:rPr>
        <w:t>从整</w:t>
      </w:r>
      <w:r>
        <w:rPr>
          <w:rFonts w:ascii="宋体" w:hAnsi="宋体" w:eastAsia="宋体" w:cs="宋体"/>
          <w:spacing w:val="-12"/>
          <w:sz w:val="24"/>
          <w:szCs w:val="24"/>
        </w:rPr>
        <w:t>体上而</w:t>
      </w:r>
    </w:p>
    <w:p>
      <w:pPr>
        <w:spacing w:before="1" w:line="218" w:lineRule="auto"/>
        <w:ind w:left="49"/>
        <w:rPr>
          <w:rFonts w:ascii="宋体" w:hAnsi="宋体" w:eastAsia="宋体" w:cs="宋体"/>
          <w:sz w:val="24"/>
          <w:szCs w:val="24"/>
        </w:rPr>
      </w:pPr>
      <w:r>
        <w:rPr>
          <w:rFonts w:ascii="宋体" w:hAnsi="宋体" w:eastAsia="宋体" w:cs="宋体"/>
          <w:spacing w:val="-7"/>
          <w:sz w:val="24"/>
          <w:szCs w:val="24"/>
        </w:rPr>
        <w:t>言，</w:t>
      </w:r>
      <w:r>
        <w:rPr>
          <w:rFonts w:ascii="宋体" w:hAnsi="宋体" w:eastAsia="宋体" w:cs="宋体"/>
          <w:spacing w:val="-19"/>
          <w:sz w:val="24"/>
          <w:szCs w:val="24"/>
        </w:rPr>
        <w:t xml:space="preserve"> </w:t>
      </w:r>
      <w:r>
        <w:rPr>
          <w:rFonts w:ascii="宋体" w:hAnsi="宋体" w:eastAsia="宋体" w:cs="宋体"/>
          <w:spacing w:val="-7"/>
          <w:sz w:val="24"/>
          <w:szCs w:val="24"/>
        </w:rPr>
        <w:t>桂花水库会出现富营养化问题的可能性不大。</w:t>
      </w:r>
    </w:p>
    <w:p>
      <w:pPr>
        <w:spacing w:before="183" w:line="217" w:lineRule="auto"/>
        <w:ind w:left="517"/>
        <w:rPr>
          <w:rFonts w:ascii="宋体" w:hAnsi="宋体" w:eastAsia="宋体" w:cs="宋体"/>
          <w:sz w:val="24"/>
          <w:szCs w:val="24"/>
        </w:rPr>
      </w:pPr>
      <w:r>
        <w:rPr>
          <w:rFonts w:ascii="宋体" w:hAnsi="宋体" w:eastAsia="宋体" w:cs="宋体"/>
          <w:spacing w:val="-1"/>
          <w:sz w:val="24"/>
          <w:szCs w:val="24"/>
        </w:rPr>
        <w:t>③饮用水安全影响分析</w:t>
      </w:r>
    </w:p>
    <w:p>
      <w:pPr>
        <w:spacing w:before="185" w:line="359" w:lineRule="auto"/>
        <w:ind w:left="41" w:right="30" w:firstLine="477"/>
        <w:rPr>
          <w:rFonts w:ascii="宋体" w:hAnsi="宋体" w:eastAsia="宋体" w:cs="宋体"/>
          <w:sz w:val="24"/>
          <w:szCs w:val="24"/>
        </w:rPr>
      </w:pPr>
      <w:r>
        <w:rPr>
          <w:rFonts w:ascii="宋体" w:hAnsi="宋体" w:eastAsia="宋体" w:cs="宋体"/>
          <w:spacing w:val="-7"/>
          <w:sz w:val="24"/>
          <w:szCs w:val="24"/>
        </w:rPr>
        <w:t>据桂花水库水质监测报告资料可知， 现状水质均能满足《地表水环境质量标</w:t>
      </w:r>
      <w:r>
        <w:rPr>
          <w:rFonts w:ascii="宋体" w:hAnsi="宋体" w:eastAsia="宋体" w:cs="宋体"/>
          <w:spacing w:val="6"/>
          <w:sz w:val="24"/>
          <w:szCs w:val="24"/>
        </w:rPr>
        <w:t xml:space="preserve"> </w:t>
      </w:r>
      <w:r>
        <w:rPr>
          <w:rFonts w:ascii="宋体" w:hAnsi="宋体" w:eastAsia="宋体" w:cs="宋体"/>
          <w:spacing w:val="-7"/>
          <w:sz w:val="24"/>
          <w:szCs w:val="24"/>
        </w:rPr>
        <w:t>准》（</w:t>
      </w:r>
      <w:r>
        <w:rPr>
          <w:rFonts w:ascii="Times New Roman" w:hAnsi="Times New Roman" w:eastAsia="Times New Roman" w:cs="Times New Roman"/>
          <w:spacing w:val="-7"/>
          <w:sz w:val="24"/>
          <w:szCs w:val="24"/>
        </w:rPr>
        <w:t>GB3838-2002</w:t>
      </w:r>
      <w:r>
        <w:rPr>
          <w:rFonts w:ascii="宋体" w:hAnsi="宋体" w:eastAsia="宋体" w:cs="宋体"/>
          <w:spacing w:val="-7"/>
          <w:sz w:val="24"/>
          <w:szCs w:val="24"/>
        </w:rPr>
        <w:t>）Ⅲ类标准及表</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 xml:space="preserve">2 </w:t>
      </w:r>
      <w:r>
        <w:rPr>
          <w:rFonts w:ascii="宋体" w:hAnsi="宋体" w:eastAsia="宋体" w:cs="宋体"/>
          <w:spacing w:val="-7"/>
          <w:sz w:val="24"/>
          <w:szCs w:val="24"/>
        </w:rPr>
        <w:t>标准（集中式生活饮用水地表水</w:t>
      </w:r>
      <w:r>
        <w:rPr>
          <w:rFonts w:ascii="宋体" w:hAnsi="宋体" w:eastAsia="宋体" w:cs="宋体"/>
          <w:spacing w:val="-8"/>
          <w:sz w:val="24"/>
          <w:szCs w:val="24"/>
        </w:rPr>
        <w:t>源地补充项</w:t>
      </w:r>
      <w:r>
        <w:rPr>
          <w:rFonts w:ascii="宋体" w:hAnsi="宋体" w:eastAsia="宋体" w:cs="宋体"/>
          <w:sz w:val="24"/>
          <w:szCs w:val="24"/>
        </w:rPr>
        <w:t xml:space="preserve"> </w:t>
      </w:r>
      <w:r>
        <w:rPr>
          <w:rFonts w:ascii="宋体" w:hAnsi="宋体" w:eastAsia="宋体" w:cs="宋体"/>
          <w:spacing w:val="-8"/>
          <w:sz w:val="24"/>
          <w:szCs w:val="24"/>
        </w:rPr>
        <w:t>目标准限值）</w:t>
      </w:r>
      <w:r>
        <w:rPr>
          <w:rFonts w:ascii="宋体" w:hAnsi="宋体" w:eastAsia="宋体" w:cs="宋体"/>
          <w:spacing w:val="-35"/>
          <w:sz w:val="24"/>
          <w:szCs w:val="24"/>
        </w:rPr>
        <w:t xml:space="preserve"> </w:t>
      </w:r>
      <w:r>
        <w:rPr>
          <w:rFonts w:ascii="宋体" w:hAnsi="宋体" w:eastAsia="宋体" w:cs="宋体"/>
          <w:spacing w:val="-8"/>
          <w:sz w:val="24"/>
          <w:szCs w:val="24"/>
        </w:rPr>
        <w:t>要求，</w:t>
      </w:r>
      <w:r>
        <w:rPr>
          <w:rFonts w:ascii="宋体" w:hAnsi="宋体" w:eastAsia="宋体" w:cs="宋体"/>
          <w:spacing w:val="-31"/>
          <w:sz w:val="24"/>
          <w:szCs w:val="24"/>
        </w:rPr>
        <w:t xml:space="preserve"> </w:t>
      </w:r>
      <w:r>
        <w:rPr>
          <w:rFonts w:ascii="宋体" w:hAnsi="宋体" w:eastAsia="宋体" w:cs="宋体"/>
          <w:spacing w:val="-8"/>
          <w:sz w:val="24"/>
          <w:szCs w:val="24"/>
        </w:rPr>
        <w:t>适合作为集中式生活饮用水地表水源地要求，做为饮用水源</w:t>
      </w:r>
    </w:p>
    <w:p>
      <w:pPr>
        <w:spacing w:before="1" w:line="220" w:lineRule="auto"/>
        <w:ind w:left="39"/>
        <w:rPr>
          <w:rFonts w:ascii="宋体" w:hAnsi="宋体" w:eastAsia="宋体" w:cs="宋体"/>
          <w:sz w:val="24"/>
          <w:szCs w:val="24"/>
        </w:rPr>
      </w:pPr>
      <w:r>
        <w:rPr>
          <w:rFonts w:ascii="宋体" w:hAnsi="宋体" w:eastAsia="宋体" w:cs="宋体"/>
          <w:spacing w:val="-6"/>
          <w:sz w:val="24"/>
          <w:szCs w:val="24"/>
        </w:rPr>
        <w:t>地是安全的。</w:t>
      </w:r>
    </w:p>
    <w:p>
      <w:pPr>
        <w:spacing w:before="180" w:line="359" w:lineRule="auto"/>
        <w:ind w:left="38" w:right="30" w:firstLine="479"/>
        <w:rPr>
          <w:rFonts w:ascii="宋体" w:hAnsi="宋体" w:eastAsia="宋体" w:cs="宋体"/>
          <w:sz w:val="24"/>
          <w:szCs w:val="24"/>
        </w:rPr>
      </w:pPr>
      <w:r>
        <w:rPr>
          <w:rFonts w:ascii="宋体" w:hAnsi="宋体" w:eastAsia="宋体" w:cs="宋体"/>
          <w:spacing w:val="-4"/>
          <w:sz w:val="24"/>
          <w:szCs w:val="24"/>
        </w:rPr>
        <w:t>在现状条件不变的前提下，水库氨氮预测值为</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0.85mg/L</w:t>
      </w:r>
      <w:r>
        <w:rPr>
          <w:rFonts w:ascii="宋体" w:hAnsi="宋体" w:eastAsia="宋体" w:cs="宋体"/>
          <w:spacing w:val="-4"/>
          <w:sz w:val="24"/>
          <w:szCs w:val="24"/>
        </w:rPr>
        <w:t>，水库总</w:t>
      </w:r>
      <w:r>
        <w:rPr>
          <w:rFonts w:ascii="宋体" w:hAnsi="宋体" w:eastAsia="宋体" w:cs="宋体"/>
          <w:spacing w:val="-5"/>
          <w:sz w:val="24"/>
          <w:szCs w:val="24"/>
        </w:rPr>
        <w:t>磷预测值为</w:t>
      </w:r>
      <w:r>
        <w:rPr>
          <w:rFonts w:ascii="宋体" w:hAnsi="宋体" w:eastAsia="宋体" w:cs="宋体"/>
          <w:sz w:val="24"/>
          <w:szCs w:val="24"/>
        </w:rPr>
        <w:t xml:space="preserve"> </w:t>
      </w:r>
      <w:r>
        <w:rPr>
          <w:rFonts w:ascii="Times New Roman" w:hAnsi="Times New Roman" w:eastAsia="Times New Roman" w:cs="Times New Roman"/>
          <w:spacing w:val="1"/>
          <w:sz w:val="24"/>
          <w:szCs w:val="24"/>
        </w:rPr>
        <w:t>0.028</w:t>
      </w:r>
      <w:r>
        <w:rPr>
          <w:rFonts w:ascii="Times New Roman" w:hAnsi="Times New Roman" w:eastAsia="Times New Roman" w:cs="Times New Roman"/>
          <w:sz w:val="24"/>
          <w:szCs w:val="24"/>
        </w:rPr>
        <w:t>mg</w:t>
      </w:r>
      <w:r>
        <w:rPr>
          <w:rFonts w:ascii="Times New Roman" w:hAnsi="Times New Roman" w:eastAsia="Times New Roman" w:cs="Times New Roman"/>
          <w:spacing w:val="1"/>
          <w:sz w:val="24"/>
          <w:szCs w:val="24"/>
        </w:rPr>
        <w:t>/L</w:t>
      </w:r>
      <w:r>
        <w:rPr>
          <w:rFonts w:ascii="宋体" w:hAnsi="宋体" w:eastAsia="宋体" w:cs="宋体"/>
          <w:spacing w:val="1"/>
          <w:sz w:val="24"/>
          <w:szCs w:val="24"/>
        </w:rPr>
        <w:t>，能满足Ⅲ类水的保护目标。对照湖、库富营养化的判别标准</w:t>
      </w:r>
      <w:r>
        <w:rPr>
          <w:rFonts w:ascii="宋体" w:hAnsi="宋体" w:eastAsia="宋体" w:cs="宋体"/>
          <w:sz w:val="24"/>
          <w:szCs w:val="24"/>
        </w:rPr>
        <w:t xml:space="preserve">和国内 </w:t>
      </w:r>
      <w:r>
        <w:rPr>
          <w:rFonts w:ascii="宋体" w:hAnsi="宋体" w:eastAsia="宋体" w:cs="宋体"/>
          <w:spacing w:val="-11"/>
          <w:sz w:val="24"/>
          <w:szCs w:val="24"/>
        </w:rPr>
        <w:t>外“湖、库富营养化形成机理”和文献， 从整体上而言，</w:t>
      </w:r>
      <w:r>
        <w:rPr>
          <w:rFonts w:ascii="宋体" w:hAnsi="宋体" w:eastAsia="宋体" w:cs="宋体"/>
          <w:spacing w:val="52"/>
          <w:sz w:val="24"/>
          <w:szCs w:val="24"/>
        </w:rPr>
        <w:t xml:space="preserve"> </w:t>
      </w:r>
      <w:r>
        <w:rPr>
          <w:rFonts w:ascii="宋体" w:hAnsi="宋体" w:eastAsia="宋体" w:cs="宋体"/>
          <w:spacing w:val="-11"/>
          <w:sz w:val="24"/>
          <w:szCs w:val="24"/>
        </w:rPr>
        <w:t>桂花水库会出现富营养</w:t>
      </w:r>
      <w:r>
        <w:rPr>
          <w:rFonts w:ascii="宋体" w:hAnsi="宋体" w:eastAsia="宋体" w:cs="宋体"/>
          <w:sz w:val="24"/>
          <w:szCs w:val="24"/>
        </w:rPr>
        <w:t xml:space="preserve"> </w:t>
      </w:r>
      <w:r>
        <w:rPr>
          <w:rFonts w:ascii="宋体" w:hAnsi="宋体" w:eastAsia="宋体" w:cs="宋体"/>
          <w:spacing w:val="-10"/>
          <w:sz w:val="24"/>
          <w:szCs w:val="24"/>
        </w:rPr>
        <w:t>化问题的可能性不大。综上所述，</w:t>
      </w:r>
      <w:r>
        <w:rPr>
          <w:rFonts w:ascii="宋体" w:hAnsi="宋体" w:eastAsia="宋体" w:cs="宋体"/>
          <w:spacing w:val="32"/>
          <w:sz w:val="24"/>
          <w:szCs w:val="24"/>
        </w:rPr>
        <w:t xml:space="preserve"> </w:t>
      </w:r>
      <w:r>
        <w:rPr>
          <w:rFonts w:ascii="宋体" w:hAnsi="宋体" w:eastAsia="宋体" w:cs="宋体"/>
          <w:spacing w:val="-10"/>
          <w:sz w:val="24"/>
          <w:szCs w:val="24"/>
        </w:rPr>
        <w:t>桂花水库建成</w:t>
      </w:r>
      <w:r>
        <w:rPr>
          <w:rFonts w:ascii="宋体" w:hAnsi="宋体" w:eastAsia="宋体" w:cs="宋体"/>
          <w:spacing w:val="-11"/>
          <w:sz w:val="24"/>
          <w:szCs w:val="24"/>
        </w:rPr>
        <w:t>运行后， 能满足集中式生活饮用</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水地表水源地要求，做为集中式生活饮用水水源地是安全的。</w:t>
      </w:r>
    </w:p>
    <w:p>
      <w:pPr>
        <w:spacing w:before="182" w:line="466" w:lineRule="exact"/>
        <w:ind w:right="29"/>
        <w:jc w:val="right"/>
        <w:rPr>
          <w:rFonts w:ascii="宋体" w:hAnsi="宋体" w:eastAsia="宋体" w:cs="宋体"/>
          <w:sz w:val="24"/>
          <w:szCs w:val="24"/>
        </w:rPr>
      </w:pPr>
      <w:r>
        <w:rPr>
          <w:rFonts w:ascii="宋体" w:hAnsi="宋体" w:eastAsia="宋体" w:cs="宋体"/>
          <w:spacing w:val="-10"/>
          <w:position w:val="17"/>
          <w:sz w:val="24"/>
          <w:szCs w:val="24"/>
        </w:rPr>
        <w:t>桂花水库建成运行后， 饮用水水质的安全， 主要取决于水库径流区的水污染</w:t>
      </w:r>
    </w:p>
    <w:p>
      <w:pPr>
        <w:spacing w:before="1" w:line="219" w:lineRule="auto"/>
        <w:ind w:left="38"/>
        <w:rPr>
          <w:rFonts w:ascii="宋体" w:hAnsi="宋体" w:eastAsia="宋体" w:cs="宋体"/>
          <w:sz w:val="24"/>
          <w:szCs w:val="24"/>
        </w:rPr>
      </w:pPr>
      <w:r>
        <w:rPr>
          <w:rFonts w:ascii="宋体" w:hAnsi="宋体" w:eastAsia="宋体" w:cs="宋体"/>
          <w:spacing w:val="-2"/>
          <w:sz w:val="24"/>
          <w:szCs w:val="24"/>
        </w:rPr>
        <w:t>控制和库内水污染控制及输水过程中的污染控制。</w:t>
      </w:r>
    </w:p>
    <w:p>
      <w:pPr>
        <w:spacing w:before="183" w:line="359" w:lineRule="auto"/>
        <w:ind w:left="38" w:right="29" w:firstLine="480"/>
        <w:rPr>
          <w:rFonts w:ascii="宋体" w:hAnsi="宋体" w:eastAsia="宋体" w:cs="宋体"/>
          <w:sz w:val="24"/>
          <w:szCs w:val="24"/>
        </w:rPr>
      </w:pPr>
      <w:r>
        <w:rPr>
          <w:rFonts w:ascii="宋体" w:hAnsi="宋体" w:eastAsia="宋体" w:cs="宋体"/>
          <w:spacing w:val="-6"/>
          <w:sz w:val="24"/>
          <w:szCs w:val="24"/>
        </w:rPr>
        <w:t>据现状调查水库径流区内无工业企业，</w:t>
      </w:r>
      <w:r>
        <w:rPr>
          <w:rFonts w:ascii="宋体" w:hAnsi="宋体" w:eastAsia="宋体" w:cs="宋体"/>
          <w:spacing w:val="-25"/>
          <w:sz w:val="24"/>
          <w:szCs w:val="24"/>
        </w:rPr>
        <w:t xml:space="preserve"> </w:t>
      </w:r>
      <w:r>
        <w:rPr>
          <w:rFonts w:ascii="宋体" w:hAnsi="宋体" w:eastAsia="宋体" w:cs="宋体"/>
          <w:spacing w:val="-6"/>
          <w:sz w:val="24"/>
          <w:szCs w:val="24"/>
        </w:rPr>
        <w:t>也没有布置养殖业。水库的径流区涉</w:t>
      </w:r>
      <w:r>
        <w:rPr>
          <w:rFonts w:ascii="宋体" w:hAnsi="宋体" w:eastAsia="宋体" w:cs="宋体"/>
          <w:sz w:val="24"/>
          <w:szCs w:val="24"/>
        </w:rPr>
        <w:t xml:space="preserve"> </w:t>
      </w:r>
      <w:r>
        <w:rPr>
          <w:rFonts w:ascii="宋体" w:hAnsi="宋体" w:eastAsia="宋体" w:cs="宋体"/>
          <w:spacing w:val="-6"/>
          <w:sz w:val="24"/>
          <w:szCs w:val="24"/>
        </w:rPr>
        <w:t>及农业面源。要保证桂花水库水质的安全， 必需针对水库径流区</w:t>
      </w:r>
      <w:r>
        <w:rPr>
          <w:rFonts w:ascii="宋体" w:hAnsi="宋体" w:eastAsia="宋体" w:cs="宋体"/>
          <w:spacing w:val="-7"/>
          <w:sz w:val="24"/>
          <w:szCs w:val="24"/>
        </w:rPr>
        <w:t>现有和可能会有</w:t>
      </w:r>
      <w:r>
        <w:rPr>
          <w:rFonts w:ascii="宋体" w:hAnsi="宋体" w:eastAsia="宋体" w:cs="宋体"/>
          <w:sz w:val="24"/>
          <w:szCs w:val="24"/>
        </w:rPr>
        <w:t xml:space="preserve"> </w:t>
      </w:r>
      <w:r>
        <w:rPr>
          <w:rFonts w:ascii="宋体" w:hAnsi="宋体" w:eastAsia="宋体" w:cs="宋体"/>
          <w:spacing w:val="-4"/>
          <w:sz w:val="24"/>
          <w:szCs w:val="24"/>
        </w:rPr>
        <w:t>的污染源进行整治，其主要对策措施为：</w:t>
      </w:r>
      <w:r>
        <w:rPr>
          <w:rFonts w:ascii="宋体" w:hAnsi="宋体" w:eastAsia="宋体" w:cs="宋体"/>
          <w:spacing w:val="66"/>
          <w:sz w:val="24"/>
          <w:szCs w:val="24"/>
        </w:rPr>
        <w:t xml:space="preserve"> </w:t>
      </w:r>
      <w:r>
        <w:rPr>
          <w:rFonts w:ascii="Times New Roman" w:hAnsi="Times New Roman" w:eastAsia="Times New Roman" w:cs="Times New Roman"/>
          <w:spacing w:val="-4"/>
          <w:sz w:val="24"/>
          <w:szCs w:val="24"/>
        </w:rPr>
        <w:t>a</w:t>
      </w:r>
      <w:r>
        <w:rPr>
          <w:rFonts w:ascii="宋体" w:hAnsi="宋体" w:eastAsia="宋体" w:cs="宋体"/>
          <w:spacing w:val="-4"/>
          <w:sz w:val="24"/>
          <w:szCs w:val="24"/>
        </w:rPr>
        <w:t>、水</w:t>
      </w:r>
      <w:r>
        <w:rPr>
          <w:rFonts w:ascii="宋体" w:hAnsi="宋体" w:eastAsia="宋体" w:cs="宋体"/>
          <w:spacing w:val="-5"/>
          <w:sz w:val="24"/>
          <w:szCs w:val="24"/>
        </w:rPr>
        <w:t>库径流内的农业生产当中，要提</w:t>
      </w:r>
    </w:p>
    <w:p>
      <w:pPr>
        <w:spacing w:before="1" w:line="218" w:lineRule="auto"/>
        <w:ind w:left="45"/>
        <w:rPr>
          <w:rFonts w:ascii="宋体" w:hAnsi="宋体" w:eastAsia="宋体" w:cs="宋体"/>
          <w:sz w:val="24"/>
          <w:szCs w:val="24"/>
        </w:rPr>
      </w:pPr>
      <w:r>
        <w:rPr>
          <w:rFonts w:ascii="宋体" w:hAnsi="宋体" w:eastAsia="宋体" w:cs="宋体"/>
          <w:spacing w:val="-12"/>
          <w:sz w:val="24"/>
          <w:szCs w:val="24"/>
        </w:rPr>
        <w:t>高耕作技术水平，</w:t>
      </w:r>
      <w:r>
        <w:rPr>
          <w:rFonts w:ascii="宋体" w:hAnsi="宋体" w:eastAsia="宋体" w:cs="宋体"/>
          <w:spacing w:val="31"/>
          <w:sz w:val="24"/>
          <w:szCs w:val="24"/>
        </w:rPr>
        <w:t xml:space="preserve"> </w:t>
      </w:r>
      <w:r>
        <w:rPr>
          <w:rFonts w:ascii="宋体" w:hAnsi="宋体" w:eastAsia="宋体" w:cs="宋体"/>
          <w:spacing w:val="-12"/>
          <w:sz w:val="24"/>
          <w:szCs w:val="24"/>
        </w:rPr>
        <w:t>合理使用化肥农药，</w:t>
      </w:r>
      <w:r>
        <w:rPr>
          <w:rFonts w:ascii="宋体" w:hAnsi="宋体" w:eastAsia="宋体" w:cs="宋体"/>
          <w:spacing w:val="33"/>
          <w:sz w:val="24"/>
          <w:szCs w:val="24"/>
        </w:rPr>
        <w:t xml:space="preserve"> </w:t>
      </w:r>
      <w:r>
        <w:rPr>
          <w:rFonts w:ascii="宋体" w:hAnsi="宋体" w:eastAsia="宋体" w:cs="宋体"/>
          <w:spacing w:val="-12"/>
          <w:sz w:val="24"/>
          <w:szCs w:val="24"/>
        </w:rPr>
        <w:t>最大限度减少农灌水退水中氮</w:t>
      </w:r>
      <w:r>
        <w:rPr>
          <w:rFonts w:ascii="宋体" w:hAnsi="宋体" w:eastAsia="宋体" w:cs="宋体"/>
          <w:spacing w:val="-13"/>
          <w:sz w:val="24"/>
          <w:szCs w:val="24"/>
        </w:rPr>
        <w:t>、磷和农药</w:t>
      </w:r>
    </w:p>
    <w:p>
      <w:pPr>
        <w:spacing w:line="218" w:lineRule="auto"/>
        <w:rPr>
          <w:rFonts w:ascii="宋体" w:hAnsi="宋体" w:eastAsia="宋体" w:cs="宋体"/>
          <w:sz w:val="24"/>
          <w:szCs w:val="24"/>
        </w:rPr>
        <w:sectPr>
          <w:headerReference r:id="rId344" w:type="default"/>
          <w:footerReference r:id="rId345" w:type="default"/>
          <w:pgSz w:w="11907" w:h="16839"/>
          <w:pgMar w:top="1156" w:right="1768" w:bottom="1374" w:left="1770" w:header="881" w:footer="1210" w:gutter="0"/>
        </w:sectPr>
      </w:pPr>
    </w:p>
    <w:p>
      <w:pPr>
        <w:rPr>
          <w:rFonts w:ascii="Arial"/>
          <w:sz w:val="21"/>
        </w:rPr>
      </w:pPr>
    </w:p>
    <w:p>
      <w:pPr>
        <w:spacing w:before="78" w:line="359" w:lineRule="auto"/>
        <w:ind w:left="38" w:right="83" w:firstLine="20"/>
        <w:jc w:val="both"/>
        <w:rPr>
          <w:rFonts w:ascii="宋体" w:hAnsi="宋体" w:eastAsia="宋体" w:cs="宋体"/>
          <w:sz w:val="24"/>
          <w:szCs w:val="24"/>
        </w:rPr>
      </w:pPr>
      <w:r>
        <w:rPr>
          <w:rFonts w:ascii="宋体" w:hAnsi="宋体" w:eastAsia="宋体" w:cs="宋体"/>
          <w:spacing w:val="-1"/>
          <w:sz w:val="24"/>
          <w:szCs w:val="24"/>
        </w:rPr>
        <w:t>的含量，从而减少对桂花水库饮用水污染的可能性；</w:t>
      </w:r>
      <w:r>
        <w:rPr>
          <w:rFonts w:ascii="Times New Roman" w:hAnsi="Times New Roman" w:eastAsia="Times New Roman" w:cs="Times New Roman"/>
          <w:spacing w:val="-1"/>
          <w:sz w:val="24"/>
          <w:szCs w:val="24"/>
        </w:rPr>
        <w:t>b</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、桂花水库原则上不能进</w:t>
      </w:r>
      <w:r>
        <w:rPr>
          <w:rFonts w:ascii="宋体" w:hAnsi="宋体" w:eastAsia="宋体" w:cs="宋体"/>
          <w:sz w:val="24"/>
          <w:szCs w:val="24"/>
        </w:rPr>
        <w:t xml:space="preserve"> </w:t>
      </w:r>
      <w:r>
        <w:rPr>
          <w:rFonts w:ascii="宋体" w:hAnsi="宋体" w:eastAsia="宋体" w:cs="宋体"/>
          <w:spacing w:val="-5"/>
          <w:sz w:val="24"/>
          <w:szCs w:val="24"/>
        </w:rPr>
        <w:t>行库内网箱养鱼；</w:t>
      </w:r>
      <w:r>
        <w:rPr>
          <w:rFonts w:ascii="宋体" w:hAnsi="宋体" w:eastAsia="宋体" w:cs="宋体"/>
          <w:spacing w:val="64"/>
          <w:sz w:val="24"/>
          <w:szCs w:val="24"/>
        </w:rPr>
        <w:t xml:space="preserve">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32"/>
          <w:sz w:val="24"/>
          <w:szCs w:val="24"/>
        </w:rPr>
        <w:t xml:space="preserve"> </w:t>
      </w:r>
      <w:r>
        <w:rPr>
          <w:rFonts w:ascii="宋体" w:hAnsi="宋体" w:eastAsia="宋体" w:cs="宋体"/>
          <w:spacing w:val="-5"/>
          <w:sz w:val="24"/>
          <w:szCs w:val="24"/>
        </w:rPr>
        <w:t>、桂花水库径流区内原则上不得开矿、新建水污</w:t>
      </w:r>
      <w:r>
        <w:rPr>
          <w:rFonts w:ascii="宋体" w:hAnsi="宋体" w:eastAsia="宋体" w:cs="宋体"/>
          <w:spacing w:val="-6"/>
          <w:sz w:val="24"/>
          <w:szCs w:val="24"/>
        </w:rPr>
        <w:t>染较重的工</w:t>
      </w:r>
      <w:r>
        <w:rPr>
          <w:rFonts w:ascii="宋体" w:hAnsi="宋体" w:eastAsia="宋体" w:cs="宋体"/>
          <w:sz w:val="24"/>
          <w:szCs w:val="24"/>
        </w:rPr>
        <w:t xml:space="preserve"> </w:t>
      </w:r>
      <w:r>
        <w:rPr>
          <w:rFonts w:ascii="宋体" w:hAnsi="宋体" w:eastAsia="宋体" w:cs="宋体"/>
          <w:spacing w:val="-15"/>
          <w:sz w:val="24"/>
          <w:szCs w:val="24"/>
        </w:rPr>
        <w:t>业，</w:t>
      </w:r>
      <w:r>
        <w:rPr>
          <w:rFonts w:ascii="宋体" w:hAnsi="宋体" w:eastAsia="宋体" w:cs="宋体"/>
          <w:spacing w:val="-51"/>
          <w:sz w:val="24"/>
          <w:szCs w:val="24"/>
        </w:rPr>
        <w:t xml:space="preserve"> </w:t>
      </w:r>
      <w:r>
        <w:rPr>
          <w:rFonts w:ascii="宋体" w:hAnsi="宋体" w:eastAsia="宋体" w:cs="宋体"/>
          <w:spacing w:val="-15"/>
          <w:sz w:val="24"/>
          <w:szCs w:val="24"/>
        </w:rPr>
        <w:t>工业企业污水禁止外排。综上所述，</w:t>
      </w:r>
      <w:r>
        <w:rPr>
          <w:rFonts w:ascii="宋体" w:hAnsi="宋体" w:eastAsia="宋体" w:cs="宋体"/>
          <w:spacing w:val="51"/>
          <w:sz w:val="24"/>
          <w:szCs w:val="24"/>
        </w:rPr>
        <w:t xml:space="preserve"> </w:t>
      </w:r>
      <w:r>
        <w:rPr>
          <w:rFonts w:ascii="宋体" w:hAnsi="宋体" w:eastAsia="宋体" w:cs="宋体"/>
          <w:spacing w:val="-15"/>
          <w:sz w:val="24"/>
          <w:szCs w:val="24"/>
        </w:rPr>
        <w:t>只要采取以上</w:t>
      </w:r>
      <w:r>
        <w:rPr>
          <w:rFonts w:ascii="宋体" w:hAnsi="宋体" w:eastAsia="宋体" w:cs="宋体"/>
          <w:spacing w:val="-49"/>
          <w:sz w:val="24"/>
          <w:szCs w:val="24"/>
        </w:rPr>
        <w:t xml:space="preserve"> </w:t>
      </w:r>
      <w:r>
        <w:rPr>
          <w:rFonts w:ascii="Times New Roman" w:hAnsi="Times New Roman" w:eastAsia="Times New Roman" w:cs="Times New Roman"/>
          <w:spacing w:val="-15"/>
          <w:sz w:val="24"/>
          <w:szCs w:val="24"/>
        </w:rPr>
        <w:t>3</w:t>
      </w:r>
      <w:r>
        <w:rPr>
          <w:rFonts w:ascii="Times New Roman" w:hAnsi="Times New Roman" w:eastAsia="Times New Roman" w:cs="Times New Roman"/>
          <w:spacing w:val="11"/>
          <w:sz w:val="24"/>
          <w:szCs w:val="24"/>
        </w:rPr>
        <w:t xml:space="preserve"> </w:t>
      </w:r>
      <w:r>
        <w:rPr>
          <w:rFonts w:ascii="宋体" w:hAnsi="宋体" w:eastAsia="宋体" w:cs="宋体"/>
          <w:spacing w:val="-15"/>
          <w:sz w:val="24"/>
          <w:szCs w:val="24"/>
        </w:rPr>
        <w:t>条对策措施，</w:t>
      </w:r>
      <w:r>
        <w:rPr>
          <w:rFonts w:ascii="宋体" w:hAnsi="宋体" w:eastAsia="宋体" w:cs="宋体"/>
          <w:spacing w:val="39"/>
          <w:sz w:val="24"/>
          <w:szCs w:val="24"/>
        </w:rPr>
        <w:t xml:space="preserve"> </w:t>
      </w:r>
      <w:r>
        <w:rPr>
          <w:rFonts w:ascii="宋体" w:hAnsi="宋体" w:eastAsia="宋体" w:cs="宋体"/>
          <w:spacing w:val="-15"/>
          <w:sz w:val="24"/>
          <w:szCs w:val="24"/>
        </w:rPr>
        <w:t>桂花水库</w:t>
      </w:r>
    </w:p>
    <w:p>
      <w:pPr>
        <w:spacing w:line="219" w:lineRule="auto"/>
        <w:ind w:left="57"/>
        <w:rPr>
          <w:rFonts w:ascii="宋体" w:hAnsi="宋体" w:eastAsia="宋体" w:cs="宋体"/>
          <w:sz w:val="24"/>
          <w:szCs w:val="24"/>
        </w:rPr>
      </w:pPr>
      <w:r>
        <w:rPr>
          <w:rFonts w:ascii="宋体" w:hAnsi="宋体" w:eastAsia="宋体" w:cs="宋体"/>
          <w:spacing w:val="-4"/>
          <w:sz w:val="24"/>
          <w:szCs w:val="24"/>
        </w:rPr>
        <w:t>引用水源安全是完全可以保证的。</w:t>
      </w:r>
    </w:p>
    <w:p>
      <w:pPr>
        <w:spacing w:before="180"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）灌溉回归水影响</w:t>
      </w:r>
    </w:p>
    <w:p>
      <w:pPr>
        <w:spacing w:before="259" w:line="360" w:lineRule="auto"/>
        <w:ind w:left="38" w:firstLine="484"/>
        <w:rPr>
          <w:rFonts w:ascii="宋体" w:hAnsi="宋体" w:eastAsia="宋体" w:cs="宋体"/>
          <w:sz w:val="24"/>
          <w:szCs w:val="24"/>
        </w:rPr>
      </w:pPr>
      <w:r>
        <w:rPr>
          <w:rFonts w:ascii="宋体" w:hAnsi="宋体" w:eastAsia="宋体" w:cs="宋体"/>
          <w:spacing w:val="-4"/>
          <w:sz w:val="24"/>
          <w:szCs w:val="24"/>
        </w:rPr>
        <w:t>项目农业灌溉回归水</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68.5</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宋体" w:hAnsi="宋体" w:eastAsia="宋体" w:cs="宋体"/>
          <w:spacing w:val="-4"/>
          <w:sz w:val="24"/>
          <w:szCs w:val="24"/>
        </w:rPr>
        <w:t>（不含新街、金</w:t>
      </w:r>
      <w:r>
        <w:rPr>
          <w:rFonts w:ascii="宋体" w:hAnsi="宋体" w:eastAsia="宋体" w:cs="宋体"/>
          <w:spacing w:val="-5"/>
          <w:sz w:val="24"/>
          <w:szCs w:val="24"/>
        </w:rPr>
        <w:t>碧片区</w:t>
      </w:r>
      <w:r>
        <w:rPr>
          <w:rFonts w:ascii="宋体" w:hAnsi="宋体" w:eastAsia="宋体" w:cs="宋体"/>
          <w:spacing w:val="-60"/>
          <w:w w:val="95"/>
          <w:sz w:val="24"/>
          <w:szCs w:val="24"/>
        </w:rPr>
        <w:t>），</w:t>
      </w:r>
      <w:r>
        <w:rPr>
          <w:rFonts w:ascii="宋体" w:hAnsi="宋体" w:eastAsia="宋体" w:cs="宋体"/>
          <w:spacing w:val="-5"/>
          <w:sz w:val="24"/>
          <w:szCs w:val="24"/>
        </w:rPr>
        <w:t xml:space="preserve">其中万马河（桂花 </w:t>
      </w:r>
      <w:r>
        <w:rPr>
          <w:rFonts w:ascii="宋体" w:hAnsi="宋体" w:eastAsia="宋体" w:cs="宋体"/>
          <w:spacing w:val="-2"/>
          <w:sz w:val="24"/>
          <w:szCs w:val="24"/>
        </w:rPr>
        <w:t>河）流域的灌溉回归水量为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37.4</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0"/>
          <w:position w:val="8"/>
          <w:sz w:val="15"/>
          <w:szCs w:val="15"/>
        </w:rPr>
        <w:t xml:space="preserve"> </w:t>
      </w:r>
      <w:r>
        <w:rPr>
          <w:rFonts w:ascii="宋体" w:hAnsi="宋体" w:eastAsia="宋体" w:cs="宋体"/>
          <w:spacing w:val="-2"/>
          <w:sz w:val="24"/>
          <w:szCs w:val="24"/>
        </w:rPr>
        <w:t xml:space="preserve">，六苴河流域（含者纳么河）的灌溉回归 </w:t>
      </w:r>
      <w:r>
        <w:rPr>
          <w:rFonts w:ascii="宋体" w:hAnsi="宋体" w:eastAsia="宋体" w:cs="宋体"/>
          <w:spacing w:val="-7"/>
          <w:sz w:val="24"/>
          <w:szCs w:val="24"/>
        </w:rPr>
        <w:t>水量为</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31.1</w:t>
      </w:r>
      <w:r>
        <w:rPr>
          <w:rFonts w:ascii="Times New Roman" w:hAnsi="Times New Roman" w:eastAsia="Times New Roman" w:cs="Times New Roman"/>
          <w:spacing w:val="16"/>
          <w:sz w:val="24"/>
          <w:szCs w:val="24"/>
        </w:rPr>
        <w:t xml:space="preserve"> </w:t>
      </w:r>
      <w:r>
        <w:rPr>
          <w:rFonts w:ascii="宋体" w:hAnsi="宋体" w:eastAsia="宋体" w:cs="宋体"/>
          <w:spacing w:val="-7"/>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7"/>
          <w:sz w:val="24"/>
          <w:szCs w:val="24"/>
        </w:rPr>
        <w:t>m</w:t>
      </w:r>
      <w:r>
        <w:rPr>
          <w:rFonts w:ascii="Times New Roman" w:hAnsi="Times New Roman" w:eastAsia="Times New Roman" w:cs="Times New Roman"/>
          <w:spacing w:val="-7"/>
          <w:position w:val="8"/>
          <w:sz w:val="15"/>
          <w:szCs w:val="15"/>
        </w:rPr>
        <w:t xml:space="preserve">3 </w:t>
      </w:r>
      <w:r>
        <w:rPr>
          <w:rFonts w:ascii="宋体" w:hAnsi="宋体" w:eastAsia="宋体" w:cs="宋体"/>
          <w:spacing w:val="-7"/>
          <w:sz w:val="24"/>
          <w:szCs w:val="24"/>
        </w:rPr>
        <w:t>。回归过程为本月用水当月不回</w:t>
      </w:r>
      <w:r>
        <w:rPr>
          <w:rFonts w:ascii="宋体" w:hAnsi="宋体" w:eastAsia="宋体" w:cs="宋体"/>
          <w:spacing w:val="-8"/>
          <w:sz w:val="24"/>
          <w:szCs w:val="24"/>
        </w:rPr>
        <w:t>归，</w:t>
      </w:r>
      <w:r>
        <w:rPr>
          <w:rFonts w:ascii="宋体" w:hAnsi="宋体" w:eastAsia="宋体" w:cs="宋体"/>
          <w:spacing w:val="62"/>
          <w:sz w:val="24"/>
          <w:szCs w:val="24"/>
        </w:rPr>
        <w:t xml:space="preserve"> </w:t>
      </w:r>
      <w:r>
        <w:rPr>
          <w:rFonts w:ascii="宋体" w:hAnsi="宋体" w:eastAsia="宋体" w:cs="宋体"/>
          <w:spacing w:val="-8"/>
          <w:sz w:val="24"/>
          <w:szCs w:val="24"/>
        </w:rPr>
        <w:t>下月回归</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60%</w:t>
      </w:r>
      <w:r>
        <w:rPr>
          <w:rFonts w:ascii="宋体" w:hAnsi="宋体" w:eastAsia="宋体" w:cs="宋体"/>
          <w:spacing w:val="-8"/>
          <w:sz w:val="24"/>
          <w:szCs w:val="24"/>
        </w:rPr>
        <w:t xml:space="preserve">，再下月回 </w:t>
      </w:r>
      <w:r>
        <w:rPr>
          <w:rFonts w:ascii="宋体" w:hAnsi="宋体" w:eastAsia="宋体" w:cs="宋体"/>
          <w:spacing w:val="-12"/>
          <w:sz w:val="24"/>
          <w:szCs w:val="24"/>
        </w:rPr>
        <w:t>归</w:t>
      </w:r>
      <w:r>
        <w:rPr>
          <w:rFonts w:ascii="宋体" w:hAnsi="宋体" w:eastAsia="宋体" w:cs="宋体"/>
          <w:spacing w:val="-38"/>
          <w:sz w:val="24"/>
          <w:szCs w:val="24"/>
        </w:rPr>
        <w:t xml:space="preserve"> </w:t>
      </w:r>
      <w:r>
        <w:rPr>
          <w:rFonts w:ascii="Times New Roman" w:hAnsi="Times New Roman" w:eastAsia="Times New Roman" w:cs="Times New Roman"/>
          <w:spacing w:val="-12"/>
          <w:sz w:val="24"/>
          <w:szCs w:val="24"/>
        </w:rPr>
        <w:t>40%</w:t>
      </w:r>
      <w:r>
        <w:rPr>
          <w:rFonts w:ascii="宋体" w:hAnsi="宋体" w:eastAsia="宋体" w:cs="宋体"/>
          <w:spacing w:val="-12"/>
          <w:sz w:val="24"/>
          <w:szCs w:val="24"/>
        </w:rPr>
        <w:t>，回归峰期发生于每年的</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4</w:t>
      </w:r>
      <w:r>
        <w:rPr>
          <w:rFonts w:ascii="宋体" w:hAnsi="宋体" w:eastAsia="宋体" w:cs="宋体"/>
          <w:spacing w:val="-12"/>
          <w:sz w:val="24"/>
          <w:szCs w:val="24"/>
        </w:rPr>
        <w:t>、</w:t>
      </w:r>
      <w:r>
        <w:rPr>
          <w:rFonts w:ascii="Times New Roman" w:hAnsi="Times New Roman" w:eastAsia="Times New Roman" w:cs="Times New Roman"/>
          <w:spacing w:val="-12"/>
          <w:sz w:val="24"/>
          <w:szCs w:val="24"/>
        </w:rPr>
        <w:t>5</w:t>
      </w:r>
      <w:r>
        <w:rPr>
          <w:rFonts w:ascii="宋体" w:hAnsi="宋体" w:eastAsia="宋体" w:cs="宋体"/>
          <w:spacing w:val="-12"/>
          <w:sz w:val="24"/>
          <w:szCs w:val="24"/>
        </w:rPr>
        <w:t>、</w:t>
      </w:r>
      <w:r>
        <w:rPr>
          <w:rFonts w:ascii="Times New Roman" w:hAnsi="Times New Roman" w:eastAsia="Times New Roman" w:cs="Times New Roman"/>
          <w:spacing w:val="-12"/>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12"/>
          <w:sz w:val="24"/>
          <w:szCs w:val="24"/>
        </w:rPr>
        <w:t>月。由于作物种植中化肥、农药的施用，</w:t>
      </w:r>
      <w:r>
        <w:rPr>
          <w:rFonts w:ascii="宋体" w:hAnsi="宋体" w:eastAsia="宋体" w:cs="宋体"/>
          <w:sz w:val="24"/>
          <w:szCs w:val="24"/>
        </w:rPr>
        <w:t xml:space="preserve">  </w:t>
      </w:r>
      <w:r>
        <w:rPr>
          <w:rFonts w:ascii="宋体" w:hAnsi="宋体" w:eastAsia="宋体" w:cs="宋体"/>
          <w:spacing w:val="-4"/>
          <w:sz w:val="24"/>
          <w:szCs w:val="24"/>
        </w:rPr>
        <w:t>回归水中将存在一定的氮、磷污染， 通过沿途渠系排入河道后，增加河水中氮、</w:t>
      </w:r>
    </w:p>
    <w:p>
      <w:pPr>
        <w:spacing w:before="1" w:line="219" w:lineRule="auto"/>
        <w:ind w:left="39"/>
        <w:rPr>
          <w:rFonts w:ascii="宋体" w:hAnsi="宋体" w:eastAsia="宋体" w:cs="宋体"/>
          <w:sz w:val="24"/>
          <w:szCs w:val="24"/>
        </w:rPr>
      </w:pPr>
      <w:r>
        <w:rPr>
          <w:rFonts w:ascii="宋体" w:hAnsi="宋体" w:eastAsia="宋体" w:cs="宋体"/>
          <w:spacing w:val="-9"/>
          <w:sz w:val="24"/>
          <w:szCs w:val="24"/>
        </w:rPr>
        <w:t>磷含量。</w:t>
      </w:r>
    </w:p>
    <w:p>
      <w:pPr>
        <w:spacing w:before="105" w:line="217" w:lineRule="auto"/>
        <w:ind w:left="518"/>
        <w:rPr>
          <w:rFonts w:ascii="宋体" w:hAnsi="宋体" w:eastAsia="宋体" w:cs="宋体"/>
          <w:sz w:val="24"/>
          <w:szCs w:val="24"/>
        </w:rPr>
      </w:pPr>
      <w:r>
        <w:rPr>
          <w:rFonts w:ascii="宋体" w:hAnsi="宋体" w:eastAsia="宋体" w:cs="宋体"/>
          <w:spacing w:val="-1"/>
          <w:sz w:val="24"/>
          <w:szCs w:val="24"/>
        </w:rPr>
        <w:t>①灌溉回归水对桂花河的影响</w:t>
      </w:r>
    </w:p>
    <w:p>
      <w:pPr>
        <w:spacing w:before="186" w:line="359" w:lineRule="auto"/>
        <w:ind w:left="40" w:right="85" w:firstLine="480"/>
        <w:rPr>
          <w:rFonts w:ascii="宋体" w:hAnsi="宋体" w:eastAsia="宋体" w:cs="宋体"/>
          <w:sz w:val="24"/>
          <w:szCs w:val="24"/>
        </w:rPr>
      </w:pPr>
      <w:r>
        <w:rPr>
          <w:rFonts w:ascii="宋体" w:hAnsi="宋体" w:eastAsia="宋体" w:cs="宋体"/>
          <w:spacing w:val="-3"/>
          <w:sz w:val="24"/>
          <w:szCs w:val="24"/>
        </w:rPr>
        <w:t>桂花河流域多年平均径流量为</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 xml:space="preserve">1.39 </w:t>
      </w:r>
      <w:r>
        <w:rPr>
          <w:rFonts w:ascii="宋体" w:hAnsi="宋体" w:eastAsia="宋体" w:cs="宋体"/>
          <w:spacing w:val="-3"/>
          <w:sz w:val="24"/>
          <w:szCs w:val="24"/>
        </w:rPr>
        <w:t>亿</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宋体" w:hAnsi="宋体" w:eastAsia="宋体" w:cs="宋体"/>
          <w:spacing w:val="-3"/>
          <w:sz w:val="24"/>
          <w:szCs w:val="24"/>
        </w:rPr>
        <w:t>（源头至汇入万马河处</w:t>
      </w:r>
      <w:r>
        <w:rPr>
          <w:rFonts w:ascii="宋体" w:hAnsi="宋体" w:eastAsia="宋体" w:cs="宋体"/>
          <w:spacing w:val="-55"/>
          <w:w w:val="87"/>
          <w:sz w:val="24"/>
          <w:szCs w:val="24"/>
        </w:rPr>
        <w:t>），</w:t>
      </w:r>
      <w:r>
        <w:rPr>
          <w:rFonts w:ascii="宋体" w:hAnsi="宋体" w:eastAsia="宋体" w:cs="宋体"/>
          <w:spacing w:val="-4"/>
          <w:sz w:val="24"/>
          <w:szCs w:val="24"/>
        </w:rPr>
        <w:t>桂花河流</w:t>
      </w:r>
      <w:r>
        <w:rPr>
          <w:rFonts w:ascii="宋体" w:hAnsi="宋体" w:eastAsia="宋体" w:cs="宋体"/>
          <w:sz w:val="24"/>
          <w:szCs w:val="24"/>
        </w:rPr>
        <w:t xml:space="preserve"> </w:t>
      </w:r>
      <w:r>
        <w:rPr>
          <w:rFonts w:ascii="宋体" w:hAnsi="宋体" w:eastAsia="宋体" w:cs="宋体"/>
          <w:spacing w:val="-2"/>
          <w:sz w:val="24"/>
          <w:szCs w:val="24"/>
        </w:rPr>
        <w:t>域的灌溉回归水量为</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37.4</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万</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2"/>
          <w:sz w:val="24"/>
          <w:szCs w:val="24"/>
        </w:rPr>
        <w:t>，回归水占流域</w:t>
      </w:r>
      <w:r>
        <w:rPr>
          <w:rFonts w:ascii="宋体" w:hAnsi="宋体" w:eastAsia="宋体" w:cs="宋体"/>
          <w:spacing w:val="-3"/>
          <w:sz w:val="24"/>
          <w:szCs w:val="24"/>
        </w:rPr>
        <w:t>水资源量的</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0.26%</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，灌溉回归水</w:t>
      </w:r>
      <w:r>
        <w:rPr>
          <w:rFonts w:ascii="宋体" w:hAnsi="宋体" w:eastAsia="宋体" w:cs="宋体"/>
          <w:sz w:val="24"/>
          <w:szCs w:val="24"/>
        </w:rPr>
        <w:t xml:space="preserve"> </w:t>
      </w:r>
      <w:r>
        <w:rPr>
          <w:rFonts w:ascii="宋体" w:hAnsi="宋体" w:eastAsia="宋体" w:cs="宋体"/>
          <w:spacing w:val="-9"/>
          <w:sz w:val="24"/>
          <w:szCs w:val="24"/>
        </w:rPr>
        <w:t xml:space="preserve">占流域水资源量比例较小， 下游河道水量十分丰富， </w:t>
      </w:r>
      <w:r>
        <w:rPr>
          <w:rFonts w:ascii="宋体" w:hAnsi="宋体" w:eastAsia="宋体" w:cs="宋体"/>
          <w:spacing w:val="-10"/>
          <w:sz w:val="24"/>
          <w:szCs w:val="24"/>
        </w:rPr>
        <w:t>灌溉回归水对河道的水质影</w:t>
      </w:r>
    </w:p>
    <w:p>
      <w:pPr>
        <w:spacing w:before="1" w:line="221" w:lineRule="auto"/>
        <w:ind w:left="51"/>
        <w:rPr>
          <w:rFonts w:ascii="宋体" w:hAnsi="宋体" w:eastAsia="宋体" w:cs="宋体"/>
          <w:sz w:val="24"/>
          <w:szCs w:val="24"/>
        </w:rPr>
      </w:pPr>
      <w:r>
        <w:rPr>
          <w:rFonts w:ascii="宋体" w:hAnsi="宋体" w:eastAsia="宋体" w:cs="宋体"/>
          <w:spacing w:val="-6"/>
          <w:sz w:val="24"/>
          <w:szCs w:val="24"/>
        </w:rPr>
        <w:t>响较小。</w:t>
      </w:r>
    </w:p>
    <w:p>
      <w:pPr>
        <w:spacing w:before="179" w:line="217" w:lineRule="auto"/>
        <w:ind w:left="517"/>
        <w:rPr>
          <w:rFonts w:ascii="宋体" w:hAnsi="宋体" w:eastAsia="宋体" w:cs="宋体"/>
          <w:sz w:val="24"/>
          <w:szCs w:val="24"/>
        </w:rPr>
      </w:pPr>
      <w:r>
        <w:rPr>
          <w:rFonts w:ascii="宋体" w:hAnsi="宋体" w:eastAsia="宋体" w:cs="宋体"/>
          <w:spacing w:val="-1"/>
          <w:sz w:val="24"/>
          <w:szCs w:val="24"/>
        </w:rPr>
        <w:t>②灌溉回归水对六苴河的影响</w:t>
      </w:r>
    </w:p>
    <w:p>
      <w:pPr>
        <w:spacing w:before="184" w:line="359" w:lineRule="auto"/>
        <w:ind w:left="42" w:right="16" w:firstLine="479"/>
        <w:rPr>
          <w:rFonts w:ascii="宋体" w:hAnsi="宋体" w:eastAsia="宋体" w:cs="宋体"/>
          <w:sz w:val="24"/>
          <w:szCs w:val="24"/>
        </w:rPr>
      </w:pPr>
      <w:r>
        <w:rPr>
          <w:rFonts w:ascii="宋体" w:hAnsi="宋体" w:eastAsia="宋体" w:cs="宋体"/>
          <w:spacing w:val="-3"/>
          <w:sz w:val="24"/>
          <w:szCs w:val="24"/>
        </w:rPr>
        <w:t>六苴河流域的灌溉回归水量为</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31.1</w:t>
      </w:r>
      <w:r>
        <w:rPr>
          <w:rFonts w:ascii="Times New Roman" w:hAnsi="Times New Roman" w:eastAsia="Times New Roman" w:cs="Times New Roman"/>
          <w:spacing w:val="24"/>
          <w:w w:val="101"/>
          <w:sz w:val="24"/>
          <w:szCs w:val="24"/>
        </w:rPr>
        <w:t xml:space="preserve"> </w:t>
      </w:r>
      <w:r>
        <w:rPr>
          <w:rFonts w:ascii="宋体" w:hAnsi="宋体" w:eastAsia="宋体" w:cs="宋体"/>
          <w:spacing w:val="-3"/>
          <w:sz w:val="24"/>
          <w:szCs w:val="24"/>
        </w:rPr>
        <w:t>万</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，回归水占流域水</w:t>
      </w:r>
      <w:r>
        <w:rPr>
          <w:rFonts w:ascii="宋体" w:hAnsi="宋体" w:eastAsia="宋体" w:cs="宋体"/>
          <w:spacing w:val="-4"/>
          <w:sz w:val="24"/>
          <w:szCs w:val="24"/>
        </w:rPr>
        <w:t>资源量的</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0.2%</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9"/>
          <w:sz w:val="24"/>
          <w:szCs w:val="24"/>
        </w:rPr>
        <w:t>灌溉回归水占流域水资源量比例较小， 下游河道水量十</w:t>
      </w:r>
      <w:r>
        <w:rPr>
          <w:rFonts w:ascii="宋体" w:hAnsi="宋体" w:eastAsia="宋体" w:cs="宋体"/>
          <w:spacing w:val="-10"/>
          <w:sz w:val="24"/>
          <w:szCs w:val="24"/>
        </w:rPr>
        <w:t>分丰富， 灌溉回归水对河</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道的水质影响较小。</w:t>
      </w:r>
    </w:p>
    <w:p>
      <w:pPr>
        <w:spacing w:before="182" w:line="359" w:lineRule="auto"/>
        <w:ind w:left="38" w:right="85" w:firstLine="483"/>
        <w:rPr>
          <w:rFonts w:ascii="宋体" w:hAnsi="宋体" w:eastAsia="宋体" w:cs="宋体"/>
          <w:sz w:val="24"/>
          <w:szCs w:val="24"/>
        </w:rPr>
      </w:pPr>
      <w:r>
        <w:rPr>
          <w:rFonts w:ascii="宋体" w:hAnsi="宋体" w:eastAsia="宋体" w:cs="宋体"/>
          <w:spacing w:val="-10"/>
          <w:sz w:val="24"/>
          <w:szCs w:val="24"/>
        </w:rPr>
        <w:t>综合来看， 由于灌区灌溉回归水径流量相比受纳河流的径流量要小很多， 灌</w:t>
      </w:r>
      <w:r>
        <w:rPr>
          <w:rFonts w:ascii="宋体" w:hAnsi="宋体" w:eastAsia="宋体" w:cs="宋体"/>
          <w:spacing w:val="3"/>
          <w:sz w:val="24"/>
          <w:szCs w:val="24"/>
        </w:rPr>
        <w:t xml:space="preserve"> </w:t>
      </w:r>
      <w:r>
        <w:rPr>
          <w:rFonts w:ascii="宋体" w:hAnsi="宋体" w:eastAsia="宋体" w:cs="宋体"/>
          <w:spacing w:val="-11"/>
          <w:sz w:val="24"/>
          <w:szCs w:val="24"/>
        </w:rPr>
        <w:t>溉回归水进入受纳河流后，</w:t>
      </w:r>
      <w:r>
        <w:rPr>
          <w:rFonts w:ascii="宋体" w:hAnsi="宋体" w:eastAsia="宋体" w:cs="宋体"/>
          <w:spacing w:val="29"/>
          <w:sz w:val="24"/>
          <w:szCs w:val="24"/>
        </w:rPr>
        <w:t xml:space="preserve"> </w:t>
      </w:r>
      <w:r>
        <w:rPr>
          <w:rFonts w:ascii="宋体" w:hAnsi="宋体" w:eastAsia="宋体" w:cs="宋体"/>
          <w:spacing w:val="-11"/>
          <w:sz w:val="24"/>
          <w:szCs w:val="24"/>
        </w:rPr>
        <w:t>对河流水体的</w:t>
      </w:r>
      <w:r>
        <w:rPr>
          <w:rFonts w:ascii="宋体" w:hAnsi="宋体" w:eastAsia="宋体" w:cs="宋体"/>
          <w:spacing w:val="-53"/>
          <w:sz w:val="24"/>
          <w:szCs w:val="24"/>
        </w:rPr>
        <w:t xml:space="preserve"> </w:t>
      </w:r>
      <w:r>
        <w:rPr>
          <w:rFonts w:ascii="Times New Roman" w:hAnsi="Times New Roman" w:eastAsia="Times New Roman" w:cs="Times New Roman"/>
          <w:spacing w:val="-11"/>
          <w:sz w:val="24"/>
          <w:szCs w:val="24"/>
        </w:rPr>
        <w:t>TN</w:t>
      </w:r>
      <w:r>
        <w:rPr>
          <w:rFonts w:ascii="宋体" w:hAnsi="宋体" w:eastAsia="宋体" w:cs="宋体"/>
          <w:spacing w:val="-11"/>
          <w:sz w:val="24"/>
          <w:szCs w:val="24"/>
        </w:rPr>
        <w:t>、</w:t>
      </w:r>
      <w:r>
        <w:rPr>
          <w:rFonts w:ascii="Times New Roman" w:hAnsi="Times New Roman" w:eastAsia="Times New Roman" w:cs="Times New Roman"/>
          <w:spacing w:val="-11"/>
          <w:sz w:val="24"/>
          <w:szCs w:val="24"/>
        </w:rPr>
        <w:t xml:space="preserve">TP </w:t>
      </w:r>
      <w:r>
        <w:rPr>
          <w:rFonts w:ascii="宋体" w:hAnsi="宋体" w:eastAsia="宋体" w:cs="宋体"/>
          <w:spacing w:val="-11"/>
          <w:sz w:val="24"/>
          <w:szCs w:val="24"/>
        </w:rPr>
        <w:t>污染物贡献率较低，</w:t>
      </w:r>
      <w:r>
        <w:rPr>
          <w:rFonts w:ascii="宋体" w:hAnsi="宋体" w:eastAsia="宋体" w:cs="宋体"/>
          <w:spacing w:val="30"/>
          <w:sz w:val="24"/>
          <w:szCs w:val="24"/>
        </w:rPr>
        <w:t xml:space="preserve"> </w:t>
      </w:r>
      <w:r>
        <w:rPr>
          <w:rFonts w:ascii="宋体" w:hAnsi="宋体" w:eastAsia="宋体" w:cs="宋体"/>
          <w:spacing w:val="-11"/>
          <w:sz w:val="24"/>
          <w:szCs w:val="24"/>
        </w:rPr>
        <w:t>且本</w:t>
      </w:r>
      <w:r>
        <w:rPr>
          <w:rFonts w:ascii="宋体" w:hAnsi="宋体" w:eastAsia="宋体" w:cs="宋体"/>
          <w:spacing w:val="-12"/>
          <w:sz w:val="24"/>
          <w:szCs w:val="24"/>
        </w:rPr>
        <w:t>环评</w:t>
      </w:r>
      <w:r>
        <w:rPr>
          <w:rFonts w:ascii="宋体" w:hAnsi="宋体" w:eastAsia="宋体" w:cs="宋体"/>
          <w:sz w:val="24"/>
          <w:szCs w:val="24"/>
        </w:rPr>
        <w:t xml:space="preserve"> </w:t>
      </w:r>
      <w:r>
        <w:rPr>
          <w:rFonts w:ascii="宋体" w:hAnsi="宋体" w:eastAsia="宋体" w:cs="宋体"/>
          <w:spacing w:val="-6"/>
          <w:sz w:val="24"/>
          <w:szCs w:val="24"/>
        </w:rPr>
        <w:t>对回归水受纳河流污染物贡献浓度的预测是简化为单一排污口的预测方式，</w:t>
      </w:r>
      <w:r>
        <w:rPr>
          <w:rFonts w:ascii="宋体" w:hAnsi="宋体" w:eastAsia="宋体" w:cs="宋体"/>
          <w:spacing w:val="-14"/>
          <w:sz w:val="24"/>
          <w:szCs w:val="24"/>
        </w:rPr>
        <w:t xml:space="preserve"> </w:t>
      </w:r>
      <w:r>
        <w:rPr>
          <w:rFonts w:ascii="宋体" w:hAnsi="宋体" w:eastAsia="宋体" w:cs="宋体"/>
          <w:spacing w:val="-6"/>
          <w:sz w:val="24"/>
          <w:szCs w:val="24"/>
        </w:rPr>
        <w:t>实际</w:t>
      </w:r>
      <w:r>
        <w:rPr>
          <w:rFonts w:ascii="宋体" w:hAnsi="宋体" w:eastAsia="宋体" w:cs="宋体"/>
          <w:sz w:val="24"/>
          <w:szCs w:val="24"/>
        </w:rPr>
        <w:t xml:space="preserve"> </w:t>
      </w:r>
      <w:r>
        <w:rPr>
          <w:rFonts w:ascii="宋体" w:hAnsi="宋体" w:eastAsia="宋体" w:cs="宋体"/>
          <w:spacing w:val="-6"/>
          <w:sz w:val="24"/>
          <w:szCs w:val="24"/>
        </w:rPr>
        <w:t>回归水过程中，灌溉回归水是随多处沟渠进入河流的， 其对水质</w:t>
      </w:r>
      <w:r>
        <w:rPr>
          <w:rFonts w:ascii="宋体" w:hAnsi="宋体" w:eastAsia="宋体" w:cs="宋体"/>
          <w:spacing w:val="-7"/>
          <w:sz w:val="24"/>
          <w:szCs w:val="24"/>
        </w:rPr>
        <w:t>的影响程度要小</w:t>
      </w:r>
      <w:r>
        <w:rPr>
          <w:rFonts w:ascii="宋体" w:hAnsi="宋体" w:eastAsia="宋体" w:cs="宋体"/>
          <w:sz w:val="24"/>
          <w:szCs w:val="24"/>
        </w:rPr>
        <w:t xml:space="preserve"> </w:t>
      </w:r>
      <w:r>
        <w:rPr>
          <w:rFonts w:ascii="宋体" w:hAnsi="宋体" w:eastAsia="宋体" w:cs="宋体"/>
          <w:spacing w:val="-12"/>
          <w:sz w:val="24"/>
          <w:szCs w:val="24"/>
        </w:rPr>
        <w:t>于本预测结果。因此，</w:t>
      </w:r>
      <w:r>
        <w:rPr>
          <w:rFonts w:ascii="宋体" w:hAnsi="宋体" w:eastAsia="宋体" w:cs="宋体"/>
          <w:spacing w:val="39"/>
          <w:sz w:val="24"/>
          <w:szCs w:val="24"/>
        </w:rPr>
        <w:t xml:space="preserve"> </w:t>
      </w:r>
      <w:r>
        <w:rPr>
          <w:rFonts w:ascii="宋体" w:hAnsi="宋体" w:eastAsia="宋体" w:cs="宋体"/>
          <w:spacing w:val="-12"/>
          <w:sz w:val="24"/>
          <w:szCs w:val="24"/>
        </w:rPr>
        <w:t>本水库建成后，</w:t>
      </w:r>
      <w:r>
        <w:rPr>
          <w:rFonts w:ascii="宋体" w:hAnsi="宋体" w:eastAsia="宋体" w:cs="宋体"/>
          <w:spacing w:val="40"/>
          <w:sz w:val="24"/>
          <w:szCs w:val="24"/>
        </w:rPr>
        <w:t xml:space="preserve"> </w:t>
      </w:r>
      <w:r>
        <w:rPr>
          <w:rFonts w:ascii="宋体" w:hAnsi="宋体" w:eastAsia="宋体" w:cs="宋体"/>
          <w:spacing w:val="-12"/>
          <w:sz w:val="24"/>
          <w:szCs w:val="24"/>
        </w:rPr>
        <w:t>灌溉回归水对桂花河、六苴河的影</w:t>
      </w:r>
      <w:r>
        <w:rPr>
          <w:rFonts w:ascii="宋体" w:hAnsi="宋体" w:eastAsia="宋体" w:cs="宋体"/>
          <w:spacing w:val="-13"/>
          <w:sz w:val="24"/>
          <w:szCs w:val="24"/>
        </w:rPr>
        <w:t>响程度</w:t>
      </w:r>
      <w:r>
        <w:rPr>
          <w:rFonts w:ascii="宋体" w:hAnsi="宋体" w:eastAsia="宋体" w:cs="宋体"/>
          <w:sz w:val="24"/>
          <w:szCs w:val="24"/>
        </w:rPr>
        <w:t xml:space="preserve"> </w:t>
      </w:r>
      <w:r>
        <w:rPr>
          <w:rFonts w:ascii="宋体" w:hAnsi="宋体" w:eastAsia="宋体" w:cs="宋体"/>
          <w:spacing w:val="-8"/>
          <w:sz w:val="24"/>
          <w:szCs w:val="24"/>
        </w:rPr>
        <w:t>有限， 同时通过在灌区采取节水灌溉，</w:t>
      </w:r>
      <w:r>
        <w:rPr>
          <w:rFonts w:ascii="宋体" w:hAnsi="宋体" w:eastAsia="宋体" w:cs="宋体"/>
          <w:spacing w:val="-48"/>
          <w:sz w:val="24"/>
          <w:szCs w:val="24"/>
        </w:rPr>
        <w:t xml:space="preserve"> </w:t>
      </w:r>
      <w:r>
        <w:rPr>
          <w:rFonts w:ascii="宋体" w:hAnsi="宋体" w:eastAsia="宋体" w:cs="宋体"/>
          <w:spacing w:val="-8"/>
          <w:sz w:val="24"/>
          <w:szCs w:val="24"/>
        </w:rPr>
        <w:t>开展测土配方、较少农</w:t>
      </w:r>
      <w:r>
        <w:rPr>
          <w:rFonts w:ascii="宋体" w:hAnsi="宋体" w:eastAsia="宋体" w:cs="宋体"/>
          <w:spacing w:val="-9"/>
          <w:sz w:val="24"/>
          <w:szCs w:val="24"/>
        </w:rPr>
        <w:t>药、化肥施用量等</w:t>
      </w:r>
    </w:p>
    <w:p>
      <w:pPr>
        <w:spacing w:before="1" w:line="218" w:lineRule="auto"/>
        <w:ind w:left="39"/>
        <w:rPr>
          <w:rFonts w:ascii="宋体" w:hAnsi="宋体" w:eastAsia="宋体" w:cs="宋体"/>
          <w:sz w:val="24"/>
          <w:szCs w:val="24"/>
        </w:rPr>
      </w:pPr>
      <w:r>
        <w:rPr>
          <w:rFonts w:ascii="宋体" w:hAnsi="宋体" w:eastAsia="宋体" w:cs="宋体"/>
          <w:spacing w:val="-5"/>
          <w:sz w:val="24"/>
          <w:szCs w:val="24"/>
        </w:rPr>
        <w:t>措施后， 灌溉回归水对受纳河流的水质影响将会得到</w:t>
      </w:r>
      <w:r>
        <w:rPr>
          <w:rFonts w:ascii="宋体" w:hAnsi="宋体" w:eastAsia="宋体" w:cs="宋体"/>
          <w:spacing w:val="-6"/>
          <w:sz w:val="24"/>
          <w:szCs w:val="24"/>
        </w:rPr>
        <w:t>进一步减缓。</w:t>
      </w:r>
    </w:p>
    <w:p>
      <w:pPr>
        <w:spacing w:before="18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）减水河段纳污能力影响分析</w:t>
      </w:r>
    </w:p>
    <w:p>
      <w:pPr>
        <w:spacing w:before="182" w:line="466" w:lineRule="exact"/>
        <w:jc w:val="right"/>
        <w:rPr>
          <w:rFonts w:ascii="宋体" w:hAnsi="宋体" w:eastAsia="宋体" w:cs="宋体"/>
          <w:sz w:val="24"/>
          <w:szCs w:val="24"/>
        </w:rPr>
      </w:pPr>
      <w:r>
        <w:rPr>
          <w:rFonts w:ascii="宋体" w:hAnsi="宋体" w:eastAsia="宋体" w:cs="宋体"/>
          <w:spacing w:val="-3"/>
          <w:position w:val="16"/>
          <w:sz w:val="24"/>
          <w:szCs w:val="24"/>
        </w:rPr>
        <w:t xml:space="preserve">桂花水库营运后，蓄水调水会使得原河道多年平均径流量减少 </w:t>
      </w:r>
      <w:r>
        <w:rPr>
          <w:rFonts w:ascii="Times New Roman" w:hAnsi="Times New Roman" w:eastAsia="Times New Roman" w:cs="Times New Roman"/>
          <w:spacing w:val="-3"/>
          <w:position w:val="16"/>
          <w:sz w:val="24"/>
          <w:szCs w:val="24"/>
        </w:rPr>
        <w:t>1</w:t>
      </w:r>
      <w:r>
        <w:rPr>
          <w:rFonts w:ascii="Times New Roman" w:hAnsi="Times New Roman" w:eastAsia="Times New Roman" w:cs="Times New Roman"/>
          <w:spacing w:val="-4"/>
          <w:position w:val="16"/>
          <w:sz w:val="24"/>
          <w:szCs w:val="24"/>
        </w:rPr>
        <w:t>620</w:t>
      </w:r>
      <w:r>
        <w:rPr>
          <w:rFonts w:ascii="Times New Roman" w:hAnsi="Times New Roman" w:eastAsia="Times New Roman" w:cs="Times New Roman"/>
          <w:spacing w:val="35"/>
          <w:position w:val="16"/>
          <w:sz w:val="24"/>
          <w:szCs w:val="24"/>
        </w:rPr>
        <w:t xml:space="preserve"> </w:t>
      </w:r>
      <w:r>
        <w:rPr>
          <w:rFonts w:ascii="宋体" w:hAnsi="宋体" w:eastAsia="宋体" w:cs="宋体"/>
          <w:spacing w:val="-4"/>
          <w:position w:val="16"/>
          <w:sz w:val="24"/>
          <w:szCs w:val="24"/>
        </w:rPr>
        <w:t>万</w:t>
      </w:r>
      <w:r>
        <w:rPr>
          <w:rFonts w:ascii="宋体" w:hAnsi="宋体" w:eastAsia="宋体" w:cs="宋体"/>
          <w:spacing w:val="-39"/>
          <w:position w:val="16"/>
          <w:sz w:val="24"/>
          <w:szCs w:val="24"/>
        </w:rPr>
        <w:t xml:space="preserve"> </w:t>
      </w:r>
      <w:r>
        <w:rPr>
          <w:rFonts w:ascii="Times New Roman" w:hAnsi="Times New Roman" w:eastAsia="Times New Roman" w:cs="Times New Roman"/>
          <w:spacing w:val="-4"/>
          <w:position w:val="16"/>
          <w:sz w:val="24"/>
          <w:szCs w:val="24"/>
        </w:rPr>
        <w:t>m</w:t>
      </w:r>
      <w:r>
        <w:rPr>
          <w:rFonts w:ascii="Times New Roman" w:hAnsi="Times New Roman" w:eastAsia="Times New Roman" w:cs="Times New Roman"/>
          <w:spacing w:val="-4"/>
          <w:position w:val="24"/>
          <w:sz w:val="15"/>
          <w:szCs w:val="15"/>
        </w:rPr>
        <w:t>3</w:t>
      </w:r>
      <w:r>
        <w:rPr>
          <w:rFonts w:ascii="宋体" w:hAnsi="宋体" w:eastAsia="宋体" w:cs="宋体"/>
          <w:spacing w:val="-4"/>
          <w:position w:val="16"/>
          <w:sz w:val="24"/>
          <w:szCs w:val="24"/>
        </w:rPr>
        <w:t>，</w:t>
      </w:r>
    </w:p>
    <w:p>
      <w:pPr>
        <w:spacing w:before="1" w:line="233" w:lineRule="auto"/>
        <w:ind w:left="39"/>
        <w:rPr>
          <w:rFonts w:ascii="宋体" w:hAnsi="宋体" w:eastAsia="宋体" w:cs="宋体"/>
          <w:sz w:val="24"/>
          <w:szCs w:val="24"/>
        </w:rPr>
      </w:pPr>
      <w:r>
        <w:rPr>
          <w:rFonts w:ascii="宋体" w:hAnsi="宋体" w:eastAsia="宋体" w:cs="宋体"/>
          <w:spacing w:val="-5"/>
          <w:sz w:val="24"/>
          <w:szCs w:val="24"/>
        </w:rPr>
        <w:t xml:space="preserve">减少比例为 </w:t>
      </w:r>
      <w:r>
        <w:rPr>
          <w:rFonts w:ascii="Times New Roman" w:hAnsi="Times New Roman" w:eastAsia="Times New Roman" w:cs="Times New Roman"/>
          <w:spacing w:val="-5"/>
          <w:sz w:val="24"/>
          <w:szCs w:val="24"/>
        </w:rPr>
        <w:t>11.65%</w:t>
      </w:r>
      <w:r>
        <w:rPr>
          <w:rFonts w:ascii="宋体" w:hAnsi="宋体" w:eastAsia="宋体" w:cs="宋体"/>
          <w:spacing w:val="-5"/>
          <w:sz w:val="24"/>
          <w:szCs w:val="24"/>
        </w:rPr>
        <w:t xml:space="preserve">（桂花河流域多年平均径流量为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6"/>
          <w:sz w:val="24"/>
          <w:szCs w:val="24"/>
        </w:rPr>
        <w:t>39</w:t>
      </w:r>
      <w:r>
        <w:rPr>
          <w:rFonts w:ascii="Times New Roman" w:hAnsi="Times New Roman" w:eastAsia="Times New Roman" w:cs="Times New Roman"/>
          <w:spacing w:val="25"/>
          <w:sz w:val="24"/>
          <w:szCs w:val="24"/>
        </w:rPr>
        <w:t xml:space="preserve"> </w:t>
      </w:r>
      <w:r>
        <w:rPr>
          <w:rFonts w:ascii="宋体" w:hAnsi="宋体" w:eastAsia="宋体" w:cs="宋体"/>
          <w:spacing w:val="-6"/>
          <w:sz w:val="24"/>
          <w:szCs w:val="24"/>
        </w:rPr>
        <w:t>亿</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宋体" w:hAnsi="宋体" w:eastAsia="宋体" w:cs="宋体"/>
          <w:spacing w:val="-6"/>
          <w:sz w:val="24"/>
          <w:szCs w:val="24"/>
        </w:rPr>
        <w:t>）。</w:t>
      </w:r>
      <w:r>
        <w:rPr>
          <w:rFonts w:ascii="Times New Roman" w:hAnsi="Times New Roman" w:eastAsia="Times New Roman" w:cs="Times New Roman"/>
          <w:spacing w:val="-6"/>
          <w:sz w:val="24"/>
          <w:szCs w:val="24"/>
        </w:rPr>
        <w:t>P=75%</w:t>
      </w:r>
      <w:r>
        <w:rPr>
          <w:rFonts w:ascii="宋体" w:hAnsi="宋体" w:eastAsia="宋体" w:cs="宋体"/>
          <w:spacing w:val="-6"/>
          <w:sz w:val="24"/>
          <w:szCs w:val="24"/>
        </w:rPr>
        <w:t>的设计</w:t>
      </w:r>
    </w:p>
    <w:p>
      <w:pPr>
        <w:spacing w:line="233" w:lineRule="auto"/>
        <w:rPr>
          <w:rFonts w:ascii="宋体" w:hAnsi="宋体" w:eastAsia="宋体" w:cs="宋体"/>
          <w:sz w:val="24"/>
          <w:szCs w:val="24"/>
        </w:rPr>
        <w:sectPr>
          <w:headerReference r:id="rId346" w:type="default"/>
          <w:footerReference r:id="rId347" w:type="default"/>
          <w:pgSz w:w="11907" w:h="16839"/>
          <w:pgMar w:top="1156" w:right="1713" w:bottom="1374" w:left="1770" w:header="881" w:footer="1210" w:gutter="0"/>
        </w:sectPr>
      </w:pPr>
    </w:p>
    <w:p>
      <w:pPr>
        <w:spacing w:before="319" w:line="467" w:lineRule="exact"/>
        <w:ind w:left="40"/>
        <w:rPr>
          <w:rFonts w:ascii="宋体" w:hAnsi="宋体" w:eastAsia="宋体" w:cs="宋体"/>
          <w:sz w:val="24"/>
          <w:szCs w:val="24"/>
        </w:rPr>
      </w:pPr>
      <w:r>
        <w:rPr>
          <w:rFonts w:ascii="宋体" w:hAnsi="宋体" w:eastAsia="宋体" w:cs="宋体"/>
          <w:spacing w:val="-11"/>
          <w:position w:val="16"/>
          <w:sz w:val="24"/>
          <w:szCs w:val="24"/>
        </w:rPr>
        <w:t>保证情况下， 桂花水库建成运行后， 减水河段纳污能力将</w:t>
      </w:r>
      <w:r>
        <w:rPr>
          <w:rFonts w:ascii="宋体" w:hAnsi="宋体" w:eastAsia="宋体" w:cs="宋体"/>
          <w:spacing w:val="-12"/>
          <w:position w:val="16"/>
          <w:sz w:val="24"/>
          <w:szCs w:val="24"/>
        </w:rPr>
        <w:t>减少</w:t>
      </w:r>
      <w:r>
        <w:rPr>
          <w:rFonts w:ascii="宋体" w:hAnsi="宋体" w:eastAsia="宋体" w:cs="宋体"/>
          <w:spacing w:val="-32"/>
          <w:position w:val="16"/>
          <w:sz w:val="24"/>
          <w:szCs w:val="24"/>
        </w:rPr>
        <w:t xml:space="preserve"> </w:t>
      </w:r>
      <w:r>
        <w:rPr>
          <w:rFonts w:ascii="Times New Roman" w:hAnsi="Times New Roman" w:eastAsia="Times New Roman" w:cs="Times New Roman"/>
          <w:spacing w:val="-12"/>
          <w:position w:val="16"/>
          <w:sz w:val="24"/>
          <w:szCs w:val="24"/>
        </w:rPr>
        <w:t>11.65%</w:t>
      </w:r>
      <w:r>
        <w:rPr>
          <w:rFonts w:ascii="宋体" w:hAnsi="宋体" w:eastAsia="宋体" w:cs="宋体"/>
          <w:spacing w:val="-12"/>
          <w:position w:val="16"/>
          <w:sz w:val="24"/>
          <w:szCs w:val="24"/>
        </w:rPr>
        <w:t>，其减水河</w:t>
      </w:r>
    </w:p>
    <w:p>
      <w:pPr>
        <w:spacing w:line="219" w:lineRule="auto"/>
        <w:ind w:left="40"/>
        <w:rPr>
          <w:rFonts w:ascii="宋体" w:hAnsi="宋体" w:eastAsia="宋体" w:cs="宋体"/>
          <w:sz w:val="24"/>
          <w:szCs w:val="24"/>
        </w:rPr>
      </w:pPr>
      <w:r>
        <w:rPr>
          <w:rFonts w:ascii="宋体" w:hAnsi="宋体" w:eastAsia="宋体" w:cs="宋体"/>
          <w:spacing w:val="-2"/>
          <w:sz w:val="24"/>
          <w:szCs w:val="24"/>
        </w:rPr>
        <w:t>段纳污能力影响不大。</w:t>
      </w:r>
    </w:p>
    <w:p>
      <w:pPr>
        <w:spacing w:before="180"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）生活污水</w:t>
      </w:r>
    </w:p>
    <w:p>
      <w:pPr>
        <w:spacing w:before="182" w:line="359" w:lineRule="auto"/>
        <w:ind w:left="43" w:right="107" w:firstLine="544"/>
        <w:rPr>
          <w:rFonts w:ascii="宋体" w:hAnsi="宋体" w:eastAsia="宋体" w:cs="宋体"/>
          <w:sz w:val="24"/>
          <w:szCs w:val="24"/>
        </w:rPr>
      </w:pPr>
      <w:r>
        <w:rPr>
          <w:rFonts w:ascii="宋体" w:hAnsi="宋体" w:eastAsia="宋体" w:cs="宋体"/>
          <w:spacing w:val="3"/>
          <w:sz w:val="24"/>
          <w:szCs w:val="24"/>
        </w:rPr>
        <w:t>运</w:t>
      </w:r>
      <w:r>
        <w:rPr>
          <w:rFonts w:ascii="宋体" w:hAnsi="宋体" w:eastAsia="宋体" w:cs="宋体"/>
          <w:spacing w:val="-69"/>
          <w:sz w:val="24"/>
          <w:szCs w:val="24"/>
        </w:rPr>
        <w:t xml:space="preserve"> </w:t>
      </w:r>
      <w:r>
        <w:rPr>
          <w:rFonts w:ascii="宋体" w:hAnsi="宋体" w:eastAsia="宋体" w:cs="宋体"/>
          <w:spacing w:val="3"/>
          <w:sz w:val="24"/>
          <w:szCs w:val="24"/>
        </w:rPr>
        <w:t>营期库</w:t>
      </w:r>
      <w:r>
        <w:rPr>
          <w:rFonts w:ascii="宋体" w:hAnsi="宋体" w:eastAsia="宋体" w:cs="宋体"/>
          <w:spacing w:val="-59"/>
          <w:sz w:val="24"/>
          <w:szCs w:val="24"/>
        </w:rPr>
        <w:t xml:space="preserve"> </w:t>
      </w:r>
      <w:r>
        <w:rPr>
          <w:rFonts w:ascii="宋体" w:hAnsi="宋体" w:eastAsia="宋体" w:cs="宋体"/>
          <w:spacing w:val="3"/>
          <w:sz w:val="24"/>
          <w:szCs w:val="24"/>
        </w:rPr>
        <w:t>区值班人</w:t>
      </w:r>
      <w:r>
        <w:rPr>
          <w:rFonts w:ascii="宋体" w:hAnsi="宋体" w:eastAsia="宋体" w:cs="宋体"/>
          <w:spacing w:val="-66"/>
          <w:sz w:val="24"/>
          <w:szCs w:val="24"/>
        </w:rPr>
        <w:t xml:space="preserve"> </w:t>
      </w:r>
      <w:r>
        <w:rPr>
          <w:rFonts w:ascii="宋体" w:hAnsi="宋体" w:eastAsia="宋体" w:cs="宋体"/>
          <w:spacing w:val="3"/>
          <w:sz w:val="24"/>
          <w:szCs w:val="24"/>
        </w:rPr>
        <w:t>员</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人， 均</w:t>
      </w:r>
      <w:r>
        <w:rPr>
          <w:rFonts w:ascii="宋体" w:hAnsi="宋体" w:eastAsia="宋体" w:cs="宋体"/>
          <w:spacing w:val="-48"/>
          <w:sz w:val="24"/>
          <w:szCs w:val="24"/>
        </w:rPr>
        <w:t xml:space="preserve"> </w:t>
      </w:r>
      <w:r>
        <w:rPr>
          <w:rFonts w:ascii="宋体" w:hAnsi="宋体" w:eastAsia="宋体" w:cs="宋体"/>
          <w:spacing w:val="3"/>
          <w:sz w:val="24"/>
          <w:szCs w:val="24"/>
        </w:rPr>
        <w:t>由</w:t>
      </w:r>
      <w:r>
        <w:rPr>
          <w:rFonts w:ascii="宋体" w:hAnsi="宋体" w:eastAsia="宋体" w:cs="宋体"/>
          <w:spacing w:val="-62"/>
          <w:sz w:val="24"/>
          <w:szCs w:val="24"/>
        </w:rPr>
        <w:t xml:space="preserve"> </w:t>
      </w:r>
      <w:r>
        <w:rPr>
          <w:rFonts w:ascii="宋体" w:hAnsi="宋体" w:eastAsia="宋体" w:cs="宋体"/>
          <w:spacing w:val="3"/>
          <w:sz w:val="24"/>
          <w:szCs w:val="24"/>
        </w:rPr>
        <w:t>当地居</w:t>
      </w:r>
      <w:r>
        <w:rPr>
          <w:rFonts w:ascii="宋体" w:hAnsi="宋体" w:eastAsia="宋体" w:cs="宋体"/>
          <w:spacing w:val="-54"/>
          <w:sz w:val="24"/>
          <w:szCs w:val="24"/>
        </w:rPr>
        <w:t xml:space="preserve"> </w:t>
      </w:r>
      <w:r>
        <w:rPr>
          <w:rFonts w:ascii="宋体" w:hAnsi="宋体" w:eastAsia="宋体" w:cs="宋体"/>
          <w:spacing w:val="3"/>
          <w:sz w:val="24"/>
          <w:szCs w:val="24"/>
        </w:rPr>
        <w:t>民担任</w:t>
      </w:r>
      <w:r>
        <w:rPr>
          <w:rFonts w:ascii="宋体" w:hAnsi="宋体" w:eastAsia="宋体" w:cs="宋体"/>
          <w:spacing w:val="-59"/>
          <w:sz w:val="24"/>
          <w:szCs w:val="24"/>
        </w:rPr>
        <w:t xml:space="preserve"> </w:t>
      </w:r>
      <w:r>
        <w:rPr>
          <w:rFonts w:ascii="宋体" w:hAnsi="宋体" w:eastAsia="宋体" w:cs="宋体"/>
          <w:spacing w:val="3"/>
          <w:sz w:val="24"/>
          <w:szCs w:val="24"/>
        </w:rPr>
        <w:t>，食宿</w:t>
      </w:r>
      <w:r>
        <w:rPr>
          <w:rFonts w:ascii="宋体" w:hAnsi="宋体" w:eastAsia="宋体" w:cs="宋体"/>
          <w:spacing w:val="-38"/>
          <w:sz w:val="24"/>
          <w:szCs w:val="24"/>
        </w:rPr>
        <w:t xml:space="preserve"> </w:t>
      </w:r>
      <w:r>
        <w:rPr>
          <w:rFonts w:ascii="宋体" w:hAnsi="宋体" w:eastAsia="宋体" w:cs="宋体"/>
          <w:spacing w:val="3"/>
          <w:sz w:val="24"/>
          <w:szCs w:val="24"/>
        </w:rPr>
        <w:t>自理</w:t>
      </w:r>
      <w:r>
        <w:rPr>
          <w:rFonts w:ascii="宋体" w:hAnsi="宋体" w:eastAsia="宋体" w:cs="宋体"/>
          <w:spacing w:val="-61"/>
          <w:sz w:val="24"/>
          <w:szCs w:val="24"/>
        </w:rPr>
        <w:t xml:space="preserve"> </w:t>
      </w:r>
      <w:r>
        <w:rPr>
          <w:rFonts w:ascii="宋体" w:hAnsi="宋体" w:eastAsia="宋体" w:cs="宋体"/>
          <w:spacing w:val="2"/>
          <w:sz w:val="24"/>
          <w:szCs w:val="24"/>
        </w:rPr>
        <w:t>，库</w:t>
      </w:r>
      <w:r>
        <w:rPr>
          <w:rFonts w:ascii="宋体" w:hAnsi="宋体" w:eastAsia="宋体" w:cs="宋体"/>
          <w:spacing w:val="-58"/>
          <w:sz w:val="24"/>
          <w:szCs w:val="24"/>
        </w:rPr>
        <w:t xml:space="preserve"> </w:t>
      </w:r>
      <w:r>
        <w:rPr>
          <w:rFonts w:ascii="宋体" w:hAnsi="宋体" w:eastAsia="宋体" w:cs="宋体"/>
          <w:spacing w:val="2"/>
          <w:sz w:val="24"/>
          <w:szCs w:val="24"/>
        </w:rPr>
        <w:t>区</w:t>
      </w:r>
      <w:r>
        <w:rPr>
          <w:rFonts w:ascii="宋体" w:hAnsi="宋体" w:eastAsia="宋体" w:cs="宋体"/>
          <w:sz w:val="24"/>
          <w:szCs w:val="24"/>
        </w:rPr>
        <w:t xml:space="preserve"> </w:t>
      </w:r>
      <w:r>
        <w:rPr>
          <w:rFonts w:ascii="宋体" w:hAnsi="宋体" w:eastAsia="宋体" w:cs="宋体"/>
          <w:spacing w:val="26"/>
          <w:sz w:val="24"/>
          <w:szCs w:val="24"/>
        </w:rPr>
        <w:t>不设置食宿，生活污水主要为卫生间污水。污水经化粪池处理后定期委</w:t>
      </w:r>
    </w:p>
    <w:p>
      <w:pPr>
        <w:spacing w:before="1" w:line="218" w:lineRule="auto"/>
        <w:ind w:left="39"/>
        <w:rPr>
          <w:rFonts w:ascii="宋体" w:hAnsi="宋体" w:eastAsia="宋体" w:cs="宋体"/>
          <w:sz w:val="24"/>
          <w:szCs w:val="24"/>
        </w:rPr>
      </w:pPr>
      <w:r>
        <w:rPr>
          <w:rFonts w:ascii="宋体" w:hAnsi="宋体" w:eastAsia="宋体" w:cs="宋体"/>
          <w:spacing w:val="20"/>
          <w:sz w:val="24"/>
          <w:szCs w:val="24"/>
        </w:rPr>
        <w:t>托周边居</w:t>
      </w:r>
      <w:r>
        <w:rPr>
          <w:rFonts w:ascii="宋体" w:hAnsi="宋体" w:eastAsia="宋体" w:cs="宋体"/>
          <w:spacing w:val="-53"/>
          <w:sz w:val="24"/>
          <w:szCs w:val="24"/>
        </w:rPr>
        <w:t xml:space="preserve"> </w:t>
      </w:r>
      <w:r>
        <w:rPr>
          <w:rFonts w:ascii="宋体" w:hAnsi="宋体" w:eastAsia="宋体" w:cs="宋体"/>
          <w:spacing w:val="20"/>
          <w:sz w:val="24"/>
          <w:szCs w:val="24"/>
        </w:rPr>
        <w:t>民清掏用于农肥</w:t>
      </w:r>
      <w:r>
        <w:rPr>
          <w:rFonts w:ascii="宋体" w:hAnsi="宋体" w:eastAsia="宋体" w:cs="宋体"/>
          <w:spacing w:val="-60"/>
          <w:sz w:val="24"/>
          <w:szCs w:val="24"/>
        </w:rPr>
        <w:t xml:space="preserve"> </w:t>
      </w:r>
      <w:r>
        <w:rPr>
          <w:rFonts w:ascii="宋体" w:hAnsi="宋体" w:eastAsia="宋体" w:cs="宋体"/>
          <w:spacing w:val="20"/>
          <w:sz w:val="24"/>
          <w:szCs w:val="24"/>
        </w:rPr>
        <w:t>，不外排</w:t>
      </w:r>
      <w:r>
        <w:rPr>
          <w:rFonts w:ascii="宋体" w:hAnsi="宋体" w:eastAsia="宋体" w:cs="宋体"/>
          <w:spacing w:val="-61"/>
          <w:sz w:val="24"/>
          <w:szCs w:val="24"/>
        </w:rPr>
        <w:t xml:space="preserve"> </w:t>
      </w:r>
      <w:r>
        <w:rPr>
          <w:rFonts w:ascii="宋体" w:hAnsi="宋体" w:eastAsia="宋体" w:cs="宋体"/>
          <w:spacing w:val="20"/>
          <w:sz w:val="24"/>
          <w:szCs w:val="24"/>
        </w:rPr>
        <w:t>，对</w:t>
      </w:r>
      <w:r>
        <w:rPr>
          <w:rFonts w:ascii="宋体" w:hAnsi="宋体" w:eastAsia="宋体" w:cs="宋体"/>
          <w:spacing w:val="-71"/>
          <w:sz w:val="24"/>
          <w:szCs w:val="24"/>
        </w:rPr>
        <w:t xml:space="preserve"> </w:t>
      </w:r>
      <w:r>
        <w:rPr>
          <w:rFonts w:ascii="宋体" w:hAnsi="宋体" w:eastAsia="宋体" w:cs="宋体"/>
          <w:spacing w:val="20"/>
          <w:sz w:val="24"/>
          <w:szCs w:val="24"/>
        </w:rPr>
        <w:t>桂花河地</w:t>
      </w:r>
      <w:r>
        <w:rPr>
          <w:rFonts w:ascii="宋体" w:hAnsi="宋体" w:eastAsia="宋体" w:cs="宋体"/>
          <w:spacing w:val="19"/>
          <w:sz w:val="24"/>
          <w:szCs w:val="24"/>
        </w:rPr>
        <w:t>表水环境影</w:t>
      </w:r>
      <w:r>
        <w:rPr>
          <w:rFonts w:ascii="宋体" w:hAnsi="宋体" w:eastAsia="宋体" w:cs="宋体"/>
          <w:spacing w:val="-65"/>
          <w:sz w:val="24"/>
          <w:szCs w:val="24"/>
        </w:rPr>
        <w:t xml:space="preserve"> </w:t>
      </w:r>
      <w:r>
        <w:rPr>
          <w:rFonts w:ascii="宋体" w:hAnsi="宋体" w:eastAsia="宋体" w:cs="宋体"/>
          <w:spacing w:val="19"/>
          <w:sz w:val="24"/>
          <w:szCs w:val="24"/>
        </w:rPr>
        <w:t>响</w:t>
      </w:r>
      <w:r>
        <w:rPr>
          <w:rFonts w:ascii="宋体" w:hAnsi="宋体" w:eastAsia="宋体" w:cs="宋体"/>
          <w:spacing w:val="-69"/>
          <w:sz w:val="24"/>
          <w:szCs w:val="24"/>
        </w:rPr>
        <w:t xml:space="preserve"> </w:t>
      </w:r>
      <w:r>
        <w:rPr>
          <w:rFonts w:ascii="宋体" w:hAnsi="宋体" w:eastAsia="宋体" w:cs="宋体"/>
          <w:spacing w:val="19"/>
          <w:sz w:val="24"/>
          <w:szCs w:val="24"/>
        </w:rPr>
        <w:t>小。</w:t>
      </w:r>
    </w:p>
    <w:p>
      <w:pPr>
        <w:spacing w:before="182" w:line="218"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）水文情势影响评价</w:t>
      </w:r>
    </w:p>
    <w:p>
      <w:pPr>
        <w:spacing w:before="184" w:line="217" w:lineRule="auto"/>
        <w:ind w:left="518"/>
        <w:rPr>
          <w:rFonts w:ascii="宋体" w:hAnsi="宋体" w:eastAsia="宋体" w:cs="宋体"/>
          <w:sz w:val="24"/>
          <w:szCs w:val="24"/>
        </w:rPr>
      </w:pPr>
      <w:r>
        <w:rPr>
          <w:rFonts w:ascii="宋体" w:hAnsi="宋体" w:eastAsia="宋体" w:cs="宋体"/>
          <w:spacing w:val="-1"/>
          <w:sz w:val="24"/>
          <w:szCs w:val="24"/>
        </w:rPr>
        <w:t>①初期下闸蓄水期间对水文情势的影响</w:t>
      </w:r>
    </w:p>
    <w:p>
      <w:pPr>
        <w:spacing w:before="262" w:line="360" w:lineRule="auto"/>
        <w:ind w:left="39" w:firstLine="479"/>
        <w:rPr>
          <w:rFonts w:ascii="宋体" w:hAnsi="宋体" w:eastAsia="宋体" w:cs="宋体"/>
          <w:sz w:val="24"/>
          <w:szCs w:val="24"/>
        </w:rPr>
      </w:pPr>
      <w:r>
        <w:rPr>
          <w:rFonts w:ascii="宋体" w:hAnsi="宋体" w:eastAsia="宋体" w:cs="宋体"/>
          <w:spacing w:val="-7"/>
          <w:sz w:val="24"/>
          <w:szCs w:val="24"/>
        </w:rPr>
        <w:t>初期蓄水时导流隧洞封闭，</w:t>
      </w:r>
      <w:r>
        <w:rPr>
          <w:rFonts w:ascii="宋体" w:hAnsi="宋体" w:eastAsia="宋体" w:cs="宋体"/>
          <w:spacing w:val="98"/>
          <w:sz w:val="24"/>
          <w:szCs w:val="24"/>
        </w:rPr>
        <w:t xml:space="preserve"> </w:t>
      </w:r>
      <w:r>
        <w:rPr>
          <w:rFonts w:ascii="宋体" w:hAnsi="宋体" w:eastAsia="宋体" w:cs="宋体"/>
          <w:spacing w:val="-7"/>
          <w:sz w:val="24"/>
          <w:szCs w:val="24"/>
        </w:rPr>
        <w:t>由导流输水放空隧洞预埋的</w:t>
      </w:r>
      <w:r>
        <w:rPr>
          <w:rFonts w:ascii="宋体" w:hAnsi="宋体" w:eastAsia="宋体" w:cs="宋体"/>
          <w:spacing w:val="-36"/>
          <w:sz w:val="24"/>
          <w:szCs w:val="24"/>
        </w:rPr>
        <w:t xml:space="preserve"> </w:t>
      </w:r>
      <w:r>
        <w:rPr>
          <w:rFonts w:ascii="Times New Roman" w:hAnsi="Times New Roman" w:eastAsia="Times New Roman" w:cs="Times New Roman"/>
          <w:spacing w:val="-7"/>
          <w:sz w:val="24"/>
          <w:szCs w:val="24"/>
        </w:rPr>
        <w:t>DN325</w:t>
      </w:r>
      <w:r>
        <w:rPr>
          <w:rFonts w:ascii="Times New Roman" w:hAnsi="Times New Roman" w:eastAsia="Times New Roman" w:cs="Times New Roman"/>
          <w:spacing w:val="26"/>
          <w:w w:val="101"/>
          <w:sz w:val="24"/>
          <w:szCs w:val="24"/>
        </w:rPr>
        <w:t xml:space="preserve"> </w:t>
      </w:r>
      <w:r>
        <w:rPr>
          <w:rFonts w:ascii="宋体" w:hAnsi="宋体" w:eastAsia="宋体" w:cs="宋体"/>
          <w:spacing w:val="-7"/>
          <w:sz w:val="24"/>
          <w:szCs w:val="24"/>
        </w:rPr>
        <w:t>钢管下泄生</w:t>
      </w:r>
      <w:r>
        <w:rPr>
          <w:rFonts w:ascii="宋体" w:hAnsi="宋体" w:eastAsia="宋体" w:cs="宋体"/>
          <w:sz w:val="24"/>
          <w:szCs w:val="24"/>
        </w:rPr>
        <w:t xml:space="preserve"> </w:t>
      </w:r>
      <w:r>
        <w:rPr>
          <w:rFonts w:ascii="宋体" w:hAnsi="宋体" w:eastAsia="宋体" w:cs="宋体"/>
          <w:spacing w:val="-4"/>
          <w:sz w:val="24"/>
          <w:szCs w:val="24"/>
        </w:rPr>
        <w:t>态流量。初期蓄水至死水位期间无法通过导</w:t>
      </w:r>
      <w:r>
        <w:rPr>
          <w:rFonts w:ascii="宋体" w:hAnsi="宋体" w:eastAsia="宋体" w:cs="宋体"/>
          <w:spacing w:val="-5"/>
          <w:sz w:val="24"/>
          <w:szCs w:val="24"/>
        </w:rPr>
        <w:t>流输水放空隧洞直接取水，</w:t>
      </w:r>
      <w:r>
        <w:rPr>
          <w:rFonts w:ascii="宋体" w:hAnsi="宋体" w:eastAsia="宋体" w:cs="宋体"/>
          <w:spacing w:val="-68"/>
          <w:sz w:val="24"/>
          <w:szCs w:val="24"/>
        </w:rPr>
        <w:t xml:space="preserve"> </w:t>
      </w:r>
      <w:r>
        <w:rPr>
          <w:rFonts w:ascii="宋体" w:hAnsi="宋体" w:eastAsia="宋体" w:cs="宋体"/>
          <w:spacing w:val="-5"/>
          <w:sz w:val="24"/>
          <w:szCs w:val="24"/>
        </w:rPr>
        <w:t>须采用临</w:t>
      </w:r>
      <w:r>
        <w:rPr>
          <w:rFonts w:ascii="宋体" w:hAnsi="宋体" w:eastAsia="宋体" w:cs="宋体"/>
          <w:sz w:val="24"/>
          <w:szCs w:val="24"/>
        </w:rPr>
        <w:t xml:space="preserve"> </w:t>
      </w:r>
      <w:r>
        <w:rPr>
          <w:rFonts w:ascii="宋体" w:hAnsi="宋体" w:eastAsia="宋体" w:cs="宋体"/>
          <w:spacing w:val="-6"/>
          <w:sz w:val="24"/>
          <w:szCs w:val="24"/>
        </w:rPr>
        <w:t>时供水水泵抽水至生态下泄管道。蓄水期间处于汛期， 下泄水</w:t>
      </w:r>
      <w:r>
        <w:rPr>
          <w:rFonts w:ascii="宋体" w:hAnsi="宋体" w:eastAsia="宋体" w:cs="宋体"/>
          <w:spacing w:val="-7"/>
          <w:sz w:val="24"/>
          <w:szCs w:val="24"/>
        </w:rPr>
        <w:t>量只考虑坝下至罗</w:t>
      </w:r>
      <w:r>
        <w:rPr>
          <w:rFonts w:ascii="宋体" w:hAnsi="宋体" w:eastAsia="宋体" w:cs="宋体"/>
          <w:sz w:val="24"/>
          <w:szCs w:val="24"/>
        </w:rPr>
        <w:t xml:space="preserve"> </w:t>
      </w:r>
      <w:r>
        <w:rPr>
          <w:rFonts w:ascii="宋体" w:hAnsi="宋体" w:eastAsia="宋体" w:cs="宋体"/>
          <w:spacing w:val="-5"/>
          <w:sz w:val="24"/>
          <w:szCs w:val="24"/>
        </w:rPr>
        <w:t>子左河汇入口之间生态用水量（</w:t>
      </w:r>
      <w:r>
        <w:rPr>
          <w:rFonts w:ascii="Times New Roman" w:hAnsi="Times New Roman" w:eastAsia="Times New Roman" w:cs="Times New Roman"/>
          <w:spacing w:val="-5"/>
          <w:sz w:val="24"/>
          <w:szCs w:val="24"/>
        </w:rPr>
        <w:t>0.03m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4"/>
          <w:szCs w:val="24"/>
        </w:rPr>
        <w:t>/s</w:t>
      </w:r>
      <w:r>
        <w:rPr>
          <w:rFonts w:ascii="宋体" w:hAnsi="宋体" w:eastAsia="宋体" w:cs="宋体"/>
          <w:spacing w:val="-47"/>
          <w:sz w:val="24"/>
          <w:szCs w:val="24"/>
        </w:rPr>
        <w:t>），</w:t>
      </w:r>
      <w:r>
        <w:rPr>
          <w:rFonts w:ascii="宋体" w:hAnsi="宋体" w:eastAsia="宋体" w:cs="宋体"/>
          <w:spacing w:val="-5"/>
          <w:sz w:val="24"/>
          <w:szCs w:val="24"/>
        </w:rPr>
        <w:t>因此供水</w:t>
      </w:r>
      <w:r>
        <w:rPr>
          <w:rFonts w:ascii="宋体" w:hAnsi="宋体" w:eastAsia="宋体" w:cs="宋体"/>
          <w:spacing w:val="-6"/>
          <w:sz w:val="24"/>
          <w:szCs w:val="24"/>
        </w:rPr>
        <w:t>水泵设置</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2</w:t>
      </w:r>
      <w:r>
        <w:rPr>
          <w:rFonts w:ascii="Times New Roman" w:hAnsi="Times New Roman" w:eastAsia="Times New Roman" w:cs="Times New Roman"/>
          <w:spacing w:val="38"/>
          <w:sz w:val="24"/>
          <w:szCs w:val="24"/>
        </w:rPr>
        <w:t xml:space="preserve"> </w:t>
      </w:r>
      <w:r>
        <w:rPr>
          <w:rFonts w:ascii="宋体" w:hAnsi="宋体" w:eastAsia="宋体" w:cs="宋体"/>
          <w:spacing w:val="-6"/>
          <w:sz w:val="24"/>
          <w:szCs w:val="24"/>
        </w:rPr>
        <w:t>台，</w:t>
      </w:r>
      <w:r>
        <w:rPr>
          <w:rFonts w:ascii="宋体" w:hAnsi="宋体" w:eastAsia="宋体" w:cs="宋体"/>
          <w:spacing w:val="-35"/>
          <w:sz w:val="24"/>
          <w:szCs w:val="24"/>
        </w:rPr>
        <w:t xml:space="preserve"> </w:t>
      </w:r>
      <w:r>
        <w:rPr>
          <w:rFonts w:ascii="宋体" w:hAnsi="宋体" w:eastAsia="宋体" w:cs="宋体"/>
          <w:spacing w:val="-6"/>
          <w:sz w:val="24"/>
          <w:szCs w:val="24"/>
        </w:rPr>
        <w:t>一备一用，</w:t>
      </w:r>
    </w:p>
    <w:p>
      <w:pPr>
        <w:spacing w:before="1" w:line="215" w:lineRule="auto"/>
        <w:ind w:left="42"/>
        <w:rPr>
          <w:rFonts w:ascii="宋体" w:hAnsi="宋体" w:eastAsia="宋体" w:cs="宋体"/>
          <w:sz w:val="24"/>
          <w:szCs w:val="24"/>
        </w:rPr>
      </w:pPr>
      <w:r>
        <w:rPr>
          <w:rFonts w:ascii="宋体" w:hAnsi="宋体" w:eastAsia="宋体" w:cs="宋体"/>
          <w:spacing w:val="-11"/>
          <w:sz w:val="24"/>
          <w:szCs w:val="24"/>
        </w:rPr>
        <w:t>水量不得小于下游用水量，</w:t>
      </w:r>
      <w:r>
        <w:rPr>
          <w:rFonts w:ascii="宋体" w:hAnsi="宋体" w:eastAsia="宋体" w:cs="宋体"/>
          <w:spacing w:val="80"/>
          <w:sz w:val="24"/>
          <w:szCs w:val="24"/>
        </w:rPr>
        <w:t xml:space="preserve"> </w:t>
      </w:r>
      <w:r>
        <w:rPr>
          <w:rFonts w:ascii="宋体" w:hAnsi="宋体" w:eastAsia="宋体" w:cs="宋体"/>
          <w:spacing w:val="-11"/>
          <w:sz w:val="24"/>
          <w:szCs w:val="24"/>
        </w:rPr>
        <w:t>即</w:t>
      </w:r>
      <w:r>
        <w:rPr>
          <w:rFonts w:ascii="宋体" w:hAnsi="宋体" w:eastAsia="宋体" w:cs="宋体"/>
          <w:spacing w:val="-51"/>
          <w:sz w:val="24"/>
          <w:szCs w:val="24"/>
        </w:rPr>
        <w:t xml:space="preserve"> </w:t>
      </w:r>
      <w:r>
        <w:rPr>
          <w:rFonts w:ascii="Times New Roman" w:hAnsi="Times New Roman" w:eastAsia="Times New Roman" w:cs="Times New Roman"/>
          <w:spacing w:val="-11"/>
          <w:sz w:val="24"/>
          <w:szCs w:val="24"/>
        </w:rPr>
        <w:t>Q≥0.03m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w:t>
      </w:r>
    </w:p>
    <w:p>
      <w:pPr>
        <w:spacing w:before="188" w:line="360" w:lineRule="auto"/>
        <w:ind w:left="38" w:right="68" w:firstLine="483"/>
        <w:rPr>
          <w:rFonts w:ascii="宋体" w:hAnsi="宋体" w:eastAsia="宋体" w:cs="宋体"/>
          <w:sz w:val="24"/>
          <w:szCs w:val="24"/>
        </w:rPr>
      </w:pPr>
      <w:r>
        <w:rPr>
          <w:rFonts w:ascii="宋体" w:hAnsi="宋体" w:eastAsia="宋体" w:cs="宋体"/>
          <w:spacing w:val="-12"/>
          <w:sz w:val="24"/>
          <w:szCs w:val="24"/>
        </w:rPr>
        <w:t>水库下闸蓄水后，</w:t>
      </w:r>
      <w:r>
        <w:rPr>
          <w:rFonts w:ascii="宋体" w:hAnsi="宋体" w:eastAsia="宋体" w:cs="宋体"/>
          <w:spacing w:val="28"/>
          <w:sz w:val="24"/>
          <w:szCs w:val="24"/>
        </w:rPr>
        <w:t xml:space="preserve"> </w:t>
      </w:r>
      <w:r>
        <w:rPr>
          <w:rFonts w:ascii="宋体" w:hAnsi="宋体" w:eastAsia="宋体" w:cs="宋体"/>
          <w:spacing w:val="-12"/>
          <w:sz w:val="24"/>
          <w:szCs w:val="24"/>
        </w:rPr>
        <w:t>仅通过生态放流管下泄生态流量，</w:t>
      </w:r>
      <w:r>
        <w:rPr>
          <w:rFonts w:ascii="宋体" w:hAnsi="宋体" w:eastAsia="宋体" w:cs="宋体"/>
          <w:spacing w:val="30"/>
          <w:sz w:val="24"/>
          <w:szCs w:val="24"/>
        </w:rPr>
        <w:t xml:space="preserve"> </w:t>
      </w:r>
      <w:r>
        <w:rPr>
          <w:rFonts w:ascii="宋体" w:hAnsi="宋体" w:eastAsia="宋体" w:cs="宋体"/>
          <w:spacing w:val="-12"/>
          <w:sz w:val="24"/>
          <w:szCs w:val="24"/>
        </w:rPr>
        <w:t>较</w:t>
      </w:r>
      <w:r>
        <w:rPr>
          <w:rFonts w:ascii="宋体" w:hAnsi="宋体" w:eastAsia="宋体" w:cs="宋体"/>
          <w:spacing w:val="-13"/>
          <w:sz w:val="24"/>
          <w:szCs w:val="24"/>
        </w:rPr>
        <w:t>天然河道相比，导流</w:t>
      </w:r>
      <w:r>
        <w:rPr>
          <w:rFonts w:ascii="宋体" w:hAnsi="宋体" w:eastAsia="宋体" w:cs="宋体"/>
          <w:sz w:val="24"/>
          <w:szCs w:val="24"/>
        </w:rPr>
        <w:t xml:space="preserve"> </w:t>
      </w:r>
      <w:r>
        <w:rPr>
          <w:rFonts w:ascii="宋体" w:hAnsi="宋体" w:eastAsia="宋体" w:cs="宋体"/>
          <w:spacing w:val="-3"/>
          <w:sz w:val="24"/>
          <w:szCs w:val="24"/>
        </w:rPr>
        <w:t>输水放空隧洞出口至汇入下游河道的水量、水深、水位、流速、流量等将发生变</w:t>
      </w:r>
      <w:r>
        <w:rPr>
          <w:rFonts w:ascii="宋体" w:hAnsi="宋体" w:eastAsia="宋体" w:cs="宋体"/>
          <w:spacing w:val="1"/>
          <w:sz w:val="24"/>
          <w:szCs w:val="24"/>
        </w:rPr>
        <w:t xml:space="preserve"> </w:t>
      </w:r>
      <w:r>
        <w:rPr>
          <w:rFonts w:ascii="宋体" w:hAnsi="宋体" w:eastAsia="宋体" w:cs="宋体"/>
          <w:spacing w:val="-6"/>
          <w:sz w:val="24"/>
          <w:szCs w:val="24"/>
        </w:rPr>
        <w:t>化，其中生态放流管出口至罗子左河之间河道水量大大降低， 罗</w:t>
      </w:r>
      <w:r>
        <w:rPr>
          <w:rFonts w:ascii="宋体" w:hAnsi="宋体" w:eastAsia="宋体" w:cs="宋体"/>
          <w:spacing w:val="-7"/>
          <w:sz w:val="24"/>
          <w:szCs w:val="24"/>
        </w:rPr>
        <w:t>子左河汇入口以</w:t>
      </w:r>
    </w:p>
    <w:p>
      <w:pPr>
        <w:spacing w:line="219" w:lineRule="auto"/>
        <w:ind w:left="46"/>
        <w:rPr>
          <w:rFonts w:ascii="宋体" w:hAnsi="宋体" w:eastAsia="宋体" w:cs="宋体"/>
          <w:sz w:val="24"/>
          <w:szCs w:val="24"/>
        </w:rPr>
      </w:pPr>
      <w:r>
        <w:rPr>
          <w:rFonts w:ascii="宋体" w:hAnsi="宋体" w:eastAsia="宋体" w:cs="宋体"/>
          <w:spacing w:val="-1"/>
          <w:sz w:val="24"/>
          <w:szCs w:val="24"/>
        </w:rPr>
        <w:t>下河段沿线有其他支流汇入，河段减水情况可以得到减缓。</w:t>
      </w:r>
    </w:p>
    <w:p>
      <w:pPr>
        <w:spacing w:before="105" w:line="468" w:lineRule="exact"/>
        <w:ind w:right="68"/>
        <w:jc w:val="right"/>
        <w:rPr>
          <w:rFonts w:ascii="宋体" w:hAnsi="宋体" w:eastAsia="宋体" w:cs="宋体"/>
          <w:sz w:val="24"/>
          <w:szCs w:val="24"/>
        </w:rPr>
      </w:pPr>
      <w:r>
        <w:rPr>
          <w:rFonts w:ascii="宋体" w:hAnsi="宋体" w:eastAsia="宋体" w:cs="宋体"/>
          <w:spacing w:val="-6"/>
          <w:position w:val="17"/>
          <w:sz w:val="24"/>
          <w:szCs w:val="24"/>
        </w:rPr>
        <w:t>蓄水初期只要保证持续稳定的下泄河道所需的生态用水量，</w:t>
      </w:r>
      <w:r>
        <w:rPr>
          <w:rFonts w:ascii="宋体" w:hAnsi="宋体" w:eastAsia="宋体" w:cs="宋体"/>
          <w:spacing w:val="-30"/>
          <w:position w:val="17"/>
          <w:sz w:val="24"/>
          <w:szCs w:val="24"/>
        </w:rPr>
        <w:t xml:space="preserve"> </w:t>
      </w:r>
      <w:r>
        <w:rPr>
          <w:rFonts w:ascii="宋体" w:hAnsi="宋体" w:eastAsia="宋体" w:cs="宋体"/>
          <w:spacing w:val="-6"/>
          <w:position w:val="17"/>
          <w:sz w:val="24"/>
          <w:szCs w:val="24"/>
        </w:rPr>
        <w:t>桂</w:t>
      </w:r>
      <w:r>
        <w:rPr>
          <w:rFonts w:ascii="宋体" w:hAnsi="宋体" w:eastAsia="宋体" w:cs="宋体"/>
          <w:spacing w:val="-7"/>
          <w:position w:val="17"/>
          <w:sz w:val="24"/>
          <w:szCs w:val="24"/>
        </w:rPr>
        <w:t>花水库蓄水初</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期对下游减水河段水文情势影响可以得到减缓。</w:t>
      </w:r>
    </w:p>
    <w:p>
      <w:pPr>
        <w:spacing w:before="182" w:line="217" w:lineRule="auto"/>
        <w:ind w:left="517"/>
        <w:rPr>
          <w:rFonts w:ascii="宋体" w:hAnsi="宋体" w:eastAsia="宋体" w:cs="宋体"/>
          <w:sz w:val="24"/>
          <w:szCs w:val="24"/>
        </w:rPr>
      </w:pPr>
      <w:r>
        <w:rPr>
          <w:rFonts w:ascii="宋体" w:hAnsi="宋体" w:eastAsia="宋体" w:cs="宋体"/>
          <w:spacing w:val="-1"/>
          <w:sz w:val="24"/>
          <w:szCs w:val="24"/>
        </w:rPr>
        <w:t>②水库正常调蓄水水文情势的影响</w:t>
      </w:r>
    </w:p>
    <w:p>
      <w:pPr>
        <w:spacing w:before="184" w:line="359" w:lineRule="auto"/>
        <w:ind w:left="42" w:right="70" w:firstLine="479"/>
        <w:rPr>
          <w:rFonts w:ascii="宋体" w:hAnsi="宋体" w:eastAsia="宋体" w:cs="宋体"/>
          <w:sz w:val="24"/>
          <w:szCs w:val="24"/>
        </w:rPr>
      </w:pPr>
      <w:r>
        <w:rPr>
          <w:rFonts w:ascii="宋体" w:hAnsi="宋体" w:eastAsia="宋体" w:cs="宋体"/>
          <w:spacing w:val="-3"/>
          <w:sz w:val="24"/>
          <w:szCs w:val="24"/>
        </w:rPr>
        <w:t xml:space="preserve">桂花水库正常蓄水位 </w:t>
      </w:r>
      <w:r>
        <w:rPr>
          <w:rFonts w:ascii="Times New Roman" w:hAnsi="Times New Roman" w:eastAsia="Times New Roman" w:cs="Times New Roman"/>
          <w:spacing w:val="-3"/>
          <w:sz w:val="24"/>
          <w:szCs w:val="24"/>
        </w:rPr>
        <w:t>2094.15m</w:t>
      </w:r>
      <w:r>
        <w:rPr>
          <w:rFonts w:ascii="宋体" w:hAnsi="宋体" w:eastAsia="宋体" w:cs="宋体"/>
          <w:spacing w:val="-3"/>
          <w:sz w:val="24"/>
          <w:szCs w:val="24"/>
        </w:rPr>
        <w:t>，水库形成后， 水库区正常蓄水时回水长度</w:t>
      </w:r>
      <w:r>
        <w:rPr>
          <w:rFonts w:ascii="宋体" w:hAnsi="宋体" w:eastAsia="宋体" w:cs="宋体"/>
          <w:sz w:val="24"/>
          <w:szCs w:val="24"/>
        </w:rPr>
        <w:t xml:space="preserve"> </w:t>
      </w:r>
      <w:r>
        <w:rPr>
          <w:rFonts w:ascii="宋体" w:hAnsi="宋体" w:eastAsia="宋体" w:cs="宋体"/>
          <w:spacing w:val="-8"/>
          <w:sz w:val="24"/>
          <w:szCs w:val="24"/>
        </w:rPr>
        <w:t>为</w:t>
      </w:r>
      <w:r>
        <w:rPr>
          <w:rFonts w:ascii="宋体" w:hAnsi="宋体" w:eastAsia="宋体" w:cs="宋体"/>
          <w:spacing w:val="-43"/>
          <w:sz w:val="24"/>
          <w:szCs w:val="24"/>
        </w:rPr>
        <w:t xml:space="preserve"> </w:t>
      </w:r>
      <w:r>
        <w:rPr>
          <w:rFonts w:ascii="Times New Roman" w:hAnsi="Times New Roman" w:eastAsia="Times New Roman" w:cs="Times New Roman"/>
          <w:spacing w:val="-8"/>
          <w:sz w:val="24"/>
          <w:szCs w:val="24"/>
        </w:rPr>
        <w:t>3.88km</w:t>
      </w:r>
      <w:r>
        <w:rPr>
          <w:rFonts w:ascii="宋体" w:hAnsi="宋体" w:eastAsia="宋体" w:cs="宋体"/>
          <w:spacing w:val="-8"/>
          <w:sz w:val="24"/>
          <w:szCs w:val="24"/>
        </w:rPr>
        <w:t>。由于河谷区水面变宽， 库区水体流速将明显减缓，使库区河段水域环</w:t>
      </w:r>
    </w:p>
    <w:p>
      <w:pPr>
        <w:spacing w:before="1" w:line="219" w:lineRule="auto"/>
        <w:ind w:left="40"/>
        <w:rPr>
          <w:rFonts w:ascii="宋体" w:hAnsi="宋体" w:eastAsia="宋体" w:cs="宋体"/>
          <w:sz w:val="24"/>
          <w:szCs w:val="24"/>
        </w:rPr>
      </w:pPr>
      <w:r>
        <w:rPr>
          <w:rFonts w:ascii="宋体" w:hAnsi="宋体" w:eastAsia="宋体" w:cs="宋体"/>
          <w:spacing w:val="-2"/>
          <w:sz w:val="24"/>
          <w:szCs w:val="24"/>
        </w:rPr>
        <w:t>境从河道急流型转为湖库缓流型，库区滞洪能力明显增强。</w:t>
      </w:r>
    </w:p>
    <w:p>
      <w:pPr>
        <w:spacing w:before="182" w:line="359" w:lineRule="auto"/>
        <w:ind w:left="39" w:right="67" w:firstLine="480"/>
        <w:rPr>
          <w:rFonts w:ascii="宋体" w:hAnsi="宋体" w:eastAsia="宋体" w:cs="宋体"/>
          <w:sz w:val="24"/>
          <w:szCs w:val="24"/>
        </w:rPr>
      </w:pPr>
      <w:r>
        <w:rPr>
          <w:rFonts w:ascii="宋体" w:hAnsi="宋体" w:eastAsia="宋体" w:cs="宋体"/>
          <w:spacing w:val="-4"/>
          <w:sz w:val="24"/>
          <w:szCs w:val="24"/>
        </w:rPr>
        <w:t>运营期， 水库调度运行时水位在正常蓄水位</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2094.15m</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与死水位</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2058.8m</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之</w:t>
      </w:r>
      <w:r>
        <w:rPr>
          <w:rFonts w:ascii="宋体" w:hAnsi="宋体" w:eastAsia="宋体" w:cs="宋体"/>
          <w:sz w:val="24"/>
          <w:szCs w:val="24"/>
        </w:rPr>
        <w:t xml:space="preserve"> </w:t>
      </w:r>
      <w:r>
        <w:rPr>
          <w:rFonts w:ascii="宋体" w:hAnsi="宋体" w:eastAsia="宋体" w:cs="宋体"/>
          <w:spacing w:val="-4"/>
          <w:sz w:val="24"/>
          <w:szCs w:val="24"/>
        </w:rPr>
        <w:t>间变化， 将会形成</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35.35m</w:t>
      </w:r>
      <w:r>
        <w:rPr>
          <w:rFonts w:ascii="Times New Roman" w:hAnsi="Times New Roman" w:eastAsia="Times New Roman" w:cs="Times New Roman"/>
          <w:spacing w:val="26"/>
          <w:sz w:val="24"/>
          <w:szCs w:val="24"/>
        </w:rPr>
        <w:t xml:space="preserve"> </w:t>
      </w:r>
      <w:r>
        <w:rPr>
          <w:rFonts w:ascii="宋体" w:hAnsi="宋体" w:eastAsia="宋体" w:cs="宋体"/>
          <w:spacing w:val="-4"/>
          <w:sz w:val="24"/>
          <w:szCs w:val="24"/>
        </w:rPr>
        <w:t>高的消落带，水库水位、水体体积、水面面</w:t>
      </w:r>
      <w:r>
        <w:rPr>
          <w:rFonts w:ascii="宋体" w:hAnsi="宋体" w:eastAsia="宋体" w:cs="宋体"/>
          <w:spacing w:val="-5"/>
          <w:sz w:val="24"/>
          <w:szCs w:val="24"/>
        </w:rPr>
        <w:t>积均产生</w:t>
      </w:r>
      <w:r>
        <w:rPr>
          <w:rFonts w:ascii="宋体" w:hAnsi="宋体" w:eastAsia="宋体" w:cs="宋体"/>
          <w:sz w:val="24"/>
          <w:szCs w:val="24"/>
        </w:rPr>
        <w:t xml:space="preserve"> </w:t>
      </w:r>
      <w:r>
        <w:rPr>
          <w:rFonts w:ascii="宋体" w:hAnsi="宋体" w:eastAsia="宋体" w:cs="宋体"/>
          <w:spacing w:val="-1"/>
          <w:sz w:val="24"/>
          <w:szCs w:val="24"/>
        </w:rPr>
        <w:t>相应变化。但这种变化仅限于水库坝址以上</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3.88km</w:t>
      </w:r>
      <w:r>
        <w:rPr>
          <w:rFonts w:ascii="Times New Roman" w:hAnsi="Times New Roman" w:eastAsia="Times New Roman" w:cs="Times New Roman"/>
          <w:spacing w:val="39"/>
          <w:sz w:val="24"/>
          <w:szCs w:val="24"/>
        </w:rPr>
        <w:t xml:space="preserve"> </w:t>
      </w:r>
      <w:r>
        <w:rPr>
          <w:rFonts w:ascii="宋体" w:hAnsi="宋体" w:eastAsia="宋体" w:cs="宋体"/>
          <w:spacing w:val="-2"/>
          <w:sz w:val="24"/>
          <w:szCs w:val="24"/>
        </w:rPr>
        <w:t>的河段，水库运行后水库蓄</w:t>
      </w:r>
      <w:r>
        <w:rPr>
          <w:rFonts w:ascii="宋体" w:hAnsi="宋体" w:eastAsia="宋体" w:cs="宋体"/>
          <w:sz w:val="24"/>
          <w:szCs w:val="24"/>
        </w:rPr>
        <w:t xml:space="preserve"> </w:t>
      </w:r>
      <w:r>
        <w:rPr>
          <w:rFonts w:ascii="宋体" w:hAnsi="宋体" w:eastAsia="宋体" w:cs="宋体"/>
          <w:spacing w:val="-7"/>
          <w:sz w:val="24"/>
          <w:szCs w:val="24"/>
        </w:rPr>
        <w:t>水上游水位抬高，</w:t>
      </w:r>
      <w:r>
        <w:rPr>
          <w:rFonts w:ascii="宋体" w:hAnsi="宋体" w:eastAsia="宋体" w:cs="宋体"/>
          <w:spacing w:val="32"/>
          <w:sz w:val="24"/>
          <w:szCs w:val="24"/>
        </w:rPr>
        <w:t xml:space="preserve"> </w:t>
      </w:r>
      <w:r>
        <w:rPr>
          <w:rFonts w:ascii="宋体" w:hAnsi="宋体" w:eastAsia="宋体" w:cs="宋体"/>
          <w:spacing w:val="-7"/>
          <w:sz w:val="24"/>
          <w:szCs w:val="24"/>
        </w:rPr>
        <w:t>大坝下游的地下水补充量将会有所增</w:t>
      </w:r>
      <w:r>
        <w:rPr>
          <w:rFonts w:ascii="宋体" w:hAnsi="宋体" w:eastAsia="宋体" w:cs="宋体"/>
          <w:spacing w:val="-8"/>
          <w:sz w:val="24"/>
          <w:szCs w:val="24"/>
        </w:rPr>
        <w:t>加。同时，根据实际调查</w:t>
      </w:r>
      <w:r>
        <w:rPr>
          <w:rFonts w:ascii="宋体" w:hAnsi="宋体" w:eastAsia="宋体" w:cs="宋体"/>
          <w:sz w:val="24"/>
          <w:szCs w:val="24"/>
        </w:rPr>
        <w:t xml:space="preserve"> </w:t>
      </w:r>
      <w:r>
        <w:rPr>
          <w:rFonts w:ascii="宋体" w:hAnsi="宋体" w:eastAsia="宋体" w:cs="宋体"/>
          <w:spacing w:val="-8"/>
          <w:sz w:val="24"/>
          <w:szCs w:val="24"/>
        </w:rPr>
        <w:t>库区内无敏感生态问题，</w:t>
      </w:r>
      <w:r>
        <w:rPr>
          <w:rFonts w:ascii="宋体" w:hAnsi="宋体" w:eastAsia="宋体" w:cs="宋体"/>
          <w:spacing w:val="-39"/>
          <w:sz w:val="24"/>
          <w:szCs w:val="24"/>
        </w:rPr>
        <w:t xml:space="preserve"> </w:t>
      </w:r>
      <w:r>
        <w:rPr>
          <w:rFonts w:ascii="宋体" w:hAnsi="宋体" w:eastAsia="宋体" w:cs="宋体"/>
          <w:spacing w:val="-8"/>
          <w:sz w:val="24"/>
          <w:szCs w:val="24"/>
        </w:rPr>
        <w:t>也无珍稀动植物，</w:t>
      </w:r>
      <w:r>
        <w:rPr>
          <w:rFonts w:ascii="宋体" w:hAnsi="宋体" w:eastAsia="宋体" w:cs="宋体"/>
          <w:spacing w:val="-9"/>
          <w:sz w:val="24"/>
          <w:szCs w:val="24"/>
        </w:rPr>
        <w:t xml:space="preserve"> 工程运行对水库库尾以上河段的水文</w:t>
      </w:r>
    </w:p>
    <w:p>
      <w:pPr>
        <w:spacing w:before="1" w:line="219" w:lineRule="auto"/>
        <w:ind w:left="37"/>
        <w:rPr>
          <w:rFonts w:ascii="宋体" w:hAnsi="宋体" w:eastAsia="宋体" w:cs="宋体"/>
          <w:sz w:val="24"/>
          <w:szCs w:val="24"/>
        </w:rPr>
      </w:pPr>
      <w:r>
        <w:rPr>
          <w:rFonts w:ascii="宋体" w:hAnsi="宋体" w:eastAsia="宋体" w:cs="宋体"/>
          <w:spacing w:val="-6"/>
          <w:sz w:val="24"/>
          <w:szCs w:val="24"/>
        </w:rPr>
        <w:t>情势影响不大。</w:t>
      </w:r>
    </w:p>
    <w:p>
      <w:pPr>
        <w:spacing w:before="181" w:line="233" w:lineRule="auto"/>
        <w:ind w:left="521"/>
        <w:rPr>
          <w:rFonts w:ascii="宋体" w:hAnsi="宋体" w:eastAsia="宋体" w:cs="宋体"/>
          <w:sz w:val="24"/>
          <w:szCs w:val="24"/>
        </w:rPr>
      </w:pPr>
      <w:r>
        <w:rPr>
          <w:rFonts w:ascii="宋体" w:hAnsi="宋体" w:eastAsia="宋体" w:cs="宋体"/>
          <w:spacing w:val="-3"/>
          <w:sz w:val="24"/>
          <w:szCs w:val="24"/>
        </w:rPr>
        <w:t>生态放流管至桂花河汇入万马河之间</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27.78km </w:t>
      </w:r>
      <w:r>
        <w:rPr>
          <w:rFonts w:ascii="宋体" w:hAnsi="宋体" w:eastAsia="宋体" w:cs="宋体"/>
          <w:spacing w:val="-3"/>
          <w:sz w:val="24"/>
          <w:szCs w:val="24"/>
        </w:rPr>
        <w:t>河段出现减水。</w:t>
      </w:r>
      <w:r>
        <w:rPr>
          <w:rFonts w:ascii="宋体" w:hAnsi="宋体" w:eastAsia="宋体" w:cs="宋体"/>
          <w:spacing w:val="-4"/>
          <w:sz w:val="24"/>
          <w:szCs w:val="24"/>
        </w:rPr>
        <w:t>桂花河干流减</w:t>
      </w:r>
    </w:p>
    <w:p>
      <w:pPr>
        <w:spacing w:line="233" w:lineRule="auto"/>
        <w:rPr>
          <w:rFonts w:ascii="宋体" w:hAnsi="宋体" w:eastAsia="宋体" w:cs="宋体"/>
          <w:sz w:val="24"/>
          <w:szCs w:val="24"/>
        </w:rPr>
        <w:sectPr>
          <w:headerReference r:id="rId348" w:type="default"/>
          <w:footerReference r:id="rId349" w:type="default"/>
          <w:pgSz w:w="11907" w:h="16839"/>
          <w:pgMar w:top="1156" w:right="1730" w:bottom="1374" w:left="1770" w:header="881" w:footer="1210" w:gutter="0"/>
        </w:sectPr>
      </w:pPr>
    </w:p>
    <w:p>
      <w:pPr>
        <w:spacing w:before="318" w:line="220" w:lineRule="auto"/>
        <w:ind w:left="42"/>
        <w:rPr>
          <w:rFonts w:ascii="宋体" w:hAnsi="宋体" w:eastAsia="宋体" w:cs="宋体"/>
          <w:sz w:val="24"/>
          <w:szCs w:val="24"/>
        </w:rPr>
      </w:pPr>
      <w:r>
        <w:rPr>
          <w:rFonts w:ascii="宋体" w:hAnsi="宋体" w:eastAsia="宋体" w:cs="宋体"/>
          <w:spacing w:val="-2"/>
          <w:sz w:val="24"/>
          <w:szCs w:val="24"/>
        </w:rPr>
        <w:t>水河段水量变化见表</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4.2-3</w:t>
      </w:r>
      <w:r>
        <w:rPr>
          <w:rFonts w:ascii="宋体" w:hAnsi="宋体" w:eastAsia="宋体" w:cs="宋体"/>
          <w:spacing w:val="-2"/>
          <w:sz w:val="24"/>
          <w:szCs w:val="24"/>
        </w:rPr>
        <w:t>。</w:t>
      </w:r>
    </w:p>
    <w:p>
      <w:pPr>
        <w:spacing w:line="220" w:lineRule="auto"/>
        <w:rPr>
          <w:rFonts w:ascii="宋体" w:hAnsi="宋体" w:eastAsia="宋体" w:cs="宋体"/>
          <w:sz w:val="24"/>
          <w:szCs w:val="24"/>
        </w:rPr>
        <w:sectPr>
          <w:headerReference r:id="rId350" w:type="default"/>
          <w:footerReference r:id="rId351" w:type="default"/>
          <w:pgSz w:w="11907" w:h="16839"/>
          <w:pgMar w:top="1156" w:right="1768" w:bottom="1374" w:left="1770" w:header="881" w:footer="1210" w:gutter="0"/>
        </w:sectPr>
      </w:pPr>
    </w:p>
    <w:p>
      <w:pPr>
        <w:spacing w:line="302" w:lineRule="auto"/>
        <w:rPr>
          <w:rFonts w:ascii="Arial"/>
          <w:sz w:val="21"/>
        </w:rPr>
      </w:pPr>
      <w:r>
        <w:pict>
          <v:shape id="_x0000_s1030" o:spid="_x0000_s1030" style="position:absolute;left:0pt;margin-left:71.25pt;margin-top:349.95pt;height:0.5pt;width:698.7pt;mso-position-horizontal-relative:page;mso-position-vertical-relative:page;z-index:251798528;mso-width-relative:page;mso-height-relative:page;" fillcolor="#000000" filled="t" stroked="f" coordsize="13974,10" o:allowincell="f" path="m0,9l13973,9,13973,0,0,0,0,9xe">
            <v:path/>
            <v:fill on="t" focussize="0,0"/>
            <v:stroke on="f"/>
            <v:imagedata o:title=""/>
            <o:lock v:ext="edit"/>
          </v:shape>
        </w:pict>
      </w:r>
    </w:p>
    <w:p>
      <w:pPr>
        <w:spacing w:line="302" w:lineRule="auto"/>
        <w:rPr>
          <w:rFonts w:ascii="Arial"/>
          <w:sz w:val="21"/>
        </w:rPr>
      </w:pPr>
    </w:p>
    <w:p>
      <w:pPr>
        <w:spacing w:before="68" w:line="233" w:lineRule="auto"/>
        <w:ind w:left="4410"/>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46"/>
          <w:sz w:val="21"/>
          <w:szCs w:val="21"/>
        </w:rPr>
        <w:t xml:space="preserve"> </w:t>
      </w:r>
      <w:r>
        <w:rPr>
          <w:rFonts w:ascii="Times New Roman" w:hAnsi="Times New Roman" w:eastAsia="Times New Roman" w:cs="Times New Roman"/>
          <w:b/>
          <w:bCs/>
          <w:sz w:val="21"/>
          <w:szCs w:val="21"/>
        </w:rPr>
        <w:t xml:space="preserve">4.2-3    </w:t>
      </w:r>
      <w:r>
        <w:rPr>
          <w:rFonts w:ascii="宋体" w:hAnsi="宋体" w:eastAsia="宋体" w:cs="宋体"/>
          <w:sz w:val="21"/>
          <w:szCs w:val="21"/>
          <w14:textOutline w14:w="3810" w14:cap="flat" w14:cmpd="sng">
            <w14:solidFill>
              <w14:srgbClr w14:val="000000"/>
            </w14:solidFill>
            <w14:prstDash w14:val="solid"/>
            <w14:miter w14:val="0"/>
          </w14:textOutline>
        </w:rPr>
        <w:t>桂花水库各典型年坝址下游径流量变化</w:t>
      </w:r>
      <w:r>
        <w:rPr>
          <w:rFonts w:ascii="宋体" w:hAnsi="宋体" w:eastAsia="宋体" w:cs="宋体"/>
          <w:spacing w:val="-1"/>
          <w:sz w:val="21"/>
          <w:szCs w:val="21"/>
          <w14:textOutline w14:w="3810" w14:cap="flat" w14:cmpd="sng">
            <w14:solidFill>
              <w14:srgbClr w14:val="000000"/>
            </w14:solidFill>
            <w14:prstDash w14:val="solid"/>
            <w14:miter w14:val="0"/>
          </w14:textOutline>
        </w:rPr>
        <w:t>表（万</w:t>
      </w:r>
      <w:r>
        <w:rPr>
          <w:rFonts w:ascii="宋体" w:hAnsi="宋体" w:eastAsia="宋体" w:cs="宋体"/>
          <w:spacing w:val="-44"/>
          <w:sz w:val="21"/>
          <w:szCs w:val="21"/>
        </w:rPr>
        <w:t xml:space="preserve"> </w:t>
      </w:r>
      <w:r>
        <w:rPr>
          <w:rFonts w:ascii="Times New Roman" w:hAnsi="Times New Roman" w:eastAsia="Times New Roman" w:cs="Times New Roman"/>
          <w:b/>
          <w:bCs/>
          <w:spacing w:val="-1"/>
          <w:sz w:val="21"/>
          <w:szCs w:val="21"/>
        </w:rPr>
        <w:t>m</w:t>
      </w:r>
      <w:r>
        <w:rPr>
          <w:rFonts w:ascii="Times New Roman" w:hAnsi="Times New Roman" w:eastAsia="Times New Roman" w:cs="Times New Roman"/>
          <w:b/>
          <w:bCs/>
          <w:spacing w:val="-1"/>
          <w:position w:val="7"/>
          <w:sz w:val="14"/>
          <w:szCs w:val="14"/>
        </w:rPr>
        <w:t>3</w:t>
      </w:r>
      <w:r>
        <w:rPr>
          <w:rFonts w:ascii="宋体" w:hAnsi="宋体" w:eastAsia="宋体" w:cs="宋体"/>
          <w:spacing w:val="-1"/>
          <w:sz w:val="21"/>
          <w:szCs w:val="21"/>
          <w14:textOutline w14:w="3810" w14:cap="flat" w14:cmpd="sng">
            <w14:solidFill>
              <w14:srgbClr w14:val="000000"/>
            </w14:solidFill>
            <w14:prstDash w14:val="solid"/>
            <w14:miter w14:val="0"/>
          </w14:textOutline>
        </w:rPr>
        <w:t>）</w:t>
      </w:r>
    </w:p>
    <w:p>
      <w:pPr>
        <w:spacing w:line="110" w:lineRule="exact"/>
      </w:pPr>
    </w:p>
    <w:tbl>
      <w:tblPr>
        <w:tblStyle w:val="5"/>
        <w:tblW w:w="13959"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0"/>
        <w:gridCol w:w="1353"/>
        <w:gridCol w:w="894"/>
        <w:gridCol w:w="896"/>
        <w:gridCol w:w="853"/>
        <w:gridCol w:w="1000"/>
        <w:gridCol w:w="1002"/>
        <w:gridCol w:w="1002"/>
        <w:gridCol w:w="1002"/>
        <w:gridCol w:w="998"/>
        <w:gridCol w:w="999"/>
        <w:gridCol w:w="1114"/>
        <w:gridCol w:w="977"/>
        <w:gridCol w:w="8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322" w:hRule="atLeast"/>
        </w:trPr>
        <w:tc>
          <w:tcPr>
            <w:tcW w:w="1000" w:type="dxa"/>
            <w:tcBorders>
              <w:left w:val="nil"/>
            </w:tcBorders>
            <w:vAlign w:val="top"/>
          </w:tcPr>
          <w:p>
            <w:pPr>
              <w:spacing w:before="57" w:line="218" w:lineRule="auto"/>
              <w:ind w:left="20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代表年</w:t>
            </w:r>
          </w:p>
        </w:tc>
        <w:tc>
          <w:tcPr>
            <w:tcW w:w="1353" w:type="dxa"/>
            <w:vAlign w:val="top"/>
          </w:tcPr>
          <w:p>
            <w:pPr>
              <w:spacing w:before="56" w:line="220" w:lineRule="auto"/>
              <w:ind w:left="47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894" w:type="dxa"/>
            <w:vAlign w:val="top"/>
          </w:tcPr>
          <w:p>
            <w:pPr>
              <w:pStyle w:val="6"/>
              <w:spacing w:before="56" w:line="219" w:lineRule="auto"/>
              <w:ind w:left="267"/>
              <w:rPr>
                <w:rFonts w:ascii="仿宋" w:hAnsi="仿宋" w:eastAsia="仿宋" w:cs="仿宋"/>
              </w:rPr>
            </w:pPr>
            <w:r>
              <w:rPr>
                <w:b/>
                <w:bCs/>
                <w:spacing w:val="-4"/>
              </w:rPr>
              <w:t>6</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896" w:type="dxa"/>
            <w:vAlign w:val="top"/>
          </w:tcPr>
          <w:p>
            <w:pPr>
              <w:pStyle w:val="6"/>
              <w:spacing w:before="56" w:line="219" w:lineRule="auto"/>
              <w:ind w:left="268"/>
              <w:rPr>
                <w:rFonts w:ascii="仿宋" w:hAnsi="仿宋" w:eastAsia="仿宋" w:cs="仿宋"/>
              </w:rPr>
            </w:pPr>
            <w:r>
              <w:rPr>
                <w:b/>
                <w:bCs/>
                <w:spacing w:val="-4"/>
              </w:rPr>
              <w:t>7</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853" w:type="dxa"/>
            <w:vAlign w:val="top"/>
          </w:tcPr>
          <w:p>
            <w:pPr>
              <w:pStyle w:val="6"/>
              <w:spacing w:before="56" w:line="219" w:lineRule="auto"/>
              <w:ind w:left="247"/>
              <w:rPr>
                <w:rFonts w:ascii="仿宋" w:hAnsi="仿宋" w:eastAsia="仿宋" w:cs="仿宋"/>
              </w:rPr>
            </w:pPr>
            <w:r>
              <w:rPr>
                <w:b/>
                <w:bCs/>
                <w:spacing w:val="-4"/>
              </w:rPr>
              <w:t>8</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1000" w:type="dxa"/>
            <w:vAlign w:val="top"/>
          </w:tcPr>
          <w:p>
            <w:pPr>
              <w:pStyle w:val="6"/>
              <w:spacing w:before="56" w:line="219" w:lineRule="auto"/>
              <w:ind w:left="318"/>
              <w:rPr>
                <w:rFonts w:ascii="仿宋" w:hAnsi="仿宋" w:eastAsia="仿宋" w:cs="仿宋"/>
              </w:rPr>
            </w:pPr>
            <w:r>
              <w:rPr>
                <w:b/>
                <w:bCs/>
                <w:spacing w:val="-4"/>
              </w:rPr>
              <w:t>9</w:t>
            </w:r>
            <w:r>
              <w:rPr>
                <w:b/>
                <w:bCs/>
                <w:spacing w:val="25"/>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1002" w:type="dxa"/>
            <w:vAlign w:val="top"/>
          </w:tcPr>
          <w:p>
            <w:pPr>
              <w:pStyle w:val="6"/>
              <w:spacing w:before="56" w:line="219" w:lineRule="auto"/>
              <w:ind w:left="274"/>
              <w:rPr>
                <w:rFonts w:ascii="仿宋" w:hAnsi="仿宋" w:eastAsia="仿宋" w:cs="仿宋"/>
              </w:rPr>
            </w:pPr>
            <w:r>
              <w:rPr>
                <w:b/>
                <w:bCs/>
                <w:spacing w:val="-5"/>
              </w:rPr>
              <w:t>10</w:t>
            </w:r>
            <w:r>
              <w:rPr>
                <w:b/>
                <w:bCs/>
                <w:spacing w:val="25"/>
              </w:rPr>
              <w:t xml:space="preserve"> </w:t>
            </w:r>
            <w:r>
              <w:rPr>
                <w:rFonts w:ascii="仿宋" w:hAnsi="仿宋" w:eastAsia="仿宋" w:cs="仿宋"/>
                <w:spacing w:val="-5"/>
                <w14:textOutline w14:w="3810" w14:cap="flat" w14:cmpd="sng">
                  <w14:solidFill>
                    <w14:srgbClr w14:val="000000"/>
                  </w14:solidFill>
                  <w14:prstDash w14:val="solid"/>
                  <w14:miter w14:val="0"/>
                </w14:textOutline>
              </w:rPr>
              <w:t>月</w:t>
            </w:r>
          </w:p>
        </w:tc>
        <w:tc>
          <w:tcPr>
            <w:tcW w:w="1002" w:type="dxa"/>
            <w:vAlign w:val="top"/>
          </w:tcPr>
          <w:p>
            <w:pPr>
              <w:pStyle w:val="6"/>
              <w:spacing w:before="56" w:line="219" w:lineRule="auto"/>
              <w:ind w:left="281"/>
              <w:rPr>
                <w:rFonts w:ascii="仿宋" w:hAnsi="仿宋" w:eastAsia="仿宋" w:cs="仿宋"/>
              </w:rPr>
            </w:pPr>
            <w:r>
              <w:rPr>
                <w:b/>
                <w:bCs/>
                <w:spacing w:val="-9"/>
              </w:rPr>
              <w:t>11</w:t>
            </w:r>
            <w:r>
              <w:rPr>
                <w:b/>
                <w:bCs/>
                <w:spacing w:val="25"/>
              </w:rPr>
              <w:t xml:space="preserve"> </w:t>
            </w:r>
            <w:r>
              <w:rPr>
                <w:rFonts w:ascii="仿宋" w:hAnsi="仿宋" w:eastAsia="仿宋" w:cs="仿宋"/>
                <w:spacing w:val="-9"/>
                <w14:textOutline w14:w="3810" w14:cap="flat" w14:cmpd="sng">
                  <w14:solidFill>
                    <w14:srgbClr w14:val="000000"/>
                  </w14:solidFill>
                  <w14:prstDash w14:val="solid"/>
                  <w14:miter w14:val="0"/>
                </w14:textOutline>
              </w:rPr>
              <w:t>月</w:t>
            </w:r>
          </w:p>
        </w:tc>
        <w:tc>
          <w:tcPr>
            <w:tcW w:w="1002" w:type="dxa"/>
            <w:vAlign w:val="top"/>
          </w:tcPr>
          <w:p>
            <w:pPr>
              <w:pStyle w:val="6"/>
              <w:spacing w:before="56" w:line="219" w:lineRule="auto"/>
              <w:ind w:left="275"/>
              <w:rPr>
                <w:rFonts w:ascii="仿宋" w:hAnsi="仿宋" w:eastAsia="仿宋" w:cs="仿宋"/>
              </w:rPr>
            </w:pPr>
            <w:r>
              <w:rPr>
                <w:b/>
                <w:bCs/>
                <w:spacing w:val="-5"/>
              </w:rPr>
              <w:t>12</w:t>
            </w:r>
            <w:r>
              <w:rPr>
                <w:b/>
                <w:bCs/>
                <w:spacing w:val="25"/>
              </w:rPr>
              <w:t xml:space="preserve"> </w:t>
            </w:r>
            <w:r>
              <w:rPr>
                <w:rFonts w:ascii="仿宋" w:hAnsi="仿宋" w:eastAsia="仿宋" w:cs="仿宋"/>
                <w:spacing w:val="-5"/>
                <w14:textOutline w14:w="3810" w14:cap="flat" w14:cmpd="sng">
                  <w14:solidFill>
                    <w14:srgbClr w14:val="000000"/>
                  </w14:solidFill>
                  <w14:prstDash w14:val="solid"/>
                  <w14:miter w14:val="0"/>
                </w14:textOutline>
              </w:rPr>
              <w:t>月</w:t>
            </w:r>
          </w:p>
        </w:tc>
        <w:tc>
          <w:tcPr>
            <w:tcW w:w="998" w:type="dxa"/>
            <w:vAlign w:val="top"/>
          </w:tcPr>
          <w:p>
            <w:pPr>
              <w:pStyle w:val="6"/>
              <w:spacing w:before="56" w:line="219" w:lineRule="auto"/>
              <w:ind w:left="325"/>
              <w:rPr>
                <w:rFonts w:ascii="仿宋" w:hAnsi="仿宋" w:eastAsia="仿宋" w:cs="仿宋"/>
              </w:rPr>
            </w:pPr>
            <w:r>
              <w:rPr>
                <w:b/>
                <w:bCs/>
                <w:spacing w:val="-7"/>
              </w:rPr>
              <w:t>1</w:t>
            </w:r>
            <w:r>
              <w:rPr>
                <w:b/>
                <w:bCs/>
                <w:spacing w:val="24"/>
                <w:w w:val="101"/>
              </w:rPr>
              <w:t xml:space="preserve"> </w:t>
            </w:r>
            <w:r>
              <w:rPr>
                <w:rFonts w:ascii="仿宋" w:hAnsi="仿宋" w:eastAsia="仿宋" w:cs="仿宋"/>
                <w:spacing w:val="-7"/>
                <w14:textOutline w14:w="3810" w14:cap="flat" w14:cmpd="sng">
                  <w14:solidFill>
                    <w14:srgbClr w14:val="000000"/>
                  </w14:solidFill>
                  <w14:prstDash w14:val="solid"/>
                  <w14:miter w14:val="0"/>
                </w14:textOutline>
              </w:rPr>
              <w:t>月</w:t>
            </w:r>
          </w:p>
        </w:tc>
        <w:tc>
          <w:tcPr>
            <w:tcW w:w="999" w:type="dxa"/>
            <w:vAlign w:val="top"/>
          </w:tcPr>
          <w:p>
            <w:pPr>
              <w:pStyle w:val="6"/>
              <w:spacing w:before="56" w:line="219" w:lineRule="auto"/>
              <w:ind w:left="317"/>
              <w:rPr>
                <w:rFonts w:ascii="仿宋" w:hAnsi="仿宋" w:eastAsia="仿宋" w:cs="仿宋"/>
              </w:rPr>
            </w:pPr>
            <w:r>
              <w:rPr>
                <w:b/>
                <w:bCs/>
                <w:spacing w:val="-3"/>
              </w:rPr>
              <w:t>2</w:t>
            </w:r>
            <w:r>
              <w:rPr>
                <w:b/>
                <w:bCs/>
                <w:spacing w:val="24"/>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月</w:t>
            </w:r>
          </w:p>
        </w:tc>
        <w:tc>
          <w:tcPr>
            <w:tcW w:w="1114" w:type="dxa"/>
            <w:vAlign w:val="top"/>
          </w:tcPr>
          <w:p>
            <w:pPr>
              <w:pStyle w:val="6"/>
              <w:spacing w:before="56" w:line="219" w:lineRule="auto"/>
              <w:ind w:left="373"/>
              <w:rPr>
                <w:rFonts w:ascii="仿宋" w:hAnsi="仿宋" w:eastAsia="仿宋" w:cs="仿宋"/>
              </w:rPr>
            </w:pPr>
            <w:r>
              <w:rPr>
                <w:b/>
                <w:bCs/>
                <w:spacing w:val="-2"/>
              </w:rPr>
              <w:t>3</w:t>
            </w:r>
            <w:r>
              <w:rPr>
                <w:b/>
                <w:bCs/>
                <w:spacing w:val="24"/>
                <w:w w:val="101"/>
              </w:rPr>
              <w:t xml:space="preserve"> </w:t>
            </w:r>
            <w:r>
              <w:rPr>
                <w:rFonts w:ascii="仿宋" w:hAnsi="仿宋" w:eastAsia="仿宋" w:cs="仿宋"/>
                <w:spacing w:val="-2"/>
                <w14:textOutline w14:w="3810" w14:cap="flat" w14:cmpd="sng">
                  <w14:solidFill>
                    <w14:srgbClr w14:val="000000"/>
                  </w14:solidFill>
                  <w14:prstDash w14:val="solid"/>
                  <w14:miter w14:val="0"/>
                </w14:textOutline>
              </w:rPr>
              <w:t>月</w:t>
            </w:r>
          </w:p>
        </w:tc>
        <w:tc>
          <w:tcPr>
            <w:tcW w:w="977" w:type="dxa"/>
            <w:vAlign w:val="top"/>
          </w:tcPr>
          <w:p>
            <w:pPr>
              <w:pStyle w:val="6"/>
              <w:spacing w:before="56" w:line="219" w:lineRule="auto"/>
              <w:ind w:left="306"/>
              <w:rPr>
                <w:rFonts w:ascii="仿宋" w:hAnsi="仿宋" w:eastAsia="仿宋" w:cs="仿宋"/>
              </w:rPr>
            </w:pPr>
            <w:r>
              <w:rPr>
                <w:b/>
                <w:bCs/>
                <w:spacing w:val="-3"/>
              </w:rPr>
              <w:t>4</w:t>
            </w:r>
            <w:r>
              <w:rPr>
                <w:b/>
                <w:bCs/>
                <w:spacing w:val="24"/>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月</w:t>
            </w:r>
          </w:p>
        </w:tc>
        <w:tc>
          <w:tcPr>
            <w:tcW w:w="869" w:type="dxa"/>
            <w:tcBorders>
              <w:right w:val="nil"/>
            </w:tcBorders>
            <w:vAlign w:val="top"/>
          </w:tcPr>
          <w:p>
            <w:pPr>
              <w:pStyle w:val="6"/>
              <w:spacing w:before="56" w:line="219" w:lineRule="auto"/>
              <w:ind w:left="255"/>
              <w:rPr>
                <w:rFonts w:ascii="仿宋" w:hAnsi="仿宋" w:eastAsia="仿宋" w:cs="仿宋"/>
              </w:rPr>
            </w:pPr>
            <w:r>
              <w:rPr>
                <w:b/>
                <w:bCs/>
                <w:spacing w:val="-4"/>
              </w:rPr>
              <w:t>5</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000" w:type="dxa"/>
            <w:vMerge w:val="restart"/>
            <w:tcBorders>
              <w:left w:val="nil"/>
              <w:bottom w:val="nil"/>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pStyle w:val="6"/>
              <w:spacing w:before="60" w:line="188" w:lineRule="auto"/>
              <w:ind w:left="193"/>
            </w:pPr>
            <w:r>
              <w:rPr>
                <w:spacing w:val="-1"/>
              </w:rPr>
              <w:t>P=75%</w:t>
            </w:r>
          </w:p>
        </w:tc>
        <w:tc>
          <w:tcPr>
            <w:tcW w:w="1353" w:type="dxa"/>
            <w:vAlign w:val="top"/>
          </w:tcPr>
          <w:p>
            <w:pPr>
              <w:spacing w:before="52" w:line="217" w:lineRule="auto"/>
              <w:ind w:left="372"/>
              <w:rPr>
                <w:rFonts w:ascii="仿宋" w:hAnsi="仿宋" w:eastAsia="仿宋" w:cs="仿宋"/>
                <w:sz w:val="21"/>
                <w:szCs w:val="21"/>
              </w:rPr>
            </w:pPr>
            <w:r>
              <w:rPr>
                <w:rFonts w:ascii="仿宋" w:hAnsi="仿宋" w:eastAsia="仿宋" w:cs="仿宋"/>
                <w:spacing w:val="-4"/>
                <w:sz w:val="21"/>
                <w:szCs w:val="21"/>
              </w:rPr>
              <w:t>来水量</w:t>
            </w:r>
          </w:p>
        </w:tc>
        <w:tc>
          <w:tcPr>
            <w:tcW w:w="894" w:type="dxa"/>
            <w:vAlign w:val="top"/>
          </w:tcPr>
          <w:p>
            <w:pPr>
              <w:pStyle w:val="6"/>
              <w:spacing w:before="88" w:line="188" w:lineRule="auto"/>
              <w:ind w:left="267"/>
            </w:pPr>
            <w:r>
              <w:rPr>
                <w:spacing w:val="-2"/>
              </w:rPr>
              <w:t>79.7</w:t>
            </w:r>
          </w:p>
        </w:tc>
        <w:tc>
          <w:tcPr>
            <w:tcW w:w="896" w:type="dxa"/>
            <w:vAlign w:val="top"/>
          </w:tcPr>
          <w:p>
            <w:pPr>
              <w:pStyle w:val="6"/>
              <w:spacing w:before="88" w:line="188" w:lineRule="auto"/>
              <w:ind w:left="212"/>
            </w:pPr>
            <w:r>
              <w:rPr>
                <w:spacing w:val="-1"/>
              </w:rPr>
              <w:t>237.4</w:t>
            </w:r>
          </w:p>
        </w:tc>
        <w:tc>
          <w:tcPr>
            <w:tcW w:w="853" w:type="dxa"/>
            <w:vAlign w:val="top"/>
          </w:tcPr>
          <w:p>
            <w:pPr>
              <w:pStyle w:val="6"/>
              <w:spacing w:before="88" w:line="188" w:lineRule="auto"/>
              <w:ind w:left="201"/>
            </w:pPr>
            <w:r>
              <w:rPr>
                <w:spacing w:val="-3"/>
              </w:rPr>
              <w:t>511.4</w:t>
            </w:r>
          </w:p>
        </w:tc>
        <w:tc>
          <w:tcPr>
            <w:tcW w:w="1000" w:type="dxa"/>
            <w:vAlign w:val="top"/>
          </w:tcPr>
          <w:p>
            <w:pPr>
              <w:pStyle w:val="6"/>
              <w:spacing w:before="88" w:line="188" w:lineRule="auto"/>
              <w:ind w:left="264"/>
            </w:pPr>
            <w:r>
              <w:rPr>
                <w:spacing w:val="-1"/>
              </w:rPr>
              <w:t>218.9</w:t>
            </w:r>
          </w:p>
        </w:tc>
        <w:tc>
          <w:tcPr>
            <w:tcW w:w="1002" w:type="dxa"/>
            <w:vAlign w:val="top"/>
          </w:tcPr>
          <w:p>
            <w:pPr>
              <w:pStyle w:val="6"/>
              <w:spacing w:before="88" w:line="188" w:lineRule="auto"/>
              <w:ind w:left="285"/>
            </w:pPr>
            <w:r>
              <w:rPr>
                <w:spacing w:val="-5"/>
              </w:rPr>
              <w:t>173.4</w:t>
            </w:r>
          </w:p>
        </w:tc>
        <w:tc>
          <w:tcPr>
            <w:tcW w:w="1002" w:type="dxa"/>
            <w:vAlign w:val="top"/>
          </w:tcPr>
          <w:p>
            <w:pPr>
              <w:pStyle w:val="6"/>
              <w:spacing w:before="88" w:line="188" w:lineRule="auto"/>
              <w:ind w:left="401"/>
            </w:pPr>
            <w:r>
              <w:rPr>
                <w:spacing w:val="-2"/>
              </w:rPr>
              <w:t>91</w:t>
            </w:r>
          </w:p>
        </w:tc>
        <w:tc>
          <w:tcPr>
            <w:tcW w:w="1002" w:type="dxa"/>
            <w:vAlign w:val="top"/>
          </w:tcPr>
          <w:p>
            <w:pPr>
              <w:pStyle w:val="6"/>
              <w:spacing w:before="88" w:line="188" w:lineRule="auto"/>
              <w:ind w:left="323"/>
            </w:pPr>
            <w:r>
              <w:rPr>
                <w:spacing w:val="-3"/>
              </w:rPr>
              <w:t>68.1</w:t>
            </w:r>
          </w:p>
        </w:tc>
        <w:tc>
          <w:tcPr>
            <w:tcW w:w="998" w:type="dxa"/>
            <w:vAlign w:val="top"/>
          </w:tcPr>
          <w:p>
            <w:pPr>
              <w:pStyle w:val="6"/>
              <w:spacing w:before="88" w:line="188" w:lineRule="auto"/>
              <w:ind w:left="322"/>
            </w:pPr>
            <w:r>
              <w:rPr>
                <w:spacing w:val="-2"/>
              </w:rPr>
              <w:t>67.3</w:t>
            </w:r>
          </w:p>
        </w:tc>
        <w:tc>
          <w:tcPr>
            <w:tcW w:w="999" w:type="dxa"/>
            <w:vAlign w:val="top"/>
          </w:tcPr>
          <w:p>
            <w:pPr>
              <w:pStyle w:val="6"/>
              <w:spacing w:before="88" w:line="188" w:lineRule="auto"/>
              <w:ind w:left="323"/>
            </w:pPr>
            <w:r>
              <w:rPr>
                <w:spacing w:val="-3"/>
              </w:rPr>
              <w:t>54.3</w:t>
            </w:r>
          </w:p>
        </w:tc>
        <w:tc>
          <w:tcPr>
            <w:tcW w:w="1114" w:type="dxa"/>
            <w:vAlign w:val="top"/>
          </w:tcPr>
          <w:p>
            <w:pPr>
              <w:pStyle w:val="6"/>
              <w:spacing w:before="88" w:line="188" w:lineRule="auto"/>
              <w:ind w:left="381"/>
            </w:pPr>
            <w:r>
              <w:rPr>
                <w:spacing w:val="-3"/>
              </w:rPr>
              <w:t>59.6</w:t>
            </w:r>
          </w:p>
        </w:tc>
        <w:tc>
          <w:tcPr>
            <w:tcW w:w="977" w:type="dxa"/>
            <w:vAlign w:val="top"/>
          </w:tcPr>
          <w:p>
            <w:pPr>
              <w:pStyle w:val="6"/>
              <w:spacing w:before="88" w:line="188" w:lineRule="auto"/>
              <w:ind w:left="312"/>
            </w:pPr>
            <w:r>
              <w:rPr>
                <w:spacing w:val="-3"/>
              </w:rPr>
              <w:t>52.9</w:t>
            </w:r>
          </w:p>
        </w:tc>
        <w:tc>
          <w:tcPr>
            <w:tcW w:w="869" w:type="dxa"/>
            <w:tcBorders>
              <w:right w:val="nil"/>
            </w:tcBorders>
            <w:vAlign w:val="top"/>
          </w:tcPr>
          <w:p>
            <w:pPr>
              <w:pStyle w:val="6"/>
              <w:spacing w:before="88" w:line="188" w:lineRule="auto"/>
              <w:ind w:left="337"/>
            </w:pPr>
            <w:r>
              <w:rPr>
                <w:spacing w:val="-3"/>
              </w:rPr>
              <w:t>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000" w:type="dxa"/>
            <w:vMerge w:val="continue"/>
            <w:tcBorders>
              <w:top w:val="nil"/>
              <w:left w:val="nil"/>
              <w:bottom w:val="nil"/>
            </w:tcBorders>
            <w:vAlign w:val="top"/>
          </w:tcPr>
          <w:p>
            <w:pPr>
              <w:rPr>
                <w:rFonts w:ascii="Arial"/>
                <w:sz w:val="21"/>
              </w:rPr>
            </w:pPr>
          </w:p>
        </w:tc>
        <w:tc>
          <w:tcPr>
            <w:tcW w:w="1353" w:type="dxa"/>
            <w:vAlign w:val="top"/>
          </w:tcPr>
          <w:p>
            <w:pPr>
              <w:spacing w:before="51" w:line="219" w:lineRule="auto"/>
              <w:ind w:left="174"/>
              <w:rPr>
                <w:rFonts w:ascii="仿宋" w:hAnsi="仿宋" w:eastAsia="仿宋" w:cs="仿宋"/>
                <w:sz w:val="21"/>
                <w:szCs w:val="21"/>
              </w:rPr>
            </w:pPr>
            <w:r>
              <w:rPr>
                <w:rFonts w:ascii="仿宋" w:hAnsi="仿宋" w:eastAsia="仿宋" w:cs="仿宋"/>
                <w:spacing w:val="-5"/>
                <w:sz w:val="21"/>
                <w:szCs w:val="21"/>
              </w:rPr>
              <w:t>生态用水量</w:t>
            </w:r>
          </w:p>
        </w:tc>
        <w:tc>
          <w:tcPr>
            <w:tcW w:w="894" w:type="dxa"/>
            <w:vAlign w:val="top"/>
          </w:tcPr>
          <w:p>
            <w:pPr>
              <w:pStyle w:val="6"/>
              <w:spacing w:before="88" w:line="188" w:lineRule="auto"/>
              <w:ind w:left="231"/>
            </w:pPr>
            <w:r>
              <w:rPr>
                <w:spacing w:val="-5"/>
              </w:rPr>
              <w:t>19.18</w:t>
            </w:r>
          </w:p>
        </w:tc>
        <w:tc>
          <w:tcPr>
            <w:tcW w:w="896" w:type="dxa"/>
            <w:vAlign w:val="top"/>
          </w:tcPr>
          <w:p>
            <w:pPr>
              <w:pStyle w:val="6"/>
              <w:spacing w:before="88" w:line="188" w:lineRule="auto"/>
              <w:ind w:left="232"/>
            </w:pPr>
            <w:r>
              <w:rPr>
                <w:spacing w:val="-5"/>
              </w:rPr>
              <w:t>19.82</w:t>
            </w:r>
          </w:p>
        </w:tc>
        <w:tc>
          <w:tcPr>
            <w:tcW w:w="853" w:type="dxa"/>
            <w:vAlign w:val="top"/>
          </w:tcPr>
          <w:p>
            <w:pPr>
              <w:pStyle w:val="6"/>
              <w:spacing w:before="88" w:line="188" w:lineRule="auto"/>
              <w:ind w:left="212"/>
            </w:pPr>
            <w:r>
              <w:rPr>
                <w:spacing w:val="-5"/>
              </w:rPr>
              <w:t>19.82</w:t>
            </w:r>
          </w:p>
        </w:tc>
        <w:tc>
          <w:tcPr>
            <w:tcW w:w="1000" w:type="dxa"/>
            <w:vAlign w:val="top"/>
          </w:tcPr>
          <w:p>
            <w:pPr>
              <w:pStyle w:val="6"/>
              <w:spacing w:before="88" w:line="188" w:lineRule="auto"/>
              <w:ind w:left="284"/>
            </w:pPr>
            <w:r>
              <w:rPr>
                <w:spacing w:val="-5"/>
              </w:rPr>
              <w:t>19.18</w:t>
            </w:r>
          </w:p>
        </w:tc>
        <w:tc>
          <w:tcPr>
            <w:tcW w:w="1002" w:type="dxa"/>
            <w:vAlign w:val="top"/>
          </w:tcPr>
          <w:p>
            <w:pPr>
              <w:pStyle w:val="6"/>
              <w:spacing w:before="88" w:line="188" w:lineRule="auto"/>
              <w:ind w:left="285"/>
            </w:pPr>
            <w:r>
              <w:rPr>
                <w:spacing w:val="-5"/>
              </w:rPr>
              <w:t>19.82</w:t>
            </w:r>
          </w:p>
        </w:tc>
        <w:tc>
          <w:tcPr>
            <w:tcW w:w="1002" w:type="dxa"/>
            <w:vAlign w:val="top"/>
          </w:tcPr>
          <w:p>
            <w:pPr>
              <w:pStyle w:val="6"/>
              <w:spacing w:before="88" w:line="188" w:lineRule="auto"/>
              <w:ind w:left="286"/>
            </w:pPr>
            <w:r>
              <w:rPr>
                <w:spacing w:val="-5"/>
              </w:rPr>
              <w:t>19.18</w:t>
            </w:r>
          </w:p>
        </w:tc>
        <w:tc>
          <w:tcPr>
            <w:tcW w:w="1002" w:type="dxa"/>
            <w:vAlign w:val="top"/>
          </w:tcPr>
          <w:p>
            <w:pPr>
              <w:pStyle w:val="6"/>
              <w:spacing w:before="88" w:line="188" w:lineRule="auto"/>
              <w:ind w:left="286"/>
            </w:pPr>
            <w:r>
              <w:rPr>
                <w:spacing w:val="-5"/>
              </w:rPr>
              <w:t>19.82</w:t>
            </w:r>
          </w:p>
        </w:tc>
        <w:tc>
          <w:tcPr>
            <w:tcW w:w="998" w:type="dxa"/>
            <w:vAlign w:val="top"/>
          </w:tcPr>
          <w:p>
            <w:pPr>
              <w:pStyle w:val="6"/>
              <w:spacing w:before="88" w:line="188" w:lineRule="auto"/>
              <w:ind w:left="284"/>
            </w:pPr>
            <w:r>
              <w:rPr>
                <w:spacing w:val="-5"/>
              </w:rPr>
              <w:t>19.82</w:t>
            </w:r>
          </w:p>
        </w:tc>
        <w:tc>
          <w:tcPr>
            <w:tcW w:w="999" w:type="dxa"/>
            <w:vAlign w:val="top"/>
          </w:tcPr>
          <w:p>
            <w:pPr>
              <w:pStyle w:val="6"/>
              <w:spacing w:before="88" w:line="188" w:lineRule="auto"/>
              <w:ind w:left="285"/>
            </w:pPr>
            <w:r>
              <w:rPr>
                <w:spacing w:val="-5"/>
              </w:rPr>
              <w:t>17.90</w:t>
            </w:r>
          </w:p>
        </w:tc>
        <w:tc>
          <w:tcPr>
            <w:tcW w:w="1114" w:type="dxa"/>
            <w:vAlign w:val="top"/>
          </w:tcPr>
          <w:p>
            <w:pPr>
              <w:pStyle w:val="6"/>
              <w:spacing w:before="88" w:line="188" w:lineRule="auto"/>
              <w:ind w:left="343"/>
            </w:pPr>
            <w:r>
              <w:rPr>
                <w:spacing w:val="-5"/>
              </w:rPr>
              <w:t>19.82</w:t>
            </w:r>
          </w:p>
        </w:tc>
        <w:tc>
          <w:tcPr>
            <w:tcW w:w="977" w:type="dxa"/>
            <w:vAlign w:val="top"/>
          </w:tcPr>
          <w:p>
            <w:pPr>
              <w:pStyle w:val="6"/>
              <w:spacing w:before="88" w:line="188" w:lineRule="auto"/>
              <w:ind w:left="274"/>
            </w:pPr>
            <w:r>
              <w:rPr>
                <w:spacing w:val="-5"/>
              </w:rPr>
              <w:t>19.18</w:t>
            </w:r>
          </w:p>
        </w:tc>
        <w:tc>
          <w:tcPr>
            <w:tcW w:w="869" w:type="dxa"/>
            <w:tcBorders>
              <w:right w:val="nil"/>
            </w:tcBorders>
            <w:vAlign w:val="top"/>
          </w:tcPr>
          <w:p>
            <w:pPr>
              <w:pStyle w:val="6"/>
              <w:spacing w:before="88" w:line="188" w:lineRule="auto"/>
              <w:ind w:left="219"/>
            </w:pPr>
            <w:r>
              <w:rPr>
                <w:spacing w:val="-5"/>
              </w:rPr>
              <w:t>19.82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000" w:type="dxa"/>
            <w:vMerge w:val="continue"/>
            <w:tcBorders>
              <w:top w:val="nil"/>
              <w:left w:val="nil"/>
              <w:bottom w:val="nil"/>
            </w:tcBorders>
            <w:vAlign w:val="top"/>
          </w:tcPr>
          <w:p>
            <w:pPr>
              <w:rPr>
                <w:rFonts w:ascii="Arial"/>
                <w:sz w:val="21"/>
              </w:rPr>
            </w:pPr>
          </w:p>
        </w:tc>
        <w:tc>
          <w:tcPr>
            <w:tcW w:w="1353" w:type="dxa"/>
            <w:vAlign w:val="top"/>
          </w:tcPr>
          <w:p>
            <w:pPr>
              <w:spacing w:before="54" w:line="218" w:lineRule="auto"/>
              <w:ind w:left="165"/>
              <w:rPr>
                <w:rFonts w:ascii="仿宋" w:hAnsi="仿宋" w:eastAsia="仿宋" w:cs="仿宋"/>
                <w:sz w:val="21"/>
                <w:szCs w:val="21"/>
              </w:rPr>
            </w:pPr>
            <w:r>
              <w:rPr>
                <w:rFonts w:ascii="仿宋" w:hAnsi="仿宋" w:eastAsia="仿宋" w:cs="仿宋"/>
                <w:spacing w:val="-4"/>
                <w:sz w:val="21"/>
                <w:szCs w:val="21"/>
              </w:rPr>
              <w:t>灌溉用水量</w:t>
            </w:r>
          </w:p>
        </w:tc>
        <w:tc>
          <w:tcPr>
            <w:tcW w:w="894" w:type="dxa"/>
            <w:vAlign w:val="top"/>
          </w:tcPr>
          <w:p>
            <w:pPr>
              <w:pStyle w:val="6"/>
              <w:spacing w:before="90" w:line="188" w:lineRule="auto"/>
              <w:ind w:left="187"/>
            </w:pPr>
            <w:r>
              <w:rPr>
                <w:spacing w:val="-7"/>
              </w:rPr>
              <w:t>111.87</w:t>
            </w:r>
          </w:p>
        </w:tc>
        <w:tc>
          <w:tcPr>
            <w:tcW w:w="896" w:type="dxa"/>
            <w:vAlign w:val="top"/>
          </w:tcPr>
          <w:p>
            <w:pPr>
              <w:pStyle w:val="6"/>
              <w:spacing w:before="90" w:line="188" w:lineRule="auto"/>
              <w:ind w:left="215"/>
            </w:pPr>
            <w:r>
              <w:rPr>
                <w:spacing w:val="-2"/>
              </w:rPr>
              <w:t>79.63</w:t>
            </w:r>
          </w:p>
        </w:tc>
        <w:tc>
          <w:tcPr>
            <w:tcW w:w="853" w:type="dxa"/>
            <w:vAlign w:val="top"/>
          </w:tcPr>
          <w:p>
            <w:pPr>
              <w:pStyle w:val="6"/>
              <w:spacing w:before="90" w:line="188" w:lineRule="auto"/>
              <w:ind w:left="212"/>
            </w:pPr>
            <w:r>
              <w:rPr>
                <w:spacing w:val="-5"/>
              </w:rPr>
              <w:t>19.49</w:t>
            </w:r>
          </w:p>
        </w:tc>
        <w:tc>
          <w:tcPr>
            <w:tcW w:w="1000" w:type="dxa"/>
            <w:vAlign w:val="top"/>
          </w:tcPr>
          <w:p>
            <w:pPr>
              <w:pStyle w:val="6"/>
              <w:spacing w:before="90" w:line="188" w:lineRule="auto"/>
              <w:ind w:left="319"/>
            </w:pPr>
            <w:r>
              <w:rPr>
                <w:spacing w:val="-2"/>
              </w:rPr>
              <w:t>0.00</w:t>
            </w:r>
          </w:p>
        </w:tc>
        <w:tc>
          <w:tcPr>
            <w:tcW w:w="1002" w:type="dxa"/>
            <w:vAlign w:val="top"/>
          </w:tcPr>
          <w:p>
            <w:pPr>
              <w:pStyle w:val="6"/>
              <w:spacing w:before="90" w:line="188" w:lineRule="auto"/>
              <w:ind w:left="321"/>
            </w:pPr>
            <w:r>
              <w:rPr>
                <w:spacing w:val="-2"/>
              </w:rPr>
              <w:t>0.00</w:t>
            </w:r>
          </w:p>
        </w:tc>
        <w:tc>
          <w:tcPr>
            <w:tcW w:w="1002" w:type="dxa"/>
            <w:vAlign w:val="top"/>
          </w:tcPr>
          <w:p>
            <w:pPr>
              <w:pStyle w:val="6"/>
              <w:spacing w:before="90" w:line="188" w:lineRule="auto"/>
              <w:ind w:left="233"/>
            </w:pPr>
            <w:r>
              <w:rPr>
                <w:spacing w:val="-4"/>
              </w:rPr>
              <w:t>105.45</w:t>
            </w:r>
          </w:p>
        </w:tc>
        <w:tc>
          <w:tcPr>
            <w:tcW w:w="1002" w:type="dxa"/>
            <w:vAlign w:val="top"/>
          </w:tcPr>
          <w:p>
            <w:pPr>
              <w:pStyle w:val="6"/>
              <w:spacing w:before="90" w:line="188" w:lineRule="auto"/>
              <w:ind w:left="269"/>
            </w:pPr>
            <w:r>
              <w:rPr>
                <w:spacing w:val="-2"/>
              </w:rPr>
              <w:t>99.06</w:t>
            </w:r>
          </w:p>
        </w:tc>
        <w:tc>
          <w:tcPr>
            <w:tcW w:w="998" w:type="dxa"/>
            <w:vAlign w:val="top"/>
          </w:tcPr>
          <w:p>
            <w:pPr>
              <w:pStyle w:val="6"/>
              <w:spacing w:before="90" w:line="188" w:lineRule="auto"/>
              <w:ind w:left="268"/>
            </w:pPr>
            <w:r>
              <w:rPr>
                <w:spacing w:val="-2"/>
              </w:rPr>
              <w:t>98.79</w:t>
            </w:r>
          </w:p>
        </w:tc>
        <w:tc>
          <w:tcPr>
            <w:tcW w:w="999" w:type="dxa"/>
            <w:vAlign w:val="top"/>
          </w:tcPr>
          <w:p>
            <w:pPr>
              <w:pStyle w:val="6"/>
              <w:spacing w:before="90" w:line="188" w:lineRule="auto"/>
              <w:ind w:left="270"/>
            </w:pPr>
            <w:r>
              <w:rPr>
                <w:spacing w:val="-2"/>
              </w:rPr>
              <w:t>52.03</w:t>
            </w:r>
          </w:p>
        </w:tc>
        <w:tc>
          <w:tcPr>
            <w:tcW w:w="1114" w:type="dxa"/>
            <w:vAlign w:val="top"/>
          </w:tcPr>
          <w:p>
            <w:pPr>
              <w:pStyle w:val="6"/>
              <w:spacing w:before="90" w:line="188" w:lineRule="auto"/>
              <w:ind w:left="290"/>
            </w:pPr>
            <w:r>
              <w:rPr>
                <w:spacing w:val="-4"/>
              </w:rPr>
              <w:t>101.25</w:t>
            </w:r>
          </w:p>
        </w:tc>
        <w:tc>
          <w:tcPr>
            <w:tcW w:w="977" w:type="dxa"/>
            <w:vAlign w:val="top"/>
          </w:tcPr>
          <w:p>
            <w:pPr>
              <w:pStyle w:val="6"/>
              <w:spacing w:before="90" w:line="188" w:lineRule="auto"/>
              <w:ind w:left="260"/>
            </w:pPr>
            <w:r>
              <w:rPr>
                <w:spacing w:val="-2"/>
              </w:rPr>
              <w:t>56.87</w:t>
            </w:r>
          </w:p>
        </w:tc>
        <w:tc>
          <w:tcPr>
            <w:tcW w:w="869" w:type="dxa"/>
            <w:tcBorders>
              <w:right w:val="nil"/>
            </w:tcBorders>
            <w:vAlign w:val="top"/>
          </w:tcPr>
          <w:p>
            <w:pPr>
              <w:pStyle w:val="6"/>
              <w:spacing w:before="90" w:line="188" w:lineRule="auto"/>
              <w:ind w:left="146"/>
            </w:pPr>
            <w:r>
              <w:rPr>
                <w:spacing w:val="-1"/>
              </w:rPr>
              <w:t>298.48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1000" w:type="dxa"/>
            <w:vMerge w:val="continue"/>
            <w:tcBorders>
              <w:top w:val="nil"/>
              <w:left w:val="nil"/>
              <w:bottom w:val="nil"/>
            </w:tcBorders>
            <w:vAlign w:val="top"/>
          </w:tcPr>
          <w:p>
            <w:pPr>
              <w:rPr>
                <w:rFonts w:ascii="Arial"/>
                <w:sz w:val="21"/>
              </w:rPr>
            </w:pPr>
          </w:p>
        </w:tc>
        <w:tc>
          <w:tcPr>
            <w:tcW w:w="1353" w:type="dxa"/>
            <w:vAlign w:val="top"/>
          </w:tcPr>
          <w:p>
            <w:pPr>
              <w:spacing w:before="52" w:line="247" w:lineRule="auto"/>
              <w:ind w:left="371" w:right="163" w:hanging="197"/>
              <w:rPr>
                <w:rFonts w:ascii="仿宋" w:hAnsi="仿宋" w:eastAsia="仿宋" w:cs="仿宋"/>
                <w:sz w:val="21"/>
                <w:szCs w:val="21"/>
              </w:rPr>
            </w:pPr>
            <w:r>
              <w:rPr>
                <w:rFonts w:ascii="仿宋" w:hAnsi="仿宋" w:eastAsia="仿宋" w:cs="仿宋"/>
                <w:spacing w:val="-8"/>
                <w:sz w:val="21"/>
                <w:szCs w:val="21"/>
              </w:rPr>
              <w:t>生活、工业</w:t>
            </w:r>
            <w:r>
              <w:rPr>
                <w:rFonts w:ascii="仿宋" w:hAnsi="仿宋" w:eastAsia="仿宋" w:cs="仿宋"/>
                <w:sz w:val="21"/>
                <w:szCs w:val="21"/>
              </w:rPr>
              <w:t xml:space="preserve"> </w:t>
            </w:r>
            <w:r>
              <w:rPr>
                <w:rFonts w:ascii="仿宋" w:hAnsi="仿宋" w:eastAsia="仿宋" w:cs="仿宋"/>
                <w:spacing w:val="-4"/>
                <w:sz w:val="21"/>
                <w:szCs w:val="21"/>
              </w:rPr>
              <w:t>用水量</w:t>
            </w:r>
          </w:p>
        </w:tc>
        <w:tc>
          <w:tcPr>
            <w:tcW w:w="894" w:type="dxa"/>
            <w:vAlign w:val="top"/>
          </w:tcPr>
          <w:p>
            <w:pPr>
              <w:pStyle w:val="6"/>
              <w:spacing w:before="246" w:line="188" w:lineRule="auto"/>
              <w:ind w:left="267"/>
            </w:pPr>
            <w:r>
              <w:rPr>
                <w:spacing w:val="-2"/>
              </w:rPr>
              <w:t>7.53</w:t>
            </w:r>
          </w:p>
        </w:tc>
        <w:tc>
          <w:tcPr>
            <w:tcW w:w="896" w:type="dxa"/>
            <w:vAlign w:val="top"/>
          </w:tcPr>
          <w:p>
            <w:pPr>
              <w:pStyle w:val="6"/>
              <w:spacing w:before="246" w:line="188" w:lineRule="auto"/>
              <w:ind w:left="268"/>
            </w:pPr>
            <w:r>
              <w:rPr>
                <w:spacing w:val="-2"/>
              </w:rPr>
              <w:t>7.78</w:t>
            </w:r>
          </w:p>
        </w:tc>
        <w:tc>
          <w:tcPr>
            <w:tcW w:w="853" w:type="dxa"/>
            <w:vAlign w:val="top"/>
          </w:tcPr>
          <w:p>
            <w:pPr>
              <w:pStyle w:val="6"/>
              <w:spacing w:before="246" w:line="188" w:lineRule="auto"/>
              <w:ind w:left="247"/>
            </w:pPr>
            <w:r>
              <w:rPr>
                <w:spacing w:val="-2"/>
              </w:rPr>
              <w:t>7.78</w:t>
            </w:r>
          </w:p>
        </w:tc>
        <w:tc>
          <w:tcPr>
            <w:tcW w:w="1000" w:type="dxa"/>
            <w:vAlign w:val="top"/>
          </w:tcPr>
          <w:p>
            <w:pPr>
              <w:pStyle w:val="6"/>
              <w:spacing w:before="246" w:line="188" w:lineRule="auto"/>
              <w:ind w:left="319"/>
            </w:pPr>
            <w:r>
              <w:rPr>
                <w:spacing w:val="-2"/>
              </w:rPr>
              <w:t>7.53</w:t>
            </w:r>
          </w:p>
        </w:tc>
        <w:tc>
          <w:tcPr>
            <w:tcW w:w="1002" w:type="dxa"/>
            <w:vAlign w:val="top"/>
          </w:tcPr>
          <w:p>
            <w:pPr>
              <w:pStyle w:val="6"/>
              <w:spacing w:before="246" w:line="188" w:lineRule="auto"/>
              <w:ind w:left="321"/>
            </w:pPr>
            <w:r>
              <w:rPr>
                <w:spacing w:val="-2"/>
              </w:rPr>
              <w:t>7.78</w:t>
            </w:r>
          </w:p>
        </w:tc>
        <w:tc>
          <w:tcPr>
            <w:tcW w:w="1002" w:type="dxa"/>
            <w:vAlign w:val="top"/>
          </w:tcPr>
          <w:p>
            <w:pPr>
              <w:pStyle w:val="6"/>
              <w:spacing w:before="246" w:line="188" w:lineRule="auto"/>
              <w:ind w:left="322"/>
            </w:pPr>
            <w:r>
              <w:rPr>
                <w:spacing w:val="-2"/>
              </w:rPr>
              <w:t>7.53</w:t>
            </w:r>
          </w:p>
        </w:tc>
        <w:tc>
          <w:tcPr>
            <w:tcW w:w="1002" w:type="dxa"/>
            <w:vAlign w:val="top"/>
          </w:tcPr>
          <w:p>
            <w:pPr>
              <w:pStyle w:val="6"/>
              <w:spacing w:before="246" w:line="188" w:lineRule="auto"/>
              <w:ind w:left="322"/>
            </w:pPr>
            <w:r>
              <w:rPr>
                <w:spacing w:val="-2"/>
              </w:rPr>
              <w:t>7.78</w:t>
            </w:r>
          </w:p>
        </w:tc>
        <w:tc>
          <w:tcPr>
            <w:tcW w:w="998" w:type="dxa"/>
            <w:vAlign w:val="top"/>
          </w:tcPr>
          <w:p>
            <w:pPr>
              <w:pStyle w:val="6"/>
              <w:spacing w:before="246" w:line="188" w:lineRule="auto"/>
              <w:ind w:left="319"/>
            </w:pPr>
            <w:r>
              <w:rPr>
                <w:spacing w:val="-2"/>
              </w:rPr>
              <w:t>7.78</w:t>
            </w:r>
          </w:p>
        </w:tc>
        <w:tc>
          <w:tcPr>
            <w:tcW w:w="999" w:type="dxa"/>
            <w:vAlign w:val="top"/>
          </w:tcPr>
          <w:p>
            <w:pPr>
              <w:pStyle w:val="6"/>
              <w:spacing w:before="246" w:line="188" w:lineRule="auto"/>
              <w:ind w:left="320"/>
            </w:pPr>
            <w:r>
              <w:rPr>
                <w:spacing w:val="-2"/>
              </w:rPr>
              <w:t>7.03</w:t>
            </w:r>
          </w:p>
        </w:tc>
        <w:tc>
          <w:tcPr>
            <w:tcW w:w="1114" w:type="dxa"/>
            <w:vAlign w:val="top"/>
          </w:tcPr>
          <w:p>
            <w:pPr>
              <w:pStyle w:val="6"/>
              <w:spacing w:before="246" w:line="188" w:lineRule="auto"/>
              <w:ind w:left="378"/>
            </w:pPr>
            <w:r>
              <w:rPr>
                <w:spacing w:val="-2"/>
              </w:rPr>
              <w:t>7.78</w:t>
            </w:r>
          </w:p>
        </w:tc>
        <w:tc>
          <w:tcPr>
            <w:tcW w:w="977" w:type="dxa"/>
            <w:vAlign w:val="top"/>
          </w:tcPr>
          <w:p>
            <w:pPr>
              <w:pStyle w:val="6"/>
              <w:spacing w:before="246" w:line="188" w:lineRule="auto"/>
              <w:ind w:left="309"/>
            </w:pPr>
            <w:r>
              <w:rPr>
                <w:spacing w:val="-2"/>
              </w:rPr>
              <w:t>7.53</w:t>
            </w:r>
          </w:p>
        </w:tc>
        <w:tc>
          <w:tcPr>
            <w:tcW w:w="869" w:type="dxa"/>
            <w:tcBorders>
              <w:right w:val="nil"/>
            </w:tcBorders>
            <w:vAlign w:val="top"/>
          </w:tcPr>
          <w:p>
            <w:pPr>
              <w:pStyle w:val="6"/>
              <w:spacing w:before="246" w:line="188" w:lineRule="auto"/>
              <w:ind w:left="255"/>
            </w:pPr>
            <w:r>
              <w:rPr>
                <w:spacing w:val="-2"/>
              </w:rPr>
              <w:t>7.78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000" w:type="dxa"/>
            <w:vMerge w:val="continue"/>
            <w:tcBorders>
              <w:top w:val="nil"/>
              <w:left w:val="nil"/>
              <w:bottom w:val="nil"/>
            </w:tcBorders>
            <w:vAlign w:val="top"/>
          </w:tcPr>
          <w:p>
            <w:pPr>
              <w:rPr>
                <w:rFonts w:ascii="Arial"/>
                <w:sz w:val="21"/>
              </w:rPr>
            </w:pPr>
          </w:p>
        </w:tc>
        <w:tc>
          <w:tcPr>
            <w:tcW w:w="1353" w:type="dxa"/>
            <w:vAlign w:val="top"/>
          </w:tcPr>
          <w:p>
            <w:pPr>
              <w:spacing w:before="54" w:line="218" w:lineRule="auto"/>
              <w:ind w:left="269"/>
              <w:rPr>
                <w:rFonts w:ascii="仿宋" w:hAnsi="仿宋" w:eastAsia="仿宋" w:cs="仿宋"/>
                <w:sz w:val="21"/>
                <w:szCs w:val="21"/>
              </w:rPr>
            </w:pPr>
            <w:r>
              <w:rPr>
                <w:rFonts w:ascii="仿宋" w:hAnsi="仿宋" w:eastAsia="仿宋" w:cs="仿宋"/>
                <w:spacing w:val="-5"/>
                <w:sz w:val="21"/>
                <w:szCs w:val="21"/>
              </w:rPr>
              <w:t>库损水量</w:t>
            </w:r>
          </w:p>
        </w:tc>
        <w:tc>
          <w:tcPr>
            <w:tcW w:w="894" w:type="dxa"/>
            <w:vAlign w:val="top"/>
          </w:tcPr>
          <w:p>
            <w:pPr>
              <w:pStyle w:val="6"/>
              <w:spacing w:before="90" w:line="188" w:lineRule="auto"/>
              <w:ind w:left="284"/>
            </w:pPr>
            <w:r>
              <w:rPr>
                <w:spacing w:val="-6"/>
              </w:rPr>
              <w:t>1.08</w:t>
            </w:r>
          </w:p>
        </w:tc>
        <w:tc>
          <w:tcPr>
            <w:tcW w:w="896" w:type="dxa"/>
            <w:vAlign w:val="top"/>
          </w:tcPr>
          <w:p>
            <w:pPr>
              <w:pStyle w:val="6"/>
              <w:spacing w:before="90" w:line="188" w:lineRule="auto"/>
              <w:ind w:left="285"/>
            </w:pPr>
            <w:r>
              <w:rPr>
                <w:spacing w:val="-6"/>
              </w:rPr>
              <w:t>1.92</w:t>
            </w:r>
          </w:p>
        </w:tc>
        <w:tc>
          <w:tcPr>
            <w:tcW w:w="853" w:type="dxa"/>
            <w:vAlign w:val="top"/>
          </w:tcPr>
          <w:p>
            <w:pPr>
              <w:pStyle w:val="6"/>
              <w:spacing w:before="90" w:line="188" w:lineRule="auto"/>
              <w:ind w:left="264"/>
            </w:pPr>
            <w:r>
              <w:rPr>
                <w:spacing w:val="-6"/>
              </w:rPr>
              <w:t>1.75</w:t>
            </w:r>
          </w:p>
        </w:tc>
        <w:tc>
          <w:tcPr>
            <w:tcW w:w="1000" w:type="dxa"/>
            <w:vAlign w:val="top"/>
          </w:tcPr>
          <w:p>
            <w:pPr>
              <w:pStyle w:val="6"/>
              <w:spacing w:before="90" w:line="188" w:lineRule="auto"/>
              <w:ind w:left="336"/>
            </w:pPr>
            <w:r>
              <w:rPr>
                <w:spacing w:val="-6"/>
              </w:rPr>
              <w:t>1.67</w:t>
            </w:r>
          </w:p>
        </w:tc>
        <w:tc>
          <w:tcPr>
            <w:tcW w:w="1002" w:type="dxa"/>
            <w:vAlign w:val="top"/>
          </w:tcPr>
          <w:p>
            <w:pPr>
              <w:pStyle w:val="6"/>
              <w:spacing w:before="90" w:line="188" w:lineRule="auto"/>
              <w:ind w:left="338"/>
            </w:pPr>
            <w:r>
              <w:rPr>
                <w:spacing w:val="-6"/>
              </w:rPr>
              <w:t>1.69</w:t>
            </w:r>
          </w:p>
        </w:tc>
        <w:tc>
          <w:tcPr>
            <w:tcW w:w="1002" w:type="dxa"/>
            <w:vAlign w:val="top"/>
          </w:tcPr>
          <w:p>
            <w:pPr>
              <w:pStyle w:val="6"/>
              <w:spacing w:before="90" w:line="188" w:lineRule="auto"/>
              <w:ind w:left="338"/>
            </w:pPr>
            <w:r>
              <w:rPr>
                <w:spacing w:val="-6"/>
              </w:rPr>
              <w:t>1.64</w:t>
            </w:r>
          </w:p>
        </w:tc>
        <w:tc>
          <w:tcPr>
            <w:tcW w:w="1002" w:type="dxa"/>
            <w:vAlign w:val="top"/>
          </w:tcPr>
          <w:p>
            <w:pPr>
              <w:pStyle w:val="6"/>
              <w:spacing w:before="90" w:line="188" w:lineRule="auto"/>
              <w:ind w:left="338"/>
            </w:pPr>
            <w:r>
              <w:rPr>
                <w:spacing w:val="-6"/>
              </w:rPr>
              <w:t>1.62</w:t>
            </w:r>
          </w:p>
        </w:tc>
        <w:tc>
          <w:tcPr>
            <w:tcW w:w="998" w:type="dxa"/>
            <w:vAlign w:val="top"/>
          </w:tcPr>
          <w:p>
            <w:pPr>
              <w:pStyle w:val="6"/>
              <w:spacing w:before="90" w:line="188" w:lineRule="auto"/>
              <w:ind w:left="336"/>
            </w:pPr>
            <w:r>
              <w:rPr>
                <w:spacing w:val="-6"/>
              </w:rPr>
              <w:t>1.86</w:t>
            </w:r>
          </w:p>
        </w:tc>
        <w:tc>
          <w:tcPr>
            <w:tcW w:w="999" w:type="dxa"/>
            <w:vAlign w:val="top"/>
          </w:tcPr>
          <w:p>
            <w:pPr>
              <w:pStyle w:val="6"/>
              <w:spacing w:before="90" w:line="188" w:lineRule="auto"/>
              <w:ind w:left="316"/>
            </w:pPr>
            <w:r>
              <w:rPr>
                <w:spacing w:val="-1"/>
              </w:rPr>
              <w:t>2.27</w:t>
            </w:r>
          </w:p>
        </w:tc>
        <w:tc>
          <w:tcPr>
            <w:tcW w:w="1114" w:type="dxa"/>
            <w:vAlign w:val="top"/>
          </w:tcPr>
          <w:p>
            <w:pPr>
              <w:pStyle w:val="6"/>
              <w:spacing w:before="90" w:line="188" w:lineRule="auto"/>
              <w:ind w:left="379"/>
            </w:pPr>
            <w:r>
              <w:rPr>
                <w:spacing w:val="-2"/>
              </w:rPr>
              <w:t>3.19</w:t>
            </w:r>
          </w:p>
        </w:tc>
        <w:tc>
          <w:tcPr>
            <w:tcW w:w="977" w:type="dxa"/>
            <w:vAlign w:val="top"/>
          </w:tcPr>
          <w:p>
            <w:pPr>
              <w:pStyle w:val="6"/>
              <w:spacing w:before="90" w:line="188" w:lineRule="auto"/>
              <w:ind w:left="310"/>
            </w:pPr>
            <w:r>
              <w:rPr>
                <w:spacing w:val="-2"/>
              </w:rPr>
              <w:t>3.33</w:t>
            </w:r>
          </w:p>
        </w:tc>
        <w:tc>
          <w:tcPr>
            <w:tcW w:w="869" w:type="dxa"/>
            <w:tcBorders>
              <w:right w:val="nil"/>
            </w:tcBorders>
            <w:vAlign w:val="top"/>
          </w:tcPr>
          <w:p>
            <w:pPr>
              <w:pStyle w:val="6"/>
              <w:spacing w:before="90" w:line="188" w:lineRule="auto"/>
              <w:ind w:left="256"/>
            </w:pPr>
            <w:r>
              <w:rPr>
                <w:spacing w:val="-2"/>
              </w:rPr>
              <w:t>3.35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000" w:type="dxa"/>
            <w:vMerge w:val="continue"/>
            <w:tcBorders>
              <w:top w:val="nil"/>
              <w:left w:val="nil"/>
              <w:bottom w:val="nil"/>
            </w:tcBorders>
            <w:vAlign w:val="top"/>
          </w:tcPr>
          <w:p>
            <w:pPr>
              <w:rPr>
                <w:rFonts w:ascii="Arial"/>
                <w:sz w:val="21"/>
              </w:rPr>
            </w:pPr>
          </w:p>
        </w:tc>
        <w:tc>
          <w:tcPr>
            <w:tcW w:w="1353" w:type="dxa"/>
            <w:vAlign w:val="top"/>
          </w:tcPr>
          <w:p>
            <w:pPr>
              <w:spacing w:before="56" w:line="218" w:lineRule="auto"/>
              <w:ind w:left="276"/>
              <w:rPr>
                <w:rFonts w:ascii="仿宋" w:hAnsi="仿宋" w:eastAsia="仿宋" w:cs="仿宋"/>
                <w:sz w:val="21"/>
                <w:szCs w:val="21"/>
              </w:rPr>
            </w:pPr>
            <w:r>
              <w:rPr>
                <w:rFonts w:ascii="仿宋" w:hAnsi="仿宋" w:eastAsia="仿宋" w:cs="仿宋"/>
                <w:spacing w:val="-5"/>
                <w:sz w:val="21"/>
                <w:szCs w:val="21"/>
              </w:rPr>
              <w:t>月末库容</w:t>
            </w:r>
          </w:p>
        </w:tc>
        <w:tc>
          <w:tcPr>
            <w:tcW w:w="894" w:type="dxa"/>
            <w:vAlign w:val="top"/>
          </w:tcPr>
          <w:p>
            <w:pPr>
              <w:pStyle w:val="6"/>
              <w:spacing w:before="92" w:line="188" w:lineRule="auto"/>
              <w:ind w:left="178"/>
            </w:pPr>
            <w:r>
              <w:rPr>
                <w:spacing w:val="-4"/>
              </w:rPr>
              <w:t>152.70</w:t>
            </w:r>
          </w:p>
        </w:tc>
        <w:tc>
          <w:tcPr>
            <w:tcW w:w="896" w:type="dxa"/>
            <w:vAlign w:val="top"/>
          </w:tcPr>
          <w:p>
            <w:pPr>
              <w:pStyle w:val="6"/>
              <w:spacing w:before="92" w:line="188" w:lineRule="auto"/>
              <w:ind w:left="159"/>
            </w:pPr>
            <w:r>
              <w:rPr>
                <w:spacing w:val="-1"/>
              </w:rPr>
              <w:t>280.95</w:t>
            </w:r>
          </w:p>
        </w:tc>
        <w:tc>
          <w:tcPr>
            <w:tcW w:w="853" w:type="dxa"/>
            <w:vAlign w:val="top"/>
          </w:tcPr>
          <w:p>
            <w:pPr>
              <w:pStyle w:val="6"/>
              <w:spacing w:before="92" w:line="188" w:lineRule="auto"/>
              <w:ind w:left="143"/>
            </w:pPr>
            <w:r>
              <w:rPr>
                <w:spacing w:val="-2"/>
              </w:rPr>
              <w:t>743.51</w:t>
            </w:r>
          </w:p>
        </w:tc>
        <w:tc>
          <w:tcPr>
            <w:tcW w:w="1000" w:type="dxa"/>
            <w:vAlign w:val="top"/>
          </w:tcPr>
          <w:p>
            <w:pPr>
              <w:pStyle w:val="6"/>
              <w:spacing w:before="92" w:line="188" w:lineRule="auto"/>
              <w:ind w:left="215"/>
            </w:pPr>
            <w:r>
              <w:rPr>
                <w:spacing w:val="-2"/>
              </w:rPr>
              <w:t>934.03</w:t>
            </w:r>
          </w:p>
        </w:tc>
        <w:tc>
          <w:tcPr>
            <w:tcW w:w="1002" w:type="dxa"/>
            <w:vAlign w:val="top"/>
          </w:tcPr>
          <w:p>
            <w:pPr>
              <w:pStyle w:val="6"/>
              <w:spacing w:before="92" w:line="188" w:lineRule="auto"/>
              <w:ind w:left="181"/>
            </w:pPr>
            <w:r>
              <w:rPr>
                <w:spacing w:val="-4"/>
              </w:rPr>
              <w:t>1067.20</w:t>
            </w:r>
          </w:p>
        </w:tc>
        <w:tc>
          <w:tcPr>
            <w:tcW w:w="1002" w:type="dxa"/>
            <w:vAlign w:val="top"/>
          </w:tcPr>
          <w:p>
            <w:pPr>
              <w:pStyle w:val="6"/>
              <w:spacing w:before="92" w:line="188" w:lineRule="auto"/>
              <w:ind w:left="181"/>
            </w:pPr>
            <w:r>
              <w:rPr>
                <w:spacing w:val="-4"/>
              </w:rPr>
              <w:t>1024.40</w:t>
            </w:r>
          </w:p>
        </w:tc>
        <w:tc>
          <w:tcPr>
            <w:tcW w:w="1002" w:type="dxa"/>
            <w:vAlign w:val="top"/>
          </w:tcPr>
          <w:p>
            <w:pPr>
              <w:pStyle w:val="6"/>
              <w:spacing w:before="92" w:line="188" w:lineRule="auto"/>
              <w:ind w:left="217"/>
            </w:pPr>
            <w:r>
              <w:rPr>
                <w:spacing w:val="-2"/>
              </w:rPr>
              <w:t>964.22</w:t>
            </w:r>
          </w:p>
        </w:tc>
        <w:tc>
          <w:tcPr>
            <w:tcW w:w="998" w:type="dxa"/>
            <w:vAlign w:val="top"/>
          </w:tcPr>
          <w:p>
            <w:pPr>
              <w:pStyle w:val="6"/>
              <w:spacing w:before="92" w:line="188" w:lineRule="auto"/>
              <w:ind w:left="215"/>
            </w:pPr>
            <w:r>
              <w:rPr>
                <w:spacing w:val="-2"/>
              </w:rPr>
              <w:t>903.28</w:t>
            </w:r>
          </w:p>
        </w:tc>
        <w:tc>
          <w:tcPr>
            <w:tcW w:w="999" w:type="dxa"/>
            <w:vAlign w:val="top"/>
          </w:tcPr>
          <w:p>
            <w:pPr>
              <w:pStyle w:val="6"/>
              <w:spacing w:before="92" w:line="188" w:lineRule="auto"/>
              <w:ind w:left="220"/>
            </w:pPr>
            <w:r>
              <w:rPr>
                <w:spacing w:val="-3"/>
              </w:rPr>
              <w:t>878.35</w:t>
            </w:r>
          </w:p>
        </w:tc>
        <w:tc>
          <w:tcPr>
            <w:tcW w:w="1114" w:type="dxa"/>
            <w:vAlign w:val="top"/>
          </w:tcPr>
          <w:p>
            <w:pPr>
              <w:pStyle w:val="6"/>
              <w:spacing w:before="92" w:line="188" w:lineRule="auto"/>
              <w:ind w:left="278"/>
            </w:pPr>
            <w:r>
              <w:rPr>
                <w:spacing w:val="-3"/>
              </w:rPr>
              <w:t>805.91</w:t>
            </w:r>
          </w:p>
        </w:tc>
        <w:tc>
          <w:tcPr>
            <w:tcW w:w="977" w:type="dxa"/>
            <w:vAlign w:val="top"/>
          </w:tcPr>
          <w:p>
            <w:pPr>
              <w:pStyle w:val="6"/>
              <w:spacing w:before="92" w:line="188" w:lineRule="auto"/>
              <w:ind w:left="205"/>
            </w:pPr>
            <w:r>
              <w:rPr>
                <w:spacing w:val="-2"/>
              </w:rPr>
              <w:t>771.90</w:t>
            </w:r>
          </w:p>
        </w:tc>
        <w:tc>
          <w:tcPr>
            <w:tcW w:w="869" w:type="dxa"/>
            <w:tcBorders>
              <w:right w:val="nil"/>
            </w:tcBorders>
            <w:vAlign w:val="top"/>
          </w:tcPr>
          <w:p>
            <w:pPr>
              <w:pStyle w:val="6"/>
              <w:spacing w:before="92" w:line="188" w:lineRule="auto"/>
              <w:ind w:left="152"/>
            </w:pPr>
            <w:r>
              <w:rPr>
                <w:spacing w:val="-2"/>
              </w:rPr>
              <w:t>500.47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000" w:type="dxa"/>
            <w:vMerge w:val="continue"/>
            <w:tcBorders>
              <w:top w:val="nil"/>
              <w:left w:val="nil"/>
            </w:tcBorders>
            <w:vAlign w:val="top"/>
          </w:tcPr>
          <w:p>
            <w:pPr>
              <w:rPr>
                <w:rFonts w:ascii="Arial"/>
                <w:sz w:val="21"/>
              </w:rPr>
            </w:pPr>
          </w:p>
        </w:tc>
        <w:tc>
          <w:tcPr>
            <w:tcW w:w="1353" w:type="dxa"/>
            <w:vAlign w:val="top"/>
          </w:tcPr>
          <w:p>
            <w:pPr>
              <w:spacing w:before="55" w:line="219" w:lineRule="auto"/>
              <w:ind w:left="378"/>
              <w:rPr>
                <w:rFonts w:ascii="仿宋" w:hAnsi="仿宋" w:eastAsia="仿宋" w:cs="仿宋"/>
                <w:sz w:val="21"/>
                <w:szCs w:val="21"/>
              </w:rPr>
            </w:pPr>
            <w:r>
              <w:rPr>
                <w:rFonts w:ascii="仿宋" w:hAnsi="仿宋" w:eastAsia="仿宋" w:cs="仿宋"/>
                <w:spacing w:val="-5"/>
                <w:sz w:val="21"/>
                <w:szCs w:val="21"/>
              </w:rPr>
              <w:t>弃水量</w:t>
            </w:r>
          </w:p>
        </w:tc>
        <w:tc>
          <w:tcPr>
            <w:tcW w:w="894" w:type="dxa"/>
            <w:vAlign w:val="top"/>
          </w:tcPr>
          <w:p>
            <w:pPr>
              <w:pStyle w:val="6"/>
              <w:spacing w:before="92" w:line="188" w:lineRule="auto"/>
              <w:ind w:left="267"/>
            </w:pPr>
            <w:r>
              <w:rPr>
                <w:spacing w:val="-2"/>
              </w:rPr>
              <w:t>0.00</w:t>
            </w:r>
          </w:p>
        </w:tc>
        <w:tc>
          <w:tcPr>
            <w:tcW w:w="896" w:type="dxa"/>
            <w:vAlign w:val="top"/>
          </w:tcPr>
          <w:p>
            <w:pPr>
              <w:pStyle w:val="6"/>
              <w:spacing w:before="92" w:line="188" w:lineRule="auto"/>
              <w:ind w:left="268"/>
            </w:pPr>
            <w:r>
              <w:rPr>
                <w:spacing w:val="-2"/>
              </w:rPr>
              <w:t>0.00</w:t>
            </w:r>
          </w:p>
        </w:tc>
        <w:tc>
          <w:tcPr>
            <w:tcW w:w="853" w:type="dxa"/>
            <w:vAlign w:val="top"/>
          </w:tcPr>
          <w:p>
            <w:pPr>
              <w:pStyle w:val="6"/>
              <w:spacing w:before="92" w:line="188" w:lineRule="auto"/>
              <w:ind w:left="247"/>
            </w:pPr>
            <w:r>
              <w:rPr>
                <w:spacing w:val="-2"/>
              </w:rPr>
              <w:t>0.00</w:t>
            </w:r>
          </w:p>
        </w:tc>
        <w:tc>
          <w:tcPr>
            <w:tcW w:w="1000" w:type="dxa"/>
            <w:vAlign w:val="top"/>
          </w:tcPr>
          <w:p>
            <w:pPr>
              <w:pStyle w:val="6"/>
              <w:spacing w:before="92" w:line="188" w:lineRule="auto"/>
              <w:ind w:left="319"/>
            </w:pPr>
            <w:r>
              <w:rPr>
                <w:spacing w:val="-2"/>
              </w:rPr>
              <w:t>0.00</w:t>
            </w:r>
          </w:p>
        </w:tc>
        <w:tc>
          <w:tcPr>
            <w:tcW w:w="1002" w:type="dxa"/>
            <w:vAlign w:val="top"/>
          </w:tcPr>
          <w:p>
            <w:pPr>
              <w:pStyle w:val="6"/>
              <w:spacing w:before="92" w:line="188" w:lineRule="auto"/>
              <w:ind w:left="285"/>
            </w:pPr>
            <w:r>
              <w:rPr>
                <w:spacing w:val="-5"/>
              </w:rPr>
              <w:t>10.95</w:t>
            </w:r>
          </w:p>
        </w:tc>
        <w:tc>
          <w:tcPr>
            <w:tcW w:w="1002" w:type="dxa"/>
            <w:vAlign w:val="top"/>
          </w:tcPr>
          <w:p>
            <w:pPr>
              <w:pStyle w:val="6"/>
              <w:spacing w:before="92" w:line="188" w:lineRule="auto"/>
              <w:ind w:left="321"/>
            </w:pPr>
            <w:r>
              <w:rPr>
                <w:spacing w:val="-2"/>
              </w:rPr>
              <w:t>0.00</w:t>
            </w:r>
          </w:p>
        </w:tc>
        <w:tc>
          <w:tcPr>
            <w:tcW w:w="1002" w:type="dxa"/>
            <w:vAlign w:val="top"/>
          </w:tcPr>
          <w:p>
            <w:pPr>
              <w:pStyle w:val="6"/>
              <w:spacing w:before="92" w:line="188" w:lineRule="auto"/>
              <w:ind w:left="321"/>
            </w:pPr>
            <w:r>
              <w:rPr>
                <w:spacing w:val="-2"/>
              </w:rPr>
              <w:t>0.00</w:t>
            </w:r>
          </w:p>
        </w:tc>
        <w:tc>
          <w:tcPr>
            <w:tcW w:w="998" w:type="dxa"/>
            <w:vAlign w:val="top"/>
          </w:tcPr>
          <w:p>
            <w:pPr>
              <w:pStyle w:val="6"/>
              <w:spacing w:before="92" w:line="188" w:lineRule="auto"/>
              <w:ind w:left="319"/>
            </w:pPr>
            <w:r>
              <w:rPr>
                <w:spacing w:val="-2"/>
              </w:rPr>
              <w:t>0.00</w:t>
            </w:r>
          </w:p>
        </w:tc>
        <w:tc>
          <w:tcPr>
            <w:tcW w:w="999" w:type="dxa"/>
            <w:vAlign w:val="top"/>
          </w:tcPr>
          <w:p>
            <w:pPr>
              <w:pStyle w:val="6"/>
              <w:spacing w:before="92" w:line="188" w:lineRule="auto"/>
              <w:ind w:left="319"/>
            </w:pPr>
            <w:r>
              <w:rPr>
                <w:spacing w:val="-2"/>
              </w:rPr>
              <w:t>0.00</w:t>
            </w:r>
          </w:p>
        </w:tc>
        <w:tc>
          <w:tcPr>
            <w:tcW w:w="1114" w:type="dxa"/>
            <w:vAlign w:val="top"/>
          </w:tcPr>
          <w:p>
            <w:pPr>
              <w:pStyle w:val="6"/>
              <w:spacing w:before="92" w:line="188" w:lineRule="auto"/>
              <w:ind w:left="378"/>
            </w:pPr>
            <w:r>
              <w:rPr>
                <w:spacing w:val="-2"/>
              </w:rPr>
              <w:t>0.00</w:t>
            </w:r>
          </w:p>
        </w:tc>
        <w:tc>
          <w:tcPr>
            <w:tcW w:w="977" w:type="dxa"/>
            <w:vAlign w:val="top"/>
          </w:tcPr>
          <w:p>
            <w:pPr>
              <w:pStyle w:val="6"/>
              <w:spacing w:before="92" w:line="188" w:lineRule="auto"/>
              <w:ind w:left="309"/>
            </w:pPr>
            <w:r>
              <w:rPr>
                <w:spacing w:val="-2"/>
              </w:rPr>
              <w:t>0.00</w:t>
            </w:r>
          </w:p>
        </w:tc>
        <w:tc>
          <w:tcPr>
            <w:tcW w:w="869" w:type="dxa"/>
            <w:tcBorders>
              <w:right w:val="nil"/>
            </w:tcBorders>
            <w:vAlign w:val="top"/>
          </w:tcPr>
          <w:p>
            <w:pPr>
              <w:pStyle w:val="6"/>
              <w:spacing w:before="92" w:line="188" w:lineRule="auto"/>
              <w:ind w:left="255"/>
            </w:pPr>
            <w:r>
              <w:rPr>
                <w:spacing w:val="-2"/>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8" w:hRule="atLeast"/>
        </w:trPr>
        <w:tc>
          <w:tcPr>
            <w:tcW w:w="1000" w:type="dxa"/>
            <w:vMerge w:val="restart"/>
            <w:tcBorders>
              <w:left w:val="nil"/>
              <w:bottom w:val="nil"/>
            </w:tcBorders>
            <w:vAlign w:val="top"/>
          </w:tcPr>
          <w:p>
            <w:pPr>
              <w:spacing w:line="458" w:lineRule="auto"/>
              <w:rPr>
                <w:rFonts w:ascii="Arial"/>
                <w:sz w:val="21"/>
              </w:rPr>
            </w:pPr>
          </w:p>
          <w:p>
            <w:pPr>
              <w:pStyle w:val="6"/>
              <w:spacing w:before="68" w:line="260" w:lineRule="auto"/>
              <w:ind w:left="215" w:right="182" w:hanging="15"/>
              <w:rPr>
                <w:rFonts w:ascii="仿宋" w:hAnsi="仿宋" w:eastAsia="仿宋" w:cs="仿宋"/>
              </w:rPr>
            </w:pPr>
            <w:r>
              <w:rPr>
                <w:rFonts w:ascii="仿宋" w:hAnsi="仿宋" w:eastAsia="仿宋" w:cs="仿宋"/>
                <w:spacing w:val="-6"/>
              </w:rPr>
              <w:t>减水率</w:t>
            </w:r>
            <w:r>
              <w:rPr>
                <w:rFonts w:ascii="仿宋" w:hAnsi="仿宋" w:eastAsia="仿宋" w:cs="仿宋"/>
                <w:spacing w:val="1"/>
              </w:rPr>
              <w:t xml:space="preserve"> </w:t>
            </w:r>
            <w:r>
              <w:rPr>
                <w:rFonts w:ascii="仿宋" w:hAnsi="仿宋" w:eastAsia="仿宋" w:cs="仿宋"/>
                <w:spacing w:val="-5"/>
              </w:rPr>
              <w:t>（</w:t>
            </w:r>
            <w:r>
              <w:rPr>
                <w:spacing w:val="-5"/>
              </w:rPr>
              <w:t>%</w:t>
            </w:r>
            <w:r>
              <w:rPr>
                <w:rFonts w:ascii="仿宋" w:hAnsi="仿宋" w:eastAsia="仿宋" w:cs="仿宋"/>
                <w:spacing w:val="-5"/>
              </w:rPr>
              <w:t>）</w:t>
            </w:r>
          </w:p>
        </w:tc>
        <w:tc>
          <w:tcPr>
            <w:tcW w:w="1353" w:type="dxa"/>
            <w:vAlign w:val="top"/>
          </w:tcPr>
          <w:p>
            <w:pPr>
              <w:spacing w:before="54" w:line="247" w:lineRule="auto"/>
              <w:ind w:left="164" w:right="149" w:firstLine="2"/>
              <w:rPr>
                <w:rFonts w:ascii="仿宋" w:hAnsi="仿宋" w:eastAsia="仿宋" w:cs="仿宋"/>
                <w:sz w:val="21"/>
                <w:szCs w:val="21"/>
              </w:rPr>
            </w:pPr>
            <w:r>
              <w:rPr>
                <w:rFonts w:ascii="仿宋" w:hAnsi="仿宋" w:eastAsia="仿宋" w:cs="仿宋"/>
                <w:spacing w:val="-4"/>
                <w:sz w:val="21"/>
                <w:szCs w:val="21"/>
              </w:rPr>
              <w:t>坝址至罗子</w:t>
            </w:r>
            <w:r>
              <w:rPr>
                <w:rFonts w:ascii="仿宋" w:hAnsi="仿宋" w:eastAsia="仿宋" w:cs="仿宋"/>
                <w:sz w:val="21"/>
                <w:szCs w:val="21"/>
              </w:rPr>
              <w:t xml:space="preserve"> </w:t>
            </w:r>
            <w:r>
              <w:rPr>
                <w:rFonts w:ascii="仿宋" w:hAnsi="仿宋" w:eastAsia="仿宋" w:cs="仿宋"/>
                <w:spacing w:val="-4"/>
                <w:sz w:val="21"/>
                <w:szCs w:val="21"/>
              </w:rPr>
              <w:t>左河汇入口</w:t>
            </w:r>
          </w:p>
        </w:tc>
        <w:tc>
          <w:tcPr>
            <w:tcW w:w="894" w:type="dxa"/>
            <w:vAlign w:val="top"/>
          </w:tcPr>
          <w:p>
            <w:pPr>
              <w:pStyle w:val="6"/>
              <w:spacing w:before="248" w:line="188" w:lineRule="auto"/>
              <w:ind w:left="214"/>
            </w:pPr>
            <w:r>
              <w:rPr>
                <w:spacing w:val="-2"/>
              </w:rPr>
              <w:t>75.93</w:t>
            </w:r>
          </w:p>
        </w:tc>
        <w:tc>
          <w:tcPr>
            <w:tcW w:w="896" w:type="dxa"/>
            <w:vAlign w:val="top"/>
          </w:tcPr>
          <w:p>
            <w:pPr>
              <w:pStyle w:val="6"/>
              <w:spacing w:before="248" w:line="188" w:lineRule="auto"/>
              <w:ind w:left="216"/>
            </w:pPr>
            <w:r>
              <w:rPr>
                <w:spacing w:val="-2"/>
              </w:rPr>
              <w:t>91.65</w:t>
            </w:r>
          </w:p>
        </w:tc>
        <w:tc>
          <w:tcPr>
            <w:tcW w:w="853" w:type="dxa"/>
            <w:vAlign w:val="top"/>
          </w:tcPr>
          <w:p>
            <w:pPr>
              <w:pStyle w:val="6"/>
              <w:spacing w:before="248" w:line="188" w:lineRule="auto"/>
              <w:ind w:left="196"/>
            </w:pPr>
            <w:r>
              <w:rPr>
                <w:spacing w:val="-2"/>
              </w:rPr>
              <w:t>96.12</w:t>
            </w:r>
          </w:p>
        </w:tc>
        <w:tc>
          <w:tcPr>
            <w:tcW w:w="1000" w:type="dxa"/>
            <w:vAlign w:val="top"/>
          </w:tcPr>
          <w:p>
            <w:pPr>
              <w:pStyle w:val="6"/>
              <w:spacing w:before="248" w:line="188" w:lineRule="auto"/>
              <w:ind w:left="268"/>
            </w:pPr>
            <w:r>
              <w:rPr>
                <w:spacing w:val="-2"/>
              </w:rPr>
              <w:t>91.24</w:t>
            </w:r>
          </w:p>
        </w:tc>
        <w:tc>
          <w:tcPr>
            <w:tcW w:w="1002" w:type="dxa"/>
            <w:vAlign w:val="top"/>
          </w:tcPr>
          <w:p>
            <w:pPr>
              <w:pStyle w:val="6"/>
              <w:spacing w:before="248" w:line="188" w:lineRule="auto"/>
              <w:ind w:left="273"/>
            </w:pPr>
            <w:r>
              <w:rPr>
                <w:spacing w:val="-3"/>
              </w:rPr>
              <w:t>87.38</w:t>
            </w:r>
          </w:p>
        </w:tc>
        <w:tc>
          <w:tcPr>
            <w:tcW w:w="1002" w:type="dxa"/>
            <w:vAlign w:val="top"/>
          </w:tcPr>
          <w:p>
            <w:pPr>
              <w:pStyle w:val="6"/>
              <w:spacing w:before="248" w:line="188" w:lineRule="auto"/>
              <w:ind w:left="269"/>
            </w:pPr>
            <w:r>
              <w:rPr>
                <w:spacing w:val="-2"/>
              </w:rPr>
              <w:t>78.92</w:t>
            </w:r>
          </w:p>
        </w:tc>
        <w:tc>
          <w:tcPr>
            <w:tcW w:w="1002" w:type="dxa"/>
            <w:vAlign w:val="top"/>
          </w:tcPr>
          <w:p>
            <w:pPr>
              <w:pStyle w:val="6"/>
              <w:spacing w:before="248" w:line="188" w:lineRule="auto"/>
              <w:ind w:left="269"/>
            </w:pPr>
            <w:r>
              <w:rPr>
                <w:spacing w:val="-2"/>
              </w:rPr>
              <w:t>70.90</w:t>
            </w:r>
          </w:p>
        </w:tc>
        <w:tc>
          <w:tcPr>
            <w:tcW w:w="998" w:type="dxa"/>
            <w:vAlign w:val="top"/>
          </w:tcPr>
          <w:p>
            <w:pPr>
              <w:pStyle w:val="6"/>
              <w:spacing w:before="248" w:line="188" w:lineRule="auto"/>
              <w:ind w:left="268"/>
            </w:pPr>
            <w:r>
              <w:rPr>
                <w:spacing w:val="-2"/>
              </w:rPr>
              <w:t>70.55</w:t>
            </w:r>
          </w:p>
        </w:tc>
        <w:tc>
          <w:tcPr>
            <w:tcW w:w="999" w:type="dxa"/>
            <w:vAlign w:val="top"/>
          </w:tcPr>
          <w:p>
            <w:pPr>
              <w:pStyle w:val="6"/>
              <w:spacing w:before="248" w:line="188" w:lineRule="auto"/>
              <w:ind w:left="269"/>
            </w:pPr>
            <w:r>
              <w:rPr>
                <w:spacing w:val="-2"/>
              </w:rPr>
              <w:t>67.03</w:t>
            </w:r>
          </w:p>
        </w:tc>
        <w:tc>
          <w:tcPr>
            <w:tcW w:w="1114" w:type="dxa"/>
            <w:vAlign w:val="top"/>
          </w:tcPr>
          <w:p>
            <w:pPr>
              <w:pStyle w:val="6"/>
              <w:spacing w:before="248" w:line="188" w:lineRule="auto"/>
              <w:ind w:left="327"/>
            </w:pPr>
            <w:r>
              <w:rPr>
                <w:spacing w:val="-2"/>
              </w:rPr>
              <w:t>66.74</w:t>
            </w:r>
          </w:p>
        </w:tc>
        <w:tc>
          <w:tcPr>
            <w:tcW w:w="977" w:type="dxa"/>
            <w:vAlign w:val="top"/>
          </w:tcPr>
          <w:p>
            <w:pPr>
              <w:pStyle w:val="6"/>
              <w:spacing w:before="248" w:line="188" w:lineRule="auto"/>
              <w:ind w:left="259"/>
            </w:pPr>
            <w:r>
              <w:rPr>
                <w:spacing w:val="-2"/>
              </w:rPr>
              <w:t>63.74</w:t>
            </w:r>
          </w:p>
        </w:tc>
        <w:tc>
          <w:tcPr>
            <w:tcW w:w="869" w:type="dxa"/>
            <w:tcBorders>
              <w:right w:val="nil"/>
            </w:tcBorders>
            <w:vAlign w:val="top"/>
          </w:tcPr>
          <w:p>
            <w:pPr>
              <w:pStyle w:val="6"/>
              <w:spacing w:before="248" w:line="188" w:lineRule="auto"/>
              <w:ind w:left="204"/>
            </w:pPr>
            <w:r>
              <w:rPr>
                <w:spacing w:val="-2"/>
              </w:rPr>
              <w:t>65.83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46" w:hRule="atLeast"/>
        </w:trPr>
        <w:tc>
          <w:tcPr>
            <w:tcW w:w="1000" w:type="dxa"/>
            <w:vMerge w:val="continue"/>
            <w:tcBorders>
              <w:top w:val="nil"/>
              <w:left w:val="nil"/>
            </w:tcBorders>
            <w:vAlign w:val="top"/>
          </w:tcPr>
          <w:p>
            <w:pPr>
              <w:rPr>
                <w:rFonts w:ascii="Arial"/>
                <w:sz w:val="21"/>
              </w:rPr>
            </w:pPr>
          </w:p>
        </w:tc>
        <w:tc>
          <w:tcPr>
            <w:tcW w:w="1353" w:type="dxa"/>
            <w:vAlign w:val="top"/>
          </w:tcPr>
          <w:p>
            <w:pPr>
              <w:spacing w:before="57" w:line="219" w:lineRule="auto"/>
              <w:ind w:left="168"/>
              <w:rPr>
                <w:rFonts w:ascii="仿宋" w:hAnsi="仿宋" w:eastAsia="仿宋" w:cs="仿宋"/>
                <w:sz w:val="21"/>
                <w:szCs w:val="21"/>
              </w:rPr>
            </w:pPr>
            <w:r>
              <w:rPr>
                <w:rFonts w:ascii="仿宋" w:hAnsi="仿宋" w:eastAsia="仿宋" w:cs="仿宋"/>
                <w:spacing w:val="-4"/>
                <w:sz w:val="21"/>
                <w:szCs w:val="21"/>
              </w:rPr>
              <w:t>罗子左河汇</w:t>
            </w:r>
          </w:p>
          <w:p>
            <w:pPr>
              <w:spacing w:before="62" w:line="220" w:lineRule="auto"/>
              <w:ind w:left="162"/>
              <w:rPr>
                <w:rFonts w:ascii="仿宋" w:hAnsi="仿宋" w:eastAsia="仿宋" w:cs="仿宋"/>
                <w:sz w:val="21"/>
                <w:szCs w:val="21"/>
              </w:rPr>
            </w:pPr>
            <w:r>
              <w:rPr>
                <w:rFonts w:ascii="仿宋" w:hAnsi="仿宋" w:eastAsia="仿宋" w:cs="仿宋"/>
                <w:spacing w:val="-3"/>
                <w:sz w:val="21"/>
                <w:szCs w:val="21"/>
              </w:rPr>
              <w:t>入口至叭拉</w:t>
            </w:r>
          </w:p>
          <w:p>
            <w:pPr>
              <w:spacing w:before="62" w:line="219" w:lineRule="auto"/>
              <w:ind w:left="272"/>
              <w:rPr>
                <w:rFonts w:ascii="仿宋" w:hAnsi="仿宋" w:eastAsia="仿宋" w:cs="仿宋"/>
                <w:sz w:val="21"/>
                <w:szCs w:val="21"/>
              </w:rPr>
            </w:pPr>
            <w:r>
              <w:rPr>
                <w:rFonts w:ascii="仿宋" w:hAnsi="仿宋" w:eastAsia="仿宋" w:cs="仿宋"/>
                <w:spacing w:val="-4"/>
                <w:sz w:val="21"/>
                <w:szCs w:val="21"/>
              </w:rPr>
              <w:t>河汇入口</w:t>
            </w:r>
          </w:p>
        </w:tc>
        <w:tc>
          <w:tcPr>
            <w:tcW w:w="894" w:type="dxa"/>
            <w:vAlign w:val="top"/>
          </w:tcPr>
          <w:p>
            <w:pPr>
              <w:spacing w:line="343" w:lineRule="auto"/>
              <w:rPr>
                <w:rFonts w:ascii="Arial"/>
                <w:sz w:val="21"/>
              </w:rPr>
            </w:pPr>
          </w:p>
          <w:p>
            <w:pPr>
              <w:pStyle w:val="6"/>
              <w:spacing w:before="60" w:line="188" w:lineRule="auto"/>
              <w:ind w:left="215"/>
            </w:pPr>
            <w:r>
              <w:rPr>
                <w:spacing w:val="-2"/>
              </w:rPr>
              <w:t>69.94</w:t>
            </w:r>
          </w:p>
        </w:tc>
        <w:tc>
          <w:tcPr>
            <w:tcW w:w="896" w:type="dxa"/>
            <w:vAlign w:val="top"/>
          </w:tcPr>
          <w:p>
            <w:pPr>
              <w:spacing w:line="343" w:lineRule="auto"/>
              <w:rPr>
                <w:rFonts w:ascii="Arial"/>
                <w:sz w:val="21"/>
              </w:rPr>
            </w:pPr>
          </w:p>
          <w:p>
            <w:pPr>
              <w:pStyle w:val="6"/>
              <w:spacing w:before="60" w:line="188" w:lineRule="auto"/>
              <w:ind w:left="215"/>
            </w:pPr>
            <w:r>
              <w:rPr>
                <w:spacing w:val="-2"/>
              </w:rPr>
              <w:t>79.75</w:t>
            </w:r>
          </w:p>
        </w:tc>
        <w:tc>
          <w:tcPr>
            <w:tcW w:w="853" w:type="dxa"/>
            <w:vAlign w:val="top"/>
          </w:tcPr>
          <w:p>
            <w:pPr>
              <w:spacing w:line="343" w:lineRule="auto"/>
              <w:rPr>
                <w:rFonts w:ascii="Arial"/>
                <w:sz w:val="21"/>
              </w:rPr>
            </w:pPr>
          </w:p>
          <w:p>
            <w:pPr>
              <w:pStyle w:val="6"/>
              <w:spacing w:before="60" w:line="188" w:lineRule="auto"/>
              <w:ind w:left="200"/>
            </w:pPr>
            <w:r>
              <w:rPr>
                <w:spacing w:val="-3"/>
              </w:rPr>
              <w:t>82.54</w:t>
            </w:r>
          </w:p>
        </w:tc>
        <w:tc>
          <w:tcPr>
            <w:tcW w:w="1000" w:type="dxa"/>
            <w:vAlign w:val="top"/>
          </w:tcPr>
          <w:p>
            <w:pPr>
              <w:spacing w:line="343" w:lineRule="auto"/>
              <w:rPr>
                <w:rFonts w:ascii="Arial"/>
                <w:sz w:val="21"/>
              </w:rPr>
            </w:pPr>
          </w:p>
          <w:p>
            <w:pPr>
              <w:pStyle w:val="6"/>
              <w:spacing w:before="60" w:line="188" w:lineRule="auto"/>
              <w:ind w:left="268"/>
            </w:pPr>
            <w:r>
              <w:rPr>
                <w:spacing w:val="-2"/>
              </w:rPr>
              <w:t>79.50</w:t>
            </w:r>
          </w:p>
        </w:tc>
        <w:tc>
          <w:tcPr>
            <w:tcW w:w="1002" w:type="dxa"/>
            <w:vAlign w:val="top"/>
          </w:tcPr>
          <w:p>
            <w:pPr>
              <w:spacing w:line="343" w:lineRule="auto"/>
              <w:rPr>
                <w:rFonts w:ascii="Arial"/>
                <w:sz w:val="21"/>
              </w:rPr>
            </w:pPr>
          </w:p>
          <w:p>
            <w:pPr>
              <w:pStyle w:val="6"/>
              <w:spacing w:before="60" w:line="188" w:lineRule="auto"/>
              <w:ind w:left="268"/>
            </w:pPr>
            <w:r>
              <w:rPr>
                <w:spacing w:val="-2"/>
              </w:rPr>
              <w:t>77.83</w:t>
            </w:r>
          </w:p>
        </w:tc>
        <w:tc>
          <w:tcPr>
            <w:tcW w:w="1002" w:type="dxa"/>
            <w:vAlign w:val="top"/>
          </w:tcPr>
          <w:p>
            <w:pPr>
              <w:spacing w:line="343" w:lineRule="auto"/>
              <w:rPr>
                <w:rFonts w:ascii="Arial"/>
                <w:sz w:val="21"/>
              </w:rPr>
            </w:pPr>
          </w:p>
          <w:p>
            <w:pPr>
              <w:pStyle w:val="6"/>
              <w:spacing w:before="60" w:line="188" w:lineRule="auto"/>
              <w:ind w:left="264"/>
            </w:pPr>
            <w:r>
              <w:rPr>
                <w:spacing w:val="-1"/>
              </w:rPr>
              <w:t>49.25</w:t>
            </w:r>
          </w:p>
        </w:tc>
        <w:tc>
          <w:tcPr>
            <w:tcW w:w="1002" w:type="dxa"/>
            <w:vAlign w:val="top"/>
          </w:tcPr>
          <w:p>
            <w:pPr>
              <w:spacing w:line="343" w:lineRule="auto"/>
              <w:rPr>
                <w:rFonts w:ascii="Arial"/>
                <w:sz w:val="21"/>
              </w:rPr>
            </w:pPr>
          </w:p>
          <w:p>
            <w:pPr>
              <w:pStyle w:val="6"/>
              <w:spacing w:before="60" w:line="188" w:lineRule="auto"/>
              <w:ind w:left="264"/>
            </w:pPr>
            <w:r>
              <w:rPr>
                <w:spacing w:val="-1"/>
              </w:rPr>
              <w:t>44.24</w:t>
            </w:r>
          </w:p>
        </w:tc>
        <w:tc>
          <w:tcPr>
            <w:tcW w:w="998" w:type="dxa"/>
            <w:vAlign w:val="top"/>
          </w:tcPr>
          <w:p>
            <w:pPr>
              <w:spacing w:line="343" w:lineRule="auto"/>
              <w:rPr>
                <w:rFonts w:ascii="Arial"/>
                <w:sz w:val="21"/>
              </w:rPr>
            </w:pPr>
          </w:p>
          <w:p>
            <w:pPr>
              <w:pStyle w:val="6"/>
              <w:spacing w:before="60" w:line="188" w:lineRule="auto"/>
              <w:ind w:left="263"/>
            </w:pPr>
            <w:r>
              <w:rPr>
                <w:spacing w:val="-1"/>
              </w:rPr>
              <w:t>44.03</w:t>
            </w:r>
          </w:p>
        </w:tc>
        <w:tc>
          <w:tcPr>
            <w:tcW w:w="999" w:type="dxa"/>
            <w:vAlign w:val="top"/>
          </w:tcPr>
          <w:p>
            <w:pPr>
              <w:spacing w:line="343" w:lineRule="auto"/>
              <w:rPr>
                <w:rFonts w:ascii="Arial"/>
                <w:sz w:val="21"/>
              </w:rPr>
            </w:pPr>
          </w:p>
          <w:p>
            <w:pPr>
              <w:pStyle w:val="6"/>
              <w:spacing w:before="60" w:line="188" w:lineRule="auto"/>
              <w:ind w:left="264"/>
            </w:pPr>
            <w:r>
              <w:rPr>
                <w:spacing w:val="-1"/>
              </w:rPr>
              <w:t>41.81</w:t>
            </w:r>
          </w:p>
        </w:tc>
        <w:tc>
          <w:tcPr>
            <w:tcW w:w="1114" w:type="dxa"/>
            <w:vAlign w:val="top"/>
          </w:tcPr>
          <w:p>
            <w:pPr>
              <w:spacing w:line="343" w:lineRule="auto"/>
              <w:rPr>
                <w:rFonts w:ascii="Arial"/>
                <w:sz w:val="21"/>
              </w:rPr>
            </w:pPr>
          </w:p>
          <w:p>
            <w:pPr>
              <w:pStyle w:val="6"/>
              <w:spacing w:before="60" w:line="188" w:lineRule="auto"/>
              <w:ind w:left="322"/>
            </w:pPr>
            <w:r>
              <w:rPr>
                <w:spacing w:val="-1"/>
              </w:rPr>
              <w:t>41.62</w:t>
            </w:r>
          </w:p>
        </w:tc>
        <w:tc>
          <w:tcPr>
            <w:tcW w:w="977" w:type="dxa"/>
            <w:vAlign w:val="top"/>
          </w:tcPr>
          <w:p>
            <w:pPr>
              <w:spacing w:line="343" w:lineRule="auto"/>
              <w:rPr>
                <w:rFonts w:ascii="Arial"/>
                <w:sz w:val="21"/>
              </w:rPr>
            </w:pPr>
          </w:p>
          <w:p>
            <w:pPr>
              <w:pStyle w:val="6"/>
              <w:spacing w:before="60" w:line="188" w:lineRule="auto"/>
              <w:ind w:left="258"/>
            </w:pPr>
            <w:r>
              <w:rPr>
                <w:spacing w:val="-2"/>
              </w:rPr>
              <w:t>39.75</w:t>
            </w:r>
          </w:p>
        </w:tc>
        <w:tc>
          <w:tcPr>
            <w:tcW w:w="869" w:type="dxa"/>
            <w:tcBorders>
              <w:right w:val="nil"/>
            </w:tcBorders>
            <w:vAlign w:val="top"/>
          </w:tcPr>
          <w:p>
            <w:pPr>
              <w:spacing w:line="343" w:lineRule="auto"/>
              <w:rPr>
                <w:rFonts w:ascii="Arial"/>
                <w:sz w:val="21"/>
              </w:rPr>
            </w:pPr>
          </w:p>
          <w:p>
            <w:pPr>
              <w:pStyle w:val="6"/>
              <w:spacing w:before="60" w:line="188" w:lineRule="auto"/>
              <w:ind w:left="198"/>
            </w:pPr>
            <w:r>
              <w:rPr>
                <w:spacing w:val="-1"/>
              </w:rPr>
              <w:t>41.10</w:t>
            </w:r>
          </w:p>
        </w:tc>
      </w:tr>
    </w:tbl>
    <w:p>
      <w:pPr>
        <w:spacing w:before="51" w:line="231" w:lineRule="auto"/>
        <w:ind w:left="157"/>
        <w:rPr>
          <w:rFonts w:ascii="Times New Roman" w:hAnsi="Times New Roman" w:eastAsia="Times New Roman" w:cs="Times New Roman"/>
          <w:sz w:val="14"/>
          <w:szCs w:val="14"/>
        </w:rPr>
      </w:pPr>
      <w:r>
        <w:rPr>
          <w:rFonts w:ascii="仿宋" w:hAnsi="仿宋" w:eastAsia="仿宋" w:cs="仿宋"/>
          <w:spacing w:val="-4"/>
          <w:sz w:val="21"/>
          <w:szCs w:val="21"/>
        </w:rPr>
        <w:t>注：死库容为</w:t>
      </w:r>
      <w:r>
        <w:rPr>
          <w:rFonts w:ascii="仿宋" w:hAnsi="仿宋" w:eastAsia="仿宋" w:cs="仿宋"/>
          <w:spacing w:val="-28"/>
          <w:sz w:val="21"/>
          <w:szCs w:val="21"/>
        </w:rPr>
        <w:t xml:space="preserve"> </w:t>
      </w:r>
      <w:r>
        <w:rPr>
          <w:rFonts w:ascii="Times New Roman" w:hAnsi="Times New Roman" w:eastAsia="Times New Roman" w:cs="Times New Roman"/>
          <w:spacing w:val="-4"/>
          <w:sz w:val="21"/>
          <w:szCs w:val="21"/>
        </w:rPr>
        <w:t>152.7</w:t>
      </w:r>
      <w:r>
        <w:rPr>
          <w:rFonts w:ascii="Times New Roman" w:hAnsi="Times New Roman" w:eastAsia="Times New Roman" w:cs="Times New Roman"/>
          <w:spacing w:val="17"/>
          <w:sz w:val="21"/>
          <w:szCs w:val="21"/>
        </w:rPr>
        <w:t xml:space="preserve"> </w:t>
      </w:r>
      <w:r>
        <w:rPr>
          <w:rFonts w:ascii="仿宋" w:hAnsi="仿宋" w:eastAsia="仿宋" w:cs="仿宋"/>
          <w:spacing w:val="-4"/>
          <w:sz w:val="21"/>
          <w:szCs w:val="21"/>
        </w:rPr>
        <w:t>万</w:t>
      </w:r>
      <w:r>
        <w:rPr>
          <w:rFonts w:ascii="仿宋" w:hAnsi="仿宋" w:eastAsia="仿宋" w:cs="仿宋"/>
          <w:spacing w:val="-51"/>
          <w:sz w:val="21"/>
          <w:szCs w:val="21"/>
        </w:rPr>
        <w:t xml:space="preserve"> </w:t>
      </w:r>
      <w:r>
        <w:rPr>
          <w:rFonts w:ascii="Times New Roman" w:hAnsi="Times New Roman" w:eastAsia="Times New Roman" w:cs="Times New Roman"/>
          <w:spacing w:val="-4"/>
          <w:sz w:val="21"/>
          <w:szCs w:val="21"/>
        </w:rPr>
        <w:t>m</w:t>
      </w:r>
      <w:r>
        <w:rPr>
          <w:rFonts w:ascii="Times New Roman" w:hAnsi="Times New Roman" w:eastAsia="Times New Roman" w:cs="Times New Roman"/>
          <w:spacing w:val="-4"/>
          <w:position w:val="7"/>
          <w:sz w:val="14"/>
          <w:szCs w:val="14"/>
        </w:rPr>
        <w:t xml:space="preserve">3 </w:t>
      </w:r>
      <w:r>
        <w:rPr>
          <w:rFonts w:ascii="仿宋" w:hAnsi="仿宋" w:eastAsia="仿宋" w:cs="仿宋"/>
          <w:spacing w:val="-4"/>
          <w:sz w:val="21"/>
          <w:szCs w:val="21"/>
        </w:rPr>
        <w:t>，正常蓄水位库容</w:t>
      </w:r>
      <w:r>
        <w:rPr>
          <w:rFonts w:ascii="仿宋" w:hAnsi="仿宋" w:eastAsia="仿宋" w:cs="仿宋"/>
          <w:spacing w:val="-28"/>
          <w:sz w:val="21"/>
          <w:szCs w:val="21"/>
        </w:rPr>
        <w:t xml:space="preserve"> </w:t>
      </w:r>
      <w:r>
        <w:rPr>
          <w:rFonts w:ascii="Times New Roman" w:hAnsi="Times New Roman" w:eastAsia="Times New Roman" w:cs="Times New Roman"/>
          <w:spacing w:val="-5"/>
          <w:sz w:val="21"/>
          <w:szCs w:val="21"/>
        </w:rPr>
        <w:t>1067.20</w:t>
      </w:r>
      <w:r>
        <w:rPr>
          <w:rFonts w:ascii="Times New Roman" w:hAnsi="Times New Roman" w:eastAsia="Times New Roman" w:cs="Times New Roman"/>
          <w:spacing w:val="16"/>
          <w:w w:val="101"/>
          <w:sz w:val="21"/>
          <w:szCs w:val="21"/>
        </w:rPr>
        <w:t xml:space="preserve"> </w:t>
      </w:r>
      <w:r>
        <w:rPr>
          <w:rFonts w:ascii="仿宋" w:hAnsi="仿宋" w:eastAsia="仿宋" w:cs="仿宋"/>
          <w:spacing w:val="-5"/>
          <w:sz w:val="21"/>
          <w:szCs w:val="21"/>
        </w:rPr>
        <w:t>万</w:t>
      </w:r>
      <w:r>
        <w:rPr>
          <w:rFonts w:ascii="仿宋" w:hAnsi="仿宋" w:eastAsia="仿宋" w:cs="仿宋"/>
          <w:spacing w:val="-51"/>
          <w:sz w:val="21"/>
          <w:szCs w:val="21"/>
        </w:rPr>
        <w:t xml:space="preserve"> </w:t>
      </w:r>
      <w:r>
        <w:rPr>
          <w:rFonts w:ascii="Times New Roman" w:hAnsi="Times New Roman" w:eastAsia="Times New Roman" w:cs="Times New Roman"/>
          <w:spacing w:val="-5"/>
          <w:sz w:val="21"/>
          <w:szCs w:val="21"/>
        </w:rPr>
        <w:t>m</w:t>
      </w:r>
      <w:r>
        <w:rPr>
          <w:rFonts w:ascii="Times New Roman" w:hAnsi="Times New Roman" w:eastAsia="Times New Roman" w:cs="Times New Roman"/>
          <w:spacing w:val="-5"/>
          <w:position w:val="7"/>
          <w:sz w:val="14"/>
          <w:szCs w:val="14"/>
        </w:rPr>
        <w:t>3</w:t>
      </w:r>
    </w:p>
    <w:p>
      <w:pPr>
        <w:spacing w:line="231" w:lineRule="auto"/>
        <w:rPr>
          <w:rFonts w:ascii="Times New Roman" w:hAnsi="Times New Roman" w:eastAsia="Times New Roman" w:cs="Times New Roman"/>
          <w:sz w:val="14"/>
          <w:szCs w:val="14"/>
        </w:rPr>
        <w:sectPr>
          <w:headerReference r:id="rId352" w:type="default"/>
          <w:footerReference r:id="rId353" w:type="default"/>
          <w:pgSz w:w="16839" w:h="11907"/>
          <w:pgMar w:top="1156" w:right="1408" w:bottom="1374" w:left="1410" w:header="881" w:footer="1210" w:gutter="0"/>
        </w:sectPr>
      </w:pPr>
    </w:p>
    <w:p>
      <w:pPr>
        <w:rPr>
          <w:rFonts w:ascii="Arial"/>
          <w:sz w:val="21"/>
        </w:rPr>
      </w:pPr>
    </w:p>
    <w:p>
      <w:pPr>
        <w:spacing w:before="78" w:line="359" w:lineRule="auto"/>
        <w:ind w:left="38" w:right="120" w:firstLine="510"/>
        <w:rPr>
          <w:rFonts w:ascii="宋体" w:hAnsi="宋体" w:eastAsia="宋体" w:cs="宋体"/>
          <w:sz w:val="24"/>
          <w:szCs w:val="24"/>
        </w:rPr>
      </w:pPr>
      <w:r>
        <w:rPr>
          <w:rFonts w:ascii="宋体" w:hAnsi="宋体" w:eastAsia="宋体" w:cs="宋体"/>
          <w:spacing w:val="-2"/>
          <w:sz w:val="24"/>
          <w:szCs w:val="24"/>
        </w:rPr>
        <w:t>由上表可见，枯水年（</w:t>
      </w:r>
      <w:r>
        <w:rPr>
          <w:rFonts w:ascii="Times New Roman" w:hAnsi="Times New Roman" w:eastAsia="Times New Roman" w:cs="Times New Roman"/>
          <w:spacing w:val="-2"/>
          <w:sz w:val="24"/>
          <w:szCs w:val="24"/>
        </w:rPr>
        <w:t>p=75%</w:t>
      </w:r>
      <w:r>
        <w:rPr>
          <w:rFonts w:ascii="宋体" w:hAnsi="宋体" w:eastAsia="宋体" w:cs="宋体"/>
          <w:spacing w:val="-2"/>
          <w:sz w:val="24"/>
          <w:szCs w:val="24"/>
        </w:rPr>
        <w:t>）时，桂</w:t>
      </w:r>
      <w:r>
        <w:rPr>
          <w:rFonts w:ascii="宋体" w:hAnsi="宋体" w:eastAsia="宋体" w:cs="宋体"/>
          <w:spacing w:val="-3"/>
          <w:sz w:val="24"/>
          <w:szCs w:val="24"/>
        </w:rPr>
        <w:t xml:space="preserve">花水库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40"/>
          <w:sz w:val="24"/>
          <w:szCs w:val="24"/>
        </w:rPr>
        <w:t xml:space="preserve"> </w:t>
      </w:r>
      <w:r>
        <w:rPr>
          <w:rFonts w:ascii="宋体" w:hAnsi="宋体" w:eastAsia="宋体" w:cs="宋体"/>
          <w:spacing w:val="-3"/>
          <w:sz w:val="24"/>
          <w:szCs w:val="24"/>
        </w:rPr>
        <w:t>月坝下有弃水，其余月份</w:t>
      </w:r>
      <w:r>
        <w:rPr>
          <w:rFonts w:ascii="宋体" w:hAnsi="宋体" w:eastAsia="宋体" w:cs="宋体"/>
          <w:sz w:val="24"/>
          <w:szCs w:val="24"/>
        </w:rPr>
        <w:t xml:space="preserve"> </w:t>
      </w:r>
      <w:r>
        <w:rPr>
          <w:rFonts w:ascii="宋体" w:hAnsi="宋体" w:eastAsia="宋体" w:cs="宋体"/>
          <w:spacing w:val="-6"/>
          <w:sz w:val="24"/>
          <w:szCs w:val="24"/>
        </w:rPr>
        <w:t>坝下均无弃水。在确保生态流量的情况下，</w:t>
      </w:r>
      <w:r>
        <w:rPr>
          <w:rFonts w:ascii="宋体" w:hAnsi="宋体" w:eastAsia="宋体" w:cs="宋体"/>
          <w:spacing w:val="29"/>
          <w:sz w:val="24"/>
          <w:szCs w:val="24"/>
        </w:rPr>
        <w:t xml:space="preserve"> </w:t>
      </w:r>
      <w:r>
        <w:rPr>
          <w:rFonts w:ascii="Times New Roman" w:hAnsi="Times New Roman" w:eastAsia="Times New Roman" w:cs="Times New Roman"/>
          <w:spacing w:val="-7"/>
          <w:sz w:val="24"/>
          <w:szCs w:val="24"/>
        </w:rPr>
        <w:t>P=75%</w:t>
      </w:r>
      <w:r>
        <w:rPr>
          <w:rFonts w:ascii="宋体" w:hAnsi="宋体" w:eastAsia="宋体" w:cs="宋体"/>
          <w:spacing w:val="-7"/>
          <w:sz w:val="24"/>
          <w:szCs w:val="24"/>
        </w:rPr>
        <w:t>时桂花河下游河段（至罗子左</w:t>
      </w:r>
      <w:r>
        <w:rPr>
          <w:rFonts w:ascii="宋体" w:hAnsi="宋体" w:eastAsia="宋体" w:cs="宋体"/>
          <w:sz w:val="24"/>
          <w:szCs w:val="24"/>
        </w:rPr>
        <w:t xml:space="preserve"> </w:t>
      </w:r>
      <w:r>
        <w:rPr>
          <w:rFonts w:ascii="宋体" w:hAnsi="宋体" w:eastAsia="宋体" w:cs="宋体"/>
          <w:spacing w:val="-2"/>
          <w:sz w:val="24"/>
          <w:szCs w:val="24"/>
        </w:rPr>
        <w:t>河汇入口）减水率为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63.74%~96.12%</w:t>
      </w:r>
      <w:r>
        <w:rPr>
          <w:rFonts w:ascii="宋体" w:hAnsi="宋体" w:eastAsia="宋体" w:cs="宋体"/>
          <w:spacing w:val="-2"/>
          <w:sz w:val="24"/>
          <w:szCs w:val="24"/>
        </w:rPr>
        <w:t>；</w:t>
      </w:r>
      <w:r>
        <w:rPr>
          <w:rFonts w:ascii="Times New Roman" w:hAnsi="Times New Roman" w:eastAsia="Times New Roman" w:cs="Times New Roman"/>
          <w:spacing w:val="-2"/>
          <w:sz w:val="24"/>
          <w:szCs w:val="24"/>
        </w:rPr>
        <w:t>P=75%</w:t>
      </w:r>
      <w:r>
        <w:rPr>
          <w:rFonts w:ascii="宋体" w:hAnsi="宋体" w:eastAsia="宋体" w:cs="宋体"/>
          <w:spacing w:val="-2"/>
          <w:sz w:val="24"/>
          <w:szCs w:val="24"/>
        </w:rPr>
        <w:t>时桂花河下游河段（罗</w:t>
      </w:r>
      <w:r>
        <w:rPr>
          <w:rFonts w:ascii="宋体" w:hAnsi="宋体" w:eastAsia="宋体" w:cs="宋体"/>
          <w:spacing w:val="-3"/>
          <w:sz w:val="24"/>
          <w:szCs w:val="24"/>
        </w:rPr>
        <w:t>子左河汇入</w:t>
      </w:r>
      <w:r>
        <w:rPr>
          <w:rFonts w:ascii="宋体" w:hAnsi="宋体" w:eastAsia="宋体" w:cs="宋体"/>
          <w:sz w:val="24"/>
          <w:szCs w:val="24"/>
        </w:rPr>
        <w:t xml:space="preserve"> </w:t>
      </w:r>
      <w:r>
        <w:rPr>
          <w:rFonts w:ascii="宋体" w:hAnsi="宋体" w:eastAsia="宋体" w:cs="宋体"/>
          <w:spacing w:val="-2"/>
          <w:sz w:val="24"/>
          <w:szCs w:val="24"/>
        </w:rPr>
        <w:t>口至叭拉河汇入口，途中有马茨河汇入）减水率</w:t>
      </w:r>
      <w:r>
        <w:rPr>
          <w:rFonts w:ascii="宋体" w:hAnsi="宋体" w:eastAsia="宋体" w:cs="宋体"/>
          <w:spacing w:val="-3"/>
          <w:sz w:val="24"/>
          <w:szCs w:val="24"/>
        </w:rPr>
        <w:t>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39.75%~82.54%</w:t>
      </w:r>
      <w:r>
        <w:rPr>
          <w:rFonts w:ascii="宋体" w:hAnsi="宋体" w:eastAsia="宋体" w:cs="宋体"/>
          <w:spacing w:val="-3"/>
          <w:sz w:val="24"/>
          <w:szCs w:val="24"/>
        </w:rPr>
        <w:t>。项目生态流</w:t>
      </w:r>
      <w:r>
        <w:rPr>
          <w:rFonts w:ascii="宋体" w:hAnsi="宋体" w:eastAsia="宋体" w:cs="宋体"/>
          <w:sz w:val="24"/>
          <w:szCs w:val="24"/>
        </w:rPr>
        <w:t xml:space="preserve"> </w:t>
      </w:r>
      <w:r>
        <w:rPr>
          <w:rFonts w:ascii="宋体" w:hAnsi="宋体" w:eastAsia="宋体" w:cs="宋体"/>
          <w:spacing w:val="-3"/>
          <w:sz w:val="24"/>
          <w:szCs w:val="24"/>
        </w:rPr>
        <w:t>量下泄口至汇入万马河之间还有叭拉河、小河、芭蕉箐河等几条较大支流汇入以</w:t>
      </w:r>
    </w:p>
    <w:p>
      <w:pPr>
        <w:spacing w:line="219" w:lineRule="auto"/>
        <w:ind w:left="38"/>
        <w:rPr>
          <w:rFonts w:ascii="宋体" w:hAnsi="宋体" w:eastAsia="宋体" w:cs="宋体"/>
          <w:sz w:val="24"/>
          <w:szCs w:val="24"/>
        </w:rPr>
      </w:pPr>
      <w:r>
        <w:rPr>
          <w:rFonts w:ascii="宋体" w:hAnsi="宋体" w:eastAsia="宋体" w:cs="宋体"/>
          <w:spacing w:val="-3"/>
          <w:sz w:val="24"/>
          <w:szCs w:val="24"/>
        </w:rPr>
        <w:t>及其他小型支流汇入，河道减水率逐渐降低。</w:t>
      </w:r>
    </w:p>
    <w:p>
      <w:pPr>
        <w:spacing w:before="181" w:line="223"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6</w:t>
      </w:r>
      <w:r>
        <w:rPr>
          <w:rFonts w:ascii="宋体" w:hAnsi="宋体" w:eastAsia="宋体" w:cs="宋体"/>
          <w:spacing w:val="-4"/>
          <w:sz w:val="24"/>
          <w:szCs w:val="24"/>
        </w:rPr>
        <w:t>）生态流量</w:t>
      </w:r>
    </w:p>
    <w:p>
      <w:pPr>
        <w:spacing w:before="177" w:line="217" w:lineRule="auto"/>
        <w:ind w:left="518"/>
        <w:rPr>
          <w:rFonts w:ascii="宋体" w:hAnsi="宋体" w:eastAsia="宋体" w:cs="宋体"/>
          <w:sz w:val="24"/>
          <w:szCs w:val="24"/>
        </w:rPr>
      </w:pPr>
      <w:r>
        <w:rPr>
          <w:rFonts w:ascii="宋体" w:hAnsi="宋体" w:eastAsia="宋体" w:cs="宋体"/>
          <w:spacing w:val="-1"/>
          <w:sz w:val="24"/>
          <w:szCs w:val="24"/>
        </w:rPr>
        <w:t>①生态用水需求分析</w:t>
      </w:r>
    </w:p>
    <w:p>
      <w:pPr>
        <w:spacing w:before="186" w:line="359" w:lineRule="auto"/>
        <w:ind w:left="40" w:right="120" w:firstLine="481"/>
        <w:rPr>
          <w:rFonts w:ascii="宋体" w:hAnsi="宋体" w:eastAsia="宋体" w:cs="宋体"/>
          <w:sz w:val="24"/>
          <w:szCs w:val="24"/>
        </w:rPr>
      </w:pPr>
      <w:r>
        <w:rPr>
          <w:rFonts w:ascii="宋体" w:hAnsi="宋体" w:eastAsia="宋体" w:cs="宋体"/>
          <w:spacing w:val="-10"/>
          <w:sz w:val="24"/>
          <w:szCs w:val="24"/>
        </w:rPr>
        <w:t>水库的蓄水运行， 将在一定程度上改变坝下河段的水文情势， 为维护下游河</w:t>
      </w:r>
      <w:r>
        <w:rPr>
          <w:rFonts w:ascii="宋体" w:hAnsi="宋体" w:eastAsia="宋体" w:cs="宋体"/>
          <w:spacing w:val="3"/>
          <w:sz w:val="24"/>
          <w:szCs w:val="24"/>
        </w:rPr>
        <w:t xml:space="preserve"> </w:t>
      </w:r>
      <w:r>
        <w:rPr>
          <w:rFonts w:ascii="宋体" w:hAnsi="宋体" w:eastAsia="宋体" w:cs="宋体"/>
          <w:spacing w:val="-9"/>
          <w:sz w:val="24"/>
          <w:szCs w:val="24"/>
        </w:rPr>
        <w:t>段水生生态系统稳定， 应下泄一定的生态流量， 将其</w:t>
      </w:r>
      <w:r>
        <w:rPr>
          <w:rFonts w:ascii="宋体" w:hAnsi="宋体" w:eastAsia="宋体" w:cs="宋体"/>
          <w:spacing w:val="-10"/>
          <w:sz w:val="24"/>
          <w:szCs w:val="24"/>
        </w:rPr>
        <w:t>纳入工程水资源综合配置中</w:t>
      </w:r>
      <w:r>
        <w:rPr>
          <w:rFonts w:ascii="宋体" w:hAnsi="宋体" w:eastAsia="宋体" w:cs="宋体"/>
          <w:sz w:val="24"/>
          <w:szCs w:val="24"/>
        </w:rPr>
        <w:t xml:space="preserve"> </w:t>
      </w:r>
      <w:r>
        <w:rPr>
          <w:rFonts w:ascii="宋体" w:hAnsi="宋体" w:eastAsia="宋体" w:cs="宋体"/>
          <w:spacing w:val="-3"/>
          <w:sz w:val="24"/>
          <w:szCs w:val="24"/>
        </w:rPr>
        <w:t>统筹考虑。根据原环境保护部发布的《水电水利建设项目生态用水、低温水和过</w:t>
      </w:r>
      <w:r>
        <w:rPr>
          <w:rFonts w:ascii="宋体" w:hAnsi="宋体" w:eastAsia="宋体" w:cs="宋体"/>
          <w:sz w:val="24"/>
          <w:szCs w:val="24"/>
        </w:rPr>
        <w:t xml:space="preserve"> </w:t>
      </w:r>
      <w:r>
        <w:rPr>
          <w:rFonts w:ascii="宋体" w:hAnsi="宋体" w:eastAsia="宋体" w:cs="宋体"/>
          <w:spacing w:val="-6"/>
          <w:sz w:val="24"/>
          <w:szCs w:val="24"/>
        </w:rPr>
        <w:t>鱼设施环境影响评价技术指南</w:t>
      </w:r>
      <w:r>
        <w:rPr>
          <w:rFonts w:ascii="Times New Roman" w:hAnsi="Times New Roman" w:eastAsia="Times New Roman" w:cs="Times New Roman"/>
          <w:spacing w:val="-6"/>
          <w:sz w:val="24"/>
          <w:szCs w:val="24"/>
        </w:rPr>
        <w:t>(</w:t>
      </w:r>
      <w:r>
        <w:rPr>
          <w:rFonts w:ascii="宋体" w:hAnsi="宋体" w:eastAsia="宋体" w:cs="宋体"/>
          <w:spacing w:val="-6"/>
          <w:sz w:val="24"/>
          <w:szCs w:val="24"/>
        </w:rPr>
        <w:t>试行</w:t>
      </w:r>
      <w:r>
        <w:rPr>
          <w:rFonts w:ascii="Times New Roman" w:hAnsi="Times New Roman" w:eastAsia="Times New Roman" w:cs="Times New Roman"/>
          <w:spacing w:val="-6"/>
          <w:sz w:val="24"/>
          <w:szCs w:val="24"/>
        </w:rPr>
        <w:t>)</w:t>
      </w:r>
      <w:r>
        <w:rPr>
          <w:rFonts w:ascii="宋体" w:hAnsi="宋体" w:eastAsia="宋体" w:cs="宋体"/>
          <w:spacing w:val="-6"/>
          <w:sz w:val="24"/>
          <w:szCs w:val="24"/>
        </w:rPr>
        <w:t>》（环评函</w:t>
      </w:r>
      <w:r>
        <w:rPr>
          <w:rFonts w:ascii="Times New Roman" w:hAnsi="Times New Roman" w:eastAsia="Times New Roman" w:cs="Times New Roman"/>
          <w:spacing w:val="-6"/>
          <w:sz w:val="24"/>
          <w:szCs w:val="24"/>
        </w:rPr>
        <w:t>[2006]4</w:t>
      </w:r>
      <w:r>
        <w:rPr>
          <w:rFonts w:ascii="Times New Roman" w:hAnsi="Times New Roman" w:eastAsia="Times New Roman" w:cs="Times New Roman"/>
          <w:spacing w:val="23"/>
          <w:sz w:val="24"/>
          <w:szCs w:val="24"/>
        </w:rPr>
        <w:t xml:space="preserve"> </w:t>
      </w:r>
      <w:r>
        <w:rPr>
          <w:rFonts w:ascii="宋体" w:hAnsi="宋体" w:eastAsia="宋体" w:cs="宋体"/>
          <w:spacing w:val="-6"/>
          <w:sz w:val="24"/>
          <w:szCs w:val="24"/>
        </w:rPr>
        <w:t>号</w:t>
      </w:r>
      <w:r>
        <w:rPr>
          <w:rFonts w:ascii="Times New Roman" w:hAnsi="Times New Roman" w:eastAsia="Times New Roman" w:cs="Times New Roman"/>
          <w:spacing w:val="-6"/>
          <w:sz w:val="24"/>
          <w:szCs w:val="24"/>
        </w:rPr>
        <w:t>)</w:t>
      </w:r>
      <w:r>
        <w:rPr>
          <w:rFonts w:ascii="宋体" w:hAnsi="宋体" w:eastAsia="宋体" w:cs="宋体"/>
          <w:spacing w:val="-6"/>
          <w:sz w:val="24"/>
          <w:szCs w:val="24"/>
        </w:rPr>
        <w:t>和水利部发布的《河湖</w:t>
      </w:r>
      <w:r>
        <w:rPr>
          <w:rFonts w:ascii="宋体" w:hAnsi="宋体" w:eastAsia="宋体" w:cs="宋体"/>
          <w:sz w:val="24"/>
          <w:szCs w:val="24"/>
        </w:rPr>
        <w:t xml:space="preserve"> </w:t>
      </w:r>
      <w:r>
        <w:rPr>
          <w:rFonts w:ascii="宋体" w:hAnsi="宋体" w:eastAsia="宋体" w:cs="宋体"/>
          <w:spacing w:val="-4"/>
          <w:sz w:val="24"/>
          <w:szCs w:val="24"/>
        </w:rPr>
        <w:t>生态环境需水计算规范》（</w:t>
      </w:r>
      <w:r>
        <w:rPr>
          <w:rFonts w:ascii="Times New Roman" w:hAnsi="Times New Roman" w:eastAsia="Times New Roman" w:cs="Times New Roman"/>
          <w:spacing w:val="-4"/>
          <w:sz w:val="24"/>
          <w:szCs w:val="24"/>
        </w:rPr>
        <w:t>SL/Z712-2014</w:t>
      </w:r>
      <w:r>
        <w:rPr>
          <w:rFonts w:ascii="宋体" w:hAnsi="宋体" w:eastAsia="宋体" w:cs="宋体"/>
          <w:spacing w:val="-59"/>
          <w:w w:val="94"/>
          <w:sz w:val="24"/>
          <w:szCs w:val="24"/>
        </w:rPr>
        <w:t>），</w:t>
      </w:r>
      <w:r>
        <w:rPr>
          <w:rFonts w:ascii="宋体" w:hAnsi="宋体" w:eastAsia="宋体" w:cs="宋体"/>
          <w:spacing w:val="-4"/>
          <w:sz w:val="24"/>
          <w:szCs w:val="24"/>
        </w:rPr>
        <w:t>河流生</w:t>
      </w:r>
      <w:r>
        <w:rPr>
          <w:rFonts w:ascii="宋体" w:hAnsi="宋体" w:eastAsia="宋体" w:cs="宋体"/>
          <w:spacing w:val="-5"/>
          <w:sz w:val="24"/>
          <w:szCs w:val="24"/>
        </w:rPr>
        <w:t>态需水一般包括河道内生态需</w:t>
      </w:r>
      <w:r>
        <w:rPr>
          <w:rFonts w:ascii="宋体" w:hAnsi="宋体" w:eastAsia="宋体" w:cs="宋体"/>
          <w:spacing w:val="1"/>
          <w:sz w:val="24"/>
          <w:szCs w:val="24"/>
        </w:rPr>
        <w:t xml:space="preserve"> </w:t>
      </w:r>
      <w:r>
        <w:rPr>
          <w:rFonts w:ascii="宋体" w:hAnsi="宋体" w:eastAsia="宋体" w:cs="宋体"/>
          <w:spacing w:val="-8"/>
          <w:sz w:val="24"/>
          <w:szCs w:val="24"/>
        </w:rPr>
        <w:t>水和河道外生态需水，</w:t>
      </w:r>
      <w:r>
        <w:rPr>
          <w:rFonts w:ascii="宋体" w:hAnsi="宋体" w:eastAsia="宋体" w:cs="宋体"/>
          <w:spacing w:val="-44"/>
          <w:sz w:val="24"/>
          <w:szCs w:val="24"/>
        </w:rPr>
        <w:t xml:space="preserve"> </w:t>
      </w:r>
      <w:r>
        <w:rPr>
          <w:rFonts w:ascii="宋体" w:hAnsi="宋体" w:eastAsia="宋体" w:cs="宋体"/>
          <w:spacing w:val="-8"/>
          <w:sz w:val="24"/>
          <w:szCs w:val="24"/>
        </w:rPr>
        <w:t xml:space="preserve">河道内生态需水一般包括： </w:t>
      </w:r>
      <w:r>
        <w:rPr>
          <w:rFonts w:ascii="宋体" w:hAnsi="宋体" w:eastAsia="宋体" w:cs="宋体"/>
          <w:spacing w:val="-9"/>
          <w:sz w:val="24"/>
          <w:szCs w:val="24"/>
        </w:rPr>
        <w:t>维持水生生态系统稳定所需要</w:t>
      </w:r>
      <w:r>
        <w:rPr>
          <w:rFonts w:ascii="宋体" w:hAnsi="宋体" w:eastAsia="宋体" w:cs="宋体"/>
          <w:sz w:val="24"/>
          <w:szCs w:val="24"/>
        </w:rPr>
        <w:t xml:space="preserve"> </w:t>
      </w:r>
      <w:r>
        <w:rPr>
          <w:rFonts w:ascii="宋体" w:hAnsi="宋体" w:eastAsia="宋体" w:cs="宋体"/>
          <w:spacing w:val="-13"/>
          <w:sz w:val="24"/>
          <w:szCs w:val="24"/>
        </w:rPr>
        <w:t>的水量； 维持河流水环境质量的最小稀释净化</w:t>
      </w:r>
      <w:r>
        <w:rPr>
          <w:rFonts w:ascii="宋体" w:hAnsi="宋体" w:eastAsia="宋体" w:cs="宋体"/>
          <w:spacing w:val="-14"/>
          <w:sz w:val="24"/>
          <w:szCs w:val="24"/>
        </w:rPr>
        <w:t>水量；</w:t>
      </w:r>
      <w:r>
        <w:rPr>
          <w:rFonts w:ascii="宋体" w:hAnsi="宋体" w:eastAsia="宋体" w:cs="宋体"/>
          <w:spacing w:val="32"/>
          <w:sz w:val="24"/>
          <w:szCs w:val="24"/>
        </w:rPr>
        <w:t xml:space="preserve"> </w:t>
      </w:r>
      <w:r>
        <w:rPr>
          <w:rFonts w:ascii="宋体" w:hAnsi="宋体" w:eastAsia="宋体" w:cs="宋体"/>
          <w:spacing w:val="-14"/>
          <w:sz w:val="24"/>
          <w:szCs w:val="24"/>
        </w:rPr>
        <w:t>河道蒸发需水量； 维持地下</w:t>
      </w:r>
      <w:r>
        <w:rPr>
          <w:rFonts w:ascii="宋体" w:hAnsi="宋体" w:eastAsia="宋体" w:cs="宋体"/>
          <w:sz w:val="24"/>
          <w:szCs w:val="24"/>
        </w:rPr>
        <w:t xml:space="preserve"> </w:t>
      </w:r>
      <w:r>
        <w:rPr>
          <w:rFonts w:ascii="宋体" w:hAnsi="宋体" w:eastAsia="宋体" w:cs="宋体"/>
          <w:spacing w:val="-8"/>
          <w:sz w:val="24"/>
          <w:szCs w:val="24"/>
        </w:rPr>
        <w:t>水位动态平衡所需要的补给水量；</w:t>
      </w:r>
      <w:r>
        <w:rPr>
          <w:rFonts w:ascii="宋体" w:hAnsi="宋体" w:eastAsia="宋体" w:cs="宋体"/>
          <w:spacing w:val="-57"/>
          <w:sz w:val="24"/>
          <w:szCs w:val="24"/>
        </w:rPr>
        <w:t xml:space="preserve"> </w:t>
      </w:r>
      <w:r>
        <w:rPr>
          <w:rFonts w:ascii="宋体" w:hAnsi="宋体" w:eastAsia="宋体" w:cs="宋体"/>
          <w:spacing w:val="-8"/>
          <w:sz w:val="24"/>
          <w:szCs w:val="24"/>
        </w:rPr>
        <w:t>河道内输沙需水量； 河道外需水一般指河道外</w:t>
      </w:r>
    </w:p>
    <w:p>
      <w:pPr>
        <w:spacing w:before="1" w:line="219" w:lineRule="auto"/>
        <w:ind w:left="40"/>
        <w:rPr>
          <w:rFonts w:ascii="宋体" w:hAnsi="宋体" w:eastAsia="宋体" w:cs="宋体"/>
          <w:sz w:val="24"/>
          <w:szCs w:val="24"/>
        </w:rPr>
      </w:pPr>
      <w:r>
        <w:rPr>
          <w:rFonts w:ascii="宋体" w:hAnsi="宋体" w:eastAsia="宋体" w:cs="宋体"/>
          <w:spacing w:val="-5"/>
          <w:sz w:val="24"/>
          <w:szCs w:val="24"/>
        </w:rPr>
        <w:t>植被需水等水量。</w:t>
      </w:r>
    </w:p>
    <w:p>
      <w:pPr>
        <w:spacing w:before="182"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维持水生生态系统稳定所需水量</w:t>
      </w:r>
    </w:p>
    <w:p>
      <w:pPr>
        <w:spacing w:before="164" w:line="359" w:lineRule="auto"/>
        <w:ind w:left="41" w:firstLine="477"/>
        <w:rPr>
          <w:rFonts w:ascii="宋体" w:hAnsi="宋体" w:eastAsia="宋体" w:cs="宋体"/>
          <w:sz w:val="24"/>
          <w:szCs w:val="24"/>
        </w:rPr>
      </w:pPr>
      <w:r>
        <w:rPr>
          <w:rFonts w:ascii="宋体" w:hAnsi="宋体" w:eastAsia="宋体" w:cs="宋体"/>
          <w:spacing w:val="-4"/>
          <w:sz w:val="24"/>
          <w:szCs w:val="24"/>
        </w:rPr>
        <w:t>评价区分布的鱼类</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 xml:space="preserve">19 </w:t>
      </w:r>
      <w:r>
        <w:rPr>
          <w:rFonts w:ascii="宋体" w:hAnsi="宋体" w:eastAsia="宋体" w:cs="宋体"/>
          <w:spacing w:val="-4"/>
          <w:sz w:val="24"/>
          <w:szCs w:val="24"/>
        </w:rPr>
        <w:t>种。评价区水域未发现明显的、集中式的鱼类“三场”</w:t>
      </w:r>
      <w:r>
        <w:rPr>
          <w:rFonts w:ascii="宋体" w:hAnsi="宋体" w:eastAsia="宋体" w:cs="宋体"/>
          <w:sz w:val="24"/>
          <w:szCs w:val="24"/>
        </w:rPr>
        <w:t xml:space="preserve"> </w:t>
      </w:r>
      <w:r>
        <w:rPr>
          <w:rFonts w:ascii="宋体" w:hAnsi="宋体" w:eastAsia="宋体" w:cs="宋体"/>
          <w:spacing w:val="-11"/>
          <w:sz w:val="24"/>
          <w:szCs w:val="24"/>
        </w:rPr>
        <w:t>等重要的鱼类生境分布。为确保河道内的鱼类生存，</w:t>
      </w:r>
      <w:r>
        <w:rPr>
          <w:rFonts w:ascii="宋体" w:hAnsi="宋体" w:eastAsia="宋体" w:cs="宋体"/>
          <w:spacing w:val="31"/>
          <w:sz w:val="24"/>
          <w:szCs w:val="24"/>
        </w:rPr>
        <w:t xml:space="preserve"> </w:t>
      </w:r>
      <w:r>
        <w:rPr>
          <w:rFonts w:ascii="宋体" w:hAnsi="宋体" w:eastAsia="宋体" w:cs="宋体"/>
          <w:spacing w:val="-12"/>
          <w:sz w:val="24"/>
          <w:szCs w:val="24"/>
        </w:rPr>
        <w:t>保持水生生态系统稳定，</w:t>
      </w:r>
      <w:r>
        <w:rPr>
          <w:rFonts w:ascii="宋体" w:hAnsi="宋体" w:eastAsia="宋体" w:cs="宋体"/>
          <w:spacing w:val="41"/>
          <w:sz w:val="24"/>
          <w:szCs w:val="24"/>
        </w:rPr>
        <w:t xml:space="preserve"> </w:t>
      </w:r>
      <w:r>
        <w:rPr>
          <w:rFonts w:ascii="宋体" w:hAnsi="宋体" w:eastAsia="宋体" w:cs="宋体"/>
          <w:spacing w:val="-12"/>
          <w:sz w:val="24"/>
          <w:szCs w:val="24"/>
        </w:rPr>
        <w:t>需</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要考虑提供一定的水量。</w:t>
      </w:r>
    </w:p>
    <w:p>
      <w:pPr>
        <w:spacing w:before="183"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维持河道水质的最小稀释净化水量</w:t>
      </w:r>
    </w:p>
    <w:p>
      <w:pPr>
        <w:spacing w:before="163" w:line="467" w:lineRule="exact"/>
        <w:ind w:left="522"/>
        <w:rPr>
          <w:rFonts w:ascii="宋体" w:hAnsi="宋体" w:eastAsia="宋体" w:cs="宋体"/>
          <w:sz w:val="24"/>
          <w:szCs w:val="24"/>
        </w:rPr>
      </w:pPr>
      <w:r>
        <w:rPr>
          <w:rFonts w:ascii="宋体" w:hAnsi="宋体" w:eastAsia="宋体" w:cs="宋体"/>
          <w:spacing w:val="-8"/>
          <w:position w:val="17"/>
          <w:sz w:val="24"/>
          <w:szCs w:val="24"/>
        </w:rPr>
        <w:t>工程所在区域桂花河水环境功能为</w:t>
      </w:r>
      <w:r>
        <w:rPr>
          <w:rFonts w:ascii="宋体" w:hAnsi="宋体" w:eastAsia="宋体" w:cs="宋体"/>
          <w:spacing w:val="-48"/>
          <w:position w:val="17"/>
          <w:sz w:val="24"/>
          <w:szCs w:val="24"/>
        </w:rPr>
        <w:t xml:space="preserve"> </w:t>
      </w:r>
      <w:r>
        <w:rPr>
          <w:rFonts w:ascii="Times New Roman" w:hAnsi="Times New Roman" w:eastAsia="Times New Roman" w:cs="Times New Roman"/>
          <w:spacing w:val="-8"/>
          <w:position w:val="17"/>
          <w:sz w:val="24"/>
          <w:szCs w:val="24"/>
        </w:rPr>
        <w:t xml:space="preserve">III </w:t>
      </w:r>
      <w:r>
        <w:rPr>
          <w:rFonts w:ascii="宋体" w:hAnsi="宋体" w:eastAsia="宋体" w:cs="宋体"/>
          <w:spacing w:val="-8"/>
          <w:position w:val="17"/>
          <w:sz w:val="24"/>
          <w:szCs w:val="24"/>
        </w:rPr>
        <w:t>类，河道现状的水质总体良好。因此，</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基本不需要考虑下游的水环境容量和维持下游河段水环境功能要求。</w:t>
      </w:r>
    </w:p>
    <w:p>
      <w:pPr>
        <w:spacing w:before="184"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河道蒸发需水量</w:t>
      </w:r>
    </w:p>
    <w:p>
      <w:pPr>
        <w:spacing w:before="163" w:line="467" w:lineRule="exact"/>
        <w:ind w:left="521"/>
        <w:rPr>
          <w:rFonts w:ascii="宋体" w:hAnsi="宋体" w:eastAsia="宋体" w:cs="宋体"/>
          <w:sz w:val="24"/>
          <w:szCs w:val="24"/>
        </w:rPr>
      </w:pPr>
      <w:r>
        <w:rPr>
          <w:rFonts w:ascii="宋体" w:hAnsi="宋体" w:eastAsia="宋体" w:cs="宋体"/>
          <w:spacing w:val="-15"/>
          <w:position w:val="17"/>
          <w:sz w:val="24"/>
          <w:szCs w:val="24"/>
        </w:rPr>
        <w:t>桂花河河道较窄，</w:t>
      </w:r>
      <w:r>
        <w:rPr>
          <w:rFonts w:ascii="宋体" w:hAnsi="宋体" w:eastAsia="宋体" w:cs="宋体"/>
          <w:spacing w:val="34"/>
          <w:position w:val="17"/>
          <w:sz w:val="24"/>
          <w:szCs w:val="24"/>
        </w:rPr>
        <w:t xml:space="preserve"> </w:t>
      </w:r>
      <w:r>
        <w:rPr>
          <w:rFonts w:ascii="宋体" w:hAnsi="宋体" w:eastAsia="宋体" w:cs="宋体"/>
          <w:spacing w:val="-15"/>
          <w:position w:val="17"/>
          <w:sz w:val="24"/>
          <w:szCs w:val="24"/>
        </w:rPr>
        <w:t>水面蒸发消耗的水量对于河道内流量来说很小，</w:t>
      </w:r>
      <w:r>
        <w:rPr>
          <w:rFonts w:ascii="宋体" w:hAnsi="宋体" w:eastAsia="宋体" w:cs="宋体"/>
          <w:spacing w:val="48"/>
          <w:position w:val="17"/>
          <w:sz w:val="24"/>
          <w:szCs w:val="24"/>
        </w:rPr>
        <w:t xml:space="preserve"> </w:t>
      </w:r>
      <w:r>
        <w:rPr>
          <w:rFonts w:ascii="宋体" w:hAnsi="宋体" w:eastAsia="宋体" w:cs="宋体"/>
          <w:spacing w:val="-15"/>
          <w:position w:val="17"/>
          <w:sz w:val="24"/>
          <w:szCs w:val="24"/>
        </w:rPr>
        <w:t>因此， 由</w:t>
      </w:r>
    </w:p>
    <w:p>
      <w:pPr>
        <w:spacing w:before="1" w:line="218" w:lineRule="auto"/>
        <w:ind w:left="42"/>
        <w:rPr>
          <w:rFonts w:ascii="宋体" w:hAnsi="宋体" w:eastAsia="宋体" w:cs="宋体"/>
          <w:sz w:val="24"/>
          <w:szCs w:val="24"/>
        </w:rPr>
      </w:pPr>
      <w:r>
        <w:rPr>
          <w:rFonts w:ascii="宋体" w:hAnsi="宋体" w:eastAsia="宋体" w:cs="宋体"/>
          <w:spacing w:val="-3"/>
          <w:sz w:val="24"/>
          <w:szCs w:val="24"/>
        </w:rPr>
        <w:t>水面蒸发引起的水量消耗本次不考虑。</w:t>
      </w:r>
    </w:p>
    <w:p>
      <w:pPr>
        <w:spacing w:before="183" w:line="233" w:lineRule="auto"/>
        <w:ind w:left="517"/>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维持地下水位动态平衡所需要的补给水量</w:t>
      </w:r>
    </w:p>
    <w:p>
      <w:pPr>
        <w:spacing w:before="164" w:line="467" w:lineRule="exact"/>
        <w:ind w:left="534"/>
        <w:rPr>
          <w:rFonts w:ascii="宋体" w:hAnsi="宋体" w:eastAsia="宋体" w:cs="宋体"/>
          <w:sz w:val="24"/>
          <w:szCs w:val="24"/>
        </w:rPr>
      </w:pPr>
      <w:r>
        <w:rPr>
          <w:rFonts w:ascii="宋体" w:hAnsi="宋体" w:eastAsia="宋体" w:cs="宋体"/>
          <w:spacing w:val="-10"/>
          <w:position w:val="17"/>
          <w:sz w:val="24"/>
          <w:szCs w:val="24"/>
        </w:rPr>
        <w:t>当河道水位高于两岸地下水位时， 河水将通过渗漏补给地</w:t>
      </w:r>
      <w:r>
        <w:rPr>
          <w:rFonts w:ascii="宋体" w:hAnsi="宋体" w:eastAsia="宋体" w:cs="宋体"/>
          <w:spacing w:val="-11"/>
          <w:position w:val="17"/>
          <w:sz w:val="24"/>
          <w:szCs w:val="24"/>
        </w:rPr>
        <w:t>下水； 地下水位高</w:t>
      </w:r>
    </w:p>
    <w:p>
      <w:pPr>
        <w:spacing w:line="219" w:lineRule="auto"/>
        <w:ind w:left="43"/>
        <w:rPr>
          <w:rFonts w:ascii="宋体" w:hAnsi="宋体" w:eastAsia="宋体" w:cs="宋体"/>
          <w:sz w:val="24"/>
          <w:szCs w:val="24"/>
        </w:rPr>
      </w:pPr>
      <w:r>
        <w:rPr>
          <w:rFonts w:ascii="宋体" w:hAnsi="宋体" w:eastAsia="宋体" w:cs="宋体"/>
          <w:spacing w:val="-6"/>
          <w:sz w:val="24"/>
          <w:szCs w:val="24"/>
        </w:rPr>
        <w:t>于河道水位， 地下水补给地表水。工程区地下水类型</w:t>
      </w:r>
      <w:r>
        <w:rPr>
          <w:rFonts w:ascii="宋体" w:hAnsi="宋体" w:eastAsia="宋体" w:cs="宋体"/>
          <w:spacing w:val="-7"/>
          <w:sz w:val="24"/>
          <w:szCs w:val="24"/>
        </w:rPr>
        <w:t>为第四系松散堆积层孔隙水</w:t>
      </w:r>
    </w:p>
    <w:p>
      <w:pPr>
        <w:spacing w:line="219" w:lineRule="auto"/>
        <w:rPr>
          <w:rFonts w:ascii="宋体" w:hAnsi="宋体" w:eastAsia="宋体" w:cs="宋体"/>
          <w:sz w:val="24"/>
          <w:szCs w:val="24"/>
        </w:rPr>
        <w:sectPr>
          <w:headerReference r:id="rId354" w:type="default"/>
          <w:footerReference r:id="rId355" w:type="default"/>
          <w:pgSz w:w="11907" w:h="16839"/>
          <w:pgMar w:top="1156" w:right="1678" w:bottom="1374" w:left="1770" w:header="881" w:footer="1210" w:gutter="0"/>
        </w:sectPr>
      </w:pPr>
    </w:p>
    <w:p>
      <w:pPr>
        <w:rPr>
          <w:rFonts w:ascii="Arial"/>
          <w:sz w:val="21"/>
        </w:rPr>
      </w:pPr>
    </w:p>
    <w:p>
      <w:pPr>
        <w:spacing w:before="78" w:line="359" w:lineRule="auto"/>
        <w:ind w:left="40" w:right="86" w:firstLine="3"/>
        <w:rPr>
          <w:rFonts w:ascii="宋体" w:hAnsi="宋体" w:eastAsia="宋体" w:cs="宋体"/>
          <w:sz w:val="24"/>
          <w:szCs w:val="24"/>
        </w:rPr>
      </w:pPr>
      <w:r>
        <w:rPr>
          <w:rFonts w:ascii="宋体" w:hAnsi="宋体" w:eastAsia="宋体" w:cs="宋体"/>
          <w:spacing w:val="-15"/>
          <w:sz w:val="24"/>
          <w:szCs w:val="24"/>
        </w:rPr>
        <w:t>与基岩裂隙水，</w:t>
      </w:r>
      <w:r>
        <w:rPr>
          <w:rFonts w:ascii="宋体" w:hAnsi="宋体" w:eastAsia="宋体" w:cs="宋体"/>
          <w:spacing w:val="32"/>
          <w:sz w:val="24"/>
          <w:szCs w:val="24"/>
        </w:rPr>
        <w:t xml:space="preserve"> </w:t>
      </w:r>
      <w:r>
        <w:rPr>
          <w:rFonts w:ascii="宋体" w:hAnsi="宋体" w:eastAsia="宋体" w:cs="宋体"/>
          <w:spacing w:val="-15"/>
          <w:sz w:val="24"/>
          <w:szCs w:val="24"/>
        </w:rPr>
        <w:t>主要由降水与地表水补给， 地</w:t>
      </w:r>
      <w:r>
        <w:rPr>
          <w:rFonts w:ascii="宋体" w:hAnsi="宋体" w:eastAsia="宋体" w:cs="宋体"/>
          <w:spacing w:val="-16"/>
          <w:sz w:val="24"/>
          <w:szCs w:val="24"/>
        </w:rPr>
        <w:t>下水位和流量随季节而变化，</w:t>
      </w:r>
      <w:r>
        <w:rPr>
          <w:rFonts w:ascii="宋体" w:hAnsi="宋体" w:eastAsia="宋体" w:cs="宋体"/>
          <w:spacing w:val="54"/>
          <w:sz w:val="24"/>
          <w:szCs w:val="24"/>
        </w:rPr>
        <w:t xml:space="preserve"> </w:t>
      </w:r>
      <w:r>
        <w:rPr>
          <w:rFonts w:ascii="宋体" w:hAnsi="宋体" w:eastAsia="宋体" w:cs="宋体"/>
          <w:spacing w:val="-16"/>
          <w:sz w:val="24"/>
          <w:szCs w:val="24"/>
        </w:rPr>
        <w:t>向河</w:t>
      </w:r>
      <w:r>
        <w:rPr>
          <w:rFonts w:ascii="宋体" w:hAnsi="宋体" w:eastAsia="宋体" w:cs="宋体"/>
          <w:sz w:val="24"/>
          <w:szCs w:val="24"/>
        </w:rPr>
        <w:t xml:space="preserve"> </w:t>
      </w:r>
      <w:r>
        <w:rPr>
          <w:rFonts w:ascii="宋体" w:hAnsi="宋体" w:eastAsia="宋体" w:cs="宋体"/>
          <w:spacing w:val="-14"/>
          <w:sz w:val="24"/>
          <w:szCs w:val="24"/>
        </w:rPr>
        <w:t>谷排泄。因两岸谷坡地形陡峭，</w:t>
      </w:r>
      <w:r>
        <w:rPr>
          <w:rFonts w:ascii="宋体" w:hAnsi="宋体" w:eastAsia="宋体" w:cs="宋体"/>
          <w:spacing w:val="-51"/>
          <w:sz w:val="24"/>
          <w:szCs w:val="24"/>
        </w:rPr>
        <w:t xml:space="preserve"> </w:t>
      </w:r>
      <w:r>
        <w:rPr>
          <w:rFonts w:ascii="宋体" w:hAnsi="宋体" w:eastAsia="宋体" w:cs="宋体"/>
          <w:spacing w:val="-14"/>
          <w:sz w:val="24"/>
          <w:szCs w:val="24"/>
        </w:rPr>
        <w:t>地表径流通畅，</w:t>
      </w:r>
      <w:r>
        <w:rPr>
          <w:rFonts w:ascii="宋体" w:hAnsi="宋体" w:eastAsia="宋体" w:cs="宋体"/>
          <w:spacing w:val="-50"/>
          <w:sz w:val="24"/>
          <w:szCs w:val="24"/>
        </w:rPr>
        <w:t xml:space="preserve"> </w:t>
      </w:r>
      <w:r>
        <w:rPr>
          <w:rFonts w:ascii="宋体" w:hAnsi="宋体" w:eastAsia="宋体" w:cs="宋体"/>
          <w:spacing w:val="-15"/>
          <w:sz w:val="24"/>
          <w:szCs w:val="24"/>
        </w:rPr>
        <w:t>基岩谷坡地表径流迅速泄于河中。</w:t>
      </w:r>
      <w:r>
        <w:rPr>
          <w:rFonts w:ascii="宋体" w:hAnsi="宋体" w:eastAsia="宋体" w:cs="宋体"/>
          <w:sz w:val="24"/>
          <w:szCs w:val="24"/>
        </w:rPr>
        <w:t xml:space="preserve"> </w:t>
      </w:r>
      <w:r>
        <w:rPr>
          <w:rFonts w:ascii="宋体" w:hAnsi="宋体" w:eastAsia="宋体" w:cs="宋体"/>
          <w:spacing w:val="-6"/>
          <w:sz w:val="24"/>
          <w:szCs w:val="24"/>
        </w:rPr>
        <w:t>两岸第四系堆积层透水性强， 雨季有孔隙水渗出。地下水与</w:t>
      </w:r>
      <w:r>
        <w:rPr>
          <w:rFonts w:ascii="宋体" w:hAnsi="宋体" w:eastAsia="宋体" w:cs="宋体"/>
          <w:spacing w:val="-7"/>
          <w:sz w:val="24"/>
          <w:szCs w:val="24"/>
        </w:rPr>
        <w:t>地表水的关系为地下</w:t>
      </w:r>
    </w:p>
    <w:p>
      <w:pPr>
        <w:spacing w:line="219" w:lineRule="auto"/>
        <w:jc w:val="right"/>
        <w:rPr>
          <w:rFonts w:ascii="宋体" w:hAnsi="宋体" w:eastAsia="宋体" w:cs="宋体"/>
          <w:sz w:val="24"/>
          <w:szCs w:val="24"/>
        </w:rPr>
      </w:pPr>
      <w:r>
        <w:rPr>
          <w:rFonts w:ascii="宋体" w:hAnsi="宋体" w:eastAsia="宋体" w:cs="宋体"/>
          <w:spacing w:val="-1"/>
          <w:sz w:val="24"/>
          <w:szCs w:val="24"/>
        </w:rPr>
        <w:t>水单向补给地表水，因此，也不存在维持地下水位动态平衡所需要的补给水量。</w:t>
      </w:r>
    </w:p>
    <w:p>
      <w:pPr>
        <w:spacing w:before="181"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e.</w:t>
      </w:r>
      <w:r>
        <w:rPr>
          <w:rFonts w:ascii="宋体" w:hAnsi="宋体" w:eastAsia="宋体" w:cs="宋体"/>
          <w:spacing w:val="-1"/>
          <w:sz w:val="24"/>
          <w:szCs w:val="24"/>
        </w:rPr>
        <w:t>河道内输沙需水量</w:t>
      </w:r>
    </w:p>
    <w:p>
      <w:pPr>
        <w:spacing w:before="163" w:line="467" w:lineRule="exact"/>
        <w:ind w:left="519"/>
        <w:rPr>
          <w:rFonts w:ascii="宋体" w:hAnsi="宋体" w:eastAsia="宋体" w:cs="宋体"/>
          <w:sz w:val="24"/>
          <w:szCs w:val="24"/>
        </w:rPr>
      </w:pPr>
      <w:r>
        <w:rPr>
          <w:rFonts w:ascii="宋体" w:hAnsi="宋体" w:eastAsia="宋体" w:cs="宋体"/>
          <w:spacing w:val="-7"/>
          <w:position w:val="17"/>
          <w:sz w:val="24"/>
          <w:szCs w:val="24"/>
        </w:rPr>
        <w:t>根据泥沙资料分析， 水库运行期内水库不排沙，不</w:t>
      </w:r>
      <w:r>
        <w:rPr>
          <w:rFonts w:ascii="宋体" w:hAnsi="宋体" w:eastAsia="宋体" w:cs="宋体"/>
          <w:spacing w:val="-8"/>
          <w:position w:val="17"/>
          <w:sz w:val="24"/>
          <w:szCs w:val="24"/>
        </w:rPr>
        <w:t>需维持河口冲淤平衡。因</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此，本次不考虑河道内输沙需水量。</w:t>
      </w:r>
    </w:p>
    <w:p>
      <w:pPr>
        <w:spacing w:before="183" w:line="233" w:lineRule="auto"/>
        <w:ind w:left="519"/>
        <w:rPr>
          <w:rFonts w:ascii="宋体" w:hAnsi="宋体" w:eastAsia="宋体" w:cs="宋体"/>
          <w:sz w:val="24"/>
          <w:szCs w:val="24"/>
        </w:rPr>
      </w:pPr>
      <w:r>
        <w:rPr>
          <w:rFonts w:ascii="Times New Roman" w:hAnsi="Times New Roman" w:eastAsia="Times New Roman" w:cs="Times New Roman"/>
          <w:spacing w:val="-1"/>
          <w:sz w:val="24"/>
          <w:szCs w:val="24"/>
        </w:rPr>
        <w:t>f.</w:t>
      </w:r>
      <w:r>
        <w:rPr>
          <w:rFonts w:ascii="宋体" w:hAnsi="宋体" w:eastAsia="宋体" w:cs="宋体"/>
          <w:spacing w:val="-1"/>
          <w:sz w:val="24"/>
          <w:szCs w:val="24"/>
        </w:rPr>
        <w:t>河道外生态需水量</w:t>
      </w:r>
    </w:p>
    <w:p>
      <w:pPr>
        <w:spacing w:before="164" w:line="467" w:lineRule="exact"/>
        <w:ind w:left="518"/>
        <w:rPr>
          <w:rFonts w:ascii="宋体" w:hAnsi="宋体" w:eastAsia="宋体" w:cs="宋体"/>
          <w:sz w:val="24"/>
          <w:szCs w:val="24"/>
        </w:rPr>
      </w:pPr>
      <w:r>
        <w:rPr>
          <w:rFonts w:ascii="宋体" w:hAnsi="宋体" w:eastAsia="宋体" w:cs="宋体"/>
          <w:spacing w:val="-6"/>
          <w:position w:val="17"/>
          <w:sz w:val="24"/>
          <w:szCs w:val="24"/>
        </w:rPr>
        <w:t>坝址下游区域两岸植被生长所需水分主要来自地下孔隙水，</w:t>
      </w:r>
      <w:r>
        <w:rPr>
          <w:rFonts w:ascii="宋体" w:hAnsi="宋体" w:eastAsia="宋体" w:cs="宋体"/>
          <w:spacing w:val="-24"/>
          <w:position w:val="17"/>
          <w:sz w:val="24"/>
          <w:szCs w:val="24"/>
        </w:rPr>
        <w:t xml:space="preserve"> </w:t>
      </w:r>
      <w:r>
        <w:rPr>
          <w:rFonts w:ascii="宋体" w:hAnsi="宋体" w:eastAsia="宋体" w:cs="宋体"/>
          <w:spacing w:val="-6"/>
          <w:position w:val="17"/>
          <w:sz w:val="24"/>
          <w:szCs w:val="24"/>
        </w:rPr>
        <w:t>而河段地下孔隙</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水为单向补给河道，因此，下游无河道外生态需水的需求。</w:t>
      </w:r>
    </w:p>
    <w:p>
      <w:pPr>
        <w:spacing w:before="182" w:line="212" w:lineRule="auto"/>
        <w:ind w:left="517"/>
        <w:rPr>
          <w:rFonts w:ascii="宋体" w:hAnsi="宋体" w:eastAsia="宋体" w:cs="宋体"/>
          <w:sz w:val="24"/>
          <w:szCs w:val="24"/>
        </w:rPr>
      </w:pPr>
      <w:r>
        <w:rPr>
          <w:rFonts w:ascii="Times New Roman" w:hAnsi="Times New Roman" w:eastAsia="Times New Roman" w:cs="Times New Roman"/>
          <w:spacing w:val="-1"/>
          <w:sz w:val="24"/>
          <w:szCs w:val="24"/>
        </w:rPr>
        <w:t>g.</w:t>
      </w:r>
      <w:r>
        <w:rPr>
          <w:rFonts w:ascii="宋体" w:hAnsi="宋体" w:eastAsia="宋体" w:cs="宋体"/>
          <w:spacing w:val="-1"/>
          <w:sz w:val="24"/>
          <w:szCs w:val="24"/>
        </w:rPr>
        <w:t>用水需求综合分析</w:t>
      </w:r>
    </w:p>
    <w:p>
      <w:pPr>
        <w:spacing w:before="191" w:line="466" w:lineRule="exact"/>
        <w:ind w:left="522"/>
        <w:rPr>
          <w:rFonts w:ascii="宋体" w:hAnsi="宋体" w:eastAsia="宋体" w:cs="宋体"/>
          <w:sz w:val="24"/>
          <w:szCs w:val="24"/>
        </w:rPr>
      </w:pPr>
      <w:r>
        <w:rPr>
          <w:rFonts w:ascii="宋体" w:hAnsi="宋体" w:eastAsia="宋体" w:cs="宋体"/>
          <w:spacing w:val="-5"/>
          <w:position w:val="17"/>
          <w:sz w:val="24"/>
          <w:szCs w:val="24"/>
        </w:rPr>
        <w:t>综上所述，</w:t>
      </w:r>
      <w:r>
        <w:rPr>
          <w:rFonts w:ascii="宋体" w:hAnsi="宋体" w:eastAsia="宋体" w:cs="宋体"/>
          <w:spacing w:val="-62"/>
          <w:position w:val="17"/>
          <w:sz w:val="24"/>
          <w:szCs w:val="24"/>
        </w:rPr>
        <w:t xml:space="preserve"> </w:t>
      </w:r>
      <w:r>
        <w:rPr>
          <w:rFonts w:ascii="宋体" w:hAnsi="宋体" w:eastAsia="宋体" w:cs="宋体"/>
          <w:spacing w:val="-5"/>
          <w:position w:val="17"/>
          <w:sz w:val="24"/>
          <w:szCs w:val="24"/>
        </w:rPr>
        <w:t>工程评价河段生态环境需水量主要考虑维持水生生态系统稳定所</w:t>
      </w:r>
    </w:p>
    <w:p>
      <w:pPr>
        <w:spacing w:before="1" w:line="220" w:lineRule="auto"/>
        <w:ind w:left="50"/>
        <w:rPr>
          <w:rFonts w:ascii="宋体" w:hAnsi="宋体" w:eastAsia="宋体" w:cs="宋体"/>
          <w:sz w:val="24"/>
          <w:szCs w:val="24"/>
        </w:rPr>
      </w:pPr>
      <w:r>
        <w:rPr>
          <w:rFonts w:ascii="宋体" w:hAnsi="宋体" w:eastAsia="宋体" w:cs="宋体"/>
          <w:spacing w:val="-6"/>
          <w:sz w:val="24"/>
          <w:szCs w:val="24"/>
        </w:rPr>
        <w:t>需要的生态流量。</w:t>
      </w:r>
    </w:p>
    <w:p>
      <w:pPr>
        <w:spacing w:before="181" w:line="217" w:lineRule="auto"/>
        <w:ind w:left="517"/>
        <w:rPr>
          <w:rFonts w:ascii="宋体" w:hAnsi="宋体" w:eastAsia="宋体" w:cs="宋体"/>
          <w:sz w:val="24"/>
          <w:szCs w:val="24"/>
        </w:rPr>
      </w:pPr>
      <w:r>
        <w:rPr>
          <w:rFonts w:ascii="宋体" w:hAnsi="宋体" w:eastAsia="宋体" w:cs="宋体"/>
          <w:spacing w:val="-1"/>
          <w:sz w:val="24"/>
          <w:szCs w:val="24"/>
        </w:rPr>
        <w:t>②下泄流量的确定</w:t>
      </w:r>
    </w:p>
    <w:p>
      <w:pPr>
        <w:spacing w:before="185" w:line="359" w:lineRule="auto"/>
        <w:ind w:left="38" w:right="86" w:firstLine="481"/>
        <w:rPr>
          <w:rFonts w:ascii="宋体" w:hAnsi="宋体" w:eastAsia="宋体" w:cs="宋体"/>
          <w:sz w:val="24"/>
          <w:szCs w:val="24"/>
        </w:rPr>
      </w:pPr>
      <w:r>
        <w:rPr>
          <w:rFonts w:ascii="宋体" w:hAnsi="宋体" w:eastAsia="宋体" w:cs="宋体"/>
          <w:spacing w:val="-8"/>
          <w:sz w:val="24"/>
          <w:szCs w:val="24"/>
        </w:rPr>
        <w:t>《河湖生态环境需水计算规范（</w:t>
      </w:r>
      <w:r>
        <w:rPr>
          <w:rFonts w:ascii="Times New Roman" w:hAnsi="Times New Roman" w:eastAsia="Times New Roman" w:cs="Times New Roman"/>
          <w:spacing w:val="-8"/>
          <w:sz w:val="24"/>
          <w:szCs w:val="24"/>
        </w:rPr>
        <w:t>SL/Z712-2014</w:t>
      </w:r>
      <w:r>
        <w:rPr>
          <w:rFonts w:ascii="宋体" w:hAnsi="宋体" w:eastAsia="宋体" w:cs="宋体"/>
          <w:spacing w:val="-8"/>
          <w:sz w:val="24"/>
          <w:szCs w:val="24"/>
        </w:rPr>
        <w:t>）》</w:t>
      </w:r>
      <w:r>
        <w:rPr>
          <w:rFonts w:ascii="宋体" w:hAnsi="宋体" w:eastAsia="宋体" w:cs="宋体"/>
          <w:spacing w:val="-9"/>
          <w:sz w:val="24"/>
          <w:szCs w:val="24"/>
        </w:rPr>
        <w:t>以及《水电水利建设项目河</w:t>
      </w:r>
      <w:r>
        <w:rPr>
          <w:rFonts w:ascii="宋体" w:hAnsi="宋体" w:eastAsia="宋体" w:cs="宋体"/>
          <w:sz w:val="24"/>
          <w:szCs w:val="24"/>
        </w:rPr>
        <w:t xml:space="preserve"> </w:t>
      </w:r>
      <w:r>
        <w:rPr>
          <w:rFonts w:ascii="宋体" w:hAnsi="宋体" w:eastAsia="宋体" w:cs="宋体"/>
          <w:spacing w:val="-5"/>
          <w:sz w:val="24"/>
          <w:szCs w:val="24"/>
        </w:rPr>
        <w:t>道生态用水、低温水和过鱼设施环境影响评价技术指南</w:t>
      </w:r>
      <w:r>
        <w:rPr>
          <w:rFonts w:ascii="宋体" w:hAnsi="宋体" w:eastAsia="宋体" w:cs="宋体"/>
          <w:spacing w:val="-6"/>
          <w:sz w:val="24"/>
          <w:szCs w:val="24"/>
        </w:rPr>
        <w:t>（试行</w:t>
      </w:r>
      <w:r>
        <w:rPr>
          <w:rFonts w:ascii="宋体" w:hAnsi="宋体" w:eastAsia="宋体" w:cs="宋体"/>
          <w:spacing w:val="-17"/>
          <w:sz w:val="24"/>
          <w:szCs w:val="24"/>
        </w:rPr>
        <w:t>）</w:t>
      </w:r>
      <w:r>
        <w:rPr>
          <w:rFonts w:ascii="宋体" w:hAnsi="宋体" w:eastAsia="宋体" w:cs="宋体"/>
          <w:spacing w:val="-16"/>
          <w:sz w:val="24"/>
          <w:szCs w:val="24"/>
        </w:rPr>
        <w:t xml:space="preserve"> </w:t>
      </w:r>
      <w:r>
        <w:rPr>
          <w:rFonts w:ascii="宋体" w:hAnsi="宋体" w:eastAsia="宋体" w:cs="宋体"/>
          <w:spacing w:val="-17"/>
          <w:sz w:val="24"/>
          <w:szCs w:val="24"/>
        </w:rPr>
        <w:t>（</w:t>
      </w:r>
      <w:r>
        <w:rPr>
          <w:rFonts w:ascii="宋体" w:hAnsi="宋体" w:eastAsia="宋体" w:cs="宋体"/>
          <w:spacing w:val="-6"/>
          <w:sz w:val="24"/>
          <w:szCs w:val="24"/>
        </w:rPr>
        <w:t>国家环境保护</w:t>
      </w:r>
      <w:r>
        <w:rPr>
          <w:rFonts w:ascii="宋体" w:hAnsi="宋体" w:eastAsia="宋体" w:cs="宋体"/>
          <w:sz w:val="24"/>
          <w:szCs w:val="24"/>
        </w:rPr>
        <w:t xml:space="preserve"> </w:t>
      </w:r>
      <w:r>
        <w:rPr>
          <w:rFonts w:ascii="宋体" w:hAnsi="宋体" w:eastAsia="宋体" w:cs="宋体"/>
          <w:spacing w:val="-3"/>
          <w:sz w:val="24"/>
          <w:szCs w:val="24"/>
        </w:rPr>
        <w:t>总局环境工程评估中心文件环评函</w:t>
      </w:r>
      <w:r>
        <w:rPr>
          <w:rFonts w:ascii="Times New Roman" w:hAnsi="Times New Roman" w:eastAsia="Times New Roman" w:cs="Times New Roman"/>
          <w:spacing w:val="-3"/>
          <w:sz w:val="24"/>
          <w:szCs w:val="24"/>
        </w:rPr>
        <w:t>[2006]4</w:t>
      </w:r>
      <w:r>
        <w:rPr>
          <w:rFonts w:ascii="Times New Roman" w:hAnsi="Times New Roman" w:eastAsia="Times New Roman" w:cs="Times New Roman"/>
          <w:spacing w:val="20"/>
          <w:w w:val="101"/>
          <w:sz w:val="24"/>
          <w:szCs w:val="24"/>
        </w:rPr>
        <w:t xml:space="preserve"> </w:t>
      </w:r>
      <w:r>
        <w:rPr>
          <w:rFonts w:ascii="宋体" w:hAnsi="宋体" w:eastAsia="宋体" w:cs="宋体"/>
          <w:spacing w:val="-3"/>
          <w:sz w:val="24"/>
          <w:szCs w:val="24"/>
        </w:rPr>
        <w:t>号）</w:t>
      </w:r>
      <w:r>
        <w:rPr>
          <w:rFonts w:ascii="宋体" w:hAnsi="宋体" w:eastAsia="宋体" w:cs="宋体"/>
          <w:spacing w:val="-66"/>
          <w:sz w:val="24"/>
          <w:szCs w:val="24"/>
        </w:rPr>
        <w:t xml:space="preserve"> </w:t>
      </w:r>
      <w:r>
        <w:rPr>
          <w:rFonts w:ascii="Times New Roman" w:hAnsi="Times New Roman" w:eastAsia="Times New Roman" w:cs="Times New Roman"/>
          <w:spacing w:val="-3"/>
          <w:sz w:val="24"/>
          <w:szCs w:val="24"/>
        </w:rPr>
        <w:t>)</w:t>
      </w:r>
      <w:r>
        <w:rPr>
          <w:rFonts w:ascii="宋体" w:hAnsi="宋体" w:eastAsia="宋体" w:cs="宋体"/>
          <w:spacing w:val="-3"/>
          <w:sz w:val="24"/>
          <w:szCs w:val="24"/>
        </w:rPr>
        <w:t>》中均提出了水文学法、水力学</w:t>
      </w:r>
      <w:r>
        <w:rPr>
          <w:rFonts w:ascii="宋体" w:hAnsi="宋体" w:eastAsia="宋体" w:cs="宋体"/>
          <w:sz w:val="24"/>
          <w:szCs w:val="24"/>
        </w:rPr>
        <w:t xml:space="preserve"> </w:t>
      </w:r>
      <w:r>
        <w:rPr>
          <w:rFonts w:ascii="宋体" w:hAnsi="宋体" w:eastAsia="宋体" w:cs="宋体"/>
          <w:spacing w:val="-3"/>
          <w:sz w:val="24"/>
          <w:szCs w:val="24"/>
        </w:rPr>
        <w:t>法等多种计算生态需水的方法。各方法用于桂花水库生态水量计算的适用性分析</w:t>
      </w:r>
    </w:p>
    <w:p>
      <w:pPr>
        <w:spacing w:line="219" w:lineRule="auto"/>
        <w:ind w:left="43"/>
        <w:rPr>
          <w:rFonts w:ascii="宋体" w:hAnsi="宋体" w:eastAsia="宋体" w:cs="宋体"/>
          <w:sz w:val="24"/>
          <w:szCs w:val="24"/>
        </w:rPr>
      </w:pPr>
      <w:r>
        <w:rPr>
          <w:rFonts w:ascii="宋体" w:hAnsi="宋体" w:eastAsia="宋体" w:cs="宋体"/>
          <w:spacing w:val="-4"/>
          <w:sz w:val="24"/>
          <w:szCs w:val="24"/>
        </w:rPr>
        <w:t>见表</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4.2-4 </w:t>
      </w:r>
      <w:r>
        <w:rPr>
          <w:rFonts w:ascii="宋体" w:hAnsi="宋体" w:eastAsia="宋体" w:cs="宋体"/>
          <w:spacing w:val="-4"/>
          <w:sz w:val="24"/>
          <w:szCs w:val="24"/>
        </w:rPr>
        <w:t>所示。</w:t>
      </w:r>
    </w:p>
    <w:p>
      <w:pPr>
        <w:spacing w:line="247" w:lineRule="auto"/>
        <w:rPr>
          <w:rFonts w:ascii="Arial"/>
          <w:sz w:val="21"/>
        </w:rPr>
      </w:pPr>
    </w:p>
    <w:p>
      <w:pPr>
        <w:spacing w:before="69" w:line="219" w:lineRule="auto"/>
        <w:ind w:left="2469"/>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0"/>
          <w:sz w:val="21"/>
          <w:szCs w:val="21"/>
        </w:rPr>
        <w:t xml:space="preserve"> </w:t>
      </w:r>
      <w:r>
        <w:rPr>
          <w:rFonts w:ascii="Times New Roman" w:hAnsi="Times New Roman" w:eastAsia="Times New Roman" w:cs="Times New Roman"/>
          <w:b/>
          <w:bCs/>
          <w:spacing w:val="-1"/>
          <w:sz w:val="21"/>
          <w:szCs w:val="21"/>
        </w:rPr>
        <w:t xml:space="preserve">4.2-4    </w:t>
      </w:r>
      <w:r>
        <w:rPr>
          <w:rFonts w:ascii="宋体" w:hAnsi="宋体" w:eastAsia="宋体" w:cs="宋体"/>
          <w:spacing w:val="-1"/>
          <w:sz w:val="21"/>
          <w:szCs w:val="21"/>
          <w14:textOutline w14:w="3810" w14:cap="flat" w14:cmpd="sng">
            <w14:solidFill>
              <w14:srgbClr w14:val="000000"/>
            </w14:solidFill>
            <w14:prstDash w14:val="solid"/>
            <w14:miter w14:val="0"/>
          </w14:textOutline>
        </w:rPr>
        <w:t>推荐计算方法的适用性分析</w:t>
      </w:r>
    </w:p>
    <w:p>
      <w:pPr>
        <w:spacing w:line="19" w:lineRule="exact"/>
      </w:pPr>
    </w:p>
    <w:tbl>
      <w:tblPr>
        <w:tblStyle w:val="5"/>
        <w:tblW w:w="8307"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5"/>
        <w:gridCol w:w="972"/>
        <w:gridCol w:w="2487"/>
        <w:gridCol w:w="1658"/>
        <w:gridCol w:w="1106"/>
        <w:gridCol w:w="12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3" w:hRule="atLeast"/>
        </w:trPr>
        <w:tc>
          <w:tcPr>
            <w:tcW w:w="795" w:type="dxa"/>
            <w:tcBorders>
              <w:left w:val="nil"/>
            </w:tcBorders>
            <w:vAlign w:val="top"/>
          </w:tcPr>
          <w:p>
            <w:pPr>
              <w:spacing w:before="212" w:line="220" w:lineRule="auto"/>
              <w:ind w:left="204"/>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方法</w:t>
            </w:r>
          </w:p>
        </w:tc>
        <w:tc>
          <w:tcPr>
            <w:tcW w:w="972" w:type="dxa"/>
            <w:vAlign w:val="top"/>
          </w:tcPr>
          <w:p>
            <w:pPr>
              <w:spacing w:before="211" w:line="217" w:lineRule="auto"/>
              <w:ind w:left="28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2487" w:type="dxa"/>
            <w:vAlign w:val="top"/>
          </w:tcPr>
          <w:p>
            <w:pPr>
              <w:spacing w:before="212" w:line="217" w:lineRule="auto"/>
              <w:ind w:left="833"/>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计算方法</w:t>
            </w:r>
          </w:p>
        </w:tc>
        <w:tc>
          <w:tcPr>
            <w:tcW w:w="1658" w:type="dxa"/>
            <w:tcBorders>
              <w:right w:val="single" w:color="000000" w:sz="6" w:space="0"/>
            </w:tcBorders>
            <w:vAlign w:val="top"/>
          </w:tcPr>
          <w:p>
            <w:pPr>
              <w:spacing w:before="56" w:line="246" w:lineRule="auto"/>
              <w:ind w:left="734" w:right="189" w:hanging="527"/>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适用或限制条</w:t>
            </w:r>
            <w:r>
              <w:rPr>
                <w:rFonts w:ascii="仿宋" w:hAnsi="仿宋" w:eastAsia="仿宋" w:cs="仿宋"/>
                <w:spacing w:val="1"/>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件</w:t>
            </w:r>
          </w:p>
        </w:tc>
        <w:tc>
          <w:tcPr>
            <w:tcW w:w="1106" w:type="dxa"/>
            <w:tcBorders>
              <w:left w:val="single" w:color="000000" w:sz="6" w:space="0"/>
              <w:right w:val="single" w:color="000000" w:sz="6" w:space="0"/>
            </w:tcBorders>
            <w:vAlign w:val="top"/>
          </w:tcPr>
          <w:p>
            <w:pPr>
              <w:spacing w:before="211" w:line="220" w:lineRule="auto"/>
              <w:ind w:left="13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是否适用</w:t>
            </w:r>
          </w:p>
        </w:tc>
        <w:tc>
          <w:tcPr>
            <w:tcW w:w="1289" w:type="dxa"/>
            <w:tcBorders>
              <w:left w:val="single" w:color="000000" w:sz="6" w:space="0"/>
              <w:right w:val="nil"/>
            </w:tcBorders>
            <w:vAlign w:val="top"/>
          </w:tcPr>
          <w:p>
            <w:pPr>
              <w:spacing w:before="212" w:line="220" w:lineRule="auto"/>
              <w:ind w:left="44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5" w:hRule="atLeast"/>
        </w:trPr>
        <w:tc>
          <w:tcPr>
            <w:tcW w:w="795" w:type="dxa"/>
            <w:vMerge w:val="restart"/>
            <w:tcBorders>
              <w:left w:val="nil"/>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8" w:line="312" w:lineRule="exact"/>
              <w:ind w:left="200"/>
              <w:rPr>
                <w:rFonts w:ascii="仿宋" w:hAnsi="仿宋" w:eastAsia="仿宋" w:cs="仿宋"/>
                <w:sz w:val="21"/>
                <w:szCs w:val="21"/>
              </w:rPr>
            </w:pPr>
            <w:r>
              <w:rPr>
                <w:rFonts w:ascii="仿宋" w:hAnsi="仿宋" w:eastAsia="仿宋" w:cs="仿宋"/>
                <w:spacing w:val="-4"/>
                <w:position w:val="7"/>
                <w:sz w:val="21"/>
                <w:szCs w:val="21"/>
              </w:rPr>
              <w:t>水文</w:t>
            </w:r>
          </w:p>
          <w:p>
            <w:pPr>
              <w:spacing w:line="218" w:lineRule="auto"/>
              <w:ind w:left="210"/>
              <w:rPr>
                <w:rFonts w:ascii="仿宋" w:hAnsi="仿宋" w:eastAsia="仿宋" w:cs="仿宋"/>
                <w:sz w:val="21"/>
                <w:szCs w:val="21"/>
              </w:rPr>
            </w:pPr>
            <w:r>
              <w:rPr>
                <w:rFonts w:ascii="仿宋" w:hAnsi="仿宋" w:eastAsia="仿宋" w:cs="仿宋"/>
                <w:spacing w:val="-6"/>
                <w:sz w:val="21"/>
                <w:szCs w:val="21"/>
              </w:rPr>
              <w:t>学法</w:t>
            </w:r>
          </w:p>
        </w:tc>
        <w:tc>
          <w:tcPr>
            <w:tcW w:w="972" w:type="dxa"/>
            <w:vAlign w:val="top"/>
          </w:tcPr>
          <w:p>
            <w:pPr>
              <w:spacing w:line="326" w:lineRule="auto"/>
              <w:rPr>
                <w:rFonts w:ascii="Arial"/>
                <w:sz w:val="21"/>
              </w:rPr>
            </w:pPr>
          </w:p>
          <w:p>
            <w:pPr>
              <w:spacing w:line="326" w:lineRule="auto"/>
              <w:rPr>
                <w:rFonts w:ascii="Arial"/>
                <w:sz w:val="21"/>
              </w:rPr>
            </w:pPr>
          </w:p>
          <w:p>
            <w:pPr>
              <w:pStyle w:val="6"/>
              <w:spacing w:before="60" w:line="245" w:lineRule="auto"/>
              <w:ind w:left="397" w:right="146" w:hanging="245"/>
              <w:rPr>
                <w:rFonts w:ascii="仿宋" w:hAnsi="仿宋" w:eastAsia="仿宋" w:cs="仿宋"/>
              </w:rPr>
            </w:pPr>
            <w:r>
              <w:rPr>
                <w:spacing w:val="-3"/>
              </w:rPr>
              <w:t>Tennant</w:t>
            </w:r>
            <w:r>
              <w:t xml:space="preserve"> </w:t>
            </w:r>
            <w:r>
              <w:rPr>
                <w:rFonts w:ascii="仿宋" w:hAnsi="仿宋" w:eastAsia="仿宋" w:cs="仿宋"/>
              </w:rPr>
              <w:t>法</w:t>
            </w:r>
          </w:p>
        </w:tc>
        <w:tc>
          <w:tcPr>
            <w:tcW w:w="2487" w:type="dxa"/>
            <w:vAlign w:val="top"/>
          </w:tcPr>
          <w:p>
            <w:pPr>
              <w:spacing w:before="54" w:line="260" w:lineRule="auto"/>
              <w:ind w:left="206" w:right="190"/>
              <w:jc w:val="both"/>
              <w:rPr>
                <w:rFonts w:ascii="仿宋" w:hAnsi="仿宋" w:eastAsia="仿宋" w:cs="仿宋"/>
                <w:sz w:val="21"/>
                <w:szCs w:val="21"/>
              </w:rPr>
            </w:pPr>
            <w:r>
              <w:rPr>
                <w:rFonts w:ascii="仿宋" w:hAnsi="仿宋" w:eastAsia="仿宋" w:cs="仿宋"/>
                <w:spacing w:val="-2"/>
                <w:sz w:val="21"/>
                <w:szCs w:val="21"/>
              </w:rPr>
              <w:t>根据水文资料以年平均</w:t>
            </w:r>
            <w:r>
              <w:rPr>
                <w:rFonts w:ascii="仿宋" w:hAnsi="仿宋" w:eastAsia="仿宋" w:cs="仿宋"/>
                <w:spacing w:val="4"/>
                <w:sz w:val="21"/>
                <w:szCs w:val="21"/>
              </w:rPr>
              <w:t xml:space="preserve"> </w:t>
            </w:r>
            <w:r>
              <w:rPr>
                <w:rFonts w:ascii="仿宋" w:hAnsi="仿宋" w:eastAsia="仿宋" w:cs="仿宋"/>
                <w:spacing w:val="-2"/>
                <w:sz w:val="21"/>
                <w:szCs w:val="21"/>
              </w:rPr>
              <w:t>径流量百分数来描述河</w:t>
            </w:r>
            <w:r>
              <w:rPr>
                <w:rFonts w:ascii="仿宋" w:hAnsi="仿宋" w:eastAsia="仿宋" w:cs="仿宋"/>
                <w:spacing w:val="4"/>
                <w:sz w:val="21"/>
                <w:szCs w:val="21"/>
              </w:rPr>
              <w:t xml:space="preserve"> </w:t>
            </w:r>
            <w:r>
              <w:rPr>
                <w:rFonts w:ascii="仿宋" w:hAnsi="仿宋" w:eastAsia="仿宋" w:cs="仿宋"/>
                <w:spacing w:val="-2"/>
                <w:sz w:val="21"/>
                <w:szCs w:val="21"/>
              </w:rPr>
              <w:t>道内流量状态。最小生</w:t>
            </w:r>
            <w:r>
              <w:rPr>
                <w:rFonts w:ascii="仿宋" w:hAnsi="仿宋" w:eastAsia="仿宋" w:cs="仿宋"/>
                <w:spacing w:val="4"/>
                <w:sz w:val="21"/>
                <w:szCs w:val="21"/>
              </w:rPr>
              <w:t xml:space="preserve"> </w:t>
            </w:r>
            <w:r>
              <w:rPr>
                <w:rFonts w:ascii="仿宋" w:hAnsi="仿宋" w:eastAsia="仿宋" w:cs="仿宋"/>
                <w:spacing w:val="-2"/>
                <w:sz w:val="21"/>
                <w:szCs w:val="21"/>
              </w:rPr>
              <w:t>态用水量不应小于工程</w:t>
            </w:r>
          </w:p>
          <w:p>
            <w:pPr>
              <w:pStyle w:val="6"/>
              <w:spacing w:before="62" w:line="247" w:lineRule="auto"/>
              <w:ind w:left="406" w:right="190" w:hanging="200"/>
              <w:rPr>
                <w:rFonts w:ascii="仿宋" w:hAnsi="仿宋" w:eastAsia="仿宋" w:cs="仿宋"/>
              </w:rPr>
            </w:pPr>
            <w:r>
              <w:rPr>
                <w:rFonts w:ascii="仿宋" w:hAnsi="仿宋" w:eastAsia="仿宋" w:cs="仿宋"/>
                <w:spacing w:val="-2"/>
              </w:rPr>
              <w:t>所在河流控制断面多年</w:t>
            </w:r>
            <w:r>
              <w:rPr>
                <w:rFonts w:ascii="仿宋" w:hAnsi="仿宋" w:eastAsia="仿宋" w:cs="仿宋"/>
                <w:spacing w:val="4"/>
              </w:rPr>
              <w:t xml:space="preserve"> </w:t>
            </w:r>
            <w:r>
              <w:rPr>
                <w:rFonts w:ascii="仿宋" w:hAnsi="仿宋" w:eastAsia="仿宋" w:cs="仿宋"/>
                <w:spacing w:val="-5"/>
              </w:rPr>
              <w:t>平均流量的</w:t>
            </w:r>
            <w:r>
              <w:rPr>
                <w:rFonts w:ascii="仿宋" w:hAnsi="仿宋" w:eastAsia="仿宋" w:cs="仿宋"/>
                <w:spacing w:val="-22"/>
              </w:rPr>
              <w:t xml:space="preserve"> </w:t>
            </w:r>
            <w:r>
              <w:rPr>
                <w:spacing w:val="-5"/>
              </w:rPr>
              <w:t>10%</w:t>
            </w:r>
            <w:r>
              <w:rPr>
                <w:rFonts w:ascii="仿宋" w:hAnsi="仿宋" w:eastAsia="仿宋" w:cs="仿宋"/>
                <w:spacing w:val="-5"/>
              </w:rPr>
              <w:t>。</w:t>
            </w:r>
          </w:p>
        </w:tc>
        <w:tc>
          <w:tcPr>
            <w:tcW w:w="1658" w:type="dxa"/>
            <w:tcBorders>
              <w:right w:val="single" w:color="000000" w:sz="6" w:space="0"/>
            </w:tcBorders>
            <w:vAlign w:val="top"/>
          </w:tcPr>
          <w:p>
            <w:pPr>
              <w:spacing w:line="294" w:lineRule="auto"/>
              <w:rPr>
                <w:rFonts w:ascii="Arial"/>
                <w:sz w:val="21"/>
              </w:rPr>
            </w:pPr>
          </w:p>
          <w:p>
            <w:pPr>
              <w:spacing w:before="68" w:line="216" w:lineRule="auto"/>
              <w:ind w:left="214"/>
              <w:rPr>
                <w:rFonts w:ascii="仿宋" w:hAnsi="仿宋" w:eastAsia="仿宋" w:cs="仿宋"/>
                <w:sz w:val="21"/>
                <w:szCs w:val="21"/>
              </w:rPr>
            </w:pPr>
            <w:r>
              <w:rPr>
                <w:rFonts w:ascii="仿宋" w:hAnsi="仿宋" w:eastAsia="仿宋" w:cs="仿宋"/>
                <w:spacing w:val="-3"/>
                <w:sz w:val="21"/>
                <w:szCs w:val="21"/>
              </w:rPr>
              <w:t>作为河流进行</w:t>
            </w:r>
          </w:p>
          <w:p>
            <w:pPr>
              <w:spacing w:before="66" w:line="218" w:lineRule="auto"/>
              <w:ind w:left="321"/>
              <w:rPr>
                <w:rFonts w:ascii="仿宋" w:hAnsi="仿宋" w:eastAsia="仿宋" w:cs="仿宋"/>
                <w:sz w:val="21"/>
                <w:szCs w:val="21"/>
              </w:rPr>
            </w:pPr>
            <w:r>
              <w:rPr>
                <w:rFonts w:ascii="仿宋" w:hAnsi="仿宋" w:eastAsia="仿宋" w:cs="仿宋"/>
                <w:spacing w:val="-4"/>
                <w:sz w:val="21"/>
                <w:szCs w:val="21"/>
              </w:rPr>
              <w:t>最初目标管</w:t>
            </w:r>
          </w:p>
          <w:p>
            <w:pPr>
              <w:spacing w:before="63" w:line="216" w:lineRule="auto"/>
              <w:ind w:left="212"/>
              <w:rPr>
                <w:rFonts w:ascii="仿宋" w:hAnsi="仿宋" w:eastAsia="仿宋" w:cs="仿宋"/>
                <w:sz w:val="21"/>
                <w:szCs w:val="21"/>
              </w:rPr>
            </w:pPr>
            <w:r>
              <w:rPr>
                <w:rFonts w:ascii="仿宋" w:hAnsi="仿宋" w:eastAsia="仿宋" w:cs="仿宋"/>
                <w:spacing w:val="-3"/>
                <w:sz w:val="21"/>
                <w:szCs w:val="21"/>
              </w:rPr>
              <w:t>理、战略性管</w:t>
            </w:r>
          </w:p>
          <w:p>
            <w:pPr>
              <w:spacing w:before="66" w:line="218" w:lineRule="auto"/>
              <w:ind w:left="317"/>
              <w:rPr>
                <w:rFonts w:ascii="仿宋" w:hAnsi="仿宋" w:eastAsia="仿宋" w:cs="仿宋"/>
                <w:sz w:val="21"/>
                <w:szCs w:val="21"/>
              </w:rPr>
            </w:pPr>
            <w:r>
              <w:rPr>
                <w:rFonts w:ascii="仿宋" w:hAnsi="仿宋" w:eastAsia="仿宋" w:cs="仿宋"/>
                <w:spacing w:val="-4"/>
                <w:sz w:val="21"/>
                <w:szCs w:val="21"/>
              </w:rPr>
              <w:t>理方法使用</w:t>
            </w:r>
          </w:p>
        </w:tc>
        <w:tc>
          <w:tcPr>
            <w:tcW w:w="1106" w:type="dxa"/>
            <w:tcBorders>
              <w:left w:val="single" w:color="000000" w:sz="6" w:space="0"/>
              <w:right w:val="single" w:color="000000" w:sz="6" w:space="0"/>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8" w:line="220" w:lineRule="auto"/>
              <w:ind w:left="348"/>
              <w:rPr>
                <w:rFonts w:ascii="仿宋" w:hAnsi="仿宋" w:eastAsia="仿宋" w:cs="仿宋"/>
                <w:sz w:val="21"/>
                <w:szCs w:val="21"/>
              </w:rPr>
            </w:pPr>
            <w:r>
              <w:rPr>
                <w:rFonts w:ascii="仿宋" w:hAnsi="仿宋" w:eastAsia="仿宋" w:cs="仿宋"/>
                <w:spacing w:val="-4"/>
                <w:sz w:val="21"/>
                <w:szCs w:val="21"/>
              </w:rPr>
              <w:t>适用</w:t>
            </w:r>
          </w:p>
        </w:tc>
        <w:tc>
          <w:tcPr>
            <w:tcW w:w="1289" w:type="dxa"/>
            <w:tcBorders>
              <w:left w:val="single" w:color="000000" w:sz="6"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9" w:hRule="atLeast"/>
        </w:trPr>
        <w:tc>
          <w:tcPr>
            <w:tcW w:w="795" w:type="dxa"/>
            <w:vMerge w:val="continue"/>
            <w:tcBorders>
              <w:top w:val="nil"/>
              <w:left w:val="nil"/>
            </w:tcBorders>
            <w:vAlign w:val="top"/>
          </w:tcPr>
          <w:p>
            <w:pPr>
              <w:rPr>
                <w:rFonts w:ascii="Arial"/>
                <w:sz w:val="21"/>
              </w:rPr>
            </w:pPr>
          </w:p>
        </w:tc>
        <w:tc>
          <w:tcPr>
            <w:tcW w:w="972" w:type="dxa"/>
            <w:vAlign w:val="top"/>
          </w:tcPr>
          <w:p>
            <w:pPr>
              <w:spacing w:line="451" w:lineRule="auto"/>
              <w:rPr>
                <w:rFonts w:ascii="Arial"/>
                <w:sz w:val="21"/>
              </w:rPr>
            </w:pPr>
          </w:p>
          <w:p>
            <w:pPr>
              <w:spacing w:before="68" w:line="218" w:lineRule="auto"/>
              <w:ind w:left="187"/>
              <w:rPr>
                <w:rFonts w:ascii="仿宋" w:hAnsi="仿宋" w:eastAsia="仿宋" w:cs="仿宋"/>
                <w:sz w:val="21"/>
                <w:szCs w:val="21"/>
              </w:rPr>
            </w:pPr>
            <w:r>
              <w:rPr>
                <w:rFonts w:ascii="仿宋" w:hAnsi="仿宋" w:eastAsia="仿宋" w:cs="仿宋"/>
                <w:spacing w:val="-7"/>
                <w:sz w:val="21"/>
                <w:szCs w:val="21"/>
              </w:rPr>
              <w:t>最小月</w:t>
            </w:r>
          </w:p>
          <w:p>
            <w:pPr>
              <w:spacing w:before="64" w:line="218" w:lineRule="auto"/>
              <w:ind w:left="181"/>
              <w:rPr>
                <w:rFonts w:ascii="仿宋" w:hAnsi="仿宋" w:eastAsia="仿宋" w:cs="仿宋"/>
                <w:sz w:val="21"/>
                <w:szCs w:val="21"/>
              </w:rPr>
            </w:pPr>
            <w:r>
              <w:rPr>
                <w:rFonts w:ascii="仿宋" w:hAnsi="仿宋" w:eastAsia="仿宋" w:cs="仿宋"/>
                <w:spacing w:val="-4"/>
                <w:sz w:val="21"/>
                <w:szCs w:val="21"/>
              </w:rPr>
              <w:t>平均径</w:t>
            </w:r>
          </w:p>
          <w:p>
            <w:pPr>
              <w:spacing w:before="63" w:line="221" w:lineRule="auto"/>
              <w:ind w:left="286"/>
              <w:rPr>
                <w:rFonts w:ascii="仿宋" w:hAnsi="仿宋" w:eastAsia="仿宋" w:cs="仿宋"/>
                <w:sz w:val="21"/>
                <w:szCs w:val="21"/>
              </w:rPr>
            </w:pPr>
            <w:r>
              <w:rPr>
                <w:rFonts w:ascii="仿宋" w:hAnsi="仿宋" w:eastAsia="仿宋" w:cs="仿宋"/>
                <w:spacing w:val="-4"/>
                <w:sz w:val="21"/>
                <w:szCs w:val="21"/>
              </w:rPr>
              <w:t>流法</w:t>
            </w:r>
          </w:p>
        </w:tc>
        <w:tc>
          <w:tcPr>
            <w:tcW w:w="2487" w:type="dxa"/>
            <w:vAlign w:val="top"/>
          </w:tcPr>
          <w:p>
            <w:pPr>
              <w:spacing w:line="296" w:lineRule="auto"/>
              <w:rPr>
                <w:rFonts w:ascii="Arial"/>
                <w:sz w:val="21"/>
              </w:rPr>
            </w:pPr>
          </w:p>
          <w:p>
            <w:pPr>
              <w:spacing w:before="68" w:line="218" w:lineRule="auto"/>
              <w:ind w:left="226"/>
              <w:rPr>
                <w:rFonts w:ascii="仿宋" w:hAnsi="仿宋" w:eastAsia="仿宋" w:cs="仿宋"/>
                <w:sz w:val="21"/>
                <w:szCs w:val="21"/>
              </w:rPr>
            </w:pPr>
            <w:r>
              <w:rPr>
                <w:rFonts w:ascii="仿宋" w:hAnsi="仿宋" w:eastAsia="仿宋" w:cs="仿宋"/>
                <w:spacing w:val="-4"/>
                <w:sz w:val="21"/>
                <w:szCs w:val="21"/>
              </w:rPr>
              <w:t>以最小月平均实测径流</w:t>
            </w:r>
          </w:p>
          <w:p>
            <w:pPr>
              <w:spacing w:before="64" w:line="216" w:lineRule="auto"/>
              <w:ind w:left="156"/>
              <w:rPr>
                <w:rFonts w:ascii="仿宋" w:hAnsi="仿宋" w:eastAsia="仿宋" w:cs="仿宋"/>
                <w:sz w:val="21"/>
                <w:szCs w:val="21"/>
              </w:rPr>
            </w:pPr>
            <w:r>
              <w:rPr>
                <w:rFonts w:ascii="仿宋" w:hAnsi="仿宋" w:eastAsia="仿宋" w:cs="仿宋"/>
                <w:spacing w:val="-5"/>
                <w:sz w:val="21"/>
                <w:szCs w:val="21"/>
              </w:rPr>
              <w:t>量的</w:t>
            </w:r>
            <w:r>
              <w:rPr>
                <w:rFonts w:ascii="仿宋" w:hAnsi="仿宋" w:eastAsia="仿宋" w:cs="仿宋"/>
                <w:spacing w:val="31"/>
                <w:sz w:val="21"/>
                <w:szCs w:val="21"/>
              </w:rPr>
              <w:t xml:space="preserve"> </w:t>
            </w:r>
            <w:r>
              <w:rPr>
                <w:rFonts w:ascii="仿宋" w:hAnsi="仿宋" w:eastAsia="仿宋" w:cs="仿宋"/>
                <w:spacing w:val="-5"/>
                <w:sz w:val="21"/>
                <w:szCs w:val="21"/>
              </w:rPr>
              <w:t>多年平均值作为河</w:t>
            </w:r>
          </w:p>
          <w:p>
            <w:pPr>
              <w:spacing w:before="66" w:line="218" w:lineRule="auto"/>
              <w:ind w:left="310"/>
              <w:rPr>
                <w:rFonts w:ascii="仿宋" w:hAnsi="仿宋" w:eastAsia="仿宋" w:cs="仿宋"/>
                <w:sz w:val="21"/>
                <w:szCs w:val="21"/>
              </w:rPr>
            </w:pPr>
            <w:r>
              <w:rPr>
                <w:rFonts w:ascii="仿宋" w:hAnsi="仿宋" w:eastAsia="仿宋" w:cs="仿宋"/>
                <w:spacing w:val="-2"/>
                <w:sz w:val="21"/>
                <w:szCs w:val="21"/>
              </w:rPr>
              <w:t>流基本生态环境需水</w:t>
            </w:r>
          </w:p>
          <w:p>
            <w:pPr>
              <w:spacing w:before="64" w:line="222" w:lineRule="auto"/>
              <w:ind w:left="1048"/>
              <w:rPr>
                <w:rFonts w:ascii="仿宋" w:hAnsi="仿宋" w:eastAsia="仿宋" w:cs="仿宋"/>
                <w:sz w:val="21"/>
                <w:szCs w:val="21"/>
              </w:rPr>
            </w:pPr>
            <w:r>
              <w:rPr>
                <w:rFonts w:ascii="仿宋" w:hAnsi="仿宋" w:eastAsia="仿宋" w:cs="仿宋"/>
                <w:spacing w:val="-12"/>
                <w:sz w:val="21"/>
                <w:szCs w:val="21"/>
              </w:rPr>
              <w:t>量。</w:t>
            </w:r>
          </w:p>
        </w:tc>
        <w:tc>
          <w:tcPr>
            <w:tcW w:w="1658" w:type="dxa"/>
            <w:tcBorders>
              <w:right w:val="single" w:color="000000" w:sz="6" w:space="0"/>
            </w:tcBorders>
            <w:vAlign w:val="top"/>
          </w:tcPr>
          <w:p>
            <w:pPr>
              <w:spacing w:before="52" w:line="265" w:lineRule="auto"/>
              <w:ind w:left="211" w:right="190" w:hanging="1"/>
              <w:rPr>
                <w:rFonts w:ascii="仿宋" w:hAnsi="仿宋" w:eastAsia="仿宋" w:cs="仿宋"/>
                <w:sz w:val="21"/>
                <w:szCs w:val="21"/>
              </w:rPr>
            </w:pPr>
            <w:r>
              <w:rPr>
                <w:rFonts w:ascii="仿宋" w:hAnsi="仿宋" w:eastAsia="仿宋" w:cs="仿宋"/>
                <w:spacing w:val="-8"/>
                <w:sz w:val="21"/>
                <w:szCs w:val="21"/>
              </w:rPr>
              <w:t>适合于干旱、</w:t>
            </w:r>
            <w:r>
              <w:rPr>
                <w:rFonts w:ascii="仿宋" w:hAnsi="仿宋" w:eastAsia="仿宋" w:cs="仿宋"/>
                <w:sz w:val="21"/>
                <w:szCs w:val="21"/>
              </w:rPr>
              <w:t xml:space="preserve"> </w:t>
            </w:r>
            <w:r>
              <w:rPr>
                <w:rFonts w:ascii="仿宋" w:hAnsi="仿宋" w:eastAsia="仿宋" w:cs="仿宋"/>
                <w:spacing w:val="-3"/>
                <w:sz w:val="21"/>
                <w:szCs w:val="21"/>
              </w:rPr>
              <w:t>半干旱区域生</w:t>
            </w:r>
            <w:r>
              <w:rPr>
                <w:rFonts w:ascii="仿宋" w:hAnsi="仿宋" w:eastAsia="仿宋" w:cs="仿宋"/>
                <w:spacing w:val="2"/>
                <w:sz w:val="21"/>
                <w:szCs w:val="21"/>
              </w:rPr>
              <w:t xml:space="preserve"> </w:t>
            </w:r>
            <w:r>
              <w:rPr>
                <w:rFonts w:ascii="仿宋" w:hAnsi="仿宋" w:eastAsia="仿宋" w:cs="仿宋"/>
                <w:spacing w:val="-3"/>
                <w:sz w:val="21"/>
                <w:szCs w:val="21"/>
              </w:rPr>
              <w:t>态环境目标复</w:t>
            </w:r>
            <w:r>
              <w:rPr>
                <w:rFonts w:ascii="仿宋" w:hAnsi="仿宋" w:eastAsia="仿宋" w:cs="仿宋"/>
                <w:spacing w:val="2"/>
                <w:sz w:val="21"/>
                <w:szCs w:val="21"/>
              </w:rPr>
              <w:t xml:space="preserve"> </w:t>
            </w:r>
            <w:r>
              <w:rPr>
                <w:rFonts w:ascii="仿宋" w:hAnsi="仿宋" w:eastAsia="仿宋" w:cs="仿宋"/>
                <w:spacing w:val="-3"/>
                <w:sz w:val="21"/>
                <w:szCs w:val="21"/>
              </w:rPr>
              <w:t>杂的河流。对</w:t>
            </w:r>
            <w:r>
              <w:rPr>
                <w:rFonts w:ascii="仿宋" w:hAnsi="仿宋" w:eastAsia="仿宋" w:cs="仿宋"/>
                <w:spacing w:val="2"/>
                <w:sz w:val="21"/>
                <w:szCs w:val="21"/>
              </w:rPr>
              <w:t xml:space="preserve"> </w:t>
            </w:r>
            <w:r>
              <w:rPr>
                <w:rFonts w:ascii="仿宋" w:hAnsi="仿宋" w:eastAsia="仿宋" w:cs="仿宋"/>
                <w:spacing w:val="-3"/>
                <w:sz w:val="21"/>
                <w:szCs w:val="21"/>
              </w:rPr>
              <w:t>生态目标相对</w:t>
            </w:r>
            <w:r>
              <w:rPr>
                <w:rFonts w:ascii="仿宋" w:hAnsi="仿宋" w:eastAsia="仿宋" w:cs="仿宋"/>
                <w:spacing w:val="2"/>
                <w:sz w:val="21"/>
                <w:szCs w:val="21"/>
              </w:rPr>
              <w:t xml:space="preserve"> </w:t>
            </w:r>
            <w:r>
              <w:rPr>
                <w:rFonts w:ascii="仿宋" w:hAnsi="仿宋" w:eastAsia="仿宋" w:cs="仿宋"/>
                <w:spacing w:val="-8"/>
                <w:sz w:val="21"/>
                <w:szCs w:val="21"/>
              </w:rPr>
              <w:t>单一的地区，</w:t>
            </w:r>
          </w:p>
        </w:tc>
        <w:tc>
          <w:tcPr>
            <w:tcW w:w="1106" w:type="dxa"/>
            <w:tcBorders>
              <w:left w:val="single" w:color="000000" w:sz="6" w:space="0"/>
              <w:right w:val="single" w:color="000000" w:sz="6" w:space="0"/>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8" w:line="220" w:lineRule="auto"/>
              <w:ind w:left="348"/>
              <w:rPr>
                <w:rFonts w:ascii="仿宋" w:hAnsi="仿宋" w:eastAsia="仿宋" w:cs="仿宋"/>
                <w:sz w:val="21"/>
                <w:szCs w:val="21"/>
              </w:rPr>
            </w:pPr>
            <w:r>
              <w:rPr>
                <w:rFonts w:ascii="仿宋" w:hAnsi="仿宋" w:eastAsia="仿宋" w:cs="仿宋"/>
                <w:spacing w:val="-4"/>
                <w:sz w:val="21"/>
                <w:szCs w:val="21"/>
              </w:rPr>
              <w:t>适用</w:t>
            </w:r>
          </w:p>
        </w:tc>
        <w:tc>
          <w:tcPr>
            <w:tcW w:w="1289" w:type="dxa"/>
            <w:tcBorders>
              <w:left w:val="single" w:color="000000" w:sz="6"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headerReference r:id="rId356" w:type="default"/>
          <w:footerReference r:id="rId357" w:type="default"/>
          <w:pgSz w:w="11907" w:h="16839"/>
          <w:pgMar w:top="1156" w:right="1712" w:bottom="1374" w:left="1770" w:header="881" w:footer="1210" w:gutter="0"/>
        </w:sectPr>
      </w:pPr>
    </w:p>
    <w:p>
      <w:pPr>
        <w:spacing w:before="41"/>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972"/>
        <w:gridCol w:w="2487"/>
        <w:gridCol w:w="1658"/>
        <w:gridCol w:w="1105"/>
        <w:gridCol w:w="12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3" w:hRule="atLeast"/>
        </w:trPr>
        <w:tc>
          <w:tcPr>
            <w:tcW w:w="810" w:type="dxa"/>
            <w:tcBorders>
              <w:left w:val="nil"/>
            </w:tcBorders>
            <w:vAlign w:val="top"/>
          </w:tcPr>
          <w:p>
            <w:pPr>
              <w:spacing w:before="212" w:line="220" w:lineRule="auto"/>
              <w:ind w:left="219"/>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方法</w:t>
            </w:r>
          </w:p>
        </w:tc>
        <w:tc>
          <w:tcPr>
            <w:tcW w:w="972" w:type="dxa"/>
            <w:vAlign w:val="top"/>
          </w:tcPr>
          <w:p>
            <w:pPr>
              <w:spacing w:before="211" w:line="217" w:lineRule="auto"/>
              <w:ind w:left="28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名称</w:t>
            </w:r>
          </w:p>
        </w:tc>
        <w:tc>
          <w:tcPr>
            <w:tcW w:w="2487" w:type="dxa"/>
            <w:vAlign w:val="top"/>
          </w:tcPr>
          <w:p>
            <w:pPr>
              <w:spacing w:before="212" w:line="217" w:lineRule="auto"/>
              <w:ind w:left="833"/>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计算方法</w:t>
            </w:r>
          </w:p>
        </w:tc>
        <w:tc>
          <w:tcPr>
            <w:tcW w:w="1658" w:type="dxa"/>
            <w:tcBorders>
              <w:right w:val="single" w:color="000000" w:sz="6" w:space="0"/>
            </w:tcBorders>
            <w:vAlign w:val="top"/>
          </w:tcPr>
          <w:p>
            <w:pPr>
              <w:spacing w:before="56" w:line="246" w:lineRule="auto"/>
              <w:ind w:left="734" w:right="190" w:hanging="527"/>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适用或限制条</w:t>
            </w:r>
            <w:r>
              <w:rPr>
                <w:rFonts w:ascii="仿宋" w:hAnsi="仿宋" w:eastAsia="仿宋" w:cs="仿宋"/>
                <w:spacing w:val="1"/>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件</w:t>
            </w:r>
          </w:p>
        </w:tc>
        <w:tc>
          <w:tcPr>
            <w:tcW w:w="1105" w:type="dxa"/>
            <w:tcBorders>
              <w:left w:val="single" w:color="000000" w:sz="6" w:space="0"/>
              <w:right w:val="single" w:color="000000" w:sz="6" w:space="0"/>
            </w:tcBorders>
            <w:vAlign w:val="top"/>
          </w:tcPr>
          <w:p>
            <w:pPr>
              <w:spacing w:before="211" w:line="220" w:lineRule="auto"/>
              <w:ind w:left="13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是否适用</w:t>
            </w:r>
          </w:p>
        </w:tc>
        <w:tc>
          <w:tcPr>
            <w:tcW w:w="1289" w:type="dxa"/>
            <w:tcBorders>
              <w:left w:val="single" w:color="000000" w:sz="6" w:space="0"/>
              <w:right w:val="nil"/>
            </w:tcBorders>
            <w:vAlign w:val="top"/>
          </w:tcPr>
          <w:p>
            <w:pPr>
              <w:spacing w:before="212" w:line="220" w:lineRule="auto"/>
              <w:ind w:left="44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716" w:hRule="atLeast"/>
        </w:trPr>
        <w:tc>
          <w:tcPr>
            <w:tcW w:w="810" w:type="dxa"/>
            <w:tcBorders>
              <w:left w:val="nil"/>
              <w:bottom w:val="single" w:color="000000" w:sz="4" w:space="0"/>
            </w:tcBorders>
            <w:vAlign w:val="top"/>
          </w:tcPr>
          <w:p>
            <w:pPr>
              <w:rPr>
                <w:rFonts w:ascii="Arial"/>
                <w:sz w:val="21"/>
              </w:rPr>
            </w:pPr>
          </w:p>
        </w:tc>
        <w:tc>
          <w:tcPr>
            <w:tcW w:w="972" w:type="dxa"/>
            <w:tcBorders>
              <w:bottom w:val="single" w:color="000000" w:sz="4" w:space="0"/>
            </w:tcBorders>
            <w:vAlign w:val="top"/>
          </w:tcPr>
          <w:p>
            <w:pPr>
              <w:rPr>
                <w:rFonts w:ascii="Arial"/>
                <w:sz w:val="21"/>
              </w:rPr>
            </w:pPr>
          </w:p>
        </w:tc>
        <w:tc>
          <w:tcPr>
            <w:tcW w:w="2487" w:type="dxa"/>
            <w:tcBorders>
              <w:bottom w:val="single" w:color="000000" w:sz="4" w:space="0"/>
            </w:tcBorders>
            <w:vAlign w:val="top"/>
          </w:tcPr>
          <w:p>
            <w:pPr>
              <w:rPr>
                <w:rFonts w:ascii="Arial"/>
                <w:sz w:val="21"/>
              </w:rPr>
            </w:pPr>
          </w:p>
        </w:tc>
        <w:tc>
          <w:tcPr>
            <w:tcW w:w="1658" w:type="dxa"/>
            <w:tcBorders>
              <w:bottom w:val="single" w:color="000000" w:sz="4" w:space="0"/>
              <w:right w:val="single" w:color="000000" w:sz="6" w:space="0"/>
            </w:tcBorders>
            <w:vAlign w:val="top"/>
          </w:tcPr>
          <w:p>
            <w:pPr>
              <w:spacing w:before="52" w:line="247" w:lineRule="auto"/>
              <w:ind w:left="632" w:right="297" w:hanging="318"/>
              <w:rPr>
                <w:rFonts w:ascii="仿宋" w:hAnsi="仿宋" w:eastAsia="仿宋" w:cs="仿宋"/>
                <w:sz w:val="21"/>
                <w:szCs w:val="21"/>
              </w:rPr>
            </w:pPr>
            <w:r>
              <w:rPr>
                <w:rFonts w:ascii="仿宋" w:hAnsi="仿宋" w:eastAsia="仿宋" w:cs="仿宋"/>
                <w:spacing w:val="-3"/>
                <w:sz w:val="21"/>
                <w:szCs w:val="21"/>
              </w:rPr>
              <w:t>计算结果偏</w:t>
            </w:r>
            <w:r>
              <w:rPr>
                <w:rFonts w:ascii="仿宋" w:hAnsi="仿宋" w:eastAsia="仿宋" w:cs="仿宋"/>
                <w:sz w:val="21"/>
                <w:szCs w:val="21"/>
              </w:rPr>
              <w:t xml:space="preserve"> </w:t>
            </w:r>
            <w:r>
              <w:rPr>
                <w:rFonts w:ascii="仿宋" w:hAnsi="仿宋" w:eastAsia="仿宋" w:cs="仿宋"/>
                <w:spacing w:val="-12"/>
                <w:sz w:val="21"/>
                <w:szCs w:val="21"/>
              </w:rPr>
              <w:t>大。</w:t>
            </w:r>
          </w:p>
        </w:tc>
        <w:tc>
          <w:tcPr>
            <w:tcW w:w="1105" w:type="dxa"/>
            <w:tcBorders>
              <w:left w:val="single" w:color="000000" w:sz="6" w:space="0"/>
              <w:bottom w:val="single" w:color="000000" w:sz="4" w:space="0"/>
              <w:right w:val="single" w:color="000000" w:sz="6" w:space="0"/>
            </w:tcBorders>
            <w:vAlign w:val="top"/>
          </w:tcPr>
          <w:p>
            <w:pPr>
              <w:rPr>
                <w:rFonts w:ascii="Arial"/>
                <w:sz w:val="21"/>
              </w:rPr>
            </w:pPr>
          </w:p>
        </w:tc>
        <w:tc>
          <w:tcPr>
            <w:tcW w:w="1289" w:type="dxa"/>
            <w:tcBorders>
              <w:left w:val="single" w:color="000000" w:sz="6" w:space="0"/>
              <w:bottom w:val="single" w:color="000000" w:sz="4"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1" w:hRule="atLeast"/>
        </w:trPr>
        <w:tc>
          <w:tcPr>
            <w:tcW w:w="810" w:type="dxa"/>
            <w:tcBorders>
              <w:top w:val="single" w:color="000000" w:sz="4" w:space="0"/>
              <w:left w:val="nil"/>
            </w:tcBorders>
            <w:vAlign w:val="top"/>
          </w:tcPr>
          <w:p>
            <w:pPr>
              <w:spacing w:line="299" w:lineRule="auto"/>
              <w:rPr>
                <w:rFonts w:ascii="Arial"/>
                <w:sz w:val="21"/>
              </w:rPr>
            </w:pPr>
          </w:p>
          <w:p>
            <w:pPr>
              <w:spacing w:line="300" w:lineRule="auto"/>
              <w:rPr>
                <w:rFonts w:ascii="Arial"/>
                <w:sz w:val="21"/>
              </w:rPr>
            </w:pPr>
          </w:p>
          <w:p>
            <w:pPr>
              <w:spacing w:before="68" w:line="312" w:lineRule="exact"/>
              <w:ind w:left="214"/>
              <w:rPr>
                <w:rFonts w:ascii="仿宋" w:hAnsi="仿宋" w:eastAsia="仿宋" w:cs="仿宋"/>
                <w:sz w:val="21"/>
                <w:szCs w:val="21"/>
              </w:rPr>
            </w:pPr>
            <w:r>
              <w:rPr>
                <w:rFonts w:ascii="仿宋" w:hAnsi="仿宋" w:eastAsia="仿宋" w:cs="仿宋"/>
                <w:spacing w:val="-4"/>
                <w:position w:val="7"/>
                <w:sz w:val="21"/>
                <w:szCs w:val="21"/>
              </w:rPr>
              <w:t>水力</w:t>
            </w:r>
          </w:p>
          <w:p>
            <w:pPr>
              <w:spacing w:line="218" w:lineRule="auto"/>
              <w:ind w:left="224"/>
              <w:rPr>
                <w:rFonts w:ascii="仿宋" w:hAnsi="仿宋" w:eastAsia="仿宋" w:cs="仿宋"/>
                <w:sz w:val="21"/>
                <w:szCs w:val="21"/>
              </w:rPr>
            </w:pPr>
            <w:r>
              <w:rPr>
                <w:rFonts w:ascii="仿宋" w:hAnsi="仿宋" w:eastAsia="仿宋" w:cs="仿宋"/>
                <w:spacing w:val="-6"/>
                <w:sz w:val="21"/>
                <w:szCs w:val="21"/>
              </w:rPr>
              <w:t>学法</w:t>
            </w:r>
          </w:p>
        </w:tc>
        <w:tc>
          <w:tcPr>
            <w:tcW w:w="972" w:type="dxa"/>
            <w:tcBorders>
              <w:top w:val="single" w:color="000000" w:sz="4"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9" w:line="219" w:lineRule="auto"/>
              <w:ind w:left="183"/>
              <w:rPr>
                <w:rFonts w:ascii="仿宋" w:hAnsi="仿宋" w:eastAsia="仿宋" w:cs="仿宋"/>
                <w:sz w:val="21"/>
                <w:szCs w:val="21"/>
              </w:rPr>
            </w:pPr>
            <w:r>
              <w:rPr>
                <w:rFonts w:ascii="仿宋" w:hAnsi="仿宋" w:eastAsia="仿宋" w:cs="仿宋"/>
                <w:spacing w:val="-4"/>
                <w:sz w:val="21"/>
                <w:szCs w:val="21"/>
              </w:rPr>
              <w:t>湿周法</w:t>
            </w:r>
          </w:p>
        </w:tc>
        <w:tc>
          <w:tcPr>
            <w:tcW w:w="2487" w:type="dxa"/>
            <w:tcBorders>
              <w:top w:val="single" w:color="000000" w:sz="4" w:space="0"/>
            </w:tcBorders>
            <w:vAlign w:val="top"/>
          </w:tcPr>
          <w:p>
            <w:pPr>
              <w:spacing w:before="48" w:line="262" w:lineRule="auto"/>
              <w:ind w:left="207" w:right="190" w:hanging="1"/>
              <w:jc w:val="both"/>
              <w:rPr>
                <w:rFonts w:ascii="仿宋" w:hAnsi="仿宋" w:eastAsia="仿宋" w:cs="仿宋"/>
                <w:sz w:val="21"/>
                <w:szCs w:val="21"/>
              </w:rPr>
            </w:pPr>
            <w:r>
              <w:rPr>
                <w:rFonts w:ascii="仿宋" w:hAnsi="仿宋" w:eastAsia="仿宋" w:cs="仿宋"/>
                <w:spacing w:val="-2"/>
                <w:sz w:val="21"/>
                <w:szCs w:val="21"/>
              </w:rPr>
              <w:t>采用湿周作为栖息地的</w:t>
            </w:r>
            <w:r>
              <w:rPr>
                <w:rFonts w:ascii="仿宋" w:hAnsi="仿宋" w:eastAsia="仿宋" w:cs="仿宋"/>
                <w:spacing w:val="3"/>
                <w:sz w:val="21"/>
                <w:szCs w:val="21"/>
              </w:rPr>
              <w:t xml:space="preserve"> </w:t>
            </w:r>
            <w:r>
              <w:rPr>
                <w:rFonts w:ascii="仿宋" w:hAnsi="仿宋" w:eastAsia="仿宋" w:cs="仿宋"/>
                <w:spacing w:val="-2"/>
                <w:sz w:val="21"/>
                <w:szCs w:val="21"/>
              </w:rPr>
              <w:t>质量指标，绘制临界栖</w:t>
            </w:r>
            <w:r>
              <w:rPr>
                <w:rFonts w:ascii="仿宋" w:hAnsi="仿宋" w:eastAsia="仿宋" w:cs="仿宋"/>
                <w:spacing w:val="1"/>
                <w:sz w:val="21"/>
                <w:szCs w:val="21"/>
              </w:rPr>
              <w:t xml:space="preserve"> </w:t>
            </w:r>
            <w:r>
              <w:rPr>
                <w:rFonts w:ascii="仿宋" w:hAnsi="仿宋" w:eastAsia="仿宋" w:cs="仿宋"/>
                <w:spacing w:val="-2"/>
                <w:sz w:val="21"/>
                <w:szCs w:val="21"/>
              </w:rPr>
              <w:t>息地区域湿周与流量的</w:t>
            </w:r>
            <w:r>
              <w:rPr>
                <w:rFonts w:ascii="仿宋" w:hAnsi="仿宋" w:eastAsia="仿宋" w:cs="仿宋"/>
                <w:spacing w:val="1"/>
                <w:sz w:val="21"/>
                <w:szCs w:val="21"/>
              </w:rPr>
              <w:t xml:space="preserve"> </w:t>
            </w:r>
            <w:r>
              <w:rPr>
                <w:rFonts w:ascii="仿宋" w:hAnsi="仿宋" w:eastAsia="仿宋" w:cs="仿宋"/>
                <w:spacing w:val="-2"/>
                <w:sz w:val="21"/>
                <w:szCs w:val="21"/>
              </w:rPr>
              <w:t>关系曲线，根据湿周流</w:t>
            </w:r>
            <w:r>
              <w:rPr>
                <w:rFonts w:ascii="仿宋" w:hAnsi="仿宋" w:eastAsia="仿宋" w:cs="仿宋"/>
                <w:spacing w:val="2"/>
                <w:sz w:val="21"/>
                <w:szCs w:val="21"/>
              </w:rPr>
              <w:t xml:space="preserve"> </w:t>
            </w:r>
            <w:r>
              <w:rPr>
                <w:rFonts w:ascii="仿宋" w:hAnsi="仿宋" w:eastAsia="仿宋" w:cs="仿宋"/>
                <w:spacing w:val="-2"/>
                <w:sz w:val="21"/>
                <w:szCs w:val="21"/>
              </w:rPr>
              <w:t>量关系图中的转折点确</w:t>
            </w:r>
          </w:p>
          <w:p>
            <w:pPr>
              <w:spacing w:before="68" w:line="218" w:lineRule="auto"/>
              <w:ind w:left="314"/>
              <w:rPr>
                <w:rFonts w:ascii="仿宋" w:hAnsi="仿宋" w:eastAsia="仿宋" w:cs="仿宋"/>
                <w:sz w:val="21"/>
                <w:szCs w:val="21"/>
              </w:rPr>
            </w:pPr>
            <w:r>
              <w:rPr>
                <w:rFonts w:ascii="仿宋" w:hAnsi="仿宋" w:eastAsia="仿宋" w:cs="仿宋"/>
                <w:spacing w:val="-5"/>
                <w:sz w:val="21"/>
                <w:szCs w:val="21"/>
              </w:rPr>
              <w:t>定河道推荐流量值。</w:t>
            </w:r>
          </w:p>
        </w:tc>
        <w:tc>
          <w:tcPr>
            <w:tcW w:w="1658" w:type="dxa"/>
            <w:tcBorders>
              <w:top w:val="single" w:color="000000" w:sz="4" w:space="0"/>
              <w:right w:val="single" w:color="000000" w:sz="6" w:space="0"/>
            </w:tcBorders>
            <w:vAlign w:val="top"/>
          </w:tcPr>
          <w:p>
            <w:pPr>
              <w:spacing w:line="288" w:lineRule="auto"/>
              <w:rPr>
                <w:rFonts w:ascii="Arial"/>
                <w:sz w:val="21"/>
              </w:rPr>
            </w:pPr>
          </w:p>
          <w:p>
            <w:pPr>
              <w:spacing w:before="69" w:line="219" w:lineRule="auto"/>
              <w:ind w:left="209"/>
              <w:rPr>
                <w:rFonts w:ascii="仿宋" w:hAnsi="仿宋" w:eastAsia="仿宋" w:cs="仿宋"/>
                <w:sz w:val="21"/>
                <w:szCs w:val="21"/>
              </w:rPr>
            </w:pPr>
            <w:r>
              <w:rPr>
                <w:rFonts w:ascii="仿宋" w:hAnsi="仿宋" w:eastAsia="仿宋" w:cs="仿宋"/>
                <w:spacing w:val="-2"/>
                <w:sz w:val="21"/>
                <w:szCs w:val="21"/>
              </w:rPr>
              <w:t>适用于河床形</w:t>
            </w:r>
          </w:p>
          <w:p>
            <w:pPr>
              <w:spacing w:before="63" w:line="215" w:lineRule="auto"/>
              <w:ind w:left="210"/>
              <w:rPr>
                <w:rFonts w:ascii="仿宋" w:hAnsi="仿宋" w:eastAsia="仿宋" w:cs="仿宋"/>
                <w:sz w:val="21"/>
                <w:szCs w:val="21"/>
              </w:rPr>
            </w:pPr>
            <w:r>
              <w:rPr>
                <w:rFonts w:ascii="仿宋" w:hAnsi="仿宋" w:eastAsia="仿宋" w:cs="仿宋"/>
                <w:spacing w:val="-2"/>
                <w:sz w:val="21"/>
                <w:szCs w:val="21"/>
              </w:rPr>
              <w:t>状稳定的宽浅</w:t>
            </w:r>
          </w:p>
          <w:p>
            <w:pPr>
              <w:spacing w:before="66" w:line="247" w:lineRule="auto"/>
              <w:ind w:left="429" w:right="191" w:hanging="219"/>
              <w:rPr>
                <w:rFonts w:ascii="仿宋" w:hAnsi="仿宋" w:eastAsia="仿宋" w:cs="仿宋"/>
                <w:sz w:val="21"/>
                <w:szCs w:val="21"/>
              </w:rPr>
            </w:pPr>
            <w:r>
              <w:rPr>
                <w:rFonts w:ascii="仿宋" w:hAnsi="仿宋" w:eastAsia="仿宋" w:cs="仿宋"/>
                <w:spacing w:val="-3"/>
                <w:sz w:val="21"/>
                <w:szCs w:val="21"/>
              </w:rPr>
              <w:t>矩形和抛物线</w:t>
            </w:r>
            <w:r>
              <w:rPr>
                <w:rFonts w:ascii="仿宋" w:hAnsi="仿宋" w:eastAsia="仿宋" w:cs="仿宋"/>
                <w:spacing w:val="3"/>
                <w:sz w:val="21"/>
                <w:szCs w:val="21"/>
              </w:rPr>
              <w:t xml:space="preserve"> </w:t>
            </w:r>
            <w:r>
              <w:rPr>
                <w:rFonts w:ascii="仿宋" w:hAnsi="仿宋" w:eastAsia="仿宋" w:cs="仿宋"/>
                <w:spacing w:val="-10"/>
                <w:sz w:val="21"/>
                <w:szCs w:val="21"/>
              </w:rPr>
              <w:t>型河道。</w:t>
            </w:r>
          </w:p>
        </w:tc>
        <w:tc>
          <w:tcPr>
            <w:tcW w:w="1105" w:type="dxa"/>
            <w:tcBorders>
              <w:top w:val="single" w:color="000000" w:sz="4" w:space="0"/>
              <w:left w:val="single" w:color="000000" w:sz="6" w:space="0"/>
              <w:right w:val="single" w:color="000000" w:sz="6" w:space="0"/>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8" w:line="220" w:lineRule="auto"/>
              <w:ind w:left="249"/>
              <w:rPr>
                <w:rFonts w:ascii="仿宋" w:hAnsi="仿宋" w:eastAsia="仿宋" w:cs="仿宋"/>
                <w:sz w:val="21"/>
                <w:szCs w:val="21"/>
              </w:rPr>
            </w:pPr>
            <w:r>
              <w:rPr>
                <w:rFonts w:ascii="仿宋" w:hAnsi="仿宋" w:eastAsia="仿宋" w:cs="仿宋"/>
                <w:spacing w:val="-7"/>
                <w:sz w:val="21"/>
                <w:szCs w:val="21"/>
              </w:rPr>
              <w:t>不适用</w:t>
            </w:r>
          </w:p>
        </w:tc>
        <w:tc>
          <w:tcPr>
            <w:tcW w:w="1289" w:type="dxa"/>
            <w:tcBorders>
              <w:top w:val="single" w:color="000000" w:sz="4" w:space="0"/>
              <w:left w:val="single" w:color="000000" w:sz="6" w:space="0"/>
              <w:right w:val="nil"/>
            </w:tcBorders>
            <w:vAlign w:val="top"/>
          </w:tcPr>
          <w:p>
            <w:pPr>
              <w:spacing w:line="443" w:lineRule="auto"/>
              <w:rPr>
                <w:rFonts w:ascii="Arial"/>
                <w:sz w:val="21"/>
              </w:rPr>
            </w:pPr>
          </w:p>
          <w:p>
            <w:pPr>
              <w:spacing w:before="68" w:line="217" w:lineRule="auto"/>
              <w:ind w:left="124"/>
              <w:rPr>
                <w:rFonts w:ascii="仿宋" w:hAnsi="仿宋" w:eastAsia="仿宋" w:cs="仿宋"/>
                <w:sz w:val="21"/>
                <w:szCs w:val="21"/>
              </w:rPr>
            </w:pPr>
            <w:r>
              <w:rPr>
                <w:rFonts w:ascii="仿宋" w:hAnsi="仿宋" w:eastAsia="仿宋" w:cs="仿宋"/>
                <w:spacing w:val="-2"/>
                <w:sz w:val="21"/>
                <w:szCs w:val="21"/>
              </w:rPr>
              <w:t>缺少河道断</w:t>
            </w:r>
          </w:p>
          <w:p>
            <w:pPr>
              <w:spacing w:before="64" w:line="247" w:lineRule="auto"/>
              <w:ind w:left="441" w:right="223" w:hanging="206"/>
              <w:rPr>
                <w:rFonts w:ascii="仿宋" w:hAnsi="仿宋" w:eastAsia="仿宋" w:cs="仿宋"/>
                <w:sz w:val="21"/>
                <w:szCs w:val="21"/>
              </w:rPr>
            </w:pPr>
            <w:r>
              <w:rPr>
                <w:rFonts w:ascii="仿宋" w:hAnsi="仿宋" w:eastAsia="仿宋" w:cs="仿宋"/>
                <w:spacing w:val="-5"/>
                <w:sz w:val="21"/>
                <w:szCs w:val="21"/>
              </w:rPr>
              <w:t>面实测数</w:t>
            </w:r>
            <w:r>
              <w:rPr>
                <w:rFonts w:ascii="仿宋" w:hAnsi="仿宋" w:eastAsia="仿宋" w:cs="仿宋"/>
                <w:sz w:val="21"/>
                <w:szCs w:val="21"/>
              </w:rPr>
              <w:t xml:space="preserve"> </w:t>
            </w:r>
            <w:r>
              <w:rPr>
                <w:rFonts w:ascii="仿宋" w:hAnsi="仿宋" w:eastAsia="仿宋" w:cs="仿宋"/>
                <w:spacing w:val="-11"/>
                <w:sz w:val="21"/>
                <w:szCs w:val="21"/>
              </w:rPr>
              <w:t>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500" w:hRule="atLeast"/>
        </w:trPr>
        <w:tc>
          <w:tcPr>
            <w:tcW w:w="810" w:type="dxa"/>
            <w:tcBorders>
              <w:left w:val="nil"/>
            </w:tcBorders>
            <w:vAlign w:val="top"/>
          </w:tcPr>
          <w:p>
            <w:pPr>
              <w:spacing w:line="302" w:lineRule="auto"/>
              <w:rPr>
                <w:rFonts w:ascii="Arial"/>
                <w:sz w:val="21"/>
              </w:rPr>
            </w:pPr>
          </w:p>
          <w:p>
            <w:pPr>
              <w:spacing w:line="303" w:lineRule="auto"/>
              <w:rPr>
                <w:rFonts w:ascii="Arial"/>
                <w:sz w:val="21"/>
              </w:rPr>
            </w:pPr>
          </w:p>
          <w:p>
            <w:pPr>
              <w:pStyle w:val="6"/>
              <w:spacing w:before="68" w:line="219" w:lineRule="auto"/>
              <w:ind w:left="180"/>
            </w:pPr>
            <w:r>
              <w:rPr>
                <w:rFonts w:ascii="仿宋" w:hAnsi="仿宋" w:eastAsia="仿宋" w:cs="仿宋"/>
                <w:spacing w:val="-2"/>
              </w:rPr>
              <w:t>水文</w:t>
            </w:r>
            <w:r>
              <w:rPr>
                <w:spacing w:val="-2"/>
              </w:rPr>
              <w:t>-</w:t>
            </w:r>
          </w:p>
          <w:p>
            <w:pPr>
              <w:spacing w:before="62" w:line="217" w:lineRule="auto"/>
              <w:ind w:left="227"/>
              <w:rPr>
                <w:rFonts w:ascii="仿宋" w:hAnsi="仿宋" w:eastAsia="仿宋" w:cs="仿宋"/>
                <w:sz w:val="21"/>
                <w:szCs w:val="21"/>
              </w:rPr>
            </w:pPr>
            <w:r>
              <w:rPr>
                <w:rFonts w:ascii="仿宋" w:hAnsi="仿宋" w:eastAsia="仿宋" w:cs="仿宋"/>
                <w:spacing w:val="-7"/>
                <w:sz w:val="21"/>
                <w:szCs w:val="21"/>
              </w:rPr>
              <w:t>生物</w:t>
            </w:r>
          </w:p>
          <w:p>
            <w:pPr>
              <w:spacing w:before="65" w:line="217" w:lineRule="auto"/>
              <w:ind w:left="217"/>
              <w:rPr>
                <w:rFonts w:ascii="仿宋" w:hAnsi="仿宋" w:eastAsia="仿宋" w:cs="仿宋"/>
                <w:sz w:val="21"/>
                <w:szCs w:val="21"/>
              </w:rPr>
            </w:pPr>
            <w:r>
              <w:rPr>
                <w:rFonts w:ascii="仿宋" w:hAnsi="仿宋" w:eastAsia="仿宋" w:cs="仿宋"/>
                <w:spacing w:val="-5"/>
                <w:sz w:val="21"/>
                <w:szCs w:val="21"/>
              </w:rPr>
              <w:t>分析</w:t>
            </w:r>
          </w:p>
          <w:p>
            <w:pPr>
              <w:spacing w:before="65" w:line="222" w:lineRule="auto"/>
              <w:ind w:left="326"/>
              <w:rPr>
                <w:rFonts w:ascii="仿宋" w:hAnsi="仿宋" w:eastAsia="仿宋" w:cs="仿宋"/>
                <w:sz w:val="21"/>
                <w:szCs w:val="21"/>
              </w:rPr>
            </w:pPr>
            <w:r>
              <w:rPr>
                <w:rFonts w:ascii="仿宋" w:hAnsi="仿宋" w:eastAsia="仿宋" w:cs="仿宋"/>
                <w:sz w:val="21"/>
                <w:szCs w:val="21"/>
              </w:rPr>
              <w:t>法</w:t>
            </w:r>
          </w:p>
        </w:tc>
        <w:tc>
          <w:tcPr>
            <w:tcW w:w="97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8" w:line="220" w:lineRule="auto"/>
              <w:ind w:left="181"/>
              <w:rPr>
                <w:rFonts w:ascii="仿宋" w:hAnsi="仿宋" w:eastAsia="仿宋" w:cs="仿宋"/>
                <w:sz w:val="21"/>
                <w:szCs w:val="21"/>
              </w:rPr>
            </w:pPr>
            <w:r>
              <w:rPr>
                <w:rFonts w:ascii="仿宋" w:hAnsi="仿宋" w:eastAsia="仿宋" w:cs="仿宋"/>
                <w:spacing w:val="-4"/>
                <w:sz w:val="21"/>
                <w:szCs w:val="21"/>
              </w:rPr>
              <w:t>组合法</w:t>
            </w:r>
          </w:p>
        </w:tc>
        <w:tc>
          <w:tcPr>
            <w:tcW w:w="2487" w:type="dxa"/>
            <w:vAlign w:val="top"/>
          </w:tcPr>
          <w:p>
            <w:pPr>
              <w:spacing w:line="450" w:lineRule="auto"/>
              <w:rPr>
                <w:rFonts w:ascii="Arial"/>
                <w:sz w:val="21"/>
              </w:rPr>
            </w:pPr>
          </w:p>
          <w:p>
            <w:pPr>
              <w:spacing w:before="68" w:line="260" w:lineRule="auto"/>
              <w:ind w:left="207" w:right="191" w:hanging="1"/>
              <w:jc w:val="both"/>
              <w:rPr>
                <w:rFonts w:ascii="仿宋" w:hAnsi="仿宋" w:eastAsia="仿宋" w:cs="仿宋"/>
                <w:sz w:val="21"/>
                <w:szCs w:val="21"/>
              </w:rPr>
            </w:pPr>
            <w:r>
              <w:rPr>
                <w:rFonts w:ascii="仿宋" w:hAnsi="仿宋" w:eastAsia="仿宋" w:cs="仿宋"/>
                <w:spacing w:val="-2"/>
                <w:sz w:val="21"/>
                <w:szCs w:val="21"/>
              </w:rPr>
              <w:t>采用多变量回归统计方</w:t>
            </w:r>
            <w:r>
              <w:rPr>
                <w:rFonts w:ascii="仿宋" w:hAnsi="仿宋" w:eastAsia="仿宋" w:cs="仿宋"/>
                <w:spacing w:val="3"/>
                <w:sz w:val="21"/>
                <w:szCs w:val="21"/>
              </w:rPr>
              <w:t xml:space="preserve"> </w:t>
            </w:r>
            <w:r>
              <w:rPr>
                <w:rFonts w:ascii="仿宋" w:hAnsi="仿宋" w:eastAsia="仿宋" w:cs="仿宋"/>
                <w:spacing w:val="-2"/>
                <w:sz w:val="21"/>
                <w:szCs w:val="21"/>
              </w:rPr>
              <w:t>法，建立初始生物数据</w:t>
            </w:r>
            <w:r>
              <w:rPr>
                <w:rFonts w:ascii="仿宋" w:hAnsi="仿宋" w:eastAsia="仿宋" w:cs="仿宋"/>
                <w:spacing w:val="1"/>
                <w:sz w:val="21"/>
                <w:szCs w:val="21"/>
              </w:rPr>
              <w:t xml:space="preserve"> </w:t>
            </w:r>
            <w:r>
              <w:rPr>
                <w:rFonts w:ascii="仿宋" w:hAnsi="仿宋" w:eastAsia="仿宋" w:cs="仿宋"/>
                <w:spacing w:val="-2"/>
                <w:sz w:val="21"/>
                <w:szCs w:val="21"/>
              </w:rPr>
              <w:t>与环境条件的关系，来</w:t>
            </w:r>
            <w:r>
              <w:rPr>
                <w:rFonts w:ascii="仿宋" w:hAnsi="仿宋" w:eastAsia="仿宋" w:cs="仿宋"/>
                <w:spacing w:val="1"/>
                <w:sz w:val="21"/>
                <w:szCs w:val="21"/>
              </w:rPr>
              <w:t xml:space="preserve"> </w:t>
            </w:r>
            <w:r>
              <w:rPr>
                <w:rFonts w:ascii="仿宋" w:hAnsi="仿宋" w:eastAsia="仿宋" w:cs="仿宋"/>
                <w:spacing w:val="-2"/>
                <w:sz w:val="21"/>
                <w:szCs w:val="21"/>
              </w:rPr>
              <w:t>判断生物对河流流量的</w:t>
            </w:r>
          </w:p>
          <w:p>
            <w:pPr>
              <w:spacing w:before="65" w:line="218" w:lineRule="auto"/>
              <w:ind w:left="948"/>
              <w:rPr>
                <w:rFonts w:ascii="仿宋" w:hAnsi="仿宋" w:eastAsia="仿宋" w:cs="仿宋"/>
                <w:sz w:val="21"/>
                <w:szCs w:val="21"/>
              </w:rPr>
            </w:pPr>
            <w:r>
              <w:rPr>
                <w:rFonts w:ascii="仿宋" w:hAnsi="仿宋" w:eastAsia="仿宋" w:cs="仿宋"/>
                <w:spacing w:val="-12"/>
                <w:sz w:val="21"/>
                <w:szCs w:val="21"/>
              </w:rPr>
              <w:t>需求。</w:t>
            </w:r>
          </w:p>
        </w:tc>
        <w:tc>
          <w:tcPr>
            <w:tcW w:w="1658" w:type="dxa"/>
            <w:tcBorders>
              <w:right w:val="single" w:color="000000" w:sz="6" w:space="0"/>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68" w:line="220" w:lineRule="auto"/>
              <w:ind w:left="209"/>
              <w:rPr>
                <w:rFonts w:ascii="仿宋" w:hAnsi="仿宋" w:eastAsia="仿宋" w:cs="仿宋"/>
                <w:sz w:val="21"/>
                <w:szCs w:val="21"/>
              </w:rPr>
            </w:pPr>
            <w:r>
              <w:rPr>
                <w:rFonts w:ascii="仿宋" w:hAnsi="仿宋" w:eastAsia="仿宋" w:cs="仿宋"/>
                <w:spacing w:val="-3"/>
                <w:sz w:val="21"/>
                <w:szCs w:val="21"/>
              </w:rPr>
              <w:t>适用于受人类</w:t>
            </w:r>
          </w:p>
          <w:p>
            <w:pPr>
              <w:spacing w:before="61" w:line="248" w:lineRule="auto"/>
              <w:ind w:left="629" w:right="191" w:hanging="417"/>
              <w:rPr>
                <w:rFonts w:ascii="仿宋" w:hAnsi="仿宋" w:eastAsia="仿宋" w:cs="仿宋"/>
                <w:sz w:val="21"/>
                <w:szCs w:val="21"/>
              </w:rPr>
            </w:pPr>
            <w:r>
              <w:rPr>
                <w:rFonts w:ascii="仿宋" w:hAnsi="仿宋" w:eastAsia="仿宋" w:cs="仿宋"/>
                <w:spacing w:val="-3"/>
                <w:sz w:val="21"/>
                <w:szCs w:val="21"/>
              </w:rPr>
              <w:t>影响较小的河</w:t>
            </w:r>
            <w:r>
              <w:rPr>
                <w:rFonts w:ascii="仿宋" w:hAnsi="仿宋" w:eastAsia="仿宋" w:cs="仿宋"/>
                <w:sz w:val="21"/>
                <w:szCs w:val="21"/>
              </w:rPr>
              <w:t xml:space="preserve"> </w:t>
            </w:r>
            <w:r>
              <w:rPr>
                <w:rFonts w:ascii="仿宋" w:hAnsi="仿宋" w:eastAsia="仿宋" w:cs="仿宋"/>
                <w:spacing w:val="-11"/>
                <w:sz w:val="21"/>
                <w:szCs w:val="21"/>
              </w:rPr>
              <w:t>流。</w:t>
            </w:r>
          </w:p>
        </w:tc>
        <w:tc>
          <w:tcPr>
            <w:tcW w:w="1105" w:type="dxa"/>
            <w:tcBorders>
              <w:left w:val="single" w:color="000000" w:sz="6" w:space="0"/>
              <w:right w:val="single" w:color="000000" w:sz="6" w:space="0"/>
            </w:tcBorders>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8" w:line="220" w:lineRule="auto"/>
              <w:ind w:left="249"/>
              <w:rPr>
                <w:rFonts w:ascii="仿宋" w:hAnsi="仿宋" w:eastAsia="仿宋" w:cs="仿宋"/>
                <w:sz w:val="21"/>
                <w:szCs w:val="21"/>
              </w:rPr>
            </w:pPr>
            <w:r>
              <w:rPr>
                <w:rFonts w:ascii="仿宋" w:hAnsi="仿宋" w:eastAsia="仿宋" w:cs="仿宋"/>
                <w:spacing w:val="-5"/>
                <w:sz w:val="21"/>
                <w:szCs w:val="21"/>
              </w:rPr>
              <w:t>不适用</w:t>
            </w:r>
          </w:p>
        </w:tc>
        <w:tc>
          <w:tcPr>
            <w:tcW w:w="1289" w:type="dxa"/>
            <w:tcBorders>
              <w:left w:val="single" w:color="000000" w:sz="6" w:space="0"/>
              <w:right w:val="nil"/>
            </w:tcBorders>
            <w:vAlign w:val="top"/>
          </w:tcPr>
          <w:p>
            <w:pPr>
              <w:spacing w:before="53" w:line="267" w:lineRule="auto"/>
              <w:ind w:left="126" w:right="119" w:firstLine="4"/>
              <w:jc w:val="both"/>
              <w:rPr>
                <w:rFonts w:ascii="仿宋" w:hAnsi="仿宋" w:eastAsia="仿宋" w:cs="仿宋"/>
                <w:sz w:val="21"/>
                <w:szCs w:val="21"/>
              </w:rPr>
            </w:pPr>
            <w:r>
              <w:rPr>
                <w:rFonts w:ascii="仿宋" w:hAnsi="仿宋" w:eastAsia="仿宋" w:cs="仿宋"/>
                <w:spacing w:val="-4"/>
                <w:sz w:val="21"/>
                <w:szCs w:val="21"/>
              </w:rPr>
              <w:t>虽然评价河</w:t>
            </w:r>
            <w:r>
              <w:rPr>
                <w:rFonts w:ascii="仿宋" w:hAnsi="仿宋" w:eastAsia="仿宋" w:cs="仿宋"/>
                <w:sz w:val="21"/>
                <w:szCs w:val="21"/>
              </w:rPr>
              <w:t xml:space="preserve"> </w:t>
            </w:r>
            <w:r>
              <w:rPr>
                <w:rFonts w:ascii="仿宋" w:hAnsi="仿宋" w:eastAsia="仿宋" w:cs="仿宋"/>
                <w:spacing w:val="-3"/>
                <w:sz w:val="21"/>
                <w:szCs w:val="21"/>
              </w:rPr>
              <w:t>段受人类活</w:t>
            </w:r>
            <w:r>
              <w:rPr>
                <w:rFonts w:ascii="仿宋" w:hAnsi="仿宋" w:eastAsia="仿宋" w:cs="仿宋"/>
                <w:sz w:val="21"/>
                <w:szCs w:val="21"/>
              </w:rPr>
              <w:t xml:space="preserve"> </w:t>
            </w:r>
            <w:r>
              <w:rPr>
                <w:rFonts w:ascii="仿宋" w:hAnsi="仿宋" w:eastAsia="仿宋" w:cs="仿宋"/>
                <w:spacing w:val="-3"/>
                <w:sz w:val="21"/>
                <w:szCs w:val="21"/>
              </w:rPr>
              <w:t>动影响较小</w:t>
            </w:r>
            <w:r>
              <w:rPr>
                <w:rFonts w:ascii="仿宋" w:hAnsi="仿宋" w:eastAsia="仿宋" w:cs="仿宋"/>
                <w:sz w:val="21"/>
                <w:szCs w:val="21"/>
              </w:rPr>
              <w:t xml:space="preserve"> </w:t>
            </w:r>
            <w:r>
              <w:rPr>
                <w:rFonts w:ascii="仿宋" w:hAnsi="仿宋" w:eastAsia="仿宋" w:cs="仿宋"/>
                <w:spacing w:val="-3"/>
                <w:sz w:val="21"/>
                <w:szCs w:val="21"/>
              </w:rPr>
              <w:t>但该方法对</w:t>
            </w:r>
            <w:r>
              <w:rPr>
                <w:rFonts w:ascii="仿宋" w:hAnsi="仿宋" w:eastAsia="仿宋" w:cs="仿宋"/>
                <w:sz w:val="21"/>
                <w:szCs w:val="21"/>
              </w:rPr>
              <w:t xml:space="preserve"> </w:t>
            </w:r>
            <w:r>
              <w:rPr>
                <w:rFonts w:ascii="仿宋" w:hAnsi="仿宋" w:eastAsia="仿宋" w:cs="仿宋"/>
                <w:spacing w:val="-3"/>
                <w:sz w:val="21"/>
                <w:szCs w:val="21"/>
              </w:rPr>
              <w:t>资料要求很</w:t>
            </w:r>
            <w:r>
              <w:rPr>
                <w:rFonts w:ascii="仿宋" w:hAnsi="仿宋" w:eastAsia="仿宋" w:cs="仿宋"/>
                <w:sz w:val="21"/>
                <w:szCs w:val="21"/>
              </w:rPr>
              <w:t xml:space="preserve"> </w:t>
            </w:r>
            <w:r>
              <w:rPr>
                <w:rFonts w:ascii="仿宋" w:hAnsi="仿宋" w:eastAsia="仿宋" w:cs="仿宋"/>
                <w:spacing w:val="-3"/>
                <w:sz w:val="21"/>
                <w:szCs w:val="21"/>
              </w:rPr>
              <w:t>高，而工程</w:t>
            </w:r>
            <w:r>
              <w:rPr>
                <w:rFonts w:ascii="仿宋" w:hAnsi="仿宋" w:eastAsia="仿宋" w:cs="仿宋"/>
                <w:sz w:val="21"/>
                <w:szCs w:val="21"/>
              </w:rPr>
              <w:t xml:space="preserve"> </w:t>
            </w:r>
            <w:r>
              <w:rPr>
                <w:rFonts w:ascii="仿宋" w:hAnsi="仿宋" w:eastAsia="仿宋" w:cs="仿宋"/>
                <w:spacing w:val="-3"/>
                <w:sz w:val="21"/>
                <w:szCs w:val="21"/>
              </w:rPr>
              <w:t>区域为无资</w:t>
            </w:r>
            <w:r>
              <w:rPr>
                <w:rFonts w:ascii="仿宋" w:hAnsi="仿宋" w:eastAsia="仿宋" w:cs="仿宋"/>
                <w:sz w:val="21"/>
                <w:szCs w:val="21"/>
              </w:rPr>
              <w:t xml:space="preserve"> </w:t>
            </w:r>
            <w:r>
              <w:rPr>
                <w:rFonts w:ascii="仿宋" w:hAnsi="仿宋" w:eastAsia="仿宋" w:cs="仿宋"/>
                <w:spacing w:val="15"/>
                <w:sz w:val="21"/>
                <w:szCs w:val="21"/>
              </w:rPr>
              <w:t>料地区。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4" w:hRule="atLeast"/>
        </w:trPr>
        <w:tc>
          <w:tcPr>
            <w:tcW w:w="1782" w:type="dxa"/>
            <w:gridSpan w:val="2"/>
            <w:tcBorders>
              <w:left w:val="nil"/>
            </w:tcBorders>
            <w:vAlign w:val="top"/>
          </w:tcPr>
          <w:p>
            <w:pPr>
              <w:spacing w:line="303" w:lineRule="auto"/>
              <w:rPr>
                <w:rFonts w:ascii="Arial"/>
                <w:sz w:val="21"/>
              </w:rPr>
            </w:pPr>
          </w:p>
          <w:p>
            <w:pPr>
              <w:spacing w:line="303" w:lineRule="auto"/>
              <w:rPr>
                <w:rFonts w:ascii="Arial"/>
                <w:sz w:val="21"/>
              </w:rPr>
            </w:pPr>
          </w:p>
          <w:p>
            <w:pPr>
              <w:spacing w:before="68" w:line="219" w:lineRule="auto"/>
              <w:ind w:left="399"/>
              <w:rPr>
                <w:rFonts w:ascii="仿宋" w:hAnsi="仿宋" w:eastAsia="仿宋" w:cs="仿宋"/>
                <w:sz w:val="21"/>
                <w:szCs w:val="21"/>
              </w:rPr>
            </w:pPr>
            <w:r>
              <w:rPr>
                <w:rFonts w:ascii="仿宋" w:hAnsi="仿宋" w:eastAsia="仿宋" w:cs="仿宋"/>
                <w:spacing w:val="-5"/>
                <w:sz w:val="21"/>
                <w:szCs w:val="21"/>
              </w:rPr>
              <w:t>生境模拟法</w:t>
            </w:r>
          </w:p>
        </w:tc>
        <w:tc>
          <w:tcPr>
            <w:tcW w:w="2487" w:type="dxa"/>
            <w:vAlign w:val="top"/>
          </w:tcPr>
          <w:p>
            <w:pPr>
              <w:spacing w:line="295" w:lineRule="auto"/>
              <w:rPr>
                <w:rFonts w:ascii="Arial"/>
                <w:sz w:val="21"/>
              </w:rPr>
            </w:pPr>
          </w:p>
          <w:p>
            <w:pPr>
              <w:spacing w:before="69" w:line="217" w:lineRule="auto"/>
              <w:ind w:left="205"/>
              <w:rPr>
                <w:rFonts w:ascii="仿宋" w:hAnsi="仿宋" w:eastAsia="仿宋" w:cs="仿宋"/>
                <w:sz w:val="21"/>
                <w:szCs w:val="21"/>
              </w:rPr>
            </w:pPr>
            <w:r>
              <w:rPr>
                <w:rFonts w:ascii="仿宋" w:hAnsi="仿宋" w:eastAsia="仿宋" w:cs="仿宋"/>
                <w:spacing w:val="-2"/>
                <w:sz w:val="21"/>
                <w:szCs w:val="21"/>
              </w:rPr>
              <w:t>根据指示物种所需的水</w:t>
            </w:r>
          </w:p>
          <w:p>
            <w:pPr>
              <w:spacing w:before="64" w:line="248" w:lineRule="auto"/>
              <w:ind w:left="833" w:right="190" w:hanging="626"/>
              <w:rPr>
                <w:rFonts w:ascii="仿宋" w:hAnsi="仿宋" w:eastAsia="仿宋" w:cs="仿宋"/>
                <w:sz w:val="21"/>
                <w:szCs w:val="21"/>
              </w:rPr>
            </w:pPr>
            <w:r>
              <w:rPr>
                <w:rFonts w:ascii="仿宋" w:hAnsi="仿宋" w:eastAsia="仿宋" w:cs="仿宋"/>
                <w:spacing w:val="-19"/>
                <w:sz w:val="21"/>
                <w:szCs w:val="21"/>
              </w:rPr>
              <w:t>力条件的模拟，</w:t>
            </w:r>
            <w:r>
              <w:rPr>
                <w:rFonts w:ascii="仿宋" w:hAnsi="仿宋" w:eastAsia="仿宋" w:cs="仿宋"/>
                <w:spacing w:val="67"/>
                <w:sz w:val="21"/>
                <w:szCs w:val="21"/>
              </w:rPr>
              <w:t xml:space="preserve"> </w:t>
            </w:r>
            <w:r>
              <w:rPr>
                <w:rFonts w:ascii="仿宋" w:hAnsi="仿宋" w:eastAsia="仿宋" w:cs="仿宋"/>
                <w:spacing w:val="-19"/>
                <w:sz w:val="21"/>
                <w:szCs w:val="21"/>
              </w:rPr>
              <w:t>确定河</w:t>
            </w:r>
            <w:r>
              <w:rPr>
                <w:rFonts w:ascii="仿宋" w:hAnsi="仿宋" w:eastAsia="仿宋" w:cs="仿宋"/>
                <w:sz w:val="21"/>
                <w:szCs w:val="21"/>
              </w:rPr>
              <w:t xml:space="preserve"> </w:t>
            </w:r>
            <w:r>
              <w:rPr>
                <w:rFonts w:ascii="仿宋" w:hAnsi="仿宋" w:eastAsia="仿宋" w:cs="仿宋"/>
                <w:spacing w:val="-8"/>
                <w:sz w:val="21"/>
                <w:szCs w:val="21"/>
              </w:rPr>
              <w:t>流流量。</w:t>
            </w:r>
          </w:p>
        </w:tc>
        <w:tc>
          <w:tcPr>
            <w:tcW w:w="1658" w:type="dxa"/>
            <w:tcBorders>
              <w:right w:val="single" w:color="000000" w:sz="6" w:space="0"/>
            </w:tcBorders>
            <w:vAlign w:val="top"/>
          </w:tcPr>
          <w:p>
            <w:pPr>
              <w:spacing w:before="210" w:line="219" w:lineRule="auto"/>
              <w:ind w:left="209"/>
              <w:rPr>
                <w:rFonts w:ascii="仿宋" w:hAnsi="仿宋" w:eastAsia="仿宋" w:cs="仿宋"/>
                <w:sz w:val="21"/>
                <w:szCs w:val="21"/>
              </w:rPr>
            </w:pPr>
            <w:r>
              <w:rPr>
                <w:rFonts w:ascii="仿宋" w:hAnsi="仿宋" w:eastAsia="仿宋" w:cs="仿宋"/>
                <w:spacing w:val="-2"/>
                <w:sz w:val="21"/>
                <w:szCs w:val="21"/>
              </w:rPr>
              <w:t>适用河流主要</w:t>
            </w:r>
          </w:p>
          <w:p>
            <w:pPr>
              <w:spacing w:before="63" w:line="217" w:lineRule="auto"/>
              <w:ind w:left="222"/>
              <w:rPr>
                <w:rFonts w:ascii="仿宋" w:hAnsi="仿宋" w:eastAsia="仿宋" w:cs="仿宋"/>
                <w:sz w:val="21"/>
                <w:szCs w:val="21"/>
              </w:rPr>
            </w:pPr>
            <w:r>
              <w:rPr>
                <w:rFonts w:ascii="仿宋" w:hAnsi="仿宋" w:eastAsia="仿宋" w:cs="仿宋"/>
                <w:spacing w:val="-4"/>
                <w:sz w:val="21"/>
                <w:szCs w:val="21"/>
              </w:rPr>
              <w:t>生态功能为某</w:t>
            </w:r>
          </w:p>
          <w:p>
            <w:pPr>
              <w:spacing w:before="63" w:line="246" w:lineRule="auto"/>
              <w:ind w:left="524" w:right="191" w:hanging="307"/>
              <w:rPr>
                <w:rFonts w:ascii="仿宋" w:hAnsi="仿宋" w:eastAsia="仿宋" w:cs="仿宋"/>
                <w:sz w:val="21"/>
                <w:szCs w:val="21"/>
              </w:rPr>
            </w:pPr>
            <w:r>
              <w:rPr>
                <w:rFonts w:ascii="仿宋" w:hAnsi="仿宋" w:eastAsia="仿宋" w:cs="仿宋"/>
                <w:spacing w:val="-4"/>
                <w:sz w:val="21"/>
                <w:szCs w:val="21"/>
              </w:rPr>
              <w:t>些生物物种的</w:t>
            </w:r>
            <w:r>
              <w:rPr>
                <w:rFonts w:ascii="仿宋" w:hAnsi="仿宋" w:eastAsia="仿宋" w:cs="仿宋"/>
                <w:spacing w:val="1"/>
                <w:sz w:val="21"/>
                <w:szCs w:val="21"/>
              </w:rPr>
              <w:t xml:space="preserve"> </w:t>
            </w:r>
            <w:r>
              <w:rPr>
                <w:rFonts w:ascii="仿宋" w:hAnsi="仿宋" w:eastAsia="仿宋" w:cs="仿宋"/>
                <w:spacing w:val="-10"/>
                <w:sz w:val="21"/>
                <w:szCs w:val="21"/>
              </w:rPr>
              <w:t>保护。</w:t>
            </w:r>
          </w:p>
        </w:tc>
        <w:tc>
          <w:tcPr>
            <w:tcW w:w="1105" w:type="dxa"/>
            <w:tcBorders>
              <w:left w:val="single" w:color="000000" w:sz="6" w:space="0"/>
              <w:right w:val="single" w:color="000000" w:sz="6" w:space="0"/>
            </w:tcBorders>
            <w:vAlign w:val="top"/>
          </w:tcPr>
          <w:p>
            <w:pPr>
              <w:spacing w:line="302" w:lineRule="auto"/>
              <w:rPr>
                <w:rFonts w:ascii="Arial"/>
                <w:sz w:val="21"/>
              </w:rPr>
            </w:pPr>
          </w:p>
          <w:p>
            <w:pPr>
              <w:spacing w:line="303" w:lineRule="auto"/>
              <w:rPr>
                <w:rFonts w:ascii="Arial"/>
                <w:sz w:val="21"/>
              </w:rPr>
            </w:pPr>
          </w:p>
          <w:p>
            <w:pPr>
              <w:spacing w:before="69" w:line="220" w:lineRule="auto"/>
              <w:ind w:left="249"/>
              <w:rPr>
                <w:rFonts w:ascii="仿宋" w:hAnsi="仿宋" w:eastAsia="仿宋" w:cs="仿宋"/>
                <w:sz w:val="21"/>
                <w:szCs w:val="21"/>
              </w:rPr>
            </w:pPr>
            <w:r>
              <w:rPr>
                <w:rFonts w:ascii="仿宋" w:hAnsi="仿宋" w:eastAsia="仿宋" w:cs="仿宋"/>
                <w:spacing w:val="-7"/>
                <w:sz w:val="21"/>
                <w:szCs w:val="21"/>
              </w:rPr>
              <w:t>不适用</w:t>
            </w:r>
          </w:p>
        </w:tc>
        <w:tc>
          <w:tcPr>
            <w:tcW w:w="1289" w:type="dxa"/>
            <w:tcBorders>
              <w:left w:val="single" w:color="000000" w:sz="6" w:space="0"/>
              <w:right w:val="nil"/>
            </w:tcBorders>
            <w:vAlign w:val="top"/>
          </w:tcPr>
          <w:p>
            <w:pPr>
              <w:spacing w:before="53" w:line="260" w:lineRule="auto"/>
              <w:ind w:left="131" w:right="119" w:hanging="5"/>
              <w:jc w:val="both"/>
              <w:rPr>
                <w:rFonts w:ascii="仿宋" w:hAnsi="仿宋" w:eastAsia="仿宋" w:cs="仿宋"/>
                <w:sz w:val="21"/>
                <w:szCs w:val="21"/>
              </w:rPr>
            </w:pPr>
            <w:r>
              <w:rPr>
                <w:rFonts w:ascii="仿宋" w:hAnsi="仿宋" w:eastAsia="仿宋" w:cs="仿宋"/>
                <w:spacing w:val="-3"/>
                <w:sz w:val="21"/>
                <w:szCs w:val="21"/>
              </w:rPr>
              <w:t>评价河段的</w:t>
            </w:r>
            <w:r>
              <w:rPr>
                <w:rFonts w:ascii="仿宋" w:hAnsi="仿宋" w:eastAsia="仿宋" w:cs="仿宋"/>
                <w:sz w:val="21"/>
                <w:szCs w:val="21"/>
              </w:rPr>
              <w:t xml:space="preserve"> </w:t>
            </w:r>
            <w:r>
              <w:rPr>
                <w:rFonts w:ascii="仿宋" w:hAnsi="仿宋" w:eastAsia="仿宋" w:cs="仿宋"/>
                <w:spacing w:val="-4"/>
                <w:sz w:val="21"/>
                <w:szCs w:val="21"/>
              </w:rPr>
              <w:t>主要生态功</w:t>
            </w:r>
            <w:r>
              <w:rPr>
                <w:rFonts w:ascii="仿宋" w:hAnsi="仿宋" w:eastAsia="仿宋" w:cs="仿宋"/>
                <w:sz w:val="21"/>
                <w:szCs w:val="21"/>
              </w:rPr>
              <w:t xml:space="preserve"> </w:t>
            </w:r>
            <w:r>
              <w:rPr>
                <w:rFonts w:ascii="仿宋" w:hAnsi="仿宋" w:eastAsia="仿宋" w:cs="仿宋"/>
                <w:spacing w:val="-4"/>
                <w:sz w:val="21"/>
                <w:szCs w:val="21"/>
              </w:rPr>
              <w:t>能并非为某</w:t>
            </w:r>
            <w:r>
              <w:rPr>
                <w:rFonts w:ascii="仿宋" w:hAnsi="仿宋" w:eastAsia="仿宋" w:cs="仿宋"/>
                <w:sz w:val="21"/>
                <w:szCs w:val="21"/>
              </w:rPr>
              <w:t xml:space="preserve"> </w:t>
            </w:r>
            <w:r>
              <w:rPr>
                <w:rFonts w:ascii="仿宋" w:hAnsi="仿宋" w:eastAsia="仿宋" w:cs="仿宋"/>
                <w:spacing w:val="-4"/>
                <w:sz w:val="21"/>
                <w:szCs w:val="21"/>
              </w:rPr>
              <w:t>些生物物种</w:t>
            </w:r>
          </w:p>
          <w:p>
            <w:pPr>
              <w:spacing w:before="65" w:line="217" w:lineRule="auto"/>
              <w:ind w:left="243"/>
              <w:rPr>
                <w:rFonts w:ascii="仿宋" w:hAnsi="仿宋" w:eastAsia="仿宋" w:cs="仿宋"/>
                <w:sz w:val="21"/>
                <w:szCs w:val="21"/>
              </w:rPr>
            </w:pPr>
            <w:r>
              <w:rPr>
                <w:rFonts w:ascii="仿宋" w:hAnsi="仿宋" w:eastAsia="仿宋" w:cs="仿宋"/>
                <w:spacing w:val="-11"/>
                <w:sz w:val="21"/>
                <w:szCs w:val="21"/>
              </w:rPr>
              <w:t>的保护。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76" w:hRule="atLeast"/>
        </w:trPr>
        <w:tc>
          <w:tcPr>
            <w:tcW w:w="1782" w:type="dxa"/>
            <w:gridSpan w:val="2"/>
            <w:tcBorders>
              <w:left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9" w:line="220" w:lineRule="auto"/>
              <w:ind w:left="599"/>
              <w:rPr>
                <w:rFonts w:ascii="仿宋" w:hAnsi="仿宋" w:eastAsia="仿宋" w:cs="仿宋"/>
                <w:sz w:val="21"/>
                <w:szCs w:val="21"/>
              </w:rPr>
            </w:pPr>
            <w:r>
              <w:rPr>
                <w:rFonts w:ascii="仿宋" w:hAnsi="仿宋" w:eastAsia="仿宋" w:cs="仿宋"/>
                <w:spacing w:val="-4"/>
                <w:sz w:val="21"/>
                <w:szCs w:val="21"/>
              </w:rPr>
              <w:t>综合法</w:t>
            </w:r>
          </w:p>
        </w:tc>
        <w:tc>
          <w:tcPr>
            <w:tcW w:w="2487" w:type="dxa"/>
            <w:vAlign w:val="top"/>
          </w:tcPr>
          <w:p>
            <w:pPr>
              <w:pStyle w:val="6"/>
              <w:spacing w:before="55" w:line="246" w:lineRule="auto"/>
              <w:ind w:left="204" w:right="114" w:hanging="54"/>
              <w:rPr>
                <w:rFonts w:ascii="仿宋" w:hAnsi="仿宋" w:eastAsia="仿宋" w:cs="仿宋"/>
              </w:rPr>
            </w:pPr>
            <w:r>
              <w:rPr>
                <w:rFonts w:ascii="仿宋" w:hAnsi="仿宋" w:eastAsia="仿宋" w:cs="仿宋"/>
                <w:spacing w:val="-6"/>
              </w:rPr>
              <w:t>以</w:t>
            </w:r>
            <w:r>
              <w:rPr>
                <w:rFonts w:ascii="仿宋" w:hAnsi="仿宋" w:eastAsia="仿宋" w:cs="仿宋"/>
                <w:spacing w:val="-44"/>
              </w:rPr>
              <w:t xml:space="preserve"> </w:t>
            </w:r>
            <w:r>
              <w:rPr>
                <w:spacing w:val="-6"/>
              </w:rPr>
              <w:t>BBM</w:t>
            </w:r>
            <w:r>
              <w:rPr>
                <w:spacing w:val="21"/>
                <w:w w:val="101"/>
              </w:rPr>
              <w:t xml:space="preserve"> </w:t>
            </w:r>
            <w:r>
              <w:rPr>
                <w:rFonts w:ascii="仿宋" w:hAnsi="仿宋" w:eastAsia="仿宋" w:cs="仿宋"/>
                <w:spacing w:val="-6"/>
              </w:rPr>
              <w:t>法为代表，从河</w:t>
            </w:r>
            <w:r>
              <w:rPr>
                <w:rFonts w:ascii="仿宋" w:hAnsi="仿宋" w:eastAsia="仿宋" w:cs="仿宋"/>
              </w:rPr>
              <w:t xml:space="preserve"> </w:t>
            </w:r>
            <w:r>
              <w:rPr>
                <w:rFonts w:ascii="仿宋" w:hAnsi="仿宋" w:eastAsia="仿宋" w:cs="仿宋"/>
                <w:spacing w:val="-6"/>
              </w:rPr>
              <w:t>流生态系统整体出发，</w:t>
            </w:r>
          </w:p>
          <w:p>
            <w:pPr>
              <w:spacing w:before="63" w:line="255" w:lineRule="auto"/>
              <w:ind w:left="204" w:right="190"/>
              <w:rPr>
                <w:rFonts w:ascii="仿宋" w:hAnsi="仿宋" w:eastAsia="仿宋" w:cs="仿宋"/>
                <w:sz w:val="21"/>
                <w:szCs w:val="21"/>
              </w:rPr>
            </w:pPr>
            <w:r>
              <w:rPr>
                <w:rFonts w:ascii="仿宋" w:hAnsi="仿宋" w:eastAsia="仿宋" w:cs="仿宋"/>
                <w:spacing w:val="-2"/>
                <w:sz w:val="21"/>
                <w:szCs w:val="21"/>
              </w:rPr>
              <w:t>根据专家意见综合研究</w:t>
            </w:r>
            <w:r>
              <w:rPr>
                <w:rFonts w:ascii="仿宋" w:hAnsi="仿宋" w:eastAsia="仿宋" w:cs="仿宋"/>
                <w:spacing w:val="4"/>
                <w:sz w:val="21"/>
                <w:szCs w:val="21"/>
              </w:rPr>
              <w:t xml:space="preserve"> </w:t>
            </w:r>
            <w:r>
              <w:rPr>
                <w:rFonts w:ascii="仿宋" w:hAnsi="仿宋" w:eastAsia="仿宋" w:cs="仿宋"/>
                <w:spacing w:val="-2"/>
                <w:sz w:val="21"/>
                <w:szCs w:val="21"/>
              </w:rPr>
              <w:t>流量、泥沙运输、河床</w:t>
            </w:r>
            <w:r>
              <w:rPr>
                <w:rFonts w:ascii="仿宋" w:hAnsi="仿宋" w:eastAsia="仿宋" w:cs="仿宋"/>
                <w:spacing w:val="5"/>
                <w:sz w:val="21"/>
                <w:szCs w:val="21"/>
              </w:rPr>
              <w:t xml:space="preserve"> </w:t>
            </w:r>
            <w:r>
              <w:rPr>
                <w:rFonts w:ascii="仿宋" w:hAnsi="仿宋" w:eastAsia="仿宋" w:cs="仿宋"/>
                <w:spacing w:val="-2"/>
                <w:sz w:val="21"/>
                <w:szCs w:val="21"/>
              </w:rPr>
              <w:t>形状与河岸带群落之间</w:t>
            </w:r>
          </w:p>
          <w:p>
            <w:pPr>
              <w:spacing w:before="66" w:line="220" w:lineRule="auto"/>
              <w:ind w:left="846"/>
              <w:rPr>
                <w:rFonts w:ascii="仿宋" w:hAnsi="仿宋" w:eastAsia="仿宋" w:cs="仿宋"/>
                <w:sz w:val="21"/>
                <w:szCs w:val="21"/>
              </w:rPr>
            </w:pPr>
            <w:r>
              <w:rPr>
                <w:rFonts w:ascii="仿宋" w:hAnsi="仿宋" w:eastAsia="仿宋" w:cs="仿宋"/>
                <w:spacing w:val="-11"/>
                <w:sz w:val="21"/>
                <w:szCs w:val="21"/>
              </w:rPr>
              <w:t>的关系。</w:t>
            </w:r>
          </w:p>
        </w:tc>
        <w:tc>
          <w:tcPr>
            <w:tcW w:w="1658" w:type="dxa"/>
            <w:tcBorders>
              <w:right w:val="single" w:color="000000" w:sz="6" w:space="0"/>
            </w:tcBorders>
            <w:vAlign w:val="top"/>
          </w:tcPr>
          <w:p>
            <w:pPr>
              <w:pStyle w:val="6"/>
              <w:spacing w:before="55" w:line="263" w:lineRule="auto"/>
              <w:ind w:left="170" w:right="144" w:firstLine="50"/>
              <w:rPr>
                <w:rFonts w:ascii="仿宋" w:hAnsi="仿宋" w:eastAsia="仿宋" w:cs="仿宋"/>
              </w:rPr>
            </w:pPr>
            <w:r>
              <w:rPr>
                <w:rFonts w:ascii="仿宋" w:hAnsi="仿宋" w:eastAsia="仿宋" w:cs="仿宋"/>
                <w:spacing w:val="-10"/>
              </w:rPr>
              <w:t>资源消耗大、</w:t>
            </w:r>
            <w:r>
              <w:rPr>
                <w:rFonts w:ascii="仿宋" w:hAnsi="仿宋" w:eastAsia="仿宋" w:cs="仿宋"/>
              </w:rPr>
              <w:t xml:space="preserve"> </w:t>
            </w:r>
            <w:r>
              <w:rPr>
                <w:rFonts w:ascii="仿宋" w:hAnsi="仿宋" w:eastAsia="仿宋" w:cs="仿宋"/>
                <w:spacing w:val="-24"/>
              </w:rPr>
              <w:t>时间长，</w:t>
            </w:r>
            <w:r>
              <w:rPr>
                <w:rFonts w:ascii="仿宋" w:hAnsi="仿宋" w:eastAsia="仿宋" w:cs="仿宋"/>
                <w:spacing w:val="64"/>
              </w:rPr>
              <w:t xml:space="preserve"> </w:t>
            </w:r>
            <w:r>
              <w:rPr>
                <w:rFonts w:ascii="仿宋" w:hAnsi="仿宋" w:eastAsia="仿宋" w:cs="仿宋"/>
                <w:spacing w:val="-24"/>
              </w:rPr>
              <w:t>一般</w:t>
            </w:r>
            <w:r>
              <w:rPr>
                <w:rFonts w:ascii="仿宋" w:hAnsi="仿宋" w:eastAsia="仿宋" w:cs="仿宋"/>
              </w:rPr>
              <w:t xml:space="preserve"> </w:t>
            </w:r>
            <w:r>
              <w:rPr>
                <w:rFonts w:ascii="仿宋" w:hAnsi="仿宋" w:eastAsia="仿宋" w:cs="仿宋"/>
                <w:spacing w:val="-8"/>
              </w:rPr>
              <w:t>至少需要</w:t>
            </w:r>
            <w:r>
              <w:rPr>
                <w:rFonts w:ascii="仿宋" w:hAnsi="仿宋" w:eastAsia="仿宋" w:cs="仿宋"/>
                <w:spacing w:val="-46"/>
              </w:rPr>
              <w:t xml:space="preserve"> </w:t>
            </w:r>
            <w:r>
              <w:rPr>
                <w:spacing w:val="-8"/>
              </w:rPr>
              <w:t>2a</w:t>
            </w:r>
            <w:r>
              <w:rPr>
                <w:spacing w:val="28"/>
              </w:rPr>
              <w:t xml:space="preserve"> </w:t>
            </w:r>
            <w:r>
              <w:rPr>
                <w:rFonts w:ascii="仿宋" w:hAnsi="仿宋" w:eastAsia="仿宋" w:cs="仿宋"/>
                <w:spacing w:val="-8"/>
              </w:rPr>
              <w:t>时</w:t>
            </w:r>
            <w:r>
              <w:rPr>
                <w:rFonts w:ascii="仿宋" w:hAnsi="仿宋" w:eastAsia="仿宋" w:cs="仿宋"/>
              </w:rPr>
              <w:t xml:space="preserve"> </w:t>
            </w:r>
            <w:r>
              <w:rPr>
                <w:rFonts w:ascii="仿宋" w:hAnsi="仿宋" w:eastAsia="仿宋" w:cs="仿宋"/>
                <w:spacing w:val="-2"/>
              </w:rPr>
              <w:t xml:space="preserve">间。综合性、 </w:t>
            </w:r>
            <w:r>
              <w:rPr>
                <w:rFonts w:ascii="仿宋" w:hAnsi="仿宋" w:eastAsia="仿宋" w:cs="仿宋"/>
                <w:spacing w:val="4"/>
              </w:rPr>
              <w:t>大流域生态需</w:t>
            </w:r>
          </w:p>
          <w:p>
            <w:pPr>
              <w:spacing w:before="63" w:line="219" w:lineRule="auto"/>
              <w:ind w:left="629"/>
              <w:rPr>
                <w:rFonts w:ascii="仿宋" w:hAnsi="仿宋" w:eastAsia="仿宋" w:cs="仿宋"/>
                <w:sz w:val="21"/>
                <w:szCs w:val="21"/>
              </w:rPr>
            </w:pPr>
            <w:r>
              <w:rPr>
                <w:rFonts w:ascii="仿宋" w:hAnsi="仿宋" w:eastAsia="仿宋" w:cs="仿宋"/>
                <w:spacing w:val="-11"/>
                <w:sz w:val="21"/>
                <w:szCs w:val="21"/>
              </w:rPr>
              <w:t>水。</w:t>
            </w:r>
          </w:p>
        </w:tc>
        <w:tc>
          <w:tcPr>
            <w:tcW w:w="1105" w:type="dxa"/>
            <w:tcBorders>
              <w:left w:val="single" w:color="000000" w:sz="6" w:space="0"/>
              <w:right w:val="single" w:color="000000" w:sz="6" w:space="0"/>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69" w:line="220" w:lineRule="auto"/>
              <w:ind w:left="249"/>
              <w:rPr>
                <w:rFonts w:ascii="仿宋" w:hAnsi="仿宋" w:eastAsia="仿宋" w:cs="仿宋"/>
                <w:sz w:val="21"/>
                <w:szCs w:val="21"/>
              </w:rPr>
            </w:pPr>
            <w:r>
              <w:rPr>
                <w:rFonts w:ascii="仿宋" w:hAnsi="仿宋" w:eastAsia="仿宋" w:cs="仿宋"/>
                <w:spacing w:val="-5"/>
                <w:sz w:val="21"/>
                <w:szCs w:val="21"/>
              </w:rPr>
              <w:t>不适用</w:t>
            </w:r>
          </w:p>
        </w:tc>
        <w:tc>
          <w:tcPr>
            <w:tcW w:w="1289" w:type="dxa"/>
            <w:tcBorders>
              <w:left w:val="single" w:color="000000" w:sz="6" w:space="0"/>
              <w:right w:val="nil"/>
            </w:tcBorders>
            <w:vAlign w:val="top"/>
          </w:tcPr>
          <w:p>
            <w:pPr>
              <w:spacing w:line="296" w:lineRule="auto"/>
              <w:rPr>
                <w:rFonts w:ascii="Arial"/>
                <w:sz w:val="21"/>
              </w:rPr>
            </w:pPr>
          </w:p>
          <w:p>
            <w:pPr>
              <w:spacing w:before="68" w:line="247" w:lineRule="auto"/>
              <w:ind w:left="127" w:right="119"/>
              <w:rPr>
                <w:rFonts w:ascii="仿宋" w:hAnsi="仿宋" w:eastAsia="仿宋" w:cs="仿宋"/>
                <w:sz w:val="21"/>
                <w:szCs w:val="21"/>
              </w:rPr>
            </w:pPr>
            <w:r>
              <w:rPr>
                <w:rFonts w:ascii="仿宋" w:hAnsi="仿宋" w:eastAsia="仿宋" w:cs="仿宋"/>
                <w:spacing w:val="-4"/>
                <w:sz w:val="21"/>
                <w:szCs w:val="21"/>
              </w:rPr>
              <w:t>综合法研究</w:t>
            </w:r>
            <w:r>
              <w:rPr>
                <w:rFonts w:ascii="仿宋" w:hAnsi="仿宋" w:eastAsia="仿宋" w:cs="仿宋"/>
                <w:spacing w:val="2"/>
                <w:sz w:val="21"/>
                <w:szCs w:val="21"/>
              </w:rPr>
              <w:t xml:space="preserve"> </w:t>
            </w:r>
            <w:r>
              <w:rPr>
                <w:rFonts w:ascii="仿宋" w:hAnsi="仿宋" w:eastAsia="仿宋" w:cs="仿宋"/>
                <w:spacing w:val="-10"/>
                <w:sz w:val="21"/>
                <w:szCs w:val="21"/>
              </w:rPr>
              <w:t>周期过长，</w:t>
            </w:r>
          </w:p>
          <w:p>
            <w:pPr>
              <w:spacing w:before="63" w:line="247" w:lineRule="auto"/>
              <w:ind w:left="448" w:right="223" w:hanging="206"/>
              <w:rPr>
                <w:rFonts w:ascii="仿宋" w:hAnsi="仿宋" w:eastAsia="仿宋" w:cs="仿宋"/>
                <w:sz w:val="21"/>
                <w:szCs w:val="21"/>
              </w:rPr>
            </w:pPr>
            <w:r>
              <w:rPr>
                <w:rFonts w:ascii="仿宋" w:hAnsi="仿宋" w:eastAsia="仿宋" w:cs="仿宋"/>
                <w:spacing w:val="-7"/>
                <w:sz w:val="21"/>
                <w:szCs w:val="21"/>
              </w:rPr>
              <w:t>资料要求</w:t>
            </w:r>
            <w:r>
              <w:rPr>
                <w:rFonts w:ascii="仿宋" w:hAnsi="仿宋" w:eastAsia="仿宋" w:cs="仿宋"/>
                <w:spacing w:val="2"/>
                <w:sz w:val="21"/>
                <w:szCs w:val="21"/>
              </w:rPr>
              <w:t xml:space="preserve"> </w:t>
            </w:r>
            <w:r>
              <w:rPr>
                <w:rFonts w:ascii="仿宋" w:hAnsi="仿宋" w:eastAsia="仿宋" w:cs="仿宋"/>
                <w:spacing w:val="-11"/>
                <w:sz w:val="21"/>
                <w:szCs w:val="21"/>
              </w:rPr>
              <w:t>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8" w:hRule="atLeast"/>
        </w:trPr>
        <w:tc>
          <w:tcPr>
            <w:tcW w:w="1782" w:type="dxa"/>
            <w:gridSpan w:val="2"/>
            <w:tcBorders>
              <w:left w:val="nil"/>
            </w:tcBorders>
            <w:vAlign w:val="top"/>
          </w:tcPr>
          <w:p>
            <w:pPr>
              <w:spacing w:line="453" w:lineRule="auto"/>
              <w:rPr>
                <w:rFonts w:ascii="Arial"/>
                <w:sz w:val="21"/>
              </w:rPr>
            </w:pPr>
          </w:p>
          <w:p>
            <w:pPr>
              <w:spacing w:before="69" w:line="219" w:lineRule="auto"/>
              <w:ind w:left="293"/>
              <w:rPr>
                <w:rFonts w:ascii="仿宋" w:hAnsi="仿宋" w:eastAsia="仿宋" w:cs="仿宋"/>
                <w:sz w:val="21"/>
                <w:szCs w:val="21"/>
              </w:rPr>
            </w:pPr>
            <w:r>
              <w:rPr>
                <w:rFonts w:ascii="仿宋" w:hAnsi="仿宋" w:eastAsia="仿宋" w:cs="仿宋"/>
                <w:spacing w:val="-4"/>
                <w:sz w:val="21"/>
                <w:szCs w:val="21"/>
              </w:rPr>
              <w:t>生态水力学法</w:t>
            </w:r>
          </w:p>
        </w:tc>
        <w:tc>
          <w:tcPr>
            <w:tcW w:w="2487" w:type="dxa"/>
            <w:vAlign w:val="top"/>
          </w:tcPr>
          <w:p>
            <w:pPr>
              <w:spacing w:before="212" w:line="217" w:lineRule="auto"/>
              <w:ind w:left="208"/>
              <w:rPr>
                <w:rFonts w:ascii="仿宋" w:hAnsi="仿宋" w:eastAsia="仿宋" w:cs="仿宋"/>
                <w:sz w:val="21"/>
                <w:szCs w:val="21"/>
              </w:rPr>
            </w:pPr>
            <w:r>
              <w:rPr>
                <w:rFonts w:ascii="仿宋" w:hAnsi="仿宋" w:eastAsia="仿宋" w:cs="仿宋"/>
                <w:spacing w:val="-2"/>
                <w:sz w:val="21"/>
                <w:szCs w:val="21"/>
              </w:rPr>
              <w:t>通过水生生物适应的水</w:t>
            </w:r>
          </w:p>
          <w:p>
            <w:pPr>
              <w:spacing w:before="64" w:line="247" w:lineRule="auto"/>
              <w:ind w:left="207" w:right="219" w:firstLine="105"/>
              <w:rPr>
                <w:rFonts w:ascii="仿宋" w:hAnsi="仿宋" w:eastAsia="仿宋" w:cs="仿宋"/>
                <w:sz w:val="21"/>
                <w:szCs w:val="21"/>
              </w:rPr>
            </w:pPr>
            <w:r>
              <w:rPr>
                <w:rFonts w:ascii="仿宋" w:hAnsi="仿宋" w:eastAsia="仿宋" w:cs="仿宋"/>
                <w:spacing w:val="-3"/>
                <w:sz w:val="21"/>
                <w:szCs w:val="21"/>
              </w:rPr>
              <w:t xml:space="preserve">力生境确定合适的流 </w:t>
            </w:r>
            <w:r>
              <w:rPr>
                <w:rFonts w:ascii="仿宋" w:hAnsi="仿宋" w:eastAsia="仿宋" w:cs="仿宋"/>
                <w:spacing w:val="-5"/>
                <w:sz w:val="21"/>
                <w:szCs w:val="21"/>
              </w:rPr>
              <w:t>量，属于生境模拟法。</w:t>
            </w:r>
          </w:p>
        </w:tc>
        <w:tc>
          <w:tcPr>
            <w:tcW w:w="1658" w:type="dxa"/>
            <w:tcBorders>
              <w:right w:val="single" w:color="000000" w:sz="6" w:space="0"/>
            </w:tcBorders>
            <w:vAlign w:val="top"/>
          </w:tcPr>
          <w:p>
            <w:pPr>
              <w:spacing w:before="57" w:line="260" w:lineRule="auto"/>
              <w:ind w:left="209" w:right="191"/>
              <w:jc w:val="both"/>
              <w:rPr>
                <w:rFonts w:ascii="仿宋" w:hAnsi="仿宋" w:eastAsia="仿宋" w:cs="仿宋"/>
                <w:sz w:val="21"/>
                <w:szCs w:val="21"/>
              </w:rPr>
            </w:pPr>
            <w:r>
              <w:rPr>
                <w:rFonts w:ascii="仿宋" w:hAnsi="仿宋" w:eastAsia="仿宋" w:cs="仿宋"/>
                <w:spacing w:val="-3"/>
                <w:sz w:val="21"/>
                <w:szCs w:val="21"/>
              </w:rPr>
              <w:t>适用于大中型</w:t>
            </w:r>
            <w:r>
              <w:rPr>
                <w:rFonts w:ascii="仿宋" w:hAnsi="仿宋" w:eastAsia="仿宋" w:cs="仿宋"/>
                <w:spacing w:val="3"/>
                <w:sz w:val="21"/>
                <w:szCs w:val="21"/>
              </w:rPr>
              <w:t xml:space="preserve"> </w:t>
            </w:r>
            <w:r>
              <w:rPr>
                <w:rFonts w:ascii="仿宋" w:hAnsi="仿宋" w:eastAsia="仿宋" w:cs="仿宋"/>
                <w:spacing w:val="-3"/>
                <w:sz w:val="21"/>
                <w:szCs w:val="21"/>
              </w:rPr>
              <w:t>河流内的水生</w:t>
            </w:r>
            <w:r>
              <w:rPr>
                <w:rFonts w:ascii="仿宋" w:hAnsi="仿宋" w:eastAsia="仿宋" w:cs="仿宋"/>
                <w:spacing w:val="3"/>
                <w:sz w:val="21"/>
                <w:szCs w:val="21"/>
              </w:rPr>
              <w:t xml:space="preserve"> </w:t>
            </w:r>
            <w:r>
              <w:rPr>
                <w:rFonts w:ascii="仿宋" w:hAnsi="仿宋" w:eastAsia="仿宋" w:cs="仿宋"/>
                <w:spacing w:val="-3"/>
                <w:sz w:val="21"/>
                <w:szCs w:val="21"/>
              </w:rPr>
              <w:t>生物所需生态</w:t>
            </w:r>
            <w:r>
              <w:rPr>
                <w:rFonts w:ascii="仿宋" w:hAnsi="仿宋" w:eastAsia="仿宋" w:cs="仿宋"/>
                <w:spacing w:val="3"/>
                <w:sz w:val="21"/>
                <w:szCs w:val="21"/>
              </w:rPr>
              <w:t xml:space="preserve"> </w:t>
            </w:r>
            <w:r>
              <w:rPr>
                <w:rFonts w:ascii="仿宋" w:hAnsi="仿宋" w:eastAsia="仿宋" w:cs="仿宋"/>
                <w:spacing w:val="-5"/>
                <w:sz w:val="21"/>
                <w:szCs w:val="21"/>
              </w:rPr>
              <w:t>流量的计算。</w:t>
            </w:r>
          </w:p>
        </w:tc>
        <w:tc>
          <w:tcPr>
            <w:tcW w:w="1105" w:type="dxa"/>
            <w:tcBorders>
              <w:left w:val="single" w:color="000000" w:sz="6" w:space="0"/>
              <w:right w:val="single" w:color="000000" w:sz="6" w:space="0"/>
            </w:tcBorders>
            <w:vAlign w:val="top"/>
          </w:tcPr>
          <w:p>
            <w:pPr>
              <w:spacing w:line="453" w:lineRule="auto"/>
              <w:rPr>
                <w:rFonts w:ascii="Arial"/>
                <w:sz w:val="21"/>
              </w:rPr>
            </w:pPr>
          </w:p>
          <w:p>
            <w:pPr>
              <w:spacing w:before="68" w:line="220" w:lineRule="auto"/>
              <w:ind w:left="249"/>
              <w:rPr>
                <w:rFonts w:ascii="仿宋" w:hAnsi="仿宋" w:eastAsia="仿宋" w:cs="仿宋"/>
                <w:sz w:val="21"/>
                <w:szCs w:val="21"/>
              </w:rPr>
            </w:pPr>
            <w:r>
              <w:rPr>
                <w:rFonts w:ascii="仿宋" w:hAnsi="仿宋" w:eastAsia="仿宋" w:cs="仿宋"/>
                <w:spacing w:val="-5"/>
                <w:sz w:val="21"/>
                <w:szCs w:val="21"/>
              </w:rPr>
              <w:t>不适用</w:t>
            </w:r>
          </w:p>
        </w:tc>
        <w:tc>
          <w:tcPr>
            <w:tcW w:w="1289" w:type="dxa"/>
            <w:tcBorders>
              <w:left w:val="single" w:color="000000" w:sz="6" w:space="0"/>
              <w:right w:val="nil"/>
            </w:tcBorders>
            <w:vAlign w:val="top"/>
          </w:tcPr>
          <w:p>
            <w:pPr>
              <w:spacing w:before="213" w:line="218" w:lineRule="auto"/>
              <w:ind w:left="126"/>
              <w:rPr>
                <w:rFonts w:ascii="仿宋" w:hAnsi="仿宋" w:eastAsia="仿宋" w:cs="仿宋"/>
                <w:sz w:val="21"/>
                <w:szCs w:val="21"/>
              </w:rPr>
            </w:pPr>
            <w:r>
              <w:rPr>
                <w:rFonts w:ascii="仿宋" w:hAnsi="仿宋" w:eastAsia="仿宋" w:cs="仿宋"/>
                <w:spacing w:val="-3"/>
                <w:sz w:val="21"/>
                <w:szCs w:val="21"/>
              </w:rPr>
              <w:t>评价河段属</w:t>
            </w:r>
          </w:p>
          <w:p>
            <w:pPr>
              <w:spacing w:before="63" w:line="248" w:lineRule="auto"/>
              <w:ind w:left="440" w:right="223" w:hanging="205"/>
              <w:rPr>
                <w:rFonts w:ascii="仿宋" w:hAnsi="仿宋" w:eastAsia="仿宋" w:cs="仿宋"/>
                <w:sz w:val="21"/>
                <w:szCs w:val="21"/>
              </w:rPr>
            </w:pPr>
            <w:r>
              <w:rPr>
                <w:rFonts w:ascii="仿宋" w:hAnsi="仿宋" w:eastAsia="仿宋" w:cs="仿宋"/>
                <w:spacing w:val="-5"/>
                <w:sz w:val="21"/>
                <w:szCs w:val="21"/>
              </w:rPr>
              <w:t>于小型河</w:t>
            </w:r>
            <w:r>
              <w:rPr>
                <w:rFonts w:ascii="仿宋" w:hAnsi="仿宋" w:eastAsia="仿宋" w:cs="仿宋"/>
                <w:sz w:val="21"/>
                <w:szCs w:val="21"/>
              </w:rPr>
              <w:t xml:space="preserve"> </w:t>
            </w:r>
            <w:r>
              <w:rPr>
                <w:rFonts w:ascii="仿宋" w:hAnsi="仿宋" w:eastAsia="仿宋" w:cs="仿宋"/>
                <w:spacing w:val="-11"/>
                <w:sz w:val="21"/>
                <w:szCs w:val="21"/>
              </w:rPr>
              <w:t>流。</w:t>
            </w:r>
          </w:p>
        </w:tc>
      </w:tr>
    </w:tbl>
    <w:p>
      <w:pPr>
        <w:spacing w:before="36" w:line="239" w:lineRule="auto"/>
        <w:ind w:left="518"/>
        <w:rPr>
          <w:rFonts w:ascii="宋体" w:hAnsi="宋体" w:eastAsia="宋体" w:cs="宋体"/>
          <w:sz w:val="24"/>
          <w:szCs w:val="24"/>
        </w:rPr>
      </w:pPr>
      <w:r>
        <w:rPr>
          <w:rFonts w:ascii="Times New Roman" w:hAnsi="Times New Roman" w:eastAsia="Times New Roman" w:cs="Times New Roman"/>
          <w:spacing w:val="-2"/>
          <w:sz w:val="24"/>
          <w:szCs w:val="24"/>
        </w:rPr>
        <w:t xml:space="preserve">a.Tennant </w:t>
      </w:r>
      <w:r>
        <w:rPr>
          <w:rFonts w:ascii="宋体" w:hAnsi="宋体" w:eastAsia="宋体" w:cs="宋体"/>
          <w:spacing w:val="-2"/>
          <w:sz w:val="24"/>
          <w:szCs w:val="24"/>
        </w:rPr>
        <w:t>法</w:t>
      </w:r>
    </w:p>
    <w:p>
      <w:pPr>
        <w:spacing w:before="156" w:line="359" w:lineRule="auto"/>
        <w:ind w:left="41" w:firstLine="475"/>
        <w:rPr>
          <w:rFonts w:ascii="宋体" w:hAnsi="宋体" w:eastAsia="宋体" w:cs="宋体"/>
          <w:sz w:val="24"/>
          <w:szCs w:val="24"/>
        </w:rPr>
      </w:pPr>
      <w:r>
        <w:rPr>
          <w:rFonts w:ascii="Times New Roman" w:hAnsi="Times New Roman" w:eastAsia="Times New Roman" w:cs="Times New Roman"/>
          <w:spacing w:val="-2"/>
          <w:sz w:val="24"/>
          <w:szCs w:val="24"/>
        </w:rPr>
        <w:t>Tennant</w:t>
      </w:r>
      <w:r>
        <w:rPr>
          <w:rFonts w:ascii="Times New Roman" w:hAnsi="Times New Roman" w:eastAsia="Times New Roman" w:cs="Times New Roman"/>
          <w:spacing w:val="47"/>
          <w:sz w:val="24"/>
          <w:szCs w:val="24"/>
        </w:rPr>
        <w:t xml:space="preserve"> </w:t>
      </w:r>
      <w:r>
        <w:rPr>
          <w:rFonts w:ascii="宋体" w:hAnsi="宋体" w:eastAsia="宋体" w:cs="宋体"/>
          <w:spacing w:val="-2"/>
          <w:sz w:val="24"/>
          <w:szCs w:val="24"/>
        </w:rPr>
        <w:t>法是依据观测资料建立的流量和河流生态</w:t>
      </w:r>
      <w:r>
        <w:rPr>
          <w:rFonts w:ascii="宋体" w:hAnsi="宋体" w:eastAsia="宋体" w:cs="宋体"/>
          <w:spacing w:val="-3"/>
          <w:sz w:val="24"/>
          <w:szCs w:val="24"/>
        </w:rPr>
        <w:t>环境状况之间的经验关系，</w:t>
      </w:r>
      <w:r>
        <w:rPr>
          <w:rFonts w:ascii="宋体" w:hAnsi="宋体" w:eastAsia="宋体" w:cs="宋体"/>
          <w:sz w:val="24"/>
          <w:szCs w:val="24"/>
        </w:rPr>
        <w:t xml:space="preserve"> </w:t>
      </w:r>
      <w:r>
        <w:rPr>
          <w:rFonts w:ascii="宋体" w:hAnsi="宋体" w:eastAsia="宋体" w:cs="宋体"/>
          <w:spacing w:val="-3"/>
          <w:sz w:val="24"/>
          <w:szCs w:val="24"/>
        </w:rPr>
        <w:t>用历史流量资料就可以确定年内不同时段的生态环境需水量。不同河道内生态环</w:t>
      </w:r>
    </w:p>
    <w:p>
      <w:pPr>
        <w:spacing w:line="219" w:lineRule="auto"/>
        <w:ind w:left="40"/>
        <w:rPr>
          <w:rFonts w:ascii="宋体" w:hAnsi="宋体" w:eastAsia="宋体" w:cs="宋体"/>
          <w:sz w:val="24"/>
          <w:szCs w:val="24"/>
        </w:rPr>
      </w:pPr>
      <w:r>
        <w:rPr>
          <w:rFonts w:ascii="宋体" w:hAnsi="宋体" w:eastAsia="宋体" w:cs="宋体"/>
          <w:spacing w:val="-1"/>
          <w:sz w:val="24"/>
          <w:szCs w:val="24"/>
        </w:rPr>
        <w:t>境状况对应的流量百分比见表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4.2-5</w:t>
      </w:r>
      <w:r>
        <w:rPr>
          <w:rFonts w:ascii="宋体" w:hAnsi="宋体" w:eastAsia="宋体" w:cs="宋体"/>
          <w:spacing w:val="-1"/>
          <w:sz w:val="24"/>
          <w:szCs w:val="24"/>
        </w:rPr>
        <w:t>。</w:t>
      </w:r>
    </w:p>
    <w:p>
      <w:pPr>
        <w:spacing w:line="247" w:lineRule="auto"/>
        <w:rPr>
          <w:rFonts w:ascii="Arial"/>
          <w:sz w:val="21"/>
        </w:rPr>
      </w:pPr>
    </w:p>
    <w:p>
      <w:pPr>
        <w:spacing w:before="69" w:line="219" w:lineRule="auto"/>
        <w:ind w:left="2485"/>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28"/>
          <w:sz w:val="21"/>
          <w:szCs w:val="21"/>
        </w:rPr>
        <w:t xml:space="preserve"> </w:t>
      </w:r>
      <w:r>
        <w:rPr>
          <w:rFonts w:ascii="Times New Roman" w:hAnsi="Times New Roman" w:eastAsia="Times New Roman" w:cs="Times New Roman"/>
          <w:b/>
          <w:bCs/>
          <w:spacing w:val="-1"/>
          <w:sz w:val="21"/>
          <w:szCs w:val="21"/>
        </w:rPr>
        <w:t xml:space="preserve">4.2-5    Tennant </w:t>
      </w:r>
      <w:r>
        <w:rPr>
          <w:rFonts w:ascii="宋体" w:hAnsi="宋体" w:eastAsia="宋体" w:cs="宋体"/>
          <w:spacing w:val="-1"/>
          <w:sz w:val="21"/>
          <w:szCs w:val="21"/>
          <w14:textOutline w14:w="3810" w14:cap="flat" w14:cmpd="sng">
            <w14:solidFill>
              <w14:srgbClr w14:val="000000"/>
            </w14:solidFill>
            <w14:prstDash w14:val="solid"/>
            <w14:miter w14:val="0"/>
          </w14:textOutline>
        </w:rPr>
        <w:t>法推荐的基流标准</w:t>
      </w:r>
    </w:p>
    <w:p>
      <w:pPr>
        <w:spacing w:line="19"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81"/>
        <w:gridCol w:w="2964"/>
        <w:gridCol w:w="2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0" w:hRule="atLeast"/>
        </w:trPr>
        <w:tc>
          <w:tcPr>
            <w:tcW w:w="2881" w:type="dxa"/>
            <w:tcBorders>
              <w:left w:val="nil"/>
            </w:tcBorders>
            <w:vAlign w:val="top"/>
          </w:tcPr>
          <w:p>
            <w:pPr>
              <w:spacing w:before="55" w:line="216" w:lineRule="auto"/>
              <w:ind w:left="72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不同流量百分比</w:t>
            </w:r>
          </w:p>
          <w:p>
            <w:pPr>
              <w:spacing w:before="66" w:line="218" w:lineRule="auto"/>
              <w:ind w:left="303"/>
              <w:rPr>
                <w:rFonts w:ascii="仿宋" w:hAnsi="仿宋" w:eastAsia="仿宋" w:cs="仿宋"/>
                <w:sz w:val="21"/>
                <w:szCs w:val="21"/>
              </w:rPr>
            </w:pPr>
            <w:r>
              <w:rPr>
                <w:rFonts w:ascii="仿宋" w:hAnsi="仿宋" w:eastAsia="仿宋" w:cs="仿宋"/>
                <w:spacing w:val="-1"/>
                <w:sz w:val="21"/>
                <w:szCs w:val="21"/>
                <w14:textOutline w14:w="3810" w14:cap="flat" w14:cmpd="sng">
                  <w14:solidFill>
                    <w14:srgbClr w14:val="000000"/>
                  </w14:solidFill>
                  <w14:prstDash w14:val="solid"/>
                  <w14:miter w14:val="0"/>
                </w14:textOutline>
              </w:rPr>
              <w:t>对应河道内生态环境状况</w:t>
            </w:r>
          </w:p>
        </w:tc>
        <w:tc>
          <w:tcPr>
            <w:tcW w:w="2964" w:type="dxa"/>
            <w:vAlign w:val="top"/>
          </w:tcPr>
          <w:p>
            <w:pPr>
              <w:spacing w:before="55" w:line="216" w:lineRule="auto"/>
              <w:ind w:left="476"/>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占年均天然流量百分比</w:t>
            </w:r>
          </w:p>
          <w:p>
            <w:pPr>
              <w:spacing w:before="66" w:line="218" w:lineRule="auto"/>
              <w:ind w:left="96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（非汛期）</w:t>
            </w:r>
          </w:p>
        </w:tc>
        <w:tc>
          <w:tcPr>
            <w:tcW w:w="2476" w:type="dxa"/>
            <w:tcBorders>
              <w:right w:val="nil"/>
            </w:tcBorders>
            <w:vAlign w:val="top"/>
          </w:tcPr>
          <w:p>
            <w:pPr>
              <w:spacing w:before="55" w:line="216" w:lineRule="auto"/>
              <w:ind w:left="231"/>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占年均天然流量百分比</w:t>
            </w:r>
          </w:p>
          <w:p>
            <w:pPr>
              <w:spacing w:before="66" w:line="219" w:lineRule="auto"/>
              <w:ind w:left="827"/>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（汛期）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2881" w:type="dxa"/>
            <w:tcBorders>
              <w:left w:val="nil"/>
            </w:tcBorders>
            <w:vAlign w:val="top"/>
          </w:tcPr>
          <w:p>
            <w:pPr>
              <w:spacing w:before="55" w:line="218" w:lineRule="auto"/>
              <w:ind w:left="1256"/>
              <w:rPr>
                <w:rFonts w:ascii="仿宋" w:hAnsi="仿宋" w:eastAsia="仿宋" w:cs="仿宋"/>
                <w:sz w:val="21"/>
                <w:szCs w:val="21"/>
              </w:rPr>
            </w:pPr>
            <w:r>
              <w:rPr>
                <w:rFonts w:ascii="仿宋" w:hAnsi="仿宋" w:eastAsia="仿宋" w:cs="仿宋"/>
                <w:spacing w:val="-10"/>
                <w:sz w:val="21"/>
                <w:szCs w:val="21"/>
              </w:rPr>
              <w:t>最佳</w:t>
            </w:r>
          </w:p>
        </w:tc>
        <w:tc>
          <w:tcPr>
            <w:tcW w:w="2964" w:type="dxa"/>
            <w:vAlign w:val="top"/>
          </w:tcPr>
          <w:p>
            <w:pPr>
              <w:pStyle w:val="6"/>
              <w:spacing w:before="92" w:line="188" w:lineRule="auto"/>
              <w:ind w:left="1169"/>
            </w:pPr>
            <w:r>
              <w:rPr>
                <w:spacing w:val="-2"/>
              </w:rPr>
              <w:t>60~100</w:t>
            </w:r>
          </w:p>
        </w:tc>
        <w:tc>
          <w:tcPr>
            <w:tcW w:w="2476" w:type="dxa"/>
            <w:tcBorders>
              <w:right w:val="nil"/>
            </w:tcBorders>
            <w:vAlign w:val="top"/>
          </w:tcPr>
          <w:p>
            <w:pPr>
              <w:pStyle w:val="6"/>
              <w:spacing w:before="92" w:line="188" w:lineRule="auto"/>
              <w:ind w:left="925"/>
            </w:pPr>
            <w:r>
              <w:rPr>
                <w:spacing w:val="-2"/>
              </w:rPr>
              <w:t>60~100</w:t>
            </w:r>
          </w:p>
        </w:tc>
      </w:tr>
    </w:tbl>
    <w:p>
      <w:pPr>
        <w:rPr>
          <w:rFonts w:ascii="Arial"/>
          <w:sz w:val="21"/>
        </w:rPr>
      </w:pPr>
    </w:p>
    <w:p>
      <w:pPr>
        <w:rPr>
          <w:rFonts w:ascii="Arial" w:hAnsi="Arial" w:eastAsia="Arial" w:cs="Arial"/>
          <w:sz w:val="21"/>
          <w:szCs w:val="21"/>
        </w:rPr>
        <w:sectPr>
          <w:headerReference r:id="rId358" w:type="default"/>
          <w:footerReference r:id="rId359" w:type="default"/>
          <w:pgSz w:w="11907" w:h="16839"/>
          <w:pgMar w:top="1156" w:right="1610" w:bottom="1374" w:left="1770" w:header="881" w:footer="1210" w:gutter="0"/>
        </w:sectPr>
      </w:pPr>
    </w:p>
    <w:p>
      <w:pPr>
        <w:spacing w:before="41"/>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81"/>
        <w:gridCol w:w="2964"/>
        <w:gridCol w:w="24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881" w:type="dxa"/>
            <w:tcBorders>
              <w:left w:val="nil"/>
            </w:tcBorders>
            <w:vAlign w:val="top"/>
          </w:tcPr>
          <w:p>
            <w:pPr>
              <w:spacing w:before="55" w:line="218" w:lineRule="auto"/>
              <w:ind w:left="1251"/>
              <w:rPr>
                <w:rFonts w:ascii="仿宋" w:hAnsi="仿宋" w:eastAsia="仿宋" w:cs="仿宋"/>
                <w:sz w:val="21"/>
                <w:szCs w:val="21"/>
              </w:rPr>
            </w:pPr>
            <w:r>
              <w:rPr>
                <w:rFonts w:ascii="仿宋" w:hAnsi="仿宋" w:eastAsia="仿宋" w:cs="仿宋"/>
                <w:spacing w:val="-4"/>
                <w:sz w:val="21"/>
                <w:szCs w:val="21"/>
              </w:rPr>
              <w:t>很好</w:t>
            </w:r>
          </w:p>
        </w:tc>
        <w:tc>
          <w:tcPr>
            <w:tcW w:w="2964" w:type="dxa"/>
            <w:vAlign w:val="top"/>
          </w:tcPr>
          <w:p>
            <w:pPr>
              <w:pStyle w:val="6"/>
              <w:spacing w:before="92" w:line="188" w:lineRule="auto"/>
              <w:ind w:left="1377"/>
            </w:pPr>
            <w:r>
              <w:rPr>
                <w:spacing w:val="-2"/>
              </w:rPr>
              <w:t>40</w:t>
            </w:r>
          </w:p>
        </w:tc>
        <w:tc>
          <w:tcPr>
            <w:tcW w:w="2476" w:type="dxa"/>
            <w:tcBorders>
              <w:right w:val="nil"/>
            </w:tcBorders>
            <w:vAlign w:val="top"/>
          </w:tcPr>
          <w:p>
            <w:pPr>
              <w:pStyle w:val="6"/>
              <w:spacing w:before="92" w:line="188" w:lineRule="auto"/>
              <w:ind w:left="1139"/>
            </w:pPr>
            <w:r>
              <w:rPr>
                <w:spacing w:val="-3"/>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2881" w:type="dxa"/>
            <w:tcBorders>
              <w:left w:val="nil"/>
            </w:tcBorders>
            <w:vAlign w:val="top"/>
          </w:tcPr>
          <w:p>
            <w:pPr>
              <w:spacing w:before="53" w:line="219" w:lineRule="auto"/>
              <w:ind w:left="1356"/>
              <w:rPr>
                <w:rFonts w:ascii="仿宋" w:hAnsi="仿宋" w:eastAsia="仿宋" w:cs="仿宋"/>
                <w:sz w:val="21"/>
                <w:szCs w:val="21"/>
              </w:rPr>
            </w:pPr>
            <w:r>
              <w:rPr>
                <w:rFonts w:ascii="仿宋" w:hAnsi="仿宋" w:eastAsia="仿宋" w:cs="仿宋"/>
                <w:sz w:val="21"/>
                <w:szCs w:val="21"/>
              </w:rPr>
              <w:t>好</w:t>
            </w:r>
          </w:p>
        </w:tc>
        <w:tc>
          <w:tcPr>
            <w:tcW w:w="2964" w:type="dxa"/>
            <w:vAlign w:val="top"/>
          </w:tcPr>
          <w:p>
            <w:pPr>
              <w:pStyle w:val="6"/>
              <w:spacing w:before="90" w:line="188" w:lineRule="auto"/>
              <w:ind w:left="1383"/>
            </w:pPr>
            <w:r>
              <w:rPr>
                <w:spacing w:val="-3"/>
              </w:rPr>
              <w:t>30</w:t>
            </w:r>
          </w:p>
        </w:tc>
        <w:tc>
          <w:tcPr>
            <w:tcW w:w="2476" w:type="dxa"/>
            <w:tcBorders>
              <w:right w:val="nil"/>
            </w:tcBorders>
            <w:vAlign w:val="top"/>
          </w:tcPr>
          <w:p>
            <w:pPr>
              <w:pStyle w:val="6"/>
              <w:spacing w:before="90" w:line="188" w:lineRule="auto"/>
              <w:ind w:left="1140"/>
            </w:pPr>
            <w:r>
              <w:rPr>
                <w:spacing w:val="-3"/>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881" w:type="dxa"/>
            <w:tcBorders>
              <w:left w:val="nil"/>
            </w:tcBorders>
            <w:vAlign w:val="top"/>
          </w:tcPr>
          <w:p>
            <w:pPr>
              <w:spacing w:before="52" w:line="219" w:lineRule="auto"/>
              <w:ind w:left="1282"/>
              <w:rPr>
                <w:rFonts w:ascii="仿宋" w:hAnsi="仿宋" w:eastAsia="仿宋" w:cs="仿宋"/>
                <w:sz w:val="21"/>
                <w:szCs w:val="21"/>
              </w:rPr>
            </w:pPr>
            <w:r>
              <w:rPr>
                <w:rFonts w:ascii="仿宋" w:hAnsi="仿宋" w:eastAsia="仿宋" w:cs="仿宋"/>
                <w:spacing w:val="-12"/>
                <w:sz w:val="21"/>
                <w:szCs w:val="21"/>
              </w:rPr>
              <w:t>良好</w:t>
            </w:r>
          </w:p>
        </w:tc>
        <w:tc>
          <w:tcPr>
            <w:tcW w:w="2964" w:type="dxa"/>
            <w:vAlign w:val="top"/>
          </w:tcPr>
          <w:p>
            <w:pPr>
              <w:pStyle w:val="6"/>
              <w:spacing w:before="89" w:line="188" w:lineRule="auto"/>
              <w:ind w:left="1378"/>
            </w:pPr>
            <w:r>
              <w:rPr>
                <w:spacing w:val="-1"/>
              </w:rPr>
              <w:t>20</w:t>
            </w:r>
          </w:p>
        </w:tc>
        <w:tc>
          <w:tcPr>
            <w:tcW w:w="2476" w:type="dxa"/>
            <w:tcBorders>
              <w:right w:val="nil"/>
            </w:tcBorders>
            <w:vAlign w:val="top"/>
          </w:tcPr>
          <w:p>
            <w:pPr>
              <w:pStyle w:val="6"/>
              <w:spacing w:before="89" w:line="188" w:lineRule="auto"/>
              <w:ind w:left="1133"/>
            </w:pPr>
            <w:r>
              <w:rPr>
                <w:spacing w:val="-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881" w:type="dxa"/>
            <w:tcBorders>
              <w:left w:val="nil"/>
            </w:tcBorders>
            <w:vAlign w:val="top"/>
          </w:tcPr>
          <w:p>
            <w:pPr>
              <w:spacing w:before="54" w:line="220" w:lineRule="auto"/>
              <w:ind w:left="1254"/>
              <w:rPr>
                <w:rFonts w:ascii="仿宋" w:hAnsi="仿宋" w:eastAsia="仿宋" w:cs="仿宋"/>
                <w:sz w:val="21"/>
                <w:szCs w:val="21"/>
              </w:rPr>
            </w:pPr>
            <w:r>
              <w:rPr>
                <w:rFonts w:ascii="仿宋" w:hAnsi="仿宋" w:eastAsia="仿宋" w:cs="仿宋"/>
                <w:spacing w:val="-9"/>
                <w:sz w:val="21"/>
                <w:szCs w:val="21"/>
              </w:rPr>
              <w:t>一般</w:t>
            </w:r>
          </w:p>
        </w:tc>
        <w:tc>
          <w:tcPr>
            <w:tcW w:w="2964" w:type="dxa"/>
            <w:vAlign w:val="top"/>
          </w:tcPr>
          <w:p>
            <w:pPr>
              <w:pStyle w:val="6"/>
              <w:spacing w:before="90" w:line="188" w:lineRule="auto"/>
              <w:ind w:left="1399"/>
            </w:pPr>
            <w:r>
              <w:rPr>
                <w:spacing w:val="-12"/>
              </w:rPr>
              <w:t>10</w:t>
            </w:r>
          </w:p>
        </w:tc>
        <w:tc>
          <w:tcPr>
            <w:tcW w:w="2476" w:type="dxa"/>
            <w:tcBorders>
              <w:right w:val="nil"/>
            </w:tcBorders>
            <w:vAlign w:val="top"/>
          </w:tcPr>
          <w:p>
            <w:pPr>
              <w:pStyle w:val="6"/>
              <w:spacing w:before="90" w:line="188" w:lineRule="auto"/>
              <w:ind w:left="1138"/>
            </w:pPr>
            <w:r>
              <w:rPr>
                <w:spacing w:val="-3"/>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2881" w:type="dxa"/>
            <w:tcBorders>
              <w:left w:val="nil"/>
            </w:tcBorders>
            <w:vAlign w:val="top"/>
          </w:tcPr>
          <w:p>
            <w:pPr>
              <w:spacing w:before="55" w:line="221" w:lineRule="auto"/>
              <w:ind w:left="1359"/>
              <w:rPr>
                <w:rFonts w:ascii="仿宋" w:hAnsi="仿宋" w:eastAsia="仿宋" w:cs="仿宋"/>
                <w:sz w:val="21"/>
                <w:szCs w:val="21"/>
              </w:rPr>
            </w:pPr>
            <w:r>
              <w:rPr>
                <w:rFonts w:ascii="仿宋" w:hAnsi="仿宋" w:eastAsia="仿宋" w:cs="仿宋"/>
                <w:sz w:val="21"/>
                <w:szCs w:val="21"/>
              </w:rPr>
              <w:t>差</w:t>
            </w:r>
          </w:p>
        </w:tc>
        <w:tc>
          <w:tcPr>
            <w:tcW w:w="2964" w:type="dxa"/>
            <w:vAlign w:val="top"/>
          </w:tcPr>
          <w:p>
            <w:pPr>
              <w:pStyle w:val="6"/>
              <w:spacing w:before="92" w:line="188" w:lineRule="auto"/>
              <w:ind w:left="1399"/>
            </w:pPr>
            <w:r>
              <w:rPr>
                <w:spacing w:val="-6"/>
              </w:rPr>
              <w:t>10</w:t>
            </w:r>
          </w:p>
        </w:tc>
        <w:tc>
          <w:tcPr>
            <w:tcW w:w="2476" w:type="dxa"/>
            <w:tcBorders>
              <w:right w:val="nil"/>
            </w:tcBorders>
            <w:vAlign w:val="top"/>
          </w:tcPr>
          <w:p>
            <w:pPr>
              <w:pStyle w:val="6"/>
              <w:spacing w:before="92" w:line="188" w:lineRule="auto"/>
              <w:ind w:left="1154"/>
            </w:pPr>
            <w:r>
              <w:rPr>
                <w:spacing w:val="-6"/>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2881" w:type="dxa"/>
            <w:tcBorders>
              <w:left w:val="nil"/>
            </w:tcBorders>
            <w:vAlign w:val="top"/>
          </w:tcPr>
          <w:p>
            <w:pPr>
              <w:spacing w:before="55" w:line="218" w:lineRule="auto"/>
              <w:ind w:left="1250"/>
              <w:rPr>
                <w:rFonts w:ascii="仿宋" w:hAnsi="仿宋" w:eastAsia="仿宋" w:cs="仿宋"/>
                <w:sz w:val="21"/>
                <w:szCs w:val="21"/>
              </w:rPr>
            </w:pPr>
            <w:r>
              <w:rPr>
                <w:rFonts w:ascii="仿宋" w:hAnsi="仿宋" w:eastAsia="仿宋" w:cs="仿宋"/>
                <w:spacing w:val="-7"/>
                <w:sz w:val="21"/>
                <w:szCs w:val="21"/>
              </w:rPr>
              <w:t>极差</w:t>
            </w:r>
          </w:p>
        </w:tc>
        <w:tc>
          <w:tcPr>
            <w:tcW w:w="2964" w:type="dxa"/>
            <w:vAlign w:val="top"/>
          </w:tcPr>
          <w:p>
            <w:pPr>
              <w:pStyle w:val="6"/>
              <w:spacing w:before="92" w:line="188" w:lineRule="auto"/>
              <w:ind w:left="1272"/>
            </w:pPr>
            <w:r>
              <w:rPr>
                <w:spacing w:val="-2"/>
              </w:rPr>
              <w:t>0~10</w:t>
            </w:r>
          </w:p>
        </w:tc>
        <w:tc>
          <w:tcPr>
            <w:tcW w:w="2476" w:type="dxa"/>
            <w:tcBorders>
              <w:right w:val="nil"/>
            </w:tcBorders>
            <w:vAlign w:val="top"/>
          </w:tcPr>
          <w:p>
            <w:pPr>
              <w:pStyle w:val="6"/>
              <w:spacing w:before="92" w:line="188" w:lineRule="auto"/>
              <w:ind w:left="1028"/>
            </w:pPr>
            <w:r>
              <w:rPr>
                <w:spacing w:val="-2"/>
              </w:rPr>
              <w:t>0~10</w:t>
            </w:r>
          </w:p>
        </w:tc>
      </w:tr>
    </w:tbl>
    <w:p>
      <w:pPr>
        <w:spacing w:before="36" w:line="233" w:lineRule="auto"/>
        <w:ind w:left="518"/>
        <w:rPr>
          <w:rFonts w:ascii="宋体" w:hAnsi="宋体" w:eastAsia="宋体" w:cs="宋体"/>
          <w:sz w:val="24"/>
          <w:szCs w:val="24"/>
        </w:rPr>
      </w:pPr>
      <w:r>
        <w:rPr>
          <w:rFonts w:ascii="宋体" w:hAnsi="宋体" w:eastAsia="宋体" w:cs="宋体"/>
          <w:spacing w:val="-1"/>
          <w:sz w:val="24"/>
          <w:szCs w:val="24"/>
        </w:rPr>
        <w:t>坝址处多年平均流量</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0.74m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/s</w:t>
      </w:r>
      <w:r>
        <w:rPr>
          <w:rFonts w:ascii="宋体" w:hAnsi="宋体" w:eastAsia="宋体" w:cs="宋体"/>
          <w:spacing w:val="-1"/>
          <w:sz w:val="24"/>
          <w:szCs w:val="24"/>
        </w:rPr>
        <w:t>。选用</w:t>
      </w:r>
      <w:r>
        <w:rPr>
          <w:rFonts w:ascii="宋体" w:hAnsi="宋体" w:eastAsia="宋体" w:cs="宋体"/>
          <w:spacing w:val="-2"/>
          <w:sz w:val="24"/>
          <w:szCs w:val="24"/>
        </w:rPr>
        <w:t>“一般”级别的标准计算坝下河段的生</w:t>
      </w:r>
    </w:p>
    <w:p>
      <w:pPr>
        <w:spacing w:before="162" w:line="360" w:lineRule="auto"/>
        <w:ind w:left="44" w:right="87" w:hanging="5"/>
        <w:jc w:val="both"/>
        <w:rPr>
          <w:rFonts w:ascii="宋体" w:hAnsi="宋体" w:eastAsia="宋体" w:cs="宋体"/>
          <w:sz w:val="24"/>
          <w:szCs w:val="24"/>
        </w:rPr>
      </w:pPr>
      <w:r>
        <w:rPr>
          <w:rFonts w:ascii="宋体" w:hAnsi="宋体" w:eastAsia="宋体" w:cs="宋体"/>
          <w:spacing w:val="-5"/>
          <w:sz w:val="24"/>
          <w:szCs w:val="24"/>
        </w:rPr>
        <w:t>态需水量，即非汛期</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Times New Roman" w:hAnsi="Times New Roman" w:eastAsia="Times New Roman" w:cs="Times New Roman"/>
          <w:spacing w:val="-5"/>
          <w:sz w:val="24"/>
          <w:szCs w:val="24"/>
        </w:rPr>
        <w:t>~</w:t>
      </w:r>
      <w:r>
        <w:rPr>
          <w:rFonts w:ascii="宋体" w:hAnsi="宋体" w:eastAsia="宋体" w:cs="宋体"/>
          <w:spacing w:val="-5"/>
          <w:sz w:val="24"/>
          <w:szCs w:val="24"/>
        </w:rPr>
        <w:t>次年</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月选用河道多年平均天然流量的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w:t>
      </w:r>
      <w:r>
        <w:rPr>
          <w:rFonts w:ascii="宋体" w:hAnsi="宋体" w:eastAsia="宋体" w:cs="宋体"/>
          <w:spacing w:val="-5"/>
          <w:sz w:val="24"/>
          <w:szCs w:val="24"/>
        </w:rPr>
        <w:t>，汛期</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6</w:t>
      </w:r>
      <w:r>
        <w:rPr>
          <w:rFonts w:ascii="Times New Roman" w:hAnsi="Times New Roman" w:eastAsia="Times New Roman" w:cs="Times New Roman"/>
          <w:sz w:val="24"/>
          <w:szCs w:val="24"/>
        </w:rPr>
        <w:t xml:space="preserve"> </w:t>
      </w:r>
      <w:r>
        <w:rPr>
          <w:rFonts w:ascii="宋体" w:hAnsi="宋体" w:eastAsia="宋体" w:cs="宋体"/>
          <w:spacing w:val="-3"/>
          <w:sz w:val="24"/>
          <w:szCs w:val="24"/>
        </w:rPr>
        <w:t>月</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月取多年平均天然流量的</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30%</w:t>
      </w:r>
      <w:r>
        <w:rPr>
          <w:rFonts w:ascii="宋体" w:hAnsi="宋体" w:eastAsia="宋体" w:cs="宋体"/>
          <w:spacing w:val="-3"/>
          <w:sz w:val="24"/>
          <w:szCs w:val="24"/>
        </w:rPr>
        <w:t>，作为水库下泄的生态流量。计算得到坝下</w:t>
      </w:r>
    </w:p>
    <w:p>
      <w:pPr>
        <w:spacing w:line="233" w:lineRule="auto"/>
        <w:ind w:left="41"/>
        <w:rPr>
          <w:rFonts w:ascii="宋体" w:hAnsi="宋体" w:eastAsia="宋体" w:cs="宋体"/>
          <w:sz w:val="24"/>
          <w:szCs w:val="24"/>
        </w:rPr>
      </w:pPr>
      <w:r>
        <w:rPr>
          <w:rFonts w:ascii="宋体" w:hAnsi="宋体" w:eastAsia="宋体" w:cs="宋体"/>
          <w:spacing w:val="-3"/>
          <w:sz w:val="24"/>
          <w:szCs w:val="24"/>
        </w:rPr>
        <w:t>生态流量为汛期</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6~10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0.22m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/s</w:t>
      </w:r>
      <w:r>
        <w:rPr>
          <w:rFonts w:ascii="宋体" w:hAnsi="宋体" w:eastAsia="宋体" w:cs="宋体"/>
          <w:spacing w:val="-3"/>
          <w:sz w:val="24"/>
          <w:szCs w:val="24"/>
        </w:rPr>
        <w:t xml:space="preserve">，非汛期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月</w:t>
      </w:r>
      <w:r>
        <w:rPr>
          <w:rFonts w:ascii="Times New Roman" w:hAnsi="Times New Roman" w:eastAsia="Times New Roman" w:cs="Times New Roman"/>
          <w:spacing w:val="-3"/>
          <w:sz w:val="24"/>
          <w:szCs w:val="24"/>
        </w:rPr>
        <w:t>~4</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0.074m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4"/>
          <w:sz w:val="24"/>
          <w:szCs w:val="24"/>
        </w:rPr>
        <w:t>/s</w:t>
      </w:r>
      <w:r>
        <w:rPr>
          <w:rFonts w:ascii="宋体" w:hAnsi="宋体" w:eastAsia="宋体" w:cs="宋体"/>
          <w:spacing w:val="-4"/>
          <w:sz w:val="24"/>
          <w:szCs w:val="24"/>
        </w:rPr>
        <w:t>。</w:t>
      </w:r>
    </w:p>
    <w:p>
      <w:pPr>
        <w:spacing w:before="164"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最小月平均径流法</w:t>
      </w:r>
    </w:p>
    <w:p>
      <w:pPr>
        <w:spacing w:before="163" w:line="467" w:lineRule="exact"/>
        <w:ind w:left="546"/>
        <w:rPr>
          <w:rFonts w:ascii="宋体" w:hAnsi="宋体" w:eastAsia="宋体" w:cs="宋体"/>
          <w:sz w:val="24"/>
          <w:szCs w:val="24"/>
        </w:rPr>
      </w:pPr>
      <w:r>
        <w:rPr>
          <w:rFonts w:ascii="宋体" w:hAnsi="宋体" w:eastAsia="宋体" w:cs="宋体"/>
          <w:spacing w:val="-4"/>
          <w:position w:val="17"/>
          <w:sz w:val="24"/>
          <w:szCs w:val="24"/>
        </w:rPr>
        <w:t>以最小月平均实测径流量的多年平均值作为河流基本生态环境需水量。根据</w:t>
      </w:r>
    </w:p>
    <w:p>
      <w:pPr>
        <w:spacing w:line="233" w:lineRule="auto"/>
        <w:ind w:left="39"/>
        <w:rPr>
          <w:rFonts w:ascii="宋体" w:hAnsi="宋体" w:eastAsia="宋体" w:cs="宋体"/>
          <w:sz w:val="24"/>
          <w:szCs w:val="24"/>
        </w:rPr>
      </w:pPr>
      <w:r>
        <w:rPr>
          <w:rFonts w:ascii="宋体" w:hAnsi="宋体" w:eastAsia="宋体" w:cs="宋体"/>
          <w:spacing w:val="-2"/>
          <w:sz w:val="24"/>
          <w:szCs w:val="24"/>
        </w:rPr>
        <w:t>计算，坝下生态流量为</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0.128m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。桂花河生态目标相对单一，计算结果偏大。</w:t>
      </w:r>
    </w:p>
    <w:p>
      <w:pPr>
        <w:spacing w:before="164" w:line="359" w:lineRule="auto"/>
        <w:ind w:left="41" w:right="18" w:firstLine="477"/>
        <w:rPr>
          <w:rFonts w:ascii="宋体" w:hAnsi="宋体" w:eastAsia="宋体" w:cs="宋体"/>
          <w:sz w:val="24"/>
          <w:szCs w:val="24"/>
        </w:rPr>
      </w:pPr>
      <w:r>
        <w:rPr>
          <w:rFonts w:ascii="宋体" w:hAnsi="宋体" w:eastAsia="宋体" w:cs="宋体"/>
          <w:spacing w:val="-8"/>
          <w:sz w:val="24"/>
          <w:szCs w:val="24"/>
        </w:rPr>
        <w:t xml:space="preserve">在综合考虑 </w:t>
      </w:r>
      <w:r>
        <w:rPr>
          <w:rFonts w:ascii="Times New Roman" w:hAnsi="Times New Roman" w:eastAsia="Times New Roman" w:cs="Times New Roman"/>
          <w:spacing w:val="-8"/>
          <w:sz w:val="24"/>
          <w:szCs w:val="24"/>
        </w:rPr>
        <w:t xml:space="preserve">Tennant  </w:t>
      </w:r>
      <w:r>
        <w:rPr>
          <w:rFonts w:ascii="宋体" w:hAnsi="宋体" w:eastAsia="宋体" w:cs="宋体"/>
          <w:spacing w:val="-8"/>
          <w:sz w:val="24"/>
          <w:szCs w:val="24"/>
        </w:rPr>
        <w:t>法、最小月平均径流法，</w:t>
      </w:r>
      <w:r>
        <w:rPr>
          <w:rFonts w:ascii="宋体" w:hAnsi="宋体" w:eastAsia="宋体" w:cs="宋体"/>
          <w:spacing w:val="91"/>
          <w:sz w:val="24"/>
          <w:szCs w:val="24"/>
        </w:rPr>
        <w:t xml:space="preserve"> </w:t>
      </w:r>
      <w:r>
        <w:rPr>
          <w:rFonts w:ascii="宋体" w:hAnsi="宋体" w:eastAsia="宋体" w:cs="宋体"/>
          <w:spacing w:val="-8"/>
          <w:sz w:val="24"/>
          <w:szCs w:val="24"/>
        </w:rPr>
        <w:t>因生态放流管道不安装阀门，</w:t>
      </w:r>
      <w:r>
        <w:rPr>
          <w:rFonts w:ascii="宋体" w:hAnsi="宋体" w:eastAsia="宋体" w:cs="宋体"/>
          <w:sz w:val="24"/>
          <w:szCs w:val="24"/>
        </w:rPr>
        <w:t xml:space="preserve"> </w:t>
      </w:r>
      <w:r>
        <w:rPr>
          <w:rFonts w:ascii="宋体" w:hAnsi="宋体" w:eastAsia="宋体" w:cs="宋体"/>
          <w:spacing w:val="-6"/>
          <w:sz w:val="24"/>
          <w:szCs w:val="24"/>
        </w:rPr>
        <w:t>无法控制汛期和非汛期流量大小， 因此项目确定桂花水库</w:t>
      </w:r>
      <w:r>
        <w:rPr>
          <w:rFonts w:ascii="宋体" w:hAnsi="宋体" w:eastAsia="宋体" w:cs="宋体"/>
          <w:spacing w:val="-7"/>
          <w:sz w:val="24"/>
          <w:szCs w:val="24"/>
        </w:rPr>
        <w:t>最小下泄流量为河道多</w:t>
      </w:r>
    </w:p>
    <w:p>
      <w:pPr>
        <w:spacing w:line="233" w:lineRule="auto"/>
        <w:ind w:left="40"/>
        <w:rPr>
          <w:rFonts w:ascii="宋体" w:hAnsi="宋体" w:eastAsia="宋体" w:cs="宋体"/>
          <w:sz w:val="24"/>
          <w:szCs w:val="24"/>
        </w:rPr>
      </w:pPr>
      <w:r>
        <w:rPr>
          <w:rFonts w:ascii="宋体" w:hAnsi="宋体" w:eastAsia="宋体" w:cs="宋体"/>
          <w:spacing w:val="-3"/>
          <w:sz w:val="24"/>
          <w:szCs w:val="24"/>
        </w:rPr>
        <w:t>年平均天然流量的</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10%</w:t>
      </w:r>
      <w:r>
        <w:rPr>
          <w:rFonts w:ascii="宋体" w:hAnsi="宋体" w:eastAsia="宋体" w:cs="宋体"/>
          <w:spacing w:val="-3"/>
          <w:sz w:val="24"/>
          <w:szCs w:val="24"/>
        </w:rPr>
        <w:t>，即</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0.074m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3"/>
          <w:sz w:val="24"/>
          <w:szCs w:val="24"/>
        </w:rPr>
        <w:t>/s</w:t>
      </w:r>
      <w:r>
        <w:rPr>
          <w:rFonts w:ascii="宋体" w:hAnsi="宋体" w:eastAsia="宋体" w:cs="宋体"/>
          <w:spacing w:val="-3"/>
          <w:sz w:val="24"/>
          <w:szCs w:val="24"/>
        </w:rPr>
        <w:t>。</w:t>
      </w:r>
    </w:p>
    <w:p>
      <w:pPr>
        <w:spacing w:before="163"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）泥沙情势的影响分析</w:t>
      </w:r>
    </w:p>
    <w:p>
      <w:pPr>
        <w:spacing w:before="182" w:line="467" w:lineRule="exact"/>
        <w:ind w:right="68"/>
        <w:jc w:val="right"/>
        <w:rPr>
          <w:rFonts w:ascii="宋体" w:hAnsi="宋体" w:eastAsia="宋体" w:cs="宋体"/>
          <w:sz w:val="24"/>
          <w:szCs w:val="24"/>
        </w:rPr>
      </w:pPr>
      <w:r>
        <w:rPr>
          <w:rFonts w:ascii="宋体" w:hAnsi="宋体" w:eastAsia="宋体" w:cs="宋体"/>
          <w:spacing w:val="-6"/>
          <w:position w:val="17"/>
          <w:sz w:val="24"/>
          <w:szCs w:val="24"/>
        </w:rPr>
        <w:t>桂花水库建成后，</w:t>
      </w:r>
      <w:r>
        <w:rPr>
          <w:rFonts w:ascii="宋体" w:hAnsi="宋体" w:eastAsia="宋体" w:cs="宋体"/>
          <w:spacing w:val="-10"/>
          <w:position w:val="17"/>
          <w:sz w:val="24"/>
          <w:szCs w:val="24"/>
        </w:rPr>
        <w:t xml:space="preserve"> </w:t>
      </w:r>
      <w:r>
        <w:rPr>
          <w:rFonts w:ascii="宋体" w:hAnsi="宋体" w:eastAsia="宋体" w:cs="宋体"/>
          <w:spacing w:val="-6"/>
          <w:position w:val="17"/>
          <w:sz w:val="24"/>
          <w:szCs w:val="24"/>
        </w:rPr>
        <w:t>水库悬移质和推移质主要来自水库汇水区的水土流失。经</w:t>
      </w:r>
    </w:p>
    <w:p>
      <w:pPr>
        <w:spacing w:line="219" w:lineRule="auto"/>
        <w:jc w:val="right"/>
        <w:rPr>
          <w:rFonts w:ascii="宋体" w:hAnsi="宋体" w:eastAsia="宋体" w:cs="宋体"/>
          <w:sz w:val="24"/>
          <w:szCs w:val="24"/>
        </w:rPr>
      </w:pPr>
      <w:r>
        <w:rPr>
          <w:rFonts w:ascii="宋体" w:hAnsi="宋体" w:eastAsia="宋体" w:cs="宋体"/>
          <w:spacing w:val="-3"/>
          <w:sz w:val="24"/>
          <w:szCs w:val="24"/>
        </w:rPr>
        <w:t>水库拦沙后，</w:t>
      </w:r>
      <w:r>
        <w:rPr>
          <w:rFonts w:ascii="宋体" w:hAnsi="宋体" w:eastAsia="宋体" w:cs="宋体"/>
          <w:spacing w:val="-24"/>
          <w:sz w:val="24"/>
          <w:szCs w:val="24"/>
        </w:rPr>
        <w:t xml:space="preserve"> </w:t>
      </w:r>
      <w:r>
        <w:rPr>
          <w:rFonts w:ascii="宋体" w:hAnsi="宋体" w:eastAsia="宋体" w:cs="宋体"/>
          <w:spacing w:val="-3"/>
          <w:sz w:val="24"/>
          <w:szCs w:val="24"/>
        </w:rPr>
        <w:t>坝址以上入库的全部推移质及部分悬移质</w:t>
      </w:r>
      <w:r>
        <w:rPr>
          <w:rFonts w:ascii="宋体" w:hAnsi="宋体" w:eastAsia="宋体" w:cs="宋体"/>
          <w:spacing w:val="-4"/>
          <w:sz w:val="24"/>
          <w:szCs w:val="24"/>
        </w:rPr>
        <w:t>泥沙均被拦蓄在水库内。</w:t>
      </w:r>
    </w:p>
    <w:p>
      <w:pPr>
        <w:spacing w:before="184" w:line="359" w:lineRule="auto"/>
        <w:ind w:left="37" w:right="86" w:firstLine="493"/>
        <w:rPr>
          <w:rFonts w:ascii="宋体" w:hAnsi="宋体" w:eastAsia="宋体" w:cs="宋体"/>
          <w:sz w:val="24"/>
          <w:szCs w:val="24"/>
        </w:rPr>
      </w:pPr>
      <w:r>
        <w:rPr>
          <w:rFonts w:ascii="宋体" w:hAnsi="宋体" w:eastAsia="宋体" w:cs="宋体"/>
          <w:spacing w:val="-7"/>
          <w:sz w:val="24"/>
          <w:szCs w:val="24"/>
        </w:rPr>
        <w:t>虽然水库建成后， 水库库区悬移质和推移质含沙量均显著减小。泥沙淤积位</w:t>
      </w:r>
      <w:r>
        <w:rPr>
          <w:rFonts w:ascii="宋体" w:hAnsi="宋体" w:eastAsia="宋体" w:cs="宋体"/>
          <w:spacing w:val="3"/>
          <w:sz w:val="24"/>
          <w:szCs w:val="24"/>
        </w:rPr>
        <w:t xml:space="preserve"> </w:t>
      </w:r>
      <w:r>
        <w:rPr>
          <w:rFonts w:ascii="宋体" w:hAnsi="宋体" w:eastAsia="宋体" w:cs="宋体"/>
          <w:spacing w:val="-12"/>
          <w:sz w:val="24"/>
          <w:szCs w:val="24"/>
        </w:rPr>
        <w:t>置主要在水库中后部，</w:t>
      </w:r>
      <w:r>
        <w:rPr>
          <w:rFonts w:ascii="宋体" w:hAnsi="宋体" w:eastAsia="宋体" w:cs="宋体"/>
          <w:spacing w:val="48"/>
          <w:sz w:val="24"/>
          <w:szCs w:val="24"/>
        </w:rPr>
        <w:t xml:space="preserve"> </w:t>
      </w:r>
      <w:r>
        <w:rPr>
          <w:rFonts w:ascii="宋体" w:hAnsi="宋体" w:eastAsia="宋体" w:cs="宋体"/>
          <w:spacing w:val="-12"/>
          <w:sz w:val="24"/>
          <w:szCs w:val="24"/>
        </w:rPr>
        <w:t>易形成锥体淤积，</w:t>
      </w:r>
      <w:r>
        <w:rPr>
          <w:rFonts w:ascii="宋体" w:hAnsi="宋体" w:eastAsia="宋体" w:cs="宋体"/>
          <w:spacing w:val="29"/>
          <w:sz w:val="24"/>
          <w:szCs w:val="24"/>
        </w:rPr>
        <w:t xml:space="preserve"> </w:t>
      </w:r>
      <w:r>
        <w:rPr>
          <w:rFonts w:ascii="宋体" w:hAnsi="宋体" w:eastAsia="宋体" w:cs="宋体"/>
          <w:spacing w:val="-12"/>
          <w:sz w:val="24"/>
          <w:szCs w:val="24"/>
        </w:rPr>
        <w:t>淤积泥沙在重力作用下向坝前移动。水</w:t>
      </w:r>
      <w:r>
        <w:rPr>
          <w:rFonts w:ascii="宋体" w:hAnsi="宋体" w:eastAsia="宋体" w:cs="宋体"/>
          <w:sz w:val="24"/>
          <w:szCs w:val="24"/>
        </w:rPr>
        <w:t xml:space="preserve"> </w:t>
      </w:r>
      <w:r>
        <w:rPr>
          <w:rFonts w:ascii="宋体" w:hAnsi="宋体" w:eastAsia="宋体" w:cs="宋体"/>
          <w:spacing w:val="-6"/>
          <w:sz w:val="24"/>
          <w:szCs w:val="24"/>
        </w:rPr>
        <w:t>库泥沙淤积形态确定为三角洲淤积，</w:t>
      </w:r>
      <w:r>
        <w:rPr>
          <w:rFonts w:ascii="宋体" w:hAnsi="宋体" w:eastAsia="宋体" w:cs="宋体"/>
          <w:spacing w:val="-13"/>
          <w:sz w:val="24"/>
          <w:szCs w:val="24"/>
        </w:rPr>
        <w:t xml:space="preserve"> </w:t>
      </w:r>
      <w:r>
        <w:rPr>
          <w:rFonts w:ascii="宋体" w:hAnsi="宋体" w:eastAsia="宋体" w:cs="宋体"/>
          <w:spacing w:val="-6"/>
          <w:sz w:val="24"/>
          <w:szCs w:val="24"/>
        </w:rPr>
        <w:t>水库径流区的悬移质主要淤积在三角洲洲体</w:t>
      </w:r>
      <w:r>
        <w:rPr>
          <w:rFonts w:ascii="宋体" w:hAnsi="宋体" w:eastAsia="宋体" w:cs="宋体"/>
          <w:sz w:val="24"/>
          <w:szCs w:val="24"/>
        </w:rPr>
        <w:t xml:space="preserve"> </w:t>
      </w:r>
      <w:r>
        <w:rPr>
          <w:rFonts w:ascii="宋体" w:hAnsi="宋体" w:eastAsia="宋体" w:cs="宋体"/>
          <w:spacing w:val="-12"/>
          <w:sz w:val="24"/>
          <w:szCs w:val="24"/>
        </w:rPr>
        <w:t>中，推移质泥沙主要淤积在库尾，</w:t>
      </w:r>
      <w:r>
        <w:rPr>
          <w:rFonts w:ascii="宋体" w:hAnsi="宋体" w:eastAsia="宋体" w:cs="宋体"/>
          <w:spacing w:val="47"/>
          <w:sz w:val="24"/>
          <w:szCs w:val="24"/>
        </w:rPr>
        <w:t xml:space="preserve"> </w:t>
      </w:r>
      <w:r>
        <w:rPr>
          <w:rFonts w:ascii="宋体" w:hAnsi="宋体" w:eastAsia="宋体" w:cs="宋体"/>
          <w:spacing w:val="-12"/>
          <w:sz w:val="24"/>
          <w:szCs w:val="24"/>
        </w:rPr>
        <w:t>随着淤积年限的增加，</w:t>
      </w:r>
      <w:r>
        <w:rPr>
          <w:rFonts w:ascii="宋体" w:hAnsi="宋体" w:eastAsia="宋体" w:cs="宋体"/>
          <w:spacing w:val="31"/>
          <w:sz w:val="24"/>
          <w:szCs w:val="24"/>
        </w:rPr>
        <w:t xml:space="preserve"> </w:t>
      </w:r>
      <w:r>
        <w:rPr>
          <w:rFonts w:ascii="宋体" w:hAnsi="宋体" w:eastAsia="宋体" w:cs="宋体"/>
          <w:spacing w:val="-12"/>
          <w:sz w:val="24"/>
          <w:szCs w:val="24"/>
        </w:rPr>
        <w:t>库尾推移质泥沙逐年淤</w:t>
      </w:r>
      <w:r>
        <w:rPr>
          <w:rFonts w:ascii="宋体" w:hAnsi="宋体" w:eastAsia="宋体" w:cs="宋体"/>
          <w:sz w:val="24"/>
          <w:szCs w:val="24"/>
        </w:rPr>
        <w:t xml:space="preserve"> </w:t>
      </w:r>
      <w:r>
        <w:rPr>
          <w:rFonts w:ascii="宋体" w:hAnsi="宋体" w:eastAsia="宋体" w:cs="宋体"/>
          <w:spacing w:val="-7"/>
          <w:sz w:val="24"/>
          <w:szCs w:val="24"/>
        </w:rPr>
        <w:t>高，并从库尾开始向上游河道淤积，</w:t>
      </w:r>
      <w:r>
        <w:rPr>
          <w:rFonts w:ascii="宋体" w:hAnsi="宋体" w:eastAsia="宋体" w:cs="宋体"/>
          <w:spacing w:val="32"/>
          <w:sz w:val="24"/>
          <w:szCs w:val="24"/>
        </w:rPr>
        <w:t xml:space="preserve"> </w:t>
      </w:r>
      <w:r>
        <w:rPr>
          <w:rFonts w:ascii="宋体" w:hAnsi="宋体" w:eastAsia="宋体" w:cs="宋体"/>
          <w:spacing w:val="-7"/>
          <w:sz w:val="24"/>
          <w:szCs w:val="24"/>
        </w:rPr>
        <w:t>形成泥沙翘尾巴。水</w:t>
      </w:r>
      <w:r>
        <w:rPr>
          <w:rFonts w:ascii="宋体" w:hAnsi="宋体" w:eastAsia="宋体" w:cs="宋体"/>
          <w:spacing w:val="-8"/>
          <w:sz w:val="24"/>
          <w:szCs w:val="24"/>
        </w:rPr>
        <w:t>库及工程泥沙问题将较</w:t>
      </w:r>
      <w:r>
        <w:rPr>
          <w:rFonts w:ascii="宋体" w:hAnsi="宋体" w:eastAsia="宋体" w:cs="宋体"/>
          <w:sz w:val="24"/>
          <w:szCs w:val="24"/>
        </w:rPr>
        <w:t xml:space="preserve"> </w:t>
      </w:r>
      <w:r>
        <w:rPr>
          <w:rFonts w:ascii="宋体" w:hAnsi="宋体" w:eastAsia="宋体" w:cs="宋体"/>
          <w:spacing w:val="-9"/>
          <w:sz w:val="24"/>
          <w:szCs w:val="24"/>
        </w:rPr>
        <w:t>为突出， 因此水库泥沙调度方式应充分利用汛期大流量时降低</w:t>
      </w:r>
      <w:r>
        <w:rPr>
          <w:rFonts w:ascii="宋体" w:hAnsi="宋体" w:eastAsia="宋体" w:cs="宋体"/>
          <w:spacing w:val="-10"/>
          <w:sz w:val="24"/>
          <w:szCs w:val="24"/>
        </w:rPr>
        <w:t>水位排沙， 减少库</w:t>
      </w:r>
      <w:r>
        <w:rPr>
          <w:rFonts w:ascii="宋体" w:hAnsi="宋体" w:eastAsia="宋体" w:cs="宋体"/>
          <w:sz w:val="24"/>
          <w:szCs w:val="24"/>
        </w:rPr>
        <w:t xml:space="preserve"> </w:t>
      </w:r>
      <w:r>
        <w:rPr>
          <w:rFonts w:ascii="宋体" w:hAnsi="宋体" w:eastAsia="宋体" w:cs="宋体"/>
          <w:spacing w:val="-25"/>
          <w:sz w:val="24"/>
          <w:szCs w:val="24"/>
        </w:rPr>
        <w:t>区泥沙淤积；</w:t>
      </w:r>
      <w:r>
        <w:rPr>
          <w:rFonts w:ascii="宋体" w:hAnsi="宋体" w:eastAsia="宋体" w:cs="宋体"/>
          <w:spacing w:val="72"/>
          <w:sz w:val="24"/>
          <w:szCs w:val="24"/>
        </w:rPr>
        <w:t xml:space="preserve"> </w:t>
      </w:r>
      <w:r>
        <w:rPr>
          <w:rFonts w:ascii="宋体" w:hAnsi="宋体" w:eastAsia="宋体" w:cs="宋体"/>
          <w:spacing w:val="-25"/>
          <w:sz w:val="24"/>
          <w:szCs w:val="24"/>
        </w:rPr>
        <w:t>中小流量时，</w:t>
      </w:r>
      <w:r>
        <w:rPr>
          <w:rFonts w:ascii="宋体" w:hAnsi="宋体" w:eastAsia="宋体" w:cs="宋体"/>
          <w:spacing w:val="41"/>
          <w:sz w:val="24"/>
          <w:szCs w:val="24"/>
        </w:rPr>
        <w:t xml:space="preserve"> </w:t>
      </w:r>
      <w:r>
        <w:rPr>
          <w:rFonts w:ascii="宋体" w:hAnsi="宋体" w:eastAsia="宋体" w:cs="宋体"/>
          <w:spacing w:val="-25"/>
          <w:sz w:val="24"/>
          <w:szCs w:val="24"/>
        </w:rPr>
        <w:t>入库沙量少，</w:t>
      </w:r>
      <w:r>
        <w:rPr>
          <w:rFonts w:ascii="宋体" w:hAnsi="宋体" w:eastAsia="宋体" w:cs="宋体"/>
          <w:spacing w:val="41"/>
          <w:sz w:val="24"/>
          <w:szCs w:val="24"/>
        </w:rPr>
        <w:t xml:space="preserve"> </w:t>
      </w:r>
      <w:r>
        <w:rPr>
          <w:rFonts w:ascii="宋体" w:hAnsi="宋体" w:eastAsia="宋体" w:cs="宋体"/>
          <w:spacing w:val="-25"/>
          <w:sz w:val="24"/>
          <w:szCs w:val="24"/>
        </w:rPr>
        <w:t>造床弱， 水库在高水位运行，</w:t>
      </w:r>
      <w:r>
        <w:rPr>
          <w:rFonts w:ascii="宋体" w:hAnsi="宋体" w:eastAsia="宋体" w:cs="宋体"/>
          <w:spacing w:val="42"/>
          <w:sz w:val="24"/>
          <w:szCs w:val="24"/>
        </w:rPr>
        <w:t xml:space="preserve"> </w:t>
      </w:r>
      <w:r>
        <w:rPr>
          <w:rFonts w:ascii="宋体" w:hAnsi="宋体" w:eastAsia="宋体" w:cs="宋体"/>
          <w:spacing w:val="-25"/>
          <w:sz w:val="24"/>
          <w:szCs w:val="24"/>
        </w:rPr>
        <w:t>增加水库</w:t>
      </w:r>
    </w:p>
    <w:p>
      <w:pPr>
        <w:spacing w:line="219" w:lineRule="auto"/>
        <w:ind w:left="49"/>
        <w:rPr>
          <w:rFonts w:ascii="宋体" w:hAnsi="宋体" w:eastAsia="宋体" w:cs="宋体"/>
          <w:sz w:val="24"/>
          <w:szCs w:val="24"/>
        </w:rPr>
      </w:pPr>
      <w:r>
        <w:rPr>
          <w:rFonts w:ascii="宋体" w:hAnsi="宋体" w:eastAsia="宋体" w:cs="宋体"/>
          <w:spacing w:val="-11"/>
          <w:sz w:val="24"/>
          <w:szCs w:val="24"/>
        </w:rPr>
        <w:t>蓄水量。</w:t>
      </w:r>
    </w:p>
    <w:p>
      <w:pPr>
        <w:spacing w:before="183" w:line="359" w:lineRule="auto"/>
        <w:ind w:left="41" w:right="86" w:firstLine="478"/>
        <w:rPr>
          <w:rFonts w:ascii="宋体" w:hAnsi="宋体" w:eastAsia="宋体" w:cs="宋体"/>
          <w:sz w:val="24"/>
          <w:szCs w:val="24"/>
        </w:rPr>
      </w:pPr>
      <w:r>
        <w:rPr>
          <w:rFonts w:ascii="宋体" w:hAnsi="宋体" w:eastAsia="宋体" w:cs="宋体"/>
          <w:spacing w:val="-6"/>
          <w:sz w:val="24"/>
          <w:szCs w:val="24"/>
        </w:rPr>
        <w:t>根据项目可研阶段成果，</w:t>
      </w:r>
      <w:r>
        <w:rPr>
          <w:rFonts w:ascii="宋体" w:hAnsi="宋体" w:eastAsia="宋体" w:cs="宋体"/>
          <w:spacing w:val="68"/>
          <w:sz w:val="24"/>
          <w:szCs w:val="24"/>
        </w:rPr>
        <w:t xml:space="preserve"> </w:t>
      </w:r>
      <w:r>
        <w:rPr>
          <w:rFonts w:ascii="宋体" w:hAnsi="宋体" w:eastAsia="宋体" w:cs="宋体"/>
          <w:spacing w:val="-6"/>
          <w:sz w:val="24"/>
          <w:szCs w:val="24"/>
        </w:rPr>
        <w:t>小型水库使用寿命按</w:t>
      </w:r>
      <w:r>
        <w:rPr>
          <w:rFonts w:ascii="宋体" w:hAnsi="宋体" w:eastAsia="宋体" w:cs="宋体"/>
          <w:spacing w:val="-35"/>
          <w:sz w:val="24"/>
          <w:szCs w:val="24"/>
        </w:rPr>
        <w:t xml:space="preserve"> </w:t>
      </w:r>
      <w:r>
        <w:rPr>
          <w:rFonts w:ascii="Times New Roman" w:hAnsi="Times New Roman" w:eastAsia="Times New Roman" w:cs="Times New Roman"/>
          <w:spacing w:val="-6"/>
          <w:sz w:val="24"/>
          <w:szCs w:val="24"/>
        </w:rPr>
        <w:t>50</w:t>
      </w:r>
      <w:r>
        <w:rPr>
          <w:rFonts w:ascii="Times New Roman" w:hAnsi="Times New Roman" w:eastAsia="Times New Roman" w:cs="Times New Roman"/>
          <w:spacing w:val="23"/>
          <w:w w:val="101"/>
          <w:sz w:val="24"/>
          <w:szCs w:val="24"/>
        </w:rPr>
        <w:t xml:space="preserve"> </w:t>
      </w:r>
      <w:r>
        <w:rPr>
          <w:rFonts w:ascii="宋体" w:hAnsi="宋体" w:eastAsia="宋体" w:cs="宋体"/>
          <w:spacing w:val="-6"/>
          <w:sz w:val="24"/>
          <w:szCs w:val="24"/>
        </w:rPr>
        <w:t xml:space="preserve">年考虑。水库运行 </w:t>
      </w:r>
      <w:r>
        <w:rPr>
          <w:rFonts w:ascii="Times New Roman" w:hAnsi="Times New Roman" w:eastAsia="Times New Roman" w:cs="Times New Roman"/>
          <w:spacing w:val="-6"/>
          <w:sz w:val="24"/>
          <w:szCs w:val="24"/>
        </w:rPr>
        <w:t>5</w:t>
      </w:r>
      <w:r>
        <w:rPr>
          <w:rFonts w:ascii="Times New Roman" w:hAnsi="Times New Roman" w:eastAsia="Times New Roman" w:cs="Times New Roman"/>
          <w:spacing w:val="-7"/>
          <w:sz w:val="24"/>
          <w:szCs w:val="24"/>
        </w:rPr>
        <w:t xml:space="preserve">0  </w:t>
      </w:r>
      <w:r>
        <w:rPr>
          <w:rFonts w:ascii="宋体" w:hAnsi="宋体" w:eastAsia="宋体" w:cs="宋体"/>
          <w:spacing w:val="-7"/>
          <w:sz w:val="24"/>
          <w:szCs w:val="24"/>
        </w:rPr>
        <w:t>年</w:t>
      </w:r>
      <w:r>
        <w:rPr>
          <w:rFonts w:ascii="宋体" w:hAnsi="宋体" w:eastAsia="宋体" w:cs="宋体"/>
          <w:sz w:val="24"/>
          <w:szCs w:val="24"/>
        </w:rPr>
        <w:t xml:space="preserve"> </w:t>
      </w:r>
      <w:r>
        <w:rPr>
          <w:rFonts w:ascii="宋体" w:hAnsi="宋体" w:eastAsia="宋体" w:cs="宋体"/>
          <w:spacing w:val="-9"/>
          <w:sz w:val="24"/>
          <w:szCs w:val="24"/>
        </w:rPr>
        <w:t>后，</w:t>
      </w:r>
      <w:r>
        <w:rPr>
          <w:rFonts w:ascii="宋体" w:hAnsi="宋体" w:eastAsia="宋体" w:cs="宋体"/>
          <w:spacing w:val="-48"/>
          <w:sz w:val="24"/>
          <w:szCs w:val="24"/>
        </w:rPr>
        <w:t xml:space="preserve"> </w:t>
      </w:r>
      <w:r>
        <w:rPr>
          <w:rFonts w:ascii="宋体" w:hAnsi="宋体" w:eastAsia="宋体" w:cs="宋体"/>
          <w:spacing w:val="-9"/>
          <w:sz w:val="24"/>
          <w:szCs w:val="24"/>
        </w:rPr>
        <w:t>水库坝址泥沙总淤积总量为</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79</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9"/>
          <w:sz w:val="24"/>
          <w:szCs w:val="24"/>
        </w:rPr>
        <w:t>m</w:t>
      </w:r>
      <w:r>
        <w:rPr>
          <w:rFonts w:ascii="Times New Roman" w:hAnsi="Times New Roman" w:eastAsia="Times New Roman" w:cs="Times New Roman"/>
          <w:spacing w:val="-9"/>
          <w:position w:val="8"/>
          <w:sz w:val="15"/>
          <w:szCs w:val="15"/>
        </w:rPr>
        <w:t>3</w:t>
      </w:r>
      <w:r>
        <w:rPr>
          <w:rFonts w:ascii="宋体" w:hAnsi="宋体" w:eastAsia="宋体" w:cs="宋体"/>
          <w:spacing w:val="-9"/>
          <w:sz w:val="24"/>
          <w:szCs w:val="24"/>
        </w:rPr>
        <w:t>，在设计使用年限内，</w:t>
      </w:r>
      <w:r>
        <w:rPr>
          <w:rFonts w:ascii="宋体" w:hAnsi="宋体" w:eastAsia="宋体" w:cs="宋体"/>
          <w:spacing w:val="41"/>
          <w:sz w:val="24"/>
          <w:szCs w:val="24"/>
        </w:rPr>
        <w:t xml:space="preserve"> </w:t>
      </w:r>
      <w:r>
        <w:rPr>
          <w:rFonts w:ascii="宋体" w:hAnsi="宋体" w:eastAsia="宋体" w:cs="宋体"/>
          <w:spacing w:val="-9"/>
          <w:sz w:val="24"/>
          <w:szCs w:val="24"/>
        </w:rPr>
        <w:t>库内</w:t>
      </w:r>
      <w:r>
        <w:rPr>
          <w:rFonts w:ascii="宋体" w:hAnsi="宋体" w:eastAsia="宋体" w:cs="宋体"/>
          <w:spacing w:val="-10"/>
          <w:sz w:val="24"/>
          <w:szCs w:val="24"/>
        </w:rPr>
        <w:t>的泥沙淤积</w:t>
      </w:r>
      <w:r>
        <w:rPr>
          <w:rFonts w:ascii="宋体" w:hAnsi="宋体" w:eastAsia="宋体" w:cs="宋体"/>
          <w:sz w:val="24"/>
          <w:szCs w:val="24"/>
        </w:rPr>
        <w:t xml:space="preserve"> </w:t>
      </w:r>
      <w:r>
        <w:rPr>
          <w:rFonts w:ascii="宋体" w:hAnsi="宋体" w:eastAsia="宋体" w:cs="宋体"/>
          <w:spacing w:val="-6"/>
          <w:sz w:val="24"/>
          <w:szCs w:val="24"/>
        </w:rPr>
        <w:t>不会影响输水隧洞正常取水， 输水隧洞及水库运行是安全的，</w:t>
      </w:r>
      <w:r>
        <w:rPr>
          <w:rFonts w:ascii="宋体" w:hAnsi="宋体" w:eastAsia="宋体" w:cs="宋体"/>
          <w:spacing w:val="-7"/>
          <w:sz w:val="24"/>
          <w:szCs w:val="24"/>
        </w:rPr>
        <w:t>不会影响下游供水</w:t>
      </w:r>
    </w:p>
    <w:p>
      <w:pPr>
        <w:spacing w:line="219" w:lineRule="auto"/>
        <w:ind w:left="38"/>
        <w:rPr>
          <w:rFonts w:ascii="宋体" w:hAnsi="宋体" w:eastAsia="宋体" w:cs="宋体"/>
          <w:sz w:val="24"/>
          <w:szCs w:val="24"/>
        </w:rPr>
      </w:pPr>
      <w:r>
        <w:rPr>
          <w:rFonts w:ascii="宋体" w:hAnsi="宋体" w:eastAsia="宋体" w:cs="宋体"/>
          <w:spacing w:val="-2"/>
          <w:sz w:val="24"/>
          <w:szCs w:val="24"/>
        </w:rPr>
        <w:t>及生态下泄用水。</w:t>
      </w:r>
    </w:p>
    <w:p>
      <w:pPr>
        <w:spacing w:before="181" w:line="219" w:lineRule="auto"/>
        <w:ind w:left="548"/>
        <w:rPr>
          <w:rFonts w:ascii="宋体" w:hAnsi="宋体" w:eastAsia="宋体" w:cs="宋体"/>
          <w:sz w:val="24"/>
          <w:szCs w:val="24"/>
        </w:rPr>
      </w:pPr>
      <w:r>
        <w:rPr>
          <w:rFonts w:ascii="宋体" w:hAnsi="宋体" w:eastAsia="宋体" w:cs="宋体"/>
          <w:spacing w:val="-10"/>
          <w:sz w:val="24"/>
          <w:szCs w:val="24"/>
        </w:rPr>
        <w:t xml:space="preserve">由于水库拦截作用， 桂花水库出水泥沙会明显减少， </w:t>
      </w:r>
      <w:r>
        <w:rPr>
          <w:rFonts w:ascii="宋体" w:hAnsi="宋体" w:eastAsia="宋体" w:cs="宋体"/>
          <w:spacing w:val="-11"/>
          <w:sz w:val="24"/>
          <w:szCs w:val="24"/>
        </w:rPr>
        <w:t>这种影响要持续较长一</w:t>
      </w:r>
    </w:p>
    <w:p>
      <w:pPr>
        <w:spacing w:line="219" w:lineRule="auto"/>
        <w:rPr>
          <w:rFonts w:ascii="宋体" w:hAnsi="宋体" w:eastAsia="宋体" w:cs="宋体"/>
          <w:sz w:val="24"/>
          <w:szCs w:val="24"/>
        </w:rPr>
        <w:sectPr>
          <w:headerReference r:id="rId360" w:type="default"/>
          <w:footerReference r:id="rId361" w:type="default"/>
          <w:pgSz w:w="11907" w:h="16839"/>
          <w:pgMar w:top="1156" w:right="1712" w:bottom="1374" w:left="1770" w:header="881" w:footer="1210" w:gutter="0"/>
        </w:sectPr>
      </w:pPr>
    </w:p>
    <w:p>
      <w:pPr>
        <w:rPr>
          <w:rFonts w:ascii="Arial"/>
          <w:sz w:val="21"/>
        </w:rPr>
      </w:pPr>
    </w:p>
    <w:p>
      <w:pPr>
        <w:spacing w:before="78" w:line="359" w:lineRule="auto"/>
        <w:ind w:left="38" w:right="86" w:firstLine="1"/>
        <w:rPr>
          <w:rFonts w:ascii="宋体" w:hAnsi="宋体" w:eastAsia="宋体" w:cs="宋体"/>
          <w:sz w:val="24"/>
          <w:szCs w:val="24"/>
        </w:rPr>
      </w:pPr>
      <w:r>
        <w:rPr>
          <w:rFonts w:ascii="宋体" w:hAnsi="宋体" w:eastAsia="宋体" w:cs="宋体"/>
          <w:spacing w:val="-6"/>
          <w:sz w:val="24"/>
          <w:szCs w:val="24"/>
        </w:rPr>
        <w:t>段时间，</w:t>
      </w:r>
      <w:r>
        <w:rPr>
          <w:rFonts w:ascii="宋体" w:hAnsi="宋体" w:eastAsia="宋体" w:cs="宋体"/>
          <w:spacing w:val="-15"/>
          <w:sz w:val="24"/>
          <w:szCs w:val="24"/>
        </w:rPr>
        <w:t xml:space="preserve"> </w:t>
      </w:r>
      <w:r>
        <w:rPr>
          <w:rFonts w:ascii="宋体" w:hAnsi="宋体" w:eastAsia="宋体" w:cs="宋体"/>
          <w:spacing w:val="-6"/>
          <w:sz w:val="24"/>
          <w:szCs w:val="24"/>
        </w:rPr>
        <w:t>直到水库淤积库容淤满后才会消除其影响。水库泥沙淤积会减少传送到</w:t>
      </w:r>
      <w:r>
        <w:rPr>
          <w:rFonts w:ascii="宋体" w:hAnsi="宋体" w:eastAsia="宋体" w:cs="宋体"/>
          <w:sz w:val="24"/>
          <w:szCs w:val="24"/>
        </w:rPr>
        <w:t xml:space="preserve"> </w:t>
      </w:r>
      <w:r>
        <w:rPr>
          <w:rFonts w:ascii="宋体" w:hAnsi="宋体" w:eastAsia="宋体" w:cs="宋体"/>
          <w:spacing w:val="-11"/>
          <w:sz w:val="24"/>
          <w:szCs w:val="24"/>
        </w:rPr>
        <w:t>坝下游的营养物质，增加库内污染物富积。总体来说，坝下河流水质会相应变好，</w:t>
      </w:r>
    </w:p>
    <w:p>
      <w:pPr>
        <w:spacing w:line="219" w:lineRule="auto"/>
        <w:ind w:left="38"/>
        <w:rPr>
          <w:rFonts w:ascii="宋体" w:hAnsi="宋体" w:eastAsia="宋体" w:cs="宋体"/>
          <w:sz w:val="24"/>
          <w:szCs w:val="24"/>
        </w:rPr>
      </w:pPr>
      <w:r>
        <w:rPr>
          <w:rFonts w:ascii="宋体" w:hAnsi="宋体" w:eastAsia="宋体" w:cs="宋体"/>
          <w:spacing w:val="-2"/>
          <w:sz w:val="24"/>
          <w:szCs w:val="24"/>
        </w:rPr>
        <w:t>对下游河道水质改善属有利影响。</w:t>
      </w:r>
    </w:p>
    <w:p>
      <w:pPr>
        <w:spacing w:before="183" w:line="359" w:lineRule="auto"/>
        <w:ind w:left="38" w:right="86" w:firstLine="510"/>
        <w:rPr>
          <w:rFonts w:ascii="宋体" w:hAnsi="宋体" w:eastAsia="宋体" w:cs="宋体"/>
          <w:sz w:val="24"/>
          <w:szCs w:val="24"/>
        </w:rPr>
      </w:pPr>
      <w:r>
        <w:rPr>
          <w:rFonts w:ascii="宋体" w:hAnsi="宋体" w:eastAsia="宋体" w:cs="宋体"/>
          <w:spacing w:val="-4"/>
          <w:sz w:val="24"/>
          <w:szCs w:val="24"/>
        </w:rPr>
        <w:t>由于水库拦截了对河床形态起稳定作用的推移质沙量，悬移质出沙含量也远</w:t>
      </w:r>
      <w:r>
        <w:rPr>
          <w:rFonts w:ascii="宋体" w:hAnsi="宋体" w:eastAsia="宋体" w:cs="宋体"/>
          <w:sz w:val="24"/>
          <w:szCs w:val="24"/>
        </w:rPr>
        <w:t xml:space="preserve"> </w:t>
      </w:r>
      <w:r>
        <w:rPr>
          <w:rFonts w:ascii="宋体" w:hAnsi="宋体" w:eastAsia="宋体" w:cs="宋体"/>
          <w:spacing w:val="-11"/>
          <w:sz w:val="24"/>
          <w:szCs w:val="24"/>
        </w:rPr>
        <w:t>低于天然状态， 下游河床泥沙运动失去平衡，</w:t>
      </w:r>
      <w:r>
        <w:rPr>
          <w:rFonts w:ascii="宋体" w:hAnsi="宋体" w:eastAsia="宋体" w:cs="宋体"/>
          <w:spacing w:val="53"/>
          <w:sz w:val="24"/>
          <w:szCs w:val="24"/>
        </w:rPr>
        <w:t xml:space="preserve"> </w:t>
      </w:r>
      <w:r>
        <w:rPr>
          <w:rFonts w:ascii="宋体" w:hAnsi="宋体" w:eastAsia="宋体" w:cs="宋体"/>
          <w:spacing w:val="-11"/>
          <w:sz w:val="24"/>
          <w:szCs w:val="24"/>
        </w:rPr>
        <w:t>出库泥沙量减少会增加出库水流冲</w:t>
      </w:r>
      <w:r>
        <w:rPr>
          <w:rFonts w:ascii="宋体" w:hAnsi="宋体" w:eastAsia="宋体" w:cs="宋体"/>
          <w:sz w:val="24"/>
          <w:szCs w:val="24"/>
        </w:rPr>
        <w:t xml:space="preserve"> </w:t>
      </w:r>
      <w:r>
        <w:rPr>
          <w:rFonts w:ascii="宋体" w:hAnsi="宋体" w:eastAsia="宋体" w:cs="宋体"/>
          <w:spacing w:val="-1"/>
          <w:sz w:val="24"/>
          <w:szCs w:val="24"/>
        </w:rPr>
        <w:t>刷能力。在水库运行的前</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5~10</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年内，下游河道将受到冲刷影</w:t>
      </w:r>
      <w:r>
        <w:rPr>
          <w:rFonts w:ascii="宋体" w:hAnsi="宋体" w:eastAsia="宋体" w:cs="宋体"/>
          <w:spacing w:val="-2"/>
          <w:sz w:val="24"/>
          <w:szCs w:val="24"/>
        </w:rPr>
        <w:t>响，然后逐渐趋于</w:t>
      </w:r>
      <w:r>
        <w:rPr>
          <w:rFonts w:ascii="宋体" w:hAnsi="宋体" w:eastAsia="宋体" w:cs="宋体"/>
          <w:sz w:val="24"/>
          <w:szCs w:val="24"/>
        </w:rPr>
        <w:t xml:space="preserve"> </w:t>
      </w:r>
      <w:r>
        <w:rPr>
          <w:rFonts w:ascii="宋体" w:hAnsi="宋体" w:eastAsia="宋体" w:cs="宋体"/>
          <w:spacing w:val="-17"/>
          <w:sz w:val="24"/>
          <w:szCs w:val="24"/>
        </w:rPr>
        <w:t>稳定。水库所在河段河流属山区性河流，</w:t>
      </w:r>
      <w:r>
        <w:rPr>
          <w:rFonts w:ascii="宋体" w:hAnsi="宋体" w:eastAsia="宋体" w:cs="宋体"/>
          <w:spacing w:val="36"/>
          <w:sz w:val="24"/>
          <w:szCs w:val="24"/>
        </w:rPr>
        <w:t xml:space="preserve"> </w:t>
      </w:r>
      <w:r>
        <w:rPr>
          <w:rFonts w:ascii="宋体" w:hAnsi="宋体" w:eastAsia="宋体" w:cs="宋体"/>
          <w:spacing w:val="-17"/>
          <w:sz w:val="24"/>
          <w:szCs w:val="24"/>
        </w:rPr>
        <w:t>河床多为基岩，</w:t>
      </w:r>
      <w:r>
        <w:rPr>
          <w:rFonts w:ascii="宋体" w:hAnsi="宋体" w:eastAsia="宋体" w:cs="宋体"/>
          <w:spacing w:val="41"/>
          <w:sz w:val="24"/>
          <w:szCs w:val="24"/>
        </w:rPr>
        <w:t xml:space="preserve"> </w:t>
      </w:r>
      <w:r>
        <w:rPr>
          <w:rFonts w:ascii="宋体" w:hAnsi="宋体" w:eastAsia="宋体" w:cs="宋体"/>
          <w:spacing w:val="-17"/>
          <w:sz w:val="24"/>
          <w:szCs w:val="24"/>
        </w:rPr>
        <w:t>与冲击性</w:t>
      </w:r>
      <w:r>
        <w:rPr>
          <w:rFonts w:ascii="宋体" w:hAnsi="宋体" w:eastAsia="宋体" w:cs="宋体"/>
          <w:spacing w:val="-18"/>
          <w:sz w:val="24"/>
          <w:szCs w:val="24"/>
        </w:rPr>
        <w:t>河流相比，</w:t>
      </w:r>
      <w:r>
        <w:rPr>
          <w:rFonts w:ascii="宋体" w:hAnsi="宋体" w:eastAsia="宋体" w:cs="宋体"/>
          <w:spacing w:val="60"/>
          <w:sz w:val="24"/>
          <w:szCs w:val="24"/>
        </w:rPr>
        <w:t xml:space="preserve"> </w:t>
      </w:r>
      <w:r>
        <w:rPr>
          <w:rFonts w:ascii="宋体" w:hAnsi="宋体" w:eastAsia="宋体" w:cs="宋体"/>
          <w:spacing w:val="-18"/>
          <w:sz w:val="24"/>
          <w:szCs w:val="24"/>
        </w:rPr>
        <w:t>山</w:t>
      </w:r>
      <w:r>
        <w:rPr>
          <w:rFonts w:ascii="宋体" w:hAnsi="宋体" w:eastAsia="宋体" w:cs="宋体"/>
          <w:sz w:val="24"/>
          <w:szCs w:val="24"/>
        </w:rPr>
        <w:t xml:space="preserve"> </w:t>
      </w:r>
      <w:r>
        <w:rPr>
          <w:rFonts w:ascii="宋体" w:hAnsi="宋体" w:eastAsia="宋体" w:cs="宋体"/>
          <w:spacing w:val="-8"/>
          <w:sz w:val="24"/>
          <w:szCs w:val="24"/>
        </w:rPr>
        <w:t>区性河流具有较强的抗冲刷性，</w:t>
      </w:r>
      <w:r>
        <w:rPr>
          <w:rFonts w:ascii="宋体" w:hAnsi="宋体" w:eastAsia="宋体" w:cs="宋体"/>
          <w:spacing w:val="-27"/>
          <w:sz w:val="24"/>
          <w:szCs w:val="24"/>
        </w:rPr>
        <w:t xml:space="preserve"> </w:t>
      </w:r>
      <w:r>
        <w:rPr>
          <w:rFonts w:ascii="宋体" w:hAnsi="宋体" w:eastAsia="宋体" w:cs="宋体"/>
          <w:spacing w:val="-8"/>
          <w:sz w:val="24"/>
          <w:szCs w:val="24"/>
        </w:rPr>
        <w:t>所以，</w:t>
      </w:r>
      <w:r>
        <w:rPr>
          <w:rFonts w:ascii="宋体" w:hAnsi="宋体" w:eastAsia="宋体" w:cs="宋体"/>
          <w:spacing w:val="-29"/>
          <w:sz w:val="24"/>
          <w:szCs w:val="24"/>
        </w:rPr>
        <w:t xml:space="preserve"> </w:t>
      </w:r>
      <w:r>
        <w:rPr>
          <w:rFonts w:ascii="宋体" w:hAnsi="宋体" w:eastAsia="宋体" w:cs="宋体"/>
          <w:spacing w:val="-8"/>
          <w:sz w:val="24"/>
          <w:szCs w:val="24"/>
        </w:rPr>
        <w:t>生态流量下泄、河道泥沙</w:t>
      </w:r>
      <w:r>
        <w:rPr>
          <w:rFonts w:ascii="宋体" w:hAnsi="宋体" w:eastAsia="宋体" w:cs="宋体"/>
          <w:spacing w:val="-9"/>
          <w:sz w:val="24"/>
          <w:szCs w:val="24"/>
        </w:rPr>
        <w:t>的减少对河床冲</w:t>
      </w:r>
    </w:p>
    <w:p>
      <w:pPr>
        <w:spacing w:line="220" w:lineRule="auto"/>
        <w:ind w:left="38"/>
        <w:rPr>
          <w:rFonts w:ascii="宋体" w:hAnsi="宋体" w:eastAsia="宋体" w:cs="宋体"/>
          <w:sz w:val="24"/>
          <w:szCs w:val="24"/>
        </w:rPr>
      </w:pPr>
      <w:r>
        <w:rPr>
          <w:rFonts w:ascii="宋体" w:hAnsi="宋体" w:eastAsia="宋体" w:cs="宋体"/>
          <w:spacing w:val="-5"/>
          <w:sz w:val="24"/>
          <w:szCs w:val="24"/>
        </w:rPr>
        <w:t>刷影响作用有限。</w:t>
      </w:r>
    </w:p>
    <w:p>
      <w:pPr>
        <w:spacing w:before="179"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宋体" w:hAnsi="宋体" w:eastAsia="宋体" w:cs="宋体"/>
          <w:spacing w:val="-2"/>
          <w:sz w:val="24"/>
          <w:szCs w:val="24"/>
        </w:rPr>
        <w:t>）水温影响分析</w:t>
      </w:r>
    </w:p>
    <w:p>
      <w:pPr>
        <w:spacing w:before="182" w:line="359" w:lineRule="auto"/>
        <w:ind w:left="39" w:right="86" w:firstLine="480"/>
        <w:rPr>
          <w:rFonts w:ascii="宋体" w:hAnsi="宋体" w:eastAsia="宋体" w:cs="宋体"/>
          <w:sz w:val="24"/>
          <w:szCs w:val="24"/>
        </w:rPr>
      </w:pPr>
      <w:r>
        <w:rPr>
          <w:rFonts w:ascii="宋体" w:hAnsi="宋体" w:eastAsia="宋体" w:cs="宋体"/>
          <w:spacing w:val="-9"/>
          <w:sz w:val="24"/>
          <w:szCs w:val="24"/>
        </w:rPr>
        <w:t>根据工程分析， 桂花水库的水温类型为分层型水</w:t>
      </w:r>
      <w:r>
        <w:rPr>
          <w:rFonts w:ascii="宋体" w:hAnsi="宋体" w:eastAsia="宋体" w:cs="宋体"/>
          <w:spacing w:val="-10"/>
          <w:sz w:val="24"/>
          <w:szCs w:val="24"/>
        </w:rPr>
        <w:t>温结构，</w:t>
      </w:r>
      <w:r>
        <w:rPr>
          <w:rFonts w:ascii="宋体" w:hAnsi="宋体" w:eastAsia="宋体" w:cs="宋体"/>
          <w:spacing w:val="-26"/>
          <w:sz w:val="24"/>
          <w:szCs w:val="24"/>
        </w:rPr>
        <w:t xml:space="preserve"> </w:t>
      </w:r>
      <w:r>
        <w:rPr>
          <w:rFonts w:ascii="宋体" w:hAnsi="宋体" w:eastAsia="宋体" w:cs="宋体"/>
          <w:spacing w:val="-10"/>
          <w:sz w:val="24"/>
          <w:szCs w:val="24"/>
        </w:rPr>
        <w:t>水库会出现水温分</w:t>
      </w:r>
      <w:r>
        <w:rPr>
          <w:rFonts w:ascii="宋体" w:hAnsi="宋体" w:eastAsia="宋体" w:cs="宋体"/>
          <w:sz w:val="24"/>
          <w:szCs w:val="24"/>
        </w:rPr>
        <w:t xml:space="preserve"> </w:t>
      </w:r>
      <w:r>
        <w:rPr>
          <w:rFonts w:ascii="宋体" w:hAnsi="宋体" w:eastAsia="宋体" w:cs="宋体"/>
          <w:spacing w:val="-6"/>
          <w:sz w:val="24"/>
          <w:szCs w:val="24"/>
        </w:rPr>
        <w:t>层和下泄低温水现象。分层型水库库底水温在夏季将低于其库表水温，</w:t>
      </w:r>
      <w:r>
        <w:rPr>
          <w:rFonts w:ascii="宋体" w:hAnsi="宋体" w:eastAsia="宋体" w:cs="宋体"/>
          <w:spacing w:val="-14"/>
          <w:sz w:val="24"/>
          <w:szCs w:val="24"/>
        </w:rPr>
        <w:t xml:space="preserve"> </w:t>
      </w:r>
      <w:r>
        <w:rPr>
          <w:rFonts w:ascii="宋体" w:hAnsi="宋体" w:eastAsia="宋体" w:cs="宋体"/>
          <w:spacing w:val="-6"/>
          <w:sz w:val="24"/>
          <w:szCs w:val="24"/>
        </w:rPr>
        <w:t>冬季将略</w:t>
      </w:r>
    </w:p>
    <w:p>
      <w:pPr>
        <w:spacing w:line="219" w:lineRule="auto"/>
        <w:jc w:val="right"/>
        <w:rPr>
          <w:rFonts w:ascii="宋体" w:hAnsi="宋体" w:eastAsia="宋体" w:cs="宋体"/>
          <w:sz w:val="24"/>
          <w:szCs w:val="24"/>
        </w:rPr>
      </w:pPr>
      <w:r>
        <w:rPr>
          <w:rFonts w:ascii="宋体" w:hAnsi="宋体" w:eastAsia="宋体" w:cs="宋体"/>
          <w:spacing w:val="-9"/>
          <w:sz w:val="24"/>
          <w:szCs w:val="24"/>
        </w:rPr>
        <w:t>高于或等于库表水温，</w:t>
      </w:r>
      <w:r>
        <w:rPr>
          <w:rFonts w:ascii="宋体" w:hAnsi="宋体" w:eastAsia="宋体" w:cs="宋体"/>
          <w:spacing w:val="-46"/>
          <w:sz w:val="24"/>
          <w:szCs w:val="24"/>
        </w:rPr>
        <w:t xml:space="preserve"> </w:t>
      </w:r>
      <w:r>
        <w:rPr>
          <w:rFonts w:ascii="宋体" w:hAnsi="宋体" w:eastAsia="宋体" w:cs="宋体"/>
          <w:spacing w:val="-9"/>
          <w:sz w:val="24"/>
          <w:szCs w:val="24"/>
        </w:rPr>
        <w:t>通过经验预测公式，对水库</w:t>
      </w:r>
      <w:r>
        <w:rPr>
          <w:rFonts w:ascii="宋体" w:hAnsi="宋体" w:eastAsia="宋体" w:cs="宋体"/>
          <w:spacing w:val="-10"/>
          <w:sz w:val="24"/>
          <w:szCs w:val="24"/>
        </w:rPr>
        <w:t>垂向水温进行预测分析和计算。</w:t>
      </w:r>
    </w:p>
    <w:p>
      <w:pPr>
        <w:spacing w:before="182" w:line="217" w:lineRule="auto"/>
        <w:ind w:left="518"/>
        <w:rPr>
          <w:rFonts w:ascii="宋体" w:hAnsi="宋体" w:eastAsia="宋体" w:cs="宋体"/>
          <w:sz w:val="24"/>
          <w:szCs w:val="24"/>
        </w:rPr>
      </w:pPr>
      <w:r>
        <w:rPr>
          <w:rFonts w:ascii="宋体" w:hAnsi="宋体" w:eastAsia="宋体" w:cs="宋体"/>
          <w:spacing w:val="-2"/>
          <w:sz w:val="24"/>
          <w:szCs w:val="24"/>
        </w:rPr>
        <w:t>①坝址气温</w:t>
      </w:r>
    </w:p>
    <w:p>
      <w:pPr>
        <w:spacing w:before="184" w:line="468" w:lineRule="exact"/>
        <w:ind w:left="538"/>
        <w:rPr>
          <w:rFonts w:ascii="宋体" w:hAnsi="宋体" w:eastAsia="宋体" w:cs="宋体"/>
          <w:sz w:val="24"/>
          <w:szCs w:val="24"/>
        </w:rPr>
      </w:pPr>
      <w:r>
        <w:rPr>
          <w:rFonts w:ascii="宋体" w:hAnsi="宋体" w:eastAsia="宋体" w:cs="宋体"/>
          <w:spacing w:val="-10"/>
          <w:position w:val="17"/>
          <w:sz w:val="24"/>
          <w:szCs w:val="24"/>
        </w:rPr>
        <w:t>因坝址处无多年平均气温值， 本次评价以大姚县多年平均气温进行修正， 大</w:t>
      </w:r>
    </w:p>
    <w:p>
      <w:pPr>
        <w:spacing w:line="216" w:lineRule="auto"/>
        <w:ind w:left="40"/>
        <w:rPr>
          <w:rFonts w:ascii="宋体" w:hAnsi="宋体" w:eastAsia="宋体" w:cs="宋体"/>
          <w:sz w:val="24"/>
          <w:szCs w:val="24"/>
        </w:rPr>
      </w:pPr>
      <w:r>
        <w:rPr>
          <w:rFonts w:ascii="宋体" w:hAnsi="宋体" w:eastAsia="宋体" w:cs="宋体"/>
          <w:spacing w:val="1"/>
          <w:sz w:val="24"/>
          <w:szCs w:val="24"/>
        </w:rPr>
        <w:t>姚县近</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 xml:space="preserve">20 </w:t>
      </w:r>
      <w:r>
        <w:rPr>
          <w:rFonts w:ascii="宋体" w:hAnsi="宋体" w:eastAsia="宋体" w:cs="宋体"/>
          <w:spacing w:val="1"/>
          <w:sz w:val="24"/>
          <w:szCs w:val="24"/>
        </w:rPr>
        <w:t>年多年平均气温为</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16.5</w:t>
      </w:r>
      <w:r>
        <w:rPr>
          <w:rFonts w:ascii="宋体" w:hAnsi="宋体" w:eastAsia="宋体" w:cs="宋体"/>
          <w:spacing w:val="1"/>
          <w:sz w:val="24"/>
          <w:szCs w:val="24"/>
        </w:rPr>
        <w:t>℃,具体各月气温如下表所示。</w:t>
      </w:r>
    </w:p>
    <w:p>
      <w:pPr>
        <w:spacing w:before="278" w:line="220" w:lineRule="auto"/>
        <w:ind w:left="1342"/>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8"/>
          <w:sz w:val="21"/>
          <w:szCs w:val="21"/>
        </w:rPr>
        <w:t xml:space="preserve"> </w:t>
      </w:r>
      <w:r>
        <w:rPr>
          <w:rFonts w:ascii="Times New Roman" w:hAnsi="Times New Roman" w:eastAsia="Times New Roman" w:cs="Times New Roman"/>
          <w:b/>
          <w:bCs/>
          <w:spacing w:val="-1"/>
          <w:sz w:val="21"/>
          <w:szCs w:val="21"/>
        </w:rPr>
        <w:t xml:space="preserve">4.2-6    </w:t>
      </w:r>
      <w:r>
        <w:rPr>
          <w:rFonts w:ascii="宋体" w:hAnsi="宋体" w:eastAsia="宋体" w:cs="宋体"/>
          <w:spacing w:val="-1"/>
          <w:sz w:val="21"/>
          <w:szCs w:val="21"/>
          <w14:textOutline w14:w="3810" w14:cap="flat" w14:cmpd="sng">
            <w14:solidFill>
              <w14:srgbClr w14:val="000000"/>
            </w14:solidFill>
            <w14:prstDash w14:val="solid"/>
            <w14:miter w14:val="0"/>
          </w14:textOutline>
        </w:rPr>
        <w:t>大姚县多年（</w:t>
      </w:r>
      <w:r>
        <w:rPr>
          <w:rFonts w:ascii="Times New Roman" w:hAnsi="Times New Roman" w:eastAsia="Times New Roman" w:cs="Times New Roman"/>
          <w:b/>
          <w:bCs/>
          <w:spacing w:val="-1"/>
          <w:sz w:val="21"/>
          <w:szCs w:val="21"/>
        </w:rPr>
        <w:t xml:space="preserve">1994-2015 </w:t>
      </w:r>
      <w:r>
        <w:rPr>
          <w:rFonts w:ascii="宋体" w:hAnsi="宋体" w:eastAsia="宋体" w:cs="宋体"/>
          <w:spacing w:val="-2"/>
          <w:sz w:val="21"/>
          <w:szCs w:val="21"/>
          <w14:textOutline w14:w="3810" w14:cap="flat" w14:cmpd="sng">
            <w14:solidFill>
              <w14:srgbClr w14:val="000000"/>
            </w14:solidFill>
            <w14:prstDash w14:val="solid"/>
            <w14:miter w14:val="0"/>
          </w14:textOutline>
        </w:rPr>
        <w:t>年）</w:t>
      </w:r>
      <w:r>
        <w:rPr>
          <w:rFonts w:ascii="宋体" w:hAnsi="宋体" w:eastAsia="宋体" w:cs="宋体"/>
          <w:spacing w:val="-34"/>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平均气温表</w:t>
      </w:r>
      <w:r>
        <w:rPr>
          <w:rFonts w:ascii="宋体" w:hAnsi="宋体" w:eastAsia="宋体" w:cs="宋体"/>
          <w:spacing w:val="-2"/>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单位：℃</w:t>
      </w:r>
    </w:p>
    <w:p>
      <w:pPr>
        <w:spacing w:line="89"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617"/>
        <w:gridCol w:w="604"/>
        <w:gridCol w:w="638"/>
        <w:gridCol w:w="635"/>
        <w:gridCol w:w="645"/>
        <w:gridCol w:w="649"/>
        <w:gridCol w:w="629"/>
        <w:gridCol w:w="671"/>
        <w:gridCol w:w="650"/>
        <w:gridCol w:w="648"/>
        <w:gridCol w:w="608"/>
        <w:gridCol w:w="6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707" w:type="dxa"/>
            <w:tcBorders>
              <w:left w:val="nil"/>
            </w:tcBorders>
            <w:vAlign w:val="top"/>
          </w:tcPr>
          <w:p>
            <w:pPr>
              <w:spacing w:before="57" w:line="218" w:lineRule="auto"/>
              <w:ind w:left="171"/>
              <w:rPr>
                <w:rFonts w:ascii="仿宋" w:hAnsi="仿宋" w:eastAsia="仿宋" w:cs="仿宋"/>
                <w:sz w:val="21"/>
                <w:szCs w:val="21"/>
              </w:rPr>
            </w:pPr>
            <w:r>
              <w:rPr>
                <w:rFonts w:ascii="仿宋" w:hAnsi="仿宋" w:eastAsia="仿宋" w:cs="仿宋"/>
                <w:spacing w:val="-6"/>
                <w:sz w:val="21"/>
                <w:szCs w:val="21"/>
              </w:rPr>
              <w:t>月份</w:t>
            </w:r>
          </w:p>
        </w:tc>
        <w:tc>
          <w:tcPr>
            <w:tcW w:w="617" w:type="dxa"/>
            <w:vAlign w:val="top"/>
          </w:tcPr>
          <w:p>
            <w:pPr>
              <w:pStyle w:val="6"/>
              <w:spacing w:before="92" w:line="188" w:lineRule="auto"/>
              <w:ind w:left="277"/>
            </w:pPr>
            <w:r>
              <w:t>1</w:t>
            </w:r>
          </w:p>
        </w:tc>
        <w:tc>
          <w:tcPr>
            <w:tcW w:w="604" w:type="dxa"/>
            <w:vAlign w:val="top"/>
          </w:tcPr>
          <w:p>
            <w:pPr>
              <w:pStyle w:val="6"/>
              <w:spacing w:before="92" w:line="188" w:lineRule="auto"/>
              <w:ind w:left="251"/>
            </w:pPr>
            <w:r>
              <w:t>2</w:t>
            </w:r>
          </w:p>
        </w:tc>
        <w:tc>
          <w:tcPr>
            <w:tcW w:w="638" w:type="dxa"/>
            <w:vAlign w:val="top"/>
          </w:tcPr>
          <w:p>
            <w:pPr>
              <w:pStyle w:val="6"/>
              <w:spacing w:before="92" w:line="188" w:lineRule="auto"/>
              <w:ind w:left="271"/>
            </w:pPr>
            <w:r>
              <w:t>3</w:t>
            </w:r>
          </w:p>
        </w:tc>
        <w:tc>
          <w:tcPr>
            <w:tcW w:w="635" w:type="dxa"/>
            <w:vAlign w:val="top"/>
          </w:tcPr>
          <w:p>
            <w:pPr>
              <w:pStyle w:val="6"/>
              <w:spacing w:before="92" w:line="188" w:lineRule="auto"/>
              <w:ind w:left="265"/>
            </w:pPr>
            <w:r>
              <w:t>4</w:t>
            </w:r>
          </w:p>
        </w:tc>
        <w:tc>
          <w:tcPr>
            <w:tcW w:w="645" w:type="dxa"/>
            <w:vAlign w:val="top"/>
          </w:tcPr>
          <w:p>
            <w:pPr>
              <w:pStyle w:val="6"/>
              <w:spacing w:before="95" w:line="185" w:lineRule="auto"/>
              <w:ind w:left="277"/>
            </w:pPr>
            <w:r>
              <w:t>5</w:t>
            </w:r>
          </w:p>
        </w:tc>
        <w:tc>
          <w:tcPr>
            <w:tcW w:w="649" w:type="dxa"/>
            <w:vAlign w:val="top"/>
          </w:tcPr>
          <w:p>
            <w:pPr>
              <w:pStyle w:val="6"/>
              <w:spacing w:before="92" w:line="188" w:lineRule="auto"/>
              <w:ind w:left="279"/>
            </w:pPr>
            <w:r>
              <w:t>6</w:t>
            </w:r>
          </w:p>
        </w:tc>
        <w:tc>
          <w:tcPr>
            <w:tcW w:w="629" w:type="dxa"/>
            <w:vAlign w:val="top"/>
          </w:tcPr>
          <w:p>
            <w:pPr>
              <w:pStyle w:val="6"/>
              <w:spacing w:before="95" w:line="185" w:lineRule="auto"/>
              <w:ind w:left="267"/>
            </w:pPr>
            <w:r>
              <w:t>7</w:t>
            </w:r>
          </w:p>
        </w:tc>
        <w:tc>
          <w:tcPr>
            <w:tcW w:w="671" w:type="dxa"/>
            <w:vAlign w:val="top"/>
          </w:tcPr>
          <w:p>
            <w:pPr>
              <w:pStyle w:val="6"/>
              <w:spacing w:before="92" w:line="188" w:lineRule="auto"/>
              <w:ind w:left="293"/>
            </w:pPr>
            <w:r>
              <w:t>8</w:t>
            </w:r>
          </w:p>
        </w:tc>
        <w:tc>
          <w:tcPr>
            <w:tcW w:w="650" w:type="dxa"/>
            <w:vAlign w:val="top"/>
          </w:tcPr>
          <w:p>
            <w:pPr>
              <w:pStyle w:val="6"/>
              <w:spacing w:before="92" w:line="188" w:lineRule="auto"/>
              <w:ind w:left="278"/>
            </w:pPr>
            <w:r>
              <w:t>9</w:t>
            </w:r>
          </w:p>
        </w:tc>
        <w:tc>
          <w:tcPr>
            <w:tcW w:w="648" w:type="dxa"/>
            <w:vAlign w:val="top"/>
          </w:tcPr>
          <w:p>
            <w:pPr>
              <w:pStyle w:val="6"/>
              <w:spacing w:before="92" w:line="188" w:lineRule="auto"/>
              <w:ind w:left="241"/>
            </w:pPr>
            <w:r>
              <w:rPr>
                <w:spacing w:val="-6"/>
              </w:rPr>
              <w:t>10</w:t>
            </w:r>
          </w:p>
        </w:tc>
        <w:tc>
          <w:tcPr>
            <w:tcW w:w="608" w:type="dxa"/>
            <w:vAlign w:val="top"/>
          </w:tcPr>
          <w:p>
            <w:pPr>
              <w:pStyle w:val="6"/>
              <w:spacing w:before="92" w:line="188" w:lineRule="auto"/>
              <w:ind w:left="224"/>
            </w:pPr>
            <w:r>
              <w:rPr>
                <w:spacing w:val="-9"/>
              </w:rPr>
              <w:t>11</w:t>
            </w:r>
          </w:p>
        </w:tc>
        <w:tc>
          <w:tcPr>
            <w:tcW w:w="620" w:type="dxa"/>
            <w:tcBorders>
              <w:right w:val="nil"/>
            </w:tcBorders>
            <w:vAlign w:val="top"/>
          </w:tcPr>
          <w:p>
            <w:pPr>
              <w:pStyle w:val="6"/>
              <w:spacing w:before="92" w:line="188" w:lineRule="auto"/>
              <w:ind w:left="229"/>
            </w:pPr>
            <w:r>
              <w:rPr>
                <w:spacing w:val="-6"/>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707" w:type="dxa"/>
            <w:tcBorders>
              <w:left w:val="nil"/>
            </w:tcBorders>
            <w:vAlign w:val="top"/>
          </w:tcPr>
          <w:p>
            <w:pPr>
              <w:spacing w:before="57" w:line="220" w:lineRule="auto"/>
              <w:ind w:left="169"/>
              <w:rPr>
                <w:rFonts w:ascii="仿宋" w:hAnsi="仿宋" w:eastAsia="仿宋" w:cs="仿宋"/>
                <w:sz w:val="21"/>
                <w:szCs w:val="21"/>
              </w:rPr>
            </w:pPr>
            <w:r>
              <w:rPr>
                <w:rFonts w:ascii="仿宋" w:hAnsi="仿宋" w:eastAsia="仿宋" w:cs="仿宋"/>
                <w:spacing w:val="-6"/>
                <w:sz w:val="21"/>
                <w:szCs w:val="21"/>
              </w:rPr>
              <w:t>气温</w:t>
            </w:r>
          </w:p>
        </w:tc>
        <w:tc>
          <w:tcPr>
            <w:tcW w:w="617" w:type="dxa"/>
            <w:vAlign w:val="top"/>
          </w:tcPr>
          <w:p>
            <w:pPr>
              <w:pStyle w:val="6"/>
              <w:spacing w:before="92" w:line="188" w:lineRule="auto"/>
              <w:ind w:left="261"/>
            </w:pPr>
            <w:r>
              <w:t>9</w:t>
            </w:r>
          </w:p>
        </w:tc>
        <w:tc>
          <w:tcPr>
            <w:tcW w:w="604" w:type="dxa"/>
            <w:vAlign w:val="top"/>
          </w:tcPr>
          <w:p>
            <w:pPr>
              <w:pStyle w:val="6"/>
              <w:spacing w:before="92" w:line="188" w:lineRule="auto"/>
              <w:ind w:left="142"/>
            </w:pPr>
            <w:r>
              <w:rPr>
                <w:spacing w:val="-8"/>
              </w:rPr>
              <w:t>11.3</w:t>
            </w:r>
          </w:p>
        </w:tc>
        <w:tc>
          <w:tcPr>
            <w:tcW w:w="638" w:type="dxa"/>
            <w:vAlign w:val="top"/>
          </w:tcPr>
          <w:p>
            <w:pPr>
              <w:pStyle w:val="6"/>
              <w:spacing w:before="92" w:line="188" w:lineRule="auto"/>
              <w:ind w:left="155"/>
            </w:pPr>
            <w:r>
              <w:rPr>
                <w:spacing w:val="-6"/>
              </w:rPr>
              <w:t>14.7</w:t>
            </w:r>
          </w:p>
        </w:tc>
        <w:tc>
          <w:tcPr>
            <w:tcW w:w="635" w:type="dxa"/>
            <w:vAlign w:val="top"/>
          </w:tcPr>
          <w:p>
            <w:pPr>
              <w:pStyle w:val="6"/>
              <w:spacing w:before="92" w:line="188" w:lineRule="auto"/>
              <w:ind w:left="154"/>
            </w:pPr>
            <w:r>
              <w:rPr>
                <w:spacing w:val="-6"/>
              </w:rPr>
              <w:t>17.6</w:t>
            </w:r>
          </w:p>
        </w:tc>
        <w:tc>
          <w:tcPr>
            <w:tcW w:w="645" w:type="dxa"/>
            <w:vAlign w:val="top"/>
          </w:tcPr>
          <w:p>
            <w:pPr>
              <w:pStyle w:val="6"/>
              <w:spacing w:before="92" w:line="188" w:lineRule="auto"/>
              <w:ind w:left="139"/>
            </w:pPr>
            <w:r>
              <w:rPr>
                <w:spacing w:val="-1"/>
              </w:rPr>
              <w:t>20.1</w:t>
            </w:r>
          </w:p>
        </w:tc>
        <w:tc>
          <w:tcPr>
            <w:tcW w:w="649" w:type="dxa"/>
            <w:vAlign w:val="top"/>
          </w:tcPr>
          <w:p>
            <w:pPr>
              <w:pStyle w:val="6"/>
              <w:spacing w:before="92" w:line="188" w:lineRule="auto"/>
              <w:ind w:left="142"/>
            </w:pPr>
            <w:r>
              <w:rPr>
                <w:spacing w:val="-1"/>
              </w:rPr>
              <w:t>21.0</w:t>
            </w:r>
          </w:p>
        </w:tc>
        <w:tc>
          <w:tcPr>
            <w:tcW w:w="629" w:type="dxa"/>
            <w:vAlign w:val="top"/>
          </w:tcPr>
          <w:p>
            <w:pPr>
              <w:pStyle w:val="6"/>
              <w:spacing w:before="92" w:line="188" w:lineRule="auto"/>
              <w:ind w:left="132"/>
            </w:pPr>
            <w:r>
              <w:rPr>
                <w:spacing w:val="-1"/>
              </w:rPr>
              <w:t>20.5</w:t>
            </w:r>
          </w:p>
        </w:tc>
        <w:tc>
          <w:tcPr>
            <w:tcW w:w="671" w:type="dxa"/>
            <w:vAlign w:val="top"/>
          </w:tcPr>
          <w:p>
            <w:pPr>
              <w:pStyle w:val="6"/>
              <w:spacing w:before="92" w:line="188" w:lineRule="auto"/>
              <w:ind w:left="173"/>
            </w:pPr>
            <w:r>
              <w:rPr>
                <w:spacing w:val="-6"/>
              </w:rPr>
              <w:t>19.8</w:t>
            </w:r>
          </w:p>
        </w:tc>
        <w:tc>
          <w:tcPr>
            <w:tcW w:w="650" w:type="dxa"/>
            <w:vAlign w:val="top"/>
          </w:tcPr>
          <w:p>
            <w:pPr>
              <w:pStyle w:val="6"/>
              <w:spacing w:before="92" w:line="188" w:lineRule="auto"/>
              <w:ind w:left="162"/>
            </w:pPr>
            <w:r>
              <w:rPr>
                <w:spacing w:val="-6"/>
              </w:rPr>
              <w:t>18.3</w:t>
            </w:r>
          </w:p>
        </w:tc>
        <w:tc>
          <w:tcPr>
            <w:tcW w:w="648" w:type="dxa"/>
            <w:vAlign w:val="top"/>
          </w:tcPr>
          <w:p>
            <w:pPr>
              <w:pStyle w:val="6"/>
              <w:spacing w:before="92" w:line="188" w:lineRule="auto"/>
              <w:ind w:left="163"/>
            </w:pPr>
            <w:r>
              <w:rPr>
                <w:spacing w:val="-6"/>
              </w:rPr>
              <w:t>15.9</w:t>
            </w:r>
          </w:p>
        </w:tc>
        <w:tc>
          <w:tcPr>
            <w:tcW w:w="608" w:type="dxa"/>
            <w:vAlign w:val="top"/>
          </w:tcPr>
          <w:p>
            <w:pPr>
              <w:pStyle w:val="6"/>
              <w:spacing w:before="92" w:line="188" w:lineRule="auto"/>
              <w:ind w:left="145"/>
            </w:pPr>
            <w:r>
              <w:rPr>
                <w:spacing w:val="-8"/>
              </w:rPr>
              <w:t>11.7</w:t>
            </w:r>
          </w:p>
        </w:tc>
        <w:tc>
          <w:tcPr>
            <w:tcW w:w="620" w:type="dxa"/>
            <w:tcBorders>
              <w:right w:val="nil"/>
            </w:tcBorders>
            <w:vAlign w:val="top"/>
          </w:tcPr>
          <w:p>
            <w:pPr>
              <w:pStyle w:val="6"/>
              <w:spacing w:before="92" w:line="188" w:lineRule="auto"/>
              <w:ind w:left="191"/>
            </w:pPr>
            <w:r>
              <w:rPr>
                <w:spacing w:val="-4"/>
              </w:rPr>
              <w:t>8.6</w:t>
            </w:r>
          </w:p>
        </w:tc>
      </w:tr>
    </w:tbl>
    <w:p>
      <w:pPr>
        <w:spacing w:before="37" w:line="359" w:lineRule="auto"/>
        <w:ind w:left="38" w:right="86" w:firstLine="483"/>
        <w:rPr>
          <w:rFonts w:ascii="宋体" w:hAnsi="宋体" w:eastAsia="宋体" w:cs="宋体"/>
          <w:sz w:val="24"/>
          <w:szCs w:val="24"/>
        </w:rPr>
      </w:pPr>
      <w:r>
        <w:rPr>
          <w:rFonts w:ascii="宋体" w:hAnsi="宋体" w:eastAsia="宋体" w:cs="宋体"/>
          <w:spacing w:val="-4"/>
          <w:sz w:val="24"/>
          <w:szCs w:val="24"/>
        </w:rPr>
        <w:t>大姚县气象站海拔为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1879m</w:t>
      </w:r>
      <w:r>
        <w:rPr>
          <w:rFonts w:ascii="宋体" w:hAnsi="宋体" w:eastAsia="宋体" w:cs="宋体"/>
          <w:spacing w:val="-4"/>
          <w:sz w:val="24"/>
          <w:szCs w:val="24"/>
        </w:rPr>
        <w:t>，桂花水库坝址处原始海拔为</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2019m</w:t>
      </w:r>
      <w:r>
        <w:rPr>
          <w:rFonts w:ascii="宋体" w:hAnsi="宋体" w:eastAsia="宋体" w:cs="宋体"/>
          <w:spacing w:val="-5"/>
          <w:sz w:val="24"/>
          <w:szCs w:val="24"/>
        </w:rPr>
        <w:t>，桂花水库</w:t>
      </w:r>
      <w:r>
        <w:rPr>
          <w:rFonts w:ascii="宋体" w:hAnsi="宋体" w:eastAsia="宋体" w:cs="宋体"/>
          <w:sz w:val="24"/>
          <w:szCs w:val="24"/>
        </w:rPr>
        <w:t xml:space="preserve"> </w:t>
      </w:r>
      <w:r>
        <w:rPr>
          <w:rFonts w:ascii="宋体" w:hAnsi="宋体" w:eastAsia="宋体" w:cs="宋体"/>
          <w:spacing w:val="-8"/>
          <w:sz w:val="24"/>
          <w:szCs w:val="24"/>
        </w:rPr>
        <w:t>坝址海拔与大姚县气象站海拔相差</w:t>
      </w:r>
      <w:r>
        <w:rPr>
          <w:rFonts w:ascii="宋体" w:hAnsi="宋体" w:eastAsia="宋体" w:cs="宋体"/>
          <w:spacing w:val="-14"/>
          <w:sz w:val="24"/>
          <w:szCs w:val="24"/>
        </w:rPr>
        <w:t xml:space="preserve"> </w:t>
      </w:r>
      <w:r>
        <w:rPr>
          <w:rFonts w:ascii="Times New Roman" w:hAnsi="Times New Roman" w:eastAsia="Times New Roman" w:cs="Times New Roman"/>
          <w:spacing w:val="-8"/>
          <w:sz w:val="24"/>
          <w:szCs w:val="24"/>
        </w:rPr>
        <w:t>140m</w:t>
      </w:r>
      <w:r>
        <w:rPr>
          <w:rFonts w:ascii="宋体" w:hAnsi="宋体" w:eastAsia="宋体" w:cs="宋体"/>
          <w:spacing w:val="-8"/>
          <w:sz w:val="24"/>
          <w:szCs w:val="24"/>
        </w:rPr>
        <w:t>。按海拔每上升</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1000m</w:t>
      </w:r>
      <w:r>
        <w:rPr>
          <w:rFonts w:ascii="宋体" w:hAnsi="宋体" w:eastAsia="宋体" w:cs="宋体"/>
          <w:spacing w:val="-8"/>
          <w:sz w:val="24"/>
          <w:szCs w:val="24"/>
        </w:rPr>
        <w:t>，气温下降</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6</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3"/>
          <w:sz w:val="24"/>
          <w:szCs w:val="24"/>
        </w:rPr>
        <w:t>则坝址处与县城气象站气温相差</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0.8</w:t>
      </w:r>
      <w:r>
        <w:rPr>
          <w:rFonts w:ascii="宋体" w:hAnsi="宋体" w:eastAsia="宋体" w:cs="宋体"/>
          <w:spacing w:val="3"/>
          <w:sz w:val="24"/>
          <w:szCs w:val="24"/>
        </w:rPr>
        <w:t>℃,通过大姚县气象站多年</w:t>
      </w:r>
      <w:r>
        <w:rPr>
          <w:rFonts w:ascii="宋体" w:hAnsi="宋体" w:eastAsia="宋体" w:cs="宋体"/>
          <w:spacing w:val="2"/>
          <w:sz w:val="24"/>
          <w:szCs w:val="24"/>
        </w:rPr>
        <w:t>平均气温推求出</w:t>
      </w:r>
    </w:p>
    <w:p>
      <w:pPr>
        <w:spacing w:before="1" w:line="216" w:lineRule="auto"/>
        <w:ind w:left="38"/>
        <w:rPr>
          <w:rFonts w:ascii="宋体" w:hAnsi="宋体" w:eastAsia="宋体" w:cs="宋体"/>
          <w:sz w:val="24"/>
          <w:szCs w:val="24"/>
        </w:rPr>
      </w:pPr>
      <w:r>
        <w:rPr>
          <w:rFonts w:ascii="宋体" w:hAnsi="宋体" w:eastAsia="宋体" w:cs="宋体"/>
          <w:spacing w:val="2"/>
          <w:sz w:val="24"/>
          <w:szCs w:val="24"/>
        </w:rPr>
        <w:t>坝址处多年平均气温为</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15.7</w:t>
      </w:r>
      <w:r>
        <w:rPr>
          <w:rFonts w:ascii="宋体" w:hAnsi="宋体" w:eastAsia="宋体" w:cs="宋体"/>
          <w:spacing w:val="2"/>
          <w:sz w:val="24"/>
          <w:szCs w:val="24"/>
        </w:rPr>
        <w:t>℃,具体气温如下。</w:t>
      </w:r>
    </w:p>
    <w:p>
      <w:pPr>
        <w:spacing w:before="277" w:line="220" w:lineRule="auto"/>
        <w:ind w:left="2007"/>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表</w:t>
      </w:r>
      <w:r>
        <w:rPr>
          <w:rFonts w:ascii="宋体" w:hAnsi="宋体" w:eastAsia="宋体" w:cs="宋体"/>
          <w:spacing w:val="-27"/>
          <w:sz w:val="21"/>
          <w:szCs w:val="21"/>
        </w:rPr>
        <w:t xml:space="preserve"> </w:t>
      </w:r>
      <w:r>
        <w:rPr>
          <w:rFonts w:ascii="Times New Roman" w:hAnsi="Times New Roman" w:eastAsia="Times New Roman" w:cs="Times New Roman"/>
          <w:b/>
          <w:bCs/>
          <w:spacing w:val="2"/>
          <w:sz w:val="21"/>
          <w:szCs w:val="21"/>
        </w:rPr>
        <w:t xml:space="preserve">4.2-7    </w:t>
      </w:r>
      <w:r>
        <w:rPr>
          <w:rFonts w:ascii="宋体" w:hAnsi="宋体" w:eastAsia="宋体" w:cs="宋体"/>
          <w:spacing w:val="2"/>
          <w:sz w:val="21"/>
          <w:szCs w:val="21"/>
          <w14:textOutline w14:w="3810" w14:cap="flat" w14:cmpd="sng">
            <w14:solidFill>
              <w14:srgbClr w14:val="000000"/>
            </w14:solidFill>
            <w14:prstDash w14:val="solid"/>
            <w14:miter w14:val="0"/>
          </w14:textOutline>
        </w:rPr>
        <w:t>坝址处多年平均气温表</w:t>
      </w:r>
      <w:r>
        <w:rPr>
          <w:rFonts w:ascii="宋体" w:hAnsi="宋体" w:eastAsia="宋体" w:cs="宋体"/>
          <w:spacing w:val="2"/>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单位：℃</w:t>
      </w:r>
    </w:p>
    <w:p>
      <w:pPr>
        <w:spacing w:line="89"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616"/>
        <w:gridCol w:w="605"/>
        <w:gridCol w:w="638"/>
        <w:gridCol w:w="635"/>
        <w:gridCol w:w="645"/>
        <w:gridCol w:w="649"/>
        <w:gridCol w:w="629"/>
        <w:gridCol w:w="671"/>
        <w:gridCol w:w="650"/>
        <w:gridCol w:w="648"/>
        <w:gridCol w:w="608"/>
        <w:gridCol w:w="6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707" w:type="dxa"/>
            <w:tcBorders>
              <w:left w:val="nil"/>
            </w:tcBorders>
            <w:vAlign w:val="top"/>
          </w:tcPr>
          <w:p>
            <w:pPr>
              <w:spacing w:before="57" w:line="218" w:lineRule="auto"/>
              <w:ind w:left="171"/>
              <w:rPr>
                <w:rFonts w:ascii="仿宋" w:hAnsi="仿宋" w:eastAsia="仿宋" w:cs="仿宋"/>
                <w:sz w:val="21"/>
                <w:szCs w:val="21"/>
              </w:rPr>
            </w:pPr>
            <w:r>
              <w:rPr>
                <w:rFonts w:ascii="仿宋" w:hAnsi="仿宋" w:eastAsia="仿宋" w:cs="仿宋"/>
                <w:spacing w:val="-6"/>
                <w:sz w:val="21"/>
                <w:szCs w:val="21"/>
              </w:rPr>
              <w:t>月份</w:t>
            </w:r>
          </w:p>
        </w:tc>
        <w:tc>
          <w:tcPr>
            <w:tcW w:w="616" w:type="dxa"/>
            <w:vAlign w:val="top"/>
          </w:tcPr>
          <w:p>
            <w:pPr>
              <w:pStyle w:val="6"/>
              <w:spacing w:before="93" w:line="188" w:lineRule="auto"/>
              <w:ind w:left="277"/>
            </w:pPr>
            <w:r>
              <w:t>1</w:t>
            </w:r>
          </w:p>
        </w:tc>
        <w:tc>
          <w:tcPr>
            <w:tcW w:w="605" w:type="dxa"/>
            <w:vAlign w:val="top"/>
          </w:tcPr>
          <w:p>
            <w:pPr>
              <w:pStyle w:val="6"/>
              <w:spacing w:before="93" w:line="188" w:lineRule="auto"/>
              <w:ind w:left="250"/>
            </w:pPr>
            <w:r>
              <w:t>2</w:t>
            </w:r>
          </w:p>
        </w:tc>
        <w:tc>
          <w:tcPr>
            <w:tcW w:w="638" w:type="dxa"/>
            <w:vAlign w:val="top"/>
          </w:tcPr>
          <w:p>
            <w:pPr>
              <w:pStyle w:val="6"/>
              <w:spacing w:before="93" w:line="188" w:lineRule="auto"/>
              <w:ind w:left="271"/>
            </w:pPr>
            <w:r>
              <w:t>3</w:t>
            </w:r>
          </w:p>
        </w:tc>
        <w:tc>
          <w:tcPr>
            <w:tcW w:w="635" w:type="dxa"/>
            <w:vAlign w:val="top"/>
          </w:tcPr>
          <w:p>
            <w:pPr>
              <w:pStyle w:val="6"/>
              <w:spacing w:before="93" w:line="188" w:lineRule="auto"/>
              <w:ind w:left="265"/>
            </w:pPr>
            <w:r>
              <w:t>4</w:t>
            </w:r>
          </w:p>
        </w:tc>
        <w:tc>
          <w:tcPr>
            <w:tcW w:w="645" w:type="dxa"/>
            <w:vAlign w:val="top"/>
          </w:tcPr>
          <w:p>
            <w:pPr>
              <w:pStyle w:val="6"/>
              <w:spacing w:before="96" w:line="185" w:lineRule="auto"/>
              <w:ind w:left="277"/>
            </w:pPr>
            <w:r>
              <w:t>5</w:t>
            </w:r>
          </w:p>
        </w:tc>
        <w:tc>
          <w:tcPr>
            <w:tcW w:w="649" w:type="dxa"/>
            <w:vAlign w:val="top"/>
          </w:tcPr>
          <w:p>
            <w:pPr>
              <w:pStyle w:val="6"/>
              <w:spacing w:before="93" w:line="188" w:lineRule="auto"/>
              <w:ind w:left="279"/>
            </w:pPr>
            <w:r>
              <w:t>6</w:t>
            </w:r>
          </w:p>
        </w:tc>
        <w:tc>
          <w:tcPr>
            <w:tcW w:w="629" w:type="dxa"/>
            <w:vAlign w:val="top"/>
          </w:tcPr>
          <w:p>
            <w:pPr>
              <w:pStyle w:val="6"/>
              <w:spacing w:before="96" w:line="185" w:lineRule="auto"/>
              <w:ind w:left="267"/>
            </w:pPr>
            <w:r>
              <w:t>7</w:t>
            </w:r>
          </w:p>
        </w:tc>
        <w:tc>
          <w:tcPr>
            <w:tcW w:w="671" w:type="dxa"/>
            <w:vAlign w:val="top"/>
          </w:tcPr>
          <w:p>
            <w:pPr>
              <w:pStyle w:val="6"/>
              <w:spacing w:before="93" w:line="188" w:lineRule="auto"/>
              <w:ind w:left="293"/>
            </w:pPr>
            <w:r>
              <w:t>8</w:t>
            </w:r>
          </w:p>
        </w:tc>
        <w:tc>
          <w:tcPr>
            <w:tcW w:w="650" w:type="dxa"/>
            <w:vAlign w:val="top"/>
          </w:tcPr>
          <w:p>
            <w:pPr>
              <w:pStyle w:val="6"/>
              <w:spacing w:before="93" w:line="188" w:lineRule="auto"/>
              <w:ind w:left="278"/>
            </w:pPr>
            <w:r>
              <w:t>9</w:t>
            </w:r>
          </w:p>
        </w:tc>
        <w:tc>
          <w:tcPr>
            <w:tcW w:w="648" w:type="dxa"/>
            <w:vAlign w:val="top"/>
          </w:tcPr>
          <w:p>
            <w:pPr>
              <w:pStyle w:val="6"/>
              <w:spacing w:before="93" w:line="188" w:lineRule="auto"/>
              <w:ind w:left="241"/>
            </w:pPr>
            <w:r>
              <w:rPr>
                <w:spacing w:val="-6"/>
              </w:rPr>
              <w:t>10</w:t>
            </w:r>
          </w:p>
        </w:tc>
        <w:tc>
          <w:tcPr>
            <w:tcW w:w="608" w:type="dxa"/>
            <w:vAlign w:val="top"/>
          </w:tcPr>
          <w:p>
            <w:pPr>
              <w:pStyle w:val="6"/>
              <w:spacing w:before="93" w:line="188" w:lineRule="auto"/>
              <w:ind w:left="224"/>
            </w:pPr>
            <w:r>
              <w:rPr>
                <w:spacing w:val="-9"/>
              </w:rPr>
              <w:t>11</w:t>
            </w:r>
          </w:p>
        </w:tc>
        <w:tc>
          <w:tcPr>
            <w:tcW w:w="620" w:type="dxa"/>
            <w:tcBorders>
              <w:right w:val="nil"/>
            </w:tcBorders>
            <w:vAlign w:val="top"/>
          </w:tcPr>
          <w:p>
            <w:pPr>
              <w:pStyle w:val="6"/>
              <w:spacing w:before="93" w:line="188" w:lineRule="auto"/>
              <w:ind w:left="229"/>
            </w:pPr>
            <w:r>
              <w:rPr>
                <w:spacing w:val="-6"/>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 w:hRule="atLeast"/>
        </w:trPr>
        <w:tc>
          <w:tcPr>
            <w:tcW w:w="707" w:type="dxa"/>
            <w:tcBorders>
              <w:left w:val="nil"/>
            </w:tcBorders>
            <w:vAlign w:val="top"/>
          </w:tcPr>
          <w:p>
            <w:pPr>
              <w:spacing w:before="53" w:line="220" w:lineRule="auto"/>
              <w:ind w:left="169"/>
              <w:rPr>
                <w:rFonts w:ascii="仿宋" w:hAnsi="仿宋" w:eastAsia="仿宋" w:cs="仿宋"/>
                <w:sz w:val="21"/>
                <w:szCs w:val="21"/>
              </w:rPr>
            </w:pPr>
            <w:r>
              <w:rPr>
                <w:rFonts w:ascii="仿宋" w:hAnsi="仿宋" w:eastAsia="仿宋" w:cs="仿宋"/>
                <w:spacing w:val="-6"/>
                <w:sz w:val="21"/>
                <w:szCs w:val="21"/>
              </w:rPr>
              <w:t>气温</w:t>
            </w:r>
          </w:p>
        </w:tc>
        <w:tc>
          <w:tcPr>
            <w:tcW w:w="616" w:type="dxa"/>
            <w:vAlign w:val="top"/>
          </w:tcPr>
          <w:p>
            <w:pPr>
              <w:pStyle w:val="6"/>
              <w:spacing w:before="90" w:line="188" w:lineRule="auto"/>
              <w:ind w:left="186"/>
            </w:pPr>
            <w:r>
              <w:rPr>
                <w:spacing w:val="-5"/>
              </w:rPr>
              <w:t>8.2</w:t>
            </w:r>
          </w:p>
        </w:tc>
        <w:tc>
          <w:tcPr>
            <w:tcW w:w="605" w:type="dxa"/>
            <w:vAlign w:val="top"/>
          </w:tcPr>
          <w:p>
            <w:pPr>
              <w:pStyle w:val="6"/>
              <w:spacing w:before="90" w:line="188" w:lineRule="auto"/>
              <w:ind w:left="140"/>
            </w:pPr>
            <w:r>
              <w:rPr>
                <w:spacing w:val="-6"/>
              </w:rPr>
              <w:t>10.5</w:t>
            </w:r>
          </w:p>
        </w:tc>
        <w:tc>
          <w:tcPr>
            <w:tcW w:w="638" w:type="dxa"/>
            <w:vAlign w:val="top"/>
          </w:tcPr>
          <w:p>
            <w:pPr>
              <w:pStyle w:val="6"/>
              <w:spacing w:before="90" w:line="188" w:lineRule="auto"/>
              <w:ind w:left="155"/>
            </w:pPr>
            <w:r>
              <w:rPr>
                <w:spacing w:val="-6"/>
              </w:rPr>
              <w:t>13.9</w:t>
            </w:r>
          </w:p>
        </w:tc>
        <w:tc>
          <w:tcPr>
            <w:tcW w:w="635" w:type="dxa"/>
            <w:vAlign w:val="top"/>
          </w:tcPr>
          <w:p>
            <w:pPr>
              <w:pStyle w:val="6"/>
              <w:spacing w:before="90" w:line="188" w:lineRule="auto"/>
              <w:ind w:left="154"/>
            </w:pPr>
            <w:r>
              <w:rPr>
                <w:spacing w:val="-6"/>
              </w:rPr>
              <w:t>16.8</w:t>
            </w:r>
          </w:p>
        </w:tc>
        <w:tc>
          <w:tcPr>
            <w:tcW w:w="645" w:type="dxa"/>
            <w:vAlign w:val="top"/>
          </w:tcPr>
          <w:p>
            <w:pPr>
              <w:pStyle w:val="6"/>
              <w:spacing w:before="90" w:line="188" w:lineRule="auto"/>
              <w:ind w:left="159"/>
            </w:pPr>
            <w:r>
              <w:rPr>
                <w:spacing w:val="-6"/>
              </w:rPr>
              <w:t>19.3</w:t>
            </w:r>
          </w:p>
        </w:tc>
        <w:tc>
          <w:tcPr>
            <w:tcW w:w="649" w:type="dxa"/>
            <w:vAlign w:val="top"/>
          </w:tcPr>
          <w:p>
            <w:pPr>
              <w:pStyle w:val="6"/>
              <w:spacing w:before="90" w:line="188" w:lineRule="auto"/>
              <w:ind w:left="142"/>
            </w:pPr>
            <w:r>
              <w:rPr>
                <w:spacing w:val="-1"/>
              </w:rPr>
              <w:t>20.2</w:t>
            </w:r>
          </w:p>
        </w:tc>
        <w:tc>
          <w:tcPr>
            <w:tcW w:w="629" w:type="dxa"/>
            <w:vAlign w:val="top"/>
          </w:tcPr>
          <w:p>
            <w:pPr>
              <w:pStyle w:val="6"/>
              <w:spacing w:before="90" w:line="188" w:lineRule="auto"/>
              <w:ind w:left="152"/>
            </w:pPr>
            <w:r>
              <w:rPr>
                <w:spacing w:val="-6"/>
              </w:rPr>
              <w:t>19.7</w:t>
            </w:r>
          </w:p>
        </w:tc>
        <w:tc>
          <w:tcPr>
            <w:tcW w:w="671" w:type="dxa"/>
            <w:vAlign w:val="top"/>
          </w:tcPr>
          <w:p>
            <w:pPr>
              <w:pStyle w:val="6"/>
              <w:spacing w:before="90" w:line="188" w:lineRule="auto"/>
              <w:ind w:left="252"/>
            </w:pPr>
            <w:r>
              <w:rPr>
                <w:spacing w:val="-6"/>
              </w:rPr>
              <w:t>19</w:t>
            </w:r>
          </w:p>
        </w:tc>
        <w:tc>
          <w:tcPr>
            <w:tcW w:w="650" w:type="dxa"/>
            <w:vAlign w:val="top"/>
          </w:tcPr>
          <w:p>
            <w:pPr>
              <w:pStyle w:val="6"/>
              <w:spacing w:before="90" w:line="188" w:lineRule="auto"/>
              <w:ind w:left="162"/>
            </w:pPr>
            <w:r>
              <w:rPr>
                <w:spacing w:val="-6"/>
              </w:rPr>
              <w:t>17.5</w:t>
            </w:r>
          </w:p>
        </w:tc>
        <w:tc>
          <w:tcPr>
            <w:tcW w:w="648" w:type="dxa"/>
            <w:vAlign w:val="top"/>
          </w:tcPr>
          <w:p>
            <w:pPr>
              <w:pStyle w:val="6"/>
              <w:spacing w:before="90" w:line="188" w:lineRule="auto"/>
              <w:ind w:left="163"/>
            </w:pPr>
            <w:r>
              <w:rPr>
                <w:spacing w:val="-6"/>
              </w:rPr>
              <w:t>15.1</w:t>
            </w:r>
          </w:p>
        </w:tc>
        <w:tc>
          <w:tcPr>
            <w:tcW w:w="608" w:type="dxa"/>
            <w:vAlign w:val="top"/>
          </w:tcPr>
          <w:p>
            <w:pPr>
              <w:pStyle w:val="6"/>
              <w:spacing w:before="90" w:line="188" w:lineRule="auto"/>
              <w:ind w:left="141"/>
            </w:pPr>
            <w:r>
              <w:rPr>
                <w:spacing w:val="-6"/>
              </w:rPr>
              <w:t>10.9</w:t>
            </w:r>
          </w:p>
        </w:tc>
        <w:tc>
          <w:tcPr>
            <w:tcW w:w="620" w:type="dxa"/>
            <w:tcBorders>
              <w:right w:val="nil"/>
            </w:tcBorders>
            <w:vAlign w:val="top"/>
          </w:tcPr>
          <w:p>
            <w:pPr>
              <w:pStyle w:val="6"/>
              <w:spacing w:before="90" w:line="188" w:lineRule="auto"/>
              <w:ind w:left="186"/>
            </w:pPr>
            <w:r>
              <w:rPr>
                <w:spacing w:val="-3"/>
              </w:rPr>
              <w:t>7.8</w:t>
            </w:r>
          </w:p>
        </w:tc>
      </w:tr>
    </w:tbl>
    <w:p>
      <w:pPr>
        <w:spacing w:before="37" w:line="217" w:lineRule="auto"/>
        <w:ind w:left="517"/>
        <w:rPr>
          <w:rFonts w:ascii="宋体" w:hAnsi="宋体" w:eastAsia="宋体" w:cs="宋体"/>
          <w:sz w:val="24"/>
          <w:szCs w:val="24"/>
        </w:rPr>
      </w:pPr>
      <w:r>
        <w:rPr>
          <w:rFonts w:ascii="宋体" w:hAnsi="宋体" w:eastAsia="宋体" w:cs="宋体"/>
          <w:spacing w:val="-2"/>
          <w:sz w:val="24"/>
          <w:szCs w:val="24"/>
        </w:rPr>
        <w:t>②库表水温</w:t>
      </w:r>
    </w:p>
    <w:p>
      <w:pPr>
        <w:spacing w:before="185" w:line="359" w:lineRule="auto"/>
        <w:ind w:left="40" w:right="86" w:firstLine="490"/>
        <w:rPr>
          <w:rFonts w:ascii="宋体" w:hAnsi="宋体" w:eastAsia="宋体" w:cs="宋体"/>
          <w:sz w:val="24"/>
          <w:szCs w:val="24"/>
        </w:rPr>
      </w:pPr>
      <w:r>
        <w:rPr>
          <w:rFonts w:ascii="宋体" w:hAnsi="宋体" w:eastAsia="宋体" w:cs="宋体"/>
          <w:spacing w:val="-4"/>
          <w:sz w:val="24"/>
          <w:szCs w:val="24"/>
        </w:rPr>
        <w:t>多年平均水库表面水温与多年平均气温之间具有良好的相关关系。桂花水库</w:t>
      </w:r>
      <w:r>
        <w:rPr>
          <w:rFonts w:ascii="宋体" w:hAnsi="宋体" w:eastAsia="宋体" w:cs="宋体"/>
          <w:spacing w:val="17"/>
          <w:sz w:val="24"/>
          <w:szCs w:val="24"/>
        </w:rPr>
        <w:t xml:space="preserve"> </w:t>
      </w:r>
      <w:r>
        <w:rPr>
          <w:rFonts w:ascii="宋体" w:hAnsi="宋体" w:eastAsia="宋体" w:cs="宋体"/>
          <w:spacing w:val="-8"/>
          <w:sz w:val="24"/>
          <w:szCs w:val="24"/>
        </w:rPr>
        <w:t>库表水温采用气温—水温相关法进行估算， 并采用朱伯芳公式进行修正，</w:t>
      </w:r>
      <w:r>
        <w:rPr>
          <w:rFonts w:ascii="宋体" w:hAnsi="宋体" w:eastAsia="宋体" w:cs="宋体"/>
          <w:spacing w:val="-57"/>
          <w:sz w:val="24"/>
          <w:szCs w:val="24"/>
        </w:rPr>
        <w:t xml:space="preserve"> </w:t>
      </w:r>
      <w:r>
        <w:rPr>
          <w:rFonts w:ascii="宋体" w:hAnsi="宋体" w:eastAsia="宋体" w:cs="宋体"/>
          <w:spacing w:val="-8"/>
          <w:sz w:val="24"/>
          <w:szCs w:val="24"/>
        </w:rPr>
        <w:t>库表水</w:t>
      </w:r>
    </w:p>
    <w:p>
      <w:pPr>
        <w:spacing w:line="219" w:lineRule="auto"/>
        <w:ind w:left="41"/>
        <w:rPr>
          <w:rFonts w:ascii="宋体" w:hAnsi="宋体" w:eastAsia="宋体" w:cs="宋体"/>
          <w:sz w:val="24"/>
          <w:szCs w:val="24"/>
        </w:rPr>
      </w:pPr>
      <w:r>
        <w:rPr>
          <w:rFonts w:ascii="宋体" w:hAnsi="宋体" w:eastAsia="宋体" w:cs="宋体"/>
          <w:spacing w:val="-9"/>
          <w:sz w:val="24"/>
          <w:szCs w:val="24"/>
        </w:rPr>
        <w:t>温按下式计算：</w:t>
      </w:r>
    </w:p>
    <w:p>
      <w:pPr>
        <w:spacing w:line="219" w:lineRule="auto"/>
        <w:rPr>
          <w:rFonts w:ascii="宋体" w:hAnsi="宋体" w:eastAsia="宋体" w:cs="宋体"/>
          <w:sz w:val="24"/>
          <w:szCs w:val="24"/>
        </w:rPr>
        <w:sectPr>
          <w:headerReference r:id="rId362" w:type="default"/>
          <w:footerReference r:id="rId363" w:type="default"/>
          <w:pgSz w:w="11907" w:h="16839"/>
          <w:pgMar w:top="1156" w:right="1712" w:bottom="1374" w:left="1770" w:header="881" w:footer="1210" w:gutter="0"/>
        </w:sectPr>
      </w:pPr>
    </w:p>
    <w:p>
      <w:pPr>
        <w:spacing w:line="355" w:lineRule="auto"/>
        <w:rPr>
          <w:rFonts w:ascii="Arial"/>
          <w:sz w:val="21"/>
        </w:rPr>
      </w:pPr>
    </w:p>
    <w:p>
      <w:pPr>
        <w:spacing w:before="70" w:line="353" w:lineRule="exact"/>
        <w:ind w:left="3551"/>
        <w:rPr>
          <w:rFonts w:ascii="Times New Roman" w:hAnsi="Times New Roman" w:eastAsia="Times New Roman" w:cs="Times New Roman"/>
          <w:sz w:val="24"/>
          <w:szCs w:val="24"/>
        </w:rPr>
      </w:pPr>
      <w:r>
        <w:rPr>
          <w:rFonts w:ascii="Times New Roman" w:hAnsi="Times New Roman" w:eastAsia="Times New Roman" w:cs="Times New Roman"/>
          <w:spacing w:val="-6"/>
          <w:position w:val="3"/>
          <w:sz w:val="21"/>
          <w:szCs w:val="21"/>
        </w:rPr>
        <w:t>T</w:t>
      </w:r>
      <w:r>
        <w:rPr>
          <w:rFonts w:ascii="Times New Roman" w:hAnsi="Times New Roman" w:eastAsia="Times New Roman" w:cs="Times New Roman"/>
          <w:spacing w:val="43"/>
          <w:w w:val="101"/>
          <w:position w:val="3"/>
          <w:sz w:val="21"/>
          <w:szCs w:val="21"/>
        </w:rPr>
        <w:t xml:space="preserve"> </w:t>
      </w:r>
      <w:r>
        <w:rPr>
          <w:rFonts w:ascii="宋体" w:hAnsi="宋体" w:eastAsia="宋体" w:cs="宋体"/>
          <w:spacing w:val="-6"/>
          <w:position w:val="3"/>
          <w:sz w:val="11"/>
          <w:szCs w:val="11"/>
        </w:rPr>
        <w:t>表</w:t>
      </w:r>
      <w:r>
        <w:rPr>
          <w:rFonts w:ascii="Times New Roman" w:hAnsi="Times New Roman" w:eastAsia="Times New Roman" w:cs="Times New Roman"/>
          <w:spacing w:val="-6"/>
          <w:position w:val="3"/>
          <w:sz w:val="21"/>
          <w:szCs w:val="21"/>
        </w:rPr>
        <w:t>=T</w:t>
      </w:r>
      <w:r>
        <w:rPr>
          <w:rFonts w:ascii="Times New Roman" w:hAnsi="Times New Roman" w:eastAsia="Times New Roman" w:cs="Times New Roman"/>
          <w:spacing w:val="33"/>
          <w:position w:val="3"/>
          <w:sz w:val="21"/>
          <w:szCs w:val="21"/>
        </w:rPr>
        <w:t xml:space="preserve"> </w:t>
      </w:r>
      <w:r>
        <w:rPr>
          <w:rFonts w:ascii="宋体" w:hAnsi="宋体" w:eastAsia="宋体" w:cs="宋体"/>
          <w:spacing w:val="-6"/>
          <w:position w:val="3"/>
          <w:sz w:val="11"/>
          <w:szCs w:val="11"/>
        </w:rPr>
        <w:t>气修</w:t>
      </w:r>
      <w:r>
        <w:rPr>
          <w:rFonts w:ascii="Times New Roman" w:hAnsi="Times New Roman" w:eastAsia="Times New Roman" w:cs="Times New Roman"/>
          <w:spacing w:val="-6"/>
          <w:position w:val="3"/>
          <w:sz w:val="21"/>
          <w:szCs w:val="21"/>
        </w:rPr>
        <w:t>+</w:t>
      </w:r>
      <w:r>
        <w:rPr>
          <w:rFonts w:ascii="Cambria Math" w:hAnsi="Cambria Math" w:eastAsia="Cambria Math" w:cs="Cambria Math"/>
          <w:spacing w:val="-6"/>
          <w:position w:val="3"/>
          <w:sz w:val="24"/>
          <w:szCs w:val="24"/>
        </w:rPr>
        <w:t>△</w:t>
      </w:r>
      <w:r>
        <w:rPr>
          <w:rFonts w:ascii="Times New Roman" w:hAnsi="Times New Roman" w:eastAsia="Times New Roman" w:cs="Times New Roman"/>
          <w:spacing w:val="-6"/>
          <w:position w:val="3"/>
          <w:sz w:val="24"/>
          <w:szCs w:val="24"/>
        </w:rPr>
        <w:t>b</w:t>
      </w:r>
    </w:p>
    <w:p>
      <w:pPr>
        <w:spacing w:before="313"/>
        <w:ind w:left="3411"/>
        <w:rPr>
          <w:rFonts w:ascii="宋体" w:hAnsi="宋体" w:eastAsia="宋体" w:cs="宋体"/>
          <w:sz w:val="14"/>
          <w:szCs w:val="14"/>
        </w:rPr>
      </w:pPr>
      <w:r>
        <w:rPr>
          <w:rFonts w:ascii="宋体" w:hAnsi="宋体" w:eastAsia="宋体" w:cs="宋体"/>
          <w:i/>
          <w:iCs/>
          <w:spacing w:val="2"/>
          <w:position w:val="2"/>
          <w:sz w:val="24"/>
          <w:szCs w:val="24"/>
        </w:rPr>
        <w:t>T</w:t>
      </w:r>
      <w:r>
        <w:rPr>
          <w:rFonts w:ascii="宋体" w:hAnsi="宋体" w:eastAsia="宋体" w:cs="宋体"/>
          <w:i/>
          <w:iCs/>
          <w:spacing w:val="2"/>
          <w:position w:val="-3"/>
          <w:sz w:val="14"/>
          <w:szCs w:val="14"/>
        </w:rPr>
        <w:t>气修</w:t>
      </w:r>
      <w:r>
        <w:rPr>
          <w:rFonts w:ascii="宋体" w:hAnsi="宋体" w:eastAsia="宋体" w:cs="宋体"/>
          <w:spacing w:val="-7"/>
          <w:position w:val="-3"/>
          <w:sz w:val="14"/>
          <w:szCs w:val="14"/>
        </w:rPr>
        <w:t xml:space="preserve"> </w:t>
      </w:r>
      <w:r>
        <w:rPr>
          <w:rFonts w:ascii="微软雅黑" w:hAnsi="微软雅黑" w:eastAsia="微软雅黑" w:cs="微软雅黑"/>
          <w:spacing w:val="-10"/>
          <w:position w:val="2"/>
          <w:sz w:val="24"/>
          <w:szCs w:val="24"/>
        </w:rPr>
        <w:t>=</w:t>
      </w:r>
      <w:r>
        <w:rPr>
          <w:rFonts w:ascii="微软雅黑" w:hAnsi="微软雅黑" w:eastAsia="微软雅黑" w:cs="微软雅黑"/>
          <w:spacing w:val="-13"/>
          <w:position w:val="2"/>
          <w:sz w:val="24"/>
          <w:szCs w:val="24"/>
        </w:rPr>
        <w:t xml:space="preserve"> </w:t>
      </w:r>
      <w:r>
        <w:rPr>
          <w:rFonts w:ascii="宋体" w:hAnsi="宋体" w:eastAsia="宋体" w:cs="宋体"/>
          <w:spacing w:val="-10"/>
          <w:position w:val="2"/>
          <w:sz w:val="24"/>
          <w:szCs w:val="24"/>
        </w:rPr>
        <w:t>1</w:t>
      </w:r>
      <w:r>
        <w:rPr>
          <w:rFonts w:ascii="宋体" w:hAnsi="宋体" w:eastAsia="宋体" w:cs="宋体"/>
          <w:i/>
          <w:iCs/>
          <w:spacing w:val="-10"/>
          <w:position w:val="2"/>
          <w:sz w:val="24"/>
          <w:szCs w:val="24"/>
        </w:rPr>
        <w:t>/</w:t>
      </w:r>
      <w:r>
        <w:rPr>
          <w:rFonts w:ascii="宋体" w:hAnsi="宋体" w:eastAsia="宋体" w:cs="宋体"/>
          <w:spacing w:val="-10"/>
          <w:position w:val="2"/>
          <w:sz w:val="24"/>
          <w:szCs w:val="24"/>
        </w:rPr>
        <w:t>12</w:t>
      </w:r>
      <w:r>
        <w:rPr>
          <w:position w:val="-23"/>
          <w:sz w:val="24"/>
          <w:szCs w:val="24"/>
        </w:rPr>
        <w:drawing>
          <wp:inline distT="0" distB="0" distL="0" distR="0">
            <wp:extent cx="163195" cy="38227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01"/>
                    <a:stretch>
                      <a:fillRect/>
                    </a:stretch>
                  </pic:blipFill>
                  <pic:spPr>
                    <a:xfrm>
                      <a:off x="0" y="0"/>
                      <a:ext cx="163251" cy="382436"/>
                    </a:xfrm>
                    <a:prstGeom prst="rect">
                      <a:avLst/>
                    </a:prstGeom>
                  </pic:spPr>
                </pic:pic>
              </a:graphicData>
            </a:graphic>
          </wp:inline>
        </w:drawing>
      </w:r>
      <w:r>
        <w:rPr>
          <w:rFonts w:ascii="宋体" w:hAnsi="宋体" w:eastAsia="宋体" w:cs="宋体"/>
          <w:i/>
          <w:iCs/>
          <w:spacing w:val="-10"/>
          <w:position w:val="2"/>
          <w:sz w:val="24"/>
          <w:szCs w:val="24"/>
        </w:rPr>
        <w:t>T</w:t>
      </w:r>
      <w:r>
        <w:rPr>
          <w:rFonts w:ascii="宋体" w:hAnsi="宋体" w:eastAsia="宋体" w:cs="宋体"/>
          <w:i/>
          <w:iCs/>
          <w:spacing w:val="4"/>
          <w:position w:val="-3"/>
          <w:sz w:val="14"/>
          <w:szCs w:val="14"/>
        </w:rPr>
        <w:t>i</w:t>
      </w:r>
    </w:p>
    <w:p>
      <w:pPr>
        <w:spacing w:before="183" w:line="220" w:lineRule="auto"/>
        <w:ind w:left="524"/>
        <w:rPr>
          <w:rFonts w:ascii="宋体" w:hAnsi="宋体" w:eastAsia="宋体" w:cs="宋体"/>
          <w:sz w:val="24"/>
          <w:szCs w:val="24"/>
        </w:rPr>
      </w:pPr>
      <w:r>
        <w:rPr>
          <w:rFonts w:ascii="宋体" w:hAnsi="宋体" w:eastAsia="宋体" w:cs="宋体"/>
          <w:spacing w:val="-2"/>
          <w:sz w:val="24"/>
          <w:szCs w:val="24"/>
        </w:rPr>
        <w:t xml:space="preserve">式中， </w:t>
      </w:r>
      <w:r>
        <w:rPr>
          <w:rFonts w:ascii="Times New Roman" w:hAnsi="Times New Roman" w:eastAsia="Times New Roman" w:cs="Times New Roman"/>
          <w:spacing w:val="-2"/>
          <w:sz w:val="24"/>
          <w:szCs w:val="24"/>
        </w:rPr>
        <w:t xml:space="preserve">T  </w:t>
      </w:r>
      <w:r>
        <w:rPr>
          <w:rFonts w:ascii="宋体" w:hAnsi="宋体" w:eastAsia="宋体" w:cs="宋体"/>
          <w:spacing w:val="-2"/>
          <w:sz w:val="24"/>
          <w:szCs w:val="24"/>
        </w:rPr>
        <w:t>表——库表面水温(℃);</w:t>
      </w:r>
    </w:p>
    <w:p>
      <w:pPr>
        <w:spacing w:before="180" w:line="220" w:lineRule="auto"/>
        <w:ind w:left="1237"/>
        <w:rPr>
          <w:rFonts w:ascii="宋体" w:hAnsi="宋体" w:eastAsia="宋体" w:cs="宋体"/>
          <w:sz w:val="24"/>
          <w:szCs w:val="24"/>
        </w:rPr>
      </w:pPr>
      <w:r>
        <w:rPr>
          <w:rFonts w:ascii="Times New Roman" w:hAnsi="Times New Roman" w:eastAsia="Times New Roman" w:cs="Times New Roman"/>
          <w:spacing w:val="5"/>
          <w:sz w:val="24"/>
          <w:szCs w:val="24"/>
        </w:rPr>
        <w:t xml:space="preserve">T  </w:t>
      </w:r>
      <w:r>
        <w:rPr>
          <w:rFonts w:ascii="宋体" w:hAnsi="宋体" w:eastAsia="宋体" w:cs="宋体"/>
          <w:spacing w:val="5"/>
          <w:sz w:val="24"/>
          <w:szCs w:val="24"/>
        </w:rPr>
        <w:t>汽修——修正平均气温(℃);</w:t>
      </w:r>
    </w:p>
    <w:p>
      <w:pPr>
        <w:spacing w:before="181" w:line="234" w:lineRule="auto"/>
        <w:ind w:left="1246"/>
        <w:rPr>
          <w:rFonts w:ascii="宋体" w:hAnsi="宋体" w:eastAsia="宋体" w:cs="宋体"/>
          <w:sz w:val="24"/>
          <w:szCs w:val="24"/>
        </w:rPr>
      </w:pPr>
      <w:r>
        <w:rPr>
          <w:rFonts w:ascii="宋体" w:hAnsi="宋体" w:eastAsia="宋体" w:cs="宋体"/>
          <w:spacing w:val="-9"/>
          <w:sz w:val="24"/>
          <w:szCs w:val="24"/>
        </w:rPr>
        <w:t>△</w:t>
      </w:r>
      <w:r>
        <w:rPr>
          <w:rFonts w:ascii="Times New Roman" w:hAnsi="Times New Roman" w:eastAsia="Times New Roman" w:cs="Times New Roman"/>
          <w:spacing w:val="-9"/>
          <w:sz w:val="24"/>
          <w:szCs w:val="24"/>
        </w:rPr>
        <w:t>b</w:t>
      </w:r>
      <w:r>
        <w:rPr>
          <w:rFonts w:ascii="宋体" w:hAnsi="宋体" w:eastAsia="宋体" w:cs="宋体"/>
          <w:spacing w:val="-9"/>
          <w:sz w:val="24"/>
          <w:szCs w:val="24"/>
        </w:rPr>
        <w:t>——温度增量，</w:t>
      </w:r>
      <w:r>
        <w:rPr>
          <w:rFonts w:ascii="宋体" w:hAnsi="宋体" w:eastAsia="宋体" w:cs="宋体"/>
          <w:spacing w:val="38"/>
          <w:sz w:val="24"/>
          <w:szCs w:val="24"/>
        </w:rPr>
        <w:t xml:space="preserve"> </w:t>
      </w:r>
      <w:r>
        <w:rPr>
          <w:rFonts w:ascii="宋体" w:hAnsi="宋体" w:eastAsia="宋体" w:cs="宋体"/>
          <w:spacing w:val="-9"/>
          <w:sz w:val="24"/>
          <w:szCs w:val="24"/>
        </w:rPr>
        <w:t>一般情况下取</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2-4</w:t>
      </w:r>
      <w:r>
        <w:rPr>
          <w:rFonts w:ascii="宋体" w:hAnsi="宋体" w:eastAsia="宋体" w:cs="宋体"/>
          <w:spacing w:val="-9"/>
          <w:sz w:val="24"/>
          <w:szCs w:val="24"/>
        </w:rPr>
        <w:t>℃;</w:t>
      </w:r>
    </w:p>
    <w:p>
      <w:pPr>
        <w:spacing w:before="162" w:line="467" w:lineRule="exact"/>
        <w:ind w:left="1237"/>
        <w:rPr>
          <w:rFonts w:ascii="宋体" w:hAnsi="宋体" w:eastAsia="宋体" w:cs="宋体"/>
          <w:sz w:val="24"/>
          <w:szCs w:val="24"/>
        </w:rPr>
      </w:pPr>
      <w:r>
        <w:rPr>
          <w:rFonts w:ascii="Times New Roman" w:hAnsi="Times New Roman" w:eastAsia="Times New Roman" w:cs="Times New Roman"/>
          <w:spacing w:val="-5"/>
          <w:position w:val="16"/>
          <w:sz w:val="24"/>
          <w:szCs w:val="24"/>
        </w:rPr>
        <w:t>Ti</w:t>
      </w:r>
      <w:r>
        <w:rPr>
          <w:rFonts w:ascii="宋体" w:hAnsi="宋体" w:eastAsia="宋体" w:cs="宋体"/>
          <w:spacing w:val="-5"/>
          <w:position w:val="16"/>
          <w:sz w:val="24"/>
          <w:szCs w:val="24"/>
        </w:rPr>
        <w:t>——第</w:t>
      </w:r>
      <w:r>
        <w:rPr>
          <w:rFonts w:ascii="宋体" w:hAnsi="宋体" w:eastAsia="宋体" w:cs="宋体"/>
          <w:spacing w:val="-53"/>
          <w:position w:val="16"/>
          <w:sz w:val="24"/>
          <w:szCs w:val="24"/>
        </w:rPr>
        <w:t xml:space="preserve"> </w:t>
      </w:r>
      <w:r>
        <w:rPr>
          <w:rFonts w:ascii="Times New Roman" w:hAnsi="Times New Roman" w:eastAsia="Times New Roman" w:cs="Times New Roman"/>
          <w:spacing w:val="-5"/>
          <w:position w:val="16"/>
          <w:sz w:val="24"/>
          <w:szCs w:val="24"/>
        </w:rPr>
        <w:t xml:space="preserve">i  </w:t>
      </w:r>
      <w:r>
        <w:rPr>
          <w:rFonts w:ascii="宋体" w:hAnsi="宋体" w:eastAsia="宋体" w:cs="宋体"/>
          <w:spacing w:val="-5"/>
          <w:position w:val="16"/>
          <w:sz w:val="24"/>
          <w:szCs w:val="24"/>
        </w:rPr>
        <w:t>月的平均气温，当月平均气温小于</w:t>
      </w:r>
      <w:r>
        <w:rPr>
          <w:rFonts w:ascii="宋体" w:hAnsi="宋体" w:eastAsia="宋体" w:cs="宋体"/>
          <w:spacing w:val="-51"/>
          <w:position w:val="16"/>
          <w:sz w:val="24"/>
          <w:szCs w:val="24"/>
        </w:rPr>
        <w:t xml:space="preserve"> </w:t>
      </w:r>
      <w:r>
        <w:rPr>
          <w:rFonts w:ascii="Times New Roman" w:hAnsi="Times New Roman" w:eastAsia="Times New Roman" w:cs="Times New Roman"/>
          <w:spacing w:val="-5"/>
          <w:position w:val="16"/>
          <w:sz w:val="24"/>
          <w:szCs w:val="24"/>
        </w:rPr>
        <w:t>0</w:t>
      </w:r>
      <w:r>
        <w:rPr>
          <w:rFonts w:ascii="宋体" w:hAnsi="宋体" w:eastAsia="宋体" w:cs="宋体"/>
          <w:spacing w:val="-5"/>
          <w:position w:val="16"/>
          <w:sz w:val="24"/>
          <w:szCs w:val="24"/>
        </w:rPr>
        <w:t xml:space="preserve">℃时， </w:t>
      </w:r>
      <w:r>
        <w:rPr>
          <w:rFonts w:ascii="Times New Roman" w:hAnsi="Times New Roman" w:eastAsia="Times New Roman" w:cs="Times New Roman"/>
          <w:spacing w:val="-5"/>
          <w:position w:val="16"/>
          <w:sz w:val="24"/>
          <w:szCs w:val="24"/>
        </w:rPr>
        <w:t>Ti</w:t>
      </w:r>
      <w:r>
        <w:rPr>
          <w:rFonts w:ascii="Times New Roman" w:hAnsi="Times New Roman" w:eastAsia="Times New Roman" w:cs="Times New Roman"/>
          <w:spacing w:val="-6"/>
          <w:position w:val="16"/>
          <w:sz w:val="24"/>
          <w:szCs w:val="24"/>
        </w:rPr>
        <w:t xml:space="preserve">  </w:t>
      </w:r>
      <w:r>
        <w:rPr>
          <w:rFonts w:ascii="宋体" w:hAnsi="宋体" w:eastAsia="宋体" w:cs="宋体"/>
          <w:spacing w:val="-6"/>
          <w:position w:val="16"/>
          <w:sz w:val="24"/>
          <w:szCs w:val="24"/>
        </w:rPr>
        <w:t>取</w:t>
      </w:r>
      <w:r>
        <w:rPr>
          <w:rFonts w:ascii="宋体" w:hAnsi="宋体" w:eastAsia="宋体" w:cs="宋体"/>
          <w:spacing w:val="-52"/>
          <w:position w:val="16"/>
          <w:sz w:val="24"/>
          <w:szCs w:val="24"/>
        </w:rPr>
        <w:t xml:space="preserve"> </w:t>
      </w:r>
      <w:r>
        <w:rPr>
          <w:rFonts w:ascii="Times New Roman" w:hAnsi="Times New Roman" w:eastAsia="Times New Roman" w:cs="Times New Roman"/>
          <w:spacing w:val="-6"/>
          <w:position w:val="16"/>
          <w:sz w:val="24"/>
          <w:szCs w:val="24"/>
        </w:rPr>
        <w:t>0</w:t>
      </w:r>
      <w:r>
        <w:rPr>
          <w:rFonts w:ascii="宋体" w:hAnsi="宋体" w:eastAsia="宋体" w:cs="宋体"/>
          <w:spacing w:val="-6"/>
          <w:position w:val="16"/>
          <w:sz w:val="24"/>
          <w:szCs w:val="24"/>
        </w:rPr>
        <w:t>℃。</w:t>
      </w:r>
    </w:p>
    <w:p>
      <w:pPr>
        <w:spacing w:before="1" w:line="218" w:lineRule="auto"/>
        <w:ind w:left="519"/>
        <w:rPr>
          <w:rFonts w:ascii="宋体" w:hAnsi="宋体" w:eastAsia="宋体" w:cs="宋体"/>
          <w:sz w:val="24"/>
          <w:szCs w:val="24"/>
        </w:rPr>
      </w:pPr>
      <w:r>
        <w:rPr>
          <w:rFonts w:ascii="宋体" w:hAnsi="宋体" w:eastAsia="宋体" w:cs="宋体"/>
          <w:spacing w:val="-6"/>
          <w:sz w:val="24"/>
          <w:szCs w:val="24"/>
        </w:rPr>
        <w:t>根据朱伯芳公式分析计算，</w:t>
      </w:r>
      <w:r>
        <w:rPr>
          <w:rFonts w:ascii="宋体" w:hAnsi="宋体" w:eastAsia="宋体" w:cs="宋体"/>
          <w:spacing w:val="63"/>
          <w:sz w:val="24"/>
          <w:szCs w:val="24"/>
        </w:rPr>
        <w:t xml:space="preserve"> </w:t>
      </w:r>
      <w:r>
        <w:rPr>
          <w:rFonts w:ascii="宋体" w:hAnsi="宋体" w:eastAsia="宋体" w:cs="宋体"/>
          <w:spacing w:val="-6"/>
          <w:sz w:val="24"/>
          <w:szCs w:val="24"/>
        </w:rPr>
        <w:t>桂花水库库表逐月水温值详见表</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4</w:t>
      </w:r>
      <w:r>
        <w:rPr>
          <w:rFonts w:ascii="Times New Roman" w:hAnsi="Times New Roman" w:eastAsia="Times New Roman" w:cs="Times New Roman"/>
          <w:spacing w:val="-7"/>
          <w:sz w:val="24"/>
          <w:szCs w:val="24"/>
        </w:rPr>
        <w:t>.2-8</w:t>
      </w:r>
      <w:r>
        <w:rPr>
          <w:rFonts w:ascii="宋体" w:hAnsi="宋体" w:eastAsia="宋体" w:cs="宋体"/>
          <w:spacing w:val="-7"/>
          <w:sz w:val="24"/>
          <w:szCs w:val="24"/>
        </w:rPr>
        <w:t>。</w:t>
      </w:r>
    </w:p>
    <w:p>
      <w:pPr>
        <w:spacing w:before="276" w:line="233" w:lineRule="auto"/>
        <w:ind w:left="2115"/>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2"/>
          <w:sz w:val="21"/>
          <w:szCs w:val="21"/>
        </w:rPr>
        <w:t xml:space="preserve"> </w:t>
      </w:r>
      <w:r>
        <w:rPr>
          <w:rFonts w:ascii="Times New Roman" w:hAnsi="Times New Roman" w:eastAsia="Times New Roman" w:cs="Times New Roman"/>
          <w:b/>
          <w:bCs/>
          <w:spacing w:val="1"/>
          <w:sz w:val="21"/>
          <w:szCs w:val="21"/>
        </w:rPr>
        <w:t xml:space="preserve">4.2-8    </w:t>
      </w:r>
      <w:r>
        <w:rPr>
          <w:rFonts w:ascii="宋体" w:hAnsi="宋体" w:eastAsia="宋体" w:cs="宋体"/>
          <w:spacing w:val="1"/>
          <w:sz w:val="21"/>
          <w:szCs w:val="21"/>
          <w14:textOutline w14:w="3810" w14:cap="flat" w14:cmpd="sng">
            <w14:solidFill>
              <w14:srgbClr w14:val="000000"/>
            </w14:solidFill>
            <w14:prstDash w14:val="solid"/>
            <w14:miter w14:val="0"/>
          </w14:textOutline>
        </w:rPr>
        <w:t>水库库表逐月水温表</w:t>
      </w:r>
      <w:r>
        <w:rPr>
          <w:rFonts w:ascii="宋体" w:hAnsi="宋体" w:eastAsia="宋体" w:cs="宋体"/>
          <w:spacing w:val="8"/>
          <w:sz w:val="21"/>
          <w:szCs w:val="21"/>
        </w:rPr>
        <w:t xml:space="preserve">    </w:t>
      </w:r>
      <w:r>
        <w:rPr>
          <w:rFonts w:ascii="宋体" w:hAnsi="宋体" w:eastAsia="宋体" w:cs="宋体"/>
          <w:spacing w:val="1"/>
          <w:sz w:val="21"/>
          <w:szCs w:val="21"/>
          <w14:textOutline w14:w="3810" w14:cap="flat" w14:cmpd="sng">
            <w14:solidFill>
              <w14:srgbClr w14:val="000000"/>
            </w14:solidFill>
            <w14:prstDash w14:val="solid"/>
            <w14:miter w14:val="0"/>
          </w14:textOutline>
        </w:rPr>
        <w:t>单位：℃</w:t>
      </w:r>
    </w:p>
    <w:p>
      <w:pPr>
        <w:spacing w:line="73"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4"/>
        <w:gridCol w:w="612"/>
        <w:gridCol w:w="646"/>
        <w:gridCol w:w="636"/>
        <w:gridCol w:w="630"/>
        <w:gridCol w:w="642"/>
        <w:gridCol w:w="646"/>
        <w:gridCol w:w="625"/>
        <w:gridCol w:w="667"/>
        <w:gridCol w:w="647"/>
        <w:gridCol w:w="644"/>
        <w:gridCol w:w="605"/>
        <w:gridCol w:w="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704" w:type="dxa"/>
            <w:tcBorders>
              <w:left w:val="nil"/>
            </w:tcBorders>
            <w:vAlign w:val="top"/>
          </w:tcPr>
          <w:p>
            <w:pPr>
              <w:spacing w:before="57" w:line="218" w:lineRule="auto"/>
              <w:ind w:left="170"/>
              <w:rPr>
                <w:rFonts w:ascii="仿宋" w:hAnsi="仿宋" w:eastAsia="仿宋" w:cs="仿宋"/>
                <w:sz w:val="21"/>
                <w:szCs w:val="21"/>
              </w:rPr>
            </w:pPr>
            <w:r>
              <w:rPr>
                <w:rFonts w:ascii="仿宋" w:hAnsi="仿宋" w:eastAsia="仿宋" w:cs="仿宋"/>
                <w:spacing w:val="-6"/>
                <w:sz w:val="21"/>
                <w:szCs w:val="21"/>
              </w:rPr>
              <w:t>月份</w:t>
            </w:r>
          </w:p>
        </w:tc>
        <w:tc>
          <w:tcPr>
            <w:tcW w:w="612" w:type="dxa"/>
            <w:vAlign w:val="top"/>
          </w:tcPr>
          <w:p>
            <w:pPr>
              <w:pStyle w:val="6"/>
              <w:spacing w:before="93" w:line="188" w:lineRule="auto"/>
              <w:ind w:left="275"/>
            </w:pPr>
            <w:r>
              <w:t>1</w:t>
            </w:r>
          </w:p>
        </w:tc>
        <w:tc>
          <w:tcPr>
            <w:tcW w:w="646" w:type="dxa"/>
            <w:vAlign w:val="top"/>
          </w:tcPr>
          <w:p>
            <w:pPr>
              <w:pStyle w:val="6"/>
              <w:spacing w:before="93" w:line="188" w:lineRule="auto"/>
              <w:ind w:left="272"/>
            </w:pPr>
            <w:r>
              <w:t>2</w:t>
            </w:r>
          </w:p>
        </w:tc>
        <w:tc>
          <w:tcPr>
            <w:tcW w:w="636" w:type="dxa"/>
            <w:vAlign w:val="top"/>
          </w:tcPr>
          <w:p>
            <w:pPr>
              <w:pStyle w:val="6"/>
              <w:spacing w:before="93" w:line="188" w:lineRule="auto"/>
              <w:ind w:left="271"/>
            </w:pPr>
            <w:r>
              <w:t>3</w:t>
            </w:r>
          </w:p>
        </w:tc>
        <w:tc>
          <w:tcPr>
            <w:tcW w:w="630" w:type="dxa"/>
            <w:vAlign w:val="top"/>
          </w:tcPr>
          <w:p>
            <w:pPr>
              <w:pStyle w:val="6"/>
              <w:spacing w:before="93" w:line="188" w:lineRule="auto"/>
              <w:ind w:left="263"/>
            </w:pPr>
            <w:r>
              <w:t>4</w:t>
            </w:r>
          </w:p>
        </w:tc>
        <w:tc>
          <w:tcPr>
            <w:tcW w:w="642" w:type="dxa"/>
            <w:vAlign w:val="top"/>
          </w:tcPr>
          <w:p>
            <w:pPr>
              <w:pStyle w:val="6"/>
              <w:spacing w:before="96" w:line="185" w:lineRule="auto"/>
              <w:ind w:left="275"/>
            </w:pPr>
            <w:r>
              <w:t>5</w:t>
            </w:r>
          </w:p>
        </w:tc>
        <w:tc>
          <w:tcPr>
            <w:tcW w:w="646" w:type="dxa"/>
            <w:vAlign w:val="top"/>
          </w:tcPr>
          <w:p>
            <w:pPr>
              <w:pStyle w:val="6"/>
              <w:spacing w:before="93" w:line="188" w:lineRule="auto"/>
              <w:ind w:left="276"/>
            </w:pPr>
            <w:r>
              <w:t>6</w:t>
            </w:r>
          </w:p>
        </w:tc>
        <w:tc>
          <w:tcPr>
            <w:tcW w:w="625" w:type="dxa"/>
            <w:vAlign w:val="top"/>
          </w:tcPr>
          <w:p>
            <w:pPr>
              <w:pStyle w:val="6"/>
              <w:spacing w:before="96" w:line="185" w:lineRule="auto"/>
              <w:ind w:left="265"/>
            </w:pPr>
            <w:r>
              <w:t>7</w:t>
            </w:r>
          </w:p>
        </w:tc>
        <w:tc>
          <w:tcPr>
            <w:tcW w:w="667" w:type="dxa"/>
            <w:vAlign w:val="top"/>
          </w:tcPr>
          <w:p>
            <w:pPr>
              <w:pStyle w:val="6"/>
              <w:spacing w:before="93" w:line="188" w:lineRule="auto"/>
              <w:ind w:left="291"/>
            </w:pPr>
            <w:r>
              <w:t>8</w:t>
            </w:r>
          </w:p>
        </w:tc>
        <w:tc>
          <w:tcPr>
            <w:tcW w:w="647" w:type="dxa"/>
            <w:vAlign w:val="top"/>
          </w:tcPr>
          <w:p>
            <w:pPr>
              <w:pStyle w:val="6"/>
              <w:spacing w:before="93" w:line="188" w:lineRule="auto"/>
              <w:ind w:left="276"/>
            </w:pPr>
            <w:r>
              <w:t>9</w:t>
            </w:r>
          </w:p>
        </w:tc>
        <w:tc>
          <w:tcPr>
            <w:tcW w:w="644" w:type="dxa"/>
            <w:vAlign w:val="top"/>
          </w:tcPr>
          <w:p>
            <w:pPr>
              <w:pStyle w:val="6"/>
              <w:spacing w:before="93" w:line="188" w:lineRule="auto"/>
              <w:ind w:left="239"/>
            </w:pPr>
            <w:r>
              <w:rPr>
                <w:spacing w:val="-12"/>
              </w:rPr>
              <w:t>10</w:t>
            </w:r>
          </w:p>
        </w:tc>
        <w:tc>
          <w:tcPr>
            <w:tcW w:w="605" w:type="dxa"/>
            <w:vAlign w:val="top"/>
          </w:tcPr>
          <w:p>
            <w:pPr>
              <w:pStyle w:val="6"/>
              <w:spacing w:before="93" w:line="188" w:lineRule="auto"/>
              <w:ind w:left="224"/>
            </w:pPr>
            <w:r>
              <w:rPr>
                <w:spacing w:val="-9"/>
              </w:rPr>
              <w:t>11</w:t>
            </w:r>
          </w:p>
        </w:tc>
        <w:tc>
          <w:tcPr>
            <w:tcW w:w="617" w:type="dxa"/>
            <w:tcBorders>
              <w:right w:val="nil"/>
            </w:tcBorders>
            <w:vAlign w:val="top"/>
          </w:tcPr>
          <w:p>
            <w:pPr>
              <w:pStyle w:val="6"/>
              <w:spacing w:before="93" w:line="188" w:lineRule="auto"/>
              <w:ind w:left="229"/>
            </w:pPr>
            <w:r>
              <w:rPr>
                <w:spacing w:val="-6"/>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 w:hRule="atLeast"/>
        </w:trPr>
        <w:tc>
          <w:tcPr>
            <w:tcW w:w="704" w:type="dxa"/>
            <w:tcBorders>
              <w:left w:val="nil"/>
            </w:tcBorders>
            <w:vAlign w:val="top"/>
          </w:tcPr>
          <w:p>
            <w:pPr>
              <w:spacing w:before="53" w:line="220" w:lineRule="auto"/>
              <w:ind w:left="168"/>
              <w:rPr>
                <w:rFonts w:ascii="仿宋" w:hAnsi="仿宋" w:eastAsia="仿宋" w:cs="仿宋"/>
                <w:sz w:val="21"/>
                <w:szCs w:val="21"/>
              </w:rPr>
            </w:pPr>
            <w:r>
              <w:rPr>
                <w:rFonts w:ascii="仿宋" w:hAnsi="仿宋" w:eastAsia="仿宋" w:cs="仿宋"/>
                <w:spacing w:val="-6"/>
                <w:sz w:val="21"/>
                <w:szCs w:val="21"/>
              </w:rPr>
              <w:t>气温</w:t>
            </w:r>
          </w:p>
        </w:tc>
        <w:tc>
          <w:tcPr>
            <w:tcW w:w="612" w:type="dxa"/>
            <w:vAlign w:val="top"/>
          </w:tcPr>
          <w:p>
            <w:pPr>
              <w:pStyle w:val="6"/>
              <w:spacing w:before="90" w:line="188" w:lineRule="auto"/>
              <w:ind w:left="144"/>
            </w:pPr>
            <w:r>
              <w:rPr>
                <w:spacing w:val="-6"/>
              </w:rPr>
              <w:t>12.5</w:t>
            </w:r>
          </w:p>
        </w:tc>
        <w:tc>
          <w:tcPr>
            <w:tcW w:w="646" w:type="dxa"/>
            <w:vAlign w:val="top"/>
          </w:tcPr>
          <w:p>
            <w:pPr>
              <w:pStyle w:val="6"/>
              <w:spacing w:before="90" w:line="188" w:lineRule="auto"/>
              <w:ind w:left="161"/>
            </w:pPr>
            <w:r>
              <w:rPr>
                <w:spacing w:val="-6"/>
              </w:rPr>
              <w:t>14.5</w:t>
            </w:r>
          </w:p>
        </w:tc>
        <w:tc>
          <w:tcPr>
            <w:tcW w:w="636" w:type="dxa"/>
            <w:vAlign w:val="top"/>
          </w:tcPr>
          <w:p>
            <w:pPr>
              <w:pStyle w:val="6"/>
              <w:spacing w:before="90" w:line="188" w:lineRule="auto"/>
              <w:ind w:left="155"/>
            </w:pPr>
            <w:r>
              <w:rPr>
                <w:spacing w:val="-6"/>
              </w:rPr>
              <w:t>16.9</w:t>
            </w:r>
          </w:p>
        </w:tc>
        <w:tc>
          <w:tcPr>
            <w:tcW w:w="630" w:type="dxa"/>
            <w:vAlign w:val="top"/>
          </w:tcPr>
          <w:p>
            <w:pPr>
              <w:pStyle w:val="6"/>
              <w:spacing w:before="90" w:line="188" w:lineRule="auto"/>
              <w:ind w:left="154"/>
            </w:pPr>
            <w:r>
              <w:rPr>
                <w:spacing w:val="-6"/>
              </w:rPr>
              <w:t>19.8</w:t>
            </w:r>
          </w:p>
        </w:tc>
        <w:tc>
          <w:tcPr>
            <w:tcW w:w="642" w:type="dxa"/>
            <w:vAlign w:val="top"/>
          </w:tcPr>
          <w:p>
            <w:pPr>
              <w:pStyle w:val="6"/>
              <w:spacing w:before="90" w:line="188" w:lineRule="auto"/>
              <w:ind w:left="139"/>
            </w:pPr>
            <w:r>
              <w:rPr>
                <w:spacing w:val="-1"/>
              </w:rPr>
              <w:t>22.3</w:t>
            </w:r>
          </w:p>
        </w:tc>
        <w:tc>
          <w:tcPr>
            <w:tcW w:w="646" w:type="dxa"/>
            <w:vAlign w:val="top"/>
          </w:tcPr>
          <w:p>
            <w:pPr>
              <w:pStyle w:val="6"/>
              <w:spacing w:before="90" w:line="188" w:lineRule="auto"/>
              <w:ind w:left="141"/>
            </w:pPr>
            <w:r>
              <w:rPr>
                <w:spacing w:val="-1"/>
              </w:rPr>
              <w:t>23.2</w:t>
            </w:r>
          </w:p>
        </w:tc>
        <w:tc>
          <w:tcPr>
            <w:tcW w:w="625" w:type="dxa"/>
            <w:vAlign w:val="top"/>
          </w:tcPr>
          <w:p>
            <w:pPr>
              <w:pStyle w:val="6"/>
              <w:spacing w:before="90" w:line="188" w:lineRule="auto"/>
              <w:ind w:left="130"/>
            </w:pPr>
            <w:r>
              <w:rPr>
                <w:spacing w:val="-1"/>
              </w:rPr>
              <w:t>22.7</w:t>
            </w:r>
          </w:p>
        </w:tc>
        <w:tc>
          <w:tcPr>
            <w:tcW w:w="667" w:type="dxa"/>
            <w:vAlign w:val="top"/>
          </w:tcPr>
          <w:p>
            <w:pPr>
              <w:pStyle w:val="6"/>
              <w:spacing w:before="90" w:line="188" w:lineRule="auto"/>
              <w:ind w:left="230"/>
            </w:pPr>
            <w:r>
              <w:rPr>
                <w:spacing w:val="-1"/>
              </w:rPr>
              <w:t>22</w:t>
            </w:r>
          </w:p>
        </w:tc>
        <w:tc>
          <w:tcPr>
            <w:tcW w:w="647" w:type="dxa"/>
            <w:vAlign w:val="top"/>
          </w:tcPr>
          <w:p>
            <w:pPr>
              <w:pStyle w:val="6"/>
              <w:spacing w:before="90" w:line="188" w:lineRule="auto"/>
              <w:ind w:left="141"/>
            </w:pPr>
            <w:r>
              <w:rPr>
                <w:spacing w:val="-1"/>
              </w:rPr>
              <w:t>20.5</w:t>
            </w:r>
          </w:p>
        </w:tc>
        <w:tc>
          <w:tcPr>
            <w:tcW w:w="644" w:type="dxa"/>
            <w:vAlign w:val="top"/>
          </w:tcPr>
          <w:p>
            <w:pPr>
              <w:pStyle w:val="6"/>
              <w:spacing w:before="90" w:line="188" w:lineRule="auto"/>
              <w:ind w:left="160"/>
            </w:pPr>
            <w:r>
              <w:rPr>
                <w:spacing w:val="-6"/>
              </w:rPr>
              <w:t>19.1</w:t>
            </w:r>
          </w:p>
        </w:tc>
        <w:tc>
          <w:tcPr>
            <w:tcW w:w="605" w:type="dxa"/>
            <w:vAlign w:val="top"/>
          </w:tcPr>
          <w:p>
            <w:pPr>
              <w:pStyle w:val="6"/>
              <w:spacing w:before="90" w:line="188" w:lineRule="auto"/>
              <w:ind w:left="141"/>
            </w:pPr>
            <w:r>
              <w:rPr>
                <w:spacing w:val="-6"/>
              </w:rPr>
              <w:t>13.9</w:t>
            </w:r>
          </w:p>
        </w:tc>
        <w:tc>
          <w:tcPr>
            <w:tcW w:w="617" w:type="dxa"/>
            <w:tcBorders>
              <w:right w:val="nil"/>
            </w:tcBorders>
            <w:vAlign w:val="top"/>
          </w:tcPr>
          <w:p>
            <w:pPr>
              <w:pStyle w:val="6"/>
              <w:spacing w:before="90" w:line="188" w:lineRule="auto"/>
              <w:ind w:left="153"/>
            </w:pPr>
            <w:r>
              <w:rPr>
                <w:spacing w:val="-8"/>
              </w:rPr>
              <w:t>11.8</w:t>
            </w:r>
          </w:p>
        </w:tc>
      </w:tr>
    </w:tbl>
    <w:p>
      <w:pPr>
        <w:spacing w:before="37" w:line="217" w:lineRule="auto"/>
        <w:ind w:left="517"/>
        <w:rPr>
          <w:rFonts w:ascii="宋体" w:hAnsi="宋体" w:eastAsia="宋体" w:cs="宋体"/>
          <w:sz w:val="24"/>
          <w:szCs w:val="24"/>
        </w:rPr>
      </w:pPr>
      <w:r>
        <w:rPr>
          <w:rFonts w:ascii="宋体" w:hAnsi="宋体" w:eastAsia="宋体" w:cs="宋体"/>
          <w:spacing w:val="-2"/>
          <w:sz w:val="24"/>
          <w:szCs w:val="24"/>
        </w:rPr>
        <w:t>③河道天然水温</w:t>
      </w:r>
    </w:p>
    <w:p>
      <w:pPr>
        <w:spacing w:before="186" w:line="359" w:lineRule="auto"/>
        <w:ind w:left="44" w:right="68" w:firstLine="477"/>
        <w:rPr>
          <w:rFonts w:ascii="宋体" w:hAnsi="宋体" w:eastAsia="宋体" w:cs="宋体"/>
          <w:sz w:val="24"/>
          <w:szCs w:val="24"/>
        </w:rPr>
      </w:pPr>
      <w:r>
        <w:rPr>
          <w:rFonts w:ascii="宋体" w:hAnsi="宋体" w:eastAsia="宋体" w:cs="宋体"/>
          <w:spacing w:val="-6"/>
          <w:sz w:val="24"/>
          <w:szCs w:val="24"/>
        </w:rPr>
        <w:t>桂花水库所在的桂花河没有实测的河道天然水温，</w:t>
      </w:r>
      <w:r>
        <w:rPr>
          <w:rFonts w:ascii="宋体" w:hAnsi="宋体" w:eastAsia="宋体" w:cs="宋体"/>
          <w:spacing w:val="-28"/>
          <w:sz w:val="24"/>
          <w:szCs w:val="24"/>
        </w:rPr>
        <w:t xml:space="preserve"> </w:t>
      </w:r>
      <w:r>
        <w:rPr>
          <w:rFonts w:ascii="宋体" w:hAnsi="宋体" w:eastAsia="宋体" w:cs="宋体"/>
          <w:spacing w:val="-6"/>
          <w:sz w:val="24"/>
          <w:szCs w:val="24"/>
        </w:rPr>
        <w:t>一般情况下水温变化趋势</w:t>
      </w:r>
      <w:r>
        <w:rPr>
          <w:rFonts w:ascii="宋体" w:hAnsi="宋体" w:eastAsia="宋体" w:cs="宋体"/>
          <w:sz w:val="24"/>
          <w:szCs w:val="24"/>
        </w:rPr>
        <w:t xml:space="preserve"> </w:t>
      </w:r>
      <w:r>
        <w:rPr>
          <w:rFonts w:ascii="宋体" w:hAnsi="宋体" w:eastAsia="宋体" w:cs="宋体"/>
          <w:spacing w:val="-10"/>
          <w:sz w:val="24"/>
          <w:szCs w:val="24"/>
        </w:rPr>
        <w:t>与气温较接近，</w:t>
      </w:r>
      <w:r>
        <w:rPr>
          <w:rFonts w:ascii="宋体" w:hAnsi="宋体" w:eastAsia="宋体" w:cs="宋体"/>
          <w:spacing w:val="28"/>
          <w:sz w:val="24"/>
          <w:szCs w:val="24"/>
        </w:rPr>
        <w:t xml:space="preserve"> </w:t>
      </w:r>
      <w:r>
        <w:rPr>
          <w:rFonts w:ascii="宋体" w:hAnsi="宋体" w:eastAsia="宋体" w:cs="宋体"/>
          <w:spacing w:val="-10"/>
          <w:sz w:val="24"/>
          <w:szCs w:val="24"/>
        </w:rPr>
        <w:t xml:space="preserve">只是相对滞后气温变化， </w:t>
      </w:r>
      <w:r>
        <w:rPr>
          <w:rFonts w:ascii="宋体" w:hAnsi="宋体" w:eastAsia="宋体" w:cs="宋体"/>
          <w:spacing w:val="-11"/>
          <w:sz w:val="24"/>
          <w:szCs w:val="24"/>
        </w:rPr>
        <w:t>根据经验估算并根据项目区的海拔高程</w:t>
      </w:r>
      <w:r>
        <w:rPr>
          <w:rFonts w:ascii="宋体" w:hAnsi="宋体" w:eastAsia="宋体" w:cs="宋体"/>
          <w:sz w:val="24"/>
          <w:szCs w:val="24"/>
        </w:rPr>
        <w:t xml:space="preserve"> </w:t>
      </w:r>
      <w:r>
        <w:rPr>
          <w:rFonts w:ascii="宋体" w:hAnsi="宋体" w:eastAsia="宋体" w:cs="宋体"/>
          <w:spacing w:val="-6"/>
          <w:sz w:val="24"/>
          <w:szCs w:val="24"/>
        </w:rPr>
        <w:t>与大姚县气象站海拔高程对桂花水库所在的桂花河天然河段水温进行修正，</w:t>
      </w:r>
      <w:r>
        <w:rPr>
          <w:rFonts w:ascii="宋体" w:hAnsi="宋体" w:eastAsia="宋体" w:cs="宋体"/>
          <w:spacing w:val="-18"/>
          <w:sz w:val="24"/>
          <w:szCs w:val="24"/>
        </w:rPr>
        <w:t xml:space="preserve"> </w:t>
      </w:r>
      <w:r>
        <w:rPr>
          <w:rFonts w:ascii="宋体" w:hAnsi="宋体" w:eastAsia="宋体" w:cs="宋体"/>
          <w:spacing w:val="-6"/>
          <w:sz w:val="24"/>
          <w:szCs w:val="24"/>
        </w:rPr>
        <w:t>详见</w:t>
      </w:r>
    </w:p>
    <w:p>
      <w:pPr>
        <w:spacing w:before="1" w:line="220" w:lineRule="auto"/>
        <w:ind w:left="38"/>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4.2-9</w:t>
      </w:r>
      <w:r>
        <w:rPr>
          <w:rFonts w:ascii="宋体" w:hAnsi="宋体" w:eastAsia="宋体" w:cs="宋体"/>
          <w:spacing w:val="-2"/>
          <w:sz w:val="24"/>
          <w:szCs w:val="24"/>
        </w:rPr>
        <w:t>。</w:t>
      </w:r>
    </w:p>
    <w:p>
      <w:pPr>
        <w:spacing w:before="273" w:line="233" w:lineRule="auto"/>
        <w:ind w:left="1900"/>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表</w:t>
      </w:r>
      <w:r>
        <w:rPr>
          <w:rFonts w:ascii="宋体" w:hAnsi="宋体" w:eastAsia="宋体" w:cs="宋体"/>
          <w:spacing w:val="-24"/>
          <w:sz w:val="21"/>
          <w:szCs w:val="21"/>
        </w:rPr>
        <w:t xml:space="preserve"> </w:t>
      </w:r>
      <w:r>
        <w:rPr>
          <w:rFonts w:ascii="Times New Roman" w:hAnsi="Times New Roman" w:eastAsia="Times New Roman" w:cs="Times New Roman"/>
          <w:b/>
          <w:bCs/>
          <w:spacing w:val="2"/>
          <w:sz w:val="21"/>
          <w:szCs w:val="21"/>
        </w:rPr>
        <w:t xml:space="preserve">4.2-9    </w:t>
      </w:r>
      <w:r>
        <w:rPr>
          <w:rFonts w:ascii="宋体" w:hAnsi="宋体" w:eastAsia="宋体" w:cs="宋体"/>
          <w:spacing w:val="2"/>
          <w:sz w:val="21"/>
          <w:szCs w:val="21"/>
          <w14:textOutline w14:w="3810" w14:cap="flat" w14:cmpd="sng">
            <w14:solidFill>
              <w14:srgbClr w14:val="000000"/>
            </w14:solidFill>
            <w14:prstDash w14:val="solid"/>
            <w14:miter w14:val="0"/>
          </w14:textOutline>
        </w:rPr>
        <w:t>河道天然水温逐月水温表</w:t>
      </w:r>
      <w:r>
        <w:rPr>
          <w:rFonts w:ascii="宋体" w:hAnsi="宋体" w:eastAsia="宋体" w:cs="宋体"/>
          <w:spacing w:val="2"/>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单位：℃</w:t>
      </w:r>
    </w:p>
    <w:p>
      <w:pPr>
        <w:spacing w:line="73"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616"/>
        <w:gridCol w:w="605"/>
        <w:gridCol w:w="638"/>
        <w:gridCol w:w="635"/>
        <w:gridCol w:w="645"/>
        <w:gridCol w:w="649"/>
        <w:gridCol w:w="629"/>
        <w:gridCol w:w="671"/>
        <w:gridCol w:w="650"/>
        <w:gridCol w:w="648"/>
        <w:gridCol w:w="608"/>
        <w:gridCol w:w="6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707" w:type="dxa"/>
            <w:tcBorders>
              <w:left w:val="nil"/>
            </w:tcBorders>
            <w:vAlign w:val="top"/>
          </w:tcPr>
          <w:p>
            <w:pPr>
              <w:spacing w:before="55" w:line="218" w:lineRule="auto"/>
              <w:ind w:left="171"/>
              <w:rPr>
                <w:rFonts w:ascii="仿宋" w:hAnsi="仿宋" w:eastAsia="仿宋" w:cs="仿宋"/>
                <w:sz w:val="21"/>
                <w:szCs w:val="21"/>
              </w:rPr>
            </w:pPr>
            <w:r>
              <w:rPr>
                <w:rFonts w:ascii="仿宋" w:hAnsi="仿宋" w:eastAsia="仿宋" w:cs="仿宋"/>
                <w:spacing w:val="-6"/>
                <w:sz w:val="21"/>
                <w:szCs w:val="21"/>
              </w:rPr>
              <w:t>月份</w:t>
            </w:r>
          </w:p>
        </w:tc>
        <w:tc>
          <w:tcPr>
            <w:tcW w:w="616" w:type="dxa"/>
            <w:vAlign w:val="top"/>
          </w:tcPr>
          <w:p>
            <w:pPr>
              <w:pStyle w:val="6"/>
              <w:spacing w:before="92" w:line="188" w:lineRule="auto"/>
              <w:ind w:left="277"/>
            </w:pPr>
            <w:r>
              <w:t>1</w:t>
            </w:r>
          </w:p>
        </w:tc>
        <w:tc>
          <w:tcPr>
            <w:tcW w:w="605" w:type="dxa"/>
            <w:vAlign w:val="top"/>
          </w:tcPr>
          <w:p>
            <w:pPr>
              <w:pStyle w:val="6"/>
              <w:spacing w:before="92" w:line="188" w:lineRule="auto"/>
              <w:ind w:left="250"/>
            </w:pPr>
            <w:r>
              <w:t>2</w:t>
            </w:r>
          </w:p>
        </w:tc>
        <w:tc>
          <w:tcPr>
            <w:tcW w:w="638" w:type="dxa"/>
            <w:vAlign w:val="top"/>
          </w:tcPr>
          <w:p>
            <w:pPr>
              <w:pStyle w:val="6"/>
              <w:spacing w:before="92" w:line="188" w:lineRule="auto"/>
              <w:ind w:left="271"/>
            </w:pPr>
            <w:r>
              <w:t>3</w:t>
            </w:r>
          </w:p>
        </w:tc>
        <w:tc>
          <w:tcPr>
            <w:tcW w:w="635" w:type="dxa"/>
            <w:vAlign w:val="top"/>
          </w:tcPr>
          <w:p>
            <w:pPr>
              <w:pStyle w:val="6"/>
              <w:spacing w:before="92" w:line="188" w:lineRule="auto"/>
              <w:ind w:left="265"/>
            </w:pPr>
            <w:r>
              <w:t>4</w:t>
            </w:r>
          </w:p>
        </w:tc>
        <w:tc>
          <w:tcPr>
            <w:tcW w:w="645" w:type="dxa"/>
            <w:vAlign w:val="top"/>
          </w:tcPr>
          <w:p>
            <w:pPr>
              <w:pStyle w:val="6"/>
              <w:spacing w:before="95" w:line="185" w:lineRule="auto"/>
              <w:ind w:left="277"/>
            </w:pPr>
            <w:r>
              <w:t>5</w:t>
            </w:r>
          </w:p>
        </w:tc>
        <w:tc>
          <w:tcPr>
            <w:tcW w:w="649" w:type="dxa"/>
            <w:vAlign w:val="top"/>
          </w:tcPr>
          <w:p>
            <w:pPr>
              <w:pStyle w:val="6"/>
              <w:spacing w:before="92" w:line="188" w:lineRule="auto"/>
              <w:ind w:left="279"/>
            </w:pPr>
            <w:r>
              <w:t>6</w:t>
            </w:r>
          </w:p>
        </w:tc>
        <w:tc>
          <w:tcPr>
            <w:tcW w:w="629" w:type="dxa"/>
            <w:vAlign w:val="top"/>
          </w:tcPr>
          <w:p>
            <w:pPr>
              <w:pStyle w:val="6"/>
              <w:spacing w:before="95" w:line="185" w:lineRule="auto"/>
              <w:ind w:left="267"/>
            </w:pPr>
            <w:r>
              <w:t>7</w:t>
            </w:r>
          </w:p>
        </w:tc>
        <w:tc>
          <w:tcPr>
            <w:tcW w:w="671" w:type="dxa"/>
            <w:vAlign w:val="top"/>
          </w:tcPr>
          <w:p>
            <w:pPr>
              <w:pStyle w:val="6"/>
              <w:spacing w:before="92" w:line="188" w:lineRule="auto"/>
              <w:ind w:left="293"/>
            </w:pPr>
            <w:r>
              <w:t>8</w:t>
            </w:r>
          </w:p>
        </w:tc>
        <w:tc>
          <w:tcPr>
            <w:tcW w:w="650" w:type="dxa"/>
            <w:vAlign w:val="top"/>
          </w:tcPr>
          <w:p>
            <w:pPr>
              <w:pStyle w:val="6"/>
              <w:spacing w:before="92" w:line="188" w:lineRule="auto"/>
              <w:ind w:left="278"/>
            </w:pPr>
            <w:r>
              <w:t>9</w:t>
            </w:r>
          </w:p>
        </w:tc>
        <w:tc>
          <w:tcPr>
            <w:tcW w:w="648" w:type="dxa"/>
            <w:vAlign w:val="top"/>
          </w:tcPr>
          <w:p>
            <w:pPr>
              <w:pStyle w:val="6"/>
              <w:spacing w:before="92" w:line="188" w:lineRule="auto"/>
              <w:ind w:left="241"/>
            </w:pPr>
            <w:r>
              <w:rPr>
                <w:spacing w:val="-6"/>
              </w:rPr>
              <w:t>10</w:t>
            </w:r>
          </w:p>
        </w:tc>
        <w:tc>
          <w:tcPr>
            <w:tcW w:w="608" w:type="dxa"/>
            <w:vAlign w:val="top"/>
          </w:tcPr>
          <w:p>
            <w:pPr>
              <w:pStyle w:val="6"/>
              <w:spacing w:before="92" w:line="188" w:lineRule="auto"/>
              <w:ind w:left="224"/>
            </w:pPr>
            <w:r>
              <w:rPr>
                <w:spacing w:val="-9"/>
              </w:rPr>
              <w:t>11</w:t>
            </w:r>
          </w:p>
        </w:tc>
        <w:tc>
          <w:tcPr>
            <w:tcW w:w="620" w:type="dxa"/>
            <w:tcBorders>
              <w:right w:val="nil"/>
            </w:tcBorders>
            <w:vAlign w:val="top"/>
          </w:tcPr>
          <w:p>
            <w:pPr>
              <w:pStyle w:val="6"/>
              <w:spacing w:before="92" w:line="188" w:lineRule="auto"/>
              <w:ind w:left="229"/>
            </w:pPr>
            <w:r>
              <w:rPr>
                <w:spacing w:val="-12"/>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707" w:type="dxa"/>
            <w:tcBorders>
              <w:left w:val="nil"/>
            </w:tcBorders>
            <w:vAlign w:val="top"/>
          </w:tcPr>
          <w:p>
            <w:pPr>
              <w:spacing w:before="54" w:line="220" w:lineRule="auto"/>
              <w:ind w:left="169"/>
              <w:rPr>
                <w:rFonts w:ascii="仿宋" w:hAnsi="仿宋" w:eastAsia="仿宋" w:cs="仿宋"/>
                <w:sz w:val="21"/>
                <w:szCs w:val="21"/>
              </w:rPr>
            </w:pPr>
            <w:r>
              <w:rPr>
                <w:rFonts w:ascii="仿宋" w:hAnsi="仿宋" w:eastAsia="仿宋" w:cs="仿宋"/>
                <w:spacing w:val="-6"/>
                <w:sz w:val="21"/>
                <w:szCs w:val="21"/>
              </w:rPr>
              <w:t>气温</w:t>
            </w:r>
          </w:p>
        </w:tc>
        <w:tc>
          <w:tcPr>
            <w:tcW w:w="616" w:type="dxa"/>
            <w:vAlign w:val="top"/>
          </w:tcPr>
          <w:p>
            <w:pPr>
              <w:pStyle w:val="6"/>
              <w:spacing w:before="90" w:line="188" w:lineRule="auto"/>
              <w:ind w:left="145"/>
            </w:pPr>
            <w:r>
              <w:rPr>
                <w:spacing w:val="-6"/>
              </w:rPr>
              <w:t>12.7</w:t>
            </w:r>
          </w:p>
        </w:tc>
        <w:tc>
          <w:tcPr>
            <w:tcW w:w="605" w:type="dxa"/>
            <w:vAlign w:val="top"/>
          </w:tcPr>
          <w:p>
            <w:pPr>
              <w:pStyle w:val="6"/>
              <w:spacing w:before="90" w:line="188" w:lineRule="auto"/>
              <w:ind w:left="140"/>
            </w:pPr>
            <w:r>
              <w:rPr>
                <w:spacing w:val="-6"/>
              </w:rPr>
              <w:t>14.6</w:t>
            </w:r>
          </w:p>
        </w:tc>
        <w:tc>
          <w:tcPr>
            <w:tcW w:w="638" w:type="dxa"/>
            <w:vAlign w:val="top"/>
          </w:tcPr>
          <w:p>
            <w:pPr>
              <w:pStyle w:val="6"/>
              <w:spacing w:before="90" w:line="188" w:lineRule="auto"/>
              <w:ind w:left="155"/>
            </w:pPr>
            <w:r>
              <w:rPr>
                <w:spacing w:val="-6"/>
              </w:rPr>
              <w:t>16.8</w:t>
            </w:r>
          </w:p>
        </w:tc>
        <w:tc>
          <w:tcPr>
            <w:tcW w:w="635" w:type="dxa"/>
            <w:vAlign w:val="top"/>
          </w:tcPr>
          <w:p>
            <w:pPr>
              <w:pStyle w:val="6"/>
              <w:spacing w:before="90" w:line="188" w:lineRule="auto"/>
              <w:ind w:left="234"/>
            </w:pPr>
            <w:r>
              <w:rPr>
                <w:spacing w:val="-6"/>
              </w:rPr>
              <w:t>19</w:t>
            </w:r>
          </w:p>
        </w:tc>
        <w:tc>
          <w:tcPr>
            <w:tcW w:w="645" w:type="dxa"/>
            <w:vAlign w:val="top"/>
          </w:tcPr>
          <w:p>
            <w:pPr>
              <w:pStyle w:val="6"/>
              <w:spacing w:before="90" w:line="188" w:lineRule="auto"/>
              <w:ind w:left="139"/>
            </w:pPr>
            <w:r>
              <w:rPr>
                <w:spacing w:val="-1"/>
              </w:rPr>
              <w:t>21.5</w:t>
            </w:r>
          </w:p>
        </w:tc>
        <w:tc>
          <w:tcPr>
            <w:tcW w:w="649" w:type="dxa"/>
            <w:vAlign w:val="top"/>
          </w:tcPr>
          <w:p>
            <w:pPr>
              <w:pStyle w:val="6"/>
              <w:spacing w:before="90" w:line="188" w:lineRule="auto"/>
              <w:ind w:left="162"/>
            </w:pPr>
            <w:r>
              <w:rPr>
                <w:spacing w:val="-6"/>
              </w:rPr>
              <w:t>19.5</w:t>
            </w:r>
          </w:p>
        </w:tc>
        <w:tc>
          <w:tcPr>
            <w:tcW w:w="629" w:type="dxa"/>
            <w:vAlign w:val="top"/>
          </w:tcPr>
          <w:p>
            <w:pPr>
              <w:pStyle w:val="6"/>
              <w:spacing w:before="90" w:line="188" w:lineRule="auto"/>
              <w:ind w:left="152"/>
            </w:pPr>
            <w:r>
              <w:rPr>
                <w:spacing w:val="-6"/>
              </w:rPr>
              <w:t>19.2</w:t>
            </w:r>
          </w:p>
        </w:tc>
        <w:tc>
          <w:tcPr>
            <w:tcW w:w="671" w:type="dxa"/>
            <w:vAlign w:val="top"/>
          </w:tcPr>
          <w:p>
            <w:pPr>
              <w:pStyle w:val="6"/>
              <w:spacing w:before="90" w:line="188" w:lineRule="auto"/>
              <w:ind w:left="173"/>
            </w:pPr>
            <w:r>
              <w:rPr>
                <w:spacing w:val="-6"/>
              </w:rPr>
              <w:t>19.6</w:t>
            </w:r>
          </w:p>
        </w:tc>
        <w:tc>
          <w:tcPr>
            <w:tcW w:w="650" w:type="dxa"/>
            <w:vAlign w:val="top"/>
          </w:tcPr>
          <w:p>
            <w:pPr>
              <w:pStyle w:val="6"/>
              <w:spacing w:before="90" w:line="188" w:lineRule="auto"/>
              <w:ind w:left="162"/>
            </w:pPr>
            <w:r>
              <w:rPr>
                <w:spacing w:val="-6"/>
              </w:rPr>
              <w:t>17.5</w:t>
            </w:r>
          </w:p>
        </w:tc>
        <w:tc>
          <w:tcPr>
            <w:tcW w:w="648" w:type="dxa"/>
            <w:vAlign w:val="top"/>
          </w:tcPr>
          <w:p>
            <w:pPr>
              <w:pStyle w:val="6"/>
              <w:spacing w:before="90" w:line="188" w:lineRule="auto"/>
              <w:ind w:left="163"/>
            </w:pPr>
            <w:r>
              <w:rPr>
                <w:spacing w:val="-6"/>
              </w:rPr>
              <w:t>15.7</w:t>
            </w:r>
          </w:p>
        </w:tc>
        <w:tc>
          <w:tcPr>
            <w:tcW w:w="608" w:type="dxa"/>
            <w:vAlign w:val="top"/>
          </w:tcPr>
          <w:p>
            <w:pPr>
              <w:pStyle w:val="6"/>
              <w:spacing w:before="90" w:line="188" w:lineRule="auto"/>
              <w:ind w:left="141"/>
            </w:pPr>
            <w:r>
              <w:rPr>
                <w:spacing w:val="-6"/>
              </w:rPr>
              <w:t>13.5</w:t>
            </w:r>
          </w:p>
        </w:tc>
        <w:tc>
          <w:tcPr>
            <w:tcW w:w="620" w:type="dxa"/>
            <w:tcBorders>
              <w:right w:val="nil"/>
            </w:tcBorders>
            <w:vAlign w:val="top"/>
          </w:tcPr>
          <w:p>
            <w:pPr>
              <w:pStyle w:val="6"/>
              <w:spacing w:before="90" w:line="188" w:lineRule="auto"/>
              <w:ind w:left="154"/>
            </w:pPr>
            <w:r>
              <w:rPr>
                <w:spacing w:val="-8"/>
              </w:rPr>
              <w:t>11.9</w:t>
            </w:r>
          </w:p>
        </w:tc>
      </w:tr>
    </w:tbl>
    <w:p>
      <w:pPr>
        <w:spacing w:before="37" w:line="217" w:lineRule="auto"/>
        <w:ind w:left="517"/>
        <w:rPr>
          <w:rFonts w:ascii="宋体" w:hAnsi="宋体" w:eastAsia="宋体" w:cs="宋体"/>
          <w:sz w:val="24"/>
          <w:szCs w:val="24"/>
        </w:rPr>
      </w:pPr>
      <w:r>
        <w:rPr>
          <w:rFonts w:ascii="宋体" w:hAnsi="宋体" w:eastAsia="宋体" w:cs="宋体"/>
          <w:spacing w:val="-1"/>
          <w:sz w:val="24"/>
          <w:szCs w:val="24"/>
        </w:rPr>
        <w:t>④水库库底水温计算</w:t>
      </w:r>
    </w:p>
    <w:p>
      <w:pPr>
        <w:spacing w:before="185" w:line="359" w:lineRule="auto"/>
        <w:ind w:left="38" w:firstLine="510"/>
        <w:rPr>
          <w:rFonts w:ascii="宋体" w:hAnsi="宋体" w:eastAsia="宋体" w:cs="宋体"/>
          <w:sz w:val="24"/>
          <w:szCs w:val="24"/>
        </w:rPr>
      </w:pPr>
      <w:r>
        <w:rPr>
          <w:rFonts w:ascii="宋体" w:hAnsi="宋体" w:eastAsia="宋体" w:cs="宋体"/>
          <w:spacing w:val="-7"/>
          <w:sz w:val="24"/>
          <w:szCs w:val="24"/>
        </w:rPr>
        <w:t>由于库底水温较库表水温低， 故库底水</w:t>
      </w:r>
      <w:r>
        <w:rPr>
          <w:rFonts w:ascii="宋体" w:hAnsi="宋体" w:eastAsia="宋体" w:cs="宋体"/>
          <w:spacing w:val="-8"/>
          <w:sz w:val="24"/>
          <w:szCs w:val="24"/>
        </w:rPr>
        <w:t>密度也较库表要大。对于分层型水库</w:t>
      </w:r>
      <w:r>
        <w:rPr>
          <w:rFonts w:ascii="宋体" w:hAnsi="宋体" w:eastAsia="宋体" w:cs="宋体"/>
          <w:sz w:val="24"/>
          <w:szCs w:val="24"/>
        </w:rPr>
        <w:t xml:space="preserve"> </w:t>
      </w:r>
      <w:r>
        <w:rPr>
          <w:rFonts w:ascii="宋体" w:hAnsi="宋体" w:eastAsia="宋体" w:cs="宋体"/>
          <w:spacing w:val="-12"/>
          <w:sz w:val="24"/>
          <w:szCs w:val="24"/>
        </w:rPr>
        <w:t>来说，其冬季水温度为年内最低，</w:t>
      </w:r>
      <w:r>
        <w:rPr>
          <w:rFonts w:ascii="宋体" w:hAnsi="宋体" w:eastAsia="宋体" w:cs="宋体"/>
          <w:spacing w:val="41"/>
          <w:sz w:val="24"/>
          <w:szCs w:val="24"/>
        </w:rPr>
        <w:t xml:space="preserve"> </w:t>
      </w:r>
      <w:r>
        <w:rPr>
          <w:rFonts w:ascii="宋体" w:hAnsi="宋体" w:eastAsia="宋体" w:cs="宋体"/>
          <w:spacing w:val="-12"/>
          <w:sz w:val="24"/>
          <w:szCs w:val="24"/>
        </w:rPr>
        <w:t>届时水库表层与底层水温相差较小</w:t>
      </w:r>
      <w:r>
        <w:rPr>
          <w:rFonts w:ascii="宋体" w:hAnsi="宋体" w:eastAsia="宋体" w:cs="宋体"/>
          <w:spacing w:val="-13"/>
          <w:sz w:val="24"/>
          <w:szCs w:val="24"/>
        </w:rPr>
        <w:t>。因此，</w:t>
      </w:r>
      <w:r>
        <w:rPr>
          <w:rFonts w:ascii="宋体" w:hAnsi="宋体" w:eastAsia="宋体" w:cs="宋体"/>
          <w:spacing w:val="39"/>
          <w:sz w:val="24"/>
          <w:szCs w:val="24"/>
        </w:rPr>
        <w:t xml:space="preserve"> </w:t>
      </w:r>
      <w:r>
        <w:rPr>
          <w:rFonts w:ascii="宋体" w:hAnsi="宋体" w:eastAsia="宋体" w:cs="宋体"/>
          <w:spacing w:val="-13"/>
          <w:sz w:val="24"/>
          <w:szCs w:val="24"/>
        </w:rPr>
        <w:t>库</w:t>
      </w:r>
      <w:r>
        <w:rPr>
          <w:rFonts w:ascii="宋体" w:hAnsi="宋体" w:eastAsia="宋体" w:cs="宋体"/>
          <w:sz w:val="24"/>
          <w:szCs w:val="24"/>
        </w:rPr>
        <w:t xml:space="preserve"> </w:t>
      </w:r>
      <w:r>
        <w:rPr>
          <w:rFonts w:ascii="宋体" w:hAnsi="宋体" w:eastAsia="宋体" w:cs="宋体"/>
          <w:spacing w:val="-6"/>
          <w:sz w:val="24"/>
          <w:szCs w:val="24"/>
        </w:rPr>
        <w:t>底水温可以认为近似等于河道来水的最低三个月月平均水温。以此</w:t>
      </w:r>
      <w:r>
        <w:rPr>
          <w:rFonts w:ascii="宋体" w:hAnsi="宋体" w:eastAsia="宋体" w:cs="宋体"/>
          <w:spacing w:val="-7"/>
          <w:sz w:val="24"/>
          <w:szCs w:val="24"/>
        </w:rPr>
        <w:t>为依据， 可以</w:t>
      </w:r>
      <w:r>
        <w:rPr>
          <w:rFonts w:ascii="宋体" w:hAnsi="宋体" w:eastAsia="宋体" w:cs="宋体"/>
          <w:sz w:val="24"/>
          <w:szCs w:val="24"/>
        </w:rPr>
        <w:t xml:space="preserve"> </w:t>
      </w:r>
      <w:r>
        <w:rPr>
          <w:rFonts w:ascii="宋体" w:hAnsi="宋体" w:eastAsia="宋体" w:cs="宋体"/>
          <w:spacing w:val="-8"/>
          <w:sz w:val="24"/>
          <w:szCs w:val="24"/>
        </w:rPr>
        <w:t xml:space="preserve">采用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 xml:space="preserve">月、 </w:t>
      </w:r>
      <w:r>
        <w:rPr>
          <w:rFonts w:ascii="Times New Roman" w:hAnsi="Times New Roman" w:eastAsia="Times New Roman" w:cs="Times New Roman"/>
          <w:spacing w:val="-8"/>
          <w:sz w:val="24"/>
          <w:szCs w:val="24"/>
        </w:rPr>
        <w:t>12</w:t>
      </w:r>
      <w:r>
        <w:rPr>
          <w:rFonts w:ascii="Times New Roman" w:hAnsi="Times New Roman" w:eastAsia="Times New Roman" w:cs="Times New Roman"/>
          <w:spacing w:val="34"/>
          <w:w w:val="101"/>
          <w:sz w:val="24"/>
          <w:szCs w:val="24"/>
        </w:rPr>
        <w:t xml:space="preserve"> </w:t>
      </w:r>
      <w:r>
        <w:rPr>
          <w:rFonts w:ascii="宋体" w:hAnsi="宋体" w:eastAsia="宋体" w:cs="宋体"/>
          <w:spacing w:val="-8"/>
          <w:sz w:val="24"/>
          <w:szCs w:val="24"/>
        </w:rPr>
        <w:t xml:space="preserve">月和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月的河道天然水温月平均水温近似作为库底年</w:t>
      </w:r>
      <w:r>
        <w:rPr>
          <w:rFonts w:ascii="宋体" w:hAnsi="宋体" w:eastAsia="宋体" w:cs="宋体"/>
          <w:spacing w:val="-9"/>
          <w:sz w:val="24"/>
          <w:szCs w:val="24"/>
        </w:rPr>
        <w:t>平均水温，</w:t>
      </w:r>
    </w:p>
    <w:p>
      <w:pPr>
        <w:spacing w:line="220" w:lineRule="auto"/>
        <w:ind w:left="57"/>
        <w:rPr>
          <w:rFonts w:ascii="宋体" w:hAnsi="宋体" w:eastAsia="宋体" w:cs="宋体"/>
          <w:sz w:val="24"/>
          <w:szCs w:val="24"/>
        </w:rPr>
      </w:pPr>
      <w:r>
        <w:rPr>
          <w:rFonts w:ascii="宋体" w:hAnsi="宋体" w:eastAsia="宋体" w:cs="宋体"/>
          <w:spacing w:val="-21"/>
          <w:sz w:val="24"/>
          <w:szCs w:val="24"/>
        </w:rPr>
        <w:t>即：</w:t>
      </w:r>
    </w:p>
    <w:p>
      <w:pPr>
        <w:spacing w:before="181" w:line="466" w:lineRule="exact"/>
        <w:ind w:left="3317"/>
        <w:rPr>
          <w:rFonts w:ascii="Times New Roman" w:hAnsi="Times New Roman" w:eastAsia="Times New Roman" w:cs="Times New Roman"/>
          <w:sz w:val="24"/>
          <w:szCs w:val="24"/>
        </w:rPr>
      </w:pPr>
      <w:r>
        <w:rPr>
          <w:rFonts w:ascii="Times New Roman" w:hAnsi="Times New Roman" w:eastAsia="Times New Roman" w:cs="Times New Roman"/>
          <w:spacing w:val="-1"/>
          <w:position w:val="17"/>
          <w:sz w:val="24"/>
          <w:szCs w:val="24"/>
        </w:rPr>
        <w:t xml:space="preserve">T </w:t>
      </w:r>
      <w:r>
        <w:rPr>
          <w:rFonts w:ascii="宋体" w:hAnsi="宋体" w:eastAsia="宋体" w:cs="宋体"/>
          <w:spacing w:val="-1"/>
          <w:position w:val="17"/>
          <w:sz w:val="24"/>
          <w:szCs w:val="24"/>
        </w:rPr>
        <w:t>底</w:t>
      </w:r>
      <w:r>
        <w:rPr>
          <w:rFonts w:ascii="Times New Roman" w:hAnsi="Times New Roman" w:eastAsia="Times New Roman" w:cs="Times New Roman"/>
          <w:spacing w:val="-1"/>
          <w:position w:val="17"/>
          <w:sz w:val="24"/>
          <w:szCs w:val="24"/>
        </w:rPr>
        <w:t>≈(T11+T12+T1)/3</w:t>
      </w:r>
    </w:p>
    <w:p>
      <w:pPr>
        <w:spacing w:line="218" w:lineRule="auto"/>
        <w:ind w:left="519"/>
        <w:rPr>
          <w:rFonts w:ascii="宋体" w:hAnsi="宋体" w:eastAsia="宋体" w:cs="宋体"/>
          <w:sz w:val="24"/>
          <w:szCs w:val="24"/>
        </w:rPr>
      </w:pPr>
      <w:r>
        <w:rPr>
          <w:rFonts w:ascii="宋体" w:hAnsi="宋体" w:eastAsia="宋体" w:cs="宋体"/>
          <w:spacing w:val="-2"/>
          <w:sz w:val="24"/>
          <w:szCs w:val="24"/>
        </w:rPr>
        <w:t>通过估算桂花水库年均库底水温为</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12.7</w:t>
      </w:r>
      <w:r>
        <w:rPr>
          <w:rFonts w:ascii="宋体" w:hAnsi="宋体" w:eastAsia="宋体" w:cs="宋体"/>
          <w:spacing w:val="-2"/>
          <w:sz w:val="24"/>
          <w:szCs w:val="24"/>
        </w:rPr>
        <w:t>℃。</w:t>
      </w:r>
    </w:p>
    <w:p>
      <w:pPr>
        <w:spacing w:before="184" w:line="217" w:lineRule="auto"/>
        <w:ind w:left="517"/>
        <w:rPr>
          <w:rFonts w:ascii="宋体" w:hAnsi="宋体" w:eastAsia="宋体" w:cs="宋体"/>
          <w:sz w:val="24"/>
          <w:szCs w:val="24"/>
        </w:rPr>
      </w:pPr>
      <w:r>
        <w:rPr>
          <w:rFonts w:ascii="宋体" w:hAnsi="宋体" w:eastAsia="宋体" w:cs="宋体"/>
          <w:spacing w:val="-1"/>
          <w:sz w:val="24"/>
          <w:szCs w:val="24"/>
        </w:rPr>
        <w:t>④水库运行水位及水深</w:t>
      </w:r>
    </w:p>
    <w:p>
      <w:pPr>
        <w:spacing w:before="184" w:line="220" w:lineRule="auto"/>
        <w:ind w:left="519"/>
        <w:rPr>
          <w:rFonts w:ascii="宋体" w:hAnsi="宋体" w:eastAsia="宋体" w:cs="宋体"/>
          <w:sz w:val="24"/>
          <w:szCs w:val="24"/>
        </w:rPr>
      </w:pPr>
      <w:r>
        <w:rPr>
          <w:rFonts w:ascii="宋体" w:hAnsi="宋体" w:eastAsia="宋体" w:cs="宋体"/>
          <w:spacing w:val="-10"/>
          <w:sz w:val="24"/>
          <w:szCs w:val="24"/>
        </w:rPr>
        <w:t>根据设计资料，</w:t>
      </w:r>
      <w:r>
        <w:rPr>
          <w:rFonts w:ascii="宋体" w:hAnsi="宋体" w:eastAsia="宋体" w:cs="宋体"/>
          <w:spacing w:val="78"/>
          <w:sz w:val="24"/>
          <w:szCs w:val="24"/>
        </w:rPr>
        <w:t xml:space="preserve"> </w:t>
      </w:r>
      <w:r>
        <w:rPr>
          <w:rFonts w:ascii="宋体" w:hAnsi="宋体" w:eastAsia="宋体" w:cs="宋体"/>
          <w:spacing w:val="-10"/>
          <w:sz w:val="24"/>
          <w:szCs w:val="24"/>
        </w:rPr>
        <w:t>项目运行水位和运行水深如下表所示。</w:t>
      </w:r>
    </w:p>
    <w:p>
      <w:pPr>
        <w:spacing w:before="197" w:line="229" w:lineRule="auto"/>
        <w:ind w:left="2568"/>
        <w:rPr>
          <w:rFonts w:ascii="Times New Roman" w:hAnsi="Times New Roman" w:eastAsia="Times New Roman" w:cs="Times New Roman"/>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5"/>
          <w:sz w:val="21"/>
          <w:szCs w:val="21"/>
        </w:rPr>
        <w:t xml:space="preserve"> </w:t>
      </w:r>
      <w:r>
        <w:rPr>
          <w:rFonts w:ascii="Times New Roman" w:hAnsi="Times New Roman" w:eastAsia="Times New Roman" w:cs="Times New Roman"/>
          <w:b/>
          <w:bCs/>
          <w:spacing w:val="1"/>
          <w:sz w:val="21"/>
          <w:szCs w:val="21"/>
        </w:rPr>
        <w:t xml:space="preserve">4.2-10    </w:t>
      </w:r>
      <w:r>
        <w:rPr>
          <w:rFonts w:ascii="宋体" w:hAnsi="宋体" w:eastAsia="宋体" w:cs="宋体"/>
          <w:spacing w:val="1"/>
          <w:sz w:val="21"/>
          <w:szCs w:val="21"/>
          <w14:textOutline w14:w="3810" w14:cap="flat" w14:cmpd="sng">
            <w14:solidFill>
              <w14:srgbClr w14:val="000000"/>
            </w14:solidFill>
            <w14:prstDash w14:val="solid"/>
            <w14:miter w14:val="0"/>
          </w14:textOutline>
        </w:rPr>
        <w:t>水库运行水位</w:t>
      </w:r>
      <w:r>
        <w:rPr>
          <w:rFonts w:ascii="宋体" w:hAnsi="宋体" w:eastAsia="宋体" w:cs="宋体"/>
          <w:spacing w:val="19"/>
          <w:sz w:val="21"/>
          <w:szCs w:val="21"/>
        </w:rPr>
        <w:t xml:space="preserve"> </w:t>
      </w:r>
      <w:r>
        <w:rPr>
          <w:rFonts w:ascii="宋体" w:hAnsi="宋体" w:eastAsia="宋体" w:cs="宋体"/>
          <w:spacing w:val="1"/>
          <w:sz w:val="21"/>
          <w:szCs w:val="21"/>
          <w14:textOutline w14:w="3810" w14:cap="flat" w14:cmpd="sng">
            <w14:solidFill>
              <w14:srgbClr w14:val="000000"/>
            </w14:solidFill>
            <w14:prstDash w14:val="solid"/>
            <w14:miter w14:val="0"/>
          </w14:textOutline>
        </w:rPr>
        <w:t>单位：</w:t>
      </w:r>
      <w:r>
        <w:rPr>
          <w:rFonts w:ascii="Times New Roman" w:hAnsi="Times New Roman" w:eastAsia="Times New Roman" w:cs="Times New Roman"/>
          <w:b/>
          <w:bCs/>
          <w:spacing w:val="1"/>
          <w:sz w:val="21"/>
          <w:szCs w:val="21"/>
        </w:rPr>
        <w:t>m</w:t>
      </w: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8"/>
        <w:gridCol w:w="596"/>
        <w:gridCol w:w="598"/>
        <w:gridCol w:w="596"/>
        <w:gridCol w:w="655"/>
        <w:gridCol w:w="686"/>
        <w:gridCol w:w="689"/>
        <w:gridCol w:w="596"/>
        <w:gridCol w:w="596"/>
        <w:gridCol w:w="596"/>
        <w:gridCol w:w="596"/>
        <w:gridCol w:w="596"/>
        <w:gridCol w:w="6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2" w:hRule="atLeast"/>
        </w:trPr>
        <w:tc>
          <w:tcPr>
            <w:tcW w:w="838" w:type="dxa"/>
            <w:tcBorders>
              <w:left w:val="nil"/>
            </w:tcBorders>
            <w:vAlign w:val="top"/>
          </w:tcPr>
          <w:p>
            <w:pPr>
              <w:spacing w:before="72" w:line="220" w:lineRule="auto"/>
              <w:ind w:left="254"/>
              <w:rPr>
                <w:rFonts w:ascii="宋体" w:hAnsi="宋体" w:eastAsia="宋体" w:cs="宋体"/>
                <w:sz w:val="18"/>
                <w:szCs w:val="18"/>
              </w:rPr>
            </w:pPr>
            <w:r>
              <w:rPr>
                <w:rFonts w:ascii="宋体" w:hAnsi="宋体" w:eastAsia="宋体" w:cs="宋体"/>
                <w:spacing w:val="-3"/>
                <w:sz w:val="18"/>
                <w:szCs w:val="18"/>
              </w:rPr>
              <w:t>月份</w:t>
            </w:r>
          </w:p>
        </w:tc>
        <w:tc>
          <w:tcPr>
            <w:tcW w:w="596" w:type="dxa"/>
            <w:vAlign w:val="top"/>
          </w:tcPr>
          <w:p>
            <w:pPr>
              <w:pStyle w:val="6"/>
              <w:spacing w:before="103" w:line="188" w:lineRule="auto"/>
              <w:ind w:left="271"/>
              <w:rPr>
                <w:sz w:val="18"/>
                <w:szCs w:val="18"/>
              </w:rPr>
            </w:pPr>
            <w:r>
              <w:rPr>
                <w:sz w:val="18"/>
                <w:szCs w:val="18"/>
              </w:rPr>
              <w:t>1</w:t>
            </w:r>
          </w:p>
        </w:tc>
        <w:tc>
          <w:tcPr>
            <w:tcW w:w="598" w:type="dxa"/>
            <w:vAlign w:val="top"/>
          </w:tcPr>
          <w:p>
            <w:pPr>
              <w:pStyle w:val="6"/>
              <w:spacing w:before="103" w:line="188" w:lineRule="auto"/>
              <w:ind w:left="255"/>
              <w:rPr>
                <w:sz w:val="18"/>
                <w:szCs w:val="18"/>
              </w:rPr>
            </w:pPr>
            <w:r>
              <w:rPr>
                <w:sz w:val="18"/>
                <w:szCs w:val="18"/>
              </w:rPr>
              <w:t>2</w:t>
            </w:r>
          </w:p>
        </w:tc>
        <w:tc>
          <w:tcPr>
            <w:tcW w:w="596" w:type="dxa"/>
            <w:vAlign w:val="top"/>
          </w:tcPr>
          <w:p>
            <w:pPr>
              <w:pStyle w:val="6"/>
              <w:spacing w:before="103" w:line="188" w:lineRule="auto"/>
              <w:ind w:left="256"/>
              <w:rPr>
                <w:sz w:val="18"/>
                <w:szCs w:val="18"/>
              </w:rPr>
            </w:pPr>
            <w:r>
              <w:rPr>
                <w:sz w:val="18"/>
                <w:szCs w:val="18"/>
              </w:rPr>
              <w:t>3</w:t>
            </w:r>
          </w:p>
        </w:tc>
        <w:tc>
          <w:tcPr>
            <w:tcW w:w="655" w:type="dxa"/>
            <w:vAlign w:val="top"/>
          </w:tcPr>
          <w:p>
            <w:pPr>
              <w:pStyle w:val="6"/>
              <w:spacing w:before="103" w:line="188" w:lineRule="auto"/>
              <w:ind w:left="282"/>
              <w:rPr>
                <w:sz w:val="18"/>
                <w:szCs w:val="18"/>
              </w:rPr>
            </w:pPr>
            <w:r>
              <w:rPr>
                <w:sz w:val="18"/>
                <w:szCs w:val="18"/>
              </w:rPr>
              <w:t>4</w:t>
            </w:r>
          </w:p>
        </w:tc>
        <w:tc>
          <w:tcPr>
            <w:tcW w:w="686" w:type="dxa"/>
            <w:vAlign w:val="top"/>
          </w:tcPr>
          <w:p>
            <w:pPr>
              <w:pStyle w:val="6"/>
              <w:spacing w:before="105" w:line="185" w:lineRule="auto"/>
              <w:ind w:left="303"/>
              <w:rPr>
                <w:sz w:val="18"/>
                <w:szCs w:val="18"/>
              </w:rPr>
            </w:pPr>
            <w:r>
              <w:rPr>
                <w:sz w:val="18"/>
                <w:szCs w:val="18"/>
              </w:rPr>
              <w:t>5</w:t>
            </w:r>
          </w:p>
        </w:tc>
        <w:tc>
          <w:tcPr>
            <w:tcW w:w="689" w:type="dxa"/>
            <w:vAlign w:val="top"/>
          </w:tcPr>
          <w:p>
            <w:pPr>
              <w:pStyle w:val="6"/>
              <w:spacing w:before="103" w:line="188" w:lineRule="auto"/>
              <w:ind w:left="303"/>
              <w:rPr>
                <w:sz w:val="18"/>
                <w:szCs w:val="18"/>
              </w:rPr>
            </w:pPr>
            <w:r>
              <w:rPr>
                <w:sz w:val="18"/>
                <w:szCs w:val="18"/>
              </w:rPr>
              <w:t>6</w:t>
            </w:r>
          </w:p>
        </w:tc>
        <w:tc>
          <w:tcPr>
            <w:tcW w:w="596" w:type="dxa"/>
            <w:vAlign w:val="top"/>
          </w:tcPr>
          <w:p>
            <w:pPr>
              <w:pStyle w:val="6"/>
              <w:spacing w:before="105" w:line="185" w:lineRule="auto"/>
              <w:ind w:left="255"/>
              <w:rPr>
                <w:sz w:val="18"/>
                <w:szCs w:val="18"/>
              </w:rPr>
            </w:pPr>
            <w:r>
              <w:rPr>
                <w:sz w:val="18"/>
                <w:szCs w:val="18"/>
              </w:rPr>
              <w:t>7</w:t>
            </w:r>
          </w:p>
        </w:tc>
        <w:tc>
          <w:tcPr>
            <w:tcW w:w="596" w:type="dxa"/>
            <w:vAlign w:val="top"/>
          </w:tcPr>
          <w:p>
            <w:pPr>
              <w:pStyle w:val="6"/>
              <w:spacing w:before="103" w:line="188" w:lineRule="auto"/>
              <w:ind w:left="260"/>
              <w:rPr>
                <w:sz w:val="18"/>
                <w:szCs w:val="18"/>
              </w:rPr>
            </w:pPr>
            <w:r>
              <w:rPr>
                <w:sz w:val="18"/>
                <w:szCs w:val="18"/>
              </w:rPr>
              <w:t>8</w:t>
            </w:r>
          </w:p>
        </w:tc>
        <w:tc>
          <w:tcPr>
            <w:tcW w:w="596" w:type="dxa"/>
            <w:vAlign w:val="top"/>
          </w:tcPr>
          <w:p>
            <w:pPr>
              <w:pStyle w:val="6"/>
              <w:spacing w:before="103" w:line="188" w:lineRule="auto"/>
              <w:ind w:left="257"/>
              <w:rPr>
                <w:sz w:val="18"/>
                <w:szCs w:val="18"/>
              </w:rPr>
            </w:pPr>
            <w:r>
              <w:rPr>
                <w:sz w:val="18"/>
                <w:szCs w:val="18"/>
              </w:rPr>
              <w:t>9</w:t>
            </w:r>
          </w:p>
        </w:tc>
        <w:tc>
          <w:tcPr>
            <w:tcW w:w="596" w:type="dxa"/>
            <w:vAlign w:val="top"/>
          </w:tcPr>
          <w:p>
            <w:pPr>
              <w:pStyle w:val="6"/>
              <w:spacing w:before="103" w:line="188" w:lineRule="auto"/>
              <w:ind w:left="226"/>
              <w:rPr>
                <w:sz w:val="18"/>
                <w:szCs w:val="18"/>
              </w:rPr>
            </w:pPr>
            <w:r>
              <w:rPr>
                <w:spacing w:val="-6"/>
                <w:sz w:val="18"/>
                <w:szCs w:val="18"/>
              </w:rPr>
              <w:t>10</w:t>
            </w:r>
          </w:p>
        </w:tc>
        <w:tc>
          <w:tcPr>
            <w:tcW w:w="596" w:type="dxa"/>
            <w:vAlign w:val="top"/>
          </w:tcPr>
          <w:p>
            <w:pPr>
              <w:pStyle w:val="6"/>
              <w:spacing w:before="103" w:line="188" w:lineRule="auto"/>
              <w:ind w:left="230"/>
              <w:rPr>
                <w:sz w:val="18"/>
                <w:szCs w:val="18"/>
              </w:rPr>
            </w:pPr>
            <w:r>
              <w:rPr>
                <w:spacing w:val="-8"/>
                <w:sz w:val="18"/>
                <w:szCs w:val="18"/>
              </w:rPr>
              <w:t>11</w:t>
            </w:r>
          </w:p>
        </w:tc>
        <w:tc>
          <w:tcPr>
            <w:tcW w:w="683" w:type="dxa"/>
            <w:tcBorders>
              <w:right w:val="nil"/>
            </w:tcBorders>
            <w:vAlign w:val="top"/>
          </w:tcPr>
          <w:p>
            <w:pPr>
              <w:pStyle w:val="6"/>
              <w:spacing w:before="103" w:line="188" w:lineRule="auto"/>
              <w:ind w:left="272"/>
              <w:rPr>
                <w:sz w:val="18"/>
                <w:szCs w:val="18"/>
              </w:rPr>
            </w:pPr>
            <w:r>
              <w:rPr>
                <w:spacing w:val="-6"/>
                <w:sz w:val="18"/>
                <w:szCs w:val="18"/>
              </w:rPr>
              <w:t>12</w:t>
            </w:r>
          </w:p>
        </w:tc>
      </w:tr>
    </w:tbl>
    <w:p>
      <w:pPr>
        <w:spacing w:line="227" w:lineRule="exact"/>
        <w:rPr>
          <w:rFonts w:ascii="Arial"/>
          <w:sz w:val="19"/>
        </w:rPr>
      </w:pPr>
    </w:p>
    <w:p>
      <w:pPr>
        <w:spacing w:line="227" w:lineRule="exact"/>
        <w:rPr>
          <w:rFonts w:ascii="Arial" w:hAnsi="Arial" w:eastAsia="Arial" w:cs="Arial"/>
          <w:sz w:val="19"/>
          <w:szCs w:val="19"/>
        </w:rPr>
        <w:sectPr>
          <w:headerReference r:id="rId364" w:type="default"/>
          <w:footerReference r:id="rId365" w:type="default"/>
          <w:pgSz w:w="11907" w:h="16839"/>
          <w:pgMar w:top="1156" w:right="1730" w:bottom="1374" w:left="1770" w:header="881" w:footer="1210" w:gutter="0"/>
        </w:sectPr>
      </w:pPr>
    </w:p>
    <w:p>
      <w:pPr>
        <w:spacing w:before="41"/>
      </w:pPr>
      <w:r>
        <w:pict>
          <v:shape id="_x0000_s1031" o:spid="_x0000_s1031" style="position:absolute;left:0pt;margin-left:89.3pt;margin-top:167.65pt;height:0.5pt;width:416.1pt;mso-position-horizontal-relative:page;mso-position-vertical-relative:page;z-index:251812864;mso-width-relative:page;mso-height-relative:page;" fillcolor="#000000" filled="t" stroked="f" coordsize="8322,10" o:allowincell="f" path="m0,9l8321,9,8321,0,0,0,0,9xe">
            <v:path/>
            <v:fill on="t" focussize="0,0"/>
            <v:stroke on="f"/>
            <v:imagedata o:title=""/>
            <o:lock v:ext="edit"/>
          </v:shape>
        </w:pict>
      </w:r>
    </w:p>
    <w:tbl>
      <w:tblPr>
        <w:tblStyle w:val="5"/>
        <w:tblW w:w="8307"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596"/>
        <w:gridCol w:w="598"/>
        <w:gridCol w:w="596"/>
        <w:gridCol w:w="655"/>
        <w:gridCol w:w="686"/>
        <w:gridCol w:w="689"/>
        <w:gridCol w:w="596"/>
        <w:gridCol w:w="596"/>
        <w:gridCol w:w="596"/>
        <w:gridCol w:w="596"/>
        <w:gridCol w:w="597"/>
        <w:gridCol w:w="68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823" w:type="dxa"/>
            <w:tcBorders>
              <w:left w:val="nil"/>
            </w:tcBorders>
            <w:vAlign w:val="top"/>
          </w:tcPr>
          <w:p>
            <w:pPr>
              <w:spacing w:before="71" w:line="220" w:lineRule="auto"/>
              <w:ind w:left="56"/>
              <w:rPr>
                <w:rFonts w:ascii="宋体" w:hAnsi="宋体" w:eastAsia="宋体" w:cs="宋体"/>
                <w:sz w:val="18"/>
                <w:szCs w:val="18"/>
              </w:rPr>
            </w:pPr>
            <w:r>
              <w:rPr>
                <w:rFonts w:ascii="宋体" w:hAnsi="宋体" w:eastAsia="宋体" w:cs="宋体"/>
                <w:spacing w:val="-2"/>
                <w:sz w:val="18"/>
                <w:szCs w:val="18"/>
              </w:rPr>
              <w:t>运行水位</w:t>
            </w:r>
          </w:p>
        </w:tc>
        <w:tc>
          <w:tcPr>
            <w:tcW w:w="596" w:type="dxa"/>
            <w:vAlign w:val="top"/>
          </w:tcPr>
          <w:p>
            <w:pPr>
              <w:pStyle w:val="6"/>
              <w:spacing w:before="102" w:line="188" w:lineRule="auto"/>
              <w:ind w:left="51"/>
              <w:rPr>
                <w:sz w:val="18"/>
                <w:szCs w:val="18"/>
              </w:rPr>
            </w:pPr>
            <w:r>
              <w:rPr>
                <w:spacing w:val="-1"/>
                <w:sz w:val="18"/>
                <w:szCs w:val="18"/>
              </w:rPr>
              <w:t>2092.4</w:t>
            </w:r>
          </w:p>
        </w:tc>
        <w:tc>
          <w:tcPr>
            <w:tcW w:w="598" w:type="dxa"/>
            <w:vAlign w:val="top"/>
          </w:tcPr>
          <w:p>
            <w:pPr>
              <w:pStyle w:val="6"/>
              <w:spacing w:before="102" w:line="188" w:lineRule="auto"/>
              <w:ind w:left="53"/>
              <w:rPr>
                <w:sz w:val="18"/>
                <w:szCs w:val="18"/>
              </w:rPr>
            </w:pPr>
            <w:r>
              <w:rPr>
                <w:spacing w:val="-1"/>
                <w:sz w:val="18"/>
                <w:szCs w:val="18"/>
              </w:rPr>
              <w:t>2092.1</w:t>
            </w:r>
          </w:p>
        </w:tc>
        <w:tc>
          <w:tcPr>
            <w:tcW w:w="596" w:type="dxa"/>
            <w:vAlign w:val="top"/>
          </w:tcPr>
          <w:p>
            <w:pPr>
              <w:pStyle w:val="6"/>
              <w:spacing w:before="102" w:line="188" w:lineRule="auto"/>
              <w:ind w:left="51"/>
              <w:rPr>
                <w:sz w:val="18"/>
                <w:szCs w:val="18"/>
              </w:rPr>
            </w:pPr>
            <w:r>
              <w:rPr>
                <w:spacing w:val="-1"/>
                <w:sz w:val="18"/>
                <w:szCs w:val="18"/>
              </w:rPr>
              <w:t>2091.3</w:t>
            </w:r>
          </w:p>
        </w:tc>
        <w:tc>
          <w:tcPr>
            <w:tcW w:w="655" w:type="dxa"/>
            <w:vAlign w:val="top"/>
          </w:tcPr>
          <w:p>
            <w:pPr>
              <w:pStyle w:val="6"/>
              <w:spacing w:before="102" w:line="188" w:lineRule="auto"/>
              <w:ind w:left="82"/>
              <w:rPr>
                <w:sz w:val="18"/>
                <w:szCs w:val="18"/>
              </w:rPr>
            </w:pPr>
            <w:r>
              <w:rPr>
                <w:spacing w:val="-1"/>
                <w:sz w:val="18"/>
                <w:szCs w:val="18"/>
              </w:rPr>
              <w:t>2090.1</w:t>
            </w:r>
          </w:p>
        </w:tc>
        <w:tc>
          <w:tcPr>
            <w:tcW w:w="686" w:type="dxa"/>
            <w:vAlign w:val="top"/>
          </w:tcPr>
          <w:p>
            <w:pPr>
              <w:pStyle w:val="6"/>
              <w:spacing w:before="102" w:line="188" w:lineRule="auto"/>
              <w:ind w:left="96"/>
              <w:rPr>
                <w:sz w:val="18"/>
                <w:szCs w:val="18"/>
              </w:rPr>
            </w:pPr>
            <w:r>
              <w:rPr>
                <w:spacing w:val="-1"/>
                <w:sz w:val="18"/>
                <w:szCs w:val="18"/>
              </w:rPr>
              <w:t>2082.2</w:t>
            </w:r>
          </w:p>
        </w:tc>
        <w:tc>
          <w:tcPr>
            <w:tcW w:w="689" w:type="dxa"/>
            <w:vAlign w:val="top"/>
          </w:tcPr>
          <w:p>
            <w:pPr>
              <w:pStyle w:val="6"/>
              <w:spacing w:before="102" w:line="188" w:lineRule="auto"/>
              <w:ind w:left="98"/>
              <w:rPr>
                <w:sz w:val="18"/>
                <w:szCs w:val="18"/>
              </w:rPr>
            </w:pPr>
            <w:r>
              <w:rPr>
                <w:spacing w:val="-1"/>
                <w:sz w:val="18"/>
                <w:szCs w:val="18"/>
              </w:rPr>
              <w:t>2058.8</w:t>
            </w:r>
          </w:p>
        </w:tc>
        <w:tc>
          <w:tcPr>
            <w:tcW w:w="596" w:type="dxa"/>
            <w:vAlign w:val="top"/>
          </w:tcPr>
          <w:p>
            <w:pPr>
              <w:pStyle w:val="6"/>
              <w:spacing w:before="102" w:line="188" w:lineRule="auto"/>
              <w:ind w:left="51"/>
              <w:rPr>
                <w:sz w:val="18"/>
                <w:szCs w:val="18"/>
              </w:rPr>
            </w:pPr>
            <w:r>
              <w:rPr>
                <w:spacing w:val="-1"/>
                <w:sz w:val="18"/>
                <w:szCs w:val="18"/>
              </w:rPr>
              <w:t>2075.8</w:t>
            </w:r>
          </w:p>
        </w:tc>
        <w:tc>
          <w:tcPr>
            <w:tcW w:w="596" w:type="dxa"/>
            <w:vAlign w:val="top"/>
          </w:tcPr>
          <w:p>
            <w:pPr>
              <w:pStyle w:val="6"/>
              <w:spacing w:before="102" w:line="188" w:lineRule="auto"/>
              <w:ind w:left="52"/>
              <w:rPr>
                <w:sz w:val="18"/>
                <w:szCs w:val="18"/>
              </w:rPr>
            </w:pPr>
            <w:r>
              <w:rPr>
                <w:spacing w:val="-1"/>
                <w:sz w:val="18"/>
                <w:szCs w:val="18"/>
              </w:rPr>
              <w:t>2088.4</w:t>
            </w:r>
          </w:p>
        </w:tc>
        <w:tc>
          <w:tcPr>
            <w:tcW w:w="596" w:type="dxa"/>
            <w:vAlign w:val="top"/>
          </w:tcPr>
          <w:p>
            <w:pPr>
              <w:pStyle w:val="6"/>
              <w:spacing w:before="102" w:line="188" w:lineRule="auto"/>
              <w:ind w:left="52"/>
              <w:rPr>
                <w:sz w:val="18"/>
                <w:szCs w:val="18"/>
              </w:rPr>
            </w:pPr>
            <w:r>
              <w:rPr>
                <w:spacing w:val="-1"/>
                <w:sz w:val="18"/>
                <w:szCs w:val="18"/>
              </w:rPr>
              <w:t>2094.1</w:t>
            </w:r>
          </w:p>
        </w:tc>
        <w:tc>
          <w:tcPr>
            <w:tcW w:w="596" w:type="dxa"/>
            <w:vAlign w:val="top"/>
          </w:tcPr>
          <w:p>
            <w:pPr>
              <w:pStyle w:val="6"/>
              <w:spacing w:before="102" w:line="188" w:lineRule="auto"/>
              <w:ind w:left="52"/>
              <w:rPr>
                <w:sz w:val="18"/>
                <w:szCs w:val="18"/>
              </w:rPr>
            </w:pPr>
            <w:r>
              <w:rPr>
                <w:spacing w:val="-1"/>
                <w:sz w:val="18"/>
                <w:szCs w:val="18"/>
              </w:rPr>
              <w:t>2094.1</w:t>
            </w:r>
          </w:p>
        </w:tc>
        <w:tc>
          <w:tcPr>
            <w:tcW w:w="597" w:type="dxa"/>
            <w:vAlign w:val="top"/>
          </w:tcPr>
          <w:p>
            <w:pPr>
              <w:pStyle w:val="6"/>
              <w:spacing w:before="102" w:line="188" w:lineRule="auto"/>
              <w:ind w:left="52"/>
              <w:rPr>
                <w:sz w:val="18"/>
                <w:szCs w:val="18"/>
              </w:rPr>
            </w:pPr>
            <w:r>
              <w:rPr>
                <w:spacing w:val="-1"/>
                <w:sz w:val="18"/>
                <w:szCs w:val="18"/>
              </w:rPr>
              <w:t>2093.5</w:t>
            </w:r>
          </w:p>
        </w:tc>
        <w:tc>
          <w:tcPr>
            <w:tcW w:w="683" w:type="dxa"/>
            <w:tcBorders>
              <w:right w:val="nil"/>
            </w:tcBorders>
            <w:vAlign w:val="top"/>
          </w:tcPr>
          <w:p>
            <w:pPr>
              <w:pStyle w:val="6"/>
              <w:spacing w:before="102" w:line="188" w:lineRule="auto"/>
              <w:ind w:left="97"/>
              <w:rPr>
                <w:sz w:val="18"/>
                <w:szCs w:val="18"/>
              </w:rPr>
            </w:pPr>
            <w:r>
              <w:rPr>
                <w:spacing w:val="-1"/>
                <w:sz w:val="18"/>
                <w:szCs w:val="18"/>
              </w:rPr>
              <w:t>2093.4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7" w:hRule="atLeast"/>
        </w:trPr>
        <w:tc>
          <w:tcPr>
            <w:tcW w:w="823" w:type="dxa"/>
            <w:tcBorders>
              <w:left w:val="nil"/>
            </w:tcBorders>
            <w:vAlign w:val="top"/>
          </w:tcPr>
          <w:p>
            <w:pPr>
              <w:spacing w:before="59" w:line="274" w:lineRule="auto"/>
              <w:ind w:left="146" w:right="114" w:hanging="73"/>
              <w:rPr>
                <w:rFonts w:ascii="宋体" w:hAnsi="宋体" w:eastAsia="宋体" w:cs="宋体"/>
                <w:sz w:val="18"/>
                <w:szCs w:val="18"/>
              </w:rPr>
            </w:pPr>
            <w:r>
              <w:rPr>
                <w:rFonts w:ascii="宋体" w:hAnsi="宋体" w:eastAsia="宋体" w:cs="宋体"/>
                <w:spacing w:val="30"/>
                <w:sz w:val="18"/>
                <w:szCs w:val="18"/>
              </w:rPr>
              <w:t>导流洞</w:t>
            </w:r>
            <w:r>
              <w:rPr>
                <w:rFonts w:ascii="宋体" w:hAnsi="宋体" w:eastAsia="宋体" w:cs="宋体"/>
                <w:spacing w:val="1"/>
                <w:sz w:val="18"/>
                <w:szCs w:val="18"/>
              </w:rPr>
              <w:t xml:space="preserve"> </w:t>
            </w:r>
            <w:r>
              <w:rPr>
                <w:rFonts w:ascii="宋体" w:hAnsi="宋体" w:eastAsia="宋体" w:cs="宋体"/>
                <w:spacing w:val="-3"/>
                <w:sz w:val="18"/>
                <w:szCs w:val="18"/>
              </w:rPr>
              <w:t>板高程</w:t>
            </w:r>
          </w:p>
        </w:tc>
        <w:tc>
          <w:tcPr>
            <w:tcW w:w="7484" w:type="dxa"/>
            <w:gridSpan w:val="12"/>
            <w:tcBorders>
              <w:right w:val="nil"/>
            </w:tcBorders>
            <w:vAlign w:val="top"/>
          </w:tcPr>
          <w:p>
            <w:pPr>
              <w:pStyle w:val="6"/>
              <w:spacing w:before="255" w:line="188" w:lineRule="auto"/>
              <w:ind w:left="3498"/>
              <w:rPr>
                <w:sz w:val="18"/>
                <w:szCs w:val="18"/>
              </w:rPr>
            </w:pPr>
            <w:r>
              <w:rPr>
                <w:spacing w:val="-1"/>
                <w:sz w:val="18"/>
                <w:szCs w:val="18"/>
              </w:rPr>
              <w:t>2058.8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0" w:hRule="atLeast"/>
        </w:trPr>
        <w:tc>
          <w:tcPr>
            <w:tcW w:w="823" w:type="dxa"/>
            <w:tcBorders>
              <w:left w:val="nil"/>
            </w:tcBorders>
            <w:vAlign w:val="top"/>
          </w:tcPr>
          <w:p>
            <w:pPr>
              <w:spacing w:before="69" w:line="220" w:lineRule="auto"/>
              <w:ind w:left="56"/>
              <w:rPr>
                <w:rFonts w:ascii="宋体" w:hAnsi="宋体" w:eastAsia="宋体" w:cs="宋体"/>
                <w:sz w:val="18"/>
                <w:szCs w:val="18"/>
              </w:rPr>
            </w:pPr>
            <w:r>
              <w:rPr>
                <w:rFonts w:ascii="宋体" w:hAnsi="宋体" w:eastAsia="宋体" w:cs="宋体"/>
                <w:spacing w:val="-2"/>
                <w:sz w:val="18"/>
                <w:szCs w:val="18"/>
              </w:rPr>
              <w:t>运行水深</w:t>
            </w:r>
          </w:p>
        </w:tc>
        <w:tc>
          <w:tcPr>
            <w:tcW w:w="596" w:type="dxa"/>
            <w:vAlign w:val="top"/>
          </w:tcPr>
          <w:p>
            <w:pPr>
              <w:pStyle w:val="6"/>
              <w:spacing w:before="101" w:line="188" w:lineRule="auto"/>
              <w:ind w:left="145"/>
              <w:rPr>
                <w:sz w:val="18"/>
                <w:szCs w:val="18"/>
              </w:rPr>
            </w:pPr>
            <w:r>
              <w:rPr>
                <w:spacing w:val="-2"/>
                <w:sz w:val="18"/>
                <w:szCs w:val="18"/>
              </w:rPr>
              <w:t>33.6</w:t>
            </w:r>
          </w:p>
        </w:tc>
        <w:tc>
          <w:tcPr>
            <w:tcW w:w="598" w:type="dxa"/>
            <w:vAlign w:val="top"/>
          </w:tcPr>
          <w:p>
            <w:pPr>
              <w:pStyle w:val="6"/>
              <w:spacing w:before="101" w:line="188" w:lineRule="auto"/>
              <w:ind w:left="147"/>
              <w:rPr>
                <w:sz w:val="18"/>
                <w:szCs w:val="18"/>
              </w:rPr>
            </w:pPr>
            <w:r>
              <w:rPr>
                <w:spacing w:val="-2"/>
                <w:sz w:val="18"/>
                <w:szCs w:val="18"/>
              </w:rPr>
              <w:t>33.3</w:t>
            </w:r>
          </w:p>
        </w:tc>
        <w:tc>
          <w:tcPr>
            <w:tcW w:w="596" w:type="dxa"/>
            <w:vAlign w:val="top"/>
          </w:tcPr>
          <w:p>
            <w:pPr>
              <w:pStyle w:val="6"/>
              <w:spacing w:before="101" w:line="188" w:lineRule="auto"/>
              <w:ind w:left="145"/>
              <w:rPr>
                <w:sz w:val="18"/>
                <w:szCs w:val="18"/>
              </w:rPr>
            </w:pPr>
            <w:r>
              <w:rPr>
                <w:spacing w:val="-2"/>
                <w:sz w:val="18"/>
                <w:szCs w:val="18"/>
              </w:rPr>
              <w:t>32.5</w:t>
            </w:r>
          </w:p>
        </w:tc>
        <w:tc>
          <w:tcPr>
            <w:tcW w:w="655" w:type="dxa"/>
            <w:vAlign w:val="top"/>
          </w:tcPr>
          <w:p>
            <w:pPr>
              <w:pStyle w:val="6"/>
              <w:spacing w:before="101" w:line="188" w:lineRule="auto"/>
              <w:ind w:left="175"/>
              <w:rPr>
                <w:sz w:val="18"/>
                <w:szCs w:val="18"/>
              </w:rPr>
            </w:pPr>
            <w:r>
              <w:rPr>
                <w:spacing w:val="-2"/>
                <w:sz w:val="18"/>
                <w:szCs w:val="18"/>
              </w:rPr>
              <w:t>31.3</w:t>
            </w:r>
          </w:p>
        </w:tc>
        <w:tc>
          <w:tcPr>
            <w:tcW w:w="686" w:type="dxa"/>
            <w:vAlign w:val="top"/>
          </w:tcPr>
          <w:p>
            <w:pPr>
              <w:pStyle w:val="6"/>
              <w:spacing w:before="101" w:line="188" w:lineRule="auto"/>
              <w:ind w:left="186"/>
              <w:rPr>
                <w:sz w:val="18"/>
                <w:szCs w:val="18"/>
              </w:rPr>
            </w:pPr>
            <w:r>
              <w:rPr>
                <w:spacing w:val="-1"/>
                <w:sz w:val="18"/>
                <w:szCs w:val="18"/>
              </w:rPr>
              <w:t>23.4</w:t>
            </w:r>
          </w:p>
        </w:tc>
        <w:tc>
          <w:tcPr>
            <w:tcW w:w="689" w:type="dxa"/>
            <w:vAlign w:val="top"/>
          </w:tcPr>
          <w:p>
            <w:pPr>
              <w:pStyle w:val="6"/>
              <w:spacing w:before="101" w:line="188" w:lineRule="auto"/>
              <w:ind w:left="303"/>
              <w:rPr>
                <w:sz w:val="18"/>
                <w:szCs w:val="18"/>
              </w:rPr>
            </w:pPr>
            <w:r>
              <w:rPr>
                <w:sz w:val="18"/>
                <w:szCs w:val="18"/>
              </w:rPr>
              <w:t>0</w:t>
            </w:r>
          </w:p>
        </w:tc>
        <w:tc>
          <w:tcPr>
            <w:tcW w:w="596" w:type="dxa"/>
            <w:vAlign w:val="top"/>
          </w:tcPr>
          <w:p>
            <w:pPr>
              <w:pStyle w:val="6"/>
              <w:spacing w:before="101" w:line="188" w:lineRule="auto"/>
              <w:ind w:left="226"/>
              <w:rPr>
                <w:sz w:val="18"/>
                <w:szCs w:val="18"/>
              </w:rPr>
            </w:pPr>
            <w:r>
              <w:rPr>
                <w:spacing w:val="-6"/>
                <w:sz w:val="18"/>
                <w:szCs w:val="18"/>
              </w:rPr>
              <w:t>17</w:t>
            </w:r>
          </w:p>
        </w:tc>
        <w:tc>
          <w:tcPr>
            <w:tcW w:w="596" w:type="dxa"/>
            <w:vAlign w:val="top"/>
          </w:tcPr>
          <w:p>
            <w:pPr>
              <w:pStyle w:val="6"/>
              <w:spacing w:before="101" w:line="188" w:lineRule="auto"/>
              <w:ind w:left="142"/>
              <w:rPr>
                <w:sz w:val="18"/>
                <w:szCs w:val="18"/>
              </w:rPr>
            </w:pPr>
            <w:r>
              <w:rPr>
                <w:spacing w:val="-1"/>
                <w:sz w:val="18"/>
                <w:szCs w:val="18"/>
              </w:rPr>
              <w:t>29.6</w:t>
            </w:r>
          </w:p>
        </w:tc>
        <w:tc>
          <w:tcPr>
            <w:tcW w:w="596" w:type="dxa"/>
            <w:vAlign w:val="top"/>
          </w:tcPr>
          <w:p>
            <w:pPr>
              <w:pStyle w:val="6"/>
              <w:spacing w:before="101" w:line="188" w:lineRule="auto"/>
              <w:ind w:left="146"/>
              <w:rPr>
                <w:sz w:val="18"/>
                <w:szCs w:val="18"/>
              </w:rPr>
            </w:pPr>
            <w:r>
              <w:rPr>
                <w:spacing w:val="-2"/>
                <w:sz w:val="18"/>
                <w:szCs w:val="18"/>
              </w:rPr>
              <w:t>35.3</w:t>
            </w:r>
          </w:p>
        </w:tc>
        <w:tc>
          <w:tcPr>
            <w:tcW w:w="596" w:type="dxa"/>
            <w:vAlign w:val="top"/>
          </w:tcPr>
          <w:p>
            <w:pPr>
              <w:pStyle w:val="6"/>
              <w:spacing w:before="101" w:line="188" w:lineRule="auto"/>
              <w:ind w:left="145"/>
              <w:rPr>
                <w:sz w:val="18"/>
                <w:szCs w:val="18"/>
              </w:rPr>
            </w:pPr>
            <w:r>
              <w:rPr>
                <w:spacing w:val="-2"/>
                <w:sz w:val="18"/>
                <w:szCs w:val="18"/>
              </w:rPr>
              <w:t>35.3</w:t>
            </w:r>
          </w:p>
        </w:tc>
        <w:tc>
          <w:tcPr>
            <w:tcW w:w="597" w:type="dxa"/>
            <w:vAlign w:val="top"/>
          </w:tcPr>
          <w:p>
            <w:pPr>
              <w:pStyle w:val="6"/>
              <w:spacing w:before="101" w:line="188" w:lineRule="auto"/>
              <w:ind w:left="146"/>
              <w:rPr>
                <w:sz w:val="18"/>
                <w:szCs w:val="18"/>
              </w:rPr>
            </w:pPr>
            <w:r>
              <w:rPr>
                <w:spacing w:val="-2"/>
                <w:sz w:val="18"/>
                <w:szCs w:val="18"/>
              </w:rPr>
              <w:t>34.7</w:t>
            </w:r>
          </w:p>
        </w:tc>
        <w:tc>
          <w:tcPr>
            <w:tcW w:w="683" w:type="dxa"/>
            <w:tcBorders>
              <w:right w:val="nil"/>
            </w:tcBorders>
            <w:vAlign w:val="top"/>
          </w:tcPr>
          <w:p>
            <w:pPr>
              <w:pStyle w:val="6"/>
              <w:spacing w:before="101" w:line="188" w:lineRule="auto"/>
              <w:ind w:left="191"/>
              <w:rPr>
                <w:sz w:val="18"/>
                <w:szCs w:val="18"/>
              </w:rPr>
            </w:pPr>
            <w:r>
              <w:rPr>
                <w:spacing w:val="-2"/>
                <w:sz w:val="18"/>
                <w:szCs w:val="18"/>
              </w:rPr>
              <w:t>34.6</w:t>
            </w:r>
          </w:p>
        </w:tc>
      </w:tr>
    </w:tbl>
    <w:p>
      <w:pPr>
        <w:spacing w:before="66" w:line="270" w:lineRule="auto"/>
        <w:ind w:left="51" w:right="191" w:hanging="14"/>
        <w:rPr>
          <w:rFonts w:ascii="宋体" w:hAnsi="宋体" w:eastAsia="宋体" w:cs="宋体"/>
          <w:sz w:val="18"/>
          <w:szCs w:val="18"/>
        </w:rPr>
      </w:pPr>
      <w:r>
        <w:rPr>
          <w:rFonts w:ascii="宋体" w:hAnsi="宋体" w:eastAsia="宋体" w:cs="宋体"/>
          <w:spacing w:val="-5"/>
          <w:sz w:val="18"/>
          <w:szCs w:val="18"/>
        </w:rPr>
        <w:t xml:space="preserve">注： </w:t>
      </w:r>
      <w:r>
        <w:rPr>
          <w:rFonts w:ascii="Times New Roman" w:hAnsi="Times New Roman" w:eastAsia="Times New Roman" w:cs="Times New Roman"/>
          <w:spacing w:val="-5"/>
          <w:sz w:val="18"/>
          <w:szCs w:val="18"/>
        </w:rPr>
        <w:t>1</w:t>
      </w:r>
      <w:r>
        <w:rPr>
          <w:rFonts w:ascii="宋体" w:hAnsi="宋体" w:eastAsia="宋体" w:cs="宋体"/>
          <w:spacing w:val="-5"/>
          <w:sz w:val="18"/>
          <w:szCs w:val="18"/>
        </w:rPr>
        <w:t xml:space="preserve">、本表中的运行水位采用 </w:t>
      </w:r>
      <w:r>
        <w:rPr>
          <w:rFonts w:ascii="Times New Roman" w:hAnsi="Times New Roman" w:eastAsia="Times New Roman" w:cs="Times New Roman"/>
          <w:spacing w:val="-5"/>
          <w:sz w:val="18"/>
          <w:szCs w:val="18"/>
        </w:rPr>
        <w:t>P=50%</w:t>
      </w:r>
      <w:r>
        <w:rPr>
          <w:rFonts w:ascii="宋体" w:hAnsi="宋体" w:eastAsia="宋体" w:cs="宋体"/>
          <w:spacing w:val="-5"/>
          <w:sz w:val="18"/>
          <w:szCs w:val="18"/>
        </w:rPr>
        <w:t>设计平水年数据；</w:t>
      </w:r>
      <w:r>
        <w:rPr>
          <w:rFonts w:ascii="宋体" w:hAnsi="宋体" w:eastAsia="宋体" w:cs="宋体"/>
          <w:spacing w:val="62"/>
          <w:sz w:val="18"/>
          <w:szCs w:val="18"/>
        </w:rPr>
        <w:t xml:space="preserve"> </w:t>
      </w:r>
      <w:r>
        <w:rPr>
          <w:rFonts w:ascii="Times New Roman" w:hAnsi="Times New Roman" w:eastAsia="Times New Roman" w:cs="Times New Roman"/>
          <w:spacing w:val="-5"/>
          <w:sz w:val="18"/>
          <w:szCs w:val="18"/>
        </w:rPr>
        <w:t>2</w:t>
      </w:r>
      <w:r>
        <w:rPr>
          <w:rFonts w:ascii="宋体" w:hAnsi="宋体" w:eastAsia="宋体" w:cs="宋体"/>
          <w:spacing w:val="-5"/>
          <w:sz w:val="18"/>
          <w:szCs w:val="18"/>
        </w:rPr>
        <w:t>、运行水深即为水库取水口取水水温层至库表</w:t>
      </w:r>
      <w:r>
        <w:rPr>
          <w:rFonts w:ascii="宋体" w:hAnsi="宋体" w:eastAsia="宋体" w:cs="宋体"/>
          <w:sz w:val="18"/>
          <w:szCs w:val="18"/>
        </w:rPr>
        <w:t xml:space="preserve"> </w:t>
      </w:r>
      <w:r>
        <w:rPr>
          <w:rFonts w:ascii="宋体" w:hAnsi="宋体" w:eastAsia="宋体" w:cs="宋体"/>
          <w:spacing w:val="-9"/>
          <w:sz w:val="18"/>
          <w:szCs w:val="18"/>
        </w:rPr>
        <w:t>的深度。</w:t>
      </w:r>
    </w:p>
    <w:p>
      <w:pPr>
        <w:spacing w:before="78" w:line="217" w:lineRule="auto"/>
        <w:ind w:left="517"/>
        <w:rPr>
          <w:rFonts w:ascii="宋体" w:hAnsi="宋体" w:eastAsia="宋体" w:cs="宋体"/>
          <w:sz w:val="24"/>
          <w:szCs w:val="24"/>
        </w:rPr>
      </w:pPr>
      <w:r>
        <w:rPr>
          <w:rFonts w:ascii="宋体" w:hAnsi="宋体" w:eastAsia="宋体" w:cs="宋体"/>
          <w:spacing w:val="-1"/>
          <w:sz w:val="24"/>
          <w:szCs w:val="24"/>
        </w:rPr>
        <w:t>⑤水库坝前垂向水温预测</w:t>
      </w:r>
    </w:p>
    <w:p>
      <w:pPr>
        <w:spacing w:before="184" w:line="359" w:lineRule="auto"/>
        <w:ind w:left="38" w:firstLine="483"/>
        <w:rPr>
          <w:rFonts w:ascii="宋体" w:hAnsi="宋体" w:eastAsia="宋体" w:cs="宋体"/>
          <w:sz w:val="24"/>
          <w:szCs w:val="24"/>
        </w:rPr>
      </w:pPr>
      <w:r>
        <w:rPr>
          <w:rFonts w:ascii="宋体" w:hAnsi="宋体" w:eastAsia="宋体" w:cs="宋体"/>
          <w:spacing w:val="-1"/>
          <w:sz w:val="24"/>
          <w:szCs w:val="24"/>
        </w:rPr>
        <w:t>水库水温分布包括横向水温分布和纵向水温分布。国内水库</w:t>
      </w:r>
      <w:r>
        <w:rPr>
          <w:rFonts w:ascii="宋体" w:hAnsi="宋体" w:eastAsia="宋体" w:cs="宋体"/>
          <w:spacing w:val="-2"/>
          <w:sz w:val="24"/>
          <w:szCs w:val="24"/>
        </w:rPr>
        <w:t>实测成果表明，</w:t>
      </w:r>
      <w:r>
        <w:rPr>
          <w:rFonts w:ascii="宋体" w:hAnsi="宋体" w:eastAsia="宋体" w:cs="宋体"/>
          <w:sz w:val="24"/>
          <w:szCs w:val="24"/>
        </w:rPr>
        <w:t xml:space="preserve"> </w:t>
      </w:r>
      <w:r>
        <w:rPr>
          <w:rFonts w:ascii="宋体" w:hAnsi="宋体" w:eastAsia="宋体" w:cs="宋体"/>
          <w:spacing w:val="-7"/>
          <w:sz w:val="24"/>
          <w:szCs w:val="24"/>
        </w:rPr>
        <w:t>瞬时水温等值线的走向基本上是水平的，</w:t>
      </w:r>
      <w:r>
        <w:rPr>
          <w:rFonts w:ascii="宋体" w:hAnsi="宋体" w:eastAsia="宋体" w:cs="宋体"/>
          <w:spacing w:val="28"/>
          <w:sz w:val="24"/>
          <w:szCs w:val="24"/>
        </w:rPr>
        <w:t xml:space="preserve"> </w:t>
      </w:r>
      <w:r>
        <w:rPr>
          <w:rFonts w:ascii="宋体" w:hAnsi="宋体" w:eastAsia="宋体" w:cs="宋体"/>
          <w:spacing w:val="-7"/>
          <w:sz w:val="24"/>
          <w:szCs w:val="24"/>
        </w:rPr>
        <w:t>只是在库岸、浅滩附近</w:t>
      </w:r>
      <w:r>
        <w:rPr>
          <w:rFonts w:ascii="宋体" w:hAnsi="宋体" w:eastAsia="宋体" w:cs="宋体"/>
          <w:spacing w:val="-8"/>
          <w:sz w:val="24"/>
          <w:szCs w:val="24"/>
        </w:rPr>
        <w:t>或有洪水入库扰</w:t>
      </w:r>
      <w:r>
        <w:rPr>
          <w:rFonts w:ascii="宋体" w:hAnsi="宋体" w:eastAsia="宋体" w:cs="宋体"/>
          <w:sz w:val="24"/>
          <w:szCs w:val="24"/>
        </w:rPr>
        <w:t xml:space="preserve"> </w:t>
      </w:r>
      <w:r>
        <w:rPr>
          <w:rFonts w:ascii="宋体" w:hAnsi="宋体" w:eastAsia="宋体" w:cs="宋体"/>
          <w:spacing w:val="-24"/>
          <w:sz w:val="24"/>
          <w:szCs w:val="24"/>
        </w:rPr>
        <w:t>动时各别情况例外，</w:t>
      </w:r>
      <w:r>
        <w:rPr>
          <w:rFonts w:ascii="宋体" w:hAnsi="宋体" w:eastAsia="宋体" w:cs="宋体"/>
          <w:spacing w:val="59"/>
          <w:sz w:val="24"/>
          <w:szCs w:val="24"/>
        </w:rPr>
        <w:t xml:space="preserve"> </w:t>
      </w:r>
      <w:r>
        <w:rPr>
          <w:rFonts w:ascii="宋体" w:hAnsi="宋体" w:eastAsia="宋体" w:cs="宋体"/>
          <w:spacing w:val="-24"/>
          <w:sz w:val="24"/>
          <w:szCs w:val="24"/>
        </w:rPr>
        <w:t>即使有波动，</w:t>
      </w:r>
      <w:r>
        <w:rPr>
          <w:rFonts w:ascii="宋体" w:hAnsi="宋体" w:eastAsia="宋体" w:cs="宋体"/>
          <w:spacing w:val="39"/>
          <w:sz w:val="24"/>
          <w:szCs w:val="24"/>
        </w:rPr>
        <w:t xml:space="preserve"> </w:t>
      </w:r>
      <w:r>
        <w:rPr>
          <w:rFonts w:ascii="宋体" w:hAnsi="宋体" w:eastAsia="宋体" w:cs="宋体"/>
          <w:spacing w:val="-24"/>
          <w:sz w:val="24"/>
          <w:szCs w:val="24"/>
        </w:rPr>
        <w:t>仅仅是局部的和临时的，</w:t>
      </w:r>
      <w:r>
        <w:rPr>
          <w:rFonts w:ascii="宋体" w:hAnsi="宋体" w:eastAsia="宋体" w:cs="宋体"/>
          <w:spacing w:val="42"/>
          <w:sz w:val="24"/>
          <w:szCs w:val="24"/>
        </w:rPr>
        <w:t xml:space="preserve"> </w:t>
      </w:r>
      <w:r>
        <w:rPr>
          <w:rFonts w:ascii="宋体" w:hAnsi="宋体" w:eastAsia="宋体" w:cs="宋体"/>
          <w:spacing w:val="-24"/>
          <w:sz w:val="24"/>
          <w:szCs w:val="24"/>
        </w:rPr>
        <w:t>且温差很小；</w:t>
      </w:r>
      <w:r>
        <w:rPr>
          <w:rFonts w:ascii="宋体" w:hAnsi="宋体" w:eastAsia="宋体" w:cs="宋体"/>
          <w:spacing w:val="46"/>
          <w:sz w:val="24"/>
          <w:szCs w:val="24"/>
        </w:rPr>
        <w:t xml:space="preserve"> </w:t>
      </w:r>
      <w:r>
        <w:rPr>
          <w:rFonts w:ascii="宋体" w:hAnsi="宋体" w:eastAsia="宋体" w:cs="宋体"/>
          <w:spacing w:val="-24"/>
          <w:sz w:val="24"/>
          <w:szCs w:val="24"/>
        </w:rPr>
        <w:t>年、</w:t>
      </w:r>
      <w:r>
        <w:rPr>
          <w:rFonts w:ascii="宋体" w:hAnsi="宋体" w:eastAsia="宋体" w:cs="宋体"/>
          <w:spacing w:val="-51"/>
          <w:sz w:val="24"/>
          <w:szCs w:val="24"/>
        </w:rPr>
        <w:t xml:space="preserve"> </w:t>
      </w:r>
      <w:r>
        <w:rPr>
          <w:rFonts w:ascii="宋体" w:hAnsi="宋体" w:eastAsia="宋体" w:cs="宋体"/>
          <w:spacing w:val="-24"/>
          <w:sz w:val="24"/>
          <w:szCs w:val="24"/>
        </w:rPr>
        <w:t>月</w:t>
      </w:r>
      <w:r>
        <w:rPr>
          <w:rFonts w:ascii="宋体" w:hAnsi="宋体" w:eastAsia="宋体" w:cs="宋体"/>
          <w:sz w:val="24"/>
          <w:szCs w:val="24"/>
        </w:rPr>
        <w:t xml:space="preserve"> </w:t>
      </w:r>
      <w:r>
        <w:rPr>
          <w:rFonts w:ascii="宋体" w:hAnsi="宋体" w:eastAsia="宋体" w:cs="宋体"/>
          <w:spacing w:val="-7"/>
          <w:sz w:val="24"/>
          <w:szCs w:val="24"/>
        </w:rPr>
        <w:t>平均水温等值线几乎完全是水平的。故本次只预测水库水</w:t>
      </w:r>
      <w:r>
        <w:rPr>
          <w:rFonts w:ascii="宋体" w:hAnsi="宋体" w:eastAsia="宋体" w:cs="宋体"/>
          <w:spacing w:val="-8"/>
          <w:sz w:val="24"/>
          <w:szCs w:val="24"/>
        </w:rPr>
        <w:t>温的垂向分布情况，</w:t>
      </w:r>
      <w:r>
        <w:rPr>
          <w:rFonts w:ascii="宋体" w:hAnsi="宋体" w:eastAsia="宋体" w:cs="宋体"/>
          <w:spacing w:val="32"/>
          <w:sz w:val="24"/>
          <w:szCs w:val="24"/>
        </w:rPr>
        <w:t xml:space="preserve"> </w:t>
      </w:r>
      <w:r>
        <w:rPr>
          <w:rFonts w:ascii="宋体" w:hAnsi="宋体" w:eastAsia="宋体" w:cs="宋体"/>
          <w:spacing w:val="-8"/>
          <w:sz w:val="24"/>
          <w:szCs w:val="24"/>
        </w:rPr>
        <w:t>即</w:t>
      </w:r>
      <w:r>
        <w:rPr>
          <w:rFonts w:ascii="宋体" w:hAnsi="宋体" w:eastAsia="宋体" w:cs="宋体"/>
          <w:sz w:val="24"/>
          <w:szCs w:val="24"/>
        </w:rPr>
        <w:t xml:space="preserve"> </w:t>
      </w:r>
      <w:r>
        <w:rPr>
          <w:rFonts w:ascii="宋体" w:hAnsi="宋体" w:eastAsia="宋体" w:cs="宋体"/>
          <w:spacing w:val="-3"/>
          <w:sz w:val="24"/>
          <w:szCs w:val="24"/>
        </w:rPr>
        <w:t>水库坝前各深度逐月平均水温。预测公式采用水利部东北勘测设计研究院的经验</w:t>
      </w:r>
    </w:p>
    <w:p>
      <w:pPr>
        <w:spacing w:before="2" w:line="220" w:lineRule="auto"/>
        <w:ind w:left="46"/>
        <w:rPr>
          <w:rFonts w:ascii="宋体" w:hAnsi="宋体" w:eastAsia="宋体" w:cs="宋体"/>
          <w:sz w:val="24"/>
          <w:szCs w:val="24"/>
        </w:rPr>
      </w:pPr>
      <w:r>
        <w:rPr>
          <w:rFonts w:ascii="宋体" w:hAnsi="宋体" w:eastAsia="宋体" w:cs="宋体"/>
          <w:spacing w:val="-16"/>
          <w:sz w:val="24"/>
          <w:szCs w:val="24"/>
        </w:rPr>
        <w:t>公式：</w:t>
      </w:r>
    </w:p>
    <w:p>
      <w:pPr>
        <w:spacing w:before="216" w:line="2039" w:lineRule="exact"/>
        <w:ind w:firstLine="2638"/>
      </w:pPr>
      <w:r>
        <w:rPr>
          <w:position w:val="-40"/>
        </w:rPr>
        <w:drawing>
          <wp:inline distT="0" distB="0" distL="0" distR="0">
            <wp:extent cx="1960880" cy="129476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02"/>
                    <a:stretch>
                      <a:fillRect/>
                    </a:stretch>
                  </pic:blipFill>
                  <pic:spPr>
                    <a:xfrm>
                      <a:off x="0" y="0"/>
                      <a:ext cx="1961514" cy="1294765"/>
                    </a:xfrm>
                    <a:prstGeom prst="rect">
                      <a:avLst/>
                    </a:prstGeom>
                  </pic:spPr>
                </pic:pic>
              </a:graphicData>
            </a:graphic>
          </wp:inline>
        </w:drawing>
      </w:r>
    </w:p>
    <w:p>
      <w:pPr>
        <w:spacing w:before="109" w:line="466" w:lineRule="exact"/>
        <w:ind w:left="524"/>
        <w:rPr>
          <w:rFonts w:ascii="宋体" w:hAnsi="宋体" w:eastAsia="宋体" w:cs="宋体"/>
          <w:sz w:val="24"/>
          <w:szCs w:val="24"/>
        </w:rPr>
      </w:pPr>
      <w:r>
        <w:rPr>
          <w:rFonts w:ascii="宋体" w:hAnsi="宋体" w:eastAsia="宋体" w:cs="宋体"/>
          <w:spacing w:val="-2"/>
          <w:position w:val="17"/>
          <w:sz w:val="24"/>
          <w:szCs w:val="24"/>
        </w:rPr>
        <w:t>式中：</w:t>
      </w:r>
      <w:r>
        <w:rPr>
          <w:rFonts w:ascii="宋体" w:hAnsi="宋体" w:eastAsia="宋体" w:cs="宋体"/>
          <w:spacing w:val="-17"/>
          <w:position w:val="17"/>
          <w:sz w:val="24"/>
          <w:szCs w:val="24"/>
        </w:rPr>
        <w:t xml:space="preserve"> </w:t>
      </w:r>
      <w:r>
        <w:rPr>
          <w:rFonts w:ascii="Times New Roman" w:hAnsi="Times New Roman" w:eastAsia="Times New Roman" w:cs="Times New Roman"/>
          <w:spacing w:val="-2"/>
          <w:position w:val="17"/>
          <w:sz w:val="24"/>
          <w:szCs w:val="24"/>
        </w:rPr>
        <w:t>Ty</w:t>
      </w:r>
      <w:r>
        <w:rPr>
          <w:rFonts w:ascii="宋体" w:hAnsi="宋体" w:eastAsia="宋体" w:cs="宋体"/>
          <w:spacing w:val="-2"/>
          <w:position w:val="17"/>
          <w:sz w:val="24"/>
          <w:szCs w:val="24"/>
        </w:rPr>
        <w:t>——水深</w:t>
      </w:r>
      <w:r>
        <w:rPr>
          <w:rFonts w:ascii="宋体" w:hAnsi="宋体" w:eastAsia="宋体" w:cs="宋体"/>
          <w:spacing w:val="-59"/>
          <w:position w:val="17"/>
          <w:sz w:val="24"/>
          <w:szCs w:val="24"/>
        </w:rPr>
        <w:t xml:space="preserve"> </w:t>
      </w:r>
      <w:r>
        <w:rPr>
          <w:rFonts w:ascii="Times New Roman" w:hAnsi="Times New Roman" w:eastAsia="Times New Roman" w:cs="Times New Roman"/>
          <w:spacing w:val="-2"/>
          <w:position w:val="17"/>
          <w:sz w:val="24"/>
          <w:szCs w:val="24"/>
        </w:rPr>
        <w:t xml:space="preserve">y </w:t>
      </w:r>
      <w:r>
        <w:rPr>
          <w:rFonts w:ascii="宋体" w:hAnsi="宋体" w:eastAsia="宋体" w:cs="宋体"/>
          <w:spacing w:val="-2"/>
          <w:position w:val="17"/>
          <w:sz w:val="24"/>
          <w:szCs w:val="24"/>
        </w:rPr>
        <w:t>处的月平均水温(℃);</w:t>
      </w:r>
    </w:p>
    <w:p>
      <w:pPr>
        <w:spacing w:before="1" w:line="219" w:lineRule="auto"/>
        <w:ind w:left="1237"/>
        <w:rPr>
          <w:rFonts w:ascii="宋体" w:hAnsi="宋体" w:eastAsia="宋体" w:cs="宋体"/>
          <w:sz w:val="24"/>
          <w:szCs w:val="24"/>
        </w:rPr>
      </w:pPr>
      <w:r>
        <w:rPr>
          <w:rFonts w:ascii="Times New Roman" w:hAnsi="Times New Roman" w:eastAsia="Times New Roman" w:cs="Times New Roman"/>
          <w:spacing w:val="5"/>
          <w:sz w:val="24"/>
          <w:szCs w:val="24"/>
        </w:rPr>
        <w:t>T0</w:t>
      </w:r>
      <w:r>
        <w:rPr>
          <w:rFonts w:ascii="宋体" w:hAnsi="宋体" w:eastAsia="宋体" w:cs="宋体"/>
          <w:spacing w:val="5"/>
          <w:sz w:val="24"/>
          <w:szCs w:val="24"/>
        </w:rPr>
        <w:t>——水库表面月平均水温(℃);</w:t>
      </w:r>
    </w:p>
    <w:p>
      <w:pPr>
        <w:spacing w:before="182" w:line="212" w:lineRule="auto"/>
        <w:ind w:left="1231"/>
        <w:rPr>
          <w:rFonts w:ascii="宋体" w:hAnsi="宋体" w:eastAsia="宋体" w:cs="宋体"/>
          <w:sz w:val="24"/>
          <w:szCs w:val="24"/>
        </w:rPr>
      </w:pPr>
      <w:r>
        <w:rPr>
          <w:rFonts w:ascii="Times New Roman" w:hAnsi="Times New Roman" w:eastAsia="Times New Roman" w:cs="Times New Roman"/>
          <w:spacing w:val="-1"/>
          <w:sz w:val="24"/>
          <w:szCs w:val="24"/>
        </w:rPr>
        <w:t>y</w:t>
      </w:r>
      <w:r>
        <w:rPr>
          <w:rFonts w:ascii="宋体" w:hAnsi="宋体" w:eastAsia="宋体" w:cs="宋体"/>
          <w:spacing w:val="-1"/>
          <w:sz w:val="24"/>
          <w:szCs w:val="24"/>
        </w:rPr>
        <w:t>——水深（</w:t>
      </w:r>
      <w:r>
        <w:rPr>
          <w:rFonts w:ascii="Times New Roman" w:hAnsi="Times New Roman" w:eastAsia="Times New Roman" w:cs="Times New Roman"/>
          <w:spacing w:val="-1"/>
          <w:sz w:val="24"/>
          <w:szCs w:val="24"/>
        </w:rPr>
        <w:t>m</w:t>
      </w:r>
      <w:r>
        <w:rPr>
          <w:rFonts w:ascii="宋体" w:hAnsi="宋体" w:eastAsia="宋体" w:cs="宋体"/>
          <w:spacing w:val="-42"/>
          <w:sz w:val="24"/>
          <w:szCs w:val="24"/>
        </w:rPr>
        <w:t>）；</w:t>
      </w:r>
    </w:p>
    <w:p>
      <w:pPr>
        <w:spacing w:before="191" w:line="233" w:lineRule="auto"/>
        <w:ind w:left="1231"/>
        <w:rPr>
          <w:rFonts w:ascii="宋体" w:hAnsi="宋体" w:eastAsia="宋体" w:cs="宋体"/>
          <w:sz w:val="24"/>
          <w:szCs w:val="24"/>
        </w:rPr>
      </w:pPr>
      <w:r>
        <w:rPr>
          <w:rFonts w:ascii="Times New Roman" w:hAnsi="Times New Roman" w:eastAsia="Times New Roman" w:cs="Times New Roman"/>
          <w:spacing w:val="-12"/>
          <w:sz w:val="24"/>
          <w:szCs w:val="24"/>
        </w:rPr>
        <w:t>m</w:t>
      </w:r>
      <w:r>
        <w:rPr>
          <w:rFonts w:ascii="宋体" w:hAnsi="宋体" w:eastAsia="宋体" w:cs="宋体"/>
          <w:spacing w:val="-12"/>
          <w:sz w:val="24"/>
          <w:szCs w:val="24"/>
        </w:rPr>
        <w:t xml:space="preserve">——月份， </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19"/>
          <w:sz w:val="24"/>
          <w:szCs w:val="24"/>
        </w:rPr>
        <w:t xml:space="preserve"> </w:t>
      </w:r>
      <w:r>
        <w:rPr>
          <w:rFonts w:ascii="宋体" w:hAnsi="宋体" w:eastAsia="宋体" w:cs="宋体"/>
          <w:spacing w:val="-12"/>
          <w:sz w:val="24"/>
          <w:szCs w:val="24"/>
        </w:rPr>
        <w:t>，</w:t>
      </w:r>
      <w:r>
        <w:rPr>
          <w:rFonts w:ascii="Times New Roman" w:hAnsi="Times New Roman" w:eastAsia="Times New Roman" w:cs="Times New Roman"/>
          <w:spacing w:val="-12"/>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12"/>
          <w:sz w:val="24"/>
          <w:szCs w:val="24"/>
        </w:rPr>
        <w:t>，</w:t>
      </w:r>
      <w:r>
        <w:rPr>
          <w:rFonts w:ascii="Times New Roman" w:hAnsi="Times New Roman" w:eastAsia="Times New Roman" w:cs="Times New Roman"/>
          <w:spacing w:val="-12"/>
          <w:sz w:val="24"/>
          <w:szCs w:val="24"/>
        </w:rPr>
        <w:t>3</w:t>
      </w:r>
      <w:r>
        <w:rPr>
          <w:rFonts w:ascii="Times New Roman" w:hAnsi="Times New Roman" w:eastAsia="Times New Roman" w:cs="Times New Roman"/>
          <w:spacing w:val="-33"/>
          <w:sz w:val="24"/>
          <w:szCs w:val="24"/>
        </w:rPr>
        <w:t xml:space="preserve"> </w:t>
      </w:r>
      <w:r>
        <w:rPr>
          <w:rFonts w:ascii="宋体" w:hAnsi="宋体" w:eastAsia="宋体" w:cs="宋体"/>
          <w:spacing w:val="-12"/>
          <w:sz w:val="24"/>
          <w:szCs w:val="24"/>
        </w:rPr>
        <w:t>，……</w:t>
      </w:r>
      <w:r>
        <w:rPr>
          <w:rFonts w:ascii="Times New Roman" w:hAnsi="Times New Roman" w:eastAsia="Times New Roman" w:cs="Times New Roman"/>
          <w:spacing w:val="-12"/>
          <w:sz w:val="24"/>
          <w:szCs w:val="24"/>
        </w:rPr>
        <w:t>12</w:t>
      </w:r>
      <w:r>
        <w:rPr>
          <w:rFonts w:ascii="宋体" w:hAnsi="宋体" w:eastAsia="宋体" w:cs="宋体"/>
          <w:spacing w:val="-12"/>
          <w:sz w:val="24"/>
          <w:szCs w:val="24"/>
        </w:rPr>
        <w:t>；</w:t>
      </w:r>
    </w:p>
    <w:p>
      <w:pPr>
        <w:spacing w:before="164" w:line="466" w:lineRule="exact"/>
        <w:ind w:right="66"/>
        <w:jc w:val="right"/>
        <w:rPr>
          <w:rFonts w:ascii="宋体" w:hAnsi="宋体" w:eastAsia="宋体" w:cs="宋体"/>
          <w:sz w:val="24"/>
          <w:szCs w:val="24"/>
        </w:rPr>
      </w:pPr>
      <w:r>
        <w:rPr>
          <w:rFonts w:ascii="Times New Roman" w:hAnsi="Times New Roman" w:eastAsia="Times New Roman" w:cs="Times New Roman"/>
          <w:position w:val="17"/>
          <w:sz w:val="24"/>
          <w:szCs w:val="24"/>
        </w:rPr>
        <w:t>Tb</w:t>
      </w:r>
      <w:r>
        <w:rPr>
          <w:rFonts w:ascii="宋体" w:hAnsi="宋体" w:eastAsia="宋体" w:cs="宋体"/>
          <w:spacing w:val="8"/>
          <w:position w:val="17"/>
          <w:sz w:val="24"/>
          <w:szCs w:val="24"/>
        </w:rPr>
        <w:t>：库底月平均水温(℃);对于分层型水库，各月库底水温与其年</w:t>
      </w:r>
    </w:p>
    <w:p>
      <w:pPr>
        <w:spacing w:before="1" w:line="233" w:lineRule="auto"/>
        <w:ind w:left="40"/>
        <w:rPr>
          <w:rFonts w:ascii="宋体" w:hAnsi="宋体" w:eastAsia="宋体" w:cs="宋体"/>
          <w:sz w:val="24"/>
          <w:szCs w:val="24"/>
        </w:rPr>
      </w:pPr>
      <w:r>
        <w:rPr>
          <w:rFonts w:ascii="宋体" w:hAnsi="宋体" w:eastAsia="宋体" w:cs="宋体"/>
          <w:spacing w:val="2"/>
          <w:sz w:val="24"/>
          <w:szCs w:val="24"/>
        </w:rPr>
        <w:t>均值差别甚小，可用年均值代替；该式适用于</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23°~44°</w:t>
      </w:r>
      <w:r>
        <w:rPr>
          <w:rFonts w:ascii="宋体" w:hAnsi="宋体" w:eastAsia="宋体" w:cs="宋体"/>
          <w:spacing w:val="2"/>
          <w:sz w:val="24"/>
          <w:szCs w:val="24"/>
        </w:rPr>
        <w:t>N地区。</w:t>
      </w:r>
    </w:p>
    <w:p>
      <w:pPr>
        <w:spacing w:before="163" w:line="220" w:lineRule="auto"/>
        <w:ind w:left="519"/>
        <w:rPr>
          <w:rFonts w:ascii="宋体" w:hAnsi="宋体" w:eastAsia="宋体" w:cs="宋体"/>
          <w:sz w:val="24"/>
          <w:szCs w:val="24"/>
        </w:rPr>
      </w:pPr>
      <w:r>
        <w:rPr>
          <w:rFonts w:ascii="宋体" w:hAnsi="宋体" w:eastAsia="宋体" w:cs="宋体"/>
          <w:spacing w:val="-7"/>
          <w:sz w:val="24"/>
          <w:szCs w:val="24"/>
        </w:rPr>
        <w:t>根据以上条件分析计算，</w:t>
      </w:r>
      <w:r>
        <w:rPr>
          <w:rFonts w:ascii="宋体" w:hAnsi="宋体" w:eastAsia="宋体" w:cs="宋体"/>
          <w:spacing w:val="64"/>
          <w:sz w:val="24"/>
          <w:szCs w:val="24"/>
        </w:rPr>
        <w:t xml:space="preserve"> </w:t>
      </w:r>
      <w:r>
        <w:rPr>
          <w:rFonts w:ascii="宋体" w:hAnsi="宋体" w:eastAsia="宋体" w:cs="宋体"/>
          <w:spacing w:val="-7"/>
          <w:sz w:val="24"/>
          <w:szCs w:val="24"/>
        </w:rPr>
        <w:t>桂花水库不同水深情况下坝前水温预测见下表。</w:t>
      </w:r>
    </w:p>
    <w:p>
      <w:pPr>
        <w:spacing w:before="289" w:line="215" w:lineRule="auto"/>
        <w:ind w:left="2516"/>
        <w:rPr>
          <w:rFonts w:ascii="Times New Roman" w:hAnsi="Times New Roman" w:eastAsia="Times New Roman" w:cs="Times New Roman"/>
          <w:sz w:val="21"/>
          <w:szCs w:val="21"/>
        </w:rPr>
      </w:pPr>
      <w:r>
        <w:rPr>
          <w:rFonts w:ascii="宋体" w:hAnsi="宋体" w:eastAsia="宋体" w:cs="宋体"/>
          <w:spacing w:val="-5"/>
          <w:sz w:val="21"/>
          <w:szCs w:val="21"/>
          <w14:textOutline w14:w="3810" w14:cap="flat" w14:cmpd="sng">
            <w14:solidFill>
              <w14:srgbClr w14:val="000000"/>
            </w14:solidFill>
            <w14:prstDash w14:val="solid"/>
            <w14:miter w14:val="0"/>
          </w14:textOutline>
        </w:rPr>
        <w:t>表</w:t>
      </w:r>
      <w:r>
        <w:rPr>
          <w:rFonts w:ascii="宋体" w:hAnsi="宋体" w:eastAsia="宋体" w:cs="宋体"/>
          <w:spacing w:val="-25"/>
          <w:sz w:val="21"/>
          <w:szCs w:val="21"/>
        </w:rPr>
        <w:t xml:space="preserve"> </w:t>
      </w:r>
      <w:r>
        <w:rPr>
          <w:rFonts w:ascii="Times New Roman" w:hAnsi="Times New Roman" w:eastAsia="Times New Roman" w:cs="Times New Roman"/>
          <w:b/>
          <w:bCs/>
          <w:spacing w:val="-5"/>
          <w:sz w:val="21"/>
          <w:szCs w:val="21"/>
        </w:rPr>
        <w:t xml:space="preserve">4.2-11    </w:t>
      </w:r>
      <w:r>
        <w:rPr>
          <w:rFonts w:ascii="宋体" w:hAnsi="宋体" w:eastAsia="宋体" w:cs="宋体"/>
          <w:spacing w:val="-5"/>
          <w:sz w:val="21"/>
          <w:szCs w:val="21"/>
          <w14:textOutline w14:w="3810" w14:cap="flat" w14:cmpd="sng">
            <w14:solidFill>
              <w14:srgbClr w14:val="000000"/>
            </w14:solidFill>
            <w14:prstDash w14:val="solid"/>
            <w14:miter w14:val="0"/>
          </w14:textOutline>
        </w:rPr>
        <w:t>水库运行水温</w:t>
      </w:r>
      <w:r>
        <w:rPr>
          <w:rFonts w:ascii="宋体" w:hAnsi="宋体" w:eastAsia="宋体" w:cs="宋体"/>
          <w:spacing w:val="19"/>
          <w:sz w:val="21"/>
          <w:szCs w:val="21"/>
        </w:rPr>
        <w:t xml:space="preserve"> </w:t>
      </w:r>
      <w:r>
        <w:rPr>
          <w:rFonts w:ascii="宋体" w:hAnsi="宋体" w:eastAsia="宋体" w:cs="宋体"/>
          <w:spacing w:val="-5"/>
          <w:sz w:val="21"/>
          <w:szCs w:val="21"/>
          <w14:textOutline w14:w="3810" w14:cap="flat" w14:cmpd="sng">
            <w14:solidFill>
              <w14:srgbClr w14:val="000000"/>
            </w14:solidFill>
            <w14:prstDash w14:val="solid"/>
            <w14:miter w14:val="0"/>
          </w14:textOutline>
        </w:rPr>
        <w:t>单位：</w:t>
      </w:r>
      <w:r>
        <w:rPr>
          <w:rFonts w:ascii="宋体" w:hAnsi="宋体" w:eastAsia="宋体" w:cs="宋体"/>
          <w:spacing w:val="14"/>
          <w:sz w:val="21"/>
          <w:szCs w:val="21"/>
        </w:rPr>
        <w:t xml:space="preserve"> </w:t>
      </w:r>
      <w:r>
        <w:rPr>
          <w:rFonts w:ascii="宋体" w:hAnsi="宋体" w:eastAsia="宋体" w:cs="宋体"/>
          <w:spacing w:val="-5"/>
          <w:sz w:val="21"/>
          <w:szCs w:val="21"/>
          <w14:textOutline w14:w="3810" w14:cap="flat" w14:cmpd="sng">
            <w14:solidFill>
              <w14:srgbClr w14:val="000000"/>
            </w14:solidFill>
            <w14:prstDash w14:val="solid"/>
            <w14:miter w14:val="0"/>
          </w14:textOutline>
        </w:rPr>
        <w:t>水温</w:t>
      </w:r>
      <w:r>
        <w:rPr>
          <w:rFonts w:ascii="Times New Roman" w:hAnsi="Times New Roman" w:eastAsia="Times New Roman" w:cs="Times New Roman"/>
          <w:b/>
          <w:bCs/>
          <w:spacing w:val="-5"/>
          <w:sz w:val="21"/>
          <w:szCs w:val="21"/>
        </w:rPr>
        <w:t>(</w:t>
      </w:r>
      <w:r>
        <w:rPr>
          <w:rFonts w:ascii="宋体" w:hAnsi="宋体" w:eastAsia="宋体" w:cs="宋体"/>
          <w:spacing w:val="-5"/>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5"/>
          <w:sz w:val="21"/>
          <w:szCs w:val="21"/>
        </w:rPr>
        <w:t>)</w:t>
      </w:r>
    </w:p>
    <w:p>
      <w:pPr>
        <w:spacing w:line="157" w:lineRule="exact"/>
      </w:pPr>
    </w:p>
    <w:tbl>
      <w:tblPr>
        <w:tblStyle w:val="5"/>
        <w:tblW w:w="8340"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8"/>
        <w:gridCol w:w="552"/>
        <w:gridCol w:w="558"/>
        <w:gridCol w:w="632"/>
        <w:gridCol w:w="551"/>
        <w:gridCol w:w="552"/>
        <w:gridCol w:w="554"/>
        <w:gridCol w:w="556"/>
        <w:gridCol w:w="554"/>
        <w:gridCol w:w="558"/>
        <w:gridCol w:w="578"/>
        <w:gridCol w:w="554"/>
        <w:gridCol w:w="5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2" w:hRule="atLeast"/>
        </w:trPr>
        <w:tc>
          <w:tcPr>
            <w:tcW w:w="1548" w:type="dxa"/>
            <w:tcBorders>
              <w:left w:val="nil"/>
              <w:tl2br w:val="single" w:color="000000" w:sz="2" w:space="0"/>
            </w:tcBorders>
            <w:vAlign w:val="top"/>
          </w:tcPr>
          <w:p>
            <w:pPr>
              <w:pStyle w:val="6"/>
              <w:spacing w:before="55" w:line="249" w:lineRule="auto"/>
              <w:ind w:left="283" w:right="274" w:firstLine="466"/>
              <w:rPr>
                <w:rFonts w:ascii="仿宋" w:hAnsi="仿宋" w:eastAsia="仿宋" w:cs="仿宋"/>
              </w:rPr>
            </w:pPr>
            <w:r>
              <w:rPr>
                <w:rFonts w:ascii="仿宋" w:hAnsi="仿宋" w:eastAsia="仿宋" w:cs="仿宋"/>
                <w:spacing w:val="-12"/>
                <w14:textOutline w14:w="3810" w14:cap="flat" w14:cmpd="sng">
                  <w14:solidFill>
                    <w14:srgbClr w14:val="000000"/>
                  </w14:solidFill>
                  <w14:prstDash w14:val="solid"/>
                  <w14:miter w14:val="0"/>
                </w14:textOutline>
              </w:rPr>
              <w:t>月份</w:t>
            </w:r>
            <w:r>
              <w:rPr>
                <w:rFonts w:ascii="仿宋" w:hAnsi="仿宋" w:eastAsia="仿宋" w:cs="仿宋"/>
              </w:rPr>
              <w:t xml:space="preserve">  </w:t>
            </w:r>
            <w:r>
              <w:rPr>
                <w:rFonts w:ascii="仿宋" w:hAnsi="仿宋" w:eastAsia="仿宋" w:cs="仿宋"/>
                <w:spacing w:val="-6"/>
                <w14:textOutline w14:w="3810" w14:cap="flat" w14:cmpd="sng">
                  <w14:solidFill>
                    <w14:srgbClr w14:val="000000"/>
                  </w14:solidFill>
                  <w14:prstDash w14:val="solid"/>
                  <w14:miter w14:val="0"/>
                </w14:textOutline>
              </w:rPr>
              <w:t>水深（</w:t>
            </w:r>
            <w:r>
              <w:rPr>
                <w:b/>
                <w:bCs/>
                <w:spacing w:val="-6"/>
              </w:rPr>
              <w:t>m</w:t>
            </w:r>
            <w:r>
              <w:rPr>
                <w:rFonts w:ascii="仿宋" w:hAnsi="仿宋" w:eastAsia="仿宋" w:cs="仿宋"/>
                <w:spacing w:val="-6"/>
                <w14:textOutline w14:w="3810" w14:cap="flat" w14:cmpd="sng">
                  <w14:solidFill>
                    <w14:srgbClr w14:val="000000"/>
                  </w14:solidFill>
                  <w14:prstDash w14:val="solid"/>
                  <w14:miter w14:val="0"/>
                </w14:textOutline>
              </w:rPr>
              <w:t>）</w:t>
            </w:r>
          </w:p>
        </w:tc>
        <w:tc>
          <w:tcPr>
            <w:tcW w:w="552" w:type="dxa"/>
            <w:vAlign w:val="top"/>
          </w:tcPr>
          <w:p>
            <w:pPr>
              <w:pStyle w:val="6"/>
              <w:spacing w:before="211" w:line="219" w:lineRule="auto"/>
              <w:ind w:left="102"/>
              <w:rPr>
                <w:rFonts w:ascii="仿宋" w:hAnsi="仿宋" w:eastAsia="仿宋" w:cs="仿宋"/>
              </w:rPr>
            </w:pPr>
            <w:r>
              <w:rPr>
                <w:b/>
                <w:bCs/>
                <w:spacing w:val="-7"/>
              </w:rPr>
              <w:t>1</w:t>
            </w:r>
            <w:r>
              <w:rPr>
                <w:b/>
                <w:bCs/>
                <w:spacing w:val="24"/>
                <w:w w:val="101"/>
              </w:rPr>
              <w:t xml:space="preserve"> </w:t>
            </w:r>
            <w:r>
              <w:rPr>
                <w:rFonts w:ascii="仿宋" w:hAnsi="仿宋" w:eastAsia="仿宋" w:cs="仿宋"/>
                <w:spacing w:val="-7"/>
                <w14:textOutline w14:w="3810" w14:cap="flat" w14:cmpd="sng">
                  <w14:solidFill>
                    <w14:srgbClr w14:val="000000"/>
                  </w14:solidFill>
                  <w14:prstDash w14:val="solid"/>
                  <w14:miter w14:val="0"/>
                </w14:textOutline>
              </w:rPr>
              <w:t>月</w:t>
            </w:r>
          </w:p>
        </w:tc>
        <w:tc>
          <w:tcPr>
            <w:tcW w:w="558" w:type="dxa"/>
            <w:vAlign w:val="top"/>
          </w:tcPr>
          <w:p>
            <w:pPr>
              <w:pStyle w:val="6"/>
              <w:spacing w:before="211" w:line="219" w:lineRule="auto"/>
              <w:ind w:left="98"/>
              <w:rPr>
                <w:rFonts w:ascii="仿宋" w:hAnsi="仿宋" w:eastAsia="仿宋" w:cs="仿宋"/>
              </w:rPr>
            </w:pPr>
            <w:r>
              <w:rPr>
                <w:b/>
                <w:bCs/>
                <w:spacing w:val="-3"/>
              </w:rPr>
              <w:t>2</w:t>
            </w:r>
            <w:r>
              <w:rPr>
                <w:b/>
                <w:bCs/>
                <w:spacing w:val="24"/>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月</w:t>
            </w:r>
          </w:p>
        </w:tc>
        <w:tc>
          <w:tcPr>
            <w:tcW w:w="632" w:type="dxa"/>
            <w:vAlign w:val="top"/>
          </w:tcPr>
          <w:p>
            <w:pPr>
              <w:pStyle w:val="6"/>
              <w:spacing w:before="211" w:line="219" w:lineRule="auto"/>
              <w:ind w:left="131"/>
              <w:rPr>
                <w:rFonts w:ascii="仿宋" w:hAnsi="仿宋" w:eastAsia="仿宋" w:cs="仿宋"/>
              </w:rPr>
            </w:pPr>
            <w:r>
              <w:rPr>
                <w:b/>
                <w:bCs/>
                <w:spacing w:val="-2"/>
              </w:rPr>
              <w:t>3</w:t>
            </w:r>
            <w:r>
              <w:rPr>
                <w:b/>
                <w:bCs/>
                <w:spacing w:val="24"/>
                <w:w w:val="101"/>
              </w:rPr>
              <w:t xml:space="preserve"> </w:t>
            </w:r>
            <w:r>
              <w:rPr>
                <w:rFonts w:ascii="仿宋" w:hAnsi="仿宋" w:eastAsia="仿宋" w:cs="仿宋"/>
                <w:spacing w:val="-2"/>
                <w14:textOutline w14:w="3810" w14:cap="flat" w14:cmpd="sng">
                  <w14:solidFill>
                    <w14:srgbClr w14:val="000000"/>
                  </w14:solidFill>
                  <w14:prstDash w14:val="solid"/>
                  <w14:miter w14:val="0"/>
                </w14:textOutline>
              </w:rPr>
              <w:t>月</w:t>
            </w:r>
          </w:p>
        </w:tc>
        <w:tc>
          <w:tcPr>
            <w:tcW w:w="551" w:type="dxa"/>
            <w:vAlign w:val="top"/>
          </w:tcPr>
          <w:p>
            <w:pPr>
              <w:pStyle w:val="6"/>
              <w:spacing w:before="211" w:line="219" w:lineRule="auto"/>
              <w:ind w:left="93"/>
              <w:rPr>
                <w:rFonts w:ascii="仿宋" w:hAnsi="仿宋" w:eastAsia="仿宋" w:cs="仿宋"/>
              </w:rPr>
            </w:pPr>
            <w:r>
              <w:rPr>
                <w:b/>
                <w:bCs/>
                <w:spacing w:val="-3"/>
              </w:rPr>
              <w:t>4</w:t>
            </w:r>
            <w:r>
              <w:rPr>
                <w:b/>
                <w:bCs/>
                <w:spacing w:val="24"/>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月</w:t>
            </w:r>
          </w:p>
        </w:tc>
        <w:tc>
          <w:tcPr>
            <w:tcW w:w="552" w:type="dxa"/>
            <w:vAlign w:val="top"/>
          </w:tcPr>
          <w:p>
            <w:pPr>
              <w:pStyle w:val="6"/>
              <w:spacing w:before="211" w:line="219" w:lineRule="auto"/>
              <w:ind w:left="96"/>
              <w:rPr>
                <w:rFonts w:ascii="仿宋" w:hAnsi="仿宋" w:eastAsia="仿宋" w:cs="仿宋"/>
              </w:rPr>
            </w:pPr>
            <w:r>
              <w:rPr>
                <w:b/>
                <w:bCs/>
                <w:spacing w:val="-4"/>
              </w:rPr>
              <w:t>5</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554" w:type="dxa"/>
            <w:vAlign w:val="top"/>
          </w:tcPr>
          <w:p>
            <w:pPr>
              <w:pStyle w:val="6"/>
              <w:spacing w:before="211" w:line="219" w:lineRule="auto"/>
              <w:ind w:left="97"/>
              <w:rPr>
                <w:rFonts w:ascii="仿宋" w:hAnsi="仿宋" w:eastAsia="仿宋" w:cs="仿宋"/>
              </w:rPr>
            </w:pPr>
            <w:r>
              <w:rPr>
                <w:b/>
                <w:bCs/>
                <w:spacing w:val="-4"/>
              </w:rPr>
              <w:t>6</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556" w:type="dxa"/>
            <w:vAlign w:val="top"/>
          </w:tcPr>
          <w:p>
            <w:pPr>
              <w:pStyle w:val="6"/>
              <w:spacing w:before="211" w:line="219" w:lineRule="auto"/>
              <w:ind w:left="96"/>
              <w:rPr>
                <w:rFonts w:ascii="仿宋" w:hAnsi="仿宋" w:eastAsia="仿宋" w:cs="仿宋"/>
              </w:rPr>
            </w:pPr>
            <w:r>
              <w:rPr>
                <w:b/>
                <w:bCs/>
                <w:spacing w:val="-4"/>
              </w:rPr>
              <w:t>7</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554" w:type="dxa"/>
            <w:vAlign w:val="top"/>
          </w:tcPr>
          <w:p>
            <w:pPr>
              <w:pStyle w:val="6"/>
              <w:spacing w:before="211" w:line="219" w:lineRule="auto"/>
              <w:ind w:left="96"/>
              <w:rPr>
                <w:rFonts w:ascii="仿宋" w:hAnsi="仿宋" w:eastAsia="仿宋" w:cs="仿宋"/>
              </w:rPr>
            </w:pPr>
            <w:r>
              <w:rPr>
                <w:b/>
                <w:bCs/>
                <w:spacing w:val="-4"/>
              </w:rPr>
              <w:t>8</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558" w:type="dxa"/>
            <w:vAlign w:val="top"/>
          </w:tcPr>
          <w:p>
            <w:pPr>
              <w:pStyle w:val="6"/>
              <w:spacing w:before="211" w:line="219" w:lineRule="auto"/>
              <w:ind w:left="98"/>
              <w:rPr>
                <w:rFonts w:ascii="仿宋" w:hAnsi="仿宋" w:eastAsia="仿宋" w:cs="仿宋"/>
              </w:rPr>
            </w:pPr>
            <w:r>
              <w:rPr>
                <w:b/>
                <w:bCs/>
                <w:spacing w:val="-4"/>
              </w:rPr>
              <w:t>9</w:t>
            </w:r>
            <w:r>
              <w:rPr>
                <w:b/>
                <w:bCs/>
                <w:spacing w:val="25"/>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578" w:type="dxa"/>
            <w:vAlign w:val="top"/>
          </w:tcPr>
          <w:p>
            <w:pPr>
              <w:pStyle w:val="6"/>
              <w:spacing w:before="211" w:line="219" w:lineRule="auto"/>
              <w:ind w:left="63"/>
              <w:rPr>
                <w:rFonts w:ascii="仿宋" w:hAnsi="仿宋" w:eastAsia="仿宋" w:cs="仿宋"/>
              </w:rPr>
            </w:pPr>
            <w:r>
              <w:rPr>
                <w:b/>
                <w:bCs/>
                <w:spacing w:val="-5"/>
              </w:rPr>
              <w:t>10</w:t>
            </w:r>
            <w:r>
              <w:rPr>
                <w:b/>
                <w:bCs/>
                <w:spacing w:val="25"/>
              </w:rPr>
              <w:t xml:space="preserve"> </w:t>
            </w:r>
            <w:r>
              <w:rPr>
                <w:rFonts w:ascii="仿宋" w:hAnsi="仿宋" w:eastAsia="仿宋" w:cs="仿宋"/>
                <w:spacing w:val="-5"/>
                <w14:textOutline w14:w="3810" w14:cap="flat" w14:cmpd="sng">
                  <w14:solidFill>
                    <w14:srgbClr w14:val="000000"/>
                  </w14:solidFill>
                  <w14:prstDash w14:val="solid"/>
                  <w14:miter w14:val="0"/>
                </w14:textOutline>
              </w:rPr>
              <w:t>月</w:t>
            </w:r>
          </w:p>
        </w:tc>
        <w:tc>
          <w:tcPr>
            <w:tcW w:w="554" w:type="dxa"/>
            <w:vAlign w:val="top"/>
          </w:tcPr>
          <w:p>
            <w:pPr>
              <w:pStyle w:val="6"/>
              <w:spacing w:before="211" w:line="219" w:lineRule="auto"/>
              <w:ind w:left="57"/>
              <w:rPr>
                <w:rFonts w:ascii="仿宋" w:hAnsi="仿宋" w:eastAsia="仿宋" w:cs="仿宋"/>
              </w:rPr>
            </w:pPr>
            <w:r>
              <w:rPr>
                <w:b/>
                <w:bCs/>
                <w:spacing w:val="-9"/>
              </w:rPr>
              <w:t>11</w:t>
            </w:r>
            <w:r>
              <w:rPr>
                <w:b/>
                <w:bCs/>
                <w:spacing w:val="25"/>
              </w:rPr>
              <w:t xml:space="preserve"> </w:t>
            </w:r>
            <w:r>
              <w:rPr>
                <w:rFonts w:ascii="仿宋" w:hAnsi="仿宋" w:eastAsia="仿宋" w:cs="仿宋"/>
                <w:spacing w:val="-9"/>
                <w14:textOutline w14:w="3810" w14:cap="flat" w14:cmpd="sng">
                  <w14:solidFill>
                    <w14:srgbClr w14:val="000000"/>
                  </w14:solidFill>
                  <w14:prstDash w14:val="solid"/>
                  <w14:miter w14:val="0"/>
                </w14:textOutline>
              </w:rPr>
              <w:t>月</w:t>
            </w:r>
          </w:p>
        </w:tc>
        <w:tc>
          <w:tcPr>
            <w:tcW w:w="593" w:type="dxa"/>
            <w:tcBorders>
              <w:right w:val="nil"/>
            </w:tcBorders>
            <w:vAlign w:val="top"/>
          </w:tcPr>
          <w:p>
            <w:pPr>
              <w:pStyle w:val="6"/>
              <w:spacing w:before="211" w:line="219" w:lineRule="auto"/>
              <w:ind w:left="73"/>
              <w:rPr>
                <w:rFonts w:ascii="仿宋" w:hAnsi="仿宋" w:eastAsia="仿宋" w:cs="仿宋"/>
              </w:rPr>
            </w:pPr>
            <w:r>
              <w:rPr>
                <w:b/>
                <w:bCs/>
                <w:spacing w:val="-5"/>
              </w:rPr>
              <w:t>12</w:t>
            </w:r>
            <w:r>
              <w:rPr>
                <w:b/>
                <w:bCs/>
                <w:spacing w:val="25"/>
              </w:rPr>
              <w:t xml:space="preserve"> </w:t>
            </w:r>
            <w:r>
              <w:rPr>
                <w:rFonts w:ascii="仿宋" w:hAnsi="仿宋" w:eastAsia="仿宋" w:cs="仿宋"/>
                <w:spacing w:val="-5"/>
                <w14:textOutline w14:w="3810" w14:cap="flat" w14:cmpd="sng">
                  <w14:solidFill>
                    <w14:srgbClr w14:val="000000"/>
                  </w14:solidFill>
                  <w14:prstDash w14:val="solid"/>
                  <w14:miter w14:val="0"/>
                </w14:textOutli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89" w:line="188" w:lineRule="auto"/>
              <w:ind w:left="750"/>
            </w:pPr>
            <w:r>
              <w:t>1</w:t>
            </w:r>
          </w:p>
        </w:tc>
        <w:tc>
          <w:tcPr>
            <w:tcW w:w="552" w:type="dxa"/>
            <w:vAlign w:val="top"/>
          </w:tcPr>
          <w:p>
            <w:pPr>
              <w:pStyle w:val="6"/>
              <w:spacing w:before="88" w:line="188" w:lineRule="auto"/>
              <w:ind w:left="61"/>
            </w:pPr>
            <w:r>
              <w:rPr>
                <w:spacing w:val="-5"/>
              </w:rPr>
              <w:t>12.50</w:t>
            </w:r>
          </w:p>
        </w:tc>
        <w:tc>
          <w:tcPr>
            <w:tcW w:w="558" w:type="dxa"/>
            <w:vAlign w:val="top"/>
          </w:tcPr>
          <w:p>
            <w:pPr>
              <w:pStyle w:val="6"/>
              <w:spacing w:before="88" w:line="188" w:lineRule="auto"/>
              <w:ind w:left="65"/>
            </w:pPr>
            <w:r>
              <w:rPr>
                <w:spacing w:val="-5"/>
              </w:rPr>
              <w:t>14.50</w:t>
            </w:r>
          </w:p>
        </w:tc>
        <w:tc>
          <w:tcPr>
            <w:tcW w:w="632" w:type="dxa"/>
            <w:vAlign w:val="top"/>
          </w:tcPr>
          <w:p>
            <w:pPr>
              <w:pStyle w:val="6"/>
              <w:spacing w:before="88" w:line="188" w:lineRule="auto"/>
              <w:ind w:left="101"/>
            </w:pPr>
            <w:r>
              <w:rPr>
                <w:spacing w:val="-5"/>
              </w:rPr>
              <w:t>16.88</w:t>
            </w:r>
          </w:p>
        </w:tc>
        <w:tc>
          <w:tcPr>
            <w:tcW w:w="551" w:type="dxa"/>
            <w:vAlign w:val="top"/>
          </w:tcPr>
          <w:p>
            <w:pPr>
              <w:pStyle w:val="6"/>
              <w:spacing w:before="88" w:line="188" w:lineRule="auto"/>
              <w:ind w:left="60"/>
            </w:pPr>
            <w:r>
              <w:rPr>
                <w:spacing w:val="-5"/>
              </w:rPr>
              <w:t>19.64</w:t>
            </w:r>
          </w:p>
        </w:tc>
        <w:tc>
          <w:tcPr>
            <w:tcW w:w="552" w:type="dxa"/>
            <w:vAlign w:val="top"/>
          </w:tcPr>
          <w:p>
            <w:pPr>
              <w:pStyle w:val="6"/>
              <w:spacing w:before="88" w:line="188" w:lineRule="auto"/>
              <w:ind w:left="40"/>
            </w:pPr>
            <w:r>
              <w:rPr>
                <w:spacing w:val="-1"/>
              </w:rPr>
              <w:t>22.03</w:t>
            </w:r>
          </w:p>
        </w:tc>
        <w:tc>
          <w:tcPr>
            <w:tcW w:w="554" w:type="dxa"/>
            <w:vAlign w:val="top"/>
          </w:tcPr>
          <w:p>
            <w:pPr>
              <w:pStyle w:val="6"/>
              <w:spacing w:before="88" w:line="188" w:lineRule="auto"/>
              <w:ind w:left="42"/>
            </w:pPr>
            <w:r>
              <w:rPr>
                <w:spacing w:val="-1"/>
              </w:rPr>
              <w:t>23.01</w:t>
            </w:r>
          </w:p>
        </w:tc>
        <w:tc>
          <w:tcPr>
            <w:tcW w:w="556" w:type="dxa"/>
            <w:vAlign w:val="top"/>
          </w:tcPr>
          <w:p>
            <w:pPr>
              <w:pStyle w:val="6"/>
              <w:spacing w:before="88" w:line="188" w:lineRule="auto"/>
              <w:ind w:left="42"/>
            </w:pPr>
            <w:r>
              <w:rPr>
                <w:spacing w:val="-1"/>
              </w:rPr>
              <w:t>22.63</w:t>
            </w:r>
          </w:p>
        </w:tc>
        <w:tc>
          <w:tcPr>
            <w:tcW w:w="554" w:type="dxa"/>
            <w:vAlign w:val="top"/>
          </w:tcPr>
          <w:p>
            <w:pPr>
              <w:pStyle w:val="6"/>
              <w:spacing w:before="88" w:line="188" w:lineRule="auto"/>
              <w:ind w:left="42"/>
            </w:pPr>
            <w:r>
              <w:rPr>
                <w:spacing w:val="-1"/>
              </w:rPr>
              <w:t>21.98</w:t>
            </w:r>
          </w:p>
        </w:tc>
        <w:tc>
          <w:tcPr>
            <w:tcW w:w="558" w:type="dxa"/>
            <w:vAlign w:val="top"/>
          </w:tcPr>
          <w:p>
            <w:pPr>
              <w:pStyle w:val="6"/>
              <w:spacing w:before="88" w:line="188" w:lineRule="auto"/>
              <w:ind w:left="43"/>
            </w:pPr>
            <w:r>
              <w:rPr>
                <w:spacing w:val="-1"/>
              </w:rPr>
              <w:t>20.50</w:t>
            </w:r>
          </w:p>
        </w:tc>
        <w:tc>
          <w:tcPr>
            <w:tcW w:w="578" w:type="dxa"/>
            <w:vAlign w:val="top"/>
          </w:tcPr>
          <w:p>
            <w:pPr>
              <w:pStyle w:val="6"/>
              <w:spacing w:before="88" w:line="188" w:lineRule="auto"/>
              <w:ind w:left="73"/>
            </w:pPr>
            <w:r>
              <w:rPr>
                <w:spacing w:val="-5"/>
              </w:rPr>
              <w:t>19.10</w:t>
            </w:r>
          </w:p>
        </w:tc>
        <w:tc>
          <w:tcPr>
            <w:tcW w:w="554" w:type="dxa"/>
            <w:vAlign w:val="top"/>
          </w:tcPr>
          <w:p>
            <w:pPr>
              <w:pStyle w:val="6"/>
              <w:spacing w:before="88" w:line="188" w:lineRule="auto"/>
              <w:ind w:left="63"/>
            </w:pPr>
            <w:r>
              <w:rPr>
                <w:spacing w:val="-5"/>
              </w:rPr>
              <w:t>13.90</w:t>
            </w:r>
          </w:p>
        </w:tc>
        <w:tc>
          <w:tcPr>
            <w:tcW w:w="593" w:type="dxa"/>
            <w:tcBorders>
              <w:right w:val="nil"/>
            </w:tcBorders>
            <w:vAlign w:val="top"/>
          </w:tcPr>
          <w:p>
            <w:pPr>
              <w:pStyle w:val="6"/>
              <w:spacing w:before="88" w:line="188" w:lineRule="auto"/>
              <w:ind w:left="89"/>
            </w:pPr>
            <w:r>
              <w:rPr>
                <w:spacing w:val="-7"/>
              </w:rPr>
              <w:t>11.80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548" w:type="dxa"/>
            <w:tcBorders>
              <w:left w:val="nil"/>
            </w:tcBorders>
            <w:vAlign w:val="top"/>
          </w:tcPr>
          <w:p>
            <w:pPr>
              <w:pStyle w:val="6"/>
              <w:spacing w:before="90" w:line="188" w:lineRule="auto"/>
              <w:ind w:left="730"/>
            </w:pPr>
            <w:r>
              <w:t>2</w:t>
            </w:r>
          </w:p>
        </w:tc>
        <w:tc>
          <w:tcPr>
            <w:tcW w:w="552" w:type="dxa"/>
            <w:vAlign w:val="top"/>
          </w:tcPr>
          <w:p>
            <w:pPr>
              <w:pStyle w:val="6"/>
              <w:spacing w:before="90" w:line="188" w:lineRule="auto"/>
              <w:ind w:left="61"/>
            </w:pPr>
            <w:r>
              <w:rPr>
                <w:spacing w:val="-5"/>
              </w:rPr>
              <w:t>12.50</w:t>
            </w:r>
          </w:p>
        </w:tc>
        <w:tc>
          <w:tcPr>
            <w:tcW w:w="558" w:type="dxa"/>
            <w:vAlign w:val="top"/>
          </w:tcPr>
          <w:p>
            <w:pPr>
              <w:pStyle w:val="6"/>
              <w:spacing w:before="90" w:line="188" w:lineRule="auto"/>
              <w:ind w:left="65"/>
            </w:pPr>
            <w:r>
              <w:rPr>
                <w:spacing w:val="-5"/>
              </w:rPr>
              <w:t>14.50</w:t>
            </w:r>
          </w:p>
        </w:tc>
        <w:tc>
          <w:tcPr>
            <w:tcW w:w="632" w:type="dxa"/>
            <w:vAlign w:val="top"/>
          </w:tcPr>
          <w:p>
            <w:pPr>
              <w:pStyle w:val="6"/>
              <w:spacing w:before="90" w:line="188" w:lineRule="auto"/>
              <w:ind w:left="101"/>
            </w:pPr>
            <w:r>
              <w:rPr>
                <w:spacing w:val="-5"/>
              </w:rPr>
              <w:t>16.83</w:t>
            </w:r>
          </w:p>
        </w:tc>
        <w:tc>
          <w:tcPr>
            <w:tcW w:w="551" w:type="dxa"/>
            <w:vAlign w:val="top"/>
          </w:tcPr>
          <w:p>
            <w:pPr>
              <w:pStyle w:val="6"/>
              <w:spacing w:before="90" w:line="188" w:lineRule="auto"/>
              <w:ind w:left="60"/>
            </w:pPr>
            <w:r>
              <w:rPr>
                <w:spacing w:val="-5"/>
              </w:rPr>
              <w:t>19.38</w:t>
            </w:r>
          </w:p>
        </w:tc>
        <w:tc>
          <w:tcPr>
            <w:tcW w:w="552" w:type="dxa"/>
            <w:vAlign w:val="top"/>
          </w:tcPr>
          <w:p>
            <w:pPr>
              <w:pStyle w:val="6"/>
              <w:spacing w:before="90" w:line="188" w:lineRule="auto"/>
              <w:ind w:left="40"/>
            </w:pPr>
            <w:r>
              <w:rPr>
                <w:spacing w:val="-1"/>
              </w:rPr>
              <w:t>21.65</w:t>
            </w:r>
          </w:p>
        </w:tc>
        <w:tc>
          <w:tcPr>
            <w:tcW w:w="554" w:type="dxa"/>
            <w:vAlign w:val="top"/>
          </w:tcPr>
          <w:p>
            <w:pPr>
              <w:pStyle w:val="6"/>
              <w:spacing w:before="90" w:line="188" w:lineRule="auto"/>
              <w:ind w:left="42"/>
            </w:pPr>
            <w:r>
              <w:rPr>
                <w:spacing w:val="-1"/>
              </w:rPr>
              <w:t>22.70</w:t>
            </w:r>
          </w:p>
        </w:tc>
        <w:tc>
          <w:tcPr>
            <w:tcW w:w="556" w:type="dxa"/>
            <w:vAlign w:val="top"/>
          </w:tcPr>
          <w:p>
            <w:pPr>
              <w:pStyle w:val="6"/>
              <w:spacing w:before="90" w:line="188" w:lineRule="auto"/>
              <w:ind w:left="42"/>
            </w:pPr>
            <w:r>
              <w:rPr>
                <w:spacing w:val="-1"/>
              </w:rPr>
              <w:t>22.46</w:t>
            </w:r>
          </w:p>
        </w:tc>
        <w:tc>
          <w:tcPr>
            <w:tcW w:w="554" w:type="dxa"/>
            <w:vAlign w:val="top"/>
          </w:tcPr>
          <w:p>
            <w:pPr>
              <w:pStyle w:val="6"/>
              <w:spacing w:before="90" w:line="188" w:lineRule="auto"/>
              <w:ind w:left="42"/>
            </w:pPr>
            <w:r>
              <w:rPr>
                <w:spacing w:val="-1"/>
              </w:rPr>
              <w:t>21.92</w:t>
            </w:r>
          </w:p>
        </w:tc>
        <w:tc>
          <w:tcPr>
            <w:tcW w:w="558" w:type="dxa"/>
            <w:vAlign w:val="top"/>
          </w:tcPr>
          <w:p>
            <w:pPr>
              <w:pStyle w:val="6"/>
              <w:spacing w:before="90" w:line="188" w:lineRule="auto"/>
              <w:ind w:left="43"/>
            </w:pPr>
            <w:r>
              <w:rPr>
                <w:spacing w:val="-1"/>
              </w:rPr>
              <w:t>20.48</w:t>
            </w:r>
          </w:p>
        </w:tc>
        <w:tc>
          <w:tcPr>
            <w:tcW w:w="578" w:type="dxa"/>
            <w:vAlign w:val="top"/>
          </w:tcPr>
          <w:p>
            <w:pPr>
              <w:pStyle w:val="6"/>
              <w:spacing w:before="90" w:line="188" w:lineRule="auto"/>
              <w:ind w:left="73"/>
            </w:pPr>
            <w:r>
              <w:rPr>
                <w:spacing w:val="-5"/>
              </w:rPr>
              <w:t>19.10</w:t>
            </w:r>
          </w:p>
        </w:tc>
        <w:tc>
          <w:tcPr>
            <w:tcW w:w="554" w:type="dxa"/>
            <w:vAlign w:val="top"/>
          </w:tcPr>
          <w:p>
            <w:pPr>
              <w:pStyle w:val="6"/>
              <w:spacing w:before="90" w:line="188" w:lineRule="auto"/>
              <w:ind w:left="63"/>
            </w:pPr>
            <w:r>
              <w:rPr>
                <w:spacing w:val="-5"/>
              </w:rPr>
              <w:t>13.90</w:t>
            </w:r>
          </w:p>
        </w:tc>
        <w:tc>
          <w:tcPr>
            <w:tcW w:w="593" w:type="dxa"/>
            <w:tcBorders>
              <w:right w:val="nil"/>
            </w:tcBorders>
            <w:vAlign w:val="top"/>
          </w:tcPr>
          <w:p>
            <w:pPr>
              <w:pStyle w:val="6"/>
              <w:spacing w:before="90" w:line="188" w:lineRule="auto"/>
              <w:ind w:left="89"/>
            </w:pPr>
            <w:r>
              <w:rPr>
                <w:spacing w:val="-7"/>
              </w:rPr>
              <w:t>11.80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90" w:line="188" w:lineRule="auto"/>
              <w:ind w:left="734"/>
            </w:pPr>
            <w:r>
              <w:t>3</w:t>
            </w:r>
          </w:p>
        </w:tc>
        <w:tc>
          <w:tcPr>
            <w:tcW w:w="552" w:type="dxa"/>
            <w:vAlign w:val="top"/>
          </w:tcPr>
          <w:p>
            <w:pPr>
              <w:pStyle w:val="6"/>
              <w:spacing w:before="90" w:line="188" w:lineRule="auto"/>
              <w:ind w:left="61"/>
            </w:pPr>
            <w:r>
              <w:rPr>
                <w:spacing w:val="-5"/>
              </w:rPr>
              <w:t>12.50</w:t>
            </w:r>
          </w:p>
        </w:tc>
        <w:tc>
          <w:tcPr>
            <w:tcW w:w="558" w:type="dxa"/>
            <w:vAlign w:val="top"/>
          </w:tcPr>
          <w:p>
            <w:pPr>
              <w:pStyle w:val="6"/>
              <w:spacing w:before="90" w:line="188" w:lineRule="auto"/>
              <w:ind w:left="65"/>
            </w:pPr>
            <w:r>
              <w:rPr>
                <w:spacing w:val="-5"/>
              </w:rPr>
              <w:t>14.50</w:t>
            </w:r>
          </w:p>
        </w:tc>
        <w:tc>
          <w:tcPr>
            <w:tcW w:w="632" w:type="dxa"/>
            <w:vAlign w:val="top"/>
          </w:tcPr>
          <w:p>
            <w:pPr>
              <w:pStyle w:val="6"/>
              <w:spacing w:before="90" w:line="188" w:lineRule="auto"/>
              <w:ind w:left="101"/>
            </w:pPr>
            <w:r>
              <w:rPr>
                <w:spacing w:val="-5"/>
              </w:rPr>
              <w:t>16.74</w:t>
            </w:r>
          </w:p>
        </w:tc>
        <w:tc>
          <w:tcPr>
            <w:tcW w:w="551" w:type="dxa"/>
            <w:vAlign w:val="top"/>
          </w:tcPr>
          <w:p>
            <w:pPr>
              <w:pStyle w:val="6"/>
              <w:spacing w:before="90" w:line="188" w:lineRule="auto"/>
              <w:ind w:left="60"/>
            </w:pPr>
            <w:r>
              <w:rPr>
                <w:spacing w:val="-5"/>
              </w:rPr>
              <w:t>19.07</w:t>
            </w:r>
          </w:p>
        </w:tc>
        <w:tc>
          <w:tcPr>
            <w:tcW w:w="552" w:type="dxa"/>
            <w:vAlign w:val="top"/>
          </w:tcPr>
          <w:p>
            <w:pPr>
              <w:pStyle w:val="6"/>
              <w:spacing w:before="90" w:line="188" w:lineRule="auto"/>
              <w:ind w:left="40"/>
            </w:pPr>
            <w:r>
              <w:rPr>
                <w:spacing w:val="-1"/>
              </w:rPr>
              <w:t>21.21</w:t>
            </w:r>
          </w:p>
        </w:tc>
        <w:tc>
          <w:tcPr>
            <w:tcW w:w="554" w:type="dxa"/>
            <w:vAlign w:val="top"/>
          </w:tcPr>
          <w:p>
            <w:pPr>
              <w:pStyle w:val="6"/>
              <w:spacing w:before="90" w:line="188" w:lineRule="auto"/>
              <w:ind w:left="42"/>
            </w:pPr>
            <w:r>
              <w:rPr>
                <w:spacing w:val="-1"/>
              </w:rPr>
              <w:t>22.32</w:t>
            </w:r>
          </w:p>
        </w:tc>
        <w:tc>
          <w:tcPr>
            <w:tcW w:w="556" w:type="dxa"/>
            <w:vAlign w:val="top"/>
          </w:tcPr>
          <w:p>
            <w:pPr>
              <w:pStyle w:val="6"/>
              <w:spacing w:before="90" w:line="188" w:lineRule="auto"/>
              <w:ind w:left="42"/>
            </w:pPr>
            <w:r>
              <w:rPr>
                <w:spacing w:val="-1"/>
              </w:rPr>
              <w:t>22.24</w:t>
            </w:r>
          </w:p>
        </w:tc>
        <w:tc>
          <w:tcPr>
            <w:tcW w:w="554" w:type="dxa"/>
            <w:vAlign w:val="top"/>
          </w:tcPr>
          <w:p>
            <w:pPr>
              <w:pStyle w:val="6"/>
              <w:spacing w:before="90" w:line="188" w:lineRule="auto"/>
              <w:ind w:left="42"/>
            </w:pPr>
            <w:r>
              <w:rPr>
                <w:spacing w:val="-1"/>
              </w:rPr>
              <w:t>21.82</w:t>
            </w:r>
          </w:p>
        </w:tc>
        <w:tc>
          <w:tcPr>
            <w:tcW w:w="558" w:type="dxa"/>
            <w:vAlign w:val="top"/>
          </w:tcPr>
          <w:p>
            <w:pPr>
              <w:pStyle w:val="6"/>
              <w:spacing w:before="90" w:line="188" w:lineRule="auto"/>
              <w:ind w:left="43"/>
            </w:pPr>
            <w:r>
              <w:rPr>
                <w:spacing w:val="-1"/>
              </w:rPr>
              <w:t>20.45</w:t>
            </w:r>
          </w:p>
        </w:tc>
        <w:tc>
          <w:tcPr>
            <w:tcW w:w="578" w:type="dxa"/>
            <w:vAlign w:val="top"/>
          </w:tcPr>
          <w:p>
            <w:pPr>
              <w:pStyle w:val="6"/>
              <w:spacing w:before="90" w:line="188" w:lineRule="auto"/>
              <w:ind w:left="73"/>
            </w:pPr>
            <w:r>
              <w:rPr>
                <w:spacing w:val="-5"/>
              </w:rPr>
              <w:t>19.09</w:t>
            </w:r>
          </w:p>
        </w:tc>
        <w:tc>
          <w:tcPr>
            <w:tcW w:w="554" w:type="dxa"/>
            <w:vAlign w:val="top"/>
          </w:tcPr>
          <w:p>
            <w:pPr>
              <w:pStyle w:val="6"/>
              <w:spacing w:before="90" w:line="188" w:lineRule="auto"/>
              <w:ind w:left="63"/>
            </w:pPr>
            <w:r>
              <w:rPr>
                <w:spacing w:val="-5"/>
              </w:rPr>
              <w:t>13.90</w:t>
            </w:r>
          </w:p>
        </w:tc>
        <w:tc>
          <w:tcPr>
            <w:tcW w:w="593" w:type="dxa"/>
            <w:tcBorders>
              <w:right w:val="nil"/>
            </w:tcBorders>
            <w:vAlign w:val="top"/>
          </w:tcPr>
          <w:p>
            <w:pPr>
              <w:pStyle w:val="6"/>
              <w:spacing w:before="90" w:line="188" w:lineRule="auto"/>
              <w:ind w:left="89"/>
            </w:pPr>
            <w:r>
              <w:rPr>
                <w:spacing w:val="-7"/>
              </w:rPr>
              <w:t>11.80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91" w:line="188" w:lineRule="auto"/>
              <w:ind w:left="729"/>
            </w:pPr>
            <w:r>
              <w:t>4</w:t>
            </w:r>
          </w:p>
        </w:tc>
        <w:tc>
          <w:tcPr>
            <w:tcW w:w="552" w:type="dxa"/>
            <w:vAlign w:val="top"/>
          </w:tcPr>
          <w:p>
            <w:pPr>
              <w:pStyle w:val="6"/>
              <w:spacing w:before="91" w:line="188" w:lineRule="auto"/>
              <w:ind w:left="61"/>
            </w:pPr>
            <w:r>
              <w:rPr>
                <w:spacing w:val="-5"/>
              </w:rPr>
              <w:t>12.50</w:t>
            </w:r>
          </w:p>
        </w:tc>
        <w:tc>
          <w:tcPr>
            <w:tcW w:w="558" w:type="dxa"/>
            <w:vAlign w:val="top"/>
          </w:tcPr>
          <w:p>
            <w:pPr>
              <w:pStyle w:val="6"/>
              <w:spacing w:before="91" w:line="188" w:lineRule="auto"/>
              <w:ind w:left="65"/>
            </w:pPr>
            <w:r>
              <w:rPr>
                <w:spacing w:val="-5"/>
              </w:rPr>
              <w:t>14.50</w:t>
            </w:r>
          </w:p>
        </w:tc>
        <w:tc>
          <w:tcPr>
            <w:tcW w:w="632" w:type="dxa"/>
            <w:vAlign w:val="top"/>
          </w:tcPr>
          <w:p>
            <w:pPr>
              <w:pStyle w:val="6"/>
              <w:spacing w:before="91" w:line="188" w:lineRule="auto"/>
              <w:ind w:left="101"/>
            </w:pPr>
            <w:r>
              <w:rPr>
                <w:spacing w:val="-5"/>
              </w:rPr>
              <w:t>16.63</w:t>
            </w:r>
          </w:p>
        </w:tc>
        <w:tc>
          <w:tcPr>
            <w:tcW w:w="551" w:type="dxa"/>
            <w:vAlign w:val="top"/>
          </w:tcPr>
          <w:p>
            <w:pPr>
              <w:pStyle w:val="6"/>
              <w:spacing w:before="91" w:line="188" w:lineRule="auto"/>
              <w:ind w:left="60"/>
            </w:pPr>
            <w:r>
              <w:rPr>
                <w:spacing w:val="-5"/>
              </w:rPr>
              <w:t>18.74</w:t>
            </w:r>
          </w:p>
        </w:tc>
        <w:tc>
          <w:tcPr>
            <w:tcW w:w="552" w:type="dxa"/>
            <w:vAlign w:val="top"/>
          </w:tcPr>
          <w:p>
            <w:pPr>
              <w:pStyle w:val="6"/>
              <w:spacing w:before="91" w:line="188" w:lineRule="auto"/>
              <w:ind w:left="40"/>
            </w:pPr>
            <w:r>
              <w:rPr>
                <w:spacing w:val="-1"/>
              </w:rPr>
              <w:t>20.75</w:t>
            </w:r>
          </w:p>
        </w:tc>
        <w:tc>
          <w:tcPr>
            <w:tcW w:w="554" w:type="dxa"/>
            <w:vAlign w:val="top"/>
          </w:tcPr>
          <w:p>
            <w:pPr>
              <w:pStyle w:val="6"/>
              <w:spacing w:before="91" w:line="188" w:lineRule="auto"/>
              <w:ind w:left="42"/>
            </w:pPr>
            <w:r>
              <w:rPr>
                <w:spacing w:val="-1"/>
              </w:rPr>
              <w:t>21.89</w:t>
            </w:r>
          </w:p>
        </w:tc>
        <w:tc>
          <w:tcPr>
            <w:tcW w:w="556" w:type="dxa"/>
            <w:vAlign w:val="top"/>
          </w:tcPr>
          <w:p>
            <w:pPr>
              <w:pStyle w:val="6"/>
              <w:spacing w:before="91" w:line="188" w:lineRule="auto"/>
              <w:ind w:left="42"/>
            </w:pPr>
            <w:r>
              <w:rPr>
                <w:spacing w:val="-1"/>
              </w:rPr>
              <w:t>21.95</w:t>
            </w:r>
          </w:p>
        </w:tc>
        <w:tc>
          <w:tcPr>
            <w:tcW w:w="554" w:type="dxa"/>
            <w:vAlign w:val="top"/>
          </w:tcPr>
          <w:p>
            <w:pPr>
              <w:pStyle w:val="6"/>
              <w:spacing w:before="91" w:line="188" w:lineRule="auto"/>
              <w:ind w:left="42"/>
            </w:pPr>
            <w:r>
              <w:rPr>
                <w:spacing w:val="-1"/>
              </w:rPr>
              <w:t>21.67</w:t>
            </w:r>
          </w:p>
        </w:tc>
        <w:tc>
          <w:tcPr>
            <w:tcW w:w="558" w:type="dxa"/>
            <w:vAlign w:val="top"/>
          </w:tcPr>
          <w:p>
            <w:pPr>
              <w:pStyle w:val="6"/>
              <w:spacing w:before="91" w:line="188" w:lineRule="auto"/>
              <w:ind w:left="43"/>
            </w:pPr>
            <w:r>
              <w:rPr>
                <w:spacing w:val="-1"/>
              </w:rPr>
              <w:t>20.40</w:t>
            </w:r>
          </w:p>
        </w:tc>
        <w:tc>
          <w:tcPr>
            <w:tcW w:w="578" w:type="dxa"/>
            <w:vAlign w:val="top"/>
          </w:tcPr>
          <w:p>
            <w:pPr>
              <w:pStyle w:val="6"/>
              <w:spacing w:before="91" w:line="188" w:lineRule="auto"/>
              <w:ind w:left="73"/>
            </w:pPr>
            <w:r>
              <w:rPr>
                <w:spacing w:val="-5"/>
              </w:rPr>
              <w:t>19.07</w:t>
            </w:r>
          </w:p>
        </w:tc>
        <w:tc>
          <w:tcPr>
            <w:tcW w:w="554" w:type="dxa"/>
            <w:vAlign w:val="top"/>
          </w:tcPr>
          <w:p>
            <w:pPr>
              <w:pStyle w:val="6"/>
              <w:spacing w:before="91" w:line="188" w:lineRule="auto"/>
              <w:ind w:left="63"/>
            </w:pPr>
            <w:r>
              <w:rPr>
                <w:spacing w:val="-5"/>
              </w:rPr>
              <w:t>13.90</w:t>
            </w:r>
          </w:p>
        </w:tc>
        <w:tc>
          <w:tcPr>
            <w:tcW w:w="593" w:type="dxa"/>
            <w:tcBorders>
              <w:right w:val="nil"/>
            </w:tcBorders>
            <w:vAlign w:val="top"/>
          </w:tcPr>
          <w:p>
            <w:pPr>
              <w:pStyle w:val="6"/>
              <w:spacing w:before="91" w:line="188" w:lineRule="auto"/>
              <w:ind w:left="89"/>
            </w:pPr>
            <w:r>
              <w:rPr>
                <w:spacing w:val="-7"/>
              </w:rPr>
              <w:t>11.80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548" w:type="dxa"/>
            <w:tcBorders>
              <w:left w:val="nil"/>
            </w:tcBorders>
            <w:vAlign w:val="top"/>
          </w:tcPr>
          <w:p>
            <w:pPr>
              <w:pStyle w:val="6"/>
              <w:spacing w:before="96" w:line="185" w:lineRule="auto"/>
              <w:ind w:left="736"/>
            </w:pPr>
            <w:r>
              <w:t>5</w:t>
            </w:r>
          </w:p>
        </w:tc>
        <w:tc>
          <w:tcPr>
            <w:tcW w:w="552" w:type="dxa"/>
            <w:vAlign w:val="top"/>
          </w:tcPr>
          <w:p>
            <w:pPr>
              <w:pStyle w:val="6"/>
              <w:spacing w:before="93" w:line="188" w:lineRule="auto"/>
              <w:ind w:left="61"/>
            </w:pPr>
            <w:r>
              <w:rPr>
                <w:spacing w:val="-5"/>
              </w:rPr>
              <w:t>12.50</w:t>
            </w:r>
          </w:p>
        </w:tc>
        <w:tc>
          <w:tcPr>
            <w:tcW w:w="558" w:type="dxa"/>
            <w:vAlign w:val="top"/>
          </w:tcPr>
          <w:p>
            <w:pPr>
              <w:pStyle w:val="6"/>
              <w:spacing w:before="93" w:line="188" w:lineRule="auto"/>
              <w:ind w:left="65"/>
            </w:pPr>
            <w:r>
              <w:rPr>
                <w:spacing w:val="-5"/>
              </w:rPr>
              <w:t>14.49</w:t>
            </w:r>
          </w:p>
        </w:tc>
        <w:tc>
          <w:tcPr>
            <w:tcW w:w="632" w:type="dxa"/>
            <w:vAlign w:val="top"/>
          </w:tcPr>
          <w:p>
            <w:pPr>
              <w:pStyle w:val="6"/>
              <w:spacing w:before="93" w:line="188" w:lineRule="auto"/>
              <w:ind w:left="101"/>
            </w:pPr>
            <w:r>
              <w:rPr>
                <w:spacing w:val="-5"/>
              </w:rPr>
              <w:t>16.49</w:t>
            </w:r>
          </w:p>
        </w:tc>
        <w:tc>
          <w:tcPr>
            <w:tcW w:w="551" w:type="dxa"/>
            <w:vAlign w:val="top"/>
          </w:tcPr>
          <w:p>
            <w:pPr>
              <w:pStyle w:val="6"/>
              <w:spacing w:before="93" w:line="188" w:lineRule="auto"/>
              <w:ind w:left="60"/>
            </w:pPr>
            <w:r>
              <w:rPr>
                <w:spacing w:val="-5"/>
              </w:rPr>
              <w:t>18.40</w:t>
            </w:r>
          </w:p>
        </w:tc>
        <w:tc>
          <w:tcPr>
            <w:tcW w:w="552" w:type="dxa"/>
            <w:vAlign w:val="top"/>
          </w:tcPr>
          <w:p>
            <w:pPr>
              <w:pStyle w:val="6"/>
              <w:spacing w:before="93" w:line="188" w:lineRule="auto"/>
              <w:ind w:left="40"/>
            </w:pPr>
            <w:r>
              <w:rPr>
                <w:spacing w:val="-1"/>
              </w:rPr>
              <w:t>20.29</w:t>
            </w:r>
          </w:p>
        </w:tc>
        <w:tc>
          <w:tcPr>
            <w:tcW w:w="554" w:type="dxa"/>
            <w:vAlign w:val="top"/>
          </w:tcPr>
          <w:p>
            <w:pPr>
              <w:pStyle w:val="6"/>
              <w:spacing w:before="93" w:line="188" w:lineRule="auto"/>
              <w:ind w:left="42"/>
            </w:pPr>
            <w:r>
              <w:rPr>
                <w:spacing w:val="-1"/>
              </w:rPr>
              <w:t>21.44</w:t>
            </w:r>
          </w:p>
        </w:tc>
        <w:tc>
          <w:tcPr>
            <w:tcW w:w="556" w:type="dxa"/>
            <w:vAlign w:val="top"/>
          </w:tcPr>
          <w:p>
            <w:pPr>
              <w:pStyle w:val="6"/>
              <w:spacing w:before="93" w:line="188" w:lineRule="auto"/>
              <w:ind w:left="42"/>
            </w:pPr>
            <w:r>
              <w:rPr>
                <w:spacing w:val="-1"/>
              </w:rPr>
              <w:t>21.62</w:t>
            </w:r>
          </w:p>
        </w:tc>
        <w:tc>
          <w:tcPr>
            <w:tcW w:w="554" w:type="dxa"/>
            <w:vAlign w:val="top"/>
          </w:tcPr>
          <w:p>
            <w:pPr>
              <w:pStyle w:val="6"/>
              <w:spacing w:before="93" w:line="188" w:lineRule="auto"/>
              <w:ind w:left="42"/>
            </w:pPr>
            <w:r>
              <w:rPr>
                <w:spacing w:val="-1"/>
              </w:rPr>
              <w:t>21.48</w:t>
            </w:r>
          </w:p>
        </w:tc>
        <w:tc>
          <w:tcPr>
            <w:tcW w:w="558" w:type="dxa"/>
            <w:vAlign w:val="top"/>
          </w:tcPr>
          <w:p>
            <w:pPr>
              <w:pStyle w:val="6"/>
              <w:spacing w:before="93" w:line="188" w:lineRule="auto"/>
              <w:ind w:left="43"/>
            </w:pPr>
            <w:r>
              <w:rPr>
                <w:spacing w:val="-1"/>
              </w:rPr>
              <w:t>20.32</w:t>
            </w:r>
          </w:p>
        </w:tc>
        <w:tc>
          <w:tcPr>
            <w:tcW w:w="578" w:type="dxa"/>
            <w:vAlign w:val="top"/>
          </w:tcPr>
          <w:p>
            <w:pPr>
              <w:pStyle w:val="6"/>
              <w:spacing w:before="93" w:line="188" w:lineRule="auto"/>
              <w:ind w:left="73"/>
            </w:pPr>
            <w:r>
              <w:rPr>
                <w:spacing w:val="-5"/>
              </w:rPr>
              <w:t>19.05</w:t>
            </w:r>
          </w:p>
        </w:tc>
        <w:tc>
          <w:tcPr>
            <w:tcW w:w="554" w:type="dxa"/>
            <w:vAlign w:val="top"/>
          </w:tcPr>
          <w:p>
            <w:pPr>
              <w:pStyle w:val="6"/>
              <w:spacing w:before="93" w:line="188" w:lineRule="auto"/>
              <w:ind w:left="63"/>
            </w:pPr>
            <w:r>
              <w:rPr>
                <w:spacing w:val="-5"/>
              </w:rPr>
              <w:t>13.90</w:t>
            </w:r>
          </w:p>
        </w:tc>
        <w:tc>
          <w:tcPr>
            <w:tcW w:w="593" w:type="dxa"/>
            <w:tcBorders>
              <w:right w:val="nil"/>
            </w:tcBorders>
            <w:vAlign w:val="top"/>
          </w:tcPr>
          <w:p>
            <w:pPr>
              <w:pStyle w:val="6"/>
              <w:spacing w:before="93" w:line="188" w:lineRule="auto"/>
              <w:ind w:left="89"/>
            </w:pPr>
            <w:r>
              <w:rPr>
                <w:spacing w:val="-7"/>
              </w:rPr>
              <w:t>11.80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1548" w:type="dxa"/>
            <w:tcBorders>
              <w:left w:val="nil"/>
            </w:tcBorders>
            <w:vAlign w:val="top"/>
          </w:tcPr>
          <w:p>
            <w:pPr>
              <w:pStyle w:val="6"/>
              <w:spacing w:before="92" w:line="188" w:lineRule="auto"/>
              <w:ind w:left="735"/>
            </w:pPr>
            <w:r>
              <w:t>6</w:t>
            </w:r>
          </w:p>
        </w:tc>
        <w:tc>
          <w:tcPr>
            <w:tcW w:w="552" w:type="dxa"/>
            <w:vAlign w:val="top"/>
          </w:tcPr>
          <w:p>
            <w:pPr>
              <w:pStyle w:val="6"/>
              <w:spacing w:before="92" w:line="188" w:lineRule="auto"/>
              <w:ind w:left="61"/>
            </w:pPr>
            <w:r>
              <w:rPr>
                <w:spacing w:val="-5"/>
              </w:rPr>
              <w:t>12.50</w:t>
            </w:r>
          </w:p>
        </w:tc>
        <w:tc>
          <w:tcPr>
            <w:tcW w:w="558" w:type="dxa"/>
            <w:vAlign w:val="top"/>
          </w:tcPr>
          <w:p>
            <w:pPr>
              <w:pStyle w:val="6"/>
              <w:spacing w:before="92" w:line="188" w:lineRule="auto"/>
              <w:ind w:left="65"/>
            </w:pPr>
            <w:r>
              <w:rPr>
                <w:spacing w:val="-5"/>
              </w:rPr>
              <w:t>14.49</w:t>
            </w:r>
          </w:p>
        </w:tc>
        <w:tc>
          <w:tcPr>
            <w:tcW w:w="632" w:type="dxa"/>
            <w:vAlign w:val="top"/>
          </w:tcPr>
          <w:p>
            <w:pPr>
              <w:pStyle w:val="6"/>
              <w:spacing w:before="92" w:line="188" w:lineRule="auto"/>
              <w:ind w:left="101"/>
            </w:pPr>
            <w:r>
              <w:rPr>
                <w:spacing w:val="-5"/>
              </w:rPr>
              <w:t>16.33</w:t>
            </w:r>
          </w:p>
        </w:tc>
        <w:tc>
          <w:tcPr>
            <w:tcW w:w="551" w:type="dxa"/>
            <w:vAlign w:val="top"/>
          </w:tcPr>
          <w:p>
            <w:pPr>
              <w:pStyle w:val="6"/>
              <w:spacing w:before="92" w:line="188" w:lineRule="auto"/>
              <w:ind w:left="60"/>
            </w:pPr>
            <w:r>
              <w:rPr>
                <w:spacing w:val="-5"/>
              </w:rPr>
              <w:t>18.05</w:t>
            </w:r>
          </w:p>
        </w:tc>
        <w:tc>
          <w:tcPr>
            <w:tcW w:w="552" w:type="dxa"/>
            <w:vAlign w:val="top"/>
          </w:tcPr>
          <w:p>
            <w:pPr>
              <w:pStyle w:val="6"/>
              <w:spacing w:before="92" w:line="188" w:lineRule="auto"/>
              <w:ind w:left="61"/>
            </w:pPr>
            <w:r>
              <w:rPr>
                <w:spacing w:val="-5"/>
              </w:rPr>
              <w:t>19.82</w:t>
            </w:r>
          </w:p>
        </w:tc>
        <w:tc>
          <w:tcPr>
            <w:tcW w:w="554" w:type="dxa"/>
            <w:vAlign w:val="top"/>
          </w:tcPr>
          <w:p>
            <w:pPr>
              <w:pStyle w:val="6"/>
              <w:spacing w:before="92" w:line="188" w:lineRule="auto"/>
              <w:ind w:left="42"/>
            </w:pPr>
            <w:r>
              <w:rPr>
                <w:spacing w:val="-1"/>
              </w:rPr>
              <w:t>20.97</w:t>
            </w:r>
          </w:p>
        </w:tc>
        <w:tc>
          <w:tcPr>
            <w:tcW w:w="556" w:type="dxa"/>
            <w:vAlign w:val="top"/>
          </w:tcPr>
          <w:p>
            <w:pPr>
              <w:pStyle w:val="6"/>
              <w:spacing w:before="92" w:line="188" w:lineRule="auto"/>
              <w:ind w:left="42"/>
            </w:pPr>
            <w:r>
              <w:rPr>
                <w:spacing w:val="-1"/>
              </w:rPr>
              <w:t>21.26</w:t>
            </w:r>
          </w:p>
        </w:tc>
        <w:tc>
          <w:tcPr>
            <w:tcW w:w="554" w:type="dxa"/>
            <w:vAlign w:val="top"/>
          </w:tcPr>
          <w:p>
            <w:pPr>
              <w:pStyle w:val="6"/>
              <w:spacing w:before="92" w:line="188" w:lineRule="auto"/>
              <w:ind w:left="42"/>
            </w:pPr>
            <w:r>
              <w:rPr>
                <w:spacing w:val="-1"/>
              </w:rPr>
              <w:t>21.26</w:t>
            </w:r>
          </w:p>
        </w:tc>
        <w:tc>
          <w:tcPr>
            <w:tcW w:w="558" w:type="dxa"/>
            <w:vAlign w:val="top"/>
          </w:tcPr>
          <w:p>
            <w:pPr>
              <w:pStyle w:val="6"/>
              <w:spacing w:before="92" w:line="188" w:lineRule="auto"/>
              <w:ind w:left="43"/>
            </w:pPr>
            <w:r>
              <w:rPr>
                <w:spacing w:val="-1"/>
              </w:rPr>
              <w:t>20.22</w:t>
            </w:r>
          </w:p>
        </w:tc>
        <w:tc>
          <w:tcPr>
            <w:tcW w:w="578" w:type="dxa"/>
            <w:vAlign w:val="top"/>
          </w:tcPr>
          <w:p>
            <w:pPr>
              <w:pStyle w:val="6"/>
              <w:spacing w:before="92" w:line="188" w:lineRule="auto"/>
              <w:ind w:left="73"/>
            </w:pPr>
            <w:r>
              <w:rPr>
                <w:spacing w:val="-5"/>
              </w:rPr>
              <w:t>19.01</w:t>
            </w:r>
          </w:p>
        </w:tc>
        <w:tc>
          <w:tcPr>
            <w:tcW w:w="554" w:type="dxa"/>
            <w:vAlign w:val="top"/>
          </w:tcPr>
          <w:p>
            <w:pPr>
              <w:pStyle w:val="6"/>
              <w:spacing w:before="92" w:line="188" w:lineRule="auto"/>
              <w:ind w:left="63"/>
            </w:pPr>
            <w:r>
              <w:rPr>
                <w:spacing w:val="-5"/>
              </w:rPr>
              <w:t>13.90</w:t>
            </w:r>
          </w:p>
        </w:tc>
        <w:tc>
          <w:tcPr>
            <w:tcW w:w="593" w:type="dxa"/>
            <w:tcBorders>
              <w:right w:val="nil"/>
            </w:tcBorders>
            <w:vAlign w:val="top"/>
          </w:tcPr>
          <w:p>
            <w:pPr>
              <w:pStyle w:val="6"/>
              <w:spacing w:before="92" w:line="188" w:lineRule="auto"/>
              <w:ind w:left="89"/>
            </w:pPr>
            <w:r>
              <w:rPr>
                <w:spacing w:val="-7"/>
              </w:rPr>
              <w:t>11.80</w:t>
            </w:r>
          </w:p>
        </w:tc>
      </w:tr>
    </w:tbl>
    <w:p>
      <w:pPr>
        <w:rPr>
          <w:rFonts w:ascii="Arial"/>
          <w:sz w:val="21"/>
        </w:rPr>
      </w:pPr>
    </w:p>
    <w:p>
      <w:pPr>
        <w:rPr>
          <w:rFonts w:ascii="Arial" w:hAnsi="Arial" w:eastAsia="Arial" w:cs="Arial"/>
          <w:sz w:val="21"/>
          <w:szCs w:val="21"/>
        </w:rPr>
        <w:sectPr>
          <w:headerReference r:id="rId366" w:type="default"/>
          <w:footerReference r:id="rId367" w:type="default"/>
          <w:pgSz w:w="11907" w:h="16839"/>
          <w:pgMar w:top="1156" w:right="1732" w:bottom="1374" w:left="1770" w:header="881" w:footer="1210" w:gutter="0"/>
        </w:sectPr>
      </w:pPr>
    </w:p>
    <w:p>
      <w:pPr>
        <w:spacing w:before="41"/>
      </w:pPr>
    </w:p>
    <w:tbl>
      <w:tblPr>
        <w:tblStyle w:val="5"/>
        <w:tblW w:w="8340"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8"/>
        <w:gridCol w:w="552"/>
        <w:gridCol w:w="558"/>
        <w:gridCol w:w="632"/>
        <w:gridCol w:w="551"/>
        <w:gridCol w:w="552"/>
        <w:gridCol w:w="554"/>
        <w:gridCol w:w="556"/>
        <w:gridCol w:w="554"/>
        <w:gridCol w:w="558"/>
        <w:gridCol w:w="578"/>
        <w:gridCol w:w="554"/>
        <w:gridCol w:w="5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33" w:hRule="atLeast"/>
        </w:trPr>
        <w:tc>
          <w:tcPr>
            <w:tcW w:w="1548" w:type="dxa"/>
            <w:tcBorders>
              <w:left w:val="nil"/>
              <w:tl2br w:val="single" w:color="000000" w:sz="2" w:space="0"/>
            </w:tcBorders>
            <w:vAlign w:val="top"/>
          </w:tcPr>
          <w:p>
            <w:pPr>
              <w:pStyle w:val="6"/>
              <w:spacing w:before="56" w:line="249" w:lineRule="auto"/>
              <w:ind w:left="283" w:right="274" w:firstLine="466"/>
              <w:rPr>
                <w:rFonts w:ascii="仿宋" w:hAnsi="仿宋" w:eastAsia="仿宋" w:cs="仿宋"/>
              </w:rPr>
            </w:pPr>
            <w:r>
              <w:rPr>
                <w:rFonts w:ascii="仿宋" w:hAnsi="仿宋" w:eastAsia="仿宋" w:cs="仿宋"/>
                <w:spacing w:val="-12"/>
                <w14:textOutline w14:w="3810" w14:cap="flat" w14:cmpd="sng">
                  <w14:solidFill>
                    <w14:srgbClr w14:val="000000"/>
                  </w14:solidFill>
                  <w14:prstDash w14:val="solid"/>
                  <w14:miter w14:val="0"/>
                </w14:textOutline>
              </w:rPr>
              <w:t>月份</w:t>
            </w:r>
            <w:r>
              <w:rPr>
                <w:rFonts w:ascii="仿宋" w:hAnsi="仿宋" w:eastAsia="仿宋" w:cs="仿宋"/>
              </w:rPr>
              <w:t xml:space="preserve">  </w:t>
            </w:r>
            <w:r>
              <w:rPr>
                <w:rFonts w:ascii="仿宋" w:hAnsi="仿宋" w:eastAsia="仿宋" w:cs="仿宋"/>
                <w:spacing w:val="-6"/>
                <w14:textOutline w14:w="3810" w14:cap="flat" w14:cmpd="sng">
                  <w14:solidFill>
                    <w14:srgbClr w14:val="000000"/>
                  </w14:solidFill>
                  <w14:prstDash w14:val="solid"/>
                  <w14:miter w14:val="0"/>
                </w14:textOutline>
              </w:rPr>
              <w:t>水深（</w:t>
            </w:r>
            <w:r>
              <w:rPr>
                <w:b/>
                <w:bCs/>
                <w:spacing w:val="-6"/>
              </w:rPr>
              <w:t>m</w:t>
            </w:r>
            <w:r>
              <w:rPr>
                <w:rFonts w:ascii="仿宋" w:hAnsi="仿宋" w:eastAsia="仿宋" w:cs="仿宋"/>
                <w:spacing w:val="-6"/>
                <w14:textOutline w14:w="3810" w14:cap="flat" w14:cmpd="sng">
                  <w14:solidFill>
                    <w14:srgbClr w14:val="000000"/>
                  </w14:solidFill>
                  <w14:prstDash w14:val="solid"/>
                  <w14:miter w14:val="0"/>
                </w14:textOutline>
              </w:rPr>
              <w:t>）</w:t>
            </w:r>
          </w:p>
        </w:tc>
        <w:tc>
          <w:tcPr>
            <w:tcW w:w="552" w:type="dxa"/>
            <w:vAlign w:val="top"/>
          </w:tcPr>
          <w:p>
            <w:pPr>
              <w:pStyle w:val="6"/>
              <w:spacing w:before="211" w:line="219" w:lineRule="auto"/>
              <w:ind w:left="102"/>
              <w:rPr>
                <w:rFonts w:ascii="仿宋" w:hAnsi="仿宋" w:eastAsia="仿宋" w:cs="仿宋"/>
              </w:rPr>
            </w:pPr>
            <w:r>
              <w:rPr>
                <w:b/>
                <w:bCs/>
                <w:spacing w:val="-7"/>
              </w:rPr>
              <w:t>1</w:t>
            </w:r>
            <w:r>
              <w:rPr>
                <w:b/>
                <w:bCs/>
                <w:spacing w:val="24"/>
                <w:w w:val="101"/>
              </w:rPr>
              <w:t xml:space="preserve"> </w:t>
            </w:r>
            <w:r>
              <w:rPr>
                <w:rFonts w:ascii="仿宋" w:hAnsi="仿宋" w:eastAsia="仿宋" w:cs="仿宋"/>
                <w:spacing w:val="-7"/>
                <w14:textOutline w14:w="3810" w14:cap="flat" w14:cmpd="sng">
                  <w14:solidFill>
                    <w14:srgbClr w14:val="000000"/>
                  </w14:solidFill>
                  <w14:prstDash w14:val="solid"/>
                  <w14:miter w14:val="0"/>
                </w14:textOutline>
              </w:rPr>
              <w:t>月</w:t>
            </w:r>
          </w:p>
        </w:tc>
        <w:tc>
          <w:tcPr>
            <w:tcW w:w="558" w:type="dxa"/>
            <w:vAlign w:val="top"/>
          </w:tcPr>
          <w:p>
            <w:pPr>
              <w:pStyle w:val="6"/>
              <w:spacing w:before="211" w:line="219" w:lineRule="auto"/>
              <w:ind w:left="98"/>
              <w:rPr>
                <w:rFonts w:ascii="仿宋" w:hAnsi="仿宋" w:eastAsia="仿宋" w:cs="仿宋"/>
              </w:rPr>
            </w:pPr>
            <w:r>
              <w:rPr>
                <w:b/>
                <w:bCs/>
                <w:spacing w:val="-3"/>
              </w:rPr>
              <w:t>2</w:t>
            </w:r>
            <w:r>
              <w:rPr>
                <w:b/>
                <w:bCs/>
                <w:spacing w:val="24"/>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月</w:t>
            </w:r>
          </w:p>
        </w:tc>
        <w:tc>
          <w:tcPr>
            <w:tcW w:w="632" w:type="dxa"/>
            <w:vAlign w:val="top"/>
          </w:tcPr>
          <w:p>
            <w:pPr>
              <w:pStyle w:val="6"/>
              <w:spacing w:before="211" w:line="219" w:lineRule="auto"/>
              <w:ind w:left="131"/>
              <w:rPr>
                <w:rFonts w:ascii="仿宋" w:hAnsi="仿宋" w:eastAsia="仿宋" w:cs="仿宋"/>
              </w:rPr>
            </w:pPr>
            <w:r>
              <w:rPr>
                <w:b/>
                <w:bCs/>
                <w:spacing w:val="-2"/>
              </w:rPr>
              <w:t>3</w:t>
            </w:r>
            <w:r>
              <w:rPr>
                <w:b/>
                <w:bCs/>
                <w:spacing w:val="24"/>
                <w:w w:val="101"/>
              </w:rPr>
              <w:t xml:space="preserve"> </w:t>
            </w:r>
            <w:r>
              <w:rPr>
                <w:rFonts w:ascii="仿宋" w:hAnsi="仿宋" w:eastAsia="仿宋" w:cs="仿宋"/>
                <w:spacing w:val="-2"/>
                <w14:textOutline w14:w="3810" w14:cap="flat" w14:cmpd="sng">
                  <w14:solidFill>
                    <w14:srgbClr w14:val="000000"/>
                  </w14:solidFill>
                  <w14:prstDash w14:val="solid"/>
                  <w14:miter w14:val="0"/>
                </w14:textOutline>
              </w:rPr>
              <w:t>月</w:t>
            </w:r>
          </w:p>
        </w:tc>
        <w:tc>
          <w:tcPr>
            <w:tcW w:w="551" w:type="dxa"/>
            <w:vAlign w:val="top"/>
          </w:tcPr>
          <w:p>
            <w:pPr>
              <w:pStyle w:val="6"/>
              <w:spacing w:before="211" w:line="219" w:lineRule="auto"/>
              <w:ind w:left="93"/>
              <w:rPr>
                <w:rFonts w:ascii="仿宋" w:hAnsi="仿宋" w:eastAsia="仿宋" w:cs="仿宋"/>
              </w:rPr>
            </w:pPr>
            <w:r>
              <w:rPr>
                <w:b/>
                <w:bCs/>
                <w:spacing w:val="-3"/>
              </w:rPr>
              <w:t>4</w:t>
            </w:r>
            <w:r>
              <w:rPr>
                <w:b/>
                <w:bCs/>
                <w:spacing w:val="24"/>
                <w:w w:val="101"/>
              </w:rPr>
              <w:t xml:space="preserve"> </w:t>
            </w:r>
            <w:r>
              <w:rPr>
                <w:rFonts w:ascii="仿宋" w:hAnsi="仿宋" w:eastAsia="仿宋" w:cs="仿宋"/>
                <w:spacing w:val="-3"/>
                <w14:textOutline w14:w="3810" w14:cap="flat" w14:cmpd="sng">
                  <w14:solidFill>
                    <w14:srgbClr w14:val="000000"/>
                  </w14:solidFill>
                  <w14:prstDash w14:val="solid"/>
                  <w14:miter w14:val="0"/>
                </w14:textOutline>
              </w:rPr>
              <w:t>月</w:t>
            </w:r>
          </w:p>
        </w:tc>
        <w:tc>
          <w:tcPr>
            <w:tcW w:w="552" w:type="dxa"/>
            <w:vAlign w:val="top"/>
          </w:tcPr>
          <w:p>
            <w:pPr>
              <w:pStyle w:val="6"/>
              <w:spacing w:before="211" w:line="219" w:lineRule="auto"/>
              <w:ind w:left="96"/>
              <w:rPr>
                <w:rFonts w:ascii="仿宋" w:hAnsi="仿宋" w:eastAsia="仿宋" w:cs="仿宋"/>
              </w:rPr>
            </w:pPr>
            <w:r>
              <w:rPr>
                <w:b/>
                <w:bCs/>
                <w:spacing w:val="-4"/>
              </w:rPr>
              <w:t>5</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554" w:type="dxa"/>
            <w:vAlign w:val="top"/>
          </w:tcPr>
          <w:p>
            <w:pPr>
              <w:pStyle w:val="6"/>
              <w:spacing w:before="211" w:line="219" w:lineRule="auto"/>
              <w:ind w:left="97"/>
              <w:rPr>
                <w:rFonts w:ascii="仿宋" w:hAnsi="仿宋" w:eastAsia="仿宋" w:cs="仿宋"/>
              </w:rPr>
            </w:pPr>
            <w:r>
              <w:rPr>
                <w:b/>
                <w:bCs/>
                <w:spacing w:val="-4"/>
              </w:rPr>
              <w:t>6</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556" w:type="dxa"/>
            <w:vAlign w:val="top"/>
          </w:tcPr>
          <w:p>
            <w:pPr>
              <w:pStyle w:val="6"/>
              <w:spacing w:before="211" w:line="219" w:lineRule="auto"/>
              <w:ind w:left="96"/>
              <w:rPr>
                <w:rFonts w:ascii="仿宋" w:hAnsi="仿宋" w:eastAsia="仿宋" w:cs="仿宋"/>
              </w:rPr>
            </w:pPr>
            <w:r>
              <w:rPr>
                <w:b/>
                <w:bCs/>
                <w:spacing w:val="-4"/>
              </w:rPr>
              <w:t>7</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554" w:type="dxa"/>
            <w:vAlign w:val="top"/>
          </w:tcPr>
          <w:p>
            <w:pPr>
              <w:pStyle w:val="6"/>
              <w:spacing w:before="211" w:line="219" w:lineRule="auto"/>
              <w:ind w:left="96"/>
              <w:rPr>
                <w:rFonts w:ascii="仿宋" w:hAnsi="仿宋" w:eastAsia="仿宋" w:cs="仿宋"/>
              </w:rPr>
            </w:pPr>
            <w:r>
              <w:rPr>
                <w:b/>
                <w:bCs/>
                <w:spacing w:val="-4"/>
              </w:rPr>
              <w:t>8</w:t>
            </w:r>
            <w:r>
              <w:rPr>
                <w:b/>
                <w:bCs/>
                <w:spacing w:val="24"/>
                <w:w w:val="101"/>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558" w:type="dxa"/>
            <w:vAlign w:val="top"/>
          </w:tcPr>
          <w:p>
            <w:pPr>
              <w:pStyle w:val="6"/>
              <w:spacing w:before="211" w:line="219" w:lineRule="auto"/>
              <w:ind w:left="98"/>
              <w:rPr>
                <w:rFonts w:ascii="仿宋" w:hAnsi="仿宋" w:eastAsia="仿宋" w:cs="仿宋"/>
              </w:rPr>
            </w:pPr>
            <w:r>
              <w:rPr>
                <w:b/>
                <w:bCs/>
                <w:spacing w:val="-4"/>
              </w:rPr>
              <w:t>9</w:t>
            </w:r>
            <w:r>
              <w:rPr>
                <w:b/>
                <w:bCs/>
                <w:spacing w:val="25"/>
              </w:rPr>
              <w:t xml:space="preserve"> </w:t>
            </w:r>
            <w:r>
              <w:rPr>
                <w:rFonts w:ascii="仿宋" w:hAnsi="仿宋" w:eastAsia="仿宋" w:cs="仿宋"/>
                <w:spacing w:val="-4"/>
                <w14:textOutline w14:w="3810" w14:cap="flat" w14:cmpd="sng">
                  <w14:solidFill>
                    <w14:srgbClr w14:val="000000"/>
                  </w14:solidFill>
                  <w14:prstDash w14:val="solid"/>
                  <w14:miter w14:val="0"/>
                </w14:textOutline>
              </w:rPr>
              <w:t>月</w:t>
            </w:r>
          </w:p>
        </w:tc>
        <w:tc>
          <w:tcPr>
            <w:tcW w:w="578" w:type="dxa"/>
            <w:vAlign w:val="top"/>
          </w:tcPr>
          <w:p>
            <w:pPr>
              <w:pStyle w:val="6"/>
              <w:spacing w:before="211" w:line="219" w:lineRule="auto"/>
              <w:ind w:left="63"/>
              <w:rPr>
                <w:rFonts w:ascii="仿宋" w:hAnsi="仿宋" w:eastAsia="仿宋" w:cs="仿宋"/>
              </w:rPr>
            </w:pPr>
            <w:r>
              <w:rPr>
                <w:b/>
                <w:bCs/>
                <w:spacing w:val="-5"/>
              </w:rPr>
              <w:t>10</w:t>
            </w:r>
            <w:r>
              <w:rPr>
                <w:b/>
                <w:bCs/>
                <w:spacing w:val="25"/>
              </w:rPr>
              <w:t xml:space="preserve"> </w:t>
            </w:r>
            <w:r>
              <w:rPr>
                <w:rFonts w:ascii="仿宋" w:hAnsi="仿宋" w:eastAsia="仿宋" w:cs="仿宋"/>
                <w:spacing w:val="-5"/>
                <w14:textOutline w14:w="3810" w14:cap="flat" w14:cmpd="sng">
                  <w14:solidFill>
                    <w14:srgbClr w14:val="000000"/>
                  </w14:solidFill>
                  <w14:prstDash w14:val="solid"/>
                  <w14:miter w14:val="0"/>
                </w14:textOutline>
              </w:rPr>
              <w:t>月</w:t>
            </w:r>
          </w:p>
        </w:tc>
        <w:tc>
          <w:tcPr>
            <w:tcW w:w="554" w:type="dxa"/>
            <w:vAlign w:val="top"/>
          </w:tcPr>
          <w:p>
            <w:pPr>
              <w:pStyle w:val="6"/>
              <w:spacing w:before="211" w:line="219" w:lineRule="auto"/>
              <w:ind w:left="57"/>
              <w:rPr>
                <w:rFonts w:ascii="仿宋" w:hAnsi="仿宋" w:eastAsia="仿宋" w:cs="仿宋"/>
              </w:rPr>
            </w:pPr>
            <w:r>
              <w:rPr>
                <w:b/>
                <w:bCs/>
                <w:spacing w:val="-9"/>
              </w:rPr>
              <w:t>11</w:t>
            </w:r>
            <w:r>
              <w:rPr>
                <w:b/>
                <w:bCs/>
                <w:spacing w:val="25"/>
              </w:rPr>
              <w:t xml:space="preserve"> </w:t>
            </w:r>
            <w:r>
              <w:rPr>
                <w:rFonts w:ascii="仿宋" w:hAnsi="仿宋" w:eastAsia="仿宋" w:cs="仿宋"/>
                <w:spacing w:val="-9"/>
                <w14:textOutline w14:w="3810" w14:cap="flat" w14:cmpd="sng">
                  <w14:solidFill>
                    <w14:srgbClr w14:val="000000"/>
                  </w14:solidFill>
                  <w14:prstDash w14:val="solid"/>
                  <w14:miter w14:val="0"/>
                </w14:textOutline>
              </w:rPr>
              <w:t>月</w:t>
            </w:r>
          </w:p>
        </w:tc>
        <w:tc>
          <w:tcPr>
            <w:tcW w:w="593" w:type="dxa"/>
            <w:tcBorders>
              <w:right w:val="nil"/>
            </w:tcBorders>
            <w:vAlign w:val="top"/>
          </w:tcPr>
          <w:p>
            <w:pPr>
              <w:pStyle w:val="6"/>
              <w:spacing w:before="211" w:line="219" w:lineRule="auto"/>
              <w:ind w:left="73"/>
              <w:rPr>
                <w:rFonts w:ascii="仿宋" w:hAnsi="仿宋" w:eastAsia="仿宋" w:cs="仿宋"/>
              </w:rPr>
            </w:pPr>
            <w:r>
              <w:rPr>
                <w:b/>
                <w:bCs/>
                <w:spacing w:val="-5"/>
              </w:rPr>
              <w:t>12</w:t>
            </w:r>
            <w:r>
              <w:rPr>
                <w:b/>
                <w:bCs/>
                <w:spacing w:val="25"/>
              </w:rPr>
              <w:t xml:space="preserve"> </w:t>
            </w:r>
            <w:r>
              <w:rPr>
                <w:rFonts w:ascii="仿宋" w:hAnsi="仿宋" w:eastAsia="仿宋" w:cs="仿宋"/>
                <w:spacing w:val="-5"/>
                <w14:textOutline w14:w="3810" w14:cap="flat" w14:cmpd="sng">
                  <w14:solidFill>
                    <w14:srgbClr w14:val="000000"/>
                  </w14:solidFill>
                  <w14:prstDash w14:val="solid"/>
                  <w14:miter w14:val="0"/>
                </w14:textOutli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1548" w:type="dxa"/>
            <w:tcBorders>
              <w:left w:val="nil"/>
            </w:tcBorders>
            <w:vAlign w:val="top"/>
          </w:tcPr>
          <w:p>
            <w:pPr>
              <w:pStyle w:val="6"/>
              <w:spacing w:before="92" w:line="185" w:lineRule="auto"/>
              <w:ind w:left="733"/>
            </w:pPr>
            <w:r>
              <w:t>7</w:t>
            </w:r>
          </w:p>
        </w:tc>
        <w:tc>
          <w:tcPr>
            <w:tcW w:w="552" w:type="dxa"/>
            <w:vAlign w:val="top"/>
          </w:tcPr>
          <w:p>
            <w:pPr>
              <w:pStyle w:val="6"/>
              <w:spacing w:before="89" w:line="188" w:lineRule="auto"/>
              <w:ind w:left="61"/>
            </w:pPr>
            <w:r>
              <w:rPr>
                <w:spacing w:val="-5"/>
              </w:rPr>
              <w:t>12.50</w:t>
            </w:r>
          </w:p>
        </w:tc>
        <w:tc>
          <w:tcPr>
            <w:tcW w:w="558" w:type="dxa"/>
            <w:vAlign w:val="top"/>
          </w:tcPr>
          <w:p>
            <w:pPr>
              <w:pStyle w:val="6"/>
              <w:spacing w:before="89" w:line="188" w:lineRule="auto"/>
              <w:ind w:left="65"/>
            </w:pPr>
            <w:r>
              <w:rPr>
                <w:spacing w:val="-5"/>
              </w:rPr>
              <w:t>14.48</w:t>
            </w:r>
          </w:p>
        </w:tc>
        <w:tc>
          <w:tcPr>
            <w:tcW w:w="632" w:type="dxa"/>
            <w:vAlign w:val="top"/>
          </w:tcPr>
          <w:p>
            <w:pPr>
              <w:pStyle w:val="6"/>
              <w:spacing w:before="89" w:line="188" w:lineRule="auto"/>
              <w:ind w:left="101"/>
            </w:pPr>
            <w:r>
              <w:rPr>
                <w:spacing w:val="-5"/>
              </w:rPr>
              <w:t>16.15</w:t>
            </w:r>
          </w:p>
        </w:tc>
        <w:tc>
          <w:tcPr>
            <w:tcW w:w="551" w:type="dxa"/>
            <w:vAlign w:val="top"/>
          </w:tcPr>
          <w:p>
            <w:pPr>
              <w:pStyle w:val="6"/>
              <w:spacing w:before="89" w:line="188" w:lineRule="auto"/>
              <w:ind w:left="60"/>
            </w:pPr>
            <w:r>
              <w:rPr>
                <w:spacing w:val="-5"/>
              </w:rPr>
              <w:t>17.70</w:t>
            </w:r>
          </w:p>
        </w:tc>
        <w:tc>
          <w:tcPr>
            <w:tcW w:w="552" w:type="dxa"/>
            <w:vAlign w:val="top"/>
          </w:tcPr>
          <w:p>
            <w:pPr>
              <w:pStyle w:val="6"/>
              <w:spacing w:before="89" w:line="188" w:lineRule="auto"/>
              <w:ind w:left="61"/>
            </w:pPr>
            <w:r>
              <w:rPr>
                <w:spacing w:val="-5"/>
              </w:rPr>
              <w:t>19.36</w:t>
            </w:r>
          </w:p>
        </w:tc>
        <w:tc>
          <w:tcPr>
            <w:tcW w:w="554" w:type="dxa"/>
            <w:vAlign w:val="top"/>
          </w:tcPr>
          <w:p>
            <w:pPr>
              <w:pStyle w:val="6"/>
              <w:spacing w:before="89" w:line="188" w:lineRule="auto"/>
              <w:ind w:left="42"/>
            </w:pPr>
            <w:r>
              <w:rPr>
                <w:spacing w:val="-1"/>
              </w:rPr>
              <w:t>20.49</w:t>
            </w:r>
          </w:p>
        </w:tc>
        <w:tc>
          <w:tcPr>
            <w:tcW w:w="556" w:type="dxa"/>
            <w:vAlign w:val="top"/>
          </w:tcPr>
          <w:p>
            <w:pPr>
              <w:pStyle w:val="6"/>
              <w:spacing w:before="89" w:line="188" w:lineRule="auto"/>
              <w:ind w:left="42"/>
            </w:pPr>
            <w:r>
              <w:rPr>
                <w:spacing w:val="-1"/>
              </w:rPr>
              <w:t>20.87</w:t>
            </w:r>
          </w:p>
        </w:tc>
        <w:tc>
          <w:tcPr>
            <w:tcW w:w="554" w:type="dxa"/>
            <w:vAlign w:val="top"/>
          </w:tcPr>
          <w:p>
            <w:pPr>
              <w:pStyle w:val="6"/>
              <w:spacing w:before="89" w:line="188" w:lineRule="auto"/>
              <w:ind w:left="42"/>
            </w:pPr>
            <w:r>
              <w:rPr>
                <w:spacing w:val="-1"/>
              </w:rPr>
              <w:t>20.99</w:t>
            </w:r>
          </w:p>
        </w:tc>
        <w:tc>
          <w:tcPr>
            <w:tcW w:w="558" w:type="dxa"/>
            <w:vAlign w:val="top"/>
          </w:tcPr>
          <w:p>
            <w:pPr>
              <w:pStyle w:val="6"/>
              <w:spacing w:before="89" w:line="188" w:lineRule="auto"/>
              <w:ind w:left="43"/>
            </w:pPr>
            <w:r>
              <w:rPr>
                <w:spacing w:val="-1"/>
              </w:rPr>
              <w:t>20.09</w:t>
            </w:r>
          </w:p>
        </w:tc>
        <w:tc>
          <w:tcPr>
            <w:tcW w:w="578" w:type="dxa"/>
            <w:vAlign w:val="top"/>
          </w:tcPr>
          <w:p>
            <w:pPr>
              <w:pStyle w:val="6"/>
              <w:spacing w:before="89" w:line="188" w:lineRule="auto"/>
              <w:ind w:left="73"/>
            </w:pPr>
            <w:r>
              <w:rPr>
                <w:spacing w:val="-5"/>
              </w:rPr>
              <w:t>18.96</w:t>
            </w:r>
          </w:p>
        </w:tc>
        <w:tc>
          <w:tcPr>
            <w:tcW w:w="554" w:type="dxa"/>
            <w:vAlign w:val="top"/>
          </w:tcPr>
          <w:p>
            <w:pPr>
              <w:pStyle w:val="6"/>
              <w:spacing w:before="89" w:line="188" w:lineRule="auto"/>
              <w:ind w:left="63"/>
            </w:pPr>
            <w:r>
              <w:rPr>
                <w:spacing w:val="-5"/>
              </w:rPr>
              <w:t>13.89</w:t>
            </w:r>
          </w:p>
        </w:tc>
        <w:tc>
          <w:tcPr>
            <w:tcW w:w="593" w:type="dxa"/>
            <w:tcBorders>
              <w:right w:val="nil"/>
            </w:tcBorders>
            <w:vAlign w:val="top"/>
          </w:tcPr>
          <w:p>
            <w:pPr>
              <w:pStyle w:val="6"/>
              <w:spacing w:before="89" w:line="188" w:lineRule="auto"/>
              <w:ind w:left="89"/>
            </w:pPr>
            <w:r>
              <w:rPr>
                <w:spacing w:val="-7"/>
              </w:rPr>
              <w:t>11.80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87" w:line="188" w:lineRule="auto"/>
              <w:ind w:left="738"/>
            </w:pPr>
            <w:r>
              <w:t>8</w:t>
            </w:r>
          </w:p>
        </w:tc>
        <w:tc>
          <w:tcPr>
            <w:tcW w:w="552" w:type="dxa"/>
            <w:vAlign w:val="top"/>
          </w:tcPr>
          <w:p>
            <w:pPr>
              <w:pStyle w:val="6"/>
              <w:spacing w:before="87" w:line="188" w:lineRule="auto"/>
              <w:ind w:left="61"/>
            </w:pPr>
            <w:r>
              <w:rPr>
                <w:spacing w:val="-5"/>
              </w:rPr>
              <w:t>12.50</w:t>
            </w:r>
          </w:p>
        </w:tc>
        <w:tc>
          <w:tcPr>
            <w:tcW w:w="558" w:type="dxa"/>
            <w:vAlign w:val="top"/>
          </w:tcPr>
          <w:p>
            <w:pPr>
              <w:pStyle w:val="6"/>
              <w:spacing w:before="87" w:line="188" w:lineRule="auto"/>
              <w:ind w:left="65"/>
            </w:pPr>
            <w:r>
              <w:rPr>
                <w:spacing w:val="-5"/>
              </w:rPr>
              <w:t>14.46</w:t>
            </w:r>
          </w:p>
        </w:tc>
        <w:tc>
          <w:tcPr>
            <w:tcW w:w="632" w:type="dxa"/>
            <w:vAlign w:val="top"/>
          </w:tcPr>
          <w:p>
            <w:pPr>
              <w:pStyle w:val="6"/>
              <w:spacing w:before="87" w:line="188" w:lineRule="auto"/>
              <w:ind w:left="101"/>
            </w:pPr>
            <w:r>
              <w:rPr>
                <w:spacing w:val="-5"/>
              </w:rPr>
              <w:t>15.95</w:t>
            </w:r>
          </w:p>
        </w:tc>
        <w:tc>
          <w:tcPr>
            <w:tcW w:w="551" w:type="dxa"/>
            <w:vAlign w:val="top"/>
          </w:tcPr>
          <w:p>
            <w:pPr>
              <w:pStyle w:val="6"/>
              <w:spacing w:before="87" w:line="188" w:lineRule="auto"/>
              <w:ind w:left="60"/>
            </w:pPr>
            <w:r>
              <w:rPr>
                <w:spacing w:val="-5"/>
              </w:rPr>
              <w:t>17.35</w:t>
            </w:r>
          </w:p>
        </w:tc>
        <w:tc>
          <w:tcPr>
            <w:tcW w:w="552" w:type="dxa"/>
            <w:vAlign w:val="top"/>
          </w:tcPr>
          <w:p>
            <w:pPr>
              <w:pStyle w:val="6"/>
              <w:spacing w:before="87" w:line="188" w:lineRule="auto"/>
              <w:ind w:left="61"/>
            </w:pPr>
            <w:r>
              <w:rPr>
                <w:spacing w:val="-5"/>
              </w:rPr>
              <w:t>18.90</w:t>
            </w:r>
          </w:p>
        </w:tc>
        <w:tc>
          <w:tcPr>
            <w:tcW w:w="554" w:type="dxa"/>
            <w:vAlign w:val="top"/>
          </w:tcPr>
          <w:p>
            <w:pPr>
              <w:pStyle w:val="6"/>
              <w:spacing w:before="87" w:line="188" w:lineRule="auto"/>
              <w:ind w:left="42"/>
            </w:pPr>
            <w:r>
              <w:rPr>
                <w:spacing w:val="-1"/>
              </w:rPr>
              <w:t>20.01</w:t>
            </w:r>
          </w:p>
        </w:tc>
        <w:tc>
          <w:tcPr>
            <w:tcW w:w="556" w:type="dxa"/>
            <w:vAlign w:val="top"/>
          </w:tcPr>
          <w:p>
            <w:pPr>
              <w:pStyle w:val="6"/>
              <w:spacing w:before="87" w:line="188" w:lineRule="auto"/>
              <w:ind w:left="42"/>
            </w:pPr>
            <w:r>
              <w:rPr>
                <w:spacing w:val="-1"/>
              </w:rPr>
              <w:t>20.46</w:t>
            </w:r>
          </w:p>
        </w:tc>
        <w:tc>
          <w:tcPr>
            <w:tcW w:w="554" w:type="dxa"/>
            <w:vAlign w:val="top"/>
          </w:tcPr>
          <w:p>
            <w:pPr>
              <w:pStyle w:val="6"/>
              <w:spacing w:before="87" w:line="188" w:lineRule="auto"/>
              <w:ind w:left="42"/>
            </w:pPr>
            <w:r>
              <w:rPr>
                <w:spacing w:val="-1"/>
              </w:rPr>
              <w:t>20.70</w:t>
            </w:r>
          </w:p>
        </w:tc>
        <w:tc>
          <w:tcPr>
            <w:tcW w:w="558" w:type="dxa"/>
            <w:vAlign w:val="top"/>
          </w:tcPr>
          <w:p>
            <w:pPr>
              <w:pStyle w:val="6"/>
              <w:spacing w:before="87" w:line="188" w:lineRule="auto"/>
              <w:ind w:left="63"/>
            </w:pPr>
            <w:r>
              <w:rPr>
                <w:spacing w:val="-5"/>
              </w:rPr>
              <w:t>19.93</w:t>
            </w:r>
          </w:p>
        </w:tc>
        <w:tc>
          <w:tcPr>
            <w:tcW w:w="578" w:type="dxa"/>
            <w:vAlign w:val="top"/>
          </w:tcPr>
          <w:p>
            <w:pPr>
              <w:pStyle w:val="6"/>
              <w:spacing w:before="87" w:line="188" w:lineRule="auto"/>
              <w:ind w:left="73"/>
            </w:pPr>
            <w:r>
              <w:rPr>
                <w:spacing w:val="-5"/>
              </w:rPr>
              <w:t>18.90</w:t>
            </w:r>
          </w:p>
        </w:tc>
        <w:tc>
          <w:tcPr>
            <w:tcW w:w="554" w:type="dxa"/>
            <w:vAlign w:val="top"/>
          </w:tcPr>
          <w:p>
            <w:pPr>
              <w:pStyle w:val="6"/>
              <w:spacing w:before="87" w:line="188" w:lineRule="auto"/>
              <w:ind w:left="63"/>
            </w:pPr>
            <w:r>
              <w:rPr>
                <w:spacing w:val="-5"/>
              </w:rPr>
              <w:t>13.89</w:t>
            </w:r>
          </w:p>
        </w:tc>
        <w:tc>
          <w:tcPr>
            <w:tcW w:w="593" w:type="dxa"/>
            <w:tcBorders>
              <w:right w:val="nil"/>
            </w:tcBorders>
            <w:vAlign w:val="top"/>
          </w:tcPr>
          <w:p>
            <w:pPr>
              <w:pStyle w:val="6"/>
              <w:spacing w:before="87" w:line="188" w:lineRule="auto"/>
              <w:ind w:left="89"/>
            </w:pPr>
            <w:r>
              <w:rPr>
                <w:spacing w:val="-7"/>
              </w:rPr>
              <w:t>11.80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548" w:type="dxa"/>
            <w:tcBorders>
              <w:left w:val="nil"/>
            </w:tcBorders>
            <w:vAlign w:val="top"/>
          </w:tcPr>
          <w:p>
            <w:pPr>
              <w:pStyle w:val="6"/>
              <w:spacing w:before="88" w:line="188" w:lineRule="auto"/>
              <w:ind w:left="734"/>
            </w:pPr>
            <w:r>
              <w:t>9</w:t>
            </w:r>
          </w:p>
        </w:tc>
        <w:tc>
          <w:tcPr>
            <w:tcW w:w="552" w:type="dxa"/>
            <w:vAlign w:val="top"/>
          </w:tcPr>
          <w:p>
            <w:pPr>
              <w:pStyle w:val="6"/>
              <w:spacing w:before="88" w:line="188" w:lineRule="auto"/>
              <w:ind w:left="61"/>
            </w:pPr>
            <w:r>
              <w:rPr>
                <w:spacing w:val="-5"/>
              </w:rPr>
              <w:t>12.50</w:t>
            </w:r>
          </w:p>
        </w:tc>
        <w:tc>
          <w:tcPr>
            <w:tcW w:w="558" w:type="dxa"/>
            <w:vAlign w:val="top"/>
          </w:tcPr>
          <w:p>
            <w:pPr>
              <w:pStyle w:val="6"/>
              <w:spacing w:before="88" w:line="188" w:lineRule="auto"/>
              <w:ind w:left="65"/>
            </w:pPr>
            <w:r>
              <w:rPr>
                <w:spacing w:val="-5"/>
              </w:rPr>
              <w:t>14.44</w:t>
            </w:r>
          </w:p>
        </w:tc>
        <w:tc>
          <w:tcPr>
            <w:tcW w:w="632" w:type="dxa"/>
            <w:vAlign w:val="top"/>
          </w:tcPr>
          <w:p>
            <w:pPr>
              <w:pStyle w:val="6"/>
              <w:spacing w:before="88" w:line="188" w:lineRule="auto"/>
              <w:ind w:left="101"/>
            </w:pPr>
            <w:r>
              <w:rPr>
                <w:spacing w:val="-5"/>
              </w:rPr>
              <w:t>15.75</w:t>
            </w:r>
          </w:p>
        </w:tc>
        <w:tc>
          <w:tcPr>
            <w:tcW w:w="551" w:type="dxa"/>
            <w:vAlign w:val="top"/>
          </w:tcPr>
          <w:p>
            <w:pPr>
              <w:pStyle w:val="6"/>
              <w:spacing w:before="88" w:line="188" w:lineRule="auto"/>
              <w:ind w:left="60"/>
            </w:pPr>
            <w:r>
              <w:rPr>
                <w:spacing w:val="-5"/>
              </w:rPr>
              <w:t>17.01</w:t>
            </w:r>
          </w:p>
        </w:tc>
        <w:tc>
          <w:tcPr>
            <w:tcW w:w="552" w:type="dxa"/>
            <w:vAlign w:val="top"/>
          </w:tcPr>
          <w:p>
            <w:pPr>
              <w:pStyle w:val="6"/>
              <w:spacing w:before="88" w:line="188" w:lineRule="auto"/>
              <w:ind w:left="61"/>
            </w:pPr>
            <w:r>
              <w:rPr>
                <w:spacing w:val="-5"/>
              </w:rPr>
              <w:t>18.47</w:t>
            </w:r>
          </w:p>
        </w:tc>
        <w:tc>
          <w:tcPr>
            <w:tcW w:w="554" w:type="dxa"/>
            <w:vAlign w:val="top"/>
          </w:tcPr>
          <w:p>
            <w:pPr>
              <w:pStyle w:val="6"/>
              <w:spacing w:before="88" w:line="188" w:lineRule="auto"/>
              <w:ind w:left="62"/>
            </w:pPr>
            <w:r>
              <w:rPr>
                <w:spacing w:val="-5"/>
              </w:rPr>
              <w:t>19.54</w:t>
            </w:r>
          </w:p>
        </w:tc>
        <w:tc>
          <w:tcPr>
            <w:tcW w:w="556" w:type="dxa"/>
            <w:vAlign w:val="top"/>
          </w:tcPr>
          <w:p>
            <w:pPr>
              <w:pStyle w:val="6"/>
              <w:spacing w:before="88" w:line="188" w:lineRule="auto"/>
              <w:ind w:left="42"/>
            </w:pPr>
            <w:r>
              <w:rPr>
                <w:spacing w:val="-1"/>
              </w:rPr>
              <w:t>20.03</w:t>
            </w:r>
          </w:p>
        </w:tc>
        <w:tc>
          <w:tcPr>
            <w:tcW w:w="554" w:type="dxa"/>
            <w:vAlign w:val="top"/>
          </w:tcPr>
          <w:p>
            <w:pPr>
              <w:pStyle w:val="6"/>
              <w:spacing w:before="88" w:line="188" w:lineRule="auto"/>
              <w:ind w:left="42"/>
            </w:pPr>
            <w:r>
              <w:rPr>
                <w:spacing w:val="-1"/>
              </w:rPr>
              <w:t>20.37</w:t>
            </w:r>
          </w:p>
        </w:tc>
        <w:tc>
          <w:tcPr>
            <w:tcW w:w="558" w:type="dxa"/>
            <w:vAlign w:val="top"/>
          </w:tcPr>
          <w:p>
            <w:pPr>
              <w:pStyle w:val="6"/>
              <w:spacing w:before="88" w:line="188" w:lineRule="auto"/>
              <w:ind w:left="63"/>
            </w:pPr>
            <w:r>
              <w:rPr>
                <w:spacing w:val="-5"/>
              </w:rPr>
              <w:t>19.74</w:t>
            </w:r>
          </w:p>
        </w:tc>
        <w:tc>
          <w:tcPr>
            <w:tcW w:w="578" w:type="dxa"/>
            <w:vAlign w:val="top"/>
          </w:tcPr>
          <w:p>
            <w:pPr>
              <w:pStyle w:val="6"/>
              <w:spacing w:before="88" w:line="188" w:lineRule="auto"/>
              <w:ind w:left="73"/>
            </w:pPr>
            <w:r>
              <w:rPr>
                <w:spacing w:val="-5"/>
              </w:rPr>
              <w:t>18.81</w:t>
            </w:r>
          </w:p>
        </w:tc>
        <w:tc>
          <w:tcPr>
            <w:tcW w:w="554" w:type="dxa"/>
            <w:vAlign w:val="top"/>
          </w:tcPr>
          <w:p>
            <w:pPr>
              <w:pStyle w:val="6"/>
              <w:spacing w:before="88" w:line="188" w:lineRule="auto"/>
              <w:ind w:left="63"/>
            </w:pPr>
            <w:r>
              <w:rPr>
                <w:spacing w:val="-5"/>
              </w:rPr>
              <w:t>13.88</w:t>
            </w:r>
          </w:p>
        </w:tc>
        <w:tc>
          <w:tcPr>
            <w:tcW w:w="593" w:type="dxa"/>
            <w:tcBorders>
              <w:right w:val="nil"/>
            </w:tcBorders>
            <w:vAlign w:val="top"/>
          </w:tcPr>
          <w:p>
            <w:pPr>
              <w:pStyle w:val="6"/>
              <w:spacing w:before="88" w:line="188" w:lineRule="auto"/>
              <w:ind w:left="89"/>
            </w:pPr>
            <w:r>
              <w:rPr>
                <w:spacing w:val="-7"/>
              </w:rPr>
              <w:t>11.80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1548" w:type="dxa"/>
            <w:tcBorders>
              <w:left w:val="nil"/>
            </w:tcBorders>
            <w:vAlign w:val="top"/>
          </w:tcPr>
          <w:p>
            <w:pPr>
              <w:pStyle w:val="6"/>
              <w:spacing w:before="89" w:line="188" w:lineRule="auto"/>
              <w:ind w:left="697"/>
            </w:pPr>
            <w:r>
              <w:rPr>
                <w:spacing w:val="-6"/>
              </w:rPr>
              <w:t>10</w:t>
            </w:r>
          </w:p>
        </w:tc>
        <w:tc>
          <w:tcPr>
            <w:tcW w:w="552" w:type="dxa"/>
            <w:vAlign w:val="top"/>
          </w:tcPr>
          <w:p>
            <w:pPr>
              <w:pStyle w:val="6"/>
              <w:spacing w:before="89" w:line="188" w:lineRule="auto"/>
              <w:ind w:left="61"/>
            </w:pPr>
            <w:r>
              <w:rPr>
                <w:spacing w:val="-5"/>
              </w:rPr>
              <w:t>12.50</w:t>
            </w:r>
          </w:p>
        </w:tc>
        <w:tc>
          <w:tcPr>
            <w:tcW w:w="558" w:type="dxa"/>
            <w:vAlign w:val="top"/>
          </w:tcPr>
          <w:p>
            <w:pPr>
              <w:pStyle w:val="6"/>
              <w:spacing w:before="89" w:line="188" w:lineRule="auto"/>
              <w:ind w:left="65"/>
            </w:pPr>
            <w:r>
              <w:rPr>
                <w:spacing w:val="-5"/>
              </w:rPr>
              <w:t>14.41</w:t>
            </w:r>
          </w:p>
        </w:tc>
        <w:tc>
          <w:tcPr>
            <w:tcW w:w="632" w:type="dxa"/>
            <w:vAlign w:val="top"/>
          </w:tcPr>
          <w:p>
            <w:pPr>
              <w:pStyle w:val="6"/>
              <w:spacing w:before="89" w:line="188" w:lineRule="auto"/>
              <w:ind w:left="101"/>
            </w:pPr>
            <w:r>
              <w:rPr>
                <w:spacing w:val="-5"/>
              </w:rPr>
              <w:t>15.54</w:t>
            </w:r>
          </w:p>
        </w:tc>
        <w:tc>
          <w:tcPr>
            <w:tcW w:w="551" w:type="dxa"/>
            <w:vAlign w:val="top"/>
          </w:tcPr>
          <w:p>
            <w:pPr>
              <w:pStyle w:val="6"/>
              <w:spacing w:before="89" w:line="188" w:lineRule="auto"/>
              <w:ind w:left="60"/>
            </w:pPr>
            <w:r>
              <w:rPr>
                <w:spacing w:val="-5"/>
              </w:rPr>
              <w:t>16.68</w:t>
            </w:r>
          </w:p>
        </w:tc>
        <w:tc>
          <w:tcPr>
            <w:tcW w:w="552" w:type="dxa"/>
            <w:vAlign w:val="top"/>
          </w:tcPr>
          <w:p>
            <w:pPr>
              <w:pStyle w:val="6"/>
              <w:spacing w:before="89" w:line="188" w:lineRule="auto"/>
              <w:ind w:left="61"/>
            </w:pPr>
            <w:r>
              <w:rPr>
                <w:spacing w:val="-5"/>
              </w:rPr>
              <w:t>18.05</w:t>
            </w:r>
          </w:p>
        </w:tc>
        <w:tc>
          <w:tcPr>
            <w:tcW w:w="554" w:type="dxa"/>
            <w:vAlign w:val="top"/>
          </w:tcPr>
          <w:p>
            <w:pPr>
              <w:pStyle w:val="6"/>
              <w:spacing w:before="89" w:line="188" w:lineRule="auto"/>
              <w:ind w:left="62"/>
            </w:pPr>
            <w:r>
              <w:rPr>
                <w:spacing w:val="-5"/>
              </w:rPr>
              <w:t>19.07</w:t>
            </w:r>
          </w:p>
        </w:tc>
        <w:tc>
          <w:tcPr>
            <w:tcW w:w="556" w:type="dxa"/>
            <w:vAlign w:val="top"/>
          </w:tcPr>
          <w:p>
            <w:pPr>
              <w:pStyle w:val="6"/>
              <w:spacing w:before="89" w:line="188" w:lineRule="auto"/>
              <w:ind w:left="62"/>
            </w:pPr>
            <w:r>
              <w:rPr>
                <w:spacing w:val="-5"/>
              </w:rPr>
              <w:t>19.60</w:t>
            </w:r>
          </w:p>
        </w:tc>
        <w:tc>
          <w:tcPr>
            <w:tcW w:w="554" w:type="dxa"/>
            <w:vAlign w:val="top"/>
          </w:tcPr>
          <w:p>
            <w:pPr>
              <w:pStyle w:val="6"/>
              <w:spacing w:before="89" w:line="188" w:lineRule="auto"/>
              <w:ind w:left="42"/>
            </w:pPr>
            <w:r>
              <w:rPr>
                <w:spacing w:val="-1"/>
              </w:rPr>
              <w:t>20.02</w:t>
            </w:r>
          </w:p>
        </w:tc>
        <w:tc>
          <w:tcPr>
            <w:tcW w:w="558" w:type="dxa"/>
            <w:vAlign w:val="top"/>
          </w:tcPr>
          <w:p>
            <w:pPr>
              <w:pStyle w:val="6"/>
              <w:spacing w:before="89" w:line="188" w:lineRule="auto"/>
              <w:ind w:left="63"/>
            </w:pPr>
            <w:r>
              <w:rPr>
                <w:spacing w:val="-5"/>
              </w:rPr>
              <w:t>19.53</w:t>
            </w:r>
          </w:p>
        </w:tc>
        <w:tc>
          <w:tcPr>
            <w:tcW w:w="578" w:type="dxa"/>
            <w:vAlign w:val="top"/>
          </w:tcPr>
          <w:p>
            <w:pPr>
              <w:pStyle w:val="6"/>
              <w:spacing w:before="89" w:line="188" w:lineRule="auto"/>
              <w:ind w:left="73"/>
            </w:pPr>
            <w:r>
              <w:rPr>
                <w:spacing w:val="-5"/>
              </w:rPr>
              <w:t>18.71</w:t>
            </w:r>
          </w:p>
        </w:tc>
        <w:tc>
          <w:tcPr>
            <w:tcW w:w="554" w:type="dxa"/>
            <w:vAlign w:val="top"/>
          </w:tcPr>
          <w:p>
            <w:pPr>
              <w:pStyle w:val="6"/>
              <w:spacing w:before="89" w:line="188" w:lineRule="auto"/>
              <w:ind w:left="63"/>
            </w:pPr>
            <w:r>
              <w:rPr>
                <w:spacing w:val="-5"/>
              </w:rPr>
              <w:t>13.87</w:t>
            </w:r>
          </w:p>
        </w:tc>
        <w:tc>
          <w:tcPr>
            <w:tcW w:w="593" w:type="dxa"/>
            <w:tcBorders>
              <w:right w:val="nil"/>
            </w:tcBorders>
            <w:vAlign w:val="top"/>
          </w:tcPr>
          <w:p>
            <w:pPr>
              <w:pStyle w:val="6"/>
              <w:spacing w:before="89" w:line="188" w:lineRule="auto"/>
              <w:ind w:left="89"/>
            </w:pPr>
            <w:r>
              <w:rPr>
                <w:spacing w:val="-7"/>
              </w:rPr>
              <w:t>11.81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88" w:line="188" w:lineRule="auto"/>
              <w:ind w:left="708"/>
            </w:pPr>
            <w:r>
              <w:rPr>
                <w:spacing w:val="-10"/>
              </w:rPr>
              <w:t>11</w:t>
            </w:r>
          </w:p>
        </w:tc>
        <w:tc>
          <w:tcPr>
            <w:tcW w:w="552" w:type="dxa"/>
            <w:vAlign w:val="top"/>
          </w:tcPr>
          <w:p>
            <w:pPr>
              <w:pStyle w:val="6"/>
              <w:spacing w:before="88" w:line="188" w:lineRule="auto"/>
              <w:ind w:left="61"/>
            </w:pPr>
            <w:r>
              <w:rPr>
                <w:spacing w:val="-5"/>
              </w:rPr>
              <w:t>12.50</w:t>
            </w:r>
          </w:p>
        </w:tc>
        <w:tc>
          <w:tcPr>
            <w:tcW w:w="558" w:type="dxa"/>
            <w:vAlign w:val="top"/>
          </w:tcPr>
          <w:p>
            <w:pPr>
              <w:pStyle w:val="6"/>
              <w:spacing w:before="88" w:line="188" w:lineRule="auto"/>
              <w:ind w:left="65"/>
            </w:pPr>
            <w:r>
              <w:rPr>
                <w:spacing w:val="-5"/>
              </w:rPr>
              <w:t>14.37</w:t>
            </w:r>
          </w:p>
        </w:tc>
        <w:tc>
          <w:tcPr>
            <w:tcW w:w="632" w:type="dxa"/>
            <w:vAlign w:val="top"/>
          </w:tcPr>
          <w:p>
            <w:pPr>
              <w:pStyle w:val="6"/>
              <w:spacing w:before="88" w:line="188" w:lineRule="auto"/>
              <w:ind w:left="101"/>
            </w:pPr>
            <w:r>
              <w:rPr>
                <w:spacing w:val="-5"/>
              </w:rPr>
              <w:t>15.32</w:t>
            </w:r>
          </w:p>
        </w:tc>
        <w:tc>
          <w:tcPr>
            <w:tcW w:w="551" w:type="dxa"/>
            <w:vAlign w:val="top"/>
          </w:tcPr>
          <w:p>
            <w:pPr>
              <w:pStyle w:val="6"/>
              <w:spacing w:before="88" w:line="188" w:lineRule="auto"/>
              <w:ind w:left="60"/>
            </w:pPr>
            <w:r>
              <w:rPr>
                <w:spacing w:val="-5"/>
              </w:rPr>
              <w:t>16.37</w:t>
            </w:r>
          </w:p>
        </w:tc>
        <w:tc>
          <w:tcPr>
            <w:tcW w:w="552" w:type="dxa"/>
            <w:vAlign w:val="top"/>
          </w:tcPr>
          <w:p>
            <w:pPr>
              <w:pStyle w:val="6"/>
              <w:spacing w:before="88" w:line="188" w:lineRule="auto"/>
              <w:ind w:left="61"/>
            </w:pPr>
            <w:r>
              <w:rPr>
                <w:spacing w:val="-5"/>
              </w:rPr>
              <w:t>17.65</w:t>
            </w:r>
          </w:p>
        </w:tc>
        <w:tc>
          <w:tcPr>
            <w:tcW w:w="554" w:type="dxa"/>
            <w:vAlign w:val="top"/>
          </w:tcPr>
          <w:p>
            <w:pPr>
              <w:pStyle w:val="6"/>
              <w:spacing w:before="88" w:line="188" w:lineRule="auto"/>
              <w:ind w:left="62"/>
            </w:pPr>
            <w:r>
              <w:rPr>
                <w:spacing w:val="-5"/>
              </w:rPr>
              <w:t>18.62</w:t>
            </w:r>
          </w:p>
        </w:tc>
        <w:tc>
          <w:tcPr>
            <w:tcW w:w="556" w:type="dxa"/>
            <w:vAlign w:val="top"/>
          </w:tcPr>
          <w:p>
            <w:pPr>
              <w:pStyle w:val="6"/>
              <w:spacing w:before="88" w:line="188" w:lineRule="auto"/>
              <w:ind w:left="62"/>
            </w:pPr>
            <w:r>
              <w:rPr>
                <w:spacing w:val="-5"/>
              </w:rPr>
              <w:t>19.16</w:t>
            </w:r>
          </w:p>
        </w:tc>
        <w:tc>
          <w:tcPr>
            <w:tcW w:w="554" w:type="dxa"/>
            <w:vAlign w:val="top"/>
          </w:tcPr>
          <w:p>
            <w:pPr>
              <w:pStyle w:val="6"/>
              <w:spacing w:before="88" w:line="188" w:lineRule="auto"/>
              <w:ind w:left="62"/>
            </w:pPr>
            <w:r>
              <w:rPr>
                <w:spacing w:val="-5"/>
              </w:rPr>
              <w:t>19.65</w:t>
            </w:r>
          </w:p>
        </w:tc>
        <w:tc>
          <w:tcPr>
            <w:tcW w:w="558" w:type="dxa"/>
            <w:vAlign w:val="top"/>
          </w:tcPr>
          <w:p>
            <w:pPr>
              <w:pStyle w:val="6"/>
              <w:spacing w:before="88" w:line="188" w:lineRule="auto"/>
              <w:ind w:left="63"/>
            </w:pPr>
            <w:r>
              <w:rPr>
                <w:spacing w:val="-5"/>
              </w:rPr>
              <w:t>19.29</w:t>
            </w:r>
          </w:p>
        </w:tc>
        <w:tc>
          <w:tcPr>
            <w:tcW w:w="578" w:type="dxa"/>
            <w:vAlign w:val="top"/>
          </w:tcPr>
          <w:p>
            <w:pPr>
              <w:pStyle w:val="6"/>
              <w:spacing w:before="88" w:line="188" w:lineRule="auto"/>
              <w:ind w:left="73"/>
            </w:pPr>
            <w:r>
              <w:rPr>
                <w:spacing w:val="-5"/>
              </w:rPr>
              <w:t>18.59</w:t>
            </w:r>
          </w:p>
        </w:tc>
        <w:tc>
          <w:tcPr>
            <w:tcW w:w="554" w:type="dxa"/>
            <w:vAlign w:val="top"/>
          </w:tcPr>
          <w:p>
            <w:pPr>
              <w:pStyle w:val="6"/>
              <w:spacing w:before="88" w:line="188" w:lineRule="auto"/>
              <w:ind w:left="63"/>
            </w:pPr>
            <w:r>
              <w:rPr>
                <w:spacing w:val="-5"/>
              </w:rPr>
              <w:t>13.86</w:t>
            </w:r>
          </w:p>
        </w:tc>
        <w:tc>
          <w:tcPr>
            <w:tcW w:w="593" w:type="dxa"/>
            <w:tcBorders>
              <w:right w:val="nil"/>
            </w:tcBorders>
            <w:vAlign w:val="top"/>
          </w:tcPr>
          <w:p>
            <w:pPr>
              <w:pStyle w:val="6"/>
              <w:spacing w:before="88" w:line="188" w:lineRule="auto"/>
              <w:ind w:left="89"/>
            </w:pPr>
            <w:r>
              <w:rPr>
                <w:spacing w:val="-7"/>
              </w:rPr>
              <w:t>11.81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548" w:type="dxa"/>
            <w:tcBorders>
              <w:left w:val="nil"/>
            </w:tcBorders>
            <w:vAlign w:val="top"/>
          </w:tcPr>
          <w:p>
            <w:pPr>
              <w:pStyle w:val="6"/>
              <w:spacing w:before="88" w:line="188" w:lineRule="auto"/>
              <w:ind w:left="697"/>
            </w:pPr>
            <w:r>
              <w:rPr>
                <w:spacing w:val="-6"/>
              </w:rPr>
              <w:t>12</w:t>
            </w:r>
          </w:p>
        </w:tc>
        <w:tc>
          <w:tcPr>
            <w:tcW w:w="552" w:type="dxa"/>
            <w:vAlign w:val="top"/>
          </w:tcPr>
          <w:p>
            <w:pPr>
              <w:pStyle w:val="6"/>
              <w:spacing w:before="88" w:line="188" w:lineRule="auto"/>
              <w:ind w:left="61"/>
            </w:pPr>
            <w:r>
              <w:rPr>
                <w:spacing w:val="-5"/>
              </w:rPr>
              <w:t>12.50</w:t>
            </w:r>
          </w:p>
        </w:tc>
        <w:tc>
          <w:tcPr>
            <w:tcW w:w="558" w:type="dxa"/>
            <w:vAlign w:val="top"/>
          </w:tcPr>
          <w:p>
            <w:pPr>
              <w:pStyle w:val="6"/>
              <w:spacing w:before="88" w:line="188" w:lineRule="auto"/>
              <w:ind w:left="65"/>
            </w:pPr>
            <w:r>
              <w:rPr>
                <w:spacing w:val="-5"/>
              </w:rPr>
              <w:t>14.32</w:t>
            </w:r>
          </w:p>
        </w:tc>
        <w:tc>
          <w:tcPr>
            <w:tcW w:w="632" w:type="dxa"/>
            <w:vAlign w:val="top"/>
          </w:tcPr>
          <w:p>
            <w:pPr>
              <w:pStyle w:val="6"/>
              <w:spacing w:before="88" w:line="188" w:lineRule="auto"/>
              <w:ind w:left="101"/>
            </w:pPr>
            <w:r>
              <w:rPr>
                <w:spacing w:val="-5"/>
              </w:rPr>
              <w:t>15.10</w:t>
            </w:r>
          </w:p>
        </w:tc>
        <w:tc>
          <w:tcPr>
            <w:tcW w:w="551" w:type="dxa"/>
            <w:vAlign w:val="top"/>
          </w:tcPr>
          <w:p>
            <w:pPr>
              <w:pStyle w:val="6"/>
              <w:spacing w:before="88" w:line="188" w:lineRule="auto"/>
              <w:ind w:left="60"/>
            </w:pPr>
            <w:r>
              <w:rPr>
                <w:spacing w:val="-5"/>
              </w:rPr>
              <w:t>16.07</w:t>
            </w:r>
          </w:p>
        </w:tc>
        <w:tc>
          <w:tcPr>
            <w:tcW w:w="552" w:type="dxa"/>
            <w:vAlign w:val="top"/>
          </w:tcPr>
          <w:p>
            <w:pPr>
              <w:pStyle w:val="6"/>
              <w:spacing w:before="88" w:line="188" w:lineRule="auto"/>
              <w:ind w:left="61"/>
            </w:pPr>
            <w:r>
              <w:rPr>
                <w:spacing w:val="-5"/>
              </w:rPr>
              <w:t>17.26</w:t>
            </w:r>
          </w:p>
        </w:tc>
        <w:tc>
          <w:tcPr>
            <w:tcW w:w="554" w:type="dxa"/>
            <w:vAlign w:val="top"/>
          </w:tcPr>
          <w:p>
            <w:pPr>
              <w:pStyle w:val="6"/>
              <w:spacing w:before="88" w:line="188" w:lineRule="auto"/>
              <w:ind w:left="62"/>
            </w:pPr>
            <w:r>
              <w:rPr>
                <w:spacing w:val="-5"/>
              </w:rPr>
              <w:t>18.18</w:t>
            </w:r>
          </w:p>
        </w:tc>
        <w:tc>
          <w:tcPr>
            <w:tcW w:w="556" w:type="dxa"/>
            <w:vAlign w:val="top"/>
          </w:tcPr>
          <w:p>
            <w:pPr>
              <w:pStyle w:val="6"/>
              <w:spacing w:before="88" w:line="188" w:lineRule="auto"/>
              <w:ind w:left="62"/>
            </w:pPr>
            <w:r>
              <w:rPr>
                <w:spacing w:val="-5"/>
              </w:rPr>
              <w:t>18.73</w:t>
            </w:r>
          </w:p>
        </w:tc>
        <w:tc>
          <w:tcPr>
            <w:tcW w:w="554" w:type="dxa"/>
            <w:vAlign w:val="top"/>
          </w:tcPr>
          <w:p>
            <w:pPr>
              <w:pStyle w:val="6"/>
              <w:spacing w:before="88" w:line="188" w:lineRule="auto"/>
              <w:ind w:left="62"/>
            </w:pPr>
            <w:r>
              <w:rPr>
                <w:spacing w:val="-5"/>
              </w:rPr>
              <w:t>19.26</w:t>
            </w:r>
          </w:p>
        </w:tc>
        <w:tc>
          <w:tcPr>
            <w:tcW w:w="558" w:type="dxa"/>
            <w:vAlign w:val="top"/>
          </w:tcPr>
          <w:p>
            <w:pPr>
              <w:pStyle w:val="6"/>
              <w:spacing w:before="88" w:line="188" w:lineRule="auto"/>
              <w:ind w:left="63"/>
            </w:pPr>
            <w:r>
              <w:rPr>
                <w:spacing w:val="-5"/>
              </w:rPr>
              <w:t>19.03</w:t>
            </w:r>
          </w:p>
        </w:tc>
        <w:tc>
          <w:tcPr>
            <w:tcW w:w="578" w:type="dxa"/>
            <w:vAlign w:val="top"/>
          </w:tcPr>
          <w:p>
            <w:pPr>
              <w:pStyle w:val="6"/>
              <w:spacing w:before="88" w:line="188" w:lineRule="auto"/>
              <w:ind w:left="73"/>
            </w:pPr>
            <w:r>
              <w:rPr>
                <w:spacing w:val="-5"/>
              </w:rPr>
              <w:t>18.44</w:t>
            </w:r>
          </w:p>
        </w:tc>
        <w:tc>
          <w:tcPr>
            <w:tcW w:w="554" w:type="dxa"/>
            <w:vAlign w:val="top"/>
          </w:tcPr>
          <w:p>
            <w:pPr>
              <w:pStyle w:val="6"/>
              <w:spacing w:before="88" w:line="188" w:lineRule="auto"/>
              <w:ind w:left="63"/>
            </w:pPr>
            <w:r>
              <w:rPr>
                <w:spacing w:val="-5"/>
              </w:rPr>
              <w:t>13.84</w:t>
            </w:r>
          </w:p>
        </w:tc>
        <w:tc>
          <w:tcPr>
            <w:tcW w:w="593" w:type="dxa"/>
            <w:tcBorders>
              <w:right w:val="nil"/>
            </w:tcBorders>
            <w:vAlign w:val="top"/>
          </w:tcPr>
          <w:p>
            <w:pPr>
              <w:pStyle w:val="6"/>
              <w:spacing w:before="88" w:line="188" w:lineRule="auto"/>
              <w:ind w:left="89"/>
            </w:pPr>
            <w:r>
              <w:rPr>
                <w:spacing w:val="-7"/>
              </w:rPr>
              <w:t>11.82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1548" w:type="dxa"/>
            <w:tcBorders>
              <w:left w:val="nil"/>
            </w:tcBorders>
            <w:vAlign w:val="top"/>
          </w:tcPr>
          <w:p>
            <w:pPr>
              <w:pStyle w:val="6"/>
              <w:spacing w:before="89" w:line="188" w:lineRule="auto"/>
              <w:ind w:left="697"/>
            </w:pPr>
            <w:r>
              <w:rPr>
                <w:spacing w:val="-6"/>
              </w:rPr>
              <w:t>13</w:t>
            </w:r>
          </w:p>
        </w:tc>
        <w:tc>
          <w:tcPr>
            <w:tcW w:w="552" w:type="dxa"/>
            <w:vAlign w:val="top"/>
          </w:tcPr>
          <w:p>
            <w:pPr>
              <w:pStyle w:val="6"/>
              <w:spacing w:before="89" w:line="188" w:lineRule="auto"/>
              <w:ind w:left="61"/>
            </w:pPr>
            <w:r>
              <w:rPr>
                <w:spacing w:val="-5"/>
              </w:rPr>
              <w:t>12.50</w:t>
            </w:r>
          </w:p>
        </w:tc>
        <w:tc>
          <w:tcPr>
            <w:tcW w:w="558" w:type="dxa"/>
            <w:vAlign w:val="top"/>
          </w:tcPr>
          <w:p>
            <w:pPr>
              <w:pStyle w:val="6"/>
              <w:spacing w:before="89" w:line="188" w:lineRule="auto"/>
              <w:ind w:left="65"/>
            </w:pPr>
            <w:r>
              <w:rPr>
                <w:spacing w:val="-5"/>
              </w:rPr>
              <w:t>14.26</w:t>
            </w:r>
          </w:p>
        </w:tc>
        <w:tc>
          <w:tcPr>
            <w:tcW w:w="632" w:type="dxa"/>
            <w:vAlign w:val="top"/>
          </w:tcPr>
          <w:p>
            <w:pPr>
              <w:pStyle w:val="6"/>
              <w:spacing w:before="89" w:line="188" w:lineRule="auto"/>
              <w:ind w:left="101"/>
            </w:pPr>
            <w:r>
              <w:rPr>
                <w:spacing w:val="-5"/>
              </w:rPr>
              <w:t>14.89</w:t>
            </w:r>
          </w:p>
        </w:tc>
        <w:tc>
          <w:tcPr>
            <w:tcW w:w="551" w:type="dxa"/>
            <w:vAlign w:val="top"/>
          </w:tcPr>
          <w:p>
            <w:pPr>
              <w:pStyle w:val="6"/>
              <w:spacing w:before="89" w:line="188" w:lineRule="auto"/>
              <w:ind w:left="60"/>
            </w:pPr>
            <w:r>
              <w:rPr>
                <w:spacing w:val="-5"/>
              </w:rPr>
              <w:t>15.79</w:t>
            </w:r>
          </w:p>
        </w:tc>
        <w:tc>
          <w:tcPr>
            <w:tcW w:w="552" w:type="dxa"/>
            <w:vAlign w:val="top"/>
          </w:tcPr>
          <w:p>
            <w:pPr>
              <w:pStyle w:val="6"/>
              <w:spacing w:before="89" w:line="188" w:lineRule="auto"/>
              <w:ind w:left="61"/>
            </w:pPr>
            <w:r>
              <w:rPr>
                <w:spacing w:val="-5"/>
              </w:rPr>
              <w:t>16.90</w:t>
            </w:r>
          </w:p>
        </w:tc>
        <w:tc>
          <w:tcPr>
            <w:tcW w:w="554" w:type="dxa"/>
            <w:vAlign w:val="top"/>
          </w:tcPr>
          <w:p>
            <w:pPr>
              <w:pStyle w:val="6"/>
              <w:spacing w:before="89" w:line="188" w:lineRule="auto"/>
              <w:ind w:left="62"/>
            </w:pPr>
            <w:r>
              <w:rPr>
                <w:spacing w:val="-5"/>
              </w:rPr>
              <w:t>17.76</w:t>
            </w:r>
          </w:p>
        </w:tc>
        <w:tc>
          <w:tcPr>
            <w:tcW w:w="556" w:type="dxa"/>
            <w:vAlign w:val="top"/>
          </w:tcPr>
          <w:p>
            <w:pPr>
              <w:pStyle w:val="6"/>
              <w:spacing w:before="89" w:line="188" w:lineRule="auto"/>
              <w:ind w:left="62"/>
            </w:pPr>
            <w:r>
              <w:rPr>
                <w:spacing w:val="-5"/>
              </w:rPr>
              <w:t>18.29</w:t>
            </w:r>
          </w:p>
        </w:tc>
        <w:tc>
          <w:tcPr>
            <w:tcW w:w="554" w:type="dxa"/>
            <w:vAlign w:val="top"/>
          </w:tcPr>
          <w:p>
            <w:pPr>
              <w:pStyle w:val="6"/>
              <w:spacing w:before="89" w:line="188" w:lineRule="auto"/>
              <w:ind w:left="62"/>
            </w:pPr>
            <w:r>
              <w:rPr>
                <w:spacing w:val="-5"/>
              </w:rPr>
              <w:t>18.87</w:t>
            </w:r>
          </w:p>
        </w:tc>
        <w:tc>
          <w:tcPr>
            <w:tcW w:w="558" w:type="dxa"/>
            <w:vAlign w:val="top"/>
          </w:tcPr>
          <w:p>
            <w:pPr>
              <w:pStyle w:val="6"/>
              <w:spacing w:before="89" w:line="188" w:lineRule="auto"/>
              <w:ind w:left="63"/>
            </w:pPr>
            <w:r>
              <w:rPr>
                <w:spacing w:val="-5"/>
              </w:rPr>
              <w:t>18.74</w:t>
            </w:r>
          </w:p>
        </w:tc>
        <w:tc>
          <w:tcPr>
            <w:tcW w:w="578" w:type="dxa"/>
            <w:vAlign w:val="top"/>
          </w:tcPr>
          <w:p>
            <w:pPr>
              <w:pStyle w:val="6"/>
              <w:spacing w:before="89" w:line="188" w:lineRule="auto"/>
              <w:ind w:left="73"/>
            </w:pPr>
            <w:r>
              <w:rPr>
                <w:spacing w:val="-5"/>
              </w:rPr>
              <w:t>18.27</w:t>
            </w:r>
          </w:p>
        </w:tc>
        <w:tc>
          <w:tcPr>
            <w:tcW w:w="554" w:type="dxa"/>
            <w:vAlign w:val="top"/>
          </w:tcPr>
          <w:p>
            <w:pPr>
              <w:pStyle w:val="6"/>
              <w:spacing w:before="89" w:line="188" w:lineRule="auto"/>
              <w:ind w:left="63"/>
            </w:pPr>
            <w:r>
              <w:rPr>
                <w:spacing w:val="-5"/>
              </w:rPr>
              <w:t>13.83</w:t>
            </w:r>
          </w:p>
        </w:tc>
        <w:tc>
          <w:tcPr>
            <w:tcW w:w="593" w:type="dxa"/>
            <w:tcBorders>
              <w:right w:val="nil"/>
            </w:tcBorders>
            <w:vAlign w:val="top"/>
          </w:tcPr>
          <w:p>
            <w:pPr>
              <w:pStyle w:val="6"/>
              <w:spacing w:before="89" w:line="188" w:lineRule="auto"/>
              <w:ind w:left="89"/>
            </w:pPr>
            <w:r>
              <w:rPr>
                <w:spacing w:val="-7"/>
              </w:rPr>
              <w:t>11.82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88" w:line="188" w:lineRule="auto"/>
              <w:ind w:left="697"/>
            </w:pPr>
            <w:r>
              <w:rPr>
                <w:spacing w:val="-6"/>
              </w:rPr>
              <w:t>14</w:t>
            </w:r>
          </w:p>
        </w:tc>
        <w:tc>
          <w:tcPr>
            <w:tcW w:w="552" w:type="dxa"/>
            <w:vAlign w:val="top"/>
          </w:tcPr>
          <w:p>
            <w:pPr>
              <w:pStyle w:val="6"/>
              <w:spacing w:before="88" w:line="188" w:lineRule="auto"/>
              <w:ind w:left="61"/>
            </w:pPr>
            <w:r>
              <w:rPr>
                <w:spacing w:val="-5"/>
              </w:rPr>
              <w:t>12.50</w:t>
            </w:r>
          </w:p>
        </w:tc>
        <w:tc>
          <w:tcPr>
            <w:tcW w:w="558" w:type="dxa"/>
            <w:vAlign w:val="top"/>
          </w:tcPr>
          <w:p>
            <w:pPr>
              <w:pStyle w:val="6"/>
              <w:spacing w:before="88" w:line="188" w:lineRule="auto"/>
              <w:ind w:left="65"/>
            </w:pPr>
            <w:r>
              <w:rPr>
                <w:spacing w:val="-5"/>
              </w:rPr>
              <w:t>14.18</w:t>
            </w:r>
          </w:p>
        </w:tc>
        <w:tc>
          <w:tcPr>
            <w:tcW w:w="632" w:type="dxa"/>
            <w:vAlign w:val="top"/>
          </w:tcPr>
          <w:p>
            <w:pPr>
              <w:pStyle w:val="6"/>
              <w:spacing w:before="88" w:line="188" w:lineRule="auto"/>
              <w:ind w:left="101"/>
            </w:pPr>
            <w:r>
              <w:rPr>
                <w:spacing w:val="-5"/>
              </w:rPr>
              <w:t>14.68</w:t>
            </w:r>
          </w:p>
        </w:tc>
        <w:tc>
          <w:tcPr>
            <w:tcW w:w="551" w:type="dxa"/>
            <w:vAlign w:val="top"/>
          </w:tcPr>
          <w:p>
            <w:pPr>
              <w:pStyle w:val="6"/>
              <w:spacing w:before="88" w:line="188" w:lineRule="auto"/>
              <w:ind w:left="60"/>
            </w:pPr>
            <w:r>
              <w:rPr>
                <w:spacing w:val="-5"/>
              </w:rPr>
              <w:t>15.52</w:t>
            </w:r>
          </w:p>
        </w:tc>
        <w:tc>
          <w:tcPr>
            <w:tcW w:w="552" w:type="dxa"/>
            <w:vAlign w:val="top"/>
          </w:tcPr>
          <w:p>
            <w:pPr>
              <w:pStyle w:val="6"/>
              <w:spacing w:before="88" w:line="188" w:lineRule="auto"/>
              <w:ind w:left="61"/>
            </w:pPr>
            <w:r>
              <w:rPr>
                <w:spacing w:val="-5"/>
              </w:rPr>
              <w:t>16.56</w:t>
            </w:r>
          </w:p>
        </w:tc>
        <w:tc>
          <w:tcPr>
            <w:tcW w:w="554" w:type="dxa"/>
            <w:vAlign w:val="top"/>
          </w:tcPr>
          <w:p>
            <w:pPr>
              <w:pStyle w:val="6"/>
              <w:spacing w:before="88" w:line="188" w:lineRule="auto"/>
              <w:ind w:left="62"/>
            </w:pPr>
            <w:r>
              <w:rPr>
                <w:spacing w:val="-5"/>
              </w:rPr>
              <w:t>17.36</w:t>
            </w:r>
          </w:p>
        </w:tc>
        <w:tc>
          <w:tcPr>
            <w:tcW w:w="556" w:type="dxa"/>
            <w:vAlign w:val="top"/>
          </w:tcPr>
          <w:p>
            <w:pPr>
              <w:pStyle w:val="6"/>
              <w:spacing w:before="88" w:line="188" w:lineRule="auto"/>
              <w:ind w:left="62"/>
            </w:pPr>
            <w:r>
              <w:rPr>
                <w:spacing w:val="-5"/>
              </w:rPr>
              <w:t>17.87</w:t>
            </w:r>
          </w:p>
        </w:tc>
        <w:tc>
          <w:tcPr>
            <w:tcW w:w="554" w:type="dxa"/>
            <w:vAlign w:val="top"/>
          </w:tcPr>
          <w:p>
            <w:pPr>
              <w:pStyle w:val="6"/>
              <w:spacing w:before="88" w:line="188" w:lineRule="auto"/>
              <w:ind w:left="62"/>
            </w:pPr>
            <w:r>
              <w:rPr>
                <w:spacing w:val="-5"/>
              </w:rPr>
              <w:t>18.46</w:t>
            </w:r>
          </w:p>
        </w:tc>
        <w:tc>
          <w:tcPr>
            <w:tcW w:w="558" w:type="dxa"/>
            <w:vAlign w:val="top"/>
          </w:tcPr>
          <w:p>
            <w:pPr>
              <w:pStyle w:val="6"/>
              <w:spacing w:before="88" w:line="188" w:lineRule="auto"/>
              <w:ind w:left="63"/>
            </w:pPr>
            <w:r>
              <w:rPr>
                <w:spacing w:val="-5"/>
              </w:rPr>
              <w:t>18.43</w:t>
            </w:r>
          </w:p>
        </w:tc>
        <w:tc>
          <w:tcPr>
            <w:tcW w:w="578" w:type="dxa"/>
            <w:vAlign w:val="top"/>
          </w:tcPr>
          <w:p>
            <w:pPr>
              <w:pStyle w:val="6"/>
              <w:spacing w:before="88" w:line="188" w:lineRule="auto"/>
              <w:ind w:left="73"/>
            </w:pPr>
            <w:r>
              <w:rPr>
                <w:spacing w:val="-5"/>
              </w:rPr>
              <w:t>18.08</w:t>
            </w:r>
          </w:p>
        </w:tc>
        <w:tc>
          <w:tcPr>
            <w:tcW w:w="554" w:type="dxa"/>
            <w:vAlign w:val="top"/>
          </w:tcPr>
          <w:p>
            <w:pPr>
              <w:pStyle w:val="6"/>
              <w:spacing w:before="88" w:line="188" w:lineRule="auto"/>
              <w:ind w:left="63"/>
            </w:pPr>
            <w:r>
              <w:rPr>
                <w:spacing w:val="-5"/>
              </w:rPr>
              <w:t>13.80</w:t>
            </w:r>
          </w:p>
        </w:tc>
        <w:tc>
          <w:tcPr>
            <w:tcW w:w="593" w:type="dxa"/>
            <w:tcBorders>
              <w:right w:val="nil"/>
            </w:tcBorders>
            <w:vAlign w:val="top"/>
          </w:tcPr>
          <w:p>
            <w:pPr>
              <w:pStyle w:val="6"/>
              <w:spacing w:before="88" w:line="188" w:lineRule="auto"/>
              <w:ind w:left="89"/>
            </w:pPr>
            <w:r>
              <w:rPr>
                <w:spacing w:val="-7"/>
              </w:rPr>
              <w:t>11.83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548" w:type="dxa"/>
            <w:tcBorders>
              <w:left w:val="nil"/>
            </w:tcBorders>
            <w:vAlign w:val="top"/>
          </w:tcPr>
          <w:p>
            <w:pPr>
              <w:pStyle w:val="6"/>
              <w:spacing w:before="88" w:line="188" w:lineRule="auto"/>
              <w:ind w:left="697"/>
            </w:pPr>
            <w:r>
              <w:rPr>
                <w:spacing w:val="-6"/>
              </w:rPr>
              <w:t>15</w:t>
            </w:r>
          </w:p>
        </w:tc>
        <w:tc>
          <w:tcPr>
            <w:tcW w:w="552" w:type="dxa"/>
            <w:vAlign w:val="top"/>
          </w:tcPr>
          <w:p>
            <w:pPr>
              <w:pStyle w:val="6"/>
              <w:spacing w:before="88" w:line="188" w:lineRule="auto"/>
              <w:ind w:left="61"/>
            </w:pPr>
            <w:r>
              <w:rPr>
                <w:spacing w:val="-5"/>
              </w:rPr>
              <w:t>12.50</w:t>
            </w:r>
          </w:p>
        </w:tc>
        <w:tc>
          <w:tcPr>
            <w:tcW w:w="558" w:type="dxa"/>
            <w:vAlign w:val="top"/>
          </w:tcPr>
          <w:p>
            <w:pPr>
              <w:pStyle w:val="6"/>
              <w:spacing w:before="88" w:line="188" w:lineRule="auto"/>
              <w:ind w:left="65"/>
            </w:pPr>
            <w:r>
              <w:rPr>
                <w:spacing w:val="-5"/>
              </w:rPr>
              <w:t>14.10</w:t>
            </w:r>
          </w:p>
        </w:tc>
        <w:tc>
          <w:tcPr>
            <w:tcW w:w="632" w:type="dxa"/>
            <w:vAlign w:val="top"/>
          </w:tcPr>
          <w:p>
            <w:pPr>
              <w:pStyle w:val="6"/>
              <w:spacing w:before="88" w:line="188" w:lineRule="auto"/>
              <w:ind w:left="101"/>
            </w:pPr>
            <w:r>
              <w:rPr>
                <w:spacing w:val="-5"/>
              </w:rPr>
              <w:t>14.48</w:t>
            </w:r>
          </w:p>
        </w:tc>
        <w:tc>
          <w:tcPr>
            <w:tcW w:w="551" w:type="dxa"/>
            <w:vAlign w:val="top"/>
          </w:tcPr>
          <w:p>
            <w:pPr>
              <w:pStyle w:val="6"/>
              <w:spacing w:before="88" w:line="188" w:lineRule="auto"/>
              <w:ind w:left="60"/>
            </w:pPr>
            <w:r>
              <w:rPr>
                <w:spacing w:val="-5"/>
              </w:rPr>
              <w:t>15.27</w:t>
            </w:r>
          </w:p>
        </w:tc>
        <w:tc>
          <w:tcPr>
            <w:tcW w:w="552" w:type="dxa"/>
            <w:vAlign w:val="top"/>
          </w:tcPr>
          <w:p>
            <w:pPr>
              <w:pStyle w:val="6"/>
              <w:spacing w:before="88" w:line="188" w:lineRule="auto"/>
              <w:ind w:left="61"/>
            </w:pPr>
            <w:r>
              <w:rPr>
                <w:spacing w:val="-5"/>
              </w:rPr>
              <w:t>16.24</w:t>
            </w:r>
          </w:p>
        </w:tc>
        <w:tc>
          <w:tcPr>
            <w:tcW w:w="554" w:type="dxa"/>
            <w:vAlign w:val="top"/>
          </w:tcPr>
          <w:p>
            <w:pPr>
              <w:pStyle w:val="6"/>
              <w:spacing w:before="88" w:line="188" w:lineRule="auto"/>
              <w:ind w:left="62"/>
            </w:pPr>
            <w:r>
              <w:rPr>
                <w:spacing w:val="-5"/>
              </w:rPr>
              <w:t>16.98</w:t>
            </w:r>
          </w:p>
        </w:tc>
        <w:tc>
          <w:tcPr>
            <w:tcW w:w="556" w:type="dxa"/>
            <w:vAlign w:val="top"/>
          </w:tcPr>
          <w:p>
            <w:pPr>
              <w:pStyle w:val="6"/>
              <w:spacing w:before="88" w:line="188" w:lineRule="auto"/>
              <w:ind w:left="62"/>
            </w:pPr>
            <w:r>
              <w:rPr>
                <w:spacing w:val="-5"/>
              </w:rPr>
              <w:t>17.46</w:t>
            </w:r>
          </w:p>
        </w:tc>
        <w:tc>
          <w:tcPr>
            <w:tcW w:w="554" w:type="dxa"/>
            <w:vAlign w:val="top"/>
          </w:tcPr>
          <w:p>
            <w:pPr>
              <w:pStyle w:val="6"/>
              <w:spacing w:before="88" w:line="188" w:lineRule="auto"/>
              <w:ind w:left="62"/>
            </w:pPr>
            <w:r>
              <w:rPr>
                <w:spacing w:val="-5"/>
              </w:rPr>
              <w:t>18.05</w:t>
            </w:r>
          </w:p>
        </w:tc>
        <w:tc>
          <w:tcPr>
            <w:tcW w:w="558" w:type="dxa"/>
            <w:vAlign w:val="top"/>
          </w:tcPr>
          <w:p>
            <w:pPr>
              <w:pStyle w:val="6"/>
              <w:spacing w:before="88" w:line="188" w:lineRule="auto"/>
              <w:ind w:left="67"/>
            </w:pPr>
            <w:r>
              <w:rPr>
                <w:spacing w:val="-5"/>
              </w:rPr>
              <w:t>18.11</w:t>
            </w:r>
          </w:p>
        </w:tc>
        <w:tc>
          <w:tcPr>
            <w:tcW w:w="578" w:type="dxa"/>
            <w:vAlign w:val="top"/>
          </w:tcPr>
          <w:p>
            <w:pPr>
              <w:pStyle w:val="6"/>
              <w:spacing w:before="88" w:line="188" w:lineRule="auto"/>
              <w:ind w:left="73"/>
            </w:pPr>
            <w:r>
              <w:rPr>
                <w:spacing w:val="-5"/>
              </w:rPr>
              <w:t>17.87</w:t>
            </w:r>
          </w:p>
        </w:tc>
        <w:tc>
          <w:tcPr>
            <w:tcW w:w="554" w:type="dxa"/>
            <w:vAlign w:val="top"/>
          </w:tcPr>
          <w:p>
            <w:pPr>
              <w:pStyle w:val="6"/>
              <w:spacing w:before="88" w:line="188" w:lineRule="auto"/>
              <w:ind w:left="63"/>
            </w:pPr>
            <w:r>
              <w:rPr>
                <w:spacing w:val="-5"/>
              </w:rPr>
              <w:t>13.78</w:t>
            </w:r>
          </w:p>
        </w:tc>
        <w:tc>
          <w:tcPr>
            <w:tcW w:w="593" w:type="dxa"/>
            <w:tcBorders>
              <w:right w:val="nil"/>
            </w:tcBorders>
            <w:vAlign w:val="top"/>
          </w:tcPr>
          <w:p>
            <w:pPr>
              <w:pStyle w:val="6"/>
              <w:spacing w:before="88" w:line="188" w:lineRule="auto"/>
              <w:ind w:left="89"/>
            </w:pPr>
            <w:r>
              <w:rPr>
                <w:spacing w:val="-7"/>
              </w:rPr>
              <w:t>11.84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1548" w:type="dxa"/>
            <w:tcBorders>
              <w:left w:val="nil"/>
            </w:tcBorders>
            <w:vAlign w:val="top"/>
          </w:tcPr>
          <w:p>
            <w:pPr>
              <w:pStyle w:val="6"/>
              <w:spacing w:before="89" w:line="188" w:lineRule="auto"/>
              <w:ind w:left="697"/>
            </w:pPr>
            <w:r>
              <w:rPr>
                <w:spacing w:val="-6"/>
              </w:rPr>
              <w:t>16</w:t>
            </w:r>
          </w:p>
        </w:tc>
        <w:tc>
          <w:tcPr>
            <w:tcW w:w="552" w:type="dxa"/>
            <w:vAlign w:val="top"/>
          </w:tcPr>
          <w:p>
            <w:pPr>
              <w:pStyle w:val="6"/>
              <w:spacing w:before="89" w:line="188" w:lineRule="auto"/>
              <w:ind w:left="61"/>
            </w:pPr>
            <w:r>
              <w:rPr>
                <w:spacing w:val="-5"/>
              </w:rPr>
              <w:t>12.50</w:t>
            </w:r>
          </w:p>
        </w:tc>
        <w:tc>
          <w:tcPr>
            <w:tcW w:w="558" w:type="dxa"/>
            <w:vAlign w:val="top"/>
          </w:tcPr>
          <w:p>
            <w:pPr>
              <w:pStyle w:val="6"/>
              <w:spacing w:before="89" w:line="188" w:lineRule="auto"/>
              <w:ind w:left="65"/>
            </w:pPr>
            <w:r>
              <w:rPr>
                <w:spacing w:val="-5"/>
              </w:rPr>
              <w:t>14.00</w:t>
            </w:r>
          </w:p>
        </w:tc>
        <w:tc>
          <w:tcPr>
            <w:tcW w:w="632" w:type="dxa"/>
            <w:vAlign w:val="top"/>
          </w:tcPr>
          <w:p>
            <w:pPr>
              <w:pStyle w:val="6"/>
              <w:spacing w:before="89" w:line="188" w:lineRule="auto"/>
              <w:ind w:left="101"/>
            </w:pPr>
            <w:r>
              <w:rPr>
                <w:spacing w:val="-5"/>
              </w:rPr>
              <w:t>14.29</w:t>
            </w:r>
          </w:p>
        </w:tc>
        <w:tc>
          <w:tcPr>
            <w:tcW w:w="551" w:type="dxa"/>
            <w:vAlign w:val="top"/>
          </w:tcPr>
          <w:p>
            <w:pPr>
              <w:pStyle w:val="6"/>
              <w:spacing w:before="89" w:line="188" w:lineRule="auto"/>
              <w:ind w:left="60"/>
            </w:pPr>
            <w:r>
              <w:rPr>
                <w:spacing w:val="-5"/>
              </w:rPr>
              <w:t>15.03</w:t>
            </w:r>
          </w:p>
        </w:tc>
        <w:tc>
          <w:tcPr>
            <w:tcW w:w="552" w:type="dxa"/>
            <w:vAlign w:val="top"/>
          </w:tcPr>
          <w:p>
            <w:pPr>
              <w:pStyle w:val="6"/>
              <w:spacing w:before="89" w:line="188" w:lineRule="auto"/>
              <w:ind w:left="61"/>
            </w:pPr>
            <w:r>
              <w:rPr>
                <w:spacing w:val="-5"/>
              </w:rPr>
              <w:t>15.94</w:t>
            </w:r>
          </w:p>
        </w:tc>
        <w:tc>
          <w:tcPr>
            <w:tcW w:w="554" w:type="dxa"/>
            <w:vAlign w:val="top"/>
          </w:tcPr>
          <w:p>
            <w:pPr>
              <w:pStyle w:val="6"/>
              <w:spacing w:before="89" w:line="188" w:lineRule="auto"/>
              <w:ind w:left="62"/>
            </w:pPr>
            <w:r>
              <w:rPr>
                <w:spacing w:val="-5"/>
              </w:rPr>
              <w:t>16.62</w:t>
            </w:r>
          </w:p>
        </w:tc>
        <w:tc>
          <w:tcPr>
            <w:tcW w:w="556" w:type="dxa"/>
            <w:vAlign w:val="top"/>
          </w:tcPr>
          <w:p>
            <w:pPr>
              <w:pStyle w:val="6"/>
              <w:spacing w:before="89" w:line="188" w:lineRule="auto"/>
              <w:ind w:left="62"/>
            </w:pPr>
            <w:r>
              <w:rPr>
                <w:spacing w:val="-5"/>
              </w:rPr>
              <w:t>17.07</w:t>
            </w:r>
          </w:p>
        </w:tc>
        <w:tc>
          <w:tcPr>
            <w:tcW w:w="554" w:type="dxa"/>
            <w:vAlign w:val="top"/>
          </w:tcPr>
          <w:p>
            <w:pPr>
              <w:pStyle w:val="6"/>
              <w:spacing w:before="89" w:line="188" w:lineRule="auto"/>
              <w:ind w:left="62"/>
            </w:pPr>
            <w:r>
              <w:rPr>
                <w:spacing w:val="-5"/>
              </w:rPr>
              <w:t>17.65</w:t>
            </w:r>
          </w:p>
        </w:tc>
        <w:tc>
          <w:tcPr>
            <w:tcW w:w="558" w:type="dxa"/>
            <w:vAlign w:val="top"/>
          </w:tcPr>
          <w:p>
            <w:pPr>
              <w:pStyle w:val="6"/>
              <w:spacing w:before="89" w:line="188" w:lineRule="auto"/>
              <w:ind w:left="63"/>
            </w:pPr>
            <w:r>
              <w:rPr>
                <w:spacing w:val="-5"/>
              </w:rPr>
              <w:t>17.78</w:t>
            </w:r>
          </w:p>
        </w:tc>
        <w:tc>
          <w:tcPr>
            <w:tcW w:w="578" w:type="dxa"/>
            <w:vAlign w:val="top"/>
          </w:tcPr>
          <w:p>
            <w:pPr>
              <w:pStyle w:val="6"/>
              <w:spacing w:before="89" w:line="188" w:lineRule="auto"/>
              <w:ind w:left="73"/>
            </w:pPr>
            <w:r>
              <w:rPr>
                <w:spacing w:val="-5"/>
              </w:rPr>
              <w:t>17.64</w:t>
            </w:r>
          </w:p>
        </w:tc>
        <w:tc>
          <w:tcPr>
            <w:tcW w:w="554" w:type="dxa"/>
            <w:vAlign w:val="top"/>
          </w:tcPr>
          <w:p>
            <w:pPr>
              <w:pStyle w:val="6"/>
              <w:spacing w:before="89" w:line="188" w:lineRule="auto"/>
              <w:ind w:left="63"/>
            </w:pPr>
            <w:r>
              <w:rPr>
                <w:spacing w:val="-5"/>
              </w:rPr>
              <w:t>13.75</w:t>
            </w:r>
          </w:p>
        </w:tc>
        <w:tc>
          <w:tcPr>
            <w:tcW w:w="593" w:type="dxa"/>
            <w:tcBorders>
              <w:right w:val="nil"/>
            </w:tcBorders>
            <w:vAlign w:val="top"/>
          </w:tcPr>
          <w:p>
            <w:pPr>
              <w:pStyle w:val="6"/>
              <w:spacing w:before="89" w:line="188" w:lineRule="auto"/>
              <w:ind w:left="89"/>
            </w:pPr>
            <w:r>
              <w:rPr>
                <w:spacing w:val="-7"/>
              </w:rPr>
              <w:t>11.85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88" w:line="188" w:lineRule="auto"/>
              <w:ind w:left="697"/>
            </w:pPr>
            <w:r>
              <w:rPr>
                <w:spacing w:val="-6"/>
              </w:rPr>
              <w:t>17</w:t>
            </w:r>
          </w:p>
        </w:tc>
        <w:tc>
          <w:tcPr>
            <w:tcW w:w="552" w:type="dxa"/>
            <w:vAlign w:val="top"/>
          </w:tcPr>
          <w:p>
            <w:pPr>
              <w:pStyle w:val="6"/>
              <w:spacing w:before="88" w:line="188" w:lineRule="auto"/>
              <w:ind w:left="61"/>
            </w:pPr>
            <w:r>
              <w:rPr>
                <w:spacing w:val="-5"/>
              </w:rPr>
              <w:t>12.50</w:t>
            </w:r>
          </w:p>
        </w:tc>
        <w:tc>
          <w:tcPr>
            <w:tcW w:w="558" w:type="dxa"/>
            <w:vAlign w:val="top"/>
          </w:tcPr>
          <w:p>
            <w:pPr>
              <w:pStyle w:val="6"/>
              <w:spacing w:before="88" w:line="188" w:lineRule="auto"/>
              <w:ind w:left="65"/>
            </w:pPr>
            <w:r>
              <w:rPr>
                <w:spacing w:val="-5"/>
              </w:rPr>
              <w:t>13.89</w:t>
            </w:r>
          </w:p>
        </w:tc>
        <w:tc>
          <w:tcPr>
            <w:tcW w:w="632" w:type="dxa"/>
            <w:vAlign w:val="top"/>
          </w:tcPr>
          <w:p>
            <w:pPr>
              <w:pStyle w:val="6"/>
              <w:spacing w:before="88" w:line="188" w:lineRule="auto"/>
              <w:ind w:left="104"/>
            </w:pPr>
            <w:r>
              <w:rPr>
                <w:spacing w:val="-5"/>
              </w:rPr>
              <w:t>14.11</w:t>
            </w:r>
          </w:p>
        </w:tc>
        <w:tc>
          <w:tcPr>
            <w:tcW w:w="551" w:type="dxa"/>
            <w:vAlign w:val="top"/>
          </w:tcPr>
          <w:p>
            <w:pPr>
              <w:pStyle w:val="6"/>
              <w:spacing w:before="88" w:line="188" w:lineRule="auto"/>
              <w:ind w:left="60"/>
            </w:pPr>
            <w:r>
              <w:rPr>
                <w:spacing w:val="-5"/>
              </w:rPr>
              <w:t>14.82</w:t>
            </w:r>
          </w:p>
        </w:tc>
        <w:tc>
          <w:tcPr>
            <w:tcW w:w="552" w:type="dxa"/>
            <w:vAlign w:val="top"/>
          </w:tcPr>
          <w:p>
            <w:pPr>
              <w:pStyle w:val="6"/>
              <w:spacing w:before="88" w:line="188" w:lineRule="auto"/>
              <w:ind w:left="61"/>
            </w:pPr>
            <w:r>
              <w:rPr>
                <w:spacing w:val="-5"/>
              </w:rPr>
              <w:t>15.66</w:t>
            </w:r>
          </w:p>
        </w:tc>
        <w:tc>
          <w:tcPr>
            <w:tcW w:w="554" w:type="dxa"/>
            <w:vAlign w:val="top"/>
          </w:tcPr>
          <w:p>
            <w:pPr>
              <w:pStyle w:val="6"/>
              <w:spacing w:before="88" w:line="188" w:lineRule="auto"/>
              <w:ind w:left="62"/>
            </w:pPr>
            <w:r>
              <w:rPr>
                <w:spacing w:val="-5"/>
              </w:rPr>
              <w:t>16.28</w:t>
            </w:r>
          </w:p>
        </w:tc>
        <w:tc>
          <w:tcPr>
            <w:tcW w:w="556" w:type="dxa"/>
            <w:vAlign w:val="top"/>
          </w:tcPr>
          <w:p>
            <w:pPr>
              <w:pStyle w:val="6"/>
              <w:spacing w:before="88" w:line="188" w:lineRule="auto"/>
              <w:ind w:left="62"/>
            </w:pPr>
            <w:r>
              <w:rPr>
                <w:spacing w:val="-5"/>
              </w:rPr>
              <w:t>16.69</w:t>
            </w:r>
          </w:p>
        </w:tc>
        <w:tc>
          <w:tcPr>
            <w:tcW w:w="554" w:type="dxa"/>
            <w:vAlign w:val="top"/>
          </w:tcPr>
          <w:p>
            <w:pPr>
              <w:pStyle w:val="6"/>
              <w:spacing w:before="88" w:line="188" w:lineRule="auto"/>
              <w:ind w:left="62"/>
            </w:pPr>
            <w:r>
              <w:rPr>
                <w:spacing w:val="-5"/>
              </w:rPr>
              <w:t>17.25</w:t>
            </w:r>
          </w:p>
        </w:tc>
        <w:tc>
          <w:tcPr>
            <w:tcW w:w="558" w:type="dxa"/>
            <w:vAlign w:val="top"/>
          </w:tcPr>
          <w:p>
            <w:pPr>
              <w:pStyle w:val="6"/>
              <w:spacing w:before="88" w:line="188" w:lineRule="auto"/>
              <w:ind w:left="63"/>
            </w:pPr>
            <w:r>
              <w:rPr>
                <w:spacing w:val="-5"/>
              </w:rPr>
              <w:t>17.43</w:t>
            </w:r>
          </w:p>
        </w:tc>
        <w:tc>
          <w:tcPr>
            <w:tcW w:w="578" w:type="dxa"/>
            <w:vAlign w:val="top"/>
          </w:tcPr>
          <w:p>
            <w:pPr>
              <w:pStyle w:val="6"/>
              <w:spacing w:before="88" w:line="188" w:lineRule="auto"/>
              <w:ind w:left="73"/>
            </w:pPr>
            <w:r>
              <w:rPr>
                <w:spacing w:val="-5"/>
              </w:rPr>
              <w:t>17.39</w:t>
            </w:r>
          </w:p>
        </w:tc>
        <w:tc>
          <w:tcPr>
            <w:tcW w:w="554" w:type="dxa"/>
            <w:vAlign w:val="top"/>
          </w:tcPr>
          <w:p>
            <w:pPr>
              <w:pStyle w:val="6"/>
              <w:spacing w:before="88" w:line="188" w:lineRule="auto"/>
              <w:ind w:left="63"/>
            </w:pPr>
            <w:r>
              <w:rPr>
                <w:spacing w:val="-5"/>
              </w:rPr>
              <w:t>13.71</w:t>
            </w:r>
          </w:p>
        </w:tc>
        <w:tc>
          <w:tcPr>
            <w:tcW w:w="593" w:type="dxa"/>
            <w:tcBorders>
              <w:right w:val="nil"/>
            </w:tcBorders>
            <w:vAlign w:val="top"/>
          </w:tcPr>
          <w:p>
            <w:pPr>
              <w:pStyle w:val="6"/>
              <w:spacing w:before="88" w:line="188" w:lineRule="auto"/>
              <w:ind w:left="89"/>
            </w:pPr>
            <w:r>
              <w:rPr>
                <w:spacing w:val="-7"/>
              </w:rPr>
              <w:t>11.87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88" w:line="188" w:lineRule="auto"/>
              <w:ind w:left="697"/>
            </w:pPr>
            <w:r>
              <w:rPr>
                <w:spacing w:val="-6"/>
              </w:rPr>
              <w:t>18</w:t>
            </w:r>
          </w:p>
        </w:tc>
        <w:tc>
          <w:tcPr>
            <w:tcW w:w="552" w:type="dxa"/>
            <w:vAlign w:val="top"/>
          </w:tcPr>
          <w:p>
            <w:pPr>
              <w:pStyle w:val="6"/>
              <w:spacing w:before="88" w:line="188" w:lineRule="auto"/>
              <w:ind w:left="61"/>
            </w:pPr>
            <w:r>
              <w:rPr>
                <w:spacing w:val="-5"/>
              </w:rPr>
              <w:t>12.50</w:t>
            </w:r>
          </w:p>
        </w:tc>
        <w:tc>
          <w:tcPr>
            <w:tcW w:w="558" w:type="dxa"/>
            <w:vAlign w:val="top"/>
          </w:tcPr>
          <w:p>
            <w:pPr>
              <w:pStyle w:val="6"/>
              <w:spacing w:before="88" w:line="188" w:lineRule="auto"/>
              <w:ind w:left="65"/>
            </w:pPr>
            <w:r>
              <w:rPr>
                <w:spacing w:val="-5"/>
              </w:rPr>
              <w:t>13.78</w:t>
            </w:r>
          </w:p>
        </w:tc>
        <w:tc>
          <w:tcPr>
            <w:tcW w:w="632" w:type="dxa"/>
            <w:vAlign w:val="top"/>
          </w:tcPr>
          <w:p>
            <w:pPr>
              <w:pStyle w:val="6"/>
              <w:spacing w:before="88" w:line="188" w:lineRule="auto"/>
              <w:ind w:left="101"/>
            </w:pPr>
            <w:r>
              <w:rPr>
                <w:spacing w:val="-5"/>
              </w:rPr>
              <w:t>13.94</w:t>
            </w:r>
          </w:p>
        </w:tc>
        <w:tc>
          <w:tcPr>
            <w:tcW w:w="551" w:type="dxa"/>
            <w:vAlign w:val="top"/>
          </w:tcPr>
          <w:p>
            <w:pPr>
              <w:pStyle w:val="6"/>
              <w:spacing w:before="88" w:line="188" w:lineRule="auto"/>
              <w:ind w:left="60"/>
            </w:pPr>
            <w:r>
              <w:rPr>
                <w:spacing w:val="-5"/>
              </w:rPr>
              <w:t>14.61</w:t>
            </w:r>
          </w:p>
        </w:tc>
        <w:tc>
          <w:tcPr>
            <w:tcW w:w="552" w:type="dxa"/>
            <w:vAlign w:val="top"/>
          </w:tcPr>
          <w:p>
            <w:pPr>
              <w:pStyle w:val="6"/>
              <w:spacing w:before="88" w:line="188" w:lineRule="auto"/>
              <w:ind w:left="61"/>
            </w:pPr>
            <w:r>
              <w:rPr>
                <w:spacing w:val="-5"/>
              </w:rPr>
              <w:t>15.40</w:t>
            </w:r>
          </w:p>
        </w:tc>
        <w:tc>
          <w:tcPr>
            <w:tcW w:w="554" w:type="dxa"/>
            <w:vAlign w:val="top"/>
          </w:tcPr>
          <w:p>
            <w:pPr>
              <w:pStyle w:val="6"/>
              <w:spacing w:before="88" w:line="188" w:lineRule="auto"/>
              <w:ind w:left="62"/>
            </w:pPr>
            <w:r>
              <w:rPr>
                <w:spacing w:val="-5"/>
              </w:rPr>
              <w:t>15.96</w:t>
            </w:r>
          </w:p>
        </w:tc>
        <w:tc>
          <w:tcPr>
            <w:tcW w:w="556" w:type="dxa"/>
            <w:vAlign w:val="top"/>
          </w:tcPr>
          <w:p>
            <w:pPr>
              <w:pStyle w:val="6"/>
              <w:spacing w:before="88" w:line="188" w:lineRule="auto"/>
              <w:ind w:left="62"/>
            </w:pPr>
            <w:r>
              <w:rPr>
                <w:spacing w:val="-5"/>
              </w:rPr>
              <w:t>16.34</w:t>
            </w:r>
          </w:p>
        </w:tc>
        <w:tc>
          <w:tcPr>
            <w:tcW w:w="554" w:type="dxa"/>
            <w:vAlign w:val="top"/>
          </w:tcPr>
          <w:p>
            <w:pPr>
              <w:pStyle w:val="6"/>
              <w:spacing w:before="88" w:line="188" w:lineRule="auto"/>
              <w:ind w:left="62"/>
            </w:pPr>
            <w:r>
              <w:rPr>
                <w:spacing w:val="-5"/>
              </w:rPr>
              <w:t>16.86</w:t>
            </w:r>
          </w:p>
        </w:tc>
        <w:tc>
          <w:tcPr>
            <w:tcW w:w="558" w:type="dxa"/>
            <w:vAlign w:val="top"/>
          </w:tcPr>
          <w:p>
            <w:pPr>
              <w:pStyle w:val="6"/>
              <w:spacing w:before="88" w:line="188" w:lineRule="auto"/>
              <w:ind w:left="63"/>
            </w:pPr>
            <w:r>
              <w:rPr>
                <w:spacing w:val="-5"/>
              </w:rPr>
              <w:t>17.08</w:t>
            </w:r>
          </w:p>
        </w:tc>
        <w:tc>
          <w:tcPr>
            <w:tcW w:w="578" w:type="dxa"/>
            <w:vAlign w:val="top"/>
          </w:tcPr>
          <w:p>
            <w:pPr>
              <w:pStyle w:val="6"/>
              <w:spacing w:before="88" w:line="188" w:lineRule="auto"/>
              <w:ind w:left="73"/>
            </w:pPr>
            <w:r>
              <w:rPr>
                <w:spacing w:val="-5"/>
              </w:rPr>
              <w:t>17.13</w:t>
            </w:r>
          </w:p>
        </w:tc>
        <w:tc>
          <w:tcPr>
            <w:tcW w:w="554" w:type="dxa"/>
            <w:vAlign w:val="top"/>
          </w:tcPr>
          <w:p>
            <w:pPr>
              <w:pStyle w:val="6"/>
              <w:spacing w:before="88" w:line="188" w:lineRule="auto"/>
              <w:ind w:left="63"/>
            </w:pPr>
            <w:r>
              <w:rPr>
                <w:spacing w:val="-5"/>
              </w:rPr>
              <w:t>13.68</w:t>
            </w:r>
          </w:p>
        </w:tc>
        <w:tc>
          <w:tcPr>
            <w:tcW w:w="593" w:type="dxa"/>
            <w:tcBorders>
              <w:right w:val="nil"/>
            </w:tcBorders>
            <w:vAlign w:val="top"/>
          </w:tcPr>
          <w:p>
            <w:pPr>
              <w:pStyle w:val="6"/>
              <w:spacing w:before="88" w:line="188" w:lineRule="auto"/>
              <w:ind w:left="89"/>
            </w:pPr>
            <w:r>
              <w:rPr>
                <w:spacing w:val="-7"/>
              </w:rPr>
              <w:t>11.89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1548" w:type="dxa"/>
            <w:tcBorders>
              <w:left w:val="nil"/>
            </w:tcBorders>
            <w:vAlign w:val="top"/>
          </w:tcPr>
          <w:p>
            <w:pPr>
              <w:pStyle w:val="6"/>
              <w:spacing w:before="90" w:line="188" w:lineRule="auto"/>
              <w:ind w:left="697"/>
            </w:pPr>
            <w:r>
              <w:rPr>
                <w:spacing w:val="-6"/>
              </w:rPr>
              <w:t>19</w:t>
            </w:r>
          </w:p>
        </w:tc>
        <w:tc>
          <w:tcPr>
            <w:tcW w:w="552" w:type="dxa"/>
            <w:vAlign w:val="top"/>
          </w:tcPr>
          <w:p>
            <w:pPr>
              <w:pStyle w:val="6"/>
              <w:spacing w:before="90" w:line="188" w:lineRule="auto"/>
              <w:ind w:left="61"/>
            </w:pPr>
            <w:r>
              <w:rPr>
                <w:spacing w:val="-5"/>
              </w:rPr>
              <w:t>12.50</w:t>
            </w:r>
          </w:p>
        </w:tc>
        <w:tc>
          <w:tcPr>
            <w:tcW w:w="558" w:type="dxa"/>
            <w:vAlign w:val="top"/>
          </w:tcPr>
          <w:p>
            <w:pPr>
              <w:pStyle w:val="6"/>
              <w:spacing w:before="90" w:line="188" w:lineRule="auto"/>
              <w:ind w:left="65"/>
            </w:pPr>
            <w:r>
              <w:rPr>
                <w:spacing w:val="-5"/>
              </w:rPr>
              <w:t>13.66</w:t>
            </w:r>
          </w:p>
        </w:tc>
        <w:tc>
          <w:tcPr>
            <w:tcW w:w="632" w:type="dxa"/>
            <w:vAlign w:val="top"/>
          </w:tcPr>
          <w:p>
            <w:pPr>
              <w:pStyle w:val="6"/>
              <w:spacing w:before="90" w:line="188" w:lineRule="auto"/>
              <w:ind w:left="101"/>
            </w:pPr>
            <w:r>
              <w:rPr>
                <w:spacing w:val="-5"/>
              </w:rPr>
              <w:t>13.79</w:t>
            </w:r>
          </w:p>
        </w:tc>
        <w:tc>
          <w:tcPr>
            <w:tcW w:w="551" w:type="dxa"/>
            <w:vAlign w:val="top"/>
          </w:tcPr>
          <w:p>
            <w:pPr>
              <w:pStyle w:val="6"/>
              <w:spacing w:before="90" w:line="188" w:lineRule="auto"/>
              <w:ind w:left="60"/>
            </w:pPr>
            <w:r>
              <w:rPr>
                <w:spacing w:val="-5"/>
              </w:rPr>
              <w:t>14.43</w:t>
            </w:r>
          </w:p>
        </w:tc>
        <w:tc>
          <w:tcPr>
            <w:tcW w:w="552" w:type="dxa"/>
            <w:vAlign w:val="top"/>
          </w:tcPr>
          <w:p>
            <w:pPr>
              <w:pStyle w:val="6"/>
              <w:spacing w:before="90" w:line="188" w:lineRule="auto"/>
              <w:ind w:left="61"/>
            </w:pPr>
            <w:r>
              <w:rPr>
                <w:spacing w:val="-5"/>
              </w:rPr>
              <w:t>15.16</w:t>
            </w:r>
          </w:p>
        </w:tc>
        <w:tc>
          <w:tcPr>
            <w:tcW w:w="554" w:type="dxa"/>
            <w:vAlign w:val="top"/>
          </w:tcPr>
          <w:p>
            <w:pPr>
              <w:pStyle w:val="6"/>
              <w:spacing w:before="90" w:line="188" w:lineRule="auto"/>
              <w:ind w:left="62"/>
            </w:pPr>
            <w:r>
              <w:rPr>
                <w:spacing w:val="-5"/>
              </w:rPr>
              <w:t>15.67</w:t>
            </w:r>
          </w:p>
        </w:tc>
        <w:tc>
          <w:tcPr>
            <w:tcW w:w="556" w:type="dxa"/>
            <w:vAlign w:val="top"/>
          </w:tcPr>
          <w:p>
            <w:pPr>
              <w:pStyle w:val="6"/>
              <w:spacing w:before="90" w:line="188" w:lineRule="auto"/>
              <w:ind w:left="62"/>
            </w:pPr>
            <w:r>
              <w:rPr>
                <w:spacing w:val="-5"/>
              </w:rPr>
              <w:t>16.00</w:t>
            </w:r>
          </w:p>
        </w:tc>
        <w:tc>
          <w:tcPr>
            <w:tcW w:w="554" w:type="dxa"/>
            <w:vAlign w:val="top"/>
          </w:tcPr>
          <w:p>
            <w:pPr>
              <w:pStyle w:val="6"/>
              <w:spacing w:before="90" w:line="188" w:lineRule="auto"/>
              <w:ind w:left="62"/>
            </w:pPr>
            <w:r>
              <w:rPr>
                <w:spacing w:val="-5"/>
              </w:rPr>
              <w:t>16.48</w:t>
            </w:r>
          </w:p>
        </w:tc>
        <w:tc>
          <w:tcPr>
            <w:tcW w:w="558" w:type="dxa"/>
            <w:vAlign w:val="top"/>
          </w:tcPr>
          <w:p>
            <w:pPr>
              <w:pStyle w:val="6"/>
              <w:spacing w:before="90" w:line="188" w:lineRule="auto"/>
              <w:ind w:left="63"/>
            </w:pPr>
            <w:r>
              <w:rPr>
                <w:spacing w:val="-5"/>
              </w:rPr>
              <w:t>16.73</w:t>
            </w:r>
          </w:p>
        </w:tc>
        <w:tc>
          <w:tcPr>
            <w:tcW w:w="578" w:type="dxa"/>
            <w:vAlign w:val="top"/>
          </w:tcPr>
          <w:p>
            <w:pPr>
              <w:pStyle w:val="6"/>
              <w:spacing w:before="90" w:line="188" w:lineRule="auto"/>
              <w:ind w:left="73"/>
            </w:pPr>
            <w:r>
              <w:rPr>
                <w:spacing w:val="-5"/>
              </w:rPr>
              <w:t>16.85</w:t>
            </w:r>
          </w:p>
        </w:tc>
        <w:tc>
          <w:tcPr>
            <w:tcW w:w="554" w:type="dxa"/>
            <w:vAlign w:val="top"/>
          </w:tcPr>
          <w:p>
            <w:pPr>
              <w:pStyle w:val="6"/>
              <w:spacing w:before="90" w:line="188" w:lineRule="auto"/>
              <w:ind w:left="63"/>
            </w:pPr>
            <w:r>
              <w:rPr>
                <w:spacing w:val="-5"/>
              </w:rPr>
              <w:t>13.63</w:t>
            </w:r>
          </w:p>
        </w:tc>
        <w:tc>
          <w:tcPr>
            <w:tcW w:w="593" w:type="dxa"/>
            <w:tcBorders>
              <w:right w:val="nil"/>
            </w:tcBorders>
            <w:vAlign w:val="top"/>
          </w:tcPr>
          <w:p>
            <w:pPr>
              <w:pStyle w:val="6"/>
              <w:spacing w:before="90" w:line="188" w:lineRule="auto"/>
              <w:ind w:left="89"/>
            </w:pPr>
            <w:r>
              <w:rPr>
                <w:spacing w:val="-7"/>
              </w:rPr>
              <w:t>11.91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89" w:line="188" w:lineRule="auto"/>
              <w:ind w:left="677"/>
            </w:pPr>
            <w:r>
              <w:rPr>
                <w:spacing w:val="-1"/>
              </w:rPr>
              <w:t>20</w:t>
            </w:r>
          </w:p>
        </w:tc>
        <w:tc>
          <w:tcPr>
            <w:tcW w:w="552" w:type="dxa"/>
            <w:vAlign w:val="top"/>
          </w:tcPr>
          <w:p>
            <w:pPr>
              <w:pStyle w:val="6"/>
              <w:spacing w:before="89" w:line="188" w:lineRule="auto"/>
              <w:ind w:left="61"/>
            </w:pPr>
            <w:r>
              <w:rPr>
                <w:spacing w:val="-5"/>
              </w:rPr>
              <w:t>12.50</w:t>
            </w:r>
          </w:p>
        </w:tc>
        <w:tc>
          <w:tcPr>
            <w:tcW w:w="558" w:type="dxa"/>
            <w:vAlign w:val="top"/>
          </w:tcPr>
          <w:p>
            <w:pPr>
              <w:pStyle w:val="6"/>
              <w:spacing w:before="89" w:line="188" w:lineRule="auto"/>
              <w:ind w:left="65"/>
            </w:pPr>
            <w:r>
              <w:rPr>
                <w:spacing w:val="-5"/>
              </w:rPr>
              <w:t>13.53</w:t>
            </w:r>
          </w:p>
        </w:tc>
        <w:tc>
          <w:tcPr>
            <w:tcW w:w="632" w:type="dxa"/>
            <w:vAlign w:val="top"/>
          </w:tcPr>
          <w:p>
            <w:pPr>
              <w:pStyle w:val="6"/>
              <w:spacing w:before="89" w:line="188" w:lineRule="auto"/>
              <w:ind w:left="101"/>
            </w:pPr>
            <w:r>
              <w:rPr>
                <w:spacing w:val="-5"/>
              </w:rPr>
              <w:t>13.65</w:t>
            </w:r>
          </w:p>
        </w:tc>
        <w:tc>
          <w:tcPr>
            <w:tcW w:w="551" w:type="dxa"/>
            <w:vAlign w:val="top"/>
          </w:tcPr>
          <w:p>
            <w:pPr>
              <w:pStyle w:val="6"/>
              <w:spacing w:before="89" w:line="188" w:lineRule="auto"/>
              <w:ind w:left="60"/>
            </w:pPr>
            <w:r>
              <w:rPr>
                <w:spacing w:val="-5"/>
              </w:rPr>
              <w:t>14.25</w:t>
            </w:r>
          </w:p>
        </w:tc>
        <w:tc>
          <w:tcPr>
            <w:tcW w:w="552" w:type="dxa"/>
            <w:vAlign w:val="top"/>
          </w:tcPr>
          <w:p>
            <w:pPr>
              <w:pStyle w:val="6"/>
              <w:spacing w:before="89" w:line="188" w:lineRule="auto"/>
              <w:ind w:left="61"/>
            </w:pPr>
            <w:r>
              <w:rPr>
                <w:spacing w:val="-5"/>
              </w:rPr>
              <w:t>14.94</w:t>
            </w:r>
          </w:p>
        </w:tc>
        <w:tc>
          <w:tcPr>
            <w:tcW w:w="554" w:type="dxa"/>
            <w:vAlign w:val="top"/>
          </w:tcPr>
          <w:p>
            <w:pPr>
              <w:pStyle w:val="6"/>
              <w:spacing w:before="89" w:line="188" w:lineRule="auto"/>
              <w:ind w:left="62"/>
            </w:pPr>
            <w:r>
              <w:rPr>
                <w:spacing w:val="-5"/>
              </w:rPr>
              <w:t>15.39</w:t>
            </w:r>
          </w:p>
        </w:tc>
        <w:tc>
          <w:tcPr>
            <w:tcW w:w="556" w:type="dxa"/>
            <w:vAlign w:val="top"/>
          </w:tcPr>
          <w:p>
            <w:pPr>
              <w:pStyle w:val="6"/>
              <w:spacing w:before="89" w:line="188" w:lineRule="auto"/>
              <w:ind w:left="62"/>
            </w:pPr>
            <w:r>
              <w:rPr>
                <w:spacing w:val="-5"/>
              </w:rPr>
              <w:t>15.68</w:t>
            </w:r>
          </w:p>
        </w:tc>
        <w:tc>
          <w:tcPr>
            <w:tcW w:w="554" w:type="dxa"/>
            <w:vAlign w:val="top"/>
          </w:tcPr>
          <w:p>
            <w:pPr>
              <w:pStyle w:val="6"/>
              <w:spacing w:before="89" w:line="188" w:lineRule="auto"/>
              <w:ind w:left="62"/>
            </w:pPr>
            <w:r>
              <w:rPr>
                <w:spacing w:val="-5"/>
              </w:rPr>
              <w:t>16.12</w:t>
            </w:r>
          </w:p>
        </w:tc>
        <w:tc>
          <w:tcPr>
            <w:tcW w:w="558" w:type="dxa"/>
            <w:vAlign w:val="top"/>
          </w:tcPr>
          <w:p>
            <w:pPr>
              <w:pStyle w:val="6"/>
              <w:spacing w:before="89" w:line="188" w:lineRule="auto"/>
              <w:ind w:left="63"/>
            </w:pPr>
            <w:r>
              <w:rPr>
                <w:spacing w:val="-5"/>
              </w:rPr>
              <w:t>16.38</w:t>
            </w:r>
          </w:p>
        </w:tc>
        <w:tc>
          <w:tcPr>
            <w:tcW w:w="578" w:type="dxa"/>
            <w:vAlign w:val="top"/>
          </w:tcPr>
          <w:p>
            <w:pPr>
              <w:pStyle w:val="6"/>
              <w:spacing w:before="89" w:line="188" w:lineRule="auto"/>
              <w:ind w:left="73"/>
            </w:pPr>
            <w:r>
              <w:rPr>
                <w:spacing w:val="-5"/>
              </w:rPr>
              <w:t>16.56</w:t>
            </w:r>
          </w:p>
        </w:tc>
        <w:tc>
          <w:tcPr>
            <w:tcW w:w="554" w:type="dxa"/>
            <w:vAlign w:val="top"/>
          </w:tcPr>
          <w:p>
            <w:pPr>
              <w:pStyle w:val="6"/>
              <w:spacing w:before="89" w:line="188" w:lineRule="auto"/>
              <w:ind w:left="63"/>
            </w:pPr>
            <w:r>
              <w:rPr>
                <w:spacing w:val="-5"/>
              </w:rPr>
              <w:t>13.59</w:t>
            </w:r>
          </w:p>
        </w:tc>
        <w:tc>
          <w:tcPr>
            <w:tcW w:w="593" w:type="dxa"/>
            <w:tcBorders>
              <w:right w:val="nil"/>
            </w:tcBorders>
            <w:vAlign w:val="top"/>
          </w:tcPr>
          <w:p>
            <w:pPr>
              <w:pStyle w:val="6"/>
              <w:spacing w:before="89" w:line="188" w:lineRule="auto"/>
              <w:ind w:left="89"/>
            </w:pPr>
            <w:r>
              <w:rPr>
                <w:spacing w:val="-7"/>
              </w:rPr>
              <w:t>11.93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89" w:line="188" w:lineRule="auto"/>
              <w:ind w:left="677"/>
            </w:pPr>
            <w:r>
              <w:rPr>
                <w:spacing w:val="-1"/>
              </w:rPr>
              <w:t>21</w:t>
            </w:r>
          </w:p>
        </w:tc>
        <w:tc>
          <w:tcPr>
            <w:tcW w:w="552" w:type="dxa"/>
            <w:vAlign w:val="top"/>
          </w:tcPr>
          <w:p>
            <w:pPr>
              <w:pStyle w:val="6"/>
              <w:spacing w:before="89" w:line="188" w:lineRule="auto"/>
              <w:ind w:left="61"/>
            </w:pPr>
            <w:r>
              <w:rPr>
                <w:spacing w:val="-5"/>
              </w:rPr>
              <w:t>12.50</w:t>
            </w:r>
          </w:p>
        </w:tc>
        <w:tc>
          <w:tcPr>
            <w:tcW w:w="558" w:type="dxa"/>
            <w:vAlign w:val="top"/>
          </w:tcPr>
          <w:p>
            <w:pPr>
              <w:pStyle w:val="6"/>
              <w:spacing w:before="89" w:line="188" w:lineRule="auto"/>
              <w:ind w:left="65"/>
            </w:pPr>
            <w:r>
              <w:rPr>
                <w:spacing w:val="-5"/>
              </w:rPr>
              <w:t>13.41</w:t>
            </w:r>
          </w:p>
        </w:tc>
        <w:tc>
          <w:tcPr>
            <w:tcW w:w="632" w:type="dxa"/>
            <w:vAlign w:val="top"/>
          </w:tcPr>
          <w:p>
            <w:pPr>
              <w:pStyle w:val="6"/>
              <w:spacing w:before="89" w:line="188" w:lineRule="auto"/>
              <w:ind w:left="101"/>
            </w:pPr>
            <w:r>
              <w:rPr>
                <w:spacing w:val="-5"/>
              </w:rPr>
              <w:t>13.52</w:t>
            </w:r>
          </w:p>
        </w:tc>
        <w:tc>
          <w:tcPr>
            <w:tcW w:w="551" w:type="dxa"/>
            <w:vAlign w:val="top"/>
          </w:tcPr>
          <w:p>
            <w:pPr>
              <w:pStyle w:val="6"/>
              <w:spacing w:before="89" w:line="188" w:lineRule="auto"/>
              <w:ind w:left="60"/>
            </w:pPr>
            <w:r>
              <w:rPr>
                <w:spacing w:val="-5"/>
              </w:rPr>
              <w:t>14.10</w:t>
            </w:r>
          </w:p>
        </w:tc>
        <w:tc>
          <w:tcPr>
            <w:tcW w:w="552" w:type="dxa"/>
            <w:vAlign w:val="top"/>
          </w:tcPr>
          <w:p>
            <w:pPr>
              <w:pStyle w:val="6"/>
              <w:spacing w:before="89" w:line="188" w:lineRule="auto"/>
              <w:ind w:left="61"/>
            </w:pPr>
            <w:r>
              <w:rPr>
                <w:spacing w:val="-5"/>
              </w:rPr>
              <w:t>14.73</w:t>
            </w:r>
          </w:p>
        </w:tc>
        <w:tc>
          <w:tcPr>
            <w:tcW w:w="554" w:type="dxa"/>
            <w:vAlign w:val="top"/>
          </w:tcPr>
          <w:p>
            <w:pPr>
              <w:pStyle w:val="6"/>
              <w:spacing w:before="89" w:line="188" w:lineRule="auto"/>
              <w:ind w:left="62"/>
            </w:pPr>
            <w:r>
              <w:rPr>
                <w:spacing w:val="-5"/>
              </w:rPr>
              <w:t>15.14</w:t>
            </w:r>
          </w:p>
        </w:tc>
        <w:tc>
          <w:tcPr>
            <w:tcW w:w="556" w:type="dxa"/>
            <w:vAlign w:val="top"/>
          </w:tcPr>
          <w:p>
            <w:pPr>
              <w:pStyle w:val="6"/>
              <w:spacing w:before="89" w:line="188" w:lineRule="auto"/>
              <w:ind w:left="62"/>
            </w:pPr>
            <w:r>
              <w:rPr>
                <w:spacing w:val="-5"/>
              </w:rPr>
              <w:t>15.38</w:t>
            </w:r>
          </w:p>
        </w:tc>
        <w:tc>
          <w:tcPr>
            <w:tcW w:w="554" w:type="dxa"/>
            <w:vAlign w:val="top"/>
          </w:tcPr>
          <w:p>
            <w:pPr>
              <w:pStyle w:val="6"/>
              <w:spacing w:before="89" w:line="188" w:lineRule="auto"/>
              <w:ind w:left="62"/>
            </w:pPr>
            <w:r>
              <w:rPr>
                <w:spacing w:val="-5"/>
              </w:rPr>
              <w:t>15.78</w:t>
            </w:r>
          </w:p>
        </w:tc>
        <w:tc>
          <w:tcPr>
            <w:tcW w:w="558" w:type="dxa"/>
            <w:vAlign w:val="top"/>
          </w:tcPr>
          <w:p>
            <w:pPr>
              <w:pStyle w:val="6"/>
              <w:spacing w:before="89" w:line="188" w:lineRule="auto"/>
              <w:ind w:left="63"/>
            </w:pPr>
            <w:r>
              <w:rPr>
                <w:spacing w:val="-5"/>
              </w:rPr>
              <w:t>16.04</w:t>
            </w:r>
          </w:p>
        </w:tc>
        <w:tc>
          <w:tcPr>
            <w:tcW w:w="578" w:type="dxa"/>
            <w:vAlign w:val="top"/>
          </w:tcPr>
          <w:p>
            <w:pPr>
              <w:pStyle w:val="6"/>
              <w:spacing w:before="89" w:line="188" w:lineRule="auto"/>
              <w:ind w:left="73"/>
            </w:pPr>
            <w:r>
              <w:rPr>
                <w:spacing w:val="-5"/>
              </w:rPr>
              <w:t>16.27</w:t>
            </w:r>
          </w:p>
        </w:tc>
        <w:tc>
          <w:tcPr>
            <w:tcW w:w="554" w:type="dxa"/>
            <w:vAlign w:val="top"/>
          </w:tcPr>
          <w:p>
            <w:pPr>
              <w:pStyle w:val="6"/>
              <w:spacing w:before="89" w:line="188" w:lineRule="auto"/>
              <w:ind w:left="63"/>
            </w:pPr>
            <w:r>
              <w:rPr>
                <w:spacing w:val="-5"/>
              </w:rPr>
              <w:t>13.54</w:t>
            </w:r>
          </w:p>
        </w:tc>
        <w:tc>
          <w:tcPr>
            <w:tcW w:w="593" w:type="dxa"/>
            <w:tcBorders>
              <w:right w:val="nil"/>
            </w:tcBorders>
            <w:vAlign w:val="top"/>
          </w:tcPr>
          <w:p>
            <w:pPr>
              <w:pStyle w:val="6"/>
              <w:spacing w:before="89" w:line="188" w:lineRule="auto"/>
              <w:ind w:left="89"/>
            </w:pPr>
            <w:r>
              <w:rPr>
                <w:spacing w:val="-7"/>
              </w:rPr>
              <w:t>11.96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1548" w:type="dxa"/>
            <w:tcBorders>
              <w:left w:val="nil"/>
            </w:tcBorders>
            <w:vAlign w:val="top"/>
          </w:tcPr>
          <w:p>
            <w:pPr>
              <w:pStyle w:val="6"/>
              <w:spacing w:before="91" w:line="188" w:lineRule="auto"/>
              <w:ind w:left="677"/>
            </w:pPr>
            <w:r>
              <w:rPr>
                <w:spacing w:val="-1"/>
              </w:rPr>
              <w:t>22</w:t>
            </w:r>
          </w:p>
        </w:tc>
        <w:tc>
          <w:tcPr>
            <w:tcW w:w="552" w:type="dxa"/>
            <w:vAlign w:val="top"/>
          </w:tcPr>
          <w:p>
            <w:pPr>
              <w:pStyle w:val="6"/>
              <w:spacing w:before="91" w:line="188" w:lineRule="auto"/>
              <w:ind w:left="61"/>
            </w:pPr>
            <w:r>
              <w:rPr>
                <w:spacing w:val="-5"/>
              </w:rPr>
              <w:t>12.50</w:t>
            </w:r>
          </w:p>
        </w:tc>
        <w:tc>
          <w:tcPr>
            <w:tcW w:w="558" w:type="dxa"/>
            <w:vAlign w:val="top"/>
          </w:tcPr>
          <w:p>
            <w:pPr>
              <w:pStyle w:val="6"/>
              <w:spacing w:before="91" w:line="188" w:lineRule="auto"/>
              <w:ind w:left="65"/>
            </w:pPr>
            <w:r>
              <w:rPr>
                <w:spacing w:val="-5"/>
              </w:rPr>
              <w:t>13.29</w:t>
            </w:r>
          </w:p>
        </w:tc>
        <w:tc>
          <w:tcPr>
            <w:tcW w:w="632" w:type="dxa"/>
            <w:vAlign w:val="top"/>
          </w:tcPr>
          <w:p>
            <w:pPr>
              <w:pStyle w:val="6"/>
              <w:spacing w:before="91" w:line="188" w:lineRule="auto"/>
              <w:ind w:left="101"/>
            </w:pPr>
            <w:r>
              <w:rPr>
                <w:spacing w:val="-5"/>
              </w:rPr>
              <w:t>13.40</w:t>
            </w:r>
          </w:p>
        </w:tc>
        <w:tc>
          <w:tcPr>
            <w:tcW w:w="551" w:type="dxa"/>
            <w:vAlign w:val="top"/>
          </w:tcPr>
          <w:p>
            <w:pPr>
              <w:pStyle w:val="6"/>
              <w:spacing w:before="91" w:line="188" w:lineRule="auto"/>
              <w:ind w:left="60"/>
            </w:pPr>
            <w:r>
              <w:rPr>
                <w:spacing w:val="-5"/>
              </w:rPr>
              <w:t>13.95</w:t>
            </w:r>
          </w:p>
        </w:tc>
        <w:tc>
          <w:tcPr>
            <w:tcW w:w="552" w:type="dxa"/>
            <w:vAlign w:val="top"/>
          </w:tcPr>
          <w:p>
            <w:pPr>
              <w:pStyle w:val="6"/>
              <w:spacing w:before="91" w:line="188" w:lineRule="auto"/>
              <w:ind w:left="61"/>
            </w:pPr>
            <w:r>
              <w:rPr>
                <w:spacing w:val="-5"/>
              </w:rPr>
              <w:t>14.54</w:t>
            </w:r>
          </w:p>
        </w:tc>
        <w:tc>
          <w:tcPr>
            <w:tcW w:w="554" w:type="dxa"/>
            <w:vAlign w:val="top"/>
          </w:tcPr>
          <w:p>
            <w:pPr>
              <w:pStyle w:val="6"/>
              <w:spacing w:before="91" w:line="188" w:lineRule="auto"/>
              <w:ind w:left="62"/>
            </w:pPr>
            <w:r>
              <w:rPr>
                <w:spacing w:val="-5"/>
              </w:rPr>
              <w:t>14.90</w:t>
            </w:r>
          </w:p>
        </w:tc>
        <w:tc>
          <w:tcPr>
            <w:tcW w:w="556" w:type="dxa"/>
            <w:vAlign w:val="top"/>
          </w:tcPr>
          <w:p>
            <w:pPr>
              <w:pStyle w:val="6"/>
              <w:spacing w:before="91" w:line="188" w:lineRule="auto"/>
              <w:ind w:left="66"/>
            </w:pPr>
            <w:r>
              <w:rPr>
                <w:spacing w:val="-5"/>
              </w:rPr>
              <w:t>15.11</w:t>
            </w:r>
          </w:p>
        </w:tc>
        <w:tc>
          <w:tcPr>
            <w:tcW w:w="554" w:type="dxa"/>
            <w:vAlign w:val="top"/>
          </w:tcPr>
          <w:p>
            <w:pPr>
              <w:pStyle w:val="6"/>
              <w:spacing w:before="91" w:line="188" w:lineRule="auto"/>
              <w:ind w:left="62"/>
            </w:pPr>
            <w:r>
              <w:rPr>
                <w:spacing w:val="-5"/>
              </w:rPr>
              <w:t>15.45</w:t>
            </w:r>
          </w:p>
        </w:tc>
        <w:tc>
          <w:tcPr>
            <w:tcW w:w="558" w:type="dxa"/>
            <w:vAlign w:val="top"/>
          </w:tcPr>
          <w:p>
            <w:pPr>
              <w:pStyle w:val="6"/>
              <w:spacing w:before="91" w:line="188" w:lineRule="auto"/>
              <w:ind w:left="63"/>
            </w:pPr>
            <w:r>
              <w:rPr>
                <w:spacing w:val="-5"/>
              </w:rPr>
              <w:t>15.71</w:t>
            </w:r>
          </w:p>
        </w:tc>
        <w:tc>
          <w:tcPr>
            <w:tcW w:w="578" w:type="dxa"/>
            <w:vAlign w:val="top"/>
          </w:tcPr>
          <w:p>
            <w:pPr>
              <w:pStyle w:val="6"/>
              <w:spacing w:before="91" w:line="188" w:lineRule="auto"/>
              <w:ind w:left="73"/>
            </w:pPr>
            <w:r>
              <w:rPr>
                <w:spacing w:val="-5"/>
              </w:rPr>
              <w:t>15.97</w:t>
            </w:r>
          </w:p>
        </w:tc>
        <w:tc>
          <w:tcPr>
            <w:tcW w:w="554" w:type="dxa"/>
            <w:vAlign w:val="top"/>
          </w:tcPr>
          <w:p>
            <w:pPr>
              <w:pStyle w:val="6"/>
              <w:spacing w:before="91" w:line="188" w:lineRule="auto"/>
              <w:ind w:left="63"/>
            </w:pPr>
            <w:r>
              <w:rPr>
                <w:spacing w:val="-5"/>
              </w:rPr>
              <w:t>13.48</w:t>
            </w:r>
          </w:p>
        </w:tc>
        <w:tc>
          <w:tcPr>
            <w:tcW w:w="593" w:type="dxa"/>
            <w:tcBorders>
              <w:right w:val="nil"/>
            </w:tcBorders>
            <w:vAlign w:val="top"/>
          </w:tcPr>
          <w:p>
            <w:pPr>
              <w:pStyle w:val="6"/>
              <w:spacing w:before="91" w:line="188" w:lineRule="auto"/>
              <w:ind w:left="89"/>
            </w:pPr>
            <w:r>
              <w:rPr>
                <w:spacing w:val="-7"/>
              </w:rPr>
              <w:t>11.99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90" w:line="188" w:lineRule="auto"/>
              <w:ind w:left="677"/>
            </w:pPr>
            <w:r>
              <w:rPr>
                <w:spacing w:val="-1"/>
              </w:rPr>
              <w:t>23</w:t>
            </w:r>
          </w:p>
        </w:tc>
        <w:tc>
          <w:tcPr>
            <w:tcW w:w="552" w:type="dxa"/>
            <w:vAlign w:val="top"/>
          </w:tcPr>
          <w:p>
            <w:pPr>
              <w:pStyle w:val="6"/>
              <w:spacing w:before="90" w:line="188" w:lineRule="auto"/>
              <w:ind w:left="61"/>
            </w:pPr>
            <w:r>
              <w:rPr>
                <w:spacing w:val="-5"/>
              </w:rPr>
              <w:t>12.50</w:t>
            </w:r>
          </w:p>
        </w:tc>
        <w:tc>
          <w:tcPr>
            <w:tcW w:w="558" w:type="dxa"/>
            <w:vAlign w:val="top"/>
          </w:tcPr>
          <w:p>
            <w:pPr>
              <w:pStyle w:val="6"/>
              <w:spacing w:before="90" w:line="188" w:lineRule="auto"/>
              <w:ind w:left="65"/>
            </w:pPr>
            <w:r>
              <w:rPr>
                <w:spacing w:val="-5"/>
              </w:rPr>
              <w:t>13.18</w:t>
            </w:r>
          </w:p>
        </w:tc>
        <w:tc>
          <w:tcPr>
            <w:tcW w:w="632" w:type="dxa"/>
            <w:vAlign w:val="top"/>
          </w:tcPr>
          <w:p>
            <w:pPr>
              <w:pStyle w:val="6"/>
              <w:spacing w:before="90" w:line="188" w:lineRule="auto"/>
              <w:ind w:left="101"/>
            </w:pPr>
            <w:r>
              <w:rPr>
                <w:spacing w:val="-5"/>
              </w:rPr>
              <w:t>13.30</w:t>
            </w:r>
          </w:p>
        </w:tc>
        <w:tc>
          <w:tcPr>
            <w:tcW w:w="551" w:type="dxa"/>
            <w:vAlign w:val="top"/>
          </w:tcPr>
          <w:p>
            <w:pPr>
              <w:pStyle w:val="6"/>
              <w:spacing w:before="90" w:line="188" w:lineRule="auto"/>
              <w:ind w:left="60"/>
            </w:pPr>
            <w:r>
              <w:rPr>
                <w:spacing w:val="-5"/>
              </w:rPr>
              <w:t>13.82</w:t>
            </w:r>
          </w:p>
        </w:tc>
        <w:tc>
          <w:tcPr>
            <w:tcW w:w="552" w:type="dxa"/>
            <w:vAlign w:val="top"/>
          </w:tcPr>
          <w:p>
            <w:pPr>
              <w:pStyle w:val="6"/>
              <w:spacing w:before="90" w:line="188" w:lineRule="auto"/>
              <w:ind w:left="61"/>
            </w:pPr>
            <w:r>
              <w:rPr>
                <w:spacing w:val="-5"/>
              </w:rPr>
              <w:t>14.37</w:t>
            </w:r>
          </w:p>
        </w:tc>
        <w:tc>
          <w:tcPr>
            <w:tcW w:w="554" w:type="dxa"/>
            <w:vAlign w:val="top"/>
          </w:tcPr>
          <w:p>
            <w:pPr>
              <w:pStyle w:val="6"/>
              <w:spacing w:before="90" w:line="188" w:lineRule="auto"/>
              <w:ind w:left="62"/>
            </w:pPr>
            <w:r>
              <w:rPr>
                <w:spacing w:val="-5"/>
              </w:rPr>
              <w:t>14.69</w:t>
            </w:r>
          </w:p>
        </w:tc>
        <w:tc>
          <w:tcPr>
            <w:tcW w:w="556" w:type="dxa"/>
            <w:vAlign w:val="top"/>
          </w:tcPr>
          <w:p>
            <w:pPr>
              <w:pStyle w:val="6"/>
              <w:spacing w:before="90" w:line="188" w:lineRule="auto"/>
              <w:ind w:left="62"/>
            </w:pPr>
            <w:r>
              <w:rPr>
                <w:spacing w:val="-5"/>
              </w:rPr>
              <w:t>14.85</w:t>
            </w:r>
          </w:p>
        </w:tc>
        <w:tc>
          <w:tcPr>
            <w:tcW w:w="554" w:type="dxa"/>
            <w:vAlign w:val="top"/>
          </w:tcPr>
          <w:p>
            <w:pPr>
              <w:pStyle w:val="6"/>
              <w:spacing w:before="90" w:line="188" w:lineRule="auto"/>
              <w:ind w:left="62"/>
            </w:pPr>
            <w:r>
              <w:rPr>
                <w:spacing w:val="-5"/>
              </w:rPr>
              <w:t>15.15</w:t>
            </w:r>
          </w:p>
        </w:tc>
        <w:tc>
          <w:tcPr>
            <w:tcW w:w="558" w:type="dxa"/>
            <w:vAlign w:val="top"/>
          </w:tcPr>
          <w:p>
            <w:pPr>
              <w:pStyle w:val="6"/>
              <w:spacing w:before="90" w:line="188" w:lineRule="auto"/>
              <w:ind w:left="63"/>
            </w:pPr>
            <w:r>
              <w:rPr>
                <w:spacing w:val="-5"/>
              </w:rPr>
              <w:t>15.39</w:t>
            </w:r>
          </w:p>
        </w:tc>
        <w:tc>
          <w:tcPr>
            <w:tcW w:w="578" w:type="dxa"/>
            <w:vAlign w:val="top"/>
          </w:tcPr>
          <w:p>
            <w:pPr>
              <w:pStyle w:val="6"/>
              <w:spacing w:before="90" w:line="188" w:lineRule="auto"/>
              <w:ind w:left="73"/>
            </w:pPr>
            <w:r>
              <w:rPr>
                <w:spacing w:val="-5"/>
              </w:rPr>
              <w:t>15.67</w:t>
            </w:r>
          </w:p>
        </w:tc>
        <w:tc>
          <w:tcPr>
            <w:tcW w:w="554" w:type="dxa"/>
            <w:vAlign w:val="top"/>
          </w:tcPr>
          <w:p>
            <w:pPr>
              <w:pStyle w:val="6"/>
              <w:spacing w:before="90" w:line="188" w:lineRule="auto"/>
              <w:ind w:left="63"/>
            </w:pPr>
            <w:r>
              <w:rPr>
                <w:spacing w:val="-5"/>
              </w:rPr>
              <w:t>13.43</w:t>
            </w:r>
          </w:p>
        </w:tc>
        <w:tc>
          <w:tcPr>
            <w:tcW w:w="593" w:type="dxa"/>
            <w:tcBorders>
              <w:right w:val="nil"/>
            </w:tcBorders>
            <w:vAlign w:val="top"/>
          </w:tcPr>
          <w:p>
            <w:pPr>
              <w:pStyle w:val="6"/>
              <w:spacing w:before="90" w:line="188" w:lineRule="auto"/>
              <w:ind w:left="85"/>
            </w:pPr>
            <w:r>
              <w:rPr>
                <w:spacing w:val="-5"/>
              </w:rPr>
              <w:t>12.02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90" w:line="188" w:lineRule="auto"/>
              <w:ind w:left="677"/>
            </w:pPr>
            <w:r>
              <w:rPr>
                <w:spacing w:val="-2"/>
              </w:rPr>
              <w:t>24</w:t>
            </w:r>
          </w:p>
        </w:tc>
        <w:tc>
          <w:tcPr>
            <w:tcW w:w="552" w:type="dxa"/>
            <w:vAlign w:val="top"/>
          </w:tcPr>
          <w:p>
            <w:pPr>
              <w:pStyle w:val="6"/>
              <w:spacing w:before="90" w:line="188" w:lineRule="auto"/>
              <w:ind w:left="61"/>
            </w:pPr>
            <w:r>
              <w:rPr>
                <w:spacing w:val="-5"/>
              </w:rPr>
              <w:t>12.50</w:t>
            </w:r>
          </w:p>
        </w:tc>
        <w:tc>
          <w:tcPr>
            <w:tcW w:w="558" w:type="dxa"/>
            <w:vAlign w:val="top"/>
          </w:tcPr>
          <w:p>
            <w:pPr>
              <w:pStyle w:val="6"/>
              <w:spacing w:before="90" w:line="188" w:lineRule="auto"/>
              <w:ind w:left="65"/>
            </w:pPr>
            <w:r>
              <w:rPr>
                <w:spacing w:val="-5"/>
              </w:rPr>
              <w:t>13.08</w:t>
            </w:r>
          </w:p>
        </w:tc>
        <w:tc>
          <w:tcPr>
            <w:tcW w:w="632" w:type="dxa"/>
            <w:vAlign w:val="top"/>
          </w:tcPr>
          <w:p>
            <w:pPr>
              <w:pStyle w:val="6"/>
              <w:spacing w:before="90" w:line="188" w:lineRule="auto"/>
              <w:ind w:left="101"/>
            </w:pPr>
            <w:r>
              <w:rPr>
                <w:spacing w:val="-5"/>
              </w:rPr>
              <w:t>13.21</w:t>
            </w:r>
          </w:p>
        </w:tc>
        <w:tc>
          <w:tcPr>
            <w:tcW w:w="551" w:type="dxa"/>
            <w:vAlign w:val="top"/>
          </w:tcPr>
          <w:p>
            <w:pPr>
              <w:pStyle w:val="6"/>
              <w:spacing w:before="90" w:line="188" w:lineRule="auto"/>
              <w:ind w:left="60"/>
            </w:pPr>
            <w:r>
              <w:rPr>
                <w:spacing w:val="-5"/>
              </w:rPr>
              <w:t>13.70</w:t>
            </w:r>
          </w:p>
        </w:tc>
        <w:tc>
          <w:tcPr>
            <w:tcW w:w="552" w:type="dxa"/>
            <w:vAlign w:val="top"/>
          </w:tcPr>
          <w:p>
            <w:pPr>
              <w:pStyle w:val="6"/>
              <w:spacing w:before="90" w:line="188" w:lineRule="auto"/>
              <w:ind w:left="61"/>
            </w:pPr>
            <w:r>
              <w:rPr>
                <w:spacing w:val="-5"/>
              </w:rPr>
              <w:t>14.21</w:t>
            </w:r>
          </w:p>
        </w:tc>
        <w:tc>
          <w:tcPr>
            <w:tcW w:w="554" w:type="dxa"/>
            <w:vAlign w:val="top"/>
          </w:tcPr>
          <w:p>
            <w:pPr>
              <w:pStyle w:val="6"/>
              <w:spacing w:before="90" w:line="188" w:lineRule="auto"/>
              <w:ind w:left="62"/>
            </w:pPr>
            <w:r>
              <w:rPr>
                <w:spacing w:val="-5"/>
              </w:rPr>
              <w:t>14.49</w:t>
            </w:r>
          </w:p>
        </w:tc>
        <w:tc>
          <w:tcPr>
            <w:tcW w:w="556" w:type="dxa"/>
            <w:vAlign w:val="top"/>
          </w:tcPr>
          <w:p>
            <w:pPr>
              <w:pStyle w:val="6"/>
              <w:spacing w:before="90" w:line="188" w:lineRule="auto"/>
              <w:ind w:left="62"/>
            </w:pPr>
            <w:r>
              <w:rPr>
                <w:spacing w:val="-5"/>
              </w:rPr>
              <w:t>14.61</w:t>
            </w:r>
          </w:p>
        </w:tc>
        <w:tc>
          <w:tcPr>
            <w:tcW w:w="554" w:type="dxa"/>
            <w:vAlign w:val="top"/>
          </w:tcPr>
          <w:p>
            <w:pPr>
              <w:pStyle w:val="6"/>
              <w:spacing w:before="90" w:line="188" w:lineRule="auto"/>
              <w:ind w:left="62"/>
            </w:pPr>
            <w:r>
              <w:rPr>
                <w:spacing w:val="-5"/>
              </w:rPr>
              <w:t>14.87</w:t>
            </w:r>
          </w:p>
        </w:tc>
        <w:tc>
          <w:tcPr>
            <w:tcW w:w="558" w:type="dxa"/>
            <w:vAlign w:val="top"/>
          </w:tcPr>
          <w:p>
            <w:pPr>
              <w:pStyle w:val="6"/>
              <w:spacing w:before="90" w:line="188" w:lineRule="auto"/>
              <w:ind w:left="63"/>
            </w:pPr>
            <w:r>
              <w:rPr>
                <w:spacing w:val="-5"/>
              </w:rPr>
              <w:t>15.09</w:t>
            </w:r>
          </w:p>
        </w:tc>
        <w:tc>
          <w:tcPr>
            <w:tcW w:w="578" w:type="dxa"/>
            <w:vAlign w:val="top"/>
          </w:tcPr>
          <w:p>
            <w:pPr>
              <w:pStyle w:val="6"/>
              <w:spacing w:before="90" w:line="188" w:lineRule="auto"/>
              <w:ind w:left="73"/>
            </w:pPr>
            <w:r>
              <w:rPr>
                <w:spacing w:val="-5"/>
              </w:rPr>
              <w:t>15.37</w:t>
            </w:r>
          </w:p>
        </w:tc>
        <w:tc>
          <w:tcPr>
            <w:tcW w:w="554" w:type="dxa"/>
            <w:vAlign w:val="top"/>
          </w:tcPr>
          <w:p>
            <w:pPr>
              <w:pStyle w:val="6"/>
              <w:spacing w:before="90" w:line="188" w:lineRule="auto"/>
              <w:ind w:left="63"/>
            </w:pPr>
            <w:r>
              <w:rPr>
                <w:spacing w:val="-5"/>
              </w:rPr>
              <w:t>13.37</w:t>
            </w:r>
          </w:p>
        </w:tc>
        <w:tc>
          <w:tcPr>
            <w:tcW w:w="593" w:type="dxa"/>
            <w:tcBorders>
              <w:right w:val="nil"/>
            </w:tcBorders>
            <w:vAlign w:val="top"/>
          </w:tcPr>
          <w:p>
            <w:pPr>
              <w:pStyle w:val="6"/>
              <w:spacing w:before="90" w:line="188" w:lineRule="auto"/>
              <w:ind w:left="85"/>
            </w:pPr>
            <w:r>
              <w:rPr>
                <w:spacing w:val="-5"/>
              </w:rPr>
              <w:t>12.06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1548" w:type="dxa"/>
            <w:tcBorders>
              <w:left w:val="nil"/>
            </w:tcBorders>
            <w:vAlign w:val="top"/>
          </w:tcPr>
          <w:p>
            <w:pPr>
              <w:pStyle w:val="6"/>
              <w:spacing w:before="92" w:line="188" w:lineRule="auto"/>
              <w:ind w:left="677"/>
            </w:pPr>
            <w:r>
              <w:rPr>
                <w:spacing w:val="-1"/>
              </w:rPr>
              <w:t>25</w:t>
            </w:r>
          </w:p>
        </w:tc>
        <w:tc>
          <w:tcPr>
            <w:tcW w:w="552" w:type="dxa"/>
            <w:vAlign w:val="top"/>
          </w:tcPr>
          <w:p>
            <w:pPr>
              <w:pStyle w:val="6"/>
              <w:spacing w:before="92" w:line="188" w:lineRule="auto"/>
              <w:ind w:left="61"/>
            </w:pPr>
            <w:r>
              <w:rPr>
                <w:spacing w:val="-5"/>
              </w:rPr>
              <w:t>12.50</w:t>
            </w:r>
          </w:p>
        </w:tc>
        <w:tc>
          <w:tcPr>
            <w:tcW w:w="558" w:type="dxa"/>
            <w:vAlign w:val="top"/>
          </w:tcPr>
          <w:p>
            <w:pPr>
              <w:pStyle w:val="6"/>
              <w:spacing w:before="92" w:line="188" w:lineRule="auto"/>
              <w:ind w:left="65"/>
            </w:pPr>
            <w:r>
              <w:rPr>
                <w:spacing w:val="-5"/>
              </w:rPr>
              <w:t>12.99</w:t>
            </w:r>
          </w:p>
        </w:tc>
        <w:tc>
          <w:tcPr>
            <w:tcW w:w="632" w:type="dxa"/>
            <w:vAlign w:val="top"/>
          </w:tcPr>
          <w:p>
            <w:pPr>
              <w:pStyle w:val="6"/>
              <w:spacing w:before="92" w:line="188" w:lineRule="auto"/>
              <w:ind w:left="101"/>
            </w:pPr>
            <w:r>
              <w:rPr>
                <w:spacing w:val="-5"/>
              </w:rPr>
              <w:t>13.13</w:t>
            </w:r>
          </w:p>
        </w:tc>
        <w:tc>
          <w:tcPr>
            <w:tcW w:w="551" w:type="dxa"/>
            <w:vAlign w:val="top"/>
          </w:tcPr>
          <w:p>
            <w:pPr>
              <w:pStyle w:val="6"/>
              <w:spacing w:before="92" w:line="188" w:lineRule="auto"/>
              <w:ind w:left="60"/>
            </w:pPr>
            <w:r>
              <w:rPr>
                <w:spacing w:val="-5"/>
              </w:rPr>
              <w:t>13.59</w:t>
            </w:r>
          </w:p>
        </w:tc>
        <w:tc>
          <w:tcPr>
            <w:tcW w:w="552" w:type="dxa"/>
            <w:vAlign w:val="top"/>
          </w:tcPr>
          <w:p>
            <w:pPr>
              <w:pStyle w:val="6"/>
              <w:spacing w:before="92" w:line="188" w:lineRule="auto"/>
              <w:ind w:left="61"/>
            </w:pPr>
            <w:r>
              <w:rPr>
                <w:spacing w:val="-5"/>
              </w:rPr>
              <w:t>14.06</w:t>
            </w:r>
          </w:p>
        </w:tc>
        <w:tc>
          <w:tcPr>
            <w:tcW w:w="554" w:type="dxa"/>
            <w:vAlign w:val="top"/>
          </w:tcPr>
          <w:p>
            <w:pPr>
              <w:pStyle w:val="6"/>
              <w:spacing w:before="92" w:line="188" w:lineRule="auto"/>
              <w:ind w:left="62"/>
            </w:pPr>
            <w:r>
              <w:rPr>
                <w:spacing w:val="-5"/>
              </w:rPr>
              <w:t>14.30</w:t>
            </w:r>
          </w:p>
        </w:tc>
        <w:tc>
          <w:tcPr>
            <w:tcW w:w="556" w:type="dxa"/>
            <w:vAlign w:val="top"/>
          </w:tcPr>
          <w:p>
            <w:pPr>
              <w:pStyle w:val="6"/>
              <w:spacing w:before="92" w:line="188" w:lineRule="auto"/>
              <w:ind w:left="62"/>
            </w:pPr>
            <w:r>
              <w:rPr>
                <w:spacing w:val="-5"/>
              </w:rPr>
              <w:t>14.40</w:t>
            </w:r>
          </w:p>
        </w:tc>
        <w:tc>
          <w:tcPr>
            <w:tcW w:w="554" w:type="dxa"/>
            <w:vAlign w:val="top"/>
          </w:tcPr>
          <w:p>
            <w:pPr>
              <w:pStyle w:val="6"/>
              <w:spacing w:before="92" w:line="188" w:lineRule="auto"/>
              <w:ind w:left="62"/>
            </w:pPr>
            <w:r>
              <w:rPr>
                <w:spacing w:val="-5"/>
              </w:rPr>
              <w:t>14.61</w:t>
            </w:r>
          </w:p>
        </w:tc>
        <w:tc>
          <w:tcPr>
            <w:tcW w:w="558" w:type="dxa"/>
            <w:vAlign w:val="top"/>
          </w:tcPr>
          <w:p>
            <w:pPr>
              <w:pStyle w:val="6"/>
              <w:spacing w:before="92" w:line="188" w:lineRule="auto"/>
              <w:ind w:left="63"/>
            </w:pPr>
            <w:r>
              <w:rPr>
                <w:spacing w:val="-5"/>
              </w:rPr>
              <w:t>14.80</w:t>
            </w:r>
          </w:p>
        </w:tc>
        <w:tc>
          <w:tcPr>
            <w:tcW w:w="578" w:type="dxa"/>
            <w:vAlign w:val="top"/>
          </w:tcPr>
          <w:p>
            <w:pPr>
              <w:pStyle w:val="6"/>
              <w:spacing w:before="92" w:line="188" w:lineRule="auto"/>
              <w:ind w:left="73"/>
            </w:pPr>
            <w:r>
              <w:rPr>
                <w:spacing w:val="-5"/>
              </w:rPr>
              <w:t>15.08</w:t>
            </w:r>
          </w:p>
        </w:tc>
        <w:tc>
          <w:tcPr>
            <w:tcW w:w="554" w:type="dxa"/>
            <w:vAlign w:val="top"/>
          </w:tcPr>
          <w:p>
            <w:pPr>
              <w:pStyle w:val="6"/>
              <w:spacing w:before="92" w:line="188" w:lineRule="auto"/>
              <w:ind w:left="63"/>
            </w:pPr>
            <w:r>
              <w:rPr>
                <w:spacing w:val="-5"/>
              </w:rPr>
              <w:t>13.31</w:t>
            </w:r>
          </w:p>
        </w:tc>
        <w:tc>
          <w:tcPr>
            <w:tcW w:w="593" w:type="dxa"/>
            <w:tcBorders>
              <w:right w:val="nil"/>
            </w:tcBorders>
            <w:vAlign w:val="top"/>
          </w:tcPr>
          <w:p>
            <w:pPr>
              <w:pStyle w:val="6"/>
              <w:spacing w:before="92" w:line="188" w:lineRule="auto"/>
              <w:ind w:left="85"/>
            </w:pPr>
            <w:r>
              <w:rPr>
                <w:spacing w:val="-5"/>
              </w:rPr>
              <w:t>12.10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548" w:type="dxa"/>
            <w:tcBorders>
              <w:left w:val="nil"/>
            </w:tcBorders>
            <w:vAlign w:val="top"/>
          </w:tcPr>
          <w:p>
            <w:pPr>
              <w:pStyle w:val="6"/>
              <w:spacing w:before="91" w:line="188" w:lineRule="auto"/>
              <w:ind w:left="677"/>
            </w:pPr>
            <w:r>
              <w:rPr>
                <w:spacing w:val="-1"/>
              </w:rPr>
              <w:t>26</w:t>
            </w:r>
          </w:p>
        </w:tc>
        <w:tc>
          <w:tcPr>
            <w:tcW w:w="552" w:type="dxa"/>
            <w:vAlign w:val="top"/>
          </w:tcPr>
          <w:p>
            <w:pPr>
              <w:pStyle w:val="6"/>
              <w:spacing w:before="91" w:line="188" w:lineRule="auto"/>
              <w:ind w:left="61"/>
            </w:pPr>
            <w:r>
              <w:rPr>
                <w:spacing w:val="-5"/>
              </w:rPr>
              <w:t>12.50</w:t>
            </w:r>
          </w:p>
        </w:tc>
        <w:tc>
          <w:tcPr>
            <w:tcW w:w="558" w:type="dxa"/>
            <w:vAlign w:val="top"/>
          </w:tcPr>
          <w:p>
            <w:pPr>
              <w:pStyle w:val="6"/>
              <w:spacing w:before="91" w:line="188" w:lineRule="auto"/>
              <w:ind w:left="65"/>
            </w:pPr>
            <w:r>
              <w:rPr>
                <w:spacing w:val="-5"/>
              </w:rPr>
              <w:t>12.92</w:t>
            </w:r>
          </w:p>
        </w:tc>
        <w:tc>
          <w:tcPr>
            <w:tcW w:w="632" w:type="dxa"/>
            <w:vAlign w:val="top"/>
          </w:tcPr>
          <w:p>
            <w:pPr>
              <w:pStyle w:val="6"/>
              <w:spacing w:before="91" w:line="188" w:lineRule="auto"/>
              <w:ind w:left="101"/>
            </w:pPr>
            <w:r>
              <w:rPr>
                <w:spacing w:val="-5"/>
              </w:rPr>
              <w:t>13.06</w:t>
            </w:r>
          </w:p>
        </w:tc>
        <w:tc>
          <w:tcPr>
            <w:tcW w:w="551" w:type="dxa"/>
            <w:vAlign w:val="top"/>
          </w:tcPr>
          <w:p>
            <w:pPr>
              <w:pStyle w:val="6"/>
              <w:spacing w:before="91" w:line="188" w:lineRule="auto"/>
              <w:ind w:left="60"/>
            </w:pPr>
            <w:r>
              <w:rPr>
                <w:spacing w:val="-5"/>
              </w:rPr>
              <w:t>13.49</w:t>
            </w:r>
          </w:p>
        </w:tc>
        <w:tc>
          <w:tcPr>
            <w:tcW w:w="552" w:type="dxa"/>
            <w:vAlign w:val="top"/>
          </w:tcPr>
          <w:p>
            <w:pPr>
              <w:pStyle w:val="6"/>
              <w:spacing w:before="91" w:line="188" w:lineRule="auto"/>
              <w:ind w:left="61"/>
            </w:pPr>
            <w:r>
              <w:rPr>
                <w:spacing w:val="-5"/>
              </w:rPr>
              <w:t>13.93</w:t>
            </w:r>
          </w:p>
        </w:tc>
        <w:tc>
          <w:tcPr>
            <w:tcW w:w="554" w:type="dxa"/>
            <w:vAlign w:val="top"/>
          </w:tcPr>
          <w:p>
            <w:pPr>
              <w:pStyle w:val="6"/>
              <w:spacing w:before="91" w:line="188" w:lineRule="auto"/>
              <w:ind w:left="62"/>
            </w:pPr>
            <w:r>
              <w:rPr>
                <w:spacing w:val="-5"/>
              </w:rPr>
              <w:t>14.14</w:t>
            </w:r>
          </w:p>
        </w:tc>
        <w:tc>
          <w:tcPr>
            <w:tcW w:w="556" w:type="dxa"/>
            <w:vAlign w:val="top"/>
          </w:tcPr>
          <w:p>
            <w:pPr>
              <w:pStyle w:val="6"/>
              <w:spacing w:before="91" w:line="188" w:lineRule="auto"/>
              <w:ind w:left="62"/>
            </w:pPr>
            <w:r>
              <w:rPr>
                <w:spacing w:val="-5"/>
              </w:rPr>
              <w:t>14.20</w:t>
            </w:r>
          </w:p>
        </w:tc>
        <w:tc>
          <w:tcPr>
            <w:tcW w:w="554" w:type="dxa"/>
            <w:vAlign w:val="top"/>
          </w:tcPr>
          <w:p>
            <w:pPr>
              <w:pStyle w:val="6"/>
              <w:spacing w:before="91" w:line="188" w:lineRule="auto"/>
              <w:ind w:left="62"/>
            </w:pPr>
            <w:r>
              <w:rPr>
                <w:spacing w:val="-5"/>
              </w:rPr>
              <w:t>14.37</w:t>
            </w:r>
          </w:p>
        </w:tc>
        <w:tc>
          <w:tcPr>
            <w:tcW w:w="558" w:type="dxa"/>
            <w:vAlign w:val="top"/>
          </w:tcPr>
          <w:p>
            <w:pPr>
              <w:pStyle w:val="6"/>
              <w:spacing w:before="91" w:line="188" w:lineRule="auto"/>
              <w:ind w:left="63"/>
            </w:pPr>
            <w:r>
              <w:rPr>
                <w:spacing w:val="-5"/>
              </w:rPr>
              <w:t>14.54</w:t>
            </w:r>
          </w:p>
        </w:tc>
        <w:tc>
          <w:tcPr>
            <w:tcW w:w="578" w:type="dxa"/>
            <w:vAlign w:val="top"/>
          </w:tcPr>
          <w:p>
            <w:pPr>
              <w:pStyle w:val="6"/>
              <w:spacing w:before="91" w:line="188" w:lineRule="auto"/>
              <w:ind w:left="73"/>
            </w:pPr>
            <w:r>
              <w:rPr>
                <w:spacing w:val="-5"/>
              </w:rPr>
              <w:t>14.80</w:t>
            </w:r>
          </w:p>
        </w:tc>
        <w:tc>
          <w:tcPr>
            <w:tcW w:w="554" w:type="dxa"/>
            <w:vAlign w:val="top"/>
          </w:tcPr>
          <w:p>
            <w:pPr>
              <w:pStyle w:val="6"/>
              <w:spacing w:before="91" w:line="188" w:lineRule="auto"/>
              <w:ind w:left="63"/>
            </w:pPr>
            <w:r>
              <w:rPr>
                <w:spacing w:val="-5"/>
              </w:rPr>
              <w:t>13.25</w:t>
            </w:r>
          </w:p>
        </w:tc>
        <w:tc>
          <w:tcPr>
            <w:tcW w:w="593" w:type="dxa"/>
            <w:tcBorders>
              <w:right w:val="nil"/>
            </w:tcBorders>
            <w:vAlign w:val="top"/>
          </w:tcPr>
          <w:p>
            <w:pPr>
              <w:pStyle w:val="6"/>
              <w:spacing w:before="91" w:line="188" w:lineRule="auto"/>
              <w:ind w:left="85"/>
            </w:pPr>
            <w:r>
              <w:rPr>
                <w:spacing w:val="-5"/>
              </w:rPr>
              <w:t>12.14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91" w:line="188" w:lineRule="auto"/>
              <w:ind w:left="677"/>
            </w:pPr>
            <w:r>
              <w:rPr>
                <w:spacing w:val="-1"/>
              </w:rPr>
              <w:t>27</w:t>
            </w:r>
          </w:p>
        </w:tc>
        <w:tc>
          <w:tcPr>
            <w:tcW w:w="552" w:type="dxa"/>
            <w:vAlign w:val="top"/>
          </w:tcPr>
          <w:p>
            <w:pPr>
              <w:pStyle w:val="6"/>
              <w:spacing w:before="91" w:line="188" w:lineRule="auto"/>
              <w:ind w:left="61"/>
            </w:pPr>
            <w:r>
              <w:rPr>
                <w:spacing w:val="-5"/>
              </w:rPr>
              <w:t>12.50</w:t>
            </w:r>
          </w:p>
        </w:tc>
        <w:tc>
          <w:tcPr>
            <w:tcW w:w="558" w:type="dxa"/>
            <w:vAlign w:val="top"/>
          </w:tcPr>
          <w:p>
            <w:pPr>
              <w:pStyle w:val="6"/>
              <w:spacing w:before="91" w:line="188" w:lineRule="auto"/>
              <w:ind w:left="65"/>
            </w:pPr>
            <w:r>
              <w:rPr>
                <w:spacing w:val="-5"/>
              </w:rPr>
              <w:t>12.85</w:t>
            </w:r>
          </w:p>
        </w:tc>
        <w:tc>
          <w:tcPr>
            <w:tcW w:w="632" w:type="dxa"/>
            <w:vAlign w:val="top"/>
          </w:tcPr>
          <w:p>
            <w:pPr>
              <w:pStyle w:val="6"/>
              <w:spacing w:before="91" w:line="188" w:lineRule="auto"/>
              <w:ind w:left="101"/>
            </w:pPr>
            <w:r>
              <w:rPr>
                <w:spacing w:val="-5"/>
              </w:rPr>
              <w:t>13.00</w:t>
            </w:r>
          </w:p>
        </w:tc>
        <w:tc>
          <w:tcPr>
            <w:tcW w:w="551" w:type="dxa"/>
            <w:vAlign w:val="top"/>
          </w:tcPr>
          <w:p>
            <w:pPr>
              <w:pStyle w:val="6"/>
              <w:spacing w:before="91" w:line="188" w:lineRule="auto"/>
              <w:ind w:left="60"/>
            </w:pPr>
            <w:r>
              <w:rPr>
                <w:spacing w:val="-5"/>
              </w:rPr>
              <w:t>13.41</w:t>
            </w:r>
          </w:p>
        </w:tc>
        <w:tc>
          <w:tcPr>
            <w:tcW w:w="552" w:type="dxa"/>
            <w:vAlign w:val="top"/>
          </w:tcPr>
          <w:p>
            <w:pPr>
              <w:pStyle w:val="6"/>
              <w:spacing w:before="91" w:line="188" w:lineRule="auto"/>
              <w:ind w:left="61"/>
            </w:pPr>
            <w:r>
              <w:rPr>
                <w:spacing w:val="-5"/>
              </w:rPr>
              <w:t>13.81</w:t>
            </w:r>
          </w:p>
        </w:tc>
        <w:tc>
          <w:tcPr>
            <w:tcW w:w="554" w:type="dxa"/>
            <w:vAlign w:val="top"/>
          </w:tcPr>
          <w:p>
            <w:pPr>
              <w:pStyle w:val="6"/>
              <w:spacing w:before="91" w:line="188" w:lineRule="auto"/>
              <w:ind w:left="62"/>
            </w:pPr>
            <w:r>
              <w:rPr>
                <w:spacing w:val="-5"/>
              </w:rPr>
              <w:t>13.99</w:t>
            </w:r>
          </w:p>
        </w:tc>
        <w:tc>
          <w:tcPr>
            <w:tcW w:w="556" w:type="dxa"/>
            <w:vAlign w:val="top"/>
          </w:tcPr>
          <w:p>
            <w:pPr>
              <w:pStyle w:val="6"/>
              <w:spacing w:before="91" w:line="188" w:lineRule="auto"/>
              <w:ind w:left="62"/>
            </w:pPr>
            <w:r>
              <w:rPr>
                <w:spacing w:val="-5"/>
              </w:rPr>
              <w:t>14.03</w:t>
            </w:r>
          </w:p>
        </w:tc>
        <w:tc>
          <w:tcPr>
            <w:tcW w:w="554" w:type="dxa"/>
            <w:vAlign w:val="top"/>
          </w:tcPr>
          <w:p>
            <w:pPr>
              <w:pStyle w:val="6"/>
              <w:spacing w:before="91" w:line="188" w:lineRule="auto"/>
              <w:ind w:left="62"/>
            </w:pPr>
            <w:r>
              <w:rPr>
                <w:spacing w:val="-5"/>
              </w:rPr>
              <w:t>14.15</w:t>
            </w:r>
          </w:p>
        </w:tc>
        <w:tc>
          <w:tcPr>
            <w:tcW w:w="558" w:type="dxa"/>
            <w:vAlign w:val="top"/>
          </w:tcPr>
          <w:p>
            <w:pPr>
              <w:pStyle w:val="6"/>
              <w:spacing w:before="91" w:line="188" w:lineRule="auto"/>
              <w:ind w:left="63"/>
            </w:pPr>
            <w:r>
              <w:rPr>
                <w:spacing w:val="-5"/>
              </w:rPr>
              <w:t>14.29</w:t>
            </w:r>
          </w:p>
        </w:tc>
        <w:tc>
          <w:tcPr>
            <w:tcW w:w="578" w:type="dxa"/>
            <w:vAlign w:val="top"/>
          </w:tcPr>
          <w:p>
            <w:pPr>
              <w:pStyle w:val="6"/>
              <w:spacing w:before="91" w:line="188" w:lineRule="auto"/>
              <w:ind w:left="73"/>
            </w:pPr>
            <w:r>
              <w:rPr>
                <w:spacing w:val="-5"/>
              </w:rPr>
              <w:t>14.54</w:t>
            </w:r>
          </w:p>
        </w:tc>
        <w:tc>
          <w:tcPr>
            <w:tcW w:w="554" w:type="dxa"/>
            <w:vAlign w:val="top"/>
          </w:tcPr>
          <w:p>
            <w:pPr>
              <w:pStyle w:val="6"/>
              <w:spacing w:before="91" w:line="188" w:lineRule="auto"/>
              <w:ind w:left="63"/>
            </w:pPr>
            <w:r>
              <w:rPr>
                <w:spacing w:val="-5"/>
              </w:rPr>
              <w:t>13.20</w:t>
            </w:r>
          </w:p>
        </w:tc>
        <w:tc>
          <w:tcPr>
            <w:tcW w:w="593" w:type="dxa"/>
            <w:tcBorders>
              <w:right w:val="nil"/>
            </w:tcBorders>
            <w:vAlign w:val="top"/>
          </w:tcPr>
          <w:p>
            <w:pPr>
              <w:pStyle w:val="6"/>
              <w:spacing w:before="91" w:line="188" w:lineRule="auto"/>
              <w:ind w:left="85"/>
            </w:pPr>
            <w:r>
              <w:rPr>
                <w:spacing w:val="-5"/>
              </w:rPr>
              <w:t>12.19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1548" w:type="dxa"/>
            <w:tcBorders>
              <w:left w:val="nil"/>
            </w:tcBorders>
            <w:vAlign w:val="top"/>
          </w:tcPr>
          <w:p>
            <w:pPr>
              <w:pStyle w:val="6"/>
              <w:spacing w:before="92" w:line="188" w:lineRule="auto"/>
              <w:ind w:left="677"/>
            </w:pPr>
            <w:r>
              <w:rPr>
                <w:spacing w:val="-1"/>
              </w:rPr>
              <w:t>28</w:t>
            </w:r>
          </w:p>
        </w:tc>
        <w:tc>
          <w:tcPr>
            <w:tcW w:w="552" w:type="dxa"/>
            <w:vAlign w:val="top"/>
          </w:tcPr>
          <w:p>
            <w:pPr>
              <w:pStyle w:val="6"/>
              <w:spacing w:before="92" w:line="188" w:lineRule="auto"/>
              <w:ind w:left="61"/>
            </w:pPr>
            <w:r>
              <w:rPr>
                <w:spacing w:val="-5"/>
              </w:rPr>
              <w:t>12.50</w:t>
            </w:r>
          </w:p>
        </w:tc>
        <w:tc>
          <w:tcPr>
            <w:tcW w:w="558" w:type="dxa"/>
            <w:vAlign w:val="top"/>
          </w:tcPr>
          <w:p>
            <w:pPr>
              <w:pStyle w:val="6"/>
              <w:spacing w:before="92" w:line="188" w:lineRule="auto"/>
              <w:ind w:left="65"/>
            </w:pPr>
            <w:r>
              <w:rPr>
                <w:spacing w:val="-5"/>
              </w:rPr>
              <w:t>12.81</w:t>
            </w:r>
          </w:p>
        </w:tc>
        <w:tc>
          <w:tcPr>
            <w:tcW w:w="632" w:type="dxa"/>
            <w:vAlign w:val="top"/>
          </w:tcPr>
          <w:p>
            <w:pPr>
              <w:pStyle w:val="6"/>
              <w:spacing w:before="92" w:line="188" w:lineRule="auto"/>
              <w:ind w:left="101"/>
            </w:pPr>
            <w:r>
              <w:rPr>
                <w:spacing w:val="-5"/>
              </w:rPr>
              <w:t>12.94</w:t>
            </w:r>
          </w:p>
        </w:tc>
        <w:tc>
          <w:tcPr>
            <w:tcW w:w="551" w:type="dxa"/>
            <w:vAlign w:val="top"/>
          </w:tcPr>
          <w:p>
            <w:pPr>
              <w:pStyle w:val="6"/>
              <w:spacing w:before="92" w:line="188" w:lineRule="auto"/>
              <w:ind w:left="60"/>
            </w:pPr>
            <w:r>
              <w:rPr>
                <w:spacing w:val="-5"/>
              </w:rPr>
              <w:t>13.33</w:t>
            </w:r>
          </w:p>
        </w:tc>
        <w:tc>
          <w:tcPr>
            <w:tcW w:w="552" w:type="dxa"/>
            <w:vAlign w:val="top"/>
          </w:tcPr>
          <w:p>
            <w:pPr>
              <w:pStyle w:val="6"/>
              <w:spacing w:before="92" w:line="188" w:lineRule="auto"/>
              <w:ind w:left="61"/>
            </w:pPr>
            <w:r>
              <w:rPr>
                <w:spacing w:val="-5"/>
              </w:rPr>
              <w:t>13.70</w:t>
            </w:r>
          </w:p>
        </w:tc>
        <w:tc>
          <w:tcPr>
            <w:tcW w:w="554" w:type="dxa"/>
            <w:vAlign w:val="top"/>
          </w:tcPr>
          <w:p>
            <w:pPr>
              <w:pStyle w:val="6"/>
              <w:spacing w:before="92" w:line="188" w:lineRule="auto"/>
              <w:ind w:left="62"/>
            </w:pPr>
            <w:r>
              <w:rPr>
                <w:spacing w:val="-5"/>
              </w:rPr>
              <w:t>13.85</w:t>
            </w:r>
          </w:p>
        </w:tc>
        <w:tc>
          <w:tcPr>
            <w:tcW w:w="556" w:type="dxa"/>
            <w:vAlign w:val="top"/>
          </w:tcPr>
          <w:p>
            <w:pPr>
              <w:pStyle w:val="6"/>
              <w:spacing w:before="92" w:line="188" w:lineRule="auto"/>
              <w:ind w:left="62"/>
            </w:pPr>
            <w:r>
              <w:rPr>
                <w:spacing w:val="-5"/>
              </w:rPr>
              <w:t>13.86</w:t>
            </w:r>
          </w:p>
        </w:tc>
        <w:tc>
          <w:tcPr>
            <w:tcW w:w="554" w:type="dxa"/>
            <w:vAlign w:val="top"/>
          </w:tcPr>
          <w:p>
            <w:pPr>
              <w:pStyle w:val="6"/>
              <w:spacing w:before="92" w:line="188" w:lineRule="auto"/>
              <w:ind w:left="62"/>
            </w:pPr>
            <w:r>
              <w:rPr>
                <w:spacing w:val="-5"/>
              </w:rPr>
              <w:t>13.96</w:t>
            </w:r>
          </w:p>
        </w:tc>
        <w:tc>
          <w:tcPr>
            <w:tcW w:w="558" w:type="dxa"/>
            <w:vAlign w:val="top"/>
          </w:tcPr>
          <w:p>
            <w:pPr>
              <w:pStyle w:val="6"/>
              <w:spacing w:before="92" w:line="188" w:lineRule="auto"/>
              <w:ind w:left="63"/>
            </w:pPr>
            <w:r>
              <w:rPr>
                <w:spacing w:val="-5"/>
              </w:rPr>
              <w:t>14.07</w:t>
            </w:r>
          </w:p>
        </w:tc>
        <w:tc>
          <w:tcPr>
            <w:tcW w:w="578" w:type="dxa"/>
            <w:vAlign w:val="top"/>
          </w:tcPr>
          <w:p>
            <w:pPr>
              <w:pStyle w:val="6"/>
              <w:spacing w:before="92" w:line="188" w:lineRule="auto"/>
              <w:ind w:left="73"/>
            </w:pPr>
            <w:r>
              <w:rPr>
                <w:spacing w:val="-5"/>
              </w:rPr>
              <w:t>14.29</w:t>
            </w:r>
          </w:p>
        </w:tc>
        <w:tc>
          <w:tcPr>
            <w:tcW w:w="554" w:type="dxa"/>
            <w:vAlign w:val="top"/>
          </w:tcPr>
          <w:p>
            <w:pPr>
              <w:pStyle w:val="6"/>
              <w:spacing w:before="92" w:line="188" w:lineRule="auto"/>
              <w:ind w:left="63"/>
            </w:pPr>
            <w:r>
              <w:rPr>
                <w:spacing w:val="-5"/>
              </w:rPr>
              <w:t>13.14</w:t>
            </w:r>
          </w:p>
        </w:tc>
        <w:tc>
          <w:tcPr>
            <w:tcW w:w="593" w:type="dxa"/>
            <w:tcBorders>
              <w:right w:val="nil"/>
            </w:tcBorders>
            <w:vAlign w:val="top"/>
          </w:tcPr>
          <w:p>
            <w:pPr>
              <w:pStyle w:val="6"/>
              <w:spacing w:before="92" w:line="188" w:lineRule="auto"/>
              <w:ind w:left="85"/>
            </w:pPr>
            <w:r>
              <w:rPr>
                <w:spacing w:val="-5"/>
              </w:rPr>
              <w:t>12.23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91" w:line="188" w:lineRule="auto"/>
              <w:ind w:left="677"/>
            </w:pPr>
            <w:r>
              <w:rPr>
                <w:spacing w:val="-1"/>
              </w:rPr>
              <w:t>29</w:t>
            </w:r>
          </w:p>
        </w:tc>
        <w:tc>
          <w:tcPr>
            <w:tcW w:w="552" w:type="dxa"/>
            <w:vAlign w:val="top"/>
          </w:tcPr>
          <w:p>
            <w:pPr>
              <w:pStyle w:val="6"/>
              <w:spacing w:before="91" w:line="188" w:lineRule="auto"/>
              <w:ind w:left="61"/>
            </w:pPr>
            <w:r>
              <w:rPr>
                <w:spacing w:val="-5"/>
              </w:rPr>
              <w:t>12.50</w:t>
            </w:r>
          </w:p>
        </w:tc>
        <w:tc>
          <w:tcPr>
            <w:tcW w:w="558" w:type="dxa"/>
            <w:vAlign w:val="top"/>
          </w:tcPr>
          <w:p>
            <w:pPr>
              <w:pStyle w:val="6"/>
              <w:spacing w:before="91" w:line="188" w:lineRule="auto"/>
              <w:ind w:left="65"/>
            </w:pPr>
            <w:r>
              <w:rPr>
                <w:spacing w:val="-5"/>
              </w:rPr>
              <w:t>12.77</w:t>
            </w:r>
          </w:p>
        </w:tc>
        <w:tc>
          <w:tcPr>
            <w:tcW w:w="632" w:type="dxa"/>
            <w:vAlign w:val="top"/>
          </w:tcPr>
          <w:p>
            <w:pPr>
              <w:pStyle w:val="6"/>
              <w:spacing w:before="91" w:line="188" w:lineRule="auto"/>
              <w:ind w:left="101"/>
            </w:pPr>
            <w:r>
              <w:rPr>
                <w:spacing w:val="-5"/>
              </w:rPr>
              <w:t>12.90</w:t>
            </w:r>
          </w:p>
        </w:tc>
        <w:tc>
          <w:tcPr>
            <w:tcW w:w="551" w:type="dxa"/>
            <w:vAlign w:val="top"/>
          </w:tcPr>
          <w:p>
            <w:pPr>
              <w:pStyle w:val="6"/>
              <w:spacing w:before="91" w:line="188" w:lineRule="auto"/>
              <w:ind w:left="60"/>
            </w:pPr>
            <w:r>
              <w:rPr>
                <w:spacing w:val="-5"/>
              </w:rPr>
              <w:t>13.25</w:t>
            </w:r>
          </w:p>
        </w:tc>
        <w:tc>
          <w:tcPr>
            <w:tcW w:w="552" w:type="dxa"/>
            <w:vAlign w:val="top"/>
          </w:tcPr>
          <w:p>
            <w:pPr>
              <w:pStyle w:val="6"/>
              <w:spacing w:before="91" w:line="188" w:lineRule="auto"/>
              <w:ind w:left="61"/>
            </w:pPr>
            <w:r>
              <w:rPr>
                <w:spacing w:val="-5"/>
              </w:rPr>
              <w:t>13.60</w:t>
            </w:r>
          </w:p>
        </w:tc>
        <w:tc>
          <w:tcPr>
            <w:tcW w:w="554" w:type="dxa"/>
            <w:vAlign w:val="top"/>
          </w:tcPr>
          <w:p>
            <w:pPr>
              <w:pStyle w:val="6"/>
              <w:spacing w:before="91" w:line="188" w:lineRule="auto"/>
              <w:ind w:left="62"/>
            </w:pPr>
            <w:r>
              <w:rPr>
                <w:spacing w:val="-5"/>
              </w:rPr>
              <w:t>13.72</w:t>
            </w:r>
          </w:p>
        </w:tc>
        <w:tc>
          <w:tcPr>
            <w:tcW w:w="556" w:type="dxa"/>
            <w:vAlign w:val="top"/>
          </w:tcPr>
          <w:p>
            <w:pPr>
              <w:pStyle w:val="6"/>
              <w:spacing w:before="91" w:line="188" w:lineRule="auto"/>
              <w:ind w:left="62"/>
            </w:pPr>
            <w:r>
              <w:rPr>
                <w:spacing w:val="-5"/>
              </w:rPr>
              <w:t>13.72</w:t>
            </w:r>
          </w:p>
        </w:tc>
        <w:tc>
          <w:tcPr>
            <w:tcW w:w="554" w:type="dxa"/>
            <w:vAlign w:val="top"/>
          </w:tcPr>
          <w:p>
            <w:pPr>
              <w:pStyle w:val="6"/>
              <w:spacing w:before="91" w:line="188" w:lineRule="auto"/>
              <w:ind w:left="62"/>
            </w:pPr>
            <w:r>
              <w:rPr>
                <w:spacing w:val="-5"/>
              </w:rPr>
              <w:t>13.78</w:t>
            </w:r>
          </w:p>
        </w:tc>
        <w:tc>
          <w:tcPr>
            <w:tcW w:w="558" w:type="dxa"/>
            <w:vAlign w:val="top"/>
          </w:tcPr>
          <w:p>
            <w:pPr>
              <w:pStyle w:val="6"/>
              <w:spacing w:before="91" w:line="188" w:lineRule="auto"/>
              <w:ind w:left="63"/>
            </w:pPr>
            <w:r>
              <w:rPr>
                <w:spacing w:val="-5"/>
              </w:rPr>
              <w:t>13.87</w:t>
            </w:r>
          </w:p>
        </w:tc>
        <w:tc>
          <w:tcPr>
            <w:tcW w:w="578" w:type="dxa"/>
            <w:vAlign w:val="top"/>
          </w:tcPr>
          <w:p>
            <w:pPr>
              <w:pStyle w:val="6"/>
              <w:spacing w:before="91" w:line="188" w:lineRule="auto"/>
              <w:ind w:left="73"/>
            </w:pPr>
            <w:r>
              <w:rPr>
                <w:spacing w:val="-5"/>
              </w:rPr>
              <w:t>14.07</w:t>
            </w:r>
          </w:p>
        </w:tc>
        <w:tc>
          <w:tcPr>
            <w:tcW w:w="554" w:type="dxa"/>
            <w:vAlign w:val="top"/>
          </w:tcPr>
          <w:p>
            <w:pPr>
              <w:pStyle w:val="6"/>
              <w:spacing w:before="91" w:line="188" w:lineRule="auto"/>
              <w:ind w:left="63"/>
            </w:pPr>
            <w:r>
              <w:rPr>
                <w:spacing w:val="-5"/>
              </w:rPr>
              <w:t>13.08</w:t>
            </w:r>
          </w:p>
        </w:tc>
        <w:tc>
          <w:tcPr>
            <w:tcW w:w="593" w:type="dxa"/>
            <w:tcBorders>
              <w:right w:val="nil"/>
            </w:tcBorders>
            <w:vAlign w:val="top"/>
          </w:tcPr>
          <w:p>
            <w:pPr>
              <w:pStyle w:val="6"/>
              <w:spacing w:before="91" w:line="188" w:lineRule="auto"/>
              <w:ind w:left="85"/>
            </w:pPr>
            <w:r>
              <w:rPr>
                <w:spacing w:val="-5"/>
              </w:rPr>
              <w:t>12.28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92" w:line="188" w:lineRule="auto"/>
              <w:ind w:left="681"/>
            </w:pPr>
            <w:r>
              <w:rPr>
                <w:spacing w:val="-5"/>
              </w:rPr>
              <w:t>30</w:t>
            </w:r>
          </w:p>
        </w:tc>
        <w:tc>
          <w:tcPr>
            <w:tcW w:w="552" w:type="dxa"/>
            <w:vAlign w:val="top"/>
          </w:tcPr>
          <w:p>
            <w:pPr>
              <w:pStyle w:val="6"/>
              <w:spacing w:before="92" w:line="188" w:lineRule="auto"/>
              <w:ind w:left="61"/>
            </w:pPr>
            <w:r>
              <w:rPr>
                <w:spacing w:val="-5"/>
              </w:rPr>
              <w:t>12.50</w:t>
            </w:r>
          </w:p>
        </w:tc>
        <w:tc>
          <w:tcPr>
            <w:tcW w:w="558" w:type="dxa"/>
            <w:vAlign w:val="top"/>
          </w:tcPr>
          <w:p>
            <w:pPr>
              <w:pStyle w:val="6"/>
              <w:spacing w:before="92" w:line="188" w:lineRule="auto"/>
              <w:ind w:left="65"/>
            </w:pPr>
            <w:r>
              <w:rPr>
                <w:spacing w:val="-5"/>
              </w:rPr>
              <w:t>12.75</w:t>
            </w:r>
          </w:p>
        </w:tc>
        <w:tc>
          <w:tcPr>
            <w:tcW w:w="632" w:type="dxa"/>
            <w:vAlign w:val="top"/>
          </w:tcPr>
          <w:p>
            <w:pPr>
              <w:pStyle w:val="6"/>
              <w:spacing w:before="92" w:line="188" w:lineRule="auto"/>
              <w:ind w:left="101"/>
            </w:pPr>
            <w:r>
              <w:rPr>
                <w:spacing w:val="-5"/>
              </w:rPr>
              <w:t>12.86</w:t>
            </w:r>
          </w:p>
        </w:tc>
        <w:tc>
          <w:tcPr>
            <w:tcW w:w="551" w:type="dxa"/>
            <w:vAlign w:val="top"/>
          </w:tcPr>
          <w:p>
            <w:pPr>
              <w:pStyle w:val="6"/>
              <w:spacing w:before="92" w:line="188" w:lineRule="auto"/>
              <w:ind w:left="60"/>
            </w:pPr>
            <w:r>
              <w:rPr>
                <w:spacing w:val="-5"/>
              </w:rPr>
              <w:t>13.19</w:t>
            </w:r>
          </w:p>
        </w:tc>
        <w:tc>
          <w:tcPr>
            <w:tcW w:w="552" w:type="dxa"/>
            <w:vAlign w:val="top"/>
          </w:tcPr>
          <w:p>
            <w:pPr>
              <w:pStyle w:val="6"/>
              <w:spacing w:before="92" w:line="188" w:lineRule="auto"/>
              <w:ind w:left="61"/>
            </w:pPr>
            <w:r>
              <w:rPr>
                <w:spacing w:val="-5"/>
              </w:rPr>
              <w:t>13.50</w:t>
            </w:r>
          </w:p>
        </w:tc>
        <w:tc>
          <w:tcPr>
            <w:tcW w:w="554" w:type="dxa"/>
            <w:vAlign w:val="top"/>
          </w:tcPr>
          <w:p>
            <w:pPr>
              <w:pStyle w:val="6"/>
              <w:spacing w:before="92" w:line="188" w:lineRule="auto"/>
              <w:ind w:left="62"/>
            </w:pPr>
            <w:r>
              <w:rPr>
                <w:spacing w:val="-5"/>
              </w:rPr>
              <w:t>13.61</w:t>
            </w:r>
          </w:p>
        </w:tc>
        <w:tc>
          <w:tcPr>
            <w:tcW w:w="556" w:type="dxa"/>
            <w:vAlign w:val="top"/>
          </w:tcPr>
          <w:p>
            <w:pPr>
              <w:pStyle w:val="6"/>
              <w:spacing w:before="92" w:line="188" w:lineRule="auto"/>
              <w:ind w:left="62"/>
            </w:pPr>
            <w:r>
              <w:rPr>
                <w:spacing w:val="-5"/>
              </w:rPr>
              <w:t>13.59</w:t>
            </w:r>
          </w:p>
        </w:tc>
        <w:tc>
          <w:tcPr>
            <w:tcW w:w="554" w:type="dxa"/>
            <w:vAlign w:val="top"/>
          </w:tcPr>
          <w:p>
            <w:pPr>
              <w:pStyle w:val="6"/>
              <w:spacing w:before="92" w:line="188" w:lineRule="auto"/>
              <w:ind w:left="62"/>
            </w:pPr>
            <w:r>
              <w:rPr>
                <w:spacing w:val="-5"/>
              </w:rPr>
              <w:t>13.63</w:t>
            </w:r>
          </w:p>
        </w:tc>
        <w:tc>
          <w:tcPr>
            <w:tcW w:w="558" w:type="dxa"/>
            <w:vAlign w:val="top"/>
          </w:tcPr>
          <w:p>
            <w:pPr>
              <w:pStyle w:val="6"/>
              <w:spacing w:before="92" w:line="188" w:lineRule="auto"/>
              <w:ind w:left="63"/>
            </w:pPr>
            <w:r>
              <w:rPr>
                <w:spacing w:val="-5"/>
              </w:rPr>
              <w:t>13.69</w:t>
            </w:r>
          </w:p>
        </w:tc>
        <w:tc>
          <w:tcPr>
            <w:tcW w:w="578" w:type="dxa"/>
            <w:vAlign w:val="top"/>
          </w:tcPr>
          <w:p>
            <w:pPr>
              <w:pStyle w:val="6"/>
              <w:spacing w:before="92" w:line="188" w:lineRule="auto"/>
              <w:ind w:left="73"/>
            </w:pPr>
            <w:r>
              <w:rPr>
                <w:spacing w:val="-5"/>
              </w:rPr>
              <w:t>13.86</w:t>
            </w:r>
          </w:p>
        </w:tc>
        <w:tc>
          <w:tcPr>
            <w:tcW w:w="554" w:type="dxa"/>
            <w:vAlign w:val="top"/>
          </w:tcPr>
          <w:p>
            <w:pPr>
              <w:pStyle w:val="6"/>
              <w:spacing w:before="92" w:line="188" w:lineRule="auto"/>
              <w:ind w:left="63"/>
            </w:pPr>
            <w:r>
              <w:rPr>
                <w:spacing w:val="-5"/>
              </w:rPr>
              <w:t>13.03</w:t>
            </w:r>
          </w:p>
        </w:tc>
        <w:tc>
          <w:tcPr>
            <w:tcW w:w="593" w:type="dxa"/>
            <w:tcBorders>
              <w:right w:val="nil"/>
            </w:tcBorders>
            <w:vAlign w:val="top"/>
          </w:tcPr>
          <w:p>
            <w:pPr>
              <w:pStyle w:val="6"/>
              <w:spacing w:before="92" w:line="188" w:lineRule="auto"/>
              <w:ind w:left="85"/>
            </w:pPr>
            <w:r>
              <w:rPr>
                <w:spacing w:val="-5"/>
              </w:rPr>
              <w:t>12.33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1548" w:type="dxa"/>
            <w:tcBorders>
              <w:left w:val="nil"/>
            </w:tcBorders>
            <w:vAlign w:val="top"/>
          </w:tcPr>
          <w:p>
            <w:pPr>
              <w:pStyle w:val="6"/>
              <w:spacing w:before="93" w:line="188" w:lineRule="auto"/>
              <w:ind w:left="681"/>
            </w:pPr>
            <w:r>
              <w:rPr>
                <w:spacing w:val="-5"/>
              </w:rPr>
              <w:t>31</w:t>
            </w:r>
          </w:p>
        </w:tc>
        <w:tc>
          <w:tcPr>
            <w:tcW w:w="552" w:type="dxa"/>
            <w:vAlign w:val="top"/>
          </w:tcPr>
          <w:p>
            <w:pPr>
              <w:pStyle w:val="6"/>
              <w:spacing w:before="93" w:line="188" w:lineRule="auto"/>
              <w:ind w:left="61"/>
            </w:pPr>
            <w:r>
              <w:rPr>
                <w:spacing w:val="-5"/>
              </w:rPr>
              <w:t>12.50</w:t>
            </w:r>
          </w:p>
        </w:tc>
        <w:tc>
          <w:tcPr>
            <w:tcW w:w="558" w:type="dxa"/>
            <w:vAlign w:val="top"/>
          </w:tcPr>
          <w:p>
            <w:pPr>
              <w:pStyle w:val="6"/>
              <w:spacing w:before="93" w:line="188" w:lineRule="auto"/>
              <w:ind w:left="65"/>
            </w:pPr>
            <w:r>
              <w:rPr>
                <w:spacing w:val="-5"/>
              </w:rPr>
              <w:t>12.73</w:t>
            </w:r>
          </w:p>
        </w:tc>
        <w:tc>
          <w:tcPr>
            <w:tcW w:w="632" w:type="dxa"/>
            <w:vAlign w:val="top"/>
          </w:tcPr>
          <w:p>
            <w:pPr>
              <w:pStyle w:val="6"/>
              <w:spacing w:before="93" w:line="188" w:lineRule="auto"/>
              <w:ind w:left="101"/>
            </w:pPr>
            <w:r>
              <w:rPr>
                <w:spacing w:val="-5"/>
              </w:rPr>
              <w:t>12.83</w:t>
            </w:r>
          </w:p>
        </w:tc>
        <w:tc>
          <w:tcPr>
            <w:tcW w:w="551" w:type="dxa"/>
            <w:vAlign w:val="top"/>
          </w:tcPr>
          <w:p>
            <w:pPr>
              <w:pStyle w:val="6"/>
              <w:spacing w:before="93" w:line="188" w:lineRule="auto"/>
              <w:ind w:left="60"/>
            </w:pPr>
            <w:r>
              <w:rPr>
                <w:spacing w:val="-5"/>
              </w:rPr>
              <w:t>13.13</w:t>
            </w:r>
          </w:p>
        </w:tc>
        <w:tc>
          <w:tcPr>
            <w:tcW w:w="552" w:type="dxa"/>
            <w:vAlign w:val="top"/>
          </w:tcPr>
          <w:p>
            <w:pPr>
              <w:pStyle w:val="6"/>
              <w:spacing w:before="93" w:line="188" w:lineRule="auto"/>
              <w:ind w:left="61"/>
            </w:pPr>
            <w:r>
              <w:rPr>
                <w:spacing w:val="-5"/>
              </w:rPr>
              <w:t>13.42</w:t>
            </w:r>
          </w:p>
        </w:tc>
        <w:tc>
          <w:tcPr>
            <w:tcW w:w="554" w:type="dxa"/>
            <w:vAlign w:val="top"/>
          </w:tcPr>
          <w:p>
            <w:pPr>
              <w:pStyle w:val="6"/>
              <w:spacing w:before="93" w:line="188" w:lineRule="auto"/>
              <w:ind w:left="62"/>
            </w:pPr>
            <w:r>
              <w:rPr>
                <w:spacing w:val="-5"/>
              </w:rPr>
              <w:t>13.51</w:t>
            </w:r>
          </w:p>
        </w:tc>
        <w:tc>
          <w:tcPr>
            <w:tcW w:w="556" w:type="dxa"/>
            <w:vAlign w:val="top"/>
          </w:tcPr>
          <w:p>
            <w:pPr>
              <w:pStyle w:val="6"/>
              <w:spacing w:before="93" w:line="188" w:lineRule="auto"/>
              <w:ind w:left="62"/>
            </w:pPr>
            <w:r>
              <w:rPr>
                <w:spacing w:val="-5"/>
              </w:rPr>
              <w:t>13.47</w:t>
            </w:r>
          </w:p>
        </w:tc>
        <w:tc>
          <w:tcPr>
            <w:tcW w:w="554" w:type="dxa"/>
            <w:vAlign w:val="top"/>
          </w:tcPr>
          <w:p>
            <w:pPr>
              <w:pStyle w:val="6"/>
              <w:spacing w:before="93" w:line="188" w:lineRule="auto"/>
              <w:ind w:left="62"/>
            </w:pPr>
            <w:r>
              <w:rPr>
                <w:spacing w:val="-5"/>
              </w:rPr>
              <w:t>13.49</w:t>
            </w:r>
          </w:p>
        </w:tc>
        <w:tc>
          <w:tcPr>
            <w:tcW w:w="558" w:type="dxa"/>
            <w:vAlign w:val="top"/>
          </w:tcPr>
          <w:p>
            <w:pPr>
              <w:pStyle w:val="6"/>
              <w:spacing w:before="93" w:line="188" w:lineRule="auto"/>
              <w:ind w:left="63"/>
            </w:pPr>
            <w:r>
              <w:rPr>
                <w:spacing w:val="-5"/>
              </w:rPr>
              <w:t>13.53</w:t>
            </w:r>
          </w:p>
        </w:tc>
        <w:tc>
          <w:tcPr>
            <w:tcW w:w="578" w:type="dxa"/>
            <w:vAlign w:val="top"/>
          </w:tcPr>
          <w:p>
            <w:pPr>
              <w:pStyle w:val="6"/>
              <w:spacing w:before="93" w:line="188" w:lineRule="auto"/>
              <w:ind w:left="73"/>
            </w:pPr>
            <w:r>
              <w:rPr>
                <w:spacing w:val="-5"/>
              </w:rPr>
              <w:t>13.67</w:t>
            </w:r>
          </w:p>
        </w:tc>
        <w:tc>
          <w:tcPr>
            <w:tcW w:w="554" w:type="dxa"/>
            <w:vAlign w:val="top"/>
          </w:tcPr>
          <w:p>
            <w:pPr>
              <w:pStyle w:val="6"/>
              <w:spacing w:before="93" w:line="188" w:lineRule="auto"/>
              <w:ind w:left="63"/>
            </w:pPr>
            <w:r>
              <w:rPr>
                <w:spacing w:val="-5"/>
              </w:rPr>
              <w:t>12.98</w:t>
            </w:r>
          </w:p>
        </w:tc>
        <w:tc>
          <w:tcPr>
            <w:tcW w:w="593" w:type="dxa"/>
            <w:tcBorders>
              <w:right w:val="nil"/>
            </w:tcBorders>
            <w:vAlign w:val="top"/>
          </w:tcPr>
          <w:p>
            <w:pPr>
              <w:pStyle w:val="6"/>
              <w:spacing w:before="93" w:line="188" w:lineRule="auto"/>
              <w:ind w:left="85"/>
            </w:pPr>
            <w:r>
              <w:rPr>
                <w:spacing w:val="-5"/>
              </w:rPr>
              <w:t>12.37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548" w:type="dxa"/>
            <w:tcBorders>
              <w:left w:val="nil"/>
            </w:tcBorders>
            <w:vAlign w:val="top"/>
          </w:tcPr>
          <w:p>
            <w:pPr>
              <w:pStyle w:val="6"/>
              <w:spacing w:before="92" w:line="188" w:lineRule="auto"/>
              <w:ind w:left="681"/>
            </w:pPr>
            <w:r>
              <w:rPr>
                <w:spacing w:val="-5"/>
              </w:rPr>
              <w:t>32</w:t>
            </w:r>
          </w:p>
        </w:tc>
        <w:tc>
          <w:tcPr>
            <w:tcW w:w="552" w:type="dxa"/>
            <w:vAlign w:val="top"/>
          </w:tcPr>
          <w:p>
            <w:pPr>
              <w:pStyle w:val="6"/>
              <w:spacing w:before="92" w:line="188" w:lineRule="auto"/>
              <w:ind w:left="61"/>
            </w:pPr>
            <w:r>
              <w:rPr>
                <w:spacing w:val="-5"/>
              </w:rPr>
              <w:t>12.51</w:t>
            </w:r>
          </w:p>
        </w:tc>
        <w:tc>
          <w:tcPr>
            <w:tcW w:w="558" w:type="dxa"/>
            <w:vAlign w:val="top"/>
          </w:tcPr>
          <w:p>
            <w:pPr>
              <w:pStyle w:val="6"/>
              <w:spacing w:before="92" w:line="188" w:lineRule="auto"/>
              <w:ind w:left="65"/>
            </w:pPr>
            <w:r>
              <w:rPr>
                <w:spacing w:val="-5"/>
              </w:rPr>
              <w:t>12.72</w:t>
            </w:r>
          </w:p>
        </w:tc>
        <w:tc>
          <w:tcPr>
            <w:tcW w:w="632" w:type="dxa"/>
            <w:vAlign w:val="top"/>
          </w:tcPr>
          <w:p>
            <w:pPr>
              <w:pStyle w:val="6"/>
              <w:spacing w:before="92" w:line="188" w:lineRule="auto"/>
              <w:ind w:left="101"/>
            </w:pPr>
            <w:r>
              <w:rPr>
                <w:spacing w:val="-5"/>
              </w:rPr>
              <w:t>12.81</w:t>
            </w:r>
          </w:p>
        </w:tc>
        <w:tc>
          <w:tcPr>
            <w:tcW w:w="551" w:type="dxa"/>
            <w:vAlign w:val="top"/>
          </w:tcPr>
          <w:p>
            <w:pPr>
              <w:pStyle w:val="6"/>
              <w:spacing w:before="92" w:line="188" w:lineRule="auto"/>
              <w:ind w:left="60"/>
            </w:pPr>
            <w:r>
              <w:rPr>
                <w:spacing w:val="-5"/>
              </w:rPr>
              <w:t>13.08</w:t>
            </w:r>
          </w:p>
        </w:tc>
        <w:tc>
          <w:tcPr>
            <w:tcW w:w="552" w:type="dxa"/>
            <w:vAlign w:val="top"/>
          </w:tcPr>
          <w:p>
            <w:pPr>
              <w:pStyle w:val="6"/>
              <w:spacing w:before="92" w:line="188" w:lineRule="auto"/>
              <w:ind w:left="61"/>
            </w:pPr>
            <w:r>
              <w:rPr>
                <w:spacing w:val="-5"/>
              </w:rPr>
              <w:t>13.35</w:t>
            </w:r>
          </w:p>
        </w:tc>
        <w:tc>
          <w:tcPr>
            <w:tcW w:w="554" w:type="dxa"/>
            <w:vAlign w:val="top"/>
          </w:tcPr>
          <w:p>
            <w:pPr>
              <w:pStyle w:val="6"/>
              <w:spacing w:before="92" w:line="188" w:lineRule="auto"/>
              <w:ind w:left="62"/>
            </w:pPr>
            <w:r>
              <w:rPr>
                <w:spacing w:val="-5"/>
              </w:rPr>
              <w:t>13.42</w:t>
            </w:r>
          </w:p>
        </w:tc>
        <w:tc>
          <w:tcPr>
            <w:tcW w:w="556" w:type="dxa"/>
            <w:vAlign w:val="top"/>
          </w:tcPr>
          <w:p>
            <w:pPr>
              <w:pStyle w:val="6"/>
              <w:spacing w:before="92" w:line="188" w:lineRule="auto"/>
              <w:ind w:left="62"/>
            </w:pPr>
            <w:r>
              <w:rPr>
                <w:spacing w:val="-5"/>
              </w:rPr>
              <w:t>13.37</w:t>
            </w:r>
          </w:p>
        </w:tc>
        <w:tc>
          <w:tcPr>
            <w:tcW w:w="554" w:type="dxa"/>
            <w:vAlign w:val="top"/>
          </w:tcPr>
          <w:p>
            <w:pPr>
              <w:pStyle w:val="6"/>
              <w:spacing w:before="92" w:line="188" w:lineRule="auto"/>
              <w:ind w:left="62"/>
            </w:pPr>
            <w:r>
              <w:rPr>
                <w:spacing w:val="-5"/>
              </w:rPr>
              <w:t>13.37</w:t>
            </w:r>
          </w:p>
        </w:tc>
        <w:tc>
          <w:tcPr>
            <w:tcW w:w="558" w:type="dxa"/>
            <w:vAlign w:val="top"/>
          </w:tcPr>
          <w:p>
            <w:pPr>
              <w:pStyle w:val="6"/>
              <w:spacing w:before="92" w:line="188" w:lineRule="auto"/>
              <w:ind w:left="63"/>
            </w:pPr>
            <w:r>
              <w:rPr>
                <w:spacing w:val="-5"/>
              </w:rPr>
              <w:t>13.39</w:t>
            </w:r>
          </w:p>
        </w:tc>
        <w:tc>
          <w:tcPr>
            <w:tcW w:w="578" w:type="dxa"/>
            <w:vAlign w:val="top"/>
          </w:tcPr>
          <w:p>
            <w:pPr>
              <w:pStyle w:val="6"/>
              <w:spacing w:before="92" w:line="188" w:lineRule="auto"/>
              <w:ind w:left="73"/>
            </w:pPr>
            <w:r>
              <w:rPr>
                <w:spacing w:val="-5"/>
              </w:rPr>
              <w:t>13.50</w:t>
            </w:r>
          </w:p>
        </w:tc>
        <w:tc>
          <w:tcPr>
            <w:tcW w:w="554" w:type="dxa"/>
            <w:vAlign w:val="top"/>
          </w:tcPr>
          <w:p>
            <w:pPr>
              <w:pStyle w:val="6"/>
              <w:spacing w:before="92" w:line="188" w:lineRule="auto"/>
              <w:ind w:left="63"/>
            </w:pPr>
            <w:r>
              <w:rPr>
                <w:spacing w:val="-5"/>
              </w:rPr>
              <w:t>12.94</w:t>
            </w:r>
          </w:p>
        </w:tc>
        <w:tc>
          <w:tcPr>
            <w:tcW w:w="593" w:type="dxa"/>
            <w:tcBorders>
              <w:right w:val="nil"/>
            </w:tcBorders>
            <w:vAlign w:val="top"/>
          </w:tcPr>
          <w:p>
            <w:pPr>
              <w:pStyle w:val="6"/>
              <w:spacing w:before="92" w:line="188" w:lineRule="auto"/>
              <w:ind w:left="85"/>
            </w:pPr>
            <w:r>
              <w:rPr>
                <w:spacing w:val="-5"/>
              </w:rPr>
              <w:t>12.42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7" w:hRule="atLeast"/>
        </w:trPr>
        <w:tc>
          <w:tcPr>
            <w:tcW w:w="1548" w:type="dxa"/>
            <w:tcBorders>
              <w:left w:val="nil"/>
            </w:tcBorders>
            <w:vAlign w:val="top"/>
          </w:tcPr>
          <w:p>
            <w:pPr>
              <w:pStyle w:val="6"/>
              <w:spacing w:before="93" w:line="188" w:lineRule="auto"/>
              <w:ind w:left="681"/>
            </w:pPr>
            <w:r>
              <w:rPr>
                <w:spacing w:val="-5"/>
              </w:rPr>
              <w:t>33</w:t>
            </w:r>
          </w:p>
        </w:tc>
        <w:tc>
          <w:tcPr>
            <w:tcW w:w="552" w:type="dxa"/>
            <w:vAlign w:val="top"/>
          </w:tcPr>
          <w:p>
            <w:pPr>
              <w:pStyle w:val="6"/>
              <w:spacing w:before="93" w:line="188" w:lineRule="auto"/>
              <w:ind w:left="61"/>
            </w:pPr>
            <w:r>
              <w:rPr>
                <w:spacing w:val="-5"/>
              </w:rPr>
              <w:t>12.51</w:t>
            </w:r>
          </w:p>
        </w:tc>
        <w:tc>
          <w:tcPr>
            <w:tcW w:w="558" w:type="dxa"/>
            <w:vAlign w:val="top"/>
          </w:tcPr>
          <w:p>
            <w:pPr>
              <w:pStyle w:val="6"/>
              <w:spacing w:before="93" w:line="188" w:lineRule="auto"/>
              <w:ind w:left="65"/>
            </w:pPr>
            <w:r>
              <w:rPr>
                <w:spacing w:val="-5"/>
              </w:rPr>
              <w:t>12.71</w:t>
            </w:r>
          </w:p>
        </w:tc>
        <w:tc>
          <w:tcPr>
            <w:tcW w:w="632" w:type="dxa"/>
            <w:vAlign w:val="top"/>
          </w:tcPr>
          <w:p>
            <w:pPr>
              <w:pStyle w:val="6"/>
              <w:spacing w:before="93" w:line="188" w:lineRule="auto"/>
              <w:ind w:left="101"/>
            </w:pPr>
            <w:r>
              <w:rPr>
                <w:spacing w:val="-5"/>
              </w:rPr>
              <w:t>12.78</w:t>
            </w:r>
          </w:p>
        </w:tc>
        <w:tc>
          <w:tcPr>
            <w:tcW w:w="551" w:type="dxa"/>
            <w:vAlign w:val="top"/>
          </w:tcPr>
          <w:p>
            <w:pPr>
              <w:pStyle w:val="6"/>
              <w:spacing w:before="93" w:line="188" w:lineRule="auto"/>
              <w:ind w:left="60"/>
            </w:pPr>
            <w:r>
              <w:rPr>
                <w:spacing w:val="-5"/>
              </w:rPr>
              <w:t>13.04</w:t>
            </w:r>
          </w:p>
        </w:tc>
        <w:tc>
          <w:tcPr>
            <w:tcW w:w="552" w:type="dxa"/>
            <w:vAlign w:val="top"/>
          </w:tcPr>
          <w:p>
            <w:pPr>
              <w:pStyle w:val="6"/>
              <w:spacing w:before="93" w:line="188" w:lineRule="auto"/>
              <w:ind w:left="61"/>
            </w:pPr>
            <w:r>
              <w:rPr>
                <w:spacing w:val="-5"/>
              </w:rPr>
              <w:t>13.28</w:t>
            </w:r>
          </w:p>
        </w:tc>
        <w:tc>
          <w:tcPr>
            <w:tcW w:w="554" w:type="dxa"/>
            <w:vAlign w:val="top"/>
          </w:tcPr>
          <w:p>
            <w:pPr>
              <w:pStyle w:val="6"/>
              <w:spacing w:before="93" w:line="188" w:lineRule="auto"/>
              <w:ind w:left="62"/>
            </w:pPr>
            <w:r>
              <w:rPr>
                <w:spacing w:val="-5"/>
              </w:rPr>
              <w:t>13.33</w:t>
            </w:r>
          </w:p>
        </w:tc>
        <w:tc>
          <w:tcPr>
            <w:tcW w:w="556" w:type="dxa"/>
            <w:vAlign w:val="top"/>
          </w:tcPr>
          <w:p>
            <w:pPr>
              <w:pStyle w:val="6"/>
              <w:spacing w:before="93" w:line="188" w:lineRule="auto"/>
              <w:ind w:left="62"/>
            </w:pPr>
            <w:r>
              <w:rPr>
                <w:spacing w:val="-5"/>
              </w:rPr>
              <w:t>13.28</w:t>
            </w:r>
          </w:p>
        </w:tc>
        <w:tc>
          <w:tcPr>
            <w:tcW w:w="554" w:type="dxa"/>
            <w:vAlign w:val="top"/>
          </w:tcPr>
          <w:p>
            <w:pPr>
              <w:pStyle w:val="6"/>
              <w:spacing w:before="93" w:line="188" w:lineRule="auto"/>
              <w:ind w:left="62"/>
            </w:pPr>
            <w:r>
              <w:rPr>
                <w:spacing w:val="-5"/>
              </w:rPr>
              <w:t>13.26</w:t>
            </w:r>
          </w:p>
        </w:tc>
        <w:tc>
          <w:tcPr>
            <w:tcW w:w="558" w:type="dxa"/>
            <w:vAlign w:val="top"/>
          </w:tcPr>
          <w:p>
            <w:pPr>
              <w:pStyle w:val="6"/>
              <w:spacing w:before="93" w:line="188" w:lineRule="auto"/>
              <w:ind w:left="63"/>
            </w:pPr>
            <w:r>
              <w:rPr>
                <w:spacing w:val="-5"/>
              </w:rPr>
              <w:t>13.27</w:t>
            </w:r>
          </w:p>
        </w:tc>
        <w:tc>
          <w:tcPr>
            <w:tcW w:w="578" w:type="dxa"/>
            <w:vAlign w:val="top"/>
          </w:tcPr>
          <w:p>
            <w:pPr>
              <w:pStyle w:val="6"/>
              <w:spacing w:before="93" w:line="188" w:lineRule="auto"/>
              <w:ind w:left="73"/>
            </w:pPr>
            <w:r>
              <w:rPr>
                <w:spacing w:val="-5"/>
              </w:rPr>
              <w:t>13.36</w:t>
            </w:r>
          </w:p>
        </w:tc>
        <w:tc>
          <w:tcPr>
            <w:tcW w:w="554" w:type="dxa"/>
            <w:vAlign w:val="top"/>
          </w:tcPr>
          <w:p>
            <w:pPr>
              <w:pStyle w:val="6"/>
              <w:spacing w:before="93" w:line="188" w:lineRule="auto"/>
              <w:ind w:left="63"/>
            </w:pPr>
            <w:r>
              <w:rPr>
                <w:spacing w:val="-5"/>
              </w:rPr>
              <w:t>12.90</w:t>
            </w:r>
          </w:p>
        </w:tc>
        <w:tc>
          <w:tcPr>
            <w:tcW w:w="593" w:type="dxa"/>
            <w:tcBorders>
              <w:right w:val="nil"/>
            </w:tcBorders>
            <w:vAlign w:val="top"/>
          </w:tcPr>
          <w:p>
            <w:pPr>
              <w:pStyle w:val="6"/>
              <w:spacing w:before="93" w:line="188" w:lineRule="auto"/>
              <w:ind w:left="85"/>
            </w:pPr>
            <w:r>
              <w:rPr>
                <w:spacing w:val="-5"/>
              </w:rPr>
              <w:t>12.46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1548" w:type="dxa"/>
            <w:tcBorders>
              <w:left w:val="nil"/>
            </w:tcBorders>
            <w:vAlign w:val="top"/>
          </w:tcPr>
          <w:p>
            <w:pPr>
              <w:pStyle w:val="6"/>
              <w:spacing w:before="93" w:line="188" w:lineRule="auto"/>
              <w:ind w:left="681"/>
            </w:pPr>
            <w:r>
              <w:rPr>
                <w:spacing w:val="-5"/>
              </w:rPr>
              <w:t>34</w:t>
            </w:r>
          </w:p>
        </w:tc>
        <w:tc>
          <w:tcPr>
            <w:tcW w:w="552" w:type="dxa"/>
            <w:vAlign w:val="top"/>
          </w:tcPr>
          <w:p>
            <w:pPr>
              <w:pStyle w:val="6"/>
              <w:spacing w:before="93" w:line="188" w:lineRule="auto"/>
              <w:ind w:left="61"/>
            </w:pPr>
            <w:r>
              <w:rPr>
                <w:spacing w:val="-5"/>
              </w:rPr>
              <w:t>12.51</w:t>
            </w:r>
          </w:p>
        </w:tc>
        <w:tc>
          <w:tcPr>
            <w:tcW w:w="558" w:type="dxa"/>
            <w:vAlign w:val="top"/>
          </w:tcPr>
          <w:p>
            <w:pPr>
              <w:pStyle w:val="6"/>
              <w:spacing w:before="93" w:line="188" w:lineRule="auto"/>
              <w:ind w:left="65"/>
            </w:pPr>
            <w:r>
              <w:rPr>
                <w:spacing w:val="-5"/>
              </w:rPr>
              <w:t>12.70</w:t>
            </w:r>
          </w:p>
        </w:tc>
        <w:tc>
          <w:tcPr>
            <w:tcW w:w="632" w:type="dxa"/>
            <w:vAlign w:val="top"/>
          </w:tcPr>
          <w:p>
            <w:pPr>
              <w:pStyle w:val="6"/>
              <w:spacing w:before="93" w:line="188" w:lineRule="auto"/>
              <w:ind w:left="101"/>
            </w:pPr>
            <w:r>
              <w:rPr>
                <w:spacing w:val="-5"/>
              </w:rPr>
              <w:t>12.77</w:t>
            </w:r>
          </w:p>
        </w:tc>
        <w:tc>
          <w:tcPr>
            <w:tcW w:w="551" w:type="dxa"/>
            <w:vAlign w:val="top"/>
          </w:tcPr>
          <w:p>
            <w:pPr>
              <w:pStyle w:val="6"/>
              <w:spacing w:before="93" w:line="188" w:lineRule="auto"/>
              <w:ind w:left="60"/>
            </w:pPr>
            <w:r>
              <w:rPr>
                <w:spacing w:val="-5"/>
              </w:rPr>
              <w:t>12.99</w:t>
            </w:r>
          </w:p>
        </w:tc>
        <w:tc>
          <w:tcPr>
            <w:tcW w:w="552" w:type="dxa"/>
            <w:vAlign w:val="top"/>
          </w:tcPr>
          <w:p>
            <w:pPr>
              <w:pStyle w:val="6"/>
              <w:spacing w:before="93" w:line="188" w:lineRule="auto"/>
              <w:ind w:left="61"/>
            </w:pPr>
            <w:r>
              <w:rPr>
                <w:spacing w:val="-5"/>
              </w:rPr>
              <w:t>13.22</w:t>
            </w:r>
          </w:p>
        </w:tc>
        <w:tc>
          <w:tcPr>
            <w:tcW w:w="554" w:type="dxa"/>
            <w:vAlign w:val="top"/>
          </w:tcPr>
          <w:p>
            <w:pPr>
              <w:pStyle w:val="6"/>
              <w:spacing w:before="93" w:line="188" w:lineRule="auto"/>
              <w:ind w:left="62"/>
            </w:pPr>
            <w:r>
              <w:rPr>
                <w:spacing w:val="-5"/>
              </w:rPr>
              <w:t>13.26</w:t>
            </w:r>
          </w:p>
        </w:tc>
        <w:tc>
          <w:tcPr>
            <w:tcW w:w="556" w:type="dxa"/>
            <w:vAlign w:val="top"/>
          </w:tcPr>
          <w:p>
            <w:pPr>
              <w:pStyle w:val="6"/>
              <w:spacing w:before="93" w:line="188" w:lineRule="auto"/>
              <w:ind w:left="62"/>
            </w:pPr>
            <w:r>
              <w:rPr>
                <w:spacing w:val="-5"/>
              </w:rPr>
              <w:t>13.20</w:t>
            </w:r>
          </w:p>
        </w:tc>
        <w:tc>
          <w:tcPr>
            <w:tcW w:w="554" w:type="dxa"/>
            <w:vAlign w:val="top"/>
          </w:tcPr>
          <w:p>
            <w:pPr>
              <w:pStyle w:val="6"/>
              <w:spacing w:before="93" w:line="188" w:lineRule="auto"/>
              <w:ind w:left="62"/>
            </w:pPr>
            <w:r>
              <w:rPr>
                <w:spacing w:val="-5"/>
              </w:rPr>
              <w:t>13.17</w:t>
            </w:r>
          </w:p>
        </w:tc>
        <w:tc>
          <w:tcPr>
            <w:tcW w:w="558" w:type="dxa"/>
            <w:vAlign w:val="top"/>
          </w:tcPr>
          <w:p>
            <w:pPr>
              <w:pStyle w:val="6"/>
              <w:spacing w:before="93" w:line="188" w:lineRule="auto"/>
              <w:ind w:left="63"/>
            </w:pPr>
            <w:r>
              <w:rPr>
                <w:spacing w:val="-5"/>
              </w:rPr>
              <w:t>13.16</w:t>
            </w:r>
          </w:p>
        </w:tc>
        <w:tc>
          <w:tcPr>
            <w:tcW w:w="578" w:type="dxa"/>
            <w:vAlign w:val="top"/>
          </w:tcPr>
          <w:p>
            <w:pPr>
              <w:pStyle w:val="6"/>
              <w:spacing w:before="93" w:line="188" w:lineRule="auto"/>
              <w:ind w:left="73"/>
            </w:pPr>
            <w:r>
              <w:rPr>
                <w:spacing w:val="-5"/>
              </w:rPr>
              <w:t>13.23</w:t>
            </w:r>
          </w:p>
        </w:tc>
        <w:tc>
          <w:tcPr>
            <w:tcW w:w="554" w:type="dxa"/>
            <w:vAlign w:val="top"/>
          </w:tcPr>
          <w:p>
            <w:pPr>
              <w:pStyle w:val="6"/>
              <w:spacing w:before="93" w:line="188" w:lineRule="auto"/>
              <w:ind w:left="63"/>
            </w:pPr>
            <w:r>
              <w:rPr>
                <w:spacing w:val="-5"/>
              </w:rPr>
              <w:t>12.86</w:t>
            </w:r>
          </w:p>
        </w:tc>
        <w:tc>
          <w:tcPr>
            <w:tcW w:w="593" w:type="dxa"/>
            <w:tcBorders>
              <w:right w:val="nil"/>
            </w:tcBorders>
            <w:vAlign w:val="top"/>
          </w:tcPr>
          <w:p>
            <w:pPr>
              <w:pStyle w:val="6"/>
              <w:spacing w:before="93" w:line="188" w:lineRule="auto"/>
              <w:ind w:left="85"/>
            </w:pPr>
            <w:r>
              <w:rPr>
                <w:spacing w:val="-5"/>
              </w:rPr>
              <w:t>12.50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1548" w:type="dxa"/>
            <w:tcBorders>
              <w:left w:val="nil"/>
            </w:tcBorders>
            <w:vAlign w:val="top"/>
          </w:tcPr>
          <w:p>
            <w:pPr>
              <w:pStyle w:val="6"/>
              <w:spacing w:before="92" w:line="188" w:lineRule="auto"/>
              <w:ind w:left="681"/>
            </w:pPr>
            <w:r>
              <w:rPr>
                <w:spacing w:val="-5"/>
              </w:rPr>
              <w:t>35</w:t>
            </w:r>
          </w:p>
        </w:tc>
        <w:tc>
          <w:tcPr>
            <w:tcW w:w="552" w:type="dxa"/>
            <w:vAlign w:val="top"/>
          </w:tcPr>
          <w:p>
            <w:pPr>
              <w:pStyle w:val="6"/>
              <w:spacing w:before="92" w:line="188" w:lineRule="auto"/>
              <w:ind w:left="61"/>
            </w:pPr>
            <w:r>
              <w:rPr>
                <w:spacing w:val="-5"/>
              </w:rPr>
              <w:t>12.52</w:t>
            </w:r>
          </w:p>
        </w:tc>
        <w:tc>
          <w:tcPr>
            <w:tcW w:w="558" w:type="dxa"/>
            <w:vAlign w:val="top"/>
          </w:tcPr>
          <w:p>
            <w:pPr>
              <w:pStyle w:val="6"/>
              <w:spacing w:before="92" w:line="188" w:lineRule="auto"/>
              <w:ind w:left="65"/>
            </w:pPr>
            <w:r>
              <w:rPr>
                <w:spacing w:val="-5"/>
              </w:rPr>
              <w:t>12.70</w:t>
            </w:r>
          </w:p>
        </w:tc>
        <w:tc>
          <w:tcPr>
            <w:tcW w:w="632" w:type="dxa"/>
            <w:vAlign w:val="top"/>
          </w:tcPr>
          <w:p>
            <w:pPr>
              <w:pStyle w:val="6"/>
              <w:spacing w:before="92" w:line="188" w:lineRule="auto"/>
              <w:ind w:left="101"/>
            </w:pPr>
            <w:r>
              <w:rPr>
                <w:spacing w:val="-5"/>
              </w:rPr>
              <w:t>12.75</w:t>
            </w:r>
          </w:p>
        </w:tc>
        <w:tc>
          <w:tcPr>
            <w:tcW w:w="551" w:type="dxa"/>
            <w:vAlign w:val="top"/>
          </w:tcPr>
          <w:p>
            <w:pPr>
              <w:pStyle w:val="6"/>
              <w:spacing w:before="92" w:line="188" w:lineRule="auto"/>
              <w:ind w:left="60"/>
            </w:pPr>
            <w:r>
              <w:rPr>
                <w:spacing w:val="-5"/>
              </w:rPr>
              <w:t>12.96</w:t>
            </w:r>
          </w:p>
        </w:tc>
        <w:tc>
          <w:tcPr>
            <w:tcW w:w="552" w:type="dxa"/>
            <w:vAlign w:val="top"/>
          </w:tcPr>
          <w:p>
            <w:pPr>
              <w:pStyle w:val="6"/>
              <w:spacing w:before="92" w:line="188" w:lineRule="auto"/>
              <w:ind w:left="61"/>
            </w:pPr>
            <w:r>
              <w:rPr>
                <w:spacing w:val="-5"/>
              </w:rPr>
              <w:t>13.16</w:t>
            </w:r>
          </w:p>
        </w:tc>
        <w:tc>
          <w:tcPr>
            <w:tcW w:w="554" w:type="dxa"/>
            <w:vAlign w:val="top"/>
          </w:tcPr>
          <w:p>
            <w:pPr>
              <w:pStyle w:val="6"/>
              <w:spacing w:before="92" w:line="188" w:lineRule="auto"/>
              <w:ind w:left="62"/>
            </w:pPr>
            <w:r>
              <w:rPr>
                <w:spacing w:val="-5"/>
              </w:rPr>
              <w:t>13.19</w:t>
            </w:r>
          </w:p>
        </w:tc>
        <w:tc>
          <w:tcPr>
            <w:tcW w:w="556" w:type="dxa"/>
            <w:vAlign w:val="top"/>
          </w:tcPr>
          <w:p>
            <w:pPr>
              <w:pStyle w:val="6"/>
              <w:spacing w:before="92" w:line="188" w:lineRule="auto"/>
              <w:ind w:left="62"/>
            </w:pPr>
            <w:r>
              <w:rPr>
                <w:spacing w:val="-5"/>
              </w:rPr>
              <w:t>13.13</w:t>
            </w:r>
          </w:p>
        </w:tc>
        <w:tc>
          <w:tcPr>
            <w:tcW w:w="554" w:type="dxa"/>
            <w:vAlign w:val="top"/>
          </w:tcPr>
          <w:p>
            <w:pPr>
              <w:pStyle w:val="6"/>
              <w:spacing w:before="92" w:line="188" w:lineRule="auto"/>
              <w:ind w:left="62"/>
            </w:pPr>
            <w:r>
              <w:rPr>
                <w:spacing w:val="-5"/>
              </w:rPr>
              <w:t>13.09</w:t>
            </w:r>
          </w:p>
        </w:tc>
        <w:tc>
          <w:tcPr>
            <w:tcW w:w="558" w:type="dxa"/>
            <w:vAlign w:val="top"/>
          </w:tcPr>
          <w:p>
            <w:pPr>
              <w:pStyle w:val="6"/>
              <w:spacing w:before="92" w:line="188" w:lineRule="auto"/>
              <w:ind w:left="63"/>
            </w:pPr>
            <w:r>
              <w:rPr>
                <w:spacing w:val="-5"/>
              </w:rPr>
              <w:t>13.07</w:t>
            </w:r>
          </w:p>
        </w:tc>
        <w:tc>
          <w:tcPr>
            <w:tcW w:w="578" w:type="dxa"/>
            <w:vAlign w:val="top"/>
          </w:tcPr>
          <w:p>
            <w:pPr>
              <w:pStyle w:val="6"/>
              <w:spacing w:before="92" w:line="188" w:lineRule="auto"/>
              <w:ind w:left="73"/>
            </w:pPr>
            <w:r>
              <w:rPr>
                <w:spacing w:val="-5"/>
              </w:rPr>
              <w:t>13.12</w:t>
            </w:r>
          </w:p>
        </w:tc>
        <w:tc>
          <w:tcPr>
            <w:tcW w:w="554" w:type="dxa"/>
            <w:vAlign w:val="top"/>
          </w:tcPr>
          <w:p>
            <w:pPr>
              <w:pStyle w:val="6"/>
              <w:spacing w:before="92" w:line="188" w:lineRule="auto"/>
              <w:ind w:left="63"/>
            </w:pPr>
            <w:r>
              <w:rPr>
                <w:spacing w:val="-5"/>
              </w:rPr>
              <w:t>12.83</w:t>
            </w:r>
          </w:p>
        </w:tc>
        <w:tc>
          <w:tcPr>
            <w:tcW w:w="593" w:type="dxa"/>
            <w:tcBorders>
              <w:right w:val="nil"/>
            </w:tcBorders>
            <w:vAlign w:val="top"/>
          </w:tcPr>
          <w:p>
            <w:pPr>
              <w:pStyle w:val="6"/>
              <w:spacing w:before="92" w:line="188" w:lineRule="auto"/>
              <w:ind w:left="85"/>
            </w:pPr>
            <w:r>
              <w:rPr>
                <w:spacing w:val="-5"/>
              </w:rPr>
              <w:t>12.53</w:t>
            </w:r>
          </w:p>
        </w:tc>
      </w:tr>
    </w:tbl>
    <w:p>
      <w:pPr>
        <w:rPr>
          <w:rFonts w:ascii="Arial"/>
          <w:sz w:val="21"/>
        </w:rPr>
      </w:pPr>
    </w:p>
    <w:p>
      <w:pPr>
        <w:rPr>
          <w:rFonts w:ascii="Arial" w:hAnsi="Arial" w:eastAsia="Arial" w:cs="Arial"/>
          <w:sz w:val="21"/>
          <w:szCs w:val="21"/>
        </w:rPr>
        <w:sectPr>
          <w:headerReference r:id="rId368" w:type="default"/>
          <w:footerReference r:id="rId369" w:type="default"/>
          <w:pgSz w:w="11907" w:h="16839"/>
          <w:pgMar w:top="1156" w:right="1768" w:bottom="1374" w:left="1770" w:header="881" w:footer="1210" w:gutter="0"/>
        </w:sectPr>
      </w:pPr>
    </w:p>
    <w:p>
      <w:pPr>
        <w:spacing w:before="80"/>
      </w:pPr>
    </w:p>
    <w:p>
      <w:pPr>
        <w:spacing w:before="80"/>
      </w:pPr>
    </w:p>
    <w:tbl>
      <w:tblPr>
        <w:tblStyle w:val="5"/>
        <w:tblW w:w="10821" w:type="dxa"/>
        <w:tblInd w:w="159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521"/>
        <w:gridCol w:w="571"/>
        <w:gridCol w:w="972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6894" w:hRule="atLeast"/>
        </w:trPr>
        <w:tc>
          <w:tcPr>
            <w:tcW w:w="521" w:type="dxa"/>
            <w:tcBorders>
              <w:top w:val="single" w:color="D9D9D9" w:sz="2" w:space="0"/>
              <w:left w:val="single" w:color="D9D9D9" w:sz="6" w:space="0"/>
            </w:tcBorders>
            <w:textDirection w:val="btLr"/>
            <w:vAlign w:val="top"/>
          </w:tcPr>
          <w:p>
            <w:pPr>
              <w:spacing w:before="286" w:line="226" w:lineRule="auto"/>
              <w:ind w:left="3474"/>
              <w:rPr>
                <w:rFonts w:ascii="等线" w:hAnsi="等线" w:eastAsia="等线" w:cs="等线"/>
                <w:sz w:val="18"/>
                <w:szCs w:val="18"/>
              </w:rPr>
            </w:pPr>
            <w:r>
              <w:rPr>
                <w:rFonts w:ascii="等线" w:hAnsi="等线" w:eastAsia="等线" w:cs="等线"/>
                <w:color w:val="595959"/>
                <w:spacing w:val="-3"/>
                <w:sz w:val="18"/>
                <w:szCs w:val="18"/>
              </w:rPr>
              <w:t>温度℃</w:t>
            </w:r>
          </w:p>
        </w:tc>
        <w:tc>
          <w:tcPr>
            <w:tcW w:w="571" w:type="dxa"/>
            <w:tcBorders>
              <w:top w:val="single" w:color="D9D9D9" w:sz="2" w:space="0"/>
            </w:tcBorders>
            <w:vAlign w:val="top"/>
          </w:tcPr>
          <w:p>
            <w:pPr>
              <w:spacing w:before="149" w:line="185" w:lineRule="auto"/>
              <w:ind w:left="42"/>
              <w:rPr>
                <w:rFonts w:ascii="等线" w:hAnsi="等线" w:eastAsia="等线" w:cs="等线"/>
                <w:sz w:val="18"/>
                <w:szCs w:val="18"/>
              </w:rPr>
            </w:pPr>
            <w:r>
              <w:rPr>
                <w:rFonts w:ascii="等线" w:hAnsi="等线" w:eastAsia="等线" w:cs="等线"/>
                <w:color w:val="595959"/>
                <w:sz w:val="18"/>
                <w:szCs w:val="18"/>
              </w:rPr>
              <w:t>24.00</w:t>
            </w:r>
          </w:p>
          <w:p>
            <w:pPr>
              <w:spacing w:line="295" w:lineRule="auto"/>
              <w:rPr>
                <w:rFonts w:ascii="Arial"/>
                <w:sz w:val="21"/>
              </w:rPr>
            </w:pPr>
          </w:p>
          <w:p>
            <w:pPr>
              <w:spacing w:line="296" w:lineRule="auto"/>
              <w:rPr>
                <w:rFonts w:ascii="Arial"/>
                <w:sz w:val="21"/>
              </w:rPr>
            </w:pPr>
          </w:p>
          <w:p>
            <w:pPr>
              <w:spacing w:before="61" w:line="185" w:lineRule="auto"/>
              <w:ind w:left="42"/>
              <w:rPr>
                <w:rFonts w:ascii="等线" w:hAnsi="等线" w:eastAsia="等线" w:cs="等线"/>
                <w:sz w:val="18"/>
                <w:szCs w:val="18"/>
              </w:rPr>
            </w:pPr>
            <w:r>
              <w:rPr>
                <w:rFonts w:ascii="等线" w:hAnsi="等线" w:eastAsia="等线" w:cs="等线"/>
                <w:color w:val="595959"/>
                <w:sz w:val="18"/>
                <w:szCs w:val="18"/>
              </w:rPr>
              <w:t>22.00</w:t>
            </w:r>
          </w:p>
          <w:p>
            <w:pPr>
              <w:spacing w:line="295" w:lineRule="auto"/>
              <w:rPr>
                <w:rFonts w:ascii="Arial"/>
                <w:sz w:val="21"/>
              </w:rPr>
            </w:pPr>
          </w:p>
          <w:p>
            <w:pPr>
              <w:spacing w:line="296" w:lineRule="auto"/>
              <w:rPr>
                <w:rFonts w:ascii="Arial"/>
                <w:sz w:val="21"/>
              </w:rPr>
            </w:pPr>
          </w:p>
          <w:p>
            <w:pPr>
              <w:spacing w:before="61" w:line="185" w:lineRule="auto"/>
              <w:ind w:left="42"/>
              <w:rPr>
                <w:rFonts w:ascii="等线" w:hAnsi="等线" w:eastAsia="等线" w:cs="等线"/>
                <w:sz w:val="18"/>
                <w:szCs w:val="18"/>
              </w:rPr>
            </w:pPr>
            <w:r>
              <w:rPr>
                <w:rFonts w:ascii="等线" w:hAnsi="等线" w:eastAsia="等线" w:cs="等线"/>
                <w:color w:val="595959"/>
                <w:sz w:val="18"/>
                <w:szCs w:val="18"/>
              </w:rPr>
              <w:t>20.00</w:t>
            </w:r>
          </w:p>
          <w:p>
            <w:pPr>
              <w:spacing w:line="295" w:lineRule="auto"/>
              <w:rPr>
                <w:rFonts w:ascii="Arial"/>
                <w:sz w:val="21"/>
              </w:rPr>
            </w:pPr>
          </w:p>
          <w:p>
            <w:pPr>
              <w:spacing w:line="296" w:lineRule="auto"/>
              <w:rPr>
                <w:rFonts w:ascii="Arial"/>
                <w:sz w:val="21"/>
              </w:rPr>
            </w:pPr>
          </w:p>
          <w:p>
            <w:pPr>
              <w:spacing w:before="61" w:line="185" w:lineRule="auto"/>
              <w:ind w:left="46"/>
              <w:rPr>
                <w:rFonts w:ascii="等线" w:hAnsi="等线" w:eastAsia="等线" w:cs="等线"/>
                <w:sz w:val="18"/>
                <w:szCs w:val="18"/>
              </w:rPr>
            </w:pPr>
            <w:r>
              <w:rPr>
                <w:rFonts w:ascii="等线" w:hAnsi="等线" w:eastAsia="等线" w:cs="等线"/>
                <w:color w:val="595959"/>
                <w:sz w:val="18"/>
                <w:szCs w:val="18"/>
              </w:rPr>
              <w:t>18.00</w:t>
            </w:r>
          </w:p>
          <w:p>
            <w:pPr>
              <w:spacing w:line="295" w:lineRule="auto"/>
              <w:rPr>
                <w:rFonts w:ascii="Arial"/>
                <w:sz w:val="21"/>
              </w:rPr>
            </w:pPr>
          </w:p>
          <w:p>
            <w:pPr>
              <w:spacing w:line="296" w:lineRule="auto"/>
              <w:rPr>
                <w:rFonts w:ascii="Arial"/>
                <w:sz w:val="21"/>
              </w:rPr>
            </w:pPr>
          </w:p>
          <w:p>
            <w:pPr>
              <w:spacing w:before="61" w:line="185" w:lineRule="auto"/>
              <w:ind w:left="46"/>
              <w:rPr>
                <w:rFonts w:ascii="等线" w:hAnsi="等线" w:eastAsia="等线" w:cs="等线"/>
                <w:sz w:val="18"/>
                <w:szCs w:val="18"/>
              </w:rPr>
            </w:pPr>
            <w:r>
              <w:rPr>
                <w:rFonts w:ascii="等线" w:hAnsi="等线" w:eastAsia="等线" w:cs="等线"/>
                <w:color w:val="595959"/>
                <w:sz w:val="18"/>
                <w:szCs w:val="18"/>
              </w:rPr>
              <w:t>16.00</w:t>
            </w:r>
          </w:p>
          <w:p>
            <w:pPr>
              <w:spacing w:line="295" w:lineRule="auto"/>
              <w:rPr>
                <w:rFonts w:ascii="Arial"/>
                <w:sz w:val="21"/>
              </w:rPr>
            </w:pPr>
          </w:p>
          <w:p>
            <w:pPr>
              <w:spacing w:line="296" w:lineRule="auto"/>
              <w:rPr>
                <w:rFonts w:ascii="Arial"/>
                <w:sz w:val="21"/>
              </w:rPr>
            </w:pPr>
          </w:p>
          <w:p>
            <w:pPr>
              <w:spacing w:before="61" w:line="185" w:lineRule="auto"/>
              <w:ind w:left="46"/>
              <w:rPr>
                <w:rFonts w:ascii="等线" w:hAnsi="等线" w:eastAsia="等线" w:cs="等线"/>
                <w:sz w:val="18"/>
                <w:szCs w:val="18"/>
              </w:rPr>
            </w:pPr>
            <w:r>
              <w:rPr>
                <w:rFonts w:ascii="等线" w:hAnsi="等线" w:eastAsia="等线" w:cs="等线"/>
                <w:color w:val="595959"/>
                <w:sz w:val="18"/>
                <w:szCs w:val="18"/>
              </w:rPr>
              <w:t>14.00</w:t>
            </w:r>
          </w:p>
          <w:p>
            <w:pPr>
              <w:spacing w:line="295" w:lineRule="auto"/>
              <w:rPr>
                <w:rFonts w:ascii="Arial"/>
                <w:sz w:val="21"/>
              </w:rPr>
            </w:pPr>
          </w:p>
          <w:p>
            <w:pPr>
              <w:spacing w:line="296" w:lineRule="auto"/>
              <w:rPr>
                <w:rFonts w:ascii="Arial"/>
                <w:sz w:val="21"/>
              </w:rPr>
            </w:pPr>
          </w:p>
          <w:p>
            <w:pPr>
              <w:spacing w:before="61" w:line="185" w:lineRule="auto"/>
              <w:ind w:left="46"/>
              <w:rPr>
                <w:rFonts w:ascii="等线" w:hAnsi="等线" w:eastAsia="等线" w:cs="等线"/>
                <w:sz w:val="18"/>
                <w:szCs w:val="18"/>
              </w:rPr>
            </w:pPr>
            <w:r>
              <w:rPr>
                <w:rFonts w:ascii="等线" w:hAnsi="等线" w:eastAsia="等线" w:cs="等线"/>
                <w:color w:val="595959"/>
                <w:sz w:val="18"/>
                <w:szCs w:val="18"/>
              </w:rPr>
              <w:t>12.00</w:t>
            </w:r>
          </w:p>
          <w:p>
            <w:pPr>
              <w:spacing w:line="295" w:lineRule="auto"/>
              <w:rPr>
                <w:rFonts w:ascii="Arial"/>
                <w:sz w:val="21"/>
              </w:rPr>
            </w:pPr>
          </w:p>
          <w:p>
            <w:pPr>
              <w:spacing w:line="296" w:lineRule="auto"/>
              <w:rPr>
                <w:rFonts w:ascii="Arial"/>
                <w:sz w:val="21"/>
              </w:rPr>
            </w:pPr>
          </w:p>
          <w:p>
            <w:pPr>
              <w:spacing w:before="61" w:line="185" w:lineRule="auto"/>
              <w:ind w:left="46"/>
              <w:rPr>
                <w:rFonts w:ascii="等线" w:hAnsi="等线" w:eastAsia="等线" w:cs="等线"/>
                <w:sz w:val="18"/>
                <w:szCs w:val="18"/>
              </w:rPr>
            </w:pPr>
            <w:r>
              <w:rPr>
                <w:rFonts w:ascii="等线" w:hAnsi="等线" w:eastAsia="等线" w:cs="等线"/>
                <w:color w:val="595959"/>
                <w:sz w:val="18"/>
                <w:szCs w:val="18"/>
              </w:rPr>
              <w:t>10.00</w:t>
            </w:r>
          </w:p>
        </w:tc>
        <w:tc>
          <w:tcPr>
            <w:tcW w:w="9729" w:type="dxa"/>
            <w:tcBorders>
              <w:top w:val="single" w:color="D9D9D9" w:sz="2" w:space="0"/>
              <w:right w:val="single" w:color="D9D9D9" w:sz="6" w:space="0"/>
            </w:tcBorders>
            <w:vAlign w:val="top"/>
          </w:tcPr>
          <w:p>
            <w:pPr>
              <w:spacing w:before="216" w:line="5914" w:lineRule="exact"/>
              <w:ind w:firstLine="96"/>
            </w:pPr>
            <w:r>
              <w:rPr>
                <w:position w:val="-118"/>
              </w:rPr>
              <w:drawing>
                <wp:inline distT="0" distB="0" distL="0" distR="0">
                  <wp:extent cx="5977255" cy="375475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03"/>
                          <a:stretch>
                            <a:fillRect/>
                          </a:stretch>
                        </pic:blipFill>
                        <pic:spPr>
                          <a:xfrm>
                            <a:off x="0" y="0"/>
                            <a:ext cx="5977763" cy="3755072"/>
                          </a:xfrm>
                          <a:prstGeom prst="rect">
                            <a:avLst/>
                          </a:prstGeom>
                        </pic:spPr>
                      </pic:pic>
                    </a:graphicData>
                  </a:graphic>
                </wp:inline>
              </w:drawing>
            </w:r>
          </w:p>
          <w:p>
            <w:pPr>
              <w:spacing w:before="146" w:line="185" w:lineRule="auto"/>
              <w:ind w:left="195"/>
              <w:rPr>
                <w:rFonts w:ascii="等线" w:hAnsi="等线" w:eastAsia="等线" w:cs="等线"/>
                <w:sz w:val="18"/>
                <w:szCs w:val="18"/>
              </w:rPr>
            </w:pPr>
            <w:r>
              <w:rPr>
                <w:rFonts w:ascii="等线" w:hAnsi="等线" w:eastAsia="等线" w:cs="等线"/>
                <w:color w:val="595959"/>
                <w:spacing w:val="-4"/>
                <w:sz w:val="18"/>
                <w:szCs w:val="18"/>
              </w:rPr>
              <w:t>1</w:t>
            </w:r>
            <w:r>
              <w:rPr>
                <w:rFonts w:ascii="等线" w:hAnsi="等线" w:eastAsia="等线" w:cs="等线"/>
                <w:color w:val="595959"/>
                <w:spacing w:val="12"/>
                <w:sz w:val="18"/>
                <w:szCs w:val="18"/>
              </w:rPr>
              <w:t xml:space="preserve">   </w:t>
            </w:r>
            <w:r>
              <w:rPr>
                <w:rFonts w:ascii="等线" w:hAnsi="等线" w:eastAsia="等线" w:cs="等线"/>
                <w:color w:val="595959"/>
                <w:spacing w:val="-4"/>
                <w:sz w:val="18"/>
                <w:szCs w:val="18"/>
              </w:rPr>
              <w:t>2</w:t>
            </w:r>
            <w:r>
              <w:rPr>
                <w:rFonts w:ascii="等线" w:hAnsi="等线" w:eastAsia="等线" w:cs="等线"/>
                <w:color w:val="595959"/>
                <w:spacing w:val="11"/>
                <w:sz w:val="18"/>
                <w:szCs w:val="18"/>
              </w:rPr>
              <w:t xml:space="preserve">   </w:t>
            </w:r>
            <w:r>
              <w:rPr>
                <w:rFonts w:ascii="等线" w:hAnsi="等线" w:eastAsia="等线" w:cs="等线"/>
                <w:color w:val="595959"/>
                <w:spacing w:val="-4"/>
                <w:sz w:val="18"/>
                <w:szCs w:val="18"/>
              </w:rPr>
              <w:t>3</w:t>
            </w:r>
            <w:r>
              <w:rPr>
                <w:rFonts w:ascii="等线" w:hAnsi="等线" w:eastAsia="等线" w:cs="等线"/>
                <w:color w:val="595959"/>
                <w:spacing w:val="10"/>
                <w:sz w:val="18"/>
                <w:szCs w:val="18"/>
              </w:rPr>
              <w:t xml:space="preserve">   </w:t>
            </w:r>
            <w:r>
              <w:rPr>
                <w:rFonts w:ascii="等线" w:hAnsi="等线" w:eastAsia="等线" w:cs="等线"/>
                <w:color w:val="595959"/>
                <w:spacing w:val="-4"/>
                <w:sz w:val="18"/>
                <w:szCs w:val="18"/>
              </w:rPr>
              <w:t>4</w:t>
            </w:r>
            <w:r>
              <w:rPr>
                <w:rFonts w:ascii="等线" w:hAnsi="等线" w:eastAsia="等线" w:cs="等线"/>
                <w:color w:val="595959"/>
                <w:spacing w:val="12"/>
                <w:w w:val="101"/>
                <w:sz w:val="18"/>
                <w:szCs w:val="18"/>
              </w:rPr>
              <w:t xml:space="preserve">   </w:t>
            </w:r>
            <w:r>
              <w:rPr>
                <w:rFonts w:ascii="等线" w:hAnsi="等线" w:eastAsia="等线" w:cs="等线"/>
                <w:color w:val="595959"/>
                <w:spacing w:val="-4"/>
                <w:sz w:val="18"/>
                <w:szCs w:val="18"/>
              </w:rPr>
              <w:t>5</w:t>
            </w:r>
            <w:r>
              <w:rPr>
                <w:rFonts w:ascii="等线" w:hAnsi="等线" w:eastAsia="等线" w:cs="等线"/>
                <w:color w:val="595959"/>
                <w:spacing w:val="12"/>
                <w:sz w:val="18"/>
                <w:szCs w:val="18"/>
              </w:rPr>
              <w:t xml:space="preserve">   </w:t>
            </w:r>
            <w:r>
              <w:rPr>
                <w:rFonts w:ascii="等线" w:hAnsi="等线" w:eastAsia="等线" w:cs="等线"/>
                <w:color w:val="595959"/>
                <w:spacing w:val="-4"/>
                <w:sz w:val="18"/>
                <w:szCs w:val="18"/>
              </w:rPr>
              <w:t>6</w:t>
            </w:r>
            <w:r>
              <w:rPr>
                <w:rFonts w:ascii="等线" w:hAnsi="等线" w:eastAsia="等线" w:cs="等线"/>
                <w:color w:val="595959"/>
                <w:spacing w:val="12"/>
                <w:sz w:val="18"/>
                <w:szCs w:val="18"/>
              </w:rPr>
              <w:t xml:space="preserve">   </w:t>
            </w:r>
            <w:r>
              <w:rPr>
                <w:rFonts w:ascii="等线" w:hAnsi="等线" w:eastAsia="等线" w:cs="等线"/>
                <w:color w:val="595959"/>
                <w:spacing w:val="-4"/>
                <w:sz w:val="18"/>
                <w:szCs w:val="18"/>
              </w:rPr>
              <w:t>7</w:t>
            </w:r>
            <w:r>
              <w:rPr>
                <w:rFonts w:ascii="等线" w:hAnsi="等线" w:eastAsia="等线" w:cs="等线"/>
                <w:color w:val="595959"/>
                <w:spacing w:val="11"/>
                <w:sz w:val="18"/>
                <w:szCs w:val="18"/>
              </w:rPr>
              <w:t xml:space="preserve">   </w:t>
            </w:r>
            <w:r>
              <w:rPr>
                <w:rFonts w:ascii="等线" w:hAnsi="等线" w:eastAsia="等线" w:cs="等线"/>
                <w:color w:val="595959"/>
                <w:spacing w:val="-4"/>
                <w:sz w:val="18"/>
                <w:szCs w:val="18"/>
              </w:rPr>
              <w:t>8</w:t>
            </w:r>
            <w:r>
              <w:rPr>
                <w:rFonts w:ascii="等线" w:hAnsi="等线" w:eastAsia="等线" w:cs="等线"/>
                <w:color w:val="595959"/>
                <w:spacing w:val="12"/>
                <w:w w:val="101"/>
                <w:sz w:val="18"/>
                <w:szCs w:val="18"/>
              </w:rPr>
              <w:t xml:space="preserve">   </w:t>
            </w:r>
            <w:r>
              <w:rPr>
                <w:rFonts w:ascii="等线" w:hAnsi="等线" w:eastAsia="等线" w:cs="等线"/>
                <w:color w:val="595959"/>
                <w:spacing w:val="-4"/>
                <w:sz w:val="18"/>
                <w:szCs w:val="18"/>
              </w:rPr>
              <w:t>9</w:t>
            </w:r>
            <w:r>
              <w:rPr>
                <w:rFonts w:ascii="等线" w:hAnsi="等线" w:eastAsia="等线" w:cs="等线"/>
                <w:color w:val="595959"/>
                <w:spacing w:val="20"/>
                <w:sz w:val="18"/>
                <w:szCs w:val="18"/>
              </w:rPr>
              <w:t xml:space="preserve">  </w:t>
            </w:r>
            <w:r>
              <w:rPr>
                <w:rFonts w:ascii="等线" w:hAnsi="等线" w:eastAsia="等线" w:cs="等线"/>
                <w:color w:val="595959"/>
                <w:spacing w:val="-4"/>
                <w:sz w:val="18"/>
                <w:szCs w:val="18"/>
              </w:rPr>
              <w:t>10</w:t>
            </w:r>
            <w:r>
              <w:rPr>
                <w:rFonts w:ascii="等线" w:hAnsi="等线" w:eastAsia="等线" w:cs="等线"/>
                <w:color w:val="595959"/>
                <w:spacing w:val="40"/>
                <w:w w:val="101"/>
                <w:sz w:val="18"/>
                <w:szCs w:val="18"/>
              </w:rPr>
              <w:t xml:space="preserve"> </w:t>
            </w:r>
            <w:r>
              <w:rPr>
                <w:rFonts w:ascii="等线" w:hAnsi="等线" w:eastAsia="等线" w:cs="等线"/>
                <w:color w:val="595959"/>
                <w:spacing w:val="-4"/>
                <w:sz w:val="18"/>
                <w:szCs w:val="18"/>
              </w:rPr>
              <w:t>11</w:t>
            </w:r>
            <w:r>
              <w:rPr>
                <w:rFonts w:ascii="等线" w:hAnsi="等线" w:eastAsia="等线" w:cs="等线"/>
                <w:color w:val="595959"/>
                <w:spacing w:val="39"/>
                <w:w w:val="101"/>
                <w:sz w:val="18"/>
                <w:szCs w:val="18"/>
              </w:rPr>
              <w:t xml:space="preserve"> </w:t>
            </w:r>
            <w:r>
              <w:rPr>
                <w:rFonts w:ascii="等线" w:hAnsi="等线" w:eastAsia="等线" w:cs="等线"/>
                <w:color w:val="595959"/>
                <w:spacing w:val="-4"/>
                <w:sz w:val="18"/>
                <w:szCs w:val="18"/>
              </w:rPr>
              <w:t>12</w:t>
            </w:r>
            <w:r>
              <w:rPr>
                <w:rFonts w:ascii="等线" w:hAnsi="等线" w:eastAsia="等线" w:cs="等线"/>
                <w:color w:val="595959"/>
                <w:spacing w:val="40"/>
                <w:w w:val="101"/>
                <w:sz w:val="18"/>
                <w:szCs w:val="18"/>
              </w:rPr>
              <w:t xml:space="preserve"> </w:t>
            </w:r>
            <w:r>
              <w:rPr>
                <w:rFonts w:ascii="等线" w:hAnsi="等线" w:eastAsia="等线" w:cs="等线"/>
                <w:color w:val="595959"/>
                <w:spacing w:val="-4"/>
                <w:sz w:val="18"/>
                <w:szCs w:val="18"/>
              </w:rPr>
              <w:t>13</w:t>
            </w:r>
            <w:r>
              <w:rPr>
                <w:rFonts w:ascii="等线" w:hAnsi="等线" w:eastAsia="等线" w:cs="等线"/>
                <w:color w:val="595959"/>
                <w:spacing w:val="40"/>
                <w:sz w:val="18"/>
                <w:szCs w:val="18"/>
              </w:rPr>
              <w:t xml:space="preserve"> </w:t>
            </w:r>
            <w:r>
              <w:rPr>
                <w:rFonts w:ascii="等线" w:hAnsi="等线" w:eastAsia="等线" w:cs="等线"/>
                <w:color w:val="595959"/>
                <w:spacing w:val="-4"/>
                <w:sz w:val="18"/>
                <w:szCs w:val="18"/>
              </w:rPr>
              <w:t>14</w:t>
            </w:r>
            <w:r>
              <w:rPr>
                <w:rFonts w:ascii="等线" w:hAnsi="等线" w:eastAsia="等线" w:cs="等线"/>
                <w:color w:val="595959"/>
                <w:spacing w:val="40"/>
                <w:sz w:val="18"/>
                <w:szCs w:val="18"/>
              </w:rPr>
              <w:t xml:space="preserve"> </w:t>
            </w:r>
            <w:r>
              <w:rPr>
                <w:rFonts w:ascii="等线" w:hAnsi="等线" w:eastAsia="等线" w:cs="等线"/>
                <w:color w:val="595959"/>
                <w:spacing w:val="-4"/>
                <w:sz w:val="18"/>
                <w:szCs w:val="18"/>
              </w:rPr>
              <w:t>15</w:t>
            </w:r>
            <w:r>
              <w:rPr>
                <w:rFonts w:ascii="等线" w:hAnsi="等线" w:eastAsia="等线" w:cs="等线"/>
                <w:color w:val="595959"/>
                <w:spacing w:val="40"/>
                <w:sz w:val="18"/>
                <w:szCs w:val="18"/>
              </w:rPr>
              <w:t xml:space="preserve"> </w:t>
            </w:r>
            <w:r>
              <w:rPr>
                <w:rFonts w:ascii="等线" w:hAnsi="等线" w:eastAsia="等线" w:cs="等线"/>
                <w:color w:val="595959"/>
                <w:spacing w:val="-4"/>
                <w:sz w:val="18"/>
                <w:szCs w:val="18"/>
              </w:rPr>
              <w:t>16</w:t>
            </w:r>
            <w:r>
              <w:rPr>
                <w:rFonts w:ascii="等线" w:hAnsi="等线" w:eastAsia="等线" w:cs="等线"/>
                <w:color w:val="595959"/>
                <w:spacing w:val="40"/>
                <w:w w:val="101"/>
                <w:sz w:val="18"/>
                <w:szCs w:val="18"/>
              </w:rPr>
              <w:t xml:space="preserve"> </w:t>
            </w:r>
            <w:r>
              <w:rPr>
                <w:rFonts w:ascii="等线" w:hAnsi="等线" w:eastAsia="等线" w:cs="等线"/>
                <w:color w:val="595959"/>
                <w:spacing w:val="-4"/>
                <w:sz w:val="18"/>
                <w:szCs w:val="18"/>
              </w:rPr>
              <w:t>17</w:t>
            </w:r>
            <w:r>
              <w:rPr>
                <w:rFonts w:ascii="等线" w:hAnsi="等线" w:eastAsia="等线" w:cs="等线"/>
                <w:color w:val="595959"/>
                <w:spacing w:val="40"/>
                <w:sz w:val="18"/>
                <w:szCs w:val="18"/>
              </w:rPr>
              <w:t xml:space="preserve"> </w:t>
            </w:r>
            <w:r>
              <w:rPr>
                <w:rFonts w:ascii="等线" w:hAnsi="等线" w:eastAsia="等线" w:cs="等线"/>
                <w:color w:val="595959"/>
                <w:spacing w:val="-4"/>
                <w:sz w:val="18"/>
                <w:szCs w:val="18"/>
              </w:rPr>
              <w:t>18</w:t>
            </w:r>
            <w:r>
              <w:rPr>
                <w:rFonts w:ascii="等线" w:hAnsi="等线" w:eastAsia="等线" w:cs="等线"/>
                <w:color w:val="595959"/>
                <w:spacing w:val="40"/>
                <w:sz w:val="18"/>
                <w:szCs w:val="18"/>
              </w:rPr>
              <w:t xml:space="preserve"> </w:t>
            </w:r>
            <w:r>
              <w:rPr>
                <w:rFonts w:ascii="等线" w:hAnsi="等线" w:eastAsia="等线" w:cs="等线"/>
                <w:color w:val="595959"/>
                <w:spacing w:val="-4"/>
                <w:sz w:val="18"/>
                <w:szCs w:val="18"/>
              </w:rPr>
              <w:t>19</w:t>
            </w:r>
            <w:r>
              <w:rPr>
                <w:rFonts w:ascii="等线" w:hAnsi="等线" w:eastAsia="等线" w:cs="等线"/>
                <w:color w:val="595959"/>
                <w:spacing w:val="36"/>
                <w:sz w:val="18"/>
                <w:szCs w:val="18"/>
              </w:rPr>
              <w:t xml:space="preserve"> </w:t>
            </w:r>
            <w:r>
              <w:rPr>
                <w:rFonts w:ascii="等线" w:hAnsi="等线" w:eastAsia="等线" w:cs="等线"/>
                <w:color w:val="595959"/>
                <w:spacing w:val="-4"/>
                <w:sz w:val="18"/>
                <w:szCs w:val="18"/>
              </w:rPr>
              <w:t>20</w:t>
            </w:r>
            <w:r>
              <w:rPr>
                <w:rFonts w:ascii="等线" w:hAnsi="等线" w:eastAsia="等线" w:cs="等线"/>
                <w:color w:val="595959"/>
                <w:spacing w:val="36"/>
                <w:sz w:val="18"/>
                <w:szCs w:val="18"/>
              </w:rPr>
              <w:t xml:space="preserve"> </w:t>
            </w:r>
            <w:r>
              <w:rPr>
                <w:rFonts w:ascii="等线" w:hAnsi="等线" w:eastAsia="等线" w:cs="等线"/>
                <w:color w:val="595959"/>
                <w:spacing w:val="-4"/>
                <w:sz w:val="18"/>
                <w:szCs w:val="18"/>
              </w:rPr>
              <w:t>21</w:t>
            </w:r>
            <w:r>
              <w:rPr>
                <w:rFonts w:ascii="等线" w:hAnsi="等线" w:eastAsia="等线" w:cs="等线"/>
                <w:color w:val="595959"/>
                <w:spacing w:val="36"/>
                <w:w w:val="101"/>
                <w:sz w:val="18"/>
                <w:szCs w:val="18"/>
              </w:rPr>
              <w:t xml:space="preserve"> </w:t>
            </w:r>
            <w:r>
              <w:rPr>
                <w:rFonts w:ascii="等线" w:hAnsi="等线" w:eastAsia="等线" w:cs="等线"/>
                <w:color w:val="595959"/>
                <w:spacing w:val="-4"/>
                <w:sz w:val="18"/>
                <w:szCs w:val="18"/>
              </w:rPr>
              <w:t>22</w:t>
            </w:r>
            <w:r>
              <w:rPr>
                <w:rFonts w:ascii="等线" w:hAnsi="等线" w:eastAsia="等线" w:cs="等线"/>
                <w:color w:val="595959"/>
                <w:spacing w:val="36"/>
                <w:sz w:val="18"/>
                <w:szCs w:val="18"/>
              </w:rPr>
              <w:t xml:space="preserve"> </w:t>
            </w:r>
            <w:r>
              <w:rPr>
                <w:rFonts w:ascii="等线" w:hAnsi="等线" w:eastAsia="等线" w:cs="等线"/>
                <w:color w:val="595959"/>
                <w:spacing w:val="-4"/>
                <w:sz w:val="18"/>
                <w:szCs w:val="18"/>
              </w:rPr>
              <w:t>23</w:t>
            </w:r>
            <w:r>
              <w:rPr>
                <w:rFonts w:ascii="等线" w:hAnsi="等线" w:eastAsia="等线" w:cs="等线"/>
                <w:color w:val="595959"/>
                <w:spacing w:val="36"/>
                <w:w w:val="101"/>
                <w:sz w:val="18"/>
                <w:szCs w:val="18"/>
              </w:rPr>
              <w:t xml:space="preserve"> </w:t>
            </w:r>
            <w:r>
              <w:rPr>
                <w:rFonts w:ascii="等线" w:hAnsi="等线" w:eastAsia="等线" w:cs="等线"/>
                <w:color w:val="595959"/>
                <w:spacing w:val="-5"/>
                <w:sz w:val="18"/>
                <w:szCs w:val="18"/>
              </w:rPr>
              <w:t>24</w:t>
            </w:r>
            <w:r>
              <w:rPr>
                <w:rFonts w:ascii="等线" w:hAnsi="等线" w:eastAsia="等线" w:cs="等线"/>
                <w:color w:val="595959"/>
                <w:spacing w:val="35"/>
                <w:w w:val="101"/>
                <w:sz w:val="18"/>
                <w:szCs w:val="18"/>
              </w:rPr>
              <w:t xml:space="preserve"> </w:t>
            </w:r>
            <w:r>
              <w:rPr>
                <w:rFonts w:ascii="等线" w:hAnsi="等线" w:eastAsia="等线" w:cs="等线"/>
                <w:color w:val="595959"/>
                <w:spacing w:val="-5"/>
                <w:sz w:val="18"/>
                <w:szCs w:val="18"/>
              </w:rPr>
              <w:t>25</w:t>
            </w:r>
            <w:r>
              <w:rPr>
                <w:rFonts w:ascii="等线" w:hAnsi="等线" w:eastAsia="等线" w:cs="等线"/>
                <w:color w:val="595959"/>
                <w:spacing w:val="36"/>
                <w:w w:val="101"/>
                <w:sz w:val="18"/>
                <w:szCs w:val="18"/>
              </w:rPr>
              <w:t xml:space="preserve"> </w:t>
            </w:r>
            <w:r>
              <w:rPr>
                <w:rFonts w:ascii="等线" w:hAnsi="等线" w:eastAsia="等线" w:cs="等线"/>
                <w:color w:val="595959"/>
                <w:spacing w:val="-5"/>
                <w:sz w:val="18"/>
                <w:szCs w:val="18"/>
              </w:rPr>
              <w:t>26</w:t>
            </w:r>
            <w:r>
              <w:rPr>
                <w:rFonts w:ascii="等线" w:hAnsi="等线" w:eastAsia="等线" w:cs="等线"/>
                <w:color w:val="595959"/>
                <w:spacing w:val="36"/>
                <w:sz w:val="18"/>
                <w:szCs w:val="18"/>
              </w:rPr>
              <w:t xml:space="preserve"> </w:t>
            </w:r>
            <w:r>
              <w:rPr>
                <w:rFonts w:ascii="等线" w:hAnsi="等线" w:eastAsia="等线" w:cs="等线"/>
                <w:color w:val="595959"/>
                <w:spacing w:val="-5"/>
                <w:sz w:val="18"/>
                <w:szCs w:val="18"/>
              </w:rPr>
              <w:t>27</w:t>
            </w:r>
            <w:r>
              <w:rPr>
                <w:rFonts w:ascii="等线" w:hAnsi="等线" w:eastAsia="等线" w:cs="等线"/>
                <w:color w:val="595959"/>
                <w:spacing w:val="36"/>
                <w:w w:val="101"/>
                <w:sz w:val="18"/>
                <w:szCs w:val="18"/>
              </w:rPr>
              <w:t xml:space="preserve"> </w:t>
            </w:r>
            <w:r>
              <w:rPr>
                <w:rFonts w:ascii="等线" w:hAnsi="等线" w:eastAsia="等线" w:cs="等线"/>
                <w:color w:val="595959"/>
                <w:spacing w:val="-5"/>
                <w:sz w:val="18"/>
                <w:szCs w:val="18"/>
              </w:rPr>
              <w:t>28</w:t>
            </w:r>
            <w:r>
              <w:rPr>
                <w:rFonts w:ascii="等线" w:hAnsi="等线" w:eastAsia="等线" w:cs="等线"/>
                <w:color w:val="595959"/>
                <w:spacing w:val="36"/>
                <w:sz w:val="18"/>
                <w:szCs w:val="18"/>
              </w:rPr>
              <w:t xml:space="preserve"> </w:t>
            </w:r>
            <w:r>
              <w:rPr>
                <w:rFonts w:ascii="等线" w:hAnsi="等线" w:eastAsia="等线" w:cs="等线"/>
                <w:color w:val="595959"/>
                <w:spacing w:val="-5"/>
                <w:sz w:val="18"/>
                <w:szCs w:val="18"/>
              </w:rPr>
              <w:t>29</w:t>
            </w:r>
            <w:r>
              <w:rPr>
                <w:rFonts w:ascii="等线" w:hAnsi="等线" w:eastAsia="等线" w:cs="等线"/>
                <w:color w:val="595959"/>
                <w:spacing w:val="34"/>
                <w:sz w:val="18"/>
                <w:szCs w:val="18"/>
              </w:rPr>
              <w:t xml:space="preserve"> </w:t>
            </w:r>
            <w:r>
              <w:rPr>
                <w:rFonts w:ascii="等线" w:hAnsi="等线" w:eastAsia="等线" w:cs="等线"/>
                <w:color w:val="595959"/>
                <w:spacing w:val="-5"/>
                <w:sz w:val="18"/>
                <w:szCs w:val="18"/>
              </w:rPr>
              <w:t>30</w:t>
            </w:r>
            <w:r>
              <w:rPr>
                <w:rFonts w:ascii="等线" w:hAnsi="等线" w:eastAsia="等线" w:cs="等线"/>
                <w:color w:val="595959"/>
                <w:spacing w:val="34"/>
                <w:sz w:val="18"/>
                <w:szCs w:val="18"/>
              </w:rPr>
              <w:t xml:space="preserve"> </w:t>
            </w:r>
            <w:r>
              <w:rPr>
                <w:rFonts w:ascii="等线" w:hAnsi="等线" w:eastAsia="等线" w:cs="等线"/>
                <w:color w:val="595959"/>
                <w:spacing w:val="-5"/>
                <w:sz w:val="18"/>
                <w:szCs w:val="18"/>
              </w:rPr>
              <w:t>31</w:t>
            </w:r>
            <w:r>
              <w:rPr>
                <w:rFonts w:ascii="等线" w:hAnsi="等线" w:eastAsia="等线" w:cs="等线"/>
                <w:color w:val="595959"/>
                <w:spacing w:val="34"/>
                <w:sz w:val="18"/>
                <w:szCs w:val="18"/>
              </w:rPr>
              <w:t xml:space="preserve"> </w:t>
            </w:r>
            <w:r>
              <w:rPr>
                <w:rFonts w:ascii="等线" w:hAnsi="等线" w:eastAsia="等线" w:cs="等线"/>
                <w:color w:val="595959"/>
                <w:spacing w:val="-5"/>
                <w:sz w:val="18"/>
                <w:szCs w:val="18"/>
              </w:rPr>
              <w:t>32</w:t>
            </w:r>
            <w:r>
              <w:rPr>
                <w:rFonts w:ascii="等线" w:hAnsi="等线" w:eastAsia="等线" w:cs="等线"/>
                <w:color w:val="595959"/>
                <w:spacing w:val="34"/>
                <w:sz w:val="18"/>
                <w:szCs w:val="18"/>
              </w:rPr>
              <w:t xml:space="preserve"> </w:t>
            </w:r>
            <w:r>
              <w:rPr>
                <w:rFonts w:ascii="等线" w:hAnsi="等线" w:eastAsia="等线" w:cs="等线"/>
                <w:color w:val="595959"/>
                <w:spacing w:val="-5"/>
                <w:sz w:val="18"/>
                <w:szCs w:val="18"/>
              </w:rPr>
              <w:t>33</w:t>
            </w:r>
            <w:r>
              <w:rPr>
                <w:rFonts w:ascii="等线" w:hAnsi="等线" w:eastAsia="等线" w:cs="等线"/>
                <w:color w:val="595959"/>
                <w:spacing w:val="33"/>
                <w:w w:val="101"/>
                <w:sz w:val="18"/>
                <w:szCs w:val="18"/>
              </w:rPr>
              <w:t xml:space="preserve"> </w:t>
            </w:r>
            <w:r>
              <w:rPr>
                <w:rFonts w:ascii="等线" w:hAnsi="等线" w:eastAsia="等线" w:cs="等线"/>
                <w:color w:val="595959"/>
                <w:spacing w:val="-5"/>
                <w:sz w:val="18"/>
                <w:szCs w:val="18"/>
              </w:rPr>
              <w:t>34</w:t>
            </w:r>
            <w:r>
              <w:rPr>
                <w:rFonts w:ascii="等线" w:hAnsi="等线" w:eastAsia="等线" w:cs="等线"/>
                <w:color w:val="595959"/>
                <w:spacing w:val="34"/>
                <w:w w:val="101"/>
                <w:sz w:val="18"/>
                <w:szCs w:val="18"/>
              </w:rPr>
              <w:t xml:space="preserve"> </w:t>
            </w:r>
            <w:r>
              <w:rPr>
                <w:rFonts w:ascii="等线" w:hAnsi="等线" w:eastAsia="等线" w:cs="等线"/>
                <w:color w:val="595959"/>
                <w:spacing w:val="-5"/>
                <w:sz w:val="18"/>
                <w:szCs w:val="18"/>
              </w:rPr>
              <w:t>35</w:t>
            </w:r>
          </w:p>
          <w:p>
            <w:pPr>
              <w:pStyle w:val="6"/>
              <w:spacing w:before="88" w:line="223" w:lineRule="auto"/>
              <w:ind w:left="4370"/>
              <w:rPr>
                <w:rFonts w:ascii="等线" w:hAnsi="等线" w:eastAsia="等线" w:cs="等线"/>
                <w:sz w:val="18"/>
                <w:szCs w:val="18"/>
              </w:rPr>
            </w:pPr>
            <w:r>
              <w:rPr>
                <w:rFonts w:ascii="等线" w:hAnsi="等线" w:eastAsia="等线" w:cs="等线"/>
                <w:color w:val="595959"/>
                <w:spacing w:val="-2"/>
                <w:sz w:val="18"/>
                <w:szCs w:val="18"/>
              </w:rPr>
              <w:t>水深（</w:t>
            </w:r>
            <w:r>
              <w:rPr>
                <w:color w:val="595959"/>
                <w:spacing w:val="-2"/>
                <w:sz w:val="18"/>
                <w:szCs w:val="18"/>
              </w:rPr>
              <w:t>M</w:t>
            </w:r>
            <w:r>
              <w:rPr>
                <w:rFonts w:ascii="等线" w:hAnsi="等线" w:eastAsia="等线" w:cs="等线"/>
                <w:color w:val="595959"/>
                <w:spacing w:val="-2"/>
                <w:sz w:val="18"/>
                <w:szCs w:val="18"/>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541" w:hRule="atLeast"/>
        </w:trPr>
        <w:tc>
          <w:tcPr>
            <w:tcW w:w="10821" w:type="dxa"/>
            <w:gridSpan w:val="3"/>
            <w:tcBorders>
              <w:left w:val="single" w:color="D9D9D9" w:sz="6" w:space="0"/>
              <w:bottom w:val="single" w:color="D9D9D9" w:sz="6" w:space="0"/>
              <w:right w:val="single" w:color="D9D9D9" w:sz="6" w:space="0"/>
            </w:tcBorders>
            <w:vAlign w:val="top"/>
          </w:tcPr>
          <w:p>
            <w:pPr>
              <w:spacing w:before="181" w:line="226" w:lineRule="auto"/>
              <w:ind w:left="609"/>
              <w:rPr>
                <w:rFonts w:ascii="等线" w:hAnsi="等线" w:eastAsia="等线" w:cs="等线"/>
                <w:sz w:val="18"/>
                <w:szCs w:val="18"/>
              </w:rPr>
            </w:pPr>
            <w:r>
              <w:rPr>
                <w:rFonts w:ascii="等线" w:hAnsi="等线" w:eastAsia="等线" w:cs="等线"/>
                <w:color w:val="595959"/>
                <w:position w:val="3"/>
                <w:sz w:val="18"/>
                <w:szCs w:val="18"/>
              </w:rPr>
              <w:drawing>
                <wp:inline distT="0" distB="0" distL="0" distR="0">
                  <wp:extent cx="265430" cy="2222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04"/>
                          <a:stretch>
                            <a:fillRect/>
                          </a:stretch>
                        </pic:blipFill>
                        <pic:spPr>
                          <a:xfrm>
                            <a:off x="0" y="0"/>
                            <a:ext cx="266064" cy="22225"/>
                          </a:xfrm>
                          <a:prstGeom prst="rect">
                            <a:avLst/>
                          </a:prstGeom>
                        </pic:spPr>
                      </pic:pic>
                    </a:graphicData>
                  </a:graphic>
                </wp:inline>
              </w:drawing>
            </w:r>
            <w:r>
              <w:rPr>
                <w:rFonts w:ascii="等线" w:hAnsi="等线" w:eastAsia="等线" w:cs="等线"/>
                <w:color w:val="595959"/>
                <w:spacing w:val="-3"/>
                <w:sz w:val="18"/>
                <w:szCs w:val="18"/>
              </w:rPr>
              <w:t xml:space="preserve"> </w:t>
            </w:r>
            <w:r>
              <w:rPr>
                <w:rFonts w:ascii="等线" w:hAnsi="等线" w:eastAsia="等线" w:cs="等线"/>
                <w:color w:val="595959"/>
                <w:spacing w:val="-5"/>
                <w:sz w:val="18"/>
                <w:szCs w:val="18"/>
              </w:rPr>
              <w:t>1月</w:t>
            </w:r>
            <w:r>
              <w:rPr>
                <w:rFonts w:ascii="等线" w:hAnsi="等线" w:eastAsia="等线" w:cs="等线"/>
                <w:color w:val="595959"/>
                <w:spacing w:val="19"/>
                <w:w w:val="101"/>
                <w:sz w:val="18"/>
                <w:szCs w:val="18"/>
              </w:rPr>
              <w:t xml:space="preserve"> </w:t>
            </w:r>
            <w:r>
              <w:rPr>
                <w:position w:val="3"/>
                <w:sz w:val="18"/>
                <w:szCs w:val="18"/>
              </w:rPr>
              <w:drawing>
                <wp:inline distT="0" distB="0" distL="0" distR="0">
                  <wp:extent cx="266065" cy="2222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05"/>
                          <a:stretch>
                            <a:fillRect/>
                          </a:stretch>
                        </pic:blipFill>
                        <pic:spPr>
                          <a:xfrm>
                            <a:off x="0" y="0"/>
                            <a:ext cx="266065" cy="22225"/>
                          </a:xfrm>
                          <a:prstGeom prst="rect">
                            <a:avLst/>
                          </a:prstGeom>
                        </pic:spPr>
                      </pic:pic>
                    </a:graphicData>
                  </a:graphic>
                </wp:inline>
              </w:drawing>
            </w:r>
            <w:r>
              <w:rPr>
                <w:rFonts w:ascii="等线" w:hAnsi="等线" w:eastAsia="等线" w:cs="等线"/>
                <w:color w:val="595959"/>
                <w:spacing w:val="-17"/>
                <w:sz w:val="18"/>
                <w:szCs w:val="18"/>
              </w:rPr>
              <w:t xml:space="preserve"> </w:t>
            </w:r>
            <w:r>
              <w:rPr>
                <w:rFonts w:ascii="等线" w:hAnsi="等线" w:eastAsia="等线" w:cs="等线"/>
                <w:color w:val="595959"/>
                <w:spacing w:val="-5"/>
                <w:sz w:val="18"/>
                <w:szCs w:val="18"/>
              </w:rPr>
              <w:t>2月</w:t>
            </w:r>
            <w:r>
              <w:rPr>
                <w:rFonts w:ascii="等线" w:hAnsi="等线" w:eastAsia="等线" w:cs="等线"/>
                <w:color w:val="595959"/>
                <w:spacing w:val="19"/>
                <w:w w:val="101"/>
                <w:sz w:val="18"/>
                <w:szCs w:val="18"/>
              </w:rPr>
              <w:t xml:space="preserve"> </w:t>
            </w:r>
            <w:r>
              <w:rPr>
                <w:rFonts w:ascii="等线" w:hAnsi="等线" w:eastAsia="等线" w:cs="等线"/>
                <w:strike/>
                <w:color w:val="595959"/>
                <w:spacing w:val="3"/>
                <w:sz w:val="18"/>
                <w:szCs w:val="18"/>
              </w:rPr>
              <w:t xml:space="preserve">        </w:t>
            </w:r>
            <w:r>
              <w:rPr>
                <w:rFonts w:ascii="等线" w:hAnsi="等线" w:eastAsia="等线" w:cs="等线"/>
                <w:color w:val="595959"/>
                <w:spacing w:val="-18"/>
                <w:sz w:val="18"/>
                <w:szCs w:val="18"/>
              </w:rPr>
              <w:t xml:space="preserve"> </w:t>
            </w:r>
            <w:r>
              <w:rPr>
                <w:rFonts w:ascii="等线" w:hAnsi="等线" w:eastAsia="等线" w:cs="等线"/>
                <w:color w:val="595959"/>
                <w:spacing w:val="-5"/>
                <w:sz w:val="18"/>
                <w:szCs w:val="18"/>
              </w:rPr>
              <w:t>3月</w:t>
            </w:r>
            <w:r>
              <w:rPr>
                <w:rFonts w:ascii="等线" w:hAnsi="等线" w:eastAsia="等线" w:cs="等线"/>
                <w:color w:val="595959"/>
                <w:spacing w:val="19"/>
                <w:sz w:val="18"/>
                <w:szCs w:val="18"/>
              </w:rPr>
              <w:t xml:space="preserve"> </w:t>
            </w:r>
            <w:r>
              <w:rPr>
                <w:position w:val="3"/>
                <w:sz w:val="18"/>
                <w:szCs w:val="18"/>
              </w:rPr>
              <w:drawing>
                <wp:inline distT="0" distB="0" distL="0" distR="0">
                  <wp:extent cx="266065" cy="2222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06"/>
                          <a:stretch>
                            <a:fillRect/>
                          </a:stretch>
                        </pic:blipFill>
                        <pic:spPr>
                          <a:xfrm>
                            <a:off x="0" y="0"/>
                            <a:ext cx="266065" cy="22225"/>
                          </a:xfrm>
                          <a:prstGeom prst="rect">
                            <a:avLst/>
                          </a:prstGeom>
                        </pic:spPr>
                      </pic:pic>
                    </a:graphicData>
                  </a:graphic>
                </wp:inline>
              </w:drawing>
            </w:r>
            <w:r>
              <w:rPr>
                <w:rFonts w:ascii="等线" w:hAnsi="等线" w:eastAsia="等线" w:cs="等线"/>
                <w:color w:val="595959"/>
                <w:spacing w:val="-22"/>
                <w:sz w:val="18"/>
                <w:szCs w:val="18"/>
              </w:rPr>
              <w:t xml:space="preserve"> </w:t>
            </w:r>
            <w:r>
              <w:rPr>
                <w:rFonts w:ascii="等线" w:hAnsi="等线" w:eastAsia="等线" w:cs="等线"/>
                <w:color w:val="595959"/>
                <w:spacing w:val="-5"/>
                <w:sz w:val="18"/>
                <w:szCs w:val="18"/>
              </w:rPr>
              <w:t>4月</w:t>
            </w:r>
            <w:r>
              <w:rPr>
                <w:rFonts w:ascii="等线" w:hAnsi="等线" w:eastAsia="等线" w:cs="等线"/>
                <w:color w:val="595959"/>
                <w:spacing w:val="19"/>
                <w:sz w:val="18"/>
                <w:szCs w:val="18"/>
              </w:rPr>
              <w:t xml:space="preserve"> </w:t>
            </w:r>
            <w:r>
              <w:rPr>
                <w:position w:val="3"/>
                <w:sz w:val="18"/>
                <w:szCs w:val="18"/>
              </w:rPr>
              <w:drawing>
                <wp:inline distT="0" distB="0" distL="0" distR="0">
                  <wp:extent cx="265430" cy="2222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07"/>
                          <a:stretch>
                            <a:fillRect/>
                          </a:stretch>
                        </pic:blipFill>
                        <pic:spPr>
                          <a:xfrm>
                            <a:off x="0" y="0"/>
                            <a:ext cx="266064" cy="22225"/>
                          </a:xfrm>
                          <a:prstGeom prst="rect">
                            <a:avLst/>
                          </a:prstGeom>
                        </pic:spPr>
                      </pic:pic>
                    </a:graphicData>
                  </a:graphic>
                </wp:inline>
              </w:drawing>
            </w:r>
            <w:r>
              <w:rPr>
                <w:rFonts w:ascii="等线" w:hAnsi="等线" w:eastAsia="等线" w:cs="等线"/>
                <w:color w:val="595959"/>
                <w:spacing w:val="-16"/>
                <w:sz w:val="18"/>
                <w:szCs w:val="18"/>
              </w:rPr>
              <w:t xml:space="preserve"> </w:t>
            </w:r>
            <w:r>
              <w:rPr>
                <w:rFonts w:ascii="等线" w:hAnsi="等线" w:eastAsia="等线" w:cs="等线"/>
                <w:color w:val="595959"/>
                <w:spacing w:val="-5"/>
                <w:sz w:val="18"/>
                <w:szCs w:val="18"/>
              </w:rPr>
              <w:t>5月</w:t>
            </w:r>
            <w:r>
              <w:rPr>
                <w:rFonts w:ascii="等线" w:hAnsi="等线" w:eastAsia="等线" w:cs="等线"/>
                <w:color w:val="595959"/>
                <w:spacing w:val="19"/>
                <w:w w:val="101"/>
                <w:sz w:val="18"/>
                <w:szCs w:val="18"/>
              </w:rPr>
              <w:t xml:space="preserve"> </w:t>
            </w:r>
            <w:r>
              <w:rPr>
                <w:position w:val="3"/>
                <w:sz w:val="18"/>
                <w:szCs w:val="18"/>
              </w:rPr>
              <w:drawing>
                <wp:inline distT="0" distB="0" distL="0" distR="0">
                  <wp:extent cx="266065" cy="2222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08"/>
                          <a:stretch>
                            <a:fillRect/>
                          </a:stretch>
                        </pic:blipFill>
                        <pic:spPr>
                          <a:xfrm>
                            <a:off x="0" y="0"/>
                            <a:ext cx="266065" cy="22225"/>
                          </a:xfrm>
                          <a:prstGeom prst="rect">
                            <a:avLst/>
                          </a:prstGeom>
                        </pic:spPr>
                      </pic:pic>
                    </a:graphicData>
                  </a:graphic>
                </wp:inline>
              </w:drawing>
            </w:r>
            <w:r>
              <w:rPr>
                <w:rFonts w:ascii="等线" w:hAnsi="等线" w:eastAsia="等线" w:cs="等线"/>
                <w:color w:val="595959"/>
                <w:spacing w:val="-16"/>
                <w:sz w:val="18"/>
                <w:szCs w:val="18"/>
              </w:rPr>
              <w:t xml:space="preserve"> </w:t>
            </w:r>
            <w:r>
              <w:rPr>
                <w:rFonts w:ascii="等线" w:hAnsi="等线" w:eastAsia="等线" w:cs="等线"/>
                <w:color w:val="595959"/>
                <w:spacing w:val="-5"/>
                <w:sz w:val="18"/>
                <w:szCs w:val="18"/>
              </w:rPr>
              <w:t>6月</w:t>
            </w:r>
            <w:r>
              <w:rPr>
                <w:rFonts w:ascii="等线" w:hAnsi="等线" w:eastAsia="等线" w:cs="等线"/>
                <w:color w:val="595959"/>
                <w:spacing w:val="19"/>
                <w:sz w:val="18"/>
                <w:szCs w:val="18"/>
              </w:rPr>
              <w:t xml:space="preserve"> </w:t>
            </w:r>
            <w:r>
              <w:rPr>
                <w:position w:val="3"/>
                <w:sz w:val="18"/>
                <w:szCs w:val="18"/>
              </w:rPr>
              <w:drawing>
                <wp:inline distT="0" distB="0" distL="0" distR="0">
                  <wp:extent cx="265430" cy="222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09"/>
                          <a:stretch>
                            <a:fillRect/>
                          </a:stretch>
                        </pic:blipFill>
                        <pic:spPr>
                          <a:xfrm>
                            <a:off x="0" y="0"/>
                            <a:ext cx="266064" cy="22225"/>
                          </a:xfrm>
                          <a:prstGeom prst="rect">
                            <a:avLst/>
                          </a:prstGeom>
                        </pic:spPr>
                      </pic:pic>
                    </a:graphicData>
                  </a:graphic>
                </wp:inline>
              </w:drawing>
            </w:r>
            <w:r>
              <w:rPr>
                <w:rFonts w:ascii="等线" w:hAnsi="等线" w:eastAsia="等线" w:cs="等线"/>
                <w:color w:val="595959"/>
                <w:spacing w:val="-16"/>
                <w:sz w:val="18"/>
                <w:szCs w:val="18"/>
              </w:rPr>
              <w:t xml:space="preserve"> </w:t>
            </w:r>
            <w:r>
              <w:rPr>
                <w:rFonts w:ascii="等线" w:hAnsi="等线" w:eastAsia="等线" w:cs="等线"/>
                <w:color w:val="595959"/>
                <w:spacing w:val="-5"/>
                <w:sz w:val="18"/>
                <w:szCs w:val="18"/>
              </w:rPr>
              <w:t>7月</w:t>
            </w:r>
            <w:r>
              <w:rPr>
                <w:rFonts w:ascii="等线" w:hAnsi="等线" w:eastAsia="等线" w:cs="等线"/>
                <w:color w:val="595959"/>
                <w:spacing w:val="18"/>
                <w:w w:val="101"/>
                <w:sz w:val="18"/>
                <w:szCs w:val="18"/>
              </w:rPr>
              <w:t xml:space="preserve"> </w:t>
            </w:r>
            <w:r>
              <w:rPr>
                <w:position w:val="3"/>
                <w:sz w:val="18"/>
                <w:szCs w:val="18"/>
              </w:rPr>
              <w:drawing>
                <wp:inline distT="0" distB="0" distL="0" distR="0">
                  <wp:extent cx="266065" cy="2222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10"/>
                          <a:stretch>
                            <a:fillRect/>
                          </a:stretch>
                        </pic:blipFill>
                        <pic:spPr>
                          <a:xfrm>
                            <a:off x="0" y="0"/>
                            <a:ext cx="266065" cy="22225"/>
                          </a:xfrm>
                          <a:prstGeom prst="rect">
                            <a:avLst/>
                          </a:prstGeom>
                        </pic:spPr>
                      </pic:pic>
                    </a:graphicData>
                  </a:graphic>
                </wp:inline>
              </w:drawing>
            </w:r>
            <w:r>
              <w:rPr>
                <w:rFonts w:ascii="等线" w:hAnsi="等线" w:eastAsia="等线" w:cs="等线"/>
                <w:color w:val="595959"/>
                <w:spacing w:val="-17"/>
                <w:sz w:val="18"/>
                <w:szCs w:val="18"/>
              </w:rPr>
              <w:t xml:space="preserve"> </w:t>
            </w:r>
            <w:r>
              <w:rPr>
                <w:rFonts w:ascii="等线" w:hAnsi="等线" w:eastAsia="等线" w:cs="等线"/>
                <w:color w:val="595959"/>
                <w:spacing w:val="-5"/>
                <w:sz w:val="18"/>
                <w:szCs w:val="18"/>
              </w:rPr>
              <w:t>8月</w:t>
            </w:r>
            <w:r>
              <w:rPr>
                <w:rFonts w:ascii="等线" w:hAnsi="等线" w:eastAsia="等线" w:cs="等线"/>
                <w:color w:val="595959"/>
                <w:spacing w:val="19"/>
                <w:sz w:val="18"/>
                <w:szCs w:val="18"/>
              </w:rPr>
              <w:t xml:space="preserve"> </w:t>
            </w:r>
            <w:r>
              <w:rPr>
                <w:rFonts w:ascii="等线" w:hAnsi="等线" w:eastAsia="等线" w:cs="等线"/>
                <w:strike/>
                <w:color w:val="595959"/>
                <w:spacing w:val="3"/>
                <w:sz w:val="18"/>
                <w:szCs w:val="18"/>
              </w:rPr>
              <w:t xml:space="preserve">        </w:t>
            </w:r>
            <w:r>
              <w:rPr>
                <w:rFonts w:ascii="等线" w:hAnsi="等线" w:eastAsia="等线" w:cs="等线"/>
                <w:color w:val="595959"/>
                <w:spacing w:val="-16"/>
                <w:sz w:val="18"/>
                <w:szCs w:val="18"/>
              </w:rPr>
              <w:t xml:space="preserve"> </w:t>
            </w:r>
            <w:r>
              <w:rPr>
                <w:rFonts w:ascii="等线" w:hAnsi="等线" w:eastAsia="等线" w:cs="等线"/>
                <w:color w:val="595959"/>
                <w:spacing w:val="-5"/>
                <w:sz w:val="18"/>
                <w:szCs w:val="18"/>
              </w:rPr>
              <w:t>9月</w:t>
            </w:r>
            <w:r>
              <w:rPr>
                <w:rFonts w:ascii="等线" w:hAnsi="等线" w:eastAsia="等线" w:cs="等线"/>
                <w:color w:val="595959"/>
                <w:spacing w:val="18"/>
                <w:w w:val="101"/>
                <w:sz w:val="18"/>
                <w:szCs w:val="18"/>
              </w:rPr>
              <w:t xml:space="preserve"> </w:t>
            </w:r>
            <w:r>
              <w:rPr>
                <w:position w:val="3"/>
                <w:sz w:val="18"/>
                <w:szCs w:val="18"/>
              </w:rPr>
              <w:drawing>
                <wp:inline distT="0" distB="0" distL="0" distR="0">
                  <wp:extent cx="266065" cy="2222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11"/>
                          <a:stretch>
                            <a:fillRect/>
                          </a:stretch>
                        </pic:blipFill>
                        <pic:spPr>
                          <a:xfrm>
                            <a:off x="0" y="0"/>
                            <a:ext cx="266065" cy="22225"/>
                          </a:xfrm>
                          <a:prstGeom prst="rect">
                            <a:avLst/>
                          </a:prstGeom>
                        </pic:spPr>
                      </pic:pic>
                    </a:graphicData>
                  </a:graphic>
                </wp:inline>
              </w:drawing>
            </w:r>
            <w:r>
              <w:rPr>
                <w:rFonts w:ascii="等线" w:hAnsi="等线" w:eastAsia="等线" w:cs="等线"/>
                <w:color w:val="595959"/>
                <w:spacing w:val="-12"/>
                <w:sz w:val="18"/>
                <w:szCs w:val="18"/>
              </w:rPr>
              <w:t xml:space="preserve"> </w:t>
            </w:r>
            <w:r>
              <w:rPr>
                <w:rFonts w:ascii="等线" w:hAnsi="等线" w:eastAsia="等线" w:cs="等线"/>
                <w:color w:val="595959"/>
                <w:spacing w:val="-5"/>
                <w:sz w:val="18"/>
                <w:szCs w:val="18"/>
              </w:rPr>
              <w:t>10月</w:t>
            </w:r>
            <w:r>
              <w:rPr>
                <w:rFonts w:ascii="等线" w:hAnsi="等线" w:eastAsia="等线" w:cs="等线"/>
                <w:color w:val="595959"/>
                <w:spacing w:val="18"/>
                <w:w w:val="101"/>
                <w:sz w:val="18"/>
                <w:szCs w:val="18"/>
              </w:rPr>
              <w:t xml:space="preserve"> </w:t>
            </w:r>
            <w:r>
              <w:rPr>
                <w:position w:val="3"/>
                <w:sz w:val="18"/>
                <w:szCs w:val="18"/>
              </w:rPr>
              <w:drawing>
                <wp:inline distT="0" distB="0" distL="0" distR="0">
                  <wp:extent cx="266065" cy="2222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512"/>
                          <a:stretch>
                            <a:fillRect/>
                          </a:stretch>
                        </pic:blipFill>
                        <pic:spPr>
                          <a:xfrm>
                            <a:off x="0" y="0"/>
                            <a:ext cx="266065" cy="22225"/>
                          </a:xfrm>
                          <a:prstGeom prst="rect">
                            <a:avLst/>
                          </a:prstGeom>
                        </pic:spPr>
                      </pic:pic>
                    </a:graphicData>
                  </a:graphic>
                </wp:inline>
              </w:drawing>
            </w:r>
            <w:r>
              <w:rPr>
                <w:rFonts w:ascii="等线" w:hAnsi="等线" w:eastAsia="等线" w:cs="等线"/>
                <w:color w:val="595959"/>
                <w:spacing w:val="-12"/>
                <w:sz w:val="18"/>
                <w:szCs w:val="18"/>
              </w:rPr>
              <w:t xml:space="preserve"> </w:t>
            </w:r>
            <w:r>
              <w:rPr>
                <w:rFonts w:ascii="等线" w:hAnsi="等线" w:eastAsia="等线" w:cs="等线"/>
                <w:color w:val="595959"/>
                <w:spacing w:val="-5"/>
                <w:sz w:val="18"/>
                <w:szCs w:val="18"/>
              </w:rPr>
              <w:t>11月</w:t>
            </w:r>
            <w:r>
              <w:rPr>
                <w:rFonts w:ascii="等线" w:hAnsi="等线" w:eastAsia="等线" w:cs="等线"/>
                <w:color w:val="595959"/>
                <w:spacing w:val="18"/>
                <w:w w:val="101"/>
                <w:sz w:val="18"/>
                <w:szCs w:val="18"/>
              </w:rPr>
              <w:t xml:space="preserve"> </w:t>
            </w:r>
            <w:r>
              <w:rPr>
                <w:position w:val="3"/>
                <w:sz w:val="18"/>
                <w:szCs w:val="18"/>
              </w:rPr>
              <w:drawing>
                <wp:inline distT="0" distB="0" distL="0" distR="0">
                  <wp:extent cx="266065" cy="2222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13"/>
                          <a:stretch>
                            <a:fillRect/>
                          </a:stretch>
                        </pic:blipFill>
                        <pic:spPr>
                          <a:xfrm>
                            <a:off x="0" y="0"/>
                            <a:ext cx="266065" cy="22225"/>
                          </a:xfrm>
                          <a:prstGeom prst="rect">
                            <a:avLst/>
                          </a:prstGeom>
                        </pic:spPr>
                      </pic:pic>
                    </a:graphicData>
                  </a:graphic>
                </wp:inline>
              </w:drawing>
            </w:r>
            <w:r>
              <w:rPr>
                <w:rFonts w:ascii="等线" w:hAnsi="等线" w:eastAsia="等线" w:cs="等线"/>
                <w:color w:val="595959"/>
                <w:spacing w:val="-12"/>
                <w:sz w:val="18"/>
                <w:szCs w:val="18"/>
              </w:rPr>
              <w:t xml:space="preserve"> </w:t>
            </w:r>
            <w:r>
              <w:rPr>
                <w:rFonts w:ascii="等线" w:hAnsi="等线" w:eastAsia="等线" w:cs="等线"/>
                <w:color w:val="595959"/>
                <w:spacing w:val="-5"/>
                <w:sz w:val="18"/>
                <w:szCs w:val="18"/>
              </w:rPr>
              <w:t>12月</w:t>
            </w:r>
          </w:p>
        </w:tc>
      </w:tr>
    </w:tbl>
    <w:p>
      <w:pPr>
        <w:spacing w:before="151" w:line="219" w:lineRule="auto"/>
        <w:ind w:left="5396"/>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图</w:t>
      </w:r>
      <w:r>
        <w:rPr>
          <w:rFonts w:ascii="宋体" w:hAnsi="宋体" w:eastAsia="宋体" w:cs="宋体"/>
          <w:spacing w:val="-25"/>
          <w:sz w:val="21"/>
          <w:szCs w:val="21"/>
        </w:rPr>
        <w:t xml:space="preserve"> </w:t>
      </w:r>
      <w:r>
        <w:rPr>
          <w:rFonts w:ascii="Times New Roman" w:hAnsi="Times New Roman" w:eastAsia="Times New Roman" w:cs="Times New Roman"/>
          <w:b/>
          <w:bCs/>
          <w:sz w:val="21"/>
          <w:szCs w:val="21"/>
        </w:rPr>
        <w:t xml:space="preserve">4.2-1    </w:t>
      </w:r>
      <w:r>
        <w:rPr>
          <w:rFonts w:ascii="宋体" w:hAnsi="宋体" w:eastAsia="宋体" w:cs="宋体"/>
          <w:sz w:val="21"/>
          <w:szCs w:val="21"/>
          <w14:textOutline w14:w="3810" w14:cap="flat" w14:cmpd="sng">
            <w14:solidFill>
              <w14:srgbClr w14:val="000000"/>
            </w14:solidFill>
            <w14:prstDash w14:val="solid"/>
            <w14:miter w14:val="0"/>
          </w14:textOutline>
        </w:rPr>
        <w:t>水库坝前垂向水温分布图</w:t>
      </w:r>
    </w:p>
    <w:p>
      <w:pPr>
        <w:spacing w:line="219" w:lineRule="auto"/>
        <w:rPr>
          <w:rFonts w:ascii="宋体" w:hAnsi="宋体" w:eastAsia="宋体" w:cs="宋体"/>
          <w:sz w:val="21"/>
          <w:szCs w:val="21"/>
        </w:rPr>
        <w:sectPr>
          <w:headerReference r:id="rId370" w:type="default"/>
          <w:footerReference r:id="rId371" w:type="default"/>
          <w:pgSz w:w="16839" w:h="11907"/>
          <w:pgMar w:top="1156" w:right="1408" w:bottom="1374" w:left="1410" w:header="881" w:footer="1210" w:gutter="0"/>
        </w:sectPr>
      </w:pPr>
    </w:p>
    <w:p>
      <w:pPr>
        <w:rPr>
          <w:rFonts w:ascii="Arial"/>
          <w:sz w:val="21"/>
        </w:rPr>
      </w:pPr>
    </w:p>
    <w:p>
      <w:pPr>
        <w:spacing w:before="78" w:line="359" w:lineRule="auto"/>
        <w:ind w:left="35" w:right="364" w:firstLine="513"/>
        <w:rPr>
          <w:rFonts w:ascii="宋体" w:hAnsi="宋体" w:eastAsia="宋体" w:cs="宋体"/>
          <w:sz w:val="24"/>
          <w:szCs w:val="24"/>
        </w:rPr>
      </w:pPr>
      <w:r>
        <w:rPr>
          <w:rFonts w:ascii="宋体" w:hAnsi="宋体" w:eastAsia="宋体" w:cs="宋体"/>
          <w:spacing w:val="-6"/>
          <w:sz w:val="24"/>
          <w:szCs w:val="24"/>
        </w:rPr>
        <w:t>由上图</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4.2-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24"/>
          <w:w w:val="101"/>
          <w:sz w:val="24"/>
          <w:szCs w:val="24"/>
        </w:rPr>
        <w:t xml:space="preserve"> </w:t>
      </w:r>
      <w:r>
        <w:rPr>
          <w:rFonts w:ascii="宋体" w:hAnsi="宋体" w:eastAsia="宋体" w:cs="宋体"/>
          <w:spacing w:val="-6"/>
          <w:sz w:val="24"/>
          <w:szCs w:val="24"/>
        </w:rPr>
        <w:t>可见，库区水温呈季节性分层特征，</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6"/>
          <w:sz w:val="24"/>
          <w:szCs w:val="24"/>
        </w:rPr>
        <w:t xml:space="preserve">月和 </w:t>
      </w:r>
      <w:r>
        <w:rPr>
          <w:rFonts w:ascii="Times New Roman" w:hAnsi="Times New Roman" w:eastAsia="Times New Roman" w:cs="Times New Roman"/>
          <w:spacing w:val="-6"/>
          <w:sz w:val="24"/>
          <w:szCs w:val="24"/>
        </w:rPr>
        <w:t>12</w:t>
      </w:r>
      <w:r>
        <w:rPr>
          <w:rFonts w:ascii="Times New Roman" w:hAnsi="Times New Roman" w:eastAsia="Times New Roman" w:cs="Times New Roman"/>
          <w:spacing w:val="28"/>
          <w:w w:val="101"/>
          <w:sz w:val="24"/>
          <w:szCs w:val="24"/>
        </w:rPr>
        <w:t xml:space="preserve"> </w:t>
      </w:r>
      <w:r>
        <w:rPr>
          <w:rFonts w:ascii="宋体" w:hAnsi="宋体" w:eastAsia="宋体" w:cs="宋体"/>
          <w:spacing w:val="-6"/>
          <w:sz w:val="24"/>
          <w:szCs w:val="24"/>
        </w:rPr>
        <w:t>月不出现分层，</w:t>
      </w:r>
      <w:r>
        <w:rPr>
          <w:rFonts w:ascii="宋体" w:hAnsi="宋体" w:eastAsia="宋体" w:cs="宋体"/>
          <w:sz w:val="24"/>
          <w:szCs w:val="24"/>
        </w:rPr>
        <w:t xml:space="preserve"> </w:t>
      </w:r>
      <w:r>
        <w:rPr>
          <w:rFonts w:ascii="Times New Roman" w:hAnsi="Times New Roman" w:eastAsia="Times New Roman" w:cs="Times New Roman"/>
          <w:spacing w:val="-8"/>
          <w:sz w:val="24"/>
          <w:szCs w:val="24"/>
        </w:rPr>
        <w:t>2</w:t>
      </w:r>
      <w:r>
        <w:rPr>
          <w:rFonts w:ascii="Times New Roman" w:hAnsi="Times New Roman" w:eastAsia="Times New Roman" w:cs="Times New Roman"/>
          <w:spacing w:val="29"/>
          <w:sz w:val="24"/>
          <w:szCs w:val="24"/>
        </w:rPr>
        <w:t xml:space="preserve"> </w:t>
      </w:r>
      <w:r>
        <w:rPr>
          <w:rFonts w:ascii="宋体" w:hAnsi="宋体" w:eastAsia="宋体" w:cs="宋体"/>
          <w:spacing w:val="-8"/>
          <w:sz w:val="24"/>
          <w:szCs w:val="24"/>
        </w:rPr>
        <w:t>月出现弱分层，</w:t>
      </w:r>
      <w:r>
        <w:rPr>
          <w:rFonts w:ascii="宋体" w:hAnsi="宋体" w:eastAsia="宋体" w:cs="宋体"/>
          <w:spacing w:val="62"/>
          <w:sz w:val="24"/>
          <w:szCs w:val="24"/>
        </w:rPr>
        <w:t xml:space="preserve"> </w:t>
      </w:r>
      <w:r>
        <w:rPr>
          <w:rFonts w:ascii="宋体" w:hAnsi="宋体" w:eastAsia="宋体" w:cs="宋体"/>
          <w:spacing w:val="-8"/>
          <w:sz w:val="24"/>
          <w:szCs w:val="24"/>
        </w:rPr>
        <w:t>其他月份均具有明显的分层现象，特别是</w:t>
      </w:r>
      <w:r>
        <w:rPr>
          <w:rFonts w:ascii="宋体" w:hAnsi="宋体" w:eastAsia="宋体" w:cs="宋体"/>
          <w:spacing w:val="-45"/>
          <w:sz w:val="24"/>
          <w:szCs w:val="24"/>
        </w:rPr>
        <w:t xml:space="preserve"> </w:t>
      </w:r>
      <w:r>
        <w:rPr>
          <w:rFonts w:ascii="Times New Roman" w:hAnsi="Times New Roman" w:eastAsia="Times New Roman" w:cs="Times New Roman"/>
          <w:spacing w:val="-8"/>
          <w:sz w:val="24"/>
          <w:szCs w:val="24"/>
        </w:rPr>
        <w:t>4-</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27"/>
          <w:w w:val="101"/>
          <w:sz w:val="24"/>
          <w:szCs w:val="24"/>
        </w:rPr>
        <w:t xml:space="preserve"> </w:t>
      </w:r>
      <w:r>
        <w:rPr>
          <w:rFonts w:ascii="宋体" w:hAnsi="宋体" w:eastAsia="宋体" w:cs="宋体"/>
          <w:spacing w:val="-8"/>
          <w:sz w:val="24"/>
          <w:szCs w:val="24"/>
        </w:rPr>
        <w:t>月表层</w:t>
      </w:r>
      <w:r>
        <w:rPr>
          <w:rFonts w:ascii="宋体" w:hAnsi="宋体" w:eastAsia="宋体" w:cs="宋体"/>
          <w:spacing w:val="-43"/>
          <w:sz w:val="24"/>
          <w:szCs w:val="24"/>
        </w:rPr>
        <w:t xml:space="preserve"> </w:t>
      </w:r>
      <w:r>
        <w:rPr>
          <w:rFonts w:ascii="Times New Roman" w:hAnsi="Times New Roman" w:eastAsia="Times New Roman" w:cs="Times New Roman"/>
          <w:spacing w:val="-8"/>
          <w:sz w:val="24"/>
          <w:szCs w:val="24"/>
        </w:rPr>
        <w:t>20m</w:t>
      </w:r>
      <w:r>
        <w:rPr>
          <w:rFonts w:ascii="Times New Roman" w:hAnsi="Times New Roman" w:eastAsia="Times New Roman" w:cs="Times New Roman"/>
          <w:spacing w:val="49"/>
          <w:w w:val="101"/>
          <w:sz w:val="24"/>
          <w:szCs w:val="24"/>
        </w:rPr>
        <w:t xml:space="preserve"> </w:t>
      </w:r>
      <w:r>
        <w:rPr>
          <w:rFonts w:ascii="宋体" w:hAnsi="宋体" w:eastAsia="宋体" w:cs="宋体"/>
          <w:spacing w:val="-8"/>
          <w:sz w:val="24"/>
          <w:szCs w:val="24"/>
        </w:rPr>
        <w:t>内</w:t>
      </w:r>
      <w:r>
        <w:rPr>
          <w:rFonts w:ascii="宋体" w:hAnsi="宋体" w:eastAsia="宋体" w:cs="宋体"/>
          <w:sz w:val="24"/>
          <w:szCs w:val="24"/>
        </w:rPr>
        <w:t xml:space="preserve"> </w:t>
      </w:r>
      <w:r>
        <w:rPr>
          <w:rFonts w:ascii="宋体" w:hAnsi="宋体" w:eastAsia="宋体" w:cs="宋体"/>
          <w:spacing w:val="-10"/>
          <w:sz w:val="24"/>
          <w:szCs w:val="24"/>
        </w:rPr>
        <w:t>存在较强烈的温跃层。夏季库表接受太阳辐射大，</w:t>
      </w:r>
      <w:r>
        <w:rPr>
          <w:rFonts w:ascii="宋体" w:hAnsi="宋体" w:eastAsia="宋体" w:cs="宋体"/>
          <w:spacing w:val="33"/>
          <w:sz w:val="24"/>
          <w:szCs w:val="24"/>
        </w:rPr>
        <w:t xml:space="preserve"> </w:t>
      </w:r>
      <w:r>
        <w:rPr>
          <w:rFonts w:ascii="宋体" w:hAnsi="宋体" w:eastAsia="宋体" w:cs="宋体"/>
          <w:spacing w:val="-10"/>
          <w:sz w:val="24"/>
          <w:szCs w:val="24"/>
        </w:rPr>
        <w:t>水面</w:t>
      </w:r>
      <w:r>
        <w:rPr>
          <w:rFonts w:ascii="宋体" w:hAnsi="宋体" w:eastAsia="宋体" w:cs="宋体"/>
          <w:spacing w:val="-11"/>
          <w:sz w:val="24"/>
          <w:szCs w:val="24"/>
        </w:rPr>
        <w:t>下接受辐射小， 故表层水</w:t>
      </w:r>
      <w:r>
        <w:rPr>
          <w:rFonts w:ascii="宋体" w:hAnsi="宋体" w:eastAsia="宋体" w:cs="宋体"/>
          <w:sz w:val="24"/>
          <w:szCs w:val="24"/>
        </w:rPr>
        <w:t xml:space="preserve"> </w:t>
      </w:r>
      <w:r>
        <w:rPr>
          <w:rFonts w:ascii="宋体" w:hAnsi="宋体" w:eastAsia="宋体" w:cs="宋体"/>
          <w:spacing w:val="-18"/>
          <w:sz w:val="24"/>
          <w:szCs w:val="24"/>
        </w:rPr>
        <w:t>温大， 水深越大水温月底。冬季则相反，</w:t>
      </w:r>
      <w:r>
        <w:rPr>
          <w:rFonts w:ascii="宋体" w:hAnsi="宋体" w:eastAsia="宋体" w:cs="宋体"/>
          <w:spacing w:val="43"/>
          <w:sz w:val="24"/>
          <w:szCs w:val="24"/>
        </w:rPr>
        <w:t xml:space="preserve"> </w:t>
      </w:r>
      <w:r>
        <w:rPr>
          <w:rFonts w:ascii="宋体" w:hAnsi="宋体" w:eastAsia="宋体" w:cs="宋体"/>
          <w:spacing w:val="-18"/>
          <w:sz w:val="24"/>
          <w:szCs w:val="24"/>
        </w:rPr>
        <w:t>库表散热大，</w:t>
      </w:r>
      <w:r>
        <w:rPr>
          <w:rFonts w:ascii="宋体" w:hAnsi="宋体" w:eastAsia="宋体" w:cs="宋体"/>
          <w:spacing w:val="44"/>
          <w:sz w:val="24"/>
          <w:szCs w:val="24"/>
        </w:rPr>
        <w:t xml:space="preserve"> </w:t>
      </w:r>
      <w:r>
        <w:rPr>
          <w:rFonts w:ascii="宋体" w:hAnsi="宋体" w:eastAsia="宋体" w:cs="宋体"/>
          <w:spacing w:val="-18"/>
          <w:sz w:val="24"/>
          <w:szCs w:val="24"/>
        </w:rPr>
        <w:t>水温低， 而水面以下</w:t>
      </w:r>
      <w:r>
        <w:rPr>
          <w:rFonts w:ascii="宋体" w:hAnsi="宋体" w:eastAsia="宋体" w:cs="宋体"/>
          <w:spacing w:val="-19"/>
          <w:sz w:val="24"/>
          <w:szCs w:val="24"/>
        </w:rPr>
        <w:t>散热</w:t>
      </w:r>
    </w:p>
    <w:p>
      <w:pPr>
        <w:spacing w:line="219" w:lineRule="auto"/>
        <w:ind w:left="45"/>
        <w:rPr>
          <w:rFonts w:ascii="宋体" w:hAnsi="宋体" w:eastAsia="宋体" w:cs="宋体"/>
          <w:sz w:val="24"/>
          <w:szCs w:val="24"/>
        </w:rPr>
      </w:pPr>
      <w:r>
        <w:rPr>
          <w:rFonts w:ascii="宋体" w:hAnsi="宋体" w:eastAsia="宋体" w:cs="宋体"/>
          <w:spacing w:val="-2"/>
          <w:sz w:val="24"/>
          <w:szCs w:val="24"/>
        </w:rPr>
        <w:t>小水温较大或同温，故可能出现与夏季相反的水温结构或同温结构。</w:t>
      </w:r>
    </w:p>
    <w:p>
      <w:pPr>
        <w:spacing w:before="181" w:line="217" w:lineRule="auto"/>
        <w:ind w:left="517"/>
        <w:rPr>
          <w:rFonts w:ascii="宋体" w:hAnsi="宋体" w:eastAsia="宋体" w:cs="宋体"/>
          <w:sz w:val="24"/>
          <w:szCs w:val="24"/>
        </w:rPr>
      </w:pPr>
      <w:r>
        <w:rPr>
          <w:rFonts w:ascii="宋体" w:hAnsi="宋体" w:eastAsia="宋体" w:cs="宋体"/>
          <w:spacing w:val="-2"/>
          <w:sz w:val="24"/>
          <w:szCs w:val="24"/>
        </w:rPr>
        <w:t>⑥出库水温预测</w:t>
      </w:r>
    </w:p>
    <w:p>
      <w:pPr>
        <w:spacing w:before="186" w:line="359" w:lineRule="auto"/>
        <w:ind w:left="38" w:right="245" w:firstLine="482"/>
        <w:rPr>
          <w:rFonts w:ascii="宋体" w:hAnsi="宋体" w:eastAsia="宋体" w:cs="宋体"/>
          <w:sz w:val="24"/>
          <w:szCs w:val="24"/>
        </w:rPr>
      </w:pPr>
      <w:r>
        <w:rPr>
          <w:rFonts w:ascii="宋体" w:hAnsi="宋体" w:eastAsia="宋体" w:cs="宋体"/>
          <w:spacing w:val="-11"/>
          <w:sz w:val="24"/>
          <w:szCs w:val="24"/>
        </w:rPr>
        <w:t>桂花水库运行后， 库内水温分层，水库从输水洞输水，</w:t>
      </w:r>
      <w:r>
        <w:rPr>
          <w:rFonts w:ascii="宋体" w:hAnsi="宋体" w:eastAsia="宋体" w:cs="宋体"/>
          <w:spacing w:val="28"/>
          <w:sz w:val="24"/>
          <w:szCs w:val="24"/>
        </w:rPr>
        <w:t xml:space="preserve"> </w:t>
      </w:r>
      <w:r>
        <w:rPr>
          <w:rFonts w:ascii="宋体" w:hAnsi="宋体" w:eastAsia="宋体" w:cs="宋体"/>
          <w:spacing w:val="-11"/>
          <w:sz w:val="24"/>
          <w:szCs w:val="24"/>
        </w:rPr>
        <w:t>输</w:t>
      </w:r>
      <w:r>
        <w:rPr>
          <w:rFonts w:ascii="宋体" w:hAnsi="宋体" w:eastAsia="宋体" w:cs="宋体"/>
          <w:spacing w:val="-12"/>
          <w:sz w:val="24"/>
          <w:szCs w:val="24"/>
        </w:rPr>
        <w:t xml:space="preserve">水洞进水口底板高  </w:t>
      </w:r>
      <w:r>
        <w:rPr>
          <w:rFonts w:ascii="宋体" w:hAnsi="宋体" w:eastAsia="宋体" w:cs="宋体"/>
          <w:spacing w:val="-2"/>
          <w:sz w:val="24"/>
          <w:szCs w:val="24"/>
        </w:rPr>
        <w:t>程</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2058.8m</w:t>
      </w:r>
      <w:r>
        <w:rPr>
          <w:rFonts w:ascii="宋体" w:hAnsi="宋体" w:eastAsia="宋体" w:cs="宋体"/>
          <w:spacing w:val="-2"/>
          <w:sz w:val="24"/>
          <w:szCs w:val="24"/>
        </w:rPr>
        <w:t>，水库运行水位深如表</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10</w:t>
      </w:r>
      <w:r>
        <w:rPr>
          <w:rFonts w:ascii="宋体" w:hAnsi="宋体" w:eastAsia="宋体" w:cs="宋体"/>
          <w:spacing w:val="-2"/>
          <w:sz w:val="24"/>
          <w:szCs w:val="24"/>
        </w:rPr>
        <w:t xml:space="preserve">，采用水利部东北勘测设计研究院的经  </w:t>
      </w:r>
      <w:r>
        <w:rPr>
          <w:rFonts w:ascii="宋体" w:hAnsi="宋体" w:eastAsia="宋体" w:cs="宋体"/>
          <w:spacing w:val="-7"/>
          <w:sz w:val="24"/>
          <w:szCs w:val="24"/>
        </w:rPr>
        <w:t>验公式计算水库出库水温，</w:t>
      </w:r>
      <w:r>
        <w:rPr>
          <w:rFonts w:ascii="宋体" w:hAnsi="宋体" w:eastAsia="宋体" w:cs="宋体"/>
          <w:spacing w:val="-23"/>
          <w:sz w:val="24"/>
          <w:szCs w:val="24"/>
        </w:rPr>
        <w:t xml:space="preserve"> </w:t>
      </w:r>
      <w:r>
        <w:rPr>
          <w:rFonts w:ascii="宋体" w:hAnsi="宋体" w:eastAsia="宋体" w:cs="宋体"/>
          <w:spacing w:val="-7"/>
          <w:sz w:val="24"/>
          <w:szCs w:val="24"/>
        </w:rPr>
        <w:t>水库出口水温与天然河道水温对比一览表如下表所示，</w:t>
      </w:r>
    </w:p>
    <w:p>
      <w:pPr>
        <w:spacing w:line="219" w:lineRule="auto"/>
        <w:ind w:left="38"/>
        <w:rPr>
          <w:rFonts w:ascii="宋体" w:hAnsi="宋体" w:eastAsia="宋体" w:cs="宋体"/>
          <w:sz w:val="24"/>
          <w:szCs w:val="24"/>
        </w:rPr>
      </w:pPr>
      <w:r>
        <w:rPr>
          <w:rFonts w:ascii="宋体" w:hAnsi="宋体" w:eastAsia="宋体" w:cs="宋体"/>
          <w:spacing w:val="-2"/>
          <w:sz w:val="24"/>
          <w:szCs w:val="24"/>
        </w:rPr>
        <w:t>对比图见图</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4.2-2</w:t>
      </w:r>
      <w:r>
        <w:rPr>
          <w:rFonts w:ascii="宋体" w:hAnsi="宋体" w:eastAsia="宋体" w:cs="宋体"/>
          <w:spacing w:val="-2"/>
          <w:sz w:val="24"/>
          <w:szCs w:val="24"/>
        </w:rPr>
        <w:t>。</w:t>
      </w:r>
    </w:p>
    <w:p>
      <w:pPr>
        <w:spacing w:before="176" w:line="220" w:lineRule="auto"/>
        <w:ind w:left="1250"/>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24"/>
          <w:sz w:val="21"/>
          <w:szCs w:val="21"/>
        </w:rPr>
        <w:t xml:space="preserve"> </w:t>
      </w:r>
      <w:r>
        <w:rPr>
          <w:rFonts w:ascii="Times New Roman" w:hAnsi="Times New Roman" w:eastAsia="Times New Roman" w:cs="Times New Roman"/>
          <w:b/>
          <w:bCs/>
          <w:sz w:val="21"/>
          <w:szCs w:val="21"/>
        </w:rPr>
        <w:t xml:space="preserve">4.2-12    </w:t>
      </w:r>
      <w:r>
        <w:rPr>
          <w:rFonts w:ascii="宋体" w:hAnsi="宋体" w:eastAsia="宋体" w:cs="宋体"/>
          <w:sz w:val="21"/>
          <w:szCs w:val="21"/>
          <w14:textOutline w14:w="3810" w14:cap="flat" w14:cmpd="sng">
            <w14:solidFill>
              <w14:srgbClr w14:val="000000"/>
            </w14:solidFill>
            <w14:prstDash w14:val="solid"/>
            <w14:miter w14:val="0"/>
          </w14:textOutline>
        </w:rPr>
        <w:t>桂花水库各月出库水温与库表水温对照表</w:t>
      </w:r>
      <w:r>
        <w:rPr>
          <w:rFonts w:ascii="宋体" w:hAnsi="宋体" w:eastAsia="宋体" w:cs="宋体"/>
          <w:sz w:val="21"/>
          <w:szCs w:val="21"/>
        </w:rPr>
        <w:t xml:space="preserve">     </w:t>
      </w:r>
      <w:r>
        <w:rPr>
          <w:rFonts w:ascii="宋体" w:hAnsi="宋体" w:eastAsia="宋体" w:cs="宋体"/>
          <w:sz w:val="21"/>
          <w:szCs w:val="21"/>
          <w14:textOutline w14:w="3810" w14:cap="flat" w14:cmpd="sng">
            <w14:solidFill>
              <w14:srgbClr w14:val="000000"/>
            </w14:solidFill>
            <w14:prstDash w14:val="solid"/>
            <w14:miter w14:val="0"/>
          </w14:textOutline>
        </w:rPr>
        <w:t>单位：</w:t>
      </w:r>
      <w:r>
        <w:rPr>
          <w:rFonts w:ascii="宋体" w:hAnsi="宋体" w:eastAsia="宋体" w:cs="宋体"/>
          <w:spacing w:val="29"/>
          <w:sz w:val="21"/>
          <w:szCs w:val="21"/>
        </w:rPr>
        <w:t xml:space="preserve"> </w:t>
      </w:r>
      <w:r>
        <w:rPr>
          <w:rFonts w:ascii="宋体" w:hAnsi="宋体" w:eastAsia="宋体" w:cs="宋体"/>
          <w:sz w:val="21"/>
          <w:szCs w:val="21"/>
          <w14:textOutline w14:w="3810" w14:cap="flat" w14:cmpd="sng">
            <w14:solidFill>
              <w14:srgbClr w14:val="000000"/>
            </w14:solidFill>
            <w14:prstDash w14:val="solid"/>
            <w14:miter w14:val="0"/>
          </w14:textOutline>
        </w:rPr>
        <w:t>℃</w:t>
      </w:r>
    </w:p>
    <w:p>
      <w:pPr>
        <w:spacing w:line="127" w:lineRule="exact"/>
      </w:pPr>
    </w:p>
    <w:tbl>
      <w:tblPr>
        <w:tblStyle w:val="5"/>
        <w:tblW w:w="8661" w:type="dxa"/>
        <w:tblInd w:w="1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5"/>
        <w:gridCol w:w="586"/>
        <w:gridCol w:w="584"/>
        <w:gridCol w:w="634"/>
        <w:gridCol w:w="659"/>
        <w:gridCol w:w="679"/>
        <w:gridCol w:w="636"/>
        <w:gridCol w:w="600"/>
        <w:gridCol w:w="601"/>
        <w:gridCol w:w="635"/>
        <w:gridCol w:w="636"/>
        <w:gridCol w:w="594"/>
        <w:gridCol w:w="58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26" w:hRule="atLeast"/>
        </w:trPr>
        <w:tc>
          <w:tcPr>
            <w:tcW w:w="1235" w:type="dxa"/>
            <w:tcBorders>
              <w:left w:val="nil"/>
            </w:tcBorders>
            <w:vAlign w:val="top"/>
          </w:tcPr>
          <w:p>
            <w:pPr>
              <w:spacing w:before="57" w:line="218" w:lineRule="auto"/>
              <w:ind w:left="432"/>
              <w:rPr>
                <w:rFonts w:ascii="仿宋" w:hAnsi="仿宋" w:eastAsia="仿宋" w:cs="仿宋"/>
                <w:sz w:val="21"/>
                <w:szCs w:val="21"/>
              </w:rPr>
            </w:pPr>
            <w:r>
              <w:rPr>
                <w:rFonts w:ascii="仿宋" w:hAnsi="仿宋" w:eastAsia="仿宋" w:cs="仿宋"/>
                <w:spacing w:val="-6"/>
                <w:sz w:val="21"/>
                <w:szCs w:val="21"/>
              </w:rPr>
              <w:t>月份</w:t>
            </w:r>
          </w:p>
        </w:tc>
        <w:tc>
          <w:tcPr>
            <w:tcW w:w="586" w:type="dxa"/>
            <w:vAlign w:val="top"/>
          </w:tcPr>
          <w:p>
            <w:pPr>
              <w:pStyle w:val="6"/>
              <w:spacing w:before="93" w:line="188" w:lineRule="auto"/>
              <w:ind w:left="256"/>
            </w:pPr>
            <w:r>
              <w:t>1</w:t>
            </w:r>
          </w:p>
        </w:tc>
        <w:tc>
          <w:tcPr>
            <w:tcW w:w="584" w:type="dxa"/>
            <w:vAlign w:val="top"/>
          </w:tcPr>
          <w:p>
            <w:pPr>
              <w:pStyle w:val="6"/>
              <w:spacing w:before="93" w:line="188" w:lineRule="auto"/>
              <w:ind w:left="236"/>
            </w:pPr>
            <w:r>
              <w:t>2</w:t>
            </w:r>
          </w:p>
        </w:tc>
        <w:tc>
          <w:tcPr>
            <w:tcW w:w="634" w:type="dxa"/>
            <w:vAlign w:val="top"/>
          </w:tcPr>
          <w:p>
            <w:pPr>
              <w:pStyle w:val="6"/>
              <w:spacing w:before="93" w:line="188" w:lineRule="auto"/>
              <w:ind w:left="264"/>
            </w:pPr>
            <w:r>
              <w:t>3</w:t>
            </w:r>
          </w:p>
        </w:tc>
        <w:tc>
          <w:tcPr>
            <w:tcW w:w="659" w:type="dxa"/>
            <w:vAlign w:val="top"/>
          </w:tcPr>
          <w:p>
            <w:pPr>
              <w:pStyle w:val="6"/>
              <w:spacing w:before="93" w:line="188" w:lineRule="auto"/>
              <w:ind w:left="272"/>
            </w:pPr>
            <w:r>
              <w:t>4</w:t>
            </w:r>
          </w:p>
        </w:tc>
        <w:tc>
          <w:tcPr>
            <w:tcW w:w="679" w:type="dxa"/>
            <w:vAlign w:val="top"/>
          </w:tcPr>
          <w:p>
            <w:pPr>
              <w:pStyle w:val="6"/>
              <w:spacing w:before="96" w:line="185" w:lineRule="auto"/>
              <w:ind w:left="288"/>
            </w:pPr>
            <w:r>
              <w:t>5</w:t>
            </w:r>
          </w:p>
        </w:tc>
        <w:tc>
          <w:tcPr>
            <w:tcW w:w="636" w:type="dxa"/>
            <w:vAlign w:val="top"/>
          </w:tcPr>
          <w:p>
            <w:pPr>
              <w:pStyle w:val="6"/>
              <w:spacing w:before="93" w:line="188" w:lineRule="auto"/>
              <w:ind w:left="266"/>
            </w:pPr>
            <w:r>
              <w:t>6</w:t>
            </w:r>
          </w:p>
        </w:tc>
        <w:tc>
          <w:tcPr>
            <w:tcW w:w="600" w:type="dxa"/>
            <w:vAlign w:val="top"/>
          </w:tcPr>
          <w:p>
            <w:pPr>
              <w:pStyle w:val="6"/>
              <w:spacing w:before="96" w:line="185" w:lineRule="auto"/>
              <w:ind w:left="247"/>
            </w:pPr>
            <w:r>
              <w:t>7</w:t>
            </w:r>
          </w:p>
        </w:tc>
        <w:tc>
          <w:tcPr>
            <w:tcW w:w="601" w:type="dxa"/>
            <w:vAlign w:val="top"/>
          </w:tcPr>
          <w:p>
            <w:pPr>
              <w:pStyle w:val="6"/>
              <w:spacing w:before="93" w:line="188" w:lineRule="auto"/>
              <w:ind w:left="253"/>
            </w:pPr>
            <w:r>
              <w:t>8</w:t>
            </w:r>
          </w:p>
        </w:tc>
        <w:tc>
          <w:tcPr>
            <w:tcW w:w="635" w:type="dxa"/>
            <w:vAlign w:val="top"/>
          </w:tcPr>
          <w:p>
            <w:pPr>
              <w:pStyle w:val="6"/>
              <w:spacing w:before="93" w:line="188" w:lineRule="auto"/>
              <w:ind w:left="265"/>
            </w:pPr>
            <w:r>
              <w:t>9</w:t>
            </w:r>
          </w:p>
        </w:tc>
        <w:tc>
          <w:tcPr>
            <w:tcW w:w="636" w:type="dxa"/>
            <w:vAlign w:val="top"/>
          </w:tcPr>
          <w:p>
            <w:pPr>
              <w:pStyle w:val="6"/>
              <w:spacing w:before="93" w:line="188" w:lineRule="auto"/>
              <w:ind w:left="229"/>
            </w:pPr>
            <w:r>
              <w:rPr>
                <w:spacing w:val="-6"/>
              </w:rPr>
              <w:t>10</w:t>
            </w:r>
          </w:p>
        </w:tc>
        <w:tc>
          <w:tcPr>
            <w:tcW w:w="594" w:type="dxa"/>
            <w:vAlign w:val="top"/>
          </w:tcPr>
          <w:p>
            <w:pPr>
              <w:pStyle w:val="6"/>
              <w:spacing w:before="93" w:line="188" w:lineRule="auto"/>
              <w:ind w:left="212"/>
            </w:pPr>
            <w:r>
              <w:rPr>
                <w:spacing w:val="-9"/>
              </w:rPr>
              <w:t>11</w:t>
            </w:r>
          </w:p>
        </w:tc>
        <w:tc>
          <w:tcPr>
            <w:tcW w:w="582" w:type="dxa"/>
            <w:tcBorders>
              <w:right w:val="nil"/>
            </w:tcBorders>
            <w:vAlign w:val="top"/>
          </w:tcPr>
          <w:p>
            <w:pPr>
              <w:pStyle w:val="6"/>
              <w:spacing w:before="93" w:line="188" w:lineRule="auto"/>
              <w:ind w:left="208"/>
            </w:pPr>
            <w:r>
              <w:rPr>
                <w:spacing w:val="-12"/>
              </w:rPr>
              <w:t>12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4" w:hRule="atLeast"/>
        </w:trPr>
        <w:tc>
          <w:tcPr>
            <w:tcW w:w="1235" w:type="dxa"/>
            <w:tcBorders>
              <w:left w:val="nil"/>
            </w:tcBorders>
            <w:vAlign w:val="top"/>
          </w:tcPr>
          <w:p>
            <w:pPr>
              <w:spacing w:before="48" w:line="218" w:lineRule="auto"/>
              <w:ind w:left="235"/>
              <w:rPr>
                <w:rFonts w:ascii="仿宋" w:hAnsi="仿宋" w:eastAsia="仿宋" w:cs="仿宋"/>
                <w:sz w:val="21"/>
                <w:szCs w:val="21"/>
              </w:rPr>
            </w:pPr>
            <w:r>
              <w:rPr>
                <w:rFonts w:ascii="仿宋" w:hAnsi="仿宋" w:eastAsia="仿宋" w:cs="仿宋"/>
                <w:spacing w:val="-9"/>
                <w:sz w:val="21"/>
                <w:szCs w:val="21"/>
              </w:rPr>
              <w:t>出库水温</w:t>
            </w:r>
          </w:p>
        </w:tc>
        <w:tc>
          <w:tcPr>
            <w:tcW w:w="586" w:type="dxa"/>
            <w:vAlign w:val="top"/>
          </w:tcPr>
          <w:p>
            <w:pPr>
              <w:pStyle w:val="6"/>
              <w:spacing w:before="83" w:line="188" w:lineRule="auto"/>
              <w:ind w:left="73"/>
            </w:pPr>
            <w:r>
              <w:rPr>
                <w:spacing w:val="-5"/>
              </w:rPr>
              <w:t>12.51</w:t>
            </w:r>
          </w:p>
        </w:tc>
        <w:tc>
          <w:tcPr>
            <w:tcW w:w="584" w:type="dxa"/>
            <w:vAlign w:val="top"/>
          </w:tcPr>
          <w:p>
            <w:pPr>
              <w:pStyle w:val="6"/>
              <w:spacing w:before="83" w:line="188" w:lineRule="auto"/>
              <w:ind w:left="72"/>
            </w:pPr>
            <w:r>
              <w:rPr>
                <w:spacing w:val="-5"/>
              </w:rPr>
              <w:t>12.71</w:t>
            </w:r>
          </w:p>
        </w:tc>
        <w:tc>
          <w:tcPr>
            <w:tcW w:w="634" w:type="dxa"/>
            <w:vAlign w:val="top"/>
          </w:tcPr>
          <w:p>
            <w:pPr>
              <w:pStyle w:val="6"/>
              <w:spacing w:before="83" w:line="188" w:lineRule="auto"/>
              <w:ind w:left="97"/>
            </w:pPr>
            <w:r>
              <w:rPr>
                <w:spacing w:val="-5"/>
              </w:rPr>
              <w:t>12.79</w:t>
            </w:r>
          </w:p>
        </w:tc>
        <w:tc>
          <w:tcPr>
            <w:tcW w:w="659" w:type="dxa"/>
            <w:vAlign w:val="top"/>
          </w:tcPr>
          <w:p>
            <w:pPr>
              <w:pStyle w:val="6"/>
              <w:spacing w:before="83" w:line="188" w:lineRule="auto"/>
              <w:ind w:left="110"/>
            </w:pPr>
            <w:r>
              <w:rPr>
                <w:spacing w:val="-5"/>
              </w:rPr>
              <w:t>13.12</w:t>
            </w:r>
          </w:p>
        </w:tc>
        <w:tc>
          <w:tcPr>
            <w:tcW w:w="679" w:type="dxa"/>
            <w:vAlign w:val="top"/>
          </w:tcPr>
          <w:p>
            <w:pPr>
              <w:pStyle w:val="6"/>
              <w:spacing w:before="83" w:line="188" w:lineRule="auto"/>
              <w:ind w:left="118"/>
            </w:pPr>
            <w:r>
              <w:rPr>
                <w:spacing w:val="-5"/>
              </w:rPr>
              <w:t>14.30</w:t>
            </w:r>
          </w:p>
        </w:tc>
        <w:tc>
          <w:tcPr>
            <w:tcW w:w="636" w:type="dxa"/>
            <w:vAlign w:val="top"/>
          </w:tcPr>
          <w:p>
            <w:pPr>
              <w:pStyle w:val="6"/>
              <w:spacing w:before="83" w:line="188" w:lineRule="auto"/>
              <w:ind w:left="150"/>
            </w:pPr>
            <w:r>
              <w:rPr>
                <w:spacing w:val="-6"/>
              </w:rPr>
              <w:t>19.5</w:t>
            </w:r>
          </w:p>
        </w:tc>
        <w:tc>
          <w:tcPr>
            <w:tcW w:w="600" w:type="dxa"/>
            <w:vAlign w:val="top"/>
          </w:tcPr>
          <w:p>
            <w:pPr>
              <w:pStyle w:val="6"/>
              <w:spacing w:before="83" w:line="188" w:lineRule="auto"/>
              <w:ind w:left="79"/>
            </w:pPr>
            <w:r>
              <w:rPr>
                <w:spacing w:val="-5"/>
              </w:rPr>
              <w:t>16.69</w:t>
            </w:r>
          </w:p>
        </w:tc>
        <w:tc>
          <w:tcPr>
            <w:tcW w:w="601" w:type="dxa"/>
            <w:vAlign w:val="top"/>
          </w:tcPr>
          <w:p>
            <w:pPr>
              <w:pStyle w:val="6"/>
              <w:spacing w:before="83" w:line="188" w:lineRule="auto"/>
              <w:ind w:left="80"/>
            </w:pPr>
            <w:r>
              <w:rPr>
                <w:spacing w:val="-5"/>
              </w:rPr>
              <w:t>13.69</w:t>
            </w:r>
          </w:p>
        </w:tc>
        <w:tc>
          <w:tcPr>
            <w:tcW w:w="635" w:type="dxa"/>
            <w:vAlign w:val="top"/>
          </w:tcPr>
          <w:p>
            <w:pPr>
              <w:pStyle w:val="6"/>
              <w:spacing w:before="83" w:line="188" w:lineRule="auto"/>
              <w:ind w:left="97"/>
            </w:pPr>
            <w:r>
              <w:rPr>
                <w:spacing w:val="-5"/>
              </w:rPr>
              <w:t>13.05</w:t>
            </w:r>
          </w:p>
        </w:tc>
        <w:tc>
          <w:tcPr>
            <w:tcW w:w="636" w:type="dxa"/>
            <w:vAlign w:val="top"/>
          </w:tcPr>
          <w:p>
            <w:pPr>
              <w:pStyle w:val="6"/>
              <w:spacing w:before="83" w:line="188" w:lineRule="auto"/>
              <w:ind w:left="98"/>
            </w:pPr>
            <w:r>
              <w:rPr>
                <w:spacing w:val="-5"/>
              </w:rPr>
              <w:t>13.09</w:t>
            </w:r>
          </w:p>
        </w:tc>
        <w:tc>
          <w:tcPr>
            <w:tcW w:w="594" w:type="dxa"/>
            <w:vAlign w:val="top"/>
          </w:tcPr>
          <w:p>
            <w:pPr>
              <w:pStyle w:val="6"/>
              <w:spacing w:before="83" w:line="188" w:lineRule="auto"/>
              <w:ind w:left="77"/>
            </w:pPr>
            <w:r>
              <w:rPr>
                <w:spacing w:val="-5"/>
              </w:rPr>
              <w:t>12.84</w:t>
            </w:r>
          </w:p>
        </w:tc>
        <w:tc>
          <w:tcPr>
            <w:tcW w:w="582" w:type="dxa"/>
            <w:tcBorders>
              <w:right w:val="nil"/>
            </w:tcBorders>
            <w:vAlign w:val="top"/>
          </w:tcPr>
          <w:p>
            <w:pPr>
              <w:pStyle w:val="6"/>
              <w:spacing w:before="83" w:line="188" w:lineRule="auto"/>
              <w:ind w:left="80"/>
            </w:pPr>
            <w:r>
              <w:rPr>
                <w:spacing w:val="-7"/>
              </w:rPr>
              <w:t>11.52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6" w:hRule="atLeast"/>
        </w:trPr>
        <w:tc>
          <w:tcPr>
            <w:tcW w:w="1235" w:type="dxa"/>
            <w:tcBorders>
              <w:left w:val="nil"/>
            </w:tcBorders>
            <w:vAlign w:val="top"/>
          </w:tcPr>
          <w:p>
            <w:pPr>
              <w:spacing w:before="50" w:line="247" w:lineRule="auto"/>
              <w:ind w:left="422" w:right="191" w:hanging="207"/>
              <w:rPr>
                <w:rFonts w:ascii="仿宋" w:hAnsi="仿宋" w:eastAsia="仿宋" w:cs="仿宋"/>
                <w:sz w:val="21"/>
                <w:szCs w:val="21"/>
              </w:rPr>
            </w:pPr>
            <w:r>
              <w:rPr>
                <w:rFonts w:ascii="仿宋" w:hAnsi="仿宋" w:eastAsia="仿宋" w:cs="仿宋"/>
                <w:spacing w:val="-5"/>
                <w:sz w:val="21"/>
                <w:szCs w:val="21"/>
              </w:rPr>
              <w:t>天然河道</w:t>
            </w:r>
            <w:r>
              <w:rPr>
                <w:rFonts w:ascii="仿宋" w:hAnsi="仿宋" w:eastAsia="仿宋" w:cs="仿宋"/>
                <w:sz w:val="21"/>
                <w:szCs w:val="21"/>
              </w:rPr>
              <w:t xml:space="preserve"> </w:t>
            </w:r>
            <w:r>
              <w:rPr>
                <w:rFonts w:ascii="仿宋" w:hAnsi="仿宋" w:eastAsia="仿宋" w:cs="仿宋"/>
                <w:spacing w:val="-4"/>
                <w:sz w:val="21"/>
                <w:szCs w:val="21"/>
              </w:rPr>
              <w:t>水温</w:t>
            </w:r>
          </w:p>
        </w:tc>
        <w:tc>
          <w:tcPr>
            <w:tcW w:w="586" w:type="dxa"/>
            <w:vAlign w:val="top"/>
          </w:tcPr>
          <w:p>
            <w:pPr>
              <w:pStyle w:val="6"/>
              <w:spacing w:before="242" w:line="188" w:lineRule="auto"/>
              <w:ind w:left="126"/>
            </w:pPr>
            <w:r>
              <w:rPr>
                <w:spacing w:val="-6"/>
              </w:rPr>
              <w:t>12.7</w:t>
            </w:r>
          </w:p>
        </w:tc>
        <w:tc>
          <w:tcPr>
            <w:tcW w:w="584" w:type="dxa"/>
            <w:vAlign w:val="top"/>
          </w:tcPr>
          <w:p>
            <w:pPr>
              <w:pStyle w:val="6"/>
              <w:spacing w:before="242" w:line="188" w:lineRule="auto"/>
              <w:ind w:left="125"/>
            </w:pPr>
            <w:r>
              <w:rPr>
                <w:spacing w:val="-6"/>
              </w:rPr>
              <w:t>14.6</w:t>
            </w:r>
          </w:p>
        </w:tc>
        <w:tc>
          <w:tcPr>
            <w:tcW w:w="634" w:type="dxa"/>
            <w:vAlign w:val="top"/>
          </w:tcPr>
          <w:p>
            <w:pPr>
              <w:pStyle w:val="6"/>
              <w:spacing w:before="242" w:line="188" w:lineRule="auto"/>
              <w:ind w:left="150"/>
            </w:pPr>
            <w:r>
              <w:rPr>
                <w:spacing w:val="-6"/>
              </w:rPr>
              <w:t>16.8</w:t>
            </w:r>
          </w:p>
        </w:tc>
        <w:tc>
          <w:tcPr>
            <w:tcW w:w="659" w:type="dxa"/>
            <w:vAlign w:val="top"/>
          </w:tcPr>
          <w:p>
            <w:pPr>
              <w:pStyle w:val="6"/>
              <w:spacing w:before="242" w:line="188" w:lineRule="auto"/>
              <w:ind w:left="241"/>
            </w:pPr>
            <w:r>
              <w:rPr>
                <w:spacing w:val="-6"/>
              </w:rPr>
              <w:t>19</w:t>
            </w:r>
          </w:p>
        </w:tc>
        <w:tc>
          <w:tcPr>
            <w:tcW w:w="679" w:type="dxa"/>
            <w:vAlign w:val="top"/>
          </w:tcPr>
          <w:p>
            <w:pPr>
              <w:pStyle w:val="6"/>
              <w:spacing w:before="242" w:line="188" w:lineRule="auto"/>
              <w:ind w:left="151"/>
            </w:pPr>
            <w:r>
              <w:rPr>
                <w:spacing w:val="-1"/>
              </w:rPr>
              <w:t>21.5</w:t>
            </w:r>
          </w:p>
        </w:tc>
        <w:tc>
          <w:tcPr>
            <w:tcW w:w="636" w:type="dxa"/>
            <w:vAlign w:val="top"/>
          </w:tcPr>
          <w:p>
            <w:pPr>
              <w:pStyle w:val="6"/>
              <w:spacing w:before="242" w:line="188" w:lineRule="auto"/>
              <w:ind w:left="150"/>
            </w:pPr>
            <w:r>
              <w:rPr>
                <w:spacing w:val="-6"/>
              </w:rPr>
              <w:t>19.5</w:t>
            </w:r>
          </w:p>
        </w:tc>
        <w:tc>
          <w:tcPr>
            <w:tcW w:w="600" w:type="dxa"/>
            <w:vAlign w:val="top"/>
          </w:tcPr>
          <w:p>
            <w:pPr>
              <w:pStyle w:val="6"/>
              <w:spacing w:before="242" w:line="188" w:lineRule="auto"/>
              <w:ind w:left="132"/>
            </w:pPr>
            <w:r>
              <w:rPr>
                <w:spacing w:val="-6"/>
              </w:rPr>
              <w:t>19.2</w:t>
            </w:r>
          </w:p>
        </w:tc>
        <w:tc>
          <w:tcPr>
            <w:tcW w:w="601" w:type="dxa"/>
            <w:vAlign w:val="top"/>
          </w:tcPr>
          <w:p>
            <w:pPr>
              <w:pStyle w:val="6"/>
              <w:spacing w:before="242" w:line="188" w:lineRule="auto"/>
              <w:ind w:left="133"/>
            </w:pPr>
            <w:r>
              <w:rPr>
                <w:spacing w:val="-6"/>
              </w:rPr>
              <w:t>19.6</w:t>
            </w:r>
          </w:p>
        </w:tc>
        <w:tc>
          <w:tcPr>
            <w:tcW w:w="635" w:type="dxa"/>
            <w:vAlign w:val="top"/>
          </w:tcPr>
          <w:p>
            <w:pPr>
              <w:pStyle w:val="6"/>
              <w:spacing w:before="242" w:line="188" w:lineRule="auto"/>
              <w:ind w:left="150"/>
            </w:pPr>
            <w:r>
              <w:rPr>
                <w:spacing w:val="-6"/>
              </w:rPr>
              <w:t>17.5</w:t>
            </w:r>
          </w:p>
        </w:tc>
        <w:tc>
          <w:tcPr>
            <w:tcW w:w="636" w:type="dxa"/>
            <w:vAlign w:val="top"/>
          </w:tcPr>
          <w:p>
            <w:pPr>
              <w:pStyle w:val="6"/>
              <w:spacing w:before="242" w:line="188" w:lineRule="auto"/>
              <w:ind w:left="151"/>
            </w:pPr>
            <w:r>
              <w:rPr>
                <w:spacing w:val="-6"/>
              </w:rPr>
              <w:t>15.7</w:t>
            </w:r>
          </w:p>
        </w:tc>
        <w:tc>
          <w:tcPr>
            <w:tcW w:w="594" w:type="dxa"/>
            <w:vAlign w:val="top"/>
          </w:tcPr>
          <w:p>
            <w:pPr>
              <w:pStyle w:val="6"/>
              <w:spacing w:before="242" w:line="188" w:lineRule="auto"/>
              <w:ind w:left="130"/>
            </w:pPr>
            <w:r>
              <w:rPr>
                <w:spacing w:val="-6"/>
              </w:rPr>
              <w:t>13.5</w:t>
            </w:r>
          </w:p>
        </w:tc>
        <w:tc>
          <w:tcPr>
            <w:tcW w:w="582" w:type="dxa"/>
            <w:tcBorders>
              <w:right w:val="nil"/>
            </w:tcBorders>
            <w:vAlign w:val="top"/>
          </w:tcPr>
          <w:p>
            <w:pPr>
              <w:pStyle w:val="6"/>
              <w:spacing w:before="242" w:line="188" w:lineRule="auto"/>
              <w:ind w:left="132"/>
            </w:pPr>
            <w:r>
              <w:rPr>
                <w:spacing w:val="-8"/>
              </w:rPr>
              <w:t>11.9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6" w:hRule="atLeast"/>
        </w:trPr>
        <w:tc>
          <w:tcPr>
            <w:tcW w:w="1235" w:type="dxa"/>
            <w:tcBorders>
              <w:left w:val="nil"/>
            </w:tcBorders>
            <w:vAlign w:val="top"/>
          </w:tcPr>
          <w:p>
            <w:pPr>
              <w:spacing w:before="54" w:line="219" w:lineRule="auto"/>
              <w:ind w:left="218"/>
              <w:rPr>
                <w:rFonts w:ascii="仿宋" w:hAnsi="仿宋" w:eastAsia="仿宋" w:cs="仿宋"/>
                <w:sz w:val="21"/>
                <w:szCs w:val="21"/>
              </w:rPr>
            </w:pPr>
            <w:r>
              <w:rPr>
                <w:rFonts w:ascii="仿宋" w:hAnsi="仿宋" w:eastAsia="仿宋" w:cs="仿宋"/>
                <w:spacing w:val="-4"/>
                <w:sz w:val="21"/>
                <w:szCs w:val="21"/>
              </w:rPr>
              <w:t>弃水水温</w:t>
            </w:r>
          </w:p>
        </w:tc>
        <w:tc>
          <w:tcPr>
            <w:tcW w:w="586" w:type="dxa"/>
            <w:vAlign w:val="top"/>
          </w:tcPr>
          <w:p>
            <w:pPr>
              <w:pStyle w:val="6"/>
              <w:spacing w:before="88" w:line="216" w:lineRule="auto"/>
              <w:ind w:left="255"/>
            </w:pPr>
            <w:r>
              <w:t>/</w:t>
            </w:r>
          </w:p>
        </w:tc>
        <w:tc>
          <w:tcPr>
            <w:tcW w:w="584" w:type="dxa"/>
            <w:vAlign w:val="top"/>
          </w:tcPr>
          <w:p>
            <w:pPr>
              <w:pStyle w:val="6"/>
              <w:spacing w:before="88" w:line="216" w:lineRule="auto"/>
              <w:ind w:left="254"/>
            </w:pPr>
            <w:r>
              <w:t>/</w:t>
            </w:r>
          </w:p>
        </w:tc>
        <w:tc>
          <w:tcPr>
            <w:tcW w:w="634" w:type="dxa"/>
            <w:vAlign w:val="top"/>
          </w:tcPr>
          <w:p>
            <w:pPr>
              <w:pStyle w:val="6"/>
              <w:spacing w:before="88" w:line="216" w:lineRule="auto"/>
              <w:ind w:left="279"/>
            </w:pPr>
            <w:r>
              <w:t>/</w:t>
            </w:r>
          </w:p>
        </w:tc>
        <w:tc>
          <w:tcPr>
            <w:tcW w:w="659" w:type="dxa"/>
            <w:vAlign w:val="top"/>
          </w:tcPr>
          <w:p>
            <w:pPr>
              <w:pStyle w:val="6"/>
              <w:spacing w:before="88" w:line="216" w:lineRule="auto"/>
              <w:ind w:left="292"/>
            </w:pPr>
            <w:r>
              <w:t>/</w:t>
            </w:r>
          </w:p>
        </w:tc>
        <w:tc>
          <w:tcPr>
            <w:tcW w:w="679" w:type="dxa"/>
            <w:vAlign w:val="top"/>
          </w:tcPr>
          <w:p>
            <w:pPr>
              <w:pStyle w:val="6"/>
              <w:spacing w:before="88" w:line="216" w:lineRule="auto"/>
              <w:ind w:left="301"/>
            </w:pPr>
            <w:r>
              <w:t>/</w:t>
            </w:r>
          </w:p>
        </w:tc>
        <w:tc>
          <w:tcPr>
            <w:tcW w:w="636" w:type="dxa"/>
            <w:vAlign w:val="top"/>
          </w:tcPr>
          <w:p>
            <w:pPr>
              <w:pStyle w:val="6"/>
              <w:spacing w:before="88" w:line="216" w:lineRule="auto"/>
              <w:ind w:left="280"/>
            </w:pPr>
            <w:r>
              <w:t>/</w:t>
            </w:r>
          </w:p>
        </w:tc>
        <w:tc>
          <w:tcPr>
            <w:tcW w:w="600" w:type="dxa"/>
            <w:vAlign w:val="top"/>
          </w:tcPr>
          <w:p>
            <w:pPr>
              <w:pStyle w:val="6"/>
              <w:spacing w:before="88" w:line="216" w:lineRule="auto"/>
              <w:ind w:left="262"/>
            </w:pPr>
            <w:r>
              <w:t>/</w:t>
            </w:r>
          </w:p>
        </w:tc>
        <w:tc>
          <w:tcPr>
            <w:tcW w:w="601" w:type="dxa"/>
            <w:vAlign w:val="top"/>
          </w:tcPr>
          <w:p>
            <w:pPr>
              <w:pStyle w:val="6"/>
              <w:spacing w:before="88" w:line="216" w:lineRule="auto"/>
              <w:ind w:left="263"/>
            </w:pPr>
            <w:r>
              <w:t>/</w:t>
            </w:r>
          </w:p>
        </w:tc>
        <w:tc>
          <w:tcPr>
            <w:tcW w:w="635" w:type="dxa"/>
            <w:vAlign w:val="top"/>
          </w:tcPr>
          <w:p>
            <w:pPr>
              <w:pStyle w:val="6"/>
              <w:spacing w:before="90" w:line="188" w:lineRule="auto"/>
              <w:ind w:left="150"/>
            </w:pPr>
            <w:r>
              <w:rPr>
                <w:spacing w:val="-6"/>
              </w:rPr>
              <w:t>17.5</w:t>
            </w:r>
          </w:p>
        </w:tc>
        <w:tc>
          <w:tcPr>
            <w:tcW w:w="636" w:type="dxa"/>
            <w:vAlign w:val="top"/>
          </w:tcPr>
          <w:p>
            <w:pPr>
              <w:pStyle w:val="6"/>
              <w:spacing w:before="90" w:line="188" w:lineRule="auto"/>
              <w:ind w:left="151"/>
            </w:pPr>
            <w:r>
              <w:rPr>
                <w:spacing w:val="-6"/>
              </w:rPr>
              <w:t>15.7</w:t>
            </w:r>
          </w:p>
        </w:tc>
        <w:tc>
          <w:tcPr>
            <w:tcW w:w="594" w:type="dxa"/>
            <w:vAlign w:val="top"/>
          </w:tcPr>
          <w:p>
            <w:pPr>
              <w:pStyle w:val="6"/>
              <w:spacing w:before="88" w:line="216" w:lineRule="auto"/>
              <w:ind w:left="260"/>
            </w:pPr>
            <w:r>
              <w:t>/</w:t>
            </w:r>
          </w:p>
        </w:tc>
        <w:tc>
          <w:tcPr>
            <w:tcW w:w="582" w:type="dxa"/>
            <w:tcBorders>
              <w:right w:val="nil"/>
            </w:tcBorders>
            <w:vAlign w:val="top"/>
          </w:tcPr>
          <w:p>
            <w:pPr>
              <w:pStyle w:val="6"/>
              <w:spacing w:before="88" w:line="216" w:lineRule="auto"/>
              <w:ind w:left="259"/>
            </w:pP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5" w:hRule="atLeast"/>
        </w:trPr>
        <w:tc>
          <w:tcPr>
            <w:tcW w:w="1235" w:type="dxa"/>
            <w:tcBorders>
              <w:left w:val="nil"/>
            </w:tcBorders>
            <w:vAlign w:val="top"/>
          </w:tcPr>
          <w:p>
            <w:pPr>
              <w:spacing w:before="55" w:line="246" w:lineRule="auto"/>
              <w:ind w:left="212" w:right="83" w:hanging="99"/>
              <w:rPr>
                <w:rFonts w:ascii="仿宋" w:hAnsi="仿宋" w:eastAsia="仿宋" w:cs="仿宋"/>
                <w:sz w:val="21"/>
                <w:szCs w:val="21"/>
              </w:rPr>
            </w:pPr>
            <w:r>
              <w:rPr>
                <w:rFonts w:ascii="仿宋" w:hAnsi="仿宋" w:eastAsia="仿宋" w:cs="仿宋"/>
                <w:spacing w:val="-4"/>
                <w:sz w:val="21"/>
                <w:szCs w:val="21"/>
              </w:rPr>
              <w:t>弃水与生态</w:t>
            </w:r>
            <w:r>
              <w:rPr>
                <w:rFonts w:ascii="仿宋" w:hAnsi="仿宋" w:eastAsia="仿宋" w:cs="仿宋"/>
                <w:sz w:val="21"/>
                <w:szCs w:val="21"/>
              </w:rPr>
              <w:t xml:space="preserve"> </w:t>
            </w:r>
            <w:r>
              <w:rPr>
                <w:rFonts w:ascii="仿宋" w:hAnsi="仿宋" w:eastAsia="仿宋" w:cs="仿宋"/>
                <w:spacing w:val="-3"/>
                <w:sz w:val="21"/>
                <w:szCs w:val="21"/>
              </w:rPr>
              <w:t>流量比值</w:t>
            </w:r>
          </w:p>
        </w:tc>
        <w:tc>
          <w:tcPr>
            <w:tcW w:w="586" w:type="dxa"/>
            <w:vAlign w:val="top"/>
          </w:tcPr>
          <w:p>
            <w:pPr>
              <w:pStyle w:val="6"/>
              <w:spacing w:before="245" w:line="232" w:lineRule="auto"/>
              <w:ind w:left="255"/>
            </w:pPr>
            <w:r>
              <w:t>/</w:t>
            </w:r>
          </w:p>
        </w:tc>
        <w:tc>
          <w:tcPr>
            <w:tcW w:w="584" w:type="dxa"/>
            <w:vAlign w:val="top"/>
          </w:tcPr>
          <w:p>
            <w:pPr>
              <w:pStyle w:val="6"/>
              <w:spacing w:before="245" w:line="232" w:lineRule="auto"/>
              <w:ind w:left="254"/>
            </w:pPr>
            <w:r>
              <w:t>/</w:t>
            </w:r>
          </w:p>
        </w:tc>
        <w:tc>
          <w:tcPr>
            <w:tcW w:w="634" w:type="dxa"/>
            <w:vAlign w:val="top"/>
          </w:tcPr>
          <w:p>
            <w:pPr>
              <w:pStyle w:val="6"/>
              <w:spacing w:before="245" w:line="232" w:lineRule="auto"/>
              <w:ind w:left="279"/>
            </w:pPr>
            <w:r>
              <w:t>/</w:t>
            </w:r>
          </w:p>
        </w:tc>
        <w:tc>
          <w:tcPr>
            <w:tcW w:w="659" w:type="dxa"/>
            <w:vAlign w:val="top"/>
          </w:tcPr>
          <w:p>
            <w:pPr>
              <w:pStyle w:val="6"/>
              <w:spacing w:before="245" w:line="232" w:lineRule="auto"/>
              <w:ind w:left="292"/>
            </w:pPr>
            <w:r>
              <w:t>/</w:t>
            </w:r>
          </w:p>
        </w:tc>
        <w:tc>
          <w:tcPr>
            <w:tcW w:w="679" w:type="dxa"/>
            <w:vAlign w:val="top"/>
          </w:tcPr>
          <w:p>
            <w:pPr>
              <w:pStyle w:val="6"/>
              <w:spacing w:before="245" w:line="232" w:lineRule="auto"/>
              <w:ind w:left="301"/>
            </w:pPr>
            <w:r>
              <w:t>/</w:t>
            </w:r>
          </w:p>
        </w:tc>
        <w:tc>
          <w:tcPr>
            <w:tcW w:w="636" w:type="dxa"/>
            <w:vAlign w:val="top"/>
          </w:tcPr>
          <w:p>
            <w:pPr>
              <w:pStyle w:val="6"/>
              <w:spacing w:before="245" w:line="232" w:lineRule="auto"/>
              <w:ind w:left="280"/>
            </w:pPr>
            <w:r>
              <w:t>/</w:t>
            </w:r>
          </w:p>
        </w:tc>
        <w:tc>
          <w:tcPr>
            <w:tcW w:w="600" w:type="dxa"/>
            <w:vAlign w:val="top"/>
          </w:tcPr>
          <w:p>
            <w:pPr>
              <w:pStyle w:val="6"/>
              <w:spacing w:before="245" w:line="232" w:lineRule="auto"/>
              <w:ind w:left="262"/>
            </w:pPr>
            <w:r>
              <w:t>/</w:t>
            </w:r>
          </w:p>
        </w:tc>
        <w:tc>
          <w:tcPr>
            <w:tcW w:w="601" w:type="dxa"/>
            <w:vAlign w:val="top"/>
          </w:tcPr>
          <w:p>
            <w:pPr>
              <w:pStyle w:val="6"/>
              <w:spacing w:before="245" w:line="232" w:lineRule="auto"/>
              <w:ind w:left="263"/>
            </w:pPr>
            <w:r>
              <w:t>/</w:t>
            </w:r>
          </w:p>
        </w:tc>
        <w:tc>
          <w:tcPr>
            <w:tcW w:w="635" w:type="dxa"/>
            <w:vAlign w:val="top"/>
          </w:tcPr>
          <w:p>
            <w:pPr>
              <w:pStyle w:val="6"/>
              <w:spacing w:before="246" w:line="188" w:lineRule="auto"/>
              <w:ind w:left="97"/>
            </w:pPr>
            <w:r>
              <w:rPr>
                <w:spacing w:val="-5"/>
              </w:rPr>
              <w:t>10.89</w:t>
            </w:r>
          </w:p>
        </w:tc>
        <w:tc>
          <w:tcPr>
            <w:tcW w:w="636" w:type="dxa"/>
            <w:vAlign w:val="top"/>
          </w:tcPr>
          <w:p>
            <w:pPr>
              <w:pStyle w:val="6"/>
              <w:spacing w:before="246" w:line="188" w:lineRule="auto"/>
              <w:ind w:left="136"/>
            </w:pPr>
            <w:r>
              <w:rPr>
                <w:spacing w:val="-3"/>
              </w:rPr>
              <w:t>6.63</w:t>
            </w:r>
          </w:p>
        </w:tc>
        <w:tc>
          <w:tcPr>
            <w:tcW w:w="594" w:type="dxa"/>
            <w:vAlign w:val="top"/>
          </w:tcPr>
          <w:p>
            <w:pPr>
              <w:pStyle w:val="6"/>
              <w:spacing w:before="245" w:line="232" w:lineRule="auto"/>
              <w:ind w:left="260"/>
            </w:pPr>
            <w:r>
              <w:t>/</w:t>
            </w:r>
          </w:p>
        </w:tc>
        <w:tc>
          <w:tcPr>
            <w:tcW w:w="582" w:type="dxa"/>
            <w:tcBorders>
              <w:right w:val="nil"/>
            </w:tcBorders>
            <w:vAlign w:val="top"/>
          </w:tcPr>
          <w:p>
            <w:pPr>
              <w:pStyle w:val="6"/>
              <w:spacing w:before="245" w:line="232" w:lineRule="auto"/>
              <w:ind w:left="259"/>
            </w:pPr>
            <w: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15" w:hRule="atLeast"/>
        </w:trPr>
        <w:tc>
          <w:tcPr>
            <w:tcW w:w="1235" w:type="dxa"/>
            <w:tcBorders>
              <w:left w:val="nil"/>
            </w:tcBorders>
            <w:vAlign w:val="top"/>
          </w:tcPr>
          <w:p>
            <w:pPr>
              <w:spacing w:before="59" w:line="216" w:lineRule="auto"/>
              <w:ind w:left="216"/>
              <w:rPr>
                <w:rFonts w:ascii="仿宋" w:hAnsi="仿宋" w:eastAsia="仿宋" w:cs="仿宋"/>
                <w:sz w:val="21"/>
                <w:szCs w:val="21"/>
              </w:rPr>
            </w:pPr>
            <w:r>
              <w:rPr>
                <w:rFonts w:ascii="仿宋" w:hAnsi="仿宋" w:eastAsia="仿宋" w:cs="仿宋"/>
                <w:spacing w:val="-4"/>
                <w:sz w:val="21"/>
                <w:szCs w:val="21"/>
              </w:rPr>
              <w:t>混合水温</w:t>
            </w:r>
          </w:p>
        </w:tc>
        <w:tc>
          <w:tcPr>
            <w:tcW w:w="586" w:type="dxa"/>
            <w:vAlign w:val="top"/>
          </w:tcPr>
          <w:p>
            <w:pPr>
              <w:pStyle w:val="6"/>
              <w:spacing w:before="95" w:line="188" w:lineRule="auto"/>
              <w:ind w:left="73"/>
            </w:pPr>
            <w:r>
              <w:rPr>
                <w:spacing w:val="-5"/>
              </w:rPr>
              <w:t>12.51</w:t>
            </w:r>
          </w:p>
        </w:tc>
        <w:tc>
          <w:tcPr>
            <w:tcW w:w="584" w:type="dxa"/>
            <w:vAlign w:val="top"/>
          </w:tcPr>
          <w:p>
            <w:pPr>
              <w:pStyle w:val="6"/>
              <w:spacing w:before="95" w:line="188" w:lineRule="auto"/>
              <w:ind w:left="72"/>
            </w:pPr>
            <w:r>
              <w:rPr>
                <w:spacing w:val="-5"/>
              </w:rPr>
              <w:t>12.71</w:t>
            </w:r>
          </w:p>
        </w:tc>
        <w:tc>
          <w:tcPr>
            <w:tcW w:w="634" w:type="dxa"/>
            <w:vAlign w:val="top"/>
          </w:tcPr>
          <w:p>
            <w:pPr>
              <w:pStyle w:val="6"/>
              <w:spacing w:before="95" w:line="188" w:lineRule="auto"/>
              <w:ind w:left="97"/>
            </w:pPr>
            <w:r>
              <w:rPr>
                <w:spacing w:val="-5"/>
              </w:rPr>
              <w:t>12.79</w:t>
            </w:r>
          </w:p>
        </w:tc>
        <w:tc>
          <w:tcPr>
            <w:tcW w:w="659" w:type="dxa"/>
            <w:vAlign w:val="top"/>
          </w:tcPr>
          <w:p>
            <w:pPr>
              <w:pStyle w:val="6"/>
              <w:spacing w:before="95" w:line="188" w:lineRule="auto"/>
              <w:ind w:left="110"/>
            </w:pPr>
            <w:r>
              <w:rPr>
                <w:spacing w:val="-5"/>
              </w:rPr>
              <w:t>13.12</w:t>
            </w:r>
          </w:p>
        </w:tc>
        <w:tc>
          <w:tcPr>
            <w:tcW w:w="679" w:type="dxa"/>
            <w:vAlign w:val="top"/>
          </w:tcPr>
          <w:p>
            <w:pPr>
              <w:pStyle w:val="6"/>
              <w:spacing w:before="95" w:line="188" w:lineRule="auto"/>
              <w:ind w:left="171"/>
            </w:pPr>
            <w:r>
              <w:rPr>
                <w:spacing w:val="-7"/>
              </w:rPr>
              <w:t>14.3</w:t>
            </w:r>
          </w:p>
        </w:tc>
        <w:tc>
          <w:tcPr>
            <w:tcW w:w="636" w:type="dxa"/>
            <w:vAlign w:val="top"/>
          </w:tcPr>
          <w:p>
            <w:pPr>
              <w:pStyle w:val="6"/>
              <w:spacing w:before="95" w:line="188" w:lineRule="auto"/>
              <w:ind w:left="150"/>
            </w:pPr>
            <w:r>
              <w:rPr>
                <w:spacing w:val="-6"/>
              </w:rPr>
              <w:t>19.5</w:t>
            </w:r>
          </w:p>
        </w:tc>
        <w:tc>
          <w:tcPr>
            <w:tcW w:w="600" w:type="dxa"/>
            <w:vAlign w:val="top"/>
          </w:tcPr>
          <w:p>
            <w:pPr>
              <w:pStyle w:val="6"/>
              <w:spacing w:before="95" w:line="188" w:lineRule="auto"/>
              <w:ind w:left="79"/>
            </w:pPr>
            <w:r>
              <w:rPr>
                <w:spacing w:val="-5"/>
              </w:rPr>
              <w:t>16.69</w:t>
            </w:r>
          </w:p>
        </w:tc>
        <w:tc>
          <w:tcPr>
            <w:tcW w:w="601" w:type="dxa"/>
            <w:vAlign w:val="top"/>
          </w:tcPr>
          <w:p>
            <w:pPr>
              <w:pStyle w:val="6"/>
              <w:spacing w:before="95" w:line="188" w:lineRule="auto"/>
              <w:ind w:left="80"/>
            </w:pPr>
            <w:r>
              <w:rPr>
                <w:spacing w:val="-5"/>
              </w:rPr>
              <w:t>13.69</w:t>
            </w:r>
          </w:p>
        </w:tc>
        <w:tc>
          <w:tcPr>
            <w:tcW w:w="635" w:type="dxa"/>
            <w:vAlign w:val="top"/>
          </w:tcPr>
          <w:p>
            <w:pPr>
              <w:pStyle w:val="6"/>
              <w:spacing w:before="95" w:line="188" w:lineRule="auto"/>
              <w:ind w:left="97"/>
            </w:pPr>
            <w:r>
              <w:rPr>
                <w:spacing w:val="-5"/>
              </w:rPr>
              <w:t>16.32</w:t>
            </w:r>
          </w:p>
        </w:tc>
        <w:tc>
          <w:tcPr>
            <w:tcW w:w="636" w:type="dxa"/>
            <w:vAlign w:val="top"/>
          </w:tcPr>
          <w:p>
            <w:pPr>
              <w:pStyle w:val="6"/>
              <w:spacing w:before="95" w:line="188" w:lineRule="auto"/>
              <w:ind w:left="98"/>
            </w:pPr>
            <w:r>
              <w:rPr>
                <w:spacing w:val="-5"/>
              </w:rPr>
              <w:t>14.64</w:t>
            </w:r>
          </w:p>
        </w:tc>
        <w:tc>
          <w:tcPr>
            <w:tcW w:w="594" w:type="dxa"/>
            <w:vAlign w:val="top"/>
          </w:tcPr>
          <w:p>
            <w:pPr>
              <w:pStyle w:val="6"/>
              <w:spacing w:before="95" w:line="188" w:lineRule="auto"/>
              <w:ind w:left="77"/>
            </w:pPr>
            <w:r>
              <w:rPr>
                <w:spacing w:val="-5"/>
              </w:rPr>
              <w:t>12.84</w:t>
            </w:r>
          </w:p>
        </w:tc>
        <w:tc>
          <w:tcPr>
            <w:tcW w:w="582" w:type="dxa"/>
            <w:tcBorders>
              <w:right w:val="nil"/>
            </w:tcBorders>
            <w:vAlign w:val="top"/>
          </w:tcPr>
          <w:p>
            <w:pPr>
              <w:pStyle w:val="6"/>
              <w:spacing w:before="95" w:line="188" w:lineRule="auto"/>
              <w:ind w:left="76"/>
            </w:pPr>
            <w:r>
              <w:rPr>
                <w:spacing w:val="-5"/>
              </w:rPr>
              <w:t>12.52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25" w:hRule="atLeast"/>
        </w:trPr>
        <w:tc>
          <w:tcPr>
            <w:tcW w:w="1235" w:type="dxa"/>
            <w:tcBorders>
              <w:left w:val="nil"/>
            </w:tcBorders>
            <w:vAlign w:val="top"/>
          </w:tcPr>
          <w:p>
            <w:pPr>
              <w:spacing w:before="62" w:line="222" w:lineRule="auto"/>
              <w:ind w:left="425"/>
              <w:rPr>
                <w:rFonts w:ascii="仿宋" w:hAnsi="仿宋" w:eastAsia="仿宋" w:cs="仿宋"/>
                <w:sz w:val="21"/>
                <w:szCs w:val="21"/>
              </w:rPr>
            </w:pPr>
            <w:r>
              <w:rPr>
                <w:rFonts w:ascii="仿宋" w:hAnsi="仿宋" w:eastAsia="仿宋" w:cs="仿宋"/>
                <w:spacing w:val="-5"/>
                <w:sz w:val="21"/>
                <w:szCs w:val="21"/>
              </w:rPr>
              <w:t>温差</w:t>
            </w:r>
          </w:p>
        </w:tc>
        <w:tc>
          <w:tcPr>
            <w:tcW w:w="586" w:type="dxa"/>
            <w:vAlign w:val="top"/>
          </w:tcPr>
          <w:p>
            <w:pPr>
              <w:pStyle w:val="6"/>
              <w:spacing w:before="97" w:line="188" w:lineRule="auto"/>
              <w:ind w:left="74"/>
            </w:pPr>
            <w:r>
              <w:rPr>
                <w:spacing w:val="-2"/>
              </w:rPr>
              <w:t>-0.19</w:t>
            </w:r>
          </w:p>
        </w:tc>
        <w:tc>
          <w:tcPr>
            <w:tcW w:w="584" w:type="dxa"/>
            <w:vAlign w:val="top"/>
          </w:tcPr>
          <w:p>
            <w:pPr>
              <w:pStyle w:val="6"/>
              <w:spacing w:before="97" w:line="188" w:lineRule="auto"/>
              <w:ind w:left="73"/>
            </w:pPr>
            <w:r>
              <w:rPr>
                <w:spacing w:val="-7"/>
              </w:rPr>
              <w:t>-</w:t>
            </w:r>
            <w:r>
              <w:rPr>
                <w:spacing w:val="-27"/>
              </w:rPr>
              <w:t xml:space="preserve"> </w:t>
            </w:r>
            <w:r>
              <w:rPr>
                <w:spacing w:val="-7"/>
              </w:rPr>
              <w:t>1.89</w:t>
            </w:r>
          </w:p>
        </w:tc>
        <w:tc>
          <w:tcPr>
            <w:tcW w:w="634" w:type="dxa"/>
            <w:vAlign w:val="top"/>
          </w:tcPr>
          <w:p>
            <w:pPr>
              <w:pStyle w:val="6"/>
              <w:spacing w:before="97" w:line="188" w:lineRule="auto"/>
              <w:ind w:left="98"/>
            </w:pPr>
            <w:r>
              <w:rPr>
                <w:spacing w:val="-2"/>
              </w:rPr>
              <w:t>-4.01</w:t>
            </w:r>
          </w:p>
        </w:tc>
        <w:tc>
          <w:tcPr>
            <w:tcW w:w="659" w:type="dxa"/>
            <w:vAlign w:val="top"/>
          </w:tcPr>
          <w:p>
            <w:pPr>
              <w:pStyle w:val="6"/>
              <w:spacing w:before="97" w:line="188" w:lineRule="auto"/>
              <w:ind w:left="111"/>
            </w:pPr>
            <w:r>
              <w:rPr>
                <w:spacing w:val="-2"/>
              </w:rPr>
              <w:t>-5.88</w:t>
            </w:r>
          </w:p>
        </w:tc>
        <w:tc>
          <w:tcPr>
            <w:tcW w:w="679" w:type="dxa"/>
            <w:vAlign w:val="top"/>
          </w:tcPr>
          <w:p>
            <w:pPr>
              <w:pStyle w:val="6"/>
              <w:spacing w:before="97" w:line="188" w:lineRule="auto"/>
              <w:ind w:left="173"/>
            </w:pPr>
            <w:r>
              <w:rPr>
                <w:spacing w:val="-3"/>
              </w:rPr>
              <w:t>-7.2</w:t>
            </w:r>
          </w:p>
        </w:tc>
        <w:tc>
          <w:tcPr>
            <w:tcW w:w="636" w:type="dxa"/>
            <w:vAlign w:val="top"/>
          </w:tcPr>
          <w:p>
            <w:pPr>
              <w:pStyle w:val="6"/>
              <w:spacing w:before="97" w:line="188" w:lineRule="auto"/>
              <w:ind w:left="265"/>
            </w:pPr>
            <w:r>
              <w:t>0</w:t>
            </w:r>
          </w:p>
        </w:tc>
        <w:tc>
          <w:tcPr>
            <w:tcW w:w="600" w:type="dxa"/>
            <w:vAlign w:val="top"/>
          </w:tcPr>
          <w:p>
            <w:pPr>
              <w:pStyle w:val="6"/>
              <w:spacing w:before="97" w:line="188" w:lineRule="auto"/>
              <w:ind w:left="81"/>
            </w:pPr>
            <w:r>
              <w:rPr>
                <w:spacing w:val="-2"/>
              </w:rPr>
              <w:t>-2.51</w:t>
            </w:r>
          </w:p>
        </w:tc>
        <w:tc>
          <w:tcPr>
            <w:tcW w:w="601" w:type="dxa"/>
            <w:vAlign w:val="top"/>
          </w:tcPr>
          <w:p>
            <w:pPr>
              <w:pStyle w:val="6"/>
              <w:spacing w:before="97" w:line="188" w:lineRule="auto"/>
              <w:ind w:left="82"/>
            </w:pPr>
            <w:r>
              <w:rPr>
                <w:spacing w:val="-2"/>
              </w:rPr>
              <w:t>-5.91</w:t>
            </w:r>
          </w:p>
        </w:tc>
        <w:tc>
          <w:tcPr>
            <w:tcW w:w="635" w:type="dxa"/>
            <w:vAlign w:val="top"/>
          </w:tcPr>
          <w:p>
            <w:pPr>
              <w:pStyle w:val="6"/>
              <w:spacing w:before="97" w:line="188" w:lineRule="auto"/>
              <w:ind w:left="98"/>
            </w:pPr>
            <w:r>
              <w:rPr>
                <w:spacing w:val="-7"/>
              </w:rPr>
              <w:t>-</w:t>
            </w:r>
            <w:r>
              <w:rPr>
                <w:spacing w:val="-27"/>
              </w:rPr>
              <w:t xml:space="preserve"> </w:t>
            </w:r>
            <w:r>
              <w:rPr>
                <w:spacing w:val="-7"/>
              </w:rPr>
              <w:t>1.18</w:t>
            </w:r>
          </w:p>
        </w:tc>
        <w:tc>
          <w:tcPr>
            <w:tcW w:w="636" w:type="dxa"/>
            <w:vAlign w:val="top"/>
          </w:tcPr>
          <w:p>
            <w:pPr>
              <w:pStyle w:val="6"/>
              <w:spacing w:before="97" w:line="188" w:lineRule="auto"/>
              <w:ind w:left="99"/>
            </w:pPr>
            <w:r>
              <w:rPr>
                <w:spacing w:val="-7"/>
              </w:rPr>
              <w:t>-</w:t>
            </w:r>
            <w:r>
              <w:rPr>
                <w:spacing w:val="-27"/>
              </w:rPr>
              <w:t xml:space="preserve"> </w:t>
            </w:r>
            <w:r>
              <w:rPr>
                <w:spacing w:val="-7"/>
              </w:rPr>
              <w:t>1.06</w:t>
            </w:r>
          </w:p>
        </w:tc>
        <w:tc>
          <w:tcPr>
            <w:tcW w:w="594" w:type="dxa"/>
            <w:vAlign w:val="top"/>
          </w:tcPr>
          <w:p>
            <w:pPr>
              <w:pStyle w:val="6"/>
              <w:spacing w:before="97" w:line="188" w:lineRule="auto"/>
              <w:ind w:left="79"/>
            </w:pPr>
            <w:r>
              <w:rPr>
                <w:spacing w:val="-2"/>
              </w:rPr>
              <w:t>-0.66</w:t>
            </w:r>
          </w:p>
        </w:tc>
        <w:tc>
          <w:tcPr>
            <w:tcW w:w="582" w:type="dxa"/>
            <w:tcBorders>
              <w:right w:val="nil"/>
            </w:tcBorders>
            <w:vAlign w:val="top"/>
          </w:tcPr>
          <w:p>
            <w:pPr>
              <w:pStyle w:val="6"/>
              <w:spacing w:before="97" w:line="188" w:lineRule="auto"/>
              <w:ind w:left="78"/>
            </w:pPr>
            <w:r>
              <w:rPr>
                <w:spacing w:val="-2"/>
              </w:rPr>
              <w:t>-0.38</w:t>
            </w:r>
          </w:p>
        </w:tc>
      </w:tr>
    </w:tbl>
    <w:p>
      <w:pPr>
        <w:spacing w:before="30" w:line="220" w:lineRule="auto"/>
        <w:ind w:left="38"/>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注：</w:t>
      </w:r>
      <w:r>
        <w:rPr>
          <w:rFonts w:ascii="Times New Roman" w:hAnsi="Times New Roman" w:eastAsia="Times New Roman" w:cs="Times New Roman"/>
          <w:b/>
          <w:bCs/>
          <w:spacing w:val="-2"/>
          <w:sz w:val="21"/>
          <w:szCs w:val="21"/>
        </w:rPr>
        <w:t>9</w:t>
      </w:r>
      <w:r>
        <w:rPr>
          <w:rFonts w:ascii="Times New Roman" w:hAnsi="Times New Roman" w:eastAsia="Times New Roman" w:cs="Times New Roman"/>
          <w:b/>
          <w:bCs/>
          <w:spacing w:val="-23"/>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2"/>
          <w:sz w:val="21"/>
          <w:szCs w:val="21"/>
        </w:rPr>
        <w:t>10</w:t>
      </w:r>
      <w:r>
        <w:rPr>
          <w:rFonts w:ascii="Times New Roman" w:hAnsi="Times New Roman" w:eastAsia="Times New Roman" w:cs="Times New Roman"/>
          <w:b/>
          <w:bCs/>
          <w:spacing w:val="14"/>
          <w:w w:val="101"/>
          <w:sz w:val="21"/>
          <w:szCs w:val="21"/>
        </w:rPr>
        <w:t xml:space="preserve"> </w:t>
      </w:r>
      <w:r>
        <w:rPr>
          <w:rFonts w:ascii="宋体" w:hAnsi="宋体" w:eastAsia="宋体" w:cs="宋体"/>
          <w:spacing w:val="-2"/>
          <w:sz w:val="21"/>
          <w:szCs w:val="21"/>
          <w14:textOutline w14:w="3810" w14:cap="flat" w14:cmpd="sng">
            <w14:solidFill>
              <w14:srgbClr w14:val="000000"/>
            </w14:solidFill>
            <w14:prstDash w14:val="solid"/>
            <w14:miter w14:val="0"/>
          </w14:textOutline>
        </w:rPr>
        <w:t>月水库弃水通过溢洪道泄流，水温取表层水温度。</w:t>
      </w:r>
    </w:p>
    <w:p>
      <w:pPr>
        <w:spacing w:line="157" w:lineRule="exact"/>
      </w:pPr>
    </w:p>
    <w:tbl>
      <w:tblPr>
        <w:tblStyle w:val="5"/>
        <w:tblW w:w="8302" w:type="dxa"/>
        <w:tblInd w:w="29" w:type="dxa"/>
        <w:tblBorders>
          <w:top w:val="single" w:color="898989" w:sz="4" w:space="0"/>
          <w:left w:val="single" w:color="898989" w:sz="4" w:space="0"/>
          <w:bottom w:val="single" w:color="898989" w:sz="4" w:space="0"/>
          <w:right w:val="single" w:color="898989" w:sz="4" w:space="0"/>
          <w:insideH w:val="single" w:color="898989" w:sz="4" w:space="0"/>
          <w:insideV w:val="single" w:color="898989" w:sz="4" w:space="0"/>
        </w:tblBorders>
        <w:tblLayout w:type="fixed"/>
        <w:tblCellMar>
          <w:top w:w="0" w:type="dxa"/>
          <w:left w:w="0" w:type="dxa"/>
          <w:bottom w:w="0" w:type="dxa"/>
          <w:right w:w="0" w:type="dxa"/>
        </w:tblCellMar>
      </w:tblPr>
      <w:tblGrid>
        <w:gridCol w:w="848"/>
        <w:gridCol w:w="5860"/>
        <w:gridCol w:w="1594"/>
      </w:tblGrid>
      <w:tr>
        <w:tblPrEx>
          <w:tblBorders>
            <w:top w:val="single" w:color="898989" w:sz="4" w:space="0"/>
            <w:left w:val="single" w:color="898989" w:sz="4" w:space="0"/>
            <w:bottom w:val="single" w:color="898989" w:sz="4" w:space="0"/>
            <w:right w:val="single" w:color="898989" w:sz="4" w:space="0"/>
            <w:insideH w:val="single" w:color="898989" w:sz="4" w:space="0"/>
            <w:insideV w:val="single" w:color="898989" w:sz="4" w:space="0"/>
          </w:tblBorders>
          <w:tblLayout w:type="fixed"/>
          <w:tblCellMar>
            <w:top w:w="0" w:type="dxa"/>
            <w:left w:w="0" w:type="dxa"/>
            <w:bottom w:w="0" w:type="dxa"/>
            <w:right w:w="0" w:type="dxa"/>
          </w:tblCellMar>
        </w:tblPrEx>
        <w:trPr>
          <w:trHeight w:val="3430" w:hRule="atLeast"/>
        </w:trPr>
        <w:tc>
          <w:tcPr>
            <w:tcW w:w="848" w:type="dxa"/>
            <w:tcBorders>
              <w:bottom w:val="nil"/>
              <w:right w:val="nil"/>
            </w:tcBorders>
            <w:vAlign w:val="top"/>
          </w:tcPr>
          <w:p>
            <w:pPr>
              <w:spacing w:before="138" w:line="186" w:lineRule="auto"/>
              <w:ind w:left="587"/>
              <w:rPr>
                <w:rFonts w:ascii="等线" w:hAnsi="等线" w:eastAsia="等线" w:cs="等线"/>
                <w:sz w:val="20"/>
                <w:szCs w:val="20"/>
              </w:rPr>
            </w:pPr>
            <w:r>
              <mc:AlternateContent>
                <mc:Choice Requires="wps">
                  <w:drawing>
                    <wp:anchor distT="0" distB="0" distL="0" distR="0" simplePos="0" relativeHeight="251819008" behindDoc="0" locked="0" layoutInCell="1" allowOverlap="1">
                      <wp:simplePos x="0" y="0"/>
                      <wp:positionH relativeFrom="rightMargin">
                        <wp:posOffset>-578485</wp:posOffset>
                      </wp:positionH>
                      <wp:positionV relativeFrom="topMargin">
                        <wp:posOffset>1069975</wp:posOffset>
                      </wp:positionV>
                      <wp:extent cx="570865" cy="198120"/>
                      <wp:effectExtent l="0" t="0" r="0" b="0"/>
                      <wp:wrapNone/>
                      <wp:docPr id="44" name="TextBox 44"/>
                      <wp:cNvGraphicFramePr/>
                      <a:graphic xmlns:a="http://schemas.openxmlformats.org/drawingml/2006/main">
                        <a:graphicData uri="http://schemas.microsoft.com/office/word/2010/wordprocessingShape">
                          <wps:wsp>
                            <wps:cNvSpPr txBox="1"/>
                            <wps:spPr>
                              <a:xfrm rot="16200000">
                                <a:off x="-578848" y="1070014"/>
                                <a:ext cx="570865" cy="19812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50" w:line="213" w:lineRule="auto"/>
                                    <w:jc w:val="right"/>
                                    <w:rPr>
                                      <w:rFonts w:ascii="等线" w:hAnsi="等线" w:eastAsia="等线" w:cs="等线"/>
                                      <w:sz w:val="20"/>
                                      <w:szCs w:val="20"/>
                                    </w:rPr>
                                  </w:pPr>
                                  <w:r>
                                    <w:rPr>
                                      <w:rFonts w:ascii="等线" w:hAnsi="等线" w:eastAsia="等线" w:cs="等线"/>
                                      <w:b/>
                                      <w:bCs/>
                                      <w:spacing w:val="15"/>
                                      <w:sz w:val="20"/>
                                      <w:szCs w:val="20"/>
                                    </w:rPr>
                                    <w:t>水温(</w:t>
                                  </w:r>
                                  <w:r>
                                    <w:rPr>
                                      <w:rFonts w:ascii="等线" w:hAnsi="等线" w:eastAsia="等线" w:cs="等线"/>
                                      <w:b/>
                                      <w:bCs/>
                                      <w:spacing w:val="-23"/>
                                      <w:sz w:val="20"/>
                                      <w:szCs w:val="20"/>
                                    </w:rPr>
                                    <w:t xml:space="preserve"> </w:t>
                                  </w:r>
                                  <w:r>
                                    <w:rPr>
                                      <w:rFonts w:ascii="等线" w:hAnsi="等线" w:eastAsia="等线" w:cs="等线"/>
                                      <w:b/>
                                      <w:bCs/>
                                      <w:spacing w:val="15"/>
                                      <w:sz w:val="20"/>
                                      <w:szCs w:val="20"/>
                                    </w:rPr>
                                    <w:t>℃</w:t>
                                  </w:r>
                                  <w:r>
                                    <w:rPr>
                                      <w:rFonts w:ascii="等线" w:hAnsi="等线" w:eastAsia="等线" w:cs="等线"/>
                                      <w:b/>
                                      <w:bCs/>
                                      <w:spacing w:val="-38"/>
                                      <w:sz w:val="20"/>
                                      <w:szCs w:val="20"/>
                                    </w:rPr>
                                    <w:t xml:space="preserve"> </w:t>
                                  </w:r>
                                  <w:r>
                                    <w:rPr>
                                      <w:rFonts w:ascii="等线" w:hAnsi="等线" w:eastAsia="等线" w:cs="等线"/>
                                      <w:b/>
                                      <w:bCs/>
                                      <w:spacing w:val="15"/>
                                      <w:sz w:val="20"/>
                                      <w:szCs w:val="2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 o:spid="_x0000_s1026" o:spt="202" type="#_x0000_t202" style="position:absolute;left:0pt;margin-left:-3.15pt;margin-top:84.75pt;height:15.6pt;width:44.95pt;mso-position-horizontal-relative:page;mso-position-vertical-relative:page;rotation:-5898240f;z-index:251819008;mso-width-relative:page;mso-height-relative:page;" filled="f" stroked="f" coordsize="21600,21600" o:gfxdata="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PixktgAAAAKAQAADwAA&#10;AAAAAAABACAAAAAiAAAAZHJzL2Rvd25yZXYueG1sUEsBAhQAFAAAAAgAh07iQFQsABkWAgAAHwQA&#10;AA4AAAAAAAAAAQAgAAAAJwEAAGRycy9lMm9Eb2MueG1sUEsFBgAAAAAGAAYAWQEAAK8FAAAAAA==&#10;">
                      <v:fill on="f" focussize="0,0"/>
                      <v:stroke on="f" weight="0pt"/>
                      <v:imagedata o:title=""/>
                      <o:lock v:ext="edit" aspectratio="f"/>
                      <v:textbox inset="0mm,0mm,0mm,0mm">
                        <w:txbxContent>
                          <w:p>
                            <w:pPr>
                              <w:spacing w:before="50" w:line="213" w:lineRule="auto"/>
                              <w:jc w:val="right"/>
                              <w:rPr>
                                <w:rFonts w:ascii="等线" w:hAnsi="等线" w:eastAsia="等线" w:cs="等线"/>
                                <w:sz w:val="20"/>
                                <w:szCs w:val="20"/>
                              </w:rPr>
                            </w:pPr>
                            <w:r>
                              <w:rPr>
                                <w:rFonts w:ascii="等线" w:hAnsi="等线" w:eastAsia="等线" w:cs="等线"/>
                                <w:b/>
                                <w:bCs/>
                                <w:spacing w:val="15"/>
                                <w:sz w:val="20"/>
                                <w:szCs w:val="20"/>
                              </w:rPr>
                              <w:t>水温(</w:t>
                            </w:r>
                            <w:r>
                              <w:rPr>
                                <w:rFonts w:ascii="等线" w:hAnsi="等线" w:eastAsia="等线" w:cs="等线"/>
                                <w:b/>
                                <w:bCs/>
                                <w:spacing w:val="-23"/>
                                <w:sz w:val="20"/>
                                <w:szCs w:val="20"/>
                              </w:rPr>
                              <w:t xml:space="preserve"> </w:t>
                            </w:r>
                            <w:r>
                              <w:rPr>
                                <w:rFonts w:ascii="等线" w:hAnsi="等线" w:eastAsia="等线" w:cs="等线"/>
                                <w:b/>
                                <w:bCs/>
                                <w:spacing w:val="15"/>
                                <w:sz w:val="20"/>
                                <w:szCs w:val="20"/>
                              </w:rPr>
                              <w:t>℃</w:t>
                            </w:r>
                            <w:r>
                              <w:rPr>
                                <w:rFonts w:ascii="等线" w:hAnsi="等线" w:eastAsia="等线" w:cs="等线"/>
                                <w:b/>
                                <w:bCs/>
                                <w:spacing w:val="-38"/>
                                <w:sz w:val="20"/>
                                <w:szCs w:val="20"/>
                              </w:rPr>
                              <w:t xml:space="preserve"> </w:t>
                            </w:r>
                            <w:r>
                              <w:rPr>
                                <w:rFonts w:ascii="等线" w:hAnsi="等线" w:eastAsia="等线" w:cs="等线"/>
                                <w:b/>
                                <w:bCs/>
                                <w:spacing w:val="15"/>
                                <w:sz w:val="20"/>
                                <w:szCs w:val="20"/>
                              </w:rPr>
                              <w:t>)</w:t>
                            </w:r>
                          </w:p>
                        </w:txbxContent>
                      </v:textbox>
                    </v:shape>
                  </w:pict>
                </mc:Fallback>
              </mc:AlternateContent>
            </w:r>
            <w:r>
              <w:rPr>
                <w:rFonts w:ascii="等线" w:hAnsi="等线" w:eastAsia="等线" w:cs="等线"/>
                <w:spacing w:val="-3"/>
                <w:sz w:val="20"/>
                <w:szCs w:val="20"/>
              </w:rPr>
              <w:t>25</w:t>
            </w:r>
          </w:p>
          <w:p>
            <w:pPr>
              <w:spacing w:line="344" w:lineRule="auto"/>
              <w:rPr>
                <w:rFonts w:ascii="Arial"/>
                <w:sz w:val="21"/>
              </w:rPr>
            </w:pPr>
          </w:p>
          <w:p>
            <w:pPr>
              <w:spacing w:before="68" w:line="186" w:lineRule="auto"/>
              <w:ind w:left="587"/>
              <w:rPr>
                <w:rFonts w:ascii="等线" w:hAnsi="等线" w:eastAsia="等线" w:cs="等线"/>
                <w:sz w:val="20"/>
                <w:szCs w:val="20"/>
              </w:rPr>
            </w:pPr>
            <w:r>
              <w:rPr>
                <w:rFonts w:ascii="等线" w:hAnsi="等线" w:eastAsia="等线" w:cs="等线"/>
                <w:spacing w:val="-3"/>
                <w:sz w:val="20"/>
                <w:szCs w:val="20"/>
              </w:rPr>
              <w:t>20</w:t>
            </w:r>
          </w:p>
          <w:p>
            <w:pPr>
              <w:spacing w:line="346" w:lineRule="auto"/>
              <w:rPr>
                <w:rFonts w:ascii="Arial"/>
                <w:sz w:val="21"/>
              </w:rPr>
            </w:pPr>
          </w:p>
          <w:p>
            <w:pPr>
              <w:spacing w:before="68" w:line="184" w:lineRule="auto"/>
              <w:ind w:left="591"/>
              <w:rPr>
                <w:rFonts w:ascii="等线" w:hAnsi="等线" w:eastAsia="等线" w:cs="等线"/>
                <w:sz w:val="20"/>
                <w:szCs w:val="20"/>
              </w:rPr>
            </w:pPr>
            <w:r>
              <w:rPr>
                <w:rFonts w:ascii="等线" w:hAnsi="等线" w:eastAsia="等线" w:cs="等线"/>
                <w:spacing w:val="-4"/>
                <w:sz w:val="20"/>
                <w:szCs w:val="20"/>
              </w:rPr>
              <w:t>15</w:t>
            </w:r>
          </w:p>
          <w:p>
            <w:pPr>
              <w:spacing w:line="344" w:lineRule="auto"/>
              <w:rPr>
                <w:rFonts w:ascii="Arial"/>
                <w:sz w:val="21"/>
              </w:rPr>
            </w:pPr>
          </w:p>
          <w:p>
            <w:pPr>
              <w:spacing w:before="67" w:line="186" w:lineRule="auto"/>
              <w:ind w:left="591"/>
              <w:rPr>
                <w:rFonts w:ascii="等线" w:hAnsi="等线" w:eastAsia="等线" w:cs="等线"/>
                <w:sz w:val="20"/>
                <w:szCs w:val="20"/>
              </w:rPr>
            </w:pPr>
            <w:r>
              <w:rPr>
                <w:rFonts w:ascii="等线" w:hAnsi="等线" w:eastAsia="等线" w:cs="等线"/>
                <w:spacing w:val="-4"/>
                <w:sz w:val="20"/>
                <w:szCs w:val="20"/>
              </w:rPr>
              <w:t>10</w:t>
            </w:r>
          </w:p>
          <w:p>
            <w:pPr>
              <w:spacing w:line="346" w:lineRule="auto"/>
              <w:rPr>
                <w:rFonts w:ascii="Arial"/>
                <w:sz w:val="21"/>
              </w:rPr>
            </w:pPr>
          </w:p>
          <w:p>
            <w:pPr>
              <w:spacing w:before="68" w:line="184" w:lineRule="auto"/>
              <w:ind w:left="693"/>
              <w:rPr>
                <w:rFonts w:ascii="等线" w:hAnsi="等线" w:eastAsia="等线" w:cs="等线"/>
                <w:sz w:val="20"/>
                <w:szCs w:val="20"/>
              </w:rPr>
            </w:pPr>
            <w:r>
              <w:rPr>
                <w:rFonts w:ascii="等线" w:hAnsi="等线" w:eastAsia="等线" w:cs="等线"/>
                <w:sz w:val="20"/>
                <w:szCs w:val="20"/>
              </w:rPr>
              <w:t>5</w:t>
            </w:r>
          </w:p>
          <w:p>
            <w:pPr>
              <w:spacing w:line="344" w:lineRule="auto"/>
              <w:rPr>
                <w:rFonts w:ascii="Arial"/>
                <w:sz w:val="21"/>
              </w:rPr>
            </w:pPr>
          </w:p>
          <w:p>
            <w:pPr>
              <w:spacing w:before="68" w:line="161" w:lineRule="exact"/>
              <w:ind w:left="691"/>
              <w:rPr>
                <w:rFonts w:ascii="等线" w:hAnsi="等线" w:eastAsia="等线" w:cs="等线"/>
                <w:sz w:val="20"/>
                <w:szCs w:val="20"/>
              </w:rPr>
            </w:pPr>
            <w:r>
              <w:rPr>
                <w:rFonts w:ascii="等线" w:hAnsi="等线" w:eastAsia="等线" w:cs="等线"/>
                <w:position w:val="-1"/>
                <w:sz w:val="20"/>
                <w:szCs w:val="20"/>
              </w:rPr>
              <w:t>0</w:t>
            </w:r>
          </w:p>
        </w:tc>
        <w:tc>
          <w:tcPr>
            <w:tcW w:w="5860" w:type="dxa"/>
            <w:tcBorders>
              <w:left w:val="nil"/>
              <w:bottom w:val="nil"/>
              <w:right w:val="nil"/>
            </w:tcBorders>
            <w:vAlign w:val="top"/>
          </w:tcPr>
          <w:p>
            <w:pPr>
              <w:spacing w:before="210" w:line="3130" w:lineRule="exact"/>
              <w:ind w:firstLine="48"/>
            </w:pPr>
            <w:r>
              <w:rPr>
                <w:position w:val="-62"/>
              </w:rPr>
              <w:drawing>
                <wp:inline distT="0" distB="0" distL="0" distR="0">
                  <wp:extent cx="3597275" cy="19875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14"/>
                          <a:stretch>
                            <a:fillRect/>
                          </a:stretch>
                        </pic:blipFill>
                        <pic:spPr>
                          <a:xfrm>
                            <a:off x="0" y="0"/>
                            <a:ext cx="3597909" cy="1987550"/>
                          </a:xfrm>
                          <a:prstGeom prst="rect">
                            <a:avLst/>
                          </a:prstGeom>
                        </pic:spPr>
                      </pic:pic>
                    </a:graphicData>
                  </a:graphic>
                </wp:inline>
              </w:drawing>
            </w:r>
          </w:p>
        </w:tc>
        <w:tc>
          <w:tcPr>
            <w:tcW w:w="1594" w:type="dxa"/>
            <w:tcBorders>
              <w:left w:val="nil"/>
              <w:bottom w:val="nil"/>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68" w:line="258" w:lineRule="auto"/>
              <w:ind w:left="152" w:right="194"/>
              <w:rPr>
                <w:rFonts w:ascii="等线" w:hAnsi="等线" w:eastAsia="等线" w:cs="等线"/>
                <w:sz w:val="20"/>
                <w:szCs w:val="20"/>
              </w:rPr>
            </w:pPr>
            <w:r>
              <w:rPr>
                <w:rFonts w:ascii="等线" w:hAnsi="等线" w:eastAsia="等线" w:cs="等线"/>
                <w:position w:val="1"/>
                <w:sz w:val="20"/>
                <w:szCs w:val="20"/>
              </w:rPr>
              <w:drawing>
                <wp:inline distT="0" distB="0" distL="0" distR="0">
                  <wp:extent cx="262255" cy="5588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15"/>
                          <a:stretch>
                            <a:fillRect/>
                          </a:stretch>
                        </pic:blipFill>
                        <pic:spPr>
                          <a:xfrm>
                            <a:off x="0" y="0"/>
                            <a:ext cx="262889" cy="56388"/>
                          </a:xfrm>
                          <a:prstGeom prst="rect">
                            <a:avLst/>
                          </a:prstGeom>
                        </pic:spPr>
                      </pic:pic>
                    </a:graphicData>
                  </a:graphic>
                </wp:inline>
              </w:drawing>
            </w:r>
            <w:r>
              <w:rPr>
                <w:rFonts w:ascii="等线" w:hAnsi="等线" w:eastAsia="等线" w:cs="等线"/>
                <w:spacing w:val="-3"/>
                <w:sz w:val="20"/>
                <w:szCs w:val="20"/>
              </w:rPr>
              <w:t xml:space="preserve"> </w:t>
            </w:r>
            <w:r>
              <w:rPr>
                <w:rFonts w:ascii="等线" w:hAnsi="等线" w:eastAsia="等线" w:cs="等线"/>
                <w:spacing w:val="-6"/>
                <w:sz w:val="20"/>
                <w:szCs w:val="20"/>
              </w:rPr>
              <w:t>出库水温</w:t>
            </w:r>
            <w:r>
              <w:rPr>
                <w:rFonts w:ascii="等线" w:hAnsi="等线" w:eastAsia="等线" w:cs="等线"/>
                <w:sz w:val="20"/>
                <w:szCs w:val="20"/>
              </w:rPr>
              <w:t xml:space="preserve"> </w:t>
            </w:r>
            <w:r>
              <w:rPr>
                <w:rFonts w:ascii="等线" w:hAnsi="等线" w:eastAsia="等线" w:cs="等线"/>
                <w:position w:val="1"/>
                <w:sz w:val="20"/>
                <w:szCs w:val="20"/>
              </w:rPr>
              <w:drawing>
                <wp:inline distT="0" distB="0" distL="0" distR="0">
                  <wp:extent cx="262255" cy="5715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516"/>
                          <a:stretch>
                            <a:fillRect/>
                          </a:stretch>
                        </pic:blipFill>
                        <pic:spPr>
                          <a:xfrm>
                            <a:off x="0" y="0"/>
                            <a:ext cx="262889" cy="57404"/>
                          </a:xfrm>
                          <a:prstGeom prst="rect">
                            <a:avLst/>
                          </a:prstGeom>
                        </pic:spPr>
                      </pic:pic>
                    </a:graphicData>
                  </a:graphic>
                </wp:inline>
              </w:drawing>
            </w:r>
            <w:r>
              <w:rPr>
                <w:rFonts w:ascii="等线" w:hAnsi="等线" w:eastAsia="等线" w:cs="等线"/>
                <w:spacing w:val="-16"/>
                <w:sz w:val="20"/>
                <w:szCs w:val="20"/>
              </w:rPr>
              <w:t xml:space="preserve"> </w:t>
            </w:r>
            <w:r>
              <w:rPr>
                <w:rFonts w:ascii="等线" w:hAnsi="等线" w:eastAsia="等线" w:cs="等线"/>
                <w:spacing w:val="-3"/>
                <w:sz w:val="20"/>
                <w:szCs w:val="20"/>
              </w:rPr>
              <w:t>天然河道</w:t>
            </w:r>
          </w:p>
        </w:tc>
      </w:tr>
      <w:tr>
        <w:tblPrEx>
          <w:tblBorders>
            <w:top w:val="single" w:color="898989" w:sz="4" w:space="0"/>
            <w:left w:val="single" w:color="898989" w:sz="4" w:space="0"/>
            <w:bottom w:val="single" w:color="898989" w:sz="4" w:space="0"/>
            <w:right w:val="single" w:color="898989" w:sz="4" w:space="0"/>
            <w:insideH w:val="single" w:color="898989" w:sz="4" w:space="0"/>
            <w:insideV w:val="single" w:color="898989" w:sz="4" w:space="0"/>
          </w:tblBorders>
          <w:tblLayout w:type="fixed"/>
          <w:tblCellMar>
            <w:top w:w="0" w:type="dxa"/>
            <w:left w:w="0" w:type="dxa"/>
            <w:bottom w:w="0" w:type="dxa"/>
            <w:right w:w="0" w:type="dxa"/>
          </w:tblCellMar>
        </w:tblPrEx>
        <w:trPr>
          <w:trHeight w:val="860" w:hRule="atLeast"/>
        </w:trPr>
        <w:tc>
          <w:tcPr>
            <w:tcW w:w="8302" w:type="dxa"/>
            <w:gridSpan w:val="3"/>
            <w:tcBorders>
              <w:top w:val="nil"/>
            </w:tcBorders>
            <w:vAlign w:val="top"/>
          </w:tcPr>
          <w:p>
            <w:pPr>
              <w:spacing w:before="45" w:line="226" w:lineRule="auto"/>
              <w:ind w:left="1041"/>
              <w:rPr>
                <w:rFonts w:ascii="等线" w:hAnsi="等线" w:eastAsia="等线" w:cs="等线"/>
                <w:sz w:val="20"/>
                <w:szCs w:val="20"/>
              </w:rPr>
            </w:pPr>
            <w:r>
              <w:rPr>
                <w:rFonts w:ascii="等线" w:hAnsi="等线" w:eastAsia="等线" w:cs="等线"/>
                <w:spacing w:val="-3"/>
                <w:sz w:val="20"/>
                <w:szCs w:val="20"/>
              </w:rPr>
              <w:t>1月   2月   3月   4月</w:t>
            </w:r>
            <w:r>
              <w:rPr>
                <w:rFonts w:ascii="等线" w:hAnsi="等线" w:eastAsia="等线" w:cs="等线"/>
                <w:spacing w:val="3"/>
                <w:sz w:val="20"/>
                <w:szCs w:val="20"/>
              </w:rPr>
              <w:t xml:space="preserve">   </w:t>
            </w:r>
            <w:r>
              <w:rPr>
                <w:rFonts w:ascii="等线" w:hAnsi="等线" w:eastAsia="等线" w:cs="等线"/>
                <w:spacing w:val="-3"/>
                <w:sz w:val="20"/>
                <w:szCs w:val="20"/>
              </w:rPr>
              <w:t>5月</w:t>
            </w:r>
            <w:r>
              <w:rPr>
                <w:rFonts w:ascii="等线" w:hAnsi="等线" w:eastAsia="等线" w:cs="等线"/>
                <w:spacing w:val="3"/>
                <w:sz w:val="20"/>
                <w:szCs w:val="20"/>
              </w:rPr>
              <w:t xml:space="preserve">   </w:t>
            </w:r>
            <w:r>
              <w:rPr>
                <w:rFonts w:ascii="等线" w:hAnsi="等线" w:eastAsia="等线" w:cs="等线"/>
                <w:spacing w:val="-3"/>
                <w:sz w:val="20"/>
                <w:szCs w:val="20"/>
              </w:rPr>
              <w:t>6月</w:t>
            </w:r>
            <w:r>
              <w:rPr>
                <w:rFonts w:ascii="等线" w:hAnsi="等线" w:eastAsia="等线" w:cs="等线"/>
                <w:spacing w:val="2"/>
                <w:sz w:val="20"/>
                <w:szCs w:val="20"/>
              </w:rPr>
              <w:t xml:space="preserve">   </w:t>
            </w:r>
            <w:r>
              <w:rPr>
                <w:rFonts w:ascii="等线" w:hAnsi="等线" w:eastAsia="等线" w:cs="等线"/>
                <w:spacing w:val="-3"/>
                <w:sz w:val="20"/>
                <w:szCs w:val="20"/>
              </w:rPr>
              <w:t>7月</w:t>
            </w:r>
            <w:r>
              <w:rPr>
                <w:rFonts w:ascii="等线" w:hAnsi="等线" w:eastAsia="等线" w:cs="等线"/>
                <w:spacing w:val="3"/>
                <w:sz w:val="20"/>
                <w:szCs w:val="20"/>
              </w:rPr>
              <w:t xml:space="preserve">   </w:t>
            </w:r>
            <w:r>
              <w:rPr>
                <w:rFonts w:ascii="等线" w:hAnsi="等线" w:eastAsia="等线" w:cs="等线"/>
                <w:spacing w:val="-3"/>
                <w:sz w:val="20"/>
                <w:szCs w:val="20"/>
              </w:rPr>
              <w:t>8月</w:t>
            </w:r>
            <w:r>
              <w:rPr>
                <w:rFonts w:ascii="等线" w:hAnsi="等线" w:eastAsia="等线" w:cs="等线"/>
                <w:spacing w:val="2"/>
                <w:sz w:val="20"/>
                <w:szCs w:val="20"/>
              </w:rPr>
              <w:t xml:space="preserve">   </w:t>
            </w:r>
            <w:r>
              <w:rPr>
                <w:rFonts w:ascii="等线" w:hAnsi="等线" w:eastAsia="等线" w:cs="等线"/>
                <w:spacing w:val="-3"/>
                <w:sz w:val="20"/>
                <w:szCs w:val="20"/>
              </w:rPr>
              <w:t>9月</w:t>
            </w:r>
            <w:r>
              <w:rPr>
                <w:rFonts w:ascii="等线" w:hAnsi="等线" w:eastAsia="等线" w:cs="等线"/>
                <w:spacing w:val="7"/>
                <w:sz w:val="20"/>
                <w:szCs w:val="20"/>
              </w:rPr>
              <w:t xml:space="preserve">  </w:t>
            </w:r>
            <w:r>
              <w:rPr>
                <w:rFonts w:ascii="等线" w:hAnsi="等线" w:eastAsia="等线" w:cs="等线"/>
                <w:spacing w:val="-3"/>
                <w:sz w:val="20"/>
                <w:szCs w:val="20"/>
              </w:rPr>
              <w:t>10</w:t>
            </w:r>
            <w:r>
              <w:rPr>
                <w:rFonts w:ascii="等线" w:hAnsi="等线" w:eastAsia="等线" w:cs="等线"/>
                <w:spacing w:val="-4"/>
                <w:sz w:val="20"/>
                <w:szCs w:val="20"/>
              </w:rPr>
              <w:t>月</w:t>
            </w:r>
            <w:r>
              <w:rPr>
                <w:rFonts w:ascii="等线" w:hAnsi="等线" w:eastAsia="等线" w:cs="等线"/>
                <w:spacing w:val="18"/>
                <w:sz w:val="20"/>
                <w:szCs w:val="20"/>
              </w:rPr>
              <w:t xml:space="preserve"> </w:t>
            </w:r>
            <w:r>
              <w:rPr>
                <w:rFonts w:ascii="等线" w:hAnsi="等线" w:eastAsia="等线" w:cs="等线"/>
                <w:spacing w:val="-4"/>
                <w:sz w:val="20"/>
                <w:szCs w:val="20"/>
              </w:rPr>
              <w:t>11月</w:t>
            </w:r>
            <w:r>
              <w:rPr>
                <w:rFonts w:ascii="等线" w:hAnsi="等线" w:eastAsia="等线" w:cs="等线"/>
                <w:spacing w:val="16"/>
                <w:w w:val="101"/>
                <w:sz w:val="20"/>
                <w:szCs w:val="20"/>
              </w:rPr>
              <w:t xml:space="preserve"> </w:t>
            </w:r>
            <w:r>
              <w:rPr>
                <w:rFonts w:ascii="等线" w:hAnsi="等线" w:eastAsia="等线" w:cs="等线"/>
                <w:spacing w:val="-4"/>
                <w:sz w:val="20"/>
                <w:szCs w:val="20"/>
              </w:rPr>
              <w:t>12月</w:t>
            </w:r>
          </w:p>
          <w:p>
            <w:pPr>
              <w:spacing w:before="75" w:line="225" w:lineRule="auto"/>
              <w:ind w:left="3559"/>
              <w:rPr>
                <w:rFonts w:ascii="等线" w:hAnsi="等线" w:eastAsia="等线" w:cs="等线"/>
                <w:sz w:val="20"/>
                <w:szCs w:val="20"/>
              </w:rPr>
            </w:pPr>
            <w:r>
              <w:rPr>
                <w:rFonts w:ascii="等线" w:hAnsi="等线" w:eastAsia="等线" w:cs="等线"/>
                <w:b/>
                <w:bCs/>
                <w:spacing w:val="-2"/>
                <w:sz w:val="20"/>
                <w:szCs w:val="20"/>
              </w:rPr>
              <w:t>月份</w:t>
            </w:r>
          </w:p>
        </w:tc>
      </w:tr>
    </w:tbl>
    <w:p>
      <w:pPr>
        <w:spacing w:before="62" w:line="233" w:lineRule="auto"/>
        <w:ind w:left="2281"/>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图</w:t>
      </w:r>
      <w:r>
        <w:rPr>
          <w:rFonts w:ascii="宋体" w:hAnsi="宋体" w:eastAsia="宋体" w:cs="宋体"/>
          <w:spacing w:val="-44"/>
          <w:sz w:val="21"/>
          <w:szCs w:val="21"/>
        </w:rPr>
        <w:t xml:space="preserve"> </w:t>
      </w:r>
      <w:r>
        <w:rPr>
          <w:rFonts w:ascii="Times New Roman" w:hAnsi="Times New Roman" w:eastAsia="Times New Roman" w:cs="Times New Roman"/>
          <w:b/>
          <w:bCs/>
          <w:spacing w:val="-1"/>
          <w:sz w:val="21"/>
          <w:szCs w:val="21"/>
        </w:rPr>
        <w:t xml:space="preserve">4.2-2    </w:t>
      </w:r>
      <w:r>
        <w:rPr>
          <w:rFonts w:ascii="宋体" w:hAnsi="宋体" w:eastAsia="宋体" w:cs="宋体"/>
          <w:spacing w:val="-1"/>
          <w:sz w:val="21"/>
          <w:szCs w:val="21"/>
          <w14:textOutline w14:w="3810" w14:cap="flat" w14:cmpd="sng">
            <w14:solidFill>
              <w14:srgbClr w14:val="000000"/>
            </w14:solidFill>
            <w14:prstDash w14:val="solid"/>
            <w14:miter w14:val="0"/>
          </w14:textOutline>
        </w:rPr>
        <w:t>桂花水库出库水温与天然水温对比图</w:t>
      </w:r>
    </w:p>
    <w:p>
      <w:pPr>
        <w:spacing w:before="147" w:line="220" w:lineRule="auto"/>
        <w:ind w:left="548"/>
        <w:rPr>
          <w:rFonts w:ascii="宋体" w:hAnsi="宋体" w:eastAsia="宋体" w:cs="宋体"/>
          <w:sz w:val="24"/>
          <w:szCs w:val="24"/>
        </w:rPr>
      </w:pPr>
      <w:r>
        <w:rPr>
          <w:rFonts w:ascii="宋体" w:hAnsi="宋体" w:eastAsia="宋体" w:cs="宋体"/>
          <w:spacing w:val="-3"/>
          <w:sz w:val="24"/>
          <w:szCs w:val="24"/>
        </w:rPr>
        <w:t xml:space="preserve">由上图可知，工程建成后出库水温除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45"/>
          <w:sz w:val="24"/>
          <w:szCs w:val="24"/>
        </w:rPr>
        <w:t xml:space="preserve"> </w:t>
      </w:r>
      <w:r>
        <w:rPr>
          <w:rFonts w:ascii="宋体" w:hAnsi="宋体" w:eastAsia="宋体" w:cs="宋体"/>
          <w:spacing w:val="-3"/>
          <w:sz w:val="24"/>
          <w:szCs w:val="24"/>
        </w:rPr>
        <w:t>月外（</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44"/>
          <w:sz w:val="24"/>
          <w:szCs w:val="24"/>
        </w:rPr>
        <w:t xml:space="preserve"> </w:t>
      </w:r>
      <w:r>
        <w:rPr>
          <w:rFonts w:ascii="宋体" w:hAnsi="宋体" w:eastAsia="宋体" w:cs="宋体"/>
          <w:spacing w:val="-3"/>
          <w:sz w:val="24"/>
          <w:szCs w:val="24"/>
        </w:rPr>
        <w:t>月库底水面</w:t>
      </w:r>
      <w:r>
        <w:rPr>
          <w:rFonts w:ascii="宋体" w:hAnsi="宋体" w:eastAsia="宋体" w:cs="宋体"/>
          <w:spacing w:val="-4"/>
          <w:sz w:val="24"/>
          <w:szCs w:val="24"/>
        </w:rPr>
        <w:t>到死水位</w:t>
      </w:r>
      <w:r>
        <w:rPr>
          <w:rFonts w:ascii="宋体" w:hAnsi="宋体" w:eastAsia="宋体" w:cs="宋体"/>
          <w:spacing w:val="-55"/>
          <w:sz w:val="24"/>
          <w:szCs w:val="24"/>
        </w:rPr>
        <w:t>），</w:t>
      </w:r>
      <w:r>
        <w:rPr>
          <w:rFonts w:ascii="宋体" w:hAnsi="宋体" w:eastAsia="宋体" w:cs="宋体"/>
          <w:spacing w:val="-4"/>
          <w:sz w:val="24"/>
          <w:szCs w:val="24"/>
        </w:rPr>
        <w:t>均</w:t>
      </w:r>
    </w:p>
    <w:p>
      <w:pPr>
        <w:spacing w:line="220" w:lineRule="auto"/>
        <w:rPr>
          <w:rFonts w:ascii="宋体" w:hAnsi="宋体" w:eastAsia="宋体" w:cs="宋体"/>
          <w:sz w:val="24"/>
          <w:szCs w:val="24"/>
        </w:rPr>
        <w:sectPr>
          <w:headerReference r:id="rId372" w:type="default"/>
          <w:footerReference r:id="rId373" w:type="default"/>
          <w:pgSz w:w="11907" w:h="16839"/>
          <w:pgMar w:top="1156" w:right="1365" w:bottom="1374" w:left="1770" w:header="881" w:footer="1210" w:gutter="0"/>
        </w:sectPr>
      </w:pPr>
    </w:p>
    <w:p>
      <w:pPr>
        <w:spacing w:before="319" w:line="467" w:lineRule="exact"/>
        <w:ind w:left="38"/>
        <w:rPr>
          <w:rFonts w:ascii="宋体" w:hAnsi="宋体" w:eastAsia="宋体" w:cs="宋体"/>
          <w:sz w:val="24"/>
          <w:szCs w:val="24"/>
        </w:rPr>
      </w:pPr>
      <w:r>
        <w:rPr>
          <w:rFonts w:ascii="宋体" w:hAnsi="宋体" w:eastAsia="宋体" w:cs="宋体"/>
          <w:spacing w:val="-1"/>
          <w:position w:val="16"/>
          <w:sz w:val="24"/>
          <w:szCs w:val="24"/>
        </w:rPr>
        <w:t>低于天然河道水温，温差幅度</w:t>
      </w:r>
      <w:r>
        <w:rPr>
          <w:rFonts w:ascii="Times New Roman" w:hAnsi="Times New Roman" w:eastAsia="Times New Roman" w:cs="Times New Roman"/>
          <w:spacing w:val="-1"/>
          <w:position w:val="16"/>
          <w:sz w:val="24"/>
          <w:szCs w:val="24"/>
        </w:rPr>
        <w:t>-7.2~-0.19</w:t>
      </w:r>
      <w:r>
        <w:rPr>
          <w:rFonts w:ascii="宋体" w:hAnsi="宋体" w:eastAsia="宋体" w:cs="宋体"/>
          <w:spacing w:val="-1"/>
          <w:position w:val="16"/>
          <w:sz w:val="24"/>
          <w:szCs w:val="24"/>
        </w:rPr>
        <w:t>℃。低温水最大降幅出现</w:t>
      </w:r>
      <w:r>
        <w:rPr>
          <w:rFonts w:ascii="宋体" w:hAnsi="宋体" w:eastAsia="宋体" w:cs="宋体"/>
          <w:spacing w:val="-47"/>
          <w:position w:val="16"/>
          <w:sz w:val="24"/>
          <w:szCs w:val="24"/>
        </w:rPr>
        <w:t xml:space="preserve"> </w:t>
      </w:r>
      <w:r>
        <w:rPr>
          <w:rFonts w:ascii="Times New Roman" w:hAnsi="Times New Roman" w:eastAsia="Times New Roman" w:cs="Times New Roman"/>
          <w:spacing w:val="-1"/>
          <w:position w:val="16"/>
          <w:sz w:val="24"/>
          <w:szCs w:val="24"/>
        </w:rPr>
        <w:t>5</w:t>
      </w:r>
      <w:r>
        <w:rPr>
          <w:rFonts w:ascii="Times New Roman" w:hAnsi="Times New Roman" w:eastAsia="Times New Roman" w:cs="Times New Roman"/>
          <w:spacing w:val="16"/>
          <w:position w:val="16"/>
          <w:sz w:val="24"/>
          <w:szCs w:val="24"/>
        </w:rPr>
        <w:t xml:space="preserve"> </w:t>
      </w:r>
      <w:r>
        <w:rPr>
          <w:rFonts w:ascii="宋体" w:hAnsi="宋体" w:eastAsia="宋体" w:cs="宋体"/>
          <w:spacing w:val="-1"/>
          <w:position w:val="16"/>
          <w:sz w:val="24"/>
          <w:szCs w:val="24"/>
        </w:rPr>
        <w:t>月。</w:t>
      </w:r>
    </w:p>
    <w:p>
      <w:pPr>
        <w:spacing w:line="217" w:lineRule="auto"/>
        <w:ind w:left="517"/>
        <w:rPr>
          <w:rFonts w:ascii="宋体" w:hAnsi="宋体" w:eastAsia="宋体" w:cs="宋体"/>
          <w:sz w:val="24"/>
          <w:szCs w:val="24"/>
        </w:rPr>
      </w:pPr>
      <w:r>
        <w:rPr>
          <w:rFonts w:ascii="宋体" w:hAnsi="宋体" w:eastAsia="宋体" w:cs="宋体"/>
          <w:spacing w:val="-1"/>
          <w:sz w:val="24"/>
          <w:szCs w:val="24"/>
        </w:rPr>
        <w:t>⑦对下游耕地灌溉的影响</w:t>
      </w:r>
    </w:p>
    <w:p>
      <w:pPr>
        <w:spacing w:before="184" w:line="359" w:lineRule="auto"/>
        <w:ind w:left="38" w:right="30" w:firstLine="482"/>
        <w:jc w:val="both"/>
        <w:rPr>
          <w:rFonts w:ascii="宋体" w:hAnsi="宋体" w:eastAsia="宋体" w:cs="宋体"/>
          <w:sz w:val="24"/>
          <w:szCs w:val="24"/>
        </w:rPr>
      </w:pPr>
      <w:r>
        <w:rPr>
          <w:rFonts w:ascii="宋体" w:hAnsi="宋体" w:eastAsia="宋体" w:cs="宋体"/>
          <w:spacing w:val="-3"/>
          <w:sz w:val="24"/>
          <w:szCs w:val="24"/>
        </w:rPr>
        <w:t>桂花水库直接灌溉区域为桂花灌片、者纳么灌片、六苴灌片</w:t>
      </w:r>
      <w:r>
        <w:rPr>
          <w:rFonts w:ascii="宋体" w:hAnsi="宋体" w:eastAsia="宋体" w:cs="宋体"/>
          <w:spacing w:val="-4"/>
          <w:sz w:val="24"/>
          <w:szCs w:val="24"/>
        </w:rPr>
        <w:t>，灌溉水经过管</w:t>
      </w:r>
      <w:r>
        <w:rPr>
          <w:rFonts w:ascii="宋体" w:hAnsi="宋体" w:eastAsia="宋体" w:cs="宋体"/>
          <w:sz w:val="24"/>
          <w:szCs w:val="24"/>
        </w:rPr>
        <w:t xml:space="preserve"> </w:t>
      </w:r>
      <w:r>
        <w:rPr>
          <w:rFonts w:ascii="宋体" w:hAnsi="宋体" w:eastAsia="宋体" w:cs="宋体"/>
          <w:spacing w:val="-7"/>
          <w:sz w:val="24"/>
          <w:szCs w:val="24"/>
        </w:rPr>
        <w:t>道、沟渠输送，受太阳辐射及空气热交换影响，</w:t>
      </w:r>
      <w:r>
        <w:rPr>
          <w:rFonts w:ascii="宋体" w:hAnsi="宋体" w:eastAsia="宋体" w:cs="宋体"/>
          <w:spacing w:val="33"/>
          <w:sz w:val="24"/>
          <w:szCs w:val="24"/>
        </w:rPr>
        <w:t xml:space="preserve"> </w:t>
      </w:r>
      <w:r>
        <w:rPr>
          <w:rFonts w:ascii="宋体" w:hAnsi="宋体" w:eastAsia="宋体" w:cs="宋体"/>
          <w:spacing w:val="-7"/>
          <w:sz w:val="24"/>
          <w:szCs w:val="24"/>
        </w:rPr>
        <w:t>灌溉水</w:t>
      </w:r>
      <w:r>
        <w:rPr>
          <w:rFonts w:ascii="宋体" w:hAnsi="宋体" w:eastAsia="宋体" w:cs="宋体"/>
          <w:spacing w:val="-8"/>
          <w:sz w:val="24"/>
          <w:szCs w:val="24"/>
        </w:rPr>
        <w:t>温在进入农田之前会有一</w:t>
      </w:r>
      <w:r>
        <w:rPr>
          <w:rFonts w:ascii="宋体" w:hAnsi="宋体" w:eastAsia="宋体" w:cs="宋体"/>
          <w:sz w:val="24"/>
          <w:szCs w:val="24"/>
        </w:rPr>
        <w:t xml:space="preserve"> </w:t>
      </w:r>
      <w:r>
        <w:rPr>
          <w:rFonts w:ascii="宋体" w:hAnsi="宋体" w:eastAsia="宋体" w:cs="宋体"/>
          <w:spacing w:val="-15"/>
          <w:sz w:val="24"/>
          <w:szCs w:val="24"/>
        </w:rPr>
        <w:t>定程度的变化，</w:t>
      </w:r>
      <w:r>
        <w:rPr>
          <w:rFonts w:ascii="宋体" w:hAnsi="宋体" w:eastAsia="宋体" w:cs="宋体"/>
          <w:spacing w:val="45"/>
          <w:sz w:val="24"/>
          <w:szCs w:val="24"/>
        </w:rPr>
        <w:t xml:space="preserve"> </w:t>
      </w:r>
      <w:r>
        <w:rPr>
          <w:rFonts w:ascii="宋体" w:hAnsi="宋体" w:eastAsia="宋体" w:cs="宋体"/>
          <w:spacing w:val="-15"/>
          <w:sz w:val="24"/>
          <w:szCs w:val="24"/>
        </w:rPr>
        <w:t>特别是水流进入农田后水面积大增，</w:t>
      </w:r>
      <w:r>
        <w:rPr>
          <w:rFonts w:ascii="宋体" w:hAnsi="宋体" w:eastAsia="宋体" w:cs="宋体"/>
          <w:spacing w:val="32"/>
          <w:sz w:val="24"/>
          <w:szCs w:val="24"/>
        </w:rPr>
        <w:t xml:space="preserve"> </w:t>
      </w:r>
      <w:r>
        <w:rPr>
          <w:rFonts w:ascii="宋体" w:hAnsi="宋体" w:eastAsia="宋体" w:cs="宋体"/>
          <w:spacing w:val="-15"/>
          <w:sz w:val="24"/>
          <w:szCs w:val="24"/>
        </w:rPr>
        <w:t>水深较浅， 与大气热交换明</w:t>
      </w:r>
    </w:p>
    <w:p>
      <w:pPr>
        <w:spacing w:before="1" w:line="218" w:lineRule="auto"/>
        <w:ind w:left="45"/>
        <w:rPr>
          <w:rFonts w:ascii="宋体" w:hAnsi="宋体" w:eastAsia="宋体" w:cs="宋体"/>
          <w:sz w:val="24"/>
          <w:szCs w:val="24"/>
        </w:rPr>
      </w:pPr>
      <w:r>
        <w:rPr>
          <w:rFonts w:ascii="宋体" w:hAnsi="宋体" w:eastAsia="宋体" w:cs="宋体"/>
          <w:spacing w:val="-2"/>
          <w:sz w:val="24"/>
          <w:szCs w:val="24"/>
        </w:rPr>
        <w:t>显，受气温影响明显，灌溉水温会升高，对下游耕地灌溉影响小。</w:t>
      </w:r>
    </w:p>
    <w:p>
      <w:pPr>
        <w:spacing w:line="387" w:lineRule="auto"/>
        <w:rPr>
          <w:rFonts w:ascii="Arial"/>
          <w:sz w:val="21"/>
        </w:rPr>
      </w:pPr>
    </w:p>
    <w:p>
      <w:pPr>
        <w:pStyle w:val="2"/>
        <w:spacing w:before="88"/>
        <w:ind w:left="36"/>
        <w:outlineLvl w:val="1"/>
        <w:rPr>
          <w:sz w:val="27"/>
          <w:szCs w:val="27"/>
        </w:rPr>
      </w:pPr>
      <w:bookmarkStart w:id="30" w:name="bookmark31"/>
      <w:bookmarkEnd w:id="30"/>
      <w:r>
        <w:rPr>
          <w:rFonts w:ascii="Times New Roman" w:hAnsi="Times New Roman" w:eastAsia="Times New Roman" w:cs="Times New Roman"/>
          <w:b/>
          <w:bCs/>
          <w:spacing w:val="8"/>
          <w:sz w:val="27"/>
          <w:szCs w:val="27"/>
        </w:rPr>
        <w:t xml:space="preserve">4.3 </w:t>
      </w:r>
      <w:r>
        <w:rPr>
          <w:spacing w:val="8"/>
          <w:sz w:val="27"/>
          <w:szCs w:val="27"/>
          <w14:textOutline w14:w="5072" w14:cap="flat" w14:cmpd="sng">
            <w14:solidFill>
              <w14:srgbClr w14:val="000000"/>
            </w14:solidFill>
            <w14:prstDash w14:val="solid"/>
            <w14:miter w14:val="0"/>
          </w14:textOutline>
        </w:rPr>
        <w:t>地下水环境影响预测与评价</w:t>
      </w:r>
    </w:p>
    <w:p>
      <w:pPr>
        <w:spacing w:line="280" w:lineRule="auto"/>
        <w:rPr>
          <w:rFonts w:ascii="Arial"/>
          <w:sz w:val="21"/>
        </w:rPr>
      </w:pPr>
    </w:p>
    <w:p>
      <w:pPr>
        <w:pStyle w:val="2"/>
        <w:spacing w:before="78" w:line="233" w:lineRule="auto"/>
        <w:ind w:left="36"/>
        <w:outlineLvl w:val="2"/>
        <w:rPr>
          <w:sz w:val="24"/>
          <w:szCs w:val="24"/>
        </w:rPr>
      </w:pPr>
      <w:r>
        <w:rPr>
          <w:rFonts w:ascii="Times New Roman" w:hAnsi="Times New Roman" w:eastAsia="Times New Roman" w:cs="Times New Roman"/>
          <w:b/>
          <w:bCs/>
          <w:sz w:val="24"/>
          <w:szCs w:val="24"/>
        </w:rPr>
        <w:t xml:space="preserve">4.3.1 </w:t>
      </w:r>
      <w:r>
        <w:rPr>
          <w:sz w:val="24"/>
          <w:szCs w:val="24"/>
          <w14:textOutline w14:w="4354" w14:cap="flat" w14:cmpd="sng">
            <w14:solidFill>
              <w14:srgbClr w14:val="000000"/>
            </w14:solidFill>
            <w14:prstDash w14:val="solid"/>
            <w14:miter w14:val="0"/>
          </w14:textOutline>
        </w:rPr>
        <w:t>水文地质条件</w:t>
      </w:r>
    </w:p>
    <w:p>
      <w:pPr>
        <w:spacing w:before="198"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）地下水类型及含水层（组）赋水性</w:t>
      </w:r>
    </w:p>
    <w:p>
      <w:pPr>
        <w:spacing w:before="182" w:line="359" w:lineRule="auto"/>
        <w:ind w:left="38" w:right="30" w:firstLine="483"/>
        <w:rPr>
          <w:rFonts w:ascii="宋体" w:hAnsi="宋体" w:eastAsia="宋体" w:cs="宋体"/>
          <w:sz w:val="24"/>
          <w:szCs w:val="24"/>
        </w:rPr>
      </w:pPr>
      <w:r>
        <w:rPr>
          <w:rFonts w:ascii="宋体" w:hAnsi="宋体" w:eastAsia="宋体" w:cs="宋体"/>
          <w:spacing w:val="-6"/>
          <w:sz w:val="24"/>
          <w:szCs w:val="24"/>
        </w:rPr>
        <w:t>工程区地处永仁团山褶皱区，</w:t>
      </w:r>
      <w:r>
        <w:rPr>
          <w:rFonts w:ascii="宋体" w:hAnsi="宋体" w:eastAsia="宋体" w:cs="宋体"/>
          <w:spacing w:val="-29"/>
          <w:sz w:val="24"/>
          <w:szCs w:val="24"/>
        </w:rPr>
        <w:t xml:space="preserve"> </w:t>
      </w:r>
      <w:r>
        <w:rPr>
          <w:rFonts w:ascii="宋体" w:hAnsi="宋体" w:eastAsia="宋体" w:cs="宋体"/>
          <w:spacing w:val="-6"/>
          <w:sz w:val="24"/>
          <w:szCs w:val="24"/>
        </w:rPr>
        <w:t>于昙华山褶皱带与大白草岭褶皱带之间的地块</w:t>
      </w:r>
      <w:r>
        <w:rPr>
          <w:rFonts w:ascii="宋体" w:hAnsi="宋体" w:eastAsia="宋体" w:cs="宋体"/>
          <w:sz w:val="24"/>
          <w:szCs w:val="24"/>
        </w:rPr>
        <w:t xml:space="preserve"> </w:t>
      </w:r>
      <w:r>
        <w:rPr>
          <w:rFonts w:ascii="宋体" w:hAnsi="宋体" w:eastAsia="宋体" w:cs="宋体"/>
          <w:spacing w:val="-9"/>
          <w:sz w:val="24"/>
          <w:szCs w:val="24"/>
        </w:rPr>
        <w:t>内，</w:t>
      </w:r>
      <w:r>
        <w:rPr>
          <w:rFonts w:ascii="宋体" w:hAnsi="宋体" w:eastAsia="宋体" w:cs="宋体"/>
          <w:spacing w:val="-57"/>
          <w:sz w:val="24"/>
          <w:szCs w:val="24"/>
        </w:rPr>
        <w:t xml:space="preserve"> </w:t>
      </w:r>
      <w:r>
        <w:rPr>
          <w:rFonts w:ascii="宋体" w:hAnsi="宋体" w:eastAsia="宋体" w:cs="宋体"/>
          <w:spacing w:val="-9"/>
          <w:sz w:val="24"/>
          <w:szCs w:val="24"/>
        </w:rPr>
        <w:t>水文地质条件受区域构造、地层岩性及地貌的控制，</w:t>
      </w:r>
      <w:r>
        <w:rPr>
          <w:rFonts w:ascii="宋体" w:hAnsi="宋体" w:eastAsia="宋体" w:cs="宋体"/>
          <w:spacing w:val="31"/>
          <w:sz w:val="24"/>
          <w:szCs w:val="24"/>
        </w:rPr>
        <w:t xml:space="preserve"> </w:t>
      </w:r>
      <w:r>
        <w:rPr>
          <w:rFonts w:ascii="宋体" w:hAnsi="宋体" w:eastAsia="宋体" w:cs="宋体"/>
          <w:spacing w:val="-9"/>
          <w:sz w:val="24"/>
          <w:szCs w:val="24"/>
        </w:rPr>
        <w:t>依据工程区域内地</w:t>
      </w:r>
      <w:r>
        <w:rPr>
          <w:rFonts w:ascii="宋体" w:hAnsi="宋体" w:eastAsia="宋体" w:cs="宋体"/>
          <w:spacing w:val="-10"/>
          <w:sz w:val="24"/>
          <w:szCs w:val="24"/>
        </w:rPr>
        <w:t>质构</w:t>
      </w:r>
      <w:r>
        <w:rPr>
          <w:rFonts w:ascii="宋体" w:hAnsi="宋体" w:eastAsia="宋体" w:cs="宋体"/>
          <w:sz w:val="24"/>
          <w:szCs w:val="24"/>
        </w:rPr>
        <w:t xml:space="preserve"> </w:t>
      </w:r>
      <w:r>
        <w:rPr>
          <w:rFonts w:ascii="宋体" w:hAnsi="宋体" w:eastAsia="宋体" w:cs="宋体"/>
          <w:spacing w:val="-8"/>
          <w:sz w:val="24"/>
          <w:szCs w:val="24"/>
        </w:rPr>
        <w:t>造、岩性特征和地下水的赋存条件、泉流量，</w:t>
      </w:r>
      <w:r>
        <w:rPr>
          <w:rFonts w:ascii="宋体" w:hAnsi="宋体" w:eastAsia="宋体" w:cs="宋体"/>
          <w:spacing w:val="55"/>
          <w:sz w:val="24"/>
          <w:szCs w:val="24"/>
        </w:rPr>
        <w:t xml:space="preserve"> </w:t>
      </w:r>
      <w:r>
        <w:rPr>
          <w:rFonts w:ascii="宋体" w:hAnsi="宋体" w:eastAsia="宋体" w:cs="宋体"/>
          <w:spacing w:val="-8"/>
          <w:sz w:val="24"/>
          <w:szCs w:val="24"/>
        </w:rPr>
        <w:t>地下水径流模数、可将含水层划分</w:t>
      </w:r>
    </w:p>
    <w:p>
      <w:pPr>
        <w:spacing w:before="1" w:line="218" w:lineRule="auto"/>
        <w:ind w:left="42"/>
        <w:rPr>
          <w:rFonts w:ascii="宋体" w:hAnsi="宋体" w:eastAsia="宋体" w:cs="宋体"/>
          <w:sz w:val="24"/>
          <w:szCs w:val="24"/>
        </w:rPr>
      </w:pPr>
      <w:r>
        <w:rPr>
          <w:rFonts w:ascii="宋体" w:hAnsi="宋体" w:eastAsia="宋体" w:cs="宋体"/>
          <w:spacing w:val="-8"/>
          <w:sz w:val="24"/>
          <w:szCs w:val="24"/>
        </w:rPr>
        <w:t>为以下几种类型：</w:t>
      </w:r>
    </w:p>
    <w:p>
      <w:pPr>
        <w:spacing w:before="183" w:line="217" w:lineRule="auto"/>
        <w:ind w:left="518"/>
        <w:rPr>
          <w:rFonts w:ascii="宋体" w:hAnsi="宋体" w:eastAsia="宋体" w:cs="宋体"/>
          <w:sz w:val="24"/>
          <w:szCs w:val="24"/>
        </w:rPr>
      </w:pPr>
      <w:r>
        <w:rPr>
          <w:rFonts w:ascii="宋体" w:hAnsi="宋体" w:eastAsia="宋体" w:cs="宋体"/>
          <w:spacing w:val="-1"/>
          <w:sz w:val="24"/>
          <w:szCs w:val="24"/>
        </w:rPr>
        <w:t>①第四系冲洪积层孔隙水</w:t>
      </w:r>
    </w:p>
    <w:p>
      <w:pPr>
        <w:spacing w:before="186" w:line="359" w:lineRule="auto"/>
        <w:ind w:left="42" w:right="30" w:firstLine="480"/>
        <w:rPr>
          <w:rFonts w:ascii="宋体" w:hAnsi="宋体" w:eastAsia="宋体" w:cs="宋体"/>
          <w:sz w:val="24"/>
          <w:szCs w:val="24"/>
        </w:rPr>
      </w:pPr>
      <w:r>
        <w:rPr>
          <w:rFonts w:ascii="宋体" w:hAnsi="宋体" w:eastAsia="宋体" w:cs="宋体"/>
          <w:spacing w:val="-6"/>
          <w:sz w:val="24"/>
          <w:szCs w:val="24"/>
        </w:rPr>
        <w:t>分布于万马河沿河地带。沿河床及阶地分布第四系冲洪积层（</w:t>
      </w:r>
      <w:r>
        <w:rPr>
          <w:rFonts w:ascii="Times New Roman" w:hAnsi="Times New Roman" w:eastAsia="Times New Roman" w:cs="Times New Roman"/>
          <w:spacing w:val="-6"/>
          <w:sz w:val="24"/>
          <w:szCs w:val="24"/>
        </w:rPr>
        <w:t>Q</w:t>
      </w:r>
      <w:r>
        <w:rPr>
          <w:rFonts w:ascii="Times New Roman" w:hAnsi="Times New Roman" w:eastAsia="Times New Roman" w:cs="Times New Roman"/>
          <w:spacing w:val="-7"/>
          <w:position w:val="8"/>
          <w:sz w:val="15"/>
          <w:szCs w:val="15"/>
        </w:rPr>
        <w:t>alp</w:t>
      </w:r>
      <w:r>
        <w:rPr>
          <w:rFonts w:ascii="宋体" w:hAnsi="宋体" w:eastAsia="宋体" w:cs="宋体"/>
          <w:spacing w:val="-7"/>
          <w:sz w:val="24"/>
          <w:szCs w:val="24"/>
        </w:rPr>
        <w:t>）、为细砂</w:t>
      </w:r>
      <w:r>
        <w:rPr>
          <w:rFonts w:ascii="宋体" w:hAnsi="宋体" w:eastAsia="宋体" w:cs="宋体"/>
          <w:sz w:val="24"/>
          <w:szCs w:val="24"/>
        </w:rPr>
        <w:t xml:space="preserve"> </w:t>
      </w:r>
      <w:r>
        <w:rPr>
          <w:rFonts w:ascii="宋体" w:hAnsi="宋体" w:eastAsia="宋体" w:cs="宋体"/>
          <w:spacing w:val="-17"/>
          <w:sz w:val="24"/>
          <w:szCs w:val="24"/>
        </w:rPr>
        <w:t>卵石、砾石、粘土细砂，</w:t>
      </w:r>
      <w:r>
        <w:rPr>
          <w:rFonts w:ascii="宋体" w:hAnsi="宋体" w:eastAsia="宋体" w:cs="宋体"/>
          <w:spacing w:val="45"/>
          <w:sz w:val="24"/>
          <w:szCs w:val="24"/>
        </w:rPr>
        <w:t xml:space="preserve"> </w:t>
      </w:r>
      <w:r>
        <w:rPr>
          <w:rFonts w:ascii="宋体" w:hAnsi="宋体" w:eastAsia="宋体" w:cs="宋体"/>
          <w:spacing w:val="-17"/>
          <w:sz w:val="24"/>
          <w:szCs w:val="24"/>
        </w:rPr>
        <w:t>局部夹粉砂土，</w:t>
      </w:r>
      <w:r>
        <w:rPr>
          <w:rFonts w:ascii="宋体" w:hAnsi="宋体" w:eastAsia="宋体" w:cs="宋体"/>
          <w:spacing w:val="41"/>
          <w:sz w:val="24"/>
          <w:szCs w:val="24"/>
        </w:rPr>
        <w:t xml:space="preserve"> </w:t>
      </w:r>
      <w:r>
        <w:rPr>
          <w:rFonts w:ascii="宋体" w:hAnsi="宋体" w:eastAsia="宋体" w:cs="宋体"/>
          <w:spacing w:val="-17"/>
          <w:sz w:val="24"/>
          <w:szCs w:val="24"/>
        </w:rPr>
        <w:t>地下孔隙水多赋存于细砂砾石中，</w:t>
      </w:r>
      <w:r>
        <w:rPr>
          <w:rFonts w:ascii="宋体" w:hAnsi="宋体" w:eastAsia="宋体" w:cs="宋体"/>
          <w:spacing w:val="42"/>
          <w:sz w:val="24"/>
          <w:szCs w:val="24"/>
        </w:rPr>
        <w:t xml:space="preserve"> </w:t>
      </w:r>
      <w:r>
        <w:rPr>
          <w:rFonts w:ascii="宋体" w:hAnsi="宋体" w:eastAsia="宋体" w:cs="宋体"/>
          <w:spacing w:val="-18"/>
          <w:sz w:val="24"/>
          <w:szCs w:val="24"/>
        </w:rPr>
        <w:t>地下</w:t>
      </w:r>
      <w:r>
        <w:rPr>
          <w:rFonts w:ascii="宋体" w:hAnsi="宋体" w:eastAsia="宋体" w:cs="宋体"/>
          <w:sz w:val="24"/>
          <w:szCs w:val="24"/>
        </w:rPr>
        <w:t xml:space="preserve"> </w:t>
      </w:r>
      <w:r>
        <w:rPr>
          <w:rFonts w:ascii="宋体" w:hAnsi="宋体" w:eastAsia="宋体" w:cs="宋体"/>
          <w:spacing w:val="-1"/>
          <w:sz w:val="24"/>
          <w:szCs w:val="24"/>
        </w:rPr>
        <w:t>水埋藏深度</w:t>
      </w:r>
      <w:r>
        <w:rPr>
          <w:rFonts w:ascii="宋体" w:hAnsi="宋体" w:eastAsia="宋体" w:cs="宋体"/>
          <w:spacing w:val="-16"/>
          <w:sz w:val="24"/>
          <w:szCs w:val="24"/>
        </w:rPr>
        <w:t xml:space="preserve"> </w:t>
      </w:r>
      <w:r>
        <w:rPr>
          <w:rFonts w:ascii="Times New Roman" w:hAnsi="Times New Roman" w:eastAsia="Times New Roman" w:cs="Times New Roman"/>
          <w:spacing w:val="-1"/>
          <w:sz w:val="24"/>
          <w:szCs w:val="24"/>
        </w:rPr>
        <w:t>0.5</w:t>
      </w:r>
      <w:r>
        <w:rPr>
          <w:rFonts w:ascii="宋体" w:hAnsi="宋体" w:eastAsia="宋体" w:cs="宋体"/>
          <w:spacing w:val="-1"/>
          <w:sz w:val="24"/>
          <w:szCs w:val="24"/>
        </w:rPr>
        <w:t>～</w:t>
      </w:r>
      <w:r>
        <w:rPr>
          <w:rFonts w:ascii="Times New Roman" w:hAnsi="Times New Roman" w:eastAsia="Times New Roman" w:cs="Times New Roman"/>
          <w:spacing w:val="-1"/>
          <w:sz w:val="24"/>
          <w:szCs w:val="24"/>
        </w:rPr>
        <w:t>1.5m</w:t>
      </w:r>
      <w:r>
        <w:rPr>
          <w:rFonts w:ascii="宋体" w:hAnsi="宋体" w:eastAsia="宋体" w:cs="宋体"/>
          <w:spacing w:val="-1"/>
          <w:sz w:val="24"/>
          <w:szCs w:val="24"/>
        </w:rPr>
        <w:t>；雨季由大气降水补给，旱季由两岸阶地补给河水向下游</w:t>
      </w:r>
    </w:p>
    <w:p>
      <w:pPr>
        <w:spacing w:before="1" w:line="219" w:lineRule="auto"/>
        <w:ind w:left="39"/>
        <w:rPr>
          <w:rFonts w:ascii="宋体" w:hAnsi="宋体" w:eastAsia="宋体" w:cs="宋体"/>
          <w:sz w:val="24"/>
          <w:szCs w:val="24"/>
        </w:rPr>
      </w:pPr>
      <w:r>
        <w:rPr>
          <w:rFonts w:ascii="宋体" w:hAnsi="宋体" w:eastAsia="宋体" w:cs="宋体"/>
          <w:spacing w:val="-2"/>
          <w:sz w:val="24"/>
          <w:szCs w:val="24"/>
        </w:rPr>
        <w:t>排泄。沿河岸及阶地水量丰富，远离河岸水量平乏。</w:t>
      </w:r>
    </w:p>
    <w:p>
      <w:pPr>
        <w:spacing w:before="182" w:line="217" w:lineRule="auto"/>
        <w:ind w:left="517"/>
        <w:rPr>
          <w:rFonts w:ascii="宋体" w:hAnsi="宋体" w:eastAsia="宋体" w:cs="宋体"/>
          <w:sz w:val="24"/>
          <w:szCs w:val="24"/>
        </w:rPr>
      </w:pPr>
      <w:r>
        <w:rPr>
          <w:rFonts w:ascii="宋体" w:hAnsi="宋体" w:eastAsia="宋体" w:cs="宋体"/>
          <w:spacing w:val="-2"/>
          <w:sz w:val="24"/>
          <w:szCs w:val="24"/>
        </w:rPr>
        <w:t>②碎屑岩裂隙水</w:t>
      </w:r>
    </w:p>
    <w:p>
      <w:pPr>
        <w:spacing w:before="185" w:line="359" w:lineRule="auto"/>
        <w:ind w:left="35" w:right="30" w:firstLine="484"/>
        <w:rPr>
          <w:rFonts w:ascii="宋体" w:hAnsi="宋体" w:eastAsia="宋体" w:cs="宋体"/>
          <w:sz w:val="24"/>
          <w:szCs w:val="24"/>
        </w:rPr>
      </w:pPr>
      <w:r>
        <w:rPr>
          <w:rFonts w:ascii="宋体" w:hAnsi="宋体" w:eastAsia="宋体" w:cs="宋体"/>
          <w:spacing w:val="-8"/>
          <w:sz w:val="24"/>
          <w:szCs w:val="24"/>
        </w:rPr>
        <w:t>裂隙水赋存于白垩系、侏罗系、三迭系碎屑岩中，</w:t>
      </w:r>
      <w:r>
        <w:rPr>
          <w:rFonts w:ascii="宋体" w:hAnsi="宋体" w:eastAsia="宋体" w:cs="宋体"/>
          <w:spacing w:val="46"/>
          <w:sz w:val="24"/>
          <w:szCs w:val="24"/>
        </w:rPr>
        <w:t xml:space="preserve"> </w:t>
      </w:r>
      <w:r>
        <w:rPr>
          <w:rFonts w:ascii="宋体" w:hAnsi="宋体" w:eastAsia="宋体" w:cs="宋体"/>
          <w:spacing w:val="-8"/>
          <w:sz w:val="24"/>
          <w:szCs w:val="24"/>
        </w:rPr>
        <w:t>富水性</w:t>
      </w:r>
      <w:r>
        <w:rPr>
          <w:rFonts w:ascii="宋体" w:hAnsi="宋体" w:eastAsia="宋体" w:cs="宋体"/>
          <w:spacing w:val="-9"/>
          <w:sz w:val="24"/>
          <w:szCs w:val="24"/>
        </w:rPr>
        <w:t>受岩性和节理、裂</w:t>
      </w:r>
      <w:r>
        <w:rPr>
          <w:rFonts w:ascii="宋体" w:hAnsi="宋体" w:eastAsia="宋体" w:cs="宋体"/>
          <w:sz w:val="24"/>
          <w:szCs w:val="24"/>
        </w:rPr>
        <w:t xml:space="preserve"> </w:t>
      </w:r>
      <w:r>
        <w:rPr>
          <w:rFonts w:ascii="宋体" w:hAnsi="宋体" w:eastAsia="宋体" w:cs="宋体"/>
          <w:spacing w:val="-6"/>
          <w:sz w:val="24"/>
          <w:szCs w:val="24"/>
        </w:rPr>
        <w:t>隙发育程度控制，</w:t>
      </w:r>
      <w:r>
        <w:rPr>
          <w:rFonts w:ascii="宋体" w:hAnsi="宋体" w:eastAsia="宋体" w:cs="宋体"/>
          <w:spacing w:val="72"/>
          <w:sz w:val="24"/>
          <w:szCs w:val="24"/>
        </w:rPr>
        <w:t xml:space="preserve"> </w:t>
      </w:r>
      <w:r>
        <w:rPr>
          <w:rFonts w:ascii="宋体" w:hAnsi="宋体" w:eastAsia="宋体" w:cs="宋体"/>
          <w:spacing w:val="-6"/>
          <w:sz w:val="24"/>
          <w:szCs w:val="24"/>
        </w:rPr>
        <w:t>经统计裂隙率</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0.1</w:t>
      </w:r>
      <w:r>
        <w:rPr>
          <w:rFonts w:ascii="宋体" w:hAnsi="宋体" w:eastAsia="宋体" w:cs="宋体"/>
          <w:spacing w:val="-6"/>
          <w:sz w:val="24"/>
          <w:szCs w:val="24"/>
        </w:rPr>
        <w:t>～</w:t>
      </w:r>
      <w:r>
        <w:rPr>
          <w:rFonts w:ascii="Times New Roman" w:hAnsi="Times New Roman" w:eastAsia="Times New Roman" w:cs="Times New Roman"/>
          <w:spacing w:val="-6"/>
          <w:sz w:val="24"/>
          <w:szCs w:val="24"/>
        </w:rPr>
        <w:t>0.79%</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、局部最大</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2.1</w:t>
      </w:r>
      <w:r>
        <w:rPr>
          <w:rFonts w:ascii="宋体" w:hAnsi="宋体" w:eastAsia="宋体" w:cs="宋体"/>
          <w:spacing w:val="-6"/>
          <w:sz w:val="24"/>
          <w:szCs w:val="24"/>
        </w:rPr>
        <w:t>～</w:t>
      </w:r>
      <w:r>
        <w:rPr>
          <w:rFonts w:ascii="Times New Roman" w:hAnsi="Times New Roman" w:eastAsia="Times New Roman" w:cs="Times New Roman"/>
          <w:spacing w:val="-6"/>
          <w:sz w:val="24"/>
          <w:szCs w:val="24"/>
        </w:rPr>
        <w:t>4.2%</w:t>
      </w:r>
      <w:r>
        <w:rPr>
          <w:rFonts w:ascii="宋体" w:hAnsi="宋体" w:eastAsia="宋体" w:cs="宋体"/>
          <w:spacing w:val="-6"/>
          <w:sz w:val="24"/>
          <w:szCs w:val="24"/>
        </w:rPr>
        <w:t>，裂隙水沿裂</w:t>
      </w:r>
      <w:r>
        <w:rPr>
          <w:rFonts w:ascii="宋体" w:hAnsi="宋体" w:eastAsia="宋体" w:cs="宋体"/>
          <w:sz w:val="24"/>
          <w:szCs w:val="24"/>
        </w:rPr>
        <w:t xml:space="preserve"> </w:t>
      </w:r>
      <w:r>
        <w:rPr>
          <w:rFonts w:ascii="宋体" w:hAnsi="宋体" w:eastAsia="宋体" w:cs="宋体"/>
          <w:spacing w:val="-1"/>
          <w:sz w:val="24"/>
          <w:szCs w:val="24"/>
        </w:rPr>
        <w:t>隙发育地段和界线部位溢出，泉流量</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0.1</w:t>
      </w:r>
      <w:r>
        <w:rPr>
          <w:rFonts w:ascii="宋体" w:hAnsi="宋体" w:eastAsia="宋体" w:cs="宋体"/>
          <w:spacing w:val="-1"/>
          <w:sz w:val="24"/>
          <w:szCs w:val="24"/>
        </w:rPr>
        <w:t>～</w:t>
      </w:r>
      <w:r>
        <w:rPr>
          <w:rFonts w:ascii="Times New Roman" w:hAnsi="Times New Roman" w:eastAsia="Times New Roman" w:cs="Times New Roman"/>
          <w:spacing w:val="-1"/>
          <w:sz w:val="24"/>
          <w:szCs w:val="24"/>
        </w:rPr>
        <w:t>0.79L/s</w:t>
      </w:r>
      <w:r>
        <w:rPr>
          <w:rFonts w:ascii="宋体" w:hAnsi="宋体" w:eastAsia="宋体" w:cs="宋体"/>
          <w:spacing w:val="-1"/>
          <w:sz w:val="24"/>
          <w:szCs w:val="24"/>
        </w:rPr>
        <w:t>。在么苴地背斜翼部泉流量可</w:t>
      </w:r>
      <w:r>
        <w:rPr>
          <w:rFonts w:ascii="宋体" w:hAnsi="宋体" w:eastAsia="宋体" w:cs="宋体"/>
          <w:sz w:val="24"/>
          <w:szCs w:val="24"/>
        </w:rPr>
        <w:t xml:space="preserve"> </w:t>
      </w:r>
      <w:r>
        <w:rPr>
          <w:rFonts w:ascii="宋体" w:hAnsi="宋体" w:eastAsia="宋体" w:cs="宋体"/>
          <w:spacing w:val="-1"/>
          <w:sz w:val="24"/>
          <w:szCs w:val="24"/>
        </w:rPr>
        <w:t>达</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2.5</w:t>
      </w:r>
      <w:r>
        <w:rPr>
          <w:rFonts w:ascii="宋体" w:hAnsi="宋体" w:eastAsia="宋体" w:cs="宋体"/>
          <w:spacing w:val="-1"/>
          <w:sz w:val="24"/>
          <w:szCs w:val="24"/>
        </w:rPr>
        <w:t>～</w:t>
      </w:r>
      <w:r>
        <w:rPr>
          <w:rFonts w:ascii="Times New Roman" w:hAnsi="Times New Roman" w:eastAsia="Times New Roman" w:cs="Times New Roman"/>
          <w:spacing w:val="-1"/>
          <w:sz w:val="24"/>
          <w:szCs w:val="24"/>
        </w:rPr>
        <w:t>4.46L/s</w:t>
      </w:r>
      <w:r>
        <w:rPr>
          <w:rFonts w:ascii="宋体" w:hAnsi="宋体" w:eastAsia="宋体" w:cs="宋体"/>
          <w:spacing w:val="-1"/>
          <w:sz w:val="24"/>
          <w:szCs w:val="24"/>
        </w:rPr>
        <w:t>、最大达</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15.75</w:t>
      </w:r>
      <w:r>
        <w:rPr>
          <w:rFonts w:ascii="宋体" w:hAnsi="宋体" w:eastAsia="宋体" w:cs="宋体"/>
          <w:spacing w:val="-1"/>
          <w:sz w:val="24"/>
          <w:szCs w:val="24"/>
        </w:rPr>
        <w:t>～</w:t>
      </w:r>
      <w:r>
        <w:rPr>
          <w:rFonts w:ascii="Times New Roman" w:hAnsi="Times New Roman" w:eastAsia="Times New Roman" w:cs="Times New Roman"/>
          <w:spacing w:val="-1"/>
          <w:sz w:val="24"/>
          <w:szCs w:val="24"/>
        </w:rPr>
        <w:t>19.6L/s</w:t>
      </w:r>
      <w:r>
        <w:rPr>
          <w:rFonts w:ascii="宋体" w:hAnsi="宋体" w:eastAsia="宋体" w:cs="宋体"/>
          <w:spacing w:val="-1"/>
          <w:sz w:val="24"/>
          <w:szCs w:val="24"/>
        </w:rPr>
        <w:t>。地下径流模数小于</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1L/s▪km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、局部</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9"/>
          <w:sz w:val="24"/>
          <w:szCs w:val="24"/>
        </w:rPr>
        <w:t>2L/s</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pacing w:val="-9"/>
          <w:sz w:val="24"/>
          <w:szCs w:val="24"/>
        </w:rPr>
        <w:t>▪km</w:t>
      </w:r>
      <w:r>
        <w:rPr>
          <w:rFonts w:ascii="Times New Roman" w:hAnsi="Times New Roman" w:eastAsia="Times New Roman" w:cs="Times New Roman"/>
          <w:spacing w:val="-9"/>
          <w:position w:val="8"/>
          <w:sz w:val="15"/>
          <w:szCs w:val="15"/>
        </w:rPr>
        <w:t>2</w:t>
      </w:r>
      <w:r>
        <w:rPr>
          <w:rFonts w:ascii="宋体" w:hAnsi="宋体" w:eastAsia="宋体" w:cs="宋体"/>
          <w:spacing w:val="-9"/>
          <w:sz w:val="24"/>
          <w:szCs w:val="24"/>
        </w:rPr>
        <w:t>。碎屑岩裂隙水由大气降雨补给，</w:t>
      </w:r>
      <w:r>
        <w:rPr>
          <w:rFonts w:ascii="宋体" w:hAnsi="宋体" w:eastAsia="宋体" w:cs="宋体"/>
          <w:spacing w:val="51"/>
          <w:sz w:val="24"/>
          <w:szCs w:val="24"/>
        </w:rPr>
        <w:t xml:space="preserve"> </w:t>
      </w:r>
      <w:r>
        <w:rPr>
          <w:rFonts w:ascii="宋体" w:hAnsi="宋体" w:eastAsia="宋体" w:cs="宋体"/>
          <w:spacing w:val="-12"/>
          <w:sz w:val="24"/>
          <w:szCs w:val="24"/>
        </w:rPr>
        <w:t>补给方式为：</w:t>
      </w:r>
      <w:r>
        <w:rPr>
          <w:rFonts w:ascii="宋体" w:hAnsi="宋体" w:eastAsia="宋体" w:cs="宋体"/>
          <w:spacing w:val="57"/>
          <w:sz w:val="24"/>
          <w:szCs w:val="24"/>
        </w:rPr>
        <w:t xml:space="preserve"> </w:t>
      </w:r>
      <w:r>
        <w:rPr>
          <w:rFonts w:ascii="宋体" w:hAnsi="宋体" w:eastAsia="宋体" w:cs="宋体"/>
          <w:spacing w:val="-12"/>
          <w:sz w:val="24"/>
          <w:szCs w:val="24"/>
        </w:rPr>
        <w:t>一是大气降雨沿裂隙下</w:t>
      </w:r>
      <w:r>
        <w:rPr>
          <w:rFonts w:ascii="宋体" w:hAnsi="宋体" w:eastAsia="宋体" w:cs="宋体"/>
          <w:sz w:val="24"/>
          <w:szCs w:val="24"/>
        </w:rPr>
        <w:t xml:space="preserve"> </w:t>
      </w:r>
      <w:r>
        <w:rPr>
          <w:rFonts w:ascii="宋体" w:hAnsi="宋体" w:eastAsia="宋体" w:cs="宋体"/>
          <w:spacing w:val="-7"/>
          <w:sz w:val="24"/>
          <w:szCs w:val="24"/>
        </w:rPr>
        <w:t>渗补给浅部含水层，</w:t>
      </w:r>
      <w:r>
        <w:rPr>
          <w:rFonts w:ascii="宋体" w:hAnsi="宋体" w:eastAsia="宋体" w:cs="宋体"/>
          <w:spacing w:val="34"/>
          <w:sz w:val="24"/>
          <w:szCs w:val="24"/>
        </w:rPr>
        <w:t xml:space="preserve"> </w:t>
      </w:r>
      <w:r>
        <w:rPr>
          <w:rFonts w:ascii="宋体" w:hAnsi="宋体" w:eastAsia="宋体" w:cs="宋体"/>
          <w:spacing w:val="-7"/>
          <w:sz w:val="24"/>
          <w:szCs w:val="24"/>
        </w:rPr>
        <w:t>二是大气降雨沿补给区渗入、顺层补给</w:t>
      </w:r>
      <w:r>
        <w:rPr>
          <w:rFonts w:ascii="宋体" w:hAnsi="宋体" w:eastAsia="宋体" w:cs="宋体"/>
          <w:spacing w:val="-8"/>
          <w:sz w:val="24"/>
          <w:szCs w:val="24"/>
        </w:rPr>
        <w:t>含水层。大气降雨补</w:t>
      </w:r>
      <w:r>
        <w:rPr>
          <w:rFonts w:ascii="宋体" w:hAnsi="宋体" w:eastAsia="宋体" w:cs="宋体"/>
          <w:sz w:val="24"/>
          <w:szCs w:val="24"/>
        </w:rPr>
        <w:t xml:space="preserve"> </w:t>
      </w:r>
      <w:r>
        <w:rPr>
          <w:rFonts w:ascii="宋体" w:hAnsi="宋体" w:eastAsia="宋体" w:cs="宋体"/>
          <w:spacing w:val="-5"/>
          <w:sz w:val="24"/>
          <w:szCs w:val="24"/>
        </w:rPr>
        <w:t>给地下水的强度受降雨量和降雨形式在空间时间分配</w:t>
      </w:r>
      <w:r>
        <w:rPr>
          <w:rFonts w:ascii="宋体" w:hAnsi="宋体" w:eastAsia="宋体" w:cs="宋体"/>
          <w:spacing w:val="-6"/>
          <w:sz w:val="24"/>
          <w:szCs w:val="24"/>
        </w:rPr>
        <w:t>上的影响，</w:t>
      </w:r>
      <w:r>
        <w:rPr>
          <w:rFonts w:ascii="宋体" w:hAnsi="宋体" w:eastAsia="宋体" w:cs="宋体"/>
          <w:spacing w:val="-33"/>
          <w:sz w:val="24"/>
          <w:szCs w:val="24"/>
        </w:rPr>
        <w:t xml:space="preserve"> </w:t>
      </w:r>
      <w:r>
        <w:rPr>
          <w:rFonts w:ascii="宋体" w:hAnsi="宋体" w:eastAsia="宋体" w:cs="宋体"/>
          <w:spacing w:val="-6"/>
          <w:sz w:val="24"/>
          <w:szCs w:val="24"/>
        </w:rPr>
        <w:t>地下水赋存和运</w:t>
      </w:r>
    </w:p>
    <w:p>
      <w:pPr>
        <w:spacing w:before="1" w:line="219" w:lineRule="auto"/>
        <w:ind w:left="40"/>
        <w:rPr>
          <w:rFonts w:ascii="宋体" w:hAnsi="宋体" w:eastAsia="宋体" w:cs="宋体"/>
          <w:sz w:val="24"/>
          <w:szCs w:val="24"/>
        </w:rPr>
      </w:pPr>
      <w:r>
        <w:rPr>
          <w:rFonts w:ascii="宋体" w:hAnsi="宋体" w:eastAsia="宋体" w:cs="宋体"/>
          <w:spacing w:val="-1"/>
          <w:sz w:val="24"/>
          <w:szCs w:val="24"/>
        </w:rPr>
        <w:t>动受地形及地质构造控制，由南向北径流，向万马河排泄。</w:t>
      </w:r>
    </w:p>
    <w:p>
      <w:pPr>
        <w:spacing w:before="181" w:line="217" w:lineRule="auto"/>
        <w:ind w:left="517"/>
        <w:rPr>
          <w:rFonts w:ascii="宋体" w:hAnsi="宋体" w:eastAsia="宋体" w:cs="宋体"/>
          <w:sz w:val="24"/>
          <w:szCs w:val="24"/>
        </w:rPr>
      </w:pPr>
      <w:r>
        <w:rPr>
          <w:rFonts w:ascii="宋体" w:hAnsi="宋体" w:eastAsia="宋体" w:cs="宋体"/>
          <w:spacing w:val="-2"/>
          <w:sz w:val="24"/>
          <w:szCs w:val="24"/>
        </w:rPr>
        <w:t>③岩浆岩裂隙水</w:t>
      </w:r>
    </w:p>
    <w:p>
      <w:pPr>
        <w:spacing w:line="217" w:lineRule="auto"/>
        <w:rPr>
          <w:rFonts w:ascii="宋体" w:hAnsi="宋体" w:eastAsia="宋体" w:cs="宋体"/>
          <w:sz w:val="24"/>
          <w:szCs w:val="24"/>
        </w:rPr>
        <w:sectPr>
          <w:headerReference r:id="rId374" w:type="default"/>
          <w:footerReference r:id="rId375" w:type="default"/>
          <w:pgSz w:w="11907" w:h="16839"/>
          <w:pgMar w:top="1156" w:right="1768" w:bottom="1374" w:left="1770" w:header="881" w:footer="1210" w:gutter="0"/>
        </w:sectPr>
      </w:pPr>
    </w:p>
    <w:p>
      <w:pPr>
        <w:rPr>
          <w:rFonts w:ascii="Arial"/>
          <w:sz w:val="21"/>
        </w:rPr>
      </w:pPr>
    </w:p>
    <w:p>
      <w:pPr>
        <w:spacing w:before="78" w:line="359" w:lineRule="auto"/>
        <w:ind w:left="40" w:right="80" w:firstLine="479"/>
        <w:rPr>
          <w:rFonts w:ascii="宋体" w:hAnsi="宋体" w:eastAsia="宋体" w:cs="宋体"/>
          <w:sz w:val="24"/>
          <w:szCs w:val="24"/>
        </w:rPr>
      </w:pPr>
      <w:r>
        <w:rPr>
          <w:rFonts w:ascii="宋体" w:hAnsi="宋体" w:eastAsia="宋体" w:cs="宋体"/>
          <w:spacing w:val="-3"/>
          <w:sz w:val="24"/>
          <w:szCs w:val="24"/>
        </w:rPr>
        <w:t>裂隙水赋存于于支拉岩体、直苴岩体、洗的么鮓岩体的霓辉正长</w:t>
      </w:r>
      <w:r>
        <w:rPr>
          <w:rFonts w:ascii="宋体" w:hAnsi="宋体" w:eastAsia="宋体" w:cs="宋体"/>
          <w:spacing w:val="-4"/>
          <w:sz w:val="24"/>
          <w:szCs w:val="24"/>
        </w:rPr>
        <w:t>岩、石英二</w:t>
      </w:r>
      <w:r>
        <w:rPr>
          <w:rFonts w:ascii="宋体" w:hAnsi="宋体" w:eastAsia="宋体" w:cs="宋体"/>
          <w:sz w:val="24"/>
          <w:szCs w:val="24"/>
        </w:rPr>
        <w:t xml:space="preserve"> </w:t>
      </w:r>
      <w:r>
        <w:rPr>
          <w:rFonts w:ascii="宋体" w:hAnsi="宋体" w:eastAsia="宋体" w:cs="宋体"/>
          <w:spacing w:val="-12"/>
          <w:sz w:val="24"/>
          <w:szCs w:val="24"/>
        </w:rPr>
        <w:t>长斑岩、黑云母花岗斑岩中。岩体呈岩株产出，</w:t>
      </w:r>
      <w:r>
        <w:rPr>
          <w:rFonts w:ascii="宋体" w:hAnsi="宋体" w:eastAsia="宋体" w:cs="宋体"/>
          <w:spacing w:val="42"/>
          <w:sz w:val="24"/>
          <w:szCs w:val="24"/>
        </w:rPr>
        <w:t xml:space="preserve"> </w:t>
      </w:r>
      <w:r>
        <w:rPr>
          <w:rFonts w:ascii="宋体" w:hAnsi="宋体" w:eastAsia="宋体" w:cs="宋体"/>
          <w:spacing w:val="-12"/>
          <w:sz w:val="24"/>
          <w:szCs w:val="24"/>
        </w:rPr>
        <w:t>与围岩接触带</w:t>
      </w:r>
      <w:r>
        <w:rPr>
          <w:rFonts w:ascii="宋体" w:hAnsi="宋体" w:eastAsia="宋体" w:cs="宋体"/>
          <w:spacing w:val="-13"/>
          <w:sz w:val="24"/>
          <w:szCs w:val="24"/>
        </w:rPr>
        <w:t>常有泉点出露，</w:t>
      </w:r>
      <w:r>
        <w:rPr>
          <w:rFonts w:ascii="宋体" w:hAnsi="宋体" w:eastAsia="宋体" w:cs="宋体"/>
          <w:spacing w:val="40"/>
          <w:sz w:val="24"/>
          <w:szCs w:val="24"/>
        </w:rPr>
        <w:t xml:space="preserve"> </w:t>
      </w:r>
      <w:r>
        <w:rPr>
          <w:rFonts w:ascii="宋体" w:hAnsi="宋体" w:eastAsia="宋体" w:cs="宋体"/>
          <w:spacing w:val="-13"/>
          <w:sz w:val="24"/>
          <w:szCs w:val="24"/>
        </w:rPr>
        <w:t>泉</w:t>
      </w:r>
    </w:p>
    <w:p>
      <w:pPr>
        <w:spacing w:line="233" w:lineRule="auto"/>
        <w:ind w:left="40"/>
        <w:rPr>
          <w:rFonts w:ascii="宋体" w:hAnsi="宋体" w:eastAsia="宋体" w:cs="宋体"/>
          <w:sz w:val="24"/>
          <w:szCs w:val="24"/>
        </w:rPr>
      </w:pPr>
      <w:r>
        <w:rPr>
          <w:rFonts w:ascii="宋体" w:hAnsi="宋体" w:eastAsia="宋体" w:cs="宋体"/>
          <w:sz w:val="24"/>
          <w:szCs w:val="24"/>
        </w:rPr>
        <w:t>流量一般</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0.37</w:t>
      </w:r>
      <w:r>
        <w:rPr>
          <w:rFonts w:ascii="宋体" w:hAnsi="宋体" w:eastAsia="宋体" w:cs="宋体"/>
          <w:sz w:val="24"/>
          <w:szCs w:val="24"/>
        </w:rPr>
        <w:t>～</w:t>
      </w:r>
      <w:r>
        <w:rPr>
          <w:rFonts w:ascii="Times New Roman" w:hAnsi="Times New Roman" w:eastAsia="Times New Roman" w:cs="Times New Roman"/>
          <w:sz w:val="24"/>
          <w:szCs w:val="24"/>
        </w:rPr>
        <w:t>0.45L/s</w:t>
      </w:r>
      <w:r>
        <w:rPr>
          <w:rFonts w:ascii="宋体" w:hAnsi="宋体" w:eastAsia="宋体" w:cs="宋体"/>
          <w:sz w:val="24"/>
          <w:szCs w:val="24"/>
        </w:rPr>
        <w:t>，地下水径流模数</w:t>
      </w:r>
      <w:r>
        <w:rPr>
          <w:rFonts w:ascii="宋体" w:hAnsi="宋体" w:eastAsia="宋体" w:cs="宋体"/>
          <w:spacing w:val="-1"/>
          <w:sz w:val="24"/>
          <w:szCs w:val="24"/>
        </w:rPr>
        <w:t>＜</w:t>
      </w:r>
      <w:r>
        <w:rPr>
          <w:rFonts w:ascii="Times New Roman" w:hAnsi="Times New Roman" w:eastAsia="Times New Roman" w:cs="Times New Roman"/>
          <w:spacing w:val="-1"/>
          <w:sz w:val="24"/>
          <w:szCs w:val="24"/>
        </w:rPr>
        <w:t>1.045L/s▪km</w:t>
      </w:r>
      <w:r>
        <w:rPr>
          <w:rFonts w:ascii="Times New Roman" w:hAnsi="Times New Roman" w:eastAsia="Times New Roman" w:cs="Times New Roman"/>
          <w:spacing w:val="-1"/>
          <w:position w:val="8"/>
          <w:sz w:val="15"/>
          <w:szCs w:val="15"/>
        </w:rPr>
        <w:t>2</w:t>
      </w:r>
      <w:r>
        <w:rPr>
          <w:rFonts w:ascii="宋体" w:hAnsi="宋体" w:eastAsia="宋体" w:cs="宋体"/>
          <w:spacing w:val="-1"/>
          <w:sz w:val="24"/>
          <w:szCs w:val="24"/>
        </w:rPr>
        <w:t>。</w:t>
      </w:r>
    </w:p>
    <w:p>
      <w:pPr>
        <w:spacing w:before="163"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）地下水的补给、径流、排泄</w:t>
      </w:r>
    </w:p>
    <w:p>
      <w:pPr>
        <w:spacing w:before="181" w:line="359" w:lineRule="auto"/>
        <w:ind w:left="42" w:right="80" w:firstLine="477"/>
        <w:rPr>
          <w:rFonts w:ascii="宋体" w:hAnsi="宋体" w:eastAsia="宋体" w:cs="宋体"/>
          <w:sz w:val="24"/>
          <w:szCs w:val="24"/>
        </w:rPr>
      </w:pPr>
      <w:r>
        <w:rPr>
          <w:rFonts w:ascii="宋体" w:hAnsi="宋体" w:eastAsia="宋体" w:cs="宋体"/>
          <w:spacing w:val="-12"/>
          <w:sz w:val="24"/>
          <w:szCs w:val="24"/>
        </w:rPr>
        <w:t>地下水受岩性、地质构造的性状影响较大，</w:t>
      </w:r>
      <w:r>
        <w:rPr>
          <w:rFonts w:ascii="宋体" w:hAnsi="宋体" w:eastAsia="宋体" w:cs="宋体"/>
          <w:spacing w:val="31"/>
          <w:sz w:val="24"/>
          <w:szCs w:val="24"/>
        </w:rPr>
        <w:t xml:space="preserve"> </w:t>
      </w:r>
      <w:r>
        <w:rPr>
          <w:rFonts w:ascii="宋体" w:hAnsi="宋体" w:eastAsia="宋体" w:cs="宋体"/>
          <w:spacing w:val="-12"/>
          <w:sz w:val="24"/>
          <w:szCs w:val="24"/>
        </w:rPr>
        <w:t>靠大气降</w:t>
      </w:r>
      <w:r>
        <w:rPr>
          <w:rFonts w:ascii="宋体" w:hAnsi="宋体" w:eastAsia="宋体" w:cs="宋体"/>
          <w:spacing w:val="-13"/>
          <w:sz w:val="24"/>
          <w:szCs w:val="24"/>
        </w:rPr>
        <w:t>水补给，</w:t>
      </w:r>
      <w:r>
        <w:rPr>
          <w:rFonts w:ascii="宋体" w:hAnsi="宋体" w:eastAsia="宋体" w:cs="宋体"/>
          <w:spacing w:val="31"/>
          <w:sz w:val="24"/>
          <w:szCs w:val="24"/>
        </w:rPr>
        <w:t xml:space="preserve"> </w:t>
      </w:r>
      <w:r>
        <w:rPr>
          <w:rFonts w:ascii="宋体" w:hAnsi="宋体" w:eastAsia="宋体" w:cs="宋体"/>
          <w:spacing w:val="-13"/>
          <w:sz w:val="24"/>
          <w:szCs w:val="24"/>
        </w:rPr>
        <w:t>沿节理裂隙和</w:t>
      </w:r>
      <w:r>
        <w:rPr>
          <w:rFonts w:ascii="宋体" w:hAnsi="宋体" w:eastAsia="宋体" w:cs="宋体"/>
          <w:sz w:val="24"/>
          <w:szCs w:val="24"/>
        </w:rPr>
        <w:t xml:space="preserve"> </w:t>
      </w:r>
      <w:r>
        <w:rPr>
          <w:rFonts w:ascii="宋体" w:hAnsi="宋体" w:eastAsia="宋体" w:cs="宋体"/>
          <w:spacing w:val="-5"/>
          <w:sz w:val="24"/>
          <w:szCs w:val="24"/>
        </w:rPr>
        <w:t>构造面向河流和沟谷排泄。地下水分水岭与地表分水岭基本一致，</w:t>
      </w:r>
      <w:r>
        <w:rPr>
          <w:rFonts w:ascii="宋体" w:hAnsi="宋体" w:eastAsia="宋体" w:cs="宋体"/>
          <w:spacing w:val="-52"/>
          <w:sz w:val="24"/>
          <w:szCs w:val="24"/>
        </w:rPr>
        <w:t xml:space="preserve"> </w:t>
      </w:r>
      <w:r>
        <w:rPr>
          <w:rFonts w:ascii="宋体" w:hAnsi="宋体" w:eastAsia="宋体" w:cs="宋体"/>
          <w:spacing w:val="-5"/>
          <w:sz w:val="24"/>
          <w:szCs w:val="24"/>
        </w:rPr>
        <w:t>桂花河为区内</w:t>
      </w:r>
    </w:p>
    <w:p>
      <w:pPr>
        <w:spacing w:line="219" w:lineRule="auto"/>
        <w:jc w:val="right"/>
        <w:rPr>
          <w:rFonts w:ascii="宋体" w:hAnsi="宋体" w:eastAsia="宋体" w:cs="宋体"/>
          <w:sz w:val="24"/>
          <w:szCs w:val="24"/>
        </w:rPr>
      </w:pPr>
      <w:r>
        <w:rPr>
          <w:rFonts w:ascii="宋体" w:hAnsi="宋体" w:eastAsia="宋体" w:cs="宋体"/>
          <w:spacing w:val="-1"/>
          <w:sz w:val="24"/>
          <w:szCs w:val="24"/>
        </w:rPr>
        <w:t>地下水的排泄最低基准面，分水岭两侧地下水补给各水系河水，向金沙江排泄。</w:t>
      </w:r>
    </w:p>
    <w:p>
      <w:pPr>
        <w:spacing w:line="430" w:lineRule="auto"/>
        <w:rPr>
          <w:rFonts w:ascii="Arial"/>
          <w:sz w:val="21"/>
        </w:rPr>
      </w:pPr>
    </w:p>
    <w:p>
      <w:pPr>
        <w:pStyle w:val="2"/>
        <w:spacing w:before="78" w:line="232" w:lineRule="auto"/>
        <w:ind w:left="36"/>
        <w:outlineLvl w:val="2"/>
        <w:rPr>
          <w:sz w:val="24"/>
          <w:szCs w:val="24"/>
        </w:rPr>
      </w:pPr>
      <w:r>
        <w:rPr>
          <w:rFonts w:ascii="Times New Roman" w:hAnsi="Times New Roman" w:eastAsia="Times New Roman" w:cs="Times New Roman"/>
          <w:b/>
          <w:bCs/>
          <w:sz w:val="24"/>
          <w:szCs w:val="24"/>
        </w:rPr>
        <w:t xml:space="preserve">4.3.2 </w:t>
      </w:r>
      <w:r>
        <w:rPr>
          <w:sz w:val="24"/>
          <w:szCs w:val="24"/>
          <w14:textOutline w14:w="4354" w14:cap="flat" w14:cmpd="sng">
            <w14:solidFill>
              <w14:srgbClr w14:val="000000"/>
            </w14:solidFill>
            <w14:prstDash w14:val="solid"/>
            <w14:miter w14:val="0"/>
          </w14:textOutline>
        </w:rPr>
        <w:t>地下水开发利用历史与现状</w:t>
      </w:r>
    </w:p>
    <w:p>
      <w:pPr>
        <w:spacing w:before="202" w:line="466" w:lineRule="exact"/>
        <w:ind w:left="518"/>
        <w:rPr>
          <w:rFonts w:ascii="宋体" w:hAnsi="宋体" w:eastAsia="宋体" w:cs="宋体"/>
          <w:sz w:val="24"/>
          <w:szCs w:val="24"/>
        </w:rPr>
      </w:pPr>
      <w:r>
        <w:rPr>
          <w:rFonts w:ascii="宋体" w:hAnsi="宋体" w:eastAsia="宋体" w:cs="宋体"/>
          <w:spacing w:val="-5"/>
          <w:position w:val="17"/>
          <w:sz w:val="24"/>
          <w:szCs w:val="24"/>
        </w:rPr>
        <w:t>评价区内村镇饮用水源多来自山箐水，隧洞沿线无出露泉点，</w:t>
      </w:r>
      <w:r>
        <w:rPr>
          <w:rFonts w:ascii="宋体" w:hAnsi="宋体" w:eastAsia="宋体" w:cs="宋体"/>
          <w:spacing w:val="-58"/>
          <w:position w:val="17"/>
          <w:sz w:val="24"/>
          <w:szCs w:val="24"/>
        </w:rPr>
        <w:t xml:space="preserve"> </w:t>
      </w:r>
      <w:r>
        <w:rPr>
          <w:rFonts w:ascii="宋体" w:hAnsi="宋体" w:eastAsia="宋体" w:cs="宋体"/>
          <w:spacing w:val="-5"/>
          <w:position w:val="17"/>
          <w:sz w:val="24"/>
          <w:szCs w:val="24"/>
        </w:rPr>
        <w:t>无地下水利用</w:t>
      </w:r>
    </w:p>
    <w:p>
      <w:pPr>
        <w:spacing w:before="1" w:line="220" w:lineRule="auto"/>
        <w:ind w:left="37"/>
        <w:rPr>
          <w:rFonts w:ascii="宋体" w:hAnsi="宋体" w:eastAsia="宋体" w:cs="宋体"/>
          <w:sz w:val="24"/>
          <w:szCs w:val="24"/>
        </w:rPr>
      </w:pPr>
      <w:r>
        <w:rPr>
          <w:rFonts w:ascii="宋体" w:hAnsi="宋体" w:eastAsia="宋体" w:cs="宋体"/>
          <w:spacing w:val="-10"/>
          <w:sz w:val="24"/>
          <w:szCs w:val="24"/>
        </w:rPr>
        <w:t>情况。</w:t>
      </w:r>
    </w:p>
    <w:p>
      <w:pPr>
        <w:spacing w:line="429" w:lineRule="auto"/>
        <w:rPr>
          <w:rFonts w:ascii="Arial"/>
          <w:sz w:val="21"/>
        </w:rPr>
      </w:pPr>
    </w:p>
    <w:p>
      <w:pPr>
        <w:pStyle w:val="2"/>
        <w:spacing w:before="78" w:line="233" w:lineRule="auto"/>
        <w:ind w:left="36"/>
        <w:outlineLvl w:val="2"/>
        <w:rPr>
          <w:sz w:val="24"/>
          <w:szCs w:val="24"/>
        </w:rPr>
      </w:pPr>
      <w:r>
        <w:rPr>
          <w:rFonts w:ascii="Times New Roman" w:hAnsi="Times New Roman" w:eastAsia="Times New Roman" w:cs="Times New Roman"/>
          <w:b/>
          <w:bCs/>
          <w:sz w:val="24"/>
          <w:szCs w:val="24"/>
        </w:rPr>
        <w:t xml:space="preserve">4.3.3 </w:t>
      </w:r>
      <w:r>
        <w:rPr>
          <w:sz w:val="24"/>
          <w:szCs w:val="24"/>
          <w14:textOutline w14:w="4354" w14:cap="flat" w14:cmpd="sng">
            <w14:solidFill>
              <w14:srgbClr w14:val="000000"/>
            </w14:solidFill>
            <w14:prstDash w14:val="solid"/>
            <w14:miter w14:val="0"/>
          </w14:textOutline>
        </w:rPr>
        <w:t>地下水环境影响分析</w:t>
      </w:r>
    </w:p>
    <w:p>
      <w:pPr>
        <w:spacing w:before="199" w:line="467" w:lineRule="exact"/>
        <w:ind w:left="525"/>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1</w:t>
      </w:r>
      <w:r>
        <w:rPr>
          <w:rFonts w:ascii="宋体" w:hAnsi="宋体" w:eastAsia="宋体" w:cs="宋体"/>
          <w:spacing w:val="-1"/>
          <w:position w:val="17"/>
          <w:sz w:val="24"/>
          <w:szCs w:val="24"/>
        </w:rPr>
        <w:t>）隧洞建设对地下水水位、水量的影响</w:t>
      </w:r>
    </w:p>
    <w:p>
      <w:pPr>
        <w:spacing w:before="1" w:line="217" w:lineRule="auto"/>
        <w:ind w:left="518"/>
        <w:rPr>
          <w:rFonts w:ascii="宋体" w:hAnsi="宋体" w:eastAsia="宋体" w:cs="宋体"/>
          <w:sz w:val="24"/>
          <w:szCs w:val="24"/>
        </w:rPr>
      </w:pPr>
      <w:r>
        <w:rPr>
          <w:rFonts w:ascii="宋体" w:hAnsi="宋体" w:eastAsia="宋体" w:cs="宋体"/>
          <w:spacing w:val="-2"/>
          <w:sz w:val="24"/>
          <w:szCs w:val="24"/>
        </w:rPr>
        <w:t>①隧洞涌水水量</w:t>
      </w:r>
    </w:p>
    <w:p>
      <w:pPr>
        <w:spacing w:before="186" w:line="359" w:lineRule="auto"/>
        <w:ind w:left="39" w:right="12" w:firstLine="483"/>
        <w:jc w:val="both"/>
        <w:rPr>
          <w:rFonts w:ascii="宋体" w:hAnsi="宋体" w:eastAsia="宋体" w:cs="宋体"/>
          <w:sz w:val="24"/>
          <w:szCs w:val="24"/>
        </w:rPr>
      </w:pPr>
      <w:r>
        <w:rPr>
          <w:rFonts w:ascii="宋体" w:hAnsi="宋体" w:eastAsia="宋体" w:cs="宋体"/>
          <w:spacing w:val="-9"/>
          <w:sz w:val="24"/>
          <w:szCs w:val="24"/>
        </w:rPr>
        <w:t>项目输水工程、引水工程共设置</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7</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处隧洞。根据输水隧洞沿线地质勘查资料，</w:t>
      </w:r>
      <w:r>
        <w:rPr>
          <w:rFonts w:ascii="宋体" w:hAnsi="宋体" w:eastAsia="宋体" w:cs="宋体"/>
          <w:sz w:val="24"/>
          <w:szCs w:val="24"/>
        </w:rPr>
        <w:t xml:space="preserve"> </w:t>
      </w:r>
      <w:r>
        <w:rPr>
          <w:rFonts w:ascii="宋体" w:hAnsi="宋体" w:eastAsia="宋体" w:cs="宋体"/>
          <w:spacing w:val="-3"/>
          <w:sz w:val="24"/>
          <w:szCs w:val="24"/>
        </w:rPr>
        <w:t>引水工程隧洞、输水工程隧洞（么他苴隧洞、海古簸隧洞、碧么隧洞）洞身位于</w:t>
      </w:r>
      <w:r>
        <w:rPr>
          <w:rFonts w:ascii="宋体" w:hAnsi="宋体" w:eastAsia="宋体" w:cs="宋体"/>
          <w:sz w:val="24"/>
          <w:szCs w:val="24"/>
        </w:rPr>
        <w:t xml:space="preserve"> </w:t>
      </w:r>
      <w:r>
        <w:rPr>
          <w:rFonts w:ascii="宋体" w:hAnsi="宋体" w:eastAsia="宋体" w:cs="宋体"/>
          <w:spacing w:val="-8"/>
          <w:sz w:val="24"/>
          <w:szCs w:val="24"/>
        </w:rPr>
        <w:t>地下水水位之上，输水隧洞不存在涌水情况。根据钻孔资料，</w:t>
      </w:r>
      <w:r>
        <w:rPr>
          <w:rFonts w:ascii="宋体" w:hAnsi="宋体" w:eastAsia="宋体" w:cs="宋体"/>
          <w:spacing w:val="55"/>
          <w:sz w:val="24"/>
          <w:szCs w:val="24"/>
        </w:rPr>
        <w:t xml:space="preserve"> </w:t>
      </w:r>
      <w:r>
        <w:rPr>
          <w:rFonts w:ascii="宋体" w:hAnsi="宋体" w:eastAsia="宋体" w:cs="宋体"/>
          <w:spacing w:val="-8"/>
          <w:sz w:val="24"/>
          <w:szCs w:val="24"/>
        </w:rPr>
        <w:t>马茨河隧洞、六姑</w:t>
      </w:r>
      <w:r>
        <w:rPr>
          <w:rFonts w:ascii="宋体" w:hAnsi="宋体" w:eastAsia="宋体" w:cs="宋体"/>
          <w:sz w:val="24"/>
          <w:szCs w:val="24"/>
        </w:rPr>
        <w:t xml:space="preserve"> </w:t>
      </w:r>
      <w:r>
        <w:rPr>
          <w:rFonts w:ascii="宋体" w:hAnsi="宋体" w:eastAsia="宋体" w:cs="宋体"/>
          <w:spacing w:val="-3"/>
          <w:sz w:val="24"/>
          <w:szCs w:val="24"/>
        </w:rPr>
        <w:t>乍箐隧洞、独格里排隧洞部分洞身位于地下水水位之下，输水隧洞部分区域存在</w:t>
      </w:r>
    </w:p>
    <w:p>
      <w:pPr>
        <w:spacing w:line="219" w:lineRule="auto"/>
        <w:ind w:left="43"/>
        <w:rPr>
          <w:rFonts w:ascii="宋体" w:hAnsi="宋体" w:eastAsia="宋体" w:cs="宋体"/>
          <w:sz w:val="24"/>
          <w:szCs w:val="24"/>
        </w:rPr>
      </w:pPr>
      <w:r>
        <w:rPr>
          <w:rFonts w:ascii="宋体" w:hAnsi="宋体" w:eastAsia="宋体" w:cs="宋体"/>
          <w:spacing w:val="-5"/>
          <w:sz w:val="24"/>
          <w:szCs w:val="24"/>
        </w:rPr>
        <w:t>涌水。</w:t>
      </w:r>
    </w:p>
    <w:p>
      <w:pPr>
        <w:spacing w:before="182" w:line="467" w:lineRule="exact"/>
        <w:ind w:left="519"/>
        <w:rPr>
          <w:rFonts w:ascii="宋体" w:hAnsi="宋体" w:eastAsia="宋体" w:cs="宋体"/>
          <w:sz w:val="24"/>
          <w:szCs w:val="24"/>
        </w:rPr>
      </w:pPr>
      <w:r>
        <w:rPr>
          <w:rFonts w:ascii="宋体" w:hAnsi="宋体" w:eastAsia="宋体" w:cs="宋体"/>
          <w:spacing w:val="-5"/>
          <w:position w:val="17"/>
          <w:sz w:val="24"/>
          <w:szCs w:val="24"/>
        </w:rPr>
        <w:t>根据《水利水电工程水文地质勘察规范》（</w:t>
      </w:r>
      <w:r>
        <w:rPr>
          <w:rFonts w:ascii="Times New Roman" w:hAnsi="Times New Roman" w:eastAsia="Times New Roman" w:cs="Times New Roman"/>
          <w:spacing w:val="-5"/>
          <w:position w:val="17"/>
          <w:sz w:val="24"/>
          <w:szCs w:val="24"/>
        </w:rPr>
        <w:t>SL</w:t>
      </w:r>
      <w:r>
        <w:rPr>
          <w:rFonts w:ascii="Times New Roman" w:hAnsi="Times New Roman" w:eastAsia="Times New Roman" w:cs="Times New Roman"/>
          <w:spacing w:val="-6"/>
          <w:position w:val="17"/>
          <w:sz w:val="24"/>
          <w:szCs w:val="24"/>
        </w:rPr>
        <w:t>273-2007</w:t>
      </w:r>
      <w:r>
        <w:rPr>
          <w:rFonts w:ascii="宋体" w:hAnsi="宋体" w:eastAsia="宋体" w:cs="宋体"/>
          <w:spacing w:val="-59"/>
          <w:w w:val="94"/>
          <w:position w:val="17"/>
          <w:sz w:val="24"/>
          <w:szCs w:val="24"/>
        </w:rPr>
        <w:t>），</w:t>
      </w:r>
      <w:r>
        <w:rPr>
          <w:rFonts w:ascii="宋体" w:hAnsi="宋体" w:eastAsia="宋体" w:cs="宋体"/>
          <w:spacing w:val="-6"/>
          <w:position w:val="17"/>
          <w:sz w:val="24"/>
          <w:szCs w:val="24"/>
        </w:rPr>
        <w:t>采用古德曼公式估</w:t>
      </w:r>
    </w:p>
    <w:p>
      <w:pPr>
        <w:spacing w:line="219" w:lineRule="auto"/>
        <w:ind w:left="41"/>
        <w:rPr>
          <w:rFonts w:ascii="宋体" w:hAnsi="宋体" w:eastAsia="宋体" w:cs="宋体"/>
          <w:sz w:val="24"/>
          <w:szCs w:val="24"/>
        </w:rPr>
      </w:pPr>
      <w:r>
        <w:rPr>
          <w:rFonts w:ascii="宋体" w:hAnsi="宋体" w:eastAsia="宋体" w:cs="宋体"/>
          <w:spacing w:val="-2"/>
          <w:sz w:val="24"/>
          <w:szCs w:val="24"/>
        </w:rPr>
        <w:t>算最大涌水量：</w:t>
      </w:r>
    </w:p>
    <w:p>
      <w:pPr>
        <w:spacing w:before="145" w:line="1125" w:lineRule="exact"/>
        <w:ind w:firstLine="3447"/>
      </w:pPr>
      <w:r>
        <w:rPr>
          <w:position w:val="-22"/>
        </w:rPr>
        <w:drawing>
          <wp:inline distT="0" distB="0" distL="0" distR="0">
            <wp:extent cx="1238250" cy="7137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517"/>
                    <a:stretch>
                      <a:fillRect/>
                    </a:stretch>
                  </pic:blipFill>
                  <pic:spPr>
                    <a:xfrm>
                      <a:off x="0" y="0"/>
                      <a:ext cx="1238250" cy="714247"/>
                    </a:xfrm>
                    <a:prstGeom prst="rect">
                      <a:avLst/>
                    </a:prstGeom>
                  </pic:spPr>
                </pic:pic>
              </a:graphicData>
            </a:graphic>
          </wp:inline>
        </w:drawing>
      </w:r>
    </w:p>
    <w:p>
      <w:pPr>
        <w:spacing w:before="174" w:line="467" w:lineRule="exact"/>
        <w:ind w:left="524"/>
        <w:rPr>
          <w:rFonts w:ascii="宋体" w:hAnsi="宋体" w:eastAsia="宋体" w:cs="宋体"/>
          <w:sz w:val="24"/>
          <w:szCs w:val="24"/>
        </w:rPr>
      </w:pPr>
      <w:r>
        <w:rPr>
          <w:rFonts w:ascii="宋体" w:hAnsi="宋体" w:eastAsia="宋体" w:cs="宋体"/>
          <w:spacing w:val="-34"/>
          <w:position w:val="17"/>
          <w:sz w:val="24"/>
          <w:szCs w:val="24"/>
        </w:rPr>
        <w:t>式中：</w:t>
      </w:r>
      <w:r>
        <w:rPr>
          <w:rFonts w:ascii="宋体" w:hAnsi="宋体" w:eastAsia="宋体" w:cs="宋体"/>
          <w:position w:val="17"/>
          <w:sz w:val="24"/>
          <w:szCs w:val="24"/>
        </w:rPr>
        <w:t xml:space="preserve"> </w:t>
      </w:r>
      <w:r>
        <w:rPr>
          <w:rFonts w:ascii="Times New Roman" w:hAnsi="Times New Roman" w:eastAsia="Times New Roman" w:cs="Times New Roman"/>
          <w:spacing w:val="-34"/>
          <w:position w:val="17"/>
          <w:sz w:val="24"/>
          <w:szCs w:val="24"/>
        </w:rPr>
        <w:t>Q</w:t>
      </w:r>
      <w:r>
        <w:rPr>
          <w:rFonts w:ascii="Times New Roman" w:hAnsi="Times New Roman" w:eastAsia="Times New Roman" w:cs="Times New Roman"/>
          <w:position w:val="16"/>
          <w:sz w:val="15"/>
          <w:szCs w:val="15"/>
        </w:rPr>
        <w:t>0</w:t>
      </w:r>
      <w:r>
        <w:rPr>
          <w:rFonts w:ascii="宋体" w:hAnsi="宋体" w:eastAsia="宋体" w:cs="宋体"/>
          <w:position w:val="17"/>
          <w:sz w:val="24"/>
          <w:szCs w:val="24"/>
        </w:rPr>
        <w:t>—隧洞通过含水体时地段的最大涌水量（</w:t>
      </w:r>
      <w:r>
        <w:rPr>
          <w:rFonts w:ascii="Times New Roman" w:hAnsi="Times New Roman" w:eastAsia="Times New Roman" w:cs="Times New Roman"/>
          <w:position w:val="17"/>
          <w:sz w:val="24"/>
          <w:szCs w:val="24"/>
        </w:rPr>
        <w:t>m</w:t>
      </w:r>
      <w:r>
        <w:rPr>
          <w:rFonts w:ascii="Times New Roman" w:hAnsi="Times New Roman" w:eastAsia="Times New Roman" w:cs="Times New Roman"/>
          <w:position w:val="25"/>
          <w:sz w:val="15"/>
          <w:szCs w:val="15"/>
        </w:rPr>
        <w:t>3</w:t>
      </w:r>
      <w:r>
        <w:rPr>
          <w:rFonts w:ascii="Times New Roman" w:hAnsi="Times New Roman" w:eastAsia="Times New Roman" w:cs="Times New Roman"/>
          <w:position w:val="17"/>
          <w:sz w:val="24"/>
          <w:szCs w:val="24"/>
        </w:rPr>
        <w:t>/d</w:t>
      </w:r>
      <w:r>
        <w:rPr>
          <w:rFonts w:ascii="宋体" w:hAnsi="宋体" w:eastAsia="宋体" w:cs="宋体"/>
          <w:spacing w:val="-62"/>
          <w:position w:val="17"/>
          <w:sz w:val="24"/>
          <w:szCs w:val="24"/>
        </w:rPr>
        <w:t>）；</w:t>
      </w:r>
    </w:p>
    <w:p>
      <w:pPr>
        <w:spacing w:line="233" w:lineRule="auto"/>
        <w:ind w:left="1234"/>
        <w:rPr>
          <w:rFonts w:ascii="宋体" w:hAnsi="宋体" w:eastAsia="宋体" w:cs="宋体"/>
          <w:sz w:val="24"/>
          <w:szCs w:val="24"/>
        </w:rPr>
      </w:pPr>
      <w:r>
        <w:rPr>
          <w:rFonts w:ascii="Times New Roman" w:hAnsi="Times New Roman" w:eastAsia="Times New Roman" w:cs="Times New Roman"/>
          <w:spacing w:val="-1"/>
          <w:sz w:val="24"/>
          <w:szCs w:val="24"/>
        </w:rPr>
        <w:t>K</w:t>
      </w:r>
      <w:r>
        <w:rPr>
          <w:rFonts w:ascii="宋体" w:hAnsi="宋体" w:eastAsia="宋体" w:cs="宋体"/>
          <w:spacing w:val="-1"/>
          <w:sz w:val="24"/>
          <w:szCs w:val="24"/>
        </w:rPr>
        <w:t>—含水体渗透系数（</w:t>
      </w:r>
      <w:r>
        <w:rPr>
          <w:rFonts w:ascii="Times New Roman" w:hAnsi="Times New Roman" w:eastAsia="Times New Roman" w:cs="Times New Roman"/>
          <w:spacing w:val="-1"/>
          <w:sz w:val="24"/>
          <w:szCs w:val="24"/>
        </w:rPr>
        <w:t>m/d</w:t>
      </w:r>
      <w:r>
        <w:rPr>
          <w:rFonts w:ascii="宋体" w:hAnsi="宋体" w:eastAsia="宋体" w:cs="宋体"/>
          <w:spacing w:val="-64"/>
          <w:sz w:val="24"/>
          <w:szCs w:val="24"/>
        </w:rPr>
        <w:t>）；</w:t>
      </w:r>
    </w:p>
    <w:p>
      <w:pPr>
        <w:spacing w:before="164" w:line="467" w:lineRule="exact"/>
        <w:ind w:left="1234"/>
        <w:rPr>
          <w:rFonts w:ascii="宋体" w:hAnsi="宋体" w:eastAsia="宋体" w:cs="宋体"/>
          <w:sz w:val="24"/>
          <w:szCs w:val="24"/>
        </w:rPr>
      </w:pPr>
      <w:r>
        <w:rPr>
          <w:rFonts w:ascii="Times New Roman" w:hAnsi="Times New Roman" w:eastAsia="Times New Roman" w:cs="Times New Roman"/>
          <w:spacing w:val="-1"/>
          <w:position w:val="16"/>
          <w:sz w:val="24"/>
          <w:szCs w:val="24"/>
        </w:rPr>
        <w:t>H</w:t>
      </w:r>
      <w:r>
        <w:rPr>
          <w:rFonts w:ascii="宋体" w:hAnsi="宋体" w:eastAsia="宋体" w:cs="宋体"/>
          <w:spacing w:val="-1"/>
          <w:position w:val="16"/>
          <w:sz w:val="24"/>
          <w:szCs w:val="24"/>
        </w:rPr>
        <w:t>—静止水位至洞身横断面等价圆中心的距离（</w:t>
      </w:r>
      <w:r>
        <w:rPr>
          <w:rFonts w:ascii="Times New Roman" w:hAnsi="Times New Roman" w:eastAsia="Times New Roman" w:cs="Times New Roman"/>
          <w:spacing w:val="-1"/>
          <w:position w:val="16"/>
          <w:sz w:val="24"/>
          <w:szCs w:val="24"/>
        </w:rPr>
        <w:t>m</w:t>
      </w:r>
      <w:r>
        <w:rPr>
          <w:rFonts w:ascii="宋体" w:hAnsi="宋体" w:eastAsia="宋体" w:cs="宋体"/>
          <w:spacing w:val="-60"/>
          <w:position w:val="16"/>
          <w:sz w:val="24"/>
          <w:szCs w:val="24"/>
        </w:rPr>
        <w:t>）；</w:t>
      </w:r>
    </w:p>
    <w:p>
      <w:pPr>
        <w:spacing w:before="1" w:line="231" w:lineRule="auto"/>
        <w:ind w:left="1237"/>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—洞身横断面等价圆直径（</w:t>
      </w:r>
      <w:r>
        <w:rPr>
          <w:rFonts w:ascii="Times New Roman" w:hAnsi="Times New Roman" w:eastAsia="Times New Roman" w:cs="Times New Roman"/>
          <w:spacing w:val="-1"/>
          <w:sz w:val="24"/>
          <w:szCs w:val="24"/>
        </w:rPr>
        <w:t>m</w:t>
      </w:r>
      <w:r>
        <w:rPr>
          <w:rFonts w:ascii="宋体" w:hAnsi="宋体" w:eastAsia="宋体" w:cs="宋体"/>
          <w:spacing w:val="-64"/>
          <w:w w:val="99"/>
          <w:sz w:val="24"/>
          <w:szCs w:val="24"/>
        </w:rPr>
        <w:t>）；</w:t>
      </w:r>
    </w:p>
    <w:p>
      <w:pPr>
        <w:spacing w:before="167" w:line="233" w:lineRule="auto"/>
        <w:ind w:left="1234"/>
        <w:rPr>
          <w:rFonts w:ascii="宋体" w:hAnsi="宋体" w:eastAsia="宋体" w:cs="宋体"/>
          <w:sz w:val="24"/>
          <w:szCs w:val="24"/>
        </w:rPr>
      </w:pPr>
      <w:r>
        <w:rPr>
          <w:rFonts w:ascii="Times New Roman" w:hAnsi="Times New Roman" w:eastAsia="Times New Roman" w:cs="Times New Roman"/>
          <w:spacing w:val="-6"/>
          <w:sz w:val="24"/>
          <w:szCs w:val="24"/>
        </w:rPr>
        <w:t>L</w:t>
      </w:r>
      <w:r>
        <w:rPr>
          <w:rFonts w:ascii="宋体" w:hAnsi="宋体" w:eastAsia="宋体" w:cs="宋体"/>
          <w:spacing w:val="-6"/>
          <w:sz w:val="24"/>
          <w:szCs w:val="24"/>
        </w:rPr>
        <w:t>—隧洞通过含水体的长度（</w:t>
      </w:r>
      <w:r>
        <w:rPr>
          <w:rFonts w:ascii="Times New Roman" w:hAnsi="Times New Roman" w:eastAsia="Times New Roman" w:cs="Times New Roman"/>
          <w:spacing w:val="-6"/>
          <w:sz w:val="24"/>
          <w:szCs w:val="24"/>
        </w:rPr>
        <w:t>m</w:t>
      </w:r>
      <w:r>
        <w:rPr>
          <w:rFonts w:ascii="宋体" w:hAnsi="宋体" w:eastAsia="宋体" w:cs="宋体"/>
          <w:spacing w:val="-6"/>
          <w:sz w:val="24"/>
          <w:szCs w:val="24"/>
        </w:rPr>
        <w:t>）。</w:t>
      </w:r>
    </w:p>
    <w:p>
      <w:pPr>
        <w:spacing w:line="233" w:lineRule="auto"/>
        <w:rPr>
          <w:rFonts w:ascii="宋体" w:hAnsi="宋体" w:eastAsia="宋体" w:cs="宋体"/>
          <w:sz w:val="24"/>
          <w:szCs w:val="24"/>
        </w:rPr>
        <w:sectPr>
          <w:headerReference r:id="rId376" w:type="default"/>
          <w:footerReference r:id="rId377" w:type="default"/>
          <w:pgSz w:w="11907" w:h="16839"/>
          <w:pgMar w:top="1156" w:right="1718" w:bottom="1374" w:left="1770" w:header="881" w:footer="1210" w:gutter="0"/>
        </w:sectPr>
      </w:pPr>
    </w:p>
    <w:p>
      <w:pPr>
        <w:spacing w:before="29"/>
      </w:pPr>
    </w:p>
    <w:p>
      <w:pPr>
        <w:sectPr>
          <w:headerReference r:id="rId378" w:type="default"/>
          <w:footerReference r:id="rId379" w:type="default"/>
          <w:pgSz w:w="11907" w:h="16839"/>
          <w:pgMar w:top="1156" w:right="1731" w:bottom="1374" w:left="1770" w:header="881" w:footer="1210" w:gutter="0"/>
          <w:cols w:equalWidth="0" w:num="1">
            <w:col w:w="8405"/>
          </w:cols>
        </w:sectPr>
      </w:pPr>
    </w:p>
    <w:p>
      <w:pPr>
        <w:spacing w:before="47" w:line="220" w:lineRule="auto"/>
        <w:ind w:left="519"/>
        <w:rPr>
          <w:rFonts w:ascii="宋体" w:hAnsi="宋体" w:eastAsia="宋体" w:cs="宋体"/>
          <w:sz w:val="24"/>
          <w:szCs w:val="24"/>
        </w:rPr>
      </w:pPr>
      <w:r>
        <w:rPr>
          <w:rFonts w:ascii="宋体" w:hAnsi="宋体" w:eastAsia="宋体" w:cs="宋体"/>
          <w:spacing w:val="-3"/>
          <w:sz w:val="24"/>
          <w:szCs w:val="24"/>
        </w:rPr>
        <w:t>计算参数及结果见表</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4.3-</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273" w:line="185" w:lineRule="auto"/>
        <w:ind w:left="2997"/>
        <w:rPr>
          <w:rFonts w:ascii="Times New Roman" w:hAnsi="Times New Roman" w:eastAsia="Times New Roman" w:cs="Times New Roman"/>
          <w:sz w:val="21"/>
          <w:szCs w:val="21"/>
        </w:rPr>
      </w:pPr>
      <w:r>
        <w:rPr>
          <w:rFonts w:ascii="宋体" w:hAnsi="宋体" w:eastAsia="宋体" w:cs="宋体"/>
          <w:spacing w:val="-3"/>
          <w:sz w:val="21"/>
          <w:szCs w:val="21"/>
          <w14:textOutline w14:w="3810" w14:cap="flat" w14:cmpd="sng">
            <w14:solidFill>
              <w14:srgbClr w14:val="000000"/>
            </w14:solidFill>
            <w14:prstDash w14:val="solid"/>
            <w14:miter w14:val="0"/>
          </w14:textOutline>
        </w:rPr>
        <w:t>表</w:t>
      </w:r>
      <w:r>
        <w:rPr>
          <w:rFonts w:ascii="宋体" w:hAnsi="宋体" w:eastAsia="宋体" w:cs="宋体"/>
          <w:spacing w:val="-41"/>
          <w:sz w:val="21"/>
          <w:szCs w:val="21"/>
        </w:rPr>
        <w:t xml:space="preserve"> </w:t>
      </w:r>
      <w:r>
        <w:rPr>
          <w:rFonts w:ascii="Times New Roman" w:hAnsi="Times New Roman" w:eastAsia="Times New Roman" w:cs="Times New Roman"/>
          <w:b/>
          <w:bCs/>
          <w:spacing w:val="-3"/>
          <w:sz w:val="21"/>
          <w:szCs w:val="21"/>
        </w:rPr>
        <w:t>4.3-1</w:t>
      </w:r>
    </w:p>
    <w:p>
      <w:pPr>
        <w:spacing w:line="14" w:lineRule="auto"/>
        <w:rPr>
          <w:rFonts w:ascii="Arial"/>
          <w:sz w:val="2"/>
        </w:rPr>
      </w:pPr>
      <w:r>
        <w:rPr>
          <w:rFonts w:ascii="Arial" w:hAnsi="Arial" w:eastAsia="Arial" w:cs="Arial"/>
          <w:sz w:val="2"/>
          <w:szCs w:val="2"/>
        </w:rPr>
        <w:br w:type="column"/>
      </w:r>
    </w:p>
    <w:p>
      <w:pPr>
        <w:spacing w:line="267" w:lineRule="auto"/>
        <w:rPr>
          <w:rFonts w:ascii="Arial"/>
          <w:sz w:val="21"/>
        </w:rPr>
      </w:pPr>
    </w:p>
    <w:p>
      <w:pPr>
        <w:spacing w:line="267" w:lineRule="auto"/>
        <w:rPr>
          <w:rFonts w:ascii="Arial"/>
          <w:sz w:val="21"/>
        </w:rPr>
      </w:pPr>
    </w:p>
    <w:p>
      <w:pPr>
        <w:spacing w:before="68" w:line="185" w:lineRule="auto"/>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隧洞涌水计算结果表</w:t>
      </w:r>
    </w:p>
    <w:p>
      <w:pPr>
        <w:spacing w:line="185" w:lineRule="auto"/>
        <w:rPr>
          <w:rFonts w:ascii="宋体" w:hAnsi="宋体" w:eastAsia="宋体" w:cs="宋体"/>
          <w:sz w:val="21"/>
          <w:szCs w:val="21"/>
        </w:rPr>
        <w:sectPr>
          <w:type w:val="continuous"/>
          <w:pgSz w:w="11907" w:h="16839"/>
          <w:pgMar w:top="1156" w:right="1731" w:bottom="1374" w:left="1770" w:header="881" w:footer="1210" w:gutter="0"/>
          <w:cols w:equalWidth="0" w:num="2">
            <w:col w:w="3822" w:space="100"/>
            <w:col w:w="4484"/>
          </w:cols>
        </w:sectPr>
      </w:pPr>
    </w:p>
    <w:p>
      <w:pPr>
        <w:spacing w:line="128"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6"/>
        <w:gridCol w:w="1243"/>
        <w:gridCol w:w="969"/>
        <w:gridCol w:w="1105"/>
        <w:gridCol w:w="1574"/>
        <w:gridCol w:w="1460"/>
        <w:gridCol w:w="88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1" w:hRule="atLeast"/>
        </w:trPr>
        <w:tc>
          <w:tcPr>
            <w:tcW w:w="1086" w:type="dxa"/>
            <w:tcBorders>
              <w:top w:val="single" w:color="000000" w:sz="12" w:space="0"/>
              <w:left w:val="nil"/>
            </w:tcBorders>
            <w:vAlign w:val="top"/>
          </w:tcPr>
          <w:p>
            <w:pPr>
              <w:spacing w:line="448" w:lineRule="auto"/>
              <w:rPr>
                <w:rFonts w:ascii="Arial"/>
                <w:sz w:val="21"/>
              </w:rPr>
            </w:pPr>
          </w:p>
          <w:p>
            <w:pPr>
              <w:spacing w:before="68" w:line="217" w:lineRule="auto"/>
              <w:ind w:left="15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隧洞名称</w:t>
            </w:r>
          </w:p>
        </w:tc>
        <w:tc>
          <w:tcPr>
            <w:tcW w:w="1243" w:type="dxa"/>
            <w:tcBorders>
              <w:top w:val="single" w:color="000000" w:sz="12" w:space="0"/>
            </w:tcBorders>
            <w:vAlign w:val="top"/>
          </w:tcPr>
          <w:p>
            <w:pPr>
              <w:spacing w:line="448" w:lineRule="auto"/>
              <w:rPr>
                <w:rFonts w:ascii="Arial"/>
                <w:sz w:val="21"/>
              </w:rPr>
            </w:pPr>
          </w:p>
          <w:p>
            <w:pPr>
              <w:spacing w:before="69" w:line="217" w:lineRule="auto"/>
              <w:ind w:left="21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涌水里程</w:t>
            </w:r>
          </w:p>
        </w:tc>
        <w:tc>
          <w:tcPr>
            <w:tcW w:w="969" w:type="dxa"/>
            <w:tcBorders>
              <w:top w:val="single" w:color="000000" w:sz="12" w:space="0"/>
            </w:tcBorders>
            <w:vAlign w:val="top"/>
          </w:tcPr>
          <w:p>
            <w:pPr>
              <w:spacing w:before="206" w:line="247" w:lineRule="auto"/>
              <w:ind w:left="389" w:right="165" w:hanging="208"/>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涌水长</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度</w:t>
            </w:r>
          </w:p>
          <w:p>
            <w:pPr>
              <w:pStyle w:val="6"/>
              <w:spacing w:before="63" w:line="279" w:lineRule="exact"/>
              <w:ind w:left="197"/>
              <w:rPr>
                <w:rFonts w:ascii="仿宋" w:hAnsi="仿宋" w:eastAsia="仿宋" w:cs="仿宋"/>
              </w:rPr>
            </w:pPr>
            <w:r>
              <w:rPr>
                <w:rFonts w:ascii="仿宋" w:hAnsi="仿宋" w:eastAsia="仿宋" w:cs="仿宋"/>
                <w:spacing w:val="-5"/>
                <w:position w:val="1"/>
                <w14:textOutline w14:w="3810" w14:cap="flat" w14:cmpd="sng">
                  <w14:solidFill>
                    <w14:srgbClr w14:val="000000"/>
                  </w14:solidFill>
                  <w14:prstDash w14:val="solid"/>
                  <w14:miter w14:val="0"/>
                </w14:textOutline>
              </w:rPr>
              <w:t>（</w:t>
            </w:r>
            <w:r>
              <w:rPr>
                <w:b/>
                <w:bCs/>
                <w:spacing w:val="-5"/>
                <w:position w:val="1"/>
              </w:rPr>
              <w:t>m</w:t>
            </w:r>
            <w:r>
              <w:rPr>
                <w:rFonts w:ascii="仿宋" w:hAnsi="仿宋" w:eastAsia="仿宋" w:cs="仿宋"/>
                <w:spacing w:val="-5"/>
                <w:position w:val="1"/>
                <w14:textOutline w14:w="3810" w14:cap="flat" w14:cmpd="sng">
                  <w14:solidFill>
                    <w14:srgbClr w14:val="000000"/>
                  </w14:solidFill>
                  <w14:prstDash w14:val="solid"/>
                  <w14:miter w14:val="0"/>
                </w14:textOutline>
              </w:rPr>
              <w:t>）</w:t>
            </w:r>
          </w:p>
        </w:tc>
        <w:tc>
          <w:tcPr>
            <w:tcW w:w="1105" w:type="dxa"/>
            <w:tcBorders>
              <w:top w:val="single" w:color="000000" w:sz="12" w:space="0"/>
            </w:tcBorders>
            <w:vAlign w:val="top"/>
          </w:tcPr>
          <w:p>
            <w:pPr>
              <w:pStyle w:val="6"/>
              <w:spacing w:before="206" w:line="265" w:lineRule="auto"/>
              <w:ind w:left="177" w:right="128" w:hanging="34"/>
              <w:jc w:val="both"/>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含水体渗</w:t>
            </w:r>
            <w:r>
              <w:rPr>
                <w:rFonts w:ascii="仿宋" w:hAnsi="仿宋" w:eastAsia="仿宋" w:cs="仿宋"/>
              </w:rPr>
              <w:t xml:space="preserve"> </w:t>
            </w:r>
            <w:r>
              <w:rPr>
                <w:rFonts w:ascii="仿宋" w:hAnsi="仿宋" w:eastAsia="仿宋" w:cs="仿宋"/>
                <w:spacing w:val="19"/>
                <w14:textOutline w14:w="3810" w14:cap="flat" w14:cmpd="sng">
                  <w14:solidFill>
                    <w14:srgbClr w14:val="000000"/>
                  </w14:solidFill>
                  <w14:prstDash w14:val="solid"/>
                  <w14:miter w14:val="0"/>
                </w14:textOutline>
              </w:rPr>
              <w:t>透系数</w:t>
            </w:r>
            <w:r>
              <w:rPr>
                <w:rFonts w:ascii="仿宋" w:hAnsi="仿宋" w:eastAsia="仿宋" w:cs="仿宋"/>
              </w:rPr>
              <w:t xml:space="preserve">  </w:t>
            </w:r>
            <w:r>
              <w:rPr>
                <w:rFonts w:ascii="仿宋" w:hAnsi="仿宋" w:eastAsia="仿宋" w:cs="仿宋"/>
                <w:spacing w:val="-3"/>
                <w14:textOutline w14:w="3810" w14:cap="flat" w14:cmpd="sng">
                  <w14:solidFill>
                    <w14:srgbClr w14:val="000000"/>
                  </w14:solidFill>
                  <w14:prstDash w14:val="solid"/>
                  <w14:miter w14:val="0"/>
                </w14:textOutline>
              </w:rPr>
              <w:t>（</w:t>
            </w:r>
            <w:r>
              <w:rPr>
                <w:b/>
                <w:bCs/>
                <w:spacing w:val="-3"/>
              </w:rPr>
              <w:t>m/d</w:t>
            </w:r>
            <w:r>
              <w:rPr>
                <w:rFonts w:ascii="仿宋" w:hAnsi="仿宋" w:eastAsia="仿宋" w:cs="仿宋"/>
                <w:spacing w:val="-3"/>
                <w14:textOutline w14:w="3810" w14:cap="flat" w14:cmpd="sng">
                  <w14:solidFill>
                    <w14:srgbClr w14:val="000000"/>
                  </w14:solidFill>
                  <w14:prstDash w14:val="solid"/>
                  <w14:miter w14:val="0"/>
                </w14:textOutline>
              </w:rPr>
              <w:t>）</w:t>
            </w:r>
          </w:p>
        </w:tc>
        <w:tc>
          <w:tcPr>
            <w:tcW w:w="1574" w:type="dxa"/>
            <w:tcBorders>
              <w:top w:val="single" w:color="000000" w:sz="12" w:space="0"/>
            </w:tcBorders>
            <w:vAlign w:val="top"/>
          </w:tcPr>
          <w:p>
            <w:pPr>
              <w:spacing w:before="51" w:line="217" w:lineRule="auto"/>
              <w:ind w:left="16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静止水位至洞</w:t>
            </w:r>
          </w:p>
          <w:p>
            <w:pPr>
              <w:spacing w:before="64" w:line="217" w:lineRule="auto"/>
              <w:ind w:left="166"/>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身横断面等价</w:t>
            </w:r>
          </w:p>
          <w:p>
            <w:pPr>
              <w:spacing w:before="65" w:line="218" w:lineRule="auto"/>
              <w:ind w:left="186"/>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圆中心的距离</w:t>
            </w:r>
          </w:p>
          <w:p>
            <w:pPr>
              <w:pStyle w:val="6"/>
              <w:spacing w:before="63" w:line="214" w:lineRule="auto"/>
              <w:ind w:left="499"/>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m</w:t>
            </w:r>
            <w:r>
              <w:rPr>
                <w:rFonts w:ascii="仿宋" w:hAnsi="仿宋" w:eastAsia="仿宋" w:cs="仿宋"/>
                <w:spacing w:val="-5"/>
                <w14:textOutline w14:w="3810" w14:cap="flat" w14:cmpd="sng">
                  <w14:solidFill>
                    <w14:srgbClr w14:val="000000"/>
                  </w14:solidFill>
                  <w14:prstDash w14:val="solid"/>
                  <w14:miter w14:val="0"/>
                </w14:textOutline>
              </w:rPr>
              <w:t>）</w:t>
            </w:r>
          </w:p>
        </w:tc>
        <w:tc>
          <w:tcPr>
            <w:tcW w:w="1460" w:type="dxa"/>
            <w:tcBorders>
              <w:top w:val="single" w:color="000000" w:sz="12" w:space="0"/>
            </w:tcBorders>
            <w:vAlign w:val="top"/>
          </w:tcPr>
          <w:p>
            <w:pPr>
              <w:spacing w:before="206" w:line="217" w:lineRule="auto"/>
              <w:ind w:left="213"/>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洞身横断面</w:t>
            </w:r>
          </w:p>
          <w:p>
            <w:pPr>
              <w:spacing w:before="66" w:line="218" w:lineRule="auto"/>
              <w:ind w:left="22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等价圆直径</w:t>
            </w:r>
          </w:p>
          <w:p>
            <w:pPr>
              <w:pStyle w:val="6"/>
              <w:spacing w:before="63" w:line="280" w:lineRule="exact"/>
              <w:ind w:left="443"/>
              <w:rPr>
                <w:rFonts w:ascii="仿宋" w:hAnsi="仿宋" w:eastAsia="仿宋" w:cs="仿宋"/>
              </w:rPr>
            </w:pPr>
            <w:r>
              <w:rPr>
                <w:rFonts w:ascii="仿宋" w:hAnsi="仿宋" w:eastAsia="仿宋" w:cs="仿宋"/>
                <w:spacing w:val="-5"/>
                <w:position w:val="1"/>
                <w14:textOutline w14:w="3810" w14:cap="flat" w14:cmpd="sng">
                  <w14:solidFill>
                    <w14:srgbClr w14:val="000000"/>
                  </w14:solidFill>
                  <w14:prstDash w14:val="solid"/>
                  <w14:miter w14:val="0"/>
                </w14:textOutline>
              </w:rPr>
              <w:t>（</w:t>
            </w:r>
            <w:r>
              <w:rPr>
                <w:b/>
                <w:bCs/>
                <w:spacing w:val="-5"/>
                <w:position w:val="1"/>
              </w:rPr>
              <w:t>m</w:t>
            </w:r>
            <w:r>
              <w:rPr>
                <w:rFonts w:ascii="仿宋" w:hAnsi="仿宋" w:eastAsia="仿宋" w:cs="仿宋"/>
                <w:spacing w:val="-5"/>
                <w:position w:val="1"/>
                <w14:textOutline w14:w="3810" w14:cap="flat" w14:cmpd="sng">
                  <w14:solidFill>
                    <w14:srgbClr w14:val="000000"/>
                  </w14:solidFill>
                  <w14:prstDash w14:val="solid"/>
                  <w14:miter w14:val="0"/>
                </w14:textOutline>
              </w:rPr>
              <w:t>）</w:t>
            </w:r>
          </w:p>
        </w:tc>
        <w:tc>
          <w:tcPr>
            <w:tcW w:w="884" w:type="dxa"/>
            <w:tcBorders>
              <w:top w:val="single" w:color="000000" w:sz="12" w:space="0"/>
              <w:right w:val="nil"/>
            </w:tcBorders>
            <w:vAlign w:val="top"/>
          </w:tcPr>
          <w:p>
            <w:pPr>
              <w:spacing w:before="207" w:line="217" w:lineRule="auto"/>
              <w:ind w:left="13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涌水量</w:t>
            </w:r>
          </w:p>
          <w:p>
            <w:pPr>
              <w:pStyle w:val="6"/>
              <w:spacing w:before="64" w:line="247" w:lineRule="auto"/>
              <w:ind w:left="363" w:right="126" w:hanging="226"/>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w:t>
            </w:r>
            <w:r>
              <w:rPr>
                <w:b/>
                <w:bCs/>
                <w:spacing w:val="-3"/>
              </w:rPr>
              <w:t>m</w:t>
            </w:r>
            <w:r>
              <w:rPr>
                <w:b/>
                <w:bCs/>
                <w:spacing w:val="-3"/>
                <w:position w:val="6"/>
                <w:sz w:val="14"/>
                <w:szCs w:val="14"/>
              </w:rPr>
              <w:t>3</w:t>
            </w:r>
            <w:r>
              <w:rPr>
                <w:b/>
                <w:bCs/>
                <w:spacing w:val="-3"/>
              </w:rPr>
              <w:t>/d</w:t>
            </w:r>
            <w:r>
              <w:rPr>
                <w:b/>
                <w:bCs/>
                <w:spacing w:val="1"/>
              </w:rPr>
              <w:t xml:space="preserve"> </w:t>
            </w:r>
            <w:r>
              <w:rPr>
                <w:rFonts w:ascii="仿宋" w:hAnsi="仿宋" w:eastAsia="仿宋" w:cs="仿宋"/>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3" w:hRule="atLeast"/>
        </w:trPr>
        <w:tc>
          <w:tcPr>
            <w:tcW w:w="1086" w:type="dxa"/>
            <w:tcBorders>
              <w:left w:val="nil"/>
            </w:tcBorders>
            <w:vAlign w:val="top"/>
          </w:tcPr>
          <w:p>
            <w:pPr>
              <w:spacing w:before="62" w:line="242" w:lineRule="auto"/>
              <w:ind w:left="456" w:right="113" w:hanging="309"/>
              <w:rPr>
                <w:rFonts w:ascii="仿宋" w:hAnsi="仿宋" w:eastAsia="仿宋" w:cs="仿宋"/>
                <w:sz w:val="21"/>
                <w:szCs w:val="21"/>
              </w:rPr>
            </w:pPr>
            <w:r>
              <w:rPr>
                <w:rFonts w:ascii="仿宋" w:hAnsi="仿宋" w:eastAsia="仿宋" w:cs="仿宋"/>
                <w:spacing w:val="-5"/>
                <w:sz w:val="21"/>
                <w:szCs w:val="21"/>
              </w:rPr>
              <w:t>马茨河隧</w:t>
            </w:r>
            <w:r>
              <w:rPr>
                <w:rFonts w:ascii="仿宋" w:hAnsi="仿宋" w:eastAsia="仿宋" w:cs="仿宋"/>
                <w:sz w:val="21"/>
                <w:szCs w:val="21"/>
              </w:rPr>
              <w:t xml:space="preserve"> 洞</w:t>
            </w:r>
          </w:p>
        </w:tc>
        <w:tc>
          <w:tcPr>
            <w:tcW w:w="1243" w:type="dxa"/>
            <w:vAlign w:val="top"/>
          </w:tcPr>
          <w:p>
            <w:pPr>
              <w:pStyle w:val="6"/>
              <w:spacing w:before="99" w:line="312" w:lineRule="exact"/>
              <w:ind w:left="112"/>
            </w:pPr>
            <w:r>
              <w:rPr>
                <w:spacing w:val="-1"/>
                <w:position w:val="11"/>
              </w:rPr>
              <w:t>4+950.46~6</w:t>
            </w:r>
          </w:p>
          <w:p>
            <w:pPr>
              <w:pStyle w:val="6"/>
              <w:spacing w:line="188" w:lineRule="auto"/>
              <w:ind w:left="274"/>
            </w:pPr>
            <w:r>
              <w:rPr>
                <w:spacing w:val="-1"/>
              </w:rPr>
              <w:t>+272.76</w:t>
            </w:r>
          </w:p>
        </w:tc>
        <w:tc>
          <w:tcPr>
            <w:tcW w:w="969" w:type="dxa"/>
            <w:vAlign w:val="top"/>
          </w:tcPr>
          <w:p>
            <w:pPr>
              <w:pStyle w:val="6"/>
              <w:spacing w:before="255" w:line="188" w:lineRule="auto"/>
              <w:ind w:left="295"/>
            </w:pPr>
            <w:r>
              <w:rPr>
                <w:spacing w:val="-5"/>
              </w:rPr>
              <w:t>1322</w:t>
            </w:r>
          </w:p>
        </w:tc>
        <w:tc>
          <w:tcPr>
            <w:tcW w:w="1105" w:type="dxa"/>
            <w:vAlign w:val="top"/>
          </w:tcPr>
          <w:p>
            <w:pPr>
              <w:pStyle w:val="6"/>
              <w:spacing w:before="255" w:line="188" w:lineRule="auto"/>
              <w:ind w:left="320"/>
            </w:pPr>
            <w:r>
              <w:rPr>
                <w:spacing w:val="-2"/>
              </w:rPr>
              <w:t>0.072</w:t>
            </w:r>
          </w:p>
        </w:tc>
        <w:tc>
          <w:tcPr>
            <w:tcW w:w="1574" w:type="dxa"/>
            <w:vAlign w:val="top"/>
          </w:tcPr>
          <w:p>
            <w:pPr>
              <w:pStyle w:val="6"/>
              <w:spacing w:before="255" w:line="188" w:lineRule="auto"/>
              <w:ind w:left="682"/>
            </w:pPr>
            <w:r>
              <w:rPr>
                <w:spacing w:val="-1"/>
              </w:rPr>
              <w:t>44</w:t>
            </w:r>
          </w:p>
        </w:tc>
        <w:tc>
          <w:tcPr>
            <w:tcW w:w="1460" w:type="dxa"/>
            <w:vAlign w:val="top"/>
          </w:tcPr>
          <w:p>
            <w:pPr>
              <w:pStyle w:val="6"/>
              <w:spacing w:before="255" w:line="188" w:lineRule="auto"/>
              <w:ind w:left="553"/>
            </w:pPr>
            <w:r>
              <w:rPr>
                <w:spacing w:val="-2"/>
              </w:rPr>
              <w:t>3.33</w:t>
            </w:r>
          </w:p>
        </w:tc>
        <w:tc>
          <w:tcPr>
            <w:tcW w:w="884" w:type="dxa"/>
            <w:tcBorders>
              <w:right w:val="nil"/>
            </w:tcBorders>
            <w:vAlign w:val="top"/>
          </w:tcPr>
          <w:p>
            <w:pPr>
              <w:pStyle w:val="6"/>
              <w:spacing w:before="255" w:line="188" w:lineRule="auto"/>
              <w:ind w:left="160"/>
            </w:pPr>
            <w:r>
              <w:rPr>
                <w:spacing w:val="-2"/>
              </w:rPr>
              <w:t>6632.4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1086" w:type="dxa"/>
            <w:tcBorders>
              <w:left w:val="nil"/>
            </w:tcBorders>
            <w:vAlign w:val="top"/>
          </w:tcPr>
          <w:p>
            <w:pPr>
              <w:spacing w:before="70" w:line="239" w:lineRule="auto"/>
              <w:ind w:left="361" w:right="113" w:hanging="216"/>
              <w:rPr>
                <w:rFonts w:ascii="仿宋" w:hAnsi="仿宋" w:eastAsia="仿宋" w:cs="仿宋"/>
                <w:sz w:val="21"/>
                <w:szCs w:val="21"/>
              </w:rPr>
            </w:pPr>
            <w:r>
              <w:rPr>
                <w:rFonts w:ascii="仿宋" w:hAnsi="仿宋" w:eastAsia="仿宋" w:cs="仿宋"/>
                <w:spacing w:val="-4"/>
                <w:sz w:val="21"/>
                <w:szCs w:val="21"/>
              </w:rPr>
              <w:t>六姑乍箐</w:t>
            </w:r>
            <w:r>
              <w:rPr>
                <w:rFonts w:ascii="仿宋" w:hAnsi="仿宋" w:eastAsia="仿宋" w:cs="仿宋"/>
                <w:sz w:val="21"/>
                <w:szCs w:val="21"/>
              </w:rPr>
              <w:t xml:space="preserve"> </w:t>
            </w:r>
            <w:r>
              <w:rPr>
                <w:rFonts w:ascii="仿宋" w:hAnsi="仿宋" w:eastAsia="仿宋" w:cs="仿宋"/>
                <w:spacing w:val="-6"/>
                <w:sz w:val="21"/>
                <w:szCs w:val="21"/>
              </w:rPr>
              <w:t>隧洞</w:t>
            </w:r>
          </w:p>
        </w:tc>
        <w:tc>
          <w:tcPr>
            <w:tcW w:w="1243" w:type="dxa"/>
            <w:vAlign w:val="top"/>
          </w:tcPr>
          <w:p>
            <w:pPr>
              <w:pStyle w:val="6"/>
              <w:spacing w:before="70" w:line="348" w:lineRule="exact"/>
              <w:ind w:left="252"/>
              <w:rPr>
                <w:rFonts w:ascii="仿宋" w:hAnsi="仿宋" w:eastAsia="仿宋" w:cs="仿宋"/>
              </w:rPr>
            </w:pPr>
            <w:r>
              <w:rPr>
                <w:spacing w:val="9"/>
                <w:position w:val="9"/>
              </w:rPr>
              <w:t>0+431</w:t>
            </w:r>
            <w:r>
              <w:rPr>
                <w:spacing w:val="-30"/>
                <w:position w:val="9"/>
              </w:rPr>
              <w:t xml:space="preserve"> </w:t>
            </w:r>
            <w:r>
              <w:rPr>
                <w:rFonts w:ascii="仿宋" w:hAnsi="仿宋" w:eastAsia="仿宋" w:cs="仿宋"/>
                <w:spacing w:val="9"/>
                <w:position w:val="9"/>
              </w:rPr>
              <w:t>~</w:t>
            </w:r>
          </w:p>
          <w:p>
            <w:pPr>
              <w:pStyle w:val="6"/>
              <w:spacing w:line="188" w:lineRule="auto"/>
              <w:ind w:left="356"/>
            </w:pPr>
            <w:r>
              <w:rPr>
                <w:spacing w:val="-2"/>
              </w:rPr>
              <w:t>0+691</w:t>
            </w:r>
          </w:p>
        </w:tc>
        <w:tc>
          <w:tcPr>
            <w:tcW w:w="969" w:type="dxa"/>
            <w:vAlign w:val="top"/>
          </w:tcPr>
          <w:p>
            <w:pPr>
              <w:pStyle w:val="6"/>
              <w:spacing w:before="262" w:line="188" w:lineRule="auto"/>
              <w:ind w:left="328"/>
            </w:pPr>
            <w:r>
              <w:rPr>
                <w:spacing w:val="-1"/>
              </w:rPr>
              <w:t>260</w:t>
            </w:r>
          </w:p>
        </w:tc>
        <w:tc>
          <w:tcPr>
            <w:tcW w:w="1105" w:type="dxa"/>
            <w:vAlign w:val="top"/>
          </w:tcPr>
          <w:p>
            <w:pPr>
              <w:pStyle w:val="6"/>
              <w:spacing w:before="262" w:line="188" w:lineRule="auto"/>
              <w:ind w:left="320"/>
            </w:pPr>
            <w:r>
              <w:rPr>
                <w:spacing w:val="-2"/>
              </w:rPr>
              <w:t>0.084</w:t>
            </w:r>
          </w:p>
        </w:tc>
        <w:tc>
          <w:tcPr>
            <w:tcW w:w="1574" w:type="dxa"/>
            <w:vAlign w:val="top"/>
          </w:tcPr>
          <w:p>
            <w:pPr>
              <w:pStyle w:val="6"/>
              <w:spacing w:before="262" w:line="188" w:lineRule="auto"/>
              <w:ind w:left="703"/>
            </w:pPr>
            <w:r>
              <w:rPr>
                <w:spacing w:val="-6"/>
              </w:rPr>
              <w:t>12</w:t>
            </w:r>
          </w:p>
        </w:tc>
        <w:tc>
          <w:tcPr>
            <w:tcW w:w="1460" w:type="dxa"/>
            <w:vAlign w:val="top"/>
          </w:tcPr>
          <w:p>
            <w:pPr>
              <w:pStyle w:val="6"/>
              <w:spacing w:before="262" w:line="188" w:lineRule="auto"/>
              <w:ind w:left="548"/>
            </w:pPr>
            <w:r>
              <w:rPr>
                <w:spacing w:val="-1"/>
              </w:rPr>
              <w:t>2.34</w:t>
            </w:r>
          </w:p>
        </w:tc>
        <w:tc>
          <w:tcPr>
            <w:tcW w:w="884" w:type="dxa"/>
            <w:tcBorders>
              <w:right w:val="nil"/>
            </w:tcBorders>
            <w:vAlign w:val="top"/>
          </w:tcPr>
          <w:p>
            <w:pPr>
              <w:pStyle w:val="6"/>
              <w:spacing w:before="262" w:line="188" w:lineRule="auto"/>
              <w:ind w:left="212"/>
            </w:pPr>
            <w:r>
              <w:rPr>
                <w:spacing w:val="-2"/>
              </w:rPr>
              <w:t>545.3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7" w:hRule="atLeast"/>
        </w:trPr>
        <w:tc>
          <w:tcPr>
            <w:tcW w:w="1086" w:type="dxa"/>
            <w:tcBorders>
              <w:left w:val="nil"/>
              <w:bottom w:val="single" w:color="000000" w:sz="12" w:space="0"/>
            </w:tcBorders>
            <w:vAlign w:val="top"/>
          </w:tcPr>
          <w:p>
            <w:pPr>
              <w:spacing w:before="74" w:line="246" w:lineRule="auto"/>
              <w:ind w:left="360" w:right="113" w:hanging="218"/>
              <w:rPr>
                <w:rFonts w:ascii="仿宋" w:hAnsi="仿宋" w:eastAsia="仿宋" w:cs="仿宋"/>
                <w:sz w:val="21"/>
                <w:szCs w:val="21"/>
              </w:rPr>
            </w:pPr>
            <w:r>
              <w:rPr>
                <w:rFonts w:ascii="仿宋" w:hAnsi="仿宋" w:eastAsia="仿宋" w:cs="仿宋"/>
                <w:spacing w:val="-4"/>
                <w:sz w:val="21"/>
                <w:szCs w:val="21"/>
              </w:rPr>
              <w:t>独格里排</w:t>
            </w:r>
            <w:r>
              <w:rPr>
                <w:rFonts w:ascii="仿宋" w:hAnsi="仿宋" w:eastAsia="仿宋" w:cs="仿宋"/>
                <w:spacing w:val="1"/>
                <w:sz w:val="21"/>
                <w:szCs w:val="21"/>
              </w:rPr>
              <w:t xml:space="preserve"> </w:t>
            </w:r>
            <w:r>
              <w:rPr>
                <w:rFonts w:ascii="仿宋" w:hAnsi="仿宋" w:eastAsia="仿宋" w:cs="仿宋"/>
                <w:spacing w:val="-6"/>
                <w:sz w:val="21"/>
                <w:szCs w:val="21"/>
              </w:rPr>
              <w:t>隧洞</w:t>
            </w:r>
          </w:p>
        </w:tc>
        <w:tc>
          <w:tcPr>
            <w:tcW w:w="1243" w:type="dxa"/>
            <w:tcBorders>
              <w:bottom w:val="single" w:color="000000" w:sz="12" w:space="0"/>
            </w:tcBorders>
            <w:vAlign w:val="top"/>
          </w:tcPr>
          <w:p>
            <w:pPr>
              <w:pStyle w:val="6"/>
              <w:spacing w:before="110" w:line="312" w:lineRule="exact"/>
              <w:ind w:left="249"/>
              <w:rPr>
                <w:rFonts w:ascii="仿宋" w:hAnsi="仿宋" w:eastAsia="仿宋" w:cs="仿宋"/>
              </w:rPr>
            </w:pPr>
            <w:r>
              <w:rPr>
                <w:spacing w:val="-1"/>
                <w:position w:val="11"/>
              </w:rPr>
              <w:t>2+728</w:t>
            </w:r>
            <w:r>
              <w:rPr>
                <w:rFonts w:ascii="仿宋" w:hAnsi="仿宋" w:eastAsia="仿宋" w:cs="仿宋"/>
                <w:spacing w:val="-1"/>
                <w:position w:val="11"/>
              </w:rPr>
              <w:t>、</w:t>
            </w:r>
          </w:p>
          <w:p>
            <w:pPr>
              <w:pStyle w:val="6"/>
              <w:spacing w:line="188" w:lineRule="auto"/>
              <w:ind w:left="357"/>
            </w:pPr>
            <w:r>
              <w:rPr>
                <w:spacing w:val="-2"/>
              </w:rPr>
              <w:t>3+224</w:t>
            </w:r>
          </w:p>
        </w:tc>
        <w:tc>
          <w:tcPr>
            <w:tcW w:w="969" w:type="dxa"/>
            <w:tcBorders>
              <w:bottom w:val="single" w:color="000000" w:sz="12" w:space="0"/>
            </w:tcBorders>
            <w:vAlign w:val="top"/>
          </w:tcPr>
          <w:p>
            <w:pPr>
              <w:pStyle w:val="6"/>
              <w:spacing w:before="267" w:line="188" w:lineRule="auto"/>
              <w:ind w:left="327"/>
            </w:pPr>
            <w:r>
              <w:rPr>
                <w:spacing w:val="-1"/>
              </w:rPr>
              <w:t>496</w:t>
            </w:r>
          </w:p>
        </w:tc>
        <w:tc>
          <w:tcPr>
            <w:tcW w:w="1105" w:type="dxa"/>
            <w:tcBorders>
              <w:bottom w:val="single" w:color="000000" w:sz="12" w:space="0"/>
            </w:tcBorders>
            <w:vAlign w:val="top"/>
          </w:tcPr>
          <w:p>
            <w:pPr>
              <w:pStyle w:val="6"/>
              <w:spacing w:before="267" w:line="188" w:lineRule="auto"/>
              <w:ind w:left="320"/>
            </w:pPr>
            <w:r>
              <w:rPr>
                <w:spacing w:val="-2"/>
              </w:rPr>
              <w:t>0.076</w:t>
            </w:r>
          </w:p>
        </w:tc>
        <w:tc>
          <w:tcPr>
            <w:tcW w:w="1574" w:type="dxa"/>
            <w:tcBorders>
              <w:bottom w:val="single" w:color="000000" w:sz="12" w:space="0"/>
            </w:tcBorders>
            <w:vAlign w:val="top"/>
          </w:tcPr>
          <w:p>
            <w:pPr>
              <w:pStyle w:val="6"/>
              <w:spacing w:before="267" w:line="188" w:lineRule="auto"/>
              <w:ind w:left="683"/>
            </w:pPr>
            <w:r>
              <w:rPr>
                <w:spacing w:val="-1"/>
              </w:rPr>
              <w:t>22</w:t>
            </w:r>
          </w:p>
        </w:tc>
        <w:tc>
          <w:tcPr>
            <w:tcW w:w="1460" w:type="dxa"/>
            <w:tcBorders>
              <w:bottom w:val="single" w:color="000000" w:sz="12" w:space="0"/>
            </w:tcBorders>
            <w:vAlign w:val="top"/>
          </w:tcPr>
          <w:p>
            <w:pPr>
              <w:pStyle w:val="6"/>
              <w:spacing w:before="267" w:line="188" w:lineRule="auto"/>
              <w:ind w:left="553"/>
            </w:pPr>
            <w:r>
              <w:rPr>
                <w:spacing w:val="-2"/>
              </w:rPr>
              <w:t>3.33</w:t>
            </w:r>
          </w:p>
        </w:tc>
        <w:tc>
          <w:tcPr>
            <w:tcW w:w="884" w:type="dxa"/>
            <w:tcBorders>
              <w:bottom w:val="single" w:color="000000" w:sz="12" w:space="0"/>
              <w:right w:val="nil"/>
            </w:tcBorders>
            <w:vAlign w:val="top"/>
          </w:tcPr>
          <w:p>
            <w:pPr>
              <w:pStyle w:val="6"/>
              <w:spacing w:before="267" w:line="188" w:lineRule="auto"/>
              <w:ind w:left="175"/>
            </w:pPr>
            <w:r>
              <w:rPr>
                <w:spacing w:val="-4"/>
              </w:rPr>
              <w:t>1591.3</w:t>
            </w:r>
          </w:p>
        </w:tc>
      </w:tr>
    </w:tbl>
    <w:p>
      <w:pPr>
        <w:spacing w:before="37" w:line="217" w:lineRule="auto"/>
        <w:ind w:left="517"/>
        <w:rPr>
          <w:rFonts w:ascii="宋体" w:hAnsi="宋体" w:eastAsia="宋体" w:cs="宋体"/>
          <w:sz w:val="24"/>
          <w:szCs w:val="24"/>
        </w:rPr>
      </w:pPr>
      <w:r>
        <w:rPr>
          <w:rFonts w:ascii="宋体" w:hAnsi="宋体" w:eastAsia="宋体" w:cs="宋体"/>
          <w:spacing w:val="-1"/>
          <w:sz w:val="24"/>
          <w:szCs w:val="24"/>
        </w:rPr>
        <w:t>②隧洞疏排水对地下水位的影响</w:t>
      </w:r>
    </w:p>
    <w:p>
      <w:pPr>
        <w:spacing w:before="184" w:line="218" w:lineRule="auto"/>
        <w:ind w:left="504"/>
        <w:rPr>
          <w:rFonts w:ascii="宋体" w:hAnsi="宋体" w:eastAsia="宋体" w:cs="宋体"/>
          <w:sz w:val="24"/>
          <w:szCs w:val="24"/>
        </w:rPr>
      </w:pPr>
      <w:r>
        <w:rPr>
          <w:rFonts w:ascii="宋体" w:hAnsi="宋体" w:eastAsia="宋体" w:cs="宋体"/>
          <w:spacing w:val="-6"/>
          <w:sz w:val="24"/>
          <w:szCs w:val="24"/>
        </w:rPr>
        <w:t>根据本次评价时段， 分析隧洞建设时疏干水对地下水水量的影响</w:t>
      </w:r>
      <w:r>
        <w:rPr>
          <w:rFonts w:ascii="宋体" w:hAnsi="宋体" w:eastAsia="宋体" w:cs="宋体"/>
          <w:spacing w:val="-7"/>
          <w:sz w:val="24"/>
          <w:szCs w:val="24"/>
        </w:rPr>
        <w:t>，采用库萨</w:t>
      </w:r>
    </w:p>
    <w:p>
      <w:pPr>
        <w:spacing w:before="183" w:line="220" w:lineRule="auto"/>
        <w:ind w:left="146"/>
        <w:rPr>
          <w:rFonts w:ascii="宋体" w:hAnsi="宋体" w:eastAsia="宋体" w:cs="宋体"/>
          <w:sz w:val="24"/>
          <w:szCs w:val="24"/>
        </w:rPr>
      </w:pPr>
      <w:r>
        <w:rPr>
          <w:rFonts w:ascii="宋体" w:hAnsi="宋体" w:eastAsia="宋体" w:cs="宋体"/>
          <w:spacing w:val="-3"/>
          <w:sz w:val="24"/>
          <w:szCs w:val="24"/>
        </w:rPr>
        <w:t>金经验公式（适用于潜水</w:t>
      </w:r>
      <w:r>
        <w:rPr>
          <w:rFonts w:ascii="宋体" w:hAnsi="宋体" w:eastAsia="宋体" w:cs="宋体"/>
          <w:spacing w:val="-61"/>
          <w:w w:val="97"/>
          <w:sz w:val="24"/>
          <w:szCs w:val="24"/>
        </w:rPr>
        <w:t>），</w:t>
      </w:r>
      <w:r>
        <w:rPr>
          <w:rFonts w:ascii="宋体" w:hAnsi="宋体" w:eastAsia="宋体" w:cs="宋体"/>
          <w:spacing w:val="-3"/>
          <w:sz w:val="24"/>
          <w:szCs w:val="24"/>
        </w:rPr>
        <w:t>公式如下：</w:t>
      </w:r>
    </w:p>
    <w:p>
      <w:pPr>
        <w:tabs>
          <w:tab w:val="left" w:pos="4856"/>
        </w:tabs>
        <w:spacing w:before="7" w:line="233" w:lineRule="exact"/>
        <w:ind w:left="4507"/>
        <w:rPr>
          <w:rFonts w:ascii="Arial"/>
          <w:sz w:val="21"/>
        </w:rPr>
      </w:pPr>
      <w:r>
        <w:rPr>
          <w:rFonts w:ascii="Arial" w:hAnsi="Arial" w:eastAsia="Arial" w:cs="Arial"/>
          <w:position w:val="-1"/>
          <w:sz w:val="21"/>
          <w:szCs w:val="21"/>
          <w:u w:val="single" w:color="auto"/>
        </w:rPr>
        <w:tab/>
      </w:r>
    </w:p>
    <w:p>
      <w:pPr>
        <w:spacing w:line="405" w:lineRule="exact"/>
        <w:ind w:left="3620"/>
        <w:rPr>
          <w:rFonts w:ascii="Cambria Math" w:hAnsi="Cambria Math" w:eastAsia="Cambria Math" w:cs="Cambria Math"/>
          <w:sz w:val="24"/>
          <w:szCs w:val="24"/>
        </w:rPr>
      </w:pPr>
      <w:r>
        <w:rPr>
          <w:rFonts w:ascii="Cambria Math" w:hAnsi="Cambria Math" w:eastAsia="Cambria Math" w:cs="Cambria Math"/>
          <w:position w:val="10"/>
          <w:sz w:val="24"/>
          <w:szCs w:val="24"/>
        </w:rPr>
        <w:t>R</w:t>
      </w:r>
      <w:r>
        <w:rPr>
          <w:rFonts w:ascii="Cambria Math" w:hAnsi="Cambria Math" w:eastAsia="Cambria Math" w:cs="Cambria Math"/>
          <w:spacing w:val="40"/>
          <w:w w:val="101"/>
          <w:position w:val="10"/>
          <w:sz w:val="24"/>
          <w:szCs w:val="24"/>
        </w:rPr>
        <w:t xml:space="preserve"> </w:t>
      </w:r>
      <w:r>
        <w:rPr>
          <w:rFonts w:ascii="Cambria Math" w:hAnsi="Cambria Math" w:eastAsia="Cambria Math" w:cs="Cambria Math"/>
          <w:position w:val="10"/>
          <w:sz w:val="24"/>
          <w:szCs w:val="24"/>
        </w:rPr>
        <w:t>=</w:t>
      </w:r>
      <w:r>
        <w:rPr>
          <w:rFonts w:ascii="Cambria Math" w:hAnsi="Cambria Math" w:eastAsia="Cambria Math" w:cs="Cambria Math"/>
          <w:spacing w:val="29"/>
          <w:position w:val="10"/>
          <w:sz w:val="24"/>
          <w:szCs w:val="24"/>
        </w:rPr>
        <w:t xml:space="preserve"> </w:t>
      </w:r>
      <w:r>
        <w:rPr>
          <w:rFonts w:ascii="Cambria Math" w:hAnsi="Cambria Math" w:eastAsia="Cambria Math" w:cs="Cambria Math"/>
          <w:position w:val="10"/>
          <w:sz w:val="24"/>
          <w:szCs w:val="24"/>
        </w:rPr>
        <w:t>2S√HK</w:t>
      </w:r>
    </w:p>
    <w:p>
      <w:pPr>
        <w:spacing w:before="1" w:line="230" w:lineRule="auto"/>
        <w:ind w:left="509"/>
        <w:rPr>
          <w:rFonts w:ascii="宋体" w:hAnsi="宋体" w:eastAsia="宋体" w:cs="宋体"/>
          <w:sz w:val="24"/>
          <w:szCs w:val="24"/>
        </w:rPr>
      </w:pPr>
      <w:r>
        <w:rPr>
          <w:rFonts w:ascii="宋体" w:hAnsi="宋体" w:eastAsia="宋体" w:cs="宋体"/>
          <w:spacing w:val="-11"/>
          <w:sz w:val="24"/>
          <w:szCs w:val="24"/>
        </w:rPr>
        <w:t xml:space="preserve">式中： </w:t>
      </w:r>
      <w:r>
        <w:rPr>
          <w:rFonts w:ascii="Times New Roman" w:hAnsi="Times New Roman" w:eastAsia="Times New Roman" w:cs="Times New Roman"/>
          <w:spacing w:val="-11"/>
          <w:sz w:val="24"/>
          <w:szCs w:val="24"/>
        </w:rPr>
        <w:t>R</w:t>
      </w:r>
      <w:r>
        <w:rPr>
          <w:rFonts w:ascii="宋体" w:hAnsi="宋体" w:eastAsia="宋体" w:cs="宋体"/>
          <w:spacing w:val="-11"/>
          <w:sz w:val="24"/>
          <w:szCs w:val="24"/>
        </w:rPr>
        <w:t>—为影响半径（</w:t>
      </w:r>
      <w:r>
        <w:rPr>
          <w:rFonts w:ascii="Times New Roman" w:hAnsi="Times New Roman" w:eastAsia="Times New Roman" w:cs="Times New Roman"/>
          <w:spacing w:val="-11"/>
          <w:sz w:val="24"/>
          <w:szCs w:val="24"/>
        </w:rPr>
        <w:t>m</w:t>
      </w:r>
      <w:r>
        <w:rPr>
          <w:rFonts w:ascii="宋体" w:hAnsi="宋体" w:eastAsia="宋体" w:cs="宋体"/>
          <w:spacing w:val="-64"/>
          <w:sz w:val="24"/>
          <w:szCs w:val="24"/>
        </w:rPr>
        <w:t>）；</w:t>
      </w:r>
    </w:p>
    <w:p>
      <w:pPr>
        <w:spacing w:before="164" w:line="467" w:lineRule="exact"/>
        <w:ind w:left="1230"/>
        <w:rPr>
          <w:rFonts w:ascii="宋体" w:hAnsi="宋体" w:eastAsia="宋体" w:cs="宋体"/>
          <w:sz w:val="24"/>
          <w:szCs w:val="24"/>
        </w:rPr>
      </w:pPr>
      <w:r>
        <w:rPr>
          <w:rFonts w:ascii="Times New Roman" w:hAnsi="Times New Roman" w:eastAsia="Times New Roman" w:cs="Times New Roman"/>
          <w:spacing w:val="-2"/>
          <w:position w:val="16"/>
          <w:sz w:val="24"/>
          <w:szCs w:val="24"/>
        </w:rPr>
        <w:t>S</w:t>
      </w:r>
      <w:r>
        <w:rPr>
          <w:rFonts w:ascii="宋体" w:hAnsi="宋体" w:eastAsia="宋体" w:cs="宋体"/>
          <w:spacing w:val="-2"/>
          <w:position w:val="16"/>
          <w:sz w:val="24"/>
          <w:szCs w:val="24"/>
        </w:rPr>
        <w:t>—为水位降深（</w:t>
      </w:r>
      <w:r>
        <w:rPr>
          <w:rFonts w:ascii="Times New Roman" w:hAnsi="Times New Roman" w:eastAsia="Times New Roman" w:cs="Times New Roman"/>
          <w:spacing w:val="-2"/>
          <w:position w:val="16"/>
          <w:sz w:val="24"/>
          <w:szCs w:val="24"/>
        </w:rPr>
        <w:t>m</w:t>
      </w:r>
      <w:r>
        <w:rPr>
          <w:rFonts w:ascii="宋体" w:hAnsi="宋体" w:eastAsia="宋体" w:cs="宋体"/>
          <w:spacing w:val="-62"/>
          <w:w w:val="98"/>
          <w:position w:val="16"/>
          <w:sz w:val="24"/>
          <w:szCs w:val="24"/>
        </w:rPr>
        <w:t>）；</w:t>
      </w:r>
    </w:p>
    <w:p>
      <w:pPr>
        <w:spacing w:line="233" w:lineRule="auto"/>
        <w:ind w:left="1219"/>
        <w:rPr>
          <w:rFonts w:ascii="宋体" w:hAnsi="宋体" w:eastAsia="宋体" w:cs="宋体"/>
          <w:sz w:val="24"/>
          <w:szCs w:val="24"/>
        </w:rPr>
      </w:pPr>
      <w:r>
        <w:rPr>
          <w:rFonts w:ascii="Times New Roman" w:hAnsi="Times New Roman" w:eastAsia="Times New Roman" w:cs="Times New Roman"/>
          <w:spacing w:val="-1"/>
          <w:sz w:val="24"/>
          <w:szCs w:val="24"/>
        </w:rPr>
        <w:t>K</w:t>
      </w:r>
      <w:r>
        <w:rPr>
          <w:rFonts w:ascii="宋体" w:hAnsi="宋体" w:eastAsia="宋体" w:cs="宋体"/>
          <w:spacing w:val="-1"/>
          <w:sz w:val="24"/>
          <w:szCs w:val="24"/>
        </w:rPr>
        <w:t>—为渗透系数（</w:t>
      </w:r>
      <w:r>
        <w:rPr>
          <w:rFonts w:ascii="Times New Roman" w:hAnsi="Times New Roman" w:eastAsia="Times New Roman" w:cs="Times New Roman"/>
          <w:spacing w:val="-1"/>
          <w:sz w:val="24"/>
          <w:szCs w:val="24"/>
        </w:rPr>
        <w:t>m/d</w:t>
      </w:r>
      <w:r>
        <w:rPr>
          <w:rFonts w:ascii="宋体" w:hAnsi="宋体" w:eastAsia="宋体" w:cs="宋体"/>
          <w:spacing w:val="-65"/>
          <w:sz w:val="24"/>
          <w:szCs w:val="24"/>
        </w:rPr>
        <w:t>）；</w:t>
      </w:r>
    </w:p>
    <w:p>
      <w:pPr>
        <w:spacing w:before="164" w:line="545" w:lineRule="exact"/>
        <w:ind w:left="1219"/>
        <w:rPr>
          <w:rFonts w:ascii="宋体" w:hAnsi="宋体" w:eastAsia="宋体" w:cs="宋体"/>
          <w:sz w:val="24"/>
          <w:szCs w:val="24"/>
        </w:rPr>
      </w:pPr>
      <w:r>
        <w:rPr>
          <w:rFonts w:ascii="Times New Roman" w:hAnsi="Times New Roman" w:eastAsia="Times New Roman" w:cs="Times New Roman"/>
          <w:spacing w:val="-7"/>
          <w:position w:val="22"/>
          <w:sz w:val="24"/>
          <w:szCs w:val="24"/>
        </w:rPr>
        <w:t>H</w:t>
      </w:r>
      <w:r>
        <w:rPr>
          <w:rFonts w:ascii="宋体" w:hAnsi="宋体" w:eastAsia="宋体" w:cs="宋体"/>
          <w:spacing w:val="-7"/>
          <w:position w:val="22"/>
          <w:sz w:val="24"/>
          <w:szCs w:val="24"/>
        </w:rPr>
        <w:t>—为隧洞顶板深度（</w:t>
      </w:r>
      <w:r>
        <w:rPr>
          <w:rFonts w:ascii="Times New Roman" w:hAnsi="Times New Roman" w:eastAsia="Times New Roman" w:cs="Times New Roman"/>
          <w:spacing w:val="-7"/>
          <w:position w:val="22"/>
          <w:sz w:val="24"/>
          <w:szCs w:val="24"/>
        </w:rPr>
        <w:t>m</w:t>
      </w:r>
      <w:r>
        <w:rPr>
          <w:rFonts w:ascii="宋体" w:hAnsi="宋体" w:eastAsia="宋体" w:cs="宋体"/>
          <w:spacing w:val="-7"/>
          <w:position w:val="22"/>
          <w:sz w:val="24"/>
          <w:szCs w:val="24"/>
        </w:rPr>
        <w:t>）。</w:t>
      </w:r>
    </w:p>
    <w:p>
      <w:pPr>
        <w:spacing w:line="219" w:lineRule="auto"/>
        <w:ind w:left="519"/>
        <w:rPr>
          <w:rFonts w:ascii="宋体" w:hAnsi="宋体" w:eastAsia="宋体" w:cs="宋体"/>
          <w:sz w:val="24"/>
          <w:szCs w:val="24"/>
        </w:rPr>
      </w:pPr>
      <w:r>
        <w:rPr>
          <w:rFonts w:ascii="宋体" w:hAnsi="宋体" w:eastAsia="宋体" w:cs="宋体"/>
          <w:spacing w:val="-1"/>
          <w:sz w:val="24"/>
          <w:szCs w:val="24"/>
        </w:rPr>
        <w:t>计算参数及结果见表</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4.3-2</w:t>
      </w:r>
      <w:r>
        <w:rPr>
          <w:rFonts w:ascii="宋体" w:hAnsi="宋体" w:eastAsia="宋体" w:cs="宋体"/>
          <w:spacing w:val="-1"/>
          <w:sz w:val="24"/>
          <w:szCs w:val="24"/>
        </w:rPr>
        <w:t>。</w:t>
      </w:r>
    </w:p>
    <w:p>
      <w:pPr>
        <w:spacing w:line="296" w:lineRule="auto"/>
        <w:rPr>
          <w:rFonts w:ascii="Arial"/>
          <w:sz w:val="21"/>
        </w:rPr>
      </w:pPr>
    </w:p>
    <w:p>
      <w:pPr>
        <w:spacing w:line="297" w:lineRule="auto"/>
        <w:rPr>
          <w:rFonts w:ascii="Arial"/>
          <w:sz w:val="21"/>
        </w:rPr>
      </w:pPr>
    </w:p>
    <w:p>
      <w:pPr>
        <w:spacing w:before="69" w:line="220" w:lineRule="auto"/>
        <w:ind w:left="2154"/>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45"/>
          <w:sz w:val="21"/>
          <w:szCs w:val="21"/>
        </w:rPr>
        <w:t xml:space="preserve"> </w:t>
      </w:r>
      <w:r>
        <w:rPr>
          <w:rFonts w:ascii="Times New Roman" w:hAnsi="Times New Roman" w:eastAsia="Times New Roman" w:cs="Times New Roman"/>
          <w:b/>
          <w:bCs/>
          <w:sz w:val="21"/>
          <w:szCs w:val="21"/>
        </w:rPr>
        <w:t xml:space="preserve">4.3-2    </w:t>
      </w:r>
      <w:r>
        <w:rPr>
          <w:rFonts w:ascii="宋体" w:hAnsi="宋体" w:eastAsia="宋体" w:cs="宋体"/>
          <w:sz w:val="21"/>
          <w:szCs w:val="21"/>
          <w14:textOutline w14:w="3810" w14:cap="flat" w14:cmpd="sng">
            <w14:solidFill>
              <w14:srgbClr w14:val="000000"/>
            </w14:solidFill>
            <w14:prstDash w14:val="solid"/>
            <w14:miter w14:val="0"/>
          </w14:textOutline>
        </w:rPr>
        <w:t>隧洞疏排水对地下水位影响计算</w:t>
      </w:r>
      <w:r>
        <w:rPr>
          <w:rFonts w:ascii="宋体" w:hAnsi="宋体" w:eastAsia="宋体" w:cs="宋体"/>
          <w:spacing w:val="-1"/>
          <w:sz w:val="21"/>
          <w:szCs w:val="21"/>
          <w14:textOutline w14:w="3810" w14:cap="flat" w14:cmpd="sng">
            <w14:solidFill>
              <w14:srgbClr w14:val="000000"/>
            </w14:solidFill>
            <w14:prstDash w14:val="solid"/>
            <w14:miter w14:val="0"/>
          </w14:textOutline>
        </w:rPr>
        <w:t>结果表</w:t>
      </w:r>
    </w:p>
    <w:p>
      <w:pPr>
        <w:spacing w:line="89"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7"/>
        <w:gridCol w:w="1419"/>
        <w:gridCol w:w="1559"/>
        <w:gridCol w:w="1831"/>
        <w:gridCol w:w="16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7" w:hRule="atLeast"/>
        </w:trPr>
        <w:tc>
          <w:tcPr>
            <w:tcW w:w="1857" w:type="dxa"/>
            <w:tcBorders>
              <w:top w:val="single" w:color="000000" w:sz="12" w:space="0"/>
              <w:left w:val="nil"/>
            </w:tcBorders>
            <w:vAlign w:val="top"/>
          </w:tcPr>
          <w:p>
            <w:pPr>
              <w:spacing w:before="206" w:line="217" w:lineRule="auto"/>
              <w:ind w:left="53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隧洞名称</w:t>
            </w:r>
          </w:p>
        </w:tc>
        <w:tc>
          <w:tcPr>
            <w:tcW w:w="1419" w:type="dxa"/>
            <w:tcBorders>
              <w:top w:val="single" w:color="000000" w:sz="12" w:space="0"/>
            </w:tcBorders>
            <w:vAlign w:val="top"/>
          </w:tcPr>
          <w:p>
            <w:pPr>
              <w:spacing w:before="51" w:line="312" w:lineRule="exact"/>
              <w:ind w:left="298"/>
              <w:rPr>
                <w:rFonts w:ascii="仿宋" w:hAnsi="仿宋" w:eastAsia="仿宋" w:cs="仿宋"/>
                <w:sz w:val="21"/>
                <w:szCs w:val="21"/>
              </w:rPr>
            </w:pPr>
            <w:r>
              <w:rPr>
                <w:rFonts w:ascii="仿宋" w:hAnsi="仿宋" w:eastAsia="仿宋" w:cs="仿宋"/>
                <w:spacing w:val="-2"/>
                <w:position w:val="7"/>
                <w:sz w:val="21"/>
                <w:szCs w:val="21"/>
                <w14:textOutline w14:w="3810" w14:cap="flat" w14:cmpd="sng">
                  <w14:solidFill>
                    <w14:srgbClr w14:val="000000"/>
                  </w14:solidFill>
                  <w14:prstDash w14:val="solid"/>
                  <w14:miter w14:val="0"/>
                </w14:textOutline>
              </w:rPr>
              <w:t>水位降深</w:t>
            </w:r>
          </w:p>
          <w:p>
            <w:pPr>
              <w:pStyle w:val="6"/>
              <w:spacing w:line="214" w:lineRule="auto"/>
              <w:ind w:left="422"/>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m</w:t>
            </w:r>
            <w:r>
              <w:rPr>
                <w:rFonts w:ascii="仿宋" w:hAnsi="仿宋" w:eastAsia="仿宋" w:cs="仿宋"/>
                <w:spacing w:val="-5"/>
                <w14:textOutline w14:w="3810" w14:cap="flat" w14:cmpd="sng">
                  <w14:solidFill>
                    <w14:srgbClr w14:val="000000"/>
                  </w14:solidFill>
                  <w14:prstDash w14:val="solid"/>
                  <w14:miter w14:val="0"/>
                </w14:textOutline>
              </w:rPr>
              <w:t>）</w:t>
            </w:r>
          </w:p>
        </w:tc>
        <w:tc>
          <w:tcPr>
            <w:tcW w:w="1559" w:type="dxa"/>
            <w:tcBorders>
              <w:top w:val="single" w:color="000000" w:sz="12" w:space="0"/>
            </w:tcBorders>
            <w:vAlign w:val="top"/>
          </w:tcPr>
          <w:p>
            <w:pPr>
              <w:spacing w:before="51" w:line="312" w:lineRule="exact"/>
              <w:ind w:left="369"/>
              <w:rPr>
                <w:rFonts w:ascii="仿宋" w:hAnsi="仿宋" w:eastAsia="仿宋" w:cs="仿宋"/>
                <w:sz w:val="21"/>
                <w:szCs w:val="21"/>
              </w:rPr>
            </w:pPr>
            <w:r>
              <w:rPr>
                <w:rFonts w:ascii="仿宋" w:hAnsi="仿宋" w:eastAsia="仿宋" w:cs="仿宋"/>
                <w:spacing w:val="-3"/>
                <w:position w:val="7"/>
                <w:sz w:val="21"/>
                <w:szCs w:val="21"/>
                <w14:textOutline w14:w="3810" w14:cap="flat" w14:cmpd="sng">
                  <w14:solidFill>
                    <w14:srgbClr w14:val="000000"/>
                  </w14:solidFill>
                  <w14:prstDash w14:val="solid"/>
                  <w14:miter w14:val="0"/>
                </w14:textOutline>
              </w:rPr>
              <w:t>渗透系数</w:t>
            </w:r>
          </w:p>
          <w:p>
            <w:pPr>
              <w:pStyle w:val="6"/>
              <w:spacing w:line="214" w:lineRule="auto"/>
              <w:ind w:left="404"/>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w:t>
            </w:r>
            <w:r>
              <w:rPr>
                <w:b/>
                <w:bCs/>
                <w:spacing w:val="-3"/>
              </w:rPr>
              <w:t>m/d</w:t>
            </w:r>
            <w:r>
              <w:rPr>
                <w:rFonts w:ascii="仿宋" w:hAnsi="仿宋" w:eastAsia="仿宋" w:cs="仿宋"/>
                <w:spacing w:val="-3"/>
                <w14:textOutline w14:w="3810" w14:cap="flat" w14:cmpd="sng">
                  <w14:solidFill>
                    <w14:srgbClr w14:val="000000"/>
                  </w14:solidFill>
                  <w14:prstDash w14:val="solid"/>
                  <w14:miter w14:val="0"/>
                </w14:textOutline>
              </w:rPr>
              <w:t>）</w:t>
            </w:r>
          </w:p>
        </w:tc>
        <w:tc>
          <w:tcPr>
            <w:tcW w:w="1831" w:type="dxa"/>
            <w:tcBorders>
              <w:top w:val="single" w:color="000000" w:sz="12" w:space="0"/>
            </w:tcBorders>
            <w:vAlign w:val="top"/>
          </w:tcPr>
          <w:p>
            <w:pPr>
              <w:spacing w:before="51" w:line="217" w:lineRule="auto"/>
              <w:ind w:left="302"/>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隧洞顶板深度</w:t>
            </w:r>
          </w:p>
          <w:p>
            <w:pPr>
              <w:pStyle w:val="6"/>
              <w:spacing w:before="65" w:line="214" w:lineRule="auto"/>
              <w:ind w:left="628"/>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m</w:t>
            </w:r>
            <w:r>
              <w:rPr>
                <w:rFonts w:ascii="仿宋" w:hAnsi="仿宋" w:eastAsia="仿宋" w:cs="仿宋"/>
                <w:spacing w:val="-5"/>
                <w14:textOutline w14:w="3810" w14:cap="flat" w14:cmpd="sng">
                  <w14:solidFill>
                    <w14:srgbClr w14:val="000000"/>
                  </w14:solidFill>
                  <w14:prstDash w14:val="solid"/>
                  <w14:miter w14:val="0"/>
                </w14:textOutline>
              </w:rPr>
              <w:t>）</w:t>
            </w:r>
          </w:p>
        </w:tc>
        <w:tc>
          <w:tcPr>
            <w:tcW w:w="1655" w:type="dxa"/>
            <w:tcBorders>
              <w:top w:val="single" w:color="000000" w:sz="12" w:space="0"/>
              <w:right w:val="nil"/>
            </w:tcBorders>
            <w:vAlign w:val="top"/>
          </w:tcPr>
          <w:p>
            <w:pPr>
              <w:spacing w:before="51" w:line="312" w:lineRule="exact"/>
              <w:ind w:left="419"/>
              <w:rPr>
                <w:rFonts w:ascii="仿宋" w:hAnsi="仿宋" w:eastAsia="仿宋" w:cs="仿宋"/>
                <w:sz w:val="21"/>
                <w:szCs w:val="21"/>
              </w:rPr>
            </w:pPr>
            <w:r>
              <w:rPr>
                <w:rFonts w:ascii="仿宋" w:hAnsi="仿宋" w:eastAsia="仿宋" w:cs="仿宋"/>
                <w:spacing w:val="-3"/>
                <w:position w:val="7"/>
                <w:sz w:val="21"/>
                <w:szCs w:val="21"/>
                <w14:textOutline w14:w="3810" w14:cap="flat" w14:cmpd="sng">
                  <w14:solidFill>
                    <w14:srgbClr w14:val="000000"/>
                  </w14:solidFill>
                  <w14:prstDash w14:val="solid"/>
                  <w14:miter w14:val="0"/>
                </w14:textOutline>
              </w:rPr>
              <w:t>影响半径</w:t>
            </w:r>
          </w:p>
          <w:p>
            <w:pPr>
              <w:pStyle w:val="6"/>
              <w:spacing w:line="214" w:lineRule="auto"/>
              <w:ind w:left="540"/>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m</w:t>
            </w:r>
            <w:r>
              <w:rPr>
                <w:rFonts w:ascii="仿宋" w:hAnsi="仿宋" w:eastAsia="仿宋" w:cs="仿宋"/>
                <w:spacing w:val="-5"/>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2" w:hRule="atLeast"/>
        </w:trPr>
        <w:tc>
          <w:tcPr>
            <w:tcW w:w="1857" w:type="dxa"/>
            <w:tcBorders>
              <w:left w:val="nil"/>
            </w:tcBorders>
            <w:vAlign w:val="top"/>
          </w:tcPr>
          <w:p>
            <w:pPr>
              <w:spacing w:before="64" w:line="209" w:lineRule="auto"/>
              <w:ind w:left="428"/>
              <w:rPr>
                <w:rFonts w:ascii="仿宋" w:hAnsi="仿宋" w:eastAsia="仿宋" w:cs="仿宋"/>
                <w:sz w:val="21"/>
                <w:szCs w:val="21"/>
              </w:rPr>
            </w:pPr>
            <w:r>
              <w:rPr>
                <w:rFonts w:ascii="仿宋" w:hAnsi="仿宋" w:eastAsia="仿宋" w:cs="仿宋"/>
                <w:spacing w:val="-3"/>
                <w:sz w:val="21"/>
                <w:szCs w:val="21"/>
              </w:rPr>
              <w:t>马茨河隧洞</w:t>
            </w:r>
          </w:p>
        </w:tc>
        <w:tc>
          <w:tcPr>
            <w:tcW w:w="1419" w:type="dxa"/>
            <w:vAlign w:val="top"/>
          </w:tcPr>
          <w:p>
            <w:pPr>
              <w:pStyle w:val="6"/>
              <w:spacing w:before="100" w:line="188" w:lineRule="auto"/>
              <w:ind w:left="527"/>
            </w:pPr>
            <w:r>
              <w:rPr>
                <w:spacing w:val="-1"/>
              </w:rPr>
              <w:t>42.7</w:t>
            </w:r>
          </w:p>
        </w:tc>
        <w:tc>
          <w:tcPr>
            <w:tcW w:w="1559" w:type="dxa"/>
            <w:vAlign w:val="top"/>
          </w:tcPr>
          <w:p>
            <w:pPr>
              <w:pStyle w:val="6"/>
              <w:spacing w:before="100" w:line="188" w:lineRule="auto"/>
              <w:ind w:left="547"/>
            </w:pPr>
            <w:r>
              <w:rPr>
                <w:spacing w:val="-2"/>
              </w:rPr>
              <w:t>0.072</w:t>
            </w:r>
          </w:p>
        </w:tc>
        <w:tc>
          <w:tcPr>
            <w:tcW w:w="1831" w:type="dxa"/>
            <w:vAlign w:val="top"/>
          </w:tcPr>
          <w:p>
            <w:pPr>
              <w:pStyle w:val="6"/>
              <w:spacing w:before="100" w:line="188" w:lineRule="auto"/>
              <w:ind w:left="766"/>
            </w:pPr>
            <w:r>
              <w:rPr>
                <w:spacing w:val="-3"/>
              </w:rPr>
              <w:t>569</w:t>
            </w:r>
          </w:p>
        </w:tc>
        <w:tc>
          <w:tcPr>
            <w:tcW w:w="1655" w:type="dxa"/>
            <w:tcBorders>
              <w:right w:val="nil"/>
            </w:tcBorders>
            <w:vAlign w:val="top"/>
          </w:tcPr>
          <w:p>
            <w:pPr>
              <w:pStyle w:val="6"/>
              <w:spacing w:before="100" w:line="188" w:lineRule="auto"/>
              <w:ind w:left="597"/>
            </w:pPr>
            <w:r>
              <w:rPr>
                <w:spacing w:val="-2"/>
              </w:rPr>
              <w:t>546.6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0" w:hRule="atLeast"/>
        </w:trPr>
        <w:tc>
          <w:tcPr>
            <w:tcW w:w="1857" w:type="dxa"/>
            <w:tcBorders>
              <w:left w:val="nil"/>
            </w:tcBorders>
            <w:vAlign w:val="top"/>
          </w:tcPr>
          <w:p>
            <w:pPr>
              <w:spacing w:before="69" w:line="203" w:lineRule="auto"/>
              <w:ind w:left="321"/>
              <w:rPr>
                <w:rFonts w:ascii="仿宋" w:hAnsi="仿宋" w:eastAsia="仿宋" w:cs="仿宋"/>
                <w:sz w:val="21"/>
                <w:szCs w:val="21"/>
              </w:rPr>
            </w:pPr>
            <w:r>
              <w:rPr>
                <w:rFonts w:ascii="仿宋" w:hAnsi="仿宋" w:eastAsia="仿宋" w:cs="仿宋"/>
                <w:spacing w:val="-3"/>
                <w:sz w:val="21"/>
                <w:szCs w:val="21"/>
              </w:rPr>
              <w:t>六姑乍箐隧洞</w:t>
            </w:r>
          </w:p>
        </w:tc>
        <w:tc>
          <w:tcPr>
            <w:tcW w:w="1419" w:type="dxa"/>
            <w:vAlign w:val="top"/>
          </w:tcPr>
          <w:p>
            <w:pPr>
              <w:pStyle w:val="6"/>
              <w:spacing w:before="105" w:line="188" w:lineRule="auto"/>
              <w:ind w:left="551"/>
            </w:pPr>
            <w:r>
              <w:rPr>
                <w:spacing w:val="-8"/>
              </w:rPr>
              <w:t>11.1</w:t>
            </w:r>
          </w:p>
        </w:tc>
        <w:tc>
          <w:tcPr>
            <w:tcW w:w="1559" w:type="dxa"/>
            <w:vAlign w:val="top"/>
          </w:tcPr>
          <w:p>
            <w:pPr>
              <w:pStyle w:val="6"/>
              <w:spacing w:before="105" w:line="188" w:lineRule="auto"/>
              <w:ind w:left="547"/>
            </w:pPr>
            <w:r>
              <w:rPr>
                <w:spacing w:val="-2"/>
              </w:rPr>
              <w:t>0.084</w:t>
            </w:r>
          </w:p>
        </w:tc>
        <w:tc>
          <w:tcPr>
            <w:tcW w:w="1831" w:type="dxa"/>
            <w:vAlign w:val="top"/>
          </w:tcPr>
          <w:p>
            <w:pPr>
              <w:pStyle w:val="6"/>
              <w:spacing w:before="105" w:line="188" w:lineRule="auto"/>
              <w:ind w:left="681"/>
            </w:pPr>
            <w:r>
              <w:rPr>
                <w:spacing w:val="-1"/>
              </w:rPr>
              <w:t>212.1</w:t>
            </w:r>
          </w:p>
        </w:tc>
        <w:tc>
          <w:tcPr>
            <w:tcW w:w="1655" w:type="dxa"/>
            <w:tcBorders>
              <w:right w:val="nil"/>
            </w:tcBorders>
            <w:vAlign w:val="top"/>
          </w:tcPr>
          <w:p>
            <w:pPr>
              <w:pStyle w:val="6"/>
              <w:spacing w:before="105" w:line="188" w:lineRule="auto"/>
              <w:ind w:left="648"/>
            </w:pPr>
            <w:r>
              <w:rPr>
                <w:spacing w:val="-2"/>
              </w:rPr>
              <w:t>93.7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5" w:hRule="atLeast"/>
        </w:trPr>
        <w:tc>
          <w:tcPr>
            <w:tcW w:w="1857" w:type="dxa"/>
            <w:tcBorders>
              <w:left w:val="nil"/>
              <w:bottom w:val="single" w:color="000000" w:sz="12" w:space="0"/>
            </w:tcBorders>
            <w:vAlign w:val="top"/>
          </w:tcPr>
          <w:p>
            <w:pPr>
              <w:spacing w:before="75" w:line="217" w:lineRule="auto"/>
              <w:ind w:left="319"/>
              <w:rPr>
                <w:rFonts w:ascii="仿宋" w:hAnsi="仿宋" w:eastAsia="仿宋" w:cs="仿宋"/>
                <w:sz w:val="21"/>
                <w:szCs w:val="21"/>
              </w:rPr>
            </w:pPr>
            <w:r>
              <w:rPr>
                <w:rFonts w:ascii="仿宋" w:hAnsi="仿宋" w:eastAsia="仿宋" w:cs="仿宋"/>
                <w:spacing w:val="-2"/>
                <w:sz w:val="21"/>
                <w:szCs w:val="21"/>
              </w:rPr>
              <w:t>独格里排隧洞</w:t>
            </w:r>
          </w:p>
        </w:tc>
        <w:tc>
          <w:tcPr>
            <w:tcW w:w="1419" w:type="dxa"/>
            <w:tcBorders>
              <w:bottom w:val="single" w:color="000000" w:sz="12" w:space="0"/>
            </w:tcBorders>
            <w:vAlign w:val="top"/>
          </w:tcPr>
          <w:p>
            <w:pPr>
              <w:pStyle w:val="6"/>
              <w:spacing w:before="111" w:line="188" w:lineRule="auto"/>
              <w:ind w:left="528"/>
            </w:pPr>
            <w:r>
              <w:rPr>
                <w:spacing w:val="-1"/>
              </w:rPr>
              <w:t>20.7</w:t>
            </w:r>
          </w:p>
        </w:tc>
        <w:tc>
          <w:tcPr>
            <w:tcW w:w="1559" w:type="dxa"/>
            <w:tcBorders>
              <w:bottom w:val="single" w:color="000000" w:sz="12" w:space="0"/>
            </w:tcBorders>
            <w:vAlign w:val="top"/>
          </w:tcPr>
          <w:p>
            <w:pPr>
              <w:pStyle w:val="6"/>
              <w:spacing w:before="111" w:line="188" w:lineRule="auto"/>
              <w:ind w:left="547"/>
            </w:pPr>
            <w:r>
              <w:rPr>
                <w:spacing w:val="-2"/>
              </w:rPr>
              <w:t>0.076</w:t>
            </w:r>
          </w:p>
        </w:tc>
        <w:tc>
          <w:tcPr>
            <w:tcW w:w="1831" w:type="dxa"/>
            <w:tcBorders>
              <w:bottom w:val="single" w:color="000000" w:sz="12" w:space="0"/>
            </w:tcBorders>
            <w:vAlign w:val="top"/>
          </w:tcPr>
          <w:p>
            <w:pPr>
              <w:pStyle w:val="6"/>
              <w:spacing w:before="111" w:line="188" w:lineRule="auto"/>
              <w:ind w:left="680"/>
            </w:pPr>
            <w:r>
              <w:rPr>
                <w:spacing w:val="-1"/>
              </w:rPr>
              <w:t>414.4</w:t>
            </w:r>
          </w:p>
        </w:tc>
        <w:tc>
          <w:tcPr>
            <w:tcW w:w="1655" w:type="dxa"/>
            <w:tcBorders>
              <w:bottom w:val="single" w:color="000000" w:sz="12" w:space="0"/>
              <w:right w:val="nil"/>
            </w:tcBorders>
            <w:vAlign w:val="top"/>
          </w:tcPr>
          <w:p>
            <w:pPr>
              <w:pStyle w:val="6"/>
              <w:spacing w:before="111" w:line="188" w:lineRule="auto"/>
              <w:ind w:left="591"/>
            </w:pPr>
            <w:r>
              <w:rPr>
                <w:spacing w:val="-1"/>
              </w:rPr>
              <w:t>232.3</w:t>
            </w:r>
          </w:p>
        </w:tc>
      </w:tr>
    </w:tbl>
    <w:p>
      <w:pPr>
        <w:spacing w:before="36" w:line="467" w:lineRule="exact"/>
        <w:ind w:right="67"/>
        <w:jc w:val="right"/>
        <w:rPr>
          <w:rFonts w:ascii="宋体" w:hAnsi="宋体" w:eastAsia="宋体" w:cs="宋体"/>
          <w:sz w:val="24"/>
          <w:szCs w:val="24"/>
        </w:rPr>
      </w:pPr>
      <w:r>
        <w:rPr>
          <w:rFonts w:ascii="宋体" w:hAnsi="宋体" w:eastAsia="宋体" w:cs="宋体"/>
          <w:spacing w:val="-7"/>
          <w:position w:val="16"/>
          <w:sz w:val="24"/>
          <w:szCs w:val="24"/>
        </w:rPr>
        <w:t>根据上表可知，</w:t>
      </w:r>
      <w:r>
        <w:rPr>
          <w:rFonts w:ascii="宋体" w:hAnsi="宋体" w:eastAsia="宋体" w:cs="宋体"/>
          <w:spacing w:val="55"/>
          <w:position w:val="16"/>
          <w:sz w:val="24"/>
          <w:szCs w:val="24"/>
        </w:rPr>
        <w:t xml:space="preserve"> </w:t>
      </w:r>
      <w:r>
        <w:rPr>
          <w:rFonts w:ascii="宋体" w:hAnsi="宋体" w:eastAsia="宋体" w:cs="宋体"/>
          <w:spacing w:val="-7"/>
          <w:position w:val="16"/>
          <w:sz w:val="24"/>
          <w:szCs w:val="24"/>
        </w:rPr>
        <w:t>马茨河隧洞地下水漏失半径约</w:t>
      </w:r>
      <w:r>
        <w:rPr>
          <w:rFonts w:ascii="宋体" w:hAnsi="宋体" w:eastAsia="宋体" w:cs="宋体"/>
          <w:spacing w:val="-49"/>
          <w:position w:val="16"/>
          <w:sz w:val="24"/>
          <w:szCs w:val="24"/>
        </w:rPr>
        <w:t xml:space="preserve"> </w:t>
      </w:r>
      <w:r>
        <w:rPr>
          <w:rFonts w:ascii="Times New Roman" w:hAnsi="Times New Roman" w:eastAsia="Times New Roman" w:cs="Times New Roman"/>
          <w:spacing w:val="-7"/>
          <w:position w:val="16"/>
          <w:sz w:val="24"/>
          <w:szCs w:val="24"/>
        </w:rPr>
        <w:t>546.6m</w:t>
      </w:r>
      <w:r>
        <w:rPr>
          <w:rFonts w:ascii="Times New Roman" w:hAnsi="Times New Roman" w:eastAsia="Times New Roman" w:cs="Times New Roman"/>
          <w:spacing w:val="-33"/>
          <w:position w:val="16"/>
          <w:sz w:val="24"/>
          <w:szCs w:val="24"/>
        </w:rPr>
        <w:t xml:space="preserve"> </w:t>
      </w:r>
      <w:r>
        <w:rPr>
          <w:rFonts w:ascii="宋体" w:hAnsi="宋体" w:eastAsia="宋体" w:cs="宋体"/>
          <w:spacing w:val="-7"/>
          <w:position w:val="16"/>
          <w:sz w:val="24"/>
          <w:szCs w:val="24"/>
        </w:rPr>
        <w:t>，六姑乍箐</w:t>
      </w:r>
      <w:r>
        <w:rPr>
          <w:rFonts w:ascii="宋体" w:hAnsi="宋体" w:eastAsia="宋体" w:cs="宋体"/>
          <w:spacing w:val="-8"/>
          <w:position w:val="16"/>
          <w:sz w:val="24"/>
          <w:szCs w:val="24"/>
        </w:rPr>
        <w:t>隧洞地下</w:t>
      </w:r>
    </w:p>
    <w:p>
      <w:pPr>
        <w:spacing w:line="233" w:lineRule="auto"/>
        <w:ind w:left="147"/>
        <w:rPr>
          <w:rFonts w:ascii="宋体" w:hAnsi="宋体" w:eastAsia="宋体" w:cs="宋体"/>
          <w:sz w:val="24"/>
          <w:szCs w:val="24"/>
        </w:rPr>
      </w:pPr>
      <w:r>
        <w:rPr>
          <w:rFonts w:ascii="宋体" w:hAnsi="宋体" w:eastAsia="宋体" w:cs="宋体"/>
          <w:spacing w:val="-2"/>
          <w:sz w:val="24"/>
          <w:szCs w:val="24"/>
        </w:rPr>
        <w:t>水漏失半径约</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93.7m</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，独格里排隧洞地下水漏失半径约</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232.3m</w:t>
      </w:r>
      <w:r>
        <w:rPr>
          <w:rFonts w:ascii="宋体" w:hAnsi="宋体" w:eastAsia="宋体" w:cs="宋体"/>
          <w:spacing w:val="-2"/>
          <w:sz w:val="24"/>
          <w:szCs w:val="24"/>
        </w:rPr>
        <w:t>。</w:t>
      </w:r>
    </w:p>
    <w:p>
      <w:pPr>
        <w:spacing w:before="166" w:line="359" w:lineRule="auto"/>
        <w:ind w:left="146" w:firstLine="490"/>
        <w:rPr>
          <w:rFonts w:ascii="宋体" w:hAnsi="宋体" w:eastAsia="宋体" w:cs="宋体"/>
          <w:sz w:val="24"/>
          <w:szCs w:val="24"/>
        </w:rPr>
      </w:pPr>
      <w:r>
        <w:rPr>
          <w:rFonts w:ascii="宋体" w:hAnsi="宋体" w:eastAsia="宋体" w:cs="宋体"/>
          <w:sz w:val="24"/>
          <w:szCs w:val="24"/>
        </w:rPr>
        <w:t>隧洞建设过程中，为了保障安全，需要疏排水，使得隧洞上覆地层及周边</w:t>
      </w:r>
      <w:r>
        <w:rPr>
          <w:rFonts w:ascii="宋体" w:hAnsi="宋体" w:eastAsia="宋体" w:cs="宋体"/>
          <w:spacing w:val="17"/>
          <w:sz w:val="24"/>
          <w:szCs w:val="24"/>
        </w:rPr>
        <w:t xml:space="preserve"> </w:t>
      </w:r>
      <w:r>
        <w:rPr>
          <w:rFonts w:ascii="宋体" w:hAnsi="宋体" w:eastAsia="宋体" w:cs="宋体"/>
          <w:spacing w:val="-7"/>
          <w:sz w:val="24"/>
          <w:szCs w:val="24"/>
        </w:rPr>
        <w:t>主要含水层水位通过碎屑岩裂隙下降， 会对影响范围</w:t>
      </w:r>
      <w:r>
        <w:rPr>
          <w:rFonts w:ascii="宋体" w:hAnsi="宋体" w:eastAsia="宋体" w:cs="宋体"/>
          <w:spacing w:val="-8"/>
          <w:sz w:val="24"/>
          <w:szCs w:val="24"/>
        </w:rPr>
        <w:t>内的含水层进行自然疏干，</w:t>
      </w:r>
      <w:r>
        <w:rPr>
          <w:rFonts w:ascii="宋体" w:hAnsi="宋体" w:eastAsia="宋体" w:cs="宋体"/>
          <w:sz w:val="24"/>
          <w:szCs w:val="24"/>
        </w:rPr>
        <w:t xml:space="preserve"> </w:t>
      </w:r>
      <w:r>
        <w:rPr>
          <w:rFonts w:ascii="宋体" w:hAnsi="宋体" w:eastAsia="宋体" w:cs="宋体"/>
          <w:spacing w:val="-7"/>
          <w:sz w:val="24"/>
          <w:szCs w:val="24"/>
        </w:rPr>
        <w:t>短期内改变了地下水系统原有的水动力平衡条件， 消</w:t>
      </w:r>
      <w:r>
        <w:rPr>
          <w:rFonts w:ascii="宋体" w:hAnsi="宋体" w:eastAsia="宋体" w:cs="宋体"/>
          <w:spacing w:val="-8"/>
          <w:sz w:val="24"/>
          <w:szCs w:val="24"/>
        </w:rPr>
        <w:t>耗地下水静储量和动储量，</w:t>
      </w:r>
    </w:p>
    <w:p>
      <w:pPr>
        <w:spacing w:line="184" w:lineRule="auto"/>
        <w:ind w:left="147"/>
        <w:rPr>
          <w:rFonts w:ascii="宋体" w:hAnsi="宋体" w:eastAsia="宋体" w:cs="宋体"/>
          <w:sz w:val="24"/>
          <w:szCs w:val="24"/>
        </w:rPr>
      </w:pPr>
      <w:r>
        <w:rPr>
          <w:rFonts w:ascii="宋体" w:hAnsi="宋体" w:eastAsia="宋体" w:cs="宋体"/>
          <w:spacing w:val="-3"/>
          <w:sz w:val="24"/>
          <w:szCs w:val="24"/>
        </w:rPr>
        <w:t>形成以隧洞为中心的地下水位疏干漏斗区。</w:t>
      </w:r>
    </w:p>
    <w:p>
      <w:pPr>
        <w:spacing w:line="184" w:lineRule="auto"/>
        <w:rPr>
          <w:rFonts w:ascii="宋体" w:hAnsi="宋体" w:eastAsia="宋体" w:cs="宋体"/>
          <w:sz w:val="24"/>
          <w:szCs w:val="24"/>
        </w:rPr>
        <w:sectPr>
          <w:type w:val="continuous"/>
          <w:pgSz w:w="11907" w:h="16839"/>
          <w:pgMar w:top="1156" w:right="1731" w:bottom="1374" w:left="1770" w:header="881" w:footer="1210" w:gutter="0"/>
          <w:cols w:equalWidth="0" w:num="1">
            <w:col w:w="8405"/>
          </w:cols>
        </w:sectPr>
      </w:pPr>
    </w:p>
    <w:p>
      <w:pPr>
        <w:spacing w:before="318" w:line="220" w:lineRule="auto"/>
        <w:ind w:left="504"/>
        <w:rPr>
          <w:rFonts w:ascii="宋体" w:hAnsi="宋体" w:eastAsia="宋体" w:cs="宋体"/>
          <w:sz w:val="24"/>
          <w:szCs w:val="24"/>
        </w:rPr>
      </w:pPr>
      <w:r>
        <w:rPr>
          <w:rFonts w:ascii="宋体" w:hAnsi="宋体" w:eastAsia="宋体" w:cs="宋体"/>
          <w:sz w:val="24"/>
          <w:szCs w:val="24"/>
        </w:rPr>
        <w:t>根据调查，隧洞影响范围内无地下水出露点</w:t>
      </w:r>
      <w:r>
        <w:rPr>
          <w:rFonts w:ascii="宋体" w:hAnsi="宋体" w:eastAsia="宋体" w:cs="宋体"/>
          <w:spacing w:val="-1"/>
          <w:sz w:val="24"/>
          <w:szCs w:val="24"/>
        </w:rPr>
        <w:t>，无地下水利用情况。</w:t>
      </w:r>
    </w:p>
    <w:p>
      <w:pPr>
        <w:spacing w:before="182" w:line="359" w:lineRule="auto"/>
        <w:ind w:left="146" w:right="217" w:firstLine="370"/>
        <w:rPr>
          <w:rFonts w:ascii="宋体" w:hAnsi="宋体" w:eastAsia="宋体" w:cs="宋体"/>
          <w:sz w:val="24"/>
          <w:szCs w:val="24"/>
        </w:rPr>
      </w:pPr>
      <w:r>
        <w:rPr>
          <w:rFonts w:ascii="宋体" w:hAnsi="宋体" w:eastAsia="宋体" w:cs="宋体"/>
          <w:spacing w:val="-11"/>
          <w:sz w:val="24"/>
          <w:szCs w:val="24"/>
        </w:rPr>
        <w:t>隧洞建设将以</w:t>
      </w:r>
      <w:r>
        <w:rPr>
          <w:rFonts w:ascii="宋体" w:hAnsi="宋体" w:eastAsia="宋体" w:cs="宋体"/>
          <w:spacing w:val="-36"/>
          <w:sz w:val="24"/>
          <w:szCs w:val="24"/>
        </w:rPr>
        <w:t xml:space="preserve"> </w:t>
      </w:r>
      <w:r>
        <w:rPr>
          <w:rFonts w:ascii="Times New Roman" w:hAnsi="Times New Roman" w:eastAsia="Times New Roman" w:cs="Times New Roman"/>
          <w:spacing w:val="-11"/>
          <w:sz w:val="24"/>
          <w:szCs w:val="24"/>
        </w:rPr>
        <w:t xml:space="preserve">C25 </w:t>
      </w:r>
      <w:r>
        <w:rPr>
          <w:rFonts w:ascii="宋体" w:hAnsi="宋体" w:eastAsia="宋体" w:cs="宋体"/>
          <w:spacing w:val="-11"/>
          <w:sz w:val="24"/>
          <w:szCs w:val="24"/>
        </w:rPr>
        <w:t>钢筋混凝土衬砌， 对渗水区采用回填及固结灌浆， 隧洞建</w:t>
      </w:r>
      <w:r>
        <w:rPr>
          <w:rFonts w:ascii="宋体" w:hAnsi="宋体" w:eastAsia="宋体" w:cs="宋体"/>
          <w:sz w:val="24"/>
          <w:szCs w:val="24"/>
        </w:rPr>
        <w:t xml:space="preserve"> </w:t>
      </w:r>
      <w:r>
        <w:rPr>
          <w:rFonts w:ascii="宋体" w:hAnsi="宋体" w:eastAsia="宋体" w:cs="宋体"/>
          <w:spacing w:val="-5"/>
          <w:sz w:val="24"/>
          <w:szCs w:val="24"/>
        </w:rPr>
        <w:t>成后不再需要疏排水，</w:t>
      </w:r>
      <w:r>
        <w:rPr>
          <w:rFonts w:ascii="宋体" w:hAnsi="宋体" w:eastAsia="宋体" w:cs="宋体"/>
          <w:spacing w:val="77"/>
          <w:sz w:val="24"/>
          <w:szCs w:val="24"/>
        </w:rPr>
        <w:t xml:space="preserve"> </w:t>
      </w:r>
      <w:r>
        <w:rPr>
          <w:rFonts w:ascii="宋体" w:hAnsi="宋体" w:eastAsia="宋体" w:cs="宋体"/>
          <w:spacing w:val="-5"/>
          <w:sz w:val="24"/>
          <w:szCs w:val="24"/>
        </w:rPr>
        <w:t>地下水位疏干漏斗区将在隧洞施工完成后通过地下水动</w:t>
      </w:r>
    </w:p>
    <w:p>
      <w:pPr>
        <w:spacing w:before="1" w:line="218" w:lineRule="auto"/>
        <w:ind w:left="144"/>
        <w:rPr>
          <w:rFonts w:ascii="宋体" w:hAnsi="宋体" w:eastAsia="宋体" w:cs="宋体"/>
          <w:sz w:val="24"/>
          <w:szCs w:val="24"/>
        </w:rPr>
      </w:pPr>
      <w:r>
        <w:rPr>
          <w:rFonts w:ascii="宋体" w:hAnsi="宋体" w:eastAsia="宋体" w:cs="宋体"/>
          <w:spacing w:val="-1"/>
          <w:sz w:val="24"/>
          <w:szCs w:val="24"/>
        </w:rPr>
        <w:t>态补给而恢复，不会造成区域地下水水位的持续下降</w:t>
      </w:r>
      <w:r>
        <w:rPr>
          <w:rFonts w:ascii="宋体" w:hAnsi="宋体" w:eastAsia="宋体" w:cs="宋体"/>
          <w:spacing w:val="-2"/>
          <w:sz w:val="24"/>
          <w:szCs w:val="24"/>
        </w:rPr>
        <w:t>和水资源量持续减少。</w:t>
      </w:r>
    </w:p>
    <w:p>
      <w:pPr>
        <w:spacing w:before="181"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）地下水疏排对地表生态环境的影响</w:t>
      </w:r>
    </w:p>
    <w:p>
      <w:pPr>
        <w:spacing w:before="182" w:line="359" w:lineRule="auto"/>
        <w:ind w:left="40" w:right="216" w:firstLine="491"/>
        <w:rPr>
          <w:rFonts w:ascii="宋体" w:hAnsi="宋体" w:eastAsia="宋体" w:cs="宋体"/>
          <w:sz w:val="24"/>
          <w:szCs w:val="24"/>
        </w:rPr>
      </w:pPr>
      <w:r>
        <w:rPr>
          <w:rFonts w:ascii="宋体" w:hAnsi="宋体" w:eastAsia="宋体" w:cs="宋体"/>
          <w:spacing w:val="-5"/>
          <w:sz w:val="24"/>
          <w:szCs w:val="24"/>
        </w:rPr>
        <w:t>隧洞影响半径范围内植被需水量主要与浅部含水层的持水度密切相关，</w:t>
      </w:r>
      <w:r>
        <w:rPr>
          <w:rFonts w:ascii="宋体" w:hAnsi="宋体" w:eastAsia="宋体" w:cs="宋体"/>
          <w:spacing w:val="-71"/>
          <w:sz w:val="24"/>
          <w:szCs w:val="24"/>
        </w:rPr>
        <w:t xml:space="preserve"> </w:t>
      </w:r>
      <w:r>
        <w:rPr>
          <w:rFonts w:ascii="宋体" w:hAnsi="宋体" w:eastAsia="宋体" w:cs="宋体"/>
          <w:spacing w:val="-5"/>
          <w:sz w:val="24"/>
          <w:szCs w:val="24"/>
        </w:rPr>
        <w:t>浅部</w:t>
      </w:r>
      <w:r>
        <w:rPr>
          <w:rFonts w:ascii="宋体" w:hAnsi="宋体" w:eastAsia="宋体" w:cs="宋体"/>
          <w:sz w:val="24"/>
          <w:szCs w:val="24"/>
        </w:rPr>
        <w:t xml:space="preserve"> </w:t>
      </w:r>
      <w:r>
        <w:rPr>
          <w:rFonts w:ascii="宋体" w:hAnsi="宋体" w:eastAsia="宋体" w:cs="宋体"/>
          <w:spacing w:val="-9"/>
          <w:sz w:val="24"/>
          <w:szCs w:val="24"/>
        </w:rPr>
        <w:t>细粒层持水度大， 为生态需水的主要来源， 浅部含水</w:t>
      </w:r>
      <w:r>
        <w:rPr>
          <w:rFonts w:ascii="宋体" w:hAnsi="宋体" w:eastAsia="宋体" w:cs="宋体"/>
          <w:spacing w:val="-10"/>
          <w:sz w:val="24"/>
          <w:szCs w:val="24"/>
        </w:rPr>
        <w:t>层的持水度主要靠大气降雨</w:t>
      </w:r>
      <w:r>
        <w:rPr>
          <w:rFonts w:ascii="宋体" w:hAnsi="宋体" w:eastAsia="宋体" w:cs="宋体"/>
          <w:sz w:val="24"/>
          <w:szCs w:val="24"/>
        </w:rPr>
        <w:t xml:space="preserve"> </w:t>
      </w:r>
      <w:r>
        <w:rPr>
          <w:rFonts w:ascii="宋体" w:hAnsi="宋体" w:eastAsia="宋体" w:cs="宋体"/>
          <w:spacing w:val="-13"/>
          <w:sz w:val="24"/>
          <w:szCs w:val="24"/>
        </w:rPr>
        <w:t>调节。隧洞上部山体植被需水主要来源于大气降雨，</w:t>
      </w:r>
      <w:r>
        <w:rPr>
          <w:rFonts w:ascii="宋体" w:hAnsi="宋体" w:eastAsia="宋体" w:cs="宋体"/>
          <w:spacing w:val="-37"/>
          <w:sz w:val="24"/>
          <w:szCs w:val="24"/>
        </w:rPr>
        <w:t xml:space="preserve"> </w:t>
      </w:r>
      <w:r>
        <w:rPr>
          <w:rFonts w:ascii="宋体" w:hAnsi="宋体" w:eastAsia="宋体" w:cs="宋体"/>
          <w:spacing w:val="-13"/>
          <w:sz w:val="24"/>
          <w:szCs w:val="24"/>
        </w:rPr>
        <w:t>且隧洞埋深较深，洞径较小，</w:t>
      </w:r>
    </w:p>
    <w:p>
      <w:pPr>
        <w:spacing w:before="1" w:line="218" w:lineRule="auto"/>
        <w:ind w:left="42"/>
        <w:rPr>
          <w:rFonts w:ascii="宋体" w:hAnsi="宋体" w:eastAsia="宋体" w:cs="宋体"/>
          <w:sz w:val="24"/>
          <w:szCs w:val="24"/>
        </w:rPr>
      </w:pPr>
      <w:r>
        <w:rPr>
          <w:rFonts w:ascii="宋体" w:hAnsi="宋体" w:eastAsia="宋体" w:cs="宋体"/>
          <w:sz w:val="24"/>
          <w:szCs w:val="24"/>
        </w:rPr>
        <w:t>建设产生的导水裂隙带不会导通地表，对地表</w:t>
      </w:r>
      <w:r>
        <w:rPr>
          <w:rFonts w:ascii="宋体" w:hAnsi="宋体" w:eastAsia="宋体" w:cs="宋体"/>
          <w:spacing w:val="-1"/>
          <w:sz w:val="24"/>
          <w:szCs w:val="24"/>
        </w:rPr>
        <w:t>植被生长用水产生的影响较小。</w:t>
      </w:r>
    </w:p>
    <w:p>
      <w:pPr>
        <w:spacing w:line="388" w:lineRule="auto"/>
        <w:rPr>
          <w:rFonts w:ascii="Arial"/>
          <w:sz w:val="21"/>
        </w:rPr>
      </w:pPr>
    </w:p>
    <w:p>
      <w:pPr>
        <w:pStyle w:val="2"/>
        <w:spacing w:before="89" w:line="225" w:lineRule="auto"/>
        <w:ind w:left="36"/>
        <w:outlineLvl w:val="2"/>
        <w:rPr>
          <w:sz w:val="27"/>
          <w:szCs w:val="27"/>
        </w:rPr>
      </w:pPr>
      <w:bookmarkStart w:id="31" w:name="bookmark32"/>
      <w:bookmarkEnd w:id="31"/>
      <w:r>
        <w:rPr>
          <w:rFonts w:ascii="Times New Roman" w:hAnsi="Times New Roman" w:eastAsia="Times New Roman" w:cs="Times New Roman"/>
          <w:b/>
          <w:bCs/>
          <w:spacing w:val="7"/>
          <w:sz w:val="27"/>
          <w:szCs w:val="27"/>
        </w:rPr>
        <w:t xml:space="preserve">4.4 </w:t>
      </w:r>
      <w:r>
        <w:rPr>
          <w:spacing w:val="7"/>
          <w:sz w:val="27"/>
          <w:szCs w:val="27"/>
          <w14:textOutline w14:w="5072" w14:cap="flat" w14:cmpd="sng">
            <w14:solidFill>
              <w14:srgbClr w14:val="000000"/>
            </w14:solidFill>
            <w14:prstDash w14:val="solid"/>
            <w14:miter w14:val="0"/>
          </w14:textOutline>
        </w:rPr>
        <w:t>生态环境影响评价</w:t>
      </w:r>
    </w:p>
    <w:p>
      <w:pPr>
        <w:spacing w:line="299" w:lineRule="auto"/>
        <w:rPr>
          <w:rFonts w:ascii="Arial"/>
          <w:sz w:val="21"/>
        </w:rPr>
      </w:pPr>
    </w:p>
    <w:p>
      <w:pPr>
        <w:pStyle w:val="2"/>
        <w:spacing w:before="78" w:line="233" w:lineRule="auto"/>
        <w:ind w:left="36"/>
        <w:outlineLvl w:val="2"/>
        <w:rPr>
          <w:sz w:val="24"/>
          <w:szCs w:val="24"/>
        </w:rPr>
      </w:pPr>
      <w:r>
        <w:rPr>
          <w:rFonts w:ascii="Times New Roman" w:hAnsi="Times New Roman" w:eastAsia="Times New Roman" w:cs="Times New Roman"/>
          <w:b/>
          <w:bCs/>
          <w:sz w:val="24"/>
          <w:szCs w:val="24"/>
        </w:rPr>
        <w:t xml:space="preserve">4.4.1 </w:t>
      </w:r>
      <w:r>
        <w:rPr>
          <w:sz w:val="24"/>
          <w:szCs w:val="24"/>
          <w14:textOutline w14:w="4354" w14:cap="flat" w14:cmpd="sng">
            <w14:solidFill>
              <w14:srgbClr w14:val="000000"/>
            </w14:solidFill>
            <w14:prstDash w14:val="solid"/>
            <w14:miter w14:val="0"/>
          </w14:textOutline>
        </w:rPr>
        <w:t>对土地利用的影响</w:t>
      </w:r>
    </w:p>
    <w:p>
      <w:pPr>
        <w:spacing w:before="277" w:line="360" w:lineRule="auto"/>
        <w:ind w:left="68" w:right="602" w:firstLine="450"/>
        <w:jc w:val="both"/>
        <w:rPr>
          <w:rFonts w:ascii="宋体" w:hAnsi="宋体" w:eastAsia="宋体" w:cs="宋体"/>
          <w:sz w:val="24"/>
          <w:szCs w:val="24"/>
        </w:rPr>
      </w:pPr>
      <w:r>
        <w:rPr>
          <w:rFonts w:ascii="宋体" w:hAnsi="宋体" w:eastAsia="宋体" w:cs="宋体"/>
          <w:sz w:val="24"/>
          <w:szCs w:val="24"/>
        </w:rPr>
        <w:t>根据实地踏勘和卫星遥感影像解译，将评价区</w:t>
      </w:r>
      <w:r>
        <w:rPr>
          <w:rFonts w:ascii="宋体" w:hAnsi="宋体" w:eastAsia="宋体" w:cs="宋体"/>
          <w:spacing w:val="-1"/>
          <w:sz w:val="24"/>
          <w:szCs w:val="24"/>
        </w:rPr>
        <w:t>土地利用划分为旱地、水</w:t>
      </w:r>
      <w:r>
        <w:rPr>
          <w:rFonts w:ascii="宋体" w:hAnsi="宋体" w:eastAsia="宋体" w:cs="宋体"/>
          <w:sz w:val="24"/>
          <w:szCs w:val="24"/>
        </w:rPr>
        <w:t xml:space="preserve"> </w:t>
      </w:r>
      <w:r>
        <w:rPr>
          <w:rFonts w:ascii="宋体" w:hAnsi="宋体" w:eastAsia="宋体" w:cs="宋体"/>
          <w:spacing w:val="-1"/>
          <w:sz w:val="24"/>
          <w:szCs w:val="24"/>
        </w:rPr>
        <w:t>田、有林地、灌木林地、园地、草地、水体</w:t>
      </w:r>
      <w:r>
        <w:rPr>
          <w:rFonts w:ascii="宋体" w:hAnsi="宋体" w:eastAsia="宋体" w:cs="宋体"/>
          <w:spacing w:val="-2"/>
          <w:sz w:val="24"/>
          <w:szCs w:val="24"/>
        </w:rPr>
        <w:t>、住宅用地和其他用地等</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9 </w:t>
      </w:r>
      <w:r>
        <w:rPr>
          <w:rFonts w:ascii="宋体" w:hAnsi="宋体" w:eastAsia="宋体" w:cs="宋体"/>
          <w:spacing w:val="-2"/>
          <w:sz w:val="24"/>
          <w:szCs w:val="24"/>
        </w:rPr>
        <w:t>种类</w:t>
      </w:r>
    </w:p>
    <w:p>
      <w:pPr>
        <w:spacing w:before="1" w:line="219" w:lineRule="auto"/>
        <w:ind w:left="46"/>
        <w:rPr>
          <w:rFonts w:ascii="宋体" w:hAnsi="宋体" w:eastAsia="宋体" w:cs="宋体"/>
          <w:sz w:val="24"/>
          <w:szCs w:val="24"/>
        </w:rPr>
      </w:pPr>
      <w:r>
        <w:rPr>
          <w:rFonts w:ascii="宋体" w:hAnsi="宋体" w:eastAsia="宋体" w:cs="宋体"/>
          <w:spacing w:val="-3"/>
          <w:sz w:val="24"/>
          <w:szCs w:val="24"/>
        </w:rPr>
        <w:t>型。工程占地及主要地类见表</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4.4-</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69" w:line="218" w:lineRule="auto"/>
        <w:ind w:left="2786"/>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1"/>
          <w:sz w:val="21"/>
          <w:szCs w:val="21"/>
        </w:rPr>
        <w:t xml:space="preserve"> </w:t>
      </w:r>
      <w:r>
        <w:rPr>
          <w:rFonts w:ascii="Times New Roman" w:hAnsi="Times New Roman" w:eastAsia="Times New Roman" w:cs="Times New Roman"/>
          <w:b/>
          <w:bCs/>
          <w:spacing w:val="-1"/>
          <w:sz w:val="21"/>
          <w:szCs w:val="21"/>
        </w:rPr>
        <w:t xml:space="preserve">4.4-1    </w:t>
      </w:r>
      <w:r>
        <w:rPr>
          <w:rFonts w:ascii="宋体" w:hAnsi="宋体" w:eastAsia="宋体" w:cs="宋体"/>
          <w:spacing w:val="-1"/>
          <w:sz w:val="21"/>
          <w:szCs w:val="21"/>
          <w14:textOutline w14:w="3810" w14:cap="flat" w14:cmpd="sng">
            <w14:solidFill>
              <w14:srgbClr w14:val="000000"/>
            </w14:solidFill>
            <w14:prstDash w14:val="solid"/>
            <w14:miter w14:val="0"/>
          </w14:textOutline>
        </w:rPr>
        <w:t>评价区土地利用现状统计</w:t>
      </w:r>
    </w:p>
    <w:p>
      <w:pPr>
        <w:spacing w:line="91" w:lineRule="exact"/>
      </w:pPr>
    </w:p>
    <w:tbl>
      <w:tblPr>
        <w:tblStyle w:val="5"/>
        <w:tblW w:w="853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2"/>
        <w:gridCol w:w="1559"/>
        <w:gridCol w:w="1559"/>
        <w:gridCol w:w="1843"/>
        <w:gridCol w:w="18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vMerge w:val="restart"/>
            <w:tcBorders>
              <w:top w:val="single" w:color="000000" w:sz="12" w:space="0"/>
              <w:left w:val="nil"/>
              <w:bottom w:val="nil"/>
            </w:tcBorders>
            <w:vAlign w:val="top"/>
          </w:tcPr>
          <w:p>
            <w:pPr>
              <w:spacing w:line="298" w:lineRule="auto"/>
              <w:rPr>
                <w:rFonts w:ascii="Arial"/>
                <w:sz w:val="21"/>
              </w:rPr>
            </w:pPr>
          </w:p>
          <w:p>
            <w:pPr>
              <w:spacing w:before="68" w:line="218" w:lineRule="auto"/>
              <w:ind w:left="23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土地利用类型</w:t>
            </w:r>
          </w:p>
        </w:tc>
        <w:tc>
          <w:tcPr>
            <w:tcW w:w="3118" w:type="dxa"/>
            <w:gridSpan w:val="2"/>
            <w:tcBorders>
              <w:top w:val="single" w:color="000000" w:sz="12" w:space="0"/>
            </w:tcBorders>
            <w:vAlign w:val="top"/>
          </w:tcPr>
          <w:p>
            <w:pPr>
              <w:spacing w:before="50" w:line="220" w:lineRule="auto"/>
              <w:ind w:left="114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项目占地</w:t>
            </w:r>
          </w:p>
        </w:tc>
        <w:tc>
          <w:tcPr>
            <w:tcW w:w="3737" w:type="dxa"/>
            <w:gridSpan w:val="2"/>
            <w:tcBorders>
              <w:top w:val="single" w:color="000000" w:sz="12" w:space="0"/>
              <w:right w:val="nil"/>
            </w:tcBorders>
            <w:vAlign w:val="top"/>
          </w:tcPr>
          <w:p>
            <w:pPr>
              <w:spacing w:before="51" w:line="218" w:lineRule="auto"/>
              <w:ind w:left="156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5" w:hRule="atLeast"/>
        </w:trPr>
        <w:tc>
          <w:tcPr>
            <w:tcW w:w="1682" w:type="dxa"/>
            <w:vMerge w:val="continue"/>
            <w:tcBorders>
              <w:top w:val="nil"/>
              <w:left w:val="nil"/>
            </w:tcBorders>
            <w:vAlign w:val="top"/>
          </w:tcPr>
          <w:p>
            <w:pPr>
              <w:rPr>
                <w:rFonts w:ascii="Arial"/>
                <w:sz w:val="21"/>
              </w:rPr>
            </w:pPr>
          </w:p>
        </w:tc>
        <w:tc>
          <w:tcPr>
            <w:tcW w:w="1559" w:type="dxa"/>
            <w:vAlign w:val="top"/>
          </w:tcPr>
          <w:p>
            <w:pPr>
              <w:pStyle w:val="6"/>
              <w:spacing w:before="210" w:line="233" w:lineRule="auto"/>
              <w:ind w:left="192"/>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面积（</w:t>
            </w:r>
            <w:r>
              <w:rPr>
                <w:b/>
                <w:bCs/>
                <w:spacing w:val="-3"/>
              </w:rPr>
              <w:t>hm</w:t>
            </w:r>
            <w:r>
              <w:rPr>
                <w:b/>
                <w:bCs/>
                <w:spacing w:val="-3"/>
                <w:position w:val="6"/>
                <w:sz w:val="14"/>
                <w:szCs w:val="14"/>
              </w:rPr>
              <w:t>2</w:t>
            </w:r>
            <w:r>
              <w:rPr>
                <w:rFonts w:ascii="仿宋" w:hAnsi="仿宋" w:eastAsia="仿宋" w:cs="仿宋"/>
                <w:spacing w:val="-3"/>
                <w14:textOutline w14:w="3810" w14:cap="flat" w14:cmpd="sng">
                  <w14:solidFill>
                    <w14:srgbClr w14:val="000000"/>
                  </w14:solidFill>
                  <w14:prstDash w14:val="solid"/>
                  <w14:miter w14:val="0"/>
                </w14:textOutline>
              </w:rPr>
              <w:t>）</w:t>
            </w:r>
          </w:p>
        </w:tc>
        <w:tc>
          <w:tcPr>
            <w:tcW w:w="1559" w:type="dxa"/>
            <w:vAlign w:val="top"/>
          </w:tcPr>
          <w:p>
            <w:pPr>
              <w:spacing w:before="54" w:line="219" w:lineRule="auto"/>
              <w:ind w:left="194"/>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占该类型比例</w:t>
            </w:r>
          </w:p>
          <w:p>
            <w:pPr>
              <w:pStyle w:val="6"/>
              <w:spacing w:before="63" w:line="218" w:lineRule="auto"/>
              <w:ind w:left="475"/>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w:t>
            </w:r>
            <w:r>
              <w:rPr>
                <w:rFonts w:ascii="仿宋" w:hAnsi="仿宋" w:eastAsia="仿宋" w:cs="仿宋"/>
                <w:spacing w:val="-5"/>
                <w14:textOutline w14:w="3810" w14:cap="flat" w14:cmpd="sng">
                  <w14:solidFill>
                    <w14:srgbClr w14:val="000000"/>
                  </w14:solidFill>
                  <w14:prstDash w14:val="solid"/>
                  <w14:miter w14:val="0"/>
                </w14:textOutline>
              </w:rPr>
              <w:t>）</w:t>
            </w:r>
          </w:p>
        </w:tc>
        <w:tc>
          <w:tcPr>
            <w:tcW w:w="1843" w:type="dxa"/>
            <w:vAlign w:val="top"/>
          </w:tcPr>
          <w:p>
            <w:pPr>
              <w:pStyle w:val="6"/>
              <w:spacing w:before="210" w:line="233" w:lineRule="auto"/>
              <w:ind w:left="335"/>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面积（</w:t>
            </w:r>
            <w:r>
              <w:rPr>
                <w:b/>
                <w:bCs/>
                <w:spacing w:val="-3"/>
              </w:rPr>
              <w:t>hm</w:t>
            </w:r>
            <w:r>
              <w:rPr>
                <w:b/>
                <w:bCs/>
                <w:spacing w:val="-3"/>
                <w:position w:val="6"/>
                <w:sz w:val="14"/>
                <w:szCs w:val="14"/>
              </w:rPr>
              <w:t>2</w:t>
            </w:r>
            <w:r>
              <w:rPr>
                <w:rFonts w:ascii="仿宋" w:hAnsi="仿宋" w:eastAsia="仿宋" w:cs="仿宋"/>
                <w:spacing w:val="-3"/>
                <w14:textOutline w14:w="3810" w14:cap="flat" w14:cmpd="sng">
                  <w14:solidFill>
                    <w14:srgbClr w14:val="000000"/>
                  </w14:solidFill>
                  <w14:prstDash w14:val="solid"/>
                  <w14:miter w14:val="0"/>
                </w14:textOutline>
              </w:rPr>
              <w:t>）</w:t>
            </w:r>
          </w:p>
        </w:tc>
        <w:tc>
          <w:tcPr>
            <w:tcW w:w="1894" w:type="dxa"/>
            <w:tcBorders>
              <w:right w:val="nil"/>
            </w:tcBorders>
            <w:vAlign w:val="top"/>
          </w:tcPr>
          <w:p>
            <w:pPr>
              <w:spacing w:before="54" w:line="219" w:lineRule="auto"/>
              <w:ind w:left="362"/>
              <w:rPr>
                <w:rFonts w:ascii="仿宋" w:hAnsi="仿宋" w:eastAsia="仿宋" w:cs="仿宋"/>
                <w:sz w:val="21"/>
                <w:szCs w:val="21"/>
              </w:rPr>
            </w:pPr>
            <w:r>
              <w:rPr>
                <w:rFonts w:ascii="仿宋" w:hAnsi="仿宋" w:eastAsia="仿宋" w:cs="仿宋"/>
                <w:spacing w:val="-8"/>
                <w:sz w:val="21"/>
                <w:szCs w:val="21"/>
                <w14:textOutline w14:w="3810" w14:cap="flat" w14:cmpd="sng">
                  <w14:solidFill>
                    <w14:srgbClr w14:val="000000"/>
                  </w14:solidFill>
                  <w14:prstDash w14:val="solid"/>
                  <w14:miter w14:val="0"/>
                </w14:textOutline>
              </w:rPr>
              <w:t>占总面积比例</w:t>
            </w:r>
          </w:p>
          <w:p>
            <w:pPr>
              <w:pStyle w:val="6"/>
              <w:spacing w:before="63" w:line="218" w:lineRule="auto"/>
              <w:ind w:left="643"/>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w:t>
            </w:r>
            <w:r>
              <w:rPr>
                <w:rFonts w:ascii="仿宋" w:hAnsi="仿宋" w:eastAsia="仿宋" w:cs="仿宋"/>
                <w:spacing w:val="-5"/>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tcBorders>
              <w:left w:val="nil"/>
            </w:tcBorders>
            <w:vAlign w:val="top"/>
          </w:tcPr>
          <w:p>
            <w:pPr>
              <w:spacing w:before="58" w:line="216" w:lineRule="auto"/>
              <w:ind w:left="651"/>
              <w:rPr>
                <w:rFonts w:ascii="仿宋" w:hAnsi="仿宋" w:eastAsia="仿宋" w:cs="仿宋"/>
                <w:sz w:val="21"/>
                <w:szCs w:val="21"/>
              </w:rPr>
            </w:pPr>
            <w:r>
              <w:rPr>
                <w:rFonts w:ascii="仿宋" w:hAnsi="仿宋" w:eastAsia="仿宋" w:cs="仿宋"/>
                <w:spacing w:val="-4"/>
                <w:sz w:val="21"/>
                <w:szCs w:val="21"/>
              </w:rPr>
              <w:t>水田</w:t>
            </w:r>
          </w:p>
        </w:tc>
        <w:tc>
          <w:tcPr>
            <w:tcW w:w="1559" w:type="dxa"/>
            <w:vAlign w:val="top"/>
          </w:tcPr>
          <w:p>
            <w:pPr>
              <w:pStyle w:val="6"/>
              <w:spacing w:before="97" w:line="186" w:lineRule="auto"/>
              <w:ind w:left="597"/>
            </w:pPr>
            <w:r>
              <w:rPr>
                <w:spacing w:val="-1"/>
              </w:rPr>
              <w:t>2.62</w:t>
            </w:r>
          </w:p>
        </w:tc>
        <w:tc>
          <w:tcPr>
            <w:tcW w:w="1559" w:type="dxa"/>
            <w:vAlign w:val="top"/>
          </w:tcPr>
          <w:p>
            <w:pPr>
              <w:pStyle w:val="6"/>
              <w:spacing w:before="97" w:line="186" w:lineRule="auto"/>
              <w:ind w:left="565"/>
            </w:pPr>
            <w:r>
              <w:rPr>
                <w:spacing w:val="-5"/>
              </w:rPr>
              <w:t>14.44</w:t>
            </w:r>
          </w:p>
        </w:tc>
        <w:tc>
          <w:tcPr>
            <w:tcW w:w="1843" w:type="dxa"/>
            <w:vAlign w:val="top"/>
          </w:tcPr>
          <w:p>
            <w:pPr>
              <w:pStyle w:val="6"/>
              <w:spacing w:before="97" w:line="186" w:lineRule="auto"/>
              <w:ind w:left="707"/>
            </w:pPr>
            <w:r>
              <w:rPr>
                <w:spacing w:val="-5"/>
              </w:rPr>
              <w:t>18.14</w:t>
            </w:r>
          </w:p>
        </w:tc>
        <w:tc>
          <w:tcPr>
            <w:tcW w:w="1894" w:type="dxa"/>
            <w:tcBorders>
              <w:right w:val="nil"/>
            </w:tcBorders>
            <w:vAlign w:val="top"/>
          </w:tcPr>
          <w:p>
            <w:pPr>
              <w:pStyle w:val="6"/>
              <w:spacing w:before="97" w:line="186" w:lineRule="auto"/>
              <w:ind w:left="766"/>
            </w:pPr>
            <w:r>
              <w:rPr>
                <w:spacing w:val="-1"/>
              </w:rPr>
              <w:t>2.21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tcBorders>
              <w:left w:val="nil"/>
            </w:tcBorders>
            <w:vAlign w:val="top"/>
          </w:tcPr>
          <w:p>
            <w:pPr>
              <w:spacing w:before="61" w:line="213" w:lineRule="auto"/>
              <w:ind w:left="655"/>
              <w:rPr>
                <w:rFonts w:ascii="仿宋" w:hAnsi="仿宋" w:eastAsia="仿宋" w:cs="仿宋"/>
                <w:sz w:val="21"/>
                <w:szCs w:val="21"/>
              </w:rPr>
            </w:pPr>
            <w:r>
              <w:rPr>
                <w:rFonts w:ascii="仿宋" w:hAnsi="仿宋" w:eastAsia="仿宋" w:cs="仿宋"/>
                <w:spacing w:val="-5"/>
                <w:sz w:val="21"/>
                <w:szCs w:val="21"/>
              </w:rPr>
              <w:t>旱地</w:t>
            </w:r>
          </w:p>
        </w:tc>
        <w:tc>
          <w:tcPr>
            <w:tcW w:w="1559" w:type="dxa"/>
            <w:vAlign w:val="top"/>
          </w:tcPr>
          <w:p>
            <w:pPr>
              <w:pStyle w:val="6"/>
              <w:spacing w:before="99" w:line="186" w:lineRule="auto"/>
              <w:ind w:left="543"/>
            </w:pPr>
            <w:r>
              <w:rPr>
                <w:spacing w:val="-1"/>
              </w:rPr>
              <w:t>44.87</w:t>
            </w:r>
          </w:p>
        </w:tc>
        <w:tc>
          <w:tcPr>
            <w:tcW w:w="1559" w:type="dxa"/>
            <w:vAlign w:val="top"/>
          </w:tcPr>
          <w:p>
            <w:pPr>
              <w:pStyle w:val="6"/>
              <w:spacing w:before="99" w:line="186" w:lineRule="auto"/>
              <w:ind w:left="549"/>
            </w:pPr>
            <w:r>
              <w:rPr>
                <w:spacing w:val="-2"/>
              </w:rPr>
              <w:t>37.88</w:t>
            </w:r>
          </w:p>
        </w:tc>
        <w:tc>
          <w:tcPr>
            <w:tcW w:w="1843" w:type="dxa"/>
            <w:vAlign w:val="top"/>
          </w:tcPr>
          <w:p>
            <w:pPr>
              <w:pStyle w:val="6"/>
              <w:spacing w:before="99" w:line="186" w:lineRule="auto"/>
              <w:ind w:left="654"/>
            </w:pPr>
            <w:r>
              <w:rPr>
                <w:spacing w:val="-4"/>
              </w:rPr>
              <w:t>118.45</w:t>
            </w:r>
          </w:p>
        </w:tc>
        <w:tc>
          <w:tcPr>
            <w:tcW w:w="1894" w:type="dxa"/>
            <w:tcBorders>
              <w:right w:val="nil"/>
            </w:tcBorders>
            <w:vAlign w:val="top"/>
          </w:tcPr>
          <w:p>
            <w:pPr>
              <w:pStyle w:val="6"/>
              <w:spacing w:before="99" w:line="186" w:lineRule="auto"/>
              <w:ind w:left="733"/>
            </w:pPr>
            <w:r>
              <w:rPr>
                <w:spacing w:val="-5"/>
              </w:rPr>
              <w:t>14.44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682" w:type="dxa"/>
            <w:tcBorders>
              <w:left w:val="nil"/>
            </w:tcBorders>
            <w:vAlign w:val="top"/>
          </w:tcPr>
          <w:p>
            <w:pPr>
              <w:spacing w:before="64" w:line="212" w:lineRule="auto"/>
              <w:ind w:left="544"/>
              <w:rPr>
                <w:rFonts w:ascii="仿宋" w:hAnsi="仿宋" w:eastAsia="仿宋" w:cs="仿宋"/>
                <w:sz w:val="21"/>
                <w:szCs w:val="21"/>
              </w:rPr>
            </w:pPr>
            <w:r>
              <w:rPr>
                <w:rFonts w:ascii="仿宋" w:hAnsi="仿宋" w:eastAsia="仿宋" w:cs="仿宋"/>
                <w:spacing w:val="-3"/>
                <w:sz w:val="21"/>
                <w:szCs w:val="21"/>
              </w:rPr>
              <w:t>有林地</w:t>
            </w:r>
          </w:p>
        </w:tc>
        <w:tc>
          <w:tcPr>
            <w:tcW w:w="1559" w:type="dxa"/>
            <w:vAlign w:val="top"/>
          </w:tcPr>
          <w:p>
            <w:pPr>
              <w:pStyle w:val="6"/>
              <w:spacing w:before="103" w:line="186" w:lineRule="auto"/>
              <w:ind w:left="564"/>
            </w:pPr>
            <w:r>
              <w:rPr>
                <w:spacing w:val="-5"/>
              </w:rPr>
              <w:t>16.28</w:t>
            </w:r>
          </w:p>
        </w:tc>
        <w:tc>
          <w:tcPr>
            <w:tcW w:w="1559" w:type="dxa"/>
            <w:vAlign w:val="top"/>
          </w:tcPr>
          <w:p>
            <w:pPr>
              <w:pStyle w:val="6"/>
              <w:spacing w:before="103" w:line="186" w:lineRule="auto"/>
              <w:ind w:left="602"/>
            </w:pPr>
            <w:r>
              <w:rPr>
                <w:spacing w:val="-3"/>
              </w:rPr>
              <w:t>6.13</w:t>
            </w:r>
          </w:p>
        </w:tc>
        <w:tc>
          <w:tcPr>
            <w:tcW w:w="1843" w:type="dxa"/>
            <w:vAlign w:val="top"/>
          </w:tcPr>
          <w:p>
            <w:pPr>
              <w:pStyle w:val="6"/>
              <w:spacing w:before="103" w:line="186" w:lineRule="auto"/>
              <w:ind w:left="687"/>
            </w:pPr>
            <w:r>
              <w:rPr>
                <w:spacing w:val="-1"/>
              </w:rPr>
              <w:t>265.7</w:t>
            </w:r>
          </w:p>
        </w:tc>
        <w:tc>
          <w:tcPr>
            <w:tcW w:w="1894" w:type="dxa"/>
            <w:tcBorders>
              <w:right w:val="nil"/>
            </w:tcBorders>
            <w:vAlign w:val="top"/>
          </w:tcPr>
          <w:p>
            <w:pPr>
              <w:pStyle w:val="6"/>
              <w:spacing w:before="103" w:line="186" w:lineRule="auto"/>
              <w:ind w:left="717"/>
            </w:pPr>
            <w:r>
              <w:rPr>
                <w:spacing w:val="-2"/>
              </w:rPr>
              <w:t>32.38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tcBorders>
              <w:left w:val="nil"/>
            </w:tcBorders>
            <w:vAlign w:val="top"/>
          </w:tcPr>
          <w:p>
            <w:pPr>
              <w:spacing w:before="65" w:line="210" w:lineRule="auto"/>
              <w:ind w:left="445"/>
              <w:rPr>
                <w:rFonts w:ascii="仿宋" w:hAnsi="仿宋" w:eastAsia="仿宋" w:cs="仿宋"/>
                <w:sz w:val="21"/>
                <w:szCs w:val="21"/>
              </w:rPr>
            </w:pPr>
            <w:r>
              <w:rPr>
                <w:rFonts w:ascii="仿宋" w:hAnsi="仿宋" w:eastAsia="仿宋" w:cs="仿宋"/>
                <w:spacing w:val="-4"/>
                <w:sz w:val="21"/>
                <w:szCs w:val="21"/>
              </w:rPr>
              <w:t>灌木林地</w:t>
            </w:r>
          </w:p>
        </w:tc>
        <w:tc>
          <w:tcPr>
            <w:tcW w:w="1559" w:type="dxa"/>
            <w:vAlign w:val="top"/>
          </w:tcPr>
          <w:p>
            <w:pPr>
              <w:pStyle w:val="6"/>
              <w:spacing w:before="104" w:line="186" w:lineRule="auto"/>
              <w:ind w:left="543"/>
            </w:pPr>
            <w:r>
              <w:rPr>
                <w:spacing w:val="-1"/>
              </w:rPr>
              <w:t>49.38</w:t>
            </w:r>
          </w:p>
        </w:tc>
        <w:tc>
          <w:tcPr>
            <w:tcW w:w="1559" w:type="dxa"/>
            <w:vAlign w:val="top"/>
          </w:tcPr>
          <w:p>
            <w:pPr>
              <w:pStyle w:val="6"/>
              <w:spacing w:before="104" w:line="186" w:lineRule="auto"/>
              <w:ind w:left="544"/>
            </w:pPr>
            <w:r>
              <w:rPr>
                <w:spacing w:val="-1"/>
              </w:rPr>
              <w:t>23.16</w:t>
            </w:r>
          </w:p>
        </w:tc>
        <w:tc>
          <w:tcPr>
            <w:tcW w:w="1843" w:type="dxa"/>
            <w:vAlign w:val="top"/>
          </w:tcPr>
          <w:p>
            <w:pPr>
              <w:pStyle w:val="6"/>
              <w:spacing w:before="104" w:line="186" w:lineRule="auto"/>
              <w:ind w:left="634"/>
            </w:pPr>
            <w:r>
              <w:rPr>
                <w:spacing w:val="-1"/>
              </w:rPr>
              <w:t>213.17</w:t>
            </w:r>
          </w:p>
        </w:tc>
        <w:tc>
          <w:tcPr>
            <w:tcW w:w="1894" w:type="dxa"/>
            <w:tcBorders>
              <w:right w:val="nil"/>
            </w:tcBorders>
            <w:vAlign w:val="top"/>
          </w:tcPr>
          <w:p>
            <w:pPr>
              <w:pStyle w:val="6"/>
              <w:spacing w:before="104" w:line="186" w:lineRule="auto"/>
              <w:ind w:left="713"/>
            </w:pPr>
            <w:r>
              <w:rPr>
                <w:spacing w:val="-1"/>
              </w:rPr>
              <w:t>25.98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tcBorders>
              <w:left w:val="nil"/>
            </w:tcBorders>
            <w:vAlign w:val="top"/>
          </w:tcPr>
          <w:p>
            <w:pPr>
              <w:spacing w:before="68" w:line="207" w:lineRule="auto"/>
              <w:ind w:left="655"/>
              <w:rPr>
                <w:rFonts w:ascii="仿宋" w:hAnsi="仿宋" w:eastAsia="仿宋" w:cs="仿宋"/>
                <w:sz w:val="21"/>
                <w:szCs w:val="21"/>
              </w:rPr>
            </w:pPr>
            <w:r>
              <w:rPr>
                <w:rFonts w:ascii="仿宋" w:hAnsi="仿宋" w:eastAsia="仿宋" w:cs="仿宋"/>
                <w:spacing w:val="-5"/>
                <w:sz w:val="21"/>
                <w:szCs w:val="21"/>
              </w:rPr>
              <w:t>草地</w:t>
            </w:r>
          </w:p>
        </w:tc>
        <w:tc>
          <w:tcPr>
            <w:tcW w:w="1559" w:type="dxa"/>
            <w:vAlign w:val="top"/>
          </w:tcPr>
          <w:p>
            <w:pPr>
              <w:pStyle w:val="6"/>
              <w:spacing w:before="106" w:line="186" w:lineRule="auto"/>
              <w:ind w:left="544"/>
            </w:pPr>
            <w:r>
              <w:rPr>
                <w:spacing w:val="-1"/>
              </w:rPr>
              <w:t>21.87</w:t>
            </w:r>
          </w:p>
        </w:tc>
        <w:tc>
          <w:tcPr>
            <w:tcW w:w="1559" w:type="dxa"/>
            <w:vAlign w:val="top"/>
          </w:tcPr>
          <w:p>
            <w:pPr>
              <w:pStyle w:val="6"/>
              <w:spacing w:before="106" w:line="186" w:lineRule="auto"/>
              <w:ind w:left="544"/>
            </w:pPr>
            <w:r>
              <w:rPr>
                <w:spacing w:val="-1"/>
              </w:rPr>
              <w:t>24.71</w:t>
            </w:r>
          </w:p>
        </w:tc>
        <w:tc>
          <w:tcPr>
            <w:tcW w:w="1843" w:type="dxa"/>
            <w:vAlign w:val="top"/>
          </w:tcPr>
          <w:p>
            <w:pPr>
              <w:pStyle w:val="6"/>
              <w:spacing w:before="106" w:line="186" w:lineRule="auto"/>
              <w:ind w:left="695"/>
            </w:pPr>
            <w:r>
              <w:rPr>
                <w:spacing w:val="-3"/>
              </w:rPr>
              <w:t>88.51</w:t>
            </w:r>
          </w:p>
        </w:tc>
        <w:tc>
          <w:tcPr>
            <w:tcW w:w="1894" w:type="dxa"/>
            <w:tcBorders>
              <w:right w:val="nil"/>
            </w:tcBorders>
            <w:vAlign w:val="top"/>
          </w:tcPr>
          <w:p>
            <w:pPr>
              <w:pStyle w:val="6"/>
              <w:spacing w:before="106" w:line="186" w:lineRule="auto"/>
              <w:ind w:left="733"/>
            </w:pPr>
            <w:r>
              <w:rPr>
                <w:spacing w:val="-5"/>
              </w:rPr>
              <w:t>10.79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tcBorders>
              <w:left w:val="nil"/>
            </w:tcBorders>
            <w:vAlign w:val="top"/>
          </w:tcPr>
          <w:p>
            <w:pPr>
              <w:spacing w:before="70" w:line="205" w:lineRule="auto"/>
              <w:ind w:left="672"/>
              <w:rPr>
                <w:rFonts w:ascii="仿宋" w:hAnsi="仿宋" w:eastAsia="仿宋" w:cs="仿宋"/>
                <w:sz w:val="21"/>
                <w:szCs w:val="21"/>
              </w:rPr>
            </w:pPr>
            <w:r>
              <w:rPr>
                <w:rFonts w:ascii="仿宋" w:hAnsi="仿宋" w:eastAsia="仿宋" w:cs="仿宋"/>
                <w:spacing w:val="-9"/>
                <w:sz w:val="21"/>
                <w:szCs w:val="21"/>
              </w:rPr>
              <w:t>园地</w:t>
            </w:r>
          </w:p>
        </w:tc>
        <w:tc>
          <w:tcPr>
            <w:tcW w:w="1559" w:type="dxa"/>
            <w:vAlign w:val="top"/>
          </w:tcPr>
          <w:p>
            <w:pPr>
              <w:pStyle w:val="6"/>
              <w:spacing w:before="109" w:line="186" w:lineRule="auto"/>
              <w:ind w:left="564"/>
            </w:pPr>
            <w:r>
              <w:rPr>
                <w:spacing w:val="-5"/>
              </w:rPr>
              <w:t>13.26</w:t>
            </w:r>
          </w:p>
        </w:tc>
        <w:tc>
          <w:tcPr>
            <w:tcW w:w="1559" w:type="dxa"/>
            <w:vAlign w:val="top"/>
          </w:tcPr>
          <w:p>
            <w:pPr>
              <w:pStyle w:val="6"/>
              <w:spacing w:before="109" w:line="186" w:lineRule="auto"/>
              <w:ind w:left="549"/>
            </w:pPr>
            <w:r>
              <w:rPr>
                <w:spacing w:val="-2"/>
              </w:rPr>
              <w:t>34.27</w:t>
            </w:r>
          </w:p>
        </w:tc>
        <w:tc>
          <w:tcPr>
            <w:tcW w:w="1843" w:type="dxa"/>
            <w:vAlign w:val="top"/>
          </w:tcPr>
          <w:p>
            <w:pPr>
              <w:pStyle w:val="6"/>
              <w:spacing w:before="109" w:line="186" w:lineRule="auto"/>
              <w:ind w:left="691"/>
            </w:pPr>
            <w:r>
              <w:rPr>
                <w:spacing w:val="-2"/>
              </w:rPr>
              <w:t>38.69</w:t>
            </w:r>
          </w:p>
        </w:tc>
        <w:tc>
          <w:tcPr>
            <w:tcW w:w="1894" w:type="dxa"/>
            <w:tcBorders>
              <w:right w:val="nil"/>
            </w:tcBorders>
            <w:vAlign w:val="top"/>
          </w:tcPr>
          <w:p>
            <w:pPr>
              <w:pStyle w:val="6"/>
              <w:spacing w:before="109" w:line="186" w:lineRule="auto"/>
              <w:ind w:left="765"/>
            </w:pPr>
            <w:r>
              <w:rPr>
                <w:spacing w:val="-1"/>
              </w:rPr>
              <w:t>4.72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682" w:type="dxa"/>
            <w:tcBorders>
              <w:left w:val="nil"/>
            </w:tcBorders>
            <w:vAlign w:val="top"/>
          </w:tcPr>
          <w:p>
            <w:pPr>
              <w:spacing w:before="75" w:line="203" w:lineRule="auto"/>
              <w:ind w:left="651"/>
              <w:rPr>
                <w:rFonts w:ascii="仿宋" w:hAnsi="仿宋" w:eastAsia="仿宋" w:cs="仿宋"/>
                <w:sz w:val="21"/>
                <w:szCs w:val="21"/>
              </w:rPr>
            </w:pPr>
            <w:r>
              <w:rPr>
                <w:rFonts w:ascii="仿宋" w:hAnsi="仿宋" w:eastAsia="仿宋" w:cs="仿宋"/>
                <w:spacing w:val="-4"/>
                <w:sz w:val="21"/>
                <w:szCs w:val="21"/>
              </w:rPr>
              <w:t>水体</w:t>
            </w:r>
          </w:p>
        </w:tc>
        <w:tc>
          <w:tcPr>
            <w:tcW w:w="1559" w:type="dxa"/>
            <w:vAlign w:val="top"/>
          </w:tcPr>
          <w:p>
            <w:pPr>
              <w:pStyle w:val="6"/>
              <w:spacing w:before="113" w:line="186" w:lineRule="auto"/>
              <w:ind w:left="601"/>
            </w:pPr>
            <w:r>
              <w:rPr>
                <w:spacing w:val="-3"/>
              </w:rPr>
              <w:t>3.22</w:t>
            </w:r>
          </w:p>
        </w:tc>
        <w:tc>
          <w:tcPr>
            <w:tcW w:w="1559" w:type="dxa"/>
            <w:vAlign w:val="top"/>
          </w:tcPr>
          <w:p>
            <w:pPr>
              <w:pStyle w:val="6"/>
              <w:spacing w:before="113" w:line="186" w:lineRule="auto"/>
              <w:ind w:left="601"/>
            </w:pPr>
            <w:r>
              <w:rPr>
                <w:spacing w:val="-2"/>
              </w:rPr>
              <w:t>9.08</w:t>
            </w:r>
          </w:p>
        </w:tc>
        <w:tc>
          <w:tcPr>
            <w:tcW w:w="1843" w:type="dxa"/>
            <w:vAlign w:val="top"/>
          </w:tcPr>
          <w:p>
            <w:pPr>
              <w:pStyle w:val="6"/>
              <w:spacing w:before="113" w:line="186" w:lineRule="auto"/>
              <w:ind w:left="691"/>
            </w:pPr>
            <w:r>
              <w:rPr>
                <w:spacing w:val="-2"/>
              </w:rPr>
              <w:t>35.45</w:t>
            </w:r>
          </w:p>
        </w:tc>
        <w:tc>
          <w:tcPr>
            <w:tcW w:w="1894" w:type="dxa"/>
            <w:tcBorders>
              <w:right w:val="nil"/>
            </w:tcBorders>
            <w:vAlign w:val="top"/>
          </w:tcPr>
          <w:p>
            <w:pPr>
              <w:pStyle w:val="6"/>
              <w:spacing w:before="113" w:line="186" w:lineRule="auto"/>
              <w:ind w:left="765"/>
            </w:pPr>
            <w:r>
              <w:rPr>
                <w:spacing w:val="-1"/>
              </w:rPr>
              <w:t>4.32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682" w:type="dxa"/>
            <w:tcBorders>
              <w:left w:val="nil"/>
            </w:tcBorders>
            <w:vAlign w:val="top"/>
          </w:tcPr>
          <w:p>
            <w:pPr>
              <w:spacing w:before="75" w:line="201" w:lineRule="auto"/>
              <w:ind w:left="443"/>
              <w:rPr>
                <w:rFonts w:ascii="仿宋" w:hAnsi="仿宋" w:eastAsia="仿宋" w:cs="仿宋"/>
                <w:sz w:val="21"/>
                <w:szCs w:val="21"/>
              </w:rPr>
            </w:pPr>
            <w:r>
              <w:rPr>
                <w:rFonts w:ascii="仿宋" w:hAnsi="仿宋" w:eastAsia="仿宋" w:cs="仿宋"/>
                <w:spacing w:val="-4"/>
                <w:sz w:val="21"/>
                <w:szCs w:val="21"/>
              </w:rPr>
              <w:t>其他用地</w:t>
            </w:r>
          </w:p>
        </w:tc>
        <w:tc>
          <w:tcPr>
            <w:tcW w:w="1559" w:type="dxa"/>
            <w:vAlign w:val="top"/>
          </w:tcPr>
          <w:p>
            <w:pPr>
              <w:pStyle w:val="6"/>
              <w:spacing w:before="114" w:line="186" w:lineRule="auto"/>
              <w:ind w:left="601"/>
            </w:pPr>
            <w:r>
              <w:rPr>
                <w:spacing w:val="-3"/>
              </w:rPr>
              <w:t>3.11</w:t>
            </w:r>
          </w:p>
        </w:tc>
        <w:tc>
          <w:tcPr>
            <w:tcW w:w="1559" w:type="dxa"/>
            <w:vAlign w:val="top"/>
          </w:tcPr>
          <w:p>
            <w:pPr>
              <w:pStyle w:val="6"/>
              <w:spacing w:before="114" w:line="186" w:lineRule="auto"/>
              <w:ind w:left="601"/>
            </w:pPr>
            <w:r>
              <w:rPr>
                <w:spacing w:val="-2"/>
              </w:rPr>
              <w:t>7.34</w:t>
            </w:r>
          </w:p>
        </w:tc>
        <w:tc>
          <w:tcPr>
            <w:tcW w:w="1843" w:type="dxa"/>
            <w:vAlign w:val="top"/>
          </w:tcPr>
          <w:p>
            <w:pPr>
              <w:pStyle w:val="6"/>
              <w:spacing w:before="114" w:line="186" w:lineRule="auto"/>
              <w:ind w:left="686"/>
            </w:pPr>
            <w:r>
              <w:rPr>
                <w:spacing w:val="-1"/>
              </w:rPr>
              <w:t>42.39</w:t>
            </w:r>
          </w:p>
        </w:tc>
        <w:tc>
          <w:tcPr>
            <w:tcW w:w="1894" w:type="dxa"/>
            <w:tcBorders>
              <w:right w:val="nil"/>
            </w:tcBorders>
            <w:vAlign w:val="top"/>
          </w:tcPr>
          <w:p>
            <w:pPr>
              <w:pStyle w:val="6"/>
              <w:spacing w:before="114" w:line="186" w:lineRule="auto"/>
              <w:ind w:left="771"/>
            </w:pPr>
            <w:r>
              <w:rPr>
                <w:spacing w:val="-3"/>
              </w:rPr>
              <w:t>5.17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1682" w:type="dxa"/>
            <w:tcBorders>
              <w:left w:val="nil"/>
              <w:bottom w:val="single" w:color="000000" w:sz="12" w:space="0"/>
            </w:tcBorders>
            <w:vAlign w:val="top"/>
          </w:tcPr>
          <w:p>
            <w:pPr>
              <w:spacing w:before="78" w:line="218" w:lineRule="auto"/>
              <w:ind w:left="658"/>
              <w:rPr>
                <w:rFonts w:ascii="仿宋" w:hAnsi="仿宋" w:eastAsia="仿宋" w:cs="仿宋"/>
                <w:sz w:val="21"/>
                <w:szCs w:val="21"/>
              </w:rPr>
            </w:pPr>
            <w:r>
              <w:rPr>
                <w:rFonts w:ascii="仿宋" w:hAnsi="仿宋" w:eastAsia="仿宋" w:cs="仿宋"/>
                <w:spacing w:val="-5"/>
                <w:sz w:val="21"/>
                <w:szCs w:val="21"/>
              </w:rPr>
              <w:t>合计</w:t>
            </w:r>
          </w:p>
        </w:tc>
        <w:tc>
          <w:tcPr>
            <w:tcW w:w="1559" w:type="dxa"/>
            <w:tcBorders>
              <w:bottom w:val="single" w:color="000000" w:sz="12" w:space="0"/>
            </w:tcBorders>
            <w:vAlign w:val="top"/>
          </w:tcPr>
          <w:p>
            <w:pPr>
              <w:pStyle w:val="6"/>
              <w:spacing w:before="116" w:line="186" w:lineRule="auto"/>
              <w:ind w:left="513"/>
            </w:pPr>
            <w:r>
              <w:rPr>
                <w:spacing w:val="-4"/>
              </w:rPr>
              <w:t>154.61</w:t>
            </w:r>
          </w:p>
        </w:tc>
        <w:tc>
          <w:tcPr>
            <w:tcW w:w="1559" w:type="dxa"/>
            <w:tcBorders>
              <w:bottom w:val="single" w:color="000000" w:sz="12" w:space="0"/>
            </w:tcBorders>
            <w:vAlign w:val="top"/>
          </w:tcPr>
          <w:p>
            <w:pPr>
              <w:pStyle w:val="6"/>
              <w:spacing w:before="116" w:line="186" w:lineRule="auto"/>
              <w:ind w:left="565"/>
            </w:pPr>
            <w:r>
              <w:rPr>
                <w:spacing w:val="-5"/>
              </w:rPr>
              <w:t>18.84</w:t>
            </w:r>
          </w:p>
        </w:tc>
        <w:tc>
          <w:tcPr>
            <w:tcW w:w="1843" w:type="dxa"/>
            <w:tcBorders>
              <w:bottom w:val="single" w:color="000000" w:sz="12" w:space="0"/>
            </w:tcBorders>
            <w:vAlign w:val="top"/>
          </w:tcPr>
          <w:p>
            <w:pPr>
              <w:pStyle w:val="6"/>
              <w:spacing w:before="116" w:line="186" w:lineRule="auto"/>
              <w:ind w:left="695"/>
            </w:pPr>
            <w:r>
              <w:rPr>
                <w:spacing w:val="-3"/>
              </w:rPr>
              <w:t>820.5</w:t>
            </w:r>
          </w:p>
        </w:tc>
        <w:tc>
          <w:tcPr>
            <w:tcW w:w="1894" w:type="dxa"/>
            <w:tcBorders>
              <w:bottom w:val="single" w:color="000000" w:sz="12" w:space="0"/>
              <w:right w:val="nil"/>
            </w:tcBorders>
            <w:vAlign w:val="top"/>
          </w:tcPr>
          <w:p>
            <w:pPr>
              <w:pStyle w:val="6"/>
              <w:spacing w:before="116" w:line="186" w:lineRule="auto"/>
              <w:ind w:left="680"/>
            </w:pPr>
            <w:r>
              <w:rPr>
                <w:spacing w:val="-4"/>
              </w:rPr>
              <w:t>100.00</w:t>
            </w:r>
          </w:p>
        </w:tc>
      </w:tr>
    </w:tbl>
    <w:p>
      <w:pPr>
        <w:spacing w:before="36" w:line="233" w:lineRule="auto"/>
        <w:ind w:left="522"/>
        <w:rPr>
          <w:rFonts w:ascii="宋体" w:hAnsi="宋体" w:eastAsia="宋体" w:cs="宋体"/>
          <w:sz w:val="24"/>
          <w:szCs w:val="24"/>
        </w:rPr>
      </w:pPr>
      <w:r>
        <w:rPr>
          <w:rFonts w:ascii="宋体" w:hAnsi="宋体" w:eastAsia="宋体" w:cs="宋体"/>
          <w:spacing w:val="6"/>
          <w:sz w:val="24"/>
          <w:szCs w:val="24"/>
        </w:rPr>
        <w:t>工程占地面积</w:t>
      </w:r>
      <w:r>
        <w:rPr>
          <w:rFonts w:ascii="宋体" w:hAnsi="宋体" w:eastAsia="宋体" w:cs="宋体"/>
          <w:spacing w:val="39"/>
          <w:sz w:val="24"/>
          <w:szCs w:val="24"/>
        </w:rPr>
        <w:t xml:space="preserve"> </w:t>
      </w:r>
      <w:r>
        <w:rPr>
          <w:rFonts w:ascii="Times New Roman" w:hAnsi="Times New Roman" w:eastAsia="Times New Roman" w:cs="Times New Roman"/>
          <w:spacing w:val="6"/>
          <w:sz w:val="24"/>
          <w:szCs w:val="24"/>
        </w:rPr>
        <w:t>154.61</w:t>
      </w:r>
      <w:r>
        <w:rPr>
          <w:rFonts w:ascii="Times New Roman" w:hAnsi="Times New Roman" w:eastAsia="Times New Roman" w:cs="Times New Roman"/>
          <w:sz w:val="24"/>
          <w:szCs w:val="24"/>
        </w:rPr>
        <w:t>hm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4"/>
          <w:szCs w:val="24"/>
        </w:rPr>
        <w:t xml:space="preserve">，其中永久占地面积 </w:t>
      </w:r>
      <w:r>
        <w:rPr>
          <w:rFonts w:ascii="Times New Roman" w:hAnsi="Times New Roman" w:eastAsia="Times New Roman" w:cs="Times New Roman"/>
          <w:spacing w:val="6"/>
          <w:sz w:val="24"/>
          <w:szCs w:val="24"/>
        </w:rPr>
        <w:t>82</w:t>
      </w:r>
      <w:r>
        <w:rPr>
          <w:rFonts w:ascii="Times New Roman" w:hAnsi="Times New Roman" w:eastAsia="Times New Roman" w:cs="Times New Roman"/>
          <w:spacing w:val="5"/>
          <w:sz w:val="24"/>
          <w:szCs w:val="24"/>
        </w:rPr>
        <w:t>.48</w:t>
      </w:r>
      <w:r>
        <w:rPr>
          <w:rFonts w:ascii="Times New Roman" w:hAnsi="Times New Roman" w:eastAsia="Times New Roman" w:cs="Times New Roman"/>
          <w:sz w:val="24"/>
          <w:szCs w:val="24"/>
        </w:rPr>
        <w:t>hm</w:t>
      </w:r>
      <w:r>
        <w:rPr>
          <w:rFonts w:ascii="Times New Roman" w:hAnsi="Times New Roman" w:eastAsia="Times New Roman" w:cs="Times New Roman"/>
          <w:spacing w:val="5"/>
          <w:position w:val="8"/>
          <w:sz w:val="15"/>
          <w:szCs w:val="15"/>
        </w:rPr>
        <w:t xml:space="preserve">2 </w:t>
      </w:r>
      <w:r>
        <w:rPr>
          <w:rFonts w:ascii="宋体" w:hAnsi="宋体" w:eastAsia="宋体" w:cs="宋体"/>
          <w:spacing w:val="5"/>
          <w:sz w:val="24"/>
          <w:szCs w:val="24"/>
        </w:rPr>
        <w:t>，临时占地面积</w:t>
      </w:r>
    </w:p>
    <w:p>
      <w:pPr>
        <w:spacing w:line="233" w:lineRule="auto"/>
        <w:rPr>
          <w:rFonts w:ascii="宋体" w:hAnsi="宋体" w:eastAsia="宋体" w:cs="宋体"/>
          <w:sz w:val="24"/>
          <w:szCs w:val="24"/>
        </w:rPr>
        <w:sectPr>
          <w:headerReference r:id="rId380" w:type="default"/>
          <w:footerReference r:id="rId381" w:type="default"/>
          <w:pgSz w:w="11907" w:h="16839"/>
          <w:pgMar w:top="1156" w:right="1582" w:bottom="1374" w:left="1770" w:header="881" w:footer="1210" w:gutter="0"/>
        </w:sectPr>
      </w:pPr>
    </w:p>
    <w:p>
      <w:pPr>
        <w:spacing w:before="319" w:line="467" w:lineRule="exact"/>
        <w:ind w:left="38"/>
        <w:rPr>
          <w:rFonts w:ascii="宋体" w:hAnsi="宋体" w:eastAsia="宋体" w:cs="宋体"/>
          <w:sz w:val="24"/>
          <w:szCs w:val="24"/>
        </w:rPr>
      </w:pPr>
      <w:r>
        <w:rPr>
          <w:rFonts w:ascii="Times New Roman" w:hAnsi="Times New Roman" w:eastAsia="Times New Roman" w:cs="Times New Roman"/>
          <w:spacing w:val="-7"/>
          <w:position w:val="16"/>
          <w:sz w:val="24"/>
          <w:szCs w:val="24"/>
        </w:rPr>
        <w:t>72.13hm</w:t>
      </w:r>
      <w:r>
        <w:rPr>
          <w:rFonts w:ascii="Times New Roman" w:hAnsi="Times New Roman" w:eastAsia="Times New Roman" w:cs="Times New Roman"/>
          <w:spacing w:val="-7"/>
          <w:position w:val="24"/>
          <w:sz w:val="15"/>
          <w:szCs w:val="15"/>
        </w:rPr>
        <w:t>2</w:t>
      </w:r>
      <w:r>
        <w:rPr>
          <w:rFonts w:ascii="宋体" w:hAnsi="宋体" w:eastAsia="宋体" w:cs="宋体"/>
          <w:spacing w:val="-7"/>
          <w:position w:val="16"/>
          <w:sz w:val="24"/>
          <w:szCs w:val="24"/>
        </w:rPr>
        <w:t>。项目占用林地</w:t>
      </w:r>
      <w:r>
        <w:rPr>
          <w:rFonts w:ascii="宋体" w:hAnsi="宋体" w:eastAsia="宋体" w:cs="宋体"/>
          <w:spacing w:val="-53"/>
          <w:position w:val="16"/>
          <w:sz w:val="24"/>
          <w:szCs w:val="24"/>
        </w:rPr>
        <w:t xml:space="preserve"> </w:t>
      </w:r>
      <w:r>
        <w:rPr>
          <w:rFonts w:ascii="Times New Roman" w:hAnsi="Times New Roman" w:eastAsia="Times New Roman" w:cs="Times New Roman"/>
          <w:spacing w:val="-7"/>
          <w:position w:val="16"/>
          <w:sz w:val="24"/>
          <w:szCs w:val="24"/>
        </w:rPr>
        <w:t>87.53hm</w:t>
      </w:r>
      <w:r>
        <w:rPr>
          <w:rFonts w:ascii="Times New Roman" w:hAnsi="Times New Roman" w:eastAsia="Times New Roman" w:cs="Times New Roman"/>
          <w:spacing w:val="-7"/>
          <w:position w:val="24"/>
          <w:sz w:val="15"/>
          <w:szCs w:val="15"/>
        </w:rPr>
        <w:t>2</w:t>
      </w:r>
      <w:r>
        <w:rPr>
          <w:rFonts w:ascii="宋体" w:hAnsi="宋体" w:eastAsia="宋体" w:cs="宋体"/>
          <w:spacing w:val="-7"/>
          <w:position w:val="16"/>
          <w:sz w:val="24"/>
          <w:szCs w:val="24"/>
        </w:rPr>
        <w:t>，其中永久占用</w:t>
      </w:r>
      <w:r>
        <w:rPr>
          <w:rFonts w:ascii="宋体" w:hAnsi="宋体" w:eastAsia="宋体" w:cs="宋体"/>
          <w:spacing w:val="-55"/>
          <w:position w:val="16"/>
          <w:sz w:val="24"/>
          <w:szCs w:val="24"/>
        </w:rPr>
        <w:t xml:space="preserve"> </w:t>
      </w:r>
      <w:r>
        <w:rPr>
          <w:rFonts w:ascii="Times New Roman" w:hAnsi="Times New Roman" w:eastAsia="Times New Roman" w:cs="Times New Roman"/>
          <w:spacing w:val="-7"/>
          <w:position w:val="16"/>
          <w:sz w:val="24"/>
          <w:szCs w:val="24"/>
        </w:rPr>
        <w:t>57.24hm</w:t>
      </w:r>
      <w:r>
        <w:rPr>
          <w:rFonts w:ascii="Times New Roman" w:hAnsi="Times New Roman" w:eastAsia="Times New Roman" w:cs="Times New Roman"/>
          <w:spacing w:val="-7"/>
          <w:position w:val="24"/>
          <w:sz w:val="15"/>
          <w:szCs w:val="15"/>
        </w:rPr>
        <w:t>2</w:t>
      </w:r>
      <w:r>
        <w:rPr>
          <w:rFonts w:ascii="宋体" w:hAnsi="宋体" w:eastAsia="宋体" w:cs="宋体"/>
          <w:spacing w:val="-11"/>
          <w:position w:val="16"/>
          <w:sz w:val="24"/>
          <w:szCs w:val="24"/>
        </w:rPr>
        <w:t>，临时占用</w:t>
      </w:r>
      <w:r>
        <w:rPr>
          <w:rFonts w:ascii="宋体" w:hAnsi="宋体" w:eastAsia="宋体" w:cs="宋体"/>
          <w:spacing w:val="-58"/>
          <w:position w:val="16"/>
          <w:sz w:val="24"/>
          <w:szCs w:val="24"/>
        </w:rPr>
        <w:t xml:space="preserve"> </w:t>
      </w:r>
      <w:r>
        <w:rPr>
          <w:rFonts w:ascii="Times New Roman" w:hAnsi="Times New Roman" w:eastAsia="Times New Roman" w:cs="Times New Roman"/>
          <w:spacing w:val="-11"/>
          <w:position w:val="16"/>
          <w:sz w:val="24"/>
          <w:szCs w:val="24"/>
        </w:rPr>
        <w:t>30.29hm</w:t>
      </w:r>
      <w:r>
        <w:rPr>
          <w:rFonts w:ascii="Times New Roman" w:hAnsi="Times New Roman" w:eastAsia="Times New Roman" w:cs="Times New Roman"/>
          <w:spacing w:val="6"/>
          <w:position w:val="24"/>
          <w:sz w:val="15"/>
          <w:szCs w:val="15"/>
        </w:rPr>
        <w:t>2</w:t>
      </w:r>
      <w:r>
        <w:rPr>
          <w:rFonts w:ascii="宋体" w:hAnsi="宋体" w:eastAsia="宋体" w:cs="宋体"/>
          <w:spacing w:val="6"/>
          <w:position w:val="16"/>
          <w:sz w:val="24"/>
          <w:szCs w:val="24"/>
        </w:rPr>
        <w:t>。</w:t>
      </w:r>
    </w:p>
    <w:p>
      <w:pPr>
        <w:spacing w:line="218" w:lineRule="auto"/>
        <w:ind w:left="43"/>
        <w:rPr>
          <w:rFonts w:ascii="宋体" w:hAnsi="宋体" w:eastAsia="宋体" w:cs="宋体"/>
          <w:sz w:val="24"/>
          <w:szCs w:val="24"/>
        </w:rPr>
      </w:pPr>
      <w:r>
        <w:rPr>
          <w:rFonts w:ascii="宋体" w:hAnsi="宋体" w:eastAsia="宋体" w:cs="宋体"/>
          <w:spacing w:val="-2"/>
          <w:sz w:val="24"/>
          <w:szCs w:val="24"/>
        </w:rPr>
        <w:t>项目占地占比评价区比例较小，不会明显改变评价区土地利用格局。</w:t>
      </w:r>
    </w:p>
    <w:p>
      <w:pPr>
        <w:spacing w:before="184" w:line="359" w:lineRule="auto"/>
        <w:ind w:left="38" w:right="86" w:firstLine="482"/>
        <w:jc w:val="both"/>
        <w:rPr>
          <w:rFonts w:ascii="宋体" w:hAnsi="宋体" w:eastAsia="宋体" w:cs="宋体"/>
          <w:sz w:val="24"/>
          <w:szCs w:val="24"/>
        </w:rPr>
      </w:pPr>
      <w:r>
        <w:rPr>
          <w:rFonts w:ascii="宋体" w:hAnsi="宋体" w:eastAsia="宋体" w:cs="宋体"/>
          <w:spacing w:val="-7"/>
          <w:sz w:val="24"/>
          <w:szCs w:val="24"/>
        </w:rPr>
        <w:t>永久占用对对评价区原有的土地利用形态与方式造成了一定的影响， 临时工</w:t>
      </w:r>
      <w:r>
        <w:rPr>
          <w:rFonts w:ascii="宋体" w:hAnsi="宋体" w:eastAsia="宋体" w:cs="宋体"/>
          <w:spacing w:val="12"/>
          <w:sz w:val="24"/>
          <w:szCs w:val="24"/>
        </w:rPr>
        <w:t xml:space="preserve"> </w:t>
      </w:r>
      <w:r>
        <w:rPr>
          <w:rFonts w:ascii="宋体" w:hAnsi="宋体" w:eastAsia="宋体" w:cs="宋体"/>
          <w:spacing w:val="-9"/>
          <w:sz w:val="24"/>
          <w:szCs w:val="24"/>
        </w:rPr>
        <w:t>程占地占地在施工结束后， 及时进行绿化恢复和土地复垦，</w:t>
      </w:r>
      <w:r>
        <w:rPr>
          <w:rFonts w:ascii="宋体" w:hAnsi="宋体" w:eastAsia="宋体" w:cs="宋体"/>
          <w:spacing w:val="-10"/>
          <w:sz w:val="24"/>
          <w:szCs w:val="24"/>
        </w:rPr>
        <w:t xml:space="preserve"> 不会改变土地利用的</w:t>
      </w:r>
      <w:r>
        <w:rPr>
          <w:rFonts w:ascii="宋体" w:hAnsi="宋体" w:eastAsia="宋体" w:cs="宋体"/>
          <w:sz w:val="24"/>
          <w:szCs w:val="24"/>
        </w:rPr>
        <w:t xml:space="preserve"> </w:t>
      </w:r>
      <w:r>
        <w:rPr>
          <w:rFonts w:ascii="宋体" w:hAnsi="宋体" w:eastAsia="宋体" w:cs="宋体"/>
          <w:spacing w:val="-10"/>
          <w:sz w:val="24"/>
          <w:szCs w:val="24"/>
        </w:rPr>
        <w:t>类型。总的来说，</w:t>
      </w:r>
      <w:r>
        <w:rPr>
          <w:rFonts w:ascii="宋体" w:hAnsi="宋体" w:eastAsia="宋体" w:cs="宋体"/>
          <w:spacing w:val="33"/>
          <w:sz w:val="24"/>
          <w:szCs w:val="24"/>
        </w:rPr>
        <w:t xml:space="preserve"> </w:t>
      </w:r>
      <w:r>
        <w:rPr>
          <w:rFonts w:ascii="宋体" w:hAnsi="宋体" w:eastAsia="宋体" w:cs="宋体"/>
          <w:spacing w:val="-10"/>
          <w:sz w:val="24"/>
          <w:szCs w:val="24"/>
        </w:rPr>
        <w:t>工程建设对评价区的土地利</w:t>
      </w:r>
      <w:r>
        <w:rPr>
          <w:rFonts w:ascii="宋体" w:hAnsi="宋体" w:eastAsia="宋体" w:cs="宋体"/>
          <w:spacing w:val="-11"/>
          <w:sz w:val="24"/>
          <w:szCs w:val="24"/>
        </w:rPr>
        <w:t>用有一定影响， 但并不会对评价区</w:t>
      </w:r>
    </w:p>
    <w:p>
      <w:pPr>
        <w:spacing w:line="219" w:lineRule="auto"/>
        <w:ind w:left="59"/>
        <w:rPr>
          <w:rFonts w:ascii="宋体" w:hAnsi="宋体" w:eastAsia="宋体" w:cs="宋体"/>
          <w:sz w:val="24"/>
          <w:szCs w:val="24"/>
        </w:rPr>
      </w:pPr>
      <w:r>
        <w:rPr>
          <w:rFonts w:ascii="宋体" w:hAnsi="宋体" w:eastAsia="宋体" w:cs="宋体"/>
          <w:spacing w:val="-5"/>
          <w:sz w:val="24"/>
          <w:szCs w:val="24"/>
        </w:rPr>
        <w:t>的土地利用格局产生大的改变。</w:t>
      </w:r>
    </w:p>
    <w:p>
      <w:pPr>
        <w:spacing w:line="431" w:lineRule="auto"/>
        <w:rPr>
          <w:rFonts w:ascii="Arial"/>
          <w:sz w:val="21"/>
        </w:rPr>
      </w:pPr>
    </w:p>
    <w:p>
      <w:pPr>
        <w:pStyle w:val="2"/>
        <w:spacing w:before="78" w:line="233" w:lineRule="auto"/>
        <w:ind w:left="36"/>
        <w:outlineLvl w:val="2"/>
        <w:rPr>
          <w:sz w:val="24"/>
          <w:szCs w:val="24"/>
        </w:rPr>
      </w:pPr>
      <w:r>
        <w:rPr>
          <w:rFonts w:ascii="Times New Roman" w:hAnsi="Times New Roman" w:eastAsia="Times New Roman" w:cs="Times New Roman"/>
          <w:b/>
          <w:bCs/>
          <w:sz w:val="24"/>
          <w:szCs w:val="24"/>
        </w:rPr>
        <w:t xml:space="preserve">4.4.2 </w:t>
      </w:r>
      <w:r>
        <w:rPr>
          <w:sz w:val="24"/>
          <w:szCs w:val="24"/>
          <w14:textOutline w14:w="4354" w14:cap="flat" w14:cmpd="sng">
            <w14:solidFill>
              <w14:srgbClr w14:val="000000"/>
            </w14:solidFill>
            <w14:prstDash w14:val="solid"/>
            <w14:miter w14:val="0"/>
          </w14:textOutline>
        </w:rPr>
        <w:t>对公益林的影响分析</w:t>
      </w:r>
    </w:p>
    <w:p>
      <w:pPr>
        <w:spacing w:before="199" w:line="359" w:lineRule="auto"/>
        <w:ind w:left="45" w:right="85" w:firstLine="477"/>
        <w:jc w:val="both"/>
        <w:rPr>
          <w:rFonts w:ascii="宋体" w:hAnsi="宋体" w:eastAsia="宋体" w:cs="宋体"/>
          <w:sz w:val="24"/>
          <w:szCs w:val="24"/>
        </w:rPr>
      </w:pPr>
      <w:r>
        <w:rPr>
          <w:rFonts w:ascii="宋体" w:hAnsi="宋体" w:eastAsia="宋体" w:cs="宋体"/>
          <w:spacing w:val="-1"/>
          <w:sz w:val="24"/>
          <w:szCs w:val="24"/>
        </w:rPr>
        <w:t xml:space="preserve">项目占用公益林地面积 </w:t>
      </w:r>
      <w:r>
        <w:rPr>
          <w:rFonts w:ascii="Times New Roman" w:hAnsi="Times New Roman" w:eastAsia="Times New Roman" w:cs="Times New Roman"/>
          <w:spacing w:val="-1"/>
          <w:sz w:val="24"/>
          <w:szCs w:val="24"/>
        </w:rPr>
        <w:t>21.7hm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1"/>
          <w:sz w:val="24"/>
          <w:szCs w:val="24"/>
        </w:rPr>
        <w:t>，其中：国家二级公益</w:t>
      </w:r>
      <w:r>
        <w:rPr>
          <w:rFonts w:ascii="宋体" w:hAnsi="宋体" w:eastAsia="宋体" w:cs="宋体"/>
          <w:spacing w:val="-2"/>
          <w:sz w:val="24"/>
          <w:szCs w:val="24"/>
        </w:rPr>
        <w:t xml:space="preserve">林地面积 </w:t>
      </w:r>
      <w:r>
        <w:rPr>
          <w:rFonts w:ascii="Times New Roman" w:hAnsi="Times New Roman" w:eastAsia="Times New Roman" w:cs="Times New Roman"/>
          <w:spacing w:val="-2"/>
          <w:sz w:val="24"/>
          <w:szCs w:val="24"/>
        </w:rPr>
        <w:t>7.2812hm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position w:val="8"/>
          <w:sz w:val="15"/>
          <w:szCs w:val="15"/>
        </w:rPr>
        <w:t xml:space="preserve"> </w:t>
      </w:r>
      <w:r>
        <w:rPr>
          <w:rFonts w:ascii="宋体" w:hAnsi="宋体" w:eastAsia="宋体" w:cs="宋体"/>
          <w:spacing w:val="-3"/>
          <w:sz w:val="24"/>
          <w:szCs w:val="24"/>
        </w:rPr>
        <w:t>（永久占用</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6.7437hm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，临时占用</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0.5375hm</w:t>
      </w:r>
      <w:r>
        <w:rPr>
          <w:rFonts w:ascii="Times New Roman" w:hAnsi="Times New Roman" w:eastAsia="Times New Roman" w:cs="Times New Roman"/>
          <w:spacing w:val="-3"/>
          <w:position w:val="8"/>
          <w:sz w:val="15"/>
          <w:szCs w:val="15"/>
        </w:rPr>
        <w:t>2</w:t>
      </w:r>
      <w:r>
        <w:rPr>
          <w:rFonts w:ascii="宋体" w:hAnsi="宋体" w:eastAsia="宋体" w:cs="宋体"/>
          <w:spacing w:val="-55"/>
          <w:sz w:val="24"/>
          <w:szCs w:val="24"/>
        </w:rPr>
        <w:t>），</w:t>
      </w:r>
      <w:r>
        <w:rPr>
          <w:rFonts w:ascii="宋体" w:hAnsi="宋体" w:eastAsia="宋体" w:cs="宋体"/>
          <w:spacing w:val="-3"/>
          <w:sz w:val="24"/>
          <w:szCs w:val="24"/>
        </w:rPr>
        <w:t>省级公益林面积</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14.4188hm</w:t>
      </w:r>
      <w:r>
        <w:rPr>
          <w:rFonts w:ascii="Times New Roman" w:hAnsi="Times New Roman" w:eastAsia="Times New Roman" w:cs="Times New Roman"/>
          <w:spacing w:val="-3"/>
          <w:position w:val="8"/>
          <w:sz w:val="15"/>
          <w:szCs w:val="15"/>
        </w:rPr>
        <w:t>2</w:t>
      </w:r>
      <w:r>
        <w:rPr>
          <w:rFonts w:ascii="宋体" w:hAnsi="宋体" w:eastAsia="宋体" w:cs="宋体"/>
          <w:spacing w:val="-3"/>
          <w:sz w:val="24"/>
          <w:szCs w:val="24"/>
        </w:rPr>
        <w:t>（永</w:t>
      </w:r>
    </w:p>
    <w:p>
      <w:pPr>
        <w:spacing w:line="233" w:lineRule="auto"/>
        <w:ind w:left="42"/>
        <w:rPr>
          <w:rFonts w:ascii="宋体" w:hAnsi="宋体" w:eastAsia="宋体" w:cs="宋体"/>
          <w:sz w:val="24"/>
          <w:szCs w:val="24"/>
        </w:rPr>
      </w:pPr>
      <w:r>
        <w:rPr>
          <w:rFonts w:ascii="宋体" w:hAnsi="宋体" w:eastAsia="宋体" w:cs="宋体"/>
          <w:spacing w:val="-5"/>
          <w:sz w:val="24"/>
          <w:szCs w:val="24"/>
        </w:rPr>
        <w:t>久占用</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13.7397hm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5"/>
          <w:sz w:val="24"/>
          <w:szCs w:val="24"/>
        </w:rPr>
        <w:t>，临时占用</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w:t>
      </w:r>
      <w:r>
        <w:rPr>
          <w:rFonts w:ascii="Times New Roman" w:hAnsi="Times New Roman" w:eastAsia="Times New Roman" w:cs="Times New Roman"/>
          <w:spacing w:val="-6"/>
          <w:sz w:val="24"/>
          <w:szCs w:val="24"/>
        </w:rPr>
        <w:t>6791hm</w:t>
      </w:r>
      <w:r>
        <w:rPr>
          <w:rFonts w:ascii="Times New Roman" w:hAnsi="Times New Roman" w:eastAsia="Times New Roman" w:cs="Times New Roman"/>
          <w:spacing w:val="-6"/>
          <w:position w:val="8"/>
          <w:sz w:val="15"/>
          <w:szCs w:val="15"/>
        </w:rPr>
        <w:t>2</w:t>
      </w:r>
      <w:r>
        <w:rPr>
          <w:rFonts w:ascii="宋体" w:hAnsi="宋体" w:eastAsia="宋体" w:cs="宋体"/>
          <w:spacing w:val="-6"/>
          <w:sz w:val="24"/>
          <w:szCs w:val="24"/>
        </w:rPr>
        <w:t>）。</w:t>
      </w:r>
    </w:p>
    <w:p>
      <w:pPr>
        <w:spacing w:before="165" w:line="359" w:lineRule="auto"/>
        <w:ind w:left="23" w:firstLine="495"/>
        <w:jc w:val="both"/>
        <w:rPr>
          <w:rFonts w:ascii="宋体" w:hAnsi="宋体" w:eastAsia="宋体" w:cs="宋体"/>
          <w:sz w:val="24"/>
          <w:szCs w:val="24"/>
        </w:rPr>
      </w:pPr>
      <w:r>
        <w:rPr>
          <w:rFonts w:ascii="宋体" w:hAnsi="宋体" w:eastAsia="宋体" w:cs="宋体"/>
          <w:spacing w:val="-7"/>
          <w:sz w:val="24"/>
          <w:szCs w:val="24"/>
        </w:rPr>
        <w:t xml:space="preserve">根据现场调查， 占用的国家和省级公益林主要为云南松林和含云南松和珍珠 </w:t>
      </w:r>
      <w:r>
        <w:rPr>
          <w:rFonts w:ascii="宋体" w:hAnsi="宋体" w:eastAsia="宋体" w:cs="宋体"/>
          <w:spacing w:val="-4"/>
          <w:sz w:val="24"/>
          <w:szCs w:val="24"/>
        </w:rPr>
        <w:t>花的中草草丛稀树灌木草丛，</w:t>
      </w:r>
      <w:r>
        <w:rPr>
          <w:rFonts w:ascii="宋体" w:hAnsi="宋体" w:eastAsia="宋体" w:cs="宋体"/>
          <w:spacing w:val="60"/>
          <w:sz w:val="24"/>
          <w:szCs w:val="24"/>
        </w:rPr>
        <w:t xml:space="preserve"> </w:t>
      </w:r>
      <w:r>
        <w:rPr>
          <w:rFonts w:ascii="宋体" w:hAnsi="宋体" w:eastAsia="宋体" w:cs="宋体"/>
          <w:spacing w:val="-4"/>
          <w:sz w:val="24"/>
          <w:szCs w:val="24"/>
        </w:rPr>
        <w:t>受影响的主要物种为云南松</w:t>
      </w:r>
      <w:r>
        <w:rPr>
          <w:rFonts w:ascii="宋体" w:hAnsi="宋体" w:eastAsia="宋体" w:cs="宋体"/>
          <w:spacing w:val="-66"/>
          <w:sz w:val="24"/>
          <w:szCs w:val="24"/>
        </w:rPr>
        <w:t xml:space="preserve"> </w:t>
      </w:r>
      <w:r>
        <w:rPr>
          <w:rFonts w:ascii="Times New Roman" w:hAnsi="Times New Roman" w:eastAsia="Times New Roman" w:cs="Times New Roman"/>
          <w:i/>
          <w:iCs/>
          <w:spacing w:val="-4"/>
          <w:sz w:val="24"/>
          <w:szCs w:val="24"/>
        </w:rPr>
        <w:t>Pinus</w:t>
      </w:r>
      <w:r>
        <w:rPr>
          <w:rFonts w:ascii="Times New Roman" w:hAnsi="Times New Roman" w:eastAsia="Times New Roman" w:cs="Times New Roman"/>
          <w:i/>
          <w:iCs/>
          <w:spacing w:val="-32"/>
          <w:sz w:val="24"/>
          <w:szCs w:val="24"/>
        </w:rPr>
        <w:t xml:space="preserve"> </w:t>
      </w:r>
      <w:r>
        <w:rPr>
          <w:rFonts w:ascii="Times New Roman" w:hAnsi="Times New Roman" w:eastAsia="Times New Roman" w:cs="Times New Roman"/>
          <w:i/>
          <w:iCs/>
          <w:spacing w:val="-4"/>
          <w:sz w:val="24"/>
          <w:szCs w:val="24"/>
        </w:rPr>
        <w:t>yunnanen</w:t>
      </w:r>
      <w:r>
        <w:rPr>
          <w:rFonts w:ascii="Times New Roman" w:hAnsi="Times New Roman" w:eastAsia="Times New Roman" w:cs="Times New Roman"/>
          <w:i/>
          <w:iCs/>
          <w:spacing w:val="-5"/>
          <w:sz w:val="24"/>
          <w:szCs w:val="24"/>
        </w:rPr>
        <w:t>sis</w:t>
      </w:r>
      <w:r>
        <w:rPr>
          <w:rFonts w:ascii="宋体" w:hAnsi="宋体" w:eastAsia="宋体" w:cs="宋体"/>
          <w:spacing w:val="-5"/>
          <w:sz w:val="24"/>
          <w:szCs w:val="24"/>
        </w:rPr>
        <w:t>、云</w:t>
      </w:r>
      <w:r>
        <w:rPr>
          <w:rFonts w:ascii="宋体" w:hAnsi="宋体" w:eastAsia="宋体" w:cs="宋体"/>
          <w:sz w:val="24"/>
          <w:szCs w:val="24"/>
        </w:rPr>
        <w:t xml:space="preserve"> </w:t>
      </w:r>
      <w:r>
        <w:rPr>
          <w:rFonts w:ascii="宋体" w:hAnsi="宋体" w:eastAsia="宋体" w:cs="宋体"/>
          <w:spacing w:val="-1"/>
          <w:sz w:val="24"/>
          <w:szCs w:val="24"/>
        </w:rPr>
        <w:t>南油杉</w:t>
      </w:r>
      <w:r>
        <w:rPr>
          <w:rFonts w:ascii="宋体" w:hAnsi="宋体" w:eastAsia="宋体" w:cs="宋体"/>
          <w:spacing w:val="33"/>
          <w:sz w:val="24"/>
          <w:szCs w:val="24"/>
        </w:rPr>
        <w:t xml:space="preserve"> </w:t>
      </w:r>
      <w:r>
        <w:rPr>
          <w:rFonts w:ascii="Times New Roman" w:hAnsi="Times New Roman" w:eastAsia="Times New Roman" w:cs="Times New Roman"/>
          <w:i/>
          <w:iCs/>
          <w:spacing w:val="-1"/>
          <w:sz w:val="24"/>
          <w:szCs w:val="24"/>
        </w:rPr>
        <w:t xml:space="preserve">Keteleeria  evelyniana </w:t>
      </w:r>
      <w:r>
        <w:rPr>
          <w:rFonts w:ascii="宋体" w:hAnsi="宋体" w:eastAsia="宋体" w:cs="宋体"/>
          <w:spacing w:val="-1"/>
          <w:sz w:val="24"/>
          <w:szCs w:val="24"/>
        </w:rPr>
        <w:t>、</w:t>
      </w:r>
      <w:r>
        <w:rPr>
          <w:rFonts w:ascii="宋体" w:hAnsi="宋体" w:eastAsia="宋体" w:cs="宋体"/>
          <w:spacing w:val="-70"/>
          <w:sz w:val="24"/>
          <w:szCs w:val="24"/>
        </w:rPr>
        <w:t xml:space="preserve"> </w:t>
      </w:r>
      <w:r>
        <w:rPr>
          <w:rFonts w:ascii="宋体" w:hAnsi="宋体" w:eastAsia="宋体" w:cs="宋体"/>
          <w:spacing w:val="-1"/>
          <w:sz w:val="24"/>
          <w:szCs w:val="24"/>
        </w:rPr>
        <w:t>滇</w:t>
      </w:r>
      <w:r>
        <w:rPr>
          <w:rFonts w:ascii="宋体" w:hAnsi="宋体" w:eastAsia="宋体" w:cs="宋体"/>
          <w:spacing w:val="-69"/>
          <w:sz w:val="24"/>
          <w:szCs w:val="24"/>
        </w:rPr>
        <w:t xml:space="preserve"> </w:t>
      </w:r>
      <w:r>
        <w:rPr>
          <w:rFonts w:ascii="宋体" w:hAnsi="宋体" w:eastAsia="宋体" w:cs="宋体"/>
          <w:spacing w:val="-1"/>
          <w:sz w:val="24"/>
          <w:szCs w:val="24"/>
        </w:rPr>
        <w:t>青</w:t>
      </w:r>
      <w:r>
        <w:rPr>
          <w:rFonts w:ascii="宋体" w:hAnsi="宋体" w:eastAsia="宋体" w:cs="宋体"/>
          <w:spacing w:val="-40"/>
          <w:sz w:val="24"/>
          <w:szCs w:val="24"/>
        </w:rPr>
        <w:t xml:space="preserve"> </w:t>
      </w:r>
      <w:r>
        <w:rPr>
          <w:rFonts w:ascii="宋体" w:hAnsi="宋体" w:eastAsia="宋体" w:cs="宋体"/>
          <w:spacing w:val="-1"/>
          <w:sz w:val="24"/>
          <w:szCs w:val="24"/>
        </w:rPr>
        <w:t>冈</w:t>
      </w:r>
      <w:r>
        <w:rPr>
          <w:rFonts w:ascii="宋体" w:hAnsi="宋体" w:eastAsia="宋体" w:cs="宋体"/>
          <w:spacing w:val="55"/>
          <w:sz w:val="24"/>
          <w:szCs w:val="24"/>
        </w:rPr>
        <w:t xml:space="preserve"> </w:t>
      </w:r>
      <w:r>
        <w:rPr>
          <w:rFonts w:ascii="Times New Roman" w:hAnsi="Times New Roman" w:eastAsia="Times New Roman" w:cs="Times New Roman"/>
          <w:i/>
          <w:iCs/>
          <w:spacing w:val="-1"/>
          <w:sz w:val="24"/>
          <w:szCs w:val="24"/>
        </w:rPr>
        <w:t>Cyclobalanopsis  glaucoides</w:t>
      </w:r>
      <w:r>
        <w:rPr>
          <w:rFonts w:ascii="Times New Roman" w:hAnsi="Times New Roman" w:eastAsia="Times New Roman" w:cs="Times New Roman"/>
          <w:i/>
          <w:iCs/>
          <w:spacing w:val="-2"/>
          <w:sz w:val="24"/>
          <w:szCs w:val="24"/>
        </w:rPr>
        <w:t xml:space="preserve"> </w:t>
      </w:r>
      <w:r>
        <w:rPr>
          <w:rFonts w:ascii="宋体" w:hAnsi="宋体" w:eastAsia="宋体" w:cs="宋体"/>
          <w:spacing w:val="-2"/>
          <w:sz w:val="24"/>
          <w:szCs w:val="24"/>
        </w:rPr>
        <w:t>、</w:t>
      </w:r>
      <w:r>
        <w:rPr>
          <w:rFonts w:ascii="宋体" w:hAnsi="宋体" w:eastAsia="宋体" w:cs="宋体"/>
          <w:spacing w:val="-62"/>
          <w:sz w:val="24"/>
          <w:szCs w:val="24"/>
        </w:rPr>
        <w:t xml:space="preserve"> </w:t>
      </w:r>
      <w:r>
        <w:rPr>
          <w:rFonts w:ascii="宋体" w:hAnsi="宋体" w:eastAsia="宋体" w:cs="宋体"/>
          <w:spacing w:val="-2"/>
          <w:sz w:val="24"/>
          <w:szCs w:val="24"/>
        </w:rPr>
        <w:t>高</w:t>
      </w:r>
      <w:r>
        <w:rPr>
          <w:rFonts w:ascii="宋体" w:hAnsi="宋体" w:eastAsia="宋体" w:cs="宋体"/>
          <w:spacing w:val="-49"/>
          <w:sz w:val="24"/>
          <w:szCs w:val="24"/>
        </w:rPr>
        <w:t xml:space="preserve"> </w:t>
      </w:r>
      <w:r>
        <w:rPr>
          <w:rFonts w:ascii="宋体" w:hAnsi="宋体" w:eastAsia="宋体" w:cs="宋体"/>
          <w:spacing w:val="-2"/>
          <w:sz w:val="24"/>
          <w:szCs w:val="24"/>
        </w:rPr>
        <w:t>山</w:t>
      </w:r>
      <w:r>
        <w:rPr>
          <w:rFonts w:ascii="宋体" w:hAnsi="宋体" w:eastAsia="宋体" w:cs="宋体"/>
          <w:spacing w:val="-71"/>
          <w:sz w:val="24"/>
          <w:szCs w:val="24"/>
        </w:rPr>
        <w:t xml:space="preserve"> </w:t>
      </w:r>
      <w:r>
        <w:rPr>
          <w:rFonts w:ascii="宋体" w:hAnsi="宋体" w:eastAsia="宋体" w:cs="宋体"/>
          <w:spacing w:val="-2"/>
          <w:sz w:val="24"/>
          <w:szCs w:val="24"/>
        </w:rPr>
        <w:t xml:space="preserve">锥 </w:t>
      </w:r>
      <w:r>
        <w:rPr>
          <w:rFonts w:ascii="Times New Roman" w:hAnsi="Times New Roman" w:eastAsia="Times New Roman" w:cs="Times New Roman"/>
          <w:i/>
          <w:iCs/>
          <w:sz w:val="24"/>
          <w:szCs w:val="24"/>
        </w:rPr>
        <w:t>Castanopsis</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z w:val="24"/>
          <w:szCs w:val="24"/>
        </w:rPr>
        <w:t>delavayi</w:t>
      </w:r>
      <w:r>
        <w:rPr>
          <w:rFonts w:ascii="宋体" w:hAnsi="宋体" w:eastAsia="宋体" w:cs="宋体"/>
          <w:sz w:val="24"/>
          <w:szCs w:val="24"/>
        </w:rPr>
        <w:t>、尼泊尔桤木</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Alnus</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z w:val="24"/>
          <w:szCs w:val="24"/>
        </w:rPr>
        <w:t>nepalensis</w:t>
      </w:r>
      <w:r>
        <w:rPr>
          <w:rFonts w:ascii="宋体" w:hAnsi="宋体" w:eastAsia="宋体" w:cs="宋体"/>
          <w:spacing w:val="-1"/>
          <w:sz w:val="24"/>
          <w:szCs w:val="24"/>
        </w:rPr>
        <w:t>、白柯</w:t>
      </w:r>
      <w:r>
        <w:rPr>
          <w:rFonts w:ascii="宋体" w:hAnsi="宋体" w:eastAsia="宋体" w:cs="宋体"/>
          <w:spacing w:val="-67"/>
          <w:sz w:val="24"/>
          <w:szCs w:val="24"/>
        </w:rPr>
        <w:t xml:space="preserve"> </w:t>
      </w:r>
      <w:r>
        <w:rPr>
          <w:rFonts w:ascii="Times New Roman" w:hAnsi="Times New Roman" w:eastAsia="Times New Roman" w:cs="Times New Roman"/>
          <w:i/>
          <w:iCs/>
          <w:spacing w:val="-1"/>
          <w:sz w:val="24"/>
          <w:szCs w:val="24"/>
        </w:rPr>
        <w:t>Lithocarpus</w:t>
      </w:r>
      <w:r>
        <w:rPr>
          <w:rFonts w:ascii="Times New Roman" w:hAnsi="Times New Roman" w:eastAsia="Times New Roman" w:cs="Times New Roman"/>
          <w:i/>
          <w:iCs/>
          <w:spacing w:val="33"/>
          <w:w w:val="101"/>
          <w:sz w:val="24"/>
          <w:szCs w:val="24"/>
        </w:rPr>
        <w:t xml:space="preserve"> </w:t>
      </w:r>
      <w:r>
        <w:rPr>
          <w:rFonts w:ascii="Times New Roman" w:hAnsi="Times New Roman" w:eastAsia="Times New Roman" w:cs="Times New Roman"/>
          <w:i/>
          <w:iCs/>
          <w:spacing w:val="-1"/>
          <w:sz w:val="24"/>
          <w:szCs w:val="24"/>
        </w:rPr>
        <w:t>dealbatus</w:t>
      </w:r>
      <w:r>
        <w:rPr>
          <w:rFonts w:ascii="宋体" w:hAnsi="宋体" w:eastAsia="宋体" w:cs="宋体"/>
          <w:spacing w:val="-1"/>
          <w:sz w:val="24"/>
          <w:szCs w:val="24"/>
        </w:rPr>
        <w:t>、</w:t>
      </w:r>
      <w:r>
        <w:rPr>
          <w:rFonts w:ascii="宋体" w:hAnsi="宋体" w:eastAsia="宋体" w:cs="宋体"/>
          <w:sz w:val="24"/>
          <w:szCs w:val="24"/>
        </w:rPr>
        <w:t xml:space="preserve"> 香叶树</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Lindera communis</w:t>
      </w:r>
      <w:r>
        <w:rPr>
          <w:rFonts w:ascii="宋体" w:hAnsi="宋体" w:eastAsia="宋体" w:cs="宋体"/>
          <w:sz w:val="24"/>
          <w:szCs w:val="24"/>
        </w:rPr>
        <w:t>、栓皮栎</w:t>
      </w:r>
      <w:r>
        <w:rPr>
          <w:rFonts w:ascii="宋体" w:hAnsi="宋体" w:eastAsia="宋体" w:cs="宋体"/>
          <w:spacing w:val="-50"/>
          <w:sz w:val="24"/>
          <w:szCs w:val="24"/>
        </w:rPr>
        <w:t xml:space="preserve"> </w:t>
      </w:r>
      <w:r>
        <w:rPr>
          <w:rFonts w:ascii="Times New Roman" w:hAnsi="Times New Roman" w:eastAsia="Times New Roman" w:cs="Times New Roman"/>
          <w:i/>
          <w:iCs/>
          <w:sz w:val="24"/>
          <w:szCs w:val="24"/>
        </w:rPr>
        <w:t>Quercus va</w:t>
      </w:r>
      <w:r>
        <w:rPr>
          <w:rFonts w:ascii="Times New Roman" w:hAnsi="Times New Roman" w:eastAsia="Times New Roman" w:cs="Times New Roman"/>
          <w:i/>
          <w:iCs/>
          <w:spacing w:val="-1"/>
          <w:sz w:val="24"/>
          <w:szCs w:val="24"/>
        </w:rPr>
        <w:t>riabilis</w:t>
      </w:r>
      <w:r>
        <w:rPr>
          <w:rFonts w:ascii="宋体" w:hAnsi="宋体" w:eastAsia="宋体" w:cs="宋体"/>
          <w:spacing w:val="-1"/>
          <w:sz w:val="24"/>
          <w:szCs w:val="24"/>
        </w:rPr>
        <w:t>、川梨</w:t>
      </w:r>
      <w:r>
        <w:rPr>
          <w:rFonts w:ascii="宋体" w:hAnsi="宋体" w:eastAsia="宋体" w:cs="宋体"/>
          <w:spacing w:val="-65"/>
          <w:sz w:val="24"/>
          <w:szCs w:val="24"/>
        </w:rPr>
        <w:t xml:space="preserve"> </w:t>
      </w:r>
      <w:r>
        <w:rPr>
          <w:rFonts w:ascii="Times New Roman" w:hAnsi="Times New Roman" w:eastAsia="Times New Roman" w:cs="Times New Roman"/>
          <w:i/>
          <w:iCs/>
          <w:spacing w:val="-1"/>
          <w:sz w:val="24"/>
          <w:szCs w:val="24"/>
        </w:rPr>
        <w:t>Pyruspashia</w:t>
      </w:r>
      <w:r>
        <w:rPr>
          <w:rFonts w:ascii="宋体" w:hAnsi="宋体" w:eastAsia="宋体" w:cs="宋体"/>
          <w:spacing w:val="-1"/>
          <w:sz w:val="24"/>
          <w:szCs w:val="24"/>
        </w:rPr>
        <w:t xml:space="preserve">、清香木 </w:t>
      </w:r>
      <w:r>
        <w:rPr>
          <w:rFonts w:ascii="Times New Roman" w:hAnsi="Times New Roman" w:eastAsia="Times New Roman" w:cs="Times New Roman"/>
          <w:i/>
          <w:iCs/>
          <w:spacing w:val="-2"/>
          <w:sz w:val="24"/>
          <w:szCs w:val="24"/>
        </w:rPr>
        <w:t>Pistacia</w:t>
      </w:r>
      <w:r>
        <w:rPr>
          <w:rFonts w:ascii="Times New Roman" w:hAnsi="Times New Roman" w:eastAsia="Times New Roman" w:cs="Times New Roman"/>
          <w:i/>
          <w:iCs/>
          <w:spacing w:val="17"/>
          <w:sz w:val="24"/>
          <w:szCs w:val="24"/>
        </w:rPr>
        <w:t xml:space="preserve">  </w:t>
      </w:r>
      <w:r>
        <w:rPr>
          <w:rFonts w:ascii="Times New Roman" w:hAnsi="Times New Roman" w:eastAsia="Times New Roman" w:cs="Times New Roman"/>
          <w:i/>
          <w:iCs/>
          <w:spacing w:val="-2"/>
          <w:sz w:val="24"/>
          <w:szCs w:val="24"/>
        </w:rPr>
        <w:t>weinmannifolia</w:t>
      </w:r>
      <w:r>
        <w:rPr>
          <w:rFonts w:ascii="Times New Roman" w:hAnsi="Times New Roman" w:eastAsia="Times New Roman" w:cs="Times New Roman"/>
          <w:i/>
          <w:iCs/>
          <w:spacing w:val="30"/>
          <w:sz w:val="24"/>
          <w:szCs w:val="24"/>
        </w:rPr>
        <w:t xml:space="preserve"> </w:t>
      </w:r>
      <w:r>
        <w:rPr>
          <w:rFonts w:ascii="宋体" w:hAnsi="宋体" w:eastAsia="宋体" w:cs="宋体"/>
          <w:spacing w:val="-2"/>
          <w:sz w:val="24"/>
          <w:szCs w:val="24"/>
        </w:rPr>
        <w:t>、</w:t>
      </w:r>
      <w:r>
        <w:rPr>
          <w:rFonts w:ascii="宋体" w:hAnsi="宋体" w:eastAsia="宋体" w:cs="宋体"/>
          <w:spacing w:val="-47"/>
          <w:sz w:val="24"/>
          <w:szCs w:val="24"/>
        </w:rPr>
        <w:t xml:space="preserve"> </w:t>
      </w:r>
      <w:r>
        <w:rPr>
          <w:rFonts w:ascii="宋体" w:hAnsi="宋体" w:eastAsia="宋体" w:cs="宋体"/>
          <w:spacing w:val="-2"/>
          <w:sz w:val="24"/>
          <w:szCs w:val="24"/>
        </w:rPr>
        <w:t>滇</w:t>
      </w:r>
      <w:r>
        <w:rPr>
          <w:rFonts w:ascii="宋体" w:hAnsi="宋体" w:eastAsia="宋体" w:cs="宋体"/>
          <w:spacing w:val="-45"/>
          <w:sz w:val="24"/>
          <w:szCs w:val="24"/>
        </w:rPr>
        <w:t xml:space="preserve"> </w:t>
      </w:r>
      <w:r>
        <w:rPr>
          <w:rFonts w:ascii="宋体" w:hAnsi="宋体" w:eastAsia="宋体" w:cs="宋体"/>
          <w:spacing w:val="-2"/>
          <w:sz w:val="24"/>
          <w:szCs w:val="24"/>
        </w:rPr>
        <w:t>杨</w:t>
      </w:r>
      <w:r>
        <w:rPr>
          <w:rFonts w:ascii="宋体" w:hAnsi="宋体" w:eastAsia="宋体" w:cs="宋体"/>
          <w:spacing w:val="57"/>
          <w:sz w:val="24"/>
          <w:szCs w:val="24"/>
        </w:rPr>
        <w:t xml:space="preserve"> </w:t>
      </w:r>
      <w:r>
        <w:rPr>
          <w:rFonts w:ascii="Times New Roman" w:hAnsi="Times New Roman" w:eastAsia="Times New Roman" w:cs="Times New Roman"/>
          <w:i/>
          <w:iCs/>
          <w:spacing w:val="-2"/>
          <w:sz w:val="24"/>
          <w:szCs w:val="24"/>
        </w:rPr>
        <w:t>Populus  yunnanensi</w:t>
      </w:r>
      <w:r>
        <w:rPr>
          <w:rFonts w:ascii="Times New Roman" w:hAnsi="Times New Roman" w:eastAsia="Times New Roman" w:cs="Times New Roman"/>
          <w:spacing w:val="-2"/>
          <w:sz w:val="24"/>
          <w:szCs w:val="24"/>
        </w:rPr>
        <w:t>s</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w:t>
      </w:r>
      <w:r>
        <w:rPr>
          <w:rFonts w:ascii="宋体" w:hAnsi="宋体" w:eastAsia="宋体" w:cs="宋体"/>
          <w:spacing w:val="-42"/>
          <w:sz w:val="24"/>
          <w:szCs w:val="24"/>
        </w:rPr>
        <w:t xml:space="preserve"> </w:t>
      </w:r>
      <w:r>
        <w:rPr>
          <w:rFonts w:ascii="宋体" w:hAnsi="宋体" w:eastAsia="宋体" w:cs="宋体"/>
          <w:spacing w:val="-2"/>
          <w:sz w:val="24"/>
          <w:szCs w:val="24"/>
        </w:rPr>
        <w:t>厚</w:t>
      </w:r>
      <w:r>
        <w:rPr>
          <w:rFonts w:ascii="宋体" w:hAnsi="宋体" w:eastAsia="宋体" w:cs="宋体"/>
          <w:spacing w:val="-43"/>
          <w:sz w:val="24"/>
          <w:szCs w:val="24"/>
        </w:rPr>
        <w:t xml:space="preserve"> </w:t>
      </w:r>
      <w:r>
        <w:rPr>
          <w:rFonts w:ascii="宋体" w:hAnsi="宋体" w:eastAsia="宋体" w:cs="宋体"/>
          <w:spacing w:val="-2"/>
          <w:sz w:val="24"/>
          <w:szCs w:val="24"/>
        </w:rPr>
        <w:t>皮</w:t>
      </w:r>
      <w:r>
        <w:rPr>
          <w:rFonts w:ascii="宋体" w:hAnsi="宋体" w:eastAsia="宋体" w:cs="宋体"/>
          <w:spacing w:val="-44"/>
          <w:sz w:val="24"/>
          <w:szCs w:val="24"/>
        </w:rPr>
        <w:t xml:space="preserve"> </w:t>
      </w:r>
      <w:r>
        <w:rPr>
          <w:rFonts w:ascii="宋体" w:hAnsi="宋体" w:eastAsia="宋体" w:cs="宋体"/>
          <w:spacing w:val="-2"/>
          <w:sz w:val="24"/>
          <w:szCs w:val="24"/>
        </w:rPr>
        <w:t>香</w:t>
      </w:r>
      <w:r>
        <w:rPr>
          <w:rFonts w:ascii="宋体" w:hAnsi="宋体" w:eastAsia="宋体" w:cs="宋体"/>
          <w:spacing w:val="78"/>
          <w:sz w:val="24"/>
          <w:szCs w:val="24"/>
        </w:rPr>
        <w:t xml:space="preserve"> </w:t>
      </w:r>
      <w:r>
        <w:rPr>
          <w:rFonts w:ascii="Times New Roman" w:hAnsi="Times New Roman" w:eastAsia="Times New Roman" w:cs="Times New Roman"/>
          <w:i/>
          <w:iCs/>
          <w:spacing w:val="-2"/>
          <w:sz w:val="24"/>
          <w:szCs w:val="24"/>
        </w:rPr>
        <w:t>Tern</w:t>
      </w:r>
      <w:r>
        <w:rPr>
          <w:rFonts w:ascii="Times New Roman" w:hAnsi="Times New Roman" w:eastAsia="Times New Roman" w:cs="Times New Roman"/>
          <w:i/>
          <w:iCs/>
          <w:spacing w:val="-3"/>
          <w:sz w:val="24"/>
          <w:szCs w:val="24"/>
        </w:rPr>
        <w:t xml:space="preserve">stroemia  </w:t>
      </w:r>
      <w:r>
        <w:rPr>
          <w:rFonts w:ascii="Times New Roman" w:hAnsi="Times New Roman" w:eastAsia="Times New Roman" w:cs="Times New Roman"/>
          <w:i/>
          <w:iCs/>
          <w:sz w:val="24"/>
          <w:szCs w:val="24"/>
        </w:rPr>
        <w:t>gymnanthera</w:t>
      </w:r>
      <w:r>
        <w:rPr>
          <w:rFonts w:ascii="宋体" w:hAnsi="宋体" w:eastAsia="宋体" w:cs="宋体"/>
          <w:sz w:val="24"/>
          <w:szCs w:val="24"/>
        </w:rPr>
        <w:t>、密花树</w:t>
      </w:r>
      <w:r>
        <w:rPr>
          <w:rFonts w:ascii="宋体" w:hAnsi="宋体" w:eastAsia="宋体" w:cs="宋体"/>
          <w:spacing w:val="-44"/>
          <w:sz w:val="24"/>
          <w:szCs w:val="24"/>
        </w:rPr>
        <w:t xml:space="preserve"> </w:t>
      </w:r>
      <w:r>
        <w:rPr>
          <w:rFonts w:ascii="Times New Roman" w:hAnsi="Times New Roman" w:eastAsia="Times New Roman" w:cs="Times New Roman"/>
          <w:i/>
          <w:iCs/>
          <w:sz w:val="24"/>
          <w:szCs w:val="24"/>
        </w:rPr>
        <w:t>Myrsine</w:t>
      </w:r>
      <w:r>
        <w:rPr>
          <w:rFonts w:ascii="Times New Roman" w:hAnsi="Times New Roman" w:eastAsia="Times New Roman" w:cs="Times New Roman"/>
          <w:i/>
          <w:iCs/>
          <w:spacing w:val="28"/>
          <w:w w:val="101"/>
          <w:sz w:val="24"/>
          <w:szCs w:val="24"/>
        </w:rPr>
        <w:t xml:space="preserve"> </w:t>
      </w:r>
      <w:r>
        <w:rPr>
          <w:rFonts w:ascii="Times New Roman" w:hAnsi="Times New Roman" w:eastAsia="Times New Roman" w:cs="Times New Roman"/>
          <w:i/>
          <w:iCs/>
          <w:sz w:val="24"/>
          <w:szCs w:val="24"/>
        </w:rPr>
        <w:t>s</w:t>
      </w:r>
      <w:r>
        <w:rPr>
          <w:rFonts w:ascii="Times New Roman" w:hAnsi="Times New Roman" w:eastAsia="Times New Roman" w:cs="Times New Roman"/>
          <w:i/>
          <w:iCs/>
          <w:spacing w:val="-1"/>
          <w:sz w:val="24"/>
          <w:szCs w:val="24"/>
        </w:rPr>
        <w:t>eguinii</w:t>
      </w:r>
      <w:r>
        <w:rPr>
          <w:rFonts w:ascii="宋体" w:hAnsi="宋体" w:eastAsia="宋体" w:cs="宋体"/>
          <w:spacing w:val="-1"/>
          <w:sz w:val="24"/>
          <w:szCs w:val="24"/>
        </w:rPr>
        <w:t>、珍珠花</w:t>
      </w:r>
      <w:r>
        <w:rPr>
          <w:rFonts w:ascii="宋体" w:hAnsi="宋体" w:eastAsia="宋体" w:cs="宋体"/>
          <w:spacing w:val="-44"/>
          <w:sz w:val="24"/>
          <w:szCs w:val="24"/>
        </w:rPr>
        <w:t xml:space="preserve"> </w:t>
      </w:r>
      <w:r>
        <w:rPr>
          <w:rFonts w:ascii="Times New Roman" w:hAnsi="Times New Roman" w:eastAsia="Times New Roman" w:cs="Times New Roman"/>
          <w:i/>
          <w:iCs/>
          <w:spacing w:val="-1"/>
          <w:sz w:val="24"/>
          <w:szCs w:val="24"/>
        </w:rPr>
        <w:t>Lyonia</w:t>
      </w:r>
      <w:r>
        <w:rPr>
          <w:rFonts w:ascii="Times New Roman" w:hAnsi="Times New Roman" w:eastAsia="Times New Roman" w:cs="Times New Roman"/>
          <w:i/>
          <w:iCs/>
          <w:spacing w:val="38"/>
          <w:sz w:val="24"/>
          <w:szCs w:val="24"/>
        </w:rPr>
        <w:t xml:space="preserve"> </w:t>
      </w:r>
      <w:r>
        <w:rPr>
          <w:rFonts w:ascii="Times New Roman" w:hAnsi="Times New Roman" w:eastAsia="Times New Roman" w:cs="Times New Roman"/>
          <w:i/>
          <w:iCs/>
          <w:spacing w:val="-1"/>
          <w:sz w:val="24"/>
          <w:szCs w:val="24"/>
        </w:rPr>
        <w:t>ovalifolia</w:t>
      </w:r>
      <w:r>
        <w:rPr>
          <w:rFonts w:ascii="宋体" w:hAnsi="宋体" w:eastAsia="宋体" w:cs="宋体"/>
          <w:spacing w:val="-1"/>
          <w:sz w:val="24"/>
          <w:szCs w:val="24"/>
        </w:rPr>
        <w:t xml:space="preserve">、马桑 </w:t>
      </w:r>
      <w:r>
        <w:rPr>
          <w:rFonts w:ascii="Times New Roman" w:hAnsi="Times New Roman" w:eastAsia="Times New Roman" w:cs="Times New Roman"/>
          <w:i/>
          <w:iCs/>
          <w:spacing w:val="-1"/>
          <w:sz w:val="24"/>
          <w:szCs w:val="24"/>
        </w:rPr>
        <w:t xml:space="preserve">Coriaria  </w:t>
      </w:r>
      <w:r>
        <w:rPr>
          <w:rFonts w:ascii="Times New Roman" w:hAnsi="Times New Roman" w:eastAsia="Times New Roman" w:cs="Times New Roman"/>
          <w:i/>
          <w:iCs/>
          <w:spacing w:val="-6"/>
          <w:sz w:val="24"/>
          <w:szCs w:val="24"/>
        </w:rPr>
        <w:t>nepalensis</w:t>
      </w:r>
      <w:r>
        <w:rPr>
          <w:rFonts w:ascii="宋体" w:hAnsi="宋体" w:eastAsia="宋体" w:cs="宋体"/>
          <w:spacing w:val="-6"/>
          <w:sz w:val="24"/>
          <w:szCs w:val="24"/>
        </w:rPr>
        <w:t>、等。工程建设会影响这些建群物</w:t>
      </w:r>
      <w:r>
        <w:rPr>
          <w:rFonts w:ascii="宋体" w:hAnsi="宋体" w:eastAsia="宋体" w:cs="宋体"/>
          <w:spacing w:val="-7"/>
          <w:sz w:val="24"/>
          <w:szCs w:val="24"/>
        </w:rPr>
        <w:t xml:space="preserve">种的个体数量， 但它们都是常见的广 </w:t>
      </w:r>
      <w:r>
        <w:rPr>
          <w:rFonts w:ascii="宋体" w:hAnsi="宋体" w:eastAsia="宋体" w:cs="宋体"/>
          <w:spacing w:val="-14"/>
          <w:sz w:val="24"/>
          <w:szCs w:val="24"/>
        </w:rPr>
        <w:t>布种， 其周边地区数量非常多，</w:t>
      </w:r>
      <w:r>
        <w:rPr>
          <w:rFonts w:ascii="宋体" w:hAnsi="宋体" w:eastAsia="宋体" w:cs="宋体"/>
          <w:spacing w:val="33"/>
          <w:sz w:val="24"/>
          <w:szCs w:val="24"/>
        </w:rPr>
        <w:t xml:space="preserve"> </w:t>
      </w:r>
      <w:r>
        <w:rPr>
          <w:rFonts w:ascii="宋体" w:hAnsi="宋体" w:eastAsia="宋体" w:cs="宋体"/>
          <w:spacing w:val="-14"/>
          <w:sz w:val="24"/>
          <w:szCs w:val="24"/>
        </w:rPr>
        <w:t>不会导其灭绝，</w:t>
      </w:r>
      <w:r>
        <w:rPr>
          <w:rFonts w:ascii="宋体" w:hAnsi="宋体" w:eastAsia="宋体" w:cs="宋体"/>
          <w:spacing w:val="31"/>
          <w:sz w:val="24"/>
          <w:szCs w:val="24"/>
        </w:rPr>
        <w:t xml:space="preserve"> </w:t>
      </w:r>
      <w:r>
        <w:rPr>
          <w:rFonts w:ascii="宋体" w:hAnsi="宋体" w:eastAsia="宋体" w:cs="宋体"/>
          <w:spacing w:val="-14"/>
          <w:sz w:val="24"/>
          <w:szCs w:val="24"/>
        </w:rPr>
        <w:t>而项目建设和</w:t>
      </w:r>
      <w:r>
        <w:rPr>
          <w:rFonts w:ascii="宋体" w:hAnsi="宋体" w:eastAsia="宋体" w:cs="宋体"/>
          <w:spacing w:val="-15"/>
          <w:sz w:val="24"/>
          <w:szCs w:val="24"/>
        </w:rPr>
        <w:t>运营也不至于影响</w:t>
      </w:r>
    </w:p>
    <w:p>
      <w:pPr>
        <w:spacing w:line="219" w:lineRule="auto"/>
        <w:ind w:left="40"/>
        <w:rPr>
          <w:rFonts w:ascii="宋体" w:hAnsi="宋体" w:eastAsia="宋体" w:cs="宋体"/>
          <w:sz w:val="24"/>
          <w:szCs w:val="24"/>
        </w:rPr>
      </w:pPr>
      <w:r>
        <w:rPr>
          <w:rFonts w:ascii="宋体" w:hAnsi="宋体" w:eastAsia="宋体" w:cs="宋体"/>
          <w:spacing w:val="-6"/>
          <w:sz w:val="24"/>
          <w:szCs w:val="24"/>
        </w:rPr>
        <w:t>其群落的生长。</w:t>
      </w:r>
    </w:p>
    <w:p>
      <w:pPr>
        <w:spacing w:before="183" w:line="359" w:lineRule="auto"/>
        <w:ind w:left="49" w:right="91" w:firstLine="473"/>
        <w:jc w:val="both"/>
        <w:rPr>
          <w:rFonts w:ascii="宋体" w:hAnsi="宋体" w:eastAsia="宋体" w:cs="宋体"/>
          <w:sz w:val="24"/>
          <w:szCs w:val="24"/>
        </w:rPr>
      </w:pPr>
      <w:r>
        <w:rPr>
          <w:rFonts w:ascii="宋体" w:hAnsi="宋体" w:eastAsia="宋体" w:cs="宋体"/>
          <w:spacing w:val="-3"/>
          <w:sz w:val="24"/>
          <w:szCs w:val="24"/>
        </w:rPr>
        <w:t>项目永久占用林地已取得得国家林业和草原局</w:t>
      </w:r>
      <w:r>
        <w:rPr>
          <w:rFonts w:ascii="宋体" w:hAnsi="宋体" w:eastAsia="宋体" w:cs="宋体"/>
          <w:spacing w:val="-4"/>
          <w:sz w:val="24"/>
          <w:szCs w:val="24"/>
        </w:rPr>
        <w:t>《使用林地审核同意书》（林</w:t>
      </w:r>
      <w:r>
        <w:rPr>
          <w:rFonts w:ascii="宋体" w:hAnsi="宋体" w:eastAsia="宋体" w:cs="宋体"/>
          <w:sz w:val="24"/>
          <w:szCs w:val="24"/>
        </w:rPr>
        <w:t xml:space="preserve"> </w:t>
      </w:r>
      <w:r>
        <w:rPr>
          <w:rFonts w:ascii="宋体" w:hAnsi="宋体" w:eastAsia="宋体" w:cs="宋体"/>
          <w:spacing w:val="-4"/>
          <w:sz w:val="24"/>
          <w:szCs w:val="24"/>
        </w:rPr>
        <w:t>资许准</w:t>
      </w:r>
      <w:r>
        <w:rPr>
          <w:rFonts w:ascii="Times New Roman" w:hAnsi="Times New Roman" w:eastAsia="Times New Roman" w:cs="Times New Roman"/>
          <w:spacing w:val="-4"/>
          <w:sz w:val="24"/>
          <w:szCs w:val="24"/>
        </w:rPr>
        <w:t>[2019]523</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w:t>
      </w:r>
      <w:r>
        <w:rPr>
          <w:rFonts w:ascii="宋体" w:hAnsi="宋体" w:eastAsia="宋体" w:cs="宋体"/>
          <w:spacing w:val="-37"/>
          <w:sz w:val="24"/>
          <w:szCs w:val="24"/>
        </w:rPr>
        <w:t>），</w:t>
      </w:r>
      <w:r>
        <w:rPr>
          <w:rFonts w:ascii="宋体" w:hAnsi="宋体" w:eastAsia="宋体" w:cs="宋体"/>
          <w:spacing w:val="-4"/>
          <w:sz w:val="24"/>
          <w:szCs w:val="24"/>
        </w:rPr>
        <w:t>临时占用林地已取得云南省</w:t>
      </w:r>
      <w:r>
        <w:rPr>
          <w:rFonts w:ascii="宋体" w:hAnsi="宋体" w:eastAsia="宋体" w:cs="宋体"/>
          <w:spacing w:val="-5"/>
          <w:sz w:val="24"/>
          <w:szCs w:val="24"/>
        </w:rPr>
        <w:t>林业和草原局《关于大姚县桂</w:t>
      </w:r>
    </w:p>
    <w:p>
      <w:pPr>
        <w:spacing w:before="1" w:line="215" w:lineRule="auto"/>
        <w:ind w:left="40"/>
        <w:rPr>
          <w:rFonts w:ascii="宋体" w:hAnsi="宋体" w:eastAsia="宋体" w:cs="宋体"/>
          <w:sz w:val="24"/>
          <w:szCs w:val="24"/>
        </w:rPr>
      </w:pPr>
      <w:r>
        <w:rPr>
          <w:rFonts w:ascii="宋体" w:hAnsi="宋体" w:eastAsia="宋体" w:cs="宋体"/>
          <w:spacing w:val="-8"/>
          <w:sz w:val="24"/>
          <w:szCs w:val="24"/>
        </w:rPr>
        <w:t>花水库工程临时占用林地的行政许可决定》（云林审批</w:t>
      </w:r>
      <w:r>
        <w:rPr>
          <w:rFonts w:ascii="Times New Roman" w:hAnsi="Times New Roman" w:eastAsia="Times New Roman" w:cs="Times New Roman"/>
          <w:spacing w:val="-8"/>
          <w:sz w:val="24"/>
          <w:szCs w:val="24"/>
        </w:rPr>
        <w:t>[2019]1167</w:t>
      </w:r>
      <w:r>
        <w:rPr>
          <w:rFonts w:ascii="Times New Roman" w:hAnsi="Times New Roman" w:eastAsia="Times New Roman" w:cs="Times New Roman"/>
          <w:spacing w:val="20"/>
          <w:w w:val="101"/>
          <w:sz w:val="24"/>
          <w:szCs w:val="24"/>
        </w:rPr>
        <w:t xml:space="preserve"> </w:t>
      </w:r>
      <w:r>
        <w:rPr>
          <w:rFonts w:ascii="宋体" w:hAnsi="宋体" w:eastAsia="宋体" w:cs="宋体"/>
          <w:spacing w:val="-8"/>
          <w:sz w:val="24"/>
          <w:szCs w:val="24"/>
        </w:rPr>
        <w:t>号）。</w:t>
      </w:r>
    </w:p>
    <w:p>
      <w:pPr>
        <w:spacing w:before="186" w:line="219" w:lineRule="auto"/>
        <w:jc w:val="right"/>
        <w:rPr>
          <w:rFonts w:ascii="宋体" w:hAnsi="宋体" w:eastAsia="宋体" w:cs="宋体"/>
          <w:sz w:val="24"/>
          <w:szCs w:val="24"/>
        </w:rPr>
      </w:pPr>
      <w:r>
        <w:rPr>
          <w:rFonts w:ascii="宋体" w:hAnsi="宋体" w:eastAsia="宋体" w:cs="宋体"/>
          <w:spacing w:val="-10"/>
          <w:sz w:val="24"/>
          <w:szCs w:val="24"/>
        </w:rPr>
        <w:t>综上所述，本项目占用的公益林面积不大，</w:t>
      </w:r>
      <w:r>
        <w:rPr>
          <w:rFonts w:ascii="宋体" w:hAnsi="宋体" w:eastAsia="宋体" w:cs="宋体"/>
          <w:spacing w:val="-40"/>
          <w:sz w:val="24"/>
          <w:szCs w:val="24"/>
        </w:rPr>
        <w:t xml:space="preserve"> </w:t>
      </w:r>
      <w:r>
        <w:rPr>
          <w:rFonts w:ascii="宋体" w:hAnsi="宋体" w:eastAsia="宋体" w:cs="宋体"/>
          <w:spacing w:val="-10"/>
          <w:sz w:val="24"/>
          <w:szCs w:val="24"/>
        </w:rPr>
        <w:t>对生态环境影响总体是可接受的。</w:t>
      </w:r>
    </w:p>
    <w:p>
      <w:pPr>
        <w:spacing w:line="431" w:lineRule="auto"/>
        <w:rPr>
          <w:rFonts w:ascii="Arial"/>
          <w:sz w:val="21"/>
        </w:rPr>
      </w:pPr>
    </w:p>
    <w:p>
      <w:pPr>
        <w:pStyle w:val="2"/>
        <w:spacing w:before="79" w:line="232" w:lineRule="auto"/>
        <w:ind w:left="36"/>
        <w:outlineLvl w:val="2"/>
        <w:rPr>
          <w:sz w:val="24"/>
          <w:szCs w:val="24"/>
        </w:rPr>
      </w:pPr>
      <w:r>
        <w:rPr>
          <w:rFonts w:ascii="Times New Roman" w:hAnsi="Times New Roman" w:eastAsia="Times New Roman" w:cs="Times New Roman"/>
          <w:b/>
          <w:bCs/>
          <w:sz w:val="24"/>
          <w:szCs w:val="24"/>
        </w:rPr>
        <w:t xml:space="preserve">4.4.3 </w:t>
      </w:r>
      <w:r>
        <w:rPr>
          <w:sz w:val="24"/>
          <w:szCs w:val="24"/>
          <w14:textOutline w14:w="4354" w14:cap="flat" w14:cmpd="sng">
            <w14:solidFill>
              <w14:srgbClr w14:val="000000"/>
            </w14:solidFill>
            <w14:prstDash w14:val="solid"/>
            <w14:miter w14:val="0"/>
          </w14:textOutline>
        </w:rPr>
        <w:t>对植物群落的影响</w:t>
      </w:r>
    </w:p>
    <w:p>
      <w:pPr>
        <w:spacing w:before="200" w:line="218"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）评价区占用植被分析</w:t>
      </w:r>
    </w:p>
    <w:p>
      <w:pPr>
        <w:spacing w:before="183" w:line="220" w:lineRule="auto"/>
        <w:ind w:left="523"/>
        <w:rPr>
          <w:rFonts w:ascii="宋体" w:hAnsi="宋体" w:eastAsia="宋体" w:cs="宋体"/>
          <w:sz w:val="24"/>
          <w:szCs w:val="24"/>
        </w:rPr>
      </w:pPr>
      <w:r>
        <w:rPr>
          <w:rFonts w:ascii="宋体" w:hAnsi="宋体" w:eastAsia="宋体" w:cs="宋体"/>
          <w:spacing w:val="-2"/>
          <w:sz w:val="24"/>
          <w:szCs w:val="24"/>
        </w:rPr>
        <w:t>项目占用植被情况见表</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4.4-2</w:t>
      </w:r>
      <w:r>
        <w:rPr>
          <w:rFonts w:ascii="宋体" w:hAnsi="宋体" w:eastAsia="宋体" w:cs="宋体"/>
          <w:spacing w:val="-2"/>
          <w:sz w:val="24"/>
          <w:szCs w:val="24"/>
        </w:rPr>
        <w:t>。</w:t>
      </w:r>
    </w:p>
    <w:p>
      <w:pPr>
        <w:spacing w:line="220" w:lineRule="auto"/>
        <w:rPr>
          <w:rFonts w:ascii="宋体" w:hAnsi="宋体" w:eastAsia="宋体" w:cs="宋体"/>
          <w:sz w:val="24"/>
          <w:szCs w:val="24"/>
        </w:rPr>
        <w:sectPr>
          <w:headerReference r:id="rId382" w:type="default"/>
          <w:footerReference r:id="rId383" w:type="default"/>
          <w:pgSz w:w="11907" w:h="16839"/>
          <w:pgMar w:top="1156" w:right="1712" w:bottom="1374" w:left="1770" w:header="881" w:footer="1210" w:gutter="0"/>
        </w:sectPr>
      </w:pPr>
    </w:p>
    <w:p>
      <w:pPr>
        <w:spacing w:line="341" w:lineRule="auto"/>
        <w:rPr>
          <w:rFonts w:ascii="Arial"/>
          <w:sz w:val="21"/>
        </w:rPr>
      </w:pPr>
    </w:p>
    <w:p>
      <w:pPr>
        <w:spacing w:before="68" w:line="220" w:lineRule="auto"/>
        <w:ind w:left="2875"/>
        <w:rPr>
          <w:rFonts w:ascii="宋体" w:hAnsi="宋体" w:eastAsia="宋体" w:cs="宋体"/>
          <w:sz w:val="21"/>
          <w:szCs w:val="21"/>
        </w:rPr>
      </w:pPr>
      <w:r>
        <w:rPr>
          <w:rFonts w:ascii="宋体" w:hAnsi="宋体" w:eastAsia="宋体" w:cs="宋体"/>
          <w:spacing w:val="-3"/>
          <w:sz w:val="21"/>
          <w:szCs w:val="21"/>
          <w14:textOutline w14:w="3810" w14:cap="flat" w14:cmpd="sng">
            <w14:solidFill>
              <w14:srgbClr w14:val="000000"/>
            </w14:solidFill>
            <w14:prstDash w14:val="solid"/>
            <w14:miter w14:val="0"/>
          </w14:textOutline>
        </w:rPr>
        <w:t>表</w:t>
      </w:r>
      <w:r>
        <w:rPr>
          <w:rFonts w:ascii="宋体" w:hAnsi="宋体" w:eastAsia="宋体" w:cs="宋体"/>
          <w:spacing w:val="-45"/>
          <w:sz w:val="21"/>
          <w:szCs w:val="21"/>
        </w:rPr>
        <w:t xml:space="preserve"> </w:t>
      </w:r>
      <w:r>
        <w:rPr>
          <w:rFonts w:ascii="Times New Roman" w:hAnsi="Times New Roman" w:eastAsia="Times New Roman" w:cs="Times New Roman"/>
          <w:b/>
          <w:bCs/>
          <w:spacing w:val="-3"/>
          <w:sz w:val="21"/>
          <w:szCs w:val="21"/>
        </w:rPr>
        <w:t>4.4-2</w:t>
      </w:r>
      <w:r>
        <w:rPr>
          <w:rFonts w:ascii="Times New Roman" w:hAnsi="Times New Roman" w:eastAsia="Times New Roman" w:cs="Times New Roman"/>
          <w:b/>
          <w:bCs/>
          <w:spacing w:val="10"/>
          <w:sz w:val="21"/>
          <w:szCs w:val="21"/>
        </w:rPr>
        <w:t xml:space="preserve">    </w:t>
      </w:r>
      <w:r>
        <w:rPr>
          <w:rFonts w:ascii="宋体" w:hAnsi="宋体" w:eastAsia="宋体" w:cs="宋体"/>
          <w:spacing w:val="-3"/>
          <w:sz w:val="21"/>
          <w:szCs w:val="21"/>
          <w14:textOutline w14:w="3810" w14:cap="flat" w14:cmpd="sng">
            <w14:solidFill>
              <w14:srgbClr w14:val="000000"/>
            </w14:solidFill>
            <w14:prstDash w14:val="solid"/>
            <w14:miter w14:val="0"/>
          </w14:textOutline>
        </w:rPr>
        <w:t>占用的植被类型面积统计</w:t>
      </w:r>
    </w:p>
    <w:p>
      <w:pPr>
        <w:spacing w:line="89" w:lineRule="exact"/>
      </w:pPr>
    </w:p>
    <w:tbl>
      <w:tblPr>
        <w:tblStyle w:val="5"/>
        <w:tblW w:w="853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0"/>
        <w:gridCol w:w="1078"/>
        <w:gridCol w:w="774"/>
        <w:gridCol w:w="1126"/>
        <w:gridCol w:w="708"/>
        <w:gridCol w:w="1134"/>
        <w:gridCol w:w="709"/>
        <w:gridCol w:w="9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6" w:hRule="atLeast"/>
        </w:trPr>
        <w:tc>
          <w:tcPr>
            <w:tcW w:w="2010" w:type="dxa"/>
            <w:vMerge w:val="restart"/>
            <w:tcBorders>
              <w:top w:val="single" w:color="000000" w:sz="12" w:space="0"/>
              <w:left w:val="nil"/>
              <w:bottom w:val="nil"/>
            </w:tcBorders>
            <w:vAlign w:val="top"/>
          </w:tcPr>
          <w:p>
            <w:pPr>
              <w:spacing w:line="463" w:lineRule="auto"/>
              <w:rPr>
                <w:rFonts w:ascii="Arial"/>
                <w:sz w:val="21"/>
              </w:rPr>
            </w:pPr>
          </w:p>
          <w:p>
            <w:pPr>
              <w:spacing w:before="69" w:line="218" w:lineRule="auto"/>
              <w:ind w:left="603"/>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植被类型</w:t>
            </w:r>
          </w:p>
        </w:tc>
        <w:tc>
          <w:tcPr>
            <w:tcW w:w="1078" w:type="dxa"/>
            <w:vMerge w:val="restart"/>
            <w:tcBorders>
              <w:top w:val="single" w:color="000000" w:sz="12" w:space="0"/>
              <w:bottom w:val="nil"/>
            </w:tcBorders>
            <w:vAlign w:val="top"/>
          </w:tcPr>
          <w:p>
            <w:pPr>
              <w:spacing w:before="222" w:line="218" w:lineRule="auto"/>
              <w:ind w:left="12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评价区内</w:t>
            </w:r>
          </w:p>
          <w:p>
            <w:pPr>
              <w:spacing w:before="63" w:line="220" w:lineRule="auto"/>
              <w:ind w:left="23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该类型</w:t>
            </w:r>
          </w:p>
          <w:p>
            <w:pPr>
              <w:pStyle w:val="6"/>
              <w:spacing w:before="62" w:line="215" w:lineRule="auto"/>
              <w:ind w:left="92"/>
            </w:pPr>
            <w:r>
              <w:rPr>
                <w:rFonts w:ascii="仿宋" w:hAnsi="仿宋" w:eastAsia="仿宋" w:cs="仿宋"/>
                <w:spacing w:val="-3"/>
                <w14:textOutline w14:w="3810" w14:cap="flat" w14:cmpd="sng">
                  <w14:solidFill>
                    <w14:srgbClr w14:val="000000"/>
                  </w14:solidFill>
                  <w14:prstDash w14:val="solid"/>
                  <w14:miter w14:val="0"/>
                </w14:textOutline>
              </w:rPr>
              <w:t>面积</w:t>
            </w:r>
            <w:r>
              <w:rPr>
                <w:b/>
                <w:bCs/>
                <w:spacing w:val="-3"/>
              </w:rPr>
              <w:t>(hm</w:t>
            </w:r>
            <w:r>
              <w:rPr>
                <w:b/>
                <w:bCs/>
                <w:spacing w:val="-3"/>
                <w:position w:val="6"/>
                <w:sz w:val="14"/>
                <w:szCs w:val="14"/>
              </w:rPr>
              <w:t>2</w:t>
            </w:r>
            <w:r>
              <w:rPr>
                <w:b/>
                <w:bCs/>
                <w:spacing w:val="-3"/>
              </w:rPr>
              <w:t>)</w:t>
            </w:r>
          </w:p>
        </w:tc>
        <w:tc>
          <w:tcPr>
            <w:tcW w:w="1900" w:type="dxa"/>
            <w:gridSpan w:val="2"/>
            <w:tcBorders>
              <w:top w:val="single" w:color="000000" w:sz="12" w:space="0"/>
            </w:tcBorders>
            <w:vAlign w:val="top"/>
          </w:tcPr>
          <w:p>
            <w:pPr>
              <w:spacing w:before="62" w:line="218" w:lineRule="auto"/>
              <w:ind w:left="33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工程永久占地</w:t>
            </w:r>
          </w:p>
        </w:tc>
        <w:tc>
          <w:tcPr>
            <w:tcW w:w="1842" w:type="dxa"/>
            <w:gridSpan w:val="2"/>
            <w:tcBorders>
              <w:top w:val="single" w:color="000000" w:sz="12" w:space="0"/>
            </w:tcBorders>
            <w:vAlign w:val="top"/>
          </w:tcPr>
          <w:p>
            <w:pPr>
              <w:spacing w:before="61" w:line="219" w:lineRule="auto"/>
              <w:ind w:left="304"/>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工程临时占地</w:t>
            </w:r>
          </w:p>
        </w:tc>
        <w:tc>
          <w:tcPr>
            <w:tcW w:w="1701" w:type="dxa"/>
            <w:gridSpan w:val="2"/>
            <w:tcBorders>
              <w:top w:val="single" w:color="000000" w:sz="12" w:space="0"/>
              <w:right w:val="nil"/>
            </w:tcBorders>
            <w:vAlign w:val="top"/>
          </w:tcPr>
          <w:p>
            <w:pPr>
              <w:spacing w:before="62" w:line="218" w:lineRule="auto"/>
              <w:ind w:left="236"/>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工程占地合计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6" w:hRule="atLeast"/>
        </w:trPr>
        <w:tc>
          <w:tcPr>
            <w:tcW w:w="2010" w:type="dxa"/>
            <w:vMerge w:val="continue"/>
            <w:tcBorders>
              <w:top w:val="nil"/>
              <w:left w:val="nil"/>
            </w:tcBorders>
            <w:vAlign w:val="top"/>
          </w:tcPr>
          <w:p>
            <w:pPr>
              <w:rPr>
                <w:rFonts w:ascii="Arial"/>
                <w:sz w:val="21"/>
              </w:rPr>
            </w:pPr>
          </w:p>
        </w:tc>
        <w:tc>
          <w:tcPr>
            <w:tcW w:w="1078" w:type="dxa"/>
            <w:vMerge w:val="continue"/>
            <w:tcBorders>
              <w:top w:val="nil"/>
            </w:tcBorders>
            <w:vAlign w:val="top"/>
          </w:tcPr>
          <w:p>
            <w:pPr>
              <w:rPr>
                <w:rFonts w:ascii="Arial"/>
                <w:sz w:val="21"/>
              </w:rPr>
            </w:pPr>
          </w:p>
        </w:tc>
        <w:tc>
          <w:tcPr>
            <w:tcW w:w="774" w:type="dxa"/>
            <w:vAlign w:val="top"/>
          </w:tcPr>
          <w:p>
            <w:pPr>
              <w:pStyle w:val="6"/>
              <w:spacing w:before="207" w:line="253" w:lineRule="auto"/>
              <w:ind w:left="140" w:right="135" w:firstLine="50"/>
            </w:pPr>
            <w:r>
              <w:rPr>
                <w:rFonts w:ascii="仿宋" w:hAnsi="仿宋" w:eastAsia="仿宋" w:cs="仿宋"/>
                <w:spacing w:val="-9"/>
                <w14:textOutline w14:w="3810" w14:cap="flat" w14:cmpd="sng">
                  <w14:solidFill>
                    <w14:srgbClr w14:val="000000"/>
                  </w14:solidFill>
                  <w14:prstDash w14:val="solid"/>
                  <w14:miter w14:val="0"/>
                </w14:textOutline>
              </w:rPr>
              <w:t>面积</w:t>
            </w:r>
            <w:r>
              <w:rPr>
                <w:rFonts w:ascii="仿宋" w:hAnsi="仿宋" w:eastAsia="仿宋" w:cs="仿宋"/>
              </w:rPr>
              <w:t xml:space="preserve"> </w:t>
            </w:r>
            <w:r>
              <w:rPr>
                <w:b/>
                <w:bCs/>
                <w:spacing w:val="-2"/>
              </w:rPr>
              <w:t>(hm</w:t>
            </w:r>
            <w:r>
              <w:rPr>
                <w:b/>
                <w:bCs/>
                <w:spacing w:val="-2"/>
                <w:position w:val="6"/>
                <w:sz w:val="14"/>
                <w:szCs w:val="14"/>
              </w:rPr>
              <w:t>2</w:t>
            </w:r>
            <w:r>
              <w:rPr>
                <w:b/>
                <w:bCs/>
                <w:spacing w:val="-2"/>
              </w:rPr>
              <w:t>)</w:t>
            </w:r>
          </w:p>
        </w:tc>
        <w:tc>
          <w:tcPr>
            <w:tcW w:w="1126" w:type="dxa"/>
            <w:vAlign w:val="top"/>
          </w:tcPr>
          <w:p>
            <w:pPr>
              <w:spacing w:before="52" w:line="218" w:lineRule="auto"/>
              <w:ind w:left="83"/>
              <w:rPr>
                <w:rFonts w:ascii="仿宋" w:hAnsi="仿宋" w:eastAsia="仿宋" w:cs="仿宋"/>
                <w:sz w:val="21"/>
                <w:szCs w:val="21"/>
              </w:rPr>
            </w:pPr>
            <w:r>
              <w:rPr>
                <w:rFonts w:ascii="仿宋" w:hAnsi="仿宋" w:eastAsia="仿宋" w:cs="仿宋"/>
                <w:spacing w:val="-10"/>
                <w:sz w:val="21"/>
                <w:szCs w:val="21"/>
                <w14:textOutline w14:w="3810" w14:cap="flat" w14:cmpd="sng">
                  <w14:solidFill>
                    <w14:srgbClr w14:val="000000"/>
                  </w14:solidFill>
                  <w14:prstDash w14:val="solid"/>
                  <w14:miter w14:val="0"/>
                </w14:textOutline>
              </w:rPr>
              <w:t>占评价范围</w:t>
            </w:r>
          </w:p>
          <w:p>
            <w:pPr>
              <w:spacing w:before="64" w:line="218" w:lineRule="auto"/>
              <w:ind w:left="15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该类植被</w:t>
            </w:r>
          </w:p>
          <w:p>
            <w:pPr>
              <w:pStyle w:val="6"/>
              <w:spacing w:before="63" w:line="219" w:lineRule="auto"/>
              <w:ind w:left="375"/>
            </w:pPr>
            <w:r>
              <w:rPr>
                <w:rFonts w:ascii="仿宋" w:hAnsi="仿宋" w:eastAsia="仿宋" w:cs="仿宋"/>
                <w:spacing w:val="-13"/>
                <w14:textOutline w14:w="3810" w14:cap="flat" w14:cmpd="sng">
                  <w14:solidFill>
                    <w14:srgbClr w14:val="000000"/>
                  </w14:solidFill>
                  <w14:prstDash w14:val="solid"/>
                  <w14:miter w14:val="0"/>
                </w14:textOutline>
              </w:rPr>
              <w:t>的</w:t>
            </w:r>
            <w:r>
              <w:rPr>
                <w:b/>
                <w:bCs/>
                <w:spacing w:val="-13"/>
              </w:rPr>
              <w:t>%</w:t>
            </w:r>
          </w:p>
        </w:tc>
        <w:tc>
          <w:tcPr>
            <w:tcW w:w="708" w:type="dxa"/>
            <w:vAlign w:val="top"/>
          </w:tcPr>
          <w:p>
            <w:pPr>
              <w:pStyle w:val="6"/>
              <w:spacing w:before="207" w:line="253" w:lineRule="auto"/>
              <w:ind w:left="108" w:right="100" w:firstLine="49"/>
            </w:pPr>
            <w:r>
              <w:rPr>
                <w:rFonts w:ascii="仿宋" w:hAnsi="仿宋" w:eastAsia="仿宋" w:cs="仿宋"/>
                <w:spacing w:val="-9"/>
                <w14:textOutline w14:w="3810" w14:cap="flat" w14:cmpd="sng">
                  <w14:solidFill>
                    <w14:srgbClr w14:val="000000"/>
                  </w14:solidFill>
                  <w14:prstDash w14:val="solid"/>
                  <w14:miter w14:val="0"/>
                </w14:textOutline>
              </w:rPr>
              <w:t>面积</w:t>
            </w:r>
            <w:r>
              <w:rPr>
                <w:rFonts w:ascii="仿宋" w:hAnsi="仿宋" w:eastAsia="仿宋" w:cs="仿宋"/>
              </w:rPr>
              <w:t xml:space="preserve"> </w:t>
            </w:r>
            <w:r>
              <w:rPr>
                <w:b/>
                <w:bCs/>
                <w:spacing w:val="-2"/>
              </w:rPr>
              <w:t>(hm</w:t>
            </w:r>
            <w:r>
              <w:rPr>
                <w:b/>
                <w:bCs/>
                <w:spacing w:val="-2"/>
                <w:position w:val="6"/>
                <w:sz w:val="14"/>
                <w:szCs w:val="14"/>
              </w:rPr>
              <w:t>2</w:t>
            </w:r>
            <w:r>
              <w:rPr>
                <w:b/>
                <w:bCs/>
                <w:spacing w:val="-2"/>
              </w:rPr>
              <w:t>)</w:t>
            </w:r>
          </w:p>
        </w:tc>
        <w:tc>
          <w:tcPr>
            <w:tcW w:w="1134" w:type="dxa"/>
            <w:vAlign w:val="top"/>
          </w:tcPr>
          <w:p>
            <w:pPr>
              <w:spacing w:before="52" w:line="218" w:lineRule="auto"/>
              <w:ind w:left="86"/>
              <w:rPr>
                <w:rFonts w:ascii="仿宋" w:hAnsi="仿宋" w:eastAsia="仿宋" w:cs="仿宋"/>
                <w:sz w:val="21"/>
                <w:szCs w:val="21"/>
              </w:rPr>
            </w:pPr>
            <w:r>
              <w:rPr>
                <w:rFonts w:ascii="仿宋" w:hAnsi="仿宋" w:eastAsia="仿宋" w:cs="仿宋"/>
                <w:spacing w:val="-10"/>
                <w:sz w:val="21"/>
                <w:szCs w:val="21"/>
                <w14:textOutline w14:w="3810" w14:cap="flat" w14:cmpd="sng">
                  <w14:solidFill>
                    <w14:srgbClr w14:val="000000"/>
                  </w14:solidFill>
                  <w14:prstDash w14:val="solid"/>
                  <w14:miter w14:val="0"/>
                </w14:textOutline>
              </w:rPr>
              <w:t>占评价范围</w:t>
            </w:r>
          </w:p>
          <w:p>
            <w:pPr>
              <w:spacing w:before="64" w:line="218" w:lineRule="auto"/>
              <w:ind w:left="156"/>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该类植被</w:t>
            </w:r>
          </w:p>
          <w:p>
            <w:pPr>
              <w:pStyle w:val="6"/>
              <w:spacing w:before="63" w:line="219" w:lineRule="auto"/>
              <w:ind w:left="379"/>
            </w:pPr>
            <w:r>
              <w:rPr>
                <w:rFonts w:ascii="仿宋" w:hAnsi="仿宋" w:eastAsia="仿宋" w:cs="仿宋"/>
                <w:spacing w:val="-13"/>
                <w14:textOutline w14:w="3810" w14:cap="flat" w14:cmpd="sng">
                  <w14:solidFill>
                    <w14:srgbClr w14:val="000000"/>
                  </w14:solidFill>
                  <w14:prstDash w14:val="solid"/>
                  <w14:miter w14:val="0"/>
                </w14:textOutline>
              </w:rPr>
              <w:t>的</w:t>
            </w:r>
            <w:r>
              <w:rPr>
                <w:b/>
                <w:bCs/>
                <w:spacing w:val="-13"/>
              </w:rPr>
              <w:t>%</w:t>
            </w:r>
          </w:p>
        </w:tc>
        <w:tc>
          <w:tcPr>
            <w:tcW w:w="709" w:type="dxa"/>
            <w:vAlign w:val="top"/>
          </w:tcPr>
          <w:p>
            <w:pPr>
              <w:pStyle w:val="6"/>
              <w:spacing w:before="207" w:line="253" w:lineRule="auto"/>
              <w:ind w:left="109" w:right="101" w:firstLine="49"/>
            </w:pPr>
            <w:r>
              <w:rPr>
                <w:rFonts w:ascii="仿宋" w:hAnsi="仿宋" w:eastAsia="仿宋" w:cs="仿宋"/>
                <w:spacing w:val="-9"/>
                <w14:textOutline w14:w="3810" w14:cap="flat" w14:cmpd="sng">
                  <w14:solidFill>
                    <w14:srgbClr w14:val="000000"/>
                  </w14:solidFill>
                  <w14:prstDash w14:val="solid"/>
                  <w14:miter w14:val="0"/>
                </w14:textOutline>
              </w:rPr>
              <w:t>面积</w:t>
            </w:r>
            <w:r>
              <w:rPr>
                <w:rFonts w:ascii="仿宋" w:hAnsi="仿宋" w:eastAsia="仿宋" w:cs="仿宋"/>
              </w:rPr>
              <w:t xml:space="preserve"> </w:t>
            </w:r>
            <w:r>
              <w:rPr>
                <w:b/>
                <w:bCs/>
                <w:spacing w:val="-2"/>
              </w:rPr>
              <w:t>(hm</w:t>
            </w:r>
            <w:r>
              <w:rPr>
                <w:b/>
                <w:bCs/>
                <w:spacing w:val="-2"/>
                <w:position w:val="6"/>
                <w:sz w:val="14"/>
                <w:szCs w:val="14"/>
              </w:rPr>
              <w:t>2</w:t>
            </w:r>
            <w:r>
              <w:rPr>
                <w:b/>
                <w:bCs/>
                <w:spacing w:val="-2"/>
              </w:rPr>
              <w:t>)</w:t>
            </w:r>
          </w:p>
        </w:tc>
        <w:tc>
          <w:tcPr>
            <w:tcW w:w="992" w:type="dxa"/>
            <w:tcBorders>
              <w:right w:val="nil"/>
            </w:tcBorders>
            <w:vAlign w:val="top"/>
          </w:tcPr>
          <w:p>
            <w:pPr>
              <w:pStyle w:val="6"/>
              <w:spacing w:before="52" w:line="256" w:lineRule="auto"/>
              <w:ind w:left="109" w:right="71" w:firstLine="14"/>
              <w:jc w:val="both"/>
            </w:pPr>
            <w:r>
              <w:rPr>
                <w:rFonts w:ascii="仿宋" w:hAnsi="仿宋" w:eastAsia="仿宋" w:cs="仿宋"/>
                <w:spacing w:val="-12"/>
                <w14:textOutline w14:w="3810" w14:cap="flat" w14:cmpd="sng">
                  <w14:solidFill>
                    <w14:srgbClr w14:val="000000"/>
                  </w14:solidFill>
                  <w14:prstDash w14:val="solid"/>
                  <w14:miter w14:val="0"/>
                </w14:textOutline>
              </w:rPr>
              <w:t>占评价范</w:t>
            </w:r>
            <w:r>
              <w:rPr>
                <w:rFonts w:ascii="仿宋" w:hAnsi="仿宋" w:eastAsia="仿宋" w:cs="仿宋"/>
              </w:rPr>
              <w:t xml:space="preserve"> </w:t>
            </w:r>
            <w:r>
              <w:rPr>
                <w:rFonts w:ascii="仿宋" w:hAnsi="仿宋" w:eastAsia="仿宋" w:cs="仿宋"/>
                <w:spacing w:val="-8"/>
                <w14:textOutline w14:w="3810" w14:cap="flat" w14:cmpd="sng">
                  <w14:solidFill>
                    <w14:srgbClr w14:val="000000"/>
                  </w14:solidFill>
                  <w14:prstDash w14:val="solid"/>
                  <w14:miter w14:val="0"/>
                </w14:textOutline>
              </w:rPr>
              <w:t>围该类植</w:t>
            </w:r>
            <w:r>
              <w:rPr>
                <w:rFonts w:ascii="仿宋" w:hAnsi="仿宋" w:eastAsia="仿宋" w:cs="仿宋"/>
              </w:rPr>
              <w:t xml:space="preserve"> </w:t>
            </w:r>
            <w:r>
              <w:rPr>
                <w:rFonts w:ascii="仿宋" w:hAnsi="仿宋" w:eastAsia="仿宋" w:cs="仿宋"/>
                <w:spacing w:val="24"/>
                <w14:textOutline w14:w="3810" w14:cap="flat" w14:cmpd="sng">
                  <w14:solidFill>
                    <w14:srgbClr w14:val="000000"/>
                  </w14:solidFill>
                  <w14:prstDash w14:val="solid"/>
                  <w14:miter w14:val="0"/>
                </w14:textOutline>
              </w:rPr>
              <w:t>被的</w:t>
            </w:r>
            <w:r>
              <w:rPr>
                <w:b/>
                <w:bCs/>
                <w:spacing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010" w:type="dxa"/>
            <w:tcBorders>
              <w:left w:val="nil"/>
            </w:tcBorders>
            <w:vAlign w:val="top"/>
          </w:tcPr>
          <w:p>
            <w:pPr>
              <w:spacing w:before="58" w:line="217" w:lineRule="auto"/>
              <w:ind w:left="183"/>
              <w:rPr>
                <w:rFonts w:ascii="仿宋" w:hAnsi="仿宋" w:eastAsia="仿宋" w:cs="仿宋"/>
                <w:sz w:val="21"/>
                <w:szCs w:val="21"/>
              </w:rPr>
            </w:pPr>
            <w:r>
              <w:rPr>
                <w:rFonts w:ascii="仿宋" w:hAnsi="仿宋" w:eastAsia="仿宋" w:cs="仿宋"/>
                <w:spacing w:val="-2"/>
                <w:sz w:val="21"/>
                <w:szCs w:val="21"/>
              </w:rPr>
              <w:t>半湿润常绿阔叶林</w:t>
            </w:r>
          </w:p>
        </w:tc>
        <w:tc>
          <w:tcPr>
            <w:tcW w:w="1078" w:type="dxa"/>
            <w:vAlign w:val="top"/>
          </w:tcPr>
          <w:p>
            <w:pPr>
              <w:pStyle w:val="6"/>
              <w:spacing w:before="97" w:line="186" w:lineRule="auto"/>
              <w:ind w:left="307"/>
            </w:pPr>
            <w:r>
              <w:rPr>
                <w:spacing w:val="-2"/>
              </w:rPr>
              <w:t>34.38</w:t>
            </w:r>
          </w:p>
        </w:tc>
        <w:tc>
          <w:tcPr>
            <w:tcW w:w="774" w:type="dxa"/>
            <w:vAlign w:val="top"/>
          </w:tcPr>
          <w:p>
            <w:pPr>
              <w:pStyle w:val="6"/>
              <w:spacing w:before="97" w:line="186" w:lineRule="auto"/>
              <w:ind w:left="203"/>
            </w:pPr>
            <w:r>
              <w:rPr>
                <w:spacing w:val="-1"/>
              </w:rPr>
              <w:t>2.09</w:t>
            </w:r>
          </w:p>
        </w:tc>
        <w:tc>
          <w:tcPr>
            <w:tcW w:w="1126" w:type="dxa"/>
            <w:vAlign w:val="top"/>
          </w:tcPr>
          <w:p>
            <w:pPr>
              <w:pStyle w:val="6"/>
              <w:spacing w:before="97" w:line="186" w:lineRule="auto"/>
              <w:ind w:left="385"/>
            </w:pPr>
            <w:r>
              <w:rPr>
                <w:spacing w:val="-3"/>
              </w:rPr>
              <w:t>6.08</w:t>
            </w:r>
          </w:p>
        </w:tc>
        <w:tc>
          <w:tcPr>
            <w:tcW w:w="708" w:type="dxa"/>
            <w:vAlign w:val="top"/>
          </w:tcPr>
          <w:p>
            <w:pPr>
              <w:pStyle w:val="6"/>
              <w:spacing w:before="97" w:line="186" w:lineRule="auto"/>
              <w:ind w:left="305"/>
            </w:pPr>
            <w:r>
              <w:t>0</w:t>
            </w:r>
          </w:p>
        </w:tc>
        <w:tc>
          <w:tcPr>
            <w:tcW w:w="1134" w:type="dxa"/>
            <w:vAlign w:val="top"/>
          </w:tcPr>
          <w:p>
            <w:pPr>
              <w:pStyle w:val="6"/>
              <w:spacing w:before="97" w:line="186" w:lineRule="auto"/>
              <w:ind w:left="387"/>
            </w:pPr>
            <w:r>
              <w:rPr>
                <w:spacing w:val="-2"/>
              </w:rPr>
              <w:t>0.00</w:t>
            </w:r>
          </w:p>
        </w:tc>
        <w:tc>
          <w:tcPr>
            <w:tcW w:w="709" w:type="dxa"/>
            <w:vAlign w:val="top"/>
          </w:tcPr>
          <w:p>
            <w:pPr>
              <w:pStyle w:val="6"/>
              <w:spacing w:before="97" w:line="186" w:lineRule="auto"/>
              <w:ind w:left="172"/>
            </w:pPr>
            <w:r>
              <w:rPr>
                <w:spacing w:val="-1"/>
              </w:rPr>
              <w:t>2.09</w:t>
            </w:r>
          </w:p>
        </w:tc>
        <w:tc>
          <w:tcPr>
            <w:tcW w:w="992" w:type="dxa"/>
            <w:tcBorders>
              <w:right w:val="nil"/>
            </w:tcBorders>
            <w:vAlign w:val="top"/>
          </w:tcPr>
          <w:p>
            <w:pPr>
              <w:pStyle w:val="6"/>
              <w:spacing w:before="97" w:line="186" w:lineRule="auto"/>
              <w:ind w:left="321"/>
            </w:pPr>
            <w:r>
              <w:rPr>
                <w:spacing w:val="-3"/>
              </w:rPr>
              <w:t>6.08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10" w:type="dxa"/>
            <w:tcBorders>
              <w:left w:val="nil"/>
            </w:tcBorders>
            <w:vAlign w:val="top"/>
          </w:tcPr>
          <w:p>
            <w:pPr>
              <w:spacing w:before="59" w:line="216" w:lineRule="auto"/>
              <w:ind w:left="497"/>
              <w:rPr>
                <w:rFonts w:ascii="仿宋" w:hAnsi="仿宋" w:eastAsia="仿宋" w:cs="仿宋"/>
                <w:sz w:val="21"/>
                <w:szCs w:val="21"/>
              </w:rPr>
            </w:pPr>
            <w:r>
              <w:rPr>
                <w:rFonts w:ascii="仿宋" w:hAnsi="仿宋" w:eastAsia="仿宋" w:cs="仿宋"/>
                <w:spacing w:val="-2"/>
                <w:sz w:val="21"/>
                <w:szCs w:val="21"/>
              </w:rPr>
              <w:t>硬叶阔叶林</w:t>
            </w:r>
          </w:p>
        </w:tc>
        <w:tc>
          <w:tcPr>
            <w:tcW w:w="1078" w:type="dxa"/>
            <w:vAlign w:val="top"/>
          </w:tcPr>
          <w:p>
            <w:pPr>
              <w:pStyle w:val="6"/>
              <w:spacing w:before="97" w:line="186" w:lineRule="auto"/>
              <w:ind w:left="361"/>
            </w:pPr>
            <w:r>
              <w:rPr>
                <w:spacing w:val="-3"/>
              </w:rPr>
              <w:t>5.15</w:t>
            </w:r>
          </w:p>
        </w:tc>
        <w:tc>
          <w:tcPr>
            <w:tcW w:w="774" w:type="dxa"/>
            <w:vAlign w:val="top"/>
          </w:tcPr>
          <w:p>
            <w:pPr>
              <w:pStyle w:val="6"/>
              <w:spacing w:before="97" w:line="186" w:lineRule="auto"/>
              <w:ind w:left="223"/>
            </w:pPr>
            <w:r>
              <w:rPr>
                <w:spacing w:val="-6"/>
              </w:rPr>
              <w:t>1.18</w:t>
            </w:r>
          </w:p>
        </w:tc>
        <w:tc>
          <w:tcPr>
            <w:tcW w:w="1126" w:type="dxa"/>
            <w:vAlign w:val="top"/>
          </w:tcPr>
          <w:p>
            <w:pPr>
              <w:pStyle w:val="6"/>
              <w:spacing w:before="97" w:line="186" w:lineRule="auto"/>
              <w:ind w:left="328"/>
            </w:pPr>
            <w:r>
              <w:rPr>
                <w:spacing w:val="-1"/>
              </w:rPr>
              <w:t>22.91</w:t>
            </w:r>
          </w:p>
        </w:tc>
        <w:tc>
          <w:tcPr>
            <w:tcW w:w="708" w:type="dxa"/>
            <w:vAlign w:val="top"/>
          </w:tcPr>
          <w:p>
            <w:pPr>
              <w:pStyle w:val="6"/>
              <w:spacing w:before="97" w:line="186" w:lineRule="auto"/>
              <w:ind w:left="175"/>
            </w:pPr>
            <w:r>
              <w:rPr>
                <w:spacing w:val="-2"/>
              </w:rPr>
              <w:t>0.11</w:t>
            </w:r>
          </w:p>
        </w:tc>
        <w:tc>
          <w:tcPr>
            <w:tcW w:w="1134" w:type="dxa"/>
            <w:vAlign w:val="top"/>
          </w:tcPr>
          <w:p>
            <w:pPr>
              <w:pStyle w:val="6"/>
              <w:spacing w:before="97" w:line="186" w:lineRule="auto"/>
              <w:ind w:left="384"/>
            </w:pPr>
            <w:r>
              <w:rPr>
                <w:spacing w:val="-1"/>
              </w:rPr>
              <w:t>2.14</w:t>
            </w:r>
          </w:p>
        </w:tc>
        <w:tc>
          <w:tcPr>
            <w:tcW w:w="709" w:type="dxa"/>
            <w:vAlign w:val="top"/>
          </w:tcPr>
          <w:p>
            <w:pPr>
              <w:pStyle w:val="6"/>
              <w:spacing w:before="97" w:line="186" w:lineRule="auto"/>
              <w:ind w:left="192"/>
            </w:pPr>
            <w:r>
              <w:rPr>
                <w:spacing w:val="-6"/>
              </w:rPr>
              <w:t>1.29</w:t>
            </w:r>
          </w:p>
        </w:tc>
        <w:tc>
          <w:tcPr>
            <w:tcW w:w="992" w:type="dxa"/>
            <w:tcBorders>
              <w:right w:val="nil"/>
            </w:tcBorders>
            <w:vAlign w:val="top"/>
          </w:tcPr>
          <w:p>
            <w:pPr>
              <w:pStyle w:val="6"/>
              <w:spacing w:before="97" w:line="186" w:lineRule="auto"/>
              <w:ind w:left="263"/>
            </w:pPr>
            <w:r>
              <w:rPr>
                <w:spacing w:val="-1"/>
              </w:rPr>
              <w:t>25.05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10" w:type="dxa"/>
            <w:tcBorders>
              <w:left w:val="nil"/>
            </w:tcBorders>
            <w:vAlign w:val="top"/>
          </w:tcPr>
          <w:p>
            <w:pPr>
              <w:spacing w:before="61" w:line="214" w:lineRule="auto"/>
              <w:ind w:left="508"/>
              <w:rPr>
                <w:rFonts w:ascii="仿宋" w:hAnsi="仿宋" w:eastAsia="仿宋" w:cs="仿宋"/>
                <w:sz w:val="21"/>
                <w:szCs w:val="21"/>
              </w:rPr>
            </w:pPr>
            <w:r>
              <w:rPr>
                <w:rFonts w:ascii="仿宋" w:hAnsi="仿宋" w:eastAsia="仿宋" w:cs="仿宋"/>
                <w:spacing w:val="-4"/>
                <w:sz w:val="21"/>
                <w:szCs w:val="21"/>
              </w:rPr>
              <w:t>落叶阔叶林</w:t>
            </w:r>
          </w:p>
        </w:tc>
        <w:tc>
          <w:tcPr>
            <w:tcW w:w="1078" w:type="dxa"/>
            <w:vAlign w:val="top"/>
          </w:tcPr>
          <w:p>
            <w:pPr>
              <w:pStyle w:val="6"/>
              <w:spacing w:before="99" w:line="186" w:lineRule="auto"/>
              <w:ind w:left="323"/>
            </w:pPr>
            <w:r>
              <w:rPr>
                <w:spacing w:val="-5"/>
              </w:rPr>
              <w:t>15.38</w:t>
            </w:r>
          </w:p>
        </w:tc>
        <w:tc>
          <w:tcPr>
            <w:tcW w:w="774" w:type="dxa"/>
            <w:vAlign w:val="top"/>
          </w:tcPr>
          <w:p>
            <w:pPr>
              <w:pStyle w:val="6"/>
              <w:spacing w:before="99" w:line="186" w:lineRule="auto"/>
              <w:ind w:left="223"/>
            </w:pPr>
            <w:r>
              <w:rPr>
                <w:spacing w:val="-6"/>
              </w:rPr>
              <w:t>1.52</w:t>
            </w:r>
          </w:p>
        </w:tc>
        <w:tc>
          <w:tcPr>
            <w:tcW w:w="1126" w:type="dxa"/>
            <w:vAlign w:val="top"/>
          </w:tcPr>
          <w:p>
            <w:pPr>
              <w:pStyle w:val="6"/>
              <w:spacing w:before="99" w:line="186" w:lineRule="auto"/>
              <w:ind w:left="385"/>
            </w:pPr>
            <w:r>
              <w:rPr>
                <w:spacing w:val="-2"/>
              </w:rPr>
              <w:t>9.88</w:t>
            </w:r>
          </w:p>
        </w:tc>
        <w:tc>
          <w:tcPr>
            <w:tcW w:w="708" w:type="dxa"/>
            <w:vAlign w:val="top"/>
          </w:tcPr>
          <w:p>
            <w:pPr>
              <w:pStyle w:val="6"/>
              <w:spacing w:before="99" w:line="186" w:lineRule="auto"/>
              <w:ind w:left="305"/>
            </w:pPr>
            <w:r>
              <w:t>0</w:t>
            </w:r>
          </w:p>
        </w:tc>
        <w:tc>
          <w:tcPr>
            <w:tcW w:w="1134" w:type="dxa"/>
            <w:vAlign w:val="top"/>
          </w:tcPr>
          <w:p>
            <w:pPr>
              <w:pStyle w:val="6"/>
              <w:spacing w:before="99" w:line="186" w:lineRule="auto"/>
              <w:ind w:left="387"/>
            </w:pPr>
            <w:r>
              <w:rPr>
                <w:spacing w:val="-2"/>
              </w:rPr>
              <w:t>0.00</w:t>
            </w:r>
          </w:p>
        </w:tc>
        <w:tc>
          <w:tcPr>
            <w:tcW w:w="709" w:type="dxa"/>
            <w:vAlign w:val="top"/>
          </w:tcPr>
          <w:p>
            <w:pPr>
              <w:pStyle w:val="6"/>
              <w:spacing w:before="99" w:line="186" w:lineRule="auto"/>
              <w:ind w:left="192"/>
            </w:pPr>
            <w:r>
              <w:rPr>
                <w:spacing w:val="-6"/>
              </w:rPr>
              <w:t>1.52</w:t>
            </w:r>
          </w:p>
        </w:tc>
        <w:tc>
          <w:tcPr>
            <w:tcW w:w="992" w:type="dxa"/>
            <w:tcBorders>
              <w:right w:val="nil"/>
            </w:tcBorders>
            <w:vAlign w:val="top"/>
          </w:tcPr>
          <w:p>
            <w:pPr>
              <w:pStyle w:val="6"/>
              <w:spacing w:before="99" w:line="186" w:lineRule="auto"/>
              <w:ind w:left="320"/>
            </w:pPr>
            <w:r>
              <w:rPr>
                <w:spacing w:val="-2"/>
              </w:rPr>
              <w:t>9.88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010" w:type="dxa"/>
            <w:tcBorders>
              <w:left w:val="nil"/>
            </w:tcBorders>
            <w:vAlign w:val="top"/>
          </w:tcPr>
          <w:p>
            <w:pPr>
              <w:spacing w:before="63" w:line="213" w:lineRule="auto"/>
              <w:ind w:left="401"/>
              <w:rPr>
                <w:rFonts w:ascii="仿宋" w:hAnsi="仿宋" w:eastAsia="仿宋" w:cs="仿宋"/>
                <w:sz w:val="21"/>
                <w:szCs w:val="21"/>
              </w:rPr>
            </w:pPr>
            <w:r>
              <w:rPr>
                <w:rFonts w:ascii="仿宋" w:hAnsi="仿宋" w:eastAsia="仿宋" w:cs="仿宋"/>
                <w:spacing w:val="-4"/>
                <w:sz w:val="21"/>
                <w:szCs w:val="21"/>
              </w:rPr>
              <w:t>暖温性针叶林</w:t>
            </w:r>
          </w:p>
        </w:tc>
        <w:tc>
          <w:tcPr>
            <w:tcW w:w="1078" w:type="dxa"/>
            <w:vAlign w:val="top"/>
          </w:tcPr>
          <w:p>
            <w:pPr>
              <w:pStyle w:val="6"/>
              <w:spacing w:before="102" w:line="186" w:lineRule="auto"/>
              <w:ind w:left="251"/>
            </w:pPr>
            <w:r>
              <w:rPr>
                <w:spacing w:val="-1"/>
              </w:rPr>
              <w:t>210.79</w:t>
            </w:r>
          </w:p>
        </w:tc>
        <w:tc>
          <w:tcPr>
            <w:tcW w:w="774" w:type="dxa"/>
            <w:vAlign w:val="top"/>
          </w:tcPr>
          <w:p>
            <w:pPr>
              <w:pStyle w:val="6"/>
              <w:spacing w:before="102" w:line="186" w:lineRule="auto"/>
              <w:ind w:left="170"/>
            </w:pPr>
            <w:r>
              <w:rPr>
                <w:spacing w:val="-5"/>
              </w:rPr>
              <w:t>15.69</w:t>
            </w:r>
          </w:p>
        </w:tc>
        <w:tc>
          <w:tcPr>
            <w:tcW w:w="1126" w:type="dxa"/>
            <w:vAlign w:val="top"/>
          </w:tcPr>
          <w:p>
            <w:pPr>
              <w:pStyle w:val="6"/>
              <w:spacing w:before="102" w:line="186" w:lineRule="auto"/>
              <w:ind w:left="384"/>
            </w:pPr>
            <w:r>
              <w:rPr>
                <w:spacing w:val="-2"/>
              </w:rPr>
              <w:t>7.44</w:t>
            </w:r>
          </w:p>
        </w:tc>
        <w:tc>
          <w:tcPr>
            <w:tcW w:w="708" w:type="dxa"/>
            <w:vAlign w:val="top"/>
          </w:tcPr>
          <w:p>
            <w:pPr>
              <w:pStyle w:val="6"/>
              <w:spacing w:before="102" w:line="186" w:lineRule="auto"/>
              <w:ind w:left="192"/>
            </w:pPr>
            <w:r>
              <w:rPr>
                <w:spacing w:val="-6"/>
              </w:rPr>
              <w:t>1.11</w:t>
            </w:r>
          </w:p>
        </w:tc>
        <w:tc>
          <w:tcPr>
            <w:tcW w:w="1134" w:type="dxa"/>
            <w:vAlign w:val="top"/>
          </w:tcPr>
          <w:p>
            <w:pPr>
              <w:pStyle w:val="6"/>
              <w:spacing w:before="102" w:line="186" w:lineRule="auto"/>
              <w:ind w:left="387"/>
            </w:pPr>
            <w:r>
              <w:rPr>
                <w:spacing w:val="-2"/>
              </w:rPr>
              <w:t>0.53</w:t>
            </w:r>
          </w:p>
        </w:tc>
        <w:tc>
          <w:tcPr>
            <w:tcW w:w="709" w:type="dxa"/>
            <w:vAlign w:val="top"/>
          </w:tcPr>
          <w:p>
            <w:pPr>
              <w:pStyle w:val="6"/>
              <w:spacing w:before="102" w:line="186" w:lineRule="auto"/>
              <w:ind w:left="192"/>
            </w:pPr>
            <w:r>
              <w:rPr>
                <w:spacing w:val="-6"/>
              </w:rPr>
              <w:t>16.8</w:t>
            </w:r>
          </w:p>
        </w:tc>
        <w:tc>
          <w:tcPr>
            <w:tcW w:w="992" w:type="dxa"/>
            <w:tcBorders>
              <w:right w:val="nil"/>
            </w:tcBorders>
            <w:vAlign w:val="top"/>
          </w:tcPr>
          <w:p>
            <w:pPr>
              <w:pStyle w:val="6"/>
              <w:spacing w:before="102" w:line="186" w:lineRule="auto"/>
              <w:ind w:left="319"/>
            </w:pPr>
            <w:r>
              <w:rPr>
                <w:spacing w:val="-2"/>
              </w:rPr>
              <w:t>7.97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10" w:type="dxa"/>
            <w:tcBorders>
              <w:left w:val="nil"/>
            </w:tcBorders>
            <w:vAlign w:val="top"/>
          </w:tcPr>
          <w:p>
            <w:pPr>
              <w:spacing w:before="63" w:line="212" w:lineRule="auto"/>
              <w:ind w:left="86"/>
              <w:rPr>
                <w:rFonts w:ascii="仿宋" w:hAnsi="仿宋" w:eastAsia="仿宋" w:cs="仿宋"/>
                <w:sz w:val="21"/>
                <w:szCs w:val="21"/>
              </w:rPr>
            </w:pPr>
            <w:r>
              <w:rPr>
                <w:rFonts w:ascii="仿宋" w:hAnsi="仿宋" w:eastAsia="仿宋" w:cs="仿宋"/>
                <w:spacing w:val="-3"/>
                <w:sz w:val="21"/>
                <w:szCs w:val="21"/>
              </w:rPr>
              <w:t>暖温性稀树灌木草丛</w:t>
            </w:r>
          </w:p>
        </w:tc>
        <w:tc>
          <w:tcPr>
            <w:tcW w:w="1078" w:type="dxa"/>
            <w:vAlign w:val="top"/>
          </w:tcPr>
          <w:p>
            <w:pPr>
              <w:pStyle w:val="6"/>
              <w:spacing w:before="102" w:line="186" w:lineRule="auto"/>
              <w:ind w:left="251"/>
            </w:pPr>
            <w:r>
              <w:rPr>
                <w:spacing w:val="-1"/>
              </w:rPr>
              <w:t>213.17</w:t>
            </w:r>
          </w:p>
        </w:tc>
        <w:tc>
          <w:tcPr>
            <w:tcW w:w="774" w:type="dxa"/>
            <w:vAlign w:val="top"/>
          </w:tcPr>
          <w:p>
            <w:pPr>
              <w:pStyle w:val="6"/>
              <w:spacing w:before="102" w:line="186" w:lineRule="auto"/>
              <w:ind w:left="154"/>
            </w:pPr>
            <w:r>
              <w:rPr>
                <w:spacing w:val="-2"/>
              </w:rPr>
              <w:t>36.76</w:t>
            </w:r>
          </w:p>
        </w:tc>
        <w:tc>
          <w:tcPr>
            <w:tcW w:w="1126" w:type="dxa"/>
            <w:vAlign w:val="top"/>
          </w:tcPr>
          <w:p>
            <w:pPr>
              <w:pStyle w:val="6"/>
              <w:spacing w:before="102" w:line="186" w:lineRule="auto"/>
              <w:ind w:left="348"/>
            </w:pPr>
            <w:r>
              <w:rPr>
                <w:spacing w:val="-5"/>
              </w:rPr>
              <w:t>17.24</w:t>
            </w:r>
          </w:p>
        </w:tc>
        <w:tc>
          <w:tcPr>
            <w:tcW w:w="708" w:type="dxa"/>
            <w:vAlign w:val="top"/>
          </w:tcPr>
          <w:p>
            <w:pPr>
              <w:pStyle w:val="6"/>
              <w:spacing w:before="102" w:line="186" w:lineRule="auto"/>
              <w:ind w:left="119"/>
            </w:pPr>
            <w:r>
              <w:rPr>
                <w:spacing w:val="-1"/>
              </w:rPr>
              <w:t>29.07</w:t>
            </w:r>
          </w:p>
        </w:tc>
        <w:tc>
          <w:tcPr>
            <w:tcW w:w="1134" w:type="dxa"/>
            <w:vAlign w:val="top"/>
          </w:tcPr>
          <w:p>
            <w:pPr>
              <w:pStyle w:val="6"/>
              <w:spacing w:before="102" w:line="186" w:lineRule="auto"/>
              <w:ind w:left="351"/>
            </w:pPr>
            <w:r>
              <w:rPr>
                <w:spacing w:val="-5"/>
              </w:rPr>
              <w:t>13.64</w:t>
            </w:r>
          </w:p>
        </w:tc>
        <w:tc>
          <w:tcPr>
            <w:tcW w:w="709" w:type="dxa"/>
            <w:vAlign w:val="top"/>
          </w:tcPr>
          <w:p>
            <w:pPr>
              <w:pStyle w:val="6"/>
              <w:spacing w:before="102" w:line="186" w:lineRule="auto"/>
              <w:ind w:left="124"/>
            </w:pPr>
            <w:r>
              <w:rPr>
                <w:spacing w:val="-2"/>
              </w:rPr>
              <w:t>65.83</w:t>
            </w:r>
          </w:p>
        </w:tc>
        <w:tc>
          <w:tcPr>
            <w:tcW w:w="992" w:type="dxa"/>
            <w:tcBorders>
              <w:right w:val="nil"/>
            </w:tcBorders>
            <w:vAlign w:val="top"/>
          </w:tcPr>
          <w:p>
            <w:pPr>
              <w:pStyle w:val="6"/>
              <w:spacing w:before="102" w:line="186" w:lineRule="auto"/>
              <w:ind w:left="267"/>
            </w:pPr>
            <w:r>
              <w:rPr>
                <w:spacing w:val="-2"/>
              </w:rPr>
              <w:t>30.88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10" w:type="dxa"/>
            <w:tcBorders>
              <w:left w:val="nil"/>
            </w:tcBorders>
            <w:vAlign w:val="top"/>
          </w:tcPr>
          <w:p>
            <w:pPr>
              <w:spacing w:before="66" w:line="210" w:lineRule="auto"/>
              <w:ind w:left="296"/>
              <w:rPr>
                <w:rFonts w:ascii="仿宋" w:hAnsi="仿宋" w:eastAsia="仿宋" w:cs="仿宋"/>
                <w:sz w:val="21"/>
                <w:szCs w:val="21"/>
              </w:rPr>
            </w:pPr>
            <w:r>
              <w:rPr>
                <w:rFonts w:ascii="仿宋" w:hAnsi="仿宋" w:eastAsia="仿宋" w:cs="仿宋"/>
                <w:spacing w:val="-3"/>
                <w:sz w:val="21"/>
                <w:szCs w:val="21"/>
              </w:rPr>
              <w:t>暖性石灰岩灌丛</w:t>
            </w:r>
          </w:p>
        </w:tc>
        <w:tc>
          <w:tcPr>
            <w:tcW w:w="1078" w:type="dxa"/>
            <w:vAlign w:val="top"/>
          </w:tcPr>
          <w:p>
            <w:pPr>
              <w:pStyle w:val="6"/>
              <w:spacing w:before="104" w:line="186" w:lineRule="auto"/>
              <w:ind w:left="311"/>
            </w:pPr>
            <w:r>
              <w:rPr>
                <w:spacing w:val="-3"/>
              </w:rPr>
              <w:t>88.51</w:t>
            </w:r>
          </w:p>
        </w:tc>
        <w:tc>
          <w:tcPr>
            <w:tcW w:w="774" w:type="dxa"/>
            <w:vAlign w:val="top"/>
          </w:tcPr>
          <w:p>
            <w:pPr>
              <w:pStyle w:val="6"/>
              <w:spacing w:before="104" w:line="186" w:lineRule="auto"/>
              <w:ind w:left="150"/>
            </w:pPr>
            <w:r>
              <w:rPr>
                <w:spacing w:val="-1"/>
              </w:rPr>
              <w:t>26.33</w:t>
            </w:r>
          </w:p>
        </w:tc>
        <w:tc>
          <w:tcPr>
            <w:tcW w:w="1126" w:type="dxa"/>
            <w:vAlign w:val="top"/>
          </w:tcPr>
          <w:p>
            <w:pPr>
              <w:pStyle w:val="6"/>
              <w:spacing w:before="104" w:line="186" w:lineRule="auto"/>
              <w:ind w:left="328"/>
            </w:pPr>
            <w:r>
              <w:rPr>
                <w:spacing w:val="-1"/>
              </w:rPr>
              <w:t>29.75</w:t>
            </w:r>
          </w:p>
        </w:tc>
        <w:tc>
          <w:tcPr>
            <w:tcW w:w="708" w:type="dxa"/>
            <w:vAlign w:val="top"/>
          </w:tcPr>
          <w:p>
            <w:pPr>
              <w:pStyle w:val="6"/>
              <w:spacing w:before="104" w:line="186" w:lineRule="auto"/>
              <w:ind w:left="171"/>
            </w:pPr>
            <w:r>
              <w:rPr>
                <w:spacing w:val="-1"/>
              </w:rPr>
              <w:t>2.83</w:t>
            </w:r>
          </w:p>
        </w:tc>
        <w:tc>
          <w:tcPr>
            <w:tcW w:w="1134" w:type="dxa"/>
            <w:vAlign w:val="top"/>
          </w:tcPr>
          <w:p>
            <w:pPr>
              <w:pStyle w:val="6"/>
              <w:spacing w:before="104" w:line="186" w:lineRule="auto"/>
              <w:ind w:left="388"/>
            </w:pPr>
            <w:r>
              <w:rPr>
                <w:spacing w:val="-2"/>
              </w:rPr>
              <w:t>3.20</w:t>
            </w:r>
          </w:p>
        </w:tc>
        <w:tc>
          <w:tcPr>
            <w:tcW w:w="709" w:type="dxa"/>
            <w:vAlign w:val="top"/>
          </w:tcPr>
          <w:p>
            <w:pPr>
              <w:pStyle w:val="6"/>
              <w:spacing w:before="104" w:line="186" w:lineRule="auto"/>
              <w:ind w:left="119"/>
            </w:pPr>
            <w:r>
              <w:rPr>
                <w:spacing w:val="-1"/>
              </w:rPr>
              <w:t>29.16</w:t>
            </w:r>
          </w:p>
        </w:tc>
        <w:tc>
          <w:tcPr>
            <w:tcW w:w="992" w:type="dxa"/>
            <w:tcBorders>
              <w:right w:val="nil"/>
            </w:tcBorders>
            <w:vAlign w:val="top"/>
          </w:tcPr>
          <w:p>
            <w:pPr>
              <w:pStyle w:val="6"/>
              <w:spacing w:before="104" w:line="186" w:lineRule="auto"/>
              <w:ind w:left="267"/>
            </w:pPr>
            <w:r>
              <w:rPr>
                <w:spacing w:val="-2"/>
              </w:rPr>
              <w:t>32.95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010" w:type="dxa"/>
            <w:tcBorders>
              <w:left w:val="nil"/>
            </w:tcBorders>
            <w:vAlign w:val="top"/>
          </w:tcPr>
          <w:p>
            <w:pPr>
              <w:spacing w:before="68" w:line="209" w:lineRule="auto"/>
              <w:ind w:left="812"/>
              <w:rPr>
                <w:rFonts w:ascii="仿宋" w:hAnsi="仿宋" w:eastAsia="仿宋" w:cs="仿宋"/>
                <w:sz w:val="21"/>
                <w:szCs w:val="21"/>
              </w:rPr>
            </w:pPr>
            <w:r>
              <w:rPr>
                <w:rFonts w:ascii="仿宋" w:hAnsi="仿宋" w:eastAsia="仿宋" w:cs="仿宋"/>
                <w:spacing w:val="-4"/>
                <w:sz w:val="21"/>
                <w:szCs w:val="21"/>
              </w:rPr>
              <w:t>水田</w:t>
            </w:r>
          </w:p>
        </w:tc>
        <w:tc>
          <w:tcPr>
            <w:tcW w:w="1078" w:type="dxa"/>
            <w:vAlign w:val="top"/>
          </w:tcPr>
          <w:p>
            <w:pPr>
              <w:pStyle w:val="6"/>
              <w:spacing w:before="107" w:line="186" w:lineRule="auto"/>
              <w:ind w:left="323"/>
            </w:pPr>
            <w:r>
              <w:rPr>
                <w:spacing w:val="-5"/>
              </w:rPr>
              <w:t>18.14</w:t>
            </w:r>
          </w:p>
        </w:tc>
        <w:tc>
          <w:tcPr>
            <w:tcW w:w="774" w:type="dxa"/>
            <w:vAlign w:val="top"/>
          </w:tcPr>
          <w:p>
            <w:pPr>
              <w:pStyle w:val="6"/>
              <w:spacing w:before="107" w:line="186" w:lineRule="auto"/>
              <w:ind w:left="206"/>
            </w:pPr>
            <w:r>
              <w:rPr>
                <w:spacing w:val="-2"/>
              </w:rPr>
              <w:t>0.32</w:t>
            </w:r>
          </w:p>
        </w:tc>
        <w:tc>
          <w:tcPr>
            <w:tcW w:w="1126" w:type="dxa"/>
            <w:vAlign w:val="top"/>
          </w:tcPr>
          <w:p>
            <w:pPr>
              <w:pStyle w:val="6"/>
              <w:spacing w:before="107" w:line="186" w:lineRule="auto"/>
              <w:ind w:left="401"/>
            </w:pPr>
            <w:r>
              <w:rPr>
                <w:spacing w:val="-6"/>
              </w:rPr>
              <w:t>1.76</w:t>
            </w:r>
          </w:p>
        </w:tc>
        <w:tc>
          <w:tcPr>
            <w:tcW w:w="708" w:type="dxa"/>
            <w:vAlign w:val="top"/>
          </w:tcPr>
          <w:p>
            <w:pPr>
              <w:pStyle w:val="6"/>
              <w:spacing w:before="107" w:line="186" w:lineRule="auto"/>
              <w:ind w:left="171"/>
            </w:pPr>
            <w:r>
              <w:rPr>
                <w:spacing w:val="-1"/>
              </w:rPr>
              <w:t>2.00</w:t>
            </w:r>
          </w:p>
        </w:tc>
        <w:tc>
          <w:tcPr>
            <w:tcW w:w="1134" w:type="dxa"/>
            <w:vAlign w:val="top"/>
          </w:tcPr>
          <w:p>
            <w:pPr>
              <w:pStyle w:val="6"/>
              <w:spacing w:before="107" w:line="186" w:lineRule="auto"/>
              <w:ind w:left="351"/>
            </w:pPr>
            <w:r>
              <w:rPr>
                <w:spacing w:val="-5"/>
              </w:rPr>
              <w:t>11.03</w:t>
            </w:r>
          </w:p>
        </w:tc>
        <w:tc>
          <w:tcPr>
            <w:tcW w:w="709" w:type="dxa"/>
            <w:vAlign w:val="top"/>
          </w:tcPr>
          <w:p>
            <w:pPr>
              <w:pStyle w:val="6"/>
              <w:spacing w:before="107" w:line="186" w:lineRule="auto"/>
              <w:ind w:left="172"/>
            </w:pPr>
            <w:r>
              <w:rPr>
                <w:spacing w:val="-1"/>
              </w:rPr>
              <w:t>2.32</w:t>
            </w:r>
          </w:p>
        </w:tc>
        <w:tc>
          <w:tcPr>
            <w:tcW w:w="992" w:type="dxa"/>
            <w:tcBorders>
              <w:right w:val="nil"/>
            </w:tcBorders>
            <w:vAlign w:val="top"/>
          </w:tcPr>
          <w:p>
            <w:pPr>
              <w:pStyle w:val="6"/>
              <w:spacing w:before="107" w:line="186" w:lineRule="auto"/>
              <w:ind w:left="283"/>
            </w:pPr>
            <w:r>
              <w:rPr>
                <w:spacing w:val="-5"/>
              </w:rPr>
              <w:t>12.79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10" w:type="dxa"/>
            <w:tcBorders>
              <w:left w:val="nil"/>
            </w:tcBorders>
            <w:vAlign w:val="top"/>
          </w:tcPr>
          <w:p>
            <w:pPr>
              <w:spacing w:before="69" w:line="207" w:lineRule="auto"/>
              <w:ind w:left="816"/>
              <w:rPr>
                <w:rFonts w:ascii="仿宋" w:hAnsi="仿宋" w:eastAsia="仿宋" w:cs="仿宋"/>
                <w:sz w:val="21"/>
                <w:szCs w:val="21"/>
              </w:rPr>
            </w:pPr>
            <w:r>
              <w:rPr>
                <w:rFonts w:ascii="仿宋" w:hAnsi="仿宋" w:eastAsia="仿宋" w:cs="仿宋"/>
                <w:spacing w:val="-5"/>
                <w:sz w:val="21"/>
                <w:szCs w:val="21"/>
              </w:rPr>
              <w:t>旱地</w:t>
            </w:r>
          </w:p>
        </w:tc>
        <w:tc>
          <w:tcPr>
            <w:tcW w:w="1078" w:type="dxa"/>
            <w:vAlign w:val="top"/>
          </w:tcPr>
          <w:p>
            <w:pPr>
              <w:pStyle w:val="6"/>
              <w:spacing w:before="107" w:line="186" w:lineRule="auto"/>
              <w:ind w:left="271"/>
            </w:pPr>
            <w:r>
              <w:rPr>
                <w:spacing w:val="-4"/>
              </w:rPr>
              <w:t>118.45</w:t>
            </w:r>
          </w:p>
        </w:tc>
        <w:tc>
          <w:tcPr>
            <w:tcW w:w="774" w:type="dxa"/>
            <w:vAlign w:val="top"/>
          </w:tcPr>
          <w:p>
            <w:pPr>
              <w:pStyle w:val="6"/>
              <w:spacing w:before="107" w:line="186" w:lineRule="auto"/>
              <w:ind w:left="170"/>
            </w:pPr>
            <w:r>
              <w:rPr>
                <w:spacing w:val="-5"/>
              </w:rPr>
              <w:t>10.64</w:t>
            </w:r>
          </w:p>
        </w:tc>
        <w:tc>
          <w:tcPr>
            <w:tcW w:w="1126" w:type="dxa"/>
            <w:vAlign w:val="top"/>
          </w:tcPr>
          <w:p>
            <w:pPr>
              <w:pStyle w:val="6"/>
              <w:spacing w:before="107" w:line="186" w:lineRule="auto"/>
              <w:ind w:left="389"/>
            </w:pPr>
            <w:r>
              <w:rPr>
                <w:spacing w:val="-4"/>
              </w:rPr>
              <w:t>8.98</w:t>
            </w:r>
          </w:p>
        </w:tc>
        <w:tc>
          <w:tcPr>
            <w:tcW w:w="708" w:type="dxa"/>
            <w:vAlign w:val="top"/>
          </w:tcPr>
          <w:p>
            <w:pPr>
              <w:pStyle w:val="6"/>
              <w:spacing w:before="107" w:line="186" w:lineRule="auto"/>
              <w:ind w:left="176"/>
            </w:pPr>
            <w:r>
              <w:rPr>
                <w:spacing w:val="-2"/>
              </w:rPr>
              <w:t>3.75</w:t>
            </w:r>
          </w:p>
        </w:tc>
        <w:tc>
          <w:tcPr>
            <w:tcW w:w="1134" w:type="dxa"/>
            <w:vAlign w:val="top"/>
          </w:tcPr>
          <w:p>
            <w:pPr>
              <w:pStyle w:val="6"/>
              <w:spacing w:before="107" w:line="186" w:lineRule="auto"/>
              <w:ind w:left="388"/>
            </w:pPr>
            <w:r>
              <w:rPr>
                <w:spacing w:val="-2"/>
              </w:rPr>
              <w:t>3.17</w:t>
            </w:r>
          </w:p>
        </w:tc>
        <w:tc>
          <w:tcPr>
            <w:tcW w:w="709" w:type="dxa"/>
            <w:vAlign w:val="top"/>
          </w:tcPr>
          <w:p>
            <w:pPr>
              <w:pStyle w:val="6"/>
              <w:spacing w:before="107" w:line="186" w:lineRule="auto"/>
              <w:ind w:left="139"/>
            </w:pPr>
            <w:r>
              <w:rPr>
                <w:spacing w:val="-5"/>
              </w:rPr>
              <w:t>14.39</w:t>
            </w:r>
          </w:p>
        </w:tc>
        <w:tc>
          <w:tcPr>
            <w:tcW w:w="992" w:type="dxa"/>
            <w:tcBorders>
              <w:right w:val="nil"/>
            </w:tcBorders>
            <w:vAlign w:val="top"/>
          </w:tcPr>
          <w:p>
            <w:pPr>
              <w:pStyle w:val="6"/>
              <w:spacing w:before="107" w:line="186" w:lineRule="auto"/>
              <w:ind w:left="283"/>
            </w:pPr>
            <w:r>
              <w:rPr>
                <w:spacing w:val="-5"/>
              </w:rPr>
              <w:t>12.15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10" w:type="dxa"/>
            <w:tcBorders>
              <w:left w:val="nil"/>
            </w:tcBorders>
            <w:vAlign w:val="top"/>
          </w:tcPr>
          <w:p>
            <w:pPr>
              <w:spacing w:before="70" w:line="206" w:lineRule="auto"/>
              <w:ind w:left="833"/>
              <w:rPr>
                <w:rFonts w:ascii="仿宋" w:hAnsi="仿宋" w:eastAsia="仿宋" w:cs="仿宋"/>
                <w:sz w:val="21"/>
                <w:szCs w:val="21"/>
              </w:rPr>
            </w:pPr>
            <w:r>
              <w:rPr>
                <w:rFonts w:ascii="仿宋" w:hAnsi="仿宋" w:eastAsia="仿宋" w:cs="仿宋"/>
                <w:spacing w:val="-9"/>
                <w:sz w:val="21"/>
                <w:szCs w:val="21"/>
              </w:rPr>
              <w:t>园地</w:t>
            </w:r>
          </w:p>
        </w:tc>
        <w:tc>
          <w:tcPr>
            <w:tcW w:w="1078" w:type="dxa"/>
            <w:vAlign w:val="top"/>
          </w:tcPr>
          <w:p>
            <w:pPr>
              <w:pStyle w:val="6"/>
              <w:spacing w:before="109" w:line="186" w:lineRule="auto"/>
              <w:ind w:left="307"/>
            </w:pPr>
            <w:r>
              <w:rPr>
                <w:spacing w:val="-2"/>
              </w:rPr>
              <w:t>38.69</w:t>
            </w:r>
          </w:p>
        </w:tc>
        <w:tc>
          <w:tcPr>
            <w:tcW w:w="774" w:type="dxa"/>
            <w:vAlign w:val="top"/>
          </w:tcPr>
          <w:p>
            <w:pPr>
              <w:pStyle w:val="6"/>
              <w:spacing w:before="109" w:line="186" w:lineRule="auto"/>
              <w:ind w:left="206"/>
            </w:pPr>
            <w:r>
              <w:rPr>
                <w:spacing w:val="-2"/>
              </w:rPr>
              <w:t>0.79</w:t>
            </w:r>
          </w:p>
        </w:tc>
        <w:tc>
          <w:tcPr>
            <w:tcW w:w="1126" w:type="dxa"/>
            <w:vAlign w:val="top"/>
          </w:tcPr>
          <w:p>
            <w:pPr>
              <w:pStyle w:val="6"/>
              <w:spacing w:before="109" w:line="186" w:lineRule="auto"/>
              <w:ind w:left="381"/>
            </w:pPr>
            <w:r>
              <w:rPr>
                <w:spacing w:val="-1"/>
              </w:rPr>
              <w:t>2.04</w:t>
            </w:r>
          </w:p>
        </w:tc>
        <w:tc>
          <w:tcPr>
            <w:tcW w:w="708" w:type="dxa"/>
            <w:vAlign w:val="top"/>
          </w:tcPr>
          <w:p>
            <w:pPr>
              <w:pStyle w:val="6"/>
              <w:spacing w:before="109" w:line="186" w:lineRule="auto"/>
              <w:ind w:left="177"/>
            </w:pPr>
            <w:r>
              <w:rPr>
                <w:spacing w:val="-3"/>
              </w:rPr>
              <w:t>5.36</w:t>
            </w:r>
          </w:p>
        </w:tc>
        <w:tc>
          <w:tcPr>
            <w:tcW w:w="1134" w:type="dxa"/>
            <w:vAlign w:val="top"/>
          </w:tcPr>
          <w:p>
            <w:pPr>
              <w:pStyle w:val="6"/>
              <w:spacing w:before="109" w:line="186" w:lineRule="auto"/>
              <w:ind w:left="351"/>
            </w:pPr>
            <w:r>
              <w:rPr>
                <w:spacing w:val="-5"/>
              </w:rPr>
              <w:t>13.85</w:t>
            </w:r>
          </w:p>
        </w:tc>
        <w:tc>
          <w:tcPr>
            <w:tcW w:w="709" w:type="dxa"/>
            <w:vAlign w:val="top"/>
          </w:tcPr>
          <w:p>
            <w:pPr>
              <w:pStyle w:val="6"/>
              <w:spacing w:before="109" w:line="186" w:lineRule="auto"/>
              <w:ind w:left="176"/>
            </w:pPr>
            <w:r>
              <w:rPr>
                <w:spacing w:val="-3"/>
              </w:rPr>
              <w:t>6.15</w:t>
            </w:r>
          </w:p>
        </w:tc>
        <w:tc>
          <w:tcPr>
            <w:tcW w:w="992" w:type="dxa"/>
            <w:tcBorders>
              <w:right w:val="nil"/>
            </w:tcBorders>
            <w:vAlign w:val="top"/>
          </w:tcPr>
          <w:p>
            <w:pPr>
              <w:pStyle w:val="6"/>
              <w:spacing w:before="109" w:line="186" w:lineRule="auto"/>
              <w:ind w:left="283"/>
            </w:pPr>
            <w:r>
              <w:rPr>
                <w:spacing w:val="-5"/>
              </w:rPr>
              <w:t>15.90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010" w:type="dxa"/>
            <w:tcBorders>
              <w:left w:val="nil"/>
            </w:tcBorders>
            <w:vAlign w:val="top"/>
          </w:tcPr>
          <w:p>
            <w:pPr>
              <w:spacing w:before="73" w:line="204" w:lineRule="auto"/>
              <w:ind w:left="812"/>
              <w:rPr>
                <w:rFonts w:ascii="仿宋" w:hAnsi="仿宋" w:eastAsia="仿宋" w:cs="仿宋"/>
                <w:sz w:val="21"/>
                <w:szCs w:val="21"/>
              </w:rPr>
            </w:pPr>
            <w:r>
              <w:rPr>
                <w:rFonts w:ascii="仿宋" w:hAnsi="仿宋" w:eastAsia="仿宋" w:cs="仿宋"/>
                <w:spacing w:val="-4"/>
                <w:sz w:val="21"/>
                <w:szCs w:val="21"/>
              </w:rPr>
              <w:t>水体</w:t>
            </w:r>
          </w:p>
        </w:tc>
        <w:tc>
          <w:tcPr>
            <w:tcW w:w="1078" w:type="dxa"/>
            <w:vAlign w:val="top"/>
          </w:tcPr>
          <w:p>
            <w:pPr>
              <w:pStyle w:val="6"/>
              <w:spacing w:before="112" w:line="186" w:lineRule="auto"/>
              <w:ind w:left="307"/>
            </w:pPr>
            <w:r>
              <w:rPr>
                <w:spacing w:val="-2"/>
              </w:rPr>
              <w:t>35.45</w:t>
            </w:r>
          </w:p>
        </w:tc>
        <w:tc>
          <w:tcPr>
            <w:tcW w:w="774" w:type="dxa"/>
            <w:vAlign w:val="top"/>
          </w:tcPr>
          <w:p>
            <w:pPr>
              <w:pStyle w:val="6"/>
              <w:spacing w:before="112" w:line="186" w:lineRule="auto"/>
              <w:ind w:left="203"/>
            </w:pPr>
            <w:r>
              <w:rPr>
                <w:spacing w:val="-1"/>
              </w:rPr>
              <w:t>2.21</w:t>
            </w:r>
          </w:p>
        </w:tc>
        <w:tc>
          <w:tcPr>
            <w:tcW w:w="1126" w:type="dxa"/>
            <w:vAlign w:val="top"/>
          </w:tcPr>
          <w:p>
            <w:pPr>
              <w:pStyle w:val="6"/>
              <w:spacing w:before="112" w:line="186" w:lineRule="auto"/>
              <w:ind w:left="385"/>
            </w:pPr>
            <w:r>
              <w:rPr>
                <w:spacing w:val="-3"/>
              </w:rPr>
              <w:t>6.23</w:t>
            </w:r>
          </w:p>
        </w:tc>
        <w:tc>
          <w:tcPr>
            <w:tcW w:w="708" w:type="dxa"/>
            <w:vAlign w:val="top"/>
          </w:tcPr>
          <w:p>
            <w:pPr>
              <w:pStyle w:val="6"/>
              <w:spacing w:before="112" w:line="186" w:lineRule="auto"/>
              <w:ind w:left="192"/>
            </w:pPr>
            <w:r>
              <w:rPr>
                <w:spacing w:val="-6"/>
              </w:rPr>
              <w:t>1.11</w:t>
            </w:r>
          </w:p>
        </w:tc>
        <w:tc>
          <w:tcPr>
            <w:tcW w:w="1134" w:type="dxa"/>
            <w:vAlign w:val="top"/>
          </w:tcPr>
          <w:p>
            <w:pPr>
              <w:pStyle w:val="6"/>
              <w:spacing w:before="112" w:line="186" w:lineRule="auto"/>
              <w:ind w:left="388"/>
            </w:pPr>
            <w:r>
              <w:rPr>
                <w:spacing w:val="-2"/>
              </w:rPr>
              <w:t>3.13</w:t>
            </w:r>
          </w:p>
        </w:tc>
        <w:tc>
          <w:tcPr>
            <w:tcW w:w="709" w:type="dxa"/>
            <w:vAlign w:val="top"/>
          </w:tcPr>
          <w:p>
            <w:pPr>
              <w:pStyle w:val="6"/>
              <w:spacing w:before="112" w:line="186" w:lineRule="auto"/>
              <w:ind w:left="176"/>
            </w:pPr>
            <w:r>
              <w:rPr>
                <w:spacing w:val="-2"/>
              </w:rPr>
              <w:t>3.32</w:t>
            </w:r>
          </w:p>
        </w:tc>
        <w:tc>
          <w:tcPr>
            <w:tcW w:w="992" w:type="dxa"/>
            <w:tcBorders>
              <w:right w:val="nil"/>
            </w:tcBorders>
            <w:vAlign w:val="top"/>
          </w:tcPr>
          <w:p>
            <w:pPr>
              <w:pStyle w:val="6"/>
              <w:spacing w:before="112" w:line="186" w:lineRule="auto"/>
              <w:ind w:left="320"/>
            </w:pPr>
            <w:r>
              <w:rPr>
                <w:spacing w:val="-2"/>
              </w:rPr>
              <w:t>9.37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10" w:type="dxa"/>
            <w:tcBorders>
              <w:left w:val="nil"/>
            </w:tcBorders>
            <w:vAlign w:val="top"/>
          </w:tcPr>
          <w:p>
            <w:pPr>
              <w:spacing w:before="74" w:line="203" w:lineRule="auto"/>
              <w:ind w:left="817"/>
              <w:rPr>
                <w:rFonts w:ascii="仿宋" w:hAnsi="仿宋" w:eastAsia="仿宋" w:cs="仿宋"/>
                <w:sz w:val="21"/>
                <w:szCs w:val="21"/>
              </w:rPr>
            </w:pPr>
            <w:r>
              <w:rPr>
                <w:rFonts w:ascii="仿宋" w:hAnsi="仿宋" w:eastAsia="仿宋" w:cs="仿宋"/>
                <w:spacing w:val="-5"/>
                <w:sz w:val="21"/>
                <w:szCs w:val="21"/>
              </w:rPr>
              <w:t>公路</w:t>
            </w:r>
          </w:p>
        </w:tc>
        <w:tc>
          <w:tcPr>
            <w:tcW w:w="1078" w:type="dxa"/>
            <w:vAlign w:val="top"/>
          </w:tcPr>
          <w:p>
            <w:pPr>
              <w:pStyle w:val="6"/>
              <w:spacing w:before="112" w:line="186" w:lineRule="auto"/>
              <w:ind w:left="355"/>
            </w:pPr>
            <w:r>
              <w:rPr>
                <w:spacing w:val="-1"/>
              </w:rPr>
              <w:t>27.8</w:t>
            </w:r>
          </w:p>
        </w:tc>
        <w:tc>
          <w:tcPr>
            <w:tcW w:w="774" w:type="dxa"/>
            <w:vAlign w:val="top"/>
          </w:tcPr>
          <w:p>
            <w:pPr>
              <w:pStyle w:val="6"/>
              <w:spacing w:before="112" w:line="186" w:lineRule="auto"/>
              <w:ind w:left="223"/>
            </w:pPr>
            <w:r>
              <w:rPr>
                <w:spacing w:val="-6"/>
              </w:rPr>
              <w:t>1.34</w:t>
            </w:r>
          </w:p>
        </w:tc>
        <w:tc>
          <w:tcPr>
            <w:tcW w:w="1126" w:type="dxa"/>
            <w:vAlign w:val="top"/>
          </w:tcPr>
          <w:p>
            <w:pPr>
              <w:pStyle w:val="6"/>
              <w:spacing w:before="112" w:line="186" w:lineRule="auto"/>
              <w:ind w:left="380"/>
            </w:pPr>
            <w:r>
              <w:rPr>
                <w:spacing w:val="-1"/>
              </w:rPr>
              <w:t>4.82</w:t>
            </w:r>
          </w:p>
        </w:tc>
        <w:tc>
          <w:tcPr>
            <w:tcW w:w="708" w:type="dxa"/>
            <w:vAlign w:val="top"/>
          </w:tcPr>
          <w:p>
            <w:pPr>
              <w:pStyle w:val="6"/>
              <w:spacing w:before="112" w:line="186" w:lineRule="auto"/>
              <w:ind w:left="175"/>
            </w:pPr>
            <w:r>
              <w:rPr>
                <w:spacing w:val="-2"/>
              </w:rPr>
              <w:t>0.18</w:t>
            </w:r>
          </w:p>
        </w:tc>
        <w:tc>
          <w:tcPr>
            <w:tcW w:w="1134" w:type="dxa"/>
            <w:vAlign w:val="top"/>
          </w:tcPr>
          <w:p>
            <w:pPr>
              <w:pStyle w:val="6"/>
              <w:spacing w:before="112" w:line="186" w:lineRule="auto"/>
              <w:ind w:left="387"/>
            </w:pPr>
            <w:r>
              <w:rPr>
                <w:spacing w:val="-2"/>
              </w:rPr>
              <w:t>0.65</w:t>
            </w:r>
          </w:p>
        </w:tc>
        <w:tc>
          <w:tcPr>
            <w:tcW w:w="709" w:type="dxa"/>
            <w:vAlign w:val="top"/>
          </w:tcPr>
          <w:p>
            <w:pPr>
              <w:pStyle w:val="6"/>
              <w:spacing w:before="112" w:line="186" w:lineRule="auto"/>
              <w:ind w:left="192"/>
            </w:pPr>
            <w:r>
              <w:rPr>
                <w:spacing w:val="-6"/>
              </w:rPr>
              <w:t>1.52</w:t>
            </w:r>
          </w:p>
        </w:tc>
        <w:tc>
          <w:tcPr>
            <w:tcW w:w="992" w:type="dxa"/>
            <w:tcBorders>
              <w:right w:val="nil"/>
            </w:tcBorders>
            <w:vAlign w:val="top"/>
          </w:tcPr>
          <w:p>
            <w:pPr>
              <w:pStyle w:val="6"/>
              <w:spacing w:before="112" w:line="186" w:lineRule="auto"/>
              <w:ind w:left="322"/>
            </w:pPr>
            <w:r>
              <w:rPr>
                <w:spacing w:val="-3"/>
              </w:rPr>
              <w:t>5.47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2010" w:type="dxa"/>
            <w:tcBorders>
              <w:left w:val="nil"/>
            </w:tcBorders>
            <w:vAlign w:val="top"/>
          </w:tcPr>
          <w:p>
            <w:pPr>
              <w:spacing w:before="76" w:line="201" w:lineRule="auto"/>
              <w:ind w:left="708"/>
              <w:rPr>
                <w:rFonts w:ascii="仿宋" w:hAnsi="仿宋" w:eastAsia="仿宋" w:cs="仿宋"/>
                <w:sz w:val="21"/>
                <w:szCs w:val="21"/>
              </w:rPr>
            </w:pPr>
            <w:r>
              <w:rPr>
                <w:rFonts w:ascii="仿宋" w:hAnsi="仿宋" w:eastAsia="仿宋" w:cs="仿宋"/>
                <w:spacing w:val="-4"/>
                <w:sz w:val="21"/>
                <w:szCs w:val="21"/>
              </w:rPr>
              <w:t>居民点</w:t>
            </w:r>
          </w:p>
        </w:tc>
        <w:tc>
          <w:tcPr>
            <w:tcW w:w="1078" w:type="dxa"/>
            <w:vAlign w:val="top"/>
          </w:tcPr>
          <w:p>
            <w:pPr>
              <w:pStyle w:val="6"/>
              <w:spacing w:before="114" w:line="186" w:lineRule="auto"/>
              <w:ind w:left="354"/>
            </w:pPr>
            <w:r>
              <w:rPr>
                <w:spacing w:val="-1"/>
              </w:rPr>
              <w:t>4.35</w:t>
            </w:r>
          </w:p>
        </w:tc>
        <w:tc>
          <w:tcPr>
            <w:tcW w:w="774" w:type="dxa"/>
            <w:vAlign w:val="top"/>
          </w:tcPr>
          <w:p>
            <w:pPr>
              <w:pStyle w:val="6"/>
              <w:spacing w:before="114" w:line="186" w:lineRule="auto"/>
              <w:ind w:left="206"/>
            </w:pPr>
            <w:r>
              <w:rPr>
                <w:spacing w:val="-2"/>
              </w:rPr>
              <w:t>0.15</w:t>
            </w:r>
          </w:p>
        </w:tc>
        <w:tc>
          <w:tcPr>
            <w:tcW w:w="1126" w:type="dxa"/>
            <w:vAlign w:val="top"/>
          </w:tcPr>
          <w:p>
            <w:pPr>
              <w:pStyle w:val="6"/>
              <w:spacing w:before="114" w:line="186" w:lineRule="auto"/>
              <w:ind w:left="385"/>
            </w:pPr>
            <w:r>
              <w:rPr>
                <w:spacing w:val="-2"/>
              </w:rPr>
              <w:t>3.45</w:t>
            </w:r>
          </w:p>
        </w:tc>
        <w:tc>
          <w:tcPr>
            <w:tcW w:w="708" w:type="dxa"/>
            <w:vAlign w:val="top"/>
          </w:tcPr>
          <w:p>
            <w:pPr>
              <w:pStyle w:val="6"/>
              <w:spacing w:before="114" w:line="186" w:lineRule="auto"/>
              <w:ind w:left="175"/>
            </w:pPr>
            <w:r>
              <w:rPr>
                <w:spacing w:val="-2"/>
              </w:rPr>
              <w:t>0.23</w:t>
            </w:r>
          </w:p>
        </w:tc>
        <w:tc>
          <w:tcPr>
            <w:tcW w:w="1134" w:type="dxa"/>
            <w:vAlign w:val="top"/>
          </w:tcPr>
          <w:p>
            <w:pPr>
              <w:pStyle w:val="6"/>
              <w:spacing w:before="114" w:line="186" w:lineRule="auto"/>
              <w:ind w:left="389"/>
            </w:pPr>
            <w:r>
              <w:rPr>
                <w:spacing w:val="-3"/>
              </w:rPr>
              <w:t>5.29</w:t>
            </w:r>
          </w:p>
        </w:tc>
        <w:tc>
          <w:tcPr>
            <w:tcW w:w="709" w:type="dxa"/>
            <w:vAlign w:val="top"/>
          </w:tcPr>
          <w:p>
            <w:pPr>
              <w:pStyle w:val="6"/>
              <w:spacing w:before="114" w:line="186" w:lineRule="auto"/>
              <w:ind w:left="175"/>
            </w:pPr>
            <w:r>
              <w:rPr>
                <w:spacing w:val="-2"/>
              </w:rPr>
              <w:t>0.38</w:t>
            </w:r>
          </w:p>
        </w:tc>
        <w:tc>
          <w:tcPr>
            <w:tcW w:w="992" w:type="dxa"/>
            <w:tcBorders>
              <w:right w:val="nil"/>
            </w:tcBorders>
            <w:vAlign w:val="top"/>
          </w:tcPr>
          <w:p>
            <w:pPr>
              <w:pStyle w:val="6"/>
              <w:spacing w:before="114" w:line="186" w:lineRule="auto"/>
              <w:ind w:left="324"/>
            </w:pPr>
            <w:r>
              <w:rPr>
                <w:spacing w:val="-4"/>
              </w:rPr>
              <w:t>8.74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010" w:type="dxa"/>
            <w:tcBorders>
              <w:left w:val="nil"/>
            </w:tcBorders>
            <w:vAlign w:val="top"/>
          </w:tcPr>
          <w:p>
            <w:pPr>
              <w:spacing w:before="78" w:line="200" w:lineRule="auto"/>
              <w:ind w:left="814"/>
              <w:rPr>
                <w:rFonts w:ascii="仿宋" w:hAnsi="仿宋" w:eastAsia="仿宋" w:cs="仿宋"/>
                <w:sz w:val="21"/>
                <w:szCs w:val="21"/>
              </w:rPr>
            </w:pPr>
            <w:r>
              <w:rPr>
                <w:rFonts w:ascii="仿宋" w:hAnsi="仿宋" w:eastAsia="仿宋" w:cs="仿宋"/>
                <w:spacing w:val="-4"/>
                <w:sz w:val="21"/>
                <w:szCs w:val="21"/>
              </w:rPr>
              <w:t>其他</w:t>
            </w:r>
          </w:p>
        </w:tc>
        <w:tc>
          <w:tcPr>
            <w:tcW w:w="1078" w:type="dxa"/>
            <w:vAlign w:val="top"/>
          </w:tcPr>
          <w:p>
            <w:pPr>
              <w:pStyle w:val="6"/>
              <w:spacing w:before="117" w:line="186" w:lineRule="auto"/>
              <w:ind w:left="323"/>
            </w:pPr>
            <w:r>
              <w:rPr>
                <w:spacing w:val="-5"/>
              </w:rPr>
              <w:t>10.24</w:t>
            </w:r>
          </w:p>
        </w:tc>
        <w:tc>
          <w:tcPr>
            <w:tcW w:w="774" w:type="dxa"/>
            <w:vAlign w:val="top"/>
          </w:tcPr>
          <w:p>
            <w:pPr>
              <w:pStyle w:val="6"/>
              <w:spacing w:before="117" w:line="186" w:lineRule="auto"/>
              <w:ind w:left="259"/>
            </w:pPr>
            <w:r>
              <w:rPr>
                <w:spacing w:val="-3"/>
              </w:rPr>
              <w:t>0.2</w:t>
            </w:r>
          </w:p>
        </w:tc>
        <w:tc>
          <w:tcPr>
            <w:tcW w:w="1126" w:type="dxa"/>
            <w:vAlign w:val="top"/>
          </w:tcPr>
          <w:p>
            <w:pPr>
              <w:pStyle w:val="6"/>
              <w:spacing w:before="117" w:line="186" w:lineRule="auto"/>
              <w:ind w:left="401"/>
            </w:pPr>
            <w:r>
              <w:rPr>
                <w:spacing w:val="-6"/>
              </w:rPr>
              <w:t>1.95</w:t>
            </w:r>
          </w:p>
        </w:tc>
        <w:tc>
          <w:tcPr>
            <w:tcW w:w="708" w:type="dxa"/>
            <w:vAlign w:val="top"/>
          </w:tcPr>
          <w:p>
            <w:pPr>
              <w:pStyle w:val="6"/>
              <w:spacing w:before="117" w:line="186" w:lineRule="auto"/>
              <w:ind w:left="192"/>
            </w:pPr>
            <w:r>
              <w:rPr>
                <w:spacing w:val="-6"/>
              </w:rPr>
              <w:t>1.03</w:t>
            </w:r>
          </w:p>
        </w:tc>
        <w:tc>
          <w:tcPr>
            <w:tcW w:w="1134" w:type="dxa"/>
            <w:vAlign w:val="top"/>
          </w:tcPr>
          <w:p>
            <w:pPr>
              <w:pStyle w:val="6"/>
              <w:spacing w:before="117" w:line="186" w:lineRule="auto"/>
              <w:ind w:left="351"/>
            </w:pPr>
            <w:r>
              <w:rPr>
                <w:spacing w:val="-5"/>
              </w:rPr>
              <w:t>10.06</w:t>
            </w:r>
          </w:p>
        </w:tc>
        <w:tc>
          <w:tcPr>
            <w:tcW w:w="709" w:type="dxa"/>
            <w:vAlign w:val="top"/>
          </w:tcPr>
          <w:p>
            <w:pPr>
              <w:pStyle w:val="6"/>
              <w:spacing w:before="117" w:line="186" w:lineRule="auto"/>
              <w:ind w:left="192"/>
            </w:pPr>
            <w:r>
              <w:rPr>
                <w:spacing w:val="-6"/>
              </w:rPr>
              <w:t>1.23</w:t>
            </w:r>
          </w:p>
        </w:tc>
        <w:tc>
          <w:tcPr>
            <w:tcW w:w="992" w:type="dxa"/>
            <w:tcBorders>
              <w:right w:val="nil"/>
            </w:tcBorders>
            <w:vAlign w:val="top"/>
          </w:tcPr>
          <w:p>
            <w:pPr>
              <w:pStyle w:val="6"/>
              <w:spacing w:before="117" w:line="186" w:lineRule="auto"/>
              <w:ind w:left="283"/>
            </w:pPr>
            <w:r>
              <w:rPr>
                <w:spacing w:val="-5"/>
              </w:rPr>
              <w:t>12.01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2010" w:type="dxa"/>
            <w:tcBorders>
              <w:left w:val="nil"/>
              <w:bottom w:val="single" w:color="000000" w:sz="12" w:space="0"/>
            </w:tcBorders>
            <w:vAlign w:val="top"/>
          </w:tcPr>
          <w:p>
            <w:pPr>
              <w:spacing w:before="79" w:line="218" w:lineRule="auto"/>
              <w:ind w:left="818"/>
              <w:rPr>
                <w:rFonts w:ascii="仿宋" w:hAnsi="仿宋" w:eastAsia="仿宋" w:cs="仿宋"/>
                <w:sz w:val="21"/>
                <w:szCs w:val="21"/>
              </w:rPr>
            </w:pPr>
            <w:r>
              <w:rPr>
                <w:rFonts w:ascii="仿宋" w:hAnsi="仿宋" w:eastAsia="仿宋" w:cs="仿宋"/>
                <w:spacing w:val="-5"/>
                <w:sz w:val="21"/>
                <w:szCs w:val="21"/>
              </w:rPr>
              <w:t>合计</w:t>
            </w:r>
          </w:p>
        </w:tc>
        <w:tc>
          <w:tcPr>
            <w:tcW w:w="1078" w:type="dxa"/>
            <w:tcBorders>
              <w:bottom w:val="single" w:color="000000" w:sz="12" w:space="0"/>
            </w:tcBorders>
            <w:vAlign w:val="top"/>
          </w:tcPr>
          <w:p>
            <w:pPr>
              <w:pStyle w:val="6"/>
              <w:spacing w:before="117" w:line="186" w:lineRule="auto"/>
              <w:ind w:left="311"/>
            </w:pPr>
            <w:r>
              <w:rPr>
                <w:spacing w:val="-3"/>
              </w:rPr>
              <w:t>820.5</w:t>
            </w:r>
          </w:p>
        </w:tc>
        <w:tc>
          <w:tcPr>
            <w:tcW w:w="774" w:type="dxa"/>
            <w:tcBorders>
              <w:bottom w:val="single" w:color="000000" w:sz="12" w:space="0"/>
            </w:tcBorders>
            <w:vAlign w:val="top"/>
          </w:tcPr>
          <w:p>
            <w:pPr>
              <w:pStyle w:val="6"/>
              <w:spacing w:before="117" w:line="186" w:lineRule="auto"/>
              <w:ind w:left="154"/>
            </w:pPr>
            <w:r>
              <w:rPr>
                <w:spacing w:val="-2"/>
              </w:rPr>
              <w:t>99.22</w:t>
            </w:r>
          </w:p>
        </w:tc>
        <w:tc>
          <w:tcPr>
            <w:tcW w:w="1126" w:type="dxa"/>
            <w:tcBorders>
              <w:bottom w:val="single" w:color="000000" w:sz="12" w:space="0"/>
            </w:tcBorders>
            <w:vAlign w:val="top"/>
          </w:tcPr>
          <w:p>
            <w:pPr>
              <w:pStyle w:val="6"/>
              <w:spacing w:before="117" w:line="186" w:lineRule="auto"/>
              <w:ind w:left="348"/>
            </w:pPr>
            <w:r>
              <w:rPr>
                <w:spacing w:val="-5"/>
              </w:rPr>
              <w:t>12.09</w:t>
            </w:r>
          </w:p>
        </w:tc>
        <w:tc>
          <w:tcPr>
            <w:tcW w:w="708" w:type="dxa"/>
            <w:tcBorders>
              <w:bottom w:val="single" w:color="000000" w:sz="12" w:space="0"/>
            </w:tcBorders>
            <w:vAlign w:val="top"/>
          </w:tcPr>
          <w:p>
            <w:pPr>
              <w:pStyle w:val="6"/>
              <w:spacing w:before="117" w:line="186" w:lineRule="auto"/>
              <w:ind w:left="118"/>
            </w:pPr>
            <w:r>
              <w:rPr>
                <w:spacing w:val="-1"/>
              </w:rPr>
              <w:t>46.78</w:t>
            </w:r>
          </w:p>
        </w:tc>
        <w:tc>
          <w:tcPr>
            <w:tcW w:w="1134" w:type="dxa"/>
            <w:tcBorders>
              <w:bottom w:val="single" w:color="000000" w:sz="12" w:space="0"/>
            </w:tcBorders>
            <w:vAlign w:val="top"/>
          </w:tcPr>
          <w:p>
            <w:pPr>
              <w:pStyle w:val="6"/>
              <w:spacing w:before="117" w:line="186" w:lineRule="auto"/>
              <w:ind w:left="389"/>
            </w:pPr>
            <w:r>
              <w:rPr>
                <w:spacing w:val="-3"/>
              </w:rPr>
              <w:t>5.70</w:t>
            </w:r>
          </w:p>
        </w:tc>
        <w:tc>
          <w:tcPr>
            <w:tcW w:w="709" w:type="dxa"/>
            <w:tcBorders>
              <w:bottom w:val="single" w:color="000000" w:sz="12" w:space="0"/>
            </w:tcBorders>
            <w:vAlign w:val="top"/>
          </w:tcPr>
          <w:p>
            <w:pPr>
              <w:pStyle w:val="6"/>
              <w:spacing w:before="117" w:line="186" w:lineRule="auto"/>
              <w:ind w:left="218"/>
            </w:pPr>
            <w:r>
              <w:rPr>
                <w:spacing w:val="-6"/>
              </w:rPr>
              <w:t>146</w:t>
            </w:r>
          </w:p>
        </w:tc>
        <w:tc>
          <w:tcPr>
            <w:tcW w:w="992" w:type="dxa"/>
            <w:tcBorders>
              <w:bottom w:val="single" w:color="000000" w:sz="12" w:space="0"/>
              <w:right w:val="nil"/>
            </w:tcBorders>
            <w:vAlign w:val="top"/>
          </w:tcPr>
          <w:p>
            <w:pPr>
              <w:pStyle w:val="6"/>
              <w:spacing w:before="117" w:line="186" w:lineRule="auto"/>
              <w:ind w:left="283"/>
            </w:pPr>
            <w:r>
              <w:rPr>
                <w:spacing w:val="-5"/>
              </w:rPr>
              <w:t>17.79</w:t>
            </w:r>
          </w:p>
        </w:tc>
      </w:tr>
    </w:tbl>
    <w:p>
      <w:pPr>
        <w:spacing w:before="35" w:line="219" w:lineRule="auto"/>
        <w:ind w:left="611"/>
        <w:rPr>
          <w:rFonts w:ascii="宋体" w:hAnsi="宋体" w:eastAsia="宋体" w:cs="宋体"/>
          <w:sz w:val="24"/>
          <w:szCs w:val="24"/>
        </w:rPr>
      </w:pPr>
      <w:r>
        <w:rPr>
          <w:rFonts w:ascii="宋体" w:hAnsi="宋体" w:eastAsia="宋体" w:cs="宋体"/>
          <w:spacing w:val="-3"/>
          <w:sz w:val="24"/>
          <w:szCs w:val="24"/>
        </w:rPr>
        <w:t>水库的建设将会对生物群落形态方面的结构造成影响，一</w:t>
      </w:r>
      <w:r>
        <w:rPr>
          <w:rFonts w:ascii="宋体" w:hAnsi="宋体" w:eastAsia="宋体" w:cs="宋体"/>
          <w:spacing w:val="-4"/>
          <w:sz w:val="24"/>
          <w:szCs w:val="24"/>
        </w:rPr>
        <w:t>方面将改变生物群</w:t>
      </w:r>
    </w:p>
    <w:p>
      <w:pPr>
        <w:spacing w:before="183" w:line="359" w:lineRule="auto"/>
        <w:ind w:left="128" w:right="188" w:firstLine="1"/>
        <w:jc w:val="both"/>
        <w:rPr>
          <w:rFonts w:ascii="宋体" w:hAnsi="宋体" w:eastAsia="宋体" w:cs="宋体"/>
          <w:sz w:val="24"/>
          <w:szCs w:val="24"/>
        </w:rPr>
      </w:pPr>
      <w:r>
        <w:rPr>
          <w:rFonts w:ascii="宋体" w:hAnsi="宋体" w:eastAsia="宋体" w:cs="宋体"/>
          <w:spacing w:val="-8"/>
          <w:sz w:val="24"/>
          <w:szCs w:val="24"/>
        </w:rPr>
        <w:t>落的水平结构，</w:t>
      </w:r>
      <w:r>
        <w:rPr>
          <w:rFonts w:ascii="宋体" w:hAnsi="宋体" w:eastAsia="宋体" w:cs="宋体"/>
          <w:spacing w:val="54"/>
          <w:sz w:val="24"/>
          <w:szCs w:val="24"/>
        </w:rPr>
        <w:t xml:space="preserve"> </w:t>
      </w:r>
      <w:r>
        <w:rPr>
          <w:rFonts w:ascii="宋体" w:hAnsi="宋体" w:eastAsia="宋体" w:cs="宋体"/>
          <w:spacing w:val="-8"/>
          <w:sz w:val="24"/>
          <w:szCs w:val="24"/>
        </w:rPr>
        <w:t>同时对局部地段的群落垂直结构（群落恢复后的种类组成和结构</w:t>
      </w:r>
      <w:r>
        <w:rPr>
          <w:rFonts w:ascii="宋体" w:hAnsi="宋体" w:eastAsia="宋体" w:cs="宋体"/>
          <w:sz w:val="24"/>
          <w:szCs w:val="24"/>
        </w:rPr>
        <w:t xml:space="preserve"> </w:t>
      </w:r>
      <w:r>
        <w:rPr>
          <w:rFonts w:ascii="宋体" w:hAnsi="宋体" w:eastAsia="宋体" w:cs="宋体"/>
          <w:spacing w:val="-7"/>
          <w:sz w:val="24"/>
          <w:szCs w:val="24"/>
        </w:rPr>
        <w:t>变化）</w:t>
      </w:r>
      <w:r>
        <w:rPr>
          <w:rFonts w:ascii="宋体" w:hAnsi="宋体" w:eastAsia="宋体" w:cs="宋体"/>
          <w:spacing w:val="-41"/>
          <w:sz w:val="24"/>
          <w:szCs w:val="24"/>
        </w:rPr>
        <w:t xml:space="preserve"> </w:t>
      </w:r>
      <w:r>
        <w:rPr>
          <w:rFonts w:ascii="宋体" w:hAnsi="宋体" w:eastAsia="宋体" w:cs="宋体"/>
          <w:spacing w:val="-7"/>
          <w:sz w:val="24"/>
          <w:szCs w:val="24"/>
        </w:rPr>
        <w:t>造成影响。该建设项目将占用的生物群落面积和范围均较小，</w:t>
      </w:r>
      <w:r>
        <w:rPr>
          <w:rFonts w:ascii="宋体" w:hAnsi="宋体" w:eastAsia="宋体" w:cs="宋体"/>
          <w:spacing w:val="-58"/>
          <w:sz w:val="24"/>
          <w:szCs w:val="24"/>
        </w:rPr>
        <w:t xml:space="preserve"> </w:t>
      </w:r>
      <w:r>
        <w:rPr>
          <w:rFonts w:ascii="宋体" w:hAnsi="宋体" w:eastAsia="宋体" w:cs="宋体"/>
          <w:spacing w:val="-7"/>
          <w:sz w:val="24"/>
          <w:szCs w:val="24"/>
        </w:rPr>
        <w:t>仅在极小范</w:t>
      </w:r>
      <w:r>
        <w:rPr>
          <w:rFonts w:ascii="宋体" w:hAnsi="宋体" w:eastAsia="宋体" w:cs="宋体"/>
          <w:sz w:val="24"/>
          <w:szCs w:val="24"/>
        </w:rPr>
        <w:t xml:space="preserve"> </w:t>
      </w:r>
      <w:r>
        <w:rPr>
          <w:rFonts w:ascii="宋体" w:hAnsi="宋体" w:eastAsia="宋体" w:cs="宋体"/>
          <w:spacing w:val="-3"/>
          <w:sz w:val="24"/>
          <w:szCs w:val="24"/>
        </w:rPr>
        <w:t>围改变了生物群落结构，不会造成区域植被类型的消失和植被的格局发生大的改</w:t>
      </w:r>
    </w:p>
    <w:p>
      <w:pPr>
        <w:spacing w:before="1" w:line="220" w:lineRule="auto"/>
        <w:ind w:left="128"/>
        <w:rPr>
          <w:rFonts w:ascii="宋体" w:hAnsi="宋体" w:eastAsia="宋体" w:cs="宋体"/>
          <w:sz w:val="24"/>
          <w:szCs w:val="24"/>
        </w:rPr>
      </w:pPr>
      <w:r>
        <w:rPr>
          <w:rFonts w:ascii="宋体" w:hAnsi="宋体" w:eastAsia="宋体" w:cs="宋体"/>
          <w:spacing w:val="-11"/>
          <w:sz w:val="24"/>
          <w:szCs w:val="24"/>
        </w:rPr>
        <w:t>变。</w:t>
      </w:r>
    </w:p>
    <w:p>
      <w:pPr>
        <w:spacing w:before="179" w:line="218" w:lineRule="auto"/>
        <w:ind w:left="61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）程永久占地对植被影响的预测评价</w:t>
      </w:r>
    </w:p>
    <w:p>
      <w:pPr>
        <w:spacing w:before="184" w:line="217" w:lineRule="auto"/>
        <w:ind w:left="607"/>
        <w:rPr>
          <w:rFonts w:ascii="宋体" w:hAnsi="宋体" w:eastAsia="宋体" w:cs="宋体"/>
          <w:sz w:val="24"/>
          <w:szCs w:val="24"/>
        </w:rPr>
      </w:pPr>
      <w:r>
        <w:rPr>
          <w:rFonts w:ascii="宋体" w:hAnsi="宋体" w:eastAsia="宋体" w:cs="宋体"/>
          <w:spacing w:val="-1"/>
          <w:sz w:val="24"/>
          <w:szCs w:val="24"/>
        </w:rPr>
        <w:t>①工程永久占地对自然植被影响的预测评价</w:t>
      </w:r>
    </w:p>
    <w:p>
      <w:pPr>
        <w:spacing w:before="186" w:line="359" w:lineRule="auto"/>
        <w:ind w:left="147" w:right="190" w:firstLine="459"/>
        <w:rPr>
          <w:rFonts w:ascii="宋体" w:hAnsi="宋体" w:eastAsia="宋体" w:cs="宋体"/>
          <w:sz w:val="24"/>
          <w:szCs w:val="24"/>
        </w:rPr>
      </w:pPr>
      <w:r>
        <w:rPr>
          <w:rFonts w:ascii="宋体" w:hAnsi="宋体" w:eastAsia="宋体" w:cs="宋体"/>
          <w:spacing w:val="1"/>
          <w:sz w:val="24"/>
          <w:szCs w:val="24"/>
        </w:rPr>
        <w:t xml:space="preserve">施工中被永久占用而消失的自然植被的面积约 </w:t>
      </w:r>
      <w:r>
        <w:rPr>
          <w:rFonts w:ascii="Times New Roman" w:hAnsi="Times New Roman" w:eastAsia="Times New Roman" w:cs="Times New Roman"/>
          <w:spacing w:val="1"/>
          <w:sz w:val="24"/>
          <w:szCs w:val="24"/>
        </w:rPr>
        <w:t>83.5</w:t>
      </w:r>
      <w:r>
        <w:rPr>
          <w:rFonts w:ascii="Times New Roman" w:hAnsi="Times New Roman" w:eastAsia="Times New Roman" w:cs="Times New Roman"/>
          <w:sz w:val="24"/>
          <w:szCs w:val="24"/>
        </w:rPr>
        <w:t>7hm</w:t>
      </w:r>
      <w:r>
        <w:rPr>
          <w:rFonts w:ascii="Times New Roman" w:hAnsi="Times New Roman" w:eastAsia="Times New Roman" w:cs="Times New Roman"/>
          <w:position w:val="8"/>
          <w:sz w:val="15"/>
          <w:szCs w:val="15"/>
        </w:rPr>
        <w:t>2</w:t>
      </w:r>
      <w:r>
        <w:rPr>
          <w:rFonts w:ascii="Times New Roman" w:hAnsi="Times New Roman" w:eastAsia="Times New Roman" w:cs="Times New Roman"/>
          <w:spacing w:val="-9"/>
          <w:position w:val="8"/>
          <w:sz w:val="15"/>
          <w:szCs w:val="15"/>
        </w:rPr>
        <w:t xml:space="preserve"> </w:t>
      </w:r>
      <w:r>
        <w:rPr>
          <w:rFonts w:ascii="宋体" w:hAnsi="宋体" w:eastAsia="宋体" w:cs="宋体"/>
          <w:sz w:val="24"/>
          <w:szCs w:val="24"/>
        </w:rPr>
        <w:t xml:space="preserve">，占永久占地面积 </w:t>
      </w:r>
      <w:r>
        <w:rPr>
          <w:rFonts w:ascii="宋体" w:hAnsi="宋体" w:eastAsia="宋体" w:cs="宋体"/>
          <w:spacing w:val="-5"/>
          <w:sz w:val="24"/>
          <w:szCs w:val="24"/>
        </w:rPr>
        <w:t>的</w:t>
      </w:r>
      <w:r>
        <w:rPr>
          <w:rFonts w:ascii="宋体" w:hAnsi="宋体" w:eastAsia="宋体" w:cs="宋体"/>
          <w:spacing w:val="-27"/>
          <w:sz w:val="24"/>
          <w:szCs w:val="24"/>
        </w:rPr>
        <w:t xml:space="preserve"> </w:t>
      </w:r>
      <w:r>
        <w:rPr>
          <w:rFonts w:ascii="Times New Roman" w:hAnsi="Times New Roman" w:eastAsia="Times New Roman" w:cs="Times New Roman"/>
          <w:spacing w:val="-5"/>
          <w:sz w:val="24"/>
          <w:szCs w:val="24"/>
        </w:rPr>
        <w:t>84.23%</w:t>
      </w:r>
      <w:r>
        <w:rPr>
          <w:rFonts w:ascii="宋体" w:hAnsi="宋体" w:eastAsia="宋体" w:cs="宋体"/>
          <w:spacing w:val="-5"/>
          <w:sz w:val="24"/>
          <w:szCs w:val="24"/>
        </w:rPr>
        <w:t>，占评价区自然植被面积的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14.73%</w:t>
      </w:r>
      <w:r>
        <w:rPr>
          <w:rFonts w:ascii="宋体" w:hAnsi="宋体" w:eastAsia="宋体" w:cs="宋体"/>
          <w:spacing w:val="-5"/>
          <w:sz w:val="24"/>
          <w:szCs w:val="24"/>
        </w:rPr>
        <w:t>，占评价区总面积的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12.09%</w:t>
      </w:r>
      <w:r>
        <w:rPr>
          <w:rFonts w:ascii="宋体" w:hAnsi="宋体" w:eastAsia="宋体" w:cs="宋体"/>
          <w:spacing w:val="-5"/>
          <w:sz w:val="24"/>
          <w:szCs w:val="24"/>
        </w:rPr>
        <w:t>，是受</w:t>
      </w:r>
    </w:p>
    <w:p>
      <w:pPr>
        <w:spacing w:line="219" w:lineRule="auto"/>
        <w:ind w:left="131"/>
        <w:rPr>
          <w:rFonts w:ascii="宋体" w:hAnsi="宋体" w:eastAsia="宋体" w:cs="宋体"/>
          <w:sz w:val="24"/>
          <w:szCs w:val="24"/>
        </w:rPr>
      </w:pPr>
      <w:r>
        <w:rPr>
          <w:rFonts w:ascii="宋体" w:hAnsi="宋体" w:eastAsia="宋体" w:cs="宋体"/>
          <w:spacing w:val="-3"/>
          <w:sz w:val="24"/>
          <w:szCs w:val="24"/>
        </w:rPr>
        <w:t>工程占地影响较大的一类。</w:t>
      </w:r>
    </w:p>
    <w:p>
      <w:pPr>
        <w:spacing w:before="182" w:line="359" w:lineRule="auto"/>
        <w:ind w:left="167" w:firstLine="480"/>
        <w:rPr>
          <w:rFonts w:ascii="宋体" w:hAnsi="宋体" w:eastAsia="宋体" w:cs="宋体"/>
          <w:sz w:val="24"/>
          <w:szCs w:val="24"/>
        </w:rPr>
      </w:pPr>
      <w:r>
        <w:rPr>
          <w:rFonts w:ascii="宋体" w:hAnsi="宋体" w:eastAsia="宋体" w:cs="宋体"/>
          <w:spacing w:val="-10"/>
          <w:sz w:val="24"/>
          <w:szCs w:val="24"/>
        </w:rPr>
        <w:t>占用自然植被包括：</w:t>
      </w:r>
      <w:r>
        <w:rPr>
          <w:rFonts w:ascii="宋体" w:hAnsi="宋体" w:eastAsia="宋体" w:cs="宋体"/>
          <w:spacing w:val="-32"/>
          <w:sz w:val="24"/>
          <w:szCs w:val="24"/>
        </w:rPr>
        <w:t xml:space="preserve"> </w:t>
      </w:r>
      <w:r>
        <w:rPr>
          <w:rFonts w:ascii="宋体" w:hAnsi="宋体" w:eastAsia="宋体" w:cs="宋体"/>
          <w:spacing w:val="-10"/>
          <w:sz w:val="24"/>
          <w:szCs w:val="24"/>
        </w:rPr>
        <w:t>半湿润常绿落叶林</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2.09hm</w:t>
      </w:r>
      <w:r>
        <w:rPr>
          <w:rFonts w:ascii="Times New Roman" w:hAnsi="Times New Roman" w:eastAsia="Times New Roman" w:cs="Times New Roman"/>
          <w:spacing w:val="-10"/>
          <w:position w:val="8"/>
          <w:sz w:val="15"/>
          <w:szCs w:val="15"/>
        </w:rPr>
        <w:t>2</w:t>
      </w:r>
      <w:r>
        <w:rPr>
          <w:rFonts w:ascii="宋体" w:hAnsi="宋体" w:eastAsia="宋体" w:cs="宋体"/>
          <w:spacing w:val="-10"/>
          <w:sz w:val="24"/>
          <w:szCs w:val="24"/>
        </w:rPr>
        <w:t>，占评价区该类植被的</w:t>
      </w:r>
      <w:r>
        <w:rPr>
          <w:rFonts w:ascii="宋体" w:hAnsi="宋体" w:eastAsia="宋体" w:cs="宋体"/>
          <w:spacing w:val="-49"/>
          <w:sz w:val="24"/>
          <w:szCs w:val="24"/>
        </w:rPr>
        <w:t xml:space="preserve"> </w:t>
      </w:r>
      <w:r>
        <w:rPr>
          <w:rFonts w:ascii="Times New Roman" w:hAnsi="Times New Roman" w:eastAsia="Times New Roman" w:cs="Times New Roman"/>
          <w:spacing w:val="-10"/>
          <w:sz w:val="24"/>
          <w:szCs w:val="24"/>
        </w:rPr>
        <w:t>6.08%</w:t>
      </w:r>
      <w:r>
        <w:rPr>
          <w:rFonts w:ascii="宋体" w:hAnsi="宋体" w:eastAsia="宋体" w:cs="宋体"/>
          <w:spacing w:val="-10"/>
          <w:sz w:val="24"/>
          <w:szCs w:val="24"/>
        </w:rPr>
        <w:t>，</w:t>
      </w:r>
      <w:r>
        <w:rPr>
          <w:rFonts w:ascii="宋体" w:hAnsi="宋体" w:eastAsia="宋体" w:cs="宋体"/>
          <w:sz w:val="24"/>
          <w:szCs w:val="24"/>
        </w:rPr>
        <w:t xml:space="preserve"> </w:t>
      </w:r>
      <w:r>
        <w:rPr>
          <w:rFonts w:ascii="宋体" w:hAnsi="宋体" w:eastAsia="宋体" w:cs="宋体"/>
          <w:spacing w:val="-3"/>
          <w:sz w:val="24"/>
          <w:szCs w:val="24"/>
        </w:rPr>
        <w:t>占评价区总面积的</w:t>
      </w:r>
      <w:r>
        <w:rPr>
          <w:rFonts w:ascii="宋体" w:hAnsi="宋体" w:eastAsia="宋体" w:cs="宋体"/>
          <w:spacing w:val="-12"/>
          <w:sz w:val="24"/>
          <w:szCs w:val="24"/>
        </w:rPr>
        <w:t xml:space="preserve"> </w:t>
      </w:r>
      <w:r>
        <w:rPr>
          <w:rFonts w:ascii="Times New Roman" w:hAnsi="Times New Roman" w:eastAsia="Times New Roman" w:cs="Times New Roman"/>
          <w:spacing w:val="-3"/>
          <w:sz w:val="24"/>
          <w:szCs w:val="24"/>
        </w:rPr>
        <w:t>0.25%</w:t>
      </w:r>
      <w:r>
        <w:rPr>
          <w:rFonts w:ascii="宋体" w:hAnsi="宋体" w:eastAsia="宋体" w:cs="宋体"/>
          <w:spacing w:val="-3"/>
          <w:sz w:val="24"/>
          <w:szCs w:val="24"/>
        </w:rPr>
        <w:t xml:space="preserve">；硬叶阔叶林 </w:t>
      </w:r>
      <w:r>
        <w:rPr>
          <w:rFonts w:ascii="Times New Roman" w:hAnsi="Times New Roman" w:eastAsia="Times New Roman" w:cs="Times New Roman"/>
          <w:spacing w:val="-3"/>
          <w:sz w:val="24"/>
          <w:szCs w:val="24"/>
        </w:rPr>
        <w:t>1.18hm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3"/>
          <w:sz w:val="24"/>
          <w:szCs w:val="24"/>
        </w:rPr>
        <w:t>，占评价区该类植被的</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22.91%</w:t>
      </w:r>
      <w:r>
        <w:rPr>
          <w:rFonts w:ascii="宋体" w:hAnsi="宋体" w:eastAsia="宋体" w:cs="宋体"/>
          <w:spacing w:val="-3"/>
          <w:sz w:val="24"/>
          <w:szCs w:val="24"/>
        </w:rPr>
        <w:t>，</w:t>
      </w:r>
    </w:p>
    <w:p>
      <w:pPr>
        <w:spacing w:line="218" w:lineRule="auto"/>
        <w:ind w:left="167"/>
        <w:rPr>
          <w:rFonts w:ascii="宋体" w:hAnsi="宋体" w:eastAsia="宋体" w:cs="宋体"/>
          <w:sz w:val="24"/>
          <w:szCs w:val="24"/>
        </w:rPr>
      </w:pPr>
      <w:r>
        <w:rPr>
          <w:rFonts w:ascii="宋体" w:hAnsi="宋体" w:eastAsia="宋体" w:cs="宋体"/>
          <w:spacing w:val="-3"/>
          <w:sz w:val="24"/>
          <w:szCs w:val="24"/>
        </w:rPr>
        <w:t>占评价区总面积的</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0.14%</w:t>
      </w:r>
      <w:r>
        <w:rPr>
          <w:rFonts w:ascii="宋体" w:hAnsi="宋体" w:eastAsia="宋体" w:cs="宋体"/>
          <w:spacing w:val="-3"/>
          <w:sz w:val="24"/>
          <w:szCs w:val="24"/>
        </w:rPr>
        <w:t xml:space="preserve">；落叶阔叶林 </w:t>
      </w:r>
      <w:r>
        <w:rPr>
          <w:rFonts w:ascii="Times New Roman" w:hAnsi="Times New Roman" w:eastAsia="Times New Roman" w:cs="Times New Roman"/>
          <w:spacing w:val="-3"/>
          <w:sz w:val="24"/>
          <w:szCs w:val="24"/>
        </w:rPr>
        <w:t>1.52hm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，占评价区该类植被的</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9.88%</w:t>
      </w:r>
      <w:r>
        <w:rPr>
          <w:rFonts w:ascii="宋体" w:hAnsi="宋体" w:eastAsia="宋体" w:cs="宋体"/>
          <w:spacing w:val="-3"/>
          <w:sz w:val="24"/>
          <w:szCs w:val="24"/>
        </w:rPr>
        <w:t>，</w:t>
      </w:r>
    </w:p>
    <w:p>
      <w:pPr>
        <w:spacing w:before="184" w:line="359" w:lineRule="auto"/>
        <w:ind w:left="167" w:right="118"/>
        <w:rPr>
          <w:rFonts w:ascii="宋体" w:hAnsi="宋体" w:eastAsia="宋体" w:cs="宋体"/>
          <w:sz w:val="24"/>
          <w:szCs w:val="24"/>
        </w:rPr>
      </w:pPr>
      <w:r>
        <w:rPr>
          <w:rFonts w:ascii="宋体" w:hAnsi="宋体" w:eastAsia="宋体" w:cs="宋体"/>
          <w:spacing w:val="-7"/>
          <w:sz w:val="24"/>
          <w:szCs w:val="24"/>
        </w:rPr>
        <w:t>占评价区总面积的</w:t>
      </w:r>
      <w:r>
        <w:rPr>
          <w:rFonts w:ascii="宋体" w:hAnsi="宋体" w:eastAsia="宋体" w:cs="宋体"/>
          <w:spacing w:val="-64"/>
          <w:sz w:val="24"/>
          <w:szCs w:val="24"/>
        </w:rPr>
        <w:t xml:space="preserve"> </w:t>
      </w:r>
      <w:r>
        <w:rPr>
          <w:rFonts w:ascii="Times New Roman" w:hAnsi="Times New Roman" w:eastAsia="Times New Roman" w:cs="Times New Roman"/>
          <w:spacing w:val="-7"/>
          <w:sz w:val="24"/>
          <w:szCs w:val="24"/>
        </w:rPr>
        <w:t>0.19%</w:t>
      </w:r>
      <w:r>
        <w:rPr>
          <w:rFonts w:ascii="宋体" w:hAnsi="宋体" w:eastAsia="宋体" w:cs="宋体"/>
          <w:spacing w:val="-7"/>
          <w:sz w:val="24"/>
          <w:szCs w:val="24"/>
        </w:rPr>
        <w:t>；暖温性针叶林</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8"/>
          <w:sz w:val="24"/>
          <w:szCs w:val="24"/>
        </w:rPr>
        <w:t>5.69hm</w:t>
      </w:r>
      <w:r>
        <w:rPr>
          <w:rFonts w:ascii="Times New Roman" w:hAnsi="Times New Roman" w:eastAsia="Times New Roman" w:cs="Times New Roman"/>
          <w:spacing w:val="-8"/>
          <w:position w:val="8"/>
          <w:sz w:val="15"/>
          <w:szCs w:val="15"/>
        </w:rPr>
        <w:t>2</w:t>
      </w:r>
      <w:r>
        <w:rPr>
          <w:rFonts w:ascii="宋体" w:hAnsi="宋体" w:eastAsia="宋体" w:cs="宋体"/>
          <w:spacing w:val="-8"/>
          <w:sz w:val="24"/>
          <w:szCs w:val="24"/>
        </w:rPr>
        <w:t>，占评价区该类植被的</w:t>
      </w:r>
      <w:r>
        <w:rPr>
          <w:rFonts w:ascii="宋体" w:hAnsi="宋体" w:eastAsia="宋体" w:cs="宋体"/>
          <w:spacing w:val="-64"/>
          <w:sz w:val="24"/>
          <w:szCs w:val="24"/>
        </w:rPr>
        <w:t xml:space="preserve"> </w:t>
      </w:r>
      <w:r>
        <w:rPr>
          <w:rFonts w:ascii="Times New Roman" w:hAnsi="Times New Roman" w:eastAsia="Times New Roman" w:cs="Times New Roman"/>
          <w:spacing w:val="-8"/>
          <w:sz w:val="24"/>
          <w:szCs w:val="24"/>
        </w:rPr>
        <w:t>7.44%</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9"/>
          <w:sz w:val="24"/>
          <w:szCs w:val="24"/>
        </w:rPr>
        <w:t>占评价区总面积的</w:t>
      </w:r>
      <w:r>
        <w:rPr>
          <w:rFonts w:ascii="宋体" w:hAnsi="宋体" w:eastAsia="宋体" w:cs="宋体"/>
          <w:spacing w:val="-42"/>
          <w:sz w:val="24"/>
          <w:szCs w:val="24"/>
        </w:rPr>
        <w:t xml:space="preserve"> </w:t>
      </w:r>
      <w:r>
        <w:rPr>
          <w:rFonts w:ascii="Times New Roman" w:hAnsi="Times New Roman" w:eastAsia="Times New Roman" w:cs="Times New Roman"/>
          <w:spacing w:val="-9"/>
          <w:sz w:val="24"/>
          <w:szCs w:val="24"/>
        </w:rPr>
        <w:t>1.91%</w:t>
      </w:r>
      <w:r>
        <w:rPr>
          <w:rFonts w:ascii="宋体" w:hAnsi="宋体" w:eastAsia="宋体" w:cs="宋体"/>
          <w:spacing w:val="-9"/>
          <w:sz w:val="24"/>
          <w:szCs w:val="24"/>
        </w:rPr>
        <w:t>；稀树灌木草丛</w:t>
      </w:r>
      <w:r>
        <w:rPr>
          <w:rFonts w:ascii="宋体" w:hAnsi="宋体" w:eastAsia="宋体" w:cs="宋体"/>
          <w:spacing w:val="-63"/>
          <w:sz w:val="24"/>
          <w:szCs w:val="24"/>
        </w:rPr>
        <w:t xml:space="preserve"> </w:t>
      </w:r>
      <w:r>
        <w:rPr>
          <w:rFonts w:ascii="Times New Roman" w:hAnsi="Times New Roman" w:eastAsia="Times New Roman" w:cs="Times New Roman"/>
          <w:spacing w:val="-9"/>
          <w:sz w:val="24"/>
          <w:szCs w:val="24"/>
        </w:rPr>
        <w:t>36.76hm</w:t>
      </w:r>
      <w:r>
        <w:rPr>
          <w:rFonts w:ascii="Times New Roman" w:hAnsi="Times New Roman" w:eastAsia="Times New Roman" w:cs="Times New Roman"/>
          <w:spacing w:val="-9"/>
          <w:position w:val="8"/>
          <w:sz w:val="15"/>
          <w:szCs w:val="15"/>
        </w:rPr>
        <w:t>2</w:t>
      </w:r>
      <w:r>
        <w:rPr>
          <w:rFonts w:ascii="宋体" w:hAnsi="宋体" w:eastAsia="宋体" w:cs="宋体"/>
          <w:spacing w:val="-9"/>
          <w:sz w:val="24"/>
          <w:szCs w:val="24"/>
        </w:rPr>
        <w:t>，占评价区该类植被的</w:t>
      </w:r>
      <w:r>
        <w:rPr>
          <w:rFonts w:ascii="宋体" w:hAnsi="宋体" w:eastAsia="宋体" w:cs="宋体"/>
          <w:spacing w:val="-45"/>
          <w:sz w:val="24"/>
          <w:szCs w:val="24"/>
        </w:rPr>
        <w:t xml:space="preserve"> </w:t>
      </w:r>
      <w:r>
        <w:rPr>
          <w:rFonts w:ascii="Times New Roman" w:hAnsi="Times New Roman" w:eastAsia="Times New Roman" w:cs="Times New Roman"/>
          <w:spacing w:val="-9"/>
          <w:sz w:val="24"/>
          <w:szCs w:val="24"/>
        </w:rPr>
        <w:t>17.24%</w:t>
      </w:r>
      <w:r>
        <w:rPr>
          <w:rFonts w:ascii="宋体" w:hAnsi="宋体" w:eastAsia="宋体" w:cs="宋体"/>
          <w:spacing w:val="-9"/>
          <w:sz w:val="24"/>
          <w:szCs w:val="24"/>
        </w:rPr>
        <w:t>，</w:t>
      </w:r>
    </w:p>
    <w:p>
      <w:pPr>
        <w:spacing w:line="218" w:lineRule="auto"/>
        <w:ind w:left="167"/>
        <w:rPr>
          <w:rFonts w:ascii="宋体" w:hAnsi="宋体" w:eastAsia="宋体" w:cs="宋体"/>
          <w:sz w:val="24"/>
          <w:szCs w:val="24"/>
        </w:rPr>
      </w:pPr>
      <w:r>
        <w:rPr>
          <w:rFonts w:ascii="宋体" w:hAnsi="宋体" w:eastAsia="宋体" w:cs="宋体"/>
          <w:spacing w:val="-3"/>
          <w:sz w:val="24"/>
          <w:szCs w:val="24"/>
        </w:rPr>
        <w:t>占评价区总面积的</w:t>
      </w:r>
      <w:r>
        <w:rPr>
          <w:rFonts w:ascii="宋体" w:hAnsi="宋体" w:eastAsia="宋体" w:cs="宋体"/>
          <w:spacing w:val="-18"/>
          <w:sz w:val="24"/>
          <w:szCs w:val="24"/>
        </w:rPr>
        <w:t xml:space="preserve"> </w:t>
      </w:r>
      <w:r>
        <w:rPr>
          <w:rFonts w:ascii="Times New Roman" w:hAnsi="Times New Roman" w:eastAsia="Times New Roman" w:cs="Times New Roman"/>
          <w:spacing w:val="-3"/>
          <w:sz w:val="24"/>
          <w:szCs w:val="24"/>
        </w:rPr>
        <w:t>4.48%</w:t>
      </w:r>
      <w:r>
        <w:rPr>
          <w:rFonts w:ascii="宋体" w:hAnsi="宋体" w:eastAsia="宋体" w:cs="宋体"/>
          <w:spacing w:val="-3"/>
          <w:sz w:val="24"/>
          <w:szCs w:val="24"/>
        </w:rPr>
        <w:t xml:space="preserve">；灌丛 </w:t>
      </w:r>
      <w:r>
        <w:rPr>
          <w:rFonts w:ascii="Times New Roman" w:hAnsi="Times New Roman" w:eastAsia="Times New Roman" w:cs="Times New Roman"/>
          <w:spacing w:val="-3"/>
          <w:sz w:val="24"/>
          <w:szCs w:val="24"/>
        </w:rPr>
        <w:t>26.33hm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3"/>
          <w:sz w:val="24"/>
          <w:szCs w:val="24"/>
        </w:rPr>
        <w:t>，占评价区该类植被的</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29.75%</w:t>
      </w:r>
      <w:r>
        <w:rPr>
          <w:rFonts w:ascii="宋体" w:hAnsi="宋体" w:eastAsia="宋体" w:cs="宋体"/>
          <w:spacing w:val="-3"/>
          <w:sz w:val="24"/>
          <w:szCs w:val="24"/>
        </w:rPr>
        <w:t>，占评</w:t>
      </w:r>
    </w:p>
    <w:p>
      <w:pPr>
        <w:spacing w:line="218" w:lineRule="auto"/>
        <w:rPr>
          <w:rFonts w:ascii="宋体" w:hAnsi="宋体" w:eastAsia="宋体" w:cs="宋体"/>
          <w:sz w:val="24"/>
          <w:szCs w:val="24"/>
        </w:rPr>
        <w:sectPr>
          <w:headerReference r:id="rId384" w:type="default"/>
          <w:footerReference r:id="rId385" w:type="default"/>
          <w:pgSz w:w="11907" w:h="16839"/>
          <w:pgMar w:top="1156" w:right="1610" w:bottom="1374" w:left="1681" w:header="881" w:footer="1210" w:gutter="0"/>
        </w:sectPr>
      </w:pPr>
    </w:p>
    <w:p>
      <w:pPr>
        <w:spacing w:before="319" w:line="467" w:lineRule="exact"/>
        <w:ind w:left="40"/>
        <w:rPr>
          <w:rFonts w:ascii="宋体" w:hAnsi="宋体" w:eastAsia="宋体" w:cs="宋体"/>
          <w:sz w:val="24"/>
          <w:szCs w:val="24"/>
        </w:rPr>
      </w:pPr>
      <w:r>
        <w:rPr>
          <w:rFonts w:ascii="宋体" w:hAnsi="宋体" w:eastAsia="宋体" w:cs="宋体"/>
          <w:spacing w:val="-9"/>
          <w:position w:val="17"/>
          <w:sz w:val="24"/>
          <w:szCs w:val="24"/>
        </w:rPr>
        <w:t>价区总面积的</w:t>
      </w:r>
      <w:r>
        <w:rPr>
          <w:rFonts w:ascii="宋体" w:hAnsi="宋体" w:eastAsia="宋体" w:cs="宋体"/>
          <w:spacing w:val="-44"/>
          <w:position w:val="17"/>
          <w:sz w:val="24"/>
          <w:szCs w:val="24"/>
        </w:rPr>
        <w:t xml:space="preserve"> </w:t>
      </w:r>
      <w:r>
        <w:rPr>
          <w:rFonts w:ascii="Times New Roman" w:hAnsi="Times New Roman" w:eastAsia="Times New Roman" w:cs="Times New Roman"/>
          <w:spacing w:val="-9"/>
          <w:position w:val="17"/>
          <w:sz w:val="24"/>
          <w:szCs w:val="24"/>
        </w:rPr>
        <w:t>3.21%</w:t>
      </w:r>
      <w:r>
        <w:rPr>
          <w:rFonts w:ascii="宋体" w:hAnsi="宋体" w:eastAsia="宋体" w:cs="宋体"/>
          <w:spacing w:val="-9"/>
          <w:position w:val="17"/>
          <w:sz w:val="24"/>
          <w:szCs w:val="24"/>
        </w:rPr>
        <w:t>。工程永久占用的植被的面积不大，</w:t>
      </w:r>
      <w:r>
        <w:rPr>
          <w:rFonts w:ascii="宋体" w:hAnsi="宋体" w:eastAsia="宋体" w:cs="宋体"/>
          <w:spacing w:val="-27"/>
          <w:position w:val="17"/>
          <w:sz w:val="24"/>
          <w:szCs w:val="24"/>
        </w:rPr>
        <w:t xml:space="preserve"> </w:t>
      </w:r>
      <w:r>
        <w:rPr>
          <w:rFonts w:ascii="宋体" w:hAnsi="宋体" w:eastAsia="宋体" w:cs="宋体"/>
          <w:spacing w:val="-9"/>
          <w:position w:val="17"/>
          <w:sz w:val="24"/>
          <w:szCs w:val="24"/>
        </w:rPr>
        <w:t>且所占评价区比例极小，</w:t>
      </w:r>
    </w:p>
    <w:p>
      <w:pPr>
        <w:spacing w:before="1" w:line="218" w:lineRule="auto"/>
        <w:ind w:left="42"/>
        <w:rPr>
          <w:rFonts w:ascii="宋体" w:hAnsi="宋体" w:eastAsia="宋体" w:cs="宋体"/>
          <w:sz w:val="24"/>
          <w:szCs w:val="24"/>
        </w:rPr>
      </w:pPr>
      <w:r>
        <w:rPr>
          <w:rFonts w:ascii="宋体" w:hAnsi="宋体" w:eastAsia="宋体" w:cs="宋体"/>
          <w:spacing w:val="-3"/>
          <w:sz w:val="24"/>
          <w:szCs w:val="24"/>
        </w:rPr>
        <w:t>工程占用不会导致这些植被的灭绝。</w:t>
      </w:r>
    </w:p>
    <w:p>
      <w:pPr>
        <w:spacing w:before="184" w:line="359" w:lineRule="auto"/>
        <w:ind w:left="38" w:right="14" w:firstLine="483"/>
        <w:rPr>
          <w:rFonts w:ascii="宋体" w:hAnsi="宋体" w:eastAsia="宋体" w:cs="宋体"/>
          <w:sz w:val="24"/>
          <w:szCs w:val="24"/>
        </w:rPr>
      </w:pPr>
      <w:r>
        <w:rPr>
          <w:rFonts w:ascii="宋体" w:hAnsi="宋体" w:eastAsia="宋体" w:cs="宋体"/>
          <w:spacing w:val="-9"/>
          <w:sz w:val="24"/>
          <w:szCs w:val="24"/>
        </w:rPr>
        <w:t>工程将要永久占用的暖温性针叶林为云南松林，占用面积最大，约</w:t>
      </w:r>
      <w:r>
        <w:rPr>
          <w:rFonts w:ascii="宋体" w:hAnsi="宋体" w:eastAsia="宋体" w:cs="宋体"/>
          <w:spacing w:val="-18"/>
          <w:sz w:val="24"/>
          <w:szCs w:val="24"/>
        </w:rPr>
        <w:t xml:space="preserve"> </w:t>
      </w:r>
      <w:r>
        <w:rPr>
          <w:rFonts w:ascii="Times New Roman" w:hAnsi="Times New Roman" w:eastAsia="Times New Roman" w:cs="Times New Roman"/>
          <w:spacing w:val="-9"/>
          <w:sz w:val="24"/>
          <w:szCs w:val="24"/>
        </w:rPr>
        <w:t>15.69hm</w:t>
      </w:r>
      <w:r>
        <w:rPr>
          <w:rFonts w:ascii="Times New Roman" w:hAnsi="Times New Roman" w:eastAsia="Times New Roman" w:cs="Times New Roman"/>
          <w:spacing w:val="-9"/>
          <w:position w:val="8"/>
          <w:sz w:val="15"/>
          <w:szCs w:val="15"/>
        </w:rPr>
        <w:t>2</w:t>
      </w:r>
      <w:r>
        <w:rPr>
          <w:rFonts w:ascii="宋体" w:hAnsi="宋体" w:eastAsia="宋体" w:cs="宋体"/>
          <w:spacing w:val="-9"/>
          <w:sz w:val="24"/>
          <w:szCs w:val="24"/>
        </w:rPr>
        <w:t>，</w:t>
      </w:r>
      <w:r>
        <w:rPr>
          <w:rFonts w:ascii="宋体" w:hAnsi="宋体" w:eastAsia="宋体" w:cs="宋体"/>
          <w:sz w:val="24"/>
          <w:szCs w:val="24"/>
        </w:rPr>
        <w:t xml:space="preserve"> </w:t>
      </w:r>
      <w:r>
        <w:rPr>
          <w:rFonts w:ascii="宋体" w:hAnsi="宋体" w:eastAsia="宋体" w:cs="宋体"/>
          <w:spacing w:val="-2"/>
          <w:sz w:val="24"/>
          <w:szCs w:val="24"/>
        </w:rPr>
        <w:t>占评价区同类植被的</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7.44%</w:t>
      </w:r>
      <w:r>
        <w:rPr>
          <w:rFonts w:ascii="宋体" w:hAnsi="宋体" w:eastAsia="宋体" w:cs="宋体"/>
          <w:spacing w:val="-2"/>
          <w:sz w:val="24"/>
          <w:szCs w:val="24"/>
        </w:rPr>
        <w:t>。评价区的云南松林是当地的原始半湿润常绿阔叶林</w:t>
      </w:r>
      <w:r>
        <w:rPr>
          <w:rFonts w:ascii="宋体" w:hAnsi="宋体" w:eastAsia="宋体" w:cs="宋体"/>
          <w:sz w:val="24"/>
          <w:szCs w:val="24"/>
        </w:rPr>
        <w:t xml:space="preserve"> </w:t>
      </w:r>
      <w:r>
        <w:rPr>
          <w:rFonts w:ascii="宋体" w:hAnsi="宋体" w:eastAsia="宋体" w:cs="宋体"/>
          <w:spacing w:val="-11"/>
          <w:sz w:val="24"/>
          <w:szCs w:val="24"/>
        </w:rPr>
        <w:t>不断遭到破坏后形成的天然次生植被，</w:t>
      </w:r>
      <w:r>
        <w:rPr>
          <w:rFonts w:ascii="宋体" w:hAnsi="宋体" w:eastAsia="宋体" w:cs="宋体"/>
          <w:spacing w:val="52"/>
          <w:sz w:val="24"/>
          <w:szCs w:val="24"/>
        </w:rPr>
        <w:t xml:space="preserve"> </w:t>
      </w:r>
      <w:r>
        <w:rPr>
          <w:rFonts w:ascii="宋体" w:hAnsi="宋体" w:eastAsia="宋体" w:cs="宋体"/>
          <w:spacing w:val="-11"/>
          <w:sz w:val="24"/>
          <w:szCs w:val="24"/>
        </w:rPr>
        <w:t>由于人为影响的长期存在， 形成的比较稳</w:t>
      </w:r>
      <w:r>
        <w:rPr>
          <w:rFonts w:ascii="宋体" w:hAnsi="宋体" w:eastAsia="宋体" w:cs="宋体"/>
          <w:sz w:val="24"/>
          <w:szCs w:val="24"/>
        </w:rPr>
        <w:t xml:space="preserve"> </w:t>
      </w:r>
      <w:r>
        <w:rPr>
          <w:rFonts w:ascii="宋体" w:hAnsi="宋体" w:eastAsia="宋体" w:cs="宋体"/>
          <w:spacing w:val="-11"/>
          <w:sz w:val="24"/>
          <w:szCs w:val="24"/>
        </w:rPr>
        <w:t>定的次生植被类型。受影响的主要物种有云南松、尼泊尔桤木、滇青冈、栓皮栎、</w:t>
      </w:r>
      <w:r>
        <w:rPr>
          <w:rFonts w:ascii="宋体" w:hAnsi="宋体" w:eastAsia="宋体" w:cs="宋体"/>
          <w:spacing w:val="8"/>
          <w:sz w:val="24"/>
          <w:szCs w:val="24"/>
        </w:rPr>
        <w:t xml:space="preserve">  </w:t>
      </w:r>
      <w:r>
        <w:rPr>
          <w:rFonts w:ascii="宋体" w:hAnsi="宋体" w:eastAsia="宋体" w:cs="宋体"/>
          <w:spacing w:val="-1"/>
          <w:sz w:val="24"/>
          <w:szCs w:val="24"/>
        </w:rPr>
        <w:t>高山锥、白柯、云南油杉等，受影响主要是水库蓄水淹没和输水管道修建占地，</w:t>
      </w:r>
      <w:r>
        <w:rPr>
          <w:rFonts w:ascii="宋体" w:hAnsi="宋体" w:eastAsia="宋体" w:cs="宋体"/>
          <w:spacing w:val="1"/>
          <w:sz w:val="24"/>
          <w:szCs w:val="24"/>
        </w:rPr>
        <w:t xml:space="preserve"> </w:t>
      </w:r>
      <w:r>
        <w:rPr>
          <w:rFonts w:ascii="宋体" w:hAnsi="宋体" w:eastAsia="宋体" w:cs="宋体"/>
          <w:spacing w:val="-14"/>
          <w:sz w:val="24"/>
          <w:szCs w:val="24"/>
        </w:rPr>
        <w:t>会使其个体数量减少，</w:t>
      </w:r>
      <w:r>
        <w:rPr>
          <w:rFonts w:ascii="宋体" w:hAnsi="宋体" w:eastAsia="宋体" w:cs="宋体"/>
          <w:spacing w:val="27"/>
          <w:sz w:val="24"/>
          <w:szCs w:val="24"/>
        </w:rPr>
        <w:t xml:space="preserve"> </w:t>
      </w:r>
      <w:r>
        <w:rPr>
          <w:rFonts w:ascii="宋体" w:hAnsi="宋体" w:eastAsia="宋体" w:cs="宋体"/>
          <w:spacing w:val="-14"/>
          <w:sz w:val="24"/>
          <w:szCs w:val="24"/>
        </w:rPr>
        <w:t>但这些物种都是云南</w:t>
      </w:r>
      <w:r>
        <w:rPr>
          <w:rFonts w:ascii="宋体" w:hAnsi="宋体" w:eastAsia="宋体" w:cs="宋体"/>
          <w:spacing w:val="-15"/>
          <w:sz w:val="24"/>
          <w:szCs w:val="24"/>
        </w:rPr>
        <w:t>常见的植物，</w:t>
      </w:r>
      <w:r>
        <w:rPr>
          <w:rFonts w:ascii="宋体" w:hAnsi="宋体" w:eastAsia="宋体" w:cs="宋体"/>
          <w:spacing w:val="33"/>
          <w:sz w:val="24"/>
          <w:szCs w:val="24"/>
        </w:rPr>
        <w:t xml:space="preserve"> </w:t>
      </w:r>
      <w:r>
        <w:rPr>
          <w:rFonts w:ascii="宋体" w:hAnsi="宋体" w:eastAsia="宋体" w:cs="宋体"/>
          <w:spacing w:val="-15"/>
          <w:sz w:val="24"/>
          <w:szCs w:val="24"/>
        </w:rPr>
        <w:t>分布较广， 不会因为项</w:t>
      </w:r>
    </w:p>
    <w:p>
      <w:pPr>
        <w:spacing w:before="1" w:line="220" w:lineRule="auto"/>
        <w:ind w:left="85"/>
        <w:rPr>
          <w:rFonts w:ascii="宋体" w:hAnsi="宋体" w:eastAsia="宋体" w:cs="宋体"/>
          <w:sz w:val="24"/>
          <w:szCs w:val="24"/>
        </w:rPr>
      </w:pPr>
      <w:r>
        <w:rPr>
          <w:rFonts w:ascii="宋体" w:hAnsi="宋体" w:eastAsia="宋体" w:cs="宋体"/>
          <w:spacing w:val="-11"/>
          <w:sz w:val="24"/>
          <w:szCs w:val="24"/>
        </w:rPr>
        <w:t>目建设而灭绝。</w:t>
      </w:r>
    </w:p>
    <w:p>
      <w:pPr>
        <w:spacing w:before="180" w:line="359" w:lineRule="auto"/>
        <w:ind w:left="39" w:firstLine="519"/>
        <w:rPr>
          <w:rFonts w:ascii="宋体" w:hAnsi="宋体" w:eastAsia="宋体" w:cs="宋体"/>
          <w:sz w:val="24"/>
          <w:szCs w:val="24"/>
        </w:rPr>
      </w:pPr>
      <w:r>
        <w:rPr>
          <w:rFonts w:ascii="宋体" w:hAnsi="宋体" w:eastAsia="宋体" w:cs="宋体"/>
          <w:spacing w:val="-2"/>
          <w:sz w:val="24"/>
          <w:szCs w:val="24"/>
        </w:rPr>
        <w:t>占用面积最大的是稀树灌木草丛和暖性灌丛，分别</w:t>
      </w:r>
      <w:r>
        <w:rPr>
          <w:rFonts w:ascii="宋体" w:hAnsi="宋体" w:eastAsia="宋体" w:cs="宋体"/>
          <w:spacing w:val="-3"/>
          <w:sz w:val="24"/>
          <w:szCs w:val="24"/>
        </w:rPr>
        <w:t>为</w:t>
      </w:r>
      <w:r>
        <w:rPr>
          <w:rFonts w:ascii="Times New Roman" w:hAnsi="Times New Roman" w:eastAsia="Times New Roman" w:cs="Times New Roman"/>
          <w:spacing w:val="-3"/>
          <w:sz w:val="24"/>
          <w:szCs w:val="24"/>
        </w:rPr>
        <w:t>36.76hm</w:t>
      </w:r>
      <w:r>
        <w:rPr>
          <w:rFonts w:ascii="Times New Roman" w:hAnsi="Times New Roman" w:eastAsia="Times New Roman" w:cs="Times New Roman"/>
          <w:spacing w:val="-3"/>
          <w:position w:val="8"/>
          <w:sz w:val="15"/>
          <w:szCs w:val="15"/>
        </w:rPr>
        <w:t xml:space="preserve">2 </w:t>
      </w:r>
      <w:r>
        <w:rPr>
          <w:rFonts w:ascii="宋体" w:hAnsi="宋体" w:eastAsia="宋体" w:cs="宋体"/>
          <w:spacing w:val="-3"/>
          <w:sz w:val="24"/>
          <w:szCs w:val="24"/>
        </w:rPr>
        <w:t>和</w:t>
      </w:r>
      <w:r>
        <w:rPr>
          <w:rFonts w:ascii="Times New Roman" w:hAnsi="Times New Roman" w:eastAsia="Times New Roman" w:cs="Times New Roman"/>
          <w:spacing w:val="-3"/>
          <w:sz w:val="24"/>
          <w:szCs w:val="24"/>
        </w:rPr>
        <w:t>26.33hm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3"/>
          <w:sz w:val="24"/>
          <w:szCs w:val="24"/>
        </w:rPr>
        <w:t xml:space="preserve">占评价区该类植被的 </w:t>
      </w:r>
      <w:r>
        <w:rPr>
          <w:rFonts w:ascii="Times New Roman" w:hAnsi="Times New Roman" w:eastAsia="Times New Roman" w:cs="Times New Roman"/>
          <w:spacing w:val="-3"/>
          <w:sz w:val="24"/>
          <w:szCs w:val="24"/>
        </w:rPr>
        <w:t>17.24%</w:t>
      </w:r>
      <w:r>
        <w:rPr>
          <w:rFonts w:ascii="宋体" w:hAnsi="宋体" w:eastAsia="宋体" w:cs="宋体"/>
          <w:spacing w:val="-3"/>
          <w:sz w:val="24"/>
          <w:szCs w:val="24"/>
        </w:rPr>
        <w:t>和</w:t>
      </w:r>
      <w:r>
        <w:rPr>
          <w:rFonts w:ascii="宋体" w:hAnsi="宋体" w:eastAsia="宋体" w:cs="宋体"/>
          <w:spacing w:val="-26"/>
          <w:sz w:val="24"/>
          <w:szCs w:val="24"/>
        </w:rPr>
        <w:t xml:space="preserve"> </w:t>
      </w:r>
      <w:r>
        <w:rPr>
          <w:rFonts w:ascii="Times New Roman" w:hAnsi="Times New Roman" w:eastAsia="Times New Roman" w:cs="Times New Roman"/>
          <w:spacing w:val="-3"/>
          <w:sz w:val="24"/>
          <w:szCs w:val="24"/>
        </w:rPr>
        <w:t>29.75%</w:t>
      </w:r>
      <w:r>
        <w:rPr>
          <w:rFonts w:ascii="宋体" w:hAnsi="宋体" w:eastAsia="宋体" w:cs="宋体"/>
          <w:spacing w:val="-3"/>
          <w:sz w:val="24"/>
          <w:szCs w:val="24"/>
        </w:rPr>
        <w:t xml:space="preserve">，占评价区总面积的 </w:t>
      </w:r>
      <w:r>
        <w:rPr>
          <w:rFonts w:ascii="Times New Roman" w:hAnsi="Times New Roman" w:eastAsia="Times New Roman" w:cs="Times New Roman"/>
          <w:spacing w:val="-3"/>
          <w:sz w:val="24"/>
          <w:szCs w:val="24"/>
        </w:rPr>
        <w:t>4.48%</w:t>
      </w:r>
      <w:r>
        <w:rPr>
          <w:rFonts w:ascii="宋体" w:hAnsi="宋体" w:eastAsia="宋体" w:cs="宋体"/>
          <w:spacing w:val="-3"/>
          <w:sz w:val="24"/>
          <w:szCs w:val="24"/>
        </w:rPr>
        <w:t>和</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3.21%</w:t>
      </w:r>
      <w:r>
        <w:rPr>
          <w:rFonts w:ascii="宋体" w:hAnsi="宋体" w:eastAsia="宋体" w:cs="宋体"/>
          <w:spacing w:val="-3"/>
          <w:sz w:val="24"/>
          <w:szCs w:val="24"/>
        </w:rPr>
        <w:t xml:space="preserve">。这 </w:t>
      </w:r>
      <w:r>
        <w:rPr>
          <w:rFonts w:ascii="宋体" w:hAnsi="宋体" w:eastAsia="宋体" w:cs="宋体"/>
          <w:spacing w:val="-9"/>
          <w:sz w:val="24"/>
          <w:szCs w:val="24"/>
        </w:rPr>
        <w:t xml:space="preserve">两类植被受人类生产生活活动的严重影响， </w:t>
      </w:r>
      <w:r>
        <w:rPr>
          <w:rFonts w:ascii="宋体" w:hAnsi="宋体" w:eastAsia="宋体" w:cs="宋体"/>
          <w:spacing w:val="-10"/>
          <w:sz w:val="24"/>
          <w:szCs w:val="24"/>
        </w:rPr>
        <w:t xml:space="preserve">具有明显的次生性质， 且消失面积比 </w:t>
      </w:r>
      <w:r>
        <w:rPr>
          <w:rFonts w:ascii="宋体" w:hAnsi="宋体" w:eastAsia="宋体" w:cs="宋体"/>
          <w:spacing w:val="-6"/>
          <w:sz w:val="24"/>
          <w:szCs w:val="24"/>
        </w:rPr>
        <w:t>均不大，</w:t>
      </w:r>
      <w:r>
        <w:rPr>
          <w:rFonts w:ascii="宋体" w:hAnsi="宋体" w:eastAsia="宋体" w:cs="宋体"/>
          <w:spacing w:val="-24"/>
          <w:sz w:val="24"/>
          <w:szCs w:val="24"/>
        </w:rPr>
        <w:t xml:space="preserve"> </w:t>
      </w:r>
      <w:r>
        <w:rPr>
          <w:rFonts w:ascii="宋体" w:hAnsi="宋体" w:eastAsia="宋体" w:cs="宋体"/>
          <w:spacing w:val="-6"/>
          <w:sz w:val="24"/>
          <w:szCs w:val="24"/>
        </w:rPr>
        <w:t xml:space="preserve">项目建设不会对它们在该地区的现状造成大的不利影响。受影响的主要 </w:t>
      </w:r>
      <w:r>
        <w:rPr>
          <w:rFonts w:ascii="宋体" w:hAnsi="宋体" w:eastAsia="宋体" w:cs="宋体"/>
          <w:spacing w:val="-3"/>
          <w:sz w:val="24"/>
          <w:szCs w:val="24"/>
        </w:rPr>
        <w:t>物种有锥连栎、云南松、珍珠花、</w:t>
      </w:r>
      <w:r>
        <w:rPr>
          <w:rFonts w:ascii="宋体" w:hAnsi="宋体" w:eastAsia="宋体" w:cs="宋体"/>
          <w:spacing w:val="-28"/>
          <w:sz w:val="24"/>
          <w:szCs w:val="24"/>
        </w:rPr>
        <w:t xml:space="preserve"> </w:t>
      </w:r>
      <w:r>
        <w:rPr>
          <w:rFonts w:ascii="宋体" w:hAnsi="宋体" w:eastAsia="宋体" w:cs="宋体"/>
          <w:spacing w:val="-3"/>
          <w:sz w:val="24"/>
          <w:szCs w:val="24"/>
        </w:rPr>
        <w:t>车桑子、火棘、马桑、华西小</w:t>
      </w:r>
      <w:r>
        <w:rPr>
          <w:rFonts w:ascii="宋体" w:hAnsi="宋体" w:eastAsia="宋体" w:cs="宋体"/>
          <w:spacing w:val="-4"/>
          <w:sz w:val="24"/>
          <w:szCs w:val="24"/>
        </w:rPr>
        <w:t>石积、清香木、</w:t>
      </w:r>
      <w:r>
        <w:rPr>
          <w:rFonts w:ascii="宋体" w:hAnsi="宋体" w:eastAsia="宋体" w:cs="宋体"/>
          <w:sz w:val="24"/>
          <w:szCs w:val="24"/>
        </w:rPr>
        <w:t xml:space="preserve"> </w:t>
      </w:r>
      <w:r>
        <w:rPr>
          <w:rFonts w:ascii="宋体" w:hAnsi="宋体" w:eastAsia="宋体" w:cs="宋体"/>
          <w:spacing w:val="-6"/>
          <w:sz w:val="24"/>
          <w:szCs w:val="24"/>
        </w:rPr>
        <w:t>余甘子等， 受影响主要是水库蓄水淹没和输水管道修建占地，会</w:t>
      </w:r>
      <w:r>
        <w:rPr>
          <w:rFonts w:ascii="宋体" w:hAnsi="宋体" w:eastAsia="宋体" w:cs="宋体"/>
          <w:spacing w:val="-7"/>
          <w:sz w:val="24"/>
          <w:szCs w:val="24"/>
        </w:rPr>
        <w:t>使其个体数量减</w:t>
      </w:r>
    </w:p>
    <w:p>
      <w:pPr>
        <w:spacing w:before="1" w:line="218" w:lineRule="auto"/>
        <w:ind w:left="40"/>
        <w:rPr>
          <w:rFonts w:ascii="宋体" w:hAnsi="宋体" w:eastAsia="宋体" w:cs="宋体"/>
          <w:sz w:val="24"/>
          <w:szCs w:val="24"/>
        </w:rPr>
      </w:pPr>
      <w:r>
        <w:rPr>
          <w:rFonts w:ascii="宋体" w:hAnsi="宋体" w:eastAsia="宋体" w:cs="宋体"/>
          <w:spacing w:val="-1"/>
          <w:sz w:val="24"/>
          <w:szCs w:val="24"/>
        </w:rPr>
        <w:t>少，但这些物种都是云南常见的植物，分布较广，不会</w:t>
      </w:r>
      <w:r>
        <w:rPr>
          <w:rFonts w:ascii="宋体" w:hAnsi="宋体" w:eastAsia="宋体" w:cs="宋体"/>
          <w:spacing w:val="-2"/>
          <w:sz w:val="24"/>
          <w:szCs w:val="24"/>
        </w:rPr>
        <w:t>因为项目建设而灭绝。</w:t>
      </w:r>
    </w:p>
    <w:p>
      <w:pPr>
        <w:spacing w:before="182" w:line="359" w:lineRule="auto"/>
        <w:ind w:left="38" w:right="15" w:firstLine="484"/>
        <w:rPr>
          <w:rFonts w:ascii="宋体" w:hAnsi="宋体" w:eastAsia="宋体" w:cs="宋体"/>
          <w:sz w:val="24"/>
          <w:szCs w:val="24"/>
        </w:rPr>
      </w:pPr>
      <w:r>
        <w:rPr>
          <w:rFonts w:ascii="宋体" w:hAnsi="宋体" w:eastAsia="宋体" w:cs="宋体"/>
          <w:spacing w:val="-6"/>
          <w:sz w:val="24"/>
          <w:szCs w:val="24"/>
        </w:rPr>
        <w:t>项目建设将造成评价区的各类自然植被永久消失，</w:t>
      </w:r>
      <w:r>
        <w:rPr>
          <w:rFonts w:ascii="宋体" w:hAnsi="宋体" w:eastAsia="宋体" w:cs="宋体"/>
          <w:spacing w:val="-30"/>
          <w:sz w:val="24"/>
          <w:szCs w:val="24"/>
        </w:rPr>
        <w:t xml:space="preserve"> </w:t>
      </w:r>
      <w:r>
        <w:rPr>
          <w:rFonts w:ascii="宋体" w:hAnsi="宋体" w:eastAsia="宋体" w:cs="宋体"/>
          <w:spacing w:val="-6"/>
          <w:sz w:val="24"/>
          <w:szCs w:val="24"/>
        </w:rPr>
        <w:t>对本来已经脆弱的当地自</w:t>
      </w:r>
      <w:r>
        <w:rPr>
          <w:rFonts w:ascii="宋体" w:hAnsi="宋体" w:eastAsia="宋体" w:cs="宋体"/>
          <w:sz w:val="24"/>
          <w:szCs w:val="24"/>
        </w:rPr>
        <w:t xml:space="preserve"> </w:t>
      </w:r>
      <w:r>
        <w:rPr>
          <w:rFonts w:ascii="宋体" w:hAnsi="宋体" w:eastAsia="宋体" w:cs="宋体"/>
          <w:spacing w:val="-6"/>
          <w:sz w:val="24"/>
          <w:szCs w:val="24"/>
        </w:rPr>
        <w:t>然生态系统造成一定影响。但影响面积十分有限， 各自然植被类</w:t>
      </w:r>
      <w:r>
        <w:rPr>
          <w:rFonts w:ascii="宋体" w:hAnsi="宋体" w:eastAsia="宋体" w:cs="宋体"/>
          <w:spacing w:val="-7"/>
          <w:sz w:val="24"/>
          <w:szCs w:val="24"/>
        </w:rPr>
        <w:t>型影响程度均不</w:t>
      </w:r>
      <w:r>
        <w:rPr>
          <w:rFonts w:ascii="宋体" w:hAnsi="宋体" w:eastAsia="宋体" w:cs="宋体"/>
          <w:sz w:val="24"/>
          <w:szCs w:val="24"/>
        </w:rPr>
        <w:t xml:space="preserve"> </w:t>
      </w:r>
      <w:r>
        <w:rPr>
          <w:rFonts w:ascii="宋体" w:hAnsi="宋体" w:eastAsia="宋体" w:cs="宋体"/>
          <w:spacing w:val="-5"/>
          <w:sz w:val="24"/>
          <w:szCs w:val="24"/>
        </w:rPr>
        <w:t>超过</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w:t>
      </w:r>
      <w:r>
        <w:rPr>
          <w:rFonts w:ascii="宋体" w:hAnsi="宋体" w:eastAsia="宋体" w:cs="宋体"/>
          <w:spacing w:val="-5"/>
          <w:sz w:val="24"/>
          <w:szCs w:val="24"/>
        </w:rPr>
        <w:t>，而且评价区内的这些自然植被均为受人为破坏干扰后的</w:t>
      </w:r>
      <w:r>
        <w:rPr>
          <w:rFonts w:ascii="宋体" w:hAnsi="宋体" w:eastAsia="宋体" w:cs="宋体"/>
          <w:spacing w:val="-6"/>
          <w:sz w:val="24"/>
          <w:szCs w:val="24"/>
        </w:rPr>
        <w:t>天然次生植被，</w:t>
      </w:r>
      <w:r>
        <w:rPr>
          <w:rFonts w:ascii="宋体" w:hAnsi="宋体" w:eastAsia="宋体" w:cs="宋体"/>
          <w:sz w:val="24"/>
          <w:szCs w:val="24"/>
        </w:rPr>
        <w:t xml:space="preserve"> </w:t>
      </w:r>
      <w:r>
        <w:rPr>
          <w:rFonts w:ascii="宋体" w:hAnsi="宋体" w:eastAsia="宋体" w:cs="宋体"/>
          <w:spacing w:val="-9"/>
          <w:sz w:val="24"/>
          <w:szCs w:val="24"/>
        </w:rPr>
        <w:t>比起同类或该地区原生植被来， 其中的生物多样性已经明</w:t>
      </w:r>
      <w:r>
        <w:rPr>
          <w:rFonts w:ascii="宋体" w:hAnsi="宋体" w:eastAsia="宋体" w:cs="宋体"/>
          <w:spacing w:val="-10"/>
          <w:sz w:val="24"/>
          <w:szCs w:val="24"/>
        </w:rPr>
        <w:t>显降低， 它们所能产生</w:t>
      </w:r>
      <w:r>
        <w:rPr>
          <w:rFonts w:ascii="宋体" w:hAnsi="宋体" w:eastAsia="宋体" w:cs="宋体"/>
          <w:sz w:val="24"/>
          <w:szCs w:val="24"/>
        </w:rPr>
        <w:t xml:space="preserve"> </w:t>
      </w:r>
      <w:r>
        <w:rPr>
          <w:rFonts w:ascii="宋体" w:hAnsi="宋体" w:eastAsia="宋体" w:cs="宋体"/>
          <w:spacing w:val="-11"/>
          <w:sz w:val="24"/>
          <w:szCs w:val="24"/>
        </w:rPr>
        <w:t>的生态功能也大大减弱了。因此，</w:t>
      </w:r>
      <w:r>
        <w:rPr>
          <w:rFonts w:ascii="宋体" w:hAnsi="宋体" w:eastAsia="宋体" w:cs="宋体"/>
          <w:spacing w:val="31"/>
          <w:sz w:val="24"/>
          <w:szCs w:val="24"/>
        </w:rPr>
        <w:t xml:space="preserve"> </w:t>
      </w:r>
      <w:r>
        <w:rPr>
          <w:rFonts w:ascii="宋体" w:hAnsi="宋体" w:eastAsia="宋体" w:cs="宋体"/>
          <w:spacing w:val="-11"/>
          <w:sz w:val="24"/>
          <w:szCs w:val="24"/>
        </w:rPr>
        <w:t>本项目建设对项目区自然</w:t>
      </w:r>
      <w:r>
        <w:rPr>
          <w:rFonts w:ascii="宋体" w:hAnsi="宋体" w:eastAsia="宋体" w:cs="宋体"/>
          <w:spacing w:val="-12"/>
          <w:sz w:val="24"/>
          <w:szCs w:val="24"/>
        </w:rPr>
        <w:t>植被的影响不大，</w:t>
      </w:r>
      <w:r>
        <w:rPr>
          <w:rFonts w:ascii="宋体" w:hAnsi="宋体" w:eastAsia="宋体" w:cs="宋体"/>
          <w:spacing w:val="59"/>
          <w:sz w:val="24"/>
          <w:szCs w:val="24"/>
        </w:rPr>
        <w:t xml:space="preserve"> </w:t>
      </w:r>
      <w:r>
        <w:rPr>
          <w:rFonts w:ascii="宋体" w:hAnsi="宋体" w:eastAsia="宋体" w:cs="宋体"/>
          <w:spacing w:val="-12"/>
          <w:sz w:val="24"/>
          <w:szCs w:val="24"/>
        </w:rPr>
        <w:t>由</w:t>
      </w:r>
    </w:p>
    <w:p>
      <w:pPr>
        <w:spacing w:before="1" w:line="220" w:lineRule="auto"/>
        <w:ind w:left="40"/>
        <w:rPr>
          <w:rFonts w:ascii="宋体" w:hAnsi="宋体" w:eastAsia="宋体" w:cs="宋体"/>
          <w:sz w:val="24"/>
          <w:szCs w:val="24"/>
        </w:rPr>
      </w:pPr>
      <w:r>
        <w:rPr>
          <w:rFonts w:ascii="宋体" w:hAnsi="宋体" w:eastAsia="宋体" w:cs="宋体"/>
          <w:spacing w:val="-4"/>
          <w:sz w:val="24"/>
          <w:szCs w:val="24"/>
        </w:rPr>
        <w:t>此造成的生态影响也小。</w:t>
      </w:r>
    </w:p>
    <w:p>
      <w:pPr>
        <w:spacing w:before="180" w:line="217" w:lineRule="auto"/>
        <w:ind w:left="517"/>
        <w:rPr>
          <w:rFonts w:ascii="宋体" w:hAnsi="宋体" w:eastAsia="宋体" w:cs="宋体"/>
          <w:sz w:val="24"/>
          <w:szCs w:val="24"/>
        </w:rPr>
      </w:pPr>
      <w:r>
        <w:rPr>
          <w:rFonts w:ascii="宋体" w:hAnsi="宋体" w:eastAsia="宋体" w:cs="宋体"/>
          <w:spacing w:val="-1"/>
          <w:sz w:val="24"/>
          <w:szCs w:val="24"/>
        </w:rPr>
        <w:t>②工程永久占地对非自然植被影响的预测评价</w:t>
      </w:r>
    </w:p>
    <w:p>
      <w:pPr>
        <w:spacing w:before="183" w:line="360" w:lineRule="auto"/>
        <w:ind w:left="40" w:right="92" w:firstLine="481"/>
        <w:rPr>
          <w:rFonts w:ascii="宋体" w:hAnsi="宋体" w:eastAsia="宋体" w:cs="宋体"/>
          <w:sz w:val="24"/>
          <w:szCs w:val="24"/>
        </w:rPr>
      </w:pPr>
      <w:r>
        <w:rPr>
          <w:rFonts w:ascii="宋体" w:hAnsi="宋体" w:eastAsia="宋体" w:cs="宋体"/>
          <w:spacing w:val="-7"/>
          <w:sz w:val="24"/>
          <w:szCs w:val="24"/>
        </w:rPr>
        <w:t>工程建设要永久占用部分人工植被， 包括核桃园和耕地等，占工程永久占地</w:t>
      </w:r>
      <w:r>
        <w:rPr>
          <w:rFonts w:ascii="宋体" w:hAnsi="宋体" w:eastAsia="宋体" w:cs="宋体"/>
          <w:spacing w:val="2"/>
          <w:sz w:val="24"/>
          <w:szCs w:val="24"/>
        </w:rPr>
        <w:t xml:space="preserve"> </w:t>
      </w:r>
      <w:r>
        <w:rPr>
          <w:rFonts w:ascii="宋体" w:hAnsi="宋体" w:eastAsia="宋体" w:cs="宋体"/>
          <w:spacing w:val="-6"/>
          <w:sz w:val="24"/>
          <w:szCs w:val="24"/>
        </w:rPr>
        <w:t>面积的</w:t>
      </w:r>
      <w:r>
        <w:rPr>
          <w:rFonts w:ascii="宋体" w:hAnsi="宋体" w:eastAsia="宋体" w:cs="宋体"/>
          <w:spacing w:val="-30"/>
          <w:sz w:val="24"/>
          <w:szCs w:val="24"/>
        </w:rPr>
        <w:t xml:space="preserve"> </w:t>
      </w:r>
      <w:r>
        <w:rPr>
          <w:rFonts w:ascii="Times New Roman" w:hAnsi="Times New Roman" w:eastAsia="Times New Roman" w:cs="Times New Roman"/>
          <w:spacing w:val="-6"/>
          <w:sz w:val="24"/>
          <w:szCs w:val="24"/>
        </w:rPr>
        <w:t>11.84%</w:t>
      </w:r>
      <w:r>
        <w:rPr>
          <w:rFonts w:ascii="宋体" w:hAnsi="宋体" w:eastAsia="宋体" w:cs="宋体"/>
          <w:spacing w:val="-6"/>
          <w:sz w:val="24"/>
          <w:szCs w:val="24"/>
        </w:rPr>
        <w:t>，占评价区人工植被面积的</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6.70</w:t>
      </w:r>
      <w:r>
        <w:rPr>
          <w:rFonts w:ascii="宋体" w:hAnsi="宋体" w:eastAsia="宋体" w:cs="宋体"/>
          <w:spacing w:val="-39"/>
          <w:sz w:val="24"/>
          <w:szCs w:val="24"/>
        </w:rPr>
        <w:t>％，</w:t>
      </w:r>
      <w:r>
        <w:rPr>
          <w:rFonts w:ascii="宋体" w:hAnsi="宋体" w:eastAsia="宋体" w:cs="宋体"/>
          <w:spacing w:val="-27"/>
          <w:sz w:val="24"/>
          <w:szCs w:val="24"/>
        </w:rPr>
        <w:t xml:space="preserve"> </w:t>
      </w:r>
      <w:r>
        <w:rPr>
          <w:rFonts w:ascii="宋体" w:hAnsi="宋体" w:eastAsia="宋体" w:cs="宋体"/>
          <w:spacing w:val="-6"/>
          <w:sz w:val="24"/>
          <w:szCs w:val="24"/>
        </w:rPr>
        <w:t>占评价区总面积的</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1.43%</w:t>
      </w:r>
      <w:r>
        <w:rPr>
          <w:rFonts w:ascii="宋体" w:hAnsi="宋体" w:eastAsia="宋体" w:cs="宋体"/>
          <w:spacing w:val="-6"/>
          <w:sz w:val="24"/>
          <w:szCs w:val="24"/>
        </w:rPr>
        <w:t>，是</w:t>
      </w:r>
    </w:p>
    <w:p>
      <w:pPr>
        <w:spacing w:before="1" w:line="219" w:lineRule="auto"/>
        <w:ind w:left="44"/>
        <w:rPr>
          <w:rFonts w:ascii="宋体" w:hAnsi="宋体" w:eastAsia="宋体" w:cs="宋体"/>
          <w:sz w:val="24"/>
          <w:szCs w:val="24"/>
        </w:rPr>
      </w:pPr>
      <w:r>
        <w:rPr>
          <w:rFonts w:ascii="宋体" w:hAnsi="宋体" w:eastAsia="宋体" w:cs="宋体"/>
          <w:spacing w:val="-3"/>
          <w:sz w:val="24"/>
          <w:szCs w:val="24"/>
        </w:rPr>
        <w:t>受工程永久占地影响较小的一类。</w:t>
      </w:r>
    </w:p>
    <w:p>
      <w:pPr>
        <w:spacing w:before="182" w:line="359" w:lineRule="auto"/>
        <w:ind w:left="39" w:right="84" w:firstLine="481"/>
        <w:rPr>
          <w:rFonts w:ascii="宋体" w:hAnsi="宋体" w:eastAsia="宋体" w:cs="宋体"/>
          <w:sz w:val="24"/>
          <w:szCs w:val="24"/>
        </w:rPr>
      </w:pPr>
      <w:r>
        <w:rPr>
          <w:rFonts w:ascii="宋体" w:hAnsi="宋体" w:eastAsia="宋体" w:cs="宋体"/>
          <w:spacing w:val="-10"/>
          <w:sz w:val="24"/>
          <w:szCs w:val="24"/>
        </w:rPr>
        <w:t>上述植被由于本身是非自然植被，因此，</w:t>
      </w:r>
      <w:r>
        <w:rPr>
          <w:rFonts w:ascii="宋体" w:hAnsi="宋体" w:eastAsia="宋体" w:cs="宋体"/>
          <w:spacing w:val="-36"/>
          <w:sz w:val="24"/>
          <w:szCs w:val="24"/>
        </w:rPr>
        <w:t xml:space="preserve"> </w:t>
      </w:r>
      <w:r>
        <w:rPr>
          <w:rFonts w:ascii="宋体" w:hAnsi="宋体" w:eastAsia="宋体" w:cs="宋体"/>
          <w:spacing w:val="-10"/>
          <w:sz w:val="24"/>
          <w:szCs w:val="24"/>
        </w:rPr>
        <w:t>此部分土地的</w:t>
      </w:r>
      <w:r>
        <w:rPr>
          <w:rFonts w:ascii="宋体" w:hAnsi="宋体" w:eastAsia="宋体" w:cs="宋体"/>
          <w:spacing w:val="-11"/>
          <w:sz w:val="24"/>
          <w:szCs w:val="24"/>
        </w:rPr>
        <w:t>占用，</w:t>
      </w:r>
      <w:r>
        <w:rPr>
          <w:rFonts w:ascii="宋体" w:hAnsi="宋体" w:eastAsia="宋体" w:cs="宋体"/>
          <w:spacing w:val="29"/>
          <w:sz w:val="24"/>
          <w:szCs w:val="24"/>
        </w:rPr>
        <w:t xml:space="preserve"> </w:t>
      </w:r>
      <w:r>
        <w:rPr>
          <w:rFonts w:ascii="宋体" w:hAnsi="宋体" w:eastAsia="宋体" w:cs="宋体"/>
          <w:spacing w:val="-11"/>
          <w:sz w:val="24"/>
          <w:szCs w:val="24"/>
        </w:rPr>
        <w:t>对评价区的生</w:t>
      </w:r>
      <w:r>
        <w:rPr>
          <w:rFonts w:ascii="宋体" w:hAnsi="宋体" w:eastAsia="宋体" w:cs="宋体"/>
          <w:sz w:val="24"/>
          <w:szCs w:val="24"/>
        </w:rPr>
        <w:t xml:space="preserve"> </w:t>
      </w:r>
      <w:r>
        <w:rPr>
          <w:rFonts w:ascii="宋体" w:hAnsi="宋体" w:eastAsia="宋体" w:cs="宋体"/>
          <w:spacing w:val="-6"/>
          <w:sz w:val="24"/>
          <w:szCs w:val="24"/>
        </w:rPr>
        <w:t>态环境及生物多样性没有大的影响。另外， 这部分非自然植被</w:t>
      </w:r>
      <w:r>
        <w:rPr>
          <w:rFonts w:ascii="宋体" w:hAnsi="宋体" w:eastAsia="宋体" w:cs="宋体"/>
          <w:spacing w:val="-7"/>
          <w:sz w:val="24"/>
          <w:szCs w:val="24"/>
        </w:rPr>
        <w:t>均与当地居民的生</w:t>
      </w:r>
      <w:r>
        <w:rPr>
          <w:rFonts w:ascii="宋体" w:hAnsi="宋体" w:eastAsia="宋体" w:cs="宋体"/>
          <w:sz w:val="24"/>
          <w:szCs w:val="24"/>
        </w:rPr>
        <w:t xml:space="preserve"> </w:t>
      </w:r>
      <w:r>
        <w:rPr>
          <w:rFonts w:ascii="宋体" w:hAnsi="宋体" w:eastAsia="宋体" w:cs="宋体"/>
          <w:spacing w:val="-16"/>
          <w:sz w:val="24"/>
          <w:szCs w:val="24"/>
        </w:rPr>
        <w:t>产生活密切相关，</w:t>
      </w:r>
      <w:r>
        <w:rPr>
          <w:rFonts w:ascii="宋体" w:hAnsi="宋体" w:eastAsia="宋体" w:cs="宋体"/>
          <w:spacing w:val="34"/>
          <w:sz w:val="24"/>
          <w:szCs w:val="24"/>
        </w:rPr>
        <w:t xml:space="preserve"> </w:t>
      </w:r>
      <w:r>
        <w:rPr>
          <w:rFonts w:ascii="宋体" w:hAnsi="宋体" w:eastAsia="宋体" w:cs="宋体"/>
          <w:spacing w:val="-16"/>
          <w:sz w:val="24"/>
          <w:szCs w:val="24"/>
        </w:rPr>
        <w:t>工程的永久占用会造成一定的损失，</w:t>
      </w:r>
      <w:r>
        <w:rPr>
          <w:rFonts w:ascii="宋体" w:hAnsi="宋体" w:eastAsia="宋体" w:cs="宋体"/>
          <w:spacing w:val="28"/>
          <w:sz w:val="24"/>
          <w:szCs w:val="24"/>
        </w:rPr>
        <w:t xml:space="preserve"> </w:t>
      </w:r>
      <w:r>
        <w:rPr>
          <w:rFonts w:ascii="宋体" w:hAnsi="宋体" w:eastAsia="宋体" w:cs="宋体"/>
          <w:spacing w:val="-16"/>
          <w:sz w:val="24"/>
          <w:szCs w:val="24"/>
        </w:rPr>
        <w:t>但通过占地补偿赔付，</w:t>
      </w:r>
      <w:r>
        <w:rPr>
          <w:rFonts w:ascii="宋体" w:hAnsi="宋体" w:eastAsia="宋体" w:cs="宋体"/>
          <w:spacing w:val="34"/>
          <w:sz w:val="24"/>
          <w:szCs w:val="24"/>
        </w:rPr>
        <w:t xml:space="preserve"> </w:t>
      </w:r>
      <w:r>
        <w:rPr>
          <w:rFonts w:ascii="宋体" w:hAnsi="宋体" w:eastAsia="宋体" w:cs="宋体"/>
          <w:spacing w:val="-16"/>
          <w:sz w:val="24"/>
          <w:szCs w:val="24"/>
        </w:rPr>
        <w:t>不</w:t>
      </w:r>
    </w:p>
    <w:p>
      <w:pPr>
        <w:spacing w:before="1" w:line="218" w:lineRule="auto"/>
        <w:ind w:left="38"/>
        <w:rPr>
          <w:rFonts w:ascii="宋体" w:hAnsi="宋体" w:eastAsia="宋体" w:cs="宋体"/>
          <w:sz w:val="24"/>
          <w:szCs w:val="24"/>
        </w:rPr>
      </w:pPr>
      <w:r>
        <w:rPr>
          <w:rFonts w:ascii="宋体" w:hAnsi="宋体" w:eastAsia="宋体" w:cs="宋体"/>
          <w:spacing w:val="-3"/>
          <w:sz w:val="24"/>
          <w:szCs w:val="24"/>
        </w:rPr>
        <w:t>会对当地社会经济和居民生活造成大的影响。</w:t>
      </w:r>
    </w:p>
    <w:p>
      <w:pPr>
        <w:spacing w:line="218" w:lineRule="auto"/>
        <w:rPr>
          <w:rFonts w:ascii="宋体" w:hAnsi="宋体" w:eastAsia="宋体" w:cs="宋体"/>
          <w:sz w:val="24"/>
          <w:szCs w:val="24"/>
        </w:rPr>
        <w:sectPr>
          <w:headerReference r:id="rId386" w:type="default"/>
          <w:footerReference r:id="rId387" w:type="default"/>
          <w:pgSz w:w="11907" w:h="16839"/>
          <w:pgMar w:top="1156" w:right="1715" w:bottom="1374" w:left="1770" w:header="881" w:footer="1210" w:gutter="0"/>
        </w:sectPr>
      </w:pPr>
    </w:p>
    <w:p>
      <w:pPr>
        <w:rPr>
          <w:rFonts w:ascii="Arial"/>
          <w:sz w:val="21"/>
        </w:rPr>
      </w:pPr>
    </w:p>
    <w:p>
      <w:pPr>
        <w:spacing w:before="78" w:line="217" w:lineRule="auto"/>
        <w:ind w:left="517"/>
        <w:rPr>
          <w:rFonts w:ascii="宋体" w:hAnsi="宋体" w:eastAsia="宋体" w:cs="宋体"/>
          <w:sz w:val="24"/>
          <w:szCs w:val="24"/>
        </w:rPr>
      </w:pPr>
      <w:r>
        <w:rPr>
          <w:rFonts w:ascii="宋体" w:hAnsi="宋体" w:eastAsia="宋体" w:cs="宋体"/>
          <w:spacing w:val="-1"/>
          <w:sz w:val="24"/>
          <w:szCs w:val="24"/>
        </w:rPr>
        <w:t>③工程永久占地对非植被的影响</w:t>
      </w:r>
    </w:p>
    <w:p>
      <w:pPr>
        <w:spacing w:before="184" w:line="359" w:lineRule="auto"/>
        <w:ind w:left="39" w:right="204" w:firstLine="482"/>
        <w:rPr>
          <w:rFonts w:ascii="宋体" w:hAnsi="宋体" w:eastAsia="宋体" w:cs="宋体"/>
          <w:sz w:val="24"/>
          <w:szCs w:val="24"/>
        </w:rPr>
      </w:pPr>
      <w:r>
        <w:rPr>
          <w:rFonts w:ascii="宋体" w:hAnsi="宋体" w:eastAsia="宋体" w:cs="宋体"/>
          <w:spacing w:val="-3"/>
          <w:sz w:val="24"/>
          <w:szCs w:val="24"/>
        </w:rPr>
        <w:t>工程建设要永久占用部分道路、水域和居民点等无植被的</w:t>
      </w:r>
      <w:r>
        <w:rPr>
          <w:rFonts w:ascii="宋体" w:hAnsi="宋体" w:eastAsia="宋体" w:cs="宋体"/>
          <w:spacing w:val="-4"/>
          <w:sz w:val="24"/>
          <w:szCs w:val="24"/>
        </w:rPr>
        <w:t>区域，占工程永久</w:t>
      </w:r>
      <w:r>
        <w:rPr>
          <w:rFonts w:ascii="宋体" w:hAnsi="宋体" w:eastAsia="宋体" w:cs="宋体"/>
          <w:sz w:val="24"/>
          <w:szCs w:val="24"/>
        </w:rPr>
        <w:t xml:space="preserve"> </w:t>
      </w:r>
      <w:r>
        <w:rPr>
          <w:rFonts w:ascii="宋体" w:hAnsi="宋体" w:eastAsia="宋体" w:cs="宋体"/>
          <w:spacing w:val="-3"/>
          <w:sz w:val="24"/>
          <w:szCs w:val="24"/>
        </w:rPr>
        <w:t>占地面积的</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3.93%</w:t>
      </w:r>
      <w:r>
        <w:rPr>
          <w:rFonts w:ascii="宋体" w:hAnsi="宋体" w:eastAsia="宋体" w:cs="宋体"/>
          <w:spacing w:val="-3"/>
          <w:sz w:val="24"/>
          <w:szCs w:val="24"/>
        </w:rPr>
        <w:t>，占评价区无植被区面积的</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5.0</w:t>
      </w:r>
      <w:r>
        <w:rPr>
          <w:rFonts w:ascii="Times New Roman" w:hAnsi="Times New Roman" w:eastAsia="Times New Roman" w:cs="Times New Roman"/>
          <w:spacing w:val="-4"/>
          <w:sz w:val="24"/>
          <w:szCs w:val="24"/>
        </w:rPr>
        <w:t>1</w:t>
      </w:r>
      <w:r>
        <w:rPr>
          <w:rFonts w:ascii="宋体" w:hAnsi="宋体" w:eastAsia="宋体" w:cs="宋体"/>
          <w:spacing w:val="-52"/>
          <w:w w:val="86"/>
          <w:sz w:val="24"/>
          <w:szCs w:val="24"/>
        </w:rPr>
        <w:t>％，</w:t>
      </w:r>
      <w:r>
        <w:rPr>
          <w:rFonts w:ascii="宋体" w:hAnsi="宋体" w:eastAsia="宋体" w:cs="宋体"/>
          <w:spacing w:val="-4"/>
          <w:sz w:val="24"/>
          <w:szCs w:val="24"/>
        </w:rPr>
        <w:t>占评价区总面积的</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0.46%</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3"/>
          <w:sz w:val="24"/>
          <w:szCs w:val="24"/>
        </w:rPr>
        <w:t>包括水域、道路和居民点等。工程建设对评价区非植被区域的影响很小。由于没</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有植被分布， 这部分占用对当地的自然生态系统及其生物多样性基本没有影响。</w:t>
      </w:r>
    </w:p>
    <w:p>
      <w:pPr>
        <w:spacing w:before="182" w:line="218"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）工程临时占地对植被影响的预测评价</w:t>
      </w:r>
    </w:p>
    <w:p>
      <w:pPr>
        <w:spacing w:before="185" w:line="359" w:lineRule="auto"/>
        <w:ind w:left="35" w:right="137" w:firstLine="483"/>
        <w:rPr>
          <w:rFonts w:ascii="宋体" w:hAnsi="宋体" w:eastAsia="宋体" w:cs="宋体"/>
          <w:sz w:val="24"/>
          <w:szCs w:val="24"/>
        </w:rPr>
      </w:pPr>
      <w:r>
        <w:rPr>
          <w:rFonts w:ascii="宋体" w:hAnsi="宋体" w:eastAsia="宋体" w:cs="宋体"/>
          <w:spacing w:val="-1"/>
          <w:sz w:val="24"/>
          <w:szCs w:val="24"/>
        </w:rPr>
        <w:t>施工临时占用的自然植被包括：硬叶阔叶林</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0.11</w:t>
      </w:r>
      <w:r>
        <w:rPr>
          <w:rFonts w:ascii="Times New Roman" w:hAnsi="Times New Roman" w:eastAsia="Times New Roman" w:cs="Times New Roman"/>
          <w:spacing w:val="-2"/>
          <w:sz w:val="24"/>
          <w:szCs w:val="24"/>
        </w:rPr>
        <w:t>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2"/>
          <w:sz w:val="24"/>
          <w:szCs w:val="24"/>
        </w:rPr>
        <w:t>，占评价区该类植被的</w:t>
      </w:r>
      <w:r>
        <w:rPr>
          <w:rFonts w:ascii="宋体" w:hAnsi="宋体" w:eastAsia="宋体" w:cs="宋体"/>
          <w:sz w:val="24"/>
          <w:szCs w:val="24"/>
        </w:rPr>
        <w:t xml:space="preserve"> </w:t>
      </w:r>
      <w:r>
        <w:rPr>
          <w:rFonts w:ascii="Times New Roman" w:hAnsi="Times New Roman" w:eastAsia="Times New Roman" w:cs="Times New Roman"/>
          <w:spacing w:val="-4"/>
          <w:sz w:val="24"/>
          <w:szCs w:val="24"/>
        </w:rPr>
        <w:t>2.14%</w:t>
      </w:r>
      <w:r>
        <w:rPr>
          <w:rFonts w:ascii="宋体" w:hAnsi="宋体" w:eastAsia="宋体" w:cs="宋体"/>
          <w:spacing w:val="-4"/>
          <w:sz w:val="24"/>
          <w:szCs w:val="24"/>
        </w:rPr>
        <w:t>，占评价区总面积的</w:t>
      </w:r>
      <w:r>
        <w:rPr>
          <w:rFonts w:ascii="宋体" w:hAnsi="宋体" w:eastAsia="宋体" w:cs="宋体"/>
          <w:spacing w:val="-43"/>
          <w:sz w:val="24"/>
          <w:szCs w:val="24"/>
        </w:rPr>
        <w:t xml:space="preserve"> </w:t>
      </w:r>
      <w:r>
        <w:rPr>
          <w:rFonts w:ascii="Times New Roman" w:hAnsi="Times New Roman" w:eastAsia="Times New Roman" w:cs="Times New Roman"/>
          <w:spacing w:val="-4"/>
          <w:sz w:val="24"/>
          <w:szCs w:val="24"/>
        </w:rPr>
        <w:t>0.01%</w:t>
      </w:r>
      <w:r>
        <w:rPr>
          <w:rFonts w:ascii="宋体" w:hAnsi="宋体" w:eastAsia="宋体" w:cs="宋体"/>
          <w:spacing w:val="-4"/>
          <w:sz w:val="24"/>
          <w:szCs w:val="24"/>
        </w:rPr>
        <w:t>；暖温性针叶林</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1.11hm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，占评价区该类植被的</w:t>
      </w:r>
      <w:r>
        <w:rPr>
          <w:rFonts w:ascii="宋体" w:hAnsi="宋体" w:eastAsia="宋体" w:cs="宋体"/>
          <w:sz w:val="24"/>
          <w:szCs w:val="24"/>
        </w:rPr>
        <w:t xml:space="preserve"> </w:t>
      </w:r>
      <w:r>
        <w:rPr>
          <w:rFonts w:ascii="Times New Roman" w:hAnsi="Times New Roman" w:eastAsia="Times New Roman" w:cs="Times New Roman"/>
          <w:spacing w:val="-2"/>
          <w:sz w:val="24"/>
          <w:szCs w:val="24"/>
        </w:rPr>
        <w:t>0.53%</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，占评价区总面积的</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0.14%</w:t>
      </w:r>
      <w:r>
        <w:rPr>
          <w:rFonts w:ascii="宋体" w:hAnsi="宋体" w:eastAsia="宋体" w:cs="宋体"/>
          <w:spacing w:val="-2"/>
          <w:sz w:val="24"/>
          <w:szCs w:val="24"/>
        </w:rPr>
        <w:t>；稀树灌木草丛</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29.07hm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2"/>
          <w:sz w:val="24"/>
          <w:szCs w:val="24"/>
        </w:rPr>
        <w:t>，占评价区该类植被</w:t>
      </w:r>
      <w:r>
        <w:rPr>
          <w:rFonts w:ascii="宋体" w:hAnsi="宋体" w:eastAsia="宋体" w:cs="宋体"/>
          <w:sz w:val="24"/>
          <w:szCs w:val="24"/>
        </w:rPr>
        <w:t xml:space="preserve"> </w:t>
      </w:r>
      <w:r>
        <w:rPr>
          <w:rFonts w:ascii="宋体" w:hAnsi="宋体" w:eastAsia="宋体" w:cs="宋体"/>
          <w:spacing w:val="-10"/>
          <w:sz w:val="24"/>
          <w:szCs w:val="24"/>
        </w:rPr>
        <w:t>的</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13.64%</w:t>
      </w:r>
      <w:r>
        <w:rPr>
          <w:rFonts w:ascii="宋体" w:hAnsi="宋体" w:eastAsia="宋体" w:cs="宋体"/>
          <w:spacing w:val="-10"/>
          <w:sz w:val="24"/>
          <w:szCs w:val="24"/>
        </w:rPr>
        <w:t>，占评价区总面积的</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3.54%</w:t>
      </w:r>
      <w:r>
        <w:rPr>
          <w:rFonts w:ascii="宋体" w:hAnsi="宋体" w:eastAsia="宋体" w:cs="宋体"/>
          <w:spacing w:val="-10"/>
          <w:sz w:val="24"/>
          <w:szCs w:val="24"/>
        </w:rPr>
        <w:t>；灌丛</w:t>
      </w:r>
      <w:r>
        <w:rPr>
          <w:rFonts w:ascii="宋体" w:hAnsi="宋体" w:eastAsia="宋体" w:cs="宋体"/>
          <w:spacing w:val="-55"/>
          <w:sz w:val="24"/>
          <w:szCs w:val="24"/>
        </w:rPr>
        <w:t xml:space="preserve"> </w:t>
      </w:r>
      <w:r>
        <w:rPr>
          <w:rFonts w:ascii="Times New Roman" w:hAnsi="Times New Roman" w:eastAsia="Times New Roman" w:cs="Times New Roman"/>
          <w:spacing w:val="-10"/>
          <w:sz w:val="24"/>
          <w:szCs w:val="24"/>
        </w:rPr>
        <w:t>2.83hm</w:t>
      </w:r>
      <w:r>
        <w:rPr>
          <w:rFonts w:ascii="Times New Roman" w:hAnsi="Times New Roman" w:eastAsia="Times New Roman" w:cs="Times New Roman"/>
          <w:spacing w:val="-8"/>
          <w:position w:val="8"/>
          <w:sz w:val="15"/>
          <w:szCs w:val="15"/>
        </w:rPr>
        <w:t>2</w:t>
      </w:r>
      <w:r>
        <w:rPr>
          <w:rFonts w:ascii="宋体" w:hAnsi="宋体" w:eastAsia="宋体" w:cs="宋体"/>
          <w:spacing w:val="-8"/>
          <w:sz w:val="24"/>
          <w:szCs w:val="24"/>
        </w:rPr>
        <w:t>，占评价区该类植被的</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3.20%</w:t>
      </w:r>
      <w:r>
        <w:rPr>
          <w:rFonts w:ascii="宋体" w:hAnsi="宋体" w:eastAsia="宋体" w:cs="宋体"/>
          <w:spacing w:val="-39"/>
          <w:sz w:val="24"/>
          <w:szCs w:val="24"/>
        </w:rPr>
        <w:t>，</w:t>
      </w:r>
      <w:r>
        <w:rPr>
          <w:rFonts w:ascii="宋体" w:hAnsi="宋体" w:eastAsia="宋体" w:cs="宋体"/>
          <w:sz w:val="24"/>
          <w:szCs w:val="24"/>
        </w:rPr>
        <w:t xml:space="preserve"> </w:t>
      </w:r>
      <w:r>
        <w:rPr>
          <w:rFonts w:ascii="宋体" w:hAnsi="宋体" w:eastAsia="宋体" w:cs="宋体"/>
          <w:spacing w:val="-6"/>
          <w:sz w:val="24"/>
          <w:szCs w:val="24"/>
        </w:rPr>
        <w:t>占评价区总面积的</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0.34%</w:t>
      </w:r>
      <w:r>
        <w:rPr>
          <w:rFonts w:ascii="宋体" w:hAnsi="宋体" w:eastAsia="宋体" w:cs="宋体"/>
          <w:spacing w:val="-6"/>
          <w:sz w:val="24"/>
          <w:szCs w:val="24"/>
        </w:rPr>
        <w:t>。工程永久占用的植被的面积不大，</w:t>
      </w:r>
      <w:r>
        <w:rPr>
          <w:rFonts w:ascii="宋体" w:hAnsi="宋体" w:eastAsia="宋体" w:cs="宋体"/>
          <w:spacing w:val="35"/>
          <w:sz w:val="24"/>
          <w:szCs w:val="24"/>
        </w:rPr>
        <w:t xml:space="preserve"> </w:t>
      </w:r>
      <w:r>
        <w:rPr>
          <w:rFonts w:ascii="宋体" w:hAnsi="宋体" w:eastAsia="宋体" w:cs="宋体"/>
          <w:spacing w:val="-6"/>
          <w:sz w:val="24"/>
          <w:szCs w:val="24"/>
        </w:rPr>
        <w:t>且所占评价区</w:t>
      </w:r>
      <w:r>
        <w:rPr>
          <w:rFonts w:ascii="宋体" w:hAnsi="宋体" w:eastAsia="宋体" w:cs="宋体"/>
          <w:spacing w:val="-7"/>
          <w:sz w:val="24"/>
          <w:szCs w:val="24"/>
        </w:rPr>
        <w:t>比例</w:t>
      </w:r>
    </w:p>
    <w:p>
      <w:pPr>
        <w:spacing w:before="1" w:line="218" w:lineRule="auto"/>
        <w:ind w:left="42"/>
        <w:rPr>
          <w:rFonts w:ascii="宋体" w:hAnsi="宋体" w:eastAsia="宋体" w:cs="宋体"/>
          <w:sz w:val="24"/>
          <w:szCs w:val="24"/>
        </w:rPr>
      </w:pPr>
      <w:r>
        <w:rPr>
          <w:rFonts w:ascii="宋体" w:hAnsi="宋体" w:eastAsia="宋体" w:cs="宋体"/>
          <w:spacing w:val="-2"/>
          <w:sz w:val="24"/>
          <w:szCs w:val="24"/>
        </w:rPr>
        <w:t>极小，工程占用不会导致这些植被的灭绝。</w:t>
      </w:r>
    </w:p>
    <w:p>
      <w:pPr>
        <w:spacing w:before="183" w:line="359" w:lineRule="auto"/>
        <w:ind w:left="39" w:right="204" w:firstLine="480"/>
        <w:rPr>
          <w:rFonts w:ascii="宋体" w:hAnsi="宋体" w:eastAsia="宋体" w:cs="宋体"/>
          <w:sz w:val="24"/>
          <w:szCs w:val="24"/>
        </w:rPr>
      </w:pPr>
      <w:r>
        <w:rPr>
          <w:rFonts w:ascii="宋体" w:hAnsi="宋体" w:eastAsia="宋体" w:cs="宋体"/>
          <w:spacing w:val="-10"/>
          <w:sz w:val="24"/>
          <w:szCs w:val="24"/>
        </w:rPr>
        <w:t>这部分施工临时占用的植被， 在工程建设期将会暂时消失， 而对评价区的生</w:t>
      </w:r>
      <w:r>
        <w:rPr>
          <w:rFonts w:ascii="宋体" w:hAnsi="宋体" w:eastAsia="宋体" w:cs="宋体"/>
          <w:spacing w:val="5"/>
          <w:sz w:val="24"/>
          <w:szCs w:val="24"/>
        </w:rPr>
        <w:t xml:space="preserve"> </w:t>
      </w:r>
      <w:r>
        <w:rPr>
          <w:rFonts w:ascii="宋体" w:hAnsi="宋体" w:eastAsia="宋体" w:cs="宋体"/>
          <w:spacing w:val="-12"/>
          <w:sz w:val="24"/>
          <w:szCs w:val="24"/>
        </w:rPr>
        <w:t>态系统产生一定的影响。但是，</w:t>
      </w:r>
      <w:r>
        <w:rPr>
          <w:rFonts w:ascii="宋体" w:hAnsi="宋体" w:eastAsia="宋体" w:cs="宋体"/>
          <w:spacing w:val="45"/>
          <w:sz w:val="24"/>
          <w:szCs w:val="24"/>
        </w:rPr>
        <w:t xml:space="preserve"> </w:t>
      </w:r>
      <w:r>
        <w:rPr>
          <w:rFonts w:ascii="宋体" w:hAnsi="宋体" w:eastAsia="宋体" w:cs="宋体"/>
          <w:spacing w:val="-12"/>
          <w:sz w:val="24"/>
          <w:szCs w:val="24"/>
        </w:rPr>
        <w:t>这种影响是暂时的，</w:t>
      </w:r>
      <w:r>
        <w:rPr>
          <w:rFonts w:ascii="宋体" w:hAnsi="宋体" w:eastAsia="宋体" w:cs="宋体"/>
          <w:spacing w:val="31"/>
          <w:sz w:val="24"/>
          <w:szCs w:val="24"/>
        </w:rPr>
        <w:t xml:space="preserve"> </w:t>
      </w:r>
      <w:r>
        <w:rPr>
          <w:rFonts w:ascii="宋体" w:hAnsi="宋体" w:eastAsia="宋体" w:cs="宋体"/>
          <w:spacing w:val="-12"/>
          <w:sz w:val="24"/>
          <w:szCs w:val="24"/>
        </w:rPr>
        <w:t>而且影响的程度只达到评价</w:t>
      </w:r>
      <w:r>
        <w:rPr>
          <w:rFonts w:ascii="宋体" w:hAnsi="宋体" w:eastAsia="宋体" w:cs="宋体"/>
          <w:sz w:val="24"/>
          <w:szCs w:val="24"/>
        </w:rPr>
        <w:t xml:space="preserve"> </w:t>
      </w:r>
      <w:r>
        <w:rPr>
          <w:rFonts w:ascii="宋体" w:hAnsi="宋体" w:eastAsia="宋体" w:cs="宋体"/>
          <w:spacing w:val="-1"/>
          <w:sz w:val="24"/>
          <w:szCs w:val="24"/>
        </w:rPr>
        <w:t>区范围的</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5.70</w:t>
      </w:r>
      <w:r>
        <w:rPr>
          <w:rFonts w:ascii="宋体" w:hAnsi="宋体" w:eastAsia="宋体" w:cs="宋体"/>
          <w:spacing w:val="-40"/>
          <w:sz w:val="24"/>
          <w:szCs w:val="24"/>
        </w:rPr>
        <w:t>％，</w:t>
      </w:r>
      <w:r>
        <w:rPr>
          <w:rFonts w:ascii="宋体" w:hAnsi="宋体" w:eastAsia="宋体" w:cs="宋体"/>
          <w:spacing w:val="-1"/>
          <w:sz w:val="24"/>
          <w:szCs w:val="24"/>
        </w:rPr>
        <w:t>所以由施工临时占用植被而产生的对评价区生态的负面影响是</w:t>
      </w:r>
    </w:p>
    <w:p>
      <w:pPr>
        <w:spacing w:line="220" w:lineRule="auto"/>
        <w:ind w:left="41"/>
        <w:rPr>
          <w:rFonts w:ascii="宋体" w:hAnsi="宋体" w:eastAsia="宋体" w:cs="宋体"/>
          <w:sz w:val="24"/>
          <w:szCs w:val="24"/>
        </w:rPr>
      </w:pPr>
      <w:r>
        <w:rPr>
          <w:rFonts w:ascii="宋体" w:hAnsi="宋体" w:eastAsia="宋体" w:cs="宋体"/>
          <w:spacing w:val="-9"/>
          <w:sz w:val="24"/>
          <w:szCs w:val="24"/>
        </w:rPr>
        <w:t>很小的。</w:t>
      </w:r>
    </w:p>
    <w:p>
      <w:pPr>
        <w:spacing w:before="180"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）对保护植物的影响</w:t>
      </w:r>
    </w:p>
    <w:p>
      <w:pPr>
        <w:spacing w:before="182" w:line="217" w:lineRule="auto"/>
        <w:ind w:left="518"/>
        <w:rPr>
          <w:rFonts w:ascii="宋体" w:hAnsi="宋体" w:eastAsia="宋体" w:cs="宋体"/>
          <w:sz w:val="24"/>
          <w:szCs w:val="24"/>
        </w:rPr>
      </w:pPr>
      <w:r>
        <w:rPr>
          <w:rFonts w:ascii="宋体" w:hAnsi="宋体" w:eastAsia="宋体" w:cs="宋体"/>
          <w:spacing w:val="-1"/>
          <w:sz w:val="24"/>
          <w:szCs w:val="24"/>
        </w:rPr>
        <w:t>①对保护植物的影响</w:t>
      </w:r>
    </w:p>
    <w:p>
      <w:pPr>
        <w:spacing w:before="184" w:line="359" w:lineRule="auto"/>
        <w:ind w:left="42" w:firstLine="477"/>
        <w:rPr>
          <w:rFonts w:ascii="宋体" w:hAnsi="宋体" w:eastAsia="宋体" w:cs="宋体"/>
          <w:sz w:val="24"/>
          <w:szCs w:val="24"/>
        </w:rPr>
      </w:pPr>
      <w:r>
        <w:rPr>
          <w:rFonts w:ascii="宋体" w:hAnsi="宋体" w:eastAsia="宋体" w:cs="宋体"/>
          <w:spacing w:val="-7"/>
          <w:sz w:val="24"/>
          <w:szCs w:val="24"/>
        </w:rPr>
        <w:t>根据前述对保护植物的现状调查，</w:t>
      </w:r>
      <w:r>
        <w:rPr>
          <w:rFonts w:ascii="宋体" w:hAnsi="宋体" w:eastAsia="宋体" w:cs="宋体"/>
          <w:spacing w:val="-21"/>
          <w:sz w:val="24"/>
          <w:szCs w:val="24"/>
        </w:rPr>
        <w:t xml:space="preserve"> </w:t>
      </w:r>
      <w:r>
        <w:rPr>
          <w:rFonts w:ascii="宋体" w:hAnsi="宋体" w:eastAsia="宋体" w:cs="宋体"/>
          <w:spacing w:val="-7"/>
          <w:sz w:val="24"/>
          <w:szCs w:val="24"/>
        </w:rPr>
        <w:t>评价区内没有发现国家重点保护野生植物、</w:t>
      </w:r>
      <w:r>
        <w:rPr>
          <w:rFonts w:ascii="宋体" w:hAnsi="宋体" w:eastAsia="宋体" w:cs="宋体"/>
          <w:sz w:val="24"/>
          <w:szCs w:val="24"/>
        </w:rPr>
        <w:t xml:space="preserve"> </w:t>
      </w:r>
      <w:r>
        <w:rPr>
          <w:rFonts w:ascii="宋体" w:hAnsi="宋体" w:eastAsia="宋体" w:cs="宋体"/>
          <w:spacing w:val="-3"/>
          <w:sz w:val="24"/>
          <w:szCs w:val="24"/>
        </w:rPr>
        <w:t>极小种群野生植物和云南省重点保护野生植物。桂花水库工程对保护植物没</w:t>
      </w:r>
      <w:r>
        <w:rPr>
          <w:rFonts w:ascii="宋体" w:hAnsi="宋体" w:eastAsia="宋体" w:cs="宋体"/>
          <w:spacing w:val="-4"/>
          <w:sz w:val="24"/>
          <w:szCs w:val="24"/>
        </w:rPr>
        <w:t>有影</w:t>
      </w:r>
    </w:p>
    <w:p>
      <w:pPr>
        <w:spacing w:line="223" w:lineRule="auto"/>
        <w:ind w:left="51"/>
        <w:rPr>
          <w:rFonts w:ascii="宋体" w:hAnsi="宋体" w:eastAsia="宋体" w:cs="宋体"/>
          <w:sz w:val="24"/>
          <w:szCs w:val="24"/>
        </w:rPr>
      </w:pPr>
      <w:r>
        <w:rPr>
          <w:rFonts w:ascii="宋体" w:hAnsi="宋体" w:eastAsia="宋体" w:cs="宋体"/>
          <w:spacing w:val="-14"/>
          <w:sz w:val="24"/>
          <w:szCs w:val="24"/>
        </w:rPr>
        <w:t>响。</w:t>
      </w:r>
    </w:p>
    <w:p>
      <w:pPr>
        <w:spacing w:before="177" w:line="217" w:lineRule="auto"/>
        <w:ind w:left="517"/>
        <w:rPr>
          <w:rFonts w:ascii="宋体" w:hAnsi="宋体" w:eastAsia="宋体" w:cs="宋体"/>
          <w:sz w:val="24"/>
          <w:szCs w:val="24"/>
        </w:rPr>
      </w:pPr>
      <w:r>
        <w:rPr>
          <w:rFonts w:ascii="宋体" w:hAnsi="宋体" w:eastAsia="宋体" w:cs="宋体"/>
          <w:spacing w:val="-1"/>
          <w:sz w:val="24"/>
          <w:szCs w:val="24"/>
        </w:rPr>
        <w:t>②对一般维管植物的影响</w:t>
      </w:r>
    </w:p>
    <w:p>
      <w:pPr>
        <w:spacing w:before="187" w:line="359" w:lineRule="auto"/>
        <w:ind w:left="23" w:right="204" w:firstLine="499"/>
        <w:rPr>
          <w:rFonts w:ascii="宋体" w:hAnsi="宋体" w:eastAsia="宋体" w:cs="宋体"/>
          <w:sz w:val="24"/>
          <w:szCs w:val="24"/>
        </w:rPr>
      </w:pPr>
      <w:r>
        <w:rPr>
          <w:rFonts w:ascii="宋体" w:hAnsi="宋体" w:eastAsia="宋体" w:cs="宋体"/>
          <w:spacing w:val="-6"/>
          <w:sz w:val="24"/>
          <w:szCs w:val="24"/>
        </w:rPr>
        <w:t>项目建设对生物群落关键种类的影响主要是水库枢纽和输水管道施工，</w:t>
      </w:r>
      <w:r>
        <w:rPr>
          <w:rFonts w:ascii="宋体" w:hAnsi="宋体" w:eastAsia="宋体" w:cs="宋体"/>
          <w:spacing w:val="-30"/>
          <w:sz w:val="24"/>
          <w:szCs w:val="24"/>
        </w:rPr>
        <w:t xml:space="preserve"> </w:t>
      </w:r>
      <w:r>
        <w:rPr>
          <w:rFonts w:ascii="宋体" w:hAnsi="宋体" w:eastAsia="宋体" w:cs="宋体"/>
          <w:spacing w:val="-6"/>
          <w:sz w:val="24"/>
          <w:szCs w:val="24"/>
        </w:rPr>
        <w:t>水库</w:t>
      </w:r>
      <w:r>
        <w:rPr>
          <w:rFonts w:ascii="宋体" w:hAnsi="宋体" w:eastAsia="宋体" w:cs="宋体"/>
          <w:sz w:val="24"/>
          <w:szCs w:val="24"/>
        </w:rPr>
        <w:t xml:space="preserve"> </w:t>
      </w:r>
      <w:r>
        <w:rPr>
          <w:rFonts w:ascii="宋体" w:hAnsi="宋体" w:eastAsia="宋体" w:cs="宋体"/>
          <w:spacing w:val="-4"/>
          <w:sz w:val="24"/>
          <w:szCs w:val="24"/>
        </w:rPr>
        <w:t>蓄水淹没造成的，</w:t>
      </w:r>
      <w:r>
        <w:rPr>
          <w:rFonts w:ascii="宋体" w:hAnsi="宋体" w:eastAsia="宋体" w:cs="宋体"/>
          <w:spacing w:val="70"/>
          <w:sz w:val="24"/>
          <w:szCs w:val="24"/>
        </w:rPr>
        <w:t xml:space="preserve"> </w:t>
      </w:r>
      <w:r>
        <w:rPr>
          <w:rFonts w:ascii="宋体" w:hAnsi="宋体" w:eastAsia="宋体" w:cs="宋体"/>
          <w:spacing w:val="-4"/>
          <w:sz w:val="24"/>
          <w:szCs w:val="24"/>
        </w:rPr>
        <w:t>受影响的群落建群种包括云南松</w:t>
      </w:r>
      <w:r>
        <w:rPr>
          <w:rFonts w:ascii="宋体" w:hAnsi="宋体" w:eastAsia="宋体" w:cs="宋体"/>
          <w:spacing w:val="-65"/>
          <w:sz w:val="24"/>
          <w:szCs w:val="24"/>
        </w:rPr>
        <w:t xml:space="preserve"> </w:t>
      </w:r>
      <w:r>
        <w:rPr>
          <w:rFonts w:ascii="Times New Roman" w:hAnsi="Times New Roman" w:eastAsia="Times New Roman" w:cs="Times New Roman"/>
          <w:i/>
          <w:iCs/>
          <w:spacing w:val="-4"/>
          <w:sz w:val="24"/>
          <w:szCs w:val="24"/>
        </w:rPr>
        <w:t>Pinus</w:t>
      </w:r>
      <w:r>
        <w:rPr>
          <w:rFonts w:ascii="Times New Roman" w:hAnsi="Times New Roman" w:eastAsia="Times New Roman" w:cs="Times New Roman"/>
          <w:i/>
          <w:iCs/>
          <w:spacing w:val="-34"/>
          <w:sz w:val="24"/>
          <w:szCs w:val="24"/>
        </w:rPr>
        <w:t xml:space="preserve"> </w:t>
      </w:r>
      <w:r>
        <w:rPr>
          <w:rFonts w:ascii="Times New Roman" w:hAnsi="Times New Roman" w:eastAsia="Times New Roman" w:cs="Times New Roman"/>
          <w:i/>
          <w:iCs/>
          <w:spacing w:val="-4"/>
          <w:sz w:val="24"/>
          <w:szCs w:val="24"/>
        </w:rPr>
        <w:t>yunnanensis</w:t>
      </w:r>
      <w:r>
        <w:rPr>
          <w:rFonts w:ascii="宋体" w:hAnsi="宋体" w:eastAsia="宋体" w:cs="宋体"/>
          <w:spacing w:val="-4"/>
          <w:sz w:val="24"/>
          <w:szCs w:val="24"/>
        </w:rPr>
        <w:t>、云南油杉</w:t>
      </w:r>
      <w:r>
        <w:rPr>
          <w:rFonts w:ascii="宋体" w:hAnsi="宋体" w:eastAsia="宋体" w:cs="宋体"/>
          <w:sz w:val="24"/>
          <w:szCs w:val="24"/>
        </w:rPr>
        <w:t xml:space="preserve"> </w:t>
      </w:r>
      <w:r>
        <w:rPr>
          <w:rFonts w:ascii="Times New Roman" w:hAnsi="Times New Roman" w:eastAsia="Times New Roman" w:cs="Times New Roman"/>
          <w:i/>
          <w:iCs/>
          <w:sz w:val="24"/>
          <w:szCs w:val="24"/>
        </w:rPr>
        <w:t>Keteleeria</w:t>
      </w:r>
      <w:r>
        <w:rPr>
          <w:rFonts w:ascii="Times New Roman" w:hAnsi="Times New Roman" w:eastAsia="Times New Roman" w:cs="Times New Roman"/>
          <w:i/>
          <w:iCs/>
          <w:spacing w:val="52"/>
          <w:sz w:val="24"/>
          <w:szCs w:val="24"/>
        </w:rPr>
        <w:t xml:space="preserve"> </w:t>
      </w:r>
      <w:r>
        <w:rPr>
          <w:rFonts w:ascii="Times New Roman" w:hAnsi="Times New Roman" w:eastAsia="Times New Roman" w:cs="Times New Roman"/>
          <w:i/>
          <w:iCs/>
          <w:sz w:val="24"/>
          <w:szCs w:val="24"/>
        </w:rPr>
        <w:t>evelyniana</w:t>
      </w:r>
      <w:r>
        <w:rPr>
          <w:rFonts w:ascii="宋体" w:hAnsi="宋体" w:eastAsia="宋体" w:cs="宋体"/>
          <w:spacing w:val="7"/>
          <w:sz w:val="24"/>
          <w:szCs w:val="24"/>
        </w:rPr>
        <w:t xml:space="preserve">、滇青冈 </w:t>
      </w:r>
      <w:r>
        <w:rPr>
          <w:rFonts w:ascii="Times New Roman" w:hAnsi="Times New Roman" w:eastAsia="Times New Roman" w:cs="Times New Roman"/>
          <w:i/>
          <w:iCs/>
          <w:sz w:val="24"/>
          <w:szCs w:val="24"/>
        </w:rPr>
        <w:t>Cyclobalanopsis</w:t>
      </w:r>
      <w:r>
        <w:rPr>
          <w:rFonts w:ascii="Times New Roman" w:hAnsi="Times New Roman" w:eastAsia="Times New Roman" w:cs="Times New Roman"/>
          <w:i/>
          <w:iCs/>
          <w:spacing w:val="31"/>
          <w:w w:val="101"/>
          <w:sz w:val="24"/>
          <w:szCs w:val="24"/>
        </w:rPr>
        <w:t xml:space="preserve"> </w:t>
      </w:r>
      <w:r>
        <w:rPr>
          <w:rFonts w:ascii="Times New Roman" w:hAnsi="Times New Roman" w:eastAsia="Times New Roman" w:cs="Times New Roman"/>
          <w:i/>
          <w:iCs/>
          <w:sz w:val="24"/>
          <w:szCs w:val="24"/>
        </w:rPr>
        <w:t>glaucoides</w:t>
      </w:r>
      <w:r>
        <w:rPr>
          <w:rFonts w:ascii="宋体" w:hAnsi="宋体" w:eastAsia="宋体" w:cs="宋体"/>
          <w:spacing w:val="7"/>
          <w:sz w:val="24"/>
          <w:szCs w:val="24"/>
        </w:rPr>
        <w:t>、高山锥</w:t>
      </w:r>
      <w:r>
        <w:rPr>
          <w:rFonts w:ascii="宋体" w:hAnsi="宋体" w:eastAsia="宋体" w:cs="宋体"/>
          <w:spacing w:val="34"/>
          <w:sz w:val="24"/>
          <w:szCs w:val="24"/>
        </w:rPr>
        <w:t xml:space="preserve"> </w:t>
      </w:r>
      <w:r>
        <w:rPr>
          <w:rFonts w:ascii="Times New Roman" w:hAnsi="Times New Roman" w:eastAsia="Times New Roman" w:cs="Times New Roman"/>
          <w:i/>
          <w:iCs/>
          <w:sz w:val="24"/>
          <w:szCs w:val="24"/>
        </w:rPr>
        <w:t xml:space="preserve">Castanopsis </w:t>
      </w:r>
      <w:r>
        <w:rPr>
          <w:rFonts w:ascii="Times New Roman" w:hAnsi="Times New Roman" w:eastAsia="Times New Roman" w:cs="Times New Roman"/>
          <w:i/>
          <w:iCs/>
          <w:spacing w:val="-5"/>
          <w:sz w:val="24"/>
          <w:szCs w:val="24"/>
        </w:rPr>
        <w:t>delavayi</w:t>
      </w:r>
      <w:r>
        <w:rPr>
          <w:rFonts w:ascii="宋体" w:hAnsi="宋体" w:eastAsia="宋体" w:cs="宋体"/>
          <w:spacing w:val="-5"/>
          <w:sz w:val="24"/>
          <w:szCs w:val="24"/>
        </w:rPr>
        <w:t>、尼泊尔桤木</w:t>
      </w:r>
      <w:r>
        <w:rPr>
          <w:rFonts w:ascii="宋体" w:hAnsi="宋体" w:eastAsia="宋体" w:cs="宋体"/>
          <w:spacing w:val="-55"/>
          <w:sz w:val="24"/>
          <w:szCs w:val="24"/>
        </w:rPr>
        <w:t xml:space="preserve"> </w:t>
      </w:r>
      <w:r>
        <w:rPr>
          <w:rFonts w:ascii="Times New Roman" w:hAnsi="Times New Roman" w:eastAsia="Times New Roman" w:cs="Times New Roman"/>
          <w:i/>
          <w:iCs/>
          <w:spacing w:val="-5"/>
          <w:sz w:val="24"/>
          <w:szCs w:val="24"/>
        </w:rPr>
        <w:t>Alnus nepalensis</w:t>
      </w:r>
      <w:r>
        <w:rPr>
          <w:rFonts w:ascii="宋体" w:hAnsi="宋体" w:eastAsia="宋体" w:cs="宋体"/>
          <w:spacing w:val="-5"/>
          <w:sz w:val="24"/>
          <w:szCs w:val="24"/>
        </w:rPr>
        <w:t>、白柯</w:t>
      </w:r>
      <w:r>
        <w:rPr>
          <w:rFonts w:ascii="宋体" w:hAnsi="宋体" w:eastAsia="宋体" w:cs="宋体"/>
          <w:spacing w:val="-68"/>
          <w:sz w:val="24"/>
          <w:szCs w:val="24"/>
        </w:rPr>
        <w:t xml:space="preserve"> </w:t>
      </w:r>
      <w:r>
        <w:rPr>
          <w:rFonts w:ascii="Times New Roman" w:hAnsi="Times New Roman" w:eastAsia="Times New Roman" w:cs="Times New Roman"/>
          <w:i/>
          <w:iCs/>
          <w:spacing w:val="-5"/>
          <w:sz w:val="24"/>
          <w:szCs w:val="24"/>
        </w:rPr>
        <w:t>Lithocarpus dealbatus</w:t>
      </w:r>
      <w:r>
        <w:rPr>
          <w:rFonts w:ascii="宋体" w:hAnsi="宋体" w:eastAsia="宋体" w:cs="宋体"/>
          <w:spacing w:val="-5"/>
          <w:sz w:val="24"/>
          <w:szCs w:val="24"/>
        </w:rPr>
        <w:t>、香叶树</w:t>
      </w:r>
      <w:r>
        <w:rPr>
          <w:rFonts w:ascii="宋体" w:hAnsi="宋体" w:eastAsia="宋体" w:cs="宋体"/>
          <w:spacing w:val="-67"/>
          <w:sz w:val="24"/>
          <w:szCs w:val="24"/>
        </w:rPr>
        <w:t xml:space="preserve"> </w:t>
      </w:r>
      <w:r>
        <w:rPr>
          <w:rFonts w:ascii="Times New Roman" w:hAnsi="Times New Roman" w:eastAsia="Times New Roman" w:cs="Times New Roman"/>
          <w:i/>
          <w:iCs/>
          <w:spacing w:val="-5"/>
          <w:sz w:val="24"/>
          <w:szCs w:val="24"/>
        </w:rPr>
        <w:t>Lindera</w:t>
      </w:r>
      <w:r>
        <w:rPr>
          <w:rFonts w:ascii="Times New Roman" w:hAnsi="Times New Roman" w:eastAsia="Times New Roman" w:cs="Times New Roman"/>
          <w:i/>
          <w:iCs/>
          <w:sz w:val="24"/>
          <w:szCs w:val="24"/>
        </w:rPr>
        <w:t xml:space="preserve"> communi</w:t>
      </w:r>
      <w:r>
        <w:rPr>
          <w:rFonts w:ascii="Times New Roman" w:hAnsi="Times New Roman" w:eastAsia="Times New Roman" w:cs="Times New Roman"/>
          <w:sz w:val="24"/>
          <w:szCs w:val="24"/>
        </w:rPr>
        <w:t>s</w:t>
      </w:r>
      <w:r>
        <w:rPr>
          <w:rFonts w:ascii="Times New Roman" w:hAnsi="Times New Roman" w:eastAsia="Times New Roman" w:cs="Times New Roman"/>
          <w:spacing w:val="17"/>
          <w:sz w:val="24"/>
          <w:szCs w:val="24"/>
        </w:rPr>
        <w:t xml:space="preserve"> </w:t>
      </w:r>
      <w:r>
        <w:rPr>
          <w:rFonts w:ascii="宋体" w:hAnsi="宋体" w:eastAsia="宋体" w:cs="宋体"/>
          <w:spacing w:val="17"/>
          <w:sz w:val="24"/>
          <w:szCs w:val="24"/>
        </w:rPr>
        <w:t>、栓皮栎</w:t>
      </w:r>
      <w:r>
        <w:rPr>
          <w:rFonts w:ascii="宋体" w:hAnsi="宋体" w:eastAsia="宋体" w:cs="宋体"/>
          <w:spacing w:val="53"/>
          <w:sz w:val="24"/>
          <w:szCs w:val="24"/>
        </w:rPr>
        <w:t xml:space="preserve"> </w:t>
      </w:r>
      <w:r>
        <w:rPr>
          <w:rFonts w:ascii="Times New Roman" w:hAnsi="Times New Roman" w:eastAsia="Times New Roman" w:cs="Times New Roman"/>
          <w:i/>
          <w:iCs/>
          <w:sz w:val="24"/>
          <w:szCs w:val="24"/>
        </w:rPr>
        <w:t>Quercus  variabilis</w:t>
      </w:r>
      <w:r>
        <w:rPr>
          <w:rFonts w:ascii="Times New Roman" w:hAnsi="Times New Roman" w:eastAsia="Times New Roman" w:cs="Times New Roman"/>
          <w:i/>
          <w:iCs/>
          <w:spacing w:val="-29"/>
          <w:sz w:val="24"/>
          <w:szCs w:val="24"/>
        </w:rPr>
        <w:t xml:space="preserve"> </w:t>
      </w:r>
      <w:r>
        <w:rPr>
          <w:rFonts w:ascii="宋体" w:hAnsi="宋体" w:eastAsia="宋体" w:cs="宋体"/>
          <w:spacing w:val="17"/>
          <w:sz w:val="24"/>
          <w:szCs w:val="24"/>
        </w:rPr>
        <w:t xml:space="preserve">、川梨 </w:t>
      </w:r>
      <w:r>
        <w:rPr>
          <w:rFonts w:ascii="Times New Roman" w:hAnsi="Times New Roman" w:eastAsia="Times New Roman" w:cs="Times New Roman"/>
          <w:i/>
          <w:iCs/>
          <w:sz w:val="24"/>
          <w:szCs w:val="24"/>
        </w:rPr>
        <w:t>Pyrus</w:t>
      </w:r>
      <w:r>
        <w:rPr>
          <w:rFonts w:ascii="Times New Roman" w:hAnsi="Times New Roman" w:eastAsia="Times New Roman" w:cs="Times New Roman"/>
          <w:i/>
          <w:iCs/>
          <w:spacing w:val="28"/>
          <w:sz w:val="24"/>
          <w:szCs w:val="24"/>
        </w:rPr>
        <w:t xml:space="preserve"> </w:t>
      </w:r>
      <w:r>
        <w:rPr>
          <w:rFonts w:ascii="Times New Roman" w:hAnsi="Times New Roman" w:eastAsia="Times New Roman" w:cs="Times New Roman"/>
          <w:i/>
          <w:iCs/>
          <w:sz w:val="24"/>
          <w:szCs w:val="24"/>
        </w:rPr>
        <w:t>pashia</w:t>
      </w:r>
      <w:r>
        <w:rPr>
          <w:rFonts w:ascii="Times New Roman" w:hAnsi="Times New Roman" w:eastAsia="Times New Roman" w:cs="Times New Roman"/>
          <w:i/>
          <w:iCs/>
          <w:spacing w:val="-31"/>
          <w:sz w:val="24"/>
          <w:szCs w:val="24"/>
        </w:rPr>
        <w:t xml:space="preserve"> </w:t>
      </w:r>
      <w:r>
        <w:rPr>
          <w:rFonts w:ascii="宋体" w:hAnsi="宋体" w:eastAsia="宋体" w:cs="宋体"/>
          <w:spacing w:val="17"/>
          <w:sz w:val="24"/>
          <w:szCs w:val="24"/>
        </w:rPr>
        <w:t xml:space="preserve">、清香木 </w:t>
      </w:r>
      <w:r>
        <w:rPr>
          <w:rFonts w:ascii="Times New Roman" w:hAnsi="Times New Roman" w:eastAsia="Times New Roman" w:cs="Times New Roman"/>
          <w:i/>
          <w:iCs/>
          <w:sz w:val="24"/>
          <w:szCs w:val="24"/>
        </w:rPr>
        <w:t xml:space="preserve">Pistacia </w:t>
      </w:r>
      <w:r>
        <w:rPr>
          <w:rFonts w:ascii="Times New Roman" w:hAnsi="Times New Roman" w:eastAsia="Times New Roman" w:cs="Times New Roman"/>
          <w:i/>
          <w:iCs/>
          <w:spacing w:val="-1"/>
          <w:sz w:val="24"/>
          <w:szCs w:val="24"/>
        </w:rPr>
        <w:t>weinmannifolia</w:t>
      </w:r>
      <w:r>
        <w:rPr>
          <w:rFonts w:ascii="宋体" w:hAnsi="宋体" w:eastAsia="宋体" w:cs="宋体"/>
          <w:spacing w:val="-1"/>
          <w:sz w:val="24"/>
          <w:szCs w:val="24"/>
        </w:rPr>
        <w:t>、滇杨</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Populus</w:t>
      </w:r>
      <w:r>
        <w:rPr>
          <w:rFonts w:ascii="Times New Roman" w:hAnsi="Times New Roman" w:eastAsia="Times New Roman" w:cs="Times New Roman"/>
          <w:i/>
          <w:iCs/>
          <w:spacing w:val="-33"/>
          <w:sz w:val="24"/>
          <w:szCs w:val="24"/>
        </w:rPr>
        <w:t xml:space="preserve"> </w:t>
      </w:r>
      <w:r>
        <w:rPr>
          <w:rFonts w:ascii="Times New Roman" w:hAnsi="Times New Roman" w:eastAsia="Times New Roman" w:cs="Times New Roman"/>
          <w:i/>
          <w:iCs/>
          <w:spacing w:val="-1"/>
          <w:sz w:val="24"/>
          <w:szCs w:val="24"/>
        </w:rPr>
        <w:t>yunnanensis</w:t>
      </w:r>
      <w:r>
        <w:rPr>
          <w:rFonts w:ascii="宋体" w:hAnsi="宋体" w:eastAsia="宋体" w:cs="宋体"/>
          <w:spacing w:val="-1"/>
          <w:sz w:val="24"/>
          <w:szCs w:val="24"/>
        </w:rPr>
        <w:t>、厚皮香</w:t>
      </w:r>
      <w:r>
        <w:rPr>
          <w:rFonts w:ascii="宋体" w:hAnsi="宋体" w:eastAsia="宋体" w:cs="宋体"/>
          <w:spacing w:val="-43"/>
          <w:sz w:val="24"/>
          <w:szCs w:val="24"/>
        </w:rPr>
        <w:t xml:space="preserve"> </w:t>
      </w:r>
      <w:r>
        <w:rPr>
          <w:rFonts w:ascii="Times New Roman" w:hAnsi="Times New Roman" w:eastAsia="Times New Roman" w:cs="Times New Roman"/>
          <w:i/>
          <w:iCs/>
          <w:spacing w:val="-1"/>
          <w:sz w:val="24"/>
          <w:szCs w:val="24"/>
        </w:rPr>
        <w:t>T</w:t>
      </w:r>
      <w:r>
        <w:rPr>
          <w:rFonts w:ascii="Times New Roman" w:hAnsi="Times New Roman" w:eastAsia="Times New Roman" w:cs="Times New Roman"/>
          <w:i/>
          <w:iCs/>
          <w:spacing w:val="-2"/>
          <w:sz w:val="24"/>
          <w:szCs w:val="24"/>
        </w:rPr>
        <w:t>ernstroemia</w:t>
      </w:r>
      <w:r>
        <w:rPr>
          <w:rFonts w:ascii="Times New Roman" w:hAnsi="Times New Roman" w:eastAsia="Times New Roman" w:cs="Times New Roman"/>
          <w:i/>
          <w:iCs/>
          <w:spacing w:val="-21"/>
          <w:sz w:val="24"/>
          <w:szCs w:val="24"/>
        </w:rPr>
        <w:t xml:space="preserve"> </w:t>
      </w:r>
      <w:r>
        <w:rPr>
          <w:rFonts w:ascii="Times New Roman" w:hAnsi="Times New Roman" w:eastAsia="Times New Roman" w:cs="Times New Roman"/>
          <w:i/>
          <w:iCs/>
          <w:spacing w:val="-2"/>
          <w:sz w:val="24"/>
          <w:szCs w:val="24"/>
        </w:rPr>
        <w:t>gymnanthera</w:t>
      </w:r>
      <w:r>
        <w:rPr>
          <w:rFonts w:ascii="宋体" w:hAnsi="宋体" w:eastAsia="宋体" w:cs="宋体"/>
          <w:spacing w:val="-2"/>
          <w:sz w:val="24"/>
          <w:szCs w:val="24"/>
        </w:rPr>
        <w:t>、密</w:t>
      </w:r>
      <w:r>
        <w:rPr>
          <w:rFonts w:ascii="宋体" w:hAnsi="宋体" w:eastAsia="宋体" w:cs="宋体"/>
          <w:sz w:val="24"/>
          <w:szCs w:val="24"/>
        </w:rPr>
        <w:t xml:space="preserve"> 花树</w:t>
      </w:r>
      <w:r>
        <w:rPr>
          <w:rFonts w:ascii="宋体" w:hAnsi="宋体" w:eastAsia="宋体" w:cs="宋体"/>
          <w:spacing w:val="-60"/>
          <w:sz w:val="24"/>
          <w:szCs w:val="24"/>
        </w:rPr>
        <w:t xml:space="preserve"> </w:t>
      </w:r>
      <w:r>
        <w:rPr>
          <w:rFonts w:ascii="Times New Roman" w:hAnsi="Times New Roman" w:eastAsia="Times New Roman" w:cs="Times New Roman"/>
          <w:i/>
          <w:iCs/>
          <w:sz w:val="24"/>
          <w:szCs w:val="24"/>
        </w:rPr>
        <w:t>Myrsine</w:t>
      </w:r>
      <w:r>
        <w:rPr>
          <w:rFonts w:ascii="Times New Roman" w:hAnsi="Times New Roman" w:eastAsia="Times New Roman" w:cs="Times New Roman"/>
          <w:i/>
          <w:iCs/>
          <w:spacing w:val="28"/>
          <w:sz w:val="24"/>
          <w:szCs w:val="24"/>
        </w:rPr>
        <w:t xml:space="preserve"> </w:t>
      </w:r>
      <w:r>
        <w:rPr>
          <w:rFonts w:ascii="Times New Roman" w:hAnsi="Times New Roman" w:eastAsia="Times New Roman" w:cs="Times New Roman"/>
          <w:i/>
          <w:iCs/>
          <w:sz w:val="24"/>
          <w:szCs w:val="24"/>
        </w:rPr>
        <w:t>seguinii</w:t>
      </w:r>
      <w:r>
        <w:rPr>
          <w:rFonts w:ascii="宋体" w:hAnsi="宋体" w:eastAsia="宋体" w:cs="宋体"/>
          <w:sz w:val="24"/>
          <w:szCs w:val="24"/>
        </w:rPr>
        <w:t>、珍珠花</w:t>
      </w:r>
      <w:r>
        <w:rPr>
          <w:rFonts w:ascii="宋体" w:hAnsi="宋体" w:eastAsia="宋体" w:cs="宋体"/>
          <w:spacing w:val="-60"/>
          <w:sz w:val="24"/>
          <w:szCs w:val="24"/>
        </w:rPr>
        <w:t xml:space="preserve"> </w:t>
      </w:r>
      <w:r>
        <w:rPr>
          <w:rFonts w:ascii="Times New Roman" w:hAnsi="Times New Roman" w:eastAsia="Times New Roman" w:cs="Times New Roman"/>
          <w:i/>
          <w:iCs/>
          <w:sz w:val="24"/>
          <w:szCs w:val="24"/>
        </w:rPr>
        <w:t>Lyonia</w:t>
      </w:r>
      <w:r>
        <w:rPr>
          <w:rFonts w:ascii="Times New Roman" w:hAnsi="Times New Roman" w:eastAsia="Times New Roman" w:cs="Times New Roman"/>
          <w:i/>
          <w:iCs/>
          <w:spacing w:val="38"/>
          <w:sz w:val="24"/>
          <w:szCs w:val="24"/>
        </w:rPr>
        <w:t xml:space="preserve"> </w:t>
      </w:r>
      <w:r>
        <w:rPr>
          <w:rFonts w:ascii="Times New Roman" w:hAnsi="Times New Roman" w:eastAsia="Times New Roman" w:cs="Times New Roman"/>
          <w:i/>
          <w:iCs/>
          <w:sz w:val="24"/>
          <w:szCs w:val="24"/>
        </w:rPr>
        <w:t>ovalifolia</w:t>
      </w:r>
      <w:r>
        <w:rPr>
          <w:rFonts w:ascii="Times New Roman" w:hAnsi="Times New Roman" w:eastAsia="Times New Roman" w:cs="Times New Roman"/>
          <w:i/>
          <w:iCs/>
          <w:spacing w:val="18"/>
          <w:w w:val="101"/>
          <w:sz w:val="24"/>
          <w:szCs w:val="24"/>
        </w:rPr>
        <w:t xml:space="preserve"> </w:t>
      </w:r>
      <w:r>
        <w:rPr>
          <w:rFonts w:ascii="宋体" w:hAnsi="宋体" w:eastAsia="宋体" w:cs="宋体"/>
          <w:sz w:val="24"/>
          <w:szCs w:val="24"/>
        </w:rPr>
        <w:t>等。这些物种在云南</w:t>
      </w:r>
      <w:r>
        <w:rPr>
          <w:rFonts w:ascii="宋体" w:hAnsi="宋体" w:eastAsia="宋体" w:cs="宋体"/>
          <w:spacing w:val="-1"/>
          <w:sz w:val="24"/>
          <w:szCs w:val="24"/>
        </w:rPr>
        <w:t>分布范围较</w:t>
      </w:r>
    </w:p>
    <w:p>
      <w:pPr>
        <w:spacing w:before="1" w:line="219" w:lineRule="auto"/>
        <w:ind w:left="39"/>
        <w:rPr>
          <w:rFonts w:ascii="宋体" w:hAnsi="宋体" w:eastAsia="宋体" w:cs="宋体"/>
          <w:sz w:val="24"/>
          <w:szCs w:val="24"/>
        </w:rPr>
      </w:pPr>
      <w:r>
        <w:rPr>
          <w:rFonts w:ascii="宋体" w:hAnsi="宋体" w:eastAsia="宋体" w:cs="宋体"/>
          <w:spacing w:val="-14"/>
          <w:sz w:val="24"/>
          <w:szCs w:val="24"/>
        </w:rPr>
        <w:t>广，</w:t>
      </w:r>
      <w:r>
        <w:rPr>
          <w:rFonts w:ascii="宋体" w:hAnsi="宋体" w:eastAsia="宋体" w:cs="宋体"/>
          <w:spacing w:val="-53"/>
          <w:sz w:val="24"/>
          <w:szCs w:val="24"/>
        </w:rPr>
        <w:t xml:space="preserve"> </w:t>
      </w:r>
      <w:r>
        <w:rPr>
          <w:rFonts w:ascii="宋体" w:hAnsi="宋体" w:eastAsia="宋体" w:cs="宋体"/>
          <w:spacing w:val="-14"/>
          <w:sz w:val="24"/>
          <w:szCs w:val="24"/>
        </w:rPr>
        <w:t>而且有较大的野生种群，</w:t>
      </w:r>
      <w:r>
        <w:rPr>
          <w:rFonts w:ascii="宋体" w:hAnsi="宋体" w:eastAsia="宋体" w:cs="宋体"/>
          <w:spacing w:val="40"/>
          <w:sz w:val="24"/>
          <w:szCs w:val="24"/>
        </w:rPr>
        <w:t xml:space="preserve"> </w:t>
      </w:r>
      <w:r>
        <w:rPr>
          <w:rFonts w:ascii="宋体" w:hAnsi="宋体" w:eastAsia="宋体" w:cs="宋体"/>
          <w:spacing w:val="-14"/>
          <w:sz w:val="24"/>
          <w:szCs w:val="24"/>
        </w:rPr>
        <w:t>为常见物种，</w:t>
      </w:r>
      <w:r>
        <w:rPr>
          <w:rFonts w:ascii="宋体" w:hAnsi="宋体" w:eastAsia="宋体" w:cs="宋体"/>
          <w:spacing w:val="40"/>
          <w:sz w:val="24"/>
          <w:szCs w:val="24"/>
        </w:rPr>
        <w:t xml:space="preserve"> </w:t>
      </w:r>
      <w:r>
        <w:rPr>
          <w:rFonts w:ascii="宋体" w:hAnsi="宋体" w:eastAsia="宋体" w:cs="宋体"/>
          <w:spacing w:val="-14"/>
          <w:sz w:val="24"/>
          <w:szCs w:val="24"/>
        </w:rPr>
        <w:t>工程建设对这些物种的影响不</w:t>
      </w:r>
      <w:r>
        <w:rPr>
          <w:rFonts w:ascii="宋体" w:hAnsi="宋体" w:eastAsia="宋体" w:cs="宋体"/>
          <w:spacing w:val="-15"/>
          <w:sz w:val="24"/>
          <w:szCs w:val="24"/>
        </w:rPr>
        <w:t>大。因</w:t>
      </w:r>
    </w:p>
    <w:p>
      <w:pPr>
        <w:spacing w:line="219" w:lineRule="auto"/>
        <w:rPr>
          <w:rFonts w:ascii="宋体" w:hAnsi="宋体" w:eastAsia="宋体" w:cs="宋体"/>
          <w:sz w:val="24"/>
          <w:szCs w:val="24"/>
        </w:rPr>
        <w:sectPr>
          <w:headerReference r:id="rId388" w:type="default"/>
          <w:footerReference r:id="rId389" w:type="default"/>
          <w:pgSz w:w="11907" w:h="16839"/>
          <w:pgMar w:top="1156" w:right="1594" w:bottom="1374" w:left="1770" w:header="881" w:footer="1210" w:gutter="0"/>
        </w:sectPr>
      </w:pPr>
    </w:p>
    <w:p>
      <w:pPr>
        <w:spacing w:before="319" w:line="467" w:lineRule="exact"/>
        <w:ind w:left="40"/>
        <w:rPr>
          <w:rFonts w:ascii="宋体" w:hAnsi="宋体" w:eastAsia="宋体" w:cs="宋体"/>
          <w:sz w:val="24"/>
          <w:szCs w:val="24"/>
        </w:rPr>
      </w:pPr>
      <w:r>
        <w:rPr>
          <w:rFonts w:ascii="宋体" w:hAnsi="宋体" w:eastAsia="宋体" w:cs="宋体"/>
          <w:spacing w:val="-6"/>
          <w:position w:val="17"/>
          <w:sz w:val="24"/>
          <w:szCs w:val="24"/>
        </w:rPr>
        <w:t>此，工程建设对生物群落关键种影响不大， 不会造成这些关</w:t>
      </w:r>
      <w:r>
        <w:rPr>
          <w:rFonts w:ascii="宋体" w:hAnsi="宋体" w:eastAsia="宋体" w:cs="宋体"/>
          <w:spacing w:val="-7"/>
          <w:position w:val="17"/>
          <w:sz w:val="24"/>
          <w:szCs w:val="24"/>
        </w:rPr>
        <w:t>键种种群结构的显著</w:t>
      </w:r>
    </w:p>
    <w:p>
      <w:pPr>
        <w:spacing w:before="1" w:line="218" w:lineRule="auto"/>
        <w:ind w:left="47"/>
        <w:rPr>
          <w:rFonts w:ascii="宋体" w:hAnsi="宋体" w:eastAsia="宋体" w:cs="宋体"/>
          <w:sz w:val="24"/>
          <w:szCs w:val="24"/>
        </w:rPr>
      </w:pPr>
      <w:r>
        <w:rPr>
          <w:rFonts w:ascii="宋体" w:hAnsi="宋体" w:eastAsia="宋体" w:cs="宋体"/>
          <w:spacing w:val="-4"/>
          <w:sz w:val="24"/>
          <w:szCs w:val="24"/>
        </w:rPr>
        <w:t>改变，也不会导致这些物种灭绝。</w:t>
      </w:r>
    </w:p>
    <w:p>
      <w:pPr>
        <w:spacing w:before="182" w:line="467" w:lineRule="exact"/>
        <w:ind w:left="525"/>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5</w:t>
      </w:r>
      <w:r>
        <w:rPr>
          <w:rFonts w:ascii="宋体" w:hAnsi="宋体" w:eastAsia="宋体" w:cs="宋体"/>
          <w:spacing w:val="-2"/>
          <w:position w:val="17"/>
          <w:sz w:val="24"/>
          <w:szCs w:val="24"/>
        </w:rPr>
        <w:t>）对植物群落的影响</w:t>
      </w:r>
    </w:p>
    <w:p>
      <w:pPr>
        <w:spacing w:line="217" w:lineRule="auto"/>
        <w:ind w:left="518"/>
        <w:rPr>
          <w:rFonts w:ascii="宋体" w:hAnsi="宋体" w:eastAsia="宋体" w:cs="宋体"/>
          <w:sz w:val="24"/>
          <w:szCs w:val="24"/>
        </w:rPr>
      </w:pPr>
      <w:r>
        <w:rPr>
          <w:rFonts w:ascii="宋体" w:hAnsi="宋体" w:eastAsia="宋体" w:cs="宋体"/>
          <w:spacing w:val="-2"/>
          <w:sz w:val="24"/>
          <w:szCs w:val="24"/>
        </w:rPr>
        <w:t>①植物群落演替</w:t>
      </w:r>
    </w:p>
    <w:p>
      <w:pPr>
        <w:spacing w:before="184" w:line="359" w:lineRule="auto"/>
        <w:ind w:left="59" w:right="80" w:firstLine="462"/>
        <w:rPr>
          <w:rFonts w:ascii="宋体" w:hAnsi="宋体" w:eastAsia="宋体" w:cs="宋体"/>
          <w:sz w:val="24"/>
          <w:szCs w:val="24"/>
        </w:rPr>
      </w:pPr>
      <w:r>
        <w:rPr>
          <w:rFonts w:ascii="宋体" w:hAnsi="宋体" w:eastAsia="宋体" w:cs="宋体"/>
          <w:spacing w:val="-7"/>
          <w:sz w:val="24"/>
          <w:szCs w:val="24"/>
        </w:rPr>
        <w:t>调查表明， 本地区的原生植被主要是云南松林和半湿润常绿阔叶林。评价区</w:t>
      </w:r>
      <w:r>
        <w:rPr>
          <w:rFonts w:ascii="宋体" w:hAnsi="宋体" w:eastAsia="宋体" w:cs="宋体"/>
          <w:spacing w:val="12"/>
          <w:sz w:val="24"/>
          <w:szCs w:val="24"/>
        </w:rPr>
        <w:t xml:space="preserve"> </w:t>
      </w:r>
      <w:r>
        <w:rPr>
          <w:rFonts w:ascii="宋体" w:hAnsi="宋体" w:eastAsia="宋体" w:cs="宋体"/>
          <w:spacing w:val="-6"/>
          <w:sz w:val="24"/>
          <w:szCs w:val="24"/>
        </w:rPr>
        <w:t>的云南松林和半湿润常绿阔叶林是遭到破坏之后发育起来的次生植被，</w:t>
      </w:r>
      <w:r>
        <w:rPr>
          <w:rFonts w:ascii="宋体" w:hAnsi="宋体" w:eastAsia="宋体" w:cs="宋体"/>
          <w:spacing w:val="-32"/>
          <w:sz w:val="24"/>
          <w:szCs w:val="24"/>
        </w:rPr>
        <w:t xml:space="preserve"> </w:t>
      </w:r>
      <w:r>
        <w:rPr>
          <w:rFonts w:ascii="宋体" w:hAnsi="宋体" w:eastAsia="宋体" w:cs="宋体"/>
          <w:spacing w:val="-6"/>
          <w:sz w:val="24"/>
          <w:szCs w:val="24"/>
        </w:rPr>
        <w:t>而且</w:t>
      </w:r>
      <w:r>
        <w:rPr>
          <w:rFonts w:ascii="宋体" w:hAnsi="宋体" w:eastAsia="宋体" w:cs="宋体"/>
          <w:spacing w:val="-7"/>
          <w:sz w:val="24"/>
          <w:szCs w:val="24"/>
        </w:rPr>
        <w:t>随破</w:t>
      </w:r>
    </w:p>
    <w:p>
      <w:pPr>
        <w:spacing w:line="219" w:lineRule="auto"/>
        <w:ind w:left="39"/>
        <w:rPr>
          <w:rFonts w:ascii="宋体" w:hAnsi="宋体" w:eastAsia="宋体" w:cs="宋体"/>
          <w:sz w:val="24"/>
          <w:szCs w:val="24"/>
        </w:rPr>
      </w:pPr>
      <w:r>
        <w:rPr>
          <w:rFonts w:ascii="宋体" w:hAnsi="宋体" w:eastAsia="宋体" w:cs="宋体"/>
          <w:spacing w:val="-3"/>
          <w:sz w:val="24"/>
          <w:szCs w:val="24"/>
        </w:rPr>
        <w:t>坏程度的不同，演变为灌丛和稀树灌木草丛。</w:t>
      </w:r>
    </w:p>
    <w:p>
      <w:pPr>
        <w:spacing w:before="183" w:line="359" w:lineRule="auto"/>
        <w:ind w:left="39" w:right="80" w:firstLine="482"/>
        <w:rPr>
          <w:rFonts w:ascii="宋体" w:hAnsi="宋体" w:eastAsia="宋体" w:cs="宋体"/>
          <w:sz w:val="24"/>
          <w:szCs w:val="24"/>
        </w:rPr>
      </w:pPr>
      <w:r>
        <w:rPr>
          <w:rFonts w:ascii="宋体" w:hAnsi="宋体" w:eastAsia="宋体" w:cs="宋体"/>
          <w:spacing w:val="-7"/>
          <w:sz w:val="24"/>
          <w:szCs w:val="24"/>
        </w:rPr>
        <w:t>工程建设永久占用的自然植被将永久改变土地的性质， 由林地变为库区水域</w:t>
      </w:r>
      <w:r>
        <w:rPr>
          <w:rFonts w:ascii="宋体" w:hAnsi="宋体" w:eastAsia="宋体" w:cs="宋体"/>
          <w:spacing w:val="11"/>
          <w:sz w:val="24"/>
          <w:szCs w:val="24"/>
        </w:rPr>
        <w:t xml:space="preserve"> </w:t>
      </w:r>
      <w:r>
        <w:rPr>
          <w:rFonts w:ascii="宋体" w:hAnsi="宋体" w:eastAsia="宋体" w:cs="宋体"/>
          <w:spacing w:val="-11"/>
          <w:sz w:val="24"/>
          <w:szCs w:val="24"/>
        </w:rPr>
        <w:t>和建筑用地。临时占地的自然植被，在水库建设竣工后， 将成为施工迹地，</w:t>
      </w:r>
      <w:r>
        <w:rPr>
          <w:rFonts w:ascii="宋体" w:hAnsi="宋体" w:eastAsia="宋体" w:cs="宋体"/>
          <w:spacing w:val="51"/>
          <w:sz w:val="24"/>
          <w:szCs w:val="24"/>
        </w:rPr>
        <w:t xml:space="preserve"> </w:t>
      </w:r>
      <w:r>
        <w:rPr>
          <w:rFonts w:ascii="宋体" w:hAnsi="宋体" w:eastAsia="宋体" w:cs="宋体"/>
          <w:spacing w:val="-11"/>
          <w:sz w:val="24"/>
          <w:szCs w:val="24"/>
        </w:rPr>
        <w:t>通过</w:t>
      </w:r>
      <w:r>
        <w:rPr>
          <w:rFonts w:ascii="宋体" w:hAnsi="宋体" w:eastAsia="宋体" w:cs="宋体"/>
          <w:sz w:val="24"/>
          <w:szCs w:val="24"/>
        </w:rPr>
        <w:t xml:space="preserve"> </w:t>
      </w:r>
      <w:r>
        <w:rPr>
          <w:rFonts w:ascii="宋体" w:hAnsi="宋体" w:eastAsia="宋体" w:cs="宋体"/>
          <w:spacing w:val="-6"/>
          <w:sz w:val="24"/>
          <w:szCs w:val="24"/>
        </w:rPr>
        <w:t>自然演替或者人工植被恢复，</w:t>
      </w:r>
      <w:r>
        <w:rPr>
          <w:rFonts w:ascii="宋体" w:hAnsi="宋体" w:eastAsia="宋体" w:cs="宋体"/>
          <w:spacing w:val="-14"/>
          <w:sz w:val="24"/>
          <w:szCs w:val="24"/>
        </w:rPr>
        <w:t xml:space="preserve"> </w:t>
      </w:r>
      <w:r>
        <w:rPr>
          <w:rFonts w:ascii="宋体" w:hAnsi="宋体" w:eastAsia="宋体" w:cs="宋体"/>
          <w:spacing w:val="-6"/>
          <w:sz w:val="24"/>
          <w:szCs w:val="24"/>
        </w:rPr>
        <w:t>可以逐渐恢复成与上述植被演替特征相对应的次生</w:t>
      </w:r>
      <w:r>
        <w:rPr>
          <w:rFonts w:ascii="宋体" w:hAnsi="宋体" w:eastAsia="宋体" w:cs="宋体"/>
          <w:sz w:val="24"/>
          <w:szCs w:val="24"/>
        </w:rPr>
        <w:t xml:space="preserve"> </w:t>
      </w:r>
      <w:r>
        <w:rPr>
          <w:rFonts w:ascii="宋体" w:hAnsi="宋体" w:eastAsia="宋体" w:cs="宋体"/>
          <w:spacing w:val="-3"/>
          <w:sz w:val="24"/>
          <w:szCs w:val="24"/>
        </w:rPr>
        <w:t>植被类型。施工迹地上演替的次生植被类型的质量将低于其对应的原生植被的质</w:t>
      </w:r>
      <w:r>
        <w:rPr>
          <w:rFonts w:ascii="宋体" w:hAnsi="宋体" w:eastAsia="宋体" w:cs="宋体"/>
          <w:spacing w:val="1"/>
          <w:sz w:val="24"/>
          <w:szCs w:val="24"/>
        </w:rPr>
        <w:t xml:space="preserve"> </w:t>
      </w:r>
      <w:r>
        <w:rPr>
          <w:rFonts w:ascii="宋体" w:hAnsi="宋体" w:eastAsia="宋体" w:cs="宋体"/>
          <w:spacing w:val="-17"/>
          <w:sz w:val="24"/>
          <w:szCs w:val="24"/>
        </w:rPr>
        <w:t>量。因此，</w:t>
      </w:r>
      <w:r>
        <w:rPr>
          <w:rFonts w:ascii="宋体" w:hAnsi="宋体" w:eastAsia="宋体" w:cs="宋体"/>
          <w:spacing w:val="67"/>
          <w:sz w:val="24"/>
          <w:szCs w:val="24"/>
        </w:rPr>
        <w:t xml:space="preserve"> </w:t>
      </w:r>
      <w:r>
        <w:rPr>
          <w:rFonts w:ascii="宋体" w:hAnsi="宋体" w:eastAsia="宋体" w:cs="宋体"/>
          <w:spacing w:val="-17"/>
          <w:sz w:val="24"/>
          <w:szCs w:val="24"/>
        </w:rPr>
        <w:t>由于水库工程的建设，</w:t>
      </w:r>
      <w:r>
        <w:rPr>
          <w:rFonts w:ascii="宋体" w:hAnsi="宋体" w:eastAsia="宋体" w:cs="宋体"/>
          <w:spacing w:val="36"/>
          <w:sz w:val="24"/>
          <w:szCs w:val="24"/>
        </w:rPr>
        <w:t xml:space="preserve"> </w:t>
      </w:r>
      <w:r>
        <w:rPr>
          <w:rFonts w:ascii="宋体" w:hAnsi="宋体" w:eastAsia="宋体" w:cs="宋体"/>
          <w:spacing w:val="-17"/>
          <w:sz w:val="24"/>
          <w:szCs w:val="24"/>
        </w:rPr>
        <w:t>评价区内的临时占用的自</w:t>
      </w:r>
      <w:r>
        <w:rPr>
          <w:rFonts w:ascii="宋体" w:hAnsi="宋体" w:eastAsia="宋体" w:cs="宋体"/>
          <w:spacing w:val="-18"/>
          <w:sz w:val="24"/>
          <w:szCs w:val="24"/>
        </w:rPr>
        <w:t>然植被，</w:t>
      </w:r>
      <w:r>
        <w:rPr>
          <w:rFonts w:ascii="宋体" w:hAnsi="宋体" w:eastAsia="宋体" w:cs="宋体"/>
          <w:spacing w:val="36"/>
          <w:sz w:val="24"/>
          <w:szCs w:val="24"/>
        </w:rPr>
        <w:t xml:space="preserve"> </w:t>
      </w:r>
      <w:r>
        <w:rPr>
          <w:rFonts w:ascii="宋体" w:hAnsi="宋体" w:eastAsia="宋体" w:cs="宋体"/>
          <w:spacing w:val="-18"/>
          <w:sz w:val="24"/>
          <w:szCs w:val="24"/>
        </w:rPr>
        <w:t>在工程竣工</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后虽然能够逐渐恢复，但是其生态质量将比施工前降低。</w:t>
      </w:r>
    </w:p>
    <w:p>
      <w:pPr>
        <w:spacing w:before="182" w:line="217" w:lineRule="auto"/>
        <w:ind w:left="517"/>
        <w:rPr>
          <w:rFonts w:ascii="宋体" w:hAnsi="宋体" w:eastAsia="宋体" w:cs="宋体"/>
          <w:sz w:val="24"/>
          <w:szCs w:val="24"/>
        </w:rPr>
      </w:pPr>
      <w:r>
        <w:rPr>
          <w:rFonts w:ascii="宋体" w:hAnsi="宋体" w:eastAsia="宋体" w:cs="宋体"/>
          <w:spacing w:val="-1"/>
          <w:sz w:val="24"/>
          <w:szCs w:val="24"/>
        </w:rPr>
        <w:t>②水库边坡塌方和滑坡对植被带来的影响</w:t>
      </w:r>
    </w:p>
    <w:p>
      <w:pPr>
        <w:spacing w:before="185" w:line="359" w:lineRule="auto"/>
        <w:ind w:left="37" w:right="12" w:firstLine="480"/>
        <w:rPr>
          <w:rFonts w:ascii="宋体" w:hAnsi="宋体" w:eastAsia="宋体" w:cs="宋体"/>
          <w:sz w:val="24"/>
          <w:szCs w:val="24"/>
        </w:rPr>
      </w:pPr>
      <w:r>
        <w:rPr>
          <w:rFonts w:ascii="宋体" w:hAnsi="宋体" w:eastAsia="宋体" w:cs="宋体"/>
          <w:spacing w:val="-10"/>
          <w:sz w:val="24"/>
          <w:szCs w:val="24"/>
        </w:rPr>
        <w:t>评价区山势陡峻，</w:t>
      </w:r>
      <w:r>
        <w:rPr>
          <w:rFonts w:ascii="宋体" w:hAnsi="宋体" w:eastAsia="宋体" w:cs="宋体"/>
          <w:spacing w:val="-43"/>
          <w:sz w:val="24"/>
          <w:szCs w:val="24"/>
        </w:rPr>
        <w:t xml:space="preserve"> </w:t>
      </w:r>
      <w:r>
        <w:rPr>
          <w:rFonts w:ascii="宋体" w:hAnsi="宋体" w:eastAsia="宋体" w:cs="宋体"/>
          <w:spacing w:val="-10"/>
          <w:sz w:val="24"/>
          <w:szCs w:val="24"/>
        </w:rPr>
        <w:t>水库建设将产生大量陡峻的水库</w:t>
      </w:r>
      <w:r>
        <w:rPr>
          <w:rFonts w:ascii="宋体" w:hAnsi="宋体" w:eastAsia="宋体" w:cs="宋体"/>
          <w:spacing w:val="-11"/>
          <w:sz w:val="24"/>
          <w:szCs w:val="24"/>
        </w:rPr>
        <w:t>边坡。在水库运行期雨季，</w:t>
      </w:r>
      <w:r>
        <w:rPr>
          <w:rFonts w:ascii="宋体" w:hAnsi="宋体" w:eastAsia="宋体" w:cs="宋体"/>
          <w:sz w:val="24"/>
          <w:szCs w:val="24"/>
        </w:rPr>
        <w:t xml:space="preserve"> </w:t>
      </w:r>
      <w:r>
        <w:rPr>
          <w:rFonts w:ascii="宋体" w:hAnsi="宋体" w:eastAsia="宋体" w:cs="宋体"/>
          <w:spacing w:val="-7"/>
          <w:sz w:val="24"/>
          <w:szCs w:val="24"/>
        </w:rPr>
        <w:t>将会加剧评价区山体局部塌方、滑坡的可能性。这样的塌方和</w:t>
      </w:r>
      <w:r>
        <w:rPr>
          <w:rFonts w:ascii="宋体" w:hAnsi="宋体" w:eastAsia="宋体" w:cs="宋体"/>
          <w:spacing w:val="-8"/>
          <w:sz w:val="24"/>
          <w:szCs w:val="24"/>
        </w:rPr>
        <w:t>滑坡，</w:t>
      </w:r>
      <w:r>
        <w:rPr>
          <w:rFonts w:ascii="宋体" w:hAnsi="宋体" w:eastAsia="宋体" w:cs="宋体"/>
          <w:spacing w:val="30"/>
          <w:sz w:val="24"/>
          <w:szCs w:val="24"/>
        </w:rPr>
        <w:t xml:space="preserve"> </w:t>
      </w:r>
      <w:r>
        <w:rPr>
          <w:rFonts w:ascii="宋体" w:hAnsi="宋体" w:eastAsia="宋体" w:cs="宋体"/>
          <w:spacing w:val="-8"/>
          <w:sz w:val="24"/>
          <w:szCs w:val="24"/>
        </w:rPr>
        <w:t>许多年内都</w:t>
      </w:r>
      <w:r>
        <w:rPr>
          <w:rFonts w:ascii="宋体" w:hAnsi="宋体" w:eastAsia="宋体" w:cs="宋体"/>
          <w:sz w:val="24"/>
          <w:szCs w:val="24"/>
        </w:rPr>
        <w:t xml:space="preserve"> </w:t>
      </w:r>
      <w:r>
        <w:rPr>
          <w:rFonts w:ascii="宋体" w:hAnsi="宋体" w:eastAsia="宋体" w:cs="宋体"/>
          <w:spacing w:val="-3"/>
          <w:sz w:val="24"/>
          <w:szCs w:val="24"/>
        </w:rPr>
        <w:t>将会年年发生。对评价区的植被和景观造成持续不断的影响。而一旦形成塌方和</w:t>
      </w:r>
    </w:p>
    <w:p>
      <w:pPr>
        <w:spacing w:before="1" w:line="218" w:lineRule="auto"/>
        <w:ind w:left="39"/>
        <w:rPr>
          <w:rFonts w:ascii="宋体" w:hAnsi="宋体" w:eastAsia="宋体" w:cs="宋体"/>
          <w:sz w:val="24"/>
          <w:szCs w:val="24"/>
        </w:rPr>
      </w:pPr>
      <w:r>
        <w:rPr>
          <w:rFonts w:ascii="宋体" w:hAnsi="宋体" w:eastAsia="宋体" w:cs="宋体"/>
          <w:spacing w:val="-10"/>
          <w:sz w:val="24"/>
          <w:szCs w:val="24"/>
        </w:rPr>
        <w:t>滑坡， 由于滑坡面陡峻、无土和干燥，</w:t>
      </w:r>
      <w:r>
        <w:rPr>
          <w:rFonts w:ascii="宋体" w:hAnsi="宋体" w:eastAsia="宋体" w:cs="宋体"/>
          <w:spacing w:val="31"/>
          <w:sz w:val="24"/>
          <w:szCs w:val="24"/>
        </w:rPr>
        <w:t xml:space="preserve"> </w:t>
      </w:r>
      <w:r>
        <w:rPr>
          <w:rFonts w:ascii="宋体" w:hAnsi="宋体" w:eastAsia="宋体" w:cs="宋体"/>
          <w:spacing w:val="-10"/>
          <w:sz w:val="24"/>
          <w:szCs w:val="24"/>
        </w:rPr>
        <w:t>其植被</w:t>
      </w:r>
      <w:r>
        <w:rPr>
          <w:rFonts w:ascii="宋体" w:hAnsi="宋体" w:eastAsia="宋体" w:cs="宋体"/>
          <w:spacing w:val="-11"/>
          <w:sz w:val="24"/>
          <w:szCs w:val="24"/>
        </w:rPr>
        <w:t>在十多年乃至几十年内都难以恢复</w:t>
      </w:r>
    </w:p>
    <w:p>
      <w:pPr>
        <w:spacing w:line="431" w:lineRule="auto"/>
        <w:rPr>
          <w:rFonts w:ascii="Arial"/>
          <w:sz w:val="21"/>
        </w:rPr>
      </w:pPr>
    </w:p>
    <w:p>
      <w:pPr>
        <w:pStyle w:val="2"/>
        <w:spacing w:before="78" w:line="233" w:lineRule="auto"/>
        <w:ind w:left="36"/>
        <w:outlineLvl w:val="2"/>
        <w:rPr>
          <w:sz w:val="24"/>
          <w:szCs w:val="24"/>
        </w:rPr>
      </w:pPr>
      <w:r>
        <w:rPr>
          <w:rFonts w:ascii="Times New Roman" w:hAnsi="Times New Roman" w:eastAsia="Times New Roman" w:cs="Times New Roman"/>
          <w:b/>
          <w:bCs/>
          <w:sz w:val="24"/>
          <w:szCs w:val="24"/>
        </w:rPr>
        <w:t xml:space="preserve">4.4.4 </w:t>
      </w:r>
      <w:r>
        <w:rPr>
          <w:sz w:val="24"/>
          <w:szCs w:val="24"/>
          <w14:textOutline w14:w="4354" w14:cap="flat" w14:cmpd="sng">
            <w14:solidFill>
              <w14:srgbClr w14:val="000000"/>
            </w14:solidFill>
            <w14:prstDash w14:val="solid"/>
            <w14:miter w14:val="0"/>
          </w14:textOutline>
        </w:rPr>
        <w:t>对动物的影响分析</w:t>
      </w:r>
    </w:p>
    <w:p>
      <w:pPr>
        <w:spacing w:before="198"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）对哺乳类的影响</w:t>
      </w:r>
    </w:p>
    <w:p>
      <w:pPr>
        <w:spacing w:before="183" w:line="359" w:lineRule="auto"/>
        <w:ind w:left="40" w:firstLine="479"/>
        <w:rPr>
          <w:rFonts w:ascii="宋体" w:hAnsi="宋体" w:eastAsia="宋体" w:cs="宋体"/>
          <w:sz w:val="24"/>
          <w:szCs w:val="24"/>
        </w:rPr>
      </w:pPr>
      <w:r>
        <w:rPr>
          <w:rFonts w:ascii="宋体" w:hAnsi="宋体" w:eastAsia="宋体" w:cs="宋体"/>
          <w:spacing w:val="-1"/>
          <w:sz w:val="24"/>
          <w:szCs w:val="24"/>
        </w:rPr>
        <w:t>根据现状调查结果，评价区内最常见的是小型啮齿类，如褐家鼠、小家鼠、</w:t>
      </w:r>
      <w:r>
        <w:rPr>
          <w:rFonts w:ascii="宋体" w:hAnsi="宋体" w:eastAsia="宋体" w:cs="宋体"/>
          <w:spacing w:val="9"/>
          <w:sz w:val="24"/>
          <w:szCs w:val="24"/>
        </w:rPr>
        <w:t xml:space="preserve"> </w:t>
      </w:r>
      <w:r>
        <w:rPr>
          <w:rFonts w:ascii="宋体" w:hAnsi="宋体" w:eastAsia="宋体" w:cs="宋体"/>
          <w:spacing w:val="-15"/>
          <w:sz w:val="24"/>
          <w:szCs w:val="24"/>
        </w:rPr>
        <w:t>赤腹松鼠、珀氏长吻松鼠、黄胸鼠等， 它</w:t>
      </w:r>
      <w:r>
        <w:rPr>
          <w:rFonts w:ascii="宋体" w:hAnsi="宋体" w:eastAsia="宋体" w:cs="宋体"/>
          <w:spacing w:val="-16"/>
          <w:sz w:val="24"/>
          <w:szCs w:val="24"/>
        </w:rPr>
        <w:t xml:space="preserve">们一般体型较小， 主要在地面活动觅食， </w:t>
      </w:r>
      <w:r>
        <w:rPr>
          <w:rFonts w:ascii="宋体" w:hAnsi="宋体" w:eastAsia="宋体" w:cs="宋体"/>
          <w:spacing w:val="-12"/>
          <w:sz w:val="24"/>
          <w:szCs w:val="24"/>
        </w:rPr>
        <w:t>栖息、避敌于洞穴中，</w:t>
      </w:r>
      <w:r>
        <w:rPr>
          <w:rFonts w:ascii="宋体" w:hAnsi="宋体" w:eastAsia="宋体" w:cs="宋体"/>
          <w:spacing w:val="42"/>
          <w:sz w:val="24"/>
          <w:szCs w:val="24"/>
        </w:rPr>
        <w:t xml:space="preserve"> </w:t>
      </w:r>
      <w:r>
        <w:rPr>
          <w:rFonts w:ascii="宋体" w:hAnsi="宋体" w:eastAsia="宋体" w:cs="宋体"/>
          <w:spacing w:val="-12"/>
          <w:sz w:val="24"/>
          <w:szCs w:val="24"/>
        </w:rPr>
        <w:t>有的也在地下寻找食</w:t>
      </w:r>
      <w:r>
        <w:rPr>
          <w:rFonts w:ascii="宋体" w:hAnsi="宋体" w:eastAsia="宋体" w:cs="宋体"/>
          <w:spacing w:val="-13"/>
          <w:sz w:val="24"/>
          <w:szCs w:val="24"/>
        </w:rPr>
        <w:t>物，</w:t>
      </w:r>
      <w:r>
        <w:rPr>
          <w:rFonts w:ascii="宋体" w:hAnsi="宋体" w:eastAsia="宋体" w:cs="宋体"/>
          <w:spacing w:val="42"/>
          <w:sz w:val="24"/>
          <w:szCs w:val="24"/>
        </w:rPr>
        <w:t xml:space="preserve"> </w:t>
      </w:r>
      <w:r>
        <w:rPr>
          <w:rFonts w:ascii="宋体" w:hAnsi="宋体" w:eastAsia="宋体" w:cs="宋体"/>
          <w:spacing w:val="-13"/>
          <w:sz w:val="24"/>
          <w:szCs w:val="24"/>
        </w:rPr>
        <w:t xml:space="preserve">包括大足鼠、北社鼠、川西白腹 </w:t>
      </w:r>
      <w:r>
        <w:rPr>
          <w:rFonts w:ascii="宋体" w:hAnsi="宋体" w:eastAsia="宋体" w:cs="宋体"/>
          <w:spacing w:val="-3"/>
          <w:sz w:val="24"/>
          <w:szCs w:val="24"/>
        </w:rPr>
        <w:t>鼠、黑线姬鼠、北树鼩等较为少见的小型哺</w:t>
      </w:r>
      <w:r>
        <w:rPr>
          <w:rFonts w:ascii="宋体" w:hAnsi="宋体" w:eastAsia="宋体" w:cs="宋体"/>
          <w:spacing w:val="-4"/>
          <w:sz w:val="24"/>
          <w:szCs w:val="24"/>
        </w:rPr>
        <w:t xml:space="preserve">乳类。它们喜欢在人类活动范围如村 </w:t>
      </w:r>
      <w:r>
        <w:rPr>
          <w:rFonts w:ascii="宋体" w:hAnsi="宋体" w:eastAsia="宋体" w:cs="宋体"/>
          <w:spacing w:val="-16"/>
          <w:sz w:val="24"/>
          <w:szCs w:val="24"/>
        </w:rPr>
        <w:t>落、菜地活动，</w:t>
      </w:r>
      <w:r>
        <w:rPr>
          <w:rFonts w:ascii="宋体" w:hAnsi="宋体" w:eastAsia="宋体" w:cs="宋体"/>
          <w:spacing w:val="49"/>
          <w:sz w:val="24"/>
          <w:szCs w:val="24"/>
        </w:rPr>
        <w:t xml:space="preserve"> </w:t>
      </w:r>
      <w:r>
        <w:rPr>
          <w:rFonts w:ascii="宋体" w:hAnsi="宋体" w:eastAsia="宋体" w:cs="宋体"/>
          <w:spacing w:val="-16"/>
          <w:sz w:val="24"/>
          <w:szCs w:val="24"/>
        </w:rPr>
        <w:t>它们活动范围广、适应能力强，</w:t>
      </w:r>
      <w:r>
        <w:rPr>
          <w:rFonts w:ascii="宋体" w:hAnsi="宋体" w:eastAsia="宋体" w:cs="宋体"/>
          <w:spacing w:val="60"/>
          <w:sz w:val="24"/>
          <w:szCs w:val="24"/>
        </w:rPr>
        <w:t xml:space="preserve"> </w:t>
      </w:r>
      <w:r>
        <w:rPr>
          <w:rFonts w:ascii="宋体" w:hAnsi="宋体" w:eastAsia="宋体" w:cs="宋体"/>
          <w:spacing w:val="-16"/>
          <w:sz w:val="24"/>
          <w:szCs w:val="24"/>
        </w:rPr>
        <w:t>因此， 工程建设对它们的影响不</w:t>
      </w:r>
    </w:p>
    <w:p>
      <w:pPr>
        <w:spacing w:before="1" w:line="220" w:lineRule="auto"/>
        <w:ind w:left="42"/>
        <w:rPr>
          <w:rFonts w:ascii="宋体" w:hAnsi="宋体" w:eastAsia="宋体" w:cs="宋体"/>
          <w:sz w:val="24"/>
          <w:szCs w:val="24"/>
        </w:rPr>
      </w:pPr>
      <w:r>
        <w:rPr>
          <w:rFonts w:ascii="宋体" w:hAnsi="宋体" w:eastAsia="宋体" w:cs="宋体"/>
          <w:spacing w:val="-12"/>
          <w:sz w:val="24"/>
          <w:szCs w:val="24"/>
        </w:rPr>
        <w:t>大。</w:t>
      </w:r>
    </w:p>
    <w:p>
      <w:pPr>
        <w:spacing w:before="181" w:line="359" w:lineRule="auto"/>
        <w:ind w:left="38" w:right="79" w:firstLine="487"/>
        <w:rPr>
          <w:rFonts w:ascii="宋体" w:hAnsi="宋体" w:eastAsia="宋体" w:cs="宋体"/>
          <w:sz w:val="24"/>
          <w:szCs w:val="24"/>
        </w:rPr>
      </w:pPr>
      <w:r>
        <w:rPr>
          <w:rFonts w:ascii="宋体" w:hAnsi="宋体" w:eastAsia="宋体" w:cs="宋体"/>
          <w:spacing w:val="-8"/>
          <w:sz w:val="24"/>
          <w:szCs w:val="24"/>
        </w:rPr>
        <w:t>云南兔、黄鼬、果子狸等体型较大的哺乳类主要分布海拔较高的深山，</w:t>
      </w:r>
      <w:r>
        <w:rPr>
          <w:rFonts w:ascii="宋体" w:hAnsi="宋体" w:eastAsia="宋体" w:cs="宋体"/>
          <w:spacing w:val="34"/>
          <w:sz w:val="24"/>
          <w:szCs w:val="24"/>
        </w:rPr>
        <w:t xml:space="preserve"> </w:t>
      </w:r>
      <w:r>
        <w:rPr>
          <w:rFonts w:ascii="宋体" w:hAnsi="宋体" w:eastAsia="宋体" w:cs="宋体"/>
          <w:spacing w:val="-8"/>
          <w:sz w:val="24"/>
          <w:szCs w:val="24"/>
        </w:rPr>
        <w:t>工程</w:t>
      </w:r>
      <w:r>
        <w:rPr>
          <w:rFonts w:ascii="宋体" w:hAnsi="宋体" w:eastAsia="宋体" w:cs="宋体"/>
          <w:sz w:val="24"/>
          <w:szCs w:val="24"/>
        </w:rPr>
        <w:t xml:space="preserve"> </w:t>
      </w:r>
      <w:r>
        <w:rPr>
          <w:rFonts w:ascii="宋体" w:hAnsi="宋体" w:eastAsia="宋体" w:cs="宋体"/>
          <w:spacing w:val="-16"/>
          <w:sz w:val="24"/>
          <w:szCs w:val="24"/>
        </w:rPr>
        <w:t>初期对其影响不大，</w:t>
      </w:r>
      <w:r>
        <w:rPr>
          <w:rFonts w:ascii="宋体" w:hAnsi="宋体" w:eastAsia="宋体" w:cs="宋体"/>
          <w:spacing w:val="33"/>
          <w:sz w:val="24"/>
          <w:szCs w:val="24"/>
        </w:rPr>
        <w:t xml:space="preserve"> </w:t>
      </w:r>
      <w:r>
        <w:rPr>
          <w:rFonts w:ascii="宋体" w:hAnsi="宋体" w:eastAsia="宋体" w:cs="宋体"/>
          <w:spacing w:val="-16"/>
          <w:sz w:val="24"/>
          <w:szCs w:val="24"/>
        </w:rPr>
        <w:t>但随着施工进程不断推进，</w:t>
      </w:r>
      <w:r>
        <w:rPr>
          <w:rFonts w:ascii="宋体" w:hAnsi="宋体" w:eastAsia="宋体" w:cs="宋体"/>
          <w:spacing w:val="33"/>
          <w:sz w:val="24"/>
          <w:szCs w:val="24"/>
        </w:rPr>
        <w:t xml:space="preserve"> </w:t>
      </w:r>
      <w:r>
        <w:rPr>
          <w:rFonts w:ascii="宋体" w:hAnsi="宋体" w:eastAsia="宋体" w:cs="宋体"/>
          <w:spacing w:val="-16"/>
          <w:sz w:val="24"/>
          <w:szCs w:val="24"/>
        </w:rPr>
        <w:t>大量的林地被占用，</w:t>
      </w:r>
      <w:r>
        <w:rPr>
          <w:rFonts w:ascii="宋体" w:hAnsi="宋体" w:eastAsia="宋体" w:cs="宋体"/>
          <w:spacing w:val="31"/>
          <w:sz w:val="24"/>
          <w:szCs w:val="24"/>
        </w:rPr>
        <w:t xml:space="preserve"> </w:t>
      </w:r>
      <w:r>
        <w:rPr>
          <w:rFonts w:ascii="宋体" w:hAnsi="宋体" w:eastAsia="宋体" w:cs="宋体"/>
          <w:spacing w:val="-16"/>
          <w:sz w:val="24"/>
          <w:szCs w:val="24"/>
        </w:rPr>
        <w:t>其生境将逐</w:t>
      </w:r>
    </w:p>
    <w:p>
      <w:pPr>
        <w:spacing w:line="218" w:lineRule="auto"/>
        <w:ind w:left="39"/>
        <w:rPr>
          <w:rFonts w:ascii="宋体" w:hAnsi="宋体" w:eastAsia="宋体" w:cs="宋体"/>
          <w:sz w:val="24"/>
          <w:szCs w:val="24"/>
        </w:rPr>
      </w:pPr>
      <w:r>
        <w:rPr>
          <w:rFonts w:ascii="宋体" w:hAnsi="宋体" w:eastAsia="宋体" w:cs="宋体"/>
          <w:spacing w:val="-11"/>
          <w:sz w:val="24"/>
          <w:szCs w:val="24"/>
        </w:rPr>
        <w:t>渐减小，对其活动、食物来源都将产生一定</w:t>
      </w:r>
      <w:r>
        <w:rPr>
          <w:rFonts w:ascii="宋体" w:hAnsi="宋体" w:eastAsia="宋体" w:cs="宋体"/>
          <w:spacing w:val="-12"/>
          <w:sz w:val="24"/>
          <w:szCs w:val="24"/>
        </w:rPr>
        <w:t>的影响，</w:t>
      </w:r>
      <w:r>
        <w:rPr>
          <w:rFonts w:ascii="宋体" w:hAnsi="宋体" w:eastAsia="宋体" w:cs="宋体"/>
          <w:spacing w:val="-53"/>
          <w:sz w:val="24"/>
          <w:szCs w:val="24"/>
        </w:rPr>
        <w:t xml:space="preserve"> </w:t>
      </w:r>
      <w:r>
        <w:rPr>
          <w:rFonts w:ascii="宋体" w:hAnsi="宋体" w:eastAsia="宋体" w:cs="宋体"/>
          <w:spacing w:val="-12"/>
          <w:sz w:val="24"/>
          <w:szCs w:val="24"/>
        </w:rPr>
        <w:t>但评价范围内环境较为单一，</w:t>
      </w:r>
    </w:p>
    <w:p>
      <w:pPr>
        <w:spacing w:line="218" w:lineRule="auto"/>
        <w:rPr>
          <w:rFonts w:ascii="宋体" w:hAnsi="宋体" w:eastAsia="宋体" w:cs="宋体"/>
          <w:sz w:val="24"/>
          <w:szCs w:val="24"/>
        </w:rPr>
        <w:sectPr>
          <w:headerReference r:id="rId390" w:type="default"/>
          <w:footerReference r:id="rId391" w:type="default"/>
          <w:pgSz w:w="11907" w:h="16839"/>
          <w:pgMar w:top="1156" w:right="1719" w:bottom="1374" w:left="1770" w:header="881" w:footer="1210" w:gutter="0"/>
        </w:sectPr>
      </w:pPr>
    </w:p>
    <w:p>
      <w:pPr>
        <w:spacing w:before="319" w:line="467" w:lineRule="exact"/>
        <w:ind w:left="43"/>
        <w:rPr>
          <w:rFonts w:ascii="宋体" w:hAnsi="宋体" w:eastAsia="宋体" w:cs="宋体"/>
          <w:sz w:val="24"/>
          <w:szCs w:val="24"/>
        </w:rPr>
      </w:pPr>
      <w:r>
        <w:rPr>
          <w:rFonts w:ascii="宋体" w:hAnsi="宋体" w:eastAsia="宋体" w:cs="宋体"/>
          <w:spacing w:val="-6"/>
          <w:position w:val="17"/>
          <w:sz w:val="24"/>
          <w:szCs w:val="24"/>
        </w:rPr>
        <w:t>项目周围存在很多相似的生境云南兔、黄鼬等动物活动能力</w:t>
      </w:r>
      <w:r>
        <w:rPr>
          <w:rFonts w:ascii="宋体" w:hAnsi="宋体" w:eastAsia="宋体" w:cs="宋体"/>
          <w:spacing w:val="-7"/>
          <w:position w:val="17"/>
          <w:sz w:val="24"/>
          <w:szCs w:val="24"/>
        </w:rPr>
        <w:t>较强， 很容易找到替</w:t>
      </w:r>
    </w:p>
    <w:p>
      <w:pPr>
        <w:spacing w:before="1" w:line="218" w:lineRule="auto"/>
        <w:ind w:left="38"/>
        <w:rPr>
          <w:rFonts w:ascii="宋体" w:hAnsi="宋体" w:eastAsia="宋体" w:cs="宋体"/>
          <w:sz w:val="24"/>
          <w:szCs w:val="24"/>
        </w:rPr>
      </w:pPr>
      <w:r>
        <w:rPr>
          <w:rFonts w:ascii="宋体" w:hAnsi="宋体" w:eastAsia="宋体" w:cs="宋体"/>
          <w:spacing w:val="-3"/>
          <w:sz w:val="24"/>
          <w:szCs w:val="24"/>
        </w:rPr>
        <w:t>代生境，不会加剧种间竞争。</w:t>
      </w:r>
    </w:p>
    <w:p>
      <w:pPr>
        <w:spacing w:before="182" w:line="217" w:lineRule="auto"/>
        <w:ind w:left="518"/>
        <w:rPr>
          <w:rFonts w:ascii="宋体" w:hAnsi="宋体" w:eastAsia="宋体" w:cs="宋体"/>
          <w:sz w:val="24"/>
          <w:szCs w:val="24"/>
        </w:rPr>
      </w:pPr>
      <w:r>
        <w:rPr>
          <w:rFonts w:ascii="宋体" w:hAnsi="宋体" w:eastAsia="宋体" w:cs="宋体"/>
          <w:spacing w:val="-2"/>
          <w:sz w:val="24"/>
          <w:szCs w:val="24"/>
        </w:rPr>
        <w:t>①施工期影响</w:t>
      </w:r>
    </w:p>
    <w:p>
      <w:pPr>
        <w:spacing w:before="186" w:line="359" w:lineRule="auto"/>
        <w:ind w:left="42" w:right="62" w:firstLine="476"/>
        <w:rPr>
          <w:rFonts w:ascii="宋体" w:hAnsi="宋体" w:eastAsia="宋体" w:cs="宋体"/>
          <w:sz w:val="24"/>
          <w:szCs w:val="24"/>
        </w:rPr>
      </w:pPr>
      <w:r>
        <w:rPr>
          <w:rFonts w:ascii="宋体" w:hAnsi="宋体" w:eastAsia="宋体" w:cs="宋体"/>
          <w:spacing w:val="-9"/>
          <w:sz w:val="24"/>
          <w:szCs w:val="24"/>
        </w:rPr>
        <w:t>施工期期间，</w:t>
      </w:r>
      <w:r>
        <w:rPr>
          <w:rFonts w:ascii="宋体" w:hAnsi="宋体" w:eastAsia="宋体" w:cs="宋体"/>
          <w:spacing w:val="-37"/>
          <w:sz w:val="24"/>
          <w:szCs w:val="24"/>
        </w:rPr>
        <w:t xml:space="preserve"> </w:t>
      </w:r>
      <w:r>
        <w:rPr>
          <w:rFonts w:ascii="宋体" w:hAnsi="宋体" w:eastAsia="宋体" w:cs="宋体"/>
          <w:spacing w:val="-9"/>
          <w:sz w:val="24"/>
          <w:szCs w:val="24"/>
        </w:rPr>
        <w:t>上述哺乳类均会受到干扰而避开该区域， 但可以选择其他非施</w:t>
      </w:r>
      <w:r>
        <w:rPr>
          <w:rFonts w:ascii="宋体" w:hAnsi="宋体" w:eastAsia="宋体" w:cs="宋体"/>
          <w:sz w:val="24"/>
          <w:szCs w:val="24"/>
        </w:rPr>
        <w:t xml:space="preserve"> </w:t>
      </w:r>
      <w:r>
        <w:rPr>
          <w:rFonts w:ascii="宋体" w:hAnsi="宋体" w:eastAsia="宋体" w:cs="宋体"/>
          <w:spacing w:val="-13"/>
          <w:sz w:val="24"/>
          <w:szCs w:val="24"/>
        </w:rPr>
        <w:t>工区域进行迁移等活动，</w:t>
      </w:r>
      <w:r>
        <w:rPr>
          <w:rFonts w:ascii="宋体" w:hAnsi="宋体" w:eastAsia="宋体" w:cs="宋体"/>
          <w:spacing w:val="71"/>
          <w:sz w:val="24"/>
          <w:szCs w:val="24"/>
        </w:rPr>
        <w:t xml:space="preserve"> </w:t>
      </w:r>
      <w:r>
        <w:rPr>
          <w:rFonts w:ascii="宋体" w:hAnsi="宋体" w:eastAsia="宋体" w:cs="宋体"/>
          <w:spacing w:val="-13"/>
          <w:sz w:val="24"/>
          <w:szCs w:val="24"/>
        </w:rPr>
        <w:t>因此其迁移、散布、繁衍受到一定的影响，</w:t>
      </w:r>
      <w:r>
        <w:rPr>
          <w:rFonts w:ascii="宋体" w:hAnsi="宋体" w:eastAsia="宋体" w:cs="宋体"/>
          <w:spacing w:val="35"/>
          <w:sz w:val="24"/>
          <w:szCs w:val="24"/>
        </w:rPr>
        <w:t xml:space="preserve"> </w:t>
      </w:r>
      <w:r>
        <w:rPr>
          <w:rFonts w:ascii="宋体" w:hAnsi="宋体" w:eastAsia="宋体" w:cs="宋体"/>
          <w:spacing w:val="-13"/>
          <w:sz w:val="24"/>
          <w:szCs w:val="24"/>
        </w:rPr>
        <w:t>但是影响不</w:t>
      </w:r>
      <w:r>
        <w:rPr>
          <w:rFonts w:ascii="宋体" w:hAnsi="宋体" w:eastAsia="宋体" w:cs="宋体"/>
          <w:sz w:val="24"/>
          <w:szCs w:val="24"/>
        </w:rPr>
        <w:t xml:space="preserve"> </w:t>
      </w:r>
      <w:r>
        <w:rPr>
          <w:rFonts w:ascii="宋体" w:hAnsi="宋体" w:eastAsia="宋体" w:cs="宋体"/>
          <w:spacing w:val="-11"/>
          <w:sz w:val="24"/>
          <w:szCs w:val="24"/>
        </w:rPr>
        <w:t>大。工程占用一定数量的土地， 包含森林灌丛等， 将使哺乳动物</w:t>
      </w:r>
      <w:r>
        <w:rPr>
          <w:rFonts w:ascii="宋体" w:hAnsi="宋体" w:eastAsia="宋体" w:cs="宋体"/>
          <w:spacing w:val="-12"/>
          <w:sz w:val="24"/>
          <w:szCs w:val="24"/>
        </w:rPr>
        <w:t>的食物</w:t>
      </w:r>
      <w:r>
        <w:rPr>
          <w:rFonts w:ascii="Times New Roman" w:hAnsi="Times New Roman" w:eastAsia="Times New Roman" w:cs="Times New Roman"/>
          <w:spacing w:val="-12"/>
          <w:sz w:val="24"/>
          <w:szCs w:val="24"/>
        </w:rPr>
        <w:t>(</w:t>
      </w:r>
      <w:r>
        <w:rPr>
          <w:rFonts w:ascii="宋体" w:hAnsi="宋体" w:eastAsia="宋体" w:cs="宋体"/>
          <w:spacing w:val="-12"/>
          <w:sz w:val="24"/>
          <w:szCs w:val="24"/>
        </w:rPr>
        <w:t>果实、昆</w:t>
      </w:r>
      <w:r>
        <w:rPr>
          <w:rFonts w:ascii="宋体" w:hAnsi="宋体" w:eastAsia="宋体" w:cs="宋体"/>
          <w:sz w:val="24"/>
          <w:szCs w:val="24"/>
        </w:rPr>
        <w:t xml:space="preserve"> </w:t>
      </w:r>
      <w:r>
        <w:rPr>
          <w:rFonts w:ascii="宋体" w:hAnsi="宋体" w:eastAsia="宋体" w:cs="宋体"/>
          <w:spacing w:val="1"/>
          <w:sz w:val="24"/>
          <w:szCs w:val="24"/>
        </w:rPr>
        <w:t>虫和小型动物、植物嫩枝叶等</w:t>
      </w:r>
      <w:r>
        <w:rPr>
          <w:rFonts w:ascii="Times New Roman" w:hAnsi="Times New Roman" w:eastAsia="Times New Roman" w:cs="Times New Roman"/>
          <w:spacing w:val="1"/>
          <w:sz w:val="24"/>
          <w:szCs w:val="24"/>
        </w:rPr>
        <w:t>)</w:t>
      </w:r>
      <w:r>
        <w:rPr>
          <w:rFonts w:ascii="宋体" w:hAnsi="宋体" w:eastAsia="宋体" w:cs="宋体"/>
          <w:spacing w:val="1"/>
          <w:sz w:val="24"/>
          <w:szCs w:val="24"/>
        </w:rPr>
        <w:t>分布面积有所减小。但由于工程占地范围仅属影</w:t>
      </w:r>
      <w:r>
        <w:rPr>
          <w:rFonts w:ascii="宋体" w:hAnsi="宋体" w:eastAsia="宋体" w:cs="宋体"/>
          <w:spacing w:val="17"/>
          <w:sz w:val="24"/>
          <w:szCs w:val="24"/>
        </w:rPr>
        <w:t xml:space="preserve"> </w:t>
      </w:r>
      <w:r>
        <w:rPr>
          <w:rFonts w:ascii="宋体" w:hAnsi="宋体" w:eastAsia="宋体" w:cs="宋体"/>
          <w:spacing w:val="-6"/>
          <w:sz w:val="24"/>
          <w:szCs w:val="24"/>
        </w:rPr>
        <w:t>响评价区域中的一小部分， 因而施工期对哺乳动物的主</w:t>
      </w:r>
      <w:r>
        <w:rPr>
          <w:rFonts w:ascii="宋体" w:hAnsi="宋体" w:eastAsia="宋体" w:cs="宋体"/>
          <w:spacing w:val="-7"/>
          <w:sz w:val="24"/>
          <w:szCs w:val="24"/>
        </w:rPr>
        <w:t>要食物的分布、数量不会</w:t>
      </w:r>
    </w:p>
    <w:p>
      <w:pPr>
        <w:spacing w:line="220" w:lineRule="auto"/>
        <w:ind w:left="38"/>
        <w:rPr>
          <w:rFonts w:ascii="宋体" w:hAnsi="宋体" w:eastAsia="宋体" w:cs="宋体"/>
          <w:sz w:val="24"/>
          <w:szCs w:val="24"/>
        </w:rPr>
      </w:pPr>
      <w:r>
        <w:rPr>
          <w:rFonts w:ascii="宋体" w:hAnsi="宋体" w:eastAsia="宋体" w:cs="宋体"/>
          <w:spacing w:val="-6"/>
          <w:sz w:val="24"/>
          <w:szCs w:val="24"/>
        </w:rPr>
        <w:t>造成重大影响。</w:t>
      </w:r>
    </w:p>
    <w:p>
      <w:pPr>
        <w:spacing w:before="180" w:line="217" w:lineRule="auto"/>
        <w:ind w:left="517"/>
        <w:rPr>
          <w:rFonts w:ascii="宋体" w:hAnsi="宋体" w:eastAsia="宋体" w:cs="宋体"/>
          <w:sz w:val="24"/>
          <w:szCs w:val="24"/>
        </w:rPr>
      </w:pPr>
      <w:r>
        <w:rPr>
          <w:rFonts w:ascii="宋体" w:hAnsi="宋体" w:eastAsia="宋体" w:cs="宋体"/>
          <w:spacing w:val="-2"/>
          <w:sz w:val="24"/>
          <w:szCs w:val="24"/>
        </w:rPr>
        <w:t>②运行期影响</w:t>
      </w:r>
    </w:p>
    <w:p>
      <w:pPr>
        <w:spacing w:before="185" w:line="359" w:lineRule="auto"/>
        <w:ind w:left="40" w:firstLine="479"/>
        <w:rPr>
          <w:rFonts w:ascii="宋体" w:hAnsi="宋体" w:eastAsia="宋体" w:cs="宋体"/>
          <w:sz w:val="24"/>
          <w:szCs w:val="24"/>
        </w:rPr>
      </w:pPr>
      <w:r>
        <w:rPr>
          <w:rFonts w:ascii="宋体" w:hAnsi="宋体" w:eastAsia="宋体" w:cs="宋体"/>
          <w:spacing w:val="-18"/>
          <w:sz w:val="24"/>
          <w:szCs w:val="24"/>
        </w:rPr>
        <w:t>运行期内，</w:t>
      </w:r>
      <w:r>
        <w:rPr>
          <w:rFonts w:ascii="宋体" w:hAnsi="宋体" w:eastAsia="宋体" w:cs="宋体"/>
          <w:spacing w:val="43"/>
          <w:sz w:val="24"/>
          <w:szCs w:val="24"/>
        </w:rPr>
        <w:t xml:space="preserve"> </w:t>
      </w:r>
      <w:r>
        <w:rPr>
          <w:rFonts w:ascii="宋体" w:hAnsi="宋体" w:eastAsia="宋体" w:cs="宋体"/>
          <w:spacing w:val="-18"/>
          <w:sz w:val="24"/>
          <w:szCs w:val="24"/>
        </w:rPr>
        <w:t>由于水库建成，</w:t>
      </w:r>
      <w:r>
        <w:rPr>
          <w:rFonts w:ascii="宋体" w:hAnsi="宋体" w:eastAsia="宋体" w:cs="宋体"/>
          <w:spacing w:val="42"/>
          <w:sz w:val="24"/>
          <w:szCs w:val="24"/>
        </w:rPr>
        <w:t xml:space="preserve"> </w:t>
      </w:r>
      <w:r>
        <w:rPr>
          <w:rFonts w:ascii="宋体" w:hAnsi="宋体" w:eastAsia="宋体" w:cs="宋体"/>
          <w:spacing w:val="-18"/>
          <w:sz w:val="24"/>
          <w:szCs w:val="24"/>
        </w:rPr>
        <w:t>库区生境永久改变，</w:t>
      </w:r>
      <w:r>
        <w:rPr>
          <w:rFonts w:ascii="宋体" w:hAnsi="宋体" w:eastAsia="宋体" w:cs="宋体"/>
          <w:spacing w:val="43"/>
          <w:sz w:val="24"/>
          <w:szCs w:val="24"/>
        </w:rPr>
        <w:t xml:space="preserve"> </w:t>
      </w:r>
      <w:r>
        <w:rPr>
          <w:rFonts w:ascii="宋体" w:hAnsi="宋体" w:eastAsia="宋体" w:cs="宋体"/>
          <w:spacing w:val="-18"/>
          <w:sz w:val="24"/>
          <w:szCs w:val="24"/>
        </w:rPr>
        <w:t>这对褐家鼠、小家鼠、赤腹</w:t>
      </w:r>
      <w:r>
        <w:rPr>
          <w:rFonts w:ascii="宋体" w:hAnsi="宋体" w:eastAsia="宋体" w:cs="宋体"/>
          <w:sz w:val="24"/>
          <w:szCs w:val="24"/>
        </w:rPr>
        <w:t xml:space="preserve"> </w:t>
      </w:r>
      <w:r>
        <w:rPr>
          <w:rFonts w:ascii="宋体" w:hAnsi="宋体" w:eastAsia="宋体" w:cs="宋体"/>
          <w:spacing w:val="-1"/>
          <w:sz w:val="24"/>
          <w:szCs w:val="24"/>
        </w:rPr>
        <w:t>松鼠、珀氏长吻松鼠、黄胸鼠等小型啮齿类的迁移、散布、繁衍</w:t>
      </w:r>
      <w:r>
        <w:rPr>
          <w:rFonts w:ascii="宋体" w:hAnsi="宋体" w:eastAsia="宋体" w:cs="宋体"/>
          <w:spacing w:val="-2"/>
          <w:sz w:val="24"/>
          <w:szCs w:val="24"/>
        </w:rPr>
        <w:t>造成一定影响，</w:t>
      </w:r>
      <w:r>
        <w:rPr>
          <w:rFonts w:ascii="宋体" w:hAnsi="宋体" w:eastAsia="宋体" w:cs="宋体"/>
          <w:sz w:val="24"/>
          <w:szCs w:val="24"/>
        </w:rPr>
        <w:t xml:space="preserve"> </w:t>
      </w:r>
      <w:r>
        <w:rPr>
          <w:rFonts w:ascii="宋体" w:hAnsi="宋体" w:eastAsia="宋体" w:cs="宋体"/>
          <w:spacing w:val="-6"/>
          <w:sz w:val="24"/>
          <w:szCs w:val="24"/>
        </w:rPr>
        <w:t>而对其它如云南兔、黄鼬、 果子狸等活动范围大的哺乳</w:t>
      </w:r>
      <w:r>
        <w:rPr>
          <w:rFonts w:ascii="宋体" w:hAnsi="宋体" w:eastAsia="宋体" w:cs="宋体"/>
          <w:spacing w:val="-7"/>
          <w:sz w:val="24"/>
          <w:szCs w:val="24"/>
        </w:rPr>
        <w:t>动物迁移、散布、繁衍影</w:t>
      </w:r>
      <w:r>
        <w:rPr>
          <w:rFonts w:ascii="宋体" w:hAnsi="宋体" w:eastAsia="宋体" w:cs="宋体"/>
          <w:sz w:val="24"/>
          <w:szCs w:val="24"/>
        </w:rPr>
        <w:t xml:space="preserve"> </w:t>
      </w:r>
      <w:r>
        <w:rPr>
          <w:rFonts w:ascii="宋体" w:hAnsi="宋体" w:eastAsia="宋体" w:cs="宋体"/>
          <w:spacing w:val="-17"/>
          <w:sz w:val="24"/>
          <w:szCs w:val="24"/>
        </w:rPr>
        <w:t>响较小。运行期间，</w:t>
      </w:r>
      <w:r>
        <w:rPr>
          <w:rFonts w:ascii="宋体" w:hAnsi="宋体" w:eastAsia="宋体" w:cs="宋体"/>
          <w:spacing w:val="50"/>
          <w:sz w:val="24"/>
          <w:szCs w:val="24"/>
        </w:rPr>
        <w:t xml:space="preserve"> </w:t>
      </w:r>
      <w:r>
        <w:rPr>
          <w:rFonts w:ascii="宋体" w:hAnsi="宋体" w:eastAsia="宋体" w:cs="宋体"/>
          <w:spacing w:val="-17"/>
          <w:sz w:val="24"/>
          <w:szCs w:val="24"/>
        </w:rPr>
        <w:t>随着库区蓄水，</w:t>
      </w:r>
      <w:r>
        <w:rPr>
          <w:rFonts w:ascii="宋体" w:hAnsi="宋体" w:eastAsia="宋体" w:cs="宋体"/>
          <w:spacing w:val="40"/>
          <w:sz w:val="24"/>
          <w:szCs w:val="24"/>
        </w:rPr>
        <w:t xml:space="preserve"> </w:t>
      </w:r>
      <w:r>
        <w:rPr>
          <w:rFonts w:ascii="宋体" w:hAnsi="宋体" w:eastAsia="宋体" w:cs="宋体"/>
          <w:spacing w:val="-17"/>
          <w:sz w:val="24"/>
          <w:szCs w:val="24"/>
        </w:rPr>
        <w:t>部分生境可以得到恢复或稳定，</w:t>
      </w:r>
      <w:r>
        <w:rPr>
          <w:rFonts w:ascii="宋体" w:hAnsi="宋体" w:eastAsia="宋体" w:cs="宋体"/>
          <w:spacing w:val="38"/>
          <w:sz w:val="24"/>
          <w:szCs w:val="24"/>
        </w:rPr>
        <w:t xml:space="preserve"> </w:t>
      </w:r>
      <w:r>
        <w:rPr>
          <w:rFonts w:ascii="宋体" w:hAnsi="宋体" w:eastAsia="宋体" w:cs="宋体"/>
          <w:spacing w:val="-17"/>
          <w:sz w:val="24"/>
          <w:szCs w:val="24"/>
        </w:rPr>
        <w:t>保护哺乳类</w:t>
      </w:r>
    </w:p>
    <w:p>
      <w:pPr>
        <w:spacing w:before="1" w:line="219" w:lineRule="auto"/>
        <w:ind w:left="40"/>
        <w:rPr>
          <w:rFonts w:ascii="宋体" w:hAnsi="宋体" w:eastAsia="宋体" w:cs="宋体"/>
          <w:sz w:val="24"/>
          <w:szCs w:val="24"/>
        </w:rPr>
      </w:pPr>
      <w:r>
        <w:rPr>
          <w:rFonts w:ascii="宋体" w:hAnsi="宋体" w:eastAsia="宋体" w:cs="宋体"/>
          <w:spacing w:val="-4"/>
          <w:sz w:val="24"/>
          <w:szCs w:val="24"/>
        </w:rPr>
        <w:t>兽类食物链所受影响减轻。</w:t>
      </w:r>
    </w:p>
    <w:p>
      <w:pPr>
        <w:spacing w:before="181" w:line="467" w:lineRule="exact"/>
        <w:ind w:right="60"/>
        <w:jc w:val="right"/>
        <w:rPr>
          <w:rFonts w:ascii="宋体" w:hAnsi="宋体" w:eastAsia="宋体" w:cs="宋体"/>
          <w:sz w:val="24"/>
          <w:szCs w:val="24"/>
        </w:rPr>
      </w:pPr>
      <w:r>
        <w:rPr>
          <w:rFonts w:ascii="宋体" w:hAnsi="宋体" w:eastAsia="宋体" w:cs="宋体"/>
          <w:spacing w:val="-6"/>
          <w:position w:val="17"/>
          <w:sz w:val="24"/>
          <w:szCs w:val="24"/>
        </w:rPr>
        <w:t>总之由于哺乳类动物会通过迁移来避免项目施工对其造成伤害，</w:t>
      </w:r>
      <w:r>
        <w:rPr>
          <w:rFonts w:ascii="宋体" w:hAnsi="宋体" w:eastAsia="宋体" w:cs="宋体"/>
          <w:spacing w:val="-27"/>
          <w:position w:val="17"/>
          <w:sz w:val="24"/>
          <w:szCs w:val="24"/>
        </w:rPr>
        <w:t xml:space="preserve"> </w:t>
      </w:r>
      <w:r>
        <w:rPr>
          <w:rFonts w:ascii="宋体" w:hAnsi="宋体" w:eastAsia="宋体" w:cs="宋体"/>
          <w:spacing w:val="-6"/>
          <w:position w:val="17"/>
          <w:sz w:val="24"/>
          <w:szCs w:val="24"/>
        </w:rPr>
        <w:t>所以项目施</w:t>
      </w:r>
    </w:p>
    <w:p>
      <w:pPr>
        <w:spacing w:before="1" w:line="219" w:lineRule="auto"/>
        <w:ind w:left="42"/>
        <w:rPr>
          <w:rFonts w:ascii="宋体" w:hAnsi="宋体" w:eastAsia="宋体" w:cs="宋体"/>
          <w:sz w:val="24"/>
          <w:szCs w:val="24"/>
        </w:rPr>
      </w:pPr>
      <w:r>
        <w:rPr>
          <w:rFonts w:ascii="宋体" w:hAnsi="宋体" w:eastAsia="宋体" w:cs="宋体"/>
          <w:spacing w:val="-1"/>
          <w:sz w:val="24"/>
          <w:szCs w:val="24"/>
        </w:rPr>
        <w:t>工和运营对哺乳类动物总的影响不大。</w:t>
      </w:r>
    </w:p>
    <w:p>
      <w:pPr>
        <w:spacing w:before="181"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）对鸟类的影响</w:t>
      </w:r>
    </w:p>
    <w:p>
      <w:pPr>
        <w:spacing w:before="182" w:line="217" w:lineRule="auto"/>
        <w:ind w:left="518"/>
        <w:rPr>
          <w:rFonts w:ascii="宋体" w:hAnsi="宋体" w:eastAsia="宋体" w:cs="宋体"/>
          <w:sz w:val="24"/>
          <w:szCs w:val="24"/>
        </w:rPr>
      </w:pPr>
      <w:r>
        <w:rPr>
          <w:rFonts w:ascii="宋体" w:hAnsi="宋体" w:eastAsia="宋体" w:cs="宋体"/>
          <w:spacing w:val="-2"/>
          <w:sz w:val="24"/>
          <w:szCs w:val="24"/>
        </w:rPr>
        <w:t>①施工期影响</w:t>
      </w:r>
    </w:p>
    <w:p>
      <w:pPr>
        <w:spacing w:before="184" w:line="359" w:lineRule="auto"/>
        <w:ind w:left="45" w:right="62" w:firstLine="520"/>
        <w:rPr>
          <w:rFonts w:ascii="宋体" w:hAnsi="宋体" w:eastAsia="宋体" w:cs="宋体"/>
          <w:sz w:val="24"/>
          <w:szCs w:val="24"/>
        </w:rPr>
      </w:pPr>
      <w:r>
        <w:rPr>
          <w:rFonts w:ascii="宋体" w:hAnsi="宋体" w:eastAsia="宋体" w:cs="宋体"/>
          <w:spacing w:val="-10"/>
          <w:sz w:val="24"/>
          <w:szCs w:val="24"/>
        </w:rPr>
        <w:t>目前，</w:t>
      </w:r>
      <w:r>
        <w:rPr>
          <w:rFonts w:ascii="宋体" w:hAnsi="宋体" w:eastAsia="宋体" w:cs="宋体"/>
          <w:spacing w:val="-50"/>
          <w:sz w:val="24"/>
          <w:szCs w:val="24"/>
        </w:rPr>
        <w:t xml:space="preserve"> </w:t>
      </w:r>
      <w:r>
        <w:rPr>
          <w:rFonts w:ascii="宋体" w:hAnsi="宋体" w:eastAsia="宋体" w:cs="宋体"/>
          <w:spacing w:val="-10"/>
          <w:sz w:val="24"/>
          <w:szCs w:val="24"/>
        </w:rPr>
        <w:t>评价范围内的水域已受人为因素干扰较大， 建设工程将减小自然生境</w:t>
      </w:r>
      <w:r>
        <w:rPr>
          <w:rFonts w:ascii="宋体" w:hAnsi="宋体" w:eastAsia="宋体" w:cs="宋体"/>
          <w:sz w:val="24"/>
          <w:szCs w:val="24"/>
        </w:rPr>
        <w:t xml:space="preserve"> </w:t>
      </w:r>
      <w:r>
        <w:rPr>
          <w:rFonts w:ascii="宋体" w:hAnsi="宋体" w:eastAsia="宋体" w:cs="宋体"/>
          <w:spacing w:val="-9"/>
          <w:sz w:val="24"/>
          <w:szCs w:val="24"/>
        </w:rPr>
        <w:t>范围，</w:t>
      </w:r>
      <w:r>
        <w:rPr>
          <w:rFonts w:ascii="宋体" w:hAnsi="宋体" w:eastAsia="宋体" w:cs="宋体"/>
          <w:spacing w:val="-26"/>
          <w:sz w:val="24"/>
          <w:szCs w:val="24"/>
        </w:rPr>
        <w:t xml:space="preserve"> </w:t>
      </w:r>
      <w:r>
        <w:rPr>
          <w:rFonts w:ascii="宋体" w:hAnsi="宋体" w:eastAsia="宋体" w:cs="宋体"/>
          <w:spacing w:val="-9"/>
          <w:sz w:val="24"/>
          <w:szCs w:val="24"/>
        </w:rPr>
        <w:t>导致自然生境进一步破碎化和岛屿化， 而生境多样性的减少和人工化趋势</w:t>
      </w:r>
    </w:p>
    <w:p>
      <w:pPr>
        <w:spacing w:before="1" w:line="219" w:lineRule="auto"/>
        <w:ind w:left="59"/>
        <w:rPr>
          <w:rFonts w:ascii="宋体" w:hAnsi="宋体" w:eastAsia="宋体" w:cs="宋体"/>
          <w:sz w:val="24"/>
          <w:szCs w:val="24"/>
        </w:rPr>
      </w:pPr>
      <w:r>
        <w:rPr>
          <w:rFonts w:ascii="宋体" w:hAnsi="宋体" w:eastAsia="宋体" w:cs="宋体"/>
          <w:spacing w:val="-4"/>
          <w:sz w:val="24"/>
          <w:szCs w:val="24"/>
        </w:rPr>
        <w:t>的加重，使鸟类栖息和繁衍受到影响。</w:t>
      </w:r>
    </w:p>
    <w:p>
      <w:pPr>
        <w:spacing w:before="183" w:line="359" w:lineRule="auto"/>
        <w:ind w:left="38" w:right="63" w:firstLine="480"/>
        <w:rPr>
          <w:rFonts w:ascii="宋体" w:hAnsi="宋体" w:eastAsia="宋体" w:cs="宋体"/>
          <w:sz w:val="24"/>
          <w:szCs w:val="24"/>
        </w:rPr>
      </w:pPr>
      <w:r>
        <w:rPr>
          <w:rFonts w:ascii="宋体" w:hAnsi="宋体" w:eastAsia="宋体" w:cs="宋体"/>
          <w:spacing w:val="-3"/>
          <w:sz w:val="24"/>
          <w:szCs w:val="24"/>
        </w:rPr>
        <w:t>评价区的鸟类，如山麻雀、红头长尾山雀、栗耳凤鹛、斑姬啄木</w:t>
      </w:r>
      <w:r>
        <w:rPr>
          <w:rFonts w:ascii="宋体" w:hAnsi="宋体" w:eastAsia="宋体" w:cs="宋体"/>
          <w:spacing w:val="-4"/>
          <w:sz w:val="24"/>
          <w:szCs w:val="24"/>
        </w:rPr>
        <w:t>鸟、栗背短</w:t>
      </w:r>
      <w:r>
        <w:rPr>
          <w:rFonts w:ascii="宋体" w:hAnsi="宋体" w:eastAsia="宋体" w:cs="宋体"/>
          <w:sz w:val="24"/>
          <w:szCs w:val="24"/>
        </w:rPr>
        <w:t xml:space="preserve"> </w:t>
      </w:r>
      <w:r>
        <w:rPr>
          <w:rFonts w:ascii="宋体" w:hAnsi="宋体" w:eastAsia="宋体" w:cs="宋体"/>
          <w:spacing w:val="-17"/>
          <w:sz w:val="24"/>
          <w:szCs w:val="24"/>
        </w:rPr>
        <w:t>脚鹎、大杜鹃等，</w:t>
      </w:r>
      <w:r>
        <w:rPr>
          <w:rFonts w:ascii="宋体" w:hAnsi="宋体" w:eastAsia="宋体" w:cs="宋体"/>
          <w:spacing w:val="57"/>
          <w:sz w:val="24"/>
          <w:szCs w:val="24"/>
        </w:rPr>
        <w:t xml:space="preserve"> </w:t>
      </w:r>
      <w:r>
        <w:rPr>
          <w:rFonts w:ascii="宋体" w:hAnsi="宋体" w:eastAsia="宋体" w:cs="宋体"/>
          <w:spacing w:val="-17"/>
          <w:sz w:val="24"/>
          <w:szCs w:val="24"/>
        </w:rPr>
        <w:t>主要分布在海拔较高的林地，</w:t>
      </w:r>
      <w:r>
        <w:rPr>
          <w:rFonts w:ascii="宋体" w:hAnsi="宋体" w:eastAsia="宋体" w:cs="宋体"/>
          <w:spacing w:val="37"/>
          <w:sz w:val="24"/>
          <w:szCs w:val="24"/>
        </w:rPr>
        <w:t xml:space="preserve"> </w:t>
      </w:r>
      <w:r>
        <w:rPr>
          <w:rFonts w:ascii="宋体" w:hAnsi="宋体" w:eastAsia="宋体" w:cs="宋体"/>
          <w:spacing w:val="-17"/>
          <w:sz w:val="24"/>
          <w:szCs w:val="24"/>
        </w:rPr>
        <w:t>加之林禽多善于飞翔，</w:t>
      </w:r>
      <w:r>
        <w:rPr>
          <w:rFonts w:ascii="宋体" w:hAnsi="宋体" w:eastAsia="宋体" w:cs="宋体"/>
          <w:spacing w:val="36"/>
          <w:sz w:val="24"/>
          <w:szCs w:val="24"/>
        </w:rPr>
        <w:t xml:space="preserve"> </w:t>
      </w:r>
      <w:r>
        <w:rPr>
          <w:rFonts w:ascii="宋体" w:hAnsi="宋体" w:eastAsia="宋体" w:cs="宋体"/>
          <w:spacing w:val="-17"/>
          <w:sz w:val="24"/>
          <w:szCs w:val="24"/>
        </w:rPr>
        <w:t>在施工期</w:t>
      </w:r>
      <w:r>
        <w:rPr>
          <w:rFonts w:ascii="宋体" w:hAnsi="宋体" w:eastAsia="宋体" w:cs="宋体"/>
          <w:sz w:val="24"/>
          <w:szCs w:val="24"/>
        </w:rPr>
        <w:t xml:space="preserve"> </w:t>
      </w:r>
      <w:r>
        <w:rPr>
          <w:rFonts w:ascii="宋体" w:hAnsi="宋体" w:eastAsia="宋体" w:cs="宋体"/>
          <w:spacing w:val="-10"/>
          <w:sz w:val="24"/>
          <w:szCs w:val="24"/>
        </w:rPr>
        <w:t>较易找到替代生境， 工程对其直接影响不大，</w:t>
      </w:r>
      <w:r>
        <w:rPr>
          <w:rFonts w:ascii="宋体" w:hAnsi="宋体" w:eastAsia="宋体" w:cs="宋体"/>
          <w:spacing w:val="29"/>
          <w:sz w:val="24"/>
          <w:szCs w:val="24"/>
        </w:rPr>
        <w:t xml:space="preserve"> </w:t>
      </w:r>
      <w:r>
        <w:rPr>
          <w:rFonts w:ascii="宋体" w:hAnsi="宋体" w:eastAsia="宋体" w:cs="宋体"/>
          <w:spacing w:val="-10"/>
          <w:sz w:val="24"/>
          <w:szCs w:val="24"/>
        </w:rPr>
        <w:t>只局限</w:t>
      </w:r>
      <w:r>
        <w:rPr>
          <w:rFonts w:ascii="宋体" w:hAnsi="宋体" w:eastAsia="宋体" w:cs="宋体"/>
          <w:spacing w:val="-11"/>
          <w:sz w:val="24"/>
          <w:szCs w:val="24"/>
        </w:rPr>
        <w:t>于施工期缩减它们的活动范</w:t>
      </w:r>
    </w:p>
    <w:p>
      <w:pPr>
        <w:spacing w:line="220" w:lineRule="auto"/>
        <w:ind w:left="60"/>
        <w:rPr>
          <w:rFonts w:ascii="宋体" w:hAnsi="宋体" w:eastAsia="宋体" w:cs="宋体"/>
          <w:sz w:val="24"/>
          <w:szCs w:val="24"/>
        </w:rPr>
      </w:pPr>
      <w:r>
        <w:rPr>
          <w:rFonts w:ascii="宋体" w:hAnsi="宋体" w:eastAsia="宋体" w:cs="宋体"/>
          <w:spacing w:val="-11"/>
          <w:sz w:val="24"/>
          <w:szCs w:val="24"/>
        </w:rPr>
        <w:t>围与生境。</w:t>
      </w:r>
    </w:p>
    <w:p>
      <w:pPr>
        <w:spacing w:before="181" w:line="359" w:lineRule="auto"/>
        <w:ind w:left="42" w:right="63" w:firstLine="476"/>
        <w:rPr>
          <w:rFonts w:ascii="宋体" w:hAnsi="宋体" w:eastAsia="宋体" w:cs="宋体"/>
          <w:sz w:val="24"/>
          <w:szCs w:val="24"/>
        </w:rPr>
      </w:pPr>
      <w:r>
        <w:rPr>
          <w:rFonts w:ascii="宋体" w:hAnsi="宋体" w:eastAsia="宋体" w:cs="宋体"/>
          <w:spacing w:val="-11"/>
          <w:sz w:val="24"/>
          <w:szCs w:val="24"/>
        </w:rPr>
        <w:t>评价区鸫科、鹎科、雀科种类， 主要分布在地势较平</w:t>
      </w:r>
      <w:r>
        <w:rPr>
          <w:rFonts w:ascii="宋体" w:hAnsi="宋体" w:eastAsia="宋体" w:cs="宋体"/>
          <w:spacing w:val="-12"/>
          <w:sz w:val="24"/>
          <w:szCs w:val="24"/>
        </w:rPr>
        <w:t>坦的灌木林地，</w:t>
      </w:r>
      <w:r>
        <w:rPr>
          <w:rFonts w:ascii="宋体" w:hAnsi="宋体" w:eastAsia="宋体" w:cs="宋体"/>
          <w:spacing w:val="40"/>
          <w:sz w:val="24"/>
          <w:szCs w:val="24"/>
        </w:rPr>
        <w:t xml:space="preserve"> </w:t>
      </w:r>
      <w:r>
        <w:rPr>
          <w:rFonts w:ascii="宋体" w:hAnsi="宋体" w:eastAsia="宋体" w:cs="宋体"/>
          <w:spacing w:val="-12"/>
          <w:sz w:val="24"/>
          <w:szCs w:val="24"/>
        </w:rPr>
        <w:t>工程施</w:t>
      </w:r>
      <w:r>
        <w:rPr>
          <w:rFonts w:ascii="宋体" w:hAnsi="宋体" w:eastAsia="宋体" w:cs="宋体"/>
          <w:sz w:val="24"/>
          <w:szCs w:val="24"/>
        </w:rPr>
        <w:t xml:space="preserve"> </w:t>
      </w:r>
      <w:r>
        <w:rPr>
          <w:rFonts w:ascii="宋体" w:hAnsi="宋体" w:eastAsia="宋体" w:cs="宋体"/>
          <w:spacing w:val="-12"/>
          <w:sz w:val="24"/>
          <w:szCs w:val="24"/>
        </w:rPr>
        <w:t>工对其影响较其他鸟类种类而言稍大，</w:t>
      </w:r>
      <w:r>
        <w:rPr>
          <w:rFonts w:ascii="宋体" w:hAnsi="宋体" w:eastAsia="宋体" w:cs="宋体"/>
          <w:spacing w:val="45"/>
          <w:sz w:val="24"/>
          <w:szCs w:val="24"/>
        </w:rPr>
        <w:t xml:space="preserve"> </w:t>
      </w:r>
      <w:r>
        <w:rPr>
          <w:rFonts w:ascii="宋体" w:hAnsi="宋体" w:eastAsia="宋体" w:cs="宋体"/>
          <w:spacing w:val="-12"/>
          <w:sz w:val="24"/>
          <w:szCs w:val="24"/>
        </w:rPr>
        <w:t>如人为猎捕、噪声及占用生境等，</w:t>
      </w:r>
      <w:r>
        <w:rPr>
          <w:rFonts w:ascii="宋体" w:hAnsi="宋体" w:eastAsia="宋体" w:cs="宋体"/>
          <w:spacing w:val="28"/>
          <w:sz w:val="24"/>
          <w:szCs w:val="24"/>
        </w:rPr>
        <w:t xml:space="preserve"> </w:t>
      </w:r>
      <w:r>
        <w:rPr>
          <w:rFonts w:ascii="宋体" w:hAnsi="宋体" w:eastAsia="宋体" w:cs="宋体"/>
          <w:spacing w:val="-12"/>
          <w:sz w:val="24"/>
          <w:szCs w:val="24"/>
        </w:rPr>
        <w:t>但其在</w:t>
      </w:r>
    </w:p>
    <w:p>
      <w:pPr>
        <w:spacing w:line="218" w:lineRule="auto"/>
        <w:ind w:left="38"/>
        <w:rPr>
          <w:rFonts w:ascii="宋体" w:hAnsi="宋体" w:eastAsia="宋体" w:cs="宋体"/>
          <w:sz w:val="24"/>
          <w:szCs w:val="24"/>
        </w:rPr>
      </w:pPr>
      <w:r>
        <w:rPr>
          <w:rFonts w:ascii="宋体" w:hAnsi="宋体" w:eastAsia="宋体" w:cs="宋体"/>
          <w:spacing w:val="-2"/>
          <w:sz w:val="24"/>
          <w:szCs w:val="24"/>
        </w:rPr>
        <w:t>评价区内可找到相同或类似生境，工程在施工期对其影响是暂时的。</w:t>
      </w:r>
    </w:p>
    <w:p>
      <w:pPr>
        <w:spacing w:before="184" w:line="217" w:lineRule="auto"/>
        <w:ind w:left="517"/>
        <w:rPr>
          <w:rFonts w:ascii="宋体" w:hAnsi="宋体" w:eastAsia="宋体" w:cs="宋体"/>
          <w:sz w:val="24"/>
          <w:szCs w:val="24"/>
        </w:rPr>
      </w:pPr>
      <w:r>
        <w:rPr>
          <w:rFonts w:ascii="宋体" w:hAnsi="宋体" w:eastAsia="宋体" w:cs="宋体"/>
          <w:spacing w:val="-2"/>
          <w:sz w:val="24"/>
          <w:szCs w:val="24"/>
        </w:rPr>
        <w:t>②运行期影响</w:t>
      </w:r>
    </w:p>
    <w:p>
      <w:pPr>
        <w:spacing w:line="217" w:lineRule="auto"/>
        <w:rPr>
          <w:rFonts w:ascii="宋体" w:hAnsi="宋体" w:eastAsia="宋体" w:cs="宋体"/>
          <w:sz w:val="24"/>
          <w:szCs w:val="24"/>
        </w:rPr>
        <w:sectPr>
          <w:headerReference r:id="rId392" w:type="default"/>
          <w:footerReference r:id="rId393" w:type="default"/>
          <w:pgSz w:w="11907" w:h="16839"/>
          <w:pgMar w:top="1156" w:right="1736" w:bottom="1374" w:left="1770" w:header="881" w:footer="1210" w:gutter="0"/>
        </w:sectPr>
      </w:pPr>
    </w:p>
    <w:p>
      <w:pPr>
        <w:rPr>
          <w:rFonts w:ascii="Arial"/>
          <w:sz w:val="21"/>
        </w:rPr>
      </w:pPr>
    </w:p>
    <w:p>
      <w:pPr>
        <w:spacing w:before="78" w:line="359" w:lineRule="auto"/>
        <w:ind w:left="39" w:right="63" w:firstLine="493"/>
        <w:rPr>
          <w:rFonts w:ascii="宋体" w:hAnsi="宋体" w:eastAsia="宋体" w:cs="宋体"/>
          <w:sz w:val="24"/>
          <w:szCs w:val="24"/>
        </w:rPr>
      </w:pPr>
      <w:r>
        <w:rPr>
          <w:rFonts w:ascii="宋体" w:hAnsi="宋体" w:eastAsia="宋体" w:cs="宋体"/>
          <w:spacing w:val="-13"/>
          <w:sz w:val="24"/>
          <w:szCs w:val="24"/>
        </w:rPr>
        <w:t>随着工程占地面积的逐步扩大，</w:t>
      </w:r>
      <w:r>
        <w:rPr>
          <w:rFonts w:ascii="宋体" w:hAnsi="宋体" w:eastAsia="宋体" w:cs="宋体"/>
          <w:spacing w:val="41"/>
          <w:sz w:val="24"/>
          <w:szCs w:val="24"/>
        </w:rPr>
        <w:t xml:space="preserve"> </w:t>
      </w:r>
      <w:r>
        <w:rPr>
          <w:rFonts w:ascii="宋体" w:hAnsi="宋体" w:eastAsia="宋体" w:cs="宋体"/>
          <w:spacing w:val="-13"/>
          <w:sz w:val="24"/>
          <w:szCs w:val="24"/>
        </w:rPr>
        <w:t>伴随着植被的损失，</w:t>
      </w:r>
      <w:r>
        <w:rPr>
          <w:rFonts w:ascii="宋体" w:hAnsi="宋体" w:eastAsia="宋体" w:cs="宋体"/>
          <w:spacing w:val="30"/>
          <w:sz w:val="24"/>
          <w:szCs w:val="24"/>
        </w:rPr>
        <w:t xml:space="preserve"> </w:t>
      </w:r>
      <w:r>
        <w:rPr>
          <w:rFonts w:ascii="宋体" w:hAnsi="宋体" w:eastAsia="宋体" w:cs="宋体"/>
          <w:spacing w:val="-13"/>
          <w:sz w:val="24"/>
          <w:szCs w:val="24"/>
        </w:rPr>
        <w:t>植物的果实、种子以及</w:t>
      </w:r>
      <w:r>
        <w:rPr>
          <w:rFonts w:ascii="宋体" w:hAnsi="宋体" w:eastAsia="宋体" w:cs="宋体"/>
          <w:sz w:val="24"/>
          <w:szCs w:val="24"/>
        </w:rPr>
        <w:t xml:space="preserve"> </w:t>
      </w:r>
      <w:r>
        <w:rPr>
          <w:rFonts w:ascii="宋体" w:hAnsi="宋体" w:eastAsia="宋体" w:cs="宋体"/>
          <w:spacing w:val="-19"/>
          <w:sz w:val="24"/>
          <w:szCs w:val="24"/>
        </w:rPr>
        <w:t>昆虫数量将进一步的减少，</w:t>
      </w:r>
      <w:r>
        <w:rPr>
          <w:rFonts w:ascii="宋体" w:hAnsi="宋体" w:eastAsia="宋体" w:cs="宋体"/>
          <w:spacing w:val="37"/>
          <w:sz w:val="24"/>
          <w:szCs w:val="24"/>
        </w:rPr>
        <w:t xml:space="preserve"> </w:t>
      </w:r>
      <w:r>
        <w:rPr>
          <w:rFonts w:ascii="宋体" w:hAnsi="宋体" w:eastAsia="宋体" w:cs="宋体"/>
          <w:spacing w:val="-19"/>
          <w:sz w:val="24"/>
          <w:szCs w:val="24"/>
        </w:rPr>
        <w:t>影响鸟类的取食，</w:t>
      </w:r>
      <w:r>
        <w:rPr>
          <w:rFonts w:ascii="宋体" w:hAnsi="宋体" w:eastAsia="宋体" w:cs="宋体"/>
          <w:spacing w:val="35"/>
          <w:sz w:val="24"/>
          <w:szCs w:val="24"/>
        </w:rPr>
        <w:t xml:space="preserve"> </w:t>
      </w:r>
      <w:r>
        <w:rPr>
          <w:rFonts w:ascii="宋体" w:hAnsi="宋体" w:eastAsia="宋体" w:cs="宋体"/>
          <w:spacing w:val="-19"/>
          <w:sz w:val="24"/>
          <w:szCs w:val="24"/>
        </w:rPr>
        <w:t>但项目区</w:t>
      </w:r>
      <w:r>
        <w:rPr>
          <w:rFonts w:ascii="宋体" w:hAnsi="宋体" w:eastAsia="宋体" w:cs="宋体"/>
          <w:spacing w:val="-20"/>
          <w:sz w:val="24"/>
          <w:szCs w:val="24"/>
        </w:rPr>
        <w:t>森林繁茂，</w:t>
      </w:r>
      <w:r>
        <w:rPr>
          <w:rFonts w:ascii="宋体" w:hAnsi="宋体" w:eastAsia="宋体" w:cs="宋体"/>
          <w:spacing w:val="38"/>
          <w:sz w:val="24"/>
          <w:szCs w:val="24"/>
        </w:rPr>
        <w:t xml:space="preserve"> </w:t>
      </w:r>
      <w:r>
        <w:rPr>
          <w:rFonts w:ascii="宋体" w:hAnsi="宋体" w:eastAsia="宋体" w:cs="宋体"/>
          <w:spacing w:val="-20"/>
          <w:sz w:val="24"/>
          <w:szCs w:val="24"/>
        </w:rPr>
        <w:t>面积广阔， 鸟</w:t>
      </w:r>
      <w:r>
        <w:rPr>
          <w:rFonts w:ascii="宋体" w:hAnsi="宋体" w:eastAsia="宋体" w:cs="宋体"/>
          <w:sz w:val="24"/>
          <w:szCs w:val="24"/>
        </w:rPr>
        <w:t xml:space="preserve"> </w:t>
      </w:r>
      <w:r>
        <w:rPr>
          <w:rFonts w:ascii="宋体" w:hAnsi="宋体" w:eastAsia="宋体" w:cs="宋体"/>
          <w:spacing w:val="-12"/>
          <w:sz w:val="24"/>
          <w:szCs w:val="24"/>
        </w:rPr>
        <w:t>类容易找到替代生境，</w:t>
      </w:r>
      <w:r>
        <w:rPr>
          <w:rFonts w:ascii="宋体" w:hAnsi="宋体" w:eastAsia="宋体" w:cs="宋体"/>
          <w:spacing w:val="33"/>
          <w:sz w:val="24"/>
          <w:szCs w:val="24"/>
        </w:rPr>
        <w:t xml:space="preserve"> </w:t>
      </w:r>
      <w:r>
        <w:rPr>
          <w:rFonts w:ascii="宋体" w:hAnsi="宋体" w:eastAsia="宋体" w:cs="宋体"/>
          <w:spacing w:val="-12"/>
          <w:sz w:val="24"/>
          <w:szCs w:val="24"/>
        </w:rPr>
        <w:t>工程建设对其影响不</w:t>
      </w:r>
      <w:r>
        <w:rPr>
          <w:rFonts w:ascii="宋体" w:hAnsi="宋体" w:eastAsia="宋体" w:cs="宋体"/>
          <w:spacing w:val="-13"/>
          <w:sz w:val="24"/>
          <w:szCs w:val="24"/>
        </w:rPr>
        <w:t>大。工程投入运行以后，</w:t>
      </w:r>
      <w:r>
        <w:rPr>
          <w:rFonts w:ascii="宋体" w:hAnsi="宋体" w:eastAsia="宋体" w:cs="宋体"/>
          <w:spacing w:val="59"/>
          <w:sz w:val="24"/>
          <w:szCs w:val="24"/>
        </w:rPr>
        <w:t xml:space="preserve"> </w:t>
      </w:r>
      <w:r>
        <w:rPr>
          <w:rFonts w:ascii="宋体" w:hAnsi="宋体" w:eastAsia="宋体" w:cs="宋体"/>
          <w:spacing w:val="-13"/>
          <w:sz w:val="24"/>
          <w:szCs w:val="24"/>
        </w:rPr>
        <w:t>由于部分临</w:t>
      </w:r>
      <w:r>
        <w:rPr>
          <w:rFonts w:ascii="宋体" w:hAnsi="宋体" w:eastAsia="宋体" w:cs="宋体"/>
          <w:sz w:val="24"/>
          <w:szCs w:val="24"/>
        </w:rPr>
        <w:t xml:space="preserve"> </w:t>
      </w:r>
      <w:r>
        <w:rPr>
          <w:rFonts w:ascii="宋体" w:hAnsi="宋体" w:eastAsia="宋体" w:cs="宋体"/>
          <w:spacing w:val="-9"/>
          <w:sz w:val="24"/>
          <w:szCs w:val="24"/>
        </w:rPr>
        <w:t>时占地进行生态恢复， 从而减少使上述鸟类的食物资源有</w:t>
      </w:r>
      <w:r>
        <w:rPr>
          <w:rFonts w:ascii="宋体" w:hAnsi="宋体" w:eastAsia="宋体" w:cs="宋体"/>
          <w:spacing w:val="-10"/>
          <w:sz w:val="24"/>
          <w:szCs w:val="24"/>
        </w:rPr>
        <w:t>所恢复， 但工程永久占</w:t>
      </w:r>
      <w:r>
        <w:rPr>
          <w:rFonts w:ascii="宋体" w:hAnsi="宋体" w:eastAsia="宋体" w:cs="宋体"/>
          <w:sz w:val="24"/>
          <w:szCs w:val="24"/>
        </w:rPr>
        <w:t xml:space="preserve"> </w:t>
      </w:r>
      <w:r>
        <w:rPr>
          <w:rFonts w:ascii="宋体" w:hAnsi="宋体" w:eastAsia="宋体" w:cs="宋体"/>
          <w:spacing w:val="-10"/>
          <w:sz w:val="24"/>
          <w:szCs w:val="24"/>
        </w:rPr>
        <w:t>地区的食物资源不可能恢复，</w:t>
      </w:r>
      <w:r>
        <w:rPr>
          <w:rFonts w:ascii="宋体" w:hAnsi="宋体" w:eastAsia="宋体" w:cs="宋体"/>
          <w:spacing w:val="33"/>
          <w:sz w:val="24"/>
          <w:szCs w:val="24"/>
        </w:rPr>
        <w:t xml:space="preserve"> </w:t>
      </w:r>
      <w:r>
        <w:rPr>
          <w:rFonts w:ascii="宋体" w:hAnsi="宋体" w:eastAsia="宋体" w:cs="宋体"/>
          <w:spacing w:val="-10"/>
          <w:sz w:val="24"/>
          <w:szCs w:val="24"/>
        </w:rPr>
        <w:t>因而上述物种</w:t>
      </w:r>
      <w:r>
        <w:rPr>
          <w:rFonts w:ascii="宋体" w:hAnsi="宋体" w:eastAsia="宋体" w:cs="宋体"/>
          <w:spacing w:val="-11"/>
          <w:sz w:val="24"/>
          <w:szCs w:val="24"/>
        </w:rPr>
        <w:t>的食物资源将较工程施工前下降， 但</w:t>
      </w:r>
    </w:p>
    <w:p>
      <w:pPr>
        <w:spacing w:line="218" w:lineRule="auto"/>
        <w:ind w:left="46"/>
        <w:rPr>
          <w:rFonts w:ascii="宋体" w:hAnsi="宋体" w:eastAsia="宋体" w:cs="宋体"/>
          <w:sz w:val="24"/>
          <w:szCs w:val="24"/>
        </w:rPr>
      </w:pPr>
      <w:r>
        <w:rPr>
          <w:rFonts w:ascii="宋体" w:hAnsi="宋体" w:eastAsia="宋体" w:cs="宋体"/>
          <w:spacing w:val="-3"/>
          <w:sz w:val="24"/>
          <w:szCs w:val="24"/>
        </w:rPr>
        <w:t>下降幅度较小。</w:t>
      </w:r>
    </w:p>
    <w:p>
      <w:pPr>
        <w:spacing w:before="183"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）对两栖和爬行动物的影响</w:t>
      </w:r>
    </w:p>
    <w:p>
      <w:pPr>
        <w:spacing w:before="180" w:line="217" w:lineRule="auto"/>
        <w:ind w:left="518"/>
        <w:rPr>
          <w:rFonts w:ascii="宋体" w:hAnsi="宋体" w:eastAsia="宋体" w:cs="宋体"/>
          <w:sz w:val="24"/>
          <w:szCs w:val="24"/>
        </w:rPr>
      </w:pPr>
      <w:r>
        <w:rPr>
          <w:rFonts w:ascii="宋体" w:hAnsi="宋体" w:eastAsia="宋体" w:cs="宋体"/>
          <w:spacing w:val="-2"/>
          <w:sz w:val="24"/>
          <w:szCs w:val="24"/>
        </w:rPr>
        <w:t>①施工期影响</w:t>
      </w:r>
    </w:p>
    <w:p>
      <w:pPr>
        <w:spacing w:before="186" w:line="359" w:lineRule="auto"/>
        <w:ind w:left="38" w:right="62" w:firstLine="483"/>
        <w:rPr>
          <w:rFonts w:ascii="宋体" w:hAnsi="宋体" w:eastAsia="宋体" w:cs="宋体"/>
          <w:sz w:val="24"/>
          <w:szCs w:val="24"/>
        </w:rPr>
      </w:pPr>
      <w:r>
        <w:rPr>
          <w:rFonts w:ascii="宋体" w:hAnsi="宋体" w:eastAsia="宋体" w:cs="宋体"/>
          <w:spacing w:val="4"/>
          <w:sz w:val="24"/>
          <w:szCs w:val="24"/>
        </w:rPr>
        <w:t>建设施工对两栖和爬行动物活动的影响主要为评价区水体污染和水生生境</w:t>
      </w:r>
      <w:r>
        <w:rPr>
          <w:rFonts w:ascii="宋体" w:hAnsi="宋体" w:eastAsia="宋体" w:cs="宋体"/>
          <w:spacing w:val="6"/>
          <w:sz w:val="24"/>
          <w:szCs w:val="24"/>
        </w:rPr>
        <w:t xml:space="preserve"> </w:t>
      </w:r>
      <w:r>
        <w:rPr>
          <w:rFonts w:ascii="宋体" w:hAnsi="宋体" w:eastAsia="宋体" w:cs="宋体"/>
          <w:spacing w:val="-9"/>
          <w:sz w:val="24"/>
          <w:szCs w:val="24"/>
        </w:rPr>
        <w:t>质量降低； 施工中对两栖和爬行类的栖息地小生境的破坏</w:t>
      </w:r>
      <w:r>
        <w:rPr>
          <w:rFonts w:ascii="宋体" w:hAnsi="宋体" w:eastAsia="宋体" w:cs="宋体"/>
          <w:spacing w:val="-10"/>
          <w:sz w:val="24"/>
          <w:szCs w:val="24"/>
        </w:rPr>
        <w:t>， 特别是对两栖类小生</w:t>
      </w:r>
      <w:r>
        <w:rPr>
          <w:rFonts w:ascii="宋体" w:hAnsi="宋体" w:eastAsia="宋体" w:cs="宋体"/>
          <w:sz w:val="24"/>
          <w:szCs w:val="24"/>
        </w:rPr>
        <w:t xml:space="preserve"> </w:t>
      </w:r>
      <w:r>
        <w:rPr>
          <w:rFonts w:ascii="宋体" w:hAnsi="宋体" w:eastAsia="宋体" w:cs="宋体"/>
          <w:spacing w:val="-6"/>
          <w:sz w:val="24"/>
          <w:szCs w:val="24"/>
        </w:rPr>
        <w:t>境的破坏； 工程对其影响主要是施工人员的生活污水和生活垃圾</w:t>
      </w:r>
      <w:r>
        <w:rPr>
          <w:rFonts w:ascii="宋体" w:hAnsi="宋体" w:eastAsia="宋体" w:cs="宋体"/>
          <w:spacing w:val="-7"/>
          <w:sz w:val="24"/>
          <w:szCs w:val="24"/>
        </w:rPr>
        <w:t>、施工机械机修</w:t>
      </w:r>
      <w:r>
        <w:rPr>
          <w:rFonts w:ascii="宋体" w:hAnsi="宋体" w:eastAsia="宋体" w:cs="宋体"/>
          <w:sz w:val="24"/>
          <w:szCs w:val="24"/>
        </w:rPr>
        <w:t xml:space="preserve"> </w:t>
      </w:r>
      <w:r>
        <w:rPr>
          <w:rFonts w:ascii="宋体" w:hAnsi="宋体" w:eastAsia="宋体" w:cs="宋体"/>
          <w:spacing w:val="-8"/>
          <w:sz w:val="24"/>
          <w:szCs w:val="24"/>
        </w:rPr>
        <w:t>及工作时油污跑冒滴漏产生的含油污水、废渣排放带来的局部生境污染，</w:t>
      </w:r>
      <w:r>
        <w:rPr>
          <w:rFonts w:ascii="宋体" w:hAnsi="宋体" w:eastAsia="宋体" w:cs="宋体"/>
          <w:spacing w:val="57"/>
          <w:sz w:val="24"/>
          <w:szCs w:val="24"/>
        </w:rPr>
        <w:t xml:space="preserve"> </w:t>
      </w:r>
      <w:r>
        <w:rPr>
          <w:rFonts w:ascii="宋体" w:hAnsi="宋体" w:eastAsia="宋体" w:cs="宋体"/>
          <w:spacing w:val="-8"/>
          <w:sz w:val="24"/>
          <w:szCs w:val="24"/>
        </w:rPr>
        <w:t>以及施</w:t>
      </w:r>
    </w:p>
    <w:p>
      <w:pPr>
        <w:spacing w:before="1" w:line="218" w:lineRule="auto"/>
        <w:ind w:left="42"/>
        <w:rPr>
          <w:rFonts w:ascii="宋体" w:hAnsi="宋体" w:eastAsia="宋体" w:cs="宋体"/>
          <w:sz w:val="24"/>
          <w:szCs w:val="24"/>
        </w:rPr>
      </w:pPr>
      <w:r>
        <w:rPr>
          <w:rFonts w:ascii="宋体" w:hAnsi="宋体" w:eastAsia="宋体" w:cs="宋体"/>
          <w:spacing w:val="-2"/>
          <w:sz w:val="24"/>
          <w:szCs w:val="24"/>
        </w:rPr>
        <w:t>工噪声，施工人员捕杀等都会驱赶这些两栖暂时离开施工范围。</w:t>
      </w:r>
    </w:p>
    <w:p>
      <w:pPr>
        <w:spacing w:before="183" w:line="217" w:lineRule="auto"/>
        <w:ind w:left="517"/>
        <w:rPr>
          <w:rFonts w:ascii="宋体" w:hAnsi="宋体" w:eastAsia="宋体" w:cs="宋体"/>
          <w:sz w:val="24"/>
          <w:szCs w:val="24"/>
        </w:rPr>
      </w:pPr>
      <w:r>
        <w:rPr>
          <w:rFonts w:ascii="宋体" w:hAnsi="宋体" w:eastAsia="宋体" w:cs="宋体"/>
          <w:spacing w:val="-2"/>
          <w:sz w:val="24"/>
          <w:szCs w:val="24"/>
        </w:rPr>
        <w:t>②运行期影响</w:t>
      </w:r>
    </w:p>
    <w:p>
      <w:pPr>
        <w:spacing w:before="185" w:line="359" w:lineRule="auto"/>
        <w:ind w:left="39" w:firstLine="493"/>
        <w:rPr>
          <w:rFonts w:ascii="宋体" w:hAnsi="宋体" w:eastAsia="宋体" w:cs="宋体"/>
          <w:sz w:val="24"/>
          <w:szCs w:val="24"/>
        </w:rPr>
      </w:pPr>
      <w:r>
        <w:rPr>
          <w:rFonts w:ascii="宋体" w:hAnsi="宋体" w:eastAsia="宋体" w:cs="宋体"/>
          <w:spacing w:val="-10"/>
          <w:sz w:val="24"/>
          <w:szCs w:val="24"/>
        </w:rPr>
        <w:t>随着工程占水域面积的逐步扩大， 两栖动物活动区域受到影</w:t>
      </w:r>
      <w:r>
        <w:rPr>
          <w:rFonts w:ascii="宋体" w:hAnsi="宋体" w:eastAsia="宋体" w:cs="宋体"/>
          <w:spacing w:val="-11"/>
          <w:sz w:val="24"/>
          <w:szCs w:val="24"/>
        </w:rPr>
        <w:t>响， 其种群将进</w:t>
      </w:r>
      <w:r>
        <w:rPr>
          <w:rFonts w:ascii="宋体" w:hAnsi="宋体" w:eastAsia="宋体" w:cs="宋体"/>
          <w:sz w:val="24"/>
          <w:szCs w:val="24"/>
        </w:rPr>
        <w:t xml:space="preserve"> </w:t>
      </w:r>
      <w:r>
        <w:rPr>
          <w:rFonts w:ascii="宋体" w:hAnsi="宋体" w:eastAsia="宋体" w:cs="宋体"/>
          <w:spacing w:val="-10"/>
          <w:sz w:val="24"/>
          <w:szCs w:val="24"/>
        </w:rPr>
        <w:t>一步下降， 迫使其迁往远离本项目的生境。因此</w:t>
      </w:r>
      <w:r>
        <w:rPr>
          <w:rFonts w:ascii="宋体" w:hAnsi="宋体" w:eastAsia="宋体" w:cs="宋体"/>
          <w:spacing w:val="-11"/>
          <w:sz w:val="24"/>
          <w:szCs w:val="24"/>
        </w:rPr>
        <w:t>施工不会对其生存造成威胁，</w:t>
      </w:r>
      <w:r>
        <w:rPr>
          <w:rFonts w:ascii="宋体" w:hAnsi="宋体" w:eastAsia="宋体" w:cs="宋体"/>
          <w:spacing w:val="30"/>
          <w:sz w:val="24"/>
          <w:szCs w:val="24"/>
        </w:rPr>
        <w:t xml:space="preserve"> </w:t>
      </w:r>
      <w:r>
        <w:rPr>
          <w:rFonts w:ascii="宋体" w:hAnsi="宋体" w:eastAsia="宋体" w:cs="宋体"/>
          <w:spacing w:val="-11"/>
          <w:sz w:val="24"/>
          <w:szCs w:val="24"/>
        </w:rPr>
        <w:t>其</w:t>
      </w:r>
      <w:r>
        <w:rPr>
          <w:rFonts w:ascii="宋体" w:hAnsi="宋体" w:eastAsia="宋体" w:cs="宋体"/>
          <w:sz w:val="24"/>
          <w:szCs w:val="24"/>
        </w:rPr>
        <w:t xml:space="preserve"> </w:t>
      </w:r>
      <w:r>
        <w:rPr>
          <w:rFonts w:ascii="宋体" w:hAnsi="宋体" w:eastAsia="宋体" w:cs="宋体"/>
          <w:spacing w:val="-1"/>
          <w:sz w:val="24"/>
          <w:szCs w:val="24"/>
        </w:rPr>
        <w:t>种群数量的下降也只是暂时的、可恢复的，但是新形成的水库边缘</w:t>
      </w:r>
      <w:r>
        <w:rPr>
          <w:rFonts w:ascii="宋体" w:hAnsi="宋体" w:eastAsia="宋体" w:cs="宋体"/>
          <w:spacing w:val="-2"/>
          <w:sz w:val="24"/>
          <w:szCs w:val="24"/>
        </w:rPr>
        <w:t>的湿地环境，</w:t>
      </w:r>
    </w:p>
    <w:p>
      <w:pPr>
        <w:spacing w:line="219" w:lineRule="auto"/>
        <w:ind w:left="38"/>
        <w:rPr>
          <w:rFonts w:ascii="宋体" w:hAnsi="宋体" w:eastAsia="宋体" w:cs="宋体"/>
          <w:sz w:val="24"/>
          <w:szCs w:val="24"/>
        </w:rPr>
      </w:pPr>
      <w:r>
        <w:rPr>
          <w:rFonts w:ascii="宋体" w:hAnsi="宋体" w:eastAsia="宋体" w:cs="宋体"/>
          <w:spacing w:val="-1"/>
          <w:sz w:val="24"/>
          <w:szCs w:val="24"/>
        </w:rPr>
        <w:t>对两栖爬行动物的生存环境有一定补充。</w:t>
      </w:r>
    </w:p>
    <w:p>
      <w:pPr>
        <w:spacing w:before="181"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）对鱼类的影响</w:t>
      </w:r>
    </w:p>
    <w:p>
      <w:pPr>
        <w:spacing w:before="182" w:line="359" w:lineRule="auto"/>
        <w:ind w:left="39" w:right="62" w:firstLine="479"/>
        <w:rPr>
          <w:rFonts w:ascii="宋体" w:hAnsi="宋体" w:eastAsia="宋体" w:cs="宋体"/>
          <w:sz w:val="24"/>
          <w:szCs w:val="24"/>
        </w:rPr>
      </w:pPr>
      <w:r>
        <w:rPr>
          <w:rFonts w:ascii="宋体" w:hAnsi="宋体" w:eastAsia="宋体" w:cs="宋体"/>
          <w:spacing w:val="-6"/>
          <w:sz w:val="24"/>
          <w:szCs w:val="24"/>
        </w:rPr>
        <w:t>评价区河段分布有鱼类</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 xml:space="preserve">5  </w:t>
      </w:r>
      <w:r>
        <w:rPr>
          <w:rFonts w:ascii="宋体" w:hAnsi="宋体" w:eastAsia="宋体" w:cs="宋体"/>
          <w:spacing w:val="-6"/>
          <w:sz w:val="24"/>
          <w:szCs w:val="24"/>
        </w:rPr>
        <w:t>目</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9</w:t>
      </w:r>
      <w:r>
        <w:rPr>
          <w:rFonts w:ascii="Times New Roman" w:hAnsi="Times New Roman" w:eastAsia="Times New Roman" w:cs="Times New Roman"/>
          <w:spacing w:val="28"/>
          <w:w w:val="101"/>
          <w:sz w:val="24"/>
          <w:szCs w:val="24"/>
        </w:rPr>
        <w:t xml:space="preserve"> </w:t>
      </w:r>
      <w:r>
        <w:rPr>
          <w:rFonts w:ascii="宋体" w:hAnsi="宋体" w:eastAsia="宋体" w:cs="宋体"/>
          <w:spacing w:val="-6"/>
          <w:sz w:val="24"/>
          <w:szCs w:val="24"/>
        </w:rPr>
        <w:t xml:space="preserve">科 </w:t>
      </w:r>
      <w:r>
        <w:rPr>
          <w:rFonts w:ascii="Times New Roman" w:hAnsi="Times New Roman" w:eastAsia="Times New Roman" w:cs="Times New Roman"/>
          <w:spacing w:val="-6"/>
          <w:sz w:val="24"/>
          <w:szCs w:val="24"/>
        </w:rPr>
        <w:t>19</w:t>
      </w:r>
      <w:r>
        <w:rPr>
          <w:rFonts w:ascii="Times New Roman" w:hAnsi="Times New Roman" w:eastAsia="Times New Roman" w:cs="Times New Roman"/>
          <w:spacing w:val="29"/>
          <w:w w:val="101"/>
          <w:sz w:val="24"/>
          <w:szCs w:val="24"/>
        </w:rPr>
        <w:t xml:space="preserve"> </w:t>
      </w:r>
      <w:r>
        <w:rPr>
          <w:rFonts w:ascii="宋体" w:hAnsi="宋体" w:eastAsia="宋体" w:cs="宋体"/>
          <w:spacing w:val="-6"/>
          <w:sz w:val="24"/>
          <w:szCs w:val="24"/>
        </w:rPr>
        <w:t xml:space="preserve">属 </w:t>
      </w:r>
      <w:r>
        <w:rPr>
          <w:rFonts w:ascii="Times New Roman" w:hAnsi="Times New Roman" w:eastAsia="Times New Roman" w:cs="Times New Roman"/>
          <w:spacing w:val="-6"/>
          <w:sz w:val="24"/>
          <w:szCs w:val="24"/>
        </w:rPr>
        <w:t>19</w:t>
      </w:r>
      <w:r>
        <w:rPr>
          <w:rFonts w:ascii="Times New Roman" w:hAnsi="Times New Roman" w:eastAsia="Times New Roman" w:cs="Times New Roman"/>
          <w:spacing w:val="27"/>
          <w:sz w:val="24"/>
          <w:szCs w:val="24"/>
        </w:rPr>
        <w:t xml:space="preserve"> </w:t>
      </w:r>
      <w:r>
        <w:rPr>
          <w:rFonts w:ascii="宋体" w:hAnsi="宋体" w:eastAsia="宋体" w:cs="宋体"/>
          <w:spacing w:val="-6"/>
          <w:sz w:val="24"/>
          <w:szCs w:val="24"/>
        </w:rPr>
        <w:t>种，多是常见的棒花鱼、鲫鱼、</w:t>
      </w:r>
      <w:r>
        <w:rPr>
          <w:rFonts w:ascii="宋体" w:hAnsi="宋体" w:eastAsia="宋体" w:cs="宋体"/>
          <w:sz w:val="24"/>
          <w:szCs w:val="24"/>
        </w:rPr>
        <w:t xml:space="preserve"> </w:t>
      </w:r>
      <w:r>
        <w:rPr>
          <w:rFonts w:ascii="宋体" w:hAnsi="宋体" w:eastAsia="宋体" w:cs="宋体"/>
          <w:spacing w:val="-8"/>
          <w:sz w:val="24"/>
          <w:szCs w:val="24"/>
        </w:rPr>
        <w:t>鲮、草鱼、草鱼、鲤鱼、麦穗鱼、食蚊鱼、尼罗罗非鱼等，</w:t>
      </w:r>
      <w:r>
        <w:rPr>
          <w:rFonts w:ascii="宋体" w:hAnsi="宋体" w:eastAsia="宋体" w:cs="宋体"/>
          <w:spacing w:val="57"/>
          <w:sz w:val="24"/>
          <w:szCs w:val="24"/>
        </w:rPr>
        <w:t xml:space="preserve"> </w:t>
      </w:r>
      <w:r>
        <w:rPr>
          <w:rFonts w:ascii="宋体" w:hAnsi="宋体" w:eastAsia="宋体" w:cs="宋体"/>
          <w:spacing w:val="-8"/>
          <w:sz w:val="24"/>
          <w:szCs w:val="24"/>
        </w:rPr>
        <w:t>评价区水系中没有发</w:t>
      </w:r>
      <w:r>
        <w:rPr>
          <w:rFonts w:ascii="宋体" w:hAnsi="宋体" w:eastAsia="宋体" w:cs="宋体"/>
          <w:sz w:val="24"/>
          <w:szCs w:val="24"/>
        </w:rPr>
        <w:t xml:space="preserve"> </w:t>
      </w:r>
      <w:r>
        <w:rPr>
          <w:rFonts w:ascii="宋体" w:hAnsi="宋体" w:eastAsia="宋体" w:cs="宋体"/>
          <w:spacing w:val="-5"/>
          <w:sz w:val="24"/>
          <w:szCs w:val="24"/>
        </w:rPr>
        <w:t>现国家级重点保护鱼类，</w:t>
      </w:r>
      <w:r>
        <w:rPr>
          <w:rFonts w:ascii="宋体" w:hAnsi="宋体" w:eastAsia="宋体" w:cs="宋体"/>
          <w:spacing w:val="-38"/>
          <w:sz w:val="24"/>
          <w:szCs w:val="24"/>
        </w:rPr>
        <w:t xml:space="preserve"> </w:t>
      </w:r>
      <w:r>
        <w:rPr>
          <w:rFonts w:ascii="宋体" w:hAnsi="宋体" w:eastAsia="宋体" w:cs="宋体"/>
          <w:spacing w:val="-5"/>
          <w:sz w:val="24"/>
          <w:szCs w:val="24"/>
        </w:rPr>
        <w:t>也没发现列入中国濒危动物红</w:t>
      </w:r>
      <w:r>
        <w:rPr>
          <w:rFonts w:ascii="宋体" w:hAnsi="宋体" w:eastAsia="宋体" w:cs="宋体"/>
          <w:spacing w:val="-6"/>
          <w:sz w:val="24"/>
          <w:szCs w:val="24"/>
        </w:rPr>
        <w:t>皮书的珍稀濒危鱼类。水</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库建设对鱼类会造成一定的负面影响，主要有以下方面：</w:t>
      </w:r>
    </w:p>
    <w:p>
      <w:pPr>
        <w:spacing w:before="183" w:line="217" w:lineRule="auto"/>
        <w:ind w:left="518"/>
        <w:rPr>
          <w:rFonts w:ascii="宋体" w:hAnsi="宋体" w:eastAsia="宋体" w:cs="宋体"/>
          <w:sz w:val="24"/>
          <w:szCs w:val="24"/>
        </w:rPr>
      </w:pPr>
      <w:r>
        <w:rPr>
          <w:rFonts w:ascii="宋体" w:hAnsi="宋体" w:eastAsia="宋体" w:cs="宋体"/>
          <w:spacing w:val="-2"/>
          <w:sz w:val="24"/>
          <w:szCs w:val="24"/>
        </w:rPr>
        <w:t>①施工期影响</w:t>
      </w:r>
    </w:p>
    <w:p>
      <w:pPr>
        <w:spacing w:before="186" w:line="359" w:lineRule="auto"/>
        <w:ind w:left="47" w:right="63" w:firstLine="473"/>
        <w:rPr>
          <w:rFonts w:ascii="宋体" w:hAnsi="宋体" w:eastAsia="宋体" w:cs="宋体"/>
          <w:sz w:val="24"/>
          <w:szCs w:val="24"/>
        </w:rPr>
      </w:pPr>
      <w:r>
        <w:rPr>
          <w:rFonts w:ascii="宋体" w:hAnsi="宋体" w:eastAsia="宋体" w:cs="宋体"/>
          <w:spacing w:val="-6"/>
          <w:sz w:val="24"/>
          <w:szCs w:val="24"/>
        </w:rPr>
        <w:t>涉水坝址、输水管道工程对鱼类的影响主要表现在：</w:t>
      </w:r>
      <w:r>
        <w:rPr>
          <w:rFonts w:ascii="宋体" w:hAnsi="宋体" w:eastAsia="宋体" w:cs="宋体"/>
          <w:spacing w:val="53"/>
          <w:sz w:val="24"/>
          <w:szCs w:val="24"/>
        </w:rPr>
        <w:t xml:space="preserve"> </w:t>
      </w:r>
      <w:r>
        <w:rPr>
          <w:rFonts w:ascii="Times New Roman" w:hAnsi="Times New Roman" w:eastAsia="Times New Roman" w:cs="Times New Roman"/>
          <w:spacing w:val="-6"/>
          <w:sz w:val="24"/>
          <w:szCs w:val="24"/>
        </w:rPr>
        <w:t>a.</w:t>
      </w:r>
      <w:r>
        <w:rPr>
          <w:rFonts w:ascii="宋体" w:hAnsi="宋体" w:eastAsia="宋体" w:cs="宋体"/>
          <w:spacing w:val="-6"/>
          <w:sz w:val="24"/>
          <w:szCs w:val="24"/>
        </w:rPr>
        <w:t>河流水质改变</w:t>
      </w:r>
      <w:r>
        <w:rPr>
          <w:rFonts w:ascii="宋体" w:hAnsi="宋体" w:eastAsia="宋体" w:cs="宋体"/>
          <w:spacing w:val="-7"/>
          <w:sz w:val="24"/>
          <w:szCs w:val="24"/>
        </w:rPr>
        <w:t>对鱼类</w:t>
      </w:r>
      <w:r>
        <w:rPr>
          <w:rFonts w:ascii="宋体" w:hAnsi="宋体" w:eastAsia="宋体" w:cs="宋体"/>
          <w:sz w:val="24"/>
          <w:szCs w:val="24"/>
        </w:rPr>
        <w:t xml:space="preserve"> </w:t>
      </w:r>
      <w:r>
        <w:rPr>
          <w:rFonts w:ascii="宋体" w:hAnsi="宋体" w:eastAsia="宋体" w:cs="宋体"/>
          <w:spacing w:val="-12"/>
          <w:sz w:val="24"/>
          <w:szCs w:val="24"/>
        </w:rPr>
        <w:t>的影响；</w:t>
      </w:r>
      <w:r>
        <w:rPr>
          <w:rFonts w:ascii="宋体" w:hAnsi="宋体" w:eastAsia="宋体" w:cs="宋体"/>
          <w:spacing w:val="-37"/>
          <w:sz w:val="24"/>
          <w:szCs w:val="24"/>
        </w:rPr>
        <w:t xml:space="preserve"> </w:t>
      </w:r>
      <w:r>
        <w:rPr>
          <w:rFonts w:ascii="Times New Roman" w:hAnsi="Times New Roman" w:eastAsia="Times New Roman" w:cs="Times New Roman"/>
          <w:spacing w:val="-12"/>
          <w:sz w:val="24"/>
          <w:szCs w:val="24"/>
        </w:rPr>
        <w:t>b.</w:t>
      </w:r>
      <w:r>
        <w:rPr>
          <w:rFonts w:ascii="宋体" w:hAnsi="宋体" w:eastAsia="宋体" w:cs="宋体"/>
          <w:spacing w:val="-12"/>
          <w:sz w:val="24"/>
          <w:szCs w:val="24"/>
        </w:rPr>
        <w:t>水流流态改变对鱼类的影响；</w:t>
      </w:r>
      <w:r>
        <w:rPr>
          <w:rFonts w:ascii="宋体" w:hAnsi="宋体" w:eastAsia="宋体" w:cs="宋体"/>
          <w:spacing w:val="-27"/>
          <w:sz w:val="24"/>
          <w:szCs w:val="24"/>
        </w:rPr>
        <w:t xml:space="preserve"> </w:t>
      </w:r>
      <w:r>
        <w:rPr>
          <w:rFonts w:ascii="Times New Roman" w:hAnsi="Times New Roman" w:eastAsia="Times New Roman" w:cs="Times New Roman"/>
          <w:spacing w:val="-12"/>
          <w:sz w:val="24"/>
          <w:szCs w:val="24"/>
        </w:rPr>
        <w:t>c.</w:t>
      </w:r>
      <w:r>
        <w:rPr>
          <w:rFonts w:ascii="Times New Roman" w:hAnsi="Times New Roman" w:eastAsia="Times New Roman" w:cs="Times New Roman"/>
          <w:spacing w:val="-35"/>
          <w:sz w:val="24"/>
          <w:szCs w:val="24"/>
        </w:rPr>
        <w:t xml:space="preserve"> </w:t>
      </w:r>
      <w:r>
        <w:rPr>
          <w:rFonts w:ascii="宋体" w:hAnsi="宋体" w:eastAsia="宋体" w:cs="宋体"/>
          <w:spacing w:val="-12"/>
          <w:sz w:val="24"/>
          <w:szCs w:val="24"/>
        </w:rPr>
        <w:t xml:space="preserve">阻断栖息地对鱼类的影响； </w:t>
      </w:r>
      <w:r>
        <w:rPr>
          <w:rFonts w:ascii="Times New Roman" w:hAnsi="Times New Roman" w:eastAsia="Times New Roman" w:cs="Times New Roman"/>
          <w:spacing w:val="-12"/>
          <w:sz w:val="24"/>
          <w:szCs w:val="24"/>
        </w:rPr>
        <w:t>d.</w:t>
      </w:r>
      <w:r>
        <w:rPr>
          <w:rFonts w:ascii="宋体" w:hAnsi="宋体" w:eastAsia="宋体" w:cs="宋体"/>
          <w:spacing w:val="-12"/>
          <w:sz w:val="24"/>
          <w:szCs w:val="24"/>
        </w:rPr>
        <w:t>河床底质</w:t>
      </w:r>
      <w:r>
        <w:rPr>
          <w:rFonts w:ascii="宋体" w:hAnsi="宋体" w:eastAsia="宋体" w:cs="宋体"/>
          <w:sz w:val="24"/>
          <w:szCs w:val="24"/>
        </w:rPr>
        <w:t xml:space="preserve"> </w:t>
      </w:r>
      <w:r>
        <w:rPr>
          <w:rFonts w:ascii="宋体" w:hAnsi="宋体" w:eastAsia="宋体" w:cs="宋体"/>
          <w:spacing w:val="-3"/>
          <w:sz w:val="24"/>
          <w:szCs w:val="24"/>
        </w:rPr>
        <w:t>改变对鱼类的影响；</w:t>
      </w:r>
      <w:r>
        <w:rPr>
          <w:rFonts w:ascii="宋体" w:hAnsi="宋体" w:eastAsia="宋体" w:cs="宋体"/>
          <w:spacing w:val="67"/>
          <w:sz w:val="24"/>
          <w:szCs w:val="24"/>
        </w:rPr>
        <w:t xml:space="preserve"> </w:t>
      </w:r>
      <w:r>
        <w:rPr>
          <w:rFonts w:ascii="Times New Roman" w:hAnsi="Times New Roman" w:eastAsia="Times New Roman" w:cs="Times New Roman"/>
          <w:spacing w:val="-3"/>
          <w:sz w:val="24"/>
          <w:szCs w:val="24"/>
        </w:rPr>
        <w:t>e.</w:t>
      </w:r>
      <w:r>
        <w:rPr>
          <w:rFonts w:ascii="宋体" w:hAnsi="宋体" w:eastAsia="宋体" w:cs="宋体"/>
          <w:spacing w:val="-3"/>
          <w:sz w:val="24"/>
          <w:szCs w:val="24"/>
        </w:rPr>
        <w:t>河段地形改变对鱼类</w:t>
      </w:r>
      <w:r>
        <w:rPr>
          <w:rFonts w:ascii="宋体" w:hAnsi="宋体" w:eastAsia="宋体" w:cs="宋体"/>
          <w:spacing w:val="-4"/>
          <w:sz w:val="24"/>
          <w:szCs w:val="24"/>
        </w:rPr>
        <w:t>的影响；</w:t>
      </w:r>
      <w:r>
        <w:rPr>
          <w:rFonts w:ascii="Times New Roman" w:hAnsi="Times New Roman" w:eastAsia="Times New Roman" w:cs="Times New Roman"/>
          <w:spacing w:val="-4"/>
          <w:sz w:val="24"/>
          <w:szCs w:val="24"/>
        </w:rPr>
        <w:t>f.</w:t>
      </w:r>
      <w:r>
        <w:rPr>
          <w:rFonts w:ascii="宋体" w:hAnsi="宋体" w:eastAsia="宋体" w:cs="宋体"/>
          <w:spacing w:val="-4"/>
          <w:sz w:val="24"/>
          <w:szCs w:val="24"/>
        </w:rPr>
        <w:t>对鱼类产卵场的影响等六</w:t>
      </w:r>
    </w:p>
    <w:p>
      <w:pPr>
        <w:spacing w:before="1" w:line="219" w:lineRule="auto"/>
        <w:ind w:left="39"/>
        <w:rPr>
          <w:rFonts w:ascii="宋体" w:hAnsi="宋体" w:eastAsia="宋体" w:cs="宋体"/>
          <w:sz w:val="24"/>
          <w:szCs w:val="24"/>
        </w:rPr>
      </w:pPr>
      <w:r>
        <w:rPr>
          <w:rFonts w:ascii="宋体" w:hAnsi="宋体" w:eastAsia="宋体" w:cs="宋体"/>
          <w:spacing w:val="-9"/>
          <w:sz w:val="24"/>
          <w:szCs w:val="24"/>
        </w:rPr>
        <w:t>个方面。</w:t>
      </w:r>
    </w:p>
    <w:p>
      <w:pPr>
        <w:spacing w:before="181" w:line="467" w:lineRule="exact"/>
        <w:ind w:right="63"/>
        <w:jc w:val="right"/>
        <w:rPr>
          <w:rFonts w:ascii="宋体" w:hAnsi="宋体" w:eastAsia="宋体" w:cs="宋体"/>
          <w:sz w:val="24"/>
          <w:szCs w:val="24"/>
        </w:rPr>
      </w:pPr>
      <w:r>
        <w:rPr>
          <w:rFonts w:ascii="宋体" w:hAnsi="宋体" w:eastAsia="宋体" w:cs="宋体"/>
          <w:spacing w:val="-3"/>
          <w:position w:val="17"/>
          <w:sz w:val="24"/>
          <w:szCs w:val="24"/>
        </w:rPr>
        <w:t>水坝建设及截流施工期会对改变桂花河流量减少、河床底</w:t>
      </w:r>
      <w:r>
        <w:rPr>
          <w:rFonts w:ascii="宋体" w:hAnsi="宋体" w:eastAsia="宋体" w:cs="宋体"/>
          <w:spacing w:val="-4"/>
          <w:position w:val="17"/>
          <w:sz w:val="24"/>
          <w:szCs w:val="24"/>
        </w:rPr>
        <w:t>质改变、水质变差</w:t>
      </w:r>
    </w:p>
    <w:p>
      <w:pPr>
        <w:spacing w:line="219" w:lineRule="auto"/>
        <w:ind w:left="41"/>
        <w:rPr>
          <w:rFonts w:ascii="宋体" w:hAnsi="宋体" w:eastAsia="宋体" w:cs="宋体"/>
          <w:sz w:val="24"/>
          <w:szCs w:val="24"/>
        </w:rPr>
      </w:pPr>
      <w:r>
        <w:rPr>
          <w:rFonts w:ascii="宋体" w:hAnsi="宋体" w:eastAsia="宋体" w:cs="宋体"/>
          <w:spacing w:val="-12"/>
          <w:sz w:val="24"/>
          <w:szCs w:val="24"/>
        </w:rPr>
        <w:t>等负面影响，</w:t>
      </w:r>
      <w:r>
        <w:rPr>
          <w:rFonts w:ascii="宋体" w:hAnsi="宋体" w:eastAsia="宋体" w:cs="宋体"/>
          <w:spacing w:val="46"/>
          <w:sz w:val="24"/>
          <w:szCs w:val="24"/>
        </w:rPr>
        <w:t xml:space="preserve"> </w:t>
      </w:r>
      <w:r>
        <w:rPr>
          <w:rFonts w:ascii="宋体" w:hAnsi="宋体" w:eastAsia="宋体" w:cs="宋体"/>
          <w:spacing w:val="-12"/>
          <w:sz w:val="24"/>
          <w:szCs w:val="24"/>
        </w:rPr>
        <w:t>对坝址河段的鱼类造成负面影响，</w:t>
      </w:r>
      <w:r>
        <w:rPr>
          <w:rFonts w:ascii="宋体" w:hAnsi="宋体" w:eastAsia="宋体" w:cs="宋体"/>
          <w:spacing w:val="28"/>
          <w:sz w:val="24"/>
          <w:szCs w:val="24"/>
        </w:rPr>
        <w:t xml:space="preserve"> </w:t>
      </w:r>
      <w:r>
        <w:rPr>
          <w:rFonts w:ascii="宋体" w:hAnsi="宋体" w:eastAsia="宋体" w:cs="宋体"/>
          <w:spacing w:val="-12"/>
          <w:sz w:val="24"/>
          <w:szCs w:val="24"/>
        </w:rPr>
        <w:t>但在坝址河段发现的多是、食蚊</w:t>
      </w:r>
    </w:p>
    <w:p>
      <w:pPr>
        <w:spacing w:line="219" w:lineRule="auto"/>
        <w:rPr>
          <w:rFonts w:ascii="宋体" w:hAnsi="宋体" w:eastAsia="宋体" w:cs="宋体"/>
          <w:sz w:val="24"/>
          <w:szCs w:val="24"/>
        </w:rPr>
        <w:sectPr>
          <w:headerReference r:id="rId394" w:type="default"/>
          <w:footerReference r:id="rId395" w:type="default"/>
          <w:pgSz w:w="11907" w:h="16839"/>
          <w:pgMar w:top="1156" w:right="1735" w:bottom="1374" w:left="1770" w:header="881" w:footer="1210" w:gutter="0"/>
        </w:sectPr>
      </w:pPr>
    </w:p>
    <w:p>
      <w:pPr>
        <w:rPr>
          <w:rFonts w:ascii="Arial"/>
          <w:sz w:val="21"/>
        </w:rPr>
      </w:pPr>
    </w:p>
    <w:p>
      <w:pPr>
        <w:spacing w:before="78" w:line="359" w:lineRule="auto"/>
        <w:ind w:left="40" w:right="68" w:firstLine="2"/>
        <w:jc w:val="both"/>
        <w:rPr>
          <w:rFonts w:ascii="宋体" w:hAnsi="宋体" w:eastAsia="宋体" w:cs="宋体"/>
          <w:sz w:val="24"/>
          <w:szCs w:val="24"/>
        </w:rPr>
      </w:pPr>
      <w:r>
        <w:rPr>
          <w:rFonts w:ascii="宋体" w:hAnsi="宋体" w:eastAsia="宋体" w:cs="宋体"/>
          <w:spacing w:val="-10"/>
          <w:sz w:val="24"/>
          <w:szCs w:val="24"/>
        </w:rPr>
        <w:t>鱼、棒花鱼、麦穗鱼等常见鱼类，</w:t>
      </w:r>
      <w:r>
        <w:rPr>
          <w:rFonts w:ascii="宋体" w:hAnsi="宋体" w:eastAsia="宋体" w:cs="宋体"/>
          <w:spacing w:val="-43"/>
          <w:sz w:val="24"/>
          <w:szCs w:val="24"/>
        </w:rPr>
        <w:t xml:space="preserve"> </w:t>
      </w:r>
      <w:r>
        <w:rPr>
          <w:rFonts w:ascii="宋体" w:hAnsi="宋体" w:eastAsia="宋体" w:cs="宋体"/>
          <w:spacing w:val="-10"/>
          <w:sz w:val="24"/>
          <w:szCs w:val="24"/>
        </w:rPr>
        <w:t>其适应能力也较强，不至于消失；</w:t>
      </w:r>
      <w:r>
        <w:rPr>
          <w:rFonts w:ascii="宋体" w:hAnsi="宋体" w:eastAsia="宋体" w:cs="宋体"/>
          <w:spacing w:val="44"/>
          <w:sz w:val="24"/>
          <w:szCs w:val="24"/>
        </w:rPr>
        <w:t xml:space="preserve"> </w:t>
      </w:r>
      <w:r>
        <w:rPr>
          <w:rFonts w:ascii="宋体" w:hAnsi="宋体" w:eastAsia="宋体" w:cs="宋体"/>
          <w:spacing w:val="-10"/>
          <w:sz w:val="24"/>
          <w:szCs w:val="24"/>
        </w:rPr>
        <w:t>在库区建设</w:t>
      </w:r>
      <w:r>
        <w:rPr>
          <w:rFonts w:ascii="宋体" w:hAnsi="宋体" w:eastAsia="宋体" w:cs="宋体"/>
          <w:sz w:val="24"/>
          <w:szCs w:val="24"/>
        </w:rPr>
        <w:t xml:space="preserve"> </w:t>
      </w:r>
      <w:r>
        <w:rPr>
          <w:rFonts w:ascii="宋体" w:hAnsi="宋体" w:eastAsia="宋体" w:cs="宋体"/>
          <w:spacing w:val="-10"/>
          <w:sz w:val="24"/>
          <w:szCs w:val="24"/>
        </w:rPr>
        <w:t>过程， 虽然有施工活动如淹没区的林木砍伐、移</w:t>
      </w:r>
      <w:r>
        <w:rPr>
          <w:rFonts w:ascii="宋体" w:hAnsi="宋体" w:eastAsia="宋体" w:cs="宋体"/>
          <w:spacing w:val="-11"/>
          <w:sz w:val="24"/>
          <w:szCs w:val="24"/>
        </w:rPr>
        <w:t>栽等，</w:t>
      </w:r>
      <w:r>
        <w:rPr>
          <w:rFonts w:ascii="宋体" w:hAnsi="宋体" w:eastAsia="宋体" w:cs="宋体"/>
          <w:spacing w:val="29"/>
          <w:sz w:val="24"/>
          <w:szCs w:val="24"/>
        </w:rPr>
        <w:t xml:space="preserve"> </w:t>
      </w:r>
      <w:r>
        <w:rPr>
          <w:rFonts w:ascii="宋体" w:hAnsi="宋体" w:eastAsia="宋体" w:cs="宋体"/>
          <w:spacing w:val="-11"/>
          <w:sz w:val="24"/>
          <w:szCs w:val="24"/>
        </w:rPr>
        <w:t>对原有河道基本不进行清</w:t>
      </w:r>
      <w:r>
        <w:rPr>
          <w:rFonts w:ascii="宋体" w:hAnsi="宋体" w:eastAsia="宋体" w:cs="宋体"/>
          <w:sz w:val="24"/>
          <w:szCs w:val="24"/>
        </w:rPr>
        <w:t xml:space="preserve"> </w:t>
      </w:r>
      <w:r>
        <w:rPr>
          <w:rFonts w:ascii="宋体" w:hAnsi="宋体" w:eastAsia="宋体" w:cs="宋体"/>
          <w:spacing w:val="-8"/>
          <w:sz w:val="24"/>
          <w:szCs w:val="24"/>
        </w:rPr>
        <w:t>理，</w:t>
      </w:r>
      <w:r>
        <w:rPr>
          <w:rFonts w:ascii="宋体" w:hAnsi="宋体" w:eastAsia="宋体" w:cs="宋体"/>
          <w:spacing w:val="-57"/>
          <w:sz w:val="24"/>
          <w:szCs w:val="24"/>
        </w:rPr>
        <w:t xml:space="preserve"> </w:t>
      </w:r>
      <w:r>
        <w:rPr>
          <w:rFonts w:ascii="宋体" w:hAnsi="宋体" w:eastAsia="宋体" w:cs="宋体"/>
          <w:spacing w:val="-8"/>
          <w:sz w:val="24"/>
          <w:szCs w:val="24"/>
        </w:rPr>
        <w:t>因此对水文基本没有影响， 但施工产生的噪声会对影响评价区河流的鱼类产</w:t>
      </w:r>
    </w:p>
    <w:p>
      <w:pPr>
        <w:spacing w:line="219" w:lineRule="auto"/>
        <w:ind w:left="41"/>
        <w:rPr>
          <w:rFonts w:ascii="宋体" w:hAnsi="宋体" w:eastAsia="宋体" w:cs="宋体"/>
          <w:sz w:val="24"/>
          <w:szCs w:val="24"/>
        </w:rPr>
      </w:pPr>
      <w:r>
        <w:rPr>
          <w:rFonts w:ascii="宋体" w:hAnsi="宋体" w:eastAsia="宋体" w:cs="宋体"/>
          <w:spacing w:val="-7"/>
          <w:sz w:val="24"/>
          <w:szCs w:val="24"/>
        </w:rPr>
        <w:t>生轻微影响。</w:t>
      </w:r>
    </w:p>
    <w:p>
      <w:pPr>
        <w:spacing w:before="181" w:line="359" w:lineRule="auto"/>
        <w:ind w:left="39" w:right="67" w:firstLine="479"/>
        <w:rPr>
          <w:rFonts w:ascii="宋体" w:hAnsi="宋体" w:eastAsia="宋体" w:cs="宋体"/>
          <w:sz w:val="24"/>
          <w:szCs w:val="24"/>
        </w:rPr>
      </w:pPr>
      <w:r>
        <w:rPr>
          <w:rFonts w:ascii="宋体" w:hAnsi="宋体" w:eastAsia="宋体" w:cs="宋体"/>
          <w:spacing w:val="-3"/>
          <w:sz w:val="24"/>
          <w:szCs w:val="24"/>
        </w:rPr>
        <w:t>河流水质改变对鱼类的影响、水流流态改变对鱼类的影响、阻断栖</w:t>
      </w:r>
      <w:r>
        <w:rPr>
          <w:rFonts w:ascii="宋体" w:hAnsi="宋体" w:eastAsia="宋体" w:cs="宋体"/>
          <w:spacing w:val="-4"/>
          <w:sz w:val="24"/>
          <w:szCs w:val="24"/>
        </w:rPr>
        <w:t>息地对鱼</w:t>
      </w:r>
      <w:r>
        <w:rPr>
          <w:rFonts w:ascii="宋体" w:hAnsi="宋体" w:eastAsia="宋体" w:cs="宋体"/>
          <w:sz w:val="24"/>
          <w:szCs w:val="24"/>
        </w:rPr>
        <w:t xml:space="preserve"> </w:t>
      </w:r>
      <w:r>
        <w:rPr>
          <w:rFonts w:ascii="宋体" w:hAnsi="宋体" w:eastAsia="宋体" w:cs="宋体"/>
          <w:spacing w:val="-3"/>
          <w:sz w:val="24"/>
          <w:szCs w:val="24"/>
        </w:rPr>
        <w:t>类的影响、河床底质改变对鱼类的影响、河段地形改变对鱼类的影响和对鱼类产</w:t>
      </w:r>
      <w:r>
        <w:rPr>
          <w:rFonts w:ascii="宋体" w:hAnsi="宋体" w:eastAsia="宋体" w:cs="宋体"/>
          <w:spacing w:val="1"/>
          <w:sz w:val="24"/>
          <w:szCs w:val="24"/>
        </w:rPr>
        <w:t xml:space="preserve"> </w:t>
      </w:r>
      <w:r>
        <w:rPr>
          <w:rFonts w:ascii="宋体" w:hAnsi="宋体" w:eastAsia="宋体" w:cs="宋体"/>
          <w:spacing w:val="-6"/>
          <w:sz w:val="24"/>
          <w:szCs w:val="24"/>
        </w:rPr>
        <w:t xml:space="preserve">卵场的影响等对鱼类繁殖、觅食和越冬具有一定的不利影响， </w:t>
      </w:r>
      <w:r>
        <w:rPr>
          <w:rFonts w:ascii="宋体" w:hAnsi="宋体" w:eastAsia="宋体" w:cs="宋体"/>
          <w:spacing w:val="-7"/>
          <w:sz w:val="24"/>
          <w:szCs w:val="24"/>
        </w:rPr>
        <w:t>但都是短期的和有</w:t>
      </w:r>
    </w:p>
    <w:p>
      <w:pPr>
        <w:spacing w:line="219" w:lineRule="auto"/>
        <w:ind w:left="56"/>
        <w:rPr>
          <w:rFonts w:ascii="宋体" w:hAnsi="宋体" w:eastAsia="宋体" w:cs="宋体"/>
          <w:sz w:val="24"/>
          <w:szCs w:val="24"/>
        </w:rPr>
      </w:pPr>
      <w:r>
        <w:rPr>
          <w:rFonts w:ascii="宋体" w:hAnsi="宋体" w:eastAsia="宋体" w:cs="宋体"/>
          <w:spacing w:val="-2"/>
          <w:sz w:val="24"/>
          <w:szCs w:val="24"/>
        </w:rPr>
        <w:t>限的，因此水库建设在施工的一个年周期之内对鱼类有一定程度的影响。</w:t>
      </w:r>
    </w:p>
    <w:p>
      <w:pPr>
        <w:spacing w:before="183" w:line="217" w:lineRule="auto"/>
        <w:ind w:left="517"/>
        <w:rPr>
          <w:rFonts w:ascii="宋体" w:hAnsi="宋体" w:eastAsia="宋体" w:cs="宋体"/>
          <w:sz w:val="24"/>
          <w:szCs w:val="24"/>
        </w:rPr>
      </w:pPr>
      <w:r>
        <w:rPr>
          <w:rFonts w:ascii="宋体" w:hAnsi="宋体" w:eastAsia="宋体" w:cs="宋体"/>
          <w:spacing w:val="-2"/>
          <w:sz w:val="24"/>
          <w:szCs w:val="24"/>
        </w:rPr>
        <w:t>②运行期影响</w:t>
      </w:r>
    </w:p>
    <w:p>
      <w:pPr>
        <w:spacing w:before="185"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对水库库区及上游河段鱼类的影响</w:t>
      </w:r>
    </w:p>
    <w:p>
      <w:pPr>
        <w:spacing w:before="164" w:line="359" w:lineRule="auto"/>
        <w:ind w:left="40" w:right="67" w:firstLine="481"/>
        <w:rPr>
          <w:rFonts w:ascii="宋体" w:hAnsi="宋体" w:eastAsia="宋体" w:cs="宋体"/>
          <w:sz w:val="24"/>
          <w:szCs w:val="24"/>
        </w:rPr>
      </w:pPr>
      <w:r>
        <w:rPr>
          <w:rFonts w:ascii="宋体" w:hAnsi="宋体" w:eastAsia="宋体" w:cs="宋体"/>
          <w:spacing w:val="-16"/>
          <w:sz w:val="24"/>
          <w:szCs w:val="24"/>
        </w:rPr>
        <w:t>水库建成蓄水后，</w:t>
      </w:r>
      <w:r>
        <w:rPr>
          <w:rFonts w:ascii="宋体" w:hAnsi="宋体" w:eastAsia="宋体" w:cs="宋体"/>
          <w:spacing w:val="38"/>
          <w:sz w:val="24"/>
          <w:szCs w:val="24"/>
        </w:rPr>
        <w:t xml:space="preserve"> </w:t>
      </w:r>
      <w:r>
        <w:rPr>
          <w:rFonts w:ascii="宋体" w:hAnsi="宋体" w:eastAsia="宋体" w:cs="宋体"/>
          <w:spacing w:val="-16"/>
          <w:sz w:val="24"/>
          <w:szCs w:val="24"/>
        </w:rPr>
        <w:t>库区的水体加深、加宽，</w:t>
      </w:r>
      <w:r>
        <w:rPr>
          <w:rFonts w:ascii="宋体" w:hAnsi="宋体" w:eastAsia="宋体" w:cs="宋体"/>
          <w:spacing w:val="40"/>
          <w:sz w:val="24"/>
          <w:szCs w:val="24"/>
        </w:rPr>
        <w:t xml:space="preserve"> </w:t>
      </w:r>
      <w:r>
        <w:rPr>
          <w:rFonts w:ascii="宋体" w:hAnsi="宋体" w:eastAsia="宋体" w:cs="宋体"/>
          <w:spacing w:val="-16"/>
          <w:sz w:val="24"/>
          <w:szCs w:val="24"/>
        </w:rPr>
        <w:t>水流缓慢， 改变了原来急</w:t>
      </w:r>
      <w:r>
        <w:rPr>
          <w:rFonts w:ascii="宋体" w:hAnsi="宋体" w:eastAsia="宋体" w:cs="宋体"/>
          <w:spacing w:val="-17"/>
          <w:sz w:val="24"/>
          <w:szCs w:val="24"/>
        </w:rPr>
        <w:t>流的特</w:t>
      </w:r>
      <w:r>
        <w:rPr>
          <w:rFonts w:ascii="宋体" w:hAnsi="宋体" w:eastAsia="宋体" w:cs="宋体"/>
          <w:sz w:val="24"/>
          <w:szCs w:val="24"/>
        </w:rPr>
        <w:t xml:space="preserve"> </w:t>
      </w:r>
      <w:r>
        <w:rPr>
          <w:rFonts w:ascii="宋体" w:hAnsi="宋体" w:eastAsia="宋体" w:cs="宋体"/>
          <w:spacing w:val="-12"/>
          <w:sz w:val="24"/>
          <w:szCs w:val="24"/>
        </w:rPr>
        <w:t>点。这些水文的改变，</w:t>
      </w:r>
      <w:r>
        <w:rPr>
          <w:rFonts w:ascii="宋体" w:hAnsi="宋体" w:eastAsia="宋体" w:cs="宋体"/>
          <w:spacing w:val="44"/>
          <w:sz w:val="24"/>
          <w:szCs w:val="24"/>
        </w:rPr>
        <w:t xml:space="preserve"> </w:t>
      </w:r>
      <w:r>
        <w:rPr>
          <w:rFonts w:ascii="宋体" w:hAnsi="宋体" w:eastAsia="宋体" w:cs="宋体"/>
          <w:spacing w:val="-12"/>
          <w:sz w:val="24"/>
          <w:szCs w:val="24"/>
        </w:rPr>
        <w:t>鱼类种类组成也将发生明显变化，</w:t>
      </w:r>
      <w:r>
        <w:rPr>
          <w:rFonts w:ascii="宋体" w:hAnsi="宋体" w:eastAsia="宋体" w:cs="宋体"/>
          <w:spacing w:val="31"/>
          <w:sz w:val="24"/>
          <w:szCs w:val="24"/>
        </w:rPr>
        <w:t xml:space="preserve"> </w:t>
      </w:r>
      <w:r>
        <w:rPr>
          <w:rFonts w:ascii="宋体" w:hAnsi="宋体" w:eastAsia="宋体" w:cs="宋体"/>
          <w:spacing w:val="-12"/>
          <w:sz w:val="24"/>
          <w:szCs w:val="24"/>
        </w:rPr>
        <w:t>使原来适应于在急流环</w:t>
      </w:r>
      <w:r>
        <w:rPr>
          <w:rFonts w:ascii="宋体" w:hAnsi="宋体" w:eastAsia="宋体" w:cs="宋体"/>
          <w:sz w:val="24"/>
          <w:szCs w:val="24"/>
        </w:rPr>
        <w:t xml:space="preserve"> </w:t>
      </w:r>
      <w:r>
        <w:rPr>
          <w:rFonts w:ascii="宋体" w:hAnsi="宋体" w:eastAsia="宋体" w:cs="宋体"/>
          <w:spacing w:val="-7"/>
          <w:sz w:val="24"/>
          <w:szCs w:val="24"/>
        </w:rPr>
        <w:t>境中栖息的鱼类如横纹南鳅、食蚊鱼和马口鱼，</w:t>
      </w:r>
      <w:r>
        <w:rPr>
          <w:rFonts w:ascii="宋体" w:hAnsi="宋体" w:eastAsia="宋体" w:cs="宋体"/>
          <w:spacing w:val="28"/>
          <w:sz w:val="24"/>
          <w:szCs w:val="24"/>
        </w:rPr>
        <w:t xml:space="preserve"> </w:t>
      </w:r>
      <w:r>
        <w:rPr>
          <w:rFonts w:ascii="宋体" w:hAnsi="宋体" w:eastAsia="宋体" w:cs="宋体"/>
          <w:spacing w:val="-7"/>
          <w:sz w:val="24"/>
          <w:szCs w:val="24"/>
        </w:rPr>
        <w:t>将由于适生环</w:t>
      </w:r>
      <w:r>
        <w:rPr>
          <w:rFonts w:ascii="宋体" w:hAnsi="宋体" w:eastAsia="宋体" w:cs="宋体"/>
          <w:spacing w:val="-8"/>
          <w:sz w:val="24"/>
          <w:szCs w:val="24"/>
        </w:rPr>
        <w:t>境缩小而减少。而</w:t>
      </w:r>
      <w:r>
        <w:rPr>
          <w:rFonts w:ascii="宋体" w:hAnsi="宋体" w:eastAsia="宋体" w:cs="宋体"/>
          <w:sz w:val="24"/>
          <w:szCs w:val="24"/>
        </w:rPr>
        <w:t xml:space="preserve"> </w:t>
      </w:r>
      <w:r>
        <w:rPr>
          <w:rFonts w:ascii="宋体" w:hAnsi="宋体" w:eastAsia="宋体" w:cs="宋体"/>
          <w:spacing w:val="-3"/>
          <w:sz w:val="24"/>
          <w:szCs w:val="24"/>
        </w:rPr>
        <w:t>一些适应于缓流或静水鱼类如泥鳅、麦穗鱼、子陵吻鰕虎鱼、鲫等将易于在库区</w:t>
      </w:r>
    </w:p>
    <w:p>
      <w:pPr>
        <w:spacing w:before="1" w:line="218" w:lineRule="auto"/>
        <w:ind w:left="39"/>
        <w:rPr>
          <w:rFonts w:ascii="宋体" w:hAnsi="宋体" w:eastAsia="宋体" w:cs="宋体"/>
          <w:sz w:val="24"/>
          <w:szCs w:val="24"/>
        </w:rPr>
      </w:pPr>
      <w:r>
        <w:rPr>
          <w:rFonts w:ascii="宋体" w:hAnsi="宋体" w:eastAsia="宋体" w:cs="宋体"/>
          <w:spacing w:val="-3"/>
          <w:sz w:val="24"/>
          <w:szCs w:val="24"/>
        </w:rPr>
        <w:t>迅速繁衍扩散开来，种群数量会逐渐增加。</w:t>
      </w:r>
    </w:p>
    <w:p>
      <w:pPr>
        <w:spacing w:before="183" w:line="359" w:lineRule="auto"/>
        <w:ind w:left="40" w:firstLine="478"/>
        <w:rPr>
          <w:rFonts w:ascii="宋体" w:hAnsi="宋体" w:eastAsia="宋体" w:cs="宋体"/>
          <w:sz w:val="24"/>
          <w:szCs w:val="24"/>
        </w:rPr>
      </w:pPr>
      <w:r>
        <w:rPr>
          <w:rFonts w:ascii="宋体" w:hAnsi="宋体" w:eastAsia="宋体" w:cs="宋体"/>
          <w:spacing w:val="4"/>
          <w:sz w:val="24"/>
          <w:szCs w:val="24"/>
        </w:rPr>
        <w:t>在库区回水末端变动回水区以及回水末端以上的桂花河干流上游河道内具</w:t>
      </w:r>
      <w:r>
        <w:rPr>
          <w:rFonts w:ascii="宋体" w:hAnsi="宋体" w:eastAsia="宋体" w:cs="宋体"/>
          <w:spacing w:val="10"/>
          <w:sz w:val="24"/>
          <w:szCs w:val="24"/>
        </w:rPr>
        <w:t xml:space="preserve"> </w:t>
      </w:r>
      <w:r>
        <w:rPr>
          <w:rFonts w:ascii="宋体" w:hAnsi="宋体" w:eastAsia="宋体" w:cs="宋体"/>
          <w:spacing w:val="-10"/>
          <w:sz w:val="24"/>
          <w:szCs w:val="24"/>
        </w:rPr>
        <w:t>备急流生境条件，</w:t>
      </w:r>
      <w:r>
        <w:rPr>
          <w:rFonts w:ascii="宋体" w:hAnsi="宋体" w:eastAsia="宋体" w:cs="宋体"/>
          <w:spacing w:val="28"/>
          <w:sz w:val="24"/>
          <w:szCs w:val="24"/>
        </w:rPr>
        <w:t xml:space="preserve"> </w:t>
      </w:r>
      <w:r>
        <w:rPr>
          <w:rFonts w:ascii="宋体" w:hAnsi="宋体" w:eastAsia="宋体" w:cs="宋体"/>
          <w:spacing w:val="-10"/>
          <w:sz w:val="24"/>
          <w:szCs w:val="24"/>
        </w:rPr>
        <w:t xml:space="preserve">随着库区环境保护力度的增大， </w:t>
      </w:r>
      <w:r>
        <w:rPr>
          <w:rFonts w:ascii="宋体" w:hAnsi="宋体" w:eastAsia="宋体" w:cs="宋体"/>
          <w:spacing w:val="-11"/>
          <w:sz w:val="24"/>
          <w:szCs w:val="24"/>
        </w:rPr>
        <w:t>这些上游河道将成为良好的流</w:t>
      </w:r>
      <w:r>
        <w:rPr>
          <w:rFonts w:ascii="宋体" w:hAnsi="宋体" w:eastAsia="宋体" w:cs="宋体"/>
          <w:sz w:val="24"/>
          <w:szCs w:val="24"/>
        </w:rPr>
        <w:t xml:space="preserve"> </w:t>
      </w:r>
      <w:r>
        <w:rPr>
          <w:rFonts w:ascii="宋体" w:hAnsi="宋体" w:eastAsia="宋体" w:cs="宋体"/>
          <w:spacing w:val="-17"/>
          <w:sz w:val="24"/>
          <w:szCs w:val="24"/>
        </w:rPr>
        <w:t>水鱼类生境，</w:t>
      </w:r>
      <w:r>
        <w:rPr>
          <w:rFonts w:ascii="宋体" w:hAnsi="宋体" w:eastAsia="宋体" w:cs="宋体"/>
          <w:spacing w:val="-51"/>
          <w:sz w:val="24"/>
          <w:szCs w:val="24"/>
        </w:rPr>
        <w:t xml:space="preserve"> </w:t>
      </w:r>
      <w:r>
        <w:rPr>
          <w:rFonts w:ascii="宋体" w:hAnsi="宋体" w:eastAsia="宋体" w:cs="宋体"/>
          <w:spacing w:val="-17"/>
          <w:sz w:val="24"/>
          <w:szCs w:val="24"/>
        </w:rPr>
        <w:t>加上库区深水水体的存在，</w:t>
      </w:r>
      <w:r>
        <w:rPr>
          <w:rFonts w:ascii="宋体" w:hAnsi="宋体" w:eastAsia="宋体" w:cs="宋体"/>
          <w:spacing w:val="-52"/>
          <w:sz w:val="24"/>
          <w:szCs w:val="24"/>
        </w:rPr>
        <w:t xml:space="preserve"> </w:t>
      </w:r>
      <w:r>
        <w:rPr>
          <w:rFonts w:ascii="宋体" w:hAnsi="宋体" w:eastAsia="宋体" w:cs="宋体"/>
          <w:spacing w:val="-17"/>
          <w:sz w:val="24"/>
          <w:szCs w:val="24"/>
        </w:rPr>
        <w:t>将为许多鱼类提供</w:t>
      </w:r>
      <w:r>
        <w:rPr>
          <w:rFonts w:ascii="宋体" w:hAnsi="宋体" w:eastAsia="宋体" w:cs="宋体"/>
          <w:spacing w:val="-18"/>
          <w:sz w:val="24"/>
          <w:szCs w:val="24"/>
        </w:rPr>
        <w:t>良好的越冬场，</w:t>
      </w:r>
      <w:r>
        <w:rPr>
          <w:rFonts w:ascii="宋体" w:hAnsi="宋体" w:eastAsia="宋体" w:cs="宋体"/>
          <w:spacing w:val="-32"/>
          <w:sz w:val="24"/>
          <w:szCs w:val="24"/>
        </w:rPr>
        <w:t xml:space="preserve"> </w:t>
      </w:r>
      <w:r>
        <w:rPr>
          <w:rFonts w:ascii="宋体" w:hAnsi="宋体" w:eastAsia="宋体" w:cs="宋体"/>
          <w:spacing w:val="-18"/>
          <w:sz w:val="24"/>
          <w:szCs w:val="24"/>
        </w:rPr>
        <w:t>因此，</w:t>
      </w:r>
      <w:r>
        <w:rPr>
          <w:rFonts w:ascii="宋体" w:hAnsi="宋体" w:eastAsia="宋体" w:cs="宋体"/>
          <w:sz w:val="24"/>
          <w:szCs w:val="24"/>
        </w:rPr>
        <w:t xml:space="preserve">  </w:t>
      </w:r>
      <w:r>
        <w:rPr>
          <w:rFonts w:ascii="宋体" w:hAnsi="宋体" w:eastAsia="宋体" w:cs="宋体"/>
          <w:spacing w:val="-3"/>
          <w:sz w:val="24"/>
          <w:szCs w:val="24"/>
        </w:rPr>
        <w:t>喜急流、砾石底质的鱼类将迁移至库区回水变动区及以上的干流河道。桂花河流</w:t>
      </w:r>
      <w:r>
        <w:rPr>
          <w:rFonts w:ascii="宋体" w:hAnsi="宋体" w:eastAsia="宋体" w:cs="宋体"/>
          <w:sz w:val="24"/>
          <w:szCs w:val="24"/>
        </w:rPr>
        <w:t xml:space="preserve"> </w:t>
      </w:r>
      <w:r>
        <w:rPr>
          <w:rFonts w:ascii="宋体" w:hAnsi="宋体" w:eastAsia="宋体" w:cs="宋体"/>
          <w:spacing w:val="-10"/>
          <w:sz w:val="24"/>
          <w:szCs w:val="24"/>
        </w:rPr>
        <w:t>域内鱼类物种数量仍将能得以维持。值得指出的是，</w:t>
      </w:r>
      <w:r>
        <w:rPr>
          <w:rFonts w:ascii="宋体" w:hAnsi="宋体" w:eastAsia="宋体" w:cs="宋体"/>
          <w:spacing w:val="-37"/>
          <w:sz w:val="24"/>
          <w:szCs w:val="24"/>
        </w:rPr>
        <w:t xml:space="preserve"> </w:t>
      </w:r>
      <w:r>
        <w:rPr>
          <w:rFonts w:ascii="宋体" w:hAnsi="宋体" w:eastAsia="宋体" w:cs="宋体"/>
          <w:spacing w:val="-10"/>
          <w:sz w:val="24"/>
          <w:szCs w:val="24"/>
        </w:rPr>
        <w:t>在桂花水库库区回水变动区，</w:t>
      </w:r>
      <w:r>
        <w:rPr>
          <w:rFonts w:ascii="宋体" w:hAnsi="宋体" w:eastAsia="宋体" w:cs="宋体"/>
          <w:sz w:val="24"/>
          <w:szCs w:val="24"/>
        </w:rPr>
        <w:t xml:space="preserve"> </w:t>
      </w:r>
      <w:r>
        <w:rPr>
          <w:rFonts w:ascii="宋体" w:hAnsi="宋体" w:eastAsia="宋体" w:cs="宋体"/>
          <w:spacing w:val="-6"/>
          <w:sz w:val="24"/>
          <w:szCs w:val="24"/>
        </w:rPr>
        <w:t>有可能形成一片范围较大的、水生生物群落结构完整的湿地，</w:t>
      </w:r>
      <w:r>
        <w:rPr>
          <w:rFonts w:ascii="宋体" w:hAnsi="宋体" w:eastAsia="宋体" w:cs="宋体"/>
          <w:spacing w:val="-7"/>
          <w:sz w:val="24"/>
          <w:szCs w:val="24"/>
        </w:rPr>
        <w:t xml:space="preserve"> 在水库的运行管理</w:t>
      </w:r>
      <w:r>
        <w:rPr>
          <w:rFonts w:ascii="宋体" w:hAnsi="宋体" w:eastAsia="宋体" w:cs="宋体"/>
          <w:sz w:val="24"/>
          <w:szCs w:val="24"/>
        </w:rPr>
        <w:t xml:space="preserve"> </w:t>
      </w:r>
      <w:r>
        <w:rPr>
          <w:rFonts w:ascii="宋体" w:hAnsi="宋体" w:eastAsia="宋体" w:cs="宋体"/>
          <w:spacing w:val="-3"/>
          <w:sz w:val="24"/>
          <w:szCs w:val="24"/>
        </w:rPr>
        <w:t>中逐一加以保护，将其与回水末端以上的桂花河干流河道作为鱼类繁衍的重点水</w:t>
      </w:r>
    </w:p>
    <w:p>
      <w:pPr>
        <w:spacing w:before="1" w:line="220" w:lineRule="auto"/>
        <w:ind w:left="40"/>
        <w:rPr>
          <w:rFonts w:ascii="宋体" w:hAnsi="宋体" w:eastAsia="宋体" w:cs="宋体"/>
          <w:sz w:val="24"/>
          <w:szCs w:val="24"/>
        </w:rPr>
      </w:pPr>
      <w:r>
        <w:rPr>
          <w:rFonts w:ascii="宋体" w:hAnsi="宋体" w:eastAsia="宋体" w:cs="宋体"/>
          <w:spacing w:val="-3"/>
          <w:sz w:val="24"/>
          <w:szCs w:val="24"/>
        </w:rPr>
        <w:t>域之一。</w:t>
      </w:r>
    </w:p>
    <w:p>
      <w:pPr>
        <w:spacing w:before="181"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库区水温变化对鱼类的影响</w:t>
      </w:r>
    </w:p>
    <w:p>
      <w:pPr>
        <w:spacing w:before="165" w:line="359" w:lineRule="auto"/>
        <w:ind w:left="38" w:right="67" w:firstLine="482"/>
        <w:rPr>
          <w:rFonts w:ascii="宋体" w:hAnsi="宋体" w:eastAsia="宋体" w:cs="宋体"/>
          <w:sz w:val="24"/>
          <w:szCs w:val="24"/>
        </w:rPr>
      </w:pPr>
      <w:r>
        <w:rPr>
          <w:rFonts w:ascii="宋体" w:hAnsi="宋体" w:eastAsia="宋体" w:cs="宋体"/>
          <w:spacing w:val="-2"/>
          <w:sz w:val="24"/>
          <w:szCs w:val="24"/>
        </w:rPr>
        <w:t>桂花水库坝高</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93.1m</w:t>
      </w:r>
      <w:r>
        <w:rPr>
          <w:rFonts w:ascii="宋体" w:hAnsi="宋体" w:eastAsia="宋体" w:cs="宋体"/>
          <w:spacing w:val="-2"/>
          <w:sz w:val="24"/>
          <w:szCs w:val="24"/>
        </w:rPr>
        <w:t>，蓄水后将出现水温分层现象。水温是鱼类生存环境中</w:t>
      </w:r>
      <w:r>
        <w:rPr>
          <w:rFonts w:ascii="宋体" w:hAnsi="宋体" w:eastAsia="宋体" w:cs="宋体"/>
          <w:sz w:val="24"/>
          <w:szCs w:val="24"/>
        </w:rPr>
        <w:t xml:space="preserve"> </w:t>
      </w:r>
      <w:r>
        <w:rPr>
          <w:rFonts w:ascii="宋体" w:hAnsi="宋体" w:eastAsia="宋体" w:cs="宋体"/>
          <w:spacing w:val="-13"/>
          <w:sz w:val="24"/>
          <w:szCs w:val="24"/>
        </w:rPr>
        <w:t>的一大要素，</w:t>
      </w:r>
      <w:r>
        <w:rPr>
          <w:rFonts w:ascii="宋体" w:hAnsi="宋体" w:eastAsia="宋体" w:cs="宋体"/>
          <w:spacing w:val="-29"/>
          <w:sz w:val="24"/>
          <w:szCs w:val="24"/>
        </w:rPr>
        <w:t xml:space="preserve"> </w:t>
      </w:r>
      <w:r>
        <w:rPr>
          <w:rFonts w:ascii="宋体" w:hAnsi="宋体" w:eastAsia="宋体" w:cs="宋体"/>
          <w:spacing w:val="-13"/>
          <w:sz w:val="24"/>
          <w:szCs w:val="24"/>
        </w:rPr>
        <w:t>对鱼类的生长、发育、繁殖、分布、产量、免疫等均有重要的影响。</w:t>
      </w:r>
      <w:r>
        <w:rPr>
          <w:rFonts w:ascii="宋体" w:hAnsi="宋体" w:eastAsia="宋体" w:cs="宋体"/>
          <w:sz w:val="24"/>
          <w:szCs w:val="24"/>
        </w:rPr>
        <w:t xml:space="preserve"> </w:t>
      </w:r>
      <w:r>
        <w:rPr>
          <w:rFonts w:ascii="宋体" w:hAnsi="宋体" w:eastAsia="宋体" w:cs="宋体"/>
          <w:spacing w:val="-9"/>
          <w:sz w:val="24"/>
          <w:szCs w:val="24"/>
        </w:rPr>
        <w:t>在鱼类的适宜温度范围内， 增温可促进鱼类的摄食生长和鱼</w:t>
      </w:r>
      <w:r>
        <w:rPr>
          <w:rFonts w:ascii="宋体" w:hAnsi="宋体" w:eastAsia="宋体" w:cs="宋体"/>
          <w:spacing w:val="-10"/>
          <w:sz w:val="24"/>
          <w:szCs w:val="24"/>
        </w:rPr>
        <w:t>产量上升， 使鱼类性</w:t>
      </w:r>
      <w:r>
        <w:rPr>
          <w:rFonts w:ascii="宋体" w:hAnsi="宋体" w:eastAsia="宋体" w:cs="宋体"/>
          <w:sz w:val="24"/>
          <w:szCs w:val="24"/>
        </w:rPr>
        <w:t xml:space="preserve"> </w:t>
      </w:r>
      <w:r>
        <w:rPr>
          <w:rFonts w:ascii="宋体" w:hAnsi="宋体" w:eastAsia="宋体" w:cs="宋体"/>
          <w:spacing w:val="-12"/>
          <w:sz w:val="24"/>
          <w:szCs w:val="24"/>
        </w:rPr>
        <w:t>腺发育和产卵时间提前，</w:t>
      </w:r>
      <w:r>
        <w:rPr>
          <w:rFonts w:ascii="宋体" w:hAnsi="宋体" w:eastAsia="宋体" w:cs="宋体"/>
          <w:spacing w:val="44"/>
          <w:sz w:val="24"/>
          <w:szCs w:val="24"/>
        </w:rPr>
        <w:t xml:space="preserve"> </w:t>
      </w:r>
      <w:r>
        <w:rPr>
          <w:rFonts w:ascii="宋体" w:hAnsi="宋体" w:eastAsia="宋体" w:cs="宋体"/>
          <w:spacing w:val="-12"/>
          <w:sz w:val="24"/>
          <w:szCs w:val="24"/>
        </w:rPr>
        <w:t>缩短胚胎发育所需时间等。鱼类又是一种变温动物，</w:t>
      </w:r>
      <w:r>
        <w:rPr>
          <w:rFonts w:ascii="宋体" w:hAnsi="宋体" w:eastAsia="宋体" w:cs="宋体"/>
          <w:spacing w:val="32"/>
          <w:sz w:val="24"/>
          <w:szCs w:val="24"/>
        </w:rPr>
        <w:t xml:space="preserve"> </w:t>
      </w:r>
      <w:r>
        <w:rPr>
          <w:rFonts w:ascii="宋体" w:hAnsi="宋体" w:eastAsia="宋体" w:cs="宋体"/>
          <w:spacing w:val="-12"/>
          <w:sz w:val="24"/>
          <w:szCs w:val="24"/>
        </w:rPr>
        <w:t>水</w:t>
      </w:r>
      <w:r>
        <w:rPr>
          <w:rFonts w:ascii="宋体" w:hAnsi="宋体" w:eastAsia="宋体" w:cs="宋体"/>
          <w:sz w:val="24"/>
          <w:szCs w:val="24"/>
        </w:rPr>
        <w:t xml:space="preserve"> </w:t>
      </w:r>
      <w:r>
        <w:rPr>
          <w:rFonts w:ascii="宋体" w:hAnsi="宋体" w:eastAsia="宋体" w:cs="宋体"/>
          <w:spacing w:val="-5"/>
          <w:sz w:val="24"/>
          <w:szCs w:val="24"/>
        </w:rPr>
        <w:t>温在短时间内骤变</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3</w:t>
      </w:r>
      <w:r>
        <w:rPr>
          <w:rFonts w:ascii="宋体" w:hAnsi="宋体" w:eastAsia="宋体" w:cs="宋体"/>
          <w:spacing w:val="-5"/>
          <w:sz w:val="24"/>
          <w:szCs w:val="24"/>
        </w:rPr>
        <w:t>℃以上， 有可能造成鱼类生活不适或完成生命周期不畅的危</w:t>
      </w:r>
    </w:p>
    <w:p>
      <w:pPr>
        <w:spacing w:before="1" w:line="219" w:lineRule="auto"/>
        <w:ind w:left="52"/>
        <w:rPr>
          <w:rFonts w:ascii="宋体" w:hAnsi="宋体" w:eastAsia="宋体" w:cs="宋体"/>
          <w:sz w:val="24"/>
          <w:szCs w:val="24"/>
        </w:rPr>
      </w:pPr>
      <w:r>
        <w:rPr>
          <w:rFonts w:ascii="宋体" w:hAnsi="宋体" w:eastAsia="宋体" w:cs="宋体"/>
          <w:spacing w:val="-12"/>
          <w:sz w:val="24"/>
          <w:szCs w:val="24"/>
        </w:rPr>
        <w:t>险。如果水温变化为渐变，</w:t>
      </w:r>
      <w:r>
        <w:rPr>
          <w:rFonts w:ascii="宋体" w:hAnsi="宋体" w:eastAsia="宋体" w:cs="宋体"/>
          <w:spacing w:val="35"/>
          <w:sz w:val="24"/>
          <w:szCs w:val="24"/>
        </w:rPr>
        <w:t xml:space="preserve"> </w:t>
      </w:r>
      <w:r>
        <w:rPr>
          <w:rFonts w:ascii="宋体" w:hAnsi="宋体" w:eastAsia="宋体" w:cs="宋体"/>
          <w:spacing w:val="-12"/>
          <w:sz w:val="24"/>
          <w:szCs w:val="24"/>
        </w:rPr>
        <w:t>则多数鱼类都有适应的可能，</w:t>
      </w:r>
      <w:r>
        <w:rPr>
          <w:rFonts w:ascii="宋体" w:hAnsi="宋体" w:eastAsia="宋体" w:cs="宋体"/>
          <w:spacing w:val="28"/>
          <w:sz w:val="24"/>
          <w:szCs w:val="24"/>
        </w:rPr>
        <w:t xml:space="preserve"> </w:t>
      </w:r>
      <w:r>
        <w:rPr>
          <w:rFonts w:ascii="宋体" w:hAnsi="宋体" w:eastAsia="宋体" w:cs="宋体"/>
          <w:spacing w:val="-12"/>
          <w:sz w:val="24"/>
          <w:szCs w:val="24"/>
        </w:rPr>
        <w:t>但鱼类的产卵期可能推</w:t>
      </w:r>
    </w:p>
    <w:p>
      <w:pPr>
        <w:spacing w:line="219" w:lineRule="auto"/>
        <w:rPr>
          <w:rFonts w:ascii="宋体" w:hAnsi="宋体" w:eastAsia="宋体" w:cs="宋体"/>
          <w:sz w:val="24"/>
          <w:szCs w:val="24"/>
        </w:rPr>
        <w:sectPr>
          <w:headerReference r:id="rId396" w:type="default"/>
          <w:footerReference r:id="rId397" w:type="default"/>
          <w:pgSz w:w="11907" w:h="16839"/>
          <w:pgMar w:top="1156" w:right="1731" w:bottom="1374" w:left="1770" w:header="881" w:footer="1210" w:gutter="0"/>
        </w:sectPr>
      </w:pPr>
    </w:p>
    <w:p>
      <w:pPr>
        <w:spacing w:before="318" w:line="220" w:lineRule="auto"/>
        <w:ind w:left="39"/>
        <w:rPr>
          <w:rFonts w:ascii="宋体" w:hAnsi="宋体" w:eastAsia="宋体" w:cs="宋体"/>
          <w:sz w:val="24"/>
          <w:szCs w:val="24"/>
        </w:rPr>
      </w:pPr>
      <w:r>
        <w:rPr>
          <w:rFonts w:ascii="宋体" w:hAnsi="宋体" w:eastAsia="宋体" w:cs="宋体"/>
          <w:spacing w:val="-3"/>
          <w:sz w:val="24"/>
          <w:szCs w:val="24"/>
        </w:rPr>
        <w:t>迟或提前，其时间的长短随温差的大小而定。</w:t>
      </w:r>
    </w:p>
    <w:p>
      <w:pPr>
        <w:spacing w:before="182" w:line="359" w:lineRule="auto"/>
        <w:ind w:left="37" w:right="67" w:firstLine="483"/>
        <w:rPr>
          <w:rFonts w:ascii="宋体" w:hAnsi="宋体" w:eastAsia="宋体" w:cs="宋体"/>
          <w:sz w:val="24"/>
          <w:szCs w:val="24"/>
        </w:rPr>
      </w:pPr>
      <w:r>
        <w:rPr>
          <w:rFonts w:ascii="宋体" w:hAnsi="宋体" w:eastAsia="宋体" w:cs="宋体"/>
          <w:spacing w:val="-3"/>
          <w:sz w:val="24"/>
          <w:szCs w:val="24"/>
        </w:rPr>
        <w:t>桂花水库工程的建设，将引起水温分层现象且呈现出季节性</w:t>
      </w:r>
      <w:r>
        <w:rPr>
          <w:rFonts w:ascii="宋体" w:hAnsi="宋体" w:eastAsia="宋体" w:cs="宋体"/>
          <w:spacing w:val="-4"/>
          <w:sz w:val="24"/>
          <w:szCs w:val="24"/>
        </w:rPr>
        <w:t>变化，可以推测</w:t>
      </w:r>
      <w:r>
        <w:rPr>
          <w:rFonts w:ascii="宋体" w:hAnsi="宋体" w:eastAsia="宋体" w:cs="宋体"/>
          <w:sz w:val="24"/>
          <w:szCs w:val="24"/>
        </w:rPr>
        <w:t xml:space="preserve"> </w:t>
      </w:r>
      <w:r>
        <w:rPr>
          <w:rFonts w:ascii="宋体" w:hAnsi="宋体" w:eastAsia="宋体" w:cs="宋体"/>
          <w:spacing w:val="-13"/>
          <w:sz w:val="24"/>
          <w:szCs w:val="24"/>
        </w:rPr>
        <w:t>冬季库区水温稳定及升温对鱼类的越冬、摄食、生长有利，</w:t>
      </w:r>
      <w:r>
        <w:rPr>
          <w:rFonts w:ascii="宋体" w:hAnsi="宋体" w:eastAsia="宋体" w:cs="宋体"/>
          <w:spacing w:val="-47"/>
          <w:sz w:val="24"/>
          <w:szCs w:val="24"/>
        </w:rPr>
        <w:t xml:space="preserve"> </w:t>
      </w:r>
      <w:r>
        <w:rPr>
          <w:rFonts w:ascii="宋体" w:hAnsi="宋体" w:eastAsia="宋体" w:cs="宋体"/>
          <w:spacing w:val="-13"/>
          <w:sz w:val="24"/>
          <w:szCs w:val="24"/>
        </w:rPr>
        <w:t>库区深水水体的存在，</w:t>
      </w:r>
      <w:r>
        <w:rPr>
          <w:rFonts w:ascii="宋体" w:hAnsi="宋体" w:eastAsia="宋体" w:cs="宋体"/>
          <w:sz w:val="24"/>
          <w:szCs w:val="24"/>
        </w:rPr>
        <w:t xml:space="preserve"> </w:t>
      </w:r>
      <w:r>
        <w:rPr>
          <w:rFonts w:ascii="宋体" w:hAnsi="宋体" w:eastAsia="宋体" w:cs="宋体"/>
          <w:spacing w:val="-9"/>
          <w:sz w:val="24"/>
          <w:szCs w:val="24"/>
        </w:rPr>
        <w:t>将为鱼类提供良好的越冬场； 夏季库底水温和水库表面温差</w:t>
      </w:r>
      <w:r>
        <w:rPr>
          <w:rFonts w:ascii="宋体" w:hAnsi="宋体" w:eastAsia="宋体" w:cs="宋体"/>
          <w:spacing w:val="-10"/>
          <w:sz w:val="24"/>
          <w:szCs w:val="24"/>
        </w:rPr>
        <w:t>较大， 水温分层明显</w:t>
      </w:r>
      <w:r>
        <w:rPr>
          <w:rFonts w:ascii="宋体" w:hAnsi="宋体" w:eastAsia="宋体" w:cs="宋体"/>
          <w:sz w:val="24"/>
          <w:szCs w:val="24"/>
        </w:rPr>
        <w:t xml:space="preserve"> </w:t>
      </w:r>
      <w:r>
        <w:rPr>
          <w:rFonts w:ascii="宋体" w:hAnsi="宋体" w:eastAsia="宋体" w:cs="宋体"/>
          <w:spacing w:val="-3"/>
          <w:sz w:val="24"/>
          <w:szCs w:val="24"/>
        </w:rPr>
        <w:t>但水温变化为渐变，鱼类会上浮至库区边缘浅水区和回水末端以上桂花河干流河</w:t>
      </w:r>
    </w:p>
    <w:p>
      <w:pPr>
        <w:spacing w:line="219" w:lineRule="auto"/>
        <w:ind w:left="38"/>
        <w:rPr>
          <w:rFonts w:ascii="宋体" w:hAnsi="宋体" w:eastAsia="宋体" w:cs="宋体"/>
          <w:sz w:val="24"/>
          <w:szCs w:val="24"/>
        </w:rPr>
      </w:pPr>
      <w:r>
        <w:rPr>
          <w:rFonts w:ascii="宋体" w:hAnsi="宋体" w:eastAsia="宋体" w:cs="宋体"/>
          <w:spacing w:val="-7"/>
          <w:sz w:val="24"/>
          <w:szCs w:val="24"/>
        </w:rPr>
        <w:t>道区繁衍。</w:t>
      </w:r>
    </w:p>
    <w:p>
      <w:pPr>
        <w:spacing w:before="182" w:line="359" w:lineRule="auto"/>
        <w:ind w:left="39" w:right="67" w:firstLine="480"/>
        <w:rPr>
          <w:rFonts w:ascii="宋体" w:hAnsi="宋体" w:eastAsia="宋体" w:cs="宋体"/>
          <w:sz w:val="24"/>
          <w:szCs w:val="24"/>
        </w:rPr>
      </w:pPr>
      <w:r>
        <w:rPr>
          <w:rFonts w:ascii="宋体" w:hAnsi="宋体" w:eastAsia="宋体" w:cs="宋体"/>
          <w:spacing w:val="-3"/>
          <w:sz w:val="24"/>
          <w:szCs w:val="24"/>
        </w:rPr>
        <w:t>库区河道栖息的鱼类主要是横纹南鳅、泥鳅、棒花鱼、麦穗鱼</w:t>
      </w:r>
      <w:r>
        <w:rPr>
          <w:rFonts w:ascii="宋体" w:hAnsi="宋体" w:eastAsia="宋体" w:cs="宋体"/>
          <w:spacing w:val="-4"/>
          <w:sz w:val="24"/>
          <w:szCs w:val="24"/>
        </w:rPr>
        <w:t>等适应低温水</w:t>
      </w:r>
      <w:r>
        <w:rPr>
          <w:rFonts w:ascii="宋体" w:hAnsi="宋体" w:eastAsia="宋体" w:cs="宋体"/>
          <w:sz w:val="24"/>
          <w:szCs w:val="24"/>
        </w:rPr>
        <w:t xml:space="preserve"> </w:t>
      </w:r>
      <w:r>
        <w:rPr>
          <w:rFonts w:ascii="宋体" w:hAnsi="宋体" w:eastAsia="宋体" w:cs="宋体"/>
          <w:spacing w:val="-8"/>
          <w:sz w:val="24"/>
          <w:szCs w:val="24"/>
        </w:rPr>
        <w:t>种类，</w:t>
      </w:r>
      <w:r>
        <w:rPr>
          <w:rFonts w:ascii="宋体" w:hAnsi="宋体" w:eastAsia="宋体" w:cs="宋体"/>
          <w:spacing w:val="-40"/>
          <w:sz w:val="24"/>
          <w:szCs w:val="24"/>
        </w:rPr>
        <w:t xml:space="preserve"> </w:t>
      </w:r>
      <w:r>
        <w:rPr>
          <w:rFonts w:ascii="宋体" w:hAnsi="宋体" w:eastAsia="宋体" w:cs="宋体"/>
          <w:spacing w:val="-8"/>
          <w:sz w:val="24"/>
          <w:szCs w:val="24"/>
        </w:rPr>
        <w:t>冬季深水水体为鱼类提供良好的越冬场</w:t>
      </w:r>
      <w:r>
        <w:rPr>
          <w:rFonts w:ascii="宋体" w:hAnsi="宋体" w:eastAsia="宋体" w:cs="宋体"/>
          <w:spacing w:val="-9"/>
          <w:sz w:val="24"/>
          <w:szCs w:val="24"/>
        </w:rPr>
        <w:t>， 夏季在库区边缘浅水区和回水末</w:t>
      </w:r>
      <w:r>
        <w:rPr>
          <w:rFonts w:ascii="宋体" w:hAnsi="宋体" w:eastAsia="宋体" w:cs="宋体"/>
          <w:sz w:val="24"/>
          <w:szCs w:val="24"/>
        </w:rPr>
        <w:t xml:space="preserve"> </w:t>
      </w:r>
      <w:r>
        <w:rPr>
          <w:rFonts w:ascii="宋体" w:hAnsi="宋体" w:eastAsia="宋体" w:cs="宋体"/>
          <w:spacing w:val="-7"/>
          <w:sz w:val="24"/>
          <w:szCs w:val="24"/>
        </w:rPr>
        <w:t>端以上桂花河干流河道区均可找到适宜的区域产卵、</w:t>
      </w:r>
      <w:r>
        <w:rPr>
          <w:rFonts w:ascii="宋体" w:hAnsi="宋体" w:eastAsia="宋体" w:cs="宋体"/>
          <w:spacing w:val="-8"/>
          <w:sz w:val="24"/>
          <w:szCs w:val="24"/>
        </w:rPr>
        <w:t>觅食等，</w:t>
      </w:r>
      <w:r>
        <w:rPr>
          <w:rFonts w:ascii="宋体" w:hAnsi="宋体" w:eastAsia="宋体" w:cs="宋体"/>
          <w:spacing w:val="33"/>
          <w:sz w:val="24"/>
          <w:szCs w:val="24"/>
        </w:rPr>
        <w:t xml:space="preserve"> </w:t>
      </w:r>
      <w:r>
        <w:rPr>
          <w:rFonts w:ascii="宋体" w:hAnsi="宋体" w:eastAsia="宋体" w:cs="宋体"/>
          <w:spacing w:val="-8"/>
          <w:sz w:val="24"/>
          <w:szCs w:val="24"/>
        </w:rPr>
        <w:t>因此温差对库区内</w:t>
      </w:r>
    </w:p>
    <w:p>
      <w:pPr>
        <w:spacing w:before="1" w:line="219" w:lineRule="auto"/>
        <w:ind w:left="40"/>
        <w:rPr>
          <w:rFonts w:ascii="宋体" w:hAnsi="宋体" w:eastAsia="宋体" w:cs="宋体"/>
          <w:sz w:val="24"/>
          <w:szCs w:val="24"/>
        </w:rPr>
      </w:pPr>
      <w:r>
        <w:rPr>
          <w:rFonts w:ascii="宋体" w:hAnsi="宋体" w:eastAsia="宋体" w:cs="宋体"/>
          <w:spacing w:val="-4"/>
          <w:sz w:val="24"/>
          <w:szCs w:val="24"/>
        </w:rPr>
        <w:t>栖息的土著鱼类影响较小。</w:t>
      </w:r>
    </w:p>
    <w:p>
      <w:pPr>
        <w:spacing w:before="182"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库区水质变化对鱼类的影响</w:t>
      </w:r>
    </w:p>
    <w:p>
      <w:pPr>
        <w:spacing w:before="163" w:line="359" w:lineRule="auto"/>
        <w:ind w:left="39" w:right="68" w:firstLine="482"/>
        <w:rPr>
          <w:rFonts w:ascii="宋体" w:hAnsi="宋体" w:eastAsia="宋体" w:cs="宋体"/>
          <w:sz w:val="24"/>
          <w:szCs w:val="24"/>
        </w:rPr>
      </w:pPr>
      <w:r>
        <w:rPr>
          <w:rFonts w:ascii="宋体" w:hAnsi="宋体" w:eastAsia="宋体" w:cs="宋体"/>
          <w:spacing w:val="-10"/>
          <w:sz w:val="24"/>
          <w:szCs w:val="24"/>
        </w:rPr>
        <w:t>鉴于评价区水域为楚雄市农业较为集中的区域， 农业发展历史长， 人为干扰</w:t>
      </w:r>
      <w:r>
        <w:rPr>
          <w:rFonts w:ascii="宋体" w:hAnsi="宋体" w:eastAsia="宋体" w:cs="宋体"/>
          <w:spacing w:val="3"/>
          <w:sz w:val="24"/>
          <w:szCs w:val="24"/>
        </w:rPr>
        <w:t xml:space="preserve"> </w:t>
      </w:r>
      <w:r>
        <w:rPr>
          <w:rFonts w:ascii="宋体" w:hAnsi="宋体" w:eastAsia="宋体" w:cs="宋体"/>
          <w:spacing w:val="-10"/>
          <w:sz w:val="24"/>
          <w:szCs w:val="24"/>
        </w:rPr>
        <w:t>较大，</w:t>
      </w:r>
      <w:r>
        <w:rPr>
          <w:rFonts w:ascii="宋体" w:hAnsi="宋体" w:eastAsia="宋体" w:cs="宋体"/>
          <w:spacing w:val="-26"/>
          <w:sz w:val="24"/>
          <w:szCs w:val="24"/>
        </w:rPr>
        <w:t xml:space="preserve"> </w:t>
      </w:r>
      <w:r>
        <w:rPr>
          <w:rFonts w:ascii="宋体" w:hAnsi="宋体" w:eastAsia="宋体" w:cs="宋体"/>
          <w:spacing w:val="-10"/>
          <w:sz w:val="24"/>
          <w:szCs w:val="24"/>
        </w:rPr>
        <w:t>一些原有的土著鱼类早已消失，</w:t>
      </w:r>
      <w:r>
        <w:rPr>
          <w:rFonts w:ascii="宋体" w:hAnsi="宋体" w:eastAsia="宋体" w:cs="宋体"/>
          <w:spacing w:val="45"/>
          <w:sz w:val="24"/>
          <w:szCs w:val="24"/>
        </w:rPr>
        <w:t xml:space="preserve"> </w:t>
      </w:r>
      <w:r>
        <w:rPr>
          <w:rFonts w:ascii="宋体" w:hAnsi="宋体" w:eastAsia="宋体" w:cs="宋体"/>
          <w:spacing w:val="-10"/>
          <w:sz w:val="24"/>
          <w:szCs w:val="24"/>
        </w:rPr>
        <w:t>当前只剩下</w:t>
      </w:r>
      <w:r>
        <w:rPr>
          <w:rFonts w:ascii="宋体" w:hAnsi="宋体" w:eastAsia="宋体" w:cs="宋体"/>
          <w:spacing w:val="-11"/>
          <w:sz w:val="24"/>
          <w:szCs w:val="24"/>
        </w:rPr>
        <w:t>一些常见的、耐污性较强的鱼</w:t>
      </w:r>
      <w:r>
        <w:rPr>
          <w:rFonts w:ascii="宋体" w:hAnsi="宋体" w:eastAsia="宋体" w:cs="宋体"/>
          <w:sz w:val="24"/>
          <w:szCs w:val="24"/>
        </w:rPr>
        <w:t xml:space="preserve"> </w:t>
      </w:r>
      <w:r>
        <w:rPr>
          <w:rFonts w:ascii="宋体" w:hAnsi="宋体" w:eastAsia="宋体" w:cs="宋体"/>
          <w:spacing w:val="-15"/>
          <w:sz w:val="24"/>
          <w:szCs w:val="24"/>
        </w:rPr>
        <w:t>类物种， 如麦穗鱼、棒花鱼、子陵吻虾虎鱼、鲫、</w:t>
      </w:r>
      <w:r>
        <w:rPr>
          <w:rFonts w:ascii="宋体" w:hAnsi="宋体" w:eastAsia="宋体" w:cs="宋体"/>
          <w:spacing w:val="34"/>
          <w:sz w:val="24"/>
          <w:szCs w:val="24"/>
        </w:rPr>
        <w:t xml:space="preserve"> </w:t>
      </w:r>
      <w:r>
        <w:rPr>
          <w:rFonts w:ascii="宋体" w:hAnsi="宋体" w:eastAsia="宋体" w:cs="宋体"/>
          <w:spacing w:val="-15"/>
          <w:sz w:val="24"/>
          <w:szCs w:val="24"/>
        </w:rPr>
        <w:t>鲤、泥鳅</w:t>
      </w:r>
      <w:r>
        <w:rPr>
          <w:rFonts w:ascii="宋体" w:hAnsi="宋体" w:eastAsia="宋体" w:cs="宋体"/>
          <w:spacing w:val="-16"/>
          <w:sz w:val="24"/>
          <w:szCs w:val="24"/>
        </w:rPr>
        <w:t>、马口鱼等，</w:t>
      </w:r>
      <w:r>
        <w:rPr>
          <w:rFonts w:ascii="宋体" w:hAnsi="宋体" w:eastAsia="宋体" w:cs="宋体"/>
          <w:spacing w:val="50"/>
          <w:sz w:val="24"/>
          <w:szCs w:val="24"/>
        </w:rPr>
        <w:t xml:space="preserve"> </w:t>
      </w:r>
      <w:r>
        <w:rPr>
          <w:rFonts w:ascii="宋体" w:hAnsi="宋体" w:eastAsia="宋体" w:cs="宋体"/>
          <w:spacing w:val="-16"/>
          <w:sz w:val="24"/>
          <w:szCs w:val="24"/>
        </w:rPr>
        <w:t>这些鱼</w:t>
      </w:r>
    </w:p>
    <w:p>
      <w:pPr>
        <w:spacing w:before="1" w:line="218" w:lineRule="auto"/>
        <w:ind w:left="39"/>
        <w:rPr>
          <w:rFonts w:ascii="宋体" w:hAnsi="宋体" w:eastAsia="宋体" w:cs="宋体"/>
          <w:sz w:val="24"/>
          <w:szCs w:val="24"/>
        </w:rPr>
      </w:pPr>
      <w:r>
        <w:rPr>
          <w:rFonts w:ascii="宋体" w:hAnsi="宋体" w:eastAsia="宋体" w:cs="宋体"/>
          <w:spacing w:val="-6"/>
          <w:sz w:val="24"/>
          <w:szCs w:val="24"/>
        </w:rPr>
        <w:t>类分布广（在南方的各大水系均有分布）、种群量大，耐污性强。</w:t>
      </w:r>
    </w:p>
    <w:p>
      <w:pPr>
        <w:spacing w:before="183" w:line="467" w:lineRule="exact"/>
        <w:ind w:right="57"/>
        <w:jc w:val="right"/>
        <w:rPr>
          <w:rFonts w:ascii="宋体" w:hAnsi="宋体" w:eastAsia="宋体" w:cs="宋体"/>
          <w:sz w:val="24"/>
          <w:szCs w:val="24"/>
        </w:rPr>
      </w:pPr>
      <w:r>
        <w:rPr>
          <w:rFonts w:ascii="宋体" w:hAnsi="宋体" w:eastAsia="宋体" w:cs="宋体"/>
          <w:spacing w:val="-9"/>
          <w:position w:val="17"/>
          <w:sz w:val="24"/>
          <w:szCs w:val="24"/>
        </w:rPr>
        <w:t>此外，</w:t>
      </w:r>
      <w:r>
        <w:rPr>
          <w:rFonts w:ascii="宋体" w:hAnsi="宋体" w:eastAsia="宋体" w:cs="宋体"/>
          <w:spacing w:val="-29"/>
          <w:position w:val="17"/>
          <w:sz w:val="24"/>
          <w:szCs w:val="24"/>
        </w:rPr>
        <w:t xml:space="preserve"> </w:t>
      </w:r>
      <w:r>
        <w:rPr>
          <w:rFonts w:ascii="宋体" w:hAnsi="宋体" w:eastAsia="宋体" w:cs="宋体"/>
          <w:spacing w:val="-9"/>
          <w:position w:val="17"/>
          <w:sz w:val="24"/>
          <w:szCs w:val="24"/>
        </w:rPr>
        <w:t>考虑到运营期库区周边生态恢复措施实施等有利水质保护的因素， 库</w:t>
      </w:r>
    </w:p>
    <w:p>
      <w:pPr>
        <w:spacing w:before="1" w:line="219" w:lineRule="auto"/>
        <w:ind w:left="57"/>
        <w:rPr>
          <w:rFonts w:ascii="宋体" w:hAnsi="宋体" w:eastAsia="宋体" w:cs="宋体"/>
          <w:sz w:val="24"/>
          <w:szCs w:val="24"/>
        </w:rPr>
      </w:pPr>
      <w:r>
        <w:rPr>
          <w:rFonts w:ascii="宋体" w:hAnsi="宋体" w:eastAsia="宋体" w:cs="宋体"/>
          <w:spacing w:val="-2"/>
          <w:sz w:val="24"/>
          <w:szCs w:val="24"/>
        </w:rPr>
        <w:t>区水质可得到保障。因此，运行期库区水质变化对鱼类影响轻</w:t>
      </w:r>
      <w:r>
        <w:rPr>
          <w:rFonts w:ascii="宋体" w:hAnsi="宋体" w:eastAsia="宋体" w:cs="宋体"/>
          <w:spacing w:val="-3"/>
          <w:sz w:val="24"/>
          <w:szCs w:val="24"/>
        </w:rPr>
        <w:t>微。</w:t>
      </w:r>
    </w:p>
    <w:p>
      <w:pPr>
        <w:spacing w:before="182" w:line="233" w:lineRule="auto"/>
        <w:ind w:left="517"/>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对坝址以下河段鱼类的影响</w:t>
      </w:r>
    </w:p>
    <w:p>
      <w:pPr>
        <w:spacing w:before="163" w:line="359" w:lineRule="auto"/>
        <w:ind w:left="38" w:firstLine="480"/>
        <w:rPr>
          <w:rFonts w:ascii="宋体" w:hAnsi="宋体" w:eastAsia="宋体" w:cs="宋体"/>
          <w:sz w:val="24"/>
          <w:szCs w:val="24"/>
        </w:rPr>
      </w:pPr>
      <w:r>
        <w:rPr>
          <w:rFonts w:ascii="宋体" w:hAnsi="宋体" w:eastAsia="宋体" w:cs="宋体"/>
          <w:spacing w:val="-6"/>
          <w:sz w:val="24"/>
          <w:szCs w:val="24"/>
        </w:rPr>
        <w:t>对于坝址下游桂花河减水河道，运行期保证至少</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0.21m3/s</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的生态流量下泄，</w:t>
      </w:r>
      <w:r>
        <w:rPr>
          <w:rFonts w:ascii="宋体" w:hAnsi="宋体" w:eastAsia="宋体" w:cs="宋体"/>
          <w:sz w:val="24"/>
          <w:szCs w:val="24"/>
        </w:rPr>
        <w:t xml:space="preserve">  </w:t>
      </w:r>
      <w:r>
        <w:rPr>
          <w:rFonts w:ascii="宋体" w:hAnsi="宋体" w:eastAsia="宋体" w:cs="宋体"/>
          <w:spacing w:val="-3"/>
          <w:sz w:val="24"/>
          <w:szCs w:val="24"/>
        </w:rPr>
        <w:t>河道水量、水深等可满足现有水生生态蓄水要求。下游未分布有珍稀濒危鱼类物</w:t>
      </w:r>
      <w:r>
        <w:rPr>
          <w:rFonts w:ascii="宋体" w:hAnsi="宋体" w:eastAsia="宋体" w:cs="宋体"/>
          <w:spacing w:val="1"/>
          <w:sz w:val="24"/>
          <w:szCs w:val="24"/>
        </w:rPr>
        <w:t xml:space="preserve"> </w:t>
      </w:r>
      <w:r>
        <w:rPr>
          <w:rFonts w:ascii="宋体" w:hAnsi="宋体" w:eastAsia="宋体" w:cs="宋体"/>
          <w:spacing w:val="-8"/>
          <w:sz w:val="24"/>
          <w:szCs w:val="24"/>
        </w:rPr>
        <w:t>种，</w:t>
      </w:r>
      <w:r>
        <w:rPr>
          <w:rFonts w:ascii="宋体" w:hAnsi="宋体" w:eastAsia="宋体" w:cs="宋体"/>
          <w:spacing w:val="-55"/>
          <w:sz w:val="24"/>
          <w:szCs w:val="24"/>
        </w:rPr>
        <w:t xml:space="preserve"> </w:t>
      </w:r>
      <w:r>
        <w:rPr>
          <w:rFonts w:ascii="宋体" w:hAnsi="宋体" w:eastAsia="宋体" w:cs="宋体"/>
          <w:spacing w:val="-8"/>
          <w:sz w:val="24"/>
          <w:szCs w:val="24"/>
        </w:rPr>
        <w:t>未分布集中大型鱼类三场和洄游通道， 项目运行后下游的鱼类行至坝下受阻</w:t>
      </w:r>
      <w:r>
        <w:rPr>
          <w:rFonts w:ascii="宋体" w:hAnsi="宋体" w:eastAsia="宋体" w:cs="宋体"/>
          <w:sz w:val="24"/>
          <w:szCs w:val="24"/>
        </w:rPr>
        <w:t xml:space="preserve"> </w:t>
      </w:r>
      <w:r>
        <w:rPr>
          <w:rFonts w:ascii="宋体" w:hAnsi="宋体" w:eastAsia="宋体" w:cs="宋体"/>
          <w:spacing w:val="-1"/>
          <w:sz w:val="24"/>
          <w:szCs w:val="24"/>
        </w:rPr>
        <w:t>隔作用不能继续上行，但由于河道下游断面浮游动植物数量多于坝址上游断面，</w:t>
      </w:r>
    </w:p>
    <w:p>
      <w:pPr>
        <w:spacing w:before="1" w:line="219" w:lineRule="auto"/>
        <w:ind w:left="43"/>
        <w:rPr>
          <w:rFonts w:ascii="宋体" w:hAnsi="宋体" w:eastAsia="宋体" w:cs="宋体"/>
          <w:sz w:val="24"/>
          <w:szCs w:val="24"/>
        </w:rPr>
      </w:pPr>
      <w:r>
        <w:rPr>
          <w:rFonts w:ascii="宋体" w:hAnsi="宋体" w:eastAsia="宋体" w:cs="宋体"/>
          <w:spacing w:val="-2"/>
          <w:sz w:val="24"/>
          <w:szCs w:val="24"/>
        </w:rPr>
        <w:t>故运行期对坝下减水段水生生态及鱼类影响不</w:t>
      </w:r>
      <w:r>
        <w:rPr>
          <w:rFonts w:ascii="宋体" w:hAnsi="宋体" w:eastAsia="宋体" w:cs="宋体"/>
          <w:spacing w:val="-3"/>
          <w:sz w:val="24"/>
          <w:szCs w:val="24"/>
        </w:rPr>
        <w:t>大。</w:t>
      </w:r>
    </w:p>
    <w:p>
      <w:pPr>
        <w:spacing w:before="182"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e.</w:t>
      </w:r>
      <w:r>
        <w:rPr>
          <w:rFonts w:ascii="宋体" w:hAnsi="宋体" w:eastAsia="宋体" w:cs="宋体"/>
          <w:spacing w:val="-1"/>
          <w:sz w:val="24"/>
          <w:szCs w:val="24"/>
        </w:rPr>
        <w:t>低温水下泄对鱼类的影响</w:t>
      </w:r>
    </w:p>
    <w:p>
      <w:pPr>
        <w:spacing w:before="166" w:line="359" w:lineRule="auto"/>
        <w:ind w:left="38" w:right="67" w:firstLine="480"/>
        <w:rPr>
          <w:rFonts w:ascii="宋体" w:hAnsi="宋体" w:eastAsia="宋体" w:cs="宋体"/>
          <w:sz w:val="24"/>
          <w:szCs w:val="24"/>
        </w:rPr>
      </w:pPr>
      <w:r>
        <w:rPr>
          <w:rFonts w:ascii="宋体" w:hAnsi="宋体" w:eastAsia="宋体" w:cs="宋体"/>
          <w:spacing w:val="-7"/>
          <w:sz w:val="24"/>
          <w:szCs w:val="24"/>
        </w:rPr>
        <w:t>运行期桂花水库出水库水温为分层型， 其库底水温将低于库表水温。桂花水</w:t>
      </w:r>
      <w:r>
        <w:rPr>
          <w:rFonts w:ascii="宋体" w:hAnsi="宋体" w:eastAsia="宋体" w:cs="宋体"/>
          <w:spacing w:val="14"/>
          <w:sz w:val="24"/>
          <w:szCs w:val="24"/>
        </w:rPr>
        <w:t xml:space="preserve"> </w:t>
      </w:r>
      <w:r>
        <w:rPr>
          <w:rFonts w:ascii="宋体" w:hAnsi="宋体" w:eastAsia="宋体" w:cs="宋体"/>
          <w:spacing w:val="-11"/>
          <w:sz w:val="24"/>
          <w:szCs w:val="24"/>
        </w:rPr>
        <w:t>库投入运行后，</w:t>
      </w:r>
      <w:r>
        <w:rPr>
          <w:rFonts w:ascii="宋体" w:hAnsi="宋体" w:eastAsia="宋体" w:cs="宋体"/>
          <w:spacing w:val="53"/>
          <w:sz w:val="24"/>
          <w:szCs w:val="24"/>
        </w:rPr>
        <w:t xml:space="preserve"> </w:t>
      </w:r>
      <w:r>
        <w:rPr>
          <w:rFonts w:ascii="宋体" w:hAnsi="宋体" w:eastAsia="宋体" w:cs="宋体"/>
          <w:spacing w:val="-11"/>
          <w:sz w:val="24"/>
          <w:szCs w:val="24"/>
        </w:rPr>
        <w:t>出库水温及其变化趋势与当地气温变化趋势较接近， 主要月份相</w:t>
      </w:r>
      <w:r>
        <w:rPr>
          <w:rFonts w:ascii="宋体" w:hAnsi="宋体" w:eastAsia="宋体" w:cs="宋体"/>
          <w:sz w:val="24"/>
          <w:szCs w:val="24"/>
        </w:rPr>
        <w:t xml:space="preserve"> </w:t>
      </w:r>
      <w:r>
        <w:rPr>
          <w:rFonts w:ascii="宋体" w:hAnsi="宋体" w:eastAsia="宋体" w:cs="宋体"/>
          <w:spacing w:val="-1"/>
          <w:sz w:val="24"/>
          <w:szCs w:val="24"/>
        </w:rPr>
        <w:t>对滞后于气温变化，由分析可知各月出库水库与天然河道水温在</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1.1</w:t>
      </w:r>
      <w:r>
        <w:rPr>
          <w:rFonts w:ascii="宋体" w:hAnsi="宋体" w:eastAsia="宋体" w:cs="宋体"/>
          <w:spacing w:val="-1"/>
          <w:sz w:val="24"/>
          <w:szCs w:val="24"/>
        </w:rPr>
        <w:t>℃</w:t>
      </w:r>
      <w:r>
        <w:rPr>
          <w:rFonts w:ascii="Times New Roman" w:hAnsi="Times New Roman" w:eastAsia="Times New Roman" w:cs="Times New Roman"/>
          <w:spacing w:val="-1"/>
          <w:sz w:val="24"/>
          <w:szCs w:val="24"/>
        </w:rPr>
        <w:t>~-0.7</w:t>
      </w:r>
      <w:r>
        <w:rPr>
          <w:rFonts w:ascii="宋体" w:hAnsi="宋体" w:eastAsia="宋体" w:cs="宋体"/>
          <w:spacing w:val="-2"/>
          <w:sz w:val="24"/>
          <w:szCs w:val="24"/>
        </w:rPr>
        <w:t>℃范</w:t>
      </w:r>
      <w:r>
        <w:rPr>
          <w:rFonts w:ascii="宋体" w:hAnsi="宋体" w:eastAsia="宋体" w:cs="宋体"/>
          <w:sz w:val="24"/>
          <w:szCs w:val="24"/>
        </w:rPr>
        <w:t xml:space="preserve"> </w:t>
      </w:r>
      <w:r>
        <w:rPr>
          <w:rFonts w:ascii="宋体" w:hAnsi="宋体" w:eastAsia="宋体" w:cs="宋体"/>
          <w:spacing w:val="2"/>
          <w:sz w:val="24"/>
          <w:szCs w:val="24"/>
        </w:rPr>
        <w:t xml:space="preserve">围内波动。水库运行后，出库水库水温与天然水温温差小于 </w:t>
      </w:r>
      <w:r>
        <w:rPr>
          <w:rFonts w:ascii="Times New Roman" w:hAnsi="Times New Roman" w:eastAsia="Times New Roman" w:cs="Times New Roman"/>
          <w:spacing w:val="2"/>
          <w:sz w:val="24"/>
          <w:szCs w:val="24"/>
        </w:rPr>
        <w:t>1.1</w:t>
      </w:r>
      <w:r>
        <w:rPr>
          <w:rFonts w:ascii="宋体" w:hAnsi="宋体" w:eastAsia="宋体" w:cs="宋体"/>
          <w:spacing w:val="2"/>
          <w:sz w:val="24"/>
          <w:szCs w:val="24"/>
        </w:rPr>
        <w:t>℃,减水河段随</w:t>
      </w:r>
      <w:r>
        <w:rPr>
          <w:rFonts w:ascii="宋体" w:hAnsi="宋体" w:eastAsia="宋体" w:cs="宋体"/>
          <w:spacing w:val="3"/>
          <w:sz w:val="24"/>
          <w:szCs w:val="24"/>
        </w:rPr>
        <w:t xml:space="preserve"> </w:t>
      </w:r>
      <w:r>
        <w:rPr>
          <w:rFonts w:ascii="宋体" w:hAnsi="宋体" w:eastAsia="宋体" w:cs="宋体"/>
          <w:spacing w:val="-16"/>
          <w:sz w:val="24"/>
          <w:szCs w:val="24"/>
        </w:rPr>
        <w:t>着两岸支流不断汇入，</w:t>
      </w:r>
      <w:r>
        <w:rPr>
          <w:rFonts w:ascii="宋体" w:hAnsi="宋体" w:eastAsia="宋体" w:cs="宋体"/>
          <w:spacing w:val="35"/>
          <w:sz w:val="24"/>
          <w:szCs w:val="24"/>
        </w:rPr>
        <w:t xml:space="preserve"> </w:t>
      </w:r>
      <w:r>
        <w:rPr>
          <w:rFonts w:ascii="宋体" w:hAnsi="宋体" w:eastAsia="宋体" w:cs="宋体"/>
          <w:spacing w:val="-16"/>
          <w:sz w:val="24"/>
          <w:szCs w:val="24"/>
        </w:rPr>
        <w:t>温度将有提高，</w:t>
      </w:r>
      <w:r>
        <w:rPr>
          <w:rFonts w:ascii="宋体" w:hAnsi="宋体" w:eastAsia="宋体" w:cs="宋体"/>
          <w:spacing w:val="33"/>
          <w:sz w:val="24"/>
          <w:szCs w:val="24"/>
        </w:rPr>
        <w:t xml:space="preserve"> </w:t>
      </w:r>
      <w:r>
        <w:rPr>
          <w:rFonts w:ascii="宋体" w:hAnsi="宋体" w:eastAsia="宋体" w:cs="宋体"/>
          <w:spacing w:val="-16"/>
          <w:sz w:val="24"/>
          <w:szCs w:val="24"/>
        </w:rPr>
        <w:t>水温基本恢复至天然水温，</w:t>
      </w:r>
      <w:r>
        <w:rPr>
          <w:rFonts w:ascii="宋体" w:hAnsi="宋体" w:eastAsia="宋体" w:cs="宋体"/>
          <w:spacing w:val="29"/>
          <w:sz w:val="24"/>
          <w:szCs w:val="24"/>
        </w:rPr>
        <w:t xml:space="preserve"> </w:t>
      </w:r>
      <w:r>
        <w:rPr>
          <w:rFonts w:ascii="宋体" w:hAnsi="宋体" w:eastAsia="宋体" w:cs="宋体"/>
          <w:spacing w:val="-16"/>
          <w:sz w:val="24"/>
          <w:szCs w:val="24"/>
        </w:rPr>
        <w:t>低温水下泄的</w:t>
      </w:r>
    </w:p>
    <w:p>
      <w:pPr>
        <w:spacing w:line="219" w:lineRule="auto"/>
        <w:ind w:left="39"/>
        <w:rPr>
          <w:rFonts w:ascii="宋体" w:hAnsi="宋体" w:eastAsia="宋体" w:cs="宋体"/>
          <w:sz w:val="24"/>
          <w:szCs w:val="24"/>
        </w:rPr>
      </w:pPr>
      <w:r>
        <w:rPr>
          <w:rFonts w:ascii="宋体" w:hAnsi="宋体" w:eastAsia="宋体" w:cs="宋体"/>
          <w:spacing w:val="-2"/>
          <w:sz w:val="24"/>
          <w:szCs w:val="24"/>
        </w:rPr>
        <w:t>状况明显缓解，水库水经自然升温后对鱼类的影响可得到缓解。</w:t>
      </w:r>
    </w:p>
    <w:p>
      <w:pPr>
        <w:spacing w:line="219" w:lineRule="auto"/>
        <w:rPr>
          <w:rFonts w:ascii="宋体" w:hAnsi="宋体" w:eastAsia="宋体" w:cs="宋体"/>
          <w:sz w:val="24"/>
          <w:szCs w:val="24"/>
        </w:rPr>
        <w:sectPr>
          <w:headerReference r:id="rId398" w:type="default"/>
          <w:footerReference r:id="rId399" w:type="default"/>
          <w:pgSz w:w="11907" w:h="16839"/>
          <w:pgMar w:top="1156" w:right="1731" w:bottom="1374" w:left="1770" w:header="881" w:footer="1210" w:gutter="0"/>
        </w:sectPr>
      </w:pPr>
    </w:p>
    <w:p>
      <w:pPr>
        <w:rPr>
          <w:rFonts w:ascii="Arial"/>
          <w:sz w:val="21"/>
        </w:rPr>
      </w:pPr>
    </w:p>
    <w:p>
      <w:pPr>
        <w:spacing w:before="78" w:line="233" w:lineRule="auto"/>
        <w:ind w:left="519"/>
        <w:rPr>
          <w:rFonts w:ascii="宋体" w:hAnsi="宋体" w:eastAsia="宋体" w:cs="宋体"/>
          <w:sz w:val="24"/>
          <w:szCs w:val="24"/>
        </w:rPr>
      </w:pPr>
      <w:r>
        <w:rPr>
          <w:rFonts w:ascii="Times New Roman" w:hAnsi="Times New Roman" w:eastAsia="Times New Roman" w:cs="Times New Roman"/>
          <w:spacing w:val="-1"/>
          <w:sz w:val="24"/>
          <w:szCs w:val="24"/>
        </w:rPr>
        <w:t>f.</w:t>
      </w:r>
      <w:r>
        <w:rPr>
          <w:rFonts w:ascii="宋体" w:hAnsi="宋体" w:eastAsia="宋体" w:cs="宋体"/>
          <w:spacing w:val="-1"/>
          <w:sz w:val="24"/>
          <w:szCs w:val="24"/>
        </w:rPr>
        <w:t>鱼类“三场”及洄游通道影响</w:t>
      </w:r>
    </w:p>
    <w:p>
      <w:pPr>
        <w:spacing w:before="163" w:line="467" w:lineRule="exact"/>
        <w:ind w:left="518"/>
        <w:rPr>
          <w:rFonts w:ascii="宋体" w:hAnsi="宋体" w:eastAsia="宋体" w:cs="宋体"/>
          <w:sz w:val="24"/>
          <w:szCs w:val="24"/>
        </w:rPr>
      </w:pPr>
      <w:r>
        <w:rPr>
          <w:rFonts w:ascii="宋体" w:hAnsi="宋体" w:eastAsia="宋体" w:cs="宋体"/>
          <w:spacing w:val="-12"/>
          <w:position w:val="17"/>
          <w:sz w:val="24"/>
          <w:szCs w:val="24"/>
        </w:rPr>
        <w:t>对现场调查，</w:t>
      </w:r>
      <w:r>
        <w:rPr>
          <w:rFonts w:ascii="宋体" w:hAnsi="宋体" w:eastAsia="宋体" w:cs="宋体"/>
          <w:spacing w:val="31"/>
          <w:position w:val="17"/>
          <w:sz w:val="24"/>
          <w:szCs w:val="24"/>
        </w:rPr>
        <w:t xml:space="preserve"> </w:t>
      </w:r>
      <w:r>
        <w:rPr>
          <w:rFonts w:ascii="宋体" w:hAnsi="宋体" w:eastAsia="宋体" w:cs="宋体"/>
          <w:spacing w:val="-12"/>
          <w:position w:val="17"/>
          <w:sz w:val="24"/>
          <w:szCs w:val="24"/>
        </w:rPr>
        <w:t>本项目没有典型的长距离洄游鱼类</w:t>
      </w:r>
      <w:r>
        <w:rPr>
          <w:rFonts w:ascii="宋体" w:hAnsi="宋体" w:eastAsia="宋体" w:cs="宋体"/>
          <w:spacing w:val="-13"/>
          <w:position w:val="17"/>
          <w:sz w:val="24"/>
          <w:szCs w:val="24"/>
        </w:rPr>
        <w:t>分布，</w:t>
      </w:r>
      <w:r>
        <w:rPr>
          <w:rFonts w:ascii="宋体" w:hAnsi="宋体" w:eastAsia="宋体" w:cs="宋体"/>
          <w:spacing w:val="33"/>
          <w:position w:val="17"/>
          <w:sz w:val="24"/>
          <w:szCs w:val="24"/>
        </w:rPr>
        <w:t xml:space="preserve"> </w:t>
      </w:r>
      <w:r>
        <w:rPr>
          <w:rFonts w:ascii="宋体" w:hAnsi="宋体" w:eastAsia="宋体" w:cs="宋体"/>
          <w:spacing w:val="-13"/>
          <w:position w:val="17"/>
          <w:sz w:val="24"/>
          <w:szCs w:val="24"/>
        </w:rPr>
        <w:t>不涉及产卵场、索饵</w:t>
      </w:r>
    </w:p>
    <w:p>
      <w:pPr>
        <w:spacing w:line="219" w:lineRule="auto"/>
        <w:ind w:left="38"/>
        <w:rPr>
          <w:rFonts w:ascii="宋体" w:hAnsi="宋体" w:eastAsia="宋体" w:cs="宋体"/>
          <w:sz w:val="24"/>
          <w:szCs w:val="24"/>
        </w:rPr>
      </w:pPr>
      <w:r>
        <w:rPr>
          <w:rFonts w:ascii="宋体" w:hAnsi="宋体" w:eastAsia="宋体" w:cs="宋体"/>
          <w:spacing w:val="-2"/>
          <w:sz w:val="24"/>
          <w:szCs w:val="24"/>
        </w:rPr>
        <w:t>场、越冬场。因此对鱼类“三场一通”没有直接的影响。</w:t>
      </w:r>
    </w:p>
    <w:p>
      <w:pPr>
        <w:spacing w:before="183" w:line="359" w:lineRule="auto"/>
        <w:ind w:left="38" w:right="153" w:firstLine="483"/>
        <w:rPr>
          <w:rFonts w:ascii="宋体" w:hAnsi="宋体" w:eastAsia="宋体" w:cs="宋体"/>
          <w:sz w:val="24"/>
          <w:szCs w:val="24"/>
        </w:rPr>
      </w:pPr>
      <w:r>
        <w:rPr>
          <w:rFonts w:ascii="宋体" w:hAnsi="宋体" w:eastAsia="宋体" w:cs="宋体"/>
          <w:spacing w:val="-1"/>
          <w:sz w:val="24"/>
          <w:szCs w:val="24"/>
        </w:rPr>
        <w:t>综合大坝的阻隔效应、流量流速降低以及鱼类繁殖</w:t>
      </w:r>
      <w:r>
        <w:rPr>
          <w:rFonts w:ascii="宋体" w:hAnsi="宋体" w:eastAsia="宋体" w:cs="宋体"/>
          <w:spacing w:val="-2"/>
          <w:sz w:val="24"/>
          <w:szCs w:val="24"/>
        </w:rPr>
        <w:t>期水温略微降低等影响，</w:t>
      </w:r>
      <w:r>
        <w:rPr>
          <w:rFonts w:ascii="宋体" w:hAnsi="宋体" w:eastAsia="宋体" w:cs="宋体"/>
          <w:sz w:val="24"/>
          <w:szCs w:val="24"/>
        </w:rPr>
        <w:t xml:space="preserve"> </w:t>
      </w:r>
      <w:r>
        <w:rPr>
          <w:rFonts w:ascii="宋体" w:hAnsi="宋体" w:eastAsia="宋体" w:cs="宋体"/>
          <w:spacing w:val="-6"/>
          <w:sz w:val="24"/>
          <w:szCs w:val="24"/>
        </w:rPr>
        <w:t>桂花水库建设及运行对坝下河段鱼类的栖息有一定不利影响， 但</w:t>
      </w:r>
      <w:r>
        <w:rPr>
          <w:rFonts w:ascii="宋体" w:hAnsi="宋体" w:eastAsia="宋体" w:cs="宋体"/>
          <w:spacing w:val="-7"/>
          <w:sz w:val="24"/>
          <w:szCs w:val="24"/>
        </w:rPr>
        <w:t>影响不大。目前</w:t>
      </w:r>
      <w:r>
        <w:rPr>
          <w:rFonts w:ascii="宋体" w:hAnsi="宋体" w:eastAsia="宋体" w:cs="宋体"/>
          <w:sz w:val="24"/>
          <w:szCs w:val="24"/>
        </w:rPr>
        <w:t xml:space="preserve"> </w:t>
      </w:r>
      <w:r>
        <w:rPr>
          <w:rFonts w:ascii="宋体" w:hAnsi="宋体" w:eastAsia="宋体" w:cs="宋体"/>
          <w:spacing w:val="-4"/>
          <w:sz w:val="24"/>
          <w:szCs w:val="24"/>
        </w:rPr>
        <w:t>按照下泄多年平均流量</w:t>
      </w:r>
      <w:r>
        <w:rPr>
          <w:rFonts w:ascii="宋体" w:hAnsi="宋体" w:eastAsia="宋体" w:cs="宋体"/>
          <w:spacing w:val="-38"/>
          <w:sz w:val="24"/>
          <w:szCs w:val="24"/>
        </w:rPr>
        <w:t xml:space="preserve"> </w:t>
      </w:r>
      <w:r>
        <w:rPr>
          <w:rFonts w:ascii="Times New Roman" w:hAnsi="Times New Roman" w:eastAsia="Times New Roman" w:cs="Times New Roman"/>
          <w:spacing w:val="-4"/>
          <w:sz w:val="24"/>
          <w:szCs w:val="24"/>
        </w:rPr>
        <w:t>20%</w:t>
      </w:r>
      <w:r>
        <w:rPr>
          <w:rFonts w:ascii="宋体" w:hAnsi="宋体" w:eastAsia="宋体" w:cs="宋体"/>
          <w:spacing w:val="-4"/>
          <w:sz w:val="24"/>
          <w:szCs w:val="24"/>
        </w:rPr>
        <w:t>，即：</w:t>
      </w:r>
      <w:r>
        <w:rPr>
          <w:rFonts w:ascii="Times New Roman" w:hAnsi="Times New Roman" w:eastAsia="Times New Roman" w:cs="Times New Roman"/>
          <w:spacing w:val="-4"/>
          <w:sz w:val="24"/>
          <w:szCs w:val="24"/>
        </w:rPr>
        <w:t>0.21m</w:t>
      </w:r>
      <w:r>
        <w:rPr>
          <w:rFonts w:ascii="宋体" w:hAnsi="宋体" w:eastAsia="宋体" w:cs="宋体"/>
          <w:spacing w:val="-4"/>
          <w:sz w:val="24"/>
          <w:szCs w:val="24"/>
        </w:rPr>
        <w:t>³</w:t>
      </w:r>
      <w:r>
        <w:rPr>
          <w:rFonts w:ascii="Times New Roman" w:hAnsi="Times New Roman" w:eastAsia="Times New Roman" w:cs="Times New Roman"/>
          <w:spacing w:val="-4"/>
          <w:sz w:val="24"/>
          <w:szCs w:val="24"/>
        </w:rPr>
        <w:t>/s</w:t>
      </w:r>
      <w:r>
        <w:rPr>
          <w:rFonts w:ascii="Times New Roman" w:hAnsi="Times New Roman" w:eastAsia="Times New Roman" w:cs="Times New Roman"/>
          <w:spacing w:val="28"/>
          <w:w w:val="101"/>
          <w:sz w:val="24"/>
          <w:szCs w:val="24"/>
        </w:rPr>
        <w:t xml:space="preserve"> </w:t>
      </w:r>
      <w:r>
        <w:rPr>
          <w:rFonts w:ascii="宋体" w:hAnsi="宋体" w:eastAsia="宋体" w:cs="宋体"/>
          <w:spacing w:val="-4"/>
          <w:sz w:val="24"/>
          <w:szCs w:val="24"/>
        </w:rPr>
        <w:t>的生态流量过程可以满足坝下河段鱼</w:t>
      </w:r>
      <w:r>
        <w:rPr>
          <w:rFonts w:ascii="宋体" w:hAnsi="宋体" w:eastAsia="宋体" w:cs="宋体"/>
          <w:sz w:val="24"/>
          <w:szCs w:val="24"/>
        </w:rPr>
        <w:t xml:space="preserve"> </w:t>
      </w:r>
      <w:r>
        <w:rPr>
          <w:rFonts w:ascii="宋体" w:hAnsi="宋体" w:eastAsia="宋体" w:cs="宋体"/>
          <w:spacing w:val="-10"/>
          <w:sz w:val="24"/>
          <w:szCs w:val="24"/>
        </w:rPr>
        <w:t>类的基本需求。因评价区内无长距离洄游的鱼类，</w:t>
      </w:r>
      <w:r>
        <w:rPr>
          <w:rFonts w:ascii="宋体" w:hAnsi="宋体" w:eastAsia="宋体" w:cs="宋体"/>
          <w:spacing w:val="35"/>
          <w:sz w:val="24"/>
          <w:szCs w:val="24"/>
        </w:rPr>
        <w:t xml:space="preserve"> </w:t>
      </w:r>
      <w:r>
        <w:rPr>
          <w:rFonts w:ascii="宋体" w:hAnsi="宋体" w:eastAsia="宋体" w:cs="宋体"/>
          <w:spacing w:val="-10"/>
          <w:sz w:val="24"/>
          <w:szCs w:val="24"/>
        </w:rPr>
        <w:t>不涉及鱼类的三场一通道，</w:t>
      </w:r>
      <w:r>
        <w:rPr>
          <w:rFonts w:ascii="宋体" w:hAnsi="宋体" w:eastAsia="宋体" w:cs="宋体"/>
          <w:spacing w:val="-28"/>
          <w:sz w:val="24"/>
          <w:szCs w:val="24"/>
        </w:rPr>
        <w:t xml:space="preserve"> </w:t>
      </w:r>
      <w:r>
        <w:rPr>
          <w:rFonts w:ascii="宋体" w:hAnsi="宋体" w:eastAsia="宋体" w:cs="宋体"/>
          <w:spacing w:val="-10"/>
          <w:sz w:val="24"/>
          <w:szCs w:val="24"/>
        </w:rPr>
        <w:t>且</w:t>
      </w:r>
      <w:r>
        <w:rPr>
          <w:rFonts w:ascii="宋体" w:hAnsi="宋体" w:eastAsia="宋体" w:cs="宋体"/>
          <w:sz w:val="24"/>
          <w:szCs w:val="24"/>
        </w:rPr>
        <w:t xml:space="preserve"> </w:t>
      </w:r>
      <w:r>
        <w:rPr>
          <w:rFonts w:ascii="宋体" w:hAnsi="宋体" w:eastAsia="宋体" w:cs="宋体"/>
          <w:spacing w:val="-8"/>
          <w:sz w:val="24"/>
          <w:szCs w:val="24"/>
        </w:rPr>
        <w:t>坝址上下鱼类区系基本相同，</w:t>
      </w:r>
      <w:r>
        <w:rPr>
          <w:rFonts w:ascii="宋体" w:hAnsi="宋体" w:eastAsia="宋体" w:cs="宋体"/>
          <w:spacing w:val="55"/>
          <w:sz w:val="24"/>
          <w:szCs w:val="24"/>
        </w:rPr>
        <w:t xml:space="preserve"> </w:t>
      </w:r>
      <w:r>
        <w:rPr>
          <w:rFonts w:ascii="宋体" w:hAnsi="宋体" w:eastAsia="宋体" w:cs="宋体"/>
          <w:spacing w:val="-8"/>
          <w:sz w:val="24"/>
          <w:szCs w:val="24"/>
        </w:rPr>
        <w:t>大坝无需建设鱼道。由于存在流量、水深、流速下</w:t>
      </w:r>
      <w:r>
        <w:rPr>
          <w:rFonts w:ascii="宋体" w:hAnsi="宋体" w:eastAsia="宋体" w:cs="宋体"/>
          <w:sz w:val="24"/>
          <w:szCs w:val="24"/>
        </w:rPr>
        <w:t xml:space="preserve"> </w:t>
      </w:r>
      <w:r>
        <w:rPr>
          <w:rFonts w:ascii="宋体" w:hAnsi="宋体" w:eastAsia="宋体" w:cs="宋体"/>
          <w:spacing w:val="-17"/>
          <w:sz w:val="24"/>
          <w:szCs w:val="24"/>
        </w:rPr>
        <w:t>降等不利影响，</w:t>
      </w:r>
      <w:r>
        <w:rPr>
          <w:rFonts w:ascii="宋体" w:hAnsi="宋体" w:eastAsia="宋体" w:cs="宋体"/>
          <w:spacing w:val="45"/>
          <w:sz w:val="24"/>
          <w:szCs w:val="24"/>
        </w:rPr>
        <w:t xml:space="preserve"> </w:t>
      </w:r>
      <w:r>
        <w:rPr>
          <w:rFonts w:ascii="宋体" w:hAnsi="宋体" w:eastAsia="宋体" w:cs="宋体"/>
          <w:spacing w:val="-17"/>
          <w:sz w:val="24"/>
          <w:szCs w:val="24"/>
        </w:rPr>
        <w:t>保障下泄生态流量的基础上，</w:t>
      </w:r>
      <w:r>
        <w:rPr>
          <w:rFonts w:ascii="宋体" w:hAnsi="宋体" w:eastAsia="宋体" w:cs="宋体"/>
          <w:spacing w:val="30"/>
          <w:sz w:val="24"/>
          <w:szCs w:val="24"/>
        </w:rPr>
        <w:t xml:space="preserve"> </w:t>
      </w:r>
      <w:r>
        <w:rPr>
          <w:rFonts w:ascii="宋体" w:hAnsi="宋体" w:eastAsia="宋体" w:cs="宋体"/>
          <w:spacing w:val="-17"/>
          <w:sz w:val="24"/>
          <w:szCs w:val="24"/>
        </w:rPr>
        <w:t>应开展鱼类增殖放流，</w:t>
      </w:r>
      <w:r>
        <w:rPr>
          <w:rFonts w:ascii="宋体" w:hAnsi="宋体" w:eastAsia="宋体" w:cs="宋体"/>
          <w:spacing w:val="56"/>
          <w:sz w:val="24"/>
          <w:szCs w:val="24"/>
        </w:rPr>
        <w:t xml:space="preserve"> </w:t>
      </w:r>
      <w:r>
        <w:rPr>
          <w:rFonts w:ascii="宋体" w:hAnsi="宋体" w:eastAsia="宋体" w:cs="宋体"/>
          <w:spacing w:val="-17"/>
          <w:sz w:val="24"/>
          <w:szCs w:val="24"/>
        </w:rPr>
        <w:t>以弥补水库</w:t>
      </w:r>
      <w:r>
        <w:rPr>
          <w:rFonts w:ascii="宋体" w:hAnsi="宋体" w:eastAsia="宋体" w:cs="宋体"/>
          <w:sz w:val="24"/>
          <w:szCs w:val="24"/>
        </w:rPr>
        <w:t xml:space="preserve"> </w:t>
      </w:r>
      <w:r>
        <w:rPr>
          <w:rFonts w:ascii="宋体" w:hAnsi="宋体" w:eastAsia="宋体" w:cs="宋体"/>
          <w:spacing w:val="-6"/>
          <w:sz w:val="24"/>
          <w:szCs w:val="24"/>
        </w:rPr>
        <w:t>建设运行对桂花河中上游流域鱼类的不利影响。综上所述， 本项目</w:t>
      </w:r>
      <w:r>
        <w:rPr>
          <w:rFonts w:ascii="宋体" w:hAnsi="宋体" w:eastAsia="宋体" w:cs="宋体"/>
          <w:spacing w:val="-7"/>
          <w:sz w:val="24"/>
          <w:szCs w:val="24"/>
        </w:rPr>
        <w:t>建设对评价区</w:t>
      </w:r>
    </w:p>
    <w:p>
      <w:pPr>
        <w:spacing w:line="219" w:lineRule="auto"/>
        <w:ind w:left="43"/>
        <w:rPr>
          <w:rFonts w:ascii="宋体" w:hAnsi="宋体" w:eastAsia="宋体" w:cs="宋体"/>
          <w:sz w:val="24"/>
          <w:szCs w:val="24"/>
        </w:rPr>
      </w:pPr>
      <w:r>
        <w:rPr>
          <w:rFonts w:ascii="宋体" w:hAnsi="宋体" w:eastAsia="宋体" w:cs="宋体"/>
          <w:spacing w:val="-6"/>
          <w:sz w:val="24"/>
          <w:szCs w:val="24"/>
        </w:rPr>
        <w:t>鱼类的影响较小。</w:t>
      </w:r>
    </w:p>
    <w:p>
      <w:pPr>
        <w:spacing w:before="18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5</w:t>
      </w:r>
      <w:r>
        <w:rPr>
          <w:rFonts w:ascii="宋体" w:hAnsi="宋体" w:eastAsia="宋体" w:cs="宋体"/>
          <w:spacing w:val="-2"/>
          <w:sz w:val="24"/>
          <w:szCs w:val="24"/>
        </w:rPr>
        <w:t>）对保护动物的影响</w:t>
      </w:r>
    </w:p>
    <w:p>
      <w:pPr>
        <w:spacing w:before="181" w:line="359" w:lineRule="auto"/>
        <w:ind w:left="42" w:right="215" w:firstLine="476"/>
        <w:rPr>
          <w:rFonts w:ascii="宋体" w:hAnsi="宋体" w:eastAsia="宋体" w:cs="宋体"/>
          <w:sz w:val="24"/>
          <w:szCs w:val="24"/>
        </w:rPr>
      </w:pPr>
      <w:r>
        <w:rPr>
          <w:rFonts w:ascii="宋体" w:hAnsi="宋体" w:eastAsia="宋体" w:cs="宋体"/>
          <w:spacing w:val="4"/>
          <w:sz w:val="24"/>
          <w:szCs w:val="24"/>
        </w:rPr>
        <w:t>施工期由于堤坝提高作业和输水管道修建不可避免地会有泥沙等污水进入</w:t>
      </w:r>
      <w:r>
        <w:rPr>
          <w:rFonts w:ascii="宋体" w:hAnsi="宋体" w:eastAsia="宋体" w:cs="宋体"/>
          <w:spacing w:val="9"/>
          <w:sz w:val="24"/>
          <w:szCs w:val="24"/>
        </w:rPr>
        <w:t xml:space="preserve"> </w:t>
      </w:r>
      <w:r>
        <w:rPr>
          <w:rFonts w:ascii="宋体" w:hAnsi="宋体" w:eastAsia="宋体" w:cs="宋体"/>
          <w:spacing w:val="-11"/>
          <w:sz w:val="24"/>
          <w:szCs w:val="24"/>
        </w:rPr>
        <w:t>水体，</w:t>
      </w:r>
      <w:r>
        <w:rPr>
          <w:rFonts w:ascii="宋体" w:hAnsi="宋体" w:eastAsia="宋体" w:cs="宋体"/>
          <w:spacing w:val="-19"/>
          <w:sz w:val="24"/>
          <w:szCs w:val="24"/>
        </w:rPr>
        <w:t xml:space="preserve"> </w:t>
      </w:r>
      <w:r>
        <w:rPr>
          <w:rFonts w:ascii="宋体" w:hAnsi="宋体" w:eastAsia="宋体" w:cs="宋体"/>
          <w:spacing w:val="-11"/>
          <w:sz w:val="24"/>
          <w:szCs w:val="24"/>
        </w:rPr>
        <w:t>导致浮游动植物种类和数量减少，</w:t>
      </w:r>
      <w:r>
        <w:rPr>
          <w:rFonts w:ascii="宋体" w:hAnsi="宋体" w:eastAsia="宋体" w:cs="宋体"/>
          <w:spacing w:val="57"/>
          <w:sz w:val="24"/>
          <w:szCs w:val="24"/>
        </w:rPr>
        <w:t xml:space="preserve"> </w:t>
      </w:r>
      <w:r>
        <w:rPr>
          <w:rFonts w:ascii="宋体" w:hAnsi="宋体" w:eastAsia="宋体" w:cs="宋体"/>
          <w:spacing w:val="-11"/>
          <w:sz w:val="24"/>
          <w:szCs w:val="24"/>
        </w:rPr>
        <w:t>以致鱼类和两栖类的栖息环境改变、停</w:t>
      </w:r>
    </w:p>
    <w:p>
      <w:pPr>
        <w:spacing w:line="219" w:lineRule="auto"/>
        <w:ind w:left="57"/>
        <w:rPr>
          <w:rFonts w:ascii="宋体" w:hAnsi="宋体" w:eastAsia="宋体" w:cs="宋体"/>
          <w:sz w:val="24"/>
          <w:szCs w:val="24"/>
        </w:rPr>
      </w:pPr>
      <w:r>
        <w:rPr>
          <w:rFonts w:ascii="宋体" w:hAnsi="宋体" w:eastAsia="宋体" w:cs="宋体"/>
          <w:spacing w:val="-2"/>
          <w:sz w:val="24"/>
          <w:szCs w:val="24"/>
        </w:rPr>
        <w:t>留和越冬水禽栖息环境改变和食物减少，这些不利影响仅在水库建设施工期。</w:t>
      </w:r>
    </w:p>
    <w:p>
      <w:pPr>
        <w:spacing w:before="182" w:line="467" w:lineRule="exact"/>
        <w:ind w:left="519"/>
        <w:rPr>
          <w:rFonts w:ascii="宋体" w:hAnsi="宋体" w:eastAsia="宋体" w:cs="宋体"/>
          <w:sz w:val="24"/>
          <w:szCs w:val="24"/>
        </w:rPr>
      </w:pPr>
      <w:r>
        <w:rPr>
          <w:rFonts w:ascii="宋体" w:hAnsi="宋体" w:eastAsia="宋体" w:cs="宋体"/>
          <w:spacing w:val="-10"/>
          <w:position w:val="17"/>
          <w:sz w:val="24"/>
          <w:szCs w:val="24"/>
        </w:rPr>
        <w:t>运行期由于水库扩容，</w:t>
      </w:r>
      <w:r>
        <w:rPr>
          <w:rFonts w:ascii="宋体" w:hAnsi="宋体" w:eastAsia="宋体" w:cs="宋体"/>
          <w:spacing w:val="-45"/>
          <w:position w:val="17"/>
          <w:sz w:val="24"/>
          <w:szCs w:val="24"/>
        </w:rPr>
        <w:t xml:space="preserve"> </w:t>
      </w:r>
      <w:r>
        <w:rPr>
          <w:rFonts w:ascii="宋体" w:hAnsi="宋体" w:eastAsia="宋体" w:cs="宋体"/>
          <w:spacing w:val="-10"/>
          <w:position w:val="17"/>
          <w:sz w:val="24"/>
          <w:szCs w:val="24"/>
        </w:rPr>
        <w:t>湿地面积增加、水质改善等将有利于动</w:t>
      </w:r>
      <w:r>
        <w:rPr>
          <w:rFonts w:ascii="宋体" w:hAnsi="宋体" w:eastAsia="宋体" w:cs="宋体"/>
          <w:spacing w:val="-11"/>
          <w:position w:val="17"/>
          <w:sz w:val="24"/>
          <w:szCs w:val="24"/>
        </w:rPr>
        <w:t>物的栖息繁育，</w:t>
      </w:r>
    </w:p>
    <w:p>
      <w:pPr>
        <w:spacing w:before="1" w:line="219" w:lineRule="auto"/>
        <w:ind w:left="37"/>
        <w:rPr>
          <w:rFonts w:ascii="宋体" w:hAnsi="宋体" w:eastAsia="宋体" w:cs="宋体"/>
          <w:sz w:val="24"/>
          <w:szCs w:val="24"/>
        </w:rPr>
      </w:pPr>
      <w:r>
        <w:rPr>
          <w:rFonts w:ascii="宋体" w:hAnsi="宋体" w:eastAsia="宋体" w:cs="宋体"/>
          <w:spacing w:val="-2"/>
          <w:sz w:val="24"/>
          <w:szCs w:val="24"/>
        </w:rPr>
        <w:t>但也存在水库蓄水后水位上升，觅食地和栖息地面积减少等影响。</w:t>
      </w:r>
    </w:p>
    <w:p>
      <w:pPr>
        <w:spacing w:before="181" w:line="359" w:lineRule="auto"/>
        <w:ind w:left="38" w:right="131" w:firstLine="480"/>
        <w:rPr>
          <w:rFonts w:ascii="宋体" w:hAnsi="宋体" w:eastAsia="宋体" w:cs="宋体"/>
          <w:sz w:val="24"/>
          <w:szCs w:val="24"/>
        </w:rPr>
      </w:pPr>
      <w:r>
        <w:rPr>
          <w:rFonts w:ascii="宋体" w:hAnsi="宋体" w:eastAsia="宋体" w:cs="宋体"/>
          <w:spacing w:val="-6"/>
          <w:sz w:val="24"/>
          <w:szCs w:val="24"/>
        </w:rPr>
        <w:t>评价区不属于这些物种的主要栖息地（生境</w:t>
      </w:r>
      <w:r>
        <w:rPr>
          <w:rFonts w:ascii="宋体" w:hAnsi="宋体" w:eastAsia="宋体" w:cs="宋体"/>
          <w:spacing w:val="-49"/>
          <w:w w:val="78"/>
          <w:sz w:val="24"/>
          <w:szCs w:val="24"/>
        </w:rPr>
        <w:t>），</w:t>
      </w:r>
      <w:r>
        <w:rPr>
          <w:rFonts w:ascii="宋体" w:hAnsi="宋体" w:eastAsia="宋体" w:cs="宋体"/>
          <w:spacing w:val="-6"/>
          <w:sz w:val="24"/>
          <w:szCs w:val="24"/>
        </w:rPr>
        <w:t>本项目占用保护区面积较少，</w:t>
      </w:r>
      <w:r>
        <w:rPr>
          <w:rFonts w:ascii="宋体" w:hAnsi="宋体" w:eastAsia="宋体" w:cs="宋体"/>
          <w:sz w:val="24"/>
          <w:szCs w:val="24"/>
        </w:rPr>
        <w:t xml:space="preserve">  </w:t>
      </w:r>
      <w:r>
        <w:rPr>
          <w:rFonts w:ascii="宋体" w:hAnsi="宋体" w:eastAsia="宋体" w:cs="宋体"/>
          <w:spacing w:val="-11"/>
          <w:sz w:val="24"/>
          <w:szCs w:val="24"/>
        </w:rPr>
        <w:t>对其环境的影响不显著，</w:t>
      </w:r>
      <w:r>
        <w:rPr>
          <w:rFonts w:ascii="宋体" w:hAnsi="宋体" w:eastAsia="宋体" w:cs="宋体"/>
          <w:spacing w:val="-42"/>
          <w:sz w:val="24"/>
          <w:szCs w:val="24"/>
        </w:rPr>
        <w:t xml:space="preserve"> </w:t>
      </w:r>
      <w:r>
        <w:rPr>
          <w:rFonts w:ascii="宋体" w:hAnsi="宋体" w:eastAsia="宋体" w:cs="宋体"/>
          <w:spacing w:val="-11"/>
          <w:sz w:val="24"/>
          <w:szCs w:val="24"/>
        </w:rPr>
        <w:t>不会明显改变这些重要物</w:t>
      </w:r>
      <w:r>
        <w:rPr>
          <w:rFonts w:ascii="宋体" w:hAnsi="宋体" w:eastAsia="宋体" w:cs="宋体"/>
          <w:spacing w:val="-12"/>
          <w:sz w:val="24"/>
          <w:szCs w:val="24"/>
        </w:rPr>
        <w:t>种的食物网链结构，</w:t>
      </w:r>
      <w:r>
        <w:rPr>
          <w:rFonts w:ascii="宋体" w:hAnsi="宋体" w:eastAsia="宋体" w:cs="宋体"/>
          <w:spacing w:val="-46"/>
          <w:sz w:val="24"/>
          <w:szCs w:val="24"/>
        </w:rPr>
        <w:t xml:space="preserve"> </w:t>
      </w:r>
      <w:r>
        <w:rPr>
          <w:rFonts w:ascii="宋体" w:hAnsi="宋体" w:eastAsia="宋体" w:cs="宋体"/>
          <w:spacing w:val="-12"/>
          <w:sz w:val="24"/>
          <w:szCs w:val="24"/>
        </w:rPr>
        <w:t>对其迁移、</w:t>
      </w:r>
    </w:p>
    <w:p>
      <w:pPr>
        <w:spacing w:before="1" w:line="218" w:lineRule="auto"/>
        <w:ind w:left="38"/>
        <w:rPr>
          <w:rFonts w:ascii="宋体" w:hAnsi="宋体" w:eastAsia="宋体" w:cs="宋体"/>
          <w:sz w:val="24"/>
          <w:szCs w:val="24"/>
        </w:rPr>
      </w:pPr>
      <w:r>
        <w:rPr>
          <w:rFonts w:ascii="宋体" w:hAnsi="宋体" w:eastAsia="宋体" w:cs="宋体"/>
          <w:spacing w:val="-4"/>
          <w:sz w:val="24"/>
          <w:szCs w:val="24"/>
        </w:rPr>
        <w:t>散布、繁衍影响甚微。</w:t>
      </w:r>
    </w:p>
    <w:p>
      <w:pPr>
        <w:spacing w:before="275" w:line="220" w:lineRule="auto"/>
        <w:ind w:left="2470"/>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45"/>
          <w:sz w:val="21"/>
          <w:szCs w:val="21"/>
        </w:rPr>
        <w:t xml:space="preserve"> </w:t>
      </w:r>
      <w:r>
        <w:rPr>
          <w:rFonts w:ascii="Times New Roman" w:hAnsi="Times New Roman" w:eastAsia="Times New Roman" w:cs="Times New Roman"/>
          <w:b/>
          <w:bCs/>
          <w:sz w:val="21"/>
          <w:szCs w:val="21"/>
        </w:rPr>
        <w:t xml:space="preserve">4.4-3    </w:t>
      </w:r>
      <w:r>
        <w:rPr>
          <w:rFonts w:ascii="宋体" w:hAnsi="宋体" w:eastAsia="宋体" w:cs="宋体"/>
          <w:sz w:val="21"/>
          <w:szCs w:val="21"/>
          <w14:textOutline w14:w="3810" w14:cap="flat" w14:cmpd="sng">
            <w14:solidFill>
              <w14:srgbClr w14:val="000000"/>
            </w14:solidFill>
            <w14:prstDash w14:val="solid"/>
            <w14:miter w14:val="0"/>
          </w14:textOutline>
        </w:rPr>
        <w:t>水库建设对保护动物</w:t>
      </w:r>
      <w:r>
        <w:rPr>
          <w:rFonts w:ascii="宋体" w:hAnsi="宋体" w:eastAsia="宋体" w:cs="宋体"/>
          <w:spacing w:val="-1"/>
          <w:sz w:val="21"/>
          <w:szCs w:val="21"/>
          <w14:textOutline w14:w="3810" w14:cap="flat" w14:cmpd="sng">
            <w14:solidFill>
              <w14:srgbClr w14:val="000000"/>
            </w14:solidFill>
            <w14:prstDash w14:val="solid"/>
            <w14:miter w14:val="0"/>
          </w14:textOutline>
        </w:rPr>
        <w:t>的影响预测</w:t>
      </w:r>
    </w:p>
    <w:p>
      <w:pPr>
        <w:spacing w:line="89" w:lineRule="exact"/>
      </w:pPr>
    </w:p>
    <w:tbl>
      <w:tblPr>
        <w:tblStyle w:val="5"/>
        <w:tblW w:w="853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
        <w:gridCol w:w="1453"/>
        <w:gridCol w:w="661"/>
        <w:gridCol w:w="3317"/>
        <w:gridCol w:w="26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4" w:hRule="atLeast"/>
        </w:trPr>
        <w:tc>
          <w:tcPr>
            <w:tcW w:w="452" w:type="dxa"/>
            <w:tcBorders>
              <w:top w:val="single" w:color="000000" w:sz="12" w:space="0"/>
              <w:left w:val="nil"/>
            </w:tcBorders>
            <w:textDirection w:val="tbRlV"/>
            <w:vAlign w:val="top"/>
          </w:tcPr>
          <w:p>
            <w:pPr>
              <w:spacing w:before="111" w:line="202" w:lineRule="auto"/>
              <w:ind w:left="51"/>
              <w:rPr>
                <w:rFonts w:ascii="仿宋" w:hAnsi="仿宋" w:eastAsia="仿宋" w:cs="仿宋"/>
                <w:sz w:val="21"/>
                <w:szCs w:val="21"/>
              </w:rPr>
            </w:pPr>
            <w:r>
              <w:rPr>
                <w:rFonts w:ascii="仿宋" w:hAnsi="仿宋" w:eastAsia="仿宋" w:cs="仿宋"/>
                <w:spacing w:val="-1"/>
                <w:sz w:val="21"/>
                <w:szCs w:val="21"/>
                <w14:textOutline w14:w="3810" w14:cap="flat" w14:cmpd="sng">
                  <w14:solidFill>
                    <w14:srgbClr w14:val="000000"/>
                  </w14:solidFill>
                  <w14:prstDash w14:val="solid"/>
                  <w14:miter w14:val="0"/>
                </w14:textOutline>
              </w:rPr>
              <w:t>序</w:t>
            </w:r>
            <w:r>
              <w:rPr>
                <w:rFonts w:ascii="仿宋" w:hAnsi="仿宋" w:eastAsia="仿宋" w:cs="仿宋"/>
                <w:spacing w:val="-1"/>
                <w:sz w:val="21"/>
                <w:szCs w:val="21"/>
              </w:rPr>
              <w:t xml:space="preserve"> </w:t>
            </w:r>
            <w:r>
              <w:rPr>
                <w:rFonts w:ascii="仿宋" w:hAnsi="仿宋" w:eastAsia="仿宋" w:cs="仿宋"/>
                <w:spacing w:val="-1"/>
                <w:sz w:val="21"/>
                <w:szCs w:val="21"/>
                <w14:textOutline w14:w="3810" w14:cap="flat" w14:cmpd="sng">
                  <w14:solidFill>
                    <w14:srgbClr w14:val="000000"/>
                  </w14:solidFill>
                  <w14:prstDash w14:val="solid"/>
                  <w14:miter w14:val="0"/>
                </w14:textOutline>
              </w:rPr>
              <w:t>号</w:t>
            </w:r>
          </w:p>
        </w:tc>
        <w:tc>
          <w:tcPr>
            <w:tcW w:w="1453" w:type="dxa"/>
            <w:tcBorders>
              <w:top w:val="single" w:color="000000" w:sz="12" w:space="0"/>
            </w:tcBorders>
            <w:vAlign w:val="top"/>
          </w:tcPr>
          <w:p>
            <w:pPr>
              <w:spacing w:before="206" w:line="217" w:lineRule="auto"/>
              <w:ind w:left="528"/>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物种</w:t>
            </w:r>
          </w:p>
        </w:tc>
        <w:tc>
          <w:tcPr>
            <w:tcW w:w="661" w:type="dxa"/>
            <w:tcBorders>
              <w:top w:val="single" w:color="000000" w:sz="12" w:space="0"/>
            </w:tcBorders>
            <w:vAlign w:val="top"/>
          </w:tcPr>
          <w:p>
            <w:pPr>
              <w:spacing w:before="50" w:line="247" w:lineRule="auto"/>
              <w:ind w:left="133" w:right="116" w:hanging="1"/>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保护</w:t>
            </w:r>
            <w:r>
              <w:rPr>
                <w:rFonts w:ascii="仿宋" w:hAnsi="仿宋" w:eastAsia="仿宋" w:cs="仿宋"/>
                <w:sz w:val="21"/>
                <w:szCs w:val="21"/>
              </w:rPr>
              <w:t xml:space="preserve"> </w:t>
            </w:r>
            <w:r>
              <w:rPr>
                <w:rFonts w:ascii="仿宋" w:hAnsi="仿宋" w:eastAsia="仿宋" w:cs="仿宋"/>
                <w:spacing w:val="-8"/>
                <w:sz w:val="21"/>
                <w:szCs w:val="21"/>
                <w14:textOutline w14:w="3810" w14:cap="flat" w14:cmpd="sng">
                  <w14:solidFill>
                    <w14:srgbClr w14:val="000000"/>
                  </w14:solidFill>
                  <w14:prstDash w14:val="solid"/>
                  <w14:miter w14:val="0"/>
                </w14:textOutline>
              </w:rPr>
              <w:t>级别</w:t>
            </w:r>
          </w:p>
        </w:tc>
        <w:tc>
          <w:tcPr>
            <w:tcW w:w="3317" w:type="dxa"/>
            <w:tcBorders>
              <w:top w:val="single" w:color="000000" w:sz="12" w:space="0"/>
            </w:tcBorders>
            <w:vAlign w:val="top"/>
          </w:tcPr>
          <w:p>
            <w:pPr>
              <w:spacing w:before="207" w:line="218" w:lineRule="auto"/>
              <w:ind w:left="135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栖息地</w:t>
            </w:r>
          </w:p>
        </w:tc>
        <w:tc>
          <w:tcPr>
            <w:tcW w:w="2654" w:type="dxa"/>
            <w:tcBorders>
              <w:top w:val="single" w:color="000000" w:sz="12" w:space="0"/>
              <w:right w:val="nil"/>
            </w:tcBorders>
            <w:vAlign w:val="top"/>
          </w:tcPr>
          <w:p>
            <w:pPr>
              <w:spacing w:before="206" w:line="219" w:lineRule="auto"/>
              <w:ind w:left="920"/>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影响预测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5" w:hRule="atLeast"/>
        </w:trPr>
        <w:tc>
          <w:tcPr>
            <w:tcW w:w="452" w:type="dxa"/>
            <w:tcBorders>
              <w:left w:val="nil"/>
            </w:tcBorders>
            <w:vAlign w:val="top"/>
          </w:tcPr>
          <w:p>
            <w:pPr>
              <w:pStyle w:val="6"/>
              <w:spacing w:before="249" w:line="188" w:lineRule="auto"/>
              <w:ind w:left="205"/>
            </w:pPr>
            <w:r>
              <w:t>1</w:t>
            </w:r>
          </w:p>
        </w:tc>
        <w:tc>
          <w:tcPr>
            <w:tcW w:w="1453" w:type="dxa"/>
            <w:vAlign w:val="top"/>
          </w:tcPr>
          <w:p>
            <w:pPr>
              <w:pStyle w:val="6"/>
              <w:spacing w:before="57" w:line="260" w:lineRule="auto"/>
              <w:ind w:left="424" w:right="148" w:hanging="262"/>
            </w:pPr>
            <w:r>
              <w:rPr>
                <w:rFonts w:ascii="仿宋" w:hAnsi="仿宋" w:eastAsia="仿宋" w:cs="仿宋"/>
                <w:spacing w:val="-2"/>
              </w:rPr>
              <w:t>黄鼬</w:t>
            </w:r>
            <w:r>
              <w:rPr>
                <w:rFonts w:ascii="仿宋" w:hAnsi="仿宋" w:eastAsia="仿宋" w:cs="仿宋"/>
                <w:spacing w:val="-49"/>
              </w:rPr>
              <w:t xml:space="preserve"> </w:t>
            </w:r>
            <w:r>
              <w:rPr>
                <w:spacing w:val="-2"/>
              </w:rPr>
              <w:t>Mustela</w:t>
            </w:r>
            <w:r>
              <w:t xml:space="preserve"> </w:t>
            </w:r>
            <w:r>
              <w:rPr>
                <w:spacing w:val="-2"/>
              </w:rPr>
              <w:t>sibirica</w:t>
            </w:r>
          </w:p>
        </w:tc>
        <w:tc>
          <w:tcPr>
            <w:tcW w:w="661" w:type="dxa"/>
            <w:vAlign w:val="top"/>
          </w:tcPr>
          <w:p>
            <w:pPr>
              <w:pStyle w:val="6"/>
              <w:spacing w:before="213" w:line="235" w:lineRule="auto"/>
              <w:ind w:left="160"/>
              <w:rPr>
                <w:rFonts w:ascii="仿宋" w:hAnsi="仿宋" w:eastAsia="仿宋" w:cs="仿宋"/>
              </w:rPr>
            </w:pPr>
            <w:r>
              <w:rPr>
                <w:spacing w:val="-4"/>
              </w:rPr>
              <w:t>C</w:t>
            </w:r>
            <w:r>
              <w:rPr>
                <w:rFonts w:ascii="仿宋" w:hAnsi="仿宋" w:eastAsia="仿宋" w:cs="仿宋"/>
                <w:spacing w:val="-4"/>
              </w:rPr>
              <w:t>Ⅲ</w:t>
            </w:r>
          </w:p>
        </w:tc>
        <w:tc>
          <w:tcPr>
            <w:tcW w:w="3317" w:type="dxa"/>
            <w:vAlign w:val="top"/>
          </w:tcPr>
          <w:p>
            <w:pPr>
              <w:spacing w:before="57" w:line="245" w:lineRule="auto"/>
              <w:ind w:left="1250" w:right="184" w:hanging="1050"/>
              <w:rPr>
                <w:rFonts w:ascii="仿宋" w:hAnsi="仿宋" w:eastAsia="仿宋" w:cs="仿宋"/>
                <w:sz w:val="21"/>
                <w:szCs w:val="21"/>
              </w:rPr>
            </w:pPr>
            <w:r>
              <w:rPr>
                <w:rFonts w:ascii="仿宋" w:hAnsi="仿宋" w:eastAsia="仿宋" w:cs="仿宋"/>
                <w:spacing w:val="-1"/>
                <w:sz w:val="21"/>
                <w:szCs w:val="21"/>
              </w:rPr>
              <w:t>林缘、河谷、灌丛、草丘中和林</w:t>
            </w:r>
            <w:r>
              <w:rPr>
                <w:rFonts w:ascii="仿宋" w:hAnsi="仿宋" w:eastAsia="仿宋" w:cs="仿宋"/>
                <w:sz w:val="21"/>
                <w:szCs w:val="21"/>
              </w:rPr>
              <w:t xml:space="preserve"> </w:t>
            </w:r>
            <w:r>
              <w:rPr>
                <w:rFonts w:ascii="仿宋" w:hAnsi="仿宋" w:eastAsia="仿宋" w:cs="仿宋"/>
                <w:spacing w:val="-3"/>
                <w:sz w:val="21"/>
                <w:szCs w:val="21"/>
              </w:rPr>
              <w:t>缘村寨附</w:t>
            </w:r>
          </w:p>
        </w:tc>
        <w:tc>
          <w:tcPr>
            <w:tcW w:w="2654" w:type="dxa"/>
            <w:tcBorders>
              <w:right w:val="nil"/>
            </w:tcBorders>
            <w:vAlign w:val="top"/>
          </w:tcPr>
          <w:p>
            <w:pPr>
              <w:spacing w:before="57" w:line="245" w:lineRule="auto"/>
              <w:ind w:left="313" w:right="171" w:hanging="130"/>
              <w:rPr>
                <w:rFonts w:ascii="仿宋" w:hAnsi="仿宋" w:eastAsia="仿宋" w:cs="仿宋"/>
                <w:sz w:val="21"/>
                <w:szCs w:val="21"/>
              </w:rPr>
            </w:pPr>
            <w:r>
              <w:rPr>
                <w:rFonts w:ascii="仿宋" w:hAnsi="仿宋" w:eastAsia="仿宋" w:cs="仿宋"/>
                <w:spacing w:val="-2"/>
                <w:sz w:val="21"/>
                <w:szCs w:val="21"/>
              </w:rPr>
              <w:t>水库建设不在其活动范围</w:t>
            </w:r>
            <w:r>
              <w:rPr>
                <w:rFonts w:ascii="仿宋" w:hAnsi="仿宋" w:eastAsia="仿宋" w:cs="仿宋"/>
                <w:spacing w:val="7"/>
                <w:sz w:val="21"/>
                <w:szCs w:val="21"/>
              </w:rPr>
              <w:t xml:space="preserve"> </w:t>
            </w:r>
            <w:r>
              <w:rPr>
                <w:rFonts w:ascii="仿宋" w:hAnsi="仿宋" w:eastAsia="仿宋" w:cs="仿宋"/>
                <w:spacing w:val="-4"/>
                <w:sz w:val="21"/>
                <w:szCs w:val="21"/>
              </w:rPr>
              <w:t>内，不会受到直接影响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3" w:hRule="atLeast"/>
        </w:trPr>
        <w:tc>
          <w:tcPr>
            <w:tcW w:w="452" w:type="dxa"/>
            <w:tcBorders>
              <w:left w:val="nil"/>
            </w:tcBorders>
            <w:vAlign w:val="top"/>
          </w:tcPr>
          <w:p>
            <w:pPr>
              <w:spacing w:line="346" w:lineRule="auto"/>
              <w:rPr>
                <w:rFonts w:ascii="Arial"/>
                <w:sz w:val="21"/>
              </w:rPr>
            </w:pPr>
          </w:p>
          <w:p>
            <w:pPr>
              <w:pStyle w:val="6"/>
              <w:spacing w:before="61" w:line="188" w:lineRule="auto"/>
              <w:ind w:left="185"/>
            </w:pPr>
            <w:r>
              <w:t>2</w:t>
            </w:r>
          </w:p>
        </w:tc>
        <w:tc>
          <w:tcPr>
            <w:tcW w:w="1453" w:type="dxa"/>
            <w:vAlign w:val="top"/>
          </w:tcPr>
          <w:p>
            <w:pPr>
              <w:pStyle w:val="6"/>
              <w:spacing w:before="215" w:line="271" w:lineRule="auto"/>
              <w:ind w:left="490" w:right="131" w:hanging="342"/>
            </w:pPr>
            <w:r>
              <w:rPr>
                <w:rFonts w:ascii="仿宋" w:hAnsi="仿宋" w:eastAsia="仿宋" w:cs="仿宋"/>
                <w:spacing w:val="-3"/>
              </w:rPr>
              <w:t>普通鵟</w:t>
            </w:r>
            <w:r>
              <w:rPr>
                <w:rFonts w:ascii="仿宋" w:hAnsi="仿宋" w:eastAsia="仿宋" w:cs="仿宋"/>
                <w:spacing w:val="-46"/>
              </w:rPr>
              <w:t xml:space="preserve"> </w:t>
            </w:r>
            <w:r>
              <w:rPr>
                <w:spacing w:val="-3"/>
              </w:rPr>
              <w:t>Buteo</w:t>
            </w:r>
            <w:r>
              <w:t xml:space="preserve"> buteo</w:t>
            </w:r>
          </w:p>
        </w:tc>
        <w:tc>
          <w:tcPr>
            <w:tcW w:w="661" w:type="dxa"/>
            <w:vAlign w:val="top"/>
          </w:tcPr>
          <w:p>
            <w:pPr>
              <w:spacing w:before="60" w:line="312" w:lineRule="exact"/>
              <w:ind w:left="268"/>
              <w:rPr>
                <w:rFonts w:ascii="仿宋" w:hAnsi="仿宋" w:eastAsia="仿宋" w:cs="仿宋"/>
                <w:sz w:val="21"/>
                <w:szCs w:val="21"/>
              </w:rPr>
            </w:pPr>
            <w:r>
              <w:rPr>
                <w:rFonts w:ascii="仿宋" w:hAnsi="仿宋" w:eastAsia="仿宋" w:cs="仿宋"/>
                <w:position w:val="7"/>
                <w:sz w:val="21"/>
                <w:szCs w:val="21"/>
              </w:rPr>
              <w:t>Ⅱ</w:t>
            </w:r>
          </w:p>
          <w:p>
            <w:pPr>
              <w:spacing w:line="219" w:lineRule="auto"/>
              <w:ind w:left="134"/>
              <w:rPr>
                <w:rFonts w:ascii="仿宋" w:hAnsi="仿宋" w:eastAsia="仿宋" w:cs="仿宋"/>
                <w:sz w:val="21"/>
                <w:szCs w:val="21"/>
              </w:rPr>
            </w:pPr>
            <w:r>
              <w:rPr>
                <w:rFonts w:ascii="仿宋" w:hAnsi="仿宋" w:eastAsia="仿宋" w:cs="仿宋"/>
                <w:spacing w:val="-13"/>
                <w:sz w:val="21"/>
                <w:szCs w:val="21"/>
              </w:rPr>
              <w:t>级、</w:t>
            </w:r>
          </w:p>
          <w:p>
            <w:pPr>
              <w:pStyle w:val="6"/>
              <w:spacing w:before="61" w:line="210" w:lineRule="auto"/>
              <w:ind w:left="160"/>
              <w:rPr>
                <w:rFonts w:ascii="仿宋" w:hAnsi="仿宋" w:eastAsia="仿宋" w:cs="仿宋"/>
              </w:rPr>
            </w:pPr>
            <w:r>
              <w:rPr>
                <w:spacing w:val="-4"/>
              </w:rPr>
              <w:t>C</w:t>
            </w:r>
            <w:r>
              <w:rPr>
                <w:rFonts w:ascii="仿宋" w:hAnsi="仿宋" w:eastAsia="仿宋" w:cs="仿宋"/>
                <w:spacing w:val="-4"/>
              </w:rPr>
              <w:t>Ⅱ</w:t>
            </w:r>
          </w:p>
        </w:tc>
        <w:tc>
          <w:tcPr>
            <w:tcW w:w="3317" w:type="dxa"/>
            <w:vAlign w:val="top"/>
          </w:tcPr>
          <w:p>
            <w:pPr>
              <w:spacing w:before="216" w:line="245" w:lineRule="auto"/>
              <w:ind w:left="830" w:right="185" w:hanging="630"/>
              <w:rPr>
                <w:rFonts w:ascii="仿宋" w:hAnsi="仿宋" w:eastAsia="仿宋" w:cs="仿宋"/>
                <w:sz w:val="21"/>
                <w:szCs w:val="21"/>
              </w:rPr>
            </w:pPr>
            <w:r>
              <w:rPr>
                <w:rFonts w:ascii="仿宋" w:hAnsi="仿宋" w:eastAsia="仿宋" w:cs="仿宋"/>
                <w:spacing w:val="-1"/>
                <w:sz w:val="21"/>
                <w:szCs w:val="21"/>
              </w:rPr>
              <w:t>开阔平原、荒漠、旷野、开垦的</w:t>
            </w:r>
            <w:r>
              <w:rPr>
                <w:rFonts w:ascii="仿宋" w:hAnsi="仿宋" w:eastAsia="仿宋" w:cs="仿宋"/>
                <w:sz w:val="21"/>
                <w:szCs w:val="21"/>
              </w:rPr>
              <w:t xml:space="preserve"> </w:t>
            </w:r>
            <w:r>
              <w:rPr>
                <w:rFonts w:ascii="仿宋" w:hAnsi="仿宋" w:eastAsia="仿宋" w:cs="仿宋"/>
                <w:spacing w:val="-2"/>
                <w:sz w:val="21"/>
                <w:szCs w:val="21"/>
              </w:rPr>
              <w:t>耕作区、林缘草地</w:t>
            </w:r>
          </w:p>
        </w:tc>
        <w:tc>
          <w:tcPr>
            <w:tcW w:w="2654" w:type="dxa"/>
            <w:tcBorders>
              <w:right w:val="nil"/>
            </w:tcBorders>
            <w:vAlign w:val="top"/>
          </w:tcPr>
          <w:p>
            <w:pPr>
              <w:spacing w:line="302" w:lineRule="auto"/>
              <w:rPr>
                <w:rFonts w:ascii="Arial"/>
                <w:sz w:val="21"/>
              </w:rPr>
            </w:pPr>
          </w:p>
          <w:p>
            <w:pPr>
              <w:spacing w:before="69" w:line="217" w:lineRule="auto"/>
              <w:ind w:left="185"/>
              <w:rPr>
                <w:rFonts w:ascii="仿宋" w:hAnsi="仿宋" w:eastAsia="仿宋" w:cs="仿宋"/>
                <w:sz w:val="21"/>
                <w:szCs w:val="21"/>
              </w:rPr>
            </w:pPr>
            <w:r>
              <w:rPr>
                <w:rFonts w:ascii="仿宋" w:hAnsi="仿宋" w:eastAsia="仿宋" w:cs="仿宋"/>
                <w:spacing w:val="-2"/>
                <w:sz w:val="21"/>
                <w:szCs w:val="21"/>
              </w:rPr>
              <w:t>其活动范围较大，影响小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3" w:hRule="atLeast"/>
        </w:trPr>
        <w:tc>
          <w:tcPr>
            <w:tcW w:w="452" w:type="dxa"/>
            <w:tcBorders>
              <w:left w:val="nil"/>
            </w:tcBorders>
            <w:vAlign w:val="top"/>
          </w:tcPr>
          <w:p>
            <w:pPr>
              <w:spacing w:line="354" w:lineRule="auto"/>
              <w:rPr>
                <w:rFonts w:ascii="Arial"/>
                <w:sz w:val="21"/>
              </w:rPr>
            </w:pPr>
          </w:p>
          <w:p>
            <w:pPr>
              <w:pStyle w:val="6"/>
              <w:spacing w:before="60" w:line="188" w:lineRule="auto"/>
              <w:ind w:left="189"/>
            </w:pPr>
            <w:r>
              <w:t>3</w:t>
            </w:r>
          </w:p>
        </w:tc>
        <w:tc>
          <w:tcPr>
            <w:tcW w:w="1453" w:type="dxa"/>
            <w:vAlign w:val="top"/>
          </w:tcPr>
          <w:p>
            <w:pPr>
              <w:pStyle w:val="6"/>
              <w:spacing w:before="223" w:line="271" w:lineRule="auto"/>
              <w:ind w:left="236" w:right="232" w:firstLine="32"/>
            </w:pPr>
            <w:r>
              <w:rPr>
                <w:rFonts w:ascii="仿宋" w:hAnsi="仿宋" w:eastAsia="仿宋" w:cs="仿宋"/>
                <w:spacing w:val="-3"/>
              </w:rPr>
              <w:t>红隼</w:t>
            </w:r>
            <w:r>
              <w:rPr>
                <w:rFonts w:ascii="仿宋" w:hAnsi="仿宋" w:eastAsia="仿宋" w:cs="仿宋"/>
                <w:spacing w:val="-47"/>
              </w:rPr>
              <w:t xml:space="preserve"> </w:t>
            </w:r>
            <w:r>
              <w:rPr>
                <w:spacing w:val="-3"/>
              </w:rPr>
              <w:t>Falco</w:t>
            </w:r>
            <w:r>
              <w:t xml:space="preserve"> </w:t>
            </w:r>
            <w:r>
              <w:rPr>
                <w:spacing w:val="-1"/>
              </w:rPr>
              <w:t>tinnunculus</w:t>
            </w:r>
          </w:p>
        </w:tc>
        <w:tc>
          <w:tcPr>
            <w:tcW w:w="661" w:type="dxa"/>
            <w:vAlign w:val="top"/>
          </w:tcPr>
          <w:p>
            <w:pPr>
              <w:spacing w:before="68" w:line="312" w:lineRule="exact"/>
              <w:ind w:left="268"/>
              <w:rPr>
                <w:rFonts w:ascii="仿宋" w:hAnsi="仿宋" w:eastAsia="仿宋" w:cs="仿宋"/>
                <w:sz w:val="21"/>
                <w:szCs w:val="21"/>
              </w:rPr>
            </w:pPr>
            <w:r>
              <w:rPr>
                <w:rFonts w:ascii="仿宋" w:hAnsi="仿宋" w:eastAsia="仿宋" w:cs="仿宋"/>
                <w:position w:val="7"/>
                <w:sz w:val="21"/>
                <w:szCs w:val="21"/>
              </w:rPr>
              <w:t>Ⅱ</w:t>
            </w:r>
          </w:p>
          <w:p>
            <w:pPr>
              <w:spacing w:line="219" w:lineRule="auto"/>
              <w:ind w:left="134"/>
              <w:rPr>
                <w:rFonts w:ascii="仿宋" w:hAnsi="仿宋" w:eastAsia="仿宋" w:cs="仿宋"/>
                <w:sz w:val="21"/>
                <w:szCs w:val="21"/>
              </w:rPr>
            </w:pPr>
            <w:r>
              <w:rPr>
                <w:rFonts w:ascii="仿宋" w:hAnsi="仿宋" w:eastAsia="仿宋" w:cs="仿宋"/>
                <w:spacing w:val="-13"/>
                <w:sz w:val="21"/>
                <w:szCs w:val="21"/>
              </w:rPr>
              <w:t>级、</w:t>
            </w:r>
          </w:p>
          <w:p>
            <w:pPr>
              <w:pStyle w:val="6"/>
              <w:spacing w:before="61" w:line="203" w:lineRule="auto"/>
              <w:ind w:left="160"/>
              <w:rPr>
                <w:rFonts w:ascii="仿宋" w:hAnsi="仿宋" w:eastAsia="仿宋" w:cs="仿宋"/>
              </w:rPr>
            </w:pPr>
            <w:r>
              <w:rPr>
                <w:spacing w:val="-4"/>
              </w:rPr>
              <w:t>C</w:t>
            </w:r>
            <w:r>
              <w:rPr>
                <w:rFonts w:ascii="仿宋" w:hAnsi="仿宋" w:eastAsia="仿宋" w:cs="仿宋"/>
                <w:spacing w:val="-4"/>
              </w:rPr>
              <w:t>Ⅱ</w:t>
            </w:r>
          </w:p>
        </w:tc>
        <w:tc>
          <w:tcPr>
            <w:tcW w:w="3317" w:type="dxa"/>
            <w:vAlign w:val="top"/>
          </w:tcPr>
          <w:p>
            <w:pPr>
              <w:spacing w:before="223" w:line="246" w:lineRule="auto"/>
              <w:ind w:left="218" w:right="185"/>
              <w:rPr>
                <w:rFonts w:ascii="仿宋" w:hAnsi="仿宋" w:eastAsia="仿宋" w:cs="仿宋"/>
                <w:sz w:val="21"/>
                <w:szCs w:val="21"/>
              </w:rPr>
            </w:pPr>
            <w:r>
              <w:rPr>
                <w:rFonts w:ascii="仿宋" w:hAnsi="仿宋" w:eastAsia="仿宋" w:cs="仿宋"/>
                <w:spacing w:val="-3"/>
                <w:sz w:val="21"/>
                <w:szCs w:val="21"/>
              </w:rPr>
              <w:t>山地森林、森林苔原、旷野、山</w:t>
            </w:r>
            <w:r>
              <w:rPr>
                <w:rFonts w:ascii="仿宋" w:hAnsi="仿宋" w:eastAsia="仿宋" w:cs="仿宋"/>
                <w:spacing w:val="8"/>
                <w:sz w:val="21"/>
                <w:szCs w:val="21"/>
              </w:rPr>
              <w:t xml:space="preserve"> </w:t>
            </w:r>
            <w:r>
              <w:rPr>
                <w:rFonts w:ascii="仿宋" w:hAnsi="仿宋" w:eastAsia="仿宋" w:cs="仿宋"/>
                <w:spacing w:val="-3"/>
                <w:sz w:val="21"/>
                <w:szCs w:val="21"/>
              </w:rPr>
              <w:t>区植物稀疏的混合林、开垦耕地</w:t>
            </w:r>
          </w:p>
        </w:tc>
        <w:tc>
          <w:tcPr>
            <w:tcW w:w="2654" w:type="dxa"/>
            <w:tcBorders>
              <w:right w:val="nil"/>
            </w:tcBorders>
            <w:vAlign w:val="top"/>
          </w:tcPr>
          <w:p>
            <w:pPr>
              <w:spacing w:line="310" w:lineRule="auto"/>
              <w:rPr>
                <w:rFonts w:ascii="Arial"/>
                <w:sz w:val="21"/>
              </w:rPr>
            </w:pPr>
          </w:p>
          <w:p>
            <w:pPr>
              <w:spacing w:before="69" w:line="217" w:lineRule="auto"/>
              <w:ind w:left="185"/>
              <w:rPr>
                <w:rFonts w:ascii="仿宋" w:hAnsi="仿宋" w:eastAsia="仿宋" w:cs="仿宋"/>
                <w:sz w:val="21"/>
                <w:szCs w:val="21"/>
              </w:rPr>
            </w:pPr>
            <w:r>
              <w:rPr>
                <w:rFonts w:ascii="仿宋" w:hAnsi="仿宋" w:eastAsia="仿宋" w:cs="仿宋"/>
                <w:spacing w:val="-2"/>
                <w:sz w:val="21"/>
                <w:szCs w:val="21"/>
              </w:rPr>
              <w:t>其活动范围较大，影响小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0" w:hRule="atLeast"/>
        </w:trPr>
        <w:tc>
          <w:tcPr>
            <w:tcW w:w="452" w:type="dxa"/>
            <w:tcBorders>
              <w:left w:val="nil"/>
              <w:bottom w:val="single" w:color="000000" w:sz="12" w:space="0"/>
            </w:tcBorders>
            <w:vAlign w:val="top"/>
          </w:tcPr>
          <w:p>
            <w:pPr>
              <w:pStyle w:val="6"/>
              <w:spacing w:before="270" w:line="188" w:lineRule="auto"/>
              <w:ind w:left="184"/>
            </w:pPr>
            <w:r>
              <w:t>4</w:t>
            </w:r>
          </w:p>
        </w:tc>
        <w:tc>
          <w:tcPr>
            <w:tcW w:w="1453" w:type="dxa"/>
            <w:tcBorders>
              <w:bottom w:val="single" w:color="000000" w:sz="12" w:space="0"/>
            </w:tcBorders>
            <w:vAlign w:val="top"/>
          </w:tcPr>
          <w:p>
            <w:pPr>
              <w:spacing w:before="77" w:line="344" w:lineRule="exact"/>
              <w:ind w:left="527"/>
              <w:rPr>
                <w:rFonts w:ascii="仿宋" w:hAnsi="仿宋" w:eastAsia="仿宋" w:cs="仿宋"/>
                <w:sz w:val="21"/>
                <w:szCs w:val="21"/>
              </w:rPr>
            </w:pPr>
            <w:r>
              <w:rPr>
                <w:rFonts w:ascii="仿宋" w:hAnsi="仿宋" w:eastAsia="仿宋" w:cs="仿宋"/>
                <w:spacing w:val="-4"/>
                <w:position w:val="10"/>
                <w:sz w:val="21"/>
                <w:szCs w:val="21"/>
              </w:rPr>
              <w:t>雀鷹</w:t>
            </w:r>
          </w:p>
          <w:p>
            <w:pPr>
              <w:pStyle w:val="6"/>
              <w:spacing w:line="191" w:lineRule="auto"/>
              <w:ind w:left="334"/>
            </w:pPr>
            <w:r>
              <w:t>Accipiter</w:t>
            </w:r>
          </w:p>
        </w:tc>
        <w:tc>
          <w:tcPr>
            <w:tcW w:w="661" w:type="dxa"/>
            <w:tcBorders>
              <w:bottom w:val="single" w:color="000000" w:sz="12" w:space="0"/>
            </w:tcBorders>
            <w:vAlign w:val="top"/>
          </w:tcPr>
          <w:p>
            <w:pPr>
              <w:spacing w:before="77" w:line="312" w:lineRule="exact"/>
              <w:ind w:left="268"/>
              <w:rPr>
                <w:rFonts w:ascii="仿宋" w:hAnsi="仿宋" w:eastAsia="仿宋" w:cs="仿宋"/>
                <w:sz w:val="21"/>
                <w:szCs w:val="21"/>
              </w:rPr>
            </w:pPr>
            <w:r>
              <w:rPr>
                <w:rFonts w:ascii="仿宋" w:hAnsi="仿宋" w:eastAsia="仿宋" w:cs="仿宋"/>
                <w:position w:val="7"/>
                <w:sz w:val="21"/>
                <w:szCs w:val="21"/>
              </w:rPr>
              <w:t>Ⅱ</w:t>
            </w:r>
          </w:p>
          <w:p>
            <w:pPr>
              <w:spacing w:line="219" w:lineRule="auto"/>
              <w:ind w:left="134"/>
              <w:rPr>
                <w:rFonts w:ascii="仿宋" w:hAnsi="仿宋" w:eastAsia="仿宋" w:cs="仿宋"/>
                <w:sz w:val="21"/>
                <w:szCs w:val="21"/>
              </w:rPr>
            </w:pPr>
            <w:r>
              <w:rPr>
                <w:rFonts w:ascii="仿宋" w:hAnsi="仿宋" w:eastAsia="仿宋" w:cs="仿宋"/>
                <w:spacing w:val="-13"/>
                <w:sz w:val="21"/>
                <w:szCs w:val="21"/>
              </w:rPr>
              <w:t>级、</w:t>
            </w:r>
          </w:p>
        </w:tc>
        <w:tc>
          <w:tcPr>
            <w:tcW w:w="3317" w:type="dxa"/>
            <w:tcBorders>
              <w:bottom w:val="single" w:color="000000" w:sz="12" w:space="0"/>
            </w:tcBorders>
            <w:vAlign w:val="top"/>
          </w:tcPr>
          <w:p>
            <w:pPr>
              <w:spacing w:before="77" w:line="245" w:lineRule="auto"/>
              <w:ind w:left="207" w:right="184" w:hanging="8"/>
              <w:rPr>
                <w:rFonts w:ascii="仿宋" w:hAnsi="仿宋" w:eastAsia="仿宋" w:cs="仿宋"/>
                <w:sz w:val="21"/>
                <w:szCs w:val="21"/>
              </w:rPr>
            </w:pPr>
            <w:r>
              <w:rPr>
                <w:rFonts w:ascii="仿宋" w:hAnsi="仿宋" w:eastAsia="仿宋" w:cs="仿宋"/>
                <w:spacing w:val="-1"/>
                <w:sz w:val="21"/>
                <w:szCs w:val="21"/>
              </w:rPr>
              <w:t>栖息于针叶林、混交林、阔叶林</w:t>
            </w:r>
            <w:r>
              <w:rPr>
                <w:rFonts w:ascii="仿宋" w:hAnsi="仿宋" w:eastAsia="仿宋" w:cs="仿宋"/>
                <w:sz w:val="21"/>
                <w:szCs w:val="21"/>
              </w:rPr>
              <w:t xml:space="preserve"> </w:t>
            </w:r>
            <w:r>
              <w:rPr>
                <w:rFonts w:ascii="仿宋" w:hAnsi="仿宋" w:eastAsia="仿宋" w:cs="仿宋"/>
                <w:spacing w:val="-2"/>
                <w:sz w:val="21"/>
                <w:szCs w:val="21"/>
              </w:rPr>
              <w:t>等山地森林和林缘地带，冬季主</w:t>
            </w:r>
          </w:p>
        </w:tc>
        <w:tc>
          <w:tcPr>
            <w:tcW w:w="2654" w:type="dxa"/>
            <w:tcBorders>
              <w:bottom w:val="single" w:color="000000" w:sz="12" w:space="0"/>
              <w:right w:val="nil"/>
            </w:tcBorders>
            <w:vAlign w:val="top"/>
          </w:tcPr>
          <w:p>
            <w:pPr>
              <w:spacing w:before="233" w:line="217" w:lineRule="auto"/>
              <w:ind w:left="185"/>
              <w:rPr>
                <w:rFonts w:ascii="仿宋" w:hAnsi="仿宋" w:eastAsia="仿宋" w:cs="仿宋"/>
                <w:sz w:val="21"/>
                <w:szCs w:val="21"/>
              </w:rPr>
            </w:pPr>
            <w:r>
              <w:rPr>
                <w:rFonts w:ascii="仿宋" w:hAnsi="仿宋" w:eastAsia="仿宋" w:cs="仿宋"/>
                <w:spacing w:val="-2"/>
                <w:sz w:val="21"/>
                <w:szCs w:val="21"/>
              </w:rPr>
              <w:t>其活动范围较大，影响小</w:t>
            </w:r>
          </w:p>
        </w:tc>
      </w:tr>
    </w:tbl>
    <w:p>
      <w:pPr>
        <w:rPr>
          <w:rFonts w:ascii="Arial"/>
          <w:sz w:val="21"/>
        </w:rPr>
      </w:pPr>
    </w:p>
    <w:p>
      <w:pPr>
        <w:rPr>
          <w:rFonts w:ascii="Arial" w:hAnsi="Arial" w:eastAsia="Arial" w:cs="Arial"/>
          <w:sz w:val="21"/>
          <w:szCs w:val="21"/>
        </w:rPr>
        <w:sectPr>
          <w:headerReference r:id="rId400" w:type="default"/>
          <w:footerReference r:id="rId401" w:type="default"/>
          <w:pgSz w:w="11907" w:h="16839"/>
          <w:pgMar w:top="1156" w:right="1582" w:bottom="1374" w:left="1770" w:header="881" w:footer="1210" w:gutter="0"/>
        </w:sectPr>
      </w:pPr>
    </w:p>
    <w:p>
      <w:pPr>
        <w:spacing w:before="41"/>
      </w:pPr>
    </w:p>
    <w:tbl>
      <w:tblPr>
        <w:tblStyle w:val="5"/>
        <w:tblW w:w="853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2"/>
        <w:gridCol w:w="1453"/>
        <w:gridCol w:w="661"/>
        <w:gridCol w:w="3317"/>
        <w:gridCol w:w="26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0" w:hRule="atLeast"/>
        </w:trPr>
        <w:tc>
          <w:tcPr>
            <w:tcW w:w="452" w:type="dxa"/>
            <w:tcBorders>
              <w:top w:val="single" w:color="000000" w:sz="12" w:space="0"/>
              <w:left w:val="nil"/>
            </w:tcBorders>
            <w:vAlign w:val="top"/>
          </w:tcPr>
          <w:p>
            <w:pPr>
              <w:rPr>
                <w:rFonts w:ascii="Arial"/>
                <w:sz w:val="21"/>
              </w:rPr>
            </w:pPr>
          </w:p>
        </w:tc>
        <w:tc>
          <w:tcPr>
            <w:tcW w:w="1453" w:type="dxa"/>
            <w:tcBorders>
              <w:top w:val="single" w:color="000000" w:sz="12" w:space="0"/>
            </w:tcBorders>
            <w:vAlign w:val="top"/>
          </w:tcPr>
          <w:p>
            <w:pPr>
              <w:pStyle w:val="6"/>
              <w:spacing w:before="86" w:line="232" w:lineRule="auto"/>
              <w:ind w:left="509"/>
            </w:pPr>
            <w:r>
              <w:rPr>
                <w:spacing w:val="-1"/>
              </w:rPr>
              <w:t>nisus</w:t>
            </w:r>
          </w:p>
        </w:tc>
        <w:tc>
          <w:tcPr>
            <w:tcW w:w="661" w:type="dxa"/>
            <w:tcBorders>
              <w:top w:val="single" w:color="000000" w:sz="12" w:space="0"/>
            </w:tcBorders>
            <w:vAlign w:val="top"/>
          </w:tcPr>
          <w:p>
            <w:pPr>
              <w:pStyle w:val="6"/>
              <w:spacing w:before="51" w:line="235" w:lineRule="auto"/>
              <w:ind w:left="160"/>
              <w:rPr>
                <w:rFonts w:ascii="仿宋" w:hAnsi="仿宋" w:eastAsia="仿宋" w:cs="仿宋"/>
              </w:rPr>
            </w:pPr>
            <w:r>
              <w:rPr>
                <w:spacing w:val="-4"/>
              </w:rPr>
              <w:t>C</w:t>
            </w:r>
            <w:r>
              <w:rPr>
                <w:rFonts w:ascii="仿宋" w:hAnsi="仿宋" w:eastAsia="仿宋" w:cs="仿宋"/>
                <w:spacing w:val="-4"/>
              </w:rPr>
              <w:t>Ⅱ</w:t>
            </w:r>
          </w:p>
        </w:tc>
        <w:tc>
          <w:tcPr>
            <w:tcW w:w="3317" w:type="dxa"/>
            <w:tcBorders>
              <w:top w:val="single" w:color="000000" w:sz="12" w:space="0"/>
            </w:tcBorders>
            <w:vAlign w:val="top"/>
          </w:tcPr>
          <w:p>
            <w:pPr>
              <w:spacing w:before="52" w:line="260" w:lineRule="auto"/>
              <w:ind w:left="200" w:right="185" w:firstLine="4"/>
              <w:rPr>
                <w:rFonts w:ascii="仿宋" w:hAnsi="仿宋" w:eastAsia="仿宋" w:cs="仿宋"/>
                <w:sz w:val="21"/>
                <w:szCs w:val="21"/>
              </w:rPr>
            </w:pPr>
            <w:r>
              <w:rPr>
                <w:rFonts w:ascii="仿宋" w:hAnsi="仿宋" w:eastAsia="仿宋" w:cs="仿宋"/>
                <w:spacing w:val="-16"/>
                <w:sz w:val="21"/>
                <w:szCs w:val="21"/>
              </w:rPr>
              <w:t>要栖息于低山丘陵、</w:t>
            </w:r>
            <w:r>
              <w:rPr>
                <w:rFonts w:ascii="仿宋" w:hAnsi="仿宋" w:eastAsia="仿宋" w:cs="仿宋"/>
                <w:spacing w:val="66"/>
                <w:sz w:val="21"/>
                <w:szCs w:val="21"/>
              </w:rPr>
              <w:t xml:space="preserve"> </w:t>
            </w:r>
            <w:r>
              <w:rPr>
                <w:rFonts w:ascii="仿宋" w:hAnsi="仿宋" w:eastAsia="仿宋" w:cs="仿宋"/>
                <w:spacing w:val="-16"/>
                <w:sz w:val="21"/>
                <w:szCs w:val="21"/>
              </w:rPr>
              <w:t>山脚平原、</w:t>
            </w:r>
            <w:r>
              <w:rPr>
                <w:rFonts w:ascii="仿宋" w:hAnsi="仿宋" w:eastAsia="仿宋" w:cs="仿宋"/>
                <w:sz w:val="21"/>
                <w:szCs w:val="21"/>
              </w:rPr>
              <w:t xml:space="preserve"> </w:t>
            </w:r>
            <w:r>
              <w:rPr>
                <w:rFonts w:ascii="仿宋" w:hAnsi="仿宋" w:eastAsia="仿宋" w:cs="仿宋"/>
                <w:spacing w:val="-1"/>
                <w:sz w:val="21"/>
                <w:szCs w:val="21"/>
              </w:rPr>
              <w:t>农田地边、以及村庄附近，尤其</w:t>
            </w:r>
            <w:r>
              <w:rPr>
                <w:rFonts w:ascii="仿宋" w:hAnsi="仿宋" w:eastAsia="仿宋" w:cs="仿宋"/>
                <w:sz w:val="21"/>
                <w:szCs w:val="21"/>
              </w:rPr>
              <w:t xml:space="preserve"> </w:t>
            </w:r>
            <w:r>
              <w:rPr>
                <w:rFonts w:ascii="仿宋" w:hAnsi="仿宋" w:eastAsia="仿宋" w:cs="仿宋"/>
                <w:spacing w:val="-1"/>
                <w:sz w:val="21"/>
                <w:szCs w:val="21"/>
              </w:rPr>
              <w:t>喜欢在林缘、河谷，采伐迹地的</w:t>
            </w:r>
            <w:r>
              <w:rPr>
                <w:rFonts w:ascii="仿宋" w:hAnsi="仿宋" w:eastAsia="仿宋" w:cs="仿宋"/>
                <w:sz w:val="21"/>
                <w:szCs w:val="21"/>
              </w:rPr>
              <w:t xml:space="preserve"> </w:t>
            </w:r>
            <w:r>
              <w:rPr>
                <w:rFonts w:ascii="仿宋" w:hAnsi="仿宋" w:eastAsia="仿宋" w:cs="仿宋"/>
                <w:spacing w:val="-1"/>
                <w:sz w:val="21"/>
                <w:szCs w:val="21"/>
              </w:rPr>
              <w:t>次生林和农田附近的小块丛林地</w:t>
            </w:r>
          </w:p>
          <w:p>
            <w:pPr>
              <w:spacing w:before="64" w:line="216" w:lineRule="auto"/>
              <w:ind w:left="1261"/>
              <w:rPr>
                <w:rFonts w:ascii="仿宋" w:hAnsi="仿宋" w:eastAsia="仿宋" w:cs="仿宋"/>
                <w:sz w:val="21"/>
                <w:szCs w:val="21"/>
              </w:rPr>
            </w:pPr>
            <w:r>
              <w:rPr>
                <w:rFonts w:ascii="仿宋" w:hAnsi="仿宋" w:eastAsia="仿宋" w:cs="仿宋"/>
                <w:spacing w:val="-10"/>
                <w:sz w:val="21"/>
                <w:szCs w:val="21"/>
              </w:rPr>
              <w:t>带活动。</w:t>
            </w:r>
          </w:p>
        </w:tc>
        <w:tc>
          <w:tcPr>
            <w:tcW w:w="2654" w:type="dxa"/>
            <w:tcBorders>
              <w:top w:val="single" w:color="000000" w:sz="12" w:space="0"/>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 w:hRule="atLeast"/>
        </w:trPr>
        <w:tc>
          <w:tcPr>
            <w:tcW w:w="452" w:type="dxa"/>
            <w:tcBorders>
              <w:left w:val="nil"/>
            </w:tcBorders>
            <w:vAlign w:val="top"/>
          </w:tcPr>
          <w:p>
            <w:pPr>
              <w:spacing w:line="345" w:lineRule="auto"/>
              <w:rPr>
                <w:rFonts w:ascii="Arial"/>
                <w:sz w:val="21"/>
              </w:rPr>
            </w:pPr>
          </w:p>
          <w:p>
            <w:pPr>
              <w:pStyle w:val="6"/>
              <w:spacing w:before="60" w:line="185" w:lineRule="auto"/>
              <w:ind w:left="191"/>
            </w:pPr>
            <w:r>
              <w:t>5</w:t>
            </w:r>
          </w:p>
        </w:tc>
        <w:tc>
          <w:tcPr>
            <w:tcW w:w="1453" w:type="dxa"/>
            <w:vAlign w:val="top"/>
          </w:tcPr>
          <w:p>
            <w:pPr>
              <w:spacing w:before="56" w:line="344" w:lineRule="exact"/>
              <w:ind w:left="422"/>
              <w:rPr>
                <w:rFonts w:ascii="仿宋" w:hAnsi="仿宋" w:eastAsia="仿宋" w:cs="仿宋"/>
                <w:sz w:val="21"/>
                <w:szCs w:val="21"/>
              </w:rPr>
            </w:pPr>
            <w:r>
              <w:rPr>
                <w:rFonts w:ascii="仿宋" w:hAnsi="仿宋" w:eastAsia="仿宋" w:cs="仿宋"/>
                <w:spacing w:val="-3"/>
                <w:position w:val="10"/>
                <w:sz w:val="21"/>
                <w:szCs w:val="21"/>
              </w:rPr>
              <w:t>松雀鹰</w:t>
            </w:r>
          </w:p>
          <w:p>
            <w:pPr>
              <w:pStyle w:val="6"/>
              <w:spacing w:line="191" w:lineRule="auto"/>
              <w:ind w:left="334"/>
            </w:pPr>
            <w:r>
              <w:t>Accipiter</w:t>
            </w:r>
          </w:p>
          <w:p>
            <w:pPr>
              <w:pStyle w:val="6"/>
              <w:spacing w:before="120" w:line="190" w:lineRule="auto"/>
              <w:ind w:left="389"/>
            </w:pPr>
            <w:r>
              <w:rPr>
                <w:spacing w:val="-1"/>
              </w:rPr>
              <w:t>virgatus</w:t>
            </w:r>
          </w:p>
        </w:tc>
        <w:tc>
          <w:tcPr>
            <w:tcW w:w="661" w:type="dxa"/>
            <w:vAlign w:val="top"/>
          </w:tcPr>
          <w:p>
            <w:pPr>
              <w:spacing w:before="56" w:line="312" w:lineRule="exact"/>
              <w:ind w:left="268"/>
              <w:rPr>
                <w:rFonts w:ascii="仿宋" w:hAnsi="仿宋" w:eastAsia="仿宋" w:cs="仿宋"/>
                <w:sz w:val="21"/>
                <w:szCs w:val="21"/>
              </w:rPr>
            </w:pPr>
            <w:r>
              <w:rPr>
                <w:rFonts w:ascii="仿宋" w:hAnsi="仿宋" w:eastAsia="仿宋" w:cs="仿宋"/>
                <w:position w:val="7"/>
                <w:sz w:val="21"/>
                <w:szCs w:val="21"/>
              </w:rPr>
              <w:t>Ⅱ</w:t>
            </w:r>
          </w:p>
          <w:p>
            <w:pPr>
              <w:spacing w:line="219" w:lineRule="auto"/>
              <w:ind w:left="134"/>
              <w:rPr>
                <w:rFonts w:ascii="仿宋" w:hAnsi="仿宋" w:eastAsia="仿宋" w:cs="仿宋"/>
                <w:sz w:val="21"/>
                <w:szCs w:val="21"/>
              </w:rPr>
            </w:pPr>
            <w:r>
              <w:rPr>
                <w:rFonts w:ascii="仿宋" w:hAnsi="仿宋" w:eastAsia="仿宋" w:cs="仿宋"/>
                <w:spacing w:val="-13"/>
                <w:sz w:val="21"/>
                <w:szCs w:val="21"/>
              </w:rPr>
              <w:t>级、</w:t>
            </w:r>
          </w:p>
          <w:p>
            <w:pPr>
              <w:pStyle w:val="6"/>
              <w:spacing w:before="62" w:line="217" w:lineRule="auto"/>
              <w:ind w:left="160"/>
              <w:rPr>
                <w:rFonts w:ascii="仿宋" w:hAnsi="仿宋" w:eastAsia="仿宋" w:cs="仿宋"/>
              </w:rPr>
            </w:pPr>
            <w:r>
              <w:rPr>
                <w:spacing w:val="-4"/>
              </w:rPr>
              <w:t>C</w:t>
            </w:r>
            <w:r>
              <w:rPr>
                <w:rFonts w:ascii="仿宋" w:hAnsi="仿宋" w:eastAsia="仿宋" w:cs="仿宋"/>
                <w:spacing w:val="-4"/>
              </w:rPr>
              <w:t>Ⅱ</w:t>
            </w:r>
          </w:p>
        </w:tc>
        <w:tc>
          <w:tcPr>
            <w:tcW w:w="3317" w:type="dxa"/>
            <w:vAlign w:val="top"/>
          </w:tcPr>
          <w:p>
            <w:pPr>
              <w:spacing w:line="298" w:lineRule="auto"/>
              <w:rPr>
                <w:rFonts w:ascii="Arial"/>
                <w:sz w:val="21"/>
              </w:rPr>
            </w:pPr>
          </w:p>
          <w:p>
            <w:pPr>
              <w:spacing w:before="68" w:line="217" w:lineRule="auto"/>
              <w:ind w:left="219"/>
              <w:rPr>
                <w:rFonts w:ascii="仿宋" w:hAnsi="仿宋" w:eastAsia="仿宋" w:cs="仿宋"/>
                <w:sz w:val="21"/>
                <w:szCs w:val="21"/>
              </w:rPr>
            </w:pPr>
            <w:r>
              <w:rPr>
                <w:rFonts w:ascii="仿宋" w:hAnsi="仿宋" w:eastAsia="仿宋" w:cs="仿宋"/>
                <w:spacing w:val="-3"/>
                <w:sz w:val="21"/>
                <w:szCs w:val="21"/>
              </w:rPr>
              <w:t>山地针叶林、阔叶林和混交林中</w:t>
            </w:r>
          </w:p>
        </w:tc>
        <w:tc>
          <w:tcPr>
            <w:tcW w:w="2654" w:type="dxa"/>
            <w:tcBorders>
              <w:right w:val="nil"/>
            </w:tcBorders>
            <w:vAlign w:val="top"/>
          </w:tcPr>
          <w:p>
            <w:pPr>
              <w:spacing w:before="211" w:line="247" w:lineRule="auto"/>
              <w:ind w:left="1033" w:right="171" w:hanging="845"/>
              <w:rPr>
                <w:rFonts w:ascii="仿宋" w:hAnsi="仿宋" w:eastAsia="仿宋" w:cs="仿宋"/>
                <w:sz w:val="21"/>
                <w:szCs w:val="21"/>
              </w:rPr>
            </w:pPr>
            <w:r>
              <w:rPr>
                <w:rFonts w:ascii="仿宋" w:hAnsi="仿宋" w:eastAsia="仿宋" w:cs="仿宋"/>
                <w:spacing w:val="-2"/>
                <w:sz w:val="21"/>
                <w:szCs w:val="21"/>
              </w:rPr>
              <w:t>不在水库建设范围内，不</w:t>
            </w:r>
            <w:r>
              <w:rPr>
                <w:rFonts w:ascii="仿宋" w:hAnsi="仿宋" w:eastAsia="仿宋" w:cs="仿宋"/>
                <w:spacing w:val="2"/>
                <w:sz w:val="21"/>
                <w:szCs w:val="21"/>
              </w:rPr>
              <w:t xml:space="preserve"> </w:t>
            </w:r>
            <w:r>
              <w:rPr>
                <w:rFonts w:ascii="仿宋" w:hAnsi="仿宋" w:eastAsia="仿宋" w:cs="仿宋"/>
                <w:spacing w:val="-6"/>
                <w:sz w:val="21"/>
                <w:szCs w:val="21"/>
              </w:rPr>
              <w:t>受影响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8" w:hRule="atLeast"/>
        </w:trPr>
        <w:tc>
          <w:tcPr>
            <w:tcW w:w="452" w:type="dxa"/>
            <w:tcBorders>
              <w:left w:val="nil"/>
            </w:tcBorders>
            <w:vAlign w:val="top"/>
          </w:tcPr>
          <w:p>
            <w:pPr>
              <w:spacing w:line="347" w:lineRule="auto"/>
              <w:rPr>
                <w:rFonts w:ascii="Arial"/>
                <w:sz w:val="21"/>
              </w:rPr>
            </w:pPr>
          </w:p>
          <w:p>
            <w:pPr>
              <w:pStyle w:val="6"/>
              <w:spacing w:before="60" w:line="188" w:lineRule="auto"/>
              <w:ind w:left="190"/>
            </w:pPr>
            <w:r>
              <w:t>6</w:t>
            </w:r>
          </w:p>
        </w:tc>
        <w:tc>
          <w:tcPr>
            <w:tcW w:w="1453" w:type="dxa"/>
            <w:vAlign w:val="top"/>
          </w:tcPr>
          <w:p>
            <w:pPr>
              <w:pStyle w:val="6"/>
              <w:spacing w:before="216" w:line="271" w:lineRule="auto"/>
              <w:ind w:left="403" w:right="114" w:hanging="260"/>
            </w:pPr>
            <w:r>
              <w:rPr>
                <w:rFonts w:ascii="仿宋" w:hAnsi="仿宋" w:eastAsia="仿宋" w:cs="仿宋"/>
                <w:spacing w:val="-4"/>
              </w:rPr>
              <w:t>画眉</w:t>
            </w:r>
            <w:r>
              <w:rPr>
                <w:rFonts w:ascii="仿宋" w:hAnsi="仿宋" w:eastAsia="仿宋" w:cs="仿宋"/>
                <w:spacing w:val="-43"/>
              </w:rPr>
              <w:t xml:space="preserve"> </w:t>
            </w:r>
            <w:r>
              <w:rPr>
                <w:spacing w:val="-4"/>
              </w:rPr>
              <w:t>Garrulax</w:t>
            </w:r>
            <w:r>
              <w:t xml:space="preserve"> </w:t>
            </w:r>
            <w:r>
              <w:rPr>
                <w:spacing w:val="-1"/>
              </w:rPr>
              <w:t>canorus</w:t>
            </w:r>
          </w:p>
        </w:tc>
        <w:tc>
          <w:tcPr>
            <w:tcW w:w="661" w:type="dxa"/>
            <w:vAlign w:val="top"/>
          </w:tcPr>
          <w:p>
            <w:pPr>
              <w:spacing w:before="61" w:line="312" w:lineRule="exact"/>
              <w:ind w:left="268"/>
              <w:rPr>
                <w:rFonts w:ascii="仿宋" w:hAnsi="仿宋" w:eastAsia="仿宋" w:cs="仿宋"/>
                <w:sz w:val="21"/>
                <w:szCs w:val="21"/>
              </w:rPr>
            </w:pPr>
            <w:r>
              <w:rPr>
                <w:rFonts w:ascii="仿宋" w:hAnsi="仿宋" w:eastAsia="仿宋" w:cs="仿宋"/>
                <w:position w:val="7"/>
                <w:sz w:val="21"/>
                <w:szCs w:val="21"/>
              </w:rPr>
              <w:t>Ⅱ</w:t>
            </w:r>
          </w:p>
          <w:p>
            <w:pPr>
              <w:spacing w:line="219" w:lineRule="auto"/>
              <w:ind w:left="134"/>
              <w:rPr>
                <w:rFonts w:ascii="仿宋" w:hAnsi="仿宋" w:eastAsia="仿宋" w:cs="仿宋"/>
                <w:sz w:val="21"/>
                <w:szCs w:val="21"/>
              </w:rPr>
            </w:pPr>
            <w:r>
              <w:rPr>
                <w:rFonts w:ascii="仿宋" w:hAnsi="仿宋" w:eastAsia="仿宋" w:cs="仿宋"/>
                <w:spacing w:val="-13"/>
                <w:sz w:val="21"/>
                <w:szCs w:val="21"/>
              </w:rPr>
              <w:t>级、</w:t>
            </w:r>
          </w:p>
          <w:p>
            <w:pPr>
              <w:pStyle w:val="6"/>
              <w:spacing w:before="61" w:line="214" w:lineRule="auto"/>
              <w:ind w:left="160"/>
              <w:rPr>
                <w:rFonts w:ascii="仿宋" w:hAnsi="仿宋" w:eastAsia="仿宋" w:cs="仿宋"/>
              </w:rPr>
            </w:pPr>
            <w:r>
              <w:rPr>
                <w:spacing w:val="-4"/>
              </w:rPr>
              <w:t>C</w:t>
            </w:r>
            <w:r>
              <w:rPr>
                <w:rFonts w:ascii="仿宋" w:hAnsi="仿宋" w:eastAsia="仿宋" w:cs="仿宋"/>
                <w:spacing w:val="-4"/>
              </w:rPr>
              <w:t>Ⅱ</w:t>
            </w:r>
          </w:p>
        </w:tc>
        <w:tc>
          <w:tcPr>
            <w:tcW w:w="3317" w:type="dxa"/>
            <w:vAlign w:val="top"/>
          </w:tcPr>
          <w:p>
            <w:pPr>
              <w:spacing w:before="217" w:line="246" w:lineRule="auto"/>
              <w:ind w:left="1252" w:right="185" w:hanging="1033"/>
              <w:rPr>
                <w:rFonts w:ascii="仿宋" w:hAnsi="仿宋" w:eastAsia="仿宋" w:cs="仿宋"/>
                <w:sz w:val="21"/>
                <w:szCs w:val="21"/>
              </w:rPr>
            </w:pPr>
            <w:r>
              <w:rPr>
                <w:rFonts w:ascii="仿宋" w:hAnsi="仿宋" w:eastAsia="仿宋" w:cs="仿宋"/>
                <w:spacing w:val="-3"/>
                <w:sz w:val="21"/>
                <w:szCs w:val="21"/>
              </w:rPr>
              <w:t>山丘灌丛和村落附近或城郊的灌</w:t>
            </w:r>
            <w:r>
              <w:rPr>
                <w:rFonts w:ascii="仿宋" w:hAnsi="仿宋" w:eastAsia="仿宋" w:cs="仿宋"/>
                <w:spacing w:val="8"/>
                <w:sz w:val="21"/>
                <w:szCs w:val="21"/>
              </w:rPr>
              <w:t xml:space="preserve"> </w:t>
            </w:r>
            <w:r>
              <w:rPr>
                <w:rFonts w:ascii="仿宋" w:hAnsi="仿宋" w:eastAsia="仿宋" w:cs="仿宋"/>
                <w:spacing w:val="-3"/>
                <w:sz w:val="21"/>
                <w:szCs w:val="21"/>
              </w:rPr>
              <w:t>丛、竹林</w:t>
            </w:r>
          </w:p>
        </w:tc>
        <w:tc>
          <w:tcPr>
            <w:tcW w:w="2654" w:type="dxa"/>
            <w:tcBorders>
              <w:right w:val="nil"/>
            </w:tcBorders>
            <w:vAlign w:val="top"/>
          </w:tcPr>
          <w:p>
            <w:pPr>
              <w:spacing w:before="216" w:line="246" w:lineRule="auto"/>
              <w:ind w:left="189" w:right="171" w:hanging="6"/>
              <w:rPr>
                <w:rFonts w:ascii="仿宋" w:hAnsi="仿宋" w:eastAsia="仿宋" w:cs="仿宋"/>
                <w:sz w:val="21"/>
                <w:szCs w:val="21"/>
              </w:rPr>
            </w:pPr>
            <w:r>
              <w:rPr>
                <w:rFonts w:ascii="仿宋" w:hAnsi="仿宋" w:eastAsia="仿宋" w:cs="仿宋"/>
                <w:spacing w:val="-6"/>
                <w:sz w:val="21"/>
                <w:szCs w:val="21"/>
              </w:rPr>
              <w:t>水库建设、水坝提高后，</w:t>
            </w:r>
            <w:r>
              <w:rPr>
                <w:rFonts w:ascii="仿宋" w:hAnsi="仿宋" w:eastAsia="仿宋" w:cs="仿宋"/>
                <w:spacing w:val="8"/>
                <w:sz w:val="21"/>
                <w:szCs w:val="21"/>
              </w:rPr>
              <w:t xml:space="preserve"> </w:t>
            </w:r>
            <w:r>
              <w:rPr>
                <w:rFonts w:ascii="仿宋" w:hAnsi="仿宋" w:eastAsia="仿宋" w:cs="仿宋"/>
                <w:spacing w:val="-2"/>
                <w:sz w:val="21"/>
                <w:szCs w:val="21"/>
              </w:rPr>
              <w:t>蓄水将会增加，生境较少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 w:hRule="atLeast"/>
        </w:trPr>
        <w:tc>
          <w:tcPr>
            <w:tcW w:w="452" w:type="dxa"/>
            <w:tcBorders>
              <w:left w:val="nil"/>
            </w:tcBorders>
            <w:vAlign w:val="top"/>
          </w:tcPr>
          <w:p>
            <w:pPr>
              <w:spacing w:line="352" w:lineRule="auto"/>
              <w:rPr>
                <w:rFonts w:ascii="Arial"/>
                <w:sz w:val="21"/>
              </w:rPr>
            </w:pPr>
          </w:p>
          <w:p>
            <w:pPr>
              <w:pStyle w:val="6"/>
              <w:spacing w:before="60" w:line="185" w:lineRule="auto"/>
              <w:ind w:left="188"/>
            </w:pPr>
            <w:r>
              <w:t>7</w:t>
            </w:r>
          </w:p>
        </w:tc>
        <w:tc>
          <w:tcPr>
            <w:tcW w:w="1453" w:type="dxa"/>
            <w:vAlign w:val="top"/>
          </w:tcPr>
          <w:p>
            <w:pPr>
              <w:spacing w:before="63" w:line="218" w:lineRule="auto"/>
              <w:ind w:left="321"/>
              <w:rPr>
                <w:rFonts w:ascii="仿宋" w:hAnsi="仿宋" w:eastAsia="仿宋" w:cs="仿宋"/>
                <w:sz w:val="21"/>
                <w:szCs w:val="21"/>
              </w:rPr>
            </w:pPr>
            <w:r>
              <w:rPr>
                <w:rFonts w:ascii="仿宋" w:hAnsi="仿宋" w:eastAsia="仿宋" w:cs="仿宋"/>
                <w:spacing w:val="-4"/>
                <w:sz w:val="21"/>
                <w:szCs w:val="21"/>
              </w:rPr>
              <w:t>细脆蛇蜥</w:t>
            </w:r>
          </w:p>
          <w:p>
            <w:pPr>
              <w:pStyle w:val="6"/>
              <w:spacing w:before="98" w:line="190" w:lineRule="auto"/>
              <w:ind w:left="383"/>
            </w:pPr>
            <w:r>
              <w:rPr>
                <w:spacing w:val="-1"/>
              </w:rPr>
              <w:t>Dopasia</w:t>
            </w:r>
          </w:p>
          <w:p>
            <w:pPr>
              <w:pStyle w:val="6"/>
              <w:spacing w:before="120" w:line="190" w:lineRule="auto"/>
              <w:ind w:left="421"/>
            </w:pPr>
            <w:r>
              <w:rPr>
                <w:spacing w:val="-1"/>
              </w:rPr>
              <w:t>gracilis</w:t>
            </w:r>
          </w:p>
        </w:tc>
        <w:tc>
          <w:tcPr>
            <w:tcW w:w="661" w:type="dxa"/>
            <w:vAlign w:val="top"/>
          </w:tcPr>
          <w:p>
            <w:pPr>
              <w:spacing w:line="352" w:lineRule="auto"/>
              <w:rPr>
                <w:rFonts w:ascii="Arial"/>
                <w:sz w:val="21"/>
              </w:rPr>
            </w:pPr>
          </w:p>
          <w:p>
            <w:pPr>
              <w:pStyle w:val="6"/>
              <w:spacing w:before="60" w:line="185" w:lineRule="auto"/>
              <w:ind w:left="193"/>
            </w:pPr>
            <w:r>
              <w:rPr>
                <w:spacing w:val="-3"/>
              </w:rPr>
              <w:t>EN</w:t>
            </w:r>
          </w:p>
        </w:tc>
        <w:tc>
          <w:tcPr>
            <w:tcW w:w="3317" w:type="dxa"/>
            <w:vAlign w:val="top"/>
          </w:tcPr>
          <w:p>
            <w:pPr>
              <w:spacing w:line="305" w:lineRule="auto"/>
              <w:rPr>
                <w:rFonts w:ascii="Arial"/>
                <w:sz w:val="21"/>
              </w:rPr>
            </w:pPr>
          </w:p>
          <w:p>
            <w:pPr>
              <w:spacing w:before="69" w:line="217" w:lineRule="auto"/>
              <w:ind w:left="219"/>
              <w:rPr>
                <w:rFonts w:ascii="仿宋" w:hAnsi="仿宋" w:eastAsia="仿宋" w:cs="仿宋"/>
                <w:sz w:val="21"/>
                <w:szCs w:val="21"/>
              </w:rPr>
            </w:pPr>
            <w:r>
              <w:rPr>
                <w:rFonts w:ascii="仿宋" w:hAnsi="仿宋" w:eastAsia="仿宋" w:cs="仿宋"/>
                <w:spacing w:val="-3"/>
                <w:sz w:val="21"/>
                <w:szCs w:val="21"/>
              </w:rPr>
              <w:t>山地针叶林、阔叶林和混交林中</w:t>
            </w:r>
          </w:p>
        </w:tc>
        <w:tc>
          <w:tcPr>
            <w:tcW w:w="2654" w:type="dxa"/>
            <w:tcBorders>
              <w:right w:val="nil"/>
            </w:tcBorders>
            <w:vAlign w:val="top"/>
          </w:tcPr>
          <w:p>
            <w:pPr>
              <w:spacing w:before="218" w:line="247" w:lineRule="auto"/>
              <w:ind w:left="1033" w:right="171" w:hanging="845"/>
              <w:rPr>
                <w:rFonts w:ascii="仿宋" w:hAnsi="仿宋" w:eastAsia="仿宋" w:cs="仿宋"/>
                <w:sz w:val="21"/>
                <w:szCs w:val="21"/>
              </w:rPr>
            </w:pPr>
            <w:r>
              <w:rPr>
                <w:rFonts w:ascii="仿宋" w:hAnsi="仿宋" w:eastAsia="仿宋" w:cs="仿宋"/>
                <w:spacing w:val="-2"/>
                <w:sz w:val="21"/>
                <w:szCs w:val="21"/>
              </w:rPr>
              <w:t>不在水库建设范围内，不</w:t>
            </w:r>
            <w:r>
              <w:rPr>
                <w:rFonts w:ascii="仿宋" w:hAnsi="仿宋" w:eastAsia="仿宋" w:cs="仿宋"/>
                <w:spacing w:val="2"/>
                <w:sz w:val="21"/>
                <w:szCs w:val="21"/>
              </w:rPr>
              <w:t xml:space="preserve"> </w:t>
            </w:r>
            <w:r>
              <w:rPr>
                <w:rFonts w:ascii="仿宋" w:hAnsi="仿宋" w:eastAsia="仿宋" w:cs="仿宋"/>
                <w:spacing w:val="-6"/>
                <w:sz w:val="21"/>
                <w:szCs w:val="21"/>
              </w:rPr>
              <w:t>受影响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 w:hRule="atLeast"/>
        </w:trPr>
        <w:tc>
          <w:tcPr>
            <w:tcW w:w="452" w:type="dxa"/>
            <w:tcBorders>
              <w:left w:val="nil"/>
            </w:tcBorders>
            <w:vAlign w:val="top"/>
          </w:tcPr>
          <w:p>
            <w:pPr>
              <w:spacing w:line="353" w:lineRule="auto"/>
              <w:rPr>
                <w:rFonts w:ascii="Arial"/>
                <w:sz w:val="21"/>
              </w:rPr>
            </w:pPr>
          </w:p>
          <w:p>
            <w:pPr>
              <w:pStyle w:val="6"/>
              <w:spacing w:before="60" w:line="188" w:lineRule="auto"/>
              <w:ind w:left="194"/>
            </w:pPr>
            <w:r>
              <w:t>8</w:t>
            </w:r>
          </w:p>
        </w:tc>
        <w:tc>
          <w:tcPr>
            <w:tcW w:w="1453" w:type="dxa"/>
            <w:vAlign w:val="top"/>
          </w:tcPr>
          <w:p>
            <w:pPr>
              <w:spacing w:before="66" w:line="219" w:lineRule="auto"/>
              <w:ind w:left="434"/>
              <w:rPr>
                <w:rFonts w:ascii="仿宋" w:hAnsi="仿宋" w:eastAsia="仿宋" w:cs="仿宋"/>
                <w:sz w:val="21"/>
                <w:szCs w:val="21"/>
              </w:rPr>
            </w:pPr>
            <w:r>
              <w:rPr>
                <w:rFonts w:ascii="仿宋" w:hAnsi="仿宋" w:eastAsia="仿宋" w:cs="仿宋"/>
                <w:spacing w:val="-9"/>
                <w:sz w:val="21"/>
                <w:szCs w:val="21"/>
              </w:rPr>
              <w:t>乌梢蛇</w:t>
            </w:r>
          </w:p>
          <w:p>
            <w:pPr>
              <w:pStyle w:val="6"/>
              <w:spacing w:before="97" w:line="190" w:lineRule="auto"/>
              <w:ind w:left="423"/>
            </w:pPr>
            <w:r>
              <w:rPr>
                <w:spacing w:val="-1"/>
              </w:rPr>
              <w:t>Zaocys</w:t>
            </w:r>
          </w:p>
          <w:p>
            <w:pPr>
              <w:pStyle w:val="6"/>
              <w:spacing w:before="120" w:line="200" w:lineRule="auto"/>
              <w:ind w:left="253"/>
            </w:pPr>
            <w:r>
              <w:rPr>
                <w:spacing w:val="-1"/>
              </w:rPr>
              <w:t>dhumnades</w:t>
            </w:r>
          </w:p>
        </w:tc>
        <w:tc>
          <w:tcPr>
            <w:tcW w:w="661" w:type="dxa"/>
            <w:vAlign w:val="top"/>
          </w:tcPr>
          <w:p>
            <w:pPr>
              <w:spacing w:line="356" w:lineRule="auto"/>
              <w:rPr>
                <w:rFonts w:ascii="Arial"/>
                <w:sz w:val="21"/>
              </w:rPr>
            </w:pPr>
          </w:p>
          <w:p>
            <w:pPr>
              <w:pStyle w:val="6"/>
              <w:spacing w:before="60" w:line="185" w:lineRule="auto"/>
              <w:ind w:left="178"/>
            </w:pPr>
            <w:r>
              <w:rPr>
                <w:spacing w:val="-1"/>
              </w:rPr>
              <w:t>VU</w:t>
            </w:r>
          </w:p>
        </w:tc>
        <w:tc>
          <w:tcPr>
            <w:tcW w:w="3317" w:type="dxa"/>
            <w:vAlign w:val="top"/>
          </w:tcPr>
          <w:p>
            <w:pPr>
              <w:spacing w:before="223" w:line="244" w:lineRule="auto"/>
              <w:ind w:left="413" w:right="290" w:hanging="97"/>
              <w:rPr>
                <w:rFonts w:ascii="仿宋" w:hAnsi="仿宋" w:eastAsia="仿宋" w:cs="仿宋"/>
                <w:sz w:val="21"/>
                <w:szCs w:val="21"/>
              </w:rPr>
            </w:pPr>
            <w:r>
              <w:rPr>
                <w:rFonts w:ascii="仿宋" w:hAnsi="仿宋" w:eastAsia="仿宋" w:cs="仿宋"/>
                <w:spacing w:val="-2"/>
                <w:sz w:val="21"/>
                <w:szCs w:val="21"/>
              </w:rPr>
              <w:t>常在农田或沿着水田内侧的田</w:t>
            </w:r>
            <w:r>
              <w:rPr>
                <w:rFonts w:ascii="仿宋" w:hAnsi="仿宋" w:eastAsia="仿宋" w:cs="仿宋"/>
                <w:sz w:val="21"/>
                <w:szCs w:val="21"/>
              </w:rPr>
              <w:t xml:space="preserve"> </w:t>
            </w:r>
            <w:r>
              <w:rPr>
                <w:rFonts w:ascii="仿宋" w:hAnsi="仿宋" w:eastAsia="仿宋" w:cs="仿宋"/>
                <w:spacing w:val="-2"/>
                <w:sz w:val="21"/>
                <w:szCs w:val="21"/>
              </w:rPr>
              <w:t>埂、菜地、河沟附近下爬行</w:t>
            </w:r>
          </w:p>
        </w:tc>
        <w:tc>
          <w:tcPr>
            <w:tcW w:w="2654" w:type="dxa"/>
            <w:tcBorders>
              <w:right w:val="nil"/>
            </w:tcBorders>
            <w:vAlign w:val="top"/>
          </w:tcPr>
          <w:p>
            <w:pPr>
              <w:spacing w:before="222" w:line="247" w:lineRule="auto"/>
              <w:ind w:left="820" w:right="171" w:hanging="635"/>
              <w:rPr>
                <w:rFonts w:ascii="仿宋" w:hAnsi="仿宋" w:eastAsia="仿宋" w:cs="仿宋"/>
                <w:sz w:val="21"/>
                <w:szCs w:val="21"/>
              </w:rPr>
            </w:pPr>
            <w:r>
              <w:rPr>
                <w:rFonts w:ascii="仿宋" w:hAnsi="仿宋" w:eastAsia="仿宋" w:cs="仿宋"/>
                <w:spacing w:val="-17"/>
                <w:sz w:val="21"/>
                <w:szCs w:val="21"/>
              </w:rPr>
              <w:t>其活动范围较大，</w:t>
            </w:r>
            <w:r>
              <w:rPr>
                <w:rFonts w:ascii="仿宋" w:hAnsi="仿宋" w:eastAsia="仿宋" w:cs="仿宋"/>
                <w:spacing w:val="65"/>
                <w:sz w:val="21"/>
                <w:szCs w:val="21"/>
              </w:rPr>
              <w:t xml:space="preserve"> </w:t>
            </w:r>
            <w:r>
              <w:rPr>
                <w:rFonts w:ascii="仿宋" w:hAnsi="仿宋" w:eastAsia="仿宋" w:cs="仿宋"/>
                <w:spacing w:val="-17"/>
                <w:sz w:val="21"/>
                <w:szCs w:val="21"/>
              </w:rPr>
              <w:t>适应性</w:t>
            </w:r>
            <w:r>
              <w:rPr>
                <w:rFonts w:ascii="仿宋" w:hAnsi="仿宋" w:eastAsia="仿宋" w:cs="仿宋"/>
                <w:sz w:val="21"/>
                <w:szCs w:val="21"/>
              </w:rPr>
              <w:t xml:space="preserve"> </w:t>
            </w:r>
            <w:r>
              <w:rPr>
                <w:rFonts w:ascii="仿宋" w:hAnsi="仿宋" w:eastAsia="仿宋" w:cs="仿宋"/>
                <w:spacing w:val="-20"/>
                <w:sz w:val="21"/>
                <w:szCs w:val="21"/>
              </w:rPr>
              <w:t>强，</w:t>
            </w:r>
            <w:r>
              <w:rPr>
                <w:rFonts w:ascii="仿宋" w:hAnsi="仿宋" w:eastAsia="仿宋" w:cs="仿宋"/>
                <w:spacing w:val="-22"/>
                <w:sz w:val="21"/>
                <w:szCs w:val="21"/>
              </w:rPr>
              <w:t xml:space="preserve"> </w:t>
            </w:r>
            <w:r>
              <w:rPr>
                <w:rFonts w:ascii="仿宋" w:hAnsi="仿宋" w:eastAsia="仿宋" w:cs="仿宋"/>
                <w:spacing w:val="-20"/>
                <w:sz w:val="21"/>
                <w:szCs w:val="21"/>
              </w:rPr>
              <w:t>影响小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0" w:hRule="atLeast"/>
        </w:trPr>
        <w:tc>
          <w:tcPr>
            <w:tcW w:w="452" w:type="dxa"/>
            <w:tcBorders>
              <w:left w:val="nil"/>
            </w:tcBorders>
            <w:vAlign w:val="top"/>
          </w:tcPr>
          <w:p>
            <w:pPr>
              <w:spacing w:line="334" w:lineRule="auto"/>
              <w:rPr>
                <w:rFonts w:ascii="Arial"/>
                <w:sz w:val="21"/>
              </w:rPr>
            </w:pPr>
          </w:p>
          <w:p>
            <w:pPr>
              <w:spacing w:line="334" w:lineRule="auto"/>
              <w:rPr>
                <w:rFonts w:ascii="Arial"/>
                <w:sz w:val="21"/>
              </w:rPr>
            </w:pPr>
          </w:p>
          <w:p>
            <w:pPr>
              <w:pStyle w:val="6"/>
              <w:spacing w:before="60" w:line="188" w:lineRule="auto"/>
              <w:ind w:left="189"/>
            </w:pPr>
            <w:r>
              <w:t>9</w:t>
            </w:r>
          </w:p>
        </w:tc>
        <w:tc>
          <w:tcPr>
            <w:tcW w:w="1453" w:type="dxa"/>
            <w:vAlign w:val="top"/>
          </w:tcPr>
          <w:p>
            <w:pPr>
              <w:spacing w:line="313" w:lineRule="auto"/>
              <w:rPr>
                <w:rFonts w:ascii="Arial"/>
                <w:sz w:val="21"/>
              </w:rPr>
            </w:pPr>
          </w:p>
          <w:p>
            <w:pPr>
              <w:spacing w:before="69" w:line="346" w:lineRule="exact"/>
              <w:ind w:left="424"/>
              <w:rPr>
                <w:rFonts w:ascii="仿宋" w:hAnsi="仿宋" w:eastAsia="仿宋" w:cs="仿宋"/>
                <w:sz w:val="21"/>
                <w:szCs w:val="21"/>
              </w:rPr>
            </w:pPr>
            <w:r>
              <w:rPr>
                <w:rFonts w:ascii="仿宋" w:hAnsi="仿宋" w:eastAsia="仿宋" w:cs="仿宋"/>
                <w:spacing w:val="-4"/>
                <w:position w:val="10"/>
                <w:sz w:val="21"/>
                <w:szCs w:val="21"/>
              </w:rPr>
              <w:t>棘胸蛙</w:t>
            </w:r>
          </w:p>
          <w:p>
            <w:pPr>
              <w:pStyle w:val="6"/>
              <w:spacing w:line="189" w:lineRule="auto"/>
              <w:ind w:left="340"/>
            </w:pPr>
            <w:r>
              <w:rPr>
                <w:spacing w:val="-1"/>
              </w:rPr>
              <w:t>Quasipaa</w:t>
            </w:r>
          </w:p>
          <w:p>
            <w:pPr>
              <w:pStyle w:val="6"/>
              <w:spacing w:before="118" w:line="192" w:lineRule="auto"/>
              <w:ind w:left="419"/>
            </w:pPr>
            <w:r>
              <w:rPr>
                <w:spacing w:val="-2"/>
              </w:rPr>
              <w:t>spinosa</w:t>
            </w:r>
          </w:p>
        </w:tc>
        <w:tc>
          <w:tcPr>
            <w:tcW w:w="661" w:type="dxa"/>
            <w:vAlign w:val="top"/>
          </w:tcPr>
          <w:p>
            <w:pPr>
              <w:spacing w:line="335" w:lineRule="auto"/>
              <w:rPr>
                <w:rFonts w:ascii="Arial"/>
                <w:sz w:val="21"/>
              </w:rPr>
            </w:pPr>
          </w:p>
          <w:p>
            <w:pPr>
              <w:spacing w:line="336" w:lineRule="auto"/>
              <w:rPr>
                <w:rFonts w:ascii="Arial"/>
                <w:sz w:val="21"/>
              </w:rPr>
            </w:pPr>
          </w:p>
          <w:p>
            <w:pPr>
              <w:pStyle w:val="6"/>
              <w:spacing w:before="60" w:line="185" w:lineRule="auto"/>
              <w:ind w:left="178"/>
            </w:pPr>
            <w:r>
              <w:rPr>
                <w:spacing w:val="-1"/>
              </w:rPr>
              <w:t>VU</w:t>
            </w:r>
          </w:p>
        </w:tc>
        <w:tc>
          <w:tcPr>
            <w:tcW w:w="3317" w:type="dxa"/>
            <w:vAlign w:val="top"/>
          </w:tcPr>
          <w:p>
            <w:pPr>
              <w:spacing w:line="469" w:lineRule="auto"/>
              <w:rPr>
                <w:rFonts w:ascii="Arial"/>
                <w:sz w:val="21"/>
              </w:rPr>
            </w:pPr>
          </w:p>
          <w:p>
            <w:pPr>
              <w:pStyle w:val="6"/>
              <w:spacing w:before="68" w:line="246" w:lineRule="auto"/>
              <w:ind w:left="1263" w:right="150" w:hanging="1085"/>
              <w:rPr>
                <w:rFonts w:ascii="仿宋" w:hAnsi="仿宋" w:eastAsia="仿宋" w:cs="仿宋"/>
              </w:rPr>
            </w:pPr>
            <w:r>
              <w:rPr>
                <w:rFonts w:ascii="仿宋" w:hAnsi="仿宋" w:eastAsia="仿宋" w:cs="仿宋"/>
                <w:spacing w:val="-5"/>
              </w:rPr>
              <w:t>生活于海拔</w:t>
            </w:r>
            <w:r>
              <w:rPr>
                <w:rFonts w:ascii="仿宋" w:hAnsi="仿宋" w:eastAsia="仿宋" w:cs="仿宋"/>
                <w:spacing w:val="-31"/>
              </w:rPr>
              <w:t xml:space="preserve"> </w:t>
            </w:r>
            <w:r>
              <w:rPr>
                <w:spacing w:val="-5"/>
              </w:rPr>
              <w:t>600-</w:t>
            </w:r>
            <w:r>
              <w:rPr>
                <w:spacing w:val="-28"/>
              </w:rPr>
              <w:t xml:space="preserve"> </w:t>
            </w:r>
            <w:r>
              <w:rPr>
                <w:spacing w:val="-5"/>
              </w:rPr>
              <w:t>1500</w:t>
            </w:r>
            <w:r>
              <w:rPr>
                <w:spacing w:val="16"/>
                <w:w w:val="101"/>
              </w:rPr>
              <w:t xml:space="preserve"> </w:t>
            </w:r>
            <w:r>
              <w:rPr>
                <w:rFonts w:ascii="仿宋" w:hAnsi="仿宋" w:eastAsia="仿宋" w:cs="仿宋"/>
                <w:spacing w:val="-5"/>
              </w:rPr>
              <w:t>米林木繁茂</w:t>
            </w:r>
            <w:r>
              <w:rPr>
                <w:rFonts w:ascii="仿宋" w:hAnsi="仿宋" w:eastAsia="仿宋" w:cs="仿宋"/>
              </w:rPr>
              <w:t xml:space="preserve"> </w:t>
            </w:r>
            <w:r>
              <w:rPr>
                <w:rFonts w:ascii="仿宋" w:hAnsi="仿宋" w:eastAsia="仿宋" w:cs="仿宋"/>
                <w:spacing w:val="-5"/>
              </w:rPr>
              <w:t>的山溪内</w:t>
            </w:r>
          </w:p>
        </w:tc>
        <w:tc>
          <w:tcPr>
            <w:tcW w:w="2654" w:type="dxa"/>
            <w:tcBorders>
              <w:right w:val="nil"/>
            </w:tcBorders>
            <w:vAlign w:val="top"/>
          </w:tcPr>
          <w:p>
            <w:pPr>
              <w:spacing w:before="73" w:line="260" w:lineRule="auto"/>
              <w:ind w:left="183" w:right="171"/>
              <w:rPr>
                <w:rFonts w:ascii="仿宋" w:hAnsi="仿宋" w:eastAsia="仿宋" w:cs="仿宋"/>
                <w:sz w:val="21"/>
                <w:szCs w:val="21"/>
              </w:rPr>
            </w:pPr>
            <w:r>
              <w:rPr>
                <w:rFonts w:ascii="仿宋" w:hAnsi="仿宋" w:eastAsia="仿宋" w:cs="仿宋"/>
                <w:spacing w:val="-6"/>
                <w:sz w:val="21"/>
                <w:szCs w:val="21"/>
              </w:rPr>
              <w:t>水库建设、水坝提高后，</w:t>
            </w:r>
            <w:r>
              <w:rPr>
                <w:rFonts w:ascii="仿宋" w:hAnsi="仿宋" w:eastAsia="仿宋" w:cs="仿宋"/>
                <w:spacing w:val="8"/>
                <w:sz w:val="21"/>
                <w:szCs w:val="21"/>
              </w:rPr>
              <w:t xml:space="preserve"> </w:t>
            </w:r>
            <w:r>
              <w:rPr>
                <w:rFonts w:ascii="仿宋" w:hAnsi="仿宋" w:eastAsia="仿宋" w:cs="仿宋"/>
                <w:spacing w:val="-17"/>
                <w:sz w:val="21"/>
                <w:szCs w:val="21"/>
              </w:rPr>
              <w:t>蓄水将会增加，</w:t>
            </w:r>
            <w:r>
              <w:rPr>
                <w:rFonts w:ascii="仿宋" w:hAnsi="仿宋" w:eastAsia="仿宋" w:cs="仿宋"/>
                <w:spacing w:val="67"/>
                <w:sz w:val="21"/>
                <w:szCs w:val="21"/>
              </w:rPr>
              <w:t xml:space="preserve"> </w:t>
            </w:r>
            <w:r>
              <w:rPr>
                <w:rFonts w:ascii="仿宋" w:hAnsi="仿宋" w:eastAsia="仿宋" w:cs="仿宋"/>
                <w:spacing w:val="-17"/>
                <w:sz w:val="21"/>
                <w:szCs w:val="21"/>
              </w:rPr>
              <w:t>一段时间</w:t>
            </w:r>
            <w:r>
              <w:rPr>
                <w:rFonts w:ascii="仿宋" w:hAnsi="仿宋" w:eastAsia="仿宋" w:cs="仿宋"/>
                <w:sz w:val="21"/>
                <w:szCs w:val="21"/>
              </w:rPr>
              <w:t xml:space="preserve"> </w:t>
            </w:r>
            <w:r>
              <w:rPr>
                <w:rFonts w:ascii="仿宋" w:hAnsi="仿宋" w:eastAsia="仿宋" w:cs="仿宋"/>
                <w:spacing w:val="-2"/>
                <w:sz w:val="21"/>
                <w:szCs w:val="21"/>
              </w:rPr>
              <w:t>生境减少，向上游或各支</w:t>
            </w:r>
            <w:r>
              <w:rPr>
                <w:rFonts w:ascii="仿宋" w:hAnsi="仿宋" w:eastAsia="仿宋" w:cs="仿宋"/>
                <w:spacing w:val="7"/>
                <w:sz w:val="21"/>
                <w:szCs w:val="21"/>
              </w:rPr>
              <w:t xml:space="preserve"> </w:t>
            </w:r>
            <w:r>
              <w:rPr>
                <w:rFonts w:ascii="仿宋" w:hAnsi="仿宋" w:eastAsia="仿宋" w:cs="仿宋"/>
                <w:spacing w:val="-2"/>
                <w:sz w:val="21"/>
                <w:szCs w:val="21"/>
              </w:rPr>
              <w:t>流迁移。等蓄水后，生境</w:t>
            </w:r>
          </w:p>
          <w:p>
            <w:pPr>
              <w:spacing w:before="64" w:line="202" w:lineRule="auto"/>
              <w:ind w:left="290"/>
              <w:rPr>
                <w:rFonts w:ascii="仿宋" w:hAnsi="仿宋" w:eastAsia="仿宋" w:cs="仿宋"/>
                <w:sz w:val="21"/>
                <w:szCs w:val="21"/>
              </w:rPr>
            </w:pPr>
            <w:r>
              <w:rPr>
                <w:rFonts w:ascii="仿宋" w:hAnsi="仿宋" w:eastAsia="仿宋" w:cs="仿宋"/>
                <w:spacing w:val="-4"/>
                <w:sz w:val="21"/>
                <w:szCs w:val="21"/>
              </w:rPr>
              <w:t>恢复，逐渐迁移回来。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85" w:hRule="atLeast"/>
        </w:trPr>
        <w:tc>
          <w:tcPr>
            <w:tcW w:w="452" w:type="dxa"/>
            <w:tcBorders>
              <w:left w:val="nil"/>
              <w:bottom w:val="single" w:color="000000" w:sz="12" w:space="0"/>
            </w:tcBorders>
            <w:vAlign w:val="top"/>
          </w:tcPr>
          <w:p>
            <w:pPr>
              <w:spacing w:line="336" w:lineRule="auto"/>
              <w:rPr>
                <w:rFonts w:ascii="Arial"/>
                <w:sz w:val="21"/>
              </w:rPr>
            </w:pPr>
          </w:p>
          <w:p>
            <w:pPr>
              <w:spacing w:line="336" w:lineRule="auto"/>
              <w:rPr>
                <w:rFonts w:ascii="Arial"/>
                <w:sz w:val="21"/>
              </w:rPr>
            </w:pPr>
          </w:p>
          <w:p>
            <w:pPr>
              <w:pStyle w:val="6"/>
              <w:spacing w:before="61" w:line="188" w:lineRule="auto"/>
              <w:ind w:left="152"/>
            </w:pPr>
            <w:r>
              <w:rPr>
                <w:spacing w:val="-12"/>
              </w:rPr>
              <w:t>10</w:t>
            </w:r>
          </w:p>
        </w:tc>
        <w:tc>
          <w:tcPr>
            <w:tcW w:w="1453" w:type="dxa"/>
            <w:tcBorders>
              <w:bottom w:val="single" w:color="000000" w:sz="12" w:space="0"/>
            </w:tcBorders>
            <w:vAlign w:val="top"/>
          </w:tcPr>
          <w:p>
            <w:pPr>
              <w:spacing w:line="318" w:lineRule="auto"/>
              <w:rPr>
                <w:rFonts w:ascii="Arial"/>
                <w:sz w:val="21"/>
              </w:rPr>
            </w:pPr>
          </w:p>
          <w:p>
            <w:pPr>
              <w:spacing w:before="69" w:line="344" w:lineRule="exact"/>
              <w:ind w:left="317"/>
              <w:rPr>
                <w:rFonts w:ascii="仿宋" w:hAnsi="仿宋" w:eastAsia="仿宋" w:cs="仿宋"/>
                <w:sz w:val="21"/>
                <w:szCs w:val="21"/>
              </w:rPr>
            </w:pPr>
            <w:r>
              <w:rPr>
                <w:rFonts w:ascii="仿宋" w:hAnsi="仿宋" w:eastAsia="仿宋" w:cs="仿宋"/>
                <w:spacing w:val="-3"/>
                <w:position w:val="10"/>
                <w:sz w:val="21"/>
                <w:szCs w:val="21"/>
              </w:rPr>
              <w:t>棕点湍蛙</w:t>
            </w:r>
          </w:p>
          <w:p>
            <w:pPr>
              <w:pStyle w:val="6"/>
              <w:spacing w:line="191" w:lineRule="auto"/>
              <w:ind w:left="340"/>
            </w:pPr>
            <w:r>
              <w:rPr>
                <w:spacing w:val="-1"/>
              </w:rPr>
              <w:t>Amolops</w:t>
            </w:r>
          </w:p>
          <w:p>
            <w:pPr>
              <w:pStyle w:val="6"/>
              <w:spacing w:before="121" w:line="232" w:lineRule="auto"/>
              <w:ind w:left="356"/>
            </w:pPr>
            <w:r>
              <w:rPr>
                <w:spacing w:val="-1"/>
              </w:rPr>
              <w:t>loloensis</w:t>
            </w:r>
          </w:p>
        </w:tc>
        <w:tc>
          <w:tcPr>
            <w:tcW w:w="661" w:type="dxa"/>
            <w:tcBorders>
              <w:bottom w:val="single" w:color="000000" w:sz="12" w:space="0"/>
            </w:tcBorders>
            <w:vAlign w:val="top"/>
          </w:tcPr>
          <w:p>
            <w:pPr>
              <w:spacing w:line="338" w:lineRule="auto"/>
              <w:rPr>
                <w:rFonts w:ascii="Arial"/>
                <w:sz w:val="21"/>
              </w:rPr>
            </w:pPr>
          </w:p>
          <w:p>
            <w:pPr>
              <w:spacing w:line="338" w:lineRule="auto"/>
              <w:rPr>
                <w:rFonts w:ascii="Arial"/>
                <w:sz w:val="21"/>
              </w:rPr>
            </w:pPr>
          </w:p>
          <w:p>
            <w:pPr>
              <w:pStyle w:val="6"/>
              <w:spacing w:before="60" w:line="185" w:lineRule="auto"/>
              <w:ind w:left="178"/>
            </w:pPr>
            <w:r>
              <w:rPr>
                <w:spacing w:val="-1"/>
              </w:rPr>
              <w:t>VU</w:t>
            </w:r>
          </w:p>
        </w:tc>
        <w:tc>
          <w:tcPr>
            <w:tcW w:w="3317" w:type="dxa"/>
            <w:tcBorders>
              <w:bottom w:val="single" w:color="000000" w:sz="12" w:space="0"/>
            </w:tcBorders>
            <w:vAlign w:val="top"/>
          </w:tcPr>
          <w:p>
            <w:pPr>
              <w:spacing w:line="314" w:lineRule="auto"/>
              <w:rPr>
                <w:rFonts w:ascii="Arial"/>
                <w:sz w:val="21"/>
              </w:rPr>
            </w:pPr>
          </w:p>
          <w:p>
            <w:pPr>
              <w:spacing w:line="315" w:lineRule="auto"/>
              <w:rPr>
                <w:rFonts w:ascii="Arial"/>
                <w:sz w:val="21"/>
              </w:rPr>
            </w:pPr>
          </w:p>
          <w:p>
            <w:pPr>
              <w:pStyle w:val="6"/>
              <w:spacing w:before="68" w:line="215" w:lineRule="auto"/>
              <w:ind w:left="325"/>
              <w:rPr>
                <w:rFonts w:ascii="仿宋" w:hAnsi="仿宋" w:eastAsia="仿宋" w:cs="仿宋"/>
              </w:rPr>
            </w:pPr>
            <w:r>
              <w:rPr>
                <w:rFonts w:ascii="仿宋" w:hAnsi="仿宋" w:eastAsia="仿宋" w:cs="仿宋"/>
                <w:spacing w:val="-3"/>
              </w:rPr>
              <w:t>在海拔</w:t>
            </w:r>
            <w:r>
              <w:rPr>
                <w:rFonts w:ascii="仿宋" w:hAnsi="仿宋" w:eastAsia="仿宋" w:cs="仿宋"/>
                <w:spacing w:val="-44"/>
              </w:rPr>
              <w:t xml:space="preserve"> </w:t>
            </w:r>
            <w:r>
              <w:rPr>
                <w:spacing w:val="-3"/>
              </w:rPr>
              <w:t>2100~3200m</w:t>
            </w:r>
            <w:r>
              <w:rPr>
                <w:spacing w:val="26"/>
                <w:w w:val="101"/>
              </w:rPr>
              <w:t xml:space="preserve"> </w:t>
            </w:r>
            <w:r>
              <w:rPr>
                <w:rFonts w:ascii="仿宋" w:hAnsi="仿宋" w:eastAsia="仿宋" w:cs="仿宋"/>
                <w:spacing w:val="-3"/>
              </w:rPr>
              <w:t>的山溪中</w:t>
            </w:r>
          </w:p>
        </w:tc>
        <w:tc>
          <w:tcPr>
            <w:tcW w:w="2654" w:type="dxa"/>
            <w:tcBorders>
              <w:bottom w:val="single" w:color="000000" w:sz="12" w:space="0"/>
              <w:right w:val="nil"/>
            </w:tcBorders>
            <w:vAlign w:val="top"/>
          </w:tcPr>
          <w:p>
            <w:pPr>
              <w:spacing w:before="78" w:line="260" w:lineRule="auto"/>
              <w:ind w:left="183" w:right="171"/>
              <w:rPr>
                <w:rFonts w:ascii="仿宋" w:hAnsi="仿宋" w:eastAsia="仿宋" w:cs="仿宋"/>
                <w:sz w:val="21"/>
                <w:szCs w:val="21"/>
              </w:rPr>
            </w:pPr>
            <w:r>
              <w:rPr>
                <w:rFonts w:ascii="仿宋" w:hAnsi="仿宋" w:eastAsia="仿宋" w:cs="仿宋"/>
                <w:spacing w:val="-6"/>
                <w:sz w:val="21"/>
                <w:szCs w:val="21"/>
              </w:rPr>
              <w:t>水库建设、水坝提高后，</w:t>
            </w:r>
            <w:r>
              <w:rPr>
                <w:rFonts w:ascii="仿宋" w:hAnsi="仿宋" w:eastAsia="仿宋" w:cs="仿宋"/>
                <w:spacing w:val="8"/>
                <w:sz w:val="21"/>
                <w:szCs w:val="21"/>
              </w:rPr>
              <w:t xml:space="preserve"> </w:t>
            </w:r>
            <w:r>
              <w:rPr>
                <w:rFonts w:ascii="仿宋" w:hAnsi="仿宋" w:eastAsia="仿宋" w:cs="仿宋"/>
                <w:spacing w:val="-17"/>
                <w:sz w:val="21"/>
                <w:szCs w:val="21"/>
              </w:rPr>
              <w:t>蓄水将会增加，</w:t>
            </w:r>
            <w:r>
              <w:rPr>
                <w:rFonts w:ascii="仿宋" w:hAnsi="仿宋" w:eastAsia="仿宋" w:cs="仿宋"/>
                <w:spacing w:val="67"/>
                <w:sz w:val="21"/>
                <w:szCs w:val="21"/>
              </w:rPr>
              <w:t xml:space="preserve"> </w:t>
            </w:r>
            <w:r>
              <w:rPr>
                <w:rFonts w:ascii="仿宋" w:hAnsi="仿宋" w:eastAsia="仿宋" w:cs="仿宋"/>
                <w:spacing w:val="-17"/>
                <w:sz w:val="21"/>
                <w:szCs w:val="21"/>
              </w:rPr>
              <w:t>一段时间</w:t>
            </w:r>
            <w:r>
              <w:rPr>
                <w:rFonts w:ascii="仿宋" w:hAnsi="仿宋" w:eastAsia="仿宋" w:cs="仿宋"/>
                <w:sz w:val="21"/>
                <w:szCs w:val="21"/>
              </w:rPr>
              <w:t xml:space="preserve"> </w:t>
            </w:r>
            <w:r>
              <w:rPr>
                <w:rFonts w:ascii="仿宋" w:hAnsi="仿宋" w:eastAsia="仿宋" w:cs="仿宋"/>
                <w:spacing w:val="-2"/>
                <w:sz w:val="21"/>
                <w:szCs w:val="21"/>
              </w:rPr>
              <w:t>生境减少，向上游或各支</w:t>
            </w:r>
            <w:r>
              <w:rPr>
                <w:rFonts w:ascii="仿宋" w:hAnsi="仿宋" w:eastAsia="仿宋" w:cs="仿宋"/>
                <w:spacing w:val="7"/>
                <w:sz w:val="21"/>
                <w:szCs w:val="21"/>
              </w:rPr>
              <w:t xml:space="preserve"> </w:t>
            </w:r>
            <w:r>
              <w:rPr>
                <w:rFonts w:ascii="仿宋" w:hAnsi="仿宋" w:eastAsia="仿宋" w:cs="仿宋"/>
                <w:spacing w:val="-2"/>
                <w:sz w:val="21"/>
                <w:szCs w:val="21"/>
              </w:rPr>
              <w:t>流迁移。等蓄水后，生境</w:t>
            </w:r>
          </w:p>
          <w:p>
            <w:pPr>
              <w:spacing w:before="63" w:line="216" w:lineRule="auto"/>
              <w:ind w:left="290"/>
              <w:rPr>
                <w:rFonts w:ascii="仿宋" w:hAnsi="仿宋" w:eastAsia="仿宋" w:cs="仿宋"/>
                <w:sz w:val="21"/>
                <w:szCs w:val="21"/>
              </w:rPr>
            </w:pPr>
            <w:r>
              <w:rPr>
                <w:rFonts w:ascii="仿宋" w:hAnsi="仿宋" w:eastAsia="仿宋" w:cs="仿宋"/>
                <w:spacing w:val="-4"/>
                <w:sz w:val="21"/>
                <w:szCs w:val="21"/>
              </w:rPr>
              <w:t>恢复，逐渐迁移回来。</w:t>
            </w:r>
          </w:p>
        </w:tc>
      </w:tr>
    </w:tbl>
    <w:p>
      <w:pPr>
        <w:spacing w:before="128" w:line="220" w:lineRule="auto"/>
        <w:ind w:left="38"/>
        <w:rPr>
          <w:rFonts w:ascii="宋体" w:hAnsi="宋体" w:eastAsia="宋体" w:cs="宋体"/>
          <w:sz w:val="21"/>
          <w:szCs w:val="21"/>
        </w:rPr>
      </w:pPr>
      <w:r>
        <w:rPr>
          <w:rFonts w:ascii="宋体" w:hAnsi="宋体" w:eastAsia="宋体" w:cs="宋体"/>
          <w:spacing w:val="-5"/>
          <w:sz w:val="21"/>
          <w:szCs w:val="21"/>
          <w14:textOutline w14:w="3810" w14:cap="flat" w14:cmpd="sng">
            <w14:solidFill>
              <w14:srgbClr w14:val="000000"/>
            </w14:solidFill>
            <w14:prstDash w14:val="solid"/>
            <w14:miter w14:val="0"/>
          </w14:textOutline>
        </w:rPr>
        <w:t>注：保护级别：</w:t>
      </w:r>
      <w:r>
        <w:rPr>
          <w:rFonts w:ascii="宋体" w:hAnsi="宋体" w:eastAsia="宋体" w:cs="宋体"/>
          <w:spacing w:val="-36"/>
          <w:sz w:val="21"/>
          <w:szCs w:val="21"/>
        </w:rPr>
        <w:t xml:space="preserve"> </w:t>
      </w:r>
      <w:r>
        <w:rPr>
          <w:rFonts w:ascii="宋体" w:hAnsi="宋体" w:eastAsia="宋体" w:cs="宋体"/>
          <w:spacing w:val="-5"/>
          <w:sz w:val="21"/>
          <w:szCs w:val="21"/>
          <w14:textOutline w14:w="3810" w14:cap="flat" w14:cmpd="sng">
            <w14:solidFill>
              <w14:srgbClr w14:val="000000"/>
            </w14:solidFill>
            <w14:prstDash w14:val="solid"/>
            <w14:miter w14:val="0"/>
          </w14:textOutline>
        </w:rPr>
        <w:t>Ⅰ级：国家Ⅰ级重点保护野生动物；</w:t>
      </w:r>
      <w:r>
        <w:rPr>
          <w:rFonts w:ascii="宋体" w:hAnsi="宋体" w:eastAsia="宋体" w:cs="宋体"/>
          <w:spacing w:val="-80"/>
          <w:sz w:val="21"/>
          <w:szCs w:val="21"/>
        </w:rPr>
        <w:t xml:space="preserve"> </w:t>
      </w:r>
      <w:r>
        <w:rPr>
          <w:rFonts w:ascii="宋体" w:hAnsi="宋体" w:eastAsia="宋体" w:cs="宋体"/>
          <w:spacing w:val="-5"/>
          <w:sz w:val="21"/>
          <w:szCs w:val="21"/>
          <w14:textOutline w14:w="3810" w14:cap="flat" w14:cmpd="sng">
            <w14:solidFill>
              <w14:srgbClr w14:val="000000"/>
            </w14:solidFill>
            <w14:prstDash w14:val="solid"/>
            <w14:miter w14:val="0"/>
          </w14:textOutline>
        </w:rPr>
        <w:t>Ⅱ级：国家Ⅱ级重点保护野生动物。省</w:t>
      </w:r>
    </w:p>
    <w:p>
      <w:pPr>
        <w:spacing w:before="218" w:line="468" w:lineRule="exact"/>
        <w:ind w:left="41"/>
        <w:rPr>
          <w:rFonts w:ascii="Times New Roman" w:hAnsi="Times New Roman" w:eastAsia="Times New Roman" w:cs="Times New Roman"/>
          <w:sz w:val="21"/>
          <w:szCs w:val="21"/>
        </w:rPr>
      </w:pPr>
      <w:r>
        <w:rPr>
          <w:rFonts w:ascii="宋体" w:hAnsi="宋体" w:eastAsia="宋体" w:cs="宋体"/>
          <w:spacing w:val="-8"/>
          <w:position w:val="19"/>
          <w:sz w:val="21"/>
          <w:szCs w:val="21"/>
          <w14:textOutline w14:w="3810" w14:cap="flat" w14:cmpd="sng">
            <w14:solidFill>
              <w14:srgbClr w14:val="000000"/>
            </w14:solidFill>
            <w14:prstDash w14:val="solid"/>
            <w14:miter w14:val="0"/>
          </w14:textOutline>
        </w:rPr>
        <w:t>级：云南省省级保护野生动物。</w:t>
      </w:r>
      <w:r>
        <w:rPr>
          <w:rFonts w:ascii="Times New Roman" w:hAnsi="Times New Roman" w:eastAsia="Times New Roman" w:cs="Times New Roman"/>
          <w:b/>
          <w:bCs/>
          <w:spacing w:val="-8"/>
          <w:position w:val="19"/>
          <w:sz w:val="21"/>
          <w:szCs w:val="21"/>
        </w:rPr>
        <w:t>C</w:t>
      </w:r>
      <w:r>
        <w:rPr>
          <w:rFonts w:ascii="宋体" w:hAnsi="宋体" w:eastAsia="宋体" w:cs="宋体"/>
          <w:spacing w:val="-8"/>
          <w:position w:val="19"/>
          <w:sz w:val="21"/>
          <w:szCs w:val="21"/>
          <w14:textOutline w14:w="3810" w14:cap="flat" w14:cmpd="sng">
            <w14:solidFill>
              <w14:srgbClr w14:val="000000"/>
            </w14:solidFill>
            <w14:prstDash w14:val="solid"/>
            <w14:miter w14:val="0"/>
          </w14:textOutline>
        </w:rPr>
        <w:t>Ⅰ：</w:t>
      </w:r>
      <w:r>
        <w:rPr>
          <w:rFonts w:ascii="Times New Roman" w:hAnsi="Times New Roman" w:eastAsia="Times New Roman" w:cs="Times New Roman"/>
          <w:b/>
          <w:bCs/>
          <w:spacing w:val="-8"/>
          <w:position w:val="19"/>
          <w:sz w:val="21"/>
          <w:szCs w:val="21"/>
        </w:rPr>
        <w:t xml:space="preserve">2019 </w:t>
      </w:r>
      <w:r>
        <w:rPr>
          <w:rFonts w:ascii="宋体" w:hAnsi="宋体" w:eastAsia="宋体" w:cs="宋体"/>
          <w:spacing w:val="-8"/>
          <w:position w:val="19"/>
          <w:sz w:val="21"/>
          <w:szCs w:val="21"/>
          <w14:textOutline w14:w="3810" w14:cap="flat" w14:cmpd="sng">
            <w14:solidFill>
              <w14:srgbClr w14:val="000000"/>
            </w14:solidFill>
            <w14:prstDash w14:val="solid"/>
            <w14:miter w14:val="0"/>
          </w14:textOutline>
        </w:rPr>
        <w:t>年</w:t>
      </w:r>
      <w:r>
        <w:rPr>
          <w:rFonts w:ascii="宋体" w:hAnsi="宋体" w:eastAsia="宋体" w:cs="宋体"/>
          <w:spacing w:val="-37"/>
          <w:position w:val="19"/>
          <w:sz w:val="21"/>
          <w:szCs w:val="21"/>
        </w:rPr>
        <w:t xml:space="preserve"> </w:t>
      </w:r>
      <w:r>
        <w:rPr>
          <w:rFonts w:ascii="Times New Roman" w:hAnsi="Times New Roman" w:eastAsia="Times New Roman" w:cs="Times New Roman"/>
          <w:b/>
          <w:bCs/>
          <w:spacing w:val="-8"/>
          <w:position w:val="19"/>
          <w:sz w:val="21"/>
          <w:szCs w:val="21"/>
        </w:rPr>
        <w:t>12</w:t>
      </w:r>
      <w:r>
        <w:rPr>
          <w:rFonts w:ascii="Times New Roman" w:hAnsi="Times New Roman" w:eastAsia="Times New Roman" w:cs="Times New Roman"/>
          <w:b/>
          <w:bCs/>
          <w:spacing w:val="14"/>
          <w:w w:val="101"/>
          <w:position w:val="19"/>
          <w:sz w:val="21"/>
          <w:szCs w:val="21"/>
        </w:rPr>
        <w:t xml:space="preserve"> </w:t>
      </w:r>
      <w:r>
        <w:rPr>
          <w:rFonts w:ascii="宋体" w:hAnsi="宋体" w:eastAsia="宋体" w:cs="宋体"/>
          <w:spacing w:val="-8"/>
          <w:position w:val="19"/>
          <w:sz w:val="21"/>
          <w:szCs w:val="21"/>
          <w14:textOutline w14:w="3810" w14:cap="flat" w14:cmpd="sng">
            <w14:solidFill>
              <w14:srgbClr w14:val="000000"/>
            </w14:solidFill>
            <w14:prstDash w14:val="solid"/>
            <w14:miter w14:val="0"/>
          </w14:textOutline>
        </w:rPr>
        <w:t>月发布的</w:t>
      </w:r>
      <w:r>
        <w:rPr>
          <w:rFonts w:ascii="宋体" w:hAnsi="宋体" w:eastAsia="宋体" w:cs="宋体"/>
          <w:spacing w:val="-43"/>
          <w:position w:val="19"/>
          <w:sz w:val="21"/>
          <w:szCs w:val="21"/>
        </w:rPr>
        <w:t xml:space="preserve"> </w:t>
      </w:r>
      <w:r>
        <w:rPr>
          <w:rFonts w:ascii="Times New Roman" w:hAnsi="Times New Roman" w:eastAsia="Times New Roman" w:cs="Times New Roman"/>
          <w:b/>
          <w:bCs/>
          <w:spacing w:val="-8"/>
          <w:position w:val="19"/>
          <w:sz w:val="21"/>
          <w:szCs w:val="21"/>
        </w:rPr>
        <w:t>CITES</w:t>
      </w:r>
      <w:r>
        <w:rPr>
          <w:rFonts w:ascii="Times New Roman" w:hAnsi="Times New Roman" w:eastAsia="Times New Roman" w:cs="Times New Roman"/>
          <w:b/>
          <w:bCs/>
          <w:spacing w:val="15"/>
          <w:position w:val="19"/>
          <w:sz w:val="21"/>
          <w:szCs w:val="21"/>
        </w:rPr>
        <w:t xml:space="preserve"> </w:t>
      </w:r>
      <w:r>
        <w:rPr>
          <w:rFonts w:ascii="宋体" w:hAnsi="宋体" w:eastAsia="宋体" w:cs="宋体"/>
          <w:spacing w:val="-8"/>
          <w:position w:val="19"/>
          <w:sz w:val="21"/>
          <w:szCs w:val="21"/>
          <w14:textOutline w14:w="3810" w14:cap="flat" w14:cmpd="sng">
            <w14:solidFill>
              <w14:srgbClr w14:val="000000"/>
            </w14:solidFill>
            <w14:prstDash w14:val="solid"/>
            <w14:miter w14:val="0"/>
          </w14:textOutline>
        </w:rPr>
        <w:t>公约附录Ⅰ;</w:t>
      </w:r>
      <w:r>
        <w:rPr>
          <w:rFonts w:ascii="宋体" w:hAnsi="宋体" w:eastAsia="宋体" w:cs="宋体"/>
          <w:spacing w:val="-9"/>
          <w:position w:val="19"/>
          <w:sz w:val="21"/>
          <w:szCs w:val="21"/>
        </w:rPr>
        <w:t xml:space="preserve"> </w:t>
      </w:r>
      <w:r>
        <w:rPr>
          <w:rFonts w:ascii="Times New Roman" w:hAnsi="Times New Roman" w:eastAsia="Times New Roman" w:cs="Times New Roman"/>
          <w:b/>
          <w:bCs/>
          <w:spacing w:val="-9"/>
          <w:position w:val="19"/>
          <w:sz w:val="21"/>
          <w:szCs w:val="21"/>
        </w:rPr>
        <w:t>C</w:t>
      </w:r>
      <w:r>
        <w:rPr>
          <w:rFonts w:ascii="宋体" w:hAnsi="宋体" w:eastAsia="宋体" w:cs="宋体"/>
          <w:spacing w:val="-9"/>
          <w:position w:val="19"/>
          <w:sz w:val="21"/>
          <w:szCs w:val="21"/>
          <w14:textOutline w14:w="3810" w14:cap="flat" w14:cmpd="sng">
            <w14:solidFill>
              <w14:srgbClr w14:val="000000"/>
            </w14:solidFill>
            <w14:prstDash w14:val="solid"/>
            <w14:miter w14:val="0"/>
          </w14:textOutline>
        </w:rPr>
        <w:t>Ⅱ：</w:t>
      </w:r>
      <w:r>
        <w:rPr>
          <w:rFonts w:ascii="宋体" w:hAnsi="宋体" w:eastAsia="宋体" w:cs="宋体"/>
          <w:spacing w:val="-9"/>
          <w:position w:val="19"/>
          <w:sz w:val="21"/>
          <w:szCs w:val="21"/>
        </w:rPr>
        <w:t xml:space="preserve"> </w:t>
      </w:r>
      <w:r>
        <w:rPr>
          <w:rFonts w:ascii="Times New Roman" w:hAnsi="Times New Roman" w:eastAsia="Times New Roman" w:cs="Times New Roman"/>
          <w:b/>
          <w:bCs/>
          <w:spacing w:val="-9"/>
          <w:position w:val="19"/>
          <w:sz w:val="21"/>
          <w:szCs w:val="21"/>
        </w:rPr>
        <w:t>CITES</w:t>
      </w:r>
    </w:p>
    <w:p>
      <w:pPr>
        <w:spacing w:line="218" w:lineRule="auto"/>
        <w:ind w:left="54"/>
        <w:rPr>
          <w:rFonts w:ascii="宋体" w:hAnsi="宋体" w:eastAsia="宋体" w:cs="宋体"/>
          <w:sz w:val="21"/>
          <w:szCs w:val="21"/>
        </w:rPr>
      </w:pPr>
      <w:r>
        <w:rPr>
          <w:rFonts w:ascii="宋体" w:hAnsi="宋体" w:eastAsia="宋体" w:cs="宋体"/>
          <w:spacing w:val="-7"/>
          <w:sz w:val="21"/>
          <w:szCs w:val="21"/>
          <w14:textOutline w14:w="3810" w14:cap="flat" w14:cmpd="sng">
            <w14:solidFill>
              <w14:srgbClr w14:val="000000"/>
            </w14:solidFill>
            <w14:prstDash w14:val="solid"/>
            <w14:miter w14:val="0"/>
          </w14:textOutline>
        </w:rPr>
        <w:t>附录Ⅱ;</w:t>
      </w:r>
      <w:r>
        <w:rPr>
          <w:rFonts w:ascii="宋体" w:hAnsi="宋体" w:eastAsia="宋体" w:cs="宋体"/>
          <w:spacing w:val="26"/>
          <w:sz w:val="21"/>
          <w:szCs w:val="21"/>
        </w:rPr>
        <w:t xml:space="preserve"> </w:t>
      </w:r>
      <w:r>
        <w:rPr>
          <w:rFonts w:ascii="Times New Roman" w:hAnsi="Times New Roman" w:eastAsia="Times New Roman" w:cs="Times New Roman"/>
          <w:b/>
          <w:bCs/>
          <w:spacing w:val="-7"/>
          <w:sz w:val="21"/>
          <w:szCs w:val="21"/>
        </w:rPr>
        <w:t>C</w:t>
      </w:r>
      <w:r>
        <w:rPr>
          <w:rFonts w:ascii="宋体" w:hAnsi="宋体" w:eastAsia="宋体" w:cs="宋体"/>
          <w:spacing w:val="-7"/>
          <w:sz w:val="21"/>
          <w:szCs w:val="21"/>
          <w14:textOutline w14:w="3810" w14:cap="flat" w14:cmpd="sng">
            <w14:solidFill>
              <w14:srgbClr w14:val="000000"/>
            </w14:solidFill>
            <w14:prstDash w14:val="solid"/>
            <w14:miter w14:val="0"/>
          </w14:textOutline>
        </w:rPr>
        <w:t>Ⅲ：</w:t>
      </w:r>
      <w:r>
        <w:rPr>
          <w:rFonts w:ascii="宋体" w:hAnsi="宋体" w:eastAsia="宋体" w:cs="宋体"/>
          <w:spacing w:val="-50"/>
          <w:sz w:val="21"/>
          <w:szCs w:val="21"/>
        </w:rPr>
        <w:t xml:space="preserve"> </w:t>
      </w:r>
      <w:r>
        <w:rPr>
          <w:rFonts w:ascii="Times New Roman" w:hAnsi="Times New Roman" w:eastAsia="Times New Roman" w:cs="Times New Roman"/>
          <w:b/>
          <w:bCs/>
          <w:spacing w:val="-7"/>
          <w:sz w:val="21"/>
          <w:szCs w:val="21"/>
        </w:rPr>
        <w:t>CITES</w:t>
      </w:r>
      <w:r>
        <w:rPr>
          <w:rFonts w:ascii="Times New Roman" w:hAnsi="Times New Roman" w:eastAsia="Times New Roman" w:cs="Times New Roman"/>
          <w:b/>
          <w:bCs/>
          <w:spacing w:val="25"/>
          <w:sz w:val="21"/>
          <w:szCs w:val="21"/>
        </w:rPr>
        <w:t xml:space="preserve"> </w:t>
      </w:r>
      <w:r>
        <w:rPr>
          <w:rFonts w:ascii="宋体" w:hAnsi="宋体" w:eastAsia="宋体" w:cs="宋体"/>
          <w:spacing w:val="-7"/>
          <w:sz w:val="21"/>
          <w:szCs w:val="21"/>
          <w14:textOutline w14:w="3810" w14:cap="flat" w14:cmpd="sng">
            <w14:solidFill>
              <w14:srgbClr w14:val="000000"/>
            </w14:solidFill>
            <w14:prstDash w14:val="solid"/>
            <w14:miter w14:val="0"/>
          </w14:textOutline>
        </w:rPr>
        <w:t>附录Ⅲ。特有：是</w:t>
      </w:r>
      <w:r>
        <w:rPr>
          <w:rFonts w:ascii="Times New Roman" w:hAnsi="Times New Roman" w:eastAsia="Times New Roman" w:cs="Times New Roman"/>
          <w:b/>
          <w:bCs/>
          <w:spacing w:val="-7"/>
          <w:sz w:val="21"/>
          <w:szCs w:val="21"/>
        </w:rPr>
        <w:t>-</w:t>
      </w:r>
      <w:r>
        <w:rPr>
          <w:rFonts w:ascii="Times New Roman" w:hAnsi="Times New Roman" w:eastAsia="Times New Roman" w:cs="Times New Roman"/>
          <w:b/>
          <w:bCs/>
          <w:spacing w:val="-25"/>
          <w:sz w:val="21"/>
          <w:szCs w:val="21"/>
        </w:rPr>
        <w:t xml:space="preserve"> </w:t>
      </w:r>
      <w:r>
        <w:rPr>
          <w:rFonts w:ascii="宋体" w:hAnsi="宋体" w:eastAsia="宋体" w:cs="宋体"/>
          <w:spacing w:val="-7"/>
          <w:sz w:val="21"/>
          <w:szCs w:val="21"/>
          <w14:textOutline w14:w="3810" w14:cap="flat" w14:cmpd="sng">
            <w14:solidFill>
              <w14:srgbClr w14:val="000000"/>
            </w14:solidFill>
            <w14:prstDash w14:val="solid"/>
            <w14:miter w14:val="0"/>
          </w14:textOutline>
        </w:rPr>
        <w:t>中国特</w:t>
      </w:r>
      <w:r>
        <w:rPr>
          <w:rFonts w:ascii="宋体" w:hAnsi="宋体" w:eastAsia="宋体" w:cs="宋体"/>
          <w:spacing w:val="-8"/>
          <w:sz w:val="21"/>
          <w:szCs w:val="21"/>
          <w14:textOutline w14:w="3810" w14:cap="flat" w14:cmpd="sng">
            <w14:solidFill>
              <w14:srgbClr w14:val="000000"/>
            </w14:solidFill>
            <w14:prstDash w14:val="solid"/>
            <w14:miter w14:val="0"/>
          </w14:textOutline>
        </w:rPr>
        <w:t>有物种。红色名录：在此仅列出受胁物种，</w:t>
      </w:r>
    </w:p>
    <w:p>
      <w:pPr>
        <w:spacing w:before="219" w:line="220" w:lineRule="auto"/>
        <w:ind w:left="38"/>
        <w:rPr>
          <w:rFonts w:ascii="宋体" w:hAnsi="宋体" w:eastAsia="宋体" w:cs="宋体"/>
          <w:sz w:val="21"/>
          <w:szCs w:val="21"/>
        </w:rPr>
      </w:pPr>
      <w:r>
        <w:rPr>
          <w:rFonts w:ascii="Times New Roman" w:hAnsi="Times New Roman" w:eastAsia="Times New Roman" w:cs="Times New Roman"/>
          <w:b/>
          <w:bCs/>
          <w:spacing w:val="-4"/>
          <w:sz w:val="21"/>
          <w:szCs w:val="21"/>
        </w:rPr>
        <w:t>CR</w:t>
      </w:r>
      <w:r>
        <w:rPr>
          <w:rFonts w:ascii="宋体" w:hAnsi="宋体" w:eastAsia="宋体" w:cs="宋体"/>
          <w:spacing w:val="-4"/>
          <w:sz w:val="21"/>
          <w:szCs w:val="21"/>
          <w14:textOutline w14:w="3810" w14:cap="flat" w14:cmpd="sng">
            <w14:solidFill>
              <w14:srgbClr w14:val="000000"/>
            </w14:solidFill>
            <w14:prstDash w14:val="solid"/>
            <w14:miter w14:val="0"/>
          </w14:textOutline>
        </w:rPr>
        <w:t>：极危种；</w:t>
      </w:r>
      <w:r>
        <w:rPr>
          <w:rFonts w:ascii="宋体" w:hAnsi="宋体" w:eastAsia="宋体" w:cs="宋体"/>
          <w:spacing w:val="-21"/>
          <w:sz w:val="21"/>
          <w:szCs w:val="21"/>
        </w:rPr>
        <w:t xml:space="preserve"> </w:t>
      </w:r>
      <w:r>
        <w:rPr>
          <w:rFonts w:ascii="Times New Roman" w:hAnsi="Times New Roman" w:eastAsia="Times New Roman" w:cs="Times New Roman"/>
          <w:b/>
          <w:bCs/>
          <w:spacing w:val="-4"/>
          <w:sz w:val="21"/>
          <w:szCs w:val="21"/>
        </w:rPr>
        <w:t>EN</w:t>
      </w:r>
      <w:r>
        <w:rPr>
          <w:rFonts w:ascii="宋体" w:hAnsi="宋体" w:eastAsia="宋体" w:cs="宋体"/>
          <w:spacing w:val="-4"/>
          <w:sz w:val="21"/>
          <w:szCs w:val="21"/>
          <w14:textOutline w14:w="3810" w14:cap="flat" w14:cmpd="sng">
            <w14:solidFill>
              <w14:srgbClr w14:val="000000"/>
            </w14:solidFill>
            <w14:prstDash w14:val="solid"/>
            <w14:miter w14:val="0"/>
          </w14:textOutline>
        </w:rPr>
        <w:t>：濒危种；</w:t>
      </w:r>
      <w:r>
        <w:rPr>
          <w:rFonts w:ascii="Times New Roman" w:hAnsi="Times New Roman" w:eastAsia="Times New Roman" w:cs="Times New Roman"/>
          <w:b/>
          <w:bCs/>
          <w:spacing w:val="-4"/>
          <w:sz w:val="21"/>
          <w:szCs w:val="21"/>
        </w:rPr>
        <w:t>VU</w:t>
      </w:r>
      <w:r>
        <w:rPr>
          <w:rFonts w:ascii="宋体" w:hAnsi="宋体" w:eastAsia="宋体" w:cs="宋体"/>
          <w:spacing w:val="-4"/>
          <w:sz w:val="21"/>
          <w:szCs w:val="21"/>
          <w14:textOutline w14:w="3810" w14:cap="flat" w14:cmpd="sng">
            <w14:solidFill>
              <w14:srgbClr w14:val="000000"/>
            </w14:solidFill>
            <w14:prstDash w14:val="solid"/>
            <w14:miter w14:val="0"/>
          </w14:textOutline>
        </w:rPr>
        <w:t>：易危种。</w:t>
      </w:r>
    </w:p>
    <w:p>
      <w:pPr>
        <w:spacing w:before="125" w:line="359" w:lineRule="auto"/>
        <w:ind w:left="44" w:right="216" w:firstLine="475"/>
        <w:rPr>
          <w:rFonts w:ascii="宋体" w:hAnsi="宋体" w:eastAsia="宋体" w:cs="宋体"/>
          <w:sz w:val="24"/>
          <w:szCs w:val="24"/>
        </w:rPr>
      </w:pPr>
      <w:r>
        <w:rPr>
          <w:rFonts w:ascii="宋体" w:hAnsi="宋体" w:eastAsia="宋体" w:cs="宋体"/>
          <w:spacing w:val="-7"/>
          <w:sz w:val="24"/>
          <w:szCs w:val="24"/>
        </w:rPr>
        <w:t>考虑到评价区发现保护动物多是鸟类及动物本身具可移动性， 只要加强施工</w:t>
      </w:r>
      <w:r>
        <w:rPr>
          <w:rFonts w:ascii="宋体" w:hAnsi="宋体" w:eastAsia="宋体" w:cs="宋体"/>
          <w:spacing w:val="14"/>
          <w:sz w:val="24"/>
          <w:szCs w:val="24"/>
        </w:rPr>
        <w:t xml:space="preserve"> </w:t>
      </w:r>
      <w:r>
        <w:rPr>
          <w:rFonts w:ascii="宋体" w:hAnsi="宋体" w:eastAsia="宋体" w:cs="宋体"/>
          <w:spacing w:val="-6"/>
          <w:sz w:val="24"/>
          <w:szCs w:val="24"/>
        </w:rPr>
        <w:t>管理、有效控制各种狩猎活动， 工程建设项目对评</w:t>
      </w:r>
      <w:r>
        <w:rPr>
          <w:rFonts w:ascii="宋体" w:hAnsi="宋体" w:eastAsia="宋体" w:cs="宋体"/>
          <w:spacing w:val="-7"/>
          <w:sz w:val="24"/>
          <w:szCs w:val="24"/>
        </w:rPr>
        <w:t>价区内分布的珍稀保护物种造</w:t>
      </w:r>
    </w:p>
    <w:p>
      <w:pPr>
        <w:spacing w:before="1" w:line="219" w:lineRule="auto"/>
        <w:ind w:left="41"/>
        <w:rPr>
          <w:rFonts w:ascii="宋体" w:hAnsi="宋体" w:eastAsia="宋体" w:cs="宋体"/>
          <w:sz w:val="24"/>
          <w:szCs w:val="24"/>
        </w:rPr>
      </w:pPr>
      <w:r>
        <w:rPr>
          <w:rFonts w:ascii="宋体" w:hAnsi="宋体" w:eastAsia="宋体" w:cs="宋体"/>
          <w:spacing w:val="-4"/>
          <w:sz w:val="24"/>
          <w:szCs w:val="24"/>
        </w:rPr>
        <w:t>成的威胁和影响将是可控的。</w:t>
      </w:r>
    </w:p>
    <w:p>
      <w:pPr>
        <w:spacing w:before="181" w:line="467" w:lineRule="exact"/>
        <w:ind w:left="518"/>
        <w:rPr>
          <w:rFonts w:ascii="宋体" w:hAnsi="宋体" w:eastAsia="宋体" w:cs="宋体"/>
          <w:sz w:val="24"/>
          <w:szCs w:val="24"/>
        </w:rPr>
      </w:pPr>
      <w:r>
        <w:rPr>
          <w:rFonts w:ascii="宋体" w:hAnsi="宋体" w:eastAsia="宋体" w:cs="宋体"/>
          <w:spacing w:val="-6"/>
          <w:position w:val="17"/>
          <w:sz w:val="24"/>
          <w:szCs w:val="24"/>
        </w:rPr>
        <w:t>①对重点保护动物的栖息地连通性的影响：</w:t>
      </w:r>
      <w:r>
        <w:rPr>
          <w:rFonts w:ascii="宋体" w:hAnsi="宋体" w:eastAsia="宋体" w:cs="宋体"/>
          <w:spacing w:val="-25"/>
          <w:position w:val="17"/>
          <w:sz w:val="24"/>
          <w:szCs w:val="24"/>
        </w:rPr>
        <w:t xml:space="preserve"> </w:t>
      </w:r>
      <w:r>
        <w:rPr>
          <w:rFonts w:ascii="宋体" w:hAnsi="宋体" w:eastAsia="宋体" w:cs="宋体"/>
          <w:spacing w:val="-6"/>
          <w:position w:val="17"/>
          <w:sz w:val="24"/>
          <w:szCs w:val="24"/>
        </w:rPr>
        <w:t>拟建水库的蓄水后淹没区会占用</w:t>
      </w:r>
    </w:p>
    <w:p>
      <w:pPr>
        <w:spacing w:before="1" w:line="219" w:lineRule="auto"/>
        <w:ind w:left="42"/>
        <w:rPr>
          <w:rFonts w:ascii="宋体" w:hAnsi="宋体" w:eastAsia="宋体" w:cs="宋体"/>
          <w:sz w:val="24"/>
          <w:szCs w:val="24"/>
        </w:rPr>
      </w:pPr>
      <w:r>
        <w:rPr>
          <w:rFonts w:ascii="宋体" w:hAnsi="宋体" w:eastAsia="宋体" w:cs="宋体"/>
          <w:spacing w:val="-1"/>
          <w:sz w:val="24"/>
          <w:szCs w:val="24"/>
        </w:rPr>
        <w:t>部分自然植被，但面积较小，因此对重点保护动物</w:t>
      </w:r>
      <w:r>
        <w:rPr>
          <w:rFonts w:ascii="宋体" w:hAnsi="宋体" w:eastAsia="宋体" w:cs="宋体"/>
          <w:spacing w:val="-2"/>
          <w:sz w:val="24"/>
          <w:szCs w:val="24"/>
        </w:rPr>
        <w:t>的栖息地连通性影响较小。</w:t>
      </w:r>
    </w:p>
    <w:p>
      <w:pPr>
        <w:spacing w:before="182" w:line="466" w:lineRule="exact"/>
        <w:ind w:left="517"/>
        <w:rPr>
          <w:rFonts w:ascii="宋体" w:hAnsi="宋体" w:eastAsia="宋体" w:cs="宋体"/>
          <w:sz w:val="24"/>
          <w:szCs w:val="24"/>
        </w:rPr>
      </w:pPr>
      <w:r>
        <w:rPr>
          <w:rFonts w:ascii="宋体" w:hAnsi="宋体" w:eastAsia="宋体" w:cs="宋体"/>
          <w:spacing w:val="-6"/>
          <w:position w:val="17"/>
          <w:sz w:val="24"/>
          <w:szCs w:val="24"/>
        </w:rPr>
        <w:t>②对保护动物活动范围的影响：</w:t>
      </w:r>
      <w:r>
        <w:rPr>
          <w:rFonts w:ascii="宋体" w:hAnsi="宋体" w:eastAsia="宋体" w:cs="宋体"/>
          <w:spacing w:val="-24"/>
          <w:position w:val="17"/>
          <w:sz w:val="24"/>
          <w:szCs w:val="24"/>
        </w:rPr>
        <w:t xml:space="preserve"> </w:t>
      </w:r>
      <w:r>
        <w:rPr>
          <w:rFonts w:ascii="宋体" w:hAnsi="宋体" w:eastAsia="宋体" w:cs="宋体"/>
          <w:spacing w:val="-6"/>
          <w:position w:val="17"/>
          <w:sz w:val="24"/>
          <w:szCs w:val="24"/>
        </w:rPr>
        <w:t>拟建水库虽然对保护动物的栖息地连通性的</w:t>
      </w:r>
    </w:p>
    <w:p>
      <w:pPr>
        <w:spacing w:before="1" w:line="218" w:lineRule="auto"/>
        <w:ind w:left="39"/>
        <w:rPr>
          <w:rFonts w:ascii="宋体" w:hAnsi="宋体" w:eastAsia="宋体" w:cs="宋体"/>
          <w:sz w:val="24"/>
          <w:szCs w:val="24"/>
        </w:rPr>
      </w:pPr>
      <w:r>
        <w:rPr>
          <w:rFonts w:ascii="宋体" w:hAnsi="宋体" w:eastAsia="宋体" w:cs="宋体"/>
          <w:spacing w:val="-20"/>
          <w:sz w:val="24"/>
          <w:szCs w:val="24"/>
        </w:rPr>
        <w:t>影响小， 但由于动物会去河边饮水等活动，</w:t>
      </w:r>
      <w:r>
        <w:rPr>
          <w:rFonts w:ascii="宋体" w:hAnsi="宋体" w:eastAsia="宋体" w:cs="宋体"/>
          <w:spacing w:val="47"/>
          <w:sz w:val="24"/>
          <w:szCs w:val="24"/>
        </w:rPr>
        <w:t xml:space="preserve"> </w:t>
      </w:r>
      <w:r>
        <w:rPr>
          <w:rFonts w:ascii="宋体" w:hAnsi="宋体" w:eastAsia="宋体" w:cs="宋体"/>
          <w:spacing w:val="-20"/>
          <w:sz w:val="24"/>
          <w:szCs w:val="24"/>
        </w:rPr>
        <w:t>水库建好后，</w:t>
      </w:r>
      <w:r>
        <w:rPr>
          <w:rFonts w:ascii="宋体" w:hAnsi="宋体" w:eastAsia="宋体" w:cs="宋体"/>
          <w:spacing w:val="39"/>
          <w:sz w:val="24"/>
          <w:szCs w:val="24"/>
        </w:rPr>
        <w:t xml:space="preserve"> </w:t>
      </w:r>
      <w:r>
        <w:rPr>
          <w:rFonts w:ascii="宋体" w:hAnsi="宋体" w:eastAsia="宋体" w:cs="宋体"/>
          <w:spacing w:val="-20"/>
          <w:sz w:val="24"/>
          <w:szCs w:val="24"/>
        </w:rPr>
        <w:t>人流量增大，</w:t>
      </w:r>
      <w:r>
        <w:rPr>
          <w:rFonts w:ascii="宋体" w:hAnsi="宋体" w:eastAsia="宋体" w:cs="宋体"/>
          <w:spacing w:val="48"/>
          <w:sz w:val="24"/>
          <w:szCs w:val="24"/>
        </w:rPr>
        <w:t xml:space="preserve"> </w:t>
      </w:r>
      <w:r>
        <w:rPr>
          <w:rFonts w:ascii="宋体" w:hAnsi="宋体" w:eastAsia="宋体" w:cs="宋体"/>
          <w:spacing w:val="-20"/>
          <w:sz w:val="24"/>
          <w:szCs w:val="24"/>
        </w:rPr>
        <w:t>噪声影响</w:t>
      </w:r>
    </w:p>
    <w:p>
      <w:pPr>
        <w:spacing w:line="218" w:lineRule="auto"/>
        <w:rPr>
          <w:rFonts w:ascii="宋体" w:hAnsi="宋体" w:eastAsia="宋体" w:cs="宋体"/>
          <w:sz w:val="24"/>
          <w:szCs w:val="24"/>
        </w:rPr>
        <w:sectPr>
          <w:footerReference r:id="rId402" w:type="default"/>
          <w:pgSz w:w="11907" w:h="16839"/>
          <w:pgMar w:top="1156" w:right="1582" w:bottom="1374" w:left="1770" w:header="881" w:footer="1210" w:gutter="0"/>
        </w:sectPr>
      </w:pPr>
    </w:p>
    <w:p>
      <w:pPr>
        <w:rPr>
          <w:rFonts w:ascii="Arial"/>
          <w:sz w:val="21"/>
        </w:rPr>
      </w:pPr>
    </w:p>
    <w:p>
      <w:pPr>
        <w:spacing w:before="78" w:line="359" w:lineRule="auto"/>
        <w:ind w:left="39" w:right="188" w:firstLine="4"/>
        <w:jc w:val="both"/>
        <w:rPr>
          <w:rFonts w:ascii="宋体" w:hAnsi="宋体" w:eastAsia="宋体" w:cs="宋体"/>
          <w:sz w:val="24"/>
          <w:szCs w:val="24"/>
        </w:rPr>
      </w:pPr>
      <w:r>
        <w:rPr>
          <w:rFonts w:ascii="宋体" w:hAnsi="宋体" w:eastAsia="宋体" w:cs="宋体"/>
          <w:spacing w:val="-6"/>
          <w:sz w:val="24"/>
          <w:szCs w:val="24"/>
        </w:rPr>
        <w:t>也会增大，夜间枢纽区光污染等会对附近保护动物有一定影响，</w:t>
      </w:r>
      <w:r>
        <w:rPr>
          <w:rFonts w:ascii="宋体" w:hAnsi="宋体" w:eastAsia="宋体" w:cs="宋体"/>
          <w:spacing w:val="-19"/>
          <w:sz w:val="24"/>
          <w:szCs w:val="24"/>
        </w:rPr>
        <w:t xml:space="preserve"> </w:t>
      </w:r>
      <w:r>
        <w:rPr>
          <w:rFonts w:ascii="宋体" w:hAnsi="宋体" w:eastAsia="宋体" w:cs="宋体"/>
          <w:spacing w:val="-6"/>
          <w:sz w:val="24"/>
          <w:szCs w:val="24"/>
        </w:rPr>
        <w:t>运行期由于水库</w:t>
      </w:r>
      <w:r>
        <w:rPr>
          <w:rFonts w:ascii="宋体" w:hAnsi="宋体" w:eastAsia="宋体" w:cs="宋体"/>
          <w:sz w:val="24"/>
          <w:szCs w:val="24"/>
        </w:rPr>
        <w:t xml:space="preserve"> </w:t>
      </w:r>
      <w:r>
        <w:rPr>
          <w:rFonts w:ascii="宋体" w:hAnsi="宋体" w:eastAsia="宋体" w:cs="宋体"/>
          <w:spacing w:val="-10"/>
          <w:sz w:val="24"/>
          <w:szCs w:val="24"/>
        </w:rPr>
        <w:t>扩容，</w:t>
      </w:r>
      <w:r>
        <w:rPr>
          <w:rFonts w:ascii="宋体" w:hAnsi="宋体" w:eastAsia="宋体" w:cs="宋体"/>
          <w:spacing w:val="-22"/>
          <w:sz w:val="24"/>
          <w:szCs w:val="24"/>
        </w:rPr>
        <w:t xml:space="preserve"> </w:t>
      </w:r>
      <w:r>
        <w:rPr>
          <w:rFonts w:ascii="宋体" w:hAnsi="宋体" w:eastAsia="宋体" w:cs="宋体"/>
          <w:spacing w:val="-10"/>
          <w:sz w:val="24"/>
          <w:szCs w:val="24"/>
        </w:rPr>
        <w:t>湿地面积增加、水质改善等将有利于动物的栖息繁育，</w:t>
      </w:r>
      <w:r>
        <w:rPr>
          <w:rFonts w:ascii="宋体" w:hAnsi="宋体" w:eastAsia="宋体" w:cs="宋体"/>
          <w:spacing w:val="28"/>
          <w:sz w:val="24"/>
          <w:szCs w:val="24"/>
        </w:rPr>
        <w:t xml:space="preserve"> </w:t>
      </w:r>
      <w:r>
        <w:rPr>
          <w:rFonts w:ascii="宋体" w:hAnsi="宋体" w:eastAsia="宋体" w:cs="宋体"/>
          <w:spacing w:val="-10"/>
          <w:sz w:val="24"/>
          <w:szCs w:val="24"/>
        </w:rPr>
        <w:t>但也存在水库蓄水</w:t>
      </w:r>
      <w:r>
        <w:rPr>
          <w:rFonts w:ascii="宋体" w:hAnsi="宋体" w:eastAsia="宋体" w:cs="宋体"/>
          <w:sz w:val="24"/>
          <w:szCs w:val="24"/>
        </w:rPr>
        <w:t xml:space="preserve"> </w:t>
      </w:r>
      <w:r>
        <w:rPr>
          <w:rFonts w:ascii="宋体" w:hAnsi="宋体" w:eastAsia="宋体" w:cs="宋体"/>
          <w:spacing w:val="-12"/>
          <w:sz w:val="24"/>
          <w:szCs w:val="24"/>
        </w:rPr>
        <w:t>后水位上升，</w:t>
      </w:r>
      <w:r>
        <w:rPr>
          <w:rFonts w:ascii="宋体" w:hAnsi="宋体" w:eastAsia="宋体" w:cs="宋体"/>
          <w:spacing w:val="47"/>
          <w:sz w:val="24"/>
          <w:szCs w:val="24"/>
        </w:rPr>
        <w:t xml:space="preserve"> </w:t>
      </w:r>
      <w:r>
        <w:rPr>
          <w:rFonts w:ascii="宋体" w:hAnsi="宋体" w:eastAsia="宋体" w:cs="宋体"/>
          <w:spacing w:val="-12"/>
          <w:sz w:val="24"/>
          <w:szCs w:val="24"/>
        </w:rPr>
        <w:t>觅食地和栖息地面积减少等影响。因此水库建好后，</w:t>
      </w:r>
      <w:r>
        <w:rPr>
          <w:rFonts w:ascii="宋体" w:hAnsi="宋体" w:eastAsia="宋体" w:cs="宋体"/>
          <w:spacing w:val="29"/>
          <w:sz w:val="24"/>
          <w:szCs w:val="24"/>
        </w:rPr>
        <w:t xml:space="preserve"> </w:t>
      </w:r>
      <w:r>
        <w:rPr>
          <w:rFonts w:ascii="宋体" w:hAnsi="宋体" w:eastAsia="宋体" w:cs="宋体"/>
          <w:spacing w:val="-12"/>
          <w:sz w:val="24"/>
          <w:szCs w:val="24"/>
        </w:rPr>
        <w:t>会对保护动物</w:t>
      </w:r>
    </w:p>
    <w:p>
      <w:pPr>
        <w:spacing w:before="1" w:line="218" w:lineRule="auto"/>
        <w:ind w:left="43"/>
        <w:rPr>
          <w:rFonts w:ascii="宋体" w:hAnsi="宋体" w:eastAsia="宋体" w:cs="宋体"/>
          <w:sz w:val="24"/>
          <w:szCs w:val="24"/>
        </w:rPr>
      </w:pPr>
      <w:r>
        <w:rPr>
          <w:rFonts w:ascii="宋体" w:hAnsi="宋体" w:eastAsia="宋体" w:cs="宋体"/>
          <w:spacing w:val="-2"/>
          <w:sz w:val="24"/>
          <w:szCs w:val="24"/>
        </w:rPr>
        <w:t>活动范围造成一定的不利影响，需进一步采取相应的保护措施。</w:t>
      </w:r>
    </w:p>
    <w:p>
      <w:pPr>
        <w:spacing w:before="184" w:line="359" w:lineRule="auto"/>
        <w:ind w:left="38" w:right="108" w:firstLine="479"/>
        <w:jc w:val="both"/>
        <w:rPr>
          <w:rFonts w:ascii="宋体" w:hAnsi="宋体" w:eastAsia="宋体" w:cs="宋体"/>
          <w:sz w:val="24"/>
          <w:szCs w:val="24"/>
        </w:rPr>
      </w:pPr>
      <w:r>
        <w:rPr>
          <w:rFonts w:ascii="宋体" w:hAnsi="宋体" w:eastAsia="宋体" w:cs="宋体"/>
          <w:spacing w:val="-7"/>
          <w:sz w:val="24"/>
          <w:szCs w:val="24"/>
        </w:rPr>
        <w:t xml:space="preserve">③综合分析， 水库施工期间或多或少会对重要物种迁移、散布造成直接或间 </w:t>
      </w:r>
      <w:r>
        <w:rPr>
          <w:rFonts w:ascii="宋体" w:hAnsi="宋体" w:eastAsia="宋体" w:cs="宋体"/>
          <w:spacing w:val="-12"/>
          <w:sz w:val="24"/>
          <w:szCs w:val="24"/>
        </w:rPr>
        <w:t>接的影响，</w:t>
      </w:r>
      <w:r>
        <w:rPr>
          <w:rFonts w:ascii="宋体" w:hAnsi="宋体" w:eastAsia="宋体" w:cs="宋体"/>
          <w:spacing w:val="32"/>
          <w:sz w:val="24"/>
          <w:szCs w:val="24"/>
        </w:rPr>
        <w:t xml:space="preserve"> </w:t>
      </w:r>
      <w:r>
        <w:rPr>
          <w:rFonts w:ascii="宋体" w:hAnsi="宋体" w:eastAsia="宋体" w:cs="宋体"/>
          <w:spacing w:val="-12"/>
          <w:sz w:val="24"/>
          <w:szCs w:val="24"/>
        </w:rPr>
        <w:t>产生轻度干扰和障碍；</w:t>
      </w:r>
      <w:r>
        <w:rPr>
          <w:rFonts w:ascii="宋体" w:hAnsi="宋体" w:eastAsia="宋体" w:cs="宋体"/>
          <w:spacing w:val="36"/>
          <w:sz w:val="24"/>
          <w:szCs w:val="24"/>
        </w:rPr>
        <w:t xml:space="preserve"> </w:t>
      </w:r>
      <w:r>
        <w:rPr>
          <w:rFonts w:ascii="宋体" w:hAnsi="宋体" w:eastAsia="宋体" w:cs="宋体"/>
          <w:spacing w:val="-12"/>
          <w:sz w:val="24"/>
          <w:szCs w:val="24"/>
        </w:rPr>
        <w:t xml:space="preserve">水库运行期间对两栖、爬行类的迁移和散布有 </w:t>
      </w:r>
      <w:r>
        <w:rPr>
          <w:rFonts w:ascii="宋体" w:hAnsi="宋体" w:eastAsia="宋体" w:cs="宋体"/>
          <w:spacing w:val="-1"/>
          <w:sz w:val="24"/>
          <w:szCs w:val="24"/>
        </w:rPr>
        <w:t>一定的影响。由于该工程的施工主要在枢纽区进行，并不会完全阻断动物迁移、</w:t>
      </w:r>
      <w:r>
        <w:rPr>
          <w:rFonts w:ascii="宋体" w:hAnsi="宋体" w:eastAsia="宋体" w:cs="宋体"/>
          <w:spacing w:val="11"/>
          <w:sz w:val="24"/>
          <w:szCs w:val="24"/>
        </w:rPr>
        <w:t xml:space="preserve"> </w:t>
      </w:r>
      <w:r>
        <w:rPr>
          <w:rFonts w:ascii="宋体" w:hAnsi="宋体" w:eastAsia="宋体" w:cs="宋体"/>
          <w:spacing w:val="-16"/>
          <w:sz w:val="24"/>
          <w:szCs w:val="24"/>
        </w:rPr>
        <w:t>散布的途径，</w:t>
      </w:r>
      <w:r>
        <w:rPr>
          <w:rFonts w:ascii="宋体" w:hAnsi="宋体" w:eastAsia="宋体" w:cs="宋体"/>
          <w:spacing w:val="36"/>
          <w:sz w:val="24"/>
          <w:szCs w:val="24"/>
        </w:rPr>
        <w:t xml:space="preserve"> </w:t>
      </w:r>
      <w:r>
        <w:rPr>
          <w:rFonts w:ascii="宋体" w:hAnsi="宋体" w:eastAsia="宋体" w:cs="宋体"/>
          <w:spacing w:val="-16"/>
          <w:sz w:val="24"/>
          <w:szCs w:val="24"/>
        </w:rPr>
        <w:t>且工程完工后，</w:t>
      </w:r>
      <w:r>
        <w:rPr>
          <w:rFonts w:ascii="宋体" w:hAnsi="宋体" w:eastAsia="宋体" w:cs="宋体"/>
          <w:spacing w:val="36"/>
          <w:sz w:val="24"/>
          <w:szCs w:val="24"/>
        </w:rPr>
        <w:t xml:space="preserve"> </w:t>
      </w:r>
      <w:r>
        <w:rPr>
          <w:rFonts w:ascii="宋体" w:hAnsi="宋体" w:eastAsia="宋体" w:cs="宋体"/>
          <w:spacing w:val="-16"/>
          <w:sz w:val="24"/>
          <w:szCs w:val="24"/>
        </w:rPr>
        <w:t>潜在的影响会</w:t>
      </w:r>
      <w:r>
        <w:rPr>
          <w:rFonts w:ascii="宋体" w:hAnsi="宋体" w:eastAsia="宋体" w:cs="宋体"/>
          <w:spacing w:val="-17"/>
          <w:sz w:val="24"/>
          <w:szCs w:val="24"/>
        </w:rPr>
        <w:t>进一步降低。同时，</w:t>
      </w:r>
      <w:r>
        <w:rPr>
          <w:rFonts w:ascii="宋体" w:hAnsi="宋体" w:eastAsia="宋体" w:cs="宋体"/>
          <w:spacing w:val="37"/>
          <w:sz w:val="24"/>
          <w:szCs w:val="24"/>
        </w:rPr>
        <w:t xml:space="preserve"> </w:t>
      </w:r>
      <w:r>
        <w:rPr>
          <w:rFonts w:ascii="宋体" w:hAnsi="宋体" w:eastAsia="宋体" w:cs="宋体"/>
          <w:spacing w:val="-17"/>
          <w:sz w:val="24"/>
          <w:szCs w:val="24"/>
        </w:rPr>
        <w:t xml:space="preserve">考虑到原有村寨 </w:t>
      </w:r>
      <w:r>
        <w:rPr>
          <w:rFonts w:ascii="宋体" w:hAnsi="宋体" w:eastAsia="宋体" w:cs="宋体"/>
          <w:spacing w:val="-7"/>
          <w:sz w:val="24"/>
          <w:szCs w:val="24"/>
        </w:rPr>
        <w:t>和公路的存在业已对物种的迁移、散布、繁衍产生一定影响的事</w:t>
      </w:r>
      <w:r>
        <w:rPr>
          <w:rFonts w:ascii="宋体" w:hAnsi="宋体" w:eastAsia="宋体" w:cs="宋体"/>
          <w:spacing w:val="-8"/>
          <w:sz w:val="24"/>
          <w:szCs w:val="24"/>
        </w:rPr>
        <w:t>实，</w:t>
      </w:r>
      <w:r>
        <w:rPr>
          <w:rFonts w:ascii="宋体" w:hAnsi="宋体" w:eastAsia="宋体" w:cs="宋体"/>
          <w:spacing w:val="31"/>
          <w:sz w:val="24"/>
          <w:szCs w:val="24"/>
        </w:rPr>
        <w:t xml:space="preserve"> </w:t>
      </w:r>
      <w:r>
        <w:rPr>
          <w:rFonts w:ascii="宋体" w:hAnsi="宋体" w:eastAsia="宋体" w:cs="宋体"/>
          <w:spacing w:val="-8"/>
          <w:sz w:val="24"/>
          <w:szCs w:val="24"/>
        </w:rPr>
        <w:t>动物已具有</w:t>
      </w:r>
    </w:p>
    <w:p>
      <w:pPr>
        <w:spacing w:before="1" w:line="218" w:lineRule="auto"/>
        <w:ind w:left="43"/>
        <w:rPr>
          <w:rFonts w:ascii="宋体" w:hAnsi="宋体" w:eastAsia="宋体" w:cs="宋体"/>
          <w:sz w:val="24"/>
          <w:szCs w:val="24"/>
        </w:rPr>
      </w:pPr>
      <w:r>
        <w:rPr>
          <w:rFonts w:ascii="宋体" w:hAnsi="宋体" w:eastAsia="宋体" w:cs="宋体"/>
          <w:sz w:val="24"/>
          <w:szCs w:val="24"/>
        </w:rPr>
        <w:t>一定的适应性，拟建项目的实施对重要动物的迁移、散布、繁衍的影响为较小。</w:t>
      </w:r>
    </w:p>
    <w:p>
      <w:pPr>
        <w:spacing w:line="431" w:lineRule="auto"/>
        <w:rPr>
          <w:rFonts w:ascii="Arial"/>
          <w:sz w:val="21"/>
        </w:rPr>
      </w:pPr>
    </w:p>
    <w:p>
      <w:pPr>
        <w:pStyle w:val="2"/>
        <w:spacing w:before="78" w:line="219" w:lineRule="auto"/>
        <w:ind w:left="36"/>
        <w:outlineLvl w:val="2"/>
        <w:rPr>
          <w:sz w:val="24"/>
          <w:szCs w:val="24"/>
        </w:rPr>
      </w:pPr>
      <w:r>
        <w:rPr>
          <w:rFonts w:ascii="Times New Roman" w:hAnsi="Times New Roman" w:eastAsia="Times New Roman" w:cs="Times New Roman"/>
          <w:b/>
          <w:bCs/>
          <w:sz w:val="24"/>
          <w:szCs w:val="24"/>
        </w:rPr>
        <w:t xml:space="preserve">4.4.5 </w:t>
      </w:r>
      <w:r>
        <w:rPr>
          <w:sz w:val="24"/>
          <w:szCs w:val="24"/>
          <w14:textOutline w14:w="4354" w14:cap="flat" w14:cmpd="sng">
            <w14:solidFill>
              <w14:srgbClr w14:val="000000"/>
            </w14:solidFill>
            <w14:prstDash w14:val="solid"/>
            <w14:miter w14:val="0"/>
          </w14:textOutline>
        </w:rPr>
        <w:t>对水生生态的影响</w:t>
      </w:r>
    </w:p>
    <w:p>
      <w:pPr>
        <w:spacing w:before="216"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）施工期对水生生态的影响</w:t>
      </w:r>
    </w:p>
    <w:p>
      <w:pPr>
        <w:spacing w:before="182" w:line="359" w:lineRule="auto"/>
        <w:ind w:left="40" w:firstLine="482"/>
        <w:jc w:val="both"/>
        <w:rPr>
          <w:rFonts w:ascii="宋体" w:hAnsi="宋体" w:eastAsia="宋体" w:cs="宋体"/>
          <w:sz w:val="24"/>
          <w:szCs w:val="24"/>
        </w:rPr>
      </w:pPr>
      <w:r>
        <w:rPr>
          <w:rFonts w:ascii="宋体" w:hAnsi="宋体" w:eastAsia="宋体" w:cs="宋体"/>
          <w:spacing w:val="-13"/>
          <w:sz w:val="24"/>
          <w:szCs w:val="24"/>
        </w:rPr>
        <w:t>项目施工期对水生生物的影响，</w:t>
      </w:r>
      <w:r>
        <w:rPr>
          <w:rFonts w:ascii="宋体" w:hAnsi="宋体" w:eastAsia="宋体" w:cs="宋体"/>
          <w:spacing w:val="42"/>
          <w:sz w:val="24"/>
          <w:szCs w:val="24"/>
        </w:rPr>
        <w:t xml:space="preserve"> </w:t>
      </w:r>
      <w:r>
        <w:rPr>
          <w:rFonts w:ascii="宋体" w:hAnsi="宋体" w:eastAsia="宋体" w:cs="宋体"/>
          <w:spacing w:val="-13"/>
          <w:sz w:val="24"/>
          <w:szCs w:val="24"/>
        </w:rPr>
        <w:t>主要在枢纽区，</w:t>
      </w:r>
      <w:r>
        <w:rPr>
          <w:rFonts w:ascii="宋体" w:hAnsi="宋体" w:eastAsia="宋体" w:cs="宋体"/>
          <w:spacing w:val="33"/>
          <w:sz w:val="24"/>
          <w:szCs w:val="24"/>
        </w:rPr>
        <w:t xml:space="preserve"> </w:t>
      </w:r>
      <w:r>
        <w:rPr>
          <w:rFonts w:ascii="宋体" w:hAnsi="宋体" w:eastAsia="宋体" w:cs="宋体"/>
          <w:spacing w:val="-13"/>
          <w:sz w:val="24"/>
          <w:szCs w:val="24"/>
        </w:rPr>
        <w:t xml:space="preserve">工程开挖、爆破和短期的截  </w:t>
      </w:r>
      <w:r>
        <w:rPr>
          <w:rFonts w:ascii="宋体" w:hAnsi="宋体" w:eastAsia="宋体" w:cs="宋体"/>
          <w:spacing w:val="-7"/>
          <w:sz w:val="24"/>
          <w:szCs w:val="24"/>
        </w:rPr>
        <w:t>流对水库施工河段底质生境造成永久性破坏，</w:t>
      </w:r>
      <w:r>
        <w:rPr>
          <w:rFonts w:ascii="宋体" w:hAnsi="宋体" w:eastAsia="宋体" w:cs="宋体"/>
          <w:spacing w:val="-25"/>
          <w:sz w:val="24"/>
          <w:szCs w:val="24"/>
        </w:rPr>
        <w:t xml:space="preserve"> </w:t>
      </w:r>
      <w:r>
        <w:rPr>
          <w:rFonts w:ascii="宋体" w:hAnsi="宋体" w:eastAsia="宋体" w:cs="宋体"/>
          <w:spacing w:val="-7"/>
          <w:sz w:val="24"/>
          <w:szCs w:val="24"/>
        </w:rPr>
        <w:t>浮游动植物因悬浮物的增加而减少，</w:t>
      </w:r>
    </w:p>
    <w:p>
      <w:pPr>
        <w:spacing w:line="219" w:lineRule="auto"/>
        <w:ind w:left="38"/>
        <w:rPr>
          <w:rFonts w:ascii="宋体" w:hAnsi="宋体" w:eastAsia="宋体" w:cs="宋体"/>
          <w:sz w:val="24"/>
          <w:szCs w:val="24"/>
        </w:rPr>
      </w:pPr>
      <w:r>
        <w:rPr>
          <w:rFonts w:ascii="宋体" w:hAnsi="宋体" w:eastAsia="宋体" w:cs="宋体"/>
          <w:spacing w:val="-1"/>
          <w:sz w:val="24"/>
          <w:szCs w:val="24"/>
        </w:rPr>
        <w:t>施工结束可以恢复，对水库影响程度有限。</w:t>
      </w:r>
    </w:p>
    <w:p>
      <w:pPr>
        <w:spacing w:before="181" w:line="467" w:lineRule="exact"/>
        <w:ind w:left="525"/>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2</w:t>
      </w:r>
      <w:r>
        <w:rPr>
          <w:rFonts w:ascii="宋体" w:hAnsi="宋体" w:eastAsia="宋体" w:cs="宋体"/>
          <w:spacing w:val="-2"/>
          <w:position w:val="17"/>
          <w:sz w:val="24"/>
          <w:szCs w:val="24"/>
        </w:rPr>
        <w:t>）运行期对水生生态的影响</w:t>
      </w:r>
    </w:p>
    <w:p>
      <w:pPr>
        <w:spacing w:before="1" w:line="217" w:lineRule="auto"/>
        <w:ind w:left="518"/>
        <w:rPr>
          <w:rFonts w:ascii="宋体" w:hAnsi="宋体" w:eastAsia="宋体" w:cs="宋体"/>
          <w:sz w:val="24"/>
          <w:szCs w:val="24"/>
        </w:rPr>
      </w:pPr>
      <w:r>
        <w:rPr>
          <w:rFonts w:ascii="宋体" w:hAnsi="宋体" w:eastAsia="宋体" w:cs="宋体"/>
          <w:spacing w:val="-1"/>
          <w:sz w:val="24"/>
          <w:szCs w:val="24"/>
        </w:rPr>
        <w:t>①对库区水生生物的影响</w:t>
      </w:r>
    </w:p>
    <w:p>
      <w:pPr>
        <w:spacing w:before="184"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对水生维管束植物的影响</w:t>
      </w:r>
    </w:p>
    <w:p>
      <w:pPr>
        <w:spacing w:before="163" w:line="360" w:lineRule="auto"/>
        <w:ind w:left="45" w:right="188" w:firstLine="474"/>
        <w:rPr>
          <w:rFonts w:ascii="宋体" w:hAnsi="宋体" w:eastAsia="宋体" w:cs="宋体"/>
          <w:sz w:val="24"/>
          <w:szCs w:val="24"/>
        </w:rPr>
      </w:pPr>
      <w:r>
        <w:rPr>
          <w:rFonts w:ascii="宋体" w:hAnsi="宋体" w:eastAsia="宋体" w:cs="宋体"/>
          <w:spacing w:val="-16"/>
          <w:sz w:val="24"/>
          <w:szCs w:val="24"/>
        </w:rPr>
        <w:t>运行期， 由于水库水位上升，</w:t>
      </w:r>
      <w:r>
        <w:rPr>
          <w:rFonts w:ascii="宋体" w:hAnsi="宋体" w:eastAsia="宋体" w:cs="宋体"/>
          <w:spacing w:val="46"/>
          <w:sz w:val="24"/>
          <w:szCs w:val="24"/>
        </w:rPr>
        <w:t xml:space="preserve"> </w:t>
      </w:r>
      <w:r>
        <w:rPr>
          <w:rFonts w:ascii="宋体" w:hAnsi="宋体" w:eastAsia="宋体" w:cs="宋体"/>
          <w:spacing w:val="-16"/>
          <w:sz w:val="24"/>
          <w:szCs w:val="24"/>
        </w:rPr>
        <w:t>生境发生了变化，</w:t>
      </w:r>
      <w:r>
        <w:rPr>
          <w:rFonts w:ascii="宋体" w:hAnsi="宋体" w:eastAsia="宋体" w:cs="宋体"/>
          <w:spacing w:val="34"/>
          <w:sz w:val="24"/>
          <w:szCs w:val="24"/>
        </w:rPr>
        <w:t xml:space="preserve"> </w:t>
      </w:r>
      <w:r>
        <w:rPr>
          <w:rFonts w:ascii="宋体" w:hAnsi="宋体" w:eastAsia="宋体" w:cs="宋体"/>
          <w:spacing w:val="-16"/>
          <w:sz w:val="24"/>
          <w:szCs w:val="24"/>
        </w:rPr>
        <w:t>一些水生维管束植物不能在</w:t>
      </w:r>
      <w:r>
        <w:rPr>
          <w:rFonts w:ascii="宋体" w:hAnsi="宋体" w:eastAsia="宋体" w:cs="宋体"/>
          <w:sz w:val="24"/>
          <w:szCs w:val="24"/>
        </w:rPr>
        <w:t xml:space="preserve"> </w:t>
      </w:r>
      <w:r>
        <w:rPr>
          <w:rFonts w:ascii="宋体" w:hAnsi="宋体" w:eastAsia="宋体" w:cs="宋体"/>
          <w:spacing w:val="-16"/>
          <w:sz w:val="24"/>
          <w:szCs w:val="24"/>
        </w:rPr>
        <w:t>原地生长繁殖，</w:t>
      </w:r>
      <w:r>
        <w:rPr>
          <w:rFonts w:ascii="宋体" w:hAnsi="宋体" w:eastAsia="宋体" w:cs="宋体"/>
          <w:spacing w:val="31"/>
          <w:sz w:val="24"/>
          <w:szCs w:val="24"/>
        </w:rPr>
        <w:t xml:space="preserve"> </w:t>
      </w:r>
      <w:r>
        <w:rPr>
          <w:rFonts w:ascii="宋体" w:hAnsi="宋体" w:eastAsia="宋体" w:cs="宋体"/>
          <w:spacing w:val="-16"/>
          <w:sz w:val="24"/>
          <w:szCs w:val="24"/>
        </w:rPr>
        <w:t>会向岸边迁移，</w:t>
      </w:r>
      <w:r>
        <w:rPr>
          <w:rFonts w:ascii="宋体" w:hAnsi="宋体" w:eastAsia="宋体" w:cs="宋体"/>
          <w:spacing w:val="30"/>
          <w:sz w:val="24"/>
          <w:szCs w:val="24"/>
        </w:rPr>
        <w:t xml:space="preserve"> </w:t>
      </w:r>
      <w:r>
        <w:rPr>
          <w:rFonts w:ascii="宋体" w:hAnsi="宋体" w:eastAsia="宋体" w:cs="宋体"/>
          <w:spacing w:val="-16"/>
          <w:sz w:val="24"/>
          <w:szCs w:val="24"/>
        </w:rPr>
        <w:t>种群分布在库区的浅水区域，</w:t>
      </w:r>
      <w:r>
        <w:rPr>
          <w:rFonts w:ascii="宋体" w:hAnsi="宋体" w:eastAsia="宋体" w:cs="宋体"/>
          <w:spacing w:val="29"/>
          <w:sz w:val="24"/>
          <w:szCs w:val="24"/>
        </w:rPr>
        <w:t xml:space="preserve"> </w:t>
      </w:r>
      <w:r>
        <w:rPr>
          <w:rFonts w:ascii="宋体" w:hAnsi="宋体" w:eastAsia="宋体" w:cs="宋体"/>
          <w:spacing w:val="-16"/>
          <w:sz w:val="24"/>
          <w:szCs w:val="24"/>
        </w:rPr>
        <w:t>对生物种群的不会</w:t>
      </w:r>
    </w:p>
    <w:p>
      <w:pPr>
        <w:spacing w:line="219" w:lineRule="auto"/>
        <w:ind w:left="39"/>
        <w:rPr>
          <w:rFonts w:ascii="宋体" w:hAnsi="宋体" w:eastAsia="宋体" w:cs="宋体"/>
          <w:sz w:val="24"/>
          <w:szCs w:val="24"/>
        </w:rPr>
      </w:pPr>
      <w:r>
        <w:rPr>
          <w:rFonts w:ascii="宋体" w:hAnsi="宋体" w:eastAsia="宋体" w:cs="宋体"/>
          <w:spacing w:val="-3"/>
          <w:sz w:val="24"/>
          <w:szCs w:val="24"/>
        </w:rPr>
        <w:t>产生影响，但数量随着生境地的改善而增加。</w:t>
      </w:r>
    </w:p>
    <w:p>
      <w:pPr>
        <w:spacing w:before="182"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对浮游植物的影响</w:t>
      </w:r>
    </w:p>
    <w:p>
      <w:pPr>
        <w:spacing w:before="164" w:line="359" w:lineRule="auto"/>
        <w:ind w:left="42" w:right="188" w:firstLine="477"/>
        <w:rPr>
          <w:rFonts w:ascii="宋体" w:hAnsi="宋体" w:eastAsia="宋体" w:cs="宋体"/>
          <w:sz w:val="24"/>
          <w:szCs w:val="24"/>
        </w:rPr>
      </w:pPr>
      <w:r>
        <w:rPr>
          <w:rFonts w:ascii="宋体" w:hAnsi="宋体" w:eastAsia="宋体" w:cs="宋体"/>
          <w:spacing w:val="-15"/>
          <w:sz w:val="24"/>
          <w:szCs w:val="24"/>
        </w:rPr>
        <w:t>运行期间， 水位上升， 上游一些急流河段变成静水，</w:t>
      </w:r>
      <w:r>
        <w:rPr>
          <w:rFonts w:ascii="宋体" w:hAnsi="宋体" w:eastAsia="宋体" w:cs="宋体"/>
          <w:spacing w:val="61"/>
          <w:sz w:val="24"/>
          <w:szCs w:val="24"/>
        </w:rPr>
        <w:t xml:space="preserve"> </w:t>
      </w:r>
      <w:r>
        <w:rPr>
          <w:rFonts w:ascii="宋体" w:hAnsi="宋体" w:eastAsia="宋体" w:cs="宋体"/>
          <w:spacing w:val="-15"/>
          <w:sz w:val="24"/>
          <w:szCs w:val="24"/>
        </w:rPr>
        <w:t>由于前期土壤中矿质元</w:t>
      </w:r>
      <w:r>
        <w:rPr>
          <w:rFonts w:ascii="宋体" w:hAnsi="宋体" w:eastAsia="宋体" w:cs="宋体"/>
          <w:sz w:val="24"/>
          <w:szCs w:val="24"/>
        </w:rPr>
        <w:t xml:space="preserve"> </w:t>
      </w:r>
      <w:r>
        <w:rPr>
          <w:rFonts w:ascii="宋体" w:hAnsi="宋体" w:eastAsia="宋体" w:cs="宋体"/>
          <w:spacing w:val="-9"/>
          <w:sz w:val="24"/>
          <w:szCs w:val="24"/>
        </w:rPr>
        <w:t>素及被淹没的植物枝叶烂， 浮游植物种群数量会逐</w:t>
      </w:r>
      <w:r>
        <w:rPr>
          <w:rFonts w:ascii="宋体" w:hAnsi="宋体" w:eastAsia="宋体" w:cs="宋体"/>
          <w:spacing w:val="-10"/>
          <w:sz w:val="24"/>
          <w:szCs w:val="24"/>
        </w:rPr>
        <w:t>渐上升； 在中后期浮游植物种</w:t>
      </w:r>
      <w:r>
        <w:rPr>
          <w:rFonts w:ascii="宋体" w:hAnsi="宋体" w:eastAsia="宋体" w:cs="宋体"/>
          <w:sz w:val="24"/>
          <w:szCs w:val="24"/>
        </w:rPr>
        <w:t xml:space="preserve"> </w:t>
      </w:r>
      <w:r>
        <w:rPr>
          <w:rFonts w:ascii="宋体" w:hAnsi="宋体" w:eastAsia="宋体" w:cs="宋体"/>
          <w:spacing w:val="-9"/>
          <w:sz w:val="24"/>
          <w:szCs w:val="24"/>
        </w:rPr>
        <w:t>君及数量在单位数量上会恢复到水库修建前的水平，</w:t>
      </w:r>
      <w:r>
        <w:rPr>
          <w:rFonts w:ascii="宋体" w:hAnsi="宋体" w:eastAsia="宋体" w:cs="宋体"/>
          <w:spacing w:val="-10"/>
          <w:sz w:val="24"/>
          <w:szCs w:val="24"/>
        </w:rPr>
        <w:t xml:space="preserve"> 但由于水面扩大， 绝对数量</w:t>
      </w:r>
    </w:p>
    <w:p>
      <w:pPr>
        <w:spacing w:before="1" w:line="218" w:lineRule="auto"/>
        <w:ind w:left="38"/>
        <w:rPr>
          <w:rFonts w:ascii="宋体" w:hAnsi="宋体" w:eastAsia="宋体" w:cs="宋体"/>
          <w:sz w:val="24"/>
          <w:szCs w:val="24"/>
        </w:rPr>
      </w:pPr>
      <w:r>
        <w:rPr>
          <w:rFonts w:ascii="宋体" w:hAnsi="宋体" w:eastAsia="宋体" w:cs="宋体"/>
          <w:spacing w:val="-8"/>
          <w:sz w:val="24"/>
          <w:szCs w:val="24"/>
        </w:rPr>
        <w:t>会增多。</w:t>
      </w:r>
    </w:p>
    <w:p>
      <w:pPr>
        <w:spacing w:before="183" w:line="234"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对浮游动物的影响</w:t>
      </w:r>
    </w:p>
    <w:p>
      <w:pPr>
        <w:spacing w:before="162" w:line="467" w:lineRule="exact"/>
        <w:ind w:left="523"/>
        <w:rPr>
          <w:rFonts w:ascii="宋体" w:hAnsi="宋体" w:eastAsia="宋体" w:cs="宋体"/>
          <w:sz w:val="24"/>
          <w:szCs w:val="24"/>
        </w:rPr>
      </w:pPr>
      <w:r>
        <w:rPr>
          <w:rFonts w:ascii="宋体" w:hAnsi="宋体" w:eastAsia="宋体" w:cs="宋体"/>
          <w:spacing w:val="-10"/>
          <w:position w:val="17"/>
          <w:sz w:val="24"/>
          <w:szCs w:val="24"/>
        </w:rPr>
        <w:t>如果水域面积增大， 浮游植物种群数量逐渐增多， 浮游动物种群也会呈逐渐</w:t>
      </w:r>
    </w:p>
    <w:p>
      <w:pPr>
        <w:spacing w:before="1" w:line="219" w:lineRule="auto"/>
        <w:ind w:left="41"/>
        <w:rPr>
          <w:rFonts w:ascii="宋体" w:hAnsi="宋体" w:eastAsia="宋体" w:cs="宋体"/>
          <w:sz w:val="24"/>
          <w:szCs w:val="24"/>
        </w:rPr>
      </w:pPr>
      <w:r>
        <w:rPr>
          <w:rFonts w:ascii="宋体" w:hAnsi="宋体" w:eastAsia="宋体" w:cs="宋体"/>
          <w:spacing w:val="-8"/>
          <w:sz w:val="24"/>
          <w:szCs w:val="24"/>
        </w:rPr>
        <w:t>上升趋势。</w:t>
      </w:r>
    </w:p>
    <w:p>
      <w:pPr>
        <w:spacing w:line="219" w:lineRule="auto"/>
        <w:rPr>
          <w:rFonts w:ascii="宋体" w:hAnsi="宋体" w:eastAsia="宋体" w:cs="宋体"/>
          <w:sz w:val="24"/>
          <w:szCs w:val="24"/>
        </w:rPr>
        <w:sectPr>
          <w:headerReference r:id="rId403" w:type="default"/>
          <w:footerReference r:id="rId404" w:type="default"/>
          <w:pgSz w:w="11907" w:h="16839"/>
          <w:pgMar w:top="1156" w:right="1611" w:bottom="1374" w:left="1770" w:header="881" w:footer="1210" w:gutter="0"/>
        </w:sectPr>
      </w:pPr>
    </w:p>
    <w:p>
      <w:pPr>
        <w:rPr>
          <w:rFonts w:ascii="Arial"/>
          <w:sz w:val="21"/>
        </w:rPr>
      </w:pPr>
    </w:p>
    <w:p>
      <w:pPr>
        <w:spacing w:before="78" w:line="234"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对底栖生物的影响</w:t>
      </w:r>
    </w:p>
    <w:p>
      <w:pPr>
        <w:spacing w:before="162" w:line="467" w:lineRule="exact"/>
        <w:ind w:right="29"/>
        <w:jc w:val="right"/>
        <w:rPr>
          <w:rFonts w:ascii="宋体" w:hAnsi="宋体" w:eastAsia="宋体" w:cs="宋体"/>
          <w:sz w:val="24"/>
          <w:szCs w:val="24"/>
        </w:rPr>
      </w:pPr>
      <w:r>
        <w:rPr>
          <w:rFonts w:ascii="宋体" w:hAnsi="宋体" w:eastAsia="宋体" w:cs="宋体"/>
          <w:spacing w:val="-7"/>
          <w:position w:val="17"/>
          <w:sz w:val="24"/>
          <w:szCs w:val="24"/>
        </w:rPr>
        <w:t>本项目评价范围内底栖生物原本较少， 蓄水后底栖动物迁移到库区浅水区生</w:t>
      </w:r>
    </w:p>
    <w:p>
      <w:pPr>
        <w:spacing w:line="219" w:lineRule="auto"/>
        <w:ind w:left="40"/>
        <w:rPr>
          <w:rFonts w:ascii="宋体" w:hAnsi="宋体" w:eastAsia="宋体" w:cs="宋体"/>
          <w:sz w:val="24"/>
          <w:szCs w:val="24"/>
        </w:rPr>
      </w:pPr>
      <w:r>
        <w:rPr>
          <w:rFonts w:ascii="宋体" w:hAnsi="宋体" w:eastAsia="宋体" w:cs="宋体"/>
          <w:spacing w:val="-4"/>
          <w:sz w:val="24"/>
          <w:szCs w:val="24"/>
        </w:rPr>
        <w:t>长，底栖生物的数量将增加。</w:t>
      </w:r>
    </w:p>
    <w:p>
      <w:pPr>
        <w:spacing w:before="182" w:line="217" w:lineRule="auto"/>
        <w:ind w:left="517"/>
        <w:rPr>
          <w:rFonts w:ascii="宋体" w:hAnsi="宋体" w:eastAsia="宋体" w:cs="宋体"/>
          <w:sz w:val="24"/>
          <w:szCs w:val="24"/>
        </w:rPr>
      </w:pPr>
      <w:r>
        <w:rPr>
          <w:rFonts w:ascii="宋体" w:hAnsi="宋体" w:eastAsia="宋体" w:cs="宋体"/>
          <w:spacing w:val="-1"/>
          <w:sz w:val="24"/>
          <w:szCs w:val="24"/>
        </w:rPr>
        <w:t>②对下游水生生物的影响</w:t>
      </w:r>
    </w:p>
    <w:p>
      <w:pPr>
        <w:spacing w:before="184"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对水生维管束植物的影响</w:t>
      </w:r>
    </w:p>
    <w:p>
      <w:pPr>
        <w:spacing w:before="163" w:line="359" w:lineRule="auto"/>
        <w:ind w:left="59" w:right="30" w:firstLine="466"/>
        <w:rPr>
          <w:rFonts w:ascii="宋体" w:hAnsi="宋体" w:eastAsia="宋体" w:cs="宋体"/>
          <w:sz w:val="24"/>
          <w:szCs w:val="24"/>
        </w:rPr>
      </w:pPr>
      <w:r>
        <w:rPr>
          <w:rFonts w:ascii="宋体" w:hAnsi="宋体" w:eastAsia="宋体" w:cs="宋体"/>
          <w:spacing w:val="-17"/>
          <w:sz w:val="24"/>
          <w:szCs w:val="24"/>
        </w:rPr>
        <w:t>原来河道由于减水，</w:t>
      </w:r>
      <w:r>
        <w:rPr>
          <w:rFonts w:ascii="宋体" w:hAnsi="宋体" w:eastAsia="宋体" w:cs="宋体"/>
          <w:spacing w:val="30"/>
          <w:sz w:val="24"/>
          <w:szCs w:val="24"/>
        </w:rPr>
        <w:t xml:space="preserve"> </w:t>
      </w:r>
      <w:r>
        <w:rPr>
          <w:rFonts w:ascii="宋体" w:hAnsi="宋体" w:eastAsia="宋体" w:cs="宋体"/>
          <w:spacing w:val="-17"/>
          <w:sz w:val="24"/>
          <w:szCs w:val="24"/>
        </w:rPr>
        <w:t>深水区变浅，</w:t>
      </w:r>
      <w:r>
        <w:rPr>
          <w:rFonts w:ascii="宋体" w:hAnsi="宋体" w:eastAsia="宋体" w:cs="宋体"/>
          <w:spacing w:val="44"/>
          <w:sz w:val="24"/>
          <w:szCs w:val="24"/>
        </w:rPr>
        <w:t xml:space="preserve"> </w:t>
      </w:r>
      <w:r>
        <w:rPr>
          <w:rFonts w:ascii="宋体" w:hAnsi="宋体" w:eastAsia="宋体" w:cs="宋体"/>
          <w:spacing w:val="-17"/>
          <w:sz w:val="24"/>
          <w:szCs w:val="24"/>
        </w:rPr>
        <w:t>只要保有一</w:t>
      </w:r>
      <w:r>
        <w:rPr>
          <w:rFonts w:ascii="宋体" w:hAnsi="宋体" w:eastAsia="宋体" w:cs="宋体"/>
          <w:spacing w:val="-18"/>
          <w:sz w:val="24"/>
          <w:szCs w:val="24"/>
        </w:rPr>
        <w:t>定的生态流量，</w:t>
      </w:r>
      <w:r>
        <w:rPr>
          <w:rFonts w:ascii="宋体" w:hAnsi="宋体" w:eastAsia="宋体" w:cs="宋体"/>
          <w:spacing w:val="30"/>
          <w:sz w:val="24"/>
          <w:szCs w:val="24"/>
        </w:rPr>
        <w:t xml:space="preserve"> </w:t>
      </w:r>
      <w:r>
        <w:rPr>
          <w:rFonts w:ascii="宋体" w:hAnsi="宋体" w:eastAsia="宋体" w:cs="宋体"/>
          <w:spacing w:val="-18"/>
          <w:sz w:val="24"/>
          <w:szCs w:val="24"/>
        </w:rPr>
        <w:t>加上地表径流</w:t>
      </w:r>
      <w:r>
        <w:rPr>
          <w:rFonts w:ascii="宋体" w:hAnsi="宋体" w:eastAsia="宋体" w:cs="宋体"/>
          <w:sz w:val="24"/>
          <w:szCs w:val="24"/>
        </w:rPr>
        <w:t xml:space="preserve"> </w:t>
      </w:r>
      <w:r>
        <w:rPr>
          <w:rFonts w:ascii="宋体" w:hAnsi="宋体" w:eastAsia="宋体" w:cs="宋体"/>
          <w:spacing w:val="-9"/>
          <w:sz w:val="24"/>
          <w:szCs w:val="24"/>
        </w:rPr>
        <w:t>的补充，</w:t>
      </w:r>
      <w:r>
        <w:rPr>
          <w:rFonts w:ascii="宋体" w:hAnsi="宋体" w:eastAsia="宋体" w:cs="宋体"/>
          <w:spacing w:val="-35"/>
          <w:sz w:val="24"/>
          <w:szCs w:val="24"/>
        </w:rPr>
        <w:t xml:space="preserve"> </w:t>
      </w:r>
      <w:r>
        <w:rPr>
          <w:rFonts w:ascii="宋体" w:hAnsi="宋体" w:eastAsia="宋体" w:cs="宋体"/>
          <w:spacing w:val="-9"/>
          <w:sz w:val="24"/>
          <w:szCs w:val="24"/>
        </w:rPr>
        <w:t>这部分河床将变为适于水生维管束植物生长的区域， 所以运</w:t>
      </w:r>
      <w:r>
        <w:rPr>
          <w:rFonts w:ascii="宋体" w:hAnsi="宋体" w:eastAsia="宋体" w:cs="宋体"/>
          <w:spacing w:val="-10"/>
          <w:sz w:val="24"/>
          <w:szCs w:val="24"/>
        </w:rPr>
        <w:t>行期对下游</w:t>
      </w:r>
    </w:p>
    <w:p>
      <w:pPr>
        <w:spacing w:before="1" w:line="218" w:lineRule="auto"/>
        <w:ind w:left="42"/>
        <w:rPr>
          <w:rFonts w:ascii="宋体" w:hAnsi="宋体" w:eastAsia="宋体" w:cs="宋体"/>
          <w:sz w:val="24"/>
          <w:szCs w:val="24"/>
        </w:rPr>
      </w:pPr>
      <w:r>
        <w:rPr>
          <w:rFonts w:ascii="宋体" w:hAnsi="宋体" w:eastAsia="宋体" w:cs="宋体"/>
          <w:spacing w:val="-3"/>
          <w:sz w:val="24"/>
          <w:szCs w:val="24"/>
        </w:rPr>
        <w:t>水生维管束植物的数量不会产生影响。</w:t>
      </w:r>
    </w:p>
    <w:p>
      <w:pPr>
        <w:spacing w:before="184" w:line="233" w:lineRule="auto"/>
        <w:ind w:left="509"/>
        <w:rPr>
          <w:rFonts w:ascii="宋体" w:hAnsi="宋体" w:eastAsia="宋体" w:cs="宋体"/>
          <w:sz w:val="24"/>
          <w:szCs w:val="24"/>
        </w:rPr>
      </w:pPr>
      <w:r>
        <w:rPr>
          <w:rFonts w:ascii="Times New Roman" w:hAnsi="Times New Roman" w:eastAsia="Times New Roman" w:cs="Times New Roman"/>
          <w:sz w:val="24"/>
          <w:szCs w:val="24"/>
        </w:rPr>
        <w:t>b.</w:t>
      </w:r>
      <w:r>
        <w:rPr>
          <w:rFonts w:ascii="宋体" w:hAnsi="宋体" w:eastAsia="宋体" w:cs="宋体"/>
          <w:sz w:val="24"/>
          <w:szCs w:val="24"/>
        </w:rPr>
        <w:t>对浮游植物的影响</w:t>
      </w:r>
    </w:p>
    <w:p>
      <w:pPr>
        <w:spacing w:before="164" w:line="359" w:lineRule="auto"/>
        <w:ind w:left="40" w:right="30" w:firstLine="479"/>
        <w:rPr>
          <w:rFonts w:ascii="宋体" w:hAnsi="宋体" w:eastAsia="宋体" w:cs="宋体"/>
          <w:sz w:val="24"/>
          <w:szCs w:val="24"/>
        </w:rPr>
      </w:pPr>
      <w:r>
        <w:rPr>
          <w:rFonts w:ascii="宋体" w:hAnsi="宋体" w:eastAsia="宋体" w:cs="宋体"/>
          <w:spacing w:val="-10"/>
          <w:sz w:val="24"/>
          <w:szCs w:val="24"/>
        </w:rPr>
        <w:t>运行期间， 由于原流水变为静水， 前期可能会引起一些绿藻及蓝藻的富营养</w:t>
      </w:r>
      <w:r>
        <w:rPr>
          <w:rFonts w:ascii="宋体" w:hAnsi="宋体" w:eastAsia="宋体" w:cs="宋体"/>
          <w:spacing w:val="6"/>
          <w:sz w:val="24"/>
          <w:szCs w:val="24"/>
        </w:rPr>
        <w:t xml:space="preserve"> </w:t>
      </w:r>
      <w:r>
        <w:rPr>
          <w:rFonts w:ascii="宋体" w:hAnsi="宋体" w:eastAsia="宋体" w:cs="宋体"/>
          <w:spacing w:val="-9"/>
          <w:sz w:val="24"/>
          <w:szCs w:val="24"/>
        </w:rPr>
        <w:t>化藻类较快繁殖， 种群数量会逐渐上升， 排放生态流</w:t>
      </w:r>
      <w:r>
        <w:rPr>
          <w:rFonts w:ascii="宋体" w:hAnsi="宋体" w:eastAsia="宋体" w:cs="宋体"/>
          <w:spacing w:val="-10"/>
          <w:sz w:val="24"/>
          <w:szCs w:val="24"/>
        </w:rPr>
        <w:t>量用水中自然也藻类种群数</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量也会上升，但一段时间后藻类种群数量将</w:t>
      </w:r>
      <w:r>
        <w:rPr>
          <w:rFonts w:ascii="宋体" w:hAnsi="宋体" w:eastAsia="宋体" w:cs="宋体"/>
          <w:spacing w:val="-2"/>
          <w:sz w:val="24"/>
          <w:szCs w:val="24"/>
        </w:rPr>
        <w:t>回到大坝修建前的水平。</w:t>
      </w:r>
    </w:p>
    <w:p>
      <w:pPr>
        <w:spacing w:before="182" w:line="234"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对浮游动物的影响</w:t>
      </w:r>
    </w:p>
    <w:p>
      <w:pPr>
        <w:spacing w:before="163" w:line="467" w:lineRule="exact"/>
        <w:ind w:right="30"/>
        <w:jc w:val="right"/>
        <w:rPr>
          <w:rFonts w:ascii="宋体" w:hAnsi="宋体" w:eastAsia="宋体" w:cs="宋体"/>
          <w:sz w:val="24"/>
          <w:szCs w:val="24"/>
        </w:rPr>
      </w:pPr>
      <w:r>
        <w:rPr>
          <w:rFonts w:ascii="宋体" w:hAnsi="宋体" w:eastAsia="宋体" w:cs="宋体"/>
          <w:spacing w:val="-6"/>
          <w:position w:val="17"/>
          <w:sz w:val="24"/>
          <w:szCs w:val="24"/>
        </w:rPr>
        <w:t>如果水体中藻类种群数量逐渐增多，</w:t>
      </w:r>
      <w:r>
        <w:rPr>
          <w:rFonts w:ascii="宋体" w:hAnsi="宋体" w:eastAsia="宋体" w:cs="宋体"/>
          <w:spacing w:val="-30"/>
          <w:position w:val="17"/>
          <w:sz w:val="24"/>
          <w:szCs w:val="24"/>
        </w:rPr>
        <w:t xml:space="preserve"> </w:t>
      </w:r>
      <w:r>
        <w:rPr>
          <w:rFonts w:ascii="宋体" w:hAnsi="宋体" w:eastAsia="宋体" w:cs="宋体"/>
          <w:spacing w:val="-6"/>
          <w:position w:val="17"/>
          <w:sz w:val="24"/>
          <w:szCs w:val="24"/>
        </w:rPr>
        <w:t>短期内浮游动物种群也会呈逐渐上升趋</w:t>
      </w:r>
    </w:p>
    <w:p>
      <w:pPr>
        <w:spacing w:line="219" w:lineRule="auto"/>
        <w:ind w:left="45"/>
        <w:rPr>
          <w:rFonts w:ascii="宋体" w:hAnsi="宋体" w:eastAsia="宋体" w:cs="宋体"/>
          <w:sz w:val="24"/>
          <w:szCs w:val="24"/>
        </w:rPr>
      </w:pPr>
      <w:r>
        <w:rPr>
          <w:rFonts w:ascii="宋体" w:hAnsi="宋体" w:eastAsia="宋体" w:cs="宋体"/>
          <w:spacing w:val="-2"/>
          <w:sz w:val="24"/>
          <w:szCs w:val="24"/>
        </w:rPr>
        <w:t>势，但由于下游水域面积减小，使得浮游动物在总数量上将减少。</w:t>
      </w:r>
    </w:p>
    <w:p>
      <w:pPr>
        <w:spacing w:before="182" w:line="234" w:lineRule="auto"/>
        <w:ind w:left="517"/>
        <w:rPr>
          <w:rFonts w:ascii="宋体" w:hAnsi="宋体" w:eastAsia="宋体" w:cs="宋体"/>
          <w:sz w:val="24"/>
          <w:szCs w:val="24"/>
        </w:rPr>
      </w:pPr>
      <w:r>
        <w:rPr>
          <w:rFonts w:ascii="Times New Roman" w:hAnsi="Times New Roman" w:eastAsia="Times New Roman" w:cs="Times New Roman"/>
          <w:spacing w:val="-1"/>
          <w:sz w:val="24"/>
          <w:szCs w:val="24"/>
        </w:rPr>
        <w:t>d.</w:t>
      </w:r>
      <w:r>
        <w:rPr>
          <w:rFonts w:ascii="宋体" w:hAnsi="宋体" w:eastAsia="宋体" w:cs="宋体"/>
          <w:spacing w:val="-1"/>
          <w:sz w:val="24"/>
          <w:szCs w:val="24"/>
        </w:rPr>
        <w:t>对底栖生物的影响</w:t>
      </w:r>
    </w:p>
    <w:p>
      <w:pPr>
        <w:spacing w:before="163" w:line="467" w:lineRule="exact"/>
        <w:ind w:right="27"/>
        <w:jc w:val="right"/>
        <w:rPr>
          <w:rFonts w:ascii="宋体" w:hAnsi="宋体" w:eastAsia="宋体" w:cs="宋体"/>
          <w:sz w:val="24"/>
          <w:szCs w:val="24"/>
        </w:rPr>
      </w:pPr>
      <w:r>
        <w:rPr>
          <w:rFonts w:ascii="宋体" w:hAnsi="宋体" w:eastAsia="宋体" w:cs="宋体"/>
          <w:spacing w:val="-10"/>
          <w:position w:val="17"/>
          <w:sz w:val="24"/>
          <w:szCs w:val="24"/>
        </w:rPr>
        <w:t>运行期下游水面减少， 使得原有的底栖动物失去生存的环境， 导致底栖动物</w:t>
      </w:r>
    </w:p>
    <w:p>
      <w:pPr>
        <w:spacing w:line="219" w:lineRule="auto"/>
        <w:ind w:left="59"/>
        <w:rPr>
          <w:rFonts w:ascii="宋体" w:hAnsi="宋体" w:eastAsia="宋体" w:cs="宋体"/>
          <w:sz w:val="24"/>
          <w:szCs w:val="24"/>
        </w:rPr>
      </w:pPr>
      <w:r>
        <w:rPr>
          <w:rFonts w:ascii="宋体" w:hAnsi="宋体" w:eastAsia="宋体" w:cs="宋体"/>
          <w:spacing w:val="-3"/>
          <w:sz w:val="24"/>
          <w:szCs w:val="24"/>
        </w:rPr>
        <w:t>的种群及数量上减少。</w:t>
      </w:r>
    </w:p>
    <w:p>
      <w:pPr>
        <w:spacing w:line="430" w:lineRule="auto"/>
        <w:rPr>
          <w:rFonts w:ascii="Arial"/>
          <w:sz w:val="21"/>
        </w:rPr>
      </w:pPr>
    </w:p>
    <w:p>
      <w:pPr>
        <w:pStyle w:val="2"/>
        <w:spacing w:before="79" w:line="218" w:lineRule="auto"/>
        <w:ind w:left="36"/>
        <w:outlineLvl w:val="2"/>
        <w:rPr>
          <w:sz w:val="24"/>
          <w:szCs w:val="24"/>
        </w:rPr>
      </w:pPr>
      <w:r>
        <w:rPr>
          <w:rFonts w:ascii="Times New Roman" w:hAnsi="Times New Roman" w:eastAsia="Times New Roman" w:cs="Times New Roman"/>
          <w:b/>
          <w:bCs/>
          <w:sz w:val="24"/>
          <w:szCs w:val="24"/>
        </w:rPr>
        <w:t xml:space="preserve">4.4.6 </w:t>
      </w:r>
      <w:r>
        <w:rPr>
          <w:sz w:val="24"/>
          <w:szCs w:val="24"/>
          <w14:textOutline w14:w="4354" w14:cap="flat" w14:cmpd="sng">
            <w14:solidFill>
              <w14:srgbClr w14:val="000000"/>
            </w14:solidFill>
            <w14:prstDash w14:val="solid"/>
            <w14:miter w14:val="0"/>
          </w14:textOutline>
        </w:rPr>
        <w:t>对生态系统稳定性分析</w:t>
      </w:r>
    </w:p>
    <w:p>
      <w:pPr>
        <w:spacing w:before="218"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）对生物多样性维护、水土保持影响分析</w:t>
      </w:r>
    </w:p>
    <w:p>
      <w:pPr>
        <w:spacing w:before="183" w:line="359" w:lineRule="auto"/>
        <w:ind w:left="38" w:right="30" w:firstLine="480"/>
        <w:jc w:val="both"/>
        <w:rPr>
          <w:rFonts w:ascii="宋体" w:hAnsi="宋体" w:eastAsia="宋体" w:cs="宋体"/>
          <w:sz w:val="24"/>
          <w:szCs w:val="24"/>
        </w:rPr>
      </w:pPr>
      <w:r>
        <w:rPr>
          <w:rFonts w:ascii="宋体" w:hAnsi="宋体" w:eastAsia="宋体" w:cs="宋体"/>
          <w:spacing w:val="-7"/>
          <w:sz w:val="24"/>
          <w:szCs w:val="24"/>
        </w:rPr>
        <w:t>根据建设项目使用林地情况简表， 可知本项目占用林地</w:t>
      </w:r>
      <w:r>
        <w:rPr>
          <w:rFonts w:ascii="宋体" w:hAnsi="宋体" w:eastAsia="宋体" w:cs="宋体"/>
          <w:spacing w:val="-39"/>
          <w:sz w:val="24"/>
          <w:szCs w:val="24"/>
        </w:rPr>
        <w:t xml:space="preserve"> </w:t>
      </w:r>
      <w:r>
        <w:rPr>
          <w:rFonts w:ascii="Times New Roman" w:hAnsi="Times New Roman" w:eastAsia="Times New Roman" w:cs="Times New Roman"/>
          <w:spacing w:val="-7"/>
          <w:sz w:val="24"/>
          <w:szCs w:val="24"/>
        </w:rPr>
        <w:t>87.53hm</w:t>
      </w:r>
      <w:r>
        <w:rPr>
          <w:rFonts w:ascii="Times New Roman" w:hAnsi="Times New Roman" w:eastAsia="Times New Roman" w:cs="Times New Roman"/>
          <w:spacing w:val="-7"/>
          <w:position w:val="8"/>
          <w:sz w:val="15"/>
          <w:szCs w:val="15"/>
        </w:rPr>
        <w:t>2</w:t>
      </w:r>
      <w:r>
        <w:rPr>
          <w:rFonts w:ascii="宋体" w:hAnsi="宋体" w:eastAsia="宋体" w:cs="宋体"/>
          <w:spacing w:val="-7"/>
          <w:sz w:val="24"/>
          <w:szCs w:val="24"/>
        </w:rPr>
        <w:t>，含生态公</w:t>
      </w:r>
      <w:r>
        <w:rPr>
          <w:rFonts w:ascii="宋体" w:hAnsi="宋体" w:eastAsia="宋体" w:cs="宋体"/>
          <w:sz w:val="24"/>
          <w:szCs w:val="24"/>
        </w:rPr>
        <w:t xml:space="preserve"> </w:t>
      </w:r>
      <w:r>
        <w:rPr>
          <w:rFonts w:ascii="宋体" w:hAnsi="宋体" w:eastAsia="宋体" w:cs="宋体"/>
          <w:spacing w:val="-1"/>
          <w:sz w:val="24"/>
          <w:szCs w:val="24"/>
        </w:rPr>
        <w:t>益林</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21.70hm</w:t>
      </w:r>
      <w:r>
        <w:rPr>
          <w:rFonts w:ascii="Times New Roman" w:hAnsi="Times New Roman" w:eastAsia="Times New Roman" w:cs="Times New Roman"/>
          <w:spacing w:val="-1"/>
          <w:position w:val="8"/>
          <w:sz w:val="15"/>
          <w:szCs w:val="15"/>
        </w:rPr>
        <w:t>2</w:t>
      </w:r>
      <w:r>
        <w:rPr>
          <w:rFonts w:ascii="宋体" w:hAnsi="宋体" w:eastAsia="宋体" w:cs="宋体"/>
          <w:spacing w:val="-14"/>
          <w:sz w:val="24"/>
          <w:szCs w:val="24"/>
        </w:rPr>
        <w:t>。其中，</w:t>
      </w:r>
      <w:r>
        <w:rPr>
          <w:rFonts w:ascii="宋体" w:hAnsi="宋体" w:eastAsia="宋体" w:cs="宋体"/>
          <w:spacing w:val="70"/>
          <w:sz w:val="24"/>
          <w:szCs w:val="24"/>
        </w:rPr>
        <w:t xml:space="preserve"> </w:t>
      </w:r>
      <w:r>
        <w:rPr>
          <w:rFonts w:ascii="宋体" w:hAnsi="宋体" w:eastAsia="宋体" w:cs="宋体"/>
          <w:spacing w:val="-14"/>
          <w:sz w:val="24"/>
          <w:szCs w:val="24"/>
        </w:rPr>
        <w:t>国家二级公益林</w:t>
      </w:r>
      <w:r>
        <w:rPr>
          <w:rFonts w:ascii="宋体" w:hAnsi="宋体" w:eastAsia="宋体" w:cs="宋体"/>
          <w:spacing w:val="-51"/>
          <w:sz w:val="24"/>
          <w:szCs w:val="24"/>
        </w:rPr>
        <w:t xml:space="preserve"> </w:t>
      </w:r>
      <w:r>
        <w:rPr>
          <w:rFonts w:ascii="Times New Roman" w:hAnsi="Times New Roman" w:eastAsia="Times New Roman" w:cs="Times New Roman"/>
          <w:spacing w:val="-14"/>
          <w:sz w:val="24"/>
          <w:szCs w:val="24"/>
        </w:rPr>
        <w:t>7.28hm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6"/>
          <w:sz w:val="24"/>
          <w:szCs w:val="24"/>
        </w:rPr>
        <w:t>，省级公益林占用</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14.42hm</w:t>
      </w:r>
      <w:r>
        <w:rPr>
          <w:rFonts w:ascii="Times New Roman" w:hAnsi="Times New Roman" w:eastAsia="Times New Roman" w:cs="Times New Roman"/>
          <w:spacing w:val="-6"/>
          <w:position w:val="8"/>
          <w:sz w:val="15"/>
          <w:szCs w:val="15"/>
        </w:rPr>
        <w:t xml:space="preserve">2 </w:t>
      </w:r>
      <w:r>
        <w:rPr>
          <w:rFonts w:ascii="宋体" w:hAnsi="宋体" w:eastAsia="宋体" w:cs="宋体"/>
          <w:spacing w:val="-6"/>
          <w:sz w:val="24"/>
          <w:szCs w:val="24"/>
        </w:rPr>
        <w:t>。根</w:t>
      </w:r>
      <w:r>
        <w:rPr>
          <w:rFonts w:ascii="宋体" w:hAnsi="宋体" w:eastAsia="宋体" w:cs="宋体"/>
          <w:sz w:val="24"/>
          <w:szCs w:val="24"/>
        </w:rPr>
        <w:t xml:space="preserve"> </w:t>
      </w:r>
      <w:r>
        <w:rPr>
          <w:rFonts w:ascii="宋体" w:hAnsi="宋体" w:eastAsia="宋体" w:cs="宋体"/>
          <w:spacing w:val="-6"/>
          <w:sz w:val="24"/>
          <w:szCs w:val="24"/>
        </w:rPr>
        <w:t>据现场调查， 占用的国家二级公益林和省级公益林主要为云南</w:t>
      </w:r>
      <w:r>
        <w:rPr>
          <w:rFonts w:ascii="宋体" w:hAnsi="宋体" w:eastAsia="宋体" w:cs="宋体"/>
          <w:spacing w:val="-7"/>
          <w:sz w:val="24"/>
          <w:szCs w:val="24"/>
        </w:rPr>
        <w:t>松林和含云南松和</w:t>
      </w:r>
      <w:r>
        <w:rPr>
          <w:rFonts w:ascii="宋体" w:hAnsi="宋体" w:eastAsia="宋体" w:cs="宋体"/>
          <w:sz w:val="24"/>
          <w:szCs w:val="24"/>
        </w:rPr>
        <w:t xml:space="preserve"> </w:t>
      </w:r>
      <w:r>
        <w:rPr>
          <w:rFonts w:ascii="宋体" w:hAnsi="宋体" w:eastAsia="宋体" w:cs="宋体"/>
          <w:spacing w:val="-6"/>
          <w:sz w:val="24"/>
          <w:szCs w:val="24"/>
        </w:rPr>
        <w:t>珍珠花的中草草丛稀树灌木草丛，</w:t>
      </w:r>
      <w:r>
        <w:rPr>
          <w:rFonts w:ascii="宋体" w:hAnsi="宋体" w:eastAsia="宋体" w:cs="宋体"/>
          <w:spacing w:val="-14"/>
          <w:sz w:val="24"/>
          <w:szCs w:val="24"/>
        </w:rPr>
        <w:t xml:space="preserve"> </w:t>
      </w:r>
      <w:r>
        <w:rPr>
          <w:rFonts w:ascii="宋体" w:hAnsi="宋体" w:eastAsia="宋体" w:cs="宋体"/>
          <w:spacing w:val="-6"/>
          <w:sz w:val="24"/>
          <w:szCs w:val="24"/>
        </w:rPr>
        <w:t>而占用的其他林地即主要是云南松林和稀树灌</w:t>
      </w:r>
      <w:r>
        <w:rPr>
          <w:rFonts w:ascii="宋体" w:hAnsi="宋体" w:eastAsia="宋体" w:cs="宋体"/>
          <w:sz w:val="24"/>
          <w:szCs w:val="24"/>
        </w:rPr>
        <w:t xml:space="preserve"> </w:t>
      </w:r>
      <w:r>
        <w:rPr>
          <w:rFonts w:ascii="宋体" w:hAnsi="宋体" w:eastAsia="宋体" w:cs="宋体"/>
          <w:spacing w:val="-15"/>
          <w:sz w:val="24"/>
          <w:szCs w:val="24"/>
        </w:rPr>
        <w:t>木草丛， 少部分为半湿润常绿阔叶林，</w:t>
      </w:r>
      <w:r>
        <w:rPr>
          <w:rFonts w:ascii="宋体" w:hAnsi="宋体" w:eastAsia="宋体" w:cs="宋体"/>
          <w:spacing w:val="46"/>
          <w:sz w:val="24"/>
          <w:szCs w:val="24"/>
        </w:rPr>
        <w:t xml:space="preserve"> </w:t>
      </w:r>
      <w:r>
        <w:rPr>
          <w:rFonts w:ascii="宋体" w:hAnsi="宋体" w:eastAsia="宋体" w:cs="宋体"/>
          <w:spacing w:val="-15"/>
          <w:sz w:val="24"/>
          <w:szCs w:val="24"/>
        </w:rPr>
        <w:t>这些群落和物种都是云南广布，</w:t>
      </w:r>
      <w:r>
        <w:rPr>
          <w:rFonts w:ascii="宋体" w:hAnsi="宋体" w:eastAsia="宋体" w:cs="宋体"/>
          <w:spacing w:val="31"/>
          <w:sz w:val="24"/>
          <w:szCs w:val="24"/>
        </w:rPr>
        <w:t xml:space="preserve"> </w:t>
      </w:r>
      <w:r>
        <w:rPr>
          <w:rFonts w:ascii="宋体" w:hAnsi="宋体" w:eastAsia="宋体" w:cs="宋体"/>
          <w:spacing w:val="-15"/>
          <w:sz w:val="24"/>
          <w:szCs w:val="24"/>
        </w:rPr>
        <w:t>属于当地</w:t>
      </w:r>
      <w:r>
        <w:rPr>
          <w:rFonts w:ascii="宋体" w:hAnsi="宋体" w:eastAsia="宋体" w:cs="宋体"/>
          <w:sz w:val="24"/>
          <w:szCs w:val="24"/>
        </w:rPr>
        <w:t xml:space="preserve"> </w:t>
      </w:r>
      <w:r>
        <w:rPr>
          <w:rFonts w:ascii="宋体" w:hAnsi="宋体" w:eastAsia="宋体" w:cs="宋体"/>
          <w:spacing w:val="-6"/>
          <w:sz w:val="24"/>
          <w:szCs w:val="24"/>
        </w:rPr>
        <w:t>常见的植被类型， 且对占用的基本农田、公益林地均按照相关法</w:t>
      </w:r>
      <w:r>
        <w:rPr>
          <w:rFonts w:ascii="宋体" w:hAnsi="宋体" w:eastAsia="宋体" w:cs="宋体"/>
          <w:spacing w:val="-7"/>
          <w:sz w:val="24"/>
          <w:szCs w:val="24"/>
        </w:rPr>
        <w:t>律法规复垦或补</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偿，因此对整个生态环境的生物多样性维护及</w:t>
      </w:r>
      <w:r>
        <w:rPr>
          <w:rFonts w:ascii="宋体" w:hAnsi="宋体" w:eastAsia="宋体" w:cs="宋体"/>
          <w:spacing w:val="-2"/>
          <w:sz w:val="24"/>
          <w:szCs w:val="24"/>
        </w:rPr>
        <w:t>水土保持功能影响较小。</w:t>
      </w:r>
    </w:p>
    <w:p>
      <w:pPr>
        <w:spacing w:before="181"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）阻抗稳定性分析</w:t>
      </w:r>
    </w:p>
    <w:p>
      <w:pPr>
        <w:spacing w:before="181" w:line="232" w:lineRule="auto"/>
        <w:ind w:right="30"/>
        <w:jc w:val="right"/>
        <w:rPr>
          <w:rFonts w:ascii="宋体" w:hAnsi="宋体" w:eastAsia="宋体" w:cs="宋体"/>
          <w:sz w:val="24"/>
          <w:szCs w:val="24"/>
        </w:rPr>
      </w:pPr>
      <w:r>
        <w:rPr>
          <w:rFonts w:ascii="宋体" w:hAnsi="宋体" w:eastAsia="宋体" w:cs="宋体"/>
          <w:spacing w:val="6"/>
          <w:sz w:val="24"/>
          <w:szCs w:val="24"/>
        </w:rPr>
        <w:t>评价区内的生态系统主要是暖性针叶林</w:t>
      </w:r>
      <w:r>
        <w:rPr>
          <w:rFonts w:ascii="Times New Roman" w:hAnsi="Times New Roman" w:eastAsia="Times New Roman" w:cs="Times New Roman"/>
          <w:spacing w:val="6"/>
          <w:sz w:val="24"/>
          <w:szCs w:val="24"/>
        </w:rPr>
        <w:t>+</w:t>
      </w:r>
      <w:r>
        <w:rPr>
          <w:rFonts w:ascii="宋体" w:hAnsi="宋体" w:eastAsia="宋体" w:cs="宋体"/>
          <w:spacing w:val="6"/>
          <w:sz w:val="24"/>
          <w:szCs w:val="24"/>
        </w:rPr>
        <w:t>常绿阔叶林</w:t>
      </w:r>
      <w:r>
        <w:rPr>
          <w:rFonts w:ascii="Times New Roman" w:hAnsi="Times New Roman" w:eastAsia="Times New Roman" w:cs="Times New Roman"/>
          <w:spacing w:val="6"/>
          <w:sz w:val="24"/>
          <w:szCs w:val="24"/>
        </w:rPr>
        <w:t>+</w:t>
      </w:r>
      <w:r>
        <w:rPr>
          <w:rFonts w:ascii="宋体" w:hAnsi="宋体" w:eastAsia="宋体" w:cs="宋体"/>
          <w:spacing w:val="6"/>
          <w:sz w:val="24"/>
          <w:szCs w:val="24"/>
        </w:rPr>
        <w:t>硬叶常绿阔叶林</w:t>
      </w:r>
      <w:r>
        <w:rPr>
          <w:rFonts w:ascii="Times New Roman" w:hAnsi="Times New Roman" w:eastAsia="Times New Roman" w:cs="Times New Roman"/>
          <w:spacing w:val="6"/>
          <w:sz w:val="24"/>
          <w:szCs w:val="24"/>
        </w:rPr>
        <w:t>+</w:t>
      </w:r>
      <w:r>
        <w:rPr>
          <w:rFonts w:ascii="宋体" w:hAnsi="宋体" w:eastAsia="宋体" w:cs="宋体"/>
          <w:spacing w:val="6"/>
          <w:sz w:val="24"/>
          <w:szCs w:val="24"/>
        </w:rPr>
        <w:t>落</w:t>
      </w:r>
    </w:p>
    <w:p>
      <w:pPr>
        <w:spacing w:line="232" w:lineRule="auto"/>
        <w:rPr>
          <w:rFonts w:ascii="宋体" w:hAnsi="宋体" w:eastAsia="宋体" w:cs="宋体"/>
          <w:sz w:val="24"/>
          <w:szCs w:val="24"/>
        </w:rPr>
        <w:sectPr>
          <w:headerReference r:id="rId405" w:type="default"/>
          <w:footerReference r:id="rId406" w:type="default"/>
          <w:pgSz w:w="11907" w:h="16839"/>
          <w:pgMar w:top="1156" w:right="1768" w:bottom="1374" w:left="1770" w:header="881" w:footer="1210" w:gutter="0"/>
        </w:sectPr>
      </w:pPr>
    </w:p>
    <w:p>
      <w:pPr>
        <w:rPr>
          <w:rFonts w:ascii="Arial"/>
          <w:sz w:val="21"/>
        </w:rPr>
      </w:pPr>
    </w:p>
    <w:p>
      <w:pPr>
        <w:spacing w:before="78" w:line="359" w:lineRule="auto"/>
        <w:ind w:left="40" w:right="66" w:firstLine="14"/>
        <w:rPr>
          <w:rFonts w:ascii="宋体" w:hAnsi="宋体" w:eastAsia="宋体" w:cs="宋体"/>
          <w:sz w:val="24"/>
          <w:szCs w:val="24"/>
        </w:rPr>
      </w:pPr>
      <w:r>
        <w:rPr>
          <w:rFonts w:ascii="宋体" w:hAnsi="宋体" w:eastAsia="宋体" w:cs="宋体"/>
          <w:spacing w:val="-5"/>
          <w:sz w:val="24"/>
          <w:szCs w:val="24"/>
        </w:rPr>
        <w:t>叶阔叶林</w:t>
      </w:r>
      <w:r>
        <w:rPr>
          <w:rFonts w:ascii="Times New Roman" w:hAnsi="Times New Roman" w:eastAsia="Times New Roman" w:cs="Times New Roman"/>
          <w:spacing w:val="-5"/>
          <w:sz w:val="24"/>
          <w:szCs w:val="24"/>
        </w:rPr>
        <w:t>+</w:t>
      </w:r>
      <w:r>
        <w:rPr>
          <w:rFonts w:ascii="宋体" w:hAnsi="宋体" w:eastAsia="宋体" w:cs="宋体"/>
          <w:spacing w:val="-5"/>
          <w:sz w:val="24"/>
          <w:szCs w:val="24"/>
        </w:rPr>
        <w:t>灌丛</w:t>
      </w:r>
      <w:r>
        <w:rPr>
          <w:rFonts w:ascii="Times New Roman" w:hAnsi="Times New Roman" w:eastAsia="Times New Roman" w:cs="Times New Roman"/>
          <w:spacing w:val="-5"/>
          <w:sz w:val="24"/>
          <w:szCs w:val="24"/>
        </w:rPr>
        <w:t>+</w:t>
      </w:r>
      <w:r>
        <w:rPr>
          <w:rFonts w:ascii="宋体" w:hAnsi="宋体" w:eastAsia="宋体" w:cs="宋体"/>
          <w:spacing w:val="-5"/>
          <w:sz w:val="24"/>
          <w:szCs w:val="24"/>
        </w:rPr>
        <w:t>草地</w:t>
      </w:r>
      <w:r>
        <w:rPr>
          <w:rFonts w:ascii="Times New Roman" w:hAnsi="Times New Roman" w:eastAsia="Times New Roman" w:cs="Times New Roman"/>
          <w:spacing w:val="-5"/>
          <w:sz w:val="24"/>
          <w:szCs w:val="24"/>
        </w:rPr>
        <w:t>+</w:t>
      </w:r>
      <w:r>
        <w:rPr>
          <w:rFonts w:ascii="宋体" w:hAnsi="宋体" w:eastAsia="宋体" w:cs="宋体"/>
          <w:spacing w:val="-5"/>
          <w:sz w:val="24"/>
          <w:szCs w:val="24"/>
        </w:rPr>
        <w:t>耕地</w:t>
      </w:r>
      <w:r>
        <w:rPr>
          <w:rFonts w:ascii="Times New Roman" w:hAnsi="Times New Roman" w:eastAsia="Times New Roman" w:cs="Times New Roman"/>
          <w:spacing w:val="-5"/>
          <w:sz w:val="24"/>
          <w:szCs w:val="24"/>
        </w:rPr>
        <w:t>+</w:t>
      </w:r>
      <w:r>
        <w:rPr>
          <w:rFonts w:ascii="宋体" w:hAnsi="宋体" w:eastAsia="宋体" w:cs="宋体"/>
          <w:spacing w:val="-5"/>
          <w:sz w:val="24"/>
          <w:szCs w:val="24"/>
        </w:rPr>
        <w:t>村寨</w:t>
      </w:r>
      <w:r>
        <w:rPr>
          <w:rFonts w:ascii="Times New Roman" w:hAnsi="Times New Roman" w:eastAsia="Times New Roman" w:cs="Times New Roman"/>
          <w:spacing w:val="-5"/>
          <w:sz w:val="24"/>
          <w:szCs w:val="24"/>
        </w:rPr>
        <w:t>+</w:t>
      </w:r>
      <w:r>
        <w:rPr>
          <w:rFonts w:ascii="宋体" w:hAnsi="宋体" w:eastAsia="宋体" w:cs="宋体"/>
          <w:spacing w:val="-5"/>
          <w:sz w:val="24"/>
          <w:szCs w:val="24"/>
        </w:rPr>
        <w:t>水域复合生态系统， 是属于当地的支</w:t>
      </w:r>
      <w:r>
        <w:rPr>
          <w:rFonts w:ascii="宋体" w:hAnsi="宋体" w:eastAsia="宋体" w:cs="宋体"/>
          <w:spacing w:val="-6"/>
          <w:sz w:val="24"/>
          <w:szCs w:val="24"/>
        </w:rPr>
        <w:t>持性生态</w:t>
      </w:r>
      <w:r>
        <w:rPr>
          <w:rFonts w:ascii="宋体" w:hAnsi="宋体" w:eastAsia="宋体" w:cs="宋体"/>
          <w:sz w:val="24"/>
          <w:szCs w:val="24"/>
        </w:rPr>
        <w:t xml:space="preserve"> </w:t>
      </w:r>
      <w:r>
        <w:rPr>
          <w:rFonts w:ascii="宋体" w:hAnsi="宋体" w:eastAsia="宋体" w:cs="宋体"/>
          <w:spacing w:val="-5"/>
          <w:sz w:val="24"/>
          <w:szCs w:val="24"/>
        </w:rPr>
        <w:t>系统，</w:t>
      </w:r>
      <w:r>
        <w:rPr>
          <w:rFonts w:ascii="宋体" w:hAnsi="宋体" w:eastAsia="宋体" w:cs="宋体"/>
          <w:spacing w:val="-37"/>
          <w:sz w:val="24"/>
          <w:szCs w:val="24"/>
        </w:rPr>
        <w:t xml:space="preserve"> </w:t>
      </w:r>
      <w:r>
        <w:rPr>
          <w:rFonts w:ascii="宋体" w:hAnsi="宋体" w:eastAsia="宋体" w:cs="宋体"/>
          <w:spacing w:val="-5"/>
          <w:sz w:val="24"/>
          <w:szCs w:val="24"/>
        </w:rPr>
        <w:t>暖性针叶林是评价区的模地。本项目建设使</w:t>
      </w:r>
      <w:r>
        <w:rPr>
          <w:rFonts w:ascii="宋体" w:hAnsi="宋体" w:eastAsia="宋体" w:cs="宋体"/>
          <w:spacing w:val="-6"/>
          <w:sz w:val="24"/>
          <w:szCs w:val="24"/>
        </w:rPr>
        <w:t>评价区的部分河谷段转变为水</w:t>
      </w:r>
      <w:r>
        <w:rPr>
          <w:rFonts w:ascii="宋体" w:hAnsi="宋体" w:eastAsia="宋体" w:cs="宋体"/>
          <w:sz w:val="24"/>
          <w:szCs w:val="24"/>
        </w:rPr>
        <w:t xml:space="preserve"> </w:t>
      </w:r>
      <w:r>
        <w:rPr>
          <w:rFonts w:ascii="宋体" w:hAnsi="宋体" w:eastAsia="宋体" w:cs="宋体"/>
          <w:spacing w:val="-6"/>
          <w:sz w:val="24"/>
          <w:szCs w:val="24"/>
        </w:rPr>
        <w:t>库库区，</w:t>
      </w:r>
      <w:r>
        <w:rPr>
          <w:rFonts w:ascii="宋体" w:hAnsi="宋体" w:eastAsia="宋体" w:cs="宋体"/>
          <w:spacing w:val="-40"/>
          <w:sz w:val="24"/>
          <w:szCs w:val="24"/>
        </w:rPr>
        <w:t xml:space="preserve"> </w:t>
      </w:r>
      <w:r>
        <w:rPr>
          <w:rFonts w:ascii="宋体" w:hAnsi="宋体" w:eastAsia="宋体" w:cs="宋体"/>
          <w:spacing w:val="-6"/>
          <w:sz w:val="24"/>
          <w:szCs w:val="24"/>
        </w:rPr>
        <w:t>正常蓄水时水库面积增加了</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37.42hm</w:t>
      </w:r>
      <w:r>
        <w:rPr>
          <w:rFonts w:ascii="Times New Roman" w:hAnsi="Times New Roman" w:eastAsia="Times New Roman" w:cs="Times New Roman"/>
          <w:spacing w:val="-6"/>
          <w:position w:val="8"/>
          <w:sz w:val="15"/>
          <w:szCs w:val="15"/>
        </w:rPr>
        <w:t>2</w:t>
      </w:r>
      <w:r>
        <w:rPr>
          <w:rFonts w:ascii="宋体" w:hAnsi="宋体" w:eastAsia="宋体" w:cs="宋体"/>
          <w:spacing w:val="-6"/>
          <w:sz w:val="24"/>
          <w:szCs w:val="24"/>
        </w:rPr>
        <w:t>，</w:t>
      </w:r>
      <w:r>
        <w:rPr>
          <w:rFonts w:ascii="宋体" w:hAnsi="宋体" w:eastAsia="宋体" w:cs="宋体"/>
          <w:spacing w:val="-7"/>
          <w:sz w:val="24"/>
          <w:szCs w:val="24"/>
        </w:rPr>
        <w:t>其余的生态系统面积变化不大。</w:t>
      </w:r>
    </w:p>
    <w:p>
      <w:pPr>
        <w:spacing w:line="218" w:lineRule="auto"/>
        <w:ind w:left="58"/>
        <w:rPr>
          <w:rFonts w:ascii="宋体" w:hAnsi="宋体" w:eastAsia="宋体" w:cs="宋体"/>
          <w:sz w:val="24"/>
          <w:szCs w:val="24"/>
        </w:rPr>
      </w:pPr>
      <w:r>
        <w:rPr>
          <w:rFonts w:ascii="宋体" w:hAnsi="宋体" w:eastAsia="宋体" w:cs="宋体"/>
          <w:spacing w:val="-2"/>
          <w:sz w:val="24"/>
          <w:szCs w:val="24"/>
        </w:rPr>
        <w:t>因此工程实施后对评价区自然体系的景观异质化程度和阻抗能力影响不大。</w:t>
      </w:r>
    </w:p>
    <w:p>
      <w:pPr>
        <w:spacing w:before="197" w:line="220" w:lineRule="auto"/>
        <w:ind w:left="1942"/>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表</w:t>
      </w:r>
      <w:r>
        <w:rPr>
          <w:rFonts w:ascii="宋体" w:hAnsi="宋体" w:eastAsia="宋体" w:cs="宋体"/>
          <w:spacing w:val="-46"/>
          <w:sz w:val="21"/>
          <w:szCs w:val="21"/>
        </w:rPr>
        <w:t xml:space="preserve"> </w:t>
      </w:r>
      <w:r>
        <w:rPr>
          <w:rFonts w:ascii="Times New Roman" w:hAnsi="Times New Roman" w:eastAsia="Times New Roman" w:cs="Times New Roman"/>
          <w:b/>
          <w:bCs/>
          <w:sz w:val="21"/>
          <w:szCs w:val="21"/>
        </w:rPr>
        <w:t xml:space="preserve">4.4-4    </w:t>
      </w:r>
      <w:r>
        <w:rPr>
          <w:rFonts w:ascii="宋体" w:hAnsi="宋体" w:eastAsia="宋体" w:cs="宋体"/>
          <w:sz w:val="21"/>
          <w:szCs w:val="21"/>
          <w14:textOutline w14:w="3810" w14:cap="flat" w14:cmpd="sng">
            <w14:solidFill>
              <w14:srgbClr w14:val="000000"/>
            </w14:solidFill>
            <w14:prstDash w14:val="solid"/>
            <w14:miter w14:val="0"/>
          </w14:textOutline>
        </w:rPr>
        <w:t>工程实施前后主要拼块类型数目和面积比较</w:t>
      </w:r>
    </w:p>
    <w:p>
      <w:pPr>
        <w:spacing w:before="48"/>
      </w:pPr>
    </w:p>
    <w:tbl>
      <w:tblPr>
        <w:tblStyle w:val="5"/>
        <w:tblW w:w="8198" w:type="dxa"/>
        <w:tblInd w:w="8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87"/>
        <w:gridCol w:w="1701"/>
        <w:gridCol w:w="1419"/>
        <w:gridCol w:w="1416"/>
        <w:gridCol w:w="13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287" w:type="dxa"/>
            <w:vMerge w:val="restart"/>
            <w:tcBorders>
              <w:top w:val="single" w:color="000000" w:sz="12" w:space="0"/>
              <w:left w:val="nil"/>
              <w:bottom w:val="nil"/>
            </w:tcBorders>
            <w:vAlign w:val="top"/>
          </w:tcPr>
          <w:p>
            <w:pPr>
              <w:spacing w:before="242" w:line="218" w:lineRule="auto"/>
              <w:ind w:left="74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拼块类型</w:t>
            </w:r>
          </w:p>
        </w:tc>
        <w:tc>
          <w:tcPr>
            <w:tcW w:w="3120" w:type="dxa"/>
            <w:gridSpan w:val="2"/>
            <w:tcBorders>
              <w:top w:val="single" w:color="000000" w:sz="12" w:space="0"/>
            </w:tcBorders>
            <w:vAlign w:val="top"/>
          </w:tcPr>
          <w:p>
            <w:pPr>
              <w:spacing w:before="66" w:line="217" w:lineRule="auto"/>
              <w:ind w:left="125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建成前</w:t>
            </w:r>
          </w:p>
        </w:tc>
        <w:tc>
          <w:tcPr>
            <w:tcW w:w="2791" w:type="dxa"/>
            <w:gridSpan w:val="2"/>
            <w:tcBorders>
              <w:top w:val="single" w:color="000000" w:sz="12" w:space="0"/>
              <w:right w:val="nil"/>
            </w:tcBorders>
            <w:vAlign w:val="top"/>
          </w:tcPr>
          <w:p>
            <w:pPr>
              <w:spacing w:before="65" w:line="219" w:lineRule="auto"/>
              <w:ind w:left="1091"/>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建成后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2287" w:type="dxa"/>
            <w:vMerge w:val="continue"/>
            <w:tcBorders>
              <w:top w:val="nil"/>
              <w:left w:val="nil"/>
            </w:tcBorders>
            <w:vAlign w:val="top"/>
          </w:tcPr>
          <w:p>
            <w:pPr>
              <w:rPr>
                <w:rFonts w:ascii="Arial"/>
                <w:sz w:val="21"/>
              </w:rPr>
            </w:pPr>
          </w:p>
        </w:tc>
        <w:tc>
          <w:tcPr>
            <w:tcW w:w="1701" w:type="dxa"/>
            <w:vAlign w:val="top"/>
          </w:tcPr>
          <w:p>
            <w:pPr>
              <w:pStyle w:val="6"/>
              <w:spacing w:before="68" w:line="229" w:lineRule="auto"/>
              <w:ind w:left="262"/>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面积（</w:t>
            </w:r>
            <w:r>
              <w:rPr>
                <w:b/>
                <w:bCs/>
                <w:spacing w:val="-3"/>
              </w:rPr>
              <w:t>hm</w:t>
            </w:r>
            <w:r>
              <w:rPr>
                <w:b/>
                <w:bCs/>
                <w:spacing w:val="-3"/>
                <w:position w:val="6"/>
                <w:sz w:val="14"/>
                <w:szCs w:val="14"/>
              </w:rPr>
              <w:t>2</w:t>
            </w:r>
            <w:r>
              <w:rPr>
                <w:rFonts w:ascii="仿宋" w:hAnsi="仿宋" w:eastAsia="仿宋" w:cs="仿宋"/>
                <w:spacing w:val="-3"/>
                <w14:textOutline w14:w="3810" w14:cap="flat" w14:cmpd="sng">
                  <w14:solidFill>
                    <w14:srgbClr w14:val="000000"/>
                  </w14:solidFill>
                  <w14:prstDash w14:val="solid"/>
                  <w14:miter w14:val="0"/>
                </w14:textOutline>
              </w:rPr>
              <w:t>）</w:t>
            </w:r>
          </w:p>
        </w:tc>
        <w:tc>
          <w:tcPr>
            <w:tcW w:w="1419" w:type="dxa"/>
            <w:vAlign w:val="top"/>
          </w:tcPr>
          <w:p>
            <w:pPr>
              <w:spacing w:before="68" w:line="219" w:lineRule="auto"/>
              <w:ind w:left="191"/>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数目（块）</w:t>
            </w:r>
          </w:p>
        </w:tc>
        <w:tc>
          <w:tcPr>
            <w:tcW w:w="1416" w:type="dxa"/>
            <w:vAlign w:val="top"/>
          </w:tcPr>
          <w:p>
            <w:pPr>
              <w:pStyle w:val="6"/>
              <w:spacing w:before="68" w:line="229" w:lineRule="auto"/>
              <w:ind w:left="120"/>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面积（</w:t>
            </w:r>
            <w:r>
              <w:rPr>
                <w:b/>
                <w:bCs/>
                <w:spacing w:val="-3"/>
              </w:rPr>
              <w:t>hm</w:t>
            </w:r>
            <w:r>
              <w:rPr>
                <w:b/>
                <w:bCs/>
                <w:spacing w:val="-3"/>
                <w:position w:val="6"/>
                <w:sz w:val="14"/>
                <w:szCs w:val="14"/>
              </w:rPr>
              <w:t>2</w:t>
            </w:r>
            <w:r>
              <w:rPr>
                <w:rFonts w:ascii="仿宋" w:hAnsi="仿宋" w:eastAsia="仿宋" w:cs="仿宋"/>
                <w:spacing w:val="-3"/>
                <w14:textOutline w14:w="3810" w14:cap="flat" w14:cmpd="sng">
                  <w14:solidFill>
                    <w14:srgbClr w14:val="000000"/>
                  </w14:solidFill>
                  <w14:prstDash w14:val="solid"/>
                  <w14:miter w14:val="0"/>
                </w14:textOutline>
              </w:rPr>
              <w:t>）</w:t>
            </w:r>
          </w:p>
        </w:tc>
        <w:tc>
          <w:tcPr>
            <w:tcW w:w="1375" w:type="dxa"/>
            <w:tcBorders>
              <w:right w:val="nil"/>
            </w:tcBorders>
            <w:vAlign w:val="top"/>
          </w:tcPr>
          <w:p>
            <w:pPr>
              <w:spacing w:before="68" w:line="219" w:lineRule="auto"/>
              <w:ind w:left="171"/>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数目（块）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6" w:hRule="atLeast"/>
        </w:trPr>
        <w:tc>
          <w:tcPr>
            <w:tcW w:w="2287" w:type="dxa"/>
            <w:tcBorders>
              <w:left w:val="nil"/>
            </w:tcBorders>
            <w:vAlign w:val="top"/>
          </w:tcPr>
          <w:p>
            <w:pPr>
              <w:spacing w:before="76" w:line="217" w:lineRule="auto"/>
              <w:ind w:left="650"/>
              <w:rPr>
                <w:rFonts w:ascii="仿宋" w:hAnsi="仿宋" w:eastAsia="仿宋" w:cs="仿宋"/>
                <w:sz w:val="21"/>
                <w:szCs w:val="21"/>
              </w:rPr>
            </w:pPr>
            <w:r>
              <w:rPr>
                <w:rFonts w:ascii="仿宋" w:hAnsi="仿宋" w:eastAsia="仿宋" w:cs="仿宋"/>
                <w:spacing w:val="-5"/>
                <w:sz w:val="21"/>
                <w:szCs w:val="21"/>
              </w:rPr>
              <w:t>常绿阔叶林</w:t>
            </w:r>
          </w:p>
        </w:tc>
        <w:tc>
          <w:tcPr>
            <w:tcW w:w="1701" w:type="dxa"/>
            <w:vAlign w:val="top"/>
          </w:tcPr>
          <w:p>
            <w:pPr>
              <w:pStyle w:val="6"/>
              <w:spacing w:before="114" w:line="186" w:lineRule="auto"/>
              <w:ind w:left="619"/>
            </w:pPr>
            <w:r>
              <w:rPr>
                <w:spacing w:val="-2"/>
              </w:rPr>
              <w:t>34.38</w:t>
            </w:r>
          </w:p>
        </w:tc>
        <w:tc>
          <w:tcPr>
            <w:tcW w:w="1419" w:type="dxa"/>
            <w:vAlign w:val="top"/>
          </w:tcPr>
          <w:p>
            <w:pPr>
              <w:pStyle w:val="6"/>
              <w:spacing w:before="114" w:line="186" w:lineRule="auto"/>
              <w:ind w:left="605"/>
            </w:pPr>
            <w:r>
              <w:rPr>
                <w:spacing w:val="-1"/>
              </w:rPr>
              <w:t>20</w:t>
            </w:r>
          </w:p>
        </w:tc>
        <w:tc>
          <w:tcPr>
            <w:tcW w:w="1416" w:type="dxa"/>
            <w:vAlign w:val="top"/>
          </w:tcPr>
          <w:p>
            <w:pPr>
              <w:pStyle w:val="6"/>
              <w:spacing w:before="114" w:line="186" w:lineRule="auto"/>
              <w:ind w:left="477"/>
            </w:pPr>
            <w:r>
              <w:rPr>
                <w:spacing w:val="-2"/>
              </w:rPr>
              <w:t>32.29</w:t>
            </w:r>
          </w:p>
        </w:tc>
        <w:tc>
          <w:tcPr>
            <w:tcW w:w="1375" w:type="dxa"/>
            <w:tcBorders>
              <w:right w:val="nil"/>
            </w:tcBorders>
            <w:vAlign w:val="top"/>
          </w:tcPr>
          <w:p>
            <w:pPr>
              <w:pStyle w:val="6"/>
              <w:spacing w:before="114" w:line="186" w:lineRule="auto"/>
              <w:ind w:left="605"/>
            </w:pPr>
            <w:r>
              <w:rPr>
                <w:spacing w:val="-6"/>
              </w:rPr>
              <w:t>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287" w:type="dxa"/>
            <w:tcBorders>
              <w:left w:val="nil"/>
            </w:tcBorders>
            <w:vAlign w:val="top"/>
          </w:tcPr>
          <w:p>
            <w:pPr>
              <w:spacing w:before="77" w:line="217" w:lineRule="auto"/>
              <w:ind w:left="427"/>
              <w:rPr>
                <w:rFonts w:ascii="仿宋" w:hAnsi="仿宋" w:eastAsia="仿宋" w:cs="仿宋"/>
                <w:sz w:val="21"/>
                <w:szCs w:val="21"/>
              </w:rPr>
            </w:pPr>
            <w:r>
              <w:rPr>
                <w:rFonts w:ascii="仿宋" w:hAnsi="仿宋" w:eastAsia="仿宋" w:cs="仿宋"/>
                <w:spacing w:val="-2"/>
                <w:sz w:val="21"/>
                <w:szCs w:val="21"/>
              </w:rPr>
              <w:t>硬叶常绿阔叶林</w:t>
            </w:r>
          </w:p>
        </w:tc>
        <w:tc>
          <w:tcPr>
            <w:tcW w:w="1701" w:type="dxa"/>
            <w:vAlign w:val="top"/>
          </w:tcPr>
          <w:p>
            <w:pPr>
              <w:pStyle w:val="6"/>
              <w:spacing w:before="115" w:line="186" w:lineRule="auto"/>
              <w:ind w:left="673"/>
            </w:pPr>
            <w:r>
              <w:rPr>
                <w:spacing w:val="-3"/>
              </w:rPr>
              <w:t>5.15</w:t>
            </w:r>
          </w:p>
        </w:tc>
        <w:tc>
          <w:tcPr>
            <w:tcW w:w="1419" w:type="dxa"/>
            <w:vAlign w:val="top"/>
          </w:tcPr>
          <w:p>
            <w:pPr>
              <w:pStyle w:val="6"/>
              <w:spacing w:before="115" w:line="186" w:lineRule="auto"/>
              <w:ind w:left="625"/>
            </w:pPr>
            <w:r>
              <w:rPr>
                <w:spacing w:val="-6"/>
              </w:rPr>
              <w:t>14</w:t>
            </w:r>
          </w:p>
        </w:tc>
        <w:tc>
          <w:tcPr>
            <w:tcW w:w="1416" w:type="dxa"/>
            <w:vAlign w:val="top"/>
          </w:tcPr>
          <w:p>
            <w:pPr>
              <w:pStyle w:val="6"/>
              <w:spacing w:before="115" w:line="186" w:lineRule="auto"/>
              <w:ind w:left="529"/>
            </w:pPr>
            <w:r>
              <w:rPr>
                <w:spacing w:val="-2"/>
              </w:rPr>
              <w:t>3.97</w:t>
            </w:r>
          </w:p>
        </w:tc>
        <w:tc>
          <w:tcPr>
            <w:tcW w:w="1375" w:type="dxa"/>
            <w:tcBorders>
              <w:right w:val="nil"/>
            </w:tcBorders>
            <w:vAlign w:val="top"/>
          </w:tcPr>
          <w:p>
            <w:pPr>
              <w:pStyle w:val="6"/>
              <w:spacing w:before="115" w:line="186" w:lineRule="auto"/>
              <w:ind w:left="605"/>
            </w:pPr>
            <w:r>
              <w:rPr>
                <w:spacing w:val="-6"/>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287" w:type="dxa"/>
            <w:tcBorders>
              <w:left w:val="nil"/>
            </w:tcBorders>
            <w:vAlign w:val="top"/>
          </w:tcPr>
          <w:p>
            <w:pPr>
              <w:spacing w:before="79" w:line="217" w:lineRule="auto"/>
              <w:ind w:left="648"/>
              <w:rPr>
                <w:rFonts w:ascii="仿宋" w:hAnsi="仿宋" w:eastAsia="仿宋" w:cs="仿宋"/>
                <w:sz w:val="21"/>
                <w:szCs w:val="21"/>
              </w:rPr>
            </w:pPr>
            <w:r>
              <w:rPr>
                <w:rFonts w:ascii="仿宋" w:hAnsi="仿宋" w:eastAsia="仿宋" w:cs="仿宋"/>
                <w:spacing w:val="-4"/>
                <w:sz w:val="21"/>
                <w:szCs w:val="21"/>
              </w:rPr>
              <w:t>落叶阔叶林</w:t>
            </w:r>
          </w:p>
        </w:tc>
        <w:tc>
          <w:tcPr>
            <w:tcW w:w="1701" w:type="dxa"/>
            <w:vAlign w:val="top"/>
          </w:tcPr>
          <w:p>
            <w:pPr>
              <w:pStyle w:val="6"/>
              <w:spacing w:before="117" w:line="186" w:lineRule="auto"/>
              <w:ind w:left="635"/>
            </w:pPr>
            <w:r>
              <w:rPr>
                <w:spacing w:val="-5"/>
              </w:rPr>
              <w:t>15.38</w:t>
            </w:r>
          </w:p>
        </w:tc>
        <w:tc>
          <w:tcPr>
            <w:tcW w:w="1419" w:type="dxa"/>
            <w:vAlign w:val="top"/>
          </w:tcPr>
          <w:p>
            <w:pPr>
              <w:pStyle w:val="6"/>
              <w:spacing w:before="117" w:line="186" w:lineRule="auto"/>
              <w:ind w:left="625"/>
            </w:pPr>
            <w:r>
              <w:rPr>
                <w:spacing w:val="-6"/>
              </w:rPr>
              <w:t>15</w:t>
            </w:r>
          </w:p>
        </w:tc>
        <w:tc>
          <w:tcPr>
            <w:tcW w:w="1416" w:type="dxa"/>
            <w:vAlign w:val="top"/>
          </w:tcPr>
          <w:p>
            <w:pPr>
              <w:pStyle w:val="6"/>
              <w:spacing w:before="117" w:line="186" w:lineRule="auto"/>
              <w:ind w:left="493"/>
            </w:pPr>
            <w:r>
              <w:rPr>
                <w:spacing w:val="-5"/>
              </w:rPr>
              <w:t>13.86</w:t>
            </w:r>
          </w:p>
        </w:tc>
        <w:tc>
          <w:tcPr>
            <w:tcW w:w="1375" w:type="dxa"/>
            <w:tcBorders>
              <w:right w:val="nil"/>
            </w:tcBorders>
            <w:vAlign w:val="top"/>
          </w:tcPr>
          <w:p>
            <w:pPr>
              <w:pStyle w:val="6"/>
              <w:spacing w:before="117" w:line="186" w:lineRule="auto"/>
              <w:ind w:left="646"/>
            </w:pPr>
            <w: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6" w:hRule="atLeast"/>
        </w:trPr>
        <w:tc>
          <w:tcPr>
            <w:tcW w:w="2287" w:type="dxa"/>
            <w:tcBorders>
              <w:left w:val="nil"/>
            </w:tcBorders>
            <w:vAlign w:val="top"/>
          </w:tcPr>
          <w:p>
            <w:pPr>
              <w:spacing w:before="80" w:line="216" w:lineRule="auto"/>
              <w:ind w:left="647"/>
              <w:rPr>
                <w:rFonts w:ascii="仿宋" w:hAnsi="仿宋" w:eastAsia="仿宋" w:cs="仿宋"/>
                <w:sz w:val="21"/>
                <w:szCs w:val="21"/>
              </w:rPr>
            </w:pPr>
            <w:r>
              <w:rPr>
                <w:rFonts w:ascii="仿宋" w:hAnsi="仿宋" w:eastAsia="仿宋" w:cs="仿宋"/>
                <w:spacing w:val="-4"/>
                <w:sz w:val="21"/>
                <w:szCs w:val="21"/>
              </w:rPr>
              <w:t>暖性针叶林</w:t>
            </w:r>
          </w:p>
        </w:tc>
        <w:tc>
          <w:tcPr>
            <w:tcW w:w="1701" w:type="dxa"/>
            <w:vAlign w:val="top"/>
          </w:tcPr>
          <w:p>
            <w:pPr>
              <w:pStyle w:val="6"/>
              <w:spacing w:before="119" w:line="186" w:lineRule="auto"/>
              <w:ind w:left="562"/>
            </w:pPr>
            <w:r>
              <w:rPr>
                <w:spacing w:val="-1"/>
              </w:rPr>
              <w:t>210.79</w:t>
            </w:r>
          </w:p>
        </w:tc>
        <w:tc>
          <w:tcPr>
            <w:tcW w:w="1419" w:type="dxa"/>
            <w:vAlign w:val="top"/>
          </w:tcPr>
          <w:p>
            <w:pPr>
              <w:pStyle w:val="6"/>
              <w:spacing w:before="119" w:line="186" w:lineRule="auto"/>
              <w:ind w:left="608"/>
            </w:pPr>
            <w:r>
              <w:rPr>
                <w:spacing w:val="-2"/>
              </w:rPr>
              <w:t>78</w:t>
            </w:r>
          </w:p>
        </w:tc>
        <w:tc>
          <w:tcPr>
            <w:tcW w:w="1416" w:type="dxa"/>
            <w:vAlign w:val="top"/>
          </w:tcPr>
          <w:p>
            <w:pPr>
              <w:pStyle w:val="6"/>
              <w:spacing w:before="119" w:line="186" w:lineRule="auto"/>
              <w:ind w:left="440"/>
            </w:pPr>
            <w:r>
              <w:rPr>
                <w:spacing w:val="-4"/>
              </w:rPr>
              <w:t>195.10</w:t>
            </w:r>
          </w:p>
        </w:tc>
        <w:tc>
          <w:tcPr>
            <w:tcW w:w="1375" w:type="dxa"/>
            <w:tcBorders>
              <w:right w:val="nil"/>
            </w:tcBorders>
            <w:vAlign w:val="top"/>
          </w:tcPr>
          <w:p>
            <w:pPr>
              <w:pStyle w:val="6"/>
              <w:spacing w:before="119" w:line="186" w:lineRule="auto"/>
              <w:ind w:left="589"/>
            </w:pPr>
            <w:r>
              <w:rPr>
                <w:spacing w:val="-3"/>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287" w:type="dxa"/>
            <w:tcBorders>
              <w:left w:val="nil"/>
            </w:tcBorders>
            <w:vAlign w:val="top"/>
          </w:tcPr>
          <w:p>
            <w:pPr>
              <w:spacing w:before="81" w:line="217" w:lineRule="auto"/>
              <w:ind w:left="535"/>
              <w:rPr>
                <w:rFonts w:ascii="仿宋" w:hAnsi="仿宋" w:eastAsia="仿宋" w:cs="仿宋"/>
                <w:sz w:val="21"/>
                <w:szCs w:val="21"/>
              </w:rPr>
            </w:pPr>
            <w:r>
              <w:rPr>
                <w:rFonts w:ascii="仿宋" w:hAnsi="仿宋" w:eastAsia="仿宋" w:cs="仿宋"/>
                <w:spacing w:val="-3"/>
                <w:sz w:val="21"/>
                <w:szCs w:val="21"/>
              </w:rPr>
              <w:t>稀树灌木草丛</w:t>
            </w:r>
          </w:p>
        </w:tc>
        <w:tc>
          <w:tcPr>
            <w:tcW w:w="1701" w:type="dxa"/>
            <w:vAlign w:val="top"/>
          </w:tcPr>
          <w:p>
            <w:pPr>
              <w:pStyle w:val="6"/>
              <w:spacing w:before="120" w:line="186" w:lineRule="auto"/>
              <w:ind w:left="562"/>
            </w:pPr>
            <w:r>
              <w:rPr>
                <w:spacing w:val="-1"/>
              </w:rPr>
              <w:t>213.17</w:t>
            </w:r>
          </w:p>
        </w:tc>
        <w:tc>
          <w:tcPr>
            <w:tcW w:w="1419" w:type="dxa"/>
            <w:vAlign w:val="top"/>
          </w:tcPr>
          <w:p>
            <w:pPr>
              <w:pStyle w:val="6"/>
              <w:spacing w:before="120" w:line="186" w:lineRule="auto"/>
              <w:ind w:left="609"/>
            </w:pPr>
            <w:r>
              <w:rPr>
                <w:spacing w:val="-3"/>
              </w:rPr>
              <w:t>33</w:t>
            </w:r>
          </w:p>
        </w:tc>
        <w:tc>
          <w:tcPr>
            <w:tcW w:w="1416" w:type="dxa"/>
            <w:vAlign w:val="top"/>
          </w:tcPr>
          <w:p>
            <w:pPr>
              <w:pStyle w:val="6"/>
              <w:spacing w:before="120" w:line="186" w:lineRule="auto"/>
              <w:ind w:left="440"/>
            </w:pPr>
            <w:r>
              <w:rPr>
                <w:spacing w:val="-4"/>
              </w:rPr>
              <w:t>176.41</w:t>
            </w:r>
          </w:p>
        </w:tc>
        <w:tc>
          <w:tcPr>
            <w:tcW w:w="1375" w:type="dxa"/>
            <w:tcBorders>
              <w:right w:val="nil"/>
            </w:tcBorders>
            <w:vAlign w:val="top"/>
          </w:tcPr>
          <w:p>
            <w:pPr>
              <w:pStyle w:val="6"/>
              <w:spacing w:before="120" w:line="186" w:lineRule="auto"/>
              <w:ind w:left="584"/>
            </w:pPr>
            <w:r>
              <w:rPr>
                <w:spacing w:val="-1"/>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287" w:type="dxa"/>
            <w:tcBorders>
              <w:left w:val="nil"/>
            </w:tcBorders>
            <w:vAlign w:val="top"/>
          </w:tcPr>
          <w:p>
            <w:pPr>
              <w:spacing w:before="84" w:line="218" w:lineRule="auto"/>
              <w:ind w:left="956"/>
              <w:rPr>
                <w:rFonts w:ascii="仿宋" w:hAnsi="仿宋" w:eastAsia="仿宋" w:cs="仿宋"/>
                <w:sz w:val="21"/>
                <w:szCs w:val="21"/>
              </w:rPr>
            </w:pPr>
            <w:r>
              <w:rPr>
                <w:rFonts w:ascii="仿宋" w:hAnsi="仿宋" w:eastAsia="仿宋" w:cs="仿宋"/>
                <w:spacing w:val="-5"/>
                <w:sz w:val="21"/>
                <w:szCs w:val="21"/>
              </w:rPr>
              <w:t>灌丛</w:t>
            </w:r>
          </w:p>
        </w:tc>
        <w:tc>
          <w:tcPr>
            <w:tcW w:w="1701" w:type="dxa"/>
            <w:vAlign w:val="top"/>
          </w:tcPr>
          <w:p>
            <w:pPr>
              <w:pStyle w:val="6"/>
              <w:spacing w:before="122" w:line="186" w:lineRule="auto"/>
              <w:ind w:left="623"/>
            </w:pPr>
            <w:r>
              <w:rPr>
                <w:spacing w:val="-3"/>
              </w:rPr>
              <w:t>88.51</w:t>
            </w:r>
          </w:p>
        </w:tc>
        <w:tc>
          <w:tcPr>
            <w:tcW w:w="1419" w:type="dxa"/>
            <w:vAlign w:val="top"/>
          </w:tcPr>
          <w:p>
            <w:pPr>
              <w:pStyle w:val="6"/>
              <w:spacing w:before="122" w:line="186" w:lineRule="auto"/>
              <w:ind w:left="611"/>
            </w:pPr>
            <w:r>
              <w:rPr>
                <w:spacing w:val="-3"/>
              </w:rPr>
              <w:t>56</w:t>
            </w:r>
          </w:p>
        </w:tc>
        <w:tc>
          <w:tcPr>
            <w:tcW w:w="1416" w:type="dxa"/>
            <w:vAlign w:val="top"/>
          </w:tcPr>
          <w:p>
            <w:pPr>
              <w:pStyle w:val="6"/>
              <w:spacing w:before="122" w:line="186" w:lineRule="auto"/>
              <w:ind w:left="477"/>
            </w:pPr>
            <w:r>
              <w:rPr>
                <w:spacing w:val="-2"/>
              </w:rPr>
              <w:t>62.18</w:t>
            </w:r>
          </w:p>
        </w:tc>
        <w:tc>
          <w:tcPr>
            <w:tcW w:w="1375" w:type="dxa"/>
            <w:tcBorders>
              <w:right w:val="nil"/>
            </w:tcBorders>
            <w:vAlign w:val="top"/>
          </w:tcPr>
          <w:p>
            <w:pPr>
              <w:pStyle w:val="6"/>
              <w:spacing w:before="122" w:line="186" w:lineRule="auto"/>
              <w:ind w:left="589"/>
            </w:pPr>
            <w:r>
              <w:rPr>
                <w:spacing w:val="-3"/>
              </w:rPr>
              <w:t>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6" w:hRule="atLeast"/>
        </w:trPr>
        <w:tc>
          <w:tcPr>
            <w:tcW w:w="2287" w:type="dxa"/>
            <w:tcBorders>
              <w:left w:val="nil"/>
            </w:tcBorders>
            <w:vAlign w:val="top"/>
          </w:tcPr>
          <w:p>
            <w:pPr>
              <w:spacing w:before="85" w:line="220" w:lineRule="auto"/>
              <w:ind w:left="953"/>
              <w:rPr>
                <w:rFonts w:ascii="仿宋" w:hAnsi="仿宋" w:eastAsia="仿宋" w:cs="仿宋"/>
                <w:sz w:val="21"/>
                <w:szCs w:val="21"/>
              </w:rPr>
            </w:pPr>
            <w:r>
              <w:rPr>
                <w:rFonts w:ascii="仿宋" w:hAnsi="仿宋" w:eastAsia="仿宋" w:cs="仿宋"/>
                <w:spacing w:val="-4"/>
                <w:sz w:val="21"/>
                <w:szCs w:val="21"/>
              </w:rPr>
              <w:t>耕地</w:t>
            </w:r>
          </w:p>
        </w:tc>
        <w:tc>
          <w:tcPr>
            <w:tcW w:w="1701" w:type="dxa"/>
            <w:vAlign w:val="top"/>
          </w:tcPr>
          <w:p>
            <w:pPr>
              <w:pStyle w:val="6"/>
              <w:spacing w:before="124" w:line="186" w:lineRule="auto"/>
              <w:ind w:left="582"/>
            </w:pPr>
            <w:r>
              <w:rPr>
                <w:spacing w:val="-4"/>
              </w:rPr>
              <w:t>175.28</w:t>
            </w:r>
          </w:p>
        </w:tc>
        <w:tc>
          <w:tcPr>
            <w:tcW w:w="1419" w:type="dxa"/>
            <w:vAlign w:val="top"/>
          </w:tcPr>
          <w:p>
            <w:pPr>
              <w:pStyle w:val="6"/>
              <w:spacing w:before="124" w:line="186" w:lineRule="auto"/>
              <w:ind w:left="610"/>
            </w:pPr>
            <w:r>
              <w:rPr>
                <w:spacing w:val="-3"/>
              </w:rPr>
              <w:t>67</w:t>
            </w:r>
          </w:p>
        </w:tc>
        <w:tc>
          <w:tcPr>
            <w:tcW w:w="1416" w:type="dxa"/>
            <w:vAlign w:val="top"/>
          </w:tcPr>
          <w:p>
            <w:pPr>
              <w:pStyle w:val="6"/>
              <w:spacing w:before="124" w:line="186" w:lineRule="auto"/>
              <w:ind w:left="440"/>
            </w:pPr>
            <w:r>
              <w:rPr>
                <w:spacing w:val="-4"/>
              </w:rPr>
              <w:t>163.53</w:t>
            </w:r>
          </w:p>
        </w:tc>
        <w:tc>
          <w:tcPr>
            <w:tcW w:w="1375" w:type="dxa"/>
            <w:tcBorders>
              <w:right w:val="nil"/>
            </w:tcBorders>
            <w:vAlign w:val="top"/>
          </w:tcPr>
          <w:p>
            <w:pPr>
              <w:pStyle w:val="6"/>
              <w:spacing w:before="124" w:line="186" w:lineRule="auto"/>
              <w:ind w:left="590"/>
            </w:pPr>
            <w:r>
              <w:rPr>
                <w:spacing w:val="-3"/>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287" w:type="dxa"/>
            <w:tcBorders>
              <w:left w:val="nil"/>
            </w:tcBorders>
            <w:vAlign w:val="top"/>
          </w:tcPr>
          <w:p>
            <w:pPr>
              <w:spacing w:before="87" w:line="218" w:lineRule="auto"/>
              <w:ind w:left="952"/>
              <w:rPr>
                <w:rFonts w:ascii="仿宋" w:hAnsi="仿宋" w:eastAsia="仿宋" w:cs="仿宋"/>
                <w:sz w:val="21"/>
                <w:szCs w:val="21"/>
              </w:rPr>
            </w:pPr>
            <w:r>
              <w:rPr>
                <w:rFonts w:ascii="仿宋" w:hAnsi="仿宋" w:eastAsia="仿宋" w:cs="仿宋"/>
                <w:spacing w:val="-7"/>
                <w:sz w:val="21"/>
                <w:szCs w:val="21"/>
              </w:rPr>
              <w:t>水域</w:t>
            </w:r>
          </w:p>
        </w:tc>
        <w:tc>
          <w:tcPr>
            <w:tcW w:w="1701" w:type="dxa"/>
            <w:vAlign w:val="top"/>
          </w:tcPr>
          <w:p>
            <w:pPr>
              <w:pStyle w:val="6"/>
              <w:spacing w:before="125" w:line="186" w:lineRule="auto"/>
              <w:ind w:left="619"/>
            </w:pPr>
            <w:r>
              <w:rPr>
                <w:spacing w:val="-2"/>
              </w:rPr>
              <w:t>35.45</w:t>
            </w:r>
          </w:p>
        </w:tc>
        <w:tc>
          <w:tcPr>
            <w:tcW w:w="1419" w:type="dxa"/>
            <w:vAlign w:val="top"/>
          </w:tcPr>
          <w:p>
            <w:pPr>
              <w:pStyle w:val="6"/>
              <w:spacing w:before="125" w:line="186" w:lineRule="auto"/>
              <w:ind w:left="625"/>
            </w:pPr>
            <w:r>
              <w:rPr>
                <w:spacing w:val="-6"/>
              </w:rPr>
              <w:t>16</w:t>
            </w:r>
          </w:p>
        </w:tc>
        <w:tc>
          <w:tcPr>
            <w:tcW w:w="1416" w:type="dxa"/>
            <w:vAlign w:val="top"/>
          </w:tcPr>
          <w:p>
            <w:pPr>
              <w:pStyle w:val="6"/>
              <w:spacing w:before="125" w:line="186" w:lineRule="auto"/>
              <w:ind w:left="477"/>
            </w:pPr>
            <w:r>
              <w:rPr>
                <w:spacing w:val="-2"/>
              </w:rPr>
              <w:t>33.24</w:t>
            </w:r>
          </w:p>
        </w:tc>
        <w:tc>
          <w:tcPr>
            <w:tcW w:w="1375" w:type="dxa"/>
            <w:tcBorders>
              <w:right w:val="nil"/>
            </w:tcBorders>
            <w:vAlign w:val="top"/>
          </w:tcPr>
          <w:p>
            <w:pPr>
              <w:pStyle w:val="6"/>
              <w:spacing w:before="125" w:line="186" w:lineRule="auto"/>
              <w:ind w:left="605"/>
            </w:pPr>
            <w:r>
              <w:rPr>
                <w:spacing w:val="-6"/>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287" w:type="dxa"/>
            <w:tcBorders>
              <w:left w:val="nil"/>
            </w:tcBorders>
            <w:vAlign w:val="top"/>
          </w:tcPr>
          <w:p>
            <w:pPr>
              <w:spacing w:before="89" w:line="216" w:lineRule="auto"/>
              <w:ind w:left="957"/>
              <w:rPr>
                <w:rFonts w:ascii="仿宋" w:hAnsi="仿宋" w:eastAsia="仿宋" w:cs="仿宋"/>
                <w:sz w:val="21"/>
                <w:szCs w:val="21"/>
              </w:rPr>
            </w:pPr>
            <w:r>
              <w:rPr>
                <w:rFonts w:ascii="仿宋" w:hAnsi="仿宋" w:eastAsia="仿宋" w:cs="仿宋"/>
                <w:spacing w:val="-5"/>
                <w:sz w:val="21"/>
                <w:szCs w:val="21"/>
              </w:rPr>
              <w:t>公路</w:t>
            </w:r>
          </w:p>
        </w:tc>
        <w:tc>
          <w:tcPr>
            <w:tcW w:w="1701" w:type="dxa"/>
            <w:vAlign w:val="top"/>
          </w:tcPr>
          <w:p>
            <w:pPr>
              <w:pStyle w:val="6"/>
              <w:spacing w:before="127" w:line="186" w:lineRule="auto"/>
              <w:ind w:left="615"/>
            </w:pPr>
            <w:r>
              <w:rPr>
                <w:spacing w:val="-1"/>
              </w:rPr>
              <w:t>27.80</w:t>
            </w:r>
          </w:p>
        </w:tc>
        <w:tc>
          <w:tcPr>
            <w:tcW w:w="1419" w:type="dxa"/>
            <w:vAlign w:val="top"/>
          </w:tcPr>
          <w:p>
            <w:pPr>
              <w:pStyle w:val="6"/>
              <w:spacing w:before="127" w:line="186" w:lineRule="auto"/>
              <w:ind w:left="625"/>
            </w:pPr>
            <w:r>
              <w:rPr>
                <w:spacing w:val="-6"/>
              </w:rPr>
              <w:t>15</w:t>
            </w:r>
          </w:p>
        </w:tc>
        <w:tc>
          <w:tcPr>
            <w:tcW w:w="1416" w:type="dxa"/>
            <w:vAlign w:val="top"/>
          </w:tcPr>
          <w:p>
            <w:pPr>
              <w:pStyle w:val="6"/>
              <w:spacing w:before="127" w:line="186" w:lineRule="auto"/>
              <w:ind w:left="472"/>
            </w:pPr>
            <w:r>
              <w:rPr>
                <w:spacing w:val="-1"/>
              </w:rPr>
              <w:t>26.46</w:t>
            </w:r>
          </w:p>
        </w:tc>
        <w:tc>
          <w:tcPr>
            <w:tcW w:w="1375" w:type="dxa"/>
            <w:tcBorders>
              <w:right w:val="nil"/>
            </w:tcBorders>
            <w:vAlign w:val="top"/>
          </w:tcPr>
          <w:p>
            <w:pPr>
              <w:pStyle w:val="6"/>
              <w:spacing w:before="128" w:line="186" w:lineRule="auto"/>
              <w:ind w:left="605"/>
            </w:pPr>
            <w:r>
              <w:rPr>
                <w:spacing w:val="-6"/>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6" w:hRule="atLeast"/>
        </w:trPr>
        <w:tc>
          <w:tcPr>
            <w:tcW w:w="2287" w:type="dxa"/>
            <w:tcBorders>
              <w:left w:val="nil"/>
            </w:tcBorders>
            <w:vAlign w:val="top"/>
          </w:tcPr>
          <w:p>
            <w:pPr>
              <w:spacing w:before="91" w:line="215" w:lineRule="auto"/>
              <w:ind w:left="952"/>
              <w:rPr>
                <w:rFonts w:ascii="仿宋" w:hAnsi="仿宋" w:eastAsia="仿宋" w:cs="仿宋"/>
                <w:sz w:val="21"/>
                <w:szCs w:val="21"/>
              </w:rPr>
            </w:pPr>
            <w:r>
              <w:rPr>
                <w:rFonts w:ascii="仿宋" w:hAnsi="仿宋" w:eastAsia="仿宋" w:cs="仿宋"/>
                <w:spacing w:val="-4"/>
                <w:sz w:val="21"/>
                <w:szCs w:val="21"/>
              </w:rPr>
              <w:t>村庄</w:t>
            </w:r>
          </w:p>
        </w:tc>
        <w:tc>
          <w:tcPr>
            <w:tcW w:w="1701" w:type="dxa"/>
            <w:vAlign w:val="top"/>
          </w:tcPr>
          <w:p>
            <w:pPr>
              <w:pStyle w:val="6"/>
              <w:spacing w:before="129" w:line="186" w:lineRule="auto"/>
              <w:ind w:left="667"/>
            </w:pPr>
            <w:r>
              <w:rPr>
                <w:spacing w:val="-1"/>
              </w:rPr>
              <w:t>4.35</w:t>
            </w:r>
          </w:p>
        </w:tc>
        <w:tc>
          <w:tcPr>
            <w:tcW w:w="1419" w:type="dxa"/>
            <w:vAlign w:val="top"/>
          </w:tcPr>
          <w:p>
            <w:pPr>
              <w:pStyle w:val="6"/>
              <w:spacing w:before="129" w:line="186" w:lineRule="auto"/>
              <w:ind w:left="662"/>
            </w:pPr>
            <w:r>
              <w:t>6</w:t>
            </w:r>
          </w:p>
        </w:tc>
        <w:tc>
          <w:tcPr>
            <w:tcW w:w="1416" w:type="dxa"/>
            <w:vAlign w:val="top"/>
          </w:tcPr>
          <w:p>
            <w:pPr>
              <w:pStyle w:val="6"/>
              <w:spacing w:before="129" w:line="186" w:lineRule="auto"/>
              <w:ind w:left="524"/>
            </w:pPr>
            <w:r>
              <w:rPr>
                <w:spacing w:val="-1"/>
              </w:rPr>
              <w:t>4.20</w:t>
            </w:r>
          </w:p>
        </w:tc>
        <w:tc>
          <w:tcPr>
            <w:tcW w:w="1375" w:type="dxa"/>
            <w:tcBorders>
              <w:right w:val="nil"/>
            </w:tcBorders>
            <w:vAlign w:val="top"/>
          </w:tcPr>
          <w:p>
            <w:pPr>
              <w:pStyle w:val="6"/>
              <w:spacing w:before="129" w:line="186" w:lineRule="auto"/>
              <w:ind w:left="636"/>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5" w:hRule="atLeast"/>
        </w:trPr>
        <w:tc>
          <w:tcPr>
            <w:tcW w:w="2287" w:type="dxa"/>
            <w:tcBorders>
              <w:left w:val="nil"/>
            </w:tcBorders>
            <w:vAlign w:val="top"/>
          </w:tcPr>
          <w:p>
            <w:pPr>
              <w:spacing w:before="91" w:line="214" w:lineRule="auto"/>
              <w:ind w:left="955"/>
              <w:rPr>
                <w:rFonts w:ascii="仿宋" w:hAnsi="仿宋" w:eastAsia="仿宋" w:cs="仿宋"/>
                <w:sz w:val="21"/>
                <w:szCs w:val="21"/>
              </w:rPr>
            </w:pPr>
            <w:r>
              <w:rPr>
                <w:rFonts w:ascii="仿宋" w:hAnsi="仿宋" w:eastAsia="仿宋" w:cs="仿宋"/>
                <w:spacing w:val="-4"/>
                <w:sz w:val="21"/>
                <w:szCs w:val="21"/>
              </w:rPr>
              <w:t>其他</w:t>
            </w:r>
          </w:p>
        </w:tc>
        <w:tc>
          <w:tcPr>
            <w:tcW w:w="1701" w:type="dxa"/>
            <w:vAlign w:val="top"/>
          </w:tcPr>
          <w:p>
            <w:pPr>
              <w:pStyle w:val="6"/>
              <w:spacing w:before="130" w:line="186" w:lineRule="auto"/>
              <w:ind w:left="635"/>
            </w:pPr>
            <w:r>
              <w:rPr>
                <w:spacing w:val="-5"/>
              </w:rPr>
              <w:t>10.24</w:t>
            </w:r>
          </w:p>
        </w:tc>
        <w:tc>
          <w:tcPr>
            <w:tcW w:w="1419" w:type="dxa"/>
            <w:vAlign w:val="top"/>
          </w:tcPr>
          <w:p>
            <w:pPr>
              <w:pStyle w:val="6"/>
              <w:spacing w:before="130" w:line="186" w:lineRule="auto"/>
              <w:ind w:left="604"/>
            </w:pPr>
            <w:r>
              <w:rPr>
                <w:spacing w:val="-1"/>
              </w:rPr>
              <w:t>45</w:t>
            </w:r>
          </w:p>
        </w:tc>
        <w:tc>
          <w:tcPr>
            <w:tcW w:w="1416" w:type="dxa"/>
            <w:vAlign w:val="top"/>
          </w:tcPr>
          <w:p>
            <w:pPr>
              <w:pStyle w:val="6"/>
              <w:spacing w:before="130" w:line="186" w:lineRule="auto"/>
              <w:ind w:left="493"/>
            </w:pPr>
            <w:r>
              <w:rPr>
                <w:spacing w:val="-5"/>
              </w:rPr>
              <w:t>10.04</w:t>
            </w:r>
          </w:p>
        </w:tc>
        <w:tc>
          <w:tcPr>
            <w:tcW w:w="1375" w:type="dxa"/>
            <w:tcBorders>
              <w:right w:val="nil"/>
            </w:tcBorders>
            <w:vAlign w:val="top"/>
          </w:tcPr>
          <w:p>
            <w:pPr>
              <w:pStyle w:val="6"/>
              <w:spacing w:before="130" w:line="186" w:lineRule="auto"/>
              <w:ind w:left="589"/>
            </w:pPr>
            <w:r>
              <w:rPr>
                <w:spacing w:val="-3"/>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0" w:hRule="atLeast"/>
        </w:trPr>
        <w:tc>
          <w:tcPr>
            <w:tcW w:w="2287" w:type="dxa"/>
            <w:tcBorders>
              <w:left w:val="nil"/>
              <w:bottom w:val="single" w:color="000000" w:sz="12" w:space="0"/>
            </w:tcBorders>
            <w:vAlign w:val="top"/>
          </w:tcPr>
          <w:p>
            <w:pPr>
              <w:spacing w:before="94" w:line="218" w:lineRule="auto"/>
              <w:ind w:left="959"/>
              <w:rPr>
                <w:rFonts w:ascii="仿宋" w:hAnsi="仿宋" w:eastAsia="仿宋" w:cs="仿宋"/>
                <w:sz w:val="21"/>
                <w:szCs w:val="21"/>
              </w:rPr>
            </w:pPr>
            <w:r>
              <w:rPr>
                <w:rFonts w:ascii="仿宋" w:hAnsi="仿宋" w:eastAsia="仿宋" w:cs="仿宋"/>
                <w:spacing w:val="-5"/>
                <w:sz w:val="21"/>
                <w:szCs w:val="21"/>
              </w:rPr>
              <w:t>合计</w:t>
            </w:r>
          </w:p>
        </w:tc>
        <w:tc>
          <w:tcPr>
            <w:tcW w:w="1701" w:type="dxa"/>
            <w:tcBorders>
              <w:bottom w:val="single" w:color="000000" w:sz="12" w:space="0"/>
            </w:tcBorders>
            <w:vAlign w:val="top"/>
          </w:tcPr>
          <w:p>
            <w:pPr>
              <w:pStyle w:val="6"/>
              <w:spacing w:before="133" w:line="186" w:lineRule="auto"/>
              <w:ind w:left="570"/>
            </w:pPr>
            <w:r>
              <w:rPr>
                <w:spacing w:val="-3"/>
              </w:rPr>
              <w:t>820.50</w:t>
            </w:r>
          </w:p>
        </w:tc>
        <w:tc>
          <w:tcPr>
            <w:tcW w:w="1419" w:type="dxa"/>
            <w:tcBorders>
              <w:bottom w:val="single" w:color="000000" w:sz="12" w:space="0"/>
            </w:tcBorders>
            <w:vAlign w:val="top"/>
          </w:tcPr>
          <w:p>
            <w:pPr>
              <w:pStyle w:val="6"/>
              <w:spacing w:before="133" w:line="186" w:lineRule="auto"/>
              <w:ind w:left="556"/>
            </w:pPr>
            <w:r>
              <w:rPr>
                <w:spacing w:val="-2"/>
              </w:rPr>
              <w:t>365</w:t>
            </w:r>
          </w:p>
        </w:tc>
        <w:tc>
          <w:tcPr>
            <w:tcW w:w="1416" w:type="dxa"/>
            <w:tcBorders>
              <w:bottom w:val="single" w:color="000000" w:sz="12" w:space="0"/>
            </w:tcBorders>
            <w:vAlign w:val="top"/>
          </w:tcPr>
          <w:p>
            <w:pPr>
              <w:pStyle w:val="6"/>
              <w:spacing w:before="133" w:line="186" w:lineRule="auto"/>
              <w:ind w:left="423"/>
            </w:pPr>
            <w:r>
              <w:rPr>
                <w:spacing w:val="-2"/>
              </w:rPr>
              <w:t>721.28</w:t>
            </w:r>
          </w:p>
        </w:tc>
        <w:tc>
          <w:tcPr>
            <w:tcW w:w="1375" w:type="dxa"/>
            <w:tcBorders>
              <w:bottom w:val="single" w:color="000000" w:sz="12" w:space="0"/>
              <w:right w:val="nil"/>
            </w:tcBorders>
            <w:vAlign w:val="top"/>
          </w:tcPr>
          <w:p>
            <w:pPr>
              <w:pStyle w:val="6"/>
              <w:spacing w:before="133" w:line="186" w:lineRule="auto"/>
              <w:ind w:left="532"/>
            </w:pPr>
            <w:r>
              <w:rPr>
                <w:spacing w:val="-1"/>
              </w:rPr>
              <w:t>240</w:t>
            </w:r>
          </w:p>
        </w:tc>
      </w:tr>
    </w:tbl>
    <w:p>
      <w:pPr>
        <w:spacing w:before="35" w:line="220" w:lineRule="auto"/>
        <w:ind w:left="518"/>
        <w:rPr>
          <w:rFonts w:ascii="宋体" w:hAnsi="宋体" w:eastAsia="宋体" w:cs="宋体"/>
          <w:sz w:val="24"/>
          <w:szCs w:val="24"/>
        </w:rPr>
      </w:pPr>
      <w:r>
        <w:rPr>
          <w:rFonts w:ascii="宋体" w:hAnsi="宋体" w:eastAsia="宋体" w:cs="宋体"/>
          <w:spacing w:val="-6"/>
          <w:sz w:val="24"/>
          <w:szCs w:val="24"/>
        </w:rPr>
        <w:t>对区域自然体系生态完整性的影响是由工程占地</w:t>
      </w:r>
      <w:r>
        <w:rPr>
          <w:rFonts w:ascii="宋体" w:hAnsi="宋体" w:eastAsia="宋体" w:cs="宋体"/>
          <w:spacing w:val="-7"/>
          <w:sz w:val="24"/>
          <w:szCs w:val="24"/>
        </w:rPr>
        <w:t>引起的。工程建成后， 各种</w:t>
      </w:r>
    </w:p>
    <w:p>
      <w:pPr>
        <w:spacing w:before="181" w:line="359" w:lineRule="auto"/>
        <w:ind w:left="39"/>
        <w:jc w:val="both"/>
        <w:rPr>
          <w:rFonts w:ascii="宋体" w:hAnsi="宋体" w:eastAsia="宋体" w:cs="宋体"/>
          <w:sz w:val="24"/>
          <w:szCs w:val="24"/>
        </w:rPr>
      </w:pPr>
      <w:r>
        <w:rPr>
          <w:rFonts w:ascii="宋体" w:hAnsi="宋体" w:eastAsia="宋体" w:cs="宋体"/>
          <w:spacing w:val="-6"/>
          <w:sz w:val="24"/>
          <w:szCs w:val="24"/>
        </w:rPr>
        <w:t>拼块类型面积发生变化导致区域自然生态体系生产力和稳定状况发生改变，</w:t>
      </w:r>
      <w:r>
        <w:rPr>
          <w:rFonts w:ascii="宋体" w:hAnsi="宋体" w:eastAsia="宋体" w:cs="宋体"/>
          <w:spacing w:val="-14"/>
          <w:sz w:val="24"/>
          <w:szCs w:val="24"/>
        </w:rPr>
        <w:t xml:space="preserve"> </w:t>
      </w:r>
      <w:r>
        <w:rPr>
          <w:rFonts w:ascii="宋体" w:hAnsi="宋体" w:eastAsia="宋体" w:cs="宋体"/>
          <w:spacing w:val="-6"/>
          <w:sz w:val="24"/>
          <w:szCs w:val="24"/>
        </w:rPr>
        <w:t>水域</w:t>
      </w:r>
      <w:r>
        <w:rPr>
          <w:rFonts w:ascii="宋体" w:hAnsi="宋体" w:eastAsia="宋体" w:cs="宋体"/>
          <w:sz w:val="24"/>
          <w:szCs w:val="24"/>
        </w:rPr>
        <w:t xml:space="preserve"> </w:t>
      </w:r>
      <w:r>
        <w:rPr>
          <w:rFonts w:ascii="宋体" w:hAnsi="宋体" w:eastAsia="宋体" w:cs="宋体"/>
          <w:spacing w:val="-12"/>
          <w:sz w:val="24"/>
          <w:szCs w:val="24"/>
        </w:rPr>
        <w:t>面积的增加明显，</w:t>
      </w:r>
      <w:r>
        <w:rPr>
          <w:rFonts w:ascii="宋体" w:hAnsi="宋体" w:eastAsia="宋体" w:cs="宋体"/>
          <w:spacing w:val="-43"/>
          <w:sz w:val="24"/>
          <w:szCs w:val="24"/>
        </w:rPr>
        <w:t xml:space="preserve"> </w:t>
      </w:r>
      <w:r>
        <w:rPr>
          <w:rFonts w:ascii="宋体" w:hAnsi="宋体" w:eastAsia="宋体" w:cs="宋体"/>
          <w:spacing w:val="-12"/>
          <w:sz w:val="24"/>
          <w:szCs w:val="24"/>
        </w:rPr>
        <w:t>但对本区域生态完整性影响不大，</w:t>
      </w:r>
      <w:r>
        <w:rPr>
          <w:rFonts w:ascii="宋体" w:hAnsi="宋体" w:eastAsia="宋体" w:cs="宋体"/>
          <w:spacing w:val="-42"/>
          <w:sz w:val="24"/>
          <w:szCs w:val="24"/>
        </w:rPr>
        <w:t xml:space="preserve"> </w:t>
      </w:r>
      <w:r>
        <w:rPr>
          <w:rFonts w:ascii="宋体" w:hAnsi="宋体" w:eastAsia="宋体" w:cs="宋体"/>
          <w:spacing w:val="-12"/>
          <w:sz w:val="24"/>
          <w:szCs w:val="24"/>
        </w:rPr>
        <w:t>是有利于改善评价区水环境，</w:t>
      </w:r>
    </w:p>
    <w:p>
      <w:pPr>
        <w:spacing w:before="1" w:line="218" w:lineRule="auto"/>
        <w:ind w:left="40"/>
        <w:rPr>
          <w:rFonts w:ascii="宋体" w:hAnsi="宋体" w:eastAsia="宋体" w:cs="宋体"/>
          <w:sz w:val="24"/>
          <w:szCs w:val="24"/>
        </w:rPr>
      </w:pPr>
      <w:r>
        <w:rPr>
          <w:rFonts w:ascii="宋体" w:hAnsi="宋体" w:eastAsia="宋体" w:cs="宋体"/>
          <w:spacing w:val="-4"/>
          <w:sz w:val="24"/>
          <w:szCs w:val="24"/>
        </w:rPr>
        <w:t>促进生态系统良性发展的。</w:t>
      </w:r>
    </w:p>
    <w:p>
      <w:pPr>
        <w:spacing w:before="184" w:line="359" w:lineRule="auto"/>
        <w:ind w:left="41" w:right="67" w:firstLine="480"/>
        <w:rPr>
          <w:rFonts w:ascii="宋体" w:hAnsi="宋体" w:eastAsia="宋体" w:cs="宋体"/>
          <w:sz w:val="24"/>
          <w:szCs w:val="24"/>
        </w:rPr>
      </w:pPr>
      <w:r>
        <w:rPr>
          <w:rFonts w:ascii="宋体" w:hAnsi="宋体" w:eastAsia="宋体" w:cs="宋体"/>
          <w:spacing w:val="-10"/>
          <w:sz w:val="24"/>
          <w:szCs w:val="24"/>
        </w:rPr>
        <w:t>综上所述， 工程施工造成的区域土地利用格局的变化， 将对评价范围自然体</w:t>
      </w:r>
      <w:r>
        <w:rPr>
          <w:rFonts w:ascii="宋体" w:hAnsi="宋体" w:eastAsia="宋体" w:cs="宋体"/>
          <w:spacing w:val="3"/>
          <w:sz w:val="24"/>
          <w:szCs w:val="24"/>
        </w:rPr>
        <w:t xml:space="preserve"> </w:t>
      </w:r>
      <w:r>
        <w:rPr>
          <w:rFonts w:ascii="宋体" w:hAnsi="宋体" w:eastAsia="宋体" w:cs="宋体"/>
          <w:spacing w:val="-11"/>
          <w:sz w:val="24"/>
          <w:szCs w:val="24"/>
        </w:rPr>
        <w:t>系产生一定的影响， 通过工程涉及区自然生态系统体系的自我调节，</w:t>
      </w:r>
      <w:r>
        <w:rPr>
          <w:rFonts w:ascii="宋体" w:hAnsi="宋体" w:eastAsia="宋体" w:cs="宋体"/>
          <w:spacing w:val="50"/>
          <w:sz w:val="24"/>
          <w:szCs w:val="24"/>
        </w:rPr>
        <w:t xml:space="preserve"> </w:t>
      </w:r>
      <w:r>
        <w:rPr>
          <w:rFonts w:ascii="宋体" w:hAnsi="宋体" w:eastAsia="宋体" w:cs="宋体"/>
          <w:spacing w:val="-11"/>
          <w:sz w:val="24"/>
          <w:szCs w:val="24"/>
        </w:rPr>
        <w:t>以及施工完</w:t>
      </w:r>
      <w:r>
        <w:rPr>
          <w:rFonts w:ascii="宋体" w:hAnsi="宋体" w:eastAsia="宋体" w:cs="宋体"/>
          <w:sz w:val="24"/>
          <w:szCs w:val="24"/>
        </w:rPr>
        <w:t xml:space="preserve"> </w:t>
      </w:r>
      <w:r>
        <w:rPr>
          <w:rFonts w:ascii="宋体" w:hAnsi="宋体" w:eastAsia="宋体" w:cs="宋体"/>
          <w:spacing w:val="-9"/>
          <w:sz w:val="24"/>
          <w:szCs w:val="24"/>
        </w:rPr>
        <w:t>成后进行绿化， 在工程运行一段时间后， 工程影响</w:t>
      </w:r>
      <w:r>
        <w:rPr>
          <w:rFonts w:ascii="宋体" w:hAnsi="宋体" w:eastAsia="宋体" w:cs="宋体"/>
          <w:spacing w:val="-10"/>
          <w:sz w:val="24"/>
          <w:szCs w:val="24"/>
        </w:rPr>
        <w:t>区自然体系的性质和功能将得</w:t>
      </w:r>
      <w:r>
        <w:rPr>
          <w:rFonts w:ascii="宋体" w:hAnsi="宋体" w:eastAsia="宋体" w:cs="宋体"/>
          <w:sz w:val="24"/>
          <w:szCs w:val="24"/>
        </w:rPr>
        <w:t xml:space="preserve"> </w:t>
      </w:r>
      <w:r>
        <w:rPr>
          <w:rFonts w:ascii="宋体" w:hAnsi="宋体" w:eastAsia="宋体" w:cs="宋体"/>
          <w:spacing w:val="-12"/>
          <w:sz w:val="24"/>
          <w:szCs w:val="24"/>
        </w:rPr>
        <w:t>到恢复。另外，</w:t>
      </w:r>
      <w:r>
        <w:rPr>
          <w:rFonts w:ascii="宋体" w:hAnsi="宋体" w:eastAsia="宋体" w:cs="宋体"/>
          <w:spacing w:val="43"/>
          <w:sz w:val="24"/>
          <w:szCs w:val="24"/>
        </w:rPr>
        <w:t xml:space="preserve"> </w:t>
      </w:r>
      <w:r>
        <w:rPr>
          <w:rFonts w:ascii="宋体" w:hAnsi="宋体" w:eastAsia="宋体" w:cs="宋体"/>
          <w:spacing w:val="-12"/>
          <w:sz w:val="24"/>
          <w:szCs w:val="24"/>
        </w:rPr>
        <w:t>在工程建设过程中应注意生态系统的保护，</w:t>
      </w:r>
      <w:r>
        <w:rPr>
          <w:rFonts w:ascii="宋体" w:hAnsi="宋体" w:eastAsia="宋体" w:cs="宋体"/>
          <w:spacing w:val="31"/>
          <w:sz w:val="24"/>
          <w:szCs w:val="24"/>
        </w:rPr>
        <w:t xml:space="preserve"> </w:t>
      </w:r>
      <w:r>
        <w:rPr>
          <w:rFonts w:ascii="宋体" w:hAnsi="宋体" w:eastAsia="宋体" w:cs="宋体"/>
          <w:spacing w:val="-12"/>
          <w:sz w:val="24"/>
          <w:szCs w:val="24"/>
        </w:rPr>
        <w:t>使受到影响的生态系</w:t>
      </w:r>
    </w:p>
    <w:p>
      <w:pPr>
        <w:spacing w:before="1" w:line="219" w:lineRule="auto"/>
        <w:ind w:left="45"/>
        <w:rPr>
          <w:rFonts w:ascii="宋体" w:hAnsi="宋体" w:eastAsia="宋体" w:cs="宋体"/>
          <w:sz w:val="24"/>
          <w:szCs w:val="24"/>
        </w:rPr>
      </w:pPr>
      <w:r>
        <w:rPr>
          <w:rFonts w:ascii="宋体" w:hAnsi="宋体" w:eastAsia="宋体" w:cs="宋体"/>
          <w:spacing w:val="-4"/>
          <w:sz w:val="24"/>
          <w:szCs w:val="24"/>
        </w:rPr>
        <w:t>统的自然生产力尽快得到恢复。</w:t>
      </w:r>
    </w:p>
    <w:p>
      <w:pPr>
        <w:spacing w:before="181" w:line="221"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）对生态系统生物量的影响</w:t>
      </w:r>
    </w:p>
    <w:p>
      <w:pPr>
        <w:spacing w:before="181" w:line="359" w:lineRule="auto"/>
        <w:ind w:left="39" w:right="68" w:firstLine="480"/>
        <w:rPr>
          <w:rFonts w:ascii="宋体" w:hAnsi="宋体" w:eastAsia="宋体" w:cs="宋体"/>
          <w:sz w:val="24"/>
          <w:szCs w:val="24"/>
        </w:rPr>
      </w:pPr>
      <w:r>
        <w:rPr>
          <w:rFonts w:ascii="宋体" w:hAnsi="宋体" w:eastAsia="宋体" w:cs="宋体"/>
          <w:spacing w:val="-5"/>
          <w:sz w:val="24"/>
          <w:szCs w:val="24"/>
        </w:rPr>
        <w:t>本项目评价区面积</w:t>
      </w:r>
      <w:r>
        <w:rPr>
          <w:rFonts w:ascii="宋体" w:hAnsi="宋体" w:eastAsia="宋体" w:cs="宋体"/>
          <w:spacing w:val="-39"/>
          <w:sz w:val="24"/>
          <w:szCs w:val="24"/>
        </w:rPr>
        <w:t xml:space="preserve"> </w:t>
      </w:r>
      <w:r>
        <w:rPr>
          <w:rFonts w:ascii="Times New Roman" w:hAnsi="Times New Roman" w:eastAsia="Times New Roman" w:cs="Times New Roman"/>
          <w:spacing w:val="-5"/>
          <w:sz w:val="24"/>
          <w:szCs w:val="24"/>
        </w:rPr>
        <w:t>820.50hm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5"/>
          <w:sz w:val="24"/>
          <w:szCs w:val="24"/>
        </w:rPr>
        <w:t>，其生态系统累积的</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10228130t</w:t>
      </w:r>
      <w:r>
        <w:rPr>
          <w:rFonts w:ascii="宋体" w:hAnsi="宋体" w:eastAsia="宋体" w:cs="宋体"/>
          <w:spacing w:val="-5"/>
          <w:sz w:val="24"/>
          <w:szCs w:val="24"/>
        </w:rPr>
        <w:t>（干重）。由于</w:t>
      </w:r>
      <w:r>
        <w:rPr>
          <w:rFonts w:ascii="宋体" w:hAnsi="宋体" w:eastAsia="宋体" w:cs="宋体"/>
          <w:sz w:val="24"/>
          <w:szCs w:val="24"/>
        </w:rPr>
        <w:t xml:space="preserve"> </w:t>
      </w:r>
      <w:r>
        <w:rPr>
          <w:rFonts w:ascii="宋体" w:hAnsi="宋体" w:eastAsia="宋体" w:cs="宋体"/>
          <w:spacing w:val="-9"/>
          <w:sz w:val="24"/>
          <w:szCs w:val="24"/>
        </w:rPr>
        <w:t xml:space="preserve">拟建项目占用植被， 将减少评价区生态系统的生物量， </w:t>
      </w:r>
      <w:r>
        <w:rPr>
          <w:rFonts w:ascii="宋体" w:hAnsi="宋体" w:eastAsia="宋体" w:cs="宋体"/>
          <w:spacing w:val="-10"/>
          <w:sz w:val="24"/>
          <w:szCs w:val="24"/>
        </w:rPr>
        <w:t>但项目建设将增加水域面</w:t>
      </w:r>
      <w:r>
        <w:rPr>
          <w:rFonts w:ascii="宋体" w:hAnsi="宋体" w:eastAsia="宋体" w:cs="宋体"/>
          <w:sz w:val="24"/>
          <w:szCs w:val="24"/>
        </w:rPr>
        <w:t xml:space="preserve"> </w:t>
      </w:r>
      <w:r>
        <w:rPr>
          <w:rFonts w:ascii="宋体" w:hAnsi="宋体" w:eastAsia="宋体" w:cs="宋体"/>
          <w:spacing w:val="-6"/>
          <w:sz w:val="24"/>
          <w:szCs w:val="24"/>
        </w:rPr>
        <w:t>积对当地生态系统的物质循环和能量流动产生一定积极的影响，</w:t>
      </w:r>
      <w:r>
        <w:rPr>
          <w:rFonts w:ascii="宋体" w:hAnsi="宋体" w:eastAsia="宋体" w:cs="宋体"/>
          <w:spacing w:val="-14"/>
          <w:sz w:val="24"/>
          <w:szCs w:val="24"/>
        </w:rPr>
        <w:t xml:space="preserve"> </w:t>
      </w:r>
      <w:r>
        <w:rPr>
          <w:rFonts w:ascii="宋体" w:hAnsi="宋体" w:eastAsia="宋体" w:cs="宋体"/>
          <w:spacing w:val="-6"/>
          <w:sz w:val="24"/>
          <w:szCs w:val="24"/>
        </w:rPr>
        <w:t>最终拟建项目将</w:t>
      </w:r>
    </w:p>
    <w:p>
      <w:pPr>
        <w:spacing w:line="218" w:lineRule="auto"/>
        <w:ind w:left="39"/>
        <w:rPr>
          <w:rFonts w:ascii="宋体" w:hAnsi="宋体" w:eastAsia="宋体" w:cs="宋体"/>
          <w:sz w:val="24"/>
          <w:szCs w:val="24"/>
        </w:rPr>
      </w:pPr>
      <w:r>
        <w:rPr>
          <w:rFonts w:ascii="宋体" w:hAnsi="宋体" w:eastAsia="宋体" w:cs="宋体"/>
          <w:spacing w:val="-4"/>
          <w:sz w:val="24"/>
          <w:szCs w:val="24"/>
        </w:rPr>
        <w:t>减少评价区的生物量大约是</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937990t</w:t>
      </w:r>
      <w:r>
        <w:rPr>
          <w:rFonts w:ascii="宋体" w:hAnsi="宋体" w:eastAsia="宋体" w:cs="宋体"/>
          <w:spacing w:val="-4"/>
          <w:sz w:val="24"/>
          <w:szCs w:val="24"/>
        </w:rPr>
        <w:t>（干重</w:t>
      </w:r>
      <w:r>
        <w:rPr>
          <w:rFonts w:ascii="宋体" w:hAnsi="宋体" w:eastAsia="宋体" w:cs="宋体"/>
          <w:spacing w:val="-10"/>
          <w:sz w:val="24"/>
          <w:szCs w:val="24"/>
        </w:rPr>
        <w:t>），</w:t>
      </w:r>
      <w:r>
        <w:rPr>
          <w:rFonts w:ascii="宋体" w:hAnsi="宋体" w:eastAsia="宋体" w:cs="宋体"/>
          <w:spacing w:val="-4"/>
          <w:sz w:val="24"/>
          <w:szCs w:val="24"/>
        </w:rPr>
        <w:t>约占评价区生物量的</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9.56%</w:t>
      </w:r>
      <w:r>
        <w:rPr>
          <w:rFonts w:ascii="宋体" w:hAnsi="宋体" w:eastAsia="宋体" w:cs="宋体"/>
          <w:spacing w:val="-4"/>
          <w:sz w:val="24"/>
          <w:szCs w:val="24"/>
        </w:rPr>
        <w:t>。</w:t>
      </w:r>
    </w:p>
    <w:p>
      <w:pPr>
        <w:spacing w:line="218" w:lineRule="auto"/>
        <w:rPr>
          <w:rFonts w:ascii="宋体" w:hAnsi="宋体" w:eastAsia="宋体" w:cs="宋体"/>
          <w:sz w:val="24"/>
          <w:szCs w:val="24"/>
        </w:rPr>
        <w:sectPr>
          <w:headerReference r:id="rId407" w:type="default"/>
          <w:footerReference r:id="rId408" w:type="default"/>
          <w:pgSz w:w="11907" w:h="16839"/>
          <w:pgMar w:top="1156" w:right="1731" w:bottom="1374" w:left="1770" w:header="881" w:footer="1210" w:gutter="0"/>
        </w:sectPr>
      </w:pPr>
    </w:p>
    <w:p>
      <w:pPr>
        <w:spacing w:line="385" w:lineRule="auto"/>
        <w:rPr>
          <w:rFonts w:ascii="Arial"/>
          <w:sz w:val="21"/>
        </w:rPr>
      </w:pPr>
    </w:p>
    <w:p>
      <w:pPr>
        <w:spacing w:before="68" w:line="234" w:lineRule="auto"/>
        <w:ind w:left="2976"/>
        <w:rPr>
          <w:rFonts w:ascii="Times New Roman" w:hAnsi="Times New Roman" w:eastAsia="Times New Roman" w:cs="Times New Roman"/>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1"/>
          <w:sz w:val="21"/>
          <w:szCs w:val="21"/>
        </w:rPr>
        <w:t xml:space="preserve"> </w:t>
      </w:r>
      <w:r>
        <w:rPr>
          <w:rFonts w:ascii="Times New Roman" w:hAnsi="Times New Roman" w:eastAsia="Times New Roman" w:cs="Times New Roman"/>
          <w:b/>
          <w:bCs/>
          <w:spacing w:val="-1"/>
          <w:sz w:val="21"/>
          <w:szCs w:val="21"/>
        </w:rPr>
        <w:t xml:space="preserve">4.4-5    </w:t>
      </w:r>
      <w:r>
        <w:rPr>
          <w:rFonts w:ascii="宋体" w:hAnsi="宋体" w:eastAsia="宋体" w:cs="宋体"/>
          <w:spacing w:val="-1"/>
          <w:sz w:val="21"/>
          <w:szCs w:val="21"/>
          <w14:textOutline w14:w="3810" w14:cap="flat" w14:cmpd="sng">
            <w14:solidFill>
              <w14:srgbClr w14:val="000000"/>
            </w14:solidFill>
            <w14:prstDash w14:val="solid"/>
            <w14:miter w14:val="0"/>
          </w14:textOutline>
        </w:rPr>
        <w:t>项目生物量变化一览表</w:t>
      </w:r>
      <w:r>
        <w:rPr>
          <w:rFonts w:ascii="Times New Roman" w:hAnsi="Times New Roman" w:eastAsia="Times New Roman" w:cs="Times New Roman"/>
          <w:b/>
          <w:bCs/>
          <w:spacing w:val="-1"/>
          <w:sz w:val="21"/>
          <w:szCs w:val="21"/>
        </w:rPr>
        <w:t>*</w:t>
      </w:r>
    </w:p>
    <w:p>
      <w:pPr>
        <w:spacing w:line="17" w:lineRule="auto"/>
        <w:rPr>
          <w:rFonts w:ascii="Arial"/>
          <w:sz w:val="2"/>
        </w:rPr>
      </w:pPr>
    </w:p>
    <w:tbl>
      <w:tblPr>
        <w:tblStyle w:val="5"/>
        <w:tblW w:w="8487" w:type="dxa"/>
        <w:tblInd w:w="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9"/>
        <w:gridCol w:w="1159"/>
        <w:gridCol w:w="1045"/>
        <w:gridCol w:w="940"/>
        <w:gridCol w:w="1297"/>
        <w:gridCol w:w="1137"/>
        <w:gridCol w:w="1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46" w:hRule="atLeast"/>
        </w:trPr>
        <w:tc>
          <w:tcPr>
            <w:tcW w:w="1799" w:type="dxa"/>
            <w:tcBorders>
              <w:top w:val="single" w:color="000000" w:sz="12" w:space="0"/>
              <w:left w:val="nil"/>
            </w:tcBorders>
            <w:vAlign w:val="top"/>
          </w:tcPr>
          <w:p>
            <w:pPr>
              <w:spacing w:line="448" w:lineRule="auto"/>
              <w:rPr>
                <w:rFonts w:ascii="Arial"/>
                <w:sz w:val="21"/>
              </w:rPr>
            </w:pPr>
          </w:p>
          <w:p>
            <w:pPr>
              <w:spacing w:before="68" w:line="220" w:lineRule="auto"/>
              <w:ind w:left="511"/>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生态系统</w:t>
            </w:r>
          </w:p>
        </w:tc>
        <w:tc>
          <w:tcPr>
            <w:tcW w:w="1159" w:type="dxa"/>
            <w:tcBorders>
              <w:top w:val="single" w:color="000000" w:sz="12" w:space="0"/>
            </w:tcBorders>
            <w:vAlign w:val="top"/>
          </w:tcPr>
          <w:p>
            <w:pPr>
              <w:spacing w:before="206" w:line="247" w:lineRule="auto"/>
              <w:ind w:left="484" w:right="157" w:hanging="31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评价区面</w:t>
            </w:r>
            <w:r>
              <w:rPr>
                <w:rFonts w:ascii="仿宋" w:hAnsi="仿宋" w:eastAsia="仿宋" w:cs="仿宋"/>
                <w:sz w:val="21"/>
                <w:szCs w:val="21"/>
              </w:rPr>
              <w:t xml:space="preserve"> </w:t>
            </w:r>
            <w:r>
              <w:rPr>
                <w:rFonts w:ascii="仿宋" w:hAnsi="仿宋" w:eastAsia="仿宋" w:cs="仿宋"/>
                <w:sz w:val="21"/>
                <w:szCs w:val="21"/>
                <w14:textOutline w14:w="3810" w14:cap="flat" w14:cmpd="sng">
                  <w14:solidFill>
                    <w14:srgbClr w14:val="000000"/>
                  </w14:solidFill>
                  <w14:prstDash w14:val="solid"/>
                  <w14:miter w14:val="0"/>
                </w14:textOutline>
              </w:rPr>
              <w:t>积</w:t>
            </w:r>
          </w:p>
          <w:p>
            <w:pPr>
              <w:pStyle w:val="6"/>
              <w:spacing w:before="63" w:line="279" w:lineRule="exact"/>
              <w:ind w:left="197"/>
              <w:rPr>
                <w:rFonts w:ascii="仿宋" w:hAnsi="仿宋" w:eastAsia="仿宋" w:cs="仿宋"/>
              </w:rPr>
            </w:pPr>
            <w:r>
              <w:rPr>
                <w:rFonts w:ascii="仿宋" w:hAnsi="仿宋" w:eastAsia="仿宋" w:cs="仿宋"/>
                <w:spacing w:val="-3"/>
                <w:position w:val="1"/>
                <w14:textOutline w14:w="3810" w14:cap="flat" w14:cmpd="sng">
                  <w14:solidFill>
                    <w14:srgbClr w14:val="000000"/>
                  </w14:solidFill>
                  <w14:prstDash w14:val="solid"/>
                  <w14:miter w14:val="0"/>
                </w14:textOutline>
              </w:rPr>
              <w:t>（</w:t>
            </w:r>
            <w:r>
              <w:rPr>
                <w:b/>
                <w:bCs/>
                <w:spacing w:val="-3"/>
                <w:position w:val="1"/>
              </w:rPr>
              <w:t>hm</w:t>
            </w:r>
            <w:r>
              <w:rPr>
                <w:b/>
                <w:bCs/>
                <w:spacing w:val="-3"/>
                <w:position w:val="7"/>
                <w:sz w:val="14"/>
                <w:szCs w:val="14"/>
              </w:rPr>
              <w:t>2</w:t>
            </w:r>
            <w:r>
              <w:rPr>
                <w:rFonts w:ascii="仿宋" w:hAnsi="仿宋" w:eastAsia="仿宋" w:cs="仿宋"/>
                <w:spacing w:val="-3"/>
                <w:position w:val="1"/>
                <w14:textOutline w14:w="3810" w14:cap="flat" w14:cmpd="sng">
                  <w14:solidFill>
                    <w14:srgbClr w14:val="000000"/>
                  </w14:solidFill>
                  <w14:prstDash w14:val="solid"/>
                  <w14:miter w14:val="0"/>
                </w14:textOutline>
              </w:rPr>
              <w:t>）</w:t>
            </w:r>
          </w:p>
        </w:tc>
        <w:tc>
          <w:tcPr>
            <w:tcW w:w="1045" w:type="dxa"/>
            <w:tcBorders>
              <w:top w:val="single" w:color="000000" w:sz="12" w:space="0"/>
            </w:tcBorders>
            <w:vAlign w:val="top"/>
          </w:tcPr>
          <w:p>
            <w:pPr>
              <w:spacing w:before="207" w:line="218" w:lineRule="auto"/>
              <w:ind w:left="223"/>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变化面</w:t>
            </w:r>
          </w:p>
          <w:p>
            <w:pPr>
              <w:spacing w:before="63" w:line="219" w:lineRule="auto"/>
              <w:ind w:left="429"/>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积</w:t>
            </w:r>
          </w:p>
          <w:p>
            <w:pPr>
              <w:pStyle w:val="6"/>
              <w:spacing w:before="63" w:line="279" w:lineRule="exact"/>
              <w:ind w:left="140"/>
              <w:rPr>
                <w:rFonts w:ascii="仿宋" w:hAnsi="仿宋" w:eastAsia="仿宋" w:cs="仿宋"/>
              </w:rPr>
            </w:pPr>
            <w:r>
              <w:rPr>
                <w:rFonts w:ascii="仿宋" w:hAnsi="仿宋" w:eastAsia="仿宋" w:cs="仿宋"/>
                <w:spacing w:val="-3"/>
                <w:position w:val="1"/>
                <w14:textOutline w14:w="3810" w14:cap="flat" w14:cmpd="sng">
                  <w14:solidFill>
                    <w14:srgbClr w14:val="000000"/>
                  </w14:solidFill>
                  <w14:prstDash w14:val="solid"/>
                  <w14:miter w14:val="0"/>
                </w14:textOutline>
              </w:rPr>
              <w:t>（</w:t>
            </w:r>
            <w:r>
              <w:rPr>
                <w:b/>
                <w:bCs/>
                <w:spacing w:val="-3"/>
                <w:position w:val="1"/>
              </w:rPr>
              <w:t>hm</w:t>
            </w:r>
            <w:r>
              <w:rPr>
                <w:b/>
                <w:bCs/>
                <w:spacing w:val="-3"/>
                <w:position w:val="7"/>
                <w:sz w:val="14"/>
                <w:szCs w:val="14"/>
              </w:rPr>
              <w:t>2</w:t>
            </w:r>
            <w:r>
              <w:rPr>
                <w:rFonts w:ascii="仿宋" w:hAnsi="仿宋" w:eastAsia="仿宋" w:cs="仿宋"/>
                <w:spacing w:val="-3"/>
                <w:position w:val="1"/>
                <w14:textOutline w14:w="3810" w14:cap="flat" w14:cmpd="sng">
                  <w14:solidFill>
                    <w14:srgbClr w14:val="000000"/>
                  </w14:solidFill>
                  <w14:prstDash w14:val="solid"/>
                  <w14:miter w14:val="0"/>
                </w14:textOutline>
              </w:rPr>
              <w:t>）</w:t>
            </w:r>
          </w:p>
        </w:tc>
        <w:tc>
          <w:tcPr>
            <w:tcW w:w="940" w:type="dxa"/>
            <w:tcBorders>
              <w:top w:val="single" w:color="000000" w:sz="12" w:space="0"/>
            </w:tcBorders>
            <w:vAlign w:val="top"/>
          </w:tcPr>
          <w:p>
            <w:pPr>
              <w:spacing w:before="50" w:line="217" w:lineRule="auto"/>
              <w:ind w:left="168"/>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单位生</w:t>
            </w:r>
          </w:p>
          <w:p>
            <w:pPr>
              <w:spacing w:before="65" w:line="217" w:lineRule="auto"/>
              <w:ind w:left="27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物量</w:t>
            </w:r>
          </w:p>
          <w:p>
            <w:pPr>
              <w:pStyle w:val="6"/>
              <w:spacing w:before="64" w:line="247" w:lineRule="auto"/>
              <w:ind w:left="391" w:right="116" w:hanging="261"/>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w:t>
            </w:r>
            <w:r>
              <w:rPr>
                <w:b/>
                <w:bCs/>
                <w:spacing w:val="-3"/>
              </w:rPr>
              <w:t>t/hm</w:t>
            </w:r>
            <w:r>
              <w:rPr>
                <w:b/>
                <w:bCs/>
                <w:spacing w:val="-3"/>
                <w:position w:val="6"/>
                <w:sz w:val="14"/>
                <w:szCs w:val="14"/>
              </w:rPr>
              <w:t>2</w:t>
            </w:r>
            <w:r>
              <w:rPr>
                <w:b/>
                <w:bCs/>
                <w:spacing w:val="4"/>
                <w:position w:val="6"/>
                <w:sz w:val="14"/>
                <w:szCs w:val="14"/>
              </w:rPr>
              <w:t xml:space="preserve"> </w:t>
            </w:r>
            <w:r>
              <w:rPr>
                <w:rFonts w:ascii="仿宋" w:hAnsi="仿宋" w:eastAsia="仿宋" w:cs="仿宋"/>
                <w14:textOutline w14:w="3810" w14:cap="flat" w14:cmpd="sng">
                  <w14:solidFill>
                    <w14:srgbClr w14:val="000000"/>
                  </w14:solidFill>
                  <w14:prstDash w14:val="solid"/>
                  <w14:miter w14:val="0"/>
                </w14:textOutline>
              </w:rPr>
              <w:t>)</w:t>
            </w:r>
          </w:p>
        </w:tc>
        <w:tc>
          <w:tcPr>
            <w:tcW w:w="1297" w:type="dxa"/>
            <w:tcBorders>
              <w:top w:val="single" w:color="000000" w:sz="12" w:space="0"/>
            </w:tcBorders>
            <w:vAlign w:val="top"/>
          </w:tcPr>
          <w:p>
            <w:pPr>
              <w:spacing w:line="293" w:lineRule="auto"/>
              <w:rPr>
                <w:rFonts w:ascii="Arial"/>
                <w:sz w:val="21"/>
              </w:rPr>
            </w:pPr>
          </w:p>
          <w:p>
            <w:pPr>
              <w:pStyle w:val="6"/>
              <w:spacing w:before="69" w:line="255" w:lineRule="auto"/>
              <w:ind w:left="310" w:right="119" w:hanging="177"/>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评价区生物</w:t>
            </w:r>
            <w:r>
              <w:rPr>
                <w:rFonts w:ascii="仿宋" w:hAnsi="仿宋" w:eastAsia="仿宋" w:cs="仿宋"/>
                <w:spacing w:val="2"/>
              </w:rPr>
              <w:t xml:space="preserve"> </w:t>
            </w:r>
            <w:r>
              <w:rPr>
                <w:rFonts w:ascii="仿宋" w:hAnsi="仿宋" w:eastAsia="仿宋" w:cs="仿宋"/>
                <w:spacing w:val="-4"/>
                <w14:textOutline w14:w="3810" w14:cap="flat" w14:cmpd="sng">
                  <w14:solidFill>
                    <w14:srgbClr w14:val="000000"/>
                  </w14:solidFill>
                  <w14:prstDash w14:val="solid"/>
                  <w14:miter w14:val="0"/>
                </w14:textOutline>
              </w:rPr>
              <w:t>量（</w:t>
            </w:r>
            <w:r>
              <w:rPr>
                <w:b/>
                <w:bCs/>
                <w:spacing w:val="-4"/>
              </w:rPr>
              <w:t>t</w:t>
            </w:r>
            <w:r>
              <w:rPr>
                <w:rFonts w:ascii="仿宋" w:hAnsi="仿宋" w:eastAsia="仿宋" w:cs="仿宋"/>
                <w:spacing w:val="-4"/>
                <w14:textOutline w14:w="3810" w14:cap="flat" w14:cmpd="sng">
                  <w14:solidFill>
                    <w14:srgbClr w14:val="000000"/>
                  </w14:solidFill>
                  <w14:prstDash w14:val="solid"/>
                  <w14:miter w14:val="0"/>
                </w14:textOutline>
              </w:rPr>
              <w:t>）</w:t>
            </w:r>
          </w:p>
        </w:tc>
        <w:tc>
          <w:tcPr>
            <w:tcW w:w="1137" w:type="dxa"/>
            <w:tcBorders>
              <w:top w:val="single" w:color="000000" w:sz="12" w:space="0"/>
            </w:tcBorders>
            <w:vAlign w:val="top"/>
          </w:tcPr>
          <w:p>
            <w:pPr>
              <w:spacing w:line="294" w:lineRule="auto"/>
              <w:rPr>
                <w:rFonts w:ascii="Arial"/>
                <w:sz w:val="21"/>
              </w:rPr>
            </w:pPr>
          </w:p>
          <w:p>
            <w:pPr>
              <w:pStyle w:val="6"/>
              <w:spacing w:before="68" w:line="252" w:lineRule="auto"/>
              <w:ind w:left="124" w:right="122" w:firstLine="40"/>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变化的生</w:t>
            </w:r>
            <w:r>
              <w:rPr>
                <w:rFonts w:ascii="仿宋" w:hAnsi="仿宋" w:eastAsia="仿宋" w:cs="仿宋"/>
                <w:spacing w:val="2"/>
              </w:rPr>
              <w:t xml:space="preserve"> </w:t>
            </w:r>
            <w:r>
              <w:rPr>
                <w:rFonts w:ascii="仿宋" w:hAnsi="仿宋" w:eastAsia="仿宋" w:cs="仿宋"/>
                <w:spacing w:val="-5"/>
                <w14:textOutline w14:w="3810" w14:cap="flat" w14:cmpd="sng">
                  <w14:solidFill>
                    <w14:srgbClr w14:val="000000"/>
                  </w14:solidFill>
                  <w14:prstDash w14:val="solid"/>
                  <w14:miter w14:val="0"/>
                </w14:textOutline>
              </w:rPr>
              <w:t>物量（</w:t>
            </w:r>
            <w:r>
              <w:rPr>
                <w:b/>
                <w:bCs/>
                <w:spacing w:val="-5"/>
              </w:rPr>
              <w:t>t</w:t>
            </w:r>
            <w:r>
              <w:rPr>
                <w:rFonts w:ascii="仿宋" w:hAnsi="仿宋" w:eastAsia="仿宋" w:cs="仿宋"/>
                <w:spacing w:val="-5"/>
                <w14:textOutline w14:w="3810" w14:cap="flat" w14:cmpd="sng">
                  <w14:solidFill>
                    <w14:srgbClr w14:val="000000"/>
                  </w14:solidFill>
                  <w14:prstDash w14:val="solid"/>
                  <w14:miter w14:val="0"/>
                </w14:textOutline>
              </w:rPr>
              <w:t>）</w:t>
            </w:r>
          </w:p>
        </w:tc>
        <w:tc>
          <w:tcPr>
            <w:tcW w:w="1110" w:type="dxa"/>
            <w:tcBorders>
              <w:top w:val="single" w:color="000000" w:sz="12" w:space="0"/>
              <w:right w:val="nil"/>
            </w:tcBorders>
            <w:vAlign w:val="top"/>
          </w:tcPr>
          <w:p>
            <w:pPr>
              <w:pStyle w:val="6"/>
              <w:spacing w:before="206" w:line="265" w:lineRule="auto"/>
              <w:ind w:left="145" w:right="133" w:firstLine="5"/>
              <w:jc w:val="both"/>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变化占评</w:t>
            </w:r>
            <w:r>
              <w:rPr>
                <w:rFonts w:ascii="仿宋" w:hAnsi="仿宋" w:eastAsia="仿宋" w:cs="仿宋"/>
                <w:spacing w:val="2"/>
              </w:rPr>
              <w:t xml:space="preserve"> </w:t>
            </w:r>
            <w:r>
              <w:rPr>
                <w:rFonts w:ascii="仿宋" w:hAnsi="仿宋" w:eastAsia="仿宋" w:cs="仿宋"/>
                <w:spacing w:val="-3"/>
                <w14:textOutline w14:w="3810" w14:cap="flat" w14:cmpd="sng">
                  <w14:solidFill>
                    <w14:srgbClr w14:val="000000"/>
                  </w14:solidFill>
                  <w14:prstDash w14:val="solid"/>
                  <w14:miter w14:val="0"/>
                </w14:textOutline>
              </w:rPr>
              <w:t>价区同类</w:t>
            </w:r>
            <w:r>
              <w:rPr>
                <w:rFonts w:ascii="仿宋" w:hAnsi="仿宋" w:eastAsia="仿宋" w:cs="仿宋"/>
              </w:rPr>
              <w:t xml:space="preserve"> </w:t>
            </w:r>
            <w:r>
              <w:rPr>
                <w:rFonts w:ascii="仿宋" w:hAnsi="仿宋" w:eastAsia="仿宋" w:cs="仿宋"/>
                <w:spacing w:val="30"/>
                <w14:textOutline w14:w="3810" w14:cap="flat" w14:cmpd="sng">
                  <w14:solidFill>
                    <w14:srgbClr w14:val="000000"/>
                  </w14:solidFill>
                  <w14:prstDash w14:val="solid"/>
                  <w14:miter w14:val="0"/>
                </w14:textOutline>
              </w:rPr>
              <w:t>（</w:t>
            </w:r>
            <w:r>
              <w:rPr>
                <w:b/>
                <w:bCs/>
                <w:spacing w:val="30"/>
              </w:rPr>
              <w:t>%</w:t>
            </w:r>
            <w:r>
              <w:rPr>
                <w:rFonts w:ascii="仿宋" w:hAnsi="仿宋" w:eastAsia="仿宋" w:cs="仿宋"/>
                <w:spacing w:val="30"/>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799" w:type="dxa"/>
            <w:tcBorders>
              <w:left w:val="nil"/>
            </w:tcBorders>
            <w:vAlign w:val="top"/>
          </w:tcPr>
          <w:p>
            <w:pPr>
              <w:spacing w:before="58" w:line="216" w:lineRule="auto"/>
              <w:ind w:left="407"/>
              <w:rPr>
                <w:rFonts w:ascii="仿宋" w:hAnsi="仿宋" w:eastAsia="仿宋" w:cs="仿宋"/>
                <w:sz w:val="21"/>
                <w:szCs w:val="21"/>
              </w:rPr>
            </w:pPr>
            <w:r>
              <w:rPr>
                <w:rFonts w:ascii="仿宋" w:hAnsi="仿宋" w:eastAsia="仿宋" w:cs="仿宋"/>
                <w:spacing w:val="-5"/>
                <w:sz w:val="21"/>
                <w:szCs w:val="21"/>
              </w:rPr>
              <w:t>常绿阔叶林</w:t>
            </w:r>
          </w:p>
        </w:tc>
        <w:tc>
          <w:tcPr>
            <w:tcW w:w="1159" w:type="dxa"/>
            <w:vAlign w:val="top"/>
          </w:tcPr>
          <w:p>
            <w:pPr>
              <w:pStyle w:val="6"/>
              <w:spacing w:before="96" w:line="186" w:lineRule="auto"/>
              <w:ind w:left="347"/>
            </w:pPr>
            <w:r>
              <w:rPr>
                <w:spacing w:val="-2"/>
              </w:rPr>
              <w:t>34.38</w:t>
            </w:r>
          </w:p>
        </w:tc>
        <w:tc>
          <w:tcPr>
            <w:tcW w:w="1045" w:type="dxa"/>
            <w:vAlign w:val="top"/>
          </w:tcPr>
          <w:p>
            <w:pPr>
              <w:pStyle w:val="6"/>
              <w:spacing w:before="96" w:line="186" w:lineRule="auto"/>
              <w:ind w:left="308"/>
            </w:pPr>
            <w:r>
              <w:rPr>
                <w:spacing w:val="-2"/>
              </w:rPr>
              <w:t>-2.09</w:t>
            </w:r>
          </w:p>
        </w:tc>
        <w:tc>
          <w:tcPr>
            <w:tcW w:w="940" w:type="dxa"/>
            <w:vAlign w:val="top"/>
          </w:tcPr>
          <w:p>
            <w:pPr>
              <w:pStyle w:val="6"/>
              <w:spacing w:before="96" w:line="186" w:lineRule="auto"/>
              <w:ind w:left="186"/>
            </w:pPr>
            <w:r>
              <w:rPr>
                <w:spacing w:val="-2"/>
              </w:rPr>
              <w:t>360.00</w:t>
            </w:r>
          </w:p>
        </w:tc>
        <w:tc>
          <w:tcPr>
            <w:tcW w:w="1297" w:type="dxa"/>
            <w:vAlign w:val="top"/>
          </w:tcPr>
          <w:p>
            <w:pPr>
              <w:pStyle w:val="6"/>
              <w:spacing w:before="96" w:line="186" w:lineRule="auto"/>
              <w:ind w:left="303"/>
            </w:pPr>
            <w:r>
              <w:rPr>
                <w:spacing w:val="-4"/>
              </w:rPr>
              <w:t>1237680</w:t>
            </w:r>
          </w:p>
        </w:tc>
        <w:tc>
          <w:tcPr>
            <w:tcW w:w="1137" w:type="dxa"/>
            <w:vAlign w:val="top"/>
          </w:tcPr>
          <w:p>
            <w:pPr>
              <w:pStyle w:val="6"/>
              <w:spacing w:before="96" w:line="186" w:lineRule="auto"/>
              <w:ind w:left="276"/>
            </w:pPr>
            <w:r>
              <w:rPr>
                <w:spacing w:val="-2"/>
              </w:rPr>
              <w:t>-75240</w:t>
            </w:r>
          </w:p>
        </w:tc>
        <w:tc>
          <w:tcPr>
            <w:tcW w:w="1110" w:type="dxa"/>
            <w:tcBorders>
              <w:right w:val="nil"/>
            </w:tcBorders>
            <w:vAlign w:val="top"/>
          </w:tcPr>
          <w:p>
            <w:pPr>
              <w:pStyle w:val="6"/>
              <w:spacing w:before="96" w:line="186" w:lineRule="auto"/>
              <w:ind w:left="342"/>
            </w:pPr>
            <w:r>
              <w:rPr>
                <w:spacing w:val="-2"/>
              </w:rPr>
              <w:t>-6.08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99" w:type="dxa"/>
            <w:tcBorders>
              <w:left w:val="nil"/>
            </w:tcBorders>
            <w:vAlign w:val="top"/>
          </w:tcPr>
          <w:p>
            <w:pPr>
              <w:spacing w:before="60" w:line="215" w:lineRule="auto"/>
              <w:ind w:left="183"/>
              <w:rPr>
                <w:rFonts w:ascii="仿宋" w:hAnsi="仿宋" w:eastAsia="仿宋" w:cs="仿宋"/>
                <w:sz w:val="21"/>
                <w:szCs w:val="21"/>
              </w:rPr>
            </w:pPr>
            <w:r>
              <w:rPr>
                <w:rFonts w:ascii="仿宋" w:hAnsi="仿宋" w:eastAsia="仿宋" w:cs="仿宋"/>
                <w:spacing w:val="-2"/>
                <w:sz w:val="21"/>
                <w:szCs w:val="21"/>
              </w:rPr>
              <w:t>硬叶常绿阔叶林</w:t>
            </w:r>
          </w:p>
        </w:tc>
        <w:tc>
          <w:tcPr>
            <w:tcW w:w="1159" w:type="dxa"/>
            <w:vAlign w:val="top"/>
          </w:tcPr>
          <w:p>
            <w:pPr>
              <w:pStyle w:val="6"/>
              <w:spacing w:before="99" w:line="186" w:lineRule="auto"/>
              <w:ind w:left="402"/>
            </w:pPr>
            <w:r>
              <w:rPr>
                <w:spacing w:val="-3"/>
              </w:rPr>
              <w:t>5.15</w:t>
            </w:r>
          </w:p>
        </w:tc>
        <w:tc>
          <w:tcPr>
            <w:tcW w:w="1045" w:type="dxa"/>
            <w:vAlign w:val="top"/>
          </w:tcPr>
          <w:p>
            <w:pPr>
              <w:pStyle w:val="6"/>
              <w:spacing w:before="99" w:line="186" w:lineRule="auto"/>
              <w:ind w:left="308"/>
            </w:pPr>
            <w:r>
              <w:rPr>
                <w:spacing w:val="-7"/>
              </w:rPr>
              <w:t>-</w:t>
            </w:r>
            <w:r>
              <w:rPr>
                <w:spacing w:val="-27"/>
              </w:rPr>
              <w:t xml:space="preserve"> </w:t>
            </w:r>
            <w:r>
              <w:rPr>
                <w:spacing w:val="-7"/>
              </w:rPr>
              <w:t>1.18</w:t>
            </w:r>
          </w:p>
        </w:tc>
        <w:tc>
          <w:tcPr>
            <w:tcW w:w="940" w:type="dxa"/>
            <w:vAlign w:val="top"/>
          </w:tcPr>
          <w:p>
            <w:pPr>
              <w:pStyle w:val="6"/>
              <w:spacing w:before="99" w:line="186" w:lineRule="auto"/>
              <w:ind w:left="186"/>
            </w:pPr>
            <w:r>
              <w:rPr>
                <w:spacing w:val="-2"/>
              </w:rPr>
              <w:t>320.00</w:t>
            </w:r>
          </w:p>
        </w:tc>
        <w:tc>
          <w:tcPr>
            <w:tcW w:w="1297" w:type="dxa"/>
            <w:vAlign w:val="top"/>
          </w:tcPr>
          <w:p>
            <w:pPr>
              <w:pStyle w:val="6"/>
              <w:spacing w:before="99" w:line="186" w:lineRule="auto"/>
              <w:ind w:left="354"/>
            </w:pPr>
            <w:r>
              <w:rPr>
                <w:spacing w:val="-4"/>
              </w:rPr>
              <w:t>164800</w:t>
            </w:r>
          </w:p>
        </w:tc>
        <w:tc>
          <w:tcPr>
            <w:tcW w:w="1137" w:type="dxa"/>
            <w:vAlign w:val="top"/>
          </w:tcPr>
          <w:p>
            <w:pPr>
              <w:pStyle w:val="6"/>
              <w:spacing w:before="99" w:line="186" w:lineRule="auto"/>
              <w:ind w:left="276"/>
            </w:pPr>
            <w:r>
              <w:rPr>
                <w:spacing w:val="-2"/>
              </w:rPr>
              <w:t>-37760</w:t>
            </w:r>
          </w:p>
        </w:tc>
        <w:tc>
          <w:tcPr>
            <w:tcW w:w="1110" w:type="dxa"/>
            <w:tcBorders>
              <w:right w:val="nil"/>
            </w:tcBorders>
            <w:vAlign w:val="top"/>
          </w:tcPr>
          <w:p>
            <w:pPr>
              <w:pStyle w:val="6"/>
              <w:spacing w:before="99" w:line="186" w:lineRule="auto"/>
              <w:ind w:left="289"/>
            </w:pPr>
            <w:r>
              <w:rPr>
                <w:spacing w:val="-2"/>
              </w:rPr>
              <w:t>-22.91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99" w:type="dxa"/>
            <w:tcBorders>
              <w:left w:val="nil"/>
            </w:tcBorders>
            <w:vAlign w:val="top"/>
          </w:tcPr>
          <w:p>
            <w:pPr>
              <w:spacing w:before="63" w:line="213" w:lineRule="auto"/>
              <w:ind w:left="405"/>
              <w:rPr>
                <w:rFonts w:ascii="仿宋" w:hAnsi="仿宋" w:eastAsia="仿宋" w:cs="仿宋"/>
                <w:sz w:val="21"/>
                <w:szCs w:val="21"/>
              </w:rPr>
            </w:pPr>
            <w:r>
              <w:rPr>
                <w:rFonts w:ascii="仿宋" w:hAnsi="仿宋" w:eastAsia="仿宋" w:cs="仿宋"/>
                <w:spacing w:val="-4"/>
                <w:sz w:val="21"/>
                <w:szCs w:val="21"/>
              </w:rPr>
              <w:t>落叶阔叶林</w:t>
            </w:r>
          </w:p>
        </w:tc>
        <w:tc>
          <w:tcPr>
            <w:tcW w:w="1159" w:type="dxa"/>
            <w:vAlign w:val="top"/>
          </w:tcPr>
          <w:p>
            <w:pPr>
              <w:pStyle w:val="6"/>
              <w:spacing w:before="102" w:line="186" w:lineRule="auto"/>
              <w:ind w:left="363"/>
            </w:pPr>
            <w:r>
              <w:rPr>
                <w:spacing w:val="-5"/>
              </w:rPr>
              <w:t>15.38</w:t>
            </w:r>
          </w:p>
        </w:tc>
        <w:tc>
          <w:tcPr>
            <w:tcW w:w="1045" w:type="dxa"/>
            <w:vAlign w:val="top"/>
          </w:tcPr>
          <w:p>
            <w:pPr>
              <w:pStyle w:val="6"/>
              <w:spacing w:before="102" w:line="186" w:lineRule="auto"/>
              <w:ind w:left="308"/>
            </w:pPr>
            <w:r>
              <w:rPr>
                <w:spacing w:val="-7"/>
              </w:rPr>
              <w:t>-</w:t>
            </w:r>
            <w:r>
              <w:rPr>
                <w:spacing w:val="-27"/>
              </w:rPr>
              <w:t xml:space="preserve"> </w:t>
            </w:r>
            <w:r>
              <w:rPr>
                <w:spacing w:val="-7"/>
              </w:rPr>
              <w:t>1.52</w:t>
            </w:r>
          </w:p>
        </w:tc>
        <w:tc>
          <w:tcPr>
            <w:tcW w:w="940" w:type="dxa"/>
            <w:vAlign w:val="top"/>
          </w:tcPr>
          <w:p>
            <w:pPr>
              <w:pStyle w:val="6"/>
              <w:spacing w:before="102" w:line="186" w:lineRule="auto"/>
              <w:ind w:left="182"/>
            </w:pPr>
            <w:r>
              <w:rPr>
                <w:spacing w:val="-1"/>
              </w:rPr>
              <w:t>200.00</w:t>
            </w:r>
          </w:p>
        </w:tc>
        <w:tc>
          <w:tcPr>
            <w:tcW w:w="1297" w:type="dxa"/>
            <w:vAlign w:val="top"/>
          </w:tcPr>
          <w:p>
            <w:pPr>
              <w:pStyle w:val="6"/>
              <w:spacing w:before="102" w:line="186" w:lineRule="auto"/>
              <w:ind w:left="338"/>
            </w:pPr>
            <w:r>
              <w:rPr>
                <w:spacing w:val="-2"/>
              </w:rPr>
              <w:t>307600</w:t>
            </w:r>
          </w:p>
        </w:tc>
        <w:tc>
          <w:tcPr>
            <w:tcW w:w="1137" w:type="dxa"/>
            <w:vAlign w:val="top"/>
          </w:tcPr>
          <w:p>
            <w:pPr>
              <w:pStyle w:val="6"/>
              <w:spacing w:before="102" w:line="186" w:lineRule="auto"/>
              <w:ind w:left="276"/>
            </w:pPr>
            <w:r>
              <w:rPr>
                <w:spacing w:val="-2"/>
              </w:rPr>
              <w:t>-30400</w:t>
            </w:r>
          </w:p>
        </w:tc>
        <w:tc>
          <w:tcPr>
            <w:tcW w:w="1110" w:type="dxa"/>
            <w:tcBorders>
              <w:right w:val="nil"/>
            </w:tcBorders>
            <w:vAlign w:val="top"/>
          </w:tcPr>
          <w:p>
            <w:pPr>
              <w:pStyle w:val="6"/>
              <w:spacing w:before="102" w:line="186" w:lineRule="auto"/>
              <w:ind w:left="342"/>
            </w:pPr>
            <w:r>
              <w:rPr>
                <w:spacing w:val="-2"/>
              </w:rPr>
              <w:t>-9.88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799" w:type="dxa"/>
            <w:tcBorders>
              <w:left w:val="nil"/>
            </w:tcBorders>
            <w:vAlign w:val="top"/>
          </w:tcPr>
          <w:p>
            <w:pPr>
              <w:spacing w:before="63" w:line="211" w:lineRule="auto"/>
              <w:ind w:left="403"/>
              <w:rPr>
                <w:rFonts w:ascii="仿宋" w:hAnsi="仿宋" w:eastAsia="仿宋" w:cs="仿宋"/>
                <w:sz w:val="21"/>
                <w:szCs w:val="21"/>
              </w:rPr>
            </w:pPr>
            <w:r>
              <w:rPr>
                <w:rFonts w:ascii="仿宋" w:hAnsi="仿宋" w:eastAsia="仿宋" w:cs="仿宋"/>
                <w:spacing w:val="-4"/>
                <w:sz w:val="21"/>
                <w:szCs w:val="21"/>
              </w:rPr>
              <w:t>暖性针叶林</w:t>
            </w:r>
          </w:p>
        </w:tc>
        <w:tc>
          <w:tcPr>
            <w:tcW w:w="1159" w:type="dxa"/>
            <w:vAlign w:val="top"/>
          </w:tcPr>
          <w:p>
            <w:pPr>
              <w:pStyle w:val="6"/>
              <w:spacing w:before="102" w:line="186" w:lineRule="auto"/>
              <w:ind w:left="290"/>
            </w:pPr>
            <w:r>
              <w:rPr>
                <w:spacing w:val="-1"/>
              </w:rPr>
              <w:t>210.79</w:t>
            </w:r>
          </w:p>
        </w:tc>
        <w:tc>
          <w:tcPr>
            <w:tcW w:w="1045" w:type="dxa"/>
            <w:vAlign w:val="top"/>
          </w:tcPr>
          <w:p>
            <w:pPr>
              <w:pStyle w:val="6"/>
              <w:spacing w:before="102" w:line="186" w:lineRule="auto"/>
              <w:ind w:left="257"/>
            </w:pPr>
            <w:r>
              <w:rPr>
                <w:spacing w:val="-6"/>
              </w:rPr>
              <w:t>-</w:t>
            </w:r>
            <w:r>
              <w:rPr>
                <w:spacing w:val="-26"/>
              </w:rPr>
              <w:t xml:space="preserve"> </w:t>
            </w:r>
            <w:r>
              <w:rPr>
                <w:spacing w:val="-6"/>
              </w:rPr>
              <w:t>15.69</w:t>
            </w:r>
          </w:p>
        </w:tc>
        <w:tc>
          <w:tcPr>
            <w:tcW w:w="940" w:type="dxa"/>
            <w:vAlign w:val="top"/>
          </w:tcPr>
          <w:p>
            <w:pPr>
              <w:pStyle w:val="6"/>
              <w:spacing w:before="102" w:line="186" w:lineRule="auto"/>
              <w:ind w:left="186"/>
            </w:pPr>
            <w:r>
              <w:rPr>
                <w:spacing w:val="-2"/>
              </w:rPr>
              <w:t>300.00</w:t>
            </w:r>
          </w:p>
        </w:tc>
        <w:tc>
          <w:tcPr>
            <w:tcW w:w="1297" w:type="dxa"/>
            <w:vAlign w:val="top"/>
          </w:tcPr>
          <w:p>
            <w:pPr>
              <w:pStyle w:val="6"/>
              <w:spacing w:before="102" w:line="186" w:lineRule="auto"/>
              <w:ind w:left="287"/>
            </w:pPr>
            <w:r>
              <w:rPr>
                <w:spacing w:val="-2"/>
              </w:rPr>
              <w:t>6323700</w:t>
            </w:r>
          </w:p>
        </w:tc>
        <w:tc>
          <w:tcPr>
            <w:tcW w:w="1137" w:type="dxa"/>
            <w:vAlign w:val="top"/>
          </w:tcPr>
          <w:p>
            <w:pPr>
              <w:pStyle w:val="6"/>
              <w:spacing w:before="102" w:line="186" w:lineRule="auto"/>
              <w:ind w:left="225"/>
            </w:pPr>
            <w:r>
              <w:rPr>
                <w:spacing w:val="-2"/>
              </w:rPr>
              <w:t>-470700</w:t>
            </w:r>
          </w:p>
        </w:tc>
        <w:tc>
          <w:tcPr>
            <w:tcW w:w="1110" w:type="dxa"/>
            <w:tcBorders>
              <w:right w:val="nil"/>
            </w:tcBorders>
            <w:vAlign w:val="top"/>
          </w:tcPr>
          <w:p>
            <w:pPr>
              <w:pStyle w:val="6"/>
              <w:spacing w:before="102" w:line="186" w:lineRule="auto"/>
              <w:ind w:left="342"/>
            </w:pPr>
            <w:r>
              <w:rPr>
                <w:spacing w:val="-2"/>
              </w:rPr>
              <w:t>-7.44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99" w:type="dxa"/>
            <w:tcBorders>
              <w:left w:val="nil"/>
            </w:tcBorders>
            <w:vAlign w:val="top"/>
          </w:tcPr>
          <w:p>
            <w:pPr>
              <w:spacing w:before="67" w:line="209" w:lineRule="auto"/>
              <w:ind w:left="291"/>
              <w:rPr>
                <w:rFonts w:ascii="仿宋" w:hAnsi="仿宋" w:eastAsia="仿宋" w:cs="仿宋"/>
                <w:sz w:val="21"/>
                <w:szCs w:val="21"/>
              </w:rPr>
            </w:pPr>
            <w:r>
              <w:rPr>
                <w:rFonts w:ascii="仿宋" w:hAnsi="仿宋" w:eastAsia="仿宋" w:cs="仿宋"/>
                <w:spacing w:val="-3"/>
                <w:sz w:val="21"/>
                <w:szCs w:val="21"/>
              </w:rPr>
              <w:t>稀树灌木草丛</w:t>
            </w:r>
          </w:p>
        </w:tc>
        <w:tc>
          <w:tcPr>
            <w:tcW w:w="1159" w:type="dxa"/>
            <w:vAlign w:val="top"/>
          </w:tcPr>
          <w:p>
            <w:pPr>
              <w:pStyle w:val="6"/>
              <w:spacing w:before="105" w:line="186" w:lineRule="auto"/>
              <w:ind w:left="290"/>
            </w:pPr>
            <w:r>
              <w:rPr>
                <w:spacing w:val="-1"/>
              </w:rPr>
              <w:t>213.17</w:t>
            </w:r>
          </w:p>
        </w:tc>
        <w:tc>
          <w:tcPr>
            <w:tcW w:w="1045" w:type="dxa"/>
            <w:vAlign w:val="top"/>
          </w:tcPr>
          <w:p>
            <w:pPr>
              <w:pStyle w:val="6"/>
              <w:spacing w:before="105" w:line="186" w:lineRule="auto"/>
              <w:ind w:left="257"/>
            </w:pPr>
            <w:r>
              <w:rPr>
                <w:spacing w:val="-2"/>
              </w:rPr>
              <w:t>-36.76</w:t>
            </w:r>
          </w:p>
        </w:tc>
        <w:tc>
          <w:tcPr>
            <w:tcW w:w="940" w:type="dxa"/>
            <w:vAlign w:val="top"/>
          </w:tcPr>
          <w:p>
            <w:pPr>
              <w:pStyle w:val="6"/>
              <w:spacing w:before="105" w:line="186" w:lineRule="auto"/>
              <w:ind w:left="239"/>
            </w:pPr>
            <w:r>
              <w:rPr>
                <w:spacing w:val="-2"/>
              </w:rPr>
              <w:t>60.00</w:t>
            </w:r>
          </w:p>
        </w:tc>
        <w:tc>
          <w:tcPr>
            <w:tcW w:w="1297" w:type="dxa"/>
            <w:vAlign w:val="top"/>
          </w:tcPr>
          <w:p>
            <w:pPr>
              <w:pStyle w:val="6"/>
              <w:spacing w:before="105" w:line="186" w:lineRule="auto"/>
              <w:ind w:left="303"/>
            </w:pPr>
            <w:r>
              <w:rPr>
                <w:spacing w:val="-4"/>
              </w:rPr>
              <w:t>1279020</w:t>
            </w:r>
          </w:p>
        </w:tc>
        <w:tc>
          <w:tcPr>
            <w:tcW w:w="1137" w:type="dxa"/>
            <w:vAlign w:val="top"/>
          </w:tcPr>
          <w:p>
            <w:pPr>
              <w:pStyle w:val="6"/>
              <w:spacing w:before="105" w:line="186" w:lineRule="auto"/>
              <w:ind w:left="225"/>
            </w:pPr>
            <w:r>
              <w:rPr>
                <w:spacing w:val="-2"/>
              </w:rPr>
              <w:t>-220560</w:t>
            </w:r>
          </w:p>
        </w:tc>
        <w:tc>
          <w:tcPr>
            <w:tcW w:w="1110" w:type="dxa"/>
            <w:tcBorders>
              <w:right w:val="nil"/>
            </w:tcBorders>
            <w:vAlign w:val="top"/>
          </w:tcPr>
          <w:p>
            <w:pPr>
              <w:pStyle w:val="6"/>
              <w:spacing w:before="105" w:line="186" w:lineRule="auto"/>
              <w:ind w:left="289"/>
            </w:pPr>
            <w:r>
              <w:rPr>
                <w:spacing w:val="-6"/>
              </w:rPr>
              <w:t>-</w:t>
            </w:r>
            <w:r>
              <w:rPr>
                <w:spacing w:val="-26"/>
              </w:rPr>
              <w:t xml:space="preserve"> </w:t>
            </w:r>
            <w:r>
              <w:rPr>
                <w:spacing w:val="-6"/>
              </w:rPr>
              <w:t>17.24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99" w:type="dxa"/>
            <w:tcBorders>
              <w:left w:val="nil"/>
            </w:tcBorders>
            <w:vAlign w:val="top"/>
          </w:tcPr>
          <w:p>
            <w:pPr>
              <w:spacing w:before="69" w:line="208" w:lineRule="auto"/>
              <w:ind w:left="713"/>
              <w:rPr>
                <w:rFonts w:ascii="仿宋" w:hAnsi="仿宋" w:eastAsia="仿宋" w:cs="仿宋"/>
                <w:sz w:val="21"/>
                <w:szCs w:val="21"/>
              </w:rPr>
            </w:pPr>
            <w:r>
              <w:rPr>
                <w:rFonts w:ascii="仿宋" w:hAnsi="仿宋" w:eastAsia="仿宋" w:cs="仿宋"/>
                <w:spacing w:val="-5"/>
                <w:sz w:val="21"/>
                <w:szCs w:val="21"/>
              </w:rPr>
              <w:t>灌丛</w:t>
            </w:r>
          </w:p>
        </w:tc>
        <w:tc>
          <w:tcPr>
            <w:tcW w:w="1159" w:type="dxa"/>
            <w:vAlign w:val="top"/>
          </w:tcPr>
          <w:p>
            <w:pPr>
              <w:pStyle w:val="6"/>
              <w:spacing w:before="108" w:line="186" w:lineRule="auto"/>
              <w:ind w:left="352"/>
            </w:pPr>
            <w:r>
              <w:rPr>
                <w:spacing w:val="-3"/>
              </w:rPr>
              <w:t>88.51</w:t>
            </w:r>
          </w:p>
        </w:tc>
        <w:tc>
          <w:tcPr>
            <w:tcW w:w="1045" w:type="dxa"/>
            <w:vAlign w:val="top"/>
          </w:tcPr>
          <w:p>
            <w:pPr>
              <w:pStyle w:val="6"/>
              <w:spacing w:before="108" w:line="186" w:lineRule="auto"/>
              <w:ind w:left="257"/>
            </w:pPr>
            <w:r>
              <w:rPr>
                <w:spacing w:val="-2"/>
              </w:rPr>
              <w:t>-26.33</w:t>
            </w:r>
          </w:p>
        </w:tc>
        <w:tc>
          <w:tcPr>
            <w:tcW w:w="940" w:type="dxa"/>
            <w:vAlign w:val="top"/>
          </w:tcPr>
          <w:p>
            <w:pPr>
              <w:pStyle w:val="6"/>
              <w:spacing w:before="108" w:line="186" w:lineRule="auto"/>
              <w:ind w:left="234"/>
            </w:pPr>
            <w:r>
              <w:rPr>
                <w:spacing w:val="-1"/>
              </w:rPr>
              <w:t>40.00</w:t>
            </w:r>
          </w:p>
        </w:tc>
        <w:tc>
          <w:tcPr>
            <w:tcW w:w="1297" w:type="dxa"/>
            <w:vAlign w:val="top"/>
          </w:tcPr>
          <w:p>
            <w:pPr>
              <w:pStyle w:val="6"/>
              <w:spacing w:before="108" w:line="186" w:lineRule="auto"/>
              <w:ind w:left="338"/>
            </w:pPr>
            <w:r>
              <w:rPr>
                <w:spacing w:val="-2"/>
              </w:rPr>
              <w:t>354040</w:t>
            </w:r>
          </w:p>
        </w:tc>
        <w:tc>
          <w:tcPr>
            <w:tcW w:w="1137" w:type="dxa"/>
            <w:vAlign w:val="top"/>
          </w:tcPr>
          <w:p>
            <w:pPr>
              <w:pStyle w:val="6"/>
              <w:spacing w:before="108" w:line="186" w:lineRule="auto"/>
              <w:ind w:left="225"/>
            </w:pPr>
            <w:r>
              <w:rPr>
                <w:spacing w:val="-5"/>
              </w:rPr>
              <w:t>-</w:t>
            </w:r>
            <w:r>
              <w:rPr>
                <w:spacing w:val="-27"/>
              </w:rPr>
              <w:t xml:space="preserve"> </w:t>
            </w:r>
            <w:r>
              <w:rPr>
                <w:spacing w:val="-5"/>
              </w:rPr>
              <w:t>105320</w:t>
            </w:r>
          </w:p>
        </w:tc>
        <w:tc>
          <w:tcPr>
            <w:tcW w:w="1110" w:type="dxa"/>
            <w:tcBorders>
              <w:right w:val="nil"/>
            </w:tcBorders>
            <w:vAlign w:val="top"/>
          </w:tcPr>
          <w:p>
            <w:pPr>
              <w:pStyle w:val="6"/>
              <w:spacing w:before="108" w:line="186" w:lineRule="auto"/>
              <w:ind w:left="289"/>
            </w:pPr>
            <w:r>
              <w:rPr>
                <w:spacing w:val="-2"/>
              </w:rPr>
              <w:t>-29.75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99" w:type="dxa"/>
            <w:tcBorders>
              <w:left w:val="nil"/>
            </w:tcBorders>
            <w:vAlign w:val="top"/>
          </w:tcPr>
          <w:p>
            <w:pPr>
              <w:spacing w:before="70" w:line="206" w:lineRule="auto"/>
              <w:ind w:left="709"/>
              <w:rPr>
                <w:rFonts w:ascii="仿宋" w:hAnsi="仿宋" w:eastAsia="仿宋" w:cs="仿宋"/>
                <w:sz w:val="21"/>
                <w:szCs w:val="21"/>
              </w:rPr>
            </w:pPr>
            <w:r>
              <w:rPr>
                <w:rFonts w:ascii="仿宋" w:hAnsi="仿宋" w:eastAsia="仿宋" w:cs="仿宋"/>
                <w:spacing w:val="-4"/>
                <w:sz w:val="21"/>
                <w:szCs w:val="21"/>
              </w:rPr>
              <w:t>耕地</w:t>
            </w:r>
          </w:p>
        </w:tc>
        <w:tc>
          <w:tcPr>
            <w:tcW w:w="1159" w:type="dxa"/>
            <w:vAlign w:val="top"/>
          </w:tcPr>
          <w:p>
            <w:pPr>
              <w:pStyle w:val="6"/>
              <w:spacing w:before="108" w:line="186" w:lineRule="auto"/>
              <w:ind w:left="311"/>
            </w:pPr>
            <w:r>
              <w:rPr>
                <w:spacing w:val="-4"/>
              </w:rPr>
              <w:t>175.28</w:t>
            </w:r>
          </w:p>
        </w:tc>
        <w:tc>
          <w:tcPr>
            <w:tcW w:w="1045" w:type="dxa"/>
            <w:vAlign w:val="top"/>
          </w:tcPr>
          <w:p>
            <w:pPr>
              <w:pStyle w:val="6"/>
              <w:spacing w:before="108" w:line="186" w:lineRule="auto"/>
              <w:ind w:left="257"/>
            </w:pPr>
            <w:r>
              <w:rPr>
                <w:spacing w:val="-6"/>
              </w:rPr>
              <w:t>-</w:t>
            </w:r>
            <w:r>
              <w:rPr>
                <w:spacing w:val="-26"/>
              </w:rPr>
              <w:t xml:space="preserve"> </w:t>
            </w:r>
            <w:r>
              <w:rPr>
                <w:spacing w:val="-6"/>
              </w:rPr>
              <w:t>11.75</w:t>
            </w:r>
          </w:p>
        </w:tc>
        <w:tc>
          <w:tcPr>
            <w:tcW w:w="940" w:type="dxa"/>
            <w:vAlign w:val="top"/>
          </w:tcPr>
          <w:p>
            <w:pPr>
              <w:pStyle w:val="6"/>
              <w:spacing w:before="108" w:line="186" w:lineRule="auto"/>
              <w:ind w:left="239"/>
            </w:pPr>
            <w:r>
              <w:rPr>
                <w:spacing w:val="-2"/>
              </w:rPr>
              <w:t>30.00</w:t>
            </w:r>
          </w:p>
        </w:tc>
        <w:tc>
          <w:tcPr>
            <w:tcW w:w="1297" w:type="dxa"/>
            <w:vAlign w:val="top"/>
          </w:tcPr>
          <w:p>
            <w:pPr>
              <w:pStyle w:val="6"/>
              <w:spacing w:before="108" w:line="186" w:lineRule="auto"/>
              <w:ind w:left="340"/>
            </w:pPr>
            <w:r>
              <w:rPr>
                <w:spacing w:val="-2"/>
              </w:rPr>
              <w:t>525840</w:t>
            </w:r>
          </w:p>
        </w:tc>
        <w:tc>
          <w:tcPr>
            <w:tcW w:w="1137" w:type="dxa"/>
            <w:vAlign w:val="top"/>
          </w:tcPr>
          <w:p>
            <w:pPr>
              <w:pStyle w:val="6"/>
              <w:spacing w:before="108" w:line="186" w:lineRule="auto"/>
              <w:ind w:left="276"/>
            </w:pPr>
            <w:r>
              <w:rPr>
                <w:spacing w:val="-2"/>
              </w:rPr>
              <w:t>-35250</w:t>
            </w:r>
          </w:p>
        </w:tc>
        <w:tc>
          <w:tcPr>
            <w:tcW w:w="1110" w:type="dxa"/>
            <w:tcBorders>
              <w:right w:val="nil"/>
            </w:tcBorders>
            <w:vAlign w:val="top"/>
          </w:tcPr>
          <w:p>
            <w:pPr>
              <w:pStyle w:val="6"/>
              <w:spacing w:before="108" w:line="186" w:lineRule="auto"/>
              <w:ind w:left="342"/>
            </w:pPr>
            <w:r>
              <w:rPr>
                <w:spacing w:val="-2"/>
              </w:rPr>
              <w:t>-6.70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99" w:type="dxa"/>
            <w:tcBorders>
              <w:left w:val="nil"/>
            </w:tcBorders>
            <w:vAlign w:val="top"/>
          </w:tcPr>
          <w:p>
            <w:pPr>
              <w:spacing w:before="71" w:line="205" w:lineRule="auto"/>
              <w:ind w:left="709"/>
              <w:rPr>
                <w:rFonts w:ascii="仿宋" w:hAnsi="仿宋" w:eastAsia="仿宋" w:cs="仿宋"/>
                <w:sz w:val="21"/>
                <w:szCs w:val="21"/>
              </w:rPr>
            </w:pPr>
            <w:r>
              <w:rPr>
                <w:rFonts w:ascii="仿宋" w:hAnsi="仿宋" w:eastAsia="仿宋" w:cs="仿宋"/>
                <w:spacing w:val="-4"/>
                <w:sz w:val="21"/>
                <w:szCs w:val="21"/>
              </w:rPr>
              <w:t>水域</w:t>
            </w:r>
          </w:p>
        </w:tc>
        <w:tc>
          <w:tcPr>
            <w:tcW w:w="1159" w:type="dxa"/>
            <w:vAlign w:val="top"/>
          </w:tcPr>
          <w:p>
            <w:pPr>
              <w:pStyle w:val="6"/>
              <w:spacing w:before="110" w:line="186" w:lineRule="auto"/>
              <w:ind w:left="347"/>
            </w:pPr>
            <w:r>
              <w:rPr>
                <w:spacing w:val="-2"/>
              </w:rPr>
              <w:t>35.45</w:t>
            </w:r>
          </w:p>
        </w:tc>
        <w:tc>
          <w:tcPr>
            <w:tcW w:w="1045" w:type="dxa"/>
            <w:vAlign w:val="top"/>
          </w:tcPr>
          <w:p>
            <w:pPr>
              <w:pStyle w:val="6"/>
              <w:spacing w:before="110" w:line="186" w:lineRule="auto"/>
              <w:ind w:left="292"/>
            </w:pPr>
            <w:r>
              <w:rPr>
                <w:spacing w:val="-2"/>
              </w:rPr>
              <w:t>37.24</w:t>
            </w:r>
          </w:p>
        </w:tc>
        <w:tc>
          <w:tcPr>
            <w:tcW w:w="940" w:type="dxa"/>
            <w:vAlign w:val="top"/>
          </w:tcPr>
          <w:p>
            <w:pPr>
              <w:pStyle w:val="6"/>
              <w:spacing w:before="110" w:line="186" w:lineRule="auto"/>
              <w:ind w:left="255"/>
            </w:pPr>
            <w:r>
              <w:rPr>
                <w:spacing w:val="-5"/>
              </w:rPr>
              <w:t>10.00</w:t>
            </w:r>
          </w:p>
        </w:tc>
        <w:tc>
          <w:tcPr>
            <w:tcW w:w="1297" w:type="dxa"/>
            <w:vAlign w:val="top"/>
          </w:tcPr>
          <w:p>
            <w:pPr>
              <w:pStyle w:val="6"/>
              <w:spacing w:before="110" w:line="186" w:lineRule="auto"/>
              <w:ind w:left="391"/>
            </w:pPr>
            <w:r>
              <w:rPr>
                <w:spacing w:val="-2"/>
              </w:rPr>
              <w:t>35450</w:t>
            </w:r>
          </w:p>
        </w:tc>
        <w:tc>
          <w:tcPr>
            <w:tcW w:w="1137" w:type="dxa"/>
            <w:vAlign w:val="top"/>
          </w:tcPr>
          <w:p>
            <w:pPr>
              <w:pStyle w:val="6"/>
              <w:spacing w:before="110" w:line="186" w:lineRule="auto"/>
              <w:ind w:left="312"/>
            </w:pPr>
            <w:r>
              <w:rPr>
                <w:spacing w:val="-2"/>
              </w:rPr>
              <w:t>37240</w:t>
            </w:r>
          </w:p>
        </w:tc>
        <w:tc>
          <w:tcPr>
            <w:tcW w:w="1110" w:type="dxa"/>
            <w:tcBorders>
              <w:right w:val="nil"/>
            </w:tcBorders>
            <w:vAlign w:val="top"/>
          </w:tcPr>
          <w:p>
            <w:pPr>
              <w:pStyle w:val="6"/>
              <w:spacing w:before="110" w:line="186" w:lineRule="auto"/>
              <w:ind w:left="288"/>
            </w:pPr>
            <w:r>
              <w:rPr>
                <w:spacing w:val="-4"/>
              </w:rPr>
              <w:t>105.05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99" w:type="dxa"/>
            <w:tcBorders>
              <w:left w:val="nil"/>
            </w:tcBorders>
            <w:vAlign w:val="top"/>
          </w:tcPr>
          <w:p>
            <w:pPr>
              <w:spacing w:before="75" w:line="203" w:lineRule="auto"/>
              <w:ind w:left="714"/>
              <w:rPr>
                <w:rFonts w:ascii="仿宋" w:hAnsi="仿宋" w:eastAsia="仿宋" w:cs="仿宋"/>
                <w:sz w:val="21"/>
                <w:szCs w:val="21"/>
              </w:rPr>
            </w:pPr>
            <w:r>
              <w:rPr>
                <w:rFonts w:ascii="仿宋" w:hAnsi="仿宋" w:eastAsia="仿宋" w:cs="仿宋"/>
                <w:spacing w:val="-5"/>
                <w:sz w:val="21"/>
                <w:szCs w:val="21"/>
              </w:rPr>
              <w:t>公路</w:t>
            </w:r>
          </w:p>
        </w:tc>
        <w:tc>
          <w:tcPr>
            <w:tcW w:w="1159" w:type="dxa"/>
            <w:vAlign w:val="top"/>
          </w:tcPr>
          <w:p>
            <w:pPr>
              <w:pStyle w:val="6"/>
              <w:spacing w:before="113" w:line="186" w:lineRule="auto"/>
              <w:ind w:left="343"/>
            </w:pPr>
            <w:r>
              <w:rPr>
                <w:spacing w:val="-1"/>
              </w:rPr>
              <w:t>27.80</w:t>
            </w:r>
          </w:p>
        </w:tc>
        <w:tc>
          <w:tcPr>
            <w:tcW w:w="1045" w:type="dxa"/>
            <w:vAlign w:val="top"/>
          </w:tcPr>
          <w:p>
            <w:pPr>
              <w:pStyle w:val="6"/>
              <w:spacing w:before="113" w:line="186" w:lineRule="auto"/>
              <w:ind w:left="308"/>
            </w:pPr>
            <w:r>
              <w:rPr>
                <w:spacing w:val="-7"/>
              </w:rPr>
              <w:t>-</w:t>
            </w:r>
            <w:r>
              <w:rPr>
                <w:spacing w:val="-27"/>
              </w:rPr>
              <w:t xml:space="preserve"> </w:t>
            </w:r>
            <w:r>
              <w:rPr>
                <w:spacing w:val="-7"/>
              </w:rPr>
              <w:t>1.34</w:t>
            </w:r>
          </w:p>
        </w:tc>
        <w:tc>
          <w:tcPr>
            <w:tcW w:w="940" w:type="dxa"/>
            <w:vAlign w:val="top"/>
          </w:tcPr>
          <w:p>
            <w:pPr>
              <w:pStyle w:val="6"/>
              <w:spacing w:before="113" w:line="186" w:lineRule="auto"/>
              <w:ind w:left="291"/>
            </w:pPr>
            <w:r>
              <w:rPr>
                <w:spacing w:val="-2"/>
              </w:rPr>
              <w:t>0.00</w:t>
            </w:r>
          </w:p>
        </w:tc>
        <w:tc>
          <w:tcPr>
            <w:tcW w:w="1297" w:type="dxa"/>
            <w:vAlign w:val="top"/>
          </w:tcPr>
          <w:p>
            <w:pPr>
              <w:pStyle w:val="6"/>
              <w:spacing w:before="113" w:line="186" w:lineRule="auto"/>
              <w:ind w:left="600"/>
            </w:pPr>
            <w:r>
              <w:t>0</w:t>
            </w:r>
          </w:p>
        </w:tc>
        <w:tc>
          <w:tcPr>
            <w:tcW w:w="1137" w:type="dxa"/>
            <w:vAlign w:val="top"/>
          </w:tcPr>
          <w:p>
            <w:pPr>
              <w:pStyle w:val="6"/>
              <w:spacing w:before="113" w:line="186" w:lineRule="auto"/>
              <w:ind w:left="521"/>
            </w:pPr>
            <w:r>
              <w:t>0</w:t>
            </w:r>
          </w:p>
        </w:tc>
        <w:tc>
          <w:tcPr>
            <w:tcW w:w="1110" w:type="dxa"/>
            <w:tcBorders>
              <w:right w:val="nil"/>
            </w:tcBorders>
            <w:vAlign w:val="top"/>
          </w:tcPr>
          <w:p>
            <w:pPr>
              <w:pStyle w:val="6"/>
              <w:spacing w:before="113" w:line="186" w:lineRule="auto"/>
              <w:ind w:left="376"/>
            </w:pPr>
            <w:r>
              <w:rPr>
                <w:spacing w:val="-2"/>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799" w:type="dxa"/>
            <w:tcBorders>
              <w:left w:val="nil"/>
            </w:tcBorders>
            <w:vAlign w:val="top"/>
          </w:tcPr>
          <w:p>
            <w:pPr>
              <w:spacing w:before="75" w:line="201" w:lineRule="auto"/>
              <w:ind w:left="709"/>
              <w:rPr>
                <w:rFonts w:ascii="仿宋" w:hAnsi="仿宋" w:eastAsia="仿宋" w:cs="仿宋"/>
                <w:sz w:val="21"/>
                <w:szCs w:val="21"/>
              </w:rPr>
            </w:pPr>
            <w:r>
              <w:rPr>
                <w:rFonts w:ascii="仿宋" w:hAnsi="仿宋" w:eastAsia="仿宋" w:cs="仿宋"/>
                <w:spacing w:val="-4"/>
                <w:sz w:val="21"/>
                <w:szCs w:val="21"/>
              </w:rPr>
              <w:t>村庄</w:t>
            </w:r>
          </w:p>
        </w:tc>
        <w:tc>
          <w:tcPr>
            <w:tcW w:w="1159" w:type="dxa"/>
            <w:vAlign w:val="top"/>
          </w:tcPr>
          <w:p>
            <w:pPr>
              <w:pStyle w:val="6"/>
              <w:spacing w:before="113" w:line="186" w:lineRule="auto"/>
              <w:ind w:left="395"/>
            </w:pPr>
            <w:r>
              <w:rPr>
                <w:spacing w:val="-1"/>
              </w:rPr>
              <w:t>4.35</w:t>
            </w:r>
          </w:p>
        </w:tc>
        <w:tc>
          <w:tcPr>
            <w:tcW w:w="1045" w:type="dxa"/>
            <w:vAlign w:val="top"/>
          </w:tcPr>
          <w:p>
            <w:pPr>
              <w:pStyle w:val="6"/>
              <w:spacing w:before="113" w:line="186" w:lineRule="auto"/>
              <w:ind w:left="308"/>
            </w:pPr>
            <w:r>
              <w:rPr>
                <w:spacing w:val="-2"/>
              </w:rPr>
              <w:t>-0.15</w:t>
            </w:r>
          </w:p>
        </w:tc>
        <w:tc>
          <w:tcPr>
            <w:tcW w:w="940" w:type="dxa"/>
            <w:vAlign w:val="top"/>
          </w:tcPr>
          <w:p>
            <w:pPr>
              <w:pStyle w:val="6"/>
              <w:spacing w:before="113" w:line="186" w:lineRule="auto"/>
              <w:ind w:left="291"/>
            </w:pPr>
            <w:r>
              <w:rPr>
                <w:spacing w:val="-2"/>
              </w:rPr>
              <w:t>0.00</w:t>
            </w:r>
          </w:p>
        </w:tc>
        <w:tc>
          <w:tcPr>
            <w:tcW w:w="1297" w:type="dxa"/>
            <w:vAlign w:val="top"/>
          </w:tcPr>
          <w:p>
            <w:pPr>
              <w:pStyle w:val="6"/>
              <w:spacing w:before="113" w:line="186" w:lineRule="auto"/>
              <w:ind w:left="600"/>
            </w:pPr>
            <w:r>
              <w:t>0</w:t>
            </w:r>
          </w:p>
        </w:tc>
        <w:tc>
          <w:tcPr>
            <w:tcW w:w="1137" w:type="dxa"/>
            <w:vAlign w:val="top"/>
          </w:tcPr>
          <w:p>
            <w:pPr>
              <w:pStyle w:val="6"/>
              <w:spacing w:before="113" w:line="186" w:lineRule="auto"/>
              <w:ind w:left="521"/>
            </w:pPr>
            <w:r>
              <w:t>0</w:t>
            </w:r>
          </w:p>
        </w:tc>
        <w:tc>
          <w:tcPr>
            <w:tcW w:w="1110" w:type="dxa"/>
            <w:tcBorders>
              <w:right w:val="nil"/>
            </w:tcBorders>
            <w:vAlign w:val="top"/>
          </w:tcPr>
          <w:p>
            <w:pPr>
              <w:pStyle w:val="6"/>
              <w:spacing w:before="113" w:line="186" w:lineRule="auto"/>
              <w:ind w:left="376"/>
            </w:pPr>
            <w:r>
              <w:rPr>
                <w:spacing w:val="-2"/>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799" w:type="dxa"/>
            <w:tcBorders>
              <w:left w:val="nil"/>
            </w:tcBorders>
            <w:vAlign w:val="top"/>
          </w:tcPr>
          <w:p>
            <w:pPr>
              <w:spacing w:before="77" w:line="200" w:lineRule="auto"/>
              <w:ind w:left="711"/>
              <w:rPr>
                <w:rFonts w:ascii="仿宋" w:hAnsi="仿宋" w:eastAsia="仿宋" w:cs="仿宋"/>
                <w:sz w:val="21"/>
                <w:szCs w:val="21"/>
              </w:rPr>
            </w:pPr>
            <w:r>
              <w:rPr>
                <w:rFonts w:ascii="仿宋" w:hAnsi="仿宋" w:eastAsia="仿宋" w:cs="仿宋"/>
                <w:spacing w:val="-4"/>
                <w:sz w:val="21"/>
                <w:szCs w:val="21"/>
              </w:rPr>
              <w:t>其他</w:t>
            </w:r>
          </w:p>
        </w:tc>
        <w:tc>
          <w:tcPr>
            <w:tcW w:w="1159" w:type="dxa"/>
            <w:vAlign w:val="top"/>
          </w:tcPr>
          <w:p>
            <w:pPr>
              <w:pStyle w:val="6"/>
              <w:spacing w:before="116" w:line="186" w:lineRule="auto"/>
              <w:ind w:left="363"/>
            </w:pPr>
            <w:r>
              <w:rPr>
                <w:spacing w:val="-5"/>
              </w:rPr>
              <w:t>10.24</w:t>
            </w:r>
          </w:p>
        </w:tc>
        <w:tc>
          <w:tcPr>
            <w:tcW w:w="1045" w:type="dxa"/>
            <w:vAlign w:val="top"/>
          </w:tcPr>
          <w:p>
            <w:pPr>
              <w:pStyle w:val="6"/>
              <w:spacing w:before="116" w:line="186" w:lineRule="auto"/>
              <w:ind w:left="361"/>
            </w:pPr>
            <w:r>
              <w:rPr>
                <w:spacing w:val="-3"/>
              </w:rPr>
              <w:t>-0.2</w:t>
            </w:r>
          </w:p>
        </w:tc>
        <w:tc>
          <w:tcPr>
            <w:tcW w:w="940" w:type="dxa"/>
            <w:vAlign w:val="top"/>
          </w:tcPr>
          <w:p>
            <w:pPr>
              <w:pStyle w:val="6"/>
              <w:spacing w:before="116" w:line="186" w:lineRule="auto"/>
              <w:ind w:left="291"/>
            </w:pPr>
            <w:r>
              <w:rPr>
                <w:spacing w:val="-2"/>
              </w:rPr>
              <w:t>0.00</w:t>
            </w:r>
          </w:p>
        </w:tc>
        <w:tc>
          <w:tcPr>
            <w:tcW w:w="1297" w:type="dxa"/>
            <w:vAlign w:val="top"/>
          </w:tcPr>
          <w:p>
            <w:pPr>
              <w:pStyle w:val="6"/>
              <w:spacing w:before="116" w:line="186" w:lineRule="auto"/>
              <w:ind w:left="600"/>
            </w:pPr>
            <w:r>
              <w:t>0</w:t>
            </w:r>
          </w:p>
        </w:tc>
        <w:tc>
          <w:tcPr>
            <w:tcW w:w="1137" w:type="dxa"/>
            <w:vAlign w:val="top"/>
          </w:tcPr>
          <w:p>
            <w:pPr>
              <w:pStyle w:val="6"/>
              <w:spacing w:before="116" w:line="186" w:lineRule="auto"/>
              <w:ind w:left="521"/>
            </w:pPr>
            <w:r>
              <w:t>0</w:t>
            </w:r>
          </w:p>
        </w:tc>
        <w:tc>
          <w:tcPr>
            <w:tcW w:w="1110" w:type="dxa"/>
            <w:tcBorders>
              <w:right w:val="nil"/>
            </w:tcBorders>
            <w:vAlign w:val="top"/>
          </w:tcPr>
          <w:p>
            <w:pPr>
              <w:pStyle w:val="6"/>
              <w:spacing w:before="116" w:line="186" w:lineRule="auto"/>
              <w:ind w:left="376"/>
            </w:pPr>
            <w:r>
              <w:rPr>
                <w:spacing w:val="-2"/>
              </w:rPr>
              <w:t>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1" w:hRule="atLeast"/>
        </w:trPr>
        <w:tc>
          <w:tcPr>
            <w:tcW w:w="1799" w:type="dxa"/>
            <w:tcBorders>
              <w:left w:val="nil"/>
              <w:bottom w:val="single" w:color="000000" w:sz="12" w:space="0"/>
            </w:tcBorders>
            <w:vAlign w:val="top"/>
          </w:tcPr>
          <w:p>
            <w:pPr>
              <w:spacing w:before="80" w:line="218" w:lineRule="auto"/>
              <w:ind w:left="715"/>
              <w:rPr>
                <w:rFonts w:ascii="仿宋" w:hAnsi="仿宋" w:eastAsia="仿宋" w:cs="仿宋"/>
                <w:sz w:val="21"/>
                <w:szCs w:val="21"/>
              </w:rPr>
            </w:pPr>
            <w:r>
              <w:rPr>
                <w:rFonts w:ascii="仿宋" w:hAnsi="仿宋" w:eastAsia="仿宋" w:cs="仿宋"/>
                <w:spacing w:val="-5"/>
                <w:sz w:val="21"/>
                <w:szCs w:val="21"/>
              </w:rPr>
              <w:t>合计</w:t>
            </w:r>
          </w:p>
        </w:tc>
        <w:tc>
          <w:tcPr>
            <w:tcW w:w="1159" w:type="dxa"/>
            <w:tcBorders>
              <w:bottom w:val="single" w:color="000000" w:sz="12" w:space="0"/>
            </w:tcBorders>
            <w:vAlign w:val="top"/>
          </w:tcPr>
          <w:p>
            <w:pPr>
              <w:pStyle w:val="6"/>
              <w:spacing w:before="119" w:line="186" w:lineRule="auto"/>
              <w:ind w:left="299"/>
            </w:pPr>
            <w:r>
              <w:rPr>
                <w:spacing w:val="-3"/>
              </w:rPr>
              <w:t>820.50</w:t>
            </w:r>
          </w:p>
        </w:tc>
        <w:tc>
          <w:tcPr>
            <w:tcW w:w="1045" w:type="dxa"/>
            <w:tcBorders>
              <w:bottom w:val="single" w:color="000000" w:sz="12" w:space="0"/>
            </w:tcBorders>
            <w:vAlign w:val="top"/>
          </w:tcPr>
          <w:p>
            <w:pPr>
              <w:pStyle w:val="6"/>
              <w:spacing w:before="119" w:line="186" w:lineRule="auto"/>
              <w:ind w:left="257"/>
            </w:pPr>
            <w:r>
              <w:rPr>
                <w:spacing w:val="-2"/>
              </w:rPr>
              <w:t>-59.77</w:t>
            </w:r>
          </w:p>
        </w:tc>
        <w:tc>
          <w:tcPr>
            <w:tcW w:w="940" w:type="dxa"/>
            <w:tcBorders>
              <w:bottom w:val="single" w:color="000000" w:sz="12" w:space="0"/>
            </w:tcBorders>
            <w:vAlign w:val="top"/>
          </w:tcPr>
          <w:p>
            <w:pPr>
              <w:rPr>
                <w:rFonts w:ascii="Arial"/>
                <w:sz w:val="21"/>
              </w:rPr>
            </w:pPr>
          </w:p>
        </w:tc>
        <w:tc>
          <w:tcPr>
            <w:tcW w:w="1297" w:type="dxa"/>
            <w:tcBorders>
              <w:bottom w:val="single" w:color="000000" w:sz="12" w:space="0"/>
            </w:tcBorders>
            <w:vAlign w:val="top"/>
          </w:tcPr>
          <w:p>
            <w:pPr>
              <w:pStyle w:val="6"/>
              <w:spacing w:before="119" w:line="186" w:lineRule="auto"/>
              <w:ind w:left="250"/>
            </w:pPr>
            <w:r>
              <w:rPr>
                <w:spacing w:val="-3"/>
              </w:rPr>
              <w:t>10228130</w:t>
            </w:r>
          </w:p>
        </w:tc>
        <w:tc>
          <w:tcPr>
            <w:tcW w:w="1137" w:type="dxa"/>
            <w:tcBorders>
              <w:bottom w:val="single" w:color="000000" w:sz="12" w:space="0"/>
            </w:tcBorders>
            <w:vAlign w:val="top"/>
          </w:tcPr>
          <w:p>
            <w:pPr>
              <w:pStyle w:val="6"/>
              <w:spacing w:before="119" w:line="186" w:lineRule="auto"/>
              <w:ind w:left="225"/>
            </w:pPr>
            <w:r>
              <w:rPr>
                <w:spacing w:val="-2"/>
              </w:rPr>
              <w:t>-937990</w:t>
            </w:r>
          </w:p>
        </w:tc>
        <w:tc>
          <w:tcPr>
            <w:tcW w:w="1110" w:type="dxa"/>
            <w:tcBorders>
              <w:bottom w:val="single" w:color="000000" w:sz="12" w:space="0"/>
              <w:right w:val="nil"/>
            </w:tcBorders>
            <w:vAlign w:val="top"/>
          </w:tcPr>
          <w:p>
            <w:pPr>
              <w:pStyle w:val="6"/>
              <w:spacing w:before="119" w:line="186" w:lineRule="auto"/>
              <w:ind w:left="342"/>
            </w:pPr>
            <w:r>
              <w:rPr>
                <w:spacing w:val="-2"/>
              </w:rPr>
              <w:t>-9.17</w:t>
            </w:r>
          </w:p>
        </w:tc>
      </w:tr>
    </w:tbl>
    <w:p>
      <w:pPr>
        <w:pStyle w:val="2"/>
        <w:spacing w:before="171" w:line="224" w:lineRule="auto"/>
        <w:ind w:left="179"/>
      </w:pPr>
      <w:r>
        <w:rPr>
          <w:rFonts w:ascii="Times New Roman" w:hAnsi="Times New Roman" w:eastAsia="Times New Roman" w:cs="Times New Roman"/>
          <w:b/>
          <w:bCs/>
        </w:rPr>
        <w:t>*</w:t>
      </w:r>
      <w:r>
        <w:rPr>
          <w14:textOutline w14:w="3810" w14:cap="flat" w14:cmpd="sng">
            <w14:solidFill>
              <w14:srgbClr w14:val="000000"/>
            </w14:solidFill>
            <w14:prstDash w14:val="solid"/>
            <w14:miter w14:val="0"/>
          </w14:textOutline>
        </w:rPr>
        <w:t>吴鹏，丁访军，陈骏</w:t>
      </w:r>
      <w:r>
        <w:rPr>
          <w:rFonts w:ascii="Times New Roman" w:hAnsi="Times New Roman" w:eastAsia="Times New Roman" w:cs="Times New Roman"/>
          <w:b/>
          <w:bCs/>
        </w:rPr>
        <w:t xml:space="preserve">.  </w:t>
      </w:r>
      <w:r>
        <w:rPr>
          <w14:textOutline w14:w="3810" w14:cap="flat" w14:cmpd="sng">
            <w14:solidFill>
              <w14:srgbClr w14:val="000000"/>
            </w14:solidFill>
            <w14:prstDash w14:val="solid"/>
            <w14:miter w14:val="0"/>
          </w14:textOutline>
        </w:rPr>
        <w:t>中国西南地区森林生物量及生产力研究综述﹝</w:t>
      </w:r>
      <w:r>
        <w:rPr>
          <w:rFonts w:ascii="Times New Roman" w:hAnsi="Times New Roman" w:eastAsia="Times New Roman" w:cs="Times New Roman"/>
          <w:b/>
          <w:bCs/>
        </w:rPr>
        <w:t>J</w:t>
      </w:r>
      <w:r>
        <w:rPr>
          <w14:textOutline w14:w="3810" w14:cap="flat" w14:cmpd="sng">
            <w14:solidFill>
              <w14:srgbClr w14:val="000000"/>
            </w14:solidFill>
            <w14:prstDash w14:val="solid"/>
            <w14:miter w14:val="0"/>
          </w14:textOutline>
        </w:rPr>
        <w:t>﹞</w:t>
      </w:r>
      <w:r>
        <w:rPr>
          <w:rFonts w:ascii="Times New Roman" w:hAnsi="Times New Roman" w:eastAsia="Times New Roman" w:cs="Times New Roman"/>
          <w:b/>
          <w:bCs/>
        </w:rPr>
        <w:t xml:space="preserve">.  </w:t>
      </w:r>
      <w:r>
        <w:rPr>
          <w14:textOutline w14:w="3810" w14:cap="flat" w14:cmpd="sng">
            <w14:solidFill>
              <w14:srgbClr w14:val="000000"/>
            </w14:solidFill>
            <w14:prstDash w14:val="solid"/>
            <w14:miter w14:val="0"/>
          </w14:textOutline>
        </w:rPr>
        <w:t>湖北农业科</w:t>
      </w:r>
    </w:p>
    <w:p>
      <w:pPr>
        <w:pStyle w:val="2"/>
        <w:spacing w:before="185" w:line="212" w:lineRule="auto"/>
        <w:ind w:left="182"/>
        <w:rPr>
          <w:rFonts w:ascii="Times New Roman" w:hAnsi="Times New Roman" w:eastAsia="Times New Roman" w:cs="Times New Roman"/>
        </w:rPr>
      </w:pPr>
      <w:r>
        <w:rPr>
          <w:spacing w:val="-4"/>
          <w14:textOutline w14:w="3810" w14:cap="flat" w14:cmpd="sng">
            <w14:solidFill>
              <w14:srgbClr w14:val="000000"/>
            </w14:solidFill>
            <w14:prstDash w14:val="solid"/>
            <w14:miter w14:val="0"/>
          </w14:textOutline>
        </w:rPr>
        <w:t>学，</w:t>
      </w:r>
      <w:r>
        <w:rPr>
          <w:spacing w:val="76"/>
        </w:rPr>
        <w:t xml:space="preserve"> </w:t>
      </w:r>
      <w:r>
        <w:rPr>
          <w:rFonts w:ascii="Times New Roman" w:hAnsi="Times New Roman" w:eastAsia="Times New Roman" w:cs="Times New Roman"/>
          <w:b/>
          <w:bCs/>
          <w:spacing w:val="-4"/>
        </w:rPr>
        <w:t>2012</w:t>
      </w:r>
      <w:r>
        <w:rPr>
          <w:rFonts w:ascii="Times New Roman" w:hAnsi="Times New Roman" w:eastAsia="Times New Roman" w:cs="Times New Roman"/>
          <w:b/>
          <w:bCs/>
          <w:spacing w:val="-23"/>
        </w:rPr>
        <w:t xml:space="preserve"> </w:t>
      </w:r>
      <w:r>
        <w:rPr>
          <w:spacing w:val="-4"/>
          <w14:textOutline w14:w="3810" w14:cap="flat" w14:cmpd="sng">
            <w14:solidFill>
              <w14:srgbClr w14:val="000000"/>
            </w14:solidFill>
            <w14:prstDash w14:val="solid"/>
            <w14:miter w14:val="0"/>
          </w14:textOutline>
        </w:rPr>
        <w:t>，</w:t>
      </w:r>
      <w:r>
        <w:rPr>
          <w:spacing w:val="-4"/>
        </w:rPr>
        <w:t xml:space="preserve"> </w:t>
      </w:r>
      <w:r>
        <w:rPr>
          <w:rFonts w:ascii="Times New Roman" w:hAnsi="Times New Roman" w:eastAsia="Times New Roman" w:cs="Times New Roman"/>
          <w:b/>
          <w:bCs/>
          <w:spacing w:val="-4"/>
        </w:rPr>
        <w:t>051</w:t>
      </w:r>
      <w:r>
        <w:rPr>
          <w:spacing w:val="-4"/>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4"/>
        </w:rPr>
        <w:t>008</w:t>
      </w:r>
      <w:r>
        <w:rPr>
          <w:spacing w:val="-4"/>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4"/>
        </w:rPr>
        <w:t>:15</w:t>
      </w:r>
      <w:r>
        <w:rPr>
          <w:rFonts w:ascii="Times New Roman" w:hAnsi="Times New Roman" w:eastAsia="Times New Roman" w:cs="Times New Roman"/>
          <w:b/>
          <w:bCs/>
          <w:spacing w:val="-5"/>
        </w:rPr>
        <w:t>13-1518.</w:t>
      </w:r>
    </w:p>
    <w:p>
      <w:pPr>
        <w:spacing w:before="62" w:line="220" w:lineRule="auto"/>
        <w:ind w:left="66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）对生态系统生产力的影响</w:t>
      </w:r>
    </w:p>
    <w:p>
      <w:pPr>
        <w:spacing w:before="259" w:line="360" w:lineRule="auto"/>
        <w:ind w:left="177" w:right="153" w:firstLine="480"/>
        <w:jc w:val="both"/>
        <w:rPr>
          <w:rFonts w:ascii="宋体" w:hAnsi="宋体" w:eastAsia="宋体" w:cs="宋体"/>
          <w:sz w:val="24"/>
          <w:szCs w:val="24"/>
        </w:rPr>
      </w:pPr>
      <w:r>
        <w:rPr>
          <w:rFonts w:ascii="宋体" w:hAnsi="宋体" w:eastAsia="宋体" w:cs="宋体"/>
          <w:spacing w:val="-4"/>
          <w:sz w:val="24"/>
          <w:szCs w:val="24"/>
        </w:rPr>
        <w:t>价区面积</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820.50hm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，其生态系统总的生产力约为</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486</w:t>
      </w:r>
      <w:r>
        <w:rPr>
          <w:rFonts w:ascii="Times New Roman" w:hAnsi="Times New Roman" w:eastAsia="Times New Roman" w:cs="Times New Roman"/>
          <w:spacing w:val="-5"/>
          <w:sz w:val="24"/>
          <w:szCs w:val="24"/>
        </w:rPr>
        <w:t>7.45t/a</w:t>
      </w:r>
      <w:r>
        <w:rPr>
          <w:rFonts w:ascii="宋体" w:hAnsi="宋体" w:eastAsia="宋体" w:cs="宋体"/>
          <w:spacing w:val="-5"/>
          <w:sz w:val="24"/>
          <w:szCs w:val="24"/>
        </w:rPr>
        <w:t>（干重）。由于</w:t>
      </w:r>
      <w:r>
        <w:rPr>
          <w:rFonts w:ascii="宋体" w:hAnsi="宋体" w:eastAsia="宋体" w:cs="宋体"/>
          <w:sz w:val="24"/>
          <w:szCs w:val="24"/>
        </w:rPr>
        <w:t xml:space="preserve"> </w:t>
      </w:r>
      <w:r>
        <w:rPr>
          <w:rFonts w:ascii="宋体" w:hAnsi="宋体" w:eastAsia="宋体" w:cs="宋体"/>
          <w:spacing w:val="-8"/>
          <w:sz w:val="24"/>
          <w:szCs w:val="24"/>
        </w:rPr>
        <w:t>拟建项目占用植被，</w:t>
      </w:r>
      <w:r>
        <w:rPr>
          <w:rFonts w:ascii="宋体" w:hAnsi="宋体" w:eastAsia="宋体" w:cs="宋体"/>
          <w:spacing w:val="-45"/>
          <w:sz w:val="24"/>
          <w:szCs w:val="24"/>
        </w:rPr>
        <w:t xml:space="preserve"> </w:t>
      </w:r>
      <w:r>
        <w:rPr>
          <w:rFonts w:ascii="宋体" w:hAnsi="宋体" w:eastAsia="宋体" w:cs="宋体"/>
          <w:spacing w:val="-8"/>
          <w:sz w:val="24"/>
          <w:szCs w:val="24"/>
        </w:rPr>
        <w:t xml:space="preserve">将减少评价区生态系统的生产力， </w:t>
      </w:r>
      <w:r>
        <w:rPr>
          <w:rFonts w:ascii="宋体" w:hAnsi="宋体" w:eastAsia="宋体" w:cs="宋体"/>
          <w:spacing w:val="-9"/>
          <w:sz w:val="24"/>
          <w:szCs w:val="24"/>
        </w:rPr>
        <w:t>但项目建设将增加水域面</w:t>
      </w:r>
      <w:r>
        <w:rPr>
          <w:rFonts w:ascii="宋体" w:hAnsi="宋体" w:eastAsia="宋体" w:cs="宋体"/>
          <w:sz w:val="24"/>
          <w:szCs w:val="24"/>
        </w:rPr>
        <w:t xml:space="preserve"> </w:t>
      </w:r>
      <w:r>
        <w:rPr>
          <w:rFonts w:ascii="宋体" w:hAnsi="宋体" w:eastAsia="宋体" w:cs="宋体"/>
          <w:spacing w:val="-6"/>
          <w:sz w:val="24"/>
          <w:szCs w:val="24"/>
        </w:rPr>
        <w:t>积对当地生态系统的物质循环和能量流动产生一定积极的影响；</w:t>
      </w:r>
      <w:r>
        <w:rPr>
          <w:rFonts w:ascii="宋体" w:hAnsi="宋体" w:eastAsia="宋体" w:cs="宋体"/>
          <w:spacing w:val="-7"/>
          <w:sz w:val="24"/>
          <w:szCs w:val="24"/>
        </w:rPr>
        <w:t xml:space="preserve"> 由此使评价区生</w:t>
      </w:r>
      <w:r>
        <w:rPr>
          <w:rFonts w:ascii="宋体" w:hAnsi="宋体" w:eastAsia="宋体" w:cs="宋体"/>
          <w:sz w:val="24"/>
          <w:szCs w:val="24"/>
        </w:rPr>
        <w:t xml:space="preserve"> </w:t>
      </w:r>
      <w:r>
        <w:rPr>
          <w:rFonts w:ascii="宋体" w:hAnsi="宋体" w:eastAsia="宋体" w:cs="宋体"/>
          <w:spacing w:val="-3"/>
          <w:sz w:val="24"/>
          <w:szCs w:val="24"/>
        </w:rPr>
        <w:t>态系统生物生产力减少约</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575.77t/a</w:t>
      </w:r>
      <w:r>
        <w:rPr>
          <w:rFonts w:ascii="宋体" w:hAnsi="宋体" w:eastAsia="宋体" w:cs="宋体"/>
          <w:spacing w:val="-3"/>
          <w:sz w:val="24"/>
          <w:szCs w:val="24"/>
        </w:rPr>
        <w:t>（干重</w:t>
      </w:r>
      <w:r>
        <w:rPr>
          <w:rFonts w:ascii="宋体" w:hAnsi="宋体" w:eastAsia="宋体" w:cs="宋体"/>
          <w:spacing w:val="-17"/>
          <w:sz w:val="24"/>
          <w:szCs w:val="24"/>
        </w:rPr>
        <w:t>），</w:t>
      </w:r>
      <w:r>
        <w:rPr>
          <w:rFonts w:ascii="宋体" w:hAnsi="宋体" w:eastAsia="宋体" w:cs="宋体"/>
          <w:spacing w:val="-3"/>
          <w:sz w:val="24"/>
          <w:szCs w:val="24"/>
        </w:rPr>
        <w:t>评价区生态系统植被生产</w:t>
      </w:r>
      <w:r>
        <w:rPr>
          <w:rFonts w:ascii="宋体" w:hAnsi="宋体" w:eastAsia="宋体" w:cs="宋体"/>
          <w:spacing w:val="-4"/>
          <w:sz w:val="24"/>
          <w:szCs w:val="24"/>
        </w:rPr>
        <w:t>力的变化</w:t>
      </w:r>
    </w:p>
    <w:p>
      <w:pPr>
        <w:spacing w:before="1" w:line="219" w:lineRule="auto"/>
        <w:ind w:left="179"/>
        <w:rPr>
          <w:rFonts w:ascii="宋体" w:hAnsi="宋体" w:eastAsia="宋体" w:cs="宋体"/>
          <w:sz w:val="24"/>
          <w:szCs w:val="24"/>
        </w:rPr>
      </w:pPr>
      <w:r>
        <w:rPr>
          <w:rFonts w:ascii="宋体" w:hAnsi="宋体" w:eastAsia="宋体" w:cs="宋体"/>
          <w:spacing w:val="-6"/>
          <w:sz w:val="24"/>
          <w:szCs w:val="24"/>
        </w:rPr>
        <w:t>率为</w:t>
      </w:r>
      <w:r>
        <w:rPr>
          <w:rFonts w:ascii="宋体" w:hAnsi="宋体" w:eastAsia="宋体" w:cs="宋体"/>
          <w:spacing w:val="-27"/>
          <w:sz w:val="24"/>
          <w:szCs w:val="24"/>
        </w:rPr>
        <w:t xml:space="preserve"> </w:t>
      </w:r>
      <w:r>
        <w:rPr>
          <w:rFonts w:ascii="Times New Roman" w:hAnsi="Times New Roman" w:eastAsia="Times New Roman" w:cs="Times New Roman"/>
          <w:spacing w:val="-6"/>
          <w:sz w:val="24"/>
          <w:szCs w:val="24"/>
        </w:rPr>
        <w:t>11.83</w:t>
      </w:r>
      <w:r>
        <w:rPr>
          <w:rFonts w:ascii="宋体" w:hAnsi="宋体" w:eastAsia="宋体" w:cs="宋体"/>
          <w:spacing w:val="-6"/>
          <w:sz w:val="24"/>
          <w:szCs w:val="24"/>
        </w:rPr>
        <w:t>％。</w:t>
      </w:r>
    </w:p>
    <w:p>
      <w:pPr>
        <w:pStyle w:val="2"/>
        <w:spacing w:before="241" w:line="218" w:lineRule="auto"/>
        <w:ind w:left="2506"/>
      </w:pPr>
      <w:r>
        <w:rPr>
          <w:spacing w:val="-1"/>
          <w14:textOutline w14:w="3810" w14:cap="flat" w14:cmpd="sng">
            <w14:solidFill>
              <w14:srgbClr w14:val="000000"/>
            </w14:solidFill>
            <w14:prstDash w14:val="solid"/>
            <w14:miter w14:val="0"/>
          </w14:textOutline>
        </w:rPr>
        <w:t>表</w:t>
      </w:r>
      <w:r>
        <w:rPr>
          <w:spacing w:val="-29"/>
        </w:rPr>
        <w:t xml:space="preserve"> </w:t>
      </w:r>
      <w:r>
        <w:rPr>
          <w:rFonts w:ascii="Times New Roman" w:hAnsi="Times New Roman" w:eastAsia="Times New Roman" w:cs="Times New Roman"/>
          <w:b/>
          <w:bCs/>
          <w:spacing w:val="-1"/>
        </w:rPr>
        <w:t xml:space="preserve">4.4-6    </w:t>
      </w:r>
      <w:r>
        <w:rPr>
          <w:spacing w:val="-1"/>
          <w14:textOutline w14:w="3810" w14:cap="flat" w14:cmpd="sng">
            <w14:solidFill>
              <w14:srgbClr w14:val="000000"/>
            </w14:solidFill>
            <w14:prstDash w14:val="solid"/>
            <w14:miter w14:val="0"/>
          </w14:textOutline>
        </w:rPr>
        <w:t>生态系统每年永久变化的生产量表</w:t>
      </w:r>
    </w:p>
    <w:p>
      <w:pPr>
        <w:spacing w:line="19" w:lineRule="exact"/>
      </w:pPr>
    </w:p>
    <w:tbl>
      <w:tblPr>
        <w:tblStyle w:val="5"/>
        <w:tblW w:w="862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8"/>
        <w:gridCol w:w="1134"/>
        <w:gridCol w:w="1248"/>
        <w:gridCol w:w="1162"/>
        <w:gridCol w:w="1134"/>
        <w:gridCol w:w="1134"/>
        <w:gridCol w:w="10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4" w:hRule="atLeast"/>
        </w:trPr>
        <w:tc>
          <w:tcPr>
            <w:tcW w:w="1728" w:type="dxa"/>
            <w:tcBorders>
              <w:top w:val="single" w:color="000000" w:sz="12" w:space="0"/>
              <w:left w:val="nil"/>
            </w:tcBorders>
            <w:vAlign w:val="top"/>
          </w:tcPr>
          <w:p>
            <w:pPr>
              <w:spacing w:line="293" w:lineRule="auto"/>
              <w:rPr>
                <w:rFonts w:ascii="Arial"/>
                <w:sz w:val="21"/>
              </w:rPr>
            </w:pPr>
          </w:p>
          <w:p>
            <w:pPr>
              <w:spacing w:before="68" w:line="220" w:lineRule="auto"/>
              <w:ind w:left="47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生态系统</w:t>
            </w:r>
          </w:p>
        </w:tc>
        <w:tc>
          <w:tcPr>
            <w:tcW w:w="1134" w:type="dxa"/>
            <w:tcBorders>
              <w:top w:val="single" w:color="000000" w:sz="12" w:space="0"/>
            </w:tcBorders>
            <w:vAlign w:val="top"/>
          </w:tcPr>
          <w:p>
            <w:pPr>
              <w:pStyle w:val="6"/>
              <w:spacing w:before="207" w:line="260" w:lineRule="auto"/>
              <w:ind w:left="185" w:right="142" w:hanging="30"/>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植被面积</w:t>
            </w:r>
            <w:r>
              <w:rPr>
                <w:rFonts w:ascii="仿宋" w:hAnsi="仿宋" w:eastAsia="仿宋" w:cs="仿宋"/>
                <w:spacing w:val="1"/>
              </w:rPr>
              <w:t xml:space="preserve"> </w:t>
            </w:r>
            <w:r>
              <w:rPr>
                <w:rFonts w:ascii="仿宋" w:hAnsi="仿宋" w:eastAsia="仿宋" w:cs="仿宋"/>
                <w:spacing w:val="-3"/>
                <w14:textOutline w14:w="3810" w14:cap="flat" w14:cmpd="sng">
                  <w14:solidFill>
                    <w14:srgbClr w14:val="000000"/>
                  </w14:solidFill>
                  <w14:prstDash w14:val="solid"/>
                  <w14:miter w14:val="0"/>
                </w14:textOutline>
              </w:rPr>
              <w:t>（</w:t>
            </w:r>
            <w:r>
              <w:rPr>
                <w:b/>
                <w:bCs/>
                <w:spacing w:val="-3"/>
              </w:rPr>
              <w:t>hm</w:t>
            </w:r>
            <w:r>
              <w:rPr>
                <w:b/>
                <w:bCs/>
                <w:spacing w:val="-3"/>
                <w:position w:val="6"/>
                <w:sz w:val="14"/>
                <w:szCs w:val="14"/>
              </w:rPr>
              <w:t>2</w:t>
            </w:r>
            <w:r>
              <w:rPr>
                <w:rFonts w:ascii="仿宋" w:hAnsi="仿宋" w:eastAsia="仿宋" w:cs="仿宋"/>
                <w:spacing w:val="-3"/>
                <w14:textOutline w14:w="3810" w14:cap="flat" w14:cmpd="sng">
                  <w14:solidFill>
                    <w14:srgbClr w14:val="000000"/>
                  </w14:solidFill>
                  <w14:prstDash w14:val="solid"/>
                  <w14:miter w14:val="0"/>
                </w14:textOutline>
              </w:rPr>
              <w:t>）</w:t>
            </w:r>
          </w:p>
        </w:tc>
        <w:tc>
          <w:tcPr>
            <w:tcW w:w="1248" w:type="dxa"/>
            <w:tcBorders>
              <w:top w:val="single" w:color="000000" w:sz="12" w:space="0"/>
            </w:tcBorders>
            <w:vAlign w:val="top"/>
          </w:tcPr>
          <w:p>
            <w:pPr>
              <w:pStyle w:val="6"/>
              <w:spacing w:before="208" w:line="253" w:lineRule="auto"/>
              <w:ind w:left="139" w:right="139" w:firstLine="80"/>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变化的面</w:t>
            </w:r>
            <w:r>
              <w:rPr>
                <w:rFonts w:ascii="仿宋" w:hAnsi="仿宋" w:eastAsia="仿宋" w:cs="仿宋"/>
                <w:spacing w:val="2"/>
              </w:rPr>
              <w:t xml:space="preserve"> </w:t>
            </w:r>
            <w:r>
              <w:rPr>
                <w:rFonts w:ascii="仿宋" w:hAnsi="仿宋" w:eastAsia="仿宋" w:cs="仿宋"/>
                <w:spacing w:val="-5"/>
                <w14:textOutline w14:w="3810" w14:cap="flat" w14:cmpd="sng">
                  <w14:solidFill>
                    <w14:srgbClr w14:val="000000"/>
                  </w14:solidFill>
                  <w14:prstDash w14:val="solid"/>
                  <w14:miter w14:val="0"/>
                </w14:textOutline>
              </w:rPr>
              <w:t>积（</w:t>
            </w:r>
            <w:r>
              <w:rPr>
                <w:b/>
                <w:bCs/>
                <w:spacing w:val="-5"/>
              </w:rPr>
              <w:t>hm</w:t>
            </w:r>
            <w:r>
              <w:rPr>
                <w:b/>
                <w:bCs/>
                <w:spacing w:val="-5"/>
                <w:position w:val="6"/>
                <w:sz w:val="14"/>
                <w:szCs w:val="14"/>
              </w:rPr>
              <w:t>2</w:t>
            </w:r>
            <w:r>
              <w:rPr>
                <w:rFonts w:ascii="仿宋" w:hAnsi="仿宋" w:eastAsia="仿宋" w:cs="仿宋"/>
                <w:spacing w:val="-5"/>
                <w14:textOutline w14:w="3810" w14:cap="flat" w14:cmpd="sng">
                  <w14:solidFill>
                    <w14:srgbClr w14:val="000000"/>
                  </w14:solidFill>
                  <w14:prstDash w14:val="solid"/>
                  <w14:miter w14:val="0"/>
                </w14:textOutline>
              </w:rPr>
              <w:t>）</w:t>
            </w:r>
          </w:p>
        </w:tc>
        <w:tc>
          <w:tcPr>
            <w:tcW w:w="1162" w:type="dxa"/>
            <w:tcBorders>
              <w:top w:val="single" w:color="000000" w:sz="12" w:space="0"/>
            </w:tcBorders>
            <w:vAlign w:val="top"/>
          </w:tcPr>
          <w:p>
            <w:pPr>
              <w:pStyle w:val="6"/>
              <w:spacing w:before="206" w:line="245" w:lineRule="auto"/>
              <w:ind w:left="114" w:right="103" w:firstLine="57"/>
            </w:pPr>
            <w:r>
              <w:rPr>
                <w:rFonts w:ascii="仿宋" w:hAnsi="仿宋" w:eastAsia="仿宋" w:cs="仿宋"/>
                <w:spacing w:val="-3"/>
                <w14:textOutline w14:w="3810" w14:cap="flat" w14:cmpd="sng">
                  <w14:solidFill>
                    <w14:srgbClr w14:val="000000"/>
                  </w14:solidFill>
                  <w14:prstDash w14:val="solid"/>
                  <w14:miter w14:val="0"/>
                </w14:textOutline>
              </w:rPr>
              <w:t>净生产力</w:t>
            </w:r>
            <w:r>
              <w:rPr>
                <w:rFonts w:ascii="仿宋" w:hAnsi="仿宋" w:eastAsia="仿宋" w:cs="仿宋"/>
              </w:rPr>
              <w:t xml:space="preserve"> </w:t>
            </w:r>
            <w:r>
              <w:rPr>
                <w:b/>
                <w:bCs/>
                <w:spacing w:val="-1"/>
              </w:rPr>
              <w:t>(t/a</w:t>
            </w:r>
            <w:r>
              <w:rPr>
                <w:rFonts w:ascii="仿宋" w:hAnsi="仿宋" w:eastAsia="仿宋" w:cs="仿宋"/>
                <w:spacing w:val="-1"/>
                <w14:textOutline w14:w="3810" w14:cap="flat" w14:cmpd="sng">
                  <w14:solidFill>
                    <w14:srgbClr w14:val="000000"/>
                  </w14:solidFill>
                  <w14:prstDash w14:val="solid"/>
                  <w14:miter w14:val="0"/>
                </w14:textOutline>
              </w:rPr>
              <w:t>·</w:t>
            </w:r>
            <w:r>
              <w:rPr>
                <w:b/>
                <w:bCs/>
                <w:spacing w:val="-1"/>
              </w:rPr>
              <w:t>hm</w:t>
            </w:r>
            <w:r>
              <w:rPr>
                <w:b/>
                <w:bCs/>
                <w:spacing w:val="-1"/>
                <w:position w:val="6"/>
                <w:sz w:val="14"/>
                <w:szCs w:val="14"/>
              </w:rPr>
              <w:t>2</w:t>
            </w:r>
            <w:r>
              <w:rPr>
                <w:b/>
                <w:bCs/>
                <w:spacing w:val="-1"/>
              </w:rPr>
              <w:t>)</w:t>
            </w:r>
          </w:p>
        </w:tc>
        <w:tc>
          <w:tcPr>
            <w:tcW w:w="1134" w:type="dxa"/>
            <w:tcBorders>
              <w:top w:val="single" w:color="000000" w:sz="12" w:space="0"/>
            </w:tcBorders>
            <w:vAlign w:val="top"/>
          </w:tcPr>
          <w:p>
            <w:pPr>
              <w:pStyle w:val="6"/>
              <w:spacing w:before="50" w:line="256" w:lineRule="auto"/>
              <w:ind w:left="156" w:right="142"/>
              <w:jc w:val="both"/>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评价区植</w:t>
            </w:r>
            <w:r>
              <w:rPr>
                <w:rFonts w:ascii="仿宋" w:hAnsi="仿宋" w:eastAsia="仿宋" w:cs="仿宋"/>
              </w:rPr>
              <w:t xml:space="preserve"> </w:t>
            </w:r>
            <w:r>
              <w:rPr>
                <w:rFonts w:ascii="仿宋" w:hAnsi="仿宋" w:eastAsia="仿宋" w:cs="仿宋"/>
                <w:spacing w:val="-3"/>
                <w14:textOutline w14:w="3810" w14:cap="flat" w14:cmpd="sng">
                  <w14:solidFill>
                    <w14:srgbClr w14:val="000000"/>
                  </w14:solidFill>
                  <w14:prstDash w14:val="solid"/>
                  <w14:miter w14:val="0"/>
                </w14:textOutline>
              </w:rPr>
              <w:t>被生产力</w:t>
            </w:r>
            <w:r>
              <w:rPr>
                <w:rFonts w:ascii="仿宋" w:hAnsi="仿宋" w:eastAsia="仿宋" w:cs="仿宋"/>
              </w:rPr>
              <w:t xml:space="preserve"> </w:t>
            </w:r>
            <w:r>
              <w:rPr>
                <w:rFonts w:ascii="仿宋" w:hAnsi="仿宋" w:eastAsia="仿宋" w:cs="仿宋"/>
                <w:spacing w:val="16"/>
                <w14:textOutline w14:w="3810" w14:cap="flat" w14:cmpd="sng">
                  <w14:solidFill>
                    <w14:srgbClr w14:val="000000"/>
                  </w14:solidFill>
                  <w14:prstDash w14:val="solid"/>
                  <w14:miter w14:val="0"/>
                </w14:textOutline>
              </w:rPr>
              <w:t>（</w:t>
            </w:r>
            <w:r>
              <w:rPr>
                <w:b/>
                <w:bCs/>
                <w:spacing w:val="16"/>
              </w:rPr>
              <w:t>t/a</w:t>
            </w:r>
            <w:r>
              <w:rPr>
                <w:rFonts w:ascii="仿宋" w:hAnsi="仿宋" w:eastAsia="仿宋" w:cs="仿宋"/>
                <w:spacing w:val="16"/>
                <w14:textOutline w14:w="3810" w14:cap="flat" w14:cmpd="sng">
                  <w14:solidFill>
                    <w14:srgbClr w14:val="000000"/>
                  </w14:solidFill>
                  <w14:prstDash w14:val="solid"/>
                  <w14:miter w14:val="0"/>
                </w14:textOutline>
              </w:rPr>
              <w:t>）</w:t>
            </w:r>
          </w:p>
        </w:tc>
        <w:tc>
          <w:tcPr>
            <w:tcW w:w="1134" w:type="dxa"/>
            <w:tcBorders>
              <w:top w:val="single" w:color="000000" w:sz="12" w:space="0"/>
            </w:tcBorders>
            <w:vAlign w:val="top"/>
          </w:tcPr>
          <w:p>
            <w:pPr>
              <w:pStyle w:val="6"/>
              <w:spacing w:before="50" w:line="256" w:lineRule="auto"/>
              <w:ind w:left="156" w:right="142" w:firstLine="6"/>
              <w:jc w:val="both"/>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变化的植</w:t>
            </w:r>
            <w:r>
              <w:rPr>
                <w:rFonts w:ascii="仿宋" w:hAnsi="仿宋" w:eastAsia="仿宋" w:cs="仿宋"/>
                <w:spacing w:val="2"/>
              </w:rPr>
              <w:t xml:space="preserve"> </w:t>
            </w:r>
            <w:r>
              <w:rPr>
                <w:rFonts w:ascii="仿宋" w:hAnsi="仿宋" w:eastAsia="仿宋" w:cs="仿宋"/>
                <w:spacing w:val="-3"/>
                <w14:textOutline w14:w="3810" w14:cap="flat" w14:cmpd="sng">
                  <w14:solidFill>
                    <w14:srgbClr w14:val="000000"/>
                  </w14:solidFill>
                  <w14:prstDash w14:val="solid"/>
                  <w14:miter w14:val="0"/>
                </w14:textOutline>
              </w:rPr>
              <w:t>被生产力</w:t>
            </w:r>
            <w:r>
              <w:rPr>
                <w:rFonts w:ascii="仿宋" w:hAnsi="仿宋" w:eastAsia="仿宋" w:cs="仿宋"/>
              </w:rPr>
              <w:t xml:space="preserve"> </w:t>
            </w:r>
            <w:r>
              <w:rPr>
                <w:rFonts w:ascii="仿宋" w:hAnsi="仿宋" w:eastAsia="仿宋" w:cs="仿宋"/>
                <w:spacing w:val="16"/>
                <w14:textOutline w14:w="3810" w14:cap="flat" w14:cmpd="sng">
                  <w14:solidFill>
                    <w14:srgbClr w14:val="000000"/>
                  </w14:solidFill>
                  <w14:prstDash w14:val="solid"/>
                  <w14:miter w14:val="0"/>
                </w14:textOutline>
              </w:rPr>
              <w:t>（</w:t>
            </w:r>
            <w:r>
              <w:rPr>
                <w:b/>
                <w:bCs/>
                <w:spacing w:val="16"/>
              </w:rPr>
              <w:t>t/a</w:t>
            </w:r>
            <w:r>
              <w:rPr>
                <w:rFonts w:ascii="仿宋" w:hAnsi="仿宋" w:eastAsia="仿宋" w:cs="仿宋"/>
                <w:spacing w:val="16"/>
                <w14:textOutline w14:w="3810" w14:cap="flat" w14:cmpd="sng">
                  <w14:solidFill>
                    <w14:srgbClr w14:val="000000"/>
                  </w14:solidFill>
                  <w14:prstDash w14:val="solid"/>
                  <w14:miter w14:val="0"/>
                </w14:textOutline>
              </w:rPr>
              <w:t>）</w:t>
            </w:r>
          </w:p>
        </w:tc>
        <w:tc>
          <w:tcPr>
            <w:tcW w:w="1088" w:type="dxa"/>
            <w:tcBorders>
              <w:top w:val="single" w:color="000000" w:sz="12" w:space="0"/>
              <w:right w:val="nil"/>
            </w:tcBorders>
            <w:vAlign w:val="top"/>
          </w:tcPr>
          <w:p>
            <w:pPr>
              <w:pStyle w:val="6"/>
              <w:spacing w:before="207" w:line="260" w:lineRule="auto"/>
              <w:ind w:left="239" w:right="121" w:hanging="69"/>
              <w:rPr>
                <w:rFonts w:ascii="仿宋" w:hAnsi="仿宋" w:eastAsia="仿宋" w:cs="仿宋"/>
              </w:rPr>
            </w:pPr>
            <w:r>
              <w:rPr>
                <w:rFonts w:ascii="仿宋" w:hAnsi="仿宋" w:eastAsia="仿宋" w:cs="仿宋"/>
                <w:spacing w:val="-12"/>
                <w14:textOutline w14:w="3810" w14:cap="flat" w14:cmpd="sng">
                  <w14:solidFill>
                    <w14:srgbClr w14:val="000000"/>
                  </w14:solidFill>
                  <w14:prstDash w14:val="solid"/>
                  <w14:miter w14:val="0"/>
                </w14:textOutline>
              </w:rPr>
              <w:t>占评价区</w:t>
            </w:r>
            <w:r>
              <w:rPr>
                <w:rFonts w:ascii="仿宋" w:hAnsi="仿宋" w:eastAsia="仿宋" w:cs="仿宋"/>
              </w:rPr>
              <w:t xml:space="preserve"> </w:t>
            </w: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w:t>
            </w:r>
            <w:r>
              <w:rPr>
                <w:rFonts w:ascii="仿宋" w:hAnsi="仿宋" w:eastAsia="仿宋" w:cs="仿宋"/>
                <w:spacing w:val="-5"/>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728" w:type="dxa"/>
            <w:tcBorders>
              <w:left w:val="nil"/>
            </w:tcBorders>
            <w:vAlign w:val="top"/>
          </w:tcPr>
          <w:p>
            <w:pPr>
              <w:spacing w:before="58" w:line="216" w:lineRule="auto"/>
              <w:ind w:left="371"/>
              <w:rPr>
                <w:rFonts w:ascii="仿宋" w:hAnsi="仿宋" w:eastAsia="仿宋" w:cs="仿宋"/>
                <w:sz w:val="21"/>
                <w:szCs w:val="21"/>
              </w:rPr>
            </w:pPr>
            <w:r>
              <w:rPr>
                <w:rFonts w:ascii="仿宋" w:hAnsi="仿宋" w:eastAsia="仿宋" w:cs="仿宋"/>
                <w:spacing w:val="-5"/>
                <w:sz w:val="21"/>
                <w:szCs w:val="21"/>
              </w:rPr>
              <w:t>常绿阔叶林</w:t>
            </w:r>
          </w:p>
        </w:tc>
        <w:tc>
          <w:tcPr>
            <w:tcW w:w="1134" w:type="dxa"/>
            <w:vAlign w:val="top"/>
          </w:tcPr>
          <w:p>
            <w:pPr>
              <w:pStyle w:val="6"/>
              <w:spacing w:before="94" w:line="188" w:lineRule="auto"/>
              <w:ind w:left="336"/>
            </w:pPr>
            <w:r>
              <w:rPr>
                <w:spacing w:val="-2"/>
              </w:rPr>
              <w:t>34.38</w:t>
            </w:r>
          </w:p>
        </w:tc>
        <w:tc>
          <w:tcPr>
            <w:tcW w:w="1248" w:type="dxa"/>
            <w:vAlign w:val="top"/>
          </w:tcPr>
          <w:p>
            <w:pPr>
              <w:pStyle w:val="6"/>
              <w:spacing w:before="94" w:line="188" w:lineRule="auto"/>
              <w:ind w:left="410"/>
            </w:pPr>
            <w:r>
              <w:rPr>
                <w:spacing w:val="-2"/>
              </w:rPr>
              <w:t>-2.09</w:t>
            </w:r>
          </w:p>
        </w:tc>
        <w:tc>
          <w:tcPr>
            <w:tcW w:w="1162" w:type="dxa"/>
            <w:vAlign w:val="top"/>
          </w:tcPr>
          <w:p>
            <w:pPr>
              <w:pStyle w:val="6"/>
              <w:spacing w:before="94" w:line="188" w:lineRule="auto"/>
              <w:ind w:left="502"/>
            </w:pPr>
            <w:r>
              <w:rPr>
                <w:spacing w:val="-9"/>
              </w:rPr>
              <w:t>11</w:t>
            </w:r>
          </w:p>
        </w:tc>
        <w:tc>
          <w:tcPr>
            <w:tcW w:w="1134" w:type="dxa"/>
            <w:vAlign w:val="top"/>
          </w:tcPr>
          <w:p>
            <w:pPr>
              <w:pStyle w:val="6"/>
              <w:spacing w:before="94" w:line="188" w:lineRule="auto"/>
              <w:ind w:left="284"/>
            </w:pPr>
            <w:r>
              <w:rPr>
                <w:spacing w:val="-2"/>
              </w:rPr>
              <w:t>378.18</w:t>
            </w:r>
          </w:p>
        </w:tc>
        <w:tc>
          <w:tcPr>
            <w:tcW w:w="1134" w:type="dxa"/>
            <w:vAlign w:val="top"/>
          </w:tcPr>
          <w:p>
            <w:pPr>
              <w:pStyle w:val="6"/>
              <w:spacing w:before="94" w:line="188" w:lineRule="auto"/>
              <w:ind w:left="301"/>
            </w:pPr>
            <w:r>
              <w:rPr>
                <w:spacing w:val="-2"/>
              </w:rPr>
              <w:t>-22.99</w:t>
            </w:r>
          </w:p>
        </w:tc>
        <w:tc>
          <w:tcPr>
            <w:tcW w:w="1088" w:type="dxa"/>
            <w:tcBorders>
              <w:right w:val="nil"/>
            </w:tcBorders>
            <w:vAlign w:val="top"/>
          </w:tcPr>
          <w:p>
            <w:pPr>
              <w:pStyle w:val="6"/>
              <w:spacing w:before="94" w:line="188" w:lineRule="auto"/>
              <w:ind w:left="331"/>
            </w:pPr>
            <w:r>
              <w:rPr>
                <w:spacing w:val="-2"/>
              </w:rPr>
              <w:t>-6.08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728" w:type="dxa"/>
            <w:tcBorders>
              <w:left w:val="nil"/>
            </w:tcBorders>
            <w:vAlign w:val="top"/>
          </w:tcPr>
          <w:p>
            <w:pPr>
              <w:spacing w:before="60" w:line="214" w:lineRule="auto"/>
              <w:ind w:left="147"/>
              <w:rPr>
                <w:rFonts w:ascii="仿宋" w:hAnsi="仿宋" w:eastAsia="仿宋" w:cs="仿宋"/>
                <w:sz w:val="21"/>
                <w:szCs w:val="21"/>
              </w:rPr>
            </w:pPr>
            <w:r>
              <w:rPr>
                <w:rFonts w:ascii="仿宋" w:hAnsi="仿宋" w:eastAsia="仿宋" w:cs="仿宋"/>
                <w:spacing w:val="-2"/>
                <w:sz w:val="21"/>
                <w:szCs w:val="21"/>
              </w:rPr>
              <w:t>硬叶常绿阔叶林</w:t>
            </w:r>
          </w:p>
        </w:tc>
        <w:tc>
          <w:tcPr>
            <w:tcW w:w="1134" w:type="dxa"/>
            <w:vAlign w:val="top"/>
          </w:tcPr>
          <w:p>
            <w:pPr>
              <w:pStyle w:val="6"/>
              <w:spacing w:before="96" w:line="188" w:lineRule="auto"/>
              <w:ind w:left="390"/>
            </w:pPr>
            <w:r>
              <w:rPr>
                <w:spacing w:val="-3"/>
              </w:rPr>
              <w:t>5.15</w:t>
            </w:r>
          </w:p>
        </w:tc>
        <w:tc>
          <w:tcPr>
            <w:tcW w:w="1248" w:type="dxa"/>
            <w:vAlign w:val="top"/>
          </w:tcPr>
          <w:p>
            <w:pPr>
              <w:pStyle w:val="6"/>
              <w:spacing w:before="96" w:line="188" w:lineRule="auto"/>
              <w:ind w:left="410"/>
            </w:pPr>
            <w:r>
              <w:rPr>
                <w:spacing w:val="-7"/>
              </w:rPr>
              <w:t>-</w:t>
            </w:r>
            <w:r>
              <w:rPr>
                <w:spacing w:val="-27"/>
              </w:rPr>
              <w:t xml:space="preserve"> </w:t>
            </w:r>
            <w:r>
              <w:rPr>
                <w:spacing w:val="-7"/>
              </w:rPr>
              <w:t>1.18</w:t>
            </w:r>
          </w:p>
        </w:tc>
        <w:tc>
          <w:tcPr>
            <w:tcW w:w="1162" w:type="dxa"/>
            <w:vAlign w:val="top"/>
          </w:tcPr>
          <w:p>
            <w:pPr>
              <w:pStyle w:val="6"/>
              <w:spacing w:before="96" w:line="188" w:lineRule="auto"/>
              <w:ind w:left="497"/>
            </w:pPr>
            <w:r>
              <w:rPr>
                <w:spacing w:val="-6"/>
              </w:rPr>
              <w:t>10</w:t>
            </w:r>
          </w:p>
        </w:tc>
        <w:tc>
          <w:tcPr>
            <w:tcW w:w="1134" w:type="dxa"/>
            <w:vAlign w:val="top"/>
          </w:tcPr>
          <w:p>
            <w:pPr>
              <w:pStyle w:val="6"/>
              <w:spacing w:before="96" w:line="188" w:lineRule="auto"/>
              <w:ind w:left="390"/>
            </w:pPr>
            <w:r>
              <w:rPr>
                <w:spacing w:val="-3"/>
              </w:rPr>
              <w:t>51.5</w:t>
            </w:r>
          </w:p>
        </w:tc>
        <w:tc>
          <w:tcPr>
            <w:tcW w:w="1134" w:type="dxa"/>
            <w:vAlign w:val="top"/>
          </w:tcPr>
          <w:p>
            <w:pPr>
              <w:pStyle w:val="6"/>
              <w:spacing w:before="96" w:line="188" w:lineRule="auto"/>
              <w:ind w:left="358"/>
            </w:pPr>
            <w:r>
              <w:rPr>
                <w:spacing w:val="-9"/>
              </w:rPr>
              <w:t>-</w:t>
            </w:r>
            <w:r>
              <w:rPr>
                <w:spacing w:val="-25"/>
              </w:rPr>
              <w:t xml:space="preserve"> </w:t>
            </w:r>
            <w:r>
              <w:rPr>
                <w:spacing w:val="-9"/>
              </w:rPr>
              <w:t>11.8</w:t>
            </w:r>
          </w:p>
        </w:tc>
        <w:tc>
          <w:tcPr>
            <w:tcW w:w="1088" w:type="dxa"/>
            <w:tcBorders>
              <w:right w:val="nil"/>
            </w:tcBorders>
            <w:vAlign w:val="top"/>
          </w:tcPr>
          <w:p>
            <w:pPr>
              <w:pStyle w:val="6"/>
              <w:spacing w:before="96" w:line="188" w:lineRule="auto"/>
              <w:ind w:left="278"/>
            </w:pPr>
            <w:r>
              <w:rPr>
                <w:spacing w:val="-2"/>
              </w:rPr>
              <w:t>-22.91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28" w:type="dxa"/>
            <w:tcBorders>
              <w:left w:val="nil"/>
            </w:tcBorders>
            <w:vAlign w:val="top"/>
          </w:tcPr>
          <w:p>
            <w:pPr>
              <w:spacing w:before="63" w:line="213" w:lineRule="auto"/>
              <w:ind w:left="369"/>
              <w:rPr>
                <w:rFonts w:ascii="仿宋" w:hAnsi="仿宋" w:eastAsia="仿宋" w:cs="仿宋"/>
                <w:sz w:val="21"/>
                <w:szCs w:val="21"/>
              </w:rPr>
            </w:pPr>
            <w:r>
              <w:rPr>
                <w:rFonts w:ascii="仿宋" w:hAnsi="仿宋" w:eastAsia="仿宋" w:cs="仿宋"/>
                <w:spacing w:val="-5"/>
                <w:sz w:val="21"/>
                <w:szCs w:val="21"/>
              </w:rPr>
              <w:t>落叶阔叶林</w:t>
            </w:r>
          </w:p>
        </w:tc>
        <w:tc>
          <w:tcPr>
            <w:tcW w:w="1134" w:type="dxa"/>
            <w:vAlign w:val="top"/>
          </w:tcPr>
          <w:p>
            <w:pPr>
              <w:pStyle w:val="6"/>
              <w:spacing w:before="100" w:line="188" w:lineRule="auto"/>
              <w:ind w:left="352"/>
            </w:pPr>
            <w:r>
              <w:rPr>
                <w:spacing w:val="-5"/>
              </w:rPr>
              <w:t>15.38</w:t>
            </w:r>
          </w:p>
        </w:tc>
        <w:tc>
          <w:tcPr>
            <w:tcW w:w="1248" w:type="dxa"/>
            <w:vAlign w:val="top"/>
          </w:tcPr>
          <w:p>
            <w:pPr>
              <w:pStyle w:val="6"/>
              <w:spacing w:before="100" w:line="188" w:lineRule="auto"/>
              <w:ind w:left="410"/>
            </w:pPr>
            <w:r>
              <w:rPr>
                <w:spacing w:val="-7"/>
              </w:rPr>
              <w:t>-</w:t>
            </w:r>
            <w:r>
              <w:rPr>
                <w:spacing w:val="-27"/>
              </w:rPr>
              <w:t xml:space="preserve"> </w:t>
            </w:r>
            <w:r>
              <w:rPr>
                <w:spacing w:val="-7"/>
              </w:rPr>
              <w:t>1.52</w:t>
            </w:r>
          </w:p>
        </w:tc>
        <w:tc>
          <w:tcPr>
            <w:tcW w:w="1162" w:type="dxa"/>
            <w:vAlign w:val="top"/>
          </w:tcPr>
          <w:p>
            <w:pPr>
              <w:pStyle w:val="6"/>
              <w:spacing w:before="100" w:line="188" w:lineRule="auto"/>
              <w:ind w:left="534"/>
            </w:pPr>
            <w:r>
              <w:t>9</w:t>
            </w:r>
          </w:p>
        </w:tc>
        <w:tc>
          <w:tcPr>
            <w:tcW w:w="1134" w:type="dxa"/>
            <w:vAlign w:val="top"/>
          </w:tcPr>
          <w:p>
            <w:pPr>
              <w:pStyle w:val="6"/>
              <w:spacing w:before="100" w:line="188" w:lineRule="auto"/>
              <w:ind w:left="300"/>
            </w:pPr>
            <w:r>
              <w:rPr>
                <w:spacing w:val="-4"/>
              </w:rPr>
              <w:t>138.42</w:t>
            </w:r>
          </w:p>
        </w:tc>
        <w:tc>
          <w:tcPr>
            <w:tcW w:w="1134" w:type="dxa"/>
            <w:vAlign w:val="top"/>
          </w:tcPr>
          <w:p>
            <w:pPr>
              <w:pStyle w:val="6"/>
              <w:spacing w:before="100" w:line="188" w:lineRule="auto"/>
              <w:ind w:left="301"/>
            </w:pPr>
            <w:r>
              <w:rPr>
                <w:spacing w:val="-6"/>
              </w:rPr>
              <w:t>-</w:t>
            </w:r>
            <w:r>
              <w:rPr>
                <w:spacing w:val="-26"/>
              </w:rPr>
              <w:t xml:space="preserve"> </w:t>
            </w:r>
            <w:r>
              <w:rPr>
                <w:spacing w:val="-6"/>
              </w:rPr>
              <w:t>13.68</w:t>
            </w:r>
          </w:p>
        </w:tc>
        <w:tc>
          <w:tcPr>
            <w:tcW w:w="1088" w:type="dxa"/>
            <w:tcBorders>
              <w:right w:val="nil"/>
            </w:tcBorders>
            <w:vAlign w:val="top"/>
          </w:tcPr>
          <w:p>
            <w:pPr>
              <w:pStyle w:val="6"/>
              <w:spacing w:before="100" w:line="188" w:lineRule="auto"/>
              <w:ind w:left="331"/>
            </w:pPr>
            <w:r>
              <w:rPr>
                <w:spacing w:val="-2"/>
              </w:rPr>
              <w:t>-9.88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728" w:type="dxa"/>
            <w:tcBorders>
              <w:left w:val="nil"/>
            </w:tcBorders>
            <w:vAlign w:val="top"/>
          </w:tcPr>
          <w:p>
            <w:pPr>
              <w:spacing w:before="65" w:line="210" w:lineRule="auto"/>
              <w:ind w:left="367"/>
              <w:rPr>
                <w:rFonts w:ascii="仿宋" w:hAnsi="仿宋" w:eastAsia="仿宋" w:cs="仿宋"/>
                <w:sz w:val="21"/>
                <w:szCs w:val="21"/>
              </w:rPr>
            </w:pPr>
            <w:r>
              <w:rPr>
                <w:rFonts w:ascii="仿宋" w:hAnsi="仿宋" w:eastAsia="仿宋" w:cs="仿宋"/>
                <w:spacing w:val="-4"/>
                <w:sz w:val="21"/>
                <w:szCs w:val="21"/>
              </w:rPr>
              <w:t>暖性针叶林</w:t>
            </w:r>
          </w:p>
        </w:tc>
        <w:tc>
          <w:tcPr>
            <w:tcW w:w="1134" w:type="dxa"/>
            <w:vAlign w:val="top"/>
          </w:tcPr>
          <w:p>
            <w:pPr>
              <w:pStyle w:val="6"/>
              <w:spacing w:before="101" w:line="188" w:lineRule="auto"/>
              <w:ind w:left="280"/>
            </w:pPr>
            <w:r>
              <w:rPr>
                <w:spacing w:val="-1"/>
              </w:rPr>
              <w:t>210.79</w:t>
            </w:r>
          </w:p>
        </w:tc>
        <w:tc>
          <w:tcPr>
            <w:tcW w:w="1248" w:type="dxa"/>
            <w:vAlign w:val="top"/>
          </w:tcPr>
          <w:p>
            <w:pPr>
              <w:pStyle w:val="6"/>
              <w:spacing w:before="101" w:line="188" w:lineRule="auto"/>
              <w:ind w:left="357"/>
            </w:pPr>
            <w:r>
              <w:rPr>
                <w:spacing w:val="-6"/>
              </w:rPr>
              <w:t>-</w:t>
            </w:r>
            <w:r>
              <w:rPr>
                <w:spacing w:val="-25"/>
              </w:rPr>
              <w:t xml:space="preserve"> </w:t>
            </w:r>
            <w:r>
              <w:rPr>
                <w:spacing w:val="-6"/>
              </w:rPr>
              <w:t>15.69</w:t>
            </w:r>
          </w:p>
        </w:tc>
        <w:tc>
          <w:tcPr>
            <w:tcW w:w="1162" w:type="dxa"/>
            <w:vAlign w:val="top"/>
          </w:tcPr>
          <w:p>
            <w:pPr>
              <w:pStyle w:val="6"/>
              <w:spacing w:before="101" w:line="188" w:lineRule="auto"/>
              <w:ind w:left="497"/>
            </w:pPr>
            <w:r>
              <w:rPr>
                <w:spacing w:val="-6"/>
              </w:rPr>
              <w:t>10</w:t>
            </w:r>
          </w:p>
        </w:tc>
        <w:tc>
          <w:tcPr>
            <w:tcW w:w="1134" w:type="dxa"/>
            <w:vAlign w:val="top"/>
          </w:tcPr>
          <w:p>
            <w:pPr>
              <w:pStyle w:val="6"/>
              <w:spacing w:before="101" w:line="188" w:lineRule="auto"/>
              <w:ind w:left="280"/>
            </w:pPr>
            <w:r>
              <w:rPr>
                <w:spacing w:val="-1"/>
              </w:rPr>
              <w:t>2107.9</w:t>
            </w:r>
          </w:p>
        </w:tc>
        <w:tc>
          <w:tcPr>
            <w:tcW w:w="1134" w:type="dxa"/>
            <w:vAlign w:val="top"/>
          </w:tcPr>
          <w:p>
            <w:pPr>
              <w:pStyle w:val="6"/>
              <w:spacing w:before="101" w:line="188" w:lineRule="auto"/>
              <w:ind w:left="301"/>
            </w:pPr>
            <w:r>
              <w:rPr>
                <w:spacing w:val="-6"/>
              </w:rPr>
              <w:t>-</w:t>
            </w:r>
            <w:r>
              <w:rPr>
                <w:spacing w:val="-26"/>
              </w:rPr>
              <w:t xml:space="preserve"> </w:t>
            </w:r>
            <w:r>
              <w:rPr>
                <w:spacing w:val="-6"/>
              </w:rPr>
              <w:t>156.9</w:t>
            </w:r>
          </w:p>
        </w:tc>
        <w:tc>
          <w:tcPr>
            <w:tcW w:w="1088" w:type="dxa"/>
            <w:tcBorders>
              <w:right w:val="nil"/>
            </w:tcBorders>
            <w:vAlign w:val="top"/>
          </w:tcPr>
          <w:p>
            <w:pPr>
              <w:pStyle w:val="6"/>
              <w:spacing w:before="101" w:line="188" w:lineRule="auto"/>
              <w:ind w:left="331"/>
            </w:pPr>
            <w:r>
              <w:rPr>
                <w:spacing w:val="-2"/>
              </w:rPr>
              <w:t>-7.44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728" w:type="dxa"/>
            <w:tcBorders>
              <w:left w:val="nil"/>
            </w:tcBorders>
            <w:vAlign w:val="top"/>
          </w:tcPr>
          <w:p>
            <w:pPr>
              <w:spacing w:before="67" w:line="208" w:lineRule="auto"/>
              <w:ind w:left="256"/>
              <w:rPr>
                <w:rFonts w:ascii="仿宋" w:hAnsi="仿宋" w:eastAsia="仿宋" w:cs="仿宋"/>
                <w:sz w:val="21"/>
                <w:szCs w:val="21"/>
              </w:rPr>
            </w:pPr>
            <w:r>
              <w:rPr>
                <w:rFonts w:ascii="仿宋" w:hAnsi="仿宋" w:eastAsia="仿宋" w:cs="仿宋"/>
                <w:spacing w:val="-3"/>
                <w:sz w:val="21"/>
                <w:szCs w:val="21"/>
              </w:rPr>
              <w:t>稀树灌木草丛</w:t>
            </w:r>
          </w:p>
        </w:tc>
        <w:tc>
          <w:tcPr>
            <w:tcW w:w="1134" w:type="dxa"/>
            <w:vAlign w:val="top"/>
          </w:tcPr>
          <w:p>
            <w:pPr>
              <w:pStyle w:val="6"/>
              <w:spacing w:before="103" w:line="188" w:lineRule="auto"/>
              <w:ind w:left="280"/>
            </w:pPr>
            <w:r>
              <w:rPr>
                <w:spacing w:val="-1"/>
              </w:rPr>
              <w:t>213.17</w:t>
            </w:r>
          </w:p>
        </w:tc>
        <w:tc>
          <w:tcPr>
            <w:tcW w:w="1248" w:type="dxa"/>
            <w:vAlign w:val="top"/>
          </w:tcPr>
          <w:p>
            <w:pPr>
              <w:pStyle w:val="6"/>
              <w:spacing w:before="103" w:line="188" w:lineRule="auto"/>
              <w:ind w:left="357"/>
            </w:pPr>
            <w:r>
              <w:rPr>
                <w:spacing w:val="-2"/>
              </w:rPr>
              <w:t>-36.76</w:t>
            </w:r>
          </w:p>
        </w:tc>
        <w:tc>
          <w:tcPr>
            <w:tcW w:w="1162" w:type="dxa"/>
            <w:vAlign w:val="top"/>
          </w:tcPr>
          <w:p>
            <w:pPr>
              <w:pStyle w:val="6"/>
              <w:spacing w:before="103" w:line="188" w:lineRule="auto"/>
              <w:ind w:left="450"/>
            </w:pPr>
            <w:r>
              <w:rPr>
                <w:spacing w:val="-1"/>
              </w:rPr>
              <w:t>4.5</w:t>
            </w:r>
          </w:p>
        </w:tc>
        <w:tc>
          <w:tcPr>
            <w:tcW w:w="1134" w:type="dxa"/>
            <w:vAlign w:val="top"/>
          </w:tcPr>
          <w:p>
            <w:pPr>
              <w:pStyle w:val="6"/>
              <w:spacing w:before="103" w:line="188" w:lineRule="auto"/>
              <w:ind w:left="284"/>
            </w:pPr>
            <w:r>
              <w:rPr>
                <w:spacing w:val="-2"/>
              </w:rPr>
              <w:t>959.27</w:t>
            </w:r>
          </w:p>
        </w:tc>
        <w:tc>
          <w:tcPr>
            <w:tcW w:w="1134" w:type="dxa"/>
            <w:vAlign w:val="top"/>
          </w:tcPr>
          <w:p>
            <w:pPr>
              <w:pStyle w:val="6"/>
              <w:spacing w:before="103" w:line="188" w:lineRule="auto"/>
              <w:ind w:left="248"/>
            </w:pPr>
            <w:r>
              <w:rPr>
                <w:spacing w:val="-5"/>
              </w:rPr>
              <w:t>-</w:t>
            </w:r>
            <w:r>
              <w:rPr>
                <w:spacing w:val="-27"/>
              </w:rPr>
              <w:t xml:space="preserve"> </w:t>
            </w:r>
            <w:r>
              <w:rPr>
                <w:spacing w:val="-5"/>
              </w:rPr>
              <w:t>165.42</w:t>
            </w:r>
          </w:p>
        </w:tc>
        <w:tc>
          <w:tcPr>
            <w:tcW w:w="1088" w:type="dxa"/>
            <w:tcBorders>
              <w:right w:val="nil"/>
            </w:tcBorders>
            <w:vAlign w:val="top"/>
          </w:tcPr>
          <w:p>
            <w:pPr>
              <w:pStyle w:val="6"/>
              <w:spacing w:before="103" w:line="188" w:lineRule="auto"/>
              <w:ind w:left="278"/>
            </w:pPr>
            <w:r>
              <w:rPr>
                <w:spacing w:val="-6"/>
              </w:rPr>
              <w:t>-</w:t>
            </w:r>
            <w:r>
              <w:rPr>
                <w:spacing w:val="-26"/>
              </w:rPr>
              <w:t xml:space="preserve"> </w:t>
            </w:r>
            <w:r>
              <w:rPr>
                <w:spacing w:val="-6"/>
              </w:rPr>
              <w:t>17.24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28" w:type="dxa"/>
            <w:tcBorders>
              <w:left w:val="nil"/>
            </w:tcBorders>
            <w:vAlign w:val="top"/>
          </w:tcPr>
          <w:p>
            <w:pPr>
              <w:spacing w:before="71" w:line="206" w:lineRule="auto"/>
              <w:ind w:left="678"/>
              <w:rPr>
                <w:rFonts w:ascii="仿宋" w:hAnsi="仿宋" w:eastAsia="仿宋" w:cs="仿宋"/>
                <w:sz w:val="21"/>
                <w:szCs w:val="21"/>
              </w:rPr>
            </w:pPr>
            <w:r>
              <w:rPr>
                <w:rFonts w:ascii="仿宋" w:hAnsi="仿宋" w:eastAsia="仿宋" w:cs="仿宋"/>
                <w:spacing w:val="-5"/>
                <w:sz w:val="21"/>
                <w:szCs w:val="21"/>
              </w:rPr>
              <w:t>灌丛</w:t>
            </w:r>
          </w:p>
        </w:tc>
        <w:tc>
          <w:tcPr>
            <w:tcW w:w="1134" w:type="dxa"/>
            <w:vAlign w:val="top"/>
          </w:tcPr>
          <w:p>
            <w:pPr>
              <w:pStyle w:val="6"/>
              <w:spacing w:before="107" w:line="188" w:lineRule="auto"/>
              <w:ind w:left="340"/>
            </w:pPr>
            <w:r>
              <w:rPr>
                <w:spacing w:val="-3"/>
              </w:rPr>
              <w:t>88.51</w:t>
            </w:r>
          </w:p>
        </w:tc>
        <w:tc>
          <w:tcPr>
            <w:tcW w:w="1248" w:type="dxa"/>
            <w:vAlign w:val="top"/>
          </w:tcPr>
          <w:p>
            <w:pPr>
              <w:pStyle w:val="6"/>
              <w:spacing w:before="107" w:line="188" w:lineRule="auto"/>
              <w:ind w:left="357"/>
            </w:pPr>
            <w:r>
              <w:rPr>
                <w:spacing w:val="-2"/>
              </w:rPr>
              <w:t>-26.33</w:t>
            </w:r>
          </w:p>
        </w:tc>
        <w:tc>
          <w:tcPr>
            <w:tcW w:w="1162" w:type="dxa"/>
            <w:vAlign w:val="top"/>
          </w:tcPr>
          <w:p>
            <w:pPr>
              <w:pStyle w:val="6"/>
              <w:spacing w:before="107" w:line="188" w:lineRule="auto"/>
              <w:ind w:left="534"/>
            </w:pPr>
            <w:r>
              <w:t>6</w:t>
            </w:r>
          </w:p>
        </w:tc>
        <w:tc>
          <w:tcPr>
            <w:tcW w:w="1134" w:type="dxa"/>
            <w:vAlign w:val="top"/>
          </w:tcPr>
          <w:p>
            <w:pPr>
              <w:pStyle w:val="6"/>
              <w:spacing w:before="107" w:line="188" w:lineRule="auto"/>
              <w:ind w:left="285"/>
            </w:pPr>
            <w:r>
              <w:rPr>
                <w:spacing w:val="-2"/>
              </w:rPr>
              <w:t>531.06</w:t>
            </w:r>
          </w:p>
        </w:tc>
        <w:tc>
          <w:tcPr>
            <w:tcW w:w="1134" w:type="dxa"/>
            <w:vAlign w:val="top"/>
          </w:tcPr>
          <w:p>
            <w:pPr>
              <w:pStyle w:val="6"/>
              <w:spacing w:before="107" w:line="188" w:lineRule="auto"/>
              <w:ind w:left="248"/>
            </w:pPr>
            <w:r>
              <w:rPr>
                <w:spacing w:val="-5"/>
              </w:rPr>
              <w:t>-</w:t>
            </w:r>
            <w:r>
              <w:rPr>
                <w:spacing w:val="-27"/>
              </w:rPr>
              <w:t xml:space="preserve"> </w:t>
            </w:r>
            <w:r>
              <w:rPr>
                <w:spacing w:val="-5"/>
              </w:rPr>
              <w:t>157.98</w:t>
            </w:r>
          </w:p>
        </w:tc>
        <w:tc>
          <w:tcPr>
            <w:tcW w:w="1088" w:type="dxa"/>
            <w:tcBorders>
              <w:right w:val="nil"/>
            </w:tcBorders>
            <w:vAlign w:val="top"/>
          </w:tcPr>
          <w:p>
            <w:pPr>
              <w:pStyle w:val="6"/>
              <w:spacing w:before="107" w:line="188" w:lineRule="auto"/>
              <w:ind w:left="278"/>
            </w:pPr>
            <w:r>
              <w:rPr>
                <w:spacing w:val="-2"/>
              </w:rPr>
              <w:t>-29.75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728" w:type="dxa"/>
            <w:tcBorders>
              <w:left w:val="nil"/>
            </w:tcBorders>
            <w:vAlign w:val="top"/>
          </w:tcPr>
          <w:p>
            <w:pPr>
              <w:spacing w:before="71" w:line="204" w:lineRule="auto"/>
              <w:ind w:left="675"/>
              <w:rPr>
                <w:rFonts w:ascii="仿宋" w:hAnsi="仿宋" w:eastAsia="仿宋" w:cs="仿宋"/>
                <w:sz w:val="21"/>
                <w:szCs w:val="21"/>
              </w:rPr>
            </w:pPr>
            <w:r>
              <w:rPr>
                <w:rFonts w:ascii="仿宋" w:hAnsi="仿宋" w:eastAsia="仿宋" w:cs="仿宋"/>
                <w:spacing w:val="-4"/>
                <w:sz w:val="21"/>
                <w:szCs w:val="21"/>
              </w:rPr>
              <w:t>耕地</w:t>
            </w:r>
          </w:p>
        </w:tc>
        <w:tc>
          <w:tcPr>
            <w:tcW w:w="1134" w:type="dxa"/>
            <w:vAlign w:val="top"/>
          </w:tcPr>
          <w:p>
            <w:pPr>
              <w:pStyle w:val="6"/>
              <w:spacing w:before="108" w:line="188" w:lineRule="auto"/>
              <w:ind w:left="300"/>
            </w:pPr>
            <w:r>
              <w:rPr>
                <w:spacing w:val="-4"/>
              </w:rPr>
              <w:t>175.28</w:t>
            </w:r>
          </w:p>
        </w:tc>
        <w:tc>
          <w:tcPr>
            <w:tcW w:w="1248" w:type="dxa"/>
            <w:vAlign w:val="top"/>
          </w:tcPr>
          <w:p>
            <w:pPr>
              <w:pStyle w:val="6"/>
              <w:spacing w:before="108" w:line="188" w:lineRule="auto"/>
              <w:ind w:left="361"/>
            </w:pPr>
            <w:r>
              <w:rPr>
                <w:spacing w:val="-7"/>
              </w:rPr>
              <w:t>-</w:t>
            </w:r>
            <w:r>
              <w:rPr>
                <w:spacing w:val="-28"/>
              </w:rPr>
              <w:t xml:space="preserve"> </w:t>
            </w:r>
            <w:r>
              <w:rPr>
                <w:spacing w:val="-7"/>
              </w:rPr>
              <w:t>11.75</w:t>
            </w:r>
          </w:p>
        </w:tc>
        <w:tc>
          <w:tcPr>
            <w:tcW w:w="1162" w:type="dxa"/>
            <w:vAlign w:val="top"/>
          </w:tcPr>
          <w:p>
            <w:pPr>
              <w:pStyle w:val="6"/>
              <w:spacing w:before="108" w:line="188" w:lineRule="auto"/>
              <w:ind w:left="529"/>
            </w:pPr>
            <w:r>
              <w:t>4</w:t>
            </w:r>
          </w:p>
        </w:tc>
        <w:tc>
          <w:tcPr>
            <w:tcW w:w="1134" w:type="dxa"/>
            <w:vAlign w:val="top"/>
          </w:tcPr>
          <w:p>
            <w:pPr>
              <w:pStyle w:val="6"/>
              <w:spacing w:before="108" w:line="188" w:lineRule="auto"/>
              <w:ind w:left="283"/>
            </w:pPr>
            <w:r>
              <w:rPr>
                <w:spacing w:val="-2"/>
              </w:rPr>
              <w:t>701.12</w:t>
            </w:r>
          </w:p>
        </w:tc>
        <w:tc>
          <w:tcPr>
            <w:tcW w:w="1134" w:type="dxa"/>
            <w:vAlign w:val="top"/>
          </w:tcPr>
          <w:p>
            <w:pPr>
              <w:pStyle w:val="6"/>
              <w:spacing w:before="108" w:line="188" w:lineRule="auto"/>
              <w:ind w:left="433"/>
            </w:pPr>
            <w:r>
              <w:rPr>
                <w:spacing w:val="-3"/>
              </w:rPr>
              <w:t>-47</w:t>
            </w:r>
          </w:p>
        </w:tc>
        <w:tc>
          <w:tcPr>
            <w:tcW w:w="1088" w:type="dxa"/>
            <w:tcBorders>
              <w:right w:val="nil"/>
            </w:tcBorders>
            <w:vAlign w:val="top"/>
          </w:tcPr>
          <w:p>
            <w:pPr>
              <w:pStyle w:val="6"/>
              <w:spacing w:before="108" w:line="188" w:lineRule="auto"/>
              <w:ind w:left="331"/>
            </w:pPr>
            <w:r>
              <w:rPr>
                <w:spacing w:val="-2"/>
              </w:rPr>
              <w:t>-6.70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1728" w:type="dxa"/>
            <w:tcBorders>
              <w:left w:val="nil"/>
            </w:tcBorders>
            <w:vAlign w:val="top"/>
          </w:tcPr>
          <w:p>
            <w:pPr>
              <w:spacing w:before="75" w:line="201" w:lineRule="auto"/>
              <w:ind w:left="674"/>
              <w:rPr>
                <w:rFonts w:ascii="仿宋" w:hAnsi="仿宋" w:eastAsia="仿宋" w:cs="仿宋"/>
                <w:sz w:val="21"/>
                <w:szCs w:val="21"/>
              </w:rPr>
            </w:pPr>
            <w:r>
              <w:rPr>
                <w:rFonts w:ascii="仿宋" w:hAnsi="仿宋" w:eastAsia="仿宋" w:cs="仿宋"/>
                <w:spacing w:val="-4"/>
                <w:sz w:val="21"/>
                <w:szCs w:val="21"/>
              </w:rPr>
              <w:t>水域</w:t>
            </w:r>
          </w:p>
        </w:tc>
        <w:tc>
          <w:tcPr>
            <w:tcW w:w="1134" w:type="dxa"/>
            <w:vAlign w:val="top"/>
          </w:tcPr>
          <w:p>
            <w:pPr>
              <w:pStyle w:val="6"/>
              <w:spacing w:before="111" w:line="188" w:lineRule="auto"/>
              <w:ind w:left="336"/>
            </w:pPr>
            <w:r>
              <w:rPr>
                <w:spacing w:val="-2"/>
              </w:rPr>
              <w:t>35.45</w:t>
            </w:r>
          </w:p>
        </w:tc>
        <w:tc>
          <w:tcPr>
            <w:tcW w:w="1248" w:type="dxa"/>
            <w:vAlign w:val="top"/>
          </w:tcPr>
          <w:p>
            <w:pPr>
              <w:pStyle w:val="6"/>
              <w:spacing w:before="111" w:line="188" w:lineRule="auto"/>
              <w:ind w:left="392"/>
            </w:pPr>
            <w:r>
              <w:rPr>
                <w:spacing w:val="-2"/>
              </w:rPr>
              <w:t>37.42</w:t>
            </w:r>
          </w:p>
        </w:tc>
        <w:tc>
          <w:tcPr>
            <w:tcW w:w="1162" w:type="dxa"/>
            <w:vAlign w:val="top"/>
          </w:tcPr>
          <w:p>
            <w:pPr>
              <w:pStyle w:val="6"/>
              <w:spacing w:before="199" w:line="101" w:lineRule="exact"/>
              <w:ind w:left="552"/>
            </w:pPr>
            <w:r>
              <w:rPr>
                <w:position w:val="-2"/>
              </w:rPr>
              <w:t>-</w:t>
            </w:r>
          </w:p>
        </w:tc>
        <w:tc>
          <w:tcPr>
            <w:tcW w:w="1134" w:type="dxa"/>
            <w:vAlign w:val="top"/>
          </w:tcPr>
          <w:p>
            <w:pPr>
              <w:pStyle w:val="6"/>
              <w:spacing w:before="199" w:line="101" w:lineRule="exact"/>
              <w:ind w:left="537"/>
            </w:pPr>
            <w:r>
              <w:rPr>
                <w:position w:val="-2"/>
              </w:rPr>
              <w:t>-</w:t>
            </w:r>
          </w:p>
        </w:tc>
        <w:tc>
          <w:tcPr>
            <w:tcW w:w="1134" w:type="dxa"/>
            <w:vAlign w:val="top"/>
          </w:tcPr>
          <w:p>
            <w:pPr>
              <w:pStyle w:val="6"/>
              <w:spacing w:before="199" w:line="101" w:lineRule="exact"/>
              <w:ind w:left="538"/>
            </w:pPr>
            <w:r>
              <w:rPr>
                <w:position w:val="-2"/>
              </w:rPr>
              <w:t>-</w:t>
            </w:r>
          </w:p>
        </w:tc>
        <w:tc>
          <w:tcPr>
            <w:tcW w:w="1088" w:type="dxa"/>
            <w:tcBorders>
              <w:right w:val="nil"/>
            </w:tcBorders>
            <w:vAlign w:val="top"/>
          </w:tcPr>
          <w:p>
            <w:pPr>
              <w:pStyle w:val="6"/>
              <w:spacing w:before="199" w:line="101" w:lineRule="exact"/>
              <w:ind w:left="515"/>
            </w:pPr>
            <w:r>
              <w:rPr>
                <w:position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728" w:type="dxa"/>
            <w:tcBorders>
              <w:left w:val="nil"/>
            </w:tcBorders>
            <w:vAlign w:val="top"/>
          </w:tcPr>
          <w:p>
            <w:pPr>
              <w:spacing w:before="78" w:line="200" w:lineRule="auto"/>
              <w:ind w:left="679"/>
              <w:rPr>
                <w:rFonts w:ascii="仿宋" w:hAnsi="仿宋" w:eastAsia="仿宋" w:cs="仿宋"/>
                <w:sz w:val="21"/>
                <w:szCs w:val="21"/>
              </w:rPr>
            </w:pPr>
            <w:r>
              <w:rPr>
                <w:rFonts w:ascii="仿宋" w:hAnsi="仿宋" w:eastAsia="仿宋" w:cs="仿宋"/>
                <w:spacing w:val="-5"/>
                <w:sz w:val="21"/>
                <w:szCs w:val="21"/>
              </w:rPr>
              <w:t>公路</w:t>
            </w:r>
          </w:p>
        </w:tc>
        <w:tc>
          <w:tcPr>
            <w:tcW w:w="1134" w:type="dxa"/>
            <w:vAlign w:val="top"/>
          </w:tcPr>
          <w:p>
            <w:pPr>
              <w:pStyle w:val="6"/>
              <w:spacing w:before="115" w:line="188" w:lineRule="auto"/>
              <w:ind w:left="331"/>
            </w:pPr>
            <w:r>
              <w:rPr>
                <w:spacing w:val="-1"/>
              </w:rPr>
              <w:t>27.80</w:t>
            </w:r>
          </w:p>
        </w:tc>
        <w:tc>
          <w:tcPr>
            <w:tcW w:w="1248" w:type="dxa"/>
            <w:vAlign w:val="top"/>
          </w:tcPr>
          <w:p>
            <w:pPr>
              <w:pStyle w:val="6"/>
              <w:spacing w:before="115" w:line="188" w:lineRule="auto"/>
              <w:ind w:left="410"/>
            </w:pPr>
            <w:r>
              <w:rPr>
                <w:spacing w:val="-7"/>
              </w:rPr>
              <w:t>-</w:t>
            </w:r>
            <w:r>
              <w:rPr>
                <w:spacing w:val="-27"/>
              </w:rPr>
              <w:t xml:space="preserve"> </w:t>
            </w:r>
            <w:r>
              <w:rPr>
                <w:spacing w:val="-7"/>
              </w:rPr>
              <w:t>1.34</w:t>
            </w:r>
          </w:p>
        </w:tc>
        <w:tc>
          <w:tcPr>
            <w:tcW w:w="1162" w:type="dxa"/>
            <w:vAlign w:val="top"/>
          </w:tcPr>
          <w:p>
            <w:pPr>
              <w:pStyle w:val="6"/>
              <w:spacing w:before="203" w:line="101" w:lineRule="exact"/>
              <w:ind w:left="552"/>
            </w:pPr>
            <w:r>
              <w:rPr>
                <w:position w:val="-2"/>
              </w:rPr>
              <w:t>-</w:t>
            </w:r>
          </w:p>
        </w:tc>
        <w:tc>
          <w:tcPr>
            <w:tcW w:w="1134" w:type="dxa"/>
            <w:vAlign w:val="top"/>
          </w:tcPr>
          <w:p>
            <w:pPr>
              <w:pStyle w:val="6"/>
              <w:spacing w:before="203" w:line="101" w:lineRule="exact"/>
              <w:ind w:left="537"/>
            </w:pPr>
            <w:r>
              <w:rPr>
                <w:position w:val="-2"/>
              </w:rPr>
              <w:t>-</w:t>
            </w:r>
          </w:p>
        </w:tc>
        <w:tc>
          <w:tcPr>
            <w:tcW w:w="1134" w:type="dxa"/>
            <w:vAlign w:val="top"/>
          </w:tcPr>
          <w:p>
            <w:pPr>
              <w:pStyle w:val="6"/>
              <w:spacing w:before="203" w:line="101" w:lineRule="exact"/>
              <w:ind w:left="538"/>
            </w:pPr>
            <w:r>
              <w:rPr>
                <w:position w:val="-2"/>
              </w:rPr>
              <w:t>-</w:t>
            </w:r>
          </w:p>
        </w:tc>
        <w:tc>
          <w:tcPr>
            <w:tcW w:w="1088" w:type="dxa"/>
            <w:tcBorders>
              <w:right w:val="nil"/>
            </w:tcBorders>
            <w:vAlign w:val="top"/>
          </w:tcPr>
          <w:p>
            <w:pPr>
              <w:pStyle w:val="6"/>
              <w:spacing w:before="203" w:line="101" w:lineRule="exact"/>
              <w:ind w:left="515"/>
            </w:pPr>
            <w:r>
              <w:rPr>
                <w:position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728" w:type="dxa"/>
            <w:tcBorders>
              <w:left w:val="nil"/>
              <w:bottom w:val="single" w:color="000000" w:sz="12" w:space="0"/>
            </w:tcBorders>
            <w:vAlign w:val="top"/>
          </w:tcPr>
          <w:p>
            <w:pPr>
              <w:spacing w:before="79" w:line="217" w:lineRule="auto"/>
              <w:ind w:left="674"/>
              <w:rPr>
                <w:rFonts w:ascii="仿宋" w:hAnsi="仿宋" w:eastAsia="仿宋" w:cs="仿宋"/>
                <w:sz w:val="21"/>
                <w:szCs w:val="21"/>
              </w:rPr>
            </w:pPr>
            <w:r>
              <w:rPr>
                <w:rFonts w:ascii="仿宋" w:hAnsi="仿宋" w:eastAsia="仿宋" w:cs="仿宋"/>
                <w:spacing w:val="-4"/>
                <w:sz w:val="21"/>
                <w:szCs w:val="21"/>
              </w:rPr>
              <w:t>村庄</w:t>
            </w:r>
          </w:p>
        </w:tc>
        <w:tc>
          <w:tcPr>
            <w:tcW w:w="1134" w:type="dxa"/>
            <w:tcBorders>
              <w:bottom w:val="single" w:color="000000" w:sz="12" w:space="0"/>
            </w:tcBorders>
            <w:vAlign w:val="top"/>
          </w:tcPr>
          <w:p>
            <w:pPr>
              <w:pStyle w:val="6"/>
              <w:spacing w:before="115" w:line="188" w:lineRule="auto"/>
              <w:ind w:left="383"/>
            </w:pPr>
            <w:r>
              <w:rPr>
                <w:spacing w:val="-1"/>
              </w:rPr>
              <w:t>4.35</w:t>
            </w:r>
          </w:p>
        </w:tc>
        <w:tc>
          <w:tcPr>
            <w:tcW w:w="1248" w:type="dxa"/>
            <w:tcBorders>
              <w:bottom w:val="single" w:color="000000" w:sz="12" w:space="0"/>
            </w:tcBorders>
            <w:vAlign w:val="top"/>
          </w:tcPr>
          <w:p>
            <w:pPr>
              <w:pStyle w:val="6"/>
              <w:spacing w:before="115" w:line="188" w:lineRule="auto"/>
              <w:ind w:left="410"/>
            </w:pPr>
            <w:r>
              <w:rPr>
                <w:spacing w:val="-2"/>
              </w:rPr>
              <w:t>-0.15</w:t>
            </w:r>
          </w:p>
        </w:tc>
        <w:tc>
          <w:tcPr>
            <w:tcW w:w="1162" w:type="dxa"/>
            <w:tcBorders>
              <w:bottom w:val="single" w:color="000000" w:sz="12" w:space="0"/>
            </w:tcBorders>
            <w:vAlign w:val="top"/>
          </w:tcPr>
          <w:p>
            <w:pPr>
              <w:pStyle w:val="6"/>
              <w:spacing w:before="203" w:line="101" w:lineRule="exact"/>
              <w:ind w:left="552"/>
            </w:pPr>
            <w:r>
              <w:rPr>
                <w:position w:val="-2"/>
              </w:rPr>
              <w:t>-</w:t>
            </w:r>
          </w:p>
        </w:tc>
        <w:tc>
          <w:tcPr>
            <w:tcW w:w="1134" w:type="dxa"/>
            <w:tcBorders>
              <w:bottom w:val="single" w:color="000000" w:sz="12" w:space="0"/>
            </w:tcBorders>
            <w:vAlign w:val="top"/>
          </w:tcPr>
          <w:p>
            <w:pPr>
              <w:pStyle w:val="6"/>
              <w:spacing w:before="203" w:line="101" w:lineRule="exact"/>
              <w:ind w:left="537"/>
            </w:pPr>
            <w:r>
              <w:rPr>
                <w:position w:val="-2"/>
              </w:rPr>
              <w:t>-</w:t>
            </w:r>
          </w:p>
        </w:tc>
        <w:tc>
          <w:tcPr>
            <w:tcW w:w="1134" w:type="dxa"/>
            <w:tcBorders>
              <w:bottom w:val="single" w:color="000000" w:sz="12" w:space="0"/>
            </w:tcBorders>
            <w:vAlign w:val="top"/>
          </w:tcPr>
          <w:p>
            <w:pPr>
              <w:pStyle w:val="6"/>
              <w:spacing w:before="203" w:line="101" w:lineRule="exact"/>
              <w:ind w:left="538"/>
            </w:pPr>
            <w:r>
              <w:rPr>
                <w:position w:val="-2"/>
              </w:rPr>
              <w:t>-</w:t>
            </w:r>
          </w:p>
        </w:tc>
        <w:tc>
          <w:tcPr>
            <w:tcW w:w="1088" w:type="dxa"/>
            <w:tcBorders>
              <w:bottom w:val="single" w:color="000000" w:sz="12" w:space="0"/>
              <w:right w:val="nil"/>
            </w:tcBorders>
            <w:vAlign w:val="top"/>
          </w:tcPr>
          <w:p>
            <w:pPr>
              <w:pStyle w:val="6"/>
              <w:spacing w:before="203" w:line="101" w:lineRule="exact"/>
              <w:ind w:left="515"/>
            </w:pPr>
            <w:r>
              <w:rPr>
                <w:position w:val="-2"/>
              </w:rPr>
              <w:t>-</w:t>
            </w:r>
          </w:p>
        </w:tc>
      </w:tr>
    </w:tbl>
    <w:p>
      <w:pPr>
        <w:spacing w:line="59" w:lineRule="exact"/>
        <w:rPr>
          <w:rFonts w:ascii="Arial"/>
          <w:sz w:val="5"/>
        </w:rPr>
      </w:pPr>
    </w:p>
    <w:p>
      <w:pPr>
        <w:spacing w:line="59" w:lineRule="exact"/>
        <w:rPr>
          <w:rFonts w:ascii="Arial" w:hAnsi="Arial" w:eastAsia="Arial" w:cs="Arial"/>
          <w:sz w:val="5"/>
          <w:szCs w:val="5"/>
        </w:rPr>
        <w:sectPr>
          <w:headerReference r:id="rId409" w:type="default"/>
          <w:footerReference r:id="rId410" w:type="default"/>
          <w:pgSz w:w="11907" w:h="16839"/>
          <w:pgMar w:top="1156" w:right="1645" w:bottom="1374" w:left="1632" w:header="881" w:footer="1210" w:gutter="0"/>
        </w:sectPr>
      </w:pPr>
    </w:p>
    <w:p>
      <w:pPr>
        <w:spacing w:before="41"/>
      </w:pPr>
    </w:p>
    <w:tbl>
      <w:tblPr>
        <w:tblStyle w:val="5"/>
        <w:tblW w:w="862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28"/>
        <w:gridCol w:w="1134"/>
        <w:gridCol w:w="1248"/>
        <w:gridCol w:w="1162"/>
        <w:gridCol w:w="1134"/>
        <w:gridCol w:w="1134"/>
        <w:gridCol w:w="108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23" w:hRule="atLeast"/>
        </w:trPr>
        <w:tc>
          <w:tcPr>
            <w:tcW w:w="1728" w:type="dxa"/>
            <w:tcBorders>
              <w:top w:val="single" w:color="000000" w:sz="12" w:space="0"/>
              <w:left w:val="nil"/>
            </w:tcBorders>
            <w:vAlign w:val="top"/>
          </w:tcPr>
          <w:p>
            <w:pPr>
              <w:spacing w:line="293" w:lineRule="auto"/>
              <w:rPr>
                <w:rFonts w:ascii="Arial"/>
                <w:sz w:val="21"/>
              </w:rPr>
            </w:pPr>
          </w:p>
          <w:p>
            <w:pPr>
              <w:spacing w:before="68" w:line="220" w:lineRule="auto"/>
              <w:ind w:left="475"/>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生态系统</w:t>
            </w:r>
          </w:p>
        </w:tc>
        <w:tc>
          <w:tcPr>
            <w:tcW w:w="1134" w:type="dxa"/>
            <w:tcBorders>
              <w:top w:val="single" w:color="000000" w:sz="12" w:space="0"/>
            </w:tcBorders>
            <w:vAlign w:val="top"/>
          </w:tcPr>
          <w:p>
            <w:pPr>
              <w:pStyle w:val="6"/>
              <w:spacing w:before="207" w:line="260" w:lineRule="auto"/>
              <w:ind w:left="185" w:right="142" w:hanging="30"/>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植被面积</w:t>
            </w:r>
            <w:r>
              <w:rPr>
                <w:rFonts w:ascii="仿宋" w:hAnsi="仿宋" w:eastAsia="仿宋" w:cs="仿宋"/>
                <w:spacing w:val="1"/>
              </w:rPr>
              <w:t xml:space="preserve"> </w:t>
            </w:r>
            <w:r>
              <w:rPr>
                <w:rFonts w:ascii="仿宋" w:hAnsi="仿宋" w:eastAsia="仿宋" w:cs="仿宋"/>
                <w:spacing w:val="-3"/>
                <w14:textOutline w14:w="3810" w14:cap="flat" w14:cmpd="sng">
                  <w14:solidFill>
                    <w14:srgbClr w14:val="000000"/>
                  </w14:solidFill>
                  <w14:prstDash w14:val="solid"/>
                  <w14:miter w14:val="0"/>
                </w14:textOutline>
              </w:rPr>
              <w:t>（</w:t>
            </w:r>
            <w:r>
              <w:rPr>
                <w:b/>
                <w:bCs/>
                <w:spacing w:val="-3"/>
              </w:rPr>
              <w:t>hm</w:t>
            </w:r>
            <w:r>
              <w:rPr>
                <w:b/>
                <w:bCs/>
                <w:spacing w:val="-3"/>
                <w:position w:val="6"/>
                <w:sz w:val="14"/>
                <w:szCs w:val="14"/>
              </w:rPr>
              <w:t>2</w:t>
            </w:r>
            <w:r>
              <w:rPr>
                <w:rFonts w:ascii="仿宋" w:hAnsi="仿宋" w:eastAsia="仿宋" w:cs="仿宋"/>
                <w:spacing w:val="-3"/>
                <w14:textOutline w14:w="3810" w14:cap="flat" w14:cmpd="sng">
                  <w14:solidFill>
                    <w14:srgbClr w14:val="000000"/>
                  </w14:solidFill>
                  <w14:prstDash w14:val="solid"/>
                  <w14:miter w14:val="0"/>
                </w14:textOutline>
              </w:rPr>
              <w:t>）</w:t>
            </w:r>
          </w:p>
        </w:tc>
        <w:tc>
          <w:tcPr>
            <w:tcW w:w="1248" w:type="dxa"/>
            <w:tcBorders>
              <w:top w:val="single" w:color="000000" w:sz="12" w:space="0"/>
            </w:tcBorders>
            <w:vAlign w:val="top"/>
          </w:tcPr>
          <w:p>
            <w:pPr>
              <w:pStyle w:val="6"/>
              <w:spacing w:before="208" w:line="253" w:lineRule="auto"/>
              <w:ind w:left="139" w:right="139" w:firstLine="80"/>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变化的面</w:t>
            </w:r>
            <w:r>
              <w:rPr>
                <w:rFonts w:ascii="仿宋" w:hAnsi="仿宋" w:eastAsia="仿宋" w:cs="仿宋"/>
                <w:spacing w:val="2"/>
              </w:rPr>
              <w:t xml:space="preserve"> </w:t>
            </w:r>
            <w:r>
              <w:rPr>
                <w:rFonts w:ascii="仿宋" w:hAnsi="仿宋" w:eastAsia="仿宋" w:cs="仿宋"/>
                <w:spacing w:val="-5"/>
                <w14:textOutline w14:w="3810" w14:cap="flat" w14:cmpd="sng">
                  <w14:solidFill>
                    <w14:srgbClr w14:val="000000"/>
                  </w14:solidFill>
                  <w14:prstDash w14:val="solid"/>
                  <w14:miter w14:val="0"/>
                </w14:textOutline>
              </w:rPr>
              <w:t>积（</w:t>
            </w:r>
            <w:r>
              <w:rPr>
                <w:b/>
                <w:bCs/>
                <w:spacing w:val="-5"/>
              </w:rPr>
              <w:t>hm</w:t>
            </w:r>
            <w:r>
              <w:rPr>
                <w:b/>
                <w:bCs/>
                <w:spacing w:val="-5"/>
                <w:position w:val="6"/>
                <w:sz w:val="14"/>
                <w:szCs w:val="14"/>
              </w:rPr>
              <w:t>2</w:t>
            </w:r>
            <w:r>
              <w:rPr>
                <w:rFonts w:ascii="仿宋" w:hAnsi="仿宋" w:eastAsia="仿宋" w:cs="仿宋"/>
                <w:spacing w:val="-5"/>
                <w14:textOutline w14:w="3810" w14:cap="flat" w14:cmpd="sng">
                  <w14:solidFill>
                    <w14:srgbClr w14:val="000000"/>
                  </w14:solidFill>
                  <w14:prstDash w14:val="solid"/>
                  <w14:miter w14:val="0"/>
                </w14:textOutline>
              </w:rPr>
              <w:t>）</w:t>
            </w:r>
          </w:p>
        </w:tc>
        <w:tc>
          <w:tcPr>
            <w:tcW w:w="1162" w:type="dxa"/>
            <w:tcBorders>
              <w:top w:val="single" w:color="000000" w:sz="12" w:space="0"/>
            </w:tcBorders>
            <w:vAlign w:val="top"/>
          </w:tcPr>
          <w:p>
            <w:pPr>
              <w:pStyle w:val="6"/>
              <w:spacing w:before="206" w:line="245" w:lineRule="auto"/>
              <w:ind w:left="114" w:right="103" w:firstLine="57"/>
            </w:pPr>
            <w:r>
              <w:rPr>
                <w:rFonts w:ascii="仿宋" w:hAnsi="仿宋" w:eastAsia="仿宋" w:cs="仿宋"/>
                <w:spacing w:val="-3"/>
                <w14:textOutline w14:w="3810" w14:cap="flat" w14:cmpd="sng">
                  <w14:solidFill>
                    <w14:srgbClr w14:val="000000"/>
                  </w14:solidFill>
                  <w14:prstDash w14:val="solid"/>
                  <w14:miter w14:val="0"/>
                </w14:textOutline>
              </w:rPr>
              <w:t>净生产力</w:t>
            </w:r>
            <w:r>
              <w:rPr>
                <w:rFonts w:ascii="仿宋" w:hAnsi="仿宋" w:eastAsia="仿宋" w:cs="仿宋"/>
              </w:rPr>
              <w:t xml:space="preserve"> </w:t>
            </w:r>
            <w:r>
              <w:rPr>
                <w:b/>
                <w:bCs/>
                <w:spacing w:val="-1"/>
              </w:rPr>
              <w:t>(t/a</w:t>
            </w:r>
            <w:r>
              <w:rPr>
                <w:rFonts w:ascii="仿宋" w:hAnsi="仿宋" w:eastAsia="仿宋" w:cs="仿宋"/>
                <w:spacing w:val="-1"/>
                <w14:textOutline w14:w="3810" w14:cap="flat" w14:cmpd="sng">
                  <w14:solidFill>
                    <w14:srgbClr w14:val="000000"/>
                  </w14:solidFill>
                  <w14:prstDash w14:val="solid"/>
                  <w14:miter w14:val="0"/>
                </w14:textOutline>
              </w:rPr>
              <w:t>·</w:t>
            </w:r>
            <w:r>
              <w:rPr>
                <w:b/>
                <w:bCs/>
                <w:spacing w:val="-1"/>
              </w:rPr>
              <w:t>hm</w:t>
            </w:r>
            <w:r>
              <w:rPr>
                <w:b/>
                <w:bCs/>
                <w:spacing w:val="-1"/>
                <w:position w:val="6"/>
                <w:sz w:val="14"/>
                <w:szCs w:val="14"/>
              </w:rPr>
              <w:t>2</w:t>
            </w:r>
            <w:r>
              <w:rPr>
                <w:b/>
                <w:bCs/>
                <w:spacing w:val="-1"/>
              </w:rPr>
              <w:t>)</w:t>
            </w:r>
          </w:p>
        </w:tc>
        <w:tc>
          <w:tcPr>
            <w:tcW w:w="1134" w:type="dxa"/>
            <w:tcBorders>
              <w:top w:val="single" w:color="000000" w:sz="12" w:space="0"/>
            </w:tcBorders>
            <w:vAlign w:val="top"/>
          </w:tcPr>
          <w:p>
            <w:pPr>
              <w:pStyle w:val="6"/>
              <w:spacing w:before="49" w:line="253" w:lineRule="auto"/>
              <w:ind w:left="156" w:right="142"/>
              <w:jc w:val="both"/>
              <w:rPr>
                <w:rFonts w:ascii="仿宋" w:hAnsi="仿宋" w:eastAsia="仿宋" w:cs="仿宋"/>
              </w:rPr>
            </w:pPr>
            <w:r>
              <w:rPr>
                <w:rFonts w:ascii="仿宋" w:hAnsi="仿宋" w:eastAsia="仿宋" w:cs="仿宋"/>
                <w:spacing w:val="-3"/>
                <w14:textOutline w14:w="3810" w14:cap="flat" w14:cmpd="sng">
                  <w14:solidFill>
                    <w14:srgbClr w14:val="000000"/>
                  </w14:solidFill>
                  <w14:prstDash w14:val="solid"/>
                  <w14:miter w14:val="0"/>
                </w14:textOutline>
              </w:rPr>
              <w:t>评价区植</w:t>
            </w:r>
            <w:r>
              <w:rPr>
                <w:rFonts w:ascii="仿宋" w:hAnsi="仿宋" w:eastAsia="仿宋" w:cs="仿宋"/>
              </w:rPr>
              <w:t xml:space="preserve"> </w:t>
            </w:r>
            <w:r>
              <w:rPr>
                <w:rFonts w:ascii="仿宋" w:hAnsi="仿宋" w:eastAsia="仿宋" w:cs="仿宋"/>
                <w:spacing w:val="-3"/>
                <w14:textOutline w14:w="3810" w14:cap="flat" w14:cmpd="sng">
                  <w14:solidFill>
                    <w14:srgbClr w14:val="000000"/>
                  </w14:solidFill>
                  <w14:prstDash w14:val="solid"/>
                  <w14:miter w14:val="0"/>
                </w14:textOutline>
              </w:rPr>
              <w:t>被生产力</w:t>
            </w:r>
            <w:r>
              <w:rPr>
                <w:rFonts w:ascii="仿宋" w:hAnsi="仿宋" w:eastAsia="仿宋" w:cs="仿宋"/>
              </w:rPr>
              <w:t xml:space="preserve"> </w:t>
            </w:r>
            <w:r>
              <w:rPr>
                <w:rFonts w:ascii="仿宋" w:hAnsi="仿宋" w:eastAsia="仿宋" w:cs="仿宋"/>
                <w:spacing w:val="16"/>
                <w14:textOutline w14:w="3810" w14:cap="flat" w14:cmpd="sng">
                  <w14:solidFill>
                    <w14:srgbClr w14:val="000000"/>
                  </w14:solidFill>
                  <w14:prstDash w14:val="solid"/>
                  <w14:miter w14:val="0"/>
                </w14:textOutline>
              </w:rPr>
              <w:t>（</w:t>
            </w:r>
            <w:r>
              <w:rPr>
                <w:b/>
                <w:bCs/>
                <w:spacing w:val="16"/>
              </w:rPr>
              <w:t>t/a</w:t>
            </w:r>
            <w:r>
              <w:rPr>
                <w:rFonts w:ascii="仿宋" w:hAnsi="仿宋" w:eastAsia="仿宋" w:cs="仿宋"/>
                <w:spacing w:val="16"/>
                <w14:textOutline w14:w="3810" w14:cap="flat" w14:cmpd="sng">
                  <w14:solidFill>
                    <w14:srgbClr w14:val="000000"/>
                  </w14:solidFill>
                  <w14:prstDash w14:val="solid"/>
                  <w14:miter w14:val="0"/>
                </w14:textOutline>
              </w:rPr>
              <w:t>）</w:t>
            </w:r>
          </w:p>
        </w:tc>
        <w:tc>
          <w:tcPr>
            <w:tcW w:w="1134" w:type="dxa"/>
            <w:tcBorders>
              <w:top w:val="single" w:color="000000" w:sz="12" w:space="0"/>
            </w:tcBorders>
            <w:vAlign w:val="top"/>
          </w:tcPr>
          <w:p>
            <w:pPr>
              <w:pStyle w:val="6"/>
              <w:spacing w:before="49" w:line="253" w:lineRule="auto"/>
              <w:ind w:left="156" w:right="142" w:firstLine="6"/>
              <w:jc w:val="both"/>
              <w:rPr>
                <w:rFonts w:ascii="仿宋" w:hAnsi="仿宋" w:eastAsia="仿宋" w:cs="仿宋"/>
              </w:rPr>
            </w:pPr>
            <w:r>
              <w:rPr>
                <w:rFonts w:ascii="仿宋" w:hAnsi="仿宋" w:eastAsia="仿宋" w:cs="仿宋"/>
                <w:spacing w:val="-5"/>
                <w14:textOutline w14:w="3810" w14:cap="flat" w14:cmpd="sng">
                  <w14:solidFill>
                    <w14:srgbClr w14:val="000000"/>
                  </w14:solidFill>
                  <w14:prstDash w14:val="solid"/>
                  <w14:miter w14:val="0"/>
                </w14:textOutline>
              </w:rPr>
              <w:t>变化的植</w:t>
            </w:r>
            <w:r>
              <w:rPr>
                <w:rFonts w:ascii="仿宋" w:hAnsi="仿宋" w:eastAsia="仿宋" w:cs="仿宋"/>
                <w:spacing w:val="2"/>
              </w:rPr>
              <w:t xml:space="preserve"> </w:t>
            </w:r>
            <w:r>
              <w:rPr>
                <w:rFonts w:ascii="仿宋" w:hAnsi="仿宋" w:eastAsia="仿宋" w:cs="仿宋"/>
                <w:spacing w:val="-3"/>
                <w14:textOutline w14:w="3810" w14:cap="flat" w14:cmpd="sng">
                  <w14:solidFill>
                    <w14:srgbClr w14:val="000000"/>
                  </w14:solidFill>
                  <w14:prstDash w14:val="solid"/>
                  <w14:miter w14:val="0"/>
                </w14:textOutline>
              </w:rPr>
              <w:t>被生产力</w:t>
            </w:r>
            <w:r>
              <w:rPr>
                <w:rFonts w:ascii="仿宋" w:hAnsi="仿宋" w:eastAsia="仿宋" w:cs="仿宋"/>
              </w:rPr>
              <w:t xml:space="preserve"> </w:t>
            </w:r>
            <w:r>
              <w:rPr>
                <w:rFonts w:ascii="仿宋" w:hAnsi="仿宋" w:eastAsia="仿宋" w:cs="仿宋"/>
                <w:spacing w:val="16"/>
                <w14:textOutline w14:w="3810" w14:cap="flat" w14:cmpd="sng">
                  <w14:solidFill>
                    <w14:srgbClr w14:val="000000"/>
                  </w14:solidFill>
                  <w14:prstDash w14:val="solid"/>
                  <w14:miter w14:val="0"/>
                </w14:textOutline>
              </w:rPr>
              <w:t>（</w:t>
            </w:r>
            <w:r>
              <w:rPr>
                <w:b/>
                <w:bCs/>
                <w:spacing w:val="16"/>
              </w:rPr>
              <w:t>t/a</w:t>
            </w:r>
            <w:r>
              <w:rPr>
                <w:rFonts w:ascii="仿宋" w:hAnsi="仿宋" w:eastAsia="仿宋" w:cs="仿宋"/>
                <w:spacing w:val="16"/>
                <w14:textOutline w14:w="3810" w14:cap="flat" w14:cmpd="sng">
                  <w14:solidFill>
                    <w14:srgbClr w14:val="000000"/>
                  </w14:solidFill>
                  <w14:prstDash w14:val="solid"/>
                  <w14:miter w14:val="0"/>
                </w14:textOutline>
              </w:rPr>
              <w:t>）</w:t>
            </w:r>
          </w:p>
        </w:tc>
        <w:tc>
          <w:tcPr>
            <w:tcW w:w="1088" w:type="dxa"/>
            <w:tcBorders>
              <w:top w:val="single" w:color="000000" w:sz="12" w:space="0"/>
              <w:right w:val="nil"/>
            </w:tcBorders>
            <w:vAlign w:val="top"/>
          </w:tcPr>
          <w:p>
            <w:pPr>
              <w:pStyle w:val="6"/>
              <w:spacing w:before="207" w:line="260" w:lineRule="auto"/>
              <w:ind w:left="239" w:right="121" w:hanging="69"/>
              <w:rPr>
                <w:rFonts w:ascii="仿宋" w:hAnsi="仿宋" w:eastAsia="仿宋" w:cs="仿宋"/>
              </w:rPr>
            </w:pPr>
            <w:r>
              <w:rPr>
                <w:rFonts w:ascii="仿宋" w:hAnsi="仿宋" w:eastAsia="仿宋" w:cs="仿宋"/>
                <w:spacing w:val="-12"/>
                <w14:textOutline w14:w="3810" w14:cap="flat" w14:cmpd="sng">
                  <w14:solidFill>
                    <w14:srgbClr w14:val="000000"/>
                  </w14:solidFill>
                  <w14:prstDash w14:val="solid"/>
                  <w14:miter w14:val="0"/>
                </w14:textOutline>
              </w:rPr>
              <w:t>占评价区</w:t>
            </w:r>
            <w:r>
              <w:rPr>
                <w:rFonts w:ascii="仿宋" w:hAnsi="仿宋" w:eastAsia="仿宋" w:cs="仿宋"/>
              </w:rPr>
              <w:t xml:space="preserve"> </w:t>
            </w:r>
            <w:r>
              <w:rPr>
                <w:rFonts w:ascii="仿宋" w:hAnsi="仿宋" w:eastAsia="仿宋" w:cs="仿宋"/>
                <w:spacing w:val="-5"/>
                <w14:textOutline w14:w="3810" w14:cap="flat" w14:cmpd="sng">
                  <w14:solidFill>
                    <w14:srgbClr w14:val="000000"/>
                  </w14:solidFill>
                  <w14:prstDash w14:val="solid"/>
                  <w14:miter w14:val="0"/>
                </w14:textOutline>
              </w:rPr>
              <w:t>（</w:t>
            </w:r>
            <w:r>
              <w:rPr>
                <w:b/>
                <w:bCs/>
                <w:spacing w:val="-5"/>
              </w:rPr>
              <w:t>%</w:t>
            </w:r>
            <w:r>
              <w:rPr>
                <w:rFonts w:ascii="仿宋" w:hAnsi="仿宋" w:eastAsia="仿宋" w:cs="仿宋"/>
                <w:spacing w:val="-5"/>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0" w:hRule="atLeast"/>
        </w:trPr>
        <w:tc>
          <w:tcPr>
            <w:tcW w:w="1728" w:type="dxa"/>
            <w:tcBorders>
              <w:left w:val="nil"/>
            </w:tcBorders>
            <w:vAlign w:val="top"/>
          </w:tcPr>
          <w:p>
            <w:pPr>
              <w:spacing w:before="69" w:line="203" w:lineRule="auto"/>
              <w:ind w:left="676"/>
              <w:rPr>
                <w:rFonts w:ascii="仿宋" w:hAnsi="仿宋" w:eastAsia="仿宋" w:cs="仿宋"/>
                <w:sz w:val="21"/>
                <w:szCs w:val="21"/>
              </w:rPr>
            </w:pPr>
            <w:r>
              <w:rPr>
                <w:rFonts w:ascii="仿宋" w:hAnsi="仿宋" w:eastAsia="仿宋" w:cs="仿宋"/>
                <w:spacing w:val="-4"/>
                <w:sz w:val="21"/>
                <w:szCs w:val="21"/>
              </w:rPr>
              <w:t>其他</w:t>
            </w:r>
          </w:p>
        </w:tc>
        <w:tc>
          <w:tcPr>
            <w:tcW w:w="1134" w:type="dxa"/>
            <w:vAlign w:val="top"/>
          </w:tcPr>
          <w:p>
            <w:pPr>
              <w:pStyle w:val="6"/>
              <w:spacing w:before="105" w:line="188" w:lineRule="auto"/>
              <w:ind w:left="352"/>
            </w:pPr>
            <w:r>
              <w:rPr>
                <w:spacing w:val="-5"/>
              </w:rPr>
              <w:t>10.24</w:t>
            </w:r>
          </w:p>
        </w:tc>
        <w:tc>
          <w:tcPr>
            <w:tcW w:w="1248" w:type="dxa"/>
            <w:vAlign w:val="top"/>
          </w:tcPr>
          <w:p>
            <w:pPr>
              <w:pStyle w:val="6"/>
              <w:spacing w:before="105" w:line="188" w:lineRule="auto"/>
              <w:ind w:left="463"/>
            </w:pPr>
            <w:r>
              <w:rPr>
                <w:spacing w:val="-3"/>
              </w:rPr>
              <w:t>-0.2</w:t>
            </w:r>
          </w:p>
        </w:tc>
        <w:tc>
          <w:tcPr>
            <w:tcW w:w="1162" w:type="dxa"/>
            <w:vAlign w:val="top"/>
          </w:tcPr>
          <w:p>
            <w:pPr>
              <w:pStyle w:val="6"/>
              <w:spacing w:before="193" w:line="101" w:lineRule="exact"/>
              <w:ind w:left="552"/>
            </w:pPr>
            <w:r>
              <w:rPr>
                <w:position w:val="-2"/>
              </w:rPr>
              <w:t>-</w:t>
            </w:r>
          </w:p>
        </w:tc>
        <w:tc>
          <w:tcPr>
            <w:tcW w:w="1134" w:type="dxa"/>
            <w:vAlign w:val="top"/>
          </w:tcPr>
          <w:p>
            <w:pPr>
              <w:pStyle w:val="6"/>
              <w:spacing w:before="193" w:line="101" w:lineRule="exact"/>
              <w:ind w:left="537"/>
            </w:pPr>
            <w:r>
              <w:rPr>
                <w:position w:val="-2"/>
              </w:rPr>
              <w:t>-</w:t>
            </w:r>
          </w:p>
        </w:tc>
        <w:tc>
          <w:tcPr>
            <w:tcW w:w="1134" w:type="dxa"/>
            <w:vAlign w:val="top"/>
          </w:tcPr>
          <w:p>
            <w:pPr>
              <w:pStyle w:val="6"/>
              <w:spacing w:before="193" w:line="101" w:lineRule="exact"/>
              <w:ind w:left="538"/>
            </w:pPr>
            <w:r>
              <w:rPr>
                <w:position w:val="-2"/>
              </w:rPr>
              <w:t>-</w:t>
            </w:r>
          </w:p>
        </w:tc>
        <w:tc>
          <w:tcPr>
            <w:tcW w:w="1088" w:type="dxa"/>
            <w:tcBorders>
              <w:right w:val="nil"/>
            </w:tcBorders>
            <w:vAlign w:val="top"/>
          </w:tcPr>
          <w:p>
            <w:pPr>
              <w:pStyle w:val="6"/>
              <w:spacing w:before="193" w:line="101" w:lineRule="exact"/>
              <w:ind w:left="515"/>
            </w:pPr>
            <w:r>
              <w:rPr>
                <w:position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7" w:hRule="atLeast"/>
        </w:trPr>
        <w:tc>
          <w:tcPr>
            <w:tcW w:w="1728" w:type="dxa"/>
            <w:tcBorders>
              <w:left w:val="nil"/>
              <w:bottom w:val="single" w:color="000000" w:sz="12" w:space="0"/>
            </w:tcBorders>
            <w:vAlign w:val="top"/>
          </w:tcPr>
          <w:p>
            <w:pPr>
              <w:spacing w:before="77" w:line="218" w:lineRule="auto"/>
              <w:ind w:left="680"/>
              <w:rPr>
                <w:rFonts w:ascii="仿宋" w:hAnsi="仿宋" w:eastAsia="仿宋" w:cs="仿宋"/>
                <w:sz w:val="21"/>
                <w:szCs w:val="21"/>
              </w:rPr>
            </w:pPr>
            <w:r>
              <w:rPr>
                <w:rFonts w:ascii="仿宋" w:hAnsi="仿宋" w:eastAsia="仿宋" w:cs="仿宋"/>
                <w:spacing w:val="-5"/>
                <w:sz w:val="21"/>
                <w:szCs w:val="21"/>
              </w:rPr>
              <w:t>合计</w:t>
            </w:r>
          </w:p>
        </w:tc>
        <w:tc>
          <w:tcPr>
            <w:tcW w:w="1134" w:type="dxa"/>
            <w:tcBorders>
              <w:bottom w:val="single" w:color="000000" w:sz="12" w:space="0"/>
            </w:tcBorders>
            <w:vAlign w:val="top"/>
          </w:tcPr>
          <w:p>
            <w:pPr>
              <w:pStyle w:val="6"/>
              <w:spacing w:before="113" w:line="188" w:lineRule="auto"/>
              <w:ind w:left="288"/>
            </w:pPr>
            <w:r>
              <w:rPr>
                <w:spacing w:val="-3"/>
              </w:rPr>
              <w:t>820.50</w:t>
            </w:r>
          </w:p>
        </w:tc>
        <w:tc>
          <w:tcPr>
            <w:tcW w:w="1248" w:type="dxa"/>
            <w:tcBorders>
              <w:bottom w:val="single" w:color="000000" w:sz="12" w:space="0"/>
            </w:tcBorders>
            <w:vAlign w:val="top"/>
          </w:tcPr>
          <w:p>
            <w:pPr>
              <w:pStyle w:val="6"/>
              <w:spacing w:before="113" w:line="188" w:lineRule="auto"/>
              <w:ind w:left="357"/>
            </w:pPr>
            <w:r>
              <w:rPr>
                <w:spacing w:val="-2"/>
              </w:rPr>
              <w:t>-59.59</w:t>
            </w:r>
          </w:p>
        </w:tc>
        <w:tc>
          <w:tcPr>
            <w:tcW w:w="1162" w:type="dxa"/>
            <w:tcBorders>
              <w:bottom w:val="single" w:color="000000" w:sz="12" w:space="0"/>
            </w:tcBorders>
            <w:vAlign w:val="top"/>
          </w:tcPr>
          <w:p>
            <w:pPr>
              <w:rPr>
                <w:rFonts w:ascii="Arial"/>
                <w:sz w:val="21"/>
              </w:rPr>
            </w:pPr>
          </w:p>
        </w:tc>
        <w:tc>
          <w:tcPr>
            <w:tcW w:w="1134" w:type="dxa"/>
            <w:tcBorders>
              <w:bottom w:val="single" w:color="000000" w:sz="12" w:space="0"/>
            </w:tcBorders>
            <w:vAlign w:val="top"/>
          </w:tcPr>
          <w:p>
            <w:pPr>
              <w:pStyle w:val="6"/>
              <w:spacing w:before="113" w:line="188" w:lineRule="auto"/>
              <w:ind w:left="226"/>
            </w:pPr>
            <w:r>
              <w:rPr>
                <w:spacing w:val="-1"/>
              </w:rPr>
              <w:t>4867.45</w:t>
            </w:r>
          </w:p>
        </w:tc>
        <w:tc>
          <w:tcPr>
            <w:tcW w:w="1134" w:type="dxa"/>
            <w:tcBorders>
              <w:bottom w:val="single" w:color="000000" w:sz="12" w:space="0"/>
            </w:tcBorders>
            <w:vAlign w:val="top"/>
          </w:tcPr>
          <w:p>
            <w:pPr>
              <w:pStyle w:val="6"/>
              <w:spacing w:before="116" w:line="185" w:lineRule="auto"/>
              <w:ind w:left="248"/>
            </w:pPr>
            <w:r>
              <w:rPr>
                <w:spacing w:val="-2"/>
              </w:rPr>
              <w:t>-575.77</w:t>
            </w:r>
          </w:p>
        </w:tc>
        <w:tc>
          <w:tcPr>
            <w:tcW w:w="1088" w:type="dxa"/>
            <w:tcBorders>
              <w:bottom w:val="single" w:color="000000" w:sz="12" w:space="0"/>
              <w:right w:val="nil"/>
            </w:tcBorders>
            <w:vAlign w:val="top"/>
          </w:tcPr>
          <w:p>
            <w:pPr>
              <w:pStyle w:val="6"/>
              <w:spacing w:before="113" w:line="188" w:lineRule="auto"/>
              <w:ind w:left="282"/>
            </w:pPr>
            <w:r>
              <w:rPr>
                <w:spacing w:val="-7"/>
              </w:rPr>
              <w:t>-</w:t>
            </w:r>
            <w:r>
              <w:rPr>
                <w:spacing w:val="-28"/>
              </w:rPr>
              <w:t xml:space="preserve"> </w:t>
            </w:r>
            <w:r>
              <w:rPr>
                <w:spacing w:val="-7"/>
              </w:rPr>
              <w:t>11.83</w:t>
            </w:r>
          </w:p>
        </w:tc>
      </w:tr>
    </w:tbl>
    <w:p>
      <w:pPr>
        <w:spacing w:before="36" w:line="359" w:lineRule="auto"/>
        <w:ind w:left="175" w:right="154" w:firstLine="481"/>
        <w:jc w:val="both"/>
        <w:rPr>
          <w:rFonts w:ascii="宋体" w:hAnsi="宋体" w:eastAsia="宋体" w:cs="宋体"/>
          <w:sz w:val="24"/>
          <w:szCs w:val="24"/>
        </w:rPr>
      </w:pPr>
      <w:r>
        <w:rPr>
          <w:rFonts w:ascii="宋体" w:hAnsi="宋体" w:eastAsia="宋体" w:cs="宋体"/>
          <w:spacing w:val="-1"/>
          <w:sz w:val="24"/>
          <w:szCs w:val="24"/>
        </w:rPr>
        <w:t>恢复稳定性与高亚稳定元素</w:t>
      </w:r>
      <w:r>
        <w:rPr>
          <w:rFonts w:ascii="Times New Roman" w:hAnsi="Times New Roman" w:eastAsia="Times New Roman" w:cs="Times New Roman"/>
          <w:spacing w:val="-1"/>
          <w:sz w:val="24"/>
          <w:szCs w:val="24"/>
        </w:rPr>
        <w:t>(</w:t>
      </w:r>
      <w:r>
        <w:rPr>
          <w:rFonts w:ascii="宋体" w:hAnsi="宋体" w:eastAsia="宋体" w:cs="宋体"/>
          <w:spacing w:val="-1"/>
          <w:sz w:val="24"/>
          <w:szCs w:val="24"/>
        </w:rPr>
        <w:t>如植被</w:t>
      </w:r>
      <w:r>
        <w:rPr>
          <w:rFonts w:ascii="Times New Roman" w:hAnsi="Times New Roman" w:eastAsia="Times New Roman" w:cs="Times New Roman"/>
          <w:spacing w:val="-1"/>
          <w:sz w:val="24"/>
          <w:szCs w:val="24"/>
        </w:rPr>
        <w:t>)</w:t>
      </w:r>
      <w:r>
        <w:rPr>
          <w:rFonts w:ascii="宋体" w:hAnsi="宋体" w:eastAsia="宋体" w:cs="宋体"/>
          <w:spacing w:val="-1"/>
          <w:sz w:val="24"/>
          <w:szCs w:val="24"/>
        </w:rPr>
        <w:t>的数量和生产能力较为密切。工程建成</w:t>
      </w:r>
      <w:r>
        <w:rPr>
          <w:rFonts w:ascii="宋体" w:hAnsi="宋体" w:eastAsia="宋体" w:cs="宋体"/>
          <w:spacing w:val="10"/>
          <w:sz w:val="24"/>
          <w:szCs w:val="24"/>
        </w:rPr>
        <w:t xml:space="preserve"> </w:t>
      </w:r>
      <w:r>
        <w:rPr>
          <w:rFonts w:ascii="宋体" w:hAnsi="宋体" w:eastAsia="宋体" w:cs="宋体"/>
          <w:spacing w:val="-20"/>
          <w:sz w:val="24"/>
          <w:szCs w:val="24"/>
        </w:rPr>
        <w:t>后，</w:t>
      </w:r>
      <w:r>
        <w:rPr>
          <w:rFonts w:ascii="宋体" w:hAnsi="宋体" w:eastAsia="宋体" w:cs="宋体"/>
          <w:spacing w:val="-23"/>
          <w:sz w:val="24"/>
          <w:szCs w:val="24"/>
        </w:rPr>
        <w:t xml:space="preserve"> </w:t>
      </w:r>
      <w:r>
        <w:rPr>
          <w:rFonts w:ascii="宋体" w:hAnsi="宋体" w:eastAsia="宋体" w:cs="宋体"/>
          <w:spacing w:val="-20"/>
          <w:sz w:val="24"/>
          <w:szCs w:val="24"/>
        </w:rPr>
        <w:t>各种土地类型发生变化，</w:t>
      </w:r>
      <w:r>
        <w:rPr>
          <w:rFonts w:ascii="宋体" w:hAnsi="宋体" w:eastAsia="宋体" w:cs="宋体"/>
          <w:spacing w:val="46"/>
          <w:sz w:val="24"/>
          <w:szCs w:val="24"/>
        </w:rPr>
        <w:t xml:space="preserve"> </w:t>
      </w:r>
      <w:r>
        <w:rPr>
          <w:rFonts w:ascii="宋体" w:hAnsi="宋体" w:eastAsia="宋体" w:cs="宋体"/>
          <w:spacing w:val="-20"/>
          <w:sz w:val="24"/>
          <w:szCs w:val="24"/>
        </w:rPr>
        <w:t>林地、草地、耕地等面积减少，</w:t>
      </w:r>
      <w:r>
        <w:rPr>
          <w:rFonts w:ascii="宋体" w:hAnsi="宋体" w:eastAsia="宋体" w:cs="宋体"/>
          <w:spacing w:val="48"/>
          <w:sz w:val="24"/>
          <w:szCs w:val="24"/>
        </w:rPr>
        <w:t xml:space="preserve"> </w:t>
      </w:r>
      <w:r>
        <w:rPr>
          <w:rFonts w:ascii="宋体" w:hAnsi="宋体" w:eastAsia="宋体" w:cs="宋体"/>
          <w:spacing w:val="-20"/>
          <w:sz w:val="24"/>
          <w:szCs w:val="24"/>
        </w:rPr>
        <w:t>水域面积增加，</w:t>
      </w:r>
      <w:r>
        <w:rPr>
          <w:rFonts w:ascii="宋体" w:hAnsi="宋体" w:eastAsia="宋体" w:cs="宋体"/>
          <w:spacing w:val="46"/>
          <w:sz w:val="24"/>
          <w:szCs w:val="24"/>
        </w:rPr>
        <w:t xml:space="preserve"> </w:t>
      </w:r>
      <w:r>
        <w:rPr>
          <w:rFonts w:ascii="宋体" w:hAnsi="宋体" w:eastAsia="宋体" w:cs="宋体"/>
          <w:spacing w:val="-20"/>
          <w:sz w:val="24"/>
          <w:szCs w:val="24"/>
        </w:rPr>
        <w:t>这</w:t>
      </w:r>
      <w:r>
        <w:rPr>
          <w:rFonts w:ascii="宋体" w:hAnsi="宋体" w:eastAsia="宋体" w:cs="宋体"/>
          <w:sz w:val="24"/>
          <w:szCs w:val="24"/>
        </w:rPr>
        <w:t xml:space="preserve"> </w:t>
      </w:r>
      <w:r>
        <w:rPr>
          <w:rFonts w:ascii="宋体" w:hAnsi="宋体" w:eastAsia="宋体" w:cs="宋体"/>
          <w:spacing w:val="-6"/>
          <w:sz w:val="24"/>
          <w:szCs w:val="24"/>
        </w:rPr>
        <w:t>将使评价区生态系统生物量减少。工程建设后， 将造成评价区植</w:t>
      </w:r>
      <w:r>
        <w:rPr>
          <w:rFonts w:ascii="宋体" w:hAnsi="宋体" w:eastAsia="宋体" w:cs="宋体"/>
          <w:spacing w:val="-7"/>
          <w:sz w:val="24"/>
          <w:szCs w:val="24"/>
        </w:rPr>
        <w:t>被生物量减少约</w:t>
      </w:r>
      <w:r>
        <w:rPr>
          <w:rFonts w:ascii="宋体" w:hAnsi="宋体" w:eastAsia="宋体" w:cs="宋体"/>
          <w:sz w:val="24"/>
          <w:szCs w:val="24"/>
        </w:rPr>
        <w:t xml:space="preserve"> </w:t>
      </w:r>
      <w:r>
        <w:rPr>
          <w:rFonts w:ascii="Times New Roman" w:hAnsi="Times New Roman" w:eastAsia="Times New Roman" w:cs="Times New Roman"/>
          <w:spacing w:val="-11"/>
          <w:sz w:val="24"/>
          <w:szCs w:val="24"/>
        </w:rPr>
        <w:t>939980t</w:t>
      </w:r>
      <w:r>
        <w:rPr>
          <w:rFonts w:ascii="宋体" w:hAnsi="宋体" w:eastAsia="宋体" w:cs="宋体"/>
          <w:spacing w:val="-11"/>
          <w:sz w:val="24"/>
          <w:szCs w:val="24"/>
        </w:rPr>
        <w:t>，植被生产力减少</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370.79t/a</w:t>
      </w:r>
      <w:r>
        <w:rPr>
          <w:rFonts w:ascii="宋体" w:hAnsi="宋体" w:eastAsia="宋体" w:cs="宋体"/>
          <w:spacing w:val="-11"/>
          <w:sz w:val="24"/>
          <w:szCs w:val="24"/>
        </w:rPr>
        <w:t>。因此，</w:t>
      </w:r>
      <w:r>
        <w:rPr>
          <w:rFonts w:ascii="宋体" w:hAnsi="宋体" w:eastAsia="宋体" w:cs="宋体"/>
          <w:spacing w:val="24"/>
          <w:sz w:val="24"/>
          <w:szCs w:val="24"/>
        </w:rPr>
        <w:t xml:space="preserve"> </w:t>
      </w:r>
      <w:r>
        <w:rPr>
          <w:rFonts w:ascii="宋体" w:hAnsi="宋体" w:eastAsia="宋体" w:cs="宋体"/>
          <w:spacing w:val="-11"/>
          <w:sz w:val="24"/>
          <w:szCs w:val="24"/>
        </w:rPr>
        <w:t>工程引起的干扰是可以承受的，</w:t>
      </w:r>
      <w:r>
        <w:rPr>
          <w:rFonts w:ascii="宋体" w:hAnsi="宋体" w:eastAsia="宋体" w:cs="宋体"/>
          <w:spacing w:val="23"/>
          <w:sz w:val="24"/>
          <w:szCs w:val="24"/>
        </w:rPr>
        <w:t xml:space="preserve"> </w:t>
      </w:r>
      <w:r>
        <w:rPr>
          <w:rFonts w:ascii="宋体" w:hAnsi="宋体" w:eastAsia="宋体" w:cs="宋体"/>
          <w:spacing w:val="-11"/>
          <w:sz w:val="24"/>
          <w:szCs w:val="24"/>
        </w:rPr>
        <w:t>生态</w:t>
      </w:r>
    </w:p>
    <w:p>
      <w:pPr>
        <w:spacing w:line="219" w:lineRule="auto"/>
        <w:ind w:left="182"/>
        <w:rPr>
          <w:rFonts w:ascii="宋体" w:hAnsi="宋体" w:eastAsia="宋体" w:cs="宋体"/>
          <w:sz w:val="24"/>
          <w:szCs w:val="24"/>
        </w:rPr>
      </w:pPr>
      <w:r>
        <w:rPr>
          <w:rFonts w:ascii="宋体" w:hAnsi="宋体" w:eastAsia="宋体" w:cs="宋体"/>
          <w:spacing w:val="-3"/>
          <w:sz w:val="24"/>
          <w:szCs w:val="24"/>
        </w:rPr>
        <w:t>系统的完整性和稳定性没有发生大的改变。</w:t>
      </w:r>
    </w:p>
    <w:p>
      <w:pPr>
        <w:spacing w:line="430" w:lineRule="auto"/>
        <w:rPr>
          <w:rFonts w:ascii="Arial"/>
          <w:sz w:val="21"/>
        </w:rPr>
      </w:pPr>
    </w:p>
    <w:p>
      <w:pPr>
        <w:pStyle w:val="2"/>
        <w:spacing w:before="78" w:line="218" w:lineRule="auto"/>
        <w:ind w:left="174"/>
        <w:outlineLvl w:val="2"/>
        <w:rPr>
          <w:sz w:val="24"/>
          <w:szCs w:val="24"/>
        </w:rPr>
      </w:pPr>
      <w:r>
        <w:rPr>
          <w:rFonts w:ascii="Times New Roman" w:hAnsi="Times New Roman" w:eastAsia="Times New Roman" w:cs="Times New Roman"/>
          <w:b/>
          <w:bCs/>
          <w:spacing w:val="-1"/>
          <w:sz w:val="24"/>
          <w:szCs w:val="24"/>
        </w:rPr>
        <w:t xml:space="preserve">4.4.7 </w:t>
      </w:r>
      <w:r>
        <w:rPr>
          <w:spacing w:val="-1"/>
          <w:sz w:val="24"/>
          <w:szCs w:val="24"/>
          <w14:textOutline w14:w="4354" w14:cap="flat" w14:cmpd="sng">
            <w14:solidFill>
              <w14:srgbClr w14:val="000000"/>
            </w14:solidFill>
            <w14:prstDash w14:val="solid"/>
            <w14:miter w14:val="0"/>
          </w14:textOutline>
        </w:rPr>
        <w:t>景观生态影响分析</w:t>
      </w:r>
    </w:p>
    <w:p>
      <w:pPr>
        <w:spacing w:before="219" w:line="466" w:lineRule="exact"/>
        <w:ind w:left="656"/>
        <w:rPr>
          <w:rFonts w:ascii="宋体" w:hAnsi="宋体" w:eastAsia="宋体" w:cs="宋体"/>
          <w:sz w:val="24"/>
          <w:szCs w:val="24"/>
        </w:rPr>
      </w:pPr>
      <w:r>
        <w:rPr>
          <w:rFonts w:ascii="宋体" w:hAnsi="宋体" w:eastAsia="宋体" w:cs="宋体"/>
          <w:spacing w:val="-3"/>
          <w:position w:val="17"/>
          <w:sz w:val="24"/>
          <w:szCs w:val="24"/>
        </w:rPr>
        <w:t>评价区包括常绿阔叶林、硬叶常绿阔叶林、暖性针叶林、落叶</w:t>
      </w:r>
      <w:r>
        <w:rPr>
          <w:rFonts w:ascii="宋体" w:hAnsi="宋体" w:eastAsia="宋体" w:cs="宋体"/>
          <w:spacing w:val="-4"/>
          <w:position w:val="17"/>
          <w:sz w:val="24"/>
          <w:szCs w:val="24"/>
        </w:rPr>
        <w:t>阔叶林、稀树</w:t>
      </w:r>
    </w:p>
    <w:p>
      <w:pPr>
        <w:spacing w:before="1" w:line="218" w:lineRule="auto"/>
        <w:ind w:left="180"/>
        <w:rPr>
          <w:rFonts w:ascii="宋体" w:hAnsi="宋体" w:eastAsia="宋体" w:cs="宋体"/>
          <w:sz w:val="24"/>
          <w:szCs w:val="24"/>
        </w:rPr>
      </w:pPr>
      <w:r>
        <w:rPr>
          <w:rFonts w:ascii="宋体" w:hAnsi="宋体" w:eastAsia="宋体" w:cs="宋体"/>
          <w:spacing w:val="-2"/>
          <w:sz w:val="24"/>
          <w:szCs w:val="24"/>
        </w:rPr>
        <w:t>灌木草丛、灌丛、耕地、交通用地、水域、建筑用地等</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种拼块类</w:t>
      </w:r>
      <w:r>
        <w:rPr>
          <w:rFonts w:ascii="宋体" w:hAnsi="宋体" w:eastAsia="宋体" w:cs="宋体"/>
          <w:spacing w:val="-3"/>
          <w:sz w:val="24"/>
          <w:szCs w:val="24"/>
        </w:rPr>
        <w:t>型。</w:t>
      </w:r>
    </w:p>
    <w:p>
      <w:pPr>
        <w:spacing w:before="185" w:line="359" w:lineRule="auto"/>
        <w:ind w:left="176" w:right="153" w:firstLine="484"/>
        <w:rPr>
          <w:rFonts w:ascii="宋体" w:hAnsi="宋体" w:eastAsia="宋体" w:cs="宋体"/>
          <w:sz w:val="24"/>
          <w:szCs w:val="24"/>
        </w:rPr>
      </w:pPr>
      <w:r>
        <w:rPr>
          <w:rFonts w:ascii="宋体" w:hAnsi="宋体" w:eastAsia="宋体" w:cs="宋体"/>
          <w:spacing w:val="-3"/>
          <w:sz w:val="24"/>
          <w:szCs w:val="24"/>
        </w:rPr>
        <w:t>景观生态系统的质量现状由生态评价范围内自然环境，</w:t>
      </w:r>
      <w:r>
        <w:rPr>
          <w:rFonts w:ascii="宋体" w:hAnsi="宋体" w:eastAsia="宋体" w:cs="宋体"/>
          <w:spacing w:val="-4"/>
          <w:sz w:val="24"/>
          <w:szCs w:val="24"/>
        </w:rPr>
        <w:t>各种生物以及人类社</w:t>
      </w:r>
      <w:r>
        <w:rPr>
          <w:rFonts w:ascii="宋体" w:hAnsi="宋体" w:eastAsia="宋体" w:cs="宋体"/>
          <w:sz w:val="24"/>
          <w:szCs w:val="24"/>
        </w:rPr>
        <w:t xml:space="preserve"> </w:t>
      </w:r>
      <w:r>
        <w:rPr>
          <w:rFonts w:ascii="宋体" w:hAnsi="宋体" w:eastAsia="宋体" w:cs="宋体"/>
          <w:spacing w:val="-6"/>
          <w:sz w:val="24"/>
          <w:szCs w:val="24"/>
        </w:rPr>
        <w:t>会之间复杂的相互作用来决定。从景观生态学结构与功能相匹配</w:t>
      </w:r>
      <w:r>
        <w:rPr>
          <w:rFonts w:ascii="宋体" w:hAnsi="宋体" w:eastAsia="宋体" w:cs="宋体"/>
          <w:spacing w:val="-7"/>
          <w:sz w:val="24"/>
          <w:szCs w:val="24"/>
        </w:rPr>
        <w:t>的理论来说， 结</w:t>
      </w:r>
      <w:r>
        <w:rPr>
          <w:rFonts w:ascii="宋体" w:hAnsi="宋体" w:eastAsia="宋体" w:cs="宋体"/>
          <w:sz w:val="24"/>
          <w:szCs w:val="24"/>
        </w:rPr>
        <w:t xml:space="preserve"> </w:t>
      </w:r>
      <w:r>
        <w:rPr>
          <w:rFonts w:ascii="宋体" w:hAnsi="宋体" w:eastAsia="宋体" w:cs="宋体"/>
          <w:spacing w:val="-9"/>
          <w:sz w:val="24"/>
          <w:szCs w:val="24"/>
        </w:rPr>
        <w:t>构是否合理决定了景观功能的优劣， 在组成景观生态系统</w:t>
      </w:r>
      <w:r>
        <w:rPr>
          <w:rFonts w:ascii="宋体" w:hAnsi="宋体" w:eastAsia="宋体" w:cs="宋体"/>
          <w:spacing w:val="-10"/>
          <w:sz w:val="24"/>
          <w:szCs w:val="24"/>
        </w:rPr>
        <w:t>的各类组分中， 基质是</w:t>
      </w:r>
      <w:r>
        <w:rPr>
          <w:rFonts w:ascii="宋体" w:hAnsi="宋体" w:eastAsia="宋体" w:cs="宋体"/>
          <w:sz w:val="24"/>
          <w:szCs w:val="24"/>
        </w:rPr>
        <w:t xml:space="preserve"> </w:t>
      </w:r>
      <w:r>
        <w:rPr>
          <w:rFonts w:ascii="宋体" w:hAnsi="宋体" w:eastAsia="宋体" w:cs="宋体"/>
          <w:spacing w:val="-9"/>
          <w:sz w:val="24"/>
          <w:szCs w:val="24"/>
        </w:rPr>
        <w:t>景观的背景区域， 它在很大程度上决定了景观的性质， 对</w:t>
      </w:r>
      <w:r>
        <w:rPr>
          <w:rFonts w:ascii="宋体" w:hAnsi="宋体" w:eastAsia="宋体" w:cs="宋体"/>
          <w:spacing w:val="-10"/>
          <w:sz w:val="24"/>
          <w:szCs w:val="24"/>
        </w:rPr>
        <w:t>景观的动态起着主导作</w:t>
      </w:r>
      <w:r>
        <w:rPr>
          <w:rFonts w:ascii="宋体" w:hAnsi="宋体" w:eastAsia="宋体" w:cs="宋体"/>
          <w:sz w:val="24"/>
          <w:szCs w:val="24"/>
        </w:rPr>
        <w:t xml:space="preserve"> </w:t>
      </w:r>
      <w:r>
        <w:rPr>
          <w:rFonts w:ascii="宋体" w:hAnsi="宋体" w:eastAsia="宋体" w:cs="宋体"/>
          <w:spacing w:val="-7"/>
          <w:sz w:val="24"/>
          <w:szCs w:val="24"/>
        </w:rPr>
        <w:t>用。本评价范围基质主要采用传统的生态学方法来确定，</w:t>
      </w:r>
      <w:r>
        <w:rPr>
          <w:rFonts w:ascii="宋体" w:hAnsi="宋体" w:eastAsia="宋体" w:cs="宋体"/>
          <w:spacing w:val="32"/>
          <w:sz w:val="24"/>
          <w:szCs w:val="24"/>
        </w:rPr>
        <w:t xml:space="preserve"> </w:t>
      </w:r>
      <w:r>
        <w:rPr>
          <w:rFonts w:ascii="宋体" w:hAnsi="宋体" w:eastAsia="宋体" w:cs="宋体"/>
          <w:spacing w:val="-8"/>
          <w:sz w:val="24"/>
          <w:szCs w:val="24"/>
        </w:rPr>
        <w:t>即计算组成景观的各类</w:t>
      </w:r>
      <w:r>
        <w:rPr>
          <w:rFonts w:ascii="宋体" w:hAnsi="宋体" w:eastAsia="宋体" w:cs="宋体"/>
          <w:sz w:val="24"/>
          <w:szCs w:val="24"/>
        </w:rPr>
        <w:t xml:space="preserve"> </w:t>
      </w:r>
      <w:r>
        <w:rPr>
          <w:rFonts w:ascii="宋体" w:hAnsi="宋体" w:eastAsia="宋体" w:cs="宋体"/>
          <w:spacing w:val="-6"/>
          <w:sz w:val="24"/>
          <w:szCs w:val="24"/>
        </w:rPr>
        <w:t>拼块的优势度值（</w:t>
      </w:r>
      <w:r>
        <w:rPr>
          <w:rFonts w:ascii="Times New Roman" w:hAnsi="Times New Roman" w:eastAsia="Times New Roman" w:cs="Times New Roman"/>
          <w:spacing w:val="-6"/>
          <w:sz w:val="24"/>
          <w:szCs w:val="24"/>
        </w:rPr>
        <w:t>Do</w:t>
      </w:r>
      <w:r>
        <w:rPr>
          <w:rFonts w:ascii="宋体" w:hAnsi="宋体" w:eastAsia="宋体" w:cs="宋体"/>
          <w:spacing w:val="-60"/>
          <w:sz w:val="24"/>
          <w:szCs w:val="24"/>
        </w:rPr>
        <w:t>），</w:t>
      </w:r>
      <w:r>
        <w:rPr>
          <w:rFonts w:ascii="宋体" w:hAnsi="宋体" w:eastAsia="宋体" w:cs="宋体"/>
          <w:spacing w:val="-6"/>
          <w:sz w:val="24"/>
          <w:szCs w:val="24"/>
        </w:rPr>
        <w:t>优势度值大的就是基质，</w:t>
      </w:r>
      <w:r>
        <w:rPr>
          <w:rFonts w:ascii="宋体" w:hAnsi="宋体" w:eastAsia="宋体" w:cs="宋体"/>
          <w:spacing w:val="50"/>
          <w:sz w:val="24"/>
          <w:szCs w:val="24"/>
        </w:rPr>
        <w:t xml:space="preserve"> </w:t>
      </w:r>
      <w:r>
        <w:rPr>
          <w:rFonts w:ascii="宋体" w:hAnsi="宋体" w:eastAsia="宋体" w:cs="宋体"/>
          <w:spacing w:val="-6"/>
          <w:sz w:val="24"/>
          <w:szCs w:val="24"/>
        </w:rPr>
        <w:t>优势度值通过计算评</w:t>
      </w:r>
      <w:r>
        <w:rPr>
          <w:rFonts w:ascii="宋体" w:hAnsi="宋体" w:eastAsia="宋体" w:cs="宋体"/>
          <w:spacing w:val="-7"/>
          <w:sz w:val="24"/>
          <w:szCs w:val="24"/>
        </w:rPr>
        <w:t>价范围内</w:t>
      </w:r>
      <w:r>
        <w:rPr>
          <w:rFonts w:ascii="宋体" w:hAnsi="宋体" w:eastAsia="宋体" w:cs="宋体"/>
          <w:sz w:val="24"/>
          <w:szCs w:val="24"/>
        </w:rPr>
        <w:t xml:space="preserve"> </w:t>
      </w:r>
      <w:r>
        <w:rPr>
          <w:rFonts w:ascii="宋体" w:hAnsi="宋体" w:eastAsia="宋体" w:cs="宋体"/>
          <w:spacing w:val="-11"/>
          <w:sz w:val="24"/>
          <w:szCs w:val="24"/>
        </w:rPr>
        <w:t>各拼块的重要值的方法判定某拼块在景观中的优势，</w:t>
      </w:r>
      <w:r>
        <w:rPr>
          <w:rFonts w:ascii="宋体" w:hAnsi="宋体" w:eastAsia="宋体" w:cs="宋体"/>
          <w:spacing w:val="54"/>
          <w:sz w:val="24"/>
          <w:szCs w:val="24"/>
        </w:rPr>
        <w:t xml:space="preserve"> </w:t>
      </w:r>
      <w:r>
        <w:rPr>
          <w:rFonts w:ascii="宋体" w:hAnsi="宋体" w:eastAsia="宋体" w:cs="宋体"/>
          <w:spacing w:val="-11"/>
          <w:sz w:val="24"/>
          <w:szCs w:val="24"/>
        </w:rPr>
        <w:t>由以下</w:t>
      </w:r>
      <w:r>
        <w:rPr>
          <w:rFonts w:ascii="宋体" w:hAnsi="宋体" w:eastAsia="宋体" w:cs="宋体"/>
          <w:spacing w:val="-50"/>
          <w:sz w:val="24"/>
          <w:szCs w:val="24"/>
        </w:rPr>
        <w:t xml:space="preserve"> </w:t>
      </w:r>
      <w:r>
        <w:rPr>
          <w:rFonts w:ascii="Times New Roman" w:hAnsi="Times New Roman" w:eastAsia="Times New Roman" w:cs="Times New Roman"/>
          <w:spacing w:val="-11"/>
          <w:sz w:val="24"/>
          <w:szCs w:val="24"/>
        </w:rPr>
        <w:t xml:space="preserve">3 </w:t>
      </w:r>
      <w:r>
        <w:rPr>
          <w:rFonts w:ascii="宋体" w:hAnsi="宋体" w:eastAsia="宋体" w:cs="宋体"/>
          <w:spacing w:val="-11"/>
          <w:sz w:val="24"/>
          <w:szCs w:val="24"/>
        </w:rPr>
        <w:t>种参数计算出： 密</w:t>
      </w:r>
    </w:p>
    <w:p>
      <w:pPr>
        <w:spacing w:before="1" w:line="212" w:lineRule="auto"/>
        <w:ind w:left="176"/>
        <w:rPr>
          <w:rFonts w:ascii="宋体" w:hAnsi="宋体" w:eastAsia="宋体" w:cs="宋体"/>
          <w:sz w:val="24"/>
          <w:szCs w:val="24"/>
        </w:rPr>
      </w:pPr>
      <w:r>
        <w:rPr>
          <w:rFonts w:ascii="宋体" w:hAnsi="宋体" w:eastAsia="宋体" w:cs="宋体"/>
          <w:spacing w:val="-10"/>
          <w:sz w:val="24"/>
          <w:szCs w:val="24"/>
        </w:rPr>
        <w:t>度（</w:t>
      </w:r>
      <w:r>
        <w:rPr>
          <w:rFonts w:ascii="Times New Roman" w:hAnsi="Times New Roman" w:eastAsia="Times New Roman" w:cs="Times New Roman"/>
          <w:spacing w:val="-10"/>
          <w:sz w:val="24"/>
          <w:szCs w:val="24"/>
        </w:rPr>
        <w:t>Rd</w:t>
      </w:r>
      <w:r>
        <w:rPr>
          <w:rFonts w:ascii="宋体" w:hAnsi="宋体" w:eastAsia="宋体" w:cs="宋体"/>
          <w:spacing w:val="-10"/>
          <w:sz w:val="24"/>
          <w:szCs w:val="24"/>
        </w:rPr>
        <w:t>）、频度（</w:t>
      </w:r>
      <w:r>
        <w:rPr>
          <w:rFonts w:ascii="Times New Roman" w:hAnsi="Times New Roman" w:eastAsia="Times New Roman" w:cs="Times New Roman"/>
          <w:spacing w:val="-10"/>
          <w:sz w:val="24"/>
          <w:szCs w:val="24"/>
        </w:rPr>
        <w:t>Rf</w:t>
      </w:r>
      <w:r>
        <w:rPr>
          <w:rFonts w:ascii="宋体" w:hAnsi="宋体" w:eastAsia="宋体" w:cs="宋体"/>
          <w:spacing w:val="-10"/>
          <w:sz w:val="24"/>
          <w:szCs w:val="24"/>
        </w:rPr>
        <w:t>）和景观比例（</w:t>
      </w:r>
      <w:r>
        <w:rPr>
          <w:rFonts w:ascii="Times New Roman" w:hAnsi="Times New Roman" w:eastAsia="Times New Roman" w:cs="Times New Roman"/>
          <w:spacing w:val="-10"/>
          <w:sz w:val="24"/>
          <w:szCs w:val="24"/>
        </w:rPr>
        <w:t>Lp</w:t>
      </w:r>
      <w:r>
        <w:rPr>
          <w:rFonts w:ascii="宋体" w:hAnsi="宋体" w:eastAsia="宋体" w:cs="宋体"/>
          <w:spacing w:val="-10"/>
          <w:sz w:val="24"/>
          <w:szCs w:val="24"/>
        </w:rPr>
        <w:t>）。</w:t>
      </w:r>
    </w:p>
    <w:p>
      <w:pPr>
        <w:spacing w:before="191" w:line="233" w:lineRule="auto"/>
        <w:ind w:left="658"/>
        <w:rPr>
          <w:rFonts w:ascii="宋体" w:hAnsi="宋体" w:eastAsia="宋体" w:cs="宋体"/>
          <w:sz w:val="24"/>
          <w:szCs w:val="24"/>
        </w:rPr>
      </w:pPr>
      <w:r>
        <w:rPr>
          <w:rFonts w:ascii="宋体" w:hAnsi="宋体" w:eastAsia="宋体" w:cs="宋体"/>
          <w:spacing w:val="-3"/>
          <w:sz w:val="24"/>
          <w:szCs w:val="24"/>
        </w:rPr>
        <w:t>密度</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Rd</w:t>
      </w:r>
      <w:r>
        <w:rPr>
          <w:rFonts w:ascii="宋体" w:hAnsi="宋体" w:eastAsia="宋体" w:cs="宋体"/>
          <w:spacing w:val="-3"/>
          <w:sz w:val="24"/>
          <w:szCs w:val="24"/>
        </w:rPr>
        <w:t>＝嵌块</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I</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的数目</w:t>
      </w:r>
      <w:r>
        <w:rPr>
          <w:rFonts w:ascii="Times New Roman" w:hAnsi="Times New Roman" w:eastAsia="Times New Roman" w:cs="Times New Roman"/>
          <w:spacing w:val="-3"/>
          <w:sz w:val="24"/>
          <w:szCs w:val="24"/>
        </w:rPr>
        <w:t>/</w:t>
      </w:r>
      <w:r>
        <w:rPr>
          <w:rFonts w:ascii="宋体" w:hAnsi="宋体" w:eastAsia="宋体" w:cs="宋体"/>
          <w:spacing w:val="-3"/>
          <w:sz w:val="24"/>
          <w:szCs w:val="24"/>
        </w:rPr>
        <w:t>嵌块总数×</w:t>
      </w:r>
      <w:r>
        <w:rPr>
          <w:rFonts w:ascii="Times New Roman" w:hAnsi="Times New Roman" w:eastAsia="Times New Roman" w:cs="Times New Roman"/>
          <w:spacing w:val="-3"/>
          <w:sz w:val="24"/>
          <w:szCs w:val="24"/>
        </w:rPr>
        <w:t>100%</w:t>
      </w:r>
      <w:r>
        <w:rPr>
          <w:rFonts w:ascii="宋体" w:hAnsi="宋体" w:eastAsia="宋体" w:cs="宋体"/>
          <w:spacing w:val="-3"/>
          <w:sz w:val="24"/>
          <w:szCs w:val="24"/>
        </w:rPr>
        <w:t>；</w:t>
      </w:r>
    </w:p>
    <w:p>
      <w:pPr>
        <w:spacing w:before="164" w:line="233" w:lineRule="auto"/>
        <w:ind w:left="658"/>
        <w:rPr>
          <w:rFonts w:ascii="Times New Roman" w:hAnsi="Times New Roman" w:eastAsia="Times New Roman" w:cs="Times New Roman"/>
          <w:sz w:val="24"/>
          <w:szCs w:val="24"/>
        </w:rPr>
      </w:pPr>
      <w:r>
        <w:rPr>
          <w:rFonts w:ascii="宋体" w:hAnsi="宋体" w:eastAsia="宋体" w:cs="宋体"/>
          <w:spacing w:val="-3"/>
          <w:sz w:val="24"/>
          <w:szCs w:val="24"/>
        </w:rPr>
        <w:t>频度</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Rf</w:t>
      </w:r>
      <w:r>
        <w:rPr>
          <w:rFonts w:ascii="宋体" w:hAnsi="宋体" w:eastAsia="宋体" w:cs="宋体"/>
          <w:spacing w:val="-3"/>
          <w:sz w:val="24"/>
          <w:szCs w:val="24"/>
        </w:rPr>
        <w:t>＝嵌块</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I</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出现的样方数</w:t>
      </w:r>
      <w:r>
        <w:rPr>
          <w:rFonts w:ascii="Times New Roman" w:hAnsi="Times New Roman" w:eastAsia="Times New Roman" w:cs="Times New Roman"/>
          <w:spacing w:val="-3"/>
          <w:sz w:val="24"/>
          <w:szCs w:val="24"/>
        </w:rPr>
        <w:t>/</w:t>
      </w:r>
      <w:r>
        <w:rPr>
          <w:rFonts w:ascii="宋体" w:hAnsi="宋体" w:eastAsia="宋体" w:cs="宋体"/>
          <w:spacing w:val="-3"/>
          <w:sz w:val="24"/>
          <w:szCs w:val="24"/>
        </w:rPr>
        <w:t>总样方数×</w:t>
      </w:r>
      <w:r>
        <w:rPr>
          <w:rFonts w:ascii="Times New Roman" w:hAnsi="Times New Roman" w:eastAsia="Times New Roman" w:cs="Times New Roman"/>
          <w:spacing w:val="-3"/>
          <w:sz w:val="24"/>
          <w:szCs w:val="24"/>
        </w:rPr>
        <w:t>100%</w:t>
      </w:r>
    </w:p>
    <w:p>
      <w:pPr>
        <w:spacing w:before="163" w:line="467" w:lineRule="exact"/>
        <w:ind w:left="661"/>
        <w:rPr>
          <w:rFonts w:ascii="Times New Roman" w:hAnsi="Times New Roman" w:eastAsia="Times New Roman" w:cs="Times New Roman"/>
          <w:sz w:val="24"/>
          <w:szCs w:val="24"/>
        </w:rPr>
      </w:pPr>
      <w:r>
        <w:rPr>
          <w:rFonts w:ascii="宋体" w:hAnsi="宋体" w:eastAsia="宋体" w:cs="宋体"/>
          <w:spacing w:val="-2"/>
          <w:position w:val="17"/>
          <w:sz w:val="24"/>
          <w:szCs w:val="24"/>
        </w:rPr>
        <w:t>景观比例（</w:t>
      </w:r>
      <w:r>
        <w:rPr>
          <w:rFonts w:ascii="Times New Roman" w:hAnsi="Times New Roman" w:eastAsia="Times New Roman" w:cs="Times New Roman"/>
          <w:spacing w:val="-2"/>
          <w:position w:val="17"/>
          <w:sz w:val="24"/>
          <w:szCs w:val="24"/>
        </w:rPr>
        <w:t>Lp</w:t>
      </w: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嵌块</w:t>
      </w:r>
      <w:r>
        <w:rPr>
          <w:rFonts w:ascii="宋体" w:hAnsi="宋体" w:eastAsia="宋体" w:cs="宋体"/>
          <w:spacing w:val="-52"/>
          <w:position w:val="17"/>
          <w:sz w:val="24"/>
          <w:szCs w:val="24"/>
        </w:rPr>
        <w:t xml:space="preserve"> </w:t>
      </w:r>
      <w:r>
        <w:rPr>
          <w:rFonts w:ascii="Times New Roman" w:hAnsi="Times New Roman" w:eastAsia="Times New Roman" w:cs="Times New Roman"/>
          <w:spacing w:val="-2"/>
          <w:position w:val="17"/>
          <w:sz w:val="24"/>
          <w:szCs w:val="24"/>
        </w:rPr>
        <w:t>I</w:t>
      </w:r>
      <w:r>
        <w:rPr>
          <w:rFonts w:ascii="Times New Roman" w:hAnsi="Times New Roman" w:eastAsia="Times New Roman" w:cs="Times New Roman"/>
          <w:spacing w:val="30"/>
          <w:position w:val="17"/>
          <w:sz w:val="24"/>
          <w:szCs w:val="24"/>
        </w:rPr>
        <w:t xml:space="preserve"> </w:t>
      </w:r>
      <w:r>
        <w:rPr>
          <w:rFonts w:ascii="宋体" w:hAnsi="宋体" w:eastAsia="宋体" w:cs="宋体"/>
          <w:spacing w:val="-2"/>
          <w:position w:val="17"/>
          <w:sz w:val="24"/>
          <w:szCs w:val="24"/>
        </w:rPr>
        <w:t>的面积</w:t>
      </w:r>
      <w:r>
        <w:rPr>
          <w:rFonts w:ascii="Times New Roman" w:hAnsi="Times New Roman" w:eastAsia="Times New Roman" w:cs="Times New Roman"/>
          <w:spacing w:val="-2"/>
          <w:position w:val="17"/>
          <w:sz w:val="24"/>
          <w:szCs w:val="24"/>
        </w:rPr>
        <w:t>/</w:t>
      </w:r>
      <w:r>
        <w:rPr>
          <w:rFonts w:ascii="宋体" w:hAnsi="宋体" w:eastAsia="宋体" w:cs="宋体"/>
          <w:spacing w:val="-2"/>
          <w:position w:val="17"/>
          <w:sz w:val="24"/>
          <w:szCs w:val="24"/>
        </w:rPr>
        <w:t>样地总面积×</w:t>
      </w:r>
      <w:r>
        <w:rPr>
          <w:rFonts w:ascii="Times New Roman" w:hAnsi="Times New Roman" w:eastAsia="Times New Roman" w:cs="Times New Roman"/>
          <w:spacing w:val="-2"/>
          <w:position w:val="17"/>
          <w:sz w:val="24"/>
          <w:szCs w:val="24"/>
        </w:rPr>
        <w:t>100%</w:t>
      </w:r>
    </w:p>
    <w:p>
      <w:pPr>
        <w:spacing w:line="212" w:lineRule="auto"/>
        <w:ind w:left="656"/>
        <w:rPr>
          <w:rFonts w:ascii="Times New Roman" w:hAnsi="Times New Roman" w:eastAsia="Times New Roman" w:cs="Times New Roman"/>
          <w:sz w:val="24"/>
          <w:szCs w:val="24"/>
        </w:rPr>
      </w:pPr>
      <w:r>
        <w:rPr>
          <w:rFonts w:ascii="宋体" w:hAnsi="宋体" w:eastAsia="宋体" w:cs="宋体"/>
          <w:sz w:val="24"/>
          <w:szCs w:val="24"/>
        </w:rPr>
        <w:t>优势度值（</w:t>
      </w:r>
      <w:r>
        <w:rPr>
          <w:rFonts w:ascii="Times New Roman" w:hAnsi="Times New Roman" w:eastAsia="Times New Roman" w:cs="Times New Roman"/>
          <w:sz w:val="24"/>
          <w:szCs w:val="24"/>
        </w:rPr>
        <w:t>Do</w:t>
      </w:r>
      <w:r>
        <w:rPr>
          <w:rFonts w:ascii="宋体" w:hAnsi="宋体" w:eastAsia="宋体" w:cs="宋体"/>
          <w:sz w:val="24"/>
          <w:szCs w:val="24"/>
        </w:rPr>
        <w:t>）</w:t>
      </w:r>
      <w:r>
        <w:rPr>
          <w:rFonts w:ascii="Times New Roman" w:hAnsi="Times New Roman" w:eastAsia="Times New Roman" w:cs="Times New Roman"/>
          <w:sz w:val="24"/>
          <w:szCs w:val="24"/>
        </w:rPr>
        <w:t>={</w:t>
      </w:r>
      <w:r>
        <w:rPr>
          <w:rFonts w:ascii="宋体" w:hAnsi="宋体" w:eastAsia="宋体" w:cs="宋体"/>
          <w:sz w:val="24"/>
          <w:szCs w:val="24"/>
        </w:rPr>
        <w:t>（</w:t>
      </w:r>
      <w:r>
        <w:rPr>
          <w:rFonts w:ascii="Times New Roman" w:hAnsi="Times New Roman" w:eastAsia="Times New Roman" w:cs="Times New Roman"/>
          <w:sz w:val="24"/>
          <w:szCs w:val="24"/>
        </w:rPr>
        <w:t>Rd+Rf</w:t>
      </w:r>
      <w:r>
        <w:rPr>
          <w:rFonts w:ascii="宋体" w:hAnsi="宋体" w:eastAsia="宋体" w:cs="宋体"/>
          <w:sz w:val="24"/>
          <w:szCs w:val="24"/>
        </w:rPr>
        <w:t>）</w:t>
      </w:r>
      <w:r>
        <w:rPr>
          <w:rFonts w:ascii="Times New Roman" w:hAnsi="Times New Roman" w:eastAsia="Times New Roman" w:cs="Times New Roman"/>
          <w:sz w:val="24"/>
          <w:szCs w:val="24"/>
        </w:rPr>
        <w:t>/2+L</w:t>
      </w:r>
      <w:r>
        <w:rPr>
          <w:rFonts w:ascii="Times New Roman" w:hAnsi="Times New Roman" w:eastAsia="Times New Roman" w:cs="Times New Roman"/>
          <w:spacing w:val="-1"/>
          <w:sz w:val="24"/>
          <w:szCs w:val="24"/>
        </w:rPr>
        <w:t>p}/2</w:t>
      </w:r>
      <w:r>
        <w:rPr>
          <w:rFonts w:ascii="宋体" w:hAnsi="宋体" w:eastAsia="宋体" w:cs="宋体"/>
          <w:spacing w:val="-1"/>
          <w:sz w:val="24"/>
          <w:szCs w:val="24"/>
        </w:rPr>
        <w:t>×</w:t>
      </w:r>
      <w:r>
        <w:rPr>
          <w:rFonts w:ascii="Times New Roman" w:hAnsi="Times New Roman" w:eastAsia="Times New Roman" w:cs="Times New Roman"/>
          <w:spacing w:val="-1"/>
          <w:sz w:val="24"/>
          <w:szCs w:val="24"/>
        </w:rPr>
        <w:t>100%</w:t>
      </w:r>
    </w:p>
    <w:p>
      <w:pPr>
        <w:spacing w:before="191" w:line="467" w:lineRule="exact"/>
        <w:ind w:left="657"/>
        <w:rPr>
          <w:rFonts w:ascii="宋体" w:hAnsi="宋体" w:eastAsia="宋体" w:cs="宋体"/>
          <w:sz w:val="24"/>
          <w:szCs w:val="24"/>
        </w:rPr>
      </w:pPr>
      <w:r>
        <w:rPr>
          <w:rFonts w:ascii="宋体" w:hAnsi="宋体" w:eastAsia="宋体" w:cs="宋体"/>
          <w:spacing w:val="-6"/>
          <w:position w:val="17"/>
          <w:sz w:val="24"/>
          <w:szCs w:val="24"/>
        </w:rPr>
        <w:t>运用上述参数计算生态评价区工程实施前后主要拼块类型优势度值，</w:t>
      </w:r>
      <w:r>
        <w:rPr>
          <w:rFonts w:ascii="宋体" w:hAnsi="宋体" w:eastAsia="宋体" w:cs="宋体"/>
          <w:spacing w:val="-22"/>
          <w:position w:val="17"/>
          <w:sz w:val="24"/>
          <w:szCs w:val="24"/>
        </w:rPr>
        <w:t xml:space="preserve"> </w:t>
      </w:r>
      <w:r>
        <w:rPr>
          <w:rFonts w:ascii="宋体" w:hAnsi="宋体" w:eastAsia="宋体" w:cs="宋体"/>
          <w:spacing w:val="-6"/>
          <w:position w:val="17"/>
          <w:sz w:val="24"/>
          <w:szCs w:val="24"/>
        </w:rPr>
        <w:t>其结果</w:t>
      </w:r>
    </w:p>
    <w:p>
      <w:pPr>
        <w:spacing w:line="219" w:lineRule="auto"/>
        <w:ind w:left="181"/>
        <w:rPr>
          <w:rFonts w:ascii="宋体" w:hAnsi="宋体" w:eastAsia="宋体" w:cs="宋体"/>
          <w:sz w:val="24"/>
          <w:szCs w:val="24"/>
        </w:rPr>
      </w:pPr>
      <w:r>
        <w:rPr>
          <w:rFonts w:ascii="宋体" w:hAnsi="宋体" w:eastAsia="宋体" w:cs="宋体"/>
          <w:spacing w:val="-13"/>
          <w:sz w:val="24"/>
          <w:szCs w:val="24"/>
        </w:rPr>
        <w:t>见下表：</w:t>
      </w:r>
    </w:p>
    <w:p>
      <w:pPr>
        <w:spacing w:line="219" w:lineRule="auto"/>
        <w:rPr>
          <w:rFonts w:ascii="宋体" w:hAnsi="宋体" w:eastAsia="宋体" w:cs="宋体"/>
          <w:sz w:val="24"/>
          <w:szCs w:val="24"/>
        </w:rPr>
        <w:sectPr>
          <w:footerReference r:id="rId411" w:type="default"/>
          <w:pgSz w:w="11907" w:h="16839"/>
          <w:pgMar w:top="1156" w:right="1645" w:bottom="1374" w:left="1632" w:header="881" w:footer="1210" w:gutter="0"/>
        </w:sectPr>
      </w:pPr>
    </w:p>
    <w:p>
      <w:pPr>
        <w:spacing w:line="385" w:lineRule="auto"/>
        <w:rPr>
          <w:rFonts w:ascii="Arial"/>
          <w:sz w:val="21"/>
        </w:rPr>
      </w:pPr>
    </w:p>
    <w:p>
      <w:pPr>
        <w:pStyle w:val="2"/>
        <w:spacing w:before="68" w:line="218" w:lineRule="auto"/>
        <w:ind w:left="2423"/>
      </w:pPr>
      <w:r>
        <w:rPr>
          <w14:textOutline w14:w="3810" w14:cap="flat" w14:cmpd="sng">
            <w14:solidFill>
              <w14:srgbClr w14:val="000000"/>
            </w14:solidFill>
            <w14:prstDash w14:val="solid"/>
            <w14:miter w14:val="0"/>
          </w14:textOutline>
        </w:rPr>
        <w:t>表</w:t>
      </w:r>
      <w:r>
        <w:rPr>
          <w:spacing w:val="-46"/>
        </w:rPr>
        <w:t xml:space="preserve"> </w:t>
      </w:r>
      <w:r>
        <w:rPr>
          <w:rFonts w:ascii="Times New Roman" w:hAnsi="Times New Roman" w:eastAsia="Times New Roman" w:cs="Times New Roman"/>
          <w:b/>
          <w:bCs/>
        </w:rPr>
        <w:t xml:space="preserve">4.4-7    </w:t>
      </w:r>
      <w:r>
        <w:rPr>
          <w14:textOutline w14:w="3810" w14:cap="flat" w14:cmpd="sng">
            <w14:solidFill>
              <w14:srgbClr w14:val="000000"/>
            </w14:solidFill>
            <w14:prstDash w14:val="solid"/>
            <w14:miter w14:val="0"/>
          </w14:textOutline>
        </w:rPr>
        <w:t>工程实施前后主要拼</w:t>
      </w:r>
      <w:r>
        <w:rPr>
          <w:spacing w:val="-1"/>
          <w14:textOutline w14:w="3810" w14:cap="flat" w14:cmpd="sng">
            <w14:solidFill>
              <w14:srgbClr w14:val="000000"/>
            </w14:solidFill>
            <w14:prstDash w14:val="solid"/>
            <w14:miter w14:val="0"/>
          </w14:textOutline>
        </w:rPr>
        <w:t>块类型优势度值</w:t>
      </w:r>
    </w:p>
    <w:p>
      <w:pPr>
        <w:spacing w:line="19" w:lineRule="exact"/>
      </w:pPr>
    </w:p>
    <w:tbl>
      <w:tblPr>
        <w:tblStyle w:val="5"/>
        <w:tblW w:w="87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55"/>
        <w:gridCol w:w="915"/>
        <w:gridCol w:w="837"/>
        <w:gridCol w:w="880"/>
        <w:gridCol w:w="761"/>
        <w:gridCol w:w="757"/>
        <w:gridCol w:w="758"/>
        <w:gridCol w:w="758"/>
        <w:gridCol w:w="7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2255" w:type="dxa"/>
            <w:vMerge w:val="restart"/>
            <w:tcBorders>
              <w:top w:val="single" w:color="000000" w:sz="12" w:space="0"/>
              <w:left w:val="nil"/>
              <w:bottom w:val="nil"/>
            </w:tcBorders>
            <w:vAlign w:val="top"/>
          </w:tcPr>
          <w:p>
            <w:pPr>
              <w:spacing w:line="298" w:lineRule="auto"/>
              <w:rPr>
                <w:rFonts w:ascii="Arial"/>
                <w:sz w:val="21"/>
              </w:rPr>
            </w:pPr>
          </w:p>
          <w:p>
            <w:pPr>
              <w:spacing w:before="68" w:line="218" w:lineRule="auto"/>
              <w:ind w:left="72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拼块类型</w:t>
            </w:r>
          </w:p>
        </w:tc>
        <w:tc>
          <w:tcPr>
            <w:tcW w:w="1752" w:type="dxa"/>
            <w:gridSpan w:val="2"/>
            <w:tcBorders>
              <w:top w:val="single" w:color="000000" w:sz="12" w:space="0"/>
            </w:tcBorders>
            <w:vAlign w:val="top"/>
          </w:tcPr>
          <w:p>
            <w:pPr>
              <w:pStyle w:val="6"/>
              <w:spacing w:before="50" w:line="220" w:lineRule="auto"/>
              <w:ind w:left="426"/>
              <w:rPr>
                <w:rFonts w:ascii="仿宋" w:hAnsi="仿宋" w:eastAsia="仿宋" w:cs="仿宋"/>
              </w:rPr>
            </w:pPr>
            <w:r>
              <w:rPr>
                <w:b/>
                <w:bCs/>
                <w:spacing w:val="11"/>
                <w:w w:val="123"/>
              </w:rPr>
              <w:t>Rd</w:t>
            </w:r>
            <w:r>
              <w:rPr>
                <w:rFonts w:ascii="仿宋" w:hAnsi="仿宋" w:eastAsia="仿宋" w:cs="仿宋"/>
                <w:spacing w:val="11"/>
                <w:w w:val="123"/>
                <w14:textOutline w14:w="3810" w14:cap="flat" w14:cmpd="sng">
                  <w14:solidFill>
                    <w14:srgbClr w14:val="000000"/>
                  </w14:solidFill>
                  <w14:prstDash w14:val="solid"/>
                  <w14:miter w14:val="0"/>
                </w14:textOutline>
              </w:rPr>
              <w:t>(%)</w:t>
            </w:r>
          </w:p>
        </w:tc>
        <w:tc>
          <w:tcPr>
            <w:tcW w:w="1641" w:type="dxa"/>
            <w:gridSpan w:val="2"/>
            <w:tcBorders>
              <w:top w:val="single" w:color="000000" w:sz="12" w:space="0"/>
            </w:tcBorders>
            <w:vAlign w:val="top"/>
          </w:tcPr>
          <w:p>
            <w:pPr>
              <w:pStyle w:val="6"/>
              <w:spacing w:before="50" w:line="220" w:lineRule="auto"/>
              <w:ind w:left="394"/>
              <w:rPr>
                <w:rFonts w:ascii="仿宋" w:hAnsi="仿宋" w:eastAsia="仿宋" w:cs="仿宋"/>
              </w:rPr>
            </w:pPr>
            <w:r>
              <w:rPr>
                <w:b/>
                <w:bCs/>
                <w:spacing w:val="11"/>
                <w:w w:val="125"/>
              </w:rPr>
              <w:t>Rf</w:t>
            </w:r>
            <w:r>
              <w:rPr>
                <w:rFonts w:ascii="仿宋" w:hAnsi="仿宋" w:eastAsia="仿宋" w:cs="仿宋"/>
                <w:spacing w:val="11"/>
                <w:w w:val="125"/>
                <w14:textOutline w14:w="3810" w14:cap="flat" w14:cmpd="sng">
                  <w14:solidFill>
                    <w14:srgbClr w14:val="000000"/>
                  </w14:solidFill>
                  <w14:prstDash w14:val="solid"/>
                  <w14:miter w14:val="0"/>
                </w14:textOutline>
              </w:rPr>
              <w:t>(%)</w:t>
            </w:r>
          </w:p>
        </w:tc>
        <w:tc>
          <w:tcPr>
            <w:tcW w:w="1515" w:type="dxa"/>
            <w:gridSpan w:val="2"/>
            <w:tcBorders>
              <w:top w:val="single" w:color="000000" w:sz="12" w:space="0"/>
            </w:tcBorders>
            <w:vAlign w:val="top"/>
          </w:tcPr>
          <w:p>
            <w:pPr>
              <w:pStyle w:val="6"/>
              <w:spacing w:before="50" w:line="213" w:lineRule="auto"/>
              <w:ind w:left="313"/>
              <w:rPr>
                <w:rFonts w:ascii="仿宋" w:hAnsi="仿宋" w:eastAsia="仿宋" w:cs="仿宋"/>
              </w:rPr>
            </w:pPr>
            <w:r>
              <w:rPr>
                <w:b/>
                <w:bCs/>
                <w:spacing w:val="13"/>
                <w:w w:val="122"/>
              </w:rPr>
              <w:t>Lp</w:t>
            </w:r>
            <w:r>
              <w:rPr>
                <w:rFonts w:ascii="仿宋" w:hAnsi="仿宋" w:eastAsia="仿宋" w:cs="仿宋"/>
                <w:spacing w:val="13"/>
                <w:w w:val="122"/>
                <w14:textOutline w14:w="3810" w14:cap="flat" w14:cmpd="sng">
                  <w14:solidFill>
                    <w14:srgbClr w14:val="000000"/>
                  </w14:solidFill>
                  <w14:prstDash w14:val="solid"/>
                  <w14:miter w14:val="0"/>
                </w14:textOutline>
              </w:rPr>
              <w:t>(%)</w:t>
            </w:r>
          </w:p>
        </w:tc>
        <w:tc>
          <w:tcPr>
            <w:tcW w:w="1551" w:type="dxa"/>
            <w:gridSpan w:val="2"/>
            <w:tcBorders>
              <w:top w:val="single" w:color="000000" w:sz="12" w:space="0"/>
              <w:right w:val="nil"/>
            </w:tcBorders>
            <w:vAlign w:val="top"/>
          </w:tcPr>
          <w:p>
            <w:pPr>
              <w:pStyle w:val="6"/>
              <w:spacing w:before="50" w:line="220" w:lineRule="auto"/>
              <w:ind w:left="331"/>
              <w:rPr>
                <w:rFonts w:ascii="仿宋" w:hAnsi="仿宋" w:eastAsia="仿宋" w:cs="仿宋"/>
              </w:rPr>
            </w:pPr>
            <w:r>
              <w:rPr>
                <w:b/>
                <w:bCs/>
                <w:spacing w:val="14"/>
                <w:w w:val="122"/>
              </w:rPr>
              <w:t>Do</w:t>
            </w:r>
            <w:r>
              <w:rPr>
                <w:rFonts w:ascii="仿宋" w:hAnsi="仿宋" w:eastAsia="仿宋" w:cs="仿宋"/>
                <w:spacing w:val="14"/>
                <w:w w:val="122"/>
                <w14:textOutline w14:w="3810" w14:cap="flat" w14:cmpd="sng">
                  <w14:solidFill>
                    <w14:srgbClr w14:val="000000"/>
                  </w14:solidFill>
                  <w14:prstDash w14:val="solid"/>
                  <w14:miter w14:val="0"/>
                </w14:textOutli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5" w:hRule="atLeast"/>
        </w:trPr>
        <w:tc>
          <w:tcPr>
            <w:tcW w:w="2255" w:type="dxa"/>
            <w:vMerge w:val="continue"/>
            <w:tcBorders>
              <w:top w:val="nil"/>
              <w:left w:val="nil"/>
            </w:tcBorders>
            <w:vAlign w:val="top"/>
          </w:tcPr>
          <w:p>
            <w:pPr>
              <w:rPr>
                <w:rFonts w:ascii="Arial"/>
                <w:sz w:val="21"/>
              </w:rPr>
            </w:pPr>
          </w:p>
        </w:tc>
        <w:tc>
          <w:tcPr>
            <w:tcW w:w="915" w:type="dxa"/>
            <w:vAlign w:val="top"/>
          </w:tcPr>
          <w:p>
            <w:pPr>
              <w:spacing w:before="210" w:line="217" w:lineRule="auto"/>
              <w:ind w:left="15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实施前</w:t>
            </w:r>
          </w:p>
        </w:tc>
        <w:tc>
          <w:tcPr>
            <w:tcW w:w="837" w:type="dxa"/>
            <w:vAlign w:val="top"/>
          </w:tcPr>
          <w:p>
            <w:pPr>
              <w:spacing w:before="53" w:line="312" w:lineRule="exact"/>
              <w:ind w:left="223"/>
              <w:rPr>
                <w:rFonts w:ascii="仿宋" w:hAnsi="仿宋" w:eastAsia="仿宋" w:cs="仿宋"/>
                <w:sz w:val="21"/>
                <w:szCs w:val="21"/>
              </w:rPr>
            </w:pPr>
            <w:r>
              <w:rPr>
                <w:rFonts w:ascii="仿宋" w:hAnsi="仿宋" w:eastAsia="仿宋" w:cs="仿宋"/>
                <w:spacing w:val="-5"/>
                <w:position w:val="7"/>
                <w:sz w:val="21"/>
                <w:szCs w:val="21"/>
                <w14:textOutline w14:w="3810" w14:cap="flat" w14:cmpd="sng">
                  <w14:solidFill>
                    <w14:srgbClr w14:val="000000"/>
                  </w14:solidFill>
                  <w14:prstDash w14:val="solid"/>
                  <w14:miter w14:val="0"/>
                </w14:textOutline>
              </w:rPr>
              <w:t>实施</w:t>
            </w:r>
          </w:p>
          <w:p>
            <w:pPr>
              <w:spacing w:line="218" w:lineRule="auto"/>
              <w:ind w:left="326"/>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后</w:t>
            </w:r>
          </w:p>
        </w:tc>
        <w:tc>
          <w:tcPr>
            <w:tcW w:w="880" w:type="dxa"/>
            <w:vAlign w:val="top"/>
          </w:tcPr>
          <w:p>
            <w:pPr>
              <w:spacing w:before="210" w:line="217" w:lineRule="auto"/>
              <w:ind w:left="139"/>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实施前</w:t>
            </w:r>
          </w:p>
        </w:tc>
        <w:tc>
          <w:tcPr>
            <w:tcW w:w="761" w:type="dxa"/>
            <w:vAlign w:val="top"/>
          </w:tcPr>
          <w:p>
            <w:pPr>
              <w:spacing w:before="53" w:line="312" w:lineRule="exact"/>
              <w:ind w:left="184"/>
              <w:rPr>
                <w:rFonts w:ascii="仿宋" w:hAnsi="仿宋" w:eastAsia="仿宋" w:cs="仿宋"/>
                <w:sz w:val="21"/>
                <w:szCs w:val="21"/>
              </w:rPr>
            </w:pPr>
            <w:r>
              <w:rPr>
                <w:rFonts w:ascii="仿宋" w:hAnsi="仿宋" w:eastAsia="仿宋" w:cs="仿宋"/>
                <w:spacing w:val="-5"/>
                <w:position w:val="7"/>
                <w:sz w:val="21"/>
                <w:szCs w:val="21"/>
                <w14:textOutline w14:w="3810" w14:cap="flat" w14:cmpd="sng">
                  <w14:solidFill>
                    <w14:srgbClr w14:val="000000"/>
                  </w14:solidFill>
                  <w14:prstDash w14:val="solid"/>
                  <w14:miter w14:val="0"/>
                </w14:textOutline>
              </w:rPr>
              <w:t>实施</w:t>
            </w:r>
          </w:p>
          <w:p>
            <w:pPr>
              <w:spacing w:line="218" w:lineRule="auto"/>
              <w:ind w:left="286"/>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后</w:t>
            </w:r>
          </w:p>
        </w:tc>
        <w:tc>
          <w:tcPr>
            <w:tcW w:w="757" w:type="dxa"/>
            <w:vAlign w:val="top"/>
          </w:tcPr>
          <w:p>
            <w:pPr>
              <w:spacing w:before="53" w:line="312" w:lineRule="exact"/>
              <w:ind w:left="183"/>
              <w:rPr>
                <w:rFonts w:ascii="仿宋" w:hAnsi="仿宋" w:eastAsia="仿宋" w:cs="仿宋"/>
                <w:sz w:val="21"/>
                <w:szCs w:val="21"/>
              </w:rPr>
            </w:pPr>
            <w:r>
              <w:rPr>
                <w:rFonts w:ascii="仿宋" w:hAnsi="仿宋" w:eastAsia="仿宋" w:cs="仿宋"/>
                <w:spacing w:val="-5"/>
                <w:position w:val="7"/>
                <w:sz w:val="21"/>
                <w:szCs w:val="21"/>
                <w14:textOutline w14:w="3810" w14:cap="flat" w14:cmpd="sng">
                  <w14:solidFill>
                    <w14:srgbClr w14:val="000000"/>
                  </w14:solidFill>
                  <w14:prstDash w14:val="solid"/>
                  <w14:miter w14:val="0"/>
                </w14:textOutline>
              </w:rPr>
              <w:t>实施</w:t>
            </w:r>
          </w:p>
          <w:p>
            <w:pPr>
              <w:spacing w:line="217" w:lineRule="auto"/>
              <w:ind w:left="286"/>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前</w:t>
            </w:r>
          </w:p>
        </w:tc>
        <w:tc>
          <w:tcPr>
            <w:tcW w:w="758" w:type="dxa"/>
            <w:vAlign w:val="top"/>
          </w:tcPr>
          <w:p>
            <w:pPr>
              <w:spacing w:before="53" w:line="312" w:lineRule="exact"/>
              <w:ind w:left="182"/>
              <w:rPr>
                <w:rFonts w:ascii="仿宋" w:hAnsi="仿宋" w:eastAsia="仿宋" w:cs="仿宋"/>
                <w:sz w:val="21"/>
                <w:szCs w:val="21"/>
              </w:rPr>
            </w:pPr>
            <w:r>
              <w:rPr>
                <w:rFonts w:ascii="仿宋" w:hAnsi="仿宋" w:eastAsia="仿宋" w:cs="仿宋"/>
                <w:spacing w:val="-5"/>
                <w:position w:val="7"/>
                <w:sz w:val="21"/>
                <w:szCs w:val="21"/>
                <w14:textOutline w14:w="3810" w14:cap="flat" w14:cmpd="sng">
                  <w14:solidFill>
                    <w14:srgbClr w14:val="000000"/>
                  </w14:solidFill>
                  <w14:prstDash w14:val="solid"/>
                  <w14:miter w14:val="0"/>
                </w14:textOutline>
              </w:rPr>
              <w:t>实施</w:t>
            </w:r>
          </w:p>
          <w:p>
            <w:pPr>
              <w:spacing w:line="218" w:lineRule="auto"/>
              <w:ind w:left="286"/>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后</w:t>
            </w:r>
          </w:p>
        </w:tc>
        <w:tc>
          <w:tcPr>
            <w:tcW w:w="758" w:type="dxa"/>
            <w:vAlign w:val="top"/>
          </w:tcPr>
          <w:p>
            <w:pPr>
              <w:spacing w:before="53" w:line="312" w:lineRule="exact"/>
              <w:ind w:left="183"/>
              <w:rPr>
                <w:rFonts w:ascii="仿宋" w:hAnsi="仿宋" w:eastAsia="仿宋" w:cs="仿宋"/>
                <w:sz w:val="21"/>
                <w:szCs w:val="21"/>
              </w:rPr>
            </w:pPr>
            <w:r>
              <w:rPr>
                <w:rFonts w:ascii="仿宋" w:hAnsi="仿宋" w:eastAsia="仿宋" w:cs="仿宋"/>
                <w:spacing w:val="-5"/>
                <w:position w:val="7"/>
                <w:sz w:val="21"/>
                <w:szCs w:val="21"/>
                <w14:textOutline w14:w="3810" w14:cap="flat" w14:cmpd="sng">
                  <w14:solidFill>
                    <w14:srgbClr w14:val="000000"/>
                  </w14:solidFill>
                  <w14:prstDash w14:val="solid"/>
                  <w14:miter w14:val="0"/>
                </w14:textOutline>
              </w:rPr>
              <w:t>实施</w:t>
            </w:r>
          </w:p>
          <w:p>
            <w:pPr>
              <w:spacing w:line="217" w:lineRule="auto"/>
              <w:ind w:left="287"/>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前</w:t>
            </w:r>
          </w:p>
        </w:tc>
        <w:tc>
          <w:tcPr>
            <w:tcW w:w="793" w:type="dxa"/>
            <w:tcBorders>
              <w:right w:val="nil"/>
            </w:tcBorders>
            <w:vAlign w:val="top"/>
          </w:tcPr>
          <w:p>
            <w:pPr>
              <w:spacing w:before="53" w:line="312" w:lineRule="exact"/>
              <w:ind w:left="201"/>
              <w:rPr>
                <w:rFonts w:ascii="仿宋" w:hAnsi="仿宋" w:eastAsia="仿宋" w:cs="仿宋"/>
                <w:sz w:val="21"/>
                <w:szCs w:val="21"/>
              </w:rPr>
            </w:pPr>
            <w:r>
              <w:rPr>
                <w:rFonts w:ascii="仿宋" w:hAnsi="仿宋" w:eastAsia="仿宋" w:cs="仿宋"/>
                <w:spacing w:val="-5"/>
                <w:position w:val="7"/>
                <w:sz w:val="21"/>
                <w:szCs w:val="21"/>
                <w14:textOutline w14:w="3810" w14:cap="flat" w14:cmpd="sng">
                  <w14:solidFill>
                    <w14:srgbClr w14:val="000000"/>
                  </w14:solidFill>
                  <w14:prstDash w14:val="solid"/>
                  <w14:miter w14:val="0"/>
                </w14:textOutline>
              </w:rPr>
              <w:t>实施</w:t>
            </w:r>
          </w:p>
          <w:p>
            <w:pPr>
              <w:spacing w:line="218" w:lineRule="auto"/>
              <w:ind w:left="303"/>
              <w:rPr>
                <w:rFonts w:ascii="仿宋" w:hAnsi="仿宋" w:eastAsia="仿宋" w:cs="仿宋"/>
                <w:sz w:val="21"/>
                <w:szCs w:val="21"/>
              </w:rPr>
            </w:pPr>
            <w:r>
              <w:rPr>
                <w:rFonts w:ascii="仿宋" w:hAnsi="仿宋" w:eastAsia="仿宋" w:cs="仿宋"/>
                <w:sz w:val="21"/>
                <w:szCs w:val="21"/>
                <w14:textOutline w14:w="3810" w14:cap="flat" w14:cmpd="sng">
                  <w14:solidFill>
                    <w14:srgbClr w14:val="000000"/>
                  </w14:solidFill>
                  <w14:prstDash w14:val="solid"/>
                  <w14:miter w14:val="0"/>
                </w14:textOutline>
              </w:rPr>
              <w:t>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2255" w:type="dxa"/>
            <w:tcBorders>
              <w:left w:val="nil"/>
            </w:tcBorders>
            <w:vAlign w:val="top"/>
          </w:tcPr>
          <w:p>
            <w:pPr>
              <w:spacing w:before="58" w:line="216" w:lineRule="auto"/>
              <w:ind w:left="635"/>
              <w:rPr>
                <w:rFonts w:ascii="仿宋" w:hAnsi="仿宋" w:eastAsia="仿宋" w:cs="仿宋"/>
                <w:sz w:val="21"/>
                <w:szCs w:val="21"/>
              </w:rPr>
            </w:pPr>
            <w:r>
              <w:rPr>
                <w:rFonts w:ascii="仿宋" w:hAnsi="仿宋" w:eastAsia="仿宋" w:cs="仿宋"/>
                <w:spacing w:val="-5"/>
                <w:sz w:val="21"/>
                <w:szCs w:val="21"/>
              </w:rPr>
              <w:t>常绿阔叶林</w:t>
            </w:r>
          </w:p>
        </w:tc>
        <w:tc>
          <w:tcPr>
            <w:tcW w:w="915" w:type="dxa"/>
            <w:vAlign w:val="top"/>
          </w:tcPr>
          <w:p>
            <w:pPr>
              <w:pStyle w:val="6"/>
              <w:spacing w:before="94" w:line="188" w:lineRule="auto"/>
              <w:ind w:left="280"/>
            </w:pPr>
            <w:r>
              <w:rPr>
                <w:spacing w:val="-3"/>
              </w:rPr>
              <w:t>6.36</w:t>
            </w:r>
          </w:p>
        </w:tc>
        <w:tc>
          <w:tcPr>
            <w:tcW w:w="837" w:type="dxa"/>
            <w:vAlign w:val="top"/>
          </w:tcPr>
          <w:p>
            <w:pPr>
              <w:pStyle w:val="6"/>
              <w:spacing w:before="94" w:line="188" w:lineRule="auto"/>
              <w:ind w:left="241"/>
            </w:pPr>
            <w:r>
              <w:rPr>
                <w:spacing w:val="-3"/>
              </w:rPr>
              <w:t>6.33</w:t>
            </w:r>
          </w:p>
        </w:tc>
        <w:tc>
          <w:tcPr>
            <w:tcW w:w="880" w:type="dxa"/>
            <w:vAlign w:val="top"/>
          </w:tcPr>
          <w:p>
            <w:pPr>
              <w:pStyle w:val="6"/>
              <w:spacing w:before="94" w:line="188" w:lineRule="auto"/>
              <w:ind w:left="230"/>
            </w:pPr>
            <w:r>
              <w:rPr>
                <w:spacing w:val="-7"/>
              </w:rPr>
              <w:t>11.34</w:t>
            </w:r>
          </w:p>
        </w:tc>
        <w:tc>
          <w:tcPr>
            <w:tcW w:w="761" w:type="dxa"/>
            <w:vAlign w:val="top"/>
          </w:tcPr>
          <w:p>
            <w:pPr>
              <w:pStyle w:val="6"/>
              <w:spacing w:before="94" w:line="188" w:lineRule="auto"/>
              <w:ind w:left="169"/>
            </w:pPr>
            <w:r>
              <w:rPr>
                <w:spacing w:val="-7"/>
              </w:rPr>
              <w:t>11.28</w:t>
            </w:r>
          </w:p>
        </w:tc>
        <w:tc>
          <w:tcPr>
            <w:tcW w:w="757" w:type="dxa"/>
            <w:vAlign w:val="top"/>
          </w:tcPr>
          <w:p>
            <w:pPr>
              <w:pStyle w:val="6"/>
              <w:spacing w:before="94" w:line="188" w:lineRule="auto"/>
              <w:ind w:left="163"/>
            </w:pPr>
            <w:r>
              <w:rPr>
                <w:spacing w:val="-5"/>
              </w:rPr>
              <w:t>16.32</w:t>
            </w:r>
          </w:p>
        </w:tc>
        <w:tc>
          <w:tcPr>
            <w:tcW w:w="758" w:type="dxa"/>
            <w:vAlign w:val="top"/>
          </w:tcPr>
          <w:p>
            <w:pPr>
              <w:pStyle w:val="6"/>
              <w:spacing w:before="94" w:line="188" w:lineRule="auto"/>
              <w:ind w:left="164"/>
            </w:pPr>
            <w:r>
              <w:rPr>
                <w:spacing w:val="-5"/>
              </w:rPr>
              <w:t>16.20</w:t>
            </w:r>
          </w:p>
        </w:tc>
        <w:tc>
          <w:tcPr>
            <w:tcW w:w="758" w:type="dxa"/>
            <w:vAlign w:val="top"/>
          </w:tcPr>
          <w:p>
            <w:pPr>
              <w:pStyle w:val="6"/>
              <w:spacing w:before="94" w:line="188" w:lineRule="auto"/>
              <w:ind w:left="164"/>
            </w:pPr>
            <w:r>
              <w:rPr>
                <w:spacing w:val="-5"/>
              </w:rPr>
              <w:t>10.51</w:t>
            </w:r>
          </w:p>
        </w:tc>
        <w:tc>
          <w:tcPr>
            <w:tcW w:w="793" w:type="dxa"/>
            <w:tcBorders>
              <w:right w:val="nil"/>
            </w:tcBorders>
            <w:vAlign w:val="top"/>
          </w:tcPr>
          <w:p>
            <w:pPr>
              <w:pStyle w:val="6"/>
              <w:spacing w:before="94" w:line="188" w:lineRule="auto"/>
              <w:ind w:left="181"/>
            </w:pPr>
            <w:r>
              <w:rPr>
                <w:spacing w:val="-5"/>
              </w:rPr>
              <w:t>10.37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255" w:type="dxa"/>
            <w:tcBorders>
              <w:left w:val="nil"/>
            </w:tcBorders>
            <w:vAlign w:val="top"/>
          </w:tcPr>
          <w:p>
            <w:pPr>
              <w:spacing w:before="61" w:line="215" w:lineRule="auto"/>
              <w:ind w:left="412"/>
              <w:rPr>
                <w:rFonts w:ascii="仿宋" w:hAnsi="仿宋" w:eastAsia="仿宋" w:cs="仿宋"/>
                <w:sz w:val="21"/>
                <w:szCs w:val="21"/>
              </w:rPr>
            </w:pPr>
            <w:r>
              <w:rPr>
                <w:rFonts w:ascii="仿宋" w:hAnsi="仿宋" w:eastAsia="仿宋" w:cs="仿宋"/>
                <w:spacing w:val="-2"/>
                <w:sz w:val="21"/>
                <w:szCs w:val="21"/>
              </w:rPr>
              <w:t>硬叶常绿阔叶林</w:t>
            </w:r>
          </w:p>
        </w:tc>
        <w:tc>
          <w:tcPr>
            <w:tcW w:w="915" w:type="dxa"/>
            <w:vAlign w:val="top"/>
          </w:tcPr>
          <w:p>
            <w:pPr>
              <w:pStyle w:val="6"/>
              <w:spacing w:before="98" w:line="188" w:lineRule="auto"/>
              <w:ind w:left="281"/>
            </w:pPr>
            <w:r>
              <w:rPr>
                <w:spacing w:val="-3"/>
              </w:rPr>
              <w:t>5.89</w:t>
            </w:r>
          </w:p>
        </w:tc>
        <w:tc>
          <w:tcPr>
            <w:tcW w:w="837" w:type="dxa"/>
            <w:vAlign w:val="top"/>
          </w:tcPr>
          <w:p>
            <w:pPr>
              <w:pStyle w:val="6"/>
              <w:spacing w:before="98" w:line="188" w:lineRule="auto"/>
              <w:ind w:left="242"/>
            </w:pPr>
            <w:r>
              <w:rPr>
                <w:spacing w:val="-3"/>
              </w:rPr>
              <w:t>5.86</w:t>
            </w:r>
          </w:p>
        </w:tc>
        <w:tc>
          <w:tcPr>
            <w:tcW w:w="880" w:type="dxa"/>
            <w:vAlign w:val="top"/>
          </w:tcPr>
          <w:p>
            <w:pPr>
              <w:pStyle w:val="6"/>
              <w:spacing w:before="98" w:line="188" w:lineRule="auto"/>
              <w:ind w:left="225"/>
            </w:pPr>
            <w:r>
              <w:rPr>
                <w:spacing w:val="-5"/>
              </w:rPr>
              <w:t>10.87</w:t>
            </w:r>
          </w:p>
        </w:tc>
        <w:tc>
          <w:tcPr>
            <w:tcW w:w="761" w:type="dxa"/>
            <w:vAlign w:val="top"/>
          </w:tcPr>
          <w:p>
            <w:pPr>
              <w:pStyle w:val="6"/>
              <w:spacing w:before="98" w:line="188" w:lineRule="auto"/>
              <w:ind w:left="165"/>
            </w:pPr>
            <w:r>
              <w:rPr>
                <w:spacing w:val="-5"/>
              </w:rPr>
              <w:t>10.79</w:t>
            </w:r>
          </w:p>
        </w:tc>
        <w:tc>
          <w:tcPr>
            <w:tcW w:w="757" w:type="dxa"/>
            <w:vAlign w:val="top"/>
          </w:tcPr>
          <w:p>
            <w:pPr>
              <w:pStyle w:val="6"/>
              <w:spacing w:before="98" w:line="188" w:lineRule="auto"/>
              <w:ind w:left="163"/>
            </w:pPr>
            <w:r>
              <w:rPr>
                <w:spacing w:val="-5"/>
              </w:rPr>
              <w:t>15.73</w:t>
            </w:r>
          </w:p>
        </w:tc>
        <w:tc>
          <w:tcPr>
            <w:tcW w:w="758" w:type="dxa"/>
            <w:vAlign w:val="top"/>
          </w:tcPr>
          <w:p>
            <w:pPr>
              <w:pStyle w:val="6"/>
              <w:spacing w:before="98" w:line="188" w:lineRule="auto"/>
              <w:ind w:left="164"/>
            </w:pPr>
            <w:r>
              <w:rPr>
                <w:spacing w:val="-5"/>
              </w:rPr>
              <w:t>15.58</w:t>
            </w:r>
          </w:p>
        </w:tc>
        <w:tc>
          <w:tcPr>
            <w:tcW w:w="758" w:type="dxa"/>
            <w:vAlign w:val="top"/>
          </w:tcPr>
          <w:p>
            <w:pPr>
              <w:pStyle w:val="6"/>
              <w:spacing w:before="98" w:line="188" w:lineRule="auto"/>
              <w:ind w:left="201"/>
            </w:pPr>
            <w:r>
              <w:rPr>
                <w:spacing w:val="-2"/>
              </w:rPr>
              <w:t>9.67</w:t>
            </w:r>
          </w:p>
        </w:tc>
        <w:tc>
          <w:tcPr>
            <w:tcW w:w="793" w:type="dxa"/>
            <w:tcBorders>
              <w:right w:val="nil"/>
            </w:tcBorders>
            <w:vAlign w:val="top"/>
          </w:tcPr>
          <w:p>
            <w:pPr>
              <w:pStyle w:val="6"/>
              <w:spacing w:before="98" w:line="188" w:lineRule="auto"/>
              <w:ind w:left="218"/>
            </w:pPr>
            <w:r>
              <w:rPr>
                <w:spacing w:val="-2"/>
              </w:rPr>
              <w:t>9.54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2255" w:type="dxa"/>
            <w:tcBorders>
              <w:left w:val="nil"/>
            </w:tcBorders>
            <w:vAlign w:val="top"/>
          </w:tcPr>
          <w:p>
            <w:pPr>
              <w:spacing w:before="61" w:line="213" w:lineRule="auto"/>
              <w:ind w:left="633"/>
              <w:rPr>
                <w:rFonts w:ascii="仿宋" w:hAnsi="仿宋" w:eastAsia="仿宋" w:cs="仿宋"/>
                <w:sz w:val="21"/>
                <w:szCs w:val="21"/>
              </w:rPr>
            </w:pPr>
            <w:r>
              <w:rPr>
                <w:rFonts w:ascii="仿宋" w:hAnsi="仿宋" w:eastAsia="仿宋" w:cs="仿宋"/>
                <w:spacing w:val="-4"/>
                <w:sz w:val="21"/>
                <w:szCs w:val="21"/>
              </w:rPr>
              <w:t>落叶阔叶林</w:t>
            </w:r>
          </w:p>
        </w:tc>
        <w:tc>
          <w:tcPr>
            <w:tcW w:w="915" w:type="dxa"/>
            <w:vAlign w:val="top"/>
          </w:tcPr>
          <w:p>
            <w:pPr>
              <w:pStyle w:val="6"/>
              <w:spacing w:before="98" w:line="188" w:lineRule="auto"/>
              <w:ind w:left="279"/>
            </w:pPr>
            <w:r>
              <w:rPr>
                <w:spacing w:val="-2"/>
              </w:rPr>
              <w:t>3.48</w:t>
            </w:r>
          </w:p>
        </w:tc>
        <w:tc>
          <w:tcPr>
            <w:tcW w:w="837" w:type="dxa"/>
            <w:vAlign w:val="top"/>
          </w:tcPr>
          <w:p>
            <w:pPr>
              <w:pStyle w:val="6"/>
              <w:spacing w:before="98" w:line="188" w:lineRule="auto"/>
              <w:ind w:left="241"/>
            </w:pPr>
            <w:r>
              <w:rPr>
                <w:spacing w:val="-2"/>
              </w:rPr>
              <w:t>3.05</w:t>
            </w:r>
          </w:p>
        </w:tc>
        <w:tc>
          <w:tcPr>
            <w:tcW w:w="880" w:type="dxa"/>
            <w:vAlign w:val="top"/>
          </w:tcPr>
          <w:p>
            <w:pPr>
              <w:pStyle w:val="6"/>
              <w:spacing w:before="98" w:line="188" w:lineRule="auto"/>
              <w:ind w:left="266"/>
            </w:pPr>
            <w:r>
              <w:rPr>
                <w:spacing w:val="-4"/>
              </w:rPr>
              <w:t>8.60</w:t>
            </w:r>
          </w:p>
        </w:tc>
        <w:tc>
          <w:tcPr>
            <w:tcW w:w="761" w:type="dxa"/>
            <w:vAlign w:val="top"/>
          </w:tcPr>
          <w:p>
            <w:pPr>
              <w:pStyle w:val="6"/>
              <w:spacing w:before="98" w:line="188" w:lineRule="auto"/>
              <w:ind w:left="206"/>
            </w:pPr>
            <w:r>
              <w:rPr>
                <w:spacing w:val="-4"/>
              </w:rPr>
              <w:t>8.57</w:t>
            </w:r>
          </w:p>
        </w:tc>
        <w:tc>
          <w:tcPr>
            <w:tcW w:w="757" w:type="dxa"/>
            <w:vAlign w:val="top"/>
          </w:tcPr>
          <w:p>
            <w:pPr>
              <w:pStyle w:val="6"/>
              <w:spacing w:before="98" w:line="188" w:lineRule="auto"/>
              <w:ind w:left="200"/>
            </w:pPr>
            <w:r>
              <w:rPr>
                <w:spacing w:val="-2"/>
              </w:rPr>
              <w:t>3.31</w:t>
            </w:r>
          </w:p>
        </w:tc>
        <w:tc>
          <w:tcPr>
            <w:tcW w:w="758" w:type="dxa"/>
            <w:vAlign w:val="top"/>
          </w:tcPr>
          <w:p>
            <w:pPr>
              <w:pStyle w:val="6"/>
              <w:spacing w:before="98" w:line="188" w:lineRule="auto"/>
              <w:ind w:left="201"/>
            </w:pPr>
            <w:r>
              <w:rPr>
                <w:spacing w:val="-2"/>
              </w:rPr>
              <w:t>3.07</w:t>
            </w:r>
          </w:p>
        </w:tc>
        <w:tc>
          <w:tcPr>
            <w:tcW w:w="758" w:type="dxa"/>
            <w:vAlign w:val="top"/>
          </w:tcPr>
          <w:p>
            <w:pPr>
              <w:pStyle w:val="6"/>
              <w:spacing w:before="98" w:line="188" w:lineRule="auto"/>
              <w:ind w:left="205"/>
            </w:pPr>
            <w:r>
              <w:rPr>
                <w:spacing w:val="-4"/>
              </w:rPr>
              <w:t>8.53</w:t>
            </w:r>
          </w:p>
        </w:tc>
        <w:tc>
          <w:tcPr>
            <w:tcW w:w="793" w:type="dxa"/>
            <w:tcBorders>
              <w:right w:val="nil"/>
            </w:tcBorders>
            <w:vAlign w:val="top"/>
          </w:tcPr>
          <w:p>
            <w:pPr>
              <w:pStyle w:val="6"/>
              <w:spacing w:before="98" w:line="188" w:lineRule="auto"/>
              <w:ind w:left="219"/>
            </w:pPr>
            <w:r>
              <w:rPr>
                <w:spacing w:val="-3"/>
              </w:rPr>
              <w:t>6.30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2255" w:type="dxa"/>
            <w:tcBorders>
              <w:left w:val="nil"/>
            </w:tcBorders>
            <w:vAlign w:val="top"/>
          </w:tcPr>
          <w:p>
            <w:pPr>
              <w:spacing w:before="65" w:line="210" w:lineRule="auto"/>
              <w:ind w:left="632"/>
              <w:rPr>
                <w:rFonts w:ascii="仿宋" w:hAnsi="仿宋" w:eastAsia="仿宋" w:cs="仿宋"/>
                <w:sz w:val="21"/>
                <w:szCs w:val="21"/>
              </w:rPr>
            </w:pPr>
            <w:r>
              <w:rPr>
                <w:rFonts w:ascii="仿宋" w:hAnsi="仿宋" w:eastAsia="仿宋" w:cs="仿宋"/>
                <w:spacing w:val="-4"/>
                <w:sz w:val="21"/>
                <w:szCs w:val="21"/>
              </w:rPr>
              <w:t>暖性针叶林</w:t>
            </w:r>
          </w:p>
        </w:tc>
        <w:tc>
          <w:tcPr>
            <w:tcW w:w="915" w:type="dxa"/>
            <w:vAlign w:val="top"/>
          </w:tcPr>
          <w:p>
            <w:pPr>
              <w:pStyle w:val="6"/>
              <w:spacing w:before="101" w:line="188" w:lineRule="auto"/>
              <w:ind w:left="243"/>
            </w:pPr>
            <w:r>
              <w:rPr>
                <w:spacing w:val="-5"/>
              </w:rPr>
              <w:t>18.27</w:t>
            </w:r>
          </w:p>
        </w:tc>
        <w:tc>
          <w:tcPr>
            <w:tcW w:w="837" w:type="dxa"/>
            <w:vAlign w:val="top"/>
          </w:tcPr>
          <w:p>
            <w:pPr>
              <w:pStyle w:val="6"/>
              <w:spacing w:before="101" w:line="188" w:lineRule="auto"/>
              <w:ind w:left="204"/>
            </w:pPr>
            <w:r>
              <w:rPr>
                <w:spacing w:val="-5"/>
              </w:rPr>
              <w:t>17.41</w:t>
            </w:r>
          </w:p>
        </w:tc>
        <w:tc>
          <w:tcPr>
            <w:tcW w:w="880" w:type="dxa"/>
            <w:vAlign w:val="top"/>
          </w:tcPr>
          <w:p>
            <w:pPr>
              <w:pStyle w:val="6"/>
              <w:spacing w:before="101" w:line="188" w:lineRule="auto"/>
              <w:ind w:left="225"/>
            </w:pPr>
            <w:r>
              <w:rPr>
                <w:spacing w:val="-5"/>
              </w:rPr>
              <w:t>13.26</w:t>
            </w:r>
          </w:p>
        </w:tc>
        <w:tc>
          <w:tcPr>
            <w:tcW w:w="761" w:type="dxa"/>
            <w:vAlign w:val="top"/>
          </w:tcPr>
          <w:p>
            <w:pPr>
              <w:pStyle w:val="6"/>
              <w:spacing w:before="101" w:line="188" w:lineRule="auto"/>
              <w:ind w:left="165"/>
            </w:pPr>
            <w:r>
              <w:rPr>
                <w:spacing w:val="-5"/>
              </w:rPr>
              <w:t>12.61</w:t>
            </w:r>
          </w:p>
        </w:tc>
        <w:tc>
          <w:tcPr>
            <w:tcW w:w="757" w:type="dxa"/>
            <w:vAlign w:val="top"/>
          </w:tcPr>
          <w:p>
            <w:pPr>
              <w:pStyle w:val="6"/>
              <w:spacing w:before="101" w:line="188" w:lineRule="auto"/>
              <w:ind w:left="147"/>
            </w:pPr>
            <w:r>
              <w:rPr>
                <w:spacing w:val="-2"/>
              </w:rPr>
              <w:t>33.66</w:t>
            </w:r>
          </w:p>
        </w:tc>
        <w:tc>
          <w:tcPr>
            <w:tcW w:w="758" w:type="dxa"/>
            <w:vAlign w:val="top"/>
          </w:tcPr>
          <w:p>
            <w:pPr>
              <w:pStyle w:val="6"/>
              <w:spacing w:before="101" w:line="188" w:lineRule="auto"/>
              <w:ind w:left="148"/>
            </w:pPr>
            <w:r>
              <w:rPr>
                <w:spacing w:val="-2"/>
              </w:rPr>
              <w:t>31.38</w:t>
            </w:r>
          </w:p>
        </w:tc>
        <w:tc>
          <w:tcPr>
            <w:tcW w:w="758" w:type="dxa"/>
            <w:vAlign w:val="top"/>
          </w:tcPr>
          <w:p>
            <w:pPr>
              <w:pStyle w:val="6"/>
              <w:spacing w:before="101" w:line="188" w:lineRule="auto"/>
              <w:ind w:left="144"/>
            </w:pPr>
            <w:r>
              <w:rPr>
                <w:spacing w:val="-1"/>
              </w:rPr>
              <w:t>22.13</w:t>
            </w:r>
          </w:p>
        </w:tc>
        <w:tc>
          <w:tcPr>
            <w:tcW w:w="793" w:type="dxa"/>
            <w:tcBorders>
              <w:right w:val="nil"/>
            </w:tcBorders>
            <w:vAlign w:val="top"/>
          </w:tcPr>
          <w:p>
            <w:pPr>
              <w:pStyle w:val="6"/>
              <w:spacing w:before="101" w:line="188" w:lineRule="auto"/>
              <w:ind w:left="181"/>
            </w:pPr>
            <w:r>
              <w:rPr>
                <w:spacing w:val="-5"/>
              </w:rPr>
              <w:t>19.07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255" w:type="dxa"/>
            <w:tcBorders>
              <w:left w:val="nil"/>
            </w:tcBorders>
            <w:vAlign w:val="top"/>
          </w:tcPr>
          <w:p>
            <w:pPr>
              <w:spacing w:before="68" w:line="209" w:lineRule="auto"/>
              <w:ind w:left="519"/>
              <w:rPr>
                <w:rFonts w:ascii="仿宋" w:hAnsi="仿宋" w:eastAsia="仿宋" w:cs="仿宋"/>
                <w:sz w:val="21"/>
                <w:szCs w:val="21"/>
              </w:rPr>
            </w:pPr>
            <w:r>
              <w:rPr>
                <w:rFonts w:ascii="仿宋" w:hAnsi="仿宋" w:eastAsia="仿宋" w:cs="仿宋"/>
                <w:spacing w:val="-3"/>
                <w:sz w:val="21"/>
                <w:szCs w:val="21"/>
              </w:rPr>
              <w:t>稀树灌木草丛</w:t>
            </w:r>
          </w:p>
        </w:tc>
        <w:tc>
          <w:tcPr>
            <w:tcW w:w="915" w:type="dxa"/>
            <w:vAlign w:val="top"/>
          </w:tcPr>
          <w:p>
            <w:pPr>
              <w:pStyle w:val="6"/>
              <w:spacing w:before="105" w:line="188" w:lineRule="auto"/>
              <w:ind w:left="243"/>
            </w:pPr>
            <w:r>
              <w:rPr>
                <w:spacing w:val="-5"/>
              </w:rPr>
              <w:t>19.32</w:t>
            </w:r>
          </w:p>
        </w:tc>
        <w:tc>
          <w:tcPr>
            <w:tcW w:w="837" w:type="dxa"/>
            <w:vAlign w:val="top"/>
          </w:tcPr>
          <w:p>
            <w:pPr>
              <w:pStyle w:val="6"/>
              <w:spacing w:before="105" w:line="188" w:lineRule="auto"/>
              <w:ind w:left="204"/>
            </w:pPr>
            <w:r>
              <w:rPr>
                <w:spacing w:val="-5"/>
              </w:rPr>
              <w:t>16.44</w:t>
            </w:r>
          </w:p>
        </w:tc>
        <w:tc>
          <w:tcPr>
            <w:tcW w:w="880" w:type="dxa"/>
            <w:vAlign w:val="top"/>
          </w:tcPr>
          <w:p>
            <w:pPr>
              <w:pStyle w:val="6"/>
              <w:spacing w:before="105" w:line="188" w:lineRule="auto"/>
              <w:ind w:left="225"/>
            </w:pPr>
            <w:r>
              <w:rPr>
                <w:spacing w:val="-5"/>
              </w:rPr>
              <w:t>17.44</w:t>
            </w:r>
          </w:p>
        </w:tc>
        <w:tc>
          <w:tcPr>
            <w:tcW w:w="761" w:type="dxa"/>
            <w:vAlign w:val="top"/>
          </w:tcPr>
          <w:p>
            <w:pPr>
              <w:pStyle w:val="6"/>
              <w:spacing w:before="105" w:line="188" w:lineRule="auto"/>
              <w:ind w:left="144"/>
            </w:pPr>
            <w:r>
              <w:rPr>
                <w:spacing w:val="-1"/>
              </w:rPr>
              <w:t>21.78</w:t>
            </w:r>
          </w:p>
        </w:tc>
        <w:tc>
          <w:tcPr>
            <w:tcW w:w="757" w:type="dxa"/>
            <w:vAlign w:val="top"/>
          </w:tcPr>
          <w:p>
            <w:pPr>
              <w:pStyle w:val="6"/>
              <w:spacing w:before="105" w:line="188" w:lineRule="auto"/>
              <w:ind w:left="143"/>
            </w:pPr>
            <w:r>
              <w:rPr>
                <w:spacing w:val="-1"/>
              </w:rPr>
              <w:t>20.22</w:t>
            </w:r>
          </w:p>
        </w:tc>
        <w:tc>
          <w:tcPr>
            <w:tcW w:w="758" w:type="dxa"/>
            <w:vAlign w:val="top"/>
          </w:tcPr>
          <w:p>
            <w:pPr>
              <w:pStyle w:val="6"/>
              <w:spacing w:before="105" w:line="188" w:lineRule="auto"/>
              <w:ind w:left="164"/>
            </w:pPr>
            <w:r>
              <w:rPr>
                <w:spacing w:val="-5"/>
              </w:rPr>
              <w:t>17.38</w:t>
            </w:r>
          </w:p>
        </w:tc>
        <w:tc>
          <w:tcPr>
            <w:tcW w:w="758" w:type="dxa"/>
            <w:vAlign w:val="top"/>
          </w:tcPr>
          <w:p>
            <w:pPr>
              <w:pStyle w:val="6"/>
              <w:spacing w:before="105" w:line="188" w:lineRule="auto"/>
              <w:ind w:left="164"/>
            </w:pPr>
            <w:r>
              <w:rPr>
                <w:spacing w:val="-5"/>
              </w:rPr>
              <w:t>16.28</w:t>
            </w:r>
          </w:p>
        </w:tc>
        <w:tc>
          <w:tcPr>
            <w:tcW w:w="793" w:type="dxa"/>
            <w:tcBorders>
              <w:right w:val="nil"/>
            </w:tcBorders>
            <w:vAlign w:val="top"/>
          </w:tcPr>
          <w:p>
            <w:pPr>
              <w:pStyle w:val="6"/>
              <w:spacing w:before="105" w:line="188" w:lineRule="auto"/>
              <w:ind w:left="181"/>
            </w:pPr>
            <w:r>
              <w:rPr>
                <w:spacing w:val="-5"/>
              </w:rPr>
              <w:t>13.31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2255" w:type="dxa"/>
            <w:tcBorders>
              <w:left w:val="nil"/>
            </w:tcBorders>
            <w:vAlign w:val="top"/>
          </w:tcPr>
          <w:p>
            <w:pPr>
              <w:spacing w:before="69" w:line="206" w:lineRule="auto"/>
              <w:ind w:left="941"/>
              <w:rPr>
                <w:rFonts w:ascii="仿宋" w:hAnsi="仿宋" w:eastAsia="仿宋" w:cs="仿宋"/>
                <w:sz w:val="21"/>
                <w:szCs w:val="21"/>
              </w:rPr>
            </w:pPr>
            <w:r>
              <w:rPr>
                <w:rFonts w:ascii="仿宋" w:hAnsi="仿宋" w:eastAsia="仿宋" w:cs="仿宋"/>
                <w:spacing w:val="-5"/>
                <w:sz w:val="21"/>
                <w:szCs w:val="21"/>
              </w:rPr>
              <w:t>灌丛</w:t>
            </w:r>
          </w:p>
        </w:tc>
        <w:tc>
          <w:tcPr>
            <w:tcW w:w="915" w:type="dxa"/>
            <w:vAlign w:val="top"/>
          </w:tcPr>
          <w:p>
            <w:pPr>
              <w:pStyle w:val="6"/>
              <w:spacing w:before="105" w:line="188" w:lineRule="auto"/>
              <w:ind w:left="222"/>
            </w:pPr>
            <w:r>
              <w:rPr>
                <w:spacing w:val="-1"/>
              </w:rPr>
              <w:t>22.29</w:t>
            </w:r>
          </w:p>
        </w:tc>
        <w:tc>
          <w:tcPr>
            <w:tcW w:w="837" w:type="dxa"/>
            <w:vAlign w:val="top"/>
          </w:tcPr>
          <w:p>
            <w:pPr>
              <w:pStyle w:val="6"/>
              <w:spacing w:before="105" w:line="188" w:lineRule="auto"/>
              <w:ind w:left="184"/>
            </w:pPr>
            <w:r>
              <w:rPr>
                <w:spacing w:val="-1"/>
              </w:rPr>
              <w:t>20.15</w:t>
            </w:r>
          </w:p>
        </w:tc>
        <w:tc>
          <w:tcPr>
            <w:tcW w:w="880" w:type="dxa"/>
            <w:vAlign w:val="top"/>
          </w:tcPr>
          <w:p>
            <w:pPr>
              <w:pStyle w:val="6"/>
              <w:spacing w:before="105" w:line="188" w:lineRule="auto"/>
              <w:ind w:left="225"/>
            </w:pPr>
            <w:r>
              <w:rPr>
                <w:spacing w:val="-5"/>
              </w:rPr>
              <w:t>15.04</w:t>
            </w:r>
          </w:p>
        </w:tc>
        <w:tc>
          <w:tcPr>
            <w:tcW w:w="761" w:type="dxa"/>
            <w:vAlign w:val="top"/>
          </w:tcPr>
          <w:p>
            <w:pPr>
              <w:pStyle w:val="6"/>
              <w:spacing w:before="105" w:line="188" w:lineRule="auto"/>
              <w:ind w:left="165"/>
            </w:pPr>
            <w:r>
              <w:rPr>
                <w:spacing w:val="-5"/>
              </w:rPr>
              <w:t>14.71</w:t>
            </w:r>
          </w:p>
        </w:tc>
        <w:tc>
          <w:tcPr>
            <w:tcW w:w="757" w:type="dxa"/>
            <w:vAlign w:val="top"/>
          </w:tcPr>
          <w:p>
            <w:pPr>
              <w:pStyle w:val="6"/>
              <w:spacing w:before="105" w:line="188" w:lineRule="auto"/>
              <w:ind w:left="147"/>
            </w:pPr>
            <w:r>
              <w:rPr>
                <w:spacing w:val="-2"/>
              </w:rPr>
              <w:t>30.79</w:t>
            </w:r>
          </w:p>
        </w:tc>
        <w:tc>
          <w:tcPr>
            <w:tcW w:w="758" w:type="dxa"/>
            <w:vAlign w:val="top"/>
          </w:tcPr>
          <w:p>
            <w:pPr>
              <w:pStyle w:val="6"/>
              <w:spacing w:before="105" w:line="188" w:lineRule="auto"/>
              <w:ind w:left="144"/>
            </w:pPr>
            <w:r>
              <w:rPr>
                <w:spacing w:val="-1"/>
              </w:rPr>
              <w:t>28.60</w:t>
            </w:r>
          </w:p>
        </w:tc>
        <w:tc>
          <w:tcPr>
            <w:tcW w:w="758" w:type="dxa"/>
            <w:vAlign w:val="top"/>
          </w:tcPr>
          <w:p>
            <w:pPr>
              <w:pStyle w:val="6"/>
              <w:spacing w:before="105" w:line="188" w:lineRule="auto"/>
              <w:ind w:left="144"/>
            </w:pPr>
            <w:r>
              <w:rPr>
                <w:spacing w:val="-1"/>
              </w:rPr>
              <w:t>24.03</w:t>
            </w:r>
          </w:p>
        </w:tc>
        <w:tc>
          <w:tcPr>
            <w:tcW w:w="793" w:type="dxa"/>
            <w:tcBorders>
              <w:right w:val="nil"/>
            </w:tcBorders>
            <w:vAlign w:val="top"/>
          </w:tcPr>
          <w:p>
            <w:pPr>
              <w:pStyle w:val="6"/>
              <w:spacing w:before="105" w:line="188" w:lineRule="auto"/>
              <w:ind w:left="161"/>
            </w:pPr>
            <w:r>
              <w:rPr>
                <w:spacing w:val="-1"/>
              </w:rPr>
              <w:t>21.01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2255" w:type="dxa"/>
            <w:tcBorders>
              <w:left w:val="nil"/>
            </w:tcBorders>
            <w:vAlign w:val="top"/>
          </w:tcPr>
          <w:p>
            <w:pPr>
              <w:spacing w:before="71" w:line="204" w:lineRule="auto"/>
              <w:ind w:left="938"/>
              <w:rPr>
                <w:rFonts w:ascii="仿宋" w:hAnsi="仿宋" w:eastAsia="仿宋" w:cs="仿宋"/>
                <w:sz w:val="21"/>
                <w:szCs w:val="21"/>
              </w:rPr>
            </w:pPr>
            <w:r>
              <w:rPr>
                <w:rFonts w:ascii="仿宋" w:hAnsi="仿宋" w:eastAsia="仿宋" w:cs="仿宋"/>
                <w:spacing w:val="-4"/>
                <w:sz w:val="21"/>
                <w:szCs w:val="21"/>
              </w:rPr>
              <w:t>耕地</w:t>
            </w:r>
          </w:p>
        </w:tc>
        <w:tc>
          <w:tcPr>
            <w:tcW w:w="915" w:type="dxa"/>
            <w:vAlign w:val="top"/>
          </w:tcPr>
          <w:p>
            <w:pPr>
              <w:pStyle w:val="6"/>
              <w:spacing w:before="108" w:line="188" w:lineRule="auto"/>
              <w:ind w:left="227"/>
            </w:pPr>
            <w:r>
              <w:rPr>
                <w:spacing w:val="-2"/>
              </w:rPr>
              <w:t>31.15</w:t>
            </w:r>
          </w:p>
        </w:tc>
        <w:tc>
          <w:tcPr>
            <w:tcW w:w="837" w:type="dxa"/>
            <w:vAlign w:val="top"/>
          </w:tcPr>
          <w:p>
            <w:pPr>
              <w:pStyle w:val="6"/>
              <w:spacing w:before="108" w:line="188" w:lineRule="auto"/>
              <w:ind w:left="188"/>
            </w:pPr>
            <w:r>
              <w:rPr>
                <w:spacing w:val="-2"/>
              </w:rPr>
              <w:t>30.58</w:t>
            </w:r>
          </w:p>
        </w:tc>
        <w:tc>
          <w:tcPr>
            <w:tcW w:w="880" w:type="dxa"/>
            <w:vAlign w:val="top"/>
          </w:tcPr>
          <w:p>
            <w:pPr>
              <w:pStyle w:val="6"/>
              <w:spacing w:before="108" w:line="188" w:lineRule="auto"/>
              <w:ind w:left="205"/>
            </w:pPr>
            <w:r>
              <w:rPr>
                <w:spacing w:val="-1"/>
              </w:rPr>
              <w:t>21.74</w:t>
            </w:r>
          </w:p>
        </w:tc>
        <w:tc>
          <w:tcPr>
            <w:tcW w:w="761" w:type="dxa"/>
            <w:vAlign w:val="top"/>
          </w:tcPr>
          <w:p>
            <w:pPr>
              <w:pStyle w:val="6"/>
              <w:spacing w:before="108" w:line="188" w:lineRule="auto"/>
              <w:ind w:left="206"/>
            </w:pPr>
            <w:r>
              <w:rPr>
                <w:spacing w:val="-4"/>
              </w:rPr>
              <w:t>8.62</w:t>
            </w:r>
          </w:p>
        </w:tc>
        <w:tc>
          <w:tcPr>
            <w:tcW w:w="757" w:type="dxa"/>
            <w:vAlign w:val="top"/>
          </w:tcPr>
          <w:p>
            <w:pPr>
              <w:pStyle w:val="6"/>
              <w:spacing w:before="108" w:line="188" w:lineRule="auto"/>
              <w:ind w:left="163"/>
            </w:pPr>
            <w:r>
              <w:rPr>
                <w:spacing w:val="-5"/>
              </w:rPr>
              <w:t>10.46</w:t>
            </w:r>
          </w:p>
        </w:tc>
        <w:tc>
          <w:tcPr>
            <w:tcW w:w="758" w:type="dxa"/>
            <w:vAlign w:val="top"/>
          </w:tcPr>
          <w:p>
            <w:pPr>
              <w:pStyle w:val="6"/>
              <w:spacing w:before="108" w:line="188" w:lineRule="auto"/>
              <w:ind w:left="200"/>
            </w:pPr>
            <w:r>
              <w:rPr>
                <w:spacing w:val="-2"/>
              </w:rPr>
              <w:t>9.84</w:t>
            </w:r>
          </w:p>
        </w:tc>
        <w:tc>
          <w:tcPr>
            <w:tcW w:w="758" w:type="dxa"/>
            <w:vAlign w:val="top"/>
          </w:tcPr>
          <w:p>
            <w:pPr>
              <w:pStyle w:val="6"/>
              <w:spacing w:before="108" w:line="188" w:lineRule="auto"/>
              <w:ind w:left="164"/>
            </w:pPr>
            <w:r>
              <w:rPr>
                <w:spacing w:val="-5"/>
              </w:rPr>
              <w:t>18.89</w:t>
            </w:r>
          </w:p>
        </w:tc>
        <w:tc>
          <w:tcPr>
            <w:tcW w:w="793" w:type="dxa"/>
            <w:tcBorders>
              <w:right w:val="nil"/>
            </w:tcBorders>
            <w:vAlign w:val="top"/>
          </w:tcPr>
          <w:p>
            <w:pPr>
              <w:pStyle w:val="6"/>
              <w:spacing w:before="108" w:line="188" w:lineRule="auto"/>
              <w:ind w:left="181"/>
            </w:pPr>
            <w:r>
              <w:rPr>
                <w:spacing w:val="-5"/>
              </w:rPr>
              <w:t>15.41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2255" w:type="dxa"/>
            <w:tcBorders>
              <w:left w:val="nil"/>
            </w:tcBorders>
            <w:vAlign w:val="top"/>
          </w:tcPr>
          <w:p>
            <w:pPr>
              <w:spacing w:before="75" w:line="203" w:lineRule="auto"/>
              <w:ind w:left="733"/>
              <w:rPr>
                <w:rFonts w:ascii="仿宋" w:hAnsi="仿宋" w:eastAsia="仿宋" w:cs="仿宋"/>
                <w:sz w:val="21"/>
                <w:szCs w:val="21"/>
              </w:rPr>
            </w:pPr>
            <w:r>
              <w:rPr>
                <w:rFonts w:ascii="仿宋" w:hAnsi="仿宋" w:eastAsia="仿宋" w:cs="仿宋"/>
                <w:spacing w:val="-4"/>
                <w:sz w:val="21"/>
                <w:szCs w:val="21"/>
              </w:rPr>
              <w:t>交通用地</w:t>
            </w:r>
          </w:p>
        </w:tc>
        <w:tc>
          <w:tcPr>
            <w:tcW w:w="915" w:type="dxa"/>
            <w:vAlign w:val="top"/>
          </w:tcPr>
          <w:p>
            <w:pPr>
              <w:pStyle w:val="6"/>
              <w:spacing w:before="112" w:line="188" w:lineRule="auto"/>
              <w:ind w:left="295"/>
            </w:pPr>
            <w:r>
              <w:rPr>
                <w:spacing w:val="-6"/>
              </w:rPr>
              <w:t>1.62</w:t>
            </w:r>
          </w:p>
        </w:tc>
        <w:tc>
          <w:tcPr>
            <w:tcW w:w="837" w:type="dxa"/>
            <w:vAlign w:val="top"/>
          </w:tcPr>
          <w:p>
            <w:pPr>
              <w:pStyle w:val="6"/>
              <w:spacing w:before="112" w:line="188" w:lineRule="auto"/>
              <w:ind w:left="257"/>
            </w:pPr>
            <w:r>
              <w:rPr>
                <w:spacing w:val="-6"/>
              </w:rPr>
              <w:t>1.41</w:t>
            </w:r>
          </w:p>
        </w:tc>
        <w:tc>
          <w:tcPr>
            <w:tcW w:w="880" w:type="dxa"/>
            <w:vAlign w:val="top"/>
          </w:tcPr>
          <w:p>
            <w:pPr>
              <w:pStyle w:val="6"/>
              <w:spacing w:before="112" w:line="188" w:lineRule="auto"/>
              <w:ind w:left="257"/>
            </w:pPr>
            <w:r>
              <w:rPr>
                <w:spacing w:val="-1"/>
              </w:rPr>
              <w:t>4.35</w:t>
            </w:r>
          </w:p>
        </w:tc>
        <w:tc>
          <w:tcPr>
            <w:tcW w:w="761" w:type="dxa"/>
            <w:vAlign w:val="top"/>
          </w:tcPr>
          <w:p>
            <w:pPr>
              <w:pStyle w:val="6"/>
              <w:spacing w:before="112" w:line="188" w:lineRule="auto"/>
              <w:ind w:left="196"/>
            </w:pPr>
            <w:r>
              <w:rPr>
                <w:spacing w:val="-1"/>
              </w:rPr>
              <w:t>4.57</w:t>
            </w:r>
          </w:p>
        </w:tc>
        <w:tc>
          <w:tcPr>
            <w:tcW w:w="757" w:type="dxa"/>
            <w:vAlign w:val="top"/>
          </w:tcPr>
          <w:p>
            <w:pPr>
              <w:pStyle w:val="6"/>
              <w:spacing w:before="112" w:line="188" w:lineRule="auto"/>
              <w:ind w:left="163"/>
            </w:pPr>
            <w:r>
              <w:rPr>
                <w:spacing w:val="-5"/>
              </w:rPr>
              <w:t>10.65</w:t>
            </w:r>
          </w:p>
        </w:tc>
        <w:tc>
          <w:tcPr>
            <w:tcW w:w="758" w:type="dxa"/>
            <w:vAlign w:val="top"/>
          </w:tcPr>
          <w:p>
            <w:pPr>
              <w:pStyle w:val="6"/>
              <w:spacing w:before="112" w:line="188" w:lineRule="auto"/>
              <w:ind w:left="200"/>
            </w:pPr>
            <w:r>
              <w:rPr>
                <w:spacing w:val="-2"/>
              </w:rPr>
              <w:t>9.81</w:t>
            </w:r>
          </w:p>
        </w:tc>
        <w:tc>
          <w:tcPr>
            <w:tcW w:w="758" w:type="dxa"/>
            <w:vAlign w:val="top"/>
          </w:tcPr>
          <w:p>
            <w:pPr>
              <w:pStyle w:val="6"/>
              <w:spacing w:before="112" w:line="188" w:lineRule="auto"/>
              <w:ind w:left="196"/>
            </w:pPr>
            <w:r>
              <w:rPr>
                <w:spacing w:val="-1"/>
              </w:rPr>
              <w:t>4.47</w:t>
            </w:r>
          </w:p>
        </w:tc>
        <w:tc>
          <w:tcPr>
            <w:tcW w:w="793" w:type="dxa"/>
            <w:tcBorders>
              <w:right w:val="nil"/>
            </w:tcBorders>
            <w:vAlign w:val="top"/>
          </w:tcPr>
          <w:p>
            <w:pPr>
              <w:pStyle w:val="6"/>
              <w:spacing w:before="112" w:line="188" w:lineRule="auto"/>
              <w:ind w:left="213"/>
            </w:pPr>
            <w:r>
              <w:rPr>
                <w:spacing w:val="-1"/>
              </w:rPr>
              <w:t>4.76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4" w:hRule="atLeast"/>
        </w:trPr>
        <w:tc>
          <w:tcPr>
            <w:tcW w:w="2255" w:type="dxa"/>
            <w:tcBorders>
              <w:left w:val="nil"/>
            </w:tcBorders>
            <w:vAlign w:val="top"/>
          </w:tcPr>
          <w:p>
            <w:pPr>
              <w:spacing w:before="76" w:line="200" w:lineRule="auto"/>
              <w:ind w:left="937"/>
              <w:rPr>
                <w:rFonts w:ascii="仿宋" w:hAnsi="仿宋" w:eastAsia="仿宋" w:cs="仿宋"/>
                <w:sz w:val="21"/>
                <w:szCs w:val="21"/>
              </w:rPr>
            </w:pPr>
            <w:r>
              <w:rPr>
                <w:rFonts w:ascii="仿宋" w:hAnsi="仿宋" w:eastAsia="仿宋" w:cs="仿宋"/>
                <w:spacing w:val="-4"/>
                <w:sz w:val="21"/>
                <w:szCs w:val="21"/>
              </w:rPr>
              <w:t>水域</w:t>
            </w:r>
          </w:p>
        </w:tc>
        <w:tc>
          <w:tcPr>
            <w:tcW w:w="915" w:type="dxa"/>
            <w:vAlign w:val="top"/>
          </w:tcPr>
          <w:p>
            <w:pPr>
              <w:pStyle w:val="6"/>
              <w:spacing w:before="112" w:line="188" w:lineRule="auto"/>
              <w:ind w:left="243"/>
            </w:pPr>
            <w:r>
              <w:rPr>
                <w:spacing w:val="-5"/>
              </w:rPr>
              <w:t>16.15</w:t>
            </w:r>
          </w:p>
        </w:tc>
        <w:tc>
          <w:tcPr>
            <w:tcW w:w="837" w:type="dxa"/>
            <w:vAlign w:val="top"/>
          </w:tcPr>
          <w:p>
            <w:pPr>
              <w:pStyle w:val="6"/>
              <w:spacing w:before="112" w:line="188" w:lineRule="auto"/>
              <w:ind w:left="204"/>
            </w:pPr>
            <w:r>
              <w:rPr>
                <w:spacing w:val="-5"/>
              </w:rPr>
              <w:t>16.19</w:t>
            </w:r>
          </w:p>
        </w:tc>
        <w:tc>
          <w:tcPr>
            <w:tcW w:w="880" w:type="dxa"/>
            <w:vAlign w:val="top"/>
          </w:tcPr>
          <w:p>
            <w:pPr>
              <w:pStyle w:val="6"/>
              <w:spacing w:before="112" w:line="188" w:lineRule="auto"/>
              <w:ind w:left="225"/>
            </w:pPr>
            <w:r>
              <w:rPr>
                <w:spacing w:val="-5"/>
              </w:rPr>
              <w:t>13.24</w:t>
            </w:r>
          </w:p>
        </w:tc>
        <w:tc>
          <w:tcPr>
            <w:tcW w:w="761" w:type="dxa"/>
            <w:vAlign w:val="top"/>
          </w:tcPr>
          <w:p>
            <w:pPr>
              <w:pStyle w:val="6"/>
              <w:spacing w:before="112" w:line="188" w:lineRule="auto"/>
              <w:ind w:left="165"/>
            </w:pPr>
            <w:r>
              <w:rPr>
                <w:spacing w:val="-5"/>
              </w:rPr>
              <w:t>18.76</w:t>
            </w:r>
          </w:p>
        </w:tc>
        <w:tc>
          <w:tcPr>
            <w:tcW w:w="757" w:type="dxa"/>
            <w:vAlign w:val="top"/>
          </w:tcPr>
          <w:p>
            <w:pPr>
              <w:pStyle w:val="6"/>
              <w:spacing w:before="112" w:line="188" w:lineRule="auto"/>
              <w:ind w:left="200"/>
            </w:pPr>
            <w:r>
              <w:rPr>
                <w:spacing w:val="-3"/>
              </w:rPr>
              <w:t>3.79</w:t>
            </w:r>
          </w:p>
        </w:tc>
        <w:tc>
          <w:tcPr>
            <w:tcW w:w="758" w:type="dxa"/>
            <w:vAlign w:val="top"/>
          </w:tcPr>
          <w:p>
            <w:pPr>
              <w:pStyle w:val="6"/>
              <w:spacing w:before="112" w:line="188" w:lineRule="auto"/>
              <w:ind w:left="195"/>
            </w:pPr>
            <w:r>
              <w:rPr>
                <w:spacing w:val="-1"/>
              </w:rPr>
              <w:t>4.58</w:t>
            </w:r>
          </w:p>
        </w:tc>
        <w:tc>
          <w:tcPr>
            <w:tcW w:w="758" w:type="dxa"/>
            <w:vAlign w:val="top"/>
          </w:tcPr>
          <w:p>
            <w:pPr>
              <w:pStyle w:val="6"/>
              <w:spacing w:before="112" w:line="188" w:lineRule="auto"/>
              <w:ind w:left="200"/>
            </w:pPr>
            <w:r>
              <w:rPr>
                <w:spacing w:val="-2"/>
              </w:rPr>
              <w:t>7.28</w:t>
            </w:r>
          </w:p>
        </w:tc>
        <w:tc>
          <w:tcPr>
            <w:tcW w:w="793" w:type="dxa"/>
            <w:tcBorders>
              <w:right w:val="nil"/>
            </w:tcBorders>
            <w:vAlign w:val="top"/>
          </w:tcPr>
          <w:p>
            <w:pPr>
              <w:pStyle w:val="6"/>
              <w:spacing w:before="112" w:line="188" w:lineRule="auto"/>
              <w:ind w:left="186"/>
            </w:pPr>
            <w:r>
              <w:rPr>
                <w:spacing w:val="-7"/>
              </w:rPr>
              <w:t>11.38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9" w:hRule="atLeast"/>
        </w:trPr>
        <w:tc>
          <w:tcPr>
            <w:tcW w:w="2255" w:type="dxa"/>
            <w:tcBorders>
              <w:left w:val="nil"/>
              <w:bottom w:val="single" w:color="000000" w:sz="12" w:space="0"/>
            </w:tcBorders>
            <w:vAlign w:val="top"/>
          </w:tcPr>
          <w:p>
            <w:pPr>
              <w:spacing w:before="78" w:line="220" w:lineRule="auto"/>
              <w:ind w:left="728"/>
              <w:rPr>
                <w:rFonts w:ascii="仿宋" w:hAnsi="仿宋" w:eastAsia="仿宋" w:cs="仿宋"/>
                <w:sz w:val="21"/>
                <w:szCs w:val="21"/>
              </w:rPr>
            </w:pPr>
            <w:r>
              <w:rPr>
                <w:rFonts w:ascii="仿宋" w:hAnsi="仿宋" w:eastAsia="仿宋" w:cs="仿宋"/>
                <w:spacing w:val="-3"/>
                <w:sz w:val="21"/>
                <w:szCs w:val="21"/>
              </w:rPr>
              <w:t>建筑用地</w:t>
            </w:r>
          </w:p>
        </w:tc>
        <w:tc>
          <w:tcPr>
            <w:tcW w:w="915" w:type="dxa"/>
            <w:tcBorders>
              <w:bottom w:val="single" w:color="000000" w:sz="12" w:space="0"/>
            </w:tcBorders>
            <w:vAlign w:val="top"/>
          </w:tcPr>
          <w:p>
            <w:pPr>
              <w:pStyle w:val="6"/>
              <w:spacing w:before="115" w:line="188" w:lineRule="auto"/>
              <w:ind w:left="243"/>
            </w:pPr>
            <w:r>
              <w:rPr>
                <w:spacing w:val="-5"/>
              </w:rPr>
              <w:t>18.19</w:t>
            </w:r>
          </w:p>
        </w:tc>
        <w:tc>
          <w:tcPr>
            <w:tcW w:w="837" w:type="dxa"/>
            <w:tcBorders>
              <w:bottom w:val="single" w:color="000000" w:sz="12" w:space="0"/>
            </w:tcBorders>
            <w:vAlign w:val="top"/>
          </w:tcPr>
          <w:p>
            <w:pPr>
              <w:pStyle w:val="6"/>
              <w:spacing w:before="115" w:line="188" w:lineRule="auto"/>
              <w:ind w:left="204"/>
            </w:pPr>
            <w:r>
              <w:rPr>
                <w:spacing w:val="-5"/>
              </w:rPr>
              <w:t>17.32</w:t>
            </w:r>
          </w:p>
        </w:tc>
        <w:tc>
          <w:tcPr>
            <w:tcW w:w="880" w:type="dxa"/>
            <w:tcBorders>
              <w:bottom w:val="single" w:color="000000" w:sz="12" w:space="0"/>
            </w:tcBorders>
            <w:vAlign w:val="top"/>
          </w:tcPr>
          <w:p>
            <w:pPr>
              <w:pStyle w:val="6"/>
              <w:spacing w:before="115" w:line="188" w:lineRule="auto"/>
              <w:ind w:left="257"/>
            </w:pPr>
            <w:r>
              <w:rPr>
                <w:spacing w:val="-1"/>
              </w:rPr>
              <w:t>4.31</w:t>
            </w:r>
          </w:p>
        </w:tc>
        <w:tc>
          <w:tcPr>
            <w:tcW w:w="761" w:type="dxa"/>
            <w:tcBorders>
              <w:bottom w:val="single" w:color="000000" w:sz="12" w:space="0"/>
            </w:tcBorders>
            <w:vAlign w:val="top"/>
          </w:tcPr>
          <w:p>
            <w:pPr>
              <w:pStyle w:val="6"/>
              <w:spacing w:before="115" w:line="188" w:lineRule="auto"/>
              <w:ind w:left="196"/>
            </w:pPr>
            <w:r>
              <w:rPr>
                <w:spacing w:val="-1"/>
              </w:rPr>
              <w:t>4.27</w:t>
            </w:r>
          </w:p>
        </w:tc>
        <w:tc>
          <w:tcPr>
            <w:tcW w:w="757" w:type="dxa"/>
            <w:tcBorders>
              <w:bottom w:val="single" w:color="000000" w:sz="12" w:space="0"/>
            </w:tcBorders>
            <w:vAlign w:val="top"/>
          </w:tcPr>
          <w:p>
            <w:pPr>
              <w:pStyle w:val="6"/>
              <w:spacing w:before="115" w:line="188" w:lineRule="auto"/>
              <w:ind w:left="200"/>
            </w:pPr>
            <w:r>
              <w:rPr>
                <w:spacing w:val="-3"/>
              </w:rPr>
              <w:t>6.36</w:t>
            </w:r>
          </w:p>
        </w:tc>
        <w:tc>
          <w:tcPr>
            <w:tcW w:w="758" w:type="dxa"/>
            <w:tcBorders>
              <w:bottom w:val="single" w:color="000000" w:sz="12" w:space="0"/>
            </w:tcBorders>
            <w:vAlign w:val="top"/>
          </w:tcPr>
          <w:p>
            <w:pPr>
              <w:pStyle w:val="6"/>
              <w:spacing w:before="115" w:line="188" w:lineRule="auto"/>
              <w:ind w:left="201"/>
            </w:pPr>
            <w:r>
              <w:rPr>
                <w:spacing w:val="-3"/>
              </w:rPr>
              <w:t>6.06</w:t>
            </w:r>
          </w:p>
        </w:tc>
        <w:tc>
          <w:tcPr>
            <w:tcW w:w="758" w:type="dxa"/>
            <w:tcBorders>
              <w:bottom w:val="single" w:color="000000" w:sz="12" w:space="0"/>
            </w:tcBorders>
            <w:vAlign w:val="top"/>
          </w:tcPr>
          <w:p>
            <w:pPr>
              <w:pStyle w:val="6"/>
              <w:spacing w:before="115" w:line="188" w:lineRule="auto"/>
              <w:ind w:left="205"/>
            </w:pPr>
            <w:r>
              <w:rPr>
                <w:spacing w:val="-4"/>
              </w:rPr>
              <w:t>8.17</w:t>
            </w:r>
          </w:p>
        </w:tc>
        <w:tc>
          <w:tcPr>
            <w:tcW w:w="793" w:type="dxa"/>
            <w:tcBorders>
              <w:bottom w:val="single" w:color="000000" w:sz="12" w:space="0"/>
              <w:right w:val="nil"/>
            </w:tcBorders>
            <w:vAlign w:val="top"/>
          </w:tcPr>
          <w:p>
            <w:pPr>
              <w:pStyle w:val="6"/>
              <w:spacing w:before="115" w:line="188" w:lineRule="auto"/>
              <w:ind w:left="219"/>
            </w:pPr>
            <w:r>
              <w:rPr>
                <w:spacing w:val="-3"/>
              </w:rPr>
              <w:t>6.78</w:t>
            </w:r>
          </w:p>
        </w:tc>
      </w:tr>
    </w:tbl>
    <w:p>
      <w:pPr>
        <w:spacing w:before="35" w:line="220" w:lineRule="auto"/>
        <w:ind w:left="683"/>
        <w:rPr>
          <w:rFonts w:ascii="宋体" w:hAnsi="宋体" w:eastAsia="宋体" w:cs="宋体"/>
          <w:sz w:val="24"/>
          <w:szCs w:val="24"/>
        </w:rPr>
      </w:pPr>
      <w:r>
        <w:rPr>
          <w:rFonts w:ascii="宋体" w:hAnsi="宋体" w:eastAsia="宋体" w:cs="宋体"/>
          <w:spacing w:val="-10"/>
          <w:sz w:val="24"/>
          <w:szCs w:val="24"/>
        </w:rPr>
        <w:t>从上表可见： 项目建成后枢纽区和库区的土地利用格局发生了变化， 各地类</w:t>
      </w:r>
    </w:p>
    <w:p>
      <w:pPr>
        <w:spacing w:before="183" w:line="359" w:lineRule="auto"/>
        <w:ind w:left="196" w:right="216" w:firstLine="24"/>
        <w:rPr>
          <w:rFonts w:ascii="宋体" w:hAnsi="宋体" w:eastAsia="宋体" w:cs="宋体"/>
          <w:sz w:val="24"/>
          <w:szCs w:val="24"/>
        </w:rPr>
      </w:pPr>
      <w:r>
        <w:rPr>
          <w:rFonts w:ascii="宋体" w:hAnsi="宋体" w:eastAsia="宋体" w:cs="宋体"/>
          <w:spacing w:val="-8"/>
          <w:sz w:val="24"/>
          <w:szCs w:val="24"/>
        </w:rPr>
        <w:t>的密度、频度、景观比例和优势度值都发生了变化，</w:t>
      </w:r>
      <w:r>
        <w:rPr>
          <w:rFonts w:ascii="宋体" w:hAnsi="宋体" w:eastAsia="宋体" w:cs="宋体"/>
          <w:spacing w:val="36"/>
          <w:sz w:val="24"/>
          <w:szCs w:val="24"/>
        </w:rPr>
        <w:t xml:space="preserve"> </w:t>
      </w:r>
      <w:r>
        <w:rPr>
          <w:rFonts w:ascii="宋体" w:hAnsi="宋体" w:eastAsia="宋体" w:cs="宋体"/>
          <w:spacing w:val="-8"/>
          <w:sz w:val="24"/>
          <w:szCs w:val="24"/>
        </w:rPr>
        <w:t>原先是评价区模地的暖性针</w:t>
      </w:r>
      <w:r>
        <w:rPr>
          <w:rFonts w:ascii="宋体" w:hAnsi="宋体" w:eastAsia="宋体" w:cs="宋体"/>
          <w:sz w:val="24"/>
          <w:szCs w:val="24"/>
        </w:rPr>
        <w:t xml:space="preserve"> </w:t>
      </w:r>
      <w:r>
        <w:rPr>
          <w:rFonts w:ascii="宋体" w:hAnsi="宋体" w:eastAsia="宋体" w:cs="宋体"/>
          <w:spacing w:val="-3"/>
          <w:sz w:val="24"/>
          <w:szCs w:val="24"/>
        </w:rPr>
        <w:t>叶林优势度值由</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22.13%</w:t>
      </w:r>
      <w:r>
        <w:rPr>
          <w:rFonts w:ascii="宋体" w:hAnsi="宋体" w:eastAsia="宋体" w:cs="宋体"/>
          <w:spacing w:val="-3"/>
          <w:sz w:val="24"/>
          <w:szCs w:val="24"/>
        </w:rPr>
        <w:t>降低为</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19.07%</w:t>
      </w:r>
      <w:r>
        <w:rPr>
          <w:rFonts w:ascii="宋体" w:hAnsi="宋体" w:eastAsia="宋体" w:cs="宋体"/>
          <w:spacing w:val="-3"/>
          <w:sz w:val="24"/>
          <w:szCs w:val="24"/>
        </w:rPr>
        <w:t xml:space="preserve">，减少了 </w:t>
      </w:r>
      <w:r>
        <w:rPr>
          <w:rFonts w:ascii="Times New Roman" w:hAnsi="Times New Roman" w:eastAsia="Times New Roman" w:cs="Times New Roman"/>
          <w:spacing w:val="-3"/>
          <w:sz w:val="24"/>
          <w:szCs w:val="24"/>
        </w:rPr>
        <w:t>3.06%</w:t>
      </w:r>
      <w:r>
        <w:rPr>
          <w:rFonts w:ascii="宋体" w:hAnsi="宋体" w:eastAsia="宋体" w:cs="宋体"/>
          <w:spacing w:val="-3"/>
          <w:sz w:val="24"/>
          <w:szCs w:val="24"/>
        </w:rPr>
        <w:t>，其次是灌丛优势度值由</w:t>
      </w:r>
      <w:r>
        <w:rPr>
          <w:rFonts w:ascii="宋体" w:hAnsi="宋体" w:eastAsia="宋体" w:cs="宋体"/>
          <w:sz w:val="24"/>
          <w:szCs w:val="24"/>
        </w:rPr>
        <w:t xml:space="preserve"> </w:t>
      </w:r>
      <w:r>
        <w:rPr>
          <w:rFonts w:ascii="Times New Roman" w:hAnsi="Times New Roman" w:eastAsia="Times New Roman" w:cs="Times New Roman"/>
          <w:spacing w:val="-6"/>
          <w:sz w:val="24"/>
          <w:szCs w:val="24"/>
        </w:rPr>
        <w:t>24.03%</w:t>
      </w:r>
      <w:r>
        <w:rPr>
          <w:rFonts w:ascii="宋体" w:hAnsi="宋体" w:eastAsia="宋体" w:cs="宋体"/>
          <w:spacing w:val="-6"/>
          <w:sz w:val="24"/>
          <w:szCs w:val="24"/>
        </w:rPr>
        <w:t>降低为</w:t>
      </w:r>
      <w:r>
        <w:rPr>
          <w:rFonts w:ascii="宋体" w:hAnsi="宋体" w:eastAsia="宋体" w:cs="宋体"/>
          <w:spacing w:val="-44"/>
          <w:sz w:val="24"/>
          <w:szCs w:val="24"/>
        </w:rPr>
        <w:t xml:space="preserve"> </w:t>
      </w:r>
      <w:r>
        <w:rPr>
          <w:rFonts w:ascii="Times New Roman" w:hAnsi="Times New Roman" w:eastAsia="Times New Roman" w:cs="Times New Roman"/>
          <w:spacing w:val="-6"/>
          <w:sz w:val="24"/>
          <w:szCs w:val="24"/>
        </w:rPr>
        <w:t>21.01%</w:t>
      </w:r>
      <w:r>
        <w:rPr>
          <w:rFonts w:ascii="宋体" w:hAnsi="宋体" w:eastAsia="宋体" w:cs="宋体"/>
          <w:spacing w:val="-6"/>
          <w:sz w:val="24"/>
          <w:szCs w:val="24"/>
        </w:rPr>
        <w:t>，减少了</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3.02%</w:t>
      </w:r>
      <w:r>
        <w:rPr>
          <w:rFonts w:ascii="宋体" w:hAnsi="宋体" w:eastAsia="宋体" w:cs="宋体"/>
          <w:spacing w:val="-6"/>
          <w:sz w:val="24"/>
          <w:szCs w:val="24"/>
        </w:rPr>
        <w:t>；水域的优势度值由</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7.28%</w:t>
      </w:r>
      <w:r>
        <w:rPr>
          <w:rFonts w:ascii="宋体" w:hAnsi="宋体" w:eastAsia="宋体" w:cs="宋体"/>
          <w:spacing w:val="-6"/>
          <w:sz w:val="24"/>
          <w:szCs w:val="24"/>
        </w:rPr>
        <w:t>上升为</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11.38%</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w:t>
      </w:r>
      <w:r>
        <w:rPr>
          <w:rFonts w:ascii="宋体" w:hAnsi="宋体" w:eastAsia="宋体" w:cs="宋体"/>
          <w:sz w:val="24"/>
          <w:szCs w:val="24"/>
        </w:rPr>
        <w:t xml:space="preserve"> </w:t>
      </w:r>
      <w:r>
        <w:rPr>
          <w:rFonts w:ascii="宋体" w:hAnsi="宋体" w:eastAsia="宋体" w:cs="宋体"/>
          <w:spacing w:val="-6"/>
          <w:sz w:val="24"/>
          <w:szCs w:val="24"/>
        </w:rPr>
        <w:t>增加了</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3.90%</w:t>
      </w:r>
      <w:r>
        <w:rPr>
          <w:rFonts w:ascii="宋体" w:hAnsi="宋体" w:eastAsia="宋体" w:cs="宋体"/>
          <w:spacing w:val="-6"/>
          <w:sz w:val="24"/>
          <w:szCs w:val="24"/>
        </w:rPr>
        <w:t>，但评价区的模地仍为暖温性针叶林，</w:t>
      </w:r>
      <w:r>
        <w:rPr>
          <w:rFonts w:ascii="宋体" w:hAnsi="宋体" w:eastAsia="宋体" w:cs="宋体"/>
          <w:spacing w:val="37"/>
          <w:sz w:val="24"/>
          <w:szCs w:val="24"/>
        </w:rPr>
        <w:t xml:space="preserve"> </w:t>
      </w:r>
      <w:r>
        <w:rPr>
          <w:rFonts w:ascii="宋体" w:hAnsi="宋体" w:eastAsia="宋体" w:cs="宋体"/>
          <w:spacing w:val="-6"/>
          <w:sz w:val="24"/>
          <w:szCs w:val="24"/>
        </w:rPr>
        <w:t>可见工程实施和</w:t>
      </w:r>
      <w:r>
        <w:rPr>
          <w:rFonts w:ascii="宋体" w:hAnsi="宋体" w:eastAsia="宋体" w:cs="宋体"/>
          <w:spacing w:val="-7"/>
          <w:sz w:val="24"/>
          <w:szCs w:val="24"/>
        </w:rPr>
        <w:t>运行没有改</w:t>
      </w:r>
    </w:p>
    <w:p>
      <w:pPr>
        <w:spacing w:line="218" w:lineRule="auto"/>
        <w:ind w:left="200"/>
        <w:rPr>
          <w:rFonts w:ascii="宋体" w:hAnsi="宋体" w:eastAsia="宋体" w:cs="宋体"/>
          <w:sz w:val="24"/>
          <w:szCs w:val="24"/>
        </w:rPr>
      </w:pPr>
      <w:r>
        <w:rPr>
          <w:rFonts w:ascii="宋体" w:hAnsi="宋体" w:eastAsia="宋体" w:cs="宋体"/>
          <w:spacing w:val="-1"/>
          <w:sz w:val="24"/>
          <w:szCs w:val="24"/>
        </w:rPr>
        <w:t>变评价区自然体系的景观格局。</w:t>
      </w:r>
    </w:p>
    <w:p>
      <w:pPr>
        <w:spacing w:before="184" w:line="359" w:lineRule="auto"/>
        <w:ind w:left="196" w:right="149" w:firstLine="486"/>
        <w:rPr>
          <w:rFonts w:ascii="宋体" w:hAnsi="宋体" w:eastAsia="宋体" w:cs="宋体"/>
          <w:sz w:val="24"/>
          <w:szCs w:val="24"/>
        </w:rPr>
      </w:pPr>
      <w:r>
        <w:rPr>
          <w:rFonts w:ascii="宋体" w:hAnsi="宋体" w:eastAsia="宋体" w:cs="宋体"/>
          <w:spacing w:val="9"/>
          <w:sz w:val="24"/>
          <w:szCs w:val="24"/>
        </w:rPr>
        <w:t>主体工程区占用的面积将是永久改变土地属性的面积，</w:t>
      </w:r>
      <w:r>
        <w:rPr>
          <w:rFonts w:ascii="宋体" w:hAnsi="宋体" w:eastAsia="宋体" w:cs="宋体"/>
          <w:spacing w:val="-25"/>
          <w:sz w:val="24"/>
          <w:szCs w:val="24"/>
        </w:rPr>
        <w:t xml:space="preserve"> </w:t>
      </w:r>
      <w:r>
        <w:rPr>
          <w:rFonts w:ascii="宋体" w:hAnsi="宋体" w:eastAsia="宋体" w:cs="宋体"/>
          <w:spacing w:val="9"/>
          <w:sz w:val="24"/>
          <w:szCs w:val="24"/>
        </w:rPr>
        <w:t>占评价区面积的</w:t>
      </w:r>
      <w:r>
        <w:rPr>
          <w:rFonts w:ascii="宋体" w:hAnsi="宋体" w:eastAsia="宋体" w:cs="宋体"/>
          <w:sz w:val="24"/>
          <w:szCs w:val="24"/>
        </w:rPr>
        <w:t xml:space="preserve"> </w:t>
      </w:r>
      <w:r>
        <w:rPr>
          <w:rFonts w:ascii="Times New Roman" w:hAnsi="Times New Roman" w:eastAsia="Times New Roman" w:cs="Times New Roman"/>
          <w:spacing w:val="-13"/>
          <w:sz w:val="24"/>
          <w:szCs w:val="24"/>
        </w:rPr>
        <w:t>12.09%</w:t>
      </w:r>
      <w:r>
        <w:rPr>
          <w:rFonts w:ascii="宋体" w:hAnsi="宋体" w:eastAsia="宋体" w:cs="宋体"/>
          <w:spacing w:val="-13"/>
          <w:sz w:val="24"/>
          <w:szCs w:val="24"/>
        </w:rPr>
        <w:t>。其中，</w:t>
      </w:r>
      <w:r>
        <w:rPr>
          <w:rFonts w:ascii="宋体" w:hAnsi="宋体" w:eastAsia="宋体" w:cs="宋体"/>
          <w:spacing w:val="48"/>
          <w:sz w:val="24"/>
          <w:szCs w:val="24"/>
        </w:rPr>
        <w:t xml:space="preserve"> </w:t>
      </w:r>
      <w:r>
        <w:rPr>
          <w:rFonts w:ascii="Times New Roman" w:hAnsi="Times New Roman" w:eastAsia="Times New Roman" w:cs="Times New Roman"/>
          <w:spacing w:val="-13"/>
          <w:sz w:val="24"/>
          <w:szCs w:val="24"/>
        </w:rPr>
        <w:t>83.57hm</w:t>
      </w:r>
      <w:r>
        <w:rPr>
          <w:rFonts w:ascii="Times New Roman" w:hAnsi="Times New Roman" w:eastAsia="Times New Roman" w:cs="Times New Roman"/>
          <w:spacing w:val="10"/>
          <w:position w:val="8"/>
          <w:sz w:val="15"/>
          <w:szCs w:val="15"/>
        </w:rPr>
        <w:t>2</w:t>
      </w:r>
      <w:r>
        <w:rPr>
          <w:rFonts w:ascii="Times New Roman" w:hAnsi="Times New Roman" w:eastAsia="Times New Roman" w:cs="Times New Roman"/>
          <w:spacing w:val="15"/>
          <w:w w:val="101"/>
          <w:position w:val="8"/>
          <w:sz w:val="15"/>
          <w:szCs w:val="15"/>
        </w:rPr>
        <w:t xml:space="preserve"> </w:t>
      </w:r>
      <w:r>
        <w:rPr>
          <w:rFonts w:ascii="宋体" w:hAnsi="宋体" w:eastAsia="宋体" w:cs="宋体"/>
          <w:spacing w:val="-17"/>
          <w:sz w:val="24"/>
          <w:szCs w:val="24"/>
        </w:rPr>
        <w:t>为自然植被，</w:t>
      </w:r>
      <w:r>
        <w:rPr>
          <w:rFonts w:ascii="宋体" w:hAnsi="宋体" w:eastAsia="宋体" w:cs="宋体"/>
          <w:spacing w:val="56"/>
          <w:sz w:val="24"/>
          <w:szCs w:val="24"/>
        </w:rPr>
        <w:t xml:space="preserve"> </w:t>
      </w:r>
      <w:r>
        <w:rPr>
          <w:rFonts w:ascii="Times New Roman" w:hAnsi="Times New Roman" w:eastAsia="Times New Roman" w:cs="Times New Roman"/>
          <w:spacing w:val="-17"/>
          <w:sz w:val="24"/>
          <w:szCs w:val="24"/>
        </w:rPr>
        <w:t>11.75hm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15"/>
          <w:position w:val="8"/>
          <w:sz w:val="15"/>
          <w:szCs w:val="15"/>
        </w:rPr>
        <w:t xml:space="preserve"> </w:t>
      </w:r>
      <w:r>
        <w:rPr>
          <w:rFonts w:ascii="宋体" w:hAnsi="宋体" w:eastAsia="宋体" w:cs="宋体"/>
          <w:spacing w:val="-4"/>
          <w:sz w:val="24"/>
          <w:szCs w:val="24"/>
        </w:rPr>
        <w:t>为人工植被（包括经济林、用材</w:t>
      </w:r>
      <w:r>
        <w:rPr>
          <w:rFonts w:ascii="宋体" w:hAnsi="宋体" w:eastAsia="宋体" w:cs="宋体"/>
          <w:sz w:val="24"/>
          <w:szCs w:val="24"/>
        </w:rPr>
        <w:t xml:space="preserve"> </w:t>
      </w:r>
      <w:r>
        <w:rPr>
          <w:rFonts w:ascii="宋体" w:hAnsi="宋体" w:eastAsia="宋体" w:cs="宋体"/>
          <w:spacing w:val="-11"/>
          <w:sz w:val="24"/>
          <w:szCs w:val="24"/>
        </w:rPr>
        <w:t>林和耕地</w:t>
      </w:r>
      <w:r>
        <w:rPr>
          <w:rFonts w:ascii="宋体" w:hAnsi="宋体" w:eastAsia="宋体" w:cs="宋体"/>
          <w:spacing w:val="-5"/>
          <w:sz w:val="24"/>
          <w:szCs w:val="24"/>
        </w:rPr>
        <w:t>），</w:t>
      </w:r>
      <w:r>
        <w:rPr>
          <w:rFonts w:ascii="Times New Roman" w:hAnsi="Times New Roman" w:eastAsia="Times New Roman" w:cs="Times New Roman"/>
          <w:spacing w:val="-11"/>
          <w:sz w:val="24"/>
          <w:szCs w:val="24"/>
        </w:rPr>
        <w:t>3.90hm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36"/>
          <w:position w:val="8"/>
          <w:sz w:val="15"/>
          <w:szCs w:val="15"/>
        </w:rPr>
        <w:t xml:space="preserve"> </w:t>
      </w:r>
      <w:r>
        <w:rPr>
          <w:rFonts w:ascii="宋体" w:hAnsi="宋体" w:eastAsia="宋体" w:cs="宋体"/>
          <w:spacing w:val="-6"/>
          <w:sz w:val="24"/>
          <w:szCs w:val="24"/>
        </w:rPr>
        <w:t xml:space="preserve">为非植被的区域（包括水域、道路和居民点）。这些将要永 </w:t>
      </w:r>
      <w:r>
        <w:rPr>
          <w:rFonts w:ascii="宋体" w:hAnsi="宋体" w:eastAsia="宋体" w:cs="宋体"/>
          <w:spacing w:val="-1"/>
          <w:sz w:val="24"/>
          <w:szCs w:val="24"/>
        </w:rPr>
        <w:t>久消失的自然植被包括半湿润常绿落叶林</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2.09hm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1"/>
          <w:sz w:val="24"/>
          <w:szCs w:val="24"/>
        </w:rPr>
        <w:t>，占评价区总面积的</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0.25</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5"/>
          <w:sz w:val="24"/>
          <w:szCs w:val="24"/>
        </w:rPr>
        <w:t>硬叶阔叶林</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1.18hm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12"/>
          <w:position w:val="8"/>
          <w:sz w:val="15"/>
          <w:szCs w:val="15"/>
        </w:rPr>
        <w:t xml:space="preserve"> </w:t>
      </w:r>
      <w:r>
        <w:rPr>
          <w:rFonts w:ascii="宋体" w:hAnsi="宋体" w:eastAsia="宋体" w:cs="宋体"/>
          <w:spacing w:val="-5"/>
          <w:sz w:val="24"/>
          <w:szCs w:val="24"/>
        </w:rPr>
        <w:t>，占评价区总面积的</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0.14%</w:t>
      </w:r>
      <w:r>
        <w:rPr>
          <w:rFonts w:ascii="宋体" w:hAnsi="宋体" w:eastAsia="宋体" w:cs="宋体"/>
          <w:spacing w:val="-5"/>
          <w:sz w:val="24"/>
          <w:szCs w:val="24"/>
        </w:rPr>
        <w:t>；落叶阔叶林</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1.52hm</w:t>
      </w:r>
      <w:r>
        <w:rPr>
          <w:rFonts w:ascii="Times New Roman" w:hAnsi="Times New Roman" w:eastAsia="Times New Roman" w:cs="Times New Roman"/>
          <w:spacing w:val="-5"/>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5"/>
          <w:sz w:val="24"/>
          <w:szCs w:val="24"/>
        </w:rPr>
        <w:t>，占评</w:t>
      </w:r>
      <w:r>
        <w:rPr>
          <w:rFonts w:ascii="宋体" w:hAnsi="宋体" w:eastAsia="宋体" w:cs="宋体"/>
          <w:spacing w:val="-6"/>
          <w:sz w:val="24"/>
          <w:szCs w:val="24"/>
        </w:rPr>
        <w:t>价区</w:t>
      </w:r>
      <w:r>
        <w:rPr>
          <w:rFonts w:ascii="宋体" w:hAnsi="宋体" w:eastAsia="宋体" w:cs="宋体"/>
          <w:sz w:val="24"/>
          <w:szCs w:val="24"/>
        </w:rPr>
        <w:t xml:space="preserve"> </w:t>
      </w:r>
      <w:r>
        <w:rPr>
          <w:rFonts w:ascii="宋体" w:hAnsi="宋体" w:eastAsia="宋体" w:cs="宋体"/>
          <w:spacing w:val="-3"/>
          <w:sz w:val="24"/>
          <w:szCs w:val="24"/>
        </w:rPr>
        <w:t>总面积的</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0.19%</w:t>
      </w:r>
      <w:r>
        <w:rPr>
          <w:rFonts w:ascii="宋体" w:hAnsi="宋体" w:eastAsia="宋体" w:cs="宋体"/>
          <w:spacing w:val="-3"/>
          <w:sz w:val="24"/>
          <w:szCs w:val="24"/>
        </w:rPr>
        <w:t>；暖温性针叶林</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15.69hm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3"/>
          <w:sz w:val="24"/>
          <w:szCs w:val="24"/>
        </w:rPr>
        <w:t>，占评价区该类植被的</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7.44%</w:t>
      </w:r>
      <w:r>
        <w:rPr>
          <w:rFonts w:ascii="宋体" w:hAnsi="宋体" w:eastAsia="宋体" w:cs="宋体"/>
          <w:spacing w:val="-3"/>
          <w:sz w:val="24"/>
          <w:szCs w:val="24"/>
        </w:rPr>
        <w:t>，占评价</w:t>
      </w:r>
      <w:r>
        <w:rPr>
          <w:rFonts w:ascii="宋体" w:hAnsi="宋体" w:eastAsia="宋体" w:cs="宋体"/>
          <w:sz w:val="24"/>
          <w:szCs w:val="24"/>
        </w:rPr>
        <w:t xml:space="preserve"> 区总面积的 </w:t>
      </w:r>
      <w:r>
        <w:rPr>
          <w:rFonts w:ascii="Times New Roman" w:hAnsi="Times New Roman" w:eastAsia="Times New Roman" w:cs="Times New Roman"/>
          <w:sz w:val="24"/>
          <w:szCs w:val="24"/>
        </w:rPr>
        <w:t>1.91%</w:t>
      </w:r>
      <w:r>
        <w:rPr>
          <w:rFonts w:ascii="宋体" w:hAnsi="宋体" w:eastAsia="宋体" w:cs="宋体"/>
          <w:sz w:val="24"/>
          <w:szCs w:val="24"/>
        </w:rPr>
        <w:t xml:space="preserve">；稀树灌木草丛 </w:t>
      </w:r>
      <w:r>
        <w:rPr>
          <w:rFonts w:ascii="Times New Roman" w:hAnsi="Times New Roman" w:eastAsia="Times New Roman" w:cs="Times New Roman"/>
          <w:sz w:val="24"/>
          <w:szCs w:val="24"/>
        </w:rPr>
        <w:t>36.76hm</w:t>
      </w:r>
      <w:r>
        <w:rPr>
          <w:rFonts w:ascii="Times New Roman" w:hAnsi="Times New Roman" w:eastAsia="Times New Roman" w:cs="Times New Roman"/>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z w:val="24"/>
          <w:szCs w:val="24"/>
        </w:rPr>
        <w:t xml:space="preserve">，占评价区总面积的 </w:t>
      </w:r>
      <w:r>
        <w:rPr>
          <w:rFonts w:ascii="Times New Roman" w:hAnsi="Times New Roman" w:eastAsia="Times New Roman" w:cs="Times New Roman"/>
          <w:sz w:val="24"/>
          <w:szCs w:val="24"/>
        </w:rPr>
        <w:t>4</w:t>
      </w:r>
      <w:r>
        <w:rPr>
          <w:rFonts w:ascii="Times New Roman" w:hAnsi="Times New Roman" w:eastAsia="Times New Roman" w:cs="Times New Roman"/>
          <w:spacing w:val="-1"/>
          <w:sz w:val="24"/>
          <w:szCs w:val="24"/>
        </w:rPr>
        <w:t>.48%</w:t>
      </w:r>
      <w:r>
        <w:rPr>
          <w:rFonts w:ascii="宋体" w:hAnsi="宋体" w:eastAsia="宋体" w:cs="宋体"/>
          <w:spacing w:val="-1"/>
          <w:sz w:val="24"/>
          <w:szCs w:val="24"/>
        </w:rPr>
        <w:t>；灌丛</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26.33hm</w:t>
      </w:r>
      <w:r>
        <w:rPr>
          <w:rFonts w:ascii="Times New Roman" w:hAnsi="Times New Roman" w:eastAsia="Times New Roman" w:cs="Times New Roman"/>
          <w:spacing w:val="-1"/>
          <w:position w:val="8"/>
          <w:sz w:val="15"/>
          <w:szCs w:val="15"/>
        </w:rPr>
        <w:t>2</w:t>
      </w:r>
      <w:r>
        <w:rPr>
          <w:rFonts w:ascii="Times New Roman" w:hAnsi="Times New Roman" w:eastAsia="Times New Roman" w:cs="Times New Roman"/>
          <w:spacing w:val="-10"/>
          <w:position w:val="8"/>
          <w:sz w:val="15"/>
          <w:szCs w:val="15"/>
        </w:rPr>
        <w:t xml:space="preserve"> </w:t>
      </w:r>
      <w:r>
        <w:rPr>
          <w:rFonts w:ascii="宋体" w:hAnsi="宋体" w:eastAsia="宋体" w:cs="宋体"/>
          <w:spacing w:val="-1"/>
          <w:sz w:val="24"/>
          <w:szCs w:val="24"/>
        </w:rPr>
        <w:t xml:space="preserve">，占评价区总面积的 </w:t>
      </w:r>
      <w:r>
        <w:rPr>
          <w:rFonts w:ascii="Times New Roman" w:hAnsi="Times New Roman" w:eastAsia="Times New Roman" w:cs="Times New Roman"/>
          <w:spacing w:val="-1"/>
          <w:sz w:val="24"/>
          <w:szCs w:val="24"/>
        </w:rPr>
        <w:t>3.21%</w:t>
      </w:r>
      <w:r>
        <w:rPr>
          <w:rFonts w:ascii="宋体" w:hAnsi="宋体" w:eastAsia="宋体" w:cs="宋体"/>
          <w:spacing w:val="-1"/>
          <w:sz w:val="24"/>
          <w:szCs w:val="24"/>
        </w:rPr>
        <w:t>。其中，占用面积最大的为稀树灌木草丛，</w:t>
      </w:r>
      <w:r>
        <w:rPr>
          <w:rFonts w:ascii="宋体" w:hAnsi="宋体" w:eastAsia="宋体" w:cs="宋体"/>
          <w:sz w:val="24"/>
          <w:szCs w:val="24"/>
        </w:rPr>
        <w:t xml:space="preserve"> </w:t>
      </w:r>
      <w:r>
        <w:rPr>
          <w:rFonts w:ascii="宋体" w:hAnsi="宋体" w:eastAsia="宋体" w:cs="宋体"/>
          <w:spacing w:val="-3"/>
          <w:sz w:val="24"/>
          <w:szCs w:val="24"/>
        </w:rPr>
        <w:t>也仅占评价区面积的</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4.48%</w:t>
      </w:r>
      <w:r>
        <w:rPr>
          <w:rFonts w:ascii="宋体" w:hAnsi="宋体" w:eastAsia="宋体" w:cs="宋体"/>
          <w:spacing w:val="-3"/>
          <w:sz w:val="24"/>
          <w:szCs w:val="24"/>
        </w:rPr>
        <w:t>；暖温性针叶林也仅为</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15.69hm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4"/>
          <w:sz w:val="24"/>
          <w:szCs w:val="24"/>
        </w:rPr>
        <w:t>，占评价区该类植被</w:t>
      </w:r>
      <w:r>
        <w:rPr>
          <w:rFonts w:ascii="宋体" w:hAnsi="宋体" w:eastAsia="宋体" w:cs="宋体"/>
          <w:sz w:val="24"/>
          <w:szCs w:val="24"/>
        </w:rPr>
        <w:t xml:space="preserve"> </w:t>
      </w:r>
      <w:r>
        <w:rPr>
          <w:rFonts w:ascii="宋体" w:hAnsi="宋体" w:eastAsia="宋体" w:cs="宋体"/>
          <w:spacing w:val="-6"/>
          <w:sz w:val="24"/>
          <w:szCs w:val="24"/>
        </w:rPr>
        <w:t>的</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7.44%</w:t>
      </w:r>
      <w:r>
        <w:rPr>
          <w:rFonts w:ascii="宋体" w:hAnsi="宋体" w:eastAsia="宋体" w:cs="宋体"/>
          <w:spacing w:val="-6"/>
          <w:sz w:val="24"/>
          <w:szCs w:val="24"/>
        </w:rPr>
        <w:t>。项目建设后评价区的模地仍为暖温性针叶林，</w:t>
      </w:r>
      <w:r>
        <w:rPr>
          <w:rFonts w:ascii="宋体" w:hAnsi="宋体" w:eastAsia="宋体" w:cs="宋体"/>
          <w:spacing w:val="37"/>
          <w:sz w:val="24"/>
          <w:szCs w:val="24"/>
        </w:rPr>
        <w:t xml:space="preserve"> </w:t>
      </w:r>
      <w:r>
        <w:rPr>
          <w:rFonts w:ascii="宋体" w:hAnsi="宋体" w:eastAsia="宋体" w:cs="宋体"/>
          <w:spacing w:val="-6"/>
          <w:sz w:val="24"/>
          <w:szCs w:val="24"/>
        </w:rPr>
        <w:t>没有对评价区</w:t>
      </w:r>
      <w:r>
        <w:rPr>
          <w:rFonts w:ascii="宋体" w:hAnsi="宋体" w:eastAsia="宋体" w:cs="宋体"/>
          <w:spacing w:val="-7"/>
          <w:sz w:val="24"/>
          <w:szCs w:val="24"/>
        </w:rPr>
        <w:t>景观生态</w:t>
      </w:r>
    </w:p>
    <w:p>
      <w:pPr>
        <w:spacing w:before="1" w:line="219" w:lineRule="auto"/>
        <w:ind w:left="199"/>
        <w:rPr>
          <w:rFonts w:ascii="宋体" w:hAnsi="宋体" w:eastAsia="宋体" w:cs="宋体"/>
          <w:sz w:val="24"/>
          <w:szCs w:val="24"/>
        </w:rPr>
      </w:pPr>
      <w:r>
        <w:rPr>
          <w:rFonts w:ascii="宋体" w:hAnsi="宋体" w:eastAsia="宋体" w:cs="宋体"/>
          <w:spacing w:val="-6"/>
          <w:sz w:val="24"/>
          <w:szCs w:val="24"/>
        </w:rPr>
        <w:t>造成明显影响。</w:t>
      </w:r>
    </w:p>
    <w:p>
      <w:pPr>
        <w:spacing w:before="182" w:line="359" w:lineRule="auto"/>
        <w:ind w:left="239" w:right="216" w:firstLine="443"/>
        <w:rPr>
          <w:rFonts w:ascii="宋体" w:hAnsi="宋体" w:eastAsia="宋体" w:cs="宋体"/>
          <w:sz w:val="24"/>
          <w:szCs w:val="24"/>
        </w:rPr>
      </w:pPr>
      <w:r>
        <w:rPr>
          <w:rFonts w:ascii="宋体" w:hAnsi="宋体" w:eastAsia="宋体" w:cs="宋体"/>
          <w:spacing w:val="-10"/>
          <w:sz w:val="24"/>
          <w:szCs w:val="24"/>
        </w:rPr>
        <w:t>综上所述， 工程建设造成枢纽区和库区的土地利用格局的变化， 将对评价区</w:t>
      </w:r>
      <w:r>
        <w:rPr>
          <w:rFonts w:ascii="宋体" w:hAnsi="宋体" w:eastAsia="宋体" w:cs="宋体"/>
          <w:spacing w:val="3"/>
          <w:sz w:val="24"/>
          <w:szCs w:val="24"/>
        </w:rPr>
        <w:t xml:space="preserve"> </w:t>
      </w:r>
      <w:r>
        <w:rPr>
          <w:rFonts w:ascii="宋体" w:hAnsi="宋体" w:eastAsia="宋体" w:cs="宋体"/>
          <w:spacing w:val="-12"/>
          <w:sz w:val="24"/>
          <w:szCs w:val="24"/>
        </w:rPr>
        <w:t>自然体系产生影响， 通过工程涉及区自然生态系统体系的自我调节，</w:t>
      </w:r>
      <w:r>
        <w:rPr>
          <w:rFonts w:ascii="宋体" w:hAnsi="宋体" w:eastAsia="宋体" w:cs="宋体"/>
          <w:spacing w:val="48"/>
          <w:sz w:val="24"/>
          <w:szCs w:val="24"/>
        </w:rPr>
        <w:t xml:space="preserve"> </w:t>
      </w:r>
      <w:r>
        <w:rPr>
          <w:rFonts w:ascii="宋体" w:hAnsi="宋体" w:eastAsia="宋体" w:cs="宋体"/>
          <w:spacing w:val="-12"/>
          <w:sz w:val="24"/>
          <w:szCs w:val="24"/>
        </w:rPr>
        <w:t>以及施工完</w:t>
      </w:r>
    </w:p>
    <w:p>
      <w:pPr>
        <w:spacing w:line="220" w:lineRule="auto"/>
        <w:ind w:left="202"/>
        <w:rPr>
          <w:rFonts w:ascii="宋体" w:hAnsi="宋体" w:eastAsia="宋体" w:cs="宋体"/>
          <w:sz w:val="24"/>
          <w:szCs w:val="24"/>
        </w:rPr>
      </w:pPr>
      <w:r>
        <w:rPr>
          <w:rFonts w:ascii="宋体" w:hAnsi="宋体" w:eastAsia="宋体" w:cs="宋体"/>
          <w:spacing w:val="-9"/>
          <w:sz w:val="24"/>
          <w:szCs w:val="24"/>
        </w:rPr>
        <w:t>成后进行绿化工程， 在工程运行一段时间后， 工程</w:t>
      </w:r>
      <w:r>
        <w:rPr>
          <w:rFonts w:ascii="宋体" w:hAnsi="宋体" w:eastAsia="宋体" w:cs="宋体"/>
          <w:spacing w:val="-10"/>
          <w:sz w:val="24"/>
          <w:szCs w:val="24"/>
        </w:rPr>
        <w:t>影响区自然体系的性质和功能</w:t>
      </w:r>
    </w:p>
    <w:p>
      <w:pPr>
        <w:spacing w:line="220" w:lineRule="auto"/>
        <w:rPr>
          <w:rFonts w:ascii="宋体" w:hAnsi="宋体" w:eastAsia="宋体" w:cs="宋体"/>
          <w:sz w:val="24"/>
          <w:szCs w:val="24"/>
        </w:rPr>
        <w:sectPr>
          <w:headerReference r:id="rId412" w:type="default"/>
          <w:footerReference r:id="rId413" w:type="default"/>
          <w:pgSz w:w="11907" w:h="16839"/>
          <w:pgMar w:top="1156" w:right="1582" w:bottom="1374" w:left="1609" w:header="881" w:footer="1210" w:gutter="0"/>
        </w:sectPr>
      </w:pPr>
    </w:p>
    <w:p>
      <w:pPr>
        <w:spacing w:before="319" w:line="467" w:lineRule="exact"/>
        <w:ind w:left="37"/>
        <w:rPr>
          <w:rFonts w:ascii="宋体" w:hAnsi="宋体" w:eastAsia="宋体" w:cs="宋体"/>
          <w:sz w:val="24"/>
          <w:szCs w:val="24"/>
        </w:rPr>
      </w:pPr>
      <w:r>
        <w:rPr>
          <w:rFonts w:ascii="宋体" w:hAnsi="宋体" w:eastAsia="宋体" w:cs="宋体"/>
          <w:spacing w:val="-11"/>
          <w:position w:val="17"/>
          <w:sz w:val="24"/>
          <w:szCs w:val="24"/>
        </w:rPr>
        <w:t>将得到恢复。另外，</w:t>
      </w:r>
      <w:r>
        <w:rPr>
          <w:rFonts w:ascii="宋体" w:hAnsi="宋体" w:eastAsia="宋体" w:cs="宋体"/>
          <w:spacing w:val="29"/>
          <w:position w:val="17"/>
          <w:sz w:val="24"/>
          <w:szCs w:val="24"/>
        </w:rPr>
        <w:t xml:space="preserve"> </w:t>
      </w:r>
      <w:r>
        <w:rPr>
          <w:rFonts w:ascii="宋体" w:hAnsi="宋体" w:eastAsia="宋体" w:cs="宋体"/>
          <w:spacing w:val="-11"/>
          <w:position w:val="17"/>
          <w:sz w:val="24"/>
          <w:szCs w:val="24"/>
        </w:rPr>
        <w:t>在工程建设过程中应注</w:t>
      </w:r>
      <w:r>
        <w:rPr>
          <w:rFonts w:ascii="宋体" w:hAnsi="宋体" w:eastAsia="宋体" w:cs="宋体"/>
          <w:spacing w:val="-12"/>
          <w:position w:val="17"/>
          <w:sz w:val="24"/>
          <w:szCs w:val="24"/>
        </w:rPr>
        <w:t>意生态系统的保护，</w:t>
      </w:r>
      <w:r>
        <w:rPr>
          <w:rFonts w:ascii="宋体" w:hAnsi="宋体" w:eastAsia="宋体" w:cs="宋体"/>
          <w:spacing w:val="31"/>
          <w:position w:val="17"/>
          <w:sz w:val="24"/>
          <w:szCs w:val="24"/>
        </w:rPr>
        <w:t xml:space="preserve"> </w:t>
      </w:r>
      <w:r>
        <w:rPr>
          <w:rFonts w:ascii="宋体" w:hAnsi="宋体" w:eastAsia="宋体" w:cs="宋体"/>
          <w:spacing w:val="-12"/>
          <w:position w:val="17"/>
          <w:sz w:val="24"/>
          <w:szCs w:val="24"/>
        </w:rPr>
        <w:t>使受到影响的生</w:t>
      </w:r>
    </w:p>
    <w:p>
      <w:pPr>
        <w:spacing w:line="219" w:lineRule="auto"/>
        <w:ind w:left="39"/>
        <w:rPr>
          <w:rFonts w:ascii="宋体" w:hAnsi="宋体" w:eastAsia="宋体" w:cs="宋体"/>
          <w:sz w:val="24"/>
          <w:szCs w:val="24"/>
        </w:rPr>
      </w:pPr>
      <w:r>
        <w:rPr>
          <w:rFonts w:ascii="宋体" w:hAnsi="宋体" w:eastAsia="宋体" w:cs="宋体"/>
          <w:spacing w:val="-1"/>
          <w:sz w:val="24"/>
          <w:szCs w:val="24"/>
        </w:rPr>
        <w:t>态系统的自然生产力尽快得到恢复。</w:t>
      </w:r>
    </w:p>
    <w:p>
      <w:pPr>
        <w:spacing w:line="219" w:lineRule="auto"/>
        <w:rPr>
          <w:rFonts w:ascii="宋体" w:hAnsi="宋体" w:eastAsia="宋体" w:cs="宋体"/>
          <w:sz w:val="24"/>
          <w:szCs w:val="24"/>
        </w:rPr>
        <w:sectPr>
          <w:headerReference r:id="rId414" w:type="default"/>
          <w:footerReference r:id="rId415" w:type="default"/>
          <w:pgSz w:w="11907" w:h="16839"/>
          <w:pgMar w:top="1156" w:right="1768" w:bottom="1374" w:left="1770" w:header="881" w:footer="1210" w:gutter="0"/>
        </w:sectPr>
      </w:pPr>
    </w:p>
    <w:p>
      <w:pPr>
        <w:spacing w:line="262" w:lineRule="auto"/>
        <w:rPr>
          <w:rFonts w:ascii="Arial"/>
          <w:sz w:val="21"/>
        </w:rPr>
      </w:pPr>
    </w:p>
    <w:p>
      <w:pPr>
        <w:spacing w:line="262" w:lineRule="auto"/>
        <w:rPr>
          <w:rFonts w:ascii="Arial"/>
          <w:sz w:val="21"/>
        </w:rPr>
      </w:pPr>
    </w:p>
    <w:p>
      <w:pPr>
        <w:pStyle w:val="2"/>
        <w:spacing w:before="88" w:line="225" w:lineRule="auto"/>
        <w:ind w:left="36"/>
        <w:outlineLvl w:val="2"/>
        <w:rPr>
          <w:sz w:val="27"/>
          <w:szCs w:val="27"/>
        </w:rPr>
      </w:pPr>
      <w:bookmarkStart w:id="32" w:name="bookmark33"/>
      <w:bookmarkEnd w:id="32"/>
      <w:r>
        <w:rPr>
          <w:rFonts w:ascii="Times New Roman" w:hAnsi="Times New Roman" w:eastAsia="Times New Roman" w:cs="Times New Roman"/>
          <w:b/>
          <w:bCs/>
          <w:spacing w:val="7"/>
          <w:sz w:val="27"/>
          <w:szCs w:val="27"/>
        </w:rPr>
        <w:t xml:space="preserve">4.5 </w:t>
      </w:r>
      <w:r>
        <w:rPr>
          <w:spacing w:val="7"/>
          <w:sz w:val="27"/>
          <w:szCs w:val="27"/>
          <w14:textOutline w14:w="5072" w14:cap="flat" w14:cmpd="sng">
            <w14:solidFill>
              <w14:srgbClr w14:val="000000"/>
            </w14:solidFill>
            <w14:prstDash w14:val="solid"/>
            <w14:miter w14:val="0"/>
          </w14:textOutline>
        </w:rPr>
        <w:t>环境空气影响评价</w:t>
      </w:r>
    </w:p>
    <w:p>
      <w:pPr>
        <w:spacing w:line="299" w:lineRule="auto"/>
        <w:rPr>
          <w:rFonts w:ascii="Arial"/>
          <w:sz w:val="21"/>
        </w:rPr>
      </w:pPr>
    </w:p>
    <w:p>
      <w:pPr>
        <w:pStyle w:val="2"/>
        <w:spacing w:before="78" w:line="235" w:lineRule="auto"/>
        <w:ind w:left="36"/>
        <w:outlineLvl w:val="2"/>
        <w:rPr>
          <w:sz w:val="24"/>
          <w:szCs w:val="24"/>
        </w:rPr>
      </w:pPr>
      <w:r>
        <w:rPr>
          <w:rFonts w:ascii="Times New Roman" w:hAnsi="Times New Roman" w:eastAsia="Times New Roman" w:cs="Times New Roman"/>
          <w:b/>
          <w:bCs/>
          <w:spacing w:val="-1"/>
          <w:sz w:val="24"/>
          <w:szCs w:val="24"/>
        </w:rPr>
        <w:t xml:space="preserve">4.5.1 </w:t>
      </w:r>
      <w:r>
        <w:rPr>
          <w:spacing w:val="-1"/>
          <w:sz w:val="24"/>
          <w:szCs w:val="24"/>
          <w14:textOutline w14:w="4354" w14:cap="flat" w14:cmpd="sng">
            <w14:solidFill>
              <w14:srgbClr w14:val="000000"/>
            </w14:solidFill>
            <w14:prstDash w14:val="solid"/>
            <w14:miter w14:val="0"/>
          </w14:textOutline>
        </w:rPr>
        <w:t>施工期</w:t>
      </w:r>
    </w:p>
    <w:p>
      <w:pPr>
        <w:spacing w:before="198" w:line="359" w:lineRule="auto"/>
        <w:ind w:left="39" w:right="84" w:firstLine="479"/>
        <w:rPr>
          <w:rFonts w:ascii="宋体" w:hAnsi="宋体" w:eastAsia="宋体" w:cs="宋体"/>
          <w:sz w:val="24"/>
          <w:szCs w:val="24"/>
        </w:rPr>
      </w:pPr>
      <w:r>
        <w:rPr>
          <w:rFonts w:ascii="宋体" w:hAnsi="宋体" w:eastAsia="宋体" w:cs="宋体"/>
          <w:spacing w:val="-3"/>
          <w:sz w:val="24"/>
          <w:szCs w:val="24"/>
        </w:rPr>
        <w:t>施工期对空气质量影响的污染源主要来自爆破、开挖及填筑时排放</w:t>
      </w:r>
      <w:r>
        <w:rPr>
          <w:rFonts w:ascii="宋体" w:hAnsi="宋体" w:eastAsia="宋体" w:cs="宋体"/>
          <w:spacing w:val="-4"/>
          <w:sz w:val="24"/>
          <w:szCs w:val="24"/>
        </w:rPr>
        <w:t>的粉尘和</w:t>
      </w:r>
      <w:r>
        <w:rPr>
          <w:rFonts w:ascii="宋体" w:hAnsi="宋体" w:eastAsia="宋体" w:cs="宋体"/>
          <w:sz w:val="24"/>
          <w:szCs w:val="24"/>
        </w:rPr>
        <w:t xml:space="preserve"> </w:t>
      </w:r>
      <w:r>
        <w:rPr>
          <w:rFonts w:ascii="宋体" w:hAnsi="宋体" w:eastAsia="宋体" w:cs="宋体"/>
          <w:spacing w:val="-3"/>
          <w:sz w:val="24"/>
          <w:szCs w:val="24"/>
        </w:rPr>
        <w:t>炸药爆破时排放的废气、交通运输中的扬尘和燃油排放的废气、砂石料加工系统</w:t>
      </w:r>
      <w:r>
        <w:rPr>
          <w:rFonts w:ascii="宋体" w:hAnsi="宋体" w:eastAsia="宋体" w:cs="宋体"/>
          <w:spacing w:val="1"/>
          <w:sz w:val="24"/>
          <w:szCs w:val="24"/>
        </w:rPr>
        <w:t xml:space="preserve"> </w:t>
      </w:r>
      <w:r>
        <w:rPr>
          <w:rFonts w:ascii="宋体" w:hAnsi="宋体" w:eastAsia="宋体" w:cs="宋体"/>
          <w:spacing w:val="-3"/>
          <w:sz w:val="24"/>
          <w:szCs w:val="24"/>
        </w:rPr>
        <w:t>排放的粉尘等。施工各类基础开挖、土石方填筑、混凝土搅拌等施工作业点多而</w:t>
      </w:r>
      <w:r>
        <w:rPr>
          <w:rFonts w:ascii="宋体" w:hAnsi="宋体" w:eastAsia="宋体" w:cs="宋体"/>
          <w:spacing w:val="1"/>
          <w:sz w:val="24"/>
          <w:szCs w:val="24"/>
        </w:rPr>
        <w:t xml:space="preserve"> </w:t>
      </w:r>
      <w:r>
        <w:rPr>
          <w:rFonts w:ascii="宋体" w:hAnsi="宋体" w:eastAsia="宋体" w:cs="宋体"/>
          <w:spacing w:val="-5"/>
          <w:sz w:val="24"/>
          <w:szCs w:val="24"/>
        </w:rPr>
        <w:t>分散，</w:t>
      </w:r>
      <w:r>
        <w:rPr>
          <w:rFonts w:ascii="宋体" w:hAnsi="宋体" w:eastAsia="宋体" w:cs="宋体"/>
          <w:spacing w:val="-47"/>
          <w:sz w:val="24"/>
          <w:szCs w:val="24"/>
        </w:rPr>
        <w:t xml:space="preserve"> </w:t>
      </w:r>
      <w:r>
        <w:rPr>
          <w:rFonts w:ascii="宋体" w:hAnsi="宋体" w:eastAsia="宋体" w:cs="宋体"/>
          <w:spacing w:val="-5"/>
          <w:sz w:val="24"/>
          <w:szCs w:val="24"/>
        </w:rPr>
        <w:t>粉尘污染物将以面源无组织排放为主，将对周边居民点和现场施工人</w:t>
      </w:r>
      <w:r>
        <w:rPr>
          <w:rFonts w:ascii="宋体" w:hAnsi="宋体" w:eastAsia="宋体" w:cs="宋体"/>
          <w:spacing w:val="-6"/>
          <w:sz w:val="24"/>
          <w:szCs w:val="24"/>
        </w:rPr>
        <w:t>员产</w:t>
      </w:r>
    </w:p>
    <w:p>
      <w:pPr>
        <w:spacing w:line="221" w:lineRule="auto"/>
        <w:ind w:left="41"/>
        <w:rPr>
          <w:rFonts w:ascii="宋体" w:hAnsi="宋体" w:eastAsia="宋体" w:cs="宋体"/>
          <w:sz w:val="24"/>
          <w:szCs w:val="24"/>
        </w:rPr>
      </w:pPr>
      <w:r>
        <w:rPr>
          <w:rFonts w:ascii="宋体" w:hAnsi="宋体" w:eastAsia="宋体" w:cs="宋体"/>
          <w:spacing w:val="-7"/>
          <w:sz w:val="24"/>
          <w:szCs w:val="24"/>
        </w:rPr>
        <w:t>生不利影响。</w:t>
      </w:r>
    </w:p>
    <w:p>
      <w:pPr>
        <w:spacing w:before="179" w:line="467" w:lineRule="exact"/>
        <w:ind w:left="523"/>
        <w:rPr>
          <w:rFonts w:ascii="宋体" w:hAnsi="宋体" w:eastAsia="宋体" w:cs="宋体"/>
          <w:sz w:val="24"/>
          <w:szCs w:val="24"/>
        </w:rPr>
      </w:pPr>
      <w:r>
        <w:rPr>
          <w:rFonts w:ascii="宋体" w:hAnsi="宋体" w:eastAsia="宋体" w:cs="宋体"/>
          <w:spacing w:val="-2"/>
          <w:position w:val="17"/>
          <w:sz w:val="24"/>
          <w:szCs w:val="24"/>
        </w:rPr>
        <w:t>项目输水管道施工作业强度小，周围</w:t>
      </w:r>
      <w:r>
        <w:rPr>
          <w:rFonts w:ascii="宋体" w:hAnsi="宋体" w:eastAsia="宋体" w:cs="宋体"/>
          <w:spacing w:val="-55"/>
          <w:position w:val="17"/>
          <w:sz w:val="24"/>
          <w:szCs w:val="24"/>
        </w:rPr>
        <w:t xml:space="preserve"> </w:t>
      </w:r>
      <w:r>
        <w:rPr>
          <w:rFonts w:ascii="Times New Roman" w:hAnsi="Times New Roman" w:eastAsia="Times New Roman" w:cs="Times New Roman"/>
          <w:spacing w:val="-2"/>
          <w:position w:val="17"/>
          <w:sz w:val="24"/>
          <w:szCs w:val="24"/>
        </w:rPr>
        <w:t>200</w:t>
      </w:r>
      <w:r>
        <w:rPr>
          <w:rFonts w:ascii="Times New Roman" w:hAnsi="Times New Roman" w:eastAsia="Times New Roman" w:cs="Times New Roman"/>
          <w:spacing w:val="-3"/>
          <w:position w:val="17"/>
          <w:sz w:val="24"/>
          <w:szCs w:val="24"/>
        </w:rPr>
        <w:t>m</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3"/>
          <w:position w:val="17"/>
          <w:sz w:val="24"/>
          <w:szCs w:val="24"/>
        </w:rPr>
        <w:t>范围内无居民点分布，输水管线</w:t>
      </w:r>
    </w:p>
    <w:p>
      <w:pPr>
        <w:spacing w:line="220" w:lineRule="auto"/>
        <w:ind w:left="38"/>
        <w:rPr>
          <w:rFonts w:ascii="宋体" w:hAnsi="宋体" w:eastAsia="宋体" w:cs="宋体"/>
          <w:sz w:val="24"/>
          <w:szCs w:val="24"/>
        </w:rPr>
      </w:pPr>
      <w:r>
        <w:rPr>
          <w:rFonts w:ascii="宋体" w:hAnsi="宋体" w:eastAsia="宋体" w:cs="宋体"/>
          <w:spacing w:val="-1"/>
          <w:sz w:val="24"/>
          <w:szCs w:val="24"/>
        </w:rPr>
        <w:t>施工区对周边环境影响小。</w:t>
      </w:r>
    </w:p>
    <w:p>
      <w:pPr>
        <w:spacing w:before="181" w:line="359" w:lineRule="auto"/>
        <w:ind w:left="38" w:right="85" w:firstLine="484"/>
        <w:rPr>
          <w:rFonts w:ascii="宋体" w:hAnsi="宋体" w:eastAsia="宋体" w:cs="宋体"/>
          <w:sz w:val="24"/>
          <w:szCs w:val="24"/>
        </w:rPr>
      </w:pPr>
      <w:r>
        <w:rPr>
          <w:rFonts w:ascii="宋体" w:hAnsi="宋体" w:eastAsia="宋体" w:cs="宋体"/>
          <w:spacing w:val="-3"/>
          <w:sz w:val="24"/>
          <w:szCs w:val="24"/>
        </w:rPr>
        <w:t>项目枢纽区施工区（含粘土料场、风化料场）土方开</w:t>
      </w:r>
      <w:r>
        <w:rPr>
          <w:rFonts w:ascii="宋体" w:hAnsi="宋体" w:eastAsia="宋体" w:cs="宋体"/>
          <w:spacing w:val="-4"/>
          <w:sz w:val="24"/>
          <w:szCs w:val="24"/>
        </w:rPr>
        <w:t>挖、混凝土拌和会产生</w:t>
      </w:r>
      <w:r>
        <w:rPr>
          <w:rFonts w:ascii="宋体" w:hAnsi="宋体" w:eastAsia="宋体" w:cs="宋体"/>
          <w:sz w:val="24"/>
          <w:szCs w:val="24"/>
        </w:rPr>
        <w:t xml:space="preserve"> </w:t>
      </w:r>
      <w:r>
        <w:rPr>
          <w:rFonts w:ascii="宋体" w:hAnsi="宋体" w:eastAsia="宋体" w:cs="宋体"/>
          <w:spacing w:val="-12"/>
          <w:sz w:val="24"/>
          <w:szCs w:val="24"/>
        </w:rPr>
        <w:t>粉尘，且距离居民点近，施工期应加强施工管理，</w:t>
      </w:r>
      <w:r>
        <w:rPr>
          <w:rFonts w:ascii="宋体" w:hAnsi="宋体" w:eastAsia="宋体" w:cs="宋体"/>
          <w:spacing w:val="36"/>
          <w:sz w:val="24"/>
          <w:szCs w:val="24"/>
        </w:rPr>
        <w:t xml:space="preserve"> </w:t>
      </w:r>
      <w:r>
        <w:rPr>
          <w:rFonts w:ascii="宋体" w:hAnsi="宋体" w:eastAsia="宋体" w:cs="宋体"/>
          <w:spacing w:val="-12"/>
          <w:sz w:val="24"/>
          <w:szCs w:val="24"/>
        </w:rPr>
        <w:t>采取洒水降尘措施，</w:t>
      </w:r>
      <w:r>
        <w:rPr>
          <w:rFonts w:ascii="宋体" w:hAnsi="宋体" w:eastAsia="宋体" w:cs="宋体"/>
          <w:spacing w:val="40"/>
          <w:sz w:val="24"/>
          <w:szCs w:val="24"/>
        </w:rPr>
        <w:t xml:space="preserve"> </w:t>
      </w:r>
      <w:r>
        <w:rPr>
          <w:rFonts w:ascii="宋体" w:hAnsi="宋体" w:eastAsia="宋体" w:cs="宋体"/>
          <w:spacing w:val="-12"/>
          <w:sz w:val="24"/>
          <w:szCs w:val="24"/>
        </w:rPr>
        <w:t>混凝土拌</w:t>
      </w:r>
    </w:p>
    <w:p>
      <w:pPr>
        <w:spacing w:before="1" w:line="218" w:lineRule="auto"/>
        <w:ind w:left="40"/>
        <w:rPr>
          <w:rFonts w:ascii="宋体" w:hAnsi="宋体" w:eastAsia="宋体" w:cs="宋体"/>
          <w:sz w:val="21"/>
          <w:szCs w:val="21"/>
        </w:rPr>
      </w:pPr>
      <w:r>
        <w:rPr>
          <w:rFonts w:ascii="宋体" w:hAnsi="宋体" w:eastAsia="宋体" w:cs="宋体"/>
          <w:spacing w:val="-13"/>
          <w:sz w:val="24"/>
          <w:szCs w:val="24"/>
        </w:rPr>
        <w:t>合站堆放物料应采取遮盖防尘措施，</w:t>
      </w:r>
      <w:r>
        <w:rPr>
          <w:rFonts w:ascii="宋体" w:hAnsi="宋体" w:eastAsia="宋体" w:cs="宋体"/>
          <w:spacing w:val="66"/>
          <w:sz w:val="24"/>
          <w:szCs w:val="24"/>
        </w:rPr>
        <w:t xml:space="preserve"> </w:t>
      </w:r>
      <w:r>
        <w:rPr>
          <w:rFonts w:ascii="宋体" w:hAnsi="宋体" w:eastAsia="宋体" w:cs="宋体"/>
          <w:spacing w:val="-13"/>
          <w:sz w:val="24"/>
          <w:szCs w:val="24"/>
        </w:rPr>
        <w:t>如水泥</w:t>
      </w:r>
      <w:r>
        <w:rPr>
          <w:rFonts w:ascii="宋体" w:hAnsi="宋体" w:eastAsia="宋体" w:cs="宋体"/>
          <w:spacing w:val="-14"/>
          <w:sz w:val="24"/>
          <w:szCs w:val="24"/>
        </w:rPr>
        <w:t>、 砂等</w:t>
      </w:r>
      <w:r>
        <w:rPr>
          <w:rFonts w:ascii="宋体" w:hAnsi="宋体" w:eastAsia="宋体" w:cs="宋体"/>
          <w:spacing w:val="-14"/>
          <w:sz w:val="21"/>
          <w:szCs w:val="21"/>
        </w:rPr>
        <w:t>。</w:t>
      </w:r>
    </w:p>
    <w:p>
      <w:pPr>
        <w:spacing w:before="182" w:line="467" w:lineRule="exact"/>
        <w:ind w:left="518"/>
        <w:rPr>
          <w:rFonts w:ascii="宋体" w:hAnsi="宋体" w:eastAsia="宋体" w:cs="宋体"/>
          <w:sz w:val="24"/>
          <w:szCs w:val="24"/>
        </w:rPr>
      </w:pPr>
      <w:r>
        <w:rPr>
          <w:rFonts w:ascii="宋体" w:hAnsi="宋体" w:eastAsia="宋体" w:cs="宋体"/>
          <w:spacing w:val="-1"/>
          <w:position w:val="17"/>
          <w:sz w:val="24"/>
          <w:szCs w:val="24"/>
        </w:rPr>
        <w:t xml:space="preserve">砂石料加工厂周边分布岔处地 </w:t>
      </w:r>
      <w:r>
        <w:rPr>
          <w:rFonts w:ascii="Times New Roman" w:hAnsi="Times New Roman" w:eastAsia="Times New Roman" w:cs="Times New Roman"/>
          <w:spacing w:val="-1"/>
          <w:position w:val="17"/>
          <w:sz w:val="24"/>
          <w:szCs w:val="24"/>
        </w:rPr>
        <w:t>1</w:t>
      </w:r>
      <w:r>
        <w:rPr>
          <w:rFonts w:ascii="Times New Roman" w:hAnsi="Times New Roman" w:eastAsia="Times New Roman" w:cs="Times New Roman"/>
          <w:spacing w:val="50"/>
          <w:position w:val="17"/>
          <w:sz w:val="24"/>
          <w:szCs w:val="24"/>
        </w:rPr>
        <w:t xml:space="preserve"> </w:t>
      </w:r>
      <w:r>
        <w:rPr>
          <w:rFonts w:ascii="宋体" w:hAnsi="宋体" w:eastAsia="宋体" w:cs="宋体"/>
          <w:spacing w:val="-1"/>
          <w:position w:val="17"/>
          <w:sz w:val="24"/>
          <w:szCs w:val="24"/>
        </w:rPr>
        <w:t>个居民点，且距离近（</w:t>
      </w:r>
      <w:r>
        <w:rPr>
          <w:rFonts w:ascii="Times New Roman" w:hAnsi="Times New Roman" w:eastAsia="Times New Roman" w:cs="Times New Roman"/>
          <w:spacing w:val="-1"/>
          <w:position w:val="17"/>
          <w:sz w:val="24"/>
          <w:szCs w:val="24"/>
        </w:rPr>
        <w:t>80m</w:t>
      </w:r>
      <w:r>
        <w:rPr>
          <w:rFonts w:ascii="宋体" w:hAnsi="宋体" w:eastAsia="宋体" w:cs="宋体"/>
          <w:spacing w:val="-61"/>
          <w:w w:val="97"/>
          <w:position w:val="17"/>
          <w:sz w:val="24"/>
          <w:szCs w:val="24"/>
        </w:rPr>
        <w:t>），</w:t>
      </w:r>
      <w:r>
        <w:rPr>
          <w:rFonts w:ascii="宋体" w:hAnsi="宋体" w:eastAsia="宋体" w:cs="宋体"/>
          <w:spacing w:val="-1"/>
          <w:position w:val="17"/>
          <w:sz w:val="24"/>
          <w:szCs w:val="24"/>
        </w:rPr>
        <w:t>施工期应采</w:t>
      </w:r>
    </w:p>
    <w:p>
      <w:pPr>
        <w:spacing w:before="1" w:line="219" w:lineRule="auto"/>
        <w:ind w:left="42"/>
        <w:rPr>
          <w:rFonts w:ascii="宋体" w:hAnsi="宋体" w:eastAsia="宋体" w:cs="宋体"/>
          <w:sz w:val="24"/>
          <w:szCs w:val="24"/>
        </w:rPr>
      </w:pPr>
      <w:r>
        <w:rPr>
          <w:rFonts w:ascii="宋体" w:hAnsi="宋体" w:eastAsia="宋体" w:cs="宋体"/>
          <w:spacing w:val="-1"/>
          <w:sz w:val="24"/>
          <w:szCs w:val="24"/>
        </w:rPr>
        <w:t>取洒水降尘、砂石料加工区封闭围挡措施，降低扬尘产生量。</w:t>
      </w:r>
    </w:p>
    <w:p>
      <w:pPr>
        <w:spacing w:before="182" w:line="466" w:lineRule="exact"/>
        <w:ind w:left="522"/>
        <w:rPr>
          <w:rFonts w:ascii="宋体" w:hAnsi="宋体" w:eastAsia="宋体" w:cs="宋体"/>
          <w:sz w:val="24"/>
          <w:szCs w:val="24"/>
        </w:rPr>
      </w:pPr>
      <w:r>
        <w:rPr>
          <w:rFonts w:ascii="宋体" w:hAnsi="宋体" w:eastAsia="宋体" w:cs="宋体"/>
          <w:spacing w:val="-4"/>
          <w:position w:val="16"/>
          <w:sz w:val="24"/>
          <w:szCs w:val="24"/>
        </w:rPr>
        <w:t>部分弃渣场距离居民点较近（</w:t>
      </w:r>
      <w:r>
        <w:rPr>
          <w:rFonts w:ascii="Times New Roman" w:hAnsi="Times New Roman" w:eastAsia="Times New Roman" w:cs="Times New Roman"/>
          <w:spacing w:val="-4"/>
          <w:position w:val="16"/>
          <w:sz w:val="24"/>
          <w:szCs w:val="24"/>
        </w:rPr>
        <w:t>1#</w:t>
      </w:r>
      <w:r>
        <w:rPr>
          <w:rFonts w:ascii="宋体" w:hAnsi="宋体" w:eastAsia="宋体" w:cs="宋体"/>
          <w:spacing w:val="-4"/>
          <w:position w:val="16"/>
          <w:sz w:val="24"/>
          <w:szCs w:val="24"/>
        </w:rPr>
        <w:t>、</w:t>
      </w:r>
      <w:r>
        <w:rPr>
          <w:rFonts w:ascii="Times New Roman" w:hAnsi="Times New Roman" w:eastAsia="Times New Roman" w:cs="Times New Roman"/>
          <w:spacing w:val="-4"/>
          <w:position w:val="16"/>
          <w:sz w:val="24"/>
          <w:szCs w:val="24"/>
        </w:rPr>
        <w:t>2#</w:t>
      </w:r>
      <w:r>
        <w:rPr>
          <w:rFonts w:ascii="宋体" w:hAnsi="宋体" w:eastAsia="宋体" w:cs="宋体"/>
          <w:spacing w:val="-4"/>
          <w:position w:val="16"/>
          <w:sz w:val="24"/>
          <w:szCs w:val="24"/>
        </w:rPr>
        <w:t>、</w:t>
      </w:r>
      <w:r>
        <w:rPr>
          <w:rFonts w:ascii="Times New Roman" w:hAnsi="Times New Roman" w:eastAsia="Times New Roman" w:cs="Times New Roman"/>
          <w:spacing w:val="-4"/>
          <w:position w:val="16"/>
          <w:sz w:val="24"/>
          <w:szCs w:val="24"/>
        </w:rPr>
        <w:t>4#</w:t>
      </w:r>
      <w:r>
        <w:rPr>
          <w:rFonts w:ascii="Times New Roman" w:hAnsi="Times New Roman" w:eastAsia="Times New Roman" w:cs="Times New Roman"/>
          <w:spacing w:val="-34"/>
          <w:position w:val="16"/>
          <w:sz w:val="24"/>
          <w:szCs w:val="24"/>
        </w:rPr>
        <w:t xml:space="preserve"> </w:t>
      </w:r>
      <w:r>
        <w:rPr>
          <w:rFonts w:ascii="宋体" w:hAnsi="宋体" w:eastAsia="宋体" w:cs="宋体"/>
          <w:spacing w:val="-4"/>
          <w:position w:val="16"/>
          <w:sz w:val="24"/>
          <w:szCs w:val="24"/>
        </w:rPr>
        <w:t>、</w:t>
      </w:r>
      <w:r>
        <w:rPr>
          <w:rFonts w:ascii="Times New Roman" w:hAnsi="Times New Roman" w:eastAsia="Times New Roman" w:cs="Times New Roman"/>
          <w:spacing w:val="-4"/>
          <w:position w:val="16"/>
          <w:sz w:val="24"/>
          <w:szCs w:val="24"/>
        </w:rPr>
        <w:t>7#</w:t>
      </w:r>
      <w:r>
        <w:rPr>
          <w:rFonts w:ascii="Times New Roman" w:hAnsi="Times New Roman" w:eastAsia="Times New Roman" w:cs="Times New Roman"/>
          <w:spacing w:val="-33"/>
          <w:position w:val="16"/>
          <w:sz w:val="24"/>
          <w:szCs w:val="24"/>
        </w:rPr>
        <w:t xml:space="preserve"> </w:t>
      </w:r>
      <w:r>
        <w:rPr>
          <w:rFonts w:ascii="宋体" w:hAnsi="宋体" w:eastAsia="宋体" w:cs="宋体"/>
          <w:spacing w:val="-4"/>
          <w:position w:val="16"/>
          <w:sz w:val="24"/>
          <w:szCs w:val="24"/>
        </w:rPr>
        <w:t>、</w:t>
      </w:r>
      <w:r>
        <w:rPr>
          <w:rFonts w:ascii="Times New Roman" w:hAnsi="Times New Roman" w:eastAsia="Times New Roman" w:cs="Times New Roman"/>
          <w:spacing w:val="-4"/>
          <w:position w:val="16"/>
          <w:sz w:val="24"/>
          <w:szCs w:val="24"/>
        </w:rPr>
        <w:t>17#</w:t>
      </w:r>
      <w:r>
        <w:rPr>
          <w:rFonts w:ascii="宋体" w:hAnsi="宋体" w:eastAsia="宋体" w:cs="宋体"/>
          <w:spacing w:val="-4"/>
          <w:position w:val="16"/>
          <w:sz w:val="24"/>
          <w:szCs w:val="24"/>
        </w:rPr>
        <w:t>弃渣</w:t>
      </w:r>
      <w:r>
        <w:rPr>
          <w:rFonts w:ascii="宋体" w:hAnsi="宋体" w:eastAsia="宋体" w:cs="宋体"/>
          <w:spacing w:val="-5"/>
          <w:position w:val="16"/>
          <w:sz w:val="24"/>
          <w:szCs w:val="24"/>
        </w:rPr>
        <w:t>场</w:t>
      </w:r>
      <w:r>
        <w:rPr>
          <w:rFonts w:ascii="宋体" w:hAnsi="宋体" w:eastAsia="宋体" w:cs="宋体"/>
          <w:spacing w:val="-61"/>
          <w:position w:val="16"/>
          <w:sz w:val="24"/>
          <w:szCs w:val="24"/>
        </w:rPr>
        <w:t>），</w:t>
      </w:r>
      <w:r>
        <w:rPr>
          <w:rFonts w:ascii="宋体" w:hAnsi="宋体" w:eastAsia="宋体" w:cs="宋体"/>
          <w:spacing w:val="-5"/>
          <w:position w:val="16"/>
          <w:sz w:val="24"/>
          <w:szCs w:val="24"/>
        </w:rPr>
        <w:t>弃渣场应采取</w:t>
      </w:r>
    </w:p>
    <w:p>
      <w:pPr>
        <w:spacing w:before="1" w:line="233" w:lineRule="auto"/>
        <w:ind w:left="42"/>
        <w:rPr>
          <w:rFonts w:ascii="宋体" w:hAnsi="宋体" w:eastAsia="宋体" w:cs="宋体"/>
          <w:sz w:val="24"/>
          <w:szCs w:val="24"/>
        </w:rPr>
      </w:pPr>
      <w:r>
        <w:rPr>
          <w:rFonts w:ascii="宋体" w:hAnsi="宋体" w:eastAsia="宋体" w:cs="宋体"/>
          <w:spacing w:val="-1"/>
          <w:sz w:val="24"/>
          <w:szCs w:val="24"/>
        </w:rPr>
        <w:t>洒降尘</w:t>
      </w:r>
      <w:r>
        <w:rPr>
          <w:rFonts w:ascii="Times New Roman" w:hAnsi="Times New Roman" w:eastAsia="Times New Roman" w:cs="Times New Roman"/>
          <w:spacing w:val="-1"/>
          <w:sz w:val="24"/>
          <w:szCs w:val="24"/>
        </w:rPr>
        <w:t>+</w:t>
      </w:r>
      <w:r>
        <w:rPr>
          <w:rFonts w:ascii="宋体" w:hAnsi="宋体" w:eastAsia="宋体" w:cs="宋体"/>
          <w:spacing w:val="-1"/>
          <w:sz w:val="24"/>
          <w:szCs w:val="24"/>
        </w:rPr>
        <w:t>防尘网覆盖措施。</w:t>
      </w:r>
    </w:p>
    <w:p>
      <w:pPr>
        <w:spacing w:before="164" w:line="467" w:lineRule="exact"/>
        <w:ind w:left="520"/>
        <w:rPr>
          <w:rFonts w:ascii="宋体" w:hAnsi="宋体" w:eastAsia="宋体" w:cs="宋体"/>
          <w:sz w:val="24"/>
          <w:szCs w:val="24"/>
        </w:rPr>
      </w:pPr>
      <w:r>
        <w:rPr>
          <w:rFonts w:ascii="宋体" w:hAnsi="宋体" w:eastAsia="宋体" w:cs="宋体"/>
          <w:spacing w:val="-2"/>
          <w:position w:val="17"/>
          <w:sz w:val="24"/>
          <w:szCs w:val="24"/>
        </w:rPr>
        <w:t>其余施工场地应采取洒降尘以及对易产生扬尘的物料采取遮盖措施。</w:t>
      </w:r>
    </w:p>
    <w:p>
      <w:pPr>
        <w:spacing w:before="1" w:line="218" w:lineRule="auto"/>
        <w:ind w:left="522"/>
        <w:rPr>
          <w:rFonts w:ascii="宋体" w:hAnsi="宋体" w:eastAsia="宋体" w:cs="宋体"/>
          <w:sz w:val="24"/>
          <w:szCs w:val="24"/>
        </w:rPr>
      </w:pPr>
      <w:r>
        <w:rPr>
          <w:rFonts w:ascii="宋体" w:hAnsi="宋体" w:eastAsia="宋体" w:cs="宋体"/>
          <w:spacing w:val="-2"/>
          <w:sz w:val="24"/>
          <w:szCs w:val="24"/>
        </w:rPr>
        <w:t>综上，采取相关措施后，施工期对周围环境影响小。</w:t>
      </w:r>
    </w:p>
    <w:p>
      <w:pPr>
        <w:spacing w:line="431" w:lineRule="auto"/>
        <w:rPr>
          <w:rFonts w:ascii="Arial"/>
          <w:sz w:val="21"/>
        </w:rPr>
      </w:pPr>
    </w:p>
    <w:p>
      <w:pPr>
        <w:pStyle w:val="2"/>
        <w:spacing w:before="79" w:line="234" w:lineRule="auto"/>
        <w:ind w:left="36"/>
        <w:outlineLvl w:val="2"/>
        <w:rPr>
          <w:sz w:val="24"/>
          <w:szCs w:val="24"/>
        </w:rPr>
      </w:pPr>
      <w:r>
        <w:rPr>
          <w:rFonts w:ascii="Times New Roman" w:hAnsi="Times New Roman" w:eastAsia="Times New Roman" w:cs="Times New Roman"/>
          <w:b/>
          <w:bCs/>
          <w:spacing w:val="-2"/>
          <w:sz w:val="24"/>
          <w:szCs w:val="24"/>
        </w:rPr>
        <w:t>4.5.2</w:t>
      </w:r>
      <w:r>
        <w:rPr>
          <w:rFonts w:ascii="Times New Roman" w:hAnsi="Times New Roman" w:eastAsia="Times New Roman" w:cs="Times New Roman"/>
          <w:b/>
          <w:bCs/>
          <w:spacing w:val="14"/>
          <w:sz w:val="24"/>
          <w:szCs w:val="24"/>
        </w:rPr>
        <w:t xml:space="preserve"> </w:t>
      </w:r>
      <w:r>
        <w:rPr>
          <w:spacing w:val="-2"/>
          <w:sz w:val="24"/>
          <w:szCs w:val="24"/>
          <w14:textOutline w14:w="4354" w14:cap="flat" w14:cmpd="sng">
            <w14:solidFill>
              <w14:srgbClr w14:val="000000"/>
            </w14:solidFill>
            <w14:prstDash w14:val="solid"/>
            <w14:miter w14:val="0"/>
          </w14:textOutline>
        </w:rPr>
        <w:t>运营期</w:t>
      </w:r>
    </w:p>
    <w:p>
      <w:pPr>
        <w:spacing w:before="198" w:line="220" w:lineRule="auto"/>
        <w:ind w:left="523"/>
        <w:rPr>
          <w:rFonts w:ascii="宋体" w:hAnsi="宋体" w:eastAsia="宋体" w:cs="宋体"/>
          <w:sz w:val="24"/>
          <w:szCs w:val="24"/>
        </w:rPr>
      </w:pPr>
      <w:r>
        <w:rPr>
          <w:rFonts w:ascii="宋体" w:hAnsi="宋体" w:eastAsia="宋体" w:cs="宋体"/>
          <w:spacing w:val="-2"/>
          <w:sz w:val="24"/>
          <w:szCs w:val="24"/>
        </w:rPr>
        <w:t>项目运营期无大气污染源。</w:t>
      </w:r>
    </w:p>
    <w:p>
      <w:pPr>
        <w:spacing w:line="386" w:lineRule="auto"/>
        <w:rPr>
          <w:rFonts w:ascii="Arial"/>
          <w:sz w:val="21"/>
        </w:rPr>
      </w:pPr>
    </w:p>
    <w:p>
      <w:pPr>
        <w:pStyle w:val="2"/>
        <w:spacing w:before="88" w:line="225" w:lineRule="auto"/>
        <w:ind w:left="36"/>
        <w:outlineLvl w:val="2"/>
        <w:rPr>
          <w:sz w:val="27"/>
          <w:szCs w:val="27"/>
        </w:rPr>
      </w:pPr>
      <w:bookmarkStart w:id="33" w:name="bookmark34"/>
      <w:bookmarkEnd w:id="33"/>
      <w:r>
        <w:rPr>
          <w:rFonts w:ascii="Times New Roman" w:hAnsi="Times New Roman" w:eastAsia="Times New Roman" w:cs="Times New Roman"/>
          <w:b/>
          <w:bCs/>
          <w:spacing w:val="7"/>
          <w:sz w:val="27"/>
          <w:szCs w:val="27"/>
        </w:rPr>
        <w:t xml:space="preserve">4.6 </w:t>
      </w:r>
      <w:r>
        <w:rPr>
          <w:spacing w:val="7"/>
          <w:sz w:val="27"/>
          <w:szCs w:val="27"/>
          <w14:textOutline w14:w="5072" w14:cap="flat" w14:cmpd="sng">
            <w14:solidFill>
              <w14:srgbClr w14:val="000000"/>
            </w14:solidFill>
            <w14:prstDash w14:val="solid"/>
            <w14:miter w14:val="0"/>
          </w14:textOutline>
        </w:rPr>
        <w:t>声环境影响评价</w:t>
      </w:r>
    </w:p>
    <w:p>
      <w:pPr>
        <w:spacing w:line="299" w:lineRule="auto"/>
        <w:rPr>
          <w:rFonts w:ascii="Arial"/>
          <w:sz w:val="21"/>
        </w:rPr>
      </w:pPr>
    </w:p>
    <w:p>
      <w:pPr>
        <w:pStyle w:val="2"/>
        <w:spacing w:before="79" w:line="235" w:lineRule="auto"/>
        <w:ind w:left="36"/>
        <w:outlineLvl w:val="2"/>
        <w:rPr>
          <w:sz w:val="24"/>
          <w:szCs w:val="24"/>
        </w:rPr>
      </w:pPr>
      <w:r>
        <w:rPr>
          <w:rFonts w:ascii="Times New Roman" w:hAnsi="Times New Roman" w:eastAsia="Times New Roman" w:cs="Times New Roman"/>
          <w:b/>
          <w:bCs/>
          <w:spacing w:val="-1"/>
          <w:sz w:val="24"/>
          <w:szCs w:val="24"/>
        </w:rPr>
        <w:t xml:space="preserve">4.6.1 </w:t>
      </w:r>
      <w:r>
        <w:rPr>
          <w:spacing w:val="-1"/>
          <w:sz w:val="24"/>
          <w:szCs w:val="24"/>
          <w14:textOutline w14:w="4354" w14:cap="flat" w14:cmpd="sng">
            <w14:solidFill>
              <w14:srgbClr w14:val="000000"/>
            </w14:solidFill>
            <w14:prstDash w14:val="solid"/>
            <w14:miter w14:val="0"/>
          </w14:textOutline>
        </w:rPr>
        <w:t>施工期</w:t>
      </w:r>
    </w:p>
    <w:p>
      <w:pPr>
        <w:spacing w:before="198" w:line="359" w:lineRule="auto"/>
        <w:ind w:left="35" w:firstLine="482"/>
        <w:jc w:val="both"/>
        <w:rPr>
          <w:rFonts w:ascii="宋体" w:hAnsi="宋体" w:eastAsia="宋体" w:cs="宋体"/>
          <w:sz w:val="24"/>
          <w:szCs w:val="24"/>
        </w:rPr>
      </w:pPr>
      <w:r>
        <w:rPr>
          <w:rFonts w:ascii="宋体" w:hAnsi="宋体" w:eastAsia="宋体" w:cs="宋体"/>
          <w:spacing w:val="-1"/>
          <w:sz w:val="24"/>
          <w:szCs w:val="24"/>
        </w:rPr>
        <w:t>施工区机械噪声源主要来自大坝施工区、砂石料加工区、输水管道施工区、</w:t>
      </w:r>
      <w:r>
        <w:rPr>
          <w:rFonts w:ascii="宋体" w:hAnsi="宋体" w:eastAsia="宋体" w:cs="宋体"/>
          <w:spacing w:val="15"/>
          <w:sz w:val="24"/>
          <w:szCs w:val="24"/>
        </w:rPr>
        <w:t xml:space="preserve"> </w:t>
      </w:r>
      <w:r>
        <w:rPr>
          <w:rFonts w:ascii="宋体" w:hAnsi="宋体" w:eastAsia="宋体" w:cs="宋体"/>
          <w:spacing w:val="-12"/>
          <w:sz w:val="24"/>
          <w:szCs w:val="24"/>
        </w:rPr>
        <w:t>爆破及施工道路运输区。施工期间，</w:t>
      </w:r>
      <w:r>
        <w:rPr>
          <w:rFonts w:ascii="宋体" w:hAnsi="宋体" w:eastAsia="宋体" w:cs="宋体"/>
          <w:spacing w:val="38"/>
          <w:sz w:val="24"/>
          <w:szCs w:val="24"/>
        </w:rPr>
        <w:t xml:space="preserve"> </w:t>
      </w:r>
      <w:r>
        <w:rPr>
          <w:rFonts w:ascii="宋体" w:hAnsi="宋体" w:eastAsia="宋体" w:cs="宋体"/>
          <w:spacing w:val="-12"/>
          <w:sz w:val="24"/>
          <w:szCs w:val="24"/>
        </w:rPr>
        <w:t>特别是施工高峰期，</w:t>
      </w:r>
      <w:r>
        <w:rPr>
          <w:rFonts w:ascii="宋体" w:hAnsi="宋体" w:eastAsia="宋体" w:cs="宋体"/>
          <w:spacing w:val="40"/>
          <w:sz w:val="24"/>
          <w:szCs w:val="24"/>
        </w:rPr>
        <w:t xml:space="preserve"> </w:t>
      </w:r>
      <w:r>
        <w:rPr>
          <w:rFonts w:ascii="宋体" w:hAnsi="宋体" w:eastAsia="宋体" w:cs="宋体"/>
          <w:spacing w:val="-12"/>
          <w:sz w:val="24"/>
          <w:szCs w:val="24"/>
        </w:rPr>
        <w:t>工程开挖、混凝土拌和</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等施工活动将产生强度较高的噪声。</w:t>
      </w:r>
    </w:p>
    <w:p>
      <w:pPr>
        <w:spacing w:before="18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）大坝施工区噪声影响分析</w:t>
      </w:r>
    </w:p>
    <w:p>
      <w:pPr>
        <w:spacing w:line="220" w:lineRule="auto"/>
        <w:rPr>
          <w:rFonts w:ascii="宋体" w:hAnsi="宋体" w:eastAsia="宋体" w:cs="宋体"/>
          <w:sz w:val="24"/>
          <w:szCs w:val="24"/>
        </w:rPr>
        <w:sectPr>
          <w:headerReference r:id="rId416" w:type="default"/>
          <w:footerReference r:id="rId417" w:type="default"/>
          <w:pgSz w:w="11907" w:h="16839"/>
          <w:pgMar w:top="1156" w:right="1714" w:bottom="1374" w:left="1770" w:header="881" w:footer="1210" w:gutter="0"/>
        </w:sectPr>
      </w:pPr>
    </w:p>
    <w:p>
      <w:pPr>
        <w:rPr>
          <w:rFonts w:ascii="Arial"/>
          <w:sz w:val="21"/>
        </w:rPr>
      </w:pPr>
    </w:p>
    <w:p>
      <w:pPr>
        <w:spacing w:before="78" w:line="359" w:lineRule="auto"/>
        <w:ind w:left="131" w:right="138" w:firstLine="509"/>
        <w:jc w:val="both"/>
        <w:rPr>
          <w:rFonts w:ascii="宋体" w:hAnsi="宋体" w:eastAsia="宋体" w:cs="宋体"/>
          <w:sz w:val="24"/>
          <w:szCs w:val="24"/>
        </w:rPr>
      </w:pPr>
      <w:r>
        <w:rPr>
          <w:rFonts w:ascii="宋体" w:hAnsi="宋体" w:eastAsia="宋体" w:cs="宋体"/>
          <w:spacing w:val="-2"/>
          <w:sz w:val="24"/>
          <w:szCs w:val="24"/>
        </w:rPr>
        <w:t>由于水库施工中，噪声源较分散，噪声源相互叠加的影响并不明显，因此，</w:t>
      </w:r>
      <w:r>
        <w:rPr>
          <w:rFonts w:ascii="宋体" w:hAnsi="宋体" w:eastAsia="宋体" w:cs="宋体"/>
          <w:spacing w:val="1"/>
          <w:sz w:val="24"/>
          <w:szCs w:val="24"/>
        </w:rPr>
        <w:t xml:space="preserve"> </w:t>
      </w:r>
      <w:r>
        <w:rPr>
          <w:rFonts w:ascii="宋体" w:hAnsi="宋体" w:eastAsia="宋体" w:cs="宋体"/>
          <w:spacing w:val="-9"/>
          <w:sz w:val="24"/>
          <w:szCs w:val="24"/>
        </w:rPr>
        <w:t>把大坝施工区看做点声源， 采用点声源的几何发散衰减模式进行噪声预</w:t>
      </w:r>
      <w:r>
        <w:rPr>
          <w:rFonts w:ascii="宋体" w:hAnsi="宋体" w:eastAsia="宋体" w:cs="宋体"/>
          <w:spacing w:val="-10"/>
          <w:sz w:val="24"/>
          <w:szCs w:val="24"/>
        </w:rPr>
        <w:t>测， 预测</w:t>
      </w:r>
    </w:p>
    <w:p>
      <w:pPr>
        <w:spacing w:line="220" w:lineRule="auto"/>
        <w:ind w:left="139"/>
        <w:rPr>
          <w:rFonts w:ascii="宋体" w:hAnsi="宋体" w:eastAsia="宋体" w:cs="宋体"/>
          <w:sz w:val="24"/>
          <w:szCs w:val="24"/>
        </w:rPr>
      </w:pPr>
      <w:r>
        <w:rPr>
          <w:rFonts w:ascii="宋体" w:hAnsi="宋体" w:eastAsia="宋体" w:cs="宋体"/>
          <w:spacing w:val="-12"/>
          <w:sz w:val="24"/>
          <w:szCs w:val="24"/>
        </w:rPr>
        <w:t>公式如下：</w:t>
      </w:r>
    </w:p>
    <w:p>
      <w:pPr>
        <w:spacing w:before="180" w:line="467" w:lineRule="exact"/>
        <w:ind w:left="3482"/>
        <w:rPr>
          <w:rFonts w:ascii="Times New Roman" w:hAnsi="Times New Roman" w:eastAsia="Times New Roman" w:cs="Times New Roman"/>
          <w:sz w:val="24"/>
          <w:szCs w:val="24"/>
        </w:rPr>
      </w:pPr>
      <w:r>
        <w:rPr>
          <w:rFonts w:ascii="Times New Roman" w:hAnsi="Times New Roman" w:eastAsia="Times New Roman" w:cs="Times New Roman"/>
          <w:position w:val="18"/>
          <w:sz w:val="24"/>
          <w:szCs w:val="24"/>
        </w:rPr>
        <w:t>Lp</w:t>
      </w:r>
      <w:r>
        <w:rPr>
          <w:rFonts w:ascii="Times New Roman" w:hAnsi="Times New Roman" w:eastAsia="Times New Roman" w:cs="Times New Roman"/>
          <w:spacing w:val="2"/>
          <w:position w:val="18"/>
          <w:sz w:val="24"/>
          <w:szCs w:val="24"/>
        </w:rPr>
        <w:t xml:space="preserve">= </w:t>
      </w:r>
      <w:r>
        <w:rPr>
          <w:rFonts w:ascii="Times New Roman" w:hAnsi="Times New Roman" w:eastAsia="Times New Roman" w:cs="Times New Roman"/>
          <w:position w:val="18"/>
          <w:sz w:val="24"/>
          <w:szCs w:val="24"/>
        </w:rPr>
        <w:t>Lw</w:t>
      </w:r>
      <w:r>
        <w:rPr>
          <w:rFonts w:ascii="Times New Roman" w:hAnsi="Times New Roman" w:eastAsia="Times New Roman" w:cs="Times New Roman"/>
          <w:spacing w:val="2"/>
          <w:position w:val="18"/>
          <w:sz w:val="24"/>
          <w:szCs w:val="24"/>
        </w:rPr>
        <w:t xml:space="preserve"> -</w:t>
      </w:r>
      <w:r>
        <w:rPr>
          <w:rFonts w:ascii="Times New Roman" w:hAnsi="Times New Roman" w:eastAsia="Times New Roman" w:cs="Times New Roman"/>
          <w:spacing w:val="10"/>
          <w:position w:val="18"/>
          <w:sz w:val="24"/>
          <w:szCs w:val="24"/>
        </w:rPr>
        <w:t xml:space="preserve"> </w:t>
      </w:r>
      <w:r>
        <w:rPr>
          <w:rFonts w:ascii="Times New Roman" w:hAnsi="Times New Roman" w:eastAsia="Times New Roman" w:cs="Times New Roman"/>
          <w:spacing w:val="2"/>
          <w:position w:val="18"/>
          <w:sz w:val="24"/>
          <w:szCs w:val="24"/>
        </w:rPr>
        <w:t>20</w:t>
      </w:r>
      <w:r>
        <w:rPr>
          <w:rFonts w:ascii="Times New Roman" w:hAnsi="Times New Roman" w:eastAsia="Times New Roman" w:cs="Times New Roman"/>
          <w:position w:val="18"/>
          <w:sz w:val="24"/>
          <w:szCs w:val="24"/>
        </w:rPr>
        <w:t>lgr</w:t>
      </w:r>
      <w:r>
        <w:rPr>
          <w:rFonts w:ascii="Times New Roman" w:hAnsi="Times New Roman" w:eastAsia="Times New Roman" w:cs="Times New Roman"/>
          <w:spacing w:val="10"/>
          <w:position w:val="18"/>
          <w:sz w:val="24"/>
          <w:szCs w:val="24"/>
        </w:rPr>
        <w:t xml:space="preserve"> </w:t>
      </w:r>
      <w:r>
        <w:rPr>
          <w:rFonts w:ascii="Times New Roman" w:hAnsi="Times New Roman" w:eastAsia="Times New Roman" w:cs="Times New Roman"/>
          <w:spacing w:val="2"/>
          <w:position w:val="18"/>
          <w:sz w:val="24"/>
          <w:szCs w:val="24"/>
        </w:rPr>
        <w:t>-</w:t>
      </w:r>
      <w:r>
        <w:rPr>
          <w:rFonts w:ascii="Times New Roman" w:hAnsi="Times New Roman" w:eastAsia="Times New Roman" w:cs="Times New Roman"/>
          <w:spacing w:val="-43"/>
          <w:position w:val="18"/>
          <w:sz w:val="24"/>
          <w:szCs w:val="24"/>
        </w:rPr>
        <w:t xml:space="preserve"> </w:t>
      </w:r>
      <w:r>
        <w:rPr>
          <w:rFonts w:ascii="宋体" w:hAnsi="宋体" w:eastAsia="宋体" w:cs="宋体"/>
          <w:spacing w:val="2"/>
          <w:position w:val="18"/>
          <w:sz w:val="24"/>
          <w:szCs w:val="24"/>
        </w:rPr>
        <w:t>△</w:t>
      </w:r>
      <w:r>
        <w:rPr>
          <w:rFonts w:ascii="Times New Roman" w:hAnsi="Times New Roman" w:eastAsia="Times New Roman" w:cs="Times New Roman"/>
          <w:spacing w:val="2"/>
          <w:position w:val="18"/>
          <w:sz w:val="24"/>
          <w:szCs w:val="24"/>
        </w:rPr>
        <w:t>L</w:t>
      </w:r>
    </w:p>
    <w:p>
      <w:pPr>
        <w:spacing w:line="212" w:lineRule="auto"/>
        <w:ind w:left="616"/>
        <w:rPr>
          <w:rFonts w:ascii="宋体" w:hAnsi="宋体" w:eastAsia="宋体" w:cs="宋体"/>
          <w:sz w:val="24"/>
          <w:szCs w:val="24"/>
        </w:rPr>
      </w:pPr>
      <w:r>
        <w:rPr>
          <w:rFonts w:ascii="宋体" w:hAnsi="宋体" w:eastAsia="宋体" w:cs="宋体"/>
          <w:spacing w:val="-6"/>
          <w:sz w:val="24"/>
          <w:szCs w:val="24"/>
        </w:rPr>
        <w:t xml:space="preserve">式中： </w:t>
      </w:r>
      <w:r>
        <w:rPr>
          <w:rFonts w:ascii="Times New Roman" w:hAnsi="Times New Roman" w:eastAsia="Times New Roman" w:cs="Times New Roman"/>
          <w:spacing w:val="-6"/>
          <w:sz w:val="24"/>
          <w:szCs w:val="24"/>
        </w:rPr>
        <w:t>Lp</w:t>
      </w:r>
      <w:r>
        <w:rPr>
          <w:rFonts w:ascii="宋体" w:hAnsi="宋体" w:eastAsia="宋体" w:cs="宋体"/>
          <w:spacing w:val="-6"/>
          <w:sz w:val="24"/>
          <w:szCs w:val="24"/>
        </w:rPr>
        <w:t>——距离声源</w:t>
      </w:r>
      <w:r>
        <w:rPr>
          <w:rFonts w:ascii="宋体" w:hAnsi="宋体" w:eastAsia="宋体" w:cs="宋体"/>
          <w:spacing w:val="-59"/>
          <w:sz w:val="24"/>
          <w:szCs w:val="24"/>
        </w:rPr>
        <w:t xml:space="preserve"> </w:t>
      </w:r>
      <w:r>
        <w:rPr>
          <w:rFonts w:ascii="Times New Roman" w:hAnsi="Times New Roman" w:eastAsia="Times New Roman" w:cs="Times New Roman"/>
          <w:spacing w:val="-6"/>
          <w:sz w:val="24"/>
          <w:szCs w:val="24"/>
        </w:rPr>
        <w:t xml:space="preserve">r  </w:t>
      </w:r>
      <w:r>
        <w:rPr>
          <w:rFonts w:ascii="宋体" w:hAnsi="宋体" w:eastAsia="宋体" w:cs="宋体"/>
          <w:spacing w:val="-6"/>
          <w:sz w:val="24"/>
          <w:szCs w:val="24"/>
        </w:rPr>
        <w:t>处的声压级（</w:t>
      </w:r>
      <w:r>
        <w:rPr>
          <w:rFonts w:ascii="Times New Roman" w:hAnsi="Times New Roman" w:eastAsia="Times New Roman" w:cs="Times New Roman"/>
          <w:spacing w:val="-6"/>
          <w:sz w:val="24"/>
          <w:szCs w:val="24"/>
        </w:rPr>
        <w:t>dB</w:t>
      </w:r>
      <w:r>
        <w:rPr>
          <w:rFonts w:ascii="宋体" w:hAnsi="宋体" w:eastAsia="宋体" w:cs="宋体"/>
          <w:spacing w:val="-43"/>
          <w:sz w:val="24"/>
          <w:szCs w:val="24"/>
        </w:rPr>
        <w:t>）；</w:t>
      </w:r>
    </w:p>
    <w:p>
      <w:pPr>
        <w:spacing w:before="190" w:line="220" w:lineRule="auto"/>
        <w:ind w:left="1327"/>
        <w:rPr>
          <w:rFonts w:ascii="宋体" w:hAnsi="宋体" w:eastAsia="宋体" w:cs="宋体"/>
          <w:sz w:val="24"/>
          <w:szCs w:val="24"/>
        </w:rPr>
      </w:pPr>
      <w:r>
        <w:rPr>
          <w:rFonts w:ascii="Times New Roman" w:hAnsi="Times New Roman" w:eastAsia="Times New Roman" w:cs="Times New Roman"/>
          <w:spacing w:val="-1"/>
          <w:sz w:val="24"/>
          <w:szCs w:val="24"/>
        </w:rPr>
        <w:t>Lw</w:t>
      </w:r>
      <w:r>
        <w:rPr>
          <w:rFonts w:ascii="宋体" w:hAnsi="宋体" w:eastAsia="宋体" w:cs="宋体"/>
          <w:spacing w:val="-1"/>
          <w:sz w:val="24"/>
          <w:szCs w:val="24"/>
        </w:rPr>
        <w:t>——声源源强（</w:t>
      </w:r>
      <w:r>
        <w:rPr>
          <w:rFonts w:ascii="Times New Roman" w:hAnsi="Times New Roman" w:eastAsia="Times New Roman" w:cs="Times New Roman"/>
          <w:spacing w:val="-1"/>
          <w:sz w:val="24"/>
          <w:szCs w:val="24"/>
        </w:rPr>
        <w:t>dB</w:t>
      </w:r>
      <w:r>
        <w:rPr>
          <w:rFonts w:ascii="宋体" w:hAnsi="宋体" w:eastAsia="宋体" w:cs="宋体"/>
          <w:spacing w:val="-41"/>
          <w:sz w:val="24"/>
          <w:szCs w:val="24"/>
        </w:rPr>
        <w:t>）；</w:t>
      </w:r>
    </w:p>
    <w:p>
      <w:pPr>
        <w:spacing w:before="181" w:line="234" w:lineRule="auto"/>
        <w:ind w:left="1323"/>
        <w:rPr>
          <w:rFonts w:ascii="宋体" w:hAnsi="宋体" w:eastAsia="宋体" w:cs="宋体"/>
          <w:sz w:val="24"/>
          <w:szCs w:val="24"/>
        </w:rPr>
      </w:pPr>
      <w:r>
        <w:rPr>
          <w:rFonts w:ascii="Times New Roman" w:hAnsi="Times New Roman" w:eastAsia="Times New Roman" w:cs="Times New Roman"/>
          <w:spacing w:val="-1"/>
          <w:sz w:val="24"/>
          <w:szCs w:val="24"/>
        </w:rPr>
        <w:t>r</w:t>
      </w:r>
      <w:r>
        <w:rPr>
          <w:rFonts w:ascii="宋体" w:hAnsi="宋体" w:eastAsia="宋体" w:cs="宋体"/>
          <w:spacing w:val="-1"/>
          <w:sz w:val="24"/>
          <w:szCs w:val="24"/>
        </w:rPr>
        <w:t>——预测点距声源的距离</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pPr>
        <w:spacing w:before="162" w:line="467" w:lineRule="exact"/>
        <w:ind w:left="1219"/>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L</w:t>
      </w:r>
      <w:r>
        <w:rPr>
          <w:rFonts w:ascii="宋体" w:hAnsi="宋体" w:eastAsia="宋体" w:cs="宋体"/>
          <w:spacing w:val="-8"/>
          <w:position w:val="17"/>
          <w:sz w:val="24"/>
          <w:szCs w:val="24"/>
        </w:rPr>
        <w:t>——衰减修正值， 一般取值为</w:t>
      </w:r>
      <w:r>
        <w:rPr>
          <w:rFonts w:ascii="宋体" w:hAnsi="宋体" w:eastAsia="宋体" w:cs="宋体"/>
          <w:spacing w:val="-30"/>
          <w:position w:val="17"/>
          <w:sz w:val="24"/>
          <w:szCs w:val="24"/>
        </w:rPr>
        <w:t xml:space="preserve"> </w:t>
      </w:r>
      <w:r>
        <w:rPr>
          <w:rFonts w:ascii="Times New Roman" w:hAnsi="Times New Roman" w:eastAsia="Times New Roman" w:cs="Times New Roman"/>
          <w:spacing w:val="-8"/>
          <w:position w:val="17"/>
          <w:sz w:val="24"/>
          <w:szCs w:val="24"/>
        </w:rPr>
        <w:t>8 dB</w:t>
      </w:r>
      <w:r>
        <w:rPr>
          <w:rFonts w:ascii="宋体" w:hAnsi="宋体" w:eastAsia="宋体" w:cs="宋体"/>
          <w:spacing w:val="-8"/>
          <w:position w:val="17"/>
          <w:sz w:val="24"/>
          <w:szCs w:val="24"/>
        </w:rPr>
        <w:t>。</w:t>
      </w:r>
    </w:p>
    <w:p>
      <w:pPr>
        <w:spacing w:before="1" w:line="219" w:lineRule="auto"/>
        <w:ind w:left="623"/>
        <w:rPr>
          <w:rFonts w:ascii="宋体" w:hAnsi="宋体" w:eastAsia="宋体" w:cs="宋体"/>
          <w:sz w:val="24"/>
          <w:szCs w:val="24"/>
        </w:rPr>
      </w:pPr>
      <w:r>
        <w:rPr>
          <w:rFonts w:ascii="宋体" w:hAnsi="宋体" w:eastAsia="宋体" w:cs="宋体"/>
          <w:spacing w:val="-7"/>
          <w:sz w:val="24"/>
          <w:szCs w:val="24"/>
        </w:rPr>
        <w:t>噪声叠加值计算模式：</w:t>
      </w:r>
    </w:p>
    <w:p>
      <w:pPr>
        <w:spacing w:before="174"/>
        <w:ind w:left="3410"/>
        <w:rPr>
          <w:rFonts w:ascii="宋体" w:hAnsi="宋体" w:eastAsia="宋体" w:cs="宋体"/>
          <w:sz w:val="21"/>
          <w:szCs w:val="21"/>
        </w:rPr>
      </w:pPr>
      <w:r>
        <w:rPr>
          <w:rFonts w:ascii="Times New Roman" w:hAnsi="Times New Roman" w:eastAsia="Times New Roman" w:cs="Times New Roman"/>
          <w:spacing w:val="-4"/>
          <w:sz w:val="21"/>
          <w:szCs w:val="21"/>
        </w:rPr>
        <w:t>L</w:t>
      </w:r>
      <w:r>
        <w:rPr>
          <w:rFonts w:ascii="Times New Roman" w:hAnsi="Times New Roman" w:eastAsia="Times New Roman" w:cs="Times New Roman"/>
          <w:spacing w:val="-4"/>
          <w:position w:val="-1"/>
          <w:sz w:val="14"/>
          <w:szCs w:val="14"/>
        </w:rPr>
        <w:t>PT</w:t>
      </w:r>
      <w:r>
        <w:rPr>
          <w:rFonts w:ascii="Times New Roman" w:hAnsi="Times New Roman" w:eastAsia="Times New Roman" w:cs="Times New Roman"/>
          <w:spacing w:val="-4"/>
          <w:sz w:val="21"/>
          <w:szCs w:val="21"/>
        </w:rPr>
        <w:t>=10lg</w:t>
      </w:r>
      <w:r>
        <w:rPr>
          <w:rFonts w:ascii="宋体" w:hAnsi="宋体" w:eastAsia="宋体" w:cs="宋体"/>
          <w:spacing w:val="-4"/>
          <w:sz w:val="21"/>
          <w:szCs w:val="21"/>
        </w:rPr>
        <w:t>（</w:t>
      </w:r>
      <w:r>
        <w:rPr>
          <w:rFonts w:ascii="宋体" w:hAnsi="宋体" w:eastAsia="宋体" w:cs="宋体"/>
          <w:spacing w:val="-33"/>
          <w:sz w:val="21"/>
          <w:szCs w:val="21"/>
        </w:rPr>
        <w:t xml:space="preserve"> </w:t>
      </w:r>
      <w:r>
        <w:rPr>
          <w:position w:val="-25"/>
          <w:sz w:val="21"/>
          <w:szCs w:val="21"/>
        </w:rPr>
        <w:drawing>
          <wp:inline distT="0" distB="0" distL="0" distR="0">
            <wp:extent cx="158115" cy="38608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518"/>
                    <a:stretch>
                      <a:fillRect/>
                    </a:stretch>
                  </pic:blipFill>
                  <pic:spPr>
                    <a:xfrm>
                      <a:off x="0" y="0"/>
                      <a:ext cx="158522" cy="386178"/>
                    </a:xfrm>
                    <a:prstGeom prst="rect">
                      <a:avLst/>
                    </a:prstGeom>
                  </pic:spPr>
                </pic:pic>
              </a:graphicData>
            </a:graphic>
          </wp:inline>
        </w:drawing>
      </w:r>
      <w:r>
        <w:rPr>
          <w:rFonts w:ascii="宋体" w:hAnsi="宋体" w:eastAsia="宋体" w:cs="宋体"/>
          <w:spacing w:val="-70"/>
          <w:sz w:val="21"/>
          <w:szCs w:val="21"/>
        </w:rPr>
        <w:t xml:space="preserve"> </w:t>
      </w:r>
      <w:r>
        <w:rPr>
          <w:rFonts w:ascii="Times New Roman" w:hAnsi="Times New Roman" w:eastAsia="Times New Roman" w:cs="Times New Roman"/>
          <w:spacing w:val="-4"/>
          <w:sz w:val="24"/>
          <w:szCs w:val="24"/>
        </w:rPr>
        <w:t xml:space="preserve">10 </w:t>
      </w:r>
      <w:r>
        <w:rPr>
          <w:rFonts w:ascii="Times New Roman" w:hAnsi="Times New Roman" w:eastAsia="Times New Roman" w:cs="Times New Roman"/>
          <w:spacing w:val="-4"/>
          <w:position w:val="8"/>
          <w:sz w:val="14"/>
          <w:szCs w:val="14"/>
        </w:rPr>
        <w:t>0.1Lpi</w:t>
      </w:r>
      <w:r>
        <w:rPr>
          <w:rFonts w:ascii="宋体" w:hAnsi="宋体" w:eastAsia="宋体" w:cs="宋体"/>
          <w:spacing w:val="-4"/>
          <w:sz w:val="21"/>
          <w:szCs w:val="21"/>
        </w:rPr>
        <w:t>）</w:t>
      </w:r>
    </w:p>
    <w:p>
      <w:pPr>
        <w:spacing w:before="180" w:line="212" w:lineRule="auto"/>
        <w:ind w:left="616"/>
        <w:rPr>
          <w:rFonts w:ascii="宋体" w:hAnsi="宋体" w:eastAsia="宋体" w:cs="宋体"/>
          <w:sz w:val="24"/>
          <w:szCs w:val="24"/>
        </w:rPr>
      </w:pPr>
      <w:r>
        <w:rPr>
          <w:rFonts w:ascii="宋体" w:hAnsi="宋体" w:eastAsia="宋体" w:cs="宋体"/>
          <w:spacing w:val="-33"/>
          <w:sz w:val="24"/>
          <w:szCs w:val="24"/>
        </w:rPr>
        <w:t>式中：</w:t>
      </w:r>
      <w:r>
        <w:rPr>
          <w:rFonts w:ascii="宋体" w:hAnsi="宋体" w:eastAsia="宋体" w:cs="宋体"/>
          <w:spacing w:val="5"/>
          <w:sz w:val="24"/>
          <w:szCs w:val="24"/>
        </w:rPr>
        <w:t xml:space="preserve"> </w:t>
      </w:r>
      <w:r>
        <w:rPr>
          <w:rFonts w:ascii="Times New Roman" w:hAnsi="Times New Roman" w:eastAsia="Times New Roman" w:cs="Times New Roman"/>
          <w:spacing w:val="-33"/>
          <w:sz w:val="24"/>
          <w:szCs w:val="24"/>
        </w:rPr>
        <w:t>L</w:t>
      </w:r>
      <w:r>
        <w:rPr>
          <w:rFonts w:ascii="Times New Roman" w:hAnsi="Times New Roman" w:eastAsia="Times New Roman" w:cs="Times New Roman"/>
          <w:spacing w:val="-8"/>
          <w:sz w:val="15"/>
          <w:szCs w:val="15"/>
        </w:rPr>
        <w:t>PT</w:t>
      </w:r>
      <w:r>
        <w:rPr>
          <w:rFonts w:ascii="Times New Roman" w:hAnsi="Times New Roman" w:eastAsia="Times New Roman" w:cs="Times New Roman"/>
          <w:spacing w:val="-8"/>
          <w:sz w:val="24"/>
          <w:szCs w:val="24"/>
        </w:rPr>
        <w:t>——</w:t>
      </w:r>
      <w:r>
        <w:rPr>
          <w:rFonts w:ascii="宋体" w:hAnsi="宋体" w:eastAsia="宋体" w:cs="宋体"/>
          <w:spacing w:val="-8"/>
          <w:sz w:val="24"/>
          <w:szCs w:val="24"/>
        </w:rPr>
        <w:t>预测点出新增的总声压级，</w:t>
      </w:r>
      <w:r>
        <w:rPr>
          <w:rFonts w:ascii="宋体" w:hAnsi="宋体" w:eastAsia="宋体" w:cs="宋体"/>
          <w:spacing w:val="60"/>
          <w:sz w:val="24"/>
          <w:szCs w:val="24"/>
        </w:rPr>
        <w:t xml:space="preserve"> </w:t>
      </w:r>
      <w:r>
        <w:rPr>
          <w:rFonts w:ascii="Times New Roman" w:hAnsi="Times New Roman" w:eastAsia="Times New Roman" w:cs="Times New Roman"/>
          <w:spacing w:val="-8"/>
          <w:sz w:val="24"/>
          <w:szCs w:val="24"/>
        </w:rPr>
        <w:t>dB(A)</w:t>
      </w:r>
      <w:r>
        <w:rPr>
          <w:rFonts w:ascii="宋体" w:hAnsi="宋体" w:eastAsia="宋体" w:cs="宋体"/>
          <w:spacing w:val="-8"/>
          <w:sz w:val="24"/>
          <w:szCs w:val="24"/>
        </w:rPr>
        <w:t>；</w:t>
      </w:r>
    </w:p>
    <w:p>
      <w:pPr>
        <w:spacing w:before="191" w:line="467" w:lineRule="exact"/>
        <w:ind w:left="1327"/>
        <w:rPr>
          <w:rFonts w:ascii="宋体" w:hAnsi="宋体" w:eastAsia="宋体" w:cs="宋体"/>
          <w:sz w:val="24"/>
          <w:szCs w:val="24"/>
        </w:rPr>
      </w:pPr>
      <w:r>
        <w:rPr>
          <w:rFonts w:ascii="Times New Roman" w:hAnsi="Times New Roman" w:eastAsia="Times New Roman" w:cs="Times New Roman"/>
          <w:spacing w:val="-7"/>
          <w:position w:val="17"/>
          <w:sz w:val="24"/>
          <w:szCs w:val="24"/>
        </w:rPr>
        <w:t>Lpi——</w:t>
      </w:r>
      <w:r>
        <w:rPr>
          <w:rFonts w:ascii="宋体" w:hAnsi="宋体" w:eastAsia="宋体" w:cs="宋体"/>
          <w:spacing w:val="-7"/>
          <w:position w:val="17"/>
          <w:sz w:val="24"/>
          <w:szCs w:val="24"/>
        </w:rPr>
        <w:t>第</w:t>
      </w:r>
      <w:r>
        <w:rPr>
          <w:rFonts w:ascii="宋体" w:hAnsi="宋体" w:eastAsia="宋体" w:cs="宋体"/>
          <w:spacing w:val="-53"/>
          <w:position w:val="17"/>
          <w:sz w:val="24"/>
          <w:szCs w:val="24"/>
        </w:rPr>
        <w:t xml:space="preserve"> </w:t>
      </w:r>
      <w:r>
        <w:rPr>
          <w:rFonts w:ascii="Times New Roman" w:hAnsi="Times New Roman" w:eastAsia="Times New Roman" w:cs="Times New Roman"/>
          <w:spacing w:val="-7"/>
          <w:position w:val="17"/>
          <w:sz w:val="24"/>
          <w:szCs w:val="24"/>
        </w:rPr>
        <w:t xml:space="preserve">i </w:t>
      </w:r>
      <w:r>
        <w:rPr>
          <w:rFonts w:ascii="宋体" w:hAnsi="宋体" w:eastAsia="宋体" w:cs="宋体"/>
          <w:spacing w:val="-7"/>
          <w:position w:val="17"/>
          <w:sz w:val="24"/>
          <w:szCs w:val="24"/>
        </w:rPr>
        <w:t>个声源至预测点处的声压级，</w:t>
      </w:r>
      <w:r>
        <w:rPr>
          <w:rFonts w:ascii="宋体" w:hAnsi="宋体" w:eastAsia="宋体" w:cs="宋体"/>
          <w:spacing w:val="60"/>
          <w:position w:val="17"/>
          <w:sz w:val="24"/>
          <w:szCs w:val="24"/>
        </w:rPr>
        <w:t xml:space="preserve"> </w:t>
      </w:r>
      <w:r>
        <w:rPr>
          <w:rFonts w:ascii="Times New Roman" w:hAnsi="Times New Roman" w:eastAsia="Times New Roman" w:cs="Times New Roman"/>
          <w:spacing w:val="-7"/>
          <w:position w:val="17"/>
          <w:sz w:val="24"/>
          <w:szCs w:val="24"/>
        </w:rPr>
        <w:t>dB(</w:t>
      </w:r>
      <w:r>
        <w:rPr>
          <w:rFonts w:ascii="Times New Roman" w:hAnsi="Times New Roman" w:eastAsia="Times New Roman" w:cs="Times New Roman"/>
          <w:spacing w:val="-8"/>
          <w:position w:val="17"/>
          <w:sz w:val="24"/>
          <w:szCs w:val="24"/>
        </w:rPr>
        <w:t>A)</w:t>
      </w:r>
      <w:r>
        <w:rPr>
          <w:rFonts w:ascii="宋体" w:hAnsi="宋体" w:eastAsia="宋体" w:cs="宋体"/>
          <w:spacing w:val="-8"/>
          <w:position w:val="17"/>
          <w:sz w:val="24"/>
          <w:szCs w:val="24"/>
        </w:rPr>
        <w:t>；</w:t>
      </w:r>
    </w:p>
    <w:p>
      <w:pPr>
        <w:spacing w:before="1" w:line="233" w:lineRule="auto"/>
        <w:ind w:left="1323"/>
        <w:rPr>
          <w:rFonts w:ascii="宋体" w:hAnsi="宋体" w:eastAsia="宋体" w:cs="宋体"/>
          <w:sz w:val="24"/>
          <w:szCs w:val="24"/>
        </w:rPr>
      </w:pPr>
      <w:r>
        <w:rPr>
          <w:rFonts w:ascii="Times New Roman" w:hAnsi="Times New Roman" w:eastAsia="Times New Roman" w:cs="Times New Roman"/>
          <w:spacing w:val="-4"/>
          <w:sz w:val="24"/>
          <w:szCs w:val="24"/>
        </w:rPr>
        <w:t>n——</w:t>
      </w:r>
      <w:r>
        <w:rPr>
          <w:rFonts w:ascii="宋体" w:hAnsi="宋体" w:eastAsia="宋体" w:cs="宋体"/>
          <w:spacing w:val="-4"/>
          <w:sz w:val="24"/>
          <w:szCs w:val="24"/>
        </w:rPr>
        <w:t>声源个数。</w:t>
      </w:r>
    </w:p>
    <w:p>
      <w:pPr>
        <w:spacing w:before="162" w:line="220" w:lineRule="auto"/>
        <w:ind w:left="640"/>
        <w:rPr>
          <w:rFonts w:ascii="宋体" w:hAnsi="宋体" w:eastAsia="宋体" w:cs="宋体"/>
          <w:sz w:val="24"/>
          <w:szCs w:val="24"/>
        </w:rPr>
      </w:pPr>
      <w:r>
        <w:rPr>
          <w:rFonts w:ascii="宋体" w:hAnsi="宋体" w:eastAsia="宋体" w:cs="宋体"/>
          <w:spacing w:val="-2"/>
          <w:sz w:val="24"/>
          <w:szCs w:val="24"/>
        </w:rPr>
        <w:t>由上式可计算出噪声值随距离衰减及叠加的变化情况，具体见表表</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pPr>
        <w:spacing w:line="248" w:lineRule="auto"/>
        <w:rPr>
          <w:rFonts w:ascii="Arial"/>
          <w:sz w:val="21"/>
        </w:rPr>
      </w:pPr>
    </w:p>
    <w:p>
      <w:pPr>
        <w:pStyle w:val="2"/>
        <w:spacing w:before="69" w:line="218" w:lineRule="auto"/>
        <w:ind w:left="1835"/>
      </w:pPr>
      <w:r>
        <w:rPr>
          <w:spacing w:val="-3"/>
          <w14:textOutline w14:w="3810" w14:cap="flat" w14:cmpd="sng">
            <w14:solidFill>
              <w14:srgbClr w14:val="000000"/>
            </w14:solidFill>
            <w14:prstDash w14:val="solid"/>
            <w14:miter w14:val="0"/>
          </w14:textOutline>
        </w:rPr>
        <w:t>表</w:t>
      </w:r>
      <w:r>
        <w:rPr>
          <w:spacing w:val="-46"/>
        </w:rPr>
        <w:t xml:space="preserve"> </w:t>
      </w:r>
      <w:r>
        <w:rPr>
          <w:rFonts w:ascii="Times New Roman" w:hAnsi="Times New Roman" w:eastAsia="Times New Roman" w:cs="Times New Roman"/>
          <w:b/>
          <w:bCs/>
          <w:spacing w:val="-3"/>
        </w:rPr>
        <w:t xml:space="preserve">4.6-1    </w:t>
      </w:r>
      <w:r>
        <w:rPr>
          <w:spacing w:val="-3"/>
          <w14:textOutline w14:w="3810" w14:cap="flat" w14:cmpd="sng">
            <w14:solidFill>
              <w14:srgbClr w14:val="000000"/>
            </w14:solidFill>
            <w14:prstDash w14:val="solid"/>
            <w14:miter w14:val="0"/>
          </w14:textOutline>
        </w:rPr>
        <w:t>大坝区施工噪声衰减贡献值</w:t>
      </w:r>
      <w:r>
        <w:rPr>
          <w:spacing w:val="-3"/>
        </w:rPr>
        <w:t xml:space="preserve">    </w:t>
      </w:r>
      <w:r>
        <w:rPr>
          <w:spacing w:val="-3"/>
          <w14:textOutline w14:w="3810" w14:cap="flat" w14:cmpd="sng">
            <w14:solidFill>
              <w14:srgbClr w14:val="000000"/>
            </w14:solidFill>
            <w14:prstDash w14:val="solid"/>
            <w14:miter w14:val="0"/>
          </w14:textOutline>
        </w:rPr>
        <w:t>单位：</w:t>
      </w:r>
      <w:r>
        <w:rPr>
          <w:spacing w:val="-3"/>
        </w:rPr>
        <w:t xml:space="preserve"> </w:t>
      </w:r>
      <w:r>
        <w:rPr>
          <w:rFonts w:ascii="Times New Roman" w:hAnsi="Times New Roman" w:eastAsia="Times New Roman" w:cs="Times New Roman"/>
          <w:b/>
          <w:bCs/>
          <w:spacing w:val="-3"/>
        </w:rPr>
        <w:t>d</w:t>
      </w:r>
      <w:r>
        <w:rPr>
          <w:rFonts w:ascii="Times New Roman" w:hAnsi="Times New Roman" w:eastAsia="Times New Roman" w:cs="Times New Roman"/>
          <w:b/>
          <w:bCs/>
          <w:spacing w:val="-4"/>
        </w:rPr>
        <w:t>B</w:t>
      </w:r>
      <w:r>
        <w:rPr>
          <w:spacing w:val="-4"/>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4"/>
        </w:rPr>
        <w:t>A</w:t>
      </w:r>
      <w:r>
        <w:rPr>
          <w:spacing w:val="-4"/>
          <w14:textOutline w14:w="3810" w14:cap="flat" w14:cmpd="sng">
            <w14:solidFill>
              <w14:srgbClr w14:val="000000"/>
            </w14:solidFill>
            <w14:prstDash w14:val="solid"/>
            <w14:miter w14:val="0"/>
          </w14:textOutline>
        </w:rPr>
        <w:t>）</w:t>
      </w:r>
    </w:p>
    <w:p>
      <w:pPr>
        <w:spacing w:line="20" w:lineRule="exact"/>
      </w:pPr>
    </w:p>
    <w:tbl>
      <w:tblPr>
        <w:tblStyle w:val="5"/>
        <w:tblW w:w="853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5"/>
        <w:gridCol w:w="846"/>
        <w:gridCol w:w="851"/>
        <w:gridCol w:w="811"/>
        <w:gridCol w:w="807"/>
        <w:gridCol w:w="1015"/>
        <w:gridCol w:w="819"/>
        <w:gridCol w:w="840"/>
        <w:gridCol w:w="7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5" w:hRule="atLeast"/>
        </w:trPr>
        <w:tc>
          <w:tcPr>
            <w:tcW w:w="1825" w:type="dxa"/>
            <w:vMerge w:val="restart"/>
            <w:tcBorders>
              <w:top w:val="single" w:color="000000" w:sz="12" w:space="0"/>
              <w:left w:val="nil"/>
              <w:bottom w:val="nil"/>
              <w:tl2br w:val="single" w:color="000000" w:sz="2" w:space="0"/>
            </w:tcBorders>
            <w:vAlign w:val="top"/>
          </w:tcPr>
          <w:p>
            <w:pPr>
              <w:pStyle w:val="6"/>
              <w:spacing w:before="15" w:line="198" w:lineRule="auto"/>
              <w:ind w:left="135" w:right="63" w:firstLine="633"/>
              <w:rPr>
                <w:rFonts w:ascii="仿宋" w:hAnsi="仿宋" w:eastAsia="仿宋" w:cs="仿宋"/>
              </w:rPr>
            </w:pPr>
            <w:r>
              <w:rPr>
                <w:rFonts w:ascii="仿宋" w:hAnsi="仿宋" w:eastAsia="仿宋" w:cs="仿宋"/>
                <w:spacing w:val="-6"/>
                <w14:textOutline w14:w="3810" w14:cap="flat" w14:cmpd="sng">
                  <w14:solidFill>
                    <w14:srgbClr w14:val="000000"/>
                  </w14:solidFill>
                  <w14:prstDash w14:val="solid"/>
                  <w14:miter w14:val="0"/>
                </w14:textOutline>
              </w:rPr>
              <w:t>距离（</w:t>
            </w:r>
            <w:r>
              <w:rPr>
                <w:b/>
                <w:bCs/>
                <w:spacing w:val="-6"/>
              </w:rPr>
              <w:t>m</w:t>
            </w:r>
            <w:r>
              <w:rPr>
                <w:rFonts w:ascii="仿宋" w:hAnsi="仿宋" w:eastAsia="仿宋" w:cs="仿宋"/>
                <w:spacing w:val="-6"/>
                <w14:textOutline w14:w="3810" w14:cap="flat" w14:cmpd="sng">
                  <w14:solidFill>
                    <w14:srgbClr w14:val="000000"/>
                  </w14:solidFill>
                  <w14:prstDash w14:val="solid"/>
                  <w14:miter w14:val="0"/>
                </w14:textOutline>
              </w:rPr>
              <w:t>）</w:t>
            </w:r>
            <w:r>
              <w:rPr>
                <w:rFonts w:ascii="仿宋" w:hAnsi="仿宋" w:eastAsia="仿宋" w:cs="仿宋"/>
                <w:spacing w:val="3"/>
              </w:rPr>
              <w:t xml:space="preserve"> </w:t>
            </w:r>
            <w:r>
              <w:rPr>
                <w:rFonts w:ascii="仿宋" w:hAnsi="仿宋" w:eastAsia="仿宋" w:cs="仿宋"/>
                <w:spacing w:val="-2"/>
                <w14:textOutline w14:w="3810" w14:cap="flat" w14:cmpd="sng">
                  <w14:solidFill>
                    <w14:srgbClr w14:val="000000"/>
                  </w14:solidFill>
                  <w14:prstDash w14:val="solid"/>
                  <w14:miter w14:val="0"/>
                </w14:textOutline>
              </w:rPr>
              <w:t>施工阶段</w:t>
            </w:r>
          </w:p>
        </w:tc>
        <w:tc>
          <w:tcPr>
            <w:tcW w:w="5149" w:type="dxa"/>
            <w:gridSpan w:val="6"/>
            <w:tcBorders>
              <w:top w:val="single" w:color="000000" w:sz="12" w:space="0"/>
            </w:tcBorders>
            <w:vAlign w:val="top"/>
          </w:tcPr>
          <w:p>
            <w:pPr>
              <w:spacing w:before="11" w:line="188" w:lineRule="auto"/>
              <w:ind w:left="1748"/>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噪声随距离衰减贡献值</w:t>
            </w:r>
          </w:p>
        </w:tc>
        <w:tc>
          <w:tcPr>
            <w:tcW w:w="1563" w:type="dxa"/>
            <w:gridSpan w:val="2"/>
            <w:tcBorders>
              <w:top w:val="single" w:color="000000" w:sz="12" w:space="0"/>
              <w:right w:val="nil"/>
            </w:tcBorders>
            <w:vAlign w:val="top"/>
          </w:tcPr>
          <w:p>
            <w:pPr>
              <w:spacing w:before="11" w:line="188" w:lineRule="auto"/>
              <w:ind w:left="367"/>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6" w:hRule="atLeast"/>
        </w:trPr>
        <w:tc>
          <w:tcPr>
            <w:tcW w:w="1825" w:type="dxa"/>
            <w:vMerge w:val="continue"/>
            <w:tcBorders>
              <w:top w:val="nil"/>
              <w:left w:val="nil"/>
              <w:tl2br w:val="single" w:color="000000" w:sz="2" w:space="0"/>
            </w:tcBorders>
            <w:vAlign w:val="top"/>
          </w:tcPr>
          <w:p>
            <w:pPr>
              <w:rPr>
                <w:rFonts w:ascii="Arial"/>
                <w:sz w:val="21"/>
              </w:rPr>
            </w:pPr>
          </w:p>
        </w:tc>
        <w:tc>
          <w:tcPr>
            <w:tcW w:w="846" w:type="dxa"/>
            <w:vAlign w:val="top"/>
          </w:tcPr>
          <w:p>
            <w:pPr>
              <w:pStyle w:val="6"/>
              <w:spacing w:before="57" w:line="167" w:lineRule="auto"/>
              <w:ind w:left="327"/>
            </w:pPr>
            <w:r>
              <w:rPr>
                <w:spacing w:val="-6"/>
              </w:rPr>
              <w:t>10</w:t>
            </w:r>
          </w:p>
        </w:tc>
        <w:tc>
          <w:tcPr>
            <w:tcW w:w="851" w:type="dxa"/>
            <w:vAlign w:val="top"/>
          </w:tcPr>
          <w:p>
            <w:pPr>
              <w:pStyle w:val="6"/>
              <w:spacing w:before="57" w:line="167" w:lineRule="auto"/>
              <w:ind w:left="329"/>
            </w:pPr>
            <w:r>
              <w:rPr>
                <w:spacing w:val="-3"/>
              </w:rPr>
              <w:t>30</w:t>
            </w:r>
          </w:p>
        </w:tc>
        <w:tc>
          <w:tcPr>
            <w:tcW w:w="811" w:type="dxa"/>
            <w:vAlign w:val="top"/>
          </w:tcPr>
          <w:p>
            <w:pPr>
              <w:pStyle w:val="6"/>
              <w:spacing w:before="57" w:line="167" w:lineRule="auto"/>
              <w:ind w:left="310"/>
            </w:pPr>
            <w:r>
              <w:rPr>
                <w:spacing w:val="-3"/>
              </w:rPr>
              <w:t>50</w:t>
            </w:r>
          </w:p>
        </w:tc>
        <w:tc>
          <w:tcPr>
            <w:tcW w:w="807" w:type="dxa"/>
            <w:vAlign w:val="top"/>
          </w:tcPr>
          <w:p>
            <w:pPr>
              <w:pStyle w:val="6"/>
              <w:spacing w:before="57" w:line="167" w:lineRule="auto"/>
              <w:ind w:left="269"/>
            </w:pPr>
            <w:r>
              <w:rPr>
                <w:spacing w:val="-6"/>
              </w:rPr>
              <w:t>100</w:t>
            </w:r>
          </w:p>
        </w:tc>
        <w:tc>
          <w:tcPr>
            <w:tcW w:w="1015" w:type="dxa"/>
            <w:vAlign w:val="top"/>
          </w:tcPr>
          <w:p>
            <w:pPr>
              <w:pStyle w:val="6"/>
              <w:spacing w:before="57" w:line="167" w:lineRule="auto"/>
              <w:ind w:left="372"/>
            </w:pPr>
            <w:r>
              <w:rPr>
                <w:spacing w:val="-9"/>
              </w:rPr>
              <w:t>150</w:t>
            </w:r>
          </w:p>
        </w:tc>
        <w:tc>
          <w:tcPr>
            <w:tcW w:w="819" w:type="dxa"/>
            <w:vAlign w:val="top"/>
          </w:tcPr>
          <w:p>
            <w:pPr>
              <w:pStyle w:val="6"/>
              <w:spacing w:before="57" w:line="167" w:lineRule="auto"/>
              <w:ind w:left="252"/>
            </w:pPr>
            <w:r>
              <w:rPr>
                <w:spacing w:val="-1"/>
              </w:rPr>
              <w:t>200</w:t>
            </w:r>
          </w:p>
        </w:tc>
        <w:tc>
          <w:tcPr>
            <w:tcW w:w="840" w:type="dxa"/>
            <w:vAlign w:val="top"/>
          </w:tcPr>
          <w:p>
            <w:pPr>
              <w:spacing w:before="21" w:line="180" w:lineRule="auto"/>
              <w:ind w:left="325"/>
              <w:rPr>
                <w:rFonts w:ascii="仿宋" w:hAnsi="仿宋" w:eastAsia="仿宋" w:cs="仿宋"/>
                <w:sz w:val="21"/>
                <w:szCs w:val="21"/>
              </w:rPr>
            </w:pPr>
            <w:r>
              <w:rPr>
                <w:rFonts w:ascii="仿宋" w:hAnsi="仿宋" w:eastAsia="仿宋" w:cs="仿宋"/>
                <w:sz w:val="21"/>
                <w:szCs w:val="21"/>
              </w:rPr>
              <w:t>昼</w:t>
            </w:r>
          </w:p>
        </w:tc>
        <w:tc>
          <w:tcPr>
            <w:tcW w:w="723" w:type="dxa"/>
            <w:tcBorders>
              <w:right w:val="nil"/>
            </w:tcBorders>
            <w:vAlign w:val="top"/>
          </w:tcPr>
          <w:p>
            <w:pPr>
              <w:spacing w:before="21" w:line="180" w:lineRule="auto"/>
              <w:ind w:left="269"/>
              <w:rPr>
                <w:rFonts w:ascii="仿宋" w:hAnsi="仿宋" w:eastAsia="仿宋" w:cs="仿宋"/>
                <w:sz w:val="21"/>
                <w:szCs w:val="21"/>
              </w:rPr>
            </w:pPr>
            <w:r>
              <w:rPr>
                <w:rFonts w:ascii="仿宋" w:hAnsi="仿宋" w:eastAsia="仿宋" w:cs="仿宋"/>
                <w:sz w:val="21"/>
                <w:szCs w:val="21"/>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1825" w:type="dxa"/>
            <w:tcBorders>
              <w:left w:val="nil"/>
              <w:bottom w:val="single" w:color="000000" w:sz="12" w:space="0"/>
            </w:tcBorders>
            <w:vAlign w:val="top"/>
          </w:tcPr>
          <w:p>
            <w:pPr>
              <w:spacing w:before="65" w:line="220" w:lineRule="auto"/>
              <w:ind w:left="409"/>
              <w:rPr>
                <w:rFonts w:ascii="仿宋" w:hAnsi="仿宋" w:eastAsia="仿宋" w:cs="仿宋"/>
                <w:sz w:val="21"/>
                <w:szCs w:val="21"/>
              </w:rPr>
            </w:pPr>
            <w:r>
              <w:rPr>
                <w:rFonts w:ascii="仿宋" w:hAnsi="仿宋" w:eastAsia="仿宋" w:cs="仿宋"/>
                <w:spacing w:val="-4"/>
                <w:sz w:val="21"/>
                <w:szCs w:val="21"/>
              </w:rPr>
              <w:t>大坝施工区</w:t>
            </w:r>
          </w:p>
        </w:tc>
        <w:tc>
          <w:tcPr>
            <w:tcW w:w="846" w:type="dxa"/>
            <w:tcBorders>
              <w:bottom w:val="single" w:color="000000" w:sz="12" w:space="0"/>
            </w:tcBorders>
            <w:vAlign w:val="top"/>
          </w:tcPr>
          <w:p>
            <w:pPr>
              <w:pStyle w:val="6"/>
              <w:spacing w:before="105" w:line="188" w:lineRule="auto"/>
              <w:ind w:left="244"/>
            </w:pPr>
            <w:r>
              <w:rPr>
                <w:spacing w:val="-2"/>
              </w:rPr>
              <w:t>90.4</w:t>
            </w:r>
          </w:p>
        </w:tc>
        <w:tc>
          <w:tcPr>
            <w:tcW w:w="851" w:type="dxa"/>
            <w:tcBorders>
              <w:bottom w:val="single" w:color="000000" w:sz="12" w:space="0"/>
            </w:tcBorders>
            <w:vAlign w:val="top"/>
          </w:tcPr>
          <w:p>
            <w:pPr>
              <w:pStyle w:val="6"/>
              <w:spacing w:before="105" w:line="188" w:lineRule="auto"/>
              <w:ind w:left="255"/>
            </w:pPr>
            <w:r>
              <w:rPr>
                <w:spacing w:val="-3"/>
              </w:rPr>
              <w:t>80.9</w:t>
            </w:r>
          </w:p>
        </w:tc>
        <w:tc>
          <w:tcPr>
            <w:tcW w:w="811" w:type="dxa"/>
            <w:tcBorders>
              <w:bottom w:val="single" w:color="000000" w:sz="12" w:space="0"/>
            </w:tcBorders>
            <w:vAlign w:val="top"/>
          </w:tcPr>
          <w:p>
            <w:pPr>
              <w:pStyle w:val="6"/>
              <w:spacing w:before="105" w:line="188" w:lineRule="auto"/>
              <w:ind w:left="228"/>
            </w:pPr>
            <w:r>
              <w:rPr>
                <w:spacing w:val="-2"/>
              </w:rPr>
              <w:t>76.4</w:t>
            </w:r>
          </w:p>
        </w:tc>
        <w:tc>
          <w:tcPr>
            <w:tcW w:w="807" w:type="dxa"/>
            <w:tcBorders>
              <w:bottom w:val="single" w:color="000000" w:sz="12" w:space="0"/>
            </w:tcBorders>
            <w:vAlign w:val="top"/>
          </w:tcPr>
          <w:p>
            <w:pPr>
              <w:pStyle w:val="6"/>
              <w:spacing w:before="105" w:line="188" w:lineRule="auto"/>
              <w:ind w:left="226"/>
            </w:pPr>
            <w:r>
              <w:rPr>
                <w:spacing w:val="-2"/>
              </w:rPr>
              <w:t>70.4</w:t>
            </w:r>
          </w:p>
        </w:tc>
        <w:tc>
          <w:tcPr>
            <w:tcW w:w="1015" w:type="dxa"/>
            <w:tcBorders>
              <w:bottom w:val="single" w:color="000000" w:sz="12" w:space="0"/>
            </w:tcBorders>
            <w:vAlign w:val="top"/>
          </w:tcPr>
          <w:p>
            <w:pPr>
              <w:pStyle w:val="6"/>
              <w:spacing w:before="105" w:line="188" w:lineRule="auto"/>
              <w:ind w:left="330"/>
            </w:pPr>
            <w:r>
              <w:rPr>
                <w:spacing w:val="-2"/>
              </w:rPr>
              <w:t>66.9</w:t>
            </w:r>
          </w:p>
        </w:tc>
        <w:tc>
          <w:tcPr>
            <w:tcW w:w="819" w:type="dxa"/>
            <w:tcBorders>
              <w:bottom w:val="single" w:color="000000" w:sz="12" w:space="0"/>
            </w:tcBorders>
            <w:vAlign w:val="top"/>
          </w:tcPr>
          <w:p>
            <w:pPr>
              <w:pStyle w:val="6"/>
              <w:spacing w:before="105" w:line="188" w:lineRule="auto"/>
              <w:ind w:left="231"/>
            </w:pPr>
            <w:r>
              <w:rPr>
                <w:spacing w:val="-2"/>
              </w:rPr>
              <w:t>64.4</w:t>
            </w:r>
          </w:p>
        </w:tc>
        <w:tc>
          <w:tcPr>
            <w:tcW w:w="840" w:type="dxa"/>
            <w:tcBorders>
              <w:bottom w:val="single" w:color="000000" w:sz="12" w:space="0"/>
            </w:tcBorders>
            <w:vAlign w:val="top"/>
          </w:tcPr>
          <w:p>
            <w:pPr>
              <w:pStyle w:val="6"/>
              <w:spacing w:before="102" w:line="188" w:lineRule="auto"/>
              <w:ind w:left="310"/>
            </w:pPr>
            <w:r>
              <w:rPr>
                <w:spacing w:val="-2"/>
              </w:rPr>
              <w:t>70</w:t>
            </w:r>
          </w:p>
        </w:tc>
        <w:tc>
          <w:tcPr>
            <w:tcW w:w="723" w:type="dxa"/>
            <w:tcBorders>
              <w:bottom w:val="single" w:color="000000" w:sz="12" w:space="0"/>
              <w:right w:val="nil"/>
            </w:tcBorders>
            <w:vAlign w:val="top"/>
          </w:tcPr>
          <w:p>
            <w:pPr>
              <w:pStyle w:val="6"/>
              <w:spacing w:before="105" w:line="185" w:lineRule="auto"/>
              <w:ind w:left="317"/>
            </w:pPr>
            <w:r>
              <w:rPr>
                <w:spacing w:val="-3"/>
              </w:rPr>
              <w:t>55</w:t>
            </w:r>
          </w:p>
        </w:tc>
      </w:tr>
    </w:tbl>
    <w:p>
      <w:pPr>
        <w:spacing w:before="35" w:line="360" w:lineRule="auto"/>
        <w:ind w:left="134" w:right="206" w:firstLine="478"/>
        <w:rPr>
          <w:rFonts w:ascii="宋体" w:hAnsi="宋体" w:eastAsia="宋体" w:cs="宋体"/>
          <w:sz w:val="24"/>
          <w:szCs w:val="24"/>
        </w:rPr>
      </w:pPr>
      <w:r>
        <w:rPr>
          <w:rFonts w:ascii="宋体" w:hAnsi="宋体" w:eastAsia="宋体" w:cs="宋体"/>
          <w:spacing w:val="-7"/>
          <w:sz w:val="24"/>
          <w:szCs w:val="24"/>
        </w:rPr>
        <w:t>库区枢纽工程距离李子地村</w:t>
      </w:r>
      <w:r>
        <w:rPr>
          <w:rFonts w:ascii="宋体" w:hAnsi="宋体" w:eastAsia="宋体" w:cs="宋体"/>
          <w:spacing w:val="-46"/>
          <w:sz w:val="24"/>
          <w:szCs w:val="24"/>
        </w:rPr>
        <w:t xml:space="preserve"> </w:t>
      </w:r>
      <w:r>
        <w:rPr>
          <w:rFonts w:ascii="Times New Roman" w:hAnsi="Times New Roman" w:eastAsia="Times New Roman" w:cs="Times New Roman"/>
          <w:spacing w:val="-7"/>
          <w:sz w:val="24"/>
          <w:szCs w:val="24"/>
        </w:rPr>
        <w:t>90m</w:t>
      </w:r>
      <w:r>
        <w:rPr>
          <w:rFonts w:ascii="宋体" w:hAnsi="宋体" w:eastAsia="宋体" w:cs="宋体"/>
          <w:spacing w:val="-7"/>
          <w:sz w:val="24"/>
          <w:szCs w:val="24"/>
        </w:rPr>
        <w:t>，施工噪声对其影响大， 应采取合理安排施</w:t>
      </w:r>
      <w:r>
        <w:rPr>
          <w:rFonts w:ascii="宋体" w:hAnsi="宋体" w:eastAsia="宋体" w:cs="宋体"/>
          <w:sz w:val="24"/>
          <w:szCs w:val="24"/>
        </w:rPr>
        <w:t xml:space="preserve"> </w:t>
      </w:r>
      <w:r>
        <w:rPr>
          <w:rFonts w:ascii="宋体" w:hAnsi="宋体" w:eastAsia="宋体" w:cs="宋体"/>
          <w:spacing w:val="-3"/>
          <w:sz w:val="24"/>
          <w:szCs w:val="24"/>
        </w:rPr>
        <w:t>工时间、禁止夜间施工、加强施工管理、设置施工围挡等措施降低噪声对李</w:t>
      </w:r>
      <w:r>
        <w:rPr>
          <w:rFonts w:ascii="宋体" w:hAnsi="宋体" w:eastAsia="宋体" w:cs="宋体"/>
          <w:spacing w:val="-4"/>
          <w:sz w:val="24"/>
          <w:szCs w:val="24"/>
        </w:rPr>
        <w:t>子地</w:t>
      </w:r>
    </w:p>
    <w:p>
      <w:pPr>
        <w:spacing w:before="1" w:line="218" w:lineRule="auto"/>
        <w:ind w:left="132"/>
        <w:rPr>
          <w:rFonts w:ascii="宋体" w:hAnsi="宋体" w:eastAsia="宋体" w:cs="宋体"/>
          <w:sz w:val="24"/>
          <w:szCs w:val="24"/>
        </w:rPr>
      </w:pPr>
      <w:r>
        <w:rPr>
          <w:rFonts w:ascii="宋体" w:hAnsi="宋体" w:eastAsia="宋体" w:cs="宋体"/>
          <w:spacing w:val="-2"/>
          <w:sz w:val="24"/>
          <w:szCs w:val="24"/>
        </w:rPr>
        <w:t>村声环境影响。</w:t>
      </w:r>
    </w:p>
    <w:p>
      <w:pPr>
        <w:spacing w:before="183" w:line="220" w:lineRule="auto"/>
        <w:ind w:left="618"/>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）砂石料加工区噪声影响分析</w:t>
      </w:r>
    </w:p>
    <w:p>
      <w:pPr>
        <w:spacing w:before="180" w:line="467" w:lineRule="exact"/>
        <w:jc w:val="right"/>
        <w:rPr>
          <w:rFonts w:ascii="宋体" w:hAnsi="宋体" w:eastAsia="宋体" w:cs="宋体"/>
          <w:sz w:val="24"/>
          <w:szCs w:val="24"/>
        </w:rPr>
      </w:pPr>
      <w:r>
        <w:rPr>
          <w:rFonts w:ascii="宋体" w:hAnsi="宋体" w:eastAsia="宋体" w:cs="宋体"/>
          <w:spacing w:val="-4"/>
          <w:position w:val="17"/>
          <w:sz w:val="24"/>
          <w:szCs w:val="24"/>
        </w:rPr>
        <w:t>砂石料加工区采用点声源的几何发散衰减模式进行噪声预测，预测公式同上。</w:t>
      </w:r>
    </w:p>
    <w:p>
      <w:pPr>
        <w:spacing w:before="1" w:line="219" w:lineRule="auto"/>
        <w:ind w:left="160"/>
        <w:rPr>
          <w:rFonts w:ascii="宋体" w:hAnsi="宋体" w:eastAsia="宋体" w:cs="宋体"/>
          <w:sz w:val="24"/>
          <w:szCs w:val="24"/>
        </w:rPr>
      </w:pPr>
      <w:r>
        <w:rPr>
          <w:rFonts w:ascii="宋体" w:hAnsi="宋体" w:eastAsia="宋体" w:cs="宋体"/>
          <w:spacing w:val="-1"/>
          <w:sz w:val="24"/>
          <w:szCs w:val="24"/>
        </w:rPr>
        <w:t>由上式可计算出噪声值随距离衰减及叠加的变化情况，具体见表</w:t>
      </w:r>
      <w:r>
        <w:rPr>
          <w:rFonts w:ascii="宋体" w:hAnsi="宋体" w:eastAsia="宋体" w:cs="宋体"/>
          <w:spacing w:val="-2"/>
          <w:sz w:val="24"/>
          <w:szCs w:val="24"/>
        </w:rPr>
        <w:t>表</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4.6-2</w:t>
      </w:r>
      <w:r>
        <w:rPr>
          <w:rFonts w:ascii="宋体" w:hAnsi="宋体" w:eastAsia="宋体" w:cs="宋体"/>
          <w:spacing w:val="-2"/>
          <w:sz w:val="24"/>
          <w:szCs w:val="24"/>
        </w:rPr>
        <w:t>。</w:t>
      </w:r>
    </w:p>
    <w:p>
      <w:pPr>
        <w:spacing w:line="246" w:lineRule="auto"/>
        <w:rPr>
          <w:rFonts w:ascii="Arial"/>
          <w:sz w:val="21"/>
        </w:rPr>
      </w:pPr>
    </w:p>
    <w:p>
      <w:pPr>
        <w:pStyle w:val="2"/>
        <w:spacing w:before="69" w:line="218" w:lineRule="auto"/>
        <w:ind w:left="1755"/>
      </w:pPr>
      <w:r>
        <w:rPr>
          <w14:textOutline w14:w="3810" w14:cap="flat" w14:cmpd="sng">
            <w14:solidFill>
              <w14:srgbClr w14:val="000000"/>
            </w14:solidFill>
            <w14:prstDash w14:val="solid"/>
            <w14:miter w14:val="0"/>
          </w14:textOutline>
        </w:rPr>
        <w:t>表</w:t>
      </w:r>
      <w:r>
        <w:rPr>
          <w:spacing w:val="-45"/>
        </w:rPr>
        <w:t xml:space="preserve"> </w:t>
      </w:r>
      <w:r>
        <w:rPr>
          <w:rFonts w:ascii="Times New Roman" w:hAnsi="Times New Roman" w:eastAsia="Times New Roman" w:cs="Times New Roman"/>
          <w:b/>
          <w:bCs/>
        </w:rPr>
        <w:t xml:space="preserve">46-2    </w:t>
      </w:r>
      <w:r>
        <w:rPr>
          <w14:textOutline w14:w="3810" w14:cap="flat" w14:cmpd="sng">
            <w14:solidFill>
              <w14:srgbClr w14:val="000000"/>
            </w14:solidFill>
            <w14:prstDash w14:val="solid"/>
            <w14:miter w14:val="0"/>
          </w14:textOutline>
        </w:rPr>
        <w:t>砂石料加工区噪声衰减贡献值</w:t>
      </w:r>
      <w:r>
        <w:t xml:space="preserve">    </w:t>
      </w:r>
      <w:r>
        <w:rPr>
          <w14:textOutline w14:w="3810" w14:cap="flat" w14:cmpd="sng">
            <w14:solidFill>
              <w14:srgbClr w14:val="000000"/>
            </w14:solidFill>
            <w14:prstDash w14:val="solid"/>
            <w14:miter w14:val="0"/>
          </w14:textOutline>
        </w:rPr>
        <w:t>单位：</w:t>
      </w:r>
      <w:r>
        <w:rPr>
          <w:rFonts w:ascii="Times New Roman" w:hAnsi="Times New Roman" w:eastAsia="Times New Roman" w:cs="Times New Roman"/>
          <w:b/>
          <w:bCs/>
        </w:rPr>
        <w:t>dB</w:t>
      </w:r>
      <w:r>
        <w:rPr>
          <w14:textOutline w14:w="3810" w14:cap="flat" w14:cmpd="sng">
            <w14:solidFill>
              <w14:srgbClr w14:val="000000"/>
            </w14:solidFill>
            <w14:prstDash w14:val="solid"/>
            <w14:miter w14:val="0"/>
          </w14:textOutline>
        </w:rPr>
        <w:t>（</w:t>
      </w:r>
      <w:r>
        <w:rPr>
          <w:rFonts w:ascii="Times New Roman" w:hAnsi="Times New Roman" w:eastAsia="Times New Roman" w:cs="Times New Roman"/>
          <w:b/>
          <w:bCs/>
          <w:spacing w:val="-1"/>
        </w:rPr>
        <w:t>A</w:t>
      </w:r>
      <w:r>
        <w:rPr>
          <w:spacing w:val="-1"/>
          <w14:textOutline w14:w="3810" w14:cap="flat" w14:cmpd="sng">
            <w14:solidFill>
              <w14:srgbClr w14:val="000000"/>
            </w14:solidFill>
            <w14:prstDash w14:val="solid"/>
            <w14:miter w14:val="0"/>
          </w14:textOutline>
        </w:rPr>
        <w:t>）</w:t>
      </w:r>
    </w:p>
    <w:p>
      <w:pPr>
        <w:spacing w:line="20" w:lineRule="exact"/>
      </w:pPr>
    </w:p>
    <w:tbl>
      <w:tblPr>
        <w:tblStyle w:val="5"/>
        <w:tblW w:w="853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5"/>
        <w:gridCol w:w="846"/>
        <w:gridCol w:w="851"/>
        <w:gridCol w:w="811"/>
        <w:gridCol w:w="807"/>
        <w:gridCol w:w="1015"/>
        <w:gridCol w:w="819"/>
        <w:gridCol w:w="840"/>
        <w:gridCol w:w="72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5" w:hRule="atLeast"/>
        </w:trPr>
        <w:tc>
          <w:tcPr>
            <w:tcW w:w="1825" w:type="dxa"/>
            <w:vMerge w:val="restart"/>
            <w:tcBorders>
              <w:top w:val="single" w:color="000000" w:sz="12" w:space="0"/>
              <w:left w:val="nil"/>
              <w:bottom w:val="nil"/>
              <w:tl2br w:val="single" w:color="000000" w:sz="2" w:space="0"/>
            </w:tcBorders>
            <w:vAlign w:val="top"/>
          </w:tcPr>
          <w:p>
            <w:pPr>
              <w:pStyle w:val="6"/>
              <w:spacing w:before="16" w:line="198" w:lineRule="auto"/>
              <w:ind w:left="135" w:right="63" w:firstLine="633"/>
              <w:rPr>
                <w:rFonts w:ascii="仿宋" w:hAnsi="仿宋" w:eastAsia="仿宋" w:cs="仿宋"/>
              </w:rPr>
            </w:pPr>
            <w:r>
              <w:rPr>
                <w:rFonts w:ascii="仿宋" w:hAnsi="仿宋" w:eastAsia="仿宋" w:cs="仿宋"/>
                <w:spacing w:val="-6"/>
                <w14:textOutline w14:w="3810" w14:cap="flat" w14:cmpd="sng">
                  <w14:solidFill>
                    <w14:srgbClr w14:val="000000"/>
                  </w14:solidFill>
                  <w14:prstDash w14:val="solid"/>
                  <w14:miter w14:val="0"/>
                </w14:textOutline>
              </w:rPr>
              <w:t>距离（</w:t>
            </w:r>
            <w:r>
              <w:rPr>
                <w:b/>
                <w:bCs/>
                <w:spacing w:val="-6"/>
              </w:rPr>
              <w:t>m</w:t>
            </w:r>
            <w:r>
              <w:rPr>
                <w:rFonts w:ascii="仿宋" w:hAnsi="仿宋" w:eastAsia="仿宋" w:cs="仿宋"/>
                <w:spacing w:val="-6"/>
                <w14:textOutline w14:w="3810" w14:cap="flat" w14:cmpd="sng">
                  <w14:solidFill>
                    <w14:srgbClr w14:val="000000"/>
                  </w14:solidFill>
                  <w14:prstDash w14:val="solid"/>
                  <w14:miter w14:val="0"/>
                </w14:textOutline>
              </w:rPr>
              <w:t>）</w:t>
            </w:r>
            <w:r>
              <w:rPr>
                <w:rFonts w:ascii="仿宋" w:hAnsi="仿宋" w:eastAsia="仿宋" w:cs="仿宋"/>
                <w:spacing w:val="3"/>
              </w:rPr>
              <w:t xml:space="preserve"> </w:t>
            </w:r>
            <w:r>
              <w:rPr>
                <w:rFonts w:ascii="仿宋" w:hAnsi="仿宋" w:eastAsia="仿宋" w:cs="仿宋"/>
                <w:spacing w:val="-2"/>
                <w14:textOutline w14:w="3810" w14:cap="flat" w14:cmpd="sng">
                  <w14:solidFill>
                    <w14:srgbClr w14:val="000000"/>
                  </w14:solidFill>
                  <w14:prstDash w14:val="solid"/>
                  <w14:miter w14:val="0"/>
                </w14:textOutline>
              </w:rPr>
              <w:t>施工阶段</w:t>
            </w:r>
          </w:p>
        </w:tc>
        <w:tc>
          <w:tcPr>
            <w:tcW w:w="5149" w:type="dxa"/>
            <w:gridSpan w:val="6"/>
            <w:tcBorders>
              <w:top w:val="single" w:color="000000" w:sz="12" w:space="0"/>
            </w:tcBorders>
            <w:vAlign w:val="top"/>
          </w:tcPr>
          <w:p>
            <w:pPr>
              <w:spacing w:before="11" w:line="188" w:lineRule="auto"/>
              <w:ind w:left="1748"/>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噪声随距离衰减贡献值</w:t>
            </w:r>
          </w:p>
        </w:tc>
        <w:tc>
          <w:tcPr>
            <w:tcW w:w="1563" w:type="dxa"/>
            <w:gridSpan w:val="2"/>
            <w:tcBorders>
              <w:top w:val="single" w:color="000000" w:sz="12" w:space="0"/>
              <w:right w:val="nil"/>
            </w:tcBorders>
            <w:vAlign w:val="top"/>
          </w:tcPr>
          <w:p>
            <w:pPr>
              <w:spacing w:before="11" w:line="188" w:lineRule="auto"/>
              <w:ind w:left="367"/>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37" w:hRule="atLeast"/>
        </w:trPr>
        <w:tc>
          <w:tcPr>
            <w:tcW w:w="1825" w:type="dxa"/>
            <w:vMerge w:val="continue"/>
            <w:tcBorders>
              <w:top w:val="nil"/>
              <w:left w:val="nil"/>
              <w:tl2br w:val="single" w:color="000000" w:sz="2" w:space="0"/>
            </w:tcBorders>
            <w:vAlign w:val="top"/>
          </w:tcPr>
          <w:p>
            <w:pPr>
              <w:rPr>
                <w:rFonts w:ascii="Arial"/>
                <w:sz w:val="21"/>
              </w:rPr>
            </w:pPr>
          </w:p>
        </w:tc>
        <w:tc>
          <w:tcPr>
            <w:tcW w:w="846" w:type="dxa"/>
            <w:vAlign w:val="top"/>
          </w:tcPr>
          <w:p>
            <w:pPr>
              <w:pStyle w:val="6"/>
              <w:spacing w:before="58" w:line="167" w:lineRule="auto"/>
              <w:ind w:left="327"/>
            </w:pPr>
            <w:r>
              <w:rPr>
                <w:spacing w:val="-6"/>
              </w:rPr>
              <w:t>10</w:t>
            </w:r>
          </w:p>
        </w:tc>
        <w:tc>
          <w:tcPr>
            <w:tcW w:w="851" w:type="dxa"/>
            <w:vAlign w:val="top"/>
          </w:tcPr>
          <w:p>
            <w:pPr>
              <w:pStyle w:val="6"/>
              <w:spacing w:before="58" w:line="167" w:lineRule="auto"/>
              <w:ind w:left="329"/>
            </w:pPr>
            <w:r>
              <w:rPr>
                <w:spacing w:val="-3"/>
              </w:rPr>
              <w:t>30</w:t>
            </w:r>
          </w:p>
        </w:tc>
        <w:tc>
          <w:tcPr>
            <w:tcW w:w="811" w:type="dxa"/>
            <w:vAlign w:val="top"/>
          </w:tcPr>
          <w:p>
            <w:pPr>
              <w:pStyle w:val="6"/>
              <w:spacing w:before="58" w:line="167" w:lineRule="auto"/>
              <w:ind w:left="310"/>
            </w:pPr>
            <w:r>
              <w:rPr>
                <w:spacing w:val="-3"/>
              </w:rPr>
              <w:t>50</w:t>
            </w:r>
          </w:p>
        </w:tc>
        <w:tc>
          <w:tcPr>
            <w:tcW w:w="807" w:type="dxa"/>
            <w:vAlign w:val="top"/>
          </w:tcPr>
          <w:p>
            <w:pPr>
              <w:pStyle w:val="6"/>
              <w:spacing w:before="58" w:line="167" w:lineRule="auto"/>
              <w:ind w:left="269"/>
            </w:pPr>
            <w:r>
              <w:rPr>
                <w:spacing w:val="-6"/>
              </w:rPr>
              <w:t>100</w:t>
            </w:r>
          </w:p>
        </w:tc>
        <w:tc>
          <w:tcPr>
            <w:tcW w:w="1015" w:type="dxa"/>
            <w:vAlign w:val="top"/>
          </w:tcPr>
          <w:p>
            <w:pPr>
              <w:pStyle w:val="6"/>
              <w:spacing w:before="58" w:line="167" w:lineRule="auto"/>
              <w:ind w:left="372"/>
            </w:pPr>
            <w:r>
              <w:rPr>
                <w:spacing w:val="-6"/>
              </w:rPr>
              <w:t>150</w:t>
            </w:r>
          </w:p>
        </w:tc>
        <w:tc>
          <w:tcPr>
            <w:tcW w:w="819" w:type="dxa"/>
            <w:vAlign w:val="top"/>
          </w:tcPr>
          <w:p>
            <w:pPr>
              <w:pStyle w:val="6"/>
              <w:spacing w:before="58" w:line="167" w:lineRule="auto"/>
              <w:ind w:left="252"/>
            </w:pPr>
            <w:r>
              <w:rPr>
                <w:spacing w:val="-2"/>
              </w:rPr>
              <w:t>200</w:t>
            </w:r>
          </w:p>
        </w:tc>
        <w:tc>
          <w:tcPr>
            <w:tcW w:w="840" w:type="dxa"/>
            <w:vAlign w:val="top"/>
          </w:tcPr>
          <w:p>
            <w:pPr>
              <w:spacing w:before="22" w:line="180" w:lineRule="auto"/>
              <w:ind w:left="325"/>
              <w:rPr>
                <w:rFonts w:ascii="仿宋" w:hAnsi="仿宋" w:eastAsia="仿宋" w:cs="仿宋"/>
                <w:sz w:val="21"/>
                <w:szCs w:val="21"/>
              </w:rPr>
            </w:pPr>
            <w:r>
              <w:rPr>
                <w:rFonts w:ascii="仿宋" w:hAnsi="仿宋" w:eastAsia="仿宋" w:cs="仿宋"/>
                <w:sz w:val="21"/>
                <w:szCs w:val="21"/>
              </w:rPr>
              <w:t>昼</w:t>
            </w:r>
          </w:p>
        </w:tc>
        <w:tc>
          <w:tcPr>
            <w:tcW w:w="723" w:type="dxa"/>
            <w:tcBorders>
              <w:right w:val="nil"/>
            </w:tcBorders>
            <w:vAlign w:val="top"/>
          </w:tcPr>
          <w:p>
            <w:pPr>
              <w:spacing w:before="22" w:line="180" w:lineRule="auto"/>
              <w:ind w:left="269"/>
              <w:rPr>
                <w:rFonts w:ascii="仿宋" w:hAnsi="仿宋" w:eastAsia="仿宋" w:cs="仿宋"/>
                <w:sz w:val="21"/>
                <w:szCs w:val="21"/>
              </w:rPr>
            </w:pPr>
            <w:r>
              <w:rPr>
                <w:rFonts w:ascii="仿宋" w:hAnsi="仿宋" w:eastAsia="仿宋" w:cs="仿宋"/>
                <w:sz w:val="21"/>
                <w:szCs w:val="21"/>
              </w:rPr>
              <w:t>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0" w:hRule="atLeast"/>
        </w:trPr>
        <w:tc>
          <w:tcPr>
            <w:tcW w:w="1825" w:type="dxa"/>
            <w:tcBorders>
              <w:left w:val="nil"/>
              <w:bottom w:val="single" w:color="000000" w:sz="12" w:space="0"/>
            </w:tcBorders>
            <w:vAlign w:val="top"/>
          </w:tcPr>
          <w:p>
            <w:pPr>
              <w:spacing w:before="65" w:line="216" w:lineRule="auto"/>
              <w:ind w:left="301"/>
              <w:rPr>
                <w:rFonts w:ascii="仿宋" w:hAnsi="仿宋" w:eastAsia="仿宋" w:cs="仿宋"/>
                <w:sz w:val="21"/>
                <w:szCs w:val="21"/>
              </w:rPr>
            </w:pPr>
            <w:r>
              <w:rPr>
                <w:rFonts w:ascii="仿宋" w:hAnsi="仿宋" w:eastAsia="仿宋" w:cs="仿宋"/>
                <w:spacing w:val="-2"/>
                <w:sz w:val="21"/>
                <w:szCs w:val="21"/>
              </w:rPr>
              <w:t>砂石料加工区</w:t>
            </w:r>
          </w:p>
        </w:tc>
        <w:tc>
          <w:tcPr>
            <w:tcW w:w="846" w:type="dxa"/>
            <w:tcBorders>
              <w:bottom w:val="single" w:color="000000" w:sz="12" w:space="0"/>
            </w:tcBorders>
            <w:vAlign w:val="top"/>
          </w:tcPr>
          <w:p>
            <w:pPr>
              <w:pStyle w:val="6"/>
              <w:spacing w:before="106" w:line="188" w:lineRule="auto"/>
              <w:ind w:left="328"/>
            </w:pPr>
            <w:r>
              <w:rPr>
                <w:spacing w:val="-7"/>
              </w:rPr>
              <w:t>84</w:t>
            </w:r>
          </w:p>
        </w:tc>
        <w:tc>
          <w:tcPr>
            <w:tcW w:w="851" w:type="dxa"/>
            <w:tcBorders>
              <w:bottom w:val="single" w:color="000000" w:sz="12" w:space="0"/>
            </w:tcBorders>
            <w:vAlign w:val="top"/>
          </w:tcPr>
          <w:p>
            <w:pPr>
              <w:pStyle w:val="6"/>
              <w:spacing w:before="106" w:line="188" w:lineRule="auto"/>
              <w:ind w:left="251"/>
            </w:pPr>
            <w:r>
              <w:rPr>
                <w:spacing w:val="-2"/>
              </w:rPr>
              <w:t>68.0</w:t>
            </w:r>
          </w:p>
        </w:tc>
        <w:tc>
          <w:tcPr>
            <w:tcW w:w="811" w:type="dxa"/>
            <w:tcBorders>
              <w:bottom w:val="single" w:color="000000" w:sz="12" w:space="0"/>
            </w:tcBorders>
            <w:vAlign w:val="top"/>
          </w:tcPr>
          <w:p>
            <w:pPr>
              <w:pStyle w:val="6"/>
              <w:spacing w:before="106" w:line="188" w:lineRule="auto"/>
              <w:ind w:left="230"/>
            </w:pPr>
            <w:r>
              <w:rPr>
                <w:spacing w:val="-2"/>
              </w:rPr>
              <w:t>62.0</w:t>
            </w:r>
          </w:p>
        </w:tc>
        <w:tc>
          <w:tcPr>
            <w:tcW w:w="807" w:type="dxa"/>
            <w:tcBorders>
              <w:bottom w:val="single" w:color="000000" w:sz="12" w:space="0"/>
            </w:tcBorders>
            <w:vAlign w:val="top"/>
          </w:tcPr>
          <w:p>
            <w:pPr>
              <w:pStyle w:val="6"/>
              <w:spacing w:before="106" w:line="188" w:lineRule="auto"/>
              <w:ind w:left="228"/>
            </w:pPr>
            <w:r>
              <w:rPr>
                <w:spacing w:val="-3"/>
              </w:rPr>
              <w:t>56.0</w:t>
            </w:r>
          </w:p>
        </w:tc>
        <w:tc>
          <w:tcPr>
            <w:tcW w:w="1015" w:type="dxa"/>
            <w:tcBorders>
              <w:bottom w:val="single" w:color="000000" w:sz="12" w:space="0"/>
            </w:tcBorders>
            <w:vAlign w:val="top"/>
          </w:tcPr>
          <w:p>
            <w:pPr>
              <w:pStyle w:val="6"/>
              <w:spacing w:before="106" w:line="188" w:lineRule="auto"/>
              <w:ind w:left="331"/>
            </w:pPr>
            <w:r>
              <w:rPr>
                <w:spacing w:val="-3"/>
              </w:rPr>
              <w:t>52.5</w:t>
            </w:r>
          </w:p>
        </w:tc>
        <w:tc>
          <w:tcPr>
            <w:tcW w:w="819" w:type="dxa"/>
            <w:tcBorders>
              <w:bottom w:val="single" w:color="000000" w:sz="12" w:space="0"/>
            </w:tcBorders>
            <w:vAlign w:val="top"/>
          </w:tcPr>
          <w:p>
            <w:pPr>
              <w:pStyle w:val="6"/>
              <w:spacing w:before="106" w:line="188" w:lineRule="auto"/>
              <w:ind w:left="232"/>
            </w:pPr>
            <w:r>
              <w:rPr>
                <w:spacing w:val="-3"/>
              </w:rPr>
              <w:t>50.0</w:t>
            </w:r>
          </w:p>
        </w:tc>
        <w:tc>
          <w:tcPr>
            <w:tcW w:w="840" w:type="dxa"/>
            <w:tcBorders>
              <w:bottom w:val="single" w:color="000000" w:sz="12" w:space="0"/>
            </w:tcBorders>
            <w:vAlign w:val="top"/>
          </w:tcPr>
          <w:p>
            <w:pPr>
              <w:pStyle w:val="6"/>
              <w:spacing w:before="102" w:line="188" w:lineRule="auto"/>
              <w:ind w:left="310"/>
            </w:pPr>
            <w:r>
              <w:rPr>
                <w:spacing w:val="-2"/>
              </w:rPr>
              <w:t>70</w:t>
            </w:r>
          </w:p>
        </w:tc>
        <w:tc>
          <w:tcPr>
            <w:tcW w:w="723" w:type="dxa"/>
            <w:tcBorders>
              <w:bottom w:val="single" w:color="000000" w:sz="12" w:space="0"/>
              <w:right w:val="nil"/>
            </w:tcBorders>
            <w:vAlign w:val="top"/>
          </w:tcPr>
          <w:p>
            <w:pPr>
              <w:pStyle w:val="6"/>
              <w:spacing w:before="105" w:line="185" w:lineRule="auto"/>
              <w:ind w:left="317"/>
            </w:pPr>
            <w:r>
              <w:rPr>
                <w:spacing w:val="-3"/>
              </w:rPr>
              <w:t>55</w:t>
            </w:r>
          </w:p>
        </w:tc>
      </w:tr>
    </w:tbl>
    <w:p>
      <w:pPr>
        <w:spacing w:before="36" w:line="359" w:lineRule="auto"/>
        <w:ind w:left="134" w:right="206" w:firstLine="476"/>
        <w:jc w:val="both"/>
        <w:rPr>
          <w:rFonts w:ascii="宋体" w:hAnsi="宋体" w:eastAsia="宋体" w:cs="宋体"/>
          <w:sz w:val="24"/>
          <w:szCs w:val="24"/>
        </w:rPr>
      </w:pPr>
      <w:r>
        <w:rPr>
          <w:rFonts w:ascii="宋体" w:hAnsi="宋体" w:eastAsia="宋体" w:cs="宋体"/>
          <w:spacing w:val="-7"/>
          <w:sz w:val="24"/>
          <w:szCs w:val="24"/>
        </w:rPr>
        <w:t>砂石料加工区距离岔处地村</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80m</w:t>
      </w:r>
      <w:r>
        <w:rPr>
          <w:rFonts w:ascii="宋体" w:hAnsi="宋体" w:eastAsia="宋体" w:cs="宋体"/>
          <w:spacing w:val="-7"/>
          <w:sz w:val="24"/>
          <w:szCs w:val="24"/>
        </w:rPr>
        <w:t>，施工噪声对其影响大， 应采取合理安排施</w:t>
      </w:r>
      <w:r>
        <w:rPr>
          <w:rFonts w:ascii="宋体" w:hAnsi="宋体" w:eastAsia="宋体" w:cs="宋体"/>
          <w:sz w:val="24"/>
          <w:szCs w:val="24"/>
        </w:rPr>
        <w:t xml:space="preserve"> </w:t>
      </w:r>
      <w:r>
        <w:rPr>
          <w:rFonts w:ascii="宋体" w:hAnsi="宋体" w:eastAsia="宋体" w:cs="宋体"/>
          <w:spacing w:val="-3"/>
          <w:sz w:val="24"/>
          <w:szCs w:val="24"/>
        </w:rPr>
        <w:t>工时间、禁止夜间施工、加强施工管理、封闭厂房隔声等措施降低噪声对岔</w:t>
      </w:r>
      <w:r>
        <w:rPr>
          <w:rFonts w:ascii="宋体" w:hAnsi="宋体" w:eastAsia="宋体" w:cs="宋体"/>
          <w:spacing w:val="-4"/>
          <w:sz w:val="24"/>
          <w:szCs w:val="24"/>
        </w:rPr>
        <w:t>处地</w:t>
      </w:r>
    </w:p>
    <w:p>
      <w:pPr>
        <w:spacing w:before="1" w:line="218" w:lineRule="auto"/>
        <w:ind w:left="132"/>
        <w:rPr>
          <w:rFonts w:ascii="宋体" w:hAnsi="宋体" w:eastAsia="宋体" w:cs="宋体"/>
          <w:sz w:val="24"/>
          <w:szCs w:val="24"/>
        </w:rPr>
      </w:pPr>
      <w:r>
        <w:rPr>
          <w:rFonts w:ascii="宋体" w:hAnsi="宋体" w:eastAsia="宋体" w:cs="宋体"/>
          <w:spacing w:val="-2"/>
          <w:sz w:val="24"/>
          <w:szCs w:val="24"/>
        </w:rPr>
        <w:t>村声环境影响。</w:t>
      </w:r>
    </w:p>
    <w:p>
      <w:pPr>
        <w:spacing w:line="218" w:lineRule="auto"/>
        <w:rPr>
          <w:rFonts w:ascii="宋体" w:hAnsi="宋体" w:eastAsia="宋体" w:cs="宋体"/>
          <w:sz w:val="24"/>
          <w:szCs w:val="24"/>
        </w:rPr>
        <w:sectPr>
          <w:headerReference r:id="rId418" w:type="default"/>
          <w:footerReference r:id="rId419" w:type="default"/>
          <w:pgSz w:w="11907" w:h="16839"/>
          <w:pgMar w:top="1156" w:right="1592" w:bottom="1374" w:left="1678" w:header="881" w:footer="1210" w:gutter="0"/>
        </w:sectPr>
      </w:pPr>
    </w:p>
    <w:p>
      <w:pPr>
        <w:rPr>
          <w:rFonts w:ascii="Arial"/>
          <w:sz w:val="21"/>
        </w:rPr>
      </w:pPr>
    </w:p>
    <w:p>
      <w:pPr>
        <w:spacing w:before="78" w:line="218"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）爆破噪声</w:t>
      </w:r>
    </w:p>
    <w:p>
      <w:pPr>
        <w:spacing w:before="183" w:line="359" w:lineRule="auto"/>
        <w:ind w:left="38" w:right="30" w:firstLine="481"/>
        <w:rPr>
          <w:rFonts w:ascii="宋体" w:hAnsi="宋体" w:eastAsia="宋体" w:cs="宋体"/>
          <w:sz w:val="24"/>
          <w:szCs w:val="24"/>
        </w:rPr>
      </w:pPr>
      <w:r>
        <w:rPr>
          <w:rFonts w:ascii="宋体" w:hAnsi="宋体" w:eastAsia="宋体" w:cs="宋体"/>
          <w:spacing w:val="-3"/>
          <w:sz w:val="24"/>
          <w:szCs w:val="24"/>
        </w:rPr>
        <w:t>开采爆破噪声与其它生产活动产生的噪声具有不同时段性。由</w:t>
      </w:r>
      <w:r>
        <w:rPr>
          <w:rFonts w:ascii="宋体" w:hAnsi="宋体" w:eastAsia="宋体" w:cs="宋体"/>
          <w:spacing w:val="-4"/>
          <w:sz w:val="24"/>
          <w:szCs w:val="24"/>
        </w:rPr>
        <w:t>于爆破时间极</w:t>
      </w:r>
      <w:r>
        <w:rPr>
          <w:rFonts w:ascii="宋体" w:hAnsi="宋体" w:eastAsia="宋体" w:cs="宋体"/>
          <w:sz w:val="24"/>
          <w:szCs w:val="24"/>
        </w:rPr>
        <w:t xml:space="preserve"> </w:t>
      </w:r>
      <w:r>
        <w:rPr>
          <w:rFonts w:ascii="宋体" w:hAnsi="宋体" w:eastAsia="宋体" w:cs="宋体"/>
          <w:spacing w:val="-10"/>
          <w:sz w:val="24"/>
          <w:szCs w:val="24"/>
        </w:rPr>
        <w:t>短，</w:t>
      </w:r>
      <w:r>
        <w:rPr>
          <w:rFonts w:ascii="宋体" w:hAnsi="宋体" w:eastAsia="宋体" w:cs="宋体"/>
          <w:spacing w:val="-31"/>
          <w:sz w:val="24"/>
          <w:szCs w:val="24"/>
        </w:rPr>
        <w:t xml:space="preserve"> </w:t>
      </w:r>
      <w:r>
        <w:rPr>
          <w:rFonts w:ascii="宋体" w:hAnsi="宋体" w:eastAsia="宋体" w:cs="宋体"/>
          <w:spacing w:val="-10"/>
          <w:sz w:val="24"/>
          <w:szCs w:val="24"/>
        </w:rPr>
        <w:t>一般仅为几秒到十几秒。破声为瞬间突发噪声，</w:t>
      </w:r>
      <w:r>
        <w:rPr>
          <w:rFonts w:ascii="宋体" w:hAnsi="宋体" w:eastAsia="宋体" w:cs="宋体"/>
          <w:spacing w:val="37"/>
          <w:sz w:val="24"/>
          <w:szCs w:val="24"/>
        </w:rPr>
        <w:t xml:space="preserve"> </w:t>
      </w:r>
      <w:r>
        <w:rPr>
          <w:rFonts w:ascii="宋体" w:hAnsi="宋体" w:eastAsia="宋体" w:cs="宋体"/>
          <w:spacing w:val="-10"/>
          <w:sz w:val="24"/>
          <w:szCs w:val="24"/>
        </w:rPr>
        <w:t>且伴随发生振动。砂石料开</w:t>
      </w:r>
      <w:r>
        <w:rPr>
          <w:rFonts w:ascii="宋体" w:hAnsi="宋体" w:eastAsia="宋体" w:cs="宋体"/>
          <w:sz w:val="24"/>
          <w:szCs w:val="24"/>
        </w:rPr>
        <w:t xml:space="preserve"> </w:t>
      </w:r>
      <w:r>
        <w:rPr>
          <w:rFonts w:ascii="宋体" w:hAnsi="宋体" w:eastAsia="宋体" w:cs="宋体"/>
          <w:spacing w:val="-12"/>
          <w:sz w:val="24"/>
          <w:szCs w:val="24"/>
        </w:rPr>
        <w:t>采区距离岔处地村</w:t>
      </w:r>
      <w:r>
        <w:rPr>
          <w:rFonts w:ascii="宋体" w:hAnsi="宋体" w:eastAsia="宋体" w:cs="宋体"/>
          <w:spacing w:val="-33"/>
          <w:sz w:val="24"/>
          <w:szCs w:val="24"/>
        </w:rPr>
        <w:t xml:space="preserve"> </w:t>
      </w:r>
      <w:r>
        <w:rPr>
          <w:rFonts w:ascii="Times New Roman" w:hAnsi="Times New Roman" w:eastAsia="Times New Roman" w:cs="Times New Roman"/>
          <w:spacing w:val="-12"/>
          <w:sz w:val="24"/>
          <w:szCs w:val="24"/>
        </w:rPr>
        <w:t>80m</w:t>
      </w:r>
      <w:r>
        <w:rPr>
          <w:rFonts w:ascii="宋体" w:hAnsi="宋体" w:eastAsia="宋体" w:cs="宋体"/>
          <w:spacing w:val="-12"/>
          <w:sz w:val="24"/>
          <w:szCs w:val="24"/>
        </w:rPr>
        <w:t>，爆破噪声对其影响大，</w:t>
      </w:r>
      <w:r>
        <w:rPr>
          <w:rFonts w:ascii="宋体" w:hAnsi="宋体" w:eastAsia="宋体" w:cs="宋体"/>
          <w:spacing w:val="27"/>
          <w:sz w:val="24"/>
          <w:szCs w:val="24"/>
        </w:rPr>
        <w:t xml:space="preserve"> </w:t>
      </w:r>
      <w:r>
        <w:rPr>
          <w:rFonts w:ascii="宋体" w:hAnsi="宋体" w:eastAsia="宋体" w:cs="宋体"/>
          <w:spacing w:val="-12"/>
          <w:sz w:val="24"/>
          <w:szCs w:val="24"/>
        </w:rPr>
        <w:t>应合理安排爆破时间，</w:t>
      </w:r>
      <w:r>
        <w:rPr>
          <w:rFonts w:ascii="宋体" w:hAnsi="宋体" w:eastAsia="宋体" w:cs="宋体"/>
          <w:spacing w:val="28"/>
          <w:sz w:val="24"/>
          <w:szCs w:val="24"/>
        </w:rPr>
        <w:t xml:space="preserve"> </w:t>
      </w:r>
      <w:r>
        <w:rPr>
          <w:rFonts w:ascii="宋体" w:hAnsi="宋体" w:eastAsia="宋体" w:cs="宋体"/>
          <w:spacing w:val="-12"/>
          <w:sz w:val="24"/>
          <w:szCs w:val="24"/>
        </w:rPr>
        <w:t>严禁夜间</w:t>
      </w:r>
    </w:p>
    <w:p>
      <w:pPr>
        <w:spacing w:line="218" w:lineRule="auto"/>
        <w:ind w:left="35"/>
        <w:rPr>
          <w:rFonts w:ascii="宋体" w:hAnsi="宋体" w:eastAsia="宋体" w:cs="宋体"/>
          <w:sz w:val="24"/>
          <w:szCs w:val="24"/>
        </w:rPr>
      </w:pPr>
      <w:r>
        <w:rPr>
          <w:rFonts w:ascii="宋体" w:hAnsi="宋体" w:eastAsia="宋体" w:cs="宋体"/>
          <w:spacing w:val="-9"/>
          <w:sz w:val="24"/>
          <w:szCs w:val="24"/>
        </w:rPr>
        <w:t>爆破。</w:t>
      </w:r>
    </w:p>
    <w:p>
      <w:pPr>
        <w:spacing w:before="182"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4</w:t>
      </w:r>
      <w:r>
        <w:rPr>
          <w:rFonts w:ascii="宋体" w:hAnsi="宋体" w:eastAsia="宋体" w:cs="宋体"/>
          <w:spacing w:val="-4"/>
          <w:sz w:val="24"/>
          <w:szCs w:val="24"/>
        </w:rPr>
        <w:t>）施工道路噪声影响</w:t>
      </w:r>
    </w:p>
    <w:p>
      <w:pPr>
        <w:spacing w:before="182" w:line="359" w:lineRule="auto"/>
        <w:ind w:left="45" w:right="30" w:firstLine="478"/>
        <w:rPr>
          <w:rFonts w:ascii="宋体" w:hAnsi="宋体" w:eastAsia="宋体" w:cs="宋体"/>
          <w:sz w:val="24"/>
          <w:szCs w:val="24"/>
        </w:rPr>
      </w:pPr>
      <w:r>
        <w:rPr>
          <w:rFonts w:ascii="宋体" w:hAnsi="宋体" w:eastAsia="宋体" w:cs="宋体"/>
          <w:spacing w:val="-3"/>
          <w:sz w:val="24"/>
          <w:szCs w:val="24"/>
        </w:rPr>
        <w:t>项目部分材料、设备运输进场产生的运输交通噪声对沿</w:t>
      </w:r>
      <w:r>
        <w:rPr>
          <w:rFonts w:ascii="宋体" w:hAnsi="宋体" w:eastAsia="宋体" w:cs="宋体"/>
          <w:spacing w:val="-4"/>
          <w:sz w:val="24"/>
          <w:szCs w:val="24"/>
        </w:rPr>
        <w:t>线居民点声环境有一</w:t>
      </w:r>
      <w:r>
        <w:rPr>
          <w:rFonts w:ascii="宋体" w:hAnsi="宋体" w:eastAsia="宋体" w:cs="宋体"/>
          <w:sz w:val="24"/>
          <w:szCs w:val="24"/>
        </w:rPr>
        <w:t xml:space="preserve"> </w:t>
      </w:r>
      <w:r>
        <w:rPr>
          <w:rFonts w:ascii="宋体" w:hAnsi="宋体" w:eastAsia="宋体" w:cs="宋体"/>
          <w:spacing w:val="-13"/>
          <w:sz w:val="24"/>
          <w:szCs w:val="24"/>
        </w:rPr>
        <w:t>定影响。本工程施工期较短，</w:t>
      </w:r>
      <w:r>
        <w:rPr>
          <w:rFonts w:ascii="宋体" w:hAnsi="宋体" w:eastAsia="宋体" w:cs="宋体"/>
          <w:spacing w:val="68"/>
          <w:sz w:val="24"/>
          <w:szCs w:val="24"/>
        </w:rPr>
        <w:t xml:space="preserve"> </w:t>
      </w:r>
      <w:r>
        <w:rPr>
          <w:rFonts w:ascii="宋体" w:hAnsi="宋体" w:eastAsia="宋体" w:cs="宋体"/>
          <w:spacing w:val="-13"/>
          <w:sz w:val="24"/>
          <w:szCs w:val="24"/>
        </w:rPr>
        <w:t>随着工程结束，</w:t>
      </w:r>
      <w:r>
        <w:rPr>
          <w:rFonts w:ascii="宋体" w:hAnsi="宋体" w:eastAsia="宋体" w:cs="宋体"/>
          <w:spacing w:val="36"/>
          <w:sz w:val="24"/>
          <w:szCs w:val="24"/>
        </w:rPr>
        <w:t xml:space="preserve"> </w:t>
      </w:r>
      <w:r>
        <w:rPr>
          <w:rFonts w:ascii="宋体" w:hAnsi="宋体" w:eastAsia="宋体" w:cs="宋体"/>
          <w:spacing w:val="-13"/>
          <w:sz w:val="24"/>
          <w:szCs w:val="24"/>
        </w:rPr>
        <w:t>施工交通噪声影响将会消除。施工</w:t>
      </w:r>
      <w:r>
        <w:rPr>
          <w:rFonts w:ascii="宋体" w:hAnsi="宋体" w:eastAsia="宋体" w:cs="宋体"/>
          <w:sz w:val="24"/>
          <w:szCs w:val="24"/>
        </w:rPr>
        <w:t xml:space="preserve"> </w:t>
      </w:r>
      <w:r>
        <w:rPr>
          <w:rFonts w:ascii="宋体" w:hAnsi="宋体" w:eastAsia="宋体" w:cs="宋体"/>
          <w:spacing w:val="-12"/>
          <w:sz w:val="24"/>
          <w:szCs w:val="24"/>
        </w:rPr>
        <w:t>中合理安排运输时段，</w:t>
      </w:r>
      <w:r>
        <w:rPr>
          <w:rFonts w:ascii="宋体" w:hAnsi="宋体" w:eastAsia="宋体" w:cs="宋体"/>
          <w:spacing w:val="40"/>
          <w:sz w:val="24"/>
          <w:szCs w:val="24"/>
        </w:rPr>
        <w:t xml:space="preserve"> </w:t>
      </w:r>
      <w:r>
        <w:rPr>
          <w:rFonts w:ascii="宋体" w:hAnsi="宋体" w:eastAsia="宋体" w:cs="宋体"/>
          <w:spacing w:val="-12"/>
          <w:sz w:val="24"/>
          <w:szCs w:val="24"/>
        </w:rPr>
        <w:t>经过村庄路段限速、禁鸣，</w:t>
      </w:r>
      <w:r>
        <w:rPr>
          <w:rFonts w:ascii="宋体" w:hAnsi="宋体" w:eastAsia="宋体" w:cs="宋体"/>
          <w:spacing w:val="30"/>
          <w:sz w:val="24"/>
          <w:szCs w:val="24"/>
        </w:rPr>
        <w:t xml:space="preserve"> </w:t>
      </w:r>
      <w:r>
        <w:rPr>
          <w:rFonts w:ascii="宋体" w:hAnsi="宋体" w:eastAsia="宋体" w:cs="宋体"/>
          <w:spacing w:val="-12"/>
          <w:sz w:val="24"/>
          <w:szCs w:val="24"/>
        </w:rPr>
        <w:t>减小运输交通噪声对保护目标</w:t>
      </w:r>
    </w:p>
    <w:p>
      <w:pPr>
        <w:spacing w:before="1" w:line="221" w:lineRule="auto"/>
        <w:ind w:left="59"/>
        <w:rPr>
          <w:rFonts w:ascii="宋体" w:hAnsi="宋体" w:eastAsia="宋体" w:cs="宋体"/>
          <w:sz w:val="24"/>
          <w:szCs w:val="24"/>
        </w:rPr>
      </w:pPr>
      <w:r>
        <w:rPr>
          <w:rFonts w:ascii="宋体" w:hAnsi="宋体" w:eastAsia="宋体" w:cs="宋体"/>
          <w:spacing w:val="-12"/>
          <w:sz w:val="24"/>
          <w:szCs w:val="24"/>
        </w:rPr>
        <w:t>的影响。</w:t>
      </w:r>
    </w:p>
    <w:p>
      <w:pPr>
        <w:spacing w:line="428" w:lineRule="auto"/>
        <w:rPr>
          <w:rFonts w:ascii="Arial"/>
          <w:sz w:val="21"/>
        </w:rPr>
      </w:pPr>
    </w:p>
    <w:p>
      <w:pPr>
        <w:pStyle w:val="2"/>
        <w:spacing w:before="78" w:line="234" w:lineRule="auto"/>
        <w:ind w:left="36"/>
        <w:outlineLvl w:val="2"/>
        <w:rPr>
          <w:sz w:val="24"/>
          <w:szCs w:val="24"/>
        </w:rPr>
      </w:pPr>
      <w:r>
        <w:rPr>
          <w:rFonts w:ascii="Times New Roman" w:hAnsi="Times New Roman" w:eastAsia="Times New Roman" w:cs="Times New Roman"/>
          <w:b/>
          <w:bCs/>
          <w:spacing w:val="-2"/>
          <w:sz w:val="24"/>
          <w:szCs w:val="24"/>
        </w:rPr>
        <w:t>4.6.2</w:t>
      </w:r>
      <w:r>
        <w:rPr>
          <w:rFonts w:ascii="Times New Roman" w:hAnsi="Times New Roman" w:eastAsia="Times New Roman" w:cs="Times New Roman"/>
          <w:b/>
          <w:bCs/>
          <w:spacing w:val="14"/>
          <w:sz w:val="24"/>
          <w:szCs w:val="24"/>
        </w:rPr>
        <w:t xml:space="preserve"> </w:t>
      </w:r>
      <w:r>
        <w:rPr>
          <w:spacing w:val="-2"/>
          <w:sz w:val="24"/>
          <w:szCs w:val="24"/>
          <w14:textOutline w14:w="4354" w14:cap="flat" w14:cmpd="sng">
            <w14:solidFill>
              <w14:srgbClr w14:val="000000"/>
            </w14:solidFill>
            <w14:prstDash w14:val="solid"/>
            <w14:miter w14:val="0"/>
          </w14:textOutline>
        </w:rPr>
        <w:t>运营期</w:t>
      </w:r>
    </w:p>
    <w:p>
      <w:pPr>
        <w:spacing w:before="198" w:line="466" w:lineRule="exact"/>
        <w:ind w:right="18"/>
        <w:jc w:val="right"/>
        <w:rPr>
          <w:rFonts w:ascii="宋体" w:hAnsi="宋体" w:eastAsia="宋体" w:cs="宋体"/>
          <w:sz w:val="24"/>
          <w:szCs w:val="24"/>
        </w:rPr>
      </w:pPr>
      <w:r>
        <w:rPr>
          <w:rFonts w:ascii="宋体" w:hAnsi="宋体" w:eastAsia="宋体" w:cs="宋体"/>
          <w:spacing w:val="-10"/>
          <w:position w:val="17"/>
          <w:sz w:val="24"/>
          <w:szCs w:val="24"/>
        </w:rPr>
        <w:t>水库工程运行期通过自然高差进行供水， 无泵站及相关机械提升设备等， 无</w:t>
      </w:r>
    </w:p>
    <w:p>
      <w:pPr>
        <w:spacing w:before="1" w:line="220" w:lineRule="auto"/>
        <w:ind w:left="43"/>
        <w:rPr>
          <w:rFonts w:ascii="宋体" w:hAnsi="宋体" w:eastAsia="宋体" w:cs="宋体"/>
          <w:sz w:val="24"/>
          <w:szCs w:val="24"/>
        </w:rPr>
      </w:pPr>
      <w:r>
        <w:rPr>
          <w:rFonts w:ascii="宋体" w:hAnsi="宋体" w:eastAsia="宋体" w:cs="宋体"/>
          <w:spacing w:val="-2"/>
          <w:sz w:val="24"/>
          <w:szCs w:val="24"/>
        </w:rPr>
        <w:t>设备运行噪声。</w:t>
      </w:r>
    </w:p>
    <w:p>
      <w:pPr>
        <w:spacing w:line="387" w:lineRule="auto"/>
        <w:rPr>
          <w:rFonts w:ascii="Arial"/>
          <w:sz w:val="21"/>
        </w:rPr>
      </w:pPr>
    </w:p>
    <w:p>
      <w:pPr>
        <w:pStyle w:val="2"/>
        <w:spacing w:before="88" w:line="225" w:lineRule="auto"/>
        <w:ind w:left="36"/>
        <w:outlineLvl w:val="2"/>
        <w:rPr>
          <w:sz w:val="27"/>
          <w:szCs w:val="27"/>
        </w:rPr>
      </w:pPr>
      <w:bookmarkStart w:id="34" w:name="bookmark35"/>
      <w:bookmarkEnd w:id="34"/>
      <w:r>
        <w:rPr>
          <w:rFonts w:ascii="Times New Roman" w:hAnsi="Times New Roman" w:eastAsia="Times New Roman" w:cs="Times New Roman"/>
          <w:b/>
          <w:bCs/>
          <w:spacing w:val="5"/>
          <w:sz w:val="27"/>
          <w:szCs w:val="27"/>
        </w:rPr>
        <w:t>4.7</w:t>
      </w:r>
      <w:r>
        <w:rPr>
          <w:rFonts w:ascii="Times New Roman" w:hAnsi="Times New Roman" w:eastAsia="Times New Roman" w:cs="Times New Roman"/>
          <w:b/>
          <w:bCs/>
          <w:spacing w:val="37"/>
          <w:sz w:val="27"/>
          <w:szCs w:val="27"/>
        </w:rPr>
        <w:t xml:space="preserve"> </w:t>
      </w:r>
      <w:r>
        <w:rPr>
          <w:spacing w:val="5"/>
          <w:sz w:val="27"/>
          <w:szCs w:val="27"/>
          <w14:textOutline w14:w="5072" w14:cap="flat" w14:cmpd="sng">
            <w14:solidFill>
              <w14:srgbClr w14:val="000000"/>
            </w14:solidFill>
            <w14:prstDash w14:val="solid"/>
            <w14:miter w14:val="0"/>
          </w14:textOutline>
        </w:rPr>
        <w:t>固体废物影响分析</w:t>
      </w:r>
    </w:p>
    <w:p>
      <w:pPr>
        <w:spacing w:line="299" w:lineRule="auto"/>
        <w:rPr>
          <w:rFonts w:ascii="Arial"/>
          <w:sz w:val="21"/>
        </w:rPr>
      </w:pPr>
    </w:p>
    <w:p>
      <w:pPr>
        <w:pStyle w:val="2"/>
        <w:spacing w:before="79" w:line="235" w:lineRule="auto"/>
        <w:ind w:left="36"/>
        <w:outlineLvl w:val="2"/>
        <w:rPr>
          <w:sz w:val="24"/>
          <w:szCs w:val="24"/>
        </w:rPr>
      </w:pPr>
      <w:r>
        <w:rPr>
          <w:rFonts w:ascii="Times New Roman" w:hAnsi="Times New Roman" w:eastAsia="Times New Roman" w:cs="Times New Roman"/>
          <w:b/>
          <w:bCs/>
          <w:spacing w:val="-1"/>
          <w:sz w:val="24"/>
          <w:szCs w:val="24"/>
        </w:rPr>
        <w:t xml:space="preserve">4.7.1 </w:t>
      </w:r>
      <w:r>
        <w:rPr>
          <w:spacing w:val="-1"/>
          <w:sz w:val="24"/>
          <w:szCs w:val="24"/>
          <w14:textOutline w14:w="4354" w14:cap="flat" w14:cmpd="sng">
            <w14:solidFill>
              <w14:srgbClr w14:val="000000"/>
            </w14:solidFill>
            <w14:prstDash w14:val="solid"/>
            <w14:miter w14:val="0"/>
          </w14:textOutline>
        </w:rPr>
        <w:t>施工期</w:t>
      </w:r>
    </w:p>
    <w:p>
      <w:pPr>
        <w:spacing w:before="197" w:line="359" w:lineRule="auto"/>
        <w:ind w:left="38" w:right="30" w:firstLine="483"/>
        <w:rPr>
          <w:rFonts w:ascii="宋体" w:hAnsi="宋体" w:eastAsia="宋体" w:cs="宋体"/>
          <w:sz w:val="24"/>
          <w:szCs w:val="24"/>
        </w:rPr>
      </w:pPr>
      <w:r>
        <w:rPr>
          <w:rFonts w:ascii="宋体" w:hAnsi="宋体" w:eastAsia="宋体" w:cs="宋体"/>
          <w:spacing w:val="-3"/>
          <w:sz w:val="24"/>
          <w:szCs w:val="24"/>
        </w:rPr>
        <w:t>工程建设过程中产生的弃渣量较大的部位主要为大坝、溢</w:t>
      </w:r>
      <w:r>
        <w:rPr>
          <w:rFonts w:ascii="宋体" w:hAnsi="宋体" w:eastAsia="宋体" w:cs="宋体"/>
          <w:spacing w:val="-4"/>
          <w:sz w:val="24"/>
          <w:szCs w:val="24"/>
        </w:rPr>
        <w:t>洪道、输水管线和</w:t>
      </w:r>
      <w:r>
        <w:rPr>
          <w:rFonts w:ascii="宋体" w:hAnsi="宋体" w:eastAsia="宋体" w:cs="宋体"/>
          <w:sz w:val="24"/>
          <w:szCs w:val="24"/>
        </w:rPr>
        <w:t xml:space="preserve"> </w:t>
      </w:r>
      <w:r>
        <w:rPr>
          <w:rFonts w:ascii="宋体" w:hAnsi="宋体" w:eastAsia="宋体" w:cs="宋体"/>
          <w:spacing w:val="-5"/>
          <w:sz w:val="24"/>
          <w:szCs w:val="24"/>
        </w:rPr>
        <w:t>施工导流开挖。弃渣总量为</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95.12</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5"/>
          <w:sz w:val="24"/>
          <w:szCs w:val="24"/>
        </w:rPr>
        <w:t>（自然方）。项目</w:t>
      </w:r>
      <w:r>
        <w:rPr>
          <w:rFonts w:ascii="宋体" w:hAnsi="宋体" w:eastAsia="宋体" w:cs="宋体"/>
          <w:spacing w:val="-6"/>
          <w:sz w:val="24"/>
          <w:szCs w:val="24"/>
        </w:rPr>
        <w:t>弃渣运至规划弃渣场堆</w:t>
      </w:r>
      <w:r>
        <w:rPr>
          <w:rFonts w:ascii="宋体" w:hAnsi="宋体" w:eastAsia="宋体" w:cs="宋体"/>
          <w:sz w:val="24"/>
          <w:szCs w:val="24"/>
        </w:rPr>
        <w:t xml:space="preserve"> </w:t>
      </w:r>
      <w:r>
        <w:rPr>
          <w:rFonts w:ascii="宋体" w:hAnsi="宋体" w:eastAsia="宋体" w:cs="宋体"/>
          <w:spacing w:val="-7"/>
          <w:sz w:val="24"/>
          <w:szCs w:val="24"/>
        </w:rPr>
        <w:t>存。工程水土保持措施将与工程同步实施，</w:t>
      </w:r>
      <w:r>
        <w:rPr>
          <w:rFonts w:ascii="宋体" w:hAnsi="宋体" w:eastAsia="宋体" w:cs="宋体"/>
          <w:spacing w:val="29"/>
          <w:sz w:val="24"/>
          <w:szCs w:val="24"/>
        </w:rPr>
        <w:t xml:space="preserve"> </w:t>
      </w:r>
      <w:r>
        <w:rPr>
          <w:rFonts w:ascii="宋体" w:hAnsi="宋体" w:eastAsia="宋体" w:cs="宋体"/>
          <w:spacing w:val="-7"/>
          <w:sz w:val="24"/>
          <w:szCs w:val="24"/>
        </w:rPr>
        <w:t>在做好渣场的护坡挡</w:t>
      </w:r>
      <w:r>
        <w:rPr>
          <w:rFonts w:ascii="宋体" w:hAnsi="宋体" w:eastAsia="宋体" w:cs="宋体"/>
          <w:spacing w:val="-8"/>
          <w:sz w:val="24"/>
          <w:szCs w:val="24"/>
        </w:rPr>
        <w:t>墙、排水和覆土</w:t>
      </w:r>
    </w:p>
    <w:p>
      <w:pPr>
        <w:spacing w:before="1" w:line="219" w:lineRule="auto"/>
        <w:ind w:left="41"/>
        <w:rPr>
          <w:rFonts w:ascii="宋体" w:hAnsi="宋体" w:eastAsia="宋体" w:cs="宋体"/>
          <w:sz w:val="24"/>
          <w:szCs w:val="24"/>
        </w:rPr>
      </w:pPr>
      <w:r>
        <w:rPr>
          <w:rFonts w:ascii="宋体" w:hAnsi="宋体" w:eastAsia="宋体" w:cs="宋体"/>
          <w:spacing w:val="-3"/>
          <w:sz w:val="24"/>
          <w:szCs w:val="24"/>
        </w:rPr>
        <w:t>绿化后，可有效减小弃渣对环境的影响。</w:t>
      </w:r>
    </w:p>
    <w:p>
      <w:pPr>
        <w:spacing w:before="182" w:line="466" w:lineRule="exact"/>
        <w:ind w:right="30"/>
        <w:jc w:val="right"/>
        <w:rPr>
          <w:rFonts w:ascii="宋体" w:hAnsi="宋体" w:eastAsia="宋体" w:cs="宋体"/>
          <w:sz w:val="24"/>
          <w:szCs w:val="24"/>
        </w:rPr>
      </w:pPr>
      <w:r>
        <w:rPr>
          <w:rFonts w:ascii="宋体" w:hAnsi="宋体" w:eastAsia="宋体" w:cs="宋体"/>
          <w:spacing w:val="-10"/>
          <w:position w:val="17"/>
          <w:sz w:val="24"/>
          <w:szCs w:val="24"/>
        </w:rPr>
        <w:t>项目施工期应在施工生产生活区设置垃圾桶， 统一收集后， 与桂花镇生活垃</w:t>
      </w:r>
    </w:p>
    <w:p>
      <w:pPr>
        <w:spacing w:before="1" w:line="219" w:lineRule="auto"/>
        <w:ind w:left="40"/>
        <w:rPr>
          <w:rFonts w:ascii="宋体" w:hAnsi="宋体" w:eastAsia="宋体" w:cs="宋体"/>
          <w:sz w:val="24"/>
          <w:szCs w:val="24"/>
        </w:rPr>
      </w:pPr>
      <w:r>
        <w:rPr>
          <w:rFonts w:ascii="宋体" w:hAnsi="宋体" w:eastAsia="宋体" w:cs="宋体"/>
          <w:spacing w:val="-2"/>
          <w:sz w:val="24"/>
          <w:szCs w:val="24"/>
        </w:rPr>
        <w:t>圾一并处置。</w:t>
      </w:r>
    </w:p>
    <w:p>
      <w:pPr>
        <w:spacing w:before="182" w:line="359" w:lineRule="auto"/>
        <w:ind w:left="40" w:right="30" w:firstLine="478"/>
        <w:rPr>
          <w:rFonts w:ascii="宋体" w:hAnsi="宋体" w:eastAsia="宋体" w:cs="宋体"/>
          <w:sz w:val="24"/>
          <w:szCs w:val="24"/>
        </w:rPr>
      </w:pPr>
      <w:r>
        <w:rPr>
          <w:rFonts w:ascii="宋体" w:hAnsi="宋体" w:eastAsia="宋体" w:cs="宋体"/>
          <w:spacing w:val="-8"/>
          <w:sz w:val="24"/>
          <w:szCs w:val="24"/>
        </w:rPr>
        <w:t>在工程施工过程中会产生一些建筑垃圾，</w:t>
      </w:r>
      <w:r>
        <w:rPr>
          <w:rFonts w:ascii="宋体" w:hAnsi="宋体" w:eastAsia="宋体" w:cs="宋体"/>
          <w:spacing w:val="41"/>
          <w:sz w:val="24"/>
          <w:szCs w:val="24"/>
        </w:rPr>
        <w:t xml:space="preserve"> </w:t>
      </w:r>
      <w:r>
        <w:rPr>
          <w:rFonts w:ascii="宋体" w:hAnsi="宋体" w:eastAsia="宋体" w:cs="宋体"/>
          <w:spacing w:val="-8"/>
          <w:sz w:val="24"/>
          <w:szCs w:val="24"/>
        </w:rPr>
        <w:t>如碎砖块、废石料、水泥块及混凝</w:t>
      </w:r>
      <w:r>
        <w:rPr>
          <w:rFonts w:ascii="宋体" w:hAnsi="宋体" w:eastAsia="宋体" w:cs="宋体"/>
          <w:sz w:val="24"/>
          <w:szCs w:val="24"/>
        </w:rPr>
        <w:t xml:space="preserve"> </w:t>
      </w:r>
      <w:r>
        <w:rPr>
          <w:rFonts w:ascii="宋体" w:hAnsi="宋体" w:eastAsia="宋体" w:cs="宋体"/>
          <w:spacing w:val="-11"/>
          <w:sz w:val="24"/>
          <w:szCs w:val="24"/>
        </w:rPr>
        <w:t>土残渣等， 还有部分废钢筋等建筑垃圾等。对建筑垃圾尽量再利用，</w:t>
      </w:r>
      <w:r>
        <w:rPr>
          <w:rFonts w:ascii="宋体" w:hAnsi="宋体" w:eastAsia="宋体" w:cs="宋体"/>
          <w:spacing w:val="51"/>
          <w:sz w:val="24"/>
          <w:szCs w:val="24"/>
        </w:rPr>
        <w:t xml:space="preserve"> </w:t>
      </w:r>
      <w:r>
        <w:rPr>
          <w:rFonts w:ascii="宋体" w:hAnsi="宋体" w:eastAsia="宋体" w:cs="宋体"/>
          <w:spacing w:val="-11"/>
          <w:sz w:val="24"/>
          <w:szCs w:val="24"/>
        </w:rPr>
        <w:t>不能利用建</w:t>
      </w:r>
    </w:p>
    <w:p>
      <w:pPr>
        <w:spacing w:line="219" w:lineRule="auto"/>
        <w:ind w:left="41"/>
        <w:rPr>
          <w:rFonts w:ascii="宋体" w:hAnsi="宋体" w:eastAsia="宋体" w:cs="宋体"/>
          <w:sz w:val="24"/>
          <w:szCs w:val="24"/>
        </w:rPr>
      </w:pPr>
      <w:r>
        <w:rPr>
          <w:rFonts w:ascii="宋体" w:hAnsi="宋体" w:eastAsia="宋体" w:cs="宋体"/>
          <w:spacing w:val="-2"/>
          <w:sz w:val="24"/>
          <w:szCs w:val="24"/>
        </w:rPr>
        <w:t>筑垃圾运至弃渣场堆放。</w:t>
      </w:r>
    </w:p>
    <w:p>
      <w:pPr>
        <w:spacing w:before="181" w:line="220" w:lineRule="auto"/>
        <w:ind w:left="518"/>
        <w:rPr>
          <w:rFonts w:ascii="宋体" w:hAnsi="宋体" w:eastAsia="宋体" w:cs="宋体"/>
          <w:sz w:val="24"/>
          <w:szCs w:val="24"/>
        </w:rPr>
      </w:pPr>
      <w:r>
        <w:rPr>
          <w:rFonts w:ascii="宋体" w:hAnsi="宋体" w:eastAsia="宋体" w:cs="宋体"/>
          <w:spacing w:val="-3"/>
          <w:sz w:val="24"/>
          <w:szCs w:val="24"/>
        </w:rPr>
        <w:t>施工期固体废物处置率</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100%</w:t>
      </w:r>
      <w:r>
        <w:rPr>
          <w:rFonts w:ascii="宋体" w:hAnsi="宋体" w:eastAsia="宋体" w:cs="宋体"/>
          <w:spacing w:val="-3"/>
          <w:sz w:val="24"/>
          <w:szCs w:val="24"/>
        </w:rPr>
        <w:t>，对环境影响小。</w:t>
      </w:r>
    </w:p>
    <w:p>
      <w:pPr>
        <w:spacing w:line="431" w:lineRule="auto"/>
        <w:rPr>
          <w:rFonts w:ascii="Arial"/>
          <w:sz w:val="21"/>
        </w:rPr>
      </w:pPr>
    </w:p>
    <w:p>
      <w:pPr>
        <w:pStyle w:val="2"/>
        <w:spacing w:before="78" w:line="234" w:lineRule="auto"/>
        <w:ind w:left="36"/>
        <w:outlineLvl w:val="2"/>
        <w:rPr>
          <w:sz w:val="24"/>
          <w:szCs w:val="24"/>
        </w:rPr>
      </w:pPr>
      <w:r>
        <w:rPr>
          <w:rFonts w:ascii="Times New Roman" w:hAnsi="Times New Roman" w:eastAsia="Times New Roman" w:cs="Times New Roman"/>
          <w:b/>
          <w:bCs/>
          <w:spacing w:val="-2"/>
          <w:sz w:val="24"/>
          <w:szCs w:val="24"/>
        </w:rPr>
        <w:t>4.7.2</w:t>
      </w:r>
      <w:r>
        <w:rPr>
          <w:rFonts w:ascii="Times New Roman" w:hAnsi="Times New Roman" w:eastAsia="Times New Roman" w:cs="Times New Roman"/>
          <w:b/>
          <w:bCs/>
          <w:spacing w:val="14"/>
          <w:sz w:val="24"/>
          <w:szCs w:val="24"/>
        </w:rPr>
        <w:t xml:space="preserve"> </w:t>
      </w:r>
      <w:r>
        <w:rPr>
          <w:spacing w:val="-2"/>
          <w:sz w:val="24"/>
          <w:szCs w:val="24"/>
          <w14:textOutline w14:w="4354" w14:cap="flat" w14:cmpd="sng">
            <w14:solidFill>
              <w14:srgbClr w14:val="000000"/>
            </w14:solidFill>
            <w14:prstDash w14:val="solid"/>
            <w14:miter w14:val="0"/>
          </w14:textOutline>
        </w:rPr>
        <w:t>运营期</w:t>
      </w:r>
    </w:p>
    <w:p>
      <w:pPr>
        <w:spacing w:before="276" w:line="220" w:lineRule="auto"/>
        <w:ind w:right="30"/>
        <w:jc w:val="right"/>
        <w:rPr>
          <w:rFonts w:ascii="宋体" w:hAnsi="宋体" w:eastAsia="宋体" w:cs="宋体"/>
          <w:sz w:val="24"/>
          <w:szCs w:val="24"/>
        </w:rPr>
      </w:pPr>
      <w:r>
        <w:rPr>
          <w:rFonts w:ascii="宋体" w:hAnsi="宋体" w:eastAsia="宋体" w:cs="宋体"/>
          <w:spacing w:val="-3"/>
          <w:sz w:val="24"/>
          <w:szCs w:val="24"/>
        </w:rPr>
        <w:t>工程运行期固体废物主要为水库管理人员产生的生活垃圾</w:t>
      </w:r>
      <w:r>
        <w:rPr>
          <w:rFonts w:ascii="宋体" w:hAnsi="宋体" w:eastAsia="宋体" w:cs="宋体"/>
          <w:spacing w:val="-4"/>
          <w:sz w:val="24"/>
          <w:szCs w:val="24"/>
        </w:rPr>
        <w:t>，在水库管值班室</w:t>
      </w:r>
    </w:p>
    <w:p>
      <w:pPr>
        <w:spacing w:line="220" w:lineRule="auto"/>
        <w:rPr>
          <w:rFonts w:ascii="宋体" w:hAnsi="宋体" w:eastAsia="宋体" w:cs="宋体"/>
          <w:sz w:val="24"/>
          <w:szCs w:val="24"/>
        </w:rPr>
        <w:sectPr>
          <w:headerReference r:id="rId420" w:type="default"/>
          <w:footerReference r:id="rId421" w:type="default"/>
          <w:pgSz w:w="11907" w:h="16839"/>
          <w:pgMar w:top="1156" w:right="1768" w:bottom="1374" w:left="1770" w:header="881" w:footer="1210" w:gutter="0"/>
        </w:sectPr>
      </w:pPr>
    </w:p>
    <w:p>
      <w:pPr>
        <w:spacing w:line="316" w:lineRule="auto"/>
        <w:rPr>
          <w:rFonts w:ascii="Arial"/>
          <w:sz w:val="21"/>
        </w:rPr>
      </w:pPr>
    </w:p>
    <w:p>
      <w:pPr>
        <w:spacing w:before="78" w:line="220" w:lineRule="auto"/>
        <w:ind w:left="43"/>
        <w:rPr>
          <w:rFonts w:ascii="宋体" w:hAnsi="宋体" w:eastAsia="宋体" w:cs="宋体"/>
          <w:sz w:val="24"/>
          <w:szCs w:val="24"/>
        </w:rPr>
      </w:pPr>
      <w:r>
        <w:rPr>
          <w:rFonts w:ascii="宋体" w:hAnsi="宋体" w:eastAsia="宋体" w:cs="宋体"/>
          <w:spacing w:val="-1"/>
          <w:sz w:val="24"/>
          <w:szCs w:val="24"/>
        </w:rPr>
        <w:t>设置垃圾桶收集后交由当地环卫部门处置。对项目区环境影响小。</w:t>
      </w:r>
    </w:p>
    <w:p>
      <w:pPr>
        <w:spacing w:line="220" w:lineRule="auto"/>
        <w:rPr>
          <w:rFonts w:ascii="宋体" w:hAnsi="宋体" w:eastAsia="宋体" w:cs="宋体"/>
          <w:sz w:val="24"/>
          <w:szCs w:val="24"/>
        </w:rPr>
        <w:sectPr>
          <w:footerReference r:id="rId422" w:type="default"/>
          <w:pgSz w:w="11907" w:h="16839"/>
          <w:pgMar w:top="1156" w:right="1768" w:bottom="1374" w:left="1770" w:header="881" w:footer="1210" w:gutter="0"/>
        </w:sectPr>
      </w:pPr>
    </w:p>
    <w:p>
      <w:pPr>
        <w:spacing w:line="248" w:lineRule="auto"/>
        <w:rPr>
          <w:rFonts w:ascii="Arial"/>
          <w:sz w:val="21"/>
        </w:rPr>
      </w:pPr>
    </w:p>
    <w:p>
      <w:pPr>
        <w:spacing w:line="249" w:lineRule="auto"/>
        <w:rPr>
          <w:rFonts w:ascii="Arial"/>
          <w:sz w:val="21"/>
        </w:rPr>
      </w:pPr>
    </w:p>
    <w:p>
      <w:pPr>
        <w:pStyle w:val="2"/>
        <w:spacing w:before="97" w:line="693" w:lineRule="exact"/>
        <w:ind w:left="3177"/>
        <w:rPr>
          <w:sz w:val="30"/>
          <w:szCs w:val="30"/>
        </w:rPr>
      </w:pPr>
      <w:bookmarkStart w:id="35" w:name="bookmark37"/>
      <w:bookmarkEnd w:id="35"/>
      <w:bookmarkStart w:id="36" w:name="bookmark36"/>
      <w:bookmarkEnd w:id="36"/>
      <w:r>
        <w:rPr>
          <w:rFonts w:ascii="Times New Roman" w:hAnsi="Times New Roman" w:eastAsia="Times New Roman" w:cs="Times New Roman"/>
          <w:b/>
          <w:bCs/>
          <w:spacing w:val="-1"/>
          <w:position w:val="30"/>
          <w:sz w:val="30"/>
          <w:szCs w:val="30"/>
        </w:rPr>
        <w:t xml:space="preserve">5 </w:t>
      </w:r>
      <w:r>
        <w:rPr>
          <w:spacing w:val="-1"/>
          <w:position w:val="30"/>
          <w:sz w:val="30"/>
          <w:szCs w:val="30"/>
          <w14:textOutline w14:w="5442" w14:cap="flat" w14:cmpd="sng">
            <w14:solidFill>
              <w14:srgbClr w14:val="000000"/>
            </w14:solidFill>
            <w14:prstDash w14:val="solid"/>
            <w14:miter w14:val="0"/>
          </w14:textOutline>
        </w:rPr>
        <w:t>环境风险评价</w:t>
      </w:r>
    </w:p>
    <w:p>
      <w:pPr>
        <w:pStyle w:val="2"/>
        <w:spacing w:line="225" w:lineRule="auto"/>
        <w:ind w:left="39"/>
        <w:rPr>
          <w:sz w:val="27"/>
          <w:szCs w:val="27"/>
        </w:rPr>
      </w:pPr>
      <w:r>
        <w:rPr>
          <w:rFonts w:ascii="Times New Roman" w:hAnsi="Times New Roman" w:eastAsia="Times New Roman" w:cs="Times New Roman"/>
          <w:b/>
          <w:bCs/>
          <w:spacing w:val="7"/>
          <w:sz w:val="27"/>
          <w:szCs w:val="27"/>
        </w:rPr>
        <w:t xml:space="preserve">5.1 </w:t>
      </w:r>
      <w:r>
        <w:rPr>
          <w:spacing w:val="7"/>
          <w:sz w:val="27"/>
          <w:szCs w:val="27"/>
          <w14:textOutline w14:w="5072" w14:cap="flat" w14:cmpd="sng">
            <w14:solidFill>
              <w14:srgbClr w14:val="000000"/>
            </w14:solidFill>
            <w14:prstDash w14:val="solid"/>
            <w14:miter w14:val="0"/>
          </w14:textOutline>
        </w:rPr>
        <w:t>施工期环境风险分析</w:t>
      </w:r>
    </w:p>
    <w:p>
      <w:pPr>
        <w:spacing w:line="301" w:lineRule="auto"/>
        <w:rPr>
          <w:rFonts w:ascii="Arial"/>
          <w:sz w:val="21"/>
        </w:rPr>
      </w:pPr>
    </w:p>
    <w:p>
      <w:pPr>
        <w:pStyle w:val="2"/>
        <w:spacing w:before="78" w:line="233" w:lineRule="auto"/>
        <w:ind w:left="38"/>
        <w:outlineLvl w:val="2"/>
        <w:rPr>
          <w:sz w:val="24"/>
          <w:szCs w:val="24"/>
        </w:rPr>
      </w:pPr>
      <w:r>
        <w:rPr>
          <w:rFonts w:ascii="Times New Roman" w:hAnsi="Times New Roman" w:eastAsia="Times New Roman" w:cs="Times New Roman"/>
          <w:b/>
          <w:bCs/>
          <w:spacing w:val="-1"/>
          <w:sz w:val="24"/>
          <w:szCs w:val="24"/>
        </w:rPr>
        <w:t xml:space="preserve">5.1.1 </w:t>
      </w:r>
      <w:r>
        <w:rPr>
          <w:spacing w:val="-1"/>
          <w:sz w:val="24"/>
          <w:szCs w:val="24"/>
          <w14:textOutline w14:w="4354" w14:cap="flat" w14:cmpd="sng">
            <w14:solidFill>
              <w14:srgbClr w14:val="000000"/>
            </w14:solidFill>
            <w14:prstDash w14:val="solid"/>
            <w14:miter w14:val="0"/>
          </w14:textOutline>
        </w:rPr>
        <w:t>评价依据</w:t>
      </w:r>
    </w:p>
    <w:p>
      <w:pPr>
        <w:spacing w:before="199"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）风险调查</w:t>
      </w:r>
    </w:p>
    <w:p>
      <w:pPr>
        <w:spacing w:before="180" w:line="467" w:lineRule="exact"/>
        <w:ind w:left="523"/>
        <w:rPr>
          <w:rFonts w:ascii="Times New Roman" w:hAnsi="Times New Roman" w:eastAsia="Times New Roman" w:cs="Times New Roman"/>
          <w:sz w:val="15"/>
          <w:szCs w:val="15"/>
        </w:rPr>
      </w:pPr>
      <w:r>
        <w:rPr>
          <w:rFonts w:ascii="宋体" w:hAnsi="宋体" w:eastAsia="宋体" w:cs="宋体"/>
          <w:spacing w:val="-6"/>
          <w:position w:val="17"/>
          <w:sz w:val="24"/>
          <w:szCs w:val="24"/>
        </w:rPr>
        <w:t>项目风险物质为柴油。项目施工区设置</w:t>
      </w:r>
      <w:r>
        <w:rPr>
          <w:rFonts w:ascii="宋体" w:hAnsi="宋体" w:eastAsia="宋体" w:cs="宋体"/>
          <w:spacing w:val="-30"/>
          <w:position w:val="17"/>
          <w:sz w:val="24"/>
          <w:szCs w:val="24"/>
        </w:rPr>
        <w:t xml:space="preserve"> </w:t>
      </w:r>
      <w:r>
        <w:rPr>
          <w:rFonts w:ascii="Times New Roman" w:hAnsi="Times New Roman" w:eastAsia="Times New Roman" w:cs="Times New Roman"/>
          <w:spacing w:val="-6"/>
          <w:position w:val="17"/>
          <w:sz w:val="24"/>
          <w:szCs w:val="24"/>
        </w:rPr>
        <w:t xml:space="preserve">1 </w:t>
      </w:r>
      <w:r>
        <w:rPr>
          <w:rFonts w:ascii="宋体" w:hAnsi="宋体" w:eastAsia="宋体" w:cs="宋体"/>
          <w:spacing w:val="-6"/>
          <w:position w:val="17"/>
          <w:sz w:val="24"/>
          <w:szCs w:val="24"/>
        </w:rPr>
        <w:t>座柴油库（</w:t>
      </w:r>
      <w:r>
        <w:rPr>
          <w:rFonts w:ascii="Times New Roman" w:hAnsi="Times New Roman" w:eastAsia="Times New Roman" w:cs="Times New Roman"/>
          <w:spacing w:val="-6"/>
          <w:position w:val="17"/>
          <w:sz w:val="24"/>
          <w:szCs w:val="24"/>
        </w:rPr>
        <w:t xml:space="preserve">1 </w:t>
      </w:r>
      <w:r>
        <w:rPr>
          <w:rFonts w:ascii="宋体" w:hAnsi="宋体" w:eastAsia="宋体" w:cs="宋体"/>
          <w:spacing w:val="-6"/>
          <w:position w:val="17"/>
          <w:sz w:val="24"/>
          <w:szCs w:val="24"/>
        </w:rPr>
        <w:t>个油罐</w:t>
      </w:r>
      <w:r>
        <w:rPr>
          <w:rFonts w:ascii="宋体" w:hAnsi="宋体" w:eastAsia="宋体" w:cs="宋体"/>
          <w:spacing w:val="-51"/>
          <w:w w:val="81"/>
          <w:position w:val="17"/>
          <w:sz w:val="24"/>
          <w:szCs w:val="24"/>
        </w:rPr>
        <w:t>），</w:t>
      </w:r>
      <w:r>
        <w:rPr>
          <w:rFonts w:ascii="宋体" w:hAnsi="宋体" w:eastAsia="宋体" w:cs="宋体"/>
          <w:spacing w:val="-6"/>
          <w:position w:val="17"/>
          <w:sz w:val="24"/>
          <w:szCs w:val="24"/>
        </w:rPr>
        <w:t>储油量</w:t>
      </w:r>
      <w:r>
        <w:rPr>
          <w:rFonts w:ascii="宋体" w:hAnsi="宋体" w:eastAsia="宋体" w:cs="宋体"/>
          <w:spacing w:val="-51"/>
          <w:position w:val="17"/>
          <w:sz w:val="24"/>
          <w:szCs w:val="24"/>
        </w:rPr>
        <w:t xml:space="preserve"> </w:t>
      </w:r>
      <w:r>
        <w:rPr>
          <w:rFonts w:ascii="Times New Roman" w:hAnsi="Times New Roman" w:eastAsia="Times New Roman" w:cs="Times New Roman"/>
          <w:spacing w:val="-6"/>
          <w:position w:val="17"/>
          <w:sz w:val="24"/>
          <w:szCs w:val="24"/>
        </w:rPr>
        <w:t>30m</w:t>
      </w:r>
      <w:r>
        <w:rPr>
          <w:rFonts w:ascii="Times New Roman" w:hAnsi="Times New Roman" w:eastAsia="Times New Roman" w:cs="Times New Roman"/>
          <w:spacing w:val="-6"/>
          <w:position w:val="25"/>
          <w:sz w:val="15"/>
          <w:szCs w:val="15"/>
        </w:rPr>
        <w:t>3</w:t>
      </w:r>
    </w:p>
    <w:p>
      <w:pPr>
        <w:spacing w:before="1" w:line="231" w:lineRule="auto"/>
        <w:ind w:left="45"/>
        <w:rPr>
          <w:rFonts w:ascii="宋体" w:hAnsi="宋体" w:eastAsia="宋体" w:cs="宋体"/>
          <w:sz w:val="24"/>
          <w:szCs w:val="24"/>
        </w:rPr>
      </w:pPr>
      <w:r>
        <w:rPr>
          <w:rFonts w:ascii="宋体" w:hAnsi="宋体" w:eastAsia="宋体" w:cs="宋体"/>
          <w:spacing w:val="-18"/>
          <w:sz w:val="24"/>
          <w:szCs w:val="24"/>
        </w:rPr>
        <w:t>（</w:t>
      </w:r>
      <w:r>
        <w:rPr>
          <w:rFonts w:ascii="Times New Roman" w:hAnsi="Times New Roman" w:eastAsia="Times New Roman" w:cs="Times New Roman"/>
          <w:spacing w:val="-18"/>
          <w:sz w:val="24"/>
          <w:szCs w:val="24"/>
        </w:rPr>
        <w:t>26t</w:t>
      </w:r>
      <w:r>
        <w:rPr>
          <w:rFonts w:ascii="宋体" w:hAnsi="宋体" w:eastAsia="宋体" w:cs="宋体"/>
          <w:spacing w:val="-18"/>
          <w:sz w:val="24"/>
          <w:szCs w:val="24"/>
        </w:rPr>
        <w:t>）。</w:t>
      </w:r>
    </w:p>
    <w:p>
      <w:pPr>
        <w:spacing w:before="165"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）风险潜势初判</w:t>
      </w:r>
    </w:p>
    <w:p>
      <w:pPr>
        <w:spacing w:before="182" w:line="359" w:lineRule="auto"/>
        <w:ind w:left="42" w:right="537" w:firstLine="477"/>
        <w:rPr>
          <w:rFonts w:ascii="宋体" w:hAnsi="宋体" w:eastAsia="宋体" w:cs="宋体"/>
          <w:sz w:val="24"/>
          <w:szCs w:val="24"/>
        </w:rPr>
      </w:pPr>
      <w:r>
        <w:rPr>
          <w:rFonts w:ascii="宋体" w:hAnsi="宋体" w:eastAsia="宋体" w:cs="宋体"/>
          <w:sz w:val="24"/>
          <w:szCs w:val="24"/>
        </w:rPr>
        <w:t>根据《建设项目环境风险评价技术导则》</w:t>
      </w:r>
      <w:r>
        <w:rPr>
          <w:rFonts w:ascii="Times New Roman" w:hAnsi="Times New Roman" w:eastAsia="Times New Roman" w:cs="Times New Roman"/>
          <w:sz w:val="24"/>
          <w:szCs w:val="24"/>
        </w:rPr>
        <w:t>(HJ169-</w:t>
      </w:r>
      <w:r>
        <w:rPr>
          <w:rFonts w:ascii="Times New Roman" w:hAnsi="Times New Roman" w:eastAsia="Times New Roman" w:cs="Times New Roman"/>
          <w:spacing w:val="-1"/>
          <w:sz w:val="24"/>
          <w:szCs w:val="24"/>
        </w:rPr>
        <w:t>2018)</w:t>
      </w:r>
      <w:r>
        <w:rPr>
          <w:rFonts w:ascii="宋体" w:hAnsi="宋体" w:eastAsia="宋体" w:cs="宋体"/>
          <w:spacing w:val="-1"/>
          <w:sz w:val="24"/>
          <w:szCs w:val="24"/>
        </w:rPr>
        <w:t>附录</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B</w:t>
      </w:r>
      <w:r>
        <w:rPr>
          <w:rFonts w:ascii="宋体" w:hAnsi="宋体" w:eastAsia="宋体" w:cs="宋体"/>
          <w:spacing w:val="-1"/>
          <w:sz w:val="24"/>
          <w:szCs w:val="24"/>
        </w:rPr>
        <w:t>，柴油临界量</w:t>
      </w:r>
      <w:r>
        <w:rPr>
          <w:rFonts w:ascii="宋体" w:hAnsi="宋体" w:eastAsia="宋体" w:cs="宋体"/>
          <w:sz w:val="24"/>
          <w:szCs w:val="24"/>
        </w:rPr>
        <w:t xml:space="preserve"> </w:t>
      </w:r>
      <w:r>
        <w:rPr>
          <w:rFonts w:ascii="宋体" w:hAnsi="宋体" w:eastAsia="宋体" w:cs="宋体"/>
          <w:spacing w:val="-9"/>
          <w:sz w:val="24"/>
          <w:szCs w:val="24"/>
        </w:rPr>
        <w:t>为</w:t>
      </w:r>
      <w:r>
        <w:rPr>
          <w:rFonts w:ascii="宋体" w:hAnsi="宋体" w:eastAsia="宋体" w:cs="宋体"/>
          <w:spacing w:val="-38"/>
          <w:sz w:val="24"/>
          <w:szCs w:val="24"/>
        </w:rPr>
        <w:t xml:space="preserve"> </w:t>
      </w:r>
      <w:r>
        <w:rPr>
          <w:rFonts w:ascii="Times New Roman" w:hAnsi="Times New Roman" w:eastAsia="Times New Roman" w:cs="Times New Roman"/>
          <w:spacing w:val="-9"/>
          <w:sz w:val="24"/>
          <w:szCs w:val="24"/>
        </w:rPr>
        <w:t>2500t</w:t>
      </w:r>
      <w:r>
        <w:rPr>
          <w:rFonts w:ascii="宋体" w:hAnsi="宋体" w:eastAsia="宋体" w:cs="宋体"/>
          <w:spacing w:val="-9"/>
          <w:sz w:val="24"/>
          <w:szCs w:val="24"/>
        </w:rPr>
        <w:t>。因此，</w:t>
      </w:r>
      <w:r>
        <w:rPr>
          <w:rFonts w:ascii="宋体" w:hAnsi="宋体" w:eastAsia="宋体" w:cs="宋体"/>
          <w:spacing w:val="40"/>
          <w:sz w:val="24"/>
          <w:szCs w:val="24"/>
        </w:rPr>
        <w:t xml:space="preserve"> </w:t>
      </w:r>
      <w:r>
        <w:rPr>
          <w:rFonts w:ascii="宋体" w:hAnsi="宋体" w:eastAsia="宋体" w:cs="宋体"/>
          <w:spacing w:val="-9"/>
          <w:sz w:val="24"/>
          <w:szCs w:val="24"/>
        </w:rPr>
        <w:t>项目危险物质数量与临界量比值值（</w:t>
      </w:r>
      <w:r>
        <w:rPr>
          <w:rFonts w:ascii="Times New Roman" w:hAnsi="Times New Roman" w:eastAsia="Times New Roman" w:cs="Times New Roman"/>
          <w:spacing w:val="-9"/>
          <w:sz w:val="24"/>
          <w:szCs w:val="24"/>
        </w:rPr>
        <w:t>Q</w:t>
      </w:r>
      <w:r>
        <w:rPr>
          <w:rFonts w:ascii="宋体" w:hAnsi="宋体" w:eastAsia="宋体" w:cs="宋体"/>
          <w:spacing w:val="-9"/>
          <w:sz w:val="24"/>
          <w:szCs w:val="24"/>
        </w:rPr>
        <w:t>）为</w:t>
      </w:r>
      <w:r>
        <w:rPr>
          <w:rFonts w:ascii="宋体" w:hAnsi="宋体" w:eastAsia="宋体" w:cs="宋体"/>
          <w:spacing w:val="-40"/>
          <w:sz w:val="24"/>
          <w:szCs w:val="24"/>
        </w:rPr>
        <w:t xml:space="preserve"> </w:t>
      </w:r>
      <w:r>
        <w:rPr>
          <w:rFonts w:ascii="Times New Roman" w:hAnsi="Times New Roman" w:eastAsia="Times New Roman" w:cs="Times New Roman"/>
          <w:spacing w:val="-9"/>
          <w:sz w:val="24"/>
          <w:szCs w:val="24"/>
        </w:rPr>
        <w:t>0.0104</w:t>
      </w:r>
      <w:r>
        <w:rPr>
          <w:rFonts w:ascii="宋体" w:hAnsi="宋体" w:eastAsia="宋体" w:cs="宋体"/>
          <w:spacing w:val="-9"/>
          <w:sz w:val="24"/>
          <w:szCs w:val="24"/>
        </w:rPr>
        <w:t>。根据《建设</w:t>
      </w:r>
      <w:r>
        <w:rPr>
          <w:rFonts w:ascii="宋体" w:hAnsi="宋体" w:eastAsia="宋体" w:cs="宋体"/>
          <w:sz w:val="24"/>
          <w:szCs w:val="24"/>
        </w:rPr>
        <w:t xml:space="preserve"> </w:t>
      </w:r>
      <w:r>
        <w:rPr>
          <w:rFonts w:ascii="宋体" w:hAnsi="宋体" w:eastAsia="宋体" w:cs="宋体"/>
          <w:spacing w:val="-10"/>
          <w:sz w:val="24"/>
          <w:szCs w:val="24"/>
        </w:rPr>
        <w:t>项目环境风险评价技术导则》（</w:t>
      </w:r>
      <w:r>
        <w:rPr>
          <w:rFonts w:ascii="Times New Roman" w:hAnsi="Times New Roman" w:eastAsia="Times New Roman" w:cs="Times New Roman"/>
          <w:spacing w:val="-10"/>
          <w:sz w:val="24"/>
          <w:szCs w:val="24"/>
        </w:rPr>
        <w:t>HJ169-2018</w:t>
      </w:r>
      <w:r>
        <w:rPr>
          <w:rFonts w:ascii="宋体" w:hAnsi="宋体" w:eastAsia="宋体" w:cs="宋体"/>
          <w:spacing w:val="-10"/>
          <w:sz w:val="24"/>
          <w:szCs w:val="24"/>
        </w:rPr>
        <w:t xml:space="preserve">）中规定， </w:t>
      </w:r>
      <w:r>
        <w:rPr>
          <w:rFonts w:ascii="Times New Roman" w:hAnsi="Times New Roman" w:eastAsia="Times New Roman" w:cs="Times New Roman"/>
          <w:spacing w:val="-10"/>
          <w:sz w:val="24"/>
          <w:szCs w:val="24"/>
        </w:rPr>
        <w:t>Q</w:t>
      </w: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Times New Roman" w:hAnsi="Times New Roman" w:eastAsia="Times New Roman" w:cs="Times New Roman"/>
          <w:spacing w:val="23"/>
          <w:sz w:val="24"/>
          <w:szCs w:val="24"/>
        </w:rPr>
        <w:t xml:space="preserve"> </w:t>
      </w:r>
      <w:r>
        <w:rPr>
          <w:rFonts w:ascii="宋体" w:hAnsi="宋体" w:eastAsia="宋体" w:cs="宋体"/>
          <w:spacing w:val="-10"/>
          <w:sz w:val="24"/>
          <w:szCs w:val="24"/>
        </w:rPr>
        <w:t>时，</w:t>
      </w:r>
      <w:r>
        <w:rPr>
          <w:rFonts w:ascii="宋体" w:hAnsi="宋体" w:eastAsia="宋体" w:cs="宋体"/>
          <w:spacing w:val="-50"/>
          <w:sz w:val="24"/>
          <w:szCs w:val="24"/>
        </w:rPr>
        <w:t xml:space="preserve"> </w:t>
      </w:r>
      <w:r>
        <w:rPr>
          <w:rFonts w:ascii="宋体" w:hAnsi="宋体" w:eastAsia="宋体" w:cs="宋体"/>
          <w:spacing w:val="-10"/>
          <w:sz w:val="24"/>
          <w:szCs w:val="24"/>
        </w:rPr>
        <w:t>项目环境风险潜</w:t>
      </w:r>
    </w:p>
    <w:p>
      <w:pPr>
        <w:spacing w:line="219" w:lineRule="auto"/>
        <w:ind w:left="45"/>
        <w:rPr>
          <w:rFonts w:ascii="宋体" w:hAnsi="宋体" w:eastAsia="宋体" w:cs="宋体"/>
          <w:sz w:val="24"/>
          <w:szCs w:val="24"/>
        </w:rPr>
      </w:pPr>
      <w:r>
        <w:rPr>
          <w:rFonts w:ascii="宋体" w:hAnsi="宋体" w:eastAsia="宋体" w:cs="宋体"/>
          <w:spacing w:val="-10"/>
          <w:sz w:val="24"/>
          <w:szCs w:val="24"/>
        </w:rPr>
        <w:t>势为Ⅰ。</w:t>
      </w:r>
    </w:p>
    <w:p>
      <w:pPr>
        <w:spacing w:before="183" w:line="218"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）评价等级</w:t>
      </w:r>
    </w:p>
    <w:p>
      <w:pPr>
        <w:spacing w:before="293" w:line="218" w:lineRule="auto"/>
        <w:ind w:left="519"/>
        <w:rPr>
          <w:rFonts w:ascii="宋体" w:hAnsi="宋体" w:eastAsia="宋体" w:cs="宋体"/>
          <w:sz w:val="24"/>
          <w:szCs w:val="24"/>
        </w:rPr>
      </w:pPr>
      <w:r>
        <w:rPr>
          <w:rFonts w:ascii="宋体" w:hAnsi="宋体" w:eastAsia="宋体" w:cs="宋体"/>
          <w:spacing w:val="-2"/>
          <w:sz w:val="24"/>
          <w:szCs w:val="24"/>
        </w:rPr>
        <w:t>根据《建设项目环境风险评价技术导则》（</w:t>
      </w:r>
      <w:r>
        <w:rPr>
          <w:rFonts w:ascii="Times New Roman" w:hAnsi="Times New Roman" w:eastAsia="Times New Roman" w:cs="Times New Roman"/>
          <w:spacing w:val="-2"/>
          <w:sz w:val="24"/>
          <w:szCs w:val="24"/>
        </w:rPr>
        <w:t>HJ169</w:t>
      </w:r>
      <w:r>
        <w:rPr>
          <w:rFonts w:ascii="Times New Roman" w:hAnsi="Times New Roman" w:eastAsia="Times New Roman" w:cs="Times New Roman"/>
          <w:spacing w:val="-3"/>
          <w:sz w:val="24"/>
          <w:szCs w:val="24"/>
        </w:rPr>
        <w:t>-2018</w:t>
      </w:r>
      <w:r>
        <w:rPr>
          <w:rFonts w:ascii="宋体" w:hAnsi="宋体" w:eastAsia="宋体" w:cs="宋体"/>
          <w:spacing w:val="-3"/>
          <w:sz w:val="24"/>
          <w:szCs w:val="24"/>
        </w:rPr>
        <w:t>）中规定，评价工作</w:t>
      </w:r>
    </w:p>
    <w:p>
      <w:pPr>
        <w:spacing w:before="156" w:line="220" w:lineRule="auto"/>
        <w:ind w:left="41"/>
        <w:rPr>
          <w:rFonts w:ascii="宋体" w:hAnsi="宋体" w:eastAsia="宋体" w:cs="宋体"/>
          <w:sz w:val="24"/>
          <w:szCs w:val="24"/>
        </w:rPr>
      </w:pPr>
      <w:r>
        <w:rPr>
          <w:rFonts w:ascii="宋体" w:hAnsi="宋体" w:eastAsia="宋体" w:cs="宋体"/>
          <w:spacing w:val="-9"/>
          <w:sz w:val="24"/>
          <w:szCs w:val="24"/>
        </w:rPr>
        <w:t>等级划分如下：</w:t>
      </w:r>
    </w:p>
    <w:p>
      <w:pPr>
        <w:spacing w:before="40" w:line="212" w:lineRule="auto"/>
        <w:ind w:left="3181"/>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Times New Roman" w:hAnsi="Times New Roman" w:eastAsia="Times New Roman" w:cs="Times New Roman"/>
          <w:b/>
          <w:bCs/>
          <w:spacing w:val="-1"/>
          <w:sz w:val="21"/>
          <w:szCs w:val="21"/>
        </w:rPr>
        <w:t xml:space="preserve">5.1-1  </w:t>
      </w:r>
      <w:r>
        <w:rPr>
          <w:rFonts w:ascii="宋体" w:hAnsi="宋体" w:eastAsia="宋体" w:cs="宋体"/>
          <w:spacing w:val="-1"/>
          <w:sz w:val="21"/>
          <w:szCs w:val="21"/>
          <w14:textOutline w14:w="3810" w14:cap="flat" w14:cmpd="sng">
            <w14:solidFill>
              <w14:srgbClr w14:val="000000"/>
            </w14:solidFill>
            <w14:prstDash w14:val="solid"/>
            <w14:miter w14:val="0"/>
          </w14:textOutline>
        </w:rPr>
        <w:t>评价工作等级划分</w:t>
      </w:r>
    </w:p>
    <w:tbl>
      <w:tblPr>
        <w:tblStyle w:val="5"/>
        <w:tblW w:w="8859"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86"/>
        <w:gridCol w:w="1769"/>
        <w:gridCol w:w="1768"/>
        <w:gridCol w:w="1768"/>
        <w:gridCol w:w="17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2" w:hRule="atLeast"/>
        </w:trPr>
        <w:tc>
          <w:tcPr>
            <w:tcW w:w="1786" w:type="dxa"/>
            <w:tcBorders>
              <w:top w:val="single" w:color="000000" w:sz="12" w:space="0"/>
              <w:left w:val="nil"/>
            </w:tcBorders>
            <w:vAlign w:val="top"/>
          </w:tcPr>
          <w:p>
            <w:pPr>
              <w:spacing w:before="31" w:line="194" w:lineRule="auto"/>
              <w:ind w:left="281"/>
              <w:rPr>
                <w:rFonts w:ascii="仿宋" w:hAnsi="仿宋" w:eastAsia="仿宋" w:cs="仿宋"/>
                <w:sz w:val="21"/>
                <w:szCs w:val="21"/>
              </w:rPr>
            </w:pPr>
            <w:r>
              <w:rPr>
                <w:rFonts w:ascii="仿宋" w:hAnsi="仿宋" w:eastAsia="仿宋" w:cs="仿宋"/>
                <w:spacing w:val="-2"/>
                <w:sz w:val="21"/>
                <w:szCs w:val="21"/>
              </w:rPr>
              <w:t>环境风险潜势</w:t>
            </w:r>
          </w:p>
        </w:tc>
        <w:tc>
          <w:tcPr>
            <w:tcW w:w="1769" w:type="dxa"/>
            <w:tcBorders>
              <w:top w:val="single" w:color="000000" w:sz="12" w:space="0"/>
            </w:tcBorders>
            <w:vAlign w:val="top"/>
          </w:tcPr>
          <w:p>
            <w:pPr>
              <w:pStyle w:val="6"/>
              <w:spacing w:before="33" w:line="192" w:lineRule="auto"/>
              <w:ind w:left="517"/>
              <w:rPr>
                <w:sz w:val="14"/>
                <w:szCs w:val="14"/>
              </w:rPr>
            </w:pPr>
            <w:r>
              <w:rPr>
                <w:spacing w:val="-6"/>
                <w:position w:val="-1"/>
              </w:rPr>
              <w:t>IV</w:t>
            </w:r>
            <w:r>
              <w:rPr>
                <w:spacing w:val="-24"/>
                <w:position w:val="-1"/>
              </w:rPr>
              <w:t xml:space="preserve"> </w:t>
            </w:r>
            <w:r>
              <w:rPr>
                <w:rFonts w:ascii="仿宋" w:hAnsi="仿宋" w:eastAsia="仿宋" w:cs="仿宋"/>
                <w:spacing w:val="-6"/>
                <w:position w:val="-1"/>
              </w:rPr>
              <w:t>、</w:t>
            </w:r>
            <w:r>
              <w:rPr>
                <w:spacing w:val="-6"/>
                <w:position w:val="-1"/>
              </w:rPr>
              <w:t>IV</w:t>
            </w:r>
            <w:r>
              <w:rPr>
                <w:spacing w:val="-6"/>
                <w:position w:val="6"/>
                <w:sz w:val="14"/>
                <w:szCs w:val="14"/>
              </w:rPr>
              <w:t>+</w:t>
            </w:r>
          </w:p>
        </w:tc>
        <w:tc>
          <w:tcPr>
            <w:tcW w:w="1768" w:type="dxa"/>
            <w:tcBorders>
              <w:top w:val="single" w:color="000000" w:sz="12" w:space="0"/>
            </w:tcBorders>
            <w:vAlign w:val="top"/>
          </w:tcPr>
          <w:p>
            <w:pPr>
              <w:pStyle w:val="6"/>
              <w:spacing w:before="71" w:line="179" w:lineRule="auto"/>
              <w:ind w:left="778"/>
            </w:pPr>
            <w:r>
              <w:rPr>
                <w:spacing w:val="-2"/>
              </w:rPr>
              <w:t>III</w:t>
            </w:r>
          </w:p>
        </w:tc>
        <w:tc>
          <w:tcPr>
            <w:tcW w:w="1768" w:type="dxa"/>
            <w:tcBorders>
              <w:top w:val="single" w:color="000000" w:sz="12" w:space="0"/>
            </w:tcBorders>
            <w:vAlign w:val="top"/>
          </w:tcPr>
          <w:p>
            <w:pPr>
              <w:pStyle w:val="6"/>
              <w:spacing w:before="71" w:line="179" w:lineRule="auto"/>
              <w:ind w:left="814"/>
            </w:pPr>
            <w:r>
              <w:rPr>
                <w:spacing w:val="-2"/>
              </w:rPr>
              <w:t>II</w:t>
            </w:r>
          </w:p>
        </w:tc>
        <w:tc>
          <w:tcPr>
            <w:tcW w:w="1768" w:type="dxa"/>
            <w:tcBorders>
              <w:top w:val="single" w:color="000000" w:sz="12" w:space="0"/>
              <w:right w:val="nil"/>
            </w:tcBorders>
            <w:vAlign w:val="top"/>
          </w:tcPr>
          <w:p>
            <w:pPr>
              <w:pStyle w:val="6"/>
              <w:spacing w:before="71" w:line="179" w:lineRule="auto"/>
              <w:ind w:left="851"/>
            </w:pPr>
            <w: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7" w:hRule="atLeast"/>
        </w:trPr>
        <w:tc>
          <w:tcPr>
            <w:tcW w:w="1786" w:type="dxa"/>
            <w:tcBorders>
              <w:left w:val="nil"/>
              <w:bottom w:val="single" w:color="000000" w:sz="12" w:space="0"/>
            </w:tcBorders>
            <w:vAlign w:val="top"/>
          </w:tcPr>
          <w:p>
            <w:pPr>
              <w:spacing w:before="46" w:line="203" w:lineRule="auto"/>
              <w:ind w:left="282"/>
              <w:rPr>
                <w:rFonts w:ascii="仿宋" w:hAnsi="仿宋" w:eastAsia="仿宋" w:cs="仿宋"/>
                <w:sz w:val="21"/>
                <w:szCs w:val="21"/>
              </w:rPr>
            </w:pPr>
            <w:r>
              <w:rPr>
                <w:rFonts w:ascii="仿宋" w:hAnsi="仿宋" w:eastAsia="仿宋" w:cs="仿宋"/>
                <w:spacing w:val="-3"/>
                <w:sz w:val="21"/>
                <w:szCs w:val="21"/>
              </w:rPr>
              <w:t>评价工作等级</w:t>
            </w:r>
          </w:p>
        </w:tc>
        <w:tc>
          <w:tcPr>
            <w:tcW w:w="1769" w:type="dxa"/>
            <w:tcBorders>
              <w:bottom w:val="single" w:color="000000" w:sz="12" w:space="0"/>
            </w:tcBorders>
            <w:vAlign w:val="top"/>
          </w:tcPr>
          <w:p>
            <w:pPr>
              <w:spacing w:before="130" w:line="147" w:lineRule="exact"/>
              <w:ind w:left="789"/>
              <w:rPr>
                <w:rFonts w:ascii="仿宋" w:hAnsi="仿宋" w:eastAsia="仿宋" w:cs="仿宋"/>
                <w:sz w:val="21"/>
                <w:szCs w:val="21"/>
              </w:rPr>
            </w:pPr>
            <w:r>
              <w:rPr>
                <w:rFonts w:ascii="仿宋" w:hAnsi="仿宋" w:eastAsia="仿宋" w:cs="仿宋"/>
                <w:position w:val="-4"/>
                <w:sz w:val="21"/>
                <w:szCs w:val="21"/>
              </w:rPr>
              <w:t>一</w:t>
            </w:r>
          </w:p>
        </w:tc>
        <w:tc>
          <w:tcPr>
            <w:tcW w:w="1768" w:type="dxa"/>
            <w:tcBorders>
              <w:bottom w:val="single" w:color="000000" w:sz="12" w:space="0"/>
            </w:tcBorders>
            <w:vAlign w:val="top"/>
          </w:tcPr>
          <w:p>
            <w:pPr>
              <w:spacing w:before="88" w:line="166" w:lineRule="auto"/>
              <w:ind w:left="794"/>
              <w:rPr>
                <w:rFonts w:ascii="仿宋" w:hAnsi="仿宋" w:eastAsia="仿宋" w:cs="仿宋"/>
                <w:sz w:val="21"/>
                <w:szCs w:val="21"/>
              </w:rPr>
            </w:pPr>
            <w:r>
              <w:rPr>
                <w:rFonts w:ascii="仿宋" w:hAnsi="仿宋" w:eastAsia="仿宋" w:cs="仿宋"/>
                <w:sz w:val="21"/>
                <w:szCs w:val="21"/>
              </w:rPr>
              <w:t>二</w:t>
            </w:r>
          </w:p>
        </w:tc>
        <w:tc>
          <w:tcPr>
            <w:tcW w:w="1768" w:type="dxa"/>
            <w:tcBorders>
              <w:bottom w:val="single" w:color="000000" w:sz="12" w:space="0"/>
            </w:tcBorders>
            <w:vAlign w:val="top"/>
          </w:tcPr>
          <w:p>
            <w:pPr>
              <w:spacing w:before="46" w:line="203" w:lineRule="auto"/>
              <w:ind w:left="794"/>
              <w:rPr>
                <w:rFonts w:ascii="仿宋" w:hAnsi="仿宋" w:eastAsia="仿宋" w:cs="仿宋"/>
                <w:sz w:val="21"/>
                <w:szCs w:val="21"/>
              </w:rPr>
            </w:pPr>
            <w:r>
              <w:rPr>
                <w:rFonts w:ascii="仿宋" w:hAnsi="仿宋" w:eastAsia="仿宋" w:cs="仿宋"/>
                <w:sz w:val="21"/>
                <w:szCs w:val="21"/>
              </w:rPr>
              <w:t>三</w:t>
            </w:r>
          </w:p>
        </w:tc>
        <w:tc>
          <w:tcPr>
            <w:tcW w:w="1768" w:type="dxa"/>
            <w:tcBorders>
              <w:bottom w:val="single" w:color="000000" w:sz="12" w:space="0"/>
              <w:right w:val="nil"/>
            </w:tcBorders>
            <w:vAlign w:val="top"/>
          </w:tcPr>
          <w:p>
            <w:pPr>
              <w:spacing w:before="46" w:line="203" w:lineRule="auto"/>
              <w:ind w:left="486"/>
              <w:rPr>
                <w:rFonts w:ascii="仿宋" w:hAnsi="仿宋" w:eastAsia="仿宋" w:cs="仿宋"/>
                <w:sz w:val="21"/>
                <w:szCs w:val="21"/>
              </w:rPr>
            </w:pPr>
            <w:r>
              <w:rPr>
                <w:rFonts w:ascii="仿宋" w:hAnsi="仿宋" w:eastAsia="仿宋" w:cs="仿宋"/>
                <w:spacing w:val="-5"/>
                <w:sz w:val="21"/>
                <w:szCs w:val="21"/>
              </w:rPr>
              <w:t>简单分析</w:t>
            </w:r>
          </w:p>
        </w:tc>
      </w:tr>
    </w:tbl>
    <w:p>
      <w:pPr>
        <w:spacing w:before="147" w:line="439" w:lineRule="exact"/>
        <w:ind w:left="519"/>
        <w:rPr>
          <w:rFonts w:ascii="宋体" w:hAnsi="宋体" w:eastAsia="宋体" w:cs="宋体"/>
          <w:sz w:val="24"/>
          <w:szCs w:val="24"/>
        </w:rPr>
      </w:pPr>
      <w:r>
        <w:rPr>
          <w:rFonts w:ascii="宋体" w:hAnsi="宋体" w:eastAsia="宋体" w:cs="宋体"/>
          <w:spacing w:val="-1"/>
          <w:position w:val="15"/>
          <w:sz w:val="24"/>
          <w:szCs w:val="24"/>
        </w:rPr>
        <w:t>根据《建设项目环境风险评价技术导则》（</w:t>
      </w:r>
      <w:r>
        <w:rPr>
          <w:rFonts w:ascii="Times New Roman" w:hAnsi="Times New Roman" w:eastAsia="Times New Roman" w:cs="Times New Roman"/>
          <w:spacing w:val="-1"/>
          <w:position w:val="15"/>
          <w:sz w:val="24"/>
          <w:szCs w:val="24"/>
        </w:rPr>
        <w:t>HJ169-2018</w:t>
      </w:r>
      <w:r>
        <w:rPr>
          <w:rFonts w:ascii="宋体" w:hAnsi="宋体" w:eastAsia="宋体" w:cs="宋体"/>
          <w:spacing w:val="10"/>
          <w:position w:val="15"/>
          <w:sz w:val="24"/>
          <w:szCs w:val="24"/>
        </w:rPr>
        <w:t>），</w:t>
      </w:r>
      <w:r>
        <w:rPr>
          <w:rFonts w:ascii="宋体" w:hAnsi="宋体" w:eastAsia="宋体" w:cs="宋体"/>
          <w:spacing w:val="-1"/>
          <w:position w:val="15"/>
          <w:sz w:val="24"/>
          <w:szCs w:val="24"/>
        </w:rPr>
        <w:t>项目环境风险</w:t>
      </w:r>
    </w:p>
    <w:p>
      <w:pPr>
        <w:spacing w:before="1" w:line="216" w:lineRule="auto"/>
        <w:ind w:left="38"/>
        <w:rPr>
          <w:rFonts w:ascii="宋体" w:hAnsi="宋体" w:eastAsia="宋体" w:cs="宋体"/>
          <w:sz w:val="24"/>
          <w:szCs w:val="24"/>
        </w:rPr>
      </w:pPr>
      <w:r>
        <w:rPr>
          <w:rFonts w:ascii="宋体" w:hAnsi="宋体" w:eastAsia="宋体" w:cs="宋体"/>
          <w:spacing w:val="6"/>
          <w:sz w:val="24"/>
          <w:szCs w:val="24"/>
        </w:rPr>
        <w:t>潜势为Ⅰ,可开展简单分析。</w:t>
      </w:r>
    </w:p>
    <w:p>
      <w:pPr>
        <w:spacing w:line="298" w:lineRule="auto"/>
        <w:rPr>
          <w:rFonts w:ascii="Arial"/>
          <w:sz w:val="21"/>
        </w:rPr>
      </w:pPr>
    </w:p>
    <w:p>
      <w:pPr>
        <w:pStyle w:val="2"/>
        <w:spacing w:before="78" w:line="233" w:lineRule="auto"/>
        <w:ind w:left="38"/>
        <w:outlineLvl w:val="2"/>
        <w:rPr>
          <w:sz w:val="24"/>
          <w:szCs w:val="24"/>
        </w:rPr>
      </w:pPr>
      <w:r>
        <w:rPr>
          <w:rFonts w:ascii="Times New Roman" w:hAnsi="Times New Roman" w:eastAsia="Times New Roman" w:cs="Times New Roman"/>
          <w:b/>
          <w:bCs/>
          <w:spacing w:val="-1"/>
          <w:sz w:val="24"/>
          <w:szCs w:val="24"/>
        </w:rPr>
        <w:t xml:space="preserve">5.1.2 </w:t>
      </w:r>
      <w:r>
        <w:rPr>
          <w:spacing w:val="-1"/>
          <w:sz w:val="24"/>
          <w:szCs w:val="24"/>
          <w14:textOutline w14:w="4354" w14:cap="flat" w14:cmpd="sng">
            <w14:solidFill>
              <w14:srgbClr w14:val="000000"/>
            </w14:solidFill>
            <w14:prstDash w14:val="solid"/>
            <w14:miter w14:val="0"/>
          </w14:textOutline>
        </w:rPr>
        <w:t>环境敏感目标情况</w:t>
      </w:r>
    </w:p>
    <w:p>
      <w:pPr>
        <w:spacing w:before="309" w:line="220" w:lineRule="auto"/>
        <w:ind w:left="519"/>
        <w:rPr>
          <w:rFonts w:ascii="宋体" w:hAnsi="宋体" w:eastAsia="宋体" w:cs="宋体"/>
          <w:sz w:val="24"/>
          <w:szCs w:val="24"/>
        </w:rPr>
      </w:pPr>
      <w:r>
        <w:rPr>
          <w:rFonts w:ascii="宋体" w:hAnsi="宋体" w:eastAsia="宋体" w:cs="宋体"/>
          <w:spacing w:val="-4"/>
          <w:sz w:val="24"/>
          <w:szCs w:val="24"/>
        </w:rPr>
        <w:t>根据现场调查，项目周围敏感点如下所示：</w:t>
      </w:r>
    </w:p>
    <w:p>
      <w:pPr>
        <w:pStyle w:val="2"/>
        <w:spacing w:before="180" w:line="219" w:lineRule="auto"/>
        <w:ind w:left="2263"/>
      </w:pPr>
      <w:r>
        <w:rPr>
          <w:spacing w:val="-1"/>
          <w14:textOutline w14:w="3810" w14:cap="flat" w14:cmpd="sng">
            <w14:solidFill>
              <w14:srgbClr w14:val="000000"/>
            </w14:solidFill>
            <w14:prstDash w14:val="solid"/>
            <w14:miter w14:val="0"/>
          </w14:textOutline>
        </w:rPr>
        <w:t>表</w:t>
      </w:r>
      <w:r>
        <w:rPr>
          <w:spacing w:val="-29"/>
        </w:rPr>
        <w:t xml:space="preserve"> </w:t>
      </w:r>
      <w:r>
        <w:rPr>
          <w:rFonts w:ascii="Times New Roman" w:hAnsi="Times New Roman" w:eastAsia="Times New Roman" w:cs="Times New Roman"/>
          <w:b/>
          <w:bCs/>
          <w:spacing w:val="-1"/>
        </w:rPr>
        <w:t xml:space="preserve">5.1-2    </w:t>
      </w:r>
      <w:r>
        <w:rPr>
          <w:spacing w:val="-1"/>
          <w14:textOutline w14:w="3810" w14:cap="flat" w14:cmpd="sng">
            <w14:solidFill>
              <w14:srgbClr w14:val="000000"/>
            </w14:solidFill>
            <w14:prstDash w14:val="solid"/>
            <w14:miter w14:val="0"/>
          </w14:textOutline>
        </w:rPr>
        <w:t>环境保护目标及保护要求一览表</w:t>
      </w:r>
    </w:p>
    <w:p>
      <w:pPr>
        <w:spacing w:line="19" w:lineRule="exact"/>
      </w:pPr>
    </w:p>
    <w:tbl>
      <w:tblPr>
        <w:tblStyle w:val="5"/>
        <w:tblW w:w="8307" w:type="dxa"/>
        <w:tblInd w:w="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3"/>
        <w:gridCol w:w="1768"/>
        <w:gridCol w:w="2454"/>
        <w:gridCol w:w="1411"/>
        <w:gridCol w:w="15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 w:hRule="atLeast"/>
        </w:trPr>
        <w:tc>
          <w:tcPr>
            <w:tcW w:w="1103" w:type="dxa"/>
            <w:tcBorders>
              <w:top w:val="single" w:color="000000" w:sz="12" w:space="0"/>
              <w:left w:val="nil"/>
            </w:tcBorders>
            <w:vAlign w:val="top"/>
          </w:tcPr>
          <w:p>
            <w:pPr>
              <w:spacing w:before="31" w:line="202" w:lineRule="auto"/>
              <w:ind w:left="142"/>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环境要素</w:t>
            </w:r>
          </w:p>
        </w:tc>
        <w:tc>
          <w:tcPr>
            <w:tcW w:w="1768" w:type="dxa"/>
            <w:tcBorders>
              <w:top w:val="single" w:color="000000" w:sz="12" w:space="0"/>
            </w:tcBorders>
            <w:vAlign w:val="top"/>
          </w:tcPr>
          <w:p>
            <w:pPr>
              <w:spacing w:before="31" w:line="202" w:lineRule="auto"/>
              <w:ind w:left="47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保护对象</w:t>
            </w:r>
          </w:p>
        </w:tc>
        <w:tc>
          <w:tcPr>
            <w:tcW w:w="2454" w:type="dxa"/>
            <w:tcBorders>
              <w:top w:val="single" w:color="000000" w:sz="12" w:space="0"/>
            </w:tcBorders>
            <w:vAlign w:val="top"/>
          </w:tcPr>
          <w:p>
            <w:pPr>
              <w:spacing w:before="31" w:line="202" w:lineRule="auto"/>
              <w:ind w:left="605"/>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保护对象特征</w:t>
            </w:r>
          </w:p>
        </w:tc>
        <w:tc>
          <w:tcPr>
            <w:tcW w:w="2982" w:type="dxa"/>
            <w:gridSpan w:val="2"/>
            <w:tcBorders>
              <w:top w:val="single" w:color="000000" w:sz="12" w:space="0"/>
              <w:right w:val="nil"/>
            </w:tcBorders>
            <w:vAlign w:val="top"/>
          </w:tcPr>
          <w:p>
            <w:pPr>
              <w:spacing w:before="31" w:line="202" w:lineRule="auto"/>
              <w:ind w:left="13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相对位置及最近距离（油库）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1" w:hRule="atLeast"/>
        </w:trPr>
        <w:tc>
          <w:tcPr>
            <w:tcW w:w="1103" w:type="dxa"/>
            <w:vMerge w:val="restart"/>
            <w:tcBorders>
              <w:left w:val="nil"/>
              <w:bottom w:val="nil"/>
            </w:tcBorders>
            <w:vAlign w:val="top"/>
          </w:tcPr>
          <w:p>
            <w:pPr>
              <w:spacing w:line="380" w:lineRule="auto"/>
              <w:rPr>
                <w:rFonts w:ascii="Arial"/>
                <w:sz w:val="21"/>
              </w:rPr>
            </w:pPr>
          </w:p>
          <w:p>
            <w:pPr>
              <w:spacing w:before="68" w:line="218" w:lineRule="auto"/>
              <w:ind w:left="144"/>
              <w:rPr>
                <w:rFonts w:ascii="仿宋" w:hAnsi="仿宋" w:eastAsia="仿宋" w:cs="仿宋"/>
                <w:sz w:val="21"/>
                <w:szCs w:val="21"/>
              </w:rPr>
            </w:pPr>
            <w:r>
              <w:rPr>
                <w:rFonts w:ascii="仿宋" w:hAnsi="仿宋" w:eastAsia="仿宋" w:cs="仿宋"/>
                <w:spacing w:val="-3"/>
                <w:sz w:val="21"/>
                <w:szCs w:val="21"/>
              </w:rPr>
              <w:t>环境风险</w:t>
            </w:r>
          </w:p>
        </w:tc>
        <w:tc>
          <w:tcPr>
            <w:tcW w:w="1768" w:type="dxa"/>
            <w:vAlign w:val="top"/>
          </w:tcPr>
          <w:p>
            <w:pPr>
              <w:spacing w:before="36" w:line="197" w:lineRule="auto"/>
              <w:ind w:left="583"/>
              <w:rPr>
                <w:rFonts w:ascii="仿宋" w:hAnsi="仿宋" w:eastAsia="仿宋" w:cs="仿宋"/>
                <w:sz w:val="21"/>
                <w:szCs w:val="21"/>
              </w:rPr>
            </w:pPr>
            <w:r>
              <w:rPr>
                <w:rFonts w:ascii="仿宋" w:hAnsi="仿宋" w:eastAsia="仿宋" w:cs="仿宋"/>
                <w:spacing w:val="-5"/>
                <w:sz w:val="21"/>
                <w:szCs w:val="21"/>
              </w:rPr>
              <w:t>李子地</w:t>
            </w:r>
          </w:p>
        </w:tc>
        <w:tc>
          <w:tcPr>
            <w:tcW w:w="2454" w:type="dxa"/>
            <w:vAlign w:val="top"/>
          </w:tcPr>
          <w:p>
            <w:pPr>
              <w:pStyle w:val="6"/>
              <w:spacing w:before="36" w:line="197" w:lineRule="auto"/>
              <w:ind w:left="650"/>
              <w:rPr>
                <w:rFonts w:ascii="仿宋" w:hAnsi="仿宋" w:eastAsia="仿宋" w:cs="仿宋"/>
              </w:rPr>
            </w:pPr>
            <w:r>
              <w:rPr>
                <w:spacing w:val="-3"/>
              </w:rPr>
              <w:t>27</w:t>
            </w:r>
            <w:r>
              <w:rPr>
                <w:spacing w:val="15"/>
              </w:rPr>
              <w:t xml:space="preserve"> </w:t>
            </w:r>
            <w:r>
              <w:rPr>
                <w:rFonts w:ascii="仿宋" w:hAnsi="仿宋" w:eastAsia="仿宋" w:cs="仿宋"/>
                <w:spacing w:val="-3"/>
              </w:rPr>
              <w:t>户，</w:t>
            </w:r>
            <w:r>
              <w:rPr>
                <w:spacing w:val="-3"/>
              </w:rPr>
              <w:t>95</w:t>
            </w:r>
            <w:r>
              <w:rPr>
                <w:spacing w:val="18"/>
              </w:rPr>
              <w:t xml:space="preserve"> </w:t>
            </w:r>
            <w:r>
              <w:rPr>
                <w:rFonts w:ascii="仿宋" w:hAnsi="仿宋" w:eastAsia="仿宋" w:cs="仿宋"/>
                <w:spacing w:val="-3"/>
              </w:rPr>
              <w:t>人</w:t>
            </w:r>
          </w:p>
        </w:tc>
        <w:tc>
          <w:tcPr>
            <w:tcW w:w="1411" w:type="dxa"/>
            <w:tcBorders>
              <w:right w:val="nil"/>
            </w:tcBorders>
            <w:vAlign w:val="top"/>
          </w:tcPr>
          <w:p>
            <w:pPr>
              <w:pStyle w:val="6"/>
              <w:spacing w:before="75" w:line="163" w:lineRule="auto"/>
              <w:jc w:val="right"/>
              <w:rPr>
                <w:rFonts w:ascii="仿宋" w:hAnsi="仿宋" w:eastAsia="仿宋" w:cs="仿宋"/>
              </w:rPr>
            </w:pPr>
            <w:r>
              <w:rPr>
                <w:spacing w:val="-21"/>
                <w:w w:val="95"/>
              </w:rPr>
              <w:t>NE</w:t>
            </w:r>
            <w:r>
              <w:rPr>
                <w:rFonts w:ascii="仿宋" w:hAnsi="仿宋" w:eastAsia="仿宋" w:cs="仿宋"/>
                <w:spacing w:val="-21"/>
                <w:w w:val="95"/>
              </w:rPr>
              <w:t>，</w:t>
            </w:r>
          </w:p>
        </w:tc>
        <w:tc>
          <w:tcPr>
            <w:tcW w:w="1571" w:type="dxa"/>
            <w:tcBorders>
              <w:left w:val="nil"/>
              <w:right w:val="nil"/>
            </w:tcBorders>
            <w:vAlign w:val="top"/>
          </w:tcPr>
          <w:p>
            <w:pPr>
              <w:pStyle w:val="6"/>
              <w:spacing w:before="71" w:line="188" w:lineRule="auto"/>
              <w:ind w:left="88"/>
            </w:pPr>
            <w:r>
              <w:rPr>
                <w:spacing w:val="-1"/>
              </w:rPr>
              <w:t>410m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830" w:hRule="atLeast"/>
        </w:trPr>
        <w:tc>
          <w:tcPr>
            <w:tcW w:w="1103" w:type="dxa"/>
            <w:vMerge w:val="continue"/>
            <w:tcBorders>
              <w:top w:val="nil"/>
              <w:left w:val="nil"/>
              <w:bottom w:val="single" w:color="000000" w:sz="12" w:space="0"/>
            </w:tcBorders>
            <w:vAlign w:val="top"/>
          </w:tcPr>
          <w:p>
            <w:pPr>
              <w:rPr>
                <w:rFonts w:ascii="Arial"/>
                <w:sz w:val="21"/>
              </w:rPr>
            </w:pPr>
          </w:p>
        </w:tc>
        <w:tc>
          <w:tcPr>
            <w:tcW w:w="1768" w:type="dxa"/>
            <w:tcBorders>
              <w:bottom w:val="single" w:color="000000" w:sz="12" w:space="0"/>
            </w:tcBorders>
            <w:vAlign w:val="top"/>
          </w:tcPr>
          <w:p>
            <w:pPr>
              <w:spacing w:line="246" w:lineRule="auto"/>
              <w:rPr>
                <w:rFonts w:ascii="Arial"/>
                <w:sz w:val="21"/>
              </w:rPr>
            </w:pPr>
          </w:p>
          <w:p>
            <w:pPr>
              <w:spacing w:before="68" w:line="216" w:lineRule="auto"/>
              <w:ind w:left="578"/>
              <w:rPr>
                <w:rFonts w:ascii="仿宋" w:hAnsi="仿宋" w:eastAsia="仿宋" w:cs="仿宋"/>
                <w:sz w:val="21"/>
                <w:szCs w:val="21"/>
              </w:rPr>
            </w:pPr>
            <w:r>
              <w:rPr>
                <w:rFonts w:ascii="仿宋" w:hAnsi="仿宋" w:eastAsia="仿宋" w:cs="仿宋"/>
                <w:spacing w:val="-5"/>
                <w:sz w:val="21"/>
                <w:szCs w:val="21"/>
              </w:rPr>
              <w:t>桂花河</w:t>
            </w:r>
          </w:p>
        </w:tc>
        <w:tc>
          <w:tcPr>
            <w:tcW w:w="2454" w:type="dxa"/>
            <w:tcBorders>
              <w:bottom w:val="single" w:color="000000" w:sz="12" w:space="0"/>
            </w:tcBorders>
            <w:vAlign w:val="top"/>
          </w:tcPr>
          <w:p>
            <w:pPr>
              <w:spacing w:before="44" w:line="218" w:lineRule="auto"/>
              <w:ind w:left="288"/>
              <w:rPr>
                <w:rFonts w:ascii="仿宋" w:hAnsi="仿宋" w:eastAsia="仿宋" w:cs="仿宋"/>
                <w:sz w:val="21"/>
                <w:szCs w:val="21"/>
              </w:rPr>
            </w:pPr>
            <w:r>
              <w:rPr>
                <w:rFonts w:ascii="仿宋" w:hAnsi="仿宋" w:eastAsia="仿宋" w:cs="仿宋"/>
                <w:spacing w:val="-3"/>
                <w:sz w:val="21"/>
                <w:szCs w:val="21"/>
              </w:rPr>
              <w:t>《地表水环境质量标</w:t>
            </w:r>
          </w:p>
          <w:p>
            <w:pPr>
              <w:pStyle w:val="6"/>
              <w:spacing w:before="24" w:line="218" w:lineRule="auto"/>
              <w:ind w:left="166"/>
              <w:rPr>
                <w:rFonts w:ascii="仿宋" w:hAnsi="仿宋" w:eastAsia="仿宋" w:cs="仿宋"/>
              </w:rPr>
            </w:pPr>
            <w:r>
              <w:rPr>
                <w:rFonts w:ascii="仿宋" w:hAnsi="仿宋" w:eastAsia="仿宋" w:cs="仿宋"/>
                <w:spacing w:val="-8"/>
              </w:rPr>
              <w:t>准》（</w:t>
            </w:r>
            <w:r>
              <w:rPr>
                <w:spacing w:val="-8"/>
              </w:rPr>
              <w:t>GB3838-2002</w:t>
            </w:r>
            <w:r>
              <w:rPr>
                <w:rFonts w:ascii="仿宋" w:hAnsi="仿宋" w:eastAsia="仿宋" w:cs="仿宋"/>
                <w:spacing w:val="-8"/>
              </w:rPr>
              <w:t>）Ⅲ</w:t>
            </w:r>
          </w:p>
          <w:p>
            <w:pPr>
              <w:spacing w:before="24" w:line="203" w:lineRule="auto"/>
              <w:ind w:left="1135"/>
              <w:rPr>
                <w:rFonts w:ascii="仿宋" w:hAnsi="仿宋" w:eastAsia="仿宋" w:cs="仿宋"/>
                <w:sz w:val="21"/>
                <w:szCs w:val="21"/>
              </w:rPr>
            </w:pPr>
            <w:r>
              <w:rPr>
                <w:rFonts w:ascii="仿宋" w:hAnsi="仿宋" w:eastAsia="仿宋" w:cs="仿宋"/>
                <w:sz w:val="21"/>
                <w:szCs w:val="21"/>
              </w:rPr>
              <w:t>类</w:t>
            </w:r>
          </w:p>
        </w:tc>
        <w:tc>
          <w:tcPr>
            <w:tcW w:w="1411" w:type="dxa"/>
            <w:tcBorders>
              <w:bottom w:val="single" w:color="000000" w:sz="12" w:space="0"/>
              <w:right w:val="nil"/>
            </w:tcBorders>
            <w:vAlign w:val="top"/>
          </w:tcPr>
          <w:p>
            <w:pPr>
              <w:spacing w:line="282" w:lineRule="auto"/>
              <w:rPr>
                <w:rFonts w:ascii="Arial"/>
                <w:sz w:val="21"/>
              </w:rPr>
            </w:pPr>
          </w:p>
          <w:p>
            <w:pPr>
              <w:pStyle w:val="6"/>
              <w:spacing w:before="69" w:line="180" w:lineRule="auto"/>
              <w:jc w:val="right"/>
              <w:rPr>
                <w:rFonts w:ascii="仿宋" w:hAnsi="仿宋" w:eastAsia="仿宋" w:cs="仿宋"/>
              </w:rPr>
            </w:pPr>
            <w:r>
              <w:rPr>
                <w:spacing w:val="-36"/>
              </w:rPr>
              <w:t>S</w:t>
            </w:r>
            <w:r>
              <w:rPr>
                <w:rFonts w:ascii="仿宋" w:hAnsi="仿宋" w:eastAsia="仿宋" w:cs="仿宋"/>
                <w:spacing w:val="-36"/>
              </w:rPr>
              <w:t>，</w:t>
            </w:r>
          </w:p>
        </w:tc>
        <w:tc>
          <w:tcPr>
            <w:tcW w:w="1571" w:type="dxa"/>
            <w:tcBorders>
              <w:left w:val="nil"/>
              <w:bottom w:val="single" w:color="000000" w:sz="12" w:space="0"/>
              <w:right w:val="nil"/>
            </w:tcBorders>
            <w:vAlign w:val="top"/>
          </w:tcPr>
          <w:p>
            <w:pPr>
              <w:spacing w:line="289" w:lineRule="auto"/>
              <w:rPr>
                <w:rFonts w:ascii="Arial"/>
                <w:sz w:val="21"/>
              </w:rPr>
            </w:pPr>
          </w:p>
          <w:p>
            <w:pPr>
              <w:pStyle w:val="6"/>
              <w:spacing w:before="60" w:line="232" w:lineRule="auto"/>
              <w:ind w:left="69"/>
            </w:pPr>
            <w:r>
              <w:rPr>
                <w:spacing w:val="-4"/>
              </w:rPr>
              <w:t>80m</w:t>
            </w:r>
          </w:p>
        </w:tc>
      </w:tr>
    </w:tbl>
    <w:p>
      <w:pPr>
        <w:spacing w:line="286" w:lineRule="auto"/>
        <w:rPr>
          <w:rFonts w:ascii="Arial"/>
          <w:sz w:val="21"/>
        </w:rPr>
      </w:pPr>
    </w:p>
    <w:p>
      <w:pPr>
        <w:pStyle w:val="2"/>
        <w:spacing w:before="79" w:line="233" w:lineRule="auto"/>
        <w:ind w:left="38"/>
        <w:outlineLvl w:val="2"/>
        <w:rPr>
          <w:sz w:val="24"/>
          <w:szCs w:val="24"/>
        </w:rPr>
      </w:pPr>
      <w:r>
        <w:rPr>
          <w:rFonts w:ascii="Times New Roman" w:hAnsi="Times New Roman" w:eastAsia="Times New Roman" w:cs="Times New Roman"/>
          <w:b/>
          <w:bCs/>
          <w:spacing w:val="-1"/>
          <w:sz w:val="24"/>
          <w:szCs w:val="24"/>
        </w:rPr>
        <w:t xml:space="preserve">5.1.3 </w:t>
      </w:r>
      <w:r>
        <w:rPr>
          <w:spacing w:val="-1"/>
          <w:sz w:val="24"/>
          <w:szCs w:val="24"/>
          <w14:textOutline w14:w="4354" w14:cap="flat" w14:cmpd="sng">
            <w14:solidFill>
              <w14:srgbClr w14:val="000000"/>
            </w14:solidFill>
            <w14:prstDash w14:val="solid"/>
            <w14:miter w14:val="0"/>
          </w14:textOutline>
        </w:rPr>
        <w:t>环境风险识别</w:t>
      </w:r>
    </w:p>
    <w:p>
      <w:pPr>
        <w:spacing w:before="199"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）主要危险物质及分布情况</w:t>
      </w:r>
    </w:p>
    <w:p>
      <w:pPr>
        <w:spacing w:before="260" w:line="233" w:lineRule="auto"/>
        <w:ind w:left="523"/>
        <w:rPr>
          <w:rFonts w:ascii="Times New Roman" w:hAnsi="Times New Roman" w:eastAsia="Times New Roman" w:cs="Times New Roman"/>
          <w:sz w:val="15"/>
          <w:szCs w:val="15"/>
        </w:rPr>
      </w:pPr>
      <w:r>
        <w:rPr>
          <w:rFonts w:ascii="宋体" w:hAnsi="宋体" w:eastAsia="宋体" w:cs="宋体"/>
          <w:spacing w:val="-9"/>
          <w:sz w:val="24"/>
          <w:szCs w:val="24"/>
        </w:rPr>
        <w:t>项目风险物质为柴油。项目施工区设置</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座柴油库（</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个油罐</w:t>
      </w:r>
      <w:r>
        <w:rPr>
          <w:rFonts w:ascii="宋体" w:hAnsi="宋体" w:eastAsia="宋体" w:cs="宋体"/>
          <w:spacing w:val="-42"/>
          <w:sz w:val="24"/>
          <w:szCs w:val="24"/>
        </w:rPr>
        <w:t>），</w:t>
      </w:r>
      <w:r>
        <w:rPr>
          <w:rFonts w:ascii="宋体" w:hAnsi="宋体" w:eastAsia="宋体" w:cs="宋体"/>
          <w:spacing w:val="-9"/>
          <w:sz w:val="24"/>
          <w:szCs w:val="24"/>
        </w:rPr>
        <w:t>储油量</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30m</w:t>
      </w:r>
      <w:r>
        <w:rPr>
          <w:rFonts w:ascii="Times New Roman" w:hAnsi="Times New Roman" w:eastAsia="Times New Roman" w:cs="Times New Roman"/>
          <w:spacing w:val="-9"/>
          <w:position w:val="8"/>
          <w:sz w:val="15"/>
          <w:szCs w:val="15"/>
        </w:rPr>
        <w:t>3</w:t>
      </w:r>
    </w:p>
    <w:p>
      <w:pPr>
        <w:spacing w:line="233" w:lineRule="auto"/>
        <w:rPr>
          <w:rFonts w:ascii="Times New Roman" w:hAnsi="Times New Roman" w:eastAsia="Times New Roman" w:cs="Times New Roman"/>
          <w:sz w:val="15"/>
          <w:szCs w:val="15"/>
        </w:rPr>
        <w:sectPr>
          <w:headerReference r:id="rId423" w:type="default"/>
          <w:footerReference r:id="rId424" w:type="default"/>
          <w:pgSz w:w="11907" w:h="16839"/>
          <w:pgMar w:top="1156" w:right="1261" w:bottom="1374" w:left="1770" w:header="881" w:footer="1210" w:gutter="0"/>
        </w:sectPr>
      </w:pPr>
    </w:p>
    <w:p>
      <w:pPr>
        <w:spacing w:line="316" w:lineRule="auto"/>
        <w:rPr>
          <w:rFonts w:ascii="Arial"/>
          <w:sz w:val="21"/>
        </w:rPr>
      </w:pPr>
    </w:p>
    <w:p>
      <w:pPr>
        <w:spacing w:before="78" w:line="220" w:lineRule="auto"/>
        <w:ind w:left="129"/>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26t</w:t>
      </w:r>
      <w:r>
        <w:rPr>
          <w:rFonts w:ascii="宋体" w:hAnsi="宋体" w:eastAsia="宋体" w:cs="宋体"/>
          <w:spacing w:val="-6"/>
          <w:sz w:val="24"/>
          <w:szCs w:val="24"/>
        </w:rPr>
        <w:t>）。柴油物化性质和危险性识别见表</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5.1-3</w:t>
      </w:r>
      <w:r>
        <w:rPr>
          <w:rFonts w:ascii="宋体" w:hAnsi="宋体" w:eastAsia="宋体" w:cs="宋体"/>
          <w:spacing w:val="-6"/>
          <w:sz w:val="24"/>
          <w:szCs w:val="24"/>
        </w:rPr>
        <w:t>。</w:t>
      </w:r>
    </w:p>
    <w:p>
      <w:pPr>
        <w:spacing w:before="119" w:line="229" w:lineRule="auto"/>
        <w:ind w:left="2553"/>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0"/>
          <w:sz w:val="21"/>
          <w:szCs w:val="21"/>
        </w:rPr>
        <w:t xml:space="preserve"> </w:t>
      </w:r>
      <w:r>
        <w:rPr>
          <w:rFonts w:ascii="Times New Roman" w:hAnsi="Times New Roman" w:eastAsia="Times New Roman" w:cs="Times New Roman"/>
          <w:b/>
          <w:bCs/>
          <w:spacing w:val="-1"/>
          <w:sz w:val="21"/>
          <w:szCs w:val="21"/>
        </w:rPr>
        <w:t xml:space="preserve">5.1-3    </w:t>
      </w:r>
      <w:r>
        <w:rPr>
          <w:rFonts w:ascii="宋体" w:hAnsi="宋体" w:eastAsia="宋体" w:cs="宋体"/>
          <w:spacing w:val="-1"/>
          <w:sz w:val="21"/>
          <w:szCs w:val="21"/>
          <w14:textOutline w14:w="3810" w14:cap="flat" w14:cmpd="sng">
            <w14:solidFill>
              <w14:srgbClr w14:val="000000"/>
            </w14:solidFill>
            <w14:prstDash w14:val="solid"/>
            <w14:miter w14:val="0"/>
          </w14:textOutline>
        </w:rPr>
        <w:t>柴油物化性质和危险性识别</w:t>
      </w:r>
    </w:p>
    <w:tbl>
      <w:tblPr>
        <w:tblStyle w:val="5"/>
        <w:tblW w:w="8506"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2"/>
        <w:gridCol w:w="2308"/>
        <w:gridCol w:w="2126"/>
        <w:gridCol w:w="23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5" w:hRule="atLeast"/>
        </w:trPr>
        <w:tc>
          <w:tcPr>
            <w:tcW w:w="1762" w:type="dxa"/>
            <w:tcBorders>
              <w:left w:val="nil"/>
            </w:tcBorders>
            <w:vAlign w:val="top"/>
          </w:tcPr>
          <w:p>
            <w:pPr>
              <w:spacing w:before="84" w:line="218" w:lineRule="auto"/>
              <w:ind w:left="681"/>
              <w:rPr>
                <w:rFonts w:ascii="仿宋" w:hAnsi="仿宋" w:eastAsia="仿宋" w:cs="仿宋"/>
                <w:sz w:val="21"/>
                <w:szCs w:val="21"/>
              </w:rPr>
            </w:pPr>
            <w:r>
              <w:rPr>
                <w:rFonts w:ascii="仿宋" w:hAnsi="仿宋" w:eastAsia="仿宋" w:cs="仿宋"/>
                <w:spacing w:val="-28"/>
                <w:sz w:val="21"/>
                <w:szCs w:val="21"/>
              </w:rPr>
              <w:t>中文名</w:t>
            </w:r>
          </w:p>
        </w:tc>
        <w:tc>
          <w:tcPr>
            <w:tcW w:w="2308" w:type="dxa"/>
            <w:vAlign w:val="top"/>
          </w:tcPr>
          <w:p>
            <w:pPr>
              <w:spacing w:before="84" w:line="216" w:lineRule="auto"/>
              <w:ind w:left="970"/>
              <w:rPr>
                <w:rFonts w:ascii="仿宋" w:hAnsi="仿宋" w:eastAsia="仿宋" w:cs="仿宋"/>
                <w:sz w:val="21"/>
                <w:szCs w:val="21"/>
              </w:rPr>
            </w:pPr>
            <w:r>
              <w:rPr>
                <w:rFonts w:ascii="仿宋" w:hAnsi="仿宋" w:eastAsia="仿宋" w:cs="仿宋"/>
                <w:spacing w:val="-4"/>
                <w:sz w:val="21"/>
                <w:szCs w:val="21"/>
              </w:rPr>
              <w:t>柴油</w:t>
            </w:r>
          </w:p>
        </w:tc>
        <w:tc>
          <w:tcPr>
            <w:tcW w:w="2126" w:type="dxa"/>
            <w:vAlign w:val="top"/>
          </w:tcPr>
          <w:p>
            <w:pPr>
              <w:spacing w:before="84" w:line="219" w:lineRule="auto"/>
              <w:ind w:left="802"/>
              <w:rPr>
                <w:rFonts w:ascii="仿宋" w:hAnsi="仿宋" w:eastAsia="仿宋" w:cs="仿宋"/>
                <w:sz w:val="21"/>
                <w:szCs w:val="21"/>
              </w:rPr>
            </w:pPr>
            <w:r>
              <w:rPr>
                <w:rFonts w:ascii="仿宋" w:hAnsi="仿宋" w:eastAsia="仿宋" w:cs="仿宋"/>
                <w:spacing w:val="-11"/>
                <w:sz w:val="21"/>
                <w:szCs w:val="21"/>
              </w:rPr>
              <w:t>英文名</w:t>
            </w:r>
          </w:p>
        </w:tc>
        <w:tc>
          <w:tcPr>
            <w:tcW w:w="2310" w:type="dxa"/>
            <w:tcBorders>
              <w:right w:val="nil"/>
            </w:tcBorders>
            <w:vAlign w:val="top"/>
          </w:tcPr>
          <w:p>
            <w:pPr>
              <w:pStyle w:val="6"/>
              <w:spacing w:before="117" w:line="203" w:lineRule="auto"/>
              <w:ind w:left="202"/>
            </w:pPr>
            <w:r>
              <w:rPr>
                <w:spacing w:val="-1"/>
              </w:rPr>
              <w:t>Diesel oil</w:t>
            </w:r>
            <w:r>
              <w:rPr>
                <w:rFonts w:ascii="仿宋" w:hAnsi="仿宋" w:eastAsia="仿宋" w:cs="仿宋"/>
                <w:spacing w:val="-1"/>
              </w:rPr>
              <w:t>；</w:t>
            </w:r>
            <w:r>
              <w:rPr>
                <w:spacing w:val="-1"/>
              </w:rPr>
              <w:t>Diesel fuel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5" w:hRule="atLeast"/>
        </w:trPr>
        <w:tc>
          <w:tcPr>
            <w:tcW w:w="1762" w:type="dxa"/>
            <w:tcBorders>
              <w:left w:val="nil"/>
            </w:tcBorders>
            <w:vAlign w:val="top"/>
          </w:tcPr>
          <w:p>
            <w:pPr>
              <w:spacing w:before="82" w:line="216" w:lineRule="auto"/>
              <w:ind w:left="285"/>
              <w:rPr>
                <w:rFonts w:ascii="仿宋" w:hAnsi="仿宋" w:eastAsia="仿宋" w:cs="仿宋"/>
                <w:sz w:val="21"/>
                <w:szCs w:val="21"/>
              </w:rPr>
            </w:pPr>
            <w:r>
              <w:rPr>
                <w:rFonts w:ascii="仿宋" w:hAnsi="仿宋" w:eastAsia="仿宋" w:cs="仿宋"/>
                <w:spacing w:val="-10"/>
                <w:sz w:val="21"/>
                <w:szCs w:val="21"/>
              </w:rPr>
              <w:t>危险性类别：</w:t>
            </w:r>
          </w:p>
        </w:tc>
        <w:tc>
          <w:tcPr>
            <w:tcW w:w="2308" w:type="dxa"/>
            <w:vAlign w:val="top"/>
          </w:tcPr>
          <w:p>
            <w:pPr>
              <w:pStyle w:val="6"/>
              <w:spacing w:before="83" w:line="217" w:lineRule="auto"/>
              <w:ind w:left="112"/>
              <w:rPr>
                <w:rFonts w:ascii="仿宋" w:hAnsi="仿宋" w:eastAsia="仿宋" w:cs="仿宋"/>
              </w:rPr>
            </w:pPr>
            <w:r>
              <w:rPr>
                <w:rFonts w:ascii="仿宋" w:hAnsi="仿宋" w:eastAsia="仿宋" w:cs="仿宋"/>
                <w:spacing w:val="-2"/>
              </w:rPr>
              <w:t>第</w:t>
            </w:r>
            <w:r>
              <w:rPr>
                <w:spacing w:val="-2"/>
              </w:rPr>
              <w:t>3.3</w:t>
            </w:r>
            <w:r>
              <w:rPr>
                <w:rFonts w:ascii="仿宋" w:hAnsi="仿宋" w:eastAsia="仿宋" w:cs="仿宋"/>
                <w:spacing w:val="-2"/>
              </w:rPr>
              <w:t>类高闪点易燃液体</w:t>
            </w:r>
          </w:p>
        </w:tc>
        <w:tc>
          <w:tcPr>
            <w:tcW w:w="2126" w:type="dxa"/>
            <w:vAlign w:val="top"/>
          </w:tcPr>
          <w:p>
            <w:pPr>
              <w:spacing w:before="82" w:line="220" w:lineRule="auto"/>
              <w:ind w:left="777"/>
              <w:rPr>
                <w:rFonts w:ascii="仿宋" w:hAnsi="仿宋" w:eastAsia="仿宋" w:cs="仿宋"/>
                <w:sz w:val="21"/>
                <w:szCs w:val="21"/>
              </w:rPr>
            </w:pPr>
            <w:r>
              <w:rPr>
                <w:rFonts w:ascii="仿宋" w:hAnsi="仿宋" w:eastAsia="仿宋" w:cs="仿宋"/>
                <w:spacing w:val="-5"/>
                <w:sz w:val="21"/>
                <w:szCs w:val="21"/>
              </w:rPr>
              <w:t>危规号</w:t>
            </w:r>
          </w:p>
        </w:tc>
        <w:tc>
          <w:tcPr>
            <w:tcW w:w="2310" w:type="dxa"/>
            <w:tcBorders>
              <w:right w:val="nil"/>
            </w:tcBorders>
            <w:vAlign w:val="top"/>
          </w:tcPr>
          <w:p>
            <w:pPr>
              <w:pStyle w:val="6"/>
              <w:spacing w:before="117" w:line="232" w:lineRule="auto"/>
              <w:ind w:left="1138"/>
            </w:pPr>
            <w:r>
              <w:t>/</w:t>
            </w:r>
          </w:p>
        </w:tc>
      </w:tr>
    </w:tbl>
    <w:p>
      <w:pPr>
        <w:spacing w:before="79" w:line="216" w:lineRule="auto"/>
        <w:ind w:left="3256"/>
        <w:rPr>
          <w:rFonts w:ascii="仿宋" w:hAnsi="仿宋" w:eastAsia="仿宋" w:cs="仿宋"/>
          <w:sz w:val="21"/>
          <w:szCs w:val="21"/>
        </w:rPr>
      </w:pPr>
      <w:r>
        <w:rPr>
          <w:rFonts w:ascii="仿宋" w:hAnsi="仿宋" w:eastAsia="仿宋" w:cs="仿宋"/>
          <w:spacing w:val="-5"/>
          <w:sz w:val="21"/>
          <w:szCs w:val="21"/>
        </w:rPr>
        <w:t>第一部分</w:t>
      </w:r>
      <w:r>
        <w:rPr>
          <w:rFonts w:ascii="仿宋" w:hAnsi="仿宋" w:eastAsia="仿宋" w:cs="仿宋"/>
          <w:spacing w:val="4"/>
          <w:sz w:val="21"/>
          <w:szCs w:val="21"/>
        </w:rPr>
        <w:t xml:space="preserve">    </w:t>
      </w:r>
      <w:r>
        <w:rPr>
          <w:rFonts w:ascii="仿宋" w:hAnsi="仿宋" w:eastAsia="仿宋" w:cs="仿宋"/>
          <w:spacing w:val="-5"/>
          <w:sz w:val="21"/>
          <w:szCs w:val="21"/>
        </w:rPr>
        <w:t>理化特性</w:t>
      </w:r>
    </w:p>
    <w:p>
      <w:pPr>
        <w:spacing w:line="43" w:lineRule="exact"/>
      </w:pPr>
    </w:p>
    <w:tbl>
      <w:tblPr>
        <w:tblStyle w:val="5"/>
        <w:tblW w:w="8506"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2"/>
        <w:gridCol w:w="2244"/>
        <w:gridCol w:w="2252"/>
        <w:gridCol w:w="22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7" w:hRule="atLeast"/>
        </w:trPr>
        <w:tc>
          <w:tcPr>
            <w:tcW w:w="1762" w:type="dxa"/>
            <w:tcBorders>
              <w:left w:val="nil"/>
            </w:tcBorders>
            <w:vAlign w:val="top"/>
          </w:tcPr>
          <w:p>
            <w:pPr>
              <w:spacing w:before="84" w:line="216" w:lineRule="auto"/>
              <w:ind w:left="282"/>
              <w:rPr>
                <w:rFonts w:ascii="仿宋" w:hAnsi="仿宋" w:eastAsia="仿宋" w:cs="仿宋"/>
                <w:sz w:val="21"/>
                <w:szCs w:val="21"/>
              </w:rPr>
            </w:pPr>
            <w:r>
              <w:rPr>
                <w:rFonts w:ascii="仿宋" w:hAnsi="仿宋" w:eastAsia="仿宋" w:cs="仿宋"/>
                <w:spacing w:val="-9"/>
                <w:sz w:val="21"/>
                <w:szCs w:val="21"/>
              </w:rPr>
              <w:t>外观及性状：</w:t>
            </w:r>
          </w:p>
        </w:tc>
        <w:tc>
          <w:tcPr>
            <w:tcW w:w="2244" w:type="dxa"/>
            <w:vAlign w:val="top"/>
          </w:tcPr>
          <w:p>
            <w:pPr>
              <w:spacing w:before="84" w:line="216" w:lineRule="auto"/>
              <w:ind w:left="308"/>
              <w:rPr>
                <w:rFonts w:ascii="仿宋" w:hAnsi="仿宋" w:eastAsia="仿宋" w:cs="仿宋"/>
                <w:sz w:val="21"/>
                <w:szCs w:val="21"/>
              </w:rPr>
            </w:pPr>
            <w:r>
              <w:rPr>
                <w:rFonts w:ascii="仿宋" w:hAnsi="仿宋" w:eastAsia="仿宋" w:cs="仿宋"/>
                <w:spacing w:val="-2"/>
                <w:sz w:val="21"/>
                <w:szCs w:val="21"/>
              </w:rPr>
              <w:t>稍有粘性棕色液体</w:t>
            </w:r>
          </w:p>
        </w:tc>
        <w:tc>
          <w:tcPr>
            <w:tcW w:w="2252" w:type="dxa"/>
            <w:vAlign w:val="top"/>
          </w:tcPr>
          <w:p>
            <w:pPr>
              <w:spacing w:before="84" w:line="220" w:lineRule="auto"/>
              <w:ind w:left="632"/>
              <w:rPr>
                <w:rFonts w:ascii="仿宋" w:hAnsi="仿宋" w:eastAsia="仿宋" w:cs="仿宋"/>
                <w:sz w:val="21"/>
                <w:szCs w:val="21"/>
              </w:rPr>
            </w:pPr>
            <w:r>
              <w:rPr>
                <w:rFonts w:ascii="仿宋" w:hAnsi="仿宋" w:eastAsia="仿宋" w:cs="仿宋"/>
                <w:spacing w:val="-11"/>
                <w:sz w:val="21"/>
                <w:szCs w:val="21"/>
              </w:rPr>
              <w:t>主要用途：</w:t>
            </w:r>
          </w:p>
        </w:tc>
        <w:tc>
          <w:tcPr>
            <w:tcW w:w="2248" w:type="dxa"/>
            <w:tcBorders>
              <w:right w:val="nil"/>
            </w:tcBorders>
            <w:vAlign w:val="top"/>
          </w:tcPr>
          <w:p>
            <w:pPr>
              <w:spacing w:before="84" w:line="216" w:lineRule="auto"/>
              <w:ind w:left="205"/>
              <w:rPr>
                <w:rFonts w:ascii="仿宋" w:hAnsi="仿宋" w:eastAsia="仿宋" w:cs="仿宋"/>
                <w:sz w:val="21"/>
                <w:szCs w:val="21"/>
              </w:rPr>
            </w:pPr>
            <w:r>
              <w:rPr>
                <w:rFonts w:ascii="仿宋" w:hAnsi="仿宋" w:eastAsia="仿宋" w:cs="仿宋"/>
                <w:spacing w:val="-2"/>
                <w:sz w:val="21"/>
                <w:szCs w:val="21"/>
              </w:rPr>
              <w:t>用作柴油机的燃料等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762" w:type="dxa"/>
            <w:tcBorders>
              <w:left w:val="nil"/>
            </w:tcBorders>
            <w:vAlign w:val="top"/>
          </w:tcPr>
          <w:p>
            <w:pPr>
              <w:spacing w:before="81" w:line="217" w:lineRule="auto"/>
              <w:ind w:left="352"/>
              <w:rPr>
                <w:rFonts w:ascii="仿宋" w:hAnsi="仿宋" w:eastAsia="仿宋" w:cs="仿宋"/>
                <w:sz w:val="21"/>
                <w:szCs w:val="21"/>
              </w:rPr>
            </w:pPr>
            <w:r>
              <w:rPr>
                <w:rFonts w:ascii="仿宋" w:hAnsi="仿宋" w:eastAsia="仿宋" w:cs="仿宋"/>
                <w:spacing w:val="8"/>
                <w:sz w:val="21"/>
                <w:szCs w:val="21"/>
              </w:rPr>
              <w:t>闪点(</w:t>
            </w:r>
            <w:r>
              <w:rPr>
                <w:rFonts w:ascii="宋体" w:hAnsi="宋体" w:eastAsia="宋体" w:cs="宋体"/>
                <w:spacing w:val="8"/>
                <w:sz w:val="21"/>
                <w:szCs w:val="21"/>
              </w:rPr>
              <w:t>℃</w:t>
            </w:r>
            <w:r>
              <w:rPr>
                <w:rFonts w:ascii="仿宋" w:hAnsi="仿宋" w:eastAsia="仿宋" w:cs="仿宋"/>
                <w:spacing w:val="8"/>
                <w:sz w:val="21"/>
                <w:szCs w:val="21"/>
              </w:rPr>
              <w:t>):</w:t>
            </w:r>
          </w:p>
        </w:tc>
        <w:tc>
          <w:tcPr>
            <w:tcW w:w="2244" w:type="dxa"/>
            <w:vAlign w:val="top"/>
          </w:tcPr>
          <w:p>
            <w:pPr>
              <w:pStyle w:val="6"/>
              <w:spacing w:before="120" w:line="185" w:lineRule="auto"/>
              <w:ind w:left="1037"/>
            </w:pPr>
            <w:r>
              <w:rPr>
                <w:spacing w:val="-3"/>
              </w:rPr>
              <w:t>55</w:t>
            </w:r>
          </w:p>
        </w:tc>
        <w:tc>
          <w:tcPr>
            <w:tcW w:w="2252" w:type="dxa"/>
            <w:vAlign w:val="top"/>
          </w:tcPr>
          <w:p>
            <w:pPr>
              <w:pStyle w:val="6"/>
              <w:spacing w:before="81" w:line="217" w:lineRule="auto"/>
              <w:ind w:left="208"/>
              <w:rPr>
                <w:rFonts w:ascii="仿宋" w:hAnsi="仿宋" w:eastAsia="仿宋" w:cs="仿宋"/>
              </w:rPr>
            </w:pPr>
            <w:r>
              <w:rPr>
                <w:rFonts w:ascii="仿宋" w:hAnsi="仿宋" w:eastAsia="仿宋" w:cs="仿宋"/>
                <w:spacing w:val="-2"/>
              </w:rPr>
              <w:t>相对密度（水＝</w:t>
            </w:r>
            <w:r>
              <w:rPr>
                <w:spacing w:val="-2"/>
              </w:rPr>
              <w:t>1</w:t>
            </w:r>
            <w:r>
              <w:rPr>
                <w:rFonts w:ascii="仿宋" w:hAnsi="仿宋" w:eastAsia="仿宋" w:cs="仿宋"/>
                <w:spacing w:val="-38"/>
              </w:rPr>
              <w:t>）：</w:t>
            </w:r>
          </w:p>
        </w:tc>
        <w:tc>
          <w:tcPr>
            <w:tcW w:w="2248" w:type="dxa"/>
            <w:tcBorders>
              <w:right w:val="nil"/>
            </w:tcBorders>
            <w:vAlign w:val="top"/>
          </w:tcPr>
          <w:p>
            <w:pPr>
              <w:pStyle w:val="6"/>
              <w:spacing w:before="80" w:line="236" w:lineRule="auto"/>
              <w:ind w:left="724"/>
            </w:pPr>
            <w:r>
              <w:rPr>
                <w:spacing w:val="-1"/>
              </w:rPr>
              <w:t>0.87</w:t>
            </w:r>
            <w:r>
              <w:rPr>
                <w:rFonts w:ascii="仿宋" w:hAnsi="仿宋" w:eastAsia="仿宋" w:cs="仿宋"/>
                <w:spacing w:val="-1"/>
              </w:rPr>
              <w:t>～</w:t>
            </w:r>
            <w:r>
              <w:rPr>
                <w:spacing w:val="-1"/>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762" w:type="dxa"/>
            <w:tcBorders>
              <w:left w:val="nil"/>
            </w:tcBorders>
            <w:vAlign w:val="top"/>
          </w:tcPr>
          <w:p>
            <w:pPr>
              <w:spacing w:before="81" w:line="218" w:lineRule="auto"/>
              <w:ind w:left="389"/>
              <w:rPr>
                <w:rFonts w:ascii="仿宋" w:hAnsi="仿宋" w:eastAsia="仿宋" w:cs="仿宋"/>
                <w:sz w:val="21"/>
                <w:szCs w:val="21"/>
              </w:rPr>
            </w:pPr>
            <w:r>
              <w:rPr>
                <w:rFonts w:ascii="仿宋" w:hAnsi="仿宋" w:eastAsia="仿宋" w:cs="仿宋"/>
                <w:spacing w:val="17"/>
                <w:sz w:val="21"/>
                <w:szCs w:val="21"/>
              </w:rPr>
              <w:t>沸点(</w:t>
            </w:r>
            <w:r>
              <w:rPr>
                <w:rFonts w:ascii="宋体" w:hAnsi="宋体" w:eastAsia="宋体" w:cs="宋体"/>
                <w:spacing w:val="17"/>
                <w:sz w:val="21"/>
                <w:szCs w:val="21"/>
              </w:rPr>
              <w:t>℃</w:t>
            </w:r>
            <w:r>
              <w:rPr>
                <w:rFonts w:ascii="仿宋" w:hAnsi="仿宋" w:eastAsia="仿宋" w:cs="仿宋"/>
                <w:spacing w:val="17"/>
                <w:sz w:val="21"/>
                <w:szCs w:val="21"/>
              </w:rPr>
              <w:t>)</w:t>
            </w:r>
          </w:p>
        </w:tc>
        <w:tc>
          <w:tcPr>
            <w:tcW w:w="2244" w:type="dxa"/>
            <w:vAlign w:val="top"/>
          </w:tcPr>
          <w:p>
            <w:pPr>
              <w:pStyle w:val="6"/>
              <w:spacing w:before="81" w:line="236" w:lineRule="auto"/>
              <w:ind w:left="738"/>
            </w:pPr>
            <w:r>
              <w:rPr>
                <w:spacing w:val="-4"/>
              </w:rPr>
              <w:t>180</w:t>
            </w:r>
            <w:r>
              <w:rPr>
                <w:rFonts w:ascii="仿宋" w:hAnsi="仿宋" w:eastAsia="仿宋" w:cs="仿宋"/>
                <w:spacing w:val="-4"/>
              </w:rPr>
              <w:t>～</w:t>
            </w:r>
            <w:r>
              <w:rPr>
                <w:spacing w:val="-4"/>
              </w:rPr>
              <w:t>370</w:t>
            </w:r>
          </w:p>
        </w:tc>
        <w:tc>
          <w:tcPr>
            <w:tcW w:w="2252" w:type="dxa"/>
            <w:vAlign w:val="top"/>
          </w:tcPr>
          <w:p>
            <w:pPr>
              <w:pStyle w:val="6"/>
              <w:spacing w:before="81" w:line="218" w:lineRule="auto"/>
              <w:ind w:left="182"/>
              <w:rPr>
                <w:rFonts w:ascii="仿宋" w:hAnsi="仿宋" w:eastAsia="仿宋" w:cs="仿宋"/>
              </w:rPr>
            </w:pPr>
            <w:r>
              <w:rPr>
                <w:rFonts w:ascii="仿宋" w:hAnsi="仿宋" w:eastAsia="仿宋" w:cs="仿宋"/>
              </w:rPr>
              <w:t>爆炸上限</w:t>
            </w:r>
            <w:r>
              <w:rPr>
                <w:rFonts w:ascii="仿宋" w:hAnsi="仿宋" w:eastAsia="仿宋" w:cs="仿宋"/>
                <w:spacing w:val="-23"/>
              </w:rPr>
              <w:t>％（</w:t>
            </w:r>
            <w:r>
              <w:t>V/V</w:t>
            </w:r>
            <w:r>
              <w:rPr>
                <w:rFonts w:ascii="仿宋" w:hAnsi="仿宋" w:eastAsia="仿宋" w:cs="仿宋"/>
                <w:spacing w:val="-23"/>
              </w:rPr>
              <w:t>）：</w:t>
            </w:r>
          </w:p>
        </w:tc>
        <w:tc>
          <w:tcPr>
            <w:tcW w:w="2248" w:type="dxa"/>
            <w:tcBorders>
              <w:right w:val="nil"/>
            </w:tcBorders>
            <w:vAlign w:val="top"/>
          </w:tcPr>
          <w:p>
            <w:pPr>
              <w:pStyle w:val="6"/>
              <w:spacing w:before="118" w:line="188" w:lineRule="auto"/>
              <w:ind w:left="1008"/>
            </w:pPr>
            <w:r>
              <w:rPr>
                <w:spacing w:val="-1"/>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762" w:type="dxa"/>
            <w:tcBorders>
              <w:left w:val="nil"/>
            </w:tcBorders>
            <w:vAlign w:val="top"/>
          </w:tcPr>
          <w:p>
            <w:pPr>
              <w:spacing w:before="82" w:line="220" w:lineRule="auto"/>
              <w:ind w:left="266"/>
              <w:rPr>
                <w:rFonts w:ascii="仿宋" w:hAnsi="仿宋" w:eastAsia="仿宋" w:cs="仿宋"/>
                <w:sz w:val="21"/>
                <w:szCs w:val="21"/>
              </w:rPr>
            </w:pPr>
            <w:r>
              <w:rPr>
                <w:rFonts w:ascii="仿宋" w:hAnsi="仿宋" w:eastAsia="仿宋" w:cs="仿宋"/>
                <w:spacing w:val="3"/>
                <w:sz w:val="21"/>
                <w:szCs w:val="21"/>
              </w:rPr>
              <w:t>自燃点(</w:t>
            </w:r>
            <w:r>
              <w:rPr>
                <w:rFonts w:ascii="宋体" w:hAnsi="宋体" w:eastAsia="宋体" w:cs="宋体"/>
                <w:spacing w:val="3"/>
                <w:sz w:val="21"/>
                <w:szCs w:val="21"/>
              </w:rPr>
              <w:t>℃</w:t>
            </w:r>
            <w:r>
              <w:rPr>
                <w:rFonts w:ascii="仿宋" w:hAnsi="仿宋" w:eastAsia="仿宋" w:cs="仿宋"/>
                <w:spacing w:val="3"/>
                <w:sz w:val="21"/>
                <w:szCs w:val="21"/>
              </w:rPr>
              <w:t>):</w:t>
            </w:r>
          </w:p>
        </w:tc>
        <w:tc>
          <w:tcPr>
            <w:tcW w:w="2244" w:type="dxa"/>
            <w:vAlign w:val="top"/>
          </w:tcPr>
          <w:p>
            <w:pPr>
              <w:pStyle w:val="6"/>
              <w:spacing w:before="119" w:line="188" w:lineRule="auto"/>
              <w:ind w:left="980"/>
            </w:pPr>
            <w:r>
              <w:rPr>
                <w:spacing w:val="-1"/>
              </w:rPr>
              <w:t>250</w:t>
            </w:r>
          </w:p>
        </w:tc>
        <w:tc>
          <w:tcPr>
            <w:tcW w:w="2252" w:type="dxa"/>
            <w:vAlign w:val="top"/>
          </w:tcPr>
          <w:p>
            <w:pPr>
              <w:pStyle w:val="6"/>
              <w:spacing w:before="82" w:line="218" w:lineRule="auto"/>
              <w:ind w:left="182"/>
              <w:rPr>
                <w:rFonts w:ascii="仿宋" w:hAnsi="仿宋" w:eastAsia="仿宋" w:cs="仿宋"/>
              </w:rPr>
            </w:pPr>
            <w:r>
              <w:rPr>
                <w:rFonts w:ascii="仿宋" w:hAnsi="仿宋" w:eastAsia="仿宋" w:cs="仿宋"/>
                <w:spacing w:val="2"/>
              </w:rPr>
              <w:t>爆炸下限</w:t>
            </w:r>
            <w:r>
              <w:rPr>
                <w:rFonts w:ascii="仿宋" w:hAnsi="仿宋" w:eastAsia="仿宋" w:cs="仿宋"/>
                <w:spacing w:val="-27"/>
              </w:rPr>
              <w:t>％（</w:t>
            </w:r>
            <w:r>
              <w:rPr>
                <w:spacing w:val="2"/>
              </w:rPr>
              <w:t>V/V</w:t>
            </w:r>
            <w:r>
              <w:rPr>
                <w:rFonts w:ascii="仿宋" w:hAnsi="仿宋" w:eastAsia="仿宋" w:cs="仿宋"/>
                <w:spacing w:val="-27"/>
              </w:rPr>
              <w:t>）：</w:t>
            </w:r>
          </w:p>
        </w:tc>
        <w:tc>
          <w:tcPr>
            <w:tcW w:w="2248" w:type="dxa"/>
            <w:tcBorders>
              <w:right w:val="nil"/>
            </w:tcBorders>
            <w:vAlign w:val="top"/>
          </w:tcPr>
          <w:p>
            <w:pPr>
              <w:pStyle w:val="6"/>
              <w:spacing w:before="119" w:line="188" w:lineRule="auto"/>
              <w:ind w:left="1029"/>
            </w:pPr>
            <w:r>
              <w:rPr>
                <w:spacing w:val="-8"/>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6" w:hRule="atLeast"/>
        </w:trPr>
        <w:tc>
          <w:tcPr>
            <w:tcW w:w="1762" w:type="dxa"/>
            <w:tcBorders>
              <w:left w:val="nil"/>
            </w:tcBorders>
            <w:vAlign w:val="top"/>
          </w:tcPr>
          <w:p>
            <w:pPr>
              <w:spacing w:before="83" w:line="216" w:lineRule="auto"/>
              <w:ind w:left="489"/>
              <w:rPr>
                <w:rFonts w:ascii="仿宋" w:hAnsi="仿宋" w:eastAsia="仿宋" w:cs="仿宋"/>
                <w:sz w:val="21"/>
                <w:szCs w:val="21"/>
              </w:rPr>
            </w:pPr>
            <w:r>
              <w:rPr>
                <w:rFonts w:ascii="仿宋" w:hAnsi="仿宋" w:eastAsia="仿宋" w:cs="仿宋"/>
                <w:spacing w:val="-12"/>
                <w:sz w:val="21"/>
                <w:szCs w:val="21"/>
              </w:rPr>
              <w:t>溶解性：</w:t>
            </w:r>
          </w:p>
        </w:tc>
        <w:tc>
          <w:tcPr>
            <w:tcW w:w="6744" w:type="dxa"/>
            <w:gridSpan w:val="3"/>
            <w:tcBorders>
              <w:right w:val="nil"/>
            </w:tcBorders>
            <w:vAlign w:val="top"/>
          </w:tcPr>
          <w:p>
            <w:pPr>
              <w:spacing w:before="83" w:line="213" w:lineRule="auto"/>
              <w:ind w:left="986"/>
              <w:rPr>
                <w:rFonts w:ascii="仿宋" w:hAnsi="仿宋" w:eastAsia="仿宋" w:cs="仿宋"/>
                <w:sz w:val="21"/>
                <w:szCs w:val="21"/>
              </w:rPr>
            </w:pPr>
            <w:r>
              <w:rPr>
                <w:rFonts w:ascii="仿宋" w:hAnsi="仿宋" w:eastAsia="仿宋" w:cs="仿宋"/>
                <w:spacing w:val="-2"/>
                <w:sz w:val="21"/>
                <w:szCs w:val="21"/>
              </w:rPr>
              <w:t>不溶于水、易溶于苯、二硫化碳、醇、易溶于脂肪。</w:t>
            </w:r>
          </w:p>
        </w:tc>
      </w:tr>
    </w:tbl>
    <w:p>
      <w:pPr>
        <w:spacing w:before="80" w:line="215" w:lineRule="auto"/>
        <w:ind w:left="2835"/>
        <w:rPr>
          <w:rFonts w:ascii="仿宋" w:hAnsi="仿宋" w:eastAsia="仿宋" w:cs="仿宋"/>
          <w:sz w:val="21"/>
          <w:szCs w:val="21"/>
        </w:rPr>
      </w:pPr>
      <w:r>
        <w:rPr>
          <w:rFonts w:ascii="仿宋" w:hAnsi="仿宋" w:eastAsia="仿宋" w:cs="仿宋"/>
          <w:spacing w:val="-2"/>
          <w:sz w:val="21"/>
          <w:szCs w:val="21"/>
        </w:rPr>
        <w:t>第二部分    稳定性及化学活性</w:t>
      </w:r>
    </w:p>
    <w:p>
      <w:pPr>
        <w:spacing w:line="44" w:lineRule="exact"/>
      </w:pPr>
    </w:p>
    <w:tbl>
      <w:tblPr>
        <w:tblStyle w:val="5"/>
        <w:tblW w:w="8506"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2"/>
        <w:gridCol w:w="2244"/>
        <w:gridCol w:w="2252"/>
        <w:gridCol w:w="22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6" w:hRule="atLeast"/>
        </w:trPr>
        <w:tc>
          <w:tcPr>
            <w:tcW w:w="1762" w:type="dxa"/>
            <w:tcBorders>
              <w:left w:val="nil"/>
            </w:tcBorders>
            <w:vAlign w:val="top"/>
          </w:tcPr>
          <w:p>
            <w:pPr>
              <w:spacing w:before="84" w:line="215" w:lineRule="auto"/>
              <w:ind w:left="490"/>
              <w:rPr>
                <w:rFonts w:ascii="仿宋" w:hAnsi="仿宋" w:eastAsia="仿宋" w:cs="仿宋"/>
                <w:sz w:val="21"/>
                <w:szCs w:val="21"/>
              </w:rPr>
            </w:pPr>
            <w:r>
              <w:rPr>
                <w:rFonts w:ascii="仿宋" w:hAnsi="仿宋" w:eastAsia="仿宋" w:cs="仿宋"/>
                <w:spacing w:val="-12"/>
                <w:sz w:val="21"/>
                <w:szCs w:val="21"/>
              </w:rPr>
              <w:t>稳定性：</w:t>
            </w:r>
          </w:p>
        </w:tc>
        <w:tc>
          <w:tcPr>
            <w:tcW w:w="2244" w:type="dxa"/>
            <w:vAlign w:val="top"/>
          </w:tcPr>
          <w:p>
            <w:pPr>
              <w:spacing w:before="84" w:line="215" w:lineRule="auto"/>
              <w:ind w:left="937"/>
              <w:rPr>
                <w:rFonts w:ascii="仿宋" w:hAnsi="仿宋" w:eastAsia="仿宋" w:cs="仿宋"/>
                <w:sz w:val="21"/>
                <w:szCs w:val="21"/>
              </w:rPr>
            </w:pPr>
            <w:r>
              <w:rPr>
                <w:rFonts w:ascii="仿宋" w:hAnsi="仿宋" w:eastAsia="仿宋" w:cs="仿宋"/>
                <w:spacing w:val="-4"/>
                <w:sz w:val="21"/>
                <w:szCs w:val="21"/>
              </w:rPr>
              <w:t>稳定</w:t>
            </w:r>
          </w:p>
        </w:tc>
        <w:tc>
          <w:tcPr>
            <w:tcW w:w="2252" w:type="dxa"/>
            <w:vAlign w:val="top"/>
          </w:tcPr>
          <w:p>
            <w:pPr>
              <w:spacing w:before="84" w:line="218" w:lineRule="auto"/>
              <w:ind w:left="311"/>
              <w:rPr>
                <w:rFonts w:ascii="仿宋" w:hAnsi="仿宋" w:eastAsia="仿宋" w:cs="仿宋"/>
                <w:sz w:val="21"/>
                <w:szCs w:val="21"/>
              </w:rPr>
            </w:pPr>
            <w:r>
              <w:rPr>
                <w:rFonts w:ascii="仿宋" w:hAnsi="仿宋" w:eastAsia="仿宋" w:cs="仿宋"/>
                <w:spacing w:val="-5"/>
                <w:sz w:val="21"/>
                <w:szCs w:val="21"/>
              </w:rPr>
              <w:t>避免接触的条件：</w:t>
            </w:r>
          </w:p>
        </w:tc>
        <w:tc>
          <w:tcPr>
            <w:tcW w:w="2248" w:type="dxa"/>
            <w:tcBorders>
              <w:right w:val="nil"/>
            </w:tcBorders>
            <w:vAlign w:val="top"/>
          </w:tcPr>
          <w:p>
            <w:pPr>
              <w:spacing w:before="84" w:line="219" w:lineRule="auto"/>
              <w:ind w:left="638"/>
              <w:rPr>
                <w:rFonts w:ascii="仿宋" w:hAnsi="仿宋" w:eastAsia="仿宋" w:cs="仿宋"/>
                <w:sz w:val="21"/>
                <w:szCs w:val="21"/>
              </w:rPr>
            </w:pPr>
            <w:r>
              <w:rPr>
                <w:rFonts w:ascii="仿宋" w:hAnsi="仿宋" w:eastAsia="仿宋" w:cs="仿宋"/>
                <w:spacing w:val="-8"/>
                <w:sz w:val="21"/>
                <w:szCs w:val="21"/>
              </w:rPr>
              <w:t>明火、高热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762" w:type="dxa"/>
            <w:tcBorders>
              <w:left w:val="nil"/>
            </w:tcBorders>
            <w:vAlign w:val="top"/>
          </w:tcPr>
          <w:p>
            <w:pPr>
              <w:spacing w:before="81" w:line="217" w:lineRule="auto"/>
              <w:ind w:left="496"/>
              <w:rPr>
                <w:rFonts w:ascii="仿宋" w:hAnsi="仿宋" w:eastAsia="仿宋" w:cs="仿宋"/>
                <w:sz w:val="21"/>
                <w:szCs w:val="21"/>
              </w:rPr>
            </w:pPr>
            <w:r>
              <w:rPr>
                <w:rFonts w:ascii="仿宋" w:hAnsi="仿宋" w:eastAsia="仿宋" w:cs="仿宋"/>
                <w:spacing w:val="-13"/>
                <w:sz w:val="21"/>
                <w:szCs w:val="21"/>
              </w:rPr>
              <w:t>禁配物：</w:t>
            </w:r>
          </w:p>
        </w:tc>
        <w:tc>
          <w:tcPr>
            <w:tcW w:w="2244" w:type="dxa"/>
            <w:vAlign w:val="top"/>
          </w:tcPr>
          <w:p>
            <w:pPr>
              <w:spacing w:before="81" w:line="218" w:lineRule="auto"/>
              <w:ind w:left="418"/>
              <w:rPr>
                <w:rFonts w:ascii="仿宋" w:hAnsi="仿宋" w:eastAsia="仿宋" w:cs="仿宋"/>
                <w:sz w:val="21"/>
                <w:szCs w:val="21"/>
              </w:rPr>
            </w:pPr>
            <w:r>
              <w:rPr>
                <w:rFonts w:ascii="仿宋" w:hAnsi="仿宋" w:eastAsia="仿宋" w:cs="仿宋"/>
                <w:spacing w:val="-22"/>
                <w:sz w:val="21"/>
                <w:szCs w:val="21"/>
              </w:rPr>
              <w:t>强氧化剂、</w:t>
            </w:r>
            <w:r>
              <w:rPr>
                <w:rFonts w:ascii="仿宋" w:hAnsi="仿宋" w:eastAsia="仿宋" w:cs="仿宋"/>
                <w:spacing w:val="49"/>
                <w:sz w:val="21"/>
                <w:szCs w:val="21"/>
              </w:rPr>
              <w:t xml:space="preserve"> </w:t>
            </w:r>
            <w:r>
              <w:rPr>
                <w:rFonts w:ascii="仿宋" w:hAnsi="仿宋" w:eastAsia="仿宋" w:cs="仿宋"/>
                <w:spacing w:val="-22"/>
                <w:sz w:val="21"/>
                <w:szCs w:val="21"/>
              </w:rPr>
              <w:t>卤素</w:t>
            </w:r>
          </w:p>
        </w:tc>
        <w:tc>
          <w:tcPr>
            <w:tcW w:w="2252" w:type="dxa"/>
            <w:vAlign w:val="top"/>
          </w:tcPr>
          <w:p>
            <w:pPr>
              <w:spacing w:before="81" w:line="218" w:lineRule="auto"/>
              <w:ind w:left="631"/>
              <w:rPr>
                <w:rFonts w:ascii="仿宋" w:hAnsi="仿宋" w:eastAsia="仿宋" w:cs="仿宋"/>
                <w:sz w:val="21"/>
                <w:szCs w:val="21"/>
              </w:rPr>
            </w:pPr>
            <w:r>
              <w:rPr>
                <w:rFonts w:ascii="仿宋" w:hAnsi="仿宋" w:eastAsia="仿宋" w:cs="仿宋"/>
                <w:spacing w:val="-11"/>
                <w:sz w:val="21"/>
                <w:szCs w:val="21"/>
              </w:rPr>
              <w:t>聚合危害：</w:t>
            </w:r>
          </w:p>
        </w:tc>
        <w:tc>
          <w:tcPr>
            <w:tcW w:w="2248" w:type="dxa"/>
            <w:tcBorders>
              <w:right w:val="nil"/>
            </w:tcBorders>
            <w:vAlign w:val="top"/>
          </w:tcPr>
          <w:p>
            <w:pPr>
              <w:spacing w:before="81" w:line="218" w:lineRule="auto"/>
              <w:ind w:left="840"/>
              <w:rPr>
                <w:rFonts w:ascii="仿宋" w:hAnsi="仿宋" w:eastAsia="仿宋" w:cs="仿宋"/>
                <w:sz w:val="21"/>
                <w:szCs w:val="21"/>
              </w:rPr>
            </w:pPr>
            <w:r>
              <w:rPr>
                <w:rFonts w:ascii="仿宋" w:hAnsi="仿宋" w:eastAsia="仿宋" w:cs="仿宋"/>
                <w:spacing w:val="-5"/>
                <w:sz w:val="21"/>
                <w:szCs w:val="21"/>
              </w:rPr>
              <w:t>不聚合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762" w:type="dxa"/>
            <w:tcBorders>
              <w:left w:val="nil"/>
            </w:tcBorders>
            <w:vAlign w:val="top"/>
          </w:tcPr>
          <w:p>
            <w:pPr>
              <w:spacing w:before="82" w:line="217" w:lineRule="auto"/>
              <w:ind w:left="385"/>
              <w:rPr>
                <w:rFonts w:ascii="仿宋" w:hAnsi="仿宋" w:eastAsia="仿宋" w:cs="仿宋"/>
                <w:sz w:val="21"/>
                <w:szCs w:val="21"/>
              </w:rPr>
            </w:pPr>
            <w:r>
              <w:rPr>
                <w:rFonts w:ascii="仿宋" w:hAnsi="仿宋" w:eastAsia="仿宋" w:cs="仿宋"/>
                <w:spacing w:val="-10"/>
                <w:sz w:val="21"/>
                <w:szCs w:val="21"/>
              </w:rPr>
              <w:t>燃烧产物：</w:t>
            </w:r>
          </w:p>
        </w:tc>
        <w:tc>
          <w:tcPr>
            <w:tcW w:w="2244" w:type="dxa"/>
            <w:tcBorders>
              <w:right w:val="nil"/>
            </w:tcBorders>
            <w:vAlign w:val="top"/>
          </w:tcPr>
          <w:p>
            <w:pPr>
              <w:rPr>
                <w:rFonts w:ascii="Arial"/>
                <w:sz w:val="21"/>
              </w:rPr>
            </w:pPr>
          </w:p>
        </w:tc>
        <w:tc>
          <w:tcPr>
            <w:tcW w:w="2252" w:type="dxa"/>
            <w:tcBorders>
              <w:left w:val="nil"/>
              <w:right w:val="nil"/>
            </w:tcBorders>
            <w:vAlign w:val="top"/>
          </w:tcPr>
          <w:p>
            <w:pPr>
              <w:spacing w:before="82" w:line="218" w:lineRule="auto"/>
              <w:ind w:left="109"/>
              <w:rPr>
                <w:rFonts w:ascii="仿宋" w:hAnsi="仿宋" w:eastAsia="仿宋" w:cs="仿宋"/>
                <w:sz w:val="21"/>
                <w:szCs w:val="21"/>
              </w:rPr>
            </w:pPr>
            <w:r>
              <w:rPr>
                <w:rFonts w:ascii="仿宋" w:hAnsi="仿宋" w:eastAsia="仿宋" w:cs="仿宋"/>
                <w:spacing w:val="-4"/>
                <w:sz w:val="21"/>
                <w:szCs w:val="21"/>
              </w:rPr>
              <w:t>一氧化碳、二氧化碳。</w:t>
            </w:r>
          </w:p>
        </w:tc>
        <w:tc>
          <w:tcPr>
            <w:tcW w:w="2248" w:type="dxa"/>
            <w:tcBorders>
              <w:left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8" w:hRule="atLeast"/>
        </w:trPr>
        <w:tc>
          <w:tcPr>
            <w:tcW w:w="1762" w:type="dxa"/>
            <w:tcBorders>
              <w:left w:val="nil"/>
            </w:tcBorders>
            <w:vAlign w:val="top"/>
          </w:tcPr>
          <w:p>
            <w:pPr>
              <w:spacing w:before="239" w:line="216" w:lineRule="auto"/>
              <w:ind w:left="495"/>
              <w:rPr>
                <w:rFonts w:ascii="仿宋" w:hAnsi="仿宋" w:eastAsia="仿宋" w:cs="仿宋"/>
                <w:sz w:val="21"/>
                <w:szCs w:val="21"/>
              </w:rPr>
            </w:pPr>
            <w:r>
              <w:rPr>
                <w:rFonts w:ascii="仿宋" w:hAnsi="仿宋" w:eastAsia="仿宋" w:cs="仿宋"/>
                <w:spacing w:val="-5"/>
                <w:sz w:val="21"/>
                <w:szCs w:val="21"/>
              </w:rPr>
              <w:t>危险特性</w:t>
            </w:r>
          </w:p>
        </w:tc>
        <w:tc>
          <w:tcPr>
            <w:tcW w:w="6744" w:type="dxa"/>
            <w:gridSpan w:val="3"/>
            <w:tcBorders>
              <w:right w:val="nil"/>
            </w:tcBorders>
            <w:vAlign w:val="top"/>
          </w:tcPr>
          <w:p>
            <w:pPr>
              <w:spacing w:before="83" w:line="246" w:lineRule="auto"/>
              <w:ind w:left="974" w:right="761" w:hanging="209"/>
              <w:rPr>
                <w:rFonts w:ascii="仿宋" w:hAnsi="仿宋" w:eastAsia="仿宋" w:cs="仿宋"/>
                <w:sz w:val="21"/>
                <w:szCs w:val="21"/>
              </w:rPr>
            </w:pPr>
            <w:r>
              <w:rPr>
                <w:rFonts w:ascii="宋体" w:hAnsi="宋体" w:eastAsia="宋体" w:cs="宋体"/>
                <w:spacing w:val="-2"/>
                <w:sz w:val="21"/>
                <w:szCs w:val="21"/>
              </w:rPr>
              <w:t>①</w:t>
            </w:r>
            <w:r>
              <w:rPr>
                <w:rFonts w:ascii="仿宋" w:hAnsi="仿宋" w:eastAsia="仿宋" w:cs="仿宋"/>
                <w:spacing w:val="-2"/>
                <w:sz w:val="21"/>
                <w:szCs w:val="21"/>
              </w:rPr>
              <w:t>遇明火、高热与氧化剂接触，有引起燃烧爆炸的危险。</w:t>
            </w:r>
            <w:r>
              <w:rPr>
                <w:rFonts w:ascii="仿宋" w:hAnsi="仿宋" w:eastAsia="仿宋" w:cs="仿宋"/>
                <w:spacing w:val="14"/>
                <w:sz w:val="21"/>
                <w:szCs w:val="21"/>
              </w:rPr>
              <w:t xml:space="preserve"> </w:t>
            </w:r>
            <w:r>
              <w:rPr>
                <w:rFonts w:ascii="宋体" w:hAnsi="宋体" w:eastAsia="宋体" w:cs="宋体"/>
                <w:spacing w:val="-2"/>
                <w:sz w:val="21"/>
                <w:szCs w:val="21"/>
              </w:rPr>
              <w:t>②</w:t>
            </w:r>
            <w:r>
              <w:rPr>
                <w:rFonts w:ascii="仿宋" w:hAnsi="仿宋" w:eastAsia="仿宋" w:cs="仿宋"/>
                <w:spacing w:val="-2"/>
                <w:sz w:val="21"/>
                <w:szCs w:val="21"/>
              </w:rPr>
              <w:t>若遇高热，容器内压增大，有开裂和爆炸的危险。</w:t>
            </w:r>
          </w:p>
        </w:tc>
      </w:tr>
    </w:tbl>
    <w:p>
      <w:pPr>
        <w:spacing w:before="80" w:line="218" w:lineRule="auto"/>
        <w:ind w:left="3307"/>
        <w:rPr>
          <w:rFonts w:ascii="仿宋" w:hAnsi="仿宋" w:eastAsia="仿宋" w:cs="仿宋"/>
          <w:sz w:val="21"/>
          <w:szCs w:val="21"/>
        </w:rPr>
      </w:pPr>
      <w:r>
        <w:rPr>
          <w:rFonts w:ascii="仿宋" w:hAnsi="仿宋" w:eastAsia="仿宋" w:cs="仿宋"/>
          <w:spacing w:val="-5"/>
          <w:sz w:val="21"/>
          <w:szCs w:val="21"/>
        </w:rPr>
        <w:t>第三部分</w:t>
      </w:r>
      <w:r>
        <w:rPr>
          <w:rFonts w:ascii="仿宋" w:hAnsi="仿宋" w:eastAsia="仿宋" w:cs="仿宋"/>
          <w:spacing w:val="6"/>
          <w:sz w:val="21"/>
          <w:szCs w:val="21"/>
        </w:rPr>
        <w:t xml:space="preserve">   </w:t>
      </w:r>
      <w:r>
        <w:rPr>
          <w:rFonts w:ascii="仿宋" w:hAnsi="仿宋" w:eastAsia="仿宋" w:cs="仿宋"/>
          <w:spacing w:val="-5"/>
          <w:sz w:val="21"/>
          <w:szCs w:val="21"/>
        </w:rPr>
        <w:t>健康危害</w:t>
      </w:r>
    </w:p>
    <w:p>
      <w:pPr>
        <w:spacing w:line="40" w:lineRule="exact"/>
      </w:pPr>
    </w:p>
    <w:tbl>
      <w:tblPr>
        <w:tblStyle w:val="5"/>
        <w:tblW w:w="8506"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61"/>
        <w:gridCol w:w="67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6" w:hRule="atLeast"/>
        </w:trPr>
        <w:tc>
          <w:tcPr>
            <w:tcW w:w="1761" w:type="dxa"/>
            <w:tcBorders>
              <w:left w:val="nil"/>
            </w:tcBorders>
            <w:vAlign w:val="top"/>
          </w:tcPr>
          <w:p>
            <w:pPr>
              <w:spacing w:before="84" w:line="218" w:lineRule="auto"/>
              <w:ind w:left="385"/>
              <w:rPr>
                <w:rFonts w:ascii="仿宋" w:hAnsi="仿宋" w:eastAsia="仿宋" w:cs="仿宋"/>
                <w:sz w:val="21"/>
                <w:szCs w:val="21"/>
              </w:rPr>
            </w:pPr>
            <w:r>
              <w:rPr>
                <w:rFonts w:ascii="仿宋" w:hAnsi="仿宋" w:eastAsia="仿宋" w:cs="仿宋"/>
                <w:spacing w:val="-10"/>
                <w:sz w:val="21"/>
                <w:szCs w:val="21"/>
              </w:rPr>
              <w:t>侵入途径：</w:t>
            </w:r>
          </w:p>
        </w:tc>
        <w:tc>
          <w:tcPr>
            <w:tcW w:w="6745" w:type="dxa"/>
            <w:tcBorders>
              <w:right w:val="nil"/>
            </w:tcBorders>
            <w:vAlign w:val="top"/>
          </w:tcPr>
          <w:p>
            <w:pPr>
              <w:spacing w:before="84" w:line="219" w:lineRule="auto"/>
              <w:ind w:left="2252"/>
              <w:rPr>
                <w:rFonts w:ascii="仿宋" w:hAnsi="仿宋" w:eastAsia="仿宋" w:cs="仿宋"/>
                <w:sz w:val="21"/>
                <w:szCs w:val="21"/>
              </w:rPr>
            </w:pPr>
            <w:r>
              <w:rPr>
                <w:rFonts w:ascii="仿宋" w:hAnsi="仿宋" w:eastAsia="仿宋" w:cs="仿宋"/>
                <w:spacing w:val="-5"/>
                <w:sz w:val="21"/>
                <w:szCs w:val="21"/>
              </w:rPr>
              <w:t>吸入、食入、经皮吸收。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83" w:hRule="atLeast"/>
        </w:trPr>
        <w:tc>
          <w:tcPr>
            <w:tcW w:w="1761" w:type="dxa"/>
            <w:tcBorders>
              <w:left w:val="nil"/>
            </w:tcBorders>
            <w:vAlign w:val="top"/>
          </w:tcPr>
          <w:p>
            <w:pPr>
              <w:spacing w:before="237" w:line="216" w:lineRule="auto"/>
              <w:ind w:left="396"/>
              <w:rPr>
                <w:rFonts w:ascii="仿宋" w:hAnsi="仿宋" w:eastAsia="仿宋" w:cs="仿宋"/>
                <w:sz w:val="21"/>
                <w:szCs w:val="21"/>
              </w:rPr>
            </w:pPr>
            <w:r>
              <w:rPr>
                <w:rFonts w:ascii="仿宋" w:hAnsi="仿宋" w:eastAsia="仿宋" w:cs="仿宋"/>
                <w:spacing w:val="-12"/>
                <w:sz w:val="21"/>
                <w:szCs w:val="21"/>
              </w:rPr>
              <w:t>急性中毒：</w:t>
            </w:r>
          </w:p>
        </w:tc>
        <w:tc>
          <w:tcPr>
            <w:tcW w:w="6745" w:type="dxa"/>
            <w:tcBorders>
              <w:right w:val="nil"/>
            </w:tcBorders>
            <w:vAlign w:val="top"/>
          </w:tcPr>
          <w:p>
            <w:pPr>
              <w:spacing w:before="82" w:line="246" w:lineRule="auto"/>
              <w:ind w:left="2452" w:right="103" w:hanging="2300"/>
              <w:rPr>
                <w:rFonts w:ascii="仿宋" w:hAnsi="仿宋" w:eastAsia="仿宋" w:cs="仿宋"/>
                <w:sz w:val="21"/>
                <w:szCs w:val="21"/>
              </w:rPr>
            </w:pPr>
            <w:r>
              <w:rPr>
                <w:rFonts w:ascii="仿宋" w:hAnsi="仿宋" w:eastAsia="仿宋" w:cs="仿宋"/>
                <w:spacing w:val="-1"/>
                <w:sz w:val="21"/>
                <w:szCs w:val="21"/>
              </w:rPr>
              <w:t>皮肤接触可引起接触性皮炎、油性痤疮，吸入可引起吸入性肺炎，能经</w:t>
            </w:r>
            <w:r>
              <w:rPr>
                <w:rFonts w:ascii="仿宋" w:hAnsi="仿宋" w:eastAsia="仿宋" w:cs="仿宋"/>
                <w:spacing w:val="6"/>
                <w:sz w:val="21"/>
                <w:szCs w:val="21"/>
              </w:rPr>
              <w:t xml:space="preserve"> </w:t>
            </w:r>
            <w:r>
              <w:rPr>
                <w:rFonts w:ascii="仿宋" w:hAnsi="仿宋" w:eastAsia="仿宋" w:cs="仿宋"/>
                <w:spacing w:val="-5"/>
                <w:sz w:val="21"/>
                <w:szCs w:val="21"/>
              </w:rPr>
              <w:t>胎盘进入胎儿血中。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2" w:hRule="atLeast"/>
        </w:trPr>
        <w:tc>
          <w:tcPr>
            <w:tcW w:w="1761" w:type="dxa"/>
            <w:tcBorders>
              <w:left w:val="nil"/>
            </w:tcBorders>
            <w:vAlign w:val="top"/>
          </w:tcPr>
          <w:p>
            <w:pPr>
              <w:spacing w:before="83" w:line="216" w:lineRule="auto"/>
              <w:ind w:left="389"/>
              <w:rPr>
                <w:rFonts w:ascii="仿宋" w:hAnsi="仿宋" w:eastAsia="仿宋" w:cs="仿宋"/>
                <w:sz w:val="21"/>
                <w:szCs w:val="21"/>
              </w:rPr>
            </w:pPr>
            <w:r>
              <w:rPr>
                <w:rFonts w:ascii="仿宋" w:hAnsi="仿宋" w:eastAsia="仿宋" w:cs="仿宋"/>
                <w:spacing w:val="-11"/>
                <w:sz w:val="21"/>
                <w:szCs w:val="21"/>
              </w:rPr>
              <w:t>慢性中毒：</w:t>
            </w:r>
          </w:p>
        </w:tc>
        <w:tc>
          <w:tcPr>
            <w:tcW w:w="6745" w:type="dxa"/>
            <w:tcBorders>
              <w:right w:val="nil"/>
            </w:tcBorders>
            <w:vAlign w:val="top"/>
          </w:tcPr>
          <w:p>
            <w:pPr>
              <w:spacing w:before="83" w:line="216" w:lineRule="auto"/>
              <w:ind w:left="1509"/>
              <w:rPr>
                <w:rFonts w:ascii="仿宋" w:hAnsi="仿宋" w:eastAsia="仿宋" w:cs="仿宋"/>
                <w:sz w:val="21"/>
                <w:szCs w:val="21"/>
              </w:rPr>
            </w:pPr>
            <w:r>
              <w:rPr>
                <w:rFonts w:ascii="仿宋" w:hAnsi="仿宋" w:eastAsia="仿宋" w:cs="仿宋"/>
                <w:spacing w:val="-3"/>
                <w:sz w:val="21"/>
                <w:szCs w:val="21"/>
              </w:rPr>
              <w:t>柴油废气可引起眼、鼻刺激症状，头痛。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77" w:hRule="atLeast"/>
        </w:trPr>
        <w:tc>
          <w:tcPr>
            <w:tcW w:w="1761" w:type="dxa"/>
            <w:tcBorders>
              <w:left w:val="nil"/>
            </w:tcBorders>
            <w:vAlign w:val="top"/>
          </w:tcPr>
          <w:p>
            <w:pPr>
              <w:spacing w:before="84" w:line="216" w:lineRule="auto"/>
              <w:ind w:left="489"/>
              <w:rPr>
                <w:rFonts w:ascii="仿宋" w:hAnsi="仿宋" w:eastAsia="仿宋" w:cs="仿宋"/>
                <w:sz w:val="21"/>
                <w:szCs w:val="21"/>
              </w:rPr>
            </w:pPr>
            <w:r>
              <w:rPr>
                <w:rFonts w:ascii="仿宋" w:hAnsi="仿宋" w:eastAsia="仿宋" w:cs="仿宋"/>
                <w:spacing w:val="-4"/>
                <w:sz w:val="21"/>
                <w:szCs w:val="21"/>
              </w:rPr>
              <w:t>刺激性：</w:t>
            </w:r>
          </w:p>
        </w:tc>
        <w:tc>
          <w:tcPr>
            <w:tcW w:w="6745" w:type="dxa"/>
            <w:tcBorders>
              <w:right w:val="nil"/>
            </w:tcBorders>
            <w:vAlign w:val="top"/>
          </w:tcPr>
          <w:p>
            <w:pPr>
              <w:spacing w:before="84" w:line="216" w:lineRule="auto"/>
              <w:ind w:left="2665"/>
              <w:rPr>
                <w:rFonts w:ascii="仿宋" w:hAnsi="仿宋" w:eastAsia="仿宋" w:cs="仿宋"/>
                <w:sz w:val="21"/>
                <w:szCs w:val="21"/>
              </w:rPr>
            </w:pPr>
            <w:r>
              <w:rPr>
                <w:rFonts w:ascii="仿宋" w:hAnsi="仿宋" w:eastAsia="仿宋" w:cs="仿宋"/>
                <w:spacing w:val="-6"/>
                <w:sz w:val="21"/>
                <w:szCs w:val="21"/>
              </w:rPr>
              <w:t>具有刺激作用。</w:t>
            </w:r>
          </w:p>
        </w:tc>
      </w:tr>
    </w:tbl>
    <w:p>
      <w:pPr>
        <w:spacing w:before="80" w:line="218" w:lineRule="auto"/>
        <w:ind w:left="3307"/>
        <w:rPr>
          <w:rFonts w:ascii="仿宋" w:hAnsi="仿宋" w:eastAsia="仿宋" w:cs="仿宋"/>
          <w:sz w:val="21"/>
          <w:szCs w:val="21"/>
        </w:rPr>
      </w:pPr>
      <w:r>
        <w:rPr>
          <w:rFonts w:ascii="仿宋" w:hAnsi="仿宋" w:eastAsia="仿宋" w:cs="仿宋"/>
          <w:spacing w:val="-5"/>
          <w:sz w:val="21"/>
          <w:szCs w:val="21"/>
        </w:rPr>
        <w:t>第四部分</w:t>
      </w:r>
      <w:r>
        <w:rPr>
          <w:rFonts w:ascii="仿宋" w:hAnsi="仿宋" w:eastAsia="仿宋" w:cs="仿宋"/>
          <w:spacing w:val="6"/>
          <w:sz w:val="21"/>
          <w:szCs w:val="21"/>
        </w:rPr>
        <w:t xml:space="preserve">   </w:t>
      </w:r>
      <w:r>
        <w:rPr>
          <w:rFonts w:ascii="仿宋" w:hAnsi="仿宋" w:eastAsia="仿宋" w:cs="仿宋"/>
          <w:spacing w:val="-5"/>
          <w:sz w:val="21"/>
          <w:szCs w:val="21"/>
        </w:rPr>
        <w:t>环境影响</w:t>
      </w:r>
    </w:p>
    <w:p>
      <w:pPr>
        <w:spacing w:line="41" w:lineRule="exact"/>
      </w:pPr>
    </w:p>
    <w:tbl>
      <w:tblPr>
        <w:tblStyle w:val="5"/>
        <w:tblW w:w="8520"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52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76" w:hRule="atLeast"/>
        </w:trPr>
        <w:tc>
          <w:tcPr>
            <w:tcW w:w="8520" w:type="dxa"/>
            <w:tcBorders>
              <w:top w:val="single" w:color="000000" w:sz="2" w:space="0"/>
              <w:bottom w:val="single" w:color="000000" w:sz="2" w:space="0"/>
            </w:tcBorders>
            <w:vAlign w:val="top"/>
          </w:tcPr>
          <w:p>
            <w:pPr>
              <w:spacing w:before="84" w:line="215" w:lineRule="auto"/>
              <w:ind w:left="79"/>
              <w:rPr>
                <w:rFonts w:ascii="仿宋" w:hAnsi="仿宋" w:eastAsia="仿宋" w:cs="仿宋"/>
                <w:sz w:val="21"/>
                <w:szCs w:val="21"/>
              </w:rPr>
            </w:pPr>
            <w:r>
              <w:rPr>
                <w:rFonts w:ascii="宋体" w:hAnsi="宋体" w:eastAsia="宋体" w:cs="宋体"/>
                <w:spacing w:val="-1"/>
                <w:sz w:val="21"/>
                <w:szCs w:val="21"/>
              </w:rPr>
              <w:t>①</w:t>
            </w:r>
            <w:r>
              <w:rPr>
                <w:rFonts w:ascii="仿宋" w:hAnsi="仿宋" w:eastAsia="仿宋" w:cs="仿宋"/>
                <w:spacing w:val="-1"/>
                <w:sz w:val="21"/>
                <w:szCs w:val="21"/>
              </w:rPr>
              <w:t>在很低浓度下对水生生物造成危害，在土壤中具有极强迁移性，有一定生物富集性。</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PrEx>
        <w:trPr>
          <w:trHeight w:val="371" w:hRule="atLeast"/>
        </w:trPr>
        <w:tc>
          <w:tcPr>
            <w:tcW w:w="8520" w:type="dxa"/>
            <w:tcBorders>
              <w:top w:val="single" w:color="000000" w:sz="2" w:space="0"/>
              <w:bottom w:val="single" w:color="000000" w:sz="2" w:space="0"/>
            </w:tcBorders>
            <w:vAlign w:val="top"/>
          </w:tcPr>
          <w:p>
            <w:pPr>
              <w:spacing w:before="81" w:line="215" w:lineRule="auto"/>
              <w:ind w:left="78"/>
              <w:rPr>
                <w:rFonts w:ascii="仿宋" w:hAnsi="仿宋" w:eastAsia="仿宋" w:cs="仿宋"/>
                <w:sz w:val="21"/>
                <w:szCs w:val="21"/>
              </w:rPr>
            </w:pPr>
            <w:r>
              <w:rPr>
                <w:rFonts w:ascii="宋体" w:hAnsi="宋体" w:eastAsia="宋体" w:cs="宋体"/>
                <w:spacing w:val="-3"/>
                <w:sz w:val="21"/>
                <w:szCs w:val="21"/>
              </w:rPr>
              <w:t>②</w:t>
            </w:r>
            <w:r>
              <w:rPr>
                <w:rFonts w:ascii="仿宋" w:hAnsi="仿宋" w:eastAsia="仿宋" w:cs="仿宋"/>
                <w:spacing w:val="-3"/>
                <w:sz w:val="21"/>
                <w:szCs w:val="21"/>
              </w:rPr>
              <w:t>在低浓度时能生物降解。</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Ex>
        <w:trPr>
          <w:trHeight w:val="376" w:hRule="atLeast"/>
        </w:trPr>
        <w:tc>
          <w:tcPr>
            <w:tcW w:w="8520" w:type="dxa"/>
            <w:tcBorders>
              <w:top w:val="single" w:color="000000" w:sz="2" w:space="0"/>
              <w:bottom w:val="single" w:color="000000" w:sz="2" w:space="0"/>
            </w:tcBorders>
            <w:vAlign w:val="top"/>
          </w:tcPr>
          <w:p>
            <w:pPr>
              <w:spacing w:before="83" w:line="215" w:lineRule="auto"/>
              <w:ind w:left="78"/>
              <w:rPr>
                <w:rFonts w:ascii="仿宋" w:hAnsi="仿宋" w:eastAsia="仿宋" w:cs="仿宋"/>
                <w:sz w:val="21"/>
                <w:szCs w:val="21"/>
              </w:rPr>
            </w:pPr>
            <w:r>
              <w:rPr>
                <w:rFonts w:ascii="宋体" w:hAnsi="宋体" w:eastAsia="宋体" w:cs="宋体"/>
                <w:spacing w:val="-2"/>
                <w:sz w:val="21"/>
                <w:szCs w:val="21"/>
              </w:rPr>
              <w:t>③</w:t>
            </w:r>
            <w:r>
              <w:rPr>
                <w:rFonts w:ascii="仿宋" w:hAnsi="仿宋" w:eastAsia="仿宋" w:cs="仿宋"/>
                <w:spacing w:val="-2"/>
                <w:sz w:val="21"/>
                <w:szCs w:val="21"/>
              </w:rPr>
              <w:t>在高浓度时，可使微生物中毒，不易生物降解。</w:t>
            </w:r>
          </w:p>
        </w:tc>
      </w:tr>
    </w:tbl>
    <w:p>
      <w:pPr>
        <w:spacing w:before="36" w:line="467" w:lineRule="exact"/>
        <w:ind w:left="609"/>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2</w:t>
      </w:r>
      <w:r>
        <w:rPr>
          <w:rFonts w:ascii="宋体" w:hAnsi="宋体" w:eastAsia="宋体" w:cs="宋体"/>
          <w:spacing w:val="-2"/>
          <w:position w:val="17"/>
          <w:sz w:val="24"/>
          <w:szCs w:val="24"/>
        </w:rPr>
        <w:t>）可能影响环境的途径</w:t>
      </w:r>
    </w:p>
    <w:p>
      <w:pPr>
        <w:spacing w:line="217" w:lineRule="auto"/>
        <w:ind w:left="602"/>
        <w:rPr>
          <w:rFonts w:ascii="宋体" w:hAnsi="宋体" w:eastAsia="宋体" w:cs="宋体"/>
          <w:sz w:val="24"/>
          <w:szCs w:val="24"/>
        </w:rPr>
      </w:pPr>
      <w:r>
        <w:rPr>
          <w:rFonts w:ascii="宋体" w:hAnsi="宋体" w:eastAsia="宋体" w:cs="宋体"/>
          <w:spacing w:val="-2"/>
          <w:sz w:val="24"/>
          <w:szCs w:val="24"/>
        </w:rPr>
        <w:t>①火灾</w:t>
      </w:r>
    </w:p>
    <w:p>
      <w:pPr>
        <w:spacing w:before="184" w:line="467" w:lineRule="exact"/>
        <w:ind w:left="603"/>
        <w:rPr>
          <w:rFonts w:ascii="宋体" w:hAnsi="宋体" w:eastAsia="宋体" w:cs="宋体"/>
          <w:sz w:val="24"/>
          <w:szCs w:val="24"/>
        </w:rPr>
      </w:pPr>
      <w:r>
        <w:rPr>
          <w:rFonts w:ascii="宋体" w:hAnsi="宋体" w:eastAsia="宋体" w:cs="宋体"/>
          <w:spacing w:val="-13"/>
          <w:position w:val="17"/>
          <w:sz w:val="24"/>
          <w:szCs w:val="24"/>
        </w:rPr>
        <w:t>柴油属易燃液体，</w:t>
      </w:r>
      <w:r>
        <w:rPr>
          <w:rFonts w:ascii="宋体" w:hAnsi="宋体" w:eastAsia="宋体" w:cs="宋体"/>
          <w:spacing w:val="-42"/>
          <w:position w:val="17"/>
          <w:sz w:val="24"/>
          <w:szCs w:val="24"/>
        </w:rPr>
        <w:t xml:space="preserve"> </w:t>
      </w:r>
      <w:r>
        <w:rPr>
          <w:rFonts w:ascii="宋体" w:hAnsi="宋体" w:eastAsia="宋体" w:cs="宋体"/>
          <w:spacing w:val="-13"/>
          <w:position w:val="17"/>
          <w:sz w:val="24"/>
          <w:szCs w:val="24"/>
        </w:rPr>
        <w:t>如果操作不当会引起泄漏； 若遇到点火焰可能会燃烧，</w:t>
      </w:r>
      <w:r>
        <w:rPr>
          <w:rFonts w:ascii="宋体" w:hAnsi="宋体" w:eastAsia="宋体" w:cs="宋体"/>
          <w:spacing w:val="27"/>
          <w:position w:val="17"/>
          <w:sz w:val="24"/>
          <w:szCs w:val="24"/>
        </w:rPr>
        <w:t xml:space="preserve"> </w:t>
      </w:r>
      <w:r>
        <w:rPr>
          <w:rFonts w:ascii="宋体" w:hAnsi="宋体" w:eastAsia="宋体" w:cs="宋体"/>
          <w:spacing w:val="-13"/>
          <w:position w:val="17"/>
          <w:sz w:val="24"/>
          <w:szCs w:val="24"/>
        </w:rPr>
        <w:t>将</w:t>
      </w:r>
    </w:p>
    <w:p>
      <w:pPr>
        <w:spacing w:before="1" w:line="218" w:lineRule="auto"/>
        <w:ind w:left="122"/>
        <w:rPr>
          <w:rFonts w:ascii="宋体" w:hAnsi="宋体" w:eastAsia="宋体" w:cs="宋体"/>
          <w:sz w:val="24"/>
          <w:szCs w:val="24"/>
        </w:rPr>
      </w:pPr>
      <w:r>
        <w:rPr>
          <w:rFonts w:ascii="宋体" w:hAnsi="宋体" w:eastAsia="宋体" w:cs="宋体"/>
          <w:spacing w:val="-3"/>
          <w:sz w:val="24"/>
          <w:szCs w:val="24"/>
        </w:rPr>
        <w:t>会对人体健康、员工安全形成威胁。</w:t>
      </w:r>
    </w:p>
    <w:p>
      <w:pPr>
        <w:spacing w:before="183" w:line="217" w:lineRule="auto"/>
        <w:ind w:left="601"/>
        <w:rPr>
          <w:rFonts w:ascii="宋体" w:hAnsi="宋体" w:eastAsia="宋体" w:cs="宋体"/>
          <w:sz w:val="24"/>
          <w:szCs w:val="24"/>
        </w:rPr>
      </w:pPr>
      <w:r>
        <w:rPr>
          <w:rFonts w:ascii="宋体" w:hAnsi="宋体" w:eastAsia="宋体" w:cs="宋体"/>
          <w:spacing w:val="-2"/>
          <w:sz w:val="24"/>
          <w:szCs w:val="24"/>
        </w:rPr>
        <w:t>②泄露</w:t>
      </w:r>
    </w:p>
    <w:p>
      <w:pPr>
        <w:spacing w:before="185" w:line="468" w:lineRule="exact"/>
        <w:ind w:left="602"/>
        <w:rPr>
          <w:rFonts w:ascii="宋体" w:hAnsi="宋体" w:eastAsia="宋体" w:cs="宋体"/>
          <w:sz w:val="24"/>
          <w:szCs w:val="24"/>
        </w:rPr>
      </w:pPr>
      <w:r>
        <w:rPr>
          <w:rFonts w:ascii="宋体" w:hAnsi="宋体" w:eastAsia="宋体" w:cs="宋体"/>
          <w:spacing w:val="-4"/>
          <w:position w:val="17"/>
          <w:sz w:val="24"/>
          <w:szCs w:val="24"/>
        </w:rPr>
        <w:t>储存罐破损后发生泄露，油品漫流进入水体、土壤会污染地表水、地下水和</w:t>
      </w:r>
    </w:p>
    <w:p>
      <w:pPr>
        <w:spacing w:before="1" w:line="220" w:lineRule="auto"/>
        <w:ind w:left="124"/>
        <w:rPr>
          <w:rFonts w:ascii="宋体" w:hAnsi="宋体" w:eastAsia="宋体" w:cs="宋体"/>
          <w:sz w:val="24"/>
          <w:szCs w:val="24"/>
        </w:rPr>
      </w:pPr>
      <w:r>
        <w:rPr>
          <w:rFonts w:ascii="宋体" w:hAnsi="宋体" w:eastAsia="宋体" w:cs="宋体"/>
          <w:spacing w:val="-4"/>
          <w:sz w:val="24"/>
          <w:szCs w:val="24"/>
        </w:rPr>
        <w:t>土壤。</w:t>
      </w:r>
    </w:p>
    <w:p>
      <w:pPr>
        <w:spacing w:line="220" w:lineRule="auto"/>
        <w:rPr>
          <w:rFonts w:ascii="宋体" w:hAnsi="宋体" w:eastAsia="宋体" w:cs="宋体"/>
          <w:sz w:val="24"/>
          <w:szCs w:val="24"/>
        </w:rPr>
        <w:sectPr>
          <w:headerReference r:id="rId425" w:type="default"/>
          <w:footerReference r:id="rId426" w:type="default"/>
          <w:pgSz w:w="11907" w:h="16839"/>
          <w:pgMar w:top="1156" w:right="1699" w:bottom="1374" w:left="1686" w:header="881" w:footer="1210" w:gutter="0"/>
        </w:sectPr>
      </w:pPr>
    </w:p>
    <w:p>
      <w:pPr>
        <w:spacing w:line="412" w:lineRule="auto"/>
        <w:rPr>
          <w:rFonts w:ascii="Arial"/>
          <w:sz w:val="21"/>
        </w:rPr>
      </w:pPr>
    </w:p>
    <w:p>
      <w:pPr>
        <w:pStyle w:val="2"/>
        <w:spacing w:before="78" w:line="233" w:lineRule="auto"/>
        <w:ind w:left="38"/>
        <w:outlineLvl w:val="2"/>
        <w:rPr>
          <w:sz w:val="24"/>
          <w:szCs w:val="24"/>
        </w:rPr>
      </w:pPr>
      <w:r>
        <w:rPr>
          <w:rFonts w:ascii="Times New Roman" w:hAnsi="Times New Roman" w:eastAsia="Times New Roman" w:cs="Times New Roman"/>
          <w:b/>
          <w:bCs/>
          <w:spacing w:val="-1"/>
          <w:sz w:val="24"/>
          <w:szCs w:val="24"/>
        </w:rPr>
        <w:t xml:space="preserve">5.1.4 </w:t>
      </w:r>
      <w:r>
        <w:rPr>
          <w:spacing w:val="-1"/>
          <w:sz w:val="24"/>
          <w:szCs w:val="24"/>
          <w14:textOutline w14:w="4354" w14:cap="flat" w14:cmpd="sng">
            <w14:solidFill>
              <w14:srgbClr w14:val="000000"/>
            </w14:solidFill>
            <w14:prstDash w14:val="solid"/>
            <w14:miter w14:val="0"/>
          </w14:textOutline>
        </w:rPr>
        <w:t>环境风险分析</w:t>
      </w:r>
    </w:p>
    <w:p>
      <w:pPr>
        <w:spacing w:before="199"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）油料泄露</w:t>
      </w:r>
    </w:p>
    <w:p>
      <w:pPr>
        <w:spacing w:before="258" w:line="360" w:lineRule="auto"/>
        <w:ind w:left="35" w:right="30" w:firstLine="484"/>
        <w:jc w:val="both"/>
        <w:rPr>
          <w:rFonts w:ascii="宋体" w:hAnsi="宋体" w:eastAsia="宋体" w:cs="宋体"/>
          <w:sz w:val="24"/>
          <w:szCs w:val="24"/>
        </w:rPr>
      </w:pPr>
      <w:r>
        <w:rPr>
          <w:rFonts w:ascii="宋体" w:hAnsi="宋体" w:eastAsia="宋体" w:cs="宋体"/>
          <w:spacing w:val="-11"/>
          <w:sz w:val="24"/>
          <w:szCs w:val="24"/>
        </w:rPr>
        <w:t>假设储罐区</w:t>
      </w:r>
      <w:r>
        <w:rPr>
          <w:rFonts w:ascii="宋体" w:hAnsi="宋体" w:eastAsia="宋体" w:cs="宋体"/>
          <w:spacing w:val="-32"/>
          <w:sz w:val="24"/>
          <w:szCs w:val="24"/>
        </w:rPr>
        <w:t xml:space="preserve"> </w:t>
      </w:r>
      <w:r>
        <w:rPr>
          <w:rFonts w:ascii="Times New Roman" w:hAnsi="Times New Roman" w:eastAsia="Times New Roman" w:cs="Times New Roman"/>
          <w:spacing w:val="-11"/>
          <w:sz w:val="24"/>
          <w:szCs w:val="24"/>
        </w:rPr>
        <w:t xml:space="preserve">1 </w:t>
      </w:r>
      <w:r>
        <w:rPr>
          <w:rFonts w:ascii="宋体" w:hAnsi="宋体" w:eastAsia="宋体" w:cs="宋体"/>
          <w:spacing w:val="-11"/>
          <w:sz w:val="24"/>
          <w:szCs w:val="24"/>
        </w:rPr>
        <w:t>个油罐输油管路系统或储罐</w:t>
      </w:r>
      <w:r>
        <w:rPr>
          <w:rFonts w:ascii="宋体" w:hAnsi="宋体" w:eastAsia="宋体" w:cs="宋体"/>
          <w:spacing w:val="-12"/>
          <w:sz w:val="24"/>
          <w:szCs w:val="24"/>
        </w:rPr>
        <w:t>阀门破裂，</w:t>
      </w:r>
      <w:r>
        <w:rPr>
          <w:rFonts w:ascii="宋体" w:hAnsi="宋体" w:eastAsia="宋体" w:cs="宋体"/>
          <w:spacing w:val="-42"/>
          <w:sz w:val="24"/>
          <w:szCs w:val="24"/>
        </w:rPr>
        <w:t xml:space="preserve"> </w:t>
      </w:r>
      <w:r>
        <w:rPr>
          <w:rFonts w:ascii="宋体" w:hAnsi="宋体" w:eastAsia="宋体" w:cs="宋体"/>
          <w:spacing w:val="-12"/>
          <w:sz w:val="24"/>
          <w:szCs w:val="24"/>
        </w:rPr>
        <w:t>发生泄漏。根据（</w:t>
      </w:r>
      <w:r>
        <w:rPr>
          <w:rFonts w:ascii="Times New Roman" w:hAnsi="Times New Roman" w:eastAsia="Times New Roman" w:cs="Times New Roman"/>
          <w:spacing w:val="-12"/>
          <w:sz w:val="24"/>
          <w:szCs w:val="24"/>
        </w:rPr>
        <w:t>HJ169-</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3"/>
          <w:sz w:val="24"/>
          <w:szCs w:val="24"/>
        </w:rPr>
        <w:t>2018</w:t>
      </w:r>
      <w:r>
        <w:rPr>
          <w:rFonts w:ascii="宋体" w:hAnsi="宋体" w:eastAsia="宋体" w:cs="宋体"/>
          <w:spacing w:val="-3"/>
          <w:sz w:val="24"/>
          <w:szCs w:val="24"/>
        </w:rPr>
        <w:t>）《建设项目环境风险评价技术导则》中相关要求，液体泄漏事件源强计算</w:t>
      </w:r>
    </w:p>
    <w:p>
      <w:pPr>
        <w:spacing w:line="220" w:lineRule="auto"/>
        <w:ind w:left="46"/>
        <w:rPr>
          <w:rFonts w:ascii="宋体" w:hAnsi="宋体" w:eastAsia="宋体" w:cs="宋体"/>
          <w:sz w:val="24"/>
          <w:szCs w:val="24"/>
        </w:rPr>
      </w:pPr>
      <w:r>
        <w:rPr>
          <w:rFonts w:ascii="宋体" w:hAnsi="宋体" w:eastAsia="宋体" w:cs="宋体"/>
          <w:spacing w:val="-12"/>
          <w:sz w:val="24"/>
          <w:szCs w:val="24"/>
        </w:rPr>
        <w:t>公式如下：</w:t>
      </w:r>
    </w:p>
    <w:p>
      <w:pPr>
        <w:spacing w:before="98" w:line="874" w:lineRule="exact"/>
        <w:ind w:firstLine="2741"/>
      </w:pPr>
      <w:r>
        <w:rPr>
          <w:position w:val="-17"/>
        </w:rPr>
        <w:drawing>
          <wp:inline distT="0" distB="0" distL="0" distR="0">
            <wp:extent cx="2134870" cy="55499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519"/>
                    <a:stretch>
                      <a:fillRect/>
                    </a:stretch>
                  </pic:blipFill>
                  <pic:spPr>
                    <a:xfrm>
                      <a:off x="0" y="0"/>
                      <a:ext cx="2134870" cy="554990"/>
                    </a:xfrm>
                    <a:prstGeom prst="rect">
                      <a:avLst/>
                    </a:prstGeom>
                  </pic:spPr>
                </pic:pic>
              </a:graphicData>
            </a:graphic>
          </wp:inline>
        </w:drawing>
      </w:r>
    </w:p>
    <w:p>
      <w:pPr>
        <w:spacing w:before="146" w:line="212" w:lineRule="auto"/>
        <w:ind w:left="524"/>
        <w:rPr>
          <w:rFonts w:ascii="宋体" w:hAnsi="宋体" w:eastAsia="宋体" w:cs="宋体"/>
          <w:sz w:val="24"/>
          <w:szCs w:val="24"/>
        </w:rPr>
      </w:pPr>
      <w:r>
        <w:rPr>
          <w:rFonts w:ascii="宋体" w:hAnsi="宋体" w:eastAsia="宋体" w:cs="宋体"/>
          <w:spacing w:val="-19"/>
          <w:sz w:val="24"/>
          <w:szCs w:val="24"/>
        </w:rPr>
        <w:t xml:space="preserve">式中： </w:t>
      </w:r>
      <w:r>
        <w:rPr>
          <w:rFonts w:ascii="Times New Roman" w:hAnsi="Times New Roman" w:eastAsia="Times New Roman" w:cs="Times New Roman"/>
          <w:spacing w:val="-19"/>
          <w:sz w:val="24"/>
          <w:szCs w:val="24"/>
        </w:rPr>
        <w:t>Q—</w:t>
      </w:r>
      <w:r>
        <w:rPr>
          <w:rFonts w:ascii="宋体" w:hAnsi="宋体" w:eastAsia="宋体" w:cs="宋体"/>
          <w:spacing w:val="-19"/>
          <w:sz w:val="24"/>
          <w:szCs w:val="24"/>
        </w:rPr>
        <w:t>液体排出率，</w:t>
      </w:r>
      <w:r>
        <w:rPr>
          <w:rFonts w:ascii="宋体" w:hAnsi="宋体" w:eastAsia="宋体" w:cs="宋体"/>
          <w:spacing w:val="67"/>
          <w:sz w:val="24"/>
          <w:szCs w:val="24"/>
        </w:rPr>
        <w:t xml:space="preserve"> </w:t>
      </w:r>
      <w:r>
        <w:rPr>
          <w:rFonts w:ascii="Times New Roman" w:hAnsi="Times New Roman" w:eastAsia="Times New Roman" w:cs="Times New Roman"/>
          <w:spacing w:val="-19"/>
          <w:sz w:val="24"/>
          <w:szCs w:val="24"/>
        </w:rPr>
        <w:t>kg/s</w:t>
      </w:r>
      <w:r>
        <w:rPr>
          <w:rFonts w:ascii="宋体" w:hAnsi="宋体" w:eastAsia="宋体" w:cs="宋体"/>
          <w:spacing w:val="-19"/>
          <w:sz w:val="24"/>
          <w:szCs w:val="24"/>
        </w:rPr>
        <w:t>；</w:t>
      </w:r>
    </w:p>
    <w:p>
      <w:pPr>
        <w:spacing w:before="192" w:line="468" w:lineRule="exact"/>
        <w:ind w:left="1231"/>
        <w:rPr>
          <w:rFonts w:ascii="宋体" w:hAnsi="宋体" w:eastAsia="宋体" w:cs="宋体"/>
          <w:sz w:val="24"/>
          <w:szCs w:val="24"/>
        </w:rPr>
      </w:pPr>
      <w:r>
        <w:rPr>
          <w:rFonts w:ascii="Times New Roman" w:hAnsi="Times New Roman" w:eastAsia="Times New Roman" w:cs="Times New Roman"/>
          <w:spacing w:val="-1"/>
          <w:position w:val="17"/>
          <w:sz w:val="24"/>
          <w:szCs w:val="24"/>
        </w:rPr>
        <w:t>Ar—</w:t>
      </w:r>
      <w:r>
        <w:rPr>
          <w:rFonts w:ascii="宋体" w:hAnsi="宋体" w:eastAsia="宋体" w:cs="宋体"/>
          <w:spacing w:val="-1"/>
          <w:position w:val="17"/>
          <w:sz w:val="24"/>
          <w:szCs w:val="24"/>
        </w:rPr>
        <w:t>裂口流出面积，管径</w:t>
      </w:r>
      <w:r>
        <w:rPr>
          <w:rFonts w:ascii="宋体" w:hAnsi="宋体" w:eastAsia="宋体" w:cs="宋体"/>
          <w:spacing w:val="-31"/>
          <w:position w:val="17"/>
          <w:sz w:val="24"/>
          <w:szCs w:val="24"/>
        </w:rPr>
        <w:t xml:space="preserve"> </w:t>
      </w:r>
      <w:r>
        <w:rPr>
          <w:rFonts w:ascii="Times New Roman" w:hAnsi="Times New Roman" w:eastAsia="Times New Roman" w:cs="Times New Roman"/>
          <w:spacing w:val="-1"/>
          <w:position w:val="17"/>
          <w:sz w:val="24"/>
          <w:szCs w:val="24"/>
        </w:rPr>
        <w:t>100mm</w:t>
      </w:r>
      <w:r>
        <w:rPr>
          <w:rFonts w:ascii="宋体" w:hAnsi="宋体" w:eastAsia="宋体" w:cs="宋体"/>
          <w:spacing w:val="-1"/>
          <w:position w:val="17"/>
          <w:sz w:val="24"/>
          <w:szCs w:val="24"/>
        </w:rPr>
        <w:t>、裂</w:t>
      </w:r>
      <w:r>
        <w:rPr>
          <w:rFonts w:ascii="宋体" w:hAnsi="宋体" w:eastAsia="宋体" w:cs="宋体"/>
          <w:spacing w:val="-2"/>
          <w:position w:val="17"/>
          <w:sz w:val="24"/>
          <w:szCs w:val="24"/>
        </w:rPr>
        <w:t>口面积为</w:t>
      </w:r>
      <w:r>
        <w:rPr>
          <w:rFonts w:ascii="宋体" w:hAnsi="宋体" w:eastAsia="宋体" w:cs="宋体"/>
          <w:spacing w:val="-40"/>
          <w:position w:val="17"/>
          <w:sz w:val="24"/>
          <w:szCs w:val="24"/>
        </w:rPr>
        <w:t xml:space="preserve"> </w:t>
      </w:r>
      <w:r>
        <w:rPr>
          <w:rFonts w:ascii="Times New Roman" w:hAnsi="Times New Roman" w:eastAsia="Times New Roman" w:cs="Times New Roman"/>
          <w:spacing w:val="-2"/>
          <w:position w:val="17"/>
          <w:sz w:val="24"/>
          <w:szCs w:val="24"/>
        </w:rPr>
        <w:t>0.00785m</w:t>
      </w:r>
      <w:r>
        <w:rPr>
          <w:rFonts w:ascii="Times New Roman" w:hAnsi="Times New Roman" w:eastAsia="Times New Roman" w:cs="Times New Roman"/>
          <w:spacing w:val="-2"/>
          <w:position w:val="25"/>
          <w:sz w:val="15"/>
          <w:szCs w:val="15"/>
        </w:rPr>
        <w:t>2</w:t>
      </w:r>
      <w:r>
        <w:rPr>
          <w:rFonts w:ascii="宋体" w:hAnsi="宋体" w:eastAsia="宋体" w:cs="宋体"/>
          <w:spacing w:val="-2"/>
          <w:position w:val="17"/>
          <w:sz w:val="24"/>
          <w:szCs w:val="24"/>
        </w:rPr>
        <w:t>；</w:t>
      </w:r>
    </w:p>
    <w:p>
      <w:pPr>
        <w:spacing w:line="219" w:lineRule="auto"/>
        <w:ind w:left="1238"/>
        <w:rPr>
          <w:rFonts w:ascii="宋体" w:hAnsi="宋体" w:eastAsia="宋体" w:cs="宋体"/>
          <w:sz w:val="24"/>
          <w:szCs w:val="24"/>
        </w:rPr>
      </w:pPr>
      <w:r>
        <w:rPr>
          <w:rFonts w:ascii="Times New Roman" w:hAnsi="Times New Roman" w:eastAsia="Times New Roman" w:cs="Times New Roman"/>
          <w:spacing w:val="-7"/>
          <w:sz w:val="24"/>
          <w:szCs w:val="24"/>
        </w:rPr>
        <w:t>Cd—</w:t>
      </w:r>
      <w:r>
        <w:rPr>
          <w:rFonts w:ascii="宋体" w:hAnsi="宋体" w:eastAsia="宋体" w:cs="宋体"/>
          <w:spacing w:val="-7"/>
          <w:sz w:val="24"/>
          <w:szCs w:val="24"/>
        </w:rPr>
        <w:t>流量系数，</w:t>
      </w:r>
      <w:r>
        <w:rPr>
          <w:rFonts w:ascii="宋体" w:hAnsi="宋体" w:eastAsia="宋体" w:cs="宋体"/>
          <w:spacing w:val="29"/>
          <w:sz w:val="24"/>
          <w:szCs w:val="24"/>
        </w:rPr>
        <w:t xml:space="preserve"> </w:t>
      </w:r>
      <w:r>
        <w:rPr>
          <w:rFonts w:ascii="宋体" w:hAnsi="宋体" w:eastAsia="宋体" w:cs="宋体"/>
          <w:spacing w:val="-7"/>
          <w:sz w:val="24"/>
          <w:szCs w:val="24"/>
        </w:rPr>
        <w:t>一般取</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0.6</w:t>
      </w:r>
      <w:r>
        <w:rPr>
          <w:rFonts w:ascii="宋体" w:hAnsi="宋体" w:eastAsia="宋体" w:cs="宋体"/>
          <w:spacing w:val="-7"/>
          <w:sz w:val="24"/>
          <w:szCs w:val="24"/>
        </w:rPr>
        <w:t>～</w:t>
      </w:r>
      <w:r>
        <w:rPr>
          <w:rFonts w:ascii="Times New Roman" w:hAnsi="Times New Roman" w:eastAsia="Times New Roman" w:cs="Times New Roman"/>
          <w:spacing w:val="-7"/>
          <w:sz w:val="24"/>
          <w:szCs w:val="24"/>
        </w:rPr>
        <w:t>0.64</w:t>
      </w:r>
      <w:r>
        <w:rPr>
          <w:rFonts w:ascii="宋体" w:hAnsi="宋体" w:eastAsia="宋体" w:cs="宋体"/>
          <w:spacing w:val="-7"/>
          <w:sz w:val="24"/>
          <w:szCs w:val="24"/>
        </w:rPr>
        <w:t>，</w:t>
      </w:r>
      <w:r>
        <w:rPr>
          <w:rFonts w:ascii="宋体" w:hAnsi="宋体" w:eastAsia="宋体" w:cs="宋体"/>
          <w:spacing w:val="-8"/>
          <w:sz w:val="24"/>
          <w:szCs w:val="24"/>
        </w:rPr>
        <w:t>取</w:t>
      </w:r>
      <w:r>
        <w:rPr>
          <w:rFonts w:ascii="宋体" w:hAnsi="宋体" w:eastAsia="宋体" w:cs="宋体"/>
          <w:spacing w:val="-40"/>
          <w:sz w:val="24"/>
          <w:szCs w:val="24"/>
        </w:rPr>
        <w:t xml:space="preserve"> </w:t>
      </w:r>
      <w:r>
        <w:rPr>
          <w:rFonts w:ascii="Times New Roman" w:hAnsi="Times New Roman" w:eastAsia="Times New Roman" w:cs="Times New Roman"/>
          <w:spacing w:val="-8"/>
          <w:sz w:val="24"/>
          <w:szCs w:val="24"/>
        </w:rPr>
        <w:t>0.62</w:t>
      </w:r>
      <w:r>
        <w:rPr>
          <w:rFonts w:ascii="宋体" w:hAnsi="宋体" w:eastAsia="宋体" w:cs="宋体"/>
          <w:spacing w:val="-8"/>
          <w:sz w:val="24"/>
          <w:szCs w:val="24"/>
        </w:rPr>
        <w:t>；</w:t>
      </w:r>
    </w:p>
    <w:p>
      <w:pPr>
        <w:spacing w:before="183" w:line="468" w:lineRule="exact"/>
        <w:ind w:left="1234"/>
        <w:rPr>
          <w:rFonts w:ascii="宋体" w:hAnsi="宋体" w:eastAsia="宋体" w:cs="宋体"/>
          <w:sz w:val="24"/>
          <w:szCs w:val="24"/>
        </w:rPr>
      </w:pPr>
      <w:r>
        <w:rPr>
          <w:rFonts w:ascii="Times New Roman" w:hAnsi="Times New Roman" w:eastAsia="Times New Roman" w:cs="Times New Roman"/>
          <w:spacing w:val="-3"/>
          <w:position w:val="17"/>
          <w:sz w:val="24"/>
          <w:szCs w:val="24"/>
        </w:rPr>
        <w:t>P1—</w:t>
      </w:r>
      <w:r>
        <w:rPr>
          <w:rFonts w:ascii="宋体" w:hAnsi="宋体" w:eastAsia="宋体" w:cs="宋体"/>
          <w:spacing w:val="-3"/>
          <w:position w:val="17"/>
          <w:sz w:val="24"/>
          <w:szCs w:val="24"/>
        </w:rPr>
        <w:t xml:space="preserve">操作压力或容器压力，取 </w:t>
      </w:r>
      <w:r>
        <w:rPr>
          <w:rFonts w:ascii="Times New Roman" w:hAnsi="Times New Roman" w:eastAsia="Times New Roman" w:cs="Times New Roman"/>
          <w:spacing w:val="-3"/>
          <w:position w:val="17"/>
          <w:sz w:val="24"/>
          <w:szCs w:val="24"/>
        </w:rPr>
        <w:t>1.0×10</w:t>
      </w:r>
      <w:r>
        <w:rPr>
          <w:rFonts w:ascii="Times New Roman" w:hAnsi="Times New Roman" w:eastAsia="Times New Roman" w:cs="Times New Roman"/>
          <w:spacing w:val="-3"/>
          <w:position w:val="25"/>
          <w:sz w:val="15"/>
          <w:szCs w:val="15"/>
        </w:rPr>
        <w:t>5</w:t>
      </w:r>
      <w:r>
        <w:rPr>
          <w:rFonts w:ascii="Times New Roman" w:hAnsi="Times New Roman" w:eastAsia="Times New Roman" w:cs="Times New Roman"/>
          <w:spacing w:val="-3"/>
          <w:position w:val="17"/>
          <w:sz w:val="24"/>
          <w:szCs w:val="24"/>
        </w:rPr>
        <w:t>Pa</w:t>
      </w:r>
      <w:r>
        <w:rPr>
          <w:rFonts w:ascii="宋体" w:hAnsi="宋体" w:eastAsia="宋体" w:cs="宋体"/>
          <w:spacing w:val="-3"/>
          <w:position w:val="17"/>
          <w:sz w:val="24"/>
          <w:szCs w:val="24"/>
        </w:rPr>
        <w:t>；</w:t>
      </w:r>
    </w:p>
    <w:p>
      <w:pPr>
        <w:spacing w:before="1" w:line="219" w:lineRule="auto"/>
        <w:ind w:left="1234"/>
        <w:rPr>
          <w:rFonts w:ascii="宋体" w:hAnsi="宋体" w:eastAsia="宋体" w:cs="宋体"/>
          <w:sz w:val="24"/>
          <w:szCs w:val="24"/>
        </w:rPr>
      </w:pPr>
      <w:r>
        <w:rPr>
          <w:rFonts w:ascii="Times New Roman" w:hAnsi="Times New Roman" w:eastAsia="Times New Roman" w:cs="Times New Roman"/>
          <w:spacing w:val="-2"/>
          <w:sz w:val="24"/>
          <w:szCs w:val="24"/>
        </w:rPr>
        <w:t>Pa—</w:t>
      </w:r>
      <w:r>
        <w:rPr>
          <w:rFonts w:ascii="宋体" w:hAnsi="宋体" w:eastAsia="宋体" w:cs="宋体"/>
          <w:spacing w:val="-2"/>
          <w:sz w:val="24"/>
          <w:szCs w:val="24"/>
        </w:rPr>
        <w:t>外界压力或大气压，取</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1.0×10</w:t>
      </w:r>
      <w:r>
        <w:rPr>
          <w:rFonts w:ascii="Times New Roman" w:hAnsi="Times New Roman" w:eastAsia="Times New Roman" w:cs="Times New Roman"/>
          <w:spacing w:val="-2"/>
          <w:position w:val="8"/>
          <w:sz w:val="15"/>
          <w:szCs w:val="15"/>
        </w:rPr>
        <w:t>5</w:t>
      </w:r>
      <w:r>
        <w:rPr>
          <w:rFonts w:ascii="Times New Roman" w:hAnsi="Times New Roman" w:eastAsia="Times New Roman" w:cs="Times New Roman"/>
          <w:spacing w:val="-2"/>
          <w:sz w:val="24"/>
          <w:szCs w:val="24"/>
        </w:rPr>
        <w:t>Pa</w:t>
      </w:r>
      <w:r>
        <w:rPr>
          <w:rFonts w:ascii="宋体" w:hAnsi="宋体" w:eastAsia="宋体" w:cs="宋体"/>
          <w:spacing w:val="-2"/>
          <w:sz w:val="24"/>
          <w:szCs w:val="24"/>
        </w:rPr>
        <w:t>；</w:t>
      </w:r>
    </w:p>
    <w:p>
      <w:pPr>
        <w:spacing w:before="183" w:line="212" w:lineRule="auto"/>
        <w:ind w:left="1240"/>
        <w:rPr>
          <w:rFonts w:ascii="宋体" w:hAnsi="宋体" w:eastAsia="宋体" w:cs="宋体"/>
          <w:sz w:val="24"/>
          <w:szCs w:val="24"/>
        </w:rPr>
      </w:pPr>
      <w:r>
        <w:rPr>
          <w:rFonts w:ascii="Times New Roman" w:hAnsi="Times New Roman" w:eastAsia="Times New Roman" w:cs="Times New Roman"/>
          <w:spacing w:val="-8"/>
          <w:sz w:val="24"/>
          <w:szCs w:val="24"/>
        </w:rPr>
        <w:t>ρ—</w:t>
      </w:r>
      <w:r>
        <w:rPr>
          <w:rFonts w:ascii="宋体" w:hAnsi="宋体" w:eastAsia="宋体" w:cs="宋体"/>
          <w:spacing w:val="-8"/>
          <w:sz w:val="24"/>
          <w:szCs w:val="24"/>
        </w:rPr>
        <w:t>液体密度，</w:t>
      </w:r>
      <w:r>
        <w:rPr>
          <w:rFonts w:ascii="宋体" w:hAnsi="宋体" w:eastAsia="宋体" w:cs="宋体"/>
          <w:spacing w:val="42"/>
          <w:sz w:val="24"/>
          <w:szCs w:val="24"/>
        </w:rPr>
        <w:t xml:space="preserve"> </w:t>
      </w:r>
      <w:r>
        <w:rPr>
          <w:rFonts w:ascii="宋体" w:hAnsi="宋体" w:eastAsia="宋体" w:cs="宋体"/>
          <w:spacing w:val="-8"/>
          <w:sz w:val="24"/>
          <w:szCs w:val="24"/>
        </w:rPr>
        <w:t>按汽油计，取</w:t>
      </w:r>
      <w:r>
        <w:rPr>
          <w:rFonts w:ascii="宋体" w:hAnsi="宋体" w:eastAsia="宋体" w:cs="宋体"/>
          <w:spacing w:val="-51"/>
          <w:sz w:val="24"/>
          <w:szCs w:val="24"/>
        </w:rPr>
        <w:t xml:space="preserve"> </w:t>
      </w:r>
      <w:r>
        <w:rPr>
          <w:rFonts w:ascii="Times New Roman" w:hAnsi="Times New Roman" w:eastAsia="Times New Roman" w:cs="Times New Roman"/>
          <w:spacing w:val="-8"/>
          <w:sz w:val="24"/>
          <w:szCs w:val="24"/>
        </w:rPr>
        <w:t>750kg/m</w:t>
      </w:r>
      <w:r>
        <w:rPr>
          <w:rFonts w:ascii="Times New Roman" w:hAnsi="Times New Roman" w:eastAsia="Times New Roman" w:cs="Times New Roman"/>
          <w:spacing w:val="-8"/>
          <w:position w:val="8"/>
          <w:sz w:val="15"/>
          <w:szCs w:val="15"/>
        </w:rPr>
        <w:t>3</w:t>
      </w:r>
      <w:r>
        <w:rPr>
          <w:rFonts w:ascii="宋体" w:hAnsi="宋体" w:eastAsia="宋体" w:cs="宋体"/>
          <w:spacing w:val="-8"/>
          <w:sz w:val="24"/>
          <w:szCs w:val="24"/>
        </w:rPr>
        <w:t>；</w:t>
      </w:r>
    </w:p>
    <w:p>
      <w:pPr>
        <w:spacing w:before="192" w:line="233" w:lineRule="auto"/>
        <w:ind w:left="1231"/>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罐中液面在排放点以上的高度，取</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0.5m</w:t>
      </w:r>
      <w:r>
        <w:rPr>
          <w:rFonts w:ascii="宋体" w:hAnsi="宋体" w:eastAsia="宋体" w:cs="宋体"/>
          <w:spacing w:val="-1"/>
          <w:sz w:val="24"/>
          <w:szCs w:val="24"/>
        </w:rPr>
        <w:t>。</w:t>
      </w:r>
    </w:p>
    <w:p>
      <w:pPr>
        <w:spacing w:before="165" w:line="468" w:lineRule="exact"/>
        <w:ind w:right="37"/>
        <w:jc w:val="right"/>
        <w:rPr>
          <w:rFonts w:ascii="宋体" w:hAnsi="宋体" w:eastAsia="宋体" w:cs="宋体"/>
          <w:sz w:val="24"/>
          <w:szCs w:val="24"/>
        </w:rPr>
      </w:pPr>
      <w:r>
        <w:rPr>
          <w:rFonts w:ascii="宋体" w:hAnsi="宋体" w:eastAsia="宋体" w:cs="宋体"/>
          <w:spacing w:val="-4"/>
          <w:position w:val="17"/>
          <w:sz w:val="24"/>
          <w:szCs w:val="24"/>
        </w:rPr>
        <w:t>项目区柴油储油罐体</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 xml:space="preserve">1 </w:t>
      </w:r>
      <w:r>
        <w:rPr>
          <w:rFonts w:ascii="宋体" w:hAnsi="宋体" w:eastAsia="宋体" w:cs="宋体"/>
          <w:spacing w:val="-4"/>
          <w:position w:val="17"/>
          <w:sz w:val="24"/>
          <w:szCs w:val="24"/>
        </w:rPr>
        <w:t>个，容积为</w:t>
      </w:r>
      <w:r>
        <w:rPr>
          <w:rFonts w:ascii="宋体" w:hAnsi="宋体" w:eastAsia="宋体" w:cs="宋体"/>
          <w:spacing w:val="-50"/>
          <w:position w:val="17"/>
          <w:sz w:val="24"/>
          <w:szCs w:val="24"/>
        </w:rPr>
        <w:t xml:space="preserve"> </w:t>
      </w:r>
      <w:r>
        <w:rPr>
          <w:rFonts w:ascii="Times New Roman" w:hAnsi="Times New Roman" w:eastAsia="Times New Roman" w:cs="Times New Roman"/>
          <w:spacing w:val="-4"/>
          <w:position w:val="17"/>
          <w:sz w:val="24"/>
          <w:szCs w:val="24"/>
        </w:rPr>
        <w:t>30m</w:t>
      </w:r>
      <w:r>
        <w:rPr>
          <w:rFonts w:ascii="Times New Roman" w:hAnsi="Times New Roman" w:eastAsia="Times New Roman" w:cs="Times New Roman"/>
          <w:spacing w:val="-4"/>
          <w:position w:val="25"/>
          <w:sz w:val="15"/>
          <w:szCs w:val="15"/>
        </w:rPr>
        <w:t>3</w:t>
      </w:r>
      <w:r>
        <w:rPr>
          <w:rFonts w:ascii="Times New Roman" w:hAnsi="Times New Roman" w:eastAsia="Times New Roman" w:cs="Times New Roman"/>
          <w:spacing w:val="-11"/>
          <w:position w:val="25"/>
          <w:sz w:val="15"/>
          <w:szCs w:val="15"/>
        </w:rPr>
        <w:t xml:space="preserve"> </w:t>
      </w:r>
      <w:r>
        <w:rPr>
          <w:rFonts w:ascii="宋体" w:hAnsi="宋体" w:eastAsia="宋体" w:cs="宋体"/>
          <w:spacing w:val="-4"/>
          <w:position w:val="17"/>
          <w:sz w:val="24"/>
          <w:szCs w:val="24"/>
        </w:rPr>
        <w:t>，设计储存系数为</w:t>
      </w:r>
      <w:r>
        <w:rPr>
          <w:rFonts w:ascii="宋体" w:hAnsi="宋体" w:eastAsia="宋体" w:cs="宋体"/>
          <w:spacing w:val="-51"/>
          <w:position w:val="17"/>
          <w:sz w:val="24"/>
          <w:szCs w:val="24"/>
        </w:rPr>
        <w:t xml:space="preserve"> </w:t>
      </w:r>
      <w:r>
        <w:rPr>
          <w:rFonts w:ascii="Times New Roman" w:hAnsi="Times New Roman" w:eastAsia="Times New Roman" w:cs="Times New Roman"/>
          <w:spacing w:val="-4"/>
          <w:position w:val="17"/>
          <w:sz w:val="24"/>
          <w:szCs w:val="24"/>
        </w:rPr>
        <w:t>0.9</w:t>
      </w:r>
      <w:r>
        <w:rPr>
          <w:rFonts w:ascii="宋体" w:hAnsi="宋体" w:eastAsia="宋体" w:cs="宋体"/>
          <w:spacing w:val="-4"/>
          <w:position w:val="17"/>
          <w:sz w:val="24"/>
          <w:szCs w:val="24"/>
        </w:rPr>
        <w:t>，罐内</w:t>
      </w:r>
      <w:r>
        <w:rPr>
          <w:rFonts w:ascii="宋体" w:hAnsi="宋体" w:eastAsia="宋体" w:cs="宋体"/>
          <w:spacing w:val="-5"/>
          <w:position w:val="17"/>
          <w:sz w:val="24"/>
          <w:szCs w:val="24"/>
        </w:rPr>
        <w:t>为常压</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储存，输油管道的管径为</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100mm</w:t>
      </w:r>
      <w:r>
        <w:rPr>
          <w:rFonts w:ascii="宋体" w:hAnsi="宋体" w:eastAsia="宋体" w:cs="宋体"/>
          <w:spacing w:val="-3"/>
          <w:sz w:val="24"/>
          <w:szCs w:val="24"/>
        </w:rPr>
        <w:t>。</w:t>
      </w:r>
    </w:p>
    <w:p>
      <w:pPr>
        <w:spacing w:before="183" w:line="360" w:lineRule="auto"/>
        <w:ind w:left="39" w:right="30" w:firstLine="498"/>
        <w:rPr>
          <w:rFonts w:ascii="宋体" w:hAnsi="宋体" w:eastAsia="宋体" w:cs="宋体"/>
          <w:sz w:val="24"/>
          <w:szCs w:val="24"/>
        </w:rPr>
      </w:pPr>
      <w:r>
        <w:rPr>
          <w:rFonts w:ascii="宋体" w:hAnsi="宋体" w:eastAsia="宋体" w:cs="宋体"/>
          <w:spacing w:val="-2"/>
          <w:sz w:val="24"/>
          <w:szCs w:val="24"/>
        </w:rPr>
        <w:t>因此假定储罐区输油管道阀门发生破裂，泄漏面积按</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100%</w:t>
      </w:r>
      <w:r>
        <w:rPr>
          <w:rFonts w:ascii="宋体" w:hAnsi="宋体" w:eastAsia="宋体" w:cs="宋体"/>
          <w:spacing w:val="-2"/>
          <w:sz w:val="24"/>
          <w:szCs w:val="24"/>
        </w:rPr>
        <w:t>管径计。按照上</w:t>
      </w:r>
      <w:r>
        <w:rPr>
          <w:rFonts w:ascii="宋体" w:hAnsi="宋体" w:eastAsia="宋体" w:cs="宋体"/>
          <w:sz w:val="24"/>
          <w:szCs w:val="24"/>
        </w:rPr>
        <w:t xml:space="preserve"> </w:t>
      </w:r>
      <w:r>
        <w:rPr>
          <w:rFonts w:ascii="宋体" w:hAnsi="宋体" w:eastAsia="宋体" w:cs="宋体"/>
          <w:spacing w:val="4"/>
          <w:sz w:val="24"/>
          <w:szCs w:val="24"/>
        </w:rPr>
        <w:t>述公式及参数计算，柴油储罐输油管道阀门发生破裂导致的汽油</w:t>
      </w:r>
      <w:r>
        <w:rPr>
          <w:rFonts w:ascii="宋体" w:hAnsi="宋体" w:eastAsia="宋体" w:cs="宋体"/>
          <w:spacing w:val="3"/>
          <w:sz w:val="24"/>
          <w:szCs w:val="24"/>
        </w:rPr>
        <w:t>泄漏速率约为</w:t>
      </w:r>
      <w:r>
        <w:rPr>
          <w:rFonts w:ascii="宋体" w:hAnsi="宋体" w:eastAsia="宋体" w:cs="宋体"/>
          <w:sz w:val="24"/>
          <w:szCs w:val="24"/>
        </w:rPr>
        <w:t xml:space="preserve"> </w:t>
      </w:r>
      <w:r>
        <w:rPr>
          <w:rFonts w:ascii="Times New Roman" w:hAnsi="Times New Roman" w:eastAsia="Times New Roman" w:cs="Times New Roman"/>
          <w:spacing w:val="-4"/>
          <w:sz w:val="24"/>
          <w:szCs w:val="24"/>
        </w:rPr>
        <w:t>3.65kg/s</w:t>
      </w:r>
      <w:r>
        <w:rPr>
          <w:rFonts w:ascii="宋体" w:hAnsi="宋体" w:eastAsia="宋体" w:cs="宋体"/>
          <w:spacing w:val="-4"/>
          <w:sz w:val="24"/>
          <w:szCs w:val="24"/>
        </w:rPr>
        <w:t>。假定事件控制响应时间为</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15mi</w:t>
      </w:r>
      <w:r>
        <w:rPr>
          <w:rFonts w:ascii="Times New Roman" w:hAnsi="Times New Roman" w:eastAsia="Times New Roman" w:cs="Times New Roman"/>
          <w:spacing w:val="-5"/>
          <w:sz w:val="24"/>
          <w:szCs w:val="24"/>
        </w:rPr>
        <w:t>n</w:t>
      </w:r>
      <w:r>
        <w:rPr>
          <w:rFonts w:ascii="宋体" w:hAnsi="宋体" w:eastAsia="宋体" w:cs="宋体"/>
          <w:spacing w:val="-5"/>
          <w:sz w:val="24"/>
          <w:szCs w:val="24"/>
        </w:rPr>
        <w:t>，则柴油储罐的输油管道阀门发生破裂</w:t>
      </w:r>
    </w:p>
    <w:p>
      <w:pPr>
        <w:spacing w:line="220" w:lineRule="auto"/>
        <w:ind w:left="45"/>
        <w:rPr>
          <w:rFonts w:ascii="宋体" w:hAnsi="宋体" w:eastAsia="宋体" w:cs="宋体"/>
          <w:sz w:val="24"/>
          <w:szCs w:val="24"/>
        </w:rPr>
      </w:pPr>
      <w:r>
        <w:rPr>
          <w:rFonts w:ascii="宋体" w:hAnsi="宋体" w:eastAsia="宋体" w:cs="宋体"/>
          <w:spacing w:val="-2"/>
          <w:sz w:val="24"/>
          <w:szCs w:val="24"/>
        </w:rPr>
        <w:t>导致的柴油泄漏量约为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3.3t</w:t>
      </w:r>
      <w:r>
        <w:rPr>
          <w:rFonts w:ascii="宋体" w:hAnsi="宋体" w:eastAsia="宋体" w:cs="宋体"/>
          <w:spacing w:val="-2"/>
          <w:sz w:val="24"/>
          <w:szCs w:val="24"/>
        </w:rPr>
        <w:t>。</w:t>
      </w:r>
    </w:p>
    <w:p>
      <w:pPr>
        <w:spacing w:before="181"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）事故伴生</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CO </w:t>
      </w:r>
      <w:r>
        <w:rPr>
          <w:rFonts w:ascii="宋体" w:hAnsi="宋体" w:eastAsia="宋体" w:cs="宋体"/>
          <w:spacing w:val="-3"/>
          <w:sz w:val="24"/>
          <w:szCs w:val="24"/>
        </w:rPr>
        <w:t>源强</w:t>
      </w:r>
    </w:p>
    <w:p>
      <w:pPr>
        <w:spacing w:before="183" w:line="360" w:lineRule="auto"/>
        <w:ind w:left="43" w:right="30" w:firstLine="476"/>
        <w:rPr>
          <w:rFonts w:ascii="宋体" w:hAnsi="宋体" w:eastAsia="宋体" w:cs="宋体"/>
          <w:sz w:val="24"/>
          <w:szCs w:val="24"/>
        </w:rPr>
      </w:pPr>
      <w:r>
        <w:rPr>
          <w:rFonts w:ascii="宋体" w:hAnsi="宋体" w:eastAsia="宋体" w:cs="宋体"/>
          <w:spacing w:val="-7"/>
          <w:sz w:val="24"/>
          <w:szCs w:val="24"/>
        </w:rPr>
        <w:t>柴油属于易燃物质， 若泄漏油料油气大量挥发，遇到火源等发生火灾爆炸事</w:t>
      </w:r>
      <w:r>
        <w:rPr>
          <w:rFonts w:ascii="宋体" w:hAnsi="宋体" w:eastAsia="宋体" w:cs="宋体"/>
          <w:spacing w:val="14"/>
          <w:sz w:val="24"/>
          <w:szCs w:val="24"/>
        </w:rPr>
        <w:t xml:space="preserve"> </w:t>
      </w:r>
      <w:r>
        <w:rPr>
          <w:rFonts w:ascii="宋体" w:hAnsi="宋体" w:eastAsia="宋体" w:cs="宋体"/>
          <w:spacing w:val="-12"/>
          <w:sz w:val="24"/>
          <w:szCs w:val="24"/>
        </w:rPr>
        <w:t>故，</w:t>
      </w:r>
      <w:r>
        <w:rPr>
          <w:rFonts w:ascii="宋体" w:hAnsi="宋体" w:eastAsia="宋体" w:cs="宋体"/>
          <w:spacing w:val="-60"/>
          <w:sz w:val="24"/>
          <w:szCs w:val="24"/>
        </w:rPr>
        <w:t xml:space="preserve"> </w:t>
      </w:r>
      <w:r>
        <w:rPr>
          <w:rFonts w:ascii="宋体" w:hAnsi="宋体" w:eastAsia="宋体" w:cs="宋体"/>
          <w:spacing w:val="-12"/>
          <w:sz w:val="24"/>
          <w:szCs w:val="24"/>
        </w:rPr>
        <w:t>或因其他原因发生火灾爆炸事故，</w:t>
      </w:r>
      <w:r>
        <w:rPr>
          <w:rFonts w:ascii="宋体" w:hAnsi="宋体" w:eastAsia="宋体" w:cs="宋体"/>
          <w:spacing w:val="29"/>
          <w:sz w:val="24"/>
          <w:szCs w:val="24"/>
        </w:rPr>
        <w:t xml:space="preserve"> </w:t>
      </w:r>
      <w:r>
        <w:rPr>
          <w:rFonts w:ascii="宋体" w:hAnsi="宋体" w:eastAsia="宋体" w:cs="宋体"/>
          <w:spacing w:val="-12"/>
          <w:sz w:val="24"/>
          <w:szCs w:val="24"/>
        </w:rPr>
        <w:t>柴油急剧燃烧所需供氧量不足，</w:t>
      </w:r>
      <w:r>
        <w:rPr>
          <w:rFonts w:ascii="宋体" w:hAnsi="宋体" w:eastAsia="宋体" w:cs="宋体"/>
          <w:spacing w:val="-13"/>
          <w:sz w:val="24"/>
          <w:szCs w:val="24"/>
        </w:rPr>
        <w:t xml:space="preserve"> 燃烧过程</w:t>
      </w:r>
    </w:p>
    <w:p>
      <w:pPr>
        <w:spacing w:before="1" w:line="218" w:lineRule="auto"/>
        <w:ind w:left="61"/>
        <w:rPr>
          <w:rFonts w:ascii="宋体" w:hAnsi="宋体" w:eastAsia="宋体" w:cs="宋体"/>
          <w:sz w:val="24"/>
          <w:szCs w:val="24"/>
        </w:rPr>
      </w:pPr>
      <w:r>
        <w:rPr>
          <w:rFonts w:ascii="宋体" w:hAnsi="宋体" w:eastAsia="宋体" w:cs="宋体"/>
          <w:spacing w:val="-6"/>
          <w:sz w:val="24"/>
          <w:szCs w:val="24"/>
        </w:rPr>
        <w:t>中会伴生</w:t>
      </w:r>
      <w:r>
        <w:rPr>
          <w:rFonts w:ascii="宋体" w:hAnsi="宋体" w:eastAsia="宋体" w:cs="宋体"/>
          <w:spacing w:val="-49"/>
          <w:sz w:val="24"/>
          <w:szCs w:val="24"/>
        </w:rPr>
        <w:t xml:space="preserve"> </w:t>
      </w:r>
      <w:r>
        <w:rPr>
          <w:rFonts w:ascii="Times New Roman" w:hAnsi="Times New Roman" w:eastAsia="Times New Roman" w:cs="Times New Roman"/>
          <w:spacing w:val="-6"/>
          <w:sz w:val="24"/>
          <w:szCs w:val="24"/>
        </w:rPr>
        <w:t>CO</w:t>
      </w:r>
      <w:r>
        <w:rPr>
          <w:rFonts w:ascii="Times New Roman" w:hAnsi="Times New Roman" w:eastAsia="Times New Roman" w:cs="Times New Roman"/>
          <w:spacing w:val="-35"/>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CO </w:t>
      </w:r>
      <w:r>
        <w:rPr>
          <w:rFonts w:ascii="宋体" w:hAnsi="宋体" w:eastAsia="宋体" w:cs="宋体"/>
          <w:spacing w:val="-6"/>
          <w:sz w:val="24"/>
          <w:szCs w:val="24"/>
        </w:rPr>
        <w:t>产生量计算公式如下：</w:t>
      </w:r>
    </w:p>
    <w:p>
      <w:pPr>
        <w:spacing w:before="125" w:line="510" w:lineRule="exact"/>
        <w:ind w:firstLine="2802"/>
      </w:pPr>
      <w:r>
        <w:rPr>
          <w:position w:val="-10"/>
        </w:rPr>
        <w:drawing>
          <wp:inline distT="0" distB="0" distL="0" distR="0">
            <wp:extent cx="2057400" cy="32385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520"/>
                    <a:stretch>
                      <a:fillRect/>
                    </a:stretch>
                  </pic:blipFill>
                  <pic:spPr>
                    <a:xfrm>
                      <a:off x="0" y="0"/>
                      <a:ext cx="2057400" cy="323850"/>
                    </a:xfrm>
                    <a:prstGeom prst="rect">
                      <a:avLst/>
                    </a:prstGeom>
                  </pic:spPr>
                </pic:pic>
              </a:graphicData>
            </a:graphic>
          </wp:inline>
        </w:drawing>
      </w:r>
    </w:p>
    <w:p>
      <w:pPr>
        <w:spacing w:before="172" w:line="212" w:lineRule="auto"/>
        <w:ind w:left="524"/>
        <w:rPr>
          <w:rFonts w:ascii="宋体" w:hAnsi="宋体" w:eastAsia="宋体" w:cs="宋体"/>
          <w:sz w:val="24"/>
          <w:szCs w:val="24"/>
        </w:rPr>
      </w:pPr>
      <w:r>
        <w:rPr>
          <w:rFonts w:ascii="宋体" w:hAnsi="宋体" w:eastAsia="宋体" w:cs="宋体"/>
          <w:spacing w:val="-13"/>
          <w:sz w:val="24"/>
          <w:szCs w:val="24"/>
        </w:rPr>
        <w:t xml:space="preserve">式中： </w:t>
      </w:r>
      <w:r>
        <w:rPr>
          <w:rFonts w:ascii="Times New Roman" w:hAnsi="Times New Roman" w:eastAsia="Times New Roman" w:cs="Times New Roman"/>
          <w:spacing w:val="-13"/>
          <w:sz w:val="24"/>
          <w:szCs w:val="24"/>
        </w:rPr>
        <w:t xml:space="preserve">Gco—CO </w:t>
      </w:r>
      <w:r>
        <w:rPr>
          <w:rFonts w:ascii="宋体" w:hAnsi="宋体" w:eastAsia="宋体" w:cs="宋体"/>
          <w:spacing w:val="-13"/>
          <w:sz w:val="24"/>
          <w:szCs w:val="24"/>
        </w:rPr>
        <w:t xml:space="preserve">产生量， </w:t>
      </w:r>
      <w:r>
        <w:rPr>
          <w:rFonts w:ascii="Times New Roman" w:hAnsi="Times New Roman" w:eastAsia="Times New Roman" w:cs="Times New Roman"/>
          <w:spacing w:val="-13"/>
          <w:sz w:val="24"/>
          <w:szCs w:val="24"/>
        </w:rPr>
        <w:t>g/kg</w:t>
      </w:r>
      <w:r>
        <w:rPr>
          <w:rFonts w:ascii="宋体" w:hAnsi="宋体" w:eastAsia="宋体" w:cs="宋体"/>
          <w:spacing w:val="-13"/>
          <w:sz w:val="24"/>
          <w:szCs w:val="24"/>
        </w:rPr>
        <w:t>；</w:t>
      </w:r>
    </w:p>
    <w:p>
      <w:pPr>
        <w:spacing w:before="193" w:line="468" w:lineRule="exact"/>
        <w:ind w:left="517"/>
        <w:rPr>
          <w:rFonts w:ascii="宋体" w:hAnsi="宋体" w:eastAsia="宋体" w:cs="宋体"/>
          <w:sz w:val="24"/>
          <w:szCs w:val="24"/>
        </w:rPr>
      </w:pPr>
      <w:r>
        <w:rPr>
          <w:rFonts w:ascii="Times New Roman" w:hAnsi="Times New Roman" w:eastAsia="Times New Roman" w:cs="Times New Roman"/>
          <w:spacing w:val="-10"/>
          <w:position w:val="17"/>
          <w:sz w:val="24"/>
          <w:szCs w:val="24"/>
        </w:rPr>
        <w:t>q—</w:t>
      </w:r>
      <w:r>
        <w:rPr>
          <w:rFonts w:ascii="宋体" w:hAnsi="宋体" w:eastAsia="宋体" w:cs="宋体"/>
          <w:spacing w:val="-10"/>
          <w:position w:val="17"/>
          <w:sz w:val="24"/>
          <w:szCs w:val="24"/>
        </w:rPr>
        <w:t>物质中碳的质量百分比含量，</w:t>
      </w:r>
      <w:r>
        <w:rPr>
          <w:rFonts w:ascii="宋体" w:hAnsi="宋体" w:eastAsia="宋体" w:cs="宋体"/>
          <w:spacing w:val="76"/>
          <w:position w:val="17"/>
          <w:sz w:val="24"/>
          <w:szCs w:val="24"/>
        </w:rPr>
        <w:t xml:space="preserve"> </w:t>
      </w:r>
      <w:r>
        <w:rPr>
          <w:rFonts w:ascii="Times New Roman" w:hAnsi="Times New Roman" w:eastAsia="Times New Roman" w:cs="Times New Roman"/>
          <w:spacing w:val="-10"/>
          <w:position w:val="17"/>
          <w:sz w:val="24"/>
          <w:szCs w:val="24"/>
        </w:rPr>
        <w:t>%</w:t>
      </w:r>
      <w:r>
        <w:rPr>
          <w:rFonts w:ascii="宋体" w:hAnsi="宋体" w:eastAsia="宋体" w:cs="宋体"/>
          <w:spacing w:val="-10"/>
          <w:position w:val="17"/>
          <w:sz w:val="24"/>
          <w:szCs w:val="24"/>
        </w:rPr>
        <w:t>，取</w:t>
      </w:r>
      <w:r>
        <w:rPr>
          <w:rFonts w:ascii="宋体" w:hAnsi="宋体" w:eastAsia="宋体" w:cs="宋体"/>
          <w:spacing w:val="-35"/>
          <w:position w:val="17"/>
          <w:sz w:val="24"/>
          <w:szCs w:val="24"/>
        </w:rPr>
        <w:t xml:space="preserve"> </w:t>
      </w:r>
      <w:r>
        <w:rPr>
          <w:rFonts w:ascii="Times New Roman" w:hAnsi="Times New Roman" w:eastAsia="Times New Roman" w:cs="Times New Roman"/>
          <w:spacing w:val="-10"/>
          <w:position w:val="17"/>
          <w:sz w:val="24"/>
          <w:szCs w:val="24"/>
        </w:rPr>
        <w:t>83.3</w:t>
      </w:r>
      <w:r>
        <w:rPr>
          <w:rFonts w:ascii="宋体" w:hAnsi="宋体" w:eastAsia="宋体" w:cs="宋体"/>
          <w:spacing w:val="-10"/>
          <w:position w:val="17"/>
          <w:sz w:val="24"/>
          <w:szCs w:val="24"/>
        </w:rPr>
        <w:t>；</w:t>
      </w:r>
    </w:p>
    <w:p>
      <w:pPr>
        <w:spacing w:before="1" w:line="218" w:lineRule="auto"/>
        <w:ind w:left="518"/>
        <w:rPr>
          <w:rFonts w:ascii="宋体" w:hAnsi="宋体" w:eastAsia="宋体" w:cs="宋体"/>
          <w:sz w:val="24"/>
          <w:szCs w:val="24"/>
        </w:rPr>
      </w:pPr>
      <w:r>
        <w:rPr>
          <w:rFonts w:ascii="Times New Roman" w:hAnsi="Times New Roman" w:eastAsia="Times New Roman" w:cs="Times New Roman"/>
          <w:spacing w:val="-8"/>
          <w:sz w:val="24"/>
          <w:szCs w:val="24"/>
        </w:rPr>
        <w:t>C—</w:t>
      </w:r>
      <w:r>
        <w:rPr>
          <w:rFonts w:ascii="宋体" w:hAnsi="宋体" w:eastAsia="宋体" w:cs="宋体"/>
          <w:spacing w:val="-8"/>
          <w:sz w:val="24"/>
          <w:szCs w:val="24"/>
        </w:rPr>
        <w:t xml:space="preserve">化学不完全燃烧值， </w:t>
      </w:r>
      <w:r>
        <w:rPr>
          <w:rFonts w:ascii="Times New Roman" w:hAnsi="Times New Roman" w:eastAsia="Times New Roman" w:cs="Times New Roman"/>
          <w:spacing w:val="-8"/>
          <w:sz w:val="24"/>
          <w:szCs w:val="24"/>
        </w:rPr>
        <w:t>5%~20%</w:t>
      </w:r>
      <w:r>
        <w:rPr>
          <w:rFonts w:ascii="宋体" w:hAnsi="宋体" w:eastAsia="宋体" w:cs="宋体"/>
          <w:spacing w:val="-8"/>
          <w:sz w:val="24"/>
          <w:szCs w:val="24"/>
        </w:rPr>
        <w:t xml:space="preserve">，取 </w:t>
      </w:r>
      <w:r>
        <w:rPr>
          <w:rFonts w:ascii="Times New Roman" w:hAnsi="Times New Roman" w:eastAsia="Times New Roman" w:cs="Times New Roman"/>
          <w:spacing w:val="-8"/>
          <w:sz w:val="24"/>
          <w:szCs w:val="24"/>
        </w:rPr>
        <w:t>10%</w:t>
      </w:r>
      <w:r>
        <w:rPr>
          <w:rFonts w:ascii="宋体" w:hAnsi="宋体" w:eastAsia="宋体" w:cs="宋体"/>
          <w:spacing w:val="-8"/>
          <w:sz w:val="24"/>
          <w:szCs w:val="24"/>
        </w:rPr>
        <w:t>；</w:t>
      </w:r>
    </w:p>
    <w:p>
      <w:pPr>
        <w:spacing w:before="184" w:line="218" w:lineRule="auto"/>
        <w:ind w:right="30"/>
        <w:jc w:val="right"/>
        <w:rPr>
          <w:rFonts w:ascii="宋体" w:hAnsi="宋体" w:eastAsia="宋体" w:cs="宋体"/>
          <w:sz w:val="24"/>
          <w:szCs w:val="24"/>
        </w:rPr>
      </w:pPr>
      <w:r>
        <w:rPr>
          <w:rFonts w:ascii="宋体" w:hAnsi="宋体" w:eastAsia="宋体" w:cs="宋体"/>
          <w:spacing w:val="-10"/>
          <w:sz w:val="24"/>
          <w:szCs w:val="24"/>
        </w:rPr>
        <w:t>根据上述经验公式及相关参数， 估算出柴油火灾事故的情景下， 柴油不完全</w:t>
      </w:r>
    </w:p>
    <w:p>
      <w:pPr>
        <w:spacing w:line="218" w:lineRule="auto"/>
        <w:rPr>
          <w:rFonts w:ascii="宋体" w:hAnsi="宋体" w:eastAsia="宋体" w:cs="宋体"/>
          <w:sz w:val="24"/>
          <w:szCs w:val="24"/>
        </w:rPr>
        <w:sectPr>
          <w:headerReference r:id="rId427" w:type="default"/>
          <w:footerReference r:id="rId428" w:type="default"/>
          <w:pgSz w:w="11907" w:h="16839"/>
          <w:pgMar w:top="1156" w:right="1768" w:bottom="1374" w:left="1770" w:header="881" w:footer="1210" w:gutter="0"/>
        </w:sectPr>
      </w:pPr>
    </w:p>
    <w:p>
      <w:pPr>
        <w:spacing w:line="317" w:lineRule="auto"/>
        <w:rPr>
          <w:rFonts w:ascii="Arial"/>
          <w:sz w:val="21"/>
        </w:rPr>
      </w:pPr>
    </w:p>
    <w:p>
      <w:pPr>
        <w:spacing w:before="78" w:line="468" w:lineRule="exact"/>
        <w:ind w:left="38"/>
        <w:rPr>
          <w:rFonts w:ascii="宋体" w:hAnsi="宋体" w:eastAsia="宋体" w:cs="宋体"/>
          <w:sz w:val="24"/>
          <w:szCs w:val="24"/>
        </w:rPr>
      </w:pPr>
      <w:r>
        <w:rPr>
          <w:rFonts w:ascii="宋体" w:hAnsi="宋体" w:eastAsia="宋体" w:cs="宋体"/>
          <w:spacing w:val="-1"/>
          <w:position w:val="17"/>
          <w:sz w:val="24"/>
          <w:szCs w:val="24"/>
        </w:rPr>
        <w:t>燃烧伴生的</w:t>
      </w:r>
      <w:r>
        <w:rPr>
          <w:rFonts w:ascii="宋体" w:hAnsi="宋体" w:eastAsia="宋体" w:cs="宋体"/>
          <w:spacing w:val="-51"/>
          <w:position w:val="17"/>
          <w:sz w:val="24"/>
          <w:szCs w:val="24"/>
        </w:rPr>
        <w:t xml:space="preserve"> </w:t>
      </w:r>
      <w:r>
        <w:rPr>
          <w:rFonts w:ascii="Times New Roman" w:hAnsi="Times New Roman" w:eastAsia="Times New Roman" w:cs="Times New Roman"/>
          <w:spacing w:val="-1"/>
          <w:position w:val="17"/>
          <w:sz w:val="24"/>
          <w:szCs w:val="24"/>
        </w:rPr>
        <w:t xml:space="preserve">CO </w:t>
      </w:r>
      <w:r>
        <w:rPr>
          <w:rFonts w:ascii="宋体" w:hAnsi="宋体" w:eastAsia="宋体" w:cs="宋体"/>
          <w:spacing w:val="-1"/>
          <w:position w:val="17"/>
          <w:sz w:val="24"/>
          <w:szCs w:val="24"/>
        </w:rPr>
        <w:t>产生速率约为</w:t>
      </w:r>
      <w:r>
        <w:rPr>
          <w:rFonts w:ascii="宋体" w:hAnsi="宋体" w:eastAsia="宋体" w:cs="宋体"/>
          <w:spacing w:val="-51"/>
          <w:position w:val="17"/>
          <w:sz w:val="24"/>
          <w:szCs w:val="24"/>
        </w:rPr>
        <w:t xml:space="preserve"> </w:t>
      </w:r>
      <w:r>
        <w:rPr>
          <w:rFonts w:ascii="Times New Roman" w:hAnsi="Times New Roman" w:eastAsia="Times New Roman" w:cs="Times New Roman"/>
          <w:spacing w:val="-1"/>
          <w:position w:val="17"/>
          <w:sz w:val="24"/>
          <w:szCs w:val="24"/>
        </w:rPr>
        <w:t>0.19g</w:t>
      </w:r>
      <w:r>
        <w:rPr>
          <w:rFonts w:ascii="Times New Roman" w:hAnsi="Times New Roman" w:eastAsia="Times New Roman" w:cs="Times New Roman"/>
          <w:spacing w:val="-2"/>
          <w:position w:val="17"/>
          <w:sz w:val="24"/>
          <w:szCs w:val="24"/>
        </w:rPr>
        <w:t>/kg</w:t>
      </w:r>
      <w:r>
        <w:rPr>
          <w:rFonts w:ascii="宋体" w:hAnsi="宋体" w:eastAsia="宋体" w:cs="宋体"/>
          <w:spacing w:val="-2"/>
          <w:position w:val="17"/>
          <w:sz w:val="24"/>
          <w:szCs w:val="24"/>
        </w:rPr>
        <w:t>。</w:t>
      </w:r>
    </w:p>
    <w:p>
      <w:pPr>
        <w:spacing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）后果影响分析</w:t>
      </w:r>
    </w:p>
    <w:p>
      <w:pPr>
        <w:spacing w:before="182" w:line="360" w:lineRule="auto"/>
        <w:ind w:left="38" w:right="68" w:firstLine="479"/>
        <w:rPr>
          <w:rFonts w:ascii="宋体" w:hAnsi="宋体" w:eastAsia="宋体" w:cs="宋体"/>
          <w:sz w:val="24"/>
          <w:szCs w:val="24"/>
        </w:rPr>
      </w:pPr>
      <w:r>
        <w:rPr>
          <w:rFonts w:ascii="宋体" w:hAnsi="宋体" w:eastAsia="宋体" w:cs="宋体"/>
          <w:spacing w:val="-6"/>
          <w:sz w:val="24"/>
          <w:szCs w:val="24"/>
        </w:rPr>
        <w:t>储罐发生泄漏事件泄漏量</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3.3t</w:t>
      </w:r>
      <w:r>
        <w:rPr>
          <w:rFonts w:ascii="宋体" w:hAnsi="宋体" w:eastAsia="宋体" w:cs="宋体"/>
          <w:spacing w:val="-6"/>
          <w:sz w:val="24"/>
          <w:szCs w:val="24"/>
        </w:rPr>
        <w:t>。泄漏油品若进入地表河流</w:t>
      </w:r>
      <w:r>
        <w:rPr>
          <w:rFonts w:ascii="宋体" w:hAnsi="宋体" w:eastAsia="宋体" w:cs="宋体"/>
          <w:spacing w:val="-7"/>
          <w:sz w:val="24"/>
          <w:szCs w:val="24"/>
        </w:rPr>
        <w:t>，</w:t>
      </w:r>
      <w:r>
        <w:rPr>
          <w:rFonts w:ascii="宋体" w:hAnsi="宋体" w:eastAsia="宋体" w:cs="宋体"/>
          <w:spacing w:val="39"/>
          <w:sz w:val="24"/>
          <w:szCs w:val="24"/>
        </w:rPr>
        <w:t xml:space="preserve"> </w:t>
      </w:r>
      <w:r>
        <w:rPr>
          <w:rFonts w:ascii="宋体" w:hAnsi="宋体" w:eastAsia="宋体" w:cs="宋体"/>
          <w:spacing w:val="-7"/>
          <w:sz w:val="24"/>
          <w:szCs w:val="24"/>
        </w:rPr>
        <w:t>将造成地表河流</w:t>
      </w:r>
      <w:r>
        <w:rPr>
          <w:rFonts w:ascii="宋体" w:hAnsi="宋体" w:eastAsia="宋体" w:cs="宋体"/>
          <w:sz w:val="24"/>
          <w:szCs w:val="24"/>
        </w:rPr>
        <w:t xml:space="preserve"> </w:t>
      </w:r>
      <w:r>
        <w:rPr>
          <w:rFonts w:ascii="宋体" w:hAnsi="宋体" w:eastAsia="宋体" w:cs="宋体"/>
          <w:spacing w:val="-14"/>
          <w:sz w:val="24"/>
          <w:szCs w:val="24"/>
        </w:rPr>
        <w:t>的污染。污染首先将造成地表河流的景观破坏， 产生严重的刺鼻气味；</w:t>
      </w:r>
      <w:r>
        <w:rPr>
          <w:rFonts w:ascii="宋体" w:hAnsi="宋体" w:eastAsia="宋体" w:cs="宋体"/>
          <w:spacing w:val="52"/>
          <w:sz w:val="24"/>
          <w:szCs w:val="24"/>
        </w:rPr>
        <w:t xml:space="preserve"> </w:t>
      </w:r>
      <w:r>
        <w:rPr>
          <w:rFonts w:ascii="宋体" w:hAnsi="宋体" w:eastAsia="宋体" w:cs="宋体"/>
          <w:spacing w:val="-14"/>
          <w:sz w:val="24"/>
          <w:szCs w:val="24"/>
        </w:rPr>
        <w:t>其次， 由</w:t>
      </w:r>
      <w:r>
        <w:rPr>
          <w:rFonts w:ascii="宋体" w:hAnsi="宋体" w:eastAsia="宋体" w:cs="宋体"/>
          <w:sz w:val="24"/>
          <w:szCs w:val="24"/>
        </w:rPr>
        <w:t xml:space="preserve"> </w:t>
      </w:r>
      <w:r>
        <w:rPr>
          <w:rFonts w:ascii="宋体" w:hAnsi="宋体" w:eastAsia="宋体" w:cs="宋体"/>
          <w:spacing w:val="-9"/>
          <w:sz w:val="24"/>
          <w:szCs w:val="24"/>
        </w:rPr>
        <w:t>于有机烃类物质难溶于水， 大部分上浮在水层表面， 形成</w:t>
      </w:r>
      <w:r>
        <w:rPr>
          <w:rFonts w:ascii="宋体" w:hAnsi="宋体" w:eastAsia="宋体" w:cs="宋体"/>
          <w:spacing w:val="-10"/>
          <w:sz w:val="24"/>
          <w:szCs w:val="24"/>
        </w:rPr>
        <w:t>一层油膜使空气与水隔</w:t>
      </w:r>
      <w:r>
        <w:rPr>
          <w:rFonts w:ascii="宋体" w:hAnsi="宋体" w:eastAsia="宋体" w:cs="宋体"/>
          <w:sz w:val="24"/>
          <w:szCs w:val="24"/>
        </w:rPr>
        <w:t xml:space="preserve"> </w:t>
      </w:r>
      <w:r>
        <w:rPr>
          <w:rFonts w:ascii="宋体" w:hAnsi="宋体" w:eastAsia="宋体" w:cs="宋体"/>
          <w:spacing w:val="-11"/>
          <w:sz w:val="24"/>
          <w:szCs w:val="24"/>
        </w:rPr>
        <w:t>离，造成水中溶解氧浓度降低， 致使水中生物死亡； 再次，</w:t>
      </w:r>
      <w:r>
        <w:rPr>
          <w:rFonts w:ascii="宋体" w:hAnsi="宋体" w:eastAsia="宋体" w:cs="宋体"/>
          <w:spacing w:val="-45"/>
          <w:sz w:val="24"/>
          <w:szCs w:val="24"/>
        </w:rPr>
        <w:t xml:space="preserve"> </w:t>
      </w:r>
      <w:r>
        <w:rPr>
          <w:rFonts w:ascii="宋体" w:hAnsi="宋体" w:eastAsia="宋体" w:cs="宋体"/>
          <w:spacing w:val="-11"/>
          <w:sz w:val="24"/>
          <w:szCs w:val="24"/>
        </w:rPr>
        <w:t>油料</w:t>
      </w:r>
      <w:r>
        <w:rPr>
          <w:rFonts w:ascii="宋体" w:hAnsi="宋体" w:eastAsia="宋体" w:cs="宋体"/>
          <w:spacing w:val="-12"/>
          <w:sz w:val="24"/>
          <w:szCs w:val="24"/>
        </w:rPr>
        <w:t>主要成分是</w:t>
      </w:r>
      <w:r>
        <w:rPr>
          <w:rFonts w:ascii="宋体" w:hAnsi="宋体" w:eastAsia="宋体" w:cs="宋体"/>
          <w:spacing w:val="-50"/>
          <w:sz w:val="24"/>
          <w:szCs w:val="24"/>
        </w:rPr>
        <w:t xml:space="preserve"> </w:t>
      </w:r>
      <w:r>
        <w:rPr>
          <w:rFonts w:ascii="Times New Roman" w:hAnsi="Times New Roman" w:eastAsia="Times New Roman" w:cs="Times New Roman"/>
          <w:spacing w:val="-12"/>
          <w:sz w:val="24"/>
          <w:szCs w:val="24"/>
        </w:rPr>
        <w:t>C4</w:t>
      </w:r>
      <w:r>
        <w:rPr>
          <w:rFonts w:ascii="宋体" w:hAnsi="宋体" w:eastAsia="宋体" w:cs="宋体"/>
          <w:spacing w:val="-12"/>
          <w:sz w:val="24"/>
          <w:szCs w:val="24"/>
        </w:rPr>
        <w:t>~</w:t>
      </w:r>
      <w:r>
        <w:rPr>
          <w:rFonts w:ascii="宋体" w:hAnsi="宋体" w:eastAsia="宋体" w:cs="宋体"/>
          <w:sz w:val="24"/>
          <w:szCs w:val="24"/>
        </w:rPr>
        <w:t xml:space="preserve"> </w:t>
      </w:r>
      <w:r>
        <w:rPr>
          <w:rFonts w:ascii="Times New Roman" w:hAnsi="Times New Roman" w:eastAsia="Times New Roman" w:cs="Times New Roman"/>
          <w:spacing w:val="-6"/>
          <w:sz w:val="24"/>
          <w:szCs w:val="24"/>
        </w:rPr>
        <w:t xml:space="preserve">C9  </w:t>
      </w:r>
      <w:r>
        <w:rPr>
          <w:rFonts w:ascii="宋体" w:hAnsi="宋体" w:eastAsia="宋体" w:cs="宋体"/>
          <w:spacing w:val="-6"/>
          <w:sz w:val="24"/>
          <w:szCs w:val="24"/>
        </w:rPr>
        <w:t>的烃类、芳烃类、醇酮类以及卤代烃类有机物，</w:t>
      </w:r>
      <w:r>
        <w:rPr>
          <w:rFonts w:ascii="宋体" w:hAnsi="宋体" w:eastAsia="宋体" w:cs="宋体"/>
          <w:spacing w:val="79"/>
          <w:sz w:val="24"/>
          <w:szCs w:val="24"/>
        </w:rPr>
        <w:t xml:space="preserve"> </w:t>
      </w:r>
      <w:r>
        <w:rPr>
          <w:rFonts w:ascii="宋体" w:hAnsi="宋体" w:eastAsia="宋体" w:cs="宋体"/>
          <w:spacing w:val="-6"/>
          <w:sz w:val="24"/>
          <w:szCs w:val="24"/>
        </w:rPr>
        <w:t>一旦进入水环境，由于可生</w:t>
      </w:r>
    </w:p>
    <w:p>
      <w:pPr>
        <w:spacing w:line="219" w:lineRule="auto"/>
        <w:ind w:left="40"/>
        <w:rPr>
          <w:rFonts w:ascii="宋体" w:hAnsi="宋体" w:eastAsia="宋体" w:cs="宋体"/>
          <w:sz w:val="24"/>
          <w:szCs w:val="24"/>
        </w:rPr>
      </w:pPr>
      <w:r>
        <w:rPr>
          <w:rFonts w:ascii="宋体" w:hAnsi="宋体" w:eastAsia="宋体" w:cs="宋体"/>
          <w:spacing w:val="-2"/>
          <w:sz w:val="24"/>
          <w:szCs w:val="24"/>
        </w:rPr>
        <w:t>化性较差，造成被污染水体长时间得不到净</w:t>
      </w:r>
      <w:r>
        <w:rPr>
          <w:rFonts w:ascii="宋体" w:hAnsi="宋体" w:eastAsia="宋体" w:cs="宋体"/>
          <w:spacing w:val="-3"/>
          <w:sz w:val="24"/>
          <w:szCs w:val="24"/>
        </w:rPr>
        <w:t>化。</w:t>
      </w:r>
    </w:p>
    <w:p>
      <w:pPr>
        <w:spacing w:before="182" w:line="360" w:lineRule="auto"/>
        <w:ind w:left="43" w:right="68" w:firstLine="480"/>
        <w:rPr>
          <w:rFonts w:ascii="宋体" w:hAnsi="宋体" w:eastAsia="宋体" w:cs="宋体"/>
          <w:sz w:val="24"/>
          <w:szCs w:val="24"/>
        </w:rPr>
      </w:pPr>
      <w:r>
        <w:rPr>
          <w:rFonts w:ascii="宋体" w:hAnsi="宋体" w:eastAsia="宋体" w:cs="宋体"/>
          <w:spacing w:val="-12"/>
          <w:sz w:val="24"/>
          <w:szCs w:val="24"/>
        </w:rPr>
        <w:t>泄漏油品若进入土壤中，</w:t>
      </w:r>
      <w:r>
        <w:rPr>
          <w:rFonts w:ascii="宋体" w:hAnsi="宋体" w:eastAsia="宋体" w:cs="宋体"/>
          <w:spacing w:val="60"/>
          <w:sz w:val="24"/>
          <w:szCs w:val="24"/>
        </w:rPr>
        <w:t xml:space="preserve"> </w:t>
      </w:r>
      <w:r>
        <w:rPr>
          <w:rFonts w:ascii="宋体" w:hAnsi="宋体" w:eastAsia="宋体" w:cs="宋体"/>
          <w:spacing w:val="-12"/>
          <w:sz w:val="24"/>
          <w:szCs w:val="24"/>
        </w:rPr>
        <w:t>由于土壤中的毛细作用， 泄漏油品会不断地以渗漏</w:t>
      </w:r>
      <w:r>
        <w:rPr>
          <w:rFonts w:ascii="宋体" w:hAnsi="宋体" w:eastAsia="宋体" w:cs="宋体"/>
          <w:sz w:val="24"/>
          <w:szCs w:val="24"/>
        </w:rPr>
        <w:t xml:space="preserve"> </w:t>
      </w:r>
      <w:r>
        <w:rPr>
          <w:rFonts w:ascii="宋体" w:hAnsi="宋体" w:eastAsia="宋体" w:cs="宋体"/>
          <w:spacing w:val="-6"/>
          <w:sz w:val="24"/>
          <w:szCs w:val="24"/>
        </w:rPr>
        <w:t>点为中心向四周扩散， 并向上形成地表蒸发。这一过</w:t>
      </w:r>
      <w:r>
        <w:rPr>
          <w:rFonts w:ascii="宋体" w:hAnsi="宋体" w:eastAsia="宋体" w:cs="宋体"/>
          <w:spacing w:val="-7"/>
          <w:sz w:val="24"/>
          <w:szCs w:val="24"/>
        </w:rPr>
        <w:t>程造成泄漏点周围土壤结构</w:t>
      </w:r>
      <w:r>
        <w:rPr>
          <w:rFonts w:ascii="宋体" w:hAnsi="宋体" w:eastAsia="宋体" w:cs="宋体"/>
          <w:sz w:val="24"/>
          <w:szCs w:val="24"/>
        </w:rPr>
        <w:t xml:space="preserve"> </w:t>
      </w:r>
      <w:r>
        <w:rPr>
          <w:rFonts w:ascii="宋体" w:hAnsi="宋体" w:eastAsia="宋体" w:cs="宋体"/>
          <w:spacing w:val="-9"/>
          <w:sz w:val="24"/>
          <w:szCs w:val="24"/>
        </w:rPr>
        <w:t>发生改变，</w:t>
      </w:r>
      <w:r>
        <w:rPr>
          <w:rFonts w:ascii="宋体" w:hAnsi="宋体" w:eastAsia="宋体" w:cs="宋体"/>
          <w:spacing w:val="-57"/>
          <w:sz w:val="24"/>
          <w:szCs w:val="24"/>
        </w:rPr>
        <w:t xml:space="preserve"> </w:t>
      </w:r>
      <w:r>
        <w:rPr>
          <w:rFonts w:ascii="宋体" w:hAnsi="宋体" w:eastAsia="宋体" w:cs="宋体"/>
          <w:spacing w:val="-9"/>
          <w:sz w:val="24"/>
          <w:szCs w:val="24"/>
        </w:rPr>
        <w:t>造成土壤性质的改变、生态系统的严重破坏，</w:t>
      </w:r>
      <w:r>
        <w:rPr>
          <w:rFonts w:ascii="宋体" w:hAnsi="宋体" w:eastAsia="宋体" w:cs="宋体"/>
          <w:spacing w:val="31"/>
          <w:sz w:val="24"/>
          <w:szCs w:val="24"/>
        </w:rPr>
        <w:t xml:space="preserve"> </w:t>
      </w:r>
      <w:r>
        <w:rPr>
          <w:rFonts w:ascii="宋体" w:hAnsi="宋体" w:eastAsia="宋体" w:cs="宋体"/>
          <w:spacing w:val="-9"/>
          <w:sz w:val="24"/>
          <w:szCs w:val="24"/>
        </w:rPr>
        <w:t>土壤中</w:t>
      </w:r>
      <w:r>
        <w:rPr>
          <w:rFonts w:ascii="宋体" w:hAnsi="宋体" w:eastAsia="宋体" w:cs="宋体"/>
          <w:spacing w:val="-10"/>
          <w:sz w:val="24"/>
          <w:szCs w:val="24"/>
        </w:rPr>
        <w:t>的各种生物及地</w:t>
      </w:r>
    </w:p>
    <w:p>
      <w:pPr>
        <w:spacing w:line="219" w:lineRule="auto"/>
        <w:ind w:left="38"/>
        <w:rPr>
          <w:rFonts w:ascii="宋体" w:hAnsi="宋体" w:eastAsia="宋体" w:cs="宋体"/>
          <w:sz w:val="24"/>
          <w:szCs w:val="24"/>
        </w:rPr>
      </w:pPr>
      <w:r>
        <w:rPr>
          <w:rFonts w:ascii="宋体" w:hAnsi="宋体" w:eastAsia="宋体" w:cs="宋体"/>
          <w:spacing w:val="-3"/>
          <w:sz w:val="24"/>
          <w:szCs w:val="24"/>
        </w:rPr>
        <w:t>表植物将全部死亡。</w:t>
      </w:r>
    </w:p>
    <w:p>
      <w:pPr>
        <w:spacing w:before="183" w:line="468" w:lineRule="exact"/>
        <w:jc w:val="right"/>
        <w:rPr>
          <w:rFonts w:ascii="宋体" w:hAnsi="宋体" w:eastAsia="宋体" w:cs="宋体"/>
          <w:sz w:val="24"/>
          <w:szCs w:val="24"/>
        </w:rPr>
      </w:pPr>
      <w:r>
        <w:rPr>
          <w:rFonts w:ascii="宋体" w:hAnsi="宋体" w:eastAsia="宋体" w:cs="宋体"/>
          <w:spacing w:val="-13"/>
          <w:position w:val="17"/>
          <w:sz w:val="24"/>
          <w:szCs w:val="24"/>
        </w:rPr>
        <w:t>泄漏油品若进入地下水，</w:t>
      </w:r>
      <w:r>
        <w:rPr>
          <w:rFonts w:ascii="宋体" w:hAnsi="宋体" w:eastAsia="宋体" w:cs="宋体"/>
          <w:spacing w:val="-37"/>
          <w:position w:val="17"/>
          <w:sz w:val="24"/>
          <w:szCs w:val="24"/>
        </w:rPr>
        <w:t xml:space="preserve"> </w:t>
      </w:r>
      <w:r>
        <w:rPr>
          <w:rFonts w:ascii="宋体" w:hAnsi="宋体" w:eastAsia="宋体" w:cs="宋体"/>
          <w:spacing w:val="-13"/>
          <w:position w:val="17"/>
          <w:sz w:val="24"/>
          <w:szCs w:val="24"/>
        </w:rPr>
        <w:t>会使地下水产生严重异味，</w:t>
      </w:r>
      <w:r>
        <w:rPr>
          <w:rFonts w:ascii="宋体" w:hAnsi="宋体" w:eastAsia="宋体" w:cs="宋体"/>
          <w:spacing w:val="-40"/>
          <w:position w:val="17"/>
          <w:sz w:val="24"/>
          <w:szCs w:val="24"/>
        </w:rPr>
        <w:t xml:space="preserve"> </w:t>
      </w:r>
      <w:r>
        <w:rPr>
          <w:rFonts w:ascii="宋体" w:hAnsi="宋体" w:eastAsia="宋体" w:cs="宋体"/>
          <w:spacing w:val="-13"/>
          <w:position w:val="17"/>
          <w:sz w:val="24"/>
          <w:szCs w:val="24"/>
        </w:rPr>
        <w:t>并具有较高致畸致癌性，</w:t>
      </w:r>
    </w:p>
    <w:p>
      <w:pPr>
        <w:spacing w:before="1" w:line="219" w:lineRule="auto"/>
        <w:ind w:left="41"/>
        <w:rPr>
          <w:rFonts w:ascii="宋体" w:hAnsi="宋体" w:eastAsia="宋体" w:cs="宋体"/>
          <w:sz w:val="24"/>
          <w:szCs w:val="24"/>
        </w:rPr>
      </w:pPr>
      <w:r>
        <w:rPr>
          <w:rFonts w:ascii="宋体" w:hAnsi="宋体" w:eastAsia="宋体" w:cs="宋体"/>
          <w:spacing w:val="-2"/>
          <w:sz w:val="24"/>
          <w:szCs w:val="24"/>
        </w:rPr>
        <w:t>无法饮用。地下水含水层的自净降解，必将是一个长期的过程。</w:t>
      </w:r>
    </w:p>
    <w:p>
      <w:pPr>
        <w:spacing w:before="105" w:line="359" w:lineRule="auto"/>
        <w:ind w:left="35" w:right="68" w:firstLine="487"/>
        <w:rPr>
          <w:rFonts w:ascii="宋体" w:hAnsi="宋体" w:eastAsia="宋体" w:cs="宋体"/>
          <w:sz w:val="24"/>
          <w:szCs w:val="24"/>
        </w:rPr>
      </w:pPr>
      <w:r>
        <w:rPr>
          <w:rFonts w:ascii="宋体" w:hAnsi="宋体" w:eastAsia="宋体" w:cs="宋体"/>
          <w:spacing w:val="-10"/>
          <w:sz w:val="24"/>
          <w:szCs w:val="24"/>
        </w:rPr>
        <w:t>泄漏油品属易燃液体， 油料蒸发出来聚集至一定浓度范围， 能够与空气形成</w:t>
      </w:r>
      <w:r>
        <w:rPr>
          <w:rFonts w:ascii="宋体" w:hAnsi="宋体" w:eastAsia="宋体" w:cs="宋体"/>
          <w:spacing w:val="2"/>
          <w:sz w:val="24"/>
          <w:szCs w:val="24"/>
        </w:rPr>
        <w:t xml:space="preserve"> </w:t>
      </w:r>
      <w:r>
        <w:rPr>
          <w:rFonts w:ascii="宋体" w:hAnsi="宋体" w:eastAsia="宋体" w:cs="宋体"/>
          <w:spacing w:val="-7"/>
          <w:sz w:val="24"/>
          <w:szCs w:val="24"/>
        </w:rPr>
        <w:t>爆炸性混合物，</w:t>
      </w:r>
      <w:r>
        <w:rPr>
          <w:rFonts w:ascii="宋体" w:hAnsi="宋体" w:eastAsia="宋体" w:cs="宋体"/>
          <w:spacing w:val="29"/>
          <w:sz w:val="24"/>
          <w:szCs w:val="24"/>
        </w:rPr>
        <w:t xml:space="preserve"> </w:t>
      </w:r>
      <w:r>
        <w:rPr>
          <w:rFonts w:ascii="宋体" w:hAnsi="宋体" w:eastAsia="宋体" w:cs="宋体"/>
          <w:spacing w:val="-7"/>
          <w:sz w:val="24"/>
          <w:szCs w:val="24"/>
        </w:rPr>
        <w:t>遇明火、静电及高温或与氧化剂接触等易引起火灾或爆</w:t>
      </w:r>
      <w:r>
        <w:rPr>
          <w:rFonts w:ascii="宋体" w:hAnsi="宋体" w:eastAsia="宋体" w:cs="宋体"/>
          <w:spacing w:val="-8"/>
          <w:sz w:val="24"/>
          <w:szCs w:val="24"/>
        </w:rPr>
        <w:t>炸。一旦</w:t>
      </w:r>
      <w:r>
        <w:rPr>
          <w:rFonts w:ascii="宋体" w:hAnsi="宋体" w:eastAsia="宋体" w:cs="宋体"/>
          <w:sz w:val="24"/>
          <w:szCs w:val="24"/>
        </w:rPr>
        <w:t xml:space="preserve"> </w:t>
      </w:r>
      <w:r>
        <w:rPr>
          <w:rFonts w:ascii="宋体" w:hAnsi="宋体" w:eastAsia="宋体" w:cs="宋体"/>
          <w:spacing w:val="-7"/>
          <w:sz w:val="24"/>
          <w:szCs w:val="24"/>
        </w:rPr>
        <w:t>发生火灾、爆炸，</w:t>
      </w:r>
      <w:r>
        <w:rPr>
          <w:rFonts w:ascii="宋体" w:hAnsi="宋体" w:eastAsia="宋体" w:cs="宋体"/>
          <w:spacing w:val="36"/>
          <w:sz w:val="24"/>
          <w:szCs w:val="24"/>
        </w:rPr>
        <w:t xml:space="preserve"> </w:t>
      </w:r>
      <w:r>
        <w:rPr>
          <w:rFonts w:ascii="宋体" w:hAnsi="宋体" w:eastAsia="宋体" w:cs="宋体"/>
          <w:spacing w:val="-7"/>
          <w:sz w:val="24"/>
          <w:szCs w:val="24"/>
        </w:rPr>
        <w:t>其燃烧过程中会产生</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CO</w:t>
      </w:r>
      <w:r>
        <w:rPr>
          <w:rFonts w:ascii="宋体" w:hAnsi="宋体" w:eastAsia="宋体" w:cs="宋体"/>
          <w:spacing w:val="-7"/>
          <w:sz w:val="24"/>
          <w:szCs w:val="24"/>
        </w:rPr>
        <w:t>，产生量</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0.19g/kg</w:t>
      </w:r>
      <w:r>
        <w:rPr>
          <w:rFonts w:ascii="宋体" w:hAnsi="宋体" w:eastAsia="宋体" w:cs="宋体"/>
          <w:spacing w:val="-7"/>
          <w:sz w:val="24"/>
          <w:szCs w:val="24"/>
        </w:rPr>
        <w:t>，</w:t>
      </w:r>
      <w:r>
        <w:rPr>
          <w:rFonts w:ascii="Times New Roman" w:hAnsi="Times New Roman" w:eastAsia="Times New Roman" w:cs="Times New Roman"/>
          <w:spacing w:val="-7"/>
          <w:sz w:val="24"/>
          <w:szCs w:val="24"/>
        </w:rPr>
        <w:t xml:space="preserve">CO </w:t>
      </w:r>
      <w:r>
        <w:rPr>
          <w:rFonts w:ascii="宋体" w:hAnsi="宋体" w:eastAsia="宋体" w:cs="宋体"/>
          <w:spacing w:val="-7"/>
          <w:sz w:val="24"/>
          <w:szCs w:val="24"/>
        </w:rPr>
        <w:t>会对区域大气</w:t>
      </w:r>
    </w:p>
    <w:p>
      <w:pPr>
        <w:spacing w:before="1" w:line="218" w:lineRule="auto"/>
        <w:ind w:left="39"/>
        <w:rPr>
          <w:rFonts w:ascii="宋体" w:hAnsi="宋体" w:eastAsia="宋体" w:cs="宋体"/>
          <w:sz w:val="24"/>
          <w:szCs w:val="24"/>
        </w:rPr>
      </w:pPr>
      <w:r>
        <w:rPr>
          <w:rFonts w:ascii="宋体" w:hAnsi="宋体" w:eastAsia="宋体" w:cs="宋体"/>
          <w:spacing w:val="-2"/>
          <w:sz w:val="24"/>
          <w:szCs w:val="24"/>
        </w:rPr>
        <w:t>环境会造成不利影响，导致区域环境空气质量下降。</w:t>
      </w:r>
    </w:p>
    <w:p>
      <w:pPr>
        <w:spacing w:line="431" w:lineRule="auto"/>
        <w:rPr>
          <w:rFonts w:ascii="Arial"/>
          <w:sz w:val="21"/>
        </w:rPr>
      </w:pPr>
    </w:p>
    <w:p>
      <w:pPr>
        <w:pStyle w:val="2"/>
        <w:spacing w:before="79" w:line="232" w:lineRule="auto"/>
        <w:ind w:left="38"/>
        <w:outlineLvl w:val="2"/>
        <w:rPr>
          <w:sz w:val="24"/>
          <w:szCs w:val="24"/>
        </w:rPr>
      </w:pPr>
      <w:r>
        <w:rPr>
          <w:rFonts w:ascii="Times New Roman" w:hAnsi="Times New Roman" w:eastAsia="Times New Roman" w:cs="Times New Roman"/>
          <w:b/>
          <w:bCs/>
          <w:sz w:val="24"/>
          <w:szCs w:val="24"/>
        </w:rPr>
        <w:t xml:space="preserve">5.1.5 </w:t>
      </w:r>
      <w:r>
        <w:rPr>
          <w:sz w:val="24"/>
          <w:szCs w:val="24"/>
          <w14:textOutline w14:w="4354" w14:cap="flat" w14:cmpd="sng">
            <w14:solidFill>
              <w14:srgbClr w14:val="000000"/>
            </w14:solidFill>
            <w14:prstDash w14:val="solid"/>
            <w14:miter w14:val="0"/>
          </w14:textOutline>
        </w:rPr>
        <w:t>风险防范措施及应急要求</w:t>
      </w:r>
    </w:p>
    <w:p>
      <w:pPr>
        <w:spacing w:before="201"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）风险防范措施</w:t>
      </w:r>
    </w:p>
    <w:p>
      <w:pPr>
        <w:spacing w:before="181" w:line="467" w:lineRule="exact"/>
        <w:ind w:left="518"/>
        <w:rPr>
          <w:rFonts w:ascii="宋体" w:hAnsi="宋体" w:eastAsia="宋体" w:cs="宋体"/>
          <w:sz w:val="24"/>
          <w:szCs w:val="24"/>
        </w:rPr>
      </w:pPr>
      <w:r>
        <w:rPr>
          <w:rFonts w:ascii="宋体" w:hAnsi="宋体" w:eastAsia="宋体" w:cs="宋体"/>
          <w:position w:val="17"/>
          <w:sz w:val="24"/>
          <w:szCs w:val="24"/>
        </w:rPr>
        <w:t>①油罐均设有高液位报警系统，实时监控罐内液位</w:t>
      </w:r>
      <w:r>
        <w:rPr>
          <w:rFonts w:ascii="宋体" w:hAnsi="宋体" w:eastAsia="宋体" w:cs="宋体"/>
          <w:spacing w:val="-1"/>
          <w:position w:val="17"/>
          <w:sz w:val="24"/>
          <w:szCs w:val="24"/>
        </w:rPr>
        <w:t>高度，避免油品溢流。</w:t>
      </w:r>
    </w:p>
    <w:p>
      <w:pPr>
        <w:spacing w:line="217" w:lineRule="auto"/>
        <w:ind w:left="517"/>
        <w:rPr>
          <w:rFonts w:ascii="宋体" w:hAnsi="宋体" w:eastAsia="宋体" w:cs="宋体"/>
          <w:sz w:val="24"/>
          <w:szCs w:val="24"/>
        </w:rPr>
      </w:pPr>
      <w:r>
        <w:rPr>
          <w:rFonts w:ascii="宋体" w:hAnsi="宋体" w:eastAsia="宋体" w:cs="宋体"/>
          <w:spacing w:val="-2"/>
          <w:sz w:val="24"/>
          <w:szCs w:val="24"/>
        </w:rPr>
        <w:t>②场地设火灾自动监控预警系统，出现明火即可启动报警警报。</w:t>
      </w:r>
    </w:p>
    <w:p>
      <w:pPr>
        <w:spacing w:before="185" w:line="217" w:lineRule="auto"/>
        <w:ind w:left="517"/>
        <w:rPr>
          <w:rFonts w:ascii="宋体" w:hAnsi="宋体" w:eastAsia="宋体" w:cs="宋体"/>
          <w:sz w:val="24"/>
          <w:szCs w:val="24"/>
        </w:rPr>
      </w:pPr>
      <w:r>
        <w:rPr>
          <w:rFonts w:ascii="宋体" w:hAnsi="宋体" w:eastAsia="宋体" w:cs="宋体"/>
          <w:spacing w:val="-1"/>
          <w:sz w:val="24"/>
          <w:szCs w:val="24"/>
        </w:rPr>
        <w:t>③采用双层油罐。</w:t>
      </w:r>
    </w:p>
    <w:p>
      <w:pPr>
        <w:spacing w:before="184" w:line="217" w:lineRule="auto"/>
        <w:ind w:left="517"/>
        <w:rPr>
          <w:rFonts w:ascii="宋体" w:hAnsi="宋体" w:eastAsia="宋体" w:cs="宋体"/>
          <w:sz w:val="24"/>
          <w:szCs w:val="24"/>
        </w:rPr>
      </w:pPr>
      <w:r>
        <w:rPr>
          <w:rFonts w:ascii="宋体" w:hAnsi="宋体" w:eastAsia="宋体" w:cs="宋体"/>
          <w:spacing w:val="-3"/>
          <w:sz w:val="24"/>
          <w:szCs w:val="24"/>
        </w:rPr>
        <w:t>④油罐进行防雷、防静电设置。</w:t>
      </w:r>
    </w:p>
    <w:p>
      <w:pPr>
        <w:spacing w:before="185" w:line="217" w:lineRule="auto"/>
        <w:ind w:left="517"/>
        <w:rPr>
          <w:rFonts w:ascii="宋体" w:hAnsi="宋体" w:eastAsia="宋体" w:cs="宋体"/>
          <w:sz w:val="24"/>
          <w:szCs w:val="24"/>
        </w:rPr>
      </w:pPr>
      <w:r>
        <w:rPr>
          <w:rFonts w:ascii="宋体" w:hAnsi="宋体" w:eastAsia="宋体" w:cs="宋体"/>
          <w:spacing w:val="-1"/>
          <w:sz w:val="24"/>
          <w:szCs w:val="24"/>
        </w:rPr>
        <w:t>④配备足够的消防器材，如灭火器、灭火毯、消防砂等</w:t>
      </w:r>
    </w:p>
    <w:p>
      <w:pPr>
        <w:spacing w:before="185" w:line="217" w:lineRule="auto"/>
        <w:ind w:left="517"/>
        <w:rPr>
          <w:rFonts w:ascii="宋体" w:hAnsi="宋体" w:eastAsia="宋体" w:cs="宋体"/>
          <w:sz w:val="24"/>
          <w:szCs w:val="24"/>
        </w:rPr>
      </w:pPr>
      <w:r>
        <w:rPr>
          <w:rFonts w:ascii="宋体" w:hAnsi="宋体" w:eastAsia="宋体" w:cs="宋体"/>
          <w:spacing w:val="-6"/>
          <w:sz w:val="24"/>
          <w:szCs w:val="24"/>
        </w:rPr>
        <w:t>⑤专业单位和专业人员负责修理加油机和电气设备，</w:t>
      </w:r>
      <w:r>
        <w:rPr>
          <w:rFonts w:ascii="宋体" w:hAnsi="宋体" w:eastAsia="宋体" w:cs="宋体"/>
          <w:spacing w:val="-23"/>
          <w:sz w:val="24"/>
          <w:szCs w:val="24"/>
        </w:rPr>
        <w:t xml:space="preserve"> </w:t>
      </w:r>
      <w:r>
        <w:rPr>
          <w:rFonts w:ascii="宋体" w:hAnsi="宋体" w:eastAsia="宋体" w:cs="宋体"/>
          <w:spacing w:val="-6"/>
          <w:sz w:val="24"/>
          <w:szCs w:val="24"/>
        </w:rPr>
        <w:t>并要求其严格按规定操</w:t>
      </w:r>
    </w:p>
    <w:p>
      <w:pPr>
        <w:spacing w:before="185" w:line="220" w:lineRule="auto"/>
        <w:ind w:left="40"/>
        <w:rPr>
          <w:rFonts w:ascii="宋体" w:hAnsi="宋体" w:eastAsia="宋体" w:cs="宋体"/>
          <w:sz w:val="24"/>
          <w:szCs w:val="24"/>
        </w:rPr>
      </w:pPr>
      <w:r>
        <w:rPr>
          <w:rFonts w:ascii="宋体" w:hAnsi="宋体" w:eastAsia="宋体" w:cs="宋体"/>
          <w:spacing w:val="-12"/>
          <w:sz w:val="24"/>
          <w:szCs w:val="24"/>
        </w:rPr>
        <w:t>作。</w:t>
      </w:r>
    </w:p>
    <w:p>
      <w:pPr>
        <w:spacing w:before="180" w:line="467" w:lineRule="exact"/>
        <w:ind w:left="517"/>
        <w:rPr>
          <w:rFonts w:ascii="宋体" w:hAnsi="宋体" w:eastAsia="宋体" w:cs="宋体"/>
          <w:sz w:val="24"/>
          <w:szCs w:val="24"/>
        </w:rPr>
      </w:pPr>
      <w:r>
        <w:rPr>
          <w:rFonts w:ascii="宋体" w:hAnsi="宋体" w:eastAsia="宋体" w:cs="宋体"/>
          <w:spacing w:val="-1"/>
          <w:position w:val="17"/>
          <w:sz w:val="24"/>
          <w:szCs w:val="24"/>
        </w:rPr>
        <w:t>⑥油库设禁止吸烟、禁止火种等标识牌。</w:t>
      </w:r>
    </w:p>
    <w:p>
      <w:pPr>
        <w:spacing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）事故应急处置措施</w:t>
      </w:r>
    </w:p>
    <w:p>
      <w:pPr>
        <w:spacing w:line="220" w:lineRule="auto"/>
        <w:rPr>
          <w:rFonts w:ascii="宋体" w:hAnsi="宋体" w:eastAsia="宋体" w:cs="宋体"/>
          <w:sz w:val="24"/>
          <w:szCs w:val="24"/>
        </w:rPr>
        <w:sectPr>
          <w:headerReference r:id="rId429" w:type="default"/>
          <w:footerReference r:id="rId430" w:type="default"/>
          <w:pgSz w:w="11907" w:h="16839"/>
          <w:pgMar w:top="1156" w:right="1730" w:bottom="1374" w:left="1770" w:header="881" w:footer="1210" w:gutter="0"/>
        </w:sectPr>
      </w:pPr>
    </w:p>
    <w:p>
      <w:pPr>
        <w:rPr>
          <w:rFonts w:ascii="Arial"/>
          <w:sz w:val="21"/>
        </w:rPr>
      </w:pPr>
    </w:p>
    <w:p>
      <w:pPr>
        <w:spacing w:before="78" w:line="217" w:lineRule="auto"/>
        <w:ind w:left="518"/>
        <w:rPr>
          <w:rFonts w:ascii="宋体" w:hAnsi="宋体" w:eastAsia="宋体" w:cs="宋体"/>
          <w:sz w:val="24"/>
          <w:szCs w:val="24"/>
        </w:rPr>
      </w:pPr>
      <w:r>
        <w:rPr>
          <w:rFonts w:ascii="宋体" w:hAnsi="宋体" w:eastAsia="宋体" w:cs="宋体"/>
          <w:spacing w:val="-1"/>
          <w:sz w:val="24"/>
          <w:szCs w:val="24"/>
        </w:rPr>
        <w:t>①泄漏事故处置措施</w:t>
      </w:r>
    </w:p>
    <w:p>
      <w:pPr>
        <w:spacing w:before="184" w:line="467" w:lineRule="exact"/>
        <w:ind w:left="518"/>
        <w:rPr>
          <w:rFonts w:ascii="宋体" w:hAnsi="宋体" w:eastAsia="宋体" w:cs="宋体"/>
          <w:sz w:val="24"/>
          <w:szCs w:val="24"/>
        </w:rPr>
      </w:pPr>
      <w:r>
        <w:rPr>
          <w:rFonts w:ascii="Times New Roman" w:hAnsi="Times New Roman" w:eastAsia="Times New Roman" w:cs="Times New Roman"/>
          <w:spacing w:val="-1"/>
          <w:position w:val="16"/>
          <w:sz w:val="24"/>
          <w:szCs w:val="24"/>
        </w:rPr>
        <w:t>a.</w:t>
      </w:r>
      <w:r>
        <w:rPr>
          <w:rFonts w:ascii="宋体" w:hAnsi="宋体" w:eastAsia="宋体" w:cs="宋体"/>
          <w:spacing w:val="-1"/>
          <w:position w:val="16"/>
          <w:sz w:val="24"/>
          <w:szCs w:val="24"/>
        </w:rPr>
        <w:t>发现者马上关闭油罐闸阀和管道阀门，同时施工场地负责人：简要说明地</w:t>
      </w:r>
    </w:p>
    <w:p>
      <w:pPr>
        <w:spacing w:line="219" w:lineRule="auto"/>
        <w:ind w:left="47"/>
        <w:rPr>
          <w:rFonts w:ascii="宋体" w:hAnsi="宋体" w:eastAsia="宋体" w:cs="宋体"/>
          <w:sz w:val="24"/>
          <w:szCs w:val="24"/>
        </w:rPr>
      </w:pPr>
      <w:r>
        <w:rPr>
          <w:rFonts w:ascii="宋体" w:hAnsi="宋体" w:eastAsia="宋体" w:cs="宋体"/>
          <w:spacing w:val="-4"/>
          <w:sz w:val="24"/>
          <w:szCs w:val="24"/>
        </w:rPr>
        <w:t>点、泄漏性质和程度等情况。</w:t>
      </w:r>
    </w:p>
    <w:p>
      <w:pPr>
        <w:spacing w:before="181" w:line="467" w:lineRule="exact"/>
        <w:jc w:val="right"/>
        <w:rPr>
          <w:rFonts w:ascii="宋体" w:hAnsi="宋体" w:eastAsia="宋体" w:cs="宋体"/>
          <w:sz w:val="24"/>
          <w:szCs w:val="24"/>
        </w:rPr>
      </w:pPr>
      <w:r>
        <w:rPr>
          <w:rFonts w:ascii="Times New Roman" w:hAnsi="Times New Roman" w:eastAsia="Times New Roman" w:cs="Times New Roman"/>
          <w:spacing w:val="1"/>
          <w:position w:val="16"/>
          <w:sz w:val="24"/>
          <w:szCs w:val="24"/>
        </w:rPr>
        <w:t>b.</w:t>
      </w:r>
      <w:r>
        <w:rPr>
          <w:rFonts w:ascii="宋体" w:hAnsi="宋体" w:eastAsia="宋体" w:cs="宋体"/>
          <w:spacing w:val="1"/>
          <w:position w:val="16"/>
          <w:sz w:val="24"/>
          <w:szCs w:val="24"/>
        </w:rPr>
        <w:t>物资保障人员取来消防器材放至事件现场，应急救援人员佩戴防毒面具、</w:t>
      </w:r>
    </w:p>
    <w:p>
      <w:pPr>
        <w:spacing w:line="220" w:lineRule="auto"/>
        <w:ind w:left="40"/>
        <w:rPr>
          <w:rFonts w:ascii="宋体" w:hAnsi="宋体" w:eastAsia="宋体" w:cs="宋体"/>
          <w:sz w:val="24"/>
          <w:szCs w:val="24"/>
        </w:rPr>
      </w:pPr>
      <w:r>
        <w:rPr>
          <w:rFonts w:ascii="宋体" w:hAnsi="宋体" w:eastAsia="宋体" w:cs="宋体"/>
          <w:spacing w:val="-8"/>
          <w:sz w:val="24"/>
          <w:szCs w:val="24"/>
        </w:rPr>
        <w:t>护目镜、穿防护服，在确保安全的情况下堵漏，</w:t>
      </w:r>
      <w:r>
        <w:rPr>
          <w:rFonts w:ascii="宋体" w:hAnsi="宋体" w:eastAsia="宋体" w:cs="宋体"/>
          <w:spacing w:val="62"/>
          <w:sz w:val="24"/>
          <w:szCs w:val="24"/>
        </w:rPr>
        <w:t xml:space="preserve"> </w:t>
      </w:r>
      <w:r>
        <w:rPr>
          <w:rFonts w:ascii="宋体" w:hAnsi="宋体" w:eastAsia="宋体" w:cs="宋体"/>
          <w:spacing w:val="-8"/>
          <w:sz w:val="24"/>
          <w:szCs w:val="24"/>
        </w:rPr>
        <w:t>控制泄漏量。</w:t>
      </w:r>
    </w:p>
    <w:p>
      <w:pPr>
        <w:spacing w:before="180" w:line="467" w:lineRule="exact"/>
        <w:ind w:left="518"/>
        <w:rPr>
          <w:rFonts w:ascii="宋体" w:hAnsi="宋体" w:eastAsia="宋体" w:cs="宋体"/>
          <w:sz w:val="24"/>
          <w:szCs w:val="24"/>
        </w:rPr>
      </w:pPr>
      <w:r>
        <w:rPr>
          <w:rFonts w:ascii="Times New Roman" w:hAnsi="Times New Roman" w:eastAsia="Times New Roman" w:cs="Times New Roman"/>
          <w:spacing w:val="-4"/>
          <w:position w:val="16"/>
          <w:sz w:val="24"/>
          <w:szCs w:val="24"/>
        </w:rPr>
        <w:t>c.</w:t>
      </w:r>
      <w:r>
        <w:rPr>
          <w:rFonts w:ascii="宋体" w:hAnsi="宋体" w:eastAsia="宋体" w:cs="宋体"/>
          <w:spacing w:val="-4"/>
          <w:position w:val="16"/>
          <w:sz w:val="24"/>
          <w:szCs w:val="24"/>
        </w:rPr>
        <w:t>若泄漏油品数量较少： 应急救援人员对泄漏油品用油</w:t>
      </w:r>
      <w:r>
        <w:rPr>
          <w:rFonts w:ascii="宋体" w:hAnsi="宋体" w:eastAsia="宋体" w:cs="宋体"/>
          <w:spacing w:val="-5"/>
          <w:position w:val="16"/>
          <w:sz w:val="24"/>
          <w:szCs w:val="24"/>
        </w:rPr>
        <w:t>毯和消防砂擦拭或覆</w:t>
      </w:r>
    </w:p>
    <w:p>
      <w:pPr>
        <w:spacing w:before="1" w:line="226" w:lineRule="auto"/>
        <w:ind w:left="40"/>
        <w:rPr>
          <w:rFonts w:ascii="宋体" w:hAnsi="宋体" w:eastAsia="宋体" w:cs="宋体"/>
          <w:sz w:val="24"/>
          <w:szCs w:val="24"/>
        </w:rPr>
      </w:pPr>
      <w:r>
        <w:rPr>
          <w:rFonts w:ascii="宋体" w:hAnsi="宋体" w:eastAsia="宋体" w:cs="宋体"/>
          <w:spacing w:val="-6"/>
          <w:sz w:val="24"/>
          <w:szCs w:val="24"/>
        </w:rPr>
        <w:t>盖。</w:t>
      </w:r>
    </w:p>
    <w:p>
      <w:pPr>
        <w:spacing w:before="172" w:line="468" w:lineRule="exact"/>
        <w:ind w:left="517"/>
        <w:rPr>
          <w:rFonts w:ascii="宋体" w:hAnsi="宋体" w:eastAsia="宋体" w:cs="宋体"/>
          <w:sz w:val="24"/>
          <w:szCs w:val="24"/>
        </w:rPr>
      </w:pPr>
      <w:r>
        <w:rPr>
          <w:rFonts w:ascii="Times New Roman" w:hAnsi="Times New Roman" w:eastAsia="Times New Roman" w:cs="Times New Roman"/>
          <w:spacing w:val="-15"/>
          <w:position w:val="16"/>
          <w:sz w:val="24"/>
          <w:szCs w:val="24"/>
        </w:rPr>
        <w:t>d.</w:t>
      </w:r>
      <w:r>
        <w:rPr>
          <w:rFonts w:ascii="宋体" w:hAnsi="宋体" w:eastAsia="宋体" w:cs="宋体"/>
          <w:spacing w:val="-15"/>
          <w:position w:val="16"/>
          <w:sz w:val="24"/>
          <w:szCs w:val="24"/>
        </w:rPr>
        <w:t>若泄漏油品数量较多， 隔离泄漏区， 设警戒</w:t>
      </w:r>
      <w:r>
        <w:rPr>
          <w:rFonts w:ascii="宋体" w:hAnsi="宋体" w:eastAsia="宋体" w:cs="宋体"/>
          <w:spacing w:val="-16"/>
          <w:position w:val="16"/>
          <w:sz w:val="24"/>
          <w:szCs w:val="24"/>
        </w:rPr>
        <w:t>线，疏散和禁止无关人员进入，</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组织施工人员用沙土将油品团团围住，防止油品进一步外溢。</w:t>
      </w:r>
    </w:p>
    <w:p>
      <w:pPr>
        <w:spacing w:before="181" w:line="217" w:lineRule="auto"/>
        <w:ind w:left="517"/>
        <w:rPr>
          <w:rFonts w:ascii="宋体" w:hAnsi="宋体" w:eastAsia="宋体" w:cs="宋体"/>
          <w:sz w:val="24"/>
          <w:szCs w:val="24"/>
        </w:rPr>
      </w:pPr>
      <w:r>
        <w:rPr>
          <w:rFonts w:ascii="宋体" w:hAnsi="宋体" w:eastAsia="宋体" w:cs="宋体"/>
          <w:spacing w:val="-2"/>
          <w:sz w:val="24"/>
          <w:szCs w:val="24"/>
        </w:rPr>
        <w:t>②现场急救</w:t>
      </w:r>
    </w:p>
    <w:p>
      <w:pPr>
        <w:spacing w:before="185" w:line="359" w:lineRule="auto"/>
        <w:ind w:left="39" w:right="82" w:firstLine="483"/>
        <w:rPr>
          <w:rFonts w:ascii="宋体" w:hAnsi="宋体" w:eastAsia="宋体" w:cs="宋体"/>
          <w:sz w:val="24"/>
          <w:szCs w:val="24"/>
        </w:rPr>
      </w:pPr>
      <w:r>
        <w:rPr>
          <w:rFonts w:ascii="宋体" w:hAnsi="宋体" w:eastAsia="宋体" w:cs="宋体"/>
          <w:spacing w:val="-17"/>
          <w:sz w:val="24"/>
          <w:szCs w:val="24"/>
        </w:rPr>
        <w:t>如在事件处理过程中，</w:t>
      </w:r>
      <w:r>
        <w:rPr>
          <w:rFonts w:ascii="宋体" w:hAnsi="宋体" w:eastAsia="宋体" w:cs="宋体"/>
          <w:spacing w:val="31"/>
          <w:sz w:val="24"/>
          <w:szCs w:val="24"/>
        </w:rPr>
        <w:t xml:space="preserve"> </w:t>
      </w:r>
      <w:r>
        <w:rPr>
          <w:rFonts w:ascii="宋体" w:hAnsi="宋体" w:eastAsia="宋体" w:cs="宋体"/>
          <w:spacing w:val="-17"/>
          <w:sz w:val="24"/>
          <w:szCs w:val="24"/>
        </w:rPr>
        <w:t>有人员被油品沾染浸湿，</w:t>
      </w:r>
      <w:r>
        <w:rPr>
          <w:rFonts w:ascii="宋体" w:hAnsi="宋体" w:eastAsia="宋体" w:cs="宋体"/>
          <w:spacing w:val="37"/>
          <w:sz w:val="24"/>
          <w:szCs w:val="24"/>
        </w:rPr>
        <w:t xml:space="preserve"> </w:t>
      </w:r>
      <w:r>
        <w:rPr>
          <w:rFonts w:ascii="宋体" w:hAnsi="宋体" w:eastAsia="宋体" w:cs="宋体"/>
          <w:spacing w:val="-17"/>
          <w:sz w:val="24"/>
          <w:szCs w:val="24"/>
        </w:rPr>
        <w:t>马上进</w:t>
      </w:r>
      <w:r>
        <w:rPr>
          <w:rFonts w:ascii="宋体" w:hAnsi="宋体" w:eastAsia="宋体" w:cs="宋体"/>
          <w:spacing w:val="-18"/>
          <w:sz w:val="24"/>
          <w:szCs w:val="24"/>
        </w:rPr>
        <w:t>行防火处理：</w:t>
      </w:r>
      <w:r>
        <w:rPr>
          <w:rFonts w:ascii="宋体" w:hAnsi="宋体" w:eastAsia="宋体" w:cs="宋体"/>
          <w:spacing w:val="34"/>
          <w:sz w:val="24"/>
          <w:szCs w:val="24"/>
        </w:rPr>
        <w:t xml:space="preserve"> </w:t>
      </w:r>
      <w:r>
        <w:rPr>
          <w:rFonts w:ascii="宋体" w:hAnsi="宋体" w:eastAsia="宋体" w:cs="宋体"/>
          <w:spacing w:val="-18"/>
          <w:sz w:val="24"/>
          <w:szCs w:val="24"/>
        </w:rPr>
        <w:t>夏天应</w:t>
      </w:r>
      <w:r>
        <w:rPr>
          <w:rFonts w:ascii="宋体" w:hAnsi="宋体" w:eastAsia="宋体" w:cs="宋体"/>
          <w:sz w:val="24"/>
          <w:szCs w:val="24"/>
        </w:rPr>
        <w:t xml:space="preserve"> </w:t>
      </w:r>
      <w:r>
        <w:rPr>
          <w:rFonts w:ascii="宋体" w:hAnsi="宋体" w:eastAsia="宋体" w:cs="宋体"/>
          <w:spacing w:val="-13"/>
          <w:sz w:val="24"/>
          <w:szCs w:val="24"/>
        </w:rPr>
        <w:t>立即用清水冲洗，</w:t>
      </w:r>
      <w:r>
        <w:rPr>
          <w:rFonts w:ascii="宋体" w:hAnsi="宋体" w:eastAsia="宋体" w:cs="宋体"/>
          <w:spacing w:val="-48"/>
          <w:sz w:val="24"/>
          <w:szCs w:val="24"/>
        </w:rPr>
        <w:t xml:space="preserve"> </w:t>
      </w:r>
      <w:r>
        <w:rPr>
          <w:rFonts w:ascii="宋体" w:hAnsi="宋体" w:eastAsia="宋体" w:cs="宋体"/>
          <w:spacing w:val="-13"/>
          <w:sz w:val="24"/>
          <w:szCs w:val="24"/>
        </w:rPr>
        <w:t>更换衣物，避免附着油品大量挥发遇火源引发明火，烧</w:t>
      </w:r>
      <w:r>
        <w:rPr>
          <w:rFonts w:ascii="宋体" w:hAnsi="宋体" w:eastAsia="宋体" w:cs="宋体"/>
          <w:spacing w:val="-14"/>
          <w:sz w:val="24"/>
          <w:szCs w:val="24"/>
        </w:rPr>
        <w:t>伤人员；</w:t>
      </w:r>
      <w:r>
        <w:rPr>
          <w:rFonts w:ascii="宋体" w:hAnsi="宋体" w:eastAsia="宋体" w:cs="宋体"/>
          <w:sz w:val="24"/>
          <w:szCs w:val="24"/>
        </w:rPr>
        <w:t xml:space="preserve"> </w:t>
      </w:r>
      <w:r>
        <w:rPr>
          <w:rFonts w:ascii="宋体" w:hAnsi="宋体" w:eastAsia="宋体" w:cs="宋体"/>
          <w:spacing w:val="-15"/>
          <w:sz w:val="24"/>
          <w:szCs w:val="24"/>
        </w:rPr>
        <w:t>冬天应脱下被浸湿衣物，</w:t>
      </w:r>
      <w:r>
        <w:rPr>
          <w:rFonts w:ascii="宋体" w:hAnsi="宋体" w:eastAsia="宋体" w:cs="宋体"/>
          <w:spacing w:val="30"/>
          <w:sz w:val="24"/>
          <w:szCs w:val="24"/>
        </w:rPr>
        <w:t xml:space="preserve"> </w:t>
      </w:r>
      <w:r>
        <w:rPr>
          <w:rFonts w:ascii="宋体" w:hAnsi="宋体" w:eastAsia="宋体" w:cs="宋体"/>
          <w:spacing w:val="-15"/>
          <w:sz w:val="24"/>
          <w:szCs w:val="24"/>
        </w:rPr>
        <w:t>过程中注意动作缓慢，</w:t>
      </w:r>
      <w:r>
        <w:rPr>
          <w:rFonts w:ascii="宋体" w:hAnsi="宋体" w:eastAsia="宋体" w:cs="宋体"/>
          <w:spacing w:val="57"/>
          <w:sz w:val="24"/>
          <w:szCs w:val="24"/>
        </w:rPr>
        <w:t xml:space="preserve"> </w:t>
      </w:r>
      <w:r>
        <w:rPr>
          <w:rFonts w:ascii="宋体" w:hAnsi="宋体" w:eastAsia="宋体" w:cs="宋体"/>
          <w:spacing w:val="-15"/>
          <w:sz w:val="24"/>
          <w:szCs w:val="24"/>
        </w:rPr>
        <w:t>以防产生</w:t>
      </w:r>
      <w:r>
        <w:rPr>
          <w:rFonts w:ascii="宋体" w:hAnsi="宋体" w:eastAsia="宋体" w:cs="宋体"/>
          <w:spacing w:val="-16"/>
          <w:sz w:val="24"/>
          <w:szCs w:val="24"/>
        </w:rPr>
        <w:t>静电和皮肤中毒， 并及</w:t>
      </w:r>
    </w:p>
    <w:p>
      <w:pPr>
        <w:spacing w:line="220" w:lineRule="auto"/>
        <w:ind w:left="50"/>
        <w:rPr>
          <w:rFonts w:ascii="宋体" w:hAnsi="宋体" w:eastAsia="宋体" w:cs="宋体"/>
          <w:sz w:val="24"/>
          <w:szCs w:val="24"/>
        </w:rPr>
      </w:pPr>
      <w:r>
        <w:rPr>
          <w:rFonts w:ascii="宋体" w:hAnsi="宋体" w:eastAsia="宋体" w:cs="宋体"/>
          <w:spacing w:val="-8"/>
          <w:sz w:val="24"/>
          <w:szCs w:val="24"/>
        </w:rPr>
        <w:t>时更换衣服。</w:t>
      </w:r>
    </w:p>
    <w:p>
      <w:pPr>
        <w:spacing w:before="181"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）风险应急预案</w:t>
      </w:r>
    </w:p>
    <w:p>
      <w:pPr>
        <w:spacing w:before="181" w:line="359" w:lineRule="auto"/>
        <w:ind w:left="41" w:right="84" w:firstLine="480"/>
        <w:rPr>
          <w:rFonts w:ascii="宋体" w:hAnsi="宋体" w:eastAsia="宋体" w:cs="宋体"/>
          <w:sz w:val="24"/>
          <w:szCs w:val="24"/>
        </w:rPr>
      </w:pPr>
      <w:r>
        <w:rPr>
          <w:rFonts w:ascii="宋体" w:hAnsi="宋体" w:eastAsia="宋体" w:cs="宋体"/>
          <w:spacing w:val="-3"/>
          <w:sz w:val="24"/>
          <w:szCs w:val="24"/>
        </w:rPr>
        <w:t>建设单位应按照《突发事件应急预案管理办法的通知》</w:t>
      </w:r>
      <w:r>
        <w:rPr>
          <w:rFonts w:ascii="宋体" w:hAnsi="宋体" w:eastAsia="宋体" w:cs="宋体"/>
          <w:spacing w:val="-4"/>
          <w:sz w:val="24"/>
          <w:szCs w:val="24"/>
        </w:rPr>
        <w:t>、云南省环保厅关于</w:t>
      </w:r>
      <w:r>
        <w:rPr>
          <w:rFonts w:ascii="宋体" w:hAnsi="宋体" w:eastAsia="宋体" w:cs="宋体"/>
          <w:sz w:val="24"/>
          <w:szCs w:val="24"/>
        </w:rPr>
        <w:t xml:space="preserve"> </w:t>
      </w:r>
      <w:r>
        <w:rPr>
          <w:rFonts w:ascii="宋体" w:hAnsi="宋体" w:eastAsia="宋体" w:cs="宋体"/>
          <w:spacing w:val="-3"/>
          <w:sz w:val="24"/>
          <w:szCs w:val="24"/>
        </w:rPr>
        <w:t>贯彻实施《突发环境事件应急预案管理暂行办法》的通知、及《企业事业单</w:t>
      </w:r>
      <w:r>
        <w:rPr>
          <w:rFonts w:ascii="宋体" w:hAnsi="宋体" w:eastAsia="宋体" w:cs="宋体"/>
          <w:spacing w:val="-4"/>
          <w:sz w:val="24"/>
          <w:szCs w:val="24"/>
        </w:rPr>
        <w:t>位突</w:t>
      </w:r>
      <w:r>
        <w:rPr>
          <w:rFonts w:ascii="宋体" w:hAnsi="宋体" w:eastAsia="宋体" w:cs="宋体"/>
          <w:sz w:val="24"/>
          <w:szCs w:val="24"/>
        </w:rPr>
        <w:t xml:space="preserve"> </w:t>
      </w:r>
      <w:r>
        <w:rPr>
          <w:rFonts w:ascii="宋体" w:hAnsi="宋体" w:eastAsia="宋体" w:cs="宋体"/>
          <w:spacing w:val="-6"/>
          <w:sz w:val="24"/>
          <w:szCs w:val="24"/>
        </w:rPr>
        <w:t>发环境事件应急预案备案管理办法（试行）》</w:t>
      </w:r>
      <w:r>
        <w:rPr>
          <w:rFonts w:ascii="宋体" w:hAnsi="宋体" w:eastAsia="宋体" w:cs="宋体"/>
          <w:spacing w:val="-7"/>
          <w:sz w:val="24"/>
          <w:szCs w:val="24"/>
        </w:rPr>
        <w:t>（环发</w:t>
      </w:r>
      <w:r>
        <w:rPr>
          <w:rFonts w:ascii="Times New Roman" w:hAnsi="Times New Roman" w:eastAsia="Times New Roman" w:cs="Times New Roman"/>
          <w:spacing w:val="-7"/>
          <w:sz w:val="24"/>
          <w:szCs w:val="24"/>
        </w:rPr>
        <w:t xml:space="preserve">[2015]4  </w:t>
      </w:r>
      <w:r>
        <w:rPr>
          <w:rFonts w:ascii="宋体" w:hAnsi="宋体" w:eastAsia="宋体" w:cs="宋体"/>
          <w:spacing w:val="-7"/>
          <w:sz w:val="24"/>
          <w:szCs w:val="24"/>
        </w:rPr>
        <w:t>号）等有关法律和政</w:t>
      </w:r>
      <w:r>
        <w:rPr>
          <w:rFonts w:ascii="宋体" w:hAnsi="宋体" w:eastAsia="宋体" w:cs="宋体"/>
          <w:sz w:val="24"/>
          <w:szCs w:val="24"/>
        </w:rPr>
        <w:t xml:space="preserve"> </w:t>
      </w:r>
      <w:r>
        <w:rPr>
          <w:rFonts w:ascii="宋体" w:hAnsi="宋体" w:eastAsia="宋体" w:cs="宋体"/>
          <w:spacing w:val="-3"/>
          <w:sz w:val="24"/>
          <w:szCs w:val="24"/>
        </w:rPr>
        <w:t>策规定，编制《突发环境事件综合应急预案》，并报环保</w:t>
      </w:r>
      <w:r>
        <w:rPr>
          <w:rFonts w:ascii="宋体" w:hAnsi="宋体" w:eastAsia="宋体" w:cs="宋体"/>
          <w:spacing w:val="-4"/>
          <w:sz w:val="24"/>
          <w:szCs w:val="24"/>
        </w:rPr>
        <w:t>部门审查备案。施工过</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程严格按照应急预案措施要求实施。</w:t>
      </w:r>
    </w:p>
    <w:p>
      <w:pPr>
        <w:spacing w:line="430" w:lineRule="auto"/>
        <w:rPr>
          <w:rFonts w:ascii="Arial"/>
          <w:sz w:val="21"/>
        </w:rPr>
      </w:pPr>
    </w:p>
    <w:p>
      <w:pPr>
        <w:pStyle w:val="2"/>
        <w:spacing w:before="78" w:line="233" w:lineRule="auto"/>
        <w:ind w:left="38"/>
        <w:outlineLvl w:val="2"/>
        <w:rPr>
          <w:sz w:val="24"/>
          <w:szCs w:val="24"/>
        </w:rPr>
      </w:pPr>
      <w:r>
        <w:rPr>
          <w:rFonts w:ascii="Times New Roman" w:hAnsi="Times New Roman" w:eastAsia="Times New Roman" w:cs="Times New Roman"/>
          <w:b/>
          <w:bCs/>
          <w:spacing w:val="-1"/>
          <w:sz w:val="24"/>
          <w:szCs w:val="24"/>
        </w:rPr>
        <w:t xml:space="preserve">5.1.6 </w:t>
      </w:r>
      <w:r>
        <w:rPr>
          <w:spacing w:val="-1"/>
          <w:sz w:val="24"/>
          <w:szCs w:val="24"/>
          <w14:textOutline w14:w="4354" w14:cap="flat" w14:cmpd="sng">
            <w14:solidFill>
              <w14:srgbClr w14:val="000000"/>
            </w14:solidFill>
            <w14:prstDash w14:val="solid"/>
            <w14:miter w14:val="0"/>
          </w14:textOutline>
        </w:rPr>
        <w:t>环境风险评价结论</w:t>
      </w:r>
    </w:p>
    <w:p>
      <w:pPr>
        <w:spacing w:before="201" w:line="359" w:lineRule="auto"/>
        <w:ind w:left="45" w:right="82" w:firstLine="474"/>
        <w:jc w:val="both"/>
        <w:rPr>
          <w:rFonts w:ascii="宋体" w:hAnsi="宋体" w:eastAsia="宋体" w:cs="宋体"/>
          <w:sz w:val="24"/>
          <w:szCs w:val="24"/>
        </w:rPr>
      </w:pPr>
      <w:r>
        <w:rPr>
          <w:rFonts w:ascii="宋体" w:hAnsi="宋体" w:eastAsia="宋体" w:cs="宋体"/>
          <w:spacing w:val="-10"/>
          <w:sz w:val="24"/>
          <w:szCs w:val="24"/>
        </w:rPr>
        <w:t>根据上述对项目环境风险分析， 按照各项风险事故的防范措施进行落实， 规</w:t>
      </w:r>
      <w:r>
        <w:rPr>
          <w:rFonts w:ascii="宋体" w:hAnsi="宋体" w:eastAsia="宋体" w:cs="宋体"/>
          <w:spacing w:val="6"/>
          <w:sz w:val="24"/>
          <w:szCs w:val="24"/>
        </w:rPr>
        <w:t xml:space="preserve"> </w:t>
      </w:r>
      <w:r>
        <w:rPr>
          <w:rFonts w:ascii="宋体" w:hAnsi="宋体" w:eastAsia="宋体" w:cs="宋体"/>
          <w:spacing w:val="-15"/>
          <w:sz w:val="24"/>
          <w:szCs w:val="24"/>
        </w:rPr>
        <w:t>范操作， 即可将事故风险降低到最小。因此，</w:t>
      </w:r>
      <w:r>
        <w:rPr>
          <w:rFonts w:ascii="宋体" w:hAnsi="宋体" w:eastAsia="宋体" w:cs="宋体"/>
          <w:spacing w:val="40"/>
          <w:sz w:val="24"/>
          <w:szCs w:val="24"/>
        </w:rPr>
        <w:t xml:space="preserve"> </w:t>
      </w:r>
      <w:r>
        <w:rPr>
          <w:rFonts w:ascii="宋体" w:hAnsi="宋体" w:eastAsia="宋体" w:cs="宋体"/>
          <w:spacing w:val="-15"/>
          <w:sz w:val="24"/>
          <w:szCs w:val="24"/>
        </w:rPr>
        <w:t>本环评认为该</w:t>
      </w:r>
      <w:r>
        <w:rPr>
          <w:rFonts w:ascii="宋体" w:hAnsi="宋体" w:eastAsia="宋体" w:cs="宋体"/>
          <w:spacing w:val="-16"/>
          <w:sz w:val="24"/>
          <w:szCs w:val="24"/>
        </w:rPr>
        <w:t>项目在加强管理，</w:t>
      </w:r>
      <w:r>
        <w:rPr>
          <w:rFonts w:ascii="宋体" w:hAnsi="宋体" w:eastAsia="宋体" w:cs="宋体"/>
          <w:spacing w:val="38"/>
          <w:sz w:val="24"/>
          <w:szCs w:val="24"/>
        </w:rPr>
        <w:t xml:space="preserve"> </w:t>
      </w:r>
      <w:r>
        <w:rPr>
          <w:rFonts w:ascii="宋体" w:hAnsi="宋体" w:eastAsia="宋体" w:cs="宋体"/>
          <w:spacing w:val="-16"/>
          <w:sz w:val="24"/>
          <w:szCs w:val="24"/>
        </w:rPr>
        <w:t>落</w:t>
      </w:r>
    </w:p>
    <w:p>
      <w:pPr>
        <w:spacing w:line="220" w:lineRule="auto"/>
        <w:ind w:left="45"/>
        <w:rPr>
          <w:rFonts w:ascii="宋体" w:hAnsi="宋体" w:eastAsia="宋体" w:cs="宋体"/>
          <w:sz w:val="24"/>
          <w:szCs w:val="24"/>
        </w:rPr>
      </w:pPr>
      <w:r>
        <w:rPr>
          <w:rFonts w:ascii="宋体" w:hAnsi="宋体" w:eastAsia="宋体" w:cs="宋体"/>
          <w:spacing w:val="-2"/>
          <w:sz w:val="24"/>
          <w:szCs w:val="24"/>
        </w:rPr>
        <w:t>实风险防范措施的前提下，项目环境风险是可以接受的。</w:t>
      </w:r>
    </w:p>
    <w:p>
      <w:pPr>
        <w:spacing w:line="385" w:lineRule="auto"/>
        <w:rPr>
          <w:rFonts w:ascii="Arial"/>
          <w:sz w:val="21"/>
        </w:rPr>
      </w:pPr>
    </w:p>
    <w:p>
      <w:pPr>
        <w:pStyle w:val="2"/>
        <w:spacing w:before="89"/>
        <w:ind w:left="39"/>
        <w:outlineLvl w:val="2"/>
        <w:rPr>
          <w:sz w:val="27"/>
          <w:szCs w:val="27"/>
        </w:rPr>
      </w:pPr>
      <w:bookmarkStart w:id="37" w:name="bookmark38"/>
      <w:bookmarkEnd w:id="37"/>
      <w:r>
        <w:rPr>
          <w:rFonts w:ascii="Times New Roman" w:hAnsi="Times New Roman" w:eastAsia="Times New Roman" w:cs="Times New Roman"/>
          <w:b/>
          <w:bCs/>
          <w:spacing w:val="7"/>
          <w:sz w:val="27"/>
          <w:szCs w:val="27"/>
        </w:rPr>
        <w:t xml:space="preserve">5.2 </w:t>
      </w:r>
      <w:r>
        <w:rPr>
          <w:spacing w:val="7"/>
          <w:sz w:val="27"/>
          <w:szCs w:val="27"/>
          <w14:textOutline w14:w="5072" w14:cap="flat" w14:cmpd="sng">
            <w14:solidFill>
              <w14:srgbClr w14:val="000000"/>
            </w14:solidFill>
            <w14:prstDash w14:val="solid"/>
            <w14:miter w14:val="0"/>
          </w14:textOutline>
        </w:rPr>
        <w:t>运营期环境风险分析</w:t>
      </w:r>
    </w:p>
    <w:p>
      <w:pPr>
        <w:spacing w:line="279" w:lineRule="auto"/>
        <w:rPr>
          <w:rFonts w:ascii="Arial"/>
          <w:sz w:val="21"/>
        </w:rPr>
      </w:pPr>
    </w:p>
    <w:p>
      <w:pPr>
        <w:pStyle w:val="2"/>
        <w:spacing w:before="79" w:line="232" w:lineRule="auto"/>
        <w:ind w:left="38"/>
        <w:outlineLvl w:val="3"/>
        <w:rPr>
          <w:sz w:val="24"/>
          <w:szCs w:val="24"/>
        </w:rPr>
      </w:pPr>
      <w:r>
        <w:rPr>
          <w:rFonts w:ascii="Times New Roman" w:hAnsi="Times New Roman" w:eastAsia="Times New Roman" w:cs="Times New Roman"/>
          <w:b/>
          <w:bCs/>
          <w:spacing w:val="-1"/>
          <w:sz w:val="24"/>
          <w:szCs w:val="24"/>
        </w:rPr>
        <w:t xml:space="preserve">5.2.1 </w:t>
      </w:r>
      <w:r>
        <w:rPr>
          <w:spacing w:val="-1"/>
          <w:sz w:val="24"/>
          <w:szCs w:val="24"/>
          <w14:textOutline w14:w="4354" w14:cap="flat" w14:cmpd="sng">
            <w14:solidFill>
              <w14:srgbClr w14:val="000000"/>
            </w14:solidFill>
            <w14:prstDash w14:val="solid"/>
            <w14:miter w14:val="0"/>
          </w14:textOutline>
        </w:rPr>
        <w:t>风险源分析</w:t>
      </w:r>
    </w:p>
    <w:p>
      <w:pPr>
        <w:spacing w:before="200" w:line="468" w:lineRule="exact"/>
        <w:ind w:right="13"/>
        <w:jc w:val="right"/>
        <w:rPr>
          <w:rFonts w:ascii="宋体" w:hAnsi="宋体" w:eastAsia="宋体" w:cs="宋体"/>
          <w:sz w:val="24"/>
          <w:szCs w:val="24"/>
        </w:rPr>
      </w:pPr>
      <w:r>
        <w:rPr>
          <w:rFonts w:ascii="宋体" w:hAnsi="宋体" w:eastAsia="宋体" w:cs="宋体"/>
          <w:spacing w:val="-8"/>
          <w:position w:val="17"/>
          <w:sz w:val="24"/>
          <w:szCs w:val="24"/>
        </w:rPr>
        <w:t>项目风险物质为项目库区汇水区范围内无工矿企业、无规模化养</w:t>
      </w:r>
      <w:r>
        <w:rPr>
          <w:rFonts w:ascii="宋体" w:hAnsi="宋体" w:eastAsia="宋体" w:cs="宋体"/>
          <w:spacing w:val="-9"/>
          <w:position w:val="17"/>
          <w:sz w:val="24"/>
          <w:szCs w:val="24"/>
        </w:rPr>
        <w:t>殖、无集镇，</w:t>
      </w:r>
    </w:p>
    <w:p>
      <w:pPr>
        <w:spacing w:before="1" w:line="218" w:lineRule="auto"/>
        <w:ind w:left="40"/>
        <w:rPr>
          <w:rFonts w:ascii="宋体" w:hAnsi="宋体" w:eastAsia="宋体" w:cs="宋体"/>
          <w:sz w:val="24"/>
          <w:szCs w:val="24"/>
        </w:rPr>
      </w:pPr>
      <w:r>
        <w:rPr>
          <w:rFonts w:ascii="宋体" w:hAnsi="宋体" w:eastAsia="宋体" w:cs="宋体"/>
          <w:spacing w:val="-9"/>
          <w:sz w:val="24"/>
          <w:szCs w:val="24"/>
        </w:rPr>
        <w:t>库区周边化肥使用量较少， 水库发生水污染事故的可能</w:t>
      </w:r>
      <w:r>
        <w:rPr>
          <w:rFonts w:ascii="宋体" w:hAnsi="宋体" w:eastAsia="宋体" w:cs="宋体"/>
          <w:spacing w:val="-10"/>
          <w:sz w:val="24"/>
          <w:szCs w:val="24"/>
        </w:rPr>
        <w:t>性不大， 发生突发性水污</w:t>
      </w:r>
    </w:p>
    <w:p>
      <w:pPr>
        <w:spacing w:line="218" w:lineRule="auto"/>
        <w:rPr>
          <w:rFonts w:ascii="宋体" w:hAnsi="宋体" w:eastAsia="宋体" w:cs="宋体"/>
          <w:sz w:val="24"/>
          <w:szCs w:val="24"/>
        </w:rPr>
        <w:sectPr>
          <w:headerReference r:id="rId431" w:type="default"/>
          <w:footerReference r:id="rId432" w:type="default"/>
          <w:pgSz w:w="11907" w:h="16839"/>
          <w:pgMar w:top="1156" w:right="1715" w:bottom="1374" w:left="1770" w:header="881" w:footer="1210" w:gutter="0"/>
        </w:sectPr>
      </w:pPr>
    </w:p>
    <w:p>
      <w:pPr>
        <w:spacing w:before="318" w:line="220" w:lineRule="auto"/>
        <w:ind w:left="43"/>
        <w:rPr>
          <w:rFonts w:ascii="宋体" w:hAnsi="宋体" w:eastAsia="宋体" w:cs="宋体"/>
          <w:sz w:val="24"/>
          <w:szCs w:val="24"/>
        </w:rPr>
      </w:pPr>
      <w:r>
        <w:rPr>
          <w:rFonts w:ascii="宋体" w:hAnsi="宋体" w:eastAsia="宋体" w:cs="宋体"/>
          <w:spacing w:val="-3"/>
          <w:sz w:val="24"/>
          <w:szCs w:val="24"/>
        </w:rPr>
        <w:t>染事故的风险概率非常低。</w:t>
      </w:r>
    </w:p>
    <w:p>
      <w:pPr>
        <w:spacing w:line="430"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5.2.2 </w:t>
      </w:r>
      <w:r>
        <w:rPr>
          <w:spacing w:val="-1"/>
          <w:sz w:val="24"/>
          <w:szCs w:val="24"/>
          <w14:textOutline w14:w="4354" w14:cap="flat" w14:cmpd="sng">
            <w14:solidFill>
              <w14:srgbClr w14:val="000000"/>
            </w14:solidFill>
            <w14:prstDash w14:val="solid"/>
            <w14:miter w14:val="0"/>
          </w14:textOutline>
        </w:rPr>
        <w:t>风险识别</w:t>
      </w:r>
    </w:p>
    <w:p>
      <w:pPr>
        <w:spacing w:before="198" w:line="220" w:lineRule="auto"/>
        <w:ind w:left="519"/>
        <w:rPr>
          <w:rFonts w:ascii="宋体" w:hAnsi="宋体" w:eastAsia="宋体" w:cs="宋体"/>
          <w:sz w:val="24"/>
          <w:szCs w:val="24"/>
        </w:rPr>
      </w:pPr>
      <w:r>
        <w:rPr>
          <w:rFonts w:ascii="宋体" w:hAnsi="宋体" w:eastAsia="宋体" w:cs="宋体"/>
          <w:spacing w:val="-1"/>
          <w:sz w:val="24"/>
          <w:szCs w:val="24"/>
        </w:rPr>
        <w:t>饮用水水源主要风险如下：</w:t>
      </w:r>
    </w:p>
    <w:p>
      <w:pPr>
        <w:spacing w:before="181" w:line="468" w:lineRule="exact"/>
        <w:ind w:left="525"/>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1</w:t>
      </w:r>
      <w:r>
        <w:rPr>
          <w:rFonts w:ascii="宋体" w:hAnsi="宋体" w:eastAsia="宋体" w:cs="宋体"/>
          <w:position w:val="17"/>
          <w:sz w:val="24"/>
          <w:szCs w:val="24"/>
        </w:rPr>
        <w:t>）由于气温等自然灾害原因，导致局部污染或集中污染的爆发而影响供</w:t>
      </w:r>
    </w:p>
    <w:p>
      <w:pPr>
        <w:spacing w:before="1" w:line="219" w:lineRule="auto"/>
        <w:ind w:left="42"/>
        <w:rPr>
          <w:rFonts w:ascii="宋体" w:hAnsi="宋体" w:eastAsia="宋体" w:cs="宋体"/>
          <w:sz w:val="24"/>
          <w:szCs w:val="24"/>
        </w:rPr>
      </w:pPr>
      <w:r>
        <w:rPr>
          <w:rFonts w:ascii="宋体" w:hAnsi="宋体" w:eastAsia="宋体" w:cs="宋体"/>
          <w:spacing w:val="-1"/>
          <w:sz w:val="24"/>
          <w:szCs w:val="24"/>
        </w:rPr>
        <w:t>水；由于雨季山洪引发泥石流以及泥沙汇入库</w:t>
      </w:r>
      <w:r>
        <w:rPr>
          <w:rFonts w:ascii="宋体" w:hAnsi="宋体" w:eastAsia="宋体" w:cs="宋体"/>
          <w:spacing w:val="-2"/>
          <w:sz w:val="24"/>
          <w:szCs w:val="24"/>
        </w:rPr>
        <w:t>区造成的污染等。</w:t>
      </w:r>
    </w:p>
    <w:p>
      <w:pPr>
        <w:spacing w:before="181" w:line="219"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）农村面源污染汇入库区造成的污染等。</w:t>
      </w:r>
    </w:p>
    <w:p>
      <w:pPr>
        <w:spacing w:before="182" w:line="220" w:lineRule="auto"/>
        <w:jc w:val="right"/>
        <w:rPr>
          <w:rFonts w:ascii="宋体" w:hAnsi="宋体" w:eastAsia="宋体" w:cs="宋体"/>
          <w:sz w:val="24"/>
          <w:szCs w:val="24"/>
        </w:rPr>
      </w:pPr>
      <w:r>
        <w:rPr>
          <w:rFonts w:ascii="宋体" w:hAnsi="宋体" w:eastAsia="宋体" w:cs="宋体"/>
          <w:spacing w:val="-1"/>
          <w:sz w:val="24"/>
          <w:szCs w:val="24"/>
        </w:rPr>
        <w:t>水库上游区域农业面源污染物随降雨冲刷进入水库，导致水库富营养化等。</w:t>
      </w:r>
    </w:p>
    <w:p>
      <w:pPr>
        <w:spacing w:line="430" w:lineRule="auto"/>
        <w:rPr>
          <w:rFonts w:ascii="Arial"/>
          <w:sz w:val="21"/>
        </w:rPr>
      </w:pPr>
    </w:p>
    <w:p>
      <w:pPr>
        <w:pStyle w:val="2"/>
        <w:spacing w:before="78" w:line="232" w:lineRule="auto"/>
        <w:ind w:left="38"/>
        <w:outlineLvl w:val="3"/>
        <w:rPr>
          <w:sz w:val="24"/>
          <w:szCs w:val="24"/>
        </w:rPr>
      </w:pPr>
      <w:r>
        <w:rPr>
          <w:rFonts w:ascii="Times New Roman" w:hAnsi="Times New Roman" w:eastAsia="Times New Roman" w:cs="Times New Roman"/>
          <w:b/>
          <w:bCs/>
          <w:spacing w:val="-1"/>
          <w:sz w:val="24"/>
          <w:szCs w:val="24"/>
        </w:rPr>
        <w:t xml:space="preserve">5.2.3 </w:t>
      </w:r>
      <w:r>
        <w:rPr>
          <w:spacing w:val="-1"/>
          <w:sz w:val="24"/>
          <w:szCs w:val="24"/>
          <w14:textOutline w14:w="4354" w14:cap="flat" w14:cmpd="sng">
            <w14:solidFill>
              <w14:srgbClr w14:val="000000"/>
            </w14:solidFill>
            <w14:prstDash w14:val="solid"/>
            <w14:miter w14:val="0"/>
          </w14:textOutline>
        </w:rPr>
        <w:t>风险防范措施</w:t>
      </w:r>
    </w:p>
    <w:p>
      <w:pPr>
        <w:spacing w:before="200" w:line="219"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）建议当地政府依法划定饮用水源保护区。</w:t>
      </w:r>
    </w:p>
    <w:p>
      <w:pPr>
        <w:spacing w:before="183" w:line="359" w:lineRule="auto"/>
        <w:ind w:left="38" w:right="86" w:firstLine="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）禁止在库区开展养殖业；禁止在水库径流区范围内</w:t>
      </w:r>
      <w:r>
        <w:rPr>
          <w:rFonts w:ascii="宋体" w:hAnsi="宋体" w:eastAsia="宋体" w:cs="宋体"/>
          <w:spacing w:val="-4"/>
          <w:sz w:val="24"/>
          <w:szCs w:val="24"/>
        </w:rPr>
        <w:t>设置排污口； 禁止</w:t>
      </w:r>
      <w:r>
        <w:rPr>
          <w:rFonts w:ascii="宋体" w:hAnsi="宋体" w:eastAsia="宋体" w:cs="宋体"/>
          <w:sz w:val="24"/>
          <w:szCs w:val="24"/>
        </w:rPr>
        <w:t xml:space="preserve"> </w:t>
      </w:r>
      <w:r>
        <w:rPr>
          <w:rFonts w:ascii="宋体" w:hAnsi="宋体" w:eastAsia="宋体" w:cs="宋体"/>
          <w:spacing w:val="-7"/>
          <w:sz w:val="24"/>
          <w:szCs w:val="24"/>
        </w:rPr>
        <w:t>在库区上游堆置和存放工业废渣、城市垃圾、粪便和其他</w:t>
      </w:r>
      <w:r>
        <w:rPr>
          <w:rFonts w:ascii="宋体" w:hAnsi="宋体" w:eastAsia="宋体" w:cs="宋体"/>
          <w:spacing w:val="-8"/>
          <w:sz w:val="24"/>
          <w:szCs w:val="24"/>
        </w:rPr>
        <w:t>废弃物；</w:t>
      </w:r>
      <w:r>
        <w:rPr>
          <w:rFonts w:ascii="宋体" w:hAnsi="宋体" w:eastAsia="宋体" w:cs="宋体"/>
          <w:spacing w:val="33"/>
          <w:sz w:val="24"/>
          <w:szCs w:val="24"/>
        </w:rPr>
        <w:t xml:space="preserve"> </w:t>
      </w:r>
      <w:r>
        <w:rPr>
          <w:rFonts w:ascii="宋体" w:hAnsi="宋体" w:eastAsia="宋体" w:cs="宋体"/>
          <w:spacing w:val="-8"/>
          <w:sz w:val="24"/>
          <w:szCs w:val="24"/>
        </w:rPr>
        <w:t>禁止在水库上</w:t>
      </w:r>
    </w:p>
    <w:p>
      <w:pPr>
        <w:spacing w:before="1" w:line="218" w:lineRule="auto"/>
        <w:ind w:left="39"/>
        <w:rPr>
          <w:rFonts w:ascii="宋体" w:hAnsi="宋体" w:eastAsia="宋体" w:cs="宋体"/>
          <w:sz w:val="24"/>
          <w:szCs w:val="24"/>
        </w:rPr>
      </w:pPr>
      <w:r>
        <w:rPr>
          <w:rFonts w:ascii="宋体" w:hAnsi="宋体" w:eastAsia="宋体" w:cs="宋体"/>
          <w:spacing w:val="-6"/>
          <w:sz w:val="24"/>
          <w:szCs w:val="24"/>
        </w:rPr>
        <w:t>游非法采沙。</w:t>
      </w:r>
    </w:p>
    <w:p>
      <w:pPr>
        <w:spacing w:before="182" w:line="467" w:lineRule="exact"/>
        <w:ind w:left="525"/>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3</w:t>
      </w:r>
      <w:r>
        <w:rPr>
          <w:rFonts w:ascii="宋体" w:hAnsi="宋体" w:eastAsia="宋体" w:cs="宋体"/>
          <w:spacing w:val="-1"/>
          <w:position w:val="17"/>
          <w:sz w:val="24"/>
          <w:szCs w:val="24"/>
        </w:rPr>
        <w:t>）加强水库水质的监测，积极预防水体污染，</w:t>
      </w:r>
      <w:r>
        <w:rPr>
          <w:rFonts w:ascii="宋体" w:hAnsi="宋体" w:eastAsia="宋体" w:cs="宋体"/>
          <w:spacing w:val="-2"/>
          <w:position w:val="17"/>
          <w:sz w:val="24"/>
          <w:szCs w:val="24"/>
        </w:rPr>
        <w:t>建立健全预警预报系统。</w:t>
      </w:r>
    </w:p>
    <w:p>
      <w:pPr>
        <w:spacing w:before="1" w:line="219"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）加强水库区的巡查、巡检，及时处理发现问题。</w:t>
      </w:r>
    </w:p>
    <w:p>
      <w:pPr>
        <w:spacing w:line="430"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5.2.4 </w:t>
      </w:r>
      <w:r>
        <w:rPr>
          <w:spacing w:val="-1"/>
          <w:sz w:val="24"/>
          <w:szCs w:val="24"/>
          <w14:textOutline w14:w="4354" w14:cap="flat" w14:cmpd="sng">
            <w14:solidFill>
              <w14:srgbClr w14:val="000000"/>
            </w14:solidFill>
            <w14:prstDash w14:val="solid"/>
            <w14:miter w14:val="0"/>
          </w14:textOutline>
        </w:rPr>
        <w:t>环境风险事故应急预案</w:t>
      </w:r>
    </w:p>
    <w:p>
      <w:pPr>
        <w:spacing w:before="200"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）应急组织机构及人员配备</w:t>
      </w:r>
    </w:p>
    <w:p>
      <w:pPr>
        <w:spacing w:before="183" w:line="359" w:lineRule="auto"/>
        <w:ind w:left="39" w:right="86" w:firstLine="482"/>
        <w:rPr>
          <w:rFonts w:ascii="宋体" w:hAnsi="宋体" w:eastAsia="宋体" w:cs="宋体"/>
          <w:sz w:val="24"/>
          <w:szCs w:val="24"/>
        </w:rPr>
      </w:pPr>
      <w:r>
        <w:rPr>
          <w:rFonts w:ascii="宋体" w:hAnsi="宋体" w:eastAsia="宋体" w:cs="宋体"/>
          <w:spacing w:val="-17"/>
          <w:sz w:val="24"/>
          <w:szCs w:val="24"/>
        </w:rPr>
        <w:t>水库管理局下设环境应急机构，</w:t>
      </w:r>
      <w:r>
        <w:rPr>
          <w:rFonts w:ascii="宋体" w:hAnsi="宋体" w:eastAsia="宋体" w:cs="宋体"/>
          <w:spacing w:val="28"/>
          <w:sz w:val="24"/>
          <w:szCs w:val="24"/>
        </w:rPr>
        <w:t xml:space="preserve"> </w:t>
      </w:r>
      <w:r>
        <w:rPr>
          <w:rFonts w:ascii="宋体" w:hAnsi="宋体" w:eastAsia="宋体" w:cs="宋体"/>
          <w:spacing w:val="-17"/>
          <w:sz w:val="24"/>
          <w:szCs w:val="24"/>
        </w:rPr>
        <w:t>对机构成员定职定岗，</w:t>
      </w:r>
      <w:r>
        <w:rPr>
          <w:rFonts w:ascii="宋体" w:hAnsi="宋体" w:eastAsia="宋体" w:cs="宋体"/>
          <w:spacing w:val="36"/>
          <w:sz w:val="24"/>
          <w:szCs w:val="24"/>
        </w:rPr>
        <w:t xml:space="preserve"> </w:t>
      </w:r>
      <w:r>
        <w:rPr>
          <w:rFonts w:ascii="宋体" w:hAnsi="宋体" w:eastAsia="宋体" w:cs="宋体"/>
          <w:spacing w:val="-17"/>
          <w:sz w:val="24"/>
          <w:szCs w:val="24"/>
        </w:rPr>
        <w:t>并</w:t>
      </w:r>
      <w:r>
        <w:rPr>
          <w:rFonts w:ascii="宋体" w:hAnsi="宋体" w:eastAsia="宋体" w:cs="宋体"/>
          <w:spacing w:val="-18"/>
          <w:sz w:val="24"/>
          <w:szCs w:val="24"/>
        </w:rPr>
        <w:t>建立值班制度；</w:t>
      </w:r>
      <w:r>
        <w:rPr>
          <w:rFonts w:ascii="宋体" w:hAnsi="宋体" w:eastAsia="宋体" w:cs="宋体"/>
          <w:spacing w:val="38"/>
          <w:sz w:val="24"/>
          <w:szCs w:val="24"/>
        </w:rPr>
        <w:t xml:space="preserve"> </w:t>
      </w:r>
      <w:r>
        <w:rPr>
          <w:rFonts w:ascii="宋体" w:hAnsi="宋体" w:eastAsia="宋体" w:cs="宋体"/>
          <w:spacing w:val="-18"/>
          <w:sz w:val="24"/>
          <w:szCs w:val="24"/>
        </w:rPr>
        <w:t>安</w:t>
      </w:r>
      <w:r>
        <w:rPr>
          <w:rFonts w:ascii="宋体" w:hAnsi="宋体" w:eastAsia="宋体" w:cs="宋体"/>
          <w:sz w:val="24"/>
          <w:szCs w:val="24"/>
        </w:rPr>
        <w:t xml:space="preserve"> </w:t>
      </w:r>
      <w:r>
        <w:rPr>
          <w:rFonts w:ascii="宋体" w:hAnsi="宋体" w:eastAsia="宋体" w:cs="宋体"/>
          <w:spacing w:val="-6"/>
          <w:sz w:val="24"/>
          <w:szCs w:val="24"/>
        </w:rPr>
        <w:t>排专门人员对风险源进行常规巡视、管理和监测；</w:t>
      </w:r>
      <w:r>
        <w:rPr>
          <w:rFonts w:ascii="宋体" w:hAnsi="宋体" w:eastAsia="宋体" w:cs="宋体"/>
          <w:spacing w:val="-14"/>
          <w:sz w:val="24"/>
          <w:szCs w:val="24"/>
        </w:rPr>
        <w:t xml:space="preserve"> </w:t>
      </w:r>
      <w:r>
        <w:rPr>
          <w:rFonts w:ascii="宋体" w:hAnsi="宋体" w:eastAsia="宋体" w:cs="宋体"/>
          <w:spacing w:val="-6"/>
          <w:sz w:val="24"/>
          <w:szCs w:val="24"/>
        </w:rPr>
        <w:t>环境应急机构的专职人员进行</w:t>
      </w:r>
    </w:p>
    <w:p>
      <w:pPr>
        <w:spacing w:line="220" w:lineRule="auto"/>
        <w:ind w:left="40"/>
        <w:rPr>
          <w:rFonts w:ascii="宋体" w:hAnsi="宋体" w:eastAsia="宋体" w:cs="宋体"/>
          <w:sz w:val="24"/>
          <w:szCs w:val="24"/>
        </w:rPr>
      </w:pPr>
      <w:r>
        <w:rPr>
          <w:rFonts w:ascii="宋体" w:hAnsi="宋体" w:eastAsia="宋体" w:cs="宋体"/>
          <w:spacing w:val="-9"/>
          <w:sz w:val="24"/>
          <w:szCs w:val="24"/>
        </w:rPr>
        <w:t>专业培训，</w:t>
      </w:r>
      <w:r>
        <w:rPr>
          <w:rFonts w:ascii="宋体" w:hAnsi="宋体" w:eastAsia="宋体" w:cs="宋体"/>
          <w:spacing w:val="28"/>
          <w:sz w:val="24"/>
          <w:szCs w:val="24"/>
        </w:rPr>
        <w:t xml:space="preserve"> </w:t>
      </w:r>
      <w:r>
        <w:rPr>
          <w:rFonts w:ascii="宋体" w:hAnsi="宋体" w:eastAsia="宋体" w:cs="宋体"/>
          <w:spacing w:val="-9"/>
          <w:sz w:val="24"/>
          <w:szCs w:val="24"/>
        </w:rPr>
        <w:t>必要时进行有规划的环境应急演练。</w:t>
      </w:r>
    </w:p>
    <w:p>
      <w:pPr>
        <w:spacing w:before="181" w:line="221"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）应急通讯联络方式</w:t>
      </w:r>
    </w:p>
    <w:p>
      <w:pPr>
        <w:spacing w:before="179" w:line="359" w:lineRule="auto"/>
        <w:ind w:left="42" w:right="85" w:firstLine="476"/>
        <w:rPr>
          <w:rFonts w:ascii="宋体" w:hAnsi="宋体" w:eastAsia="宋体" w:cs="宋体"/>
          <w:sz w:val="24"/>
          <w:szCs w:val="24"/>
        </w:rPr>
      </w:pPr>
      <w:r>
        <w:rPr>
          <w:rFonts w:ascii="宋体" w:hAnsi="宋体" w:eastAsia="宋体" w:cs="宋体"/>
          <w:spacing w:val="-3"/>
          <w:sz w:val="24"/>
          <w:szCs w:val="24"/>
        </w:rPr>
        <w:t>在环境风险应急机构设置固定电话和无线通讯系统（移动网络已覆</w:t>
      </w:r>
      <w:r>
        <w:rPr>
          <w:rFonts w:ascii="宋体" w:hAnsi="宋体" w:eastAsia="宋体" w:cs="宋体"/>
          <w:spacing w:val="-4"/>
          <w:sz w:val="24"/>
          <w:szCs w:val="24"/>
        </w:rPr>
        <w:t>盖本工程</w:t>
      </w:r>
      <w:r>
        <w:rPr>
          <w:rFonts w:ascii="宋体" w:hAnsi="宋体" w:eastAsia="宋体" w:cs="宋体"/>
          <w:sz w:val="24"/>
          <w:szCs w:val="24"/>
        </w:rPr>
        <w:t xml:space="preserve"> 区</w:t>
      </w:r>
      <w:r>
        <w:rPr>
          <w:rFonts w:ascii="宋体" w:hAnsi="宋体" w:eastAsia="宋体" w:cs="宋体"/>
          <w:spacing w:val="-51"/>
          <w:sz w:val="24"/>
          <w:szCs w:val="24"/>
        </w:rPr>
        <w:t>），</w:t>
      </w:r>
      <w:r>
        <w:rPr>
          <w:rFonts w:ascii="宋体" w:hAnsi="宋体" w:eastAsia="宋体" w:cs="宋体"/>
          <w:sz w:val="24"/>
          <w:szCs w:val="24"/>
        </w:rPr>
        <w:t>并且加强与大姚县政府及县环保、林业、水务、消防、疾控中</w:t>
      </w:r>
      <w:r>
        <w:rPr>
          <w:rFonts w:ascii="宋体" w:hAnsi="宋体" w:eastAsia="宋体" w:cs="宋体"/>
          <w:spacing w:val="-1"/>
          <w:sz w:val="24"/>
          <w:szCs w:val="24"/>
        </w:rPr>
        <w:t>心、医疗机</w:t>
      </w:r>
      <w:r>
        <w:rPr>
          <w:rFonts w:ascii="宋体" w:hAnsi="宋体" w:eastAsia="宋体" w:cs="宋体"/>
          <w:sz w:val="24"/>
          <w:szCs w:val="24"/>
        </w:rPr>
        <w:t xml:space="preserve"> </w:t>
      </w:r>
      <w:r>
        <w:rPr>
          <w:rFonts w:ascii="宋体" w:hAnsi="宋体" w:eastAsia="宋体" w:cs="宋体"/>
          <w:spacing w:val="-15"/>
          <w:sz w:val="24"/>
          <w:szCs w:val="24"/>
        </w:rPr>
        <w:t>构等的沟通协调，</w:t>
      </w:r>
      <w:r>
        <w:rPr>
          <w:rFonts w:ascii="宋体" w:hAnsi="宋体" w:eastAsia="宋体" w:cs="宋体"/>
          <w:spacing w:val="41"/>
          <w:sz w:val="24"/>
          <w:szCs w:val="24"/>
        </w:rPr>
        <w:t xml:space="preserve"> </w:t>
      </w:r>
      <w:r>
        <w:rPr>
          <w:rFonts w:ascii="宋体" w:hAnsi="宋体" w:eastAsia="宋体" w:cs="宋体"/>
          <w:spacing w:val="-15"/>
          <w:sz w:val="24"/>
          <w:szCs w:val="24"/>
        </w:rPr>
        <w:t>一旦发生风险事故，</w:t>
      </w:r>
      <w:r>
        <w:rPr>
          <w:rFonts w:ascii="宋体" w:hAnsi="宋体" w:eastAsia="宋体" w:cs="宋体"/>
          <w:spacing w:val="37"/>
          <w:sz w:val="24"/>
          <w:szCs w:val="24"/>
        </w:rPr>
        <w:t xml:space="preserve"> </w:t>
      </w:r>
      <w:r>
        <w:rPr>
          <w:rFonts w:ascii="宋体" w:hAnsi="宋体" w:eastAsia="宋体" w:cs="宋体"/>
          <w:spacing w:val="-15"/>
          <w:sz w:val="24"/>
          <w:szCs w:val="24"/>
        </w:rPr>
        <w:t>环境应急机构负责人（或值班</w:t>
      </w:r>
      <w:r>
        <w:rPr>
          <w:rFonts w:ascii="宋体" w:hAnsi="宋体" w:eastAsia="宋体" w:cs="宋体"/>
          <w:spacing w:val="-16"/>
          <w:sz w:val="24"/>
          <w:szCs w:val="24"/>
        </w:rPr>
        <w:t>人员） 应立</w:t>
      </w:r>
    </w:p>
    <w:p>
      <w:pPr>
        <w:spacing w:before="2" w:line="218" w:lineRule="auto"/>
        <w:ind w:left="57"/>
        <w:rPr>
          <w:rFonts w:ascii="宋体" w:hAnsi="宋体" w:eastAsia="宋体" w:cs="宋体"/>
          <w:sz w:val="24"/>
          <w:szCs w:val="24"/>
        </w:rPr>
      </w:pPr>
      <w:r>
        <w:rPr>
          <w:rFonts w:ascii="宋体" w:hAnsi="宋体" w:eastAsia="宋体" w:cs="宋体"/>
          <w:spacing w:val="-2"/>
          <w:sz w:val="24"/>
          <w:szCs w:val="24"/>
        </w:rPr>
        <w:t>即向水库环境管理机构及行政主管部门汇报，并启动应</w:t>
      </w:r>
      <w:r>
        <w:rPr>
          <w:rFonts w:ascii="宋体" w:hAnsi="宋体" w:eastAsia="宋体" w:cs="宋体"/>
          <w:spacing w:val="-3"/>
          <w:sz w:val="24"/>
          <w:szCs w:val="24"/>
        </w:rPr>
        <w:t>急预案。</w:t>
      </w:r>
    </w:p>
    <w:p>
      <w:pPr>
        <w:spacing w:before="181"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）应急预案的编制</w:t>
      </w:r>
    </w:p>
    <w:p>
      <w:pPr>
        <w:spacing w:before="182" w:line="467" w:lineRule="exact"/>
        <w:ind w:left="548"/>
        <w:rPr>
          <w:rFonts w:ascii="宋体" w:hAnsi="宋体" w:eastAsia="宋体" w:cs="宋体"/>
          <w:sz w:val="24"/>
          <w:szCs w:val="24"/>
        </w:rPr>
      </w:pPr>
      <w:r>
        <w:rPr>
          <w:rFonts w:ascii="宋体" w:hAnsi="宋体" w:eastAsia="宋体" w:cs="宋体"/>
          <w:spacing w:val="-4"/>
          <w:position w:val="17"/>
          <w:sz w:val="24"/>
          <w:szCs w:val="24"/>
        </w:rPr>
        <w:t>由项目建设管理局或其上级主管部门组织编制风险事故应急预案。一旦发生</w:t>
      </w:r>
    </w:p>
    <w:p>
      <w:pPr>
        <w:spacing w:before="1" w:line="219" w:lineRule="auto"/>
        <w:ind w:left="40"/>
        <w:rPr>
          <w:rFonts w:ascii="宋体" w:hAnsi="宋体" w:eastAsia="宋体" w:cs="宋体"/>
          <w:sz w:val="24"/>
          <w:szCs w:val="24"/>
        </w:rPr>
      </w:pPr>
      <w:r>
        <w:rPr>
          <w:rFonts w:ascii="宋体" w:hAnsi="宋体" w:eastAsia="宋体" w:cs="宋体"/>
          <w:spacing w:val="-2"/>
          <w:sz w:val="24"/>
          <w:szCs w:val="24"/>
        </w:rPr>
        <w:t>风险事故，应立即启动应急预案措施，将危害和损失降至最低。</w:t>
      </w:r>
    </w:p>
    <w:p>
      <w:pPr>
        <w:spacing w:line="219" w:lineRule="auto"/>
        <w:rPr>
          <w:rFonts w:ascii="宋体" w:hAnsi="宋体" w:eastAsia="宋体" w:cs="宋体"/>
          <w:sz w:val="24"/>
          <w:szCs w:val="24"/>
        </w:rPr>
        <w:sectPr>
          <w:headerReference r:id="rId433" w:type="default"/>
          <w:footerReference r:id="rId434" w:type="default"/>
          <w:pgSz w:w="11907" w:h="16839"/>
          <w:pgMar w:top="1156" w:right="1713" w:bottom="1374" w:left="1770" w:header="881" w:footer="1210" w:gutter="0"/>
        </w:sectPr>
      </w:pPr>
    </w:p>
    <w:p>
      <w:pPr>
        <w:spacing w:line="412"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5.2.5 </w:t>
      </w:r>
      <w:r>
        <w:rPr>
          <w:spacing w:val="-1"/>
          <w:sz w:val="24"/>
          <w:szCs w:val="24"/>
          <w14:textOutline w14:w="4354" w14:cap="flat" w14:cmpd="sng">
            <w14:solidFill>
              <w14:srgbClr w14:val="000000"/>
            </w14:solidFill>
            <w14:prstDash w14:val="solid"/>
            <w14:miter w14:val="0"/>
          </w14:textOutline>
        </w:rPr>
        <w:t>环境风险分析结论</w:t>
      </w:r>
    </w:p>
    <w:p>
      <w:pPr>
        <w:spacing w:before="199" w:line="359" w:lineRule="auto"/>
        <w:ind w:left="59" w:right="29" w:firstLine="463"/>
        <w:jc w:val="both"/>
        <w:rPr>
          <w:rFonts w:ascii="宋体" w:hAnsi="宋体" w:eastAsia="宋体" w:cs="宋体"/>
          <w:sz w:val="24"/>
          <w:szCs w:val="24"/>
        </w:rPr>
      </w:pPr>
      <w:r>
        <w:rPr>
          <w:rFonts w:ascii="宋体" w:hAnsi="宋体" w:eastAsia="宋体" w:cs="宋体"/>
          <w:spacing w:val="-13"/>
          <w:sz w:val="24"/>
          <w:szCs w:val="24"/>
        </w:rPr>
        <w:t>综上所述， 项目运行过程中存在一定的环境风险，</w:t>
      </w:r>
      <w:r>
        <w:rPr>
          <w:rFonts w:ascii="宋体" w:hAnsi="宋体" w:eastAsia="宋体" w:cs="宋体"/>
          <w:spacing w:val="28"/>
          <w:sz w:val="24"/>
          <w:szCs w:val="24"/>
        </w:rPr>
        <w:t xml:space="preserve"> </w:t>
      </w:r>
      <w:r>
        <w:rPr>
          <w:rFonts w:ascii="宋体" w:hAnsi="宋体" w:eastAsia="宋体" w:cs="宋体"/>
          <w:spacing w:val="-13"/>
          <w:sz w:val="24"/>
          <w:szCs w:val="24"/>
        </w:rPr>
        <w:t>但在加强管理，</w:t>
      </w:r>
      <w:r>
        <w:rPr>
          <w:rFonts w:ascii="宋体" w:hAnsi="宋体" w:eastAsia="宋体" w:cs="宋体"/>
          <w:spacing w:val="-53"/>
          <w:sz w:val="24"/>
          <w:szCs w:val="24"/>
        </w:rPr>
        <w:t xml:space="preserve"> </w:t>
      </w:r>
      <w:r>
        <w:rPr>
          <w:rFonts w:ascii="宋体" w:hAnsi="宋体" w:eastAsia="宋体" w:cs="宋体"/>
          <w:spacing w:val="-13"/>
          <w:sz w:val="24"/>
          <w:szCs w:val="24"/>
        </w:rPr>
        <w:t>建立健全</w:t>
      </w:r>
      <w:r>
        <w:rPr>
          <w:rFonts w:ascii="宋体" w:hAnsi="宋体" w:eastAsia="宋体" w:cs="宋体"/>
          <w:sz w:val="24"/>
          <w:szCs w:val="24"/>
        </w:rPr>
        <w:t xml:space="preserve"> </w:t>
      </w:r>
      <w:r>
        <w:rPr>
          <w:rFonts w:ascii="宋体" w:hAnsi="宋体" w:eastAsia="宋体" w:cs="宋体"/>
          <w:spacing w:val="-10"/>
          <w:sz w:val="24"/>
          <w:szCs w:val="24"/>
        </w:rPr>
        <w:t>的防范措施和应急预案， 并予以认真落实和实施的基础上， 本工程项目的环境风</w:t>
      </w:r>
    </w:p>
    <w:p>
      <w:pPr>
        <w:spacing w:line="220" w:lineRule="auto"/>
        <w:ind w:left="52"/>
        <w:rPr>
          <w:rFonts w:ascii="宋体" w:hAnsi="宋体" w:eastAsia="宋体" w:cs="宋体"/>
          <w:sz w:val="24"/>
          <w:szCs w:val="24"/>
        </w:rPr>
      </w:pPr>
      <w:r>
        <w:rPr>
          <w:rFonts w:ascii="宋体" w:hAnsi="宋体" w:eastAsia="宋体" w:cs="宋体"/>
          <w:spacing w:val="-7"/>
          <w:sz w:val="24"/>
          <w:szCs w:val="24"/>
        </w:rPr>
        <w:t>险是可以接受的。</w:t>
      </w:r>
    </w:p>
    <w:p>
      <w:pPr>
        <w:spacing w:line="220" w:lineRule="auto"/>
        <w:rPr>
          <w:rFonts w:ascii="宋体" w:hAnsi="宋体" w:eastAsia="宋体" w:cs="宋体"/>
          <w:sz w:val="24"/>
          <w:szCs w:val="24"/>
        </w:rPr>
        <w:sectPr>
          <w:headerReference r:id="rId435" w:type="default"/>
          <w:footerReference r:id="rId436" w:type="default"/>
          <w:pgSz w:w="11907" w:h="16839"/>
          <w:pgMar w:top="1156" w:right="1768" w:bottom="1374" w:left="1770" w:header="881" w:footer="1210" w:gutter="0"/>
        </w:sectPr>
      </w:pPr>
    </w:p>
    <w:p>
      <w:pPr>
        <w:spacing w:line="248" w:lineRule="auto"/>
        <w:rPr>
          <w:rFonts w:ascii="Arial"/>
          <w:sz w:val="21"/>
        </w:rPr>
      </w:pPr>
    </w:p>
    <w:p>
      <w:pPr>
        <w:spacing w:line="248" w:lineRule="auto"/>
        <w:rPr>
          <w:rFonts w:ascii="Arial"/>
          <w:sz w:val="21"/>
        </w:rPr>
      </w:pPr>
    </w:p>
    <w:p>
      <w:pPr>
        <w:pStyle w:val="2"/>
        <w:spacing w:before="98" w:line="233" w:lineRule="auto"/>
        <w:ind w:left="3128"/>
        <w:rPr>
          <w:sz w:val="30"/>
          <w:szCs w:val="30"/>
        </w:rPr>
      </w:pPr>
      <w:bookmarkStart w:id="38" w:name="bookmark39"/>
      <w:bookmarkEnd w:id="38"/>
      <w:bookmarkStart w:id="39" w:name="bookmark40"/>
      <w:bookmarkEnd w:id="39"/>
      <w:r>
        <w:rPr>
          <w:rFonts w:ascii="Times New Roman" w:hAnsi="Times New Roman" w:eastAsia="Times New Roman" w:cs="Times New Roman"/>
          <w:b/>
          <w:bCs/>
          <w:spacing w:val="12"/>
          <w:sz w:val="30"/>
          <w:szCs w:val="30"/>
        </w:rPr>
        <w:t xml:space="preserve">‘ </w:t>
      </w:r>
      <w:r>
        <w:rPr>
          <w:spacing w:val="12"/>
          <w:sz w:val="30"/>
          <w:szCs w:val="30"/>
          <w14:textOutline w14:w="5442" w14:cap="flat" w14:cmpd="sng">
            <w14:solidFill>
              <w14:srgbClr w14:val="000000"/>
            </w14:solidFill>
            <w14:prstDash w14:val="solid"/>
            <w14:miter w14:val="0"/>
          </w14:textOutline>
        </w:rPr>
        <w:t>环境保护措施</w:t>
      </w:r>
    </w:p>
    <w:p>
      <w:pPr>
        <w:pStyle w:val="2"/>
        <w:spacing w:before="314"/>
        <w:ind w:left="40"/>
        <w:outlineLvl w:val="2"/>
        <w:rPr>
          <w:sz w:val="27"/>
          <w:szCs w:val="27"/>
        </w:rPr>
      </w:pPr>
      <w:r>
        <w:rPr>
          <w:rFonts w:ascii="Times New Roman" w:hAnsi="Times New Roman" w:eastAsia="Times New Roman" w:cs="Times New Roman"/>
          <w:b/>
          <w:bCs/>
          <w:spacing w:val="7"/>
          <w:sz w:val="27"/>
          <w:szCs w:val="27"/>
        </w:rPr>
        <w:t xml:space="preserve">6.1 </w:t>
      </w:r>
      <w:r>
        <w:rPr>
          <w:spacing w:val="7"/>
          <w:sz w:val="27"/>
          <w:szCs w:val="27"/>
          <w14:textOutline w14:w="5072" w14:cap="flat" w14:cmpd="sng">
            <w14:solidFill>
              <w14:srgbClr w14:val="000000"/>
            </w14:solidFill>
            <w14:prstDash w14:val="solid"/>
            <w14:miter w14:val="0"/>
          </w14:textOutline>
        </w:rPr>
        <w:t>生态环境保护措施</w:t>
      </w:r>
    </w:p>
    <w:p>
      <w:pPr>
        <w:spacing w:line="281" w:lineRule="auto"/>
        <w:rPr>
          <w:rFonts w:ascii="Arial"/>
          <w:sz w:val="21"/>
        </w:rPr>
      </w:pPr>
    </w:p>
    <w:p>
      <w:pPr>
        <w:pStyle w:val="2"/>
        <w:spacing w:before="78" w:line="220" w:lineRule="auto"/>
        <w:ind w:left="38"/>
        <w:outlineLvl w:val="3"/>
        <w:rPr>
          <w:sz w:val="24"/>
          <w:szCs w:val="24"/>
        </w:rPr>
      </w:pPr>
      <w:r>
        <w:rPr>
          <w:rFonts w:ascii="Times New Roman" w:hAnsi="Times New Roman" w:eastAsia="Times New Roman" w:cs="Times New Roman"/>
          <w:b/>
          <w:bCs/>
          <w:spacing w:val="-1"/>
          <w:sz w:val="24"/>
          <w:szCs w:val="24"/>
        </w:rPr>
        <w:t xml:space="preserve">6.1.1 </w:t>
      </w:r>
      <w:r>
        <w:rPr>
          <w:spacing w:val="-1"/>
          <w:sz w:val="24"/>
          <w:szCs w:val="24"/>
          <w14:textOutline w14:w="4354" w14:cap="flat" w14:cmpd="sng">
            <w14:solidFill>
              <w14:srgbClr w14:val="000000"/>
            </w14:solidFill>
            <w14:prstDash w14:val="solid"/>
            <w14:miter w14:val="0"/>
          </w14:textOutline>
        </w:rPr>
        <w:t>避让措施</w:t>
      </w:r>
    </w:p>
    <w:p>
      <w:pPr>
        <w:spacing w:before="214"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）优化施工组织设计，减少征占地，减少对</w:t>
      </w:r>
      <w:r>
        <w:rPr>
          <w:rFonts w:ascii="宋体" w:hAnsi="宋体" w:eastAsia="宋体" w:cs="宋体"/>
          <w:spacing w:val="-2"/>
          <w:sz w:val="24"/>
          <w:szCs w:val="24"/>
        </w:rPr>
        <w:t>植被、景观的破坏。</w:t>
      </w:r>
    </w:p>
    <w:p>
      <w:pPr>
        <w:spacing w:before="181" w:line="359" w:lineRule="auto"/>
        <w:ind w:left="41" w:right="66"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）施工人员必须遵守《中华人民共和国野生动物保护法》和《云南省野</w:t>
      </w:r>
      <w:r>
        <w:rPr>
          <w:rFonts w:ascii="宋体" w:hAnsi="宋体" w:eastAsia="宋体" w:cs="宋体"/>
          <w:spacing w:val="5"/>
          <w:sz w:val="24"/>
          <w:szCs w:val="24"/>
        </w:rPr>
        <w:t xml:space="preserve"> </w:t>
      </w:r>
      <w:r>
        <w:rPr>
          <w:rFonts w:ascii="宋体" w:hAnsi="宋体" w:eastAsia="宋体" w:cs="宋体"/>
          <w:spacing w:val="-6"/>
          <w:sz w:val="24"/>
          <w:szCs w:val="24"/>
        </w:rPr>
        <w:t>生动物保护法》，严禁在施工区及其猎捕和食用野生动物，</w:t>
      </w:r>
      <w:r>
        <w:rPr>
          <w:rFonts w:ascii="宋体" w:hAnsi="宋体" w:eastAsia="宋体" w:cs="宋体"/>
          <w:spacing w:val="-18"/>
          <w:sz w:val="24"/>
          <w:szCs w:val="24"/>
        </w:rPr>
        <w:t xml:space="preserve"> </w:t>
      </w:r>
      <w:r>
        <w:rPr>
          <w:rFonts w:ascii="宋体" w:hAnsi="宋体" w:eastAsia="宋体" w:cs="宋体"/>
          <w:spacing w:val="-6"/>
          <w:sz w:val="24"/>
          <w:szCs w:val="24"/>
        </w:rPr>
        <w:t>特别是国家和云南省</w:t>
      </w:r>
    </w:p>
    <w:p>
      <w:pPr>
        <w:spacing w:line="220" w:lineRule="auto"/>
        <w:ind w:left="40"/>
        <w:rPr>
          <w:rFonts w:ascii="宋体" w:hAnsi="宋体" w:eastAsia="宋体" w:cs="宋体"/>
          <w:sz w:val="24"/>
          <w:szCs w:val="24"/>
        </w:rPr>
      </w:pPr>
      <w:r>
        <w:rPr>
          <w:rFonts w:ascii="宋体" w:hAnsi="宋体" w:eastAsia="宋体" w:cs="宋体"/>
          <w:spacing w:val="-5"/>
          <w:sz w:val="24"/>
          <w:szCs w:val="24"/>
        </w:rPr>
        <w:t>重点保护野生动物。</w:t>
      </w:r>
    </w:p>
    <w:p>
      <w:pPr>
        <w:spacing w:before="180"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）严格按照划定范围施工，禁止滥砍滥伐。</w:t>
      </w:r>
    </w:p>
    <w:p>
      <w:pPr>
        <w:spacing w:before="182" w:line="466" w:lineRule="exact"/>
        <w:ind w:right="66"/>
        <w:jc w:val="right"/>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4</w:t>
      </w:r>
      <w:r>
        <w:rPr>
          <w:rFonts w:ascii="宋体" w:hAnsi="宋体" w:eastAsia="宋体" w:cs="宋体"/>
          <w:position w:val="17"/>
          <w:sz w:val="24"/>
          <w:szCs w:val="24"/>
        </w:rPr>
        <w:t>）对在施工中遇到的鸟、蛇等动物的卵（蛋）一定要交保护所的专业人</w:t>
      </w:r>
    </w:p>
    <w:p>
      <w:pPr>
        <w:spacing w:before="2" w:line="220" w:lineRule="auto"/>
        <w:ind w:left="48"/>
        <w:rPr>
          <w:rFonts w:ascii="宋体" w:hAnsi="宋体" w:eastAsia="宋体" w:cs="宋体"/>
          <w:sz w:val="24"/>
          <w:szCs w:val="24"/>
        </w:rPr>
      </w:pPr>
      <w:r>
        <w:rPr>
          <w:rFonts w:ascii="宋体" w:hAnsi="宋体" w:eastAsia="宋体" w:cs="宋体"/>
          <w:spacing w:val="-8"/>
          <w:sz w:val="24"/>
          <w:szCs w:val="24"/>
        </w:rPr>
        <w:t>员妥善处置。</w:t>
      </w:r>
    </w:p>
    <w:p>
      <w:pPr>
        <w:spacing w:before="179" w:line="468" w:lineRule="exact"/>
        <w:ind w:right="58"/>
        <w:jc w:val="right"/>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5</w:t>
      </w:r>
      <w:r>
        <w:rPr>
          <w:rFonts w:ascii="宋体" w:hAnsi="宋体" w:eastAsia="宋体" w:cs="宋体"/>
          <w:position w:val="17"/>
          <w:sz w:val="24"/>
          <w:szCs w:val="24"/>
        </w:rPr>
        <w:t>）做好安全防灾措施。项目业主应督促明确施工承包者的保护责任，在</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施工区周边山上竖立防火警示牌，预防森林火灾。</w:t>
      </w:r>
    </w:p>
    <w:p>
      <w:pPr>
        <w:spacing w:before="181" w:line="467" w:lineRule="exact"/>
        <w:ind w:right="66"/>
        <w:jc w:val="right"/>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6</w:t>
      </w:r>
      <w:r>
        <w:rPr>
          <w:rFonts w:ascii="宋体" w:hAnsi="宋体" w:eastAsia="宋体" w:cs="宋体"/>
          <w:spacing w:val="-3"/>
          <w:position w:val="17"/>
          <w:sz w:val="24"/>
          <w:szCs w:val="24"/>
        </w:rPr>
        <w:t>）制定合理的施工作业时间表， 合理安排施工方</w:t>
      </w:r>
      <w:r>
        <w:rPr>
          <w:rFonts w:ascii="宋体" w:hAnsi="宋体" w:eastAsia="宋体" w:cs="宋体"/>
          <w:spacing w:val="-4"/>
          <w:position w:val="17"/>
          <w:sz w:val="24"/>
          <w:szCs w:val="24"/>
        </w:rPr>
        <w:t>式、时间，尽可能避免</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施工对野生动物的惊扰</w:t>
      </w:r>
    </w:p>
    <w:p>
      <w:pPr>
        <w:spacing w:line="430"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6.1.2 </w:t>
      </w:r>
      <w:r>
        <w:rPr>
          <w:spacing w:val="-1"/>
          <w:sz w:val="24"/>
          <w:szCs w:val="24"/>
          <w14:textOutline w14:w="4354" w14:cap="flat" w14:cmpd="sng">
            <w14:solidFill>
              <w14:srgbClr w14:val="000000"/>
            </w14:solidFill>
            <w14:prstDash w14:val="solid"/>
            <w14:miter w14:val="0"/>
          </w14:textOutline>
        </w:rPr>
        <w:t>减缓措施</w:t>
      </w:r>
    </w:p>
    <w:p>
      <w:pPr>
        <w:spacing w:before="200"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）动物</w:t>
      </w:r>
    </w:p>
    <w:p>
      <w:pPr>
        <w:spacing w:before="181" w:line="359" w:lineRule="auto"/>
        <w:ind w:left="38" w:right="64" w:firstLine="480"/>
        <w:jc w:val="both"/>
        <w:rPr>
          <w:rFonts w:ascii="宋体" w:hAnsi="宋体" w:eastAsia="宋体" w:cs="宋体"/>
          <w:sz w:val="24"/>
          <w:szCs w:val="24"/>
        </w:rPr>
      </w:pPr>
      <w:r>
        <w:rPr>
          <w:rFonts w:ascii="宋体" w:hAnsi="宋体" w:eastAsia="宋体" w:cs="宋体"/>
          <w:spacing w:val="-7"/>
          <w:sz w:val="24"/>
          <w:szCs w:val="24"/>
        </w:rPr>
        <w:t>①加强施工单位和施工人员的宣传教育， 通过标志牌、法律宣传等措施进行</w:t>
      </w:r>
      <w:r>
        <w:rPr>
          <w:rFonts w:ascii="宋体" w:hAnsi="宋体" w:eastAsia="宋体" w:cs="宋体"/>
          <w:spacing w:val="15"/>
          <w:sz w:val="24"/>
          <w:szCs w:val="24"/>
        </w:rPr>
        <w:t xml:space="preserve"> </w:t>
      </w:r>
      <w:r>
        <w:rPr>
          <w:rFonts w:ascii="宋体" w:hAnsi="宋体" w:eastAsia="宋体" w:cs="宋体"/>
          <w:spacing w:val="-8"/>
          <w:sz w:val="24"/>
          <w:szCs w:val="24"/>
        </w:rPr>
        <w:t>宣传，</w:t>
      </w:r>
      <w:r>
        <w:rPr>
          <w:rFonts w:ascii="宋体" w:hAnsi="宋体" w:eastAsia="宋体" w:cs="宋体"/>
          <w:spacing w:val="-45"/>
          <w:sz w:val="24"/>
          <w:szCs w:val="24"/>
        </w:rPr>
        <w:t xml:space="preserve"> </w:t>
      </w:r>
      <w:r>
        <w:rPr>
          <w:rFonts w:ascii="宋体" w:hAnsi="宋体" w:eastAsia="宋体" w:cs="宋体"/>
          <w:spacing w:val="-8"/>
          <w:sz w:val="24"/>
          <w:szCs w:val="24"/>
        </w:rPr>
        <w:t>严禁猎杀野生动物， 并通过对违法活动进行举报奖</w:t>
      </w:r>
      <w:r>
        <w:rPr>
          <w:rFonts w:ascii="宋体" w:hAnsi="宋体" w:eastAsia="宋体" w:cs="宋体"/>
          <w:spacing w:val="-9"/>
          <w:sz w:val="24"/>
          <w:szCs w:val="24"/>
        </w:rPr>
        <w:t>励的措施以制止偷猎活</w:t>
      </w:r>
      <w:r>
        <w:rPr>
          <w:rFonts w:ascii="宋体" w:hAnsi="宋体" w:eastAsia="宋体" w:cs="宋体"/>
          <w:sz w:val="24"/>
          <w:szCs w:val="24"/>
        </w:rPr>
        <w:t xml:space="preserve"> </w:t>
      </w:r>
      <w:r>
        <w:rPr>
          <w:rFonts w:ascii="宋体" w:hAnsi="宋体" w:eastAsia="宋体" w:cs="宋体"/>
          <w:spacing w:val="-12"/>
          <w:sz w:val="24"/>
          <w:szCs w:val="24"/>
        </w:rPr>
        <w:t>动。对于评价区内的</w:t>
      </w:r>
      <w:r>
        <w:rPr>
          <w:rFonts w:ascii="宋体" w:hAnsi="宋体" w:eastAsia="宋体" w:cs="宋体"/>
          <w:spacing w:val="-37"/>
          <w:sz w:val="24"/>
          <w:szCs w:val="24"/>
        </w:rPr>
        <w:t xml:space="preserve"> </w:t>
      </w:r>
      <w:r>
        <w:rPr>
          <w:rFonts w:ascii="Times New Roman" w:hAnsi="Times New Roman" w:eastAsia="Times New Roman" w:cs="Times New Roman"/>
          <w:spacing w:val="-12"/>
          <w:sz w:val="24"/>
          <w:szCs w:val="24"/>
        </w:rPr>
        <w:t xml:space="preserve">5 </w:t>
      </w:r>
      <w:r>
        <w:rPr>
          <w:rFonts w:ascii="宋体" w:hAnsi="宋体" w:eastAsia="宋体" w:cs="宋体"/>
          <w:spacing w:val="-12"/>
          <w:sz w:val="24"/>
          <w:szCs w:val="24"/>
        </w:rPr>
        <w:t>种国家级保护动物，</w:t>
      </w:r>
      <w:r>
        <w:rPr>
          <w:rFonts w:ascii="宋体" w:hAnsi="宋体" w:eastAsia="宋体" w:cs="宋体"/>
          <w:spacing w:val="31"/>
          <w:sz w:val="24"/>
          <w:szCs w:val="24"/>
        </w:rPr>
        <w:t xml:space="preserve"> </w:t>
      </w:r>
      <w:r>
        <w:rPr>
          <w:rFonts w:ascii="宋体" w:hAnsi="宋体" w:eastAsia="宋体" w:cs="宋体"/>
          <w:spacing w:val="-12"/>
          <w:sz w:val="24"/>
          <w:szCs w:val="24"/>
        </w:rPr>
        <w:t>严禁施工人员捕猎，</w:t>
      </w:r>
      <w:r>
        <w:rPr>
          <w:rFonts w:ascii="宋体" w:hAnsi="宋体" w:eastAsia="宋体" w:cs="宋体"/>
          <w:spacing w:val="35"/>
          <w:sz w:val="24"/>
          <w:szCs w:val="24"/>
        </w:rPr>
        <w:t xml:space="preserve"> </w:t>
      </w:r>
      <w:r>
        <w:rPr>
          <w:rFonts w:ascii="宋体" w:hAnsi="宋体" w:eastAsia="宋体" w:cs="宋体"/>
          <w:spacing w:val="-12"/>
          <w:sz w:val="24"/>
          <w:szCs w:val="24"/>
        </w:rPr>
        <w:t>并以展板形式对</w:t>
      </w:r>
      <w:r>
        <w:rPr>
          <w:rFonts w:ascii="宋体" w:hAnsi="宋体" w:eastAsia="宋体" w:cs="宋体"/>
          <w:sz w:val="24"/>
          <w:szCs w:val="24"/>
        </w:rPr>
        <w:t xml:space="preserve"> </w:t>
      </w:r>
      <w:r>
        <w:rPr>
          <w:rFonts w:ascii="宋体" w:hAnsi="宋体" w:eastAsia="宋体" w:cs="宋体"/>
          <w:spacing w:val="-9"/>
          <w:sz w:val="24"/>
          <w:szCs w:val="24"/>
        </w:rPr>
        <w:t>施工人员进行宣传教育； 施工时要合理安排施工爆破等施</w:t>
      </w:r>
      <w:r>
        <w:rPr>
          <w:rFonts w:ascii="宋体" w:hAnsi="宋体" w:eastAsia="宋体" w:cs="宋体"/>
          <w:spacing w:val="-10"/>
          <w:sz w:val="24"/>
          <w:szCs w:val="24"/>
        </w:rPr>
        <w:t>工作业的时间， 尽量缩</w:t>
      </w:r>
    </w:p>
    <w:p>
      <w:pPr>
        <w:spacing w:line="220" w:lineRule="auto"/>
        <w:ind w:left="42"/>
        <w:rPr>
          <w:rFonts w:ascii="宋体" w:hAnsi="宋体" w:eastAsia="宋体" w:cs="宋体"/>
          <w:sz w:val="24"/>
          <w:szCs w:val="24"/>
        </w:rPr>
      </w:pPr>
      <w:r>
        <w:rPr>
          <w:rFonts w:ascii="宋体" w:hAnsi="宋体" w:eastAsia="宋体" w:cs="宋体"/>
          <w:spacing w:val="-9"/>
          <w:sz w:val="24"/>
          <w:szCs w:val="24"/>
        </w:rPr>
        <w:t>短工期。</w:t>
      </w:r>
    </w:p>
    <w:p>
      <w:pPr>
        <w:spacing w:before="183" w:line="359" w:lineRule="auto"/>
        <w:ind w:left="39" w:firstLine="478"/>
        <w:jc w:val="both"/>
        <w:rPr>
          <w:rFonts w:ascii="宋体" w:hAnsi="宋体" w:eastAsia="宋体" w:cs="宋体"/>
          <w:sz w:val="24"/>
          <w:szCs w:val="24"/>
        </w:rPr>
      </w:pPr>
      <w:r>
        <w:rPr>
          <w:rFonts w:ascii="宋体" w:hAnsi="宋体" w:eastAsia="宋体" w:cs="宋体"/>
          <w:spacing w:val="-10"/>
          <w:sz w:val="24"/>
          <w:szCs w:val="24"/>
        </w:rPr>
        <w:t>②保护野生动物的栖息地， 施工完毕后及时进行生态恢复， 使之有利于动物</w:t>
      </w:r>
      <w:r>
        <w:rPr>
          <w:rFonts w:ascii="宋体" w:hAnsi="宋体" w:eastAsia="宋体" w:cs="宋体"/>
          <w:spacing w:val="7"/>
          <w:sz w:val="24"/>
          <w:szCs w:val="24"/>
        </w:rPr>
        <w:t xml:space="preserve"> </w:t>
      </w:r>
      <w:r>
        <w:rPr>
          <w:rFonts w:ascii="宋体" w:hAnsi="宋体" w:eastAsia="宋体" w:cs="宋体"/>
          <w:spacing w:val="-12"/>
          <w:sz w:val="24"/>
          <w:szCs w:val="24"/>
        </w:rPr>
        <w:t>适应新的生境。对施工单位及施工人员制定规章，</w:t>
      </w:r>
      <w:r>
        <w:rPr>
          <w:rFonts w:ascii="宋体" w:hAnsi="宋体" w:eastAsia="宋体" w:cs="宋体"/>
          <w:spacing w:val="46"/>
          <w:sz w:val="24"/>
          <w:szCs w:val="24"/>
        </w:rPr>
        <w:t xml:space="preserve"> </w:t>
      </w:r>
      <w:r>
        <w:rPr>
          <w:rFonts w:ascii="宋体" w:hAnsi="宋体" w:eastAsia="宋体" w:cs="宋体"/>
          <w:spacing w:val="-12"/>
          <w:sz w:val="24"/>
          <w:szCs w:val="24"/>
        </w:rPr>
        <w:t>并认真进行巡查，</w:t>
      </w:r>
      <w:r>
        <w:rPr>
          <w:rFonts w:ascii="宋体" w:hAnsi="宋体" w:eastAsia="宋体" w:cs="宋体"/>
          <w:spacing w:val="30"/>
          <w:sz w:val="24"/>
          <w:szCs w:val="24"/>
        </w:rPr>
        <w:t xml:space="preserve"> </w:t>
      </w:r>
      <w:r>
        <w:rPr>
          <w:rFonts w:ascii="宋体" w:hAnsi="宋体" w:eastAsia="宋体" w:cs="宋体"/>
          <w:spacing w:val="-12"/>
          <w:sz w:val="24"/>
          <w:szCs w:val="24"/>
        </w:rPr>
        <w:t>禁止在施工</w:t>
      </w:r>
      <w:r>
        <w:rPr>
          <w:rFonts w:ascii="宋体" w:hAnsi="宋体" w:eastAsia="宋体" w:cs="宋体"/>
          <w:sz w:val="24"/>
          <w:szCs w:val="24"/>
        </w:rPr>
        <w:t xml:space="preserve"> </w:t>
      </w:r>
      <w:r>
        <w:rPr>
          <w:rFonts w:ascii="宋体" w:hAnsi="宋体" w:eastAsia="宋体" w:cs="宋体"/>
          <w:spacing w:val="-8"/>
          <w:sz w:val="24"/>
          <w:szCs w:val="24"/>
        </w:rPr>
        <w:t>人员非法偷猎野生动物、盗采珍稀保护植物、取食鸟蛋、幼鸟等活动；</w:t>
      </w:r>
      <w:r>
        <w:rPr>
          <w:rFonts w:ascii="宋体" w:hAnsi="宋体" w:eastAsia="宋体" w:cs="宋体"/>
          <w:spacing w:val="54"/>
          <w:sz w:val="24"/>
          <w:szCs w:val="24"/>
        </w:rPr>
        <w:t xml:space="preserve"> </w:t>
      </w:r>
      <w:r>
        <w:rPr>
          <w:rFonts w:ascii="宋体" w:hAnsi="宋体" w:eastAsia="宋体" w:cs="宋体"/>
          <w:spacing w:val="-8"/>
          <w:sz w:val="24"/>
          <w:szCs w:val="24"/>
        </w:rPr>
        <w:t>加强对施</w:t>
      </w:r>
      <w:r>
        <w:rPr>
          <w:rFonts w:ascii="宋体" w:hAnsi="宋体" w:eastAsia="宋体" w:cs="宋体"/>
          <w:sz w:val="24"/>
          <w:szCs w:val="24"/>
        </w:rPr>
        <w:t xml:space="preserve"> </w:t>
      </w:r>
      <w:r>
        <w:rPr>
          <w:rFonts w:ascii="宋体" w:hAnsi="宋体" w:eastAsia="宋体" w:cs="宋体"/>
          <w:spacing w:val="-12"/>
          <w:sz w:val="24"/>
          <w:szCs w:val="24"/>
        </w:rPr>
        <w:t>工器材的管理。对在施工中遇到的幼兽，</w:t>
      </w:r>
      <w:r>
        <w:rPr>
          <w:rFonts w:ascii="宋体" w:hAnsi="宋体" w:eastAsia="宋体" w:cs="宋体"/>
          <w:spacing w:val="42"/>
          <w:sz w:val="24"/>
          <w:szCs w:val="24"/>
        </w:rPr>
        <w:t xml:space="preserve"> </w:t>
      </w:r>
      <w:r>
        <w:rPr>
          <w:rFonts w:ascii="宋体" w:hAnsi="宋体" w:eastAsia="宋体" w:cs="宋体"/>
          <w:spacing w:val="-12"/>
          <w:sz w:val="24"/>
          <w:szCs w:val="24"/>
        </w:rPr>
        <w:t>一定要交给林业局的专业人员，</w:t>
      </w:r>
      <w:r>
        <w:rPr>
          <w:rFonts w:ascii="宋体" w:hAnsi="宋体" w:eastAsia="宋体" w:cs="宋体"/>
          <w:spacing w:val="34"/>
          <w:sz w:val="24"/>
          <w:szCs w:val="24"/>
        </w:rPr>
        <w:t xml:space="preserve"> </w:t>
      </w:r>
      <w:r>
        <w:rPr>
          <w:rFonts w:ascii="宋体" w:hAnsi="宋体" w:eastAsia="宋体" w:cs="宋体"/>
          <w:spacing w:val="-12"/>
          <w:sz w:val="24"/>
          <w:szCs w:val="24"/>
        </w:rPr>
        <w:t>不得擅</w:t>
      </w:r>
      <w:r>
        <w:rPr>
          <w:rFonts w:ascii="宋体" w:hAnsi="宋体" w:eastAsia="宋体" w:cs="宋体"/>
          <w:sz w:val="24"/>
          <w:szCs w:val="24"/>
        </w:rPr>
        <w:t xml:space="preserve"> </w:t>
      </w:r>
      <w:r>
        <w:rPr>
          <w:rFonts w:ascii="宋体" w:hAnsi="宋体" w:eastAsia="宋体" w:cs="宋体"/>
          <w:spacing w:val="-3"/>
          <w:sz w:val="24"/>
          <w:szCs w:val="24"/>
        </w:rPr>
        <w:t>自处理；对施工中遇到的鸟窝（因砍伐树木）</w:t>
      </w:r>
      <w:r>
        <w:rPr>
          <w:rFonts w:ascii="宋体" w:hAnsi="宋体" w:eastAsia="宋体" w:cs="宋体"/>
          <w:spacing w:val="-39"/>
          <w:sz w:val="24"/>
          <w:szCs w:val="24"/>
        </w:rPr>
        <w:t xml:space="preserve"> </w:t>
      </w:r>
      <w:r>
        <w:rPr>
          <w:rFonts w:ascii="宋体" w:hAnsi="宋体" w:eastAsia="宋体" w:cs="宋体"/>
          <w:spacing w:val="-4"/>
          <w:sz w:val="24"/>
          <w:szCs w:val="24"/>
        </w:rPr>
        <w:t>一定要移到非施工区的其他树上；</w:t>
      </w:r>
    </w:p>
    <w:p>
      <w:pPr>
        <w:spacing w:line="219" w:lineRule="auto"/>
        <w:ind w:left="38"/>
        <w:rPr>
          <w:rFonts w:ascii="宋体" w:hAnsi="宋体" w:eastAsia="宋体" w:cs="宋体"/>
          <w:sz w:val="24"/>
          <w:szCs w:val="24"/>
        </w:rPr>
      </w:pPr>
      <w:r>
        <w:rPr>
          <w:rFonts w:ascii="宋体" w:hAnsi="宋体" w:eastAsia="宋体" w:cs="宋体"/>
          <w:spacing w:val="-9"/>
          <w:sz w:val="24"/>
          <w:szCs w:val="24"/>
        </w:rPr>
        <w:t>对在施工中遇到的幼鸟和鸟卵（蛋）</w:t>
      </w:r>
      <w:r>
        <w:rPr>
          <w:rFonts w:ascii="宋体" w:hAnsi="宋体" w:eastAsia="宋体" w:cs="宋体"/>
          <w:spacing w:val="-58"/>
          <w:sz w:val="24"/>
          <w:szCs w:val="24"/>
        </w:rPr>
        <w:t xml:space="preserve"> </w:t>
      </w:r>
      <w:r>
        <w:rPr>
          <w:rFonts w:ascii="宋体" w:hAnsi="宋体" w:eastAsia="宋体" w:cs="宋体"/>
          <w:spacing w:val="-9"/>
          <w:sz w:val="24"/>
          <w:szCs w:val="24"/>
        </w:rPr>
        <w:t>一定要交林业局的专业人员妥善处置；</w:t>
      </w:r>
      <w:r>
        <w:rPr>
          <w:rFonts w:ascii="宋体" w:hAnsi="宋体" w:eastAsia="宋体" w:cs="宋体"/>
          <w:spacing w:val="39"/>
          <w:sz w:val="24"/>
          <w:szCs w:val="24"/>
        </w:rPr>
        <w:t xml:space="preserve"> </w:t>
      </w:r>
      <w:r>
        <w:rPr>
          <w:rFonts w:ascii="宋体" w:hAnsi="宋体" w:eastAsia="宋体" w:cs="宋体"/>
          <w:spacing w:val="-10"/>
          <w:sz w:val="24"/>
          <w:szCs w:val="24"/>
        </w:rPr>
        <w:t>安排</w:t>
      </w:r>
    </w:p>
    <w:p>
      <w:pPr>
        <w:spacing w:line="219" w:lineRule="auto"/>
        <w:rPr>
          <w:rFonts w:ascii="宋体" w:hAnsi="宋体" w:eastAsia="宋体" w:cs="宋体"/>
          <w:sz w:val="24"/>
          <w:szCs w:val="24"/>
        </w:rPr>
        <w:sectPr>
          <w:headerReference r:id="rId437" w:type="default"/>
          <w:footerReference r:id="rId438" w:type="default"/>
          <w:pgSz w:w="11907" w:h="16839"/>
          <w:pgMar w:top="1156" w:right="1734" w:bottom="1374" w:left="1770" w:header="881" w:footer="1210" w:gutter="0"/>
        </w:sectPr>
      </w:pPr>
    </w:p>
    <w:p>
      <w:pPr>
        <w:rPr>
          <w:rFonts w:ascii="Arial"/>
          <w:sz w:val="21"/>
        </w:rPr>
      </w:pPr>
    </w:p>
    <w:p>
      <w:pPr>
        <w:spacing w:before="78" w:line="218" w:lineRule="auto"/>
        <w:ind w:left="40"/>
        <w:rPr>
          <w:rFonts w:ascii="宋体" w:hAnsi="宋体" w:eastAsia="宋体" w:cs="宋体"/>
          <w:sz w:val="24"/>
          <w:szCs w:val="24"/>
        </w:rPr>
      </w:pPr>
      <w:r>
        <w:rPr>
          <w:rFonts w:ascii="宋体" w:hAnsi="宋体" w:eastAsia="宋体" w:cs="宋体"/>
          <w:spacing w:val="-2"/>
          <w:sz w:val="24"/>
          <w:szCs w:val="24"/>
        </w:rPr>
        <w:t>专门人员负责评价区施工中的动物多样性保护的监督和管理工作。</w:t>
      </w:r>
    </w:p>
    <w:p>
      <w:pPr>
        <w:spacing w:before="183" w:line="359" w:lineRule="auto"/>
        <w:ind w:left="38" w:right="216" w:firstLine="479"/>
        <w:jc w:val="both"/>
        <w:rPr>
          <w:rFonts w:ascii="宋体" w:hAnsi="宋体" w:eastAsia="宋体" w:cs="宋体"/>
          <w:sz w:val="24"/>
          <w:szCs w:val="24"/>
        </w:rPr>
      </w:pPr>
      <w:r>
        <w:rPr>
          <w:rFonts w:ascii="宋体" w:hAnsi="宋体" w:eastAsia="宋体" w:cs="宋体"/>
          <w:spacing w:val="-10"/>
          <w:sz w:val="24"/>
          <w:szCs w:val="24"/>
        </w:rPr>
        <w:t>③从保护生态与环境的角度出发， 建议本项目开发建设前， 尽量做好施工规</w:t>
      </w:r>
      <w:r>
        <w:rPr>
          <w:rFonts w:ascii="宋体" w:hAnsi="宋体" w:eastAsia="宋体" w:cs="宋体"/>
          <w:spacing w:val="7"/>
          <w:sz w:val="24"/>
          <w:szCs w:val="24"/>
        </w:rPr>
        <w:t xml:space="preserve"> </w:t>
      </w:r>
      <w:r>
        <w:rPr>
          <w:rFonts w:ascii="宋体" w:hAnsi="宋体" w:eastAsia="宋体" w:cs="宋体"/>
          <w:spacing w:val="-12"/>
          <w:sz w:val="24"/>
          <w:szCs w:val="24"/>
        </w:rPr>
        <w:t>划前期工作；</w:t>
      </w:r>
      <w:r>
        <w:rPr>
          <w:rFonts w:ascii="宋体" w:hAnsi="宋体" w:eastAsia="宋体" w:cs="宋体"/>
          <w:spacing w:val="47"/>
          <w:sz w:val="24"/>
          <w:szCs w:val="24"/>
        </w:rPr>
        <w:t xml:space="preserve"> </w:t>
      </w:r>
      <w:r>
        <w:rPr>
          <w:rFonts w:ascii="宋体" w:hAnsi="宋体" w:eastAsia="宋体" w:cs="宋体"/>
          <w:spacing w:val="-12"/>
          <w:sz w:val="24"/>
          <w:szCs w:val="24"/>
        </w:rPr>
        <w:t>施工期间加强取土场、弃渣场防护，</w:t>
      </w:r>
      <w:r>
        <w:rPr>
          <w:rFonts w:ascii="宋体" w:hAnsi="宋体" w:eastAsia="宋体" w:cs="宋体"/>
          <w:spacing w:val="30"/>
          <w:sz w:val="24"/>
          <w:szCs w:val="24"/>
        </w:rPr>
        <w:t xml:space="preserve"> </w:t>
      </w:r>
      <w:r>
        <w:rPr>
          <w:rFonts w:ascii="宋体" w:hAnsi="宋体" w:eastAsia="宋体" w:cs="宋体"/>
          <w:spacing w:val="-12"/>
          <w:sz w:val="24"/>
          <w:szCs w:val="24"/>
        </w:rPr>
        <w:t>加强施工人员生活污水排放管</w:t>
      </w:r>
      <w:r>
        <w:rPr>
          <w:rFonts w:ascii="宋体" w:hAnsi="宋体" w:eastAsia="宋体" w:cs="宋体"/>
          <w:sz w:val="24"/>
          <w:szCs w:val="24"/>
        </w:rPr>
        <w:t xml:space="preserve"> </w:t>
      </w:r>
      <w:r>
        <w:rPr>
          <w:rFonts w:ascii="宋体" w:hAnsi="宋体" w:eastAsia="宋体" w:cs="宋体"/>
          <w:spacing w:val="-14"/>
          <w:sz w:val="24"/>
          <w:szCs w:val="24"/>
        </w:rPr>
        <w:t>理，</w:t>
      </w:r>
      <w:r>
        <w:rPr>
          <w:rFonts w:ascii="宋体" w:hAnsi="宋体" w:eastAsia="宋体" w:cs="宋体"/>
          <w:spacing w:val="-60"/>
          <w:sz w:val="24"/>
          <w:szCs w:val="24"/>
        </w:rPr>
        <w:t xml:space="preserve"> </w:t>
      </w:r>
      <w:r>
        <w:rPr>
          <w:rFonts w:ascii="宋体" w:hAnsi="宋体" w:eastAsia="宋体" w:cs="宋体"/>
          <w:spacing w:val="-14"/>
          <w:sz w:val="24"/>
          <w:szCs w:val="24"/>
        </w:rPr>
        <w:t>减少水体污染；</w:t>
      </w:r>
      <w:r>
        <w:rPr>
          <w:rFonts w:ascii="宋体" w:hAnsi="宋体" w:eastAsia="宋体" w:cs="宋体"/>
          <w:spacing w:val="34"/>
          <w:sz w:val="24"/>
          <w:szCs w:val="24"/>
        </w:rPr>
        <w:t xml:space="preserve"> </w:t>
      </w:r>
      <w:r>
        <w:rPr>
          <w:rFonts w:ascii="宋体" w:hAnsi="宋体" w:eastAsia="宋体" w:cs="宋体"/>
          <w:spacing w:val="-14"/>
          <w:sz w:val="24"/>
          <w:szCs w:val="24"/>
        </w:rPr>
        <w:t>做好工程完工后生态的恢复工作，</w:t>
      </w:r>
      <w:r>
        <w:rPr>
          <w:rFonts w:ascii="宋体" w:hAnsi="宋体" w:eastAsia="宋体" w:cs="宋体"/>
          <w:spacing w:val="57"/>
          <w:sz w:val="24"/>
          <w:szCs w:val="24"/>
        </w:rPr>
        <w:t xml:space="preserve"> </w:t>
      </w:r>
      <w:r>
        <w:rPr>
          <w:rFonts w:ascii="宋体" w:hAnsi="宋体" w:eastAsia="宋体" w:cs="宋体"/>
          <w:spacing w:val="-14"/>
          <w:sz w:val="24"/>
          <w:szCs w:val="24"/>
        </w:rPr>
        <w:t>以尽量减少因植</w:t>
      </w:r>
      <w:r>
        <w:rPr>
          <w:rFonts w:ascii="宋体" w:hAnsi="宋体" w:eastAsia="宋体" w:cs="宋体"/>
          <w:spacing w:val="-15"/>
          <w:sz w:val="24"/>
          <w:szCs w:val="24"/>
        </w:rPr>
        <w:t>被破坏对</w:t>
      </w:r>
    </w:p>
    <w:p>
      <w:pPr>
        <w:spacing w:line="219" w:lineRule="auto"/>
        <w:ind w:left="40"/>
        <w:rPr>
          <w:rFonts w:ascii="宋体" w:hAnsi="宋体" w:eastAsia="宋体" w:cs="宋体"/>
          <w:sz w:val="24"/>
          <w:szCs w:val="24"/>
        </w:rPr>
      </w:pPr>
      <w:r>
        <w:rPr>
          <w:rFonts w:ascii="宋体" w:hAnsi="宋体" w:eastAsia="宋体" w:cs="宋体"/>
          <w:spacing w:val="-4"/>
          <w:sz w:val="24"/>
          <w:szCs w:val="24"/>
        </w:rPr>
        <w:t>动物带来的不利影响。</w:t>
      </w:r>
    </w:p>
    <w:p>
      <w:pPr>
        <w:spacing w:before="181" w:line="359" w:lineRule="auto"/>
        <w:ind w:left="38" w:right="216" w:firstLine="479"/>
        <w:jc w:val="both"/>
        <w:rPr>
          <w:rFonts w:ascii="宋体" w:hAnsi="宋体" w:eastAsia="宋体" w:cs="宋体"/>
          <w:sz w:val="24"/>
          <w:szCs w:val="24"/>
        </w:rPr>
      </w:pPr>
      <w:r>
        <w:rPr>
          <w:rFonts w:ascii="宋体" w:hAnsi="宋体" w:eastAsia="宋体" w:cs="宋体"/>
          <w:spacing w:val="-3"/>
          <w:sz w:val="24"/>
          <w:szCs w:val="24"/>
        </w:rPr>
        <w:t>④野生鸟类和兽类大多是晨昏外出觅食，正午休息。为了减少工程</w:t>
      </w:r>
      <w:r>
        <w:rPr>
          <w:rFonts w:ascii="宋体" w:hAnsi="宋体" w:eastAsia="宋体" w:cs="宋体"/>
          <w:spacing w:val="-4"/>
          <w:sz w:val="24"/>
          <w:szCs w:val="24"/>
        </w:rPr>
        <w:t>施工噪声</w:t>
      </w:r>
      <w:r>
        <w:rPr>
          <w:rFonts w:ascii="宋体" w:hAnsi="宋体" w:eastAsia="宋体" w:cs="宋体"/>
          <w:sz w:val="24"/>
          <w:szCs w:val="24"/>
        </w:rPr>
        <w:t xml:space="preserve"> </w:t>
      </w:r>
      <w:r>
        <w:rPr>
          <w:rFonts w:ascii="宋体" w:hAnsi="宋体" w:eastAsia="宋体" w:cs="宋体"/>
          <w:spacing w:val="-9"/>
          <w:sz w:val="24"/>
          <w:szCs w:val="24"/>
        </w:rPr>
        <w:t>对野生动物的惊扰， 应做好施工方式和时间的计划， 并力</w:t>
      </w:r>
      <w:r>
        <w:rPr>
          <w:rFonts w:ascii="宋体" w:hAnsi="宋体" w:eastAsia="宋体" w:cs="宋体"/>
          <w:spacing w:val="-10"/>
          <w:sz w:val="24"/>
          <w:szCs w:val="24"/>
        </w:rPr>
        <w:t>求避免在晨昏和正午爆</w:t>
      </w:r>
    </w:p>
    <w:p>
      <w:pPr>
        <w:spacing w:line="222" w:lineRule="auto"/>
        <w:ind w:left="38"/>
        <w:rPr>
          <w:rFonts w:ascii="宋体" w:hAnsi="宋体" w:eastAsia="宋体" w:cs="宋体"/>
          <w:sz w:val="24"/>
          <w:szCs w:val="24"/>
        </w:rPr>
      </w:pPr>
      <w:r>
        <w:rPr>
          <w:rFonts w:ascii="宋体" w:hAnsi="宋体" w:eastAsia="宋体" w:cs="宋体"/>
          <w:spacing w:val="-8"/>
          <w:sz w:val="24"/>
          <w:szCs w:val="24"/>
        </w:rPr>
        <w:t>破施工。</w:t>
      </w:r>
    </w:p>
    <w:p>
      <w:pPr>
        <w:spacing w:before="179" w:line="220" w:lineRule="auto"/>
        <w:ind w:left="524"/>
        <w:rPr>
          <w:rFonts w:ascii="宋体" w:hAnsi="宋体" w:eastAsia="宋体" w:cs="宋体"/>
          <w:sz w:val="24"/>
          <w:szCs w:val="24"/>
        </w:rPr>
      </w:pPr>
      <w:r>
        <w:rPr>
          <w:rFonts w:ascii="宋体" w:hAnsi="宋体" w:eastAsia="宋体" w:cs="宋体"/>
          <w:spacing w:val="-10"/>
          <w:sz w:val="24"/>
          <w:szCs w:val="24"/>
        </w:rPr>
        <w:t>具体见下表：</w:t>
      </w:r>
    </w:p>
    <w:p>
      <w:pPr>
        <w:spacing w:before="273" w:line="220" w:lineRule="auto"/>
        <w:ind w:left="2470"/>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26"/>
          <w:sz w:val="21"/>
          <w:szCs w:val="21"/>
        </w:rPr>
        <w:t xml:space="preserve"> </w:t>
      </w:r>
      <w:r>
        <w:rPr>
          <w:rFonts w:ascii="Times New Roman" w:hAnsi="Times New Roman" w:eastAsia="Times New Roman" w:cs="Times New Roman"/>
          <w:b/>
          <w:bCs/>
          <w:spacing w:val="-1"/>
          <w:sz w:val="21"/>
          <w:szCs w:val="21"/>
        </w:rPr>
        <w:t xml:space="preserve">6.1-1    </w:t>
      </w:r>
      <w:r>
        <w:rPr>
          <w:rFonts w:ascii="宋体" w:hAnsi="宋体" w:eastAsia="宋体" w:cs="宋体"/>
          <w:spacing w:val="-1"/>
          <w:sz w:val="21"/>
          <w:szCs w:val="21"/>
          <w14:textOutline w14:w="3810" w14:cap="flat" w14:cmpd="sng">
            <w14:solidFill>
              <w14:srgbClr w14:val="000000"/>
            </w14:solidFill>
            <w14:prstDash w14:val="solid"/>
            <w14:miter w14:val="0"/>
          </w14:textOutline>
        </w:rPr>
        <w:t>水库建设对保护动物的保护措施</w:t>
      </w:r>
    </w:p>
    <w:p>
      <w:pPr>
        <w:spacing w:line="90" w:lineRule="exact"/>
      </w:pPr>
    </w:p>
    <w:tbl>
      <w:tblPr>
        <w:tblStyle w:val="5"/>
        <w:tblW w:w="8537"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5"/>
        <w:gridCol w:w="1452"/>
        <w:gridCol w:w="1276"/>
        <w:gridCol w:w="2411"/>
        <w:gridCol w:w="29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405" w:type="dxa"/>
            <w:tcBorders>
              <w:top w:val="single" w:color="000000" w:sz="12" w:space="0"/>
              <w:left w:val="nil"/>
            </w:tcBorders>
            <w:textDirection w:val="tbRlV"/>
            <w:vAlign w:val="top"/>
          </w:tcPr>
          <w:p>
            <w:pPr>
              <w:spacing w:before="69" w:line="202" w:lineRule="auto"/>
              <w:ind w:left="51"/>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序</w:t>
            </w:r>
            <w:r>
              <w:rPr>
                <w:rFonts w:ascii="仿宋" w:hAnsi="仿宋" w:eastAsia="仿宋" w:cs="仿宋"/>
                <w:spacing w:val="-2"/>
                <w:sz w:val="21"/>
                <w:szCs w:val="21"/>
              </w:rPr>
              <w:t xml:space="preserve"> </w:t>
            </w:r>
            <w:r>
              <w:rPr>
                <w:rFonts w:ascii="仿宋" w:hAnsi="仿宋" w:eastAsia="仿宋" w:cs="仿宋"/>
                <w:spacing w:val="-2"/>
                <w:sz w:val="21"/>
                <w:szCs w:val="21"/>
                <w14:textOutline w14:w="3810" w14:cap="flat" w14:cmpd="sng">
                  <w14:solidFill>
                    <w14:srgbClr w14:val="000000"/>
                  </w14:solidFill>
                  <w14:prstDash w14:val="solid"/>
                  <w14:miter w14:val="0"/>
                </w14:textOutline>
              </w:rPr>
              <w:t>号</w:t>
            </w:r>
          </w:p>
        </w:tc>
        <w:tc>
          <w:tcPr>
            <w:tcW w:w="1452" w:type="dxa"/>
            <w:tcBorders>
              <w:top w:val="single" w:color="000000" w:sz="12" w:space="0"/>
            </w:tcBorders>
            <w:vAlign w:val="top"/>
          </w:tcPr>
          <w:p>
            <w:pPr>
              <w:spacing w:before="206" w:line="217" w:lineRule="auto"/>
              <w:ind w:left="52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物种</w:t>
            </w:r>
          </w:p>
        </w:tc>
        <w:tc>
          <w:tcPr>
            <w:tcW w:w="1276" w:type="dxa"/>
            <w:tcBorders>
              <w:top w:val="single" w:color="000000" w:sz="12" w:space="0"/>
            </w:tcBorders>
            <w:vAlign w:val="top"/>
          </w:tcPr>
          <w:p>
            <w:pPr>
              <w:spacing w:before="206" w:line="217" w:lineRule="auto"/>
              <w:ind w:left="228"/>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保护级别</w:t>
            </w:r>
          </w:p>
        </w:tc>
        <w:tc>
          <w:tcPr>
            <w:tcW w:w="2411" w:type="dxa"/>
            <w:tcBorders>
              <w:top w:val="single" w:color="000000" w:sz="12" w:space="0"/>
            </w:tcBorders>
            <w:vAlign w:val="top"/>
          </w:tcPr>
          <w:p>
            <w:pPr>
              <w:spacing w:before="207" w:line="218" w:lineRule="auto"/>
              <w:ind w:left="89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栖息地</w:t>
            </w:r>
          </w:p>
        </w:tc>
        <w:tc>
          <w:tcPr>
            <w:tcW w:w="2993" w:type="dxa"/>
            <w:tcBorders>
              <w:top w:val="single" w:color="000000" w:sz="12" w:space="0"/>
              <w:right w:val="nil"/>
            </w:tcBorders>
            <w:vAlign w:val="top"/>
          </w:tcPr>
          <w:p>
            <w:pPr>
              <w:spacing w:before="206" w:line="217" w:lineRule="auto"/>
              <w:ind w:left="1085"/>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保护措施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405" w:type="dxa"/>
            <w:tcBorders>
              <w:left w:val="nil"/>
            </w:tcBorders>
            <w:vAlign w:val="top"/>
          </w:tcPr>
          <w:p>
            <w:pPr>
              <w:pStyle w:val="6"/>
              <w:spacing w:before="246" w:line="188" w:lineRule="auto"/>
              <w:ind w:left="181"/>
            </w:pPr>
            <w:r>
              <w:t>1</w:t>
            </w:r>
          </w:p>
        </w:tc>
        <w:tc>
          <w:tcPr>
            <w:tcW w:w="1452" w:type="dxa"/>
            <w:vAlign w:val="top"/>
          </w:tcPr>
          <w:p>
            <w:pPr>
              <w:pStyle w:val="6"/>
              <w:spacing w:before="54" w:line="262" w:lineRule="auto"/>
              <w:ind w:left="424" w:right="147" w:hanging="261"/>
            </w:pPr>
            <w:r>
              <w:rPr>
                <w:rFonts w:ascii="仿宋" w:hAnsi="仿宋" w:eastAsia="仿宋" w:cs="仿宋"/>
                <w:spacing w:val="-2"/>
              </w:rPr>
              <w:t>黄鼬</w:t>
            </w:r>
            <w:r>
              <w:rPr>
                <w:rFonts w:ascii="仿宋" w:hAnsi="仿宋" w:eastAsia="仿宋" w:cs="仿宋"/>
                <w:spacing w:val="-49"/>
              </w:rPr>
              <w:t xml:space="preserve"> </w:t>
            </w:r>
            <w:r>
              <w:rPr>
                <w:spacing w:val="-2"/>
              </w:rPr>
              <w:t>Mustela</w:t>
            </w:r>
            <w:r>
              <w:t xml:space="preserve"> </w:t>
            </w:r>
            <w:r>
              <w:rPr>
                <w:spacing w:val="-2"/>
              </w:rPr>
              <w:t>sibirica</w:t>
            </w:r>
          </w:p>
        </w:tc>
        <w:tc>
          <w:tcPr>
            <w:tcW w:w="1276" w:type="dxa"/>
            <w:vAlign w:val="top"/>
          </w:tcPr>
          <w:p>
            <w:pPr>
              <w:pStyle w:val="6"/>
              <w:spacing w:before="210" w:line="235" w:lineRule="auto"/>
              <w:ind w:left="467"/>
              <w:rPr>
                <w:rFonts w:ascii="仿宋" w:hAnsi="仿宋" w:eastAsia="仿宋" w:cs="仿宋"/>
              </w:rPr>
            </w:pPr>
            <w:r>
              <w:rPr>
                <w:spacing w:val="-4"/>
              </w:rPr>
              <w:t>C</w:t>
            </w:r>
            <w:r>
              <w:rPr>
                <w:rFonts w:ascii="仿宋" w:hAnsi="仿宋" w:eastAsia="仿宋" w:cs="仿宋"/>
                <w:spacing w:val="-4"/>
              </w:rPr>
              <w:t>Ⅲ</w:t>
            </w:r>
          </w:p>
        </w:tc>
        <w:tc>
          <w:tcPr>
            <w:tcW w:w="2411" w:type="dxa"/>
            <w:vAlign w:val="top"/>
          </w:tcPr>
          <w:p>
            <w:pPr>
              <w:spacing w:before="53" w:line="246" w:lineRule="auto"/>
              <w:ind w:left="376" w:right="153" w:hanging="210"/>
              <w:rPr>
                <w:rFonts w:ascii="仿宋" w:hAnsi="仿宋" w:eastAsia="仿宋" w:cs="仿宋"/>
                <w:sz w:val="21"/>
                <w:szCs w:val="21"/>
              </w:rPr>
            </w:pPr>
            <w:r>
              <w:rPr>
                <w:rFonts w:ascii="仿宋" w:hAnsi="仿宋" w:eastAsia="仿宋" w:cs="仿宋"/>
                <w:spacing w:val="-2"/>
                <w:sz w:val="21"/>
                <w:szCs w:val="21"/>
              </w:rPr>
              <w:t>林缘、河谷、灌丛、草</w:t>
            </w:r>
            <w:r>
              <w:rPr>
                <w:rFonts w:ascii="仿宋" w:hAnsi="仿宋" w:eastAsia="仿宋" w:cs="仿宋"/>
                <w:spacing w:val="5"/>
                <w:sz w:val="21"/>
                <w:szCs w:val="21"/>
              </w:rPr>
              <w:t xml:space="preserve"> </w:t>
            </w:r>
            <w:r>
              <w:rPr>
                <w:rFonts w:ascii="仿宋" w:hAnsi="仿宋" w:eastAsia="仿宋" w:cs="仿宋"/>
                <w:spacing w:val="-2"/>
                <w:sz w:val="21"/>
                <w:szCs w:val="21"/>
              </w:rPr>
              <w:t>丘中和林缘村寨附</w:t>
            </w:r>
          </w:p>
        </w:tc>
        <w:tc>
          <w:tcPr>
            <w:tcW w:w="2993" w:type="dxa"/>
            <w:tcBorders>
              <w:right w:val="nil"/>
            </w:tcBorders>
            <w:vAlign w:val="top"/>
          </w:tcPr>
          <w:p>
            <w:pPr>
              <w:spacing w:before="209" w:line="219" w:lineRule="auto"/>
              <w:ind w:left="1089"/>
              <w:rPr>
                <w:rFonts w:ascii="仿宋" w:hAnsi="仿宋" w:eastAsia="仿宋" w:cs="仿宋"/>
                <w:sz w:val="21"/>
                <w:szCs w:val="21"/>
              </w:rPr>
            </w:pPr>
            <w:r>
              <w:rPr>
                <w:rFonts w:ascii="仿宋" w:hAnsi="仿宋" w:eastAsia="仿宋" w:cs="仿宋"/>
                <w:spacing w:val="-3"/>
                <w:sz w:val="21"/>
                <w:szCs w:val="21"/>
              </w:rPr>
              <w:t>严禁捕猎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 w:hRule="atLeast"/>
        </w:trPr>
        <w:tc>
          <w:tcPr>
            <w:tcW w:w="405" w:type="dxa"/>
            <w:tcBorders>
              <w:left w:val="nil"/>
            </w:tcBorders>
            <w:vAlign w:val="top"/>
          </w:tcPr>
          <w:p>
            <w:pPr>
              <w:spacing w:line="342" w:lineRule="auto"/>
              <w:rPr>
                <w:rFonts w:ascii="Arial"/>
                <w:sz w:val="21"/>
              </w:rPr>
            </w:pPr>
          </w:p>
          <w:p>
            <w:pPr>
              <w:pStyle w:val="6"/>
              <w:spacing w:before="60" w:line="188" w:lineRule="auto"/>
              <w:ind w:left="161"/>
            </w:pPr>
            <w:r>
              <w:t>2</w:t>
            </w:r>
          </w:p>
        </w:tc>
        <w:tc>
          <w:tcPr>
            <w:tcW w:w="1452" w:type="dxa"/>
            <w:vAlign w:val="top"/>
          </w:tcPr>
          <w:p>
            <w:pPr>
              <w:pStyle w:val="6"/>
              <w:spacing w:before="211" w:line="271" w:lineRule="auto"/>
              <w:ind w:left="489" w:right="131" w:hanging="342"/>
            </w:pPr>
            <w:r>
              <w:rPr>
                <w:rFonts w:ascii="仿宋" w:hAnsi="仿宋" w:eastAsia="仿宋" w:cs="仿宋"/>
                <w:spacing w:val="-3"/>
              </w:rPr>
              <w:t>普通鵟</w:t>
            </w:r>
            <w:r>
              <w:rPr>
                <w:rFonts w:ascii="仿宋" w:hAnsi="仿宋" w:eastAsia="仿宋" w:cs="仿宋"/>
                <w:spacing w:val="-46"/>
              </w:rPr>
              <w:t xml:space="preserve"> </w:t>
            </w:r>
            <w:r>
              <w:rPr>
                <w:spacing w:val="-3"/>
              </w:rPr>
              <w:t>Buteo</w:t>
            </w:r>
            <w:r>
              <w:t xml:space="preserve"> buteo</w:t>
            </w:r>
          </w:p>
        </w:tc>
        <w:tc>
          <w:tcPr>
            <w:tcW w:w="1276" w:type="dxa"/>
            <w:vAlign w:val="top"/>
          </w:tcPr>
          <w:p>
            <w:pPr>
              <w:spacing w:line="297" w:lineRule="auto"/>
              <w:rPr>
                <w:rFonts w:ascii="Arial"/>
                <w:sz w:val="21"/>
              </w:rPr>
            </w:pPr>
          </w:p>
          <w:p>
            <w:pPr>
              <w:pStyle w:val="6"/>
              <w:spacing w:before="69" w:line="220" w:lineRule="auto"/>
              <w:ind w:left="190"/>
              <w:rPr>
                <w:rFonts w:ascii="仿宋" w:hAnsi="仿宋" w:eastAsia="仿宋" w:cs="仿宋"/>
              </w:rPr>
            </w:pPr>
            <w:r>
              <w:rPr>
                <w:rFonts w:ascii="仿宋" w:hAnsi="仿宋" w:eastAsia="仿宋" w:cs="仿宋"/>
                <w:spacing w:val="-25"/>
              </w:rPr>
              <w:t xml:space="preserve">Ⅱ级、 </w:t>
            </w:r>
            <w:r>
              <w:rPr>
                <w:spacing w:val="-25"/>
              </w:rPr>
              <w:t>C</w:t>
            </w:r>
            <w:r>
              <w:rPr>
                <w:rFonts w:ascii="仿宋" w:hAnsi="仿宋" w:eastAsia="仿宋" w:cs="仿宋"/>
                <w:spacing w:val="-25"/>
              </w:rPr>
              <w:t>Ⅱ</w:t>
            </w:r>
          </w:p>
        </w:tc>
        <w:tc>
          <w:tcPr>
            <w:tcW w:w="2411" w:type="dxa"/>
            <w:vAlign w:val="top"/>
          </w:tcPr>
          <w:p>
            <w:pPr>
              <w:spacing w:before="56" w:line="217" w:lineRule="auto"/>
              <w:ind w:left="271"/>
              <w:rPr>
                <w:rFonts w:ascii="仿宋" w:hAnsi="仿宋" w:eastAsia="仿宋" w:cs="仿宋"/>
                <w:sz w:val="21"/>
                <w:szCs w:val="21"/>
              </w:rPr>
            </w:pPr>
            <w:r>
              <w:rPr>
                <w:rFonts w:ascii="仿宋" w:hAnsi="仿宋" w:eastAsia="仿宋" w:cs="仿宋"/>
                <w:spacing w:val="-2"/>
                <w:sz w:val="21"/>
                <w:szCs w:val="21"/>
              </w:rPr>
              <w:t>开阔平原、荒漠、旷</w:t>
            </w:r>
          </w:p>
          <w:p>
            <w:pPr>
              <w:spacing w:before="64" w:line="216" w:lineRule="auto"/>
              <w:ind w:left="166"/>
              <w:rPr>
                <w:rFonts w:ascii="仿宋" w:hAnsi="仿宋" w:eastAsia="仿宋" w:cs="仿宋"/>
                <w:sz w:val="21"/>
                <w:szCs w:val="21"/>
              </w:rPr>
            </w:pPr>
            <w:r>
              <w:rPr>
                <w:rFonts w:ascii="仿宋" w:hAnsi="仿宋" w:eastAsia="仿宋" w:cs="仿宋"/>
                <w:spacing w:val="-2"/>
                <w:sz w:val="21"/>
                <w:szCs w:val="21"/>
              </w:rPr>
              <w:t>野、开垦的耕作区、林</w:t>
            </w:r>
          </w:p>
          <w:p>
            <w:pPr>
              <w:spacing w:before="66" w:line="217" w:lineRule="auto"/>
              <w:ind w:left="901"/>
              <w:rPr>
                <w:rFonts w:ascii="仿宋" w:hAnsi="仿宋" w:eastAsia="仿宋" w:cs="仿宋"/>
                <w:sz w:val="21"/>
                <w:szCs w:val="21"/>
              </w:rPr>
            </w:pPr>
            <w:r>
              <w:rPr>
                <w:rFonts w:ascii="仿宋" w:hAnsi="仿宋" w:eastAsia="仿宋" w:cs="仿宋"/>
                <w:spacing w:val="-4"/>
                <w:sz w:val="21"/>
                <w:szCs w:val="21"/>
              </w:rPr>
              <w:t>缘草地</w:t>
            </w:r>
          </w:p>
        </w:tc>
        <w:tc>
          <w:tcPr>
            <w:tcW w:w="2993" w:type="dxa"/>
            <w:tcBorders>
              <w:right w:val="nil"/>
            </w:tcBorders>
            <w:vAlign w:val="top"/>
          </w:tcPr>
          <w:p>
            <w:pPr>
              <w:spacing w:before="56" w:line="218" w:lineRule="auto"/>
              <w:ind w:left="141"/>
              <w:rPr>
                <w:rFonts w:ascii="仿宋" w:hAnsi="仿宋" w:eastAsia="仿宋" w:cs="仿宋"/>
                <w:sz w:val="21"/>
                <w:szCs w:val="21"/>
              </w:rPr>
            </w:pPr>
            <w:r>
              <w:rPr>
                <w:rFonts w:ascii="仿宋" w:hAnsi="仿宋" w:eastAsia="仿宋" w:cs="仿宋"/>
                <w:spacing w:val="-5"/>
                <w:sz w:val="21"/>
                <w:szCs w:val="21"/>
              </w:rPr>
              <w:t>做好施工方式和时间的计划，</w:t>
            </w:r>
          </w:p>
          <w:p>
            <w:pPr>
              <w:spacing w:before="62" w:line="246" w:lineRule="auto"/>
              <w:ind w:left="769" w:right="133" w:hanging="626"/>
              <w:rPr>
                <w:rFonts w:ascii="仿宋" w:hAnsi="仿宋" w:eastAsia="仿宋" w:cs="仿宋"/>
                <w:sz w:val="21"/>
                <w:szCs w:val="21"/>
              </w:rPr>
            </w:pPr>
            <w:r>
              <w:rPr>
                <w:rFonts w:ascii="仿宋" w:hAnsi="仿宋" w:eastAsia="仿宋" w:cs="仿宋"/>
                <w:spacing w:val="-2"/>
                <w:sz w:val="21"/>
                <w:szCs w:val="21"/>
              </w:rPr>
              <w:t>并力求避免在晨昏和正午爆破</w:t>
            </w:r>
            <w:r>
              <w:rPr>
                <w:rFonts w:ascii="仿宋" w:hAnsi="仿宋" w:eastAsia="仿宋" w:cs="仿宋"/>
                <w:spacing w:val="8"/>
                <w:sz w:val="21"/>
                <w:szCs w:val="21"/>
              </w:rPr>
              <w:t xml:space="preserve"> </w:t>
            </w:r>
            <w:r>
              <w:rPr>
                <w:rFonts w:ascii="仿宋" w:hAnsi="仿宋" w:eastAsia="仿宋" w:cs="仿宋"/>
                <w:spacing w:val="-2"/>
                <w:sz w:val="21"/>
                <w:szCs w:val="21"/>
              </w:rPr>
              <w:t>施工；严禁捕猎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8" w:hRule="atLeast"/>
        </w:trPr>
        <w:tc>
          <w:tcPr>
            <w:tcW w:w="405" w:type="dxa"/>
            <w:tcBorders>
              <w:left w:val="nil"/>
            </w:tcBorders>
            <w:vAlign w:val="top"/>
          </w:tcPr>
          <w:p>
            <w:pPr>
              <w:spacing w:line="347" w:lineRule="auto"/>
              <w:rPr>
                <w:rFonts w:ascii="Arial"/>
                <w:sz w:val="21"/>
              </w:rPr>
            </w:pPr>
          </w:p>
          <w:p>
            <w:pPr>
              <w:pStyle w:val="6"/>
              <w:spacing w:before="60" w:line="188" w:lineRule="auto"/>
              <w:ind w:left="165"/>
            </w:pPr>
            <w:r>
              <w:t>3</w:t>
            </w:r>
          </w:p>
        </w:tc>
        <w:tc>
          <w:tcPr>
            <w:tcW w:w="1452" w:type="dxa"/>
            <w:vAlign w:val="top"/>
          </w:tcPr>
          <w:p>
            <w:pPr>
              <w:pStyle w:val="6"/>
              <w:spacing w:before="216" w:line="271" w:lineRule="auto"/>
              <w:ind w:left="235" w:right="233" w:firstLine="32"/>
            </w:pPr>
            <w:r>
              <w:rPr>
                <w:rFonts w:ascii="仿宋" w:hAnsi="仿宋" w:eastAsia="仿宋" w:cs="仿宋"/>
                <w:spacing w:val="-3"/>
              </w:rPr>
              <w:t>红隼</w:t>
            </w:r>
            <w:r>
              <w:rPr>
                <w:rFonts w:ascii="仿宋" w:hAnsi="仿宋" w:eastAsia="仿宋" w:cs="仿宋"/>
                <w:spacing w:val="-47"/>
              </w:rPr>
              <w:t xml:space="preserve"> </w:t>
            </w:r>
            <w:r>
              <w:rPr>
                <w:spacing w:val="-3"/>
              </w:rPr>
              <w:t>Falco</w:t>
            </w:r>
            <w:r>
              <w:t xml:space="preserve"> </w:t>
            </w:r>
            <w:r>
              <w:rPr>
                <w:spacing w:val="-1"/>
              </w:rPr>
              <w:t>tinnunculus</w:t>
            </w:r>
          </w:p>
        </w:tc>
        <w:tc>
          <w:tcPr>
            <w:tcW w:w="1276" w:type="dxa"/>
            <w:vAlign w:val="top"/>
          </w:tcPr>
          <w:p>
            <w:pPr>
              <w:spacing w:line="302" w:lineRule="auto"/>
              <w:rPr>
                <w:rFonts w:ascii="Arial"/>
                <w:sz w:val="21"/>
              </w:rPr>
            </w:pPr>
          </w:p>
          <w:p>
            <w:pPr>
              <w:pStyle w:val="6"/>
              <w:spacing w:before="69" w:line="220" w:lineRule="auto"/>
              <w:ind w:left="190"/>
              <w:rPr>
                <w:rFonts w:ascii="仿宋" w:hAnsi="仿宋" w:eastAsia="仿宋" w:cs="仿宋"/>
              </w:rPr>
            </w:pPr>
            <w:r>
              <w:rPr>
                <w:rFonts w:ascii="仿宋" w:hAnsi="仿宋" w:eastAsia="仿宋" w:cs="仿宋"/>
                <w:spacing w:val="-25"/>
              </w:rPr>
              <w:t xml:space="preserve">Ⅱ级、 </w:t>
            </w:r>
            <w:r>
              <w:rPr>
                <w:spacing w:val="-25"/>
              </w:rPr>
              <w:t>C</w:t>
            </w:r>
            <w:r>
              <w:rPr>
                <w:rFonts w:ascii="仿宋" w:hAnsi="仿宋" w:eastAsia="仿宋" w:cs="仿宋"/>
                <w:spacing w:val="-25"/>
              </w:rPr>
              <w:t>Ⅱ</w:t>
            </w:r>
          </w:p>
        </w:tc>
        <w:tc>
          <w:tcPr>
            <w:tcW w:w="2411" w:type="dxa"/>
            <w:vAlign w:val="top"/>
          </w:tcPr>
          <w:p>
            <w:pPr>
              <w:spacing w:before="62" w:line="245" w:lineRule="auto"/>
              <w:ind w:left="179" w:right="153" w:firstLine="5"/>
              <w:rPr>
                <w:rFonts w:ascii="仿宋" w:hAnsi="仿宋" w:eastAsia="仿宋" w:cs="仿宋"/>
                <w:sz w:val="21"/>
                <w:szCs w:val="21"/>
              </w:rPr>
            </w:pPr>
            <w:r>
              <w:rPr>
                <w:rFonts w:ascii="仿宋" w:hAnsi="仿宋" w:eastAsia="仿宋" w:cs="仿宋"/>
                <w:spacing w:val="-7"/>
                <w:sz w:val="21"/>
                <w:szCs w:val="21"/>
              </w:rPr>
              <w:t>山地森林、森林苔原、</w:t>
            </w:r>
            <w:r>
              <w:rPr>
                <w:rFonts w:ascii="仿宋" w:hAnsi="仿宋" w:eastAsia="仿宋" w:cs="仿宋"/>
                <w:spacing w:val="2"/>
                <w:sz w:val="21"/>
                <w:szCs w:val="21"/>
              </w:rPr>
              <w:t xml:space="preserve"> </w:t>
            </w:r>
            <w:r>
              <w:rPr>
                <w:rFonts w:ascii="仿宋" w:hAnsi="仿宋" w:eastAsia="仿宋" w:cs="仿宋"/>
                <w:spacing w:val="-3"/>
                <w:sz w:val="21"/>
                <w:szCs w:val="21"/>
              </w:rPr>
              <w:t>旷野、山区植物稀疏的</w:t>
            </w:r>
          </w:p>
          <w:p>
            <w:pPr>
              <w:spacing w:before="65" w:line="213" w:lineRule="auto"/>
              <w:ind w:left="380"/>
              <w:rPr>
                <w:rFonts w:ascii="仿宋" w:hAnsi="仿宋" w:eastAsia="仿宋" w:cs="仿宋"/>
                <w:sz w:val="21"/>
                <w:szCs w:val="21"/>
              </w:rPr>
            </w:pPr>
            <w:r>
              <w:rPr>
                <w:rFonts w:ascii="仿宋" w:hAnsi="仿宋" w:eastAsia="仿宋" w:cs="仿宋"/>
                <w:spacing w:val="-2"/>
                <w:sz w:val="21"/>
                <w:szCs w:val="21"/>
              </w:rPr>
              <w:t>混合林、开垦耕地</w:t>
            </w:r>
          </w:p>
        </w:tc>
        <w:tc>
          <w:tcPr>
            <w:tcW w:w="2993" w:type="dxa"/>
            <w:tcBorders>
              <w:right w:val="nil"/>
            </w:tcBorders>
            <w:vAlign w:val="top"/>
          </w:tcPr>
          <w:p>
            <w:pPr>
              <w:spacing w:before="61" w:line="218" w:lineRule="auto"/>
              <w:ind w:left="141"/>
              <w:rPr>
                <w:rFonts w:ascii="仿宋" w:hAnsi="仿宋" w:eastAsia="仿宋" w:cs="仿宋"/>
                <w:sz w:val="21"/>
                <w:szCs w:val="21"/>
              </w:rPr>
            </w:pPr>
            <w:r>
              <w:rPr>
                <w:rFonts w:ascii="仿宋" w:hAnsi="仿宋" w:eastAsia="仿宋" w:cs="仿宋"/>
                <w:spacing w:val="-5"/>
                <w:sz w:val="21"/>
                <w:szCs w:val="21"/>
              </w:rPr>
              <w:t>做好施工方式和时间的计划，</w:t>
            </w:r>
          </w:p>
          <w:p>
            <w:pPr>
              <w:spacing w:before="63" w:line="244" w:lineRule="auto"/>
              <w:ind w:left="769" w:right="132" w:hanging="626"/>
              <w:rPr>
                <w:rFonts w:ascii="仿宋" w:hAnsi="仿宋" w:eastAsia="仿宋" w:cs="仿宋"/>
                <w:sz w:val="21"/>
                <w:szCs w:val="21"/>
              </w:rPr>
            </w:pPr>
            <w:r>
              <w:rPr>
                <w:rFonts w:ascii="仿宋" w:hAnsi="仿宋" w:eastAsia="仿宋" w:cs="仿宋"/>
                <w:spacing w:val="-2"/>
                <w:sz w:val="21"/>
                <w:szCs w:val="21"/>
              </w:rPr>
              <w:t>并力求避免在晨昏和正午爆破</w:t>
            </w:r>
            <w:r>
              <w:rPr>
                <w:rFonts w:ascii="仿宋" w:hAnsi="仿宋" w:eastAsia="仿宋" w:cs="仿宋"/>
                <w:spacing w:val="9"/>
                <w:sz w:val="21"/>
                <w:szCs w:val="21"/>
              </w:rPr>
              <w:t xml:space="preserve"> </w:t>
            </w:r>
            <w:r>
              <w:rPr>
                <w:rFonts w:ascii="仿宋" w:hAnsi="仿宋" w:eastAsia="仿宋" w:cs="仿宋"/>
                <w:spacing w:val="-2"/>
                <w:sz w:val="21"/>
                <w:szCs w:val="21"/>
              </w:rPr>
              <w:t>施工；严禁捕猎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02" w:hRule="atLeast"/>
        </w:trPr>
        <w:tc>
          <w:tcPr>
            <w:tcW w:w="405" w:type="dxa"/>
            <w:tcBorders>
              <w:left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60" w:line="188" w:lineRule="auto"/>
              <w:ind w:left="160"/>
            </w:pPr>
            <w:r>
              <w:t>4</w:t>
            </w:r>
          </w:p>
        </w:tc>
        <w:tc>
          <w:tcPr>
            <w:tcW w:w="1452" w:type="dxa"/>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spacing w:before="68" w:line="218" w:lineRule="auto"/>
              <w:ind w:left="527"/>
              <w:rPr>
                <w:rFonts w:ascii="仿宋" w:hAnsi="仿宋" w:eastAsia="仿宋" w:cs="仿宋"/>
                <w:sz w:val="21"/>
                <w:szCs w:val="21"/>
              </w:rPr>
            </w:pPr>
            <w:r>
              <w:rPr>
                <w:rFonts w:ascii="仿宋" w:hAnsi="仿宋" w:eastAsia="仿宋" w:cs="仿宋"/>
                <w:spacing w:val="-4"/>
                <w:sz w:val="21"/>
                <w:szCs w:val="21"/>
              </w:rPr>
              <w:t>雀鷹</w:t>
            </w:r>
          </w:p>
          <w:p>
            <w:pPr>
              <w:pStyle w:val="6"/>
              <w:spacing w:before="96" w:line="192" w:lineRule="auto"/>
              <w:ind w:left="334"/>
            </w:pPr>
            <w:r>
              <w:t>Accipiter</w:t>
            </w:r>
          </w:p>
          <w:p>
            <w:pPr>
              <w:pStyle w:val="6"/>
              <w:spacing w:before="121" w:line="232" w:lineRule="auto"/>
              <w:ind w:left="509"/>
            </w:pPr>
            <w:r>
              <w:rPr>
                <w:spacing w:val="-1"/>
              </w:rPr>
              <w:t>nisus</w:t>
            </w:r>
          </w:p>
        </w:tc>
        <w:tc>
          <w:tcPr>
            <w:tcW w:w="1276"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9" w:line="220" w:lineRule="auto"/>
              <w:ind w:left="190"/>
              <w:rPr>
                <w:rFonts w:ascii="仿宋" w:hAnsi="仿宋" w:eastAsia="仿宋" w:cs="仿宋"/>
              </w:rPr>
            </w:pPr>
            <w:r>
              <w:rPr>
                <w:rFonts w:ascii="仿宋" w:hAnsi="仿宋" w:eastAsia="仿宋" w:cs="仿宋"/>
                <w:spacing w:val="-26"/>
              </w:rPr>
              <w:t>Ⅱ级、</w:t>
            </w:r>
            <w:r>
              <w:rPr>
                <w:rFonts w:ascii="仿宋" w:hAnsi="仿宋" w:eastAsia="仿宋" w:cs="仿宋"/>
                <w:spacing w:val="-20"/>
              </w:rPr>
              <w:t xml:space="preserve"> </w:t>
            </w:r>
            <w:r>
              <w:rPr>
                <w:spacing w:val="-26"/>
              </w:rPr>
              <w:t>C</w:t>
            </w:r>
            <w:r>
              <w:rPr>
                <w:rFonts w:ascii="仿宋" w:hAnsi="仿宋" w:eastAsia="仿宋" w:cs="仿宋"/>
                <w:spacing w:val="-26"/>
              </w:rPr>
              <w:t>Ⅱ</w:t>
            </w:r>
          </w:p>
        </w:tc>
        <w:tc>
          <w:tcPr>
            <w:tcW w:w="2411" w:type="dxa"/>
            <w:vAlign w:val="top"/>
          </w:tcPr>
          <w:p>
            <w:pPr>
              <w:spacing w:before="66" w:line="266" w:lineRule="auto"/>
              <w:ind w:left="166" w:right="153" w:firstLine="104"/>
              <w:rPr>
                <w:rFonts w:ascii="仿宋" w:hAnsi="仿宋" w:eastAsia="仿宋" w:cs="仿宋"/>
                <w:sz w:val="21"/>
                <w:szCs w:val="21"/>
              </w:rPr>
            </w:pPr>
            <w:r>
              <w:rPr>
                <w:rFonts w:ascii="仿宋" w:hAnsi="仿宋" w:eastAsia="仿宋" w:cs="仿宋"/>
                <w:spacing w:val="-2"/>
                <w:sz w:val="21"/>
                <w:szCs w:val="21"/>
              </w:rPr>
              <w:t>栖息于针叶林、混交</w:t>
            </w:r>
            <w:r>
              <w:rPr>
                <w:rFonts w:ascii="仿宋" w:hAnsi="仿宋" w:eastAsia="仿宋" w:cs="仿宋"/>
                <w:spacing w:val="1"/>
                <w:sz w:val="21"/>
                <w:szCs w:val="21"/>
              </w:rPr>
              <w:t xml:space="preserve">  </w:t>
            </w:r>
            <w:r>
              <w:rPr>
                <w:rFonts w:ascii="仿宋" w:hAnsi="仿宋" w:eastAsia="仿宋" w:cs="仿宋"/>
                <w:spacing w:val="-2"/>
                <w:sz w:val="21"/>
                <w:szCs w:val="21"/>
              </w:rPr>
              <w:t>林、阔叶林等山地森林</w:t>
            </w:r>
            <w:r>
              <w:rPr>
                <w:rFonts w:ascii="仿宋" w:hAnsi="仿宋" w:eastAsia="仿宋" w:cs="仿宋"/>
                <w:spacing w:val="5"/>
                <w:sz w:val="21"/>
                <w:szCs w:val="21"/>
              </w:rPr>
              <w:t xml:space="preserve"> </w:t>
            </w:r>
            <w:r>
              <w:rPr>
                <w:rFonts w:ascii="仿宋" w:hAnsi="仿宋" w:eastAsia="仿宋" w:cs="仿宋"/>
                <w:spacing w:val="-2"/>
                <w:sz w:val="21"/>
                <w:szCs w:val="21"/>
              </w:rPr>
              <w:t>和林缘地带，冬季主要</w:t>
            </w:r>
            <w:r>
              <w:rPr>
                <w:rFonts w:ascii="仿宋" w:hAnsi="仿宋" w:eastAsia="仿宋" w:cs="仿宋"/>
                <w:spacing w:val="5"/>
                <w:sz w:val="21"/>
                <w:szCs w:val="21"/>
              </w:rPr>
              <w:t xml:space="preserve"> </w:t>
            </w:r>
            <w:r>
              <w:rPr>
                <w:rFonts w:ascii="仿宋" w:hAnsi="仿宋" w:eastAsia="仿宋" w:cs="仿宋"/>
                <w:spacing w:val="-2"/>
                <w:sz w:val="21"/>
                <w:szCs w:val="21"/>
              </w:rPr>
              <w:t>栖息于低山丘陵、山脚</w:t>
            </w:r>
            <w:r>
              <w:rPr>
                <w:rFonts w:ascii="仿宋" w:hAnsi="仿宋" w:eastAsia="仿宋" w:cs="仿宋"/>
                <w:spacing w:val="5"/>
                <w:sz w:val="21"/>
                <w:szCs w:val="21"/>
              </w:rPr>
              <w:t xml:space="preserve"> </w:t>
            </w:r>
            <w:r>
              <w:rPr>
                <w:rFonts w:ascii="仿宋" w:hAnsi="仿宋" w:eastAsia="仿宋" w:cs="仿宋"/>
                <w:spacing w:val="-2"/>
                <w:sz w:val="21"/>
                <w:szCs w:val="21"/>
              </w:rPr>
              <w:t>平原、农田地边、以及</w:t>
            </w:r>
            <w:r>
              <w:rPr>
                <w:rFonts w:ascii="仿宋" w:hAnsi="仿宋" w:eastAsia="仿宋" w:cs="仿宋"/>
                <w:spacing w:val="5"/>
                <w:sz w:val="21"/>
                <w:szCs w:val="21"/>
              </w:rPr>
              <w:t xml:space="preserve"> </w:t>
            </w:r>
            <w:r>
              <w:rPr>
                <w:rFonts w:ascii="仿宋" w:hAnsi="仿宋" w:eastAsia="仿宋" w:cs="仿宋"/>
                <w:spacing w:val="-2"/>
                <w:sz w:val="21"/>
                <w:szCs w:val="21"/>
              </w:rPr>
              <w:t>村庄附近，尤其喜欢在</w:t>
            </w:r>
            <w:r>
              <w:rPr>
                <w:rFonts w:ascii="仿宋" w:hAnsi="仿宋" w:eastAsia="仿宋" w:cs="仿宋"/>
                <w:spacing w:val="5"/>
                <w:sz w:val="21"/>
                <w:szCs w:val="21"/>
              </w:rPr>
              <w:t xml:space="preserve"> </w:t>
            </w:r>
            <w:r>
              <w:rPr>
                <w:rFonts w:ascii="仿宋" w:hAnsi="仿宋" w:eastAsia="仿宋" w:cs="仿宋"/>
                <w:spacing w:val="-2"/>
                <w:sz w:val="21"/>
                <w:szCs w:val="21"/>
              </w:rPr>
              <w:t>林缘、河谷，采伐迹地</w:t>
            </w:r>
          </w:p>
          <w:p>
            <w:pPr>
              <w:spacing w:before="64" w:line="239" w:lineRule="auto"/>
              <w:ind w:left="271" w:right="153" w:hanging="92"/>
              <w:rPr>
                <w:rFonts w:ascii="仿宋" w:hAnsi="仿宋" w:eastAsia="仿宋" w:cs="仿宋"/>
                <w:sz w:val="21"/>
                <w:szCs w:val="21"/>
              </w:rPr>
            </w:pPr>
            <w:r>
              <w:rPr>
                <w:rFonts w:ascii="仿宋" w:hAnsi="仿宋" w:eastAsia="仿宋" w:cs="仿宋"/>
                <w:spacing w:val="-3"/>
                <w:sz w:val="21"/>
                <w:szCs w:val="21"/>
              </w:rPr>
              <w:t>的次生林和农田附近的</w:t>
            </w:r>
            <w:r>
              <w:rPr>
                <w:rFonts w:ascii="仿宋" w:hAnsi="仿宋" w:eastAsia="仿宋" w:cs="仿宋"/>
                <w:spacing w:val="2"/>
                <w:sz w:val="21"/>
                <w:szCs w:val="21"/>
              </w:rPr>
              <w:t xml:space="preserve"> </w:t>
            </w:r>
            <w:r>
              <w:rPr>
                <w:rFonts w:ascii="仿宋" w:hAnsi="仿宋" w:eastAsia="仿宋" w:cs="仿宋"/>
                <w:spacing w:val="-5"/>
                <w:sz w:val="21"/>
                <w:szCs w:val="21"/>
              </w:rPr>
              <w:t>小块丛林地带活动。</w:t>
            </w:r>
          </w:p>
        </w:tc>
        <w:tc>
          <w:tcPr>
            <w:tcW w:w="2993" w:type="dxa"/>
            <w:tcBorders>
              <w:right w:val="nil"/>
            </w:tcBorders>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spacing w:before="68" w:line="218" w:lineRule="auto"/>
              <w:ind w:left="141"/>
              <w:rPr>
                <w:rFonts w:ascii="仿宋" w:hAnsi="仿宋" w:eastAsia="仿宋" w:cs="仿宋"/>
                <w:sz w:val="21"/>
                <w:szCs w:val="21"/>
              </w:rPr>
            </w:pPr>
            <w:r>
              <w:rPr>
                <w:rFonts w:ascii="仿宋" w:hAnsi="仿宋" w:eastAsia="仿宋" w:cs="仿宋"/>
                <w:spacing w:val="-5"/>
                <w:sz w:val="21"/>
                <w:szCs w:val="21"/>
              </w:rPr>
              <w:t>做好施工方式和时间的计划，</w:t>
            </w:r>
          </w:p>
          <w:p>
            <w:pPr>
              <w:spacing w:before="64" w:line="246" w:lineRule="auto"/>
              <w:ind w:left="769" w:right="133" w:hanging="626"/>
              <w:rPr>
                <w:rFonts w:ascii="仿宋" w:hAnsi="仿宋" w:eastAsia="仿宋" w:cs="仿宋"/>
                <w:sz w:val="21"/>
                <w:szCs w:val="21"/>
              </w:rPr>
            </w:pPr>
            <w:r>
              <w:rPr>
                <w:rFonts w:ascii="仿宋" w:hAnsi="仿宋" w:eastAsia="仿宋" w:cs="仿宋"/>
                <w:spacing w:val="-2"/>
                <w:sz w:val="21"/>
                <w:szCs w:val="21"/>
              </w:rPr>
              <w:t>并力求避免在晨昏和正午爆破</w:t>
            </w:r>
            <w:r>
              <w:rPr>
                <w:rFonts w:ascii="仿宋" w:hAnsi="仿宋" w:eastAsia="仿宋" w:cs="仿宋"/>
                <w:spacing w:val="8"/>
                <w:sz w:val="21"/>
                <w:szCs w:val="21"/>
              </w:rPr>
              <w:t xml:space="preserve"> </w:t>
            </w:r>
            <w:r>
              <w:rPr>
                <w:rFonts w:ascii="仿宋" w:hAnsi="仿宋" w:eastAsia="仿宋" w:cs="仿宋"/>
                <w:spacing w:val="-2"/>
                <w:sz w:val="21"/>
                <w:szCs w:val="21"/>
              </w:rPr>
              <w:t>施工；严禁捕猎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7" w:hRule="atLeast"/>
        </w:trPr>
        <w:tc>
          <w:tcPr>
            <w:tcW w:w="405" w:type="dxa"/>
            <w:tcBorders>
              <w:left w:val="nil"/>
            </w:tcBorders>
            <w:vAlign w:val="top"/>
          </w:tcPr>
          <w:p>
            <w:pPr>
              <w:spacing w:line="363" w:lineRule="auto"/>
              <w:rPr>
                <w:rFonts w:ascii="Arial"/>
                <w:sz w:val="21"/>
              </w:rPr>
            </w:pPr>
          </w:p>
          <w:p>
            <w:pPr>
              <w:pStyle w:val="6"/>
              <w:spacing w:before="61" w:line="185" w:lineRule="auto"/>
              <w:ind w:left="167"/>
            </w:pPr>
            <w:r>
              <w:t>5</w:t>
            </w:r>
          </w:p>
        </w:tc>
        <w:tc>
          <w:tcPr>
            <w:tcW w:w="1452" w:type="dxa"/>
            <w:vAlign w:val="top"/>
          </w:tcPr>
          <w:p>
            <w:pPr>
              <w:spacing w:before="74" w:line="345" w:lineRule="exact"/>
              <w:ind w:left="421"/>
              <w:rPr>
                <w:rFonts w:ascii="仿宋" w:hAnsi="仿宋" w:eastAsia="仿宋" w:cs="仿宋"/>
                <w:sz w:val="21"/>
                <w:szCs w:val="21"/>
              </w:rPr>
            </w:pPr>
            <w:r>
              <w:rPr>
                <w:rFonts w:ascii="仿宋" w:hAnsi="仿宋" w:eastAsia="仿宋" w:cs="仿宋"/>
                <w:spacing w:val="-3"/>
                <w:position w:val="10"/>
                <w:sz w:val="21"/>
                <w:szCs w:val="21"/>
              </w:rPr>
              <w:t>松雀鹰</w:t>
            </w:r>
          </w:p>
          <w:p>
            <w:pPr>
              <w:pStyle w:val="6"/>
              <w:spacing w:line="191" w:lineRule="auto"/>
              <w:ind w:left="334"/>
            </w:pPr>
            <w:r>
              <w:t>Accipiter</w:t>
            </w:r>
          </w:p>
          <w:p>
            <w:pPr>
              <w:pStyle w:val="6"/>
              <w:spacing w:before="120" w:line="190" w:lineRule="auto"/>
              <w:ind w:left="388"/>
            </w:pPr>
            <w:r>
              <w:rPr>
                <w:spacing w:val="-1"/>
              </w:rPr>
              <w:t>virgatus</w:t>
            </w:r>
          </w:p>
        </w:tc>
        <w:tc>
          <w:tcPr>
            <w:tcW w:w="1276" w:type="dxa"/>
            <w:vAlign w:val="top"/>
          </w:tcPr>
          <w:p>
            <w:pPr>
              <w:spacing w:line="316" w:lineRule="auto"/>
              <w:rPr>
                <w:rFonts w:ascii="Arial"/>
                <w:sz w:val="21"/>
              </w:rPr>
            </w:pPr>
          </w:p>
          <w:p>
            <w:pPr>
              <w:pStyle w:val="6"/>
              <w:spacing w:before="68" w:line="220" w:lineRule="auto"/>
              <w:ind w:left="190"/>
              <w:rPr>
                <w:rFonts w:ascii="仿宋" w:hAnsi="仿宋" w:eastAsia="仿宋" w:cs="仿宋"/>
              </w:rPr>
            </w:pPr>
            <w:r>
              <w:rPr>
                <w:rFonts w:ascii="仿宋" w:hAnsi="仿宋" w:eastAsia="仿宋" w:cs="仿宋"/>
                <w:spacing w:val="-25"/>
              </w:rPr>
              <w:t xml:space="preserve">Ⅱ级、 </w:t>
            </w:r>
            <w:r>
              <w:rPr>
                <w:spacing w:val="-25"/>
              </w:rPr>
              <w:t>C</w:t>
            </w:r>
            <w:r>
              <w:rPr>
                <w:rFonts w:ascii="仿宋" w:hAnsi="仿宋" w:eastAsia="仿宋" w:cs="仿宋"/>
                <w:spacing w:val="-25"/>
              </w:rPr>
              <w:t>Ⅱ</w:t>
            </w:r>
          </w:p>
        </w:tc>
        <w:tc>
          <w:tcPr>
            <w:tcW w:w="2411" w:type="dxa"/>
            <w:vAlign w:val="top"/>
          </w:tcPr>
          <w:p>
            <w:pPr>
              <w:spacing w:before="231" w:line="246" w:lineRule="auto"/>
              <w:ind w:left="799" w:right="153" w:hanging="614"/>
              <w:rPr>
                <w:rFonts w:ascii="仿宋" w:hAnsi="仿宋" w:eastAsia="仿宋" w:cs="仿宋"/>
                <w:sz w:val="21"/>
                <w:szCs w:val="21"/>
              </w:rPr>
            </w:pPr>
            <w:r>
              <w:rPr>
                <w:rFonts w:ascii="仿宋" w:hAnsi="仿宋" w:eastAsia="仿宋" w:cs="仿宋"/>
                <w:spacing w:val="-4"/>
                <w:sz w:val="21"/>
                <w:szCs w:val="21"/>
              </w:rPr>
              <w:t>山地针叶林、阔叶林和</w:t>
            </w:r>
            <w:r>
              <w:rPr>
                <w:rFonts w:ascii="仿宋" w:hAnsi="仿宋" w:eastAsia="仿宋" w:cs="仿宋"/>
                <w:spacing w:val="6"/>
                <w:sz w:val="21"/>
                <w:szCs w:val="21"/>
              </w:rPr>
              <w:t xml:space="preserve"> </w:t>
            </w:r>
            <w:r>
              <w:rPr>
                <w:rFonts w:ascii="仿宋" w:hAnsi="仿宋" w:eastAsia="仿宋" w:cs="仿宋"/>
                <w:spacing w:val="-4"/>
                <w:sz w:val="21"/>
                <w:szCs w:val="21"/>
              </w:rPr>
              <w:t>混交林中</w:t>
            </w:r>
          </w:p>
        </w:tc>
        <w:tc>
          <w:tcPr>
            <w:tcW w:w="2993" w:type="dxa"/>
            <w:tcBorders>
              <w:right w:val="nil"/>
            </w:tcBorders>
            <w:vAlign w:val="top"/>
          </w:tcPr>
          <w:p>
            <w:pPr>
              <w:spacing w:before="74" w:line="218" w:lineRule="auto"/>
              <w:ind w:left="141"/>
              <w:rPr>
                <w:rFonts w:ascii="仿宋" w:hAnsi="仿宋" w:eastAsia="仿宋" w:cs="仿宋"/>
                <w:sz w:val="21"/>
                <w:szCs w:val="21"/>
              </w:rPr>
            </w:pPr>
            <w:r>
              <w:rPr>
                <w:rFonts w:ascii="仿宋" w:hAnsi="仿宋" w:eastAsia="仿宋" w:cs="仿宋"/>
                <w:spacing w:val="-5"/>
                <w:sz w:val="21"/>
                <w:szCs w:val="21"/>
              </w:rPr>
              <w:t>做好施工方式和时间的计划，</w:t>
            </w:r>
          </w:p>
          <w:p>
            <w:pPr>
              <w:spacing w:before="64" w:line="237" w:lineRule="auto"/>
              <w:ind w:left="769" w:right="133" w:hanging="626"/>
              <w:rPr>
                <w:rFonts w:ascii="仿宋" w:hAnsi="仿宋" w:eastAsia="仿宋" w:cs="仿宋"/>
                <w:sz w:val="21"/>
                <w:szCs w:val="21"/>
              </w:rPr>
            </w:pPr>
            <w:r>
              <w:rPr>
                <w:rFonts w:ascii="仿宋" w:hAnsi="仿宋" w:eastAsia="仿宋" w:cs="仿宋"/>
                <w:spacing w:val="-2"/>
                <w:sz w:val="21"/>
                <w:szCs w:val="21"/>
              </w:rPr>
              <w:t>并力求避免在晨昏和正午爆破</w:t>
            </w:r>
            <w:r>
              <w:rPr>
                <w:rFonts w:ascii="仿宋" w:hAnsi="仿宋" w:eastAsia="仿宋" w:cs="仿宋"/>
                <w:spacing w:val="8"/>
                <w:sz w:val="21"/>
                <w:szCs w:val="21"/>
              </w:rPr>
              <w:t xml:space="preserve"> </w:t>
            </w:r>
            <w:r>
              <w:rPr>
                <w:rFonts w:ascii="仿宋" w:hAnsi="仿宋" w:eastAsia="仿宋" w:cs="仿宋"/>
                <w:spacing w:val="-2"/>
                <w:sz w:val="21"/>
                <w:szCs w:val="21"/>
              </w:rPr>
              <w:t>施工；严禁捕猎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51" w:hRule="atLeast"/>
        </w:trPr>
        <w:tc>
          <w:tcPr>
            <w:tcW w:w="405" w:type="dxa"/>
            <w:tcBorders>
              <w:left w:val="nil"/>
              <w:bottom w:val="single" w:color="000000" w:sz="12" w:space="0"/>
            </w:tcBorders>
            <w:vAlign w:val="top"/>
          </w:tcPr>
          <w:p>
            <w:pPr>
              <w:pStyle w:val="6"/>
              <w:spacing w:before="270" w:line="188" w:lineRule="auto"/>
              <w:ind w:left="166"/>
            </w:pPr>
            <w:r>
              <w:t>6</w:t>
            </w:r>
          </w:p>
        </w:tc>
        <w:tc>
          <w:tcPr>
            <w:tcW w:w="1452" w:type="dxa"/>
            <w:tcBorders>
              <w:bottom w:val="single" w:color="000000" w:sz="12" w:space="0"/>
            </w:tcBorders>
            <w:vAlign w:val="top"/>
          </w:tcPr>
          <w:p>
            <w:pPr>
              <w:pStyle w:val="6"/>
              <w:spacing w:before="79" w:line="262" w:lineRule="auto"/>
              <w:ind w:left="404" w:right="113" w:hanging="260"/>
            </w:pPr>
            <w:r>
              <w:rPr>
                <w:rFonts w:ascii="仿宋" w:hAnsi="仿宋" w:eastAsia="仿宋" w:cs="仿宋"/>
                <w:spacing w:val="-4"/>
              </w:rPr>
              <w:t>画眉</w:t>
            </w:r>
            <w:r>
              <w:rPr>
                <w:rFonts w:ascii="仿宋" w:hAnsi="仿宋" w:eastAsia="仿宋" w:cs="仿宋"/>
                <w:spacing w:val="-43"/>
              </w:rPr>
              <w:t xml:space="preserve"> </w:t>
            </w:r>
            <w:r>
              <w:rPr>
                <w:spacing w:val="-4"/>
              </w:rPr>
              <w:t>Garrulax</w:t>
            </w:r>
            <w:r>
              <w:t xml:space="preserve"> </w:t>
            </w:r>
            <w:r>
              <w:rPr>
                <w:spacing w:val="-1"/>
              </w:rPr>
              <w:t>canorus</w:t>
            </w:r>
          </w:p>
        </w:tc>
        <w:tc>
          <w:tcPr>
            <w:tcW w:w="1276" w:type="dxa"/>
            <w:tcBorders>
              <w:bottom w:val="single" w:color="000000" w:sz="12" w:space="0"/>
            </w:tcBorders>
            <w:vAlign w:val="top"/>
          </w:tcPr>
          <w:p>
            <w:pPr>
              <w:pStyle w:val="6"/>
              <w:spacing w:before="233" w:line="220" w:lineRule="auto"/>
              <w:ind w:left="190"/>
              <w:rPr>
                <w:rFonts w:ascii="仿宋" w:hAnsi="仿宋" w:eastAsia="仿宋" w:cs="仿宋"/>
              </w:rPr>
            </w:pPr>
            <w:r>
              <w:rPr>
                <w:rFonts w:ascii="仿宋" w:hAnsi="仿宋" w:eastAsia="仿宋" w:cs="仿宋"/>
                <w:spacing w:val="-25"/>
              </w:rPr>
              <w:t xml:space="preserve">Ⅱ级、 </w:t>
            </w:r>
            <w:r>
              <w:rPr>
                <w:spacing w:val="-25"/>
              </w:rPr>
              <w:t>C</w:t>
            </w:r>
            <w:r>
              <w:rPr>
                <w:rFonts w:ascii="仿宋" w:hAnsi="仿宋" w:eastAsia="仿宋" w:cs="仿宋"/>
                <w:spacing w:val="-25"/>
              </w:rPr>
              <w:t>Ⅱ</w:t>
            </w:r>
          </w:p>
        </w:tc>
        <w:tc>
          <w:tcPr>
            <w:tcW w:w="2411" w:type="dxa"/>
            <w:tcBorders>
              <w:bottom w:val="single" w:color="000000" w:sz="12" w:space="0"/>
            </w:tcBorders>
            <w:vAlign w:val="top"/>
          </w:tcPr>
          <w:p>
            <w:pPr>
              <w:spacing w:before="79" w:line="245" w:lineRule="auto"/>
              <w:ind w:left="380" w:right="153" w:hanging="195"/>
              <w:rPr>
                <w:rFonts w:ascii="仿宋" w:hAnsi="仿宋" w:eastAsia="仿宋" w:cs="仿宋"/>
                <w:sz w:val="21"/>
                <w:szCs w:val="21"/>
              </w:rPr>
            </w:pPr>
            <w:r>
              <w:rPr>
                <w:rFonts w:ascii="仿宋" w:hAnsi="仿宋" w:eastAsia="仿宋" w:cs="仿宋"/>
                <w:spacing w:val="-4"/>
                <w:sz w:val="21"/>
                <w:szCs w:val="21"/>
              </w:rPr>
              <w:t>山丘灌丛和村落附近或</w:t>
            </w:r>
            <w:r>
              <w:rPr>
                <w:rFonts w:ascii="仿宋" w:hAnsi="仿宋" w:eastAsia="仿宋" w:cs="仿宋"/>
                <w:spacing w:val="6"/>
                <w:sz w:val="21"/>
                <w:szCs w:val="21"/>
              </w:rPr>
              <w:t xml:space="preserve"> </w:t>
            </w:r>
            <w:r>
              <w:rPr>
                <w:rFonts w:ascii="仿宋" w:hAnsi="仿宋" w:eastAsia="仿宋" w:cs="仿宋"/>
                <w:spacing w:val="-2"/>
                <w:sz w:val="21"/>
                <w:szCs w:val="21"/>
              </w:rPr>
              <w:t>城郊的灌丛、竹林</w:t>
            </w:r>
          </w:p>
        </w:tc>
        <w:tc>
          <w:tcPr>
            <w:tcW w:w="2993" w:type="dxa"/>
            <w:tcBorders>
              <w:bottom w:val="single" w:color="000000" w:sz="12" w:space="0"/>
              <w:right w:val="nil"/>
            </w:tcBorders>
            <w:vAlign w:val="top"/>
          </w:tcPr>
          <w:p>
            <w:pPr>
              <w:spacing w:before="234" w:line="219" w:lineRule="auto"/>
              <w:ind w:left="1089"/>
              <w:rPr>
                <w:rFonts w:ascii="仿宋" w:hAnsi="仿宋" w:eastAsia="仿宋" w:cs="仿宋"/>
                <w:sz w:val="21"/>
                <w:szCs w:val="21"/>
              </w:rPr>
            </w:pPr>
            <w:r>
              <w:rPr>
                <w:rFonts w:ascii="仿宋" w:hAnsi="仿宋" w:eastAsia="仿宋" w:cs="仿宋"/>
                <w:spacing w:val="-3"/>
                <w:sz w:val="21"/>
                <w:szCs w:val="21"/>
              </w:rPr>
              <w:t>严禁捕猎</w:t>
            </w:r>
          </w:p>
        </w:tc>
      </w:tr>
    </w:tbl>
    <w:p>
      <w:pPr>
        <w:spacing w:before="35"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）水生生态</w:t>
      </w:r>
    </w:p>
    <w:p>
      <w:pPr>
        <w:spacing w:before="183" w:line="467" w:lineRule="exact"/>
        <w:ind w:left="548"/>
        <w:rPr>
          <w:rFonts w:ascii="宋体" w:hAnsi="宋体" w:eastAsia="宋体" w:cs="宋体"/>
          <w:sz w:val="24"/>
          <w:szCs w:val="24"/>
        </w:rPr>
      </w:pPr>
      <w:r>
        <w:rPr>
          <w:rFonts w:ascii="宋体" w:hAnsi="宋体" w:eastAsia="宋体" w:cs="宋体"/>
          <w:spacing w:val="-11"/>
          <w:position w:val="17"/>
          <w:sz w:val="24"/>
          <w:szCs w:val="24"/>
        </w:rPr>
        <w:t>由于流量较小， 且河道无明显大塘， 评价区鱼类主要分布于其下游干流万马</w:t>
      </w:r>
    </w:p>
    <w:p>
      <w:pPr>
        <w:spacing w:before="1" w:line="219" w:lineRule="auto"/>
        <w:ind w:left="38"/>
        <w:rPr>
          <w:rFonts w:ascii="宋体" w:hAnsi="宋体" w:eastAsia="宋体" w:cs="宋体"/>
          <w:sz w:val="24"/>
          <w:szCs w:val="24"/>
        </w:rPr>
      </w:pPr>
      <w:r>
        <w:rPr>
          <w:rFonts w:ascii="宋体" w:hAnsi="宋体" w:eastAsia="宋体" w:cs="宋体"/>
          <w:spacing w:val="-8"/>
          <w:sz w:val="24"/>
          <w:szCs w:val="24"/>
        </w:rPr>
        <w:t>河中，</w:t>
      </w:r>
      <w:r>
        <w:rPr>
          <w:rFonts w:ascii="宋体" w:hAnsi="宋体" w:eastAsia="宋体" w:cs="宋体"/>
          <w:spacing w:val="-43"/>
          <w:sz w:val="24"/>
          <w:szCs w:val="24"/>
        </w:rPr>
        <w:t xml:space="preserve"> </w:t>
      </w:r>
      <w:r>
        <w:rPr>
          <w:rFonts w:ascii="宋体" w:hAnsi="宋体" w:eastAsia="宋体" w:cs="宋体"/>
          <w:spacing w:val="-8"/>
          <w:sz w:val="24"/>
          <w:szCs w:val="24"/>
        </w:rPr>
        <w:t>桂花河的鱼类主要为万马河的鱼类上溯而来， 繁</w:t>
      </w:r>
      <w:r>
        <w:rPr>
          <w:rFonts w:ascii="宋体" w:hAnsi="宋体" w:eastAsia="宋体" w:cs="宋体"/>
          <w:spacing w:val="-9"/>
          <w:sz w:val="24"/>
          <w:szCs w:val="24"/>
        </w:rPr>
        <w:t>殖季节由于水量太小甚至</w:t>
      </w:r>
    </w:p>
    <w:p>
      <w:pPr>
        <w:spacing w:line="219" w:lineRule="auto"/>
        <w:rPr>
          <w:rFonts w:ascii="宋体" w:hAnsi="宋体" w:eastAsia="宋体" w:cs="宋体"/>
          <w:sz w:val="24"/>
          <w:szCs w:val="24"/>
        </w:rPr>
        <w:sectPr>
          <w:headerReference r:id="rId439" w:type="default"/>
          <w:footerReference r:id="rId440" w:type="default"/>
          <w:pgSz w:w="11907" w:h="16839"/>
          <w:pgMar w:top="1156" w:right="1582" w:bottom="1374" w:left="1770" w:header="881" w:footer="1210" w:gutter="0"/>
        </w:sectPr>
      </w:pPr>
    </w:p>
    <w:p>
      <w:pPr>
        <w:rPr>
          <w:rFonts w:ascii="Arial"/>
          <w:sz w:val="21"/>
        </w:rPr>
      </w:pPr>
    </w:p>
    <w:p>
      <w:pPr>
        <w:spacing w:before="78" w:line="359" w:lineRule="auto"/>
        <w:ind w:left="38" w:right="30" w:firstLine="10"/>
        <w:jc w:val="both"/>
        <w:rPr>
          <w:rFonts w:ascii="宋体" w:hAnsi="宋体" w:eastAsia="宋体" w:cs="宋体"/>
          <w:sz w:val="24"/>
          <w:szCs w:val="24"/>
        </w:rPr>
      </w:pPr>
      <w:r>
        <w:rPr>
          <w:rFonts w:ascii="宋体" w:hAnsi="宋体" w:eastAsia="宋体" w:cs="宋体"/>
          <w:spacing w:val="-14"/>
          <w:sz w:val="24"/>
          <w:szCs w:val="24"/>
        </w:rPr>
        <w:t>断流，</w:t>
      </w:r>
      <w:r>
        <w:rPr>
          <w:rFonts w:ascii="宋体" w:hAnsi="宋体" w:eastAsia="宋体" w:cs="宋体"/>
          <w:spacing w:val="-29"/>
          <w:sz w:val="24"/>
          <w:szCs w:val="24"/>
        </w:rPr>
        <w:t xml:space="preserve"> </w:t>
      </w:r>
      <w:r>
        <w:rPr>
          <w:rFonts w:ascii="宋体" w:hAnsi="宋体" w:eastAsia="宋体" w:cs="宋体"/>
          <w:spacing w:val="-14"/>
          <w:sz w:val="24"/>
          <w:szCs w:val="24"/>
        </w:rPr>
        <w:t>鱼类上行的可能性不大，</w:t>
      </w:r>
      <w:r>
        <w:rPr>
          <w:rFonts w:ascii="宋体" w:hAnsi="宋体" w:eastAsia="宋体" w:cs="宋体"/>
          <w:spacing w:val="29"/>
          <w:sz w:val="24"/>
          <w:szCs w:val="24"/>
        </w:rPr>
        <w:t xml:space="preserve"> </w:t>
      </w:r>
      <w:r>
        <w:rPr>
          <w:rFonts w:ascii="宋体" w:hAnsi="宋体" w:eastAsia="宋体" w:cs="宋体"/>
          <w:spacing w:val="-14"/>
          <w:sz w:val="24"/>
          <w:szCs w:val="24"/>
        </w:rPr>
        <w:t>所以大坝阻隔影响</w:t>
      </w:r>
      <w:r>
        <w:rPr>
          <w:rFonts w:ascii="宋体" w:hAnsi="宋体" w:eastAsia="宋体" w:cs="宋体"/>
          <w:spacing w:val="-15"/>
          <w:sz w:val="24"/>
          <w:szCs w:val="24"/>
        </w:rPr>
        <w:t>并不明显，</w:t>
      </w:r>
      <w:r>
        <w:rPr>
          <w:rFonts w:ascii="宋体" w:hAnsi="宋体" w:eastAsia="宋体" w:cs="宋体"/>
          <w:spacing w:val="29"/>
          <w:sz w:val="24"/>
          <w:szCs w:val="24"/>
        </w:rPr>
        <w:t xml:space="preserve"> </w:t>
      </w:r>
      <w:r>
        <w:rPr>
          <w:rFonts w:ascii="宋体" w:hAnsi="宋体" w:eastAsia="宋体" w:cs="宋体"/>
          <w:spacing w:val="-15"/>
          <w:sz w:val="24"/>
          <w:szCs w:val="24"/>
        </w:rPr>
        <w:t>评价区河段未发现</w:t>
      </w:r>
      <w:r>
        <w:rPr>
          <w:rFonts w:ascii="宋体" w:hAnsi="宋体" w:eastAsia="宋体" w:cs="宋体"/>
          <w:sz w:val="24"/>
          <w:szCs w:val="24"/>
        </w:rPr>
        <w:t xml:space="preserve"> </w:t>
      </w:r>
      <w:r>
        <w:rPr>
          <w:rFonts w:ascii="宋体" w:hAnsi="宋体" w:eastAsia="宋体" w:cs="宋体"/>
          <w:spacing w:val="-12"/>
          <w:sz w:val="24"/>
          <w:szCs w:val="24"/>
        </w:rPr>
        <w:t>长距离洄游性鱼类，</w:t>
      </w:r>
      <w:r>
        <w:rPr>
          <w:rFonts w:ascii="宋体" w:hAnsi="宋体" w:eastAsia="宋体" w:cs="宋体"/>
          <w:spacing w:val="44"/>
          <w:sz w:val="24"/>
          <w:szCs w:val="24"/>
        </w:rPr>
        <w:t xml:space="preserve"> </w:t>
      </w:r>
      <w:r>
        <w:rPr>
          <w:rFonts w:ascii="宋体" w:hAnsi="宋体" w:eastAsia="宋体" w:cs="宋体"/>
          <w:spacing w:val="-12"/>
          <w:sz w:val="24"/>
          <w:szCs w:val="24"/>
        </w:rPr>
        <w:t>且坝址上下鱼类区系基本相同，</w:t>
      </w:r>
      <w:r>
        <w:rPr>
          <w:rFonts w:ascii="宋体" w:hAnsi="宋体" w:eastAsia="宋体" w:cs="宋体"/>
          <w:spacing w:val="33"/>
          <w:sz w:val="24"/>
          <w:szCs w:val="24"/>
        </w:rPr>
        <w:t xml:space="preserve"> </w:t>
      </w:r>
      <w:r>
        <w:rPr>
          <w:rFonts w:ascii="宋体" w:hAnsi="宋体" w:eastAsia="宋体" w:cs="宋体"/>
          <w:spacing w:val="-12"/>
          <w:sz w:val="24"/>
          <w:szCs w:val="24"/>
        </w:rPr>
        <w:t>大坝无需建设鱼道。但由于</w:t>
      </w:r>
      <w:r>
        <w:rPr>
          <w:rFonts w:ascii="宋体" w:hAnsi="宋体" w:eastAsia="宋体" w:cs="宋体"/>
          <w:sz w:val="24"/>
          <w:szCs w:val="24"/>
        </w:rPr>
        <w:t xml:space="preserve"> </w:t>
      </w:r>
      <w:r>
        <w:rPr>
          <w:rFonts w:ascii="宋体" w:hAnsi="宋体" w:eastAsia="宋体" w:cs="宋体"/>
          <w:spacing w:val="-12"/>
          <w:sz w:val="24"/>
          <w:szCs w:val="24"/>
        </w:rPr>
        <w:t>存在流量、水深、流速下降等不利影响，</w:t>
      </w:r>
      <w:r>
        <w:rPr>
          <w:rFonts w:ascii="宋体" w:hAnsi="宋体" w:eastAsia="宋体" w:cs="宋体"/>
          <w:spacing w:val="39"/>
          <w:sz w:val="24"/>
          <w:szCs w:val="24"/>
        </w:rPr>
        <w:t xml:space="preserve"> </w:t>
      </w:r>
      <w:r>
        <w:rPr>
          <w:rFonts w:ascii="宋体" w:hAnsi="宋体" w:eastAsia="宋体" w:cs="宋体"/>
          <w:spacing w:val="-12"/>
          <w:sz w:val="24"/>
          <w:szCs w:val="24"/>
        </w:rPr>
        <w:t>在保障下泄生态流量的基础上，</w:t>
      </w:r>
      <w:r>
        <w:rPr>
          <w:rFonts w:ascii="宋体" w:hAnsi="宋体" w:eastAsia="宋体" w:cs="宋体"/>
          <w:spacing w:val="36"/>
          <w:sz w:val="24"/>
          <w:szCs w:val="24"/>
        </w:rPr>
        <w:t xml:space="preserve"> </w:t>
      </w:r>
      <w:r>
        <w:rPr>
          <w:rFonts w:ascii="宋体" w:hAnsi="宋体" w:eastAsia="宋体" w:cs="宋体"/>
          <w:spacing w:val="-12"/>
          <w:sz w:val="24"/>
          <w:szCs w:val="24"/>
        </w:rPr>
        <w:t>还应开</w:t>
      </w:r>
      <w:r>
        <w:rPr>
          <w:rFonts w:ascii="宋体" w:hAnsi="宋体" w:eastAsia="宋体" w:cs="宋体"/>
          <w:sz w:val="24"/>
          <w:szCs w:val="24"/>
        </w:rPr>
        <w:t xml:space="preserve"> </w:t>
      </w:r>
      <w:r>
        <w:rPr>
          <w:rFonts w:ascii="宋体" w:hAnsi="宋体" w:eastAsia="宋体" w:cs="宋体"/>
          <w:spacing w:val="-8"/>
          <w:sz w:val="24"/>
          <w:szCs w:val="24"/>
        </w:rPr>
        <w:t>展鱼类增殖放流，</w:t>
      </w:r>
      <w:r>
        <w:rPr>
          <w:rFonts w:ascii="宋体" w:hAnsi="宋体" w:eastAsia="宋体" w:cs="宋体"/>
          <w:spacing w:val="41"/>
          <w:sz w:val="24"/>
          <w:szCs w:val="24"/>
        </w:rPr>
        <w:t xml:space="preserve"> </w:t>
      </w:r>
      <w:r>
        <w:rPr>
          <w:rFonts w:ascii="宋体" w:hAnsi="宋体" w:eastAsia="宋体" w:cs="宋体"/>
          <w:spacing w:val="-8"/>
          <w:sz w:val="24"/>
          <w:szCs w:val="24"/>
        </w:rPr>
        <w:t>以弥补水库建设运行对桂花河中上游流域鱼</w:t>
      </w:r>
      <w:r>
        <w:rPr>
          <w:rFonts w:ascii="宋体" w:hAnsi="宋体" w:eastAsia="宋体" w:cs="宋体"/>
          <w:spacing w:val="-9"/>
          <w:sz w:val="24"/>
          <w:szCs w:val="24"/>
        </w:rPr>
        <w:t>类的不利影响。因</w:t>
      </w:r>
    </w:p>
    <w:p>
      <w:pPr>
        <w:spacing w:before="1" w:line="218" w:lineRule="auto"/>
        <w:ind w:left="40"/>
        <w:rPr>
          <w:rFonts w:ascii="宋体" w:hAnsi="宋体" w:eastAsia="宋体" w:cs="宋体"/>
          <w:sz w:val="24"/>
          <w:szCs w:val="24"/>
        </w:rPr>
      </w:pPr>
      <w:r>
        <w:rPr>
          <w:rFonts w:ascii="宋体" w:hAnsi="宋体" w:eastAsia="宋体" w:cs="宋体"/>
          <w:spacing w:val="-4"/>
          <w:sz w:val="24"/>
          <w:szCs w:val="24"/>
        </w:rPr>
        <w:t>此，本项目主要采取以下水生生态减缓措施：</w:t>
      </w:r>
    </w:p>
    <w:p>
      <w:pPr>
        <w:spacing w:before="182" w:line="359" w:lineRule="auto"/>
        <w:ind w:left="41" w:right="30" w:firstLine="477"/>
        <w:jc w:val="both"/>
        <w:rPr>
          <w:rFonts w:ascii="宋体" w:hAnsi="宋体" w:eastAsia="宋体" w:cs="宋体"/>
          <w:sz w:val="24"/>
          <w:szCs w:val="24"/>
        </w:rPr>
      </w:pPr>
      <w:r>
        <w:rPr>
          <w:rFonts w:ascii="宋体" w:hAnsi="宋体" w:eastAsia="宋体" w:cs="宋体"/>
          <w:spacing w:val="-3"/>
          <w:sz w:val="24"/>
          <w:szCs w:val="24"/>
        </w:rPr>
        <w:t>①对施工期产生的生产生活废水进行有效治理后不外排，避免对水</w:t>
      </w:r>
      <w:r>
        <w:rPr>
          <w:rFonts w:ascii="宋体" w:hAnsi="宋体" w:eastAsia="宋体" w:cs="宋体"/>
          <w:spacing w:val="-4"/>
          <w:sz w:val="24"/>
          <w:szCs w:val="24"/>
        </w:rPr>
        <w:t>体水质造</w:t>
      </w:r>
      <w:r>
        <w:rPr>
          <w:rFonts w:ascii="宋体" w:hAnsi="宋体" w:eastAsia="宋体" w:cs="宋体"/>
          <w:sz w:val="24"/>
          <w:szCs w:val="24"/>
        </w:rPr>
        <w:t xml:space="preserve"> </w:t>
      </w:r>
      <w:r>
        <w:rPr>
          <w:rFonts w:ascii="宋体" w:hAnsi="宋体" w:eastAsia="宋体" w:cs="宋体"/>
          <w:spacing w:val="-15"/>
          <w:sz w:val="24"/>
          <w:szCs w:val="24"/>
        </w:rPr>
        <w:t>成污染， 影响鱼类生长繁殖；</w:t>
      </w:r>
      <w:r>
        <w:rPr>
          <w:rFonts w:ascii="宋体" w:hAnsi="宋体" w:eastAsia="宋体" w:cs="宋体"/>
          <w:spacing w:val="44"/>
          <w:sz w:val="24"/>
          <w:szCs w:val="24"/>
        </w:rPr>
        <w:t xml:space="preserve"> </w:t>
      </w:r>
      <w:r>
        <w:rPr>
          <w:rFonts w:ascii="宋体" w:hAnsi="宋体" w:eastAsia="宋体" w:cs="宋体"/>
          <w:spacing w:val="-15"/>
          <w:sz w:val="24"/>
          <w:szCs w:val="24"/>
        </w:rPr>
        <w:t>对施工队伍加强环境保护宣传教育，</w:t>
      </w:r>
      <w:r>
        <w:rPr>
          <w:rFonts w:ascii="宋体" w:hAnsi="宋体" w:eastAsia="宋体" w:cs="宋体"/>
          <w:spacing w:val="30"/>
          <w:sz w:val="24"/>
          <w:szCs w:val="24"/>
        </w:rPr>
        <w:t xml:space="preserve"> </w:t>
      </w:r>
      <w:r>
        <w:rPr>
          <w:rFonts w:ascii="宋体" w:hAnsi="宋体" w:eastAsia="宋体" w:cs="宋体"/>
          <w:spacing w:val="-15"/>
          <w:sz w:val="24"/>
          <w:szCs w:val="24"/>
        </w:rPr>
        <w:t>禁止施工人员</w:t>
      </w:r>
    </w:p>
    <w:p>
      <w:pPr>
        <w:spacing w:line="219" w:lineRule="auto"/>
        <w:ind w:left="38"/>
        <w:rPr>
          <w:rFonts w:ascii="宋体" w:hAnsi="宋体" w:eastAsia="宋体" w:cs="宋体"/>
          <w:sz w:val="24"/>
          <w:szCs w:val="24"/>
        </w:rPr>
      </w:pPr>
      <w:r>
        <w:rPr>
          <w:rFonts w:ascii="宋体" w:hAnsi="宋体" w:eastAsia="宋体" w:cs="宋体"/>
          <w:spacing w:val="-5"/>
          <w:sz w:val="24"/>
          <w:szCs w:val="24"/>
        </w:rPr>
        <w:t>捕捞河道鱼类资源。</w:t>
      </w:r>
    </w:p>
    <w:p>
      <w:pPr>
        <w:spacing w:before="182" w:line="359" w:lineRule="auto"/>
        <w:ind w:left="42" w:right="30" w:firstLine="475"/>
        <w:jc w:val="both"/>
        <w:rPr>
          <w:rFonts w:ascii="宋体" w:hAnsi="宋体" w:eastAsia="宋体" w:cs="宋体"/>
          <w:sz w:val="24"/>
          <w:szCs w:val="24"/>
        </w:rPr>
      </w:pPr>
      <w:r>
        <w:rPr>
          <w:rFonts w:ascii="宋体" w:hAnsi="宋体" w:eastAsia="宋体" w:cs="宋体"/>
          <w:spacing w:val="-1"/>
          <w:sz w:val="24"/>
          <w:szCs w:val="24"/>
        </w:rPr>
        <w:t>②枢纽工程利用导流输水放空隧洞预埋的</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DN325</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钢管下泄生态流量；引洪</w:t>
      </w:r>
      <w:r>
        <w:rPr>
          <w:rFonts w:ascii="宋体" w:hAnsi="宋体" w:eastAsia="宋体" w:cs="宋体"/>
          <w:sz w:val="24"/>
          <w:szCs w:val="24"/>
        </w:rPr>
        <w:t xml:space="preserve"> </w:t>
      </w:r>
      <w:r>
        <w:rPr>
          <w:rFonts w:ascii="宋体" w:hAnsi="宋体" w:eastAsia="宋体" w:cs="宋体"/>
          <w:spacing w:val="-6"/>
          <w:sz w:val="24"/>
          <w:szCs w:val="24"/>
        </w:rPr>
        <w:t>工程、引水工程不引水季节直接利用冲沙闸下泄生态流量</w:t>
      </w:r>
      <w:r>
        <w:rPr>
          <w:rFonts w:ascii="宋体" w:hAnsi="宋体" w:eastAsia="宋体" w:cs="宋体"/>
          <w:spacing w:val="-7"/>
          <w:sz w:val="24"/>
          <w:szCs w:val="24"/>
        </w:rPr>
        <w:t>， 汛期引水时段通过引</w:t>
      </w:r>
    </w:p>
    <w:p>
      <w:pPr>
        <w:spacing w:before="1" w:line="218" w:lineRule="auto"/>
        <w:ind w:left="42"/>
        <w:rPr>
          <w:rFonts w:ascii="宋体" w:hAnsi="宋体" w:eastAsia="宋体" w:cs="宋体"/>
          <w:sz w:val="24"/>
          <w:szCs w:val="24"/>
        </w:rPr>
      </w:pPr>
      <w:r>
        <w:rPr>
          <w:rFonts w:ascii="宋体" w:hAnsi="宋体" w:eastAsia="宋体" w:cs="宋体"/>
          <w:spacing w:val="-2"/>
          <w:sz w:val="24"/>
          <w:szCs w:val="24"/>
        </w:rPr>
        <w:t>水沟埋设</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DN150</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的放水管向下游河道供水，并在下游进行实时</w:t>
      </w:r>
      <w:r>
        <w:rPr>
          <w:rFonts w:ascii="宋体" w:hAnsi="宋体" w:eastAsia="宋体" w:cs="宋体"/>
          <w:spacing w:val="-3"/>
          <w:sz w:val="24"/>
          <w:szCs w:val="24"/>
        </w:rPr>
        <w:t>流量在线监测。</w:t>
      </w:r>
    </w:p>
    <w:p>
      <w:pPr>
        <w:pStyle w:val="2"/>
        <w:spacing w:before="183" w:line="233" w:lineRule="auto"/>
        <w:ind w:left="38"/>
        <w:outlineLvl w:val="3"/>
        <w:rPr>
          <w:sz w:val="24"/>
          <w:szCs w:val="24"/>
        </w:rPr>
      </w:pPr>
      <w:r>
        <w:rPr>
          <w:rFonts w:ascii="Times New Roman" w:hAnsi="Times New Roman" w:eastAsia="Times New Roman" w:cs="Times New Roman"/>
          <w:b/>
          <w:bCs/>
          <w:spacing w:val="-1"/>
          <w:sz w:val="24"/>
          <w:szCs w:val="24"/>
        </w:rPr>
        <w:t xml:space="preserve">6.1.3 </w:t>
      </w:r>
      <w:r>
        <w:rPr>
          <w:spacing w:val="-1"/>
          <w:sz w:val="24"/>
          <w:szCs w:val="24"/>
          <w14:textOutline w14:w="4354" w14:cap="flat" w14:cmpd="sng">
            <w14:solidFill>
              <w14:srgbClr w14:val="000000"/>
            </w14:solidFill>
            <w14:prstDash w14:val="solid"/>
            <w14:miter w14:val="0"/>
          </w14:textOutline>
        </w:rPr>
        <w:t>补偿措施</w:t>
      </w:r>
    </w:p>
    <w:p>
      <w:pPr>
        <w:spacing w:before="164" w:line="359" w:lineRule="auto"/>
        <w:ind w:left="39" w:right="30"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）对于永久性占用的林地，应根据有关规定采取异地补偿的方法恢复，</w:t>
      </w:r>
      <w:r>
        <w:rPr>
          <w:rFonts w:ascii="宋体" w:hAnsi="宋体" w:eastAsia="宋体" w:cs="宋体"/>
          <w:spacing w:val="7"/>
          <w:sz w:val="24"/>
          <w:szCs w:val="24"/>
        </w:rPr>
        <w:t xml:space="preserve"> </w:t>
      </w:r>
      <w:r>
        <w:rPr>
          <w:rFonts w:ascii="宋体" w:hAnsi="宋体" w:eastAsia="宋体" w:cs="宋体"/>
          <w:spacing w:val="-9"/>
          <w:sz w:val="24"/>
          <w:szCs w:val="24"/>
        </w:rPr>
        <w:t>原则上应损失多少必须补充多少， 并采取人工抚育至少</w:t>
      </w:r>
      <w:r>
        <w:rPr>
          <w:rFonts w:ascii="宋体" w:hAnsi="宋体" w:eastAsia="宋体" w:cs="宋体"/>
          <w:spacing w:val="-43"/>
          <w:sz w:val="24"/>
          <w:szCs w:val="24"/>
        </w:rPr>
        <w:t xml:space="preserve"> </w:t>
      </w:r>
      <w:r>
        <w:rPr>
          <w:rFonts w:ascii="Times New Roman" w:hAnsi="Times New Roman" w:eastAsia="Times New Roman" w:cs="Times New Roman"/>
          <w:spacing w:val="-9"/>
          <w:sz w:val="24"/>
          <w:szCs w:val="24"/>
        </w:rPr>
        <w:t xml:space="preserve">5 </w:t>
      </w:r>
      <w:r>
        <w:rPr>
          <w:rFonts w:ascii="宋体" w:hAnsi="宋体" w:eastAsia="宋体" w:cs="宋体"/>
          <w:spacing w:val="-9"/>
          <w:sz w:val="24"/>
          <w:szCs w:val="24"/>
        </w:rPr>
        <w:t>年的措施，</w:t>
      </w:r>
      <w:r>
        <w:rPr>
          <w:rFonts w:ascii="宋体" w:hAnsi="宋体" w:eastAsia="宋体" w:cs="宋体"/>
          <w:spacing w:val="-28"/>
          <w:sz w:val="24"/>
          <w:szCs w:val="24"/>
        </w:rPr>
        <w:t xml:space="preserve"> </w:t>
      </w:r>
      <w:r>
        <w:rPr>
          <w:rFonts w:ascii="宋体" w:hAnsi="宋体" w:eastAsia="宋体" w:cs="宋体"/>
          <w:spacing w:val="-9"/>
          <w:sz w:val="24"/>
          <w:szCs w:val="24"/>
        </w:rPr>
        <w:t>使每公顷生</w:t>
      </w:r>
      <w:r>
        <w:rPr>
          <w:rFonts w:ascii="宋体" w:hAnsi="宋体" w:eastAsia="宋体" w:cs="宋体"/>
          <w:sz w:val="24"/>
          <w:szCs w:val="24"/>
        </w:rPr>
        <w:t xml:space="preserve"> </w:t>
      </w:r>
      <w:r>
        <w:rPr>
          <w:rFonts w:ascii="宋体" w:hAnsi="宋体" w:eastAsia="宋体" w:cs="宋体"/>
          <w:spacing w:val="-3"/>
          <w:sz w:val="24"/>
          <w:szCs w:val="24"/>
        </w:rPr>
        <w:t>物量不低于原有水平。并向被征用单位支付林地补偿费、林木补偿费、安置补助</w:t>
      </w:r>
    </w:p>
    <w:p>
      <w:pPr>
        <w:spacing w:before="1" w:line="219" w:lineRule="auto"/>
        <w:ind w:left="52"/>
        <w:rPr>
          <w:rFonts w:ascii="宋体" w:hAnsi="宋体" w:eastAsia="宋体" w:cs="宋体"/>
          <w:sz w:val="24"/>
          <w:szCs w:val="24"/>
        </w:rPr>
      </w:pPr>
      <w:r>
        <w:rPr>
          <w:rFonts w:ascii="宋体" w:hAnsi="宋体" w:eastAsia="宋体" w:cs="宋体"/>
          <w:spacing w:val="-3"/>
          <w:sz w:val="24"/>
          <w:szCs w:val="24"/>
        </w:rPr>
        <w:t>费，向县以上林业行政主管部门交纳森林植被恢复费。</w:t>
      </w:r>
    </w:p>
    <w:p>
      <w:pPr>
        <w:spacing w:before="182" w:line="359" w:lineRule="auto"/>
        <w:ind w:left="40" w:right="30"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）施工中除了永久占地之外，对其他临时占地形成的施工迹地，要按照</w:t>
      </w:r>
      <w:r>
        <w:rPr>
          <w:rFonts w:ascii="宋体" w:hAnsi="宋体" w:eastAsia="宋体" w:cs="宋体"/>
          <w:spacing w:val="6"/>
          <w:sz w:val="24"/>
          <w:szCs w:val="24"/>
        </w:rPr>
        <w:t xml:space="preserve"> </w:t>
      </w:r>
      <w:r>
        <w:rPr>
          <w:rFonts w:ascii="宋体" w:hAnsi="宋体" w:eastAsia="宋体" w:cs="宋体"/>
          <w:spacing w:val="-9"/>
          <w:sz w:val="24"/>
          <w:szCs w:val="24"/>
        </w:rPr>
        <w:t>有关要求进行植被恢复， 并尽量连成片， 为陆生动物</w:t>
      </w:r>
      <w:r>
        <w:rPr>
          <w:rFonts w:ascii="宋体" w:hAnsi="宋体" w:eastAsia="宋体" w:cs="宋体"/>
          <w:spacing w:val="-10"/>
          <w:sz w:val="24"/>
          <w:szCs w:val="24"/>
        </w:rPr>
        <w:t>的迁移和交流有意识地构件</w:t>
      </w:r>
    </w:p>
    <w:p>
      <w:pPr>
        <w:spacing w:line="220" w:lineRule="auto"/>
        <w:ind w:left="40"/>
        <w:rPr>
          <w:rFonts w:ascii="宋体" w:hAnsi="宋体" w:eastAsia="宋体" w:cs="宋体"/>
          <w:sz w:val="24"/>
          <w:szCs w:val="24"/>
        </w:rPr>
      </w:pPr>
      <w:r>
        <w:rPr>
          <w:rFonts w:ascii="宋体" w:hAnsi="宋体" w:eastAsia="宋体" w:cs="宋体"/>
          <w:spacing w:val="-6"/>
          <w:sz w:val="24"/>
          <w:szCs w:val="24"/>
        </w:rPr>
        <w:t>新的生物廊道。</w:t>
      </w:r>
    </w:p>
    <w:p>
      <w:pPr>
        <w:spacing w:before="180" w:line="467" w:lineRule="exact"/>
        <w:ind w:right="29"/>
        <w:jc w:val="right"/>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3</w:t>
      </w:r>
      <w:r>
        <w:rPr>
          <w:rFonts w:ascii="宋体" w:hAnsi="宋体" w:eastAsia="宋体" w:cs="宋体"/>
          <w:spacing w:val="-3"/>
          <w:position w:val="17"/>
          <w:sz w:val="24"/>
          <w:szCs w:val="24"/>
        </w:rPr>
        <w:t>）临时用地在施工结束后根据土地原有用途及时恢复，</w:t>
      </w:r>
      <w:r>
        <w:rPr>
          <w:rFonts w:ascii="宋体" w:hAnsi="宋体" w:eastAsia="宋体" w:cs="宋体"/>
          <w:spacing w:val="-4"/>
          <w:position w:val="17"/>
          <w:sz w:val="24"/>
          <w:szCs w:val="24"/>
        </w:rPr>
        <w:t xml:space="preserve"> 其中林地恢复应</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采用当地物种，禁止引进外来物种。</w:t>
      </w:r>
    </w:p>
    <w:p>
      <w:pPr>
        <w:spacing w:before="182"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）公益林恢复措施</w:t>
      </w:r>
    </w:p>
    <w:p>
      <w:pPr>
        <w:spacing w:before="180" w:line="360" w:lineRule="auto"/>
        <w:ind w:left="41" w:right="30" w:firstLine="481"/>
        <w:rPr>
          <w:rFonts w:ascii="宋体" w:hAnsi="宋体" w:eastAsia="宋体" w:cs="宋体"/>
          <w:sz w:val="24"/>
          <w:szCs w:val="24"/>
        </w:rPr>
      </w:pPr>
      <w:r>
        <w:rPr>
          <w:rFonts w:ascii="宋体" w:hAnsi="宋体" w:eastAsia="宋体" w:cs="宋体"/>
          <w:spacing w:val="-3"/>
          <w:sz w:val="24"/>
          <w:szCs w:val="24"/>
        </w:rPr>
        <w:t>项目占用的省级公益林、国家二级公益林类型均为水土</w:t>
      </w:r>
      <w:r>
        <w:rPr>
          <w:rFonts w:ascii="宋体" w:hAnsi="宋体" w:eastAsia="宋体" w:cs="宋体"/>
          <w:spacing w:val="-4"/>
          <w:sz w:val="24"/>
          <w:szCs w:val="24"/>
        </w:rPr>
        <w:t>保持林。公益林恢复</w:t>
      </w:r>
      <w:r>
        <w:rPr>
          <w:rFonts w:ascii="宋体" w:hAnsi="宋体" w:eastAsia="宋体" w:cs="宋体"/>
          <w:sz w:val="24"/>
          <w:szCs w:val="24"/>
        </w:rPr>
        <w:t xml:space="preserve"> </w:t>
      </w:r>
      <w:r>
        <w:rPr>
          <w:rFonts w:ascii="宋体" w:hAnsi="宋体" w:eastAsia="宋体" w:cs="宋体"/>
          <w:spacing w:val="-12"/>
          <w:sz w:val="24"/>
          <w:szCs w:val="24"/>
        </w:rPr>
        <w:t>按照《生态公益林建设导则》（</w:t>
      </w:r>
      <w:r>
        <w:rPr>
          <w:rFonts w:ascii="Times New Roman" w:hAnsi="Times New Roman" w:eastAsia="Times New Roman" w:cs="Times New Roman"/>
          <w:spacing w:val="-12"/>
          <w:sz w:val="24"/>
          <w:szCs w:val="24"/>
        </w:rPr>
        <w:t>GB/T18337</w:t>
      </w:r>
      <w:r>
        <w:rPr>
          <w:rFonts w:ascii="Times New Roman" w:hAnsi="Times New Roman" w:eastAsia="Times New Roman" w:cs="Times New Roman"/>
          <w:spacing w:val="-13"/>
          <w:sz w:val="24"/>
          <w:szCs w:val="24"/>
        </w:rPr>
        <w:t>.1-2001</w:t>
      </w:r>
      <w:r>
        <w:rPr>
          <w:rFonts w:ascii="宋体" w:hAnsi="宋体" w:eastAsia="宋体" w:cs="宋体"/>
          <w:spacing w:val="-13"/>
          <w:sz w:val="24"/>
          <w:szCs w:val="24"/>
        </w:rPr>
        <w:t>）、《生态公益林建设技术规程》</w:t>
      </w:r>
    </w:p>
    <w:p>
      <w:pPr>
        <w:spacing w:before="2" w:line="220" w:lineRule="auto"/>
        <w:ind w:left="4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GB/T18337.3-2001</w:t>
      </w:r>
      <w:r>
        <w:rPr>
          <w:rFonts w:ascii="宋体" w:hAnsi="宋体" w:eastAsia="宋体" w:cs="宋体"/>
          <w:spacing w:val="-2"/>
          <w:sz w:val="24"/>
          <w:szCs w:val="24"/>
        </w:rPr>
        <w:t>）要求建设。</w:t>
      </w:r>
    </w:p>
    <w:p>
      <w:pPr>
        <w:spacing w:before="180" w:line="217" w:lineRule="auto"/>
        <w:ind w:left="518"/>
        <w:rPr>
          <w:rFonts w:ascii="宋体" w:hAnsi="宋体" w:eastAsia="宋体" w:cs="宋体"/>
          <w:sz w:val="24"/>
          <w:szCs w:val="24"/>
        </w:rPr>
      </w:pPr>
      <w:r>
        <w:rPr>
          <w:rFonts w:ascii="宋体" w:hAnsi="宋体" w:eastAsia="宋体" w:cs="宋体"/>
          <w:spacing w:val="-2"/>
          <w:sz w:val="24"/>
          <w:szCs w:val="24"/>
        </w:rPr>
        <w:t>①树种选择</w:t>
      </w:r>
    </w:p>
    <w:p>
      <w:pPr>
        <w:spacing w:before="184" w:line="359" w:lineRule="auto"/>
        <w:ind w:left="41" w:right="32" w:firstLine="481"/>
        <w:rPr>
          <w:rFonts w:ascii="宋体" w:hAnsi="宋体" w:eastAsia="宋体" w:cs="宋体"/>
          <w:sz w:val="24"/>
          <w:szCs w:val="24"/>
        </w:rPr>
      </w:pPr>
      <w:r>
        <w:rPr>
          <w:rFonts w:ascii="宋体" w:hAnsi="宋体" w:eastAsia="宋体" w:cs="宋体"/>
          <w:spacing w:val="12"/>
          <w:sz w:val="24"/>
          <w:szCs w:val="24"/>
        </w:rPr>
        <w:t>项目恢复公益林类型为水源涵养林，根据《生态</w:t>
      </w:r>
      <w:r>
        <w:rPr>
          <w:rFonts w:ascii="宋体" w:hAnsi="宋体" w:eastAsia="宋体" w:cs="宋体"/>
          <w:spacing w:val="11"/>
          <w:sz w:val="24"/>
          <w:szCs w:val="24"/>
        </w:rPr>
        <w:t>公益林建设技术规程》</w:t>
      </w:r>
      <w:r>
        <w:rPr>
          <w:rFonts w:ascii="宋体" w:hAnsi="宋体" w:eastAsia="宋体" w:cs="宋体"/>
          <w:sz w:val="24"/>
          <w:szCs w:val="24"/>
        </w:rPr>
        <w:t xml:space="preserve"> </w:t>
      </w:r>
      <w:r>
        <w:rPr>
          <w:rFonts w:ascii="宋体" w:hAnsi="宋体" w:eastAsia="宋体" w:cs="宋体"/>
          <w:spacing w:val="-8"/>
          <w:sz w:val="24"/>
          <w:szCs w:val="24"/>
        </w:rPr>
        <w:t>（</w:t>
      </w:r>
      <w:r>
        <w:rPr>
          <w:rFonts w:ascii="Times New Roman" w:hAnsi="Times New Roman" w:eastAsia="Times New Roman" w:cs="Times New Roman"/>
          <w:spacing w:val="-8"/>
          <w:sz w:val="24"/>
          <w:szCs w:val="24"/>
        </w:rPr>
        <w:t>GB/T18337.3-2001</w:t>
      </w:r>
      <w:r>
        <w:rPr>
          <w:rFonts w:ascii="宋体" w:hAnsi="宋体" w:eastAsia="宋体" w:cs="宋体"/>
          <w:spacing w:val="-8"/>
          <w:sz w:val="24"/>
          <w:szCs w:val="24"/>
        </w:rPr>
        <w:t>）要求， 应选择树体高大、冠幅大，</w:t>
      </w:r>
      <w:r>
        <w:rPr>
          <w:rFonts w:ascii="宋体" w:hAnsi="宋体" w:eastAsia="宋体" w:cs="宋体"/>
          <w:spacing w:val="48"/>
          <w:sz w:val="24"/>
          <w:szCs w:val="24"/>
        </w:rPr>
        <w:t xml:space="preserve"> </w:t>
      </w:r>
      <w:r>
        <w:rPr>
          <w:rFonts w:ascii="宋体" w:hAnsi="宋体" w:eastAsia="宋体" w:cs="宋体"/>
          <w:spacing w:val="-9"/>
          <w:sz w:val="24"/>
          <w:szCs w:val="24"/>
        </w:rPr>
        <w:t>林内枯枝落叶丰富和枯</w:t>
      </w:r>
      <w:r>
        <w:rPr>
          <w:rFonts w:ascii="宋体" w:hAnsi="宋体" w:eastAsia="宋体" w:cs="宋体"/>
          <w:sz w:val="24"/>
          <w:szCs w:val="24"/>
        </w:rPr>
        <w:t xml:space="preserve"> </w:t>
      </w:r>
      <w:r>
        <w:rPr>
          <w:rFonts w:ascii="宋体" w:hAnsi="宋体" w:eastAsia="宋体" w:cs="宋体"/>
          <w:spacing w:val="-12"/>
          <w:sz w:val="24"/>
          <w:szCs w:val="24"/>
        </w:rPr>
        <w:t>落物易于分解，</w:t>
      </w:r>
      <w:r>
        <w:rPr>
          <w:rFonts w:ascii="宋体" w:hAnsi="宋体" w:eastAsia="宋体" w:cs="宋体"/>
          <w:spacing w:val="42"/>
          <w:sz w:val="24"/>
          <w:szCs w:val="24"/>
        </w:rPr>
        <w:t xml:space="preserve"> </w:t>
      </w:r>
      <w:r>
        <w:rPr>
          <w:rFonts w:ascii="宋体" w:hAnsi="宋体" w:eastAsia="宋体" w:cs="宋体"/>
          <w:spacing w:val="-12"/>
          <w:sz w:val="24"/>
          <w:szCs w:val="24"/>
        </w:rPr>
        <w:t>具有深根系、根量多和根域广；</w:t>
      </w:r>
      <w:r>
        <w:rPr>
          <w:rFonts w:ascii="宋体" w:hAnsi="宋体" w:eastAsia="宋体" w:cs="宋体"/>
          <w:spacing w:val="41"/>
          <w:sz w:val="24"/>
          <w:szCs w:val="24"/>
        </w:rPr>
        <w:t xml:space="preserve"> </w:t>
      </w:r>
      <w:r>
        <w:rPr>
          <w:rFonts w:ascii="宋体" w:hAnsi="宋体" w:eastAsia="宋体" w:cs="宋体"/>
          <w:spacing w:val="-12"/>
          <w:sz w:val="24"/>
          <w:szCs w:val="24"/>
        </w:rPr>
        <w:t>长寿、</w:t>
      </w:r>
      <w:r>
        <w:rPr>
          <w:rFonts w:ascii="宋体" w:hAnsi="宋体" w:eastAsia="宋体" w:cs="宋体"/>
          <w:spacing w:val="-13"/>
          <w:sz w:val="24"/>
          <w:szCs w:val="24"/>
        </w:rPr>
        <w:t>生长稳定且抗性强的树种</w:t>
      </w:r>
    </w:p>
    <w:p>
      <w:pPr>
        <w:spacing w:before="1" w:line="219" w:lineRule="auto"/>
        <w:ind w:left="39"/>
        <w:rPr>
          <w:rFonts w:ascii="宋体" w:hAnsi="宋体" w:eastAsia="宋体" w:cs="宋体"/>
          <w:sz w:val="24"/>
          <w:szCs w:val="24"/>
        </w:rPr>
      </w:pPr>
      <w:r>
        <w:rPr>
          <w:rFonts w:ascii="宋体" w:hAnsi="宋体" w:eastAsia="宋体" w:cs="宋体"/>
          <w:spacing w:val="-14"/>
          <w:sz w:val="24"/>
          <w:szCs w:val="24"/>
        </w:rPr>
        <w:t>类；</w:t>
      </w:r>
      <w:r>
        <w:rPr>
          <w:rFonts w:ascii="宋体" w:hAnsi="宋体" w:eastAsia="宋体" w:cs="宋体"/>
          <w:spacing w:val="-60"/>
          <w:sz w:val="24"/>
          <w:szCs w:val="24"/>
        </w:rPr>
        <w:t xml:space="preserve"> </w:t>
      </w:r>
      <w:r>
        <w:rPr>
          <w:rFonts w:ascii="宋体" w:hAnsi="宋体" w:eastAsia="宋体" w:cs="宋体"/>
          <w:spacing w:val="-14"/>
          <w:sz w:val="24"/>
          <w:szCs w:val="24"/>
        </w:rPr>
        <w:t>选择种植当地的原生树木，</w:t>
      </w:r>
      <w:r>
        <w:rPr>
          <w:rFonts w:ascii="宋体" w:hAnsi="宋体" w:eastAsia="宋体" w:cs="宋体"/>
          <w:spacing w:val="57"/>
          <w:sz w:val="24"/>
          <w:szCs w:val="24"/>
        </w:rPr>
        <w:t xml:space="preserve"> </w:t>
      </w:r>
      <w:r>
        <w:rPr>
          <w:rFonts w:ascii="宋体" w:hAnsi="宋体" w:eastAsia="宋体" w:cs="宋体"/>
          <w:spacing w:val="-14"/>
          <w:sz w:val="24"/>
          <w:szCs w:val="24"/>
        </w:rPr>
        <w:t>以恢复原有的植被类型和生态系统，</w:t>
      </w:r>
      <w:r>
        <w:rPr>
          <w:rFonts w:ascii="宋体" w:hAnsi="宋体" w:eastAsia="宋体" w:cs="宋体"/>
          <w:spacing w:val="33"/>
          <w:sz w:val="24"/>
          <w:szCs w:val="24"/>
        </w:rPr>
        <w:t xml:space="preserve"> </w:t>
      </w:r>
      <w:r>
        <w:rPr>
          <w:rFonts w:ascii="宋体" w:hAnsi="宋体" w:eastAsia="宋体" w:cs="宋体"/>
          <w:spacing w:val="-14"/>
          <w:sz w:val="24"/>
          <w:szCs w:val="24"/>
        </w:rPr>
        <w:t>不得引</w:t>
      </w:r>
      <w:r>
        <w:rPr>
          <w:rFonts w:ascii="宋体" w:hAnsi="宋体" w:eastAsia="宋体" w:cs="宋体"/>
          <w:spacing w:val="-15"/>
          <w:sz w:val="24"/>
          <w:szCs w:val="24"/>
        </w:rPr>
        <w:t>进外</w:t>
      </w:r>
    </w:p>
    <w:p>
      <w:pPr>
        <w:spacing w:line="219" w:lineRule="auto"/>
        <w:rPr>
          <w:rFonts w:ascii="宋体" w:hAnsi="宋体" w:eastAsia="宋体" w:cs="宋体"/>
          <w:sz w:val="24"/>
          <w:szCs w:val="24"/>
        </w:rPr>
        <w:sectPr>
          <w:headerReference r:id="rId441" w:type="default"/>
          <w:footerReference r:id="rId442" w:type="default"/>
          <w:pgSz w:w="11907" w:h="16839"/>
          <w:pgMar w:top="1156" w:right="1768" w:bottom="1374" w:left="1770" w:header="881" w:footer="1210" w:gutter="0"/>
        </w:sectPr>
      </w:pPr>
    </w:p>
    <w:p>
      <w:pPr>
        <w:spacing w:before="318" w:line="220" w:lineRule="auto"/>
        <w:ind w:left="40"/>
        <w:rPr>
          <w:rFonts w:ascii="宋体" w:hAnsi="宋体" w:eastAsia="宋体" w:cs="宋体"/>
          <w:sz w:val="24"/>
          <w:szCs w:val="24"/>
        </w:rPr>
      </w:pPr>
      <w:r>
        <w:rPr>
          <w:rFonts w:ascii="宋体" w:hAnsi="宋体" w:eastAsia="宋体" w:cs="宋体"/>
          <w:spacing w:val="-9"/>
          <w:sz w:val="24"/>
          <w:szCs w:val="24"/>
        </w:rPr>
        <w:t>来树种。</w:t>
      </w:r>
    </w:p>
    <w:p>
      <w:pPr>
        <w:spacing w:before="181" w:line="217" w:lineRule="auto"/>
        <w:ind w:left="517"/>
        <w:rPr>
          <w:rFonts w:ascii="宋体" w:hAnsi="宋体" w:eastAsia="宋体" w:cs="宋体"/>
          <w:sz w:val="24"/>
          <w:szCs w:val="24"/>
        </w:rPr>
      </w:pPr>
      <w:r>
        <w:rPr>
          <w:rFonts w:ascii="宋体" w:hAnsi="宋体" w:eastAsia="宋体" w:cs="宋体"/>
          <w:spacing w:val="-2"/>
          <w:sz w:val="24"/>
          <w:szCs w:val="24"/>
        </w:rPr>
        <w:t>②营造方式</w:t>
      </w:r>
    </w:p>
    <w:p>
      <w:pPr>
        <w:spacing w:before="184" w:line="467" w:lineRule="exact"/>
        <w:ind w:left="546"/>
        <w:rPr>
          <w:rFonts w:ascii="宋体" w:hAnsi="宋体" w:eastAsia="宋体" w:cs="宋体"/>
          <w:sz w:val="24"/>
          <w:szCs w:val="24"/>
        </w:rPr>
      </w:pPr>
      <w:r>
        <w:rPr>
          <w:rFonts w:ascii="宋体" w:hAnsi="宋体" w:eastAsia="宋体" w:cs="宋体"/>
          <w:spacing w:val="-5"/>
          <w:position w:val="17"/>
          <w:sz w:val="24"/>
          <w:szCs w:val="24"/>
        </w:rPr>
        <w:t>以人工造林为主，封山育林为辅。</w:t>
      </w:r>
    </w:p>
    <w:p>
      <w:pPr>
        <w:spacing w:line="217" w:lineRule="auto"/>
        <w:ind w:left="517"/>
        <w:rPr>
          <w:rFonts w:ascii="宋体" w:hAnsi="宋体" w:eastAsia="宋体" w:cs="宋体"/>
          <w:sz w:val="24"/>
          <w:szCs w:val="24"/>
        </w:rPr>
      </w:pPr>
      <w:r>
        <w:rPr>
          <w:rFonts w:ascii="宋体" w:hAnsi="宋体" w:eastAsia="宋体" w:cs="宋体"/>
          <w:spacing w:val="-2"/>
          <w:sz w:val="24"/>
          <w:szCs w:val="24"/>
        </w:rPr>
        <w:t>③营造模式</w:t>
      </w:r>
    </w:p>
    <w:p>
      <w:pPr>
        <w:spacing w:before="184" w:line="467" w:lineRule="exact"/>
        <w:ind w:left="546"/>
        <w:rPr>
          <w:rFonts w:ascii="宋体" w:hAnsi="宋体" w:eastAsia="宋体" w:cs="宋体"/>
          <w:sz w:val="24"/>
          <w:szCs w:val="24"/>
        </w:rPr>
      </w:pPr>
      <w:r>
        <w:rPr>
          <w:rFonts w:ascii="宋体" w:hAnsi="宋体" w:eastAsia="宋体" w:cs="宋体"/>
          <w:spacing w:val="-2"/>
          <w:position w:val="17"/>
          <w:sz w:val="24"/>
          <w:szCs w:val="24"/>
        </w:rPr>
        <w:t>以营造混交且垂直郁闭好的复层群落结构模式为主。</w:t>
      </w:r>
    </w:p>
    <w:p>
      <w:pPr>
        <w:spacing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）料场恢复</w:t>
      </w:r>
    </w:p>
    <w:p>
      <w:pPr>
        <w:spacing w:before="181" w:line="467" w:lineRule="exact"/>
        <w:ind w:left="520"/>
        <w:rPr>
          <w:rFonts w:ascii="宋体" w:hAnsi="宋体" w:eastAsia="宋体" w:cs="宋体"/>
          <w:sz w:val="24"/>
          <w:szCs w:val="24"/>
        </w:rPr>
      </w:pPr>
      <w:r>
        <w:rPr>
          <w:rFonts w:ascii="宋体" w:hAnsi="宋体" w:eastAsia="宋体" w:cs="宋体"/>
          <w:spacing w:val="-3"/>
          <w:position w:val="17"/>
          <w:sz w:val="24"/>
          <w:szCs w:val="24"/>
        </w:rPr>
        <w:t>风化料场大部分在水库淹没区以下，在水库淹没区以上的料场</w:t>
      </w:r>
      <w:r>
        <w:rPr>
          <w:rFonts w:ascii="宋体" w:hAnsi="宋体" w:eastAsia="宋体" w:cs="宋体"/>
          <w:spacing w:val="-4"/>
          <w:position w:val="17"/>
          <w:sz w:val="24"/>
          <w:szCs w:val="24"/>
        </w:rPr>
        <w:t>除了风化料场</w:t>
      </w:r>
    </w:p>
    <w:p>
      <w:pPr>
        <w:spacing w:before="1" w:line="218" w:lineRule="auto"/>
        <w:jc w:val="right"/>
        <w:rPr>
          <w:rFonts w:ascii="宋体" w:hAnsi="宋体" w:eastAsia="宋体" w:cs="宋体"/>
          <w:sz w:val="24"/>
          <w:szCs w:val="24"/>
        </w:rPr>
      </w:pPr>
      <w:r>
        <w:rPr>
          <w:rFonts w:ascii="宋体" w:hAnsi="宋体" w:eastAsia="宋体" w:cs="宋体"/>
          <w:spacing w:val="-9"/>
          <w:sz w:val="24"/>
          <w:szCs w:val="24"/>
        </w:rPr>
        <w:t>外还有粘土料场，</w:t>
      </w:r>
      <w:r>
        <w:rPr>
          <w:rFonts w:ascii="宋体" w:hAnsi="宋体" w:eastAsia="宋体" w:cs="宋体"/>
          <w:spacing w:val="-46"/>
          <w:sz w:val="24"/>
          <w:szCs w:val="24"/>
        </w:rPr>
        <w:t xml:space="preserve"> </w:t>
      </w:r>
      <w:r>
        <w:rPr>
          <w:rFonts w:ascii="宋体" w:hAnsi="宋体" w:eastAsia="宋体" w:cs="宋体"/>
          <w:spacing w:val="-9"/>
          <w:sz w:val="24"/>
          <w:szCs w:val="24"/>
        </w:rPr>
        <w:t>粘土料场原占用地类型主要为耕地，</w:t>
      </w:r>
      <w:r>
        <w:rPr>
          <w:rFonts w:ascii="宋体" w:hAnsi="宋体" w:eastAsia="宋体" w:cs="宋体"/>
          <w:spacing w:val="-10"/>
          <w:sz w:val="24"/>
          <w:szCs w:val="24"/>
        </w:rPr>
        <w:t>施工结束后进行土地复垦。</w:t>
      </w:r>
    </w:p>
    <w:p>
      <w:pPr>
        <w:spacing w:before="183" w:line="467" w:lineRule="exact"/>
        <w:jc w:val="right"/>
        <w:rPr>
          <w:rFonts w:ascii="宋体" w:hAnsi="宋体" w:eastAsia="宋体" w:cs="宋体"/>
          <w:sz w:val="24"/>
          <w:szCs w:val="24"/>
        </w:rPr>
      </w:pPr>
      <w:r>
        <w:rPr>
          <w:rFonts w:ascii="宋体" w:hAnsi="宋体" w:eastAsia="宋体" w:cs="宋体"/>
          <w:spacing w:val="-1"/>
          <w:position w:val="17"/>
          <w:sz w:val="24"/>
          <w:szCs w:val="24"/>
        </w:rPr>
        <w:t>风化料场开挖边坡进行人工植被恢复。砂石料场进行土地复垦和植被恢复。</w:t>
      </w:r>
    </w:p>
    <w:p>
      <w:pPr>
        <w:spacing w:before="1"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7</w:t>
      </w:r>
      <w:r>
        <w:rPr>
          <w:rFonts w:ascii="宋体" w:hAnsi="宋体" w:eastAsia="宋体" w:cs="宋体"/>
          <w:spacing w:val="-4"/>
          <w:sz w:val="24"/>
          <w:szCs w:val="24"/>
        </w:rPr>
        <w:t>）弃渣场恢复</w:t>
      </w:r>
    </w:p>
    <w:p>
      <w:pPr>
        <w:spacing w:before="259" w:line="468" w:lineRule="exact"/>
        <w:jc w:val="right"/>
        <w:rPr>
          <w:rFonts w:ascii="宋体" w:hAnsi="宋体" w:eastAsia="宋体" w:cs="宋体"/>
          <w:sz w:val="24"/>
          <w:szCs w:val="24"/>
        </w:rPr>
      </w:pPr>
      <w:r>
        <w:rPr>
          <w:rFonts w:ascii="宋体" w:hAnsi="宋体" w:eastAsia="宋体" w:cs="宋体"/>
          <w:spacing w:val="-1"/>
          <w:position w:val="17"/>
          <w:sz w:val="24"/>
          <w:szCs w:val="24"/>
        </w:rPr>
        <w:t>弃渣场占地类型为主要为林地，不涉及生态公益林</w:t>
      </w:r>
      <w:r>
        <w:rPr>
          <w:rFonts w:ascii="宋体" w:hAnsi="宋体" w:eastAsia="宋体" w:cs="宋体"/>
          <w:spacing w:val="-2"/>
          <w:position w:val="17"/>
          <w:sz w:val="24"/>
          <w:szCs w:val="24"/>
        </w:rPr>
        <w:t>。弃渣场恢复措施如下：</w:t>
      </w:r>
    </w:p>
    <w:p>
      <w:pPr>
        <w:spacing w:before="1" w:line="217" w:lineRule="auto"/>
        <w:ind w:left="518"/>
        <w:rPr>
          <w:rFonts w:ascii="宋体" w:hAnsi="宋体" w:eastAsia="宋体" w:cs="宋体"/>
          <w:sz w:val="24"/>
          <w:szCs w:val="24"/>
        </w:rPr>
      </w:pPr>
      <w:r>
        <w:rPr>
          <w:rFonts w:ascii="宋体" w:hAnsi="宋体" w:eastAsia="宋体" w:cs="宋体"/>
          <w:spacing w:val="-1"/>
          <w:sz w:val="24"/>
          <w:szCs w:val="24"/>
        </w:rPr>
        <w:t>①坡面及顶面整理</w:t>
      </w:r>
    </w:p>
    <w:p>
      <w:pPr>
        <w:spacing w:before="185" w:line="360" w:lineRule="auto"/>
        <w:ind w:left="42" w:right="84" w:firstLine="480"/>
        <w:rPr>
          <w:rFonts w:ascii="宋体" w:hAnsi="宋体" w:eastAsia="宋体" w:cs="宋体"/>
          <w:sz w:val="24"/>
          <w:szCs w:val="24"/>
        </w:rPr>
      </w:pPr>
      <w:r>
        <w:rPr>
          <w:rFonts w:ascii="宋体" w:hAnsi="宋体" w:eastAsia="宋体" w:cs="宋体"/>
          <w:spacing w:val="-15"/>
          <w:sz w:val="24"/>
          <w:szCs w:val="24"/>
        </w:rPr>
        <w:t>弃渣场恢复前，</w:t>
      </w:r>
      <w:r>
        <w:rPr>
          <w:rFonts w:ascii="宋体" w:hAnsi="宋体" w:eastAsia="宋体" w:cs="宋体"/>
          <w:spacing w:val="-46"/>
          <w:sz w:val="24"/>
          <w:szCs w:val="24"/>
        </w:rPr>
        <w:t xml:space="preserve"> </w:t>
      </w:r>
      <w:r>
        <w:rPr>
          <w:rFonts w:ascii="宋体" w:hAnsi="宋体" w:eastAsia="宋体" w:cs="宋体"/>
          <w:spacing w:val="-15"/>
          <w:sz w:val="24"/>
          <w:szCs w:val="24"/>
        </w:rPr>
        <w:t>为了保证边坡的稳定， 同时也为复绿工程提供有利条件，  施</w:t>
      </w:r>
      <w:r>
        <w:rPr>
          <w:rFonts w:ascii="宋体" w:hAnsi="宋体" w:eastAsia="宋体" w:cs="宋体"/>
          <w:sz w:val="24"/>
          <w:szCs w:val="24"/>
        </w:rPr>
        <w:t xml:space="preserve"> </w:t>
      </w:r>
      <w:r>
        <w:rPr>
          <w:rFonts w:ascii="宋体" w:hAnsi="宋体" w:eastAsia="宋体" w:cs="宋体"/>
          <w:spacing w:val="-8"/>
          <w:sz w:val="24"/>
          <w:szCs w:val="24"/>
        </w:rPr>
        <w:t>工前必须对坡面及顶面进行修整，清除坡面的松散浮石、碎石和杂物，</w:t>
      </w:r>
      <w:r>
        <w:rPr>
          <w:rFonts w:ascii="宋体" w:hAnsi="宋体" w:eastAsia="宋体" w:cs="宋体"/>
          <w:spacing w:val="53"/>
          <w:sz w:val="24"/>
          <w:szCs w:val="24"/>
        </w:rPr>
        <w:t xml:space="preserve"> </w:t>
      </w:r>
      <w:r>
        <w:rPr>
          <w:rFonts w:ascii="宋体" w:hAnsi="宋体" w:eastAsia="宋体" w:cs="宋体"/>
          <w:spacing w:val="-8"/>
          <w:sz w:val="24"/>
          <w:szCs w:val="24"/>
        </w:rPr>
        <w:t>并在坡面</w:t>
      </w:r>
    </w:p>
    <w:p>
      <w:pPr>
        <w:spacing w:before="1" w:line="219" w:lineRule="auto"/>
        <w:ind w:left="43"/>
        <w:rPr>
          <w:rFonts w:ascii="宋体" w:hAnsi="宋体" w:eastAsia="宋体" w:cs="宋体"/>
          <w:sz w:val="24"/>
          <w:szCs w:val="24"/>
        </w:rPr>
      </w:pPr>
      <w:r>
        <w:rPr>
          <w:rFonts w:ascii="宋体" w:hAnsi="宋体" w:eastAsia="宋体" w:cs="宋体"/>
          <w:spacing w:val="-5"/>
          <w:sz w:val="24"/>
          <w:szCs w:val="24"/>
        </w:rPr>
        <w:t>设置平台，稳定坡面。</w:t>
      </w:r>
    </w:p>
    <w:p>
      <w:pPr>
        <w:spacing w:before="183" w:line="217" w:lineRule="auto"/>
        <w:ind w:left="517"/>
        <w:rPr>
          <w:rFonts w:ascii="宋体" w:hAnsi="宋体" w:eastAsia="宋体" w:cs="宋体"/>
          <w:sz w:val="24"/>
          <w:szCs w:val="24"/>
        </w:rPr>
      </w:pPr>
      <w:r>
        <w:rPr>
          <w:rFonts w:ascii="宋体" w:hAnsi="宋体" w:eastAsia="宋体" w:cs="宋体"/>
          <w:spacing w:val="-1"/>
          <w:sz w:val="24"/>
          <w:szCs w:val="24"/>
        </w:rPr>
        <w:t>②修筑截、排水沟</w:t>
      </w:r>
    </w:p>
    <w:p>
      <w:pPr>
        <w:spacing w:before="186" w:line="468" w:lineRule="exact"/>
        <w:ind w:left="518"/>
        <w:rPr>
          <w:rFonts w:ascii="宋体" w:hAnsi="宋体" w:eastAsia="宋体" w:cs="宋体"/>
          <w:sz w:val="24"/>
          <w:szCs w:val="24"/>
        </w:rPr>
      </w:pPr>
      <w:r>
        <w:rPr>
          <w:rFonts w:ascii="宋体" w:hAnsi="宋体" w:eastAsia="宋体" w:cs="宋体"/>
          <w:spacing w:val="-13"/>
          <w:position w:val="17"/>
          <w:sz w:val="24"/>
          <w:szCs w:val="24"/>
        </w:rPr>
        <w:t>截、排水沟都是边坡生态修复的配套设施工程，</w:t>
      </w:r>
      <w:r>
        <w:rPr>
          <w:rFonts w:ascii="宋体" w:hAnsi="宋体" w:eastAsia="宋体" w:cs="宋体"/>
          <w:spacing w:val="47"/>
          <w:position w:val="17"/>
          <w:sz w:val="24"/>
          <w:szCs w:val="24"/>
        </w:rPr>
        <w:t xml:space="preserve"> </w:t>
      </w:r>
      <w:r>
        <w:rPr>
          <w:rFonts w:ascii="宋体" w:hAnsi="宋体" w:eastAsia="宋体" w:cs="宋体"/>
          <w:spacing w:val="-13"/>
          <w:position w:val="17"/>
          <w:sz w:val="24"/>
          <w:szCs w:val="24"/>
        </w:rPr>
        <w:t>分别位于坡顶、坡面，</w:t>
      </w:r>
      <w:r>
        <w:rPr>
          <w:rFonts w:ascii="宋体" w:hAnsi="宋体" w:eastAsia="宋体" w:cs="宋体"/>
          <w:spacing w:val="38"/>
          <w:position w:val="17"/>
          <w:sz w:val="24"/>
          <w:szCs w:val="24"/>
        </w:rPr>
        <w:t xml:space="preserve"> </w:t>
      </w:r>
      <w:r>
        <w:rPr>
          <w:rFonts w:ascii="宋体" w:hAnsi="宋体" w:eastAsia="宋体" w:cs="宋体"/>
          <w:spacing w:val="-13"/>
          <w:position w:val="17"/>
          <w:sz w:val="24"/>
          <w:szCs w:val="24"/>
        </w:rPr>
        <w:t>使边</w:t>
      </w:r>
    </w:p>
    <w:p>
      <w:pPr>
        <w:spacing w:line="219" w:lineRule="auto"/>
        <w:ind w:left="39"/>
        <w:rPr>
          <w:rFonts w:ascii="宋体" w:hAnsi="宋体" w:eastAsia="宋体" w:cs="宋体"/>
          <w:sz w:val="24"/>
          <w:szCs w:val="24"/>
        </w:rPr>
      </w:pPr>
      <w:r>
        <w:rPr>
          <w:rFonts w:ascii="宋体" w:hAnsi="宋体" w:eastAsia="宋体" w:cs="宋体"/>
          <w:spacing w:val="-1"/>
          <w:sz w:val="24"/>
          <w:szCs w:val="24"/>
        </w:rPr>
        <w:t>坡上部山体的径流水流向边坡两侧和底部，以免植被受</w:t>
      </w:r>
      <w:r>
        <w:rPr>
          <w:rFonts w:ascii="宋体" w:hAnsi="宋体" w:eastAsia="宋体" w:cs="宋体"/>
          <w:spacing w:val="-2"/>
          <w:sz w:val="24"/>
          <w:szCs w:val="24"/>
        </w:rPr>
        <w:t>到雨水的强力冲刷。</w:t>
      </w:r>
    </w:p>
    <w:p>
      <w:pPr>
        <w:spacing w:before="184" w:line="217" w:lineRule="auto"/>
        <w:ind w:left="517"/>
        <w:rPr>
          <w:rFonts w:ascii="宋体" w:hAnsi="宋体" w:eastAsia="宋体" w:cs="宋体"/>
          <w:sz w:val="24"/>
          <w:szCs w:val="24"/>
        </w:rPr>
      </w:pPr>
      <w:r>
        <w:rPr>
          <w:rFonts w:ascii="宋体" w:hAnsi="宋体" w:eastAsia="宋体" w:cs="宋体"/>
          <w:spacing w:val="-2"/>
          <w:sz w:val="24"/>
          <w:szCs w:val="24"/>
        </w:rPr>
        <w:t>③表土回填</w:t>
      </w:r>
    </w:p>
    <w:p>
      <w:pPr>
        <w:spacing w:before="185" w:line="468" w:lineRule="exact"/>
        <w:ind w:left="518"/>
        <w:rPr>
          <w:rFonts w:ascii="宋体" w:hAnsi="宋体" w:eastAsia="宋体" w:cs="宋体"/>
          <w:sz w:val="24"/>
          <w:szCs w:val="24"/>
        </w:rPr>
      </w:pPr>
      <w:r>
        <w:rPr>
          <w:rFonts w:ascii="宋体" w:hAnsi="宋体" w:eastAsia="宋体" w:cs="宋体"/>
          <w:spacing w:val="-11"/>
          <w:position w:val="17"/>
          <w:sz w:val="24"/>
          <w:szCs w:val="24"/>
        </w:rPr>
        <w:t>边坡覆土不低于</w:t>
      </w:r>
      <w:r>
        <w:rPr>
          <w:rFonts w:ascii="宋体" w:hAnsi="宋体" w:eastAsia="宋体" w:cs="宋体"/>
          <w:spacing w:val="-51"/>
          <w:position w:val="17"/>
          <w:sz w:val="24"/>
          <w:szCs w:val="24"/>
        </w:rPr>
        <w:t xml:space="preserve"> </w:t>
      </w:r>
      <w:r>
        <w:rPr>
          <w:rFonts w:ascii="Times New Roman" w:hAnsi="Times New Roman" w:eastAsia="Times New Roman" w:cs="Times New Roman"/>
          <w:spacing w:val="-11"/>
          <w:position w:val="17"/>
          <w:sz w:val="24"/>
          <w:szCs w:val="24"/>
        </w:rPr>
        <w:t>30cm</w:t>
      </w:r>
      <w:r>
        <w:rPr>
          <w:rFonts w:ascii="Times New Roman" w:hAnsi="Times New Roman" w:eastAsia="Times New Roman" w:cs="Times New Roman"/>
          <w:spacing w:val="-34"/>
          <w:position w:val="17"/>
          <w:sz w:val="24"/>
          <w:szCs w:val="24"/>
        </w:rPr>
        <w:t xml:space="preserve"> </w:t>
      </w:r>
      <w:r>
        <w:rPr>
          <w:rFonts w:ascii="宋体" w:hAnsi="宋体" w:eastAsia="宋体" w:cs="宋体"/>
          <w:spacing w:val="-11"/>
          <w:position w:val="17"/>
          <w:sz w:val="24"/>
          <w:szCs w:val="24"/>
        </w:rPr>
        <w:t>，顶部覆土不低于</w:t>
      </w:r>
      <w:r>
        <w:rPr>
          <w:rFonts w:ascii="宋体" w:hAnsi="宋体" w:eastAsia="宋体" w:cs="宋体"/>
          <w:spacing w:val="-48"/>
          <w:position w:val="17"/>
          <w:sz w:val="24"/>
          <w:szCs w:val="24"/>
        </w:rPr>
        <w:t xml:space="preserve"> </w:t>
      </w:r>
      <w:r>
        <w:rPr>
          <w:rFonts w:ascii="Times New Roman" w:hAnsi="Times New Roman" w:eastAsia="Times New Roman" w:cs="Times New Roman"/>
          <w:spacing w:val="-11"/>
          <w:position w:val="17"/>
          <w:sz w:val="24"/>
          <w:szCs w:val="24"/>
        </w:rPr>
        <w:t>50cm</w:t>
      </w:r>
      <w:r>
        <w:rPr>
          <w:rFonts w:ascii="宋体" w:hAnsi="宋体" w:eastAsia="宋体" w:cs="宋体"/>
          <w:spacing w:val="-11"/>
          <w:position w:val="17"/>
          <w:sz w:val="24"/>
          <w:szCs w:val="24"/>
        </w:rPr>
        <w:t>，压平， 夯实。回填</w:t>
      </w:r>
      <w:r>
        <w:rPr>
          <w:rFonts w:ascii="宋体" w:hAnsi="宋体" w:eastAsia="宋体" w:cs="宋体"/>
          <w:spacing w:val="-12"/>
          <w:position w:val="17"/>
          <w:sz w:val="24"/>
          <w:szCs w:val="24"/>
        </w:rPr>
        <w:t>土壤，</w:t>
      </w:r>
      <w:r>
        <w:rPr>
          <w:rFonts w:ascii="宋体" w:hAnsi="宋体" w:eastAsia="宋体" w:cs="宋体"/>
          <w:spacing w:val="49"/>
          <w:position w:val="17"/>
          <w:sz w:val="24"/>
          <w:szCs w:val="24"/>
        </w:rPr>
        <w:t xml:space="preserve"> </w:t>
      </w:r>
      <w:r>
        <w:rPr>
          <w:rFonts w:ascii="宋体" w:hAnsi="宋体" w:eastAsia="宋体" w:cs="宋体"/>
          <w:spacing w:val="-12"/>
          <w:position w:val="17"/>
          <w:sz w:val="24"/>
          <w:szCs w:val="24"/>
        </w:rPr>
        <w:t>不</w:t>
      </w:r>
    </w:p>
    <w:p>
      <w:pPr>
        <w:spacing w:before="1" w:line="219" w:lineRule="auto"/>
        <w:ind w:left="40"/>
        <w:rPr>
          <w:rFonts w:ascii="宋体" w:hAnsi="宋体" w:eastAsia="宋体" w:cs="宋体"/>
          <w:sz w:val="24"/>
          <w:szCs w:val="24"/>
        </w:rPr>
      </w:pPr>
      <w:r>
        <w:rPr>
          <w:rFonts w:ascii="宋体" w:hAnsi="宋体" w:eastAsia="宋体" w:cs="宋体"/>
          <w:spacing w:val="-1"/>
          <w:sz w:val="24"/>
          <w:szCs w:val="24"/>
        </w:rPr>
        <w:t>得回填生活垃圾和建筑垃圾，必须是无污染的土壤。</w:t>
      </w:r>
    </w:p>
    <w:p>
      <w:pPr>
        <w:spacing w:before="183" w:line="217" w:lineRule="auto"/>
        <w:ind w:left="517"/>
        <w:rPr>
          <w:rFonts w:ascii="宋体" w:hAnsi="宋体" w:eastAsia="宋体" w:cs="宋体"/>
          <w:sz w:val="24"/>
          <w:szCs w:val="24"/>
        </w:rPr>
      </w:pPr>
      <w:r>
        <w:rPr>
          <w:rFonts w:ascii="宋体" w:hAnsi="宋体" w:eastAsia="宋体" w:cs="宋体"/>
          <w:spacing w:val="-2"/>
          <w:sz w:val="24"/>
          <w:szCs w:val="24"/>
        </w:rPr>
        <w:t>④植被恢复绿化</w:t>
      </w:r>
    </w:p>
    <w:p>
      <w:pPr>
        <w:spacing w:before="107" w:line="359" w:lineRule="auto"/>
        <w:ind w:left="46" w:right="86" w:firstLine="474"/>
        <w:rPr>
          <w:rFonts w:ascii="宋体" w:hAnsi="宋体" w:eastAsia="宋体" w:cs="宋体"/>
          <w:sz w:val="24"/>
          <w:szCs w:val="24"/>
        </w:rPr>
      </w:pPr>
      <w:r>
        <w:rPr>
          <w:rFonts w:ascii="宋体" w:hAnsi="宋体" w:eastAsia="宋体" w:cs="宋体"/>
          <w:spacing w:val="-11"/>
          <w:sz w:val="24"/>
          <w:szCs w:val="24"/>
        </w:rPr>
        <w:t>按照水源涵养林要求建设，</w:t>
      </w:r>
      <w:r>
        <w:rPr>
          <w:rFonts w:ascii="宋体" w:hAnsi="宋体" w:eastAsia="宋体" w:cs="宋体"/>
          <w:spacing w:val="-24"/>
          <w:sz w:val="24"/>
          <w:szCs w:val="24"/>
        </w:rPr>
        <w:t xml:space="preserve"> </w:t>
      </w:r>
      <w:r>
        <w:rPr>
          <w:rFonts w:ascii="宋体" w:hAnsi="宋体" w:eastAsia="宋体" w:cs="宋体"/>
          <w:spacing w:val="-11"/>
          <w:sz w:val="24"/>
          <w:szCs w:val="24"/>
        </w:rPr>
        <w:t>选择种植当地的原生树木，</w:t>
      </w:r>
      <w:r>
        <w:rPr>
          <w:rFonts w:ascii="宋体" w:hAnsi="宋体" w:eastAsia="宋体" w:cs="宋体"/>
          <w:spacing w:val="41"/>
          <w:sz w:val="24"/>
          <w:szCs w:val="24"/>
        </w:rPr>
        <w:t xml:space="preserve"> </w:t>
      </w:r>
      <w:r>
        <w:rPr>
          <w:rFonts w:ascii="宋体" w:hAnsi="宋体" w:eastAsia="宋体" w:cs="宋体"/>
          <w:spacing w:val="-11"/>
          <w:sz w:val="24"/>
          <w:szCs w:val="24"/>
        </w:rPr>
        <w:t>以恢复原有的植被类</w:t>
      </w:r>
      <w:r>
        <w:rPr>
          <w:rFonts w:ascii="宋体" w:hAnsi="宋体" w:eastAsia="宋体" w:cs="宋体"/>
          <w:sz w:val="24"/>
          <w:szCs w:val="24"/>
        </w:rPr>
        <w:t xml:space="preserve"> </w:t>
      </w:r>
      <w:r>
        <w:rPr>
          <w:rFonts w:ascii="宋体" w:hAnsi="宋体" w:eastAsia="宋体" w:cs="宋体"/>
          <w:spacing w:val="-11"/>
          <w:sz w:val="24"/>
          <w:szCs w:val="24"/>
        </w:rPr>
        <w:t>型和生态系统，</w:t>
      </w:r>
      <w:r>
        <w:rPr>
          <w:rFonts w:ascii="宋体" w:hAnsi="宋体" w:eastAsia="宋体" w:cs="宋体"/>
          <w:spacing w:val="44"/>
          <w:sz w:val="24"/>
          <w:szCs w:val="24"/>
        </w:rPr>
        <w:t xml:space="preserve"> </w:t>
      </w:r>
      <w:r>
        <w:rPr>
          <w:rFonts w:ascii="宋体" w:hAnsi="宋体" w:eastAsia="宋体" w:cs="宋体"/>
          <w:spacing w:val="-11"/>
          <w:sz w:val="24"/>
          <w:szCs w:val="24"/>
        </w:rPr>
        <w:t>不得引进外来树种。植被恢复以人工造林为主， 营造混交且垂直</w:t>
      </w:r>
    </w:p>
    <w:p>
      <w:pPr>
        <w:spacing w:before="1" w:line="219" w:lineRule="auto"/>
        <w:ind w:left="40"/>
        <w:rPr>
          <w:rFonts w:ascii="宋体" w:hAnsi="宋体" w:eastAsia="宋体" w:cs="宋体"/>
          <w:sz w:val="24"/>
          <w:szCs w:val="24"/>
        </w:rPr>
      </w:pPr>
      <w:r>
        <w:rPr>
          <w:rFonts w:ascii="宋体" w:hAnsi="宋体" w:eastAsia="宋体" w:cs="宋体"/>
          <w:spacing w:val="-1"/>
          <w:sz w:val="24"/>
          <w:szCs w:val="24"/>
        </w:rPr>
        <w:t>郁闭好的复层群落结构。</w:t>
      </w:r>
    </w:p>
    <w:p>
      <w:pPr>
        <w:spacing w:line="387" w:lineRule="auto"/>
        <w:rPr>
          <w:rFonts w:ascii="Arial"/>
          <w:sz w:val="21"/>
        </w:rPr>
      </w:pPr>
    </w:p>
    <w:p>
      <w:pPr>
        <w:pStyle w:val="2"/>
        <w:spacing w:before="89" w:line="225" w:lineRule="auto"/>
        <w:ind w:left="40"/>
        <w:outlineLvl w:val="3"/>
        <w:rPr>
          <w:sz w:val="27"/>
          <w:szCs w:val="27"/>
        </w:rPr>
      </w:pPr>
      <w:bookmarkStart w:id="40" w:name="bookmark41"/>
      <w:bookmarkEnd w:id="40"/>
      <w:r>
        <w:rPr>
          <w:rFonts w:ascii="Times New Roman" w:hAnsi="Times New Roman" w:eastAsia="Times New Roman" w:cs="Times New Roman"/>
          <w:b/>
          <w:bCs/>
          <w:spacing w:val="7"/>
          <w:sz w:val="27"/>
          <w:szCs w:val="27"/>
        </w:rPr>
        <w:t xml:space="preserve">6.2 </w:t>
      </w:r>
      <w:r>
        <w:rPr>
          <w:spacing w:val="7"/>
          <w:sz w:val="27"/>
          <w:szCs w:val="27"/>
          <w14:textOutline w14:w="5072" w14:cap="flat" w14:cmpd="sng">
            <w14:solidFill>
              <w14:srgbClr w14:val="000000"/>
            </w14:solidFill>
            <w14:prstDash w14:val="solid"/>
            <w14:miter w14:val="0"/>
          </w14:textOutline>
        </w:rPr>
        <w:t>地表水环境保护措施</w:t>
      </w:r>
    </w:p>
    <w:p>
      <w:pPr>
        <w:spacing w:line="300" w:lineRule="auto"/>
        <w:rPr>
          <w:rFonts w:ascii="Arial"/>
          <w:sz w:val="21"/>
        </w:rPr>
      </w:pPr>
    </w:p>
    <w:p>
      <w:pPr>
        <w:pStyle w:val="2"/>
        <w:spacing w:before="78" w:line="235" w:lineRule="auto"/>
        <w:ind w:left="38"/>
        <w:outlineLvl w:val="3"/>
        <w:rPr>
          <w:sz w:val="24"/>
          <w:szCs w:val="24"/>
        </w:rPr>
      </w:pPr>
      <w:r>
        <w:rPr>
          <w:rFonts w:ascii="Times New Roman" w:hAnsi="Times New Roman" w:eastAsia="Times New Roman" w:cs="Times New Roman"/>
          <w:b/>
          <w:bCs/>
          <w:spacing w:val="-1"/>
          <w:sz w:val="24"/>
          <w:szCs w:val="24"/>
        </w:rPr>
        <w:t xml:space="preserve">6.2.1 </w:t>
      </w:r>
      <w:r>
        <w:rPr>
          <w:spacing w:val="-1"/>
          <w:sz w:val="24"/>
          <w:szCs w:val="24"/>
          <w14:textOutline w14:w="4354" w14:cap="flat" w14:cmpd="sng">
            <w14:solidFill>
              <w14:srgbClr w14:val="000000"/>
            </w14:solidFill>
            <w14:prstDash w14:val="solid"/>
            <w14:miter w14:val="0"/>
          </w14:textOutline>
        </w:rPr>
        <w:t>施工期</w:t>
      </w:r>
    </w:p>
    <w:p>
      <w:pPr>
        <w:spacing w:before="196"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）砂石料加工系统清洗废经三级沉淀池处理后循环利用，不外</w:t>
      </w:r>
      <w:r>
        <w:rPr>
          <w:rFonts w:ascii="宋体" w:hAnsi="宋体" w:eastAsia="宋体" w:cs="宋体"/>
          <w:spacing w:val="-4"/>
          <w:sz w:val="24"/>
          <w:szCs w:val="24"/>
        </w:rPr>
        <w:t>排。 沉淀</w:t>
      </w:r>
    </w:p>
    <w:p>
      <w:pPr>
        <w:spacing w:line="220" w:lineRule="auto"/>
        <w:rPr>
          <w:rFonts w:ascii="宋体" w:hAnsi="宋体" w:eastAsia="宋体" w:cs="宋体"/>
          <w:sz w:val="24"/>
          <w:szCs w:val="24"/>
        </w:rPr>
        <w:sectPr>
          <w:headerReference r:id="rId443" w:type="default"/>
          <w:footerReference r:id="rId444" w:type="default"/>
          <w:pgSz w:w="11907" w:h="16839"/>
          <w:pgMar w:top="1156" w:right="1712" w:bottom="1374" w:left="1770" w:header="881" w:footer="1210" w:gutter="0"/>
        </w:sectPr>
      </w:pPr>
    </w:p>
    <w:p>
      <w:pPr>
        <w:rPr>
          <w:rFonts w:ascii="Arial"/>
          <w:sz w:val="21"/>
        </w:rPr>
      </w:pPr>
    </w:p>
    <w:p>
      <w:pPr>
        <w:spacing w:before="78" w:line="359" w:lineRule="auto"/>
        <w:ind w:left="39" w:right="39"/>
        <w:rPr>
          <w:rFonts w:ascii="宋体" w:hAnsi="宋体" w:eastAsia="宋体" w:cs="宋体"/>
          <w:sz w:val="24"/>
          <w:szCs w:val="24"/>
        </w:rPr>
      </w:pPr>
      <w:r>
        <w:rPr>
          <w:rFonts w:ascii="宋体" w:hAnsi="宋体" w:eastAsia="宋体" w:cs="宋体"/>
          <w:spacing w:val="-14"/>
          <w:sz w:val="24"/>
          <w:szCs w:val="24"/>
        </w:rPr>
        <w:t>池为混凝土结构，采用三级沉淀处理，</w:t>
      </w:r>
      <w:r>
        <w:rPr>
          <w:rFonts w:ascii="宋体" w:hAnsi="宋体" w:eastAsia="宋体" w:cs="宋体"/>
          <w:spacing w:val="-29"/>
          <w:sz w:val="24"/>
          <w:szCs w:val="24"/>
        </w:rPr>
        <w:t xml:space="preserve"> </w:t>
      </w:r>
      <w:r>
        <w:rPr>
          <w:rFonts w:ascii="宋体" w:hAnsi="宋体" w:eastAsia="宋体" w:cs="宋体"/>
          <w:spacing w:val="-14"/>
          <w:sz w:val="24"/>
          <w:szCs w:val="24"/>
        </w:rPr>
        <w:t>总容积</w:t>
      </w:r>
      <w:r>
        <w:rPr>
          <w:rFonts w:ascii="宋体" w:hAnsi="宋体" w:eastAsia="宋体" w:cs="宋体"/>
          <w:spacing w:val="-50"/>
          <w:sz w:val="24"/>
          <w:szCs w:val="24"/>
        </w:rPr>
        <w:t xml:space="preserve"> </w:t>
      </w:r>
      <w:r>
        <w:rPr>
          <w:rFonts w:ascii="Times New Roman" w:hAnsi="Times New Roman" w:eastAsia="Times New Roman" w:cs="Times New Roman"/>
          <w:spacing w:val="-14"/>
          <w:sz w:val="24"/>
          <w:szCs w:val="24"/>
        </w:rPr>
        <w:t>30m</w:t>
      </w:r>
      <w:r>
        <w:rPr>
          <w:rFonts w:ascii="Times New Roman" w:hAnsi="Times New Roman" w:eastAsia="Times New Roman" w:cs="Times New Roman"/>
          <w:spacing w:val="1"/>
          <w:position w:val="8"/>
          <w:sz w:val="15"/>
          <w:szCs w:val="15"/>
        </w:rPr>
        <w:t>3</w:t>
      </w:r>
      <w:r>
        <w:rPr>
          <w:rFonts w:ascii="宋体" w:hAnsi="宋体" w:eastAsia="宋体" w:cs="宋体"/>
          <w:spacing w:val="1"/>
          <w:sz w:val="24"/>
          <w:szCs w:val="24"/>
        </w:rPr>
        <w:t>。石料冲洗对水质要求不高，</w:t>
      </w:r>
      <w:r>
        <w:rPr>
          <w:rFonts w:ascii="宋体" w:hAnsi="宋体" w:eastAsia="宋体" w:cs="宋体"/>
          <w:sz w:val="24"/>
          <w:szCs w:val="24"/>
        </w:rPr>
        <w:t xml:space="preserve"> </w:t>
      </w:r>
      <w:r>
        <w:rPr>
          <w:rFonts w:ascii="宋体" w:hAnsi="宋体" w:eastAsia="宋体" w:cs="宋体"/>
          <w:spacing w:val="2"/>
          <w:sz w:val="24"/>
          <w:szCs w:val="24"/>
        </w:rPr>
        <w:t>冲洗废水经沉淀处理后完全能够满足循环利用要求。清洗用水量为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12m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sz w:val="24"/>
          <w:szCs w:val="24"/>
        </w:rPr>
        <w:t>/h</w:t>
      </w:r>
      <w:r>
        <w:rPr>
          <w:rFonts w:ascii="宋体" w:hAnsi="宋体" w:eastAsia="宋体" w:cs="宋体"/>
          <w:spacing w:val="1"/>
          <w:sz w:val="24"/>
          <w:szCs w:val="24"/>
        </w:rPr>
        <w:t>，沉</w:t>
      </w:r>
    </w:p>
    <w:p>
      <w:pPr>
        <w:spacing w:line="234" w:lineRule="auto"/>
        <w:ind w:left="42"/>
        <w:rPr>
          <w:rFonts w:ascii="宋体" w:hAnsi="宋体" w:eastAsia="宋体" w:cs="宋体"/>
          <w:sz w:val="24"/>
          <w:szCs w:val="24"/>
        </w:rPr>
      </w:pPr>
      <w:r>
        <w:rPr>
          <w:rFonts w:ascii="宋体" w:hAnsi="宋体" w:eastAsia="宋体" w:cs="宋体"/>
          <w:spacing w:val="-2"/>
          <w:sz w:val="24"/>
          <w:szCs w:val="24"/>
        </w:rPr>
        <w:t>淀池总容积</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30m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9"/>
          <w:position w:val="8"/>
          <w:sz w:val="15"/>
          <w:szCs w:val="15"/>
        </w:rPr>
        <w:t xml:space="preserve"> </w:t>
      </w:r>
      <w:r>
        <w:rPr>
          <w:rFonts w:ascii="宋体" w:hAnsi="宋体" w:eastAsia="宋体" w:cs="宋体"/>
          <w:spacing w:val="-2"/>
          <w:sz w:val="24"/>
          <w:szCs w:val="24"/>
        </w:rPr>
        <w:t xml:space="preserve">，沉淀时间大于 </w:t>
      </w:r>
      <w:r>
        <w:rPr>
          <w:rFonts w:ascii="Times New Roman" w:hAnsi="Times New Roman" w:eastAsia="Times New Roman" w:cs="Times New Roman"/>
          <w:spacing w:val="-2"/>
          <w:sz w:val="24"/>
          <w:szCs w:val="24"/>
        </w:rPr>
        <w:t>1h</w:t>
      </w:r>
      <w:r>
        <w:rPr>
          <w:rFonts w:ascii="宋体" w:hAnsi="宋体" w:eastAsia="宋体" w:cs="宋体"/>
          <w:spacing w:val="-2"/>
          <w:sz w:val="24"/>
          <w:szCs w:val="24"/>
        </w:rPr>
        <w:t>。</w:t>
      </w:r>
    </w:p>
    <w:p>
      <w:pPr>
        <w:spacing w:before="163" w:line="359" w:lineRule="auto"/>
        <w:ind w:left="38" w:right="31" w:firstLine="487"/>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 xml:space="preserve">）枢纽工程基坑排水设置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个沉淀池，沉淀池为混凝土结构，采用三级</w:t>
      </w:r>
      <w:r>
        <w:rPr>
          <w:rFonts w:ascii="宋体" w:hAnsi="宋体" w:eastAsia="宋体" w:cs="宋体"/>
          <w:sz w:val="24"/>
          <w:szCs w:val="24"/>
        </w:rPr>
        <w:t xml:space="preserve"> </w:t>
      </w:r>
      <w:r>
        <w:rPr>
          <w:rFonts w:ascii="宋体" w:hAnsi="宋体" w:eastAsia="宋体" w:cs="宋体"/>
          <w:spacing w:val="-1"/>
          <w:sz w:val="24"/>
          <w:szCs w:val="24"/>
        </w:rPr>
        <w:t xml:space="preserve">沉淀处理，总容积 </w:t>
      </w:r>
      <w:r>
        <w:rPr>
          <w:rFonts w:ascii="Times New Roman" w:hAnsi="Times New Roman" w:eastAsia="Times New Roman" w:cs="Times New Roman"/>
          <w:spacing w:val="-1"/>
          <w:sz w:val="24"/>
          <w:szCs w:val="24"/>
        </w:rPr>
        <w:t>50m</w:t>
      </w:r>
      <w:r>
        <w:rPr>
          <w:rFonts w:ascii="Times New Roman" w:hAnsi="Times New Roman" w:eastAsia="Times New Roman" w:cs="Times New Roman"/>
          <w:spacing w:val="-1"/>
          <w:position w:val="8"/>
          <w:sz w:val="15"/>
          <w:szCs w:val="15"/>
        </w:rPr>
        <w:t xml:space="preserve">3 </w:t>
      </w:r>
      <w:r>
        <w:rPr>
          <w:rFonts w:ascii="宋体" w:hAnsi="宋体" w:eastAsia="宋体" w:cs="宋体"/>
          <w:spacing w:val="-1"/>
          <w:sz w:val="24"/>
          <w:szCs w:val="24"/>
        </w:rPr>
        <w:t>。基坑排水经沉淀处理后回用于混凝土拌合</w:t>
      </w:r>
      <w:r>
        <w:rPr>
          <w:rFonts w:ascii="宋体" w:hAnsi="宋体" w:eastAsia="宋体" w:cs="宋体"/>
          <w:spacing w:val="-2"/>
          <w:sz w:val="24"/>
          <w:szCs w:val="24"/>
        </w:rPr>
        <w:t>、洒水降尘</w:t>
      </w:r>
      <w:r>
        <w:rPr>
          <w:rFonts w:ascii="宋体" w:hAnsi="宋体" w:eastAsia="宋体" w:cs="宋体"/>
          <w:sz w:val="24"/>
          <w:szCs w:val="24"/>
        </w:rPr>
        <w:t xml:space="preserve"> </w:t>
      </w:r>
      <w:r>
        <w:rPr>
          <w:rFonts w:ascii="宋体" w:hAnsi="宋体" w:eastAsia="宋体" w:cs="宋体"/>
          <w:spacing w:val="-9"/>
          <w:sz w:val="24"/>
          <w:szCs w:val="24"/>
        </w:rPr>
        <w:t>及其他施工用水，不外排。基坑排水强度约为</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2m</w:t>
      </w:r>
      <w:r>
        <w:rPr>
          <w:rFonts w:ascii="Times New Roman" w:hAnsi="Times New Roman" w:eastAsia="Times New Roman" w:cs="Times New Roman"/>
          <w:spacing w:val="-9"/>
          <w:position w:val="8"/>
          <w:sz w:val="15"/>
          <w:szCs w:val="15"/>
        </w:rPr>
        <w:t>3</w:t>
      </w:r>
      <w:r>
        <w:rPr>
          <w:rFonts w:ascii="Times New Roman" w:hAnsi="Times New Roman" w:eastAsia="Times New Roman" w:cs="Times New Roman"/>
          <w:spacing w:val="-9"/>
          <w:sz w:val="24"/>
          <w:szCs w:val="24"/>
        </w:rPr>
        <w:t>/h</w:t>
      </w:r>
      <w:r>
        <w:rPr>
          <w:rFonts w:ascii="宋体" w:hAnsi="宋体" w:eastAsia="宋体" w:cs="宋体"/>
          <w:spacing w:val="-9"/>
          <w:sz w:val="24"/>
          <w:szCs w:val="24"/>
        </w:rPr>
        <w:t>，基坑排水沉淀池容积</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50m</w:t>
      </w:r>
      <w:r>
        <w:rPr>
          <w:rFonts w:ascii="Times New Roman" w:hAnsi="Times New Roman" w:eastAsia="Times New Roman" w:cs="Times New Roman"/>
          <w:spacing w:val="-9"/>
          <w:position w:val="8"/>
          <w:sz w:val="15"/>
          <w:szCs w:val="15"/>
        </w:rPr>
        <w:t>3</w:t>
      </w:r>
      <w:r>
        <w:rPr>
          <w:rFonts w:ascii="宋体" w:hAnsi="宋体" w:eastAsia="宋体" w:cs="宋体"/>
          <w:spacing w:val="-9"/>
          <w:sz w:val="24"/>
          <w:szCs w:val="24"/>
        </w:rPr>
        <w:t>，</w:t>
      </w:r>
    </w:p>
    <w:p>
      <w:pPr>
        <w:spacing w:line="219" w:lineRule="auto"/>
        <w:ind w:left="39"/>
        <w:rPr>
          <w:rFonts w:ascii="宋体" w:hAnsi="宋体" w:eastAsia="宋体" w:cs="宋体"/>
          <w:sz w:val="24"/>
          <w:szCs w:val="24"/>
        </w:rPr>
      </w:pPr>
      <w:r>
        <w:rPr>
          <w:rFonts w:ascii="宋体" w:hAnsi="宋体" w:eastAsia="宋体" w:cs="宋体"/>
          <w:spacing w:val="7"/>
          <w:sz w:val="24"/>
          <w:szCs w:val="24"/>
        </w:rPr>
        <w:t>沉淀时间大于</w:t>
      </w:r>
      <w:r>
        <w:rPr>
          <w:rFonts w:ascii="宋体" w:hAnsi="宋体" w:eastAsia="宋体" w:cs="宋体"/>
          <w:spacing w:val="-38"/>
          <w:sz w:val="24"/>
          <w:szCs w:val="24"/>
        </w:rPr>
        <w:t xml:space="preserve"> </w:t>
      </w:r>
      <w:r>
        <w:rPr>
          <w:rFonts w:ascii="Times New Roman" w:hAnsi="Times New Roman" w:eastAsia="Times New Roman" w:cs="Times New Roman"/>
          <w:spacing w:val="7"/>
          <w:sz w:val="24"/>
          <w:szCs w:val="24"/>
        </w:rPr>
        <w:t>24h</w:t>
      </w:r>
      <w:r>
        <w:rPr>
          <w:rFonts w:ascii="宋体" w:hAnsi="宋体" w:eastAsia="宋体" w:cs="宋体"/>
          <w:spacing w:val="7"/>
          <w:sz w:val="24"/>
          <w:szCs w:val="24"/>
        </w:rPr>
        <w:t>，能够满足其余工程用水要求。</w:t>
      </w:r>
    </w:p>
    <w:p>
      <w:pPr>
        <w:spacing w:before="182" w:line="359" w:lineRule="auto"/>
        <w:ind w:left="39" w:right="30"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 xml:space="preserve">）混凝土拌合站设置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个冲洗废水沉淀池，沉淀池为混凝土</w:t>
      </w:r>
      <w:r>
        <w:rPr>
          <w:rFonts w:ascii="宋体" w:hAnsi="宋体" w:eastAsia="宋体" w:cs="宋体"/>
          <w:spacing w:val="-3"/>
          <w:sz w:val="24"/>
          <w:szCs w:val="24"/>
        </w:rPr>
        <w:t>结构，采用</w:t>
      </w:r>
      <w:r>
        <w:rPr>
          <w:rFonts w:ascii="宋体" w:hAnsi="宋体" w:eastAsia="宋体" w:cs="宋体"/>
          <w:sz w:val="24"/>
          <w:szCs w:val="24"/>
        </w:rPr>
        <w:t xml:space="preserve"> </w:t>
      </w:r>
      <w:r>
        <w:rPr>
          <w:rFonts w:ascii="宋体" w:hAnsi="宋体" w:eastAsia="宋体" w:cs="宋体"/>
          <w:spacing w:val="-4"/>
          <w:sz w:val="24"/>
          <w:szCs w:val="24"/>
        </w:rPr>
        <w:t xml:space="preserve">三级沉淀处理，总容积 </w:t>
      </w:r>
      <w:r>
        <w:rPr>
          <w:rFonts w:ascii="Times New Roman" w:hAnsi="Times New Roman" w:eastAsia="Times New Roman" w:cs="Times New Roman"/>
          <w:spacing w:val="-4"/>
          <w:sz w:val="24"/>
          <w:szCs w:val="24"/>
        </w:rPr>
        <w:t>10m</w:t>
      </w:r>
      <w:r>
        <w:rPr>
          <w:rFonts w:ascii="Times New Roman" w:hAnsi="Times New Roman" w:eastAsia="Times New Roman" w:cs="Times New Roman"/>
          <w:spacing w:val="-4"/>
          <w:position w:val="8"/>
          <w:sz w:val="15"/>
          <w:szCs w:val="15"/>
        </w:rPr>
        <w:t xml:space="preserve">3 </w:t>
      </w:r>
      <w:r>
        <w:rPr>
          <w:rFonts w:ascii="宋体" w:hAnsi="宋体" w:eastAsia="宋体" w:cs="宋体"/>
          <w:spacing w:val="-4"/>
          <w:sz w:val="24"/>
          <w:szCs w:val="24"/>
        </w:rPr>
        <w:t>。冲洗废水经沉淀处理后回用于混凝</w:t>
      </w:r>
      <w:r>
        <w:rPr>
          <w:rFonts w:ascii="宋体" w:hAnsi="宋体" w:eastAsia="宋体" w:cs="宋体"/>
          <w:spacing w:val="-5"/>
          <w:sz w:val="24"/>
          <w:szCs w:val="24"/>
        </w:rPr>
        <w:t>土拌合， 不外</w:t>
      </w:r>
      <w:r>
        <w:rPr>
          <w:rFonts w:ascii="宋体" w:hAnsi="宋体" w:eastAsia="宋体" w:cs="宋体"/>
          <w:sz w:val="24"/>
          <w:szCs w:val="24"/>
        </w:rPr>
        <w:t xml:space="preserve"> </w:t>
      </w:r>
      <w:r>
        <w:rPr>
          <w:rFonts w:ascii="宋体" w:hAnsi="宋体" w:eastAsia="宋体" w:cs="宋体"/>
          <w:spacing w:val="-7"/>
          <w:sz w:val="24"/>
          <w:szCs w:val="24"/>
        </w:rPr>
        <w:t>排。其余施工段布置小型移动式混凝土搅拌设备设置</w:t>
      </w:r>
      <w:r>
        <w:rPr>
          <w:rFonts w:ascii="宋体" w:hAnsi="宋体" w:eastAsia="宋体" w:cs="宋体"/>
          <w:spacing w:val="-29"/>
          <w:sz w:val="24"/>
          <w:szCs w:val="24"/>
        </w:rPr>
        <w:t xml:space="preserve">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个容积</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5m</w:t>
      </w:r>
      <w:r>
        <w:rPr>
          <w:rFonts w:ascii="Times New Roman" w:hAnsi="Times New Roman" w:eastAsia="Times New Roman" w:cs="Times New Roman"/>
          <w:spacing w:val="-7"/>
          <w:position w:val="8"/>
          <w:sz w:val="15"/>
          <w:szCs w:val="15"/>
        </w:rPr>
        <w:t xml:space="preserve">3  </w:t>
      </w:r>
      <w:r>
        <w:rPr>
          <w:rFonts w:ascii="宋体" w:hAnsi="宋体" w:eastAsia="宋体" w:cs="宋体"/>
          <w:spacing w:val="-7"/>
          <w:sz w:val="24"/>
          <w:szCs w:val="24"/>
        </w:rPr>
        <w:t>的沉淀池，</w:t>
      </w:r>
      <w:r>
        <w:rPr>
          <w:rFonts w:ascii="宋体" w:hAnsi="宋体" w:eastAsia="宋体" w:cs="宋体"/>
          <w:spacing w:val="-30"/>
          <w:sz w:val="24"/>
          <w:szCs w:val="24"/>
        </w:rPr>
        <w:t xml:space="preserve"> </w:t>
      </w:r>
      <w:r>
        <w:rPr>
          <w:rFonts w:ascii="宋体" w:hAnsi="宋体" w:eastAsia="宋体" w:cs="宋体"/>
          <w:spacing w:val="-7"/>
          <w:sz w:val="24"/>
          <w:szCs w:val="24"/>
        </w:rPr>
        <w:t>废</w:t>
      </w:r>
    </w:p>
    <w:p>
      <w:pPr>
        <w:spacing w:line="219" w:lineRule="auto"/>
        <w:ind w:left="42"/>
        <w:rPr>
          <w:rFonts w:ascii="宋体" w:hAnsi="宋体" w:eastAsia="宋体" w:cs="宋体"/>
          <w:sz w:val="24"/>
          <w:szCs w:val="24"/>
        </w:rPr>
      </w:pPr>
      <w:r>
        <w:rPr>
          <w:rFonts w:ascii="宋体" w:hAnsi="宋体" w:eastAsia="宋体" w:cs="宋体"/>
          <w:spacing w:val="-1"/>
          <w:sz w:val="24"/>
          <w:szCs w:val="24"/>
        </w:rPr>
        <w:t>水经沉淀处理后回用于</w:t>
      </w:r>
      <w:r>
        <w:rPr>
          <w:rFonts w:hint="eastAsia" w:ascii="宋体" w:hAnsi="宋体" w:eastAsia="宋体" w:cs="宋体"/>
          <w:spacing w:val="-1"/>
          <w:sz w:val="24"/>
          <w:szCs w:val="24"/>
          <w:lang w:eastAsia="zh-CN"/>
        </w:rPr>
        <w:t>混凝土</w:t>
      </w:r>
      <w:r>
        <w:rPr>
          <w:rFonts w:ascii="宋体" w:hAnsi="宋体" w:eastAsia="宋体" w:cs="宋体"/>
          <w:spacing w:val="-1"/>
          <w:sz w:val="24"/>
          <w:szCs w:val="24"/>
        </w:rPr>
        <w:t>拌合，不外排。</w:t>
      </w:r>
    </w:p>
    <w:p>
      <w:pPr>
        <w:spacing w:before="182" w:line="359" w:lineRule="auto"/>
        <w:ind w:left="44" w:right="30" w:firstLine="477"/>
        <w:rPr>
          <w:rFonts w:ascii="宋体" w:hAnsi="宋体" w:eastAsia="宋体" w:cs="宋体"/>
          <w:sz w:val="24"/>
          <w:szCs w:val="24"/>
        </w:rPr>
      </w:pPr>
      <w:r>
        <w:rPr>
          <w:rFonts w:ascii="宋体" w:hAnsi="宋体" w:eastAsia="宋体" w:cs="宋体"/>
          <w:spacing w:val="-6"/>
          <w:sz w:val="24"/>
          <w:szCs w:val="24"/>
        </w:rPr>
        <w:t>混凝土拌合站冲洗废水间歇性产生，</w:t>
      </w:r>
      <w:r>
        <w:rPr>
          <w:rFonts w:ascii="宋体" w:hAnsi="宋体" w:eastAsia="宋体" w:cs="宋体"/>
          <w:spacing w:val="-29"/>
          <w:sz w:val="24"/>
          <w:szCs w:val="24"/>
        </w:rPr>
        <w:t xml:space="preserve"> </w:t>
      </w:r>
      <w:r>
        <w:rPr>
          <w:rFonts w:ascii="宋体" w:hAnsi="宋体" w:eastAsia="宋体" w:cs="宋体"/>
          <w:spacing w:val="-6"/>
          <w:sz w:val="24"/>
          <w:szCs w:val="24"/>
        </w:rPr>
        <w:t>废水产生后进入沉淀池的沉淀时间至少</w:t>
      </w:r>
      <w:r>
        <w:rPr>
          <w:rFonts w:ascii="宋体" w:hAnsi="宋体" w:eastAsia="宋体" w:cs="宋体"/>
          <w:sz w:val="24"/>
          <w:szCs w:val="24"/>
        </w:rPr>
        <w:t xml:space="preserve"> </w:t>
      </w:r>
      <w:r>
        <w:rPr>
          <w:rFonts w:ascii="Times New Roman" w:hAnsi="Times New Roman" w:eastAsia="Times New Roman" w:cs="Times New Roman"/>
          <w:spacing w:val="-12"/>
          <w:sz w:val="24"/>
          <w:szCs w:val="24"/>
        </w:rPr>
        <w:t>8h</w:t>
      </w:r>
      <w:r>
        <w:rPr>
          <w:rFonts w:ascii="宋体" w:hAnsi="宋体" w:eastAsia="宋体" w:cs="宋体"/>
          <w:spacing w:val="-12"/>
          <w:sz w:val="24"/>
          <w:szCs w:val="24"/>
        </w:rPr>
        <w:t>，处理效果较好，</w:t>
      </w:r>
      <w:r>
        <w:rPr>
          <w:rFonts w:ascii="宋体" w:hAnsi="宋体" w:eastAsia="宋体" w:cs="宋体"/>
          <w:spacing w:val="40"/>
          <w:sz w:val="24"/>
          <w:szCs w:val="24"/>
        </w:rPr>
        <w:t xml:space="preserve"> </w:t>
      </w:r>
      <w:r>
        <w:rPr>
          <w:rFonts w:ascii="宋体" w:hAnsi="宋体" w:eastAsia="宋体" w:cs="宋体"/>
          <w:spacing w:val="-12"/>
          <w:sz w:val="24"/>
          <w:szCs w:val="24"/>
        </w:rPr>
        <w:t>澄清液可满足回用要求。目前，</w:t>
      </w:r>
      <w:r>
        <w:rPr>
          <w:rFonts w:ascii="宋体" w:hAnsi="宋体" w:eastAsia="宋体" w:cs="宋体"/>
          <w:spacing w:val="41"/>
          <w:sz w:val="24"/>
          <w:szCs w:val="24"/>
        </w:rPr>
        <w:t xml:space="preserve"> </w:t>
      </w:r>
      <w:r>
        <w:rPr>
          <w:rFonts w:ascii="宋体" w:hAnsi="宋体" w:eastAsia="宋体" w:cs="宋体"/>
          <w:spacing w:val="-12"/>
          <w:sz w:val="24"/>
          <w:szCs w:val="24"/>
        </w:rPr>
        <w:t>该方法已在各类工程施工中</w:t>
      </w:r>
    </w:p>
    <w:p>
      <w:pPr>
        <w:spacing w:before="1" w:line="219" w:lineRule="auto"/>
        <w:ind w:left="39"/>
        <w:rPr>
          <w:rFonts w:ascii="宋体" w:hAnsi="宋体" w:eastAsia="宋体" w:cs="宋体"/>
          <w:sz w:val="24"/>
          <w:szCs w:val="24"/>
        </w:rPr>
      </w:pPr>
      <w:r>
        <w:rPr>
          <w:rFonts w:ascii="宋体" w:hAnsi="宋体" w:eastAsia="宋体" w:cs="宋体"/>
          <w:spacing w:val="-7"/>
          <w:sz w:val="24"/>
          <w:szCs w:val="24"/>
        </w:rPr>
        <w:t>广泛使用。</w:t>
      </w:r>
    </w:p>
    <w:p>
      <w:pPr>
        <w:spacing w:before="182" w:line="359" w:lineRule="auto"/>
        <w:ind w:left="39" w:right="17" w:firstLine="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）枢纽区施工生活区、砂石料场生活区分别设置</w:t>
      </w:r>
      <w:r>
        <w:rPr>
          <w:rFonts w:ascii="宋体" w:hAnsi="宋体" w:eastAsia="宋体" w:cs="宋体"/>
          <w:spacing w:val="-26"/>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个隔油池和</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个化粪</w:t>
      </w:r>
      <w:r>
        <w:rPr>
          <w:rFonts w:ascii="宋体" w:hAnsi="宋体" w:eastAsia="宋体" w:cs="宋体"/>
          <w:sz w:val="24"/>
          <w:szCs w:val="24"/>
        </w:rPr>
        <w:t xml:space="preserve"> </w:t>
      </w:r>
      <w:r>
        <w:rPr>
          <w:rFonts w:ascii="宋体" w:hAnsi="宋体" w:eastAsia="宋体" w:cs="宋体"/>
          <w:spacing w:val="-13"/>
          <w:sz w:val="24"/>
          <w:szCs w:val="24"/>
        </w:rPr>
        <w:t>池，隔油池容积</w:t>
      </w:r>
      <w:r>
        <w:rPr>
          <w:rFonts w:ascii="宋体" w:hAnsi="宋体" w:eastAsia="宋体" w:cs="宋体"/>
          <w:spacing w:val="-43"/>
          <w:sz w:val="24"/>
          <w:szCs w:val="24"/>
        </w:rPr>
        <w:t xml:space="preserve"> </w:t>
      </w:r>
      <w:r>
        <w:rPr>
          <w:rFonts w:ascii="Times New Roman" w:hAnsi="Times New Roman" w:eastAsia="Times New Roman" w:cs="Times New Roman"/>
          <w:spacing w:val="-13"/>
          <w:sz w:val="24"/>
          <w:szCs w:val="24"/>
        </w:rPr>
        <w:t>1m</w:t>
      </w:r>
      <w:r>
        <w:rPr>
          <w:rFonts w:ascii="Times New Roman" w:hAnsi="Times New Roman" w:eastAsia="Times New Roman" w:cs="Times New Roman"/>
          <w:spacing w:val="-10"/>
          <w:position w:val="8"/>
          <w:sz w:val="15"/>
          <w:szCs w:val="15"/>
        </w:rPr>
        <w:t>3</w:t>
      </w:r>
      <w:r>
        <w:rPr>
          <w:rFonts w:ascii="宋体" w:hAnsi="宋体" w:eastAsia="宋体" w:cs="宋体"/>
          <w:spacing w:val="-10"/>
          <w:sz w:val="24"/>
          <w:szCs w:val="24"/>
        </w:rPr>
        <w:t>，化粪池采用三格化粪池，混凝土结构，容积</w:t>
      </w:r>
      <w:r>
        <w:rPr>
          <w:rFonts w:ascii="宋体" w:hAnsi="宋体" w:eastAsia="宋体" w:cs="宋体"/>
          <w:spacing w:val="-62"/>
          <w:sz w:val="24"/>
          <w:szCs w:val="24"/>
        </w:rPr>
        <w:t xml:space="preserve"> </w:t>
      </w:r>
      <w:r>
        <w:rPr>
          <w:rFonts w:ascii="Times New Roman" w:hAnsi="Times New Roman" w:eastAsia="Times New Roman" w:cs="Times New Roman"/>
          <w:spacing w:val="-10"/>
          <w:sz w:val="24"/>
          <w:szCs w:val="24"/>
        </w:rPr>
        <w:t>30m</w:t>
      </w:r>
      <w:r>
        <w:rPr>
          <w:rFonts w:ascii="Times New Roman" w:hAnsi="Times New Roman" w:eastAsia="Times New Roman" w:cs="Times New Roman"/>
          <w:spacing w:val="-10"/>
          <w:position w:val="8"/>
          <w:sz w:val="15"/>
          <w:szCs w:val="15"/>
        </w:rPr>
        <w:t xml:space="preserve">3 </w:t>
      </w:r>
      <w:r>
        <w:rPr>
          <w:rFonts w:ascii="宋体" w:hAnsi="宋体" w:eastAsia="宋体" w:cs="宋体"/>
          <w:spacing w:val="-10"/>
          <w:sz w:val="24"/>
          <w:szCs w:val="24"/>
        </w:rPr>
        <w:t>。</w:t>
      </w:r>
      <w:r>
        <w:rPr>
          <w:rFonts w:ascii="宋体" w:hAnsi="宋体" w:eastAsia="宋体" w:cs="宋体"/>
          <w:spacing w:val="-11"/>
          <w:sz w:val="24"/>
          <w:szCs w:val="24"/>
        </w:rPr>
        <w:t>生活污水</w:t>
      </w:r>
    </w:p>
    <w:p>
      <w:pPr>
        <w:spacing w:before="1" w:line="218" w:lineRule="auto"/>
        <w:ind w:left="37"/>
        <w:rPr>
          <w:rFonts w:ascii="宋体" w:hAnsi="宋体" w:eastAsia="宋体" w:cs="宋体"/>
          <w:sz w:val="24"/>
          <w:szCs w:val="24"/>
        </w:rPr>
      </w:pPr>
      <w:r>
        <w:rPr>
          <w:rFonts w:ascii="宋体" w:hAnsi="宋体" w:eastAsia="宋体" w:cs="宋体"/>
          <w:spacing w:val="-10"/>
          <w:sz w:val="24"/>
          <w:szCs w:val="24"/>
        </w:rPr>
        <w:t>进入化粪池处理，并雇用当地村民定期清运用作农业肥料，生活污水不外排。</w:t>
      </w:r>
    </w:p>
    <w:p>
      <w:pPr>
        <w:spacing w:before="184" w:line="359" w:lineRule="auto"/>
        <w:ind w:left="40" w:right="30" w:firstLine="48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5</w:t>
      </w:r>
      <w:r>
        <w:rPr>
          <w:rFonts w:ascii="宋体" w:hAnsi="宋体" w:eastAsia="宋体" w:cs="宋体"/>
          <w:spacing w:val="-5"/>
          <w:sz w:val="24"/>
          <w:szCs w:val="24"/>
        </w:rPr>
        <w:t>）隧洞涌水经沉淀池处理后外排， 因六</w:t>
      </w:r>
      <w:r>
        <w:rPr>
          <w:rFonts w:ascii="宋体" w:hAnsi="宋体" w:eastAsia="宋体" w:cs="宋体"/>
          <w:spacing w:val="-6"/>
          <w:sz w:val="24"/>
          <w:szCs w:val="24"/>
        </w:rPr>
        <w:t>苴河流域属于蜻蛉河大姚</w:t>
      </w:r>
      <w:r>
        <w:rPr>
          <w:rFonts w:ascii="Times New Roman" w:hAnsi="Times New Roman" w:eastAsia="Times New Roman" w:cs="Times New Roman"/>
          <w:spacing w:val="-6"/>
          <w:sz w:val="24"/>
          <w:szCs w:val="24"/>
        </w:rPr>
        <w:t>-</w:t>
      </w:r>
      <w:r>
        <w:rPr>
          <w:rFonts w:ascii="宋体" w:hAnsi="宋体" w:eastAsia="宋体" w:cs="宋体"/>
          <w:spacing w:val="-6"/>
          <w:sz w:val="24"/>
          <w:szCs w:val="24"/>
        </w:rPr>
        <w:t>元谋保</w:t>
      </w:r>
      <w:r>
        <w:rPr>
          <w:rFonts w:ascii="宋体" w:hAnsi="宋体" w:eastAsia="宋体" w:cs="宋体"/>
          <w:sz w:val="24"/>
          <w:szCs w:val="24"/>
        </w:rPr>
        <w:t xml:space="preserve"> </w:t>
      </w:r>
      <w:r>
        <w:rPr>
          <w:rFonts w:ascii="宋体" w:hAnsi="宋体" w:eastAsia="宋体" w:cs="宋体"/>
          <w:spacing w:val="-8"/>
          <w:sz w:val="24"/>
          <w:szCs w:val="24"/>
        </w:rPr>
        <w:t>留区，水质目类别Ⅱ类，禁止新建排污口，同时涌水量大，</w:t>
      </w:r>
      <w:r>
        <w:rPr>
          <w:rFonts w:ascii="宋体" w:hAnsi="宋体" w:eastAsia="宋体" w:cs="宋体"/>
          <w:spacing w:val="54"/>
          <w:sz w:val="24"/>
          <w:szCs w:val="24"/>
        </w:rPr>
        <w:t xml:space="preserve"> </w:t>
      </w:r>
      <w:r>
        <w:rPr>
          <w:rFonts w:ascii="宋体" w:hAnsi="宋体" w:eastAsia="宋体" w:cs="宋体"/>
          <w:spacing w:val="-8"/>
          <w:sz w:val="24"/>
          <w:szCs w:val="24"/>
        </w:rPr>
        <w:t>无法全部回用，环评</w:t>
      </w:r>
      <w:r>
        <w:rPr>
          <w:rFonts w:ascii="宋体" w:hAnsi="宋体" w:eastAsia="宋体" w:cs="宋体"/>
          <w:sz w:val="24"/>
          <w:szCs w:val="24"/>
        </w:rPr>
        <w:t xml:space="preserve"> </w:t>
      </w:r>
      <w:r>
        <w:rPr>
          <w:rFonts w:ascii="宋体" w:hAnsi="宋体" w:eastAsia="宋体" w:cs="宋体"/>
          <w:spacing w:val="-3"/>
          <w:sz w:val="24"/>
          <w:szCs w:val="24"/>
        </w:rPr>
        <w:t>提出将隧洞涌水抽至桂花河流域排放。马茨河隧洞设沉</w:t>
      </w:r>
      <w:r>
        <w:rPr>
          <w:rFonts w:ascii="宋体" w:hAnsi="宋体" w:eastAsia="宋体" w:cs="宋体"/>
          <w:spacing w:val="-4"/>
          <w:sz w:val="24"/>
          <w:szCs w:val="24"/>
        </w:rPr>
        <w:t>淀池</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个（隧洞进出口各</w:t>
      </w:r>
      <w:r>
        <w:rPr>
          <w:rFonts w:ascii="宋体" w:hAnsi="宋体" w:eastAsia="宋体" w:cs="宋体"/>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个</w:t>
      </w:r>
      <w:r>
        <w:rPr>
          <w:rFonts w:ascii="宋体" w:hAnsi="宋体" w:eastAsia="宋体" w:cs="宋体"/>
          <w:spacing w:val="-63"/>
          <w:sz w:val="24"/>
          <w:szCs w:val="24"/>
        </w:rPr>
        <w:t>），</w:t>
      </w:r>
      <w:r>
        <w:rPr>
          <w:rFonts w:ascii="宋体" w:hAnsi="宋体" w:eastAsia="宋体" w:cs="宋体"/>
          <w:spacing w:val="-8"/>
          <w:sz w:val="24"/>
          <w:szCs w:val="24"/>
        </w:rPr>
        <w:t>沉淀池单个容积</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150m</w:t>
      </w:r>
      <w:r>
        <w:rPr>
          <w:rFonts w:ascii="Times New Roman" w:hAnsi="Times New Roman" w:eastAsia="Times New Roman" w:cs="Times New Roman"/>
          <w:spacing w:val="-8"/>
          <w:position w:val="8"/>
          <w:sz w:val="15"/>
          <w:szCs w:val="15"/>
        </w:rPr>
        <w:t>3</w:t>
      </w:r>
      <w:r>
        <w:rPr>
          <w:rFonts w:ascii="宋体" w:hAnsi="宋体" w:eastAsia="宋体" w:cs="宋体"/>
          <w:spacing w:val="-16"/>
          <w:sz w:val="24"/>
          <w:szCs w:val="24"/>
        </w:rPr>
        <w:t>，沉淀时间</w:t>
      </w:r>
      <w:r>
        <w:rPr>
          <w:rFonts w:ascii="宋体" w:hAnsi="宋体" w:eastAsia="宋体" w:cs="宋体"/>
          <w:spacing w:val="-55"/>
          <w:sz w:val="24"/>
          <w:szCs w:val="24"/>
        </w:rPr>
        <w:t xml:space="preserve"> </w:t>
      </w:r>
      <w:r>
        <w:rPr>
          <w:rFonts w:ascii="Times New Roman" w:hAnsi="Times New Roman" w:eastAsia="Times New Roman" w:cs="Times New Roman"/>
          <w:spacing w:val="-16"/>
          <w:sz w:val="24"/>
          <w:szCs w:val="24"/>
        </w:rPr>
        <w:t>2h</w:t>
      </w:r>
      <w:r>
        <w:rPr>
          <w:rFonts w:ascii="宋体" w:hAnsi="宋体" w:eastAsia="宋体" w:cs="宋体"/>
          <w:spacing w:val="-16"/>
          <w:sz w:val="24"/>
          <w:szCs w:val="24"/>
        </w:rPr>
        <w:t>，水泵</w:t>
      </w:r>
      <w:r>
        <w:rPr>
          <w:rFonts w:ascii="宋体" w:hAnsi="宋体" w:eastAsia="宋体" w:cs="宋体"/>
          <w:spacing w:val="-56"/>
          <w:sz w:val="24"/>
          <w:szCs w:val="24"/>
        </w:rPr>
        <w:t xml:space="preserve"> </w:t>
      </w:r>
      <w:r>
        <w:rPr>
          <w:rFonts w:ascii="Times New Roman" w:hAnsi="Times New Roman" w:eastAsia="Times New Roman" w:cs="Times New Roman"/>
          <w:spacing w:val="-16"/>
          <w:sz w:val="24"/>
          <w:szCs w:val="24"/>
        </w:rPr>
        <w:t>4</w:t>
      </w:r>
      <w:r>
        <w:rPr>
          <w:rFonts w:ascii="Times New Roman" w:hAnsi="Times New Roman" w:eastAsia="Times New Roman" w:cs="Times New Roman"/>
          <w:spacing w:val="28"/>
          <w:w w:val="101"/>
          <w:sz w:val="24"/>
          <w:szCs w:val="24"/>
        </w:rPr>
        <w:t xml:space="preserve"> </w:t>
      </w:r>
      <w:r>
        <w:rPr>
          <w:rFonts w:ascii="宋体" w:hAnsi="宋体" w:eastAsia="宋体" w:cs="宋体"/>
          <w:spacing w:val="-16"/>
          <w:sz w:val="24"/>
          <w:szCs w:val="24"/>
        </w:rPr>
        <w:t>台（</w:t>
      </w:r>
      <w:r>
        <w:rPr>
          <w:rFonts w:ascii="Times New Roman" w:hAnsi="Times New Roman" w:eastAsia="Times New Roman" w:cs="Times New Roman"/>
          <w:spacing w:val="-16"/>
          <w:sz w:val="24"/>
          <w:szCs w:val="24"/>
        </w:rPr>
        <w:t>2</w:t>
      </w:r>
      <w:r>
        <w:rPr>
          <w:rFonts w:ascii="Times New Roman" w:hAnsi="Times New Roman" w:eastAsia="Times New Roman" w:cs="Times New Roman"/>
          <w:spacing w:val="12"/>
          <w:sz w:val="24"/>
          <w:szCs w:val="24"/>
        </w:rPr>
        <w:t xml:space="preserve"> </w:t>
      </w:r>
      <w:r>
        <w:rPr>
          <w:rFonts w:ascii="宋体" w:hAnsi="宋体" w:eastAsia="宋体" w:cs="宋体"/>
          <w:spacing w:val="-16"/>
          <w:sz w:val="24"/>
          <w:szCs w:val="24"/>
        </w:rPr>
        <w:t>备</w:t>
      </w:r>
      <w:r>
        <w:rPr>
          <w:rFonts w:ascii="宋体" w:hAnsi="宋体" w:eastAsia="宋体" w:cs="宋体"/>
          <w:spacing w:val="-55"/>
          <w:sz w:val="24"/>
          <w:szCs w:val="24"/>
        </w:rPr>
        <w:t xml:space="preserve"> </w:t>
      </w:r>
      <w:r>
        <w:rPr>
          <w:rFonts w:ascii="Times New Roman" w:hAnsi="Times New Roman" w:eastAsia="Times New Roman" w:cs="Times New Roman"/>
          <w:spacing w:val="-16"/>
          <w:sz w:val="24"/>
          <w:szCs w:val="24"/>
        </w:rPr>
        <w:t>2</w:t>
      </w:r>
      <w:r>
        <w:rPr>
          <w:rFonts w:ascii="Times New Roman" w:hAnsi="Times New Roman" w:eastAsia="Times New Roman" w:cs="Times New Roman"/>
          <w:spacing w:val="12"/>
          <w:sz w:val="24"/>
          <w:szCs w:val="24"/>
        </w:rPr>
        <w:t xml:space="preserve"> </w:t>
      </w:r>
      <w:r>
        <w:rPr>
          <w:rFonts w:ascii="宋体" w:hAnsi="宋体" w:eastAsia="宋体" w:cs="宋体"/>
          <w:spacing w:val="-16"/>
          <w:sz w:val="24"/>
          <w:szCs w:val="24"/>
        </w:rPr>
        <w:t>用</w:t>
      </w:r>
      <w:r>
        <w:rPr>
          <w:rFonts w:ascii="宋体" w:hAnsi="宋体" w:eastAsia="宋体" w:cs="宋体"/>
          <w:spacing w:val="-63"/>
          <w:sz w:val="24"/>
          <w:szCs w:val="24"/>
        </w:rPr>
        <w:t>），</w:t>
      </w:r>
      <w:r>
        <w:rPr>
          <w:rFonts w:ascii="宋体" w:hAnsi="宋体" w:eastAsia="宋体" w:cs="宋体"/>
          <w:spacing w:val="-16"/>
          <w:sz w:val="24"/>
          <w:szCs w:val="24"/>
        </w:rPr>
        <w:t>管道</w:t>
      </w:r>
      <w:r>
        <w:rPr>
          <w:rFonts w:ascii="宋体" w:hAnsi="宋体" w:eastAsia="宋体" w:cs="宋体"/>
          <w:spacing w:val="-57"/>
          <w:sz w:val="24"/>
          <w:szCs w:val="24"/>
        </w:rPr>
        <w:t xml:space="preserve"> </w:t>
      </w:r>
      <w:r>
        <w:rPr>
          <w:rFonts w:ascii="Times New Roman" w:hAnsi="Times New Roman" w:eastAsia="Times New Roman" w:cs="Times New Roman"/>
          <w:spacing w:val="-16"/>
          <w:sz w:val="24"/>
          <w:szCs w:val="24"/>
        </w:rPr>
        <w:t>4.8km</w:t>
      </w:r>
      <w:r>
        <w:rPr>
          <w:rFonts w:ascii="宋体" w:hAnsi="宋体" w:eastAsia="宋体" w:cs="宋体"/>
          <w:spacing w:val="-16"/>
          <w:sz w:val="24"/>
          <w:szCs w:val="24"/>
        </w:rPr>
        <w:t>；</w:t>
      </w:r>
      <w:r>
        <w:rPr>
          <w:rFonts w:ascii="宋体" w:hAnsi="宋体" w:eastAsia="宋体" w:cs="宋体"/>
          <w:sz w:val="24"/>
          <w:szCs w:val="24"/>
        </w:rPr>
        <w:t xml:space="preserve"> </w:t>
      </w:r>
      <w:r>
        <w:rPr>
          <w:rFonts w:ascii="宋体" w:hAnsi="宋体" w:eastAsia="宋体" w:cs="宋体"/>
          <w:spacing w:val="-5"/>
          <w:sz w:val="24"/>
          <w:szCs w:val="24"/>
        </w:rPr>
        <w:t>六姑乍箐隧洞设沉淀池</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 xml:space="preserve">个（隧洞进出口各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个</w:t>
      </w:r>
      <w:r>
        <w:rPr>
          <w:rFonts w:ascii="宋体" w:hAnsi="宋体" w:eastAsia="宋体" w:cs="宋体"/>
          <w:spacing w:val="-34"/>
          <w:sz w:val="24"/>
          <w:szCs w:val="24"/>
        </w:rPr>
        <w:t>），</w:t>
      </w:r>
      <w:r>
        <w:rPr>
          <w:rFonts w:ascii="宋体" w:hAnsi="宋体" w:eastAsia="宋体" w:cs="宋体"/>
          <w:spacing w:val="-5"/>
          <w:sz w:val="24"/>
          <w:szCs w:val="24"/>
        </w:rPr>
        <w:t>沉淀池单个容积</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30</w:t>
      </w:r>
      <w:r>
        <w:rPr>
          <w:rFonts w:ascii="Times New Roman" w:hAnsi="Times New Roman" w:eastAsia="Times New Roman" w:cs="Times New Roman"/>
          <w:spacing w:val="-6"/>
          <w:sz w:val="24"/>
          <w:szCs w:val="24"/>
        </w:rPr>
        <w:t>m</w:t>
      </w:r>
      <w:r>
        <w:rPr>
          <w:rFonts w:ascii="Times New Roman" w:hAnsi="Times New Roman" w:eastAsia="Times New Roman" w:cs="Times New Roman"/>
          <w:spacing w:val="-6"/>
          <w:position w:val="8"/>
          <w:sz w:val="15"/>
          <w:szCs w:val="15"/>
        </w:rPr>
        <w:t>3</w:t>
      </w:r>
      <w:r>
        <w:rPr>
          <w:rFonts w:ascii="宋体" w:hAnsi="宋体" w:eastAsia="宋体" w:cs="宋体"/>
          <w:spacing w:val="-6"/>
          <w:sz w:val="24"/>
          <w:szCs w:val="24"/>
        </w:rPr>
        <w:t>，沉淀</w:t>
      </w:r>
      <w:r>
        <w:rPr>
          <w:rFonts w:ascii="宋体" w:hAnsi="宋体" w:eastAsia="宋体" w:cs="宋体"/>
          <w:sz w:val="24"/>
          <w:szCs w:val="24"/>
        </w:rPr>
        <w:t xml:space="preserve"> </w:t>
      </w:r>
      <w:r>
        <w:rPr>
          <w:rFonts w:ascii="宋体" w:hAnsi="宋体" w:eastAsia="宋体" w:cs="宋体"/>
          <w:spacing w:val="-5"/>
          <w:sz w:val="24"/>
          <w:szCs w:val="24"/>
        </w:rPr>
        <w:t>时间</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2h</w:t>
      </w:r>
      <w:r>
        <w:rPr>
          <w:rFonts w:ascii="宋体" w:hAnsi="宋体" w:eastAsia="宋体" w:cs="宋体"/>
          <w:spacing w:val="-5"/>
          <w:sz w:val="24"/>
          <w:szCs w:val="24"/>
        </w:rPr>
        <w:t>，水泵</w:t>
      </w:r>
      <w:r>
        <w:rPr>
          <w:rFonts w:ascii="宋体" w:hAnsi="宋体" w:eastAsia="宋体" w:cs="宋体"/>
          <w:spacing w:val="-35"/>
          <w:sz w:val="24"/>
          <w:szCs w:val="24"/>
        </w:rPr>
        <w:t xml:space="preserve"> </w:t>
      </w:r>
      <w:r>
        <w:rPr>
          <w:rFonts w:ascii="Times New Roman" w:hAnsi="Times New Roman" w:eastAsia="Times New Roman" w:cs="Times New Roman"/>
          <w:spacing w:val="-5"/>
          <w:sz w:val="24"/>
          <w:szCs w:val="24"/>
        </w:rPr>
        <w:t>4</w:t>
      </w:r>
      <w:r>
        <w:rPr>
          <w:rFonts w:ascii="Times New Roman" w:hAnsi="Times New Roman" w:eastAsia="Times New Roman" w:cs="Times New Roman"/>
          <w:spacing w:val="36"/>
          <w:w w:val="101"/>
          <w:sz w:val="24"/>
          <w:szCs w:val="24"/>
        </w:rPr>
        <w:t xml:space="preserve"> </w:t>
      </w:r>
      <w:r>
        <w:rPr>
          <w:rFonts w:ascii="宋体" w:hAnsi="宋体" w:eastAsia="宋体" w:cs="宋体"/>
          <w:spacing w:val="-5"/>
          <w:sz w:val="24"/>
          <w:szCs w:val="24"/>
        </w:rPr>
        <w:t>台（</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0"/>
          <w:w w:val="101"/>
          <w:sz w:val="24"/>
          <w:szCs w:val="24"/>
        </w:rPr>
        <w:t xml:space="preserve"> </w:t>
      </w:r>
      <w:r>
        <w:rPr>
          <w:rFonts w:ascii="宋体" w:hAnsi="宋体" w:eastAsia="宋体" w:cs="宋体"/>
          <w:spacing w:val="-5"/>
          <w:sz w:val="24"/>
          <w:szCs w:val="24"/>
        </w:rPr>
        <w:t>备</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0"/>
          <w:sz w:val="24"/>
          <w:szCs w:val="24"/>
        </w:rPr>
        <w:t xml:space="preserve"> </w:t>
      </w:r>
      <w:r>
        <w:rPr>
          <w:rFonts w:ascii="宋体" w:hAnsi="宋体" w:eastAsia="宋体" w:cs="宋体"/>
          <w:spacing w:val="-5"/>
          <w:sz w:val="24"/>
          <w:szCs w:val="24"/>
        </w:rPr>
        <w:t>用</w:t>
      </w:r>
      <w:r>
        <w:rPr>
          <w:rFonts w:ascii="宋体" w:hAnsi="宋体" w:eastAsia="宋体" w:cs="宋体"/>
          <w:spacing w:val="-31"/>
          <w:sz w:val="24"/>
          <w:szCs w:val="24"/>
        </w:rPr>
        <w:t>），</w:t>
      </w:r>
      <w:r>
        <w:rPr>
          <w:rFonts w:ascii="宋体" w:hAnsi="宋体" w:eastAsia="宋体" w:cs="宋体"/>
          <w:spacing w:val="-5"/>
          <w:sz w:val="24"/>
          <w:szCs w:val="24"/>
        </w:rPr>
        <w:t>管道</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6.2km</w:t>
      </w:r>
      <w:r>
        <w:rPr>
          <w:rFonts w:ascii="宋体" w:hAnsi="宋体" w:eastAsia="宋体" w:cs="宋体"/>
          <w:spacing w:val="-5"/>
          <w:sz w:val="24"/>
          <w:szCs w:val="24"/>
        </w:rPr>
        <w:t>；独格里排隧洞设沉淀池</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7"/>
          <w:w w:val="101"/>
          <w:sz w:val="24"/>
          <w:szCs w:val="24"/>
        </w:rPr>
        <w:t xml:space="preserve"> </w:t>
      </w:r>
      <w:r>
        <w:rPr>
          <w:rFonts w:ascii="宋体" w:hAnsi="宋体" w:eastAsia="宋体" w:cs="宋体"/>
          <w:spacing w:val="-5"/>
          <w:sz w:val="24"/>
          <w:szCs w:val="24"/>
        </w:rPr>
        <w:t>个（隧</w:t>
      </w:r>
      <w:r>
        <w:rPr>
          <w:rFonts w:ascii="宋体" w:hAnsi="宋体" w:eastAsia="宋体" w:cs="宋体"/>
          <w:sz w:val="24"/>
          <w:szCs w:val="24"/>
        </w:rPr>
        <w:t xml:space="preserve"> </w:t>
      </w:r>
      <w:r>
        <w:rPr>
          <w:rFonts w:ascii="宋体" w:hAnsi="宋体" w:eastAsia="宋体" w:cs="宋体"/>
          <w:spacing w:val="-12"/>
          <w:sz w:val="24"/>
          <w:szCs w:val="24"/>
        </w:rPr>
        <w:t>洞进出口各</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 xml:space="preserve">1 </w:t>
      </w:r>
      <w:r>
        <w:rPr>
          <w:rFonts w:ascii="宋体" w:hAnsi="宋体" w:eastAsia="宋体" w:cs="宋体"/>
          <w:spacing w:val="-12"/>
          <w:sz w:val="24"/>
          <w:szCs w:val="24"/>
        </w:rPr>
        <w:t>个</w:t>
      </w:r>
      <w:r>
        <w:rPr>
          <w:rFonts w:ascii="宋体" w:hAnsi="宋体" w:eastAsia="宋体" w:cs="宋体"/>
          <w:spacing w:val="-41"/>
          <w:sz w:val="24"/>
          <w:szCs w:val="24"/>
        </w:rPr>
        <w:t>），</w:t>
      </w:r>
      <w:r>
        <w:rPr>
          <w:rFonts w:ascii="宋体" w:hAnsi="宋体" w:eastAsia="宋体" w:cs="宋体"/>
          <w:spacing w:val="-12"/>
          <w:sz w:val="24"/>
          <w:szCs w:val="24"/>
        </w:rPr>
        <w:t>沉淀池单个容积</w:t>
      </w:r>
      <w:r>
        <w:rPr>
          <w:rFonts w:ascii="宋体" w:hAnsi="宋体" w:eastAsia="宋体" w:cs="宋体"/>
          <w:spacing w:val="-45"/>
          <w:sz w:val="24"/>
          <w:szCs w:val="24"/>
        </w:rPr>
        <w:t xml:space="preserve"> </w:t>
      </w:r>
      <w:r>
        <w:rPr>
          <w:rFonts w:ascii="Times New Roman" w:hAnsi="Times New Roman" w:eastAsia="Times New Roman" w:cs="Times New Roman"/>
          <w:spacing w:val="-12"/>
          <w:sz w:val="24"/>
          <w:szCs w:val="24"/>
        </w:rPr>
        <w:t>80m3</w:t>
      </w:r>
      <w:r>
        <w:rPr>
          <w:rFonts w:ascii="宋体" w:hAnsi="宋体" w:eastAsia="宋体" w:cs="宋体"/>
          <w:spacing w:val="-12"/>
          <w:sz w:val="24"/>
          <w:szCs w:val="24"/>
        </w:rPr>
        <w:t>，沉淀时间</w:t>
      </w:r>
      <w:r>
        <w:rPr>
          <w:rFonts w:ascii="宋体" w:hAnsi="宋体" w:eastAsia="宋体" w:cs="宋体"/>
          <w:spacing w:val="-55"/>
          <w:sz w:val="24"/>
          <w:szCs w:val="24"/>
        </w:rPr>
        <w:t xml:space="preserve"> </w:t>
      </w:r>
      <w:r>
        <w:rPr>
          <w:rFonts w:ascii="Times New Roman" w:hAnsi="Times New Roman" w:eastAsia="Times New Roman" w:cs="Times New Roman"/>
          <w:spacing w:val="-12"/>
          <w:sz w:val="24"/>
          <w:szCs w:val="24"/>
        </w:rPr>
        <w:t>2h</w:t>
      </w:r>
      <w:r>
        <w:rPr>
          <w:rFonts w:ascii="宋体" w:hAnsi="宋体" w:eastAsia="宋体" w:cs="宋体"/>
          <w:spacing w:val="-12"/>
          <w:sz w:val="24"/>
          <w:szCs w:val="24"/>
        </w:rPr>
        <w:t>，水泵</w:t>
      </w:r>
      <w:r>
        <w:rPr>
          <w:rFonts w:ascii="宋体" w:hAnsi="宋体" w:eastAsia="宋体" w:cs="宋体"/>
          <w:spacing w:val="-56"/>
          <w:sz w:val="24"/>
          <w:szCs w:val="24"/>
        </w:rPr>
        <w:t xml:space="preserve"> </w:t>
      </w:r>
      <w:r>
        <w:rPr>
          <w:rFonts w:ascii="Times New Roman" w:hAnsi="Times New Roman" w:eastAsia="Times New Roman" w:cs="Times New Roman"/>
          <w:spacing w:val="-12"/>
          <w:sz w:val="24"/>
          <w:szCs w:val="24"/>
        </w:rPr>
        <w:t>4</w:t>
      </w:r>
      <w:r>
        <w:rPr>
          <w:rFonts w:ascii="Times New Roman" w:hAnsi="Times New Roman" w:eastAsia="Times New Roman" w:cs="Times New Roman"/>
          <w:spacing w:val="28"/>
          <w:w w:val="101"/>
          <w:sz w:val="24"/>
          <w:szCs w:val="24"/>
        </w:rPr>
        <w:t xml:space="preserve"> </w:t>
      </w:r>
      <w:r>
        <w:rPr>
          <w:rFonts w:ascii="宋体" w:hAnsi="宋体" w:eastAsia="宋体" w:cs="宋体"/>
          <w:spacing w:val="-12"/>
          <w:sz w:val="24"/>
          <w:szCs w:val="24"/>
        </w:rPr>
        <w:t>台（</w:t>
      </w:r>
      <w:r>
        <w:rPr>
          <w:rFonts w:ascii="Times New Roman" w:hAnsi="Times New Roman" w:eastAsia="Times New Roman" w:cs="Times New Roman"/>
          <w:spacing w:val="-12"/>
          <w:sz w:val="24"/>
          <w:szCs w:val="24"/>
        </w:rPr>
        <w:t>2</w:t>
      </w:r>
      <w:r>
        <w:rPr>
          <w:rFonts w:ascii="Times New Roman" w:hAnsi="Times New Roman" w:eastAsia="Times New Roman" w:cs="Times New Roman"/>
          <w:spacing w:val="12"/>
          <w:sz w:val="24"/>
          <w:szCs w:val="24"/>
        </w:rPr>
        <w:t xml:space="preserve"> </w:t>
      </w:r>
      <w:r>
        <w:rPr>
          <w:rFonts w:ascii="宋体" w:hAnsi="宋体" w:eastAsia="宋体" w:cs="宋体"/>
          <w:spacing w:val="-12"/>
          <w:sz w:val="24"/>
          <w:szCs w:val="24"/>
        </w:rPr>
        <w:t>备</w:t>
      </w:r>
      <w:r>
        <w:rPr>
          <w:rFonts w:ascii="宋体" w:hAnsi="宋体" w:eastAsia="宋体" w:cs="宋体"/>
          <w:spacing w:val="-55"/>
          <w:sz w:val="24"/>
          <w:szCs w:val="24"/>
        </w:rPr>
        <w:t xml:space="preserve"> </w:t>
      </w:r>
      <w:r>
        <w:rPr>
          <w:rFonts w:ascii="Times New Roman" w:hAnsi="Times New Roman" w:eastAsia="Times New Roman" w:cs="Times New Roman"/>
          <w:spacing w:val="-12"/>
          <w:sz w:val="24"/>
          <w:szCs w:val="24"/>
        </w:rPr>
        <w:t>2</w:t>
      </w:r>
      <w:r>
        <w:rPr>
          <w:rFonts w:ascii="Times New Roman" w:hAnsi="Times New Roman" w:eastAsia="Times New Roman" w:cs="Times New Roman"/>
          <w:spacing w:val="11"/>
          <w:sz w:val="24"/>
          <w:szCs w:val="24"/>
        </w:rPr>
        <w:t xml:space="preserve"> </w:t>
      </w:r>
      <w:r>
        <w:rPr>
          <w:rFonts w:ascii="宋体" w:hAnsi="宋体" w:eastAsia="宋体" w:cs="宋体"/>
          <w:spacing w:val="-12"/>
          <w:sz w:val="24"/>
          <w:szCs w:val="24"/>
        </w:rPr>
        <w:t>用</w:t>
      </w:r>
      <w:r>
        <w:rPr>
          <w:rFonts w:ascii="宋体" w:hAnsi="宋体" w:eastAsia="宋体" w:cs="宋体"/>
          <w:spacing w:val="-41"/>
          <w:sz w:val="24"/>
          <w:szCs w:val="24"/>
        </w:rPr>
        <w:t>），</w:t>
      </w:r>
    </w:p>
    <w:p>
      <w:pPr>
        <w:spacing w:line="233" w:lineRule="auto"/>
        <w:ind w:left="44"/>
        <w:rPr>
          <w:rFonts w:ascii="宋体" w:hAnsi="宋体" w:eastAsia="宋体" w:cs="宋体"/>
          <w:sz w:val="24"/>
          <w:szCs w:val="24"/>
        </w:rPr>
      </w:pPr>
      <w:r>
        <w:rPr>
          <w:rFonts w:ascii="宋体" w:hAnsi="宋体" w:eastAsia="宋体" w:cs="宋体"/>
          <w:spacing w:val="-6"/>
          <w:sz w:val="24"/>
          <w:szCs w:val="24"/>
        </w:rPr>
        <w:t>管道</w:t>
      </w:r>
      <w:r>
        <w:rPr>
          <w:rFonts w:ascii="宋体" w:hAnsi="宋体" w:eastAsia="宋体" w:cs="宋体"/>
          <w:spacing w:val="-30"/>
          <w:sz w:val="24"/>
          <w:szCs w:val="24"/>
        </w:rPr>
        <w:t xml:space="preserve"> </w:t>
      </w:r>
      <w:r>
        <w:rPr>
          <w:rFonts w:ascii="Times New Roman" w:hAnsi="Times New Roman" w:eastAsia="Times New Roman" w:cs="Times New Roman"/>
          <w:spacing w:val="-6"/>
          <w:sz w:val="24"/>
          <w:szCs w:val="24"/>
        </w:rPr>
        <w:t>11.3km</w:t>
      </w:r>
      <w:r>
        <w:rPr>
          <w:rFonts w:ascii="宋体" w:hAnsi="宋体" w:eastAsia="宋体" w:cs="宋体"/>
          <w:spacing w:val="-6"/>
          <w:sz w:val="24"/>
          <w:szCs w:val="24"/>
        </w:rPr>
        <w:t>。</w:t>
      </w:r>
    </w:p>
    <w:p>
      <w:pPr>
        <w:spacing w:before="164" w:line="467" w:lineRule="exact"/>
        <w:ind w:right="34"/>
        <w:jc w:val="right"/>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6</w:t>
      </w:r>
      <w:r>
        <w:rPr>
          <w:rFonts w:ascii="宋体" w:hAnsi="宋体" w:eastAsia="宋体" w:cs="宋体"/>
          <w:position w:val="17"/>
          <w:sz w:val="24"/>
          <w:szCs w:val="24"/>
        </w:rPr>
        <w:t>）库底清基产生的土石方均运至弃渣场，植物清运出库区，不残留在库</w:t>
      </w:r>
    </w:p>
    <w:p>
      <w:pPr>
        <w:spacing w:line="219" w:lineRule="auto"/>
        <w:ind w:left="57"/>
        <w:rPr>
          <w:rFonts w:ascii="宋体" w:hAnsi="宋体" w:eastAsia="宋体" w:cs="宋体"/>
          <w:sz w:val="24"/>
          <w:szCs w:val="24"/>
        </w:rPr>
      </w:pPr>
      <w:r>
        <w:rPr>
          <w:rFonts w:ascii="宋体" w:hAnsi="宋体" w:eastAsia="宋体" w:cs="宋体"/>
          <w:spacing w:val="-14"/>
          <w:sz w:val="24"/>
          <w:szCs w:val="24"/>
        </w:rPr>
        <w:t>区内。</w:t>
      </w:r>
    </w:p>
    <w:p>
      <w:pPr>
        <w:spacing w:before="259"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7</w:t>
      </w:r>
      <w:r>
        <w:rPr>
          <w:rFonts w:ascii="宋体" w:hAnsi="宋体" w:eastAsia="宋体" w:cs="宋体"/>
          <w:spacing w:val="-3"/>
          <w:sz w:val="24"/>
          <w:szCs w:val="24"/>
        </w:rPr>
        <w:t>）加强施工期间的管理，禁止向河道弃渣。</w:t>
      </w:r>
    </w:p>
    <w:p>
      <w:pPr>
        <w:spacing w:line="220" w:lineRule="auto"/>
        <w:rPr>
          <w:rFonts w:ascii="宋体" w:hAnsi="宋体" w:eastAsia="宋体" w:cs="宋体"/>
          <w:sz w:val="24"/>
          <w:szCs w:val="24"/>
        </w:rPr>
        <w:sectPr>
          <w:headerReference r:id="rId445" w:type="default"/>
          <w:footerReference r:id="rId446" w:type="default"/>
          <w:pgSz w:w="11907" w:h="16839"/>
          <w:pgMar w:top="1156" w:right="1768" w:bottom="1374" w:left="1770" w:header="881" w:footer="1210" w:gutter="0"/>
        </w:sectPr>
      </w:pPr>
    </w:p>
    <w:p>
      <w:pPr>
        <w:spacing w:line="413" w:lineRule="auto"/>
        <w:rPr>
          <w:rFonts w:ascii="Arial"/>
          <w:sz w:val="21"/>
        </w:rPr>
      </w:pPr>
    </w:p>
    <w:p>
      <w:pPr>
        <w:pStyle w:val="2"/>
        <w:spacing w:before="78" w:line="220" w:lineRule="auto"/>
        <w:ind w:left="38"/>
        <w:outlineLvl w:val="3"/>
        <w:rPr>
          <w:sz w:val="24"/>
          <w:szCs w:val="24"/>
        </w:rPr>
      </w:pPr>
      <w:r>
        <w:rPr>
          <w:rFonts w:ascii="Times New Roman" w:hAnsi="Times New Roman" w:eastAsia="Times New Roman" w:cs="Times New Roman"/>
          <w:b/>
          <w:bCs/>
          <w:spacing w:val="-2"/>
          <w:sz w:val="24"/>
          <w:szCs w:val="24"/>
        </w:rPr>
        <w:t>6.2.2</w:t>
      </w:r>
      <w:r>
        <w:rPr>
          <w:rFonts w:ascii="Times New Roman" w:hAnsi="Times New Roman" w:eastAsia="Times New Roman" w:cs="Times New Roman"/>
          <w:b/>
          <w:bCs/>
          <w:spacing w:val="12"/>
          <w:sz w:val="24"/>
          <w:szCs w:val="24"/>
        </w:rPr>
        <w:t xml:space="preserve"> </w:t>
      </w:r>
      <w:r>
        <w:rPr>
          <w:spacing w:val="-2"/>
          <w:sz w:val="24"/>
          <w:szCs w:val="24"/>
          <w14:textOutline w14:w="4354" w14:cap="flat" w14:cmpd="sng">
            <w14:solidFill>
              <w14:srgbClr w14:val="000000"/>
            </w14:solidFill>
            <w14:prstDash w14:val="solid"/>
            <w14:miter w14:val="0"/>
          </w14:textOutline>
        </w:rPr>
        <w:t>运营期</w:t>
      </w:r>
    </w:p>
    <w:p>
      <w:pPr>
        <w:spacing w:before="214"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）水库蓄水初期下放生态流量措施</w:t>
      </w:r>
    </w:p>
    <w:p>
      <w:pPr>
        <w:spacing w:before="181" w:line="467" w:lineRule="exact"/>
        <w:ind w:right="63"/>
        <w:jc w:val="right"/>
        <w:rPr>
          <w:rFonts w:ascii="宋体" w:hAnsi="宋体" w:eastAsia="宋体" w:cs="宋体"/>
          <w:sz w:val="24"/>
          <w:szCs w:val="24"/>
        </w:rPr>
      </w:pPr>
      <w:r>
        <w:rPr>
          <w:rFonts w:ascii="宋体" w:hAnsi="宋体" w:eastAsia="宋体" w:cs="宋体"/>
          <w:spacing w:val="-6"/>
          <w:position w:val="17"/>
          <w:sz w:val="24"/>
          <w:szCs w:val="24"/>
        </w:rPr>
        <w:t>①当水库坝址处来流量小于或等于水库下游河段所需生态流量时，</w:t>
      </w:r>
      <w:r>
        <w:rPr>
          <w:rFonts w:ascii="宋体" w:hAnsi="宋体" w:eastAsia="宋体" w:cs="宋体"/>
          <w:spacing w:val="-25"/>
          <w:position w:val="17"/>
          <w:sz w:val="24"/>
          <w:szCs w:val="24"/>
        </w:rPr>
        <w:t xml:space="preserve"> </w:t>
      </w:r>
      <w:r>
        <w:rPr>
          <w:rFonts w:ascii="宋体" w:hAnsi="宋体" w:eastAsia="宋体" w:cs="宋体"/>
          <w:spacing w:val="-6"/>
          <w:position w:val="17"/>
          <w:sz w:val="24"/>
          <w:szCs w:val="24"/>
        </w:rPr>
        <w:t>水库不能</w:t>
      </w:r>
    </w:p>
    <w:p>
      <w:pPr>
        <w:spacing w:line="219" w:lineRule="auto"/>
        <w:ind w:left="37"/>
        <w:rPr>
          <w:rFonts w:ascii="宋体" w:hAnsi="宋体" w:eastAsia="宋体" w:cs="宋体"/>
          <w:sz w:val="24"/>
          <w:szCs w:val="24"/>
        </w:rPr>
      </w:pPr>
      <w:r>
        <w:rPr>
          <w:rFonts w:ascii="宋体" w:hAnsi="宋体" w:eastAsia="宋体" w:cs="宋体"/>
          <w:spacing w:val="-2"/>
          <w:sz w:val="24"/>
          <w:szCs w:val="24"/>
        </w:rPr>
        <w:t>进行蓄水，来水应全部下放作为下游河道生态用水。</w:t>
      </w:r>
    </w:p>
    <w:p>
      <w:pPr>
        <w:spacing w:before="183" w:line="231" w:lineRule="auto"/>
        <w:ind w:left="517"/>
        <w:rPr>
          <w:rFonts w:ascii="宋体" w:hAnsi="宋体" w:eastAsia="宋体" w:cs="宋体"/>
          <w:sz w:val="24"/>
          <w:szCs w:val="24"/>
        </w:rPr>
      </w:pPr>
      <w:r>
        <w:rPr>
          <w:rFonts w:ascii="宋体" w:hAnsi="宋体" w:eastAsia="宋体" w:cs="宋体"/>
          <w:spacing w:val="-9"/>
          <w:sz w:val="24"/>
          <w:szCs w:val="24"/>
        </w:rPr>
        <w:t>②水库蓄水初期，</w:t>
      </w:r>
      <w:r>
        <w:rPr>
          <w:rFonts w:ascii="宋体" w:hAnsi="宋体" w:eastAsia="宋体" w:cs="宋体"/>
          <w:spacing w:val="76"/>
          <w:sz w:val="24"/>
          <w:szCs w:val="24"/>
        </w:rPr>
        <w:t xml:space="preserve"> </w:t>
      </w:r>
      <w:r>
        <w:rPr>
          <w:rFonts w:ascii="宋体" w:hAnsi="宋体" w:eastAsia="宋体" w:cs="宋体"/>
          <w:spacing w:val="-9"/>
          <w:sz w:val="24"/>
          <w:szCs w:val="24"/>
        </w:rPr>
        <w:t>生态基流量</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0.074m</w:t>
      </w:r>
      <w:r>
        <w:rPr>
          <w:rFonts w:ascii="Times New Roman" w:hAnsi="Times New Roman" w:eastAsia="Times New Roman" w:cs="Times New Roman"/>
          <w:spacing w:val="-9"/>
          <w:position w:val="8"/>
          <w:sz w:val="15"/>
          <w:szCs w:val="15"/>
        </w:rPr>
        <w:t>3</w:t>
      </w:r>
      <w:r>
        <w:rPr>
          <w:rFonts w:ascii="Times New Roman" w:hAnsi="Times New Roman" w:eastAsia="Times New Roman" w:cs="Times New Roman"/>
          <w:spacing w:val="-9"/>
          <w:sz w:val="24"/>
          <w:szCs w:val="24"/>
        </w:rPr>
        <w:t>/s</w:t>
      </w:r>
      <w:r>
        <w:rPr>
          <w:rFonts w:ascii="宋体" w:hAnsi="宋体" w:eastAsia="宋体" w:cs="宋体"/>
          <w:spacing w:val="-9"/>
          <w:sz w:val="24"/>
          <w:szCs w:val="24"/>
        </w:rPr>
        <w:t>。</w:t>
      </w:r>
    </w:p>
    <w:p>
      <w:pPr>
        <w:spacing w:before="166" w:line="359" w:lineRule="auto"/>
        <w:ind w:left="42" w:right="63" w:firstLine="475"/>
        <w:rPr>
          <w:rFonts w:ascii="Times New Roman" w:hAnsi="Times New Roman" w:eastAsia="Times New Roman" w:cs="Times New Roman"/>
          <w:sz w:val="24"/>
          <w:szCs w:val="24"/>
        </w:rPr>
      </w:pPr>
      <w:r>
        <w:rPr>
          <w:rFonts w:ascii="宋体" w:hAnsi="宋体" w:eastAsia="宋体" w:cs="宋体"/>
          <w:spacing w:val="-3"/>
          <w:sz w:val="24"/>
          <w:szCs w:val="24"/>
        </w:rPr>
        <w:t>③初期蓄水至死水位期间无法通过输水管道直接取水，采用临时供水</w:t>
      </w:r>
      <w:r>
        <w:rPr>
          <w:rFonts w:ascii="宋体" w:hAnsi="宋体" w:eastAsia="宋体" w:cs="宋体"/>
          <w:spacing w:val="-4"/>
          <w:sz w:val="24"/>
          <w:szCs w:val="24"/>
        </w:rPr>
        <w:t>水泵抽</w:t>
      </w:r>
      <w:r>
        <w:rPr>
          <w:rFonts w:ascii="宋体" w:hAnsi="宋体" w:eastAsia="宋体" w:cs="宋体"/>
          <w:sz w:val="24"/>
          <w:szCs w:val="24"/>
        </w:rPr>
        <w:t xml:space="preserve"> </w:t>
      </w:r>
      <w:r>
        <w:rPr>
          <w:rFonts w:ascii="宋体" w:hAnsi="宋体" w:eastAsia="宋体" w:cs="宋体"/>
          <w:spacing w:val="-11"/>
          <w:sz w:val="24"/>
          <w:szCs w:val="24"/>
        </w:rPr>
        <w:t>水至输水管道。供水水泵设置</w:t>
      </w:r>
      <w:r>
        <w:rPr>
          <w:rFonts w:ascii="宋体" w:hAnsi="宋体" w:eastAsia="宋体" w:cs="宋体"/>
          <w:spacing w:val="-55"/>
          <w:sz w:val="24"/>
          <w:szCs w:val="24"/>
        </w:rPr>
        <w:t xml:space="preserve"> </w:t>
      </w:r>
      <w:r>
        <w:rPr>
          <w:rFonts w:ascii="Times New Roman" w:hAnsi="Times New Roman" w:eastAsia="Times New Roman" w:cs="Times New Roman"/>
          <w:spacing w:val="-11"/>
          <w:sz w:val="24"/>
          <w:szCs w:val="24"/>
        </w:rPr>
        <w:t>2</w:t>
      </w:r>
      <w:r>
        <w:rPr>
          <w:rFonts w:ascii="Times New Roman" w:hAnsi="Times New Roman" w:eastAsia="Times New Roman" w:cs="Times New Roman"/>
          <w:spacing w:val="28"/>
          <w:w w:val="101"/>
          <w:sz w:val="24"/>
          <w:szCs w:val="24"/>
        </w:rPr>
        <w:t xml:space="preserve"> </w:t>
      </w:r>
      <w:r>
        <w:rPr>
          <w:rFonts w:ascii="宋体" w:hAnsi="宋体" w:eastAsia="宋体" w:cs="宋体"/>
          <w:spacing w:val="-11"/>
          <w:sz w:val="24"/>
          <w:szCs w:val="24"/>
        </w:rPr>
        <w:t>台，一备一用，</w:t>
      </w:r>
      <w:r>
        <w:rPr>
          <w:rFonts w:ascii="宋体" w:hAnsi="宋体" w:eastAsia="宋体" w:cs="宋体"/>
          <w:spacing w:val="-44"/>
          <w:sz w:val="24"/>
          <w:szCs w:val="24"/>
        </w:rPr>
        <w:t xml:space="preserve"> </w:t>
      </w:r>
      <w:r>
        <w:rPr>
          <w:rFonts w:ascii="宋体" w:hAnsi="宋体" w:eastAsia="宋体" w:cs="宋体"/>
          <w:spacing w:val="-11"/>
          <w:sz w:val="24"/>
          <w:szCs w:val="24"/>
        </w:rPr>
        <w:t>水量不得</w:t>
      </w:r>
      <w:r>
        <w:rPr>
          <w:rFonts w:ascii="宋体" w:hAnsi="宋体" w:eastAsia="宋体" w:cs="宋体"/>
          <w:spacing w:val="-12"/>
          <w:sz w:val="24"/>
          <w:szCs w:val="24"/>
        </w:rPr>
        <w:t>小于下游用水量，</w:t>
      </w:r>
      <w:r>
        <w:rPr>
          <w:rFonts w:ascii="宋体" w:hAnsi="宋体" w:eastAsia="宋体" w:cs="宋体"/>
          <w:spacing w:val="57"/>
          <w:sz w:val="24"/>
          <w:szCs w:val="24"/>
        </w:rPr>
        <w:t xml:space="preserve"> </w:t>
      </w:r>
      <w:r>
        <w:rPr>
          <w:rFonts w:ascii="宋体" w:hAnsi="宋体" w:eastAsia="宋体" w:cs="宋体"/>
          <w:spacing w:val="-12"/>
          <w:sz w:val="24"/>
          <w:szCs w:val="24"/>
        </w:rPr>
        <w:t>即</w:t>
      </w:r>
      <w:r>
        <w:rPr>
          <w:rFonts w:ascii="宋体" w:hAnsi="宋体" w:eastAsia="宋体" w:cs="宋体"/>
          <w:spacing w:val="-51"/>
          <w:sz w:val="24"/>
          <w:szCs w:val="24"/>
        </w:rPr>
        <w:t xml:space="preserve"> </w:t>
      </w:r>
      <w:r>
        <w:rPr>
          <w:rFonts w:ascii="Times New Roman" w:hAnsi="Times New Roman" w:eastAsia="Times New Roman" w:cs="Times New Roman"/>
          <w:spacing w:val="-12"/>
          <w:sz w:val="24"/>
          <w:szCs w:val="24"/>
        </w:rPr>
        <w:t>Q</w:t>
      </w:r>
    </w:p>
    <w:p>
      <w:pPr>
        <w:spacing w:line="324" w:lineRule="exact"/>
        <w:ind w:left="62"/>
        <w:rPr>
          <w:rFonts w:ascii="宋体" w:hAnsi="宋体" w:eastAsia="宋体" w:cs="宋体"/>
          <w:sz w:val="24"/>
          <w:szCs w:val="24"/>
        </w:rPr>
      </w:pPr>
      <w:r>
        <w:rPr>
          <w:rFonts w:ascii="宋体" w:hAnsi="宋体" w:eastAsia="宋体" w:cs="宋体"/>
          <w:spacing w:val="-3"/>
          <w:position w:val="1"/>
          <w:sz w:val="24"/>
          <w:szCs w:val="24"/>
        </w:rPr>
        <w:t>≥</w:t>
      </w:r>
      <w:r>
        <w:rPr>
          <w:rFonts w:ascii="Times New Roman" w:hAnsi="Times New Roman" w:eastAsia="Times New Roman" w:cs="Times New Roman"/>
          <w:spacing w:val="-3"/>
          <w:position w:val="1"/>
          <w:sz w:val="24"/>
          <w:szCs w:val="24"/>
        </w:rPr>
        <w:t>0.074m</w:t>
      </w:r>
      <w:r>
        <w:rPr>
          <w:rFonts w:ascii="Times New Roman" w:hAnsi="Times New Roman" w:eastAsia="Times New Roman" w:cs="Times New Roman"/>
          <w:spacing w:val="-3"/>
          <w:position w:val="9"/>
          <w:sz w:val="15"/>
          <w:szCs w:val="15"/>
        </w:rPr>
        <w:t>3</w:t>
      </w:r>
      <w:r>
        <w:rPr>
          <w:rFonts w:ascii="Times New Roman" w:hAnsi="Times New Roman" w:eastAsia="Times New Roman" w:cs="Times New Roman"/>
          <w:spacing w:val="-3"/>
          <w:position w:val="1"/>
          <w:sz w:val="24"/>
          <w:szCs w:val="24"/>
        </w:rPr>
        <w:t>/s</w:t>
      </w:r>
      <w:r>
        <w:rPr>
          <w:rFonts w:ascii="宋体" w:hAnsi="宋体" w:eastAsia="宋体" w:cs="宋体"/>
          <w:spacing w:val="-3"/>
          <w:position w:val="1"/>
          <w:sz w:val="24"/>
          <w:szCs w:val="24"/>
        </w:rPr>
        <w:t>。</w:t>
      </w:r>
    </w:p>
    <w:p>
      <w:pPr>
        <w:spacing w:before="143"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）运营期下放生态流量措施</w:t>
      </w:r>
    </w:p>
    <w:p>
      <w:pPr>
        <w:spacing w:before="181" w:line="359" w:lineRule="auto"/>
        <w:ind w:left="38" w:right="64" w:firstLine="480"/>
        <w:rPr>
          <w:rFonts w:ascii="宋体" w:hAnsi="宋体" w:eastAsia="宋体" w:cs="宋体"/>
          <w:sz w:val="24"/>
          <w:szCs w:val="24"/>
        </w:rPr>
      </w:pPr>
      <w:r>
        <w:rPr>
          <w:rFonts w:ascii="宋体" w:hAnsi="宋体" w:eastAsia="宋体" w:cs="宋体"/>
          <w:spacing w:val="-1"/>
          <w:sz w:val="24"/>
          <w:szCs w:val="24"/>
        </w:rPr>
        <w:t>枢纽工程利用导流输水放空隧洞预埋的</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DN325</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钢管下泄生态流量；引洪工</w:t>
      </w:r>
      <w:r>
        <w:rPr>
          <w:rFonts w:ascii="宋体" w:hAnsi="宋体" w:eastAsia="宋体" w:cs="宋体"/>
          <w:sz w:val="24"/>
          <w:szCs w:val="24"/>
        </w:rPr>
        <w:t xml:space="preserve"> </w:t>
      </w:r>
      <w:r>
        <w:rPr>
          <w:rFonts w:ascii="宋体" w:hAnsi="宋体" w:eastAsia="宋体" w:cs="宋体"/>
          <w:spacing w:val="-6"/>
          <w:sz w:val="24"/>
          <w:szCs w:val="24"/>
        </w:rPr>
        <w:t>程、引水工程不引水季节直接利用冲沙闸下泄生态流量， 汛期</w:t>
      </w:r>
      <w:r>
        <w:rPr>
          <w:rFonts w:ascii="宋体" w:hAnsi="宋体" w:eastAsia="宋体" w:cs="宋体"/>
          <w:spacing w:val="-7"/>
          <w:sz w:val="24"/>
          <w:szCs w:val="24"/>
        </w:rPr>
        <w:t>引水时段通过引水</w:t>
      </w:r>
    </w:p>
    <w:p>
      <w:pPr>
        <w:spacing w:before="1" w:line="218" w:lineRule="auto"/>
        <w:ind w:left="39"/>
        <w:rPr>
          <w:rFonts w:ascii="宋体" w:hAnsi="宋体" w:eastAsia="宋体" w:cs="宋体"/>
          <w:sz w:val="24"/>
          <w:szCs w:val="24"/>
        </w:rPr>
      </w:pPr>
      <w:r>
        <w:rPr>
          <w:rFonts w:ascii="宋体" w:hAnsi="宋体" w:eastAsia="宋体" w:cs="宋体"/>
          <w:spacing w:val="-3"/>
          <w:sz w:val="24"/>
          <w:szCs w:val="24"/>
        </w:rPr>
        <w:t>沟埋设</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DN150</w:t>
      </w:r>
      <w:r>
        <w:rPr>
          <w:rFonts w:ascii="Times New Roman" w:hAnsi="Times New Roman" w:eastAsia="Times New Roman" w:cs="Times New Roman"/>
          <w:spacing w:val="29"/>
          <w:w w:val="101"/>
          <w:sz w:val="24"/>
          <w:szCs w:val="24"/>
        </w:rPr>
        <w:t xml:space="preserve"> </w:t>
      </w:r>
      <w:r>
        <w:rPr>
          <w:rFonts w:ascii="宋体" w:hAnsi="宋体" w:eastAsia="宋体" w:cs="宋体"/>
          <w:spacing w:val="-3"/>
          <w:sz w:val="24"/>
          <w:szCs w:val="24"/>
        </w:rPr>
        <w:t>的放水管向下游河道供水。</w:t>
      </w:r>
    </w:p>
    <w:p>
      <w:pPr>
        <w:spacing w:before="183" w:line="359" w:lineRule="auto"/>
        <w:ind w:left="39" w:right="63" w:firstLine="482"/>
        <w:rPr>
          <w:rFonts w:ascii="宋体" w:hAnsi="宋体" w:eastAsia="宋体" w:cs="宋体"/>
          <w:sz w:val="24"/>
          <w:szCs w:val="24"/>
        </w:rPr>
      </w:pPr>
      <w:r>
        <w:rPr>
          <w:rFonts w:ascii="宋体" w:hAnsi="宋体" w:eastAsia="宋体" w:cs="宋体"/>
          <w:spacing w:val="-6"/>
          <w:sz w:val="24"/>
          <w:szCs w:val="24"/>
        </w:rPr>
        <w:t>为维护项目取水口下游减水河段河道生态环境，</w:t>
      </w:r>
      <w:r>
        <w:rPr>
          <w:rFonts w:ascii="宋体" w:hAnsi="宋体" w:eastAsia="宋体" w:cs="宋体"/>
          <w:spacing w:val="-29"/>
          <w:sz w:val="24"/>
          <w:szCs w:val="24"/>
        </w:rPr>
        <w:t xml:space="preserve"> </w:t>
      </w:r>
      <w:r>
        <w:rPr>
          <w:rFonts w:ascii="宋体" w:hAnsi="宋体" w:eastAsia="宋体" w:cs="宋体"/>
          <w:spacing w:val="-6"/>
          <w:sz w:val="24"/>
          <w:szCs w:val="24"/>
        </w:rPr>
        <w:t>建设项目取水时必须保证下</w:t>
      </w:r>
      <w:r>
        <w:rPr>
          <w:rFonts w:ascii="宋体" w:hAnsi="宋体" w:eastAsia="宋体" w:cs="宋体"/>
          <w:sz w:val="24"/>
          <w:szCs w:val="24"/>
        </w:rPr>
        <w:t xml:space="preserve"> </w:t>
      </w:r>
      <w:r>
        <w:rPr>
          <w:rFonts w:ascii="宋体" w:hAnsi="宋体" w:eastAsia="宋体" w:cs="宋体"/>
          <w:spacing w:val="-3"/>
          <w:sz w:val="24"/>
          <w:szCs w:val="24"/>
        </w:rPr>
        <w:t>游减水河段的河道生态用水。下游减水河段内河道生态需水量按水库坝址断面多</w:t>
      </w:r>
      <w:r>
        <w:rPr>
          <w:rFonts w:ascii="宋体" w:hAnsi="宋体" w:eastAsia="宋体" w:cs="宋体"/>
          <w:spacing w:val="1"/>
          <w:sz w:val="24"/>
          <w:szCs w:val="24"/>
        </w:rPr>
        <w:t xml:space="preserve"> </w:t>
      </w:r>
      <w:r>
        <w:rPr>
          <w:rFonts w:ascii="宋体" w:hAnsi="宋体" w:eastAsia="宋体" w:cs="宋体"/>
          <w:spacing w:val="-6"/>
          <w:sz w:val="24"/>
          <w:szCs w:val="24"/>
        </w:rPr>
        <w:t>年平均流量的</w:t>
      </w:r>
      <w:r>
        <w:rPr>
          <w:rFonts w:ascii="宋体" w:hAnsi="宋体" w:eastAsia="宋体" w:cs="宋体"/>
          <w:spacing w:val="-17"/>
          <w:sz w:val="24"/>
          <w:szCs w:val="24"/>
        </w:rPr>
        <w:t xml:space="preserve"> </w:t>
      </w:r>
      <w:r>
        <w:rPr>
          <w:rFonts w:ascii="Times New Roman" w:hAnsi="Times New Roman" w:eastAsia="Times New Roman" w:cs="Times New Roman"/>
          <w:spacing w:val="-6"/>
          <w:sz w:val="24"/>
          <w:szCs w:val="24"/>
        </w:rPr>
        <w:t>10%</w:t>
      </w:r>
      <w:r>
        <w:rPr>
          <w:rFonts w:ascii="宋体" w:hAnsi="宋体" w:eastAsia="宋体" w:cs="宋体"/>
          <w:spacing w:val="-6"/>
          <w:sz w:val="24"/>
          <w:szCs w:val="24"/>
        </w:rPr>
        <w:t>确定，项目最小下泄流量为</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0.074m</w:t>
      </w:r>
      <w:r>
        <w:rPr>
          <w:rFonts w:ascii="Times New Roman" w:hAnsi="Times New Roman" w:eastAsia="Times New Roman" w:cs="Times New Roman"/>
          <w:spacing w:val="-6"/>
          <w:position w:val="8"/>
          <w:sz w:val="15"/>
          <w:szCs w:val="15"/>
        </w:rPr>
        <w:t>3</w:t>
      </w:r>
      <w:r>
        <w:rPr>
          <w:rFonts w:ascii="Times New Roman" w:hAnsi="Times New Roman" w:eastAsia="Times New Roman" w:cs="Times New Roman"/>
          <w:spacing w:val="-6"/>
          <w:sz w:val="24"/>
          <w:szCs w:val="24"/>
        </w:rPr>
        <w:t>/s</w:t>
      </w:r>
      <w:r>
        <w:rPr>
          <w:rFonts w:ascii="宋体" w:hAnsi="宋体" w:eastAsia="宋体" w:cs="宋体"/>
          <w:spacing w:val="-6"/>
          <w:sz w:val="24"/>
          <w:szCs w:val="24"/>
        </w:rPr>
        <w:t>。最小下泄流量符合《建</w:t>
      </w:r>
      <w:r>
        <w:rPr>
          <w:rFonts w:ascii="宋体" w:hAnsi="宋体" w:eastAsia="宋体" w:cs="宋体"/>
          <w:sz w:val="24"/>
          <w:szCs w:val="24"/>
        </w:rPr>
        <w:t xml:space="preserve"> </w:t>
      </w:r>
      <w:r>
        <w:rPr>
          <w:rFonts w:ascii="宋体" w:hAnsi="宋体" w:eastAsia="宋体" w:cs="宋体"/>
          <w:spacing w:val="-9"/>
          <w:sz w:val="24"/>
          <w:szCs w:val="24"/>
        </w:rPr>
        <w:t>设项目水资源论证导则》（</w:t>
      </w:r>
      <w:r>
        <w:rPr>
          <w:rFonts w:ascii="Times New Roman" w:hAnsi="Times New Roman" w:eastAsia="Times New Roman" w:cs="Times New Roman"/>
          <w:spacing w:val="-9"/>
          <w:sz w:val="24"/>
          <w:szCs w:val="24"/>
        </w:rPr>
        <w:t>SL322-2013</w:t>
      </w:r>
      <w:r>
        <w:rPr>
          <w:rFonts w:ascii="宋体" w:hAnsi="宋体" w:eastAsia="宋体" w:cs="宋体"/>
          <w:spacing w:val="-9"/>
          <w:sz w:val="24"/>
          <w:szCs w:val="24"/>
        </w:rPr>
        <w:t>）和《水利水电建设项目水资源论证导则》</w:t>
      </w:r>
    </w:p>
    <w:p>
      <w:pPr>
        <w:spacing w:before="1" w:line="219" w:lineRule="auto"/>
        <w:ind w:left="4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SL525-2011</w:t>
      </w:r>
      <w:r>
        <w:rPr>
          <w:rFonts w:ascii="宋体" w:hAnsi="宋体" w:eastAsia="宋体" w:cs="宋体"/>
          <w:spacing w:val="-2"/>
          <w:sz w:val="24"/>
          <w:szCs w:val="24"/>
        </w:rPr>
        <w:t>）的相关规定，其用水量是合</w:t>
      </w:r>
      <w:r>
        <w:rPr>
          <w:rFonts w:ascii="宋体" w:hAnsi="宋体" w:eastAsia="宋体" w:cs="宋体"/>
          <w:spacing w:val="-3"/>
          <w:sz w:val="24"/>
          <w:szCs w:val="24"/>
        </w:rPr>
        <w:t>理的。</w:t>
      </w:r>
    </w:p>
    <w:p>
      <w:pPr>
        <w:spacing w:before="181" w:line="219" w:lineRule="auto"/>
        <w:jc w:val="right"/>
        <w:rPr>
          <w:rFonts w:ascii="宋体" w:hAnsi="宋体" w:eastAsia="宋体" w:cs="宋体"/>
          <w:sz w:val="24"/>
          <w:szCs w:val="24"/>
        </w:rPr>
      </w:pPr>
      <w:r>
        <w:rPr>
          <w:rFonts w:ascii="宋体" w:hAnsi="宋体" w:eastAsia="宋体" w:cs="宋体"/>
          <w:spacing w:val="-2"/>
          <w:sz w:val="24"/>
          <w:szCs w:val="24"/>
        </w:rPr>
        <w:t>管径计算《混凝土重力坝设计规范》（</w:t>
      </w:r>
      <w:r>
        <w:rPr>
          <w:rFonts w:ascii="Times New Roman" w:hAnsi="Times New Roman" w:eastAsia="Times New Roman" w:cs="Times New Roman"/>
          <w:spacing w:val="-2"/>
          <w:sz w:val="24"/>
          <w:szCs w:val="24"/>
        </w:rPr>
        <w:t>SL319-20</w:t>
      </w:r>
      <w:r>
        <w:rPr>
          <w:rFonts w:ascii="Times New Roman" w:hAnsi="Times New Roman" w:eastAsia="Times New Roman" w:cs="Times New Roman"/>
          <w:spacing w:val="-3"/>
          <w:sz w:val="24"/>
          <w:szCs w:val="24"/>
        </w:rPr>
        <w:t>05</w:t>
      </w:r>
      <w:r>
        <w:rPr>
          <w:rFonts w:ascii="宋体" w:hAnsi="宋体" w:eastAsia="宋体" w:cs="宋体"/>
          <w:spacing w:val="-3"/>
          <w:sz w:val="24"/>
          <w:szCs w:val="24"/>
        </w:rPr>
        <w:t>）附录（</w:t>
      </w:r>
      <w:r>
        <w:rPr>
          <w:rFonts w:ascii="Times New Roman" w:hAnsi="Times New Roman" w:eastAsia="Times New Roman" w:cs="Times New Roman"/>
          <w:spacing w:val="-3"/>
          <w:sz w:val="24"/>
          <w:szCs w:val="24"/>
        </w:rPr>
        <w:t>A.3.2</w:t>
      </w:r>
      <w:r>
        <w:rPr>
          <w:rFonts w:ascii="宋体" w:hAnsi="宋体" w:eastAsia="宋体" w:cs="宋体"/>
          <w:spacing w:val="-3"/>
          <w:sz w:val="24"/>
          <w:szCs w:val="24"/>
        </w:rPr>
        <w:t>）式计算：</w:t>
      </w:r>
    </w:p>
    <w:p>
      <w:pPr>
        <w:spacing w:line="356" w:lineRule="auto"/>
        <w:rPr>
          <w:rFonts w:ascii="Arial"/>
          <w:sz w:val="21"/>
        </w:rPr>
      </w:pPr>
    </w:p>
    <w:p>
      <w:pPr>
        <w:spacing w:before="103" w:line="229" w:lineRule="auto"/>
        <w:ind w:left="3500"/>
        <w:rPr>
          <w:rFonts w:ascii="Times New Roman" w:hAnsi="Times New Roman" w:eastAsia="Times New Roman" w:cs="Times New Roman"/>
          <w:sz w:val="14"/>
          <w:szCs w:val="14"/>
        </w:rPr>
      </w:pPr>
      <w:r>
        <w:rPr>
          <w:rFonts w:ascii="Times New Roman" w:hAnsi="Times New Roman" w:eastAsia="Times New Roman" w:cs="Times New Roman"/>
          <w:i/>
          <w:iCs/>
          <w:spacing w:val="-15"/>
          <w:position w:val="-6"/>
          <w:sz w:val="24"/>
          <w:szCs w:val="24"/>
        </w:rPr>
        <w:t>Q</w:t>
      </w:r>
      <w:r>
        <w:rPr>
          <w:rFonts w:ascii="Times New Roman" w:hAnsi="Times New Roman" w:eastAsia="Times New Roman" w:cs="Times New Roman"/>
          <w:i/>
          <w:iCs/>
          <w:spacing w:val="5"/>
          <w:position w:val="-6"/>
          <w:sz w:val="24"/>
          <w:szCs w:val="24"/>
        </w:rPr>
        <w:t xml:space="preserve"> </w:t>
      </w:r>
      <w:r>
        <w:rPr>
          <w:rFonts w:ascii="微软雅黑" w:hAnsi="微软雅黑" w:eastAsia="微软雅黑" w:cs="微软雅黑"/>
          <w:spacing w:val="-15"/>
          <w:position w:val="-6"/>
          <w:sz w:val="24"/>
          <w:szCs w:val="24"/>
        </w:rPr>
        <w:t>=</w:t>
      </w:r>
      <w:r>
        <w:rPr>
          <w:rFonts w:ascii="微软雅黑" w:hAnsi="微软雅黑" w:eastAsia="微软雅黑" w:cs="微软雅黑"/>
          <w:spacing w:val="-14"/>
          <w:position w:val="-6"/>
          <w:sz w:val="24"/>
          <w:szCs w:val="24"/>
        </w:rPr>
        <w:t xml:space="preserve"> </w:t>
      </w:r>
      <w:r>
        <w:rPr>
          <w:rFonts w:ascii="Arial" w:hAnsi="Arial" w:eastAsia="Arial" w:cs="Arial"/>
          <w:i/>
          <w:iCs/>
          <w:spacing w:val="-15"/>
          <w:position w:val="-6"/>
          <w:sz w:val="26"/>
          <w:szCs w:val="26"/>
        </w:rPr>
        <w:t>μ</w:t>
      </w:r>
      <w:r>
        <w:rPr>
          <w:rFonts w:ascii="Times New Roman" w:hAnsi="Times New Roman" w:eastAsia="Times New Roman" w:cs="Times New Roman"/>
          <w:spacing w:val="-15"/>
          <w:position w:val="-6"/>
          <w:sz w:val="24"/>
          <w:szCs w:val="24"/>
        </w:rPr>
        <w:t>A</w:t>
      </w:r>
      <w:r>
        <w:rPr>
          <w:rFonts w:ascii="Times New Roman" w:hAnsi="Times New Roman" w:eastAsia="Times New Roman" w:cs="Times New Roman"/>
          <w:spacing w:val="-12"/>
          <w:position w:val="-6"/>
          <w:sz w:val="24"/>
          <w:szCs w:val="24"/>
        </w:rPr>
        <w:t xml:space="preserve"> </w:t>
      </w:r>
      <w:r>
        <w:rPr>
          <w:rFonts w:ascii="Times New Roman" w:hAnsi="Times New Roman" w:eastAsia="Times New Roman" w:cs="Times New Roman"/>
          <w:i/>
          <w:iCs/>
          <w:position w:val="-11"/>
          <w:sz w:val="14"/>
          <w:szCs w:val="14"/>
        </w:rPr>
        <w:t>k</w:t>
      </w:r>
      <w:r>
        <w:rPr>
          <w:rFonts w:ascii="Times New Roman" w:hAnsi="Times New Roman" w:eastAsia="Times New Roman" w:cs="Times New Roman"/>
          <w:i/>
          <w:iCs/>
          <w:spacing w:val="11"/>
          <w:position w:val="-11"/>
          <w:sz w:val="14"/>
          <w:szCs w:val="14"/>
        </w:rPr>
        <w:t xml:space="preserve"> </w:t>
      </w:r>
      <w:r>
        <w:rPr>
          <w:rFonts w:ascii="Times New Roman" w:hAnsi="Times New Roman" w:eastAsia="Times New Roman" w:cs="Times New Roman"/>
          <w:i/>
          <w:iCs/>
          <w:strike/>
          <w:spacing w:val="-14"/>
          <w:position w:val="-11"/>
          <w:sz w:val="14"/>
          <w:szCs w:val="14"/>
        </w:rPr>
        <w:t xml:space="preserve"> </w:t>
      </w:r>
      <w:r>
        <w:rPr>
          <w:sz w:val="14"/>
          <w:szCs w:val="14"/>
        </w:rPr>
        <w:drawing>
          <wp:inline distT="0" distB="0" distL="0" distR="0">
            <wp:extent cx="40005" cy="704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521"/>
                    <a:stretch>
                      <a:fillRect/>
                    </a:stretch>
                  </pic:blipFill>
                  <pic:spPr>
                    <a:xfrm>
                      <a:off x="0" y="0"/>
                      <a:ext cx="40171" cy="71057"/>
                    </a:xfrm>
                    <a:prstGeom prst="rect">
                      <a:avLst/>
                    </a:prstGeom>
                  </pic:spPr>
                </pic:pic>
              </a:graphicData>
            </a:graphic>
          </wp:inline>
        </w:drawing>
      </w:r>
      <w:r>
        <w:rPr>
          <w:rFonts w:ascii="Times New Roman" w:hAnsi="Times New Roman" w:eastAsia="Times New Roman" w:cs="Times New Roman"/>
          <w:i/>
          <w:iCs/>
          <w:spacing w:val="2"/>
          <w:position w:val="-11"/>
          <w:sz w:val="14"/>
          <w:szCs w:val="14"/>
        </w:rPr>
        <w:t xml:space="preserve">  </w:t>
      </w:r>
      <w:r>
        <w:rPr>
          <w:rFonts w:ascii="Times New Roman" w:hAnsi="Times New Roman" w:eastAsia="Times New Roman" w:cs="Times New Roman"/>
          <w:spacing w:val="11"/>
          <w:position w:val="7"/>
          <w:sz w:val="24"/>
          <w:szCs w:val="24"/>
        </w:rPr>
        <w:t>2</w:t>
      </w:r>
      <w:r>
        <w:rPr>
          <w:rFonts w:ascii="Times New Roman" w:hAnsi="Times New Roman" w:eastAsia="Times New Roman" w:cs="Times New Roman"/>
          <w:i/>
          <w:iCs/>
          <w:position w:val="7"/>
          <w:sz w:val="24"/>
          <w:szCs w:val="24"/>
        </w:rPr>
        <w:t>gH</w:t>
      </w:r>
      <w:r>
        <w:rPr>
          <w:rFonts w:ascii="Times New Roman" w:hAnsi="Times New Roman" w:eastAsia="Times New Roman" w:cs="Times New Roman"/>
          <w:i/>
          <w:iCs/>
          <w:spacing w:val="-19"/>
          <w:position w:val="7"/>
          <w:sz w:val="24"/>
          <w:szCs w:val="24"/>
        </w:rPr>
        <w:t xml:space="preserve"> </w:t>
      </w:r>
      <w:r>
        <w:rPr>
          <w:rFonts w:ascii="Times New Roman" w:hAnsi="Times New Roman" w:eastAsia="Times New Roman" w:cs="Times New Roman"/>
          <w:i/>
          <w:iCs/>
          <w:position w:val="2"/>
          <w:sz w:val="14"/>
          <w:szCs w:val="14"/>
        </w:rPr>
        <w:t>w</w:t>
      </w:r>
    </w:p>
    <w:p>
      <w:pPr>
        <w:spacing w:before="125" w:line="467" w:lineRule="exact"/>
        <w:ind w:right="68"/>
        <w:jc w:val="right"/>
        <w:rPr>
          <w:rFonts w:ascii="宋体" w:hAnsi="宋体" w:eastAsia="宋体" w:cs="宋体"/>
          <w:sz w:val="24"/>
          <w:szCs w:val="24"/>
        </w:rPr>
      </w:pPr>
      <w:r>
        <w:rPr>
          <w:rFonts w:ascii="宋体" w:hAnsi="宋体" w:eastAsia="宋体" w:cs="宋体"/>
          <w:spacing w:val="-9"/>
          <w:position w:val="16"/>
          <w:sz w:val="24"/>
          <w:szCs w:val="24"/>
        </w:rPr>
        <w:t>式中</w:t>
      </w:r>
      <w:r>
        <w:rPr>
          <w:rFonts w:ascii="Times New Roman" w:hAnsi="Times New Roman" w:eastAsia="Times New Roman" w:cs="Times New Roman"/>
          <w:spacing w:val="-9"/>
          <w:position w:val="16"/>
          <w:sz w:val="24"/>
          <w:szCs w:val="24"/>
        </w:rPr>
        <w:t xml:space="preserve">: </w:t>
      </w:r>
      <w:r>
        <w:rPr>
          <w:rFonts w:ascii="宋体" w:hAnsi="宋体" w:eastAsia="宋体" w:cs="宋体"/>
          <w:spacing w:val="-9"/>
          <w:position w:val="16"/>
          <w:sz w:val="24"/>
          <w:szCs w:val="24"/>
        </w:rPr>
        <w:t>μ—孔口或管道流量系数，</w:t>
      </w:r>
      <w:r>
        <w:rPr>
          <w:rFonts w:ascii="宋体" w:hAnsi="宋体" w:eastAsia="宋体" w:cs="宋体"/>
          <w:spacing w:val="43"/>
          <w:position w:val="16"/>
          <w:sz w:val="24"/>
          <w:szCs w:val="24"/>
        </w:rPr>
        <w:t xml:space="preserve"> </w:t>
      </w:r>
      <w:r>
        <w:rPr>
          <w:rFonts w:ascii="宋体" w:hAnsi="宋体" w:eastAsia="宋体" w:cs="宋体"/>
          <w:spacing w:val="-9"/>
          <w:position w:val="16"/>
          <w:sz w:val="24"/>
          <w:szCs w:val="24"/>
        </w:rPr>
        <w:t>对短有压深孔， 取</w:t>
      </w:r>
      <w:r>
        <w:rPr>
          <w:rFonts w:ascii="宋体" w:hAnsi="宋体" w:eastAsia="宋体" w:cs="宋体"/>
          <w:spacing w:val="69"/>
          <w:position w:val="16"/>
          <w:sz w:val="24"/>
          <w:szCs w:val="24"/>
        </w:rPr>
        <w:t xml:space="preserve"> </w:t>
      </w:r>
      <w:r>
        <w:rPr>
          <w:rFonts w:ascii="宋体" w:hAnsi="宋体" w:eastAsia="宋体" w:cs="宋体"/>
          <w:spacing w:val="-9"/>
          <w:position w:val="16"/>
          <w:sz w:val="24"/>
          <w:szCs w:val="24"/>
        </w:rPr>
        <w:t>μ=</w:t>
      </w:r>
      <w:r>
        <w:rPr>
          <w:rFonts w:ascii="Times New Roman" w:hAnsi="Times New Roman" w:eastAsia="Times New Roman" w:cs="Times New Roman"/>
          <w:spacing w:val="-9"/>
          <w:position w:val="16"/>
          <w:sz w:val="24"/>
          <w:szCs w:val="24"/>
        </w:rPr>
        <w:t>0.83~0.93</w:t>
      </w:r>
      <w:r>
        <w:rPr>
          <w:rFonts w:ascii="宋体" w:hAnsi="宋体" w:eastAsia="宋体" w:cs="宋体"/>
          <w:spacing w:val="-9"/>
          <w:position w:val="16"/>
          <w:sz w:val="24"/>
          <w:szCs w:val="24"/>
        </w:rPr>
        <w:t>；对</w:t>
      </w:r>
      <w:r>
        <w:rPr>
          <w:rFonts w:ascii="宋体" w:hAnsi="宋体" w:eastAsia="宋体" w:cs="宋体"/>
          <w:spacing w:val="-10"/>
          <w:position w:val="16"/>
          <w:sz w:val="24"/>
          <w:szCs w:val="24"/>
        </w:rPr>
        <w:t>长有</w:t>
      </w:r>
    </w:p>
    <w:p>
      <w:pPr>
        <w:spacing w:before="1" w:line="218" w:lineRule="auto"/>
        <w:ind w:left="40"/>
        <w:rPr>
          <w:rFonts w:ascii="宋体" w:hAnsi="宋体" w:eastAsia="宋体" w:cs="宋体"/>
          <w:sz w:val="24"/>
          <w:szCs w:val="24"/>
        </w:rPr>
      </w:pPr>
      <w:r>
        <w:rPr>
          <w:rFonts w:ascii="宋体" w:hAnsi="宋体" w:eastAsia="宋体" w:cs="宋体"/>
          <w:spacing w:val="-2"/>
          <w:sz w:val="24"/>
          <w:szCs w:val="24"/>
        </w:rPr>
        <w:t>压深孔，μ 必须计算沿程及局部水头损失</w:t>
      </w:r>
      <w:r>
        <w:rPr>
          <w:rFonts w:ascii="宋体" w:hAnsi="宋体" w:eastAsia="宋体" w:cs="宋体"/>
          <w:spacing w:val="-3"/>
          <w:sz w:val="24"/>
          <w:szCs w:val="24"/>
        </w:rPr>
        <w:t>后确定。本工程取</w:t>
      </w:r>
      <w:r>
        <w:rPr>
          <w:rFonts w:ascii="宋体" w:hAnsi="宋体" w:eastAsia="宋体" w:cs="宋体"/>
          <w:spacing w:val="69"/>
          <w:sz w:val="24"/>
          <w:szCs w:val="24"/>
        </w:rPr>
        <w:t xml:space="preserve"> </w:t>
      </w:r>
      <w:r>
        <w:rPr>
          <w:rFonts w:ascii="宋体" w:hAnsi="宋体" w:eastAsia="宋体" w:cs="宋体"/>
          <w:spacing w:val="-3"/>
          <w:sz w:val="24"/>
          <w:szCs w:val="24"/>
        </w:rPr>
        <w:t>μ</w:t>
      </w:r>
      <w:r>
        <w:rPr>
          <w:rFonts w:ascii="Times New Roman" w:hAnsi="Times New Roman" w:eastAsia="Times New Roman" w:cs="Times New Roman"/>
          <w:spacing w:val="-3"/>
          <w:sz w:val="24"/>
          <w:szCs w:val="24"/>
        </w:rPr>
        <w:t>=0.6</w:t>
      </w:r>
      <w:r>
        <w:rPr>
          <w:rFonts w:ascii="宋体" w:hAnsi="宋体" w:eastAsia="宋体" w:cs="宋体"/>
          <w:spacing w:val="-3"/>
          <w:sz w:val="24"/>
          <w:szCs w:val="24"/>
        </w:rPr>
        <w:t>。</w:t>
      </w:r>
    </w:p>
    <w:p>
      <w:pPr>
        <w:spacing w:before="182" w:line="220" w:lineRule="auto"/>
        <w:ind w:left="511"/>
        <w:rPr>
          <w:rFonts w:ascii="宋体" w:hAnsi="宋体" w:eastAsia="宋体" w:cs="宋体"/>
          <w:sz w:val="24"/>
          <w:szCs w:val="24"/>
        </w:rPr>
      </w:pPr>
      <w:r>
        <w:rPr>
          <w:rFonts w:ascii="Times New Roman" w:hAnsi="Times New Roman" w:eastAsia="Times New Roman" w:cs="Times New Roman"/>
          <w:spacing w:val="-5"/>
          <w:sz w:val="24"/>
          <w:szCs w:val="24"/>
        </w:rPr>
        <w:t>Ak</w:t>
      </w:r>
      <w:r>
        <w:rPr>
          <w:rFonts w:ascii="宋体" w:hAnsi="宋体" w:eastAsia="宋体" w:cs="宋体"/>
          <w:spacing w:val="-5"/>
          <w:sz w:val="24"/>
          <w:szCs w:val="24"/>
        </w:rPr>
        <w:t>—</w:t>
      </w:r>
      <w:r>
        <w:rPr>
          <w:rFonts w:ascii="宋体" w:hAnsi="宋体" w:eastAsia="宋体" w:cs="宋体"/>
          <w:spacing w:val="-80"/>
          <w:sz w:val="24"/>
          <w:szCs w:val="24"/>
        </w:rPr>
        <w:t xml:space="preserve"> </w:t>
      </w:r>
      <w:r>
        <w:rPr>
          <w:rFonts w:ascii="宋体" w:hAnsi="宋体" w:eastAsia="宋体" w:cs="宋体"/>
          <w:spacing w:val="-5"/>
          <w:sz w:val="24"/>
          <w:szCs w:val="24"/>
        </w:rPr>
        <w:t>出口处的面积，即下放钢管断面积；</w:t>
      </w:r>
    </w:p>
    <w:p>
      <w:pPr>
        <w:spacing w:before="180" w:line="220" w:lineRule="auto"/>
        <w:ind w:left="514"/>
        <w:rPr>
          <w:rFonts w:ascii="宋体" w:hAnsi="宋体" w:eastAsia="宋体" w:cs="宋体"/>
          <w:sz w:val="24"/>
          <w:szCs w:val="24"/>
        </w:rPr>
      </w:pPr>
      <w:r>
        <w:rPr>
          <w:rFonts w:ascii="Times New Roman" w:hAnsi="Times New Roman" w:eastAsia="Times New Roman" w:cs="Times New Roman"/>
          <w:spacing w:val="-3"/>
          <w:sz w:val="24"/>
          <w:szCs w:val="24"/>
        </w:rPr>
        <w:t>H</w:t>
      </w:r>
      <w:r>
        <w:rPr>
          <w:rFonts w:ascii="Times New Roman" w:hAnsi="Times New Roman" w:eastAsia="Times New Roman" w:cs="Times New Roman"/>
          <w:spacing w:val="-3"/>
          <w:sz w:val="15"/>
          <w:szCs w:val="15"/>
        </w:rPr>
        <w:t>W</w:t>
      </w:r>
      <w:r>
        <w:rPr>
          <w:rFonts w:ascii="宋体" w:hAnsi="宋体" w:eastAsia="宋体" w:cs="宋体"/>
          <w:spacing w:val="-3"/>
          <w:sz w:val="24"/>
          <w:szCs w:val="24"/>
        </w:rPr>
        <w:t>—</w:t>
      </w:r>
      <w:r>
        <w:rPr>
          <w:rFonts w:ascii="宋体" w:hAnsi="宋体" w:eastAsia="宋体" w:cs="宋体"/>
          <w:spacing w:val="-56"/>
          <w:sz w:val="24"/>
          <w:szCs w:val="24"/>
        </w:rPr>
        <w:t xml:space="preserve"> </w:t>
      </w:r>
      <w:r>
        <w:rPr>
          <w:rFonts w:ascii="宋体" w:hAnsi="宋体" w:eastAsia="宋体" w:cs="宋体"/>
          <w:spacing w:val="-3"/>
          <w:sz w:val="24"/>
          <w:szCs w:val="24"/>
        </w:rPr>
        <w:t>自由出流时为孔口中心处的作用水头。</w:t>
      </w:r>
    </w:p>
    <w:p>
      <w:pPr>
        <w:spacing w:before="182" w:line="467" w:lineRule="exact"/>
        <w:ind w:left="519"/>
        <w:rPr>
          <w:rFonts w:ascii="宋体" w:hAnsi="宋体" w:eastAsia="宋体" w:cs="宋体"/>
          <w:sz w:val="24"/>
          <w:szCs w:val="24"/>
        </w:rPr>
      </w:pPr>
      <w:r>
        <w:rPr>
          <w:rFonts w:ascii="宋体" w:hAnsi="宋体" w:eastAsia="宋体" w:cs="宋体"/>
          <w:spacing w:val="-2"/>
          <w:position w:val="16"/>
          <w:sz w:val="24"/>
          <w:szCs w:val="24"/>
        </w:rPr>
        <w:t>通过计算，坝址设置的</w:t>
      </w:r>
      <w:r>
        <w:rPr>
          <w:rFonts w:ascii="宋体" w:hAnsi="宋体" w:eastAsia="宋体" w:cs="宋体"/>
          <w:spacing w:val="-11"/>
          <w:position w:val="16"/>
          <w:sz w:val="24"/>
          <w:szCs w:val="24"/>
        </w:rPr>
        <w:t xml:space="preserve"> </w:t>
      </w:r>
      <w:r>
        <w:rPr>
          <w:rFonts w:ascii="Times New Roman" w:hAnsi="Times New Roman" w:eastAsia="Times New Roman" w:cs="Times New Roman"/>
          <w:spacing w:val="-2"/>
          <w:position w:val="16"/>
          <w:sz w:val="24"/>
          <w:szCs w:val="24"/>
        </w:rPr>
        <w:t>325mm</w:t>
      </w:r>
      <w:r>
        <w:rPr>
          <w:rFonts w:ascii="Times New Roman" w:hAnsi="Times New Roman" w:eastAsia="Times New Roman" w:cs="Times New Roman"/>
          <w:spacing w:val="15"/>
          <w:position w:val="16"/>
          <w:sz w:val="24"/>
          <w:szCs w:val="24"/>
        </w:rPr>
        <w:t xml:space="preserve"> </w:t>
      </w:r>
      <w:r>
        <w:rPr>
          <w:rFonts w:ascii="宋体" w:hAnsi="宋体" w:eastAsia="宋体" w:cs="宋体"/>
          <w:spacing w:val="-2"/>
          <w:position w:val="16"/>
          <w:sz w:val="24"/>
          <w:szCs w:val="24"/>
        </w:rPr>
        <w:t>钢管最大下放能力为</w:t>
      </w:r>
      <w:r>
        <w:rPr>
          <w:rFonts w:ascii="宋体" w:hAnsi="宋体" w:eastAsia="宋体" w:cs="宋体"/>
          <w:spacing w:val="-43"/>
          <w:position w:val="16"/>
          <w:sz w:val="24"/>
          <w:szCs w:val="24"/>
        </w:rPr>
        <w:t xml:space="preserve"> </w:t>
      </w:r>
      <w:r>
        <w:rPr>
          <w:rFonts w:ascii="Times New Roman" w:hAnsi="Times New Roman" w:eastAsia="Times New Roman" w:cs="Times New Roman"/>
          <w:spacing w:val="-2"/>
          <w:position w:val="16"/>
          <w:sz w:val="24"/>
          <w:szCs w:val="24"/>
        </w:rPr>
        <w:t>0.19m</w:t>
      </w:r>
      <w:r>
        <w:rPr>
          <w:rFonts w:ascii="宋体" w:hAnsi="宋体" w:eastAsia="宋体" w:cs="宋体"/>
          <w:spacing w:val="-2"/>
          <w:position w:val="16"/>
          <w:sz w:val="24"/>
          <w:szCs w:val="24"/>
        </w:rPr>
        <w:t>³</w:t>
      </w:r>
      <w:r>
        <w:rPr>
          <w:rFonts w:ascii="Times New Roman" w:hAnsi="Times New Roman" w:eastAsia="Times New Roman" w:cs="Times New Roman"/>
          <w:spacing w:val="-2"/>
          <w:position w:val="16"/>
          <w:sz w:val="24"/>
          <w:szCs w:val="24"/>
        </w:rPr>
        <w:t>/s</w:t>
      </w:r>
      <w:r>
        <w:rPr>
          <w:rFonts w:ascii="宋体" w:hAnsi="宋体" w:eastAsia="宋体" w:cs="宋体"/>
          <w:spacing w:val="-2"/>
          <w:position w:val="16"/>
          <w:sz w:val="24"/>
          <w:szCs w:val="24"/>
        </w:rPr>
        <w:t>，下放流量可</w:t>
      </w:r>
    </w:p>
    <w:p>
      <w:pPr>
        <w:spacing w:line="219" w:lineRule="auto"/>
        <w:ind w:left="66"/>
        <w:rPr>
          <w:rFonts w:ascii="宋体" w:hAnsi="宋体" w:eastAsia="宋体" w:cs="宋体"/>
          <w:sz w:val="24"/>
          <w:szCs w:val="24"/>
        </w:rPr>
      </w:pPr>
      <w:r>
        <w:rPr>
          <w:rFonts w:ascii="宋体" w:hAnsi="宋体" w:eastAsia="宋体" w:cs="宋体"/>
          <w:spacing w:val="-4"/>
          <w:sz w:val="24"/>
          <w:szCs w:val="24"/>
        </w:rPr>
        <w:t>以满足要求，因此生态下放管设置符合要求。</w:t>
      </w:r>
    </w:p>
    <w:p>
      <w:pPr>
        <w:spacing w:before="185" w:line="368" w:lineRule="auto"/>
        <w:ind w:left="38" w:right="54" w:firstLine="480"/>
        <w:rPr>
          <w:rFonts w:ascii="宋体" w:hAnsi="宋体" w:eastAsia="宋体" w:cs="宋体"/>
          <w:sz w:val="24"/>
          <w:szCs w:val="24"/>
        </w:rPr>
      </w:pPr>
      <w:r>
        <w:rPr>
          <w:rFonts w:ascii="宋体" w:hAnsi="宋体" w:eastAsia="宋体" w:cs="宋体"/>
          <w:spacing w:val="-9"/>
          <w:sz w:val="24"/>
          <w:szCs w:val="24"/>
        </w:rPr>
        <w:t>根据工程分析，水库运行</w:t>
      </w:r>
      <w:r>
        <w:rPr>
          <w:rFonts w:ascii="Times New Roman" w:hAnsi="Times New Roman" w:eastAsia="Times New Roman" w:cs="Times New Roman"/>
          <w:spacing w:val="-9"/>
          <w:sz w:val="24"/>
          <w:szCs w:val="24"/>
        </w:rPr>
        <w:t xml:space="preserve">50 </w:t>
      </w:r>
      <w:r>
        <w:rPr>
          <w:rFonts w:ascii="宋体" w:hAnsi="宋体" w:eastAsia="宋体" w:cs="宋体"/>
          <w:spacing w:val="-9"/>
          <w:sz w:val="24"/>
          <w:szCs w:val="24"/>
        </w:rPr>
        <w:t>年后，淤积库容</w:t>
      </w:r>
      <w:r>
        <w:rPr>
          <w:rFonts w:ascii="Times New Roman" w:hAnsi="Times New Roman" w:eastAsia="Times New Roman" w:cs="Times New Roman"/>
          <w:spacing w:val="-9"/>
          <w:sz w:val="24"/>
          <w:szCs w:val="24"/>
        </w:rPr>
        <w:t>7</w:t>
      </w:r>
      <w:r>
        <w:rPr>
          <w:rFonts w:ascii="Times New Roman" w:hAnsi="Times New Roman" w:eastAsia="Times New Roman" w:cs="Times New Roman"/>
          <w:spacing w:val="-10"/>
          <w:sz w:val="24"/>
          <w:szCs w:val="24"/>
        </w:rPr>
        <w:t>9</w:t>
      </w:r>
      <w:r>
        <w:rPr>
          <w:rFonts w:ascii="Times New Roman" w:hAnsi="Times New Roman" w:eastAsia="Times New Roman" w:cs="Times New Roman"/>
          <w:spacing w:val="-13"/>
          <w:sz w:val="24"/>
          <w:szCs w:val="24"/>
        </w:rPr>
        <w:t xml:space="preserve"> </w:t>
      </w:r>
      <w:r>
        <w:rPr>
          <w:rFonts w:ascii="宋体" w:hAnsi="宋体" w:eastAsia="宋体" w:cs="宋体"/>
          <w:spacing w:val="-10"/>
          <w:sz w:val="24"/>
          <w:szCs w:val="24"/>
        </w:rPr>
        <w:t>万</w:t>
      </w:r>
      <w:r>
        <w:rPr>
          <w:rFonts w:ascii="Times New Roman" w:hAnsi="Times New Roman" w:eastAsia="Times New Roman" w:cs="Times New Roman"/>
          <w:spacing w:val="-10"/>
          <w:sz w:val="24"/>
          <w:szCs w:val="24"/>
        </w:rPr>
        <w:t>m</w:t>
      </w:r>
      <w:r>
        <w:rPr>
          <w:rFonts w:ascii="Times New Roman" w:hAnsi="Times New Roman" w:eastAsia="Times New Roman" w:cs="Times New Roman"/>
          <w:spacing w:val="-10"/>
          <w:position w:val="10"/>
          <w:sz w:val="15"/>
          <w:szCs w:val="15"/>
        </w:rPr>
        <w:t>3</w:t>
      </w:r>
      <w:r>
        <w:rPr>
          <w:rFonts w:ascii="宋体" w:hAnsi="宋体" w:eastAsia="宋体" w:cs="宋体"/>
          <w:spacing w:val="-22"/>
          <w:sz w:val="24"/>
          <w:szCs w:val="24"/>
        </w:rPr>
        <w:t>，低于死库容（</w:t>
      </w:r>
      <w:r>
        <w:rPr>
          <w:rFonts w:ascii="Times New Roman" w:hAnsi="Times New Roman" w:eastAsia="Times New Roman" w:cs="Times New Roman"/>
          <w:spacing w:val="-22"/>
          <w:sz w:val="24"/>
          <w:szCs w:val="24"/>
        </w:rPr>
        <w:t>2058.8m</w:t>
      </w:r>
      <w:r>
        <w:rPr>
          <w:rFonts w:ascii="宋体" w:hAnsi="宋体" w:eastAsia="宋体" w:cs="宋体"/>
          <w:spacing w:val="-22"/>
          <w:sz w:val="24"/>
          <w:szCs w:val="24"/>
        </w:rPr>
        <w:t>）。</w:t>
      </w:r>
      <w:r>
        <w:rPr>
          <w:rFonts w:ascii="宋体" w:hAnsi="宋体" w:eastAsia="宋体" w:cs="宋体"/>
          <w:sz w:val="24"/>
          <w:szCs w:val="24"/>
        </w:rPr>
        <w:t xml:space="preserve"> </w:t>
      </w:r>
      <w:r>
        <w:rPr>
          <w:rFonts w:ascii="宋体" w:hAnsi="宋体" w:eastAsia="宋体" w:cs="宋体"/>
          <w:spacing w:val="-1"/>
          <w:sz w:val="24"/>
          <w:szCs w:val="24"/>
        </w:rPr>
        <w:t>输导流输水放空隧洞进口底板高程为</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2058.8</w:t>
      </w:r>
      <w:r>
        <w:rPr>
          <w:rFonts w:ascii="Times New Roman" w:hAnsi="Times New Roman" w:eastAsia="Times New Roman" w:cs="Times New Roman"/>
          <w:spacing w:val="-2"/>
          <w:sz w:val="24"/>
          <w:szCs w:val="24"/>
        </w:rPr>
        <w:t>m</w:t>
      </w:r>
      <w:r>
        <w:rPr>
          <w:rFonts w:ascii="宋体" w:hAnsi="宋体" w:eastAsia="宋体" w:cs="宋体"/>
          <w:spacing w:val="-2"/>
          <w:sz w:val="24"/>
          <w:szCs w:val="24"/>
        </w:rPr>
        <w:t>，水库在设计运行期内不存在淤塞</w:t>
      </w:r>
    </w:p>
    <w:p>
      <w:pPr>
        <w:spacing w:before="1" w:line="219" w:lineRule="auto"/>
        <w:ind w:left="40"/>
        <w:rPr>
          <w:rFonts w:ascii="宋体" w:hAnsi="宋体" w:eastAsia="宋体" w:cs="宋体"/>
          <w:sz w:val="24"/>
          <w:szCs w:val="24"/>
        </w:rPr>
      </w:pPr>
      <w:r>
        <w:rPr>
          <w:rFonts w:ascii="宋体" w:hAnsi="宋体" w:eastAsia="宋体" w:cs="宋体"/>
          <w:spacing w:val="-3"/>
          <w:sz w:val="24"/>
          <w:szCs w:val="24"/>
        </w:rPr>
        <w:t>风险。因此生态放流管不存在因淤塞而断流情况。运营期应加强生态放流管巡查</w:t>
      </w:r>
    </w:p>
    <w:p>
      <w:pPr>
        <w:spacing w:line="219" w:lineRule="auto"/>
        <w:rPr>
          <w:rFonts w:ascii="宋体" w:hAnsi="宋体" w:eastAsia="宋体" w:cs="宋体"/>
          <w:sz w:val="24"/>
          <w:szCs w:val="24"/>
        </w:rPr>
        <w:sectPr>
          <w:headerReference r:id="rId447" w:type="default"/>
          <w:footerReference r:id="rId448" w:type="default"/>
          <w:pgSz w:w="11907" w:h="16839"/>
          <w:pgMar w:top="1156" w:right="1735" w:bottom="1374" w:left="1770" w:header="881" w:footer="1210" w:gutter="0"/>
        </w:sectPr>
      </w:pPr>
    </w:p>
    <w:p>
      <w:pPr>
        <w:spacing w:before="318" w:line="468" w:lineRule="exact"/>
        <w:ind w:left="40"/>
        <w:rPr>
          <w:rFonts w:ascii="宋体" w:hAnsi="宋体" w:eastAsia="宋体" w:cs="宋体"/>
          <w:sz w:val="24"/>
          <w:szCs w:val="24"/>
        </w:rPr>
      </w:pPr>
      <w:r>
        <w:rPr>
          <w:rFonts w:ascii="宋体" w:hAnsi="宋体" w:eastAsia="宋体" w:cs="宋体"/>
          <w:spacing w:val="-3"/>
          <w:position w:val="17"/>
          <w:sz w:val="24"/>
          <w:szCs w:val="24"/>
        </w:rPr>
        <w:t>和管护，防止堵塞，保障生态流量正常下放。</w:t>
      </w:r>
    </w:p>
    <w:p>
      <w:pPr>
        <w:spacing w:line="219" w:lineRule="auto"/>
        <w:ind w:left="521"/>
        <w:rPr>
          <w:rFonts w:ascii="宋体" w:hAnsi="宋体" w:eastAsia="宋体" w:cs="宋体"/>
          <w:sz w:val="24"/>
          <w:szCs w:val="24"/>
        </w:rPr>
      </w:pPr>
      <w:r>
        <w:rPr>
          <w:rFonts w:ascii="宋体" w:hAnsi="宋体" w:eastAsia="宋体" w:cs="宋体"/>
          <w:spacing w:val="-3"/>
          <w:sz w:val="24"/>
          <w:szCs w:val="24"/>
        </w:rPr>
        <w:t>生态放流管应设置为无管阀控制。</w:t>
      </w:r>
    </w:p>
    <w:p>
      <w:pPr>
        <w:spacing w:before="182" w:line="359" w:lineRule="auto"/>
        <w:ind w:left="40" w:right="188" w:firstLine="481"/>
        <w:rPr>
          <w:rFonts w:ascii="宋体" w:hAnsi="宋体" w:eastAsia="宋体" w:cs="宋体"/>
          <w:sz w:val="24"/>
          <w:szCs w:val="24"/>
        </w:rPr>
      </w:pPr>
      <w:r>
        <w:rPr>
          <w:rFonts w:ascii="宋体" w:hAnsi="宋体" w:eastAsia="宋体" w:cs="宋体"/>
          <w:spacing w:val="-3"/>
          <w:sz w:val="24"/>
          <w:szCs w:val="24"/>
        </w:rPr>
        <w:t>水库管理单位应将环境用水同其他用水一样纳入日常的用</w:t>
      </w:r>
      <w:r>
        <w:rPr>
          <w:rFonts w:ascii="宋体" w:hAnsi="宋体" w:eastAsia="宋体" w:cs="宋体"/>
          <w:spacing w:val="-4"/>
          <w:sz w:val="24"/>
          <w:szCs w:val="24"/>
        </w:rPr>
        <w:t>水管理范畴，在编</w:t>
      </w:r>
      <w:r>
        <w:rPr>
          <w:rFonts w:ascii="宋体" w:hAnsi="宋体" w:eastAsia="宋体" w:cs="宋体"/>
          <w:sz w:val="24"/>
          <w:szCs w:val="24"/>
        </w:rPr>
        <w:t xml:space="preserve"> </w:t>
      </w:r>
      <w:r>
        <w:rPr>
          <w:rFonts w:ascii="宋体" w:hAnsi="宋体" w:eastAsia="宋体" w:cs="宋体"/>
          <w:spacing w:val="-16"/>
          <w:sz w:val="24"/>
          <w:szCs w:val="24"/>
        </w:rPr>
        <w:t>制的用水计划中反应环境用水，</w:t>
      </w:r>
      <w:r>
        <w:rPr>
          <w:rFonts w:ascii="宋体" w:hAnsi="宋体" w:eastAsia="宋体" w:cs="宋体"/>
          <w:spacing w:val="33"/>
          <w:sz w:val="24"/>
          <w:szCs w:val="24"/>
        </w:rPr>
        <w:t xml:space="preserve"> </w:t>
      </w:r>
      <w:r>
        <w:rPr>
          <w:rFonts w:ascii="宋体" w:hAnsi="宋体" w:eastAsia="宋体" w:cs="宋体"/>
          <w:spacing w:val="-16"/>
          <w:sz w:val="24"/>
          <w:szCs w:val="24"/>
        </w:rPr>
        <w:t>落实专人负责，</w:t>
      </w:r>
      <w:r>
        <w:rPr>
          <w:rFonts w:ascii="宋体" w:hAnsi="宋体" w:eastAsia="宋体" w:cs="宋体"/>
          <w:spacing w:val="28"/>
          <w:sz w:val="24"/>
          <w:szCs w:val="24"/>
        </w:rPr>
        <w:t xml:space="preserve"> </w:t>
      </w:r>
      <w:r>
        <w:rPr>
          <w:rFonts w:ascii="宋体" w:hAnsi="宋体" w:eastAsia="宋体" w:cs="宋体"/>
          <w:spacing w:val="-16"/>
          <w:sz w:val="24"/>
          <w:szCs w:val="24"/>
        </w:rPr>
        <w:t>对下泄的环境流量做记录，</w:t>
      </w:r>
      <w:r>
        <w:rPr>
          <w:rFonts w:ascii="宋体" w:hAnsi="宋体" w:eastAsia="宋体" w:cs="宋体"/>
          <w:spacing w:val="34"/>
          <w:sz w:val="24"/>
          <w:szCs w:val="24"/>
        </w:rPr>
        <w:t xml:space="preserve"> </w:t>
      </w:r>
      <w:r>
        <w:rPr>
          <w:rFonts w:ascii="宋体" w:hAnsi="宋体" w:eastAsia="宋体" w:cs="宋体"/>
          <w:spacing w:val="-16"/>
          <w:sz w:val="24"/>
          <w:szCs w:val="24"/>
        </w:rPr>
        <w:t>不定</w:t>
      </w:r>
      <w:r>
        <w:rPr>
          <w:rFonts w:ascii="宋体" w:hAnsi="宋体" w:eastAsia="宋体" w:cs="宋体"/>
          <w:sz w:val="24"/>
          <w:szCs w:val="24"/>
        </w:rPr>
        <w:t xml:space="preserve"> </w:t>
      </w:r>
      <w:r>
        <w:rPr>
          <w:rFonts w:ascii="宋体" w:hAnsi="宋体" w:eastAsia="宋体" w:cs="宋体"/>
          <w:spacing w:val="-9"/>
          <w:sz w:val="24"/>
          <w:szCs w:val="24"/>
        </w:rPr>
        <w:t>期的向水利主管部门进行汇报， 并在年终编制生态下泄</w:t>
      </w:r>
      <w:r>
        <w:rPr>
          <w:rFonts w:ascii="宋体" w:hAnsi="宋体" w:eastAsia="宋体" w:cs="宋体"/>
          <w:spacing w:val="-10"/>
          <w:sz w:val="24"/>
          <w:szCs w:val="24"/>
        </w:rPr>
        <w:t>情况报告， 一并上报主管</w:t>
      </w:r>
    </w:p>
    <w:p>
      <w:pPr>
        <w:spacing w:line="219" w:lineRule="auto"/>
        <w:ind w:left="42"/>
        <w:rPr>
          <w:rFonts w:ascii="宋体" w:hAnsi="宋体" w:eastAsia="宋体" w:cs="宋体"/>
          <w:sz w:val="24"/>
          <w:szCs w:val="24"/>
        </w:rPr>
      </w:pPr>
      <w:r>
        <w:rPr>
          <w:rFonts w:ascii="宋体" w:hAnsi="宋体" w:eastAsia="宋体" w:cs="宋体"/>
          <w:spacing w:val="-11"/>
          <w:sz w:val="24"/>
          <w:szCs w:val="24"/>
        </w:rPr>
        <w:t>部门。</w:t>
      </w:r>
    </w:p>
    <w:p>
      <w:pPr>
        <w:spacing w:before="181" w:line="467" w:lineRule="exact"/>
        <w:ind w:left="518"/>
        <w:rPr>
          <w:rFonts w:ascii="宋体" w:hAnsi="宋体" w:eastAsia="宋体" w:cs="宋体"/>
          <w:sz w:val="24"/>
          <w:szCs w:val="24"/>
        </w:rPr>
      </w:pPr>
      <w:r>
        <w:rPr>
          <w:rFonts w:ascii="宋体" w:hAnsi="宋体" w:eastAsia="宋体" w:cs="宋体"/>
          <w:spacing w:val="-10"/>
          <w:position w:val="17"/>
          <w:sz w:val="24"/>
          <w:szCs w:val="24"/>
        </w:rPr>
        <w:t>在保证下泄生态补水流量的情况下， 可维持坝下河道基本生态功能， 水文情</w:t>
      </w:r>
    </w:p>
    <w:p>
      <w:pPr>
        <w:spacing w:line="219" w:lineRule="auto"/>
        <w:ind w:left="45"/>
        <w:rPr>
          <w:rFonts w:ascii="宋体" w:hAnsi="宋体" w:eastAsia="宋体" w:cs="宋体"/>
          <w:sz w:val="24"/>
          <w:szCs w:val="24"/>
        </w:rPr>
      </w:pPr>
      <w:r>
        <w:rPr>
          <w:rFonts w:ascii="宋体" w:hAnsi="宋体" w:eastAsia="宋体" w:cs="宋体"/>
          <w:spacing w:val="-4"/>
          <w:sz w:val="24"/>
          <w:szCs w:val="24"/>
        </w:rPr>
        <w:t>势的影响能控制到可控的范围内。</w:t>
      </w:r>
    </w:p>
    <w:p>
      <w:pPr>
        <w:spacing w:before="18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）水质保护措施</w:t>
      </w:r>
    </w:p>
    <w:p>
      <w:pPr>
        <w:spacing w:before="182" w:line="359" w:lineRule="auto"/>
        <w:ind w:left="39" w:right="188" w:firstLine="479"/>
        <w:rPr>
          <w:rFonts w:ascii="宋体" w:hAnsi="宋体" w:eastAsia="宋体" w:cs="宋体"/>
          <w:sz w:val="24"/>
          <w:szCs w:val="24"/>
        </w:rPr>
      </w:pPr>
      <w:r>
        <w:rPr>
          <w:rFonts w:ascii="宋体" w:hAnsi="宋体" w:eastAsia="宋体" w:cs="宋体"/>
          <w:spacing w:val="-3"/>
          <w:sz w:val="24"/>
          <w:szCs w:val="24"/>
        </w:rPr>
        <w:t>①为防止淹没水库内的树木、杂物及人畜粪便等对水体的污染和对</w:t>
      </w:r>
      <w:r>
        <w:rPr>
          <w:rFonts w:ascii="宋体" w:hAnsi="宋体" w:eastAsia="宋体" w:cs="宋体"/>
          <w:spacing w:val="-4"/>
          <w:sz w:val="24"/>
          <w:szCs w:val="24"/>
        </w:rPr>
        <w:t>水库安全</w:t>
      </w:r>
      <w:r>
        <w:rPr>
          <w:rFonts w:ascii="宋体" w:hAnsi="宋体" w:eastAsia="宋体" w:cs="宋体"/>
          <w:sz w:val="24"/>
          <w:szCs w:val="24"/>
        </w:rPr>
        <w:t xml:space="preserve"> </w:t>
      </w:r>
      <w:r>
        <w:rPr>
          <w:rFonts w:ascii="宋体" w:hAnsi="宋体" w:eastAsia="宋体" w:cs="宋体"/>
          <w:spacing w:val="-9"/>
          <w:sz w:val="24"/>
          <w:szCs w:val="24"/>
        </w:rPr>
        <w:t>运行的影响，</w:t>
      </w:r>
      <w:r>
        <w:rPr>
          <w:rFonts w:ascii="宋体" w:hAnsi="宋体" w:eastAsia="宋体" w:cs="宋体"/>
          <w:spacing w:val="-57"/>
          <w:sz w:val="24"/>
          <w:szCs w:val="24"/>
        </w:rPr>
        <w:t xml:space="preserve"> </w:t>
      </w:r>
      <w:r>
        <w:rPr>
          <w:rFonts w:ascii="宋体" w:hAnsi="宋体" w:eastAsia="宋体" w:cs="宋体"/>
          <w:spacing w:val="-9"/>
          <w:sz w:val="24"/>
          <w:szCs w:val="24"/>
        </w:rPr>
        <w:t>在水库蓄水前须对库底进行清理，</w:t>
      </w:r>
      <w:r>
        <w:rPr>
          <w:rFonts w:ascii="宋体" w:hAnsi="宋体" w:eastAsia="宋体" w:cs="宋体"/>
          <w:spacing w:val="31"/>
          <w:sz w:val="24"/>
          <w:szCs w:val="24"/>
        </w:rPr>
        <w:t xml:space="preserve"> </w:t>
      </w:r>
      <w:r>
        <w:rPr>
          <w:rFonts w:ascii="宋体" w:hAnsi="宋体" w:eastAsia="宋体" w:cs="宋体"/>
          <w:spacing w:val="-9"/>
          <w:sz w:val="24"/>
          <w:szCs w:val="24"/>
        </w:rPr>
        <w:t>库底</w:t>
      </w:r>
      <w:r>
        <w:rPr>
          <w:rFonts w:ascii="宋体" w:hAnsi="宋体" w:eastAsia="宋体" w:cs="宋体"/>
          <w:spacing w:val="-10"/>
          <w:sz w:val="24"/>
          <w:szCs w:val="24"/>
        </w:rPr>
        <w:t>清理应严格按照《水电工程</w:t>
      </w:r>
      <w:r>
        <w:rPr>
          <w:rFonts w:ascii="宋体" w:hAnsi="宋体" w:eastAsia="宋体" w:cs="宋体"/>
          <w:sz w:val="24"/>
          <w:szCs w:val="24"/>
        </w:rPr>
        <w:t xml:space="preserve"> </w:t>
      </w:r>
      <w:r>
        <w:rPr>
          <w:rFonts w:ascii="宋体" w:hAnsi="宋体" w:eastAsia="宋体" w:cs="宋体"/>
          <w:spacing w:val="-6"/>
          <w:sz w:val="24"/>
          <w:szCs w:val="24"/>
        </w:rPr>
        <w:t>水库库底清理设计规范》（</w:t>
      </w:r>
      <w:r>
        <w:rPr>
          <w:rFonts w:ascii="Times New Roman" w:hAnsi="Times New Roman" w:eastAsia="Times New Roman" w:cs="Times New Roman"/>
          <w:spacing w:val="-6"/>
          <w:sz w:val="24"/>
          <w:szCs w:val="24"/>
        </w:rPr>
        <w:t>DL/T5318-2007</w:t>
      </w:r>
      <w:r>
        <w:rPr>
          <w:rFonts w:ascii="宋体" w:hAnsi="宋体" w:eastAsia="宋体" w:cs="宋体"/>
          <w:spacing w:val="-6"/>
          <w:sz w:val="24"/>
          <w:szCs w:val="24"/>
        </w:rPr>
        <w:t>）的规定进行清理。清理范围为水库淹</w:t>
      </w:r>
    </w:p>
    <w:p>
      <w:pPr>
        <w:spacing w:line="220" w:lineRule="auto"/>
        <w:ind w:left="43"/>
        <w:rPr>
          <w:rFonts w:ascii="宋体" w:hAnsi="宋体" w:eastAsia="宋体" w:cs="宋体"/>
          <w:sz w:val="24"/>
          <w:szCs w:val="24"/>
        </w:rPr>
      </w:pPr>
      <w:r>
        <w:rPr>
          <w:rFonts w:ascii="宋体" w:hAnsi="宋体" w:eastAsia="宋体" w:cs="宋体"/>
          <w:spacing w:val="-8"/>
          <w:sz w:val="24"/>
          <w:szCs w:val="24"/>
        </w:rPr>
        <w:t>没区范围。</w:t>
      </w:r>
    </w:p>
    <w:p>
      <w:pPr>
        <w:spacing w:before="181" w:line="466" w:lineRule="exact"/>
        <w:ind w:left="517"/>
        <w:rPr>
          <w:rFonts w:ascii="宋体" w:hAnsi="宋体" w:eastAsia="宋体" w:cs="宋体"/>
          <w:sz w:val="24"/>
          <w:szCs w:val="24"/>
        </w:rPr>
      </w:pPr>
      <w:r>
        <w:rPr>
          <w:rFonts w:ascii="宋体" w:hAnsi="宋体" w:eastAsia="宋体" w:cs="宋体"/>
          <w:spacing w:val="-5"/>
          <w:position w:val="17"/>
          <w:sz w:val="24"/>
          <w:szCs w:val="24"/>
        </w:rPr>
        <w:t>②定期开展库区水质监测工作，及时了解水库水</w:t>
      </w:r>
      <w:r>
        <w:rPr>
          <w:rFonts w:ascii="宋体" w:hAnsi="宋体" w:eastAsia="宋体" w:cs="宋体"/>
          <w:spacing w:val="-6"/>
          <w:position w:val="17"/>
          <w:sz w:val="24"/>
          <w:szCs w:val="24"/>
        </w:rPr>
        <w:t>质状况，</w:t>
      </w:r>
      <w:r>
        <w:rPr>
          <w:rFonts w:ascii="宋体" w:hAnsi="宋体" w:eastAsia="宋体" w:cs="宋体"/>
          <w:spacing w:val="-45"/>
          <w:position w:val="17"/>
          <w:sz w:val="24"/>
          <w:szCs w:val="24"/>
        </w:rPr>
        <w:t xml:space="preserve"> </w:t>
      </w:r>
      <w:r>
        <w:rPr>
          <w:rFonts w:ascii="宋体" w:hAnsi="宋体" w:eastAsia="宋体" w:cs="宋体"/>
          <w:spacing w:val="-6"/>
          <w:position w:val="17"/>
          <w:sz w:val="24"/>
          <w:szCs w:val="24"/>
        </w:rPr>
        <w:t>以便于采取应对措</w:t>
      </w:r>
    </w:p>
    <w:p>
      <w:pPr>
        <w:spacing w:before="1" w:line="220" w:lineRule="auto"/>
        <w:ind w:left="38"/>
        <w:rPr>
          <w:rFonts w:ascii="宋体" w:hAnsi="宋体" w:eastAsia="宋体" w:cs="宋体"/>
          <w:sz w:val="24"/>
          <w:szCs w:val="24"/>
        </w:rPr>
      </w:pPr>
      <w:r>
        <w:rPr>
          <w:rFonts w:ascii="宋体" w:hAnsi="宋体" w:eastAsia="宋体" w:cs="宋体"/>
          <w:spacing w:val="-2"/>
          <w:sz w:val="24"/>
          <w:szCs w:val="24"/>
        </w:rPr>
        <w:t>施。监测工作应纳入常规的环境监测计划。</w:t>
      </w:r>
    </w:p>
    <w:p>
      <w:pPr>
        <w:spacing w:before="181" w:line="466" w:lineRule="exact"/>
        <w:jc w:val="right"/>
        <w:rPr>
          <w:rFonts w:ascii="宋体" w:hAnsi="宋体" w:eastAsia="宋体" w:cs="宋体"/>
          <w:sz w:val="24"/>
          <w:szCs w:val="24"/>
        </w:rPr>
      </w:pPr>
      <w:r>
        <w:rPr>
          <w:rFonts w:ascii="宋体" w:hAnsi="宋体" w:eastAsia="宋体" w:cs="宋体"/>
          <w:spacing w:val="-5"/>
          <w:position w:val="17"/>
          <w:sz w:val="24"/>
          <w:szCs w:val="24"/>
        </w:rPr>
        <w:t>③水库运行后，水库管理单位应该配合地方在水库周边区域内进行封禁治理，</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大面积绿化造林，开展径流区水源涵养林营造和保护工作。</w:t>
      </w:r>
    </w:p>
    <w:p>
      <w:pPr>
        <w:spacing w:before="182" w:line="466" w:lineRule="exact"/>
        <w:ind w:left="517"/>
        <w:rPr>
          <w:rFonts w:ascii="宋体" w:hAnsi="宋体" w:eastAsia="宋体" w:cs="宋体"/>
          <w:sz w:val="24"/>
          <w:szCs w:val="24"/>
        </w:rPr>
      </w:pPr>
      <w:r>
        <w:rPr>
          <w:rFonts w:ascii="宋体" w:hAnsi="宋体" w:eastAsia="宋体" w:cs="宋体"/>
          <w:spacing w:val="-9"/>
          <w:position w:val="17"/>
          <w:sz w:val="24"/>
          <w:szCs w:val="24"/>
        </w:rPr>
        <w:t>④建议当地政府建立桂花水库水源保护区， 对水</w:t>
      </w:r>
      <w:r>
        <w:rPr>
          <w:rFonts w:ascii="宋体" w:hAnsi="宋体" w:eastAsia="宋体" w:cs="宋体"/>
          <w:spacing w:val="-10"/>
          <w:position w:val="17"/>
          <w:sz w:val="24"/>
          <w:szCs w:val="24"/>
        </w:rPr>
        <w:t>库汇水区域应严格管理， 凡</w:t>
      </w:r>
    </w:p>
    <w:p>
      <w:pPr>
        <w:spacing w:before="1" w:line="219" w:lineRule="auto"/>
        <w:ind w:left="43"/>
        <w:rPr>
          <w:rFonts w:ascii="宋体" w:hAnsi="宋体" w:eastAsia="宋体" w:cs="宋体"/>
          <w:sz w:val="24"/>
          <w:szCs w:val="24"/>
        </w:rPr>
      </w:pPr>
      <w:r>
        <w:rPr>
          <w:rFonts w:ascii="宋体" w:hAnsi="宋体" w:eastAsia="宋体" w:cs="宋体"/>
          <w:spacing w:val="-1"/>
          <w:sz w:val="24"/>
          <w:szCs w:val="24"/>
        </w:rPr>
        <w:t>是可能对水库水源涵养林、水库水质等造成破坏和污染的行为，应</w:t>
      </w:r>
      <w:r>
        <w:rPr>
          <w:rFonts w:ascii="宋体" w:hAnsi="宋体" w:eastAsia="宋体" w:cs="宋体"/>
          <w:spacing w:val="-2"/>
          <w:sz w:val="24"/>
          <w:szCs w:val="24"/>
        </w:rPr>
        <w:t>严格禁止。</w:t>
      </w:r>
    </w:p>
    <w:p>
      <w:pPr>
        <w:spacing w:before="182" w:line="359" w:lineRule="auto"/>
        <w:ind w:left="40" w:right="188" w:firstLine="477"/>
        <w:rPr>
          <w:rFonts w:ascii="宋体" w:hAnsi="宋体" w:eastAsia="宋体" w:cs="宋体"/>
          <w:sz w:val="24"/>
          <w:szCs w:val="24"/>
        </w:rPr>
      </w:pPr>
      <w:r>
        <w:rPr>
          <w:rFonts w:ascii="宋体" w:hAnsi="宋体" w:eastAsia="宋体" w:cs="宋体"/>
          <w:spacing w:val="-10"/>
          <w:sz w:val="24"/>
          <w:szCs w:val="24"/>
        </w:rPr>
        <w:t>⑤为确保区域灌溉及饮水安全， 应对水库水源区的水环境进行保护， 禁止在</w:t>
      </w:r>
      <w:r>
        <w:rPr>
          <w:rFonts w:ascii="宋体" w:hAnsi="宋体" w:eastAsia="宋体" w:cs="宋体"/>
          <w:spacing w:val="8"/>
          <w:sz w:val="24"/>
          <w:szCs w:val="24"/>
        </w:rPr>
        <w:t xml:space="preserve"> </w:t>
      </w:r>
      <w:r>
        <w:rPr>
          <w:rFonts w:ascii="宋体" w:hAnsi="宋体" w:eastAsia="宋体" w:cs="宋体"/>
          <w:spacing w:val="-6"/>
          <w:sz w:val="24"/>
          <w:szCs w:val="24"/>
        </w:rPr>
        <w:t>库区开展养殖业；禁止在水库径流区范围内设置排污口；</w:t>
      </w:r>
      <w:r>
        <w:rPr>
          <w:rFonts w:ascii="宋体" w:hAnsi="宋体" w:eastAsia="宋体" w:cs="宋体"/>
          <w:spacing w:val="-15"/>
          <w:sz w:val="24"/>
          <w:szCs w:val="24"/>
        </w:rPr>
        <w:t xml:space="preserve"> </w:t>
      </w:r>
      <w:r>
        <w:rPr>
          <w:rFonts w:ascii="宋体" w:hAnsi="宋体" w:eastAsia="宋体" w:cs="宋体"/>
          <w:spacing w:val="-6"/>
          <w:sz w:val="24"/>
          <w:szCs w:val="24"/>
        </w:rPr>
        <w:t>禁止在库区上游堆置和</w:t>
      </w:r>
    </w:p>
    <w:p>
      <w:pPr>
        <w:spacing w:before="1" w:line="218" w:lineRule="auto"/>
        <w:ind w:left="38"/>
        <w:rPr>
          <w:rFonts w:ascii="宋体" w:hAnsi="宋体" w:eastAsia="宋体" w:cs="宋体"/>
          <w:sz w:val="24"/>
          <w:szCs w:val="24"/>
        </w:rPr>
      </w:pPr>
      <w:r>
        <w:rPr>
          <w:rFonts w:ascii="宋体" w:hAnsi="宋体" w:eastAsia="宋体" w:cs="宋体"/>
          <w:spacing w:val="-9"/>
          <w:sz w:val="24"/>
          <w:szCs w:val="24"/>
        </w:rPr>
        <w:t>存放工业废渣、</w:t>
      </w:r>
      <w:r>
        <w:rPr>
          <w:rFonts w:ascii="宋体" w:hAnsi="宋体" w:eastAsia="宋体" w:cs="宋体"/>
          <w:spacing w:val="44"/>
          <w:sz w:val="24"/>
          <w:szCs w:val="24"/>
        </w:rPr>
        <w:t xml:space="preserve"> </w:t>
      </w:r>
      <w:r>
        <w:rPr>
          <w:rFonts w:ascii="宋体" w:hAnsi="宋体" w:eastAsia="宋体" w:cs="宋体"/>
          <w:spacing w:val="-9"/>
          <w:sz w:val="24"/>
          <w:szCs w:val="24"/>
        </w:rPr>
        <w:t>城市垃圾、粪便和其他废弃物；</w:t>
      </w:r>
      <w:r>
        <w:rPr>
          <w:rFonts w:ascii="宋体" w:hAnsi="宋体" w:eastAsia="宋体" w:cs="宋体"/>
          <w:spacing w:val="-10"/>
          <w:sz w:val="24"/>
          <w:szCs w:val="24"/>
        </w:rPr>
        <w:t xml:space="preserve"> 禁止在水库上游非法采沙。</w:t>
      </w:r>
    </w:p>
    <w:p>
      <w:pPr>
        <w:spacing w:before="182" w:line="467" w:lineRule="exact"/>
        <w:ind w:left="517"/>
        <w:rPr>
          <w:rFonts w:ascii="宋体" w:hAnsi="宋体" w:eastAsia="宋体" w:cs="宋体"/>
          <w:sz w:val="24"/>
          <w:szCs w:val="24"/>
        </w:rPr>
      </w:pPr>
      <w:r>
        <w:rPr>
          <w:rFonts w:ascii="宋体" w:hAnsi="宋体" w:eastAsia="宋体" w:cs="宋体"/>
          <w:spacing w:val="-10"/>
          <w:position w:val="17"/>
          <w:sz w:val="24"/>
          <w:szCs w:val="24"/>
        </w:rPr>
        <w:t>⑥水库管理区设置化粪池， 生活污水进入化粪池处理， 处理后的废水用于农</w:t>
      </w:r>
    </w:p>
    <w:p>
      <w:pPr>
        <w:spacing w:before="1" w:line="218" w:lineRule="auto"/>
        <w:ind w:left="39"/>
        <w:rPr>
          <w:rFonts w:ascii="宋体" w:hAnsi="宋体" w:eastAsia="宋体" w:cs="宋体"/>
          <w:sz w:val="24"/>
          <w:szCs w:val="24"/>
        </w:rPr>
      </w:pPr>
      <w:r>
        <w:rPr>
          <w:rFonts w:ascii="宋体" w:hAnsi="宋体" w:eastAsia="宋体" w:cs="宋体"/>
          <w:spacing w:val="-6"/>
          <w:sz w:val="24"/>
          <w:szCs w:val="24"/>
        </w:rPr>
        <w:t>肥，不外排。</w:t>
      </w:r>
    </w:p>
    <w:p>
      <w:pPr>
        <w:spacing w:before="184" w:line="359" w:lineRule="auto"/>
        <w:ind w:left="38" w:right="103" w:firstLine="479"/>
        <w:rPr>
          <w:rFonts w:ascii="宋体" w:hAnsi="宋体" w:eastAsia="宋体" w:cs="宋体"/>
          <w:sz w:val="24"/>
          <w:szCs w:val="24"/>
        </w:rPr>
      </w:pPr>
      <w:r>
        <w:rPr>
          <w:rFonts w:ascii="宋体" w:hAnsi="宋体" w:eastAsia="宋体" w:cs="宋体"/>
          <w:spacing w:val="-6"/>
          <w:sz w:val="24"/>
          <w:szCs w:val="24"/>
        </w:rPr>
        <w:t>⑦为减小本项目灌溉后产生的灌溉回归水对区域水环境的影响，</w:t>
      </w:r>
      <w:r>
        <w:rPr>
          <w:rFonts w:ascii="宋体" w:hAnsi="宋体" w:eastAsia="宋体" w:cs="宋体"/>
          <w:spacing w:val="-29"/>
          <w:sz w:val="24"/>
          <w:szCs w:val="24"/>
        </w:rPr>
        <w:t xml:space="preserve"> </w:t>
      </w:r>
      <w:r>
        <w:rPr>
          <w:rFonts w:ascii="宋体" w:hAnsi="宋体" w:eastAsia="宋体" w:cs="宋体"/>
          <w:spacing w:val="-6"/>
          <w:sz w:val="24"/>
          <w:szCs w:val="24"/>
        </w:rPr>
        <w:t>建议</w:t>
      </w:r>
      <w:r>
        <w:rPr>
          <w:rFonts w:ascii="宋体" w:hAnsi="宋体" w:eastAsia="宋体" w:cs="宋体"/>
          <w:spacing w:val="-7"/>
          <w:sz w:val="24"/>
          <w:szCs w:val="24"/>
        </w:rPr>
        <w:t xml:space="preserve">当地政 </w:t>
      </w:r>
      <w:r>
        <w:rPr>
          <w:rFonts w:ascii="宋体" w:hAnsi="宋体" w:eastAsia="宋体" w:cs="宋体"/>
          <w:spacing w:val="-11"/>
          <w:sz w:val="24"/>
          <w:szCs w:val="24"/>
        </w:rPr>
        <w:t>府应在灌区发展生态农业，</w:t>
      </w:r>
      <w:r>
        <w:rPr>
          <w:rFonts w:ascii="宋体" w:hAnsi="宋体" w:eastAsia="宋体" w:cs="宋体"/>
          <w:spacing w:val="-43"/>
          <w:sz w:val="24"/>
          <w:szCs w:val="24"/>
        </w:rPr>
        <w:t xml:space="preserve"> </w:t>
      </w:r>
      <w:r>
        <w:rPr>
          <w:rFonts w:ascii="宋体" w:hAnsi="宋体" w:eastAsia="宋体" w:cs="宋体"/>
          <w:spacing w:val="-11"/>
          <w:sz w:val="24"/>
          <w:szCs w:val="24"/>
        </w:rPr>
        <w:t>鼓励种植化肥施用量较少</w:t>
      </w:r>
      <w:r>
        <w:rPr>
          <w:rFonts w:ascii="宋体" w:hAnsi="宋体" w:eastAsia="宋体" w:cs="宋体"/>
          <w:spacing w:val="-12"/>
          <w:sz w:val="24"/>
          <w:szCs w:val="24"/>
        </w:rPr>
        <w:t>的作物，</w:t>
      </w:r>
      <w:r>
        <w:rPr>
          <w:rFonts w:ascii="宋体" w:hAnsi="宋体" w:eastAsia="宋体" w:cs="宋体"/>
          <w:spacing w:val="-46"/>
          <w:sz w:val="24"/>
          <w:szCs w:val="24"/>
        </w:rPr>
        <w:t xml:space="preserve"> </w:t>
      </w:r>
      <w:r>
        <w:rPr>
          <w:rFonts w:ascii="宋体" w:hAnsi="宋体" w:eastAsia="宋体" w:cs="宋体"/>
          <w:spacing w:val="-12"/>
          <w:sz w:val="24"/>
          <w:szCs w:val="24"/>
        </w:rPr>
        <w:t>推广节水灌溉技术、</w:t>
      </w:r>
    </w:p>
    <w:p>
      <w:pPr>
        <w:spacing w:before="1" w:line="218" w:lineRule="auto"/>
        <w:ind w:left="40"/>
        <w:rPr>
          <w:rFonts w:ascii="宋体" w:hAnsi="宋体" w:eastAsia="宋体" w:cs="宋体"/>
          <w:sz w:val="24"/>
          <w:szCs w:val="24"/>
        </w:rPr>
      </w:pPr>
      <w:r>
        <w:rPr>
          <w:rFonts w:ascii="宋体" w:hAnsi="宋体" w:eastAsia="宋体" w:cs="宋体"/>
          <w:spacing w:val="-3"/>
          <w:sz w:val="24"/>
          <w:szCs w:val="24"/>
        </w:rPr>
        <w:t>测土配方技术，减少农药、化肥施用量。</w:t>
      </w:r>
    </w:p>
    <w:p>
      <w:pPr>
        <w:spacing w:line="389" w:lineRule="auto"/>
        <w:rPr>
          <w:rFonts w:ascii="Arial"/>
          <w:sz w:val="21"/>
        </w:rPr>
      </w:pPr>
    </w:p>
    <w:p>
      <w:pPr>
        <w:pStyle w:val="2"/>
        <w:spacing w:before="88" w:line="225" w:lineRule="auto"/>
        <w:ind w:left="40"/>
        <w:outlineLvl w:val="3"/>
        <w:rPr>
          <w:sz w:val="27"/>
          <w:szCs w:val="27"/>
        </w:rPr>
      </w:pPr>
      <w:bookmarkStart w:id="41" w:name="bookmark42"/>
      <w:bookmarkEnd w:id="41"/>
      <w:r>
        <w:rPr>
          <w:rFonts w:ascii="Times New Roman" w:hAnsi="Times New Roman" w:eastAsia="Times New Roman" w:cs="Times New Roman"/>
          <w:b/>
          <w:bCs/>
          <w:spacing w:val="7"/>
          <w:sz w:val="27"/>
          <w:szCs w:val="27"/>
        </w:rPr>
        <w:t xml:space="preserve">6.3 </w:t>
      </w:r>
      <w:r>
        <w:rPr>
          <w:spacing w:val="7"/>
          <w:sz w:val="27"/>
          <w:szCs w:val="27"/>
          <w14:textOutline w14:w="5072" w14:cap="flat" w14:cmpd="sng">
            <w14:solidFill>
              <w14:srgbClr w14:val="000000"/>
            </w14:solidFill>
            <w14:prstDash w14:val="solid"/>
            <w14:miter w14:val="0"/>
          </w14:textOutline>
        </w:rPr>
        <w:t>环境空气保护措施</w:t>
      </w:r>
    </w:p>
    <w:p>
      <w:pPr>
        <w:spacing w:before="205"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）工程土石方开挖作业施工避开大风天</w:t>
      </w:r>
      <w:r>
        <w:rPr>
          <w:rFonts w:ascii="宋体" w:hAnsi="宋体" w:eastAsia="宋体" w:cs="宋体"/>
          <w:spacing w:val="-4"/>
          <w:sz w:val="24"/>
          <w:szCs w:val="24"/>
        </w:rPr>
        <w:t>气， 并对作业面进行洒水降尘，</w:t>
      </w:r>
    </w:p>
    <w:p>
      <w:pPr>
        <w:spacing w:line="220" w:lineRule="auto"/>
        <w:rPr>
          <w:rFonts w:ascii="宋体" w:hAnsi="宋体" w:eastAsia="宋体" w:cs="宋体"/>
          <w:sz w:val="24"/>
          <w:szCs w:val="24"/>
        </w:rPr>
        <w:sectPr>
          <w:headerReference r:id="rId449" w:type="default"/>
          <w:footerReference r:id="rId450" w:type="default"/>
          <w:pgSz w:w="11907" w:h="16839"/>
          <w:pgMar w:top="1156" w:right="1610" w:bottom="1374" w:left="1770" w:header="881" w:footer="1210" w:gutter="0"/>
        </w:sectPr>
      </w:pPr>
    </w:p>
    <w:p>
      <w:pPr>
        <w:spacing w:before="318" w:line="220" w:lineRule="auto"/>
        <w:ind w:left="39"/>
        <w:rPr>
          <w:rFonts w:ascii="宋体" w:hAnsi="宋体" w:eastAsia="宋体" w:cs="宋体"/>
          <w:sz w:val="24"/>
          <w:szCs w:val="24"/>
        </w:rPr>
      </w:pPr>
      <w:r>
        <w:rPr>
          <w:rFonts w:ascii="宋体" w:hAnsi="宋体" w:eastAsia="宋体" w:cs="宋体"/>
          <w:spacing w:val="-1"/>
          <w:sz w:val="24"/>
          <w:szCs w:val="24"/>
        </w:rPr>
        <w:t>减少大气污染物产生量。</w:t>
      </w:r>
    </w:p>
    <w:p>
      <w:pPr>
        <w:spacing w:before="181" w:line="219"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）混凝土拌合站堆放物料应采取遮盖防尘措施。</w:t>
      </w:r>
    </w:p>
    <w:p>
      <w:pPr>
        <w:spacing w:before="182" w:line="219"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）砂石料加工场地采取洒水降尘、砂石料加工区封闭围挡措施。</w:t>
      </w:r>
    </w:p>
    <w:p>
      <w:pPr>
        <w:spacing w:before="182" w:line="467" w:lineRule="exact"/>
        <w:ind w:right="33"/>
        <w:jc w:val="right"/>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4</w:t>
      </w:r>
      <w:r>
        <w:rPr>
          <w:rFonts w:ascii="宋体" w:hAnsi="宋体" w:eastAsia="宋体" w:cs="宋体"/>
          <w:position w:val="17"/>
          <w:sz w:val="24"/>
          <w:szCs w:val="24"/>
        </w:rPr>
        <w:t>）水泥等易产生粉尘材料的运输车辆采用封闭运输，避免在运输过程中</w:t>
      </w:r>
    </w:p>
    <w:p>
      <w:pPr>
        <w:spacing w:line="219" w:lineRule="auto"/>
        <w:ind w:left="59"/>
        <w:rPr>
          <w:rFonts w:ascii="宋体" w:hAnsi="宋体" w:eastAsia="宋体" w:cs="宋体"/>
          <w:sz w:val="24"/>
          <w:szCs w:val="24"/>
        </w:rPr>
      </w:pPr>
      <w:r>
        <w:rPr>
          <w:rFonts w:ascii="宋体" w:hAnsi="宋体" w:eastAsia="宋体" w:cs="宋体"/>
          <w:spacing w:val="-6"/>
          <w:sz w:val="24"/>
          <w:szCs w:val="24"/>
        </w:rPr>
        <w:t>的产生粉尘污染。</w:t>
      </w:r>
    </w:p>
    <w:p>
      <w:pPr>
        <w:spacing w:before="181" w:line="467" w:lineRule="exact"/>
        <w:ind w:left="525"/>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5</w:t>
      </w:r>
      <w:r>
        <w:rPr>
          <w:rFonts w:ascii="宋体" w:hAnsi="宋体" w:eastAsia="宋体" w:cs="宋体"/>
          <w:spacing w:val="-8"/>
          <w:position w:val="17"/>
          <w:sz w:val="24"/>
          <w:szCs w:val="24"/>
        </w:rPr>
        <w:t>）砂石料、风化料及土料容易起尘的建筑材料不在项目区内长</w:t>
      </w:r>
      <w:r>
        <w:rPr>
          <w:rFonts w:ascii="宋体" w:hAnsi="宋体" w:eastAsia="宋体" w:cs="宋体"/>
          <w:spacing w:val="-9"/>
          <w:position w:val="17"/>
          <w:sz w:val="24"/>
          <w:szCs w:val="24"/>
        </w:rPr>
        <w:t>时间堆放，</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用多少，拉多少，临时堆存时采用土工布遮盖。</w:t>
      </w:r>
    </w:p>
    <w:p>
      <w:pPr>
        <w:spacing w:before="182"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6</w:t>
      </w:r>
      <w:r>
        <w:rPr>
          <w:rFonts w:ascii="宋体" w:hAnsi="宋体" w:eastAsia="宋体" w:cs="宋体"/>
          <w:spacing w:val="-5"/>
          <w:sz w:val="24"/>
          <w:szCs w:val="24"/>
        </w:rPr>
        <w:t>）运输车辆限速。</w:t>
      </w:r>
    </w:p>
    <w:p>
      <w:pPr>
        <w:spacing w:line="388" w:lineRule="auto"/>
        <w:rPr>
          <w:rFonts w:ascii="Arial"/>
          <w:sz w:val="21"/>
        </w:rPr>
      </w:pPr>
    </w:p>
    <w:p>
      <w:pPr>
        <w:pStyle w:val="2"/>
        <w:spacing w:before="89" w:line="225" w:lineRule="auto"/>
        <w:ind w:left="40"/>
        <w:outlineLvl w:val="3"/>
        <w:rPr>
          <w:sz w:val="27"/>
          <w:szCs w:val="27"/>
        </w:rPr>
      </w:pPr>
      <w:bookmarkStart w:id="42" w:name="bookmark43"/>
      <w:bookmarkEnd w:id="42"/>
      <w:r>
        <w:rPr>
          <w:rFonts w:ascii="Times New Roman" w:hAnsi="Times New Roman" w:eastAsia="Times New Roman" w:cs="Times New Roman"/>
          <w:b/>
          <w:bCs/>
          <w:spacing w:val="7"/>
          <w:sz w:val="27"/>
          <w:szCs w:val="27"/>
        </w:rPr>
        <w:t xml:space="preserve">6.4 </w:t>
      </w:r>
      <w:r>
        <w:rPr>
          <w:spacing w:val="7"/>
          <w:sz w:val="27"/>
          <w:szCs w:val="27"/>
          <w14:textOutline w14:w="5072" w14:cap="flat" w14:cmpd="sng">
            <w14:solidFill>
              <w14:srgbClr w14:val="000000"/>
            </w14:solidFill>
            <w14:prstDash w14:val="solid"/>
            <w14:miter w14:val="0"/>
          </w14:textOutline>
        </w:rPr>
        <w:t>声环境保护措施</w:t>
      </w:r>
    </w:p>
    <w:p>
      <w:pPr>
        <w:spacing w:before="206" w:line="466" w:lineRule="exact"/>
        <w:ind w:right="32"/>
        <w:jc w:val="right"/>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1</w:t>
      </w:r>
      <w:r>
        <w:rPr>
          <w:rFonts w:ascii="宋体" w:hAnsi="宋体" w:eastAsia="宋体" w:cs="宋体"/>
          <w:position w:val="17"/>
          <w:sz w:val="24"/>
          <w:szCs w:val="24"/>
        </w:rPr>
        <w:t>）选用低噪声机械设备，同时加强施工设备的维护和保养，对振动大的</w:t>
      </w:r>
    </w:p>
    <w:p>
      <w:pPr>
        <w:spacing w:before="1" w:line="218" w:lineRule="auto"/>
        <w:ind w:left="38"/>
        <w:rPr>
          <w:rFonts w:ascii="宋体" w:hAnsi="宋体" w:eastAsia="宋体" w:cs="宋体"/>
          <w:sz w:val="24"/>
          <w:szCs w:val="24"/>
        </w:rPr>
      </w:pPr>
      <w:r>
        <w:rPr>
          <w:rFonts w:ascii="宋体" w:hAnsi="宋体" w:eastAsia="宋体" w:cs="宋体"/>
          <w:spacing w:val="-1"/>
          <w:sz w:val="24"/>
          <w:szCs w:val="24"/>
        </w:rPr>
        <w:t>机械设备使用减振基座或减振垫，从根本上降低噪声源强。</w:t>
      </w:r>
    </w:p>
    <w:p>
      <w:pPr>
        <w:spacing w:before="183" w:line="467" w:lineRule="exact"/>
        <w:ind w:right="34"/>
        <w:jc w:val="right"/>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2</w:t>
      </w:r>
      <w:r>
        <w:rPr>
          <w:rFonts w:ascii="宋体" w:hAnsi="宋体" w:eastAsia="宋体" w:cs="宋体"/>
          <w:position w:val="17"/>
          <w:sz w:val="24"/>
          <w:szCs w:val="24"/>
        </w:rPr>
        <w:t>）合理安排施工时间表，禁止夜间进行作业，若需要在夜间进行抢险工</w:t>
      </w:r>
    </w:p>
    <w:p>
      <w:pPr>
        <w:spacing w:line="218" w:lineRule="auto"/>
        <w:ind w:left="40"/>
        <w:rPr>
          <w:rFonts w:ascii="宋体" w:hAnsi="宋体" w:eastAsia="宋体" w:cs="宋体"/>
          <w:sz w:val="24"/>
          <w:szCs w:val="24"/>
        </w:rPr>
      </w:pPr>
      <w:r>
        <w:rPr>
          <w:rFonts w:ascii="宋体" w:hAnsi="宋体" w:eastAsia="宋体" w:cs="宋体"/>
          <w:spacing w:val="-2"/>
          <w:sz w:val="24"/>
          <w:szCs w:val="24"/>
        </w:rPr>
        <w:t>作日时应提前向管理部门进行申报，并告知周围居民。</w:t>
      </w:r>
    </w:p>
    <w:p>
      <w:pPr>
        <w:spacing w:before="18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）运输车辆限速，禁止长时间鸣笛</w:t>
      </w:r>
    </w:p>
    <w:p>
      <w:pPr>
        <w:spacing w:before="182" w:line="359" w:lineRule="auto"/>
        <w:ind w:left="42" w:right="30" w:firstLine="483"/>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4</w:t>
      </w:r>
      <w:r>
        <w:rPr>
          <w:rFonts w:ascii="宋体" w:hAnsi="宋体" w:eastAsia="宋体" w:cs="宋体"/>
          <w:spacing w:val="-8"/>
          <w:sz w:val="24"/>
          <w:szCs w:val="24"/>
        </w:rPr>
        <w:t>）合理安排施工时间，避免夜间爆破，通过控制一次起爆的总导爆索量、</w:t>
      </w:r>
      <w:r>
        <w:rPr>
          <w:rFonts w:ascii="宋体" w:hAnsi="宋体" w:eastAsia="宋体" w:cs="宋体"/>
          <w:spacing w:val="8"/>
          <w:sz w:val="24"/>
          <w:szCs w:val="24"/>
        </w:rPr>
        <w:t xml:space="preserve"> </w:t>
      </w:r>
      <w:r>
        <w:rPr>
          <w:rFonts w:ascii="宋体" w:hAnsi="宋体" w:eastAsia="宋体" w:cs="宋体"/>
          <w:spacing w:val="-9"/>
          <w:sz w:val="24"/>
          <w:szCs w:val="24"/>
        </w:rPr>
        <w:t>总炸药量和起爆方式降低振动及噪声， 控制爆破抛</w:t>
      </w:r>
      <w:r>
        <w:rPr>
          <w:rFonts w:ascii="宋体" w:hAnsi="宋体" w:eastAsia="宋体" w:cs="宋体"/>
          <w:spacing w:val="-10"/>
          <w:sz w:val="24"/>
          <w:szCs w:val="24"/>
        </w:rPr>
        <w:t>头方向， 避免正面爆破噪声指</w:t>
      </w:r>
    </w:p>
    <w:p>
      <w:pPr>
        <w:spacing w:before="1" w:line="219" w:lineRule="auto"/>
        <w:ind w:left="63"/>
        <w:rPr>
          <w:rFonts w:ascii="宋体" w:hAnsi="宋体" w:eastAsia="宋体" w:cs="宋体"/>
          <w:sz w:val="24"/>
          <w:szCs w:val="24"/>
        </w:rPr>
      </w:pPr>
      <w:r>
        <w:rPr>
          <w:rFonts w:ascii="宋体" w:hAnsi="宋体" w:eastAsia="宋体" w:cs="宋体"/>
          <w:spacing w:val="-11"/>
          <w:sz w:val="24"/>
          <w:szCs w:val="24"/>
        </w:rPr>
        <w:t>向敏感点。</w:t>
      </w:r>
    </w:p>
    <w:p>
      <w:pPr>
        <w:spacing w:before="181" w:line="467" w:lineRule="exact"/>
        <w:ind w:right="31"/>
        <w:jc w:val="right"/>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5</w:t>
      </w:r>
      <w:r>
        <w:rPr>
          <w:rFonts w:ascii="宋体" w:hAnsi="宋体" w:eastAsia="宋体" w:cs="宋体"/>
          <w:spacing w:val="-3"/>
          <w:position w:val="17"/>
          <w:sz w:val="24"/>
          <w:szCs w:val="24"/>
        </w:rPr>
        <w:t>）物资材料运输、渣场运输避免夜间运输， 减少</w:t>
      </w:r>
      <w:r>
        <w:rPr>
          <w:rFonts w:ascii="宋体" w:hAnsi="宋体" w:eastAsia="宋体" w:cs="宋体"/>
          <w:spacing w:val="-4"/>
          <w:position w:val="17"/>
          <w:sz w:val="24"/>
          <w:szCs w:val="24"/>
        </w:rPr>
        <w:t>对运输沿线村庄的影响</w:t>
      </w:r>
    </w:p>
    <w:p>
      <w:pPr>
        <w:spacing w:before="1" w:line="218" w:lineRule="auto"/>
        <w:ind w:left="50"/>
        <w:rPr>
          <w:rFonts w:ascii="宋体" w:hAnsi="宋体" w:eastAsia="宋体" w:cs="宋体"/>
          <w:sz w:val="24"/>
          <w:szCs w:val="24"/>
        </w:rPr>
      </w:pPr>
      <w:r>
        <w:rPr>
          <w:rFonts w:ascii="宋体" w:hAnsi="宋体" w:eastAsia="宋体" w:cs="宋体"/>
          <w:spacing w:val="-6"/>
          <w:sz w:val="24"/>
          <w:szCs w:val="24"/>
        </w:rPr>
        <w:t>时间。 物资材料运输尽量安排在白天进行，减少夜间运输。</w:t>
      </w:r>
    </w:p>
    <w:p>
      <w:pPr>
        <w:spacing w:before="182" w:line="220" w:lineRule="auto"/>
        <w:ind w:left="525"/>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6</w:t>
      </w:r>
      <w:r>
        <w:rPr>
          <w:rFonts w:ascii="宋体" w:hAnsi="宋体" w:eastAsia="宋体" w:cs="宋体"/>
          <w:spacing w:val="-8"/>
          <w:sz w:val="24"/>
          <w:szCs w:val="24"/>
        </w:rPr>
        <w:t>）施工场地设置围挡，</w:t>
      </w:r>
      <w:r>
        <w:rPr>
          <w:rFonts w:ascii="宋体" w:hAnsi="宋体" w:eastAsia="宋体" w:cs="宋体"/>
          <w:spacing w:val="63"/>
          <w:sz w:val="24"/>
          <w:szCs w:val="24"/>
        </w:rPr>
        <w:t xml:space="preserve"> </w:t>
      </w:r>
      <w:r>
        <w:rPr>
          <w:rFonts w:ascii="宋体" w:hAnsi="宋体" w:eastAsia="宋体" w:cs="宋体"/>
          <w:spacing w:val="-8"/>
          <w:sz w:val="24"/>
          <w:szCs w:val="24"/>
        </w:rPr>
        <w:t>砂石料加工区封闭厂房隔声。</w:t>
      </w:r>
    </w:p>
    <w:p>
      <w:pPr>
        <w:spacing w:line="387" w:lineRule="auto"/>
        <w:rPr>
          <w:rFonts w:ascii="Arial"/>
          <w:sz w:val="21"/>
        </w:rPr>
      </w:pPr>
    </w:p>
    <w:p>
      <w:pPr>
        <w:pStyle w:val="2"/>
        <w:spacing w:before="89" w:line="225" w:lineRule="auto"/>
        <w:ind w:left="40"/>
        <w:outlineLvl w:val="3"/>
        <w:rPr>
          <w:sz w:val="27"/>
          <w:szCs w:val="27"/>
        </w:rPr>
      </w:pPr>
      <w:bookmarkStart w:id="43" w:name="bookmark44"/>
      <w:bookmarkEnd w:id="43"/>
      <w:r>
        <w:rPr>
          <w:rFonts w:ascii="Times New Roman" w:hAnsi="Times New Roman" w:eastAsia="Times New Roman" w:cs="Times New Roman"/>
          <w:b/>
          <w:bCs/>
          <w:spacing w:val="6"/>
          <w:sz w:val="27"/>
          <w:szCs w:val="27"/>
        </w:rPr>
        <w:t>6.5</w:t>
      </w:r>
      <w:r>
        <w:rPr>
          <w:rFonts w:ascii="Times New Roman" w:hAnsi="Times New Roman" w:eastAsia="Times New Roman" w:cs="Times New Roman"/>
          <w:b/>
          <w:bCs/>
          <w:spacing w:val="34"/>
          <w:w w:val="101"/>
          <w:sz w:val="27"/>
          <w:szCs w:val="27"/>
        </w:rPr>
        <w:t xml:space="preserve"> </w:t>
      </w:r>
      <w:r>
        <w:rPr>
          <w:spacing w:val="6"/>
          <w:sz w:val="27"/>
          <w:szCs w:val="27"/>
          <w14:textOutline w14:w="5072" w14:cap="flat" w14:cmpd="sng">
            <w14:solidFill>
              <w14:srgbClr w14:val="000000"/>
            </w14:solidFill>
            <w14:prstDash w14:val="solid"/>
            <w14:miter w14:val="0"/>
          </w14:textOutline>
        </w:rPr>
        <w:t>固体废物污染防治措施</w:t>
      </w:r>
    </w:p>
    <w:p>
      <w:pPr>
        <w:spacing w:line="300" w:lineRule="auto"/>
        <w:rPr>
          <w:rFonts w:ascii="Arial"/>
          <w:sz w:val="21"/>
        </w:rPr>
      </w:pPr>
    </w:p>
    <w:p>
      <w:pPr>
        <w:pStyle w:val="2"/>
        <w:spacing w:before="79" w:line="235" w:lineRule="auto"/>
        <w:ind w:left="38"/>
        <w:outlineLvl w:val="3"/>
        <w:rPr>
          <w:sz w:val="24"/>
          <w:szCs w:val="24"/>
        </w:rPr>
      </w:pPr>
      <w:r>
        <w:rPr>
          <w:rFonts w:ascii="Times New Roman" w:hAnsi="Times New Roman" w:eastAsia="Times New Roman" w:cs="Times New Roman"/>
          <w:b/>
          <w:bCs/>
          <w:spacing w:val="-1"/>
          <w:sz w:val="24"/>
          <w:szCs w:val="24"/>
        </w:rPr>
        <w:t xml:space="preserve">6.5.1 </w:t>
      </w:r>
      <w:r>
        <w:rPr>
          <w:spacing w:val="-1"/>
          <w:sz w:val="24"/>
          <w:szCs w:val="24"/>
          <w14:textOutline w14:w="4354" w14:cap="flat" w14:cmpd="sng">
            <w14:solidFill>
              <w14:srgbClr w14:val="000000"/>
            </w14:solidFill>
            <w14:prstDash w14:val="solid"/>
            <w14:miter w14:val="0"/>
          </w14:textOutline>
        </w:rPr>
        <w:t>施工期</w:t>
      </w:r>
    </w:p>
    <w:p>
      <w:pPr>
        <w:spacing w:before="196" w:line="467" w:lineRule="exact"/>
        <w:ind w:left="525"/>
        <w:rPr>
          <w:rFonts w:ascii="宋体" w:hAnsi="宋体" w:eastAsia="宋体" w:cs="宋体"/>
          <w:sz w:val="24"/>
          <w:szCs w:val="24"/>
        </w:rPr>
      </w:pPr>
      <w:r>
        <w:rPr>
          <w:rFonts w:ascii="宋体" w:hAnsi="宋体" w:eastAsia="宋体" w:cs="宋体"/>
          <w:spacing w:val="-8"/>
          <w:position w:val="17"/>
          <w:sz w:val="24"/>
          <w:szCs w:val="24"/>
        </w:rPr>
        <w:t>（</w:t>
      </w:r>
      <w:r>
        <w:rPr>
          <w:rFonts w:ascii="Times New Roman" w:hAnsi="Times New Roman" w:eastAsia="Times New Roman" w:cs="Times New Roman"/>
          <w:spacing w:val="-8"/>
          <w:position w:val="17"/>
          <w:sz w:val="24"/>
          <w:szCs w:val="24"/>
        </w:rPr>
        <w:t>1</w:t>
      </w:r>
      <w:r>
        <w:rPr>
          <w:rFonts w:ascii="宋体" w:hAnsi="宋体" w:eastAsia="宋体" w:cs="宋体"/>
          <w:spacing w:val="-8"/>
          <w:position w:val="17"/>
          <w:sz w:val="24"/>
          <w:szCs w:val="24"/>
        </w:rPr>
        <w:t>）项目弃渣运至规划弃渣场堆存。工程水土保持措施将与工程同步</w:t>
      </w:r>
      <w:r>
        <w:rPr>
          <w:rFonts w:ascii="宋体" w:hAnsi="宋体" w:eastAsia="宋体" w:cs="宋体"/>
          <w:spacing w:val="-9"/>
          <w:position w:val="17"/>
          <w:sz w:val="24"/>
          <w:szCs w:val="24"/>
        </w:rPr>
        <w:t>实施，</w:t>
      </w:r>
    </w:p>
    <w:p>
      <w:pPr>
        <w:spacing w:before="1" w:line="219" w:lineRule="auto"/>
        <w:ind w:left="38"/>
        <w:rPr>
          <w:rFonts w:ascii="宋体" w:hAnsi="宋体" w:eastAsia="宋体" w:cs="宋体"/>
          <w:sz w:val="24"/>
          <w:szCs w:val="24"/>
        </w:rPr>
      </w:pPr>
      <w:r>
        <w:rPr>
          <w:rFonts w:ascii="宋体" w:hAnsi="宋体" w:eastAsia="宋体" w:cs="宋体"/>
          <w:spacing w:val="-1"/>
          <w:sz w:val="24"/>
          <w:szCs w:val="24"/>
        </w:rPr>
        <w:t>在做好渣场的护坡挡墙、排水。</w:t>
      </w:r>
    </w:p>
    <w:p>
      <w:pPr>
        <w:spacing w:before="181" w:line="467" w:lineRule="exact"/>
        <w:ind w:right="31"/>
        <w:jc w:val="right"/>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2</w:t>
      </w:r>
      <w:r>
        <w:rPr>
          <w:rFonts w:ascii="宋体" w:hAnsi="宋体" w:eastAsia="宋体" w:cs="宋体"/>
          <w:position w:val="17"/>
          <w:sz w:val="24"/>
          <w:szCs w:val="24"/>
        </w:rPr>
        <w:t>）开挖的表土暂存于规划的表土场内，采取土工布遮盖，设置编织土袋</w:t>
      </w:r>
    </w:p>
    <w:p>
      <w:pPr>
        <w:spacing w:before="1" w:line="219" w:lineRule="auto"/>
        <w:ind w:left="39"/>
        <w:rPr>
          <w:rFonts w:ascii="宋体" w:hAnsi="宋体" w:eastAsia="宋体" w:cs="宋体"/>
          <w:sz w:val="24"/>
          <w:szCs w:val="24"/>
        </w:rPr>
      </w:pPr>
      <w:r>
        <w:rPr>
          <w:rFonts w:ascii="宋体" w:hAnsi="宋体" w:eastAsia="宋体" w:cs="宋体"/>
          <w:spacing w:val="-3"/>
          <w:sz w:val="24"/>
          <w:szCs w:val="24"/>
        </w:rPr>
        <w:t>挡护，在施工结束后对占地恢复。</w:t>
      </w:r>
    </w:p>
    <w:p>
      <w:pPr>
        <w:spacing w:before="181"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）建筑材料、废弃土石方、生活垃圾禁止随意丢弃至河床内。</w:t>
      </w:r>
    </w:p>
    <w:p>
      <w:pPr>
        <w:spacing w:before="183" w:line="220" w:lineRule="auto"/>
        <w:ind w:right="30"/>
        <w:jc w:val="right"/>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4</w:t>
      </w:r>
      <w:r>
        <w:rPr>
          <w:rFonts w:ascii="宋体" w:hAnsi="宋体" w:eastAsia="宋体" w:cs="宋体"/>
          <w:sz w:val="24"/>
          <w:szCs w:val="24"/>
        </w:rPr>
        <w:t>）项目施工期应在施工生产生活区设置垃圾桶，统一收集后，与桂花镇</w:t>
      </w:r>
    </w:p>
    <w:p>
      <w:pPr>
        <w:spacing w:line="220" w:lineRule="auto"/>
        <w:rPr>
          <w:rFonts w:ascii="宋体" w:hAnsi="宋体" w:eastAsia="宋体" w:cs="宋体"/>
          <w:sz w:val="24"/>
          <w:szCs w:val="24"/>
        </w:rPr>
        <w:sectPr>
          <w:headerReference r:id="rId451" w:type="default"/>
          <w:footerReference r:id="rId452" w:type="default"/>
          <w:pgSz w:w="11907" w:h="16839"/>
          <w:pgMar w:top="1156" w:right="1768" w:bottom="1374" w:left="1770" w:header="881" w:footer="1210" w:gutter="0"/>
        </w:sectPr>
      </w:pPr>
    </w:p>
    <w:p>
      <w:pPr>
        <w:spacing w:before="318" w:line="220" w:lineRule="auto"/>
        <w:ind w:left="41"/>
        <w:rPr>
          <w:rFonts w:ascii="宋体" w:hAnsi="宋体" w:eastAsia="宋体" w:cs="宋体"/>
          <w:sz w:val="24"/>
          <w:szCs w:val="24"/>
        </w:rPr>
      </w:pPr>
      <w:r>
        <w:rPr>
          <w:rFonts w:ascii="宋体" w:hAnsi="宋体" w:eastAsia="宋体" w:cs="宋体"/>
          <w:spacing w:val="-2"/>
          <w:sz w:val="24"/>
          <w:szCs w:val="24"/>
        </w:rPr>
        <w:t>生活垃圾一并处置。</w:t>
      </w:r>
    </w:p>
    <w:p>
      <w:pPr>
        <w:spacing w:before="180"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5</w:t>
      </w:r>
      <w:r>
        <w:rPr>
          <w:rFonts w:ascii="宋体" w:hAnsi="宋体" w:eastAsia="宋体" w:cs="宋体"/>
          <w:spacing w:val="-1"/>
          <w:sz w:val="24"/>
          <w:szCs w:val="24"/>
        </w:rPr>
        <w:t>）建筑垃圾尽量再利用，不能利用建筑垃圾运至弃渣场堆放。</w:t>
      </w:r>
    </w:p>
    <w:p>
      <w:pPr>
        <w:spacing w:line="431" w:lineRule="auto"/>
        <w:rPr>
          <w:rFonts w:ascii="Arial"/>
          <w:sz w:val="21"/>
        </w:rPr>
      </w:pPr>
    </w:p>
    <w:p>
      <w:pPr>
        <w:pStyle w:val="2"/>
        <w:spacing w:before="78" w:line="234" w:lineRule="auto"/>
        <w:ind w:left="38"/>
        <w:outlineLvl w:val="3"/>
        <w:rPr>
          <w:sz w:val="24"/>
          <w:szCs w:val="24"/>
        </w:rPr>
      </w:pPr>
      <w:r>
        <w:rPr>
          <w:rFonts w:ascii="Times New Roman" w:hAnsi="Times New Roman" w:eastAsia="Times New Roman" w:cs="Times New Roman"/>
          <w:b/>
          <w:bCs/>
          <w:spacing w:val="-2"/>
          <w:sz w:val="24"/>
          <w:szCs w:val="24"/>
        </w:rPr>
        <w:t>6.5.2</w:t>
      </w:r>
      <w:r>
        <w:rPr>
          <w:rFonts w:ascii="Times New Roman" w:hAnsi="Times New Roman" w:eastAsia="Times New Roman" w:cs="Times New Roman"/>
          <w:b/>
          <w:bCs/>
          <w:spacing w:val="12"/>
          <w:sz w:val="24"/>
          <w:szCs w:val="24"/>
        </w:rPr>
        <w:t xml:space="preserve"> </w:t>
      </w:r>
      <w:r>
        <w:rPr>
          <w:spacing w:val="-2"/>
          <w:sz w:val="24"/>
          <w:szCs w:val="24"/>
          <w14:textOutline w14:w="4354" w14:cap="flat" w14:cmpd="sng">
            <w14:solidFill>
              <w14:srgbClr w14:val="000000"/>
            </w14:solidFill>
            <w14:prstDash w14:val="solid"/>
            <w14:miter w14:val="0"/>
          </w14:textOutline>
        </w:rPr>
        <w:t>运营期</w:t>
      </w:r>
    </w:p>
    <w:p>
      <w:pPr>
        <w:spacing w:before="197" w:line="468" w:lineRule="exact"/>
        <w:ind w:left="522"/>
        <w:rPr>
          <w:rFonts w:ascii="宋体" w:hAnsi="宋体" w:eastAsia="宋体" w:cs="宋体"/>
          <w:sz w:val="24"/>
          <w:szCs w:val="24"/>
        </w:rPr>
      </w:pPr>
      <w:r>
        <w:rPr>
          <w:rFonts w:ascii="宋体" w:hAnsi="宋体" w:eastAsia="宋体" w:cs="宋体"/>
          <w:spacing w:val="-6"/>
          <w:position w:val="17"/>
          <w:sz w:val="24"/>
          <w:szCs w:val="24"/>
        </w:rPr>
        <w:t>工程运行期固体废物主要为水库管理人员产生的生活垃圾，</w:t>
      </w:r>
      <w:r>
        <w:rPr>
          <w:rFonts w:ascii="宋体" w:hAnsi="宋体" w:eastAsia="宋体" w:cs="宋体"/>
          <w:spacing w:val="-29"/>
          <w:position w:val="17"/>
          <w:sz w:val="24"/>
          <w:szCs w:val="24"/>
        </w:rPr>
        <w:t xml:space="preserve"> </w:t>
      </w:r>
      <w:r>
        <w:rPr>
          <w:rFonts w:ascii="宋体" w:hAnsi="宋体" w:eastAsia="宋体" w:cs="宋体"/>
          <w:spacing w:val="-6"/>
          <w:position w:val="17"/>
          <w:sz w:val="24"/>
          <w:szCs w:val="24"/>
        </w:rPr>
        <w:t>在水库管值班室</w:t>
      </w:r>
    </w:p>
    <w:p>
      <w:pPr>
        <w:spacing w:line="219" w:lineRule="auto"/>
        <w:ind w:left="43"/>
        <w:rPr>
          <w:rFonts w:ascii="宋体" w:hAnsi="宋体" w:eastAsia="宋体" w:cs="宋体"/>
          <w:sz w:val="24"/>
          <w:szCs w:val="24"/>
        </w:rPr>
      </w:pPr>
      <w:r>
        <w:rPr>
          <w:rFonts w:ascii="宋体" w:hAnsi="宋体" w:eastAsia="宋体" w:cs="宋体"/>
          <w:spacing w:val="-1"/>
          <w:sz w:val="24"/>
          <w:szCs w:val="24"/>
        </w:rPr>
        <w:t>设置垃圾桶收集后交由当地环卫部门处置。</w:t>
      </w:r>
    </w:p>
    <w:p>
      <w:pPr>
        <w:spacing w:line="386" w:lineRule="auto"/>
        <w:rPr>
          <w:rFonts w:ascii="Arial"/>
          <w:sz w:val="21"/>
        </w:rPr>
      </w:pPr>
    </w:p>
    <w:p>
      <w:pPr>
        <w:pStyle w:val="2"/>
        <w:spacing w:before="89" w:line="225" w:lineRule="auto"/>
        <w:ind w:left="40"/>
        <w:outlineLvl w:val="3"/>
        <w:rPr>
          <w:sz w:val="27"/>
          <w:szCs w:val="27"/>
        </w:rPr>
      </w:pPr>
      <w:bookmarkStart w:id="44" w:name="bookmark45"/>
      <w:bookmarkEnd w:id="44"/>
      <w:r>
        <w:rPr>
          <w:rFonts w:ascii="Times New Roman" w:hAnsi="Times New Roman" w:eastAsia="Times New Roman" w:cs="Times New Roman"/>
          <w:b/>
          <w:bCs/>
          <w:spacing w:val="7"/>
          <w:sz w:val="27"/>
          <w:szCs w:val="27"/>
        </w:rPr>
        <w:t xml:space="preserve">6.6 </w:t>
      </w:r>
      <w:r>
        <w:rPr>
          <w:spacing w:val="7"/>
          <w:sz w:val="27"/>
          <w:szCs w:val="27"/>
          <w14:textOutline w14:w="5072" w14:cap="flat" w14:cmpd="sng">
            <w14:solidFill>
              <w14:srgbClr w14:val="000000"/>
            </w14:solidFill>
            <w14:prstDash w14:val="solid"/>
            <w14:miter w14:val="0"/>
          </w14:textOutline>
        </w:rPr>
        <w:t>环境风险防范措施</w:t>
      </w:r>
    </w:p>
    <w:p>
      <w:pPr>
        <w:spacing w:line="300" w:lineRule="auto"/>
        <w:rPr>
          <w:rFonts w:ascii="Arial"/>
          <w:sz w:val="21"/>
        </w:rPr>
      </w:pPr>
    </w:p>
    <w:p>
      <w:pPr>
        <w:pStyle w:val="2"/>
        <w:spacing w:before="79" w:line="235" w:lineRule="auto"/>
        <w:ind w:left="38"/>
        <w:outlineLvl w:val="3"/>
        <w:rPr>
          <w:sz w:val="24"/>
          <w:szCs w:val="24"/>
        </w:rPr>
      </w:pPr>
      <w:r>
        <w:rPr>
          <w:rFonts w:ascii="Times New Roman" w:hAnsi="Times New Roman" w:eastAsia="Times New Roman" w:cs="Times New Roman"/>
          <w:b/>
          <w:bCs/>
          <w:spacing w:val="-1"/>
          <w:sz w:val="24"/>
          <w:szCs w:val="24"/>
        </w:rPr>
        <w:t xml:space="preserve">6.6.1 </w:t>
      </w:r>
      <w:r>
        <w:rPr>
          <w:spacing w:val="-1"/>
          <w:sz w:val="24"/>
          <w:szCs w:val="24"/>
          <w14:textOutline w14:w="4354" w14:cap="flat" w14:cmpd="sng">
            <w14:solidFill>
              <w14:srgbClr w14:val="000000"/>
            </w14:solidFill>
            <w14:prstDash w14:val="solid"/>
            <w14:miter w14:val="0"/>
          </w14:textOutline>
        </w:rPr>
        <w:t>施工期</w:t>
      </w:r>
    </w:p>
    <w:p>
      <w:pPr>
        <w:spacing w:before="197"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）风险防范措施</w:t>
      </w:r>
    </w:p>
    <w:p>
      <w:pPr>
        <w:spacing w:before="180" w:line="467" w:lineRule="exact"/>
        <w:ind w:left="518"/>
        <w:rPr>
          <w:rFonts w:ascii="宋体" w:hAnsi="宋体" w:eastAsia="宋体" w:cs="宋体"/>
          <w:sz w:val="24"/>
          <w:szCs w:val="24"/>
        </w:rPr>
      </w:pPr>
      <w:r>
        <w:rPr>
          <w:rFonts w:ascii="宋体" w:hAnsi="宋体" w:eastAsia="宋体" w:cs="宋体"/>
          <w:spacing w:val="-1"/>
          <w:position w:val="17"/>
          <w:sz w:val="24"/>
          <w:szCs w:val="24"/>
        </w:rPr>
        <w:t>①油罐均设有高液位报警系统，实时监控罐内液位</w:t>
      </w:r>
      <w:r>
        <w:rPr>
          <w:rFonts w:ascii="宋体" w:hAnsi="宋体" w:eastAsia="宋体" w:cs="宋体"/>
          <w:spacing w:val="-2"/>
          <w:position w:val="17"/>
          <w:sz w:val="24"/>
          <w:szCs w:val="24"/>
        </w:rPr>
        <w:t>高度，避免油品溢流。</w:t>
      </w:r>
    </w:p>
    <w:p>
      <w:pPr>
        <w:spacing w:line="217" w:lineRule="auto"/>
        <w:ind w:left="517"/>
        <w:rPr>
          <w:rFonts w:ascii="宋体" w:hAnsi="宋体" w:eastAsia="宋体" w:cs="宋体"/>
          <w:sz w:val="24"/>
          <w:szCs w:val="24"/>
        </w:rPr>
      </w:pPr>
      <w:r>
        <w:rPr>
          <w:rFonts w:ascii="宋体" w:hAnsi="宋体" w:eastAsia="宋体" w:cs="宋体"/>
          <w:spacing w:val="-2"/>
          <w:sz w:val="24"/>
          <w:szCs w:val="24"/>
        </w:rPr>
        <w:t>②场地设火灾自动监控预警系统，出现明火即可启动报警警报。</w:t>
      </w:r>
    </w:p>
    <w:p>
      <w:pPr>
        <w:spacing w:before="185" w:line="217" w:lineRule="auto"/>
        <w:ind w:left="517"/>
        <w:rPr>
          <w:rFonts w:ascii="宋体" w:hAnsi="宋体" w:eastAsia="宋体" w:cs="宋体"/>
          <w:sz w:val="24"/>
          <w:szCs w:val="24"/>
        </w:rPr>
      </w:pPr>
      <w:r>
        <w:rPr>
          <w:rFonts w:ascii="宋体" w:hAnsi="宋体" w:eastAsia="宋体" w:cs="宋体"/>
          <w:spacing w:val="-1"/>
          <w:sz w:val="24"/>
          <w:szCs w:val="24"/>
        </w:rPr>
        <w:t>③采用双层油罐并配备测漏仪。</w:t>
      </w:r>
    </w:p>
    <w:p>
      <w:pPr>
        <w:spacing w:before="186" w:line="217" w:lineRule="auto"/>
        <w:ind w:left="517"/>
        <w:rPr>
          <w:rFonts w:ascii="宋体" w:hAnsi="宋体" w:eastAsia="宋体" w:cs="宋体"/>
          <w:sz w:val="24"/>
          <w:szCs w:val="24"/>
        </w:rPr>
      </w:pPr>
      <w:r>
        <w:rPr>
          <w:rFonts w:ascii="宋体" w:hAnsi="宋体" w:eastAsia="宋体" w:cs="宋体"/>
          <w:spacing w:val="-2"/>
          <w:sz w:val="24"/>
          <w:szCs w:val="24"/>
        </w:rPr>
        <w:t>④油罐进行防雷、防静电设置。</w:t>
      </w:r>
    </w:p>
    <w:p>
      <w:pPr>
        <w:spacing w:before="185" w:line="217" w:lineRule="auto"/>
        <w:ind w:left="517"/>
        <w:rPr>
          <w:rFonts w:ascii="宋体" w:hAnsi="宋体" w:eastAsia="宋体" w:cs="宋体"/>
          <w:sz w:val="24"/>
          <w:szCs w:val="24"/>
        </w:rPr>
      </w:pPr>
      <w:r>
        <w:rPr>
          <w:rFonts w:ascii="宋体" w:hAnsi="宋体" w:eastAsia="宋体" w:cs="宋体"/>
          <w:spacing w:val="-1"/>
          <w:sz w:val="24"/>
          <w:szCs w:val="24"/>
        </w:rPr>
        <w:t>④配备足够的消防器材，如灭火器、灭火毯、消防砂等</w:t>
      </w:r>
    </w:p>
    <w:p>
      <w:pPr>
        <w:spacing w:before="185" w:line="217" w:lineRule="auto"/>
        <w:ind w:left="517"/>
        <w:rPr>
          <w:rFonts w:ascii="宋体" w:hAnsi="宋体" w:eastAsia="宋体" w:cs="宋体"/>
          <w:sz w:val="24"/>
          <w:szCs w:val="24"/>
        </w:rPr>
      </w:pPr>
      <w:r>
        <w:rPr>
          <w:rFonts w:ascii="宋体" w:hAnsi="宋体" w:eastAsia="宋体" w:cs="宋体"/>
          <w:spacing w:val="-6"/>
          <w:sz w:val="24"/>
          <w:szCs w:val="24"/>
        </w:rPr>
        <w:t>⑤专业单位和专业人员负责修理加油机和电气设备，</w:t>
      </w:r>
      <w:r>
        <w:rPr>
          <w:rFonts w:ascii="宋体" w:hAnsi="宋体" w:eastAsia="宋体" w:cs="宋体"/>
          <w:spacing w:val="-23"/>
          <w:sz w:val="24"/>
          <w:szCs w:val="24"/>
        </w:rPr>
        <w:t xml:space="preserve"> </w:t>
      </w:r>
      <w:r>
        <w:rPr>
          <w:rFonts w:ascii="宋体" w:hAnsi="宋体" w:eastAsia="宋体" w:cs="宋体"/>
          <w:spacing w:val="-6"/>
          <w:sz w:val="24"/>
          <w:szCs w:val="24"/>
        </w:rPr>
        <w:t>并要求其严格按规定操</w:t>
      </w:r>
    </w:p>
    <w:p>
      <w:pPr>
        <w:spacing w:before="184" w:line="220" w:lineRule="auto"/>
        <w:ind w:left="40"/>
        <w:rPr>
          <w:rFonts w:ascii="宋体" w:hAnsi="宋体" w:eastAsia="宋体" w:cs="宋体"/>
          <w:sz w:val="24"/>
          <w:szCs w:val="24"/>
        </w:rPr>
      </w:pPr>
      <w:r>
        <w:rPr>
          <w:rFonts w:ascii="宋体" w:hAnsi="宋体" w:eastAsia="宋体" w:cs="宋体"/>
          <w:spacing w:val="-12"/>
          <w:sz w:val="24"/>
          <w:szCs w:val="24"/>
        </w:rPr>
        <w:t>作。</w:t>
      </w:r>
    </w:p>
    <w:p>
      <w:pPr>
        <w:spacing w:before="181" w:line="466" w:lineRule="exact"/>
        <w:ind w:left="517"/>
        <w:rPr>
          <w:rFonts w:ascii="宋体" w:hAnsi="宋体" w:eastAsia="宋体" w:cs="宋体"/>
          <w:sz w:val="24"/>
          <w:szCs w:val="24"/>
        </w:rPr>
      </w:pPr>
      <w:r>
        <w:rPr>
          <w:rFonts w:ascii="宋体" w:hAnsi="宋体" w:eastAsia="宋体" w:cs="宋体"/>
          <w:spacing w:val="-2"/>
          <w:position w:val="17"/>
          <w:sz w:val="24"/>
          <w:szCs w:val="24"/>
        </w:rPr>
        <w:t>⑥油库设禁止吸烟、禁止火种等标识牌。</w:t>
      </w:r>
    </w:p>
    <w:p>
      <w:pPr>
        <w:spacing w:before="1"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）事故应急处置措施</w:t>
      </w:r>
    </w:p>
    <w:p>
      <w:pPr>
        <w:spacing w:before="181" w:line="217" w:lineRule="auto"/>
        <w:ind w:left="518"/>
        <w:rPr>
          <w:rFonts w:ascii="宋体" w:hAnsi="宋体" w:eastAsia="宋体" w:cs="宋体"/>
          <w:sz w:val="24"/>
          <w:szCs w:val="24"/>
        </w:rPr>
      </w:pPr>
      <w:r>
        <w:rPr>
          <w:rFonts w:ascii="宋体" w:hAnsi="宋体" w:eastAsia="宋体" w:cs="宋体"/>
          <w:spacing w:val="-1"/>
          <w:sz w:val="24"/>
          <w:szCs w:val="24"/>
        </w:rPr>
        <w:t>①泄漏事故处置措施</w:t>
      </w:r>
    </w:p>
    <w:p>
      <w:pPr>
        <w:spacing w:before="184" w:line="467" w:lineRule="exact"/>
        <w:ind w:left="518"/>
        <w:rPr>
          <w:rFonts w:ascii="宋体" w:hAnsi="宋体" w:eastAsia="宋体" w:cs="宋体"/>
          <w:sz w:val="24"/>
          <w:szCs w:val="24"/>
        </w:rPr>
      </w:pPr>
      <w:r>
        <w:rPr>
          <w:rFonts w:ascii="Times New Roman" w:hAnsi="Times New Roman" w:eastAsia="Times New Roman" w:cs="Times New Roman"/>
          <w:spacing w:val="-12"/>
          <w:position w:val="16"/>
          <w:sz w:val="24"/>
          <w:szCs w:val="24"/>
        </w:rPr>
        <w:t>a.</w:t>
      </w:r>
      <w:r>
        <w:rPr>
          <w:rFonts w:ascii="宋体" w:hAnsi="宋体" w:eastAsia="宋体" w:cs="宋体"/>
          <w:spacing w:val="-12"/>
          <w:position w:val="16"/>
          <w:sz w:val="24"/>
          <w:szCs w:val="24"/>
        </w:rPr>
        <w:t>发现者马上关闭油罐闸阀和管道阀门，</w:t>
      </w:r>
      <w:r>
        <w:rPr>
          <w:rFonts w:ascii="宋体" w:hAnsi="宋体" w:eastAsia="宋体" w:cs="宋体"/>
          <w:spacing w:val="81"/>
          <w:position w:val="16"/>
          <w:sz w:val="24"/>
          <w:szCs w:val="24"/>
        </w:rPr>
        <w:t xml:space="preserve"> </w:t>
      </w:r>
      <w:r>
        <w:rPr>
          <w:rFonts w:ascii="宋体" w:hAnsi="宋体" w:eastAsia="宋体" w:cs="宋体"/>
          <w:spacing w:val="-12"/>
          <w:position w:val="16"/>
          <w:sz w:val="24"/>
          <w:szCs w:val="24"/>
        </w:rPr>
        <w:t>同时施工场地负责人：</w:t>
      </w:r>
      <w:r>
        <w:rPr>
          <w:rFonts w:ascii="宋体" w:hAnsi="宋体" w:eastAsia="宋体" w:cs="宋体"/>
          <w:spacing w:val="58"/>
          <w:position w:val="16"/>
          <w:sz w:val="24"/>
          <w:szCs w:val="24"/>
        </w:rPr>
        <w:t xml:space="preserve"> </w:t>
      </w:r>
      <w:r>
        <w:rPr>
          <w:rFonts w:ascii="宋体" w:hAnsi="宋体" w:eastAsia="宋体" w:cs="宋体"/>
          <w:spacing w:val="-12"/>
          <w:position w:val="16"/>
          <w:sz w:val="24"/>
          <w:szCs w:val="24"/>
        </w:rPr>
        <w:t>简要说明地</w:t>
      </w:r>
    </w:p>
    <w:p>
      <w:pPr>
        <w:spacing w:line="219" w:lineRule="auto"/>
        <w:ind w:left="47"/>
        <w:rPr>
          <w:rFonts w:ascii="宋体" w:hAnsi="宋体" w:eastAsia="宋体" w:cs="宋体"/>
          <w:sz w:val="24"/>
          <w:szCs w:val="24"/>
        </w:rPr>
      </w:pPr>
      <w:r>
        <w:rPr>
          <w:rFonts w:ascii="宋体" w:hAnsi="宋体" w:eastAsia="宋体" w:cs="宋体"/>
          <w:spacing w:val="-4"/>
          <w:sz w:val="24"/>
          <w:szCs w:val="24"/>
        </w:rPr>
        <w:t>点、泄漏性质和程度等情况。</w:t>
      </w:r>
    </w:p>
    <w:p>
      <w:pPr>
        <w:spacing w:before="182" w:line="467" w:lineRule="exact"/>
        <w:jc w:val="right"/>
        <w:rPr>
          <w:rFonts w:ascii="宋体" w:hAnsi="宋体" w:eastAsia="宋体" w:cs="宋体"/>
          <w:sz w:val="24"/>
          <w:szCs w:val="24"/>
        </w:rPr>
      </w:pPr>
      <w:r>
        <w:rPr>
          <w:rFonts w:ascii="Times New Roman" w:hAnsi="Times New Roman" w:eastAsia="Times New Roman" w:cs="Times New Roman"/>
          <w:spacing w:val="1"/>
          <w:position w:val="16"/>
          <w:sz w:val="24"/>
          <w:szCs w:val="24"/>
        </w:rPr>
        <w:t>b.</w:t>
      </w:r>
      <w:r>
        <w:rPr>
          <w:rFonts w:ascii="宋体" w:hAnsi="宋体" w:eastAsia="宋体" w:cs="宋体"/>
          <w:spacing w:val="1"/>
          <w:position w:val="16"/>
          <w:sz w:val="24"/>
          <w:szCs w:val="24"/>
        </w:rPr>
        <w:t>物资保障人员取来消防器材放至事件现场，应急救援人员佩戴防毒面具、</w:t>
      </w:r>
    </w:p>
    <w:p>
      <w:pPr>
        <w:spacing w:line="220" w:lineRule="auto"/>
        <w:ind w:left="40"/>
        <w:rPr>
          <w:rFonts w:ascii="宋体" w:hAnsi="宋体" w:eastAsia="宋体" w:cs="宋体"/>
          <w:sz w:val="24"/>
          <w:szCs w:val="24"/>
        </w:rPr>
      </w:pPr>
      <w:r>
        <w:rPr>
          <w:rFonts w:ascii="宋体" w:hAnsi="宋体" w:eastAsia="宋体" w:cs="宋体"/>
          <w:spacing w:val="-8"/>
          <w:sz w:val="24"/>
          <w:szCs w:val="24"/>
        </w:rPr>
        <w:t>护目镜、穿防护服，在确保安全的情况下堵漏，</w:t>
      </w:r>
      <w:r>
        <w:rPr>
          <w:rFonts w:ascii="宋体" w:hAnsi="宋体" w:eastAsia="宋体" w:cs="宋体"/>
          <w:spacing w:val="60"/>
          <w:sz w:val="24"/>
          <w:szCs w:val="24"/>
        </w:rPr>
        <w:t xml:space="preserve"> </w:t>
      </w:r>
      <w:r>
        <w:rPr>
          <w:rFonts w:ascii="宋体" w:hAnsi="宋体" w:eastAsia="宋体" w:cs="宋体"/>
          <w:spacing w:val="-8"/>
          <w:sz w:val="24"/>
          <w:szCs w:val="24"/>
        </w:rPr>
        <w:t>控制泄漏量。</w:t>
      </w:r>
    </w:p>
    <w:p>
      <w:pPr>
        <w:spacing w:before="180" w:line="467" w:lineRule="exact"/>
        <w:ind w:left="518"/>
        <w:rPr>
          <w:rFonts w:ascii="宋体" w:hAnsi="宋体" w:eastAsia="宋体" w:cs="宋体"/>
          <w:sz w:val="24"/>
          <w:szCs w:val="24"/>
        </w:rPr>
      </w:pPr>
      <w:r>
        <w:rPr>
          <w:rFonts w:ascii="Times New Roman" w:hAnsi="Times New Roman" w:eastAsia="Times New Roman" w:cs="Times New Roman"/>
          <w:spacing w:val="-6"/>
          <w:position w:val="16"/>
          <w:sz w:val="24"/>
          <w:szCs w:val="24"/>
        </w:rPr>
        <w:t>c.</w:t>
      </w:r>
      <w:r>
        <w:rPr>
          <w:rFonts w:ascii="宋体" w:hAnsi="宋体" w:eastAsia="宋体" w:cs="宋体"/>
          <w:spacing w:val="-6"/>
          <w:position w:val="16"/>
          <w:sz w:val="24"/>
          <w:szCs w:val="24"/>
        </w:rPr>
        <w:t>若泄漏油品数量较少：</w:t>
      </w:r>
      <w:r>
        <w:rPr>
          <w:rFonts w:ascii="宋体" w:hAnsi="宋体" w:eastAsia="宋体" w:cs="宋体"/>
          <w:spacing w:val="55"/>
          <w:position w:val="16"/>
          <w:sz w:val="24"/>
          <w:szCs w:val="24"/>
        </w:rPr>
        <w:t xml:space="preserve"> </w:t>
      </w:r>
      <w:r>
        <w:rPr>
          <w:rFonts w:ascii="宋体" w:hAnsi="宋体" w:eastAsia="宋体" w:cs="宋体"/>
          <w:spacing w:val="-6"/>
          <w:position w:val="16"/>
          <w:sz w:val="24"/>
          <w:szCs w:val="24"/>
        </w:rPr>
        <w:t>应急救援人员对泄漏油品用油毯和消防砂擦拭或覆</w:t>
      </w:r>
    </w:p>
    <w:p>
      <w:pPr>
        <w:spacing w:before="1" w:line="226" w:lineRule="auto"/>
        <w:ind w:left="40"/>
        <w:rPr>
          <w:rFonts w:ascii="宋体" w:hAnsi="宋体" w:eastAsia="宋体" w:cs="宋体"/>
          <w:sz w:val="24"/>
          <w:szCs w:val="24"/>
        </w:rPr>
      </w:pPr>
      <w:r>
        <w:rPr>
          <w:rFonts w:ascii="宋体" w:hAnsi="宋体" w:eastAsia="宋体" w:cs="宋体"/>
          <w:spacing w:val="-12"/>
          <w:sz w:val="24"/>
          <w:szCs w:val="24"/>
        </w:rPr>
        <w:t>盖。</w:t>
      </w:r>
    </w:p>
    <w:p>
      <w:pPr>
        <w:spacing w:before="172" w:line="467" w:lineRule="exact"/>
        <w:ind w:left="517"/>
        <w:rPr>
          <w:rFonts w:ascii="宋体" w:hAnsi="宋体" w:eastAsia="宋体" w:cs="宋体"/>
          <w:sz w:val="24"/>
          <w:szCs w:val="24"/>
        </w:rPr>
      </w:pPr>
      <w:r>
        <w:rPr>
          <w:rFonts w:ascii="Times New Roman" w:hAnsi="Times New Roman" w:eastAsia="Times New Roman" w:cs="Times New Roman"/>
          <w:spacing w:val="-14"/>
          <w:position w:val="16"/>
          <w:sz w:val="24"/>
          <w:szCs w:val="24"/>
        </w:rPr>
        <w:t>d.</w:t>
      </w:r>
      <w:r>
        <w:rPr>
          <w:rFonts w:ascii="宋体" w:hAnsi="宋体" w:eastAsia="宋体" w:cs="宋体"/>
          <w:spacing w:val="-14"/>
          <w:position w:val="16"/>
          <w:sz w:val="24"/>
          <w:szCs w:val="24"/>
        </w:rPr>
        <w:t>若泄漏油品数量较多， 隔离泄漏区，设警戒线，</w:t>
      </w:r>
      <w:r>
        <w:rPr>
          <w:rFonts w:ascii="宋体" w:hAnsi="宋体" w:eastAsia="宋体" w:cs="宋体"/>
          <w:spacing w:val="-65"/>
          <w:position w:val="16"/>
          <w:sz w:val="24"/>
          <w:szCs w:val="24"/>
        </w:rPr>
        <w:t xml:space="preserve"> </w:t>
      </w:r>
      <w:r>
        <w:rPr>
          <w:rFonts w:ascii="宋体" w:hAnsi="宋体" w:eastAsia="宋体" w:cs="宋体"/>
          <w:spacing w:val="-14"/>
          <w:position w:val="16"/>
          <w:sz w:val="24"/>
          <w:szCs w:val="24"/>
        </w:rPr>
        <w:t>疏散和禁止无关人员进入，</w:t>
      </w:r>
    </w:p>
    <w:p>
      <w:pPr>
        <w:spacing w:before="1" w:line="219" w:lineRule="auto"/>
        <w:ind w:left="42"/>
        <w:rPr>
          <w:rFonts w:ascii="宋体" w:hAnsi="宋体" w:eastAsia="宋体" w:cs="宋体"/>
          <w:sz w:val="24"/>
          <w:szCs w:val="24"/>
        </w:rPr>
      </w:pPr>
      <w:r>
        <w:rPr>
          <w:rFonts w:ascii="宋体" w:hAnsi="宋体" w:eastAsia="宋体" w:cs="宋体"/>
          <w:spacing w:val="-2"/>
          <w:sz w:val="24"/>
          <w:szCs w:val="24"/>
        </w:rPr>
        <w:t>组织施工人员用沙土将油品团团围住，防止油品进一步外溢。</w:t>
      </w:r>
    </w:p>
    <w:p>
      <w:pPr>
        <w:spacing w:before="182" w:line="217" w:lineRule="auto"/>
        <w:ind w:left="517"/>
        <w:rPr>
          <w:rFonts w:ascii="宋体" w:hAnsi="宋体" w:eastAsia="宋体" w:cs="宋体"/>
          <w:sz w:val="24"/>
          <w:szCs w:val="24"/>
        </w:rPr>
      </w:pPr>
      <w:r>
        <w:rPr>
          <w:rFonts w:ascii="宋体" w:hAnsi="宋体" w:eastAsia="宋体" w:cs="宋体"/>
          <w:spacing w:val="-2"/>
          <w:sz w:val="24"/>
          <w:szCs w:val="24"/>
        </w:rPr>
        <w:t>②现场急救</w:t>
      </w:r>
    </w:p>
    <w:p>
      <w:pPr>
        <w:spacing w:before="185" w:line="220" w:lineRule="auto"/>
        <w:ind w:left="523"/>
        <w:rPr>
          <w:rFonts w:ascii="宋体" w:hAnsi="宋体" w:eastAsia="宋体" w:cs="宋体"/>
          <w:sz w:val="24"/>
          <w:szCs w:val="24"/>
        </w:rPr>
      </w:pPr>
      <w:r>
        <w:rPr>
          <w:rFonts w:ascii="宋体" w:hAnsi="宋体" w:eastAsia="宋体" w:cs="宋体"/>
          <w:spacing w:val="-17"/>
          <w:sz w:val="24"/>
          <w:szCs w:val="24"/>
        </w:rPr>
        <w:t>如在事件处理过程中，</w:t>
      </w:r>
      <w:r>
        <w:rPr>
          <w:rFonts w:ascii="宋体" w:hAnsi="宋体" w:eastAsia="宋体" w:cs="宋体"/>
          <w:spacing w:val="31"/>
          <w:sz w:val="24"/>
          <w:szCs w:val="24"/>
        </w:rPr>
        <w:t xml:space="preserve"> </w:t>
      </w:r>
      <w:r>
        <w:rPr>
          <w:rFonts w:ascii="宋体" w:hAnsi="宋体" w:eastAsia="宋体" w:cs="宋体"/>
          <w:spacing w:val="-17"/>
          <w:sz w:val="24"/>
          <w:szCs w:val="24"/>
        </w:rPr>
        <w:t>有人员被油品沾染浸湿，</w:t>
      </w:r>
      <w:r>
        <w:rPr>
          <w:rFonts w:ascii="宋体" w:hAnsi="宋体" w:eastAsia="宋体" w:cs="宋体"/>
          <w:spacing w:val="37"/>
          <w:sz w:val="24"/>
          <w:szCs w:val="24"/>
        </w:rPr>
        <w:t xml:space="preserve"> </w:t>
      </w:r>
      <w:r>
        <w:rPr>
          <w:rFonts w:ascii="宋体" w:hAnsi="宋体" w:eastAsia="宋体" w:cs="宋体"/>
          <w:spacing w:val="-17"/>
          <w:sz w:val="24"/>
          <w:szCs w:val="24"/>
        </w:rPr>
        <w:t>马上进行防火处</w:t>
      </w:r>
      <w:r>
        <w:rPr>
          <w:rFonts w:ascii="宋体" w:hAnsi="宋体" w:eastAsia="宋体" w:cs="宋体"/>
          <w:spacing w:val="-18"/>
          <w:sz w:val="24"/>
          <w:szCs w:val="24"/>
        </w:rPr>
        <w:t>理：</w:t>
      </w:r>
      <w:r>
        <w:rPr>
          <w:rFonts w:ascii="宋体" w:hAnsi="宋体" w:eastAsia="宋体" w:cs="宋体"/>
          <w:spacing w:val="33"/>
          <w:sz w:val="24"/>
          <w:szCs w:val="24"/>
        </w:rPr>
        <w:t xml:space="preserve"> </w:t>
      </w:r>
      <w:r>
        <w:rPr>
          <w:rFonts w:ascii="宋体" w:hAnsi="宋体" w:eastAsia="宋体" w:cs="宋体"/>
          <w:spacing w:val="-18"/>
          <w:sz w:val="24"/>
          <w:szCs w:val="24"/>
        </w:rPr>
        <w:t>夏天应</w:t>
      </w:r>
    </w:p>
    <w:p>
      <w:pPr>
        <w:spacing w:line="220" w:lineRule="auto"/>
        <w:rPr>
          <w:rFonts w:ascii="宋体" w:hAnsi="宋体" w:eastAsia="宋体" w:cs="宋体"/>
          <w:sz w:val="24"/>
          <w:szCs w:val="24"/>
        </w:rPr>
        <w:sectPr>
          <w:headerReference r:id="rId453" w:type="default"/>
          <w:footerReference r:id="rId454" w:type="default"/>
          <w:pgSz w:w="11907" w:h="16839"/>
          <w:pgMar w:top="1156" w:right="1718" w:bottom="1374" w:left="1770" w:header="881" w:footer="1210" w:gutter="0"/>
        </w:sectPr>
      </w:pPr>
    </w:p>
    <w:p>
      <w:pPr>
        <w:rPr>
          <w:rFonts w:ascii="Arial"/>
          <w:sz w:val="21"/>
        </w:rPr>
      </w:pPr>
    </w:p>
    <w:p>
      <w:pPr>
        <w:spacing w:before="78" w:line="359" w:lineRule="auto"/>
        <w:ind w:left="44" w:right="30" w:hanging="5"/>
        <w:rPr>
          <w:rFonts w:ascii="宋体" w:hAnsi="宋体" w:eastAsia="宋体" w:cs="宋体"/>
          <w:sz w:val="24"/>
          <w:szCs w:val="24"/>
        </w:rPr>
      </w:pPr>
      <w:r>
        <w:rPr>
          <w:rFonts w:ascii="宋体" w:hAnsi="宋体" w:eastAsia="宋体" w:cs="宋体"/>
          <w:spacing w:val="-15"/>
          <w:sz w:val="24"/>
          <w:szCs w:val="24"/>
        </w:rPr>
        <w:t>立即用清水冲洗，</w:t>
      </w:r>
      <w:r>
        <w:rPr>
          <w:rFonts w:ascii="宋体" w:hAnsi="宋体" w:eastAsia="宋体" w:cs="宋体"/>
          <w:spacing w:val="-48"/>
          <w:sz w:val="24"/>
          <w:szCs w:val="24"/>
        </w:rPr>
        <w:t xml:space="preserve"> </w:t>
      </w:r>
      <w:r>
        <w:rPr>
          <w:rFonts w:ascii="宋体" w:hAnsi="宋体" w:eastAsia="宋体" w:cs="宋体"/>
          <w:spacing w:val="-15"/>
          <w:sz w:val="24"/>
          <w:szCs w:val="24"/>
        </w:rPr>
        <w:t>更换衣物，避免附着油品大量挥发遇火源引发明火，</w:t>
      </w:r>
      <w:r>
        <w:rPr>
          <w:rFonts w:ascii="宋体" w:hAnsi="宋体" w:eastAsia="宋体" w:cs="宋体"/>
          <w:spacing w:val="-52"/>
          <w:sz w:val="24"/>
          <w:szCs w:val="24"/>
        </w:rPr>
        <w:t xml:space="preserve"> </w:t>
      </w:r>
      <w:r>
        <w:rPr>
          <w:rFonts w:ascii="宋体" w:hAnsi="宋体" w:eastAsia="宋体" w:cs="宋体"/>
          <w:spacing w:val="-15"/>
          <w:sz w:val="24"/>
          <w:szCs w:val="24"/>
        </w:rPr>
        <w:t>烧伤人员；</w:t>
      </w:r>
      <w:r>
        <w:rPr>
          <w:rFonts w:ascii="宋体" w:hAnsi="宋体" w:eastAsia="宋体" w:cs="宋体"/>
          <w:sz w:val="24"/>
          <w:szCs w:val="24"/>
        </w:rPr>
        <w:t xml:space="preserve"> </w:t>
      </w:r>
      <w:r>
        <w:rPr>
          <w:rFonts w:ascii="宋体" w:hAnsi="宋体" w:eastAsia="宋体" w:cs="宋体"/>
          <w:spacing w:val="-17"/>
          <w:sz w:val="24"/>
          <w:szCs w:val="24"/>
        </w:rPr>
        <w:t>冬天应脱下被浸湿衣物，</w:t>
      </w:r>
      <w:r>
        <w:rPr>
          <w:rFonts w:ascii="宋体" w:hAnsi="宋体" w:eastAsia="宋体" w:cs="宋体"/>
          <w:spacing w:val="32"/>
          <w:sz w:val="24"/>
          <w:szCs w:val="24"/>
        </w:rPr>
        <w:t xml:space="preserve"> </w:t>
      </w:r>
      <w:r>
        <w:rPr>
          <w:rFonts w:ascii="宋体" w:hAnsi="宋体" w:eastAsia="宋体" w:cs="宋体"/>
          <w:spacing w:val="-17"/>
          <w:sz w:val="24"/>
          <w:szCs w:val="24"/>
        </w:rPr>
        <w:t>过程中注意动作缓慢，</w:t>
      </w:r>
      <w:r>
        <w:rPr>
          <w:rFonts w:ascii="宋体" w:hAnsi="宋体" w:eastAsia="宋体" w:cs="宋体"/>
          <w:spacing w:val="57"/>
          <w:sz w:val="24"/>
          <w:szCs w:val="24"/>
        </w:rPr>
        <w:t xml:space="preserve"> </w:t>
      </w:r>
      <w:r>
        <w:rPr>
          <w:rFonts w:ascii="宋体" w:hAnsi="宋体" w:eastAsia="宋体" w:cs="宋体"/>
          <w:spacing w:val="-17"/>
          <w:sz w:val="24"/>
          <w:szCs w:val="24"/>
        </w:rPr>
        <w:t>以防产生静电和皮肤中毒，</w:t>
      </w:r>
      <w:r>
        <w:rPr>
          <w:rFonts w:ascii="宋体" w:hAnsi="宋体" w:eastAsia="宋体" w:cs="宋体"/>
          <w:spacing w:val="36"/>
          <w:sz w:val="24"/>
          <w:szCs w:val="24"/>
        </w:rPr>
        <w:t xml:space="preserve"> </w:t>
      </w:r>
      <w:r>
        <w:rPr>
          <w:rFonts w:ascii="宋体" w:hAnsi="宋体" w:eastAsia="宋体" w:cs="宋体"/>
          <w:spacing w:val="-17"/>
          <w:sz w:val="24"/>
          <w:szCs w:val="24"/>
        </w:rPr>
        <w:t>并及</w:t>
      </w:r>
    </w:p>
    <w:p>
      <w:pPr>
        <w:spacing w:line="220" w:lineRule="auto"/>
        <w:ind w:left="50"/>
        <w:rPr>
          <w:rFonts w:ascii="宋体" w:hAnsi="宋体" w:eastAsia="宋体" w:cs="宋体"/>
          <w:sz w:val="24"/>
          <w:szCs w:val="24"/>
        </w:rPr>
      </w:pPr>
      <w:r>
        <w:rPr>
          <w:rFonts w:ascii="宋体" w:hAnsi="宋体" w:eastAsia="宋体" w:cs="宋体"/>
          <w:spacing w:val="-8"/>
          <w:sz w:val="24"/>
          <w:szCs w:val="24"/>
        </w:rPr>
        <w:t>时更换衣服。</w:t>
      </w:r>
    </w:p>
    <w:p>
      <w:pPr>
        <w:spacing w:before="181"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）风险应急预案</w:t>
      </w:r>
    </w:p>
    <w:p>
      <w:pPr>
        <w:spacing w:before="182" w:line="359" w:lineRule="auto"/>
        <w:ind w:left="41" w:right="31" w:firstLine="480"/>
        <w:jc w:val="both"/>
        <w:rPr>
          <w:rFonts w:ascii="宋体" w:hAnsi="宋体" w:eastAsia="宋体" w:cs="宋体"/>
          <w:sz w:val="24"/>
          <w:szCs w:val="24"/>
        </w:rPr>
      </w:pPr>
      <w:r>
        <w:rPr>
          <w:rFonts w:ascii="宋体" w:hAnsi="宋体" w:eastAsia="宋体" w:cs="宋体"/>
          <w:spacing w:val="-3"/>
          <w:sz w:val="24"/>
          <w:szCs w:val="24"/>
        </w:rPr>
        <w:t>建设单位应按照《突发事件应急预案管理办法的通知》</w:t>
      </w:r>
      <w:r>
        <w:rPr>
          <w:rFonts w:ascii="宋体" w:hAnsi="宋体" w:eastAsia="宋体" w:cs="宋体"/>
          <w:spacing w:val="-4"/>
          <w:sz w:val="24"/>
          <w:szCs w:val="24"/>
        </w:rPr>
        <w:t>、云南省环保厅关于</w:t>
      </w:r>
      <w:r>
        <w:rPr>
          <w:rFonts w:ascii="宋体" w:hAnsi="宋体" w:eastAsia="宋体" w:cs="宋体"/>
          <w:sz w:val="24"/>
          <w:szCs w:val="24"/>
        </w:rPr>
        <w:t xml:space="preserve"> </w:t>
      </w:r>
      <w:r>
        <w:rPr>
          <w:rFonts w:ascii="宋体" w:hAnsi="宋体" w:eastAsia="宋体" w:cs="宋体"/>
          <w:spacing w:val="-3"/>
          <w:sz w:val="24"/>
          <w:szCs w:val="24"/>
        </w:rPr>
        <w:t>贯彻实施《突发环境事件应急预案管理暂行办法》的通知、及《企业事业单</w:t>
      </w:r>
      <w:r>
        <w:rPr>
          <w:rFonts w:ascii="宋体" w:hAnsi="宋体" w:eastAsia="宋体" w:cs="宋体"/>
          <w:spacing w:val="-4"/>
          <w:sz w:val="24"/>
          <w:szCs w:val="24"/>
        </w:rPr>
        <w:t>位突</w:t>
      </w:r>
      <w:r>
        <w:rPr>
          <w:rFonts w:ascii="宋体" w:hAnsi="宋体" w:eastAsia="宋体" w:cs="宋体"/>
          <w:sz w:val="24"/>
          <w:szCs w:val="24"/>
        </w:rPr>
        <w:t xml:space="preserve"> </w:t>
      </w:r>
      <w:r>
        <w:rPr>
          <w:rFonts w:ascii="宋体" w:hAnsi="宋体" w:eastAsia="宋体" w:cs="宋体"/>
          <w:spacing w:val="-6"/>
          <w:sz w:val="24"/>
          <w:szCs w:val="24"/>
        </w:rPr>
        <w:t>发环境事件应急预案备案管理办法（试行）》</w:t>
      </w:r>
      <w:r>
        <w:rPr>
          <w:rFonts w:ascii="宋体" w:hAnsi="宋体" w:eastAsia="宋体" w:cs="宋体"/>
          <w:spacing w:val="-7"/>
          <w:sz w:val="24"/>
          <w:szCs w:val="24"/>
        </w:rPr>
        <w:t>（环发</w:t>
      </w:r>
      <w:r>
        <w:rPr>
          <w:rFonts w:ascii="Times New Roman" w:hAnsi="Times New Roman" w:eastAsia="Times New Roman" w:cs="Times New Roman"/>
          <w:spacing w:val="-7"/>
          <w:sz w:val="24"/>
          <w:szCs w:val="24"/>
        </w:rPr>
        <w:t xml:space="preserve">[2015]4  </w:t>
      </w:r>
      <w:r>
        <w:rPr>
          <w:rFonts w:ascii="宋体" w:hAnsi="宋体" w:eastAsia="宋体" w:cs="宋体"/>
          <w:spacing w:val="-7"/>
          <w:sz w:val="24"/>
          <w:szCs w:val="24"/>
        </w:rPr>
        <w:t>号）等有关法律和政</w:t>
      </w:r>
      <w:r>
        <w:rPr>
          <w:rFonts w:ascii="宋体" w:hAnsi="宋体" w:eastAsia="宋体" w:cs="宋体"/>
          <w:sz w:val="24"/>
          <w:szCs w:val="24"/>
        </w:rPr>
        <w:t xml:space="preserve"> </w:t>
      </w:r>
      <w:r>
        <w:rPr>
          <w:rFonts w:ascii="宋体" w:hAnsi="宋体" w:eastAsia="宋体" w:cs="宋体"/>
          <w:spacing w:val="-3"/>
          <w:sz w:val="24"/>
          <w:szCs w:val="24"/>
        </w:rPr>
        <w:t>策规定，编制《突发环境事件综合应急预案》，并报环保部门审查备案。</w:t>
      </w:r>
      <w:r>
        <w:rPr>
          <w:rFonts w:ascii="宋体" w:hAnsi="宋体" w:eastAsia="宋体" w:cs="宋体"/>
          <w:spacing w:val="-4"/>
          <w:sz w:val="24"/>
          <w:szCs w:val="24"/>
        </w:rPr>
        <w:t>施工过</w:t>
      </w:r>
    </w:p>
    <w:p>
      <w:pPr>
        <w:spacing w:line="219" w:lineRule="auto"/>
        <w:ind w:left="38"/>
        <w:rPr>
          <w:rFonts w:ascii="宋体" w:hAnsi="宋体" w:eastAsia="宋体" w:cs="宋体"/>
          <w:sz w:val="24"/>
          <w:szCs w:val="24"/>
        </w:rPr>
      </w:pPr>
      <w:r>
        <w:rPr>
          <w:rFonts w:ascii="宋体" w:hAnsi="宋体" w:eastAsia="宋体" w:cs="宋体"/>
          <w:spacing w:val="-3"/>
          <w:sz w:val="24"/>
          <w:szCs w:val="24"/>
        </w:rPr>
        <w:t>程严格按照应急预案措施要求实施。</w:t>
      </w:r>
    </w:p>
    <w:p>
      <w:pPr>
        <w:spacing w:line="430" w:lineRule="auto"/>
        <w:rPr>
          <w:rFonts w:ascii="Arial"/>
          <w:sz w:val="21"/>
        </w:rPr>
      </w:pPr>
    </w:p>
    <w:p>
      <w:pPr>
        <w:pStyle w:val="2"/>
        <w:spacing w:before="78" w:line="234" w:lineRule="auto"/>
        <w:ind w:left="38"/>
        <w:outlineLvl w:val="3"/>
        <w:rPr>
          <w:sz w:val="24"/>
          <w:szCs w:val="24"/>
        </w:rPr>
      </w:pPr>
      <w:r>
        <w:rPr>
          <w:rFonts w:ascii="Times New Roman" w:hAnsi="Times New Roman" w:eastAsia="Times New Roman" w:cs="Times New Roman"/>
          <w:b/>
          <w:bCs/>
          <w:spacing w:val="-2"/>
          <w:sz w:val="24"/>
          <w:szCs w:val="24"/>
        </w:rPr>
        <w:t>6.6.2</w:t>
      </w:r>
      <w:r>
        <w:rPr>
          <w:rFonts w:ascii="Times New Roman" w:hAnsi="Times New Roman" w:eastAsia="Times New Roman" w:cs="Times New Roman"/>
          <w:b/>
          <w:bCs/>
          <w:spacing w:val="12"/>
          <w:sz w:val="24"/>
          <w:szCs w:val="24"/>
        </w:rPr>
        <w:t xml:space="preserve"> </w:t>
      </w:r>
      <w:r>
        <w:rPr>
          <w:spacing w:val="-2"/>
          <w:sz w:val="24"/>
          <w:szCs w:val="24"/>
          <w14:textOutline w14:w="4354" w14:cap="flat" w14:cmpd="sng">
            <w14:solidFill>
              <w14:srgbClr w14:val="000000"/>
            </w14:solidFill>
            <w14:prstDash w14:val="solid"/>
            <w14:miter w14:val="0"/>
          </w14:textOutline>
        </w:rPr>
        <w:t>运营期</w:t>
      </w:r>
    </w:p>
    <w:p>
      <w:pPr>
        <w:spacing w:before="197"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）依法划定饮用水源保护区。</w:t>
      </w:r>
    </w:p>
    <w:p>
      <w:pPr>
        <w:spacing w:before="182"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）加强水源区森林保护，减少水土流失。</w:t>
      </w:r>
    </w:p>
    <w:p>
      <w:pPr>
        <w:spacing w:before="181" w:line="467" w:lineRule="exact"/>
        <w:ind w:left="525"/>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3</w:t>
      </w:r>
      <w:r>
        <w:rPr>
          <w:rFonts w:ascii="宋体" w:hAnsi="宋体" w:eastAsia="宋体" w:cs="宋体"/>
          <w:spacing w:val="-2"/>
          <w:position w:val="17"/>
          <w:sz w:val="24"/>
          <w:szCs w:val="24"/>
        </w:rPr>
        <w:t>）大力发展生态种植，减少化肥使用，有效控制农业面源污染。</w:t>
      </w:r>
    </w:p>
    <w:p>
      <w:pPr>
        <w:spacing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）禁止在水库区规模化养殖，禁止新建排污口，禁止网箱养鱼。</w:t>
      </w:r>
    </w:p>
    <w:p>
      <w:pPr>
        <w:spacing w:before="182" w:line="467" w:lineRule="exact"/>
        <w:ind w:left="525"/>
        <w:rPr>
          <w:rFonts w:ascii="宋体" w:hAnsi="宋体" w:eastAsia="宋体" w:cs="宋体"/>
          <w:sz w:val="24"/>
          <w:szCs w:val="24"/>
        </w:rPr>
      </w:pP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5</w:t>
      </w:r>
      <w:r>
        <w:rPr>
          <w:rFonts w:ascii="宋体" w:hAnsi="宋体" w:eastAsia="宋体" w:cs="宋体"/>
          <w:spacing w:val="-5"/>
          <w:position w:val="17"/>
          <w:sz w:val="24"/>
          <w:szCs w:val="24"/>
        </w:rPr>
        <w:t>）加强水库水质的监测， 积极预防水体污染，建立健全预警预报系统。</w:t>
      </w:r>
    </w:p>
    <w:p>
      <w:pPr>
        <w:spacing w:before="1"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6</w:t>
      </w:r>
      <w:r>
        <w:rPr>
          <w:rFonts w:ascii="宋体" w:hAnsi="宋体" w:eastAsia="宋体" w:cs="宋体"/>
          <w:spacing w:val="-2"/>
          <w:sz w:val="24"/>
          <w:szCs w:val="24"/>
        </w:rPr>
        <w:t>）加强水库区的巡查、巡检，及时处理发现问题。</w:t>
      </w:r>
    </w:p>
    <w:p>
      <w:pPr>
        <w:spacing w:line="387" w:lineRule="auto"/>
        <w:rPr>
          <w:rFonts w:ascii="Arial"/>
          <w:sz w:val="21"/>
        </w:rPr>
      </w:pPr>
    </w:p>
    <w:p>
      <w:pPr>
        <w:pStyle w:val="2"/>
        <w:spacing w:before="88" w:line="225" w:lineRule="auto"/>
        <w:ind w:left="40"/>
        <w:outlineLvl w:val="3"/>
        <w:rPr>
          <w:sz w:val="27"/>
          <w:szCs w:val="27"/>
        </w:rPr>
      </w:pPr>
      <w:bookmarkStart w:id="45" w:name="bookmark46"/>
      <w:bookmarkEnd w:id="45"/>
      <w:r>
        <w:rPr>
          <w:rFonts w:ascii="Times New Roman" w:hAnsi="Times New Roman" w:eastAsia="Times New Roman" w:cs="Times New Roman"/>
          <w:b/>
          <w:bCs/>
          <w:spacing w:val="7"/>
          <w:sz w:val="27"/>
          <w:szCs w:val="27"/>
        </w:rPr>
        <w:t xml:space="preserve">6.7 </w:t>
      </w:r>
      <w:r>
        <w:rPr>
          <w:spacing w:val="7"/>
          <w:sz w:val="27"/>
          <w:szCs w:val="27"/>
          <w14:textOutline w14:w="5072" w14:cap="flat" w14:cmpd="sng">
            <w14:solidFill>
              <w14:srgbClr w14:val="000000"/>
            </w14:solidFill>
            <w14:prstDash w14:val="solid"/>
            <w14:miter w14:val="0"/>
          </w14:textOutline>
        </w:rPr>
        <w:t>环境保护措施汇总</w:t>
      </w:r>
    </w:p>
    <w:p>
      <w:pPr>
        <w:spacing w:before="207" w:line="220" w:lineRule="auto"/>
        <w:ind w:left="523"/>
        <w:rPr>
          <w:rFonts w:ascii="宋体" w:hAnsi="宋体" w:eastAsia="宋体" w:cs="宋体"/>
          <w:sz w:val="24"/>
          <w:szCs w:val="24"/>
        </w:rPr>
      </w:pPr>
      <w:r>
        <w:rPr>
          <w:rFonts w:ascii="宋体" w:hAnsi="宋体" w:eastAsia="宋体" w:cs="宋体"/>
          <w:spacing w:val="-3"/>
          <w:sz w:val="24"/>
          <w:szCs w:val="24"/>
        </w:rPr>
        <w:t>项目环境保护措施一览表详见表</w:t>
      </w:r>
      <w:r>
        <w:rPr>
          <w:rFonts w:ascii="宋体" w:hAnsi="宋体" w:eastAsia="宋体" w:cs="宋体"/>
          <w:spacing w:val="-42"/>
          <w:sz w:val="24"/>
          <w:szCs w:val="24"/>
        </w:rPr>
        <w:t xml:space="preserve"> </w:t>
      </w:r>
      <w:r>
        <w:rPr>
          <w:rFonts w:ascii="Times New Roman" w:hAnsi="Times New Roman" w:eastAsia="Times New Roman" w:cs="Times New Roman"/>
          <w:spacing w:val="-3"/>
          <w:sz w:val="24"/>
          <w:szCs w:val="24"/>
        </w:rPr>
        <w:t>6.7-</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line="220" w:lineRule="auto"/>
        <w:rPr>
          <w:rFonts w:ascii="宋体" w:hAnsi="宋体" w:eastAsia="宋体" w:cs="宋体"/>
          <w:sz w:val="24"/>
          <w:szCs w:val="24"/>
        </w:rPr>
        <w:sectPr>
          <w:headerReference r:id="rId455" w:type="default"/>
          <w:footerReference r:id="rId456" w:type="default"/>
          <w:pgSz w:w="11907" w:h="16839"/>
          <w:pgMar w:top="1156" w:right="1768" w:bottom="1374" w:left="1770" w:header="881" w:footer="1210" w:gutter="0"/>
        </w:sectPr>
      </w:pPr>
    </w:p>
    <w:p>
      <w:pPr>
        <w:spacing w:line="301" w:lineRule="auto"/>
        <w:rPr>
          <w:rFonts w:ascii="Arial"/>
          <w:sz w:val="21"/>
        </w:rPr>
      </w:pPr>
    </w:p>
    <w:p>
      <w:pPr>
        <w:spacing w:line="301" w:lineRule="auto"/>
        <w:rPr>
          <w:rFonts w:ascii="Arial"/>
          <w:sz w:val="21"/>
        </w:rPr>
      </w:pPr>
    </w:p>
    <w:p>
      <w:pPr>
        <w:spacing w:before="68" w:line="220" w:lineRule="auto"/>
        <w:ind w:left="5824"/>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4"/>
          <w:sz w:val="21"/>
          <w:szCs w:val="21"/>
        </w:rPr>
        <w:t xml:space="preserve"> </w:t>
      </w:r>
      <w:r>
        <w:rPr>
          <w:rFonts w:ascii="Times New Roman" w:hAnsi="Times New Roman" w:eastAsia="Times New Roman" w:cs="Times New Roman"/>
          <w:b/>
          <w:bCs/>
          <w:spacing w:val="-1"/>
          <w:sz w:val="21"/>
          <w:szCs w:val="21"/>
        </w:rPr>
        <w:t xml:space="preserve">6.7-1    </w:t>
      </w:r>
      <w:r>
        <w:rPr>
          <w:rFonts w:ascii="宋体" w:hAnsi="宋体" w:eastAsia="宋体" w:cs="宋体"/>
          <w:spacing w:val="-1"/>
          <w:sz w:val="21"/>
          <w:szCs w:val="21"/>
          <w14:textOutline w14:w="3810" w14:cap="flat" w14:cmpd="sng">
            <w14:solidFill>
              <w14:srgbClr w14:val="000000"/>
            </w14:solidFill>
            <w14:prstDash w14:val="solid"/>
            <w14:miter w14:val="0"/>
          </w14:textOutline>
        </w:rPr>
        <w:t>环境保护措施一览表</w:t>
      </w:r>
    </w:p>
    <w:p>
      <w:pPr>
        <w:spacing w:line="126" w:lineRule="exact"/>
      </w:pPr>
    </w:p>
    <w:tbl>
      <w:tblPr>
        <w:tblStyle w:val="5"/>
        <w:tblW w:w="13959" w:type="dxa"/>
        <w:tblInd w:w="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1"/>
        <w:gridCol w:w="1631"/>
        <w:gridCol w:w="8849"/>
        <w:gridCol w:w="1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4" w:hRule="atLeast"/>
        </w:trPr>
        <w:tc>
          <w:tcPr>
            <w:tcW w:w="1631" w:type="dxa"/>
            <w:tcBorders>
              <w:top w:val="single" w:color="000000" w:sz="12" w:space="0"/>
              <w:left w:val="nil"/>
            </w:tcBorders>
            <w:vAlign w:val="top"/>
          </w:tcPr>
          <w:p>
            <w:pPr>
              <w:spacing w:before="44" w:line="219" w:lineRule="auto"/>
              <w:ind w:left="62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类别</w:t>
            </w:r>
          </w:p>
        </w:tc>
        <w:tc>
          <w:tcPr>
            <w:tcW w:w="1631" w:type="dxa"/>
            <w:tcBorders>
              <w:top w:val="single" w:color="000000" w:sz="12" w:space="0"/>
            </w:tcBorders>
            <w:vAlign w:val="top"/>
          </w:tcPr>
          <w:p>
            <w:pPr>
              <w:spacing w:before="59" w:line="206" w:lineRule="auto"/>
              <w:ind w:left="61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8849" w:type="dxa"/>
            <w:tcBorders>
              <w:top w:val="single" w:color="000000" w:sz="12" w:space="0"/>
            </w:tcBorders>
            <w:vAlign w:val="top"/>
          </w:tcPr>
          <w:p>
            <w:pPr>
              <w:spacing w:before="59" w:line="206" w:lineRule="auto"/>
              <w:ind w:left="380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主要控制措施</w:t>
            </w:r>
          </w:p>
        </w:tc>
        <w:tc>
          <w:tcPr>
            <w:tcW w:w="1848" w:type="dxa"/>
            <w:tcBorders>
              <w:top w:val="single" w:color="000000" w:sz="12" w:space="0"/>
              <w:right w:val="nil"/>
            </w:tcBorders>
            <w:vAlign w:val="top"/>
          </w:tcPr>
          <w:p>
            <w:pPr>
              <w:spacing w:before="59" w:line="206" w:lineRule="auto"/>
              <w:ind w:left="723"/>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效果</w:t>
            </w:r>
          </w:p>
        </w:tc>
      </w:tr>
    </w:tbl>
    <w:p>
      <w:pPr>
        <w:spacing w:before="32" w:line="212" w:lineRule="auto"/>
        <w:ind w:left="6707"/>
        <w:rPr>
          <w:rFonts w:ascii="仿宋" w:hAnsi="仿宋" w:eastAsia="仿宋" w:cs="仿宋"/>
          <w:sz w:val="21"/>
          <w:szCs w:val="21"/>
        </w:rPr>
      </w:pPr>
      <w:r>
        <w:rPr>
          <w:rFonts w:ascii="仿宋" w:hAnsi="仿宋" w:eastAsia="仿宋" w:cs="仿宋"/>
          <w:spacing w:val="-3"/>
          <w:sz w:val="21"/>
          <w:szCs w:val="21"/>
        </w:rPr>
        <w:t>施工期</w:t>
      </w:r>
    </w:p>
    <w:tbl>
      <w:tblPr>
        <w:tblStyle w:val="5"/>
        <w:tblW w:w="13959" w:type="dxa"/>
        <w:tblInd w:w="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1"/>
        <w:gridCol w:w="1631"/>
        <w:gridCol w:w="8849"/>
        <w:gridCol w:w="1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705" w:hRule="atLeast"/>
        </w:trPr>
        <w:tc>
          <w:tcPr>
            <w:tcW w:w="1631" w:type="dxa"/>
            <w:tcBorders>
              <w:left w:val="nil"/>
              <w:bottom w:val="single" w:color="000000" w:sz="12" w:space="0"/>
            </w:tcBorders>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68" w:line="218" w:lineRule="auto"/>
              <w:ind w:left="421"/>
              <w:rPr>
                <w:rFonts w:ascii="仿宋" w:hAnsi="仿宋" w:eastAsia="仿宋" w:cs="仿宋"/>
                <w:sz w:val="21"/>
                <w:szCs w:val="21"/>
              </w:rPr>
            </w:pPr>
            <w:r>
              <w:rPr>
                <w:rFonts w:ascii="仿宋" w:hAnsi="仿宋" w:eastAsia="仿宋" w:cs="仿宋"/>
                <w:spacing w:val="-5"/>
                <w:sz w:val="21"/>
                <w:szCs w:val="21"/>
              </w:rPr>
              <w:t>生态环境</w:t>
            </w:r>
          </w:p>
        </w:tc>
        <w:tc>
          <w:tcPr>
            <w:tcW w:w="1631" w:type="dxa"/>
            <w:tcBorders>
              <w:bottom w:val="single" w:color="000000" w:sz="12" w:space="0"/>
            </w:tcBorders>
            <w:vAlign w:val="top"/>
          </w:tcPr>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before="68" w:line="219" w:lineRule="auto"/>
              <w:ind w:left="401"/>
              <w:rPr>
                <w:rFonts w:ascii="仿宋" w:hAnsi="仿宋" w:eastAsia="仿宋" w:cs="仿宋"/>
                <w:sz w:val="21"/>
                <w:szCs w:val="21"/>
              </w:rPr>
            </w:pPr>
            <w:r>
              <w:rPr>
                <w:rFonts w:ascii="仿宋" w:hAnsi="仿宋" w:eastAsia="仿宋" w:cs="仿宋"/>
                <w:spacing w:val="-4"/>
                <w:sz w:val="21"/>
                <w:szCs w:val="21"/>
              </w:rPr>
              <w:t>避让措施</w:t>
            </w:r>
          </w:p>
        </w:tc>
        <w:tc>
          <w:tcPr>
            <w:tcW w:w="8849" w:type="dxa"/>
            <w:tcBorders>
              <w:bottom w:val="single" w:color="000000" w:sz="12" w:space="0"/>
            </w:tcBorders>
            <w:vAlign w:val="top"/>
          </w:tcPr>
          <w:p>
            <w:pPr>
              <w:spacing w:before="65" w:line="217" w:lineRule="auto"/>
              <w:ind w:left="106"/>
              <w:rPr>
                <w:rFonts w:ascii="仿宋" w:hAnsi="仿宋" w:eastAsia="仿宋" w:cs="仿宋"/>
                <w:sz w:val="21"/>
                <w:szCs w:val="21"/>
              </w:rPr>
            </w:pPr>
            <w:r>
              <w:rPr>
                <w:rFonts w:ascii="仿宋" w:hAnsi="仿宋" w:eastAsia="仿宋" w:cs="仿宋"/>
                <w:spacing w:val="-1"/>
                <w:sz w:val="21"/>
                <w:szCs w:val="21"/>
              </w:rPr>
              <w:t>①优化施工组织设计，减少征占地，减少对植被、</w:t>
            </w:r>
            <w:r>
              <w:rPr>
                <w:rFonts w:ascii="仿宋" w:hAnsi="仿宋" w:eastAsia="仿宋" w:cs="仿宋"/>
                <w:spacing w:val="-2"/>
                <w:sz w:val="21"/>
                <w:szCs w:val="21"/>
              </w:rPr>
              <w:t>景观的破坏。</w:t>
            </w:r>
          </w:p>
          <w:p>
            <w:pPr>
              <w:spacing w:before="53" w:line="239" w:lineRule="auto"/>
              <w:ind w:left="114" w:right="242" w:hanging="9"/>
              <w:rPr>
                <w:rFonts w:ascii="仿宋" w:hAnsi="仿宋" w:eastAsia="仿宋" w:cs="仿宋"/>
                <w:sz w:val="21"/>
                <w:szCs w:val="21"/>
              </w:rPr>
            </w:pPr>
            <w:r>
              <w:rPr>
                <w:rFonts w:ascii="仿宋" w:hAnsi="仿宋" w:eastAsia="仿宋" w:cs="仿宋"/>
                <w:spacing w:val="-3"/>
                <w:sz w:val="21"/>
                <w:szCs w:val="21"/>
              </w:rPr>
              <w:t>②施工人员必须遵守《中华人民共和国野生动物保护法》和《云南省野生动物保护法》</w:t>
            </w:r>
            <w:r>
              <w:rPr>
                <w:rFonts w:ascii="仿宋" w:hAnsi="仿宋" w:eastAsia="仿宋" w:cs="仿宋"/>
                <w:spacing w:val="-4"/>
                <w:sz w:val="21"/>
                <w:szCs w:val="21"/>
              </w:rPr>
              <w:t>，严禁</w:t>
            </w:r>
            <w:r>
              <w:rPr>
                <w:rFonts w:ascii="仿宋" w:hAnsi="仿宋" w:eastAsia="仿宋" w:cs="仿宋"/>
                <w:sz w:val="21"/>
                <w:szCs w:val="21"/>
              </w:rPr>
              <w:t xml:space="preserve"> </w:t>
            </w:r>
            <w:r>
              <w:rPr>
                <w:rFonts w:ascii="仿宋" w:hAnsi="仿宋" w:eastAsia="仿宋" w:cs="仿宋"/>
                <w:spacing w:val="-1"/>
                <w:sz w:val="21"/>
                <w:szCs w:val="21"/>
              </w:rPr>
              <w:t>在施工区及其猎捕和食用野生动物，特别是国家和云南省重</w:t>
            </w:r>
            <w:r>
              <w:rPr>
                <w:rFonts w:ascii="仿宋" w:hAnsi="仿宋" w:eastAsia="仿宋" w:cs="仿宋"/>
                <w:spacing w:val="-2"/>
                <w:sz w:val="21"/>
                <w:szCs w:val="21"/>
              </w:rPr>
              <w:t>点保护野生动物。</w:t>
            </w:r>
          </w:p>
          <w:p>
            <w:pPr>
              <w:spacing w:before="55" w:line="217" w:lineRule="auto"/>
              <w:ind w:left="105"/>
              <w:rPr>
                <w:rFonts w:ascii="仿宋" w:hAnsi="仿宋" w:eastAsia="仿宋" w:cs="仿宋"/>
                <w:sz w:val="21"/>
                <w:szCs w:val="21"/>
              </w:rPr>
            </w:pPr>
            <w:r>
              <w:rPr>
                <w:rFonts w:ascii="仿宋" w:hAnsi="仿宋" w:eastAsia="仿宋" w:cs="仿宋"/>
                <w:spacing w:val="-2"/>
                <w:sz w:val="21"/>
                <w:szCs w:val="21"/>
              </w:rPr>
              <w:t>③严格按照划定范围施工，禁止滥砍滥伐。</w:t>
            </w:r>
          </w:p>
          <w:p>
            <w:pPr>
              <w:spacing w:before="52" w:line="215" w:lineRule="auto"/>
              <w:ind w:left="105"/>
              <w:rPr>
                <w:rFonts w:ascii="仿宋" w:hAnsi="仿宋" w:eastAsia="仿宋" w:cs="仿宋"/>
                <w:sz w:val="21"/>
                <w:szCs w:val="21"/>
              </w:rPr>
            </w:pPr>
            <w:r>
              <w:rPr>
                <w:rFonts w:ascii="仿宋" w:hAnsi="仿宋" w:eastAsia="仿宋" w:cs="仿宋"/>
                <w:spacing w:val="-4"/>
                <w:sz w:val="21"/>
                <w:szCs w:val="21"/>
              </w:rPr>
              <w:t>④对在施工中遇到的鸟、蛇等动物的卵（蛋）</w:t>
            </w:r>
            <w:r>
              <w:rPr>
                <w:rFonts w:ascii="仿宋" w:hAnsi="仿宋" w:eastAsia="仿宋" w:cs="仿宋"/>
                <w:spacing w:val="35"/>
                <w:sz w:val="21"/>
                <w:szCs w:val="21"/>
              </w:rPr>
              <w:t xml:space="preserve"> </w:t>
            </w:r>
            <w:r>
              <w:rPr>
                <w:rFonts w:ascii="仿宋" w:hAnsi="仿宋" w:eastAsia="仿宋" w:cs="仿宋"/>
                <w:spacing w:val="-4"/>
                <w:sz w:val="21"/>
                <w:szCs w:val="21"/>
              </w:rPr>
              <w:t>一定要交保护所的专业人员妥善处置。</w:t>
            </w:r>
          </w:p>
          <w:p>
            <w:pPr>
              <w:spacing w:before="56" w:line="241" w:lineRule="auto"/>
              <w:ind w:left="119" w:right="124" w:hanging="14"/>
              <w:rPr>
                <w:rFonts w:ascii="仿宋" w:hAnsi="仿宋" w:eastAsia="仿宋" w:cs="仿宋"/>
                <w:sz w:val="21"/>
                <w:szCs w:val="21"/>
              </w:rPr>
            </w:pPr>
            <w:r>
              <w:rPr>
                <w:rFonts w:ascii="仿宋" w:hAnsi="仿宋" w:eastAsia="仿宋" w:cs="仿宋"/>
                <w:sz w:val="21"/>
                <w:szCs w:val="21"/>
              </w:rPr>
              <w:t>⑤做好安全防灾措施。项目业主应督促明确施工承包者的保护责任，在施工</w:t>
            </w:r>
            <w:r>
              <w:rPr>
                <w:rFonts w:ascii="仿宋" w:hAnsi="仿宋" w:eastAsia="仿宋" w:cs="仿宋"/>
                <w:spacing w:val="-1"/>
                <w:sz w:val="21"/>
                <w:szCs w:val="21"/>
              </w:rPr>
              <w:t>区周边山上竖立防</w:t>
            </w:r>
            <w:r>
              <w:rPr>
                <w:rFonts w:ascii="仿宋" w:hAnsi="仿宋" w:eastAsia="仿宋" w:cs="仿宋"/>
                <w:sz w:val="21"/>
                <w:szCs w:val="21"/>
              </w:rPr>
              <w:t xml:space="preserve"> </w:t>
            </w:r>
            <w:r>
              <w:rPr>
                <w:rFonts w:ascii="仿宋" w:hAnsi="仿宋" w:eastAsia="仿宋" w:cs="仿宋"/>
                <w:spacing w:val="-2"/>
                <w:sz w:val="21"/>
                <w:szCs w:val="21"/>
              </w:rPr>
              <w:t>火警示牌，预防森林火灾。</w:t>
            </w:r>
          </w:p>
          <w:p>
            <w:pPr>
              <w:spacing w:before="51" w:line="233" w:lineRule="auto"/>
              <w:ind w:left="111" w:right="334" w:hanging="6"/>
              <w:rPr>
                <w:rFonts w:ascii="仿宋" w:hAnsi="仿宋" w:eastAsia="仿宋" w:cs="仿宋"/>
                <w:sz w:val="21"/>
                <w:szCs w:val="21"/>
              </w:rPr>
            </w:pPr>
            <w:r>
              <w:rPr>
                <w:rFonts w:ascii="仿宋" w:hAnsi="仿宋" w:eastAsia="仿宋" w:cs="仿宋"/>
                <w:sz w:val="21"/>
                <w:szCs w:val="21"/>
              </w:rPr>
              <w:t>⑥制定合理的施工作业时间表，合理安排施工方式、时间，尽可能避免施</w:t>
            </w:r>
            <w:r>
              <w:rPr>
                <w:rFonts w:ascii="仿宋" w:hAnsi="仿宋" w:eastAsia="仿宋" w:cs="仿宋"/>
                <w:spacing w:val="-1"/>
                <w:sz w:val="21"/>
                <w:szCs w:val="21"/>
              </w:rPr>
              <w:t>工对野生动物的惊</w:t>
            </w:r>
            <w:r>
              <w:rPr>
                <w:rFonts w:ascii="仿宋" w:hAnsi="仿宋" w:eastAsia="仿宋" w:cs="仿宋"/>
                <w:sz w:val="21"/>
                <w:szCs w:val="21"/>
              </w:rPr>
              <w:t xml:space="preserve"> </w:t>
            </w:r>
            <w:r>
              <w:rPr>
                <w:rFonts w:ascii="仿宋" w:hAnsi="仿宋" w:eastAsia="仿宋" w:cs="仿宋"/>
                <w:spacing w:val="-7"/>
                <w:sz w:val="21"/>
                <w:szCs w:val="21"/>
              </w:rPr>
              <w:t>扰。</w:t>
            </w:r>
          </w:p>
        </w:tc>
        <w:tc>
          <w:tcPr>
            <w:tcW w:w="1848" w:type="dxa"/>
            <w:tcBorders>
              <w:bottom w:val="single" w:color="000000" w:sz="12" w:space="0"/>
              <w:right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69"/>
              <w:ind w:left="300" w:right="189" w:hanging="95"/>
              <w:rPr>
                <w:rFonts w:ascii="仿宋" w:hAnsi="仿宋" w:eastAsia="仿宋" w:cs="仿宋"/>
                <w:sz w:val="21"/>
                <w:szCs w:val="21"/>
              </w:rPr>
            </w:pPr>
            <w:r>
              <w:rPr>
                <w:rFonts w:ascii="仿宋" w:hAnsi="仿宋" w:eastAsia="仿宋" w:cs="仿宋"/>
                <w:spacing w:val="-4"/>
                <w:sz w:val="21"/>
                <w:szCs w:val="21"/>
              </w:rPr>
              <w:t>降低对植被、动</w:t>
            </w:r>
            <w:r>
              <w:rPr>
                <w:rFonts w:ascii="仿宋" w:hAnsi="仿宋" w:eastAsia="仿宋" w:cs="仿宋"/>
                <w:spacing w:val="2"/>
                <w:sz w:val="21"/>
                <w:szCs w:val="21"/>
              </w:rPr>
              <w:t xml:space="preserve"> </w:t>
            </w:r>
            <w:r>
              <w:rPr>
                <w:rFonts w:ascii="仿宋" w:hAnsi="仿宋" w:eastAsia="仿宋" w:cs="仿宋"/>
                <w:spacing w:val="-3"/>
                <w:sz w:val="21"/>
                <w:szCs w:val="21"/>
              </w:rPr>
              <w:t>物及景观影响</w:t>
            </w:r>
          </w:p>
        </w:tc>
      </w:tr>
    </w:tbl>
    <w:p>
      <w:pPr>
        <w:rPr>
          <w:rFonts w:ascii="Arial"/>
          <w:sz w:val="21"/>
        </w:rPr>
      </w:pPr>
    </w:p>
    <w:p>
      <w:pPr>
        <w:rPr>
          <w:rFonts w:ascii="Arial" w:hAnsi="Arial" w:eastAsia="Arial" w:cs="Arial"/>
          <w:sz w:val="21"/>
          <w:szCs w:val="21"/>
        </w:rPr>
        <w:sectPr>
          <w:headerReference r:id="rId457" w:type="default"/>
          <w:footerReference r:id="rId458" w:type="default"/>
          <w:pgSz w:w="16839" w:h="11907"/>
          <w:pgMar w:top="1156" w:right="1408" w:bottom="1374" w:left="1410" w:header="881" w:footer="1210" w:gutter="0"/>
        </w:sectPr>
      </w:pPr>
    </w:p>
    <w:p>
      <w:pPr>
        <w:spacing w:before="80"/>
      </w:pPr>
    </w:p>
    <w:p>
      <w:pPr>
        <w:spacing w:before="80"/>
      </w:pPr>
    </w:p>
    <w:tbl>
      <w:tblPr>
        <w:tblStyle w:val="5"/>
        <w:tblW w:w="13959" w:type="dxa"/>
        <w:tblInd w:w="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1"/>
        <w:gridCol w:w="1631"/>
        <w:gridCol w:w="8849"/>
        <w:gridCol w:w="1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7" w:hRule="atLeast"/>
        </w:trPr>
        <w:tc>
          <w:tcPr>
            <w:tcW w:w="1631" w:type="dxa"/>
            <w:tcBorders>
              <w:top w:val="single" w:color="000000" w:sz="12" w:space="0"/>
              <w:left w:val="nil"/>
            </w:tcBorders>
            <w:vAlign w:val="top"/>
          </w:tcPr>
          <w:p>
            <w:pPr>
              <w:spacing w:before="43" w:line="219" w:lineRule="auto"/>
              <w:ind w:left="62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类别</w:t>
            </w:r>
          </w:p>
        </w:tc>
        <w:tc>
          <w:tcPr>
            <w:tcW w:w="1631" w:type="dxa"/>
            <w:tcBorders>
              <w:top w:val="single" w:color="000000" w:sz="12" w:space="0"/>
            </w:tcBorders>
            <w:vAlign w:val="top"/>
          </w:tcPr>
          <w:p>
            <w:pPr>
              <w:spacing w:before="59" w:line="209" w:lineRule="auto"/>
              <w:ind w:left="61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8849" w:type="dxa"/>
            <w:tcBorders>
              <w:top w:val="single" w:color="000000" w:sz="12" w:space="0"/>
            </w:tcBorders>
            <w:vAlign w:val="top"/>
          </w:tcPr>
          <w:p>
            <w:pPr>
              <w:spacing w:before="59" w:line="209" w:lineRule="auto"/>
              <w:ind w:left="380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主要控制措施</w:t>
            </w:r>
          </w:p>
        </w:tc>
        <w:tc>
          <w:tcPr>
            <w:tcW w:w="1848" w:type="dxa"/>
            <w:tcBorders>
              <w:top w:val="single" w:color="000000" w:sz="12" w:space="0"/>
              <w:right w:val="nil"/>
            </w:tcBorders>
            <w:vAlign w:val="top"/>
          </w:tcPr>
          <w:p>
            <w:pPr>
              <w:spacing w:before="59" w:line="209" w:lineRule="auto"/>
              <w:ind w:left="723"/>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798" w:hRule="atLeast"/>
        </w:trPr>
        <w:tc>
          <w:tcPr>
            <w:tcW w:w="1631" w:type="dxa"/>
            <w:tcBorders>
              <w:left w:val="nil"/>
              <w:bottom w:val="single" w:color="000000" w:sz="12" w:space="0"/>
            </w:tcBorders>
            <w:vAlign w:val="top"/>
          </w:tcPr>
          <w:p>
            <w:pPr>
              <w:rPr>
                <w:rFonts w:ascii="Arial"/>
                <w:sz w:val="21"/>
              </w:rPr>
            </w:pPr>
          </w:p>
        </w:tc>
        <w:tc>
          <w:tcPr>
            <w:tcW w:w="1631" w:type="dxa"/>
            <w:tcBorders>
              <w:bottom w:val="single" w:color="000000" w:sz="12"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69" w:line="219" w:lineRule="auto"/>
              <w:ind w:left="403"/>
              <w:rPr>
                <w:rFonts w:ascii="仿宋" w:hAnsi="仿宋" w:eastAsia="仿宋" w:cs="仿宋"/>
                <w:sz w:val="21"/>
                <w:szCs w:val="21"/>
              </w:rPr>
            </w:pPr>
            <w:r>
              <w:rPr>
                <w:rFonts w:ascii="仿宋" w:hAnsi="仿宋" w:eastAsia="仿宋" w:cs="仿宋"/>
                <w:spacing w:val="-3"/>
                <w:sz w:val="21"/>
                <w:szCs w:val="21"/>
              </w:rPr>
              <w:t>减缓措施</w:t>
            </w:r>
          </w:p>
        </w:tc>
        <w:tc>
          <w:tcPr>
            <w:tcW w:w="8849" w:type="dxa"/>
            <w:tcBorders>
              <w:bottom w:val="single" w:color="000000" w:sz="12" w:space="0"/>
            </w:tcBorders>
            <w:vAlign w:val="top"/>
          </w:tcPr>
          <w:p>
            <w:pPr>
              <w:spacing w:before="57"/>
              <w:ind w:left="117" w:right="140" w:hanging="11"/>
              <w:rPr>
                <w:rFonts w:ascii="仿宋" w:hAnsi="仿宋" w:eastAsia="仿宋" w:cs="仿宋"/>
                <w:sz w:val="21"/>
                <w:szCs w:val="21"/>
              </w:rPr>
            </w:pPr>
            <w:r>
              <w:rPr>
                <w:rFonts w:ascii="仿宋" w:hAnsi="仿宋" w:eastAsia="仿宋" w:cs="仿宋"/>
                <w:spacing w:val="-5"/>
                <w:sz w:val="21"/>
                <w:szCs w:val="21"/>
              </w:rPr>
              <w:t>①加强施工单位和施工人员的宣传教育，</w:t>
            </w:r>
            <w:r>
              <w:rPr>
                <w:rFonts w:ascii="仿宋" w:hAnsi="仿宋" w:eastAsia="仿宋" w:cs="仿宋"/>
                <w:spacing w:val="75"/>
                <w:sz w:val="21"/>
                <w:szCs w:val="21"/>
              </w:rPr>
              <w:t xml:space="preserve"> </w:t>
            </w:r>
            <w:r>
              <w:rPr>
                <w:rFonts w:ascii="仿宋" w:hAnsi="仿宋" w:eastAsia="仿宋" w:cs="仿宋"/>
                <w:spacing w:val="-5"/>
                <w:sz w:val="21"/>
                <w:szCs w:val="21"/>
              </w:rPr>
              <w:t>严禁猎杀野生动物；施工时要合理安排施工爆破等施</w:t>
            </w:r>
            <w:r>
              <w:rPr>
                <w:rFonts w:ascii="仿宋" w:hAnsi="仿宋" w:eastAsia="仿宋" w:cs="仿宋"/>
                <w:sz w:val="21"/>
                <w:szCs w:val="21"/>
              </w:rPr>
              <w:t xml:space="preserve"> </w:t>
            </w:r>
            <w:r>
              <w:rPr>
                <w:rFonts w:ascii="仿宋" w:hAnsi="仿宋" w:eastAsia="仿宋" w:cs="仿宋"/>
                <w:spacing w:val="-4"/>
                <w:sz w:val="21"/>
                <w:szCs w:val="21"/>
              </w:rPr>
              <w:t>工作业的时间，尽量缩短工期。</w:t>
            </w:r>
          </w:p>
          <w:p>
            <w:pPr>
              <w:spacing w:before="55" w:line="239" w:lineRule="auto"/>
              <w:ind w:left="114" w:right="139" w:hanging="9"/>
              <w:rPr>
                <w:rFonts w:ascii="仿宋" w:hAnsi="仿宋" w:eastAsia="仿宋" w:cs="仿宋"/>
                <w:sz w:val="21"/>
                <w:szCs w:val="21"/>
              </w:rPr>
            </w:pPr>
            <w:r>
              <w:rPr>
                <w:rFonts w:ascii="仿宋" w:hAnsi="仿宋" w:eastAsia="仿宋" w:cs="仿宋"/>
                <w:sz w:val="21"/>
                <w:szCs w:val="21"/>
              </w:rPr>
              <w:t>②保护野生动物的栖息地，施工完毕后及时</w:t>
            </w:r>
            <w:r>
              <w:rPr>
                <w:rFonts w:ascii="仿宋" w:hAnsi="仿宋" w:eastAsia="仿宋" w:cs="仿宋"/>
                <w:spacing w:val="-1"/>
                <w:sz w:val="21"/>
                <w:szCs w:val="21"/>
              </w:rPr>
              <w:t>进行生态恢复，使之有利于动物适应新的生境。对</w:t>
            </w:r>
            <w:r>
              <w:rPr>
                <w:rFonts w:ascii="仿宋" w:hAnsi="仿宋" w:eastAsia="仿宋" w:cs="仿宋"/>
                <w:sz w:val="21"/>
                <w:szCs w:val="21"/>
              </w:rPr>
              <w:t xml:space="preserve"> </w:t>
            </w:r>
            <w:r>
              <w:rPr>
                <w:rFonts w:ascii="仿宋" w:hAnsi="仿宋" w:eastAsia="仿宋" w:cs="仿宋"/>
                <w:spacing w:val="-5"/>
                <w:sz w:val="21"/>
                <w:szCs w:val="21"/>
              </w:rPr>
              <w:t>在施工中遇到的幼兽，</w:t>
            </w:r>
            <w:r>
              <w:rPr>
                <w:rFonts w:ascii="仿宋" w:hAnsi="仿宋" w:eastAsia="仿宋" w:cs="仿宋"/>
                <w:spacing w:val="78"/>
                <w:sz w:val="21"/>
                <w:szCs w:val="21"/>
              </w:rPr>
              <w:t xml:space="preserve"> </w:t>
            </w:r>
            <w:r>
              <w:rPr>
                <w:rFonts w:ascii="仿宋" w:hAnsi="仿宋" w:eastAsia="仿宋" w:cs="仿宋"/>
                <w:spacing w:val="-5"/>
                <w:sz w:val="21"/>
                <w:szCs w:val="21"/>
              </w:rPr>
              <w:t>一定要交给林业局的专业人员，不得擅自处理；对施工中遇到的鸟窝</w:t>
            </w:r>
          </w:p>
          <w:p>
            <w:pPr>
              <w:spacing w:before="55" w:line="241" w:lineRule="auto"/>
              <w:ind w:left="118" w:right="124" w:hanging="5"/>
              <w:rPr>
                <w:rFonts w:ascii="仿宋" w:hAnsi="仿宋" w:eastAsia="仿宋" w:cs="仿宋"/>
                <w:sz w:val="21"/>
                <w:szCs w:val="21"/>
              </w:rPr>
            </w:pPr>
            <w:r>
              <w:rPr>
                <w:rFonts w:ascii="仿宋" w:hAnsi="仿宋" w:eastAsia="仿宋" w:cs="仿宋"/>
                <w:spacing w:val="-7"/>
                <w:sz w:val="21"/>
                <w:szCs w:val="21"/>
              </w:rPr>
              <w:t>（因砍伐树木）</w:t>
            </w:r>
            <w:r>
              <w:rPr>
                <w:rFonts w:ascii="仿宋" w:hAnsi="仿宋" w:eastAsia="仿宋" w:cs="仿宋"/>
                <w:spacing w:val="31"/>
                <w:sz w:val="21"/>
                <w:szCs w:val="21"/>
              </w:rPr>
              <w:t xml:space="preserve"> </w:t>
            </w:r>
            <w:r>
              <w:rPr>
                <w:rFonts w:ascii="仿宋" w:hAnsi="仿宋" w:eastAsia="仿宋" w:cs="仿宋"/>
                <w:spacing w:val="-7"/>
                <w:sz w:val="21"/>
                <w:szCs w:val="21"/>
              </w:rPr>
              <w:t>一定要移到非施工区的其他树上；对在施工中遇到的幼鸟和鸟卵（蛋）</w:t>
            </w:r>
            <w:r>
              <w:rPr>
                <w:rFonts w:ascii="仿宋" w:hAnsi="仿宋" w:eastAsia="仿宋" w:cs="仿宋"/>
                <w:spacing w:val="31"/>
                <w:sz w:val="21"/>
                <w:szCs w:val="21"/>
              </w:rPr>
              <w:t xml:space="preserve"> </w:t>
            </w:r>
            <w:r>
              <w:rPr>
                <w:rFonts w:ascii="仿宋" w:hAnsi="仿宋" w:eastAsia="仿宋" w:cs="仿宋"/>
                <w:spacing w:val="-7"/>
                <w:sz w:val="21"/>
                <w:szCs w:val="21"/>
              </w:rPr>
              <w:t>一定要</w:t>
            </w:r>
            <w:r>
              <w:rPr>
                <w:rFonts w:ascii="仿宋" w:hAnsi="仿宋" w:eastAsia="仿宋" w:cs="仿宋"/>
                <w:sz w:val="21"/>
                <w:szCs w:val="21"/>
              </w:rPr>
              <w:t xml:space="preserve"> </w:t>
            </w:r>
            <w:r>
              <w:rPr>
                <w:rFonts w:ascii="仿宋" w:hAnsi="仿宋" w:eastAsia="仿宋" w:cs="仿宋"/>
                <w:spacing w:val="-2"/>
                <w:sz w:val="21"/>
                <w:szCs w:val="21"/>
              </w:rPr>
              <w:t>交林业局的专业人员妥善处置。</w:t>
            </w:r>
          </w:p>
          <w:p>
            <w:pPr>
              <w:spacing w:before="51" w:line="248" w:lineRule="auto"/>
              <w:ind w:left="112" w:right="124" w:hanging="7"/>
              <w:rPr>
                <w:rFonts w:ascii="仿宋" w:hAnsi="仿宋" w:eastAsia="仿宋" w:cs="仿宋"/>
                <w:sz w:val="21"/>
                <w:szCs w:val="21"/>
              </w:rPr>
            </w:pPr>
            <w:r>
              <w:rPr>
                <w:rFonts w:ascii="仿宋" w:hAnsi="仿宋" w:eastAsia="仿宋" w:cs="仿宋"/>
                <w:sz w:val="21"/>
                <w:szCs w:val="21"/>
              </w:rPr>
              <w:t>③从保护生态与环境的角度出发，建议本项目开发建设前，尽量做好施工规</w:t>
            </w:r>
            <w:r>
              <w:rPr>
                <w:rFonts w:ascii="仿宋" w:hAnsi="仿宋" w:eastAsia="仿宋" w:cs="仿宋"/>
                <w:spacing w:val="-1"/>
                <w:sz w:val="21"/>
                <w:szCs w:val="21"/>
              </w:rPr>
              <w:t>划前期工作；施工</w:t>
            </w:r>
            <w:r>
              <w:rPr>
                <w:rFonts w:ascii="仿宋" w:hAnsi="仿宋" w:eastAsia="仿宋" w:cs="仿宋"/>
                <w:sz w:val="21"/>
                <w:szCs w:val="21"/>
              </w:rPr>
              <w:t xml:space="preserve"> 期间加强取土场、弃渣场防护，加强施工人员生活污水排放</w:t>
            </w:r>
            <w:r>
              <w:rPr>
                <w:rFonts w:ascii="仿宋" w:hAnsi="仿宋" w:eastAsia="仿宋" w:cs="仿宋"/>
                <w:spacing w:val="-1"/>
                <w:sz w:val="21"/>
                <w:szCs w:val="21"/>
              </w:rPr>
              <w:t>管理，减少水体污染；做好工程完</w:t>
            </w:r>
            <w:r>
              <w:rPr>
                <w:rFonts w:ascii="仿宋" w:hAnsi="仿宋" w:eastAsia="仿宋" w:cs="仿宋"/>
                <w:sz w:val="21"/>
                <w:szCs w:val="21"/>
              </w:rPr>
              <w:t xml:space="preserve"> </w:t>
            </w:r>
            <w:r>
              <w:rPr>
                <w:rFonts w:ascii="仿宋" w:hAnsi="仿宋" w:eastAsia="仿宋" w:cs="仿宋"/>
                <w:spacing w:val="-1"/>
                <w:sz w:val="21"/>
                <w:szCs w:val="21"/>
              </w:rPr>
              <w:t>工后生态的恢复工作，以尽量减少因植被破坏</w:t>
            </w:r>
            <w:r>
              <w:rPr>
                <w:rFonts w:ascii="仿宋" w:hAnsi="仿宋" w:eastAsia="仿宋" w:cs="仿宋"/>
                <w:spacing w:val="-2"/>
                <w:sz w:val="21"/>
                <w:szCs w:val="21"/>
              </w:rPr>
              <w:t>对动物带来的不利影响。</w:t>
            </w:r>
          </w:p>
          <w:p>
            <w:pPr>
              <w:spacing w:before="54" w:line="216" w:lineRule="auto"/>
              <w:ind w:left="105"/>
              <w:rPr>
                <w:rFonts w:ascii="仿宋" w:hAnsi="仿宋" w:eastAsia="仿宋" w:cs="仿宋"/>
                <w:sz w:val="21"/>
                <w:szCs w:val="21"/>
              </w:rPr>
            </w:pPr>
            <w:r>
              <w:rPr>
                <w:rFonts w:ascii="仿宋" w:hAnsi="仿宋" w:eastAsia="仿宋" w:cs="仿宋"/>
                <w:sz w:val="21"/>
                <w:szCs w:val="21"/>
              </w:rPr>
              <w:t>④野生鸟类和兽类大多是晨昏外出觅食，正午休息。为了减少工程施工噪</w:t>
            </w:r>
            <w:r>
              <w:rPr>
                <w:rFonts w:ascii="仿宋" w:hAnsi="仿宋" w:eastAsia="仿宋" w:cs="仿宋"/>
                <w:spacing w:val="-1"/>
                <w:sz w:val="21"/>
                <w:szCs w:val="21"/>
              </w:rPr>
              <w:t>声对野生动物的惊</w:t>
            </w:r>
          </w:p>
          <w:p>
            <w:pPr>
              <w:spacing w:before="54" w:line="215" w:lineRule="auto"/>
              <w:ind w:left="112"/>
              <w:rPr>
                <w:rFonts w:ascii="仿宋" w:hAnsi="仿宋" w:eastAsia="仿宋" w:cs="仿宋"/>
                <w:sz w:val="21"/>
                <w:szCs w:val="21"/>
              </w:rPr>
            </w:pPr>
            <w:r>
              <w:rPr>
                <w:rFonts w:ascii="仿宋" w:hAnsi="仿宋" w:eastAsia="仿宋" w:cs="仿宋"/>
                <w:spacing w:val="-1"/>
                <w:sz w:val="21"/>
                <w:szCs w:val="21"/>
              </w:rPr>
              <w:t>扰，应做好施工方式和时间的计划，并力求避免在晨</w:t>
            </w:r>
            <w:r>
              <w:rPr>
                <w:rFonts w:ascii="仿宋" w:hAnsi="仿宋" w:eastAsia="仿宋" w:cs="仿宋"/>
                <w:spacing w:val="-2"/>
                <w:sz w:val="21"/>
                <w:szCs w:val="21"/>
              </w:rPr>
              <w:t>昏和正午爆破施工。</w:t>
            </w:r>
          </w:p>
          <w:p>
            <w:pPr>
              <w:spacing w:before="56"/>
              <w:ind w:left="124" w:right="124" w:hanging="19"/>
              <w:rPr>
                <w:rFonts w:ascii="仿宋" w:hAnsi="仿宋" w:eastAsia="仿宋" w:cs="仿宋"/>
                <w:sz w:val="21"/>
                <w:szCs w:val="21"/>
              </w:rPr>
            </w:pPr>
            <w:r>
              <w:rPr>
                <w:rFonts w:ascii="仿宋" w:hAnsi="仿宋" w:eastAsia="仿宋" w:cs="仿宋"/>
                <w:sz w:val="21"/>
                <w:szCs w:val="21"/>
              </w:rPr>
              <w:t>⑤对施工期产生的生产生活废水进行有效治理后不外排，避免对水体水质造</w:t>
            </w:r>
            <w:r>
              <w:rPr>
                <w:rFonts w:ascii="仿宋" w:hAnsi="仿宋" w:eastAsia="仿宋" w:cs="仿宋"/>
                <w:spacing w:val="-1"/>
                <w:sz w:val="21"/>
                <w:szCs w:val="21"/>
              </w:rPr>
              <w:t>成污染，影响鱼类</w:t>
            </w:r>
            <w:r>
              <w:rPr>
                <w:rFonts w:ascii="仿宋" w:hAnsi="仿宋" w:eastAsia="仿宋" w:cs="仿宋"/>
                <w:sz w:val="21"/>
                <w:szCs w:val="21"/>
              </w:rPr>
              <w:t xml:space="preserve"> </w:t>
            </w:r>
            <w:r>
              <w:rPr>
                <w:rFonts w:ascii="仿宋" w:hAnsi="仿宋" w:eastAsia="仿宋" w:cs="仿宋"/>
                <w:spacing w:val="-2"/>
                <w:sz w:val="21"/>
                <w:szCs w:val="21"/>
              </w:rPr>
              <w:t>生长繁殖；对施工队伍加强环境保护宣传教育，禁止施工人员捕捞河道鱼类资源。</w:t>
            </w:r>
          </w:p>
          <w:p>
            <w:pPr>
              <w:pStyle w:val="6"/>
              <w:spacing w:before="54" w:line="243" w:lineRule="auto"/>
              <w:ind w:left="114" w:right="240" w:hanging="9"/>
              <w:rPr>
                <w:rFonts w:ascii="仿宋" w:hAnsi="仿宋" w:eastAsia="仿宋" w:cs="仿宋"/>
              </w:rPr>
            </w:pPr>
            <w:r>
              <w:rPr>
                <w:rFonts w:ascii="仿宋" w:hAnsi="仿宋" w:eastAsia="仿宋" w:cs="仿宋"/>
                <w:spacing w:val="-1"/>
              </w:rPr>
              <w:t>⑥枢纽工程利用导流输水放空隧洞预埋的</w:t>
            </w:r>
            <w:r>
              <w:rPr>
                <w:rFonts w:ascii="仿宋" w:hAnsi="仿宋" w:eastAsia="仿宋" w:cs="仿宋"/>
                <w:spacing w:val="-33"/>
              </w:rPr>
              <w:t xml:space="preserve"> </w:t>
            </w:r>
            <w:r>
              <w:rPr>
                <w:spacing w:val="-1"/>
              </w:rPr>
              <w:t>DN325</w:t>
            </w:r>
            <w:r>
              <w:rPr>
                <w:spacing w:val="14"/>
              </w:rPr>
              <w:t xml:space="preserve"> </w:t>
            </w:r>
            <w:r>
              <w:rPr>
                <w:rFonts w:ascii="仿宋" w:hAnsi="仿宋" w:eastAsia="仿宋" w:cs="仿宋"/>
                <w:spacing w:val="-1"/>
              </w:rPr>
              <w:t>钢管下泄生态流量；引洪工程、引水工程不</w:t>
            </w:r>
            <w:r>
              <w:rPr>
                <w:rFonts w:ascii="仿宋" w:hAnsi="仿宋" w:eastAsia="仿宋" w:cs="仿宋"/>
              </w:rPr>
              <w:t xml:space="preserve"> </w:t>
            </w:r>
            <w:r>
              <w:rPr>
                <w:rFonts w:ascii="仿宋" w:hAnsi="仿宋" w:eastAsia="仿宋" w:cs="仿宋"/>
                <w:spacing w:val="-1"/>
              </w:rPr>
              <w:t>引水季节直接利用冲沙闸下泄生态流量，汛期引水时段通过引水沟埋设</w:t>
            </w:r>
            <w:r>
              <w:rPr>
                <w:rFonts w:ascii="仿宋" w:hAnsi="仿宋" w:eastAsia="仿宋" w:cs="仿宋"/>
                <w:spacing w:val="-48"/>
              </w:rPr>
              <w:t xml:space="preserve"> </w:t>
            </w:r>
            <w:r>
              <w:rPr>
                <w:spacing w:val="-1"/>
              </w:rPr>
              <w:t>DN15</w:t>
            </w:r>
            <w:r>
              <w:rPr>
                <w:spacing w:val="-2"/>
              </w:rPr>
              <w:t>0</w:t>
            </w:r>
            <w:r>
              <w:rPr>
                <w:spacing w:val="27"/>
                <w:w w:val="101"/>
              </w:rPr>
              <w:t xml:space="preserve"> </w:t>
            </w:r>
            <w:r>
              <w:rPr>
                <w:rFonts w:ascii="仿宋" w:hAnsi="仿宋" w:eastAsia="仿宋" w:cs="仿宋"/>
                <w:spacing w:val="-2"/>
              </w:rPr>
              <w:t>的放水管向下</w:t>
            </w:r>
            <w:r>
              <w:rPr>
                <w:rFonts w:ascii="仿宋" w:hAnsi="仿宋" w:eastAsia="仿宋" w:cs="仿宋"/>
              </w:rPr>
              <w:t xml:space="preserve"> </w:t>
            </w:r>
            <w:r>
              <w:rPr>
                <w:rFonts w:ascii="仿宋" w:hAnsi="仿宋" w:eastAsia="仿宋" w:cs="仿宋"/>
                <w:spacing w:val="-2"/>
              </w:rPr>
              <w:t>游河道供水，并在下游进行实时流量在线监</w:t>
            </w:r>
            <w:r>
              <w:rPr>
                <w:rFonts w:ascii="仿宋" w:hAnsi="仿宋" w:eastAsia="仿宋" w:cs="仿宋"/>
                <w:spacing w:val="-3"/>
              </w:rPr>
              <w:t>测。</w:t>
            </w:r>
          </w:p>
        </w:tc>
        <w:tc>
          <w:tcPr>
            <w:tcW w:w="1848" w:type="dxa"/>
            <w:tcBorders>
              <w:bottom w:val="single" w:color="000000" w:sz="12" w:space="0"/>
              <w:right w:val="nil"/>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459" w:type="default"/>
          <w:pgSz w:w="16839" w:h="11907"/>
          <w:pgMar w:top="1156" w:right="1408" w:bottom="1374" w:left="1410" w:header="881" w:footer="1210" w:gutter="0"/>
        </w:sectPr>
      </w:pPr>
    </w:p>
    <w:p>
      <w:pPr>
        <w:spacing w:before="80"/>
      </w:pPr>
    </w:p>
    <w:p>
      <w:pPr>
        <w:spacing w:before="80"/>
      </w:pPr>
    </w:p>
    <w:tbl>
      <w:tblPr>
        <w:tblStyle w:val="5"/>
        <w:tblW w:w="13974"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6"/>
        <w:gridCol w:w="1631"/>
        <w:gridCol w:w="8849"/>
        <w:gridCol w:w="1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8" w:hRule="atLeast"/>
        </w:trPr>
        <w:tc>
          <w:tcPr>
            <w:tcW w:w="1646" w:type="dxa"/>
            <w:tcBorders>
              <w:top w:val="single" w:color="000000" w:sz="12" w:space="0"/>
              <w:left w:val="nil"/>
            </w:tcBorders>
            <w:vAlign w:val="top"/>
          </w:tcPr>
          <w:p>
            <w:pPr>
              <w:spacing w:before="43" w:line="219" w:lineRule="auto"/>
              <w:ind w:left="63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类别</w:t>
            </w:r>
          </w:p>
        </w:tc>
        <w:tc>
          <w:tcPr>
            <w:tcW w:w="1631" w:type="dxa"/>
            <w:tcBorders>
              <w:top w:val="single" w:color="000000" w:sz="12" w:space="0"/>
            </w:tcBorders>
            <w:vAlign w:val="top"/>
          </w:tcPr>
          <w:p>
            <w:pPr>
              <w:spacing w:before="59" w:line="210" w:lineRule="auto"/>
              <w:ind w:left="61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8849" w:type="dxa"/>
            <w:tcBorders>
              <w:top w:val="single" w:color="000000" w:sz="12" w:space="0"/>
            </w:tcBorders>
            <w:vAlign w:val="top"/>
          </w:tcPr>
          <w:p>
            <w:pPr>
              <w:spacing w:before="59" w:line="210" w:lineRule="auto"/>
              <w:ind w:left="380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主要控制措施</w:t>
            </w:r>
          </w:p>
        </w:tc>
        <w:tc>
          <w:tcPr>
            <w:tcW w:w="1848" w:type="dxa"/>
            <w:tcBorders>
              <w:top w:val="single" w:color="000000" w:sz="12" w:space="0"/>
              <w:right w:val="nil"/>
            </w:tcBorders>
            <w:vAlign w:val="top"/>
          </w:tcPr>
          <w:p>
            <w:pPr>
              <w:spacing w:before="59" w:line="210" w:lineRule="auto"/>
              <w:ind w:left="722"/>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888" w:hRule="atLeast"/>
        </w:trPr>
        <w:tc>
          <w:tcPr>
            <w:tcW w:w="1646" w:type="dxa"/>
            <w:tcBorders>
              <w:left w:val="nil"/>
            </w:tcBorders>
            <w:vAlign w:val="top"/>
          </w:tcPr>
          <w:p>
            <w:pPr>
              <w:rPr>
                <w:rFonts w:ascii="Arial"/>
                <w:sz w:val="21"/>
              </w:rPr>
            </w:pPr>
          </w:p>
        </w:tc>
        <w:tc>
          <w:tcPr>
            <w:tcW w:w="1631"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68" w:line="217" w:lineRule="auto"/>
              <w:ind w:left="404"/>
              <w:rPr>
                <w:rFonts w:ascii="仿宋" w:hAnsi="仿宋" w:eastAsia="仿宋" w:cs="仿宋"/>
                <w:sz w:val="21"/>
                <w:szCs w:val="21"/>
              </w:rPr>
            </w:pPr>
            <w:r>
              <w:rPr>
                <w:rFonts w:ascii="仿宋" w:hAnsi="仿宋" w:eastAsia="仿宋" w:cs="仿宋"/>
                <w:spacing w:val="-5"/>
                <w:sz w:val="21"/>
                <w:szCs w:val="21"/>
              </w:rPr>
              <w:t>补偿措施</w:t>
            </w:r>
          </w:p>
        </w:tc>
        <w:tc>
          <w:tcPr>
            <w:tcW w:w="8849" w:type="dxa"/>
            <w:vAlign w:val="top"/>
          </w:tcPr>
          <w:p>
            <w:pPr>
              <w:pStyle w:val="6"/>
              <w:spacing w:before="55" w:line="253" w:lineRule="auto"/>
              <w:ind w:left="113" w:right="124" w:hanging="7"/>
              <w:jc w:val="both"/>
              <w:rPr>
                <w:rFonts w:ascii="仿宋" w:hAnsi="仿宋" w:eastAsia="仿宋" w:cs="仿宋"/>
              </w:rPr>
            </w:pPr>
            <w:r>
              <w:rPr>
                <w:rFonts w:ascii="仿宋" w:hAnsi="仿宋" w:eastAsia="仿宋" w:cs="仿宋"/>
                <w:spacing w:val="-4"/>
              </w:rPr>
              <w:t>①对于永久性占用的林地，应根据有关规定采取异地补偿的方法恢复</w:t>
            </w:r>
            <w:r>
              <w:rPr>
                <w:rFonts w:ascii="仿宋" w:hAnsi="仿宋" w:eastAsia="仿宋" w:cs="仿宋"/>
                <w:spacing w:val="-5"/>
              </w:rPr>
              <w:t>，</w:t>
            </w:r>
            <w:r>
              <w:rPr>
                <w:rFonts w:ascii="仿宋" w:hAnsi="仿宋" w:eastAsia="仿宋" w:cs="仿宋"/>
                <w:spacing w:val="62"/>
              </w:rPr>
              <w:t xml:space="preserve"> </w:t>
            </w:r>
            <w:r>
              <w:rPr>
                <w:rFonts w:ascii="仿宋" w:hAnsi="仿宋" w:eastAsia="仿宋" w:cs="仿宋"/>
                <w:spacing w:val="-5"/>
              </w:rPr>
              <w:t>原则上应损失多少必须</w:t>
            </w:r>
            <w:r>
              <w:rPr>
                <w:rFonts w:ascii="仿宋" w:hAnsi="仿宋" w:eastAsia="仿宋" w:cs="仿宋"/>
              </w:rPr>
              <w:t xml:space="preserve"> </w:t>
            </w:r>
            <w:r>
              <w:rPr>
                <w:rFonts w:ascii="仿宋" w:hAnsi="仿宋" w:eastAsia="仿宋" w:cs="仿宋"/>
                <w:spacing w:val="-5"/>
              </w:rPr>
              <w:t>补充多少，并采取人工抚育至少</w:t>
            </w:r>
            <w:r>
              <w:rPr>
                <w:rFonts w:ascii="仿宋" w:hAnsi="仿宋" w:eastAsia="仿宋" w:cs="仿宋"/>
                <w:spacing w:val="-31"/>
              </w:rPr>
              <w:t xml:space="preserve"> </w:t>
            </w:r>
            <w:r>
              <w:rPr>
                <w:spacing w:val="-5"/>
              </w:rPr>
              <w:t>5</w:t>
            </w:r>
            <w:r>
              <w:rPr>
                <w:spacing w:val="18"/>
              </w:rPr>
              <w:t xml:space="preserve"> </w:t>
            </w:r>
            <w:r>
              <w:rPr>
                <w:rFonts w:ascii="仿宋" w:hAnsi="仿宋" w:eastAsia="仿宋" w:cs="仿宋"/>
                <w:spacing w:val="-5"/>
              </w:rPr>
              <w:t>年的措施，使每公顷生物量不低于原有水平。</w:t>
            </w:r>
            <w:r>
              <w:rPr>
                <w:rFonts w:ascii="仿宋" w:hAnsi="仿宋" w:eastAsia="仿宋" w:cs="仿宋"/>
                <w:spacing w:val="45"/>
              </w:rPr>
              <w:t xml:space="preserve"> </w:t>
            </w:r>
            <w:r>
              <w:rPr>
                <w:rFonts w:ascii="仿宋" w:hAnsi="仿宋" w:eastAsia="仿宋" w:cs="仿宋"/>
                <w:spacing w:val="-5"/>
              </w:rPr>
              <w:t>并向被征用单</w:t>
            </w:r>
            <w:r>
              <w:rPr>
                <w:rFonts w:ascii="仿宋" w:hAnsi="仿宋" w:eastAsia="仿宋" w:cs="仿宋"/>
              </w:rPr>
              <w:t xml:space="preserve"> 位支付林地补偿费、林木补偿费、安置补助费，向县以上</w:t>
            </w:r>
            <w:r>
              <w:rPr>
                <w:rFonts w:ascii="仿宋" w:hAnsi="仿宋" w:eastAsia="仿宋" w:cs="仿宋"/>
                <w:spacing w:val="-1"/>
              </w:rPr>
              <w:t>林业行政主管部门交纳森林植被恢复</w:t>
            </w:r>
            <w:r>
              <w:rPr>
                <w:rFonts w:ascii="仿宋" w:hAnsi="仿宋" w:eastAsia="仿宋" w:cs="仿宋"/>
              </w:rPr>
              <w:t xml:space="preserve"> </w:t>
            </w:r>
            <w:r>
              <w:rPr>
                <w:rFonts w:ascii="仿宋" w:hAnsi="仿宋" w:eastAsia="仿宋" w:cs="仿宋"/>
                <w:spacing w:val="-11"/>
              </w:rPr>
              <w:t>费。</w:t>
            </w:r>
          </w:p>
          <w:p>
            <w:pPr>
              <w:spacing w:before="50"/>
              <w:ind w:left="114" w:right="125" w:hanging="9"/>
              <w:rPr>
                <w:rFonts w:ascii="仿宋" w:hAnsi="仿宋" w:eastAsia="仿宋" w:cs="仿宋"/>
                <w:sz w:val="21"/>
                <w:szCs w:val="21"/>
              </w:rPr>
            </w:pPr>
            <w:r>
              <w:rPr>
                <w:rFonts w:ascii="仿宋" w:hAnsi="仿宋" w:eastAsia="仿宋" w:cs="仿宋"/>
                <w:sz w:val="21"/>
                <w:szCs w:val="21"/>
              </w:rPr>
              <w:t>②临时用地在施工结束后根据土地原有用途及时恢复，其中林地恢复应采用</w:t>
            </w:r>
            <w:r>
              <w:rPr>
                <w:rFonts w:ascii="仿宋" w:hAnsi="仿宋" w:eastAsia="仿宋" w:cs="仿宋"/>
                <w:spacing w:val="-1"/>
                <w:sz w:val="21"/>
                <w:szCs w:val="21"/>
              </w:rPr>
              <w:t>当地物种，禁止引</w:t>
            </w:r>
            <w:r>
              <w:rPr>
                <w:rFonts w:ascii="仿宋" w:hAnsi="仿宋" w:eastAsia="仿宋" w:cs="仿宋"/>
                <w:sz w:val="21"/>
                <w:szCs w:val="21"/>
              </w:rPr>
              <w:t xml:space="preserve"> </w:t>
            </w:r>
            <w:r>
              <w:rPr>
                <w:rFonts w:ascii="仿宋" w:hAnsi="仿宋" w:eastAsia="仿宋" w:cs="仿宋"/>
                <w:spacing w:val="-3"/>
                <w:sz w:val="21"/>
                <w:szCs w:val="21"/>
              </w:rPr>
              <w:t>进外来物种。</w:t>
            </w:r>
          </w:p>
          <w:p>
            <w:pPr>
              <w:spacing w:before="53"/>
              <w:ind w:left="122" w:right="334" w:hanging="17"/>
              <w:rPr>
                <w:rFonts w:ascii="仿宋" w:hAnsi="仿宋" w:eastAsia="仿宋" w:cs="仿宋"/>
                <w:sz w:val="21"/>
                <w:szCs w:val="21"/>
              </w:rPr>
            </w:pPr>
            <w:r>
              <w:rPr>
                <w:rFonts w:ascii="仿宋" w:hAnsi="仿宋" w:eastAsia="仿宋" w:cs="仿宋"/>
                <w:spacing w:val="-4"/>
                <w:sz w:val="21"/>
                <w:szCs w:val="21"/>
              </w:rPr>
              <w:t>③施工中除了永久占地之外，</w:t>
            </w:r>
            <w:r>
              <w:rPr>
                <w:rFonts w:ascii="仿宋" w:hAnsi="仿宋" w:eastAsia="仿宋" w:cs="仿宋"/>
                <w:spacing w:val="59"/>
                <w:sz w:val="21"/>
                <w:szCs w:val="21"/>
              </w:rPr>
              <w:t xml:space="preserve"> </w:t>
            </w:r>
            <w:r>
              <w:rPr>
                <w:rFonts w:ascii="仿宋" w:hAnsi="仿宋" w:eastAsia="仿宋" w:cs="仿宋"/>
                <w:spacing w:val="-4"/>
                <w:sz w:val="21"/>
                <w:szCs w:val="21"/>
              </w:rPr>
              <w:t>对其他临时占地形成的施工迹地，</w:t>
            </w:r>
            <w:r>
              <w:rPr>
                <w:rFonts w:ascii="仿宋" w:hAnsi="仿宋" w:eastAsia="仿宋" w:cs="仿宋"/>
                <w:spacing w:val="-5"/>
                <w:sz w:val="21"/>
                <w:szCs w:val="21"/>
              </w:rPr>
              <w:t>要按照有关要求进行植被恢</w:t>
            </w:r>
            <w:r>
              <w:rPr>
                <w:rFonts w:ascii="仿宋" w:hAnsi="仿宋" w:eastAsia="仿宋" w:cs="仿宋"/>
                <w:sz w:val="21"/>
                <w:szCs w:val="21"/>
              </w:rPr>
              <w:t xml:space="preserve"> </w:t>
            </w:r>
            <w:r>
              <w:rPr>
                <w:rFonts w:ascii="仿宋" w:hAnsi="仿宋" w:eastAsia="仿宋" w:cs="仿宋"/>
                <w:spacing w:val="-2"/>
                <w:sz w:val="21"/>
                <w:szCs w:val="21"/>
              </w:rPr>
              <w:t>复，并尽量连成片，为陆生动物的迁移和交流有意识地构件新的生物廊道。</w:t>
            </w:r>
          </w:p>
          <w:p>
            <w:pPr>
              <w:pStyle w:val="6"/>
              <w:spacing w:before="54" w:line="249" w:lineRule="auto"/>
              <w:ind w:left="111" w:right="124" w:hanging="6"/>
              <w:jc w:val="both"/>
              <w:rPr>
                <w:rFonts w:ascii="仿宋" w:hAnsi="仿宋" w:eastAsia="仿宋" w:cs="仿宋"/>
              </w:rPr>
            </w:pPr>
            <w:r>
              <w:rPr>
                <w:rFonts w:ascii="仿宋" w:hAnsi="仿宋" w:eastAsia="仿宋" w:cs="仿宋"/>
              </w:rPr>
              <w:t>④项目占用的省级公益林、国家二级公益林类型均为水土保持林。公益林恢</w:t>
            </w:r>
            <w:r>
              <w:rPr>
                <w:rFonts w:ascii="仿宋" w:hAnsi="仿宋" w:eastAsia="仿宋" w:cs="仿宋"/>
                <w:spacing w:val="-1"/>
              </w:rPr>
              <w:t>复按照《生态公益</w:t>
            </w:r>
            <w:r>
              <w:rPr>
                <w:rFonts w:ascii="仿宋" w:hAnsi="仿宋" w:eastAsia="仿宋" w:cs="仿宋"/>
              </w:rPr>
              <w:t xml:space="preserve"> </w:t>
            </w:r>
            <w:r>
              <w:rPr>
                <w:rFonts w:ascii="仿宋" w:hAnsi="仿宋" w:eastAsia="仿宋" w:cs="仿宋"/>
                <w:spacing w:val="-7"/>
              </w:rPr>
              <w:t>林建设导则》（</w:t>
            </w:r>
            <w:r>
              <w:rPr>
                <w:spacing w:val="-7"/>
              </w:rPr>
              <w:t>GB/T18337.1-2001</w:t>
            </w:r>
            <w:r>
              <w:rPr>
                <w:rFonts w:ascii="仿宋" w:hAnsi="仿宋" w:eastAsia="仿宋" w:cs="仿宋"/>
                <w:spacing w:val="-7"/>
              </w:rPr>
              <w:t>）、《生态公益林建设技术规</w:t>
            </w:r>
            <w:r>
              <w:rPr>
                <w:rFonts w:ascii="仿宋" w:hAnsi="仿宋" w:eastAsia="仿宋" w:cs="仿宋"/>
                <w:spacing w:val="-8"/>
              </w:rPr>
              <w:t>程》（</w:t>
            </w:r>
            <w:r>
              <w:rPr>
                <w:spacing w:val="-8"/>
              </w:rPr>
              <w:t>GB/T18337.3-2001</w:t>
            </w:r>
            <w:r>
              <w:rPr>
                <w:rFonts w:ascii="仿宋" w:hAnsi="仿宋" w:eastAsia="仿宋" w:cs="仿宋"/>
                <w:spacing w:val="-8"/>
              </w:rPr>
              <w:t>）要求建</w:t>
            </w:r>
            <w:r>
              <w:rPr>
                <w:rFonts w:ascii="仿宋" w:hAnsi="仿宋" w:eastAsia="仿宋" w:cs="仿宋"/>
              </w:rPr>
              <w:t xml:space="preserve"> </w:t>
            </w:r>
            <w:r>
              <w:rPr>
                <w:rFonts w:ascii="仿宋" w:hAnsi="仿宋" w:eastAsia="仿宋" w:cs="仿宋"/>
                <w:spacing w:val="-11"/>
              </w:rPr>
              <w:t>设。</w:t>
            </w:r>
          </w:p>
          <w:p>
            <w:pPr>
              <w:spacing w:before="50" w:line="229" w:lineRule="auto"/>
              <w:ind w:left="111" w:right="124" w:hanging="6"/>
              <w:rPr>
                <w:rFonts w:ascii="仿宋" w:hAnsi="仿宋" w:eastAsia="仿宋" w:cs="仿宋"/>
                <w:sz w:val="21"/>
                <w:szCs w:val="21"/>
              </w:rPr>
            </w:pPr>
            <w:r>
              <w:rPr>
                <w:rFonts w:ascii="仿宋" w:hAnsi="仿宋" w:eastAsia="仿宋" w:cs="仿宋"/>
                <w:spacing w:val="-4"/>
                <w:sz w:val="21"/>
                <w:szCs w:val="21"/>
              </w:rPr>
              <w:t>⑤粘土料场原占用地类型主要为耕地，施工结束后进行土地复垦。</w:t>
            </w:r>
            <w:r>
              <w:rPr>
                <w:rFonts w:ascii="仿宋" w:hAnsi="仿宋" w:eastAsia="仿宋" w:cs="仿宋"/>
                <w:spacing w:val="51"/>
                <w:sz w:val="21"/>
                <w:szCs w:val="21"/>
              </w:rPr>
              <w:t xml:space="preserve"> </w:t>
            </w:r>
            <w:r>
              <w:rPr>
                <w:rFonts w:ascii="仿宋" w:hAnsi="仿宋" w:eastAsia="仿宋" w:cs="仿宋"/>
                <w:spacing w:val="-4"/>
                <w:sz w:val="21"/>
                <w:szCs w:val="21"/>
              </w:rPr>
              <w:t>风化料场开挖边坡进行人工</w:t>
            </w:r>
            <w:r>
              <w:rPr>
                <w:rFonts w:ascii="仿宋" w:hAnsi="仿宋" w:eastAsia="仿宋" w:cs="仿宋"/>
                <w:sz w:val="21"/>
                <w:szCs w:val="21"/>
              </w:rPr>
              <w:t xml:space="preserve"> </w:t>
            </w:r>
            <w:r>
              <w:rPr>
                <w:rFonts w:ascii="仿宋" w:hAnsi="仿宋" w:eastAsia="仿宋" w:cs="仿宋"/>
                <w:spacing w:val="-2"/>
                <w:sz w:val="21"/>
                <w:szCs w:val="21"/>
              </w:rPr>
              <w:t>植被恢复。砂石料场、弃渣场进行土地复垦和植被恢复。</w:t>
            </w:r>
          </w:p>
        </w:tc>
        <w:tc>
          <w:tcPr>
            <w:tcW w:w="1848" w:type="dxa"/>
            <w:tcBorders>
              <w:right w:val="nil"/>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414" w:hRule="atLeast"/>
        </w:trPr>
        <w:tc>
          <w:tcPr>
            <w:tcW w:w="1646" w:type="dxa"/>
            <w:tcBorders>
              <w:left w:val="nil"/>
              <w:bottom w:val="single" w:color="000000" w:sz="12" w:space="0"/>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68" w:line="239" w:lineRule="auto"/>
              <w:ind w:left="635"/>
              <w:rPr>
                <w:rFonts w:ascii="仿宋" w:hAnsi="仿宋" w:eastAsia="仿宋" w:cs="仿宋"/>
                <w:sz w:val="21"/>
                <w:szCs w:val="21"/>
              </w:rPr>
            </w:pPr>
            <w:r>
              <w:rPr>
                <w:rFonts w:ascii="仿宋" w:hAnsi="仿宋" w:eastAsia="仿宋" w:cs="仿宋"/>
                <w:spacing w:val="-5"/>
                <w:sz w:val="21"/>
                <w:szCs w:val="21"/>
              </w:rPr>
              <w:t>大气</w:t>
            </w:r>
          </w:p>
          <w:p>
            <w:pPr>
              <w:spacing w:line="216" w:lineRule="auto"/>
              <w:ind w:left="532"/>
              <w:rPr>
                <w:rFonts w:ascii="仿宋" w:hAnsi="仿宋" w:eastAsia="仿宋" w:cs="仿宋"/>
                <w:sz w:val="21"/>
                <w:szCs w:val="21"/>
              </w:rPr>
            </w:pPr>
            <w:r>
              <w:rPr>
                <w:rFonts w:ascii="仿宋" w:hAnsi="仿宋" w:eastAsia="仿宋" w:cs="仿宋"/>
                <w:spacing w:val="-5"/>
                <w:sz w:val="21"/>
                <w:szCs w:val="21"/>
              </w:rPr>
              <w:t>污染物</w:t>
            </w:r>
          </w:p>
        </w:tc>
        <w:tc>
          <w:tcPr>
            <w:tcW w:w="1631" w:type="dxa"/>
            <w:tcBorders>
              <w:bottom w:val="single" w:color="000000" w:sz="12"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before="68" w:line="220" w:lineRule="auto"/>
              <w:ind w:left="611"/>
              <w:rPr>
                <w:rFonts w:ascii="仿宋" w:hAnsi="仿宋" w:eastAsia="仿宋" w:cs="仿宋"/>
                <w:sz w:val="21"/>
                <w:szCs w:val="21"/>
              </w:rPr>
            </w:pPr>
            <w:r>
              <w:rPr>
                <w:rFonts w:ascii="仿宋" w:hAnsi="仿宋" w:eastAsia="仿宋" w:cs="仿宋"/>
                <w:spacing w:val="-4"/>
                <w:sz w:val="21"/>
                <w:szCs w:val="21"/>
              </w:rPr>
              <w:t>扬尘</w:t>
            </w:r>
          </w:p>
        </w:tc>
        <w:tc>
          <w:tcPr>
            <w:tcW w:w="8849" w:type="dxa"/>
            <w:tcBorders>
              <w:bottom w:val="single" w:color="000000" w:sz="12" w:space="0"/>
            </w:tcBorders>
            <w:vAlign w:val="top"/>
          </w:tcPr>
          <w:p>
            <w:pPr>
              <w:spacing w:before="73" w:line="243" w:lineRule="auto"/>
              <w:ind w:left="115" w:right="334" w:hanging="9"/>
              <w:rPr>
                <w:rFonts w:ascii="仿宋" w:hAnsi="仿宋" w:eastAsia="仿宋" w:cs="仿宋"/>
                <w:sz w:val="21"/>
                <w:szCs w:val="21"/>
              </w:rPr>
            </w:pPr>
            <w:r>
              <w:rPr>
                <w:rFonts w:ascii="仿宋" w:hAnsi="仿宋" w:eastAsia="仿宋" w:cs="仿宋"/>
                <w:sz w:val="21"/>
                <w:szCs w:val="21"/>
              </w:rPr>
              <w:t>①工程土石方开挖作业施工避开大风天气，并对作业面进行洒水降尘，减</w:t>
            </w:r>
            <w:r>
              <w:rPr>
                <w:rFonts w:ascii="仿宋" w:hAnsi="仿宋" w:eastAsia="仿宋" w:cs="仿宋"/>
                <w:spacing w:val="-1"/>
                <w:sz w:val="21"/>
                <w:szCs w:val="21"/>
              </w:rPr>
              <w:t>少大气污染物产生</w:t>
            </w:r>
            <w:r>
              <w:rPr>
                <w:rFonts w:ascii="仿宋" w:hAnsi="仿宋" w:eastAsia="仿宋" w:cs="仿宋"/>
                <w:sz w:val="21"/>
                <w:szCs w:val="21"/>
              </w:rPr>
              <w:t xml:space="preserve"> </w:t>
            </w:r>
            <w:r>
              <w:rPr>
                <w:rFonts w:ascii="仿宋" w:hAnsi="仿宋" w:eastAsia="仿宋" w:cs="仿宋"/>
                <w:spacing w:val="-12"/>
                <w:sz w:val="21"/>
                <w:szCs w:val="21"/>
              </w:rPr>
              <w:t>量。</w:t>
            </w:r>
          </w:p>
          <w:p>
            <w:pPr>
              <w:spacing w:before="46" w:line="216" w:lineRule="auto"/>
              <w:ind w:left="105"/>
              <w:rPr>
                <w:rFonts w:ascii="仿宋" w:hAnsi="仿宋" w:eastAsia="仿宋" w:cs="仿宋"/>
                <w:sz w:val="21"/>
                <w:szCs w:val="21"/>
              </w:rPr>
            </w:pPr>
            <w:r>
              <w:rPr>
                <w:rFonts w:ascii="仿宋" w:hAnsi="仿宋" w:eastAsia="仿宋" w:cs="仿宋"/>
                <w:spacing w:val="-1"/>
                <w:sz w:val="21"/>
                <w:szCs w:val="21"/>
              </w:rPr>
              <w:t>②混凝土拌合站堆放物料应采取遮盖防尘措施。</w:t>
            </w:r>
          </w:p>
          <w:p>
            <w:pPr>
              <w:spacing w:before="54" w:line="216" w:lineRule="auto"/>
              <w:ind w:left="105"/>
              <w:rPr>
                <w:rFonts w:ascii="仿宋" w:hAnsi="仿宋" w:eastAsia="仿宋" w:cs="仿宋"/>
                <w:sz w:val="21"/>
                <w:szCs w:val="21"/>
              </w:rPr>
            </w:pPr>
            <w:r>
              <w:rPr>
                <w:rFonts w:ascii="仿宋" w:hAnsi="仿宋" w:eastAsia="仿宋" w:cs="仿宋"/>
                <w:sz w:val="21"/>
                <w:szCs w:val="21"/>
              </w:rPr>
              <w:t>③砂石料加工场地采取洒水降尘、砂石料加工</w:t>
            </w:r>
            <w:r>
              <w:rPr>
                <w:rFonts w:ascii="仿宋" w:hAnsi="仿宋" w:eastAsia="仿宋" w:cs="仿宋"/>
                <w:spacing w:val="-1"/>
                <w:sz w:val="21"/>
                <w:szCs w:val="21"/>
              </w:rPr>
              <w:t>区封闭围挡措施。</w:t>
            </w:r>
          </w:p>
          <w:p>
            <w:pPr>
              <w:spacing w:before="54" w:line="215" w:lineRule="auto"/>
              <w:ind w:left="105"/>
              <w:rPr>
                <w:rFonts w:ascii="仿宋" w:hAnsi="仿宋" w:eastAsia="仿宋" w:cs="仿宋"/>
                <w:sz w:val="21"/>
                <w:szCs w:val="21"/>
              </w:rPr>
            </w:pPr>
            <w:r>
              <w:rPr>
                <w:rFonts w:ascii="仿宋" w:hAnsi="仿宋" w:eastAsia="仿宋" w:cs="仿宋"/>
                <w:sz w:val="21"/>
                <w:szCs w:val="21"/>
              </w:rPr>
              <w:t>④水泥等易产生粉尘材料的运输车辆采用封闭运输，避免在运输过程中</w:t>
            </w:r>
            <w:r>
              <w:rPr>
                <w:rFonts w:ascii="仿宋" w:hAnsi="仿宋" w:eastAsia="仿宋" w:cs="仿宋"/>
                <w:spacing w:val="-1"/>
                <w:sz w:val="21"/>
                <w:szCs w:val="21"/>
              </w:rPr>
              <w:t>的产生粉尘污染。</w:t>
            </w:r>
          </w:p>
          <w:p>
            <w:pPr>
              <w:spacing w:before="56" w:line="239" w:lineRule="auto"/>
              <w:ind w:left="127" w:right="124" w:hanging="22"/>
              <w:rPr>
                <w:rFonts w:ascii="仿宋" w:hAnsi="仿宋" w:eastAsia="仿宋" w:cs="仿宋"/>
                <w:sz w:val="21"/>
                <w:szCs w:val="21"/>
              </w:rPr>
            </w:pPr>
            <w:r>
              <w:rPr>
                <w:rFonts w:ascii="仿宋" w:hAnsi="仿宋" w:eastAsia="仿宋" w:cs="仿宋"/>
                <w:sz w:val="21"/>
                <w:szCs w:val="21"/>
              </w:rPr>
              <w:t>⑤砂石料、风化料及土料容易起尘的建筑材料不在项目区内长时间堆放，用</w:t>
            </w:r>
            <w:r>
              <w:rPr>
                <w:rFonts w:ascii="仿宋" w:hAnsi="仿宋" w:eastAsia="仿宋" w:cs="仿宋"/>
                <w:spacing w:val="-1"/>
                <w:sz w:val="21"/>
                <w:szCs w:val="21"/>
              </w:rPr>
              <w:t>多少，拉多少，临</w:t>
            </w:r>
            <w:r>
              <w:rPr>
                <w:rFonts w:ascii="仿宋" w:hAnsi="仿宋" w:eastAsia="仿宋" w:cs="仿宋"/>
                <w:sz w:val="21"/>
                <w:szCs w:val="21"/>
              </w:rPr>
              <w:t xml:space="preserve"> </w:t>
            </w:r>
            <w:r>
              <w:rPr>
                <w:rFonts w:ascii="仿宋" w:hAnsi="仿宋" w:eastAsia="仿宋" w:cs="仿宋"/>
                <w:spacing w:val="-3"/>
                <w:sz w:val="21"/>
                <w:szCs w:val="21"/>
              </w:rPr>
              <w:t>时堆存时采用土工布遮盖。</w:t>
            </w:r>
          </w:p>
          <w:p>
            <w:pPr>
              <w:spacing w:before="56" w:line="202" w:lineRule="auto"/>
              <w:ind w:left="105"/>
              <w:rPr>
                <w:rFonts w:ascii="仿宋" w:hAnsi="仿宋" w:eastAsia="仿宋" w:cs="仿宋"/>
                <w:sz w:val="21"/>
                <w:szCs w:val="21"/>
              </w:rPr>
            </w:pPr>
            <w:r>
              <w:rPr>
                <w:rFonts w:ascii="仿宋" w:hAnsi="仿宋" w:eastAsia="仿宋" w:cs="仿宋"/>
                <w:spacing w:val="-4"/>
                <w:sz w:val="21"/>
                <w:szCs w:val="21"/>
              </w:rPr>
              <w:t>⑥运输车辆限速。</w:t>
            </w:r>
          </w:p>
        </w:tc>
        <w:tc>
          <w:tcPr>
            <w:tcW w:w="1848" w:type="dxa"/>
            <w:tcBorders>
              <w:bottom w:val="single" w:color="000000" w:sz="12" w:space="0"/>
              <w:right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8" w:line="219" w:lineRule="auto"/>
              <w:ind w:left="512"/>
              <w:rPr>
                <w:rFonts w:ascii="仿宋" w:hAnsi="仿宋" w:eastAsia="仿宋" w:cs="仿宋"/>
                <w:sz w:val="21"/>
                <w:szCs w:val="21"/>
              </w:rPr>
            </w:pPr>
            <w:r>
              <w:rPr>
                <w:rFonts w:ascii="仿宋" w:hAnsi="仿宋" w:eastAsia="仿宋" w:cs="仿宋"/>
                <w:spacing w:val="-3"/>
                <w:sz w:val="21"/>
                <w:szCs w:val="21"/>
              </w:rPr>
              <w:t>减少扬尘</w:t>
            </w:r>
          </w:p>
        </w:tc>
      </w:tr>
    </w:tbl>
    <w:p>
      <w:pPr>
        <w:rPr>
          <w:rFonts w:ascii="Arial"/>
          <w:sz w:val="21"/>
        </w:rPr>
      </w:pPr>
    </w:p>
    <w:p>
      <w:pPr>
        <w:rPr>
          <w:rFonts w:ascii="Arial" w:hAnsi="Arial" w:eastAsia="Arial" w:cs="Arial"/>
          <w:sz w:val="21"/>
          <w:szCs w:val="21"/>
        </w:rPr>
        <w:sectPr>
          <w:footerReference r:id="rId460" w:type="default"/>
          <w:pgSz w:w="16839" w:h="11907"/>
          <w:pgMar w:top="1156" w:right="1408" w:bottom="1374" w:left="1410" w:header="881" w:footer="1210" w:gutter="0"/>
        </w:sectPr>
      </w:pPr>
    </w:p>
    <w:p>
      <w:pPr>
        <w:spacing w:before="80"/>
      </w:pPr>
    </w:p>
    <w:p>
      <w:pPr>
        <w:spacing w:before="80"/>
      </w:pPr>
    </w:p>
    <w:tbl>
      <w:tblPr>
        <w:tblStyle w:val="5"/>
        <w:tblW w:w="13974"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6"/>
        <w:gridCol w:w="1631"/>
        <w:gridCol w:w="8849"/>
        <w:gridCol w:w="1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7" w:hRule="atLeast"/>
        </w:trPr>
        <w:tc>
          <w:tcPr>
            <w:tcW w:w="1646" w:type="dxa"/>
            <w:tcBorders>
              <w:top w:val="single" w:color="000000" w:sz="12" w:space="0"/>
              <w:left w:val="nil"/>
            </w:tcBorders>
            <w:vAlign w:val="top"/>
          </w:tcPr>
          <w:p>
            <w:pPr>
              <w:spacing w:before="43" w:line="219" w:lineRule="auto"/>
              <w:ind w:left="63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类别</w:t>
            </w:r>
          </w:p>
        </w:tc>
        <w:tc>
          <w:tcPr>
            <w:tcW w:w="1631" w:type="dxa"/>
            <w:tcBorders>
              <w:top w:val="single" w:color="000000" w:sz="12" w:space="0"/>
            </w:tcBorders>
            <w:vAlign w:val="top"/>
          </w:tcPr>
          <w:p>
            <w:pPr>
              <w:spacing w:before="59" w:line="209" w:lineRule="auto"/>
              <w:ind w:left="61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8849" w:type="dxa"/>
            <w:tcBorders>
              <w:top w:val="single" w:color="000000" w:sz="12" w:space="0"/>
            </w:tcBorders>
            <w:vAlign w:val="top"/>
          </w:tcPr>
          <w:p>
            <w:pPr>
              <w:spacing w:before="59" w:line="209" w:lineRule="auto"/>
              <w:ind w:left="380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主要控制措施</w:t>
            </w:r>
          </w:p>
        </w:tc>
        <w:tc>
          <w:tcPr>
            <w:tcW w:w="1848" w:type="dxa"/>
            <w:tcBorders>
              <w:top w:val="single" w:color="000000" w:sz="12" w:space="0"/>
              <w:right w:val="nil"/>
            </w:tcBorders>
            <w:vAlign w:val="top"/>
          </w:tcPr>
          <w:p>
            <w:pPr>
              <w:spacing w:before="59" w:line="209" w:lineRule="auto"/>
              <w:ind w:left="722"/>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5398" w:hRule="atLeast"/>
        </w:trPr>
        <w:tc>
          <w:tcPr>
            <w:tcW w:w="1646" w:type="dxa"/>
            <w:tcBorders>
              <w:left w:val="nil"/>
              <w:bottom w:val="single" w:color="000000" w:sz="12" w:space="0"/>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68" w:line="217" w:lineRule="auto"/>
              <w:ind w:left="422"/>
              <w:rPr>
                <w:rFonts w:ascii="仿宋" w:hAnsi="仿宋" w:eastAsia="仿宋" w:cs="仿宋"/>
                <w:sz w:val="21"/>
                <w:szCs w:val="21"/>
              </w:rPr>
            </w:pPr>
            <w:r>
              <w:rPr>
                <w:rFonts w:ascii="仿宋" w:hAnsi="仿宋" w:eastAsia="仿宋" w:cs="仿宋"/>
                <w:spacing w:val="-4"/>
                <w:sz w:val="21"/>
                <w:szCs w:val="21"/>
              </w:rPr>
              <w:t>水污染物</w:t>
            </w:r>
          </w:p>
        </w:tc>
        <w:tc>
          <w:tcPr>
            <w:tcW w:w="1631" w:type="dxa"/>
            <w:tcBorders>
              <w:bottom w:val="single" w:color="000000" w:sz="12"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8" w:line="219" w:lineRule="auto"/>
              <w:ind w:left="613"/>
              <w:rPr>
                <w:rFonts w:ascii="仿宋" w:hAnsi="仿宋" w:eastAsia="仿宋" w:cs="仿宋"/>
                <w:sz w:val="21"/>
                <w:szCs w:val="21"/>
              </w:rPr>
            </w:pPr>
            <w:r>
              <w:rPr>
                <w:rFonts w:ascii="仿宋" w:hAnsi="仿宋" w:eastAsia="仿宋" w:cs="仿宋"/>
                <w:spacing w:val="-5"/>
                <w:sz w:val="21"/>
                <w:szCs w:val="21"/>
              </w:rPr>
              <w:t>废水</w:t>
            </w:r>
          </w:p>
        </w:tc>
        <w:tc>
          <w:tcPr>
            <w:tcW w:w="8849" w:type="dxa"/>
            <w:tcBorders>
              <w:bottom w:val="single" w:color="000000" w:sz="12" w:space="0"/>
            </w:tcBorders>
            <w:vAlign w:val="top"/>
          </w:tcPr>
          <w:p>
            <w:pPr>
              <w:pStyle w:val="6"/>
              <w:spacing w:before="58" w:line="241" w:lineRule="auto"/>
              <w:ind w:left="118" w:right="125" w:hanging="12"/>
              <w:rPr>
                <w:rFonts w:ascii="仿宋" w:hAnsi="仿宋" w:eastAsia="仿宋" w:cs="仿宋"/>
              </w:rPr>
            </w:pPr>
            <w:r>
              <w:rPr>
                <w:rFonts w:ascii="仿宋" w:hAnsi="仿宋" w:eastAsia="仿宋" w:cs="仿宋"/>
              </w:rPr>
              <w:t>①砂石料加工系统清洗废经三级沉淀池处理后循环利用，不外排。沉淀池</w:t>
            </w:r>
            <w:r>
              <w:rPr>
                <w:rFonts w:ascii="仿宋" w:hAnsi="仿宋" w:eastAsia="仿宋" w:cs="仿宋"/>
                <w:spacing w:val="-1"/>
              </w:rPr>
              <w:t>为混凝土结构，采用</w:t>
            </w:r>
            <w:r>
              <w:rPr>
                <w:rFonts w:ascii="仿宋" w:hAnsi="仿宋" w:eastAsia="仿宋" w:cs="仿宋"/>
              </w:rPr>
              <w:t xml:space="preserve"> </w:t>
            </w:r>
            <w:r>
              <w:rPr>
                <w:rFonts w:ascii="仿宋" w:hAnsi="仿宋" w:eastAsia="仿宋" w:cs="仿宋"/>
                <w:spacing w:val="-2"/>
              </w:rPr>
              <w:t>三级沉淀处理，总容积</w:t>
            </w:r>
            <w:r>
              <w:rPr>
                <w:rFonts w:ascii="仿宋" w:hAnsi="仿宋" w:eastAsia="仿宋" w:cs="仿宋"/>
                <w:spacing w:val="-43"/>
              </w:rPr>
              <w:t xml:space="preserve"> </w:t>
            </w:r>
            <w:r>
              <w:rPr>
                <w:spacing w:val="-2"/>
              </w:rPr>
              <w:t>30m</w:t>
            </w:r>
            <w:r>
              <w:rPr>
                <w:spacing w:val="-2"/>
                <w:position w:val="7"/>
                <w:sz w:val="14"/>
                <w:szCs w:val="14"/>
              </w:rPr>
              <w:t>3</w:t>
            </w:r>
            <w:r>
              <w:rPr>
                <w:rFonts w:ascii="仿宋" w:hAnsi="仿宋" w:eastAsia="仿宋" w:cs="仿宋"/>
                <w:spacing w:val="-2"/>
              </w:rPr>
              <w:t>。</w:t>
            </w:r>
          </w:p>
          <w:p>
            <w:pPr>
              <w:pStyle w:val="6"/>
              <w:spacing w:before="50" w:line="241" w:lineRule="auto"/>
              <w:ind w:left="108" w:right="545" w:hanging="3"/>
              <w:rPr>
                <w:rFonts w:ascii="仿宋" w:hAnsi="仿宋" w:eastAsia="仿宋" w:cs="仿宋"/>
              </w:rPr>
            </w:pPr>
            <w:r>
              <w:rPr>
                <w:rFonts w:ascii="仿宋" w:hAnsi="仿宋" w:eastAsia="仿宋" w:cs="仿宋"/>
                <w:spacing w:val="-1"/>
              </w:rPr>
              <w:t>②枢纽工程基坑排水设置</w:t>
            </w:r>
            <w:r>
              <w:rPr>
                <w:rFonts w:ascii="仿宋" w:hAnsi="仿宋" w:eastAsia="仿宋" w:cs="仿宋"/>
                <w:spacing w:val="-27"/>
              </w:rPr>
              <w:t xml:space="preserve"> </w:t>
            </w:r>
            <w:r>
              <w:rPr>
                <w:spacing w:val="-1"/>
              </w:rPr>
              <w:t>1</w:t>
            </w:r>
            <w:r>
              <w:rPr>
                <w:spacing w:val="15"/>
                <w:w w:val="101"/>
              </w:rPr>
              <w:t xml:space="preserve"> </w:t>
            </w:r>
            <w:r>
              <w:rPr>
                <w:rFonts w:ascii="仿宋" w:hAnsi="仿宋" w:eastAsia="仿宋" w:cs="仿宋"/>
                <w:spacing w:val="-1"/>
              </w:rPr>
              <w:t>个沉淀池，沉淀池为混凝土结构，采用</w:t>
            </w:r>
            <w:r>
              <w:rPr>
                <w:rFonts w:ascii="仿宋" w:hAnsi="仿宋" w:eastAsia="仿宋" w:cs="仿宋"/>
                <w:spacing w:val="-2"/>
              </w:rPr>
              <w:t>三级沉淀处理，总容积</w:t>
            </w:r>
            <w:r>
              <w:rPr>
                <w:rFonts w:ascii="仿宋" w:hAnsi="仿宋" w:eastAsia="仿宋" w:cs="仿宋"/>
              </w:rPr>
              <w:t xml:space="preserve"> </w:t>
            </w:r>
            <w:r>
              <w:rPr>
                <w:spacing w:val="-1"/>
              </w:rPr>
              <w:t>50m</w:t>
            </w:r>
            <w:r>
              <w:rPr>
                <w:spacing w:val="-1"/>
                <w:position w:val="7"/>
                <w:sz w:val="14"/>
                <w:szCs w:val="14"/>
              </w:rPr>
              <w:t xml:space="preserve">3 </w:t>
            </w:r>
            <w:r>
              <w:rPr>
                <w:rFonts w:ascii="仿宋" w:hAnsi="仿宋" w:eastAsia="仿宋" w:cs="仿宋"/>
                <w:spacing w:val="-1"/>
              </w:rPr>
              <w:t>。基坑排水经沉淀处理后回用于混凝土拌合、洒水降尘及其他施工用</w:t>
            </w:r>
            <w:r>
              <w:rPr>
                <w:rFonts w:ascii="仿宋" w:hAnsi="仿宋" w:eastAsia="仿宋" w:cs="仿宋"/>
                <w:spacing w:val="-2"/>
              </w:rPr>
              <w:t>水，不外排。</w:t>
            </w:r>
          </w:p>
          <w:p>
            <w:pPr>
              <w:pStyle w:val="6"/>
              <w:spacing w:before="51" w:line="249" w:lineRule="auto"/>
              <w:ind w:left="114" w:right="124" w:hanging="9"/>
              <w:rPr>
                <w:rFonts w:ascii="仿宋" w:hAnsi="仿宋" w:eastAsia="仿宋" w:cs="仿宋"/>
              </w:rPr>
            </w:pPr>
            <w:r>
              <w:rPr>
                <w:rFonts w:ascii="仿宋" w:hAnsi="仿宋" w:eastAsia="仿宋" w:cs="仿宋"/>
                <w:spacing w:val="-1"/>
              </w:rPr>
              <w:t>③混凝土拌合站设置</w:t>
            </w:r>
            <w:r>
              <w:rPr>
                <w:rFonts w:ascii="仿宋" w:hAnsi="仿宋" w:eastAsia="仿宋" w:cs="仿宋"/>
                <w:spacing w:val="-28"/>
              </w:rPr>
              <w:t xml:space="preserve"> </w:t>
            </w:r>
            <w:r>
              <w:rPr>
                <w:spacing w:val="-1"/>
              </w:rPr>
              <w:t>1</w:t>
            </w:r>
            <w:r>
              <w:rPr>
                <w:spacing w:val="15"/>
              </w:rPr>
              <w:t xml:space="preserve"> </w:t>
            </w:r>
            <w:r>
              <w:rPr>
                <w:rFonts w:ascii="仿宋" w:hAnsi="仿宋" w:eastAsia="仿宋" w:cs="仿宋"/>
                <w:spacing w:val="-1"/>
              </w:rPr>
              <w:t>个冲洗废水沉淀池，沉淀池为混凝土结构，采用三级沉淀</w:t>
            </w:r>
            <w:r>
              <w:rPr>
                <w:rFonts w:ascii="仿宋" w:hAnsi="仿宋" w:eastAsia="仿宋" w:cs="仿宋"/>
                <w:spacing w:val="-2"/>
              </w:rPr>
              <w:t>处理，总容积</w:t>
            </w:r>
            <w:r>
              <w:rPr>
                <w:rFonts w:ascii="仿宋" w:hAnsi="仿宋" w:eastAsia="仿宋" w:cs="仿宋"/>
              </w:rPr>
              <w:t xml:space="preserve"> </w:t>
            </w:r>
            <w:r>
              <w:rPr>
                <w:spacing w:val="-1"/>
              </w:rPr>
              <w:t>10m</w:t>
            </w:r>
            <w:r>
              <w:rPr>
                <w:spacing w:val="-1"/>
                <w:position w:val="7"/>
                <w:sz w:val="14"/>
                <w:szCs w:val="14"/>
              </w:rPr>
              <w:t xml:space="preserve">3 </w:t>
            </w:r>
            <w:r>
              <w:rPr>
                <w:rFonts w:ascii="仿宋" w:hAnsi="仿宋" w:eastAsia="仿宋" w:cs="仿宋"/>
                <w:spacing w:val="-1"/>
              </w:rPr>
              <w:t>。冲洗废水经沉淀处理后回用于混凝土拌合，不外排。其余施工段</w:t>
            </w:r>
            <w:r>
              <w:rPr>
                <w:rFonts w:ascii="仿宋" w:hAnsi="仿宋" w:eastAsia="仿宋" w:cs="仿宋"/>
                <w:spacing w:val="-2"/>
              </w:rPr>
              <w:t>布置小型移动式混凝  土搅拌设备设置</w:t>
            </w:r>
            <w:r>
              <w:rPr>
                <w:rFonts w:ascii="仿宋" w:hAnsi="仿宋" w:eastAsia="仿宋" w:cs="仿宋"/>
                <w:spacing w:val="-28"/>
              </w:rPr>
              <w:t xml:space="preserve"> </w:t>
            </w:r>
            <w:r>
              <w:rPr>
                <w:spacing w:val="-2"/>
              </w:rPr>
              <w:t>1</w:t>
            </w:r>
            <w:r>
              <w:rPr>
                <w:spacing w:val="16"/>
              </w:rPr>
              <w:t xml:space="preserve"> </w:t>
            </w:r>
            <w:r>
              <w:rPr>
                <w:rFonts w:ascii="仿宋" w:hAnsi="仿宋" w:eastAsia="仿宋" w:cs="仿宋"/>
                <w:spacing w:val="-2"/>
              </w:rPr>
              <w:t>个容积</w:t>
            </w:r>
            <w:r>
              <w:rPr>
                <w:rFonts w:ascii="仿宋" w:hAnsi="仿宋" w:eastAsia="仿宋" w:cs="仿宋"/>
                <w:spacing w:val="-42"/>
              </w:rPr>
              <w:t xml:space="preserve"> </w:t>
            </w:r>
            <w:r>
              <w:rPr>
                <w:spacing w:val="-2"/>
              </w:rPr>
              <w:t>5m</w:t>
            </w:r>
            <w:r>
              <w:rPr>
                <w:spacing w:val="-2"/>
                <w:position w:val="7"/>
                <w:sz w:val="14"/>
                <w:szCs w:val="14"/>
              </w:rPr>
              <w:t>3</w:t>
            </w:r>
            <w:r>
              <w:rPr>
                <w:spacing w:val="26"/>
                <w:w w:val="102"/>
                <w:position w:val="7"/>
                <w:sz w:val="14"/>
                <w:szCs w:val="14"/>
              </w:rPr>
              <w:t xml:space="preserve"> </w:t>
            </w:r>
            <w:r>
              <w:rPr>
                <w:rFonts w:ascii="仿宋" w:hAnsi="仿宋" w:eastAsia="仿宋" w:cs="仿宋"/>
                <w:spacing w:val="-2"/>
              </w:rPr>
              <w:t>的沉淀池，废水经沉淀处</w:t>
            </w:r>
            <w:r>
              <w:rPr>
                <w:rFonts w:ascii="仿宋" w:hAnsi="仿宋" w:eastAsia="仿宋" w:cs="仿宋"/>
                <w:spacing w:val="-3"/>
              </w:rPr>
              <w:t>理后回用于</w:t>
            </w:r>
            <w:r>
              <w:rPr>
                <w:rFonts w:hint="eastAsia" w:ascii="仿宋" w:hAnsi="仿宋" w:eastAsia="仿宋" w:cs="仿宋"/>
                <w:spacing w:val="-3"/>
                <w:lang w:eastAsia="zh-CN"/>
              </w:rPr>
              <w:t>混凝土</w:t>
            </w:r>
            <w:r>
              <w:rPr>
                <w:rFonts w:ascii="仿宋" w:hAnsi="仿宋" w:eastAsia="仿宋" w:cs="仿宋"/>
                <w:spacing w:val="-3"/>
              </w:rPr>
              <w:t>拌合，不外排。</w:t>
            </w:r>
          </w:p>
          <w:p>
            <w:pPr>
              <w:pStyle w:val="6"/>
              <w:spacing w:before="51" w:line="248" w:lineRule="auto"/>
              <w:ind w:left="113" w:right="197" w:hanging="8"/>
              <w:jc w:val="both"/>
              <w:rPr>
                <w:rFonts w:ascii="仿宋" w:hAnsi="仿宋" w:eastAsia="仿宋" w:cs="仿宋"/>
              </w:rPr>
            </w:pPr>
            <w:r>
              <w:rPr>
                <w:rFonts w:ascii="仿宋" w:hAnsi="仿宋" w:eastAsia="仿宋" w:cs="仿宋"/>
                <w:spacing w:val="-4"/>
              </w:rPr>
              <w:t>④枢纽区施工生活区、砂石料场生活区分别设置</w:t>
            </w:r>
            <w:r>
              <w:rPr>
                <w:rFonts w:ascii="仿宋" w:hAnsi="仿宋" w:eastAsia="仿宋" w:cs="仿宋"/>
                <w:spacing w:val="-16"/>
              </w:rPr>
              <w:t xml:space="preserve"> </w:t>
            </w:r>
            <w:r>
              <w:rPr>
                <w:spacing w:val="-4"/>
              </w:rPr>
              <w:t>1</w:t>
            </w:r>
            <w:r>
              <w:rPr>
                <w:spacing w:val="15"/>
                <w:w w:val="101"/>
              </w:rPr>
              <w:t xml:space="preserve"> </w:t>
            </w:r>
            <w:r>
              <w:rPr>
                <w:rFonts w:ascii="仿宋" w:hAnsi="仿宋" w:eastAsia="仿宋" w:cs="仿宋"/>
                <w:spacing w:val="-4"/>
              </w:rPr>
              <w:t>个隔油池和</w:t>
            </w:r>
            <w:r>
              <w:rPr>
                <w:rFonts w:ascii="仿宋" w:hAnsi="仿宋" w:eastAsia="仿宋" w:cs="仿宋"/>
                <w:spacing w:val="-28"/>
              </w:rPr>
              <w:t xml:space="preserve"> </w:t>
            </w:r>
            <w:r>
              <w:rPr>
                <w:spacing w:val="-4"/>
              </w:rPr>
              <w:t>1</w:t>
            </w:r>
            <w:r>
              <w:rPr>
                <w:spacing w:val="16"/>
              </w:rPr>
              <w:t xml:space="preserve"> </w:t>
            </w:r>
            <w:r>
              <w:rPr>
                <w:rFonts w:ascii="仿宋" w:hAnsi="仿宋" w:eastAsia="仿宋" w:cs="仿宋"/>
                <w:spacing w:val="-4"/>
              </w:rPr>
              <w:t>个化粪池，隔油池容积</w:t>
            </w:r>
            <w:r>
              <w:rPr>
                <w:rFonts w:ascii="仿宋" w:hAnsi="仿宋" w:eastAsia="仿宋" w:cs="仿宋"/>
                <w:spacing w:val="-28"/>
              </w:rPr>
              <w:t xml:space="preserve"> </w:t>
            </w:r>
            <w:r>
              <w:rPr>
                <w:spacing w:val="-4"/>
              </w:rPr>
              <w:t>1m</w:t>
            </w:r>
            <w:r>
              <w:rPr>
                <w:spacing w:val="-4"/>
                <w:position w:val="7"/>
                <w:sz w:val="14"/>
                <w:szCs w:val="14"/>
              </w:rPr>
              <w:t>3</w:t>
            </w:r>
            <w:r>
              <w:rPr>
                <w:rFonts w:ascii="仿宋" w:hAnsi="仿宋" w:eastAsia="仿宋" w:cs="仿宋"/>
                <w:spacing w:val="-4"/>
              </w:rPr>
              <w:t>，</w:t>
            </w:r>
            <w:r>
              <w:rPr>
                <w:rFonts w:ascii="仿宋" w:hAnsi="仿宋" w:eastAsia="仿宋" w:cs="仿宋"/>
              </w:rPr>
              <w:t xml:space="preserve"> </w:t>
            </w:r>
            <w:r>
              <w:rPr>
                <w:rFonts w:ascii="仿宋" w:hAnsi="仿宋" w:eastAsia="仿宋" w:cs="仿宋"/>
                <w:spacing w:val="-1"/>
              </w:rPr>
              <w:t>化粪池采用三格化粪池，混凝土结构，容积</w:t>
            </w:r>
            <w:r>
              <w:rPr>
                <w:rFonts w:ascii="仿宋" w:hAnsi="仿宋" w:eastAsia="仿宋" w:cs="仿宋"/>
                <w:spacing w:val="-44"/>
              </w:rPr>
              <w:t xml:space="preserve"> </w:t>
            </w:r>
            <w:r>
              <w:rPr>
                <w:spacing w:val="-1"/>
              </w:rPr>
              <w:t>30m</w:t>
            </w:r>
            <w:r>
              <w:rPr>
                <w:spacing w:val="-1"/>
                <w:position w:val="7"/>
                <w:sz w:val="14"/>
                <w:szCs w:val="14"/>
              </w:rPr>
              <w:t xml:space="preserve">3 </w:t>
            </w:r>
            <w:r>
              <w:rPr>
                <w:rFonts w:ascii="仿宋" w:hAnsi="仿宋" w:eastAsia="仿宋" w:cs="仿宋"/>
                <w:spacing w:val="-1"/>
              </w:rPr>
              <w:t>。生</w:t>
            </w:r>
            <w:r>
              <w:rPr>
                <w:rFonts w:ascii="仿宋" w:hAnsi="仿宋" w:eastAsia="仿宋" w:cs="仿宋"/>
                <w:spacing w:val="-2"/>
              </w:rPr>
              <w:t>活污水进入化粪池处理，并雇用当地村</w:t>
            </w:r>
            <w:r>
              <w:rPr>
                <w:rFonts w:ascii="仿宋" w:hAnsi="仿宋" w:eastAsia="仿宋" w:cs="仿宋"/>
              </w:rPr>
              <w:t xml:space="preserve"> </w:t>
            </w:r>
            <w:r>
              <w:rPr>
                <w:rFonts w:ascii="仿宋" w:hAnsi="仿宋" w:eastAsia="仿宋" w:cs="仿宋"/>
                <w:spacing w:val="-1"/>
              </w:rPr>
              <w:t>民定期清运用作农业肥料，生活污水不外排。</w:t>
            </w:r>
          </w:p>
          <w:p>
            <w:pPr>
              <w:pStyle w:val="6"/>
              <w:spacing w:before="53"/>
              <w:ind w:left="114" w:right="124" w:hanging="9"/>
              <w:rPr>
                <w:rFonts w:ascii="仿宋" w:hAnsi="仿宋" w:eastAsia="仿宋" w:cs="仿宋"/>
              </w:rPr>
            </w:pPr>
            <w:r>
              <w:rPr>
                <w:rFonts w:ascii="仿宋" w:hAnsi="仿宋" w:eastAsia="仿宋" w:cs="仿宋"/>
              </w:rPr>
              <w:t>⑤隧洞涌水经沉淀池处理后外排，因六苴河流域属于蜻蛉河大姚</w:t>
            </w:r>
            <w:r>
              <w:t>-</w:t>
            </w:r>
            <w:r>
              <w:rPr>
                <w:rFonts w:ascii="仿宋" w:hAnsi="仿宋" w:eastAsia="仿宋" w:cs="仿宋"/>
              </w:rPr>
              <w:t>元谋保留</w:t>
            </w:r>
            <w:r>
              <w:rPr>
                <w:rFonts w:ascii="仿宋" w:hAnsi="仿宋" w:eastAsia="仿宋" w:cs="仿宋"/>
                <w:spacing w:val="-1"/>
              </w:rPr>
              <w:t>区，水质目类别Ⅱ</w:t>
            </w:r>
            <w:r>
              <w:rPr>
                <w:rFonts w:ascii="仿宋" w:hAnsi="仿宋" w:eastAsia="仿宋" w:cs="仿宋"/>
              </w:rPr>
              <w:t xml:space="preserve">  类，禁止新建排污口，同时涌水量大，无法全部回用，</w:t>
            </w:r>
            <w:r>
              <w:rPr>
                <w:rFonts w:ascii="仿宋" w:hAnsi="仿宋" w:eastAsia="仿宋" w:cs="仿宋"/>
                <w:spacing w:val="-1"/>
              </w:rPr>
              <w:t>环评提出将隧洞涌水抽至桂花河流域排</w:t>
            </w:r>
          </w:p>
          <w:p>
            <w:pPr>
              <w:pStyle w:val="6"/>
              <w:spacing w:before="54" w:line="248" w:lineRule="auto"/>
              <w:ind w:left="107" w:right="363" w:firstLine="6"/>
            </w:pPr>
            <w:r>
              <w:rPr>
                <w:rFonts w:ascii="仿宋" w:hAnsi="仿宋" w:eastAsia="仿宋" w:cs="仿宋"/>
                <w:spacing w:val="-5"/>
              </w:rPr>
              <w:t>放。马茨河隧洞设沉淀池</w:t>
            </w:r>
            <w:r>
              <w:rPr>
                <w:rFonts w:ascii="仿宋" w:hAnsi="仿宋" w:eastAsia="仿宋" w:cs="仿宋"/>
                <w:spacing w:val="-48"/>
              </w:rPr>
              <w:t xml:space="preserve"> </w:t>
            </w:r>
            <w:r>
              <w:rPr>
                <w:spacing w:val="-5"/>
              </w:rPr>
              <w:t>4</w:t>
            </w:r>
            <w:r>
              <w:rPr>
                <w:spacing w:val="16"/>
              </w:rPr>
              <w:t xml:space="preserve"> </w:t>
            </w:r>
            <w:r>
              <w:rPr>
                <w:rFonts w:ascii="仿宋" w:hAnsi="仿宋" w:eastAsia="仿宋" w:cs="仿宋"/>
                <w:spacing w:val="-5"/>
              </w:rPr>
              <w:t>个（隧洞进出口各</w:t>
            </w:r>
            <w:r>
              <w:rPr>
                <w:rFonts w:ascii="仿宋" w:hAnsi="仿宋" w:eastAsia="仿宋" w:cs="仿宋"/>
                <w:spacing w:val="-27"/>
              </w:rPr>
              <w:t xml:space="preserve"> </w:t>
            </w:r>
            <w:r>
              <w:rPr>
                <w:spacing w:val="-5"/>
              </w:rPr>
              <w:t>1</w:t>
            </w:r>
            <w:r>
              <w:rPr>
                <w:spacing w:val="15"/>
                <w:w w:val="101"/>
              </w:rPr>
              <w:t xml:space="preserve"> </w:t>
            </w:r>
            <w:r>
              <w:rPr>
                <w:rFonts w:ascii="仿宋" w:hAnsi="仿宋" w:eastAsia="仿宋" w:cs="仿宋"/>
                <w:spacing w:val="-5"/>
              </w:rPr>
              <w:t>个</w:t>
            </w:r>
            <w:r>
              <w:rPr>
                <w:rFonts w:ascii="仿宋" w:hAnsi="仿宋" w:eastAsia="仿宋" w:cs="仿宋"/>
                <w:spacing w:val="-34"/>
              </w:rPr>
              <w:t>），</w:t>
            </w:r>
            <w:r>
              <w:rPr>
                <w:rFonts w:ascii="仿宋" w:hAnsi="仿宋" w:eastAsia="仿宋" w:cs="仿宋"/>
                <w:spacing w:val="-5"/>
              </w:rPr>
              <w:t>沉淀池单个容积</w:t>
            </w:r>
            <w:r>
              <w:rPr>
                <w:rFonts w:ascii="仿宋" w:hAnsi="仿宋" w:eastAsia="仿宋" w:cs="仿宋"/>
                <w:spacing w:val="-28"/>
              </w:rPr>
              <w:t xml:space="preserve"> </w:t>
            </w:r>
            <w:r>
              <w:rPr>
                <w:spacing w:val="-5"/>
              </w:rPr>
              <w:t>150m</w:t>
            </w:r>
            <w:r>
              <w:rPr>
                <w:spacing w:val="-5"/>
                <w:position w:val="7"/>
                <w:sz w:val="14"/>
                <w:szCs w:val="14"/>
              </w:rPr>
              <w:t xml:space="preserve">3 </w:t>
            </w:r>
            <w:r>
              <w:rPr>
                <w:rFonts w:ascii="仿宋" w:hAnsi="仿宋" w:eastAsia="仿宋" w:cs="仿宋"/>
                <w:spacing w:val="-5"/>
              </w:rPr>
              <w:t>，水泵</w:t>
            </w:r>
            <w:r>
              <w:rPr>
                <w:rFonts w:ascii="仿宋" w:hAnsi="仿宋" w:eastAsia="仿宋" w:cs="仿宋"/>
                <w:spacing w:val="-50"/>
              </w:rPr>
              <w:t xml:space="preserve"> </w:t>
            </w:r>
            <w:r>
              <w:rPr>
                <w:spacing w:val="-5"/>
              </w:rPr>
              <w:t>4</w:t>
            </w:r>
            <w:r>
              <w:rPr>
                <w:spacing w:val="35"/>
              </w:rPr>
              <w:t xml:space="preserve"> </w:t>
            </w:r>
            <w:r>
              <w:rPr>
                <w:rFonts w:ascii="仿宋" w:hAnsi="仿宋" w:eastAsia="仿宋" w:cs="仿宋"/>
                <w:spacing w:val="-5"/>
              </w:rPr>
              <w:t>台（</w:t>
            </w:r>
            <w:r>
              <w:rPr>
                <w:spacing w:val="-5"/>
              </w:rPr>
              <w:t>2</w:t>
            </w:r>
            <w:r>
              <w:t xml:space="preserve"> </w:t>
            </w:r>
            <w:r>
              <w:rPr>
                <w:rFonts w:ascii="仿宋" w:hAnsi="仿宋" w:eastAsia="仿宋" w:cs="仿宋"/>
                <w:spacing w:val="-2"/>
              </w:rPr>
              <w:t>备</w:t>
            </w:r>
            <w:r>
              <w:rPr>
                <w:rFonts w:ascii="仿宋" w:hAnsi="仿宋" w:eastAsia="仿宋" w:cs="仿宋"/>
                <w:spacing w:val="-44"/>
              </w:rPr>
              <w:t xml:space="preserve"> </w:t>
            </w:r>
            <w:r>
              <w:rPr>
                <w:spacing w:val="-2"/>
              </w:rPr>
              <w:t>2</w:t>
            </w:r>
            <w:r>
              <w:rPr>
                <w:spacing w:val="14"/>
                <w:w w:val="101"/>
              </w:rPr>
              <w:t xml:space="preserve"> </w:t>
            </w:r>
            <w:r>
              <w:rPr>
                <w:rFonts w:ascii="仿宋" w:hAnsi="仿宋" w:eastAsia="仿宋" w:cs="仿宋"/>
                <w:spacing w:val="-2"/>
              </w:rPr>
              <w:t>用</w:t>
            </w:r>
            <w:r>
              <w:rPr>
                <w:rFonts w:ascii="仿宋" w:hAnsi="仿宋" w:eastAsia="仿宋" w:cs="仿宋"/>
                <w:spacing w:val="-58"/>
                <w:w w:val="98"/>
              </w:rPr>
              <w:t>），</w:t>
            </w:r>
            <w:r>
              <w:rPr>
                <w:rFonts w:ascii="仿宋" w:hAnsi="仿宋" w:eastAsia="仿宋" w:cs="仿宋"/>
                <w:spacing w:val="-2"/>
              </w:rPr>
              <w:t>管道</w:t>
            </w:r>
            <w:r>
              <w:rPr>
                <w:rFonts w:ascii="仿宋" w:hAnsi="仿宋" w:eastAsia="仿宋" w:cs="仿宋"/>
                <w:spacing w:val="-49"/>
              </w:rPr>
              <w:t xml:space="preserve"> </w:t>
            </w:r>
            <w:r>
              <w:rPr>
                <w:spacing w:val="-2"/>
              </w:rPr>
              <w:t>4.8km</w:t>
            </w:r>
            <w:r>
              <w:rPr>
                <w:rFonts w:ascii="仿宋" w:hAnsi="仿宋" w:eastAsia="仿宋" w:cs="仿宋"/>
                <w:spacing w:val="-2"/>
              </w:rPr>
              <w:t>；六姑乍箐隧洞设沉淀池</w:t>
            </w:r>
            <w:r>
              <w:rPr>
                <w:rFonts w:ascii="仿宋" w:hAnsi="仿宋" w:eastAsia="仿宋" w:cs="仿宋"/>
                <w:spacing w:val="-47"/>
              </w:rPr>
              <w:t xml:space="preserve"> </w:t>
            </w:r>
            <w:r>
              <w:rPr>
                <w:spacing w:val="-2"/>
              </w:rPr>
              <w:t>2</w:t>
            </w:r>
            <w:r>
              <w:rPr>
                <w:spacing w:val="14"/>
                <w:w w:val="101"/>
              </w:rPr>
              <w:t xml:space="preserve"> </w:t>
            </w:r>
            <w:r>
              <w:rPr>
                <w:rFonts w:ascii="仿宋" w:hAnsi="仿宋" w:eastAsia="仿宋" w:cs="仿宋"/>
                <w:spacing w:val="-2"/>
              </w:rPr>
              <w:t>个（隧洞进出口各</w:t>
            </w:r>
            <w:r>
              <w:rPr>
                <w:rFonts w:ascii="仿宋" w:hAnsi="仿宋" w:eastAsia="仿宋" w:cs="仿宋"/>
                <w:spacing w:val="-28"/>
              </w:rPr>
              <w:t xml:space="preserve"> </w:t>
            </w:r>
            <w:r>
              <w:rPr>
                <w:spacing w:val="-2"/>
              </w:rPr>
              <w:t>1</w:t>
            </w:r>
            <w:r>
              <w:rPr>
                <w:spacing w:val="16"/>
              </w:rPr>
              <w:t xml:space="preserve"> </w:t>
            </w:r>
            <w:r>
              <w:rPr>
                <w:rFonts w:ascii="仿宋" w:hAnsi="仿宋" w:eastAsia="仿宋" w:cs="仿宋"/>
                <w:spacing w:val="-2"/>
              </w:rPr>
              <w:t>个</w:t>
            </w:r>
            <w:r>
              <w:rPr>
                <w:rFonts w:ascii="仿宋" w:hAnsi="仿宋" w:eastAsia="仿宋" w:cs="仿宋"/>
                <w:spacing w:val="-58"/>
                <w:w w:val="98"/>
              </w:rPr>
              <w:t>），</w:t>
            </w:r>
            <w:r>
              <w:rPr>
                <w:rFonts w:ascii="仿宋" w:hAnsi="仿宋" w:eastAsia="仿宋" w:cs="仿宋"/>
                <w:spacing w:val="-2"/>
              </w:rPr>
              <w:t>沉淀池单个容积</w:t>
            </w:r>
            <w:r>
              <w:rPr>
                <w:rFonts w:ascii="仿宋" w:hAnsi="仿宋" w:eastAsia="仿宋" w:cs="仿宋"/>
              </w:rPr>
              <w:t xml:space="preserve"> </w:t>
            </w:r>
            <w:r>
              <w:rPr>
                <w:spacing w:val="-5"/>
              </w:rPr>
              <w:t>30m</w:t>
            </w:r>
            <w:r>
              <w:rPr>
                <w:spacing w:val="-5"/>
                <w:position w:val="7"/>
                <w:sz w:val="14"/>
                <w:szCs w:val="14"/>
              </w:rPr>
              <w:t xml:space="preserve">3 </w:t>
            </w:r>
            <w:r>
              <w:rPr>
                <w:rFonts w:ascii="仿宋" w:hAnsi="仿宋" w:eastAsia="仿宋" w:cs="仿宋"/>
                <w:spacing w:val="-5"/>
              </w:rPr>
              <w:t>，水泵</w:t>
            </w:r>
            <w:r>
              <w:rPr>
                <w:rFonts w:ascii="仿宋" w:hAnsi="仿宋" w:eastAsia="仿宋" w:cs="仿宋"/>
                <w:spacing w:val="-49"/>
              </w:rPr>
              <w:t xml:space="preserve"> </w:t>
            </w:r>
            <w:r>
              <w:rPr>
                <w:spacing w:val="-5"/>
              </w:rPr>
              <w:t>4</w:t>
            </w:r>
            <w:r>
              <w:rPr>
                <w:spacing w:val="34"/>
                <w:w w:val="101"/>
              </w:rPr>
              <w:t xml:space="preserve"> </w:t>
            </w:r>
            <w:r>
              <w:rPr>
                <w:rFonts w:ascii="仿宋" w:hAnsi="仿宋" w:eastAsia="仿宋" w:cs="仿宋"/>
                <w:spacing w:val="-5"/>
              </w:rPr>
              <w:t>台（</w:t>
            </w:r>
            <w:r>
              <w:rPr>
                <w:spacing w:val="-5"/>
              </w:rPr>
              <w:t>2</w:t>
            </w:r>
            <w:r>
              <w:rPr>
                <w:spacing w:val="16"/>
                <w:w w:val="101"/>
              </w:rPr>
              <w:t xml:space="preserve"> </w:t>
            </w:r>
            <w:r>
              <w:rPr>
                <w:rFonts w:ascii="仿宋" w:hAnsi="仿宋" w:eastAsia="仿宋" w:cs="仿宋"/>
                <w:spacing w:val="-5"/>
              </w:rPr>
              <w:t>备</w:t>
            </w:r>
            <w:r>
              <w:rPr>
                <w:rFonts w:ascii="仿宋" w:hAnsi="仿宋" w:eastAsia="仿宋" w:cs="仿宋"/>
                <w:spacing w:val="-49"/>
              </w:rPr>
              <w:t xml:space="preserve"> </w:t>
            </w:r>
            <w:r>
              <w:rPr>
                <w:spacing w:val="-5"/>
              </w:rPr>
              <w:t>2</w:t>
            </w:r>
            <w:r>
              <w:rPr>
                <w:spacing w:val="13"/>
                <w:w w:val="101"/>
              </w:rPr>
              <w:t xml:space="preserve"> </w:t>
            </w:r>
            <w:r>
              <w:rPr>
                <w:rFonts w:ascii="仿宋" w:hAnsi="仿宋" w:eastAsia="仿宋" w:cs="仿宋"/>
                <w:spacing w:val="-5"/>
              </w:rPr>
              <w:t>用</w:t>
            </w:r>
            <w:r>
              <w:rPr>
                <w:rFonts w:ascii="仿宋" w:hAnsi="仿宋" w:eastAsia="仿宋" w:cs="仿宋"/>
                <w:spacing w:val="-26"/>
              </w:rPr>
              <w:t>），</w:t>
            </w:r>
            <w:r>
              <w:rPr>
                <w:rFonts w:ascii="仿宋" w:hAnsi="仿宋" w:eastAsia="仿宋" w:cs="仿宋"/>
                <w:spacing w:val="-5"/>
              </w:rPr>
              <w:t>管道</w:t>
            </w:r>
            <w:r>
              <w:rPr>
                <w:rFonts w:ascii="仿宋" w:hAnsi="仿宋" w:eastAsia="仿宋" w:cs="仿宋"/>
                <w:spacing w:val="-29"/>
              </w:rPr>
              <w:t xml:space="preserve"> </w:t>
            </w:r>
            <w:r>
              <w:rPr>
                <w:spacing w:val="-5"/>
              </w:rPr>
              <w:t>6.2km</w:t>
            </w:r>
            <w:r>
              <w:rPr>
                <w:rFonts w:ascii="仿宋" w:hAnsi="仿宋" w:eastAsia="仿宋" w:cs="仿宋"/>
                <w:spacing w:val="-5"/>
              </w:rPr>
              <w:t>；独格里排隧洞设沉淀池</w:t>
            </w:r>
            <w:r>
              <w:rPr>
                <w:rFonts w:ascii="仿宋" w:hAnsi="仿宋" w:eastAsia="仿宋" w:cs="仿宋"/>
                <w:spacing w:val="-48"/>
              </w:rPr>
              <w:t xml:space="preserve"> </w:t>
            </w:r>
            <w:r>
              <w:rPr>
                <w:spacing w:val="-5"/>
              </w:rPr>
              <w:t>2</w:t>
            </w:r>
            <w:r>
              <w:rPr>
                <w:spacing w:val="16"/>
                <w:w w:val="101"/>
              </w:rPr>
              <w:t xml:space="preserve"> </w:t>
            </w:r>
            <w:r>
              <w:rPr>
                <w:rFonts w:ascii="仿宋" w:hAnsi="仿宋" w:eastAsia="仿宋" w:cs="仿宋"/>
                <w:spacing w:val="-5"/>
              </w:rPr>
              <w:t>个（隧洞进出口各</w:t>
            </w:r>
            <w:r>
              <w:rPr>
                <w:rFonts w:ascii="仿宋" w:hAnsi="仿宋" w:eastAsia="仿宋" w:cs="仿宋"/>
                <w:spacing w:val="-28"/>
              </w:rPr>
              <w:t xml:space="preserve"> </w:t>
            </w:r>
            <w:r>
              <w:rPr>
                <w:spacing w:val="-5"/>
              </w:rPr>
              <w:t>1</w:t>
            </w:r>
          </w:p>
          <w:p>
            <w:pPr>
              <w:pStyle w:val="6"/>
              <w:spacing w:before="54" w:line="217" w:lineRule="auto"/>
              <w:ind w:left="113"/>
              <w:rPr>
                <w:rFonts w:ascii="仿宋" w:hAnsi="仿宋" w:eastAsia="仿宋" w:cs="仿宋"/>
              </w:rPr>
            </w:pPr>
            <w:r>
              <w:rPr>
                <w:rFonts w:ascii="仿宋" w:hAnsi="仿宋" w:eastAsia="仿宋" w:cs="仿宋"/>
                <w:spacing w:val="-7"/>
              </w:rPr>
              <w:t>个</w:t>
            </w:r>
            <w:r>
              <w:rPr>
                <w:rFonts w:ascii="仿宋" w:hAnsi="仿宋" w:eastAsia="仿宋" w:cs="仿宋"/>
                <w:spacing w:val="-44"/>
              </w:rPr>
              <w:t>），</w:t>
            </w:r>
            <w:r>
              <w:rPr>
                <w:rFonts w:ascii="仿宋" w:hAnsi="仿宋" w:eastAsia="仿宋" w:cs="仿宋"/>
                <w:spacing w:val="-7"/>
              </w:rPr>
              <w:t>沉淀池单个容积</w:t>
            </w:r>
            <w:r>
              <w:rPr>
                <w:rFonts w:ascii="仿宋" w:hAnsi="仿宋" w:eastAsia="仿宋" w:cs="仿宋"/>
                <w:spacing w:val="-38"/>
              </w:rPr>
              <w:t xml:space="preserve"> </w:t>
            </w:r>
            <w:r>
              <w:rPr>
                <w:spacing w:val="-7"/>
              </w:rPr>
              <w:t>80m</w:t>
            </w:r>
            <w:r>
              <w:rPr>
                <w:spacing w:val="-7"/>
                <w:position w:val="7"/>
                <w:sz w:val="14"/>
                <w:szCs w:val="14"/>
              </w:rPr>
              <w:t xml:space="preserve">3 </w:t>
            </w:r>
            <w:r>
              <w:rPr>
                <w:rFonts w:ascii="仿宋" w:hAnsi="仿宋" w:eastAsia="仿宋" w:cs="仿宋"/>
                <w:spacing w:val="-7"/>
              </w:rPr>
              <w:t>，水泵</w:t>
            </w:r>
            <w:r>
              <w:rPr>
                <w:rFonts w:ascii="仿宋" w:hAnsi="仿宋" w:eastAsia="仿宋" w:cs="仿宋"/>
                <w:spacing w:val="-50"/>
              </w:rPr>
              <w:t xml:space="preserve"> </w:t>
            </w:r>
            <w:r>
              <w:rPr>
                <w:spacing w:val="-7"/>
              </w:rPr>
              <w:t>4</w:t>
            </w:r>
            <w:r>
              <w:rPr>
                <w:spacing w:val="33"/>
                <w:w w:val="101"/>
              </w:rPr>
              <w:t xml:space="preserve"> </w:t>
            </w:r>
            <w:r>
              <w:rPr>
                <w:rFonts w:ascii="仿宋" w:hAnsi="仿宋" w:eastAsia="仿宋" w:cs="仿宋"/>
                <w:spacing w:val="-7"/>
              </w:rPr>
              <w:t>台（</w:t>
            </w:r>
            <w:r>
              <w:rPr>
                <w:spacing w:val="-7"/>
              </w:rPr>
              <w:t>2</w:t>
            </w:r>
            <w:r>
              <w:rPr>
                <w:spacing w:val="16"/>
                <w:w w:val="101"/>
              </w:rPr>
              <w:t xml:space="preserve"> </w:t>
            </w:r>
            <w:r>
              <w:rPr>
                <w:rFonts w:ascii="仿宋" w:hAnsi="仿宋" w:eastAsia="仿宋" w:cs="仿宋"/>
                <w:spacing w:val="-7"/>
              </w:rPr>
              <w:t>备</w:t>
            </w:r>
            <w:r>
              <w:rPr>
                <w:rFonts w:ascii="仿宋" w:hAnsi="仿宋" w:eastAsia="仿宋" w:cs="仿宋"/>
                <w:spacing w:val="-49"/>
              </w:rPr>
              <w:t xml:space="preserve"> </w:t>
            </w:r>
            <w:r>
              <w:rPr>
                <w:spacing w:val="-7"/>
              </w:rPr>
              <w:t>2</w:t>
            </w:r>
            <w:r>
              <w:rPr>
                <w:spacing w:val="14"/>
                <w:w w:val="101"/>
              </w:rPr>
              <w:t xml:space="preserve"> </w:t>
            </w:r>
            <w:r>
              <w:rPr>
                <w:rFonts w:ascii="仿宋" w:hAnsi="仿宋" w:eastAsia="仿宋" w:cs="仿宋"/>
                <w:spacing w:val="-7"/>
              </w:rPr>
              <w:t>用</w:t>
            </w:r>
            <w:r>
              <w:rPr>
                <w:rFonts w:ascii="仿宋" w:hAnsi="仿宋" w:eastAsia="仿宋" w:cs="仿宋"/>
                <w:spacing w:val="-44"/>
              </w:rPr>
              <w:t>），</w:t>
            </w:r>
            <w:r>
              <w:rPr>
                <w:rFonts w:ascii="仿宋" w:hAnsi="仿宋" w:eastAsia="仿宋" w:cs="仿宋"/>
                <w:spacing w:val="-7"/>
              </w:rPr>
              <w:t xml:space="preserve">管道 </w:t>
            </w:r>
            <w:r>
              <w:rPr>
                <w:spacing w:val="-7"/>
              </w:rPr>
              <w:t>11.3km</w:t>
            </w:r>
            <w:r>
              <w:rPr>
                <w:rFonts w:ascii="仿宋" w:hAnsi="仿宋" w:eastAsia="仿宋" w:cs="仿宋"/>
                <w:spacing w:val="-7"/>
              </w:rPr>
              <w:t>。</w:t>
            </w:r>
          </w:p>
          <w:p>
            <w:pPr>
              <w:spacing w:before="53" w:line="300" w:lineRule="exact"/>
              <w:ind w:left="105"/>
              <w:rPr>
                <w:rFonts w:ascii="仿宋" w:hAnsi="仿宋" w:eastAsia="仿宋" w:cs="仿宋"/>
                <w:sz w:val="21"/>
                <w:szCs w:val="21"/>
              </w:rPr>
            </w:pPr>
            <w:r>
              <w:rPr>
                <w:rFonts w:ascii="仿宋" w:hAnsi="仿宋" w:eastAsia="仿宋" w:cs="仿宋"/>
                <w:spacing w:val="-1"/>
                <w:position w:val="6"/>
                <w:sz w:val="21"/>
                <w:szCs w:val="21"/>
              </w:rPr>
              <w:t>⑥底清基产生的土石方均运至弃渣场，植物清运出库区，不残留在库区</w:t>
            </w:r>
            <w:r>
              <w:rPr>
                <w:rFonts w:ascii="仿宋" w:hAnsi="仿宋" w:eastAsia="仿宋" w:cs="仿宋"/>
                <w:spacing w:val="-2"/>
                <w:position w:val="6"/>
                <w:sz w:val="21"/>
                <w:szCs w:val="21"/>
              </w:rPr>
              <w:t>内。</w:t>
            </w:r>
          </w:p>
          <w:p>
            <w:pPr>
              <w:spacing w:before="1" w:line="201" w:lineRule="auto"/>
              <w:ind w:left="105"/>
              <w:rPr>
                <w:rFonts w:ascii="仿宋" w:hAnsi="仿宋" w:eastAsia="仿宋" w:cs="仿宋"/>
                <w:sz w:val="21"/>
                <w:szCs w:val="21"/>
              </w:rPr>
            </w:pPr>
            <w:r>
              <w:rPr>
                <w:rFonts w:ascii="仿宋" w:hAnsi="仿宋" w:eastAsia="仿宋" w:cs="仿宋"/>
                <w:spacing w:val="-2"/>
                <w:sz w:val="21"/>
                <w:szCs w:val="21"/>
              </w:rPr>
              <w:t>⑦加强施工期间的管理，禁止向河道弃渣。</w:t>
            </w:r>
          </w:p>
        </w:tc>
        <w:tc>
          <w:tcPr>
            <w:tcW w:w="1848" w:type="dxa"/>
            <w:tcBorders>
              <w:bottom w:val="single" w:color="000000" w:sz="12" w:space="0"/>
              <w:right w:val="nil"/>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68" w:line="241" w:lineRule="auto"/>
              <w:ind w:left="822" w:right="189" w:hanging="622"/>
              <w:rPr>
                <w:rFonts w:ascii="仿宋" w:hAnsi="仿宋" w:eastAsia="仿宋" w:cs="仿宋"/>
                <w:sz w:val="21"/>
                <w:szCs w:val="21"/>
              </w:rPr>
            </w:pPr>
            <w:r>
              <w:rPr>
                <w:rFonts w:ascii="仿宋" w:hAnsi="仿宋" w:eastAsia="仿宋" w:cs="仿宋"/>
                <w:spacing w:val="-3"/>
                <w:sz w:val="21"/>
                <w:szCs w:val="21"/>
              </w:rPr>
              <w:t>合理处置，不外</w:t>
            </w:r>
            <w:r>
              <w:rPr>
                <w:rFonts w:ascii="仿宋" w:hAnsi="仿宋" w:eastAsia="仿宋" w:cs="仿宋"/>
                <w:sz w:val="21"/>
                <w:szCs w:val="21"/>
              </w:rPr>
              <w:t xml:space="preserve"> 排</w:t>
            </w:r>
          </w:p>
        </w:tc>
      </w:tr>
    </w:tbl>
    <w:p>
      <w:pPr>
        <w:rPr>
          <w:rFonts w:ascii="Arial"/>
          <w:sz w:val="21"/>
        </w:rPr>
      </w:pPr>
    </w:p>
    <w:p>
      <w:pPr>
        <w:rPr>
          <w:rFonts w:ascii="Arial" w:hAnsi="Arial" w:eastAsia="Arial" w:cs="Arial"/>
          <w:sz w:val="21"/>
          <w:szCs w:val="21"/>
        </w:rPr>
        <w:sectPr>
          <w:footerReference r:id="rId461" w:type="default"/>
          <w:pgSz w:w="16839" w:h="11907"/>
          <w:pgMar w:top="1156" w:right="1408" w:bottom="1374" w:left="1410" w:header="881" w:footer="1210" w:gutter="0"/>
        </w:sectPr>
      </w:pPr>
    </w:p>
    <w:p>
      <w:pPr>
        <w:spacing w:before="80"/>
      </w:pPr>
      <w:r>
        <w:pict>
          <v:rect id="_x0000_s1032" o:spid="_x0000_s1032" o:spt="1" style="position:absolute;left:0pt;margin-left:71.25pt;margin-top:499.2pt;height:1.5pt;width:698.7pt;mso-position-horizontal-relative:page;mso-position-vertical-relative:page;z-index:251917312;mso-width-relative:page;mso-height-relative:page;" fillcolor="#000000" filled="t" stroked="f" coordsize="21600,21600" o:allowincell="f">
            <v:path/>
            <v:fill on="t" focussize="0,0"/>
            <v:stroke on="f"/>
            <v:imagedata o:title=""/>
            <o:lock v:ext="edit"/>
          </v:rect>
        </w:pict>
      </w:r>
    </w:p>
    <w:p>
      <w:pPr>
        <w:spacing w:before="80"/>
      </w:pPr>
    </w:p>
    <w:tbl>
      <w:tblPr>
        <w:tblStyle w:val="5"/>
        <w:tblW w:w="13959" w:type="dxa"/>
        <w:tblInd w:w="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1"/>
        <w:gridCol w:w="1631"/>
        <w:gridCol w:w="8849"/>
        <w:gridCol w:w="1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9" w:hRule="atLeast"/>
        </w:trPr>
        <w:tc>
          <w:tcPr>
            <w:tcW w:w="1631" w:type="dxa"/>
            <w:tcBorders>
              <w:top w:val="single" w:color="000000" w:sz="12" w:space="0"/>
              <w:left w:val="nil"/>
            </w:tcBorders>
            <w:vAlign w:val="top"/>
          </w:tcPr>
          <w:p>
            <w:pPr>
              <w:spacing w:before="43" w:line="219" w:lineRule="auto"/>
              <w:ind w:left="62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类别</w:t>
            </w:r>
          </w:p>
        </w:tc>
        <w:tc>
          <w:tcPr>
            <w:tcW w:w="1631" w:type="dxa"/>
            <w:tcBorders>
              <w:top w:val="single" w:color="000000" w:sz="12" w:space="0"/>
            </w:tcBorders>
            <w:vAlign w:val="top"/>
          </w:tcPr>
          <w:p>
            <w:pPr>
              <w:spacing w:before="60" w:line="210" w:lineRule="auto"/>
              <w:ind w:left="61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8849" w:type="dxa"/>
            <w:tcBorders>
              <w:top w:val="single" w:color="000000" w:sz="12" w:space="0"/>
            </w:tcBorders>
            <w:vAlign w:val="top"/>
          </w:tcPr>
          <w:p>
            <w:pPr>
              <w:spacing w:before="60" w:line="210" w:lineRule="auto"/>
              <w:ind w:left="380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主要控制措施</w:t>
            </w:r>
          </w:p>
        </w:tc>
        <w:tc>
          <w:tcPr>
            <w:tcW w:w="1848" w:type="dxa"/>
            <w:tcBorders>
              <w:top w:val="single" w:color="000000" w:sz="12" w:space="0"/>
              <w:right w:val="nil"/>
            </w:tcBorders>
            <w:vAlign w:val="top"/>
          </w:tcPr>
          <w:p>
            <w:pPr>
              <w:spacing w:before="60" w:line="210" w:lineRule="auto"/>
              <w:ind w:left="723"/>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299" w:hRule="atLeast"/>
        </w:trPr>
        <w:tc>
          <w:tcPr>
            <w:tcW w:w="1631" w:type="dxa"/>
            <w:tcBorders>
              <w:left w:val="nil"/>
            </w:tcBorders>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68" w:line="218" w:lineRule="auto"/>
              <w:ind w:left="627"/>
              <w:rPr>
                <w:rFonts w:ascii="仿宋" w:hAnsi="仿宋" w:eastAsia="仿宋" w:cs="仿宋"/>
                <w:sz w:val="21"/>
                <w:szCs w:val="21"/>
              </w:rPr>
            </w:pPr>
            <w:r>
              <w:rPr>
                <w:rFonts w:ascii="仿宋" w:hAnsi="仿宋" w:eastAsia="仿宋" w:cs="仿宋"/>
                <w:spacing w:val="-6"/>
                <w:sz w:val="21"/>
                <w:szCs w:val="21"/>
              </w:rPr>
              <w:t>噪声</w:t>
            </w:r>
          </w:p>
        </w:tc>
        <w:tc>
          <w:tcPr>
            <w:tcW w:w="1631"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8" w:line="218" w:lineRule="auto"/>
              <w:ind w:left="620"/>
              <w:rPr>
                <w:rFonts w:ascii="仿宋" w:hAnsi="仿宋" w:eastAsia="仿宋" w:cs="仿宋"/>
                <w:sz w:val="21"/>
                <w:szCs w:val="21"/>
              </w:rPr>
            </w:pPr>
            <w:r>
              <w:rPr>
                <w:rFonts w:ascii="仿宋" w:hAnsi="仿宋" w:eastAsia="仿宋" w:cs="仿宋"/>
                <w:spacing w:val="-6"/>
                <w:sz w:val="21"/>
                <w:szCs w:val="21"/>
              </w:rPr>
              <w:t>噪声</w:t>
            </w:r>
          </w:p>
        </w:tc>
        <w:tc>
          <w:tcPr>
            <w:tcW w:w="8849" w:type="dxa"/>
            <w:vAlign w:val="top"/>
          </w:tcPr>
          <w:p>
            <w:pPr>
              <w:spacing w:before="56"/>
              <w:ind w:left="115" w:right="124" w:hanging="9"/>
              <w:rPr>
                <w:rFonts w:ascii="仿宋" w:hAnsi="仿宋" w:eastAsia="仿宋" w:cs="仿宋"/>
                <w:sz w:val="21"/>
                <w:szCs w:val="21"/>
              </w:rPr>
            </w:pPr>
            <w:r>
              <w:rPr>
                <w:rFonts w:ascii="仿宋" w:hAnsi="仿宋" w:eastAsia="仿宋" w:cs="仿宋"/>
                <w:sz w:val="21"/>
                <w:szCs w:val="21"/>
              </w:rPr>
              <w:t>①选用低噪声机械设备，同时加强施工设备的维护和保养，对振动大的机械</w:t>
            </w:r>
            <w:r>
              <w:rPr>
                <w:rFonts w:ascii="仿宋" w:hAnsi="仿宋" w:eastAsia="仿宋" w:cs="仿宋"/>
                <w:spacing w:val="-1"/>
                <w:sz w:val="21"/>
                <w:szCs w:val="21"/>
              </w:rPr>
              <w:t>设备使用减振基座</w:t>
            </w:r>
            <w:r>
              <w:rPr>
                <w:rFonts w:ascii="仿宋" w:hAnsi="仿宋" w:eastAsia="仿宋" w:cs="仿宋"/>
                <w:sz w:val="21"/>
                <w:szCs w:val="21"/>
              </w:rPr>
              <w:t xml:space="preserve"> </w:t>
            </w:r>
            <w:r>
              <w:rPr>
                <w:rFonts w:ascii="仿宋" w:hAnsi="仿宋" w:eastAsia="仿宋" w:cs="仿宋"/>
                <w:spacing w:val="-3"/>
                <w:sz w:val="21"/>
                <w:szCs w:val="21"/>
              </w:rPr>
              <w:t>或减振垫，从根本上降低噪声源强。</w:t>
            </w:r>
          </w:p>
          <w:p>
            <w:pPr>
              <w:spacing w:before="53"/>
              <w:ind w:left="132" w:right="124" w:hanging="27"/>
              <w:rPr>
                <w:rFonts w:ascii="仿宋" w:hAnsi="仿宋" w:eastAsia="仿宋" w:cs="仿宋"/>
                <w:sz w:val="21"/>
                <w:szCs w:val="21"/>
              </w:rPr>
            </w:pPr>
            <w:r>
              <w:rPr>
                <w:rFonts w:ascii="仿宋" w:hAnsi="仿宋" w:eastAsia="仿宋" w:cs="仿宋"/>
                <w:sz w:val="21"/>
                <w:szCs w:val="21"/>
              </w:rPr>
              <w:t>②合理安排施工时间表，禁止夜间进行作业，若需要在夜间进行抢险工作日</w:t>
            </w:r>
            <w:r>
              <w:rPr>
                <w:rFonts w:ascii="仿宋" w:hAnsi="仿宋" w:eastAsia="仿宋" w:cs="仿宋"/>
                <w:spacing w:val="-1"/>
                <w:sz w:val="21"/>
                <w:szCs w:val="21"/>
              </w:rPr>
              <w:t>时应提前向管理部</w:t>
            </w:r>
            <w:r>
              <w:rPr>
                <w:rFonts w:ascii="仿宋" w:hAnsi="仿宋" w:eastAsia="仿宋" w:cs="仿宋"/>
                <w:sz w:val="21"/>
                <w:szCs w:val="21"/>
              </w:rPr>
              <w:t xml:space="preserve"> </w:t>
            </w:r>
            <w:r>
              <w:rPr>
                <w:rFonts w:ascii="仿宋" w:hAnsi="仿宋" w:eastAsia="仿宋" w:cs="仿宋"/>
                <w:spacing w:val="-4"/>
                <w:sz w:val="21"/>
                <w:szCs w:val="21"/>
              </w:rPr>
              <w:t>门进行申报，并告知周围居民。</w:t>
            </w:r>
          </w:p>
          <w:p>
            <w:pPr>
              <w:spacing w:before="54" w:line="215" w:lineRule="auto"/>
              <w:ind w:left="105"/>
              <w:rPr>
                <w:rFonts w:ascii="仿宋" w:hAnsi="仿宋" w:eastAsia="仿宋" w:cs="仿宋"/>
                <w:sz w:val="21"/>
                <w:szCs w:val="21"/>
              </w:rPr>
            </w:pPr>
            <w:r>
              <w:rPr>
                <w:rFonts w:ascii="仿宋" w:hAnsi="仿宋" w:eastAsia="仿宋" w:cs="仿宋"/>
                <w:spacing w:val="-1"/>
                <w:sz w:val="21"/>
                <w:szCs w:val="21"/>
              </w:rPr>
              <w:t>③运输车辆限速，禁止长时间鸣笛</w:t>
            </w:r>
          </w:p>
          <w:p>
            <w:pPr>
              <w:spacing w:before="55" w:line="217" w:lineRule="auto"/>
              <w:ind w:left="105"/>
              <w:rPr>
                <w:rFonts w:ascii="仿宋" w:hAnsi="仿宋" w:eastAsia="仿宋" w:cs="仿宋"/>
                <w:sz w:val="21"/>
                <w:szCs w:val="21"/>
              </w:rPr>
            </w:pPr>
            <w:r>
              <w:rPr>
                <w:rFonts w:ascii="仿宋" w:hAnsi="仿宋" w:eastAsia="仿宋" w:cs="仿宋"/>
                <w:sz w:val="21"/>
                <w:szCs w:val="21"/>
              </w:rPr>
              <w:t>④合理安排施工时间，避免夜间爆破，通过控制一次起爆的总导爆索量、总</w:t>
            </w:r>
            <w:r>
              <w:rPr>
                <w:rFonts w:ascii="仿宋" w:hAnsi="仿宋" w:eastAsia="仿宋" w:cs="仿宋"/>
                <w:spacing w:val="-1"/>
                <w:sz w:val="21"/>
                <w:szCs w:val="21"/>
              </w:rPr>
              <w:t>炸药量和起爆方式</w:t>
            </w:r>
          </w:p>
          <w:p>
            <w:pPr>
              <w:spacing w:before="52" w:line="300" w:lineRule="exact"/>
              <w:ind w:left="123"/>
              <w:rPr>
                <w:rFonts w:ascii="仿宋" w:hAnsi="仿宋" w:eastAsia="仿宋" w:cs="仿宋"/>
                <w:sz w:val="21"/>
                <w:szCs w:val="21"/>
              </w:rPr>
            </w:pPr>
            <w:r>
              <w:rPr>
                <w:rFonts w:ascii="仿宋" w:hAnsi="仿宋" w:eastAsia="仿宋" w:cs="仿宋"/>
                <w:spacing w:val="-1"/>
                <w:position w:val="6"/>
                <w:sz w:val="21"/>
                <w:szCs w:val="21"/>
              </w:rPr>
              <w:t>降低振动及噪声，控制爆破抛头方向，避免正面爆破噪声指</w:t>
            </w:r>
          </w:p>
          <w:p>
            <w:pPr>
              <w:spacing w:before="1" w:line="218" w:lineRule="auto"/>
              <w:ind w:left="140"/>
              <w:rPr>
                <w:rFonts w:ascii="仿宋" w:hAnsi="仿宋" w:eastAsia="仿宋" w:cs="仿宋"/>
                <w:sz w:val="21"/>
                <w:szCs w:val="21"/>
              </w:rPr>
            </w:pPr>
            <w:r>
              <w:rPr>
                <w:rFonts w:ascii="仿宋" w:hAnsi="仿宋" w:eastAsia="仿宋" w:cs="仿宋"/>
                <w:spacing w:val="-12"/>
                <w:sz w:val="21"/>
                <w:szCs w:val="21"/>
              </w:rPr>
              <w:t>向敏感点。</w:t>
            </w:r>
          </w:p>
          <w:p>
            <w:pPr>
              <w:spacing w:before="50"/>
              <w:ind w:left="115" w:right="124" w:hanging="10"/>
              <w:rPr>
                <w:rFonts w:ascii="仿宋" w:hAnsi="仿宋" w:eastAsia="仿宋" w:cs="仿宋"/>
                <w:sz w:val="21"/>
                <w:szCs w:val="21"/>
              </w:rPr>
            </w:pPr>
            <w:r>
              <w:rPr>
                <w:rFonts w:ascii="仿宋" w:hAnsi="仿宋" w:eastAsia="仿宋" w:cs="仿宋"/>
                <w:sz w:val="21"/>
                <w:szCs w:val="21"/>
              </w:rPr>
              <w:t>⑤物资材料运输、渣场运输避免夜间运输，减少对运输沿线村庄的影响时间</w:t>
            </w:r>
            <w:r>
              <w:rPr>
                <w:rFonts w:ascii="仿宋" w:hAnsi="仿宋" w:eastAsia="仿宋" w:cs="仿宋"/>
                <w:spacing w:val="-1"/>
                <w:sz w:val="21"/>
                <w:szCs w:val="21"/>
              </w:rPr>
              <w:t>。物资材料运输尽</w:t>
            </w:r>
            <w:r>
              <w:rPr>
                <w:rFonts w:ascii="仿宋" w:hAnsi="仿宋" w:eastAsia="仿宋" w:cs="仿宋"/>
                <w:sz w:val="21"/>
                <w:szCs w:val="21"/>
              </w:rPr>
              <w:t xml:space="preserve"> </w:t>
            </w:r>
            <w:r>
              <w:rPr>
                <w:rFonts w:ascii="仿宋" w:hAnsi="仿宋" w:eastAsia="仿宋" w:cs="仿宋"/>
                <w:spacing w:val="-3"/>
                <w:sz w:val="21"/>
                <w:szCs w:val="21"/>
              </w:rPr>
              <w:t>量安排在白天进行，减少夜间运输。</w:t>
            </w:r>
          </w:p>
          <w:p>
            <w:pPr>
              <w:spacing w:before="56" w:line="204" w:lineRule="auto"/>
              <w:ind w:left="105"/>
              <w:rPr>
                <w:rFonts w:ascii="仿宋" w:hAnsi="仿宋" w:eastAsia="仿宋" w:cs="仿宋"/>
                <w:sz w:val="21"/>
                <w:szCs w:val="21"/>
              </w:rPr>
            </w:pPr>
            <w:r>
              <w:rPr>
                <w:rFonts w:ascii="仿宋" w:hAnsi="仿宋" w:eastAsia="仿宋" w:cs="仿宋"/>
                <w:spacing w:val="-2"/>
                <w:sz w:val="21"/>
                <w:szCs w:val="21"/>
              </w:rPr>
              <w:t>⑥施工场地设置围挡，砂石料加工区封闭厂房隔声。</w:t>
            </w:r>
          </w:p>
        </w:tc>
        <w:tc>
          <w:tcPr>
            <w:tcW w:w="1848" w:type="dxa"/>
            <w:tcBorders>
              <w:right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8" w:line="241" w:lineRule="auto"/>
              <w:ind w:left="722" w:right="189" w:hanging="517"/>
              <w:rPr>
                <w:rFonts w:ascii="仿宋" w:hAnsi="仿宋" w:eastAsia="仿宋" w:cs="仿宋"/>
                <w:sz w:val="21"/>
                <w:szCs w:val="21"/>
              </w:rPr>
            </w:pPr>
            <w:r>
              <w:rPr>
                <w:rFonts w:ascii="仿宋" w:hAnsi="仿宋" w:eastAsia="仿宋" w:cs="仿宋"/>
                <w:spacing w:val="-4"/>
                <w:sz w:val="21"/>
                <w:szCs w:val="21"/>
              </w:rPr>
              <w:t>降低对环境不利</w:t>
            </w:r>
            <w:r>
              <w:rPr>
                <w:rFonts w:ascii="仿宋" w:hAnsi="仿宋" w:eastAsia="仿宋" w:cs="仿宋"/>
                <w:spacing w:val="2"/>
                <w:sz w:val="21"/>
                <w:szCs w:val="21"/>
              </w:rPr>
              <w:t xml:space="preserve"> </w:t>
            </w:r>
            <w:r>
              <w:rPr>
                <w:rFonts w:ascii="仿宋" w:hAnsi="仿宋" w:eastAsia="仿宋" w:cs="仿宋"/>
                <w:spacing w:val="-9"/>
                <w:sz w:val="21"/>
                <w:szCs w:val="21"/>
              </w:rPr>
              <w:t>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00" w:hRule="atLeast"/>
        </w:trPr>
        <w:tc>
          <w:tcPr>
            <w:tcW w:w="1631" w:type="dxa"/>
            <w:tcBorders>
              <w:left w:val="nil"/>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68" w:line="217" w:lineRule="auto"/>
              <w:ind w:left="430"/>
              <w:rPr>
                <w:rFonts w:ascii="仿宋" w:hAnsi="仿宋" w:eastAsia="仿宋" w:cs="仿宋"/>
                <w:sz w:val="21"/>
                <w:szCs w:val="21"/>
              </w:rPr>
            </w:pPr>
            <w:r>
              <w:rPr>
                <w:rFonts w:ascii="仿宋" w:hAnsi="仿宋" w:eastAsia="仿宋" w:cs="仿宋"/>
                <w:spacing w:val="-7"/>
                <w:sz w:val="21"/>
                <w:szCs w:val="21"/>
              </w:rPr>
              <w:t>固体废物</w:t>
            </w:r>
          </w:p>
        </w:tc>
        <w:tc>
          <w:tcPr>
            <w:tcW w:w="1631"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before="68" w:line="220" w:lineRule="auto"/>
              <w:ind w:left="633"/>
              <w:rPr>
                <w:rFonts w:ascii="仿宋" w:hAnsi="仿宋" w:eastAsia="仿宋" w:cs="仿宋"/>
                <w:sz w:val="21"/>
                <w:szCs w:val="21"/>
              </w:rPr>
            </w:pPr>
            <w:r>
              <w:rPr>
                <w:rFonts w:ascii="仿宋" w:hAnsi="仿宋" w:eastAsia="仿宋" w:cs="仿宋"/>
                <w:spacing w:val="-10"/>
                <w:sz w:val="21"/>
                <w:szCs w:val="21"/>
              </w:rPr>
              <w:t>固废</w:t>
            </w:r>
          </w:p>
        </w:tc>
        <w:tc>
          <w:tcPr>
            <w:tcW w:w="8849" w:type="dxa"/>
            <w:vAlign w:val="top"/>
          </w:tcPr>
          <w:p>
            <w:pPr>
              <w:spacing w:before="61" w:line="241" w:lineRule="auto"/>
              <w:ind w:left="111" w:right="124" w:hanging="5"/>
              <w:rPr>
                <w:rFonts w:ascii="仿宋" w:hAnsi="仿宋" w:eastAsia="仿宋" w:cs="仿宋"/>
                <w:sz w:val="21"/>
                <w:szCs w:val="21"/>
              </w:rPr>
            </w:pPr>
            <w:r>
              <w:rPr>
                <w:rFonts w:ascii="仿宋" w:hAnsi="仿宋" w:eastAsia="仿宋" w:cs="仿宋"/>
                <w:sz w:val="21"/>
                <w:szCs w:val="21"/>
              </w:rPr>
              <w:t>①项目弃渣运至规划弃渣场堆存。工程水土保持措施将与工程同步实施，</w:t>
            </w:r>
            <w:r>
              <w:rPr>
                <w:rFonts w:ascii="仿宋" w:hAnsi="仿宋" w:eastAsia="仿宋" w:cs="仿宋"/>
                <w:spacing w:val="-1"/>
                <w:sz w:val="21"/>
                <w:szCs w:val="21"/>
              </w:rPr>
              <w:t>在做好渣场的护坡挡</w:t>
            </w:r>
            <w:r>
              <w:rPr>
                <w:rFonts w:ascii="仿宋" w:hAnsi="仿宋" w:eastAsia="仿宋" w:cs="仿宋"/>
                <w:sz w:val="21"/>
                <w:szCs w:val="21"/>
              </w:rPr>
              <w:t xml:space="preserve"> </w:t>
            </w:r>
            <w:r>
              <w:rPr>
                <w:rFonts w:ascii="仿宋" w:hAnsi="仿宋" w:eastAsia="仿宋" w:cs="仿宋"/>
                <w:spacing w:val="-3"/>
                <w:sz w:val="21"/>
                <w:szCs w:val="21"/>
              </w:rPr>
              <w:t>墙、排水。</w:t>
            </w:r>
          </w:p>
          <w:p>
            <w:pPr>
              <w:spacing w:before="51"/>
              <w:ind w:left="148" w:right="124" w:hanging="43"/>
              <w:rPr>
                <w:rFonts w:ascii="仿宋" w:hAnsi="仿宋" w:eastAsia="仿宋" w:cs="仿宋"/>
                <w:sz w:val="21"/>
                <w:szCs w:val="21"/>
              </w:rPr>
            </w:pPr>
            <w:r>
              <w:rPr>
                <w:rFonts w:ascii="仿宋" w:hAnsi="仿宋" w:eastAsia="仿宋" w:cs="仿宋"/>
                <w:sz w:val="21"/>
                <w:szCs w:val="21"/>
              </w:rPr>
              <w:t>②开挖的表土暂存于规划的表土场内，采取土工布遮盖，设置编织土袋挡护</w:t>
            </w:r>
            <w:r>
              <w:rPr>
                <w:rFonts w:ascii="仿宋" w:hAnsi="仿宋" w:eastAsia="仿宋" w:cs="仿宋"/>
                <w:spacing w:val="-1"/>
                <w:sz w:val="21"/>
                <w:szCs w:val="21"/>
              </w:rPr>
              <w:t>，在施工结束后对</w:t>
            </w:r>
            <w:r>
              <w:rPr>
                <w:rFonts w:ascii="仿宋" w:hAnsi="仿宋" w:eastAsia="仿宋" w:cs="仿宋"/>
                <w:sz w:val="21"/>
                <w:szCs w:val="21"/>
              </w:rPr>
              <w:t xml:space="preserve"> </w:t>
            </w:r>
            <w:r>
              <w:rPr>
                <w:rFonts w:ascii="仿宋" w:hAnsi="仿宋" w:eastAsia="仿宋" w:cs="仿宋"/>
                <w:spacing w:val="-13"/>
                <w:sz w:val="21"/>
                <w:szCs w:val="21"/>
              </w:rPr>
              <w:t>占地恢复。</w:t>
            </w:r>
          </w:p>
          <w:p>
            <w:pPr>
              <w:spacing w:before="54" w:line="216" w:lineRule="auto"/>
              <w:ind w:left="105"/>
              <w:rPr>
                <w:rFonts w:ascii="仿宋" w:hAnsi="仿宋" w:eastAsia="仿宋" w:cs="仿宋"/>
                <w:sz w:val="21"/>
                <w:szCs w:val="21"/>
              </w:rPr>
            </w:pPr>
            <w:r>
              <w:rPr>
                <w:rFonts w:ascii="仿宋" w:hAnsi="仿宋" w:eastAsia="仿宋" w:cs="仿宋"/>
                <w:spacing w:val="-1"/>
                <w:sz w:val="21"/>
                <w:szCs w:val="21"/>
              </w:rPr>
              <w:t>③建筑材料、废弃土石方、生活垃圾禁止随</w:t>
            </w:r>
            <w:r>
              <w:rPr>
                <w:rFonts w:ascii="仿宋" w:hAnsi="仿宋" w:eastAsia="仿宋" w:cs="仿宋"/>
                <w:spacing w:val="-2"/>
                <w:sz w:val="21"/>
                <w:szCs w:val="21"/>
              </w:rPr>
              <w:t>意丢弃至河床内。</w:t>
            </w:r>
          </w:p>
          <w:p>
            <w:pPr>
              <w:spacing w:before="54" w:line="232" w:lineRule="auto"/>
              <w:ind w:left="105" w:right="362"/>
              <w:rPr>
                <w:rFonts w:ascii="仿宋" w:hAnsi="仿宋" w:eastAsia="仿宋" w:cs="仿宋"/>
                <w:sz w:val="21"/>
                <w:szCs w:val="21"/>
              </w:rPr>
            </w:pPr>
            <w:r>
              <w:rPr>
                <w:rFonts w:ascii="仿宋" w:hAnsi="仿宋" w:eastAsia="仿宋" w:cs="仿宋"/>
                <w:spacing w:val="-1"/>
                <w:sz w:val="21"/>
                <w:szCs w:val="21"/>
              </w:rPr>
              <w:t>④项目施工期应在施工生产生活区设置垃圾桶，统一收集后，与桂花镇生活垃圾一并处置。</w:t>
            </w:r>
            <w:r>
              <w:rPr>
                <w:rFonts w:ascii="仿宋" w:hAnsi="仿宋" w:eastAsia="仿宋" w:cs="仿宋"/>
                <w:spacing w:val="4"/>
                <w:sz w:val="21"/>
                <w:szCs w:val="21"/>
              </w:rPr>
              <w:t xml:space="preserve"> </w:t>
            </w:r>
            <w:r>
              <w:rPr>
                <w:rFonts w:ascii="仿宋" w:hAnsi="仿宋" w:eastAsia="仿宋" w:cs="仿宋"/>
                <w:spacing w:val="-1"/>
                <w:sz w:val="21"/>
                <w:szCs w:val="21"/>
              </w:rPr>
              <w:t>⑤建筑垃圾尽量再利用，不能利用建筑垃圾运至弃渣场堆。</w:t>
            </w:r>
          </w:p>
        </w:tc>
        <w:tc>
          <w:tcPr>
            <w:tcW w:w="1848" w:type="dxa"/>
            <w:tcBorders>
              <w:right w:val="nil"/>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8" w:line="219" w:lineRule="auto"/>
              <w:ind w:left="344"/>
            </w:pPr>
            <w:r>
              <w:rPr>
                <w:rFonts w:ascii="仿宋" w:hAnsi="仿宋" w:eastAsia="仿宋" w:cs="仿宋"/>
                <w:spacing w:val="-5"/>
              </w:rPr>
              <w:t>处置率</w:t>
            </w:r>
            <w:r>
              <w:rPr>
                <w:rFonts w:ascii="仿宋" w:hAnsi="仿宋" w:eastAsia="仿宋" w:cs="仿宋"/>
                <w:spacing w:val="-24"/>
              </w:rPr>
              <w:t xml:space="preserve"> </w:t>
            </w:r>
            <w:r>
              <w:rPr>
                <w:spacing w:val="-5"/>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11" w:hRule="atLeast"/>
        </w:trPr>
        <w:tc>
          <w:tcPr>
            <w:tcW w:w="1631" w:type="dxa"/>
            <w:tcBorders>
              <w:left w:val="nil"/>
            </w:tcBorders>
            <w:vAlign w:val="top"/>
          </w:tcPr>
          <w:p>
            <w:pPr>
              <w:spacing w:line="292" w:lineRule="auto"/>
              <w:rPr>
                <w:rFonts w:ascii="Arial"/>
                <w:sz w:val="21"/>
              </w:rPr>
            </w:pPr>
          </w:p>
          <w:p>
            <w:pPr>
              <w:spacing w:line="293" w:lineRule="auto"/>
              <w:rPr>
                <w:rFonts w:ascii="Arial"/>
                <w:sz w:val="21"/>
              </w:rPr>
            </w:pPr>
          </w:p>
          <w:p>
            <w:pPr>
              <w:spacing w:line="293" w:lineRule="auto"/>
              <w:rPr>
                <w:rFonts w:ascii="Arial"/>
                <w:sz w:val="21"/>
              </w:rPr>
            </w:pPr>
          </w:p>
          <w:p>
            <w:pPr>
              <w:spacing w:before="68" w:line="218" w:lineRule="auto"/>
              <w:ind w:left="408"/>
              <w:rPr>
                <w:rFonts w:ascii="仿宋" w:hAnsi="仿宋" w:eastAsia="仿宋" w:cs="仿宋"/>
                <w:sz w:val="21"/>
                <w:szCs w:val="21"/>
              </w:rPr>
            </w:pPr>
            <w:r>
              <w:rPr>
                <w:rFonts w:ascii="仿宋" w:hAnsi="仿宋" w:eastAsia="仿宋" w:cs="仿宋"/>
                <w:spacing w:val="-3"/>
                <w:sz w:val="21"/>
                <w:szCs w:val="21"/>
              </w:rPr>
              <w:t>环境风险</w:t>
            </w:r>
          </w:p>
        </w:tc>
        <w:tc>
          <w:tcPr>
            <w:tcW w:w="1631"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68" w:line="218" w:lineRule="auto"/>
              <w:ind w:left="506"/>
              <w:rPr>
                <w:rFonts w:ascii="仿宋" w:hAnsi="仿宋" w:eastAsia="仿宋" w:cs="仿宋"/>
                <w:sz w:val="21"/>
                <w:szCs w:val="21"/>
              </w:rPr>
            </w:pPr>
            <w:r>
              <w:rPr>
                <w:rFonts w:ascii="仿宋" w:hAnsi="仿宋" w:eastAsia="仿宋" w:cs="仿宋"/>
                <w:spacing w:val="-4"/>
                <w:sz w:val="21"/>
                <w:szCs w:val="21"/>
              </w:rPr>
              <w:t>储油罐</w:t>
            </w:r>
          </w:p>
        </w:tc>
        <w:tc>
          <w:tcPr>
            <w:tcW w:w="8849" w:type="dxa"/>
            <w:vAlign w:val="top"/>
          </w:tcPr>
          <w:p>
            <w:pPr>
              <w:spacing w:before="67" w:line="300" w:lineRule="exact"/>
              <w:ind w:left="106"/>
              <w:rPr>
                <w:rFonts w:ascii="仿宋" w:hAnsi="仿宋" w:eastAsia="仿宋" w:cs="仿宋"/>
                <w:sz w:val="21"/>
                <w:szCs w:val="21"/>
              </w:rPr>
            </w:pPr>
            <w:r>
              <w:rPr>
                <w:rFonts w:ascii="仿宋" w:hAnsi="仿宋" w:eastAsia="仿宋" w:cs="仿宋"/>
                <w:spacing w:val="-1"/>
                <w:position w:val="6"/>
                <w:sz w:val="21"/>
                <w:szCs w:val="21"/>
              </w:rPr>
              <w:t>①油罐均设有高液位报警系统，实时监控罐内液位高度，避免油品溢流。</w:t>
            </w:r>
          </w:p>
          <w:p>
            <w:pPr>
              <w:spacing w:line="217" w:lineRule="auto"/>
              <w:ind w:left="105"/>
              <w:rPr>
                <w:rFonts w:ascii="仿宋" w:hAnsi="仿宋" w:eastAsia="仿宋" w:cs="仿宋"/>
                <w:sz w:val="21"/>
                <w:szCs w:val="21"/>
              </w:rPr>
            </w:pPr>
            <w:r>
              <w:rPr>
                <w:rFonts w:ascii="仿宋" w:hAnsi="仿宋" w:eastAsia="仿宋" w:cs="仿宋"/>
                <w:spacing w:val="-1"/>
                <w:sz w:val="21"/>
                <w:szCs w:val="21"/>
              </w:rPr>
              <w:t>②场地设火灾自动监控预警系统，出现明火即可启动报警警报。</w:t>
            </w:r>
          </w:p>
          <w:p>
            <w:pPr>
              <w:spacing w:before="53" w:line="217" w:lineRule="auto"/>
              <w:ind w:left="105"/>
              <w:rPr>
                <w:rFonts w:ascii="仿宋" w:hAnsi="仿宋" w:eastAsia="仿宋" w:cs="仿宋"/>
                <w:sz w:val="21"/>
                <w:szCs w:val="21"/>
              </w:rPr>
            </w:pPr>
            <w:r>
              <w:rPr>
                <w:rFonts w:ascii="仿宋" w:hAnsi="仿宋" w:eastAsia="仿宋" w:cs="仿宋"/>
                <w:spacing w:val="-1"/>
                <w:sz w:val="21"/>
                <w:szCs w:val="21"/>
              </w:rPr>
              <w:t>③采用双层油罐。</w:t>
            </w:r>
          </w:p>
          <w:p>
            <w:pPr>
              <w:spacing w:before="52" w:line="217" w:lineRule="auto"/>
              <w:ind w:left="105"/>
              <w:rPr>
                <w:rFonts w:ascii="仿宋" w:hAnsi="仿宋" w:eastAsia="仿宋" w:cs="仿宋"/>
                <w:sz w:val="21"/>
                <w:szCs w:val="21"/>
              </w:rPr>
            </w:pPr>
            <w:r>
              <w:rPr>
                <w:rFonts w:ascii="仿宋" w:hAnsi="仿宋" w:eastAsia="仿宋" w:cs="仿宋"/>
                <w:spacing w:val="-3"/>
                <w:sz w:val="21"/>
                <w:szCs w:val="21"/>
              </w:rPr>
              <w:t>④油罐进行防雷、防静电设置。</w:t>
            </w:r>
          </w:p>
          <w:p>
            <w:pPr>
              <w:spacing w:before="53" w:line="217" w:lineRule="auto"/>
              <w:ind w:left="105"/>
              <w:rPr>
                <w:rFonts w:ascii="仿宋" w:hAnsi="仿宋" w:eastAsia="仿宋" w:cs="仿宋"/>
                <w:sz w:val="21"/>
                <w:szCs w:val="21"/>
              </w:rPr>
            </w:pPr>
            <w:r>
              <w:rPr>
                <w:rFonts w:ascii="仿宋" w:hAnsi="仿宋" w:eastAsia="仿宋" w:cs="仿宋"/>
                <w:spacing w:val="-14"/>
                <w:sz w:val="21"/>
                <w:szCs w:val="21"/>
              </w:rPr>
              <w:t>④配备足够的消防器材，</w:t>
            </w:r>
            <w:r>
              <w:rPr>
                <w:rFonts w:ascii="仿宋" w:hAnsi="仿宋" w:eastAsia="仿宋" w:cs="仿宋"/>
                <w:spacing w:val="59"/>
                <w:sz w:val="21"/>
                <w:szCs w:val="21"/>
              </w:rPr>
              <w:t xml:space="preserve"> </w:t>
            </w:r>
            <w:r>
              <w:rPr>
                <w:rFonts w:ascii="仿宋" w:hAnsi="仿宋" w:eastAsia="仿宋" w:cs="仿宋"/>
                <w:spacing w:val="-14"/>
                <w:sz w:val="21"/>
                <w:szCs w:val="21"/>
              </w:rPr>
              <w:t>如灭火器、</w:t>
            </w:r>
            <w:r>
              <w:rPr>
                <w:rFonts w:ascii="仿宋" w:hAnsi="仿宋" w:eastAsia="仿宋" w:cs="仿宋"/>
                <w:spacing w:val="49"/>
                <w:sz w:val="21"/>
                <w:szCs w:val="21"/>
              </w:rPr>
              <w:t xml:space="preserve"> </w:t>
            </w:r>
            <w:r>
              <w:rPr>
                <w:rFonts w:ascii="仿宋" w:hAnsi="仿宋" w:eastAsia="仿宋" w:cs="仿宋"/>
                <w:spacing w:val="-14"/>
                <w:sz w:val="21"/>
                <w:szCs w:val="21"/>
              </w:rPr>
              <w:t>灭火毯</w:t>
            </w:r>
            <w:r>
              <w:rPr>
                <w:rFonts w:ascii="仿宋" w:hAnsi="仿宋" w:eastAsia="仿宋" w:cs="仿宋"/>
                <w:spacing w:val="-15"/>
                <w:sz w:val="21"/>
                <w:szCs w:val="21"/>
              </w:rPr>
              <w:t>、消防砂等</w:t>
            </w:r>
          </w:p>
          <w:p>
            <w:pPr>
              <w:spacing w:before="52" w:line="235" w:lineRule="auto"/>
              <w:ind w:left="105" w:right="1412"/>
              <w:rPr>
                <w:rFonts w:ascii="仿宋" w:hAnsi="仿宋" w:eastAsia="仿宋" w:cs="仿宋"/>
                <w:sz w:val="21"/>
                <w:szCs w:val="21"/>
              </w:rPr>
            </w:pPr>
            <w:r>
              <w:rPr>
                <w:rFonts w:ascii="仿宋" w:hAnsi="仿宋" w:eastAsia="仿宋" w:cs="仿宋"/>
                <w:spacing w:val="-1"/>
                <w:sz w:val="21"/>
                <w:szCs w:val="21"/>
              </w:rPr>
              <w:t>⑤专业单位和专业人员负责修理加油机和电气设备，并要求其严格按规定操作。</w:t>
            </w:r>
            <w:r>
              <w:rPr>
                <w:rFonts w:ascii="仿宋" w:hAnsi="仿宋" w:eastAsia="仿宋" w:cs="仿宋"/>
                <w:sz w:val="21"/>
                <w:szCs w:val="21"/>
              </w:rPr>
              <w:t xml:space="preserve"> </w:t>
            </w:r>
            <w:r>
              <w:rPr>
                <w:rFonts w:ascii="仿宋" w:hAnsi="仿宋" w:eastAsia="仿宋" w:cs="仿宋"/>
                <w:spacing w:val="-2"/>
                <w:sz w:val="21"/>
                <w:szCs w:val="21"/>
              </w:rPr>
              <w:t>⑥油库设禁止吸烟、禁止火种等标识牌。</w:t>
            </w:r>
          </w:p>
        </w:tc>
        <w:tc>
          <w:tcPr>
            <w:tcW w:w="1848" w:type="dxa"/>
            <w:tcBorders>
              <w:right w:val="nil"/>
            </w:tcBorders>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68" w:line="218" w:lineRule="auto"/>
              <w:ind w:left="194"/>
              <w:rPr>
                <w:rFonts w:ascii="仿宋" w:hAnsi="仿宋" w:eastAsia="仿宋" w:cs="仿宋"/>
                <w:sz w:val="21"/>
                <w:szCs w:val="21"/>
              </w:rPr>
            </w:pPr>
            <w:r>
              <w:rPr>
                <w:rFonts w:ascii="仿宋" w:hAnsi="仿宋" w:eastAsia="仿宋" w:cs="仿宋"/>
                <w:spacing w:val="-2"/>
                <w:sz w:val="21"/>
                <w:szCs w:val="21"/>
              </w:rPr>
              <w:t>环境风险可接受</w:t>
            </w:r>
          </w:p>
        </w:tc>
      </w:tr>
    </w:tbl>
    <w:p>
      <w:pPr>
        <w:spacing w:before="31" w:line="219" w:lineRule="auto"/>
        <w:ind w:left="6766"/>
        <w:rPr>
          <w:rFonts w:ascii="仿宋" w:hAnsi="仿宋" w:eastAsia="仿宋" w:cs="仿宋"/>
          <w:sz w:val="21"/>
          <w:szCs w:val="21"/>
        </w:rPr>
      </w:pPr>
      <w:r>
        <w:rPr>
          <w:rFonts w:ascii="仿宋" w:hAnsi="仿宋" w:eastAsia="仿宋" w:cs="仿宋"/>
          <w:spacing w:val="-5"/>
          <w:sz w:val="21"/>
          <w:szCs w:val="21"/>
        </w:rPr>
        <w:t>营运期</w:t>
      </w:r>
    </w:p>
    <w:p>
      <w:pPr>
        <w:spacing w:line="219" w:lineRule="auto"/>
        <w:rPr>
          <w:rFonts w:ascii="仿宋" w:hAnsi="仿宋" w:eastAsia="仿宋" w:cs="仿宋"/>
          <w:sz w:val="21"/>
          <w:szCs w:val="21"/>
        </w:rPr>
        <w:sectPr>
          <w:footerReference r:id="rId462" w:type="default"/>
          <w:pgSz w:w="16839" w:h="11907"/>
          <w:pgMar w:top="1156" w:right="1408" w:bottom="1374" w:left="1410" w:header="881" w:footer="1210" w:gutter="0"/>
        </w:sectPr>
      </w:pPr>
    </w:p>
    <w:p>
      <w:pPr>
        <w:spacing w:before="80"/>
      </w:pPr>
    </w:p>
    <w:p>
      <w:pPr>
        <w:spacing w:before="80"/>
      </w:pPr>
    </w:p>
    <w:tbl>
      <w:tblPr>
        <w:tblStyle w:val="5"/>
        <w:tblW w:w="13959" w:type="dxa"/>
        <w:tblInd w:w="3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31"/>
        <w:gridCol w:w="1631"/>
        <w:gridCol w:w="8849"/>
        <w:gridCol w:w="1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8" w:hRule="atLeast"/>
        </w:trPr>
        <w:tc>
          <w:tcPr>
            <w:tcW w:w="1631" w:type="dxa"/>
            <w:tcBorders>
              <w:top w:val="single" w:color="000000" w:sz="12" w:space="0"/>
              <w:left w:val="nil"/>
            </w:tcBorders>
            <w:vAlign w:val="top"/>
          </w:tcPr>
          <w:p>
            <w:pPr>
              <w:spacing w:before="43" w:line="219" w:lineRule="auto"/>
              <w:ind w:left="62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类别</w:t>
            </w:r>
          </w:p>
        </w:tc>
        <w:tc>
          <w:tcPr>
            <w:tcW w:w="1631" w:type="dxa"/>
            <w:tcBorders>
              <w:top w:val="single" w:color="000000" w:sz="12" w:space="0"/>
            </w:tcBorders>
            <w:vAlign w:val="top"/>
          </w:tcPr>
          <w:p>
            <w:pPr>
              <w:spacing w:before="59" w:line="210" w:lineRule="auto"/>
              <w:ind w:left="61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8849" w:type="dxa"/>
            <w:tcBorders>
              <w:top w:val="single" w:color="000000" w:sz="12" w:space="0"/>
            </w:tcBorders>
            <w:vAlign w:val="top"/>
          </w:tcPr>
          <w:p>
            <w:pPr>
              <w:spacing w:before="59" w:line="210" w:lineRule="auto"/>
              <w:ind w:left="3803"/>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主要控制措施</w:t>
            </w:r>
          </w:p>
        </w:tc>
        <w:tc>
          <w:tcPr>
            <w:tcW w:w="1848" w:type="dxa"/>
            <w:tcBorders>
              <w:top w:val="single" w:color="000000" w:sz="12" w:space="0"/>
              <w:right w:val="nil"/>
            </w:tcBorders>
            <w:vAlign w:val="top"/>
          </w:tcPr>
          <w:p>
            <w:pPr>
              <w:spacing w:before="59" w:line="210" w:lineRule="auto"/>
              <w:ind w:left="723"/>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999" w:hRule="atLeast"/>
        </w:trPr>
        <w:tc>
          <w:tcPr>
            <w:tcW w:w="1631" w:type="dxa"/>
            <w:vMerge w:val="restart"/>
            <w:tcBorders>
              <w:left w:val="nil"/>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8" w:line="239" w:lineRule="auto"/>
              <w:ind w:left="618"/>
              <w:rPr>
                <w:rFonts w:ascii="仿宋" w:hAnsi="仿宋" w:eastAsia="仿宋" w:cs="仿宋"/>
                <w:sz w:val="21"/>
                <w:szCs w:val="21"/>
              </w:rPr>
            </w:pPr>
            <w:r>
              <w:rPr>
                <w:rFonts w:ascii="仿宋" w:hAnsi="仿宋" w:eastAsia="仿宋" w:cs="仿宋"/>
                <w:spacing w:val="-4"/>
                <w:sz w:val="21"/>
                <w:szCs w:val="21"/>
              </w:rPr>
              <w:t>水污</w:t>
            </w:r>
          </w:p>
          <w:p>
            <w:pPr>
              <w:spacing w:line="216" w:lineRule="auto"/>
              <w:ind w:left="621"/>
              <w:rPr>
                <w:rFonts w:ascii="仿宋" w:hAnsi="仿宋" w:eastAsia="仿宋" w:cs="仿宋"/>
                <w:sz w:val="21"/>
                <w:szCs w:val="21"/>
              </w:rPr>
            </w:pPr>
            <w:r>
              <w:rPr>
                <w:rFonts w:ascii="仿宋" w:hAnsi="仿宋" w:eastAsia="仿宋" w:cs="仿宋"/>
                <w:spacing w:val="-5"/>
                <w:sz w:val="21"/>
                <w:szCs w:val="21"/>
              </w:rPr>
              <w:t>染物</w:t>
            </w:r>
          </w:p>
        </w:tc>
        <w:tc>
          <w:tcPr>
            <w:tcW w:w="1631"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69" w:line="220" w:lineRule="auto"/>
              <w:ind w:left="413"/>
              <w:rPr>
                <w:rFonts w:ascii="仿宋" w:hAnsi="仿宋" w:eastAsia="仿宋" w:cs="仿宋"/>
                <w:sz w:val="21"/>
                <w:szCs w:val="21"/>
              </w:rPr>
            </w:pPr>
            <w:r>
              <w:rPr>
                <w:rFonts w:ascii="仿宋" w:hAnsi="仿宋" w:eastAsia="仿宋" w:cs="仿宋"/>
                <w:spacing w:val="-5"/>
                <w:sz w:val="21"/>
                <w:szCs w:val="21"/>
              </w:rPr>
              <w:t>生态放流</w:t>
            </w:r>
          </w:p>
        </w:tc>
        <w:tc>
          <w:tcPr>
            <w:tcW w:w="8849" w:type="dxa"/>
            <w:vAlign w:val="top"/>
          </w:tcPr>
          <w:p>
            <w:pPr>
              <w:spacing w:before="27" w:line="228" w:lineRule="auto"/>
              <w:ind w:left="118" w:right="103" w:hanging="12"/>
              <w:rPr>
                <w:rFonts w:ascii="仿宋" w:hAnsi="仿宋" w:eastAsia="仿宋" w:cs="仿宋"/>
                <w:sz w:val="21"/>
                <w:szCs w:val="21"/>
              </w:rPr>
            </w:pPr>
            <w:r>
              <w:rPr>
                <w:rFonts w:ascii="宋体" w:hAnsi="宋体" w:eastAsia="宋体" w:cs="宋体"/>
                <w:spacing w:val="-2"/>
                <w:sz w:val="21"/>
                <w:szCs w:val="21"/>
              </w:rPr>
              <w:t>①</w:t>
            </w:r>
            <w:r>
              <w:rPr>
                <w:rFonts w:ascii="仿宋" w:hAnsi="仿宋" w:eastAsia="仿宋" w:cs="仿宋"/>
                <w:spacing w:val="-2"/>
                <w:sz w:val="21"/>
                <w:szCs w:val="21"/>
              </w:rPr>
              <w:t>水库蓄水初期当水库坝址处来流量小于或等于水库下游河段所需生态流量</w:t>
            </w:r>
            <w:r>
              <w:rPr>
                <w:rFonts w:ascii="仿宋" w:hAnsi="仿宋" w:eastAsia="仿宋" w:cs="仿宋"/>
                <w:spacing w:val="-3"/>
                <w:sz w:val="21"/>
                <w:szCs w:val="21"/>
              </w:rPr>
              <w:t>时， 水库不能进行</w:t>
            </w:r>
            <w:r>
              <w:rPr>
                <w:rFonts w:ascii="仿宋" w:hAnsi="仿宋" w:eastAsia="仿宋" w:cs="仿宋"/>
                <w:sz w:val="21"/>
                <w:szCs w:val="21"/>
              </w:rPr>
              <w:t xml:space="preserve"> </w:t>
            </w:r>
            <w:r>
              <w:rPr>
                <w:rFonts w:ascii="仿宋" w:hAnsi="仿宋" w:eastAsia="仿宋" w:cs="仿宋"/>
                <w:spacing w:val="-2"/>
                <w:sz w:val="21"/>
                <w:szCs w:val="21"/>
              </w:rPr>
              <w:t>蓄水，来水应全部下放作为下游河道生态用水。</w:t>
            </w:r>
          </w:p>
          <w:p>
            <w:pPr>
              <w:pStyle w:val="6"/>
              <w:spacing w:before="27" w:line="231" w:lineRule="auto"/>
              <w:ind w:left="105"/>
              <w:rPr>
                <w:rFonts w:ascii="仿宋" w:hAnsi="仿宋" w:eastAsia="仿宋" w:cs="仿宋"/>
              </w:rPr>
            </w:pPr>
            <w:r>
              <w:rPr>
                <w:rFonts w:ascii="宋体" w:hAnsi="宋体" w:eastAsia="宋体" w:cs="宋体"/>
                <w:spacing w:val="-9"/>
              </w:rPr>
              <w:t>②</w:t>
            </w:r>
            <w:r>
              <w:rPr>
                <w:rFonts w:ascii="仿宋" w:hAnsi="仿宋" w:eastAsia="仿宋" w:cs="仿宋"/>
                <w:spacing w:val="-9"/>
              </w:rPr>
              <w:t>水库蓄水初期，</w:t>
            </w:r>
            <w:r>
              <w:rPr>
                <w:rFonts w:ascii="仿宋" w:hAnsi="仿宋" w:eastAsia="仿宋" w:cs="仿宋"/>
                <w:spacing w:val="87"/>
              </w:rPr>
              <w:t xml:space="preserve"> </w:t>
            </w:r>
            <w:r>
              <w:rPr>
                <w:rFonts w:ascii="仿宋" w:hAnsi="仿宋" w:eastAsia="仿宋" w:cs="仿宋"/>
                <w:spacing w:val="-9"/>
              </w:rPr>
              <w:t>生态基流量</w:t>
            </w:r>
            <w:r>
              <w:rPr>
                <w:rFonts w:ascii="仿宋" w:hAnsi="仿宋" w:eastAsia="仿宋" w:cs="仿宋"/>
                <w:spacing w:val="-45"/>
              </w:rPr>
              <w:t xml:space="preserve"> </w:t>
            </w:r>
            <w:r>
              <w:rPr>
                <w:spacing w:val="-9"/>
              </w:rPr>
              <w:t>0.074m</w:t>
            </w:r>
            <w:r>
              <w:rPr>
                <w:spacing w:val="-9"/>
                <w:position w:val="7"/>
                <w:sz w:val="14"/>
                <w:szCs w:val="14"/>
              </w:rPr>
              <w:t>3</w:t>
            </w:r>
            <w:r>
              <w:rPr>
                <w:spacing w:val="-9"/>
              </w:rPr>
              <w:t>/s</w:t>
            </w:r>
            <w:r>
              <w:rPr>
                <w:rFonts w:ascii="仿宋" w:hAnsi="仿宋" w:eastAsia="仿宋" w:cs="仿宋"/>
                <w:spacing w:val="-9"/>
              </w:rPr>
              <w:t>。</w:t>
            </w:r>
          </w:p>
          <w:p>
            <w:pPr>
              <w:pStyle w:val="6"/>
              <w:spacing w:before="7" w:line="228" w:lineRule="auto"/>
              <w:ind w:left="111" w:right="103" w:hanging="6"/>
              <w:rPr>
                <w:rFonts w:ascii="仿宋" w:hAnsi="仿宋" w:eastAsia="仿宋" w:cs="仿宋"/>
              </w:rPr>
            </w:pPr>
            <w:r>
              <w:rPr>
                <w:rFonts w:ascii="宋体" w:hAnsi="宋体" w:eastAsia="宋体" w:cs="宋体"/>
              </w:rPr>
              <w:t>③</w:t>
            </w:r>
            <w:r>
              <w:rPr>
                <w:rFonts w:ascii="仿宋" w:hAnsi="仿宋" w:eastAsia="仿宋" w:cs="仿宋"/>
              </w:rPr>
              <w:t>初期蓄水至死水位期间无法通过输水管道直接取水，采用临时供水水泵抽水至输水管道。供</w:t>
            </w:r>
            <w:r>
              <w:rPr>
                <w:rFonts w:ascii="仿宋" w:hAnsi="仿宋" w:eastAsia="仿宋" w:cs="仿宋"/>
                <w:spacing w:val="13"/>
              </w:rPr>
              <w:t xml:space="preserve"> </w:t>
            </w:r>
            <w:r>
              <w:rPr>
                <w:rFonts w:ascii="仿宋" w:hAnsi="仿宋" w:eastAsia="仿宋" w:cs="仿宋"/>
                <w:spacing w:val="-4"/>
              </w:rPr>
              <w:t>水水泵设置</w:t>
            </w:r>
            <w:r>
              <w:rPr>
                <w:rFonts w:ascii="仿宋" w:hAnsi="仿宋" w:eastAsia="仿宋" w:cs="仿宋"/>
                <w:spacing w:val="-31"/>
              </w:rPr>
              <w:t xml:space="preserve"> </w:t>
            </w:r>
            <w:r>
              <w:rPr>
                <w:spacing w:val="-4"/>
              </w:rPr>
              <w:t>2</w:t>
            </w:r>
            <w:r>
              <w:rPr>
                <w:spacing w:val="35"/>
              </w:rPr>
              <w:t xml:space="preserve"> </w:t>
            </w:r>
            <w:r>
              <w:rPr>
                <w:rFonts w:ascii="仿宋" w:hAnsi="仿宋" w:eastAsia="仿宋" w:cs="仿宋"/>
                <w:spacing w:val="-4"/>
              </w:rPr>
              <w:t>台，</w:t>
            </w:r>
            <w:r>
              <w:rPr>
                <w:rFonts w:ascii="仿宋" w:hAnsi="仿宋" w:eastAsia="仿宋" w:cs="仿宋"/>
                <w:spacing w:val="-31"/>
              </w:rPr>
              <w:t xml:space="preserve"> </w:t>
            </w:r>
            <w:r>
              <w:rPr>
                <w:rFonts w:ascii="仿宋" w:hAnsi="仿宋" w:eastAsia="仿宋" w:cs="仿宋"/>
                <w:spacing w:val="-4"/>
              </w:rPr>
              <w:t>一备一用，水量不得小于下游用水量，即</w:t>
            </w:r>
            <w:r>
              <w:rPr>
                <w:rFonts w:ascii="仿宋" w:hAnsi="仿宋" w:eastAsia="仿宋" w:cs="仿宋"/>
                <w:spacing w:val="-44"/>
              </w:rPr>
              <w:t xml:space="preserve"> </w:t>
            </w:r>
            <w:r>
              <w:rPr>
                <w:spacing w:val="-4"/>
              </w:rPr>
              <w:t>Q≥0.074m</w:t>
            </w:r>
            <w:r>
              <w:rPr>
                <w:spacing w:val="-4"/>
                <w:position w:val="7"/>
                <w:sz w:val="14"/>
                <w:szCs w:val="14"/>
              </w:rPr>
              <w:t>3</w:t>
            </w:r>
            <w:r>
              <w:rPr>
                <w:spacing w:val="-4"/>
              </w:rPr>
              <w:t>/s</w:t>
            </w:r>
            <w:r>
              <w:rPr>
                <w:rFonts w:ascii="仿宋" w:hAnsi="仿宋" w:eastAsia="仿宋" w:cs="仿宋"/>
                <w:spacing w:val="-4"/>
              </w:rPr>
              <w:t>。</w:t>
            </w:r>
          </w:p>
          <w:p>
            <w:pPr>
              <w:pStyle w:val="6"/>
              <w:spacing w:before="25" w:line="235" w:lineRule="auto"/>
              <w:ind w:left="111" w:right="101" w:hanging="6"/>
              <w:jc w:val="both"/>
              <w:rPr>
                <w:rFonts w:ascii="仿宋" w:hAnsi="仿宋" w:eastAsia="仿宋" w:cs="仿宋"/>
              </w:rPr>
            </w:pPr>
            <w:r>
              <w:rPr>
                <w:rFonts w:ascii="宋体" w:hAnsi="宋体" w:eastAsia="宋体" w:cs="宋体"/>
                <w:spacing w:val="-5"/>
              </w:rPr>
              <w:t>④</w:t>
            </w:r>
            <w:r>
              <w:rPr>
                <w:rFonts w:ascii="仿宋" w:hAnsi="仿宋" w:eastAsia="仿宋" w:cs="仿宋"/>
                <w:spacing w:val="-5"/>
              </w:rPr>
              <w:t>枢纽工程利用导流输水放空隧洞预埋的</w:t>
            </w:r>
            <w:r>
              <w:rPr>
                <w:rFonts w:ascii="仿宋" w:hAnsi="仿宋" w:eastAsia="仿宋" w:cs="仿宋"/>
                <w:spacing w:val="-30"/>
              </w:rPr>
              <w:t xml:space="preserve"> </w:t>
            </w:r>
            <w:r>
              <w:rPr>
                <w:spacing w:val="-5"/>
              </w:rPr>
              <w:t>DN325</w:t>
            </w:r>
            <w:r>
              <w:rPr>
                <w:spacing w:val="14"/>
                <w:w w:val="101"/>
              </w:rPr>
              <w:t xml:space="preserve"> </w:t>
            </w:r>
            <w:r>
              <w:rPr>
                <w:rFonts w:ascii="仿宋" w:hAnsi="仿宋" w:eastAsia="仿宋" w:cs="仿宋"/>
                <w:spacing w:val="-5"/>
              </w:rPr>
              <w:t>钢管下泄生态流量； 引洪工程、引水工程不引</w:t>
            </w:r>
            <w:r>
              <w:rPr>
                <w:rFonts w:ascii="仿宋" w:hAnsi="仿宋" w:eastAsia="仿宋" w:cs="仿宋"/>
              </w:rPr>
              <w:t xml:space="preserve"> </w:t>
            </w:r>
            <w:r>
              <w:rPr>
                <w:rFonts w:ascii="仿宋" w:hAnsi="仿宋" w:eastAsia="仿宋" w:cs="仿宋"/>
                <w:spacing w:val="-5"/>
              </w:rPr>
              <w:t>水季节直接利用冲沙闸下泄生态流量， 汛期引水时段通过引水沟埋设</w:t>
            </w:r>
            <w:r>
              <w:rPr>
                <w:rFonts w:ascii="仿宋" w:hAnsi="仿宋" w:eastAsia="仿宋" w:cs="仿宋"/>
                <w:spacing w:val="-49"/>
              </w:rPr>
              <w:t xml:space="preserve"> </w:t>
            </w:r>
            <w:r>
              <w:rPr>
                <w:spacing w:val="-5"/>
              </w:rPr>
              <w:t>DN150</w:t>
            </w:r>
            <w:r>
              <w:rPr>
                <w:spacing w:val="27"/>
                <w:w w:val="101"/>
              </w:rPr>
              <w:t xml:space="preserve"> </w:t>
            </w:r>
            <w:r>
              <w:rPr>
                <w:rFonts w:ascii="仿宋" w:hAnsi="仿宋" w:eastAsia="仿宋" w:cs="仿宋"/>
                <w:spacing w:val="-5"/>
              </w:rPr>
              <w:t>的放水管向下</w:t>
            </w:r>
            <w:r>
              <w:rPr>
                <w:rFonts w:ascii="仿宋" w:hAnsi="仿宋" w:eastAsia="仿宋" w:cs="仿宋"/>
                <w:spacing w:val="-6"/>
              </w:rPr>
              <w:t>游河</w:t>
            </w:r>
            <w:r>
              <w:rPr>
                <w:rFonts w:ascii="仿宋" w:hAnsi="仿宋" w:eastAsia="仿宋" w:cs="仿宋"/>
              </w:rPr>
              <w:t xml:space="preserve"> </w:t>
            </w:r>
            <w:r>
              <w:rPr>
                <w:rFonts w:ascii="仿宋" w:hAnsi="仿宋" w:eastAsia="仿宋" w:cs="仿宋"/>
                <w:spacing w:val="-1"/>
              </w:rPr>
              <w:t>道供水，运营期应加强生态放流管巡查和管护，防止堵塞，保障生态流量正常下</w:t>
            </w:r>
            <w:r>
              <w:rPr>
                <w:rFonts w:ascii="仿宋" w:hAnsi="仿宋" w:eastAsia="仿宋" w:cs="仿宋"/>
                <w:spacing w:val="-2"/>
              </w:rPr>
              <w:t>放。</w:t>
            </w:r>
          </w:p>
          <w:p>
            <w:pPr>
              <w:spacing w:before="27" w:line="226" w:lineRule="auto"/>
              <w:ind w:left="113" w:right="40" w:hanging="8"/>
              <w:jc w:val="both"/>
              <w:rPr>
                <w:rFonts w:ascii="仿宋" w:hAnsi="仿宋" w:eastAsia="仿宋" w:cs="仿宋"/>
                <w:sz w:val="21"/>
                <w:szCs w:val="21"/>
              </w:rPr>
            </w:pPr>
            <w:r>
              <w:rPr>
                <w:rFonts w:ascii="宋体" w:hAnsi="宋体" w:eastAsia="宋体" w:cs="宋体"/>
                <w:sz w:val="21"/>
                <w:szCs w:val="21"/>
              </w:rPr>
              <w:t>⑤</w:t>
            </w:r>
            <w:r>
              <w:rPr>
                <w:rFonts w:ascii="仿宋" w:hAnsi="仿宋" w:eastAsia="仿宋" w:cs="仿宋"/>
                <w:sz w:val="21"/>
                <w:szCs w:val="21"/>
              </w:rPr>
              <w:t>水库管理单位应将环境用水同其他用水一样纳入日常的用水管理范畴，在编制的用水计划中</w:t>
            </w:r>
            <w:r>
              <w:rPr>
                <w:rFonts w:ascii="仿宋" w:hAnsi="仿宋" w:eastAsia="仿宋" w:cs="仿宋"/>
                <w:spacing w:val="13"/>
                <w:sz w:val="21"/>
                <w:szCs w:val="21"/>
              </w:rPr>
              <w:t xml:space="preserve"> </w:t>
            </w:r>
            <w:r>
              <w:rPr>
                <w:rFonts w:ascii="仿宋" w:hAnsi="仿宋" w:eastAsia="仿宋" w:cs="仿宋"/>
                <w:spacing w:val="-13"/>
                <w:sz w:val="21"/>
                <w:szCs w:val="21"/>
              </w:rPr>
              <w:t>反应环境用水，</w:t>
            </w:r>
            <w:r>
              <w:rPr>
                <w:rFonts w:ascii="仿宋" w:hAnsi="仿宋" w:eastAsia="仿宋" w:cs="仿宋"/>
                <w:spacing w:val="40"/>
                <w:sz w:val="21"/>
                <w:szCs w:val="21"/>
              </w:rPr>
              <w:t xml:space="preserve"> </w:t>
            </w:r>
            <w:r>
              <w:rPr>
                <w:rFonts w:ascii="仿宋" w:hAnsi="仿宋" w:eastAsia="仿宋" w:cs="仿宋"/>
                <w:spacing w:val="-13"/>
                <w:sz w:val="21"/>
                <w:szCs w:val="21"/>
              </w:rPr>
              <w:t>落实专人负责，</w:t>
            </w:r>
            <w:r>
              <w:rPr>
                <w:rFonts w:ascii="仿宋" w:hAnsi="仿宋" w:eastAsia="仿宋" w:cs="仿宋"/>
                <w:spacing w:val="31"/>
                <w:sz w:val="21"/>
                <w:szCs w:val="21"/>
              </w:rPr>
              <w:t xml:space="preserve"> </w:t>
            </w:r>
            <w:r>
              <w:rPr>
                <w:rFonts w:ascii="仿宋" w:hAnsi="仿宋" w:eastAsia="仿宋" w:cs="仿宋"/>
                <w:spacing w:val="-13"/>
                <w:sz w:val="21"/>
                <w:szCs w:val="21"/>
              </w:rPr>
              <w:t>对下泄的环境流量做记录</w:t>
            </w:r>
            <w:r>
              <w:rPr>
                <w:rFonts w:ascii="仿宋" w:hAnsi="仿宋" w:eastAsia="仿宋" w:cs="仿宋"/>
                <w:spacing w:val="-14"/>
                <w:sz w:val="21"/>
                <w:szCs w:val="21"/>
              </w:rPr>
              <w:t>，</w:t>
            </w:r>
            <w:r>
              <w:rPr>
                <w:rFonts w:ascii="仿宋" w:hAnsi="仿宋" w:eastAsia="仿宋" w:cs="仿宋"/>
                <w:spacing w:val="35"/>
                <w:sz w:val="21"/>
                <w:szCs w:val="21"/>
              </w:rPr>
              <w:t xml:space="preserve"> </w:t>
            </w:r>
            <w:r>
              <w:rPr>
                <w:rFonts w:ascii="仿宋" w:hAnsi="仿宋" w:eastAsia="仿宋" w:cs="仿宋"/>
                <w:spacing w:val="-14"/>
                <w:sz w:val="21"/>
                <w:szCs w:val="21"/>
              </w:rPr>
              <w:t>不定期的向水利主管部门进行汇报，</w:t>
            </w:r>
            <w:r>
              <w:rPr>
                <w:rFonts w:ascii="仿宋" w:hAnsi="仿宋" w:eastAsia="仿宋" w:cs="仿宋"/>
                <w:sz w:val="21"/>
                <w:szCs w:val="21"/>
              </w:rPr>
              <w:t xml:space="preserve"> </w:t>
            </w:r>
            <w:r>
              <w:rPr>
                <w:rFonts w:ascii="仿宋" w:hAnsi="仿宋" w:eastAsia="仿宋" w:cs="仿宋"/>
                <w:spacing w:val="-8"/>
                <w:sz w:val="21"/>
                <w:szCs w:val="21"/>
              </w:rPr>
              <w:t>并在年终编制生态下泄情况报告，</w:t>
            </w:r>
            <w:r>
              <w:rPr>
                <w:rFonts w:ascii="仿宋" w:hAnsi="仿宋" w:eastAsia="仿宋" w:cs="仿宋"/>
                <w:spacing w:val="71"/>
                <w:sz w:val="21"/>
                <w:szCs w:val="21"/>
              </w:rPr>
              <w:t xml:space="preserve"> </w:t>
            </w:r>
            <w:r>
              <w:rPr>
                <w:rFonts w:ascii="仿宋" w:hAnsi="仿宋" w:eastAsia="仿宋" w:cs="仿宋"/>
                <w:spacing w:val="-8"/>
                <w:sz w:val="21"/>
                <w:szCs w:val="21"/>
              </w:rPr>
              <w:t>一并上报主管部门。</w:t>
            </w:r>
          </w:p>
        </w:tc>
        <w:tc>
          <w:tcPr>
            <w:tcW w:w="1848" w:type="dxa"/>
            <w:tcBorders>
              <w:right w:val="nil"/>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before="69" w:line="250" w:lineRule="auto"/>
              <w:ind w:left="122" w:right="108" w:hanging="7"/>
              <w:rPr>
                <w:rFonts w:ascii="仿宋" w:hAnsi="仿宋" w:eastAsia="仿宋" w:cs="仿宋"/>
                <w:sz w:val="21"/>
                <w:szCs w:val="21"/>
              </w:rPr>
            </w:pPr>
            <w:r>
              <w:rPr>
                <w:rFonts w:ascii="仿宋" w:hAnsi="仿宋" w:eastAsia="仿宋" w:cs="仿宋"/>
                <w:spacing w:val="-7"/>
                <w:sz w:val="21"/>
                <w:szCs w:val="21"/>
              </w:rPr>
              <w:t>确保</w:t>
            </w:r>
            <w:r>
              <w:rPr>
                <w:rFonts w:ascii="仿宋" w:hAnsi="仿宋" w:eastAsia="仿宋" w:cs="仿宋"/>
                <w:spacing w:val="-54"/>
                <w:sz w:val="21"/>
                <w:szCs w:val="21"/>
              </w:rPr>
              <w:t xml:space="preserve"> </w:t>
            </w:r>
            <w:r>
              <w:rPr>
                <w:rFonts w:ascii="仿宋" w:hAnsi="仿宋" w:eastAsia="仿宋" w:cs="仿宋"/>
                <w:spacing w:val="-7"/>
                <w:sz w:val="21"/>
                <w:szCs w:val="21"/>
              </w:rPr>
              <w:t>下</w:t>
            </w:r>
            <w:r>
              <w:rPr>
                <w:rFonts w:ascii="仿宋" w:hAnsi="仿宋" w:eastAsia="仿宋" w:cs="仿宋"/>
                <w:spacing w:val="-61"/>
                <w:sz w:val="21"/>
                <w:szCs w:val="21"/>
              </w:rPr>
              <w:t xml:space="preserve"> </w:t>
            </w:r>
            <w:r>
              <w:rPr>
                <w:rFonts w:ascii="仿宋" w:hAnsi="仿宋" w:eastAsia="仿宋" w:cs="仿宋"/>
                <w:spacing w:val="-7"/>
                <w:sz w:val="21"/>
                <w:szCs w:val="21"/>
              </w:rPr>
              <w:t>游</w:t>
            </w:r>
            <w:r>
              <w:rPr>
                <w:rFonts w:ascii="仿宋" w:hAnsi="仿宋" w:eastAsia="仿宋" w:cs="仿宋"/>
                <w:spacing w:val="-59"/>
                <w:sz w:val="21"/>
                <w:szCs w:val="21"/>
              </w:rPr>
              <w:t xml:space="preserve"> </w:t>
            </w:r>
            <w:r>
              <w:rPr>
                <w:rFonts w:ascii="仿宋" w:hAnsi="仿宋" w:eastAsia="仿宋" w:cs="仿宋"/>
                <w:spacing w:val="-7"/>
                <w:sz w:val="21"/>
                <w:szCs w:val="21"/>
              </w:rPr>
              <w:t>河道</w:t>
            </w:r>
            <w:r>
              <w:rPr>
                <w:rFonts w:ascii="仿宋" w:hAnsi="仿宋" w:eastAsia="仿宋" w:cs="仿宋"/>
                <w:spacing w:val="-52"/>
                <w:sz w:val="21"/>
                <w:szCs w:val="21"/>
              </w:rPr>
              <w:t xml:space="preserve"> </w:t>
            </w:r>
            <w:r>
              <w:rPr>
                <w:rFonts w:ascii="仿宋" w:hAnsi="仿宋" w:eastAsia="仿宋" w:cs="仿宋"/>
                <w:spacing w:val="-7"/>
                <w:sz w:val="21"/>
                <w:szCs w:val="21"/>
              </w:rPr>
              <w:t>生</w:t>
            </w:r>
            <w:r>
              <w:rPr>
                <w:rFonts w:ascii="仿宋" w:hAnsi="仿宋" w:eastAsia="仿宋" w:cs="仿宋"/>
                <w:sz w:val="21"/>
                <w:szCs w:val="21"/>
              </w:rPr>
              <w:t xml:space="preserve"> </w:t>
            </w:r>
            <w:r>
              <w:rPr>
                <w:rFonts w:ascii="仿宋" w:hAnsi="仿宋" w:eastAsia="仿宋" w:cs="仿宋"/>
                <w:spacing w:val="-5"/>
                <w:sz w:val="21"/>
                <w:szCs w:val="21"/>
              </w:rPr>
              <w:t>态用水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882" w:hRule="atLeast"/>
        </w:trPr>
        <w:tc>
          <w:tcPr>
            <w:tcW w:w="1631" w:type="dxa"/>
            <w:vMerge w:val="continue"/>
            <w:tcBorders>
              <w:top w:val="nil"/>
              <w:left w:val="nil"/>
              <w:bottom w:val="single" w:color="000000" w:sz="12" w:space="0"/>
            </w:tcBorders>
            <w:vAlign w:val="top"/>
          </w:tcPr>
          <w:p>
            <w:pPr>
              <w:rPr>
                <w:rFonts w:ascii="Arial"/>
                <w:sz w:val="21"/>
              </w:rPr>
            </w:pPr>
          </w:p>
        </w:tc>
        <w:tc>
          <w:tcPr>
            <w:tcW w:w="1631" w:type="dxa"/>
            <w:tcBorders>
              <w:bottom w:val="single" w:color="000000" w:sz="12" w:space="0"/>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69" w:line="217" w:lineRule="auto"/>
              <w:ind w:left="400"/>
              <w:rPr>
                <w:rFonts w:ascii="仿宋" w:hAnsi="仿宋" w:eastAsia="仿宋" w:cs="仿宋"/>
                <w:sz w:val="21"/>
                <w:szCs w:val="21"/>
              </w:rPr>
            </w:pPr>
            <w:r>
              <w:rPr>
                <w:rFonts w:ascii="仿宋" w:hAnsi="仿宋" w:eastAsia="仿宋" w:cs="仿宋"/>
                <w:spacing w:val="-3"/>
                <w:sz w:val="21"/>
                <w:szCs w:val="21"/>
              </w:rPr>
              <w:t>水质保护</w:t>
            </w:r>
          </w:p>
        </w:tc>
        <w:tc>
          <w:tcPr>
            <w:tcW w:w="8849" w:type="dxa"/>
            <w:tcBorders>
              <w:bottom w:val="single" w:color="000000" w:sz="12" w:space="0"/>
            </w:tcBorders>
            <w:vAlign w:val="top"/>
          </w:tcPr>
          <w:p>
            <w:pPr>
              <w:spacing w:before="61" w:line="245" w:lineRule="auto"/>
              <w:ind w:left="115" w:right="124" w:hanging="9"/>
              <w:rPr>
                <w:rFonts w:ascii="仿宋" w:hAnsi="仿宋" w:eastAsia="仿宋" w:cs="仿宋"/>
                <w:sz w:val="21"/>
                <w:szCs w:val="21"/>
              </w:rPr>
            </w:pPr>
            <w:r>
              <w:rPr>
                <w:rFonts w:ascii="仿宋" w:hAnsi="仿宋" w:eastAsia="仿宋" w:cs="仿宋"/>
                <w:sz w:val="21"/>
                <w:szCs w:val="21"/>
              </w:rPr>
              <w:t>①为防止淹没水库内的树木、杂物及人畜粪便等对水体的污染和对水库安全</w:t>
            </w:r>
            <w:r>
              <w:rPr>
                <w:rFonts w:ascii="仿宋" w:hAnsi="仿宋" w:eastAsia="仿宋" w:cs="仿宋"/>
                <w:spacing w:val="-1"/>
                <w:sz w:val="21"/>
                <w:szCs w:val="21"/>
              </w:rPr>
              <w:t>运行的影响，在水</w:t>
            </w:r>
            <w:r>
              <w:rPr>
                <w:rFonts w:ascii="仿宋" w:hAnsi="仿宋" w:eastAsia="仿宋" w:cs="仿宋"/>
                <w:sz w:val="21"/>
                <w:szCs w:val="21"/>
              </w:rPr>
              <w:t xml:space="preserve"> 库蓄水前须对库底进行清理，库底清理应严格</w:t>
            </w:r>
            <w:r>
              <w:rPr>
                <w:rFonts w:ascii="仿宋" w:hAnsi="仿宋" w:eastAsia="仿宋" w:cs="仿宋"/>
                <w:spacing w:val="-1"/>
                <w:sz w:val="21"/>
                <w:szCs w:val="21"/>
              </w:rPr>
              <w:t>按照《水电工程水库库底清理设计规范》</w:t>
            </w:r>
          </w:p>
          <w:p>
            <w:pPr>
              <w:pStyle w:val="6"/>
              <w:spacing w:before="65" w:line="217" w:lineRule="auto"/>
              <w:ind w:left="113"/>
              <w:rPr>
                <w:rFonts w:ascii="仿宋" w:hAnsi="仿宋" w:eastAsia="仿宋" w:cs="仿宋"/>
              </w:rPr>
            </w:pPr>
            <w:r>
              <w:rPr>
                <w:rFonts w:ascii="仿宋" w:hAnsi="仿宋" w:eastAsia="仿宋" w:cs="仿宋"/>
                <w:spacing w:val="-1"/>
              </w:rPr>
              <w:t>（</w:t>
            </w:r>
            <w:r>
              <w:rPr>
                <w:spacing w:val="-1"/>
              </w:rPr>
              <w:t>DL/T5318-2007</w:t>
            </w:r>
            <w:r>
              <w:rPr>
                <w:rFonts w:ascii="仿宋" w:hAnsi="仿宋" w:eastAsia="仿宋" w:cs="仿宋"/>
                <w:spacing w:val="-1"/>
              </w:rPr>
              <w:t>）的规定进行清理。清理范围为水库淹没区范</w:t>
            </w:r>
            <w:r>
              <w:rPr>
                <w:rFonts w:ascii="仿宋" w:hAnsi="仿宋" w:eastAsia="仿宋" w:cs="仿宋"/>
                <w:spacing w:val="-2"/>
              </w:rPr>
              <w:t>围。</w:t>
            </w:r>
          </w:p>
          <w:p>
            <w:pPr>
              <w:spacing w:before="65" w:line="246" w:lineRule="auto"/>
              <w:ind w:left="112" w:right="124" w:hanging="7"/>
              <w:rPr>
                <w:rFonts w:ascii="仿宋" w:hAnsi="仿宋" w:eastAsia="仿宋" w:cs="仿宋"/>
                <w:sz w:val="21"/>
                <w:szCs w:val="21"/>
              </w:rPr>
            </w:pPr>
            <w:r>
              <w:rPr>
                <w:rFonts w:ascii="仿宋" w:hAnsi="仿宋" w:eastAsia="仿宋" w:cs="仿宋"/>
                <w:sz w:val="21"/>
                <w:szCs w:val="21"/>
              </w:rPr>
              <w:t>②定期开展库区水质监测工作，及时了解水库水质状况，以便于采取应对措</w:t>
            </w:r>
            <w:r>
              <w:rPr>
                <w:rFonts w:ascii="仿宋" w:hAnsi="仿宋" w:eastAsia="仿宋" w:cs="仿宋"/>
                <w:spacing w:val="-1"/>
                <w:sz w:val="21"/>
                <w:szCs w:val="21"/>
              </w:rPr>
              <w:t>施。监测工作应纳</w:t>
            </w:r>
            <w:r>
              <w:rPr>
                <w:rFonts w:ascii="仿宋" w:hAnsi="仿宋" w:eastAsia="仿宋" w:cs="仿宋"/>
                <w:sz w:val="21"/>
                <w:szCs w:val="21"/>
              </w:rPr>
              <w:t xml:space="preserve"> </w:t>
            </w:r>
            <w:r>
              <w:rPr>
                <w:rFonts w:ascii="仿宋" w:hAnsi="仿宋" w:eastAsia="仿宋" w:cs="仿宋"/>
                <w:spacing w:val="-4"/>
                <w:sz w:val="21"/>
                <w:szCs w:val="21"/>
              </w:rPr>
              <w:t>入常规的环境监测计划。</w:t>
            </w:r>
          </w:p>
          <w:p>
            <w:pPr>
              <w:spacing w:before="64" w:line="215" w:lineRule="auto"/>
              <w:ind w:left="105"/>
              <w:rPr>
                <w:rFonts w:ascii="仿宋" w:hAnsi="仿宋" w:eastAsia="仿宋" w:cs="仿宋"/>
                <w:sz w:val="21"/>
                <w:szCs w:val="21"/>
              </w:rPr>
            </w:pPr>
            <w:r>
              <w:rPr>
                <w:rFonts w:ascii="仿宋" w:hAnsi="仿宋" w:eastAsia="仿宋" w:cs="仿宋"/>
                <w:sz w:val="21"/>
                <w:szCs w:val="21"/>
              </w:rPr>
              <w:t>③水库运行后，水库管理单位应该配合地方在水库周边区域内进行封禁治</w:t>
            </w:r>
            <w:r>
              <w:rPr>
                <w:rFonts w:ascii="仿宋" w:hAnsi="仿宋" w:eastAsia="仿宋" w:cs="仿宋"/>
                <w:spacing w:val="-1"/>
                <w:sz w:val="21"/>
                <w:szCs w:val="21"/>
              </w:rPr>
              <w:t>理，大面积绿化造</w:t>
            </w:r>
          </w:p>
          <w:p>
            <w:pPr>
              <w:spacing w:before="67" w:line="216" w:lineRule="auto"/>
              <w:ind w:left="113"/>
              <w:rPr>
                <w:rFonts w:ascii="仿宋" w:hAnsi="仿宋" w:eastAsia="仿宋" w:cs="仿宋"/>
                <w:sz w:val="21"/>
                <w:szCs w:val="21"/>
              </w:rPr>
            </w:pPr>
            <w:r>
              <w:rPr>
                <w:rFonts w:ascii="仿宋" w:hAnsi="仿宋" w:eastAsia="仿宋" w:cs="仿宋"/>
                <w:spacing w:val="-2"/>
                <w:sz w:val="21"/>
                <w:szCs w:val="21"/>
              </w:rPr>
              <w:t>林，开展径流区水源涵养林营造和保护工作。</w:t>
            </w:r>
          </w:p>
          <w:p>
            <w:pPr>
              <w:spacing w:before="67" w:line="245" w:lineRule="auto"/>
              <w:ind w:left="114" w:right="124" w:hanging="9"/>
              <w:rPr>
                <w:rFonts w:ascii="仿宋" w:hAnsi="仿宋" w:eastAsia="仿宋" w:cs="仿宋"/>
                <w:sz w:val="21"/>
                <w:szCs w:val="21"/>
              </w:rPr>
            </w:pPr>
            <w:r>
              <w:rPr>
                <w:rFonts w:ascii="仿宋" w:hAnsi="仿宋" w:eastAsia="仿宋" w:cs="仿宋"/>
                <w:sz w:val="21"/>
                <w:szCs w:val="21"/>
              </w:rPr>
              <w:t>④建议当地政府建立桂花水库水源保护区，对水库汇水区域应严格管理，凡</w:t>
            </w:r>
            <w:r>
              <w:rPr>
                <w:rFonts w:ascii="仿宋" w:hAnsi="仿宋" w:eastAsia="仿宋" w:cs="仿宋"/>
                <w:spacing w:val="-1"/>
                <w:sz w:val="21"/>
                <w:szCs w:val="21"/>
              </w:rPr>
              <w:t>是可能对水库水源</w:t>
            </w:r>
            <w:r>
              <w:rPr>
                <w:rFonts w:ascii="仿宋" w:hAnsi="仿宋" w:eastAsia="仿宋" w:cs="仿宋"/>
                <w:sz w:val="21"/>
                <w:szCs w:val="21"/>
              </w:rPr>
              <w:t xml:space="preserve"> </w:t>
            </w:r>
            <w:r>
              <w:rPr>
                <w:rFonts w:ascii="仿宋" w:hAnsi="仿宋" w:eastAsia="仿宋" w:cs="仿宋"/>
                <w:spacing w:val="-2"/>
                <w:sz w:val="21"/>
                <w:szCs w:val="21"/>
              </w:rPr>
              <w:t>涵养林、水库水质等造成破坏和污染的行为，应严格禁止。</w:t>
            </w:r>
          </w:p>
          <w:p>
            <w:pPr>
              <w:spacing w:before="64" w:line="255" w:lineRule="auto"/>
              <w:ind w:left="112" w:right="124" w:hanging="7"/>
              <w:rPr>
                <w:rFonts w:ascii="仿宋" w:hAnsi="仿宋" w:eastAsia="仿宋" w:cs="仿宋"/>
                <w:sz w:val="21"/>
                <w:szCs w:val="21"/>
              </w:rPr>
            </w:pPr>
            <w:r>
              <w:rPr>
                <w:rFonts w:ascii="仿宋" w:hAnsi="仿宋" w:eastAsia="仿宋" w:cs="仿宋"/>
                <w:spacing w:val="-1"/>
                <w:sz w:val="21"/>
                <w:szCs w:val="21"/>
              </w:rPr>
              <w:t>⑤为确保区域灌溉及饮水安全，应对水库水源区的水环境进行保</w:t>
            </w:r>
            <w:r>
              <w:rPr>
                <w:rFonts w:ascii="仿宋" w:hAnsi="仿宋" w:eastAsia="仿宋" w:cs="仿宋"/>
                <w:spacing w:val="-2"/>
                <w:sz w:val="21"/>
                <w:szCs w:val="21"/>
              </w:rPr>
              <w:t>护，禁止在库区开展养殖业；</w:t>
            </w:r>
            <w:r>
              <w:rPr>
                <w:rFonts w:ascii="仿宋" w:hAnsi="仿宋" w:eastAsia="仿宋" w:cs="仿宋"/>
                <w:sz w:val="21"/>
                <w:szCs w:val="21"/>
              </w:rPr>
              <w:t xml:space="preserve"> 禁止在水库径流区范围内设置排污口；禁止在库区上游堆置</w:t>
            </w:r>
            <w:r>
              <w:rPr>
                <w:rFonts w:ascii="仿宋" w:hAnsi="仿宋" w:eastAsia="仿宋" w:cs="仿宋"/>
                <w:spacing w:val="-1"/>
                <w:sz w:val="21"/>
                <w:szCs w:val="21"/>
              </w:rPr>
              <w:t>和存放工业废渣、城市垃圾、粪便</w:t>
            </w:r>
            <w:r>
              <w:rPr>
                <w:rFonts w:ascii="仿宋" w:hAnsi="仿宋" w:eastAsia="仿宋" w:cs="仿宋"/>
                <w:sz w:val="21"/>
                <w:szCs w:val="21"/>
              </w:rPr>
              <w:t xml:space="preserve"> </w:t>
            </w:r>
            <w:r>
              <w:rPr>
                <w:rFonts w:ascii="仿宋" w:hAnsi="仿宋" w:eastAsia="仿宋" w:cs="仿宋"/>
                <w:spacing w:val="-3"/>
                <w:sz w:val="21"/>
                <w:szCs w:val="21"/>
              </w:rPr>
              <w:t>和其他废弃物；禁止在水库上游非法采沙。</w:t>
            </w:r>
          </w:p>
          <w:p>
            <w:pPr>
              <w:spacing w:before="68" w:line="217" w:lineRule="auto"/>
              <w:ind w:left="105"/>
              <w:rPr>
                <w:rFonts w:ascii="仿宋" w:hAnsi="仿宋" w:eastAsia="仿宋" w:cs="仿宋"/>
                <w:sz w:val="21"/>
                <w:szCs w:val="21"/>
              </w:rPr>
            </w:pPr>
            <w:r>
              <w:rPr>
                <w:rFonts w:ascii="仿宋" w:hAnsi="仿宋" w:eastAsia="仿宋" w:cs="仿宋"/>
                <w:spacing w:val="-1"/>
                <w:sz w:val="21"/>
                <w:szCs w:val="21"/>
              </w:rPr>
              <w:t>⑥水库管理区设置化粪池，生活污水进入化粪池处理，处理后的废水用于农肥，不外排。</w:t>
            </w:r>
          </w:p>
          <w:p>
            <w:pPr>
              <w:spacing w:before="45" w:line="227" w:lineRule="auto"/>
              <w:ind w:left="112" w:right="124" w:hanging="7"/>
              <w:rPr>
                <w:rFonts w:ascii="仿宋" w:hAnsi="仿宋" w:eastAsia="仿宋" w:cs="仿宋"/>
                <w:sz w:val="21"/>
                <w:szCs w:val="21"/>
              </w:rPr>
            </w:pPr>
            <w:r>
              <w:rPr>
                <w:rFonts w:ascii="仿宋" w:hAnsi="仿宋" w:eastAsia="仿宋" w:cs="仿宋"/>
                <w:sz w:val="21"/>
                <w:szCs w:val="21"/>
              </w:rPr>
              <w:t>⑦为减小本项目灌溉后产生的灌溉回归水对区域水环境的影响，建议当地政</w:t>
            </w:r>
            <w:r>
              <w:rPr>
                <w:rFonts w:ascii="仿宋" w:hAnsi="仿宋" w:eastAsia="仿宋" w:cs="仿宋"/>
                <w:spacing w:val="-1"/>
                <w:sz w:val="21"/>
                <w:szCs w:val="21"/>
              </w:rPr>
              <w:t>府应在灌区发展生</w:t>
            </w:r>
            <w:r>
              <w:rPr>
                <w:rFonts w:ascii="仿宋" w:hAnsi="仿宋" w:eastAsia="仿宋" w:cs="仿宋"/>
                <w:sz w:val="21"/>
                <w:szCs w:val="21"/>
              </w:rPr>
              <w:t xml:space="preserve"> 态农业，鼓励种植化肥施用量较少的作物，推广节水灌溉技</w:t>
            </w:r>
            <w:r>
              <w:rPr>
                <w:rFonts w:ascii="仿宋" w:hAnsi="仿宋" w:eastAsia="仿宋" w:cs="仿宋"/>
                <w:spacing w:val="-1"/>
                <w:sz w:val="21"/>
                <w:szCs w:val="21"/>
              </w:rPr>
              <w:t>术、测土配方技术，减少农药、化</w:t>
            </w:r>
            <w:r>
              <w:rPr>
                <w:rFonts w:ascii="仿宋" w:hAnsi="仿宋" w:eastAsia="仿宋" w:cs="仿宋"/>
                <w:sz w:val="21"/>
                <w:szCs w:val="21"/>
              </w:rPr>
              <w:t xml:space="preserve"> </w:t>
            </w:r>
            <w:r>
              <w:rPr>
                <w:rFonts w:ascii="仿宋" w:hAnsi="仿宋" w:eastAsia="仿宋" w:cs="仿宋"/>
                <w:spacing w:val="-3"/>
                <w:sz w:val="21"/>
                <w:szCs w:val="21"/>
              </w:rPr>
              <w:t>肥施用量。</w:t>
            </w:r>
          </w:p>
        </w:tc>
        <w:tc>
          <w:tcPr>
            <w:tcW w:w="1848" w:type="dxa"/>
            <w:tcBorders>
              <w:bottom w:val="single" w:color="000000" w:sz="12" w:space="0"/>
              <w:right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68" w:line="250" w:lineRule="auto"/>
              <w:ind w:left="116" w:right="109" w:hanging="1"/>
              <w:rPr>
                <w:rFonts w:ascii="仿宋" w:hAnsi="仿宋" w:eastAsia="仿宋" w:cs="仿宋"/>
                <w:sz w:val="21"/>
                <w:szCs w:val="21"/>
              </w:rPr>
            </w:pPr>
            <w:r>
              <w:rPr>
                <w:rFonts w:ascii="仿宋" w:hAnsi="仿宋" w:eastAsia="仿宋" w:cs="仿宋"/>
                <w:spacing w:val="20"/>
                <w:sz w:val="21"/>
                <w:szCs w:val="21"/>
              </w:rPr>
              <w:t>保护库区饮用水</w:t>
            </w:r>
            <w:r>
              <w:rPr>
                <w:rFonts w:ascii="仿宋" w:hAnsi="仿宋" w:eastAsia="仿宋" w:cs="仿宋"/>
                <w:spacing w:val="4"/>
                <w:sz w:val="21"/>
                <w:szCs w:val="21"/>
              </w:rPr>
              <w:t xml:space="preserve"> </w:t>
            </w:r>
            <w:r>
              <w:rPr>
                <w:rFonts w:ascii="仿宋" w:hAnsi="仿宋" w:eastAsia="仿宋" w:cs="仿宋"/>
                <w:spacing w:val="-5"/>
                <w:sz w:val="21"/>
                <w:szCs w:val="21"/>
              </w:rPr>
              <w:t>安全</w:t>
            </w:r>
          </w:p>
        </w:tc>
      </w:tr>
    </w:tbl>
    <w:p>
      <w:pPr>
        <w:rPr>
          <w:rFonts w:ascii="Arial"/>
          <w:sz w:val="21"/>
        </w:rPr>
      </w:pPr>
    </w:p>
    <w:p>
      <w:pPr>
        <w:rPr>
          <w:rFonts w:ascii="Arial" w:hAnsi="Arial" w:eastAsia="Arial" w:cs="Arial"/>
          <w:sz w:val="21"/>
          <w:szCs w:val="21"/>
        </w:rPr>
        <w:sectPr>
          <w:footerReference r:id="rId463" w:type="default"/>
          <w:pgSz w:w="16839" w:h="11907"/>
          <w:pgMar w:top="1156" w:right="1408" w:bottom="1374" w:left="1410" w:header="881" w:footer="1210" w:gutter="0"/>
        </w:sectPr>
      </w:pPr>
    </w:p>
    <w:p>
      <w:pPr>
        <w:spacing w:before="80"/>
      </w:pPr>
    </w:p>
    <w:p>
      <w:pPr>
        <w:spacing w:before="80"/>
      </w:pPr>
    </w:p>
    <w:tbl>
      <w:tblPr>
        <w:tblStyle w:val="5"/>
        <w:tblW w:w="13974"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6"/>
        <w:gridCol w:w="1631"/>
        <w:gridCol w:w="8849"/>
        <w:gridCol w:w="18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6" w:hRule="atLeast"/>
        </w:trPr>
        <w:tc>
          <w:tcPr>
            <w:tcW w:w="1646" w:type="dxa"/>
            <w:tcBorders>
              <w:top w:val="single" w:color="000000" w:sz="12" w:space="0"/>
              <w:left w:val="nil"/>
            </w:tcBorders>
            <w:vAlign w:val="top"/>
          </w:tcPr>
          <w:p>
            <w:pPr>
              <w:spacing w:before="43" w:line="219" w:lineRule="auto"/>
              <w:ind w:left="63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类别</w:t>
            </w:r>
          </w:p>
        </w:tc>
        <w:tc>
          <w:tcPr>
            <w:tcW w:w="1631" w:type="dxa"/>
            <w:tcBorders>
              <w:top w:val="single" w:color="000000" w:sz="12" w:space="0"/>
            </w:tcBorders>
            <w:vAlign w:val="top"/>
          </w:tcPr>
          <w:p>
            <w:pPr>
              <w:spacing w:before="59" w:line="208" w:lineRule="auto"/>
              <w:ind w:left="610"/>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8849" w:type="dxa"/>
            <w:tcBorders>
              <w:top w:val="single" w:color="000000" w:sz="12" w:space="0"/>
            </w:tcBorders>
            <w:vAlign w:val="top"/>
          </w:tcPr>
          <w:p>
            <w:pPr>
              <w:spacing w:before="59" w:line="208" w:lineRule="auto"/>
              <w:ind w:left="3802"/>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主要控制措施</w:t>
            </w:r>
          </w:p>
        </w:tc>
        <w:tc>
          <w:tcPr>
            <w:tcW w:w="1848" w:type="dxa"/>
            <w:tcBorders>
              <w:top w:val="single" w:color="000000" w:sz="12" w:space="0"/>
              <w:right w:val="nil"/>
            </w:tcBorders>
            <w:vAlign w:val="top"/>
          </w:tcPr>
          <w:p>
            <w:pPr>
              <w:spacing w:before="59" w:line="208" w:lineRule="auto"/>
              <w:ind w:left="722"/>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623" w:hRule="atLeast"/>
        </w:trPr>
        <w:tc>
          <w:tcPr>
            <w:tcW w:w="1646" w:type="dxa"/>
            <w:tcBorders>
              <w:left w:val="nil"/>
            </w:tcBorders>
            <w:vAlign w:val="top"/>
          </w:tcPr>
          <w:p>
            <w:pPr>
              <w:spacing w:before="70" w:line="239" w:lineRule="auto"/>
              <w:ind w:left="655"/>
              <w:rPr>
                <w:rFonts w:ascii="仿宋" w:hAnsi="仿宋" w:eastAsia="仿宋" w:cs="仿宋"/>
                <w:sz w:val="21"/>
                <w:szCs w:val="21"/>
              </w:rPr>
            </w:pPr>
            <w:r>
              <w:rPr>
                <w:rFonts w:ascii="仿宋" w:hAnsi="仿宋" w:eastAsia="仿宋" w:cs="仿宋"/>
                <w:spacing w:val="-10"/>
                <w:sz w:val="21"/>
                <w:szCs w:val="21"/>
              </w:rPr>
              <w:t>固体</w:t>
            </w:r>
          </w:p>
          <w:p>
            <w:pPr>
              <w:spacing w:line="216" w:lineRule="auto"/>
              <w:ind w:left="635"/>
              <w:rPr>
                <w:rFonts w:ascii="仿宋" w:hAnsi="仿宋" w:eastAsia="仿宋" w:cs="仿宋"/>
                <w:sz w:val="21"/>
                <w:szCs w:val="21"/>
              </w:rPr>
            </w:pPr>
            <w:r>
              <w:rPr>
                <w:rFonts w:ascii="仿宋" w:hAnsi="仿宋" w:eastAsia="仿宋" w:cs="仿宋"/>
                <w:spacing w:val="-5"/>
                <w:sz w:val="21"/>
                <w:szCs w:val="21"/>
              </w:rPr>
              <w:t>废物</w:t>
            </w:r>
          </w:p>
        </w:tc>
        <w:tc>
          <w:tcPr>
            <w:tcW w:w="1631" w:type="dxa"/>
            <w:vAlign w:val="top"/>
          </w:tcPr>
          <w:p>
            <w:pPr>
              <w:spacing w:before="206" w:line="220" w:lineRule="auto"/>
              <w:ind w:left="633"/>
              <w:rPr>
                <w:rFonts w:ascii="仿宋" w:hAnsi="仿宋" w:eastAsia="仿宋" w:cs="仿宋"/>
                <w:sz w:val="21"/>
                <w:szCs w:val="21"/>
              </w:rPr>
            </w:pPr>
            <w:r>
              <w:rPr>
                <w:rFonts w:ascii="仿宋" w:hAnsi="仿宋" w:eastAsia="仿宋" w:cs="仿宋"/>
                <w:spacing w:val="-10"/>
                <w:sz w:val="21"/>
                <w:szCs w:val="21"/>
              </w:rPr>
              <w:t>固废</w:t>
            </w:r>
          </w:p>
        </w:tc>
        <w:tc>
          <w:tcPr>
            <w:tcW w:w="8849" w:type="dxa"/>
            <w:vAlign w:val="top"/>
          </w:tcPr>
          <w:p>
            <w:pPr>
              <w:spacing w:before="50" w:line="246" w:lineRule="auto"/>
              <w:ind w:left="117" w:right="104"/>
              <w:rPr>
                <w:rFonts w:ascii="仿宋" w:hAnsi="仿宋" w:eastAsia="仿宋" w:cs="仿宋"/>
                <w:sz w:val="21"/>
                <w:szCs w:val="21"/>
              </w:rPr>
            </w:pPr>
            <w:r>
              <w:rPr>
                <w:rFonts w:ascii="仿宋" w:hAnsi="仿宋" w:eastAsia="仿宋" w:cs="仿宋"/>
                <w:sz w:val="21"/>
                <w:szCs w:val="21"/>
              </w:rPr>
              <w:t>工程运行期固体废物主要为水库管理人员产生的生活垃圾，在水库管值班室设置垃圾桶收集后</w:t>
            </w:r>
            <w:r>
              <w:rPr>
                <w:rFonts w:ascii="仿宋" w:hAnsi="仿宋" w:eastAsia="仿宋" w:cs="仿宋"/>
                <w:spacing w:val="1"/>
                <w:sz w:val="21"/>
                <w:szCs w:val="21"/>
              </w:rPr>
              <w:t xml:space="preserve"> </w:t>
            </w:r>
            <w:r>
              <w:rPr>
                <w:rFonts w:ascii="仿宋" w:hAnsi="仿宋" w:eastAsia="仿宋" w:cs="仿宋"/>
                <w:spacing w:val="-4"/>
                <w:sz w:val="21"/>
                <w:szCs w:val="21"/>
              </w:rPr>
              <w:t>交由当地环卫部门处置。</w:t>
            </w:r>
          </w:p>
        </w:tc>
        <w:tc>
          <w:tcPr>
            <w:tcW w:w="1848" w:type="dxa"/>
            <w:tcBorders>
              <w:right w:val="nil"/>
            </w:tcBorders>
            <w:vAlign w:val="top"/>
          </w:tcPr>
          <w:p>
            <w:pPr>
              <w:pStyle w:val="6"/>
              <w:spacing w:before="226" w:line="219" w:lineRule="auto"/>
              <w:ind w:left="114"/>
            </w:pPr>
            <w:r>
              <w:rPr>
                <w:rFonts w:ascii="仿宋" w:hAnsi="仿宋" w:eastAsia="仿宋" w:cs="仿宋"/>
                <w:spacing w:val="-5"/>
              </w:rPr>
              <w:t>处置率</w:t>
            </w:r>
            <w:r>
              <w:rPr>
                <w:rFonts w:ascii="仿宋" w:hAnsi="仿宋" w:eastAsia="仿宋" w:cs="仿宋"/>
                <w:spacing w:val="-24"/>
              </w:rPr>
              <w:t xml:space="preserve"> </w:t>
            </w:r>
            <w:r>
              <w:rPr>
                <w:spacing w:val="-5"/>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88" w:hRule="atLeast"/>
        </w:trPr>
        <w:tc>
          <w:tcPr>
            <w:tcW w:w="1646" w:type="dxa"/>
            <w:tcBorders>
              <w:left w:val="nil"/>
              <w:bottom w:val="single" w:color="000000" w:sz="12" w:space="0"/>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before="69" w:line="218" w:lineRule="auto"/>
              <w:ind w:left="423"/>
              <w:rPr>
                <w:rFonts w:ascii="仿宋" w:hAnsi="仿宋" w:eastAsia="仿宋" w:cs="仿宋"/>
                <w:sz w:val="21"/>
                <w:szCs w:val="21"/>
              </w:rPr>
            </w:pPr>
            <w:r>
              <w:rPr>
                <w:rFonts w:ascii="仿宋" w:hAnsi="仿宋" w:eastAsia="仿宋" w:cs="仿宋"/>
                <w:spacing w:val="-3"/>
                <w:sz w:val="21"/>
                <w:szCs w:val="21"/>
              </w:rPr>
              <w:t>环境风险</w:t>
            </w:r>
          </w:p>
        </w:tc>
        <w:tc>
          <w:tcPr>
            <w:tcW w:w="1631" w:type="dxa"/>
            <w:tcBorders>
              <w:bottom w:val="single" w:color="000000" w:sz="12" w:space="0"/>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spacing w:before="68" w:line="219" w:lineRule="auto"/>
              <w:ind w:left="294"/>
              <w:rPr>
                <w:rFonts w:ascii="仿宋" w:hAnsi="仿宋" w:eastAsia="仿宋" w:cs="仿宋"/>
                <w:sz w:val="21"/>
                <w:szCs w:val="21"/>
              </w:rPr>
            </w:pPr>
            <w:r>
              <w:rPr>
                <w:rFonts w:ascii="仿宋" w:hAnsi="仿宋" w:eastAsia="仿宋" w:cs="仿宋"/>
                <w:spacing w:val="-3"/>
                <w:sz w:val="21"/>
                <w:szCs w:val="21"/>
              </w:rPr>
              <w:t>饮用水安全</w:t>
            </w:r>
          </w:p>
        </w:tc>
        <w:tc>
          <w:tcPr>
            <w:tcW w:w="8849" w:type="dxa"/>
            <w:tcBorders>
              <w:bottom w:val="single" w:color="000000" w:sz="12" w:space="0"/>
            </w:tcBorders>
            <w:vAlign w:val="top"/>
          </w:tcPr>
          <w:p>
            <w:pPr>
              <w:spacing w:before="55" w:line="217" w:lineRule="auto"/>
              <w:ind w:left="106"/>
              <w:rPr>
                <w:rFonts w:ascii="仿宋" w:hAnsi="仿宋" w:eastAsia="仿宋" w:cs="仿宋"/>
                <w:sz w:val="21"/>
                <w:szCs w:val="21"/>
              </w:rPr>
            </w:pPr>
            <w:r>
              <w:rPr>
                <w:rFonts w:ascii="仿宋" w:hAnsi="仿宋" w:eastAsia="仿宋" w:cs="仿宋"/>
                <w:spacing w:val="-2"/>
                <w:sz w:val="21"/>
                <w:szCs w:val="21"/>
              </w:rPr>
              <w:t>①建议当地政府依法划定饮用水源保护区。</w:t>
            </w:r>
          </w:p>
          <w:p>
            <w:pPr>
              <w:spacing w:before="65" w:line="215" w:lineRule="auto"/>
              <w:ind w:left="105"/>
              <w:rPr>
                <w:rFonts w:ascii="仿宋" w:hAnsi="仿宋" w:eastAsia="仿宋" w:cs="仿宋"/>
                <w:sz w:val="21"/>
                <w:szCs w:val="21"/>
              </w:rPr>
            </w:pPr>
            <w:r>
              <w:rPr>
                <w:rFonts w:ascii="仿宋" w:hAnsi="仿宋" w:eastAsia="仿宋" w:cs="仿宋"/>
                <w:sz w:val="21"/>
                <w:szCs w:val="21"/>
              </w:rPr>
              <w:t>②禁止在库区开展养殖业；禁止在水库径流区范围内设置排污口；禁止在库区上游堆置和存放</w:t>
            </w:r>
          </w:p>
          <w:p>
            <w:pPr>
              <w:spacing w:before="67" w:line="312" w:lineRule="exact"/>
              <w:ind w:left="117"/>
              <w:rPr>
                <w:rFonts w:ascii="仿宋" w:hAnsi="仿宋" w:eastAsia="仿宋" w:cs="仿宋"/>
                <w:sz w:val="21"/>
                <w:szCs w:val="21"/>
              </w:rPr>
            </w:pPr>
            <w:r>
              <w:rPr>
                <w:rFonts w:ascii="仿宋" w:hAnsi="仿宋" w:eastAsia="仿宋" w:cs="仿宋"/>
                <w:spacing w:val="-1"/>
                <w:position w:val="7"/>
                <w:sz w:val="21"/>
                <w:szCs w:val="21"/>
              </w:rPr>
              <w:t>工业废渣、城市垃圾、粪便和其他废弃物；禁止在水库上游非法采沙。</w:t>
            </w:r>
          </w:p>
          <w:p>
            <w:pPr>
              <w:spacing w:line="217" w:lineRule="auto"/>
              <w:ind w:left="105"/>
              <w:rPr>
                <w:rFonts w:ascii="仿宋" w:hAnsi="仿宋" w:eastAsia="仿宋" w:cs="仿宋"/>
                <w:sz w:val="21"/>
                <w:szCs w:val="21"/>
              </w:rPr>
            </w:pPr>
            <w:r>
              <w:rPr>
                <w:rFonts w:ascii="仿宋" w:hAnsi="仿宋" w:eastAsia="仿宋" w:cs="仿宋"/>
                <w:sz w:val="21"/>
                <w:szCs w:val="21"/>
              </w:rPr>
              <w:t>③加强水库水质的监测，积极预防水体污染，建立健</w:t>
            </w:r>
            <w:r>
              <w:rPr>
                <w:rFonts w:ascii="仿宋" w:hAnsi="仿宋" w:eastAsia="仿宋" w:cs="仿宋"/>
                <w:spacing w:val="-1"/>
                <w:sz w:val="21"/>
                <w:szCs w:val="21"/>
              </w:rPr>
              <w:t>全预警预报系统。</w:t>
            </w:r>
          </w:p>
          <w:p>
            <w:pPr>
              <w:spacing w:before="63" w:line="256" w:lineRule="auto"/>
              <w:ind w:left="110" w:right="103" w:hanging="5"/>
              <w:jc w:val="both"/>
              <w:rPr>
                <w:rFonts w:ascii="仿宋" w:hAnsi="仿宋" w:eastAsia="仿宋" w:cs="仿宋"/>
                <w:sz w:val="21"/>
                <w:szCs w:val="21"/>
              </w:rPr>
            </w:pPr>
            <w:r>
              <w:rPr>
                <w:rFonts w:ascii="仿宋" w:hAnsi="仿宋" w:eastAsia="仿宋" w:cs="仿宋"/>
                <w:spacing w:val="-6"/>
                <w:sz w:val="21"/>
                <w:szCs w:val="21"/>
              </w:rPr>
              <w:t>④加强水库区的巡查、巡检，</w:t>
            </w:r>
            <w:r>
              <w:rPr>
                <w:rFonts w:ascii="仿宋" w:hAnsi="仿宋" w:eastAsia="仿宋" w:cs="仿宋"/>
                <w:spacing w:val="73"/>
                <w:sz w:val="21"/>
                <w:szCs w:val="21"/>
              </w:rPr>
              <w:t xml:space="preserve"> </w:t>
            </w:r>
            <w:r>
              <w:rPr>
                <w:rFonts w:ascii="仿宋" w:hAnsi="仿宋" w:eastAsia="仿宋" w:cs="仿宋"/>
                <w:spacing w:val="-6"/>
                <w:sz w:val="21"/>
                <w:szCs w:val="21"/>
              </w:rPr>
              <w:t>及时处理发现问题。</w:t>
            </w:r>
            <w:r>
              <w:rPr>
                <w:rFonts w:ascii="仿宋" w:hAnsi="仿宋" w:eastAsia="仿宋" w:cs="仿宋"/>
                <w:spacing w:val="-23"/>
                <w:sz w:val="21"/>
                <w:szCs w:val="21"/>
              </w:rPr>
              <w:t xml:space="preserve"> </w:t>
            </w:r>
            <w:r>
              <w:rPr>
                <w:rFonts w:ascii="仿宋" w:hAnsi="仿宋" w:eastAsia="仿宋" w:cs="仿宋"/>
                <w:spacing w:val="-6"/>
                <w:sz w:val="21"/>
                <w:szCs w:val="21"/>
              </w:rPr>
              <w:t>坡面必须设置护坡，护坡材料应根据当地情</w:t>
            </w:r>
            <w:r>
              <w:rPr>
                <w:rFonts w:ascii="仿宋" w:hAnsi="仿宋" w:eastAsia="仿宋" w:cs="仿宋"/>
                <w:sz w:val="21"/>
                <w:szCs w:val="21"/>
              </w:rPr>
              <w:t xml:space="preserve"> </w:t>
            </w:r>
            <w:r>
              <w:rPr>
                <w:rFonts w:ascii="仿宋" w:hAnsi="仿宋" w:eastAsia="仿宋" w:cs="仿宋"/>
                <w:spacing w:val="-4"/>
                <w:sz w:val="21"/>
                <w:szCs w:val="21"/>
              </w:rPr>
              <w:t>况选取，采取工程护坡与植物护坡相结合的方式。</w:t>
            </w:r>
            <w:r>
              <w:rPr>
                <w:rFonts w:ascii="仿宋" w:hAnsi="仿宋" w:eastAsia="仿宋" w:cs="仿宋"/>
                <w:spacing w:val="-22"/>
                <w:sz w:val="21"/>
                <w:szCs w:val="21"/>
              </w:rPr>
              <w:t xml:space="preserve"> </w:t>
            </w:r>
            <w:r>
              <w:rPr>
                <w:rFonts w:ascii="仿宋" w:hAnsi="仿宋" w:eastAsia="仿宋" w:cs="仿宋"/>
                <w:spacing w:val="-4"/>
                <w:sz w:val="21"/>
                <w:szCs w:val="21"/>
              </w:rPr>
              <w:t>堆浸场周边设置截水</w:t>
            </w:r>
            <w:r>
              <w:rPr>
                <w:rFonts w:ascii="仿宋" w:hAnsi="仿宋" w:eastAsia="仿宋" w:cs="仿宋"/>
                <w:spacing w:val="-5"/>
                <w:sz w:val="21"/>
                <w:szCs w:val="21"/>
              </w:rPr>
              <w:t>沟， 堆浸矿料坡面布设</w:t>
            </w:r>
            <w:r>
              <w:rPr>
                <w:rFonts w:ascii="仿宋" w:hAnsi="仿宋" w:eastAsia="仿宋" w:cs="仿宋"/>
                <w:sz w:val="21"/>
                <w:szCs w:val="21"/>
              </w:rPr>
              <w:t xml:space="preserve"> </w:t>
            </w:r>
            <w:r>
              <w:rPr>
                <w:rFonts w:ascii="仿宋" w:hAnsi="仿宋" w:eastAsia="仿宋" w:cs="仿宋"/>
                <w:spacing w:val="-8"/>
                <w:sz w:val="21"/>
                <w:szCs w:val="21"/>
              </w:rPr>
              <w:t>排水沟。</w:t>
            </w:r>
          </w:p>
        </w:tc>
        <w:tc>
          <w:tcPr>
            <w:tcW w:w="1848" w:type="dxa"/>
            <w:tcBorders>
              <w:bottom w:val="single" w:color="000000" w:sz="12" w:space="0"/>
              <w:right w:val="nil"/>
            </w:tcBorders>
            <w:vAlign w:val="top"/>
          </w:tcPr>
          <w:p>
            <w:pPr>
              <w:spacing w:line="313" w:lineRule="auto"/>
              <w:rPr>
                <w:rFonts w:ascii="Arial"/>
                <w:sz w:val="21"/>
              </w:rPr>
            </w:pPr>
          </w:p>
          <w:p>
            <w:pPr>
              <w:spacing w:line="313" w:lineRule="auto"/>
              <w:rPr>
                <w:rFonts w:ascii="Arial"/>
                <w:sz w:val="21"/>
              </w:rPr>
            </w:pPr>
          </w:p>
          <w:p>
            <w:pPr>
              <w:spacing w:line="313" w:lineRule="auto"/>
              <w:rPr>
                <w:rFonts w:ascii="Arial"/>
                <w:sz w:val="21"/>
              </w:rPr>
            </w:pPr>
          </w:p>
          <w:p>
            <w:pPr>
              <w:spacing w:before="68" w:line="218" w:lineRule="auto"/>
              <w:ind w:left="113"/>
              <w:rPr>
                <w:rFonts w:ascii="仿宋" w:hAnsi="仿宋" w:eastAsia="仿宋" w:cs="仿宋"/>
                <w:sz w:val="21"/>
                <w:szCs w:val="21"/>
              </w:rPr>
            </w:pPr>
            <w:r>
              <w:rPr>
                <w:rFonts w:ascii="仿宋" w:hAnsi="仿宋" w:eastAsia="仿宋" w:cs="仿宋"/>
                <w:spacing w:val="-3"/>
                <w:sz w:val="21"/>
                <w:szCs w:val="21"/>
              </w:rPr>
              <w:t>环境风险可控</w:t>
            </w:r>
          </w:p>
        </w:tc>
      </w:tr>
    </w:tbl>
    <w:p>
      <w:pPr>
        <w:rPr>
          <w:rFonts w:ascii="Arial"/>
          <w:sz w:val="21"/>
        </w:rPr>
      </w:pPr>
    </w:p>
    <w:p>
      <w:pPr>
        <w:rPr>
          <w:rFonts w:ascii="Arial" w:hAnsi="Arial" w:eastAsia="Arial" w:cs="Arial"/>
          <w:sz w:val="21"/>
          <w:szCs w:val="21"/>
        </w:rPr>
        <w:sectPr>
          <w:footerReference r:id="rId464" w:type="default"/>
          <w:pgSz w:w="16839" w:h="11907"/>
          <w:pgMar w:top="1156" w:right="1408" w:bottom="1374" w:left="1410" w:header="881" w:footer="1210" w:gutter="0"/>
        </w:sectPr>
      </w:pPr>
    </w:p>
    <w:p>
      <w:pPr>
        <w:spacing w:line="248" w:lineRule="auto"/>
        <w:rPr>
          <w:rFonts w:ascii="Arial"/>
          <w:sz w:val="21"/>
        </w:rPr>
      </w:pPr>
    </w:p>
    <w:p>
      <w:pPr>
        <w:spacing w:line="249" w:lineRule="auto"/>
        <w:rPr>
          <w:rFonts w:ascii="Arial"/>
          <w:sz w:val="21"/>
        </w:rPr>
      </w:pPr>
    </w:p>
    <w:p>
      <w:pPr>
        <w:pStyle w:val="2"/>
        <w:spacing w:before="97" w:line="693" w:lineRule="exact"/>
        <w:ind w:left="1670"/>
        <w:rPr>
          <w:sz w:val="30"/>
          <w:szCs w:val="30"/>
        </w:rPr>
      </w:pPr>
      <w:bookmarkStart w:id="46" w:name="bookmark47"/>
      <w:bookmarkEnd w:id="46"/>
      <w:bookmarkStart w:id="47" w:name="bookmark48"/>
      <w:bookmarkEnd w:id="47"/>
      <w:r>
        <w:rPr>
          <w:rFonts w:ascii="Times New Roman" w:hAnsi="Times New Roman" w:eastAsia="Times New Roman" w:cs="Times New Roman"/>
          <w:b/>
          <w:bCs/>
          <w:position w:val="30"/>
          <w:sz w:val="30"/>
          <w:szCs w:val="30"/>
        </w:rPr>
        <w:t xml:space="preserve">7 </w:t>
      </w:r>
      <w:r>
        <w:rPr>
          <w:position w:val="30"/>
          <w:sz w:val="30"/>
          <w:szCs w:val="30"/>
          <w14:textOutline w14:w="5442" w14:cap="flat" w14:cmpd="sng">
            <w14:solidFill>
              <w14:srgbClr w14:val="000000"/>
            </w14:solidFill>
            <w14:prstDash w14:val="solid"/>
            <w14:miter w14:val="0"/>
          </w14:textOutline>
        </w:rPr>
        <w:t>环境监测计划、环境监理与环境管理</w:t>
      </w:r>
    </w:p>
    <w:p>
      <w:pPr>
        <w:pStyle w:val="2"/>
        <w:spacing w:before="1" w:line="239" w:lineRule="auto"/>
        <w:ind w:left="39"/>
        <w:rPr>
          <w:sz w:val="27"/>
          <w:szCs w:val="27"/>
        </w:rPr>
      </w:pPr>
      <w:r>
        <w:rPr>
          <w:rFonts w:ascii="Times New Roman" w:hAnsi="Times New Roman" w:eastAsia="Times New Roman" w:cs="Times New Roman"/>
          <w:b/>
          <w:bCs/>
          <w:spacing w:val="6"/>
          <w:sz w:val="27"/>
          <w:szCs w:val="27"/>
        </w:rPr>
        <w:t>7.1</w:t>
      </w:r>
      <w:r>
        <w:rPr>
          <w:rFonts w:ascii="Times New Roman" w:hAnsi="Times New Roman" w:eastAsia="Times New Roman" w:cs="Times New Roman"/>
          <w:b/>
          <w:bCs/>
          <w:spacing w:val="50"/>
          <w:sz w:val="27"/>
          <w:szCs w:val="27"/>
        </w:rPr>
        <w:t xml:space="preserve"> </w:t>
      </w:r>
      <w:r>
        <w:rPr>
          <w:spacing w:val="6"/>
          <w:sz w:val="27"/>
          <w:szCs w:val="27"/>
          <w14:textOutline w14:w="5072" w14:cap="flat" w14:cmpd="sng">
            <w14:solidFill>
              <w14:srgbClr w14:val="000000"/>
            </w14:solidFill>
            <w14:prstDash w14:val="solid"/>
            <w14:miter w14:val="0"/>
          </w14:textOutline>
        </w:rPr>
        <w:t>环境监测计划</w:t>
      </w:r>
    </w:p>
    <w:p>
      <w:pPr>
        <w:spacing w:line="280"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7.1.1 </w:t>
      </w:r>
      <w:r>
        <w:rPr>
          <w:spacing w:val="-1"/>
          <w:sz w:val="24"/>
          <w:szCs w:val="24"/>
          <w14:textOutline w14:w="4354" w14:cap="flat" w14:cmpd="sng">
            <w14:solidFill>
              <w14:srgbClr w14:val="000000"/>
            </w14:solidFill>
            <w14:prstDash w14:val="solid"/>
            <w14:miter w14:val="0"/>
          </w14:textOutline>
        </w:rPr>
        <w:t>环境监测目的</w:t>
      </w:r>
    </w:p>
    <w:p>
      <w:pPr>
        <w:spacing w:before="199" w:line="359" w:lineRule="auto"/>
        <w:ind w:left="37" w:right="188" w:firstLine="481"/>
        <w:rPr>
          <w:rFonts w:ascii="宋体" w:hAnsi="宋体" w:eastAsia="宋体" w:cs="宋体"/>
          <w:sz w:val="24"/>
          <w:szCs w:val="24"/>
        </w:rPr>
      </w:pPr>
      <w:r>
        <w:rPr>
          <w:rFonts w:ascii="宋体" w:hAnsi="宋体" w:eastAsia="宋体" w:cs="宋体"/>
          <w:spacing w:val="-8"/>
          <w:sz w:val="24"/>
          <w:szCs w:val="24"/>
        </w:rPr>
        <w:t>环境要素的变化存在各种不确定因素，</w:t>
      </w:r>
      <w:r>
        <w:rPr>
          <w:rFonts w:ascii="宋体" w:hAnsi="宋体" w:eastAsia="宋体" w:cs="宋体"/>
          <w:spacing w:val="40"/>
          <w:sz w:val="24"/>
          <w:szCs w:val="24"/>
        </w:rPr>
        <w:t xml:space="preserve"> </w:t>
      </w:r>
      <w:r>
        <w:rPr>
          <w:rFonts w:ascii="宋体" w:hAnsi="宋体" w:eastAsia="宋体" w:cs="宋体"/>
          <w:spacing w:val="-8"/>
          <w:sz w:val="24"/>
          <w:szCs w:val="24"/>
        </w:rPr>
        <w:t>只有通过监测、测试才能够客观准确</w:t>
      </w:r>
      <w:r>
        <w:rPr>
          <w:rFonts w:ascii="宋体" w:hAnsi="宋体" w:eastAsia="宋体" w:cs="宋体"/>
          <w:sz w:val="24"/>
          <w:szCs w:val="24"/>
        </w:rPr>
        <w:t xml:space="preserve"> </w:t>
      </w:r>
      <w:r>
        <w:rPr>
          <w:rFonts w:ascii="宋体" w:hAnsi="宋体" w:eastAsia="宋体" w:cs="宋体"/>
          <w:spacing w:val="-12"/>
          <w:sz w:val="24"/>
          <w:szCs w:val="24"/>
        </w:rPr>
        <w:t>地评估环境影响的危害，</w:t>
      </w:r>
      <w:r>
        <w:rPr>
          <w:rFonts w:ascii="宋体" w:hAnsi="宋体" w:eastAsia="宋体" w:cs="宋体"/>
          <w:spacing w:val="47"/>
          <w:sz w:val="24"/>
          <w:szCs w:val="24"/>
        </w:rPr>
        <w:t xml:space="preserve"> </w:t>
      </w:r>
      <w:r>
        <w:rPr>
          <w:rFonts w:ascii="宋体" w:hAnsi="宋体" w:eastAsia="宋体" w:cs="宋体"/>
          <w:spacing w:val="-12"/>
          <w:sz w:val="24"/>
          <w:szCs w:val="24"/>
        </w:rPr>
        <w:t>预防项目施工、营运中的不利因素，</w:t>
      </w:r>
      <w:r>
        <w:rPr>
          <w:rFonts w:ascii="宋体" w:hAnsi="宋体" w:eastAsia="宋体" w:cs="宋体"/>
          <w:spacing w:val="30"/>
          <w:sz w:val="24"/>
          <w:szCs w:val="24"/>
        </w:rPr>
        <w:t xml:space="preserve"> </w:t>
      </w:r>
      <w:r>
        <w:rPr>
          <w:rFonts w:ascii="宋体" w:hAnsi="宋体" w:eastAsia="宋体" w:cs="宋体"/>
          <w:spacing w:val="-12"/>
          <w:sz w:val="24"/>
          <w:szCs w:val="24"/>
        </w:rPr>
        <w:t>有利于项目的开发</w:t>
      </w:r>
      <w:r>
        <w:rPr>
          <w:rFonts w:ascii="宋体" w:hAnsi="宋体" w:eastAsia="宋体" w:cs="宋体"/>
          <w:sz w:val="24"/>
          <w:szCs w:val="24"/>
        </w:rPr>
        <w:t xml:space="preserve"> </w:t>
      </w:r>
      <w:r>
        <w:rPr>
          <w:rFonts w:ascii="宋体" w:hAnsi="宋体" w:eastAsia="宋体" w:cs="宋体"/>
          <w:spacing w:val="-8"/>
          <w:sz w:val="24"/>
          <w:szCs w:val="24"/>
        </w:rPr>
        <w:t>进度和正常生产，</w:t>
      </w:r>
      <w:r>
        <w:rPr>
          <w:rFonts w:ascii="宋体" w:hAnsi="宋体" w:eastAsia="宋体" w:cs="宋体"/>
          <w:spacing w:val="-44"/>
          <w:sz w:val="24"/>
          <w:szCs w:val="24"/>
        </w:rPr>
        <w:t xml:space="preserve"> </w:t>
      </w:r>
      <w:r>
        <w:rPr>
          <w:rFonts w:ascii="宋体" w:hAnsi="宋体" w:eastAsia="宋体" w:cs="宋体"/>
          <w:spacing w:val="-8"/>
          <w:sz w:val="24"/>
          <w:szCs w:val="24"/>
        </w:rPr>
        <w:t>减轻环境问题对企业生产和公众生存环</w:t>
      </w:r>
      <w:r>
        <w:rPr>
          <w:rFonts w:ascii="宋体" w:hAnsi="宋体" w:eastAsia="宋体" w:cs="宋体"/>
          <w:spacing w:val="-9"/>
          <w:sz w:val="24"/>
          <w:szCs w:val="24"/>
        </w:rPr>
        <w:t>境的威胁， 避免因项目</w:t>
      </w:r>
    </w:p>
    <w:p>
      <w:pPr>
        <w:spacing w:line="219" w:lineRule="auto"/>
        <w:ind w:left="40"/>
        <w:rPr>
          <w:rFonts w:ascii="宋体" w:hAnsi="宋体" w:eastAsia="宋体" w:cs="宋体"/>
          <w:sz w:val="24"/>
          <w:szCs w:val="24"/>
        </w:rPr>
      </w:pPr>
      <w:r>
        <w:rPr>
          <w:rFonts w:ascii="宋体" w:hAnsi="宋体" w:eastAsia="宋体" w:cs="宋体"/>
          <w:spacing w:val="-3"/>
          <w:sz w:val="24"/>
          <w:szCs w:val="24"/>
        </w:rPr>
        <w:t>开发带来新的环境问题。</w:t>
      </w:r>
    </w:p>
    <w:p>
      <w:pPr>
        <w:spacing w:before="182" w:line="359" w:lineRule="auto"/>
        <w:ind w:left="38" w:right="122" w:firstLine="483"/>
        <w:rPr>
          <w:rFonts w:ascii="宋体" w:hAnsi="宋体" w:eastAsia="宋体" w:cs="宋体"/>
          <w:sz w:val="24"/>
          <w:szCs w:val="24"/>
        </w:rPr>
      </w:pPr>
      <w:r>
        <w:rPr>
          <w:rFonts w:ascii="宋体" w:hAnsi="宋体" w:eastAsia="宋体" w:cs="宋体"/>
          <w:spacing w:val="-9"/>
          <w:sz w:val="24"/>
          <w:szCs w:val="24"/>
        </w:rPr>
        <w:t>为及时掌握本工程施工期废水、废气、噪声、弃渣及生活污水排放情况，</w:t>
      </w:r>
      <w:r>
        <w:rPr>
          <w:rFonts w:ascii="宋体" w:hAnsi="宋体" w:eastAsia="宋体" w:cs="宋体"/>
          <w:spacing w:val="69"/>
          <w:sz w:val="24"/>
          <w:szCs w:val="24"/>
        </w:rPr>
        <w:t xml:space="preserve"> </w:t>
      </w:r>
      <w:r>
        <w:rPr>
          <w:rFonts w:ascii="宋体" w:hAnsi="宋体" w:eastAsia="宋体" w:cs="宋体"/>
          <w:spacing w:val="-9"/>
          <w:sz w:val="24"/>
          <w:szCs w:val="24"/>
        </w:rPr>
        <w:t>了</w:t>
      </w:r>
      <w:r>
        <w:rPr>
          <w:rFonts w:ascii="宋体" w:hAnsi="宋体" w:eastAsia="宋体" w:cs="宋体"/>
          <w:sz w:val="24"/>
          <w:szCs w:val="24"/>
        </w:rPr>
        <w:t xml:space="preserve"> </w:t>
      </w:r>
      <w:r>
        <w:rPr>
          <w:rFonts w:ascii="宋体" w:hAnsi="宋体" w:eastAsia="宋体" w:cs="宋体"/>
          <w:spacing w:val="-8"/>
          <w:sz w:val="24"/>
          <w:szCs w:val="24"/>
        </w:rPr>
        <w:t>解在施工期、运行期的评价区环境质量，</w:t>
      </w:r>
      <w:r>
        <w:rPr>
          <w:rFonts w:ascii="宋体" w:hAnsi="宋体" w:eastAsia="宋体" w:cs="宋体"/>
          <w:spacing w:val="32"/>
          <w:sz w:val="24"/>
          <w:szCs w:val="24"/>
        </w:rPr>
        <w:t xml:space="preserve"> </w:t>
      </w:r>
      <w:r>
        <w:rPr>
          <w:rFonts w:ascii="宋体" w:hAnsi="宋体" w:eastAsia="宋体" w:cs="宋体"/>
          <w:spacing w:val="-8"/>
          <w:sz w:val="24"/>
          <w:szCs w:val="24"/>
        </w:rPr>
        <w:t xml:space="preserve">预防突发性污染事故对环境的危害，为 </w:t>
      </w:r>
      <w:r>
        <w:rPr>
          <w:rFonts w:ascii="宋体" w:hAnsi="宋体" w:eastAsia="宋体" w:cs="宋体"/>
          <w:spacing w:val="-1"/>
          <w:sz w:val="24"/>
          <w:szCs w:val="24"/>
        </w:rPr>
        <w:t>施工期、运行期的环境保护及污染控制、环境监测和环境管理提供科学的依据，</w:t>
      </w:r>
    </w:p>
    <w:p>
      <w:pPr>
        <w:spacing w:line="220" w:lineRule="auto"/>
        <w:ind w:left="50"/>
        <w:rPr>
          <w:rFonts w:ascii="宋体" w:hAnsi="宋体" w:eastAsia="宋体" w:cs="宋体"/>
          <w:sz w:val="24"/>
          <w:szCs w:val="24"/>
        </w:rPr>
      </w:pPr>
      <w:r>
        <w:rPr>
          <w:rFonts w:ascii="宋体" w:hAnsi="宋体" w:eastAsia="宋体" w:cs="宋体"/>
          <w:spacing w:val="-6"/>
          <w:sz w:val="24"/>
          <w:szCs w:val="24"/>
        </w:rPr>
        <w:t>需进行环境监测。</w:t>
      </w:r>
    </w:p>
    <w:p>
      <w:pPr>
        <w:spacing w:before="182" w:line="467" w:lineRule="exact"/>
        <w:ind w:left="519"/>
        <w:rPr>
          <w:rFonts w:ascii="宋体" w:hAnsi="宋体" w:eastAsia="宋体" w:cs="宋体"/>
          <w:sz w:val="24"/>
          <w:szCs w:val="24"/>
        </w:rPr>
      </w:pPr>
      <w:r>
        <w:rPr>
          <w:rFonts w:ascii="宋体" w:hAnsi="宋体" w:eastAsia="宋体" w:cs="宋体"/>
          <w:spacing w:val="-3"/>
          <w:position w:val="17"/>
          <w:sz w:val="24"/>
          <w:szCs w:val="24"/>
        </w:rPr>
        <w:t>环境监测任务由业主单位组建成立的工程环境管理部门组织实施</w:t>
      </w:r>
      <w:r>
        <w:rPr>
          <w:rFonts w:ascii="宋体" w:hAnsi="宋体" w:eastAsia="宋体" w:cs="宋体"/>
          <w:spacing w:val="-4"/>
          <w:position w:val="17"/>
          <w:sz w:val="24"/>
          <w:szCs w:val="24"/>
        </w:rPr>
        <w:t>。环境监测</w:t>
      </w:r>
    </w:p>
    <w:p>
      <w:pPr>
        <w:spacing w:line="219" w:lineRule="auto"/>
        <w:ind w:left="43"/>
        <w:rPr>
          <w:rFonts w:ascii="宋体" w:hAnsi="宋体" w:eastAsia="宋体" w:cs="宋体"/>
          <w:sz w:val="24"/>
          <w:szCs w:val="24"/>
        </w:rPr>
      </w:pPr>
      <w:r>
        <w:rPr>
          <w:rFonts w:ascii="宋体" w:hAnsi="宋体" w:eastAsia="宋体" w:cs="宋体"/>
          <w:spacing w:val="-3"/>
          <w:sz w:val="24"/>
          <w:szCs w:val="24"/>
        </w:rPr>
        <w:t>不设专用监测站，委托当地环境监测部门承担。</w:t>
      </w:r>
    </w:p>
    <w:p>
      <w:pPr>
        <w:spacing w:before="181" w:line="220" w:lineRule="auto"/>
        <w:ind w:left="522"/>
        <w:rPr>
          <w:rFonts w:ascii="宋体" w:hAnsi="宋体" w:eastAsia="宋体" w:cs="宋体"/>
          <w:sz w:val="24"/>
          <w:szCs w:val="24"/>
        </w:rPr>
      </w:pPr>
      <w:r>
        <w:rPr>
          <w:rFonts w:ascii="宋体" w:hAnsi="宋体" w:eastAsia="宋体" w:cs="宋体"/>
          <w:spacing w:val="-2"/>
          <w:sz w:val="24"/>
          <w:szCs w:val="24"/>
        </w:rPr>
        <w:t>工程环境监测内容包括施工期和运行期工程河段地表水、噪声。</w:t>
      </w:r>
    </w:p>
    <w:p>
      <w:pPr>
        <w:spacing w:line="430" w:lineRule="auto"/>
        <w:rPr>
          <w:rFonts w:ascii="Arial"/>
          <w:sz w:val="21"/>
        </w:rPr>
      </w:pPr>
    </w:p>
    <w:p>
      <w:pPr>
        <w:pStyle w:val="2"/>
        <w:spacing w:before="79" w:line="233" w:lineRule="auto"/>
        <w:ind w:left="38"/>
        <w:outlineLvl w:val="3"/>
        <w:rPr>
          <w:sz w:val="24"/>
          <w:szCs w:val="24"/>
        </w:rPr>
      </w:pPr>
      <w:r>
        <w:rPr>
          <w:rFonts w:ascii="Times New Roman" w:hAnsi="Times New Roman" w:eastAsia="Times New Roman" w:cs="Times New Roman"/>
          <w:b/>
          <w:bCs/>
          <w:spacing w:val="-1"/>
          <w:sz w:val="24"/>
          <w:szCs w:val="24"/>
        </w:rPr>
        <w:t xml:space="preserve">7.1.2 </w:t>
      </w:r>
      <w:r>
        <w:rPr>
          <w:spacing w:val="-1"/>
          <w:sz w:val="24"/>
          <w:szCs w:val="24"/>
          <w14:textOutline w14:w="4354" w14:cap="flat" w14:cmpd="sng">
            <w14:solidFill>
              <w14:srgbClr w14:val="000000"/>
            </w14:solidFill>
            <w14:prstDash w14:val="solid"/>
            <w14:miter w14:val="0"/>
          </w14:textOutline>
        </w:rPr>
        <w:t>环境监测计划</w:t>
      </w:r>
    </w:p>
    <w:p>
      <w:pPr>
        <w:spacing w:before="199" w:line="467" w:lineRule="exact"/>
        <w:ind w:left="519"/>
        <w:rPr>
          <w:rFonts w:ascii="宋体" w:hAnsi="宋体" w:eastAsia="宋体" w:cs="宋体"/>
          <w:sz w:val="24"/>
          <w:szCs w:val="24"/>
        </w:rPr>
      </w:pPr>
      <w:r>
        <w:rPr>
          <w:rFonts w:ascii="宋体" w:hAnsi="宋体" w:eastAsia="宋体" w:cs="宋体"/>
          <w:spacing w:val="-7"/>
          <w:position w:val="17"/>
          <w:sz w:val="24"/>
          <w:szCs w:val="24"/>
        </w:rPr>
        <w:t>环境监测是环境管理的重要基础工作， 是开展环境科学研究、防止环境破坏</w:t>
      </w:r>
    </w:p>
    <w:p>
      <w:pPr>
        <w:spacing w:before="1" w:line="218" w:lineRule="auto"/>
        <w:ind w:left="40"/>
        <w:rPr>
          <w:rFonts w:ascii="宋体" w:hAnsi="宋体" w:eastAsia="宋体" w:cs="宋体"/>
          <w:sz w:val="24"/>
          <w:szCs w:val="24"/>
        </w:rPr>
      </w:pPr>
      <w:r>
        <w:rPr>
          <w:rFonts w:ascii="宋体" w:hAnsi="宋体" w:eastAsia="宋体" w:cs="宋体"/>
          <w:spacing w:val="-1"/>
          <w:sz w:val="24"/>
          <w:szCs w:val="24"/>
        </w:rPr>
        <w:t>和防治污染的重要依据。</w:t>
      </w:r>
    </w:p>
    <w:p>
      <w:pPr>
        <w:spacing w:before="182" w:line="220" w:lineRule="auto"/>
        <w:ind w:left="519"/>
        <w:rPr>
          <w:rFonts w:ascii="宋体" w:hAnsi="宋体" w:eastAsia="宋体" w:cs="宋体"/>
          <w:sz w:val="24"/>
          <w:szCs w:val="24"/>
        </w:rPr>
      </w:pPr>
      <w:r>
        <w:rPr>
          <w:rFonts w:ascii="宋体" w:hAnsi="宋体" w:eastAsia="宋体" w:cs="宋体"/>
          <w:spacing w:val="-6"/>
          <w:sz w:val="24"/>
          <w:szCs w:val="24"/>
        </w:rPr>
        <w:t>环境监测的任务是：</w:t>
      </w:r>
    </w:p>
    <w:p>
      <w:pPr>
        <w:spacing w:before="180"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）掌握工程建设区、水库淹没区环境的动态变化过程，为施工期和运行</w:t>
      </w:r>
    </w:p>
    <w:p>
      <w:pPr>
        <w:spacing w:before="182" w:line="467" w:lineRule="exact"/>
        <w:ind w:left="522"/>
        <w:rPr>
          <w:rFonts w:ascii="宋体" w:hAnsi="宋体" w:eastAsia="宋体" w:cs="宋体"/>
          <w:sz w:val="24"/>
          <w:szCs w:val="24"/>
        </w:rPr>
      </w:pPr>
      <w:r>
        <w:rPr>
          <w:rFonts w:ascii="宋体" w:hAnsi="宋体" w:eastAsia="宋体" w:cs="宋体"/>
          <w:spacing w:val="4"/>
          <w:position w:val="17"/>
          <w:sz w:val="24"/>
          <w:szCs w:val="24"/>
        </w:rPr>
        <w:t>期环境污染控制和环境管理以及流域梯级开发的环境保护工作提供科学依</w:t>
      </w:r>
    </w:p>
    <w:p>
      <w:pPr>
        <w:spacing w:line="219" w:lineRule="auto"/>
        <w:ind w:left="38"/>
        <w:rPr>
          <w:rFonts w:ascii="宋体" w:hAnsi="宋体" w:eastAsia="宋体" w:cs="宋体"/>
          <w:sz w:val="24"/>
          <w:szCs w:val="24"/>
        </w:rPr>
      </w:pPr>
      <w:r>
        <w:rPr>
          <w:rFonts w:ascii="宋体" w:hAnsi="宋体" w:eastAsia="宋体" w:cs="宋体"/>
          <w:spacing w:val="-11"/>
          <w:sz w:val="24"/>
          <w:szCs w:val="24"/>
        </w:rPr>
        <w:t>据。</w:t>
      </w:r>
    </w:p>
    <w:p>
      <w:pPr>
        <w:spacing w:before="182" w:line="466" w:lineRule="exact"/>
        <w:ind w:left="525"/>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2</w:t>
      </w:r>
      <w:r>
        <w:rPr>
          <w:rFonts w:ascii="宋体" w:hAnsi="宋体" w:eastAsia="宋体" w:cs="宋体"/>
          <w:spacing w:val="-2"/>
          <w:position w:val="17"/>
          <w:sz w:val="24"/>
          <w:szCs w:val="24"/>
        </w:rPr>
        <w:t>）及时掌握环保措施的实施效果，预防突发性事故对环境的危害。</w:t>
      </w:r>
    </w:p>
    <w:p>
      <w:pPr>
        <w:spacing w:before="1" w:line="218"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宋体" w:hAnsi="宋体" w:eastAsia="宋体" w:cs="宋体"/>
          <w:spacing w:val="-3"/>
          <w:sz w:val="24"/>
          <w:szCs w:val="24"/>
        </w:rPr>
        <w:t>）验证环境影响预测评价结果。</w:t>
      </w:r>
    </w:p>
    <w:p>
      <w:pPr>
        <w:spacing w:before="184"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）为工程区域生态环境的可持续发展研究提供科学依据。</w:t>
      </w:r>
    </w:p>
    <w:p>
      <w:pPr>
        <w:spacing w:before="183" w:line="359" w:lineRule="auto"/>
        <w:ind w:left="43" w:firstLine="477"/>
        <w:jc w:val="both"/>
        <w:rPr>
          <w:rFonts w:ascii="宋体" w:hAnsi="宋体" w:eastAsia="宋体" w:cs="宋体"/>
          <w:sz w:val="24"/>
          <w:szCs w:val="24"/>
        </w:rPr>
      </w:pPr>
      <w:r>
        <w:rPr>
          <w:rFonts w:ascii="宋体" w:hAnsi="宋体" w:eastAsia="宋体" w:cs="宋体"/>
          <w:spacing w:val="-14"/>
          <w:sz w:val="24"/>
          <w:szCs w:val="24"/>
        </w:rPr>
        <w:t>本工程属于水利工程，</w:t>
      </w:r>
      <w:r>
        <w:rPr>
          <w:rFonts w:ascii="宋体" w:hAnsi="宋体" w:eastAsia="宋体" w:cs="宋体"/>
          <w:spacing w:val="60"/>
          <w:sz w:val="24"/>
          <w:szCs w:val="24"/>
        </w:rPr>
        <w:t xml:space="preserve"> </w:t>
      </w:r>
      <w:r>
        <w:rPr>
          <w:rFonts w:ascii="宋体" w:hAnsi="宋体" w:eastAsia="宋体" w:cs="宋体"/>
          <w:spacing w:val="-14"/>
          <w:sz w:val="24"/>
          <w:szCs w:val="24"/>
        </w:rPr>
        <w:t>因工程涉及范围小， 环境影响问题简单，</w:t>
      </w:r>
      <w:r>
        <w:rPr>
          <w:rFonts w:ascii="宋体" w:hAnsi="宋体" w:eastAsia="宋体" w:cs="宋体"/>
          <w:spacing w:val="-52"/>
          <w:sz w:val="24"/>
          <w:szCs w:val="24"/>
        </w:rPr>
        <w:t xml:space="preserve"> </w:t>
      </w:r>
      <w:r>
        <w:rPr>
          <w:rFonts w:ascii="宋体" w:hAnsi="宋体" w:eastAsia="宋体" w:cs="宋体"/>
          <w:spacing w:val="-14"/>
          <w:sz w:val="24"/>
          <w:szCs w:val="24"/>
        </w:rPr>
        <w:t xml:space="preserve">不必在水库  </w:t>
      </w:r>
      <w:r>
        <w:rPr>
          <w:rFonts w:ascii="宋体" w:hAnsi="宋体" w:eastAsia="宋体" w:cs="宋体"/>
          <w:spacing w:val="-7"/>
          <w:sz w:val="24"/>
          <w:szCs w:val="24"/>
        </w:rPr>
        <w:t>设置环境保护机构，</w:t>
      </w:r>
      <w:r>
        <w:rPr>
          <w:rFonts w:ascii="宋体" w:hAnsi="宋体" w:eastAsia="宋体" w:cs="宋体"/>
          <w:spacing w:val="-27"/>
          <w:sz w:val="24"/>
          <w:szCs w:val="24"/>
        </w:rPr>
        <w:t xml:space="preserve"> </w:t>
      </w:r>
      <w:r>
        <w:rPr>
          <w:rFonts w:ascii="宋体" w:hAnsi="宋体" w:eastAsia="宋体" w:cs="宋体"/>
          <w:spacing w:val="-7"/>
          <w:sz w:val="24"/>
          <w:szCs w:val="24"/>
        </w:rPr>
        <w:t>但应有专职或兼职管理人员负责环境监测计划的落实和运行，</w:t>
      </w:r>
    </w:p>
    <w:p>
      <w:pPr>
        <w:spacing w:line="219" w:lineRule="auto"/>
        <w:ind w:left="42"/>
        <w:rPr>
          <w:rFonts w:ascii="宋体" w:hAnsi="宋体" w:eastAsia="宋体" w:cs="宋体"/>
          <w:sz w:val="24"/>
          <w:szCs w:val="24"/>
        </w:rPr>
      </w:pPr>
      <w:r>
        <w:rPr>
          <w:rFonts w:ascii="宋体" w:hAnsi="宋体" w:eastAsia="宋体" w:cs="宋体"/>
          <w:spacing w:val="-1"/>
          <w:sz w:val="24"/>
          <w:szCs w:val="24"/>
        </w:rPr>
        <w:t>为便于施工管理及满足工程竣工验收要求，应开展下列环境监测工作。</w:t>
      </w:r>
    </w:p>
    <w:p>
      <w:pPr>
        <w:spacing w:line="219" w:lineRule="auto"/>
        <w:rPr>
          <w:rFonts w:ascii="宋体" w:hAnsi="宋体" w:eastAsia="宋体" w:cs="宋体"/>
          <w:sz w:val="24"/>
          <w:szCs w:val="24"/>
        </w:rPr>
        <w:sectPr>
          <w:headerReference r:id="rId465" w:type="default"/>
          <w:footerReference r:id="rId466" w:type="default"/>
          <w:pgSz w:w="11907" w:h="16839"/>
          <w:pgMar w:top="1156" w:right="1610" w:bottom="1374" w:left="1770" w:header="881" w:footer="1210" w:gutter="0"/>
        </w:sectPr>
      </w:pPr>
    </w:p>
    <w:p>
      <w:pPr>
        <w:spacing w:before="319" w:line="467" w:lineRule="exact"/>
        <w:ind w:left="525"/>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1</w:t>
      </w:r>
      <w:r>
        <w:rPr>
          <w:rFonts w:ascii="宋体" w:hAnsi="宋体" w:eastAsia="宋体" w:cs="宋体"/>
          <w:spacing w:val="-2"/>
          <w:position w:val="17"/>
          <w:sz w:val="24"/>
          <w:szCs w:val="24"/>
        </w:rPr>
        <w:t>）施工期环境监测</w:t>
      </w:r>
    </w:p>
    <w:p>
      <w:pPr>
        <w:spacing w:line="217" w:lineRule="auto"/>
        <w:ind w:left="518"/>
        <w:rPr>
          <w:rFonts w:ascii="宋体" w:hAnsi="宋体" w:eastAsia="宋体" w:cs="宋体"/>
          <w:sz w:val="24"/>
          <w:szCs w:val="24"/>
        </w:rPr>
      </w:pPr>
      <w:r>
        <w:rPr>
          <w:rFonts w:ascii="宋体" w:hAnsi="宋体" w:eastAsia="宋体" w:cs="宋体"/>
          <w:spacing w:val="-2"/>
          <w:sz w:val="24"/>
          <w:szCs w:val="24"/>
        </w:rPr>
        <w:t>①地表水监测</w:t>
      </w:r>
    </w:p>
    <w:p>
      <w:pPr>
        <w:spacing w:before="184" w:line="233" w:lineRule="auto"/>
        <w:ind w:left="518"/>
        <w:rPr>
          <w:rFonts w:ascii="宋体" w:hAnsi="宋体" w:eastAsia="宋体" w:cs="宋体"/>
          <w:sz w:val="24"/>
          <w:szCs w:val="24"/>
        </w:rPr>
      </w:pPr>
      <w:r>
        <w:rPr>
          <w:rFonts w:ascii="Times New Roman" w:hAnsi="Times New Roman" w:eastAsia="Times New Roman" w:cs="Times New Roman"/>
          <w:spacing w:val="-10"/>
          <w:sz w:val="24"/>
          <w:szCs w:val="24"/>
        </w:rPr>
        <w:t>a.</w:t>
      </w:r>
      <w:r>
        <w:rPr>
          <w:rFonts w:ascii="宋体" w:hAnsi="宋体" w:eastAsia="宋体" w:cs="宋体"/>
          <w:spacing w:val="-10"/>
          <w:sz w:val="24"/>
          <w:szCs w:val="24"/>
        </w:rPr>
        <w:t>监测断面：</w:t>
      </w:r>
      <w:r>
        <w:rPr>
          <w:rFonts w:ascii="宋体" w:hAnsi="宋体" w:eastAsia="宋体" w:cs="宋体"/>
          <w:spacing w:val="79"/>
          <w:sz w:val="24"/>
          <w:szCs w:val="24"/>
        </w:rPr>
        <w:t xml:space="preserve"> </w:t>
      </w:r>
      <w:r>
        <w:rPr>
          <w:rFonts w:ascii="宋体" w:hAnsi="宋体" w:eastAsia="宋体" w:cs="宋体"/>
          <w:spacing w:val="-10"/>
          <w:sz w:val="24"/>
          <w:szCs w:val="24"/>
        </w:rPr>
        <w:t>马茨河汇入桂花河下游</w:t>
      </w:r>
      <w:r>
        <w:rPr>
          <w:rFonts w:ascii="宋体" w:hAnsi="宋体" w:eastAsia="宋体" w:cs="宋体"/>
          <w:spacing w:val="-48"/>
          <w:sz w:val="24"/>
          <w:szCs w:val="24"/>
        </w:rPr>
        <w:t xml:space="preserve"> </w:t>
      </w:r>
      <w:r>
        <w:rPr>
          <w:rFonts w:ascii="Times New Roman" w:hAnsi="Times New Roman" w:eastAsia="Times New Roman" w:cs="Times New Roman"/>
          <w:spacing w:val="-10"/>
          <w:sz w:val="24"/>
          <w:szCs w:val="24"/>
        </w:rPr>
        <w:t>500m</w:t>
      </w:r>
      <w:r>
        <w:rPr>
          <w:rFonts w:ascii="宋体" w:hAnsi="宋体" w:eastAsia="宋体" w:cs="宋体"/>
          <w:spacing w:val="-10"/>
          <w:sz w:val="24"/>
          <w:szCs w:val="24"/>
        </w:rPr>
        <w:t>。</w:t>
      </w:r>
    </w:p>
    <w:p>
      <w:pPr>
        <w:spacing w:before="163" w:line="234" w:lineRule="auto"/>
        <w:ind w:left="509"/>
        <w:rPr>
          <w:rFonts w:ascii="宋体" w:hAnsi="宋体" w:eastAsia="宋体" w:cs="宋体"/>
          <w:sz w:val="24"/>
          <w:szCs w:val="24"/>
        </w:rPr>
      </w:pPr>
      <w:r>
        <w:rPr>
          <w:rFonts w:ascii="Times New Roman" w:hAnsi="Times New Roman" w:eastAsia="Times New Roman" w:cs="Times New Roman"/>
          <w:spacing w:val="-6"/>
          <w:sz w:val="24"/>
          <w:szCs w:val="24"/>
        </w:rPr>
        <w:t>b.</w:t>
      </w:r>
      <w:r>
        <w:rPr>
          <w:rFonts w:ascii="宋体" w:hAnsi="宋体" w:eastAsia="宋体" w:cs="宋体"/>
          <w:spacing w:val="-6"/>
          <w:sz w:val="24"/>
          <w:szCs w:val="24"/>
        </w:rPr>
        <w:t>监测项目：</w:t>
      </w:r>
    </w:p>
    <w:p>
      <w:pPr>
        <w:spacing w:before="163" w:line="359" w:lineRule="auto"/>
        <w:ind w:left="38" w:right="84" w:firstLine="483"/>
        <w:rPr>
          <w:rFonts w:ascii="宋体" w:hAnsi="宋体" w:eastAsia="宋体" w:cs="宋体"/>
          <w:sz w:val="24"/>
          <w:szCs w:val="24"/>
        </w:rPr>
      </w:pPr>
      <w:r>
        <w:rPr>
          <w:rFonts w:ascii="宋体" w:hAnsi="宋体" w:eastAsia="宋体" w:cs="宋体"/>
          <w:spacing w:val="-10"/>
          <w:sz w:val="24"/>
          <w:szCs w:val="24"/>
        </w:rPr>
        <w:t>水温、</w:t>
      </w:r>
      <w:r>
        <w:rPr>
          <w:rFonts w:ascii="Times New Roman" w:hAnsi="Times New Roman" w:eastAsia="Times New Roman" w:cs="Times New Roman"/>
          <w:spacing w:val="-10"/>
          <w:sz w:val="24"/>
          <w:szCs w:val="24"/>
        </w:rPr>
        <w:t xml:space="preserve">pH </w:t>
      </w:r>
      <w:r>
        <w:rPr>
          <w:rFonts w:ascii="宋体" w:hAnsi="宋体" w:eastAsia="宋体" w:cs="宋体"/>
          <w:spacing w:val="-10"/>
          <w:sz w:val="24"/>
          <w:szCs w:val="24"/>
        </w:rPr>
        <w:t>值、溶解氧、高锰酸钾指数、</w:t>
      </w:r>
      <w:r>
        <w:rPr>
          <w:rFonts w:ascii="Times New Roman" w:hAnsi="Times New Roman" w:eastAsia="Times New Roman" w:cs="Times New Roman"/>
          <w:spacing w:val="-10"/>
          <w:sz w:val="24"/>
          <w:szCs w:val="24"/>
        </w:rPr>
        <w:t>BOD</w:t>
      </w:r>
      <w:r>
        <w:rPr>
          <w:rFonts w:ascii="Times New Roman" w:hAnsi="Times New Roman" w:eastAsia="Times New Roman" w:cs="Times New Roman"/>
          <w:spacing w:val="-10"/>
          <w:sz w:val="15"/>
          <w:szCs w:val="15"/>
        </w:rPr>
        <w:t>5</w:t>
      </w:r>
      <w:r>
        <w:rPr>
          <w:rFonts w:ascii="宋体" w:hAnsi="宋体" w:eastAsia="宋体" w:cs="宋体"/>
          <w:spacing w:val="-10"/>
          <w:sz w:val="24"/>
          <w:szCs w:val="24"/>
        </w:rPr>
        <w:t>、氨氮、总氮、总磷、铜、锌、</w:t>
      </w:r>
      <w:r>
        <w:rPr>
          <w:rFonts w:ascii="宋体" w:hAnsi="宋体" w:eastAsia="宋体" w:cs="宋体"/>
          <w:spacing w:val="12"/>
          <w:sz w:val="24"/>
          <w:szCs w:val="24"/>
        </w:rPr>
        <w:t xml:space="preserve"> </w:t>
      </w:r>
      <w:r>
        <w:rPr>
          <w:rFonts w:ascii="宋体" w:hAnsi="宋体" w:eastAsia="宋体" w:cs="宋体"/>
          <w:spacing w:val="-14"/>
          <w:sz w:val="24"/>
          <w:szCs w:val="24"/>
        </w:rPr>
        <w:t>氟化物、硒、砷、汞、镉、铬（六价）、铅、总氰化物、</w:t>
      </w:r>
      <w:r>
        <w:rPr>
          <w:rFonts w:ascii="宋体" w:hAnsi="宋体" w:eastAsia="宋体" w:cs="宋体"/>
          <w:spacing w:val="42"/>
          <w:sz w:val="24"/>
          <w:szCs w:val="24"/>
        </w:rPr>
        <w:t xml:space="preserve"> </w:t>
      </w:r>
      <w:r>
        <w:rPr>
          <w:rFonts w:ascii="宋体" w:hAnsi="宋体" w:eastAsia="宋体" w:cs="宋体"/>
          <w:spacing w:val="-14"/>
          <w:sz w:val="24"/>
          <w:szCs w:val="24"/>
        </w:rPr>
        <w:t>挥发酚、石油类、阴离子</w:t>
      </w:r>
      <w:r>
        <w:rPr>
          <w:rFonts w:ascii="宋体" w:hAnsi="宋体" w:eastAsia="宋体" w:cs="宋体"/>
          <w:sz w:val="24"/>
          <w:szCs w:val="24"/>
        </w:rPr>
        <w:t xml:space="preserve"> </w:t>
      </w:r>
      <w:r>
        <w:rPr>
          <w:rFonts w:ascii="宋体" w:hAnsi="宋体" w:eastAsia="宋体" w:cs="宋体"/>
          <w:spacing w:val="-3"/>
          <w:sz w:val="24"/>
          <w:szCs w:val="24"/>
        </w:rPr>
        <w:t>表面活性剂、硫化物、粪大肠菌群、硫酸盐、氯化物、硝酸盐氮、铁、锰、总硬</w:t>
      </w:r>
    </w:p>
    <w:p>
      <w:pPr>
        <w:spacing w:line="220" w:lineRule="auto"/>
        <w:ind w:left="38"/>
        <w:rPr>
          <w:rFonts w:ascii="宋体" w:hAnsi="宋体" w:eastAsia="宋体" w:cs="宋体"/>
          <w:sz w:val="24"/>
          <w:szCs w:val="24"/>
        </w:rPr>
      </w:pPr>
      <w:r>
        <w:rPr>
          <w:rFonts w:ascii="宋体" w:hAnsi="宋体" w:eastAsia="宋体" w:cs="宋体"/>
          <w:spacing w:val="-11"/>
          <w:sz w:val="24"/>
          <w:szCs w:val="24"/>
        </w:rPr>
        <w:t>度。</w:t>
      </w:r>
    </w:p>
    <w:p>
      <w:pPr>
        <w:spacing w:before="181" w:line="233" w:lineRule="auto"/>
        <w:ind w:left="518"/>
        <w:rPr>
          <w:rFonts w:ascii="宋体" w:hAnsi="宋体" w:eastAsia="宋体" w:cs="宋体"/>
          <w:sz w:val="24"/>
          <w:szCs w:val="24"/>
        </w:rPr>
      </w:pPr>
      <w:r>
        <w:rPr>
          <w:rFonts w:ascii="Times New Roman" w:hAnsi="Times New Roman" w:eastAsia="Times New Roman" w:cs="Times New Roman"/>
          <w:spacing w:val="-5"/>
          <w:sz w:val="24"/>
          <w:szCs w:val="24"/>
        </w:rPr>
        <w:t>c.</w:t>
      </w:r>
      <w:r>
        <w:rPr>
          <w:rFonts w:ascii="宋体" w:hAnsi="宋体" w:eastAsia="宋体" w:cs="宋体"/>
          <w:spacing w:val="-5"/>
          <w:sz w:val="24"/>
          <w:szCs w:val="24"/>
        </w:rPr>
        <w:t>监测时段及频率：每年</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 xml:space="preserve">次，丰水期、 </w:t>
      </w:r>
      <w:r>
        <w:rPr>
          <w:rFonts w:ascii="宋体" w:hAnsi="宋体" w:eastAsia="宋体" w:cs="宋体"/>
          <w:spacing w:val="-6"/>
          <w:sz w:val="24"/>
          <w:szCs w:val="24"/>
        </w:rPr>
        <w:t>枯水期各一次，连续采样</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天。</w:t>
      </w:r>
    </w:p>
    <w:p>
      <w:pPr>
        <w:spacing w:before="165" w:line="217" w:lineRule="auto"/>
        <w:ind w:left="517"/>
        <w:rPr>
          <w:rFonts w:ascii="宋体" w:hAnsi="宋体" w:eastAsia="宋体" w:cs="宋体"/>
          <w:sz w:val="24"/>
          <w:szCs w:val="24"/>
        </w:rPr>
      </w:pPr>
      <w:r>
        <w:rPr>
          <w:rFonts w:ascii="宋体" w:hAnsi="宋体" w:eastAsia="宋体" w:cs="宋体"/>
          <w:spacing w:val="-2"/>
          <w:sz w:val="24"/>
          <w:szCs w:val="24"/>
        </w:rPr>
        <w:t>②声环境监测</w:t>
      </w:r>
    </w:p>
    <w:p>
      <w:pPr>
        <w:spacing w:before="184"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a.</w:t>
      </w:r>
      <w:r>
        <w:rPr>
          <w:rFonts w:ascii="宋体" w:hAnsi="宋体" w:eastAsia="宋体" w:cs="宋体"/>
          <w:spacing w:val="-1"/>
          <w:sz w:val="24"/>
          <w:szCs w:val="24"/>
        </w:rPr>
        <w:t>监测点位：李子地村、岔处地村。</w:t>
      </w:r>
    </w:p>
    <w:p>
      <w:pPr>
        <w:spacing w:before="164" w:line="213" w:lineRule="auto"/>
        <w:ind w:left="509"/>
        <w:rPr>
          <w:rFonts w:ascii="宋体" w:hAnsi="宋体" w:eastAsia="宋体" w:cs="宋体"/>
          <w:sz w:val="24"/>
          <w:szCs w:val="24"/>
        </w:rPr>
      </w:pPr>
      <w:r>
        <w:rPr>
          <w:rFonts w:ascii="Times New Roman" w:hAnsi="Times New Roman" w:eastAsia="Times New Roman" w:cs="Times New Roman"/>
          <w:spacing w:val="-1"/>
          <w:sz w:val="24"/>
          <w:szCs w:val="24"/>
        </w:rPr>
        <w:t>b.</w:t>
      </w:r>
      <w:r>
        <w:rPr>
          <w:rFonts w:ascii="宋体" w:hAnsi="宋体" w:eastAsia="宋体" w:cs="宋体"/>
          <w:spacing w:val="-1"/>
          <w:sz w:val="24"/>
          <w:szCs w:val="24"/>
        </w:rPr>
        <w:t>监测项目：等效连续</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A  </w:t>
      </w:r>
      <w:r>
        <w:rPr>
          <w:rFonts w:ascii="宋体" w:hAnsi="宋体" w:eastAsia="宋体" w:cs="宋体"/>
          <w:spacing w:val="-1"/>
          <w:sz w:val="24"/>
          <w:szCs w:val="24"/>
        </w:rPr>
        <w:t>声级（</w:t>
      </w:r>
      <w:r>
        <w:rPr>
          <w:rFonts w:ascii="Times New Roman" w:hAnsi="Times New Roman" w:eastAsia="Times New Roman" w:cs="Times New Roman"/>
          <w:spacing w:val="-1"/>
          <w:sz w:val="24"/>
          <w:szCs w:val="24"/>
        </w:rPr>
        <w:t>dB(A)</w:t>
      </w:r>
      <w:r>
        <w:rPr>
          <w:rFonts w:ascii="宋体" w:hAnsi="宋体" w:eastAsia="宋体" w:cs="宋体"/>
          <w:spacing w:val="-1"/>
          <w:sz w:val="24"/>
          <w:szCs w:val="24"/>
        </w:rPr>
        <w:t>）</w:t>
      </w:r>
    </w:p>
    <w:p>
      <w:pPr>
        <w:spacing w:before="191" w:line="233" w:lineRule="auto"/>
        <w:ind w:left="518"/>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监测时段及频率：施工期高峰年，昼夜各测一次，共</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天。</w:t>
      </w:r>
    </w:p>
    <w:p>
      <w:pPr>
        <w:spacing w:before="163" w:line="217" w:lineRule="auto"/>
        <w:ind w:left="517"/>
        <w:rPr>
          <w:rFonts w:ascii="宋体" w:hAnsi="宋体" w:eastAsia="宋体" w:cs="宋体"/>
          <w:sz w:val="24"/>
          <w:szCs w:val="24"/>
        </w:rPr>
      </w:pPr>
      <w:r>
        <w:rPr>
          <w:rFonts w:ascii="宋体" w:hAnsi="宋体" w:eastAsia="宋体" w:cs="宋体"/>
          <w:spacing w:val="-1"/>
          <w:sz w:val="24"/>
          <w:szCs w:val="24"/>
        </w:rPr>
        <w:t>③大气环境监测</w:t>
      </w:r>
    </w:p>
    <w:p>
      <w:pPr>
        <w:spacing w:before="184" w:line="233" w:lineRule="auto"/>
        <w:ind w:left="518"/>
        <w:rPr>
          <w:rFonts w:ascii="宋体" w:hAnsi="宋体" w:eastAsia="宋体" w:cs="宋体"/>
          <w:sz w:val="24"/>
          <w:szCs w:val="24"/>
        </w:rPr>
      </w:pPr>
      <w:r>
        <w:rPr>
          <w:rFonts w:ascii="Times New Roman" w:hAnsi="Times New Roman" w:eastAsia="Times New Roman" w:cs="Times New Roman"/>
          <w:spacing w:val="-12"/>
          <w:sz w:val="24"/>
          <w:szCs w:val="24"/>
        </w:rPr>
        <w:t>a.</w:t>
      </w:r>
      <w:r>
        <w:rPr>
          <w:rFonts w:ascii="宋体" w:hAnsi="宋体" w:eastAsia="宋体" w:cs="宋体"/>
          <w:spacing w:val="-12"/>
          <w:sz w:val="24"/>
          <w:szCs w:val="24"/>
        </w:rPr>
        <w:t>监测点位：</w:t>
      </w:r>
      <w:r>
        <w:rPr>
          <w:rFonts w:ascii="宋体" w:hAnsi="宋体" w:eastAsia="宋体" w:cs="宋体"/>
          <w:spacing w:val="74"/>
          <w:sz w:val="24"/>
          <w:szCs w:val="24"/>
        </w:rPr>
        <w:t xml:space="preserve"> </w:t>
      </w:r>
      <w:r>
        <w:rPr>
          <w:rFonts w:ascii="宋体" w:hAnsi="宋体" w:eastAsia="宋体" w:cs="宋体"/>
          <w:spacing w:val="-12"/>
          <w:sz w:val="24"/>
          <w:szCs w:val="24"/>
        </w:rPr>
        <w:t>李子地村、岔处地村。</w:t>
      </w:r>
    </w:p>
    <w:p>
      <w:pPr>
        <w:spacing w:before="165" w:line="234" w:lineRule="auto"/>
        <w:ind w:left="509"/>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b.</w:t>
      </w:r>
      <w:r>
        <w:rPr>
          <w:rFonts w:ascii="宋体" w:hAnsi="宋体" w:eastAsia="宋体" w:cs="宋体"/>
          <w:spacing w:val="-15"/>
          <w:sz w:val="24"/>
          <w:szCs w:val="24"/>
        </w:rPr>
        <w:t>监测项目：</w:t>
      </w:r>
      <w:r>
        <w:rPr>
          <w:rFonts w:ascii="宋体" w:hAnsi="宋体" w:eastAsia="宋体" w:cs="宋体"/>
          <w:spacing w:val="29"/>
          <w:sz w:val="24"/>
          <w:szCs w:val="24"/>
        </w:rPr>
        <w:t xml:space="preserve"> </w:t>
      </w:r>
      <w:r>
        <w:rPr>
          <w:rFonts w:ascii="Times New Roman" w:hAnsi="Times New Roman" w:eastAsia="Times New Roman" w:cs="Times New Roman"/>
          <w:spacing w:val="-15"/>
          <w:sz w:val="24"/>
          <w:szCs w:val="24"/>
        </w:rPr>
        <w:t>TSP</w:t>
      </w:r>
    </w:p>
    <w:p>
      <w:pPr>
        <w:spacing w:before="163" w:line="233" w:lineRule="auto"/>
        <w:ind w:left="518"/>
        <w:rPr>
          <w:rFonts w:ascii="宋体" w:hAnsi="宋体" w:eastAsia="宋体" w:cs="宋体"/>
          <w:sz w:val="24"/>
          <w:szCs w:val="24"/>
        </w:rPr>
      </w:pPr>
      <w:r>
        <w:rPr>
          <w:rFonts w:ascii="Times New Roman" w:hAnsi="Times New Roman" w:eastAsia="Times New Roman" w:cs="Times New Roman"/>
          <w:spacing w:val="-4"/>
          <w:sz w:val="24"/>
          <w:szCs w:val="24"/>
        </w:rPr>
        <w:t>c.</w:t>
      </w:r>
      <w:r>
        <w:rPr>
          <w:rFonts w:ascii="宋体" w:hAnsi="宋体" w:eastAsia="宋体" w:cs="宋体"/>
          <w:spacing w:val="-4"/>
          <w:sz w:val="24"/>
          <w:szCs w:val="24"/>
        </w:rPr>
        <w:t>监测时段及频率：施工期高峰年，监测</w:t>
      </w:r>
      <w:r>
        <w:rPr>
          <w:rFonts w:ascii="宋体" w:hAnsi="宋体" w:eastAsia="宋体" w:cs="宋体"/>
          <w:spacing w:val="-14"/>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次，共</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天。</w:t>
      </w:r>
    </w:p>
    <w:p>
      <w:pPr>
        <w:spacing w:before="163" w:line="220"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）运营期水环境监测</w:t>
      </w:r>
    </w:p>
    <w:p>
      <w:pPr>
        <w:spacing w:before="182" w:line="217" w:lineRule="auto"/>
        <w:ind w:left="518"/>
        <w:rPr>
          <w:rFonts w:ascii="宋体" w:hAnsi="宋体" w:eastAsia="宋体" w:cs="宋体"/>
          <w:sz w:val="24"/>
          <w:szCs w:val="24"/>
        </w:rPr>
      </w:pPr>
      <w:r>
        <w:rPr>
          <w:rFonts w:ascii="宋体" w:hAnsi="宋体" w:eastAsia="宋体" w:cs="宋体"/>
          <w:spacing w:val="-12"/>
          <w:sz w:val="24"/>
          <w:szCs w:val="24"/>
        </w:rPr>
        <w:t>①监测断面：</w:t>
      </w:r>
      <w:r>
        <w:rPr>
          <w:rFonts w:ascii="宋体" w:hAnsi="宋体" w:eastAsia="宋体" w:cs="宋体"/>
          <w:spacing w:val="87"/>
          <w:sz w:val="24"/>
          <w:szCs w:val="24"/>
        </w:rPr>
        <w:t xml:space="preserve"> </w:t>
      </w:r>
      <w:r>
        <w:rPr>
          <w:rFonts w:ascii="宋体" w:hAnsi="宋体" w:eastAsia="宋体" w:cs="宋体"/>
          <w:spacing w:val="-12"/>
          <w:sz w:val="24"/>
          <w:szCs w:val="24"/>
        </w:rPr>
        <w:t>导流放空输水隧洞进口处。</w:t>
      </w:r>
    </w:p>
    <w:p>
      <w:pPr>
        <w:spacing w:before="184" w:line="359" w:lineRule="auto"/>
        <w:ind w:left="40" w:firstLine="477"/>
        <w:rPr>
          <w:rFonts w:ascii="宋体" w:hAnsi="宋体" w:eastAsia="宋体" w:cs="宋体"/>
          <w:sz w:val="24"/>
          <w:szCs w:val="24"/>
        </w:rPr>
      </w:pPr>
      <w:r>
        <w:rPr>
          <w:rFonts w:ascii="宋体" w:hAnsi="宋体" w:eastAsia="宋体" w:cs="宋体"/>
          <w:spacing w:val="-7"/>
          <w:sz w:val="24"/>
          <w:szCs w:val="24"/>
        </w:rPr>
        <w:t>②监测项目：水温、</w:t>
      </w:r>
      <w:r>
        <w:rPr>
          <w:rFonts w:ascii="Times New Roman" w:hAnsi="Times New Roman" w:eastAsia="Times New Roman" w:cs="Times New Roman"/>
          <w:spacing w:val="-7"/>
          <w:sz w:val="24"/>
          <w:szCs w:val="24"/>
        </w:rPr>
        <w:t>pH</w:t>
      </w:r>
      <w:r>
        <w:rPr>
          <w:rFonts w:ascii="Times New Roman" w:hAnsi="Times New Roman" w:eastAsia="Times New Roman" w:cs="Times New Roman"/>
          <w:spacing w:val="67"/>
          <w:sz w:val="24"/>
          <w:szCs w:val="24"/>
        </w:rPr>
        <w:t xml:space="preserve"> </w:t>
      </w:r>
      <w:r>
        <w:rPr>
          <w:rFonts w:ascii="宋体" w:hAnsi="宋体" w:eastAsia="宋体" w:cs="宋体"/>
          <w:spacing w:val="-7"/>
          <w:sz w:val="24"/>
          <w:szCs w:val="24"/>
        </w:rPr>
        <w:t>值、溶解氧、高锰酸钾指数、</w:t>
      </w:r>
      <w:r>
        <w:rPr>
          <w:rFonts w:ascii="宋体" w:hAnsi="宋体" w:eastAsia="宋体" w:cs="宋体"/>
          <w:spacing w:val="39"/>
          <w:sz w:val="24"/>
          <w:szCs w:val="24"/>
        </w:rPr>
        <w:t xml:space="preserve"> </w:t>
      </w:r>
      <w:r>
        <w:rPr>
          <w:rFonts w:ascii="Times New Roman" w:hAnsi="Times New Roman" w:eastAsia="Times New Roman" w:cs="Times New Roman"/>
          <w:spacing w:val="-7"/>
          <w:sz w:val="24"/>
          <w:szCs w:val="24"/>
        </w:rPr>
        <w:t>BOD</w:t>
      </w:r>
      <w:r>
        <w:rPr>
          <w:rFonts w:ascii="Times New Roman" w:hAnsi="Times New Roman" w:eastAsia="Times New Roman" w:cs="Times New Roman"/>
          <w:spacing w:val="-7"/>
          <w:sz w:val="15"/>
          <w:szCs w:val="15"/>
        </w:rPr>
        <w:t>5</w:t>
      </w:r>
      <w:r>
        <w:rPr>
          <w:rFonts w:ascii="Times New Roman" w:hAnsi="Times New Roman" w:eastAsia="Times New Roman" w:cs="Times New Roman"/>
          <w:spacing w:val="-10"/>
          <w:sz w:val="15"/>
          <w:szCs w:val="15"/>
        </w:rPr>
        <w:t xml:space="preserve"> </w:t>
      </w:r>
      <w:r>
        <w:rPr>
          <w:rFonts w:ascii="宋体" w:hAnsi="宋体" w:eastAsia="宋体" w:cs="宋体"/>
          <w:spacing w:val="-7"/>
          <w:sz w:val="24"/>
          <w:szCs w:val="24"/>
        </w:rPr>
        <w:t>、氨氮、总氮、</w:t>
      </w:r>
      <w:r>
        <w:rPr>
          <w:rFonts w:ascii="宋体" w:hAnsi="宋体" w:eastAsia="宋体" w:cs="宋体"/>
          <w:sz w:val="24"/>
          <w:szCs w:val="24"/>
        </w:rPr>
        <w:t xml:space="preserve"> </w:t>
      </w:r>
      <w:r>
        <w:rPr>
          <w:rFonts w:ascii="宋体" w:hAnsi="宋体" w:eastAsia="宋体" w:cs="宋体"/>
          <w:spacing w:val="-9"/>
          <w:sz w:val="24"/>
          <w:szCs w:val="24"/>
        </w:rPr>
        <w:t>总磷、铜、锌、氟化物、硒、砷、汞、镉、铬（六价）、铅、总氰化物、挥发酚、</w:t>
      </w:r>
      <w:r>
        <w:rPr>
          <w:rFonts w:ascii="宋体" w:hAnsi="宋体" w:eastAsia="宋体" w:cs="宋体"/>
          <w:spacing w:val="4"/>
          <w:sz w:val="24"/>
          <w:szCs w:val="24"/>
        </w:rPr>
        <w:t xml:space="preserve"> </w:t>
      </w:r>
      <w:r>
        <w:rPr>
          <w:rFonts w:ascii="宋体" w:hAnsi="宋体" w:eastAsia="宋体" w:cs="宋体"/>
          <w:spacing w:val="-10"/>
          <w:sz w:val="24"/>
          <w:szCs w:val="24"/>
        </w:rPr>
        <w:t>石油类、阴离子表面活性剂、硫化物、粪大肠菌群、硫酸盐、氯化物、硝酸盐氮、</w:t>
      </w:r>
    </w:p>
    <w:p>
      <w:pPr>
        <w:spacing w:before="1" w:line="220" w:lineRule="auto"/>
        <w:ind w:left="38"/>
        <w:rPr>
          <w:rFonts w:ascii="宋体" w:hAnsi="宋体" w:eastAsia="宋体" w:cs="宋体"/>
          <w:sz w:val="24"/>
          <w:szCs w:val="24"/>
        </w:rPr>
      </w:pPr>
      <w:r>
        <w:rPr>
          <w:rFonts w:ascii="宋体" w:hAnsi="宋体" w:eastAsia="宋体" w:cs="宋体"/>
          <w:spacing w:val="-5"/>
          <w:sz w:val="24"/>
          <w:szCs w:val="24"/>
        </w:rPr>
        <w:t>铁、锰、总硬度。</w:t>
      </w:r>
    </w:p>
    <w:p>
      <w:pPr>
        <w:spacing w:before="180" w:line="468" w:lineRule="exact"/>
        <w:ind w:left="517"/>
        <w:rPr>
          <w:rFonts w:ascii="宋体" w:hAnsi="宋体" w:eastAsia="宋体" w:cs="宋体"/>
          <w:sz w:val="24"/>
          <w:szCs w:val="24"/>
        </w:rPr>
      </w:pPr>
      <w:r>
        <w:rPr>
          <w:rFonts w:ascii="宋体" w:hAnsi="宋体" w:eastAsia="宋体" w:cs="宋体"/>
          <w:spacing w:val="-8"/>
          <w:position w:val="17"/>
          <w:sz w:val="24"/>
          <w:szCs w:val="24"/>
        </w:rPr>
        <w:t>③监测时期及频率：</w:t>
      </w:r>
      <w:r>
        <w:rPr>
          <w:rFonts w:ascii="宋体" w:hAnsi="宋体" w:eastAsia="宋体" w:cs="宋体"/>
          <w:spacing w:val="36"/>
          <w:position w:val="17"/>
          <w:sz w:val="24"/>
          <w:szCs w:val="24"/>
        </w:rPr>
        <w:t xml:space="preserve"> </w:t>
      </w:r>
      <w:r>
        <w:rPr>
          <w:rFonts w:ascii="宋体" w:hAnsi="宋体" w:eastAsia="宋体" w:cs="宋体"/>
          <w:spacing w:val="-8"/>
          <w:position w:val="17"/>
          <w:sz w:val="24"/>
          <w:szCs w:val="24"/>
        </w:rPr>
        <w:t>水库蓄水前</w:t>
      </w:r>
      <w:r>
        <w:rPr>
          <w:rFonts w:ascii="宋体" w:hAnsi="宋体" w:eastAsia="宋体" w:cs="宋体"/>
          <w:spacing w:val="-32"/>
          <w:position w:val="17"/>
          <w:sz w:val="24"/>
          <w:szCs w:val="24"/>
        </w:rPr>
        <w:t xml:space="preserve"> </w:t>
      </w:r>
      <w:r>
        <w:rPr>
          <w:rFonts w:ascii="Times New Roman" w:hAnsi="Times New Roman" w:eastAsia="Times New Roman" w:cs="Times New Roman"/>
          <w:spacing w:val="-8"/>
          <w:position w:val="17"/>
          <w:sz w:val="24"/>
          <w:szCs w:val="24"/>
        </w:rPr>
        <w:t xml:space="preserve">1 </w:t>
      </w:r>
      <w:r>
        <w:rPr>
          <w:rFonts w:ascii="宋体" w:hAnsi="宋体" w:eastAsia="宋体" w:cs="宋体"/>
          <w:spacing w:val="-8"/>
          <w:position w:val="17"/>
          <w:sz w:val="24"/>
          <w:szCs w:val="24"/>
        </w:rPr>
        <w:t>年、水库蓄水第</w:t>
      </w:r>
      <w:r>
        <w:rPr>
          <w:rFonts w:ascii="宋体" w:hAnsi="宋体" w:eastAsia="宋体" w:cs="宋体"/>
          <w:spacing w:val="-55"/>
          <w:position w:val="17"/>
          <w:sz w:val="24"/>
          <w:szCs w:val="24"/>
        </w:rPr>
        <w:t xml:space="preserve"> </w:t>
      </w:r>
      <w:r>
        <w:rPr>
          <w:rFonts w:ascii="Times New Roman" w:hAnsi="Times New Roman" w:eastAsia="Times New Roman" w:cs="Times New Roman"/>
          <w:spacing w:val="-8"/>
          <w:position w:val="17"/>
          <w:sz w:val="24"/>
          <w:szCs w:val="24"/>
        </w:rPr>
        <w:t>2</w:t>
      </w:r>
      <w:r>
        <w:rPr>
          <w:rFonts w:ascii="Times New Roman" w:hAnsi="Times New Roman" w:eastAsia="Times New Roman" w:cs="Times New Roman"/>
          <w:spacing w:val="-9"/>
          <w:position w:val="17"/>
          <w:sz w:val="24"/>
          <w:szCs w:val="24"/>
        </w:rPr>
        <w:t xml:space="preserve"> </w:t>
      </w:r>
      <w:r>
        <w:rPr>
          <w:rFonts w:ascii="宋体" w:hAnsi="宋体" w:eastAsia="宋体" w:cs="宋体"/>
          <w:spacing w:val="-9"/>
          <w:position w:val="17"/>
          <w:sz w:val="24"/>
          <w:szCs w:val="24"/>
        </w:rPr>
        <w:t>年、竣工验收后进行每</w:t>
      </w:r>
    </w:p>
    <w:p>
      <w:pPr>
        <w:spacing w:before="1" w:line="218" w:lineRule="auto"/>
        <w:ind w:left="40"/>
        <w:rPr>
          <w:rFonts w:ascii="宋体" w:hAnsi="宋体" w:eastAsia="宋体" w:cs="宋体"/>
          <w:sz w:val="24"/>
          <w:szCs w:val="24"/>
        </w:rPr>
      </w:pPr>
      <w:r>
        <w:rPr>
          <w:rFonts w:ascii="宋体" w:hAnsi="宋体" w:eastAsia="宋体" w:cs="宋体"/>
          <w:spacing w:val="-5"/>
          <w:sz w:val="24"/>
          <w:szCs w:val="24"/>
        </w:rPr>
        <w:t xml:space="preserve">年丰水期、平水期、枯水期各采样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5"/>
          <w:sz w:val="24"/>
          <w:szCs w:val="24"/>
        </w:rPr>
        <w:t>次进行监测。</w:t>
      </w:r>
    </w:p>
    <w:p>
      <w:pPr>
        <w:spacing w:before="182" w:line="220" w:lineRule="auto"/>
        <w:ind w:left="520"/>
        <w:rPr>
          <w:rFonts w:ascii="宋体" w:hAnsi="宋体" w:eastAsia="宋体" w:cs="宋体"/>
          <w:sz w:val="24"/>
          <w:szCs w:val="24"/>
        </w:rPr>
      </w:pPr>
      <w:r>
        <w:rPr>
          <w:rFonts w:ascii="宋体" w:hAnsi="宋体" w:eastAsia="宋体" w:cs="宋体"/>
          <w:spacing w:val="-4"/>
          <w:sz w:val="24"/>
          <w:szCs w:val="24"/>
        </w:rPr>
        <w:t>监测计划一览表见表</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7.1-</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pPr>
        <w:spacing w:line="220" w:lineRule="auto"/>
        <w:rPr>
          <w:rFonts w:ascii="宋体" w:hAnsi="宋体" w:eastAsia="宋体" w:cs="宋体"/>
          <w:sz w:val="24"/>
          <w:szCs w:val="24"/>
        </w:rPr>
        <w:sectPr>
          <w:headerReference r:id="rId467" w:type="default"/>
          <w:footerReference r:id="rId468" w:type="default"/>
          <w:pgSz w:w="11907" w:h="16839"/>
          <w:pgMar w:top="1156" w:right="1713" w:bottom="1374" w:left="1770" w:header="881" w:footer="1210" w:gutter="0"/>
        </w:sectPr>
      </w:pPr>
    </w:p>
    <w:p>
      <w:pPr>
        <w:spacing w:line="243" w:lineRule="auto"/>
        <w:rPr>
          <w:rFonts w:ascii="Arial"/>
          <w:sz w:val="21"/>
        </w:rPr>
      </w:pPr>
    </w:p>
    <w:p>
      <w:pPr>
        <w:spacing w:before="68" w:line="220" w:lineRule="auto"/>
        <w:ind w:left="2469"/>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1"/>
          <w:sz w:val="21"/>
          <w:szCs w:val="21"/>
        </w:rPr>
        <w:t xml:space="preserve"> </w:t>
      </w:r>
      <w:r>
        <w:rPr>
          <w:rFonts w:ascii="Times New Roman" w:hAnsi="Times New Roman" w:eastAsia="Times New Roman" w:cs="Times New Roman"/>
          <w:b/>
          <w:bCs/>
          <w:spacing w:val="-1"/>
          <w:sz w:val="21"/>
          <w:szCs w:val="21"/>
        </w:rPr>
        <w:t xml:space="preserve">7.1-1    </w:t>
      </w:r>
      <w:r>
        <w:rPr>
          <w:rFonts w:ascii="宋体" w:hAnsi="宋体" w:eastAsia="宋体" w:cs="宋体"/>
          <w:spacing w:val="-1"/>
          <w:sz w:val="21"/>
          <w:szCs w:val="21"/>
          <w14:textOutline w14:w="3810" w14:cap="flat" w14:cmpd="sng">
            <w14:solidFill>
              <w14:srgbClr w14:val="000000"/>
            </w14:solidFill>
            <w14:prstDash w14:val="solid"/>
            <w14:miter w14:val="0"/>
          </w14:textOutline>
        </w:rPr>
        <w:t>环境监测内容及技术要求表</w:t>
      </w:r>
    </w:p>
    <w:p>
      <w:pPr>
        <w:spacing w:line="127" w:lineRule="exact"/>
      </w:pPr>
    </w:p>
    <w:tbl>
      <w:tblPr>
        <w:tblStyle w:val="5"/>
        <w:tblW w:w="8321"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8"/>
        <w:gridCol w:w="1380"/>
        <w:gridCol w:w="3316"/>
        <w:gridCol w:w="1279"/>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2" w:hRule="atLeast"/>
        </w:trPr>
        <w:tc>
          <w:tcPr>
            <w:tcW w:w="1228" w:type="dxa"/>
            <w:tcBorders>
              <w:left w:val="nil"/>
            </w:tcBorders>
            <w:vAlign w:val="top"/>
          </w:tcPr>
          <w:p>
            <w:pPr>
              <w:spacing w:before="56" w:line="220" w:lineRule="auto"/>
              <w:ind w:left="42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分类</w:t>
            </w:r>
          </w:p>
        </w:tc>
        <w:tc>
          <w:tcPr>
            <w:tcW w:w="1380" w:type="dxa"/>
            <w:vAlign w:val="top"/>
          </w:tcPr>
          <w:p>
            <w:pPr>
              <w:spacing w:before="56" w:line="217" w:lineRule="auto"/>
              <w:ind w:left="28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监测断面</w:t>
            </w:r>
          </w:p>
        </w:tc>
        <w:tc>
          <w:tcPr>
            <w:tcW w:w="3316" w:type="dxa"/>
            <w:vAlign w:val="top"/>
          </w:tcPr>
          <w:p>
            <w:pPr>
              <w:spacing w:before="56" w:line="219" w:lineRule="auto"/>
              <w:ind w:left="1253"/>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监测项目</w:t>
            </w:r>
          </w:p>
        </w:tc>
        <w:tc>
          <w:tcPr>
            <w:tcW w:w="1279" w:type="dxa"/>
            <w:vAlign w:val="top"/>
          </w:tcPr>
          <w:p>
            <w:pPr>
              <w:spacing w:before="56" w:line="219" w:lineRule="auto"/>
              <w:ind w:left="23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监测时段</w:t>
            </w:r>
          </w:p>
        </w:tc>
        <w:tc>
          <w:tcPr>
            <w:tcW w:w="1118" w:type="dxa"/>
            <w:tcBorders>
              <w:right w:val="nil"/>
            </w:tcBorders>
            <w:vAlign w:val="top"/>
          </w:tcPr>
          <w:p>
            <w:pPr>
              <w:spacing w:before="56" w:line="219" w:lineRule="auto"/>
              <w:ind w:left="154"/>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99" w:hRule="atLeast"/>
        </w:trPr>
        <w:tc>
          <w:tcPr>
            <w:tcW w:w="1228" w:type="dxa"/>
            <w:vMerge w:val="restart"/>
            <w:tcBorders>
              <w:left w:val="nil"/>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69" w:line="219" w:lineRule="auto"/>
              <w:ind w:left="319"/>
              <w:rPr>
                <w:rFonts w:ascii="仿宋" w:hAnsi="仿宋" w:eastAsia="仿宋" w:cs="仿宋"/>
                <w:sz w:val="21"/>
                <w:szCs w:val="21"/>
              </w:rPr>
            </w:pPr>
            <w:r>
              <w:rPr>
                <w:rFonts w:ascii="仿宋" w:hAnsi="仿宋" w:eastAsia="仿宋" w:cs="仿宋"/>
                <w:spacing w:val="-3"/>
                <w:sz w:val="21"/>
                <w:szCs w:val="21"/>
              </w:rPr>
              <w:t>施工期</w:t>
            </w:r>
          </w:p>
          <w:p>
            <w:pPr>
              <w:spacing w:before="62" w:line="219" w:lineRule="auto"/>
              <w:ind w:left="430"/>
              <w:rPr>
                <w:rFonts w:ascii="仿宋" w:hAnsi="仿宋" w:eastAsia="仿宋" w:cs="仿宋"/>
                <w:sz w:val="21"/>
                <w:szCs w:val="21"/>
              </w:rPr>
            </w:pPr>
            <w:r>
              <w:rPr>
                <w:rFonts w:ascii="仿宋" w:hAnsi="仿宋" w:eastAsia="仿宋" w:cs="仿宋"/>
                <w:spacing w:val="-10"/>
                <w:sz w:val="21"/>
                <w:szCs w:val="21"/>
              </w:rPr>
              <w:t>监测</w:t>
            </w:r>
          </w:p>
        </w:tc>
        <w:tc>
          <w:tcPr>
            <w:tcW w:w="1380"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69" w:line="219" w:lineRule="auto"/>
              <w:ind w:left="179"/>
              <w:rPr>
                <w:rFonts w:ascii="仿宋" w:hAnsi="仿宋" w:eastAsia="仿宋" w:cs="仿宋"/>
                <w:sz w:val="21"/>
                <w:szCs w:val="21"/>
              </w:rPr>
            </w:pPr>
            <w:r>
              <w:rPr>
                <w:rFonts w:ascii="仿宋" w:hAnsi="仿宋" w:eastAsia="仿宋" w:cs="仿宋"/>
                <w:spacing w:val="-3"/>
                <w:sz w:val="21"/>
                <w:szCs w:val="21"/>
              </w:rPr>
              <w:t>马茨河汇入</w:t>
            </w:r>
          </w:p>
          <w:p>
            <w:pPr>
              <w:spacing w:before="63" w:line="216" w:lineRule="auto"/>
              <w:ind w:left="175"/>
              <w:rPr>
                <w:rFonts w:ascii="仿宋" w:hAnsi="仿宋" w:eastAsia="仿宋" w:cs="仿宋"/>
                <w:sz w:val="21"/>
                <w:szCs w:val="21"/>
              </w:rPr>
            </w:pPr>
            <w:r>
              <w:rPr>
                <w:rFonts w:ascii="仿宋" w:hAnsi="仿宋" w:eastAsia="仿宋" w:cs="仿宋"/>
                <w:spacing w:val="-3"/>
                <w:sz w:val="21"/>
                <w:szCs w:val="21"/>
              </w:rPr>
              <w:t>桂花河下游</w:t>
            </w:r>
          </w:p>
          <w:p>
            <w:pPr>
              <w:pStyle w:val="6"/>
              <w:spacing w:before="102" w:line="188" w:lineRule="auto"/>
              <w:ind w:left="457"/>
            </w:pPr>
            <w:r>
              <w:rPr>
                <w:spacing w:val="-2"/>
              </w:rPr>
              <w:t>500m</w:t>
            </w:r>
          </w:p>
        </w:tc>
        <w:tc>
          <w:tcPr>
            <w:tcW w:w="3316" w:type="dxa"/>
            <w:vAlign w:val="top"/>
          </w:tcPr>
          <w:p>
            <w:pPr>
              <w:pStyle w:val="6"/>
              <w:spacing w:before="51" w:line="255" w:lineRule="auto"/>
              <w:ind w:left="197" w:right="135" w:hanging="49"/>
              <w:rPr>
                <w:rFonts w:ascii="仿宋" w:hAnsi="仿宋" w:eastAsia="仿宋" w:cs="仿宋"/>
              </w:rPr>
            </w:pPr>
            <w:r>
              <w:rPr>
                <w:rFonts w:ascii="仿宋" w:hAnsi="仿宋" w:eastAsia="仿宋" w:cs="仿宋"/>
                <w:spacing w:val="-9"/>
              </w:rPr>
              <w:t xml:space="preserve">水温、 </w:t>
            </w:r>
            <w:r>
              <w:rPr>
                <w:spacing w:val="-9"/>
              </w:rPr>
              <w:t>pH</w:t>
            </w:r>
            <w:r>
              <w:rPr>
                <w:spacing w:val="25"/>
                <w:w w:val="101"/>
              </w:rPr>
              <w:t xml:space="preserve"> </w:t>
            </w:r>
            <w:r>
              <w:rPr>
                <w:rFonts w:ascii="仿宋" w:hAnsi="仿宋" w:eastAsia="仿宋" w:cs="仿宋"/>
                <w:spacing w:val="-9"/>
              </w:rPr>
              <w:t>值、溶解氧、高锰酸钾</w:t>
            </w:r>
            <w:r>
              <w:rPr>
                <w:rFonts w:ascii="仿宋" w:hAnsi="仿宋" w:eastAsia="仿宋" w:cs="仿宋"/>
              </w:rPr>
              <w:t xml:space="preserve"> </w:t>
            </w:r>
            <w:r>
              <w:rPr>
                <w:rFonts w:ascii="仿宋" w:hAnsi="仿宋" w:eastAsia="仿宋" w:cs="仿宋"/>
                <w:spacing w:val="-7"/>
              </w:rPr>
              <w:t xml:space="preserve">指数、 </w:t>
            </w:r>
            <w:r>
              <w:rPr>
                <w:spacing w:val="-7"/>
              </w:rPr>
              <w:t>BOD5</w:t>
            </w:r>
            <w:r>
              <w:rPr>
                <w:rFonts w:ascii="仿宋" w:hAnsi="仿宋" w:eastAsia="仿宋" w:cs="仿宋"/>
                <w:spacing w:val="-7"/>
              </w:rPr>
              <w:t>、氨氮、总氮、总</w:t>
            </w:r>
            <w:r>
              <w:rPr>
                <w:rFonts w:ascii="仿宋" w:hAnsi="仿宋" w:eastAsia="仿宋" w:cs="仿宋"/>
                <w:spacing w:val="3"/>
              </w:rPr>
              <w:t xml:space="preserve">  </w:t>
            </w:r>
            <w:r>
              <w:rPr>
                <w:rFonts w:ascii="仿宋" w:hAnsi="仿宋" w:eastAsia="仿宋" w:cs="仿宋"/>
                <w:spacing w:val="-4"/>
              </w:rPr>
              <w:t>磷、铜、锌、氟化物、硒、砷、</w:t>
            </w:r>
          </w:p>
          <w:p>
            <w:pPr>
              <w:spacing w:before="67" w:line="245" w:lineRule="auto"/>
              <w:ind w:left="198" w:right="133" w:hanging="51"/>
              <w:rPr>
                <w:rFonts w:ascii="仿宋" w:hAnsi="仿宋" w:eastAsia="仿宋" w:cs="仿宋"/>
                <w:sz w:val="21"/>
                <w:szCs w:val="21"/>
              </w:rPr>
            </w:pPr>
            <w:r>
              <w:rPr>
                <w:rFonts w:ascii="仿宋" w:hAnsi="仿宋" w:eastAsia="仿宋" w:cs="仿宋"/>
                <w:spacing w:val="-8"/>
                <w:sz w:val="21"/>
                <w:szCs w:val="21"/>
              </w:rPr>
              <w:t>汞、镉、铬（六价）、铅、总氰化</w:t>
            </w:r>
            <w:r>
              <w:rPr>
                <w:rFonts w:ascii="仿宋" w:hAnsi="仿宋" w:eastAsia="仿宋" w:cs="仿宋"/>
                <w:sz w:val="21"/>
                <w:szCs w:val="21"/>
              </w:rPr>
              <w:t xml:space="preserve"> </w:t>
            </w:r>
            <w:r>
              <w:rPr>
                <w:rFonts w:ascii="仿宋" w:hAnsi="仿宋" w:eastAsia="仿宋" w:cs="仿宋"/>
                <w:spacing w:val="-13"/>
                <w:sz w:val="21"/>
                <w:szCs w:val="21"/>
              </w:rPr>
              <w:t>物、挥发酚、石油类、</w:t>
            </w:r>
            <w:r>
              <w:rPr>
                <w:rFonts w:ascii="仿宋" w:hAnsi="仿宋" w:eastAsia="仿宋" w:cs="仿宋"/>
                <w:spacing w:val="68"/>
                <w:sz w:val="21"/>
                <w:szCs w:val="21"/>
              </w:rPr>
              <w:t xml:space="preserve"> </w:t>
            </w:r>
            <w:r>
              <w:rPr>
                <w:rFonts w:ascii="仿宋" w:hAnsi="仿宋" w:eastAsia="仿宋" w:cs="仿宋"/>
                <w:spacing w:val="-13"/>
                <w:sz w:val="21"/>
                <w:szCs w:val="21"/>
              </w:rPr>
              <w:t>阴离子表</w:t>
            </w:r>
          </w:p>
          <w:p>
            <w:pPr>
              <w:spacing w:before="65" w:line="216" w:lineRule="auto"/>
              <w:ind w:left="307"/>
              <w:rPr>
                <w:rFonts w:ascii="仿宋" w:hAnsi="仿宋" w:eastAsia="仿宋" w:cs="仿宋"/>
                <w:sz w:val="21"/>
                <w:szCs w:val="21"/>
              </w:rPr>
            </w:pPr>
            <w:r>
              <w:rPr>
                <w:rFonts w:ascii="仿宋" w:hAnsi="仿宋" w:eastAsia="仿宋" w:cs="仿宋"/>
                <w:spacing w:val="-2"/>
                <w:sz w:val="21"/>
                <w:szCs w:val="21"/>
              </w:rPr>
              <w:t>面活性剂、硫化物、粪大肠菌</w:t>
            </w:r>
          </w:p>
          <w:p>
            <w:pPr>
              <w:spacing w:before="66" w:line="215" w:lineRule="auto"/>
              <w:ind w:left="303"/>
              <w:rPr>
                <w:rFonts w:ascii="仿宋" w:hAnsi="仿宋" w:eastAsia="仿宋" w:cs="仿宋"/>
                <w:sz w:val="21"/>
                <w:szCs w:val="21"/>
              </w:rPr>
            </w:pPr>
            <w:r>
              <w:rPr>
                <w:rFonts w:ascii="仿宋" w:hAnsi="仿宋" w:eastAsia="仿宋" w:cs="仿宋"/>
                <w:spacing w:val="-1"/>
                <w:sz w:val="21"/>
                <w:szCs w:val="21"/>
              </w:rPr>
              <w:t>群、硫酸盐、氯化物、硝酸盐</w:t>
            </w:r>
          </w:p>
          <w:p>
            <w:pPr>
              <w:spacing w:before="66" w:line="219" w:lineRule="auto"/>
              <w:ind w:left="728"/>
              <w:rPr>
                <w:rFonts w:ascii="仿宋" w:hAnsi="仿宋" w:eastAsia="仿宋" w:cs="仿宋"/>
                <w:sz w:val="21"/>
                <w:szCs w:val="21"/>
              </w:rPr>
            </w:pPr>
            <w:r>
              <w:rPr>
                <w:rFonts w:ascii="仿宋" w:hAnsi="仿宋" w:eastAsia="仿宋" w:cs="仿宋"/>
                <w:spacing w:val="-13"/>
                <w:sz w:val="21"/>
                <w:szCs w:val="21"/>
              </w:rPr>
              <w:t>氮、铁、 锰、总硬度</w:t>
            </w:r>
          </w:p>
        </w:tc>
        <w:tc>
          <w:tcPr>
            <w:tcW w:w="1279"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69" w:line="219" w:lineRule="auto"/>
              <w:ind w:left="334"/>
              <w:rPr>
                <w:rFonts w:ascii="仿宋" w:hAnsi="仿宋" w:eastAsia="仿宋" w:cs="仿宋"/>
                <w:sz w:val="21"/>
                <w:szCs w:val="21"/>
              </w:rPr>
            </w:pPr>
            <w:r>
              <w:rPr>
                <w:rFonts w:ascii="仿宋" w:hAnsi="仿宋" w:eastAsia="仿宋" w:cs="仿宋"/>
                <w:spacing w:val="-5"/>
                <w:sz w:val="21"/>
                <w:szCs w:val="21"/>
              </w:rPr>
              <w:t>施工期</w:t>
            </w:r>
          </w:p>
        </w:tc>
        <w:tc>
          <w:tcPr>
            <w:tcW w:w="1118" w:type="dxa"/>
            <w:tcBorders>
              <w:right w:val="nil"/>
            </w:tcBorders>
            <w:vAlign w:val="top"/>
          </w:tcPr>
          <w:p>
            <w:pPr>
              <w:spacing w:line="296" w:lineRule="auto"/>
              <w:rPr>
                <w:rFonts w:ascii="Arial"/>
                <w:sz w:val="21"/>
              </w:rPr>
            </w:pPr>
          </w:p>
          <w:p>
            <w:pPr>
              <w:pStyle w:val="6"/>
              <w:spacing w:before="69" w:line="264" w:lineRule="auto"/>
              <w:ind w:left="150" w:right="137" w:firstLine="138"/>
              <w:rPr>
                <w:rFonts w:ascii="仿宋" w:hAnsi="仿宋" w:eastAsia="仿宋" w:cs="仿宋"/>
              </w:rPr>
            </w:pPr>
            <w:r>
              <w:rPr>
                <w:rFonts w:ascii="仿宋" w:hAnsi="仿宋" w:eastAsia="仿宋" w:cs="仿宋"/>
                <w:spacing w:val="-9"/>
              </w:rPr>
              <w:t>每年</w:t>
            </w:r>
            <w:r>
              <w:rPr>
                <w:rFonts w:ascii="仿宋" w:hAnsi="仿宋" w:eastAsia="仿宋" w:cs="仿宋"/>
                <w:spacing w:val="-48"/>
              </w:rPr>
              <w:t xml:space="preserve"> </w:t>
            </w:r>
            <w:r>
              <w:rPr>
                <w:spacing w:val="-9"/>
              </w:rPr>
              <w:t>2</w:t>
            </w:r>
            <w:r>
              <w:t xml:space="preserve">   </w:t>
            </w:r>
            <w:r>
              <w:rPr>
                <w:rFonts w:ascii="仿宋" w:hAnsi="仿宋" w:eastAsia="仿宋" w:cs="仿宋"/>
                <w:spacing w:val="-4"/>
              </w:rPr>
              <w:t>次，丰水</w:t>
            </w:r>
            <w:r>
              <w:rPr>
                <w:rFonts w:ascii="仿宋" w:hAnsi="仿宋" w:eastAsia="仿宋" w:cs="仿宋"/>
                <w:spacing w:val="1"/>
              </w:rPr>
              <w:t xml:space="preserve"> </w:t>
            </w:r>
            <w:r>
              <w:rPr>
                <w:rFonts w:ascii="仿宋" w:hAnsi="仿宋" w:eastAsia="仿宋" w:cs="仿宋"/>
                <w:spacing w:val="-4"/>
              </w:rPr>
              <w:t>期、枯水</w:t>
            </w:r>
            <w:r>
              <w:rPr>
                <w:rFonts w:ascii="仿宋" w:hAnsi="仿宋" w:eastAsia="仿宋" w:cs="仿宋"/>
                <w:spacing w:val="1"/>
              </w:rPr>
              <w:t xml:space="preserve"> </w:t>
            </w:r>
            <w:r>
              <w:rPr>
                <w:rFonts w:ascii="仿宋" w:hAnsi="仿宋" w:eastAsia="仿宋" w:cs="仿宋"/>
                <w:spacing w:val="30"/>
              </w:rPr>
              <w:t>期各一</w:t>
            </w:r>
            <w:r>
              <w:rPr>
                <w:rFonts w:ascii="仿宋" w:hAnsi="仿宋" w:eastAsia="仿宋" w:cs="仿宋"/>
              </w:rPr>
              <w:t xml:space="preserve">  </w:t>
            </w:r>
            <w:r>
              <w:rPr>
                <w:rFonts w:ascii="仿宋" w:hAnsi="仿宋" w:eastAsia="仿宋" w:cs="仿宋"/>
                <w:spacing w:val="-4"/>
              </w:rPr>
              <w:t>次，连续</w:t>
            </w:r>
            <w:r>
              <w:rPr>
                <w:rFonts w:ascii="仿宋" w:hAnsi="仿宋" w:eastAsia="仿宋" w:cs="仿宋"/>
                <w:spacing w:val="1"/>
              </w:rPr>
              <w:t xml:space="preserve"> </w:t>
            </w:r>
            <w:r>
              <w:rPr>
                <w:rFonts w:ascii="仿宋" w:hAnsi="仿宋" w:eastAsia="仿宋" w:cs="仿宋"/>
                <w:spacing w:val="-10"/>
              </w:rPr>
              <w:t>采样</w:t>
            </w:r>
            <w:r>
              <w:rPr>
                <w:rFonts w:ascii="仿宋" w:hAnsi="仿宋" w:eastAsia="仿宋" w:cs="仿宋"/>
                <w:spacing w:val="-42"/>
              </w:rPr>
              <w:t xml:space="preserve"> </w:t>
            </w:r>
            <w:r>
              <w:rPr>
                <w:spacing w:val="-10"/>
              </w:rPr>
              <w:t>3</w:t>
            </w:r>
            <w:r>
              <w:rPr>
                <w:spacing w:val="15"/>
                <w:w w:val="101"/>
              </w:rPr>
              <w:t xml:space="preserve"> </w:t>
            </w:r>
            <w:r>
              <w:rPr>
                <w:rFonts w:ascii="仿宋" w:hAnsi="仿宋" w:eastAsia="仿宋" w:cs="仿宋"/>
                <w:spacing w:val="-10"/>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564" w:hRule="atLeast"/>
        </w:trPr>
        <w:tc>
          <w:tcPr>
            <w:tcW w:w="1228" w:type="dxa"/>
            <w:vMerge w:val="continue"/>
            <w:tcBorders>
              <w:top w:val="nil"/>
              <w:left w:val="nil"/>
              <w:bottom w:val="nil"/>
            </w:tcBorders>
            <w:vAlign w:val="top"/>
          </w:tcPr>
          <w:p>
            <w:pPr>
              <w:rPr>
                <w:rFonts w:ascii="Arial"/>
                <w:sz w:val="21"/>
              </w:rPr>
            </w:pPr>
          </w:p>
        </w:tc>
        <w:tc>
          <w:tcPr>
            <w:tcW w:w="1380" w:type="dxa"/>
            <w:vAlign w:val="top"/>
          </w:tcPr>
          <w:p>
            <w:pPr>
              <w:spacing w:line="450" w:lineRule="auto"/>
              <w:rPr>
                <w:rFonts w:ascii="Arial"/>
                <w:sz w:val="21"/>
              </w:rPr>
            </w:pPr>
          </w:p>
          <w:p>
            <w:pPr>
              <w:spacing w:before="68" w:line="246" w:lineRule="auto"/>
              <w:ind w:left="283" w:right="197" w:hanging="103"/>
              <w:rPr>
                <w:rFonts w:ascii="仿宋" w:hAnsi="仿宋" w:eastAsia="仿宋" w:cs="仿宋"/>
                <w:sz w:val="21"/>
                <w:szCs w:val="21"/>
              </w:rPr>
            </w:pPr>
            <w:r>
              <w:rPr>
                <w:rFonts w:ascii="仿宋" w:hAnsi="仿宋" w:eastAsia="仿宋" w:cs="仿宋"/>
                <w:spacing w:val="-11"/>
                <w:sz w:val="21"/>
                <w:szCs w:val="21"/>
              </w:rPr>
              <w:t>李子地村、</w:t>
            </w:r>
            <w:r>
              <w:rPr>
                <w:rFonts w:ascii="仿宋" w:hAnsi="仿宋" w:eastAsia="仿宋" w:cs="仿宋"/>
                <w:spacing w:val="1"/>
                <w:sz w:val="21"/>
                <w:szCs w:val="21"/>
              </w:rPr>
              <w:t xml:space="preserve"> </w:t>
            </w:r>
            <w:r>
              <w:rPr>
                <w:rFonts w:ascii="仿宋" w:hAnsi="仿宋" w:eastAsia="仿宋" w:cs="仿宋"/>
                <w:spacing w:val="-4"/>
                <w:sz w:val="21"/>
                <w:szCs w:val="21"/>
              </w:rPr>
              <w:t>岔处地村</w:t>
            </w:r>
          </w:p>
        </w:tc>
        <w:tc>
          <w:tcPr>
            <w:tcW w:w="3316" w:type="dxa"/>
            <w:vAlign w:val="top"/>
          </w:tcPr>
          <w:p>
            <w:pPr>
              <w:spacing w:line="268" w:lineRule="auto"/>
              <w:rPr>
                <w:rFonts w:ascii="Arial"/>
                <w:sz w:val="21"/>
              </w:rPr>
            </w:pPr>
          </w:p>
          <w:p>
            <w:pPr>
              <w:spacing w:line="269" w:lineRule="auto"/>
              <w:rPr>
                <w:rFonts w:ascii="Arial"/>
                <w:sz w:val="21"/>
              </w:rPr>
            </w:pPr>
          </w:p>
          <w:p>
            <w:pPr>
              <w:pStyle w:val="6"/>
              <w:spacing w:before="68" w:line="212" w:lineRule="auto"/>
              <w:ind w:left="419"/>
              <w:rPr>
                <w:rFonts w:ascii="仿宋" w:hAnsi="仿宋" w:eastAsia="仿宋" w:cs="仿宋"/>
              </w:rPr>
            </w:pPr>
            <w:r>
              <w:rPr>
                <w:rFonts w:ascii="仿宋" w:hAnsi="仿宋" w:eastAsia="仿宋" w:cs="仿宋"/>
                <w:spacing w:val="-3"/>
              </w:rPr>
              <w:t>等效连续</w:t>
            </w:r>
            <w:r>
              <w:rPr>
                <w:rFonts w:ascii="仿宋" w:hAnsi="仿宋" w:eastAsia="仿宋" w:cs="仿宋"/>
                <w:spacing w:val="-38"/>
              </w:rPr>
              <w:t xml:space="preserve"> </w:t>
            </w:r>
            <w:r>
              <w:rPr>
                <w:spacing w:val="-3"/>
              </w:rPr>
              <w:t xml:space="preserve">A  </w:t>
            </w:r>
            <w:r>
              <w:rPr>
                <w:rFonts w:ascii="仿宋" w:hAnsi="仿宋" w:eastAsia="仿宋" w:cs="仿宋"/>
                <w:spacing w:val="-3"/>
              </w:rPr>
              <w:t>声级（</w:t>
            </w:r>
            <w:r>
              <w:rPr>
                <w:spacing w:val="-3"/>
              </w:rPr>
              <w:t>dB(A)</w:t>
            </w:r>
            <w:r>
              <w:rPr>
                <w:rFonts w:ascii="仿宋" w:hAnsi="仿宋" w:eastAsia="仿宋" w:cs="仿宋"/>
                <w:spacing w:val="-3"/>
              </w:rPr>
              <w:t>）</w:t>
            </w:r>
          </w:p>
        </w:tc>
        <w:tc>
          <w:tcPr>
            <w:tcW w:w="1279" w:type="dxa"/>
            <w:vMerge w:val="continue"/>
            <w:tcBorders>
              <w:top w:val="nil"/>
              <w:bottom w:val="nil"/>
            </w:tcBorders>
            <w:vAlign w:val="top"/>
          </w:tcPr>
          <w:p>
            <w:pPr>
              <w:rPr>
                <w:rFonts w:ascii="Arial"/>
                <w:sz w:val="21"/>
              </w:rPr>
            </w:pPr>
          </w:p>
        </w:tc>
        <w:tc>
          <w:tcPr>
            <w:tcW w:w="1118" w:type="dxa"/>
            <w:tcBorders>
              <w:right w:val="nil"/>
            </w:tcBorders>
            <w:vAlign w:val="top"/>
          </w:tcPr>
          <w:p>
            <w:pPr>
              <w:spacing w:before="52" w:line="256" w:lineRule="auto"/>
              <w:ind w:left="150" w:right="138"/>
              <w:jc w:val="both"/>
              <w:rPr>
                <w:rFonts w:ascii="仿宋" w:hAnsi="仿宋" w:eastAsia="仿宋" w:cs="仿宋"/>
                <w:sz w:val="21"/>
                <w:szCs w:val="21"/>
              </w:rPr>
            </w:pPr>
            <w:r>
              <w:rPr>
                <w:rFonts w:ascii="仿宋" w:hAnsi="仿宋" w:eastAsia="仿宋" w:cs="仿宋"/>
                <w:spacing w:val="-4"/>
                <w:sz w:val="21"/>
                <w:szCs w:val="21"/>
              </w:rPr>
              <w:t>施工期高</w:t>
            </w:r>
            <w:r>
              <w:rPr>
                <w:rFonts w:ascii="仿宋" w:hAnsi="仿宋" w:eastAsia="仿宋" w:cs="仿宋"/>
                <w:spacing w:val="1"/>
                <w:sz w:val="21"/>
                <w:szCs w:val="21"/>
              </w:rPr>
              <w:t xml:space="preserve"> </w:t>
            </w:r>
            <w:r>
              <w:rPr>
                <w:rFonts w:ascii="仿宋" w:hAnsi="仿宋" w:eastAsia="仿宋" w:cs="仿宋"/>
                <w:spacing w:val="-4"/>
                <w:sz w:val="21"/>
                <w:szCs w:val="21"/>
              </w:rPr>
              <w:t>峰年，昼</w:t>
            </w:r>
            <w:r>
              <w:rPr>
                <w:rFonts w:ascii="仿宋" w:hAnsi="仿宋" w:eastAsia="仿宋" w:cs="仿宋"/>
                <w:spacing w:val="1"/>
                <w:sz w:val="21"/>
                <w:szCs w:val="21"/>
              </w:rPr>
              <w:t xml:space="preserve"> </w:t>
            </w:r>
            <w:r>
              <w:rPr>
                <w:rFonts w:ascii="仿宋" w:hAnsi="仿宋" w:eastAsia="仿宋" w:cs="仿宋"/>
                <w:spacing w:val="-4"/>
                <w:sz w:val="21"/>
                <w:szCs w:val="21"/>
              </w:rPr>
              <w:t>夜各测一</w:t>
            </w:r>
          </w:p>
          <w:p>
            <w:pPr>
              <w:pStyle w:val="6"/>
              <w:spacing w:before="63" w:line="248" w:lineRule="auto"/>
              <w:ind w:left="271" w:right="138" w:hanging="121"/>
              <w:rPr>
                <w:rFonts w:ascii="仿宋" w:hAnsi="仿宋" w:eastAsia="仿宋" w:cs="仿宋"/>
              </w:rPr>
            </w:pPr>
            <w:r>
              <w:rPr>
                <w:rFonts w:ascii="仿宋" w:hAnsi="仿宋" w:eastAsia="仿宋" w:cs="仿宋"/>
                <w:spacing w:val="-4"/>
              </w:rPr>
              <w:t>次，连续</w:t>
            </w:r>
            <w:r>
              <w:rPr>
                <w:rFonts w:ascii="仿宋" w:hAnsi="仿宋" w:eastAsia="仿宋" w:cs="仿宋"/>
                <w:spacing w:val="1"/>
              </w:rPr>
              <w:t xml:space="preserve"> </w:t>
            </w:r>
            <w:r>
              <w:rPr>
                <w:spacing w:val="-9"/>
              </w:rPr>
              <w:t>2</w:t>
            </w:r>
            <w:r>
              <w:rPr>
                <w:spacing w:val="15"/>
                <w:w w:val="101"/>
              </w:rPr>
              <w:t xml:space="preserve"> </w:t>
            </w:r>
            <w:r>
              <w:rPr>
                <w:rFonts w:ascii="仿宋" w:hAnsi="仿宋" w:eastAsia="仿宋" w:cs="仿宋"/>
                <w:spacing w:val="-9"/>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253" w:hRule="atLeast"/>
        </w:trPr>
        <w:tc>
          <w:tcPr>
            <w:tcW w:w="1228" w:type="dxa"/>
            <w:vMerge w:val="continue"/>
            <w:tcBorders>
              <w:top w:val="nil"/>
              <w:left w:val="nil"/>
            </w:tcBorders>
            <w:vAlign w:val="top"/>
          </w:tcPr>
          <w:p>
            <w:pPr>
              <w:rPr>
                <w:rFonts w:ascii="Arial"/>
                <w:sz w:val="21"/>
              </w:rPr>
            </w:pPr>
          </w:p>
        </w:tc>
        <w:tc>
          <w:tcPr>
            <w:tcW w:w="1380" w:type="dxa"/>
            <w:vAlign w:val="top"/>
          </w:tcPr>
          <w:p>
            <w:pPr>
              <w:spacing w:line="296" w:lineRule="auto"/>
              <w:rPr>
                <w:rFonts w:ascii="Arial"/>
                <w:sz w:val="21"/>
              </w:rPr>
            </w:pPr>
          </w:p>
          <w:p>
            <w:pPr>
              <w:spacing w:before="69" w:line="246" w:lineRule="auto"/>
              <w:ind w:left="283" w:right="197" w:hanging="103"/>
              <w:rPr>
                <w:rFonts w:ascii="仿宋" w:hAnsi="仿宋" w:eastAsia="仿宋" w:cs="仿宋"/>
                <w:sz w:val="21"/>
                <w:szCs w:val="21"/>
              </w:rPr>
            </w:pPr>
            <w:r>
              <w:rPr>
                <w:rFonts w:ascii="仿宋" w:hAnsi="仿宋" w:eastAsia="仿宋" w:cs="仿宋"/>
                <w:spacing w:val="-11"/>
                <w:sz w:val="21"/>
                <w:szCs w:val="21"/>
              </w:rPr>
              <w:t>李子地村、</w:t>
            </w:r>
            <w:r>
              <w:rPr>
                <w:rFonts w:ascii="仿宋" w:hAnsi="仿宋" w:eastAsia="仿宋" w:cs="仿宋"/>
                <w:spacing w:val="1"/>
                <w:sz w:val="21"/>
                <w:szCs w:val="21"/>
              </w:rPr>
              <w:t xml:space="preserve"> </w:t>
            </w:r>
            <w:r>
              <w:rPr>
                <w:rFonts w:ascii="仿宋" w:hAnsi="仿宋" w:eastAsia="仿宋" w:cs="仿宋"/>
                <w:spacing w:val="-4"/>
                <w:sz w:val="21"/>
                <w:szCs w:val="21"/>
              </w:rPr>
              <w:t>岔处地村</w:t>
            </w:r>
          </w:p>
        </w:tc>
        <w:tc>
          <w:tcPr>
            <w:tcW w:w="3316" w:type="dxa"/>
            <w:vAlign w:val="top"/>
          </w:tcPr>
          <w:p>
            <w:pPr>
              <w:spacing w:line="435" w:lineRule="auto"/>
              <w:rPr>
                <w:rFonts w:ascii="Arial"/>
                <w:sz w:val="21"/>
              </w:rPr>
            </w:pPr>
          </w:p>
          <w:p>
            <w:pPr>
              <w:pStyle w:val="6"/>
              <w:spacing w:before="60" w:line="188" w:lineRule="auto"/>
              <w:ind w:left="1479"/>
            </w:pPr>
            <w:r>
              <w:rPr>
                <w:spacing w:val="-3"/>
              </w:rPr>
              <w:t>TSP</w:t>
            </w:r>
          </w:p>
        </w:tc>
        <w:tc>
          <w:tcPr>
            <w:tcW w:w="1279" w:type="dxa"/>
            <w:vMerge w:val="continue"/>
            <w:tcBorders>
              <w:top w:val="nil"/>
            </w:tcBorders>
            <w:vAlign w:val="top"/>
          </w:tcPr>
          <w:p>
            <w:pPr>
              <w:rPr>
                <w:rFonts w:ascii="Arial"/>
                <w:sz w:val="21"/>
              </w:rPr>
            </w:pPr>
          </w:p>
        </w:tc>
        <w:tc>
          <w:tcPr>
            <w:tcW w:w="1118" w:type="dxa"/>
            <w:tcBorders>
              <w:right w:val="nil"/>
            </w:tcBorders>
            <w:vAlign w:val="top"/>
          </w:tcPr>
          <w:p>
            <w:pPr>
              <w:pStyle w:val="6"/>
              <w:spacing w:before="54" w:line="256" w:lineRule="auto"/>
              <w:ind w:left="150" w:right="138"/>
              <w:jc w:val="both"/>
              <w:rPr>
                <w:rFonts w:ascii="仿宋" w:hAnsi="仿宋" w:eastAsia="仿宋" w:cs="仿宋"/>
              </w:rPr>
            </w:pPr>
            <w:r>
              <w:rPr>
                <w:rFonts w:ascii="仿宋" w:hAnsi="仿宋" w:eastAsia="仿宋" w:cs="仿宋"/>
                <w:spacing w:val="-4"/>
              </w:rPr>
              <w:t>施工期高</w:t>
            </w:r>
            <w:r>
              <w:rPr>
                <w:rFonts w:ascii="仿宋" w:hAnsi="仿宋" w:eastAsia="仿宋" w:cs="仿宋"/>
                <w:spacing w:val="1"/>
              </w:rPr>
              <w:t xml:space="preserve"> </w:t>
            </w:r>
            <w:r>
              <w:rPr>
                <w:rFonts w:ascii="仿宋" w:hAnsi="仿宋" w:eastAsia="仿宋" w:cs="仿宋"/>
                <w:spacing w:val="-4"/>
              </w:rPr>
              <w:t>峰年，监</w:t>
            </w:r>
            <w:r>
              <w:rPr>
                <w:rFonts w:ascii="仿宋" w:hAnsi="仿宋" w:eastAsia="仿宋" w:cs="仿宋"/>
                <w:spacing w:val="1"/>
              </w:rPr>
              <w:t xml:space="preserve"> </w:t>
            </w:r>
            <w:r>
              <w:rPr>
                <w:rFonts w:ascii="仿宋" w:hAnsi="仿宋" w:eastAsia="仿宋" w:cs="仿宋"/>
                <w:spacing w:val="-17"/>
              </w:rPr>
              <w:t>测</w:t>
            </w:r>
            <w:r>
              <w:rPr>
                <w:rFonts w:ascii="仿宋" w:hAnsi="仿宋" w:eastAsia="仿宋" w:cs="仿宋"/>
                <w:spacing w:val="-28"/>
              </w:rPr>
              <w:t xml:space="preserve"> </w:t>
            </w:r>
            <w:r>
              <w:rPr>
                <w:spacing w:val="-17"/>
              </w:rPr>
              <w:t>1</w:t>
            </w:r>
            <w:r>
              <w:rPr>
                <w:spacing w:val="15"/>
              </w:rPr>
              <w:t xml:space="preserve"> </w:t>
            </w:r>
            <w:r>
              <w:rPr>
                <w:rFonts w:ascii="仿宋" w:hAnsi="仿宋" w:eastAsia="仿宋" w:cs="仿宋"/>
                <w:spacing w:val="-17"/>
              </w:rPr>
              <w:t>次，</w:t>
            </w:r>
          </w:p>
          <w:p>
            <w:pPr>
              <w:pStyle w:val="6"/>
              <w:spacing w:before="63" w:line="220" w:lineRule="auto"/>
              <w:ind w:left="261"/>
              <w:rPr>
                <w:rFonts w:ascii="仿宋" w:hAnsi="仿宋" w:eastAsia="仿宋" w:cs="仿宋"/>
              </w:rPr>
            </w:pPr>
            <w:r>
              <w:rPr>
                <w:rFonts w:ascii="仿宋" w:hAnsi="仿宋" w:eastAsia="仿宋" w:cs="仿宋"/>
                <w:spacing w:val="-10"/>
              </w:rPr>
              <w:t>共</w:t>
            </w:r>
            <w:r>
              <w:rPr>
                <w:rFonts w:ascii="仿宋" w:hAnsi="仿宋" w:eastAsia="仿宋" w:cs="仿宋"/>
                <w:spacing w:val="-43"/>
              </w:rPr>
              <w:t xml:space="preserve"> </w:t>
            </w:r>
            <w:r>
              <w:rPr>
                <w:spacing w:val="-10"/>
              </w:rPr>
              <w:t>7</w:t>
            </w:r>
            <w:r>
              <w:rPr>
                <w:spacing w:val="15"/>
                <w:w w:val="101"/>
              </w:rPr>
              <w:t xml:space="preserve"> </w:t>
            </w:r>
            <w:r>
              <w:rPr>
                <w:rFonts w:ascii="仿宋" w:hAnsi="仿宋" w:eastAsia="仿宋" w:cs="仿宋"/>
                <w:spacing w:val="-10"/>
              </w:rPr>
              <w:t>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40" w:hRule="atLeast"/>
        </w:trPr>
        <w:tc>
          <w:tcPr>
            <w:tcW w:w="1228" w:type="dxa"/>
            <w:tcBorders>
              <w:left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8" w:line="312" w:lineRule="exact"/>
              <w:ind w:left="325"/>
              <w:rPr>
                <w:rFonts w:ascii="仿宋" w:hAnsi="仿宋" w:eastAsia="仿宋" w:cs="仿宋"/>
                <w:sz w:val="21"/>
                <w:szCs w:val="21"/>
              </w:rPr>
            </w:pPr>
            <w:r>
              <w:rPr>
                <w:rFonts w:ascii="仿宋" w:hAnsi="仿宋" w:eastAsia="仿宋" w:cs="仿宋"/>
                <w:spacing w:val="-7"/>
                <w:position w:val="7"/>
                <w:sz w:val="21"/>
                <w:szCs w:val="21"/>
              </w:rPr>
              <w:t>营运期</w:t>
            </w:r>
          </w:p>
          <w:p>
            <w:pPr>
              <w:spacing w:line="218" w:lineRule="auto"/>
              <w:ind w:left="430"/>
              <w:rPr>
                <w:rFonts w:ascii="仿宋" w:hAnsi="仿宋" w:eastAsia="仿宋" w:cs="仿宋"/>
                <w:sz w:val="21"/>
                <w:szCs w:val="21"/>
              </w:rPr>
            </w:pPr>
            <w:r>
              <w:rPr>
                <w:rFonts w:ascii="仿宋" w:hAnsi="仿宋" w:eastAsia="仿宋" w:cs="仿宋"/>
                <w:spacing w:val="-5"/>
                <w:sz w:val="21"/>
                <w:szCs w:val="21"/>
              </w:rPr>
              <w:t>监测</w:t>
            </w:r>
          </w:p>
        </w:tc>
        <w:tc>
          <w:tcPr>
            <w:tcW w:w="1380"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68" w:line="246" w:lineRule="auto"/>
              <w:ind w:left="384" w:right="163" w:hanging="207"/>
              <w:rPr>
                <w:rFonts w:ascii="仿宋" w:hAnsi="仿宋" w:eastAsia="仿宋" w:cs="仿宋"/>
                <w:sz w:val="21"/>
                <w:szCs w:val="21"/>
              </w:rPr>
            </w:pPr>
            <w:r>
              <w:rPr>
                <w:rFonts w:ascii="仿宋" w:hAnsi="仿宋" w:eastAsia="仿宋" w:cs="仿宋"/>
                <w:spacing w:val="-4"/>
                <w:sz w:val="21"/>
                <w:szCs w:val="21"/>
              </w:rPr>
              <w:t>导流放空输</w:t>
            </w:r>
            <w:r>
              <w:rPr>
                <w:rFonts w:ascii="仿宋" w:hAnsi="仿宋" w:eastAsia="仿宋" w:cs="仿宋"/>
                <w:spacing w:val="3"/>
                <w:sz w:val="21"/>
                <w:szCs w:val="21"/>
              </w:rPr>
              <w:t xml:space="preserve"> </w:t>
            </w:r>
            <w:r>
              <w:rPr>
                <w:rFonts w:ascii="仿宋" w:hAnsi="仿宋" w:eastAsia="仿宋" w:cs="仿宋"/>
                <w:spacing w:val="-3"/>
                <w:sz w:val="21"/>
                <w:szCs w:val="21"/>
              </w:rPr>
              <w:t>水隧洞</w:t>
            </w:r>
          </w:p>
        </w:tc>
        <w:tc>
          <w:tcPr>
            <w:tcW w:w="3316" w:type="dxa"/>
            <w:vAlign w:val="top"/>
          </w:tcPr>
          <w:p>
            <w:pPr>
              <w:spacing w:line="451" w:lineRule="auto"/>
              <w:rPr>
                <w:rFonts w:ascii="Arial"/>
                <w:sz w:val="21"/>
              </w:rPr>
            </w:pPr>
          </w:p>
          <w:p>
            <w:pPr>
              <w:pStyle w:val="6"/>
              <w:spacing w:before="68" w:line="213" w:lineRule="auto"/>
              <w:ind w:left="148"/>
              <w:rPr>
                <w:rFonts w:ascii="仿宋" w:hAnsi="仿宋" w:eastAsia="仿宋" w:cs="仿宋"/>
              </w:rPr>
            </w:pPr>
            <w:r>
              <w:rPr>
                <w:rFonts w:ascii="仿宋" w:hAnsi="仿宋" w:eastAsia="仿宋" w:cs="仿宋"/>
                <w:spacing w:val="-9"/>
              </w:rPr>
              <w:t xml:space="preserve">水温、 </w:t>
            </w:r>
            <w:r>
              <w:rPr>
                <w:spacing w:val="-9"/>
              </w:rPr>
              <w:t>pH</w:t>
            </w:r>
            <w:r>
              <w:rPr>
                <w:spacing w:val="25"/>
                <w:w w:val="101"/>
              </w:rPr>
              <w:t xml:space="preserve"> </w:t>
            </w:r>
            <w:r>
              <w:rPr>
                <w:rFonts w:ascii="仿宋" w:hAnsi="仿宋" w:eastAsia="仿宋" w:cs="仿宋"/>
                <w:spacing w:val="-9"/>
              </w:rPr>
              <w:t>值、溶解氧、高锰酸钾</w:t>
            </w:r>
          </w:p>
          <w:p>
            <w:pPr>
              <w:pStyle w:val="6"/>
              <w:spacing w:before="70" w:line="245" w:lineRule="auto"/>
              <w:ind w:left="197" w:right="219" w:firstLine="59"/>
              <w:rPr>
                <w:rFonts w:ascii="仿宋" w:hAnsi="仿宋" w:eastAsia="仿宋" w:cs="仿宋"/>
              </w:rPr>
            </w:pPr>
            <w:r>
              <w:rPr>
                <w:rFonts w:ascii="仿宋" w:hAnsi="仿宋" w:eastAsia="仿宋" w:cs="仿宋"/>
                <w:spacing w:val="-11"/>
              </w:rPr>
              <w:t xml:space="preserve">指数、 </w:t>
            </w:r>
            <w:r>
              <w:rPr>
                <w:spacing w:val="-11"/>
              </w:rPr>
              <w:t>BOD</w:t>
            </w:r>
            <w:r>
              <w:rPr>
                <w:spacing w:val="-11"/>
                <w:position w:val="-2"/>
                <w:sz w:val="14"/>
                <w:szCs w:val="14"/>
              </w:rPr>
              <w:t xml:space="preserve">5 </w:t>
            </w:r>
            <w:r>
              <w:rPr>
                <w:rFonts w:ascii="仿宋" w:hAnsi="仿宋" w:eastAsia="仿宋" w:cs="仿宋"/>
                <w:spacing w:val="-11"/>
              </w:rPr>
              <w:t>、氨氮、总氮、总</w:t>
            </w:r>
            <w:r>
              <w:rPr>
                <w:rFonts w:ascii="仿宋" w:hAnsi="仿宋" w:eastAsia="仿宋" w:cs="仿宋"/>
                <w:spacing w:val="5"/>
              </w:rPr>
              <w:t xml:space="preserve"> </w:t>
            </w:r>
            <w:r>
              <w:rPr>
                <w:rFonts w:ascii="仿宋" w:hAnsi="仿宋" w:eastAsia="仿宋" w:cs="仿宋"/>
                <w:spacing w:val="-4"/>
              </w:rPr>
              <w:t>磷、铜、锌、氟化物、硒、砷、</w:t>
            </w:r>
          </w:p>
          <w:p>
            <w:pPr>
              <w:spacing w:before="67" w:line="245" w:lineRule="auto"/>
              <w:ind w:left="198" w:right="149" w:hanging="51"/>
              <w:rPr>
                <w:rFonts w:ascii="仿宋" w:hAnsi="仿宋" w:eastAsia="仿宋" w:cs="仿宋"/>
                <w:sz w:val="21"/>
                <w:szCs w:val="21"/>
              </w:rPr>
            </w:pPr>
            <w:r>
              <w:rPr>
                <w:rFonts w:ascii="仿宋" w:hAnsi="仿宋" w:eastAsia="仿宋" w:cs="仿宋"/>
                <w:spacing w:val="-10"/>
                <w:sz w:val="21"/>
                <w:szCs w:val="21"/>
              </w:rPr>
              <w:t>汞、镉、铬（六价）、铅、总氰化</w:t>
            </w:r>
            <w:r>
              <w:rPr>
                <w:rFonts w:ascii="仿宋" w:hAnsi="仿宋" w:eastAsia="仿宋" w:cs="仿宋"/>
                <w:spacing w:val="13"/>
                <w:sz w:val="21"/>
                <w:szCs w:val="21"/>
              </w:rPr>
              <w:t xml:space="preserve"> </w:t>
            </w:r>
            <w:r>
              <w:rPr>
                <w:rFonts w:ascii="仿宋" w:hAnsi="仿宋" w:eastAsia="仿宋" w:cs="仿宋"/>
                <w:spacing w:val="-1"/>
                <w:sz w:val="21"/>
                <w:szCs w:val="21"/>
              </w:rPr>
              <w:t>物、挥发酚、石油类、阴离子表</w:t>
            </w:r>
          </w:p>
          <w:p>
            <w:pPr>
              <w:spacing w:before="65" w:line="216" w:lineRule="auto"/>
              <w:ind w:left="307"/>
              <w:rPr>
                <w:rFonts w:ascii="仿宋" w:hAnsi="仿宋" w:eastAsia="仿宋" w:cs="仿宋"/>
                <w:sz w:val="21"/>
                <w:szCs w:val="21"/>
              </w:rPr>
            </w:pPr>
            <w:r>
              <w:rPr>
                <w:rFonts w:ascii="仿宋" w:hAnsi="仿宋" w:eastAsia="仿宋" w:cs="仿宋"/>
                <w:spacing w:val="-2"/>
                <w:sz w:val="21"/>
                <w:szCs w:val="21"/>
              </w:rPr>
              <w:t>面活性剂、硫化物、粪大肠菌</w:t>
            </w:r>
          </w:p>
          <w:p>
            <w:pPr>
              <w:spacing w:before="67" w:line="215" w:lineRule="auto"/>
              <w:ind w:left="303"/>
              <w:rPr>
                <w:rFonts w:ascii="仿宋" w:hAnsi="仿宋" w:eastAsia="仿宋" w:cs="仿宋"/>
                <w:sz w:val="21"/>
                <w:szCs w:val="21"/>
              </w:rPr>
            </w:pPr>
            <w:r>
              <w:rPr>
                <w:rFonts w:ascii="仿宋" w:hAnsi="仿宋" w:eastAsia="仿宋" w:cs="仿宋"/>
                <w:spacing w:val="-1"/>
                <w:sz w:val="21"/>
                <w:szCs w:val="21"/>
              </w:rPr>
              <w:t>群、硫酸盐、氯化物、硝酸盐</w:t>
            </w:r>
          </w:p>
          <w:p>
            <w:pPr>
              <w:spacing w:before="67" w:line="219" w:lineRule="auto"/>
              <w:ind w:left="728"/>
              <w:rPr>
                <w:rFonts w:ascii="仿宋" w:hAnsi="仿宋" w:eastAsia="仿宋" w:cs="仿宋"/>
                <w:sz w:val="21"/>
                <w:szCs w:val="21"/>
              </w:rPr>
            </w:pPr>
            <w:r>
              <w:rPr>
                <w:rFonts w:ascii="仿宋" w:hAnsi="仿宋" w:eastAsia="仿宋" w:cs="仿宋"/>
                <w:spacing w:val="-2"/>
                <w:sz w:val="21"/>
                <w:szCs w:val="21"/>
              </w:rPr>
              <w:t>氮、铁、锰、总硬度</w:t>
            </w:r>
          </w:p>
        </w:tc>
        <w:tc>
          <w:tcPr>
            <w:tcW w:w="127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68" w:line="219" w:lineRule="auto"/>
              <w:ind w:left="336"/>
              <w:rPr>
                <w:rFonts w:ascii="仿宋" w:hAnsi="仿宋" w:eastAsia="仿宋" w:cs="仿宋"/>
                <w:sz w:val="21"/>
                <w:szCs w:val="21"/>
              </w:rPr>
            </w:pPr>
            <w:r>
              <w:rPr>
                <w:rFonts w:ascii="仿宋" w:hAnsi="仿宋" w:eastAsia="仿宋" w:cs="仿宋"/>
                <w:spacing w:val="-4"/>
                <w:sz w:val="21"/>
                <w:szCs w:val="21"/>
              </w:rPr>
              <w:t>运营期</w:t>
            </w:r>
          </w:p>
        </w:tc>
        <w:tc>
          <w:tcPr>
            <w:tcW w:w="1118" w:type="dxa"/>
            <w:tcBorders>
              <w:right w:val="nil"/>
            </w:tcBorders>
            <w:vAlign w:val="top"/>
          </w:tcPr>
          <w:p>
            <w:pPr>
              <w:pStyle w:val="6"/>
              <w:spacing w:before="55" w:line="269" w:lineRule="auto"/>
              <w:ind w:left="150" w:right="137" w:firstLine="3"/>
              <w:rPr>
                <w:rFonts w:ascii="仿宋" w:hAnsi="仿宋" w:eastAsia="仿宋" w:cs="仿宋"/>
              </w:rPr>
            </w:pPr>
            <w:r>
              <w:rPr>
                <w:rFonts w:ascii="仿宋" w:hAnsi="仿宋" w:eastAsia="仿宋" w:cs="仿宋"/>
                <w:spacing w:val="-5"/>
              </w:rPr>
              <w:t>库蓄水前</w:t>
            </w:r>
            <w:r>
              <w:rPr>
                <w:rFonts w:ascii="仿宋" w:hAnsi="仿宋" w:eastAsia="仿宋" w:cs="仿宋"/>
                <w:spacing w:val="1"/>
              </w:rPr>
              <w:t xml:space="preserve"> </w:t>
            </w:r>
            <w:r>
              <w:rPr>
                <w:spacing w:val="-2"/>
              </w:rPr>
              <w:t>1</w:t>
            </w:r>
            <w:r>
              <w:rPr>
                <w:spacing w:val="20"/>
              </w:rPr>
              <w:t xml:space="preserve"> </w:t>
            </w:r>
            <w:r>
              <w:rPr>
                <w:rFonts w:ascii="仿宋" w:hAnsi="仿宋" w:eastAsia="仿宋" w:cs="仿宋"/>
                <w:spacing w:val="-2"/>
              </w:rPr>
              <w:t>年、水</w:t>
            </w:r>
            <w:r>
              <w:rPr>
                <w:rFonts w:ascii="仿宋" w:hAnsi="仿宋" w:eastAsia="仿宋" w:cs="仿宋"/>
              </w:rPr>
              <w:t xml:space="preserve"> </w:t>
            </w:r>
            <w:r>
              <w:rPr>
                <w:rFonts w:ascii="仿宋" w:hAnsi="仿宋" w:eastAsia="仿宋" w:cs="仿宋"/>
                <w:spacing w:val="-4"/>
              </w:rPr>
              <w:t>库蓄水第</w:t>
            </w:r>
            <w:r>
              <w:rPr>
                <w:rFonts w:ascii="仿宋" w:hAnsi="仿宋" w:eastAsia="仿宋" w:cs="仿宋"/>
                <w:spacing w:val="1"/>
              </w:rPr>
              <w:t xml:space="preserve"> </w:t>
            </w:r>
            <w:r>
              <w:rPr>
                <w:spacing w:val="-2"/>
              </w:rPr>
              <w:t>2</w:t>
            </w:r>
            <w:r>
              <w:rPr>
                <w:spacing w:val="20"/>
              </w:rPr>
              <w:t xml:space="preserve"> </w:t>
            </w:r>
            <w:r>
              <w:rPr>
                <w:rFonts w:ascii="仿宋" w:hAnsi="仿宋" w:eastAsia="仿宋" w:cs="仿宋"/>
                <w:spacing w:val="-2"/>
              </w:rPr>
              <w:t>年、竣</w:t>
            </w:r>
            <w:r>
              <w:rPr>
                <w:rFonts w:ascii="仿宋" w:hAnsi="仿宋" w:eastAsia="仿宋" w:cs="仿宋"/>
              </w:rPr>
              <w:t xml:space="preserve"> </w:t>
            </w:r>
            <w:r>
              <w:rPr>
                <w:rFonts w:ascii="仿宋" w:hAnsi="仿宋" w:eastAsia="仿宋" w:cs="仿宋"/>
                <w:spacing w:val="-4"/>
              </w:rPr>
              <w:t>工验收后</w:t>
            </w:r>
            <w:r>
              <w:rPr>
                <w:rFonts w:ascii="仿宋" w:hAnsi="仿宋" w:eastAsia="仿宋" w:cs="仿宋"/>
                <w:spacing w:val="1"/>
              </w:rPr>
              <w:t xml:space="preserve"> </w:t>
            </w:r>
            <w:r>
              <w:rPr>
                <w:rFonts w:ascii="仿宋" w:hAnsi="仿宋" w:eastAsia="仿宋" w:cs="仿宋"/>
                <w:spacing w:val="-4"/>
              </w:rPr>
              <w:t>进行每年</w:t>
            </w:r>
            <w:r>
              <w:rPr>
                <w:rFonts w:ascii="仿宋" w:hAnsi="仿宋" w:eastAsia="仿宋" w:cs="仿宋"/>
                <w:spacing w:val="1"/>
              </w:rPr>
              <w:t xml:space="preserve"> </w:t>
            </w:r>
            <w:r>
              <w:rPr>
                <w:rFonts w:ascii="仿宋" w:hAnsi="仿宋" w:eastAsia="仿宋" w:cs="仿宋"/>
                <w:spacing w:val="-12"/>
              </w:rPr>
              <w:t>丰水期、</w:t>
            </w:r>
            <w:r>
              <w:rPr>
                <w:rFonts w:ascii="仿宋" w:hAnsi="仿宋" w:eastAsia="仿宋" w:cs="仿宋"/>
              </w:rPr>
              <w:t xml:space="preserve"> </w:t>
            </w:r>
            <w:r>
              <w:rPr>
                <w:rFonts w:ascii="仿宋" w:hAnsi="仿宋" w:eastAsia="仿宋" w:cs="仿宋"/>
                <w:spacing w:val="-12"/>
              </w:rPr>
              <w:t>平水期、</w:t>
            </w:r>
            <w:r>
              <w:rPr>
                <w:rFonts w:ascii="仿宋" w:hAnsi="仿宋" w:eastAsia="仿宋" w:cs="仿宋"/>
              </w:rPr>
              <w:t xml:space="preserve"> </w:t>
            </w:r>
            <w:r>
              <w:rPr>
                <w:rFonts w:ascii="仿宋" w:hAnsi="仿宋" w:eastAsia="仿宋" w:cs="仿宋"/>
                <w:spacing w:val="-4"/>
              </w:rPr>
              <w:t>枯水期各</w:t>
            </w:r>
            <w:r>
              <w:rPr>
                <w:rFonts w:ascii="仿宋" w:hAnsi="仿宋" w:eastAsia="仿宋" w:cs="仿宋"/>
                <w:spacing w:val="1"/>
              </w:rPr>
              <w:t xml:space="preserve"> </w:t>
            </w:r>
            <w:r>
              <w:rPr>
                <w:rFonts w:ascii="仿宋" w:hAnsi="仿宋" w:eastAsia="仿宋" w:cs="仿宋"/>
                <w:spacing w:val="-14"/>
              </w:rPr>
              <w:t>采样</w:t>
            </w:r>
            <w:r>
              <w:rPr>
                <w:rFonts w:ascii="仿宋" w:hAnsi="仿宋" w:eastAsia="仿宋" w:cs="仿宋"/>
                <w:spacing w:val="-25"/>
              </w:rPr>
              <w:t xml:space="preserve"> </w:t>
            </w:r>
            <w:r>
              <w:rPr>
                <w:spacing w:val="-14"/>
              </w:rPr>
              <w:t>1</w:t>
            </w:r>
            <w:r>
              <w:rPr>
                <w:spacing w:val="14"/>
                <w:w w:val="101"/>
              </w:rPr>
              <w:t xml:space="preserve"> </w:t>
            </w:r>
            <w:r>
              <w:rPr>
                <w:rFonts w:ascii="仿宋" w:hAnsi="仿宋" w:eastAsia="仿宋" w:cs="仿宋"/>
                <w:spacing w:val="-14"/>
              </w:rPr>
              <w:t>次</w:t>
            </w:r>
            <w:r>
              <w:rPr>
                <w:rFonts w:ascii="仿宋" w:hAnsi="仿宋" w:eastAsia="仿宋" w:cs="仿宋"/>
              </w:rPr>
              <w:t xml:space="preserve"> </w:t>
            </w:r>
            <w:r>
              <w:rPr>
                <w:rFonts w:ascii="仿宋" w:hAnsi="仿宋" w:eastAsia="仿宋" w:cs="仿宋"/>
                <w:spacing w:val="-4"/>
              </w:rPr>
              <w:t>进行监测</w:t>
            </w:r>
          </w:p>
        </w:tc>
      </w:tr>
    </w:tbl>
    <w:p>
      <w:pPr>
        <w:spacing w:line="243" w:lineRule="auto"/>
        <w:rPr>
          <w:rFonts w:ascii="Arial"/>
          <w:sz w:val="21"/>
        </w:rPr>
      </w:pPr>
    </w:p>
    <w:p>
      <w:pPr>
        <w:pStyle w:val="2"/>
        <w:spacing w:before="88" w:line="225" w:lineRule="auto"/>
        <w:ind w:left="39"/>
        <w:outlineLvl w:val="3"/>
        <w:rPr>
          <w:sz w:val="27"/>
          <w:szCs w:val="27"/>
        </w:rPr>
      </w:pPr>
      <w:bookmarkStart w:id="48" w:name="bookmark49"/>
      <w:bookmarkEnd w:id="48"/>
      <w:r>
        <w:rPr>
          <w:rFonts w:ascii="Times New Roman" w:hAnsi="Times New Roman" w:eastAsia="Times New Roman" w:cs="Times New Roman"/>
          <w:b/>
          <w:bCs/>
          <w:spacing w:val="4"/>
          <w:sz w:val="27"/>
          <w:szCs w:val="27"/>
        </w:rPr>
        <w:t>7.2</w:t>
      </w:r>
      <w:r>
        <w:rPr>
          <w:rFonts w:ascii="Times New Roman" w:hAnsi="Times New Roman" w:eastAsia="Times New Roman" w:cs="Times New Roman"/>
          <w:b/>
          <w:bCs/>
          <w:spacing w:val="54"/>
          <w:sz w:val="27"/>
          <w:szCs w:val="27"/>
        </w:rPr>
        <w:t xml:space="preserve"> </w:t>
      </w:r>
      <w:r>
        <w:rPr>
          <w:spacing w:val="4"/>
          <w:sz w:val="27"/>
          <w:szCs w:val="27"/>
          <w14:textOutline w14:w="5072" w14:cap="flat" w14:cmpd="sng">
            <w14:solidFill>
              <w14:srgbClr w14:val="000000"/>
            </w14:solidFill>
            <w14:prstDash w14:val="solid"/>
            <w14:miter w14:val="0"/>
          </w14:textOutline>
        </w:rPr>
        <w:t>环境监理</w:t>
      </w:r>
    </w:p>
    <w:p>
      <w:pPr>
        <w:spacing w:line="300"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7.2.1 </w:t>
      </w:r>
      <w:r>
        <w:rPr>
          <w:spacing w:val="-1"/>
          <w:sz w:val="24"/>
          <w:szCs w:val="24"/>
          <w14:textOutline w14:w="4354" w14:cap="flat" w14:cmpd="sng">
            <w14:solidFill>
              <w14:srgbClr w14:val="000000"/>
            </w14:solidFill>
            <w14:prstDash w14:val="solid"/>
            <w14:miter w14:val="0"/>
          </w14:textOutline>
        </w:rPr>
        <w:t>环境监理目的</w:t>
      </w:r>
    </w:p>
    <w:p>
      <w:pPr>
        <w:spacing w:before="199" w:line="359" w:lineRule="auto"/>
        <w:ind w:left="40" w:right="56"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）在水库施工期间，根据环境保护设计要求，开展施工期环境监理，全</w:t>
      </w:r>
      <w:r>
        <w:rPr>
          <w:rFonts w:ascii="宋体" w:hAnsi="宋体" w:eastAsia="宋体" w:cs="宋体"/>
          <w:spacing w:val="16"/>
          <w:sz w:val="24"/>
          <w:szCs w:val="24"/>
        </w:rPr>
        <w:t xml:space="preserve"> </w:t>
      </w:r>
      <w:r>
        <w:rPr>
          <w:rFonts w:ascii="宋体" w:hAnsi="宋体" w:eastAsia="宋体" w:cs="宋体"/>
          <w:sz w:val="24"/>
          <w:szCs w:val="24"/>
        </w:rPr>
        <w:t>面监督和检查施工单位环境保护措施的实施和效果，</w:t>
      </w:r>
      <w:r>
        <w:rPr>
          <w:rFonts w:ascii="宋体" w:hAnsi="宋体" w:eastAsia="宋体" w:cs="宋体"/>
          <w:spacing w:val="-1"/>
          <w:sz w:val="24"/>
          <w:szCs w:val="24"/>
        </w:rPr>
        <w:t>使工程的环保措施落实到</w:t>
      </w:r>
    </w:p>
    <w:p>
      <w:pPr>
        <w:spacing w:before="1" w:line="220" w:lineRule="auto"/>
        <w:ind w:left="45"/>
        <w:rPr>
          <w:rFonts w:ascii="宋体" w:hAnsi="宋体" w:eastAsia="宋体" w:cs="宋体"/>
          <w:sz w:val="24"/>
          <w:szCs w:val="24"/>
        </w:rPr>
      </w:pPr>
      <w:r>
        <w:rPr>
          <w:rFonts w:ascii="宋体" w:hAnsi="宋体" w:eastAsia="宋体" w:cs="宋体"/>
          <w:spacing w:val="-11"/>
          <w:sz w:val="24"/>
          <w:szCs w:val="24"/>
        </w:rPr>
        <w:t>实处。</w:t>
      </w:r>
    </w:p>
    <w:p>
      <w:pPr>
        <w:spacing w:before="181" w:line="466" w:lineRule="exact"/>
        <w:ind w:right="56"/>
        <w:jc w:val="right"/>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2</w:t>
      </w:r>
      <w:r>
        <w:rPr>
          <w:rFonts w:ascii="宋体" w:hAnsi="宋体" w:eastAsia="宋体" w:cs="宋体"/>
          <w:spacing w:val="-1"/>
          <w:position w:val="17"/>
          <w:sz w:val="24"/>
          <w:szCs w:val="24"/>
        </w:rPr>
        <w:t>）对施工过程中主要的环境影响问题进行全面监控，使工程可能引起的</w:t>
      </w:r>
    </w:p>
    <w:p>
      <w:pPr>
        <w:spacing w:before="1" w:line="219" w:lineRule="auto"/>
        <w:ind w:left="42"/>
        <w:rPr>
          <w:rFonts w:ascii="宋体" w:hAnsi="宋体" w:eastAsia="宋体" w:cs="宋体"/>
          <w:sz w:val="24"/>
          <w:szCs w:val="24"/>
        </w:rPr>
      </w:pPr>
      <w:r>
        <w:rPr>
          <w:rFonts w:ascii="宋体" w:hAnsi="宋体" w:eastAsia="宋体" w:cs="宋体"/>
          <w:spacing w:val="-8"/>
          <w:sz w:val="24"/>
          <w:szCs w:val="24"/>
        </w:rPr>
        <w:t>水土流失、地表破坏、</w:t>
      </w:r>
      <w:r>
        <w:rPr>
          <w:rFonts w:ascii="宋体" w:hAnsi="宋体" w:eastAsia="宋体" w:cs="宋体"/>
          <w:spacing w:val="51"/>
          <w:sz w:val="24"/>
          <w:szCs w:val="24"/>
        </w:rPr>
        <w:t xml:space="preserve"> </w:t>
      </w:r>
      <w:r>
        <w:rPr>
          <w:rFonts w:ascii="宋体" w:hAnsi="宋体" w:eastAsia="宋体" w:cs="宋体"/>
          <w:spacing w:val="-8"/>
          <w:sz w:val="24"/>
          <w:szCs w:val="24"/>
        </w:rPr>
        <w:t>生态影响等不利影响减小到最小程度。</w:t>
      </w:r>
    </w:p>
    <w:p>
      <w:pPr>
        <w:spacing w:before="181" w:line="220" w:lineRule="auto"/>
        <w:ind w:left="52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）对施工过程中可能发生的水质污染、噪声扰民、扬尘污染、妨碍交通</w:t>
      </w:r>
    </w:p>
    <w:p>
      <w:pPr>
        <w:spacing w:line="220" w:lineRule="auto"/>
        <w:rPr>
          <w:rFonts w:ascii="宋体" w:hAnsi="宋体" w:eastAsia="宋体" w:cs="宋体"/>
          <w:sz w:val="24"/>
          <w:szCs w:val="24"/>
        </w:rPr>
        <w:sectPr>
          <w:headerReference r:id="rId469" w:type="default"/>
          <w:footerReference r:id="rId470" w:type="default"/>
          <w:pgSz w:w="11907" w:h="16839"/>
          <w:pgMar w:top="1156" w:right="1768" w:bottom="1374" w:left="1770" w:header="881" w:footer="1210" w:gutter="0"/>
        </w:sectPr>
      </w:pPr>
    </w:p>
    <w:p>
      <w:pPr>
        <w:spacing w:before="318" w:line="220" w:lineRule="auto"/>
        <w:ind w:left="41"/>
        <w:rPr>
          <w:rFonts w:ascii="宋体" w:hAnsi="宋体" w:eastAsia="宋体" w:cs="宋体"/>
          <w:sz w:val="24"/>
          <w:szCs w:val="24"/>
        </w:rPr>
      </w:pPr>
      <w:r>
        <w:rPr>
          <w:rFonts w:ascii="宋体" w:hAnsi="宋体" w:eastAsia="宋体" w:cs="宋体"/>
          <w:spacing w:val="-2"/>
          <w:sz w:val="24"/>
          <w:szCs w:val="24"/>
        </w:rPr>
        <w:t>等因素进行监控，及时处理和解决临时出现的环境污染事件。</w:t>
      </w:r>
    </w:p>
    <w:p>
      <w:pPr>
        <w:spacing w:line="430"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7.2.2 </w:t>
      </w:r>
      <w:r>
        <w:rPr>
          <w:spacing w:val="-1"/>
          <w:sz w:val="24"/>
          <w:szCs w:val="24"/>
          <w14:textOutline w14:w="4354" w14:cap="flat" w14:cmpd="sng">
            <w14:solidFill>
              <w14:srgbClr w14:val="000000"/>
            </w14:solidFill>
            <w14:prstDash w14:val="solid"/>
            <w14:miter w14:val="0"/>
          </w14:textOutline>
        </w:rPr>
        <w:t>环境监理内容</w:t>
      </w:r>
    </w:p>
    <w:p>
      <w:pPr>
        <w:spacing w:before="198" w:line="360" w:lineRule="auto"/>
        <w:ind w:left="41" w:right="392" w:firstLine="480"/>
        <w:rPr>
          <w:rFonts w:ascii="宋体" w:hAnsi="宋体" w:eastAsia="宋体" w:cs="宋体"/>
          <w:sz w:val="24"/>
          <w:szCs w:val="24"/>
        </w:rPr>
      </w:pPr>
      <w:r>
        <w:rPr>
          <w:rFonts w:ascii="宋体" w:hAnsi="宋体" w:eastAsia="宋体" w:cs="宋体"/>
          <w:spacing w:val="-1"/>
          <w:sz w:val="24"/>
          <w:szCs w:val="24"/>
        </w:rPr>
        <w:t>水库工程环境监理应遵循国家及地方有关环境保护的政策和法律法规的要</w:t>
      </w:r>
      <w:r>
        <w:rPr>
          <w:rFonts w:ascii="宋体" w:hAnsi="宋体" w:eastAsia="宋体" w:cs="宋体"/>
          <w:spacing w:val="18"/>
          <w:sz w:val="24"/>
          <w:szCs w:val="24"/>
        </w:rPr>
        <w:t xml:space="preserve"> </w:t>
      </w:r>
      <w:r>
        <w:rPr>
          <w:rFonts w:ascii="宋体" w:hAnsi="宋体" w:eastAsia="宋体" w:cs="宋体"/>
          <w:sz w:val="24"/>
          <w:szCs w:val="24"/>
        </w:rPr>
        <w:t>求，在施工期对所有实施环境保护项目的专业部门</w:t>
      </w:r>
      <w:r>
        <w:rPr>
          <w:rFonts w:ascii="宋体" w:hAnsi="宋体" w:eastAsia="宋体" w:cs="宋体"/>
          <w:spacing w:val="-1"/>
          <w:sz w:val="24"/>
          <w:szCs w:val="24"/>
        </w:rPr>
        <w:t>及项目承包人的环境保护工</w:t>
      </w:r>
    </w:p>
    <w:p>
      <w:pPr>
        <w:spacing w:line="218" w:lineRule="auto"/>
        <w:ind w:left="40"/>
        <w:rPr>
          <w:rFonts w:ascii="宋体" w:hAnsi="宋体" w:eastAsia="宋体" w:cs="宋体"/>
          <w:sz w:val="24"/>
          <w:szCs w:val="24"/>
        </w:rPr>
      </w:pPr>
      <w:r>
        <w:rPr>
          <w:rFonts w:ascii="宋体" w:hAnsi="宋体" w:eastAsia="宋体" w:cs="宋体"/>
          <w:sz w:val="24"/>
          <w:szCs w:val="24"/>
        </w:rPr>
        <w:t>作进行监督、检查，确保工程环境影响报告书中提</w:t>
      </w:r>
      <w:r>
        <w:rPr>
          <w:rFonts w:ascii="宋体" w:hAnsi="宋体" w:eastAsia="宋体" w:cs="宋体"/>
          <w:spacing w:val="-1"/>
          <w:sz w:val="24"/>
          <w:szCs w:val="24"/>
        </w:rPr>
        <w:t>出的环境保护措施得到落</w:t>
      </w:r>
    </w:p>
    <w:p>
      <w:pPr>
        <w:spacing w:before="182" w:line="220" w:lineRule="auto"/>
        <w:ind w:left="45"/>
        <w:rPr>
          <w:rFonts w:ascii="宋体" w:hAnsi="宋体" w:eastAsia="宋体" w:cs="宋体"/>
          <w:sz w:val="24"/>
          <w:szCs w:val="24"/>
        </w:rPr>
      </w:pPr>
      <w:r>
        <w:rPr>
          <w:rFonts w:ascii="宋体" w:hAnsi="宋体" w:eastAsia="宋体" w:cs="宋体"/>
          <w:spacing w:val="-6"/>
          <w:sz w:val="24"/>
          <w:szCs w:val="24"/>
        </w:rPr>
        <w:t>实，主要工作任务包括：</w:t>
      </w:r>
    </w:p>
    <w:p>
      <w:pPr>
        <w:spacing w:before="181"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1</w:t>
      </w:r>
      <w:r>
        <w:rPr>
          <w:rFonts w:ascii="宋体" w:hAnsi="宋体" w:eastAsia="宋体" w:cs="宋体"/>
          <w:spacing w:val="-2"/>
          <w:sz w:val="24"/>
          <w:szCs w:val="24"/>
        </w:rPr>
        <w:t>）编制环境监理计划，拟定环境监理项目和内容。</w:t>
      </w:r>
    </w:p>
    <w:p>
      <w:pPr>
        <w:spacing w:before="182" w:line="467" w:lineRule="exact"/>
        <w:ind w:left="525"/>
        <w:rPr>
          <w:rFonts w:ascii="宋体" w:hAnsi="宋体" w:eastAsia="宋体" w:cs="宋体"/>
          <w:sz w:val="24"/>
          <w:szCs w:val="24"/>
        </w:rPr>
      </w:pPr>
      <w:r>
        <w:rPr>
          <w:rFonts w:ascii="宋体" w:hAnsi="宋体" w:eastAsia="宋体" w:cs="宋体"/>
          <w:spacing w:val="-6"/>
          <w:position w:val="17"/>
          <w:sz w:val="24"/>
          <w:szCs w:val="24"/>
        </w:rPr>
        <w:t>（</w:t>
      </w:r>
      <w:r>
        <w:rPr>
          <w:rFonts w:ascii="Times New Roman" w:hAnsi="Times New Roman" w:eastAsia="Times New Roman" w:cs="Times New Roman"/>
          <w:spacing w:val="-6"/>
          <w:position w:val="17"/>
          <w:sz w:val="24"/>
          <w:szCs w:val="24"/>
        </w:rPr>
        <w:t>2</w:t>
      </w:r>
      <w:r>
        <w:rPr>
          <w:rFonts w:ascii="宋体" w:hAnsi="宋体" w:eastAsia="宋体" w:cs="宋体"/>
          <w:spacing w:val="-6"/>
          <w:position w:val="17"/>
          <w:sz w:val="24"/>
          <w:szCs w:val="24"/>
        </w:rPr>
        <w:t>）对工程环境保护实施规划的项目进行监督检查，采取检查、</w:t>
      </w:r>
      <w:r>
        <w:rPr>
          <w:rFonts w:ascii="宋体" w:hAnsi="宋体" w:eastAsia="宋体" w:cs="宋体"/>
          <w:spacing w:val="65"/>
          <w:position w:val="17"/>
          <w:sz w:val="24"/>
          <w:szCs w:val="24"/>
        </w:rPr>
        <w:t xml:space="preserve"> </w:t>
      </w:r>
      <w:r>
        <w:rPr>
          <w:rFonts w:ascii="宋体" w:hAnsi="宋体" w:eastAsia="宋体" w:cs="宋体"/>
          <w:spacing w:val="-6"/>
          <w:position w:val="17"/>
          <w:sz w:val="24"/>
          <w:szCs w:val="24"/>
        </w:rPr>
        <w:t>指令文件</w:t>
      </w:r>
    </w:p>
    <w:p>
      <w:pPr>
        <w:spacing w:before="1" w:line="219" w:lineRule="auto"/>
        <w:ind w:left="41"/>
        <w:rPr>
          <w:rFonts w:ascii="宋体" w:hAnsi="宋体" w:eastAsia="宋体" w:cs="宋体"/>
          <w:sz w:val="24"/>
          <w:szCs w:val="24"/>
        </w:rPr>
      </w:pPr>
      <w:r>
        <w:rPr>
          <w:rFonts w:ascii="宋体" w:hAnsi="宋体" w:eastAsia="宋体" w:cs="宋体"/>
          <w:spacing w:val="-7"/>
          <w:sz w:val="24"/>
          <w:szCs w:val="24"/>
        </w:rPr>
        <w:t>等监理方式。</w:t>
      </w:r>
    </w:p>
    <w:p>
      <w:pPr>
        <w:spacing w:before="181" w:line="467" w:lineRule="exact"/>
        <w:ind w:left="525"/>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3</w:t>
      </w:r>
      <w:r>
        <w:rPr>
          <w:rFonts w:ascii="宋体" w:hAnsi="宋体" w:eastAsia="宋体" w:cs="宋体"/>
          <w:spacing w:val="-1"/>
          <w:position w:val="17"/>
          <w:sz w:val="24"/>
          <w:szCs w:val="24"/>
        </w:rPr>
        <w:t>）根据有关法律法规及环境保护项目合同，对实施环境保护项目的专业</w:t>
      </w:r>
    </w:p>
    <w:p>
      <w:pPr>
        <w:spacing w:before="1" w:line="219" w:lineRule="auto"/>
        <w:ind w:left="42"/>
        <w:rPr>
          <w:rFonts w:ascii="宋体" w:hAnsi="宋体" w:eastAsia="宋体" w:cs="宋体"/>
          <w:sz w:val="24"/>
          <w:szCs w:val="24"/>
        </w:rPr>
      </w:pPr>
      <w:r>
        <w:rPr>
          <w:rFonts w:ascii="宋体" w:hAnsi="宋体" w:eastAsia="宋体" w:cs="宋体"/>
          <w:spacing w:val="-7"/>
          <w:sz w:val="24"/>
          <w:szCs w:val="24"/>
        </w:rPr>
        <w:t>部门和项目承包人的工作进行抽查、</w:t>
      </w:r>
      <w:r>
        <w:rPr>
          <w:rFonts w:ascii="宋体" w:hAnsi="宋体" w:eastAsia="宋体" w:cs="宋体"/>
          <w:spacing w:val="46"/>
          <w:sz w:val="24"/>
          <w:szCs w:val="24"/>
        </w:rPr>
        <w:t xml:space="preserve"> </w:t>
      </w:r>
      <w:r>
        <w:rPr>
          <w:rFonts w:ascii="宋体" w:hAnsi="宋体" w:eastAsia="宋体" w:cs="宋体"/>
          <w:spacing w:val="-7"/>
          <w:sz w:val="24"/>
          <w:szCs w:val="24"/>
        </w:rPr>
        <w:t>监督，提出有关环境保护工作的时限；</w:t>
      </w:r>
    </w:p>
    <w:p>
      <w:pPr>
        <w:spacing w:before="181" w:line="467" w:lineRule="exact"/>
        <w:ind w:left="525"/>
        <w:rPr>
          <w:rFonts w:ascii="宋体" w:hAnsi="宋体" w:eastAsia="宋体" w:cs="宋体"/>
          <w:sz w:val="24"/>
          <w:szCs w:val="24"/>
        </w:rPr>
      </w:pPr>
      <w:r>
        <w:rPr>
          <w:rFonts w:ascii="宋体" w:hAnsi="宋体" w:eastAsia="宋体" w:cs="宋体"/>
          <w:spacing w:val="-6"/>
          <w:position w:val="17"/>
          <w:sz w:val="24"/>
          <w:szCs w:val="24"/>
        </w:rPr>
        <w:t>（</w:t>
      </w:r>
      <w:r>
        <w:rPr>
          <w:rFonts w:ascii="Times New Roman" w:hAnsi="Times New Roman" w:eastAsia="Times New Roman" w:cs="Times New Roman"/>
          <w:spacing w:val="-6"/>
          <w:position w:val="17"/>
          <w:sz w:val="24"/>
          <w:szCs w:val="24"/>
        </w:rPr>
        <w:t>4</w:t>
      </w:r>
      <w:r>
        <w:rPr>
          <w:rFonts w:ascii="宋体" w:hAnsi="宋体" w:eastAsia="宋体" w:cs="宋体"/>
          <w:spacing w:val="-6"/>
          <w:position w:val="17"/>
          <w:sz w:val="24"/>
          <w:szCs w:val="24"/>
        </w:rPr>
        <w:t>）对施工期各项环保措施进行监理，</w:t>
      </w:r>
      <w:r>
        <w:rPr>
          <w:rFonts w:ascii="宋体" w:hAnsi="宋体" w:eastAsia="宋体" w:cs="宋体"/>
          <w:spacing w:val="62"/>
          <w:position w:val="17"/>
          <w:sz w:val="24"/>
          <w:szCs w:val="24"/>
        </w:rPr>
        <w:t xml:space="preserve"> </w:t>
      </w:r>
      <w:r>
        <w:rPr>
          <w:rFonts w:ascii="宋体" w:hAnsi="宋体" w:eastAsia="宋体" w:cs="宋体"/>
          <w:spacing w:val="-6"/>
          <w:position w:val="17"/>
          <w:sz w:val="24"/>
          <w:szCs w:val="24"/>
        </w:rPr>
        <w:t>监督和检查各施工单位环保措施实</w:t>
      </w:r>
    </w:p>
    <w:p>
      <w:pPr>
        <w:spacing w:before="1" w:line="219" w:lineRule="auto"/>
        <w:ind w:left="38"/>
        <w:rPr>
          <w:rFonts w:ascii="宋体" w:hAnsi="宋体" w:eastAsia="宋体" w:cs="宋体"/>
          <w:sz w:val="24"/>
          <w:szCs w:val="24"/>
        </w:rPr>
      </w:pPr>
      <w:r>
        <w:rPr>
          <w:rFonts w:ascii="宋体" w:hAnsi="宋体" w:eastAsia="宋体" w:cs="宋体"/>
          <w:sz w:val="24"/>
          <w:szCs w:val="24"/>
        </w:rPr>
        <w:t>施情况和实际效果；检查施工单位负责的渣场、施工迹</w:t>
      </w:r>
      <w:r>
        <w:rPr>
          <w:rFonts w:ascii="宋体" w:hAnsi="宋体" w:eastAsia="宋体" w:cs="宋体"/>
          <w:spacing w:val="-1"/>
          <w:sz w:val="24"/>
          <w:szCs w:val="24"/>
        </w:rPr>
        <w:t>地的处理恢复情况。</w:t>
      </w:r>
    </w:p>
    <w:p>
      <w:pPr>
        <w:spacing w:before="181" w:line="467" w:lineRule="exact"/>
        <w:ind w:left="525"/>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5</w:t>
      </w:r>
      <w:r>
        <w:rPr>
          <w:rFonts w:ascii="宋体" w:hAnsi="宋体" w:eastAsia="宋体" w:cs="宋体"/>
          <w:spacing w:val="-1"/>
          <w:position w:val="17"/>
          <w:sz w:val="24"/>
          <w:szCs w:val="24"/>
        </w:rPr>
        <w:t>）对工程项目承包人的环境季报、年报进行审查，提出审查、修改意</w:t>
      </w:r>
    </w:p>
    <w:p>
      <w:pPr>
        <w:spacing w:before="1" w:line="219" w:lineRule="auto"/>
        <w:ind w:left="43"/>
        <w:rPr>
          <w:rFonts w:ascii="宋体" w:hAnsi="宋体" w:eastAsia="宋体" w:cs="宋体"/>
          <w:sz w:val="24"/>
          <w:szCs w:val="24"/>
        </w:rPr>
      </w:pPr>
      <w:r>
        <w:rPr>
          <w:rFonts w:ascii="宋体" w:hAnsi="宋体" w:eastAsia="宋体" w:cs="宋体"/>
          <w:spacing w:val="-12"/>
          <w:sz w:val="24"/>
          <w:szCs w:val="24"/>
        </w:rPr>
        <w:t>见。</w:t>
      </w:r>
    </w:p>
    <w:p>
      <w:pPr>
        <w:spacing w:before="181" w:line="467" w:lineRule="exact"/>
        <w:ind w:left="525"/>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6</w:t>
      </w:r>
      <w:r>
        <w:rPr>
          <w:rFonts w:ascii="宋体" w:hAnsi="宋体" w:eastAsia="宋体" w:cs="宋体"/>
          <w:spacing w:val="-1"/>
          <w:position w:val="17"/>
          <w:sz w:val="24"/>
          <w:szCs w:val="24"/>
        </w:rPr>
        <w:t>）根据有关法律法规及项目合同，协助项目环境管理机构和有关主管部</w:t>
      </w:r>
    </w:p>
    <w:p>
      <w:pPr>
        <w:spacing w:line="220" w:lineRule="auto"/>
        <w:ind w:left="66"/>
        <w:rPr>
          <w:rFonts w:ascii="宋体" w:hAnsi="宋体" w:eastAsia="宋体" w:cs="宋体"/>
          <w:sz w:val="24"/>
          <w:szCs w:val="24"/>
        </w:rPr>
      </w:pPr>
      <w:r>
        <w:rPr>
          <w:rFonts w:ascii="宋体" w:hAnsi="宋体" w:eastAsia="宋体" w:cs="宋体"/>
          <w:spacing w:val="-6"/>
          <w:sz w:val="24"/>
          <w:szCs w:val="24"/>
        </w:rPr>
        <w:t>门处理工程各种环境事故与环境纠纷；</w:t>
      </w:r>
    </w:p>
    <w:p>
      <w:pPr>
        <w:spacing w:before="181" w:line="467" w:lineRule="exact"/>
        <w:ind w:left="525"/>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7</w:t>
      </w:r>
      <w:r>
        <w:rPr>
          <w:rFonts w:ascii="宋体" w:hAnsi="宋体" w:eastAsia="宋体" w:cs="宋体"/>
          <w:spacing w:val="-1"/>
          <w:position w:val="17"/>
          <w:sz w:val="24"/>
          <w:szCs w:val="24"/>
        </w:rPr>
        <w:t>）负责落实环境监测的实施，审核有关环境监测报表，根据水质等</w:t>
      </w:r>
      <w:r>
        <w:rPr>
          <w:rFonts w:ascii="宋体" w:hAnsi="宋体" w:eastAsia="宋体" w:cs="宋体"/>
          <w:spacing w:val="-2"/>
          <w:position w:val="17"/>
          <w:sz w:val="24"/>
          <w:szCs w:val="24"/>
        </w:rPr>
        <w:t>监测</w:t>
      </w:r>
    </w:p>
    <w:p>
      <w:pPr>
        <w:spacing w:line="219" w:lineRule="auto"/>
        <w:ind w:left="45"/>
        <w:rPr>
          <w:rFonts w:ascii="宋体" w:hAnsi="宋体" w:eastAsia="宋体" w:cs="宋体"/>
          <w:sz w:val="24"/>
          <w:szCs w:val="24"/>
        </w:rPr>
      </w:pPr>
      <w:r>
        <w:rPr>
          <w:rFonts w:ascii="宋体" w:hAnsi="宋体" w:eastAsia="宋体" w:cs="宋体"/>
          <w:spacing w:val="-1"/>
          <w:sz w:val="24"/>
          <w:szCs w:val="24"/>
        </w:rPr>
        <w:t>结果，对水库工程及管理提出相应要求，尽量减少工程给环境带来的不利影</w:t>
      </w:r>
    </w:p>
    <w:p>
      <w:pPr>
        <w:spacing w:before="182" w:line="223" w:lineRule="auto"/>
        <w:ind w:left="51"/>
        <w:rPr>
          <w:rFonts w:ascii="宋体" w:hAnsi="宋体" w:eastAsia="宋体" w:cs="宋体"/>
          <w:sz w:val="24"/>
          <w:szCs w:val="24"/>
        </w:rPr>
      </w:pPr>
      <w:r>
        <w:rPr>
          <w:rFonts w:ascii="宋体" w:hAnsi="宋体" w:eastAsia="宋体" w:cs="宋体"/>
          <w:spacing w:val="-14"/>
          <w:sz w:val="24"/>
          <w:szCs w:val="24"/>
        </w:rPr>
        <w:t>响。</w:t>
      </w:r>
    </w:p>
    <w:p>
      <w:pPr>
        <w:spacing w:before="178" w:line="359" w:lineRule="auto"/>
        <w:ind w:left="37" w:right="272" w:firstLine="48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8</w:t>
      </w:r>
      <w:r>
        <w:rPr>
          <w:rFonts w:ascii="宋体" w:hAnsi="宋体" w:eastAsia="宋体" w:cs="宋体"/>
          <w:spacing w:val="-1"/>
          <w:sz w:val="24"/>
          <w:szCs w:val="24"/>
        </w:rPr>
        <w:t>）编制环境监理工作季报和年报送项目环境管理机构，对环境监理工作</w:t>
      </w:r>
      <w:r>
        <w:rPr>
          <w:rFonts w:ascii="宋体" w:hAnsi="宋体" w:eastAsia="宋体" w:cs="宋体"/>
          <w:spacing w:val="16"/>
          <w:sz w:val="24"/>
          <w:szCs w:val="24"/>
        </w:rPr>
        <w:t xml:space="preserve"> </w:t>
      </w:r>
      <w:r>
        <w:rPr>
          <w:rFonts w:ascii="宋体" w:hAnsi="宋体" w:eastAsia="宋体" w:cs="宋体"/>
          <w:sz w:val="24"/>
          <w:szCs w:val="24"/>
        </w:rPr>
        <w:t>进行总结，提出工程存在的主要环境问题和解决问题的建</w:t>
      </w:r>
      <w:r>
        <w:rPr>
          <w:rFonts w:ascii="宋体" w:hAnsi="宋体" w:eastAsia="宋体" w:cs="宋体"/>
          <w:spacing w:val="-1"/>
          <w:sz w:val="24"/>
          <w:szCs w:val="24"/>
        </w:rPr>
        <w:t>议，并说明今后环境</w:t>
      </w:r>
    </w:p>
    <w:p>
      <w:pPr>
        <w:spacing w:line="220" w:lineRule="auto"/>
        <w:ind w:left="40"/>
        <w:rPr>
          <w:rFonts w:ascii="宋体" w:hAnsi="宋体" w:eastAsia="宋体" w:cs="宋体"/>
          <w:sz w:val="24"/>
          <w:szCs w:val="24"/>
        </w:rPr>
      </w:pPr>
      <w:r>
        <w:rPr>
          <w:rFonts w:ascii="宋体" w:hAnsi="宋体" w:eastAsia="宋体" w:cs="宋体"/>
          <w:spacing w:val="-4"/>
          <w:sz w:val="24"/>
          <w:szCs w:val="24"/>
        </w:rPr>
        <w:t>监理工作安排和工作重点。</w:t>
      </w:r>
    </w:p>
    <w:p>
      <w:pPr>
        <w:spacing w:before="181" w:line="467" w:lineRule="exact"/>
        <w:ind w:left="520"/>
        <w:rPr>
          <w:rFonts w:ascii="宋体" w:hAnsi="宋体" w:eastAsia="宋体" w:cs="宋体"/>
          <w:sz w:val="24"/>
          <w:szCs w:val="24"/>
        </w:rPr>
      </w:pPr>
      <w:r>
        <w:rPr>
          <w:rFonts w:ascii="宋体" w:hAnsi="宋体" w:eastAsia="宋体" w:cs="宋体"/>
          <w:spacing w:val="-5"/>
          <w:position w:val="17"/>
          <w:sz w:val="24"/>
          <w:szCs w:val="24"/>
        </w:rPr>
        <w:t>本工程环境监理的工作内容主要包括生态环境保护、水环境</w:t>
      </w:r>
      <w:r>
        <w:rPr>
          <w:rFonts w:ascii="宋体" w:hAnsi="宋体" w:eastAsia="宋体" w:cs="宋体"/>
          <w:spacing w:val="-6"/>
          <w:position w:val="17"/>
          <w:sz w:val="24"/>
          <w:szCs w:val="24"/>
        </w:rPr>
        <w:t>、声环境、</w:t>
      </w:r>
      <w:r>
        <w:rPr>
          <w:rFonts w:ascii="宋体" w:hAnsi="宋体" w:eastAsia="宋体" w:cs="宋体"/>
          <w:spacing w:val="47"/>
          <w:position w:val="17"/>
          <w:sz w:val="24"/>
          <w:szCs w:val="24"/>
        </w:rPr>
        <w:t xml:space="preserve"> </w:t>
      </w:r>
      <w:r>
        <w:rPr>
          <w:rFonts w:ascii="宋体" w:hAnsi="宋体" w:eastAsia="宋体" w:cs="宋体"/>
          <w:spacing w:val="-6"/>
          <w:position w:val="17"/>
          <w:sz w:val="24"/>
          <w:szCs w:val="24"/>
        </w:rPr>
        <w:t>大</w:t>
      </w:r>
    </w:p>
    <w:p>
      <w:pPr>
        <w:spacing w:line="219" w:lineRule="auto"/>
        <w:ind w:left="40"/>
        <w:rPr>
          <w:rFonts w:ascii="宋体" w:hAnsi="宋体" w:eastAsia="宋体" w:cs="宋体"/>
          <w:sz w:val="24"/>
          <w:szCs w:val="24"/>
        </w:rPr>
      </w:pPr>
      <w:r>
        <w:rPr>
          <w:rFonts w:ascii="宋体" w:hAnsi="宋体" w:eastAsia="宋体" w:cs="宋体"/>
          <w:spacing w:val="-2"/>
          <w:sz w:val="24"/>
          <w:szCs w:val="24"/>
        </w:rPr>
        <w:t>气环境等方面。环境监理具体内容表见表</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pPr>
        <w:spacing w:before="176" w:line="220" w:lineRule="auto"/>
        <w:ind w:left="2997"/>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5"/>
          <w:sz w:val="21"/>
          <w:szCs w:val="21"/>
        </w:rPr>
        <w:t xml:space="preserve"> </w:t>
      </w:r>
      <w:r>
        <w:rPr>
          <w:rFonts w:ascii="Times New Roman" w:hAnsi="Times New Roman" w:eastAsia="Times New Roman" w:cs="Times New Roman"/>
          <w:b/>
          <w:bCs/>
          <w:spacing w:val="-1"/>
          <w:sz w:val="21"/>
          <w:szCs w:val="21"/>
        </w:rPr>
        <w:t xml:space="preserve">7.2-1    </w:t>
      </w:r>
      <w:r>
        <w:rPr>
          <w:rFonts w:ascii="宋体" w:hAnsi="宋体" w:eastAsia="宋体" w:cs="宋体"/>
          <w:spacing w:val="-1"/>
          <w:sz w:val="21"/>
          <w:szCs w:val="21"/>
          <w14:textOutline w14:w="3810" w14:cap="flat" w14:cmpd="sng">
            <w14:solidFill>
              <w14:srgbClr w14:val="000000"/>
            </w14:solidFill>
            <w14:prstDash w14:val="solid"/>
            <w14:miter w14:val="0"/>
          </w14:textOutline>
        </w:rPr>
        <w:t>环境监理内容一览表</w:t>
      </w:r>
    </w:p>
    <w:p>
      <w:pPr>
        <w:spacing w:line="127" w:lineRule="exact"/>
      </w:pPr>
    </w:p>
    <w:tbl>
      <w:tblPr>
        <w:tblStyle w:val="5"/>
        <w:tblW w:w="8458"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8"/>
        <w:gridCol w:w="1694"/>
        <w:gridCol w:w="5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9" w:hRule="atLeast"/>
        </w:trPr>
        <w:tc>
          <w:tcPr>
            <w:tcW w:w="1188" w:type="dxa"/>
            <w:tcBorders>
              <w:top w:val="single" w:color="000000" w:sz="12" w:space="0"/>
              <w:left w:val="nil"/>
            </w:tcBorders>
            <w:vAlign w:val="top"/>
          </w:tcPr>
          <w:p>
            <w:pPr>
              <w:spacing w:before="53" w:line="216" w:lineRule="auto"/>
              <w:ind w:left="395"/>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1694" w:type="dxa"/>
            <w:tcBorders>
              <w:top w:val="single" w:color="000000" w:sz="12" w:space="0"/>
            </w:tcBorders>
            <w:vAlign w:val="top"/>
          </w:tcPr>
          <w:p>
            <w:pPr>
              <w:spacing w:before="53" w:line="216" w:lineRule="auto"/>
              <w:ind w:left="649"/>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分项</w:t>
            </w:r>
          </w:p>
        </w:tc>
        <w:tc>
          <w:tcPr>
            <w:tcW w:w="5576" w:type="dxa"/>
            <w:tcBorders>
              <w:top w:val="single" w:color="000000" w:sz="12" w:space="0"/>
              <w:right w:val="nil"/>
            </w:tcBorders>
            <w:vAlign w:val="top"/>
          </w:tcPr>
          <w:p>
            <w:pPr>
              <w:spacing w:before="53" w:line="216" w:lineRule="auto"/>
              <w:ind w:left="2388"/>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监理内容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5" w:hRule="atLeast"/>
        </w:trPr>
        <w:tc>
          <w:tcPr>
            <w:tcW w:w="1188" w:type="dxa"/>
            <w:vMerge w:val="restart"/>
            <w:tcBorders>
              <w:left w:val="nil"/>
              <w:bottom w:val="nil"/>
            </w:tcBorders>
            <w:vAlign w:val="top"/>
          </w:tcPr>
          <w:p>
            <w:pPr>
              <w:spacing w:line="307" w:lineRule="auto"/>
              <w:rPr>
                <w:rFonts w:ascii="Arial"/>
                <w:sz w:val="21"/>
              </w:rPr>
            </w:pPr>
          </w:p>
          <w:p>
            <w:pPr>
              <w:spacing w:before="68" w:line="218" w:lineRule="auto"/>
              <w:ind w:left="289"/>
              <w:rPr>
                <w:rFonts w:ascii="仿宋" w:hAnsi="仿宋" w:eastAsia="仿宋" w:cs="仿宋"/>
                <w:sz w:val="21"/>
                <w:szCs w:val="21"/>
              </w:rPr>
            </w:pPr>
            <w:r>
              <w:rPr>
                <w:rFonts w:ascii="仿宋" w:hAnsi="仿宋" w:eastAsia="仿宋" w:cs="仿宋"/>
                <w:spacing w:val="-3"/>
                <w:sz w:val="21"/>
                <w:szCs w:val="21"/>
              </w:rPr>
              <w:t>水环境</w:t>
            </w:r>
          </w:p>
        </w:tc>
        <w:tc>
          <w:tcPr>
            <w:tcW w:w="1694" w:type="dxa"/>
            <w:vAlign w:val="top"/>
          </w:tcPr>
          <w:p>
            <w:pPr>
              <w:spacing w:before="216" w:line="219" w:lineRule="auto"/>
              <w:ind w:left="231"/>
              <w:rPr>
                <w:rFonts w:ascii="仿宋" w:hAnsi="仿宋" w:eastAsia="仿宋" w:cs="仿宋"/>
                <w:sz w:val="21"/>
                <w:szCs w:val="21"/>
              </w:rPr>
            </w:pPr>
            <w:r>
              <w:rPr>
                <w:rFonts w:ascii="仿宋" w:hAnsi="仿宋" w:eastAsia="仿宋" w:cs="仿宋"/>
                <w:spacing w:val="-4"/>
                <w:sz w:val="21"/>
                <w:szCs w:val="21"/>
              </w:rPr>
              <w:t>施工生产废水</w:t>
            </w:r>
          </w:p>
        </w:tc>
        <w:tc>
          <w:tcPr>
            <w:tcW w:w="5576" w:type="dxa"/>
            <w:tcBorders>
              <w:right w:val="nil"/>
            </w:tcBorders>
            <w:vAlign w:val="top"/>
          </w:tcPr>
          <w:p>
            <w:pPr>
              <w:spacing w:before="61" w:line="239" w:lineRule="auto"/>
              <w:ind w:left="928" w:right="181" w:hanging="726"/>
              <w:rPr>
                <w:rFonts w:ascii="仿宋" w:hAnsi="仿宋" w:eastAsia="仿宋" w:cs="仿宋"/>
                <w:sz w:val="21"/>
                <w:szCs w:val="21"/>
              </w:rPr>
            </w:pPr>
            <w:r>
              <w:rPr>
                <w:rFonts w:ascii="仿宋" w:hAnsi="仿宋" w:eastAsia="仿宋" w:cs="仿宋"/>
                <w:spacing w:val="-3"/>
                <w:sz w:val="21"/>
                <w:szCs w:val="21"/>
              </w:rPr>
              <w:t>工程施工期是否执行生产废水处理措施，检查处理效果及</w:t>
            </w:r>
            <w:r>
              <w:rPr>
                <w:rFonts w:ascii="仿宋" w:hAnsi="仿宋" w:eastAsia="仿宋" w:cs="仿宋"/>
                <w:spacing w:val="13"/>
                <w:sz w:val="21"/>
                <w:szCs w:val="21"/>
              </w:rPr>
              <w:t xml:space="preserve"> </w:t>
            </w:r>
            <w:r>
              <w:rPr>
                <w:rFonts w:ascii="仿宋" w:hAnsi="仿宋" w:eastAsia="仿宋" w:cs="仿宋"/>
                <w:spacing w:val="-4"/>
                <w:sz w:val="21"/>
                <w:szCs w:val="21"/>
              </w:rPr>
              <w:t>循环利用情况，做到全部回用，不外排。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34" w:hRule="atLeast"/>
        </w:trPr>
        <w:tc>
          <w:tcPr>
            <w:tcW w:w="1188" w:type="dxa"/>
            <w:vMerge w:val="continue"/>
            <w:tcBorders>
              <w:top w:val="nil"/>
              <w:left w:val="nil"/>
              <w:bottom w:val="single" w:color="000000" w:sz="12" w:space="0"/>
            </w:tcBorders>
            <w:vAlign w:val="top"/>
          </w:tcPr>
          <w:p>
            <w:pPr>
              <w:rPr>
                <w:rFonts w:ascii="Arial"/>
                <w:sz w:val="21"/>
              </w:rPr>
            </w:pPr>
          </w:p>
        </w:tc>
        <w:tc>
          <w:tcPr>
            <w:tcW w:w="1694" w:type="dxa"/>
            <w:tcBorders>
              <w:bottom w:val="single" w:color="000000" w:sz="12" w:space="0"/>
            </w:tcBorders>
            <w:vAlign w:val="top"/>
          </w:tcPr>
          <w:p>
            <w:pPr>
              <w:spacing w:before="73" w:line="219" w:lineRule="auto"/>
              <w:ind w:left="452"/>
              <w:rPr>
                <w:rFonts w:ascii="仿宋" w:hAnsi="仿宋" w:eastAsia="仿宋" w:cs="仿宋"/>
                <w:sz w:val="21"/>
                <w:szCs w:val="21"/>
              </w:rPr>
            </w:pPr>
            <w:r>
              <w:rPr>
                <w:rFonts w:ascii="仿宋" w:hAnsi="仿宋" w:eastAsia="仿宋" w:cs="仿宋"/>
                <w:spacing w:val="-7"/>
                <w:sz w:val="21"/>
                <w:szCs w:val="21"/>
              </w:rPr>
              <w:t>生活污水</w:t>
            </w:r>
          </w:p>
        </w:tc>
        <w:tc>
          <w:tcPr>
            <w:tcW w:w="5576" w:type="dxa"/>
            <w:tcBorders>
              <w:bottom w:val="single" w:color="000000" w:sz="12" w:space="0"/>
              <w:right w:val="nil"/>
            </w:tcBorders>
            <w:vAlign w:val="top"/>
          </w:tcPr>
          <w:p>
            <w:pPr>
              <w:spacing w:before="64" w:line="219" w:lineRule="auto"/>
              <w:ind w:left="201"/>
              <w:rPr>
                <w:rFonts w:ascii="仿宋" w:hAnsi="仿宋" w:eastAsia="仿宋" w:cs="仿宋"/>
                <w:sz w:val="21"/>
                <w:szCs w:val="21"/>
              </w:rPr>
            </w:pPr>
            <w:r>
              <w:rPr>
                <w:rFonts w:ascii="仿宋" w:hAnsi="仿宋" w:eastAsia="仿宋" w:cs="仿宋"/>
                <w:spacing w:val="-3"/>
                <w:sz w:val="21"/>
                <w:szCs w:val="21"/>
              </w:rPr>
              <w:t>施工期是否执行生活污水处理措施，检查处理效果</w:t>
            </w:r>
            <w:r>
              <w:rPr>
                <w:rFonts w:ascii="仿宋" w:hAnsi="仿宋" w:eastAsia="仿宋" w:cs="仿宋"/>
                <w:spacing w:val="-3"/>
                <w:position w:val="1"/>
                <w:sz w:val="21"/>
                <w:szCs w:val="21"/>
              </w:rPr>
              <w:t>，不外</w:t>
            </w:r>
          </w:p>
        </w:tc>
      </w:tr>
    </w:tbl>
    <w:p>
      <w:pPr>
        <w:spacing w:line="240" w:lineRule="exact"/>
        <w:rPr>
          <w:rFonts w:ascii="Arial"/>
          <w:sz w:val="20"/>
        </w:rPr>
      </w:pPr>
    </w:p>
    <w:p>
      <w:pPr>
        <w:spacing w:line="240" w:lineRule="exact"/>
        <w:rPr>
          <w:rFonts w:ascii="Arial" w:hAnsi="Arial" w:eastAsia="Arial" w:cs="Arial"/>
          <w:sz w:val="20"/>
          <w:szCs w:val="20"/>
        </w:rPr>
        <w:sectPr>
          <w:headerReference r:id="rId471" w:type="default"/>
          <w:footerReference r:id="rId472" w:type="default"/>
          <w:pgSz w:w="11907" w:h="16839"/>
          <w:pgMar w:top="1156" w:right="1552" w:bottom="1374" w:left="1770" w:header="881" w:footer="1210" w:gutter="0"/>
        </w:sectPr>
      </w:pPr>
    </w:p>
    <w:p>
      <w:pPr>
        <w:spacing w:before="41"/>
      </w:pPr>
    </w:p>
    <w:tbl>
      <w:tblPr>
        <w:tblStyle w:val="5"/>
        <w:tblW w:w="8458" w:type="dxa"/>
        <w:tblInd w:w="12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8"/>
        <w:gridCol w:w="1694"/>
        <w:gridCol w:w="55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188" w:type="dxa"/>
            <w:vMerge w:val="restart"/>
            <w:tcBorders>
              <w:top w:val="single" w:color="000000" w:sz="12" w:space="0"/>
              <w:left w:val="nil"/>
              <w:bottom w:val="nil"/>
            </w:tcBorders>
            <w:vAlign w:val="top"/>
          </w:tcPr>
          <w:p>
            <w:pPr>
              <w:rPr>
                <w:rFonts w:ascii="Arial"/>
                <w:sz w:val="21"/>
              </w:rPr>
            </w:pPr>
          </w:p>
        </w:tc>
        <w:tc>
          <w:tcPr>
            <w:tcW w:w="1694" w:type="dxa"/>
            <w:tcBorders>
              <w:top w:val="single" w:color="000000" w:sz="12" w:space="0"/>
            </w:tcBorders>
            <w:vAlign w:val="top"/>
          </w:tcPr>
          <w:p>
            <w:pPr>
              <w:rPr>
                <w:rFonts w:ascii="Arial"/>
                <w:sz w:val="21"/>
              </w:rPr>
            </w:pPr>
          </w:p>
        </w:tc>
        <w:tc>
          <w:tcPr>
            <w:tcW w:w="5576" w:type="dxa"/>
            <w:tcBorders>
              <w:top w:val="single" w:color="000000" w:sz="12" w:space="0"/>
              <w:right w:val="nil"/>
            </w:tcBorders>
            <w:vAlign w:val="top"/>
          </w:tcPr>
          <w:p>
            <w:pPr>
              <w:spacing w:before="51" w:line="218" w:lineRule="auto"/>
              <w:ind w:left="2589"/>
              <w:rPr>
                <w:rFonts w:ascii="仿宋" w:hAnsi="仿宋" w:eastAsia="仿宋" w:cs="仿宋"/>
                <w:sz w:val="21"/>
                <w:szCs w:val="21"/>
              </w:rPr>
            </w:pPr>
            <w:r>
              <w:rPr>
                <w:rFonts w:ascii="仿宋" w:hAnsi="仿宋" w:eastAsia="仿宋" w:cs="仿宋"/>
                <w:spacing w:val="-10"/>
                <w:sz w:val="21"/>
                <w:szCs w:val="21"/>
              </w:rPr>
              <w:t>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188" w:type="dxa"/>
            <w:vMerge w:val="continue"/>
            <w:tcBorders>
              <w:top w:val="nil"/>
              <w:left w:val="nil"/>
            </w:tcBorders>
            <w:vAlign w:val="top"/>
          </w:tcPr>
          <w:p>
            <w:pPr>
              <w:rPr>
                <w:rFonts w:ascii="Arial"/>
                <w:sz w:val="21"/>
              </w:rPr>
            </w:pPr>
          </w:p>
        </w:tc>
        <w:tc>
          <w:tcPr>
            <w:tcW w:w="1694" w:type="dxa"/>
            <w:vAlign w:val="top"/>
          </w:tcPr>
          <w:p>
            <w:pPr>
              <w:spacing w:before="52" w:line="218" w:lineRule="auto"/>
              <w:ind w:left="332"/>
              <w:rPr>
                <w:rFonts w:ascii="仿宋" w:hAnsi="仿宋" w:eastAsia="仿宋" w:cs="仿宋"/>
                <w:sz w:val="21"/>
                <w:szCs w:val="21"/>
              </w:rPr>
            </w:pPr>
            <w:r>
              <w:rPr>
                <w:rFonts w:ascii="仿宋" w:hAnsi="仿宋" w:eastAsia="仿宋" w:cs="仿宋"/>
                <w:spacing w:val="-3"/>
                <w:sz w:val="21"/>
                <w:szCs w:val="21"/>
              </w:rPr>
              <w:t>水资源利用</w:t>
            </w:r>
          </w:p>
        </w:tc>
        <w:tc>
          <w:tcPr>
            <w:tcW w:w="5576" w:type="dxa"/>
            <w:tcBorders>
              <w:right w:val="nil"/>
            </w:tcBorders>
            <w:vAlign w:val="top"/>
          </w:tcPr>
          <w:p>
            <w:pPr>
              <w:spacing w:before="63" w:line="195" w:lineRule="auto"/>
              <w:ind w:left="390"/>
              <w:rPr>
                <w:rFonts w:ascii="仿宋" w:hAnsi="仿宋" w:eastAsia="仿宋" w:cs="仿宋"/>
                <w:sz w:val="21"/>
                <w:szCs w:val="21"/>
              </w:rPr>
            </w:pPr>
            <w:r>
              <w:rPr>
                <w:rFonts w:ascii="仿宋" w:hAnsi="仿宋" w:eastAsia="仿宋" w:cs="仿宋"/>
                <w:spacing w:val="-1"/>
                <w:sz w:val="21"/>
                <w:szCs w:val="21"/>
              </w:rPr>
              <w:t>下游取水口水质是否达标、水量是否满足用量要求</w:t>
            </w:r>
            <w:r>
              <w:rPr>
                <w:rFonts w:ascii="仿宋" w:hAnsi="仿宋" w:eastAsia="仿宋" w:cs="仿宋"/>
                <w:spacing w:val="-1"/>
                <w:position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1188" w:type="dxa"/>
            <w:tcBorders>
              <w:left w:val="nil"/>
            </w:tcBorders>
            <w:vAlign w:val="top"/>
          </w:tcPr>
          <w:p>
            <w:pPr>
              <w:spacing w:before="211" w:line="218" w:lineRule="auto"/>
              <w:ind w:left="289"/>
              <w:rPr>
                <w:rFonts w:ascii="仿宋" w:hAnsi="仿宋" w:eastAsia="仿宋" w:cs="仿宋"/>
                <w:sz w:val="21"/>
                <w:szCs w:val="21"/>
              </w:rPr>
            </w:pPr>
            <w:r>
              <w:rPr>
                <w:rFonts w:ascii="仿宋" w:hAnsi="仿宋" w:eastAsia="仿宋" w:cs="仿宋"/>
                <w:spacing w:val="-3"/>
                <w:sz w:val="21"/>
                <w:szCs w:val="21"/>
              </w:rPr>
              <w:t>声环境</w:t>
            </w:r>
          </w:p>
        </w:tc>
        <w:tc>
          <w:tcPr>
            <w:tcW w:w="1694" w:type="dxa"/>
            <w:vAlign w:val="top"/>
          </w:tcPr>
          <w:p>
            <w:pPr>
              <w:spacing w:before="56" w:line="246" w:lineRule="auto"/>
              <w:ind w:left="544" w:right="108" w:hanging="426"/>
              <w:rPr>
                <w:rFonts w:ascii="仿宋" w:hAnsi="仿宋" w:eastAsia="仿宋" w:cs="仿宋"/>
                <w:sz w:val="21"/>
                <w:szCs w:val="21"/>
              </w:rPr>
            </w:pPr>
            <w:r>
              <w:rPr>
                <w:rFonts w:ascii="仿宋" w:hAnsi="仿宋" w:eastAsia="仿宋" w:cs="仿宋"/>
                <w:spacing w:val="-28"/>
                <w:sz w:val="21"/>
                <w:szCs w:val="21"/>
              </w:rPr>
              <w:t>施工区、施工道路</w:t>
            </w:r>
            <w:r>
              <w:rPr>
                <w:rFonts w:ascii="仿宋" w:hAnsi="仿宋" w:eastAsia="仿宋" w:cs="仿宋"/>
                <w:spacing w:val="4"/>
                <w:sz w:val="21"/>
                <w:szCs w:val="21"/>
              </w:rPr>
              <w:t xml:space="preserve"> </w:t>
            </w:r>
            <w:r>
              <w:rPr>
                <w:rFonts w:ascii="仿宋" w:hAnsi="仿宋" w:eastAsia="仿宋" w:cs="仿宋"/>
                <w:spacing w:val="-4"/>
                <w:sz w:val="21"/>
                <w:szCs w:val="21"/>
              </w:rPr>
              <w:t>及运输</w:t>
            </w:r>
          </w:p>
        </w:tc>
        <w:tc>
          <w:tcPr>
            <w:tcW w:w="5576" w:type="dxa"/>
            <w:tcBorders>
              <w:right w:val="nil"/>
            </w:tcBorders>
            <w:vAlign w:val="top"/>
          </w:tcPr>
          <w:p>
            <w:pPr>
              <w:spacing w:before="57" w:line="244" w:lineRule="auto"/>
              <w:ind w:left="510" w:right="181" w:hanging="314"/>
              <w:rPr>
                <w:rFonts w:ascii="仿宋" w:hAnsi="仿宋" w:eastAsia="仿宋" w:cs="仿宋"/>
                <w:sz w:val="21"/>
                <w:szCs w:val="21"/>
              </w:rPr>
            </w:pPr>
            <w:r>
              <w:rPr>
                <w:rFonts w:ascii="仿宋" w:hAnsi="仿宋" w:eastAsia="仿宋" w:cs="仿宋"/>
                <w:spacing w:val="-2"/>
                <w:sz w:val="21"/>
                <w:szCs w:val="21"/>
              </w:rPr>
              <w:t>施工噪声符合相应的环境噪声标准；是否规</w:t>
            </w:r>
            <w:r>
              <w:rPr>
                <w:rFonts w:ascii="仿宋" w:hAnsi="仿宋" w:eastAsia="仿宋" w:cs="仿宋"/>
                <w:spacing w:val="-3"/>
                <w:sz w:val="21"/>
                <w:szCs w:val="21"/>
              </w:rPr>
              <w:t>范施工行为和</w:t>
            </w:r>
            <w:r>
              <w:rPr>
                <w:rFonts w:ascii="仿宋" w:hAnsi="仿宋" w:eastAsia="仿宋" w:cs="仿宋"/>
                <w:sz w:val="21"/>
                <w:szCs w:val="21"/>
              </w:rPr>
              <w:t xml:space="preserve"> </w:t>
            </w:r>
            <w:r>
              <w:rPr>
                <w:rFonts w:ascii="仿宋" w:hAnsi="仿宋" w:eastAsia="仿宋" w:cs="仿宋"/>
                <w:spacing w:val="-3"/>
                <w:sz w:val="21"/>
                <w:szCs w:val="21"/>
              </w:rPr>
              <w:t>控制工时段；施工机械及车辆是否采取防治措施。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1188" w:type="dxa"/>
            <w:vMerge w:val="restart"/>
            <w:tcBorders>
              <w:left w:val="nil"/>
              <w:bottom w:val="nil"/>
            </w:tcBorders>
            <w:vAlign w:val="top"/>
          </w:tcPr>
          <w:p>
            <w:pPr>
              <w:spacing w:line="305" w:lineRule="auto"/>
              <w:rPr>
                <w:rFonts w:ascii="Arial"/>
                <w:sz w:val="21"/>
              </w:rPr>
            </w:pPr>
          </w:p>
          <w:p>
            <w:pPr>
              <w:spacing w:before="68" w:line="218" w:lineRule="auto"/>
              <w:ind w:left="189"/>
              <w:rPr>
                <w:rFonts w:ascii="仿宋" w:hAnsi="仿宋" w:eastAsia="仿宋" w:cs="仿宋"/>
                <w:sz w:val="21"/>
                <w:szCs w:val="21"/>
              </w:rPr>
            </w:pPr>
            <w:r>
              <w:rPr>
                <w:rFonts w:ascii="仿宋" w:hAnsi="仿宋" w:eastAsia="仿宋" w:cs="仿宋"/>
                <w:spacing w:val="-5"/>
                <w:sz w:val="21"/>
                <w:szCs w:val="21"/>
              </w:rPr>
              <w:t>大气环境</w:t>
            </w:r>
          </w:p>
        </w:tc>
        <w:tc>
          <w:tcPr>
            <w:tcW w:w="1694" w:type="dxa"/>
            <w:vAlign w:val="top"/>
          </w:tcPr>
          <w:p>
            <w:pPr>
              <w:spacing w:before="214" w:line="220" w:lineRule="auto"/>
              <w:ind w:left="542"/>
              <w:rPr>
                <w:rFonts w:ascii="仿宋" w:hAnsi="仿宋" w:eastAsia="仿宋" w:cs="仿宋"/>
                <w:sz w:val="21"/>
                <w:szCs w:val="21"/>
              </w:rPr>
            </w:pPr>
            <w:r>
              <w:rPr>
                <w:rFonts w:ascii="仿宋" w:hAnsi="仿宋" w:eastAsia="仿宋" w:cs="仿宋"/>
                <w:spacing w:val="-5"/>
                <w:sz w:val="21"/>
                <w:szCs w:val="21"/>
              </w:rPr>
              <w:t>施工区</w:t>
            </w:r>
          </w:p>
        </w:tc>
        <w:tc>
          <w:tcPr>
            <w:tcW w:w="5576" w:type="dxa"/>
            <w:tcBorders>
              <w:right w:val="nil"/>
            </w:tcBorders>
            <w:vAlign w:val="top"/>
          </w:tcPr>
          <w:p>
            <w:pPr>
              <w:spacing w:before="60" w:line="244" w:lineRule="auto"/>
              <w:ind w:left="719" w:right="181" w:hanging="520"/>
              <w:rPr>
                <w:rFonts w:ascii="仿宋" w:hAnsi="仿宋" w:eastAsia="仿宋" w:cs="仿宋"/>
                <w:sz w:val="21"/>
                <w:szCs w:val="21"/>
              </w:rPr>
            </w:pPr>
            <w:r>
              <w:rPr>
                <w:rFonts w:ascii="仿宋" w:hAnsi="仿宋" w:eastAsia="仿宋" w:cs="仿宋"/>
                <w:spacing w:val="-3"/>
                <w:sz w:val="21"/>
                <w:szCs w:val="21"/>
              </w:rPr>
              <w:t>大气环境符合相应的环境空气质量标准，施工机械是否采</w:t>
            </w:r>
            <w:r>
              <w:rPr>
                <w:rFonts w:ascii="仿宋" w:hAnsi="仿宋" w:eastAsia="仿宋" w:cs="仿宋"/>
                <w:spacing w:val="16"/>
                <w:sz w:val="21"/>
                <w:szCs w:val="21"/>
              </w:rPr>
              <w:t xml:space="preserve"> </w:t>
            </w:r>
            <w:r>
              <w:rPr>
                <w:rFonts w:ascii="仿宋" w:hAnsi="仿宋" w:eastAsia="仿宋" w:cs="仿宋"/>
                <w:spacing w:val="-4"/>
                <w:sz w:val="21"/>
                <w:szCs w:val="21"/>
              </w:rPr>
              <w:t>取防治措施，施工区是否采取洒水降尘措施。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188" w:type="dxa"/>
            <w:vMerge w:val="continue"/>
            <w:tcBorders>
              <w:top w:val="nil"/>
              <w:left w:val="nil"/>
            </w:tcBorders>
            <w:vAlign w:val="top"/>
          </w:tcPr>
          <w:p>
            <w:pPr>
              <w:rPr>
                <w:rFonts w:ascii="Arial"/>
                <w:sz w:val="21"/>
              </w:rPr>
            </w:pPr>
          </w:p>
        </w:tc>
        <w:tc>
          <w:tcPr>
            <w:tcW w:w="1694" w:type="dxa"/>
            <w:vAlign w:val="top"/>
          </w:tcPr>
          <w:p>
            <w:pPr>
              <w:spacing w:before="61" w:line="214" w:lineRule="auto"/>
              <w:ind w:left="440"/>
              <w:rPr>
                <w:rFonts w:ascii="仿宋" w:hAnsi="仿宋" w:eastAsia="仿宋" w:cs="仿宋"/>
                <w:sz w:val="21"/>
                <w:szCs w:val="21"/>
              </w:rPr>
            </w:pPr>
            <w:r>
              <w:rPr>
                <w:rFonts w:ascii="仿宋" w:hAnsi="仿宋" w:eastAsia="仿宋" w:cs="仿宋"/>
                <w:spacing w:val="-3"/>
                <w:sz w:val="21"/>
                <w:szCs w:val="21"/>
              </w:rPr>
              <w:t>运输道路</w:t>
            </w:r>
          </w:p>
        </w:tc>
        <w:tc>
          <w:tcPr>
            <w:tcW w:w="5576" w:type="dxa"/>
            <w:tcBorders>
              <w:right w:val="nil"/>
            </w:tcBorders>
            <w:vAlign w:val="top"/>
          </w:tcPr>
          <w:p>
            <w:pPr>
              <w:spacing w:before="62" w:line="213" w:lineRule="auto"/>
              <w:ind w:left="910"/>
              <w:rPr>
                <w:rFonts w:ascii="仿宋" w:hAnsi="仿宋" w:eastAsia="仿宋" w:cs="仿宋"/>
                <w:sz w:val="21"/>
                <w:szCs w:val="21"/>
              </w:rPr>
            </w:pPr>
            <w:r>
              <w:rPr>
                <w:rFonts w:ascii="仿宋" w:hAnsi="仿宋" w:eastAsia="仿宋" w:cs="仿宋"/>
                <w:spacing w:val="-1"/>
                <w:sz w:val="21"/>
                <w:szCs w:val="21"/>
              </w:rPr>
              <w:t>是否有防尘措施，防尘措施执行情况如何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6" w:hRule="atLeast"/>
        </w:trPr>
        <w:tc>
          <w:tcPr>
            <w:tcW w:w="1188" w:type="dxa"/>
            <w:vMerge w:val="restart"/>
            <w:tcBorders>
              <w:left w:val="nil"/>
              <w:bottom w:val="nil"/>
            </w:tcBorders>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8" w:line="218" w:lineRule="auto"/>
              <w:ind w:left="200"/>
              <w:rPr>
                <w:rFonts w:ascii="仿宋" w:hAnsi="仿宋" w:eastAsia="仿宋" w:cs="仿宋"/>
                <w:sz w:val="21"/>
                <w:szCs w:val="21"/>
              </w:rPr>
            </w:pPr>
            <w:r>
              <w:rPr>
                <w:rFonts w:ascii="仿宋" w:hAnsi="仿宋" w:eastAsia="仿宋" w:cs="仿宋"/>
                <w:spacing w:val="-5"/>
                <w:sz w:val="21"/>
                <w:szCs w:val="21"/>
              </w:rPr>
              <w:t>生态环境</w:t>
            </w:r>
          </w:p>
        </w:tc>
        <w:tc>
          <w:tcPr>
            <w:tcW w:w="1694" w:type="dxa"/>
            <w:vAlign w:val="top"/>
          </w:tcPr>
          <w:p>
            <w:pPr>
              <w:spacing w:before="220" w:line="220" w:lineRule="auto"/>
              <w:ind w:left="437"/>
              <w:rPr>
                <w:rFonts w:ascii="仿宋" w:hAnsi="仿宋" w:eastAsia="仿宋" w:cs="仿宋"/>
                <w:sz w:val="21"/>
                <w:szCs w:val="21"/>
              </w:rPr>
            </w:pPr>
            <w:r>
              <w:rPr>
                <w:rFonts w:ascii="仿宋" w:hAnsi="仿宋" w:eastAsia="仿宋" w:cs="仿宋"/>
                <w:spacing w:val="-3"/>
                <w:sz w:val="21"/>
                <w:szCs w:val="21"/>
              </w:rPr>
              <w:t>施工迹地</w:t>
            </w:r>
          </w:p>
        </w:tc>
        <w:tc>
          <w:tcPr>
            <w:tcW w:w="5576" w:type="dxa"/>
            <w:tcBorders>
              <w:right w:val="nil"/>
            </w:tcBorders>
            <w:vAlign w:val="top"/>
          </w:tcPr>
          <w:p>
            <w:pPr>
              <w:spacing w:before="65" w:line="242" w:lineRule="auto"/>
              <w:ind w:left="2493" w:right="162" w:hanging="2314"/>
              <w:rPr>
                <w:rFonts w:ascii="仿宋" w:hAnsi="仿宋" w:eastAsia="仿宋" w:cs="仿宋"/>
                <w:sz w:val="21"/>
                <w:szCs w:val="21"/>
              </w:rPr>
            </w:pPr>
            <w:r>
              <w:rPr>
                <w:rFonts w:ascii="仿宋" w:hAnsi="仿宋" w:eastAsia="仿宋" w:cs="仿宋"/>
                <w:spacing w:val="-1"/>
                <w:sz w:val="21"/>
                <w:szCs w:val="21"/>
              </w:rPr>
              <w:t>工程弃渣是否进入弃渣场，工程治理与迹地恢复措施是否</w:t>
            </w:r>
            <w:r>
              <w:rPr>
                <w:rFonts w:ascii="仿宋" w:hAnsi="仿宋" w:eastAsia="仿宋" w:cs="仿宋"/>
                <w:spacing w:val="5"/>
                <w:sz w:val="21"/>
                <w:szCs w:val="21"/>
              </w:rPr>
              <w:t xml:space="preserve"> </w:t>
            </w:r>
            <w:r>
              <w:rPr>
                <w:rFonts w:ascii="仿宋" w:hAnsi="仿宋" w:eastAsia="仿宋" w:cs="仿宋"/>
                <w:spacing w:val="-12"/>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35" w:hRule="atLeast"/>
        </w:trPr>
        <w:tc>
          <w:tcPr>
            <w:tcW w:w="1188" w:type="dxa"/>
            <w:vMerge w:val="continue"/>
            <w:tcBorders>
              <w:top w:val="nil"/>
              <w:left w:val="nil"/>
              <w:bottom w:val="nil"/>
            </w:tcBorders>
            <w:vAlign w:val="top"/>
          </w:tcPr>
          <w:p>
            <w:pPr>
              <w:rPr>
                <w:rFonts w:ascii="Arial"/>
                <w:sz w:val="21"/>
              </w:rPr>
            </w:pPr>
          </w:p>
        </w:tc>
        <w:tc>
          <w:tcPr>
            <w:tcW w:w="1694" w:type="dxa"/>
            <w:vAlign w:val="top"/>
          </w:tcPr>
          <w:p>
            <w:pPr>
              <w:spacing w:line="308" w:lineRule="auto"/>
              <w:rPr>
                <w:rFonts w:ascii="Arial"/>
                <w:sz w:val="21"/>
              </w:rPr>
            </w:pPr>
          </w:p>
          <w:p>
            <w:pPr>
              <w:spacing w:before="68" w:line="216" w:lineRule="auto"/>
              <w:ind w:left="227"/>
              <w:rPr>
                <w:rFonts w:ascii="仿宋" w:hAnsi="仿宋" w:eastAsia="仿宋" w:cs="仿宋"/>
                <w:sz w:val="21"/>
                <w:szCs w:val="21"/>
              </w:rPr>
            </w:pPr>
            <w:r>
              <w:rPr>
                <w:rFonts w:ascii="仿宋" w:hAnsi="仿宋" w:eastAsia="仿宋" w:cs="仿宋"/>
                <w:spacing w:val="-2"/>
                <w:sz w:val="21"/>
                <w:szCs w:val="21"/>
              </w:rPr>
              <w:t>植被恢复措施</w:t>
            </w:r>
          </w:p>
        </w:tc>
        <w:tc>
          <w:tcPr>
            <w:tcW w:w="5576" w:type="dxa"/>
            <w:tcBorders>
              <w:right w:val="nil"/>
            </w:tcBorders>
            <w:vAlign w:val="top"/>
          </w:tcPr>
          <w:p>
            <w:pPr>
              <w:spacing w:before="67" w:line="216" w:lineRule="auto"/>
              <w:ind w:left="175"/>
              <w:rPr>
                <w:rFonts w:ascii="仿宋" w:hAnsi="仿宋" w:eastAsia="仿宋" w:cs="仿宋"/>
                <w:sz w:val="21"/>
                <w:szCs w:val="21"/>
              </w:rPr>
            </w:pPr>
            <w:r>
              <w:rPr>
                <w:rFonts w:ascii="仿宋" w:hAnsi="仿宋" w:eastAsia="仿宋" w:cs="仿宋"/>
                <w:spacing w:val="-1"/>
                <w:sz w:val="21"/>
                <w:szCs w:val="21"/>
              </w:rPr>
              <w:t>物种选择是否符合相应的生境，工程进度是否严格符合时</w:t>
            </w:r>
          </w:p>
          <w:p>
            <w:pPr>
              <w:spacing w:before="65" w:line="217" w:lineRule="auto"/>
              <w:ind w:left="173"/>
              <w:rPr>
                <w:rFonts w:ascii="仿宋" w:hAnsi="仿宋" w:eastAsia="仿宋" w:cs="仿宋"/>
                <w:sz w:val="21"/>
                <w:szCs w:val="21"/>
              </w:rPr>
            </w:pPr>
            <w:r>
              <w:rPr>
                <w:rFonts w:ascii="仿宋" w:hAnsi="仿宋" w:eastAsia="仿宋" w:cs="仿宋"/>
                <w:spacing w:val="-1"/>
                <w:sz w:val="21"/>
                <w:szCs w:val="21"/>
              </w:rPr>
              <w:t>令，措施是否严格按设计要求，绿化数量和成活率应符合</w:t>
            </w:r>
          </w:p>
          <w:p>
            <w:pPr>
              <w:spacing w:before="65" w:line="205" w:lineRule="auto"/>
              <w:ind w:left="1543"/>
              <w:rPr>
                <w:rFonts w:ascii="仿宋" w:hAnsi="仿宋" w:eastAsia="仿宋" w:cs="仿宋"/>
                <w:sz w:val="21"/>
                <w:szCs w:val="21"/>
              </w:rPr>
            </w:pPr>
            <w:r>
              <w:rPr>
                <w:rFonts w:ascii="仿宋" w:hAnsi="仿宋" w:eastAsia="仿宋" w:cs="仿宋"/>
                <w:spacing w:val="-2"/>
                <w:sz w:val="21"/>
                <w:szCs w:val="21"/>
              </w:rPr>
              <w:t>要求，是否执行抚育和管理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25" w:hRule="atLeast"/>
        </w:trPr>
        <w:tc>
          <w:tcPr>
            <w:tcW w:w="1188" w:type="dxa"/>
            <w:vMerge w:val="continue"/>
            <w:tcBorders>
              <w:top w:val="nil"/>
              <w:left w:val="nil"/>
              <w:bottom w:val="nil"/>
            </w:tcBorders>
            <w:vAlign w:val="top"/>
          </w:tcPr>
          <w:p>
            <w:pPr>
              <w:rPr>
                <w:rFonts w:ascii="Arial"/>
                <w:sz w:val="21"/>
              </w:rPr>
            </w:pPr>
          </w:p>
        </w:tc>
        <w:tc>
          <w:tcPr>
            <w:tcW w:w="1694" w:type="dxa"/>
            <w:vAlign w:val="top"/>
          </w:tcPr>
          <w:p>
            <w:pPr>
              <w:spacing w:before="227" w:line="217" w:lineRule="auto"/>
              <w:ind w:left="437"/>
              <w:rPr>
                <w:rFonts w:ascii="仿宋" w:hAnsi="仿宋" w:eastAsia="仿宋" w:cs="仿宋"/>
                <w:sz w:val="21"/>
                <w:szCs w:val="21"/>
              </w:rPr>
            </w:pPr>
            <w:r>
              <w:rPr>
                <w:rFonts w:ascii="仿宋" w:hAnsi="仿宋" w:eastAsia="仿宋" w:cs="仿宋"/>
                <w:spacing w:val="-4"/>
                <w:sz w:val="21"/>
                <w:szCs w:val="21"/>
              </w:rPr>
              <w:t>植物保护</w:t>
            </w:r>
          </w:p>
        </w:tc>
        <w:tc>
          <w:tcPr>
            <w:tcW w:w="5576" w:type="dxa"/>
            <w:tcBorders>
              <w:right w:val="nil"/>
            </w:tcBorders>
            <w:vAlign w:val="top"/>
          </w:tcPr>
          <w:p>
            <w:pPr>
              <w:spacing w:before="73" w:line="238" w:lineRule="auto"/>
              <w:ind w:left="1235" w:right="163" w:hanging="1060"/>
              <w:rPr>
                <w:rFonts w:ascii="仿宋" w:hAnsi="仿宋" w:eastAsia="仿宋" w:cs="仿宋"/>
                <w:sz w:val="21"/>
                <w:szCs w:val="21"/>
              </w:rPr>
            </w:pPr>
            <w:r>
              <w:rPr>
                <w:rFonts w:ascii="仿宋" w:hAnsi="仿宋" w:eastAsia="仿宋" w:cs="仿宋"/>
                <w:spacing w:val="-1"/>
                <w:sz w:val="21"/>
                <w:szCs w:val="21"/>
              </w:rPr>
              <w:t>严禁超计划占地，尽量减少对工程施工区及周边区域植被</w:t>
            </w:r>
            <w:r>
              <w:rPr>
                <w:rFonts w:ascii="仿宋" w:hAnsi="仿宋" w:eastAsia="仿宋" w:cs="仿宋"/>
                <w:spacing w:val="8"/>
                <w:sz w:val="21"/>
                <w:szCs w:val="21"/>
              </w:rPr>
              <w:t xml:space="preserve"> </w:t>
            </w:r>
            <w:r>
              <w:rPr>
                <w:rFonts w:ascii="仿宋" w:hAnsi="仿宋" w:eastAsia="仿宋" w:cs="仿宋"/>
                <w:spacing w:val="-10"/>
                <w:sz w:val="21"/>
                <w:szCs w:val="21"/>
              </w:rPr>
              <w:t>的破坏， 是否存在滥砍乱伐现象。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6" w:hRule="atLeast"/>
        </w:trPr>
        <w:tc>
          <w:tcPr>
            <w:tcW w:w="1188" w:type="dxa"/>
            <w:vMerge w:val="continue"/>
            <w:tcBorders>
              <w:top w:val="nil"/>
              <w:left w:val="nil"/>
            </w:tcBorders>
            <w:vAlign w:val="top"/>
          </w:tcPr>
          <w:p>
            <w:pPr>
              <w:rPr>
                <w:rFonts w:ascii="Arial"/>
                <w:sz w:val="21"/>
              </w:rPr>
            </w:pPr>
          </w:p>
        </w:tc>
        <w:tc>
          <w:tcPr>
            <w:tcW w:w="1694" w:type="dxa"/>
            <w:vAlign w:val="top"/>
          </w:tcPr>
          <w:p>
            <w:pPr>
              <w:spacing w:before="77" w:line="201" w:lineRule="auto"/>
              <w:ind w:left="228"/>
              <w:rPr>
                <w:rFonts w:ascii="仿宋" w:hAnsi="仿宋" w:eastAsia="仿宋" w:cs="仿宋"/>
                <w:sz w:val="21"/>
                <w:szCs w:val="21"/>
              </w:rPr>
            </w:pPr>
            <w:r>
              <w:rPr>
                <w:rFonts w:ascii="仿宋" w:hAnsi="仿宋" w:eastAsia="仿宋" w:cs="仿宋"/>
                <w:spacing w:val="-2"/>
                <w:sz w:val="21"/>
                <w:szCs w:val="21"/>
              </w:rPr>
              <w:t>野生动物保护</w:t>
            </w:r>
          </w:p>
        </w:tc>
        <w:tc>
          <w:tcPr>
            <w:tcW w:w="5576" w:type="dxa"/>
            <w:tcBorders>
              <w:right w:val="nil"/>
            </w:tcBorders>
            <w:vAlign w:val="top"/>
          </w:tcPr>
          <w:p>
            <w:pPr>
              <w:spacing w:before="78" w:line="200" w:lineRule="auto"/>
              <w:ind w:left="1433"/>
              <w:rPr>
                <w:rFonts w:ascii="仿宋" w:hAnsi="仿宋" w:eastAsia="仿宋" w:cs="仿宋"/>
                <w:sz w:val="21"/>
                <w:szCs w:val="21"/>
              </w:rPr>
            </w:pPr>
            <w:r>
              <w:rPr>
                <w:rFonts w:ascii="仿宋" w:hAnsi="仿宋" w:eastAsia="仿宋" w:cs="仿宋"/>
                <w:spacing w:val="-3"/>
                <w:sz w:val="21"/>
                <w:szCs w:val="21"/>
              </w:rPr>
              <w:t>加强野生动物保护宣传教育。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5" w:hRule="atLeast"/>
        </w:trPr>
        <w:tc>
          <w:tcPr>
            <w:tcW w:w="1188" w:type="dxa"/>
            <w:vMerge w:val="restart"/>
            <w:tcBorders>
              <w:left w:val="nil"/>
              <w:bottom w:val="nil"/>
            </w:tcBorders>
            <w:vAlign w:val="top"/>
          </w:tcPr>
          <w:p>
            <w:pPr>
              <w:spacing w:before="238" w:line="220" w:lineRule="auto"/>
              <w:ind w:left="210"/>
              <w:rPr>
                <w:rFonts w:ascii="仿宋" w:hAnsi="仿宋" w:eastAsia="仿宋" w:cs="仿宋"/>
                <w:sz w:val="21"/>
                <w:szCs w:val="21"/>
              </w:rPr>
            </w:pPr>
            <w:r>
              <w:rPr>
                <w:rFonts w:ascii="仿宋" w:hAnsi="仿宋" w:eastAsia="仿宋" w:cs="仿宋"/>
                <w:spacing w:val="-7"/>
                <w:sz w:val="21"/>
                <w:szCs w:val="21"/>
              </w:rPr>
              <w:t>固废处置</w:t>
            </w:r>
          </w:p>
        </w:tc>
        <w:tc>
          <w:tcPr>
            <w:tcW w:w="1694" w:type="dxa"/>
            <w:vAlign w:val="top"/>
          </w:tcPr>
          <w:p>
            <w:pPr>
              <w:spacing w:before="77" w:line="200" w:lineRule="auto"/>
              <w:ind w:left="443"/>
              <w:rPr>
                <w:rFonts w:ascii="仿宋" w:hAnsi="仿宋" w:eastAsia="仿宋" w:cs="仿宋"/>
                <w:sz w:val="21"/>
                <w:szCs w:val="21"/>
              </w:rPr>
            </w:pPr>
            <w:r>
              <w:rPr>
                <w:rFonts w:ascii="仿宋" w:hAnsi="仿宋" w:eastAsia="仿宋" w:cs="仿宋"/>
                <w:spacing w:val="-4"/>
                <w:sz w:val="21"/>
                <w:szCs w:val="21"/>
              </w:rPr>
              <w:t>工程弃渣</w:t>
            </w:r>
          </w:p>
        </w:tc>
        <w:tc>
          <w:tcPr>
            <w:tcW w:w="5576" w:type="dxa"/>
            <w:tcBorders>
              <w:right w:val="nil"/>
            </w:tcBorders>
            <w:vAlign w:val="top"/>
          </w:tcPr>
          <w:p>
            <w:pPr>
              <w:spacing w:before="78" w:line="199" w:lineRule="auto"/>
              <w:ind w:left="1124"/>
              <w:rPr>
                <w:rFonts w:ascii="仿宋" w:hAnsi="仿宋" w:eastAsia="仿宋" w:cs="仿宋"/>
                <w:sz w:val="21"/>
                <w:szCs w:val="21"/>
              </w:rPr>
            </w:pPr>
            <w:r>
              <w:rPr>
                <w:rFonts w:ascii="仿宋" w:hAnsi="仿宋" w:eastAsia="仿宋" w:cs="仿宋"/>
                <w:spacing w:val="-3"/>
                <w:sz w:val="21"/>
                <w:szCs w:val="21"/>
              </w:rPr>
              <w:t>工程开挖弃渣是否完全进入弃渣场。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40" w:hRule="atLeast"/>
        </w:trPr>
        <w:tc>
          <w:tcPr>
            <w:tcW w:w="1188" w:type="dxa"/>
            <w:vMerge w:val="continue"/>
            <w:tcBorders>
              <w:top w:val="nil"/>
              <w:left w:val="nil"/>
              <w:bottom w:val="single" w:color="000000" w:sz="12" w:space="0"/>
            </w:tcBorders>
            <w:vAlign w:val="top"/>
          </w:tcPr>
          <w:p>
            <w:pPr>
              <w:rPr>
                <w:rFonts w:ascii="Arial"/>
                <w:sz w:val="21"/>
              </w:rPr>
            </w:pPr>
          </w:p>
        </w:tc>
        <w:tc>
          <w:tcPr>
            <w:tcW w:w="1694" w:type="dxa"/>
            <w:tcBorders>
              <w:bottom w:val="single" w:color="000000" w:sz="12" w:space="0"/>
            </w:tcBorders>
            <w:vAlign w:val="top"/>
          </w:tcPr>
          <w:p>
            <w:pPr>
              <w:spacing w:before="78" w:line="220" w:lineRule="auto"/>
              <w:ind w:left="332"/>
              <w:rPr>
                <w:rFonts w:ascii="仿宋" w:hAnsi="仿宋" w:eastAsia="仿宋" w:cs="仿宋"/>
                <w:sz w:val="21"/>
                <w:szCs w:val="21"/>
              </w:rPr>
            </w:pPr>
            <w:r>
              <w:rPr>
                <w:rFonts w:ascii="仿宋" w:hAnsi="仿宋" w:eastAsia="仿宋" w:cs="仿宋"/>
                <w:spacing w:val="-3"/>
                <w:sz w:val="21"/>
                <w:szCs w:val="21"/>
              </w:rPr>
              <w:t>施工生活区</w:t>
            </w:r>
          </w:p>
        </w:tc>
        <w:tc>
          <w:tcPr>
            <w:tcW w:w="5576" w:type="dxa"/>
            <w:tcBorders>
              <w:bottom w:val="single" w:color="000000" w:sz="12" w:space="0"/>
              <w:right w:val="nil"/>
            </w:tcBorders>
            <w:vAlign w:val="top"/>
          </w:tcPr>
          <w:p>
            <w:pPr>
              <w:spacing w:before="80" w:line="219" w:lineRule="auto"/>
              <w:ind w:left="1656"/>
              <w:rPr>
                <w:rFonts w:ascii="仿宋" w:hAnsi="仿宋" w:eastAsia="仿宋" w:cs="仿宋"/>
                <w:sz w:val="21"/>
                <w:szCs w:val="21"/>
              </w:rPr>
            </w:pPr>
            <w:r>
              <w:rPr>
                <w:rFonts w:ascii="仿宋" w:hAnsi="仿宋" w:eastAsia="仿宋" w:cs="仿宋"/>
                <w:spacing w:val="-4"/>
                <w:sz w:val="21"/>
                <w:szCs w:val="21"/>
              </w:rPr>
              <w:t>生活垃圾是否妥善处置。</w:t>
            </w:r>
          </w:p>
        </w:tc>
      </w:tr>
    </w:tbl>
    <w:p>
      <w:pPr>
        <w:spacing w:line="286"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7.2.3 </w:t>
      </w:r>
      <w:r>
        <w:rPr>
          <w:spacing w:val="-1"/>
          <w:sz w:val="24"/>
          <w:szCs w:val="24"/>
          <w14:textOutline w14:w="4354" w14:cap="flat" w14:cmpd="sng">
            <w14:solidFill>
              <w14:srgbClr w14:val="000000"/>
            </w14:solidFill>
            <w14:prstDash w14:val="solid"/>
            <w14:miter w14:val="0"/>
          </w14:textOutline>
        </w:rPr>
        <w:t>环境监理机构</w:t>
      </w:r>
    </w:p>
    <w:p>
      <w:pPr>
        <w:spacing w:before="200" w:line="219" w:lineRule="auto"/>
        <w:ind w:left="520"/>
        <w:rPr>
          <w:rFonts w:ascii="宋体" w:hAnsi="宋体" w:eastAsia="宋体" w:cs="宋体"/>
          <w:sz w:val="24"/>
          <w:szCs w:val="24"/>
        </w:rPr>
      </w:pPr>
      <w:r>
        <w:rPr>
          <w:rFonts w:ascii="宋体" w:hAnsi="宋体" w:eastAsia="宋体" w:cs="宋体"/>
          <w:spacing w:val="-2"/>
          <w:sz w:val="24"/>
          <w:szCs w:val="24"/>
        </w:rPr>
        <w:t>本工程环境监理由建设方委托具有相应资质的单位承担。</w:t>
      </w:r>
    </w:p>
    <w:p>
      <w:pPr>
        <w:spacing w:line="389" w:lineRule="auto"/>
        <w:rPr>
          <w:rFonts w:ascii="Arial"/>
          <w:sz w:val="21"/>
        </w:rPr>
      </w:pPr>
    </w:p>
    <w:p>
      <w:pPr>
        <w:pStyle w:val="2"/>
        <w:spacing w:before="87" w:line="225" w:lineRule="auto"/>
        <w:ind w:left="39"/>
        <w:outlineLvl w:val="3"/>
        <w:rPr>
          <w:sz w:val="27"/>
          <w:szCs w:val="27"/>
        </w:rPr>
      </w:pPr>
      <w:bookmarkStart w:id="49" w:name="bookmark50"/>
      <w:bookmarkEnd w:id="49"/>
      <w:r>
        <w:rPr>
          <w:rFonts w:ascii="Times New Roman" w:hAnsi="Times New Roman" w:eastAsia="Times New Roman" w:cs="Times New Roman"/>
          <w:b/>
          <w:bCs/>
          <w:spacing w:val="6"/>
          <w:sz w:val="27"/>
          <w:szCs w:val="27"/>
        </w:rPr>
        <w:t xml:space="preserve">7.3 </w:t>
      </w:r>
      <w:r>
        <w:rPr>
          <w:spacing w:val="6"/>
          <w:sz w:val="27"/>
          <w:szCs w:val="27"/>
          <w14:textOutline w14:w="5072" w14:cap="flat" w14:cmpd="sng">
            <w14:solidFill>
              <w14:srgbClr w14:val="000000"/>
            </w14:solidFill>
            <w14:prstDash w14:val="solid"/>
            <w14:miter w14:val="0"/>
          </w14:textOutline>
        </w:rPr>
        <w:t>环境管理</w:t>
      </w:r>
    </w:p>
    <w:p>
      <w:pPr>
        <w:spacing w:line="299"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7.3.1 </w:t>
      </w:r>
      <w:r>
        <w:rPr>
          <w:spacing w:val="-1"/>
          <w:sz w:val="24"/>
          <w:szCs w:val="24"/>
          <w14:textOutline w14:w="4354" w14:cap="flat" w14:cmpd="sng">
            <w14:solidFill>
              <w14:srgbClr w14:val="000000"/>
            </w14:solidFill>
            <w14:prstDash w14:val="solid"/>
            <w14:miter w14:val="0"/>
          </w14:textOutline>
        </w:rPr>
        <w:t>环境管理内容</w:t>
      </w:r>
    </w:p>
    <w:p>
      <w:pPr>
        <w:spacing w:before="199" w:line="219" w:lineRule="auto"/>
        <w:ind w:left="522"/>
        <w:rPr>
          <w:rFonts w:ascii="宋体" w:hAnsi="宋体" w:eastAsia="宋体" w:cs="宋体"/>
          <w:sz w:val="24"/>
          <w:szCs w:val="24"/>
        </w:rPr>
      </w:pPr>
      <w:r>
        <w:rPr>
          <w:rFonts w:ascii="宋体" w:hAnsi="宋体" w:eastAsia="宋体" w:cs="宋体"/>
          <w:spacing w:val="-1"/>
          <w:sz w:val="24"/>
          <w:szCs w:val="24"/>
        </w:rPr>
        <w:t>工程环境管理工作由工程建设单位（业主）负责，设立环境保护管理机</w:t>
      </w:r>
    </w:p>
    <w:p>
      <w:pPr>
        <w:spacing w:before="181" w:line="360" w:lineRule="auto"/>
        <w:ind w:left="41" w:right="392"/>
        <w:rPr>
          <w:rFonts w:ascii="宋体" w:hAnsi="宋体" w:eastAsia="宋体" w:cs="宋体"/>
          <w:sz w:val="24"/>
          <w:szCs w:val="24"/>
        </w:rPr>
      </w:pPr>
      <w:r>
        <w:rPr>
          <w:rFonts w:ascii="宋体" w:hAnsi="宋体" w:eastAsia="宋体" w:cs="宋体"/>
          <w:spacing w:val="-2"/>
          <w:sz w:val="24"/>
          <w:szCs w:val="24"/>
        </w:rPr>
        <w:t>构，参与工程建设的各施工单位应配置专业环保人员或环境监理工程师代理，</w:t>
      </w:r>
      <w:r>
        <w:rPr>
          <w:rFonts w:ascii="宋体" w:hAnsi="宋体" w:eastAsia="宋体" w:cs="宋体"/>
          <w:spacing w:val="3"/>
          <w:sz w:val="24"/>
          <w:szCs w:val="24"/>
        </w:rPr>
        <w:t xml:space="preserve"> </w:t>
      </w:r>
      <w:r>
        <w:rPr>
          <w:rFonts w:ascii="宋体" w:hAnsi="宋体" w:eastAsia="宋体" w:cs="宋体"/>
          <w:spacing w:val="-4"/>
          <w:sz w:val="24"/>
          <w:szCs w:val="24"/>
        </w:rPr>
        <w:t>按建设单位要求实施环境保护措施。 管理内容主要是根据工程环境影响评价中</w:t>
      </w:r>
    </w:p>
    <w:p>
      <w:pPr>
        <w:spacing w:line="220" w:lineRule="auto"/>
        <w:ind w:left="40"/>
        <w:rPr>
          <w:rFonts w:ascii="宋体" w:hAnsi="宋体" w:eastAsia="宋体" w:cs="宋体"/>
          <w:sz w:val="24"/>
          <w:szCs w:val="24"/>
        </w:rPr>
      </w:pPr>
      <w:r>
        <w:rPr>
          <w:rFonts w:ascii="宋体" w:hAnsi="宋体" w:eastAsia="宋体" w:cs="宋体"/>
          <w:sz w:val="24"/>
          <w:szCs w:val="24"/>
        </w:rPr>
        <w:t>提出的施工期和运行期环境保护措施，落实环境保</w:t>
      </w:r>
      <w:r>
        <w:rPr>
          <w:rFonts w:ascii="宋体" w:hAnsi="宋体" w:eastAsia="宋体" w:cs="宋体"/>
          <w:spacing w:val="-1"/>
          <w:sz w:val="24"/>
          <w:szCs w:val="24"/>
        </w:rPr>
        <w:t>护经费，实施保护对策措</w:t>
      </w:r>
    </w:p>
    <w:p>
      <w:pPr>
        <w:spacing w:before="181" w:line="359" w:lineRule="auto"/>
        <w:ind w:left="39" w:right="392" w:hanging="1"/>
        <w:rPr>
          <w:rFonts w:ascii="宋体" w:hAnsi="宋体" w:eastAsia="宋体" w:cs="宋体"/>
          <w:sz w:val="24"/>
          <w:szCs w:val="24"/>
        </w:rPr>
      </w:pPr>
      <w:r>
        <w:rPr>
          <w:rFonts w:ascii="宋体" w:hAnsi="宋体" w:eastAsia="宋体" w:cs="宋体"/>
          <w:sz w:val="24"/>
          <w:szCs w:val="24"/>
        </w:rPr>
        <w:t>施；协调政府环境管理与工程环境管理间的关系。编制施</w:t>
      </w:r>
      <w:r>
        <w:rPr>
          <w:rFonts w:ascii="宋体" w:hAnsi="宋体" w:eastAsia="宋体" w:cs="宋体"/>
          <w:spacing w:val="-1"/>
          <w:sz w:val="24"/>
          <w:szCs w:val="24"/>
        </w:rPr>
        <w:t>工期年度投资环境保</w:t>
      </w:r>
      <w:r>
        <w:rPr>
          <w:rFonts w:ascii="宋体" w:hAnsi="宋体" w:eastAsia="宋体" w:cs="宋体"/>
          <w:sz w:val="24"/>
          <w:szCs w:val="24"/>
        </w:rPr>
        <w:t xml:space="preserve"> 护工作报告、竣工验收环境保护工作执行报告和运行</w:t>
      </w:r>
      <w:r>
        <w:rPr>
          <w:rFonts w:ascii="宋体" w:hAnsi="宋体" w:eastAsia="宋体" w:cs="宋体"/>
          <w:spacing w:val="-1"/>
          <w:sz w:val="24"/>
          <w:szCs w:val="24"/>
        </w:rPr>
        <w:t>期年度投资环境保护工作</w:t>
      </w:r>
    </w:p>
    <w:p>
      <w:pPr>
        <w:spacing w:line="218" w:lineRule="auto"/>
        <w:ind w:left="37"/>
        <w:rPr>
          <w:rFonts w:ascii="宋体" w:hAnsi="宋体" w:eastAsia="宋体" w:cs="宋体"/>
          <w:sz w:val="24"/>
          <w:szCs w:val="24"/>
        </w:rPr>
      </w:pPr>
      <w:r>
        <w:rPr>
          <w:rFonts w:ascii="宋体" w:hAnsi="宋体" w:eastAsia="宋体" w:cs="宋体"/>
          <w:spacing w:val="-8"/>
          <w:sz w:val="24"/>
          <w:szCs w:val="24"/>
        </w:rPr>
        <w:t>报告等。</w:t>
      </w:r>
    </w:p>
    <w:p>
      <w:pPr>
        <w:spacing w:before="184" w:line="359" w:lineRule="auto"/>
        <w:ind w:left="39" w:right="392" w:firstLine="479"/>
        <w:rPr>
          <w:rFonts w:ascii="宋体" w:hAnsi="宋体" w:eastAsia="宋体" w:cs="宋体"/>
          <w:sz w:val="24"/>
          <w:szCs w:val="24"/>
        </w:rPr>
      </w:pPr>
      <w:r>
        <w:rPr>
          <w:rFonts w:ascii="宋体" w:hAnsi="宋体" w:eastAsia="宋体" w:cs="宋体"/>
          <w:sz w:val="24"/>
          <w:szCs w:val="24"/>
        </w:rPr>
        <w:t>对工程建设所影响的主要环境因子进行系统的监测</w:t>
      </w:r>
      <w:r>
        <w:rPr>
          <w:rFonts w:ascii="宋体" w:hAnsi="宋体" w:eastAsia="宋体" w:cs="宋体"/>
          <w:spacing w:val="-1"/>
          <w:sz w:val="24"/>
          <w:szCs w:val="24"/>
        </w:rPr>
        <w:t>，通过定量化的分析比</w:t>
      </w:r>
      <w:r>
        <w:rPr>
          <w:rFonts w:ascii="宋体" w:hAnsi="宋体" w:eastAsia="宋体" w:cs="宋体"/>
          <w:sz w:val="24"/>
          <w:szCs w:val="24"/>
        </w:rPr>
        <w:t xml:space="preserve"> 较，掌握环境质量的变化过程，为具体实施环境保护措</w:t>
      </w:r>
      <w:r>
        <w:rPr>
          <w:rFonts w:ascii="宋体" w:hAnsi="宋体" w:eastAsia="宋体" w:cs="宋体"/>
          <w:spacing w:val="-1"/>
          <w:sz w:val="24"/>
          <w:szCs w:val="24"/>
        </w:rPr>
        <w:t>施和采取某些补救措施</w:t>
      </w:r>
    </w:p>
    <w:p>
      <w:pPr>
        <w:spacing w:before="1" w:line="218" w:lineRule="auto"/>
        <w:ind w:left="40"/>
        <w:rPr>
          <w:rFonts w:ascii="宋体" w:hAnsi="宋体" w:eastAsia="宋体" w:cs="宋体"/>
          <w:sz w:val="24"/>
          <w:szCs w:val="24"/>
        </w:rPr>
      </w:pPr>
      <w:r>
        <w:rPr>
          <w:rFonts w:ascii="宋体" w:hAnsi="宋体" w:eastAsia="宋体" w:cs="宋体"/>
          <w:spacing w:val="-4"/>
          <w:sz w:val="24"/>
          <w:szCs w:val="24"/>
        </w:rPr>
        <w:t>提供依据和基本资料。</w:t>
      </w:r>
    </w:p>
    <w:p>
      <w:pPr>
        <w:spacing w:line="218" w:lineRule="auto"/>
        <w:rPr>
          <w:rFonts w:ascii="宋体" w:hAnsi="宋体" w:eastAsia="宋体" w:cs="宋体"/>
          <w:sz w:val="24"/>
          <w:szCs w:val="24"/>
        </w:rPr>
        <w:sectPr>
          <w:footerReference r:id="rId473" w:type="default"/>
          <w:pgSz w:w="11907" w:h="16839"/>
          <w:pgMar w:top="1156" w:right="1552" w:bottom="1374" w:left="1770" w:header="881" w:footer="1210" w:gutter="0"/>
        </w:sectPr>
      </w:pPr>
    </w:p>
    <w:p>
      <w:pPr>
        <w:spacing w:line="412"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7.3.2 </w:t>
      </w:r>
      <w:r>
        <w:rPr>
          <w:spacing w:val="-1"/>
          <w:sz w:val="24"/>
          <w:szCs w:val="24"/>
          <w14:textOutline w14:w="4354" w14:cap="flat" w14:cmpd="sng">
            <w14:solidFill>
              <w14:srgbClr w14:val="000000"/>
            </w14:solidFill>
            <w14:prstDash w14:val="solid"/>
            <w14:miter w14:val="0"/>
          </w14:textOutline>
        </w:rPr>
        <w:t>环境管理目标</w:t>
      </w:r>
    </w:p>
    <w:p>
      <w:pPr>
        <w:spacing w:before="201" w:line="359" w:lineRule="auto"/>
        <w:ind w:left="38" w:right="142" w:firstLine="480"/>
        <w:jc w:val="both"/>
        <w:rPr>
          <w:rFonts w:ascii="宋体" w:hAnsi="宋体" w:eastAsia="宋体" w:cs="宋体"/>
          <w:sz w:val="24"/>
          <w:szCs w:val="24"/>
        </w:rPr>
      </w:pPr>
      <w:r>
        <w:rPr>
          <w:rFonts w:ascii="宋体" w:hAnsi="宋体" w:eastAsia="宋体" w:cs="宋体"/>
          <w:spacing w:val="-6"/>
          <w:sz w:val="24"/>
          <w:szCs w:val="24"/>
        </w:rPr>
        <w:t>施工期间，</w:t>
      </w:r>
      <w:r>
        <w:rPr>
          <w:rFonts w:ascii="宋体" w:hAnsi="宋体" w:eastAsia="宋体" w:cs="宋体"/>
          <w:spacing w:val="62"/>
          <w:sz w:val="24"/>
          <w:szCs w:val="24"/>
        </w:rPr>
        <w:t xml:space="preserve"> </w:t>
      </w:r>
      <w:r>
        <w:rPr>
          <w:rFonts w:ascii="宋体" w:hAnsi="宋体" w:eastAsia="宋体" w:cs="宋体"/>
          <w:spacing w:val="-6"/>
          <w:sz w:val="24"/>
          <w:szCs w:val="24"/>
        </w:rPr>
        <w:t>保证施工废水不外排；施工现场噪声执行《建筑施工场界环境</w:t>
      </w:r>
      <w:r>
        <w:rPr>
          <w:rFonts w:ascii="宋体" w:hAnsi="宋体" w:eastAsia="宋体" w:cs="宋体"/>
          <w:sz w:val="24"/>
          <w:szCs w:val="24"/>
        </w:rPr>
        <w:t xml:space="preserve"> </w:t>
      </w:r>
      <w:r>
        <w:rPr>
          <w:rFonts w:ascii="宋体" w:hAnsi="宋体" w:eastAsia="宋体" w:cs="宋体"/>
          <w:spacing w:val="-1"/>
          <w:sz w:val="24"/>
          <w:szCs w:val="24"/>
        </w:rPr>
        <w:t>噪声排放标准（</w:t>
      </w:r>
      <w:r>
        <w:rPr>
          <w:rFonts w:ascii="Times New Roman" w:hAnsi="Times New Roman" w:eastAsia="Times New Roman" w:cs="Times New Roman"/>
          <w:spacing w:val="-1"/>
          <w:sz w:val="24"/>
          <w:szCs w:val="24"/>
        </w:rPr>
        <w:t>GB12523-2011</w:t>
      </w:r>
      <w:r>
        <w:rPr>
          <w:rFonts w:ascii="宋体" w:hAnsi="宋体" w:eastAsia="宋体" w:cs="宋体"/>
          <w:spacing w:val="-50"/>
          <w:sz w:val="24"/>
          <w:szCs w:val="24"/>
        </w:rPr>
        <w:t>）；</w:t>
      </w:r>
      <w:r>
        <w:rPr>
          <w:rFonts w:ascii="宋体" w:hAnsi="宋体" w:eastAsia="宋体" w:cs="宋体"/>
          <w:spacing w:val="-1"/>
          <w:sz w:val="24"/>
          <w:szCs w:val="24"/>
        </w:rPr>
        <w:t>施工生活区和交通干线公路旁的噪声控制在</w:t>
      </w:r>
      <w:r>
        <w:rPr>
          <w:rFonts w:ascii="宋体" w:hAnsi="宋体" w:eastAsia="宋体" w:cs="宋体"/>
          <w:sz w:val="24"/>
          <w:szCs w:val="24"/>
        </w:rPr>
        <w:t xml:space="preserve">  </w:t>
      </w:r>
      <w:r>
        <w:rPr>
          <w:rFonts w:ascii="宋体" w:hAnsi="宋体" w:eastAsia="宋体" w:cs="宋体"/>
          <w:spacing w:val="-3"/>
          <w:sz w:val="24"/>
          <w:szCs w:val="24"/>
        </w:rPr>
        <w:t>《声环境质量标准》（</w:t>
      </w:r>
      <w:r>
        <w:rPr>
          <w:rFonts w:ascii="Times New Roman" w:hAnsi="Times New Roman" w:eastAsia="Times New Roman" w:cs="Times New Roman"/>
          <w:spacing w:val="-3"/>
          <w:sz w:val="24"/>
          <w:szCs w:val="24"/>
        </w:rPr>
        <w:t>GB3096-20</w:t>
      </w:r>
      <w:r>
        <w:rPr>
          <w:rFonts w:ascii="Times New Roman" w:hAnsi="Times New Roman" w:eastAsia="Times New Roman" w:cs="Times New Roman"/>
          <w:spacing w:val="-4"/>
          <w:sz w:val="24"/>
          <w:szCs w:val="24"/>
        </w:rPr>
        <w:t>08</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类标准的要求范围内；对施工作业点的</w:t>
      </w:r>
      <w:r>
        <w:rPr>
          <w:rFonts w:ascii="宋体" w:hAnsi="宋体" w:eastAsia="宋体" w:cs="宋体"/>
          <w:sz w:val="24"/>
          <w:szCs w:val="24"/>
        </w:rPr>
        <w:t xml:space="preserve"> 施工人员，做好个人噪声防护工作。控制施工区空气环境</w:t>
      </w:r>
      <w:r>
        <w:rPr>
          <w:rFonts w:ascii="宋体" w:hAnsi="宋体" w:eastAsia="宋体" w:cs="宋体"/>
          <w:spacing w:val="-1"/>
          <w:sz w:val="24"/>
          <w:szCs w:val="24"/>
        </w:rPr>
        <w:t>质量，特别是做好施</w:t>
      </w:r>
      <w:r>
        <w:rPr>
          <w:rFonts w:ascii="宋体" w:hAnsi="宋体" w:eastAsia="宋体" w:cs="宋体"/>
          <w:sz w:val="24"/>
          <w:szCs w:val="24"/>
        </w:rPr>
        <w:t xml:space="preserve"> 工作业点粉尘污染治理防护工作。控制施工区的植被破</w:t>
      </w:r>
      <w:r>
        <w:rPr>
          <w:rFonts w:ascii="宋体" w:hAnsi="宋体" w:eastAsia="宋体" w:cs="宋体"/>
          <w:spacing w:val="-1"/>
          <w:sz w:val="24"/>
          <w:szCs w:val="24"/>
        </w:rPr>
        <w:t>坏活动，禁止狩猎和炸</w:t>
      </w:r>
      <w:r>
        <w:rPr>
          <w:rFonts w:ascii="宋体" w:hAnsi="宋体" w:eastAsia="宋体" w:cs="宋体"/>
          <w:sz w:val="24"/>
          <w:szCs w:val="24"/>
        </w:rPr>
        <w:t xml:space="preserve"> 鱼；认真监督落实工程水土保持方案，避免因水土流失</w:t>
      </w:r>
      <w:r>
        <w:rPr>
          <w:rFonts w:ascii="宋体" w:hAnsi="宋体" w:eastAsia="宋体" w:cs="宋体"/>
          <w:spacing w:val="-1"/>
          <w:sz w:val="24"/>
          <w:szCs w:val="24"/>
        </w:rPr>
        <w:t>造成施工区山体和堆渣</w:t>
      </w:r>
      <w:r>
        <w:rPr>
          <w:rFonts w:ascii="宋体" w:hAnsi="宋体" w:eastAsia="宋体" w:cs="宋体"/>
          <w:sz w:val="24"/>
          <w:szCs w:val="24"/>
        </w:rPr>
        <w:t xml:space="preserve"> </w:t>
      </w:r>
      <w:r>
        <w:rPr>
          <w:rFonts w:ascii="宋体" w:hAnsi="宋体" w:eastAsia="宋体" w:cs="宋体"/>
          <w:spacing w:val="-1"/>
          <w:sz w:val="24"/>
          <w:szCs w:val="24"/>
        </w:rPr>
        <w:t>体塌滑；严格施工管理，禁止向水体弃渣、排放污水，保证下游取水饮用水安</w:t>
      </w:r>
    </w:p>
    <w:p>
      <w:pPr>
        <w:spacing w:line="227" w:lineRule="auto"/>
        <w:ind w:left="39"/>
        <w:rPr>
          <w:rFonts w:ascii="宋体" w:hAnsi="宋体" w:eastAsia="宋体" w:cs="宋体"/>
          <w:sz w:val="24"/>
          <w:szCs w:val="24"/>
        </w:rPr>
      </w:pPr>
      <w:r>
        <w:rPr>
          <w:rFonts w:ascii="宋体" w:hAnsi="宋体" w:eastAsia="宋体" w:cs="宋体"/>
          <w:spacing w:val="-5"/>
          <w:sz w:val="24"/>
          <w:szCs w:val="24"/>
        </w:rPr>
        <w:t>全。</w:t>
      </w:r>
    </w:p>
    <w:p>
      <w:pPr>
        <w:spacing w:line="420" w:lineRule="auto"/>
        <w:rPr>
          <w:rFonts w:ascii="Arial"/>
          <w:sz w:val="21"/>
        </w:rPr>
      </w:pPr>
    </w:p>
    <w:p>
      <w:pPr>
        <w:pStyle w:val="2"/>
        <w:spacing w:before="78" w:line="233" w:lineRule="auto"/>
        <w:ind w:left="38"/>
        <w:outlineLvl w:val="3"/>
        <w:rPr>
          <w:sz w:val="24"/>
          <w:szCs w:val="24"/>
        </w:rPr>
      </w:pPr>
      <w:r>
        <w:rPr>
          <w:rFonts w:ascii="Times New Roman" w:hAnsi="Times New Roman" w:eastAsia="Times New Roman" w:cs="Times New Roman"/>
          <w:b/>
          <w:bCs/>
          <w:spacing w:val="-1"/>
          <w:sz w:val="24"/>
          <w:szCs w:val="24"/>
        </w:rPr>
        <w:t xml:space="preserve">7.3.3 </w:t>
      </w:r>
      <w:r>
        <w:rPr>
          <w:spacing w:val="-1"/>
          <w:sz w:val="24"/>
          <w:szCs w:val="24"/>
          <w14:textOutline w14:w="4354" w14:cap="flat" w14:cmpd="sng">
            <w14:solidFill>
              <w14:srgbClr w14:val="000000"/>
            </w14:solidFill>
            <w14:prstDash w14:val="solid"/>
            <w14:miter w14:val="0"/>
          </w14:textOutline>
        </w:rPr>
        <w:t>环境管理机构设置</w:t>
      </w:r>
    </w:p>
    <w:p>
      <w:pPr>
        <w:spacing w:before="199" w:line="466" w:lineRule="exact"/>
        <w:ind w:left="522"/>
        <w:rPr>
          <w:rFonts w:ascii="宋体" w:hAnsi="宋体" w:eastAsia="宋体" w:cs="宋体"/>
          <w:sz w:val="24"/>
          <w:szCs w:val="24"/>
        </w:rPr>
      </w:pPr>
      <w:r>
        <w:rPr>
          <w:rFonts w:ascii="宋体" w:hAnsi="宋体" w:eastAsia="宋体" w:cs="宋体"/>
          <w:position w:val="17"/>
          <w:sz w:val="24"/>
          <w:szCs w:val="24"/>
        </w:rPr>
        <w:t>为完成工程环境管理任务，根据有关法律法</w:t>
      </w:r>
      <w:r>
        <w:rPr>
          <w:rFonts w:ascii="宋体" w:hAnsi="宋体" w:eastAsia="宋体" w:cs="宋体"/>
          <w:spacing w:val="-1"/>
          <w:position w:val="17"/>
          <w:sz w:val="24"/>
          <w:szCs w:val="24"/>
        </w:rPr>
        <w:t>规要求和规定，本工程应设置</w:t>
      </w:r>
    </w:p>
    <w:p>
      <w:pPr>
        <w:spacing w:before="1" w:line="218" w:lineRule="auto"/>
        <w:ind w:left="39"/>
        <w:rPr>
          <w:rFonts w:ascii="宋体" w:hAnsi="宋体" w:eastAsia="宋体" w:cs="宋体"/>
          <w:sz w:val="24"/>
          <w:szCs w:val="24"/>
        </w:rPr>
      </w:pPr>
      <w:r>
        <w:rPr>
          <w:rFonts w:ascii="宋体" w:hAnsi="宋体" w:eastAsia="宋体" w:cs="宋体"/>
          <w:sz w:val="24"/>
          <w:szCs w:val="24"/>
        </w:rPr>
        <w:t>环境管理机构。结合工程环境特点，建设期的工程指</w:t>
      </w:r>
      <w:r>
        <w:rPr>
          <w:rFonts w:ascii="宋体" w:hAnsi="宋体" w:eastAsia="宋体" w:cs="宋体"/>
          <w:spacing w:val="-1"/>
          <w:sz w:val="24"/>
          <w:szCs w:val="24"/>
        </w:rPr>
        <w:t>挥部下设环境保护办公</w:t>
      </w:r>
    </w:p>
    <w:p>
      <w:pPr>
        <w:spacing w:before="182" w:line="219" w:lineRule="auto"/>
        <w:ind w:left="43"/>
        <w:rPr>
          <w:rFonts w:ascii="宋体" w:hAnsi="宋体" w:eastAsia="宋体" w:cs="宋体"/>
          <w:sz w:val="24"/>
          <w:szCs w:val="24"/>
        </w:rPr>
      </w:pPr>
      <w:r>
        <w:rPr>
          <w:rFonts w:ascii="宋体" w:hAnsi="宋体" w:eastAsia="宋体" w:cs="宋体"/>
          <w:spacing w:val="-2"/>
          <w:sz w:val="24"/>
          <w:szCs w:val="24"/>
        </w:rPr>
        <w:t>室，运行期环境管理机构为水库环境保护办公室。</w:t>
      </w:r>
    </w:p>
    <w:p>
      <w:pPr>
        <w:spacing w:before="185" w:line="359" w:lineRule="auto"/>
        <w:ind w:left="38" w:right="176" w:firstLine="480"/>
        <w:rPr>
          <w:rFonts w:ascii="宋体" w:hAnsi="宋体" w:eastAsia="宋体" w:cs="宋体"/>
          <w:sz w:val="24"/>
          <w:szCs w:val="24"/>
        </w:rPr>
      </w:pPr>
      <w:r>
        <w:rPr>
          <w:rFonts w:ascii="宋体" w:hAnsi="宋体" w:eastAsia="宋体" w:cs="宋体"/>
          <w:sz w:val="24"/>
          <w:szCs w:val="24"/>
        </w:rPr>
        <w:t>根据工程环境管理任务的阶段性，工程建设期和运</w:t>
      </w:r>
      <w:r>
        <w:rPr>
          <w:rFonts w:ascii="宋体" w:hAnsi="宋体" w:eastAsia="宋体" w:cs="宋体"/>
          <w:spacing w:val="-1"/>
          <w:sz w:val="24"/>
          <w:szCs w:val="24"/>
        </w:rPr>
        <w:t>行期环境保护办公室分</w:t>
      </w:r>
      <w:r>
        <w:rPr>
          <w:rFonts w:ascii="宋体" w:hAnsi="宋体" w:eastAsia="宋体" w:cs="宋体"/>
          <w:sz w:val="24"/>
          <w:szCs w:val="24"/>
        </w:rPr>
        <w:t xml:space="preserve"> </w:t>
      </w:r>
      <w:r>
        <w:rPr>
          <w:rFonts w:ascii="宋体" w:hAnsi="宋体" w:eastAsia="宋体" w:cs="宋体"/>
          <w:spacing w:val="-2"/>
          <w:sz w:val="24"/>
          <w:szCs w:val="24"/>
        </w:rPr>
        <w:t>别由办公室主任和环境保护、水土保持、生物等专业的人员专职或兼职组成，</w:t>
      </w:r>
      <w:r>
        <w:rPr>
          <w:rFonts w:ascii="宋体" w:hAnsi="宋体" w:eastAsia="宋体" w:cs="宋体"/>
          <w:spacing w:val="7"/>
          <w:sz w:val="24"/>
          <w:szCs w:val="24"/>
        </w:rPr>
        <w:t xml:space="preserve"> </w:t>
      </w:r>
      <w:r>
        <w:rPr>
          <w:rFonts w:ascii="宋体" w:hAnsi="宋体" w:eastAsia="宋体" w:cs="宋体"/>
          <w:sz w:val="24"/>
          <w:szCs w:val="24"/>
        </w:rPr>
        <w:t>人员费用列入本工程环境保护投资。运行期环境保护办</w:t>
      </w:r>
      <w:r>
        <w:rPr>
          <w:rFonts w:ascii="宋体" w:hAnsi="宋体" w:eastAsia="宋体" w:cs="宋体"/>
          <w:spacing w:val="-1"/>
          <w:sz w:val="24"/>
          <w:szCs w:val="24"/>
        </w:rPr>
        <w:t>公室应分别由办公室主</w:t>
      </w:r>
      <w:r>
        <w:rPr>
          <w:rFonts w:ascii="宋体" w:hAnsi="宋体" w:eastAsia="宋体" w:cs="宋体"/>
          <w:sz w:val="24"/>
          <w:szCs w:val="24"/>
        </w:rPr>
        <w:t xml:space="preserve"> 任和上岗培训后的专职人员组成，人员及费用列入管理机</w:t>
      </w:r>
      <w:r>
        <w:rPr>
          <w:rFonts w:ascii="宋体" w:hAnsi="宋体" w:eastAsia="宋体" w:cs="宋体"/>
          <w:spacing w:val="-1"/>
          <w:sz w:val="24"/>
          <w:szCs w:val="24"/>
        </w:rPr>
        <w:t>构总编制及运行费用</w:t>
      </w:r>
    </w:p>
    <w:p>
      <w:pPr>
        <w:spacing w:line="220" w:lineRule="auto"/>
        <w:ind w:left="61"/>
        <w:rPr>
          <w:rFonts w:ascii="宋体" w:hAnsi="宋体" w:eastAsia="宋体" w:cs="宋体"/>
          <w:sz w:val="24"/>
          <w:szCs w:val="24"/>
        </w:rPr>
      </w:pPr>
      <w:r>
        <w:rPr>
          <w:rFonts w:ascii="宋体" w:hAnsi="宋体" w:eastAsia="宋体" w:cs="宋体"/>
          <w:spacing w:val="-17"/>
          <w:sz w:val="24"/>
          <w:szCs w:val="24"/>
        </w:rPr>
        <w:t>中。</w:t>
      </w:r>
    </w:p>
    <w:p>
      <w:pPr>
        <w:spacing w:before="180"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）工程建设单位任务</w:t>
      </w:r>
    </w:p>
    <w:p>
      <w:pPr>
        <w:spacing w:before="181" w:line="359" w:lineRule="auto"/>
        <w:ind w:left="42" w:right="176" w:firstLine="506"/>
        <w:rPr>
          <w:rFonts w:ascii="宋体" w:hAnsi="宋体" w:eastAsia="宋体" w:cs="宋体"/>
          <w:sz w:val="24"/>
          <w:szCs w:val="24"/>
        </w:rPr>
      </w:pPr>
      <w:r>
        <w:rPr>
          <w:rFonts w:ascii="宋体" w:hAnsi="宋体" w:eastAsia="宋体" w:cs="宋体"/>
          <w:spacing w:val="-1"/>
          <w:sz w:val="24"/>
          <w:szCs w:val="24"/>
        </w:rPr>
        <w:t>由专职环境保护机构具体负责从施工至投产运行后的一系</w:t>
      </w:r>
      <w:r>
        <w:rPr>
          <w:rFonts w:ascii="宋体" w:hAnsi="宋体" w:eastAsia="宋体" w:cs="宋体"/>
          <w:spacing w:val="-2"/>
          <w:sz w:val="24"/>
          <w:szCs w:val="24"/>
        </w:rPr>
        <w:t>列有关环保管理</w:t>
      </w:r>
      <w:r>
        <w:rPr>
          <w:rFonts w:ascii="宋体" w:hAnsi="宋体" w:eastAsia="宋体" w:cs="宋体"/>
          <w:sz w:val="24"/>
          <w:szCs w:val="24"/>
        </w:rPr>
        <w:t xml:space="preserve"> </w:t>
      </w:r>
      <w:r>
        <w:rPr>
          <w:rFonts w:ascii="宋体" w:hAnsi="宋体" w:eastAsia="宋体" w:cs="宋体"/>
          <w:spacing w:val="-2"/>
          <w:sz w:val="24"/>
          <w:szCs w:val="24"/>
        </w:rPr>
        <w:t>工作，落实环境保护工作经费，对施工期和运行期环保工作进行管理和监督，</w:t>
      </w:r>
      <w:r>
        <w:rPr>
          <w:rFonts w:ascii="宋体" w:hAnsi="宋体" w:eastAsia="宋体" w:cs="宋体"/>
          <w:spacing w:val="3"/>
          <w:sz w:val="24"/>
          <w:szCs w:val="24"/>
        </w:rPr>
        <w:t xml:space="preserve"> </w:t>
      </w:r>
      <w:r>
        <w:rPr>
          <w:rFonts w:ascii="宋体" w:hAnsi="宋体" w:eastAsia="宋体" w:cs="宋体"/>
          <w:sz w:val="24"/>
          <w:szCs w:val="24"/>
        </w:rPr>
        <w:t>并负责与政府环境主管部门、保护区主管部门联</w:t>
      </w:r>
      <w:r>
        <w:rPr>
          <w:rFonts w:ascii="宋体" w:hAnsi="宋体" w:eastAsia="宋体" w:cs="宋体"/>
          <w:spacing w:val="-1"/>
          <w:sz w:val="24"/>
          <w:szCs w:val="24"/>
        </w:rPr>
        <w:t>系和协调落实环境管理事宜，</w:t>
      </w:r>
    </w:p>
    <w:p>
      <w:pPr>
        <w:spacing w:before="1" w:line="219" w:lineRule="auto"/>
        <w:ind w:left="38"/>
        <w:rPr>
          <w:rFonts w:ascii="宋体" w:hAnsi="宋体" w:eastAsia="宋体" w:cs="宋体"/>
          <w:sz w:val="24"/>
          <w:szCs w:val="24"/>
        </w:rPr>
      </w:pPr>
      <w:r>
        <w:rPr>
          <w:rFonts w:ascii="宋体" w:hAnsi="宋体" w:eastAsia="宋体" w:cs="宋体"/>
          <w:spacing w:val="-3"/>
          <w:sz w:val="24"/>
          <w:szCs w:val="24"/>
        </w:rPr>
        <w:t>接受环保主管部门的指导和监督。具体工作内容如下：</w:t>
      </w:r>
    </w:p>
    <w:p>
      <w:pPr>
        <w:spacing w:before="182" w:line="217" w:lineRule="auto"/>
        <w:ind w:left="518"/>
        <w:rPr>
          <w:rFonts w:ascii="宋体" w:hAnsi="宋体" w:eastAsia="宋体" w:cs="宋体"/>
          <w:sz w:val="24"/>
          <w:szCs w:val="24"/>
        </w:rPr>
      </w:pPr>
      <w:r>
        <w:rPr>
          <w:rFonts w:ascii="宋体" w:hAnsi="宋体" w:eastAsia="宋体" w:cs="宋体"/>
          <w:spacing w:val="-2"/>
          <w:sz w:val="24"/>
          <w:szCs w:val="24"/>
        </w:rPr>
        <w:t>①施工期</w:t>
      </w:r>
    </w:p>
    <w:p>
      <w:pPr>
        <w:spacing w:before="184" w:line="220" w:lineRule="auto"/>
        <w:ind w:left="518"/>
        <w:rPr>
          <w:rFonts w:ascii="宋体" w:hAnsi="宋体" w:eastAsia="宋体" w:cs="宋体"/>
          <w:sz w:val="24"/>
          <w:szCs w:val="24"/>
        </w:rPr>
      </w:pPr>
      <w:r>
        <w:rPr>
          <w:rFonts w:ascii="宋体" w:hAnsi="宋体" w:eastAsia="宋体" w:cs="宋体"/>
          <w:sz w:val="24"/>
          <w:szCs w:val="24"/>
        </w:rPr>
        <w:t>对工程环境保护设计内容和招标内容进行审核，委</w:t>
      </w:r>
      <w:r>
        <w:rPr>
          <w:rFonts w:ascii="宋体" w:hAnsi="宋体" w:eastAsia="宋体" w:cs="宋体"/>
          <w:spacing w:val="-1"/>
          <w:sz w:val="24"/>
          <w:szCs w:val="24"/>
        </w:rPr>
        <w:t>托工程设计单位编制</w:t>
      </w:r>
    </w:p>
    <w:p>
      <w:pPr>
        <w:spacing w:before="182" w:line="359" w:lineRule="auto"/>
        <w:ind w:left="39" w:right="68"/>
        <w:rPr>
          <w:rFonts w:ascii="宋体" w:hAnsi="宋体" w:eastAsia="宋体" w:cs="宋体"/>
          <w:sz w:val="24"/>
          <w:szCs w:val="24"/>
        </w:rPr>
      </w:pPr>
      <w:r>
        <w:rPr>
          <w:rFonts w:ascii="宋体" w:hAnsi="宋体" w:eastAsia="宋体" w:cs="宋体"/>
          <w:spacing w:val="-4"/>
          <w:sz w:val="24"/>
          <w:szCs w:val="24"/>
        </w:rPr>
        <w:t>《工程施工环保手册》；负责将环境保护措施的招标设计成果纳入招标文</w:t>
      </w:r>
      <w:r>
        <w:rPr>
          <w:rFonts w:ascii="宋体" w:hAnsi="宋体" w:eastAsia="宋体" w:cs="宋体"/>
          <w:spacing w:val="-5"/>
          <w:sz w:val="24"/>
          <w:szCs w:val="24"/>
        </w:rPr>
        <w:t>件和承</w:t>
      </w:r>
      <w:r>
        <w:rPr>
          <w:rFonts w:ascii="宋体" w:hAnsi="宋体" w:eastAsia="宋体" w:cs="宋体"/>
          <w:sz w:val="24"/>
          <w:szCs w:val="24"/>
        </w:rPr>
        <w:t xml:space="preserve"> 包商合同；制定年度环境保护工作计划；监督承包商的</w:t>
      </w:r>
      <w:r>
        <w:rPr>
          <w:rFonts w:ascii="宋体" w:hAnsi="宋体" w:eastAsia="宋体" w:cs="宋体"/>
          <w:spacing w:val="-1"/>
          <w:sz w:val="24"/>
          <w:szCs w:val="24"/>
        </w:rPr>
        <w:t>环境保护对策措施执行</w:t>
      </w:r>
    </w:p>
    <w:p>
      <w:pPr>
        <w:spacing w:before="1" w:line="218" w:lineRule="auto"/>
        <w:ind w:left="37"/>
        <w:rPr>
          <w:rFonts w:ascii="宋体" w:hAnsi="宋体" w:eastAsia="宋体" w:cs="宋体"/>
          <w:sz w:val="24"/>
          <w:szCs w:val="24"/>
        </w:rPr>
      </w:pPr>
      <w:r>
        <w:rPr>
          <w:rFonts w:ascii="宋体" w:hAnsi="宋体" w:eastAsia="宋体" w:cs="宋体"/>
          <w:sz w:val="24"/>
          <w:szCs w:val="24"/>
        </w:rPr>
        <w:t>情况；安排、协助环境监测部门进行常规及不定期的监测工</w:t>
      </w:r>
      <w:r>
        <w:rPr>
          <w:rFonts w:ascii="宋体" w:hAnsi="宋体" w:eastAsia="宋体" w:cs="宋体"/>
          <w:spacing w:val="-1"/>
          <w:sz w:val="24"/>
          <w:szCs w:val="24"/>
        </w:rPr>
        <w:t>作；督促项目环保</w:t>
      </w:r>
    </w:p>
    <w:p>
      <w:pPr>
        <w:spacing w:line="218" w:lineRule="auto"/>
        <w:rPr>
          <w:rFonts w:ascii="宋体" w:hAnsi="宋体" w:eastAsia="宋体" w:cs="宋体"/>
          <w:sz w:val="24"/>
          <w:szCs w:val="24"/>
        </w:rPr>
        <w:sectPr>
          <w:headerReference r:id="rId474" w:type="default"/>
          <w:footerReference r:id="rId475" w:type="default"/>
          <w:pgSz w:w="11907" w:h="16839"/>
          <w:pgMar w:top="1156" w:right="1768" w:bottom="1374" w:left="1770" w:header="881" w:footer="1210" w:gutter="0"/>
        </w:sectPr>
      </w:pPr>
    </w:p>
    <w:p>
      <w:pPr>
        <w:spacing w:before="319" w:line="467" w:lineRule="exact"/>
        <w:ind w:left="45"/>
        <w:rPr>
          <w:rFonts w:ascii="宋体" w:hAnsi="宋体" w:eastAsia="宋体" w:cs="宋体"/>
          <w:sz w:val="24"/>
          <w:szCs w:val="24"/>
        </w:rPr>
      </w:pPr>
      <w:r>
        <w:rPr>
          <w:rFonts w:ascii="宋体" w:hAnsi="宋体" w:eastAsia="宋体" w:cs="宋体"/>
          <w:spacing w:val="-1"/>
          <w:position w:val="17"/>
          <w:sz w:val="24"/>
          <w:szCs w:val="24"/>
        </w:rPr>
        <w:t>治理措施、管理措施的实施；督促检查项目环保设施运行情况，并提出改善环</w:t>
      </w:r>
    </w:p>
    <w:p>
      <w:pPr>
        <w:spacing w:line="219" w:lineRule="auto"/>
        <w:ind w:left="40"/>
        <w:rPr>
          <w:rFonts w:ascii="宋体" w:hAnsi="宋体" w:eastAsia="宋体" w:cs="宋体"/>
          <w:sz w:val="24"/>
          <w:szCs w:val="24"/>
        </w:rPr>
      </w:pPr>
      <w:r>
        <w:rPr>
          <w:rFonts w:ascii="宋体" w:hAnsi="宋体" w:eastAsia="宋体" w:cs="宋体"/>
          <w:sz w:val="24"/>
          <w:szCs w:val="24"/>
        </w:rPr>
        <w:t>境的对策及建议；负责职工的环保教育工作，以提</w:t>
      </w:r>
      <w:r>
        <w:rPr>
          <w:rFonts w:ascii="宋体" w:hAnsi="宋体" w:eastAsia="宋体" w:cs="宋体"/>
          <w:spacing w:val="-1"/>
          <w:sz w:val="24"/>
          <w:szCs w:val="24"/>
        </w:rPr>
        <w:t>高全体工作人员的环保意</w:t>
      </w:r>
    </w:p>
    <w:p>
      <w:pPr>
        <w:spacing w:before="181" w:line="467" w:lineRule="exact"/>
        <w:ind w:left="41"/>
        <w:rPr>
          <w:rFonts w:ascii="宋体" w:hAnsi="宋体" w:eastAsia="宋体" w:cs="宋体"/>
          <w:sz w:val="24"/>
          <w:szCs w:val="24"/>
        </w:rPr>
      </w:pPr>
      <w:r>
        <w:rPr>
          <w:rFonts w:ascii="宋体" w:hAnsi="宋体" w:eastAsia="宋体" w:cs="宋体"/>
          <w:spacing w:val="-2"/>
          <w:position w:val="17"/>
          <w:sz w:val="24"/>
          <w:szCs w:val="24"/>
        </w:rPr>
        <w:t>识；定期向上级环保部门及地方环保主管部门汇报建设项目的环保工作情况；</w:t>
      </w:r>
    </w:p>
    <w:p>
      <w:pPr>
        <w:spacing w:line="220" w:lineRule="auto"/>
        <w:ind w:left="41"/>
        <w:rPr>
          <w:rFonts w:ascii="宋体" w:hAnsi="宋体" w:eastAsia="宋体" w:cs="宋体"/>
          <w:sz w:val="24"/>
          <w:szCs w:val="24"/>
        </w:rPr>
      </w:pPr>
      <w:r>
        <w:rPr>
          <w:rFonts w:ascii="宋体" w:hAnsi="宋体" w:eastAsia="宋体" w:cs="宋体"/>
          <w:spacing w:val="-5"/>
          <w:sz w:val="24"/>
          <w:szCs w:val="24"/>
        </w:rPr>
        <w:t>落实环境保护经费。</w:t>
      </w:r>
    </w:p>
    <w:p>
      <w:pPr>
        <w:spacing w:before="180" w:line="217" w:lineRule="auto"/>
        <w:ind w:left="517"/>
        <w:rPr>
          <w:rFonts w:ascii="宋体" w:hAnsi="宋体" w:eastAsia="宋体" w:cs="宋体"/>
          <w:sz w:val="24"/>
          <w:szCs w:val="24"/>
        </w:rPr>
      </w:pPr>
      <w:r>
        <w:rPr>
          <w:rFonts w:ascii="宋体" w:hAnsi="宋体" w:eastAsia="宋体" w:cs="宋体"/>
          <w:spacing w:val="-2"/>
          <w:sz w:val="24"/>
          <w:szCs w:val="24"/>
        </w:rPr>
        <w:t>②运行期</w:t>
      </w:r>
    </w:p>
    <w:p>
      <w:pPr>
        <w:spacing w:before="185" w:line="466" w:lineRule="exact"/>
        <w:ind w:left="520"/>
        <w:rPr>
          <w:rFonts w:ascii="宋体" w:hAnsi="宋体" w:eastAsia="宋体" w:cs="宋体"/>
          <w:sz w:val="24"/>
          <w:szCs w:val="24"/>
        </w:rPr>
      </w:pPr>
      <w:r>
        <w:rPr>
          <w:rFonts w:ascii="宋体" w:hAnsi="宋体" w:eastAsia="宋体" w:cs="宋体"/>
          <w:position w:val="17"/>
          <w:sz w:val="24"/>
          <w:szCs w:val="24"/>
        </w:rPr>
        <w:t>制定年度环境保护工作计划；落实环境保护工作</w:t>
      </w:r>
      <w:r>
        <w:rPr>
          <w:rFonts w:ascii="宋体" w:hAnsi="宋体" w:eastAsia="宋体" w:cs="宋体"/>
          <w:spacing w:val="-1"/>
          <w:position w:val="17"/>
          <w:sz w:val="24"/>
          <w:szCs w:val="24"/>
        </w:rPr>
        <w:t>经费；同其它部门协调工</w:t>
      </w:r>
    </w:p>
    <w:p>
      <w:pPr>
        <w:spacing w:before="1" w:line="220" w:lineRule="auto"/>
        <w:ind w:left="40"/>
        <w:rPr>
          <w:rFonts w:ascii="宋体" w:hAnsi="宋体" w:eastAsia="宋体" w:cs="宋体"/>
          <w:sz w:val="24"/>
          <w:szCs w:val="24"/>
        </w:rPr>
      </w:pPr>
      <w:r>
        <w:rPr>
          <w:rFonts w:ascii="宋体" w:hAnsi="宋体" w:eastAsia="宋体" w:cs="宋体"/>
          <w:spacing w:val="-3"/>
          <w:sz w:val="24"/>
          <w:szCs w:val="24"/>
        </w:rPr>
        <w:t>作关系，安排环境监测工作。</w:t>
      </w:r>
    </w:p>
    <w:p>
      <w:pPr>
        <w:spacing w:before="180"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）工程施工单位任务</w:t>
      </w:r>
    </w:p>
    <w:p>
      <w:pPr>
        <w:spacing w:before="182" w:line="359" w:lineRule="auto"/>
        <w:ind w:left="40" w:right="177" w:firstLine="478"/>
        <w:rPr>
          <w:rFonts w:ascii="宋体" w:hAnsi="宋体" w:eastAsia="宋体" w:cs="宋体"/>
          <w:sz w:val="24"/>
          <w:szCs w:val="24"/>
        </w:rPr>
      </w:pPr>
      <w:r>
        <w:rPr>
          <w:rFonts w:ascii="宋体" w:hAnsi="宋体" w:eastAsia="宋体" w:cs="宋体"/>
          <w:sz w:val="24"/>
          <w:szCs w:val="24"/>
        </w:rPr>
        <w:t>在工程施工单位内部设置环保机构，具体负责实施</w:t>
      </w:r>
      <w:r>
        <w:rPr>
          <w:rFonts w:ascii="宋体" w:hAnsi="宋体" w:eastAsia="宋体" w:cs="宋体"/>
          <w:spacing w:val="-1"/>
          <w:sz w:val="24"/>
          <w:szCs w:val="24"/>
        </w:rPr>
        <w:t>招标文件中规定的环境</w:t>
      </w:r>
      <w:r>
        <w:rPr>
          <w:rFonts w:ascii="宋体" w:hAnsi="宋体" w:eastAsia="宋体" w:cs="宋体"/>
          <w:sz w:val="24"/>
          <w:szCs w:val="24"/>
        </w:rPr>
        <w:t xml:space="preserve"> 保护对策和措施，接受工程建设单位和工程监理单</w:t>
      </w:r>
      <w:r>
        <w:rPr>
          <w:rFonts w:ascii="宋体" w:hAnsi="宋体" w:eastAsia="宋体" w:cs="宋体"/>
          <w:spacing w:val="-1"/>
          <w:sz w:val="24"/>
          <w:szCs w:val="24"/>
        </w:rPr>
        <w:t>位的监督和管理。主要工作</w:t>
      </w:r>
    </w:p>
    <w:p>
      <w:pPr>
        <w:spacing w:before="1" w:line="219" w:lineRule="auto"/>
        <w:ind w:left="68"/>
        <w:rPr>
          <w:rFonts w:ascii="宋体" w:hAnsi="宋体" w:eastAsia="宋体" w:cs="宋体"/>
          <w:sz w:val="24"/>
          <w:szCs w:val="24"/>
        </w:rPr>
      </w:pPr>
      <w:r>
        <w:rPr>
          <w:rFonts w:ascii="宋体" w:hAnsi="宋体" w:eastAsia="宋体" w:cs="宋体"/>
          <w:spacing w:val="-15"/>
          <w:sz w:val="24"/>
          <w:szCs w:val="24"/>
        </w:rPr>
        <w:t>内容如下：</w:t>
      </w:r>
    </w:p>
    <w:p>
      <w:pPr>
        <w:spacing w:before="182" w:line="359" w:lineRule="auto"/>
        <w:ind w:left="39" w:right="176" w:firstLine="480"/>
        <w:rPr>
          <w:rFonts w:ascii="宋体" w:hAnsi="宋体" w:eastAsia="宋体" w:cs="宋体"/>
          <w:sz w:val="24"/>
          <w:szCs w:val="24"/>
        </w:rPr>
      </w:pPr>
      <w:r>
        <w:rPr>
          <w:rFonts w:ascii="宋体" w:hAnsi="宋体" w:eastAsia="宋体" w:cs="宋体"/>
          <w:sz w:val="24"/>
          <w:szCs w:val="24"/>
        </w:rPr>
        <w:t>根据合同及招标文件中环境保护措施的具体要求，</w:t>
      </w:r>
      <w:r>
        <w:rPr>
          <w:rFonts w:ascii="宋体" w:hAnsi="宋体" w:eastAsia="宋体" w:cs="宋体"/>
          <w:spacing w:val="-1"/>
          <w:sz w:val="24"/>
          <w:szCs w:val="24"/>
        </w:rPr>
        <w:t>制定工程年度环境保护</w:t>
      </w:r>
      <w:r>
        <w:rPr>
          <w:rFonts w:ascii="宋体" w:hAnsi="宋体" w:eastAsia="宋体" w:cs="宋体"/>
          <w:sz w:val="24"/>
          <w:szCs w:val="24"/>
        </w:rPr>
        <w:t xml:space="preserve"> 措施落实工作计划；实施工程环境保护措施，协助建设</w:t>
      </w:r>
      <w:r>
        <w:rPr>
          <w:rFonts w:ascii="宋体" w:hAnsi="宋体" w:eastAsia="宋体" w:cs="宋体"/>
          <w:spacing w:val="-1"/>
          <w:sz w:val="24"/>
          <w:szCs w:val="24"/>
        </w:rPr>
        <w:t>单位环境管理机构处理</w:t>
      </w:r>
      <w:r>
        <w:rPr>
          <w:rFonts w:ascii="宋体" w:hAnsi="宋体" w:eastAsia="宋体" w:cs="宋体"/>
          <w:sz w:val="24"/>
          <w:szCs w:val="24"/>
        </w:rPr>
        <w:t xml:space="preserve"> </w:t>
      </w:r>
      <w:r>
        <w:rPr>
          <w:rFonts w:ascii="宋体" w:hAnsi="宋体" w:eastAsia="宋体" w:cs="宋体"/>
          <w:spacing w:val="-1"/>
          <w:sz w:val="24"/>
          <w:szCs w:val="24"/>
        </w:rPr>
        <w:t>实施过程中的有关问题；检查环境保护设施的建设进度、质量、运行状况；核</w:t>
      </w:r>
    </w:p>
    <w:p>
      <w:pPr>
        <w:spacing w:line="219" w:lineRule="auto"/>
        <w:ind w:left="41"/>
        <w:rPr>
          <w:rFonts w:ascii="宋体" w:hAnsi="宋体" w:eastAsia="宋体" w:cs="宋体"/>
          <w:sz w:val="24"/>
          <w:szCs w:val="24"/>
        </w:rPr>
      </w:pPr>
      <w:r>
        <w:rPr>
          <w:rFonts w:ascii="宋体" w:hAnsi="宋体" w:eastAsia="宋体" w:cs="宋体"/>
          <w:spacing w:val="-2"/>
          <w:sz w:val="24"/>
          <w:szCs w:val="24"/>
        </w:rPr>
        <w:t>算年度环境保护费用使用情况；其他涉及环境保护的日常事务。</w:t>
      </w:r>
    </w:p>
    <w:p>
      <w:pPr>
        <w:spacing w:before="182"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）工程设计单位任务</w:t>
      </w:r>
    </w:p>
    <w:p>
      <w:pPr>
        <w:spacing w:before="181" w:line="359" w:lineRule="auto"/>
        <w:ind w:left="41" w:right="176" w:firstLine="487"/>
        <w:rPr>
          <w:rFonts w:ascii="宋体" w:hAnsi="宋体" w:eastAsia="宋体" w:cs="宋体"/>
          <w:sz w:val="24"/>
          <w:szCs w:val="24"/>
        </w:rPr>
      </w:pPr>
      <w:r>
        <w:rPr>
          <w:rFonts w:ascii="宋体" w:hAnsi="宋体" w:eastAsia="宋体" w:cs="宋体"/>
          <w:spacing w:val="-1"/>
          <w:sz w:val="24"/>
          <w:szCs w:val="24"/>
        </w:rPr>
        <w:t>负责解释该工程可行性研究设计报告中有关环评和环境保护措施规划设计</w:t>
      </w:r>
      <w:r>
        <w:rPr>
          <w:rFonts w:ascii="宋体" w:hAnsi="宋体" w:eastAsia="宋体" w:cs="宋体"/>
          <w:spacing w:val="13"/>
          <w:sz w:val="24"/>
          <w:szCs w:val="24"/>
        </w:rPr>
        <w:t xml:space="preserve"> </w:t>
      </w:r>
      <w:r>
        <w:rPr>
          <w:rFonts w:ascii="宋体" w:hAnsi="宋体" w:eastAsia="宋体" w:cs="宋体"/>
          <w:sz w:val="24"/>
          <w:szCs w:val="24"/>
        </w:rPr>
        <w:t>文件。在工程施工阶段和运行阶段，工程设计单位</w:t>
      </w:r>
      <w:r>
        <w:rPr>
          <w:rFonts w:ascii="宋体" w:hAnsi="宋体" w:eastAsia="宋体" w:cs="宋体"/>
          <w:spacing w:val="-1"/>
          <w:sz w:val="24"/>
          <w:szCs w:val="24"/>
        </w:rPr>
        <w:t>可为建设单位和施工单位提</w:t>
      </w:r>
    </w:p>
    <w:p>
      <w:pPr>
        <w:spacing w:before="1" w:line="218" w:lineRule="auto"/>
        <w:ind w:left="39"/>
        <w:rPr>
          <w:rFonts w:ascii="宋体" w:hAnsi="宋体" w:eastAsia="宋体" w:cs="宋体"/>
          <w:sz w:val="24"/>
          <w:szCs w:val="24"/>
        </w:rPr>
      </w:pPr>
      <w:r>
        <w:rPr>
          <w:rFonts w:ascii="宋体" w:hAnsi="宋体" w:eastAsia="宋体" w:cs="宋体"/>
          <w:spacing w:val="-6"/>
          <w:sz w:val="24"/>
          <w:szCs w:val="24"/>
        </w:rPr>
        <w:t>供技术咨询。</w:t>
      </w:r>
    </w:p>
    <w:p>
      <w:pPr>
        <w:spacing w:before="182"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4</w:t>
      </w:r>
      <w:r>
        <w:rPr>
          <w:rFonts w:ascii="宋体" w:hAnsi="宋体" w:eastAsia="宋体" w:cs="宋体"/>
          <w:spacing w:val="-3"/>
          <w:sz w:val="24"/>
          <w:szCs w:val="24"/>
        </w:rPr>
        <w:t>）监理单位任务</w:t>
      </w:r>
    </w:p>
    <w:p>
      <w:pPr>
        <w:spacing w:before="182" w:line="359" w:lineRule="auto"/>
        <w:ind w:left="40" w:right="176" w:firstLine="483"/>
        <w:rPr>
          <w:rFonts w:ascii="宋体" w:hAnsi="宋体" w:eastAsia="宋体" w:cs="宋体"/>
          <w:sz w:val="24"/>
          <w:szCs w:val="24"/>
        </w:rPr>
      </w:pPr>
      <w:r>
        <w:rPr>
          <w:rFonts w:ascii="宋体" w:hAnsi="宋体" w:eastAsia="宋体" w:cs="宋体"/>
          <w:spacing w:val="-1"/>
          <w:sz w:val="24"/>
          <w:szCs w:val="24"/>
        </w:rPr>
        <w:t>受工程业主单位委托，在施工期间对工程施工质量进行现场监理。其中应</w:t>
      </w:r>
      <w:r>
        <w:rPr>
          <w:rFonts w:ascii="宋体" w:hAnsi="宋体" w:eastAsia="宋体" w:cs="宋体"/>
          <w:spacing w:val="16"/>
          <w:sz w:val="24"/>
          <w:szCs w:val="24"/>
        </w:rPr>
        <w:t xml:space="preserve"> </w:t>
      </w:r>
      <w:r>
        <w:rPr>
          <w:rFonts w:ascii="宋体" w:hAnsi="宋体" w:eastAsia="宋体" w:cs="宋体"/>
          <w:sz w:val="24"/>
          <w:szCs w:val="24"/>
        </w:rPr>
        <w:t>有专职或兼职监理工程师负责对施工单位环境保护、</w:t>
      </w:r>
      <w:r>
        <w:rPr>
          <w:rFonts w:ascii="宋体" w:hAnsi="宋体" w:eastAsia="宋体" w:cs="宋体"/>
          <w:spacing w:val="-1"/>
          <w:sz w:val="24"/>
          <w:szCs w:val="24"/>
        </w:rPr>
        <w:t>水土保持工程措施实施情</w:t>
      </w:r>
    </w:p>
    <w:p>
      <w:pPr>
        <w:spacing w:line="219" w:lineRule="auto"/>
        <w:ind w:left="41"/>
        <w:rPr>
          <w:rFonts w:ascii="宋体" w:hAnsi="宋体" w:eastAsia="宋体" w:cs="宋体"/>
          <w:sz w:val="24"/>
          <w:szCs w:val="24"/>
        </w:rPr>
      </w:pPr>
      <w:r>
        <w:rPr>
          <w:rFonts w:ascii="宋体" w:hAnsi="宋体" w:eastAsia="宋体" w:cs="宋体"/>
          <w:spacing w:val="-2"/>
          <w:sz w:val="24"/>
          <w:szCs w:val="24"/>
        </w:rPr>
        <w:t>况进行现场监理，配合建设单位做好工程的环境保护管理工作。</w:t>
      </w:r>
    </w:p>
    <w:p>
      <w:pPr>
        <w:spacing w:line="386" w:lineRule="auto"/>
        <w:rPr>
          <w:rFonts w:ascii="Arial"/>
          <w:sz w:val="21"/>
        </w:rPr>
      </w:pPr>
    </w:p>
    <w:p>
      <w:pPr>
        <w:pStyle w:val="2"/>
        <w:spacing w:before="89" w:line="225" w:lineRule="auto"/>
        <w:ind w:left="39"/>
        <w:outlineLvl w:val="3"/>
        <w:rPr>
          <w:sz w:val="27"/>
          <w:szCs w:val="27"/>
        </w:rPr>
      </w:pPr>
      <w:bookmarkStart w:id="50" w:name="bookmark51"/>
      <w:bookmarkEnd w:id="50"/>
      <w:r>
        <w:rPr>
          <w:rFonts w:ascii="Times New Roman" w:hAnsi="Times New Roman" w:eastAsia="Times New Roman" w:cs="Times New Roman"/>
          <w:b/>
          <w:bCs/>
          <w:spacing w:val="7"/>
          <w:sz w:val="27"/>
          <w:szCs w:val="27"/>
        </w:rPr>
        <w:t xml:space="preserve">7.4 </w:t>
      </w:r>
      <w:r>
        <w:rPr>
          <w:spacing w:val="7"/>
          <w:sz w:val="27"/>
          <w:szCs w:val="27"/>
          <w14:textOutline w14:w="5072" w14:cap="flat" w14:cmpd="sng">
            <w14:solidFill>
              <w14:srgbClr w14:val="000000"/>
            </w14:solidFill>
            <w14:prstDash w14:val="solid"/>
            <w14:miter w14:val="0"/>
          </w14:textOutline>
        </w:rPr>
        <w:t>竣工环境保护验收</w:t>
      </w:r>
    </w:p>
    <w:p>
      <w:pPr>
        <w:spacing w:before="207" w:line="220" w:lineRule="auto"/>
        <w:ind w:left="523"/>
        <w:rPr>
          <w:rFonts w:ascii="宋体" w:hAnsi="宋体" w:eastAsia="宋体" w:cs="宋体"/>
          <w:sz w:val="24"/>
          <w:szCs w:val="24"/>
        </w:rPr>
      </w:pPr>
      <w:r>
        <w:rPr>
          <w:rFonts w:ascii="宋体" w:hAnsi="宋体" w:eastAsia="宋体" w:cs="宋体"/>
          <w:spacing w:val="-3"/>
          <w:sz w:val="24"/>
          <w:szCs w:val="24"/>
        </w:rPr>
        <w:t>项目竣工环境保护措验收项目见表</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7.4-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line="220" w:lineRule="auto"/>
        <w:rPr>
          <w:rFonts w:ascii="宋体" w:hAnsi="宋体" w:eastAsia="宋体" w:cs="宋体"/>
          <w:sz w:val="24"/>
          <w:szCs w:val="24"/>
        </w:rPr>
        <w:sectPr>
          <w:footerReference r:id="rId476" w:type="default"/>
          <w:pgSz w:w="11907" w:h="16839"/>
          <w:pgMar w:top="1156" w:right="1768" w:bottom="1374" w:left="1770" w:header="881" w:footer="1210" w:gutter="0"/>
        </w:sectPr>
      </w:pPr>
    </w:p>
    <w:p>
      <w:pPr>
        <w:spacing w:line="243" w:lineRule="auto"/>
        <w:rPr>
          <w:rFonts w:ascii="Arial"/>
          <w:sz w:val="21"/>
        </w:rPr>
      </w:pPr>
    </w:p>
    <w:p>
      <w:pPr>
        <w:spacing w:before="68" w:line="220" w:lineRule="auto"/>
        <w:ind w:left="2575"/>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1"/>
          <w:sz w:val="21"/>
          <w:szCs w:val="21"/>
        </w:rPr>
        <w:t xml:space="preserve"> </w:t>
      </w:r>
      <w:r>
        <w:rPr>
          <w:rFonts w:ascii="Times New Roman" w:hAnsi="Times New Roman" w:eastAsia="Times New Roman" w:cs="Times New Roman"/>
          <w:b/>
          <w:bCs/>
          <w:spacing w:val="-1"/>
          <w:sz w:val="21"/>
          <w:szCs w:val="21"/>
        </w:rPr>
        <w:t xml:space="preserve">7.4-1    </w:t>
      </w:r>
      <w:r>
        <w:rPr>
          <w:rFonts w:ascii="宋体" w:hAnsi="宋体" w:eastAsia="宋体" w:cs="宋体"/>
          <w:spacing w:val="-1"/>
          <w:sz w:val="21"/>
          <w:szCs w:val="21"/>
          <w14:textOutline w14:w="3810" w14:cap="flat" w14:cmpd="sng">
            <w14:solidFill>
              <w14:srgbClr w14:val="000000"/>
            </w14:solidFill>
            <w14:prstDash w14:val="solid"/>
            <w14:miter w14:val="0"/>
          </w14:textOutline>
        </w:rPr>
        <w:t>竣工环境保护验收一览表</w:t>
      </w:r>
    </w:p>
    <w:p>
      <w:pPr>
        <w:spacing w:line="127" w:lineRule="exact"/>
      </w:pPr>
    </w:p>
    <w:tbl>
      <w:tblPr>
        <w:tblStyle w:val="5"/>
        <w:tblW w:w="8920"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1"/>
        <w:gridCol w:w="1074"/>
        <w:gridCol w:w="1560"/>
        <w:gridCol w:w="3709"/>
        <w:gridCol w:w="20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46" w:hRule="atLeast"/>
        </w:trPr>
        <w:tc>
          <w:tcPr>
            <w:tcW w:w="531" w:type="dxa"/>
            <w:tcBorders>
              <w:top w:val="single" w:color="000000" w:sz="12" w:space="0"/>
              <w:left w:val="nil"/>
            </w:tcBorders>
            <w:vAlign w:val="top"/>
          </w:tcPr>
          <w:p>
            <w:pPr>
              <w:spacing w:before="11" w:line="197" w:lineRule="auto"/>
              <w:ind w:left="78"/>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1074" w:type="dxa"/>
            <w:tcBorders>
              <w:top w:val="single" w:color="000000" w:sz="12" w:space="0"/>
            </w:tcBorders>
            <w:vAlign w:val="top"/>
          </w:tcPr>
          <w:p>
            <w:pPr>
              <w:spacing w:before="11" w:line="197" w:lineRule="auto"/>
              <w:ind w:left="447"/>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类别</w:t>
            </w:r>
          </w:p>
        </w:tc>
        <w:tc>
          <w:tcPr>
            <w:tcW w:w="1560" w:type="dxa"/>
            <w:tcBorders>
              <w:top w:val="single" w:color="000000" w:sz="12" w:space="0"/>
            </w:tcBorders>
            <w:vAlign w:val="top"/>
          </w:tcPr>
          <w:p>
            <w:pPr>
              <w:spacing w:before="11" w:line="197" w:lineRule="auto"/>
              <w:ind w:left="37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治理对象</w:t>
            </w:r>
          </w:p>
        </w:tc>
        <w:tc>
          <w:tcPr>
            <w:tcW w:w="3709" w:type="dxa"/>
            <w:tcBorders>
              <w:top w:val="single" w:color="000000" w:sz="12" w:space="0"/>
            </w:tcBorders>
            <w:vAlign w:val="top"/>
          </w:tcPr>
          <w:p>
            <w:pPr>
              <w:spacing w:before="11" w:line="197" w:lineRule="auto"/>
              <w:ind w:left="1138"/>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治理措施和设备</w:t>
            </w:r>
          </w:p>
        </w:tc>
        <w:tc>
          <w:tcPr>
            <w:tcW w:w="2046" w:type="dxa"/>
            <w:tcBorders>
              <w:top w:val="single" w:color="000000" w:sz="12" w:space="0"/>
              <w:right w:val="nil"/>
            </w:tcBorders>
            <w:vAlign w:val="top"/>
          </w:tcPr>
          <w:p>
            <w:pPr>
              <w:spacing w:before="11" w:line="197" w:lineRule="auto"/>
              <w:ind w:left="629"/>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治理效果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8" w:hRule="atLeast"/>
        </w:trPr>
        <w:tc>
          <w:tcPr>
            <w:tcW w:w="531" w:type="dxa"/>
            <w:tcBorders>
              <w:left w:val="nil"/>
            </w:tcBorders>
            <w:vAlign w:val="top"/>
          </w:tcPr>
          <w:p>
            <w:pPr>
              <w:pStyle w:val="6"/>
              <w:spacing w:before="279" w:line="186" w:lineRule="auto"/>
              <w:ind w:left="247"/>
            </w:pPr>
            <w:r>
              <w:t>1</w:t>
            </w:r>
          </w:p>
        </w:tc>
        <w:tc>
          <w:tcPr>
            <w:tcW w:w="1074" w:type="dxa"/>
            <w:vAlign w:val="top"/>
          </w:tcPr>
          <w:p>
            <w:pPr>
              <w:spacing w:before="164" w:line="217" w:lineRule="auto"/>
              <w:ind w:left="131"/>
              <w:rPr>
                <w:rFonts w:ascii="仿宋" w:hAnsi="仿宋" w:eastAsia="仿宋" w:cs="仿宋"/>
                <w:sz w:val="21"/>
                <w:szCs w:val="21"/>
              </w:rPr>
            </w:pPr>
            <w:r>
              <w:rPr>
                <w:rFonts w:ascii="仿宋" w:hAnsi="仿宋" w:eastAsia="仿宋" w:cs="仿宋"/>
                <w:spacing w:val="-3"/>
                <w:sz w:val="21"/>
                <w:szCs w:val="21"/>
              </w:rPr>
              <w:t>植物保护</w:t>
            </w:r>
          </w:p>
        </w:tc>
        <w:tc>
          <w:tcPr>
            <w:tcW w:w="1560" w:type="dxa"/>
            <w:vAlign w:val="top"/>
          </w:tcPr>
          <w:p>
            <w:pPr>
              <w:spacing w:before="218" w:line="216" w:lineRule="auto"/>
              <w:ind w:left="376"/>
              <w:rPr>
                <w:rFonts w:ascii="仿宋" w:hAnsi="仿宋" w:eastAsia="仿宋" w:cs="仿宋"/>
                <w:sz w:val="21"/>
                <w:szCs w:val="21"/>
              </w:rPr>
            </w:pPr>
            <w:r>
              <w:rPr>
                <w:rFonts w:ascii="仿宋" w:hAnsi="仿宋" w:eastAsia="仿宋" w:cs="仿宋"/>
                <w:spacing w:val="-3"/>
                <w:sz w:val="21"/>
                <w:szCs w:val="21"/>
              </w:rPr>
              <w:t>植被恢复</w:t>
            </w:r>
          </w:p>
        </w:tc>
        <w:tc>
          <w:tcPr>
            <w:tcW w:w="3709" w:type="dxa"/>
            <w:vAlign w:val="top"/>
          </w:tcPr>
          <w:p>
            <w:pPr>
              <w:spacing w:before="37" w:line="220" w:lineRule="auto"/>
              <w:ind w:left="877" w:right="123" w:hanging="856"/>
              <w:rPr>
                <w:rFonts w:ascii="仿宋" w:hAnsi="仿宋" w:eastAsia="仿宋" w:cs="仿宋"/>
                <w:sz w:val="21"/>
                <w:szCs w:val="21"/>
              </w:rPr>
            </w:pPr>
            <w:r>
              <w:rPr>
                <w:rFonts w:ascii="仿宋" w:hAnsi="仿宋" w:eastAsia="仿宋" w:cs="仿宋"/>
                <w:spacing w:val="-11"/>
                <w:sz w:val="21"/>
                <w:szCs w:val="21"/>
              </w:rPr>
              <w:t>对临时占地（料场、弃渣场、</w:t>
            </w:r>
            <w:r>
              <w:rPr>
                <w:rFonts w:ascii="仿宋" w:hAnsi="仿宋" w:eastAsia="仿宋" w:cs="仿宋"/>
                <w:spacing w:val="65"/>
                <w:sz w:val="21"/>
                <w:szCs w:val="21"/>
              </w:rPr>
              <w:t xml:space="preserve"> </w:t>
            </w:r>
            <w:r>
              <w:rPr>
                <w:rFonts w:ascii="仿宋" w:hAnsi="仿宋" w:eastAsia="仿宋" w:cs="仿宋"/>
                <w:spacing w:val="-11"/>
                <w:sz w:val="21"/>
                <w:szCs w:val="21"/>
              </w:rPr>
              <w:t>生产生活</w:t>
            </w:r>
            <w:r>
              <w:rPr>
                <w:rFonts w:ascii="仿宋" w:hAnsi="仿宋" w:eastAsia="仿宋" w:cs="仿宋"/>
                <w:sz w:val="21"/>
                <w:szCs w:val="21"/>
              </w:rPr>
              <w:t xml:space="preserve"> </w:t>
            </w:r>
            <w:r>
              <w:rPr>
                <w:rFonts w:ascii="仿宋" w:hAnsi="仿宋" w:eastAsia="仿宋" w:cs="仿宋"/>
                <w:spacing w:val="-12"/>
                <w:sz w:val="21"/>
                <w:szCs w:val="21"/>
              </w:rPr>
              <w:t>区等）</w:t>
            </w:r>
            <w:r>
              <w:rPr>
                <w:rFonts w:ascii="仿宋" w:hAnsi="仿宋" w:eastAsia="仿宋" w:cs="仿宋"/>
                <w:spacing w:val="-28"/>
                <w:sz w:val="21"/>
                <w:szCs w:val="21"/>
              </w:rPr>
              <w:t xml:space="preserve"> </w:t>
            </w:r>
            <w:r>
              <w:rPr>
                <w:rFonts w:ascii="仿宋" w:hAnsi="仿宋" w:eastAsia="仿宋" w:cs="仿宋"/>
                <w:spacing w:val="-12"/>
                <w:sz w:val="21"/>
                <w:szCs w:val="21"/>
              </w:rPr>
              <w:t>进行植被恢复</w:t>
            </w:r>
          </w:p>
        </w:tc>
        <w:tc>
          <w:tcPr>
            <w:tcW w:w="2046" w:type="dxa"/>
            <w:tcBorders>
              <w:right w:val="nil"/>
            </w:tcBorders>
            <w:vAlign w:val="top"/>
          </w:tcPr>
          <w:p>
            <w:pPr>
              <w:spacing w:before="219" w:line="217" w:lineRule="auto"/>
              <w:ind w:left="419"/>
              <w:rPr>
                <w:rFonts w:ascii="仿宋" w:hAnsi="仿宋" w:eastAsia="仿宋" w:cs="仿宋"/>
                <w:sz w:val="21"/>
                <w:szCs w:val="21"/>
              </w:rPr>
            </w:pPr>
            <w:r>
              <w:rPr>
                <w:rFonts w:ascii="仿宋" w:hAnsi="仿宋" w:eastAsia="仿宋" w:cs="仿宋"/>
                <w:spacing w:val="-3"/>
                <w:sz w:val="21"/>
                <w:szCs w:val="21"/>
              </w:rPr>
              <w:t>达到相关要求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6" w:hRule="atLeast"/>
        </w:trPr>
        <w:tc>
          <w:tcPr>
            <w:tcW w:w="531" w:type="dxa"/>
            <w:vMerge w:val="restart"/>
            <w:tcBorders>
              <w:left w:val="nil"/>
              <w:bottom w:val="nil"/>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pStyle w:val="6"/>
              <w:spacing w:before="61" w:line="186" w:lineRule="auto"/>
              <w:ind w:left="227"/>
            </w:pPr>
            <w:r>
              <w:t>2</w:t>
            </w:r>
          </w:p>
        </w:tc>
        <w:tc>
          <w:tcPr>
            <w:tcW w:w="1074" w:type="dxa"/>
            <w:vMerge w:val="restart"/>
            <w:tcBorders>
              <w:bottom w:val="nil"/>
            </w:tcBorders>
            <w:vAlign w:val="top"/>
          </w:tcPr>
          <w:p>
            <w:pPr>
              <w:spacing w:line="343" w:lineRule="auto"/>
              <w:rPr>
                <w:rFonts w:ascii="Arial"/>
                <w:sz w:val="21"/>
              </w:rPr>
            </w:pPr>
          </w:p>
          <w:p>
            <w:pPr>
              <w:spacing w:line="344" w:lineRule="auto"/>
              <w:rPr>
                <w:rFonts w:ascii="Arial"/>
                <w:sz w:val="21"/>
              </w:rPr>
            </w:pPr>
          </w:p>
          <w:p>
            <w:pPr>
              <w:spacing w:before="68" w:line="247" w:lineRule="auto"/>
              <w:ind w:left="533" w:right="71" w:hanging="367"/>
              <w:rPr>
                <w:rFonts w:ascii="仿宋" w:hAnsi="仿宋" w:eastAsia="仿宋" w:cs="仿宋"/>
                <w:sz w:val="21"/>
                <w:szCs w:val="21"/>
              </w:rPr>
            </w:pPr>
            <w:r>
              <w:rPr>
                <w:rFonts w:ascii="仿宋" w:hAnsi="仿宋" w:eastAsia="仿宋" w:cs="仿宋"/>
                <w:spacing w:val="-4"/>
                <w:sz w:val="21"/>
                <w:szCs w:val="21"/>
              </w:rPr>
              <w:t>水环境保</w:t>
            </w:r>
            <w:r>
              <w:rPr>
                <w:rFonts w:ascii="仿宋" w:hAnsi="仿宋" w:eastAsia="仿宋" w:cs="仿宋"/>
                <w:spacing w:val="1"/>
                <w:sz w:val="21"/>
                <w:szCs w:val="21"/>
              </w:rPr>
              <w:t xml:space="preserve"> </w:t>
            </w:r>
            <w:r>
              <w:rPr>
                <w:rFonts w:ascii="仿宋" w:hAnsi="仿宋" w:eastAsia="仿宋" w:cs="仿宋"/>
                <w:sz w:val="21"/>
                <w:szCs w:val="21"/>
              </w:rPr>
              <w:t>护</w:t>
            </w:r>
          </w:p>
        </w:tc>
        <w:tc>
          <w:tcPr>
            <w:tcW w:w="1560" w:type="dxa"/>
            <w:vAlign w:val="top"/>
          </w:tcPr>
          <w:p>
            <w:pPr>
              <w:spacing w:before="104" w:line="217" w:lineRule="auto"/>
              <w:ind w:left="264"/>
              <w:rPr>
                <w:rFonts w:ascii="仿宋" w:hAnsi="仿宋" w:eastAsia="仿宋" w:cs="仿宋"/>
                <w:sz w:val="21"/>
                <w:szCs w:val="21"/>
              </w:rPr>
            </w:pPr>
            <w:r>
              <w:rPr>
                <w:rFonts w:ascii="仿宋" w:hAnsi="仿宋" w:eastAsia="仿宋" w:cs="仿宋"/>
                <w:spacing w:val="-3"/>
                <w:sz w:val="21"/>
                <w:szCs w:val="21"/>
              </w:rPr>
              <w:t>运行期废水</w:t>
            </w:r>
          </w:p>
        </w:tc>
        <w:tc>
          <w:tcPr>
            <w:tcW w:w="3709" w:type="dxa"/>
            <w:vAlign w:val="top"/>
          </w:tcPr>
          <w:p>
            <w:pPr>
              <w:pStyle w:val="6"/>
              <w:spacing w:before="112" w:line="218" w:lineRule="auto"/>
              <w:ind w:left="245"/>
              <w:rPr>
                <w:rFonts w:ascii="仿宋" w:hAnsi="仿宋" w:eastAsia="仿宋" w:cs="仿宋"/>
              </w:rPr>
            </w:pPr>
            <w:r>
              <w:rPr>
                <w:rFonts w:ascii="仿宋" w:hAnsi="仿宋" w:eastAsia="仿宋" w:cs="仿宋"/>
                <w:spacing w:val="-1"/>
              </w:rPr>
              <w:t>设置化粪池</w:t>
            </w:r>
            <w:r>
              <w:rPr>
                <w:spacing w:val="-1"/>
              </w:rPr>
              <w:t>1</w:t>
            </w:r>
            <w:r>
              <w:rPr>
                <w:rFonts w:ascii="仿宋" w:hAnsi="仿宋" w:eastAsia="仿宋" w:cs="仿宋"/>
                <w:spacing w:val="-1"/>
              </w:rPr>
              <w:t>个，定期清掏用于农肥</w:t>
            </w:r>
          </w:p>
        </w:tc>
        <w:tc>
          <w:tcPr>
            <w:tcW w:w="2046" w:type="dxa"/>
            <w:tcBorders>
              <w:right w:val="nil"/>
            </w:tcBorders>
            <w:vAlign w:val="top"/>
          </w:tcPr>
          <w:p>
            <w:pPr>
              <w:spacing w:before="155" w:line="218" w:lineRule="auto"/>
              <w:ind w:left="526"/>
              <w:rPr>
                <w:rFonts w:ascii="仿宋" w:hAnsi="仿宋" w:eastAsia="仿宋" w:cs="仿宋"/>
                <w:sz w:val="21"/>
                <w:szCs w:val="21"/>
              </w:rPr>
            </w:pPr>
            <w:r>
              <w:rPr>
                <w:rFonts w:ascii="仿宋" w:hAnsi="仿宋" w:eastAsia="仿宋" w:cs="仿宋"/>
                <w:spacing w:val="-4"/>
                <w:sz w:val="21"/>
                <w:szCs w:val="21"/>
              </w:rPr>
              <w:t>无污水外排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37" w:hRule="atLeast"/>
        </w:trPr>
        <w:tc>
          <w:tcPr>
            <w:tcW w:w="531" w:type="dxa"/>
            <w:vMerge w:val="continue"/>
            <w:tcBorders>
              <w:top w:val="nil"/>
              <w:left w:val="nil"/>
            </w:tcBorders>
            <w:vAlign w:val="top"/>
          </w:tcPr>
          <w:p>
            <w:pPr>
              <w:rPr>
                <w:rFonts w:ascii="Arial"/>
                <w:sz w:val="21"/>
              </w:rPr>
            </w:pPr>
          </w:p>
        </w:tc>
        <w:tc>
          <w:tcPr>
            <w:tcW w:w="1074" w:type="dxa"/>
            <w:vMerge w:val="continue"/>
            <w:tcBorders>
              <w:top w:val="nil"/>
            </w:tcBorders>
            <w:vAlign w:val="top"/>
          </w:tcPr>
          <w:p>
            <w:pPr>
              <w:rPr>
                <w:rFonts w:ascii="Arial"/>
                <w:sz w:val="21"/>
              </w:rPr>
            </w:pPr>
          </w:p>
        </w:tc>
        <w:tc>
          <w:tcPr>
            <w:tcW w:w="1560" w:type="dxa"/>
            <w:vAlign w:val="top"/>
          </w:tcPr>
          <w:p>
            <w:pPr>
              <w:spacing w:line="394" w:lineRule="auto"/>
              <w:rPr>
                <w:rFonts w:ascii="Arial"/>
                <w:sz w:val="21"/>
              </w:rPr>
            </w:pPr>
          </w:p>
          <w:p>
            <w:pPr>
              <w:spacing w:before="68" w:line="312" w:lineRule="exact"/>
              <w:ind w:left="377"/>
              <w:rPr>
                <w:rFonts w:ascii="仿宋" w:hAnsi="仿宋" w:eastAsia="仿宋" w:cs="仿宋"/>
                <w:sz w:val="21"/>
                <w:szCs w:val="21"/>
              </w:rPr>
            </w:pPr>
            <w:r>
              <w:rPr>
                <w:rFonts w:ascii="仿宋" w:hAnsi="仿宋" w:eastAsia="仿宋" w:cs="仿宋"/>
                <w:spacing w:val="-3"/>
                <w:position w:val="7"/>
                <w:sz w:val="21"/>
                <w:szCs w:val="21"/>
              </w:rPr>
              <w:t>减水河段</w:t>
            </w:r>
          </w:p>
          <w:p>
            <w:pPr>
              <w:spacing w:before="1" w:line="220" w:lineRule="auto"/>
              <w:ind w:left="387"/>
              <w:rPr>
                <w:rFonts w:ascii="仿宋" w:hAnsi="仿宋" w:eastAsia="仿宋" w:cs="仿宋"/>
                <w:sz w:val="21"/>
                <w:szCs w:val="21"/>
              </w:rPr>
            </w:pPr>
            <w:r>
              <w:rPr>
                <w:rFonts w:ascii="仿宋" w:hAnsi="仿宋" w:eastAsia="仿宋" w:cs="仿宋"/>
                <w:spacing w:val="-7"/>
                <w:sz w:val="21"/>
                <w:szCs w:val="21"/>
              </w:rPr>
              <w:t>生态流量</w:t>
            </w:r>
          </w:p>
        </w:tc>
        <w:tc>
          <w:tcPr>
            <w:tcW w:w="3709" w:type="dxa"/>
            <w:vAlign w:val="top"/>
          </w:tcPr>
          <w:p>
            <w:pPr>
              <w:pStyle w:val="6"/>
              <w:spacing w:before="17" w:line="211" w:lineRule="auto"/>
              <w:ind w:left="127" w:right="10" w:firstLine="3"/>
              <w:rPr>
                <w:rFonts w:ascii="仿宋" w:hAnsi="仿宋" w:eastAsia="仿宋" w:cs="仿宋"/>
              </w:rPr>
            </w:pPr>
            <w:r>
              <w:rPr>
                <w:rFonts w:ascii="仿宋" w:hAnsi="仿宋" w:eastAsia="仿宋" w:cs="仿宋"/>
                <w:spacing w:val="-1"/>
              </w:rPr>
              <w:t>枢纽工程利用导流输水放空隧洞预埋的</w:t>
            </w:r>
            <w:r>
              <w:rPr>
                <w:rFonts w:ascii="仿宋" w:hAnsi="仿宋" w:eastAsia="仿宋" w:cs="仿宋"/>
                <w:spacing w:val="2"/>
              </w:rPr>
              <w:t xml:space="preserve"> </w:t>
            </w:r>
            <w:r>
              <w:rPr>
                <w:spacing w:val="-2"/>
              </w:rPr>
              <w:t>DN325</w:t>
            </w:r>
            <w:r>
              <w:rPr>
                <w:rFonts w:ascii="仿宋" w:hAnsi="仿宋" w:eastAsia="仿宋" w:cs="仿宋"/>
                <w:spacing w:val="-2"/>
              </w:rPr>
              <w:t>钢管下泄生态流量；引洪工程、</w:t>
            </w:r>
            <w:r>
              <w:rPr>
                <w:rFonts w:ascii="仿宋" w:hAnsi="仿宋" w:eastAsia="仿宋" w:cs="仿宋"/>
              </w:rPr>
              <w:t xml:space="preserve"> </w:t>
            </w:r>
            <w:r>
              <w:rPr>
                <w:rFonts w:ascii="仿宋" w:hAnsi="仿宋" w:eastAsia="仿宋" w:cs="仿宋"/>
                <w:spacing w:val="-1"/>
              </w:rPr>
              <w:t>引水工程不引水季节直接利用冲沙闸下</w:t>
            </w:r>
            <w:r>
              <w:rPr>
                <w:rFonts w:ascii="仿宋" w:hAnsi="仿宋" w:eastAsia="仿宋" w:cs="仿宋"/>
                <w:spacing w:val="6"/>
              </w:rPr>
              <w:t xml:space="preserve"> </w:t>
            </w:r>
            <w:r>
              <w:rPr>
                <w:rFonts w:ascii="仿宋" w:hAnsi="仿宋" w:eastAsia="仿宋" w:cs="仿宋"/>
                <w:spacing w:val="-1"/>
              </w:rPr>
              <w:t>泄生态流量，汛期引水时段通过引水沟</w:t>
            </w:r>
          </w:p>
          <w:p>
            <w:pPr>
              <w:pStyle w:val="6"/>
              <w:spacing w:before="1" w:line="210" w:lineRule="auto"/>
              <w:ind w:right="16"/>
              <w:jc w:val="right"/>
              <w:rPr>
                <w:rFonts w:ascii="仿宋" w:hAnsi="仿宋" w:eastAsia="仿宋" w:cs="仿宋"/>
              </w:rPr>
            </w:pPr>
            <w:r>
              <w:rPr>
                <w:rFonts w:ascii="仿宋" w:hAnsi="仿宋" w:eastAsia="仿宋" w:cs="仿宋"/>
                <w:spacing w:val="-1"/>
              </w:rPr>
              <w:t>埋设</w:t>
            </w:r>
            <w:r>
              <w:rPr>
                <w:spacing w:val="-1"/>
              </w:rPr>
              <w:t>DN150</w:t>
            </w:r>
            <w:r>
              <w:rPr>
                <w:rFonts w:ascii="仿宋" w:hAnsi="仿宋" w:eastAsia="仿宋" w:cs="仿宋"/>
                <w:spacing w:val="-1"/>
              </w:rPr>
              <w:t>的放水管向下游河道供水，</w:t>
            </w:r>
          </w:p>
          <w:p>
            <w:pPr>
              <w:spacing w:line="184" w:lineRule="auto"/>
              <w:ind w:left="672"/>
              <w:rPr>
                <w:rFonts w:ascii="仿宋" w:hAnsi="仿宋" w:eastAsia="仿宋" w:cs="仿宋"/>
                <w:sz w:val="21"/>
                <w:szCs w:val="21"/>
              </w:rPr>
            </w:pPr>
            <w:r>
              <w:rPr>
                <w:rFonts w:ascii="仿宋" w:hAnsi="仿宋" w:eastAsia="仿宋" w:cs="仿宋"/>
                <w:spacing w:val="-3"/>
                <w:sz w:val="21"/>
                <w:szCs w:val="21"/>
              </w:rPr>
              <w:t>生态放流管为无阀门控制。</w:t>
            </w:r>
          </w:p>
        </w:tc>
        <w:tc>
          <w:tcPr>
            <w:tcW w:w="2046" w:type="dxa"/>
            <w:tcBorders>
              <w:right w:val="nil"/>
            </w:tcBorders>
            <w:vAlign w:val="top"/>
          </w:tcPr>
          <w:p>
            <w:pPr>
              <w:spacing w:line="274" w:lineRule="auto"/>
              <w:rPr>
                <w:rFonts w:ascii="Arial"/>
                <w:sz w:val="21"/>
              </w:rPr>
            </w:pPr>
          </w:p>
          <w:p>
            <w:pPr>
              <w:spacing w:line="275" w:lineRule="auto"/>
              <w:rPr>
                <w:rFonts w:ascii="Arial"/>
                <w:sz w:val="21"/>
              </w:rPr>
            </w:pPr>
          </w:p>
          <w:p>
            <w:pPr>
              <w:spacing w:before="68" w:line="217" w:lineRule="auto"/>
              <w:ind w:left="90"/>
              <w:rPr>
                <w:rFonts w:ascii="仿宋" w:hAnsi="仿宋" w:eastAsia="仿宋" w:cs="仿宋"/>
                <w:sz w:val="21"/>
                <w:szCs w:val="21"/>
              </w:rPr>
            </w:pPr>
            <w:r>
              <w:rPr>
                <w:rFonts w:ascii="仿宋" w:hAnsi="仿宋" w:eastAsia="仿宋" w:cs="仿宋"/>
                <w:spacing w:val="-2"/>
                <w:sz w:val="21"/>
                <w:szCs w:val="21"/>
              </w:rPr>
              <w:t>保证减水河段不断流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6" w:hRule="atLeast"/>
        </w:trPr>
        <w:tc>
          <w:tcPr>
            <w:tcW w:w="531" w:type="dxa"/>
            <w:vMerge w:val="restart"/>
            <w:tcBorders>
              <w:left w:val="nil"/>
              <w:bottom w:val="nil"/>
            </w:tcBorders>
            <w:vAlign w:val="top"/>
          </w:tcPr>
          <w:p>
            <w:pPr>
              <w:spacing w:line="317" w:lineRule="auto"/>
              <w:rPr>
                <w:rFonts w:ascii="Arial"/>
                <w:sz w:val="21"/>
              </w:rPr>
            </w:pPr>
          </w:p>
          <w:p>
            <w:pPr>
              <w:spacing w:line="318" w:lineRule="auto"/>
              <w:rPr>
                <w:rFonts w:ascii="Arial"/>
                <w:sz w:val="21"/>
              </w:rPr>
            </w:pPr>
          </w:p>
          <w:p>
            <w:pPr>
              <w:pStyle w:val="6"/>
              <w:spacing w:before="60" w:line="186" w:lineRule="auto"/>
              <w:ind w:left="231"/>
            </w:pPr>
            <w:r>
              <w:t>3</w:t>
            </w:r>
          </w:p>
        </w:tc>
        <w:tc>
          <w:tcPr>
            <w:tcW w:w="1074" w:type="dxa"/>
            <w:vMerge w:val="restart"/>
            <w:tcBorders>
              <w:bottom w:val="nil"/>
            </w:tcBorders>
            <w:vAlign w:val="top"/>
          </w:tcPr>
          <w:p>
            <w:pPr>
              <w:spacing w:line="435" w:lineRule="auto"/>
              <w:rPr>
                <w:rFonts w:ascii="Arial"/>
                <w:sz w:val="21"/>
              </w:rPr>
            </w:pPr>
          </w:p>
          <w:p>
            <w:pPr>
              <w:spacing w:before="68" w:line="245" w:lineRule="auto"/>
              <w:ind w:left="270" w:right="71" w:hanging="82"/>
              <w:rPr>
                <w:rFonts w:ascii="仿宋" w:hAnsi="仿宋" w:eastAsia="仿宋" w:cs="仿宋"/>
                <w:sz w:val="21"/>
                <w:szCs w:val="21"/>
              </w:rPr>
            </w:pPr>
            <w:r>
              <w:rPr>
                <w:rFonts w:ascii="仿宋" w:hAnsi="仿宋" w:eastAsia="仿宋" w:cs="仿宋"/>
                <w:spacing w:val="-10"/>
                <w:sz w:val="21"/>
                <w:szCs w:val="21"/>
              </w:rPr>
              <w:t>固体废弃</w:t>
            </w:r>
            <w:r>
              <w:rPr>
                <w:rFonts w:ascii="仿宋" w:hAnsi="仿宋" w:eastAsia="仿宋" w:cs="仿宋"/>
                <w:spacing w:val="2"/>
                <w:sz w:val="21"/>
                <w:szCs w:val="21"/>
              </w:rPr>
              <w:t xml:space="preserve"> </w:t>
            </w:r>
            <w:r>
              <w:rPr>
                <w:rFonts w:ascii="仿宋" w:hAnsi="仿宋" w:eastAsia="仿宋" w:cs="仿宋"/>
                <w:spacing w:val="-4"/>
                <w:sz w:val="21"/>
                <w:szCs w:val="21"/>
              </w:rPr>
              <w:t>物处置</w:t>
            </w:r>
          </w:p>
        </w:tc>
        <w:tc>
          <w:tcPr>
            <w:tcW w:w="1560" w:type="dxa"/>
            <w:vAlign w:val="top"/>
          </w:tcPr>
          <w:p>
            <w:pPr>
              <w:spacing w:before="292" w:line="220" w:lineRule="auto"/>
              <w:ind w:left="389"/>
              <w:rPr>
                <w:rFonts w:ascii="仿宋" w:hAnsi="仿宋" w:eastAsia="仿宋" w:cs="仿宋"/>
                <w:sz w:val="21"/>
                <w:szCs w:val="21"/>
              </w:rPr>
            </w:pPr>
            <w:r>
              <w:rPr>
                <w:rFonts w:ascii="仿宋" w:hAnsi="仿宋" w:eastAsia="仿宋" w:cs="仿宋"/>
                <w:spacing w:val="-5"/>
                <w:sz w:val="21"/>
                <w:szCs w:val="21"/>
              </w:rPr>
              <w:t>生活垃圾</w:t>
            </w:r>
          </w:p>
        </w:tc>
        <w:tc>
          <w:tcPr>
            <w:tcW w:w="3709" w:type="dxa"/>
            <w:vAlign w:val="top"/>
          </w:tcPr>
          <w:p>
            <w:pPr>
              <w:spacing w:before="292" w:line="218" w:lineRule="auto"/>
              <w:ind w:left="1559"/>
              <w:rPr>
                <w:rFonts w:ascii="仿宋" w:hAnsi="仿宋" w:eastAsia="仿宋" w:cs="仿宋"/>
                <w:sz w:val="21"/>
                <w:szCs w:val="21"/>
              </w:rPr>
            </w:pPr>
            <w:r>
              <w:rPr>
                <w:rFonts w:ascii="仿宋" w:hAnsi="仿宋" w:eastAsia="仿宋" w:cs="仿宋"/>
                <w:spacing w:val="-4"/>
                <w:sz w:val="21"/>
                <w:szCs w:val="21"/>
              </w:rPr>
              <w:t>垃圾桶</w:t>
            </w:r>
          </w:p>
        </w:tc>
        <w:tc>
          <w:tcPr>
            <w:tcW w:w="2046" w:type="dxa"/>
            <w:tcBorders>
              <w:right w:val="nil"/>
            </w:tcBorders>
            <w:vAlign w:val="top"/>
          </w:tcPr>
          <w:p>
            <w:pPr>
              <w:spacing w:before="26" w:line="217" w:lineRule="auto"/>
              <w:ind w:left="107"/>
              <w:rPr>
                <w:rFonts w:ascii="仿宋" w:hAnsi="仿宋" w:eastAsia="仿宋" w:cs="仿宋"/>
                <w:sz w:val="21"/>
                <w:szCs w:val="21"/>
              </w:rPr>
            </w:pPr>
            <w:r>
              <w:rPr>
                <w:rFonts w:ascii="仿宋" w:hAnsi="仿宋" w:eastAsia="仿宋" w:cs="仿宋"/>
                <w:spacing w:val="-3"/>
                <w:sz w:val="21"/>
                <w:szCs w:val="21"/>
              </w:rPr>
              <w:t>统一收集后，交由环</w:t>
            </w:r>
          </w:p>
          <w:p>
            <w:pPr>
              <w:spacing w:before="19" w:line="217" w:lineRule="auto"/>
              <w:ind w:left="106"/>
              <w:rPr>
                <w:rFonts w:ascii="仿宋" w:hAnsi="仿宋" w:eastAsia="仿宋" w:cs="仿宋"/>
                <w:sz w:val="21"/>
                <w:szCs w:val="21"/>
              </w:rPr>
            </w:pPr>
            <w:r>
              <w:rPr>
                <w:rFonts w:ascii="仿宋" w:hAnsi="仿宋" w:eastAsia="仿宋" w:cs="仿宋"/>
                <w:spacing w:val="-2"/>
                <w:sz w:val="21"/>
                <w:szCs w:val="21"/>
              </w:rPr>
              <w:t>卫部门处置，处置率</w:t>
            </w:r>
          </w:p>
          <w:p>
            <w:pPr>
              <w:pStyle w:val="6"/>
              <w:spacing w:before="52" w:line="163" w:lineRule="auto"/>
              <w:ind w:left="814"/>
            </w:pPr>
            <w:r>
              <w:rPr>
                <w:spacing w:val="-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3" w:hRule="atLeast"/>
        </w:trPr>
        <w:tc>
          <w:tcPr>
            <w:tcW w:w="531" w:type="dxa"/>
            <w:vMerge w:val="continue"/>
            <w:tcBorders>
              <w:top w:val="nil"/>
              <w:left w:val="nil"/>
            </w:tcBorders>
            <w:vAlign w:val="top"/>
          </w:tcPr>
          <w:p>
            <w:pPr>
              <w:rPr>
                <w:rFonts w:ascii="Arial"/>
                <w:sz w:val="21"/>
              </w:rPr>
            </w:pPr>
          </w:p>
        </w:tc>
        <w:tc>
          <w:tcPr>
            <w:tcW w:w="1074" w:type="dxa"/>
            <w:vMerge w:val="continue"/>
            <w:tcBorders>
              <w:top w:val="nil"/>
            </w:tcBorders>
            <w:vAlign w:val="top"/>
          </w:tcPr>
          <w:p>
            <w:pPr>
              <w:rPr>
                <w:rFonts w:ascii="Arial"/>
                <w:sz w:val="21"/>
              </w:rPr>
            </w:pPr>
          </w:p>
        </w:tc>
        <w:tc>
          <w:tcPr>
            <w:tcW w:w="1560" w:type="dxa"/>
            <w:vAlign w:val="top"/>
          </w:tcPr>
          <w:p>
            <w:pPr>
              <w:spacing w:line="256" w:lineRule="auto"/>
              <w:rPr>
                <w:rFonts w:ascii="Arial"/>
                <w:sz w:val="21"/>
              </w:rPr>
            </w:pPr>
          </w:p>
          <w:p>
            <w:pPr>
              <w:spacing w:before="68" w:line="219" w:lineRule="auto"/>
              <w:ind w:left="593"/>
              <w:rPr>
                <w:rFonts w:ascii="仿宋" w:hAnsi="仿宋" w:eastAsia="仿宋" w:cs="仿宋"/>
                <w:sz w:val="21"/>
                <w:szCs w:val="21"/>
              </w:rPr>
            </w:pPr>
            <w:r>
              <w:rPr>
                <w:rFonts w:ascii="仿宋" w:hAnsi="仿宋" w:eastAsia="仿宋" w:cs="仿宋"/>
                <w:spacing w:val="-5"/>
                <w:sz w:val="21"/>
                <w:szCs w:val="21"/>
              </w:rPr>
              <w:t>弃渣</w:t>
            </w:r>
          </w:p>
        </w:tc>
        <w:tc>
          <w:tcPr>
            <w:tcW w:w="3709" w:type="dxa"/>
            <w:vAlign w:val="top"/>
          </w:tcPr>
          <w:p>
            <w:pPr>
              <w:spacing w:before="31" w:line="212" w:lineRule="auto"/>
              <w:ind w:left="198"/>
              <w:rPr>
                <w:rFonts w:ascii="仿宋" w:hAnsi="仿宋" w:eastAsia="仿宋" w:cs="仿宋"/>
                <w:sz w:val="21"/>
                <w:szCs w:val="21"/>
              </w:rPr>
            </w:pPr>
            <w:r>
              <w:rPr>
                <w:rFonts w:ascii="仿宋" w:hAnsi="仿宋" w:eastAsia="仿宋" w:cs="仿宋"/>
                <w:spacing w:val="-2"/>
                <w:sz w:val="21"/>
                <w:szCs w:val="21"/>
              </w:rPr>
              <w:t>弃渣堆放于相应渣场、堆渣结束后进</w:t>
            </w:r>
          </w:p>
          <w:p>
            <w:pPr>
              <w:spacing w:line="212" w:lineRule="auto"/>
              <w:ind w:left="193"/>
              <w:rPr>
                <w:rFonts w:ascii="仿宋" w:hAnsi="仿宋" w:eastAsia="仿宋" w:cs="仿宋"/>
                <w:sz w:val="21"/>
                <w:szCs w:val="21"/>
              </w:rPr>
            </w:pPr>
            <w:r>
              <w:rPr>
                <w:rFonts w:ascii="仿宋" w:hAnsi="仿宋" w:eastAsia="仿宋" w:cs="仿宋"/>
                <w:spacing w:val="-2"/>
                <w:sz w:val="21"/>
                <w:szCs w:val="21"/>
              </w:rPr>
              <w:t>行覆土植被，弃渣场设置挡墙及截排</w:t>
            </w:r>
          </w:p>
          <w:p>
            <w:pPr>
              <w:spacing w:line="175" w:lineRule="auto"/>
              <w:ind w:left="1661"/>
              <w:rPr>
                <w:rFonts w:ascii="仿宋" w:hAnsi="仿宋" w:eastAsia="仿宋" w:cs="仿宋"/>
                <w:sz w:val="21"/>
                <w:szCs w:val="21"/>
              </w:rPr>
            </w:pPr>
            <w:r>
              <w:rPr>
                <w:rFonts w:ascii="仿宋" w:hAnsi="仿宋" w:eastAsia="仿宋" w:cs="仿宋"/>
                <w:spacing w:val="-7"/>
                <w:sz w:val="21"/>
                <w:szCs w:val="21"/>
              </w:rPr>
              <w:t>水沟</w:t>
            </w:r>
          </w:p>
        </w:tc>
        <w:tc>
          <w:tcPr>
            <w:tcW w:w="2046" w:type="dxa"/>
            <w:tcBorders>
              <w:right w:val="nil"/>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7" w:hRule="atLeast"/>
        </w:trPr>
        <w:tc>
          <w:tcPr>
            <w:tcW w:w="531" w:type="dxa"/>
            <w:tcBorders>
              <w:left w:val="nil"/>
              <w:bottom w:val="single" w:color="000000" w:sz="12" w:space="0"/>
            </w:tcBorders>
            <w:vAlign w:val="top"/>
          </w:tcPr>
          <w:p>
            <w:pPr>
              <w:spacing w:line="280" w:lineRule="auto"/>
              <w:rPr>
                <w:rFonts w:ascii="Arial"/>
                <w:sz w:val="21"/>
              </w:rPr>
            </w:pPr>
          </w:p>
          <w:p>
            <w:pPr>
              <w:pStyle w:val="6"/>
              <w:spacing w:before="60" w:line="186" w:lineRule="auto"/>
              <w:ind w:left="226"/>
            </w:pPr>
            <w:r>
              <w:t>4</w:t>
            </w:r>
          </w:p>
        </w:tc>
        <w:tc>
          <w:tcPr>
            <w:tcW w:w="2634" w:type="dxa"/>
            <w:gridSpan w:val="2"/>
            <w:tcBorders>
              <w:bottom w:val="single" w:color="000000" w:sz="12" w:space="0"/>
            </w:tcBorders>
            <w:vAlign w:val="top"/>
          </w:tcPr>
          <w:p>
            <w:pPr>
              <w:spacing w:before="230" w:line="218" w:lineRule="auto"/>
              <w:ind w:left="904"/>
              <w:rPr>
                <w:rFonts w:ascii="仿宋" w:hAnsi="仿宋" w:eastAsia="仿宋" w:cs="仿宋"/>
                <w:sz w:val="21"/>
                <w:szCs w:val="21"/>
              </w:rPr>
            </w:pPr>
            <w:r>
              <w:rPr>
                <w:rFonts w:ascii="仿宋" w:hAnsi="仿宋" w:eastAsia="仿宋" w:cs="仿宋"/>
                <w:spacing w:val="-3"/>
                <w:sz w:val="21"/>
                <w:szCs w:val="21"/>
              </w:rPr>
              <w:t>环境管理</w:t>
            </w:r>
          </w:p>
        </w:tc>
        <w:tc>
          <w:tcPr>
            <w:tcW w:w="3709" w:type="dxa"/>
            <w:tcBorders>
              <w:bottom w:val="single" w:color="000000" w:sz="12" w:space="0"/>
            </w:tcBorders>
            <w:vAlign w:val="top"/>
          </w:tcPr>
          <w:p>
            <w:pPr>
              <w:spacing w:before="230" w:line="218" w:lineRule="auto"/>
              <w:ind w:left="392"/>
              <w:rPr>
                <w:rFonts w:ascii="仿宋" w:hAnsi="仿宋" w:eastAsia="仿宋" w:cs="仿宋"/>
                <w:sz w:val="21"/>
                <w:szCs w:val="21"/>
              </w:rPr>
            </w:pPr>
            <w:r>
              <w:rPr>
                <w:rFonts w:ascii="仿宋" w:hAnsi="仿宋" w:eastAsia="仿宋" w:cs="仿宋"/>
                <w:spacing w:val="-1"/>
                <w:sz w:val="21"/>
                <w:szCs w:val="21"/>
              </w:rPr>
              <w:t>施工期环境监理报告、监测报告</w:t>
            </w:r>
          </w:p>
        </w:tc>
        <w:tc>
          <w:tcPr>
            <w:tcW w:w="2046" w:type="dxa"/>
            <w:tcBorders>
              <w:bottom w:val="single" w:color="000000" w:sz="12" w:space="0"/>
              <w:right w:val="nil"/>
            </w:tcBorders>
            <w:vAlign w:val="top"/>
          </w:tcPr>
          <w:p>
            <w:pPr>
              <w:spacing w:before="75" w:line="247" w:lineRule="auto"/>
              <w:ind w:left="930" w:right="179" w:hanging="734"/>
              <w:rPr>
                <w:rFonts w:ascii="仿宋" w:hAnsi="仿宋" w:eastAsia="仿宋" w:cs="仿宋"/>
                <w:sz w:val="21"/>
                <w:szCs w:val="21"/>
              </w:rPr>
            </w:pPr>
            <w:r>
              <w:rPr>
                <w:rFonts w:ascii="仿宋" w:hAnsi="仿宋" w:eastAsia="仿宋" w:cs="仿宋"/>
                <w:spacing w:val="-2"/>
                <w:sz w:val="21"/>
                <w:szCs w:val="21"/>
              </w:rPr>
              <w:t>严格进行监测和管</w:t>
            </w:r>
            <w:r>
              <w:rPr>
                <w:rFonts w:ascii="仿宋" w:hAnsi="仿宋" w:eastAsia="仿宋" w:cs="仿宋"/>
                <w:sz w:val="21"/>
                <w:szCs w:val="21"/>
              </w:rPr>
              <w:t xml:space="preserve"> 理</w:t>
            </w:r>
          </w:p>
        </w:tc>
      </w:tr>
    </w:tbl>
    <w:p>
      <w:pPr>
        <w:rPr>
          <w:rFonts w:ascii="Arial"/>
          <w:sz w:val="21"/>
        </w:rPr>
      </w:pPr>
    </w:p>
    <w:p>
      <w:pPr>
        <w:rPr>
          <w:rFonts w:ascii="Arial" w:hAnsi="Arial" w:eastAsia="Arial" w:cs="Arial"/>
          <w:sz w:val="21"/>
          <w:szCs w:val="21"/>
        </w:rPr>
        <w:sectPr>
          <w:headerReference r:id="rId477" w:type="default"/>
          <w:footerReference r:id="rId478" w:type="default"/>
          <w:pgSz w:w="11907" w:h="16839"/>
          <w:pgMar w:top="1156" w:right="1089" w:bottom="1374" w:left="1770" w:header="881" w:footer="1210" w:gutter="0"/>
        </w:sectPr>
      </w:pPr>
    </w:p>
    <w:p>
      <w:pPr>
        <w:pStyle w:val="2"/>
        <w:spacing w:before="279" w:line="219" w:lineRule="auto"/>
        <w:ind w:left="3417"/>
        <w:rPr>
          <w:sz w:val="30"/>
          <w:szCs w:val="30"/>
        </w:rPr>
      </w:pPr>
      <w:bookmarkStart w:id="51" w:name="bookmark52"/>
      <w:bookmarkEnd w:id="51"/>
      <w:bookmarkStart w:id="52" w:name="bookmark53"/>
      <w:bookmarkEnd w:id="52"/>
      <w:r>
        <w:rPr>
          <w:rFonts w:ascii="Times New Roman" w:hAnsi="Times New Roman" w:eastAsia="Times New Roman" w:cs="Times New Roman"/>
          <w:b/>
          <w:bCs/>
          <w:spacing w:val="-1"/>
          <w:sz w:val="30"/>
          <w:szCs w:val="30"/>
        </w:rPr>
        <w:t xml:space="preserve">8 </w:t>
      </w:r>
      <w:r>
        <w:rPr>
          <w:spacing w:val="-1"/>
          <w:sz w:val="30"/>
          <w:szCs w:val="30"/>
          <w14:textOutline w14:w="5442" w14:cap="flat" w14:cmpd="sng">
            <w14:solidFill>
              <w14:srgbClr w14:val="000000"/>
            </w14:solidFill>
            <w14:prstDash w14:val="solid"/>
            <w14:miter w14:val="0"/>
          </w14:textOutline>
        </w:rPr>
        <w:t>环境经济损益分析</w:t>
      </w:r>
    </w:p>
    <w:p>
      <w:pPr>
        <w:pStyle w:val="2"/>
        <w:spacing w:before="301"/>
        <w:ind w:left="39"/>
        <w:outlineLvl w:val="1"/>
        <w:rPr>
          <w:sz w:val="27"/>
          <w:szCs w:val="27"/>
        </w:rPr>
      </w:pPr>
      <w:r>
        <w:rPr>
          <w:rFonts w:ascii="Times New Roman" w:hAnsi="Times New Roman" w:eastAsia="Times New Roman" w:cs="Times New Roman"/>
          <w:b/>
          <w:bCs/>
          <w:spacing w:val="6"/>
          <w:sz w:val="27"/>
          <w:szCs w:val="27"/>
        </w:rPr>
        <w:t>8.1</w:t>
      </w:r>
      <w:r>
        <w:rPr>
          <w:rFonts w:ascii="Times New Roman" w:hAnsi="Times New Roman" w:eastAsia="Times New Roman" w:cs="Times New Roman"/>
          <w:b/>
          <w:bCs/>
          <w:spacing w:val="49"/>
          <w:w w:val="101"/>
          <w:sz w:val="27"/>
          <w:szCs w:val="27"/>
        </w:rPr>
        <w:t xml:space="preserve"> </w:t>
      </w:r>
      <w:r>
        <w:rPr>
          <w:spacing w:val="6"/>
          <w:sz w:val="27"/>
          <w:szCs w:val="27"/>
          <w14:textOutline w14:w="5072" w14:cap="flat" w14:cmpd="sng">
            <w14:solidFill>
              <w14:srgbClr w14:val="000000"/>
            </w14:solidFill>
            <w14:prstDash w14:val="solid"/>
            <w14:miter w14:val="0"/>
          </w14:textOutline>
        </w:rPr>
        <w:t>环境保护投资</w:t>
      </w:r>
    </w:p>
    <w:p>
      <w:pPr>
        <w:spacing w:line="245" w:lineRule="auto"/>
        <w:rPr>
          <w:rFonts w:ascii="Arial"/>
          <w:sz w:val="21"/>
        </w:rPr>
      </w:pPr>
    </w:p>
    <w:p>
      <w:pPr>
        <w:pStyle w:val="2"/>
        <w:spacing w:before="78" w:line="232" w:lineRule="auto"/>
        <w:ind w:left="38"/>
        <w:outlineLvl w:val="2"/>
        <w:rPr>
          <w:sz w:val="24"/>
          <w:szCs w:val="24"/>
        </w:rPr>
      </w:pPr>
      <w:r>
        <w:rPr>
          <w:rFonts w:ascii="Times New Roman" w:hAnsi="Times New Roman" w:eastAsia="Times New Roman" w:cs="Times New Roman"/>
          <w:b/>
          <w:bCs/>
          <w:spacing w:val="-1"/>
          <w:sz w:val="24"/>
          <w:szCs w:val="24"/>
        </w:rPr>
        <w:t xml:space="preserve">8.1.1 </w:t>
      </w:r>
      <w:r>
        <w:rPr>
          <w:spacing w:val="-1"/>
          <w:sz w:val="24"/>
          <w:szCs w:val="24"/>
          <w14:textOutline w14:w="4354" w14:cap="flat" w14:cmpd="sng">
            <w14:solidFill>
              <w14:srgbClr w14:val="000000"/>
            </w14:solidFill>
            <w14:prstDash w14:val="solid"/>
            <w14:miter w14:val="0"/>
          </w14:textOutline>
        </w:rPr>
        <w:t>编制原则</w:t>
      </w:r>
    </w:p>
    <w:p>
      <w:pPr>
        <w:spacing w:before="164" w:line="359" w:lineRule="auto"/>
        <w:ind w:left="39" w:right="105" w:firstLine="486"/>
        <w:rPr>
          <w:rFonts w:ascii="宋体" w:hAnsi="宋体" w:eastAsia="宋体" w:cs="宋体"/>
          <w:sz w:val="24"/>
          <w:szCs w:val="24"/>
        </w:rPr>
      </w:pPr>
      <w:r>
        <w:rPr>
          <w:rFonts w:ascii="宋体" w:hAnsi="宋体" w:eastAsia="宋体" w:cs="宋体"/>
          <w:spacing w:val="-10"/>
          <w:sz w:val="24"/>
          <w:szCs w:val="24"/>
        </w:rPr>
        <w:t>（</w:t>
      </w:r>
      <w:r>
        <w:rPr>
          <w:rFonts w:ascii="Times New Roman" w:hAnsi="Times New Roman" w:eastAsia="Times New Roman" w:cs="Times New Roman"/>
          <w:spacing w:val="-10"/>
          <w:sz w:val="24"/>
          <w:szCs w:val="24"/>
        </w:rPr>
        <w:t>1</w:t>
      </w:r>
      <w:r>
        <w:rPr>
          <w:rFonts w:ascii="宋体" w:hAnsi="宋体" w:eastAsia="宋体" w:cs="宋体"/>
          <w:spacing w:val="-10"/>
          <w:sz w:val="24"/>
          <w:szCs w:val="24"/>
        </w:rPr>
        <w:t>）遵循“谁污染，</w:t>
      </w:r>
      <w:r>
        <w:rPr>
          <w:rFonts w:ascii="宋体" w:hAnsi="宋体" w:eastAsia="宋体" w:cs="宋体"/>
          <w:spacing w:val="-37"/>
          <w:sz w:val="24"/>
          <w:szCs w:val="24"/>
        </w:rPr>
        <w:t xml:space="preserve"> </w:t>
      </w:r>
      <w:r>
        <w:rPr>
          <w:rFonts w:ascii="宋体" w:hAnsi="宋体" w:eastAsia="宋体" w:cs="宋体"/>
          <w:spacing w:val="-10"/>
          <w:sz w:val="24"/>
          <w:szCs w:val="24"/>
        </w:rPr>
        <w:t>谁治理，谁开发， 谁保护”原则</w:t>
      </w:r>
      <w:r>
        <w:rPr>
          <w:rFonts w:ascii="宋体" w:hAnsi="宋体" w:eastAsia="宋体" w:cs="宋体"/>
          <w:spacing w:val="-11"/>
          <w:sz w:val="24"/>
          <w:szCs w:val="24"/>
        </w:rPr>
        <w:t>。</w:t>
      </w:r>
      <w:r>
        <w:rPr>
          <w:rFonts w:ascii="宋体" w:hAnsi="宋体" w:eastAsia="宋体" w:cs="宋体"/>
          <w:spacing w:val="-26"/>
          <w:sz w:val="24"/>
          <w:szCs w:val="24"/>
        </w:rPr>
        <w:t xml:space="preserve"> </w:t>
      </w:r>
      <w:r>
        <w:rPr>
          <w:rFonts w:ascii="宋体" w:hAnsi="宋体" w:eastAsia="宋体" w:cs="宋体"/>
          <w:spacing w:val="-11"/>
          <w:sz w:val="24"/>
          <w:szCs w:val="24"/>
        </w:rPr>
        <w:t>对于既保护环境又为主体工程</w:t>
      </w:r>
      <w:r>
        <w:rPr>
          <w:rFonts w:ascii="宋体" w:hAnsi="宋体" w:eastAsia="宋体" w:cs="宋体"/>
          <w:sz w:val="24"/>
          <w:szCs w:val="24"/>
        </w:rPr>
        <w:t xml:space="preserve"> 服务，以及为减轻或消除因工程兴建对环境造成不利影</w:t>
      </w:r>
      <w:r>
        <w:rPr>
          <w:rFonts w:ascii="宋体" w:hAnsi="宋体" w:eastAsia="宋体" w:cs="宋体"/>
          <w:spacing w:val="-1"/>
          <w:sz w:val="24"/>
          <w:szCs w:val="24"/>
        </w:rPr>
        <w:t>响需采取的环境保护、环境监测、</w:t>
      </w:r>
      <w:r>
        <w:rPr>
          <w:rFonts w:ascii="宋体" w:hAnsi="宋体" w:eastAsia="宋体" w:cs="宋体"/>
          <w:sz w:val="24"/>
          <w:szCs w:val="24"/>
        </w:rPr>
        <w:t xml:space="preserve"> 环境工程管理等措施，其所需的投资均列入工程环境保护总投资中。其中，工程投资中具</w:t>
      </w:r>
    </w:p>
    <w:p>
      <w:pPr>
        <w:spacing w:line="219" w:lineRule="auto"/>
        <w:ind w:left="40"/>
        <w:rPr>
          <w:rFonts w:ascii="宋体" w:hAnsi="宋体" w:eastAsia="宋体" w:cs="宋体"/>
          <w:sz w:val="24"/>
          <w:szCs w:val="24"/>
        </w:rPr>
      </w:pPr>
      <w:r>
        <w:rPr>
          <w:rFonts w:ascii="宋体" w:hAnsi="宋体" w:eastAsia="宋体" w:cs="宋体"/>
          <w:spacing w:val="-1"/>
          <w:sz w:val="24"/>
          <w:szCs w:val="24"/>
        </w:rPr>
        <w:t>有环境保护性质的投资及水土保持投资单独计列，其余项目投资</w:t>
      </w:r>
      <w:r>
        <w:rPr>
          <w:rFonts w:ascii="宋体" w:hAnsi="宋体" w:eastAsia="宋体" w:cs="宋体"/>
          <w:spacing w:val="-2"/>
          <w:sz w:val="24"/>
          <w:szCs w:val="24"/>
        </w:rPr>
        <w:t>为环保专项投资。</w:t>
      </w:r>
    </w:p>
    <w:p>
      <w:pPr>
        <w:spacing w:before="181" w:line="359" w:lineRule="auto"/>
        <w:ind w:left="39" w:right="106" w:firstLine="486"/>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2</w:t>
      </w:r>
      <w:r>
        <w:rPr>
          <w:rFonts w:ascii="宋体" w:hAnsi="宋体" w:eastAsia="宋体" w:cs="宋体"/>
          <w:spacing w:val="-7"/>
          <w:sz w:val="24"/>
          <w:szCs w:val="24"/>
        </w:rPr>
        <w:t>）以水利水电工程设计概算编制的有关规定为基础，</w:t>
      </w:r>
      <w:r>
        <w:rPr>
          <w:rFonts w:ascii="宋体" w:hAnsi="宋体" w:eastAsia="宋体" w:cs="宋体"/>
          <w:spacing w:val="38"/>
          <w:sz w:val="24"/>
          <w:szCs w:val="24"/>
        </w:rPr>
        <w:t xml:space="preserve"> </w:t>
      </w:r>
      <w:r>
        <w:rPr>
          <w:rFonts w:ascii="宋体" w:hAnsi="宋体" w:eastAsia="宋体" w:cs="宋体"/>
          <w:spacing w:val="-7"/>
          <w:sz w:val="24"/>
          <w:szCs w:val="24"/>
        </w:rPr>
        <w:t>概算本工程为减免、降低不利</w:t>
      </w:r>
      <w:r>
        <w:rPr>
          <w:rFonts w:ascii="宋体" w:hAnsi="宋体" w:eastAsia="宋体" w:cs="宋体"/>
          <w:sz w:val="24"/>
          <w:szCs w:val="24"/>
        </w:rPr>
        <w:t xml:space="preserve"> </w:t>
      </w:r>
      <w:r>
        <w:rPr>
          <w:rFonts w:ascii="宋体" w:hAnsi="宋体" w:eastAsia="宋体" w:cs="宋体"/>
          <w:spacing w:val="1"/>
          <w:sz w:val="24"/>
          <w:szCs w:val="24"/>
        </w:rPr>
        <w:t>环境影响所采取的环境保护工程和管理等措</w:t>
      </w:r>
      <w:r>
        <w:rPr>
          <w:rFonts w:ascii="宋体" w:hAnsi="宋体" w:eastAsia="宋体" w:cs="宋体"/>
          <w:sz w:val="24"/>
          <w:szCs w:val="24"/>
        </w:rPr>
        <w:t>施所需投资，并结合工程建设和环境保护工程</w:t>
      </w:r>
    </w:p>
    <w:p>
      <w:pPr>
        <w:spacing w:line="218" w:lineRule="auto"/>
        <w:ind w:left="59"/>
        <w:rPr>
          <w:rFonts w:ascii="宋体" w:hAnsi="宋体" w:eastAsia="宋体" w:cs="宋体"/>
          <w:sz w:val="24"/>
          <w:szCs w:val="24"/>
        </w:rPr>
      </w:pPr>
      <w:r>
        <w:rPr>
          <w:rFonts w:ascii="宋体" w:hAnsi="宋体" w:eastAsia="宋体" w:cs="宋体"/>
          <w:spacing w:val="-4"/>
          <w:sz w:val="24"/>
          <w:szCs w:val="24"/>
        </w:rPr>
        <w:t>的特点，采用单价法和指标法等计算方法。</w:t>
      </w:r>
    </w:p>
    <w:p>
      <w:pPr>
        <w:spacing w:before="183" w:line="467" w:lineRule="exact"/>
        <w:ind w:left="525"/>
        <w:rPr>
          <w:rFonts w:ascii="宋体" w:hAnsi="宋体" w:eastAsia="宋体" w:cs="宋体"/>
          <w:sz w:val="24"/>
          <w:szCs w:val="24"/>
        </w:rPr>
      </w:pPr>
      <w:r>
        <w:rPr>
          <w:rFonts w:ascii="宋体" w:hAnsi="宋体" w:eastAsia="宋体" w:cs="宋体"/>
          <w:spacing w:val="-5"/>
          <w:position w:val="17"/>
          <w:sz w:val="24"/>
          <w:szCs w:val="24"/>
        </w:rPr>
        <w:t>（</w:t>
      </w:r>
      <w:r>
        <w:rPr>
          <w:rFonts w:ascii="Times New Roman" w:hAnsi="Times New Roman" w:eastAsia="Times New Roman" w:cs="Times New Roman"/>
          <w:spacing w:val="-5"/>
          <w:position w:val="17"/>
          <w:sz w:val="24"/>
          <w:szCs w:val="24"/>
        </w:rPr>
        <w:t>3</w:t>
      </w:r>
      <w:r>
        <w:rPr>
          <w:rFonts w:ascii="宋体" w:hAnsi="宋体" w:eastAsia="宋体" w:cs="宋体"/>
          <w:spacing w:val="-5"/>
          <w:position w:val="17"/>
          <w:sz w:val="24"/>
          <w:szCs w:val="24"/>
        </w:rPr>
        <w:t>）对既属于主体工程组成部分的项目，</w:t>
      </w:r>
      <w:r>
        <w:rPr>
          <w:rFonts w:ascii="宋体" w:hAnsi="宋体" w:eastAsia="宋体" w:cs="宋体"/>
          <w:spacing w:val="-25"/>
          <w:position w:val="17"/>
          <w:sz w:val="24"/>
          <w:szCs w:val="24"/>
        </w:rPr>
        <w:t xml:space="preserve"> </w:t>
      </w:r>
      <w:r>
        <w:rPr>
          <w:rFonts w:ascii="宋体" w:hAnsi="宋体" w:eastAsia="宋体" w:cs="宋体"/>
          <w:spacing w:val="-5"/>
          <w:position w:val="17"/>
          <w:sz w:val="24"/>
          <w:szCs w:val="24"/>
        </w:rPr>
        <w:t>又具有环境保护</w:t>
      </w:r>
      <w:r>
        <w:rPr>
          <w:rFonts w:ascii="宋体" w:hAnsi="宋体" w:eastAsia="宋体" w:cs="宋体"/>
          <w:spacing w:val="-6"/>
          <w:position w:val="17"/>
          <w:sz w:val="24"/>
          <w:szCs w:val="24"/>
        </w:rPr>
        <w:t>效益（如淹没处理和工程占</w:t>
      </w:r>
    </w:p>
    <w:p>
      <w:pPr>
        <w:spacing w:before="1" w:line="219" w:lineRule="auto"/>
        <w:ind w:left="39"/>
        <w:rPr>
          <w:rFonts w:ascii="宋体" w:hAnsi="宋体" w:eastAsia="宋体" w:cs="宋体"/>
          <w:sz w:val="24"/>
          <w:szCs w:val="24"/>
        </w:rPr>
      </w:pPr>
      <w:r>
        <w:rPr>
          <w:rFonts w:ascii="宋体" w:hAnsi="宋体" w:eastAsia="宋体" w:cs="宋体"/>
          <w:spacing w:val="-6"/>
          <w:sz w:val="24"/>
          <w:szCs w:val="24"/>
        </w:rPr>
        <w:t>地处理等</w:t>
      </w:r>
      <w:r>
        <w:rPr>
          <w:rFonts w:ascii="宋体" w:hAnsi="宋体" w:eastAsia="宋体" w:cs="宋体"/>
          <w:spacing w:val="-7"/>
          <w:sz w:val="24"/>
          <w:szCs w:val="24"/>
        </w:rPr>
        <w:t>），</w:t>
      </w:r>
      <w:r>
        <w:rPr>
          <w:rFonts w:ascii="宋体" w:hAnsi="宋体" w:eastAsia="宋体" w:cs="宋体"/>
          <w:spacing w:val="-6"/>
          <w:sz w:val="24"/>
          <w:szCs w:val="24"/>
        </w:rPr>
        <w:t>其投资应列入主体工程，不计入环保投资中。</w:t>
      </w:r>
    </w:p>
    <w:p>
      <w:pPr>
        <w:spacing w:before="182" w:line="219"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）施工区水土保持措施投资采用本工程水土保持方案中所列投资。</w:t>
      </w:r>
    </w:p>
    <w:p>
      <w:pPr>
        <w:spacing w:before="183" w:line="467" w:lineRule="exact"/>
        <w:ind w:left="525"/>
        <w:rPr>
          <w:rFonts w:ascii="宋体" w:hAnsi="宋体" w:eastAsia="宋体" w:cs="宋体"/>
          <w:sz w:val="24"/>
          <w:szCs w:val="24"/>
        </w:rPr>
      </w:pPr>
      <w:r>
        <w:rPr>
          <w:rFonts w:ascii="宋体" w:hAnsi="宋体" w:eastAsia="宋体" w:cs="宋体"/>
          <w:spacing w:val="-7"/>
          <w:position w:val="17"/>
          <w:sz w:val="24"/>
          <w:szCs w:val="24"/>
        </w:rPr>
        <w:t>（</w:t>
      </w:r>
      <w:r>
        <w:rPr>
          <w:rFonts w:ascii="Times New Roman" w:hAnsi="Times New Roman" w:eastAsia="Times New Roman" w:cs="Times New Roman"/>
          <w:spacing w:val="-7"/>
          <w:position w:val="17"/>
          <w:sz w:val="24"/>
          <w:szCs w:val="24"/>
        </w:rPr>
        <w:t>5</w:t>
      </w:r>
      <w:r>
        <w:rPr>
          <w:rFonts w:ascii="宋体" w:hAnsi="宋体" w:eastAsia="宋体" w:cs="宋体"/>
          <w:spacing w:val="-7"/>
          <w:position w:val="17"/>
          <w:sz w:val="24"/>
          <w:szCs w:val="24"/>
        </w:rPr>
        <w:t>）其它环境保护费用，参照同类工程单价，</w:t>
      </w:r>
      <w:r>
        <w:rPr>
          <w:rFonts w:ascii="宋体" w:hAnsi="宋体" w:eastAsia="宋体" w:cs="宋体"/>
          <w:spacing w:val="39"/>
          <w:position w:val="17"/>
          <w:sz w:val="24"/>
          <w:szCs w:val="24"/>
        </w:rPr>
        <w:t xml:space="preserve"> </w:t>
      </w:r>
      <w:r>
        <w:rPr>
          <w:rFonts w:ascii="宋体" w:hAnsi="宋体" w:eastAsia="宋体" w:cs="宋体"/>
          <w:spacing w:val="-7"/>
          <w:position w:val="17"/>
          <w:sz w:val="24"/>
          <w:szCs w:val="24"/>
        </w:rPr>
        <w:t>采用综合指标法进行计算或根据实际需</w:t>
      </w:r>
    </w:p>
    <w:p>
      <w:pPr>
        <w:spacing w:line="218" w:lineRule="auto"/>
        <w:ind w:left="40"/>
        <w:rPr>
          <w:rFonts w:ascii="宋体" w:hAnsi="宋体" w:eastAsia="宋体" w:cs="宋体"/>
          <w:sz w:val="24"/>
          <w:szCs w:val="24"/>
        </w:rPr>
      </w:pPr>
      <w:r>
        <w:rPr>
          <w:rFonts w:ascii="宋体" w:hAnsi="宋体" w:eastAsia="宋体" w:cs="宋体"/>
          <w:spacing w:val="-9"/>
          <w:sz w:val="24"/>
          <w:szCs w:val="24"/>
        </w:rPr>
        <w:t>要估列。</w:t>
      </w:r>
    </w:p>
    <w:p>
      <w:pPr>
        <w:spacing w:line="396" w:lineRule="auto"/>
        <w:rPr>
          <w:rFonts w:ascii="Arial"/>
          <w:sz w:val="21"/>
        </w:rPr>
      </w:pPr>
    </w:p>
    <w:p>
      <w:pPr>
        <w:pStyle w:val="2"/>
        <w:spacing w:before="79" w:line="232" w:lineRule="auto"/>
        <w:ind w:left="38"/>
        <w:outlineLvl w:val="2"/>
        <w:rPr>
          <w:sz w:val="24"/>
          <w:szCs w:val="24"/>
        </w:rPr>
      </w:pPr>
      <w:r>
        <w:rPr>
          <w:rFonts w:ascii="Times New Roman" w:hAnsi="Times New Roman" w:eastAsia="Times New Roman" w:cs="Times New Roman"/>
          <w:b/>
          <w:bCs/>
          <w:spacing w:val="-1"/>
          <w:sz w:val="24"/>
          <w:szCs w:val="24"/>
        </w:rPr>
        <w:t xml:space="preserve">8.1.2 </w:t>
      </w:r>
      <w:r>
        <w:rPr>
          <w:spacing w:val="-1"/>
          <w:sz w:val="24"/>
          <w:szCs w:val="24"/>
          <w14:textOutline w14:w="4354" w14:cap="flat" w14:cmpd="sng">
            <w14:solidFill>
              <w14:srgbClr w14:val="000000"/>
            </w14:solidFill>
            <w14:prstDash w14:val="solid"/>
            <w14:miter w14:val="0"/>
          </w14:textOutline>
        </w:rPr>
        <w:t>编制依据</w:t>
      </w:r>
    </w:p>
    <w:p>
      <w:pPr>
        <w:spacing w:before="163" w:line="219"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 xml:space="preserve">）国务院令第 </w:t>
      </w:r>
      <w:r>
        <w:rPr>
          <w:rFonts w:ascii="Times New Roman" w:hAnsi="Times New Roman" w:eastAsia="Times New Roman" w:cs="Times New Roman"/>
          <w:spacing w:val="-5"/>
          <w:sz w:val="24"/>
          <w:szCs w:val="24"/>
        </w:rPr>
        <w:t xml:space="preserve">253  </w:t>
      </w:r>
      <w:r>
        <w:rPr>
          <w:rFonts w:ascii="宋体" w:hAnsi="宋体" w:eastAsia="宋体" w:cs="宋体"/>
          <w:spacing w:val="-5"/>
          <w:sz w:val="24"/>
          <w:szCs w:val="24"/>
        </w:rPr>
        <w:t>号《建设项目环境保护管理条例》；</w:t>
      </w:r>
    </w:p>
    <w:p>
      <w:pPr>
        <w:spacing w:before="183" w:line="219" w:lineRule="auto"/>
        <w:ind w:left="525"/>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）国家环保局（</w:t>
      </w:r>
      <w:r>
        <w:rPr>
          <w:rFonts w:ascii="Times New Roman" w:hAnsi="Times New Roman" w:eastAsia="Times New Roman" w:cs="Times New Roman"/>
          <w:spacing w:val="-4"/>
          <w:sz w:val="24"/>
          <w:szCs w:val="24"/>
        </w:rPr>
        <w:t>87</w:t>
      </w:r>
      <w:r>
        <w:rPr>
          <w:rFonts w:ascii="宋体" w:hAnsi="宋体" w:eastAsia="宋体" w:cs="宋体"/>
          <w:spacing w:val="-4"/>
          <w:sz w:val="24"/>
          <w:szCs w:val="24"/>
        </w:rPr>
        <w:t xml:space="preserve">）国环字第 </w:t>
      </w:r>
      <w:r>
        <w:rPr>
          <w:rFonts w:ascii="Times New Roman" w:hAnsi="Times New Roman" w:eastAsia="Times New Roman" w:cs="Times New Roman"/>
          <w:spacing w:val="-4"/>
          <w:sz w:val="24"/>
          <w:szCs w:val="24"/>
        </w:rPr>
        <w:t xml:space="preserve">002  </w:t>
      </w:r>
      <w:r>
        <w:rPr>
          <w:rFonts w:ascii="宋体" w:hAnsi="宋体" w:eastAsia="宋体" w:cs="宋体"/>
          <w:spacing w:val="-4"/>
          <w:sz w:val="24"/>
          <w:szCs w:val="24"/>
        </w:rPr>
        <w:t>号令《建设项目环境保护设计规定》；</w:t>
      </w:r>
    </w:p>
    <w:p>
      <w:pPr>
        <w:spacing w:before="182" w:line="467" w:lineRule="exact"/>
        <w:ind w:left="525"/>
        <w:rPr>
          <w:rFonts w:ascii="宋体" w:hAnsi="宋体" w:eastAsia="宋体" w:cs="宋体"/>
          <w:sz w:val="24"/>
          <w:szCs w:val="24"/>
        </w:rPr>
      </w:pPr>
      <w:r>
        <w:rPr>
          <w:rFonts w:ascii="宋体" w:hAnsi="宋体" w:eastAsia="宋体" w:cs="宋体"/>
          <w:position w:val="17"/>
          <w:sz w:val="24"/>
          <w:szCs w:val="24"/>
        </w:rPr>
        <w:t>（</w:t>
      </w:r>
      <w:r>
        <w:rPr>
          <w:rFonts w:ascii="Times New Roman" w:hAnsi="Times New Roman" w:eastAsia="Times New Roman" w:cs="Times New Roman"/>
          <w:position w:val="17"/>
          <w:sz w:val="24"/>
          <w:szCs w:val="24"/>
        </w:rPr>
        <w:t>3</w:t>
      </w:r>
      <w:r>
        <w:rPr>
          <w:rFonts w:ascii="宋体" w:hAnsi="宋体" w:eastAsia="宋体" w:cs="宋体"/>
          <w:position w:val="17"/>
          <w:sz w:val="24"/>
          <w:szCs w:val="24"/>
        </w:rPr>
        <w:t>）云南省水利厅（</w:t>
      </w:r>
      <w:r>
        <w:rPr>
          <w:rFonts w:ascii="Times New Roman" w:hAnsi="Times New Roman" w:eastAsia="Times New Roman" w:cs="Times New Roman"/>
          <w:position w:val="17"/>
          <w:sz w:val="24"/>
          <w:szCs w:val="24"/>
        </w:rPr>
        <w:t>88</w:t>
      </w:r>
      <w:r>
        <w:rPr>
          <w:rFonts w:ascii="宋体" w:hAnsi="宋体" w:eastAsia="宋体" w:cs="宋体"/>
          <w:position w:val="17"/>
          <w:sz w:val="24"/>
          <w:szCs w:val="24"/>
        </w:rPr>
        <w:t xml:space="preserve">）云建定字第 </w:t>
      </w:r>
      <w:r>
        <w:rPr>
          <w:rFonts w:ascii="Times New Roman" w:hAnsi="Times New Roman" w:eastAsia="Times New Roman" w:cs="Times New Roman"/>
          <w:position w:val="17"/>
          <w:sz w:val="24"/>
          <w:szCs w:val="24"/>
        </w:rPr>
        <w:t xml:space="preserve">505  </w:t>
      </w:r>
      <w:r>
        <w:rPr>
          <w:rFonts w:ascii="宋体" w:hAnsi="宋体" w:eastAsia="宋体" w:cs="宋体"/>
          <w:position w:val="17"/>
          <w:sz w:val="24"/>
          <w:szCs w:val="24"/>
        </w:rPr>
        <w:t>号文颁发的《云南省水利水电建筑工程预</w:t>
      </w:r>
    </w:p>
    <w:p>
      <w:pPr>
        <w:spacing w:line="219" w:lineRule="auto"/>
        <w:ind w:left="41"/>
        <w:rPr>
          <w:rFonts w:ascii="宋体" w:hAnsi="宋体" w:eastAsia="宋体" w:cs="宋体"/>
          <w:sz w:val="24"/>
          <w:szCs w:val="24"/>
        </w:rPr>
      </w:pPr>
      <w:r>
        <w:rPr>
          <w:rFonts w:ascii="宋体" w:hAnsi="宋体" w:eastAsia="宋体" w:cs="宋体"/>
          <w:spacing w:val="-29"/>
          <w:sz w:val="24"/>
          <w:szCs w:val="24"/>
        </w:rPr>
        <w:t>算定额》；</w:t>
      </w:r>
    </w:p>
    <w:p>
      <w:pPr>
        <w:spacing w:before="182" w:line="218" w:lineRule="auto"/>
        <w:ind w:left="525"/>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4</w:t>
      </w:r>
      <w:r>
        <w:rPr>
          <w:rFonts w:ascii="宋体" w:hAnsi="宋体" w:eastAsia="宋体" w:cs="宋体"/>
          <w:spacing w:val="-7"/>
          <w:sz w:val="24"/>
          <w:szCs w:val="24"/>
        </w:rPr>
        <w:t>）《水利水电工程环境保护概（估）算编制规程</w:t>
      </w:r>
      <w:r>
        <w:rPr>
          <w:rFonts w:ascii="宋体" w:hAnsi="宋体" w:eastAsia="宋体" w:cs="宋体"/>
          <w:spacing w:val="-8"/>
          <w:sz w:val="24"/>
          <w:szCs w:val="24"/>
        </w:rPr>
        <w:t>》（</w:t>
      </w:r>
      <w:r>
        <w:rPr>
          <w:rFonts w:ascii="Times New Roman" w:hAnsi="Times New Roman" w:eastAsia="Times New Roman" w:cs="Times New Roman"/>
          <w:spacing w:val="-8"/>
          <w:sz w:val="24"/>
          <w:szCs w:val="24"/>
        </w:rPr>
        <w:t>SL359-2006</w:t>
      </w:r>
      <w:r>
        <w:rPr>
          <w:rFonts w:ascii="宋体" w:hAnsi="宋体" w:eastAsia="宋体" w:cs="宋体"/>
          <w:spacing w:val="-44"/>
          <w:sz w:val="24"/>
          <w:szCs w:val="24"/>
        </w:rPr>
        <w:t>）；</w:t>
      </w:r>
    </w:p>
    <w:p>
      <w:pPr>
        <w:spacing w:before="183" w:line="467" w:lineRule="exact"/>
        <w:ind w:left="525"/>
        <w:rPr>
          <w:rFonts w:ascii="宋体" w:hAnsi="宋体" w:eastAsia="宋体" w:cs="宋体"/>
          <w:sz w:val="24"/>
          <w:szCs w:val="24"/>
        </w:rPr>
      </w:pPr>
      <w:r>
        <w:rPr>
          <w:rFonts w:ascii="宋体" w:hAnsi="宋体" w:eastAsia="宋体" w:cs="宋体"/>
          <w:spacing w:val="-10"/>
          <w:position w:val="17"/>
          <w:sz w:val="24"/>
          <w:szCs w:val="24"/>
        </w:rPr>
        <w:t>（</w:t>
      </w:r>
      <w:r>
        <w:rPr>
          <w:rFonts w:ascii="Times New Roman" w:hAnsi="Times New Roman" w:eastAsia="Times New Roman" w:cs="Times New Roman"/>
          <w:spacing w:val="-10"/>
          <w:position w:val="17"/>
          <w:sz w:val="24"/>
          <w:szCs w:val="24"/>
        </w:rPr>
        <w:t>5</w:t>
      </w:r>
      <w:r>
        <w:rPr>
          <w:rFonts w:ascii="宋体" w:hAnsi="宋体" w:eastAsia="宋体" w:cs="宋体"/>
          <w:spacing w:val="-10"/>
          <w:position w:val="17"/>
          <w:sz w:val="24"/>
          <w:szCs w:val="24"/>
        </w:rPr>
        <w:t>）《水利水电工程设计概（估）算费用构成及计算标准》；</w:t>
      </w:r>
    </w:p>
    <w:p>
      <w:pPr>
        <w:spacing w:before="1" w:line="219" w:lineRule="auto"/>
        <w:ind w:left="525"/>
        <w:rPr>
          <w:rFonts w:ascii="宋体" w:hAnsi="宋体" w:eastAsia="宋体" w:cs="宋体"/>
          <w:sz w:val="24"/>
          <w:szCs w:val="24"/>
        </w:rPr>
      </w:pPr>
      <w:r>
        <w:rPr>
          <w:rFonts w:ascii="宋体" w:hAnsi="宋体" w:eastAsia="宋体" w:cs="宋体"/>
          <w:spacing w:val="-13"/>
          <w:sz w:val="24"/>
          <w:szCs w:val="24"/>
        </w:rPr>
        <w:t>（</w:t>
      </w:r>
      <w:r>
        <w:rPr>
          <w:rFonts w:ascii="Times New Roman" w:hAnsi="Times New Roman" w:eastAsia="Times New Roman" w:cs="Times New Roman"/>
          <w:spacing w:val="-13"/>
          <w:sz w:val="24"/>
          <w:szCs w:val="24"/>
        </w:rPr>
        <w:t>6</w:t>
      </w:r>
      <w:r>
        <w:rPr>
          <w:rFonts w:ascii="宋体" w:hAnsi="宋体" w:eastAsia="宋体" w:cs="宋体"/>
          <w:spacing w:val="-13"/>
          <w:sz w:val="24"/>
          <w:szCs w:val="24"/>
        </w:rPr>
        <w:t>）《云南省环境监测专业服务收费标准》；</w:t>
      </w:r>
    </w:p>
    <w:p>
      <w:pPr>
        <w:spacing w:before="181" w:line="469" w:lineRule="exact"/>
        <w:jc w:val="right"/>
        <w:rPr>
          <w:rFonts w:ascii="宋体" w:hAnsi="宋体" w:eastAsia="宋体" w:cs="宋体"/>
          <w:sz w:val="24"/>
          <w:szCs w:val="24"/>
        </w:rPr>
      </w:pPr>
      <w:r>
        <w:rPr>
          <w:rFonts w:ascii="宋体" w:hAnsi="宋体" w:eastAsia="宋体" w:cs="宋体"/>
          <w:spacing w:val="-6"/>
          <w:position w:val="17"/>
          <w:sz w:val="24"/>
          <w:szCs w:val="24"/>
        </w:rPr>
        <w:t>（</w:t>
      </w:r>
      <w:r>
        <w:rPr>
          <w:rFonts w:ascii="Times New Roman" w:hAnsi="Times New Roman" w:eastAsia="Times New Roman" w:cs="Times New Roman"/>
          <w:spacing w:val="-6"/>
          <w:position w:val="17"/>
          <w:sz w:val="24"/>
          <w:szCs w:val="24"/>
        </w:rPr>
        <w:t>7</w:t>
      </w:r>
      <w:r>
        <w:rPr>
          <w:rFonts w:ascii="宋体" w:hAnsi="宋体" w:eastAsia="宋体" w:cs="宋体"/>
          <w:spacing w:val="-6"/>
          <w:position w:val="17"/>
          <w:sz w:val="24"/>
          <w:szCs w:val="24"/>
        </w:rPr>
        <w:t>）《云南省水利水电工程设计概（估）算费用构成及计算标准》（云水建字［</w:t>
      </w:r>
      <w:r>
        <w:rPr>
          <w:rFonts w:ascii="Times New Roman" w:hAnsi="Times New Roman" w:eastAsia="Times New Roman" w:cs="Times New Roman"/>
          <w:spacing w:val="-6"/>
          <w:position w:val="17"/>
          <w:sz w:val="24"/>
          <w:szCs w:val="24"/>
        </w:rPr>
        <w:t>2000</w:t>
      </w:r>
      <w:r>
        <w:rPr>
          <w:rFonts w:ascii="宋体" w:hAnsi="宋体" w:eastAsia="宋体" w:cs="宋体"/>
          <w:spacing w:val="-6"/>
          <w:position w:val="17"/>
          <w:sz w:val="24"/>
          <w:szCs w:val="24"/>
        </w:rPr>
        <w:t>］</w:t>
      </w:r>
    </w:p>
    <w:p>
      <w:pPr>
        <w:spacing w:line="219" w:lineRule="auto"/>
        <w:ind w:left="39"/>
        <w:rPr>
          <w:rFonts w:ascii="宋体" w:hAnsi="宋体" w:eastAsia="宋体" w:cs="宋体"/>
          <w:sz w:val="24"/>
          <w:szCs w:val="24"/>
        </w:rPr>
      </w:pPr>
      <w:r>
        <w:rPr>
          <w:rFonts w:ascii="宋体" w:hAnsi="宋体" w:eastAsia="宋体" w:cs="宋体"/>
          <w:spacing w:val="-22"/>
          <w:w w:val="94"/>
          <w:sz w:val="24"/>
          <w:szCs w:val="24"/>
        </w:rPr>
        <w:t>第</w:t>
      </w:r>
      <w:r>
        <w:rPr>
          <w:rFonts w:ascii="宋体" w:hAnsi="宋体" w:eastAsia="宋体" w:cs="宋体"/>
          <w:spacing w:val="-48"/>
          <w:sz w:val="24"/>
          <w:szCs w:val="24"/>
        </w:rPr>
        <w:t xml:space="preserve"> </w:t>
      </w:r>
      <w:r>
        <w:rPr>
          <w:rFonts w:ascii="Times New Roman" w:hAnsi="Times New Roman" w:eastAsia="Times New Roman" w:cs="Times New Roman"/>
          <w:spacing w:val="-22"/>
          <w:w w:val="94"/>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22"/>
          <w:w w:val="94"/>
          <w:sz w:val="24"/>
          <w:szCs w:val="24"/>
        </w:rPr>
        <w:t>号</w:t>
      </w:r>
      <w:r>
        <w:rPr>
          <w:rFonts w:ascii="宋体" w:hAnsi="宋体" w:eastAsia="宋体" w:cs="宋体"/>
          <w:spacing w:val="-36"/>
          <w:sz w:val="24"/>
          <w:szCs w:val="24"/>
        </w:rPr>
        <w:t>）；</w:t>
      </w:r>
    </w:p>
    <w:p>
      <w:pPr>
        <w:spacing w:before="182" w:line="466" w:lineRule="exact"/>
        <w:ind w:left="525"/>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8</w:t>
      </w:r>
      <w:r>
        <w:rPr>
          <w:rFonts w:ascii="宋体" w:hAnsi="宋体" w:eastAsia="宋体" w:cs="宋体"/>
          <w:spacing w:val="-2"/>
          <w:position w:val="17"/>
          <w:sz w:val="24"/>
          <w:szCs w:val="24"/>
        </w:rPr>
        <w:t>）主体工程设计有关报告、图纸及参数，有关</w:t>
      </w:r>
      <w:r>
        <w:rPr>
          <w:rFonts w:ascii="宋体" w:hAnsi="宋体" w:eastAsia="宋体" w:cs="宋体"/>
          <w:spacing w:val="-3"/>
          <w:position w:val="17"/>
          <w:sz w:val="24"/>
          <w:szCs w:val="24"/>
        </w:rPr>
        <w:t>环境保护设计成果；</w:t>
      </w:r>
    </w:p>
    <w:p>
      <w:pPr>
        <w:spacing w:before="1" w:line="218"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9</w:t>
      </w:r>
      <w:r>
        <w:rPr>
          <w:rFonts w:ascii="宋体" w:hAnsi="宋体" w:eastAsia="宋体" w:cs="宋体"/>
          <w:spacing w:val="-3"/>
          <w:sz w:val="24"/>
          <w:szCs w:val="24"/>
        </w:rPr>
        <w:t>）单价采用国家现行有关政策与现行物价。</w:t>
      </w:r>
    </w:p>
    <w:p>
      <w:pPr>
        <w:spacing w:line="218" w:lineRule="auto"/>
        <w:rPr>
          <w:rFonts w:ascii="宋体" w:hAnsi="宋体" w:eastAsia="宋体" w:cs="宋体"/>
          <w:sz w:val="24"/>
          <w:szCs w:val="24"/>
        </w:rPr>
        <w:sectPr>
          <w:headerReference r:id="rId479" w:type="default"/>
          <w:footerReference r:id="rId480" w:type="default"/>
          <w:pgSz w:w="11910" w:h="16840"/>
          <w:pgMar w:top="1183" w:right="1153" w:bottom="1582" w:left="1230" w:header="908" w:footer="1419" w:gutter="0"/>
        </w:sectPr>
      </w:pPr>
    </w:p>
    <w:p>
      <w:pPr>
        <w:pStyle w:val="2"/>
        <w:spacing w:before="211" w:line="232" w:lineRule="auto"/>
        <w:ind w:left="38"/>
        <w:outlineLvl w:val="2"/>
        <w:rPr>
          <w:sz w:val="24"/>
          <w:szCs w:val="24"/>
        </w:rPr>
      </w:pPr>
      <w:r>
        <w:rPr>
          <w:rFonts w:ascii="Times New Roman" w:hAnsi="Times New Roman" w:eastAsia="Times New Roman" w:cs="Times New Roman"/>
          <w:b/>
          <w:bCs/>
          <w:spacing w:val="-1"/>
          <w:sz w:val="24"/>
          <w:szCs w:val="24"/>
        </w:rPr>
        <w:t xml:space="preserve">8.1.3 </w:t>
      </w:r>
      <w:r>
        <w:rPr>
          <w:spacing w:val="-1"/>
          <w:sz w:val="24"/>
          <w:szCs w:val="24"/>
          <w14:textOutline w14:w="4354" w14:cap="flat" w14:cmpd="sng">
            <w14:solidFill>
              <w14:srgbClr w14:val="000000"/>
            </w14:solidFill>
            <w14:prstDash w14:val="solid"/>
            <w14:miter w14:val="0"/>
          </w14:textOutline>
        </w:rPr>
        <w:t>环境保护投资概算</w:t>
      </w:r>
    </w:p>
    <w:p>
      <w:pPr>
        <w:spacing w:before="164" w:line="466" w:lineRule="exact"/>
        <w:ind w:left="522"/>
        <w:rPr>
          <w:rFonts w:ascii="宋体" w:hAnsi="宋体" w:eastAsia="宋体" w:cs="宋体"/>
          <w:sz w:val="24"/>
          <w:szCs w:val="24"/>
        </w:rPr>
      </w:pPr>
      <w:r>
        <w:rPr>
          <w:rFonts w:ascii="宋体" w:hAnsi="宋体" w:eastAsia="宋体" w:cs="宋体"/>
          <w:spacing w:val="-4"/>
          <w:position w:val="17"/>
          <w:sz w:val="24"/>
          <w:szCs w:val="24"/>
        </w:rPr>
        <w:t>工程环境保护投资概算共计为</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 xml:space="preserve">1447.07 </w:t>
      </w:r>
      <w:r>
        <w:rPr>
          <w:rFonts w:ascii="宋体" w:hAnsi="宋体" w:eastAsia="宋体" w:cs="宋体"/>
          <w:spacing w:val="-4"/>
          <w:position w:val="17"/>
          <w:sz w:val="24"/>
          <w:szCs w:val="24"/>
        </w:rPr>
        <w:t>元（包</w:t>
      </w:r>
      <w:r>
        <w:rPr>
          <w:rFonts w:ascii="宋体" w:hAnsi="宋体" w:eastAsia="宋体" w:cs="宋体"/>
          <w:spacing w:val="-5"/>
          <w:position w:val="17"/>
          <w:sz w:val="24"/>
          <w:szCs w:val="24"/>
        </w:rPr>
        <w:t>含水土保持投资</w:t>
      </w:r>
      <w:r>
        <w:rPr>
          <w:rFonts w:ascii="宋体" w:hAnsi="宋体" w:eastAsia="宋体" w:cs="宋体"/>
          <w:spacing w:val="-7"/>
          <w:position w:val="17"/>
          <w:sz w:val="24"/>
          <w:szCs w:val="24"/>
        </w:rPr>
        <w:t>），</w:t>
      </w:r>
      <w:r>
        <w:rPr>
          <w:rFonts w:ascii="宋体" w:hAnsi="宋体" w:eastAsia="宋体" w:cs="宋体"/>
          <w:spacing w:val="-5"/>
          <w:position w:val="17"/>
          <w:sz w:val="24"/>
          <w:szCs w:val="24"/>
        </w:rPr>
        <w:t>占项目总投资的</w:t>
      </w:r>
    </w:p>
    <w:p>
      <w:pPr>
        <w:spacing w:line="233" w:lineRule="auto"/>
        <w:ind w:left="58"/>
        <w:rPr>
          <w:rFonts w:ascii="宋体" w:hAnsi="宋体" w:eastAsia="宋体" w:cs="宋体"/>
          <w:sz w:val="24"/>
          <w:szCs w:val="24"/>
        </w:rPr>
      </w:pPr>
      <w:r>
        <w:rPr>
          <w:rFonts w:ascii="Times New Roman" w:hAnsi="Times New Roman" w:eastAsia="Times New Roman" w:cs="Times New Roman"/>
          <w:spacing w:val="-2"/>
          <w:sz w:val="24"/>
          <w:szCs w:val="24"/>
        </w:rPr>
        <w:t>1.98%</w:t>
      </w:r>
      <w:r>
        <w:rPr>
          <w:rFonts w:ascii="宋体" w:hAnsi="宋体" w:eastAsia="宋体" w:cs="宋体"/>
          <w:spacing w:val="-2"/>
          <w:sz w:val="24"/>
          <w:szCs w:val="24"/>
        </w:rPr>
        <w:t xml:space="preserve">，工程环境保护总投资概算见表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192" w:line="213" w:lineRule="auto"/>
        <w:ind w:left="3169"/>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表</w:t>
      </w:r>
      <w:r>
        <w:rPr>
          <w:rFonts w:ascii="宋体" w:hAnsi="宋体" w:eastAsia="宋体" w:cs="宋体"/>
          <w:spacing w:val="-33"/>
          <w:sz w:val="21"/>
          <w:szCs w:val="21"/>
        </w:rPr>
        <w:t xml:space="preserve"> </w:t>
      </w:r>
      <w:r>
        <w:rPr>
          <w:rFonts w:ascii="Times New Roman" w:hAnsi="Times New Roman" w:eastAsia="Times New Roman" w:cs="Times New Roman"/>
          <w:b/>
          <w:bCs/>
          <w:spacing w:val="-1"/>
          <w:sz w:val="21"/>
          <w:szCs w:val="21"/>
        </w:rPr>
        <w:t xml:space="preserve">8.1-1  </w:t>
      </w:r>
      <w:r>
        <w:rPr>
          <w:rFonts w:ascii="宋体" w:hAnsi="宋体" w:eastAsia="宋体" w:cs="宋体"/>
          <w:spacing w:val="-1"/>
          <w:sz w:val="21"/>
          <w:szCs w:val="21"/>
          <w14:textOutline w14:w="3810" w14:cap="flat" w14:cmpd="sng">
            <w14:solidFill>
              <w14:srgbClr w14:val="000000"/>
            </w14:solidFill>
            <w14:prstDash w14:val="solid"/>
            <w14:miter w14:val="0"/>
          </w14:textOutline>
        </w:rPr>
        <w:t>环境保护措施投资明细表</w:t>
      </w:r>
    </w:p>
    <w:tbl>
      <w:tblPr>
        <w:tblStyle w:val="5"/>
        <w:tblW w:w="9405"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2548"/>
        <w:gridCol w:w="1022"/>
        <w:gridCol w:w="620"/>
        <w:gridCol w:w="932"/>
        <w:gridCol w:w="1434"/>
        <w:gridCol w:w="21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716" w:type="dxa"/>
            <w:tcBorders>
              <w:top w:val="single" w:color="000000" w:sz="12" w:space="0"/>
              <w:left w:val="nil"/>
            </w:tcBorders>
            <w:vAlign w:val="top"/>
          </w:tcPr>
          <w:p>
            <w:pPr>
              <w:spacing w:before="166" w:line="218" w:lineRule="auto"/>
              <w:ind w:left="16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2548" w:type="dxa"/>
            <w:tcBorders>
              <w:top w:val="single" w:color="000000" w:sz="12" w:space="0"/>
            </w:tcBorders>
            <w:vAlign w:val="top"/>
          </w:tcPr>
          <w:p>
            <w:pPr>
              <w:spacing w:before="165" w:line="220" w:lineRule="auto"/>
              <w:ind w:left="107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1022" w:type="dxa"/>
            <w:tcBorders>
              <w:top w:val="single" w:color="000000" w:sz="12" w:space="0"/>
            </w:tcBorders>
            <w:vAlign w:val="top"/>
          </w:tcPr>
          <w:p>
            <w:pPr>
              <w:spacing w:before="165" w:line="217" w:lineRule="auto"/>
              <w:ind w:left="317"/>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单位</w:t>
            </w:r>
          </w:p>
        </w:tc>
        <w:tc>
          <w:tcPr>
            <w:tcW w:w="620" w:type="dxa"/>
            <w:tcBorders>
              <w:top w:val="single" w:color="000000" w:sz="12" w:space="0"/>
            </w:tcBorders>
            <w:vAlign w:val="top"/>
          </w:tcPr>
          <w:p>
            <w:pPr>
              <w:spacing w:before="166" w:line="219" w:lineRule="auto"/>
              <w:ind w:left="109"/>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数量</w:t>
            </w:r>
          </w:p>
        </w:tc>
        <w:tc>
          <w:tcPr>
            <w:tcW w:w="932" w:type="dxa"/>
            <w:tcBorders>
              <w:top w:val="single" w:color="000000" w:sz="12" w:space="0"/>
            </w:tcBorders>
            <w:vAlign w:val="top"/>
          </w:tcPr>
          <w:p>
            <w:pPr>
              <w:spacing w:before="30" w:line="223" w:lineRule="auto"/>
              <w:ind w:left="55" w:right="55" w:firstLine="215"/>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单价</w:t>
            </w:r>
            <w:r>
              <w:rPr>
                <w:rFonts w:ascii="仿宋" w:hAnsi="仿宋" w:eastAsia="仿宋" w:cs="仿宋"/>
                <w:sz w:val="21"/>
                <w:szCs w:val="21"/>
              </w:rPr>
              <w:t xml:space="preserve">   </w:t>
            </w:r>
            <w:r>
              <w:rPr>
                <w:rFonts w:ascii="仿宋" w:hAnsi="仿宋" w:eastAsia="仿宋" w:cs="仿宋"/>
                <w:spacing w:val="-7"/>
                <w:sz w:val="21"/>
                <w:szCs w:val="21"/>
                <w14:textOutline w14:w="3810" w14:cap="flat" w14:cmpd="sng">
                  <w14:solidFill>
                    <w14:srgbClr w14:val="000000"/>
                  </w14:solidFill>
                  <w14:prstDash w14:val="solid"/>
                  <w14:miter w14:val="0"/>
                </w14:textOutline>
              </w:rPr>
              <w:t>（万元）</w:t>
            </w:r>
          </w:p>
        </w:tc>
        <w:tc>
          <w:tcPr>
            <w:tcW w:w="1434" w:type="dxa"/>
            <w:tcBorders>
              <w:top w:val="single" w:color="000000" w:sz="12" w:space="0"/>
            </w:tcBorders>
            <w:vAlign w:val="top"/>
          </w:tcPr>
          <w:p>
            <w:pPr>
              <w:spacing w:before="165" w:line="220" w:lineRule="auto"/>
              <w:ind w:left="96"/>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投资（万元）</w:t>
            </w:r>
          </w:p>
        </w:tc>
        <w:tc>
          <w:tcPr>
            <w:tcW w:w="2133" w:type="dxa"/>
            <w:tcBorders>
              <w:top w:val="single" w:color="000000" w:sz="12" w:space="0"/>
              <w:right w:val="nil"/>
            </w:tcBorders>
            <w:vAlign w:val="top"/>
          </w:tcPr>
          <w:p>
            <w:pPr>
              <w:spacing w:before="166" w:line="220" w:lineRule="auto"/>
              <w:ind w:left="87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spacing w:before="116" w:line="149" w:lineRule="exact"/>
              <w:ind w:left="274"/>
              <w:rPr>
                <w:rFonts w:ascii="仿宋" w:hAnsi="仿宋" w:eastAsia="仿宋" w:cs="仿宋"/>
                <w:sz w:val="21"/>
                <w:szCs w:val="21"/>
              </w:rPr>
            </w:pPr>
            <w:r>
              <w:rPr>
                <w:rFonts w:ascii="仿宋" w:hAnsi="仿宋" w:eastAsia="仿宋" w:cs="仿宋"/>
                <w:position w:val="-4"/>
                <w:sz w:val="21"/>
                <w:szCs w:val="21"/>
                <w14:textOutline w14:w="3810" w14:cap="flat" w14:cmpd="sng">
                  <w14:solidFill>
                    <w14:srgbClr w14:val="000000"/>
                  </w14:solidFill>
                  <w14:prstDash w14:val="solid"/>
                  <w14:miter w14:val="0"/>
                </w14:textOutline>
              </w:rPr>
              <w:t>一</w:t>
            </w:r>
          </w:p>
        </w:tc>
        <w:tc>
          <w:tcPr>
            <w:tcW w:w="2548" w:type="dxa"/>
            <w:vAlign w:val="top"/>
          </w:tcPr>
          <w:p>
            <w:pPr>
              <w:spacing w:before="31" w:line="206" w:lineRule="auto"/>
              <w:ind w:left="652"/>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环境保护措施</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70" w:line="186" w:lineRule="auto"/>
              <w:ind w:left="387"/>
            </w:pPr>
            <w:r>
              <w:rPr>
                <w:b/>
                <w:bCs/>
                <w:spacing w:val="-2"/>
              </w:rPr>
              <w:t>1298.42</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71" w:line="186" w:lineRule="auto"/>
              <w:ind w:left="324"/>
            </w:pPr>
            <w:r>
              <w:rPr>
                <w:b/>
                <w:bCs/>
              </w:rPr>
              <w:t>1</w:t>
            </w:r>
          </w:p>
        </w:tc>
        <w:tc>
          <w:tcPr>
            <w:tcW w:w="2548" w:type="dxa"/>
            <w:vAlign w:val="top"/>
          </w:tcPr>
          <w:p>
            <w:pPr>
              <w:spacing w:before="32" w:line="205" w:lineRule="auto"/>
              <w:ind w:left="876"/>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生态保护</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71" w:line="186" w:lineRule="auto"/>
              <w:ind w:left="387"/>
            </w:pPr>
            <w:r>
              <w:rPr>
                <w:b/>
                <w:bCs/>
                <w:spacing w:val="-2"/>
              </w:rPr>
              <w:t>1190.02</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8" w:hRule="atLeast"/>
        </w:trPr>
        <w:tc>
          <w:tcPr>
            <w:tcW w:w="716" w:type="dxa"/>
            <w:tcBorders>
              <w:left w:val="nil"/>
            </w:tcBorders>
            <w:vAlign w:val="top"/>
          </w:tcPr>
          <w:p>
            <w:pPr>
              <w:pStyle w:val="6"/>
              <w:spacing w:before="209" w:line="186" w:lineRule="auto"/>
              <w:ind w:left="245"/>
            </w:pPr>
            <w:r>
              <w:rPr>
                <w:b/>
                <w:bCs/>
                <w:spacing w:val="-5"/>
              </w:rPr>
              <w:t>1.1</w:t>
            </w:r>
          </w:p>
        </w:tc>
        <w:tc>
          <w:tcPr>
            <w:tcW w:w="2548" w:type="dxa"/>
            <w:vAlign w:val="top"/>
          </w:tcPr>
          <w:p>
            <w:pPr>
              <w:spacing w:before="35" w:line="221" w:lineRule="auto"/>
              <w:ind w:left="973" w:right="116" w:hanging="840"/>
              <w:rPr>
                <w:rFonts w:ascii="仿宋" w:hAnsi="仿宋" w:eastAsia="仿宋" w:cs="仿宋"/>
                <w:sz w:val="21"/>
                <w:szCs w:val="21"/>
              </w:rPr>
            </w:pPr>
            <w:r>
              <w:rPr>
                <w:rFonts w:ascii="仿宋" w:hAnsi="仿宋" w:eastAsia="仿宋" w:cs="仿宋"/>
                <w:spacing w:val="-2"/>
                <w:sz w:val="21"/>
                <w:szCs w:val="21"/>
              </w:rPr>
              <w:t>森林、野生动物的保护宣</w:t>
            </w:r>
            <w:r>
              <w:rPr>
                <w:rFonts w:ascii="仿宋" w:hAnsi="仿宋" w:eastAsia="仿宋" w:cs="仿宋"/>
                <w:spacing w:val="4"/>
                <w:sz w:val="21"/>
                <w:szCs w:val="21"/>
              </w:rPr>
              <w:t xml:space="preserve"> </w:t>
            </w:r>
            <w:r>
              <w:rPr>
                <w:rFonts w:ascii="仿宋" w:hAnsi="仿宋" w:eastAsia="仿宋" w:cs="仿宋"/>
                <w:spacing w:val="-6"/>
                <w:sz w:val="21"/>
                <w:szCs w:val="21"/>
              </w:rPr>
              <w:t>传教育</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pStyle w:val="6"/>
              <w:spacing w:before="209" w:line="186" w:lineRule="auto"/>
              <w:ind w:left="339"/>
            </w:pPr>
            <w:r>
              <w:rPr>
                <w:spacing w:val="-3"/>
              </w:rPr>
              <w:t>0.5</w:t>
            </w:r>
          </w:p>
        </w:tc>
        <w:tc>
          <w:tcPr>
            <w:tcW w:w="1434" w:type="dxa"/>
            <w:vAlign w:val="top"/>
          </w:tcPr>
          <w:p>
            <w:pPr>
              <w:pStyle w:val="6"/>
              <w:spacing w:before="209" w:line="186" w:lineRule="auto"/>
              <w:ind w:left="591"/>
            </w:pPr>
            <w:r>
              <w:rPr>
                <w:spacing w:val="-3"/>
              </w:rPr>
              <w:t>0.5</w:t>
            </w:r>
          </w:p>
        </w:tc>
        <w:tc>
          <w:tcPr>
            <w:tcW w:w="2133" w:type="dxa"/>
            <w:tcBorders>
              <w:right w:val="nil"/>
            </w:tcBorders>
            <w:vAlign w:val="top"/>
          </w:tcPr>
          <w:p>
            <w:pPr>
              <w:spacing w:before="171" w:line="218" w:lineRule="auto"/>
              <w:ind w:left="660"/>
              <w:rPr>
                <w:rFonts w:ascii="仿宋" w:hAnsi="仿宋" w:eastAsia="仿宋" w:cs="仿宋"/>
                <w:sz w:val="21"/>
                <w:szCs w:val="21"/>
              </w:rPr>
            </w:pPr>
            <w:r>
              <w:rPr>
                <w:rFonts w:ascii="仿宋" w:hAnsi="仿宋" w:eastAsia="仿宋" w:cs="仿宋"/>
                <w:spacing w:val="-3"/>
                <w:sz w:val="21"/>
                <w:szCs w:val="21"/>
              </w:rPr>
              <w:t>环评提出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16" w:type="dxa"/>
            <w:tcBorders>
              <w:left w:val="nil"/>
            </w:tcBorders>
            <w:vAlign w:val="top"/>
          </w:tcPr>
          <w:p>
            <w:pPr>
              <w:pStyle w:val="6"/>
              <w:spacing w:before="75" w:line="186" w:lineRule="auto"/>
              <w:ind w:left="256"/>
            </w:pPr>
            <w:r>
              <w:rPr>
                <w:spacing w:val="-8"/>
              </w:rPr>
              <w:t>1.2</w:t>
            </w:r>
          </w:p>
        </w:tc>
        <w:tc>
          <w:tcPr>
            <w:tcW w:w="2548" w:type="dxa"/>
            <w:vAlign w:val="top"/>
          </w:tcPr>
          <w:p>
            <w:pPr>
              <w:spacing w:before="37" w:line="203" w:lineRule="auto"/>
              <w:ind w:left="654"/>
              <w:rPr>
                <w:rFonts w:ascii="仿宋" w:hAnsi="仿宋" w:eastAsia="仿宋" w:cs="仿宋"/>
                <w:sz w:val="21"/>
                <w:szCs w:val="21"/>
              </w:rPr>
            </w:pPr>
            <w:r>
              <w:rPr>
                <w:rFonts w:ascii="仿宋" w:hAnsi="仿宋" w:eastAsia="仿宋" w:cs="仿宋"/>
                <w:spacing w:val="-2"/>
                <w:sz w:val="21"/>
                <w:szCs w:val="21"/>
              </w:rPr>
              <w:t>植被恢复工程</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61" w:line="186" w:lineRule="auto"/>
              <w:ind w:left="398"/>
            </w:pPr>
            <w:r>
              <w:rPr>
                <w:spacing w:val="-4"/>
              </w:rPr>
              <w:t>1189.52</w:t>
            </w:r>
          </w:p>
        </w:tc>
        <w:tc>
          <w:tcPr>
            <w:tcW w:w="2133" w:type="dxa"/>
            <w:vMerge w:val="restart"/>
            <w:tcBorders>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74" w:line="186" w:lineRule="auto"/>
              <w:ind w:left="256"/>
            </w:pPr>
            <w:r>
              <w:rPr>
                <w:spacing w:val="-8"/>
              </w:rPr>
              <w:t>1.3</w:t>
            </w:r>
          </w:p>
        </w:tc>
        <w:tc>
          <w:tcPr>
            <w:tcW w:w="2548" w:type="dxa"/>
            <w:vAlign w:val="top"/>
          </w:tcPr>
          <w:p>
            <w:pPr>
              <w:spacing w:before="36" w:line="202" w:lineRule="auto"/>
              <w:ind w:left="864"/>
              <w:rPr>
                <w:rFonts w:ascii="仿宋" w:hAnsi="仿宋" w:eastAsia="仿宋" w:cs="仿宋"/>
                <w:sz w:val="21"/>
                <w:szCs w:val="21"/>
              </w:rPr>
            </w:pPr>
            <w:r>
              <w:rPr>
                <w:rFonts w:ascii="仿宋" w:hAnsi="仿宋" w:eastAsia="仿宋" w:cs="仿宋"/>
                <w:spacing w:val="-3"/>
                <w:sz w:val="21"/>
                <w:szCs w:val="21"/>
              </w:rPr>
              <w:t>护坡措施</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Merge w:val="continue"/>
            <w:tcBorders>
              <w:top w:val="nil"/>
              <w:bottom w:val="nil"/>
            </w:tcBorders>
            <w:vAlign w:val="top"/>
          </w:tcPr>
          <w:p>
            <w:pPr>
              <w:rPr>
                <w:rFonts w:ascii="Arial"/>
                <w:sz w:val="21"/>
              </w:rPr>
            </w:pPr>
          </w:p>
        </w:tc>
        <w:tc>
          <w:tcPr>
            <w:tcW w:w="2133"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75" w:line="186" w:lineRule="auto"/>
              <w:ind w:left="256"/>
            </w:pPr>
            <w:r>
              <w:rPr>
                <w:spacing w:val="-8"/>
              </w:rPr>
              <w:t>1.4</w:t>
            </w:r>
          </w:p>
        </w:tc>
        <w:tc>
          <w:tcPr>
            <w:tcW w:w="2548" w:type="dxa"/>
            <w:vAlign w:val="top"/>
          </w:tcPr>
          <w:p>
            <w:pPr>
              <w:spacing w:before="37" w:line="201" w:lineRule="auto"/>
              <w:ind w:left="340"/>
              <w:rPr>
                <w:rFonts w:ascii="仿宋" w:hAnsi="仿宋" w:eastAsia="仿宋" w:cs="仿宋"/>
                <w:sz w:val="21"/>
                <w:szCs w:val="21"/>
              </w:rPr>
            </w:pPr>
            <w:r>
              <w:rPr>
                <w:rFonts w:ascii="仿宋" w:hAnsi="仿宋" w:eastAsia="仿宋" w:cs="仿宋"/>
                <w:spacing w:val="-2"/>
                <w:sz w:val="21"/>
                <w:szCs w:val="21"/>
              </w:rPr>
              <w:t>施工期临时工程措施</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Merge w:val="continue"/>
            <w:tcBorders>
              <w:top w:val="nil"/>
              <w:bottom w:val="nil"/>
            </w:tcBorders>
            <w:vAlign w:val="top"/>
          </w:tcPr>
          <w:p>
            <w:pPr>
              <w:rPr>
                <w:rFonts w:ascii="Arial"/>
                <w:sz w:val="21"/>
              </w:rPr>
            </w:pPr>
          </w:p>
        </w:tc>
        <w:tc>
          <w:tcPr>
            <w:tcW w:w="2133"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16" w:type="dxa"/>
            <w:tcBorders>
              <w:left w:val="nil"/>
            </w:tcBorders>
            <w:vAlign w:val="top"/>
          </w:tcPr>
          <w:p>
            <w:pPr>
              <w:pStyle w:val="6"/>
              <w:spacing w:before="76" w:line="186" w:lineRule="auto"/>
              <w:ind w:left="256"/>
            </w:pPr>
            <w:r>
              <w:rPr>
                <w:spacing w:val="-8"/>
              </w:rPr>
              <w:t>1.5</w:t>
            </w:r>
          </w:p>
        </w:tc>
        <w:tc>
          <w:tcPr>
            <w:tcW w:w="2548" w:type="dxa"/>
            <w:vAlign w:val="top"/>
          </w:tcPr>
          <w:p>
            <w:pPr>
              <w:spacing w:before="39" w:line="201" w:lineRule="auto"/>
              <w:ind w:left="658"/>
              <w:rPr>
                <w:rFonts w:ascii="仿宋" w:hAnsi="仿宋" w:eastAsia="仿宋" w:cs="仿宋"/>
                <w:sz w:val="21"/>
                <w:szCs w:val="21"/>
              </w:rPr>
            </w:pPr>
            <w:r>
              <w:rPr>
                <w:rFonts w:ascii="仿宋" w:hAnsi="仿宋" w:eastAsia="仿宋" w:cs="仿宋"/>
                <w:spacing w:val="-3"/>
                <w:sz w:val="21"/>
                <w:szCs w:val="21"/>
              </w:rPr>
              <w:t>绿化美化措施</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Merge w:val="continue"/>
            <w:tcBorders>
              <w:top w:val="nil"/>
              <w:bottom w:val="nil"/>
            </w:tcBorders>
            <w:vAlign w:val="top"/>
          </w:tcPr>
          <w:p>
            <w:pPr>
              <w:rPr>
                <w:rFonts w:ascii="Arial"/>
                <w:sz w:val="21"/>
              </w:rPr>
            </w:pPr>
          </w:p>
        </w:tc>
        <w:tc>
          <w:tcPr>
            <w:tcW w:w="2133"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76" w:line="186" w:lineRule="auto"/>
              <w:ind w:left="256"/>
            </w:pPr>
            <w:r>
              <w:rPr>
                <w:spacing w:val="-8"/>
              </w:rPr>
              <w:t>1.6</w:t>
            </w:r>
          </w:p>
        </w:tc>
        <w:tc>
          <w:tcPr>
            <w:tcW w:w="2548" w:type="dxa"/>
            <w:vAlign w:val="top"/>
          </w:tcPr>
          <w:p>
            <w:pPr>
              <w:spacing w:before="38" w:line="200" w:lineRule="auto"/>
              <w:ind w:left="550"/>
              <w:rPr>
                <w:rFonts w:ascii="仿宋" w:hAnsi="仿宋" w:eastAsia="仿宋" w:cs="仿宋"/>
                <w:sz w:val="21"/>
                <w:szCs w:val="21"/>
              </w:rPr>
            </w:pPr>
            <w:r>
              <w:rPr>
                <w:rFonts w:ascii="仿宋" w:hAnsi="仿宋" w:eastAsia="仿宋" w:cs="仿宋"/>
                <w:spacing w:val="-2"/>
                <w:sz w:val="21"/>
                <w:szCs w:val="21"/>
              </w:rPr>
              <w:t>截排水工程措施</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Merge w:val="continue"/>
            <w:tcBorders>
              <w:top w:val="nil"/>
              <w:bottom w:val="nil"/>
            </w:tcBorders>
            <w:vAlign w:val="top"/>
          </w:tcPr>
          <w:p>
            <w:pPr>
              <w:rPr>
                <w:rFonts w:ascii="Arial"/>
                <w:sz w:val="21"/>
              </w:rPr>
            </w:pPr>
          </w:p>
        </w:tc>
        <w:tc>
          <w:tcPr>
            <w:tcW w:w="2133"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77" w:line="186" w:lineRule="auto"/>
              <w:ind w:left="256"/>
            </w:pPr>
            <w:r>
              <w:rPr>
                <w:spacing w:val="-8"/>
              </w:rPr>
              <w:t>1.7</w:t>
            </w:r>
          </w:p>
        </w:tc>
        <w:tc>
          <w:tcPr>
            <w:tcW w:w="2548" w:type="dxa"/>
            <w:vAlign w:val="top"/>
          </w:tcPr>
          <w:p>
            <w:pPr>
              <w:spacing w:before="38" w:line="200" w:lineRule="auto"/>
              <w:ind w:left="654"/>
              <w:rPr>
                <w:rFonts w:ascii="仿宋" w:hAnsi="仿宋" w:eastAsia="仿宋" w:cs="仿宋"/>
                <w:sz w:val="21"/>
                <w:szCs w:val="21"/>
              </w:rPr>
            </w:pPr>
            <w:r>
              <w:rPr>
                <w:rFonts w:ascii="仿宋" w:hAnsi="仿宋" w:eastAsia="仿宋" w:cs="仿宋"/>
                <w:spacing w:val="-2"/>
                <w:sz w:val="21"/>
                <w:szCs w:val="21"/>
              </w:rPr>
              <w:t>拦挡工程措施</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Merge w:val="continue"/>
            <w:tcBorders>
              <w:top w:val="nil"/>
              <w:bottom w:val="nil"/>
            </w:tcBorders>
            <w:vAlign w:val="top"/>
          </w:tcPr>
          <w:p>
            <w:pPr>
              <w:rPr>
                <w:rFonts w:ascii="Arial"/>
                <w:sz w:val="21"/>
              </w:rPr>
            </w:pPr>
          </w:p>
        </w:tc>
        <w:tc>
          <w:tcPr>
            <w:tcW w:w="2133" w:type="dxa"/>
            <w:vMerge w:val="continue"/>
            <w:tcBorders>
              <w:top w:val="nil"/>
              <w:bottom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78" w:line="186" w:lineRule="auto"/>
              <w:ind w:left="256"/>
            </w:pPr>
            <w:r>
              <w:rPr>
                <w:spacing w:val="-8"/>
              </w:rPr>
              <w:t>1.8</w:t>
            </w:r>
          </w:p>
        </w:tc>
        <w:tc>
          <w:tcPr>
            <w:tcW w:w="2548" w:type="dxa"/>
            <w:vAlign w:val="top"/>
          </w:tcPr>
          <w:p>
            <w:pPr>
              <w:spacing w:before="39" w:line="199" w:lineRule="auto"/>
              <w:ind w:left="656"/>
              <w:rPr>
                <w:rFonts w:ascii="仿宋" w:hAnsi="仿宋" w:eastAsia="仿宋" w:cs="仿宋"/>
                <w:sz w:val="21"/>
                <w:szCs w:val="21"/>
              </w:rPr>
            </w:pPr>
            <w:r>
              <w:rPr>
                <w:rFonts w:ascii="仿宋" w:hAnsi="仿宋" w:eastAsia="仿宋" w:cs="仿宋"/>
                <w:spacing w:val="-3"/>
                <w:sz w:val="21"/>
                <w:szCs w:val="21"/>
              </w:rPr>
              <w:t>迹地恢复措施</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Merge w:val="continue"/>
            <w:tcBorders>
              <w:top w:val="nil"/>
            </w:tcBorders>
            <w:vAlign w:val="top"/>
          </w:tcPr>
          <w:p>
            <w:pPr>
              <w:rPr>
                <w:rFonts w:ascii="Arial"/>
                <w:sz w:val="21"/>
              </w:rPr>
            </w:pPr>
          </w:p>
        </w:tc>
        <w:tc>
          <w:tcPr>
            <w:tcW w:w="2133" w:type="dxa"/>
            <w:vMerge w:val="continue"/>
            <w:tcBorders>
              <w:top w:val="nil"/>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16" w:type="dxa"/>
            <w:tcBorders>
              <w:left w:val="nil"/>
            </w:tcBorders>
            <w:vAlign w:val="top"/>
          </w:tcPr>
          <w:p>
            <w:pPr>
              <w:pStyle w:val="6"/>
              <w:spacing w:before="80" w:line="186" w:lineRule="auto"/>
              <w:ind w:left="315"/>
            </w:pPr>
            <w:r>
              <w:rPr>
                <w:b/>
                <w:bCs/>
              </w:rPr>
              <w:t>2</w:t>
            </w:r>
          </w:p>
        </w:tc>
        <w:tc>
          <w:tcPr>
            <w:tcW w:w="2548" w:type="dxa"/>
            <w:vAlign w:val="top"/>
          </w:tcPr>
          <w:p>
            <w:pPr>
              <w:spacing w:before="42" w:line="198" w:lineRule="auto"/>
              <w:ind w:left="757"/>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水环境保护</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81" w:line="185" w:lineRule="auto"/>
              <w:ind w:left="617"/>
            </w:pPr>
            <w:r>
              <w:rPr>
                <w:b/>
                <w:bCs/>
                <w:spacing w:val="-2"/>
              </w:rPr>
              <w:t>87</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79" w:line="185" w:lineRule="auto"/>
              <w:ind w:left="236"/>
            </w:pPr>
            <w:r>
              <w:rPr>
                <w:b/>
                <w:bCs/>
                <w:spacing w:val="-2"/>
              </w:rPr>
              <w:t>2.1</w:t>
            </w:r>
          </w:p>
        </w:tc>
        <w:tc>
          <w:tcPr>
            <w:tcW w:w="2548" w:type="dxa"/>
            <w:vAlign w:val="top"/>
          </w:tcPr>
          <w:p>
            <w:pPr>
              <w:spacing w:before="40" w:line="198" w:lineRule="auto"/>
              <w:ind w:left="442"/>
              <w:rPr>
                <w:rFonts w:ascii="仿宋" w:hAnsi="仿宋" w:eastAsia="仿宋" w:cs="仿宋"/>
                <w:sz w:val="21"/>
                <w:szCs w:val="21"/>
              </w:rPr>
            </w:pPr>
            <w:r>
              <w:rPr>
                <w:rFonts w:ascii="仿宋" w:hAnsi="仿宋" w:eastAsia="仿宋" w:cs="仿宋"/>
                <w:spacing w:val="-1"/>
                <w:sz w:val="21"/>
                <w:szCs w:val="21"/>
                <w14:textOutline w14:w="3810" w14:cap="flat" w14:cmpd="sng">
                  <w14:solidFill>
                    <w14:srgbClr w14:val="000000"/>
                  </w14:solidFill>
                  <w14:prstDash w14:val="solid"/>
                  <w14:miter w14:val="0"/>
                </w14:textOutline>
              </w:rPr>
              <w:t>施工期水环境保护</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82" w:line="182" w:lineRule="auto"/>
              <w:ind w:left="618"/>
            </w:pPr>
            <w:r>
              <w:rPr>
                <w:spacing w:val="-2"/>
              </w:rPr>
              <w:t>77</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80" w:line="184" w:lineRule="auto"/>
              <w:ind w:left="156"/>
            </w:pPr>
            <w:r>
              <w:rPr>
                <w:spacing w:val="-1"/>
              </w:rPr>
              <w:t>2.1.1</w:t>
            </w:r>
          </w:p>
        </w:tc>
        <w:tc>
          <w:tcPr>
            <w:tcW w:w="2548" w:type="dxa"/>
            <w:vAlign w:val="top"/>
          </w:tcPr>
          <w:p>
            <w:pPr>
              <w:spacing w:before="41" w:line="197" w:lineRule="auto"/>
              <w:ind w:left="238"/>
              <w:rPr>
                <w:rFonts w:ascii="仿宋" w:hAnsi="仿宋" w:eastAsia="仿宋" w:cs="仿宋"/>
                <w:sz w:val="21"/>
                <w:szCs w:val="21"/>
              </w:rPr>
            </w:pPr>
            <w:r>
              <w:rPr>
                <w:rFonts w:ascii="仿宋" w:hAnsi="仿宋" w:eastAsia="仿宋" w:cs="仿宋"/>
                <w:spacing w:val="-2"/>
                <w:sz w:val="21"/>
                <w:szCs w:val="21"/>
              </w:rPr>
              <w:t>混凝土拌合废水沉淀池</w:t>
            </w:r>
          </w:p>
        </w:tc>
        <w:tc>
          <w:tcPr>
            <w:tcW w:w="1022" w:type="dxa"/>
            <w:vAlign w:val="top"/>
          </w:tcPr>
          <w:p>
            <w:pPr>
              <w:spacing w:before="41" w:line="197" w:lineRule="auto"/>
              <w:ind w:left="421"/>
              <w:rPr>
                <w:rFonts w:ascii="仿宋" w:hAnsi="仿宋" w:eastAsia="仿宋" w:cs="仿宋"/>
                <w:sz w:val="21"/>
                <w:szCs w:val="21"/>
              </w:rPr>
            </w:pPr>
            <w:r>
              <w:rPr>
                <w:rFonts w:ascii="仿宋" w:hAnsi="仿宋" w:eastAsia="仿宋" w:cs="仿宋"/>
                <w:sz w:val="21"/>
                <w:szCs w:val="21"/>
              </w:rPr>
              <w:t>座</w:t>
            </w:r>
          </w:p>
        </w:tc>
        <w:tc>
          <w:tcPr>
            <w:tcW w:w="620" w:type="dxa"/>
            <w:vAlign w:val="top"/>
          </w:tcPr>
          <w:p>
            <w:pPr>
              <w:pStyle w:val="6"/>
              <w:spacing w:before="80" w:line="184" w:lineRule="auto"/>
              <w:ind w:left="267"/>
            </w:pPr>
            <w:r>
              <w:t>8</w:t>
            </w:r>
          </w:p>
        </w:tc>
        <w:tc>
          <w:tcPr>
            <w:tcW w:w="932" w:type="dxa"/>
            <w:vAlign w:val="top"/>
          </w:tcPr>
          <w:p>
            <w:pPr>
              <w:pStyle w:val="6"/>
              <w:spacing w:before="80" w:line="184" w:lineRule="auto"/>
              <w:ind w:left="436"/>
            </w:pPr>
            <w:r>
              <w:t>1</w:t>
            </w:r>
          </w:p>
        </w:tc>
        <w:tc>
          <w:tcPr>
            <w:tcW w:w="1434" w:type="dxa"/>
            <w:vAlign w:val="top"/>
          </w:tcPr>
          <w:p>
            <w:pPr>
              <w:pStyle w:val="6"/>
              <w:spacing w:before="80" w:line="184" w:lineRule="auto"/>
              <w:ind w:left="675"/>
            </w:pPr>
            <w:r>
              <w:t>8</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16" w:type="dxa"/>
            <w:tcBorders>
              <w:left w:val="nil"/>
            </w:tcBorders>
            <w:vAlign w:val="top"/>
          </w:tcPr>
          <w:p>
            <w:pPr>
              <w:pStyle w:val="6"/>
              <w:spacing w:before="81" w:line="185" w:lineRule="auto"/>
              <w:ind w:left="156"/>
            </w:pPr>
            <w:r>
              <w:rPr>
                <w:spacing w:val="-1"/>
              </w:rPr>
              <w:t>2.1.2</w:t>
            </w:r>
          </w:p>
        </w:tc>
        <w:tc>
          <w:tcPr>
            <w:tcW w:w="2548" w:type="dxa"/>
            <w:vAlign w:val="top"/>
          </w:tcPr>
          <w:p>
            <w:pPr>
              <w:spacing w:before="43" w:line="197" w:lineRule="auto"/>
              <w:ind w:left="24"/>
              <w:rPr>
                <w:rFonts w:ascii="仿宋" w:hAnsi="仿宋" w:eastAsia="仿宋" w:cs="仿宋"/>
                <w:sz w:val="21"/>
                <w:szCs w:val="21"/>
              </w:rPr>
            </w:pPr>
            <w:r>
              <w:rPr>
                <w:rFonts w:ascii="仿宋" w:hAnsi="仿宋" w:eastAsia="仿宋" w:cs="仿宋"/>
                <w:spacing w:val="-2"/>
                <w:sz w:val="21"/>
                <w:szCs w:val="21"/>
              </w:rPr>
              <w:t>砂石料加工系统废水沉淀池</w:t>
            </w:r>
          </w:p>
        </w:tc>
        <w:tc>
          <w:tcPr>
            <w:tcW w:w="1022" w:type="dxa"/>
            <w:vAlign w:val="top"/>
          </w:tcPr>
          <w:p>
            <w:pPr>
              <w:spacing w:before="43" w:line="197" w:lineRule="auto"/>
              <w:ind w:left="421"/>
              <w:rPr>
                <w:rFonts w:ascii="仿宋" w:hAnsi="仿宋" w:eastAsia="仿宋" w:cs="仿宋"/>
                <w:sz w:val="21"/>
                <w:szCs w:val="21"/>
              </w:rPr>
            </w:pPr>
            <w:r>
              <w:rPr>
                <w:rFonts w:ascii="仿宋" w:hAnsi="仿宋" w:eastAsia="仿宋" w:cs="仿宋"/>
                <w:sz w:val="21"/>
                <w:szCs w:val="21"/>
              </w:rPr>
              <w:t>座</w:t>
            </w:r>
          </w:p>
        </w:tc>
        <w:tc>
          <w:tcPr>
            <w:tcW w:w="620" w:type="dxa"/>
            <w:vAlign w:val="top"/>
          </w:tcPr>
          <w:p>
            <w:pPr>
              <w:pStyle w:val="6"/>
              <w:spacing w:before="81" w:line="185" w:lineRule="auto"/>
              <w:ind w:left="279"/>
            </w:pPr>
            <w:r>
              <w:t>1</w:t>
            </w:r>
          </w:p>
        </w:tc>
        <w:tc>
          <w:tcPr>
            <w:tcW w:w="932" w:type="dxa"/>
            <w:vAlign w:val="top"/>
          </w:tcPr>
          <w:p>
            <w:pPr>
              <w:pStyle w:val="6"/>
              <w:spacing w:before="81" w:line="185" w:lineRule="auto"/>
              <w:ind w:left="416"/>
            </w:pPr>
            <w:r>
              <w:t>2</w:t>
            </w:r>
          </w:p>
        </w:tc>
        <w:tc>
          <w:tcPr>
            <w:tcW w:w="1434" w:type="dxa"/>
            <w:vAlign w:val="top"/>
          </w:tcPr>
          <w:p>
            <w:pPr>
              <w:pStyle w:val="6"/>
              <w:spacing w:before="81" w:line="185" w:lineRule="auto"/>
              <w:ind w:left="667"/>
            </w:pPr>
            <w:r>
              <w:t>2</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7" w:hRule="atLeast"/>
        </w:trPr>
        <w:tc>
          <w:tcPr>
            <w:tcW w:w="716" w:type="dxa"/>
            <w:tcBorders>
              <w:left w:val="nil"/>
            </w:tcBorders>
            <w:vAlign w:val="top"/>
          </w:tcPr>
          <w:p>
            <w:pPr>
              <w:pStyle w:val="6"/>
              <w:spacing w:before="81" w:line="184" w:lineRule="auto"/>
              <w:ind w:left="156"/>
            </w:pPr>
            <w:r>
              <w:rPr>
                <w:spacing w:val="-1"/>
              </w:rPr>
              <w:t>2.1.3</w:t>
            </w:r>
          </w:p>
        </w:tc>
        <w:tc>
          <w:tcPr>
            <w:tcW w:w="2548" w:type="dxa"/>
            <w:vAlign w:val="top"/>
          </w:tcPr>
          <w:p>
            <w:pPr>
              <w:spacing w:before="44" w:line="196" w:lineRule="auto"/>
              <w:ind w:left="550"/>
              <w:rPr>
                <w:rFonts w:ascii="仿宋" w:hAnsi="仿宋" w:eastAsia="仿宋" w:cs="仿宋"/>
                <w:sz w:val="21"/>
                <w:szCs w:val="21"/>
              </w:rPr>
            </w:pPr>
            <w:r>
              <w:rPr>
                <w:rFonts w:ascii="仿宋" w:hAnsi="仿宋" w:eastAsia="仿宋" w:cs="仿宋"/>
                <w:spacing w:val="-2"/>
                <w:sz w:val="21"/>
                <w:szCs w:val="21"/>
              </w:rPr>
              <w:t>基坑排水沉淀池</w:t>
            </w:r>
          </w:p>
        </w:tc>
        <w:tc>
          <w:tcPr>
            <w:tcW w:w="1022" w:type="dxa"/>
            <w:vAlign w:val="top"/>
          </w:tcPr>
          <w:p>
            <w:pPr>
              <w:spacing w:before="44" w:line="196" w:lineRule="auto"/>
              <w:ind w:left="421"/>
              <w:rPr>
                <w:rFonts w:ascii="仿宋" w:hAnsi="仿宋" w:eastAsia="仿宋" w:cs="仿宋"/>
                <w:sz w:val="21"/>
                <w:szCs w:val="21"/>
              </w:rPr>
            </w:pPr>
            <w:r>
              <w:rPr>
                <w:rFonts w:ascii="仿宋" w:hAnsi="仿宋" w:eastAsia="仿宋" w:cs="仿宋"/>
                <w:sz w:val="21"/>
                <w:szCs w:val="21"/>
              </w:rPr>
              <w:t>座</w:t>
            </w:r>
          </w:p>
        </w:tc>
        <w:tc>
          <w:tcPr>
            <w:tcW w:w="620" w:type="dxa"/>
            <w:vAlign w:val="top"/>
          </w:tcPr>
          <w:p>
            <w:pPr>
              <w:pStyle w:val="6"/>
              <w:spacing w:before="81" w:line="184" w:lineRule="auto"/>
              <w:ind w:left="279"/>
            </w:pPr>
            <w:r>
              <w:t>1</w:t>
            </w:r>
          </w:p>
        </w:tc>
        <w:tc>
          <w:tcPr>
            <w:tcW w:w="932" w:type="dxa"/>
            <w:vAlign w:val="top"/>
          </w:tcPr>
          <w:p>
            <w:pPr>
              <w:pStyle w:val="6"/>
              <w:spacing w:before="81" w:line="184" w:lineRule="auto"/>
              <w:ind w:left="415"/>
            </w:pPr>
            <w:r>
              <w:t>4</w:t>
            </w:r>
          </w:p>
        </w:tc>
        <w:tc>
          <w:tcPr>
            <w:tcW w:w="1434" w:type="dxa"/>
            <w:vAlign w:val="top"/>
          </w:tcPr>
          <w:p>
            <w:pPr>
              <w:pStyle w:val="6"/>
              <w:spacing w:before="81" w:line="184" w:lineRule="auto"/>
              <w:ind w:left="666"/>
            </w:pPr>
            <w:r>
              <w:t>4</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81" w:line="183" w:lineRule="auto"/>
              <w:ind w:left="156"/>
            </w:pPr>
            <w:r>
              <w:rPr>
                <w:spacing w:val="-1"/>
              </w:rPr>
              <w:t>2.1.4</w:t>
            </w:r>
          </w:p>
        </w:tc>
        <w:tc>
          <w:tcPr>
            <w:tcW w:w="2548" w:type="dxa"/>
            <w:vAlign w:val="top"/>
          </w:tcPr>
          <w:p>
            <w:pPr>
              <w:spacing w:before="44" w:line="195" w:lineRule="auto"/>
              <w:ind w:left="457"/>
              <w:rPr>
                <w:rFonts w:ascii="仿宋" w:hAnsi="仿宋" w:eastAsia="仿宋" w:cs="仿宋"/>
                <w:sz w:val="21"/>
                <w:szCs w:val="21"/>
              </w:rPr>
            </w:pPr>
            <w:r>
              <w:rPr>
                <w:rFonts w:ascii="仿宋" w:hAnsi="仿宋" w:eastAsia="仿宋" w:cs="仿宋"/>
                <w:spacing w:val="-3"/>
                <w:sz w:val="21"/>
                <w:szCs w:val="21"/>
              </w:rPr>
              <w:t>生活污水处理设施</w:t>
            </w:r>
          </w:p>
        </w:tc>
        <w:tc>
          <w:tcPr>
            <w:tcW w:w="1022" w:type="dxa"/>
            <w:vAlign w:val="top"/>
          </w:tcPr>
          <w:p>
            <w:pPr>
              <w:spacing w:before="44" w:line="195" w:lineRule="auto"/>
              <w:ind w:left="419"/>
              <w:rPr>
                <w:rFonts w:ascii="仿宋" w:hAnsi="仿宋" w:eastAsia="仿宋" w:cs="仿宋"/>
                <w:sz w:val="21"/>
                <w:szCs w:val="21"/>
              </w:rPr>
            </w:pPr>
            <w:r>
              <w:rPr>
                <w:rFonts w:ascii="仿宋" w:hAnsi="仿宋" w:eastAsia="仿宋" w:cs="仿宋"/>
                <w:sz w:val="21"/>
                <w:szCs w:val="21"/>
              </w:rPr>
              <w:t>处</w:t>
            </w:r>
          </w:p>
        </w:tc>
        <w:tc>
          <w:tcPr>
            <w:tcW w:w="620" w:type="dxa"/>
            <w:vAlign w:val="top"/>
          </w:tcPr>
          <w:p>
            <w:pPr>
              <w:pStyle w:val="6"/>
              <w:spacing w:before="81" w:line="183" w:lineRule="auto"/>
              <w:ind w:left="259"/>
            </w:pPr>
            <w:r>
              <w:t>2</w:t>
            </w:r>
          </w:p>
        </w:tc>
        <w:tc>
          <w:tcPr>
            <w:tcW w:w="932" w:type="dxa"/>
            <w:vAlign w:val="top"/>
          </w:tcPr>
          <w:p>
            <w:pPr>
              <w:pStyle w:val="6"/>
              <w:spacing w:before="81" w:line="183" w:lineRule="auto"/>
              <w:ind w:left="356"/>
            </w:pPr>
            <w:r>
              <w:rPr>
                <w:spacing w:val="-8"/>
              </w:rPr>
              <w:t>1.5</w:t>
            </w:r>
          </w:p>
        </w:tc>
        <w:tc>
          <w:tcPr>
            <w:tcW w:w="1434" w:type="dxa"/>
            <w:vAlign w:val="top"/>
          </w:tcPr>
          <w:p>
            <w:pPr>
              <w:pStyle w:val="6"/>
              <w:spacing w:before="81" w:line="183" w:lineRule="auto"/>
              <w:ind w:left="671"/>
            </w:pPr>
            <w:r>
              <w:t>3</w:t>
            </w:r>
          </w:p>
        </w:tc>
        <w:tc>
          <w:tcPr>
            <w:tcW w:w="2133" w:type="dxa"/>
            <w:tcBorders>
              <w:right w:val="nil"/>
            </w:tcBorders>
            <w:vAlign w:val="top"/>
          </w:tcPr>
          <w:p>
            <w:pPr>
              <w:spacing w:before="44" w:line="195" w:lineRule="auto"/>
              <w:ind w:left="241"/>
              <w:rPr>
                <w:rFonts w:ascii="仿宋" w:hAnsi="仿宋" w:eastAsia="仿宋" w:cs="仿宋"/>
                <w:sz w:val="21"/>
                <w:szCs w:val="21"/>
              </w:rPr>
            </w:pPr>
            <w:r>
              <w:rPr>
                <w:rFonts w:ascii="仿宋" w:hAnsi="仿宋" w:eastAsia="仿宋" w:cs="仿宋"/>
                <w:spacing w:val="-2"/>
                <w:sz w:val="21"/>
                <w:szCs w:val="21"/>
              </w:rPr>
              <w:t>含隔油池、化粪池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82" w:line="182" w:lineRule="auto"/>
              <w:ind w:left="156"/>
            </w:pPr>
            <w:r>
              <w:rPr>
                <w:spacing w:val="-1"/>
              </w:rPr>
              <w:t>2.1.5</w:t>
            </w:r>
          </w:p>
        </w:tc>
        <w:tc>
          <w:tcPr>
            <w:tcW w:w="2548" w:type="dxa"/>
            <w:vAlign w:val="top"/>
          </w:tcPr>
          <w:p>
            <w:pPr>
              <w:spacing w:before="45" w:line="194" w:lineRule="auto"/>
              <w:ind w:left="453"/>
              <w:rPr>
                <w:rFonts w:ascii="仿宋" w:hAnsi="仿宋" w:eastAsia="仿宋" w:cs="仿宋"/>
                <w:sz w:val="21"/>
                <w:szCs w:val="21"/>
              </w:rPr>
            </w:pPr>
            <w:r>
              <w:rPr>
                <w:rFonts w:ascii="仿宋" w:hAnsi="仿宋" w:eastAsia="仿宋" w:cs="仿宋"/>
                <w:spacing w:val="-3"/>
                <w:sz w:val="21"/>
                <w:szCs w:val="21"/>
              </w:rPr>
              <w:t>隧洞涌水处理设施</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82" w:line="182" w:lineRule="auto"/>
              <w:ind w:left="619"/>
            </w:pPr>
            <w:r>
              <w:rPr>
                <w:spacing w:val="-5"/>
              </w:rPr>
              <w:t>60</w:t>
            </w:r>
          </w:p>
        </w:tc>
        <w:tc>
          <w:tcPr>
            <w:tcW w:w="2133" w:type="dxa"/>
            <w:tcBorders>
              <w:right w:val="nil"/>
            </w:tcBorders>
            <w:vAlign w:val="top"/>
          </w:tcPr>
          <w:p>
            <w:pPr>
              <w:spacing w:before="45" w:line="194" w:lineRule="auto"/>
              <w:ind w:right="1"/>
              <w:jc w:val="right"/>
              <w:rPr>
                <w:rFonts w:ascii="仿宋" w:hAnsi="仿宋" w:eastAsia="仿宋" w:cs="仿宋"/>
                <w:sz w:val="21"/>
                <w:szCs w:val="21"/>
              </w:rPr>
            </w:pPr>
            <w:r>
              <w:rPr>
                <w:rFonts w:ascii="仿宋" w:hAnsi="仿宋" w:eastAsia="仿宋" w:cs="仿宋"/>
                <w:spacing w:val="-17"/>
                <w:sz w:val="21"/>
                <w:szCs w:val="21"/>
              </w:rPr>
              <w:t>含沉淀池、水泵、</w:t>
            </w:r>
            <w:r>
              <w:rPr>
                <w:rFonts w:ascii="仿宋" w:hAnsi="仿宋" w:eastAsia="仿宋" w:cs="仿宋"/>
                <w:spacing w:val="61"/>
                <w:sz w:val="21"/>
                <w:szCs w:val="21"/>
              </w:rPr>
              <w:t xml:space="preserve"> </w:t>
            </w:r>
            <w:r>
              <w:rPr>
                <w:rFonts w:ascii="仿宋" w:hAnsi="仿宋" w:eastAsia="仿宋" w:cs="仿宋"/>
                <w:spacing w:val="-17"/>
                <w:sz w:val="21"/>
                <w:szCs w:val="21"/>
              </w:rPr>
              <w:t>管道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16" w:type="dxa"/>
            <w:tcBorders>
              <w:left w:val="nil"/>
            </w:tcBorders>
            <w:vAlign w:val="top"/>
          </w:tcPr>
          <w:p>
            <w:pPr>
              <w:pStyle w:val="6"/>
              <w:spacing w:before="85" w:line="181" w:lineRule="auto"/>
              <w:ind w:left="236"/>
            </w:pPr>
            <w:r>
              <w:rPr>
                <w:b/>
                <w:bCs/>
                <w:spacing w:val="-2"/>
              </w:rPr>
              <w:t>2.2</w:t>
            </w:r>
          </w:p>
        </w:tc>
        <w:tc>
          <w:tcPr>
            <w:tcW w:w="2548" w:type="dxa"/>
            <w:vAlign w:val="top"/>
          </w:tcPr>
          <w:p>
            <w:pPr>
              <w:spacing w:before="47" w:line="194" w:lineRule="auto"/>
              <w:ind w:left="444"/>
              <w:rPr>
                <w:rFonts w:ascii="仿宋" w:hAnsi="仿宋" w:eastAsia="仿宋" w:cs="仿宋"/>
                <w:sz w:val="21"/>
                <w:szCs w:val="21"/>
              </w:rPr>
            </w:pPr>
            <w:r>
              <w:rPr>
                <w:rFonts w:ascii="仿宋" w:hAnsi="仿宋" w:eastAsia="仿宋" w:cs="仿宋"/>
                <w:spacing w:val="-2"/>
                <w:sz w:val="21"/>
                <w:szCs w:val="21"/>
                <w14:textOutline w14:w="3810" w14:cap="flat" w14:cmpd="sng">
                  <w14:solidFill>
                    <w14:srgbClr w14:val="000000"/>
                  </w14:solidFill>
                  <w14:prstDash w14:val="solid"/>
                  <w14:miter w14:val="0"/>
                </w14:textOutline>
              </w:rPr>
              <w:t>运营期水环境保护</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85" w:line="181" w:lineRule="auto"/>
              <w:ind w:left="634"/>
            </w:pPr>
            <w:r>
              <w:rPr>
                <w:spacing w:val="-6"/>
              </w:rPr>
              <w:t>10</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84" w:line="180" w:lineRule="auto"/>
              <w:ind w:left="156"/>
            </w:pPr>
            <w:r>
              <w:rPr>
                <w:spacing w:val="-1"/>
              </w:rPr>
              <w:t>2.2.1</w:t>
            </w:r>
          </w:p>
        </w:tc>
        <w:tc>
          <w:tcPr>
            <w:tcW w:w="2548" w:type="dxa"/>
            <w:vAlign w:val="top"/>
          </w:tcPr>
          <w:p>
            <w:pPr>
              <w:spacing w:before="46" w:line="193" w:lineRule="auto"/>
              <w:ind w:left="554"/>
              <w:rPr>
                <w:rFonts w:ascii="仿宋" w:hAnsi="仿宋" w:eastAsia="仿宋" w:cs="仿宋"/>
                <w:sz w:val="21"/>
                <w:szCs w:val="21"/>
              </w:rPr>
            </w:pPr>
            <w:r>
              <w:rPr>
                <w:rFonts w:ascii="仿宋" w:hAnsi="仿宋" w:eastAsia="仿宋" w:cs="仿宋"/>
                <w:spacing w:val="-3"/>
                <w:sz w:val="21"/>
                <w:szCs w:val="21"/>
              </w:rPr>
              <w:t>永久生态放流管</w:t>
            </w:r>
          </w:p>
        </w:tc>
        <w:tc>
          <w:tcPr>
            <w:tcW w:w="1022" w:type="dxa"/>
            <w:vAlign w:val="top"/>
          </w:tcPr>
          <w:p>
            <w:pPr>
              <w:spacing w:before="46" w:line="193" w:lineRule="auto"/>
              <w:ind w:left="419"/>
              <w:rPr>
                <w:rFonts w:ascii="仿宋" w:hAnsi="仿宋" w:eastAsia="仿宋" w:cs="仿宋"/>
                <w:sz w:val="21"/>
                <w:szCs w:val="21"/>
              </w:rPr>
            </w:pPr>
            <w:r>
              <w:rPr>
                <w:rFonts w:ascii="仿宋" w:hAnsi="仿宋" w:eastAsia="仿宋" w:cs="仿宋"/>
                <w:sz w:val="21"/>
                <w:szCs w:val="21"/>
              </w:rPr>
              <w:t>项</w:t>
            </w:r>
          </w:p>
        </w:tc>
        <w:tc>
          <w:tcPr>
            <w:tcW w:w="620" w:type="dxa"/>
            <w:vAlign w:val="top"/>
          </w:tcPr>
          <w:p>
            <w:pPr>
              <w:pStyle w:val="6"/>
              <w:spacing w:before="84" w:line="180" w:lineRule="auto"/>
              <w:ind w:left="279"/>
            </w:pPr>
            <w:r>
              <w:t>1</w:t>
            </w:r>
          </w:p>
        </w:tc>
        <w:tc>
          <w:tcPr>
            <w:tcW w:w="932" w:type="dxa"/>
            <w:vAlign w:val="top"/>
          </w:tcPr>
          <w:p>
            <w:pPr>
              <w:pStyle w:val="6"/>
              <w:spacing w:before="84" w:line="180" w:lineRule="auto"/>
              <w:ind w:left="415"/>
            </w:pPr>
            <w:r>
              <w:t>4</w:t>
            </w:r>
          </w:p>
        </w:tc>
        <w:tc>
          <w:tcPr>
            <w:tcW w:w="1434" w:type="dxa"/>
            <w:vAlign w:val="top"/>
          </w:tcPr>
          <w:p>
            <w:pPr>
              <w:pStyle w:val="6"/>
              <w:spacing w:before="84" w:line="180" w:lineRule="auto"/>
              <w:ind w:left="666"/>
            </w:pPr>
            <w:r>
              <w:t>4</w:t>
            </w:r>
          </w:p>
        </w:tc>
        <w:tc>
          <w:tcPr>
            <w:tcW w:w="2133" w:type="dxa"/>
            <w:tcBorders>
              <w:right w:val="nil"/>
            </w:tcBorders>
            <w:vAlign w:val="top"/>
          </w:tcPr>
          <w:p>
            <w:pPr>
              <w:spacing w:before="46" w:line="193" w:lineRule="auto"/>
              <w:ind w:left="663"/>
              <w:rPr>
                <w:rFonts w:ascii="仿宋" w:hAnsi="仿宋" w:eastAsia="仿宋" w:cs="仿宋"/>
                <w:sz w:val="21"/>
                <w:szCs w:val="21"/>
              </w:rPr>
            </w:pPr>
            <w:r>
              <w:rPr>
                <w:rFonts w:ascii="仿宋" w:hAnsi="仿宋" w:eastAsia="仿宋" w:cs="仿宋"/>
                <w:spacing w:val="-4"/>
                <w:sz w:val="21"/>
                <w:szCs w:val="21"/>
              </w:rPr>
              <w:t>可研已列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85" w:line="179" w:lineRule="auto"/>
              <w:ind w:left="156"/>
            </w:pPr>
            <w:r>
              <w:rPr>
                <w:spacing w:val="-1"/>
              </w:rPr>
              <w:t>2.2.2</w:t>
            </w:r>
          </w:p>
        </w:tc>
        <w:tc>
          <w:tcPr>
            <w:tcW w:w="2548" w:type="dxa"/>
            <w:vAlign w:val="top"/>
          </w:tcPr>
          <w:p>
            <w:pPr>
              <w:spacing w:before="46" w:line="193" w:lineRule="auto"/>
              <w:ind w:left="868"/>
              <w:rPr>
                <w:rFonts w:ascii="仿宋" w:hAnsi="仿宋" w:eastAsia="仿宋" w:cs="仿宋"/>
                <w:sz w:val="21"/>
                <w:szCs w:val="21"/>
              </w:rPr>
            </w:pPr>
            <w:r>
              <w:rPr>
                <w:rFonts w:ascii="仿宋" w:hAnsi="仿宋" w:eastAsia="仿宋" w:cs="仿宋"/>
                <w:spacing w:val="-4"/>
                <w:sz w:val="21"/>
                <w:szCs w:val="21"/>
              </w:rPr>
              <w:t>库底清理</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85" w:line="179" w:lineRule="auto"/>
              <w:ind w:left="672"/>
            </w:pPr>
            <w:r>
              <w:t>6</w:t>
            </w:r>
          </w:p>
        </w:tc>
        <w:tc>
          <w:tcPr>
            <w:tcW w:w="2133" w:type="dxa"/>
            <w:tcBorders>
              <w:right w:val="nil"/>
            </w:tcBorders>
            <w:vAlign w:val="top"/>
          </w:tcPr>
          <w:p>
            <w:pPr>
              <w:spacing w:before="46" w:line="193" w:lineRule="auto"/>
              <w:ind w:left="663"/>
              <w:rPr>
                <w:rFonts w:ascii="仿宋" w:hAnsi="仿宋" w:eastAsia="仿宋" w:cs="仿宋"/>
                <w:sz w:val="21"/>
                <w:szCs w:val="21"/>
              </w:rPr>
            </w:pPr>
            <w:r>
              <w:rPr>
                <w:rFonts w:ascii="仿宋" w:hAnsi="仿宋" w:eastAsia="仿宋" w:cs="仿宋"/>
                <w:spacing w:val="-4"/>
                <w:sz w:val="21"/>
                <w:szCs w:val="21"/>
              </w:rPr>
              <w:t>可研已列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16" w:type="dxa"/>
            <w:tcBorders>
              <w:left w:val="nil"/>
            </w:tcBorders>
            <w:vAlign w:val="top"/>
          </w:tcPr>
          <w:p>
            <w:pPr>
              <w:pStyle w:val="6"/>
              <w:spacing w:before="86" w:line="180" w:lineRule="auto"/>
              <w:ind w:left="314"/>
            </w:pPr>
            <w:r>
              <w:rPr>
                <w:b/>
                <w:bCs/>
              </w:rPr>
              <w:t>3</w:t>
            </w:r>
          </w:p>
        </w:tc>
        <w:tc>
          <w:tcPr>
            <w:tcW w:w="2548" w:type="dxa"/>
            <w:vAlign w:val="top"/>
          </w:tcPr>
          <w:p>
            <w:pPr>
              <w:spacing w:before="49" w:line="192" w:lineRule="auto"/>
              <w:ind w:left="675"/>
              <w:rPr>
                <w:rFonts w:ascii="仿宋" w:hAnsi="仿宋" w:eastAsia="仿宋" w:cs="仿宋"/>
                <w:sz w:val="21"/>
                <w:szCs w:val="21"/>
              </w:rPr>
            </w:pPr>
            <w:r>
              <w:rPr>
                <w:rFonts w:ascii="仿宋" w:hAnsi="仿宋" w:eastAsia="仿宋" w:cs="仿宋"/>
                <w:spacing w:val="-6"/>
                <w:sz w:val="21"/>
                <w:szCs w:val="21"/>
                <w14:textOutline w14:w="3810" w14:cap="flat" w14:cmpd="sng">
                  <w14:solidFill>
                    <w14:srgbClr w14:val="000000"/>
                  </w14:solidFill>
                  <w14:prstDash w14:val="solid"/>
                  <w14:miter w14:val="0"/>
                </w14:textOutline>
              </w:rPr>
              <w:t>固体废物处置</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86" w:line="180" w:lineRule="auto"/>
              <w:ind w:left="587"/>
            </w:pPr>
            <w:r>
              <w:rPr>
                <w:b/>
                <w:bCs/>
                <w:spacing w:val="-1"/>
              </w:rPr>
              <w:t>3.8</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86" w:line="178" w:lineRule="auto"/>
              <w:ind w:left="240"/>
            </w:pPr>
            <w:r>
              <w:rPr>
                <w:spacing w:val="-3"/>
              </w:rPr>
              <w:t>3.1</w:t>
            </w:r>
          </w:p>
        </w:tc>
        <w:tc>
          <w:tcPr>
            <w:tcW w:w="2548" w:type="dxa"/>
            <w:vAlign w:val="top"/>
          </w:tcPr>
          <w:p>
            <w:pPr>
              <w:spacing w:before="48" w:line="191" w:lineRule="auto"/>
              <w:ind w:left="444"/>
              <w:rPr>
                <w:rFonts w:ascii="仿宋" w:hAnsi="仿宋" w:eastAsia="仿宋" w:cs="仿宋"/>
                <w:sz w:val="21"/>
                <w:szCs w:val="21"/>
              </w:rPr>
            </w:pPr>
            <w:r>
              <w:rPr>
                <w:rFonts w:ascii="仿宋" w:hAnsi="仿宋" w:eastAsia="仿宋" w:cs="仿宋"/>
                <w:spacing w:val="-2"/>
                <w:sz w:val="21"/>
                <w:szCs w:val="21"/>
              </w:rPr>
              <w:t>施工生活区垃圾桶</w:t>
            </w:r>
          </w:p>
        </w:tc>
        <w:tc>
          <w:tcPr>
            <w:tcW w:w="1022" w:type="dxa"/>
            <w:vAlign w:val="top"/>
          </w:tcPr>
          <w:p>
            <w:pPr>
              <w:spacing w:before="48" w:line="191" w:lineRule="auto"/>
              <w:ind w:left="419"/>
              <w:rPr>
                <w:rFonts w:ascii="仿宋" w:hAnsi="仿宋" w:eastAsia="仿宋" w:cs="仿宋"/>
                <w:sz w:val="21"/>
                <w:szCs w:val="21"/>
              </w:rPr>
            </w:pPr>
            <w:r>
              <w:rPr>
                <w:rFonts w:ascii="仿宋" w:hAnsi="仿宋" w:eastAsia="仿宋" w:cs="仿宋"/>
                <w:sz w:val="21"/>
                <w:szCs w:val="21"/>
              </w:rPr>
              <w:t>个</w:t>
            </w:r>
          </w:p>
        </w:tc>
        <w:tc>
          <w:tcPr>
            <w:tcW w:w="620" w:type="dxa"/>
            <w:vAlign w:val="top"/>
          </w:tcPr>
          <w:p>
            <w:pPr>
              <w:pStyle w:val="6"/>
              <w:spacing w:before="86" w:line="178" w:lineRule="auto"/>
              <w:ind w:left="206"/>
            </w:pPr>
            <w:r>
              <w:rPr>
                <w:spacing w:val="-2"/>
              </w:rPr>
              <w:t>20</w:t>
            </w:r>
          </w:p>
        </w:tc>
        <w:tc>
          <w:tcPr>
            <w:tcW w:w="932" w:type="dxa"/>
            <w:vAlign w:val="top"/>
          </w:tcPr>
          <w:p>
            <w:pPr>
              <w:pStyle w:val="6"/>
              <w:spacing w:before="86" w:line="178" w:lineRule="auto"/>
              <w:ind w:left="288"/>
            </w:pPr>
            <w:r>
              <w:rPr>
                <w:spacing w:val="-2"/>
              </w:rPr>
              <w:t>0.01</w:t>
            </w:r>
          </w:p>
        </w:tc>
        <w:tc>
          <w:tcPr>
            <w:tcW w:w="1434" w:type="dxa"/>
            <w:vAlign w:val="top"/>
          </w:tcPr>
          <w:p>
            <w:pPr>
              <w:pStyle w:val="6"/>
              <w:spacing w:before="86" w:line="178" w:lineRule="auto"/>
              <w:ind w:left="591"/>
            </w:pPr>
            <w:r>
              <w:rPr>
                <w:spacing w:val="-3"/>
              </w:rPr>
              <w:t>0.2</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87" w:line="177" w:lineRule="auto"/>
              <w:ind w:left="240"/>
            </w:pPr>
            <w:r>
              <w:rPr>
                <w:spacing w:val="-3"/>
              </w:rPr>
              <w:t>3.2</w:t>
            </w:r>
          </w:p>
        </w:tc>
        <w:tc>
          <w:tcPr>
            <w:tcW w:w="2548" w:type="dxa"/>
            <w:vAlign w:val="top"/>
          </w:tcPr>
          <w:p>
            <w:pPr>
              <w:spacing w:before="48" w:line="191" w:lineRule="auto"/>
              <w:ind w:left="129"/>
              <w:rPr>
                <w:rFonts w:ascii="仿宋" w:hAnsi="仿宋" w:eastAsia="仿宋" w:cs="仿宋"/>
                <w:sz w:val="21"/>
                <w:szCs w:val="21"/>
              </w:rPr>
            </w:pPr>
            <w:r>
              <w:rPr>
                <w:rFonts w:ascii="仿宋" w:hAnsi="仿宋" w:eastAsia="仿宋" w:cs="仿宋"/>
                <w:spacing w:val="-2"/>
                <w:sz w:val="21"/>
                <w:szCs w:val="21"/>
              </w:rPr>
              <w:t>施工期垃圾清运、处理费</w:t>
            </w:r>
          </w:p>
        </w:tc>
        <w:tc>
          <w:tcPr>
            <w:tcW w:w="1022" w:type="dxa"/>
            <w:vAlign w:val="top"/>
          </w:tcPr>
          <w:p>
            <w:pPr>
              <w:spacing w:before="48" w:line="191" w:lineRule="auto"/>
              <w:ind w:left="428"/>
              <w:rPr>
                <w:rFonts w:ascii="仿宋" w:hAnsi="仿宋" w:eastAsia="仿宋" w:cs="仿宋"/>
                <w:sz w:val="21"/>
                <w:szCs w:val="21"/>
              </w:rPr>
            </w:pPr>
            <w:r>
              <w:rPr>
                <w:rFonts w:ascii="仿宋" w:hAnsi="仿宋" w:eastAsia="仿宋" w:cs="仿宋"/>
                <w:sz w:val="21"/>
                <w:szCs w:val="21"/>
              </w:rPr>
              <w:t>月</w:t>
            </w:r>
          </w:p>
        </w:tc>
        <w:tc>
          <w:tcPr>
            <w:tcW w:w="620" w:type="dxa"/>
            <w:vAlign w:val="top"/>
          </w:tcPr>
          <w:p>
            <w:pPr>
              <w:pStyle w:val="6"/>
              <w:spacing w:before="87" w:line="177" w:lineRule="auto"/>
              <w:ind w:left="212"/>
            </w:pPr>
            <w:r>
              <w:rPr>
                <w:spacing w:val="-3"/>
              </w:rPr>
              <w:t>54</w:t>
            </w:r>
          </w:p>
        </w:tc>
        <w:tc>
          <w:tcPr>
            <w:tcW w:w="932" w:type="dxa"/>
            <w:vAlign w:val="top"/>
          </w:tcPr>
          <w:p>
            <w:pPr>
              <w:pStyle w:val="6"/>
              <w:spacing w:before="87" w:line="177" w:lineRule="auto"/>
              <w:ind w:left="340"/>
            </w:pPr>
            <w:r>
              <w:rPr>
                <w:spacing w:val="-3"/>
              </w:rPr>
              <w:t>3.6</w:t>
            </w:r>
          </w:p>
        </w:tc>
        <w:tc>
          <w:tcPr>
            <w:tcW w:w="1434" w:type="dxa"/>
            <w:vAlign w:val="top"/>
          </w:tcPr>
          <w:p>
            <w:pPr>
              <w:pStyle w:val="6"/>
              <w:spacing w:before="87" w:line="177" w:lineRule="auto"/>
              <w:ind w:left="592"/>
            </w:pPr>
            <w:r>
              <w:rPr>
                <w:spacing w:val="-3"/>
              </w:rPr>
              <w:t>3.6</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8" w:hRule="atLeast"/>
        </w:trPr>
        <w:tc>
          <w:tcPr>
            <w:tcW w:w="716" w:type="dxa"/>
            <w:tcBorders>
              <w:left w:val="nil"/>
            </w:tcBorders>
            <w:vAlign w:val="top"/>
          </w:tcPr>
          <w:p>
            <w:pPr>
              <w:pStyle w:val="6"/>
              <w:spacing w:before="96" w:line="161" w:lineRule="auto"/>
              <w:ind w:left="319"/>
            </w:pPr>
            <w:r>
              <w:rPr>
                <w:b/>
                <w:bCs/>
              </w:rPr>
              <w:t>4</w:t>
            </w:r>
          </w:p>
        </w:tc>
        <w:tc>
          <w:tcPr>
            <w:tcW w:w="2548" w:type="dxa"/>
            <w:vAlign w:val="top"/>
          </w:tcPr>
          <w:p>
            <w:pPr>
              <w:spacing w:before="44" w:line="188" w:lineRule="auto"/>
              <w:ind w:left="701"/>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环境空气保护</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96" w:line="161" w:lineRule="auto"/>
              <w:ind w:left="626"/>
            </w:pPr>
            <w:r>
              <w:rPr>
                <w:b/>
                <w:bCs/>
                <w:spacing w:val="-7"/>
              </w:rPr>
              <w:t>17</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97" w:line="167" w:lineRule="auto"/>
              <w:ind w:left="239"/>
            </w:pPr>
            <w:r>
              <w:rPr>
                <w:spacing w:val="-1"/>
              </w:rPr>
              <w:t>4.1</w:t>
            </w:r>
          </w:p>
        </w:tc>
        <w:tc>
          <w:tcPr>
            <w:tcW w:w="2548" w:type="dxa"/>
            <w:vAlign w:val="top"/>
          </w:tcPr>
          <w:p>
            <w:pPr>
              <w:spacing w:before="51" w:line="189" w:lineRule="auto"/>
              <w:ind w:left="865"/>
              <w:rPr>
                <w:rFonts w:ascii="仿宋" w:hAnsi="仿宋" w:eastAsia="仿宋" w:cs="仿宋"/>
                <w:sz w:val="21"/>
                <w:szCs w:val="21"/>
              </w:rPr>
            </w:pPr>
            <w:r>
              <w:rPr>
                <w:rFonts w:ascii="仿宋" w:hAnsi="仿宋" w:eastAsia="仿宋" w:cs="仿宋"/>
                <w:spacing w:val="-3"/>
                <w:sz w:val="21"/>
                <w:szCs w:val="21"/>
              </w:rPr>
              <w:t>洒水降尘</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97" w:line="167" w:lineRule="auto"/>
              <w:ind w:left="674"/>
            </w:pPr>
            <w:r>
              <w:t>6</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16" w:type="dxa"/>
            <w:tcBorders>
              <w:left w:val="nil"/>
            </w:tcBorders>
            <w:vAlign w:val="top"/>
          </w:tcPr>
          <w:p>
            <w:pPr>
              <w:pStyle w:val="6"/>
              <w:spacing w:before="98" w:line="168" w:lineRule="auto"/>
              <w:ind w:left="239"/>
            </w:pPr>
            <w:r>
              <w:rPr>
                <w:spacing w:val="-1"/>
              </w:rPr>
              <w:t>4.2</w:t>
            </w:r>
          </w:p>
        </w:tc>
        <w:tc>
          <w:tcPr>
            <w:tcW w:w="2548" w:type="dxa"/>
            <w:vAlign w:val="top"/>
          </w:tcPr>
          <w:p>
            <w:pPr>
              <w:spacing w:before="53" w:line="189" w:lineRule="auto"/>
              <w:ind w:left="654"/>
              <w:rPr>
                <w:rFonts w:ascii="仿宋" w:hAnsi="仿宋" w:eastAsia="仿宋" w:cs="仿宋"/>
                <w:sz w:val="21"/>
                <w:szCs w:val="21"/>
              </w:rPr>
            </w:pPr>
            <w:r>
              <w:rPr>
                <w:rFonts w:ascii="仿宋" w:hAnsi="仿宋" w:eastAsia="仿宋" w:cs="仿宋"/>
                <w:spacing w:val="-3"/>
                <w:sz w:val="21"/>
                <w:szCs w:val="21"/>
              </w:rPr>
              <w:t>砂石料场封闭</w:t>
            </w:r>
          </w:p>
        </w:tc>
        <w:tc>
          <w:tcPr>
            <w:tcW w:w="1022" w:type="dxa"/>
            <w:vAlign w:val="top"/>
          </w:tcPr>
          <w:p>
            <w:pPr>
              <w:spacing w:before="50" w:line="191" w:lineRule="auto"/>
              <w:ind w:left="419"/>
              <w:rPr>
                <w:rFonts w:ascii="宋体" w:hAnsi="宋体" w:eastAsia="宋体" w:cs="宋体"/>
                <w:sz w:val="21"/>
                <w:szCs w:val="21"/>
              </w:rPr>
            </w:pPr>
            <w:r>
              <w:rPr>
                <w:rFonts w:ascii="宋体" w:hAnsi="宋体" w:eastAsia="宋体" w:cs="宋体"/>
                <w:sz w:val="21"/>
                <w:szCs w:val="21"/>
              </w:rPr>
              <w:t>项</w:t>
            </w:r>
          </w:p>
        </w:tc>
        <w:tc>
          <w:tcPr>
            <w:tcW w:w="620" w:type="dxa"/>
            <w:vAlign w:val="top"/>
          </w:tcPr>
          <w:p>
            <w:pPr>
              <w:pStyle w:val="6"/>
              <w:spacing w:before="98" w:line="168" w:lineRule="auto"/>
              <w:ind w:left="284"/>
            </w:pPr>
            <w:r>
              <w:t>1</w:t>
            </w:r>
          </w:p>
        </w:tc>
        <w:tc>
          <w:tcPr>
            <w:tcW w:w="932" w:type="dxa"/>
            <w:vAlign w:val="top"/>
          </w:tcPr>
          <w:p>
            <w:pPr>
              <w:pStyle w:val="6"/>
              <w:spacing w:before="98" w:line="168" w:lineRule="auto"/>
              <w:ind w:left="429"/>
            </w:pPr>
            <w:r>
              <w:t>8</w:t>
            </w:r>
          </w:p>
        </w:tc>
        <w:tc>
          <w:tcPr>
            <w:tcW w:w="1434" w:type="dxa"/>
            <w:vAlign w:val="top"/>
          </w:tcPr>
          <w:p>
            <w:pPr>
              <w:pStyle w:val="6"/>
              <w:spacing w:before="98" w:line="168" w:lineRule="auto"/>
              <w:ind w:left="678"/>
            </w:pPr>
            <w:r>
              <w:t>8</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98" w:line="166" w:lineRule="auto"/>
              <w:ind w:left="239"/>
            </w:pPr>
            <w:r>
              <w:rPr>
                <w:spacing w:val="-1"/>
              </w:rPr>
              <w:t>4.3</w:t>
            </w:r>
          </w:p>
        </w:tc>
        <w:tc>
          <w:tcPr>
            <w:tcW w:w="2548" w:type="dxa"/>
            <w:vAlign w:val="top"/>
          </w:tcPr>
          <w:p>
            <w:pPr>
              <w:spacing w:before="52" w:line="188" w:lineRule="auto"/>
              <w:ind w:left="657"/>
              <w:rPr>
                <w:rFonts w:ascii="仿宋" w:hAnsi="仿宋" w:eastAsia="仿宋" w:cs="仿宋"/>
                <w:sz w:val="21"/>
                <w:szCs w:val="21"/>
              </w:rPr>
            </w:pPr>
            <w:r>
              <w:rPr>
                <w:rFonts w:ascii="仿宋" w:hAnsi="仿宋" w:eastAsia="仿宋" w:cs="仿宋"/>
                <w:spacing w:val="-3"/>
                <w:sz w:val="21"/>
                <w:szCs w:val="21"/>
              </w:rPr>
              <w:t>土工布遮盖堆</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98" w:line="166" w:lineRule="auto"/>
              <w:ind w:left="674"/>
            </w:pPr>
            <w:r>
              <w:t>3</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8" w:hRule="atLeast"/>
        </w:trPr>
        <w:tc>
          <w:tcPr>
            <w:tcW w:w="716" w:type="dxa"/>
            <w:tcBorders>
              <w:left w:val="nil"/>
            </w:tcBorders>
            <w:vAlign w:val="top"/>
          </w:tcPr>
          <w:p>
            <w:pPr>
              <w:pStyle w:val="6"/>
              <w:spacing w:before="101" w:line="156" w:lineRule="exact"/>
              <w:ind w:left="321"/>
            </w:pPr>
            <w:r>
              <w:rPr>
                <w:b/>
                <w:bCs/>
                <w:position w:val="-2"/>
              </w:rPr>
              <w:t>5</w:t>
            </w:r>
          </w:p>
        </w:tc>
        <w:tc>
          <w:tcPr>
            <w:tcW w:w="2548" w:type="dxa"/>
            <w:vAlign w:val="top"/>
          </w:tcPr>
          <w:p>
            <w:pPr>
              <w:spacing w:before="47" w:line="185" w:lineRule="auto"/>
              <w:ind w:left="811"/>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声环境保护</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99" w:line="158" w:lineRule="auto"/>
              <w:ind w:left="596"/>
            </w:pPr>
            <w:r>
              <w:rPr>
                <w:b/>
                <w:bCs/>
                <w:spacing w:val="-3"/>
              </w:rPr>
              <w:t>0.6</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99" w:line="165" w:lineRule="auto"/>
              <w:ind w:left="246"/>
            </w:pPr>
            <w:r>
              <w:rPr>
                <w:spacing w:val="-4"/>
              </w:rPr>
              <w:t>5.1</w:t>
            </w:r>
          </w:p>
        </w:tc>
        <w:tc>
          <w:tcPr>
            <w:tcW w:w="2548" w:type="dxa"/>
            <w:vAlign w:val="top"/>
          </w:tcPr>
          <w:p>
            <w:pPr>
              <w:spacing w:before="53" w:line="187" w:lineRule="auto"/>
              <w:ind w:left="774"/>
              <w:rPr>
                <w:rFonts w:ascii="仿宋" w:hAnsi="仿宋" w:eastAsia="仿宋" w:cs="仿宋"/>
                <w:sz w:val="21"/>
                <w:szCs w:val="21"/>
              </w:rPr>
            </w:pPr>
            <w:r>
              <w:rPr>
                <w:rFonts w:ascii="仿宋" w:hAnsi="仿宋" w:eastAsia="仿宋" w:cs="仿宋"/>
                <w:spacing w:val="-5"/>
                <w:sz w:val="21"/>
                <w:szCs w:val="21"/>
              </w:rPr>
              <w:t>限速标志牌</w:t>
            </w:r>
          </w:p>
        </w:tc>
        <w:tc>
          <w:tcPr>
            <w:tcW w:w="1022" w:type="dxa"/>
            <w:vAlign w:val="top"/>
          </w:tcPr>
          <w:p>
            <w:pPr>
              <w:spacing w:before="51" w:line="189" w:lineRule="auto"/>
              <w:ind w:left="416"/>
              <w:rPr>
                <w:rFonts w:ascii="宋体" w:hAnsi="宋体" w:eastAsia="宋体" w:cs="宋体"/>
                <w:sz w:val="21"/>
                <w:szCs w:val="21"/>
              </w:rPr>
            </w:pPr>
            <w:r>
              <w:rPr>
                <w:rFonts w:ascii="宋体" w:hAnsi="宋体" w:eastAsia="宋体" w:cs="宋体"/>
                <w:sz w:val="21"/>
                <w:szCs w:val="21"/>
              </w:rPr>
              <w:t>个</w:t>
            </w:r>
          </w:p>
        </w:tc>
        <w:tc>
          <w:tcPr>
            <w:tcW w:w="620" w:type="dxa"/>
            <w:vAlign w:val="top"/>
          </w:tcPr>
          <w:p>
            <w:pPr>
              <w:pStyle w:val="6"/>
              <w:spacing w:before="99" w:line="165" w:lineRule="auto"/>
              <w:ind w:left="231"/>
            </w:pPr>
            <w:r>
              <w:rPr>
                <w:spacing w:val="-6"/>
              </w:rPr>
              <w:t>12</w:t>
            </w:r>
          </w:p>
        </w:tc>
        <w:tc>
          <w:tcPr>
            <w:tcW w:w="932" w:type="dxa"/>
            <w:vAlign w:val="top"/>
          </w:tcPr>
          <w:p>
            <w:pPr>
              <w:pStyle w:val="6"/>
              <w:spacing w:before="99" w:line="165" w:lineRule="auto"/>
              <w:ind w:left="291"/>
            </w:pPr>
            <w:r>
              <w:rPr>
                <w:spacing w:val="-2"/>
              </w:rPr>
              <w:t>0.05</w:t>
            </w:r>
          </w:p>
        </w:tc>
        <w:tc>
          <w:tcPr>
            <w:tcW w:w="1434" w:type="dxa"/>
            <w:vAlign w:val="top"/>
          </w:tcPr>
          <w:p>
            <w:pPr>
              <w:pStyle w:val="6"/>
              <w:spacing w:before="99" w:line="165" w:lineRule="auto"/>
              <w:ind w:left="596"/>
            </w:pPr>
            <w:r>
              <w:rPr>
                <w:spacing w:val="-3"/>
              </w:rPr>
              <w:t>0.6</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8" w:hRule="atLeast"/>
        </w:trPr>
        <w:tc>
          <w:tcPr>
            <w:tcW w:w="716" w:type="dxa"/>
            <w:tcBorders>
              <w:left w:val="nil"/>
            </w:tcBorders>
            <w:vAlign w:val="top"/>
          </w:tcPr>
          <w:p>
            <w:pPr>
              <w:spacing w:before="87" w:line="170" w:lineRule="exact"/>
              <w:ind w:left="273"/>
              <w:rPr>
                <w:rFonts w:ascii="宋体" w:hAnsi="宋体" w:eastAsia="宋体" w:cs="宋体"/>
                <w:sz w:val="21"/>
                <w:szCs w:val="21"/>
              </w:rPr>
            </w:pPr>
            <w:r>
              <w:rPr>
                <w:rFonts w:ascii="宋体" w:hAnsi="宋体" w:eastAsia="宋体" w:cs="宋体"/>
                <w:position w:val="-2"/>
                <w:sz w:val="21"/>
                <w:szCs w:val="21"/>
                <w14:textOutline w14:w="3810" w14:cap="flat" w14:cmpd="sng">
                  <w14:solidFill>
                    <w14:srgbClr w14:val="000000"/>
                  </w14:solidFill>
                  <w14:prstDash w14:val="solid"/>
                  <w14:miter w14:val="0"/>
                </w14:textOutline>
              </w:rPr>
              <w:t>二</w:t>
            </w:r>
          </w:p>
        </w:tc>
        <w:tc>
          <w:tcPr>
            <w:tcW w:w="2548" w:type="dxa"/>
            <w:vAlign w:val="top"/>
          </w:tcPr>
          <w:p>
            <w:pPr>
              <w:spacing w:before="48" w:line="184" w:lineRule="auto"/>
              <w:ind w:left="701"/>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环境监测措施</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100" w:line="157" w:lineRule="auto"/>
              <w:ind w:left="540"/>
            </w:pPr>
            <w:r>
              <w:rPr>
                <w:b/>
                <w:bCs/>
                <w:spacing w:val="-1"/>
              </w:rPr>
              <w:t>26.5</w:t>
            </w:r>
          </w:p>
        </w:tc>
        <w:tc>
          <w:tcPr>
            <w:tcW w:w="2133" w:type="dxa"/>
            <w:tcBorders>
              <w:right w:val="nil"/>
            </w:tcBorders>
            <w:vAlign w:val="top"/>
          </w:tcPr>
          <w:p>
            <w:pPr>
              <w:spacing w:before="48" w:line="184" w:lineRule="auto"/>
              <w:ind w:left="866"/>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估列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8" w:hRule="atLeast"/>
        </w:trPr>
        <w:tc>
          <w:tcPr>
            <w:tcW w:w="716" w:type="dxa"/>
            <w:tcBorders>
              <w:left w:val="nil"/>
            </w:tcBorders>
            <w:vAlign w:val="top"/>
          </w:tcPr>
          <w:p>
            <w:pPr>
              <w:pStyle w:val="6"/>
              <w:spacing w:before="100" w:line="157" w:lineRule="exact"/>
              <w:ind w:left="328"/>
            </w:pPr>
            <w:r>
              <w:rPr>
                <w:b/>
                <w:bCs/>
                <w:position w:val="-2"/>
              </w:rPr>
              <w:t>1</w:t>
            </w:r>
          </w:p>
        </w:tc>
        <w:tc>
          <w:tcPr>
            <w:tcW w:w="2548" w:type="dxa"/>
            <w:vAlign w:val="top"/>
          </w:tcPr>
          <w:p>
            <w:pPr>
              <w:spacing w:before="48" w:line="184" w:lineRule="auto"/>
              <w:ind w:left="594"/>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施工期环境监测</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100" w:line="157" w:lineRule="exact"/>
              <w:ind w:left="560"/>
            </w:pPr>
            <w:r>
              <w:rPr>
                <w:spacing w:val="-6"/>
                <w:position w:val="-2"/>
              </w:rPr>
              <w:t>18.5</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103" w:line="162" w:lineRule="auto"/>
              <w:ind w:left="260"/>
            </w:pPr>
            <w:r>
              <w:rPr>
                <w:spacing w:val="-8"/>
              </w:rPr>
              <w:t>1.1</w:t>
            </w:r>
          </w:p>
        </w:tc>
        <w:tc>
          <w:tcPr>
            <w:tcW w:w="2548" w:type="dxa"/>
            <w:vAlign w:val="top"/>
          </w:tcPr>
          <w:p>
            <w:pPr>
              <w:spacing w:before="55" w:line="185" w:lineRule="auto"/>
              <w:ind w:left="656"/>
              <w:rPr>
                <w:rFonts w:ascii="仿宋" w:hAnsi="仿宋" w:eastAsia="仿宋" w:cs="仿宋"/>
                <w:sz w:val="21"/>
                <w:szCs w:val="21"/>
              </w:rPr>
            </w:pPr>
            <w:r>
              <w:rPr>
                <w:rFonts w:ascii="仿宋" w:hAnsi="仿宋" w:eastAsia="仿宋" w:cs="仿宋"/>
                <w:spacing w:val="-3"/>
                <w:sz w:val="21"/>
                <w:szCs w:val="21"/>
              </w:rPr>
              <w:t>地表水质监测</w:t>
            </w:r>
          </w:p>
        </w:tc>
        <w:tc>
          <w:tcPr>
            <w:tcW w:w="1022" w:type="dxa"/>
            <w:vAlign w:val="top"/>
          </w:tcPr>
          <w:p>
            <w:pPr>
              <w:spacing w:before="53" w:line="187" w:lineRule="auto"/>
              <w:ind w:left="423"/>
              <w:rPr>
                <w:rFonts w:ascii="宋体" w:hAnsi="宋体" w:eastAsia="宋体" w:cs="宋体"/>
                <w:sz w:val="21"/>
                <w:szCs w:val="21"/>
              </w:rPr>
            </w:pPr>
            <w:r>
              <w:rPr>
                <w:rFonts w:ascii="宋体" w:hAnsi="宋体" w:eastAsia="宋体" w:cs="宋体"/>
                <w:sz w:val="21"/>
                <w:szCs w:val="21"/>
              </w:rPr>
              <w:t>点</w:t>
            </w:r>
          </w:p>
        </w:tc>
        <w:tc>
          <w:tcPr>
            <w:tcW w:w="620" w:type="dxa"/>
            <w:vAlign w:val="top"/>
          </w:tcPr>
          <w:p>
            <w:pPr>
              <w:pStyle w:val="6"/>
              <w:spacing w:before="103" w:line="162" w:lineRule="auto"/>
              <w:ind w:left="284"/>
            </w:pPr>
            <w:r>
              <w:t>1</w:t>
            </w:r>
          </w:p>
        </w:tc>
        <w:tc>
          <w:tcPr>
            <w:tcW w:w="932" w:type="dxa"/>
            <w:vAlign w:val="top"/>
          </w:tcPr>
          <w:p>
            <w:pPr>
              <w:pStyle w:val="6"/>
              <w:spacing w:before="103" w:line="162" w:lineRule="auto"/>
              <w:ind w:left="388"/>
            </w:pPr>
            <w:r>
              <w:rPr>
                <w:spacing w:val="-6"/>
              </w:rPr>
              <w:t>16</w:t>
            </w:r>
          </w:p>
        </w:tc>
        <w:tc>
          <w:tcPr>
            <w:tcW w:w="1434" w:type="dxa"/>
            <w:vAlign w:val="top"/>
          </w:tcPr>
          <w:p>
            <w:pPr>
              <w:pStyle w:val="6"/>
              <w:spacing w:before="103" w:line="162" w:lineRule="auto"/>
              <w:ind w:left="637"/>
            </w:pPr>
            <w:r>
              <w:rPr>
                <w:spacing w:val="-6"/>
              </w:rPr>
              <w:t>16</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104" w:line="161" w:lineRule="auto"/>
              <w:ind w:left="260"/>
            </w:pPr>
            <w:r>
              <w:rPr>
                <w:spacing w:val="-8"/>
              </w:rPr>
              <w:t>1.2</w:t>
            </w:r>
          </w:p>
        </w:tc>
        <w:tc>
          <w:tcPr>
            <w:tcW w:w="2548" w:type="dxa"/>
            <w:vAlign w:val="top"/>
          </w:tcPr>
          <w:p>
            <w:pPr>
              <w:spacing w:before="56" w:line="184" w:lineRule="auto"/>
              <w:ind w:left="655"/>
              <w:rPr>
                <w:rFonts w:ascii="仿宋" w:hAnsi="仿宋" w:eastAsia="仿宋" w:cs="仿宋"/>
                <w:sz w:val="21"/>
                <w:szCs w:val="21"/>
              </w:rPr>
            </w:pPr>
            <w:r>
              <w:rPr>
                <w:rFonts w:ascii="仿宋" w:hAnsi="仿宋" w:eastAsia="仿宋" w:cs="仿宋"/>
                <w:spacing w:val="-2"/>
                <w:sz w:val="21"/>
                <w:szCs w:val="21"/>
              </w:rPr>
              <w:t>环境空气监测</w:t>
            </w:r>
          </w:p>
        </w:tc>
        <w:tc>
          <w:tcPr>
            <w:tcW w:w="1022" w:type="dxa"/>
            <w:vAlign w:val="top"/>
          </w:tcPr>
          <w:p>
            <w:pPr>
              <w:spacing w:before="54" w:line="186" w:lineRule="auto"/>
              <w:ind w:left="423"/>
              <w:rPr>
                <w:rFonts w:ascii="宋体" w:hAnsi="宋体" w:eastAsia="宋体" w:cs="宋体"/>
                <w:sz w:val="21"/>
                <w:szCs w:val="21"/>
              </w:rPr>
            </w:pPr>
            <w:r>
              <w:rPr>
                <w:rFonts w:ascii="宋体" w:hAnsi="宋体" w:eastAsia="宋体" w:cs="宋体"/>
                <w:sz w:val="21"/>
                <w:szCs w:val="21"/>
              </w:rPr>
              <w:t>点</w:t>
            </w:r>
          </w:p>
        </w:tc>
        <w:tc>
          <w:tcPr>
            <w:tcW w:w="620" w:type="dxa"/>
            <w:vAlign w:val="top"/>
          </w:tcPr>
          <w:p>
            <w:pPr>
              <w:pStyle w:val="6"/>
              <w:spacing w:before="104" w:line="161" w:lineRule="auto"/>
              <w:ind w:left="264"/>
            </w:pPr>
            <w:r>
              <w:t>2</w:t>
            </w:r>
          </w:p>
        </w:tc>
        <w:tc>
          <w:tcPr>
            <w:tcW w:w="932" w:type="dxa"/>
            <w:vAlign w:val="top"/>
          </w:tcPr>
          <w:p>
            <w:pPr>
              <w:pStyle w:val="6"/>
              <w:spacing w:before="104" w:line="161" w:lineRule="auto"/>
              <w:ind w:left="441"/>
            </w:pPr>
            <w:r>
              <w:t>1</w:t>
            </w:r>
          </w:p>
        </w:tc>
        <w:tc>
          <w:tcPr>
            <w:tcW w:w="1434" w:type="dxa"/>
            <w:vAlign w:val="top"/>
          </w:tcPr>
          <w:p>
            <w:pPr>
              <w:pStyle w:val="6"/>
              <w:spacing w:before="104" w:line="161" w:lineRule="auto"/>
              <w:ind w:left="669"/>
            </w:pPr>
            <w:r>
              <w:t>2</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8" w:hRule="atLeast"/>
        </w:trPr>
        <w:tc>
          <w:tcPr>
            <w:tcW w:w="716" w:type="dxa"/>
            <w:tcBorders>
              <w:left w:val="nil"/>
            </w:tcBorders>
            <w:vAlign w:val="top"/>
          </w:tcPr>
          <w:p>
            <w:pPr>
              <w:pStyle w:val="6"/>
              <w:spacing w:before="105" w:line="162" w:lineRule="auto"/>
              <w:ind w:left="260"/>
            </w:pPr>
            <w:r>
              <w:rPr>
                <w:spacing w:val="-8"/>
              </w:rPr>
              <w:t>1.3</w:t>
            </w:r>
          </w:p>
        </w:tc>
        <w:tc>
          <w:tcPr>
            <w:tcW w:w="2548" w:type="dxa"/>
            <w:vAlign w:val="top"/>
          </w:tcPr>
          <w:p>
            <w:pPr>
              <w:spacing w:before="59" w:line="183" w:lineRule="auto"/>
              <w:ind w:left="874"/>
              <w:rPr>
                <w:rFonts w:ascii="仿宋" w:hAnsi="仿宋" w:eastAsia="仿宋" w:cs="仿宋"/>
                <w:sz w:val="21"/>
                <w:szCs w:val="21"/>
              </w:rPr>
            </w:pPr>
            <w:r>
              <w:rPr>
                <w:rFonts w:ascii="仿宋" w:hAnsi="仿宋" w:eastAsia="仿宋" w:cs="仿宋"/>
                <w:spacing w:val="-5"/>
                <w:sz w:val="21"/>
                <w:szCs w:val="21"/>
              </w:rPr>
              <w:t>噪声监测</w:t>
            </w:r>
          </w:p>
        </w:tc>
        <w:tc>
          <w:tcPr>
            <w:tcW w:w="1022" w:type="dxa"/>
            <w:vAlign w:val="top"/>
          </w:tcPr>
          <w:p>
            <w:pPr>
              <w:spacing w:before="57" w:line="185" w:lineRule="auto"/>
              <w:ind w:left="423"/>
              <w:rPr>
                <w:rFonts w:ascii="宋体" w:hAnsi="宋体" w:eastAsia="宋体" w:cs="宋体"/>
                <w:sz w:val="21"/>
                <w:szCs w:val="21"/>
              </w:rPr>
            </w:pPr>
            <w:r>
              <w:rPr>
                <w:rFonts w:ascii="宋体" w:hAnsi="宋体" w:eastAsia="宋体" w:cs="宋体"/>
                <w:sz w:val="21"/>
                <w:szCs w:val="21"/>
              </w:rPr>
              <w:t>点</w:t>
            </w:r>
          </w:p>
        </w:tc>
        <w:tc>
          <w:tcPr>
            <w:tcW w:w="620" w:type="dxa"/>
            <w:vAlign w:val="top"/>
          </w:tcPr>
          <w:p>
            <w:pPr>
              <w:pStyle w:val="6"/>
              <w:spacing w:before="105" w:line="162" w:lineRule="auto"/>
              <w:ind w:left="264"/>
            </w:pPr>
            <w:r>
              <w:t>2</w:t>
            </w:r>
          </w:p>
        </w:tc>
        <w:tc>
          <w:tcPr>
            <w:tcW w:w="932" w:type="dxa"/>
            <w:vAlign w:val="top"/>
          </w:tcPr>
          <w:p>
            <w:pPr>
              <w:pStyle w:val="6"/>
              <w:spacing w:before="105" w:line="162" w:lineRule="auto"/>
              <w:ind w:left="344"/>
            </w:pPr>
            <w:r>
              <w:rPr>
                <w:spacing w:val="-3"/>
              </w:rPr>
              <w:t>0.5</w:t>
            </w:r>
          </w:p>
        </w:tc>
        <w:tc>
          <w:tcPr>
            <w:tcW w:w="1434" w:type="dxa"/>
            <w:vAlign w:val="top"/>
          </w:tcPr>
          <w:p>
            <w:pPr>
              <w:pStyle w:val="6"/>
              <w:spacing w:before="105" w:line="162" w:lineRule="auto"/>
              <w:ind w:left="596"/>
            </w:pPr>
            <w:r>
              <w:rPr>
                <w:spacing w:val="-3"/>
              </w:rPr>
              <w:t>0.5</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8" w:hRule="atLeast"/>
        </w:trPr>
        <w:tc>
          <w:tcPr>
            <w:tcW w:w="716" w:type="dxa"/>
            <w:tcBorders>
              <w:left w:val="nil"/>
            </w:tcBorders>
            <w:vAlign w:val="top"/>
          </w:tcPr>
          <w:p>
            <w:pPr>
              <w:pStyle w:val="6"/>
              <w:spacing w:before="104" w:line="153" w:lineRule="exact"/>
              <w:ind w:left="319"/>
            </w:pPr>
            <w:r>
              <w:rPr>
                <w:b/>
                <w:bCs/>
                <w:position w:val="-2"/>
              </w:rPr>
              <w:t>2</w:t>
            </w:r>
          </w:p>
        </w:tc>
        <w:tc>
          <w:tcPr>
            <w:tcW w:w="2548" w:type="dxa"/>
            <w:vAlign w:val="top"/>
          </w:tcPr>
          <w:p>
            <w:pPr>
              <w:spacing w:before="50" w:line="182" w:lineRule="auto"/>
              <w:ind w:left="490"/>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运营期水环境监测</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104" w:line="153" w:lineRule="exact"/>
              <w:ind w:left="678"/>
            </w:pPr>
            <w:r>
              <w:rPr>
                <w:position w:val="-2"/>
              </w:rPr>
              <w:t>8</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6" w:hRule="atLeast"/>
        </w:trPr>
        <w:tc>
          <w:tcPr>
            <w:tcW w:w="716" w:type="dxa"/>
            <w:tcBorders>
              <w:left w:val="nil"/>
            </w:tcBorders>
            <w:vAlign w:val="top"/>
          </w:tcPr>
          <w:p>
            <w:pPr>
              <w:pStyle w:val="6"/>
              <w:spacing w:before="106" w:line="159" w:lineRule="auto"/>
              <w:ind w:left="240"/>
            </w:pPr>
            <w:r>
              <w:rPr>
                <w:spacing w:val="-2"/>
              </w:rPr>
              <w:t>2.1</w:t>
            </w:r>
          </w:p>
        </w:tc>
        <w:tc>
          <w:tcPr>
            <w:tcW w:w="2548" w:type="dxa"/>
            <w:vAlign w:val="top"/>
          </w:tcPr>
          <w:p>
            <w:pPr>
              <w:spacing w:before="58" w:line="182" w:lineRule="auto"/>
              <w:ind w:left="654"/>
              <w:rPr>
                <w:rFonts w:ascii="仿宋" w:hAnsi="仿宋" w:eastAsia="仿宋" w:cs="仿宋"/>
                <w:sz w:val="21"/>
                <w:szCs w:val="21"/>
              </w:rPr>
            </w:pPr>
            <w:r>
              <w:rPr>
                <w:rFonts w:ascii="仿宋" w:hAnsi="仿宋" w:eastAsia="仿宋" w:cs="仿宋"/>
                <w:spacing w:val="-2"/>
                <w:sz w:val="21"/>
                <w:szCs w:val="21"/>
              </w:rPr>
              <w:t>水库水质监测</w:t>
            </w:r>
          </w:p>
        </w:tc>
        <w:tc>
          <w:tcPr>
            <w:tcW w:w="1022" w:type="dxa"/>
            <w:vAlign w:val="top"/>
          </w:tcPr>
          <w:p>
            <w:pPr>
              <w:spacing w:before="56" w:line="184" w:lineRule="auto"/>
              <w:ind w:left="419"/>
              <w:rPr>
                <w:rFonts w:ascii="宋体" w:hAnsi="宋体" w:eastAsia="宋体" w:cs="宋体"/>
                <w:sz w:val="21"/>
                <w:szCs w:val="21"/>
              </w:rPr>
            </w:pPr>
            <w:r>
              <w:rPr>
                <w:rFonts w:ascii="宋体" w:hAnsi="宋体" w:eastAsia="宋体" w:cs="宋体"/>
                <w:sz w:val="21"/>
                <w:szCs w:val="21"/>
              </w:rPr>
              <w:t>项</w:t>
            </w:r>
          </w:p>
        </w:tc>
        <w:tc>
          <w:tcPr>
            <w:tcW w:w="620" w:type="dxa"/>
            <w:vAlign w:val="top"/>
          </w:tcPr>
          <w:p>
            <w:pPr>
              <w:pStyle w:val="6"/>
              <w:spacing w:before="106" w:line="159" w:lineRule="auto"/>
              <w:ind w:left="284"/>
            </w:pPr>
            <w:r>
              <w:t>1</w:t>
            </w:r>
          </w:p>
        </w:tc>
        <w:tc>
          <w:tcPr>
            <w:tcW w:w="932" w:type="dxa"/>
            <w:vAlign w:val="top"/>
          </w:tcPr>
          <w:p>
            <w:pPr>
              <w:pStyle w:val="6"/>
              <w:spacing w:before="106" w:line="159" w:lineRule="auto"/>
              <w:ind w:left="429"/>
            </w:pPr>
            <w:r>
              <w:t>8</w:t>
            </w:r>
          </w:p>
        </w:tc>
        <w:tc>
          <w:tcPr>
            <w:tcW w:w="1434" w:type="dxa"/>
            <w:vAlign w:val="top"/>
          </w:tcPr>
          <w:p>
            <w:pPr>
              <w:pStyle w:val="6"/>
              <w:spacing w:before="106" w:line="159" w:lineRule="auto"/>
              <w:ind w:left="678"/>
            </w:pPr>
            <w:r>
              <w:t>8</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8" w:hRule="atLeast"/>
        </w:trPr>
        <w:tc>
          <w:tcPr>
            <w:tcW w:w="3264" w:type="dxa"/>
            <w:gridSpan w:val="2"/>
            <w:tcBorders>
              <w:left w:val="nil"/>
            </w:tcBorders>
            <w:vAlign w:val="top"/>
          </w:tcPr>
          <w:p>
            <w:pPr>
              <w:spacing w:before="53" w:line="180" w:lineRule="auto"/>
              <w:ind w:left="1172"/>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第一和二部分合计</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105" w:line="152" w:lineRule="exact"/>
              <w:ind w:left="392"/>
            </w:pPr>
            <w:r>
              <w:rPr>
                <w:b/>
                <w:bCs/>
                <w:spacing w:val="-2"/>
                <w:position w:val="-2"/>
              </w:rPr>
              <w:t>1324.92</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8" w:hRule="atLeast"/>
        </w:trPr>
        <w:tc>
          <w:tcPr>
            <w:tcW w:w="716" w:type="dxa"/>
            <w:tcBorders>
              <w:left w:val="nil"/>
            </w:tcBorders>
            <w:vAlign w:val="top"/>
          </w:tcPr>
          <w:p>
            <w:pPr>
              <w:spacing w:before="53" w:line="180" w:lineRule="auto"/>
              <w:ind w:left="269"/>
              <w:rPr>
                <w:rFonts w:ascii="宋体" w:hAnsi="宋体" w:eastAsia="宋体" w:cs="宋体"/>
                <w:sz w:val="21"/>
                <w:szCs w:val="21"/>
              </w:rPr>
            </w:pPr>
            <w:r>
              <w:rPr>
                <w:rFonts w:ascii="宋体" w:hAnsi="宋体" w:eastAsia="宋体" w:cs="宋体"/>
                <w:sz w:val="21"/>
                <w:szCs w:val="21"/>
                <w14:textOutline w14:w="3810" w14:cap="flat" w14:cmpd="sng">
                  <w14:solidFill>
                    <w14:srgbClr w14:val="000000"/>
                  </w14:solidFill>
                  <w14:prstDash w14:val="solid"/>
                  <w14:miter w14:val="0"/>
                </w14:textOutline>
              </w:rPr>
              <w:t>三</w:t>
            </w:r>
          </w:p>
        </w:tc>
        <w:tc>
          <w:tcPr>
            <w:tcW w:w="2548" w:type="dxa"/>
            <w:vAlign w:val="top"/>
          </w:tcPr>
          <w:p>
            <w:pPr>
              <w:spacing w:before="53" w:line="180" w:lineRule="auto"/>
              <w:ind w:left="490"/>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环境保护独立费用</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106" w:line="152" w:lineRule="exact"/>
              <w:ind w:left="445"/>
            </w:pPr>
            <w:r>
              <w:rPr>
                <w:b/>
                <w:bCs/>
                <w:spacing w:val="-3"/>
                <w:position w:val="-2"/>
              </w:rPr>
              <w:t>122.12</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5" w:hRule="atLeast"/>
        </w:trPr>
        <w:tc>
          <w:tcPr>
            <w:tcW w:w="716" w:type="dxa"/>
            <w:tcBorders>
              <w:left w:val="nil"/>
            </w:tcBorders>
            <w:vAlign w:val="top"/>
          </w:tcPr>
          <w:p>
            <w:pPr>
              <w:pStyle w:val="6"/>
              <w:spacing w:before="103" w:line="151" w:lineRule="exact"/>
              <w:ind w:left="328"/>
            </w:pPr>
            <w:r>
              <w:rPr>
                <w:b/>
                <w:bCs/>
                <w:position w:val="-3"/>
              </w:rPr>
              <w:t>1</w:t>
            </w:r>
          </w:p>
        </w:tc>
        <w:tc>
          <w:tcPr>
            <w:tcW w:w="2548" w:type="dxa"/>
            <w:vAlign w:val="top"/>
          </w:tcPr>
          <w:p>
            <w:pPr>
              <w:spacing w:before="52" w:line="178" w:lineRule="auto"/>
              <w:ind w:left="595"/>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环境建设管理费</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103" w:line="151" w:lineRule="exact"/>
              <w:ind w:left="490"/>
            </w:pPr>
            <w:r>
              <w:rPr>
                <w:b/>
                <w:bCs/>
                <w:spacing w:val="-2"/>
                <w:position w:val="-2"/>
              </w:rPr>
              <w:t>57.12</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02" w:hRule="atLeast"/>
        </w:trPr>
        <w:tc>
          <w:tcPr>
            <w:tcW w:w="716" w:type="dxa"/>
            <w:tcBorders>
              <w:left w:val="nil"/>
              <w:bottom w:val="single" w:color="000000" w:sz="12" w:space="0"/>
            </w:tcBorders>
            <w:vAlign w:val="top"/>
          </w:tcPr>
          <w:p>
            <w:pPr>
              <w:pStyle w:val="6"/>
              <w:spacing w:before="107" w:line="183" w:lineRule="auto"/>
              <w:ind w:left="260"/>
            </w:pPr>
            <w:r>
              <w:rPr>
                <w:spacing w:val="-8"/>
              </w:rPr>
              <w:t>1.1</w:t>
            </w:r>
          </w:p>
        </w:tc>
        <w:tc>
          <w:tcPr>
            <w:tcW w:w="2548" w:type="dxa"/>
            <w:tcBorders>
              <w:bottom w:val="single" w:color="000000" w:sz="12" w:space="0"/>
            </w:tcBorders>
            <w:vAlign w:val="top"/>
          </w:tcPr>
          <w:p>
            <w:pPr>
              <w:spacing w:before="61" w:line="203" w:lineRule="auto"/>
              <w:ind w:left="760"/>
              <w:rPr>
                <w:rFonts w:ascii="仿宋" w:hAnsi="仿宋" w:eastAsia="仿宋" w:cs="仿宋"/>
                <w:sz w:val="21"/>
                <w:szCs w:val="21"/>
              </w:rPr>
            </w:pPr>
            <w:r>
              <w:rPr>
                <w:rFonts w:ascii="仿宋" w:hAnsi="仿宋" w:eastAsia="仿宋" w:cs="仿宋"/>
                <w:spacing w:val="-3"/>
                <w:sz w:val="21"/>
                <w:szCs w:val="21"/>
              </w:rPr>
              <w:t>环境管理费</w:t>
            </w:r>
          </w:p>
        </w:tc>
        <w:tc>
          <w:tcPr>
            <w:tcW w:w="1022" w:type="dxa"/>
            <w:tcBorders>
              <w:bottom w:val="single" w:color="000000" w:sz="12" w:space="0"/>
            </w:tcBorders>
            <w:vAlign w:val="top"/>
          </w:tcPr>
          <w:p>
            <w:pPr>
              <w:pStyle w:val="6"/>
              <w:spacing w:before="111" w:line="179" w:lineRule="auto"/>
              <w:ind w:left="422"/>
            </w:pPr>
            <w:r>
              <w:rPr>
                <w:b/>
                <w:bCs/>
              </w:rPr>
              <w:t>%</w:t>
            </w:r>
          </w:p>
        </w:tc>
        <w:tc>
          <w:tcPr>
            <w:tcW w:w="620" w:type="dxa"/>
            <w:tcBorders>
              <w:bottom w:val="single" w:color="000000" w:sz="12" w:space="0"/>
            </w:tcBorders>
            <w:vAlign w:val="top"/>
          </w:tcPr>
          <w:p>
            <w:pPr>
              <w:rPr>
                <w:rFonts w:ascii="Arial"/>
                <w:sz w:val="21"/>
              </w:rPr>
            </w:pPr>
          </w:p>
        </w:tc>
        <w:tc>
          <w:tcPr>
            <w:tcW w:w="932" w:type="dxa"/>
            <w:tcBorders>
              <w:bottom w:val="single" w:color="000000" w:sz="12" w:space="0"/>
            </w:tcBorders>
            <w:vAlign w:val="top"/>
          </w:tcPr>
          <w:p>
            <w:pPr>
              <w:rPr>
                <w:rFonts w:ascii="Arial"/>
                <w:sz w:val="21"/>
              </w:rPr>
            </w:pPr>
          </w:p>
        </w:tc>
        <w:tc>
          <w:tcPr>
            <w:tcW w:w="1434" w:type="dxa"/>
            <w:tcBorders>
              <w:bottom w:val="single" w:color="000000" w:sz="12" w:space="0"/>
            </w:tcBorders>
            <w:vAlign w:val="top"/>
          </w:tcPr>
          <w:p>
            <w:pPr>
              <w:pStyle w:val="6"/>
              <w:spacing w:before="107" w:line="183" w:lineRule="auto"/>
              <w:ind w:left="491"/>
            </w:pPr>
            <w:r>
              <w:rPr>
                <w:spacing w:val="-2"/>
              </w:rPr>
              <w:t>33.12</w:t>
            </w:r>
          </w:p>
        </w:tc>
        <w:tc>
          <w:tcPr>
            <w:tcW w:w="2133" w:type="dxa"/>
            <w:tcBorders>
              <w:bottom w:val="single" w:color="000000" w:sz="12" w:space="0"/>
              <w:right w:val="nil"/>
            </w:tcBorders>
            <w:vAlign w:val="top"/>
          </w:tcPr>
          <w:p>
            <w:pPr>
              <w:pStyle w:val="6"/>
              <w:spacing w:before="63" w:line="201" w:lineRule="auto"/>
              <w:ind w:left="203"/>
              <w:rPr>
                <w:rFonts w:ascii="宋体" w:hAnsi="宋体" w:eastAsia="宋体" w:cs="宋体"/>
              </w:rPr>
            </w:pPr>
            <w:r>
              <w:rPr>
                <w:rFonts w:ascii="宋体" w:hAnsi="宋体" w:eastAsia="宋体" w:cs="宋体"/>
                <w:spacing w:val="-2"/>
              </w:rPr>
              <w:t>按前二部分</w:t>
            </w:r>
            <w:r>
              <w:rPr>
                <w:rFonts w:ascii="宋体" w:hAnsi="宋体" w:eastAsia="宋体" w:cs="宋体"/>
                <w:spacing w:val="-43"/>
              </w:rPr>
              <w:t xml:space="preserve"> </w:t>
            </w:r>
            <w:r>
              <w:rPr>
                <w:spacing w:val="-2"/>
              </w:rPr>
              <w:t>2.5%</w:t>
            </w:r>
            <w:r>
              <w:rPr>
                <w:rFonts w:ascii="宋体" w:hAnsi="宋体" w:eastAsia="宋体" w:cs="宋体"/>
                <w:spacing w:val="-2"/>
              </w:rPr>
              <w:t>计</w:t>
            </w:r>
          </w:p>
        </w:tc>
      </w:tr>
    </w:tbl>
    <w:p>
      <w:pPr>
        <w:spacing w:line="84" w:lineRule="exact"/>
        <w:rPr>
          <w:rFonts w:ascii="Arial"/>
          <w:sz w:val="7"/>
        </w:rPr>
      </w:pPr>
    </w:p>
    <w:p>
      <w:pPr>
        <w:spacing w:line="84" w:lineRule="exact"/>
        <w:rPr>
          <w:rFonts w:ascii="Arial" w:hAnsi="Arial" w:eastAsia="Arial" w:cs="Arial"/>
          <w:sz w:val="7"/>
          <w:szCs w:val="7"/>
        </w:rPr>
        <w:sectPr>
          <w:headerReference r:id="rId481" w:type="default"/>
          <w:footerReference r:id="rId482" w:type="default"/>
          <w:pgSz w:w="11910" w:h="16840"/>
          <w:pgMar w:top="1183" w:right="1229" w:bottom="1582" w:left="1230" w:header="908" w:footer="1419" w:gutter="0"/>
        </w:sectPr>
      </w:pPr>
    </w:p>
    <w:tbl>
      <w:tblPr>
        <w:tblStyle w:val="5"/>
        <w:tblW w:w="9405" w:type="dxa"/>
        <w:tblInd w:w="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6"/>
        <w:gridCol w:w="2548"/>
        <w:gridCol w:w="1022"/>
        <w:gridCol w:w="620"/>
        <w:gridCol w:w="932"/>
        <w:gridCol w:w="1434"/>
        <w:gridCol w:w="21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41" w:hRule="atLeast"/>
        </w:trPr>
        <w:tc>
          <w:tcPr>
            <w:tcW w:w="716" w:type="dxa"/>
            <w:tcBorders>
              <w:top w:val="single" w:color="000000" w:sz="12" w:space="0"/>
              <w:left w:val="nil"/>
            </w:tcBorders>
            <w:vAlign w:val="top"/>
          </w:tcPr>
          <w:p>
            <w:pPr>
              <w:spacing w:before="166" w:line="218" w:lineRule="auto"/>
              <w:ind w:left="16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序号</w:t>
            </w:r>
          </w:p>
        </w:tc>
        <w:tc>
          <w:tcPr>
            <w:tcW w:w="2548" w:type="dxa"/>
            <w:tcBorders>
              <w:top w:val="single" w:color="000000" w:sz="12" w:space="0"/>
            </w:tcBorders>
            <w:vAlign w:val="top"/>
          </w:tcPr>
          <w:p>
            <w:pPr>
              <w:spacing w:before="165" w:line="220" w:lineRule="auto"/>
              <w:ind w:left="1076"/>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项目</w:t>
            </w:r>
          </w:p>
        </w:tc>
        <w:tc>
          <w:tcPr>
            <w:tcW w:w="1022" w:type="dxa"/>
            <w:tcBorders>
              <w:top w:val="single" w:color="000000" w:sz="12" w:space="0"/>
            </w:tcBorders>
            <w:vAlign w:val="top"/>
          </w:tcPr>
          <w:p>
            <w:pPr>
              <w:spacing w:before="165" w:line="217" w:lineRule="auto"/>
              <w:ind w:left="317"/>
              <w:rPr>
                <w:rFonts w:ascii="仿宋" w:hAnsi="仿宋" w:eastAsia="仿宋" w:cs="仿宋"/>
                <w:sz w:val="21"/>
                <w:szCs w:val="21"/>
              </w:rPr>
            </w:pPr>
            <w:r>
              <w:rPr>
                <w:rFonts w:ascii="仿宋" w:hAnsi="仿宋" w:eastAsia="仿宋" w:cs="仿宋"/>
                <w:spacing w:val="-5"/>
                <w:sz w:val="21"/>
                <w:szCs w:val="21"/>
                <w14:textOutline w14:w="3810" w14:cap="flat" w14:cmpd="sng">
                  <w14:solidFill>
                    <w14:srgbClr w14:val="000000"/>
                  </w14:solidFill>
                  <w14:prstDash w14:val="solid"/>
                  <w14:miter w14:val="0"/>
                </w14:textOutline>
              </w:rPr>
              <w:t>单位</w:t>
            </w:r>
          </w:p>
        </w:tc>
        <w:tc>
          <w:tcPr>
            <w:tcW w:w="620" w:type="dxa"/>
            <w:tcBorders>
              <w:top w:val="single" w:color="000000" w:sz="12" w:space="0"/>
            </w:tcBorders>
            <w:vAlign w:val="top"/>
          </w:tcPr>
          <w:p>
            <w:pPr>
              <w:spacing w:before="166" w:line="219" w:lineRule="auto"/>
              <w:ind w:left="109"/>
              <w:rPr>
                <w:rFonts w:ascii="仿宋" w:hAnsi="仿宋" w:eastAsia="仿宋" w:cs="仿宋"/>
                <w:sz w:val="21"/>
                <w:szCs w:val="21"/>
              </w:rPr>
            </w:pPr>
            <w:r>
              <w:rPr>
                <w:rFonts w:ascii="仿宋" w:hAnsi="仿宋" w:eastAsia="仿宋" w:cs="仿宋"/>
                <w:spacing w:val="-7"/>
                <w:sz w:val="21"/>
                <w:szCs w:val="21"/>
                <w14:textOutline w14:w="3810" w14:cap="flat" w14:cmpd="sng">
                  <w14:solidFill>
                    <w14:srgbClr w14:val="000000"/>
                  </w14:solidFill>
                  <w14:prstDash w14:val="solid"/>
                  <w14:miter w14:val="0"/>
                </w14:textOutline>
              </w:rPr>
              <w:t>数量</w:t>
            </w:r>
          </w:p>
        </w:tc>
        <w:tc>
          <w:tcPr>
            <w:tcW w:w="932" w:type="dxa"/>
            <w:tcBorders>
              <w:top w:val="single" w:color="000000" w:sz="12" w:space="0"/>
            </w:tcBorders>
            <w:vAlign w:val="top"/>
          </w:tcPr>
          <w:p>
            <w:pPr>
              <w:spacing w:before="30" w:line="220" w:lineRule="auto"/>
              <w:ind w:left="55" w:right="55" w:firstLine="215"/>
              <w:rPr>
                <w:rFonts w:ascii="仿宋" w:hAnsi="仿宋" w:eastAsia="仿宋" w:cs="仿宋"/>
                <w:sz w:val="21"/>
                <w:szCs w:val="21"/>
              </w:rPr>
            </w:pPr>
            <w:r>
              <w:rPr>
                <w:rFonts w:ascii="仿宋" w:hAnsi="仿宋" w:eastAsia="仿宋" w:cs="仿宋"/>
                <w:spacing w:val="-9"/>
                <w:sz w:val="21"/>
                <w:szCs w:val="21"/>
                <w14:textOutline w14:w="3810" w14:cap="flat" w14:cmpd="sng">
                  <w14:solidFill>
                    <w14:srgbClr w14:val="000000"/>
                  </w14:solidFill>
                  <w14:prstDash w14:val="solid"/>
                  <w14:miter w14:val="0"/>
                </w14:textOutline>
              </w:rPr>
              <w:t>单价</w:t>
            </w:r>
            <w:r>
              <w:rPr>
                <w:rFonts w:ascii="仿宋" w:hAnsi="仿宋" w:eastAsia="仿宋" w:cs="仿宋"/>
                <w:sz w:val="21"/>
                <w:szCs w:val="21"/>
              </w:rPr>
              <w:t xml:space="preserve">   </w:t>
            </w:r>
            <w:r>
              <w:rPr>
                <w:rFonts w:ascii="仿宋" w:hAnsi="仿宋" w:eastAsia="仿宋" w:cs="仿宋"/>
                <w:spacing w:val="-7"/>
                <w:sz w:val="21"/>
                <w:szCs w:val="21"/>
                <w14:textOutline w14:w="3810" w14:cap="flat" w14:cmpd="sng">
                  <w14:solidFill>
                    <w14:srgbClr w14:val="000000"/>
                  </w14:solidFill>
                  <w14:prstDash w14:val="solid"/>
                  <w14:miter w14:val="0"/>
                </w14:textOutline>
              </w:rPr>
              <w:t>（万元）</w:t>
            </w:r>
          </w:p>
        </w:tc>
        <w:tc>
          <w:tcPr>
            <w:tcW w:w="1434" w:type="dxa"/>
            <w:tcBorders>
              <w:top w:val="single" w:color="000000" w:sz="12" w:space="0"/>
            </w:tcBorders>
            <w:vAlign w:val="top"/>
          </w:tcPr>
          <w:p>
            <w:pPr>
              <w:spacing w:before="165" w:line="220" w:lineRule="auto"/>
              <w:ind w:left="96"/>
              <w:rPr>
                <w:rFonts w:ascii="仿宋" w:hAnsi="仿宋" w:eastAsia="仿宋" w:cs="仿宋"/>
                <w:sz w:val="21"/>
                <w:szCs w:val="21"/>
              </w:rPr>
            </w:pPr>
            <w:r>
              <w:rPr>
                <w:rFonts w:ascii="仿宋" w:hAnsi="仿宋" w:eastAsia="仿宋" w:cs="仿宋"/>
                <w:spacing w:val="-3"/>
                <w:sz w:val="21"/>
                <w:szCs w:val="21"/>
                <w14:textOutline w14:w="3810" w14:cap="flat" w14:cmpd="sng">
                  <w14:solidFill>
                    <w14:srgbClr w14:val="000000"/>
                  </w14:solidFill>
                  <w14:prstDash w14:val="solid"/>
                  <w14:miter w14:val="0"/>
                </w14:textOutline>
              </w:rPr>
              <w:t>投资（万元）</w:t>
            </w:r>
          </w:p>
        </w:tc>
        <w:tc>
          <w:tcPr>
            <w:tcW w:w="2133" w:type="dxa"/>
            <w:tcBorders>
              <w:top w:val="single" w:color="000000" w:sz="12" w:space="0"/>
              <w:right w:val="nil"/>
            </w:tcBorders>
            <w:vAlign w:val="top"/>
          </w:tcPr>
          <w:p>
            <w:pPr>
              <w:spacing w:before="166" w:line="220" w:lineRule="auto"/>
              <w:ind w:left="871"/>
              <w:rPr>
                <w:rFonts w:ascii="仿宋" w:hAnsi="仿宋" w:eastAsia="仿宋" w:cs="仿宋"/>
                <w:sz w:val="21"/>
                <w:szCs w:val="21"/>
              </w:rPr>
            </w:pPr>
            <w:r>
              <w:rPr>
                <w:rFonts w:ascii="仿宋" w:hAnsi="仿宋" w:eastAsia="仿宋" w:cs="仿宋"/>
                <w:spacing w:val="-4"/>
                <w:sz w:val="21"/>
                <w:szCs w:val="21"/>
                <w14:textOutline w14:w="3810" w14:cap="flat" w14:cmpd="sng">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716" w:type="dxa"/>
            <w:tcBorders>
              <w:left w:val="nil"/>
            </w:tcBorders>
            <w:vAlign w:val="top"/>
          </w:tcPr>
          <w:p>
            <w:pPr>
              <w:pStyle w:val="6"/>
              <w:spacing w:before="85" w:line="176" w:lineRule="auto"/>
              <w:ind w:left="260"/>
            </w:pPr>
            <w:r>
              <w:rPr>
                <w:spacing w:val="-8"/>
              </w:rPr>
              <w:t>1.2</w:t>
            </w:r>
          </w:p>
        </w:tc>
        <w:tc>
          <w:tcPr>
            <w:tcW w:w="2548" w:type="dxa"/>
            <w:vAlign w:val="top"/>
          </w:tcPr>
          <w:p>
            <w:pPr>
              <w:spacing w:before="38" w:line="197" w:lineRule="auto"/>
              <w:ind w:left="340"/>
              <w:rPr>
                <w:rFonts w:ascii="仿宋" w:hAnsi="仿宋" w:eastAsia="仿宋" w:cs="仿宋"/>
                <w:sz w:val="21"/>
                <w:szCs w:val="21"/>
              </w:rPr>
            </w:pPr>
            <w:r>
              <w:rPr>
                <w:rFonts w:ascii="仿宋" w:hAnsi="仿宋" w:eastAsia="仿宋" w:cs="仿宋"/>
                <w:spacing w:val="-2"/>
                <w:sz w:val="21"/>
                <w:szCs w:val="21"/>
              </w:rPr>
              <w:t>环境保护竣工验收费</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85" w:line="176" w:lineRule="auto"/>
              <w:ind w:left="617"/>
            </w:pPr>
            <w:r>
              <w:rPr>
                <w:spacing w:val="-1"/>
              </w:rPr>
              <w:t>20</w:t>
            </w:r>
          </w:p>
        </w:tc>
        <w:tc>
          <w:tcPr>
            <w:tcW w:w="2133" w:type="dxa"/>
            <w:tcBorders>
              <w:right w:val="nil"/>
            </w:tcBorders>
            <w:vAlign w:val="top"/>
          </w:tcPr>
          <w:p>
            <w:pPr>
              <w:spacing w:before="36" w:line="199" w:lineRule="auto"/>
              <w:ind w:left="868"/>
              <w:rPr>
                <w:rFonts w:ascii="宋体" w:hAnsi="宋体" w:eastAsia="宋体" w:cs="宋体"/>
                <w:sz w:val="21"/>
                <w:szCs w:val="21"/>
              </w:rPr>
            </w:pPr>
            <w:r>
              <w:rPr>
                <w:rFonts w:ascii="宋体" w:hAnsi="宋体" w:eastAsia="宋体" w:cs="宋体"/>
                <w:spacing w:val="-3"/>
                <w:sz w:val="21"/>
                <w:szCs w:val="21"/>
              </w:rPr>
              <w:t>估列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73" w:hRule="atLeast"/>
        </w:trPr>
        <w:tc>
          <w:tcPr>
            <w:tcW w:w="716" w:type="dxa"/>
            <w:tcBorders>
              <w:left w:val="nil"/>
            </w:tcBorders>
            <w:vAlign w:val="top"/>
          </w:tcPr>
          <w:p>
            <w:pPr>
              <w:pStyle w:val="6"/>
              <w:spacing w:before="89" w:line="172" w:lineRule="auto"/>
              <w:ind w:left="260"/>
            </w:pPr>
            <w:r>
              <w:rPr>
                <w:spacing w:val="-8"/>
              </w:rPr>
              <w:t>1.3</w:t>
            </w:r>
          </w:p>
        </w:tc>
        <w:tc>
          <w:tcPr>
            <w:tcW w:w="2548" w:type="dxa"/>
            <w:vAlign w:val="top"/>
          </w:tcPr>
          <w:p>
            <w:pPr>
              <w:spacing w:before="43" w:line="193" w:lineRule="auto"/>
              <w:ind w:left="235"/>
              <w:rPr>
                <w:rFonts w:ascii="仿宋" w:hAnsi="仿宋" w:eastAsia="仿宋" w:cs="仿宋"/>
                <w:sz w:val="21"/>
                <w:szCs w:val="21"/>
              </w:rPr>
            </w:pPr>
            <w:r>
              <w:rPr>
                <w:rFonts w:ascii="仿宋" w:hAnsi="仿宋" w:eastAsia="仿宋" w:cs="仿宋"/>
                <w:spacing w:val="-2"/>
                <w:sz w:val="21"/>
                <w:szCs w:val="21"/>
              </w:rPr>
              <w:t>环境保护宣传及培训费</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89" w:line="172" w:lineRule="auto"/>
              <w:ind w:left="668"/>
            </w:pPr>
            <w:r>
              <w:t>4</w:t>
            </w:r>
          </w:p>
        </w:tc>
        <w:tc>
          <w:tcPr>
            <w:tcW w:w="2133" w:type="dxa"/>
            <w:tcBorders>
              <w:right w:val="nil"/>
            </w:tcBorders>
            <w:vAlign w:val="top"/>
          </w:tcPr>
          <w:p>
            <w:pPr>
              <w:spacing w:before="41" w:line="195" w:lineRule="auto"/>
              <w:ind w:left="868"/>
              <w:rPr>
                <w:rFonts w:ascii="宋体" w:hAnsi="宋体" w:eastAsia="宋体" w:cs="宋体"/>
                <w:sz w:val="21"/>
                <w:szCs w:val="21"/>
              </w:rPr>
            </w:pPr>
            <w:r>
              <w:rPr>
                <w:rFonts w:ascii="宋体" w:hAnsi="宋体" w:eastAsia="宋体" w:cs="宋体"/>
                <w:spacing w:val="-3"/>
                <w:sz w:val="21"/>
                <w:szCs w:val="21"/>
              </w:rPr>
              <w:t>估列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4" w:hRule="atLeast"/>
        </w:trPr>
        <w:tc>
          <w:tcPr>
            <w:tcW w:w="716" w:type="dxa"/>
            <w:tcBorders>
              <w:left w:val="nil"/>
            </w:tcBorders>
            <w:vAlign w:val="top"/>
          </w:tcPr>
          <w:p>
            <w:pPr>
              <w:pStyle w:val="6"/>
              <w:spacing w:before="93" w:line="160" w:lineRule="auto"/>
              <w:ind w:left="319"/>
            </w:pPr>
            <w:r>
              <w:rPr>
                <w:b/>
                <w:bCs/>
              </w:rPr>
              <w:t>2</w:t>
            </w:r>
          </w:p>
        </w:tc>
        <w:tc>
          <w:tcPr>
            <w:tcW w:w="2548" w:type="dxa"/>
            <w:vAlign w:val="top"/>
          </w:tcPr>
          <w:p>
            <w:pPr>
              <w:spacing w:before="41" w:line="187" w:lineRule="auto"/>
              <w:ind w:left="806"/>
              <w:rPr>
                <w:rFonts w:ascii="宋体" w:hAnsi="宋体" w:eastAsia="宋体" w:cs="宋体"/>
                <w:sz w:val="21"/>
                <w:szCs w:val="21"/>
              </w:rPr>
            </w:pPr>
            <w:r>
              <w:rPr>
                <w:rFonts w:ascii="宋体" w:hAnsi="宋体" w:eastAsia="宋体" w:cs="宋体"/>
                <w:spacing w:val="-2"/>
                <w:sz w:val="21"/>
                <w:szCs w:val="21"/>
                <w14:textOutline w14:w="3810" w14:cap="flat" w14:cmpd="sng">
                  <w14:solidFill>
                    <w14:srgbClr w14:val="000000"/>
                  </w14:solidFill>
                  <w14:prstDash w14:val="solid"/>
                  <w14:miter w14:val="0"/>
                </w14:textOutline>
              </w:rPr>
              <w:t>环境监理费</w:t>
            </w:r>
          </w:p>
        </w:tc>
        <w:tc>
          <w:tcPr>
            <w:tcW w:w="1022" w:type="dxa"/>
            <w:vAlign w:val="top"/>
          </w:tcPr>
          <w:p>
            <w:pPr>
              <w:pStyle w:val="6"/>
              <w:spacing w:before="45" w:line="183" w:lineRule="auto"/>
              <w:ind w:left="180"/>
              <w:rPr>
                <w:rFonts w:ascii="宋体" w:hAnsi="宋体" w:eastAsia="宋体" w:cs="宋体"/>
              </w:rPr>
            </w:pPr>
            <w:r>
              <w:rPr>
                <w:rFonts w:ascii="宋体" w:hAnsi="宋体" w:eastAsia="宋体" w:cs="宋体"/>
                <w:spacing w:val="-3"/>
                <w14:textOutline w14:w="3810" w14:cap="flat" w14:cmpd="sng">
                  <w14:solidFill>
                    <w14:srgbClr w14:val="000000"/>
                  </w14:solidFill>
                  <w14:prstDash w14:val="solid"/>
                  <w14:miter w14:val="0"/>
                </w14:textOutline>
              </w:rPr>
              <w:t>万元</w:t>
            </w:r>
            <w:r>
              <w:rPr>
                <w:b/>
                <w:bCs/>
                <w:spacing w:val="-3"/>
              </w:rPr>
              <w:t>/</w:t>
            </w:r>
            <w:r>
              <w:rPr>
                <w:rFonts w:ascii="宋体" w:hAnsi="宋体" w:eastAsia="宋体" w:cs="宋体"/>
                <w:spacing w:val="-3"/>
                <w14:textOutline w14:w="3810" w14:cap="flat" w14:cmpd="sng">
                  <w14:solidFill>
                    <w14:srgbClr w14:val="000000"/>
                  </w14:solidFill>
                  <w14:prstDash w14:val="solid"/>
                  <w14:miter w14:val="0"/>
                </w14:textOutline>
              </w:rPr>
              <w:t>年</w:t>
            </w:r>
          </w:p>
        </w:tc>
        <w:tc>
          <w:tcPr>
            <w:tcW w:w="620" w:type="dxa"/>
            <w:vAlign w:val="top"/>
          </w:tcPr>
          <w:p>
            <w:pPr>
              <w:pStyle w:val="6"/>
              <w:spacing w:before="96" w:line="157" w:lineRule="auto"/>
              <w:ind w:left="267"/>
            </w:pPr>
            <w:r>
              <w:rPr>
                <w:b/>
                <w:bCs/>
              </w:rPr>
              <w:t>5</w:t>
            </w:r>
          </w:p>
        </w:tc>
        <w:tc>
          <w:tcPr>
            <w:tcW w:w="932" w:type="dxa"/>
            <w:vAlign w:val="top"/>
          </w:tcPr>
          <w:p>
            <w:pPr>
              <w:pStyle w:val="6"/>
              <w:spacing w:before="93" w:line="160" w:lineRule="auto"/>
              <w:ind w:left="424"/>
            </w:pPr>
            <w:r>
              <w:rPr>
                <w:b/>
                <w:bCs/>
              </w:rPr>
              <w:t>8</w:t>
            </w:r>
          </w:p>
        </w:tc>
        <w:tc>
          <w:tcPr>
            <w:tcW w:w="1434" w:type="dxa"/>
            <w:vAlign w:val="top"/>
          </w:tcPr>
          <w:p>
            <w:pPr>
              <w:pStyle w:val="6"/>
              <w:spacing w:before="93" w:line="160" w:lineRule="auto"/>
              <w:ind w:left="617"/>
            </w:pPr>
            <w:r>
              <w:rPr>
                <w:b/>
                <w:bCs/>
                <w:spacing w:val="-2"/>
              </w:rPr>
              <w:t>40</w:t>
            </w:r>
          </w:p>
        </w:tc>
        <w:tc>
          <w:tcPr>
            <w:tcW w:w="2133" w:type="dxa"/>
            <w:tcBorders>
              <w:right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65" w:hRule="atLeast"/>
        </w:trPr>
        <w:tc>
          <w:tcPr>
            <w:tcW w:w="716" w:type="dxa"/>
            <w:tcBorders>
              <w:left w:val="nil"/>
            </w:tcBorders>
            <w:vAlign w:val="top"/>
          </w:tcPr>
          <w:p>
            <w:pPr>
              <w:pStyle w:val="6"/>
              <w:spacing w:before="97" w:line="158" w:lineRule="exact"/>
              <w:ind w:left="317"/>
            </w:pPr>
            <w:r>
              <w:rPr>
                <w:b/>
                <w:bCs/>
                <w:position w:val="-2"/>
              </w:rPr>
              <w:t>3</w:t>
            </w:r>
          </w:p>
        </w:tc>
        <w:tc>
          <w:tcPr>
            <w:tcW w:w="2548" w:type="dxa"/>
            <w:vAlign w:val="top"/>
          </w:tcPr>
          <w:p>
            <w:pPr>
              <w:spacing w:before="45" w:line="184" w:lineRule="auto"/>
              <w:ind w:left="384"/>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环境影响评价咨询费</w:t>
            </w:r>
          </w:p>
        </w:tc>
        <w:tc>
          <w:tcPr>
            <w:tcW w:w="1022" w:type="dxa"/>
            <w:vAlign w:val="top"/>
          </w:tcPr>
          <w:p>
            <w:pPr>
              <w:rPr>
                <w:rFonts w:ascii="Arial"/>
                <w:sz w:val="21"/>
              </w:rPr>
            </w:pPr>
          </w:p>
        </w:tc>
        <w:tc>
          <w:tcPr>
            <w:tcW w:w="620" w:type="dxa"/>
            <w:vAlign w:val="top"/>
          </w:tcPr>
          <w:p>
            <w:pPr>
              <w:rPr>
                <w:rFonts w:ascii="Arial"/>
                <w:sz w:val="21"/>
              </w:rPr>
            </w:pPr>
          </w:p>
        </w:tc>
        <w:tc>
          <w:tcPr>
            <w:tcW w:w="932" w:type="dxa"/>
            <w:vAlign w:val="top"/>
          </w:tcPr>
          <w:p>
            <w:pPr>
              <w:rPr>
                <w:rFonts w:ascii="Arial"/>
                <w:sz w:val="21"/>
              </w:rPr>
            </w:pPr>
          </w:p>
        </w:tc>
        <w:tc>
          <w:tcPr>
            <w:tcW w:w="1434" w:type="dxa"/>
            <w:vAlign w:val="top"/>
          </w:tcPr>
          <w:p>
            <w:pPr>
              <w:pStyle w:val="6"/>
              <w:spacing w:before="97" w:line="158" w:lineRule="exact"/>
              <w:ind w:left="617"/>
            </w:pPr>
            <w:r>
              <w:rPr>
                <w:b/>
                <w:bCs/>
                <w:spacing w:val="-3"/>
                <w:position w:val="-2"/>
              </w:rPr>
              <w:t>25</w:t>
            </w:r>
          </w:p>
        </w:tc>
        <w:tc>
          <w:tcPr>
            <w:tcW w:w="2133" w:type="dxa"/>
            <w:tcBorders>
              <w:right w:val="nil"/>
            </w:tcBorders>
            <w:vAlign w:val="top"/>
          </w:tcPr>
          <w:p>
            <w:pPr>
              <w:spacing w:before="45" w:line="184" w:lineRule="auto"/>
              <w:ind w:left="868"/>
              <w:rPr>
                <w:rFonts w:ascii="宋体" w:hAnsi="宋体" w:eastAsia="宋体" w:cs="宋体"/>
                <w:sz w:val="21"/>
                <w:szCs w:val="21"/>
              </w:rPr>
            </w:pPr>
            <w:r>
              <w:rPr>
                <w:rFonts w:ascii="宋体" w:hAnsi="宋体" w:eastAsia="宋体" w:cs="宋体"/>
                <w:spacing w:val="-3"/>
                <w:sz w:val="21"/>
                <w:szCs w:val="21"/>
              </w:rPr>
              <w:t>估列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89" w:hRule="atLeast"/>
        </w:trPr>
        <w:tc>
          <w:tcPr>
            <w:tcW w:w="3264" w:type="dxa"/>
            <w:gridSpan w:val="2"/>
            <w:tcBorders>
              <w:left w:val="nil"/>
              <w:bottom w:val="single" w:color="000000" w:sz="12" w:space="0"/>
            </w:tcBorders>
            <w:vAlign w:val="top"/>
          </w:tcPr>
          <w:p>
            <w:pPr>
              <w:spacing w:before="50" w:line="201" w:lineRule="auto"/>
              <w:ind w:left="1014"/>
              <w:rPr>
                <w:rFonts w:ascii="宋体" w:hAnsi="宋体" w:eastAsia="宋体" w:cs="宋体"/>
                <w:sz w:val="21"/>
                <w:szCs w:val="21"/>
              </w:rPr>
            </w:pPr>
            <w:r>
              <w:rPr>
                <w:rFonts w:ascii="宋体" w:hAnsi="宋体" w:eastAsia="宋体" w:cs="宋体"/>
                <w:spacing w:val="-1"/>
                <w:sz w:val="21"/>
                <w:szCs w:val="21"/>
                <w14:textOutline w14:w="3810" w14:cap="flat" w14:cmpd="sng">
                  <w14:solidFill>
                    <w14:srgbClr w14:val="000000"/>
                  </w14:solidFill>
                  <w14:prstDash w14:val="solid"/>
                  <w14:miter w14:val="0"/>
                </w14:textOutline>
              </w:rPr>
              <w:t>第一至第三部分合计</w:t>
            </w:r>
          </w:p>
        </w:tc>
        <w:tc>
          <w:tcPr>
            <w:tcW w:w="1022" w:type="dxa"/>
            <w:tcBorders>
              <w:bottom w:val="single" w:color="000000" w:sz="12" w:space="0"/>
            </w:tcBorders>
            <w:vAlign w:val="top"/>
          </w:tcPr>
          <w:p>
            <w:pPr>
              <w:rPr>
                <w:rFonts w:ascii="Arial"/>
                <w:sz w:val="21"/>
              </w:rPr>
            </w:pPr>
          </w:p>
        </w:tc>
        <w:tc>
          <w:tcPr>
            <w:tcW w:w="620" w:type="dxa"/>
            <w:tcBorders>
              <w:bottom w:val="single" w:color="000000" w:sz="12" w:space="0"/>
            </w:tcBorders>
            <w:vAlign w:val="top"/>
          </w:tcPr>
          <w:p>
            <w:pPr>
              <w:rPr>
                <w:rFonts w:ascii="Arial"/>
                <w:sz w:val="21"/>
              </w:rPr>
            </w:pPr>
          </w:p>
        </w:tc>
        <w:tc>
          <w:tcPr>
            <w:tcW w:w="932" w:type="dxa"/>
            <w:tcBorders>
              <w:bottom w:val="single" w:color="000000" w:sz="12" w:space="0"/>
            </w:tcBorders>
            <w:vAlign w:val="top"/>
          </w:tcPr>
          <w:p>
            <w:pPr>
              <w:rPr>
                <w:rFonts w:ascii="Arial"/>
                <w:sz w:val="21"/>
              </w:rPr>
            </w:pPr>
          </w:p>
        </w:tc>
        <w:tc>
          <w:tcPr>
            <w:tcW w:w="1434" w:type="dxa"/>
            <w:tcBorders>
              <w:bottom w:val="single" w:color="000000" w:sz="12" w:space="0"/>
            </w:tcBorders>
            <w:vAlign w:val="top"/>
          </w:tcPr>
          <w:p>
            <w:pPr>
              <w:pStyle w:val="6"/>
              <w:spacing w:before="101" w:line="176" w:lineRule="auto"/>
              <w:ind w:left="392"/>
            </w:pPr>
            <w:r>
              <w:rPr>
                <w:b/>
                <w:bCs/>
                <w:spacing w:val="-2"/>
              </w:rPr>
              <w:t>1447.04</w:t>
            </w:r>
          </w:p>
        </w:tc>
        <w:tc>
          <w:tcPr>
            <w:tcW w:w="2133" w:type="dxa"/>
            <w:tcBorders>
              <w:bottom w:val="single" w:color="000000" w:sz="12" w:space="0"/>
              <w:right w:val="nil"/>
            </w:tcBorders>
            <w:vAlign w:val="top"/>
          </w:tcPr>
          <w:p>
            <w:pPr>
              <w:rPr>
                <w:rFonts w:ascii="Arial"/>
                <w:sz w:val="21"/>
              </w:rPr>
            </w:pPr>
          </w:p>
        </w:tc>
      </w:tr>
    </w:tbl>
    <w:p>
      <w:pPr>
        <w:pStyle w:val="2"/>
        <w:spacing w:before="295" w:line="225" w:lineRule="auto"/>
        <w:ind w:left="39"/>
        <w:outlineLvl w:val="2"/>
        <w:rPr>
          <w:sz w:val="27"/>
          <w:szCs w:val="27"/>
        </w:rPr>
      </w:pPr>
      <w:bookmarkStart w:id="53" w:name="bookmark54"/>
      <w:bookmarkEnd w:id="53"/>
      <w:r>
        <w:rPr>
          <w:rFonts w:ascii="Times New Roman" w:hAnsi="Times New Roman" w:eastAsia="Times New Roman" w:cs="Times New Roman"/>
          <w:b/>
          <w:bCs/>
          <w:spacing w:val="7"/>
          <w:sz w:val="27"/>
          <w:szCs w:val="27"/>
        </w:rPr>
        <w:t xml:space="preserve">8.2 </w:t>
      </w:r>
      <w:r>
        <w:rPr>
          <w:spacing w:val="7"/>
          <w:sz w:val="27"/>
          <w:szCs w:val="27"/>
          <w14:textOutline w14:w="5072" w14:cap="flat" w14:cmpd="sng">
            <w14:solidFill>
              <w14:srgbClr w14:val="000000"/>
            </w14:solidFill>
            <w14:prstDash w14:val="solid"/>
            <w14:miter w14:val="0"/>
          </w14:textOutline>
        </w:rPr>
        <w:t>工程经济效益分析</w:t>
      </w:r>
    </w:p>
    <w:p>
      <w:pPr>
        <w:spacing w:before="172" w:line="359" w:lineRule="auto"/>
        <w:ind w:left="41" w:right="31" w:firstLine="484"/>
        <w:jc w:val="both"/>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）本项目效益表现为工程实施后改善灌溉面积带来的农作物产量的增加， 按分摊系</w:t>
      </w:r>
      <w:r>
        <w:rPr>
          <w:rFonts w:ascii="宋体" w:hAnsi="宋体" w:eastAsia="宋体" w:cs="宋体"/>
          <w:spacing w:val="5"/>
          <w:sz w:val="24"/>
          <w:szCs w:val="24"/>
        </w:rPr>
        <w:t xml:space="preserve"> </w:t>
      </w:r>
      <w:r>
        <w:rPr>
          <w:rFonts w:ascii="宋体" w:hAnsi="宋体" w:eastAsia="宋体" w:cs="宋体"/>
          <w:spacing w:val="-1"/>
          <w:sz w:val="24"/>
          <w:szCs w:val="24"/>
        </w:rPr>
        <w:t>数法计算。灌溉效益分摊系数按扣除农业生产成本确定，其值在</w:t>
      </w:r>
      <w:r>
        <w:rPr>
          <w:rFonts w:ascii="宋体" w:hAnsi="宋体" w:eastAsia="宋体" w:cs="宋体"/>
          <w:spacing w:val="-26"/>
          <w:sz w:val="24"/>
          <w:szCs w:val="24"/>
        </w:rPr>
        <w:t xml:space="preserve"> </w:t>
      </w:r>
      <w:r>
        <w:rPr>
          <w:rFonts w:ascii="Times New Roman" w:hAnsi="Times New Roman" w:eastAsia="Times New Roman" w:cs="Times New Roman"/>
          <w:spacing w:val="-1"/>
          <w:sz w:val="24"/>
          <w:szCs w:val="24"/>
        </w:rPr>
        <w:t>0.40</w:t>
      </w:r>
      <w:r>
        <w:rPr>
          <w:rFonts w:ascii="宋体" w:hAnsi="宋体" w:eastAsia="宋体" w:cs="宋体"/>
          <w:spacing w:val="-1"/>
          <w:sz w:val="24"/>
          <w:szCs w:val="24"/>
        </w:rPr>
        <w:t>～</w:t>
      </w:r>
      <w:r>
        <w:rPr>
          <w:rFonts w:ascii="Times New Roman" w:hAnsi="Times New Roman" w:eastAsia="Times New Roman" w:cs="Times New Roman"/>
          <w:spacing w:val="-1"/>
          <w:sz w:val="24"/>
          <w:szCs w:val="24"/>
        </w:rPr>
        <w:t>0.55</w:t>
      </w:r>
      <w:r>
        <w:rPr>
          <w:rFonts w:ascii="Times New Roman" w:hAnsi="Times New Roman" w:eastAsia="Times New Roman" w:cs="Times New Roman"/>
          <w:spacing w:val="26"/>
          <w:sz w:val="24"/>
          <w:szCs w:val="24"/>
        </w:rPr>
        <w:t xml:space="preserve"> </w:t>
      </w:r>
      <w:r>
        <w:rPr>
          <w:rFonts w:ascii="宋体" w:hAnsi="宋体" w:eastAsia="宋体" w:cs="宋体"/>
          <w:spacing w:val="-1"/>
          <w:sz w:val="24"/>
          <w:szCs w:val="24"/>
        </w:rPr>
        <w:t>之间。根据灌</w:t>
      </w:r>
      <w:r>
        <w:rPr>
          <w:rFonts w:ascii="宋体" w:hAnsi="宋体" w:eastAsia="宋体" w:cs="宋体"/>
          <w:sz w:val="24"/>
          <w:szCs w:val="24"/>
        </w:rPr>
        <w:t xml:space="preserve"> </w:t>
      </w:r>
      <w:r>
        <w:rPr>
          <w:rFonts w:ascii="宋体" w:hAnsi="宋体" w:eastAsia="宋体" w:cs="宋体"/>
          <w:spacing w:val="-3"/>
          <w:sz w:val="24"/>
          <w:szCs w:val="24"/>
        </w:rPr>
        <w:t>区主要农作物在保证供水和供水不足的情况下的产量、产值调查结果， 经综合分析计算得</w:t>
      </w:r>
    </w:p>
    <w:p>
      <w:pPr>
        <w:spacing w:before="1" w:line="219" w:lineRule="auto"/>
        <w:ind w:left="45"/>
        <w:rPr>
          <w:rFonts w:ascii="宋体" w:hAnsi="宋体" w:eastAsia="宋体" w:cs="宋体"/>
          <w:sz w:val="24"/>
          <w:szCs w:val="24"/>
        </w:rPr>
      </w:pPr>
      <w:r>
        <w:rPr>
          <w:rFonts w:ascii="宋体" w:hAnsi="宋体" w:eastAsia="宋体" w:cs="宋体"/>
          <w:spacing w:val="-4"/>
          <w:sz w:val="24"/>
          <w:szCs w:val="24"/>
        </w:rPr>
        <w:t>到年灌溉效益为</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2825.12</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万元。</w:t>
      </w:r>
    </w:p>
    <w:p>
      <w:pPr>
        <w:spacing w:before="181" w:line="467" w:lineRule="exact"/>
        <w:ind w:right="28"/>
        <w:jc w:val="right"/>
        <w:rPr>
          <w:rFonts w:ascii="Times New Roman" w:hAnsi="Times New Roman" w:eastAsia="Times New Roman" w:cs="Times New Roman"/>
          <w:sz w:val="24"/>
          <w:szCs w:val="24"/>
        </w:rPr>
      </w:pPr>
      <w:r>
        <w:rPr>
          <w:rFonts w:ascii="宋体" w:hAnsi="宋体" w:eastAsia="宋体" w:cs="宋体"/>
          <w:spacing w:val="-3"/>
          <w:position w:val="16"/>
          <w:sz w:val="24"/>
          <w:szCs w:val="24"/>
        </w:rPr>
        <w:t>（</w:t>
      </w:r>
      <w:r>
        <w:rPr>
          <w:rFonts w:ascii="Times New Roman" w:hAnsi="Times New Roman" w:eastAsia="Times New Roman" w:cs="Times New Roman"/>
          <w:spacing w:val="-3"/>
          <w:position w:val="16"/>
          <w:sz w:val="24"/>
          <w:szCs w:val="24"/>
        </w:rPr>
        <w:t>2</w:t>
      </w:r>
      <w:r>
        <w:rPr>
          <w:rFonts w:ascii="宋体" w:hAnsi="宋体" w:eastAsia="宋体" w:cs="宋体"/>
          <w:spacing w:val="-3"/>
          <w:position w:val="16"/>
          <w:sz w:val="24"/>
          <w:szCs w:val="24"/>
        </w:rPr>
        <w:t>）农村供水量</w:t>
      </w:r>
      <w:r>
        <w:rPr>
          <w:rFonts w:ascii="宋体" w:hAnsi="宋体" w:eastAsia="宋体" w:cs="宋体"/>
          <w:spacing w:val="-70"/>
          <w:position w:val="16"/>
          <w:sz w:val="24"/>
          <w:szCs w:val="24"/>
        </w:rPr>
        <w:t xml:space="preserve"> </w:t>
      </w:r>
      <w:r>
        <w:rPr>
          <w:rFonts w:ascii="Times New Roman" w:hAnsi="Times New Roman" w:eastAsia="Times New Roman" w:cs="Times New Roman"/>
          <w:spacing w:val="-3"/>
          <w:position w:val="16"/>
          <w:sz w:val="24"/>
          <w:szCs w:val="24"/>
        </w:rPr>
        <w:t xml:space="preserve">91.6 </w:t>
      </w:r>
      <w:r>
        <w:rPr>
          <w:rFonts w:ascii="宋体" w:hAnsi="宋体" w:eastAsia="宋体" w:cs="宋体"/>
          <w:spacing w:val="-3"/>
          <w:position w:val="16"/>
          <w:sz w:val="24"/>
          <w:szCs w:val="24"/>
        </w:rPr>
        <w:t>万</w:t>
      </w:r>
      <w:r>
        <w:rPr>
          <w:rFonts w:ascii="Times New Roman" w:hAnsi="Times New Roman" w:eastAsia="Times New Roman" w:cs="Times New Roman"/>
          <w:spacing w:val="-3"/>
          <w:position w:val="16"/>
          <w:sz w:val="24"/>
          <w:szCs w:val="24"/>
        </w:rPr>
        <w:t>m</w:t>
      </w:r>
      <w:r>
        <w:rPr>
          <w:rFonts w:ascii="宋体" w:hAnsi="宋体" w:eastAsia="宋体" w:cs="宋体"/>
          <w:spacing w:val="-3"/>
          <w:position w:val="16"/>
          <w:sz w:val="24"/>
          <w:szCs w:val="24"/>
        </w:rPr>
        <w:t>³,运行成本水价为</w:t>
      </w:r>
      <w:r>
        <w:rPr>
          <w:rFonts w:ascii="宋体" w:hAnsi="宋体" w:eastAsia="宋体" w:cs="宋体"/>
          <w:spacing w:val="-72"/>
          <w:position w:val="16"/>
          <w:sz w:val="24"/>
          <w:szCs w:val="24"/>
        </w:rPr>
        <w:t xml:space="preserve"> </w:t>
      </w:r>
      <w:r>
        <w:rPr>
          <w:rFonts w:ascii="Times New Roman" w:hAnsi="Times New Roman" w:eastAsia="Times New Roman" w:cs="Times New Roman"/>
          <w:spacing w:val="-3"/>
          <w:position w:val="16"/>
          <w:sz w:val="24"/>
          <w:szCs w:val="24"/>
        </w:rPr>
        <w:t xml:space="preserve">0.75 </w:t>
      </w:r>
      <w:r>
        <w:rPr>
          <w:rFonts w:ascii="宋体" w:hAnsi="宋体" w:eastAsia="宋体" w:cs="宋体"/>
          <w:spacing w:val="-3"/>
          <w:position w:val="16"/>
          <w:sz w:val="24"/>
          <w:szCs w:val="24"/>
        </w:rPr>
        <w:t>元</w:t>
      </w:r>
      <w:r>
        <w:rPr>
          <w:rFonts w:ascii="Times New Roman" w:hAnsi="Times New Roman" w:eastAsia="Times New Roman" w:cs="Times New Roman"/>
          <w:spacing w:val="-3"/>
          <w:position w:val="16"/>
          <w:sz w:val="24"/>
          <w:szCs w:val="24"/>
        </w:rPr>
        <w:t>/m</w:t>
      </w:r>
      <w:r>
        <w:rPr>
          <w:rFonts w:ascii="宋体" w:hAnsi="宋体" w:eastAsia="宋体" w:cs="宋体"/>
          <w:spacing w:val="-3"/>
          <w:position w:val="16"/>
          <w:sz w:val="24"/>
          <w:szCs w:val="24"/>
        </w:rPr>
        <w:t>³,年供水效益为</w:t>
      </w:r>
      <w:r>
        <w:rPr>
          <w:rFonts w:ascii="宋体" w:hAnsi="宋体" w:eastAsia="宋体" w:cs="宋体"/>
          <w:spacing w:val="-71"/>
          <w:position w:val="16"/>
          <w:sz w:val="24"/>
          <w:szCs w:val="24"/>
        </w:rPr>
        <w:t xml:space="preserve"> </w:t>
      </w:r>
      <w:r>
        <w:rPr>
          <w:rFonts w:ascii="Times New Roman" w:hAnsi="Times New Roman" w:eastAsia="Times New Roman" w:cs="Times New Roman"/>
          <w:spacing w:val="-3"/>
          <w:position w:val="16"/>
          <w:sz w:val="24"/>
          <w:szCs w:val="24"/>
        </w:rPr>
        <w:t>91.6</w:t>
      </w:r>
      <w:r>
        <w:rPr>
          <w:rFonts w:ascii="宋体" w:hAnsi="宋体" w:eastAsia="宋体" w:cs="宋体"/>
          <w:spacing w:val="-3"/>
          <w:position w:val="16"/>
          <w:sz w:val="24"/>
          <w:szCs w:val="24"/>
        </w:rPr>
        <w:t>×</w:t>
      </w:r>
      <w:r>
        <w:rPr>
          <w:rFonts w:ascii="Times New Roman" w:hAnsi="Times New Roman" w:eastAsia="Times New Roman" w:cs="Times New Roman"/>
          <w:spacing w:val="-3"/>
          <w:position w:val="16"/>
          <w:sz w:val="24"/>
          <w:szCs w:val="24"/>
        </w:rPr>
        <w:t>0.7</w:t>
      </w:r>
      <w:r>
        <w:rPr>
          <w:rFonts w:ascii="Times New Roman" w:hAnsi="Times New Roman" w:eastAsia="Times New Roman" w:cs="Times New Roman"/>
          <w:spacing w:val="-4"/>
          <w:position w:val="16"/>
          <w:sz w:val="24"/>
          <w:szCs w:val="24"/>
        </w:rPr>
        <w:t>5=68.7</w:t>
      </w:r>
    </w:p>
    <w:p>
      <w:pPr>
        <w:spacing w:line="220" w:lineRule="auto"/>
        <w:ind w:left="45"/>
        <w:rPr>
          <w:rFonts w:ascii="宋体" w:hAnsi="宋体" w:eastAsia="宋体" w:cs="宋体"/>
          <w:sz w:val="24"/>
          <w:szCs w:val="24"/>
        </w:rPr>
      </w:pPr>
      <w:r>
        <w:rPr>
          <w:rFonts w:ascii="宋体" w:hAnsi="宋体" w:eastAsia="宋体" w:cs="宋体"/>
          <w:spacing w:val="-6"/>
          <w:sz w:val="24"/>
          <w:szCs w:val="24"/>
        </w:rPr>
        <w:t>万元。</w:t>
      </w:r>
    </w:p>
    <w:p>
      <w:pPr>
        <w:spacing w:line="350" w:lineRule="auto"/>
        <w:rPr>
          <w:rFonts w:ascii="Arial"/>
          <w:sz w:val="21"/>
        </w:rPr>
      </w:pPr>
    </w:p>
    <w:p>
      <w:pPr>
        <w:pStyle w:val="2"/>
        <w:spacing w:before="88" w:line="239" w:lineRule="auto"/>
        <w:ind w:left="39"/>
        <w:outlineLvl w:val="2"/>
        <w:rPr>
          <w:sz w:val="27"/>
          <w:szCs w:val="27"/>
        </w:rPr>
      </w:pPr>
      <w:bookmarkStart w:id="54" w:name="bookmark55"/>
      <w:bookmarkEnd w:id="54"/>
      <w:r>
        <w:rPr>
          <w:rFonts w:ascii="Times New Roman" w:hAnsi="Times New Roman" w:eastAsia="Times New Roman" w:cs="Times New Roman"/>
          <w:b/>
          <w:bCs/>
          <w:spacing w:val="7"/>
          <w:sz w:val="27"/>
          <w:szCs w:val="27"/>
        </w:rPr>
        <w:t xml:space="preserve">8.3 </w:t>
      </w:r>
      <w:r>
        <w:rPr>
          <w:spacing w:val="7"/>
          <w:sz w:val="27"/>
          <w:szCs w:val="27"/>
          <w14:textOutline w14:w="5072" w14:cap="flat" w14:cmpd="sng">
            <w14:solidFill>
              <w14:srgbClr w14:val="000000"/>
            </w14:solidFill>
            <w14:prstDash w14:val="solid"/>
            <w14:miter w14:val="0"/>
          </w14:textOutline>
        </w:rPr>
        <w:t>社会效益分析</w:t>
      </w:r>
    </w:p>
    <w:p>
      <w:pPr>
        <w:spacing w:before="151" w:line="359" w:lineRule="auto"/>
        <w:ind w:left="43" w:right="31" w:firstLine="478"/>
        <w:jc w:val="both"/>
        <w:rPr>
          <w:rFonts w:ascii="宋体" w:hAnsi="宋体" w:eastAsia="宋体" w:cs="宋体"/>
          <w:sz w:val="24"/>
          <w:szCs w:val="24"/>
        </w:rPr>
      </w:pPr>
      <w:r>
        <w:rPr>
          <w:rFonts w:ascii="宋体" w:hAnsi="宋体" w:eastAsia="宋体" w:cs="宋体"/>
          <w:sz w:val="24"/>
          <w:szCs w:val="24"/>
        </w:rPr>
        <w:t>桂花水库具有农村人畜供水、工业用水和发展农业灌溉等综合利用任务，社会效益显</w:t>
      </w:r>
      <w:r>
        <w:rPr>
          <w:rFonts w:ascii="宋体" w:hAnsi="宋体" w:eastAsia="宋体" w:cs="宋体"/>
          <w:spacing w:val="16"/>
          <w:sz w:val="24"/>
          <w:szCs w:val="24"/>
        </w:rPr>
        <w:t xml:space="preserve"> </w:t>
      </w:r>
      <w:r>
        <w:rPr>
          <w:rFonts w:ascii="宋体" w:hAnsi="宋体" w:eastAsia="宋体" w:cs="宋体"/>
          <w:spacing w:val="-2"/>
          <w:sz w:val="24"/>
          <w:szCs w:val="24"/>
        </w:rPr>
        <w:t>著。</w:t>
      </w:r>
      <w:r>
        <w:rPr>
          <w:rFonts w:ascii="宋体" w:hAnsi="宋体" w:eastAsia="宋体" w:cs="宋体"/>
          <w:spacing w:val="-32"/>
          <w:sz w:val="24"/>
          <w:szCs w:val="24"/>
        </w:rPr>
        <w:t xml:space="preserve"> </w:t>
      </w:r>
      <w:r>
        <w:rPr>
          <w:rFonts w:ascii="宋体" w:hAnsi="宋体" w:eastAsia="宋体" w:cs="宋体"/>
          <w:spacing w:val="-2"/>
          <w:sz w:val="24"/>
          <w:szCs w:val="24"/>
        </w:rPr>
        <w:t>桂花水库建成后，全面解决了周边地区灌区干旱缺水严重的现状和解决农村饮水安全</w:t>
      </w:r>
    </w:p>
    <w:p>
      <w:pPr>
        <w:spacing w:before="1" w:line="219" w:lineRule="auto"/>
        <w:ind w:left="66"/>
        <w:rPr>
          <w:rFonts w:ascii="宋体" w:hAnsi="宋体" w:eastAsia="宋体" w:cs="宋体"/>
          <w:sz w:val="24"/>
          <w:szCs w:val="24"/>
        </w:rPr>
      </w:pPr>
      <w:r>
        <w:rPr>
          <w:rFonts w:ascii="宋体" w:hAnsi="宋体" w:eastAsia="宋体" w:cs="宋体"/>
          <w:spacing w:val="-3"/>
          <w:sz w:val="24"/>
          <w:szCs w:val="24"/>
        </w:rPr>
        <w:t>问题，有利于改善区域水资源利用。</w:t>
      </w:r>
    </w:p>
    <w:p>
      <w:pPr>
        <w:spacing w:before="183" w:line="359" w:lineRule="auto"/>
        <w:ind w:left="40" w:right="30" w:firstLine="481"/>
        <w:jc w:val="both"/>
        <w:rPr>
          <w:rFonts w:ascii="宋体" w:hAnsi="宋体" w:eastAsia="宋体" w:cs="宋体"/>
          <w:sz w:val="24"/>
          <w:szCs w:val="24"/>
        </w:rPr>
      </w:pPr>
      <w:r>
        <w:rPr>
          <w:rFonts w:ascii="宋体" w:hAnsi="宋体" w:eastAsia="宋体" w:cs="宋体"/>
          <w:sz w:val="24"/>
          <w:szCs w:val="24"/>
        </w:rPr>
        <w:t>综合来说，工程建设将会给区域环境、社会、经济发展带来一定的不利影响，但是不</w:t>
      </w:r>
      <w:r>
        <w:rPr>
          <w:rFonts w:ascii="宋体" w:hAnsi="宋体" w:eastAsia="宋体" w:cs="宋体"/>
          <w:spacing w:val="15"/>
          <w:sz w:val="24"/>
          <w:szCs w:val="24"/>
        </w:rPr>
        <w:t xml:space="preserve"> </w:t>
      </w:r>
      <w:r>
        <w:rPr>
          <w:rFonts w:ascii="宋体" w:hAnsi="宋体" w:eastAsia="宋体" w:cs="宋体"/>
          <w:sz w:val="24"/>
          <w:szCs w:val="24"/>
        </w:rPr>
        <w:t>利影响是局部的，范围较小。对大姚县整个区域来说，项目的建设不仅改善了区域水资源</w:t>
      </w:r>
      <w:r>
        <w:rPr>
          <w:rFonts w:ascii="宋体" w:hAnsi="宋体" w:eastAsia="宋体" w:cs="宋体"/>
          <w:spacing w:val="18"/>
          <w:sz w:val="24"/>
          <w:szCs w:val="24"/>
        </w:rPr>
        <w:t xml:space="preserve"> </w:t>
      </w:r>
      <w:r>
        <w:rPr>
          <w:rFonts w:ascii="宋体" w:hAnsi="宋体" w:eastAsia="宋体" w:cs="宋体"/>
          <w:spacing w:val="-3"/>
          <w:sz w:val="24"/>
          <w:szCs w:val="24"/>
        </w:rPr>
        <w:t>利用状况，还提高了区域土地生产力和农业发展，拉动区域经济增长和财政收入， 故工程</w:t>
      </w:r>
    </w:p>
    <w:p>
      <w:pPr>
        <w:spacing w:line="219" w:lineRule="auto"/>
        <w:ind w:left="42"/>
        <w:rPr>
          <w:rFonts w:ascii="宋体" w:hAnsi="宋体" w:eastAsia="宋体" w:cs="宋体"/>
          <w:sz w:val="24"/>
          <w:szCs w:val="24"/>
        </w:rPr>
      </w:pPr>
      <w:r>
        <w:rPr>
          <w:rFonts w:ascii="宋体" w:hAnsi="宋体" w:eastAsia="宋体" w:cs="宋体"/>
          <w:spacing w:val="-6"/>
          <w:sz w:val="24"/>
          <w:szCs w:val="24"/>
        </w:rPr>
        <w:t>建设利大于弊。</w:t>
      </w:r>
    </w:p>
    <w:p>
      <w:pPr>
        <w:spacing w:line="219" w:lineRule="auto"/>
        <w:rPr>
          <w:rFonts w:ascii="宋体" w:hAnsi="宋体" w:eastAsia="宋体" w:cs="宋体"/>
          <w:sz w:val="24"/>
          <w:szCs w:val="24"/>
        </w:rPr>
        <w:sectPr>
          <w:footerReference r:id="rId483" w:type="default"/>
          <w:pgSz w:w="11910" w:h="16840"/>
          <w:pgMar w:top="1183" w:right="1229" w:bottom="1582" w:left="1230" w:header="908" w:footer="1419" w:gutter="0"/>
        </w:sectPr>
      </w:pPr>
    </w:p>
    <w:p>
      <w:pPr>
        <w:pStyle w:val="2"/>
        <w:spacing w:before="280" w:line="223" w:lineRule="auto"/>
        <w:ind w:left="4320"/>
        <w:rPr>
          <w:sz w:val="30"/>
          <w:szCs w:val="30"/>
        </w:rPr>
      </w:pPr>
      <w:bookmarkStart w:id="55" w:name="bookmark56"/>
      <w:bookmarkEnd w:id="55"/>
      <w:bookmarkStart w:id="56" w:name="bookmark57"/>
      <w:bookmarkEnd w:id="56"/>
      <w:r>
        <w:rPr>
          <w:rFonts w:ascii="Times New Roman" w:hAnsi="Times New Roman" w:eastAsia="Times New Roman" w:cs="Times New Roman"/>
          <w:b/>
          <w:bCs/>
          <w:spacing w:val="-5"/>
          <w:sz w:val="30"/>
          <w:szCs w:val="30"/>
        </w:rPr>
        <w:t>9</w:t>
      </w:r>
      <w:r>
        <w:rPr>
          <w:rFonts w:ascii="Times New Roman" w:hAnsi="Times New Roman" w:eastAsia="Times New Roman" w:cs="Times New Roman"/>
          <w:b/>
          <w:bCs/>
          <w:spacing w:val="11"/>
          <w:sz w:val="30"/>
          <w:szCs w:val="30"/>
        </w:rPr>
        <w:t xml:space="preserve"> </w:t>
      </w:r>
      <w:r>
        <w:rPr>
          <w:spacing w:val="-5"/>
          <w:sz w:val="30"/>
          <w:szCs w:val="30"/>
          <w14:textOutline w14:w="5442" w14:cap="flat" w14:cmpd="sng">
            <w14:solidFill>
              <w14:srgbClr w14:val="000000"/>
            </w14:solidFill>
            <w14:prstDash w14:val="solid"/>
            <w14:miter w14:val="0"/>
          </w14:textOutline>
        </w:rPr>
        <w:t>结论</w:t>
      </w:r>
    </w:p>
    <w:p>
      <w:pPr>
        <w:pStyle w:val="2"/>
        <w:spacing w:before="294" w:line="239" w:lineRule="auto"/>
        <w:ind w:left="38"/>
        <w:outlineLvl w:val="2"/>
        <w:rPr>
          <w:sz w:val="27"/>
          <w:szCs w:val="27"/>
        </w:rPr>
      </w:pPr>
      <w:r>
        <w:rPr>
          <w:rFonts w:ascii="Times New Roman" w:hAnsi="Times New Roman" w:eastAsia="Times New Roman" w:cs="Times New Roman"/>
          <w:b/>
          <w:bCs/>
          <w:spacing w:val="4"/>
          <w:sz w:val="27"/>
          <w:szCs w:val="27"/>
        </w:rPr>
        <w:t>9.1</w:t>
      </w:r>
      <w:r>
        <w:rPr>
          <w:rFonts w:ascii="Times New Roman" w:hAnsi="Times New Roman" w:eastAsia="Times New Roman" w:cs="Times New Roman"/>
          <w:b/>
          <w:bCs/>
          <w:spacing w:val="55"/>
          <w:sz w:val="27"/>
          <w:szCs w:val="27"/>
        </w:rPr>
        <w:t xml:space="preserve"> </w:t>
      </w:r>
      <w:r>
        <w:rPr>
          <w:spacing w:val="4"/>
          <w:sz w:val="27"/>
          <w:szCs w:val="27"/>
          <w14:textOutline w14:w="5072" w14:cap="flat" w14:cmpd="sng">
            <w14:solidFill>
              <w14:srgbClr w14:val="000000"/>
            </w14:solidFill>
            <w14:prstDash w14:val="solid"/>
            <w14:miter w14:val="0"/>
          </w14:textOutline>
        </w:rPr>
        <w:t>工程概况</w:t>
      </w:r>
    </w:p>
    <w:p>
      <w:pPr>
        <w:spacing w:before="152" w:line="359" w:lineRule="auto"/>
        <w:ind w:left="35" w:right="30" w:firstLine="487"/>
        <w:rPr>
          <w:rFonts w:ascii="宋体" w:hAnsi="宋体" w:eastAsia="宋体" w:cs="宋体"/>
          <w:sz w:val="24"/>
          <w:szCs w:val="24"/>
        </w:rPr>
      </w:pPr>
      <w:r>
        <w:rPr>
          <w:rFonts w:ascii="宋体" w:hAnsi="宋体" w:eastAsia="宋体" w:cs="宋体"/>
          <w:sz w:val="24"/>
          <w:szCs w:val="24"/>
        </w:rPr>
        <w:t>大姚县桂花水库工程位于金沙江一级支流万马河上游支流桂花河上。水库坝址位于东</w:t>
      </w:r>
      <w:r>
        <w:rPr>
          <w:rFonts w:ascii="宋体" w:hAnsi="宋体" w:eastAsia="宋体" w:cs="宋体"/>
          <w:spacing w:val="15"/>
          <w:sz w:val="24"/>
          <w:szCs w:val="24"/>
        </w:rPr>
        <w:t xml:space="preserve"> </w:t>
      </w:r>
      <w:r>
        <w:rPr>
          <w:rFonts w:ascii="宋体" w:hAnsi="宋体" w:eastAsia="宋体" w:cs="宋体"/>
          <w:spacing w:val="-9"/>
          <w:sz w:val="24"/>
          <w:szCs w:val="24"/>
        </w:rPr>
        <w:t>经</w:t>
      </w:r>
      <w:r>
        <w:rPr>
          <w:rFonts w:ascii="宋体" w:hAnsi="宋体" w:eastAsia="宋体" w:cs="宋体"/>
          <w:spacing w:val="-23"/>
          <w:sz w:val="24"/>
          <w:szCs w:val="24"/>
        </w:rPr>
        <w:t xml:space="preserve"> </w:t>
      </w:r>
      <w:r>
        <w:rPr>
          <w:rFonts w:ascii="Times New Roman" w:hAnsi="Times New Roman" w:eastAsia="Times New Roman" w:cs="Times New Roman"/>
          <w:spacing w:val="-9"/>
          <w:sz w:val="24"/>
          <w:szCs w:val="24"/>
        </w:rPr>
        <w:t>101</w:t>
      </w:r>
      <w:r>
        <w:rPr>
          <w:rFonts w:ascii="Times New Roman" w:hAnsi="Times New Roman" w:eastAsia="Times New Roman" w:cs="Times New Roman"/>
          <w:spacing w:val="-29"/>
          <w:sz w:val="24"/>
          <w:szCs w:val="24"/>
        </w:rPr>
        <w:t xml:space="preserve"> </w:t>
      </w:r>
      <w:r>
        <w:rPr>
          <w:rFonts w:ascii="宋体" w:hAnsi="宋体" w:eastAsia="宋体" w:cs="宋体"/>
          <w:spacing w:val="-9"/>
          <w:sz w:val="24"/>
          <w:szCs w:val="24"/>
        </w:rPr>
        <w:t>°</w:t>
      </w:r>
      <w:r>
        <w:rPr>
          <w:rFonts w:ascii="宋体" w:hAnsi="宋体" w:eastAsia="宋体" w:cs="宋体"/>
          <w:spacing w:val="-92"/>
          <w:sz w:val="24"/>
          <w:szCs w:val="24"/>
        </w:rPr>
        <w:t xml:space="preserve"> </w:t>
      </w:r>
      <w:r>
        <w:rPr>
          <w:rFonts w:ascii="Times New Roman" w:hAnsi="Times New Roman" w:eastAsia="Times New Roman" w:cs="Times New Roman"/>
          <w:spacing w:val="-9"/>
          <w:sz w:val="24"/>
          <w:szCs w:val="24"/>
        </w:rPr>
        <w:t>16</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2.98</w:t>
      </w:r>
      <w:r>
        <w:rPr>
          <w:rFonts w:ascii="Times New Roman" w:hAnsi="Times New Roman" w:eastAsia="Times New Roman" w:cs="Times New Roman"/>
          <w:spacing w:val="-15"/>
          <w:sz w:val="24"/>
          <w:szCs w:val="24"/>
        </w:rPr>
        <w:t xml:space="preserve"> </w:t>
      </w:r>
      <w:r>
        <w:rPr>
          <w:rFonts w:ascii="宋体" w:hAnsi="宋体" w:eastAsia="宋体" w:cs="宋体"/>
          <w:spacing w:val="-9"/>
          <w:sz w:val="24"/>
          <w:szCs w:val="24"/>
        </w:rPr>
        <w:t>″，北纬</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26</w:t>
      </w:r>
      <w:r>
        <w:rPr>
          <w:rFonts w:ascii="Times New Roman" w:hAnsi="Times New Roman" w:eastAsia="Times New Roman" w:cs="Times New Roman"/>
          <w:spacing w:val="-29"/>
          <w:sz w:val="24"/>
          <w:szCs w:val="24"/>
        </w:rPr>
        <w:t xml:space="preserve"> </w:t>
      </w:r>
      <w:r>
        <w:rPr>
          <w:rFonts w:ascii="宋体" w:hAnsi="宋体" w:eastAsia="宋体" w:cs="宋体"/>
          <w:spacing w:val="-9"/>
          <w:sz w:val="24"/>
          <w:szCs w:val="24"/>
        </w:rPr>
        <w:t>°</w:t>
      </w:r>
      <w:r>
        <w:rPr>
          <w:rFonts w:ascii="Times New Roman" w:hAnsi="Times New Roman" w:eastAsia="Times New Roman" w:cs="Times New Roman"/>
          <w:spacing w:val="-9"/>
          <w:sz w:val="24"/>
          <w:szCs w:val="24"/>
        </w:rPr>
        <w:t>2</w:t>
      </w:r>
      <w:r>
        <w:rPr>
          <w:rFonts w:ascii="Times New Roman" w:hAnsi="Times New Roman" w:eastAsia="Times New Roman" w:cs="Times New Roman"/>
          <w:spacing w:val="-17"/>
          <w:sz w:val="24"/>
          <w:szCs w:val="24"/>
        </w:rPr>
        <w:t xml:space="preserve"> </w:t>
      </w:r>
      <w:r>
        <w:rPr>
          <w:rFonts w:ascii="宋体" w:hAnsi="宋体" w:eastAsia="宋体" w:cs="宋体"/>
          <w:spacing w:val="-9"/>
          <w:sz w:val="24"/>
          <w:szCs w:val="24"/>
        </w:rPr>
        <w:t>′</w:t>
      </w:r>
      <w:r>
        <w:rPr>
          <w:rFonts w:ascii="宋体" w:hAnsi="宋体" w:eastAsia="宋体" w:cs="宋体"/>
          <w:spacing w:val="-92"/>
          <w:sz w:val="24"/>
          <w:szCs w:val="24"/>
        </w:rPr>
        <w:t xml:space="preserve"> </w:t>
      </w:r>
      <w:r>
        <w:rPr>
          <w:rFonts w:ascii="Times New Roman" w:hAnsi="Times New Roman" w:eastAsia="Times New Roman" w:cs="Times New Roman"/>
          <w:spacing w:val="-9"/>
          <w:sz w:val="24"/>
          <w:szCs w:val="24"/>
        </w:rPr>
        <w:t>11.27</w:t>
      </w:r>
      <w:r>
        <w:rPr>
          <w:rFonts w:ascii="Times New Roman" w:hAnsi="Times New Roman" w:eastAsia="Times New Roman" w:cs="Times New Roman"/>
          <w:spacing w:val="-16"/>
          <w:sz w:val="24"/>
          <w:szCs w:val="24"/>
        </w:rPr>
        <w:t xml:space="preserve"> </w:t>
      </w:r>
      <w:r>
        <w:rPr>
          <w:rFonts w:ascii="宋体" w:hAnsi="宋体" w:eastAsia="宋体" w:cs="宋体"/>
          <w:spacing w:val="-9"/>
          <w:sz w:val="24"/>
          <w:szCs w:val="24"/>
        </w:rPr>
        <w:t>″。大姚县桂花水库工程规模为中型，工程等别为</w:t>
      </w:r>
      <w:r>
        <w:rPr>
          <w:rFonts w:ascii="宋体" w:hAnsi="宋体" w:eastAsia="宋体" w:cs="宋体"/>
          <w:sz w:val="24"/>
          <w:szCs w:val="24"/>
        </w:rPr>
        <w:t xml:space="preserve"> </w:t>
      </w:r>
      <w:r>
        <w:rPr>
          <w:rFonts w:ascii="宋体" w:hAnsi="宋体" w:eastAsia="宋体" w:cs="宋体"/>
          <w:spacing w:val="-3"/>
          <w:sz w:val="24"/>
          <w:szCs w:val="24"/>
        </w:rPr>
        <w:t xml:space="preserve">Ⅲ等，为完全年调节水库。水库总库容 </w:t>
      </w:r>
      <w:r>
        <w:rPr>
          <w:rFonts w:ascii="Times New Roman" w:hAnsi="Times New Roman" w:eastAsia="Times New Roman" w:cs="Times New Roman"/>
          <w:spacing w:val="-3"/>
          <w:sz w:val="24"/>
          <w:szCs w:val="24"/>
        </w:rPr>
        <w:t>1192.7</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万</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，兴利库</w:t>
      </w:r>
      <w:r>
        <w:rPr>
          <w:rFonts w:ascii="宋体" w:hAnsi="宋体" w:eastAsia="宋体" w:cs="宋体"/>
          <w:spacing w:val="-4"/>
          <w:sz w:val="24"/>
          <w:szCs w:val="24"/>
        </w:rPr>
        <w:t>容</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914.5</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万</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12"/>
          <w:position w:val="8"/>
          <w:sz w:val="15"/>
          <w:szCs w:val="15"/>
        </w:rPr>
        <w:t xml:space="preserve"> </w:t>
      </w:r>
      <w:r>
        <w:rPr>
          <w:rFonts w:ascii="宋体" w:hAnsi="宋体" w:eastAsia="宋体" w:cs="宋体"/>
          <w:spacing w:val="-4"/>
          <w:sz w:val="24"/>
          <w:szCs w:val="24"/>
        </w:rPr>
        <w:t>，正常蓄水位</w:t>
      </w:r>
      <w:r>
        <w:rPr>
          <w:rFonts w:ascii="宋体" w:hAnsi="宋体" w:eastAsia="宋体" w:cs="宋体"/>
          <w:sz w:val="24"/>
          <w:szCs w:val="24"/>
        </w:rPr>
        <w:t xml:space="preserve"> </w:t>
      </w:r>
      <w:r>
        <w:rPr>
          <w:rFonts w:ascii="Times New Roman" w:hAnsi="Times New Roman" w:eastAsia="Times New Roman" w:cs="Times New Roman"/>
          <w:spacing w:val="-2"/>
          <w:sz w:val="24"/>
          <w:szCs w:val="24"/>
        </w:rPr>
        <w:t>2094.2m</w:t>
      </w:r>
      <w:r>
        <w:rPr>
          <w:rFonts w:ascii="宋体" w:hAnsi="宋体" w:eastAsia="宋体" w:cs="宋体"/>
          <w:spacing w:val="-2"/>
          <w:sz w:val="24"/>
          <w:szCs w:val="24"/>
        </w:rPr>
        <w:t>，水库年供水量为</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1362.9</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5"/>
          <w:szCs w:val="15"/>
        </w:rPr>
        <w:t xml:space="preserve">3 </w:t>
      </w:r>
      <w:r>
        <w:rPr>
          <w:rFonts w:ascii="宋体" w:hAnsi="宋体" w:eastAsia="宋体" w:cs="宋体"/>
          <w:spacing w:val="-2"/>
          <w:sz w:val="24"/>
          <w:szCs w:val="24"/>
        </w:rPr>
        <w:t>。工程建设任务是城镇和集镇生活供水、农村人畜</w:t>
      </w:r>
    </w:p>
    <w:p>
      <w:pPr>
        <w:spacing w:before="1" w:line="218" w:lineRule="auto"/>
        <w:ind w:left="41"/>
        <w:rPr>
          <w:rFonts w:ascii="宋体" w:hAnsi="宋体" w:eastAsia="宋体" w:cs="宋体"/>
          <w:sz w:val="24"/>
          <w:szCs w:val="24"/>
        </w:rPr>
      </w:pPr>
      <w:r>
        <w:rPr>
          <w:rFonts w:ascii="宋体" w:hAnsi="宋体" w:eastAsia="宋体" w:cs="宋体"/>
          <w:spacing w:val="-6"/>
          <w:sz w:val="24"/>
          <w:szCs w:val="24"/>
        </w:rPr>
        <w:t>生活供水、农业灌溉、</w:t>
      </w:r>
      <w:r>
        <w:rPr>
          <w:rFonts w:ascii="宋体" w:hAnsi="宋体" w:eastAsia="宋体" w:cs="宋体"/>
          <w:spacing w:val="60"/>
          <w:sz w:val="24"/>
          <w:szCs w:val="24"/>
        </w:rPr>
        <w:t xml:space="preserve"> </w:t>
      </w:r>
      <w:r>
        <w:rPr>
          <w:rFonts w:ascii="宋体" w:hAnsi="宋体" w:eastAsia="宋体" w:cs="宋体"/>
          <w:spacing w:val="-6"/>
          <w:sz w:val="24"/>
          <w:szCs w:val="24"/>
        </w:rPr>
        <w:t>工业供水，水库建成后与现有水利工程联合调度。</w:t>
      </w:r>
    </w:p>
    <w:p>
      <w:pPr>
        <w:spacing w:before="182" w:line="359" w:lineRule="auto"/>
        <w:ind w:left="33" w:right="28" w:firstLine="488"/>
        <w:rPr>
          <w:rFonts w:ascii="宋体" w:hAnsi="宋体" w:eastAsia="宋体" w:cs="宋体"/>
          <w:sz w:val="24"/>
          <w:szCs w:val="24"/>
        </w:rPr>
      </w:pPr>
      <w:r>
        <w:rPr>
          <w:rFonts w:ascii="宋体" w:hAnsi="宋体" w:eastAsia="宋体" w:cs="宋体"/>
          <w:spacing w:val="-2"/>
          <w:sz w:val="24"/>
          <w:szCs w:val="24"/>
        </w:rPr>
        <w:t>大姚县桂花水库工程由引水工程、枢纽工程、引洪工程和输水工程组成。</w:t>
      </w:r>
      <w:r>
        <w:rPr>
          <w:rFonts w:ascii="宋体" w:hAnsi="宋体" w:eastAsia="宋体" w:cs="宋体"/>
          <w:spacing w:val="-31"/>
          <w:sz w:val="24"/>
          <w:szCs w:val="24"/>
        </w:rPr>
        <w:t xml:space="preserve"> </w:t>
      </w:r>
      <w:r>
        <w:rPr>
          <w:rFonts w:ascii="宋体" w:hAnsi="宋体" w:eastAsia="宋体" w:cs="宋体"/>
          <w:spacing w:val="-2"/>
          <w:sz w:val="24"/>
          <w:szCs w:val="24"/>
        </w:rPr>
        <w:t>枢纽工程由</w:t>
      </w:r>
      <w:r>
        <w:rPr>
          <w:rFonts w:ascii="宋体" w:hAnsi="宋体" w:eastAsia="宋体" w:cs="宋体"/>
          <w:sz w:val="24"/>
          <w:szCs w:val="24"/>
        </w:rPr>
        <w:t xml:space="preserve"> </w:t>
      </w:r>
      <w:r>
        <w:rPr>
          <w:rFonts w:ascii="宋体" w:hAnsi="宋体" w:eastAsia="宋体" w:cs="宋体"/>
          <w:spacing w:val="-9"/>
          <w:sz w:val="24"/>
          <w:szCs w:val="24"/>
        </w:rPr>
        <w:t>大坝、溢洪道、导流输水放空隧洞组成，</w:t>
      </w:r>
      <w:r>
        <w:rPr>
          <w:rFonts w:ascii="宋体" w:hAnsi="宋体" w:eastAsia="宋体" w:cs="宋体"/>
          <w:spacing w:val="-53"/>
          <w:sz w:val="24"/>
          <w:szCs w:val="24"/>
        </w:rPr>
        <w:t xml:space="preserve"> </w:t>
      </w:r>
      <w:r>
        <w:rPr>
          <w:rFonts w:ascii="宋体" w:hAnsi="宋体" w:eastAsia="宋体" w:cs="宋体"/>
          <w:spacing w:val="-9"/>
          <w:sz w:val="24"/>
          <w:szCs w:val="24"/>
        </w:rPr>
        <w:t>大坝为粘土心墙风化料坝，</w:t>
      </w:r>
      <w:r>
        <w:rPr>
          <w:rFonts w:ascii="宋体" w:hAnsi="宋体" w:eastAsia="宋体" w:cs="宋体"/>
          <w:spacing w:val="32"/>
          <w:sz w:val="24"/>
          <w:szCs w:val="24"/>
        </w:rPr>
        <w:t xml:space="preserve"> </w:t>
      </w:r>
      <w:r>
        <w:rPr>
          <w:rFonts w:ascii="宋体" w:hAnsi="宋体" w:eastAsia="宋体" w:cs="宋体"/>
          <w:spacing w:val="-9"/>
          <w:sz w:val="24"/>
          <w:szCs w:val="24"/>
        </w:rPr>
        <w:t>最</w:t>
      </w:r>
      <w:r>
        <w:rPr>
          <w:rFonts w:ascii="宋体" w:hAnsi="宋体" w:eastAsia="宋体" w:cs="宋体"/>
          <w:spacing w:val="-10"/>
          <w:sz w:val="24"/>
          <w:szCs w:val="24"/>
        </w:rPr>
        <w:t>大坝高</w:t>
      </w:r>
      <w:r>
        <w:rPr>
          <w:rFonts w:ascii="宋体" w:hAnsi="宋体" w:eastAsia="宋体" w:cs="宋体"/>
          <w:spacing w:val="-50"/>
          <w:sz w:val="24"/>
          <w:szCs w:val="24"/>
        </w:rPr>
        <w:t xml:space="preserve"> </w:t>
      </w:r>
      <w:r>
        <w:rPr>
          <w:rFonts w:ascii="Times New Roman" w:hAnsi="Times New Roman" w:eastAsia="Times New Roman" w:cs="Times New Roman"/>
          <w:spacing w:val="-10"/>
          <w:sz w:val="24"/>
          <w:szCs w:val="24"/>
        </w:rPr>
        <w:t>93.1m</w:t>
      </w:r>
      <w:r>
        <w:rPr>
          <w:rFonts w:ascii="宋体" w:hAnsi="宋体" w:eastAsia="宋体" w:cs="宋体"/>
          <w:spacing w:val="-10"/>
          <w:sz w:val="24"/>
          <w:szCs w:val="24"/>
        </w:rPr>
        <w:t>；引水</w:t>
      </w:r>
      <w:r>
        <w:rPr>
          <w:rFonts w:ascii="宋体" w:hAnsi="宋体" w:eastAsia="宋体" w:cs="宋体"/>
          <w:sz w:val="24"/>
          <w:szCs w:val="24"/>
        </w:rPr>
        <w:t xml:space="preserve"> </w:t>
      </w:r>
      <w:r>
        <w:rPr>
          <w:rFonts w:ascii="宋体" w:hAnsi="宋体" w:eastAsia="宋体" w:cs="宋体"/>
          <w:spacing w:val="-1"/>
          <w:sz w:val="24"/>
          <w:szCs w:val="24"/>
        </w:rPr>
        <w:t>工程由取水坝、引水渠道（</w:t>
      </w:r>
      <w:r>
        <w:rPr>
          <w:rFonts w:ascii="Times New Roman" w:hAnsi="Times New Roman" w:eastAsia="Times New Roman" w:cs="Times New Roman"/>
          <w:spacing w:val="-1"/>
          <w:sz w:val="24"/>
          <w:szCs w:val="24"/>
        </w:rPr>
        <w:t>4.6km</w:t>
      </w:r>
      <w:r>
        <w:rPr>
          <w:rFonts w:ascii="宋体" w:hAnsi="宋体" w:eastAsia="宋体" w:cs="宋体"/>
          <w:spacing w:val="-1"/>
          <w:sz w:val="24"/>
          <w:szCs w:val="24"/>
        </w:rPr>
        <w:t>）和引洪隧洞（</w:t>
      </w:r>
      <w:r>
        <w:rPr>
          <w:rFonts w:ascii="Times New Roman" w:hAnsi="Times New Roman" w:eastAsia="Times New Roman" w:cs="Times New Roman"/>
          <w:spacing w:val="-1"/>
          <w:sz w:val="24"/>
          <w:szCs w:val="24"/>
        </w:rPr>
        <w:t>0.2km</w:t>
      </w:r>
      <w:r>
        <w:rPr>
          <w:rFonts w:ascii="宋体" w:hAnsi="宋体" w:eastAsia="宋体" w:cs="宋体"/>
          <w:spacing w:val="-1"/>
          <w:sz w:val="24"/>
          <w:szCs w:val="24"/>
        </w:rPr>
        <w:t>）组成；引洪工程</w:t>
      </w:r>
      <w:r>
        <w:rPr>
          <w:rFonts w:ascii="宋体" w:hAnsi="宋体" w:eastAsia="宋体" w:cs="宋体"/>
          <w:spacing w:val="-2"/>
          <w:sz w:val="24"/>
          <w:szCs w:val="24"/>
        </w:rPr>
        <w:t>由</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个取水坝、</w:t>
      </w:r>
      <w:r>
        <w:rPr>
          <w:rFonts w:ascii="宋体" w:hAnsi="宋体" w:eastAsia="宋体" w:cs="宋体"/>
          <w:sz w:val="24"/>
          <w:szCs w:val="24"/>
        </w:rPr>
        <w:t xml:space="preserve"> </w:t>
      </w:r>
      <w:r>
        <w:rPr>
          <w:rFonts w:ascii="Times New Roman" w:hAnsi="Times New Roman" w:eastAsia="Times New Roman" w:cs="Times New Roman"/>
          <w:spacing w:val="-7"/>
          <w:sz w:val="24"/>
          <w:szCs w:val="24"/>
        </w:rPr>
        <w:t xml:space="preserve">4 </w:t>
      </w:r>
      <w:r>
        <w:rPr>
          <w:rFonts w:ascii="宋体" w:hAnsi="宋体" w:eastAsia="宋体" w:cs="宋体"/>
          <w:spacing w:val="-7"/>
          <w:sz w:val="24"/>
          <w:szCs w:val="24"/>
        </w:rPr>
        <w:t>条引洪沟（</w:t>
      </w:r>
      <w:r>
        <w:rPr>
          <w:rFonts w:ascii="Times New Roman" w:hAnsi="Times New Roman" w:eastAsia="Times New Roman" w:cs="Times New Roman"/>
          <w:spacing w:val="-7"/>
          <w:sz w:val="24"/>
          <w:szCs w:val="24"/>
        </w:rPr>
        <w:t>1.215km</w:t>
      </w:r>
      <w:r>
        <w:rPr>
          <w:rFonts w:ascii="宋体" w:hAnsi="宋体" w:eastAsia="宋体" w:cs="宋体"/>
          <w:spacing w:val="-7"/>
          <w:sz w:val="24"/>
          <w:szCs w:val="24"/>
        </w:rPr>
        <w:t>）组成， 将汛期洪水引入</w:t>
      </w:r>
      <w:r>
        <w:rPr>
          <w:rFonts w:ascii="宋体" w:hAnsi="宋体" w:eastAsia="宋体" w:cs="宋体"/>
          <w:spacing w:val="-8"/>
          <w:sz w:val="24"/>
          <w:szCs w:val="24"/>
        </w:rPr>
        <w:t>输水工程，</w:t>
      </w:r>
      <w:r>
        <w:rPr>
          <w:rFonts w:ascii="宋体" w:hAnsi="宋体" w:eastAsia="宋体" w:cs="宋体"/>
          <w:spacing w:val="53"/>
          <w:sz w:val="24"/>
          <w:szCs w:val="24"/>
        </w:rPr>
        <w:t xml:space="preserve"> </w:t>
      </w:r>
      <w:r>
        <w:rPr>
          <w:rFonts w:ascii="宋体" w:hAnsi="宋体" w:eastAsia="宋体" w:cs="宋体"/>
          <w:spacing w:val="-8"/>
          <w:sz w:val="24"/>
          <w:szCs w:val="24"/>
        </w:rPr>
        <w:t>输水至碧么水库、大罗古水库调</w:t>
      </w:r>
      <w:r>
        <w:rPr>
          <w:rFonts w:ascii="宋体" w:hAnsi="宋体" w:eastAsia="宋体" w:cs="宋体"/>
          <w:sz w:val="24"/>
          <w:szCs w:val="24"/>
        </w:rPr>
        <w:t xml:space="preserve"> </w:t>
      </w:r>
      <w:r>
        <w:rPr>
          <w:rFonts w:ascii="宋体" w:hAnsi="宋体" w:eastAsia="宋体" w:cs="宋体"/>
          <w:spacing w:val="3"/>
          <w:sz w:val="24"/>
          <w:szCs w:val="24"/>
        </w:rPr>
        <w:t xml:space="preserve">蓄；输水工程连接桂花水库和碧么水库，全长 </w:t>
      </w:r>
      <w:r>
        <w:rPr>
          <w:rFonts w:ascii="Times New Roman" w:hAnsi="Times New Roman" w:eastAsia="Times New Roman" w:cs="Times New Roman"/>
          <w:spacing w:val="3"/>
          <w:sz w:val="24"/>
          <w:szCs w:val="24"/>
        </w:rPr>
        <w:t>26.944</w:t>
      </w:r>
      <w:r>
        <w:rPr>
          <w:rFonts w:ascii="Times New Roman" w:hAnsi="Times New Roman" w:eastAsia="Times New Roman" w:cs="Times New Roman"/>
          <w:sz w:val="24"/>
          <w:szCs w:val="24"/>
        </w:rPr>
        <w:t>km</w:t>
      </w:r>
      <w:r>
        <w:rPr>
          <w:rFonts w:ascii="宋体" w:hAnsi="宋体" w:eastAsia="宋体" w:cs="宋体"/>
          <w:spacing w:val="3"/>
          <w:sz w:val="24"/>
          <w:szCs w:val="24"/>
        </w:rPr>
        <w:t xml:space="preserve">，其中管道长 </w:t>
      </w:r>
      <w:r>
        <w:rPr>
          <w:rFonts w:ascii="Times New Roman" w:hAnsi="Times New Roman" w:eastAsia="Times New Roman" w:cs="Times New Roman"/>
          <w:spacing w:val="3"/>
          <w:sz w:val="24"/>
          <w:szCs w:val="24"/>
        </w:rPr>
        <w:t>1.435</w:t>
      </w:r>
      <w:r>
        <w:rPr>
          <w:rFonts w:ascii="Times New Roman" w:hAnsi="Times New Roman" w:eastAsia="Times New Roman" w:cs="Times New Roman"/>
          <w:sz w:val="24"/>
          <w:szCs w:val="24"/>
        </w:rPr>
        <w:t>km</w:t>
      </w:r>
      <w:r>
        <w:rPr>
          <w:rFonts w:ascii="宋体" w:hAnsi="宋体" w:eastAsia="宋体" w:cs="宋体"/>
          <w:spacing w:val="3"/>
          <w:sz w:val="24"/>
          <w:szCs w:val="24"/>
        </w:rPr>
        <w:t>，渠道长</w:t>
      </w:r>
    </w:p>
    <w:p>
      <w:pPr>
        <w:spacing w:line="219" w:lineRule="auto"/>
        <w:ind w:left="44"/>
        <w:rPr>
          <w:rFonts w:ascii="宋体" w:hAnsi="宋体" w:eastAsia="宋体" w:cs="宋体"/>
          <w:sz w:val="24"/>
          <w:szCs w:val="24"/>
        </w:rPr>
      </w:pPr>
      <w:r>
        <w:rPr>
          <w:rFonts w:ascii="Times New Roman" w:hAnsi="Times New Roman" w:eastAsia="Times New Roman" w:cs="Times New Roman"/>
          <w:spacing w:val="-8"/>
          <w:sz w:val="24"/>
          <w:szCs w:val="24"/>
        </w:rPr>
        <w:t>8.975km</w:t>
      </w:r>
      <w:r>
        <w:rPr>
          <w:rFonts w:ascii="宋体" w:hAnsi="宋体" w:eastAsia="宋体" w:cs="宋体"/>
          <w:spacing w:val="-8"/>
          <w:sz w:val="24"/>
          <w:szCs w:val="24"/>
        </w:rPr>
        <w:t>（暗渠</w:t>
      </w:r>
      <w:r>
        <w:rPr>
          <w:rFonts w:ascii="宋体" w:hAnsi="宋体" w:eastAsia="宋体" w:cs="宋体"/>
          <w:spacing w:val="-23"/>
          <w:sz w:val="24"/>
          <w:szCs w:val="24"/>
        </w:rPr>
        <w:t>），</w:t>
      </w:r>
      <w:r>
        <w:rPr>
          <w:rFonts w:ascii="宋体" w:hAnsi="宋体" w:eastAsia="宋体" w:cs="宋体"/>
          <w:spacing w:val="-8"/>
          <w:sz w:val="24"/>
          <w:szCs w:val="24"/>
        </w:rPr>
        <w:t>隧洞</w:t>
      </w:r>
      <w:r>
        <w:rPr>
          <w:rFonts w:ascii="宋体" w:hAnsi="宋体" w:eastAsia="宋体" w:cs="宋体"/>
          <w:spacing w:val="-48"/>
          <w:sz w:val="24"/>
          <w:szCs w:val="24"/>
        </w:rPr>
        <w:t xml:space="preserve"> </w:t>
      </w:r>
      <w:r>
        <w:rPr>
          <w:rFonts w:ascii="Times New Roman" w:hAnsi="Times New Roman" w:eastAsia="Times New Roman" w:cs="Times New Roman"/>
          <w:spacing w:val="-8"/>
          <w:sz w:val="24"/>
          <w:szCs w:val="24"/>
        </w:rPr>
        <w:t xml:space="preserve">6 </w:t>
      </w:r>
      <w:r>
        <w:rPr>
          <w:rFonts w:ascii="宋体" w:hAnsi="宋体" w:eastAsia="宋体" w:cs="宋体"/>
          <w:spacing w:val="-8"/>
          <w:sz w:val="24"/>
          <w:szCs w:val="24"/>
        </w:rPr>
        <w:t>条总长</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15.084km</w:t>
      </w:r>
      <w:r>
        <w:rPr>
          <w:rFonts w:ascii="宋体" w:hAnsi="宋体" w:eastAsia="宋体" w:cs="宋体"/>
          <w:spacing w:val="-8"/>
          <w:sz w:val="24"/>
          <w:szCs w:val="24"/>
        </w:rPr>
        <w:t>，倒虹吸</w:t>
      </w:r>
      <w:r>
        <w:rPr>
          <w:rFonts w:ascii="宋体" w:hAnsi="宋体" w:eastAsia="宋体" w:cs="宋体"/>
          <w:spacing w:val="-46"/>
          <w:sz w:val="24"/>
          <w:szCs w:val="24"/>
        </w:rPr>
        <w:t xml:space="preserve"> </w:t>
      </w:r>
      <w:r>
        <w:rPr>
          <w:rFonts w:ascii="Times New Roman" w:hAnsi="Times New Roman" w:eastAsia="Times New Roman" w:cs="Times New Roman"/>
          <w:spacing w:val="-8"/>
          <w:sz w:val="24"/>
          <w:szCs w:val="24"/>
        </w:rPr>
        <w:t xml:space="preserve">8 </w:t>
      </w:r>
      <w:r>
        <w:rPr>
          <w:rFonts w:ascii="宋体" w:hAnsi="宋体" w:eastAsia="宋体" w:cs="宋体"/>
          <w:spacing w:val="-8"/>
          <w:sz w:val="24"/>
          <w:szCs w:val="24"/>
        </w:rPr>
        <w:t>座总长</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1.382km</w:t>
      </w:r>
      <w:r>
        <w:rPr>
          <w:rFonts w:ascii="宋体" w:hAnsi="宋体" w:eastAsia="宋体" w:cs="宋体"/>
          <w:spacing w:val="-8"/>
          <w:sz w:val="24"/>
          <w:szCs w:val="24"/>
        </w:rPr>
        <w:t>，渡槽</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座总长</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68m</w:t>
      </w:r>
      <w:r>
        <w:rPr>
          <w:rFonts w:ascii="宋体" w:hAnsi="宋体" w:eastAsia="宋体" w:cs="宋体"/>
          <w:spacing w:val="-8"/>
          <w:sz w:val="24"/>
          <w:szCs w:val="24"/>
        </w:rPr>
        <w:t>。</w:t>
      </w:r>
    </w:p>
    <w:p>
      <w:pPr>
        <w:spacing w:before="181" w:line="220" w:lineRule="auto"/>
        <w:ind w:left="522"/>
        <w:rPr>
          <w:rFonts w:ascii="宋体" w:hAnsi="宋体" w:eastAsia="宋体" w:cs="宋体"/>
          <w:sz w:val="24"/>
          <w:szCs w:val="24"/>
        </w:rPr>
      </w:pPr>
      <w:r>
        <w:rPr>
          <w:rFonts w:ascii="宋体" w:hAnsi="宋体" w:eastAsia="宋体" w:cs="宋体"/>
          <w:spacing w:val="-3"/>
          <w:sz w:val="24"/>
          <w:szCs w:val="24"/>
        </w:rPr>
        <w:t>工程总投资</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72820.08</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万元，计划总工期</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54 </w:t>
      </w:r>
      <w:r>
        <w:rPr>
          <w:rFonts w:ascii="宋体" w:hAnsi="宋体" w:eastAsia="宋体" w:cs="宋体"/>
          <w:spacing w:val="-3"/>
          <w:sz w:val="24"/>
          <w:szCs w:val="24"/>
        </w:rPr>
        <w:t>个月。</w:t>
      </w:r>
    </w:p>
    <w:p>
      <w:pPr>
        <w:spacing w:line="352" w:lineRule="auto"/>
        <w:rPr>
          <w:rFonts w:ascii="Arial"/>
          <w:sz w:val="21"/>
        </w:rPr>
      </w:pPr>
    </w:p>
    <w:p>
      <w:pPr>
        <w:pStyle w:val="2"/>
        <w:spacing w:before="88" w:line="225" w:lineRule="auto"/>
        <w:ind w:left="38"/>
        <w:outlineLvl w:val="2"/>
        <w:rPr>
          <w:sz w:val="27"/>
          <w:szCs w:val="27"/>
        </w:rPr>
      </w:pPr>
      <w:bookmarkStart w:id="57" w:name="bookmark58"/>
      <w:bookmarkEnd w:id="57"/>
      <w:r>
        <w:rPr>
          <w:rFonts w:ascii="Times New Roman" w:hAnsi="Times New Roman" w:eastAsia="Times New Roman" w:cs="Times New Roman"/>
          <w:b/>
          <w:bCs/>
          <w:spacing w:val="8"/>
          <w:sz w:val="27"/>
          <w:szCs w:val="27"/>
        </w:rPr>
        <w:t xml:space="preserve">9.2 </w:t>
      </w:r>
      <w:r>
        <w:rPr>
          <w:spacing w:val="8"/>
          <w:sz w:val="27"/>
          <w:szCs w:val="27"/>
          <w14:textOutline w14:w="5072" w14:cap="flat" w14:cmpd="sng">
            <w14:solidFill>
              <w14:srgbClr w14:val="000000"/>
            </w14:solidFill>
            <w14:prstDash w14:val="solid"/>
            <w14:miter w14:val="0"/>
          </w14:textOutline>
        </w:rPr>
        <w:t>产业政策及规划符合性</w:t>
      </w:r>
    </w:p>
    <w:p>
      <w:pPr>
        <w:spacing w:before="171" w:line="219" w:lineRule="auto"/>
        <w:ind w:left="523"/>
        <w:rPr>
          <w:rFonts w:ascii="宋体" w:hAnsi="宋体" w:eastAsia="宋体" w:cs="宋体"/>
          <w:sz w:val="24"/>
          <w:szCs w:val="24"/>
        </w:rPr>
      </w:pPr>
      <w:r>
        <w:rPr>
          <w:rFonts w:ascii="宋体" w:hAnsi="宋体" w:eastAsia="宋体" w:cs="宋体"/>
          <w:spacing w:val="-4"/>
          <w:sz w:val="24"/>
          <w:szCs w:val="24"/>
        </w:rPr>
        <w:t>项目属于《产业结构调整指导目录（</w:t>
      </w:r>
      <w:r>
        <w:rPr>
          <w:rFonts w:ascii="Times New Roman" w:hAnsi="Times New Roman" w:eastAsia="Times New Roman" w:cs="Times New Roman"/>
          <w:spacing w:val="-4"/>
          <w:sz w:val="24"/>
          <w:szCs w:val="24"/>
        </w:rPr>
        <w:t xml:space="preserve">2019 </w:t>
      </w:r>
      <w:r>
        <w:rPr>
          <w:rFonts w:ascii="宋体" w:hAnsi="宋体" w:eastAsia="宋体" w:cs="宋体"/>
          <w:spacing w:val="-4"/>
          <w:sz w:val="24"/>
          <w:szCs w:val="24"/>
        </w:rPr>
        <w:t>年本）》中</w:t>
      </w:r>
      <w:r>
        <w:rPr>
          <w:rFonts w:ascii="宋体" w:hAnsi="宋体" w:eastAsia="宋体" w:cs="宋体"/>
          <w:spacing w:val="-5"/>
          <w:sz w:val="24"/>
          <w:szCs w:val="24"/>
        </w:rPr>
        <w:t>鼓励类项目。</w:t>
      </w:r>
    </w:p>
    <w:p>
      <w:pPr>
        <w:spacing w:before="182" w:line="359" w:lineRule="auto"/>
        <w:ind w:left="38" w:right="32" w:firstLine="484"/>
        <w:rPr>
          <w:rFonts w:ascii="宋体" w:hAnsi="宋体" w:eastAsia="宋体" w:cs="宋体"/>
          <w:sz w:val="24"/>
          <w:szCs w:val="24"/>
        </w:rPr>
      </w:pPr>
      <w:r>
        <w:rPr>
          <w:rFonts w:ascii="宋体" w:hAnsi="宋体" w:eastAsia="宋体" w:cs="宋体"/>
          <w:spacing w:val="-6"/>
          <w:sz w:val="24"/>
          <w:szCs w:val="24"/>
        </w:rPr>
        <w:t>项目建设符合《大姚县蜻蛉河流域及相关地区水资源配置规划》、《云南省百件骨干水</w:t>
      </w:r>
      <w:r>
        <w:rPr>
          <w:rFonts w:ascii="宋体" w:hAnsi="宋体" w:eastAsia="宋体" w:cs="宋体"/>
          <w:spacing w:val="2"/>
          <w:sz w:val="24"/>
          <w:szCs w:val="24"/>
        </w:rPr>
        <w:t xml:space="preserve"> </w:t>
      </w:r>
      <w:r>
        <w:rPr>
          <w:rFonts w:ascii="宋体" w:hAnsi="宋体" w:eastAsia="宋体" w:cs="宋体"/>
          <w:spacing w:val="-11"/>
          <w:sz w:val="24"/>
          <w:szCs w:val="24"/>
        </w:rPr>
        <w:t>源工程建设规划》、《楚雄州“十四五”水安全保障规划》、《楚雄北</w:t>
      </w:r>
      <w:r>
        <w:rPr>
          <w:rFonts w:ascii="宋体" w:hAnsi="宋体" w:eastAsia="宋体" w:cs="宋体"/>
          <w:spacing w:val="-12"/>
          <w:sz w:val="24"/>
          <w:szCs w:val="24"/>
        </w:rPr>
        <w:t>部片区水资源综合利用</w:t>
      </w:r>
    </w:p>
    <w:p>
      <w:pPr>
        <w:spacing w:before="1" w:line="221" w:lineRule="auto"/>
        <w:ind w:left="40"/>
        <w:rPr>
          <w:rFonts w:ascii="宋体" w:hAnsi="宋体" w:eastAsia="宋体" w:cs="宋体"/>
          <w:sz w:val="24"/>
          <w:szCs w:val="24"/>
        </w:rPr>
      </w:pPr>
      <w:r>
        <w:rPr>
          <w:rFonts w:ascii="宋体" w:hAnsi="宋体" w:eastAsia="宋体" w:cs="宋体"/>
          <w:spacing w:val="-25"/>
          <w:sz w:val="24"/>
          <w:szCs w:val="24"/>
        </w:rPr>
        <w:t>规划》。</w:t>
      </w:r>
    </w:p>
    <w:p>
      <w:pPr>
        <w:spacing w:before="179" w:line="467" w:lineRule="exact"/>
        <w:ind w:right="32"/>
        <w:jc w:val="right"/>
        <w:rPr>
          <w:rFonts w:ascii="宋体" w:hAnsi="宋体" w:eastAsia="宋体" w:cs="宋体"/>
          <w:sz w:val="24"/>
          <w:szCs w:val="24"/>
        </w:rPr>
      </w:pPr>
      <w:r>
        <w:rPr>
          <w:rFonts w:ascii="宋体" w:hAnsi="宋体" w:eastAsia="宋体" w:cs="宋体"/>
          <w:spacing w:val="-12"/>
          <w:position w:val="17"/>
          <w:sz w:val="24"/>
          <w:szCs w:val="24"/>
        </w:rPr>
        <w:t>项目符合《中华人民共和国长江保护法》、《长江经济带生态环境保护规划》、《云南省</w:t>
      </w:r>
    </w:p>
    <w:p>
      <w:pPr>
        <w:spacing w:line="219" w:lineRule="auto"/>
        <w:ind w:left="41"/>
        <w:rPr>
          <w:rFonts w:ascii="宋体" w:hAnsi="宋体" w:eastAsia="宋体" w:cs="宋体"/>
          <w:sz w:val="24"/>
          <w:szCs w:val="24"/>
        </w:rPr>
      </w:pPr>
      <w:r>
        <w:rPr>
          <w:rFonts w:ascii="宋体" w:hAnsi="宋体" w:eastAsia="宋体" w:cs="宋体"/>
          <w:spacing w:val="-4"/>
          <w:sz w:val="24"/>
          <w:szCs w:val="24"/>
        </w:rPr>
        <w:t>生物多样性保护条例》要求。</w:t>
      </w:r>
    </w:p>
    <w:p>
      <w:pPr>
        <w:spacing w:before="181" w:line="220" w:lineRule="auto"/>
        <w:ind w:left="523"/>
        <w:rPr>
          <w:rFonts w:ascii="宋体" w:hAnsi="宋体" w:eastAsia="宋体" w:cs="宋体"/>
          <w:sz w:val="24"/>
          <w:szCs w:val="24"/>
        </w:rPr>
      </w:pPr>
      <w:r>
        <w:rPr>
          <w:rFonts w:ascii="宋体" w:hAnsi="宋体" w:eastAsia="宋体" w:cs="宋体"/>
          <w:spacing w:val="-13"/>
          <w:sz w:val="24"/>
          <w:szCs w:val="24"/>
        </w:rPr>
        <w:t>项目属于《云南省主体功能区划》、《云南省生态</w:t>
      </w:r>
      <w:r>
        <w:rPr>
          <w:rFonts w:ascii="宋体" w:hAnsi="宋体" w:eastAsia="宋体" w:cs="宋体"/>
          <w:spacing w:val="-14"/>
          <w:sz w:val="24"/>
          <w:szCs w:val="24"/>
        </w:rPr>
        <w:t>功能区划》</w:t>
      </w:r>
      <w:r>
        <w:rPr>
          <w:rFonts w:ascii="宋体" w:hAnsi="宋体" w:eastAsia="宋体" w:cs="宋体"/>
          <w:spacing w:val="39"/>
          <w:sz w:val="24"/>
          <w:szCs w:val="24"/>
        </w:rPr>
        <w:t xml:space="preserve"> </w:t>
      </w:r>
      <w:r>
        <w:rPr>
          <w:rFonts w:ascii="宋体" w:hAnsi="宋体" w:eastAsia="宋体" w:cs="宋体"/>
          <w:spacing w:val="-14"/>
          <w:sz w:val="24"/>
          <w:szCs w:val="24"/>
        </w:rPr>
        <w:t>的相关规定。</w:t>
      </w:r>
    </w:p>
    <w:p>
      <w:pPr>
        <w:spacing w:line="351" w:lineRule="auto"/>
        <w:rPr>
          <w:rFonts w:ascii="Arial"/>
          <w:sz w:val="21"/>
        </w:rPr>
      </w:pPr>
    </w:p>
    <w:p>
      <w:pPr>
        <w:pStyle w:val="2"/>
        <w:spacing w:before="88" w:line="227" w:lineRule="auto"/>
        <w:ind w:left="38"/>
        <w:outlineLvl w:val="2"/>
        <w:rPr>
          <w:sz w:val="27"/>
          <w:szCs w:val="27"/>
        </w:rPr>
      </w:pPr>
      <w:bookmarkStart w:id="58" w:name="bookmark59"/>
      <w:bookmarkEnd w:id="58"/>
      <w:r>
        <w:rPr>
          <w:rFonts w:ascii="Times New Roman" w:hAnsi="Times New Roman" w:eastAsia="Times New Roman" w:cs="Times New Roman"/>
          <w:b/>
          <w:bCs/>
          <w:spacing w:val="5"/>
          <w:sz w:val="27"/>
          <w:szCs w:val="27"/>
        </w:rPr>
        <w:t>9.3</w:t>
      </w:r>
      <w:r>
        <w:rPr>
          <w:rFonts w:ascii="Times New Roman" w:hAnsi="Times New Roman" w:eastAsia="Times New Roman" w:cs="Times New Roman"/>
          <w:b/>
          <w:bCs/>
          <w:spacing w:val="19"/>
          <w:sz w:val="27"/>
          <w:szCs w:val="27"/>
        </w:rPr>
        <w:t xml:space="preserve"> </w:t>
      </w:r>
      <w:r>
        <w:rPr>
          <w:spacing w:val="5"/>
          <w:sz w:val="27"/>
          <w:szCs w:val="27"/>
          <w14:textOutline w14:w="5072" w14:cap="flat" w14:cmpd="sng">
            <w14:solidFill>
              <w14:srgbClr w14:val="000000"/>
            </w14:solidFill>
            <w14:prstDash w14:val="solid"/>
            <w14:miter w14:val="0"/>
          </w14:textOutline>
        </w:rPr>
        <w:t>选址合理性</w:t>
      </w:r>
    </w:p>
    <w:p>
      <w:pPr>
        <w:spacing w:before="168" w:line="468" w:lineRule="exact"/>
        <w:ind w:right="63"/>
        <w:jc w:val="right"/>
        <w:rPr>
          <w:rFonts w:ascii="宋体" w:hAnsi="宋体" w:eastAsia="宋体" w:cs="宋体"/>
          <w:sz w:val="24"/>
          <w:szCs w:val="24"/>
        </w:rPr>
      </w:pPr>
      <w:r>
        <w:rPr>
          <w:rFonts w:ascii="宋体" w:hAnsi="宋体" w:eastAsia="宋体" w:cs="宋体"/>
          <w:spacing w:val="-7"/>
          <w:position w:val="17"/>
          <w:sz w:val="24"/>
          <w:szCs w:val="24"/>
        </w:rPr>
        <w:t>项目坝址、库区、施工“三场”不涉及自然保护区、及风景名胜区、饮用水源保护区、</w:t>
      </w:r>
    </w:p>
    <w:p>
      <w:pPr>
        <w:spacing w:before="1" w:line="219" w:lineRule="auto"/>
        <w:ind w:left="39"/>
        <w:rPr>
          <w:rFonts w:ascii="宋体" w:hAnsi="宋体" w:eastAsia="宋体" w:cs="宋体"/>
          <w:sz w:val="24"/>
          <w:szCs w:val="24"/>
        </w:rPr>
      </w:pPr>
      <w:r>
        <w:rPr>
          <w:rFonts w:ascii="宋体" w:hAnsi="宋体" w:eastAsia="宋体" w:cs="宋体"/>
          <w:spacing w:val="-1"/>
          <w:sz w:val="24"/>
          <w:szCs w:val="24"/>
        </w:rPr>
        <w:t>世界自然遗产地等环境敏感区。水库及淹没区不涉及移民搬迁。项目选址合</w:t>
      </w:r>
      <w:r>
        <w:rPr>
          <w:rFonts w:ascii="宋体" w:hAnsi="宋体" w:eastAsia="宋体" w:cs="宋体"/>
          <w:spacing w:val="-2"/>
          <w:sz w:val="24"/>
          <w:szCs w:val="24"/>
        </w:rPr>
        <w:t>理。</w:t>
      </w:r>
    </w:p>
    <w:p>
      <w:pPr>
        <w:spacing w:line="351" w:lineRule="auto"/>
        <w:rPr>
          <w:rFonts w:ascii="Arial"/>
          <w:sz w:val="21"/>
        </w:rPr>
      </w:pPr>
    </w:p>
    <w:p>
      <w:pPr>
        <w:pStyle w:val="2"/>
        <w:spacing w:before="88"/>
        <w:ind w:left="38"/>
        <w:outlineLvl w:val="2"/>
        <w:rPr>
          <w:sz w:val="27"/>
          <w:szCs w:val="27"/>
        </w:rPr>
      </w:pPr>
      <w:bookmarkStart w:id="59" w:name="bookmark60"/>
      <w:bookmarkEnd w:id="59"/>
      <w:r>
        <w:rPr>
          <w:rFonts w:ascii="Times New Roman" w:hAnsi="Times New Roman" w:eastAsia="Times New Roman" w:cs="Times New Roman"/>
          <w:b/>
          <w:bCs/>
          <w:spacing w:val="7"/>
          <w:sz w:val="27"/>
          <w:szCs w:val="27"/>
        </w:rPr>
        <w:t xml:space="preserve">9.4 </w:t>
      </w:r>
      <w:r>
        <w:rPr>
          <w:spacing w:val="7"/>
          <w:sz w:val="27"/>
          <w:szCs w:val="27"/>
          <w14:textOutline w14:w="5072" w14:cap="flat" w14:cmpd="sng">
            <w14:solidFill>
              <w14:srgbClr w14:val="000000"/>
            </w14:solidFill>
            <w14:prstDash w14:val="solid"/>
            <w14:miter w14:val="0"/>
          </w14:textOutline>
        </w:rPr>
        <w:t>环境现状评价结论</w:t>
      </w:r>
    </w:p>
    <w:p>
      <w:pPr>
        <w:spacing w:line="243" w:lineRule="auto"/>
        <w:rPr>
          <w:rFonts w:ascii="Arial"/>
          <w:sz w:val="21"/>
        </w:rPr>
      </w:pPr>
    </w:p>
    <w:p>
      <w:pPr>
        <w:pStyle w:val="2"/>
        <w:spacing w:before="78" w:line="233" w:lineRule="auto"/>
        <w:ind w:left="37"/>
        <w:outlineLvl w:val="3"/>
        <w:rPr>
          <w:sz w:val="24"/>
          <w:szCs w:val="24"/>
        </w:rPr>
      </w:pPr>
      <w:r>
        <w:rPr>
          <w:rFonts w:ascii="Times New Roman" w:hAnsi="Times New Roman" w:eastAsia="Times New Roman" w:cs="Times New Roman"/>
          <w:b/>
          <w:bCs/>
          <w:sz w:val="24"/>
          <w:szCs w:val="24"/>
        </w:rPr>
        <w:t xml:space="preserve">9.4.1 </w:t>
      </w:r>
      <w:r>
        <w:rPr>
          <w:sz w:val="24"/>
          <w:szCs w:val="24"/>
          <w14:textOutline w14:w="4354" w14:cap="flat" w14:cmpd="sng">
            <w14:solidFill>
              <w14:srgbClr w14:val="000000"/>
            </w14:solidFill>
            <w14:prstDash w14:val="solid"/>
            <w14:miter w14:val="0"/>
          </w14:textOutline>
        </w:rPr>
        <w:t>地表水环境质量</w:t>
      </w:r>
    </w:p>
    <w:p>
      <w:pPr>
        <w:spacing w:line="233" w:lineRule="auto"/>
        <w:rPr>
          <w:sz w:val="24"/>
          <w:szCs w:val="24"/>
        </w:rPr>
        <w:sectPr>
          <w:footerReference r:id="rId484" w:type="default"/>
          <w:pgSz w:w="11910" w:h="16840"/>
          <w:pgMar w:top="1183" w:right="1229" w:bottom="1582" w:left="1230" w:header="908" w:footer="1419" w:gutter="0"/>
        </w:sectPr>
      </w:pPr>
    </w:p>
    <w:p>
      <w:pPr>
        <w:spacing w:before="37" w:line="467" w:lineRule="exact"/>
        <w:ind w:left="523"/>
        <w:rPr>
          <w:rFonts w:ascii="宋体" w:hAnsi="宋体" w:eastAsia="宋体" w:cs="宋体"/>
          <w:sz w:val="24"/>
          <w:szCs w:val="24"/>
        </w:rPr>
      </w:pPr>
      <w:r>
        <w:rPr>
          <w:rFonts w:ascii="宋体" w:hAnsi="宋体" w:eastAsia="宋体" w:cs="宋体"/>
          <w:spacing w:val="-6"/>
          <w:position w:val="17"/>
          <w:sz w:val="24"/>
          <w:szCs w:val="24"/>
        </w:rPr>
        <w:t>项目所在区域金沙江属于跨境河流， 执行</w:t>
      </w:r>
      <w:r>
        <w:rPr>
          <w:rFonts w:ascii="宋体" w:hAnsi="宋体" w:eastAsia="宋体" w:cs="宋体"/>
          <w:spacing w:val="-7"/>
          <w:position w:val="17"/>
          <w:sz w:val="24"/>
          <w:szCs w:val="24"/>
        </w:rPr>
        <w:t>《地表水环境质量标准》（</w:t>
      </w:r>
      <w:r>
        <w:rPr>
          <w:rFonts w:ascii="Times New Roman" w:hAnsi="Times New Roman" w:eastAsia="Times New Roman" w:cs="Times New Roman"/>
          <w:spacing w:val="-7"/>
          <w:position w:val="17"/>
          <w:sz w:val="24"/>
          <w:szCs w:val="24"/>
        </w:rPr>
        <w:t>GB3838-2002</w:t>
      </w:r>
      <w:r>
        <w:rPr>
          <w:rFonts w:ascii="宋体" w:hAnsi="宋体" w:eastAsia="宋体" w:cs="宋体"/>
          <w:spacing w:val="-7"/>
          <w:position w:val="17"/>
          <w:sz w:val="24"/>
          <w:szCs w:val="24"/>
        </w:rPr>
        <w:t>）中</w:t>
      </w:r>
    </w:p>
    <w:p>
      <w:pPr>
        <w:spacing w:line="219" w:lineRule="auto"/>
        <w:ind w:left="38"/>
        <w:rPr>
          <w:rFonts w:ascii="宋体" w:hAnsi="宋体" w:eastAsia="宋体" w:cs="宋体"/>
          <w:sz w:val="24"/>
          <w:szCs w:val="24"/>
        </w:rPr>
      </w:pPr>
      <w:r>
        <w:rPr>
          <w:rFonts w:ascii="宋体" w:hAnsi="宋体" w:eastAsia="宋体" w:cs="宋体"/>
          <w:spacing w:val="-2"/>
          <w:sz w:val="24"/>
          <w:szCs w:val="24"/>
        </w:rPr>
        <w:t>Ⅲ类标准。项目区金沙江达到水环境功能要求。</w:t>
      </w:r>
    </w:p>
    <w:p>
      <w:pPr>
        <w:spacing w:before="181" w:line="467" w:lineRule="exact"/>
        <w:ind w:left="519"/>
        <w:rPr>
          <w:rFonts w:ascii="宋体" w:hAnsi="宋体" w:eastAsia="宋体" w:cs="宋体"/>
          <w:sz w:val="24"/>
          <w:szCs w:val="24"/>
        </w:rPr>
      </w:pPr>
      <w:r>
        <w:rPr>
          <w:rFonts w:ascii="宋体" w:hAnsi="宋体" w:eastAsia="宋体" w:cs="宋体"/>
          <w:spacing w:val="7"/>
          <w:position w:val="17"/>
          <w:sz w:val="24"/>
          <w:szCs w:val="24"/>
        </w:rPr>
        <w:t>根据监测结果，桂花河水监测断面水质各项指标均能达到《地表水环境质</w:t>
      </w:r>
      <w:r>
        <w:rPr>
          <w:rFonts w:ascii="宋体" w:hAnsi="宋体" w:eastAsia="宋体" w:cs="宋体"/>
          <w:spacing w:val="6"/>
          <w:position w:val="17"/>
          <w:sz w:val="24"/>
          <w:szCs w:val="24"/>
        </w:rPr>
        <w:t>量标准》</w:t>
      </w:r>
    </w:p>
    <w:p>
      <w:pPr>
        <w:spacing w:line="219" w:lineRule="auto"/>
        <w:ind w:left="4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GB3838-2002</w:t>
      </w:r>
      <w:r>
        <w:rPr>
          <w:rFonts w:ascii="宋体" w:hAnsi="宋体" w:eastAsia="宋体" w:cs="宋体"/>
          <w:spacing w:val="-3"/>
          <w:sz w:val="24"/>
          <w:szCs w:val="24"/>
        </w:rPr>
        <w:t>）Ⅲ类水质标准。</w:t>
      </w:r>
    </w:p>
    <w:p>
      <w:pPr>
        <w:spacing w:line="394" w:lineRule="auto"/>
        <w:rPr>
          <w:rFonts w:ascii="Arial"/>
          <w:sz w:val="21"/>
        </w:rPr>
      </w:pPr>
    </w:p>
    <w:p>
      <w:pPr>
        <w:pStyle w:val="2"/>
        <w:spacing w:before="78" w:line="233" w:lineRule="auto"/>
        <w:ind w:left="37"/>
        <w:outlineLvl w:val="3"/>
        <w:rPr>
          <w:sz w:val="24"/>
          <w:szCs w:val="24"/>
        </w:rPr>
      </w:pPr>
      <w:r>
        <w:rPr>
          <w:rFonts w:ascii="Times New Roman" w:hAnsi="Times New Roman" w:eastAsia="Times New Roman" w:cs="Times New Roman"/>
          <w:b/>
          <w:bCs/>
          <w:spacing w:val="-1"/>
          <w:sz w:val="24"/>
          <w:szCs w:val="24"/>
        </w:rPr>
        <w:t xml:space="preserve">9.4.2 </w:t>
      </w:r>
      <w:r>
        <w:rPr>
          <w:spacing w:val="-1"/>
          <w:sz w:val="24"/>
          <w:szCs w:val="24"/>
          <w14:textOutline w14:w="4354" w14:cap="flat" w14:cmpd="sng">
            <w14:solidFill>
              <w14:srgbClr w14:val="000000"/>
            </w14:solidFill>
            <w14:prstDash w14:val="solid"/>
            <w14:miter w14:val="0"/>
          </w14:textOutline>
        </w:rPr>
        <w:t>环境空气质量</w:t>
      </w:r>
    </w:p>
    <w:p>
      <w:pPr>
        <w:spacing w:before="165" w:line="466" w:lineRule="exact"/>
        <w:ind w:left="519"/>
        <w:rPr>
          <w:rFonts w:ascii="宋体" w:hAnsi="宋体" w:eastAsia="宋体" w:cs="宋体"/>
          <w:sz w:val="24"/>
          <w:szCs w:val="24"/>
        </w:rPr>
      </w:pPr>
      <w:r>
        <w:rPr>
          <w:rFonts w:ascii="宋体" w:hAnsi="宋体" w:eastAsia="宋体" w:cs="宋体"/>
          <w:position w:val="17"/>
          <w:sz w:val="24"/>
          <w:szCs w:val="24"/>
        </w:rPr>
        <w:t>根据本项目所在地经纬度，使用国家环境保护环境影响评价数</w:t>
      </w:r>
      <w:r>
        <w:rPr>
          <w:rFonts w:ascii="宋体" w:hAnsi="宋体" w:eastAsia="宋体" w:cs="宋体"/>
          <w:spacing w:val="-1"/>
          <w:position w:val="17"/>
          <w:sz w:val="24"/>
          <w:szCs w:val="24"/>
        </w:rPr>
        <w:t>值模拟重点实验室发布</w:t>
      </w:r>
    </w:p>
    <w:p>
      <w:pPr>
        <w:spacing w:before="1" w:line="218" w:lineRule="auto"/>
        <w:ind w:left="59"/>
        <w:rPr>
          <w:rFonts w:ascii="宋体" w:hAnsi="宋体" w:eastAsia="宋体" w:cs="宋体"/>
          <w:sz w:val="24"/>
          <w:szCs w:val="24"/>
        </w:rPr>
      </w:pPr>
      <w:r>
        <w:rPr>
          <w:rFonts w:ascii="宋体" w:hAnsi="宋体" w:eastAsia="宋体" w:cs="宋体"/>
          <w:spacing w:val="-1"/>
          <w:sz w:val="24"/>
          <w:szCs w:val="24"/>
        </w:rPr>
        <w:t>的—环境空气质量模型在线系统查阅本项目所在地环境空气</w:t>
      </w:r>
      <w:r>
        <w:rPr>
          <w:rFonts w:ascii="宋体" w:hAnsi="宋体" w:eastAsia="宋体" w:cs="宋体"/>
          <w:spacing w:val="-2"/>
          <w:sz w:val="24"/>
          <w:szCs w:val="24"/>
        </w:rPr>
        <w:t>质量</w:t>
      </w:r>
    </w:p>
    <w:p>
      <w:pPr>
        <w:spacing w:before="183" w:line="359" w:lineRule="auto"/>
        <w:ind w:left="40" w:right="105" w:firstLine="5"/>
        <w:rPr>
          <w:rFonts w:ascii="宋体" w:hAnsi="宋体" w:eastAsia="宋体" w:cs="宋体"/>
          <w:sz w:val="24"/>
          <w:szCs w:val="24"/>
        </w:rPr>
      </w:pPr>
      <w:r>
        <w:rPr>
          <w:rFonts w:ascii="宋体" w:hAnsi="宋体" w:eastAsia="宋体" w:cs="宋体"/>
          <w:spacing w:val="-1"/>
          <w:sz w:val="24"/>
          <w:szCs w:val="24"/>
        </w:rPr>
        <w:t>（</w:t>
      </w:r>
      <w:r>
        <w:fldChar w:fldCharType="begin"/>
      </w:r>
      <w:r>
        <w:instrText xml:space="preserve"> HYPERLINK "http://data.lem.org.cn/eamds/apply/tostepone.html" </w:instrText>
      </w:r>
      <w:r>
        <w:fldChar w:fldCharType="separate"/>
      </w:r>
      <w:r>
        <w:rPr>
          <w:rFonts w:ascii="Times New Roman" w:hAnsi="Times New Roman" w:eastAsia="Times New Roman" w:cs="Times New Roman"/>
          <w:spacing w:val="-1"/>
          <w:sz w:val="24"/>
          <w:szCs w:val="24"/>
        </w:rPr>
        <w:t>http://data.lem.org.cn/eamds/apply/tostepone.html</w:t>
      </w:r>
      <w:r>
        <w:rPr>
          <w:rFonts w:ascii="Times New Roman" w:hAnsi="Times New Roman" w:eastAsia="Times New Roman" w:cs="Times New Roman"/>
          <w:spacing w:val="-1"/>
          <w:sz w:val="24"/>
          <w:szCs w:val="24"/>
        </w:rPr>
        <w:fldChar w:fldCharType="end"/>
      </w:r>
      <w:r>
        <w:rPr>
          <w:rFonts w:ascii="宋体" w:hAnsi="宋体" w:eastAsia="宋体" w:cs="宋体"/>
          <w:spacing w:val="-61"/>
          <w:sz w:val="24"/>
          <w:szCs w:val="24"/>
        </w:rPr>
        <w:t>），</w:t>
      </w:r>
      <w:r>
        <w:rPr>
          <w:rFonts w:ascii="宋体" w:hAnsi="宋体" w:eastAsia="宋体" w:cs="宋体"/>
          <w:spacing w:val="-1"/>
          <w:sz w:val="24"/>
          <w:szCs w:val="24"/>
        </w:rPr>
        <w:t>经查阅项目</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2km</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范围内有</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个环境空</w:t>
      </w:r>
      <w:r>
        <w:rPr>
          <w:rFonts w:ascii="宋体" w:hAnsi="宋体" w:eastAsia="宋体" w:cs="宋体"/>
          <w:sz w:val="24"/>
          <w:szCs w:val="24"/>
        </w:rPr>
        <w:t xml:space="preserve"> </w:t>
      </w:r>
      <w:r>
        <w:rPr>
          <w:rFonts w:ascii="宋体" w:hAnsi="宋体" w:eastAsia="宋体" w:cs="宋体"/>
          <w:spacing w:val="-4"/>
          <w:sz w:val="24"/>
          <w:szCs w:val="24"/>
        </w:rPr>
        <w:t>气质量国控监测断面（四川省甘孜藏族自治州），</w:t>
      </w:r>
      <w:r>
        <w:rPr>
          <w:rFonts w:ascii="Times New Roman" w:hAnsi="Times New Roman" w:eastAsia="Times New Roman" w:cs="Times New Roman"/>
          <w:spacing w:val="-4"/>
          <w:sz w:val="24"/>
          <w:szCs w:val="24"/>
        </w:rPr>
        <w:t xml:space="preserve">2018 </w:t>
      </w:r>
      <w:r>
        <w:rPr>
          <w:rFonts w:ascii="宋体" w:hAnsi="宋体" w:eastAsia="宋体" w:cs="宋体"/>
          <w:spacing w:val="-4"/>
          <w:sz w:val="24"/>
          <w:szCs w:val="24"/>
        </w:rPr>
        <w:t>年</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SO</w:t>
      </w:r>
      <w:r>
        <w:rPr>
          <w:rFonts w:ascii="Times New Roman" w:hAnsi="Times New Roman" w:eastAsia="Times New Roman" w:cs="Times New Roman"/>
          <w:spacing w:val="-4"/>
          <w:sz w:val="15"/>
          <w:szCs w:val="15"/>
        </w:rPr>
        <w:t>2</w:t>
      </w:r>
      <w:r>
        <w:rPr>
          <w:rFonts w:ascii="Times New Roman" w:hAnsi="Times New Roman" w:eastAsia="Times New Roman" w:cs="Times New Roman"/>
          <w:spacing w:val="-10"/>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NO</w:t>
      </w:r>
      <w:r>
        <w:rPr>
          <w:rFonts w:ascii="Times New Roman" w:hAnsi="Times New Roman" w:eastAsia="Times New Roman" w:cs="Times New Roman"/>
          <w:spacing w:val="-4"/>
          <w:sz w:val="15"/>
          <w:szCs w:val="15"/>
        </w:rPr>
        <w:t>2</w:t>
      </w:r>
      <w:r>
        <w:rPr>
          <w:rFonts w:ascii="Times New Roman" w:hAnsi="Times New Roman" w:eastAsia="Times New Roman" w:cs="Times New Roman"/>
          <w:spacing w:val="-10"/>
          <w:sz w:val="15"/>
          <w:szCs w:val="15"/>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PM</w:t>
      </w:r>
      <w:r>
        <w:rPr>
          <w:rFonts w:ascii="Times New Roman" w:hAnsi="Times New Roman" w:eastAsia="Times New Roman" w:cs="Times New Roman"/>
          <w:spacing w:val="-4"/>
          <w:sz w:val="15"/>
          <w:szCs w:val="15"/>
        </w:rPr>
        <w:t>1</w:t>
      </w:r>
      <w:r>
        <w:rPr>
          <w:rFonts w:ascii="Times New Roman" w:hAnsi="Times New Roman" w:eastAsia="Times New Roman" w:cs="Times New Roman"/>
          <w:spacing w:val="-5"/>
          <w:sz w:val="15"/>
          <w:szCs w:val="15"/>
        </w:rPr>
        <w:t>0</w:t>
      </w:r>
      <w:r>
        <w:rPr>
          <w:rFonts w:ascii="Times New Roman" w:hAnsi="Times New Roman" w:eastAsia="Times New Roman" w:cs="Times New Roman"/>
          <w:spacing w:val="-11"/>
          <w:sz w:val="15"/>
          <w:szCs w:val="15"/>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PM</w:t>
      </w:r>
      <w:r>
        <w:rPr>
          <w:rFonts w:ascii="Times New Roman" w:hAnsi="Times New Roman" w:eastAsia="Times New Roman" w:cs="Times New Roman"/>
          <w:spacing w:val="-5"/>
          <w:sz w:val="15"/>
          <w:szCs w:val="15"/>
        </w:rPr>
        <w:t>2.5</w:t>
      </w:r>
      <w:r>
        <w:rPr>
          <w:rFonts w:ascii="Times New Roman" w:hAnsi="Times New Roman" w:eastAsia="Times New Roman" w:cs="Times New Roman"/>
          <w:spacing w:val="13"/>
          <w:w w:val="102"/>
          <w:sz w:val="15"/>
          <w:szCs w:val="15"/>
        </w:rPr>
        <w:t xml:space="preserve"> </w:t>
      </w:r>
      <w:r>
        <w:rPr>
          <w:rFonts w:ascii="宋体" w:hAnsi="宋体" w:eastAsia="宋体" w:cs="宋体"/>
          <w:spacing w:val="-5"/>
          <w:sz w:val="24"/>
          <w:szCs w:val="24"/>
        </w:rPr>
        <w:t>年均浓</w:t>
      </w:r>
    </w:p>
    <w:p>
      <w:pPr>
        <w:spacing w:line="212" w:lineRule="auto"/>
        <w:ind w:left="38"/>
        <w:rPr>
          <w:rFonts w:ascii="宋体" w:hAnsi="宋体" w:eastAsia="宋体" w:cs="宋体"/>
          <w:sz w:val="24"/>
          <w:szCs w:val="24"/>
        </w:rPr>
      </w:pPr>
      <w:r>
        <w:rPr>
          <w:rFonts w:ascii="宋体" w:hAnsi="宋体" w:eastAsia="宋体" w:cs="宋体"/>
          <w:spacing w:val="-3"/>
          <w:sz w:val="24"/>
          <w:szCs w:val="24"/>
        </w:rPr>
        <w:t>度分别为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 ug/m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0"/>
          <w:position w:val="8"/>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16ug/m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31ug/m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20ug/m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CO24</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小时平均第</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95</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百</w:t>
      </w:r>
      <w:r>
        <w:rPr>
          <w:rFonts w:ascii="宋体" w:hAnsi="宋体" w:eastAsia="宋体" w:cs="宋体"/>
          <w:spacing w:val="-4"/>
          <w:sz w:val="24"/>
          <w:szCs w:val="24"/>
        </w:rPr>
        <w:t>分位数为</w:t>
      </w:r>
    </w:p>
    <w:p>
      <w:pPr>
        <w:spacing w:before="191" w:line="467" w:lineRule="exact"/>
        <w:ind w:left="38"/>
        <w:rPr>
          <w:rFonts w:ascii="宋体" w:hAnsi="宋体" w:eastAsia="宋体" w:cs="宋体"/>
          <w:sz w:val="24"/>
          <w:szCs w:val="24"/>
        </w:rPr>
      </w:pPr>
      <w:r>
        <w:rPr>
          <w:rFonts w:ascii="Times New Roman" w:hAnsi="Times New Roman" w:eastAsia="Times New Roman" w:cs="Times New Roman"/>
          <w:spacing w:val="-3"/>
          <w:position w:val="17"/>
          <w:sz w:val="24"/>
          <w:szCs w:val="24"/>
        </w:rPr>
        <w:t>0.7mg/m</w:t>
      </w:r>
      <w:r>
        <w:rPr>
          <w:rFonts w:ascii="Times New Roman" w:hAnsi="Times New Roman" w:eastAsia="Times New Roman" w:cs="Times New Roman"/>
          <w:spacing w:val="-3"/>
          <w:position w:val="25"/>
          <w:sz w:val="15"/>
          <w:szCs w:val="15"/>
        </w:rPr>
        <w:t>3</w:t>
      </w:r>
      <w:r>
        <w:rPr>
          <w:rFonts w:ascii="Times New Roman" w:hAnsi="Times New Roman" w:eastAsia="Times New Roman" w:cs="Times New Roman"/>
          <w:spacing w:val="-10"/>
          <w:position w:val="25"/>
          <w:sz w:val="15"/>
          <w:szCs w:val="15"/>
        </w:rPr>
        <w:t xml:space="preserve"> </w:t>
      </w: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O</w:t>
      </w:r>
      <w:r>
        <w:rPr>
          <w:rFonts w:ascii="Times New Roman" w:hAnsi="Times New Roman" w:eastAsia="Times New Roman" w:cs="Times New Roman"/>
          <w:spacing w:val="-3"/>
          <w:position w:val="16"/>
          <w:sz w:val="15"/>
          <w:szCs w:val="15"/>
        </w:rPr>
        <w:t xml:space="preserve">3  </w:t>
      </w:r>
      <w:r>
        <w:rPr>
          <w:rFonts w:ascii="宋体" w:hAnsi="宋体" w:eastAsia="宋体" w:cs="宋体"/>
          <w:spacing w:val="-3"/>
          <w:position w:val="17"/>
          <w:sz w:val="24"/>
          <w:szCs w:val="24"/>
        </w:rPr>
        <w:t>日最大</w:t>
      </w:r>
      <w:r>
        <w:rPr>
          <w:rFonts w:ascii="宋体" w:hAnsi="宋体" w:eastAsia="宋体" w:cs="宋体"/>
          <w:spacing w:val="-46"/>
          <w:position w:val="17"/>
          <w:sz w:val="24"/>
          <w:szCs w:val="24"/>
        </w:rPr>
        <w:t xml:space="preserve"> </w:t>
      </w:r>
      <w:r>
        <w:rPr>
          <w:rFonts w:ascii="Times New Roman" w:hAnsi="Times New Roman" w:eastAsia="Times New Roman" w:cs="Times New Roman"/>
          <w:spacing w:val="-3"/>
          <w:position w:val="17"/>
          <w:sz w:val="24"/>
          <w:szCs w:val="24"/>
        </w:rPr>
        <w:t>8</w:t>
      </w:r>
      <w:r>
        <w:rPr>
          <w:rFonts w:ascii="Times New Roman" w:hAnsi="Times New Roman" w:eastAsia="Times New Roman" w:cs="Times New Roman"/>
          <w:spacing w:val="16"/>
          <w:w w:val="101"/>
          <w:position w:val="17"/>
          <w:sz w:val="24"/>
          <w:szCs w:val="24"/>
        </w:rPr>
        <w:t xml:space="preserve"> </w:t>
      </w:r>
      <w:r>
        <w:rPr>
          <w:rFonts w:ascii="宋体" w:hAnsi="宋体" w:eastAsia="宋体" w:cs="宋体"/>
          <w:spacing w:val="-3"/>
          <w:position w:val="17"/>
          <w:sz w:val="24"/>
          <w:szCs w:val="24"/>
        </w:rPr>
        <w:t>小时平均第</w:t>
      </w:r>
      <w:r>
        <w:rPr>
          <w:rFonts w:ascii="宋体" w:hAnsi="宋体" w:eastAsia="宋体" w:cs="宋体"/>
          <w:spacing w:val="-51"/>
          <w:position w:val="17"/>
          <w:sz w:val="24"/>
          <w:szCs w:val="24"/>
        </w:rPr>
        <w:t xml:space="preserve"> </w:t>
      </w:r>
      <w:r>
        <w:rPr>
          <w:rFonts w:ascii="Times New Roman" w:hAnsi="Times New Roman" w:eastAsia="Times New Roman" w:cs="Times New Roman"/>
          <w:spacing w:val="-3"/>
          <w:position w:val="17"/>
          <w:sz w:val="24"/>
          <w:szCs w:val="24"/>
        </w:rPr>
        <w:t>90</w:t>
      </w:r>
      <w:r>
        <w:rPr>
          <w:rFonts w:ascii="Times New Roman" w:hAnsi="Times New Roman" w:eastAsia="Times New Roman" w:cs="Times New Roman"/>
          <w:spacing w:val="18"/>
          <w:position w:val="17"/>
          <w:sz w:val="24"/>
          <w:szCs w:val="24"/>
        </w:rPr>
        <w:t xml:space="preserve"> </w:t>
      </w:r>
      <w:r>
        <w:rPr>
          <w:rFonts w:ascii="宋体" w:hAnsi="宋体" w:eastAsia="宋体" w:cs="宋体"/>
          <w:spacing w:val="-3"/>
          <w:position w:val="17"/>
          <w:sz w:val="24"/>
          <w:szCs w:val="24"/>
        </w:rPr>
        <w:t>百</w:t>
      </w:r>
      <w:r>
        <w:rPr>
          <w:rFonts w:ascii="宋体" w:hAnsi="宋体" w:eastAsia="宋体" w:cs="宋体"/>
          <w:spacing w:val="-4"/>
          <w:position w:val="17"/>
          <w:sz w:val="24"/>
          <w:szCs w:val="24"/>
        </w:rPr>
        <w:t>分位数为</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126ug/m</w:t>
      </w:r>
      <w:r>
        <w:rPr>
          <w:rFonts w:ascii="Times New Roman" w:hAnsi="Times New Roman" w:eastAsia="Times New Roman" w:cs="Times New Roman"/>
          <w:spacing w:val="-4"/>
          <w:position w:val="25"/>
          <w:sz w:val="15"/>
          <w:szCs w:val="15"/>
        </w:rPr>
        <w:t>3</w:t>
      </w:r>
      <w:r>
        <w:rPr>
          <w:rFonts w:ascii="Times New Roman" w:hAnsi="Times New Roman" w:eastAsia="Times New Roman" w:cs="Times New Roman"/>
          <w:spacing w:val="-10"/>
          <w:position w:val="25"/>
          <w:sz w:val="15"/>
          <w:szCs w:val="15"/>
        </w:rPr>
        <w:t xml:space="preserve"> </w:t>
      </w:r>
      <w:r>
        <w:rPr>
          <w:rFonts w:ascii="宋体" w:hAnsi="宋体" w:eastAsia="宋体" w:cs="宋体"/>
          <w:spacing w:val="-4"/>
          <w:position w:val="17"/>
          <w:sz w:val="24"/>
          <w:szCs w:val="24"/>
        </w:rPr>
        <w:t>，达到《环境空气质量标准》</w:t>
      </w:r>
    </w:p>
    <w:p>
      <w:pPr>
        <w:spacing w:before="1" w:line="219" w:lineRule="auto"/>
        <w:ind w:left="4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GB3095-2012</w:t>
      </w:r>
      <w:r>
        <w:rPr>
          <w:rFonts w:ascii="宋体" w:hAnsi="宋体" w:eastAsia="宋体" w:cs="宋体"/>
          <w:spacing w:val="-3"/>
          <w:sz w:val="24"/>
          <w:szCs w:val="24"/>
        </w:rPr>
        <w:t>）中二级标准限值。</w:t>
      </w:r>
    </w:p>
    <w:p>
      <w:pPr>
        <w:spacing w:before="182" w:line="359" w:lineRule="auto"/>
        <w:ind w:left="43" w:right="64" w:firstLine="475"/>
        <w:jc w:val="both"/>
        <w:rPr>
          <w:rFonts w:ascii="宋体" w:hAnsi="宋体" w:eastAsia="宋体" w:cs="宋体"/>
          <w:sz w:val="24"/>
          <w:szCs w:val="24"/>
        </w:rPr>
      </w:pPr>
      <w:r>
        <w:rPr>
          <w:rFonts w:ascii="宋体" w:hAnsi="宋体" w:eastAsia="宋体" w:cs="宋体"/>
          <w:spacing w:val="-4"/>
          <w:sz w:val="24"/>
          <w:szCs w:val="24"/>
        </w:rPr>
        <w:t>评价区内自然保护区属《环境空气质量标准》（</w:t>
      </w:r>
      <w:r>
        <w:rPr>
          <w:rFonts w:ascii="Times New Roman" w:hAnsi="Times New Roman" w:eastAsia="Times New Roman" w:cs="Times New Roman"/>
          <w:spacing w:val="-4"/>
          <w:sz w:val="24"/>
          <w:szCs w:val="24"/>
        </w:rPr>
        <w:t>GB3095-2012</w:t>
      </w:r>
      <w:r>
        <w:rPr>
          <w:rFonts w:ascii="宋体" w:hAnsi="宋体" w:eastAsia="宋体" w:cs="宋体"/>
          <w:spacing w:val="-4"/>
          <w:sz w:val="24"/>
          <w:szCs w:val="24"/>
        </w:rPr>
        <w:t>）环境空气质量功能区的</w:t>
      </w:r>
      <w:r>
        <w:rPr>
          <w:rFonts w:ascii="宋体" w:hAnsi="宋体" w:eastAsia="宋体" w:cs="宋体"/>
          <w:spacing w:val="18"/>
          <w:sz w:val="24"/>
          <w:szCs w:val="24"/>
        </w:rPr>
        <w:t xml:space="preserve"> </w:t>
      </w:r>
      <w:r>
        <w:rPr>
          <w:rFonts w:ascii="宋体" w:hAnsi="宋体" w:eastAsia="宋体" w:cs="宋体"/>
          <w:sz w:val="24"/>
          <w:szCs w:val="24"/>
        </w:rPr>
        <w:t>一类区，保护区内无工业企业，项目沿线空气环境基本保持在自然状态，环境空气质量能</w:t>
      </w:r>
    </w:p>
    <w:p>
      <w:pPr>
        <w:spacing w:line="219" w:lineRule="auto"/>
        <w:ind w:left="38"/>
        <w:rPr>
          <w:rFonts w:ascii="宋体" w:hAnsi="宋体" w:eastAsia="宋体" w:cs="宋体"/>
          <w:sz w:val="24"/>
          <w:szCs w:val="24"/>
        </w:rPr>
      </w:pPr>
      <w:r>
        <w:rPr>
          <w:rFonts w:ascii="宋体" w:hAnsi="宋体" w:eastAsia="宋体" w:cs="宋体"/>
          <w:spacing w:val="-4"/>
          <w:sz w:val="24"/>
          <w:szCs w:val="24"/>
        </w:rPr>
        <w:t>够满足《环境空气质量标准》（</w:t>
      </w:r>
      <w:r>
        <w:rPr>
          <w:rFonts w:ascii="Times New Roman" w:hAnsi="Times New Roman" w:eastAsia="Times New Roman" w:cs="Times New Roman"/>
          <w:spacing w:val="-4"/>
          <w:sz w:val="24"/>
          <w:szCs w:val="24"/>
        </w:rPr>
        <w:t>GB3095-2012</w:t>
      </w:r>
      <w:r>
        <w:rPr>
          <w:rFonts w:ascii="宋体" w:hAnsi="宋体" w:eastAsia="宋体" w:cs="宋体"/>
          <w:spacing w:val="-4"/>
          <w:sz w:val="24"/>
          <w:szCs w:val="24"/>
        </w:rPr>
        <w:t>）</w:t>
      </w:r>
      <w:r>
        <w:rPr>
          <w:rFonts w:ascii="宋体" w:hAnsi="宋体" w:eastAsia="宋体" w:cs="宋体"/>
          <w:spacing w:val="-5"/>
          <w:sz w:val="24"/>
          <w:szCs w:val="24"/>
        </w:rPr>
        <w:t>一级标准。</w:t>
      </w:r>
    </w:p>
    <w:p>
      <w:pPr>
        <w:spacing w:line="394" w:lineRule="auto"/>
        <w:rPr>
          <w:rFonts w:ascii="Arial"/>
          <w:sz w:val="21"/>
        </w:rPr>
      </w:pPr>
    </w:p>
    <w:p>
      <w:pPr>
        <w:pStyle w:val="2"/>
        <w:spacing w:before="79" w:line="233" w:lineRule="auto"/>
        <w:ind w:left="37"/>
        <w:outlineLvl w:val="3"/>
        <w:rPr>
          <w:sz w:val="24"/>
          <w:szCs w:val="24"/>
        </w:rPr>
      </w:pPr>
      <w:r>
        <w:rPr>
          <w:rFonts w:ascii="Times New Roman" w:hAnsi="Times New Roman" w:eastAsia="Times New Roman" w:cs="Times New Roman"/>
          <w:b/>
          <w:bCs/>
          <w:spacing w:val="-1"/>
          <w:sz w:val="24"/>
          <w:szCs w:val="24"/>
        </w:rPr>
        <w:t xml:space="preserve">9.4.3 </w:t>
      </w:r>
      <w:r>
        <w:rPr>
          <w:spacing w:val="-1"/>
          <w:sz w:val="24"/>
          <w:szCs w:val="24"/>
          <w14:textOutline w14:w="4354" w14:cap="flat" w14:cmpd="sng">
            <w14:solidFill>
              <w14:srgbClr w14:val="000000"/>
            </w14:solidFill>
            <w14:prstDash w14:val="solid"/>
            <w14:miter w14:val="0"/>
          </w14:textOutline>
        </w:rPr>
        <w:t>声环境质量</w:t>
      </w:r>
    </w:p>
    <w:p>
      <w:pPr>
        <w:spacing w:before="163" w:line="468" w:lineRule="exact"/>
        <w:ind w:right="54"/>
        <w:jc w:val="right"/>
        <w:rPr>
          <w:rFonts w:ascii="Times New Roman" w:hAnsi="Times New Roman" w:eastAsia="Times New Roman" w:cs="Times New Roman"/>
          <w:sz w:val="24"/>
          <w:szCs w:val="24"/>
        </w:rPr>
      </w:pPr>
      <w:r>
        <w:rPr>
          <w:rFonts w:ascii="宋体" w:hAnsi="宋体" w:eastAsia="宋体" w:cs="宋体"/>
          <w:spacing w:val="-8"/>
          <w:position w:val="17"/>
          <w:sz w:val="24"/>
          <w:szCs w:val="24"/>
        </w:rPr>
        <w:t>根据监测结果，</w:t>
      </w:r>
      <w:r>
        <w:rPr>
          <w:rFonts w:ascii="宋体" w:hAnsi="宋体" w:eastAsia="宋体" w:cs="宋体"/>
          <w:spacing w:val="64"/>
          <w:position w:val="17"/>
          <w:sz w:val="24"/>
          <w:szCs w:val="24"/>
        </w:rPr>
        <w:t xml:space="preserve"> </w:t>
      </w:r>
      <w:r>
        <w:rPr>
          <w:rFonts w:ascii="宋体" w:hAnsi="宋体" w:eastAsia="宋体" w:cs="宋体"/>
          <w:spacing w:val="-8"/>
          <w:position w:val="17"/>
          <w:sz w:val="24"/>
          <w:szCs w:val="24"/>
        </w:rPr>
        <w:t>桂花村、格面村昼、夜间声环境能满足《声环境质量标准》（</w:t>
      </w:r>
      <w:r>
        <w:rPr>
          <w:rFonts w:ascii="Times New Roman" w:hAnsi="Times New Roman" w:eastAsia="Times New Roman" w:cs="Times New Roman"/>
          <w:spacing w:val="-8"/>
          <w:position w:val="17"/>
          <w:sz w:val="24"/>
          <w:szCs w:val="24"/>
        </w:rPr>
        <w:t>GB3096-</w:t>
      </w:r>
    </w:p>
    <w:p>
      <w:pPr>
        <w:spacing w:before="1" w:line="219" w:lineRule="auto"/>
        <w:ind w:left="35"/>
        <w:rPr>
          <w:rFonts w:ascii="宋体" w:hAnsi="宋体" w:eastAsia="宋体" w:cs="宋体"/>
          <w:sz w:val="24"/>
          <w:szCs w:val="24"/>
        </w:rPr>
      </w:pPr>
      <w:r>
        <w:rPr>
          <w:rFonts w:ascii="Times New Roman" w:hAnsi="Times New Roman" w:eastAsia="Times New Roman" w:cs="Times New Roman"/>
          <w:spacing w:val="-7"/>
          <w:sz w:val="24"/>
          <w:szCs w:val="24"/>
        </w:rPr>
        <w:t>2008</w:t>
      </w:r>
      <w:r>
        <w:rPr>
          <w:rFonts w:ascii="宋体" w:hAnsi="宋体" w:eastAsia="宋体" w:cs="宋体"/>
          <w:spacing w:val="-7"/>
          <w:sz w:val="24"/>
          <w:szCs w:val="24"/>
        </w:rPr>
        <w:t xml:space="preserve">）中 </w:t>
      </w:r>
      <w:r>
        <w:rPr>
          <w:rFonts w:ascii="Times New Roman" w:hAnsi="Times New Roman" w:eastAsia="Times New Roman" w:cs="Times New Roman"/>
          <w:spacing w:val="-7"/>
          <w:sz w:val="24"/>
          <w:szCs w:val="24"/>
        </w:rPr>
        <w:t xml:space="preserve">1 </w:t>
      </w:r>
      <w:r>
        <w:rPr>
          <w:rFonts w:ascii="宋体" w:hAnsi="宋体" w:eastAsia="宋体" w:cs="宋体"/>
          <w:spacing w:val="-7"/>
          <w:sz w:val="24"/>
          <w:szCs w:val="24"/>
        </w:rPr>
        <w:t>类标准要求。</w:t>
      </w:r>
    </w:p>
    <w:p>
      <w:pPr>
        <w:spacing w:line="394" w:lineRule="auto"/>
        <w:rPr>
          <w:rFonts w:ascii="Arial"/>
          <w:sz w:val="21"/>
        </w:rPr>
      </w:pPr>
    </w:p>
    <w:p>
      <w:pPr>
        <w:pStyle w:val="2"/>
        <w:spacing w:before="78" w:line="233" w:lineRule="auto"/>
        <w:ind w:left="37"/>
        <w:outlineLvl w:val="3"/>
        <w:rPr>
          <w:sz w:val="24"/>
          <w:szCs w:val="24"/>
        </w:rPr>
      </w:pPr>
      <w:r>
        <w:rPr>
          <w:rFonts w:ascii="Times New Roman" w:hAnsi="Times New Roman" w:eastAsia="Times New Roman" w:cs="Times New Roman"/>
          <w:b/>
          <w:bCs/>
          <w:spacing w:val="-1"/>
          <w:sz w:val="24"/>
          <w:szCs w:val="24"/>
        </w:rPr>
        <w:t xml:space="preserve">9.4.4 </w:t>
      </w:r>
      <w:r>
        <w:rPr>
          <w:spacing w:val="-1"/>
          <w:sz w:val="24"/>
          <w:szCs w:val="24"/>
          <w14:textOutline w14:w="4354" w14:cap="flat" w14:cmpd="sng">
            <w14:solidFill>
              <w14:srgbClr w14:val="000000"/>
            </w14:solidFill>
            <w14:prstDash w14:val="solid"/>
            <w14:miter w14:val="0"/>
          </w14:textOutline>
        </w:rPr>
        <w:t>生态环境质量</w:t>
      </w:r>
    </w:p>
    <w:p>
      <w:pPr>
        <w:spacing w:before="165" w:line="359" w:lineRule="auto"/>
        <w:ind w:left="39" w:firstLine="486"/>
        <w:rPr>
          <w:rFonts w:ascii="Times New Roman" w:hAnsi="Times New Roman" w:eastAsia="Times New Roman" w:cs="Times New Roman"/>
          <w:sz w:val="24"/>
          <w:szCs w:val="24"/>
        </w:rPr>
      </w:pPr>
      <w:r>
        <w:rPr>
          <w:rFonts w:ascii="宋体" w:hAnsi="宋体" w:eastAsia="宋体" w:cs="宋体"/>
          <w:spacing w:val="-11"/>
          <w:sz w:val="24"/>
          <w:szCs w:val="24"/>
        </w:rPr>
        <w:t>（</w:t>
      </w:r>
      <w:r>
        <w:rPr>
          <w:rFonts w:ascii="Times New Roman" w:hAnsi="Times New Roman" w:eastAsia="Times New Roman" w:cs="Times New Roman"/>
          <w:spacing w:val="-11"/>
          <w:sz w:val="24"/>
          <w:szCs w:val="24"/>
        </w:rPr>
        <w:t>1</w:t>
      </w:r>
      <w:r>
        <w:rPr>
          <w:rFonts w:ascii="宋体" w:hAnsi="宋体" w:eastAsia="宋体" w:cs="宋体"/>
          <w:spacing w:val="-11"/>
          <w:sz w:val="24"/>
          <w:szCs w:val="24"/>
        </w:rPr>
        <w:t>）根据《云南省植被区划》中的植被区划，</w:t>
      </w:r>
      <w:r>
        <w:rPr>
          <w:rFonts w:ascii="宋体" w:hAnsi="宋体" w:eastAsia="宋体" w:cs="宋体"/>
          <w:spacing w:val="42"/>
          <w:sz w:val="24"/>
          <w:szCs w:val="24"/>
        </w:rPr>
        <w:t xml:space="preserve"> </w:t>
      </w:r>
      <w:r>
        <w:rPr>
          <w:rFonts w:ascii="宋体" w:hAnsi="宋体" w:eastAsia="宋体" w:cs="宋体"/>
          <w:spacing w:val="-11"/>
          <w:sz w:val="24"/>
          <w:szCs w:val="24"/>
        </w:rPr>
        <w:t>评</w:t>
      </w:r>
      <w:r>
        <w:rPr>
          <w:rFonts w:ascii="宋体" w:hAnsi="宋体" w:eastAsia="宋体" w:cs="宋体"/>
          <w:spacing w:val="-12"/>
          <w:sz w:val="24"/>
          <w:szCs w:val="24"/>
        </w:rPr>
        <w:t>价区在云南植被区划中，</w:t>
      </w:r>
      <w:r>
        <w:rPr>
          <w:rFonts w:ascii="宋体" w:hAnsi="宋体" w:eastAsia="宋体" w:cs="宋体"/>
          <w:spacing w:val="45"/>
          <w:sz w:val="24"/>
          <w:szCs w:val="24"/>
        </w:rPr>
        <w:t xml:space="preserve"> </w:t>
      </w:r>
      <w:r>
        <w:rPr>
          <w:rFonts w:ascii="宋体" w:hAnsi="宋体" w:eastAsia="宋体" w:cs="宋体"/>
          <w:spacing w:val="-12"/>
          <w:sz w:val="24"/>
          <w:szCs w:val="24"/>
        </w:rPr>
        <w:t>属于亚热带</w:t>
      </w:r>
      <w:r>
        <w:rPr>
          <w:rFonts w:ascii="宋体" w:hAnsi="宋体" w:eastAsia="宋体" w:cs="宋体"/>
          <w:sz w:val="24"/>
          <w:szCs w:val="24"/>
        </w:rPr>
        <w:t xml:space="preserve"> 常绿阔叶林区域，西部（半湿润）常绿阔叶林亚区域，高原亚热带北部常绿阔叶林地带，</w:t>
      </w:r>
      <w:r>
        <w:rPr>
          <w:rFonts w:ascii="宋体" w:hAnsi="宋体" w:eastAsia="宋体" w:cs="宋体"/>
          <w:spacing w:val="11"/>
          <w:sz w:val="24"/>
          <w:szCs w:val="24"/>
        </w:rPr>
        <w:t xml:space="preserve"> </w:t>
      </w:r>
      <w:r>
        <w:rPr>
          <w:rFonts w:ascii="宋体" w:hAnsi="宋体" w:eastAsia="宋体" w:cs="宋体"/>
          <w:spacing w:val="-3"/>
          <w:sz w:val="24"/>
          <w:szCs w:val="24"/>
        </w:rPr>
        <w:t>滇中、滇东高原半湿润常绿阔叶林、 云南松林区，滇中、北中山峡谷云南松林、高山栎类</w:t>
      </w:r>
      <w:r>
        <w:rPr>
          <w:rFonts w:ascii="宋体" w:hAnsi="宋体" w:eastAsia="宋体" w:cs="宋体"/>
          <w:spacing w:val="18"/>
          <w:sz w:val="24"/>
          <w:szCs w:val="24"/>
        </w:rPr>
        <w:t xml:space="preserve"> </w:t>
      </w:r>
      <w:r>
        <w:rPr>
          <w:rFonts w:ascii="宋体" w:hAnsi="宋体" w:eastAsia="宋体" w:cs="宋体"/>
          <w:spacing w:val="-1"/>
          <w:sz w:val="24"/>
          <w:szCs w:val="24"/>
        </w:rPr>
        <w:t>林亚区(Ⅱ</w:t>
      </w:r>
      <w:r>
        <w:rPr>
          <w:rFonts w:ascii="Times New Roman" w:hAnsi="Times New Roman" w:eastAsia="Times New Roman" w:cs="Times New Roman"/>
          <w:spacing w:val="-1"/>
          <w:sz w:val="24"/>
          <w:szCs w:val="24"/>
        </w:rPr>
        <w:t>Aii-</w:t>
      </w:r>
      <w:r>
        <w:rPr>
          <w:rFonts w:ascii="Times New Roman" w:hAnsi="Times New Roman" w:eastAsia="Times New Roman" w:cs="Times New Roman"/>
          <w:spacing w:val="-26"/>
          <w:sz w:val="24"/>
          <w:szCs w:val="24"/>
        </w:rPr>
        <w:t xml:space="preserve"> </w:t>
      </w:r>
      <w:r>
        <w:rPr>
          <w:rFonts w:ascii="Times New Roman" w:hAnsi="Times New Roman" w:eastAsia="Times New Roman" w:cs="Times New Roman"/>
          <w:spacing w:val="-1"/>
          <w:sz w:val="24"/>
          <w:szCs w:val="24"/>
        </w:rPr>
        <w:t>1b</w:t>
      </w:r>
      <w:r>
        <w:rPr>
          <w:rFonts w:ascii="宋体" w:hAnsi="宋体" w:eastAsia="宋体" w:cs="宋体"/>
          <w:spacing w:val="-1"/>
          <w:sz w:val="24"/>
          <w:szCs w:val="24"/>
        </w:rPr>
        <w:t>）。评价区的自然植被类型有半湿润常绿阔叶林、干热河谷硬叶常绿栎类</w:t>
      </w:r>
      <w:r>
        <w:rPr>
          <w:rFonts w:ascii="宋体" w:hAnsi="宋体" w:eastAsia="宋体" w:cs="宋体"/>
          <w:sz w:val="24"/>
          <w:szCs w:val="24"/>
        </w:rPr>
        <w:t xml:space="preserve"> 林、落叶阔叶林、暖温性针叶林、干热性稀树灌木草丛、暖温性稀树灌木草丛、暖性石灰</w:t>
      </w:r>
      <w:r>
        <w:rPr>
          <w:rFonts w:ascii="宋体" w:hAnsi="宋体" w:eastAsia="宋体" w:cs="宋体"/>
          <w:spacing w:val="13"/>
          <w:sz w:val="24"/>
          <w:szCs w:val="24"/>
        </w:rPr>
        <w:t xml:space="preserve"> </w:t>
      </w:r>
      <w:r>
        <w:rPr>
          <w:rFonts w:ascii="宋体" w:hAnsi="宋体" w:eastAsia="宋体" w:cs="宋体"/>
          <w:spacing w:val="-1"/>
          <w:sz w:val="24"/>
          <w:szCs w:val="24"/>
        </w:rPr>
        <w:t>岩灌丛</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 xml:space="preserve">7 </w:t>
      </w:r>
      <w:r>
        <w:rPr>
          <w:rFonts w:ascii="宋体" w:hAnsi="宋体" w:eastAsia="宋体" w:cs="宋体"/>
          <w:spacing w:val="-1"/>
          <w:sz w:val="24"/>
          <w:szCs w:val="24"/>
        </w:rPr>
        <w:t>种植被亚型。评价区及附近地区共记录维管植物有</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 xml:space="preserve">32 </w:t>
      </w:r>
      <w:r>
        <w:rPr>
          <w:rFonts w:ascii="宋体" w:hAnsi="宋体" w:eastAsia="宋体" w:cs="宋体"/>
          <w:spacing w:val="-2"/>
          <w:sz w:val="24"/>
          <w:szCs w:val="24"/>
        </w:rPr>
        <w:t>科</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358</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属</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499 </w:t>
      </w:r>
      <w:r>
        <w:rPr>
          <w:rFonts w:ascii="宋体" w:hAnsi="宋体" w:eastAsia="宋体" w:cs="宋体"/>
          <w:spacing w:val="-2"/>
          <w:sz w:val="24"/>
          <w:szCs w:val="24"/>
        </w:rPr>
        <w:t>种。蕨类植</w:t>
      </w:r>
      <w:r>
        <w:rPr>
          <w:rFonts w:ascii="宋体" w:hAnsi="宋体" w:eastAsia="宋体" w:cs="宋体"/>
          <w:sz w:val="24"/>
          <w:szCs w:val="24"/>
        </w:rPr>
        <w:t xml:space="preserve"> </w:t>
      </w:r>
      <w:r>
        <w:rPr>
          <w:rFonts w:ascii="宋体" w:hAnsi="宋体" w:eastAsia="宋体" w:cs="宋体"/>
          <w:spacing w:val="-4"/>
          <w:sz w:val="24"/>
          <w:szCs w:val="24"/>
        </w:rPr>
        <w:t>物共</w:t>
      </w:r>
      <w:r>
        <w:rPr>
          <w:rFonts w:ascii="宋体" w:hAnsi="宋体" w:eastAsia="宋体" w:cs="宋体"/>
          <w:spacing w:val="-53"/>
          <w:sz w:val="24"/>
          <w:szCs w:val="24"/>
        </w:rPr>
        <w:t xml:space="preserve"> </w:t>
      </w:r>
      <w:r>
        <w:rPr>
          <w:rFonts w:ascii="Times New Roman" w:hAnsi="Times New Roman" w:eastAsia="Times New Roman" w:cs="Times New Roman"/>
          <w:spacing w:val="-4"/>
          <w:sz w:val="24"/>
          <w:szCs w:val="24"/>
        </w:rPr>
        <w:t xml:space="preserve">20 </w:t>
      </w:r>
      <w:r>
        <w:rPr>
          <w:rFonts w:ascii="宋体" w:hAnsi="宋体" w:eastAsia="宋体" w:cs="宋体"/>
          <w:spacing w:val="-4"/>
          <w:sz w:val="24"/>
          <w:szCs w:val="24"/>
        </w:rPr>
        <w:t>科</w:t>
      </w:r>
      <w:r>
        <w:rPr>
          <w:rFonts w:ascii="宋体" w:hAnsi="宋体" w:eastAsia="宋体" w:cs="宋体"/>
          <w:spacing w:val="-53"/>
          <w:sz w:val="24"/>
          <w:szCs w:val="24"/>
        </w:rPr>
        <w:t xml:space="preserve"> </w:t>
      </w:r>
      <w:r>
        <w:rPr>
          <w:rFonts w:ascii="Times New Roman" w:hAnsi="Times New Roman" w:eastAsia="Times New Roman" w:cs="Times New Roman"/>
          <w:spacing w:val="-4"/>
          <w:sz w:val="24"/>
          <w:szCs w:val="24"/>
        </w:rPr>
        <w:t>23</w:t>
      </w:r>
      <w:r>
        <w:rPr>
          <w:rFonts w:ascii="Times New Roman" w:hAnsi="Times New Roman" w:eastAsia="Times New Roman" w:cs="Times New Roman"/>
          <w:spacing w:val="13"/>
          <w:sz w:val="24"/>
          <w:szCs w:val="24"/>
        </w:rPr>
        <w:t xml:space="preserve"> </w:t>
      </w:r>
      <w:r>
        <w:rPr>
          <w:rFonts w:ascii="宋体" w:hAnsi="宋体" w:eastAsia="宋体" w:cs="宋体"/>
          <w:spacing w:val="-4"/>
          <w:sz w:val="24"/>
          <w:szCs w:val="24"/>
        </w:rPr>
        <w:t>属</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 xml:space="preserve">40 </w:t>
      </w:r>
      <w:r>
        <w:rPr>
          <w:rFonts w:ascii="宋体" w:hAnsi="宋体" w:eastAsia="宋体" w:cs="宋体"/>
          <w:spacing w:val="-4"/>
          <w:sz w:val="24"/>
          <w:szCs w:val="24"/>
        </w:rPr>
        <w:t xml:space="preserve">种、种子植物共 </w:t>
      </w:r>
      <w:r>
        <w:rPr>
          <w:rFonts w:ascii="Times New Roman" w:hAnsi="Times New Roman" w:eastAsia="Times New Roman" w:cs="Times New Roman"/>
          <w:spacing w:val="-4"/>
          <w:sz w:val="24"/>
          <w:szCs w:val="24"/>
        </w:rPr>
        <w:t xml:space="preserve">112 </w:t>
      </w:r>
      <w:r>
        <w:rPr>
          <w:rFonts w:ascii="宋体" w:hAnsi="宋体" w:eastAsia="宋体" w:cs="宋体"/>
          <w:spacing w:val="-4"/>
          <w:sz w:val="24"/>
          <w:szCs w:val="24"/>
        </w:rPr>
        <w:t>科</w:t>
      </w:r>
      <w:r>
        <w:rPr>
          <w:rFonts w:ascii="宋体" w:hAnsi="宋体" w:eastAsia="宋体" w:cs="宋体"/>
          <w:spacing w:val="-47"/>
          <w:sz w:val="24"/>
          <w:szCs w:val="24"/>
        </w:rPr>
        <w:t xml:space="preserve"> </w:t>
      </w:r>
      <w:r>
        <w:rPr>
          <w:rFonts w:ascii="Times New Roman" w:hAnsi="Times New Roman" w:eastAsia="Times New Roman" w:cs="Times New Roman"/>
          <w:spacing w:val="-5"/>
          <w:sz w:val="24"/>
          <w:szCs w:val="24"/>
        </w:rPr>
        <w:t>335</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属</w:t>
      </w:r>
      <w:r>
        <w:rPr>
          <w:rFonts w:ascii="宋体" w:hAnsi="宋体" w:eastAsia="宋体" w:cs="宋体"/>
          <w:spacing w:val="-53"/>
          <w:sz w:val="24"/>
          <w:szCs w:val="24"/>
        </w:rPr>
        <w:t xml:space="preserve"> </w:t>
      </w:r>
      <w:r>
        <w:rPr>
          <w:rFonts w:ascii="Times New Roman" w:hAnsi="Times New Roman" w:eastAsia="Times New Roman" w:cs="Times New Roman"/>
          <w:spacing w:val="-5"/>
          <w:sz w:val="24"/>
          <w:szCs w:val="24"/>
        </w:rPr>
        <w:t xml:space="preserve">459 </w:t>
      </w:r>
      <w:r>
        <w:rPr>
          <w:rFonts w:ascii="宋体" w:hAnsi="宋体" w:eastAsia="宋体" w:cs="宋体"/>
          <w:spacing w:val="-5"/>
          <w:sz w:val="24"/>
          <w:szCs w:val="24"/>
        </w:rPr>
        <w:t>种。其中，裸子植物</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科</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5</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属</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7</w:t>
      </w:r>
      <w:r>
        <w:rPr>
          <w:rFonts w:ascii="Times New Roman" w:hAnsi="Times New Roman" w:eastAsia="Times New Roman" w:cs="Times New Roman"/>
          <w:spacing w:val="12"/>
          <w:sz w:val="24"/>
          <w:szCs w:val="24"/>
        </w:rPr>
        <w:t xml:space="preserve"> </w:t>
      </w:r>
      <w:r>
        <w:rPr>
          <w:rFonts w:ascii="宋体" w:hAnsi="宋体" w:eastAsia="宋体" w:cs="宋体"/>
          <w:spacing w:val="-5"/>
          <w:sz w:val="24"/>
          <w:szCs w:val="24"/>
        </w:rPr>
        <w:t>种；</w:t>
      </w:r>
      <w:r>
        <w:rPr>
          <w:rFonts w:ascii="宋体" w:hAnsi="宋体" w:eastAsia="宋体" w:cs="宋体"/>
          <w:sz w:val="24"/>
          <w:szCs w:val="24"/>
        </w:rPr>
        <w:t xml:space="preserve"> </w:t>
      </w:r>
      <w:r>
        <w:rPr>
          <w:rFonts w:ascii="宋体" w:hAnsi="宋体" w:eastAsia="宋体" w:cs="宋体"/>
          <w:spacing w:val="-4"/>
          <w:sz w:val="24"/>
          <w:szCs w:val="24"/>
        </w:rPr>
        <w:t>被子植物</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109</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科</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330</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属</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452</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种，包含单子叶植物</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17</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科</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64</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属</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82</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种、双子叶</w:t>
      </w:r>
      <w:r>
        <w:rPr>
          <w:rFonts w:ascii="宋体" w:hAnsi="宋体" w:eastAsia="宋体" w:cs="宋体"/>
          <w:spacing w:val="-5"/>
          <w:sz w:val="24"/>
          <w:szCs w:val="24"/>
        </w:rPr>
        <w:t>植物</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92</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科</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266</w:t>
      </w:r>
    </w:p>
    <w:p>
      <w:pPr>
        <w:spacing w:line="218" w:lineRule="auto"/>
        <w:ind w:left="41"/>
        <w:rPr>
          <w:rFonts w:ascii="Times New Roman" w:hAnsi="Times New Roman" w:eastAsia="Times New Roman" w:cs="Times New Roman"/>
          <w:sz w:val="24"/>
          <w:szCs w:val="24"/>
        </w:rPr>
      </w:pPr>
      <w:r>
        <w:rPr>
          <w:rFonts w:ascii="宋体" w:hAnsi="宋体" w:eastAsia="宋体" w:cs="宋体"/>
          <w:spacing w:val="-5"/>
          <w:sz w:val="24"/>
          <w:szCs w:val="24"/>
        </w:rPr>
        <w:t>属</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 xml:space="preserve">370 </w:t>
      </w:r>
      <w:r>
        <w:rPr>
          <w:rFonts w:ascii="宋体" w:hAnsi="宋体" w:eastAsia="宋体" w:cs="宋体"/>
          <w:spacing w:val="-5"/>
          <w:sz w:val="24"/>
          <w:szCs w:val="24"/>
        </w:rPr>
        <w:t>种。根据《国家重点保护野生植物名录》（国家林业和草原局</w:t>
      </w:r>
      <w:r>
        <w:rPr>
          <w:rFonts w:ascii="宋体" w:hAnsi="宋体" w:eastAsia="宋体" w:cs="宋体"/>
          <w:spacing w:val="31"/>
          <w:sz w:val="24"/>
          <w:szCs w:val="24"/>
        </w:rPr>
        <w:t xml:space="preserve"> </w:t>
      </w:r>
      <w:r>
        <w:rPr>
          <w:rFonts w:ascii="宋体" w:hAnsi="宋体" w:eastAsia="宋体" w:cs="宋体"/>
          <w:spacing w:val="-5"/>
          <w:sz w:val="24"/>
          <w:szCs w:val="24"/>
        </w:rPr>
        <w:t>农业农村部公告</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2021</w:t>
      </w:r>
    </w:p>
    <w:p>
      <w:pPr>
        <w:spacing w:line="218" w:lineRule="auto"/>
        <w:rPr>
          <w:rFonts w:ascii="Times New Roman" w:hAnsi="Times New Roman" w:eastAsia="Times New Roman" w:cs="Times New Roman"/>
          <w:sz w:val="24"/>
          <w:szCs w:val="24"/>
        </w:rPr>
        <w:sectPr>
          <w:headerReference r:id="rId485" w:type="default"/>
          <w:footerReference r:id="rId486" w:type="default"/>
          <w:pgSz w:w="11910" w:h="16840"/>
          <w:pgMar w:top="1183" w:right="1195" w:bottom="1582" w:left="1230" w:header="908" w:footer="1419" w:gutter="0"/>
        </w:sectPr>
      </w:pPr>
    </w:p>
    <w:p>
      <w:pPr>
        <w:spacing w:before="37" w:line="467" w:lineRule="exact"/>
        <w:ind w:left="40"/>
        <w:rPr>
          <w:rFonts w:ascii="宋体" w:hAnsi="宋体" w:eastAsia="宋体" w:cs="宋体"/>
          <w:sz w:val="24"/>
          <w:szCs w:val="24"/>
        </w:rPr>
      </w:pPr>
      <w:r>
        <w:rPr>
          <w:rFonts w:ascii="宋体" w:hAnsi="宋体" w:eastAsia="宋体" w:cs="宋体"/>
          <w:spacing w:val="-3"/>
          <w:position w:val="17"/>
          <w:sz w:val="24"/>
          <w:szCs w:val="24"/>
        </w:rPr>
        <w:t xml:space="preserve">年第 </w:t>
      </w:r>
      <w:r>
        <w:rPr>
          <w:rFonts w:ascii="Times New Roman" w:hAnsi="Times New Roman" w:eastAsia="Times New Roman" w:cs="Times New Roman"/>
          <w:spacing w:val="-3"/>
          <w:position w:val="17"/>
          <w:sz w:val="24"/>
          <w:szCs w:val="24"/>
        </w:rPr>
        <w:t>15</w:t>
      </w:r>
      <w:r>
        <w:rPr>
          <w:rFonts w:ascii="Times New Roman" w:hAnsi="Times New Roman" w:eastAsia="Times New Roman" w:cs="Times New Roman"/>
          <w:spacing w:val="32"/>
          <w:w w:val="101"/>
          <w:position w:val="17"/>
          <w:sz w:val="24"/>
          <w:szCs w:val="24"/>
        </w:rPr>
        <w:t xml:space="preserve"> </w:t>
      </w:r>
      <w:r>
        <w:rPr>
          <w:rFonts w:ascii="宋体" w:hAnsi="宋体" w:eastAsia="宋体" w:cs="宋体"/>
          <w:spacing w:val="-3"/>
          <w:position w:val="17"/>
          <w:sz w:val="24"/>
          <w:szCs w:val="24"/>
        </w:rPr>
        <w:t>号</w:t>
      </w:r>
      <w:r>
        <w:rPr>
          <w:rFonts w:ascii="宋体" w:hAnsi="宋体" w:eastAsia="宋体" w:cs="宋体"/>
          <w:spacing w:val="-34"/>
          <w:w w:val="53"/>
          <w:position w:val="17"/>
          <w:sz w:val="24"/>
          <w:szCs w:val="24"/>
        </w:rPr>
        <w:t>），</w:t>
      </w:r>
      <w:r>
        <w:rPr>
          <w:rFonts w:ascii="宋体" w:hAnsi="宋体" w:eastAsia="宋体" w:cs="宋体"/>
          <w:spacing w:val="-3"/>
          <w:position w:val="17"/>
          <w:sz w:val="24"/>
          <w:szCs w:val="24"/>
        </w:rPr>
        <w:t>《云南省第一批省级重点保护</w:t>
      </w:r>
      <w:r>
        <w:rPr>
          <w:rFonts w:ascii="宋体" w:hAnsi="宋体" w:eastAsia="宋体" w:cs="宋体"/>
          <w:spacing w:val="-4"/>
          <w:position w:val="17"/>
          <w:sz w:val="24"/>
          <w:szCs w:val="24"/>
        </w:rPr>
        <w:t>野生植物名录》（</w:t>
      </w:r>
      <w:r>
        <w:rPr>
          <w:rFonts w:ascii="Times New Roman" w:hAnsi="Times New Roman" w:eastAsia="Times New Roman" w:cs="Times New Roman"/>
          <w:spacing w:val="-4"/>
          <w:position w:val="17"/>
          <w:sz w:val="24"/>
          <w:szCs w:val="24"/>
        </w:rPr>
        <w:t>1989</w:t>
      </w:r>
      <w:r>
        <w:rPr>
          <w:rFonts w:ascii="宋体" w:hAnsi="宋体" w:eastAsia="宋体" w:cs="宋体"/>
          <w:spacing w:val="-4"/>
          <w:position w:val="17"/>
          <w:sz w:val="24"/>
          <w:szCs w:val="24"/>
        </w:rPr>
        <w:t>）等资料，调查期间评价</w:t>
      </w:r>
    </w:p>
    <w:p>
      <w:pPr>
        <w:spacing w:line="219" w:lineRule="auto"/>
        <w:ind w:left="57"/>
        <w:rPr>
          <w:rFonts w:ascii="宋体" w:hAnsi="宋体" w:eastAsia="宋体" w:cs="宋体"/>
          <w:sz w:val="24"/>
          <w:szCs w:val="24"/>
        </w:rPr>
      </w:pPr>
      <w:r>
        <w:rPr>
          <w:rFonts w:ascii="宋体" w:hAnsi="宋体" w:eastAsia="宋体" w:cs="宋体"/>
          <w:spacing w:val="-2"/>
          <w:sz w:val="24"/>
          <w:szCs w:val="24"/>
        </w:rPr>
        <w:t>区没有发现国家级和省级保护野生植物。</w:t>
      </w:r>
    </w:p>
    <w:p>
      <w:pPr>
        <w:spacing w:before="183" w:line="359" w:lineRule="auto"/>
        <w:ind w:left="23" w:right="28" w:firstLine="502"/>
        <w:jc w:val="both"/>
        <w:rPr>
          <w:rFonts w:ascii="宋体" w:hAnsi="宋体" w:eastAsia="宋体" w:cs="宋体"/>
          <w:sz w:val="24"/>
          <w:szCs w:val="24"/>
        </w:rPr>
      </w:pPr>
      <w:r>
        <w:rPr>
          <w:rFonts w:ascii="宋体" w:hAnsi="宋体" w:eastAsia="宋体" w:cs="宋体"/>
          <w:spacing w:val="-8"/>
          <w:sz w:val="24"/>
          <w:szCs w:val="24"/>
        </w:rPr>
        <w:t>（</w:t>
      </w:r>
      <w:r>
        <w:rPr>
          <w:rFonts w:ascii="Times New Roman" w:hAnsi="Times New Roman" w:eastAsia="Times New Roman" w:cs="Times New Roman"/>
          <w:spacing w:val="-8"/>
          <w:sz w:val="24"/>
          <w:szCs w:val="24"/>
        </w:rPr>
        <w:t>2</w:t>
      </w:r>
      <w:r>
        <w:rPr>
          <w:rFonts w:ascii="宋体" w:hAnsi="宋体" w:eastAsia="宋体" w:cs="宋体"/>
          <w:spacing w:val="-8"/>
          <w:sz w:val="24"/>
          <w:szCs w:val="24"/>
        </w:rPr>
        <w:t>）评价区及附近地区分布有陆栖脊椎动物</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24</w:t>
      </w:r>
      <w:r>
        <w:rPr>
          <w:rFonts w:ascii="Times New Roman" w:hAnsi="Times New Roman" w:eastAsia="Times New Roman" w:cs="Times New Roman"/>
          <w:spacing w:val="-9"/>
          <w:sz w:val="24"/>
          <w:szCs w:val="24"/>
        </w:rPr>
        <w:t xml:space="preserve">  </w:t>
      </w:r>
      <w:r>
        <w:rPr>
          <w:rFonts w:ascii="宋体" w:hAnsi="宋体" w:eastAsia="宋体" w:cs="宋体"/>
          <w:spacing w:val="-9"/>
          <w:sz w:val="24"/>
          <w:szCs w:val="24"/>
        </w:rPr>
        <w:t>目</w:t>
      </w:r>
      <w:r>
        <w:rPr>
          <w:rFonts w:ascii="宋体" w:hAnsi="宋体" w:eastAsia="宋体" w:cs="宋体"/>
          <w:spacing w:val="-51"/>
          <w:sz w:val="24"/>
          <w:szCs w:val="24"/>
        </w:rPr>
        <w:t xml:space="preserve"> </w:t>
      </w:r>
      <w:r>
        <w:rPr>
          <w:rFonts w:ascii="Times New Roman" w:hAnsi="Times New Roman" w:eastAsia="Times New Roman" w:cs="Times New Roman"/>
          <w:spacing w:val="-9"/>
          <w:sz w:val="24"/>
          <w:szCs w:val="24"/>
        </w:rPr>
        <w:t xml:space="preserve">70 </w:t>
      </w:r>
      <w:r>
        <w:rPr>
          <w:rFonts w:ascii="宋体" w:hAnsi="宋体" w:eastAsia="宋体" w:cs="宋体"/>
          <w:spacing w:val="-9"/>
          <w:sz w:val="24"/>
          <w:szCs w:val="24"/>
        </w:rPr>
        <w:t>科</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131 </w:t>
      </w:r>
      <w:r>
        <w:rPr>
          <w:rFonts w:ascii="宋体" w:hAnsi="宋体" w:eastAsia="宋体" w:cs="宋体"/>
          <w:spacing w:val="-9"/>
          <w:sz w:val="24"/>
          <w:szCs w:val="24"/>
        </w:rPr>
        <w:t>属</w:t>
      </w:r>
      <w:r>
        <w:rPr>
          <w:rFonts w:ascii="宋体" w:hAnsi="宋体" w:eastAsia="宋体" w:cs="宋体"/>
          <w:spacing w:val="-32"/>
          <w:sz w:val="24"/>
          <w:szCs w:val="24"/>
        </w:rPr>
        <w:t xml:space="preserve"> </w:t>
      </w:r>
      <w:r>
        <w:rPr>
          <w:rFonts w:ascii="Times New Roman" w:hAnsi="Times New Roman" w:eastAsia="Times New Roman" w:cs="Times New Roman"/>
          <w:spacing w:val="-9"/>
          <w:sz w:val="24"/>
          <w:szCs w:val="24"/>
        </w:rPr>
        <w:t xml:space="preserve">170 </w:t>
      </w:r>
      <w:r>
        <w:rPr>
          <w:rFonts w:ascii="宋体" w:hAnsi="宋体" w:eastAsia="宋体" w:cs="宋体"/>
          <w:spacing w:val="-9"/>
          <w:sz w:val="24"/>
          <w:szCs w:val="24"/>
        </w:rPr>
        <w:t>种，</w:t>
      </w:r>
      <w:r>
        <w:rPr>
          <w:rFonts w:ascii="宋体" w:hAnsi="宋体" w:eastAsia="宋体" w:cs="宋体"/>
          <w:spacing w:val="-58"/>
          <w:sz w:val="24"/>
          <w:szCs w:val="24"/>
        </w:rPr>
        <w:t xml:space="preserve"> </w:t>
      </w:r>
      <w:r>
        <w:rPr>
          <w:rFonts w:ascii="宋体" w:hAnsi="宋体" w:eastAsia="宋体" w:cs="宋体"/>
          <w:spacing w:val="-9"/>
          <w:sz w:val="24"/>
          <w:szCs w:val="24"/>
        </w:rPr>
        <w:t>其中：</w:t>
      </w:r>
      <w:r>
        <w:rPr>
          <w:rFonts w:ascii="宋体" w:hAnsi="宋体" w:eastAsia="宋体" w:cs="宋体"/>
          <w:spacing w:val="-27"/>
          <w:sz w:val="24"/>
          <w:szCs w:val="24"/>
        </w:rPr>
        <w:t xml:space="preserve"> </w:t>
      </w:r>
      <w:r>
        <w:rPr>
          <w:rFonts w:ascii="宋体" w:hAnsi="宋体" w:eastAsia="宋体" w:cs="宋体"/>
          <w:spacing w:val="-9"/>
          <w:sz w:val="24"/>
          <w:szCs w:val="24"/>
        </w:rPr>
        <w:t>两栖类</w:t>
      </w:r>
      <w:r>
        <w:rPr>
          <w:rFonts w:ascii="宋体" w:hAnsi="宋体" w:eastAsia="宋体" w:cs="宋体"/>
          <w:sz w:val="24"/>
          <w:szCs w:val="24"/>
        </w:rPr>
        <w:t xml:space="preserve"> </w:t>
      </w:r>
      <w:r>
        <w:rPr>
          <w:rFonts w:ascii="Times New Roman" w:hAnsi="Times New Roman" w:eastAsia="Times New Roman" w:cs="Times New Roman"/>
          <w:spacing w:val="-15"/>
          <w:sz w:val="24"/>
          <w:szCs w:val="24"/>
        </w:rPr>
        <w:t xml:space="preserve">1  </w:t>
      </w:r>
      <w:r>
        <w:rPr>
          <w:rFonts w:ascii="宋体" w:hAnsi="宋体" w:eastAsia="宋体" w:cs="宋体"/>
          <w:spacing w:val="-15"/>
          <w:sz w:val="24"/>
          <w:szCs w:val="24"/>
        </w:rPr>
        <w:t>目</w:t>
      </w:r>
      <w:r>
        <w:rPr>
          <w:rFonts w:ascii="宋体" w:hAnsi="宋体" w:eastAsia="宋体" w:cs="宋体"/>
          <w:spacing w:val="-51"/>
          <w:sz w:val="24"/>
          <w:szCs w:val="24"/>
        </w:rPr>
        <w:t xml:space="preserve"> </w:t>
      </w:r>
      <w:r>
        <w:rPr>
          <w:rFonts w:ascii="Times New Roman" w:hAnsi="Times New Roman" w:eastAsia="Times New Roman" w:cs="Times New Roman"/>
          <w:spacing w:val="-15"/>
          <w:sz w:val="24"/>
          <w:szCs w:val="24"/>
        </w:rPr>
        <w:t>7</w:t>
      </w:r>
      <w:r>
        <w:rPr>
          <w:rFonts w:ascii="Times New Roman" w:hAnsi="Times New Roman" w:eastAsia="Times New Roman" w:cs="Times New Roman"/>
          <w:spacing w:val="9"/>
          <w:sz w:val="24"/>
          <w:szCs w:val="24"/>
        </w:rPr>
        <w:t xml:space="preserve"> </w:t>
      </w:r>
      <w:r>
        <w:rPr>
          <w:rFonts w:ascii="宋体" w:hAnsi="宋体" w:eastAsia="宋体" w:cs="宋体"/>
          <w:spacing w:val="-15"/>
          <w:sz w:val="24"/>
          <w:szCs w:val="24"/>
        </w:rPr>
        <w:t>科</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13</w:t>
      </w:r>
      <w:r>
        <w:rPr>
          <w:rFonts w:ascii="Times New Roman" w:hAnsi="Times New Roman" w:eastAsia="Times New Roman" w:cs="Times New Roman"/>
          <w:spacing w:val="12"/>
          <w:sz w:val="24"/>
          <w:szCs w:val="24"/>
        </w:rPr>
        <w:t xml:space="preserve"> </w:t>
      </w:r>
      <w:r>
        <w:rPr>
          <w:rFonts w:ascii="宋体" w:hAnsi="宋体" w:eastAsia="宋体" w:cs="宋体"/>
          <w:spacing w:val="-15"/>
          <w:sz w:val="24"/>
          <w:szCs w:val="24"/>
        </w:rPr>
        <w:t>属</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17</w:t>
      </w:r>
      <w:r>
        <w:rPr>
          <w:rFonts w:ascii="Times New Roman" w:hAnsi="Times New Roman" w:eastAsia="Times New Roman" w:cs="Times New Roman"/>
          <w:spacing w:val="9"/>
          <w:sz w:val="24"/>
          <w:szCs w:val="24"/>
        </w:rPr>
        <w:t xml:space="preserve"> </w:t>
      </w:r>
      <w:r>
        <w:rPr>
          <w:rFonts w:ascii="宋体" w:hAnsi="宋体" w:eastAsia="宋体" w:cs="宋体"/>
          <w:spacing w:val="-15"/>
          <w:sz w:val="24"/>
          <w:szCs w:val="24"/>
        </w:rPr>
        <w:t>种，</w:t>
      </w:r>
      <w:r>
        <w:rPr>
          <w:rFonts w:ascii="宋体" w:hAnsi="宋体" w:eastAsia="宋体" w:cs="宋体"/>
          <w:spacing w:val="-40"/>
          <w:sz w:val="24"/>
          <w:szCs w:val="24"/>
        </w:rPr>
        <w:t xml:space="preserve"> </w:t>
      </w:r>
      <w:r>
        <w:rPr>
          <w:rFonts w:ascii="宋体" w:hAnsi="宋体" w:eastAsia="宋体" w:cs="宋体"/>
          <w:spacing w:val="-15"/>
          <w:sz w:val="24"/>
          <w:szCs w:val="24"/>
        </w:rPr>
        <w:t>爬行类</w:t>
      </w:r>
      <w:r>
        <w:rPr>
          <w:rFonts w:ascii="宋体" w:hAnsi="宋体" w:eastAsia="宋体" w:cs="宋体"/>
          <w:spacing w:val="-32"/>
          <w:sz w:val="24"/>
          <w:szCs w:val="24"/>
        </w:rPr>
        <w:t xml:space="preserve"> </w:t>
      </w:r>
      <w:r>
        <w:rPr>
          <w:rFonts w:ascii="Times New Roman" w:hAnsi="Times New Roman" w:eastAsia="Times New Roman" w:cs="Times New Roman"/>
          <w:spacing w:val="-15"/>
          <w:sz w:val="24"/>
          <w:szCs w:val="24"/>
        </w:rPr>
        <w:t xml:space="preserve">1  </w:t>
      </w:r>
      <w:r>
        <w:rPr>
          <w:rFonts w:ascii="宋体" w:hAnsi="宋体" w:eastAsia="宋体" w:cs="宋体"/>
          <w:spacing w:val="-16"/>
          <w:sz w:val="24"/>
          <w:szCs w:val="24"/>
        </w:rPr>
        <w:t>目</w:t>
      </w:r>
      <w:r>
        <w:rPr>
          <w:rFonts w:ascii="宋体" w:hAnsi="宋体" w:eastAsia="宋体" w:cs="宋体"/>
          <w:spacing w:val="-49"/>
          <w:sz w:val="24"/>
          <w:szCs w:val="24"/>
        </w:rPr>
        <w:t xml:space="preserve"> </w:t>
      </w:r>
      <w:r>
        <w:rPr>
          <w:rFonts w:ascii="Times New Roman" w:hAnsi="Times New Roman" w:eastAsia="Times New Roman" w:cs="Times New Roman"/>
          <w:spacing w:val="-16"/>
          <w:sz w:val="24"/>
          <w:szCs w:val="24"/>
        </w:rPr>
        <w:t>6</w:t>
      </w:r>
      <w:r>
        <w:rPr>
          <w:rFonts w:ascii="Times New Roman" w:hAnsi="Times New Roman" w:eastAsia="Times New Roman" w:cs="Times New Roman"/>
          <w:spacing w:val="9"/>
          <w:sz w:val="24"/>
          <w:szCs w:val="24"/>
        </w:rPr>
        <w:t xml:space="preserve"> </w:t>
      </w:r>
      <w:r>
        <w:rPr>
          <w:rFonts w:ascii="宋体" w:hAnsi="宋体" w:eastAsia="宋体" w:cs="宋体"/>
          <w:spacing w:val="-16"/>
          <w:sz w:val="24"/>
          <w:szCs w:val="24"/>
        </w:rPr>
        <w:t>科</w:t>
      </w:r>
      <w:r>
        <w:rPr>
          <w:rFonts w:ascii="宋体" w:hAnsi="宋体" w:eastAsia="宋体" w:cs="宋体"/>
          <w:spacing w:val="-32"/>
          <w:sz w:val="24"/>
          <w:szCs w:val="24"/>
        </w:rPr>
        <w:t xml:space="preserve"> </w:t>
      </w:r>
      <w:r>
        <w:rPr>
          <w:rFonts w:ascii="Times New Roman" w:hAnsi="Times New Roman" w:eastAsia="Times New Roman" w:cs="Times New Roman"/>
          <w:spacing w:val="-16"/>
          <w:sz w:val="24"/>
          <w:szCs w:val="24"/>
        </w:rPr>
        <w:t>15</w:t>
      </w:r>
      <w:r>
        <w:rPr>
          <w:rFonts w:ascii="Times New Roman" w:hAnsi="Times New Roman" w:eastAsia="Times New Roman" w:cs="Times New Roman"/>
          <w:spacing w:val="11"/>
          <w:sz w:val="24"/>
          <w:szCs w:val="24"/>
        </w:rPr>
        <w:t xml:space="preserve"> </w:t>
      </w:r>
      <w:r>
        <w:rPr>
          <w:rFonts w:ascii="宋体" w:hAnsi="宋体" w:eastAsia="宋体" w:cs="宋体"/>
          <w:spacing w:val="-16"/>
          <w:sz w:val="24"/>
          <w:szCs w:val="24"/>
        </w:rPr>
        <w:t>属</w:t>
      </w:r>
      <w:r>
        <w:rPr>
          <w:rFonts w:ascii="宋体" w:hAnsi="宋体" w:eastAsia="宋体" w:cs="宋体"/>
          <w:spacing w:val="-32"/>
          <w:sz w:val="24"/>
          <w:szCs w:val="24"/>
        </w:rPr>
        <w:t xml:space="preserve"> </w:t>
      </w:r>
      <w:r>
        <w:rPr>
          <w:rFonts w:ascii="Times New Roman" w:hAnsi="Times New Roman" w:eastAsia="Times New Roman" w:cs="Times New Roman"/>
          <w:spacing w:val="-16"/>
          <w:sz w:val="24"/>
          <w:szCs w:val="24"/>
        </w:rPr>
        <w:t>18</w:t>
      </w:r>
      <w:r>
        <w:rPr>
          <w:rFonts w:ascii="Times New Roman" w:hAnsi="Times New Roman" w:eastAsia="Times New Roman" w:cs="Times New Roman"/>
          <w:spacing w:val="10"/>
          <w:sz w:val="24"/>
          <w:szCs w:val="24"/>
        </w:rPr>
        <w:t xml:space="preserve"> </w:t>
      </w:r>
      <w:r>
        <w:rPr>
          <w:rFonts w:ascii="宋体" w:hAnsi="宋体" w:eastAsia="宋体" w:cs="宋体"/>
          <w:spacing w:val="-16"/>
          <w:sz w:val="24"/>
          <w:szCs w:val="24"/>
        </w:rPr>
        <w:t>种，</w:t>
      </w:r>
      <w:r>
        <w:rPr>
          <w:rFonts w:ascii="宋体" w:hAnsi="宋体" w:eastAsia="宋体" w:cs="宋体"/>
          <w:spacing w:val="-35"/>
          <w:sz w:val="24"/>
          <w:szCs w:val="24"/>
        </w:rPr>
        <w:t xml:space="preserve"> </w:t>
      </w:r>
      <w:r>
        <w:rPr>
          <w:rFonts w:ascii="宋体" w:hAnsi="宋体" w:eastAsia="宋体" w:cs="宋体"/>
          <w:spacing w:val="-16"/>
          <w:sz w:val="24"/>
          <w:szCs w:val="24"/>
        </w:rPr>
        <w:t>鸟类</w:t>
      </w:r>
      <w:r>
        <w:rPr>
          <w:rFonts w:ascii="宋体" w:hAnsi="宋体" w:eastAsia="宋体" w:cs="宋体"/>
          <w:spacing w:val="-31"/>
          <w:sz w:val="24"/>
          <w:szCs w:val="24"/>
        </w:rPr>
        <w:t xml:space="preserve"> </w:t>
      </w:r>
      <w:r>
        <w:rPr>
          <w:rFonts w:ascii="Times New Roman" w:hAnsi="Times New Roman" w:eastAsia="Times New Roman" w:cs="Times New Roman"/>
          <w:spacing w:val="-16"/>
          <w:sz w:val="24"/>
          <w:szCs w:val="24"/>
        </w:rPr>
        <w:t xml:space="preserve">15  </w:t>
      </w:r>
      <w:r>
        <w:rPr>
          <w:rFonts w:ascii="宋体" w:hAnsi="宋体" w:eastAsia="宋体" w:cs="宋体"/>
          <w:spacing w:val="-16"/>
          <w:sz w:val="24"/>
          <w:szCs w:val="24"/>
        </w:rPr>
        <w:t>目</w:t>
      </w:r>
      <w:r>
        <w:rPr>
          <w:rFonts w:ascii="宋体" w:hAnsi="宋体" w:eastAsia="宋体" w:cs="宋体"/>
          <w:spacing w:val="-56"/>
          <w:sz w:val="24"/>
          <w:szCs w:val="24"/>
        </w:rPr>
        <w:t xml:space="preserve"> </w:t>
      </w:r>
      <w:r>
        <w:rPr>
          <w:rFonts w:ascii="Times New Roman" w:hAnsi="Times New Roman" w:eastAsia="Times New Roman" w:cs="Times New Roman"/>
          <w:spacing w:val="-16"/>
          <w:sz w:val="24"/>
          <w:szCs w:val="24"/>
        </w:rPr>
        <w:t>44</w:t>
      </w:r>
      <w:r>
        <w:rPr>
          <w:rFonts w:ascii="Times New Roman" w:hAnsi="Times New Roman" w:eastAsia="Times New Roman" w:cs="Times New Roman"/>
          <w:spacing w:val="9"/>
          <w:sz w:val="24"/>
          <w:szCs w:val="24"/>
        </w:rPr>
        <w:t xml:space="preserve"> </w:t>
      </w:r>
      <w:r>
        <w:rPr>
          <w:rFonts w:ascii="宋体" w:hAnsi="宋体" w:eastAsia="宋体" w:cs="宋体"/>
          <w:spacing w:val="-16"/>
          <w:sz w:val="24"/>
          <w:szCs w:val="24"/>
        </w:rPr>
        <w:t>科</w:t>
      </w:r>
      <w:r>
        <w:rPr>
          <w:rFonts w:ascii="宋体" w:hAnsi="宋体" w:eastAsia="宋体" w:cs="宋体"/>
          <w:spacing w:val="-45"/>
          <w:sz w:val="24"/>
          <w:szCs w:val="24"/>
        </w:rPr>
        <w:t xml:space="preserve"> </w:t>
      </w:r>
      <w:r>
        <w:rPr>
          <w:rFonts w:ascii="Times New Roman" w:hAnsi="Times New Roman" w:eastAsia="Times New Roman" w:cs="Times New Roman"/>
          <w:spacing w:val="-16"/>
          <w:sz w:val="24"/>
          <w:szCs w:val="24"/>
        </w:rPr>
        <w:t>80</w:t>
      </w:r>
      <w:r>
        <w:rPr>
          <w:rFonts w:ascii="Times New Roman" w:hAnsi="Times New Roman" w:eastAsia="Times New Roman" w:cs="Times New Roman"/>
          <w:spacing w:val="11"/>
          <w:sz w:val="24"/>
          <w:szCs w:val="24"/>
        </w:rPr>
        <w:t xml:space="preserve"> </w:t>
      </w:r>
      <w:r>
        <w:rPr>
          <w:rFonts w:ascii="宋体" w:hAnsi="宋体" w:eastAsia="宋体" w:cs="宋体"/>
          <w:spacing w:val="-16"/>
          <w:sz w:val="24"/>
          <w:szCs w:val="24"/>
        </w:rPr>
        <w:t>属</w:t>
      </w:r>
      <w:r>
        <w:rPr>
          <w:rFonts w:ascii="宋体" w:hAnsi="宋体" w:eastAsia="宋体" w:cs="宋体"/>
          <w:spacing w:val="-32"/>
          <w:sz w:val="24"/>
          <w:szCs w:val="24"/>
        </w:rPr>
        <w:t xml:space="preserve"> </w:t>
      </w:r>
      <w:r>
        <w:rPr>
          <w:rFonts w:ascii="Times New Roman" w:hAnsi="Times New Roman" w:eastAsia="Times New Roman" w:cs="Times New Roman"/>
          <w:spacing w:val="-16"/>
          <w:sz w:val="24"/>
          <w:szCs w:val="24"/>
        </w:rPr>
        <w:t>105</w:t>
      </w:r>
      <w:r>
        <w:rPr>
          <w:rFonts w:ascii="Times New Roman" w:hAnsi="Times New Roman" w:eastAsia="Times New Roman" w:cs="Times New Roman"/>
          <w:spacing w:val="9"/>
          <w:sz w:val="24"/>
          <w:szCs w:val="24"/>
        </w:rPr>
        <w:t xml:space="preserve"> </w:t>
      </w:r>
      <w:r>
        <w:rPr>
          <w:rFonts w:ascii="宋体" w:hAnsi="宋体" w:eastAsia="宋体" w:cs="宋体"/>
          <w:spacing w:val="-16"/>
          <w:sz w:val="24"/>
          <w:szCs w:val="24"/>
        </w:rPr>
        <w:t>种，</w:t>
      </w:r>
      <w:r>
        <w:rPr>
          <w:rFonts w:ascii="宋体" w:hAnsi="宋体" w:eastAsia="宋体" w:cs="宋体"/>
          <w:spacing w:val="-32"/>
          <w:sz w:val="24"/>
          <w:szCs w:val="24"/>
        </w:rPr>
        <w:t xml:space="preserve"> </w:t>
      </w:r>
      <w:r>
        <w:rPr>
          <w:rFonts w:ascii="宋体" w:hAnsi="宋体" w:eastAsia="宋体" w:cs="宋体"/>
          <w:spacing w:val="-16"/>
          <w:sz w:val="24"/>
          <w:szCs w:val="24"/>
        </w:rPr>
        <w:t>哺乳类</w:t>
      </w:r>
      <w:r>
        <w:rPr>
          <w:rFonts w:ascii="宋体" w:hAnsi="宋体" w:eastAsia="宋体" w:cs="宋体"/>
          <w:sz w:val="24"/>
          <w:szCs w:val="24"/>
        </w:rPr>
        <w:t xml:space="preserve"> </w:t>
      </w:r>
      <w:r>
        <w:rPr>
          <w:rFonts w:ascii="Times New Roman" w:hAnsi="Times New Roman" w:eastAsia="Times New Roman" w:cs="Times New Roman"/>
          <w:spacing w:val="-8"/>
          <w:sz w:val="24"/>
          <w:szCs w:val="24"/>
        </w:rPr>
        <w:t xml:space="preserve">7  </w:t>
      </w:r>
      <w:r>
        <w:rPr>
          <w:rFonts w:ascii="宋体" w:hAnsi="宋体" w:eastAsia="宋体" w:cs="宋体"/>
          <w:spacing w:val="-8"/>
          <w:sz w:val="24"/>
          <w:szCs w:val="24"/>
        </w:rPr>
        <w:t>目</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13 </w:t>
      </w:r>
      <w:r>
        <w:rPr>
          <w:rFonts w:ascii="宋体" w:hAnsi="宋体" w:eastAsia="宋体" w:cs="宋体"/>
          <w:spacing w:val="-8"/>
          <w:sz w:val="24"/>
          <w:szCs w:val="24"/>
        </w:rPr>
        <w:t>科</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23 </w:t>
      </w:r>
      <w:r>
        <w:rPr>
          <w:rFonts w:ascii="宋体" w:hAnsi="宋体" w:eastAsia="宋体" w:cs="宋体"/>
          <w:spacing w:val="-8"/>
          <w:sz w:val="24"/>
          <w:szCs w:val="24"/>
        </w:rPr>
        <w:t>属</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 xml:space="preserve">30 </w:t>
      </w:r>
      <w:r>
        <w:rPr>
          <w:rFonts w:ascii="宋体" w:hAnsi="宋体" w:eastAsia="宋体" w:cs="宋体"/>
          <w:spacing w:val="-8"/>
          <w:sz w:val="24"/>
          <w:szCs w:val="24"/>
        </w:rPr>
        <w:t>种。</w:t>
      </w:r>
      <w:r>
        <w:rPr>
          <w:rFonts w:ascii="宋体" w:hAnsi="宋体" w:eastAsia="宋体" w:cs="宋体"/>
          <w:spacing w:val="-49"/>
          <w:sz w:val="24"/>
          <w:szCs w:val="24"/>
        </w:rPr>
        <w:t xml:space="preserve"> </w:t>
      </w:r>
      <w:r>
        <w:rPr>
          <w:rFonts w:ascii="宋体" w:hAnsi="宋体" w:eastAsia="宋体" w:cs="宋体"/>
          <w:spacing w:val="-8"/>
          <w:sz w:val="24"/>
          <w:szCs w:val="24"/>
        </w:rPr>
        <w:t>评价区记</w:t>
      </w:r>
      <w:r>
        <w:rPr>
          <w:rFonts w:ascii="宋体" w:hAnsi="宋体" w:eastAsia="宋体" w:cs="宋体"/>
          <w:spacing w:val="-9"/>
          <w:sz w:val="24"/>
          <w:szCs w:val="24"/>
        </w:rPr>
        <w:t>录国家Ⅱ级重点保护动物</w:t>
      </w:r>
      <w:r>
        <w:rPr>
          <w:rFonts w:ascii="宋体" w:hAnsi="宋体" w:eastAsia="宋体" w:cs="宋体"/>
          <w:spacing w:val="-48"/>
          <w:sz w:val="24"/>
          <w:szCs w:val="24"/>
        </w:rPr>
        <w:t xml:space="preserve"> </w:t>
      </w:r>
      <w:r>
        <w:rPr>
          <w:rFonts w:ascii="Times New Roman" w:hAnsi="Times New Roman" w:eastAsia="Times New Roman" w:cs="Times New Roman"/>
          <w:spacing w:val="-9"/>
          <w:sz w:val="24"/>
          <w:szCs w:val="24"/>
        </w:rPr>
        <w:t xml:space="preserve">5 </w:t>
      </w:r>
      <w:r>
        <w:rPr>
          <w:rFonts w:ascii="宋体" w:hAnsi="宋体" w:eastAsia="宋体" w:cs="宋体"/>
          <w:spacing w:val="-9"/>
          <w:sz w:val="24"/>
          <w:szCs w:val="24"/>
        </w:rPr>
        <w:t>种，</w:t>
      </w:r>
      <w:r>
        <w:rPr>
          <w:rFonts w:ascii="宋体" w:hAnsi="宋体" w:eastAsia="宋体" w:cs="宋体"/>
          <w:spacing w:val="-38"/>
          <w:sz w:val="24"/>
          <w:szCs w:val="24"/>
        </w:rPr>
        <w:t xml:space="preserve"> </w:t>
      </w:r>
      <w:r>
        <w:rPr>
          <w:rFonts w:ascii="宋体" w:hAnsi="宋体" w:eastAsia="宋体" w:cs="宋体"/>
          <w:spacing w:val="-9"/>
          <w:sz w:val="24"/>
          <w:szCs w:val="24"/>
        </w:rPr>
        <w:t>均为鸟类， 分别为普通鵟</w:t>
      </w:r>
      <w:r>
        <w:rPr>
          <w:rFonts w:ascii="宋体" w:hAnsi="宋体" w:eastAsia="宋体" w:cs="宋体"/>
          <w:sz w:val="24"/>
          <w:szCs w:val="24"/>
        </w:rPr>
        <w:t xml:space="preserve"> </w:t>
      </w:r>
      <w:r>
        <w:rPr>
          <w:rFonts w:ascii="Times New Roman" w:hAnsi="Times New Roman" w:eastAsia="Times New Roman" w:cs="Times New Roman"/>
          <w:i/>
          <w:iCs/>
          <w:sz w:val="24"/>
          <w:szCs w:val="24"/>
        </w:rPr>
        <w:t>Buteo</w:t>
      </w:r>
      <w:r>
        <w:rPr>
          <w:rFonts w:ascii="Times New Roman" w:hAnsi="Times New Roman" w:eastAsia="Times New Roman" w:cs="Times New Roman"/>
          <w:i/>
          <w:iCs/>
          <w:spacing w:val="18"/>
          <w:w w:val="101"/>
          <w:sz w:val="24"/>
          <w:szCs w:val="24"/>
        </w:rPr>
        <w:t xml:space="preserve"> </w:t>
      </w:r>
      <w:r>
        <w:rPr>
          <w:rFonts w:ascii="Times New Roman" w:hAnsi="Times New Roman" w:eastAsia="Times New Roman" w:cs="Times New Roman"/>
          <w:i/>
          <w:iCs/>
          <w:sz w:val="24"/>
          <w:szCs w:val="24"/>
        </w:rPr>
        <w:t>buteo</w:t>
      </w:r>
      <w:r>
        <w:rPr>
          <w:rFonts w:ascii="Times New Roman" w:hAnsi="Times New Roman" w:eastAsia="Times New Roman" w:cs="Times New Roman"/>
          <w:i/>
          <w:iCs/>
          <w:spacing w:val="-34"/>
          <w:sz w:val="24"/>
          <w:szCs w:val="24"/>
        </w:rPr>
        <w:t xml:space="preserve"> </w:t>
      </w:r>
      <w:r>
        <w:rPr>
          <w:rFonts w:ascii="宋体" w:hAnsi="宋体" w:eastAsia="宋体" w:cs="宋体"/>
          <w:sz w:val="24"/>
          <w:szCs w:val="24"/>
        </w:rPr>
        <w:t>、雀鷹</w:t>
      </w:r>
      <w:r>
        <w:rPr>
          <w:rFonts w:ascii="宋体" w:hAnsi="宋体" w:eastAsia="宋体" w:cs="宋体"/>
          <w:spacing w:val="-72"/>
          <w:sz w:val="24"/>
          <w:szCs w:val="24"/>
        </w:rPr>
        <w:t xml:space="preserve"> </w:t>
      </w:r>
      <w:r>
        <w:rPr>
          <w:rFonts w:ascii="Times New Roman" w:hAnsi="Times New Roman" w:eastAsia="Times New Roman" w:cs="Times New Roman"/>
          <w:i/>
          <w:iCs/>
          <w:sz w:val="24"/>
          <w:szCs w:val="24"/>
        </w:rPr>
        <w:t>Accipiter nisus</w:t>
      </w:r>
      <w:r>
        <w:rPr>
          <w:rFonts w:ascii="Times New Roman" w:hAnsi="Times New Roman" w:eastAsia="Times New Roman" w:cs="Times New Roman"/>
          <w:i/>
          <w:iCs/>
          <w:spacing w:val="-33"/>
          <w:sz w:val="24"/>
          <w:szCs w:val="24"/>
        </w:rPr>
        <w:t xml:space="preserve"> </w:t>
      </w:r>
      <w:r>
        <w:rPr>
          <w:rFonts w:ascii="宋体" w:hAnsi="宋体" w:eastAsia="宋体" w:cs="宋体"/>
          <w:sz w:val="24"/>
          <w:szCs w:val="24"/>
        </w:rPr>
        <w:t>、松雀鹰（</w:t>
      </w:r>
      <w:r>
        <w:rPr>
          <w:rFonts w:ascii="Times New Roman" w:hAnsi="Times New Roman" w:eastAsia="Times New Roman" w:cs="Times New Roman"/>
          <w:i/>
          <w:iCs/>
          <w:sz w:val="24"/>
          <w:szCs w:val="24"/>
        </w:rPr>
        <w:t>Accipi</w:t>
      </w:r>
      <w:r>
        <w:rPr>
          <w:rFonts w:ascii="Times New Roman" w:hAnsi="Times New Roman" w:eastAsia="Times New Roman" w:cs="Times New Roman"/>
          <w:i/>
          <w:iCs/>
          <w:spacing w:val="-1"/>
          <w:sz w:val="24"/>
          <w:szCs w:val="24"/>
        </w:rPr>
        <w:t>ter virgatus</w:t>
      </w:r>
      <w:r>
        <w:rPr>
          <w:rFonts w:ascii="宋体" w:hAnsi="宋体" w:eastAsia="宋体" w:cs="宋体"/>
          <w:spacing w:val="-1"/>
          <w:sz w:val="24"/>
          <w:szCs w:val="24"/>
        </w:rPr>
        <w:t>、红隼</w:t>
      </w:r>
      <w:r>
        <w:rPr>
          <w:rFonts w:ascii="宋体" w:hAnsi="宋体" w:eastAsia="宋体" w:cs="宋体"/>
          <w:spacing w:val="-66"/>
          <w:sz w:val="24"/>
          <w:szCs w:val="24"/>
        </w:rPr>
        <w:t xml:space="preserve"> </w:t>
      </w:r>
      <w:r>
        <w:rPr>
          <w:rFonts w:ascii="Times New Roman" w:hAnsi="Times New Roman" w:eastAsia="Times New Roman" w:cs="Times New Roman"/>
          <w:i/>
          <w:iCs/>
          <w:spacing w:val="-1"/>
          <w:sz w:val="24"/>
          <w:szCs w:val="24"/>
        </w:rPr>
        <w:t>Falco</w:t>
      </w:r>
      <w:r>
        <w:rPr>
          <w:rFonts w:ascii="Times New Roman" w:hAnsi="Times New Roman" w:eastAsia="Times New Roman" w:cs="Times New Roman"/>
          <w:i/>
          <w:iCs/>
          <w:spacing w:val="23"/>
          <w:sz w:val="24"/>
          <w:szCs w:val="24"/>
        </w:rPr>
        <w:t xml:space="preserve"> </w:t>
      </w:r>
      <w:r>
        <w:rPr>
          <w:rFonts w:ascii="Times New Roman" w:hAnsi="Times New Roman" w:eastAsia="Times New Roman" w:cs="Times New Roman"/>
          <w:i/>
          <w:iCs/>
          <w:spacing w:val="-1"/>
          <w:sz w:val="24"/>
          <w:szCs w:val="24"/>
        </w:rPr>
        <w:t xml:space="preserve">tinnunculus </w:t>
      </w:r>
      <w:r>
        <w:rPr>
          <w:rFonts w:ascii="宋体" w:hAnsi="宋体" w:eastAsia="宋体" w:cs="宋体"/>
          <w:spacing w:val="-1"/>
          <w:sz w:val="24"/>
          <w:szCs w:val="24"/>
        </w:rPr>
        <w:t>和画</w:t>
      </w:r>
      <w:r>
        <w:rPr>
          <w:rFonts w:ascii="宋体" w:hAnsi="宋体" w:eastAsia="宋体" w:cs="宋体"/>
          <w:sz w:val="24"/>
          <w:szCs w:val="24"/>
        </w:rPr>
        <w:t xml:space="preserve"> </w:t>
      </w:r>
      <w:r>
        <w:rPr>
          <w:rFonts w:ascii="宋体" w:hAnsi="宋体" w:eastAsia="宋体" w:cs="宋体"/>
          <w:spacing w:val="-3"/>
          <w:sz w:val="24"/>
          <w:szCs w:val="24"/>
        </w:rPr>
        <w:t>眉</w:t>
      </w:r>
      <w:r>
        <w:rPr>
          <w:rFonts w:ascii="宋体" w:hAnsi="宋体" w:eastAsia="宋体" w:cs="宋体"/>
          <w:spacing w:val="-30"/>
          <w:sz w:val="24"/>
          <w:szCs w:val="24"/>
        </w:rPr>
        <w:t xml:space="preserve"> </w:t>
      </w:r>
      <w:r>
        <w:rPr>
          <w:rFonts w:ascii="Times New Roman" w:hAnsi="Times New Roman" w:eastAsia="Times New Roman" w:cs="Times New Roman"/>
          <w:i/>
          <w:iCs/>
          <w:spacing w:val="-3"/>
          <w:sz w:val="24"/>
          <w:szCs w:val="24"/>
        </w:rPr>
        <w:t>Garrulax</w:t>
      </w:r>
      <w:r>
        <w:rPr>
          <w:rFonts w:ascii="Times New Roman" w:hAnsi="Times New Roman" w:eastAsia="Times New Roman" w:cs="Times New Roman"/>
          <w:i/>
          <w:iCs/>
          <w:spacing w:val="37"/>
          <w:sz w:val="24"/>
          <w:szCs w:val="24"/>
        </w:rPr>
        <w:t xml:space="preserve"> </w:t>
      </w:r>
      <w:r>
        <w:rPr>
          <w:rFonts w:ascii="Times New Roman" w:hAnsi="Times New Roman" w:eastAsia="Times New Roman" w:cs="Times New Roman"/>
          <w:i/>
          <w:iCs/>
          <w:spacing w:val="-3"/>
          <w:sz w:val="24"/>
          <w:szCs w:val="24"/>
        </w:rPr>
        <w:t>canorus</w:t>
      </w:r>
      <w:r>
        <w:rPr>
          <w:rFonts w:ascii="Times New Roman" w:hAnsi="Times New Roman" w:eastAsia="Times New Roman" w:cs="Times New Roman"/>
          <w:i/>
          <w:iCs/>
          <w:spacing w:val="-27"/>
          <w:sz w:val="24"/>
          <w:szCs w:val="24"/>
        </w:rPr>
        <w:t xml:space="preserve"> </w:t>
      </w:r>
      <w:r>
        <w:rPr>
          <w:rFonts w:ascii="宋体" w:hAnsi="宋体" w:eastAsia="宋体" w:cs="宋体"/>
          <w:spacing w:val="-3"/>
          <w:sz w:val="24"/>
          <w:szCs w:val="24"/>
        </w:rPr>
        <w:t>。其中被列入《濒危</w:t>
      </w:r>
      <w:r>
        <w:rPr>
          <w:rFonts w:ascii="宋体" w:hAnsi="宋体" w:eastAsia="宋体" w:cs="宋体"/>
          <w:spacing w:val="-4"/>
          <w:sz w:val="24"/>
          <w:szCs w:val="24"/>
        </w:rPr>
        <w:t>野生动植物种国际贸易公约附录物种名录》（</w:t>
      </w:r>
      <w:r>
        <w:rPr>
          <w:rFonts w:ascii="Times New Roman" w:hAnsi="Times New Roman" w:eastAsia="Times New Roman" w:cs="Times New Roman"/>
          <w:spacing w:val="-4"/>
          <w:sz w:val="24"/>
          <w:szCs w:val="24"/>
        </w:rPr>
        <w:t>2016</w:t>
      </w:r>
      <w:r>
        <w:rPr>
          <w:rFonts w:ascii="Times New Roman" w:hAnsi="Times New Roman" w:eastAsia="Times New Roman" w:cs="Times New Roman"/>
          <w:sz w:val="24"/>
          <w:szCs w:val="24"/>
        </w:rPr>
        <w:t xml:space="preserve"> </w:t>
      </w:r>
      <w:r>
        <w:rPr>
          <w:rFonts w:ascii="宋体" w:hAnsi="宋体" w:eastAsia="宋体" w:cs="宋体"/>
          <w:spacing w:val="-13"/>
          <w:sz w:val="24"/>
          <w:szCs w:val="24"/>
        </w:rPr>
        <w:t>年）</w:t>
      </w:r>
      <w:r>
        <w:rPr>
          <w:rFonts w:ascii="宋体" w:hAnsi="宋体" w:eastAsia="宋体" w:cs="宋体"/>
          <w:spacing w:val="-43"/>
          <w:sz w:val="24"/>
          <w:szCs w:val="24"/>
        </w:rPr>
        <w:t xml:space="preserve"> </w:t>
      </w:r>
      <w:r>
        <w:rPr>
          <w:rFonts w:ascii="宋体" w:hAnsi="宋体" w:eastAsia="宋体" w:cs="宋体"/>
          <w:spacing w:val="-13"/>
          <w:sz w:val="24"/>
          <w:szCs w:val="24"/>
        </w:rPr>
        <w:t>附录Ⅱ的物种有：普通鵟、 雀鷹、松雀鹰、红隼和画眉； 附录Ⅲ有：黄鼬。被列为《中</w:t>
      </w:r>
      <w:r>
        <w:rPr>
          <w:rFonts w:ascii="宋体" w:hAnsi="宋体" w:eastAsia="宋体" w:cs="宋体"/>
          <w:sz w:val="24"/>
          <w:szCs w:val="24"/>
        </w:rPr>
        <w:t xml:space="preserve"> </w:t>
      </w:r>
      <w:r>
        <w:rPr>
          <w:rFonts w:ascii="宋体" w:hAnsi="宋体" w:eastAsia="宋体" w:cs="宋体"/>
          <w:spacing w:val="-3"/>
          <w:sz w:val="24"/>
          <w:szCs w:val="24"/>
        </w:rPr>
        <w:t>国生物多样性红色名录</w:t>
      </w:r>
      <w:r>
        <w:rPr>
          <w:rFonts w:ascii="Times New Roman" w:hAnsi="Times New Roman" w:eastAsia="Times New Roman" w:cs="Times New Roman"/>
          <w:spacing w:val="-3"/>
          <w:sz w:val="24"/>
          <w:szCs w:val="24"/>
        </w:rPr>
        <w:t>—</w:t>
      </w:r>
      <w:r>
        <w:rPr>
          <w:rFonts w:ascii="宋体" w:hAnsi="宋体" w:eastAsia="宋体" w:cs="宋体"/>
          <w:spacing w:val="-3"/>
          <w:sz w:val="24"/>
          <w:szCs w:val="24"/>
        </w:rPr>
        <w:t>脊椎动物卷》（</w:t>
      </w:r>
      <w:r>
        <w:rPr>
          <w:rFonts w:ascii="Times New Roman" w:hAnsi="Times New Roman" w:eastAsia="Times New Roman" w:cs="Times New Roman"/>
          <w:spacing w:val="-3"/>
          <w:sz w:val="24"/>
          <w:szCs w:val="24"/>
        </w:rPr>
        <w:t xml:space="preserve">2015  </w:t>
      </w:r>
      <w:r>
        <w:rPr>
          <w:rFonts w:ascii="宋体" w:hAnsi="宋体" w:eastAsia="宋体" w:cs="宋体"/>
          <w:spacing w:val="-3"/>
          <w:sz w:val="24"/>
          <w:szCs w:val="24"/>
        </w:rPr>
        <w:t>年）</w:t>
      </w:r>
      <w:r>
        <w:rPr>
          <w:rFonts w:ascii="宋体" w:hAnsi="宋体" w:eastAsia="宋体" w:cs="宋体"/>
          <w:spacing w:val="-23"/>
          <w:sz w:val="24"/>
          <w:szCs w:val="24"/>
        </w:rPr>
        <w:t xml:space="preserve"> </w:t>
      </w:r>
      <w:r>
        <w:rPr>
          <w:rFonts w:ascii="宋体" w:hAnsi="宋体" w:eastAsia="宋体" w:cs="宋体"/>
          <w:spacing w:val="-3"/>
          <w:sz w:val="24"/>
          <w:szCs w:val="24"/>
        </w:rPr>
        <w:t>中濒危物种仅</w:t>
      </w:r>
      <w:r>
        <w:rPr>
          <w:rFonts w:ascii="宋体" w:hAnsi="宋体" w:eastAsia="宋体" w:cs="宋体"/>
          <w:spacing w:val="-4"/>
          <w:sz w:val="24"/>
          <w:szCs w:val="24"/>
        </w:rPr>
        <w:t xml:space="preserve">一种：细脆蛇蜥 </w:t>
      </w:r>
      <w:r>
        <w:rPr>
          <w:rFonts w:ascii="Times New Roman" w:hAnsi="Times New Roman" w:eastAsia="Times New Roman" w:cs="Times New Roman"/>
          <w:i/>
          <w:iCs/>
          <w:spacing w:val="-4"/>
          <w:sz w:val="24"/>
          <w:szCs w:val="24"/>
        </w:rPr>
        <w:t>Dopasia</w:t>
      </w:r>
      <w:r>
        <w:rPr>
          <w:rFonts w:ascii="Times New Roman" w:hAnsi="Times New Roman" w:eastAsia="Times New Roman" w:cs="Times New Roman"/>
          <w:i/>
          <w:iCs/>
          <w:sz w:val="24"/>
          <w:szCs w:val="24"/>
        </w:rPr>
        <w:t xml:space="preserve"> </w:t>
      </w:r>
      <w:r>
        <w:rPr>
          <w:rFonts w:ascii="Times New Roman" w:hAnsi="Times New Roman" w:eastAsia="Times New Roman" w:cs="Times New Roman"/>
          <w:i/>
          <w:iCs/>
          <w:spacing w:val="-2"/>
          <w:sz w:val="24"/>
          <w:szCs w:val="24"/>
        </w:rPr>
        <w:t>gracilis</w:t>
      </w:r>
      <w:r>
        <w:rPr>
          <w:rFonts w:ascii="宋体" w:hAnsi="宋体" w:eastAsia="宋体" w:cs="宋体"/>
          <w:spacing w:val="-2"/>
          <w:sz w:val="24"/>
          <w:szCs w:val="24"/>
        </w:rPr>
        <w:t>；易危物种有</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种：</w:t>
      </w:r>
      <w:r>
        <w:rPr>
          <w:rFonts w:ascii="宋体" w:hAnsi="宋体" w:eastAsia="宋体" w:cs="宋体"/>
          <w:spacing w:val="-25"/>
          <w:sz w:val="24"/>
          <w:szCs w:val="24"/>
        </w:rPr>
        <w:t xml:space="preserve"> </w:t>
      </w:r>
      <w:r>
        <w:rPr>
          <w:rFonts w:ascii="宋体" w:hAnsi="宋体" w:eastAsia="宋体" w:cs="宋体"/>
          <w:spacing w:val="-2"/>
          <w:sz w:val="24"/>
          <w:szCs w:val="24"/>
        </w:rPr>
        <w:t>乌梢蛇</w:t>
      </w:r>
      <w:r>
        <w:rPr>
          <w:rFonts w:ascii="宋体" w:hAnsi="宋体" w:eastAsia="宋体" w:cs="宋体"/>
          <w:spacing w:val="-61"/>
          <w:sz w:val="24"/>
          <w:szCs w:val="24"/>
        </w:rPr>
        <w:t xml:space="preserve"> </w:t>
      </w:r>
      <w:r>
        <w:rPr>
          <w:rFonts w:ascii="Times New Roman" w:hAnsi="Times New Roman" w:eastAsia="Times New Roman" w:cs="Times New Roman"/>
          <w:i/>
          <w:iCs/>
          <w:spacing w:val="-2"/>
          <w:sz w:val="24"/>
          <w:szCs w:val="24"/>
        </w:rPr>
        <w:t>Zaocys</w:t>
      </w:r>
      <w:r>
        <w:rPr>
          <w:rFonts w:ascii="Times New Roman" w:hAnsi="Times New Roman" w:eastAsia="Times New Roman" w:cs="Times New Roman"/>
          <w:i/>
          <w:iCs/>
          <w:spacing w:val="34"/>
          <w:w w:val="101"/>
          <w:sz w:val="24"/>
          <w:szCs w:val="24"/>
        </w:rPr>
        <w:t xml:space="preserve"> </w:t>
      </w:r>
      <w:r>
        <w:rPr>
          <w:rFonts w:ascii="Times New Roman" w:hAnsi="Times New Roman" w:eastAsia="Times New Roman" w:cs="Times New Roman"/>
          <w:i/>
          <w:iCs/>
          <w:spacing w:val="-2"/>
          <w:sz w:val="24"/>
          <w:szCs w:val="24"/>
        </w:rPr>
        <w:t>dhumnades</w:t>
      </w:r>
      <w:r>
        <w:rPr>
          <w:rFonts w:ascii="Times New Roman" w:hAnsi="Times New Roman" w:eastAsia="Times New Roman" w:cs="Times New Roman"/>
          <w:i/>
          <w:iCs/>
          <w:spacing w:val="-34"/>
          <w:sz w:val="24"/>
          <w:szCs w:val="24"/>
        </w:rPr>
        <w:t xml:space="preserve"> </w:t>
      </w:r>
      <w:r>
        <w:rPr>
          <w:rFonts w:ascii="宋体" w:hAnsi="宋体" w:eastAsia="宋体" w:cs="宋体"/>
          <w:spacing w:val="-2"/>
          <w:sz w:val="24"/>
          <w:szCs w:val="24"/>
        </w:rPr>
        <w:t>、棘胸蛙</w:t>
      </w:r>
      <w:r>
        <w:rPr>
          <w:rFonts w:ascii="宋体" w:hAnsi="宋体" w:eastAsia="宋体" w:cs="宋体"/>
          <w:spacing w:val="-49"/>
          <w:sz w:val="24"/>
          <w:szCs w:val="24"/>
        </w:rPr>
        <w:t xml:space="preserve"> </w:t>
      </w:r>
      <w:r>
        <w:rPr>
          <w:rFonts w:ascii="Times New Roman" w:hAnsi="Times New Roman" w:eastAsia="Times New Roman" w:cs="Times New Roman"/>
          <w:i/>
          <w:iCs/>
          <w:spacing w:val="-2"/>
          <w:sz w:val="24"/>
          <w:szCs w:val="24"/>
        </w:rPr>
        <w:t>Q</w:t>
      </w:r>
      <w:r>
        <w:rPr>
          <w:rFonts w:ascii="Times New Roman" w:hAnsi="Times New Roman" w:eastAsia="Times New Roman" w:cs="Times New Roman"/>
          <w:i/>
          <w:iCs/>
          <w:spacing w:val="-3"/>
          <w:sz w:val="24"/>
          <w:szCs w:val="24"/>
        </w:rPr>
        <w:t>uasipaa</w:t>
      </w:r>
      <w:r>
        <w:rPr>
          <w:rFonts w:ascii="Times New Roman" w:hAnsi="Times New Roman" w:eastAsia="Times New Roman" w:cs="Times New Roman"/>
          <w:i/>
          <w:iCs/>
          <w:spacing w:val="27"/>
          <w:w w:val="101"/>
          <w:sz w:val="24"/>
          <w:szCs w:val="24"/>
        </w:rPr>
        <w:t xml:space="preserve"> </w:t>
      </w:r>
      <w:r>
        <w:rPr>
          <w:rFonts w:ascii="Times New Roman" w:hAnsi="Times New Roman" w:eastAsia="Times New Roman" w:cs="Times New Roman"/>
          <w:i/>
          <w:iCs/>
          <w:spacing w:val="-3"/>
          <w:sz w:val="24"/>
          <w:szCs w:val="24"/>
        </w:rPr>
        <w:t xml:space="preserve">spinosa  </w:t>
      </w:r>
      <w:r>
        <w:rPr>
          <w:rFonts w:ascii="宋体" w:hAnsi="宋体" w:eastAsia="宋体" w:cs="宋体"/>
          <w:spacing w:val="-3"/>
          <w:sz w:val="24"/>
          <w:szCs w:val="24"/>
        </w:rPr>
        <w:t>、棕点湍</w:t>
      </w:r>
      <w:r>
        <w:rPr>
          <w:rFonts w:ascii="宋体" w:hAnsi="宋体" w:eastAsia="宋体" w:cs="宋体"/>
          <w:sz w:val="24"/>
          <w:szCs w:val="24"/>
        </w:rPr>
        <w:t xml:space="preserve"> </w:t>
      </w:r>
      <w:r>
        <w:rPr>
          <w:rFonts w:ascii="宋体" w:hAnsi="宋体" w:eastAsia="宋体" w:cs="宋体"/>
          <w:spacing w:val="-2"/>
          <w:sz w:val="24"/>
          <w:szCs w:val="24"/>
        </w:rPr>
        <w:t>蛙</w:t>
      </w:r>
      <w:r>
        <w:rPr>
          <w:rFonts w:ascii="宋体" w:hAnsi="宋体" w:eastAsia="宋体" w:cs="宋体"/>
          <w:spacing w:val="-72"/>
          <w:sz w:val="24"/>
          <w:szCs w:val="24"/>
        </w:rPr>
        <w:t xml:space="preserve"> </w:t>
      </w:r>
      <w:r>
        <w:rPr>
          <w:rFonts w:ascii="Times New Roman" w:hAnsi="Times New Roman" w:eastAsia="Times New Roman" w:cs="Times New Roman"/>
          <w:i/>
          <w:iCs/>
          <w:spacing w:val="-2"/>
          <w:sz w:val="24"/>
          <w:szCs w:val="24"/>
        </w:rPr>
        <w:t>Amolops loloensis</w:t>
      </w:r>
      <w:r>
        <w:rPr>
          <w:rFonts w:ascii="Times New Roman" w:hAnsi="Times New Roman" w:eastAsia="Times New Roman" w:cs="Times New Roman"/>
          <w:i/>
          <w:iCs/>
          <w:spacing w:val="-2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种中国特有种，均为两栖动物： 棘胸蛙</w:t>
      </w:r>
      <w:r>
        <w:rPr>
          <w:rFonts w:ascii="宋体" w:hAnsi="宋体" w:eastAsia="宋体" w:cs="宋体"/>
          <w:spacing w:val="-49"/>
          <w:sz w:val="24"/>
          <w:szCs w:val="24"/>
        </w:rPr>
        <w:t xml:space="preserve"> </w:t>
      </w:r>
      <w:r>
        <w:rPr>
          <w:rFonts w:ascii="Times New Roman" w:hAnsi="Times New Roman" w:eastAsia="Times New Roman" w:cs="Times New Roman"/>
          <w:i/>
          <w:iCs/>
          <w:spacing w:val="-2"/>
          <w:sz w:val="24"/>
          <w:szCs w:val="24"/>
        </w:rPr>
        <w:t xml:space="preserve">Quasipaaspinosa  </w:t>
      </w:r>
      <w:r>
        <w:rPr>
          <w:rFonts w:ascii="宋体" w:hAnsi="宋体" w:eastAsia="宋体" w:cs="宋体"/>
          <w:spacing w:val="-2"/>
          <w:sz w:val="24"/>
          <w:szCs w:val="24"/>
        </w:rPr>
        <w:t>、棕点湍</w:t>
      </w:r>
    </w:p>
    <w:p>
      <w:pPr>
        <w:spacing w:line="212" w:lineRule="auto"/>
        <w:ind w:left="40"/>
        <w:rPr>
          <w:rFonts w:ascii="宋体" w:hAnsi="宋体" w:eastAsia="宋体" w:cs="宋体"/>
          <w:sz w:val="24"/>
          <w:szCs w:val="24"/>
        </w:rPr>
      </w:pPr>
      <w:r>
        <w:rPr>
          <w:rFonts w:ascii="宋体" w:hAnsi="宋体" w:eastAsia="宋体" w:cs="宋体"/>
          <w:spacing w:val="1"/>
          <w:sz w:val="24"/>
          <w:szCs w:val="24"/>
        </w:rPr>
        <w:t>蛙</w:t>
      </w:r>
      <w:r>
        <w:rPr>
          <w:rFonts w:ascii="宋体" w:hAnsi="宋体" w:eastAsia="宋体" w:cs="宋体"/>
          <w:spacing w:val="-67"/>
          <w:sz w:val="24"/>
          <w:szCs w:val="24"/>
        </w:rPr>
        <w:t xml:space="preserve"> </w:t>
      </w:r>
      <w:r>
        <w:rPr>
          <w:rFonts w:ascii="Times New Roman" w:hAnsi="Times New Roman" w:eastAsia="Times New Roman" w:cs="Times New Roman"/>
          <w:i/>
          <w:iCs/>
          <w:sz w:val="24"/>
          <w:szCs w:val="24"/>
        </w:rPr>
        <w:t>Amolops</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loloensis</w:t>
      </w:r>
      <w:r>
        <w:rPr>
          <w:rFonts w:ascii="Times New Roman" w:hAnsi="Times New Roman" w:eastAsia="Times New Roman" w:cs="Times New Roman"/>
          <w:i/>
          <w:iCs/>
          <w:spacing w:val="-32"/>
          <w:sz w:val="24"/>
          <w:szCs w:val="24"/>
        </w:rPr>
        <w:t xml:space="preserve"> </w:t>
      </w:r>
      <w:r>
        <w:rPr>
          <w:rFonts w:ascii="宋体" w:hAnsi="宋体" w:eastAsia="宋体" w:cs="宋体"/>
          <w:spacing w:val="1"/>
          <w:sz w:val="24"/>
          <w:szCs w:val="24"/>
        </w:rPr>
        <w:t>、滇蛙</w:t>
      </w:r>
      <w:r>
        <w:rPr>
          <w:rFonts w:ascii="宋体" w:hAnsi="宋体" w:eastAsia="宋体" w:cs="宋体"/>
          <w:spacing w:val="-66"/>
          <w:sz w:val="24"/>
          <w:szCs w:val="24"/>
        </w:rPr>
        <w:t xml:space="preserve"> </w:t>
      </w:r>
      <w:r>
        <w:rPr>
          <w:rFonts w:ascii="Times New Roman" w:hAnsi="Times New Roman" w:eastAsia="Times New Roman" w:cs="Times New Roman"/>
          <w:i/>
          <w:iCs/>
          <w:sz w:val="24"/>
          <w:szCs w:val="24"/>
        </w:rPr>
        <w:t>Nidiranapleuraden</w:t>
      </w:r>
      <w:r>
        <w:rPr>
          <w:rFonts w:ascii="Times New Roman" w:hAnsi="Times New Roman" w:eastAsia="Times New Roman" w:cs="Times New Roman"/>
          <w:i/>
          <w:iCs/>
          <w:spacing w:val="-34"/>
          <w:sz w:val="24"/>
          <w:szCs w:val="24"/>
        </w:rPr>
        <w:t xml:space="preserve"> </w:t>
      </w:r>
      <w:r>
        <w:rPr>
          <w:rFonts w:ascii="宋体" w:hAnsi="宋体" w:eastAsia="宋体" w:cs="宋体"/>
          <w:spacing w:val="1"/>
          <w:sz w:val="24"/>
          <w:szCs w:val="24"/>
        </w:rPr>
        <w:t>、昭觉林蛙</w:t>
      </w:r>
      <w:r>
        <w:rPr>
          <w:rFonts w:ascii="宋体" w:hAnsi="宋体" w:eastAsia="宋体" w:cs="宋体"/>
          <w:spacing w:val="-65"/>
          <w:sz w:val="24"/>
          <w:szCs w:val="24"/>
        </w:rPr>
        <w:t xml:space="preserve"> </w:t>
      </w:r>
      <w:r>
        <w:rPr>
          <w:rFonts w:ascii="Times New Roman" w:hAnsi="Times New Roman" w:eastAsia="Times New Roman" w:cs="Times New Roman"/>
          <w:i/>
          <w:iCs/>
          <w:sz w:val="24"/>
          <w:szCs w:val="24"/>
        </w:rPr>
        <w:t>Rana</w:t>
      </w:r>
      <w:r>
        <w:rPr>
          <w:rFonts w:ascii="Times New Roman" w:hAnsi="Times New Roman" w:eastAsia="Times New Roman" w:cs="Times New Roman"/>
          <w:i/>
          <w:iCs/>
          <w:spacing w:val="1"/>
          <w:sz w:val="24"/>
          <w:szCs w:val="24"/>
        </w:rPr>
        <w:t xml:space="preserve"> </w:t>
      </w:r>
      <w:r>
        <w:rPr>
          <w:rFonts w:ascii="Times New Roman" w:hAnsi="Times New Roman" w:eastAsia="Times New Roman" w:cs="Times New Roman"/>
          <w:i/>
          <w:iCs/>
          <w:sz w:val="24"/>
          <w:szCs w:val="24"/>
        </w:rPr>
        <w:t>chaochiaoensis</w:t>
      </w:r>
      <w:r>
        <w:rPr>
          <w:rFonts w:ascii="宋体" w:hAnsi="宋体" w:eastAsia="宋体" w:cs="宋体"/>
          <w:spacing w:val="1"/>
          <w:sz w:val="24"/>
          <w:szCs w:val="24"/>
        </w:rPr>
        <w:t>。</w:t>
      </w:r>
    </w:p>
    <w:p>
      <w:pPr>
        <w:spacing w:before="191" w:line="359" w:lineRule="auto"/>
        <w:ind w:left="38" w:right="30" w:firstLine="487"/>
        <w:jc w:val="both"/>
        <w:rPr>
          <w:rFonts w:ascii="宋体" w:hAnsi="宋体" w:eastAsia="宋体" w:cs="宋体"/>
          <w:sz w:val="24"/>
          <w:szCs w:val="24"/>
        </w:rPr>
      </w:pPr>
      <w:r>
        <w:rPr>
          <w:rFonts w:ascii="宋体" w:hAnsi="宋体" w:eastAsia="宋体" w:cs="宋体"/>
          <w:spacing w:val="-7"/>
          <w:sz w:val="24"/>
          <w:szCs w:val="24"/>
        </w:rPr>
        <w:t>（</w:t>
      </w:r>
      <w:r>
        <w:rPr>
          <w:rFonts w:ascii="Times New Roman" w:hAnsi="Times New Roman" w:eastAsia="Times New Roman" w:cs="Times New Roman"/>
          <w:spacing w:val="-7"/>
          <w:sz w:val="24"/>
          <w:szCs w:val="24"/>
        </w:rPr>
        <w:t>3</w:t>
      </w:r>
      <w:r>
        <w:rPr>
          <w:rFonts w:ascii="宋体" w:hAnsi="宋体" w:eastAsia="宋体" w:cs="宋体"/>
          <w:spacing w:val="-7"/>
          <w:sz w:val="24"/>
          <w:szCs w:val="24"/>
        </w:rPr>
        <w:t>）评价区河段分布有鱼类</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 xml:space="preserve">5  </w:t>
      </w:r>
      <w:r>
        <w:rPr>
          <w:rFonts w:ascii="宋体" w:hAnsi="宋体" w:eastAsia="宋体" w:cs="宋体"/>
          <w:spacing w:val="-7"/>
          <w:sz w:val="24"/>
          <w:szCs w:val="24"/>
        </w:rPr>
        <w:t>目</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 xml:space="preserve">9 </w:t>
      </w:r>
      <w:r>
        <w:rPr>
          <w:rFonts w:ascii="宋体" w:hAnsi="宋体" w:eastAsia="宋体" w:cs="宋体"/>
          <w:spacing w:val="-7"/>
          <w:sz w:val="24"/>
          <w:szCs w:val="24"/>
        </w:rPr>
        <w:t>科</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 xml:space="preserve">19 </w:t>
      </w:r>
      <w:r>
        <w:rPr>
          <w:rFonts w:ascii="宋体" w:hAnsi="宋体" w:eastAsia="宋体" w:cs="宋体"/>
          <w:spacing w:val="-7"/>
          <w:sz w:val="24"/>
          <w:szCs w:val="24"/>
        </w:rPr>
        <w:t>属</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19 </w:t>
      </w:r>
      <w:r>
        <w:rPr>
          <w:rFonts w:ascii="宋体" w:hAnsi="宋体" w:eastAsia="宋体" w:cs="宋体"/>
          <w:spacing w:val="-7"/>
          <w:sz w:val="24"/>
          <w:szCs w:val="24"/>
        </w:rPr>
        <w:t>种，</w:t>
      </w:r>
      <w:r>
        <w:rPr>
          <w:rFonts w:ascii="宋体" w:hAnsi="宋体" w:eastAsia="宋体" w:cs="宋体"/>
          <w:spacing w:val="-45"/>
          <w:sz w:val="24"/>
          <w:szCs w:val="24"/>
        </w:rPr>
        <w:t xml:space="preserve"> </w:t>
      </w:r>
      <w:r>
        <w:rPr>
          <w:rFonts w:ascii="宋体" w:hAnsi="宋体" w:eastAsia="宋体" w:cs="宋体"/>
          <w:spacing w:val="-7"/>
          <w:sz w:val="24"/>
          <w:szCs w:val="24"/>
        </w:rPr>
        <w:t>其中棒</w:t>
      </w:r>
      <w:r>
        <w:rPr>
          <w:rFonts w:ascii="宋体" w:hAnsi="宋体" w:eastAsia="宋体" w:cs="宋体"/>
          <w:spacing w:val="-8"/>
          <w:sz w:val="24"/>
          <w:szCs w:val="24"/>
        </w:rPr>
        <w:t>花鱼、鲫鱼、鲮、草鱼、草</w:t>
      </w:r>
      <w:r>
        <w:rPr>
          <w:rFonts w:ascii="宋体" w:hAnsi="宋体" w:eastAsia="宋体" w:cs="宋体"/>
          <w:sz w:val="24"/>
          <w:szCs w:val="24"/>
        </w:rPr>
        <w:t xml:space="preserve"> </w:t>
      </w:r>
      <w:r>
        <w:rPr>
          <w:rFonts w:ascii="宋体" w:hAnsi="宋体" w:eastAsia="宋体" w:cs="宋体"/>
          <w:spacing w:val="-7"/>
          <w:sz w:val="24"/>
          <w:szCs w:val="24"/>
        </w:rPr>
        <w:t>鱼、鲤鱼、麦穗鱼、食蚊鱼、尼罗罗非鱼等</w:t>
      </w:r>
      <w:r>
        <w:rPr>
          <w:rFonts w:ascii="宋体" w:hAnsi="宋体" w:eastAsia="宋体" w:cs="宋体"/>
          <w:spacing w:val="-50"/>
          <w:sz w:val="24"/>
          <w:szCs w:val="24"/>
        </w:rPr>
        <w:t xml:space="preserve"> </w:t>
      </w:r>
      <w:r>
        <w:rPr>
          <w:rFonts w:ascii="Times New Roman" w:hAnsi="Times New Roman" w:eastAsia="Times New Roman" w:cs="Times New Roman"/>
          <w:spacing w:val="-7"/>
          <w:sz w:val="24"/>
          <w:szCs w:val="24"/>
        </w:rPr>
        <w:t xml:space="preserve">9 </w:t>
      </w:r>
      <w:r>
        <w:rPr>
          <w:rFonts w:ascii="宋体" w:hAnsi="宋体" w:eastAsia="宋体" w:cs="宋体"/>
          <w:spacing w:val="-7"/>
          <w:sz w:val="24"/>
          <w:szCs w:val="24"/>
        </w:rPr>
        <w:t>种为引入养殖种类，</w:t>
      </w:r>
      <w:r>
        <w:rPr>
          <w:rFonts w:ascii="宋体" w:hAnsi="宋体" w:eastAsia="宋体" w:cs="宋体"/>
          <w:spacing w:val="43"/>
          <w:sz w:val="24"/>
          <w:szCs w:val="24"/>
        </w:rPr>
        <w:t xml:space="preserve"> </w:t>
      </w:r>
      <w:r>
        <w:rPr>
          <w:rFonts w:ascii="宋体" w:hAnsi="宋体" w:eastAsia="宋体" w:cs="宋体"/>
          <w:spacing w:val="-7"/>
          <w:sz w:val="24"/>
          <w:szCs w:val="24"/>
        </w:rPr>
        <w:t>其余</w:t>
      </w:r>
      <w:r>
        <w:rPr>
          <w:rFonts w:ascii="宋体" w:hAnsi="宋体" w:eastAsia="宋体" w:cs="宋体"/>
          <w:spacing w:val="-31"/>
          <w:sz w:val="24"/>
          <w:szCs w:val="24"/>
        </w:rPr>
        <w:t xml:space="preserve"> </w:t>
      </w:r>
      <w:r>
        <w:rPr>
          <w:rFonts w:ascii="Times New Roman" w:hAnsi="Times New Roman" w:eastAsia="Times New Roman" w:cs="Times New Roman"/>
          <w:spacing w:val="-7"/>
          <w:sz w:val="24"/>
          <w:szCs w:val="24"/>
        </w:rPr>
        <w:t xml:space="preserve">12 </w:t>
      </w:r>
      <w:r>
        <w:rPr>
          <w:rFonts w:ascii="宋体" w:hAnsi="宋体" w:eastAsia="宋体" w:cs="宋体"/>
          <w:spacing w:val="-8"/>
          <w:sz w:val="24"/>
          <w:szCs w:val="24"/>
        </w:rPr>
        <w:t>种全部为原产土</w:t>
      </w:r>
      <w:r>
        <w:rPr>
          <w:rFonts w:ascii="宋体" w:hAnsi="宋体" w:eastAsia="宋体" w:cs="宋体"/>
          <w:sz w:val="24"/>
          <w:szCs w:val="24"/>
        </w:rPr>
        <w:t xml:space="preserve"> </w:t>
      </w:r>
      <w:r>
        <w:rPr>
          <w:rFonts w:ascii="宋体" w:hAnsi="宋体" w:eastAsia="宋体" w:cs="宋体"/>
          <w:spacing w:val="-6"/>
          <w:sz w:val="24"/>
          <w:szCs w:val="24"/>
        </w:rPr>
        <w:t>著鱼类。鱼类未发现有国家级、云南省级保护鱼类物种；</w:t>
      </w:r>
      <w:r>
        <w:rPr>
          <w:rFonts w:ascii="宋体" w:hAnsi="宋体" w:eastAsia="宋体" w:cs="宋体"/>
          <w:spacing w:val="57"/>
          <w:sz w:val="24"/>
          <w:szCs w:val="24"/>
        </w:rPr>
        <w:t xml:space="preserve"> </w:t>
      </w:r>
      <w:r>
        <w:rPr>
          <w:rFonts w:ascii="宋体" w:hAnsi="宋体" w:eastAsia="宋体" w:cs="宋体"/>
          <w:spacing w:val="-6"/>
          <w:sz w:val="24"/>
          <w:szCs w:val="24"/>
        </w:rPr>
        <w:t>也未发</w:t>
      </w:r>
      <w:r>
        <w:rPr>
          <w:rFonts w:ascii="宋体" w:hAnsi="宋体" w:eastAsia="宋体" w:cs="宋体"/>
          <w:spacing w:val="-7"/>
          <w:sz w:val="24"/>
          <w:szCs w:val="24"/>
        </w:rPr>
        <w:t>现有列入</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CITES</w:t>
      </w:r>
      <w:r>
        <w:rPr>
          <w:rFonts w:ascii="Times New Roman" w:hAnsi="Times New Roman" w:eastAsia="Times New Roman" w:cs="Times New Roman"/>
          <w:spacing w:val="27"/>
          <w:w w:val="101"/>
          <w:sz w:val="24"/>
          <w:szCs w:val="24"/>
        </w:rPr>
        <w:t xml:space="preserve"> </w:t>
      </w:r>
      <w:r>
        <w:rPr>
          <w:rFonts w:ascii="宋体" w:hAnsi="宋体" w:eastAsia="宋体" w:cs="宋体"/>
          <w:spacing w:val="-7"/>
          <w:sz w:val="24"/>
          <w:szCs w:val="24"/>
        </w:rPr>
        <w:t>附录动物</w:t>
      </w:r>
      <w:r>
        <w:rPr>
          <w:rFonts w:ascii="宋体" w:hAnsi="宋体" w:eastAsia="宋体" w:cs="宋体"/>
          <w:sz w:val="24"/>
          <w:szCs w:val="24"/>
        </w:rPr>
        <w:t xml:space="preserve"> </w:t>
      </w:r>
      <w:r>
        <w:rPr>
          <w:rFonts w:ascii="宋体" w:hAnsi="宋体" w:eastAsia="宋体" w:cs="宋体"/>
          <w:spacing w:val="-1"/>
          <w:sz w:val="24"/>
          <w:szCs w:val="24"/>
        </w:rPr>
        <w:t>及</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IUCN</w:t>
      </w:r>
      <w:r>
        <w:rPr>
          <w:rFonts w:ascii="Times New Roman" w:hAnsi="Times New Roman" w:eastAsia="Times New Roman" w:cs="Times New Roman"/>
          <w:spacing w:val="38"/>
          <w:sz w:val="24"/>
          <w:szCs w:val="24"/>
        </w:rPr>
        <w:t xml:space="preserve"> </w:t>
      </w:r>
      <w:r>
        <w:rPr>
          <w:rFonts w:ascii="宋体" w:hAnsi="宋体" w:eastAsia="宋体" w:cs="宋体"/>
          <w:spacing w:val="-1"/>
          <w:sz w:val="24"/>
          <w:szCs w:val="24"/>
        </w:rPr>
        <w:t>红色名录物种。未发现仅分布于该区域的特物种，亦未发现仅分布于云南的特有</w:t>
      </w:r>
    </w:p>
    <w:p>
      <w:pPr>
        <w:spacing w:before="1" w:line="220" w:lineRule="auto"/>
        <w:ind w:left="39"/>
        <w:rPr>
          <w:rFonts w:ascii="宋体" w:hAnsi="宋体" w:eastAsia="宋体" w:cs="宋体"/>
          <w:sz w:val="24"/>
          <w:szCs w:val="24"/>
        </w:rPr>
      </w:pPr>
      <w:r>
        <w:rPr>
          <w:rFonts w:ascii="宋体" w:hAnsi="宋体" w:eastAsia="宋体" w:cs="宋体"/>
          <w:spacing w:val="-10"/>
          <w:sz w:val="24"/>
          <w:szCs w:val="24"/>
        </w:rPr>
        <w:t>物种。</w:t>
      </w:r>
    </w:p>
    <w:p>
      <w:pPr>
        <w:spacing w:line="350" w:lineRule="auto"/>
        <w:rPr>
          <w:rFonts w:ascii="Arial"/>
          <w:sz w:val="21"/>
        </w:rPr>
      </w:pPr>
    </w:p>
    <w:p>
      <w:pPr>
        <w:pStyle w:val="2"/>
        <w:spacing w:before="88"/>
        <w:ind w:left="38"/>
        <w:outlineLvl w:val="2"/>
        <w:rPr>
          <w:sz w:val="27"/>
          <w:szCs w:val="27"/>
        </w:rPr>
      </w:pPr>
      <w:bookmarkStart w:id="60" w:name="bookmark61"/>
      <w:bookmarkEnd w:id="60"/>
      <w:r>
        <w:rPr>
          <w:rFonts w:ascii="Times New Roman" w:hAnsi="Times New Roman" w:eastAsia="Times New Roman" w:cs="Times New Roman"/>
          <w:b/>
          <w:bCs/>
          <w:spacing w:val="7"/>
          <w:sz w:val="27"/>
          <w:szCs w:val="27"/>
        </w:rPr>
        <w:t xml:space="preserve">9.5 </w:t>
      </w:r>
      <w:r>
        <w:rPr>
          <w:spacing w:val="7"/>
          <w:sz w:val="27"/>
          <w:szCs w:val="27"/>
          <w14:textOutline w14:w="5072" w14:cap="flat" w14:cmpd="sng">
            <w14:solidFill>
              <w14:srgbClr w14:val="000000"/>
            </w14:solidFill>
            <w14:prstDash w14:val="solid"/>
            <w14:miter w14:val="0"/>
          </w14:textOutline>
        </w:rPr>
        <w:t>环境影响评价</w:t>
      </w:r>
    </w:p>
    <w:p>
      <w:pPr>
        <w:spacing w:line="243" w:lineRule="auto"/>
        <w:rPr>
          <w:rFonts w:ascii="Arial"/>
          <w:sz w:val="21"/>
        </w:rPr>
      </w:pPr>
    </w:p>
    <w:p>
      <w:pPr>
        <w:pStyle w:val="2"/>
        <w:spacing w:before="78" w:line="233" w:lineRule="auto"/>
        <w:ind w:left="37"/>
        <w:outlineLvl w:val="3"/>
        <w:rPr>
          <w:sz w:val="24"/>
          <w:szCs w:val="24"/>
        </w:rPr>
      </w:pPr>
      <w:r>
        <w:rPr>
          <w:rFonts w:ascii="Times New Roman" w:hAnsi="Times New Roman" w:eastAsia="Times New Roman" w:cs="Times New Roman"/>
          <w:b/>
          <w:bCs/>
          <w:spacing w:val="-1"/>
          <w:sz w:val="24"/>
          <w:szCs w:val="24"/>
        </w:rPr>
        <w:t xml:space="preserve">9.5.1 </w:t>
      </w:r>
      <w:r>
        <w:rPr>
          <w:spacing w:val="-1"/>
          <w:sz w:val="24"/>
          <w:szCs w:val="24"/>
          <w14:textOutline w14:w="4354" w14:cap="flat" w14:cmpd="sng">
            <w14:solidFill>
              <w14:srgbClr w14:val="000000"/>
            </w14:solidFill>
            <w14:prstDash w14:val="solid"/>
            <w14:miter w14:val="0"/>
          </w14:textOutline>
        </w:rPr>
        <w:t>生态环境影响</w:t>
      </w:r>
    </w:p>
    <w:p>
      <w:pPr>
        <w:spacing w:before="164" w:line="220" w:lineRule="auto"/>
        <w:ind w:left="525"/>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）对陆生生态环境的影响</w:t>
      </w:r>
    </w:p>
    <w:p>
      <w:pPr>
        <w:spacing w:before="181" w:line="359" w:lineRule="auto"/>
        <w:ind w:left="40" w:right="31" w:firstLine="482"/>
        <w:rPr>
          <w:rFonts w:ascii="宋体" w:hAnsi="宋体" w:eastAsia="宋体" w:cs="宋体"/>
          <w:sz w:val="24"/>
          <w:szCs w:val="24"/>
        </w:rPr>
      </w:pPr>
      <w:r>
        <w:rPr>
          <w:rFonts w:ascii="宋体" w:hAnsi="宋体" w:eastAsia="宋体" w:cs="宋体"/>
          <w:spacing w:val="-7"/>
          <w:sz w:val="24"/>
          <w:szCs w:val="24"/>
        </w:rPr>
        <w:t>项目水库枢纽工程、淹没区、施工道路占地项目工程影响到的植被在该地区分布较广、</w:t>
      </w:r>
      <w:r>
        <w:rPr>
          <w:rFonts w:ascii="宋体" w:hAnsi="宋体" w:eastAsia="宋体" w:cs="宋体"/>
          <w:spacing w:val="6"/>
          <w:sz w:val="24"/>
          <w:szCs w:val="24"/>
        </w:rPr>
        <w:t xml:space="preserve"> </w:t>
      </w:r>
      <w:r>
        <w:rPr>
          <w:rFonts w:ascii="宋体" w:hAnsi="宋体" w:eastAsia="宋体" w:cs="宋体"/>
          <w:spacing w:val="-3"/>
          <w:sz w:val="24"/>
          <w:szCs w:val="24"/>
        </w:rPr>
        <w:t>面积较大，因此，所占面积不会对植被类型造成太大影响， 不会因为项目的建设而导致消</w:t>
      </w:r>
    </w:p>
    <w:p>
      <w:pPr>
        <w:spacing w:before="1" w:line="220" w:lineRule="auto"/>
        <w:ind w:left="45"/>
        <w:rPr>
          <w:rFonts w:ascii="宋体" w:hAnsi="宋体" w:eastAsia="宋体" w:cs="宋体"/>
          <w:sz w:val="24"/>
          <w:szCs w:val="24"/>
        </w:rPr>
      </w:pPr>
      <w:r>
        <w:rPr>
          <w:rFonts w:ascii="宋体" w:hAnsi="宋体" w:eastAsia="宋体" w:cs="宋体"/>
          <w:spacing w:val="-13"/>
          <w:sz w:val="24"/>
          <w:szCs w:val="24"/>
        </w:rPr>
        <w:t>失。</w:t>
      </w:r>
    </w:p>
    <w:p>
      <w:pPr>
        <w:spacing w:before="180" w:line="359" w:lineRule="auto"/>
        <w:ind w:left="38" w:right="31" w:firstLine="484"/>
        <w:rPr>
          <w:rFonts w:ascii="宋体" w:hAnsi="宋体" w:eastAsia="宋体" w:cs="宋体"/>
          <w:sz w:val="24"/>
          <w:szCs w:val="24"/>
        </w:rPr>
      </w:pPr>
      <w:r>
        <w:rPr>
          <w:rFonts w:ascii="宋体" w:hAnsi="宋体" w:eastAsia="宋体" w:cs="宋体"/>
          <w:sz w:val="24"/>
          <w:szCs w:val="24"/>
        </w:rPr>
        <w:t>项目建设施工和水库蓄水期间，区域部分陆生动物的生存环境可能受到人为活动及水</w:t>
      </w:r>
      <w:r>
        <w:rPr>
          <w:rFonts w:ascii="宋体" w:hAnsi="宋体" w:eastAsia="宋体" w:cs="宋体"/>
          <w:spacing w:val="14"/>
          <w:sz w:val="24"/>
          <w:szCs w:val="24"/>
        </w:rPr>
        <w:t xml:space="preserve"> </w:t>
      </w:r>
      <w:r>
        <w:rPr>
          <w:rFonts w:ascii="宋体" w:hAnsi="宋体" w:eastAsia="宋体" w:cs="宋体"/>
          <w:spacing w:val="1"/>
          <w:sz w:val="24"/>
          <w:szCs w:val="24"/>
        </w:rPr>
        <w:t>库淹没的影响，但项目评价区外也有大面积</w:t>
      </w:r>
      <w:r>
        <w:rPr>
          <w:rFonts w:ascii="宋体" w:hAnsi="宋体" w:eastAsia="宋体" w:cs="宋体"/>
          <w:sz w:val="24"/>
          <w:szCs w:val="24"/>
        </w:rPr>
        <w:t xml:space="preserve">与施工区相同的生境，可供野生动物栖息，待 </w:t>
      </w:r>
      <w:r>
        <w:rPr>
          <w:rFonts w:ascii="宋体" w:hAnsi="宋体" w:eastAsia="宋体" w:cs="宋体"/>
          <w:spacing w:val="-9"/>
          <w:sz w:val="24"/>
          <w:szCs w:val="24"/>
        </w:rPr>
        <w:t>施工期结束后，</w:t>
      </w:r>
      <w:r>
        <w:rPr>
          <w:rFonts w:ascii="宋体" w:hAnsi="宋体" w:eastAsia="宋体" w:cs="宋体"/>
          <w:spacing w:val="29"/>
          <w:sz w:val="24"/>
          <w:szCs w:val="24"/>
        </w:rPr>
        <w:t xml:space="preserve"> </w:t>
      </w:r>
      <w:r>
        <w:rPr>
          <w:rFonts w:ascii="宋体" w:hAnsi="宋体" w:eastAsia="宋体" w:cs="宋体"/>
          <w:spacing w:val="-9"/>
          <w:sz w:val="24"/>
          <w:szCs w:val="24"/>
        </w:rPr>
        <w:t>随着施工人员的离开及施工区域植被的恢复，  野生动物会逐渐返回原生活</w:t>
      </w:r>
    </w:p>
    <w:p>
      <w:pPr>
        <w:spacing w:before="1" w:line="220" w:lineRule="auto"/>
        <w:ind w:left="57"/>
        <w:rPr>
          <w:rFonts w:ascii="宋体" w:hAnsi="宋体" w:eastAsia="宋体" w:cs="宋体"/>
          <w:sz w:val="24"/>
          <w:szCs w:val="24"/>
        </w:rPr>
      </w:pPr>
      <w:r>
        <w:rPr>
          <w:rFonts w:ascii="宋体" w:hAnsi="宋体" w:eastAsia="宋体" w:cs="宋体"/>
          <w:spacing w:val="-2"/>
          <w:sz w:val="24"/>
          <w:szCs w:val="24"/>
        </w:rPr>
        <w:t>区。区域野生动物受到的影响小。</w:t>
      </w:r>
    </w:p>
    <w:p>
      <w:pPr>
        <w:spacing w:before="180" w:line="220" w:lineRule="auto"/>
        <w:ind w:left="525"/>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）对水生生物的影响</w:t>
      </w:r>
    </w:p>
    <w:p>
      <w:pPr>
        <w:spacing w:before="181" w:line="219" w:lineRule="auto"/>
        <w:ind w:right="35"/>
        <w:jc w:val="right"/>
        <w:rPr>
          <w:rFonts w:ascii="宋体" w:hAnsi="宋体" w:eastAsia="宋体" w:cs="宋体"/>
          <w:sz w:val="24"/>
          <w:szCs w:val="24"/>
        </w:rPr>
      </w:pPr>
      <w:r>
        <w:rPr>
          <w:rFonts w:ascii="宋体" w:hAnsi="宋体" w:eastAsia="宋体" w:cs="宋体"/>
          <w:sz w:val="24"/>
          <w:szCs w:val="24"/>
        </w:rPr>
        <w:t>水库河段没有国家和云南省保护鱼类分布，故没有证据表明水库建设会对国家和云南</w:t>
      </w:r>
    </w:p>
    <w:p>
      <w:pPr>
        <w:spacing w:line="219" w:lineRule="auto"/>
        <w:rPr>
          <w:rFonts w:ascii="宋体" w:hAnsi="宋体" w:eastAsia="宋体" w:cs="宋体"/>
          <w:sz w:val="24"/>
          <w:szCs w:val="24"/>
        </w:rPr>
        <w:sectPr>
          <w:headerReference r:id="rId487" w:type="default"/>
          <w:footerReference r:id="rId488" w:type="default"/>
          <w:pgSz w:w="11910" w:h="16840"/>
          <w:pgMar w:top="1183" w:right="1229" w:bottom="1582" w:left="1230" w:header="908" w:footer="1419" w:gutter="0"/>
        </w:sectPr>
      </w:pPr>
    </w:p>
    <w:p>
      <w:pPr>
        <w:spacing w:before="37" w:line="467" w:lineRule="exact"/>
        <w:ind w:left="43"/>
        <w:rPr>
          <w:rFonts w:ascii="宋体" w:hAnsi="宋体" w:eastAsia="宋体" w:cs="宋体"/>
          <w:sz w:val="24"/>
          <w:szCs w:val="24"/>
        </w:rPr>
      </w:pPr>
      <w:r>
        <w:rPr>
          <w:rFonts w:ascii="宋体" w:hAnsi="宋体" w:eastAsia="宋体" w:cs="宋体"/>
          <w:spacing w:val="-4"/>
          <w:position w:val="17"/>
          <w:sz w:val="24"/>
          <w:szCs w:val="24"/>
        </w:rPr>
        <w:t>省重点保护鱼类产生不利影响。依据</w:t>
      </w:r>
      <w:r>
        <w:rPr>
          <w:rFonts w:ascii="宋体" w:hAnsi="宋体" w:eastAsia="宋体" w:cs="宋体"/>
          <w:spacing w:val="-42"/>
          <w:position w:val="17"/>
          <w:sz w:val="24"/>
          <w:szCs w:val="24"/>
        </w:rPr>
        <w:t xml:space="preserve"> </w:t>
      </w:r>
      <w:r>
        <w:rPr>
          <w:rFonts w:ascii="Times New Roman" w:hAnsi="Times New Roman" w:eastAsia="Times New Roman" w:cs="Times New Roman"/>
          <w:spacing w:val="-4"/>
          <w:position w:val="17"/>
          <w:sz w:val="24"/>
          <w:szCs w:val="24"/>
        </w:rPr>
        <w:t>IUCN</w:t>
      </w:r>
      <w:r>
        <w:rPr>
          <w:rFonts w:ascii="Times New Roman" w:hAnsi="Times New Roman" w:eastAsia="Times New Roman" w:cs="Times New Roman"/>
          <w:spacing w:val="26"/>
          <w:w w:val="101"/>
          <w:position w:val="17"/>
          <w:sz w:val="24"/>
          <w:szCs w:val="24"/>
        </w:rPr>
        <w:t xml:space="preserve"> </w:t>
      </w:r>
      <w:r>
        <w:rPr>
          <w:rFonts w:ascii="宋体" w:hAnsi="宋体" w:eastAsia="宋体" w:cs="宋体"/>
          <w:spacing w:val="-4"/>
          <w:position w:val="17"/>
          <w:sz w:val="24"/>
          <w:szCs w:val="24"/>
        </w:rPr>
        <w:t xml:space="preserve">红色名录、 </w:t>
      </w:r>
      <w:r>
        <w:rPr>
          <w:rFonts w:ascii="Times New Roman" w:hAnsi="Times New Roman" w:eastAsia="Times New Roman" w:cs="Times New Roman"/>
          <w:spacing w:val="-4"/>
          <w:position w:val="17"/>
          <w:sz w:val="24"/>
          <w:szCs w:val="24"/>
        </w:rPr>
        <w:t>CITES</w:t>
      </w:r>
      <w:r>
        <w:rPr>
          <w:rFonts w:ascii="Times New Roman" w:hAnsi="Times New Roman" w:eastAsia="Times New Roman" w:cs="Times New Roman"/>
          <w:spacing w:val="39"/>
          <w:w w:val="101"/>
          <w:position w:val="17"/>
          <w:sz w:val="24"/>
          <w:szCs w:val="24"/>
        </w:rPr>
        <w:t xml:space="preserve"> </w:t>
      </w:r>
      <w:r>
        <w:rPr>
          <w:rFonts w:ascii="宋体" w:hAnsi="宋体" w:eastAsia="宋体" w:cs="宋体"/>
          <w:spacing w:val="-4"/>
          <w:position w:val="17"/>
          <w:sz w:val="24"/>
          <w:szCs w:val="24"/>
        </w:rPr>
        <w:t>附录物</w:t>
      </w:r>
      <w:r>
        <w:rPr>
          <w:rFonts w:ascii="宋体" w:hAnsi="宋体" w:eastAsia="宋体" w:cs="宋体"/>
          <w:spacing w:val="-5"/>
          <w:position w:val="17"/>
          <w:sz w:val="24"/>
          <w:szCs w:val="24"/>
        </w:rPr>
        <w:t>种名录，水库工程评</w:t>
      </w:r>
    </w:p>
    <w:p>
      <w:pPr>
        <w:spacing w:line="218" w:lineRule="auto"/>
        <w:ind w:left="40"/>
        <w:rPr>
          <w:rFonts w:ascii="宋体" w:hAnsi="宋体" w:eastAsia="宋体" w:cs="宋体"/>
          <w:sz w:val="24"/>
          <w:szCs w:val="24"/>
        </w:rPr>
      </w:pPr>
      <w:r>
        <w:rPr>
          <w:rFonts w:ascii="宋体" w:hAnsi="宋体" w:eastAsia="宋体" w:cs="宋体"/>
          <w:spacing w:val="-3"/>
          <w:sz w:val="24"/>
          <w:szCs w:val="24"/>
        </w:rPr>
        <w:t>价区河段无珍稀濒危鱼类分布。</w:t>
      </w:r>
    </w:p>
    <w:p>
      <w:pPr>
        <w:spacing w:before="183" w:line="359" w:lineRule="auto"/>
        <w:ind w:left="42" w:right="31" w:firstLine="480"/>
        <w:rPr>
          <w:rFonts w:ascii="宋体" w:hAnsi="宋体" w:eastAsia="宋体" w:cs="宋体"/>
          <w:sz w:val="24"/>
          <w:szCs w:val="24"/>
        </w:rPr>
      </w:pPr>
      <w:r>
        <w:rPr>
          <w:rFonts w:ascii="宋体" w:hAnsi="宋体" w:eastAsia="宋体" w:cs="宋体"/>
          <w:sz w:val="24"/>
          <w:szCs w:val="24"/>
        </w:rPr>
        <w:t>水库的运行将改变坝下河段的水文情势，将使坝下鱼类生境变得更加不稳定。此外，</w:t>
      </w:r>
      <w:r>
        <w:rPr>
          <w:rFonts w:ascii="宋体" w:hAnsi="宋体" w:eastAsia="宋体" w:cs="宋体"/>
          <w:spacing w:val="13"/>
          <w:sz w:val="24"/>
          <w:szCs w:val="24"/>
        </w:rPr>
        <w:t xml:space="preserve"> </w:t>
      </w:r>
      <w:r>
        <w:rPr>
          <w:rFonts w:ascii="宋体" w:hAnsi="宋体" w:eastAsia="宋体" w:cs="宋体"/>
          <w:sz w:val="24"/>
          <w:szCs w:val="24"/>
        </w:rPr>
        <w:t>大坝建成后形成阻隔，可能对生境连通性及物种交流产生不利影响，河道内鱼类在金沙江</w:t>
      </w:r>
    </w:p>
    <w:p>
      <w:pPr>
        <w:spacing w:before="1" w:line="218" w:lineRule="auto"/>
        <w:ind w:left="61"/>
        <w:rPr>
          <w:rFonts w:ascii="宋体" w:hAnsi="宋体" w:eastAsia="宋体" w:cs="宋体"/>
          <w:sz w:val="24"/>
          <w:szCs w:val="24"/>
        </w:rPr>
      </w:pPr>
      <w:r>
        <w:rPr>
          <w:rFonts w:ascii="宋体" w:hAnsi="宋体" w:eastAsia="宋体" w:cs="宋体"/>
          <w:spacing w:val="-4"/>
          <w:sz w:val="24"/>
          <w:szCs w:val="24"/>
        </w:rPr>
        <w:t>中有分布，不会造成鱼类资源的灭绝。</w:t>
      </w:r>
    </w:p>
    <w:p>
      <w:pPr>
        <w:spacing w:line="395" w:lineRule="auto"/>
        <w:rPr>
          <w:rFonts w:ascii="Arial"/>
          <w:sz w:val="21"/>
        </w:rPr>
      </w:pPr>
    </w:p>
    <w:p>
      <w:pPr>
        <w:pStyle w:val="2"/>
        <w:spacing w:before="78" w:line="233" w:lineRule="auto"/>
        <w:ind w:left="37"/>
        <w:outlineLvl w:val="3"/>
        <w:rPr>
          <w:sz w:val="24"/>
          <w:szCs w:val="24"/>
        </w:rPr>
      </w:pPr>
      <w:r>
        <w:rPr>
          <w:rFonts w:ascii="Times New Roman" w:hAnsi="Times New Roman" w:eastAsia="Times New Roman" w:cs="Times New Roman"/>
          <w:b/>
          <w:bCs/>
          <w:spacing w:val="-1"/>
          <w:sz w:val="24"/>
          <w:szCs w:val="24"/>
        </w:rPr>
        <w:t xml:space="preserve">9.5.2 </w:t>
      </w:r>
      <w:r>
        <w:rPr>
          <w:spacing w:val="-1"/>
          <w:sz w:val="24"/>
          <w:szCs w:val="24"/>
          <w14:textOutline w14:w="4354" w14:cap="flat" w14:cmpd="sng">
            <w14:solidFill>
              <w14:srgbClr w14:val="000000"/>
            </w14:solidFill>
            <w14:prstDash w14:val="solid"/>
            <w14:miter w14:val="0"/>
          </w14:textOutline>
        </w:rPr>
        <w:t>水环境影响</w:t>
      </w:r>
    </w:p>
    <w:p>
      <w:pPr>
        <w:spacing w:before="164" w:line="467" w:lineRule="exact"/>
        <w:ind w:right="31"/>
        <w:jc w:val="right"/>
        <w:rPr>
          <w:rFonts w:ascii="宋体" w:hAnsi="宋体" w:eastAsia="宋体" w:cs="宋体"/>
          <w:sz w:val="24"/>
          <w:szCs w:val="24"/>
        </w:rPr>
      </w:pPr>
      <w:r>
        <w:rPr>
          <w:rFonts w:ascii="宋体" w:hAnsi="宋体" w:eastAsia="宋体" w:cs="宋体"/>
          <w:spacing w:val="1"/>
          <w:position w:val="17"/>
          <w:sz w:val="24"/>
          <w:szCs w:val="24"/>
        </w:rPr>
        <w:t>施工期生产废水回用不外排，生活污水用于农</w:t>
      </w:r>
      <w:r>
        <w:rPr>
          <w:rFonts w:ascii="宋体" w:hAnsi="宋体" w:eastAsia="宋体" w:cs="宋体"/>
          <w:position w:val="17"/>
          <w:sz w:val="24"/>
          <w:szCs w:val="24"/>
        </w:rPr>
        <w:t>肥，对地表水环境影响小。隧洞涌水沉</w:t>
      </w:r>
    </w:p>
    <w:p>
      <w:pPr>
        <w:spacing w:line="219" w:lineRule="auto"/>
        <w:ind w:left="42"/>
        <w:rPr>
          <w:rFonts w:ascii="宋体" w:hAnsi="宋体" w:eastAsia="宋体" w:cs="宋体"/>
          <w:sz w:val="24"/>
          <w:szCs w:val="24"/>
        </w:rPr>
      </w:pPr>
      <w:r>
        <w:rPr>
          <w:rFonts w:ascii="宋体" w:hAnsi="宋体" w:eastAsia="宋体" w:cs="宋体"/>
          <w:spacing w:val="-2"/>
          <w:sz w:val="24"/>
          <w:szCs w:val="24"/>
        </w:rPr>
        <w:t>淀池处理后排入马茨河，对马茨河水质影响小。</w:t>
      </w:r>
    </w:p>
    <w:p>
      <w:pPr>
        <w:spacing w:before="182" w:line="359" w:lineRule="auto"/>
        <w:ind w:left="40" w:right="28" w:firstLine="479"/>
        <w:rPr>
          <w:rFonts w:ascii="宋体" w:hAnsi="宋体" w:eastAsia="宋体" w:cs="宋体"/>
          <w:sz w:val="24"/>
          <w:szCs w:val="24"/>
        </w:rPr>
      </w:pPr>
      <w:r>
        <w:rPr>
          <w:rFonts w:ascii="宋体" w:hAnsi="宋体" w:eastAsia="宋体" w:cs="宋体"/>
          <w:spacing w:val="-1"/>
          <w:sz w:val="24"/>
          <w:szCs w:val="24"/>
        </w:rPr>
        <w:t>运营期设置永久生态放流管，不会造成河段的断流现象，减缓对下游</w:t>
      </w:r>
      <w:r>
        <w:rPr>
          <w:rFonts w:ascii="宋体" w:hAnsi="宋体" w:eastAsia="宋体" w:cs="宋体"/>
          <w:spacing w:val="-27"/>
          <w:sz w:val="24"/>
          <w:szCs w:val="24"/>
        </w:rPr>
        <w:t xml:space="preserve"> </w:t>
      </w:r>
      <w:r>
        <w:rPr>
          <w:rFonts w:ascii="Times New Roman" w:hAnsi="Times New Roman" w:eastAsia="Times New Roman" w:cs="Times New Roman"/>
          <w:spacing w:val="-1"/>
          <w:sz w:val="24"/>
          <w:szCs w:val="24"/>
        </w:rPr>
        <w:t>27.78km</w:t>
      </w:r>
      <w:r>
        <w:rPr>
          <w:rFonts w:ascii="Times New Roman" w:hAnsi="Times New Roman" w:eastAsia="Times New Roman" w:cs="Times New Roman"/>
          <w:spacing w:val="21"/>
          <w:w w:val="101"/>
          <w:sz w:val="24"/>
          <w:szCs w:val="24"/>
        </w:rPr>
        <w:t xml:space="preserve"> </w:t>
      </w:r>
      <w:r>
        <w:rPr>
          <w:rFonts w:ascii="宋体" w:hAnsi="宋体" w:eastAsia="宋体" w:cs="宋体"/>
          <w:spacing w:val="-1"/>
          <w:sz w:val="24"/>
          <w:szCs w:val="24"/>
        </w:rPr>
        <w:t>减水河</w:t>
      </w:r>
      <w:r>
        <w:rPr>
          <w:rFonts w:ascii="宋体" w:hAnsi="宋体" w:eastAsia="宋体" w:cs="宋体"/>
          <w:sz w:val="24"/>
          <w:szCs w:val="24"/>
        </w:rPr>
        <w:t xml:space="preserve"> 段的水文情势影响。项目生态流量下泄口至汇入万马河之间还有叭拉河、小河、芭蕉箐河</w:t>
      </w:r>
    </w:p>
    <w:p>
      <w:pPr>
        <w:spacing w:before="1" w:line="218" w:lineRule="auto"/>
        <w:ind w:left="41"/>
        <w:rPr>
          <w:rFonts w:ascii="宋体" w:hAnsi="宋体" w:eastAsia="宋体" w:cs="宋体"/>
          <w:sz w:val="24"/>
          <w:szCs w:val="24"/>
        </w:rPr>
      </w:pPr>
      <w:r>
        <w:rPr>
          <w:rFonts w:ascii="宋体" w:hAnsi="宋体" w:eastAsia="宋体" w:cs="宋体"/>
          <w:spacing w:val="-2"/>
          <w:sz w:val="24"/>
          <w:szCs w:val="24"/>
        </w:rPr>
        <w:t>等几条较大支流汇入以及其他小型支流汇入，河道减水率逐渐降低。</w:t>
      </w:r>
    </w:p>
    <w:p>
      <w:pPr>
        <w:spacing w:before="182" w:line="467" w:lineRule="exact"/>
        <w:ind w:right="31"/>
        <w:jc w:val="right"/>
        <w:rPr>
          <w:rFonts w:ascii="宋体" w:hAnsi="宋体" w:eastAsia="宋体" w:cs="宋体"/>
          <w:sz w:val="24"/>
          <w:szCs w:val="24"/>
        </w:rPr>
      </w:pPr>
      <w:r>
        <w:rPr>
          <w:rFonts w:ascii="宋体" w:hAnsi="宋体" w:eastAsia="宋体" w:cs="宋体"/>
          <w:spacing w:val="-2"/>
          <w:position w:val="17"/>
          <w:sz w:val="24"/>
          <w:szCs w:val="24"/>
        </w:rPr>
        <w:t>桂花水库库区水质不会产生富营养化。施工期、运营期污水不外排</w:t>
      </w:r>
      <w:r>
        <w:rPr>
          <w:rFonts w:ascii="宋体" w:hAnsi="宋体" w:eastAsia="宋体" w:cs="宋体"/>
          <w:spacing w:val="-3"/>
          <w:position w:val="17"/>
          <w:sz w:val="24"/>
          <w:szCs w:val="24"/>
        </w:rPr>
        <w:t>，</w:t>
      </w:r>
      <w:r>
        <w:rPr>
          <w:rFonts w:ascii="宋体" w:hAnsi="宋体" w:eastAsia="宋体" w:cs="宋体"/>
          <w:spacing w:val="-22"/>
          <w:position w:val="17"/>
          <w:sz w:val="24"/>
          <w:szCs w:val="24"/>
        </w:rPr>
        <w:t xml:space="preserve"> </w:t>
      </w:r>
      <w:r>
        <w:rPr>
          <w:rFonts w:ascii="宋体" w:hAnsi="宋体" w:eastAsia="宋体" w:cs="宋体"/>
          <w:spacing w:val="-3"/>
          <w:position w:val="17"/>
          <w:sz w:val="24"/>
          <w:szCs w:val="24"/>
        </w:rPr>
        <w:t>对桂花河水质影</w:t>
      </w:r>
    </w:p>
    <w:p>
      <w:pPr>
        <w:spacing w:before="1" w:line="221" w:lineRule="auto"/>
        <w:ind w:left="51"/>
        <w:rPr>
          <w:rFonts w:ascii="宋体" w:hAnsi="宋体" w:eastAsia="宋体" w:cs="宋体"/>
          <w:sz w:val="24"/>
          <w:szCs w:val="24"/>
        </w:rPr>
      </w:pPr>
      <w:r>
        <w:rPr>
          <w:rFonts w:ascii="宋体" w:hAnsi="宋体" w:eastAsia="宋体" w:cs="宋体"/>
          <w:spacing w:val="-13"/>
          <w:sz w:val="24"/>
          <w:szCs w:val="24"/>
        </w:rPr>
        <w:t>响小。</w:t>
      </w:r>
    </w:p>
    <w:p>
      <w:pPr>
        <w:spacing w:line="392" w:lineRule="auto"/>
        <w:rPr>
          <w:rFonts w:ascii="Arial"/>
          <w:sz w:val="21"/>
        </w:rPr>
      </w:pPr>
    </w:p>
    <w:p>
      <w:pPr>
        <w:pStyle w:val="2"/>
        <w:spacing w:before="78" w:line="233" w:lineRule="auto"/>
        <w:ind w:left="37"/>
        <w:outlineLvl w:val="3"/>
        <w:rPr>
          <w:sz w:val="24"/>
          <w:szCs w:val="24"/>
        </w:rPr>
      </w:pPr>
      <w:r>
        <w:rPr>
          <w:rFonts w:ascii="Times New Roman" w:hAnsi="Times New Roman" w:eastAsia="Times New Roman" w:cs="Times New Roman"/>
          <w:b/>
          <w:bCs/>
          <w:spacing w:val="-1"/>
          <w:sz w:val="24"/>
          <w:szCs w:val="24"/>
        </w:rPr>
        <w:t xml:space="preserve">9.5.3 </w:t>
      </w:r>
      <w:r>
        <w:rPr>
          <w:spacing w:val="-1"/>
          <w:sz w:val="24"/>
          <w:szCs w:val="24"/>
          <w14:textOutline w14:w="4354" w14:cap="flat" w14:cmpd="sng">
            <w14:solidFill>
              <w14:srgbClr w14:val="000000"/>
            </w14:solidFill>
            <w14:prstDash w14:val="solid"/>
            <w14:miter w14:val="0"/>
          </w14:textOutline>
        </w:rPr>
        <w:t>环境空气影响</w:t>
      </w:r>
    </w:p>
    <w:p>
      <w:pPr>
        <w:spacing w:before="163" w:line="359" w:lineRule="auto"/>
        <w:ind w:left="42" w:right="30" w:firstLine="476"/>
        <w:jc w:val="both"/>
        <w:rPr>
          <w:rFonts w:ascii="宋体" w:hAnsi="宋体" w:eastAsia="宋体" w:cs="宋体"/>
          <w:sz w:val="24"/>
          <w:szCs w:val="24"/>
        </w:rPr>
      </w:pPr>
      <w:r>
        <w:rPr>
          <w:rFonts w:ascii="宋体" w:hAnsi="宋体" w:eastAsia="宋体" w:cs="宋体"/>
          <w:sz w:val="24"/>
          <w:szCs w:val="24"/>
        </w:rPr>
        <w:t>施工期大气污染物的局部增加不会对区域环境空气质量造成较大的影响，通过实施洒</w:t>
      </w:r>
      <w:r>
        <w:rPr>
          <w:rFonts w:ascii="宋体" w:hAnsi="宋体" w:eastAsia="宋体" w:cs="宋体"/>
          <w:spacing w:val="15"/>
          <w:sz w:val="24"/>
          <w:szCs w:val="24"/>
        </w:rPr>
        <w:t xml:space="preserve"> </w:t>
      </w:r>
      <w:r>
        <w:rPr>
          <w:rFonts w:ascii="宋体" w:hAnsi="宋体" w:eastAsia="宋体" w:cs="宋体"/>
          <w:sz w:val="24"/>
          <w:szCs w:val="24"/>
        </w:rPr>
        <w:t>水降尘等措施后，施工扬尘对施工人员的影响较小。水库运行期不会对项目区域的环境空</w:t>
      </w:r>
    </w:p>
    <w:p>
      <w:pPr>
        <w:spacing w:before="1" w:line="219" w:lineRule="auto"/>
        <w:ind w:left="40"/>
        <w:rPr>
          <w:rFonts w:ascii="宋体" w:hAnsi="宋体" w:eastAsia="宋体" w:cs="宋体"/>
          <w:sz w:val="24"/>
          <w:szCs w:val="24"/>
        </w:rPr>
      </w:pPr>
      <w:r>
        <w:rPr>
          <w:rFonts w:ascii="宋体" w:hAnsi="宋体" w:eastAsia="宋体" w:cs="宋体"/>
          <w:spacing w:val="-2"/>
          <w:sz w:val="24"/>
          <w:szCs w:val="24"/>
        </w:rPr>
        <w:t>气产生不利影响。</w:t>
      </w:r>
    </w:p>
    <w:p>
      <w:pPr>
        <w:spacing w:line="395" w:lineRule="auto"/>
        <w:rPr>
          <w:rFonts w:ascii="Arial"/>
          <w:sz w:val="21"/>
        </w:rPr>
      </w:pPr>
    </w:p>
    <w:p>
      <w:pPr>
        <w:pStyle w:val="2"/>
        <w:spacing w:before="79" w:line="233" w:lineRule="auto"/>
        <w:ind w:left="37"/>
        <w:outlineLvl w:val="3"/>
        <w:rPr>
          <w:sz w:val="24"/>
          <w:szCs w:val="24"/>
        </w:rPr>
      </w:pPr>
      <w:r>
        <w:rPr>
          <w:rFonts w:ascii="Times New Roman" w:hAnsi="Times New Roman" w:eastAsia="Times New Roman" w:cs="Times New Roman"/>
          <w:b/>
          <w:bCs/>
          <w:spacing w:val="-1"/>
          <w:sz w:val="24"/>
          <w:szCs w:val="24"/>
        </w:rPr>
        <w:t xml:space="preserve">9.5.4 </w:t>
      </w:r>
      <w:r>
        <w:rPr>
          <w:spacing w:val="-1"/>
          <w:sz w:val="24"/>
          <w:szCs w:val="24"/>
          <w14:textOutline w14:w="4354" w14:cap="flat" w14:cmpd="sng">
            <w14:solidFill>
              <w14:srgbClr w14:val="000000"/>
            </w14:solidFill>
            <w14:prstDash w14:val="solid"/>
            <w14:miter w14:val="0"/>
          </w14:textOutline>
        </w:rPr>
        <w:t>声环境影响</w:t>
      </w:r>
    </w:p>
    <w:p>
      <w:pPr>
        <w:spacing w:before="163" w:line="467" w:lineRule="exact"/>
        <w:ind w:right="31"/>
        <w:jc w:val="right"/>
        <w:rPr>
          <w:rFonts w:ascii="宋体" w:hAnsi="宋体" w:eastAsia="宋体" w:cs="宋体"/>
          <w:sz w:val="24"/>
          <w:szCs w:val="24"/>
        </w:rPr>
      </w:pPr>
      <w:r>
        <w:rPr>
          <w:rFonts w:ascii="宋体" w:hAnsi="宋体" w:eastAsia="宋体" w:cs="宋体"/>
          <w:position w:val="17"/>
          <w:sz w:val="24"/>
          <w:szCs w:val="24"/>
        </w:rPr>
        <w:t>水库施工期受施工噪声影响较大的是施工机械噪声，通过采取合理安排施工时间及其</w:t>
      </w:r>
    </w:p>
    <w:p>
      <w:pPr>
        <w:spacing w:before="1" w:line="218" w:lineRule="auto"/>
        <w:ind w:left="39"/>
        <w:rPr>
          <w:rFonts w:ascii="宋体" w:hAnsi="宋体" w:eastAsia="宋体" w:cs="宋体"/>
          <w:sz w:val="24"/>
          <w:szCs w:val="24"/>
        </w:rPr>
      </w:pPr>
      <w:r>
        <w:rPr>
          <w:rFonts w:ascii="宋体" w:hAnsi="宋体" w:eastAsia="宋体" w:cs="宋体"/>
          <w:spacing w:val="-3"/>
          <w:sz w:val="24"/>
          <w:szCs w:val="24"/>
        </w:rPr>
        <w:t>他措施后，可减小对沿线周围村庄的影响。</w:t>
      </w:r>
    </w:p>
    <w:p>
      <w:pPr>
        <w:spacing w:line="395" w:lineRule="auto"/>
        <w:rPr>
          <w:rFonts w:ascii="Arial"/>
          <w:sz w:val="21"/>
        </w:rPr>
      </w:pPr>
    </w:p>
    <w:p>
      <w:pPr>
        <w:pStyle w:val="2"/>
        <w:spacing w:before="78" w:line="233" w:lineRule="auto"/>
        <w:ind w:left="37"/>
        <w:outlineLvl w:val="3"/>
        <w:rPr>
          <w:sz w:val="24"/>
          <w:szCs w:val="24"/>
        </w:rPr>
      </w:pPr>
      <w:r>
        <w:rPr>
          <w:rFonts w:ascii="Times New Roman" w:hAnsi="Times New Roman" w:eastAsia="Times New Roman" w:cs="Times New Roman"/>
          <w:b/>
          <w:bCs/>
          <w:spacing w:val="-2"/>
          <w:sz w:val="24"/>
          <w:szCs w:val="24"/>
        </w:rPr>
        <w:t>9.5.2</w:t>
      </w:r>
      <w:r>
        <w:rPr>
          <w:rFonts w:ascii="Times New Roman" w:hAnsi="Times New Roman" w:eastAsia="Times New Roman" w:cs="Times New Roman"/>
          <w:b/>
          <w:bCs/>
          <w:spacing w:val="23"/>
          <w:sz w:val="24"/>
          <w:szCs w:val="24"/>
        </w:rPr>
        <w:t xml:space="preserve"> </w:t>
      </w:r>
      <w:r>
        <w:rPr>
          <w:spacing w:val="-2"/>
          <w:sz w:val="24"/>
          <w:szCs w:val="24"/>
          <w14:textOutline w14:w="4354" w14:cap="flat" w14:cmpd="sng">
            <w14:solidFill>
              <w14:srgbClr w14:val="000000"/>
            </w14:solidFill>
            <w14:prstDash w14:val="solid"/>
            <w14:miter w14:val="0"/>
          </w14:textOutline>
        </w:rPr>
        <w:t>固体废物环境影响</w:t>
      </w:r>
    </w:p>
    <w:p>
      <w:pPr>
        <w:spacing w:before="163" w:line="467" w:lineRule="exact"/>
        <w:ind w:right="37"/>
        <w:jc w:val="right"/>
        <w:rPr>
          <w:rFonts w:ascii="宋体" w:hAnsi="宋体" w:eastAsia="宋体" w:cs="宋体"/>
          <w:sz w:val="24"/>
          <w:szCs w:val="24"/>
        </w:rPr>
      </w:pPr>
      <w:r>
        <w:rPr>
          <w:rFonts w:ascii="宋体" w:hAnsi="宋体" w:eastAsia="宋体" w:cs="宋体"/>
          <w:spacing w:val="-3"/>
          <w:position w:val="17"/>
          <w:sz w:val="24"/>
          <w:szCs w:val="24"/>
        </w:rPr>
        <w:t>水库产生的弃渣堆存在弃渣场，工程水土保持措施将与工程同步实施， 在做好渣场的</w:t>
      </w:r>
    </w:p>
    <w:p>
      <w:pPr>
        <w:spacing w:before="1" w:line="219" w:lineRule="auto"/>
        <w:ind w:left="40"/>
        <w:rPr>
          <w:rFonts w:ascii="宋体" w:hAnsi="宋体" w:eastAsia="宋体" w:cs="宋体"/>
          <w:sz w:val="24"/>
          <w:szCs w:val="24"/>
        </w:rPr>
      </w:pPr>
      <w:r>
        <w:rPr>
          <w:rFonts w:ascii="宋体" w:hAnsi="宋体" w:eastAsia="宋体" w:cs="宋体"/>
          <w:spacing w:val="-1"/>
          <w:sz w:val="24"/>
          <w:szCs w:val="24"/>
        </w:rPr>
        <w:t>护坡挡墙、排水和覆土绿化后，可有效减小</w:t>
      </w:r>
      <w:r>
        <w:rPr>
          <w:rFonts w:ascii="宋体" w:hAnsi="宋体" w:eastAsia="宋体" w:cs="宋体"/>
          <w:spacing w:val="-2"/>
          <w:sz w:val="24"/>
          <w:szCs w:val="24"/>
        </w:rPr>
        <w:t>弃渣对环境的影响。</w:t>
      </w:r>
    </w:p>
    <w:p>
      <w:pPr>
        <w:spacing w:before="182" w:line="468" w:lineRule="exact"/>
        <w:ind w:right="32"/>
        <w:jc w:val="right"/>
        <w:rPr>
          <w:rFonts w:ascii="宋体" w:hAnsi="宋体" w:eastAsia="宋体" w:cs="宋体"/>
          <w:sz w:val="24"/>
          <w:szCs w:val="24"/>
        </w:rPr>
      </w:pPr>
      <w:r>
        <w:rPr>
          <w:rFonts w:ascii="宋体" w:hAnsi="宋体" w:eastAsia="宋体" w:cs="宋体"/>
          <w:spacing w:val="-2"/>
          <w:position w:val="17"/>
          <w:sz w:val="24"/>
          <w:szCs w:val="24"/>
        </w:rPr>
        <w:t>施工期生活垃圾和运营期管理人员生活垃圾，通过设施垃圾桶集中统一收集后</w:t>
      </w:r>
      <w:r>
        <w:rPr>
          <w:rFonts w:ascii="宋体" w:hAnsi="宋体" w:eastAsia="宋体" w:cs="宋体"/>
          <w:spacing w:val="-3"/>
          <w:position w:val="17"/>
          <w:sz w:val="24"/>
          <w:szCs w:val="24"/>
        </w:rPr>
        <w:t>，</w:t>
      </w:r>
      <w:r>
        <w:rPr>
          <w:rFonts w:ascii="宋体" w:hAnsi="宋体" w:eastAsia="宋体" w:cs="宋体"/>
          <w:spacing w:val="-24"/>
          <w:position w:val="17"/>
          <w:sz w:val="24"/>
          <w:szCs w:val="24"/>
        </w:rPr>
        <w:t xml:space="preserve"> </w:t>
      </w:r>
      <w:r>
        <w:rPr>
          <w:rFonts w:ascii="宋体" w:hAnsi="宋体" w:eastAsia="宋体" w:cs="宋体"/>
          <w:spacing w:val="-3"/>
          <w:position w:val="17"/>
          <w:sz w:val="24"/>
          <w:szCs w:val="24"/>
        </w:rPr>
        <w:t>委托</w:t>
      </w:r>
    </w:p>
    <w:p>
      <w:pPr>
        <w:spacing w:line="219" w:lineRule="auto"/>
        <w:ind w:left="54"/>
        <w:rPr>
          <w:rFonts w:ascii="宋体" w:hAnsi="宋体" w:eastAsia="宋体" w:cs="宋体"/>
          <w:sz w:val="24"/>
          <w:szCs w:val="24"/>
        </w:rPr>
      </w:pPr>
      <w:r>
        <w:rPr>
          <w:rFonts w:ascii="宋体" w:hAnsi="宋体" w:eastAsia="宋体" w:cs="宋体"/>
          <w:spacing w:val="-5"/>
          <w:sz w:val="24"/>
          <w:szCs w:val="24"/>
        </w:rPr>
        <w:t>当地环卫部门进行处置。</w:t>
      </w:r>
    </w:p>
    <w:p>
      <w:pPr>
        <w:spacing w:before="181" w:line="220" w:lineRule="auto"/>
        <w:ind w:left="523"/>
        <w:rPr>
          <w:rFonts w:ascii="宋体" w:hAnsi="宋体" w:eastAsia="宋体" w:cs="宋体"/>
          <w:sz w:val="24"/>
          <w:szCs w:val="24"/>
        </w:rPr>
      </w:pPr>
      <w:r>
        <w:rPr>
          <w:rFonts w:ascii="宋体" w:hAnsi="宋体" w:eastAsia="宋体" w:cs="宋体"/>
          <w:spacing w:val="-4"/>
          <w:sz w:val="24"/>
          <w:szCs w:val="24"/>
        </w:rPr>
        <w:t>项目固废处置率</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100%</w:t>
      </w:r>
      <w:r>
        <w:rPr>
          <w:rFonts w:ascii="宋体" w:hAnsi="宋体" w:eastAsia="宋体" w:cs="宋体"/>
          <w:spacing w:val="-4"/>
          <w:sz w:val="24"/>
          <w:szCs w:val="24"/>
        </w:rPr>
        <w:t>，对环境的影响小。</w:t>
      </w:r>
    </w:p>
    <w:p>
      <w:pPr>
        <w:spacing w:line="220" w:lineRule="auto"/>
        <w:rPr>
          <w:rFonts w:ascii="宋体" w:hAnsi="宋体" w:eastAsia="宋体" w:cs="宋体"/>
          <w:sz w:val="24"/>
          <w:szCs w:val="24"/>
        </w:rPr>
        <w:sectPr>
          <w:footerReference r:id="rId489" w:type="default"/>
          <w:pgSz w:w="11910" w:h="16840"/>
          <w:pgMar w:top="1183" w:right="1229" w:bottom="1582" w:left="1230" w:header="908" w:footer="1419" w:gutter="0"/>
        </w:sectPr>
      </w:pPr>
    </w:p>
    <w:p>
      <w:pPr>
        <w:pStyle w:val="2"/>
        <w:spacing w:before="176"/>
        <w:ind w:left="38"/>
        <w:outlineLvl w:val="2"/>
        <w:rPr>
          <w:sz w:val="27"/>
          <w:szCs w:val="27"/>
        </w:rPr>
      </w:pPr>
      <w:bookmarkStart w:id="61" w:name="bookmark62"/>
      <w:bookmarkEnd w:id="61"/>
      <w:r>
        <w:rPr>
          <w:rFonts w:ascii="Times New Roman" w:hAnsi="Times New Roman" w:eastAsia="Times New Roman" w:cs="Times New Roman"/>
          <w:b/>
          <w:bCs/>
          <w:spacing w:val="6"/>
          <w:sz w:val="27"/>
          <w:szCs w:val="27"/>
        </w:rPr>
        <w:t>9.6</w:t>
      </w:r>
      <w:r>
        <w:rPr>
          <w:rFonts w:ascii="Times New Roman" w:hAnsi="Times New Roman" w:eastAsia="Times New Roman" w:cs="Times New Roman"/>
          <w:b/>
          <w:bCs/>
          <w:spacing w:val="60"/>
          <w:w w:val="101"/>
          <w:sz w:val="27"/>
          <w:szCs w:val="27"/>
        </w:rPr>
        <w:t xml:space="preserve"> </w:t>
      </w:r>
      <w:r>
        <w:rPr>
          <w:spacing w:val="6"/>
          <w:sz w:val="27"/>
          <w:szCs w:val="27"/>
          <w14:textOutline w14:w="5072" w14:cap="flat" w14:cmpd="sng">
            <w14:solidFill>
              <w14:srgbClr w14:val="000000"/>
            </w14:solidFill>
            <w14:prstDash w14:val="solid"/>
            <w14:miter w14:val="0"/>
          </w14:textOutline>
        </w:rPr>
        <w:t>主要环境保护措施</w:t>
      </w:r>
    </w:p>
    <w:p>
      <w:pPr>
        <w:spacing w:line="243" w:lineRule="auto"/>
        <w:rPr>
          <w:rFonts w:ascii="Arial"/>
          <w:sz w:val="21"/>
        </w:rPr>
      </w:pPr>
    </w:p>
    <w:p>
      <w:pPr>
        <w:pStyle w:val="2"/>
        <w:spacing w:before="78" w:line="233" w:lineRule="auto"/>
        <w:ind w:left="37"/>
        <w:outlineLvl w:val="3"/>
        <w:rPr>
          <w:sz w:val="24"/>
          <w:szCs w:val="24"/>
        </w:rPr>
      </w:pPr>
      <w:r>
        <w:rPr>
          <w:rFonts w:ascii="Times New Roman" w:hAnsi="Times New Roman" w:eastAsia="Times New Roman" w:cs="Times New Roman"/>
          <w:b/>
          <w:bCs/>
          <w:spacing w:val="-1"/>
          <w:sz w:val="24"/>
          <w:szCs w:val="24"/>
        </w:rPr>
        <w:t xml:space="preserve">9.6.1 </w:t>
      </w:r>
      <w:r>
        <w:rPr>
          <w:spacing w:val="-1"/>
          <w:sz w:val="24"/>
          <w:szCs w:val="24"/>
          <w14:textOutline w14:w="4354" w14:cap="flat" w14:cmpd="sng">
            <w14:solidFill>
              <w14:srgbClr w14:val="000000"/>
            </w14:solidFill>
            <w14:prstDash w14:val="solid"/>
            <w14:miter w14:val="0"/>
          </w14:textOutline>
        </w:rPr>
        <w:t>生态环境保护措施</w:t>
      </w:r>
    </w:p>
    <w:p>
      <w:pPr>
        <w:spacing w:before="165" w:line="359" w:lineRule="auto"/>
        <w:ind w:left="40" w:right="45" w:firstLine="478"/>
        <w:rPr>
          <w:rFonts w:ascii="宋体" w:hAnsi="宋体" w:eastAsia="宋体" w:cs="宋体"/>
          <w:sz w:val="24"/>
          <w:szCs w:val="24"/>
        </w:rPr>
      </w:pPr>
      <w:r>
        <w:rPr>
          <w:rFonts w:ascii="宋体" w:hAnsi="宋体" w:eastAsia="宋体" w:cs="宋体"/>
          <w:sz w:val="24"/>
          <w:szCs w:val="24"/>
        </w:rPr>
        <w:t>优化施工组织设计，减少征占地，减少对植被、景观的破坏；严禁在施工区及其猎捕</w:t>
      </w:r>
      <w:r>
        <w:rPr>
          <w:rFonts w:ascii="宋体" w:hAnsi="宋体" w:eastAsia="宋体" w:cs="宋体"/>
          <w:spacing w:val="6"/>
          <w:sz w:val="24"/>
          <w:szCs w:val="24"/>
        </w:rPr>
        <w:t xml:space="preserve"> </w:t>
      </w:r>
      <w:r>
        <w:rPr>
          <w:rFonts w:ascii="宋体" w:hAnsi="宋体" w:eastAsia="宋体" w:cs="宋体"/>
          <w:sz w:val="24"/>
          <w:szCs w:val="24"/>
        </w:rPr>
        <w:t>和食用野生动物；严格按照划定范围施工，禁止滥砍滥伐；制定合理的施工作业时间表，</w:t>
      </w:r>
      <w:r>
        <w:rPr>
          <w:rFonts w:ascii="宋体" w:hAnsi="宋体" w:eastAsia="宋体" w:cs="宋体"/>
          <w:spacing w:val="4"/>
          <w:sz w:val="24"/>
          <w:szCs w:val="24"/>
        </w:rPr>
        <w:t xml:space="preserve"> </w:t>
      </w:r>
      <w:r>
        <w:rPr>
          <w:rFonts w:ascii="宋体" w:hAnsi="宋体" w:eastAsia="宋体" w:cs="宋体"/>
          <w:spacing w:val="-1"/>
          <w:sz w:val="24"/>
          <w:szCs w:val="24"/>
        </w:rPr>
        <w:t>合理安排施工方式、时间，尽可能避免施工对野生动物的惊扰。对于永久性占用的林地，</w:t>
      </w:r>
    </w:p>
    <w:p>
      <w:pPr>
        <w:spacing w:before="1" w:line="218" w:lineRule="auto"/>
        <w:ind w:left="39"/>
        <w:rPr>
          <w:rFonts w:ascii="宋体" w:hAnsi="宋体" w:eastAsia="宋体" w:cs="宋体"/>
          <w:sz w:val="24"/>
          <w:szCs w:val="24"/>
        </w:rPr>
      </w:pPr>
      <w:r>
        <w:rPr>
          <w:rFonts w:ascii="宋体" w:hAnsi="宋体" w:eastAsia="宋体" w:cs="宋体"/>
          <w:sz w:val="24"/>
          <w:szCs w:val="24"/>
        </w:rPr>
        <w:t>应根据有关规定采取异地补偿的方法恢复，对临</w:t>
      </w:r>
      <w:r>
        <w:rPr>
          <w:rFonts w:ascii="宋体" w:hAnsi="宋体" w:eastAsia="宋体" w:cs="宋体"/>
          <w:spacing w:val="-1"/>
          <w:sz w:val="24"/>
          <w:szCs w:val="24"/>
        </w:rPr>
        <w:t>时占地及时进行恢复。</w:t>
      </w:r>
    </w:p>
    <w:p>
      <w:pPr>
        <w:spacing w:line="395" w:lineRule="auto"/>
        <w:rPr>
          <w:rFonts w:ascii="Arial"/>
          <w:sz w:val="21"/>
        </w:rPr>
      </w:pPr>
    </w:p>
    <w:p>
      <w:pPr>
        <w:pStyle w:val="2"/>
        <w:spacing w:before="78" w:line="233" w:lineRule="auto"/>
        <w:ind w:left="37"/>
        <w:outlineLvl w:val="3"/>
        <w:rPr>
          <w:sz w:val="24"/>
          <w:szCs w:val="24"/>
        </w:rPr>
      </w:pPr>
      <w:r>
        <w:rPr>
          <w:rFonts w:ascii="Times New Roman" w:hAnsi="Times New Roman" w:eastAsia="Times New Roman" w:cs="Times New Roman"/>
          <w:b/>
          <w:bCs/>
          <w:sz w:val="24"/>
          <w:szCs w:val="24"/>
        </w:rPr>
        <w:t xml:space="preserve">9.6.2 </w:t>
      </w:r>
      <w:r>
        <w:rPr>
          <w:sz w:val="24"/>
          <w:szCs w:val="24"/>
          <w14:textOutline w14:w="4354" w14:cap="flat" w14:cmpd="sng">
            <w14:solidFill>
              <w14:srgbClr w14:val="000000"/>
            </w14:solidFill>
            <w14:prstDash w14:val="solid"/>
            <w14:miter w14:val="0"/>
          </w14:textOutline>
        </w:rPr>
        <w:t>水环境保护措施</w:t>
      </w:r>
    </w:p>
    <w:p>
      <w:pPr>
        <w:spacing w:before="163"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1</w:t>
      </w:r>
      <w:r>
        <w:rPr>
          <w:rFonts w:ascii="宋体" w:hAnsi="宋体" w:eastAsia="宋体" w:cs="宋体"/>
          <w:spacing w:val="-5"/>
          <w:sz w:val="24"/>
          <w:szCs w:val="24"/>
        </w:rPr>
        <w:t>）施工期</w:t>
      </w:r>
    </w:p>
    <w:p>
      <w:pPr>
        <w:spacing w:before="180" w:line="359" w:lineRule="auto"/>
        <w:ind w:left="39" w:right="30" w:firstLine="482"/>
        <w:rPr>
          <w:rFonts w:ascii="宋体" w:hAnsi="宋体" w:eastAsia="宋体" w:cs="宋体"/>
          <w:sz w:val="24"/>
          <w:szCs w:val="24"/>
        </w:rPr>
      </w:pPr>
      <w:r>
        <w:rPr>
          <w:rFonts w:ascii="宋体" w:hAnsi="宋体" w:eastAsia="宋体" w:cs="宋体"/>
          <w:spacing w:val="-3"/>
          <w:sz w:val="24"/>
          <w:szCs w:val="24"/>
        </w:rPr>
        <w:t>混凝土拌和设备清洗废水、基坑排水、砂石料加工系统废水经沉淀处理后回用， 不外</w:t>
      </w:r>
      <w:r>
        <w:rPr>
          <w:rFonts w:ascii="宋体" w:hAnsi="宋体" w:eastAsia="宋体" w:cs="宋体"/>
          <w:spacing w:val="9"/>
          <w:sz w:val="24"/>
          <w:szCs w:val="24"/>
        </w:rPr>
        <w:t xml:space="preserve"> </w:t>
      </w:r>
      <w:r>
        <w:rPr>
          <w:rFonts w:ascii="宋体" w:hAnsi="宋体" w:eastAsia="宋体" w:cs="宋体"/>
          <w:spacing w:val="-12"/>
          <w:sz w:val="24"/>
          <w:szCs w:val="24"/>
        </w:rPr>
        <w:t>排；隧洞涌水经沉淀处理后排入马茨河； 生活营地修建化粪池， 生活污水进入</w:t>
      </w:r>
      <w:r>
        <w:rPr>
          <w:rFonts w:ascii="宋体" w:hAnsi="宋体" w:eastAsia="宋体" w:cs="宋体"/>
          <w:spacing w:val="-13"/>
          <w:sz w:val="24"/>
          <w:szCs w:val="24"/>
        </w:rPr>
        <w:t>化粪池处理，</w:t>
      </w:r>
      <w:r>
        <w:rPr>
          <w:rFonts w:ascii="宋体" w:hAnsi="宋体" w:eastAsia="宋体" w:cs="宋体"/>
          <w:sz w:val="24"/>
          <w:szCs w:val="24"/>
        </w:rPr>
        <w:t xml:space="preserve"> </w:t>
      </w:r>
      <w:r>
        <w:rPr>
          <w:rFonts w:ascii="宋体" w:hAnsi="宋体" w:eastAsia="宋体" w:cs="宋体"/>
          <w:spacing w:val="1"/>
          <w:sz w:val="24"/>
          <w:szCs w:val="24"/>
        </w:rPr>
        <w:t>并雇用当地村民定期清运用作农业肥料，生</w:t>
      </w:r>
      <w:r>
        <w:rPr>
          <w:rFonts w:ascii="宋体" w:hAnsi="宋体" w:eastAsia="宋体" w:cs="宋体"/>
          <w:sz w:val="24"/>
          <w:szCs w:val="24"/>
        </w:rPr>
        <w:t>活污水不外排；库底清基产生的土石方均运至</w:t>
      </w:r>
    </w:p>
    <w:p>
      <w:pPr>
        <w:spacing w:before="1" w:line="219" w:lineRule="auto"/>
        <w:ind w:left="43"/>
        <w:rPr>
          <w:rFonts w:ascii="宋体" w:hAnsi="宋体" w:eastAsia="宋体" w:cs="宋体"/>
          <w:sz w:val="24"/>
          <w:szCs w:val="24"/>
        </w:rPr>
      </w:pPr>
      <w:r>
        <w:rPr>
          <w:rFonts w:ascii="宋体" w:hAnsi="宋体" w:eastAsia="宋体" w:cs="宋体"/>
          <w:spacing w:val="-1"/>
          <w:sz w:val="24"/>
          <w:szCs w:val="24"/>
        </w:rPr>
        <w:t>弃渣场，植物清运出库区，不残留在库区内；加强施工期间的管理，禁止向</w:t>
      </w:r>
      <w:r>
        <w:rPr>
          <w:rFonts w:ascii="宋体" w:hAnsi="宋体" w:eastAsia="宋体" w:cs="宋体"/>
          <w:spacing w:val="-2"/>
          <w:sz w:val="24"/>
          <w:szCs w:val="24"/>
        </w:rPr>
        <w:t>河道弃渣。</w:t>
      </w:r>
    </w:p>
    <w:p>
      <w:pPr>
        <w:spacing w:before="183" w:line="220" w:lineRule="auto"/>
        <w:ind w:left="52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）运营期</w:t>
      </w:r>
    </w:p>
    <w:p>
      <w:pPr>
        <w:spacing w:before="181" w:line="359" w:lineRule="auto"/>
        <w:ind w:left="38" w:right="30" w:firstLine="480"/>
        <w:rPr>
          <w:rFonts w:ascii="宋体" w:hAnsi="宋体" w:eastAsia="宋体" w:cs="宋体"/>
          <w:sz w:val="24"/>
          <w:szCs w:val="24"/>
        </w:rPr>
      </w:pPr>
      <w:r>
        <w:rPr>
          <w:rFonts w:ascii="宋体" w:hAnsi="宋体" w:eastAsia="宋体" w:cs="宋体"/>
          <w:spacing w:val="-6"/>
          <w:sz w:val="24"/>
          <w:szCs w:val="24"/>
        </w:rPr>
        <w:t>枢纽工程利用导流输水放空隧洞预埋的</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 xml:space="preserve">DN325 </w:t>
      </w:r>
      <w:r>
        <w:rPr>
          <w:rFonts w:ascii="宋体" w:hAnsi="宋体" w:eastAsia="宋体" w:cs="宋体"/>
          <w:spacing w:val="-6"/>
          <w:sz w:val="24"/>
          <w:szCs w:val="24"/>
        </w:rPr>
        <w:t>钢管下</w:t>
      </w:r>
      <w:r>
        <w:rPr>
          <w:rFonts w:ascii="宋体" w:hAnsi="宋体" w:eastAsia="宋体" w:cs="宋体"/>
          <w:spacing w:val="-7"/>
          <w:sz w:val="24"/>
          <w:szCs w:val="24"/>
        </w:rPr>
        <w:t>泄生态流量；</w:t>
      </w:r>
      <w:r>
        <w:rPr>
          <w:rFonts w:ascii="宋体" w:hAnsi="宋体" w:eastAsia="宋体" w:cs="宋体"/>
          <w:spacing w:val="44"/>
          <w:sz w:val="24"/>
          <w:szCs w:val="24"/>
        </w:rPr>
        <w:t xml:space="preserve"> </w:t>
      </w:r>
      <w:r>
        <w:rPr>
          <w:rFonts w:ascii="宋体" w:hAnsi="宋体" w:eastAsia="宋体" w:cs="宋体"/>
          <w:spacing w:val="-7"/>
          <w:sz w:val="24"/>
          <w:szCs w:val="24"/>
        </w:rPr>
        <w:t>引洪工程、引水工</w:t>
      </w:r>
      <w:r>
        <w:rPr>
          <w:rFonts w:ascii="宋体" w:hAnsi="宋体" w:eastAsia="宋体" w:cs="宋体"/>
          <w:sz w:val="24"/>
          <w:szCs w:val="24"/>
        </w:rPr>
        <w:t xml:space="preserve"> </w:t>
      </w:r>
      <w:r>
        <w:rPr>
          <w:rFonts w:ascii="宋体" w:hAnsi="宋体" w:eastAsia="宋体" w:cs="宋体"/>
          <w:spacing w:val="-6"/>
          <w:sz w:val="24"/>
          <w:szCs w:val="24"/>
        </w:rPr>
        <w:t>程不引水季节直接利用冲沙闸下泄生态流量， 汛期引水时段通过引水沟埋设</w:t>
      </w:r>
      <w:r>
        <w:rPr>
          <w:rFonts w:ascii="宋体" w:hAnsi="宋体" w:eastAsia="宋体" w:cs="宋体"/>
          <w:spacing w:val="-43"/>
          <w:sz w:val="24"/>
          <w:szCs w:val="24"/>
        </w:rPr>
        <w:t xml:space="preserve"> </w:t>
      </w:r>
      <w:r>
        <w:rPr>
          <w:rFonts w:ascii="Times New Roman" w:hAnsi="Times New Roman" w:eastAsia="Times New Roman" w:cs="Times New Roman"/>
          <w:spacing w:val="-6"/>
          <w:sz w:val="24"/>
          <w:szCs w:val="24"/>
        </w:rPr>
        <w:t>DN150</w:t>
      </w:r>
      <w:r>
        <w:rPr>
          <w:rFonts w:ascii="Times New Roman" w:hAnsi="Times New Roman" w:eastAsia="Times New Roman" w:cs="Times New Roman"/>
          <w:spacing w:val="29"/>
          <w:w w:val="101"/>
          <w:sz w:val="24"/>
          <w:szCs w:val="24"/>
        </w:rPr>
        <w:t xml:space="preserve"> </w:t>
      </w:r>
      <w:r>
        <w:rPr>
          <w:rFonts w:ascii="宋体" w:hAnsi="宋体" w:eastAsia="宋体" w:cs="宋体"/>
          <w:spacing w:val="-6"/>
          <w:sz w:val="24"/>
          <w:szCs w:val="24"/>
        </w:rPr>
        <w:t>的放水</w:t>
      </w:r>
      <w:r>
        <w:rPr>
          <w:rFonts w:ascii="宋体" w:hAnsi="宋体" w:eastAsia="宋体" w:cs="宋体"/>
          <w:sz w:val="24"/>
          <w:szCs w:val="24"/>
        </w:rPr>
        <w:t xml:space="preserve"> </w:t>
      </w:r>
      <w:r>
        <w:rPr>
          <w:rFonts w:ascii="宋体" w:hAnsi="宋体" w:eastAsia="宋体" w:cs="宋体"/>
          <w:spacing w:val="-2"/>
          <w:sz w:val="24"/>
          <w:szCs w:val="24"/>
        </w:rPr>
        <w:t>管向下游河道供水；建立桂花水库水源保护区，</w:t>
      </w:r>
      <w:r>
        <w:rPr>
          <w:rFonts w:ascii="宋体" w:hAnsi="宋体" w:eastAsia="宋体" w:cs="宋体"/>
          <w:spacing w:val="-22"/>
          <w:sz w:val="24"/>
          <w:szCs w:val="24"/>
        </w:rPr>
        <w:t xml:space="preserve"> </w:t>
      </w:r>
      <w:r>
        <w:rPr>
          <w:rFonts w:ascii="宋体" w:hAnsi="宋体" w:eastAsia="宋体" w:cs="宋体"/>
          <w:spacing w:val="-2"/>
          <w:sz w:val="24"/>
          <w:szCs w:val="24"/>
        </w:rPr>
        <w:t>对水库汇水区域应严格管理，凡是可能对</w:t>
      </w:r>
    </w:p>
    <w:p>
      <w:pPr>
        <w:spacing w:before="1" w:line="219" w:lineRule="auto"/>
        <w:ind w:left="42"/>
        <w:rPr>
          <w:rFonts w:ascii="宋体" w:hAnsi="宋体" w:eastAsia="宋体" w:cs="宋体"/>
          <w:sz w:val="24"/>
          <w:szCs w:val="24"/>
        </w:rPr>
      </w:pPr>
      <w:r>
        <w:rPr>
          <w:rFonts w:ascii="宋体" w:hAnsi="宋体" w:eastAsia="宋体" w:cs="宋体"/>
          <w:spacing w:val="-1"/>
          <w:sz w:val="24"/>
          <w:szCs w:val="24"/>
        </w:rPr>
        <w:t>水库水源涵养林、水库水质等造成破坏和污染的行为，</w:t>
      </w:r>
      <w:r>
        <w:rPr>
          <w:rFonts w:ascii="宋体" w:hAnsi="宋体" w:eastAsia="宋体" w:cs="宋体"/>
          <w:spacing w:val="-2"/>
          <w:sz w:val="24"/>
          <w:szCs w:val="24"/>
        </w:rPr>
        <w:t>应严格禁止。</w:t>
      </w:r>
    </w:p>
    <w:p>
      <w:pPr>
        <w:spacing w:line="394" w:lineRule="auto"/>
        <w:rPr>
          <w:rFonts w:ascii="Arial"/>
          <w:sz w:val="21"/>
        </w:rPr>
      </w:pPr>
    </w:p>
    <w:p>
      <w:pPr>
        <w:pStyle w:val="2"/>
        <w:spacing w:before="78" w:line="233" w:lineRule="auto"/>
        <w:ind w:left="37"/>
        <w:outlineLvl w:val="3"/>
        <w:rPr>
          <w:sz w:val="24"/>
          <w:szCs w:val="24"/>
        </w:rPr>
      </w:pPr>
      <w:r>
        <w:rPr>
          <w:rFonts w:ascii="Times New Roman" w:hAnsi="Times New Roman" w:eastAsia="Times New Roman" w:cs="Times New Roman"/>
          <w:b/>
          <w:bCs/>
          <w:spacing w:val="-1"/>
          <w:sz w:val="24"/>
          <w:szCs w:val="24"/>
        </w:rPr>
        <w:t xml:space="preserve">9.6.3 </w:t>
      </w:r>
      <w:r>
        <w:rPr>
          <w:spacing w:val="-1"/>
          <w:sz w:val="24"/>
          <w:szCs w:val="24"/>
          <w14:textOutline w14:w="4354" w14:cap="flat" w14:cmpd="sng">
            <w14:solidFill>
              <w14:srgbClr w14:val="000000"/>
            </w14:solidFill>
            <w14:prstDash w14:val="solid"/>
            <w14:miter w14:val="0"/>
          </w14:textOutline>
        </w:rPr>
        <w:t>环境空气保护措施</w:t>
      </w:r>
    </w:p>
    <w:p>
      <w:pPr>
        <w:spacing w:before="164" w:line="466" w:lineRule="exact"/>
        <w:ind w:right="21"/>
        <w:jc w:val="right"/>
        <w:rPr>
          <w:rFonts w:ascii="宋体" w:hAnsi="宋体" w:eastAsia="宋体" w:cs="宋体"/>
          <w:sz w:val="24"/>
          <w:szCs w:val="24"/>
        </w:rPr>
      </w:pPr>
      <w:r>
        <w:rPr>
          <w:rFonts w:ascii="宋体" w:hAnsi="宋体" w:eastAsia="宋体" w:cs="宋体"/>
          <w:spacing w:val="1"/>
          <w:position w:val="17"/>
          <w:sz w:val="24"/>
          <w:szCs w:val="24"/>
        </w:rPr>
        <w:t>洒水降尘；砂石料加工场地采取彩钢瓦封闭措施；运输车</w:t>
      </w:r>
      <w:r>
        <w:rPr>
          <w:rFonts w:ascii="宋体" w:hAnsi="宋体" w:eastAsia="宋体" w:cs="宋体"/>
          <w:position w:val="17"/>
          <w:sz w:val="24"/>
          <w:szCs w:val="24"/>
        </w:rPr>
        <w:t>辆采用封闭运输、限速；石</w:t>
      </w:r>
    </w:p>
    <w:p>
      <w:pPr>
        <w:spacing w:before="1" w:line="218" w:lineRule="auto"/>
        <w:ind w:left="39"/>
        <w:rPr>
          <w:rFonts w:ascii="宋体" w:hAnsi="宋体" w:eastAsia="宋体" w:cs="宋体"/>
          <w:sz w:val="24"/>
          <w:szCs w:val="24"/>
        </w:rPr>
      </w:pPr>
      <w:r>
        <w:rPr>
          <w:rFonts w:ascii="宋体" w:hAnsi="宋体" w:eastAsia="宋体" w:cs="宋体"/>
          <w:spacing w:val="-8"/>
          <w:sz w:val="24"/>
          <w:szCs w:val="24"/>
        </w:rPr>
        <w:t>料、风化料及土料容易起尘建筑材料不在项</w:t>
      </w:r>
      <w:r>
        <w:rPr>
          <w:rFonts w:ascii="宋体" w:hAnsi="宋体" w:eastAsia="宋体" w:cs="宋体"/>
          <w:spacing w:val="-9"/>
          <w:sz w:val="24"/>
          <w:szCs w:val="24"/>
        </w:rPr>
        <w:t>目区内长时间堆放，</w:t>
      </w:r>
      <w:r>
        <w:rPr>
          <w:rFonts w:ascii="宋体" w:hAnsi="宋体" w:eastAsia="宋体" w:cs="宋体"/>
          <w:spacing w:val="-30"/>
          <w:sz w:val="24"/>
          <w:szCs w:val="24"/>
        </w:rPr>
        <w:t xml:space="preserve"> </w:t>
      </w:r>
      <w:r>
        <w:rPr>
          <w:rFonts w:ascii="宋体" w:hAnsi="宋体" w:eastAsia="宋体" w:cs="宋体"/>
          <w:spacing w:val="-9"/>
          <w:sz w:val="24"/>
          <w:szCs w:val="24"/>
        </w:rPr>
        <w:t>临时堆存采用土工布遮盖。</w:t>
      </w:r>
    </w:p>
    <w:p>
      <w:pPr>
        <w:spacing w:line="395" w:lineRule="auto"/>
        <w:rPr>
          <w:rFonts w:ascii="Arial"/>
          <w:sz w:val="21"/>
        </w:rPr>
      </w:pPr>
    </w:p>
    <w:p>
      <w:pPr>
        <w:pStyle w:val="2"/>
        <w:spacing w:before="79" w:line="233" w:lineRule="auto"/>
        <w:ind w:left="37"/>
        <w:outlineLvl w:val="3"/>
        <w:rPr>
          <w:sz w:val="24"/>
          <w:szCs w:val="24"/>
        </w:rPr>
      </w:pPr>
      <w:r>
        <w:rPr>
          <w:rFonts w:ascii="Times New Roman" w:hAnsi="Times New Roman" w:eastAsia="Times New Roman" w:cs="Times New Roman"/>
          <w:b/>
          <w:bCs/>
          <w:sz w:val="24"/>
          <w:szCs w:val="24"/>
        </w:rPr>
        <w:t xml:space="preserve">9.6.4 </w:t>
      </w:r>
      <w:r>
        <w:rPr>
          <w:sz w:val="24"/>
          <w:szCs w:val="24"/>
          <w14:textOutline w14:w="4354" w14:cap="flat" w14:cmpd="sng">
            <w14:solidFill>
              <w14:srgbClr w14:val="000000"/>
            </w14:solidFill>
            <w14:prstDash w14:val="solid"/>
            <w14:miter w14:val="0"/>
          </w14:textOutline>
        </w:rPr>
        <w:t>声环境保护措施</w:t>
      </w:r>
    </w:p>
    <w:p>
      <w:pPr>
        <w:spacing w:before="164" w:line="467" w:lineRule="exact"/>
        <w:ind w:right="34"/>
        <w:jc w:val="right"/>
        <w:rPr>
          <w:rFonts w:ascii="宋体" w:hAnsi="宋体" w:eastAsia="宋体" w:cs="宋体"/>
          <w:sz w:val="24"/>
          <w:szCs w:val="24"/>
        </w:rPr>
      </w:pPr>
      <w:r>
        <w:rPr>
          <w:rFonts w:ascii="宋体" w:hAnsi="宋体" w:eastAsia="宋体" w:cs="宋体"/>
          <w:position w:val="17"/>
          <w:sz w:val="24"/>
          <w:szCs w:val="24"/>
        </w:rPr>
        <w:t>选用低噪声的施工机械或工艺，改进施工现场施工工艺；加强对机械设备的维修和保</w:t>
      </w:r>
    </w:p>
    <w:p>
      <w:pPr>
        <w:spacing w:before="1" w:line="219" w:lineRule="auto"/>
        <w:ind w:left="40"/>
        <w:rPr>
          <w:rFonts w:ascii="宋体" w:hAnsi="宋体" w:eastAsia="宋体" w:cs="宋体"/>
          <w:sz w:val="24"/>
          <w:szCs w:val="24"/>
        </w:rPr>
      </w:pPr>
      <w:r>
        <w:rPr>
          <w:rFonts w:ascii="宋体" w:hAnsi="宋体" w:eastAsia="宋体" w:cs="宋体"/>
          <w:spacing w:val="-1"/>
          <w:sz w:val="24"/>
          <w:szCs w:val="24"/>
        </w:rPr>
        <w:t>养；加强施工运输的管理；合理安排工作时间。</w:t>
      </w:r>
    </w:p>
    <w:p>
      <w:pPr>
        <w:spacing w:line="394" w:lineRule="auto"/>
        <w:rPr>
          <w:rFonts w:ascii="Arial"/>
          <w:sz w:val="21"/>
        </w:rPr>
      </w:pPr>
    </w:p>
    <w:p>
      <w:pPr>
        <w:pStyle w:val="2"/>
        <w:spacing w:before="79" w:line="233" w:lineRule="auto"/>
        <w:ind w:left="37"/>
        <w:outlineLvl w:val="3"/>
        <w:rPr>
          <w:sz w:val="24"/>
          <w:szCs w:val="24"/>
        </w:rPr>
      </w:pPr>
      <w:r>
        <w:rPr>
          <w:rFonts w:ascii="Times New Roman" w:hAnsi="Times New Roman" w:eastAsia="Times New Roman" w:cs="Times New Roman"/>
          <w:b/>
          <w:bCs/>
          <w:spacing w:val="-2"/>
          <w:sz w:val="24"/>
          <w:szCs w:val="24"/>
        </w:rPr>
        <w:t>9.6.5</w:t>
      </w:r>
      <w:r>
        <w:rPr>
          <w:rFonts w:ascii="Times New Roman" w:hAnsi="Times New Roman" w:eastAsia="Times New Roman" w:cs="Times New Roman"/>
          <w:b/>
          <w:bCs/>
          <w:spacing w:val="24"/>
          <w:w w:val="101"/>
          <w:sz w:val="24"/>
          <w:szCs w:val="24"/>
        </w:rPr>
        <w:t xml:space="preserve"> </w:t>
      </w:r>
      <w:r>
        <w:rPr>
          <w:spacing w:val="-2"/>
          <w:sz w:val="24"/>
          <w:szCs w:val="24"/>
          <w14:textOutline w14:w="4354" w14:cap="flat" w14:cmpd="sng">
            <w14:solidFill>
              <w14:srgbClr w14:val="000000"/>
            </w14:solidFill>
            <w14:prstDash w14:val="solid"/>
            <w14:miter w14:val="0"/>
          </w14:textOutline>
        </w:rPr>
        <w:t>固体废物处置措施</w:t>
      </w:r>
    </w:p>
    <w:p>
      <w:pPr>
        <w:spacing w:before="163" w:line="359" w:lineRule="auto"/>
        <w:ind w:left="52" w:right="30" w:firstLine="465"/>
        <w:jc w:val="both"/>
        <w:rPr>
          <w:rFonts w:ascii="宋体" w:hAnsi="宋体" w:eastAsia="宋体" w:cs="宋体"/>
          <w:sz w:val="24"/>
          <w:szCs w:val="24"/>
        </w:rPr>
      </w:pPr>
      <w:r>
        <w:rPr>
          <w:rFonts w:ascii="宋体" w:hAnsi="宋体" w:eastAsia="宋体" w:cs="宋体"/>
          <w:spacing w:val="1"/>
          <w:sz w:val="24"/>
          <w:szCs w:val="24"/>
        </w:rPr>
        <w:t>废弃土石方运至弃渣场堆放，不得随意丢弃；</w:t>
      </w:r>
      <w:r>
        <w:rPr>
          <w:rFonts w:ascii="宋体" w:hAnsi="宋体" w:eastAsia="宋体" w:cs="宋体"/>
          <w:sz w:val="24"/>
          <w:szCs w:val="24"/>
        </w:rPr>
        <w:t xml:space="preserve">建筑材料、废弃土石方、生活垃圾禁止 </w:t>
      </w:r>
      <w:r>
        <w:rPr>
          <w:rFonts w:ascii="宋体" w:hAnsi="宋体" w:eastAsia="宋体" w:cs="宋体"/>
          <w:spacing w:val="-3"/>
          <w:sz w:val="24"/>
          <w:szCs w:val="24"/>
        </w:rPr>
        <w:t>随意丢弃至河床内；施工区设置垃圾收集设施，禁止施工人员随意丢弃生活垃圾， 定期对</w:t>
      </w:r>
    </w:p>
    <w:p>
      <w:pPr>
        <w:spacing w:before="1" w:line="219" w:lineRule="auto"/>
        <w:ind w:left="42"/>
        <w:rPr>
          <w:rFonts w:ascii="宋体" w:hAnsi="宋体" w:eastAsia="宋体" w:cs="宋体"/>
          <w:sz w:val="24"/>
          <w:szCs w:val="24"/>
        </w:rPr>
      </w:pPr>
      <w:r>
        <w:rPr>
          <w:rFonts w:ascii="宋体" w:hAnsi="宋体" w:eastAsia="宋体" w:cs="宋体"/>
          <w:sz w:val="24"/>
          <w:szCs w:val="24"/>
        </w:rPr>
        <w:t>工人员生活垃圾进行收集，统一收集后，当地环卫部门处置；弃渣场严格按照水土保持方</w:t>
      </w:r>
    </w:p>
    <w:p>
      <w:pPr>
        <w:spacing w:line="219" w:lineRule="auto"/>
        <w:rPr>
          <w:rFonts w:ascii="宋体" w:hAnsi="宋体" w:eastAsia="宋体" w:cs="宋体"/>
          <w:sz w:val="24"/>
          <w:szCs w:val="24"/>
        </w:rPr>
        <w:sectPr>
          <w:footerReference r:id="rId490" w:type="default"/>
          <w:pgSz w:w="11910" w:h="16840"/>
          <w:pgMar w:top="1183" w:right="1229" w:bottom="1582" w:left="1230" w:header="908" w:footer="1419" w:gutter="0"/>
        </w:sectPr>
      </w:pPr>
    </w:p>
    <w:p>
      <w:pPr>
        <w:spacing w:before="37" w:line="219" w:lineRule="auto"/>
        <w:ind w:left="41"/>
        <w:rPr>
          <w:rFonts w:ascii="宋体" w:hAnsi="宋体" w:eastAsia="宋体" w:cs="宋体"/>
          <w:sz w:val="24"/>
          <w:szCs w:val="24"/>
        </w:rPr>
      </w:pPr>
      <w:r>
        <w:rPr>
          <w:rFonts w:ascii="宋体" w:hAnsi="宋体" w:eastAsia="宋体" w:cs="宋体"/>
          <w:spacing w:val="-1"/>
          <w:sz w:val="24"/>
          <w:szCs w:val="24"/>
        </w:rPr>
        <w:t>案设计采取拦挡、截排水及覆盖措施。</w:t>
      </w:r>
    </w:p>
    <w:p>
      <w:pPr>
        <w:spacing w:line="352" w:lineRule="auto"/>
        <w:rPr>
          <w:rFonts w:ascii="Arial"/>
          <w:sz w:val="21"/>
        </w:rPr>
      </w:pPr>
    </w:p>
    <w:p>
      <w:pPr>
        <w:pStyle w:val="2"/>
        <w:spacing w:before="88" w:line="357" w:lineRule="exact"/>
        <w:ind w:left="38"/>
        <w:outlineLvl w:val="2"/>
        <w:rPr>
          <w:sz w:val="27"/>
          <w:szCs w:val="27"/>
        </w:rPr>
      </w:pPr>
      <w:bookmarkStart w:id="62" w:name="bookmark63"/>
      <w:bookmarkEnd w:id="62"/>
      <w:r>
        <w:rPr>
          <w:rFonts w:ascii="Times New Roman" w:hAnsi="Times New Roman" w:eastAsia="Times New Roman" w:cs="Times New Roman"/>
          <w:b/>
          <w:bCs/>
          <w:spacing w:val="3"/>
          <w:position w:val="1"/>
          <w:sz w:val="27"/>
          <w:szCs w:val="27"/>
        </w:rPr>
        <w:t>9.7</w:t>
      </w:r>
      <w:r>
        <w:rPr>
          <w:rFonts w:ascii="Times New Roman" w:hAnsi="Times New Roman" w:eastAsia="Times New Roman" w:cs="Times New Roman"/>
          <w:b/>
          <w:bCs/>
          <w:spacing w:val="20"/>
          <w:position w:val="1"/>
          <w:sz w:val="27"/>
          <w:szCs w:val="27"/>
        </w:rPr>
        <w:t xml:space="preserve"> </w:t>
      </w:r>
      <w:r>
        <w:rPr>
          <w:spacing w:val="3"/>
          <w:position w:val="1"/>
          <w:sz w:val="27"/>
          <w:szCs w:val="27"/>
          <w14:textOutline w14:w="5072" w14:cap="flat" w14:cmpd="sng">
            <w14:solidFill>
              <w14:srgbClr w14:val="000000"/>
            </w14:solidFill>
            <w14:prstDash w14:val="solid"/>
            <w14:miter w14:val="0"/>
          </w14:textOutline>
        </w:rPr>
        <w:t>总结论</w:t>
      </w:r>
    </w:p>
    <w:p>
      <w:pPr>
        <w:spacing w:before="144" w:line="359" w:lineRule="auto"/>
        <w:ind w:left="38" w:right="32" w:firstLine="483"/>
        <w:jc w:val="both"/>
        <w:rPr>
          <w:rFonts w:ascii="宋体" w:hAnsi="宋体" w:eastAsia="宋体" w:cs="宋体"/>
          <w:sz w:val="24"/>
          <w:szCs w:val="24"/>
        </w:rPr>
      </w:pPr>
      <w:r>
        <w:rPr>
          <w:rFonts w:ascii="宋体" w:hAnsi="宋体" w:eastAsia="宋体" w:cs="宋体"/>
          <w:sz w:val="24"/>
          <w:szCs w:val="24"/>
        </w:rPr>
        <w:t>工程建设将对区域环境产生一定的不利影响，主要表现在淹没和施工占地对陆生动植</w:t>
      </w:r>
      <w:r>
        <w:rPr>
          <w:rFonts w:ascii="宋体" w:hAnsi="宋体" w:eastAsia="宋体" w:cs="宋体"/>
          <w:spacing w:val="15"/>
          <w:sz w:val="24"/>
          <w:szCs w:val="24"/>
        </w:rPr>
        <w:t xml:space="preserve"> </w:t>
      </w:r>
      <w:r>
        <w:rPr>
          <w:rFonts w:ascii="宋体" w:hAnsi="宋体" w:eastAsia="宋体" w:cs="宋体"/>
          <w:sz w:val="24"/>
          <w:szCs w:val="24"/>
        </w:rPr>
        <w:t>物资源的影响，筑坝阻隔引起水环境的变化；水库取水改变下游河段的水文情势对下游水</w:t>
      </w:r>
      <w:r>
        <w:rPr>
          <w:rFonts w:ascii="宋体" w:hAnsi="宋体" w:eastAsia="宋体" w:cs="宋体"/>
          <w:spacing w:val="15"/>
          <w:sz w:val="24"/>
          <w:szCs w:val="24"/>
        </w:rPr>
        <w:t xml:space="preserve"> </w:t>
      </w:r>
      <w:r>
        <w:rPr>
          <w:rFonts w:ascii="宋体" w:hAnsi="宋体" w:eastAsia="宋体" w:cs="宋体"/>
          <w:spacing w:val="1"/>
          <w:sz w:val="24"/>
          <w:szCs w:val="24"/>
        </w:rPr>
        <w:t>资源综合利用和生态环境的影响；施工“三</w:t>
      </w:r>
      <w:r>
        <w:rPr>
          <w:rFonts w:ascii="宋体" w:hAnsi="宋体" w:eastAsia="宋体" w:cs="宋体"/>
          <w:sz w:val="24"/>
          <w:szCs w:val="24"/>
        </w:rPr>
        <w:t>废”对周围环境的污染影响；工程施工和弃渣 造成水土流失对当地生态环境的影响。本环评已针对各环境要素提出了减缓境影响的环保</w:t>
      </w:r>
    </w:p>
    <w:p>
      <w:pPr>
        <w:spacing w:before="1" w:line="218" w:lineRule="auto"/>
        <w:ind w:left="39"/>
        <w:rPr>
          <w:rFonts w:ascii="宋体" w:hAnsi="宋体" w:eastAsia="宋体" w:cs="宋体"/>
          <w:sz w:val="24"/>
          <w:szCs w:val="24"/>
        </w:rPr>
      </w:pPr>
      <w:r>
        <w:rPr>
          <w:rFonts w:ascii="宋体" w:hAnsi="宋体" w:eastAsia="宋体" w:cs="宋体"/>
          <w:spacing w:val="-10"/>
          <w:sz w:val="24"/>
          <w:szCs w:val="24"/>
        </w:rPr>
        <w:t>措施及投资，</w:t>
      </w:r>
      <w:r>
        <w:rPr>
          <w:rFonts w:ascii="宋体" w:hAnsi="宋体" w:eastAsia="宋体" w:cs="宋体"/>
          <w:spacing w:val="-44"/>
          <w:sz w:val="24"/>
          <w:szCs w:val="24"/>
        </w:rPr>
        <w:t xml:space="preserve"> </w:t>
      </w:r>
      <w:r>
        <w:rPr>
          <w:rFonts w:ascii="宋体" w:hAnsi="宋体" w:eastAsia="宋体" w:cs="宋体"/>
          <w:spacing w:val="-10"/>
          <w:sz w:val="24"/>
          <w:szCs w:val="24"/>
        </w:rPr>
        <w:t>在采取相应的环境保护措施后，</w:t>
      </w:r>
      <w:r>
        <w:rPr>
          <w:rFonts w:ascii="宋体" w:hAnsi="宋体" w:eastAsia="宋体" w:cs="宋体"/>
          <w:spacing w:val="-41"/>
          <w:sz w:val="24"/>
          <w:szCs w:val="24"/>
        </w:rPr>
        <w:t xml:space="preserve"> </w:t>
      </w:r>
      <w:r>
        <w:rPr>
          <w:rFonts w:ascii="宋体" w:hAnsi="宋体" w:eastAsia="宋体" w:cs="宋体"/>
          <w:spacing w:val="-10"/>
          <w:sz w:val="24"/>
          <w:szCs w:val="24"/>
        </w:rPr>
        <w:t>项目建设的各种不利环境影响</w:t>
      </w:r>
      <w:r>
        <w:rPr>
          <w:rFonts w:ascii="宋体" w:hAnsi="宋体" w:eastAsia="宋体" w:cs="宋体"/>
          <w:spacing w:val="-11"/>
          <w:sz w:val="24"/>
          <w:szCs w:val="24"/>
        </w:rPr>
        <w:t>可以得到减小。</w:t>
      </w:r>
    </w:p>
    <w:p>
      <w:pPr>
        <w:spacing w:before="182" w:line="219" w:lineRule="auto"/>
        <w:ind w:left="522"/>
        <w:rPr>
          <w:rFonts w:ascii="宋体" w:hAnsi="宋体" w:eastAsia="宋体" w:cs="宋体"/>
          <w:sz w:val="24"/>
          <w:szCs w:val="24"/>
        </w:rPr>
      </w:pPr>
      <w:r>
        <w:rPr>
          <w:rFonts w:ascii="宋体" w:hAnsi="宋体" w:eastAsia="宋体" w:cs="宋体"/>
          <w:spacing w:val="-10"/>
          <w:sz w:val="24"/>
          <w:szCs w:val="24"/>
        </w:rPr>
        <w:t>从环境影响的角度分析，</w:t>
      </w:r>
      <w:r>
        <w:rPr>
          <w:rFonts w:ascii="宋体" w:hAnsi="宋体" w:eastAsia="宋体" w:cs="宋体"/>
          <w:spacing w:val="67"/>
          <w:sz w:val="24"/>
          <w:szCs w:val="24"/>
        </w:rPr>
        <w:t xml:space="preserve"> </w:t>
      </w:r>
      <w:r>
        <w:rPr>
          <w:rFonts w:ascii="宋体" w:hAnsi="宋体" w:eastAsia="宋体" w:cs="宋体"/>
          <w:spacing w:val="-10"/>
          <w:sz w:val="24"/>
          <w:szCs w:val="24"/>
        </w:rPr>
        <w:t>项目建设是可行的。</w:t>
      </w:r>
    </w:p>
    <w:sectPr>
      <w:footerReference r:id="rId491" w:type="default"/>
      <w:pgSz w:w="11910" w:h="16840"/>
      <w:pgMar w:top="1183" w:right="1229" w:bottom="1582" w:left="1230" w:header="908" w:footer="141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auto"/>
      <w:ind w:left="4174"/>
      <w:rPr>
        <w:rFonts w:ascii="Calibri" w:hAnsi="Calibri" w:eastAsia="Calibri" w:cs="Calibri"/>
        <w:sz w:val="18"/>
        <w:szCs w:val="18"/>
      </w:rPr>
    </w:pPr>
    <w:r>
      <w:rPr>
        <w:rFonts w:ascii="Calibri" w:hAnsi="Calibri" w:eastAsia="Calibri" w:cs="Calibri"/>
        <w:sz w:val="18"/>
        <w:szCs w:val="18"/>
      </w:rPr>
      <w:t>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146"/>
      <w:rPr>
        <w:rFonts w:ascii="Calibri" w:hAnsi="Calibri" w:eastAsia="Calibri" w:cs="Calibri"/>
        <w:sz w:val="18"/>
        <w:szCs w:val="18"/>
      </w:rPr>
    </w:pPr>
    <w:r>
      <w:rPr>
        <w:rFonts w:ascii="Calibri" w:hAnsi="Calibri" w:eastAsia="Calibri" w:cs="Calibri"/>
        <w:sz w:val="18"/>
        <w:szCs w:val="18"/>
      </w:rPr>
      <w:t>5</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80"/>
      <w:rPr>
        <w:rFonts w:ascii="Calibri" w:hAnsi="Calibri" w:eastAsia="Calibri" w:cs="Calibri"/>
        <w:sz w:val="18"/>
        <w:szCs w:val="18"/>
      </w:rPr>
    </w:pPr>
    <w:r>
      <w:rPr>
        <w:rFonts w:ascii="Calibri" w:hAnsi="Calibri" w:eastAsia="Calibri" w:cs="Calibri"/>
        <w:spacing w:val="-2"/>
        <w:sz w:val="18"/>
        <w:szCs w:val="18"/>
      </w:rPr>
      <w:t>95</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58"/>
      <w:rPr>
        <w:rFonts w:ascii="Calibri" w:hAnsi="Calibri" w:eastAsia="Calibri" w:cs="Calibri"/>
        <w:sz w:val="18"/>
        <w:szCs w:val="18"/>
      </w:rPr>
    </w:pPr>
    <w:r>
      <w:rPr>
        <w:rFonts w:ascii="Calibri" w:hAnsi="Calibri" w:eastAsia="Calibri" w:cs="Calibri"/>
        <w:spacing w:val="-2"/>
        <w:sz w:val="18"/>
        <w:szCs w:val="18"/>
      </w:rPr>
      <w:t>96</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56"/>
      <w:rPr>
        <w:rFonts w:ascii="Calibri" w:hAnsi="Calibri" w:eastAsia="Calibri" w:cs="Calibri"/>
        <w:sz w:val="18"/>
        <w:szCs w:val="18"/>
      </w:rPr>
    </w:pPr>
    <w:r>
      <w:rPr>
        <w:rFonts w:ascii="Calibri" w:hAnsi="Calibri" w:eastAsia="Calibri" w:cs="Calibri"/>
        <w:spacing w:val="-2"/>
        <w:sz w:val="18"/>
        <w:szCs w:val="18"/>
      </w:rPr>
      <w:t>97</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99"/>
      <w:rPr>
        <w:rFonts w:ascii="Calibri" w:hAnsi="Calibri" w:eastAsia="Calibri" w:cs="Calibri"/>
        <w:sz w:val="18"/>
        <w:szCs w:val="18"/>
      </w:rPr>
    </w:pPr>
    <w:r>
      <w:rPr>
        <w:rFonts w:ascii="Calibri" w:hAnsi="Calibri" w:eastAsia="Calibri" w:cs="Calibri"/>
        <w:spacing w:val="-2"/>
        <w:sz w:val="18"/>
        <w:szCs w:val="18"/>
      </w:rPr>
      <w:t>98</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99"/>
      <w:rPr>
        <w:rFonts w:ascii="Calibri" w:hAnsi="Calibri" w:eastAsia="Calibri" w:cs="Calibri"/>
        <w:sz w:val="18"/>
        <w:szCs w:val="18"/>
      </w:rPr>
    </w:pPr>
    <w:r>
      <w:rPr>
        <w:rFonts w:ascii="Calibri" w:hAnsi="Calibri" w:eastAsia="Calibri" w:cs="Calibri"/>
        <w:spacing w:val="-2"/>
        <w:sz w:val="18"/>
        <w:szCs w:val="18"/>
      </w:rPr>
      <w:t>99</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100</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101</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102</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103</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104</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47"/>
      <w:rPr>
        <w:rFonts w:ascii="Calibri" w:hAnsi="Calibri" w:eastAsia="Calibri" w:cs="Calibri"/>
        <w:sz w:val="18"/>
        <w:szCs w:val="18"/>
      </w:rPr>
    </w:pPr>
    <w:r>
      <w:rPr>
        <w:rFonts w:ascii="Calibri" w:hAnsi="Calibri" w:eastAsia="Calibri" w:cs="Calibri"/>
        <w:sz w:val="18"/>
        <w:szCs w:val="18"/>
      </w:rPr>
      <w:t>6</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105</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8"/>
      <w:rPr>
        <w:rFonts w:ascii="Calibri" w:hAnsi="Calibri" w:eastAsia="Calibri" w:cs="Calibri"/>
        <w:sz w:val="18"/>
        <w:szCs w:val="18"/>
      </w:rPr>
    </w:pPr>
    <w:r>
      <w:rPr>
        <w:rFonts w:ascii="Calibri" w:hAnsi="Calibri" w:eastAsia="Calibri" w:cs="Calibri"/>
        <w:spacing w:val="-4"/>
        <w:sz w:val="18"/>
        <w:szCs w:val="18"/>
      </w:rPr>
      <w:t>106</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8"/>
      <w:rPr>
        <w:rFonts w:ascii="Calibri" w:hAnsi="Calibri" w:eastAsia="Calibri" w:cs="Calibri"/>
        <w:sz w:val="18"/>
        <w:szCs w:val="18"/>
      </w:rPr>
    </w:pPr>
    <w:r>
      <w:rPr>
        <w:rFonts w:ascii="Calibri" w:hAnsi="Calibri" w:eastAsia="Calibri" w:cs="Calibri"/>
        <w:spacing w:val="-4"/>
        <w:sz w:val="18"/>
        <w:szCs w:val="18"/>
      </w:rPr>
      <w:t>107</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8"/>
      <w:rPr>
        <w:rFonts w:ascii="Calibri" w:hAnsi="Calibri" w:eastAsia="Calibri" w:cs="Calibri"/>
        <w:sz w:val="18"/>
        <w:szCs w:val="18"/>
      </w:rPr>
    </w:pPr>
    <w:r>
      <w:rPr>
        <w:rFonts w:ascii="Calibri" w:hAnsi="Calibri" w:eastAsia="Calibri" w:cs="Calibri"/>
        <w:spacing w:val="-4"/>
        <w:sz w:val="18"/>
        <w:szCs w:val="18"/>
      </w:rPr>
      <w:t>108</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8"/>
      <w:rPr>
        <w:rFonts w:ascii="Calibri" w:hAnsi="Calibri" w:eastAsia="Calibri" w:cs="Calibri"/>
        <w:sz w:val="18"/>
        <w:szCs w:val="18"/>
      </w:rPr>
    </w:pPr>
    <w:r>
      <w:rPr>
        <w:rFonts w:ascii="Calibri" w:hAnsi="Calibri" w:eastAsia="Calibri" w:cs="Calibri"/>
        <w:spacing w:val="-4"/>
        <w:sz w:val="18"/>
        <w:szCs w:val="18"/>
      </w:rPr>
      <w:t>109</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110</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62"/>
      <w:rPr>
        <w:rFonts w:ascii="Calibri" w:hAnsi="Calibri" w:eastAsia="Calibri" w:cs="Calibri"/>
        <w:sz w:val="18"/>
        <w:szCs w:val="18"/>
      </w:rPr>
    </w:pPr>
    <w:r>
      <w:rPr>
        <w:rFonts w:ascii="Calibri" w:hAnsi="Calibri" w:eastAsia="Calibri" w:cs="Calibri"/>
        <w:spacing w:val="-4"/>
        <w:sz w:val="18"/>
        <w:szCs w:val="18"/>
      </w:rPr>
      <w:t>111</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8"/>
      <w:rPr>
        <w:rFonts w:ascii="Calibri" w:hAnsi="Calibri" w:eastAsia="Calibri" w:cs="Calibri"/>
        <w:sz w:val="18"/>
        <w:szCs w:val="18"/>
      </w:rPr>
    </w:pPr>
    <w:r>
      <w:rPr>
        <w:rFonts w:ascii="Calibri" w:hAnsi="Calibri" w:eastAsia="Calibri" w:cs="Calibri"/>
        <w:spacing w:val="-4"/>
        <w:sz w:val="18"/>
        <w:szCs w:val="18"/>
      </w:rPr>
      <w:t>112</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8"/>
      <w:rPr>
        <w:rFonts w:ascii="Calibri" w:hAnsi="Calibri" w:eastAsia="Calibri" w:cs="Calibri"/>
        <w:sz w:val="18"/>
        <w:szCs w:val="18"/>
      </w:rPr>
    </w:pPr>
    <w:r>
      <w:rPr>
        <w:rFonts w:ascii="Calibri" w:hAnsi="Calibri" w:eastAsia="Calibri" w:cs="Calibri"/>
        <w:spacing w:val="-4"/>
        <w:sz w:val="18"/>
        <w:szCs w:val="18"/>
      </w:rPr>
      <w:t>113</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6888"/>
      <w:rPr>
        <w:rFonts w:ascii="Calibri" w:hAnsi="Calibri" w:eastAsia="Calibri" w:cs="Calibri"/>
        <w:sz w:val="18"/>
        <w:szCs w:val="18"/>
      </w:rPr>
    </w:pPr>
    <w:r>
      <w:rPr>
        <w:rFonts w:ascii="Calibri" w:hAnsi="Calibri" w:eastAsia="Calibri" w:cs="Calibri"/>
        <w:spacing w:val="-4"/>
        <w:sz w:val="18"/>
        <w:szCs w:val="18"/>
      </w:rPr>
      <w:t>114</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146"/>
      <w:rPr>
        <w:rFonts w:ascii="Calibri" w:hAnsi="Calibri" w:eastAsia="Calibri" w:cs="Calibri"/>
        <w:sz w:val="18"/>
        <w:szCs w:val="18"/>
      </w:rPr>
    </w:pPr>
    <w:r>
      <w:rPr>
        <w:rFonts w:ascii="Calibri" w:hAnsi="Calibri" w:eastAsia="Calibri" w:cs="Calibri"/>
        <w:sz w:val="18"/>
        <w:szCs w:val="18"/>
      </w:rPr>
      <w:t>7</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6888"/>
      <w:rPr>
        <w:rFonts w:ascii="Calibri" w:hAnsi="Calibri" w:eastAsia="Calibri" w:cs="Calibri"/>
        <w:sz w:val="18"/>
        <w:szCs w:val="18"/>
      </w:rPr>
    </w:pPr>
    <w:r>
      <w:rPr>
        <w:rFonts w:ascii="Calibri" w:hAnsi="Calibri" w:eastAsia="Calibri" w:cs="Calibri"/>
        <w:spacing w:val="-4"/>
        <w:sz w:val="18"/>
        <w:szCs w:val="18"/>
      </w:rPr>
      <w:t>115</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116</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62"/>
      <w:rPr>
        <w:rFonts w:ascii="Calibri" w:hAnsi="Calibri" w:eastAsia="Calibri" w:cs="Calibri"/>
        <w:sz w:val="18"/>
        <w:szCs w:val="18"/>
      </w:rPr>
    </w:pPr>
    <w:r>
      <w:rPr>
        <w:rFonts w:ascii="Calibri" w:hAnsi="Calibri" w:eastAsia="Calibri" w:cs="Calibri"/>
        <w:spacing w:val="-4"/>
        <w:sz w:val="18"/>
        <w:szCs w:val="18"/>
      </w:rPr>
      <w:t>117</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40"/>
      <w:rPr>
        <w:rFonts w:ascii="Calibri" w:hAnsi="Calibri" w:eastAsia="Calibri" w:cs="Calibri"/>
        <w:sz w:val="18"/>
        <w:szCs w:val="18"/>
      </w:rPr>
    </w:pPr>
    <w:r>
      <w:rPr>
        <w:rFonts w:ascii="Calibri" w:hAnsi="Calibri" w:eastAsia="Calibri" w:cs="Calibri"/>
        <w:spacing w:val="-4"/>
        <w:sz w:val="18"/>
        <w:szCs w:val="18"/>
      </w:rPr>
      <w:t>118</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40"/>
      <w:rPr>
        <w:rFonts w:ascii="Calibri" w:hAnsi="Calibri" w:eastAsia="Calibri" w:cs="Calibri"/>
        <w:sz w:val="18"/>
        <w:szCs w:val="18"/>
      </w:rPr>
    </w:pPr>
    <w:r>
      <w:rPr>
        <w:rFonts w:ascii="Calibri" w:hAnsi="Calibri" w:eastAsia="Calibri" w:cs="Calibri"/>
        <w:spacing w:val="-4"/>
        <w:sz w:val="18"/>
        <w:szCs w:val="18"/>
      </w:rPr>
      <w:t>119</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8"/>
      <w:rPr>
        <w:rFonts w:ascii="Calibri" w:hAnsi="Calibri" w:eastAsia="Calibri" w:cs="Calibri"/>
        <w:sz w:val="18"/>
        <w:szCs w:val="18"/>
      </w:rPr>
    </w:pPr>
    <w:r>
      <w:rPr>
        <w:rFonts w:ascii="Calibri" w:hAnsi="Calibri" w:eastAsia="Calibri" w:cs="Calibri"/>
        <w:spacing w:val="-4"/>
        <w:sz w:val="18"/>
        <w:szCs w:val="18"/>
      </w:rPr>
      <w:t>120</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8"/>
      <w:rPr>
        <w:rFonts w:ascii="Calibri" w:hAnsi="Calibri" w:eastAsia="Calibri" w:cs="Calibri"/>
        <w:sz w:val="18"/>
        <w:szCs w:val="18"/>
      </w:rPr>
    </w:pPr>
    <w:r>
      <w:rPr>
        <w:rFonts w:ascii="Calibri" w:hAnsi="Calibri" w:eastAsia="Calibri" w:cs="Calibri"/>
        <w:spacing w:val="-4"/>
        <w:sz w:val="18"/>
        <w:szCs w:val="18"/>
      </w:rPr>
      <w:t>121</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122</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8"/>
      <w:rPr>
        <w:rFonts w:ascii="Calibri" w:hAnsi="Calibri" w:eastAsia="Calibri" w:cs="Calibri"/>
        <w:sz w:val="18"/>
        <w:szCs w:val="18"/>
      </w:rPr>
    </w:pPr>
    <w:r>
      <w:rPr>
        <w:rFonts w:ascii="Calibri" w:hAnsi="Calibri" w:eastAsia="Calibri" w:cs="Calibri"/>
        <w:spacing w:val="-4"/>
        <w:sz w:val="18"/>
        <w:szCs w:val="18"/>
      </w:rPr>
      <w:t>123</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08"/>
      <w:rPr>
        <w:rFonts w:ascii="Calibri" w:hAnsi="Calibri" w:eastAsia="Calibri" w:cs="Calibri"/>
        <w:sz w:val="18"/>
        <w:szCs w:val="18"/>
      </w:rPr>
    </w:pPr>
    <w:r>
      <w:rPr>
        <w:rFonts w:ascii="Calibri" w:hAnsi="Calibri" w:eastAsia="Calibri" w:cs="Calibri"/>
        <w:spacing w:val="-4"/>
        <w:sz w:val="18"/>
        <w:szCs w:val="18"/>
      </w:rPr>
      <w:t>124</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45"/>
      <w:rPr>
        <w:rFonts w:ascii="Calibri" w:hAnsi="Calibri" w:eastAsia="Calibri" w:cs="Calibri"/>
        <w:sz w:val="18"/>
        <w:szCs w:val="18"/>
      </w:rPr>
    </w:pPr>
    <w:r>
      <w:rPr>
        <w:rFonts w:ascii="Calibri" w:hAnsi="Calibri" w:eastAsia="Calibri" w:cs="Calibri"/>
        <w:sz w:val="18"/>
        <w:szCs w:val="18"/>
      </w:rPr>
      <w:t>8</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94"/>
      <w:rPr>
        <w:rFonts w:ascii="Calibri" w:hAnsi="Calibri" w:eastAsia="Calibri" w:cs="Calibri"/>
        <w:sz w:val="18"/>
        <w:szCs w:val="18"/>
      </w:rPr>
    </w:pPr>
    <w:r>
      <w:rPr>
        <w:rFonts w:ascii="Calibri" w:hAnsi="Calibri" w:eastAsia="Calibri" w:cs="Calibri"/>
        <w:spacing w:val="-4"/>
        <w:sz w:val="18"/>
        <w:szCs w:val="18"/>
      </w:rPr>
      <w:t>125</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8"/>
      <w:rPr>
        <w:rFonts w:ascii="Calibri" w:hAnsi="Calibri" w:eastAsia="Calibri" w:cs="Calibri"/>
        <w:sz w:val="18"/>
        <w:szCs w:val="18"/>
      </w:rPr>
    </w:pPr>
    <w:r>
      <w:rPr>
        <w:rFonts w:ascii="Calibri" w:hAnsi="Calibri" w:eastAsia="Calibri" w:cs="Calibri"/>
        <w:spacing w:val="-4"/>
        <w:sz w:val="18"/>
        <w:szCs w:val="18"/>
      </w:rPr>
      <w:t>126</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127</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54"/>
      <w:rPr>
        <w:rFonts w:ascii="Calibri" w:hAnsi="Calibri" w:eastAsia="Calibri" w:cs="Calibri"/>
        <w:sz w:val="18"/>
        <w:szCs w:val="18"/>
      </w:rPr>
    </w:pPr>
    <w:r>
      <w:rPr>
        <w:rFonts w:ascii="Calibri" w:hAnsi="Calibri" w:eastAsia="Calibri" w:cs="Calibri"/>
        <w:spacing w:val="-4"/>
        <w:sz w:val="18"/>
        <w:szCs w:val="18"/>
      </w:rPr>
      <w:t>128</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129</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130</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131</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132</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133</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134</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45"/>
      <w:rPr>
        <w:rFonts w:ascii="Calibri" w:hAnsi="Calibri" w:eastAsia="Calibri" w:cs="Calibri"/>
        <w:sz w:val="18"/>
        <w:szCs w:val="18"/>
      </w:rPr>
    </w:pPr>
    <w:r>
      <w:rPr>
        <w:rFonts w:ascii="Calibri" w:hAnsi="Calibri" w:eastAsia="Calibri" w:cs="Calibri"/>
        <w:sz w:val="18"/>
        <w:szCs w:val="18"/>
      </w:rPr>
      <w:t>9</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135</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136</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137</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138</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77"/>
      <w:rPr>
        <w:rFonts w:ascii="Calibri" w:hAnsi="Calibri" w:eastAsia="Calibri" w:cs="Calibri"/>
        <w:sz w:val="18"/>
        <w:szCs w:val="18"/>
      </w:rPr>
    </w:pPr>
    <w:r>
      <w:rPr>
        <w:rFonts w:ascii="Calibri" w:hAnsi="Calibri" w:eastAsia="Calibri" w:cs="Calibri"/>
        <w:spacing w:val="-4"/>
        <w:sz w:val="18"/>
        <w:szCs w:val="18"/>
      </w:rPr>
      <w:t>139</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140</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73"/>
      <w:rPr>
        <w:rFonts w:ascii="Calibri" w:hAnsi="Calibri" w:eastAsia="Calibri" w:cs="Calibri"/>
        <w:sz w:val="18"/>
        <w:szCs w:val="18"/>
      </w:rPr>
    </w:pPr>
    <w:r>
      <w:rPr>
        <w:rFonts w:ascii="Calibri" w:hAnsi="Calibri" w:eastAsia="Calibri" w:cs="Calibri"/>
        <w:spacing w:val="-4"/>
        <w:sz w:val="18"/>
        <w:szCs w:val="18"/>
      </w:rPr>
      <w:t>141</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142</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73"/>
      <w:rPr>
        <w:rFonts w:ascii="Calibri" w:hAnsi="Calibri" w:eastAsia="Calibri" w:cs="Calibri"/>
        <w:sz w:val="18"/>
        <w:szCs w:val="18"/>
      </w:rPr>
    </w:pPr>
    <w:r>
      <w:rPr>
        <w:rFonts w:ascii="Calibri" w:hAnsi="Calibri" w:eastAsia="Calibri" w:cs="Calibri"/>
        <w:spacing w:val="-4"/>
        <w:sz w:val="18"/>
        <w:szCs w:val="18"/>
      </w:rPr>
      <w:t>143</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73"/>
      <w:rPr>
        <w:rFonts w:ascii="Calibri" w:hAnsi="Calibri" w:eastAsia="Calibri" w:cs="Calibri"/>
        <w:sz w:val="18"/>
        <w:szCs w:val="18"/>
      </w:rPr>
    </w:pPr>
    <w:r>
      <w:rPr>
        <w:rFonts w:ascii="Calibri" w:hAnsi="Calibri" w:eastAsia="Calibri" w:cs="Calibri"/>
        <w:spacing w:val="-4"/>
        <w:sz w:val="18"/>
        <w:szCs w:val="18"/>
      </w:rPr>
      <w:t>144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07"/>
      <w:rPr>
        <w:rFonts w:ascii="Calibri" w:hAnsi="Calibri" w:eastAsia="Calibri" w:cs="Calibri"/>
        <w:sz w:val="18"/>
        <w:szCs w:val="18"/>
      </w:rPr>
    </w:pPr>
    <w:r>
      <w:rPr>
        <w:rFonts w:ascii="Calibri" w:hAnsi="Calibri" w:eastAsia="Calibri" w:cs="Calibri"/>
        <w:spacing w:val="-4"/>
        <w:sz w:val="18"/>
        <w:szCs w:val="18"/>
      </w:rPr>
      <w:t>10</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62"/>
      <w:rPr>
        <w:rFonts w:ascii="Calibri" w:hAnsi="Calibri" w:eastAsia="Calibri" w:cs="Calibri"/>
        <w:sz w:val="18"/>
        <w:szCs w:val="18"/>
      </w:rPr>
    </w:pPr>
    <w:r>
      <w:rPr>
        <w:rFonts w:ascii="Calibri" w:hAnsi="Calibri" w:eastAsia="Calibri" w:cs="Calibri"/>
        <w:spacing w:val="-4"/>
        <w:sz w:val="18"/>
        <w:szCs w:val="18"/>
      </w:rPr>
      <w:t>145</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73"/>
      <w:rPr>
        <w:rFonts w:ascii="Calibri" w:hAnsi="Calibri" w:eastAsia="Calibri" w:cs="Calibri"/>
        <w:sz w:val="18"/>
        <w:szCs w:val="18"/>
      </w:rPr>
    </w:pPr>
    <w:r>
      <w:rPr>
        <w:rFonts w:ascii="Calibri" w:hAnsi="Calibri" w:eastAsia="Calibri" w:cs="Calibri"/>
        <w:spacing w:val="-4"/>
        <w:sz w:val="18"/>
        <w:szCs w:val="18"/>
      </w:rPr>
      <w:t>146</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73"/>
      <w:rPr>
        <w:rFonts w:ascii="Calibri" w:hAnsi="Calibri" w:eastAsia="Calibri" w:cs="Calibri"/>
        <w:sz w:val="18"/>
        <w:szCs w:val="18"/>
      </w:rPr>
    </w:pPr>
    <w:r>
      <w:rPr>
        <w:rFonts w:ascii="Calibri" w:hAnsi="Calibri" w:eastAsia="Calibri" w:cs="Calibri"/>
        <w:spacing w:val="-4"/>
        <w:sz w:val="18"/>
        <w:szCs w:val="18"/>
      </w:rPr>
      <w:t>147</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148</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73"/>
      <w:rPr>
        <w:rFonts w:ascii="Calibri" w:hAnsi="Calibri" w:eastAsia="Calibri" w:cs="Calibri"/>
        <w:sz w:val="18"/>
        <w:szCs w:val="18"/>
      </w:rPr>
    </w:pPr>
    <w:r>
      <w:rPr>
        <w:rFonts w:ascii="Calibri" w:hAnsi="Calibri" w:eastAsia="Calibri" w:cs="Calibri"/>
        <w:spacing w:val="-4"/>
        <w:sz w:val="18"/>
        <w:szCs w:val="18"/>
      </w:rPr>
      <w:t>149</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73"/>
      <w:rPr>
        <w:rFonts w:ascii="Calibri" w:hAnsi="Calibri" w:eastAsia="Calibri" w:cs="Calibri"/>
        <w:sz w:val="18"/>
        <w:szCs w:val="18"/>
      </w:rPr>
    </w:pPr>
    <w:r>
      <w:rPr>
        <w:rFonts w:ascii="Calibri" w:hAnsi="Calibri" w:eastAsia="Calibri" w:cs="Calibri"/>
        <w:spacing w:val="-4"/>
        <w:sz w:val="18"/>
        <w:szCs w:val="18"/>
      </w:rPr>
      <w:t>150</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62"/>
      <w:rPr>
        <w:rFonts w:ascii="Calibri" w:hAnsi="Calibri" w:eastAsia="Calibri" w:cs="Calibri"/>
        <w:sz w:val="18"/>
        <w:szCs w:val="18"/>
      </w:rPr>
    </w:pPr>
    <w:r>
      <w:rPr>
        <w:rFonts w:ascii="Calibri" w:hAnsi="Calibri" w:eastAsia="Calibri" w:cs="Calibri"/>
        <w:spacing w:val="-4"/>
        <w:sz w:val="18"/>
        <w:szCs w:val="18"/>
      </w:rPr>
      <w:t>151</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152</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153</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62"/>
      <w:rPr>
        <w:rFonts w:ascii="Calibri" w:hAnsi="Calibri" w:eastAsia="Calibri" w:cs="Calibri"/>
        <w:sz w:val="18"/>
        <w:szCs w:val="18"/>
      </w:rPr>
    </w:pPr>
    <w:r>
      <w:rPr>
        <w:rFonts w:ascii="Calibri" w:hAnsi="Calibri" w:eastAsia="Calibri" w:cs="Calibri"/>
        <w:spacing w:val="-4"/>
        <w:sz w:val="18"/>
        <w:szCs w:val="18"/>
      </w:rPr>
      <w:t>154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107"/>
      <w:rPr>
        <w:rFonts w:ascii="Calibri" w:hAnsi="Calibri" w:eastAsia="Calibri" w:cs="Calibri"/>
        <w:sz w:val="18"/>
        <w:szCs w:val="18"/>
      </w:rPr>
    </w:pPr>
    <w:r>
      <w:rPr>
        <w:rFonts w:ascii="Calibri" w:hAnsi="Calibri" w:eastAsia="Calibri" w:cs="Calibri"/>
        <w:spacing w:val="-4"/>
        <w:sz w:val="18"/>
        <w:szCs w:val="18"/>
      </w:rPr>
      <w:t>11</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62"/>
      <w:rPr>
        <w:rFonts w:ascii="Calibri" w:hAnsi="Calibri" w:eastAsia="Calibri" w:cs="Calibri"/>
        <w:sz w:val="18"/>
        <w:szCs w:val="18"/>
      </w:rPr>
    </w:pPr>
    <w:r>
      <w:rPr>
        <w:rFonts w:ascii="Calibri" w:hAnsi="Calibri" w:eastAsia="Calibri" w:cs="Calibri"/>
        <w:spacing w:val="-4"/>
        <w:sz w:val="18"/>
        <w:szCs w:val="18"/>
      </w:rPr>
      <w:t>155</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156</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62"/>
      <w:rPr>
        <w:rFonts w:ascii="Calibri" w:hAnsi="Calibri" w:eastAsia="Calibri" w:cs="Calibri"/>
        <w:sz w:val="18"/>
        <w:szCs w:val="18"/>
      </w:rPr>
    </w:pPr>
    <w:r>
      <w:rPr>
        <w:rFonts w:ascii="Calibri" w:hAnsi="Calibri" w:eastAsia="Calibri" w:cs="Calibri"/>
        <w:spacing w:val="-4"/>
        <w:sz w:val="18"/>
        <w:szCs w:val="18"/>
      </w:rPr>
      <w:t>157</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158</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159</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160</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161</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162</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83"/>
      <w:rPr>
        <w:rFonts w:ascii="Calibri" w:hAnsi="Calibri" w:eastAsia="Calibri" w:cs="Calibri"/>
        <w:sz w:val="18"/>
        <w:szCs w:val="18"/>
      </w:rPr>
    </w:pPr>
    <w:r>
      <w:rPr>
        <w:rFonts w:ascii="Calibri" w:hAnsi="Calibri" w:eastAsia="Calibri" w:cs="Calibri"/>
        <w:spacing w:val="-4"/>
        <w:sz w:val="18"/>
        <w:szCs w:val="18"/>
      </w:rPr>
      <w:t>163</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97"/>
      <w:rPr>
        <w:rFonts w:ascii="Calibri" w:hAnsi="Calibri" w:eastAsia="Calibri" w:cs="Calibri"/>
        <w:sz w:val="18"/>
        <w:szCs w:val="18"/>
      </w:rPr>
    </w:pPr>
    <w:r>
      <w:rPr>
        <w:rFonts w:ascii="Calibri" w:hAnsi="Calibri" w:eastAsia="Calibri" w:cs="Calibri"/>
        <w:spacing w:val="-4"/>
        <w:sz w:val="18"/>
        <w:szCs w:val="18"/>
      </w:rPr>
      <w:t>164</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07"/>
      <w:rPr>
        <w:rFonts w:ascii="Calibri" w:hAnsi="Calibri" w:eastAsia="Calibri" w:cs="Calibri"/>
        <w:sz w:val="18"/>
        <w:szCs w:val="18"/>
      </w:rPr>
    </w:pPr>
    <w:r>
      <w:rPr>
        <w:rFonts w:ascii="Calibri" w:hAnsi="Calibri" w:eastAsia="Calibri" w:cs="Calibri"/>
        <w:spacing w:val="-4"/>
        <w:sz w:val="18"/>
        <w:szCs w:val="18"/>
      </w:rPr>
      <w:t>12</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165</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166</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167</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168</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169</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170</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62"/>
      <w:rPr>
        <w:rFonts w:ascii="Calibri" w:hAnsi="Calibri" w:eastAsia="Calibri" w:cs="Calibri"/>
        <w:sz w:val="18"/>
        <w:szCs w:val="18"/>
      </w:rPr>
    </w:pPr>
    <w:r>
      <w:rPr>
        <w:rFonts w:ascii="Calibri" w:hAnsi="Calibri" w:eastAsia="Calibri" w:cs="Calibri"/>
        <w:spacing w:val="-4"/>
        <w:sz w:val="18"/>
        <w:szCs w:val="18"/>
      </w:rPr>
      <w:t>171</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172</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173</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62"/>
      <w:rPr>
        <w:rFonts w:ascii="Calibri" w:hAnsi="Calibri" w:eastAsia="Calibri" w:cs="Calibri"/>
        <w:sz w:val="18"/>
        <w:szCs w:val="18"/>
      </w:rPr>
    </w:pPr>
    <w:r>
      <w:rPr>
        <w:rFonts w:ascii="Calibri" w:hAnsi="Calibri" w:eastAsia="Calibri" w:cs="Calibri"/>
        <w:spacing w:val="-4"/>
        <w:sz w:val="18"/>
        <w:szCs w:val="18"/>
      </w:rPr>
      <w:t>174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36"/>
      <w:rPr>
        <w:rFonts w:ascii="Calibri" w:hAnsi="Calibri" w:eastAsia="Calibri" w:cs="Calibri"/>
        <w:sz w:val="18"/>
        <w:szCs w:val="18"/>
      </w:rPr>
    </w:pPr>
    <w:r>
      <w:rPr>
        <w:rFonts w:ascii="Calibri" w:hAnsi="Calibri" w:eastAsia="Calibri" w:cs="Calibri"/>
        <w:spacing w:val="-4"/>
        <w:sz w:val="18"/>
        <w:szCs w:val="18"/>
      </w:rPr>
      <w:t>13</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062"/>
      <w:rPr>
        <w:rFonts w:ascii="Calibri" w:hAnsi="Calibri" w:eastAsia="Calibri" w:cs="Calibri"/>
        <w:sz w:val="18"/>
        <w:szCs w:val="18"/>
      </w:rPr>
    </w:pPr>
    <w:r>
      <w:rPr>
        <w:rFonts w:ascii="Calibri" w:hAnsi="Calibri" w:eastAsia="Calibri" w:cs="Calibri"/>
        <w:spacing w:val="-4"/>
        <w:sz w:val="18"/>
        <w:szCs w:val="18"/>
      </w:rPr>
      <w:t>175</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38"/>
      <w:rPr>
        <w:rFonts w:ascii="Calibri" w:hAnsi="Calibri" w:eastAsia="Calibri" w:cs="Calibri"/>
        <w:sz w:val="18"/>
        <w:szCs w:val="18"/>
      </w:rPr>
    </w:pPr>
    <w:r>
      <w:rPr>
        <w:rFonts w:ascii="Calibri" w:hAnsi="Calibri" w:eastAsia="Calibri" w:cs="Calibri"/>
        <w:spacing w:val="-4"/>
        <w:sz w:val="18"/>
        <w:szCs w:val="18"/>
      </w:rPr>
      <w:t>176</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153"/>
      <w:rPr>
        <w:rFonts w:ascii="Calibri" w:hAnsi="Calibri" w:eastAsia="Calibri" w:cs="Calibri"/>
        <w:sz w:val="18"/>
        <w:szCs w:val="18"/>
      </w:rPr>
    </w:pPr>
    <w:r>
      <w:rPr>
        <w:rFonts w:ascii="Calibri" w:hAnsi="Calibri" w:eastAsia="Calibri" w:cs="Calibri"/>
        <w:spacing w:val="-4"/>
        <w:sz w:val="18"/>
        <w:szCs w:val="18"/>
      </w:rPr>
      <w:t>177</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178</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179</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180</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181</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182</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183</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83"/>
      <w:rPr>
        <w:rFonts w:ascii="Calibri" w:hAnsi="Calibri" w:eastAsia="Calibri" w:cs="Calibri"/>
        <w:sz w:val="18"/>
        <w:szCs w:val="18"/>
      </w:rPr>
    </w:pPr>
    <w:r>
      <w:rPr>
        <w:rFonts w:ascii="Calibri" w:hAnsi="Calibri" w:eastAsia="Calibri" w:cs="Calibri"/>
        <w:spacing w:val="-4"/>
        <w:sz w:val="18"/>
        <w:szCs w:val="18"/>
      </w:rPr>
      <w:t>184</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190"/>
      <w:rPr>
        <w:rFonts w:ascii="Calibri" w:hAnsi="Calibri" w:eastAsia="Calibri" w:cs="Calibri"/>
        <w:sz w:val="18"/>
        <w:szCs w:val="18"/>
      </w:rPr>
    </w:pPr>
    <w:r>
      <w:rPr>
        <w:rFonts w:ascii="Calibri" w:hAnsi="Calibri" w:eastAsia="Calibri" w:cs="Calibri"/>
        <w:spacing w:val="-4"/>
        <w:sz w:val="18"/>
        <w:szCs w:val="18"/>
      </w:rPr>
      <w:t>14</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185</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186</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187</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188</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189</w: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190</w: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191</w: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75"/>
      <w:rPr>
        <w:rFonts w:ascii="Calibri" w:hAnsi="Calibri" w:eastAsia="Calibri" w:cs="Calibri"/>
        <w:sz w:val="18"/>
        <w:szCs w:val="18"/>
      </w:rPr>
    </w:pPr>
    <w:r>
      <w:rPr>
        <w:rFonts w:ascii="Calibri" w:hAnsi="Calibri" w:eastAsia="Calibri" w:cs="Calibri"/>
        <w:spacing w:val="-4"/>
        <w:sz w:val="18"/>
        <w:szCs w:val="18"/>
      </w:rPr>
      <w:t>192</w: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193</w: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194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auto"/>
      <w:ind w:left="4153"/>
      <w:rPr>
        <w:rFonts w:ascii="Calibri" w:hAnsi="Calibri" w:eastAsia="Calibri" w:cs="Calibri"/>
        <w:sz w:val="18"/>
        <w:szCs w:val="18"/>
      </w:rPr>
    </w:pPr>
    <w:r>
      <w:rPr>
        <w:rFonts w:ascii="Calibri" w:hAnsi="Calibri" w:eastAsia="Calibri" w:cs="Calibri"/>
        <w:spacing w:val="-4"/>
        <w:sz w:val="18"/>
        <w:szCs w:val="18"/>
      </w:rPr>
      <w:t>ii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107"/>
      <w:rPr>
        <w:rFonts w:ascii="Calibri" w:hAnsi="Calibri" w:eastAsia="Calibri" w:cs="Calibri"/>
        <w:sz w:val="18"/>
        <w:szCs w:val="18"/>
      </w:rPr>
    </w:pPr>
    <w:r>
      <w:rPr>
        <w:rFonts w:ascii="Calibri" w:hAnsi="Calibri" w:eastAsia="Calibri" w:cs="Calibri"/>
        <w:spacing w:val="-4"/>
        <w:sz w:val="18"/>
        <w:szCs w:val="18"/>
      </w:rPr>
      <w:t>15</w: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195</w: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196</w: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197</w: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198</w: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62"/>
      <w:rPr>
        <w:rFonts w:ascii="Calibri" w:hAnsi="Calibri" w:eastAsia="Calibri" w:cs="Calibri"/>
        <w:sz w:val="18"/>
        <w:szCs w:val="18"/>
      </w:rPr>
    </w:pPr>
    <w:r>
      <w:rPr>
        <w:rFonts w:ascii="Calibri" w:hAnsi="Calibri" w:eastAsia="Calibri" w:cs="Calibri"/>
        <w:spacing w:val="-4"/>
        <w:sz w:val="18"/>
        <w:szCs w:val="18"/>
      </w:rPr>
      <w:t>199</w: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200</w: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201</w: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2"/>
      <w:rPr>
        <w:rFonts w:ascii="Calibri" w:hAnsi="Calibri" w:eastAsia="Calibri" w:cs="Calibri"/>
        <w:sz w:val="18"/>
        <w:szCs w:val="18"/>
      </w:rPr>
    </w:pPr>
    <w:r>
      <w:rPr>
        <w:rFonts w:ascii="Calibri" w:hAnsi="Calibri" w:eastAsia="Calibri" w:cs="Calibri"/>
        <w:spacing w:val="-3"/>
        <w:sz w:val="18"/>
        <w:szCs w:val="18"/>
      </w:rPr>
      <w:t>202</w: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203</w: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204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07"/>
      <w:rPr>
        <w:rFonts w:ascii="Calibri" w:hAnsi="Calibri" w:eastAsia="Calibri" w:cs="Calibri"/>
        <w:sz w:val="18"/>
        <w:szCs w:val="18"/>
      </w:rPr>
    </w:pPr>
    <w:r>
      <w:rPr>
        <w:rFonts w:ascii="Calibri" w:hAnsi="Calibri" w:eastAsia="Calibri" w:cs="Calibri"/>
        <w:spacing w:val="-4"/>
        <w:sz w:val="18"/>
        <w:szCs w:val="18"/>
      </w:rPr>
      <w:t>16</w: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205</w: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206</w: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207</w: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208</w: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209</w: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210</w: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2"/>
      <w:rPr>
        <w:rFonts w:ascii="Calibri" w:hAnsi="Calibri" w:eastAsia="Calibri" w:cs="Calibri"/>
        <w:sz w:val="18"/>
        <w:szCs w:val="18"/>
      </w:rPr>
    </w:pPr>
    <w:r>
      <w:rPr>
        <w:rFonts w:ascii="Calibri" w:hAnsi="Calibri" w:eastAsia="Calibri" w:cs="Calibri"/>
        <w:spacing w:val="-3"/>
        <w:sz w:val="18"/>
        <w:szCs w:val="18"/>
      </w:rPr>
      <w:t>211</w: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212</w: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213</w: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214</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246"/>
      <w:rPr>
        <w:rFonts w:ascii="Calibri" w:hAnsi="Calibri" w:eastAsia="Calibri" w:cs="Calibri"/>
        <w:sz w:val="18"/>
        <w:szCs w:val="18"/>
      </w:rPr>
    </w:pPr>
    <w:r>
      <w:rPr>
        <w:rFonts w:ascii="Calibri" w:hAnsi="Calibri" w:eastAsia="Calibri" w:cs="Calibri"/>
        <w:spacing w:val="-4"/>
        <w:sz w:val="18"/>
        <w:szCs w:val="18"/>
      </w:rPr>
      <w:t>17</w: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215</w: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216</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217</w: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45"/>
      <w:rPr>
        <w:rFonts w:ascii="Calibri" w:hAnsi="Calibri" w:eastAsia="Calibri" w:cs="Calibri"/>
        <w:sz w:val="18"/>
        <w:szCs w:val="18"/>
      </w:rPr>
    </w:pPr>
    <w:r>
      <w:rPr>
        <w:rFonts w:ascii="Calibri" w:hAnsi="Calibri" w:eastAsia="Calibri" w:cs="Calibri"/>
        <w:spacing w:val="-3"/>
        <w:sz w:val="18"/>
        <w:szCs w:val="18"/>
      </w:rPr>
      <w:t>218</w: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219</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220</w: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221</w: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222</w: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223</w: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224</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46"/>
      <w:rPr>
        <w:rFonts w:ascii="Calibri" w:hAnsi="Calibri" w:eastAsia="Calibri" w:cs="Calibri"/>
        <w:sz w:val="18"/>
        <w:szCs w:val="18"/>
      </w:rPr>
    </w:pPr>
    <w:r>
      <w:rPr>
        <w:rFonts w:ascii="Calibri" w:hAnsi="Calibri" w:eastAsia="Calibri" w:cs="Calibri"/>
        <w:spacing w:val="-4"/>
        <w:sz w:val="18"/>
        <w:szCs w:val="18"/>
      </w:rPr>
      <w:t>18</w:t>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225</w:t>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226</w:t>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227</w:t>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228</w:t>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229</w:t>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230</w:t>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94"/>
      <w:rPr>
        <w:rFonts w:ascii="Calibri" w:hAnsi="Calibri" w:eastAsia="Calibri" w:cs="Calibri"/>
        <w:sz w:val="18"/>
        <w:szCs w:val="18"/>
      </w:rPr>
    </w:pPr>
    <w:r>
      <w:rPr>
        <w:rFonts w:ascii="Calibri" w:hAnsi="Calibri" w:eastAsia="Calibri" w:cs="Calibri"/>
        <w:spacing w:val="-3"/>
        <w:sz w:val="18"/>
        <w:szCs w:val="18"/>
      </w:rPr>
      <w:t>231</w:t>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94"/>
      <w:rPr>
        <w:rFonts w:ascii="Calibri" w:hAnsi="Calibri" w:eastAsia="Calibri" w:cs="Calibri"/>
        <w:sz w:val="18"/>
        <w:szCs w:val="18"/>
      </w:rPr>
    </w:pPr>
    <w:r>
      <w:rPr>
        <w:rFonts w:ascii="Calibri" w:hAnsi="Calibri" w:eastAsia="Calibri" w:cs="Calibri"/>
        <w:spacing w:val="-3"/>
        <w:sz w:val="18"/>
        <w:szCs w:val="18"/>
      </w:rPr>
      <w:t>232</w:t>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18"/>
      <w:rPr>
        <w:rFonts w:ascii="Calibri" w:hAnsi="Calibri" w:eastAsia="Calibri" w:cs="Calibri"/>
        <w:sz w:val="18"/>
        <w:szCs w:val="18"/>
      </w:rPr>
    </w:pPr>
    <w:r>
      <w:rPr>
        <w:rFonts w:ascii="Calibri" w:hAnsi="Calibri" w:eastAsia="Calibri" w:cs="Calibri"/>
        <w:spacing w:val="-3"/>
        <w:sz w:val="18"/>
        <w:szCs w:val="18"/>
      </w:rPr>
      <w:t>233</w:t>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234</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07"/>
      <w:rPr>
        <w:rFonts w:ascii="Calibri" w:hAnsi="Calibri" w:eastAsia="Calibri" w:cs="Calibri"/>
        <w:sz w:val="18"/>
        <w:szCs w:val="18"/>
      </w:rPr>
    </w:pPr>
    <w:r>
      <w:rPr>
        <w:rFonts w:ascii="Calibri" w:hAnsi="Calibri" w:eastAsia="Calibri" w:cs="Calibri"/>
        <w:spacing w:val="-4"/>
        <w:sz w:val="18"/>
        <w:szCs w:val="18"/>
      </w:rPr>
      <w:t>19</w:t>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235</w:t>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49"/>
      <w:rPr>
        <w:rFonts w:ascii="Calibri" w:hAnsi="Calibri" w:eastAsia="Calibri" w:cs="Calibri"/>
        <w:sz w:val="18"/>
        <w:szCs w:val="18"/>
      </w:rPr>
    </w:pPr>
    <w:r>
      <w:rPr>
        <w:rFonts w:ascii="Calibri" w:hAnsi="Calibri" w:eastAsia="Calibri" w:cs="Calibri"/>
        <w:spacing w:val="-3"/>
        <w:sz w:val="18"/>
        <w:szCs w:val="18"/>
      </w:rPr>
      <w:t>236</w:t>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237</w:t>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238</w:t>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239</w:t>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40"/>
      <w:rPr>
        <w:rFonts w:ascii="Calibri" w:hAnsi="Calibri" w:eastAsia="Calibri" w:cs="Calibri"/>
        <w:sz w:val="18"/>
        <w:szCs w:val="18"/>
      </w:rPr>
    </w:pPr>
    <w:r>
      <w:rPr>
        <w:rFonts w:ascii="Calibri" w:hAnsi="Calibri" w:eastAsia="Calibri" w:cs="Calibri"/>
        <w:spacing w:val="-3"/>
        <w:sz w:val="18"/>
        <w:szCs w:val="18"/>
      </w:rPr>
      <w:t>240</w:t>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241</w:t>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242</w:t>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243</w:t>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244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02"/>
      <w:rPr>
        <w:rFonts w:ascii="Calibri" w:hAnsi="Calibri" w:eastAsia="Calibri" w:cs="Calibri"/>
        <w:sz w:val="18"/>
        <w:szCs w:val="18"/>
      </w:rPr>
    </w:pPr>
    <w:r>
      <w:rPr>
        <w:rFonts w:ascii="Calibri" w:hAnsi="Calibri" w:eastAsia="Calibri" w:cs="Calibri"/>
        <w:spacing w:val="-3"/>
        <w:sz w:val="18"/>
        <w:szCs w:val="18"/>
      </w:rPr>
      <w:t>20</w:t>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245</w:t>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246</w:t>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247</w:t>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248</w:t>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249</w:t>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250</w:t>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251</w:t>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252</w:t>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253</w:t>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254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02"/>
      <w:rPr>
        <w:rFonts w:ascii="Calibri" w:hAnsi="Calibri" w:eastAsia="Calibri" w:cs="Calibri"/>
        <w:sz w:val="18"/>
        <w:szCs w:val="18"/>
      </w:rPr>
    </w:pPr>
    <w:r>
      <w:rPr>
        <w:rFonts w:ascii="Calibri" w:hAnsi="Calibri" w:eastAsia="Calibri" w:cs="Calibri"/>
        <w:spacing w:val="-3"/>
        <w:sz w:val="18"/>
        <w:szCs w:val="18"/>
      </w:rPr>
      <w:t>21</w:t>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255</w:t>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2"/>
      <w:rPr>
        <w:rFonts w:ascii="Calibri" w:hAnsi="Calibri" w:eastAsia="Calibri" w:cs="Calibri"/>
        <w:sz w:val="18"/>
        <w:szCs w:val="18"/>
      </w:rPr>
    </w:pPr>
    <w:r>
      <w:rPr>
        <w:rFonts w:ascii="Calibri" w:hAnsi="Calibri" w:eastAsia="Calibri" w:cs="Calibri"/>
        <w:spacing w:val="-3"/>
        <w:sz w:val="18"/>
        <w:szCs w:val="18"/>
      </w:rPr>
      <w:t>256</w:t>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2"/>
      <w:rPr>
        <w:rFonts w:ascii="Calibri" w:hAnsi="Calibri" w:eastAsia="Calibri" w:cs="Calibri"/>
        <w:sz w:val="18"/>
        <w:szCs w:val="18"/>
      </w:rPr>
    </w:pPr>
    <w:r>
      <w:rPr>
        <w:rFonts w:ascii="Calibri" w:hAnsi="Calibri" w:eastAsia="Calibri" w:cs="Calibri"/>
        <w:spacing w:val="-3"/>
        <w:sz w:val="18"/>
        <w:szCs w:val="18"/>
      </w:rPr>
      <w:t>257</w:t>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2"/>
      <w:rPr>
        <w:rFonts w:ascii="Calibri" w:hAnsi="Calibri" w:eastAsia="Calibri" w:cs="Calibri"/>
        <w:sz w:val="18"/>
        <w:szCs w:val="18"/>
      </w:rPr>
    </w:pPr>
    <w:r>
      <w:rPr>
        <w:rFonts w:ascii="Calibri" w:hAnsi="Calibri" w:eastAsia="Calibri" w:cs="Calibri"/>
        <w:spacing w:val="-3"/>
        <w:sz w:val="18"/>
        <w:szCs w:val="18"/>
      </w:rPr>
      <w:t>258</w:t>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2"/>
      <w:rPr>
        <w:rFonts w:ascii="Calibri" w:hAnsi="Calibri" w:eastAsia="Calibri" w:cs="Calibri"/>
        <w:sz w:val="18"/>
        <w:szCs w:val="18"/>
      </w:rPr>
    </w:pPr>
    <w:r>
      <w:rPr>
        <w:rFonts w:ascii="Calibri" w:hAnsi="Calibri" w:eastAsia="Calibri" w:cs="Calibri"/>
        <w:spacing w:val="-3"/>
        <w:sz w:val="18"/>
        <w:szCs w:val="18"/>
      </w:rPr>
      <w:t>259</w:t>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2"/>
      <w:rPr>
        <w:rFonts w:ascii="Calibri" w:hAnsi="Calibri" w:eastAsia="Calibri" w:cs="Calibri"/>
        <w:sz w:val="18"/>
        <w:szCs w:val="18"/>
      </w:rPr>
    </w:pPr>
    <w:r>
      <w:rPr>
        <w:rFonts w:ascii="Calibri" w:hAnsi="Calibri" w:eastAsia="Calibri" w:cs="Calibri"/>
        <w:spacing w:val="-3"/>
        <w:sz w:val="18"/>
        <w:szCs w:val="18"/>
      </w:rPr>
      <w:t>260</w:t>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2"/>
      <w:rPr>
        <w:rFonts w:ascii="Calibri" w:hAnsi="Calibri" w:eastAsia="Calibri" w:cs="Calibri"/>
        <w:sz w:val="18"/>
        <w:szCs w:val="18"/>
      </w:rPr>
    </w:pPr>
    <w:r>
      <w:rPr>
        <w:rFonts w:ascii="Calibri" w:hAnsi="Calibri" w:eastAsia="Calibri" w:cs="Calibri"/>
        <w:spacing w:val="-3"/>
        <w:sz w:val="18"/>
        <w:szCs w:val="18"/>
      </w:rPr>
      <w:t>261</w:t>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882"/>
      <w:rPr>
        <w:rFonts w:ascii="Calibri" w:hAnsi="Calibri" w:eastAsia="Calibri" w:cs="Calibri"/>
        <w:sz w:val="18"/>
        <w:szCs w:val="18"/>
      </w:rPr>
    </w:pPr>
    <w:r>
      <w:rPr>
        <w:rFonts w:ascii="Calibri" w:hAnsi="Calibri" w:eastAsia="Calibri" w:cs="Calibri"/>
        <w:spacing w:val="-3"/>
        <w:sz w:val="18"/>
        <w:szCs w:val="18"/>
      </w:rPr>
      <w:t>262</w:t>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263</w:t>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264</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28"/>
      <w:rPr>
        <w:rFonts w:ascii="Calibri" w:hAnsi="Calibri" w:eastAsia="Calibri" w:cs="Calibri"/>
        <w:sz w:val="18"/>
        <w:szCs w:val="18"/>
      </w:rPr>
    </w:pPr>
    <w:r>
      <w:rPr>
        <w:rFonts w:ascii="Calibri" w:hAnsi="Calibri" w:eastAsia="Calibri" w:cs="Calibri"/>
        <w:spacing w:val="-3"/>
        <w:sz w:val="18"/>
        <w:szCs w:val="18"/>
      </w:rPr>
      <w:t>22</w:t>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265</w:t>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266</w:t>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267</w:t>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268</w:t>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269</w:t>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056"/>
      <w:rPr>
        <w:rFonts w:ascii="Calibri" w:hAnsi="Calibri" w:eastAsia="Calibri" w:cs="Calibri"/>
        <w:sz w:val="18"/>
        <w:szCs w:val="18"/>
      </w:rPr>
    </w:pPr>
    <w:r>
      <w:rPr>
        <w:rFonts w:ascii="Calibri" w:hAnsi="Calibri" w:eastAsia="Calibri" w:cs="Calibri"/>
        <w:spacing w:val="-3"/>
        <w:sz w:val="18"/>
        <w:szCs w:val="18"/>
      </w:rPr>
      <w:t>270</w:t>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598"/>
      <w:rPr>
        <w:rFonts w:ascii="Calibri" w:hAnsi="Calibri" w:eastAsia="Calibri" w:cs="Calibri"/>
        <w:sz w:val="18"/>
        <w:szCs w:val="18"/>
      </w:rPr>
    </w:pPr>
    <w:r>
      <w:rPr>
        <w:rFonts w:ascii="Calibri" w:hAnsi="Calibri" w:eastAsia="Calibri" w:cs="Calibri"/>
        <w:spacing w:val="-3"/>
        <w:sz w:val="18"/>
        <w:szCs w:val="18"/>
      </w:rPr>
      <w:t>271</w:t>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598"/>
      <w:rPr>
        <w:rFonts w:ascii="Calibri" w:hAnsi="Calibri" w:eastAsia="Calibri" w:cs="Calibri"/>
        <w:sz w:val="18"/>
        <w:szCs w:val="18"/>
      </w:rPr>
    </w:pPr>
    <w:r>
      <w:rPr>
        <w:rFonts w:ascii="Calibri" w:hAnsi="Calibri" w:eastAsia="Calibri" w:cs="Calibri"/>
        <w:spacing w:val="-3"/>
        <w:sz w:val="18"/>
        <w:szCs w:val="18"/>
      </w:rPr>
      <w:t>272</w:t>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598"/>
      <w:rPr>
        <w:rFonts w:ascii="Calibri" w:hAnsi="Calibri" w:eastAsia="Calibri" w:cs="Calibri"/>
        <w:sz w:val="18"/>
        <w:szCs w:val="18"/>
      </w:rPr>
    </w:pPr>
    <w:r>
      <w:rPr>
        <w:rFonts w:ascii="Calibri" w:hAnsi="Calibri" w:eastAsia="Calibri" w:cs="Calibri"/>
        <w:spacing w:val="-3"/>
        <w:sz w:val="18"/>
        <w:szCs w:val="18"/>
      </w:rPr>
      <w:t>273</w:t>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598"/>
      <w:rPr>
        <w:rFonts w:ascii="Calibri" w:hAnsi="Calibri" w:eastAsia="Calibri" w:cs="Calibri"/>
        <w:sz w:val="18"/>
        <w:szCs w:val="18"/>
      </w:rPr>
    </w:pPr>
    <w:r>
      <w:rPr>
        <w:rFonts w:ascii="Calibri" w:hAnsi="Calibri" w:eastAsia="Calibri" w:cs="Calibri"/>
        <w:spacing w:val="-3"/>
        <w:sz w:val="18"/>
        <w:szCs w:val="18"/>
      </w:rPr>
      <w:t>274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28"/>
      <w:rPr>
        <w:rFonts w:ascii="Calibri" w:hAnsi="Calibri" w:eastAsia="Calibri" w:cs="Calibri"/>
        <w:sz w:val="18"/>
        <w:szCs w:val="18"/>
      </w:rPr>
    </w:pPr>
    <w:r>
      <w:rPr>
        <w:rFonts w:ascii="Calibri" w:hAnsi="Calibri" w:eastAsia="Calibri" w:cs="Calibri"/>
        <w:spacing w:val="-3"/>
        <w:sz w:val="18"/>
        <w:szCs w:val="18"/>
      </w:rPr>
      <w:t>23</w:t>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598"/>
      <w:rPr>
        <w:rFonts w:ascii="Calibri" w:hAnsi="Calibri" w:eastAsia="Calibri" w:cs="Calibri"/>
        <w:sz w:val="18"/>
        <w:szCs w:val="18"/>
      </w:rPr>
    </w:pPr>
    <w:r>
      <w:rPr>
        <w:rFonts w:ascii="Calibri" w:hAnsi="Calibri" w:eastAsia="Calibri" w:cs="Calibri"/>
        <w:spacing w:val="-3"/>
        <w:sz w:val="18"/>
        <w:szCs w:val="18"/>
      </w:rPr>
      <w:t>275</w:t>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598"/>
      <w:rPr>
        <w:rFonts w:ascii="Calibri" w:hAnsi="Calibri" w:eastAsia="Calibri" w:cs="Calibri"/>
        <w:sz w:val="18"/>
        <w:szCs w:val="18"/>
      </w:rPr>
    </w:pPr>
    <w:r>
      <w:rPr>
        <w:rFonts w:ascii="Calibri" w:hAnsi="Calibri" w:eastAsia="Calibri" w:cs="Calibri"/>
        <w:spacing w:val="-3"/>
        <w:sz w:val="18"/>
        <w:szCs w:val="18"/>
      </w:rPr>
      <w:t>276</w:t>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598"/>
      <w:rPr>
        <w:rFonts w:ascii="Calibri" w:hAnsi="Calibri" w:eastAsia="Calibri" w:cs="Calibri"/>
        <w:sz w:val="18"/>
        <w:szCs w:val="18"/>
      </w:rPr>
    </w:pPr>
    <w:r>
      <w:rPr>
        <w:rFonts w:ascii="Calibri" w:hAnsi="Calibri" w:eastAsia="Calibri" w:cs="Calibri"/>
        <w:spacing w:val="-3"/>
        <w:sz w:val="18"/>
        <w:szCs w:val="18"/>
      </w:rPr>
      <w:t>277</w:t>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598"/>
      <w:rPr>
        <w:rFonts w:ascii="Calibri" w:hAnsi="Calibri" w:eastAsia="Calibri" w:cs="Calibri"/>
        <w:sz w:val="18"/>
        <w:szCs w:val="18"/>
      </w:rPr>
    </w:pPr>
    <w:r>
      <w:rPr>
        <w:rFonts w:ascii="Calibri" w:hAnsi="Calibri" w:eastAsia="Calibri" w:cs="Calibri"/>
        <w:spacing w:val="-3"/>
        <w:sz w:val="18"/>
        <w:szCs w:val="18"/>
      </w:rPr>
      <w:t>278</w:t>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598"/>
      <w:rPr>
        <w:rFonts w:ascii="Calibri" w:hAnsi="Calibri" w:eastAsia="Calibri" w:cs="Calibri"/>
        <w:sz w:val="18"/>
        <w:szCs w:val="18"/>
      </w:rPr>
    </w:pPr>
    <w:r>
      <w:rPr>
        <w:rFonts w:ascii="Calibri" w:hAnsi="Calibri" w:eastAsia="Calibri" w:cs="Calibri"/>
        <w:spacing w:val="-3"/>
        <w:sz w:val="18"/>
        <w:szCs w:val="18"/>
      </w:rPr>
      <w:t>279</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02"/>
      <w:rPr>
        <w:rFonts w:ascii="Calibri" w:hAnsi="Calibri" w:eastAsia="Calibri" w:cs="Calibri"/>
        <w:sz w:val="18"/>
        <w:szCs w:val="18"/>
      </w:rPr>
    </w:pPr>
    <w:r>
      <w:rPr>
        <w:rFonts w:ascii="Calibri" w:hAnsi="Calibri" w:eastAsia="Calibri" w:cs="Calibri"/>
        <w:spacing w:val="-3"/>
        <w:sz w:val="18"/>
        <w:szCs w:val="18"/>
      </w:rPr>
      <w:t>24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auto"/>
      <w:ind w:left="4132"/>
      <w:rPr>
        <w:rFonts w:ascii="Calibri" w:hAnsi="Calibri" w:eastAsia="Calibri" w:cs="Calibri"/>
        <w:sz w:val="18"/>
        <w:szCs w:val="18"/>
      </w:rPr>
    </w:pPr>
    <w:r>
      <w:rPr>
        <w:rFonts w:ascii="Calibri" w:hAnsi="Calibri" w:eastAsia="Calibri" w:cs="Calibri"/>
        <w:spacing w:val="-3"/>
        <w:sz w:val="18"/>
        <w:szCs w:val="18"/>
      </w:rPr>
      <w:t>iii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02"/>
      <w:rPr>
        <w:rFonts w:ascii="Calibri" w:hAnsi="Calibri" w:eastAsia="Calibri" w:cs="Calibri"/>
        <w:sz w:val="18"/>
        <w:szCs w:val="18"/>
      </w:rPr>
    </w:pPr>
    <w:r>
      <w:rPr>
        <w:rFonts w:ascii="Calibri" w:hAnsi="Calibri" w:eastAsia="Calibri" w:cs="Calibri"/>
        <w:spacing w:val="-3"/>
        <w:sz w:val="18"/>
        <w:szCs w:val="18"/>
      </w:rPr>
      <w:t>25</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8"/>
      <w:rPr>
        <w:rFonts w:ascii="Calibri" w:hAnsi="Calibri" w:eastAsia="Calibri" w:cs="Calibri"/>
        <w:sz w:val="18"/>
        <w:szCs w:val="18"/>
      </w:rPr>
    </w:pPr>
    <w:r>
      <w:rPr>
        <w:rFonts w:ascii="Calibri" w:hAnsi="Calibri" w:eastAsia="Calibri" w:cs="Calibri"/>
        <w:spacing w:val="-3"/>
        <w:sz w:val="18"/>
        <w:szCs w:val="18"/>
      </w:rPr>
      <w:t>26</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8"/>
      <w:rPr>
        <w:rFonts w:ascii="Calibri" w:hAnsi="Calibri" w:eastAsia="Calibri" w:cs="Calibri"/>
        <w:sz w:val="18"/>
        <w:szCs w:val="18"/>
      </w:rPr>
    </w:pPr>
    <w:r>
      <w:rPr>
        <w:rFonts w:ascii="Calibri" w:hAnsi="Calibri" w:eastAsia="Calibri" w:cs="Calibri"/>
        <w:spacing w:val="-3"/>
        <w:sz w:val="18"/>
        <w:szCs w:val="18"/>
      </w:rPr>
      <w:t>27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8"/>
      <w:rPr>
        <w:rFonts w:ascii="Calibri" w:hAnsi="Calibri" w:eastAsia="Calibri" w:cs="Calibri"/>
        <w:sz w:val="18"/>
        <w:szCs w:val="18"/>
      </w:rPr>
    </w:pPr>
    <w:r>
      <w:rPr>
        <w:rFonts w:ascii="Calibri" w:hAnsi="Calibri" w:eastAsia="Calibri" w:cs="Calibri"/>
        <w:spacing w:val="-3"/>
        <w:sz w:val="18"/>
        <w:szCs w:val="18"/>
      </w:rPr>
      <w:t>28</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8"/>
      <w:rPr>
        <w:rFonts w:ascii="Calibri" w:hAnsi="Calibri" w:eastAsia="Calibri" w:cs="Calibri"/>
        <w:sz w:val="18"/>
        <w:szCs w:val="18"/>
      </w:rPr>
    </w:pPr>
    <w:r>
      <w:rPr>
        <w:rFonts w:ascii="Calibri" w:hAnsi="Calibri" w:eastAsia="Calibri" w:cs="Calibri"/>
        <w:spacing w:val="-3"/>
        <w:sz w:val="18"/>
        <w:szCs w:val="18"/>
      </w:rPr>
      <w:t>29</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30</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31</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32</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33</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34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auto"/>
      <w:ind w:left="4134"/>
      <w:rPr>
        <w:rFonts w:ascii="Calibri" w:hAnsi="Calibri" w:eastAsia="Calibri" w:cs="Calibri"/>
        <w:sz w:val="18"/>
        <w:szCs w:val="18"/>
      </w:rPr>
    </w:pPr>
    <w:r>
      <w:rPr>
        <w:rFonts w:ascii="Calibri" w:hAnsi="Calibri" w:eastAsia="Calibri" w:cs="Calibri"/>
        <w:spacing w:val="-3"/>
        <w:sz w:val="18"/>
        <w:szCs w:val="18"/>
      </w:rPr>
      <w:t>iv</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35</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36</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37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38</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39</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2"/>
      <w:rPr>
        <w:rFonts w:ascii="Calibri" w:hAnsi="Calibri" w:eastAsia="Calibri" w:cs="Calibri"/>
        <w:sz w:val="18"/>
        <w:szCs w:val="18"/>
      </w:rPr>
    </w:pPr>
    <w:r>
      <w:rPr>
        <w:rFonts w:ascii="Calibri" w:hAnsi="Calibri" w:eastAsia="Calibri" w:cs="Calibri"/>
        <w:spacing w:val="-2"/>
        <w:sz w:val="18"/>
        <w:szCs w:val="18"/>
      </w:rPr>
      <w:t>40</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6944"/>
      <w:rPr>
        <w:rFonts w:ascii="Calibri" w:hAnsi="Calibri" w:eastAsia="Calibri" w:cs="Calibri"/>
        <w:sz w:val="18"/>
        <w:szCs w:val="18"/>
      </w:rPr>
    </w:pPr>
    <w:r>
      <w:rPr>
        <w:rFonts w:ascii="Calibri" w:hAnsi="Calibri" w:eastAsia="Calibri" w:cs="Calibri"/>
        <w:spacing w:val="-2"/>
        <w:sz w:val="18"/>
        <w:szCs w:val="18"/>
      </w:rPr>
      <w:t>41</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4"/>
      <w:rPr>
        <w:rFonts w:ascii="Calibri" w:hAnsi="Calibri" w:eastAsia="Calibri" w:cs="Calibri"/>
        <w:sz w:val="18"/>
        <w:szCs w:val="18"/>
      </w:rPr>
    </w:pPr>
    <w:r>
      <w:rPr>
        <w:rFonts w:ascii="Calibri" w:hAnsi="Calibri" w:eastAsia="Calibri" w:cs="Calibri"/>
        <w:spacing w:val="-2"/>
        <w:sz w:val="18"/>
        <w:szCs w:val="18"/>
      </w:rPr>
      <w:t>42</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4"/>
      <w:rPr>
        <w:rFonts w:ascii="Calibri" w:hAnsi="Calibri" w:eastAsia="Calibri" w:cs="Calibri"/>
        <w:sz w:val="18"/>
        <w:szCs w:val="18"/>
      </w:rPr>
    </w:pPr>
    <w:r>
      <w:rPr>
        <w:rFonts w:ascii="Calibri" w:hAnsi="Calibri" w:eastAsia="Calibri" w:cs="Calibri"/>
        <w:spacing w:val="-2"/>
        <w:sz w:val="18"/>
        <w:szCs w:val="18"/>
      </w:rPr>
      <w:t>43</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6944"/>
      <w:rPr>
        <w:rFonts w:ascii="Calibri" w:hAnsi="Calibri" w:eastAsia="Calibri" w:cs="Calibri"/>
        <w:sz w:val="18"/>
        <w:szCs w:val="18"/>
      </w:rPr>
    </w:pPr>
    <w:r>
      <w:rPr>
        <w:rFonts w:ascii="Calibri" w:hAnsi="Calibri" w:eastAsia="Calibri" w:cs="Calibri"/>
        <w:spacing w:val="-2"/>
        <w:sz w:val="18"/>
        <w:szCs w:val="18"/>
      </w:rPr>
      <w:t>44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auto"/>
      <w:ind w:left="4145"/>
      <w:rPr>
        <w:rFonts w:ascii="Calibri" w:hAnsi="Calibri" w:eastAsia="Calibri" w:cs="Calibri"/>
        <w:sz w:val="18"/>
        <w:szCs w:val="18"/>
      </w:rPr>
    </w:pPr>
    <w:r>
      <w:rPr>
        <w:rFonts w:ascii="Calibri" w:hAnsi="Calibri" w:eastAsia="Calibri" w:cs="Calibri"/>
        <w:sz w:val="18"/>
        <w:szCs w:val="18"/>
      </w:rPr>
      <w:t>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422"/>
      <w:rPr>
        <w:rFonts w:ascii="Calibri" w:hAnsi="Calibri" w:eastAsia="Calibri" w:cs="Calibri"/>
        <w:sz w:val="18"/>
        <w:szCs w:val="18"/>
      </w:rPr>
    </w:pPr>
    <w:r>
      <w:rPr>
        <w:rFonts w:ascii="Calibri" w:hAnsi="Calibri" w:eastAsia="Calibri" w:cs="Calibri"/>
        <w:spacing w:val="-2"/>
        <w:sz w:val="18"/>
        <w:szCs w:val="18"/>
      </w:rPr>
      <w:t>45</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2"/>
      <w:rPr>
        <w:rFonts w:ascii="Calibri" w:hAnsi="Calibri" w:eastAsia="Calibri" w:cs="Calibri"/>
        <w:sz w:val="18"/>
        <w:szCs w:val="18"/>
      </w:rPr>
    </w:pPr>
    <w:r>
      <w:rPr>
        <w:rFonts w:ascii="Calibri" w:hAnsi="Calibri" w:eastAsia="Calibri" w:cs="Calibri"/>
        <w:spacing w:val="-2"/>
        <w:sz w:val="18"/>
        <w:szCs w:val="18"/>
      </w:rPr>
      <w:t>46</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422"/>
      <w:rPr>
        <w:rFonts w:ascii="Calibri" w:hAnsi="Calibri" w:eastAsia="Calibri" w:cs="Calibri"/>
        <w:sz w:val="18"/>
        <w:szCs w:val="18"/>
      </w:rPr>
    </w:pPr>
    <w:r>
      <w:rPr>
        <w:rFonts w:ascii="Calibri" w:hAnsi="Calibri" w:eastAsia="Calibri" w:cs="Calibri"/>
        <w:spacing w:val="-2"/>
        <w:sz w:val="18"/>
        <w:szCs w:val="18"/>
      </w:rPr>
      <w:t>47</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2"/>
      <w:rPr>
        <w:rFonts w:ascii="Calibri" w:hAnsi="Calibri" w:eastAsia="Calibri" w:cs="Calibri"/>
        <w:sz w:val="18"/>
        <w:szCs w:val="18"/>
      </w:rPr>
    </w:pPr>
    <w:r>
      <w:rPr>
        <w:rFonts w:ascii="Calibri" w:hAnsi="Calibri" w:eastAsia="Calibri" w:cs="Calibri"/>
        <w:spacing w:val="-2"/>
        <w:sz w:val="18"/>
        <w:szCs w:val="18"/>
      </w:rPr>
      <w:t>48</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2"/>
      <w:rPr>
        <w:rFonts w:ascii="Calibri" w:hAnsi="Calibri" w:eastAsia="Calibri" w:cs="Calibri"/>
        <w:sz w:val="18"/>
        <w:szCs w:val="18"/>
      </w:rPr>
    </w:pPr>
    <w:r>
      <w:rPr>
        <w:rFonts w:ascii="Calibri" w:hAnsi="Calibri" w:eastAsia="Calibri" w:cs="Calibri"/>
        <w:spacing w:val="-2"/>
        <w:sz w:val="18"/>
        <w:szCs w:val="18"/>
      </w:rPr>
      <w:t>49</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6"/>
      <w:rPr>
        <w:rFonts w:ascii="Calibri" w:hAnsi="Calibri" w:eastAsia="Calibri" w:cs="Calibri"/>
        <w:sz w:val="18"/>
        <w:szCs w:val="18"/>
      </w:rPr>
    </w:pPr>
    <w:r>
      <w:rPr>
        <w:rFonts w:ascii="Calibri" w:hAnsi="Calibri" w:eastAsia="Calibri" w:cs="Calibri"/>
        <w:spacing w:val="-3"/>
        <w:sz w:val="18"/>
        <w:szCs w:val="18"/>
      </w:rPr>
      <w:t>50</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426"/>
      <w:rPr>
        <w:rFonts w:ascii="Calibri" w:hAnsi="Calibri" w:eastAsia="Calibri" w:cs="Calibri"/>
        <w:sz w:val="18"/>
        <w:szCs w:val="18"/>
      </w:rPr>
    </w:pPr>
    <w:r>
      <w:rPr>
        <w:rFonts w:ascii="Calibri" w:hAnsi="Calibri" w:eastAsia="Calibri" w:cs="Calibri"/>
        <w:spacing w:val="-3"/>
        <w:sz w:val="18"/>
        <w:szCs w:val="18"/>
      </w:rPr>
      <w:t>51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8"/>
      <w:rPr>
        <w:rFonts w:ascii="Calibri" w:hAnsi="Calibri" w:eastAsia="Calibri" w:cs="Calibri"/>
        <w:sz w:val="18"/>
        <w:szCs w:val="18"/>
      </w:rPr>
    </w:pPr>
    <w:r>
      <w:rPr>
        <w:rFonts w:ascii="Calibri" w:hAnsi="Calibri" w:eastAsia="Calibri" w:cs="Calibri"/>
        <w:spacing w:val="-3"/>
        <w:sz w:val="18"/>
        <w:szCs w:val="18"/>
      </w:rPr>
      <w:t>52</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8"/>
      <w:rPr>
        <w:rFonts w:ascii="Calibri" w:hAnsi="Calibri" w:eastAsia="Calibri" w:cs="Calibri"/>
        <w:sz w:val="18"/>
        <w:szCs w:val="18"/>
      </w:rPr>
    </w:pPr>
    <w:r>
      <w:rPr>
        <w:rFonts w:ascii="Calibri" w:hAnsi="Calibri" w:eastAsia="Calibri" w:cs="Calibri"/>
        <w:spacing w:val="-3"/>
        <w:sz w:val="18"/>
        <w:szCs w:val="18"/>
      </w:rPr>
      <w:t>53</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6948"/>
      <w:rPr>
        <w:rFonts w:ascii="Calibri" w:hAnsi="Calibri" w:eastAsia="Calibri" w:cs="Calibri"/>
        <w:sz w:val="18"/>
        <w:szCs w:val="18"/>
      </w:rPr>
    </w:pPr>
    <w:r>
      <w:rPr>
        <w:rFonts w:ascii="Calibri" w:hAnsi="Calibri" w:eastAsia="Calibri" w:cs="Calibri"/>
        <w:spacing w:val="-3"/>
        <w:sz w:val="18"/>
        <w:szCs w:val="18"/>
      </w:rPr>
      <w:t>54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153"/>
      <w:rPr>
        <w:rFonts w:ascii="Calibri" w:hAnsi="Calibri" w:eastAsia="Calibri" w:cs="Calibri"/>
        <w:sz w:val="18"/>
        <w:szCs w:val="18"/>
      </w:rPr>
    </w:pPr>
    <w:r>
      <w:rPr>
        <w:rFonts w:ascii="Calibri" w:hAnsi="Calibri" w:eastAsia="Calibri" w:cs="Calibri"/>
        <w:sz w:val="18"/>
        <w:szCs w:val="18"/>
      </w:rPr>
      <w:t>1</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6948"/>
      <w:rPr>
        <w:rFonts w:ascii="Calibri" w:hAnsi="Calibri" w:eastAsia="Calibri" w:cs="Calibri"/>
        <w:sz w:val="18"/>
        <w:szCs w:val="18"/>
      </w:rPr>
    </w:pPr>
    <w:r>
      <w:rPr>
        <w:rFonts w:ascii="Calibri" w:hAnsi="Calibri" w:eastAsia="Calibri" w:cs="Calibri"/>
        <w:spacing w:val="-3"/>
        <w:sz w:val="18"/>
        <w:szCs w:val="18"/>
      </w:rPr>
      <w:t>55</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6"/>
      <w:rPr>
        <w:rFonts w:ascii="Calibri" w:hAnsi="Calibri" w:eastAsia="Calibri" w:cs="Calibri"/>
        <w:sz w:val="18"/>
        <w:szCs w:val="18"/>
      </w:rPr>
    </w:pPr>
    <w:r>
      <w:rPr>
        <w:rFonts w:ascii="Calibri" w:hAnsi="Calibri" w:eastAsia="Calibri" w:cs="Calibri"/>
        <w:spacing w:val="-3"/>
        <w:sz w:val="18"/>
        <w:szCs w:val="18"/>
      </w:rPr>
      <w:t>56</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426"/>
      <w:rPr>
        <w:rFonts w:ascii="Calibri" w:hAnsi="Calibri" w:eastAsia="Calibri" w:cs="Calibri"/>
        <w:sz w:val="18"/>
        <w:szCs w:val="18"/>
      </w:rPr>
    </w:pPr>
    <w:r>
      <w:rPr>
        <w:rFonts w:ascii="Calibri" w:hAnsi="Calibri" w:eastAsia="Calibri" w:cs="Calibri"/>
        <w:spacing w:val="-3"/>
        <w:sz w:val="18"/>
        <w:szCs w:val="18"/>
      </w:rPr>
      <w:t>57</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8"/>
      <w:rPr>
        <w:rFonts w:ascii="Calibri" w:hAnsi="Calibri" w:eastAsia="Calibri" w:cs="Calibri"/>
        <w:sz w:val="18"/>
        <w:szCs w:val="18"/>
      </w:rPr>
    </w:pPr>
    <w:r>
      <w:rPr>
        <w:rFonts w:ascii="Calibri" w:hAnsi="Calibri" w:eastAsia="Calibri" w:cs="Calibri"/>
        <w:spacing w:val="-3"/>
        <w:sz w:val="18"/>
        <w:szCs w:val="18"/>
      </w:rPr>
      <w:t>58</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8"/>
      <w:rPr>
        <w:rFonts w:ascii="Calibri" w:hAnsi="Calibri" w:eastAsia="Calibri" w:cs="Calibri"/>
        <w:sz w:val="18"/>
        <w:szCs w:val="18"/>
      </w:rPr>
    </w:pPr>
    <w:r>
      <w:rPr>
        <w:rFonts w:ascii="Calibri" w:hAnsi="Calibri" w:eastAsia="Calibri" w:cs="Calibri"/>
        <w:spacing w:val="-3"/>
        <w:sz w:val="18"/>
        <w:szCs w:val="18"/>
      </w:rPr>
      <w:t>59</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9"/>
      <w:rPr>
        <w:rFonts w:ascii="Calibri" w:hAnsi="Calibri" w:eastAsia="Calibri" w:cs="Calibri"/>
        <w:sz w:val="18"/>
        <w:szCs w:val="18"/>
      </w:rPr>
    </w:pPr>
    <w:r>
      <w:rPr>
        <w:rFonts w:ascii="Calibri" w:hAnsi="Calibri" w:eastAsia="Calibri" w:cs="Calibri"/>
        <w:spacing w:val="-3"/>
        <w:sz w:val="18"/>
        <w:szCs w:val="18"/>
      </w:rPr>
      <w:t>60</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9"/>
      <w:rPr>
        <w:rFonts w:ascii="Calibri" w:hAnsi="Calibri" w:eastAsia="Calibri" w:cs="Calibri"/>
        <w:sz w:val="18"/>
        <w:szCs w:val="18"/>
      </w:rPr>
    </w:pPr>
    <w:r>
      <w:rPr>
        <w:rFonts w:ascii="Calibri" w:hAnsi="Calibri" w:eastAsia="Calibri" w:cs="Calibri"/>
        <w:spacing w:val="-3"/>
        <w:sz w:val="18"/>
        <w:szCs w:val="18"/>
      </w:rPr>
      <w:t>61</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62</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63</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64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48"/>
      <w:rPr>
        <w:rFonts w:ascii="Calibri" w:hAnsi="Calibri" w:eastAsia="Calibri" w:cs="Calibri"/>
        <w:sz w:val="18"/>
        <w:szCs w:val="18"/>
      </w:rPr>
    </w:pPr>
    <w:r>
      <w:rPr>
        <w:rFonts w:ascii="Calibri" w:hAnsi="Calibri" w:eastAsia="Calibri" w:cs="Calibri"/>
        <w:sz w:val="18"/>
        <w:szCs w:val="18"/>
      </w:rPr>
      <w:t>2</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65</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66</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9"/>
      <w:rPr>
        <w:rFonts w:ascii="Calibri" w:hAnsi="Calibri" w:eastAsia="Calibri" w:cs="Calibri"/>
        <w:sz w:val="18"/>
        <w:szCs w:val="18"/>
      </w:rPr>
    </w:pPr>
    <w:r>
      <w:rPr>
        <w:rFonts w:ascii="Calibri" w:hAnsi="Calibri" w:eastAsia="Calibri" w:cs="Calibri"/>
        <w:spacing w:val="-3"/>
        <w:sz w:val="18"/>
        <w:szCs w:val="18"/>
      </w:rPr>
      <w:t>67</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9"/>
      <w:rPr>
        <w:rFonts w:ascii="Calibri" w:hAnsi="Calibri" w:eastAsia="Calibri" w:cs="Calibri"/>
        <w:sz w:val="18"/>
        <w:szCs w:val="18"/>
      </w:rPr>
    </w:pPr>
    <w:r>
      <w:rPr>
        <w:rFonts w:ascii="Calibri" w:hAnsi="Calibri" w:eastAsia="Calibri" w:cs="Calibri"/>
        <w:spacing w:val="-3"/>
        <w:sz w:val="18"/>
        <w:szCs w:val="18"/>
      </w:rPr>
      <w:t>68</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7"/>
      <w:rPr>
        <w:rFonts w:ascii="Calibri" w:hAnsi="Calibri" w:eastAsia="Calibri" w:cs="Calibri"/>
        <w:sz w:val="18"/>
        <w:szCs w:val="18"/>
      </w:rPr>
    </w:pPr>
    <w:r>
      <w:rPr>
        <w:rFonts w:ascii="Calibri" w:hAnsi="Calibri" w:eastAsia="Calibri" w:cs="Calibri"/>
        <w:spacing w:val="-3"/>
        <w:sz w:val="18"/>
        <w:szCs w:val="18"/>
      </w:rPr>
      <w:t>69</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6"/>
      <w:rPr>
        <w:rFonts w:ascii="Calibri" w:hAnsi="Calibri" w:eastAsia="Calibri" w:cs="Calibri"/>
        <w:sz w:val="18"/>
        <w:szCs w:val="18"/>
      </w:rPr>
    </w:pPr>
    <w:r>
      <w:rPr>
        <w:rFonts w:ascii="Calibri" w:hAnsi="Calibri" w:eastAsia="Calibri" w:cs="Calibri"/>
        <w:spacing w:val="-3"/>
        <w:sz w:val="18"/>
        <w:szCs w:val="18"/>
      </w:rPr>
      <w:t>70</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426"/>
      <w:rPr>
        <w:rFonts w:ascii="Calibri" w:hAnsi="Calibri" w:eastAsia="Calibri" w:cs="Calibri"/>
        <w:sz w:val="18"/>
        <w:szCs w:val="18"/>
      </w:rPr>
    </w:pPr>
    <w:r>
      <w:rPr>
        <w:rFonts w:ascii="Calibri" w:hAnsi="Calibri" w:eastAsia="Calibri" w:cs="Calibri"/>
        <w:spacing w:val="-3"/>
        <w:sz w:val="18"/>
        <w:szCs w:val="18"/>
      </w:rPr>
      <w:t>71</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6"/>
      <w:rPr>
        <w:rFonts w:ascii="Calibri" w:hAnsi="Calibri" w:eastAsia="Calibri" w:cs="Calibri"/>
        <w:sz w:val="18"/>
        <w:szCs w:val="18"/>
      </w:rPr>
    </w:pPr>
    <w:r>
      <w:rPr>
        <w:rFonts w:ascii="Calibri" w:hAnsi="Calibri" w:eastAsia="Calibri" w:cs="Calibri"/>
        <w:spacing w:val="-3"/>
        <w:sz w:val="18"/>
        <w:szCs w:val="18"/>
      </w:rPr>
      <w:t>72</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8"/>
      <w:rPr>
        <w:rFonts w:ascii="Calibri" w:hAnsi="Calibri" w:eastAsia="Calibri" w:cs="Calibri"/>
        <w:sz w:val="18"/>
        <w:szCs w:val="18"/>
      </w:rPr>
    </w:pPr>
    <w:r>
      <w:rPr>
        <w:rFonts w:ascii="Calibri" w:hAnsi="Calibri" w:eastAsia="Calibri" w:cs="Calibri"/>
        <w:spacing w:val="-3"/>
        <w:sz w:val="18"/>
        <w:szCs w:val="18"/>
      </w:rPr>
      <w:t>73</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6948"/>
      <w:rPr>
        <w:rFonts w:ascii="Calibri" w:hAnsi="Calibri" w:eastAsia="Calibri" w:cs="Calibri"/>
        <w:sz w:val="18"/>
        <w:szCs w:val="18"/>
      </w:rPr>
    </w:pPr>
    <w:r>
      <w:rPr>
        <w:rFonts w:ascii="Calibri" w:hAnsi="Calibri" w:eastAsia="Calibri" w:cs="Calibri"/>
        <w:spacing w:val="-3"/>
        <w:sz w:val="18"/>
        <w:szCs w:val="18"/>
      </w:rPr>
      <w:t>74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147"/>
      <w:rPr>
        <w:rFonts w:ascii="Calibri" w:hAnsi="Calibri" w:eastAsia="Calibri" w:cs="Calibri"/>
        <w:sz w:val="18"/>
        <w:szCs w:val="18"/>
      </w:rPr>
    </w:pPr>
    <w:r>
      <w:rPr>
        <w:rFonts w:ascii="Calibri" w:hAnsi="Calibri" w:eastAsia="Calibri" w:cs="Calibri"/>
        <w:sz w:val="18"/>
        <w:szCs w:val="18"/>
      </w:rPr>
      <w:t>3</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426"/>
      <w:rPr>
        <w:rFonts w:ascii="Calibri" w:hAnsi="Calibri" w:eastAsia="Calibri" w:cs="Calibri"/>
        <w:sz w:val="18"/>
        <w:szCs w:val="18"/>
      </w:rPr>
    </w:pPr>
    <w:r>
      <w:rPr>
        <w:rFonts w:ascii="Calibri" w:hAnsi="Calibri" w:eastAsia="Calibri" w:cs="Calibri"/>
        <w:spacing w:val="-3"/>
        <w:sz w:val="18"/>
        <w:szCs w:val="18"/>
      </w:rPr>
      <w:t>75</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6948"/>
      <w:rPr>
        <w:rFonts w:ascii="Calibri" w:hAnsi="Calibri" w:eastAsia="Calibri" w:cs="Calibri"/>
        <w:sz w:val="18"/>
        <w:szCs w:val="18"/>
      </w:rPr>
    </w:pPr>
    <w:r>
      <w:rPr>
        <w:rFonts w:ascii="Calibri" w:hAnsi="Calibri" w:eastAsia="Calibri" w:cs="Calibri"/>
        <w:spacing w:val="-3"/>
        <w:sz w:val="18"/>
        <w:szCs w:val="18"/>
      </w:rPr>
      <w:t>76</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5" w:lineRule="auto"/>
      <w:ind w:left="4426"/>
      <w:rPr>
        <w:rFonts w:ascii="Calibri" w:hAnsi="Calibri" w:eastAsia="Calibri" w:cs="Calibri"/>
        <w:sz w:val="18"/>
        <w:szCs w:val="18"/>
      </w:rPr>
    </w:pPr>
    <w:r>
      <w:rPr>
        <w:rFonts w:ascii="Calibri" w:hAnsi="Calibri" w:eastAsia="Calibri" w:cs="Calibri"/>
        <w:spacing w:val="-3"/>
        <w:sz w:val="18"/>
        <w:szCs w:val="18"/>
      </w:rPr>
      <w:t>77</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426"/>
      <w:rPr>
        <w:rFonts w:ascii="Calibri" w:hAnsi="Calibri" w:eastAsia="Calibri" w:cs="Calibri"/>
        <w:sz w:val="18"/>
        <w:szCs w:val="18"/>
      </w:rPr>
    </w:pPr>
    <w:r>
      <w:rPr>
        <w:rFonts w:ascii="Calibri" w:hAnsi="Calibri" w:eastAsia="Calibri" w:cs="Calibri"/>
        <w:spacing w:val="-3"/>
        <w:sz w:val="18"/>
        <w:szCs w:val="18"/>
      </w:rPr>
      <w:t>78</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07"/>
      <w:rPr>
        <w:rFonts w:ascii="Calibri" w:hAnsi="Calibri" w:eastAsia="Calibri" w:cs="Calibri"/>
        <w:sz w:val="18"/>
        <w:szCs w:val="18"/>
      </w:rPr>
    </w:pPr>
    <w:r>
      <w:rPr>
        <w:rFonts w:ascii="Calibri" w:hAnsi="Calibri" w:eastAsia="Calibri" w:cs="Calibri"/>
        <w:spacing w:val="-3"/>
        <w:sz w:val="18"/>
        <w:szCs w:val="18"/>
      </w:rPr>
      <w:t>79</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05"/>
      <w:rPr>
        <w:rFonts w:ascii="Calibri" w:hAnsi="Calibri" w:eastAsia="Calibri" w:cs="Calibri"/>
        <w:sz w:val="18"/>
        <w:szCs w:val="18"/>
      </w:rPr>
    </w:pPr>
    <w:r>
      <w:rPr>
        <w:rFonts w:ascii="Calibri" w:hAnsi="Calibri" w:eastAsia="Calibri" w:cs="Calibri"/>
        <w:spacing w:val="-2"/>
        <w:sz w:val="18"/>
        <w:szCs w:val="18"/>
      </w:rPr>
      <w:t>80</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05"/>
      <w:rPr>
        <w:rFonts w:ascii="Calibri" w:hAnsi="Calibri" w:eastAsia="Calibri" w:cs="Calibri"/>
        <w:sz w:val="18"/>
        <w:szCs w:val="18"/>
      </w:rPr>
    </w:pPr>
    <w:r>
      <w:rPr>
        <w:rFonts w:ascii="Calibri" w:hAnsi="Calibri" w:eastAsia="Calibri" w:cs="Calibri"/>
        <w:spacing w:val="-2"/>
        <w:sz w:val="18"/>
        <w:szCs w:val="18"/>
      </w:rPr>
      <w:t>81</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05"/>
      <w:rPr>
        <w:rFonts w:ascii="Calibri" w:hAnsi="Calibri" w:eastAsia="Calibri" w:cs="Calibri"/>
        <w:sz w:val="18"/>
        <w:szCs w:val="18"/>
      </w:rPr>
    </w:pPr>
    <w:r>
      <w:rPr>
        <w:rFonts w:ascii="Calibri" w:hAnsi="Calibri" w:eastAsia="Calibri" w:cs="Calibri"/>
        <w:spacing w:val="-2"/>
        <w:sz w:val="18"/>
        <w:szCs w:val="18"/>
      </w:rPr>
      <w:t>82</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05"/>
      <w:rPr>
        <w:rFonts w:ascii="Calibri" w:hAnsi="Calibri" w:eastAsia="Calibri" w:cs="Calibri"/>
        <w:sz w:val="18"/>
        <w:szCs w:val="18"/>
      </w:rPr>
    </w:pPr>
    <w:r>
      <w:rPr>
        <w:rFonts w:ascii="Calibri" w:hAnsi="Calibri" w:eastAsia="Calibri" w:cs="Calibri"/>
        <w:spacing w:val="-2"/>
        <w:sz w:val="18"/>
        <w:szCs w:val="18"/>
      </w:rPr>
      <w:t>83</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05"/>
      <w:rPr>
        <w:rFonts w:ascii="Calibri" w:hAnsi="Calibri" w:eastAsia="Calibri" w:cs="Calibri"/>
        <w:sz w:val="18"/>
        <w:szCs w:val="18"/>
      </w:rPr>
    </w:pPr>
    <w:r>
      <w:rPr>
        <w:rFonts w:ascii="Calibri" w:hAnsi="Calibri" w:eastAsia="Calibri" w:cs="Calibri"/>
        <w:spacing w:val="-2"/>
        <w:sz w:val="18"/>
        <w:szCs w:val="18"/>
      </w:rPr>
      <w:t>84</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6" w:lineRule="auto"/>
      <w:ind w:left="4142"/>
      <w:rPr>
        <w:rFonts w:ascii="Calibri" w:hAnsi="Calibri" w:eastAsia="Calibri" w:cs="Calibri"/>
        <w:sz w:val="18"/>
        <w:szCs w:val="18"/>
      </w:rPr>
    </w:pPr>
    <w:r>
      <w:rPr>
        <w:rFonts w:ascii="Calibri" w:hAnsi="Calibri" w:eastAsia="Calibri" w:cs="Calibri"/>
        <w:sz w:val="18"/>
        <w:szCs w:val="18"/>
      </w:rPr>
      <w:t>4</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05"/>
      <w:rPr>
        <w:rFonts w:ascii="Calibri" w:hAnsi="Calibri" w:eastAsia="Calibri" w:cs="Calibri"/>
        <w:sz w:val="18"/>
        <w:szCs w:val="18"/>
      </w:rPr>
    </w:pPr>
    <w:r>
      <w:rPr>
        <w:rFonts w:ascii="Calibri" w:hAnsi="Calibri" w:eastAsia="Calibri" w:cs="Calibri"/>
        <w:spacing w:val="-2"/>
        <w:sz w:val="18"/>
        <w:szCs w:val="18"/>
      </w:rPr>
      <w:t>85</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05"/>
      <w:rPr>
        <w:rFonts w:ascii="Calibri" w:hAnsi="Calibri" w:eastAsia="Calibri" w:cs="Calibri"/>
        <w:sz w:val="18"/>
        <w:szCs w:val="18"/>
      </w:rPr>
    </w:pPr>
    <w:r>
      <w:rPr>
        <w:rFonts w:ascii="Calibri" w:hAnsi="Calibri" w:eastAsia="Calibri" w:cs="Calibri"/>
        <w:spacing w:val="-2"/>
        <w:sz w:val="18"/>
        <w:szCs w:val="18"/>
      </w:rPr>
      <w:t>86</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305"/>
      <w:rPr>
        <w:rFonts w:ascii="Calibri" w:hAnsi="Calibri" w:eastAsia="Calibri" w:cs="Calibri"/>
        <w:sz w:val="18"/>
        <w:szCs w:val="18"/>
      </w:rPr>
    </w:pPr>
    <w:r>
      <w:rPr>
        <w:rFonts w:ascii="Calibri" w:hAnsi="Calibri" w:eastAsia="Calibri" w:cs="Calibri"/>
        <w:spacing w:val="-2"/>
        <w:sz w:val="18"/>
        <w:szCs w:val="18"/>
      </w:rPr>
      <w:t>87</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57"/>
      <w:rPr>
        <w:rFonts w:ascii="Calibri" w:hAnsi="Calibri" w:eastAsia="Calibri" w:cs="Calibri"/>
        <w:sz w:val="18"/>
        <w:szCs w:val="18"/>
      </w:rPr>
    </w:pPr>
    <w:r>
      <w:rPr>
        <w:rFonts w:ascii="Calibri" w:hAnsi="Calibri" w:eastAsia="Calibri" w:cs="Calibri"/>
        <w:spacing w:val="-2"/>
        <w:sz w:val="18"/>
        <w:szCs w:val="18"/>
      </w:rPr>
      <w:t>88</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66"/>
      <w:rPr>
        <w:rFonts w:ascii="Calibri" w:hAnsi="Calibri" w:eastAsia="Calibri" w:cs="Calibri"/>
        <w:sz w:val="18"/>
        <w:szCs w:val="18"/>
      </w:rPr>
    </w:pPr>
    <w:r>
      <w:rPr>
        <w:rFonts w:ascii="Calibri" w:hAnsi="Calibri" w:eastAsia="Calibri" w:cs="Calibri"/>
        <w:spacing w:val="-2"/>
        <w:sz w:val="18"/>
        <w:szCs w:val="18"/>
      </w:rPr>
      <w:t>89</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80"/>
      <w:rPr>
        <w:rFonts w:ascii="Calibri" w:hAnsi="Calibri" w:eastAsia="Calibri" w:cs="Calibri"/>
        <w:sz w:val="18"/>
        <w:szCs w:val="18"/>
      </w:rPr>
    </w:pPr>
    <w:r>
      <w:rPr>
        <w:rFonts w:ascii="Calibri" w:hAnsi="Calibri" w:eastAsia="Calibri" w:cs="Calibri"/>
        <w:spacing w:val="-2"/>
        <w:sz w:val="18"/>
        <w:szCs w:val="18"/>
      </w:rPr>
      <w:t>90</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57"/>
      <w:rPr>
        <w:rFonts w:ascii="Calibri" w:hAnsi="Calibri" w:eastAsia="Calibri" w:cs="Calibri"/>
        <w:sz w:val="18"/>
        <w:szCs w:val="18"/>
      </w:rPr>
    </w:pPr>
    <w:r>
      <w:rPr>
        <w:rFonts w:ascii="Calibri" w:hAnsi="Calibri" w:eastAsia="Calibri" w:cs="Calibri"/>
        <w:spacing w:val="-2"/>
        <w:sz w:val="18"/>
        <w:szCs w:val="18"/>
      </w:rPr>
      <w:t>91</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57"/>
      <w:rPr>
        <w:rFonts w:ascii="Calibri" w:hAnsi="Calibri" w:eastAsia="Calibri" w:cs="Calibri"/>
        <w:sz w:val="18"/>
        <w:szCs w:val="18"/>
      </w:rPr>
    </w:pPr>
    <w:r>
      <w:rPr>
        <w:rFonts w:ascii="Calibri" w:hAnsi="Calibri" w:eastAsia="Calibri" w:cs="Calibri"/>
        <w:spacing w:val="-2"/>
        <w:sz w:val="18"/>
        <w:szCs w:val="18"/>
      </w:rPr>
      <w:t>92</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57"/>
      <w:rPr>
        <w:rFonts w:ascii="Calibri" w:hAnsi="Calibri" w:eastAsia="Calibri" w:cs="Calibri"/>
        <w:sz w:val="18"/>
        <w:szCs w:val="18"/>
      </w:rPr>
    </w:pPr>
    <w:r>
      <w:rPr>
        <w:rFonts w:ascii="Calibri" w:hAnsi="Calibri" w:eastAsia="Calibri" w:cs="Calibri"/>
        <w:spacing w:val="-2"/>
        <w:sz w:val="18"/>
        <w:szCs w:val="18"/>
      </w:rPr>
      <w:t>93</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57"/>
      <w:rPr>
        <w:rFonts w:ascii="Calibri" w:hAnsi="Calibri" w:eastAsia="Calibri" w:cs="Calibri"/>
        <w:sz w:val="18"/>
        <w:szCs w:val="18"/>
      </w:rPr>
    </w:pPr>
    <w:r>
      <w:rPr>
        <w:rFonts w:ascii="Calibri" w:hAnsi="Calibri" w:eastAsia="Calibri" w:cs="Calibri"/>
        <w:spacing w:val="-2"/>
        <w:sz w:val="18"/>
        <w:szCs w:val="18"/>
      </w:rPr>
      <w:t>94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093"/>
      <w:rPr>
        <w:rFonts w:ascii="宋体" w:hAnsi="宋体" w:eastAsia="宋体" w:cs="宋体"/>
        <w:sz w:val="21"/>
        <w:szCs w:val="21"/>
      </w:rPr>
    </w:pPr>
    <w:r>
      <w:pict>
        <v:shape id="_x0000_s2049" o:spid="_x0000_s2049" style="position:absolute;left:0pt;margin-left:88.5pt;margin-top:57.1pt;height:0.75pt;width:418.4pt;mso-position-horizontal-relative:page;mso-position-vertical-relative:page;z-index:25165824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大姚县桂花水库工程建设项目环境影响报告书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58" o:spid="_x0000_s2058" style="position:absolute;left:0pt;margin-left:88.5pt;margin-top:57.1pt;height:0.75pt;width:418.4pt;mso-position-horizontal-relative:page;mso-position-vertical-relative:page;z-index:25167052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24"/>
      <w:rPr>
        <w:rFonts w:ascii="宋体" w:hAnsi="宋体" w:eastAsia="宋体" w:cs="宋体"/>
        <w:sz w:val="21"/>
        <w:szCs w:val="21"/>
      </w:rPr>
    </w:pPr>
    <w:r>
      <w:pict>
        <v:shape id="_x0000_s2141" o:spid="_x0000_s2141" style="position:absolute;left:0pt;margin-left:88.5pt;margin-top:57.1pt;height:0.75pt;width:418.4pt;mso-position-horizontal-relative:page;mso-position-vertical-relative:page;z-index:25181593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42" o:spid="_x0000_s2142" style="position:absolute;left:0pt;margin-left:88.5pt;margin-top:57.1pt;height:0.75pt;width:418.4pt;mso-position-horizontal-relative:page;mso-position-vertical-relative:page;z-index:25181696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43" o:spid="_x0000_s2143" style="position:absolute;left:0pt;margin-left:88.5pt;margin-top:57.1pt;height:0.75pt;width:418.4pt;mso-position-horizontal-relative:page;mso-position-vertical-relative:page;z-index:25181081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44" o:spid="_x0000_s2144" style="position:absolute;left:0pt;margin-left:88.5pt;margin-top:57.1pt;height:0.75pt;width:418.4pt;mso-position-horizontal-relative:page;mso-position-vertical-relative:page;z-index:25176576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45" o:spid="_x0000_s2145" style="position:absolute;left:0pt;margin-left:88.5pt;margin-top:57.1pt;height:0.75pt;width:418.4pt;mso-position-horizontal-relative:page;mso-position-vertical-relative:page;z-index:25182003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46" o:spid="_x0000_s2146" style="position:absolute;left:0pt;margin-left:88.5pt;margin-top:57.1pt;height:0.75pt;width:418.4pt;mso-position-horizontal-relative:page;mso-position-vertical-relative:page;z-index:25181081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47" o:spid="_x0000_s2147" style="position:absolute;left:0pt;margin-left:88.5pt;margin-top:57.1pt;height:0.75pt;width:418.4pt;mso-position-horizontal-relative:page;mso-position-vertical-relative:page;z-index:25182208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48" o:spid="_x0000_s2148" style="position:absolute;left:0pt;margin-left:88.5pt;margin-top:57.1pt;height:0.75pt;width:418.4pt;mso-position-horizontal-relative:page;mso-position-vertical-relative:page;z-index:25182310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49" o:spid="_x0000_s2149" style="position:absolute;left:0pt;margin-left:88.5pt;margin-top:57.1pt;height:0.75pt;width:418.4pt;mso-position-horizontal-relative:page;mso-position-vertical-relative:page;z-index:25182208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50" o:spid="_x0000_s2150" style="position:absolute;left:0pt;margin-left:88.5pt;margin-top:57.1pt;height:0.75pt;width:418.4pt;mso-position-horizontal-relative:page;mso-position-vertical-relative:page;z-index:25181081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59" o:spid="_x0000_s2059" style="position:absolute;left:0pt;margin-left:88.5pt;margin-top:57.1pt;height:0.75pt;width:418.4pt;mso-position-horizontal-relative:page;mso-position-vertical-relative:page;z-index:25166950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51" o:spid="_x0000_s2151"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52" o:spid="_x0000_s2152" style="position:absolute;left:0pt;margin-left:88.5pt;margin-top:57.1pt;height:0.75pt;width:418.4pt;mso-position-horizontal-relative:page;mso-position-vertical-relative:page;z-index:25182720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53" o:spid="_x0000_s2153"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735"/>
      <w:rPr>
        <w:rFonts w:ascii="宋体" w:hAnsi="宋体" w:eastAsia="宋体" w:cs="宋体"/>
        <w:sz w:val="21"/>
        <w:szCs w:val="21"/>
      </w:rPr>
    </w:pPr>
    <w:r>
      <w:pict>
        <v:shape id="_x0000_s2154" o:spid="_x0000_s2154" style="position:absolute;left:0pt;margin-left:88.5pt;margin-top:57.1pt;height:0.75pt;width:418.4pt;mso-position-horizontal-relative:page;mso-position-vertical-relative:page;z-index:25182924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749"/>
      <w:rPr>
        <w:rFonts w:ascii="宋体" w:hAnsi="宋体" w:eastAsia="宋体" w:cs="宋体"/>
        <w:sz w:val="21"/>
        <w:szCs w:val="21"/>
      </w:rPr>
    </w:pPr>
    <w:r>
      <w:pict>
        <v:shape id="_x0000_s2155" o:spid="_x0000_s2155" style="position:absolute;left:0pt;margin-left:88.5pt;margin-top:57.1pt;height:0.75pt;width:418.4pt;mso-position-horizontal-relative:page;mso-position-vertical-relative:page;z-index:25183027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56" o:spid="_x0000_s2156" style="position:absolute;left:0pt;margin-left:88.5pt;margin-top:57.1pt;height:0.75pt;width:418.4pt;mso-position-horizontal-relative:page;mso-position-vertical-relative:page;z-index:25183129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57" o:spid="_x0000_s2157"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58" o:spid="_x0000_s2158" style="position:absolute;left:0pt;margin-left:88.5pt;margin-top:57.1pt;height:0.75pt;width:418.4pt;mso-position-horizontal-relative:page;mso-position-vertical-relative:page;z-index:25183744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59" o:spid="_x0000_s2159" style="position:absolute;left:0pt;margin-left:88.5pt;margin-top:57.1pt;height:0.75pt;width:418.4pt;mso-position-horizontal-relative:page;mso-position-vertical-relative:page;z-index:25183846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60" o:spid="_x0000_s2160" style="position:absolute;left:0pt;margin-left:88.5pt;margin-top:57.1pt;height:0.75pt;width:418.4pt;mso-position-horizontal-relative:page;mso-position-vertical-relative:page;z-index:25183948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60" o:spid="_x0000_s2060" style="position:absolute;left:0pt;margin-left:88.5pt;margin-top:57.1pt;height:0.75pt;width:418.4pt;mso-position-horizontal-relative:page;mso-position-vertical-relative:page;z-index:25167360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61" o:spid="_x0000_s2161" style="position:absolute;left:0pt;margin-left:88.5pt;margin-top:57.1pt;height:0.75pt;width:418.4pt;mso-position-horizontal-relative:page;mso-position-vertical-relative:page;z-index:25184051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62" o:spid="_x0000_s2162" style="position:absolute;left:0pt;margin-left:88.5pt;margin-top:57.1pt;height:0.75pt;width:418.4pt;mso-position-horizontal-relative:page;mso-position-vertical-relative:page;z-index:25184153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90"/>
      <w:rPr>
        <w:rFonts w:ascii="宋体" w:hAnsi="宋体" w:eastAsia="宋体" w:cs="宋体"/>
        <w:sz w:val="21"/>
        <w:szCs w:val="21"/>
      </w:rPr>
    </w:pPr>
    <w:r>
      <w:pict>
        <v:shape id="_x0000_s2163" o:spid="_x0000_s2163" style="position:absolute;left:0pt;margin-left:88.5pt;margin-top:57.1pt;height:0.75pt;width:418.4pt;mso-position-horizontal-relative:page;mso-position-vertical-relative:page;z-index:25184256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605"/>
      <w:rPr>
        <w:rFonts w:ascii="宋体" w:hAnsi="宋体" w:eastAsia="宋体" w:cs="宋体"/>
        <w:sz w:val="21"/>
        <w:szCs w:val="21"/>
      </w:rPr>
    </w:pPr>
    <w:r>
      <w:pict>
        <v:shape id="_x0000_s2164" o:spid="_x0000_s2164" style="position:absolute;left:0pt;margin-left:88.5pt;margin-top:57.1pt;height:0.75pt;width:418.4pt;mso-position-horizontal-relative:page;mso-position-vertical-relative:page;z-index:25184358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65" o:spid="_x0000_s2165" style="position:absolute;left:0pt;margin-left:88.5pt;margin-top:57.1pt;height:0.75pt;width:418.4pt;mso-position-horizontal-relative:page;mso-position-vertical-relative:page;z-index:2518446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66" o:spid="_x0000_s2166" style="position:absolute;left:0pt;margin-left:88.5pt;margin-top:57.1pt;height:0.75pt;width:418.4pt;mso-position-horizontal-relative:page;mso-position-vertical-relative:page;z-index:25184563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67" o:spid="_x0000_s2167"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35"/>
      <w:rPr>
        <w:rFonts w:ascii="宋体" w:hAnsi="宋体" w:eastAsia="宋体" w:cs="宋体"/>
        <w:sz w:val="21"/>
        <w:szCs w:val="21"/>
      </w:rPr>
    </w:pPr>
    <w:r>
      <w:pict>
        <v:shape id="_x0000_s2168" o:spid="_x0000_s2168" style="position:absolute;left:0pt;margin-left:88.5pt;margin-top:57.1pt;height:0.75pt;width:418.4pt;mso-position-horizontal-relative:page;mso-position-vertical-relative:page;z-index:25185075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69" o:spid="_x0000_s2169" style="position:absolute;left:0pt;margin-left:88.5pt;margin-top:57.1pt;height:0.75pt;width:418.4pt;mso-position-horizontal-relative:page;mso-position-vertical-relative:page;z-index:25185177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70" o:spid="_x0000_s2170"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61" o:spid="_x0000_s2061" style="position:absolute;left:0pt;margin-left:88.5pt;margin-top:57.1pt;height:0.75pt;width:418.4pt;mso-position-horizontal-relative:page;mso-position-vertical-relative:page;z-index:25166950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71" o:spid="_x0000_s2171" style="position:absolute;left:0pt;margin-left:88.5pt;margin-top:57.1pt;height:0.75pt;width:418.4pt;mso-position-horizontal-relative:page;mso-position-vertical-relative:page;z-index:25185382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72" o:spid="_x0000_s2172" style="position:absolute;left:0pt;margin-left:88.5pt;margin-top:57.1pt;height:0.75pt;width:418.4pt;mso-position-horizontal-relative:page;mso-position-vertical-relative:page;z-index:25185587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73" o:spid="_x0000_s2173" style="position:absolute;left:0pt;margin-left:88.5pt;margin-top:57.1pt;height:0.75pt;width:418.4pt;mso-position-horizontal-relative:page;mso-position-vertical-relative:page;z-index:25185689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74" o:spid="_x0000_s2174"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27"/>
      <w:rPr>
        <w:rFonts w:ascii="宋体" w:hAnsi="宋体" w:eastAsia="宋体" w:cs="宋体"/>
        <w:sz w:val="21"/>
        <w:szCs w:val="21"/>
      </w:rPr>
    </w:pPr>
    <w:r>
      <w:pict>
        <v:shape id="_x0000_s2175" o:spid="_x0000_s2175" style="position:absolute;left:0pt;margin-left:88.5pt;margin-top:57.1pt;height:0.75pt;width:418.4pt;mso-position-horizontal-relative:page;mso-position-vertical-relative:page;z-index:25185894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76" o:spid="_x0000_s2176"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77" o:spid="_x0000_s2177" style="position:absolute;left:0pt;margin-left:88.5pt;margin-top:57.1pt;height:0.75pt;width:418.4pt;mso-position-horizontal-relative:page;mso-position-vertical-relative:page;z-index:25186099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78" o:spid="_x0000_s2178" style="position:absolute;left:0pt;margin-left:88.5pt;margin-top:57.1pt;height:0.75pt;width:418.4pt;mso-position-horizontal-relative:page;mso-position-vertical-relative:page;z-index:25186201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79" o:spid="_x0000_s2179"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80" o:spid="_x0000_s2180" style="position:absolute;left:0pt;margin-left:88.5pt;margin-top:57.1pt;height:0.75pt;width:418.4pt;mso-position-horizontal-relative:page;mso-position-vertical-relative:page;z-index:25186406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42"/>
      <w:rPr>
        <w:rFonts w:ascii="宋体" w:hAnsi="宋体" w:eastAsia="宋体" w:cs="宋体"/>
        <w:sz w:val="21"/>
        <w:szCs w:val="21"/>
      </w:rPr>
    </w:pPr>
    <w:r>
      <w:pict>
        <v:shape id="_x0000_s2062" o:spid="_x0000_s2062" style="position:absolute;left:0pt;margin-left:88.5pt;margin-top:57.1pt;height:0.75pt;width:418.4pt;mso-position-horizontal-relative:page;mso-position-vertical-relative:page;z-index:25167564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81" o:spid="_x0000_s2181"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82" o:spid="_x0000_s2182" style="position:absolute;left:0pt;margin-left:88.5pt;margin-top:57.1pt;height:0.75pt;width:418.4pt;mso-position-horizontal-relative:page;mso-position-vertical-relative:page;z-index:25186611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83" o:spid="_x0000_s2183" style="position:absolute;left:0pt;margin-left:88.5pt;margin-top:57.1pt;height:0.75pt;width:418.4pt;mso-position-horizontal-relative:page;mso-position-vertical-relative:page;z-index:25186099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84" o:spid="_x0000_s2184"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40"/>
      <w:rPr>
        <w:rFonts w:ascii="宋体" w:hAnsi="宋体" w:eastAsia="宋体" w:cs="宋体"/>
        <w:sz w:val="21"/>
        <w:szCs w:val="21"/>
      </w:rPr>
    </w:pPr>
    <w:r>
      <w:pict>
        <v:shape id="_x0000_s2185" o:spid="_x0000_s2185" style="position:absolute;left:0pt;margin-left:70.5pt;margin-top:57.1pt;height:0.75pt;width:701pt;mso-position-horizontal-relative:page;mso-position-vertical-relative:page;z-index:251869184;mso-width-relative:page;mso-height-relative:page;" fillcolor="#000000" filled="t" stroked="f" coordsize="14020,15" o:allowincell="f" path="m0,14l14019,14,14019,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86" o:spid="_x0000_s2186" style="position:absolute;left:0pt;margin-left:88.5pt;margin-top:57.1pt;height:0.75pt;width:418.4pt;mso-position-horizontal-relative:page;mso-position-vertical-relative:page;z-index:2518702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87" o:spid="_x0000_s2187" style="position:absolute;left:0pt;margin-left:88.5pt;margin-top:57.1pt;height:0.75pt;width:418.4pt;mso-position-horizontal-relative:page;mso-position-vertical-relative:page;z-index:25187123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88" o:spid="_x0000_s2188" style="position:absolute;left:0pt;margin-left:88.5pt;margin-top:57.1pt;height:0.75pt;width:418.4pt;mso-position-horizontal-relative:page;mso-position-vertical-relative:page;z-index:25187225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89" o:spid="_x0000_s2189" style="position:absolute;left:0pt;margin-left:88.5pt;margin-top:57.1pt;height:0.75pt;width:418.4pt;mso-position-horizontal-relative:page;mso-position-vertical-relative:page;z-index:25187328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90" o:spid="_x0000_s2190" style="position:absolute;left:0pt;margin-left:88.5pt;margin-top:57.1pt;height:0.75pt;width:418.4pt;mso-position-horizontal-relative:page;mso-position-vertical-relative:page;z-index:25187123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96"/>
      <w:rPr>
        <w:rFonts w:ascii="宋体" w:hAnsi="宋体" w:eastAsia="宋体" w:cs="宋体"/>
        <w:sz w:val="21"/>
        <w:szCs w:val="21"/>
      </w:rPr>
    </w:pPr>
    <w:r>
      <w:pict>
        <v:shape id="_x0000_s2063" o:spid="_x0000_s2063" style="position:absolute;left:0pt;margin-left:88.5pt;margin-top:57.1pt;height:0.75pt;width:418.4pt;mso-position-horizontal-relative:page;mso-position-vertical-relative:page;z-index:25167667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91" o:spid="_x0000_s2191" style="position:absolute;left:0pt;margin-left:88.5pt;margin-top:57.1pt;height:0.75pt;width:418.4pt;mso-position-horizontal-relative:page;mso-position-vertical-relative:page;z-index:25186099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92" o:spid="_x0000_s2192" style="position:absolute;left:0pt;margin-left:88.5pt;margin-top:57.1pt;height:0.75pt;width:418.4pt;mso-position-horizontal-relative:page;mso-position-vertical-relative:page;z-index:25187635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93" o:spid="_x0000_s2193"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40"/>
      <w:rPr>
        <w:rFonts w:ascii="宋体" w:hAnsi="宋体" w:eastAsia="宋体" w:cs="宋体"/>
        <w:sz w:val="21"/>
        <w:szCs w:val="21"/>
      </w:rPr>
    </w:pPr>
    <w:r>
      <w:pict>
        <v:shape id="_x0000_s2194" o:spid="_x0000_s2194" style="position:absolute;left:0pt;margin-left:70.5pt;margin-top:57.1pt;height:0.75pt;width:701pt;mso-position-horizontal-relative:page;mso-position-vertical-relative:page;z-index:251869184;mso-width-relative:page;mso-height-relative:page;" fillcolor="#000000" filled="t" stroked="f" coordsize="14020,15" o:allowincell="f" path="m0,14l14019,14,14019,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95" o:spid="_x0000_s2195" style="position:absolute;left:0pt;margin-left:88.5pt;margin-top:57.1pt;height:0.75pt;width:418.4pt;mso-position-horizontal-relative:page;mso-position-vertical-relative:page;z-index:25187942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96" o:spid="_x0000_s2196"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97" o:spid="_x0000_s2197" style="position:absolute;left:0pt;margin-left:88.5pt;margin-top:57.1pt;height:0.75pt;width:418.4pt;mso-position-horizontal-relative:page;mso-position-vertical-relative:page;z-index:25188147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98" o:spid="_x0000_s2198" style="position:absolute;left:0pt;margin-left:88.5pt;margin-top:57.1pt;height:0.75pt;width:418.4pt;mso-position-horizontal-relative:page;mso-position-vertical-relative:page;z-index:25188249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99" o:spid="_x0000_s2199" style="position:absolute;left:0pt;margin-left:88.5pt;margin-top:57.1pt;height:0.75pt;width:418.4pt;mso-position-horizontal-relative:page;mso-position-vertical-relative:page;z-index:25188352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00" o:spid="_x0000_s2200" style="position:absolute;left:0pt;margin-left:88.5pt;margin-top:57.1pt;height:0.75pt;width:418.4pt;mso-position-horizontal-relative:page;mso-position-vertical-relative:page;z-index:25187123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64" o:spid="_x0000_s2064" style="position:absolute;left:0pt;margin-left:88.5pt;margin-top:57.1pt;height:0.75pt;width:418.4pt;mso-position-horizontal-relative:page;mso-position-vertical-relative:page;z-index:25167769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602"/>
      <w:rPr>
        <w:rFonts w:ascii="宋体" w:hAnsi="宋体" w:eastAsia="宋体" w:cs="宋体"/>
        <w:sz w:val="21"/>
        <w:szCs w:val="21"/>
      </w:rPr>
    </w:pPr>
    <w:r>
      <w:pict>
        <v:shape id="_x0000_s2201" o:spid="_x0000_s2201" style="position:absolute;left:0pt;margin-left:88.5pt;margin-top:57.1pt;height:0.75pt;width:418.4pt;mso-position-horizontal-relative:page;mso-position-vertical-relative:page;z-index:2518855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02" o:spid="_x0000_s2202" style="position:absolute;left:0pt;margin-left:88.5pt;margin-top:57.1pt;height:0.75pt;width:418.4pt;mso-position-horizontal-relative:page;mso-position-vertical-relative:page;z-index:25188659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03" o:spid="_x0000_s2203" style="position:absolute;left:0pt;margin-left:88.5pt;margin-top:57.1pt;height:0.75pt;width:418.4pt;mso-position-horizontal-relative:page;mso-position-vertical-relative:page;z-index:25188761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04" o:spid="_x0000_s2204" style="position:absolute;left:0pt;margin-left:88.5pt;margin-top:57.1pt;height:0.75pt;width:418.4pt;mso-position-horizontal-relative:page;mso-position-vertical-relative:page;z-index:25188864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05" o:spid="_x0000_s2205" style="position:absolute;left:0pt;margin-left:88.5pt;margin-top:57.1pt;height:0.75pt;width:418.4pt;mso-position-horizontal-relative:page;mso-position-vertical-relative:page;z-index:25188966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06" o:spid="_x0000_s2206" style="position:absolute;left:0pt;margin-left:88.5pt;margin-top:57.1pt;height:0.75pt;width:418.4pt;mso-position-horizontal-relative:page;mso-position-vertical-relative:page;z-index:25189068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07" o:spid="_x0000_s2207" style="position:absolute;left:0pt;margin-left:88.5pt;margin-top:57.1pt;height:0.75pt;width:418.4pt;mso-position-horizontal-relative:page;mso-position-vertical-relative:page;z-index:25189171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08" o:spid="_x0000_s2208" style="position:absolute;left:0pt;margin-left:88.5pt;margin-top:57.1pt;height:0.75pt;width:418.4pt;mso-position-horizontal-relative:page;mso-position-vertical-relative:page;z-index:25189273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09" o:spid="_x0000_s2209" style="position:absolute;left:0pt;margin-left:88.5pt;margin-top:57.1pt;height:0.75pt;width:418.4pt;mso-position-horizontal-relative:page;mso-position-vertical-relative:page;z-index:25189376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10" o:spid="_x0000_s2210" style="position:absolute;left:0pt;margin-left:88.5pt;margin-top:57.1pt;height:0.75pt;width:418.4pt;mso-position-horizontal-relative:page;mso-position-vertical-relative:page;z-index:251895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65" o:spid="_x0000_s2065" style="position:absolute;left:0pt;margin-left:88.5pt;margin-top:57.1pt;height:0.75pt;width:418.4pt;mso-position-horizontal-relative:page;mso-position-vertical-relative:page;z-index:25166950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11" o:spid="_x0000_s2211"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12" o:spid="_x0000_s2212" style="position:absolute;left:0pt;margin-left:88.5pt;margin-top:57.1pt;height:0.75pt;width:418.4pt;mso-position-horizontal-relative:page;mso-position-vertical-relative:page;z-index:25189171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651"/>
      <w:rPr>
        <w:rFonts w:ascii="宋体" w:hAnsi="宋体" w:eastAsia="宋体" w:cs="宋体"/>
        <w:sz w:val="21"/>
        <w:szCs w:val="21"/>
      </w:rPr>
    </w:pPr>
    <w:r>
      <w:pict>
        <v:shape id="_x0000_s2213" o:spid="_x0000_s2213" style="position:absolute;left:0pt;margin-left:88.5pt;margin-top:57.1pt;height:0.75pt;width:418.4pt;mso-position-horizontal-relative:page;mso-position-vertical-relative:page;z-index:25189888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675"/>
      <w:rPr>
        <w:rFonts w:ascii="宋体" w:hAnsi="宋体" w:eastAsia="宋体" w:cs="宋体"/>
        <w:sz w:val="21"/>
        <w:szCs w:val="21"/>
      </w:rPr>
    </w:pPr>
    <w:r>
      <w:pict>
        <v:shape id="_x0000_s2214" o:spid="_x0000_s2214" style="position:absolute;left:0pt;margin-left:88.5pt;margin-top:57.1pt;height:0.75pt;width:418.4pt;mso-position-horizontal-relative:page;mso-position-vertical-relative:page;z-index:25190092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15" o:spid="_x0000_s2215"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16" o:spid="_x0000_s2216" style="position:absolute;left:0pt;margin-left:88.5pt;margin-top:57.1pt;height:0.75pt;width:418.4pt;mso-position-horizontal-relative:page;mso-position-vertical-relative:page;z-index:25190297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606"/>
      <w:rPr>
        <w:rFonts w:ascii="宋体" w:hAnsi="宋体" w:eastAsia="宋体" w:cs="宋体"/>
        <w:sz w:val="21"/>
        <w:szCs w:val="21"/>
      </w:rPr>
    </w:pPr>
    <w:r>
      <w:pict>
        <v:shape id="_x0000_s2217" o:spid="_x0000_s2217" style="position:absolute;left:0pt;margin-left:88.5pt;margin-top:57.1pt;height:0.75pt;width:418.4pt;mso-position-horizontal-relative:page;mso-position-vertical-relative:page;z-index:25190400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18" o:spid="_x0000_s2218"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19" o:spid="_x0000_s2219" style="position:absolute;left:0pt;margin-left:88.5pt;margin-top:57.1pt;height:0.75pt;width:418.4pt;mso-position-horizontal-relative:page;mso-position-vertical-relative:page;z-index:25190707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97"/>
      <w:rPr>
        <w:rFonts w:ascii="宋体" w:hAnsi="宋体" w:eastAsia="宋体" w:cs="宋体"/>
        <w:sz w:val="21"/>
        <w:szCs w:val="21"/>
      </w:rPr>
    </w:pPr>
    <w:r>
      <w:pict>
        <v:shape id="_x0000_s2220" o:spid="_x0000_s2220" style="position:absolute;left:0pt;margin-left:88.5pt;margin-top:57.1pt;height:0.75pt;width:418.4pt;mso-position-horizontal-relative:page;mso-position-vertical-relative:page;z-index:25190809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653"/>
      <w:rPr>
        <w:rFonts w:ascii="宋体" w:hAnsi="宋体" w:eastAsia="宋体" w:cs="宋体"/>
        <w:sz w:val="21"/>
        <w:szCs w:val="21"/>
      </w:rPr>
    </w:pPr>
    <w:r>
      <w:pict>
        <v:shape id="_x0000_s2066" o:spid="_x0000_s2066" style="position:absolute;left:0pt;margin-left:88.5pt;margin-top:57.1pt;height:0.75pt;width:418.4pt;mso-position-horizontal-relative:page;mso-position-vertical-relative:page;z-index:25167974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21" o:spid="_x0000_s2221"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22" o:spid="_x0000_s2222" style="position:absolute;left:0pt;margin-left:88.5pt;margin-top:57.1pt;height:0.75pt;width:418.4pt;mso-position-horizontal-relative:page;mso-position-vertical-relative:page;z-index:25191014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23" o:spid="_x0000_s2223" style="position:absolute;left:0pt;margin-left:88.5pt;margin-top:57.1pt;height:0.75pt;width:418.4pt;mso-position-horizontal-relative:page;mso-position-vertical-relative:page;z-index:2519111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24" o:spid="_x0000_s2224" style="position:absolute;left:0pt;margin-left:88.5pt;margin-top:57.1pt;height:0.75pt;width:418.4pt;mso-position-horizontal-relative:page;mso-position-vertical-relative:page;z-index:25191219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25" o:spid="_x0000_s2225"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26" o:spid="_x0000_s2226" style="position:absolute;left:0pt;margin-left:88.5pt;margin-top:57.1pt;height:0.75pt;width:418.4pt;mso-position-horizontal-relative:page;mso-position-vertical-relative:page;z-index:25191424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27" o:spid="_x0000_s2227" style="position:absolute;left:0pt;margin-left:88.5pt;margin-top:57.1pt;height:0.75pt;width:418.4pt;mso-position-horizontal-relative:page;mso-position-vertical-relative:page;z-index:25189376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28" o:spid="_x0000_s2228"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29" o:spid="_x0000_s2229" style="position:absolute;left:0pt;margin-left:88.5pt;margin-top:57.1pt;height:0.75pt;width:418.4pt;mso-position-horizontal-relative:page;mso-position-vertical-relative:page;z-index:25187123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30" o:spid="_x0000_s2230"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653"/>
      <w:rPr>
        <w:rFonts w:ascii="宋体" w:hAnsi="宋体" w:eastAsia="宋体" w:cs="宋体"/>
        <w:sz w:val="21"/>
        <w:szCs w:val="21"/>
      </w:rPr>
    </w:pPr>
    <w:r>
      <w:pict>
        <v:shape id="_x0000_s2067" o:spid="_x0000_s2067" style="position:absolute;left:0pt;margin-left:88.5pt;margin-top:57.1pt;height:0.75pt;width:418.4pt;mso-position-horizontal-relative:page;mso-position-vertical-relative:page;z-index:2516807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31" o:spid="_x0000_s2231" style="position:absolute;left:0pt;margin-left:88.5pt;margin-top:57.1pt;height:0.75pt;width:418.4pt;mso-position-horizontal-relative:page;mso-position-vertical-relative:page;z-index:25191936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32" o:spid="_x0000_s2232" style="position:absolute;left:0pt;margin-left:88.5pt;margin-top:57.1pt;height:0.75pt;width:418.4pt;mso-position-horizontal-relative:page;mso-position-vertical-relative:page;z-index:25187225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33" o:spid="_x0000_s2233"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34" o:spid="_x0000_s2234" style="position:absolute;left:0pt;margin-left:88.5pt;margin-top:57.1pt;height:0.75pt;width:418.4pt;mso-position-horizontal-relative:page;mso-position-vertical-relative:page;z-index:25192243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35" o:spid="_x0000_s2235"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40"/>
      <w:rPr>
        <w:rFonts w:ascii="宋体" w:hAnsi="宋体" w:eastAsia="宋体" w:cs="宋体"/>
        <w:sz w:val="21"/>
        <w:szCs w:val="21"/>
      </w:rPr>
    </w:pPr>
    <w:r>
      <w:pict>
        <v:shape id="_x0000_s2236" o:spid="_x0000_s2236" style="position:absolute;left:0pt;margin-left:70.5pt;margin-top:57.1pt;height:0.75pt;width:701pt;mso-position-horizontal-relative:page;mso-position-vertical-relative:page;z-index:251869184;mso-width-relative:page;mso-height-relative:page;" fillcolor="#000000" filled="t" stroked="f" coordsize="14020,15" o:allowincell="f" path="m0,14l14019,14,14019,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37" o:spid="_x0000_s2237" style="position:absolute;left:0pt;margin-left:88.5pt;margin-top:57.1pt;height:0.75pt;width:418.4pt;mso-position-horizontal-relative:page;mso-position-vertical-relative:page;z-index:25187225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38" o:spid="_x0000_s2238" style="position:absolute;left:0pt;margin-left:88.5pt;margin-top:57.1pt;height:0.75pt;width:418.4pt;mso-position-horizontal-relative:page;mso-position-vertical-relative:page;z-index:25193267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39" o:spid="_x0000_s2239"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40" o:spid="_x0000_s2240" style="position:absolute;left:0pt;margin-left:88.5pt;margin-top:57.1pt;height:0.75pt;width:418.4pt;mso-position-horizontal-relative:page;mso-position-vertical-relative:page;z-index:25193472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093"/>
      <w:rPr>
        <w:rFonts w:ascii="宋体" w:hAnsi="宋体" w:eastAsia="宋体" w:cs="宋体"/>
        <w:sz w:val="21"/>
        <w:szCs w:val="21"/>
      </w:rPr>
    </w:pPr>
    <w:r>
      <w:pict>
        <v:shape id="_x0000_s2050" o:spid="_x0000_s2050" style="position:absolute;left:0pt;margin-left:88.5pt;margin-top:57.1pt;height:0.75pt;width:418.4pt;mso-position-horizontal-relative:page;mso-position-vertical-relative:page;z-index:25166028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大姚县桂花水库工程建设项目环境影响报告书</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68" o:spid="_x0000_s2068" style="position:absolute;left:0pt;margin-left:88.5pt;margin-top:57.1pt;height:0.75pt;width:418.4pt;mso-position-horizontal-relative:page;mso-position-vertical-relative:page;z-index:25168179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41" o:spid="_x0000_s2241" style="position:absolute;left:0pt;margin-left:88.5pt;margin-top:57.1pt;height:0.75pt;width:418.4pt;mso-position-horizontal-relative:page;mso-position-vertical-relative:page;z-index:2518599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242" o:spid="_x0000_s2242" style="position:absolute;left:0pt;margin-left:88.5pt;margin-top:57.1pt;height:0.75pt;width:418.4pt;mso-position-horizontal-relative:page;mso-position-vertical-relative:page;z-index:25193881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055"/>
      <w:rPr>
        <w:rFonts w:ascii="宋体" w:hAnsi="宋体" w:eastAsia="宋体" w:cs="宋体"/>
        <w:sz w:val="21"/>
        <w:szCs w:val="21"/>
      </w:rPr>
    </w:pPr>
    <w:r>
      <w:pict>
        <v:shape id="_x0000_s2243" o:spid="_x0000_s2243" style="position:absolute;left:0pt;margin-left:61.5pt;margin-top:58.4pt;height:0.75pt;width:472.55pt;mso-position-horizontal-relative:page;mso-position-vertical-relative:page;z-index:251939840;mso-width-relative:page;mso-height-relative:page;" fillcolor="#000000" filled="t" stroked="f" coordsize="9450,15" o:allowincell="f" path="m0,14l9450,14,9450,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055"/>
      <w:rPr>
        <w:rFonts w:ascii="宋体" w:hAnsi="宋体" w:eastAsia="宋体" w:cs="宋体"/>
        <w:sz w:val="21"/>
        <w:szCs w:val="21"/>
      </w:rPr>
    </w:pPr>
    <w:r>
      <w:pict>
        <v:shape id="_x0000_s2244" o:spid="_x0000_s2244" style="position:absolute;left:0pt;margin-left:61.5pt;margin-top:58.4pt;height:0.75pt;width:472.55pt;mso-position-horizontal-relative:page;mso-position-vertical-relative:page;z-index:251940864;mso-width-relative:page;mso-height-relative:page;" fillcolor="#000000" filled="t" stroked="f" coordsize="9450,15" o:allowincell="f" path="m0,14l9450,14,9450,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055"/>
      <w:rPr>
        <w:rFonts w:ascii="宋体" w:hAnsi="宋体" w:eastAsia="宋体" w:cs="宋体"/>
        <w:sz w:val="21"/>
        <w:szCs w:val="21"/>
      </w:rPr>
    </w:pPr>
    <w:r>
      <w:pict>
        <v:shape id="_x0000_s2245" o:spid="_x0000_s2245" style="position:absolute;left:0pt;margin-left:61.5pt;margin-top:58.4pt;height:0.75pt;width:472.55pt;mso-position-horizontal-relative:page;mso-position-vertical-relative:page;z-index:251943936;mso-width-relative:page;mso-height-relative:page;" fillcolor="#000000" filled="t" stroked="f" coordsize="9450,15" o:allowincell="f" path="m0,14l9450,14,9450,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3055"/>
      <w:rPr>
        <w:rFonts w:ascii="宋体" w:hAnsi="宋体" w:eastAsia="宋体" w:cs="宋体"/>
        <w:sz w:val="21"/>
        <w:szCs w:val="21"/>
      </w:rPr>
    </w:pPr>
    <w:r>
      <w:pict>
        <v:shape id="_x0000_s2246" o:spid="_x0000_s2246" style="position:absolute;left:0pt;margin-left:61.5pt;margin-top:58.4pt;height:0.75pt;width:472.55pt;mso-position-horizontal-relative:page;mso-position-vertical-relative:page;z-index:251940864;mso-width-relative:page;mso-height-relative:page;" fillcolor="#000000" filled="t" stroked="f" coordsize="9450,15" o:allowincell="f" path="m0,14l9450,14,9450,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69" o:spid="_x0000_s2069" style="position:absolute;left:0pt;margin-left:88.5pt;margin-top:57.1pt;height:0.75pt;width:418.4pt;mso-position-horizontal-relative:page;mso-position-vertical-relative:page;z-index:25167769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40"/>
      <w:rPr>
        <w:rFonts w:ascii="宋体" w:hAnsi="宋体" w:eastAsia="宋体" w:cs="宋体"/>
        <w:sz w:val="21"/>
        <w:szCs w:val="21"/>
      </w:rPr>
    </w:pPr>
    <w:r>
      <w:pict>
        <v:shape id="_x0000_s2070" o:spid="_x0000_s2070" style="position:absolute;left:0pt;margin-left:70.5pt;margin-top:57.1pt;height:0.75pt;width:701pt;mso-position-horizontal-relative:page;mso-position-vertical-relative:page;z-index:251684864;mso-width-relative:page;mso-height-relative:page;" fillcolor="#000000" filled="t" stroked="f" coordsize="14020,15" o:allowincell="f" path="m0,14l14019,14,14019,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71" o:spid="_x0000_s2071" style="position:absolute;left:0pt;margin-left:88.5pt;margin-top:57.1pt;height:0.75pt;width:418.4pt;mso-position-horizontal-relative:page;mso-position-vertical-relative:page;z-index:25166950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72" o:spid="_x0000_s2072" style="position:absolute;left:0pt;margin-left:88.5pt;margin-top:57.1pt;height:0.75pt;width:418.4pt;mso-position-horizontal-relative:page;mso-position-vertical-relative:page;z-index:25168793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73" o:spid="_x0000_s2073"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74" o:spid="_x0000_s2074" style="position:absolute;left:0pt;margin-left:75.05pt;margin-top:64.2pt;height:0.75pt;width:450.9pt;mso-position-horizontal-relative:page;mso-position-vertical-relative:page;z-index:251689984;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75" o:spid="_x0000_s2075"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76" o:spid="_x0000_s2076" style="position:absolute;left:0pt;margin-left:75.05pt;margin-top:64.2pt;height:0.75pt;width:450.9pt;mso-position-horizontal-relative:page;mso-position-vertical-relative:page;z-index:251692032;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77" o:spid="_x0000_s2077"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093"/>
      <w:rPr>
        <w:rFonts w:ascii="宋体" w:hAnsi="宋体" w:eastAsia="宋体" w:cs="宋体"/>
        <w:sz w:val="21"/>
        <w:szCs w:val="21"/>
      </w:rPr>
    </w:pPr>
    <w:r>
      <w:pict>
        <v:shape id="_x0000_s2051" o:spid="_x0000_s2051" style="position:absolute;left:0pt;margin-left:88.5pt;margin-top:57.1pt;height:0.75pt;width:418.4pt;mso-position-horizontal-relative:page;mso-position-vertical-relative:page;z-index:25165824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大姚县桂花水库工程建设项目环境影响报告书</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78" o:spid="_x0000_s2078" style="position:absolute;left:0pt;margin-left:75.05pt;margin-top:64.2pt;height:0.75pt;width:450.9pt;mso-position-horizontal-relative:page;mso-position-vertical-relative:page;z-index:25169408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79" o:spid="_x0000_s2079" style="position:absolute;left:0pt;margin-left:75.05pt;margin-top:64.2pt;height:0.75pt;width:450.9pt;mso-position-horizontal-relative:page;mso-position-vertical-relative:page;z-index:251695104;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80" o:spid="_x0000_s2080"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61"/>
      <w:rPr>
        <w:rFonts w:ascii="宋体" w:hAnsi="宋体" w:eastAsia="宋体" w:cs="宋体"/>
        <w:sz w:val="21"/>
        <w:szCs w:val="21"/>
      </w:rPr>
    </w:pPr>
    <w:r>
      <w:pict>
        <v:shape id="_x0000_s2081" o:spid="_x0000_s2081" style="position:absolute;left:0pt;margin-left:69.4pt;margin-top:64.2pt;height:0.75pt;width:703.15pt;mso-position-horizontal-relative:page;mso-position-vertical-relative:page;z-index:251704320;mso-width-relative:page;mso-height-relative:page;" fillcolor="#000000" filled="t" stroked="f" coordsize="14063,15" o:allowincell="f" path="m0,14l14062,14,14062,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82" o:spid="_x0000_s2082" style="position:absolute;left:0pt;margin-left:75.05pt;margin-top:64.2pt;height:0.75pt;width:450.9pt;mso-position-horizontal-relative:page;mso-position-vertical-relative:page;z-index:251708416;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83" o:spid="_x0000_s2083"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84" o:spid="_x0000_s2084" style="position:absolute;left:0pt;margin-left:75.05pt;margin-top:64.2pt;height:0.75pt;width:450.9pt;mso-position-horizontal-relative:page;mso-position-vertical-relative:page;z-index:251710464;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85" o:spid="_x0000_s2085"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86" o:spid="_x0000_s2086" style="position:absolute;left:0pt;margin-left:75.05pt;margin-top:64.2pt;height:0.75pt;width:450.9pt;mso-position-horizontal-relative:page;mso-position-vertical-relative:page;z-index:2517145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61"/>
      <w:rPr>
        <w:rFonts w:ascii="宋体" w:hAnsi="宋体" w:eastAsia="宋体" w:cs="宋体"/>
        <w:sz w:val="21"/>
        <w:szCs w:val="21"/>
      </w:rPr>
    </w:pPr>
    <w:r>
      <w:pict>
        <v:shape id="_x0000_s2087" o:spid="_x0000_s2087" style="position:absolute;left:0pt;margin-left:69.4pt;margin-top:64.2pt;height:0.75pt;width:703.15pt;mso-position-horizontal-relative:page;mso-position-vertical-relative:page;z-index:251704320;mso-width-relative:page;mso-height-relative:page;" fillcolor="#000000" filled="t" stroked="f" coordsize="14063,15" o:allowincell="f" path="m0,14l14062,14,14062,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52" o:spid="_x0000_s2052" style="position:absolute;left:0pt;margin-left:88.5pt;margin-top:57.1pt;height:0.75pt;width:418.4pt;mso-position-horizontal-relative:page;mso-position-vertical-relative:page;z-index:25166336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88" o:spid="_x0000_s2088"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61"/>
      <w:rPr>
        <w:rFonts w:ascii="宋体" w:hAnsi="宋体" w:eastAsia="宋体" w:cs="宋体"/>
        <w:sz w:val="21"/>
        <w:szCs w:val="21"/>
      </w:rPr>
    </w:pPr>
    <w:r>
      <w:pict>
        <v:shape id="_x0000_s2089" o:spid="_x0000_s2089" style="position:absolute;left:0pt;margin-left:69.4pt;margin-top:64.2pt;height:0.75pt;width:703.15pt;mso-position-horizontal-relative:page;mso-position-vertical-relative:page;z-index:251704320;mso-width-relative:page;mso-height-relative:page;" fillcolor="#000000" filled="t" stroked="f" coordsize="14063,15" o:allowincell="f" path="m0,14l14062,14,14062,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90" o:spid="_x0000_s2090"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61"/>
      <w:rPr>
        <w:rFonts w:ascii="宋体" w:hAnsi="宋体" w:eastAsia="宋体" w:cs="宋体"/>
        <w:sz w:val="21"/>
        <w:szCs w:val="21"/>
      </w:rPr>
    </w:pPr>
    <w:r>
      <w:pict>
        <v:shape id="_x0000_s2091" o:spid="_x0000_s2091" style="position:absolute;left:0pt;margin-left:69.4pt;margin-top:64.2pt;height:0.75pt;width:703.15pt;mso-position-horizontal-relative:page;mso-position-vertical-relative:page;z-index:251704320;mso-width-relative:page;mso-height-relative:page;" fillcolor="#000000" filled="t" stroked="f" coordsize="14063,15" o:allowincell="f" path="m0,14l14062,14,14062,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92" o:spid="_x0000_s2092"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61"/>
      <w:rPr>
        <w:rFonts w:ascii="宋体" w:hAnsi="宋体" w:eastAsia="宋体" w:cs="宋体"/>
        <w:sz w:val="21"/>
        <w:szCs w:val="21"/>
      </w:rPr>
    </w:pPr>
    <w:r>
      <w:pict>
        <v:shape id="_x0000_s2093" o:spid="_x0000_s2093" style="position:absolute;left:0pt;margin-left:69.4pt;margin-top:64.2pt;height:0.75pt;width:703.15pt;mso-position-horizontal-relative:page;mso-position-vertical-relative:page;z-index:251704320;mso-width-relative:page;mso-height-relative:page;" fillcolor="#000000" filled="t" stroked="f" coordsize="14063,15" o:allowincell="f" path="m0,14l14062,14,14062,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94" o:spid="_x0000_s2094"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61"/>
      <w:rPr>
        <w:rFonts w:ascii="宋体" w:hAnsi="宋体" w:eastAsia="宋体" w:cs="宋体"/>
        <w:sz w:val="21"/>
        <w:szCs w:val="21"/>
      </w:rPr>
    </w:pPr>
    <w:r>
      <w:pict>
        <v:shape id="_x0000_s2095" o:spid="_x0000_s2095" style="position:absolute;left:0pt;margin-left:69.4pt;margin-top:64.2pt;height:0.75pt;width:703.15pt;mso-position-horizontal-relative:page;mso-position-vertical-relative:page;z-index:251704320;mso-width-relative:page;mso-height-relative:page;" fillcolor="#000000" filled="t" stroked="f" coordsize="14063,15" o:allowincell="f" path="m0,14l14062,14,14062,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839"/>
      <w:rPr>
        <w:rFonts w:ascii="宋体" w:hAnsi="宋体" w:eastAsia="宋体" w:cs="宋体"/>
        <w:sz w:val="21"/>
        <w:szCs w:val="21"/>
      </w:rPr>
    </w:pPr>
    <w:r>
      <w:pict>
        <v:shape id="_x0000_s2096" o:spid="_x0000_s2096" style="position:absolute;left:0pt;margin-left:75.05pt;margin-top:64.2pt;height:0.75pt;width:450.9pt;mso-position-horizontal-relative:page;mso-position-vertical-relative:page;z-index:251688960;mso-width-relative:page;mso-height-relative:page;" fillcolor="#000000" filled="t" stroked="f" coordsize="9017,15" o:allowincell="f" path="m0,14l9017,14,901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720"/>
      <w:rPr>
        <w:rFonts w:ascii="宋体" w:hAnsi="宋体" w:eastAsia="宋体" w:cs="宋体"/>
        <w:sz w:val="21"/>
        <w:szCs w:val="21"/>
      </w:rPr>
    </w:pPr>
    <w:r>
      <w:pict>
        <v:shape id="_x0000_s2097" o:spid="_x0000_s2097" style="position:absolute;left:0pt;margin-left:81.45pt;margin-top:58.4pt;height:0.75pt;width:439.1pt;mso-position-horizontal-relative:page;mso-position-vertical-relative:page;z-index:251743232;mso-width-relative:page;mso-height-relative:page;" fillcolor="#000000" filled="t" stroked="f" coordsize="8782,15" o:allowincell="f" path="m0,14l8781,14,8781,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53" o:spid="_x0000_s2053" style="position:absolute;left:0pt;margin-left:88.5pt;margin-top:57.1pt;height:0.75pt;width:418.4pt;mso-position-horizontal-relative:page;mso-position-vertical-relative:page;z-index:2516654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720"/>
      <w:rPr>
        <w:rFonts w:ascii="宋体" w:hAnsi="宋体" w:eastAsia="宋体" w:cs="宋体"/>
        <w:sz w:val="21"/>
        <w:szCs w:val="21"/>
      </w:rPr>
    </w:pPr>
    <w:r>
      <w:pict>
        <v:shape id="_x0000_s2098" o:spid="_x0000_s2098" style="position:absolute;left:0pt;margin-left:81.45pt;margin-top:58.4pt;height:0.75pt;width:439.1pt;mso-position-horizontal-relative:page;mso-position-vertical-relative:page;z-index:251746304;mso-width-relative:page;mso-height-relative:page;" fillcolor="#000000" filled="t" stroked="f" coordsize="8782,15" o:allowincell="f" path="m0,14l8781,14,8781,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720"/>
      <w:rPr>
        <w:rFonts w:ascii="宋体" w:hAnsi="宋体" w:eastAsia="宋体" w:cs="宋体"/>
        <w:sz w:val="21"/>
        <w:szCs w:val="21"/>
      </w:rPr>
    </w:pPr>
    <w:r>
      <w:pict>
        <v:shape id="_x0000_s2099" o:spid="_x0000_s2099" style="position:absolute;left:0pt;margin-left:81.45pt;margin-top:58.4pt;height:0.75pt;width:439.1pt;mso-position-horizontal-relative:page;mso-position-vertical-relative:page;z-index:251747328;mso-width-relative:page;mso-height-relative:page;" fillcolor="#000000" filled="t" stroked="f" coordsize="8782,15" o:allowincell="f" path="m0,14l8781,14,8781,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720"/>
      <w:rPr>
        <w:rFonts w:ascii="宋体" w:hAnsi="宋体" w:eastAsia="宋体" w:cs="宋体"/>
        <w:sz w:val="21"/>
        <w:szCs w:val="21"/>
      </w:rPr>
    </w:pPr>
    <w:r>
      <w:pict>
        <v:shape id="_x0000_s2100" o:spid="_x0000_s2100" style="position:absolute;left:0pt;margin-left:81.45pt;margin-top:58.4pt;height:0.75pt;width:439.1pt;mso-position-horizontal-relative:page;mso-position-vertical-relative:page;z-index:251746304;mso-width-relative:page;mso-height-relative:page;" fillcolor="#000000" filled="t" stroked="f" coordsize="8782,15" o:allowincell="f" path="m0,14l8781,14,8781,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720"/>
      <w:rPr>
        <w:rFonts w:ascii="宋体" w:hAnsi="宋体" w:eastAsia="宋体" w:cs="宋体"/>
        <w:sz w:val="21"/>
        <w:szCs w:val="21"/>
      </w:rPr>
    </w:pPr>
    <w:r>
      <w:pict>
        <v:shape id="_x0000_s2101" o:spid="_x0000_s2101" style="position:absolute;left:0pt;margin-left:81.45pt;margin-top:58.4pt;height:0.75pt;width:439.1pt;mso-position-horizontal-relative:page;mso-position-vertical-relative:page;z-index:251751424;mso-width-relative:page;mso-height-relative:page;" fillcolor="#000000" filled="t" stroked="f" coordsize="8782,15" o:allowincell="f" path="m0,14l8781,14,8781,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51"/>
      </w:tabs>
      <w:spacing w:line="175" w:lineRule="auto"/>
      <w:ind w:left="5"/>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大姚县桂花水库工程环境影响报告书</w:t>
    </w:r>
    <w:r>
      <w:rPr>
        <w:rFonts w:ascii="宋体" w:hAnsi="宋体" w:eastAsia="宋体" w:cs="宋体"/>
        <w:sz w:val="20"/>
        <w:szCs w:val="20"/>
        <w:u w:val="single" w:color="auto"/>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58"/>
      </w:tabs>
      <w:spacing w:line="175" w:lineRule="auto"/>
      <w:ind w:left="13"/>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大姚县桂花水库工程环境影响报告书</w:t>
    </w:r>
    <w:r>
      <w:rPr>
        <w:rFonts w:ascii="宋体" w:hAnsi="宋体" w:eastAsia="宋体" w:cs="宋体"/>
        <w:sz w:val="20"/>
        <w:szCs w:val="20"/>
        <w:u w:val="single" w:color="auto"/>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73"/>
      </w:tabs>
      <w:spacing w:line="175" w:lineRule="auto"/>
      <w:ind w:left="27"/>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大姚县桂花水库工程环境影响报告书</w:t>
    </w:r>
    <w:r>
      <w:rPr>
        <w:rFonts w:ascii="宋体" w:hAnsi="宋体" w:eastAsia="宋体" w:cs="宋体"/>
        <w:sz w:val="20"/>
        <w:szCs w:val="20"/>
        <w:u w:val="single" w:color="auto"/>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51"/>
      </w:tabs>
      <w:spacing w:line="175" w:lineRule="auto"/>
      <w:ind w:left="5"/>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大姚县桂花水库工程环境影响报告书</w:t>
    </w:r>
    <w:r>
      <w:rPr>
        <w:rFonts w:ascii="宋体" w:hAnsi="宋体" w:eastAsia="宋体" w:cs="宋体"/>
        <w:sz w:val="20"/>
        <w:szCs w:val="20"/>
        <w:u w:val="single" w:color="auto"/>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73"/>
      </w:tabs>
      <w:spacing w:line="175" w:lineRule="auto"/>
      <w:ind w:left="27"/>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大姚县桂花水库工程环境影响报告书</w:t>
    </w:r>
    <w:r>
      <w:rPr>
        <w:rFonts w:ascii="宋体" w:hAnsi="宋体" w:eastAsia="宋体" w:cs="宋体"/>
        <w:sz w:val="20"/>
        <w:szCs w:val="20"/>
        <w:u w:val="single" w:color="auto"/>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52"/>
      </w:tabs>
      <w:spacing w:line="175" w:lineRule="auto"/>
      <w:ind w:left="5"/>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大姚县桂花水库工程环境影响报告书</w:t>
    </w:r>
    <w:r>
      <w:rPr>
        <w:rFonts w:ascii="宋体" w:hAnsi="宋体" w:eastAsia="宋体" w:cs="宋体"/>
        <w:sz w:val="20"/>
        <w:szCs w:val="20"/>
        <w:u w:val="single" w:color="auto"/>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54" o:spid="_x0000_s2054" style="position:absolute;left:0pt;margin-left:88.5pt;margin-top:57.1pt;height:0.75pt;width:418.4pt;mso-position-horizontal-relative:page;mso-position-vertical-relative:page;z-index:25166643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48"/>
      </w:tabs>
      <w:spacing w:line="175" w:lineRule="auto"/>
      <w:ind w:left="3"/>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1"/>
        <w:sz w:val="20"/>
        <w:szCs w:val="20"/>
        <w:u w:val="single" w:color="auto"/>
      </w:rPr>
      <w:t>大姚县桂花水库工程环境影响报告书</w:t>
    </w:r>
    <w:r>
      <w:rPr>
        <w:rFonts w:ascii="宋体" w:hAnsi="宋体" w:eastAsia="宋体" w:cs="宋体"/>
        <w:sz w:val="20"/>
        <w:szCs w:val="20"/>
        <w:u w:val="single" w:color="auto"/>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02" o:spid="_x0000_s2102" style="position:absolute;left:0pt;margin-left:88.5pt;margin-top:57.1pt;height:0.75pt;width:418.4pt;mso-position-horizontal-relative:page;mso-position-vertical-relative:page;z-index:25176268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03" o:spid="_x0000_s2103" style="position:absolute;left:0pt;margin-left:88.5pt;margin-top:57.1pt;height:0.75pt;width:418.4pt;mso-position-horizontal-relative:page;mso-position-vertical-relative:page;z-index:25176371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04" o:spid="_x0000_s2104" style="position:absolute;left:0pt;margin-left:88.5pt;margin-top:57.1pt;height:0.75pt;width:418.4pt;mso-position-horizontal-relative:page;mso-position-vertical-relative:page;z-index:25176473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05" o:spid="_x0000_s2105" style="position:absolute;left:0pt;margin-left:88.5pt;margin-top:57.1pt;height:0.75pt;width:418.4pt;mso-position-horizontal-relative:page;mso-position-vertical-relative:page;z-index:25176576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06" o:spid="_x0000_s2106" style="position:absolute;left:0pt;margin-left:88.5pt;margin-top:57.1pt;height:0.75pt;width:418.4pt;mso-position-horizontal-relative:page;mso-position-vertical-relative:page;z-index:25176678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07" o:spid="_x0000_s2107"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40"/>
      <w:rPr>
        <w:rFonts w:ascii="宋体" w:hAnsi="宋体" w:eastAsia="宋体" w:cs="宋体"/>
        <w:sz w:val="21"/>
        <w:szCs w:val="21"/>
      </w:rPr>
    </w:pPr>
    <w:r>
      <w:pict>
        <v:shape id="_x0000_s2108" o:spid="_x0000_s2108" style="position:absolute;left:0pt;margin-left:70.5pt;margin-top:57.1pt;height:0.75pt;width:701pt;mso-position-horizontal-relative:page;mso-position-vertical-relative:page;z-index:251770880;mso-width-relative:page;mso-height-relative:page;" fillcolor="#000000" filled="t" stroked="f" coordsize="14020,15" o:allowincell="f" path="m0,14l14019,14,14019,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09" o:spid="_x0000_s2109"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40"/>
      <w:rPr>
        <w:rFonts w:ascii="宋体" w:hAnsi="宋体" w:eastAsia="宋体" w:cs="宋体"/>
        <w:sz w:val="21"/>
        <w:szCs w:val="21"/>
      </w:rPr>
    </w:pPr>
    <w:r>
      <w:pict>
        <v:shape id="_x0000_s2110" o:spid="_x0000_s2110" style="position:absolute;left:0pt;margin-left:70.5pt;margin-top:57.1pt;height:0.75pt;width:701pt;mso-position-horizontal-relative:page;mso-position-vertical-relative:page;z-index:251770880;mso-width-relative:page;mso-height-relative:page;" fillcolor="#000000" filled="t" stroked="f" coordsize="14020,15" o:allowincell="f" path="m0,14l14019,14,14019,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55" o:spid="_x0000_s2055" style="position:absolute;left:0pt;margin-left:88.5pt;margin-top:57.1pt;height:0.75pt;width:418.4pt;mso-position-horizontal-relative:page;mso-position-vertical-relative:page;z-index:25166745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11" o:spid="_x0000_s2111"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91"/>
      <w:rPr>
        <w:rFonts w:ascii="宋体" w:hAnsi="宋体" w:eastAsia="宋体" w:cs="宋体"/>
        <w:sz w:val="21"/>
        <w:szCs w:val="21"/>
      </w:rPr>
    </w:pPr>
    <w:r>
      <w:pict>
        <v:shape id="_x0000_s2112" o:spid="_x0000_s2112" style="position:absolute;left:0pt;margin-left:88.5pt;margin-top:57.1pt;height:0.75pt;width:418.4pt;mso-position-horizontal-relative:page;mso-position-vertical-relative:page;z-index:2517831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40"/>
      <w:rPr>
        <w:rFonts w:ascii="宋体" w:hAnsi="宋体" w:eastAsia="宋体" w:cs="宋体"/>
        <w:sz w:val="21"/>
        <w:szCs w:val="21"/>
      </w:rPr>
    </w:pPr>
    <w:r>
      <w:pict>
        <v:shape id="_x0000_s2113" o:spid="_x0000_s2113" style="position:absolute;left:0pt;margin-left:70.5pt;margin-top:57.1pt;height:0.75pt;width:701pt;mso-position-horizontal-relative:page;mso-position-vertical-relative:page;z-index:251770880;mso-width-relative:page;mso-height-relative:page;" fillcolor="#000000" filled="t" stroked="f" coordsize="14020,15" o:allowincell="f" path="m0,14l14019,14,14019,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14" o:spid="_x0000_s2114"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40"/>
      <w:rPr>
        <w:rFonts w:ascii="宋体" w:hAnsi="宋体" w:eastAsia="宋体" w:cs="宋体"/>
        <w:sz w:val="21"/>
        <w:szCs w:val="21"/>
      </w:rPr>
    </w:pPr>
    <w:r>
      <w:pict>
        <v:shape id="_x0000_s2115" o:spid="_x0000_s2115" style="position:absolute;left:0pt;margin-left:70.5pt;margin-top:57.1pt;height:0.75pt;width:701pt;mso-position-horizontal-relative:page;mso-position-vertical-relative:page;z-index:251770880;mso-width-relative:page;mso-height-relative:page;" fillcolor="#000000" filled="t" stroked="f" coordsize="14020,15" o:allowincell="f" path="m0,14l14019,14,14019,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60"/>
      <w:rPr>
        <w:rFonts w:ascii="宋体" w:hAnsi="宋体" w:eastAsia="宋体" w:cs="宋体"/>
        <w:sz w:val="21"/>
        <w:szCs w:val="21"/>
      </w:rPr>
    </w:pPr>
    <w:r>
      <w:pict>
        <v:shape id="_x0000_s2116" o:spid="_x0000_s2116" style="position:absolute;left:0pt;margin-left:88.5pt;margin-top:57.1pt;height:0.75pt;width:418.4pt;mso-position-horizontal-relative:page;mso-position-vertical-relative:page;z-index:25178931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46"/>
      <w:rPr>
        <w:rFonts w:ascii="宋体" w:hAnsi="宋体" w:eastAsia="宋体" w:cs="宋体"/>
        <w:sz w:val="21"/>
        <w:szCs w:val="21"/>
      </w:rPr>
    </w:pPr>
    <w:r>
      <w:pict>
        <v:shape id="_x0000_s2117" o:spid="_x0000_s2117" style="position:absolute;left:0pt;margin-left:88.5pt;margin-top:57.1pt;height:0.75pt;width:418.4pt;mso-position-horizontal-relative:page;mso-position-vertical-relative:page;z-index:25179033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5340"/>
      <w:rPr>
        <w:rFonts w:ascii="宋体" w:hAnsi="宋体" w:eastAsia="宋体" w:cs="宋体"/>
        <w:sz w:val="21"/>
        <w:szCs w:val="21"/>
      </w:rPr>
    </w:pPr>
    <w:r>
      <w:pict>
        <v:shape id="_x0000_s2118" o:spid="_x0000_s2118" style="position:absolute;left:0pt;margin-left:70.5pt;margin-top:57.1pt;height:0.75pt;width:701pt;mso-position-horizontal-relative:page;mso-position-vertical-relative:page;z-index:251770880;mso-width-relative:page;mso-height-relative:page;" fillcolor="#000000" filled="t" stroked="f" coordsize="14020,15" o:allowincell="f" path="m0,14l14019,14,14019,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19" o:spid="_x0000_s2119" style="position:absolute;left:0pt;margin-left:88.5pt;margin-top:57.1pt;height:0.75pt;width:418.4pt;mso-position-horizontal-relative:page;mso-position-vertical-relative:page;z-index:25179238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606"/>
      <w:rPr>
        <w:rFonts w:ascii="宋体" w:hAnsi="宋体" w:eastAsia="宋体" w:cs="宋体"/>
        <w:sz w:val="21"/>
        <w:szCs w:val="21"/>
      </w:rPr>
    </w:pPr>
    <w:r>
      <w:pict>
        <v:shape id="_x0000_s2120" o:spid="_x0000_s2120" style="position:absolute;left:0pt;margin-left:88.5pt;margin-top:57.1pt;height:0.75pt;width:418.4pt;mso-position-horizontal-relative:page;mso-position-vertical-relative:page;z-index:2517934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56" o:spid="_x0000_s2056" style="position:absolute;left:0pt;margin-left:88.5pt;margin-top:57.1pt;height:0.75pt;width:418.4pt;mso-position-horizontal-relative:page;mso-position-vertical-relative:page;z-index:25166848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21" o:spid="_x0000_s2121" style="position:absolute;left:0pt;margin-left:88.5pt;margin-top:57.1pt;height:0.75pt;width:418.4pt;mso-position-horizontal-relative:page;mso-position-vertical-relative:page;z-index:25179443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22" o:spid="_x0000_s2122"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23" o:spid="_x0000_s2123" style="position:absolute;left:0pt;margin-left:88.5pt;margin-top:57.1pt;height:0.75pt;width:418.4pt;mso-position-horizontal-relative:page;mso-position-vertical-relative:page;z-index:25179648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24" o:spid="_x0000_s2124" style="position:absolute;left:0pt;margin-left:88.5pt;margin-top:57.1pt;height:0.75pt;width:418.4pt;mso-position-horizontal-relative:page;mso-position-vertical-relative:page;z-index:25179750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25" o:spid="_x0000_s2125" style="position:absolute;left:0pt;margin-left:88.5pt;margin-top:57.1pt;height:0.75pt;width:418.4pt;mso-position-horizontal-relative:page;mso-position-vertical-relative:page;z-index:25179852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26" o:spid="_x0000_s2126"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27" o:spid="_x0000_s2127" style="position:absolute;left:0pt;margin-left:88.5pt;margin-top:57.1pt;height:0.75pt;width:418.4pt;mso-position-horizontal-relative:page;mso-position-vertical-relative:page;z-index:25180057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28" o:spid="_x0000_s2128" style="position:absolute;left:0pt;margin-left:88.5pt;margin-top:57.1pt;height:0.75pt;width:418.4pt;mso-position-horizontal-relative:page;mso-position-vertical-relative:page;z-index:25180160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29" o:spid="_x0000_s2129"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29"/>
      <w:rPr>
        <w:rFonts w:ascii="宋体" w:hAnsi="宋体" w:eastAsia="宋体" w:cs="宋体"/>
        <w:sz w:val="21"/>
        <w:szCs w:val="21"/>
      </w:rPr>
    </w:pPr>
    <w:r>
      <w:pict>
        <v:shape id="_x0000_s2130" o:spid="_x0000_s2130" style="position:absolute;left:0pt;margin-left:88.5pt;margin-top:57.1pt;height:0.75pt;width:418.4pt;mso-position-horizontal-relative:page;mso-position-vertical-relative:page;z-index:25180467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057" o:spid="_x0000_s2057" style="position:absolute;left:0pt;margin-left:88.5pt;margin-top:57.1pt;height:0.75pt;width:418.4pt;mso-position-horizontal-relative:page;mso-position-vertical-relative:page;z-index:25166950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31" o:spid="_x0000_s2131" style="position:absolute;left:0pt;margin-left:88.5pt;margin-top:57.1pt;height:0.75pt;width:418.4pt;mso-position-horizontal-relative:page;mso-position-vertical-relative:page;z-index:25180569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25"/>
      <w:rPr>
        <w:rFonts w:ascii="宋体" w:hAnsi="宋体" w:eastAsia="宋体" w:cs="宋体"/>
        <w:sz w:val="21"/>
        <w:szCs w:val="21"/>
      </w:rPr>
    </w:pPr>
    <w:r>
      <w:pict>
        <v:shape id="_x0000_s2132" o:spid="_x0000_s2132" style="position:absolute;left:0pt;margin-left:88.5pt;margin-top:57.1pt;height:0.75pt;width:418.4pt;mso-position-horizontal-relative:page;mso-position-vertical-relative:page;z-index:25180672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33" o:spid="_x0000_s2133" style="position:absolute;left:0pt;margin-left:88.5pt;margin-top:57.1pt;height:0.75pt;width:418.4pt;mso-position-horizontal-relative:page;mso-position-vertical-relative:page;z-index:25176780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25"/>
      <w:rPr>
        <w:rFonts w:ascii="宋体" w:hAnsi="宋体" w:eastAsia="宋体" w:cs="宋体"/>
        <w:sz w:val="21"/>
        <w:szCs w:val="21"/>
      </w:rPr>
    </w:pPr>
    <w:r>
      <w:pict>
        <v:shape id="_x0000_s2134" o:spid="_x0000_s2134" style="position:absolute;left:0pt;margin-left:88.5pt;margin-top:57.1pt;height:0.75pt;width:418.4pt;mso-position-horizontal-relative:page;mso-position-vertical-relative:page;z-index:2518087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25"/>
      <w:rPr>
        <w:rFonts w:ascii="宋体" w:hAnsi="宋体" w:eastAsia="宋体" w:cs="宋体"/>
        <w:sz w:val="21"/>
        <w:szCs w:val="21"/>
      </w:rPr>
    </w:pPr>
    <w:r>
      <w:pict>
        <v:shape id="_x0000_s2135" o:spid="_x0000_s2135" style="position:absolute;left:0pt;margin-left:88.5pt;margin-top:57.1pt;height:0.75pt;width:418.4pt;mso-position-horizontal-relative:page;mso-position-vertical-relative:page;z-index:251809792;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36" o:spid="_x0000_s2136" style="position:absolute;left:0pt;margin-left:88.5pt;margin-top:57.1pt;height:0.75pt;width:418.4pt;mso-position-horizontal-relative:page;mso-position-vertical-relative:page;z-index:251810816;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25"/>
      <w:rPr>
        <w:rFonts w:ascii="宋体" w:hAnsi="宋体" w:eastAsia="宋体" w:cs="宋体"/>
        <w:sz w:val="21"/>
        <w:szCs w:val="21"/>
      </w:rPr>
    </w:pPr>
    <w:r>
      <w:pict>
        <v:shape id="_x0000_s2137" o:spid="_x0000_s2137" style="position:absolute;left:0pt;margin-left:88.5pt;margin-top:57.1pt;height:0.75pt;width:418.4pt;mso-position-horizontal-relative:page;mso-position-vertical-relative:page;z-index:25180876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24"/>
      <w:rPr>
        <w:rFonts w:ascii="宋体" w:hAnsi="宋体" w:eastAsia="宋体" w:cs="宋体"/>
        <w:sz w:val="21"/>
        <w:szCs w:val="21"/>
      </w:rPr>
    </w:pPr>
    <w:r>
      <w:pict>
        <v:shape id="_x0000_s2138" o:spid="_x0000_s2138" style="position:absolute;left:0pt;margin-left:88.5pt;margin-top:57.1pt;height:0.75pt;width:418.4pt;mso-position-horizontal-relative:page;mso-position-vertical-relative:page;z-index:251812864;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13"/>
      <w:rPr>
        <w:rFonts w:ascii="宋体" w:hAnsi="宋体" w:eastAsia="宋体" w:cs="宋体"/>
        <w:sz w:val="21"/>
        <w:szCs w:val="21"/>
      </w:rPr>
    </w:pPr>
    <w:r>
      <w:pict>
        <v:shape id="_x0000_s2139" o:spid="_x0000_s2139" style="position:absolute;left:0pt;margin-left:88.5pt;margin-top:57.1pt;height:0.75pt;width:418.4pt;mso-position-horizontal-relative:page;mso-position-vertical-relative:page;z-index:251813888;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8" w:lineRule="auto"/>
      <w:ind w:left="2525"/>
      <w:rPr>
        <w:rFonts w:ascii="宋体" w:hAnsi="宋体" w:eastAsia="宋体" w:cs="宋体"/>
        <w:sz w:val="21"/>
        <w:szCs w:val="21"/>
      </w:rPr>
    </w:pPr>
    <w:r>
      <w:pict>
        <v:shape id="_x0000_s2140" o:spid="_x0000_s2140" style="position:absolute;left:0pt;margin-left:88.5pt;margin-top:57.1pt;height:0.75pt;width:418.4pt;mso-position-horizontal-relative:page;mso-position-vertical-relative:page;z-index:251806720;mso-width-relative:page;mso-height-relative:page;" fillcolor="#000000" filled="t" stroked="f" coordsize="8367,15" o:allowincell="f" path="m0,14l8367,14,8367,0,0,0,0,14xe">
          <v:path/>
          <v:fill on="t" focussize="0,0"/>
          <v:stroke on="f"/>
          <v:imagedata o:title=""/>
          <o:lock v:ext="edit"/>
        </v:shape>
      </w:pict>
    </w:r>
    <w:r>
      <w:rPr>
        <w:rFonts w:ascii="宋体" w:hAnsi="宋体" w:eastAsia="宋体" w:cs="宋体"/>
        <w:spacing w:val="-1"/>
        <w:sz w:val="21"/>
        <w:szCs w:val="21"/>
      </w:rPr>
      <w:t>大姚县桂花水库工程环境影响报告书</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characterSpacingControl w:val="doNotCompress"/>
  <w:hdrShapeDefaults>
    <o:shapelayout v:ext="edit">
      <o:idmap v:ext="edit" data="2"/>
    </o:shapelayout>
  </w:hdrShapeDefaults>
  <w:compat>
    <w:spaceForUL/>
    <w:ulTrailSpace/>
    <w:useFELayout/>
    <w:compatSetting w:name="compatibilityMode" w:uri="http://schemas.microsoft.com/office/word" w:val="14"/>
  </w:compat>
  <w:rsids>
    <w:rsidRoot w:val="00000000"/>
    <w:rsid w:val="03680661"/>
    <w:rsid w:val="732478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semiHidden/>
    <w:qFormat/>
    <w:uiPriority w:val="0"/>
    <w:rPr>
      <w:rFonts w:ascii="黑体" w:hAnsi="黑体" w:eastAsia="黑体" w:cs="黑体"/>
      <w:sz w:val="21"/>
      <w:szCs w:val="21"/>
      <w:lang w:val="en-US" w:eastAsia="en-US" w:bidi="ar-SA"/>
    </w:rPr>
  </w:style>
  <w:style w:type="table" w:customStyle="1" w:styleId="5">
    <w:name w:val="Table Normal"/>
    <w:semiHidden/>
    <w:unhideWhenUsed/>
    <w:qFormat/>
    <w:uiPriority w:val="0"/>
    <w:tblPr>
      <w:tblLayout w:type="fixed"/>
      <w:tblCellMar>
        <w:top w:w="0" w:type="dxa"/>
        <w:left w:w="0" w:type="dxa"/>
        <w:bottom w:w="0" w:type="dxa"/>
        <w:right w:w="0" w:type="dxa"/>
      </w:tblCellMar>
    </w:tblPr>
  </w:style>
  <w:style w:type="paragraph" w:customStyle="1" w:styleId="6">
    <w:name w:val="Table Text"/>
    <w:basedOn w:val="1"/>
    <w:semiHidden/>
    <w:qFormat/>
    <w:uiPriority w:val="0"/>
    <w:rPr>
      <w:rFonts w:ascii="Times New Roman" w:hAnsi="Times New Roman" w:eastAsia="Times New Roman" w:cs="Times New Roman"/>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8.xml"/><Relationship Id="rId98" Type="http://schemas.openxmlformats.org/officeDocument/2006/relationships/footer" Target="footer57.xml"/><Relationship Id="rId97" Type="http://schemas.openxmlformats.org/officeDocument/2006/relationships/header" Target="header39.xml"/><Relationship Id="rId96" Type="http://schemas.openxmlformats.org/officeDocument/2006/relationships/footer" Target="footer56.xml"/><Relationship Id="rId95" Type="http://schemas.openxmlformats.org/officeDocument/2006/relationships/header" Target="header38.xml"/><Relationship Id="rId94" Type="http://schemas.openxmlformats.org/officeDocument/2006/relationships/footer" Target="footer55.xml"/><Relationship Id="rId93" Type="http://schemas.openxmlformats.org/officeDocument/2006/relationships/footer" Target="footer54.xml"/><Relationship Id="rId92" Type="http://schemas.openxmlformats.org/officeDocument/2006/relationships/footer" Target="footer53.xml"/><Relationship Id="rId91" Type="http://schemas.openxmlformats.org/officeDocument/2006/relationships/header" Target="header37.xml"/><Relationship Id="rId90" Type="http://schemas.openxmlformats.org/officeDocument/2006/relationships/footer" Target="footer52.xml"/><Relationship Id="rId9" Type="http://schemas.openxmlformats.org/officeDocument/2006/relationships/footer" Target="footer4.xml"/><Relationship Id="rId89" Type="http://schemas.openxmlformats.org/officeDocument/2006/relationships/header" Target="header36.xml"/><Relationship Id="rId88" Type="http://schemas.openxmlformats.org/officeDocument/2006/relationships/footer" Target="footer51.xml"/><Relationship Id="rId87" Type="http://schemas.openxmlformats.org/officeDocument/2006/relationships/header" Target="header35.xml"/><Relationship Id="rId86" Type="http://schemas.openxmlformats.org/officeDocument/2006/relationships/footer" Target="footer50.xml"/><Relationship Id="rId85" Type="http://schemas.openxmlformats.org/officeDocument/2006/relationships/header" Target="header34.xml"/><Relationship Id="rId84" Type="http://schemas.openxmlformats.org/officeDocument/2006/relationships/footer" Target="footer49.xml"/><Relationship Id="rId83" Type="http://schemas.openxmlformats.org/officeDocument/2006/relationships/footer" Target="footer48.xml"/><Relationship Id="rId82" Type="http://schemas.openxmlformats.org/officeDocument/2006/relationships/footer" Target="footer47.xml"/><Relationship Id="rId81" Type="http://schemas.openxmlformats.org/officeDocument/2006/relationships/footer" Target="footer46.xml"/><Relationship Id="rId80" Type="http://schemas.openxmlformats.org/officeDocument/2006/relationships/header" Target="header33.xml"/><Relationship Id="rId8" Type="http://schemas.openxmlformats.org/officeDocument/2006/relationships/header" Target="header3.xml"/><Relationship Id="rId79" Type="http://schemas.openxmlformats.org/officeDocument/2006/relationships/footer" Target="footer45.xml"/><Relationship Id="rId78" Type="http://schemas.openxmlformats.org/officeDocument/2006/relationships/footer" Target="footer44.xml"/><Relationship Id="rId77" Type="http://schemas.openxmlformats.org/officeDocument/2006/relationships/footer" Target="footer43.xml"/><Relationship Id="rId76" Type="http://schemas.openxmlformats.org/officeDocument/2006/relationships/footer" Target="footer42.xml"/><Relationship Id="rId75" Type="http://schemas.openxmlformats.org/officeDocument/2006/relationships/footer" Target="footer41.xml"/><Relationship Id="rId74" Type="http://schemas.openxmlformats.org/officeDocument/2006/relationships/footer" Target="footer40.xml"/><Relationship Id="rId73" Type="http://schemas.openxmlformats.org/officeDocument/2006/relationships/footer" Target="footer39.xml"/><Relationship Id="rId72" Type="http://schemas.openxmlformats.org/officeDocument/2006/relationships/footer" Target="footer38.xml"/><Relationship Id="rId71" Type="http://schemas.openxmlformats.org/officeDocument/2006/relationships/header" Target="header32.xml"/><Relationship Id="rId70" Type="http://schemas.openxmlformats.org/officeDocument/2006/relationships/footer" Target="footer37.xml"/><Relationship Id="rId7" Type="http://schemas.openxmlformats.org/officeDocument/2006/relationships/footer" Target="footer3.xml"/><Relationship Id="rId69" Type="http://schemas.openxmlformats.org/officeDocument/2006/relationships/header" Target="header31.xml"/><Relationship Id="rId68" Type="http://schemas.openxmlformats.org/officeDocument/2006/relationships/footer" Target="footer36.xml"/><Relationship Id="rId67" Type="http://schemas.openxmlformats.org/officeDocument/2006/relationships/header" Target="header30.xml"/><Relationship Id="rId66" Type="http://schemas.openxmlformats.org/officeDocument/2006/relationships/footer" Target="footer35.xml"/><Relationship Id="rId65" Type="http://schemas.openxmlformats.org/officeDocument/2006/relationships/header" Target="header29.xml"/><Relationship Id="rId64" Type="http://schemas.openxmlformats.org/officeDocument/2006/relationships/footer" Target="footer34.xml"/><Relationship Id="rId63" Type="http://schemas.openxmlformats.org/officeDocument/2006/relationships/header" Target="header28.xml"/><Relationship Id="rId62" Type="http://schemas.openxmlformats.org/officeDocument/2006/relationships/footer" Target="footer33.xml"/><Relationship Id="rId61" Type="http://schemas.openxmlformats.org/officeDocument/2006/relationships/header" Target="header27.xml"/><Relationship Id="rId60" Type="http://schemas.openxmlformats.org/officeDocument/2006/relationships/footer" Target="footer32.xml"/><Relationship Id="rId6" Type="http://schemas.openxmlformats.org/officeDocument/2006/relationships/header" Target="header2.xml"/><Relationship Id="rId59" Type="http://schemas.openxmlformats.org/officeDocument/2006/relationships/header" Target="header26.xml"/><Relationship Id="rId58" Type="http://schemas.openxmlformats.org/officeDocument/2006/relationships/footer" Target="footer31.xml"/><Relationship Id="rId57" Type="http://schemas.openxmlformats.org/officeDocument/2006/relationships/header" Target="header25.xml"/><Relationship Id="rId56" Type="http://schemas.openxmlformats.org/officeDocument/2006/relationships/footer" Target="footer30.xml"/><Relationship Id="rId55" Type="http://schemas.openxmlformats.org/officeDocument/2006/relationships/header" Target="header24.xml"/><Relationship Id="rId54" Type="http://schemas.openxmlformats.org/officeDocument/2006/relationships/footer" Target="footer29.xml"/><Relationship Id="rId53" Type="http://schemas.openxmlformats.org/officeDocument/2006/relationships/header" Target="header23.xml"/><Relationship Id="rId523" Type="http://schemas.openxmlformats.org/officeDocument/2006/relationships/fontTable" Target="fontTable.xml"/><Relationship Id="rId522" Type="http://schemas.openxmlformats.org/officeDocument/2006/relationships/customXml" Target="../customXml/item1.xml"/><Relationship Id="rId521" Type="http://schemas.openxmlformats.org/officeDocument/2006/relationships/image" Target="media/image29.png"/><Relationship Id="rId520" Type="http://schemas.openxmlformats.org/officeDocument/2006/relationships/image" Target="media/image28.jpeg"/><Relationship Id="rId52" Type="http://schemas.openxmlformats.org/officeDocument/2006/relationships/footer" Target="footer28.xml"/><Relationship Id="rId519" Type="http://schemas.openxmlformats.org/officeDocument/2006/relationships/image" Target="media/image27.jpeg"/><Relationship Id="rId518" Type="http://schemas.openxmlformats.org/officeDocument/2006/relationships/image" Target="media/image26.png"/><Relationship Id="rId517" Type="http://schemas.openxmlformats.org/officeDocument/2006/relationships/image" Target="media/image25.jpeg"/><Relationship Id="rId516" Type="http://schemas.openxmlformats.org/officeDocument/2006/relationships/image" Target="media/image24.png"/><Relationship Id="rId515" Type="http://schemas.openxmlformats.org/officeDocument/2006/relationships/image" Target="media/image23.png"/><Relationship Id="rId514" Type="http://schemas.openxmlformats.org/officeDocument/2006/relationships/image" Target="media/image22.png"/><Relationship Id="rId513" Type="http://schemas.openxmlformats.org/officeDocument/2006/relationships/image" Target="media/image21.png"/><Relationship Id="rId512" Type="http://schemas.openxmlformats.org/officeDocument/2006/relationships/image" Target="media/image20.png"/><Relationship Id="rId511" Type="http://schemas.openxmlformats.org/officeDocument/2006/relationships/image" Target="media/image19.png"/><Relationship Id="rId510" Type="http://schemas.openxmlformats.org/officeDocument/2006/relationships/image" Target="media/image18.png"/><Relationship Id="rId51" Type="http://schemas.openxmlformats.org/officeDocument/2006/relationships/footer" Target="footer27.xml"/><Relationship Id="rId509" Type="http://schemas.openxmlformats.org/officeDocument/2006/relationships/image" Target="media/image17.png"/><Relationship Id="rId508" Type="http://schemas.openxmlformats.org/officeDocument/2006/relationships/image" Target="media/image16.png"/><Relationship Id="rId507" Type="http://schemas.openxmlformats.org/officeDocument/2006/relationships/image" Target="media/image15.png"/><Relationship Id="rId506" Type="http://schemas.openxmlformats.org/officeDocument/2006/relationships/image" Target="media/image14.png"/><Relationship Id="rId505" Type="http://schemas.openxmlformats.org/officeDocument/2006/relationships/image" Target="media/image13.png"/><Relationship Id="rId504" Type="http://schemas.openxmlformats.org/officeDocument/2006/relationships/image" Target="media/image12.png"/><Relationship Id="rId503" Type="http://schemas.openxmlformats.org/officeDocument/2006/relationships/image" Target="media/image11.png"/><Relationship Id="rId502" Type="http://schemas.openxmlformats.org/officeDocument/2006/relationships/image" Target="media/image10.jpeg"/><Relationship Id="rId501" Type="http://schemas.openxmlformats.org/officeDocument/2006/relationships/image" Target="media/image9.png"/><Relationship Id="rId500" Type="http://schemas.openxmlformats.org/officeDocument/2006/relationships/image" Target="media/image8.png"/><Relationship Id="rId50" Type="http://schemas.openxmlformats.org/officeDocument/2006/relationships/header" Target="header22.xml"/><Relationship Id="rId5" Type="http://schemas.openxmlformats.org/officeDocument/2006/relationships/footer" Target="footer2.xml"/><Relationship Id="rId499" Type="http://schemas.openxmlformats.org/officeDocument/2006/relationships/image" Target="media/image7.jpeg"/><Relationship Id="rId498" Type="http://schemas.openxmlformats.org/officeDocument/2006/relationships/image" Target="media/image6.png"/><Relationship Id="rId497" Type="http://schemas.openxmlformats.org/officeDocument/2006/relationships/image" Target="media/image5.png"/><Relationship Id="rId496" Type="http://schemas.openxmlformats.org/officeDocument/2006/relationships/image" Target="media/image4.jpeg"/><Relationship Id="rId495" Type="http://schemas.openxmlformats.org/officeDocument/2006/relationships/image" Target="media/image3.jpeg"/><Relationship Id="rId494" Type="http://schemas.openxmlformats.org/officeDocument/2006/relationships/image" Target="media/image2.png"/><Relationship Id="rId493" Type="http://schemas.openxmlformats.org/officeDocument/2006/relationships/image" Target="media/image1.jpeg"/><Relationship Id="rId492" Type="http://schemas.openxmlformats.org/officeDocument/2006/relationships/theme" Target="theme/theme1.xml"/><Relationship Id="rId491" Type="http://schemas.openxmlformats.org/officeDocument/2006/relationships/footer" Target="footer284.xml"/><Relationship Id="rId490" Type="http://schemas.openxmlformats.org/officeDocument/2006/relationships/footer" Target="footer283.xml"/><Relationship Id="rId49" Type="http://schemas.openxmlformats.org/officeDocument/2006/relationships/footer" Target="footer26.xml"/><Relationship Id="rId489" Type="http://schemas.openxmlformats.org/officeDocument/2006/relationships/footer" Target="footer282.xml"/><Relationship Id="rId488" Type="http://schemas.openxmlformats.org/officeDocument/2006/relationships/footer" Target="footer281.xml"/><Relationship Id="rId487" Type="http://schemas.openxmlformats.org/officeDocument/2006/relationships/header" Target="header205.xml"/><Relationship Id="rId486" Type="http://schemas.openxmlformats.org/officeDocument/2006/relationships/footer" Target="footer280.xml"/><Relationship Id="rId485" Type="http://schemas.openxmlformats.org/officeDocument/2006/relationships/header" Target="header204.xml"/><Relationship Id="rId484" Type="http://schemas.openxmlformats.org/officeDocument/2006/relationships/footer" Target="footer279.xml"/><Relationship Id="rId483" Type="http://schemas.openxmlformats.org/officeDocument/2006/relationships/footer" Target="footer278.xml"/><Relationship Id="rId482" Type="http://schemas.openxmlformats.org/officeDocument/2006/relationships/footer" Target="footer277.xml"/><Relationship Id="rId481" Type="http://schemas.openxmlformats.org/officeDocument/2006/relationships/header" Target="header203.xml"/><Relationship Id="rId480" Type="http://schemas.openxmlformats.org/officeDocument/2006/relationships/footer" Target="footer276.xml"/><Relationship Id="rId48" Type="http://schemas.openxmlformats.org/officeDocument/2006/relationships/footer" Target="footer25.xml"/><Relationship Id="rId479" Type="http://schemas.openxmlformats.org/officeDocument/2006/relationships/header" Target="header202.xml"/><Relationship Id="rId478" Type="http://schemas.openxmlformats.org/officeDocument/2006/relationships/footer" Target="footer275.xml"/><Relationship Id="rId477" Type="http://schemas.openxmlformats.org/officeDocument/2006/relationships/header" Target="header201.xml"/><Relationship Id="rId476" Type="http://schemas.openxmlformats.org/officeDocument/2006/relationships/footer" Target="footer274.xml"/><Relationship Id="rId475" Type="http://schemas.openxmlformats.org/officeDocument/2006/relationships/footer" Target="footer273.xml"/><Relationship Id="rId474" Type="http://schemas.openxmlformats.org/officeDocument/2006/relationships/header" Target="header200.xml"/><Relationship Id="rId473" Type="http://schemas.openxmlformats.org/officeDocument/2006/relationships/footer" Target="footer272.xml"/><Relationship Id="rId472" Type="http://schemas.openxmlformats.org/officeDocument/2006/relationships/footer" Target="footer271.xml"/><Relationship Id="rId471" Type="http://schemas.openxmlformats.org/officeDocument/2006/relationships/header" Target="header199.xml"/><Relationship Id="rId470" Type="http://schemas.openxmlformats.org/officeDocument/2006/relationships/footer" Target="footer270.xml"/><Relationship Id="rId47" Type="http://schemas.openxmlformats.org/officeDocument/2006/relationships/header" Target="header21.xml"/><Relationship Id="rId469" Type="http://schemas.openxmlformats.org/officeDocument/2006/relationships/header" Target="header198.xml"/><Relationship Id="rId468" Type="http://schemas.openxmlformats.org/officeDocument/2006/relationships/footer" Target="footer269.xml"/><Relationship Id="rId467" Type="http://schemas.openxmlformats.org/officeDocument/2006/relationships/header" Target="header197.xml"/><Relationship Id="rId466" Type="http://schemas.openxmlformats.org/officeDocument/2006/relationships/footer" Target="footer268.xml"/><Relationship Id="rId465" Type="http://schemas.openxmlformats.org/officeDocument/2006/relationships/header" Target="header196.xml"/><Relationship Id="rId464" Type="http://schemas.openxmlformats.org/officeDocument/2006/relationships/footer" Target="footer267.xml"/><Relationship Id="rId463" Type="http://schemas.openxmlformats.org/officeDocument/2006/relationships/footer" Target="footer266.xml"/><Relationship Id="rId462" Type="http://schemas.openxmlformats.org/officeDocument/2006/relationships/footer" Target="footer265.xml"/><Relationship Id="rId461" Type="http://schemas.openxmlformats.org/officeDocument/2006/relationships/footer" Target="footer264.xml"/><Relationship Id="rId460" Type="http://schemas.openxmlformats.org/officeDocument/2006/relationships/footer" Target="footer263.xml"/><Relationship Id="rId46" Type="http://schemas.openxmlformats.org/officeDocument/2006/relationships/footer" Target="footer24.xml"/><Relationship Id="rId459" Type="http://schemas.openxmlformats.org/officeDocument/2006/relationships/footer" Target="footer262.xml"/><Relationship Id="rId458" Type="http://schemas.openxmlformats.org/officeDocument/2006/relationships/footer" Target="footer261.xml"/><Relationship Id="rId457" Type="http://schemas.openxmlformats.org/officeDocument/2006/relationships/header" Target="header195.xml"/><Relationship Id="rId456" Type="http://schemas.openxmlformats.org/officeDocument/2006/relationships/footer" Target="footer260.xml"/><Relationship Id="rId455" Type="http://schemas.openxmlformats.org/officeDocument/2006/relationships/header" Target="header194.xml"/><Relationship Id="rId454" Type="http://schemas.openxmlformats.org/officeDocument/2006/relationships/footer" Target="footer259.xml"/><Relationship Id="rId453" Type="http://schemas.openxmlformats.org/officeDocument/2006/relationships/header" Target="header193.xml"/><Relationship Id="rId452" Type="http://schemas.openxmlformats.org/officeDocument/2006/relationships/footer" Target="footer258.xml"/><Relationship Id="rId451" Type="http://schemas.openxmlformats.org/officeDocument/2006/relationships/header" Target="header192.xml"/><Relationship Id="rId450" Type="http://schemas.openxmlformats.org/officeDocument/2006/relationships/footer" Target="footer257.xml"/><Relationship Id="rId45" Type="http://schemas.openxmlformats.org/officeDocument/2006/relationships/header" Target="header20.xml"/><Relationship Id="rId449" Type="http://schemas.openxmlformats.org/officeDocument/2006/relationships/header" Target="header191.xml"/><Relationship Id="rId448" Type="http://schemas.openxmlformats.org/officeDocument/2006/relationships/footer" Target="footer256.xml"/><Relationship Id="rId447" Type="http://schemas.openxmlformats.org/officeDocument/2006/relationships/header" Target="header190.xml"/><Relationship Id="rId446" Type="http://schemas.openxmlformats.org/officeDocument/2006/relationships/footer" Target="footer255.xml"/><Relationship Id="rId445" Type="http://schemas.openxmlformats.org/officeDocument/2006/relationships/header" Target="header189.xml"/><Relationship Id="rId444" Type="http://schemas.openxmlformats.org/officeDocument/2006/relationships/footer" Target="footer254.xml"/><Relationship Id="rId443" Type="http://schemas.openxmlformats.org/officeDocument/2006/relationships/header" Target="header188.xml"/><Relationship Id="rId442" Type="http://schemas.openxmlformats.org/officeDocument/2006/relationships/footer" Target="footer253.xml"/><Relationship Id="rId441" Type="http://schemas.openxmlformats.org/officeDocument/2006/relationships/header" Target="header187.xml"/><Relationship Id="rId440" Type="http://schemas.openxmlformats.org/officeDocument/2006/relationships/footer" Target="footer252.xml"/><Relationship Id="rId44" Type="http://schemas.openxmlformats.org/officeDocument/2006/relationships/footer" Target="footer23.xml"/><Relationship Id="rId439" Type="http://schemas.openxmlformats.org/officeDocument/2006/relationships/header" Target="header186.xml"/><Relationship Id="rId438" Type="http://schemas.openxmlformats.org/officeDocument/2006/relationships/footer" Target="footer251.xml"/><Relationship Id="rId437" Type="http://schemas.openxmlformats.org/officeDocument/2006/relationships/header" Target="header185.xml"/><Relationship Id="rId436" Type="http://schemas.openxmlformats.org/officeDocument/2006/relationships/footer" Target="footer250.xml"/><Relationship Id="rId435" Type="http://schemas.openxmlformats.org/officeDocument/2006/relationships/header" Target="header184.xml"/><Relationship Id="rId434" Type="http://schemas.openxmlformats.org/officeDocument/2006/relationships/footer" Target="footer249.xml"/><Relationship Id="rId433" Type="http://schemas.openxmlformats.org/officeDocument/2006/relationships/header" Target="header183.xml"/><Relationship Id="rId432" Type="http://schemas.openxmlformats.org/officeDocument/2006/relationships/footer" Target="footer248.xml"/><Relationship Id="rId431" Type="http://schemas.openxmlformats.org/officeDocument/2006/relationships/header" Target="header182.xml"/><Relationship Id="rId430" Type="http://schemas.openxmlformats.org/officeDocument/2006/relationships/footer" Target="footer247.xml"/><Relationship Id="rId43" Type="http://schemas.openxmlformats.org/officeDocument/2006/relationships/header" Target="header19.xml"/><Relationship Id="rId429" Type="http://schemas.openxmlformats.org/officeDocument/2006/relationships/header" Target="header181.xml"/><Relationship Id="rId428" Type="http://schemas.openxmlformats.org/officeDocument/2006/relationships/footer" Target="footer246.xml"/><Relationship Id="rId427" Type="http://schemas.openxmlformats.org/officeDocument/2006/relationships/header" Target="header180.xml"/><Relationship Id="rId426" Type="http://schemas.openxmlformats.org/officeDocument/2006/relationships/footer" Target="footer245.xml"/><Relationship Id="rId425" Type="http://schemas.openxmlformats.org/officeDocument/2006/relationships/header" Target="header179.xml"/><Relationship Id="rId424" Type="http://schemas.openxmlformats.org/officeDocument/2006/relationships/footer" Target="footer244.xml"/><Relationship Id="rId423" Type="http://schemas.openxmlformats.org/officeDocument/2006/relationships/header" Target="header178.xml"/><Relationship Id="rId422" Type="http://schemas.openxmlformats.org/officeDocument/2006/relationships/footer" Target="footer243.xml"/><Relationship Id="rId421" Type="http://schemas.openxmlformats.org/officeDocument/2006/relationships/footer" Target="footer242.xml"/><Relationship Id="rId420" Type="http://schemas.openxmlformats.org/officeDocument/2006/relationships/header" Target="header177.xml"/><Relationship Id="rId42" Type="http://schemas.openxmlformats.org/officeDocument/2006/relationships/footer" Target="footer22.xml"/><Relationship Id="rId419" Type="http://schemas.openxmlformats.org/officeDocument/2006/relationships/footer" Target="footer241.xml"/><Relationship Id="rId418" Type="http://schemas.openxmlformats.org/officeDocument/2006/relationships/header" Target="header176.xml"/><Relationship Id="rId417" Type="http://schemas.openxmlformats.org/officeDocument/2006/relationships/footer" Target="footer240.xml"/><Relationship Id="rId416" Type="http://schemas.openxmlformats.org/officeDocument/2006/relationships/header" Target="header175.xml"/><Relationship Id="rId415" Type="http://schemas.openxmlformats.org/officeDocument/2006/relationships/footer" Target="footer239.xml"/><Relationship Id="rId414" Type="http://schemas.openxmlformats.org/officeDocument/2006/relationships/header" Target="header174.xml"/><Relationship Id="rId413" Type="http://schemas.openxmlformats.org/officeDocument/2006/relationships/footer" Target="footer238.xml"/><Relationship Id="rId412" Type="http://schemas.openxmlformats.org/officeDocument/2006/relationships/header" Target="header173.xml"/><Relationship Id="rId411" Type="http://schemas.openxmlformats.org/officeDocument/2006/relationships/footer" Target="footer237.xml"/><Relationship Id="rId410" Type="http://schemas.openxmlformats.org/officeDocument/2006/relationships/footer" Target="footer236.xml"/><Relationship Id="rId41" Type="http://schemas.openxmlformats.org/officeDocument/2006/relationships/header" Target="header18.xml"/><Relationship Id="rId409" Type="http://schemas.openxmlformats.org/officeDocument/2006/relationships/header" Target="header172.xml"/><Relationship Id="rId408" Type="http://schemas.openxmlformats.org/officeDocument/2006/relationships/footer" Target="footer235.xml"/><Relationship Id="rId407" Type="http://schemas.openxmlformats.org/officeDocument/2006/relationships/header" Target="header171.xml"/><Relationship Id="rId406" Type="http://schemas.openxmlformats.org/officeDocument/2006/relationships/footer" Target="footer234.xml"/><Relationship Id="rId405" Type="http://schemas.openxmlformats.org/officeDocument/2006/relationships/header" Target="header170.xml"/><Relationship Id="rId404" Type="http://schemas.openxmlformats.org/officeDocument/2006/relationships/footer" Target="footer233.xml"/><Relationship Id="rId403" Type="http://schemas.openxmlformats.org/officeDocument/2006/relationships/header" Target="header169.xml"/><Relationship Id="rId402" Type="http://schemas.openxmlformats.org/officeDocument/2006/relationships/footer" Target="footer232.xml"/><Relationship Id="rId401" Type="http://schemas.openxmlformats.org/officeDocument/2006/relationships/footer" Target="footer231.xml"/><Relationship Id="rId400" Type="http://schemas.openxmlformats.org/officeDocument/2006/relationships/header" Target="header168.xml"/><Relationship Id="rId40" Type="http://schemas.openxmlformats.org/officeDocument/2006/relationships/footer" Target="footer21.xml"/><Relationship Id="rId4" Type="http://schemas.openxmlformats.org/officeDocument/2006/relationships/footer" Target="footer1.xml"/><Relationship Id="rId399" Type="http://schemas.openxmlformats.org/officeDocument/2006/relationships/footer" Target="footer230.xml"/><Relationship Id="rId398" Type="http://schemas.openxmlformats.org/officeDocument/2006/relationships/header" Target="header167.xml"/><Relationship Id="rId397" Type="http://schemas.openxmlformats.org/officeDocument/2006/relationships/footer" Target="footer229.xml"/><Relationship Id="rId396" Type="http://schemas.openxmlformats.org/officeDocument/2006/relationships/header" Target="header166.xml"/><Relationship Id="rId395" Type="http://schemas.openxmlformats.org/officeDocument/2006/relationships/footer" Target="footer228.xml"/><Relationship Id="rId394" Type="http://schemas.openxmlformats.org/officeDocument/2006/relationships/header" Target="header165.xml"/><Relationship Id="rId393" Type="http://schemas.openxmlformats.org/officeDocument/2006/relationships/footer" Target="footer227.xml"/><Relationship Id="rId392" Type="http://schemas.openxmlformats.org/officeDocument/2006/relationships/header" Target="header164.xml"/><Relationship Id="rId391" Type="http://schemas.openxmlformats.org/officeDocument/2006/relationships/footer" Target="footer226.xml"/><Relationship Id="rId390" Type="http://schemas.openxmlformats.org/officeDocument/2006/relationships/header" Target="header163.xml"/><Relationship Id="rId39" Type="http://schemas.openxmlformats.org/officeDocument/2006/relationships/header" Target="header17.xml"/><Relationship Id="rId389" Type="http://schemas.openxmlformats.org/officeDocument/2006/relationships/footer" Target="footer225.xml"/><Relationship Id="rId388" Type="http://schemas.openxmlformats.org/officeDocument/2006/relationships/header" Target="header162.xml"/><Relationship Id="rId387" Type="http://schemas.openxmlformats.org/officeDocument/2006/relationships/footer" Target="footer224.xml"/><Relationship Id="rId386" Type="http://schemas.openxmlformats.org/officeDocument/2006/relationships/header" Target="header161.xml"/><Relationship Id="rId385" Type="http://schemas.openxmlformats.org/officeDocument/2006/relationships/footer" Target="footer223.xml"/><Relationship Id="rId384" Type="http://schemas.openxmlformats.org/officeDocument/2006/relationships/header" Target="header160.xml"/><Relationship Id="rId383" Type="http://schemas.openxmlformats.org/officeDocument/2006/relationships/footer" Target="footer222.xml"/><Relationship Id="rId382" Type="http://schemas.openxmlformats.org/officeDocument/2006/relationships/header" Target="header159.xml"/><Relationship Id="rId381" Type="http://schemas.openxmlformats.org/officeDocument/2006/relationships/footer" Target="footer221.xml"/><Relationship Id="rId380" Type="http://schemas.openxmlformats.org/officeDocument/2006/relationships/header" Target="header158.xml"/><Relationship Id="rId38" Type="http://schemas.openxmlformats.org/officeDocument/2006/relationships/footer" Target="footer20.xml"/><Relationship Id="rId379" Type="http://schemas.openxmlformats.org/officeDocument/2006/relationships/footer" Target="footer220.xml"/><Relationship Id="rId378" Type="http://schemas.openxmlformats.org/officeDocument/2006/relationships/header" Target="header157.xml"/><Relationship Id="rId377" Type="http://schemas.openxmlformats.org/officeDocument/2006/relationships/footer" Target="footer219.xml"/><Relationship Id="rId376" Type="http://schemas.openxmlformats.org/officeDocument/2006/relationships/header" Target="header156.xml"/><Relationship Id="rId375" Type="http://schemas.openxmlformats.org/officeDocument/2006/relationships/footer" Target="footer218.xml"/><Relationship Id="rId374" Type="http://schemas.openxmlformats.org/officeDocument/2006/relationships/header" Target="header155.xml"/><Relationship Id="rId373" Type="http://schemas.openxmlformats.org/officeDocument/2006/relationships/footer" Target="footer217.xml"/><Relationship Id="rId372" Type="http://schemas.openxmlformats.org/officeDocument/2006/relationships/header" Target="header154.xml"/><Relationship Id="rId371" Type="http://schemas.openxmlformats.org/officeDocument/2006/relationships/footer" Target="footer216.xml"/><Relationship Id="rId370" Type="http://schemas.openxmlformats.org/officeDocument/2006/relationships/header" Target="header153.xml"/><Relationship Id="rId37" Type="http://schemas.openxmlformats.org/officeDocument/2006/relationships/header" Target="header16.xml"/><Relationship Id="rId369" Type="http://schemas.openxmlformats.org/officeDocument/2006/relationships/footer" Target="footer215.xml"/><Relationship Id="rId368" Type="http://schemas.openxmlformats.org/officeDocument/2006/relationships/header" Target="header152.xml"/><Relationship Id="rId367" Type="http://schemas.openxmlformats.org/officeDocument/2006/relationships/footer" Target="footer214.xml"/><Relationship Id="rId366" Type="http://schemas.openxmlformats.org/officeDocument/2006/relationships/header" Target="header151.xml"/><Relationship Id="rId365" Type="http://schemas.openxmlformats.org/officeDocument/2006/relationships/footer" Target="footer213.xml"/><Relationship Id="rId364" Type="http://schemas.openxmlformats.org/officeDocument/2006/relationships/header" Target="header150.xml"/><Relationship Id="rId363" Type="http://schemas.openxmlformats.org/officeDocument/2006/relationships/footer" Target="footer212.xml"/><Relationship Id="rId362" Type="http://schemas.openxmlformats.org/officeDocument/2006/relationships/header" Target="header149.xml"/><Relationship Id="rId361" Type="http://schemas.openxmlformats.org/officeDocument/2006/relationships/footer" Target="footer211.xml"/><Relationship Id="rId360" Type="http://schemas.openxmlformats.org/officeDocument/2006/relationships/header" Target="header148.xml"/><Relationship Id="rId36" Type="http://schemas.openxmlformats.org/officeDocument/2006/relationships/footer" Target="footer19.xml"/><Relationship Id="rId359" Type="http://schemas.openxmlformats.org/officeDocument/2006/relationships/footer" Target="footer210.xml"/><Relationship Id="rId358" Type="http://schemas.openxmlformats.org/officeDocument/2006/relationships/header" Target="header147.xml"/><Relationship Id="rId357" Type="http://schemas.openxmlformats.org/officeDocument/2006/relationships/footer" Target="footer209.xml"/><Relationship Id="rId356" Type="http://schemas.openxmlformats.org/officeDocument/2006/relationships/header" Target="header146.xml"/><Relationship Id="rId355" Type="http://schemas.openxmlformats.org/officeDocument/2006/relationships/footer" Target="footer208.xml"/><Relationship Id="rId354" Type="http://schemas.openxmlformats.org/officeDocument/2006/relationships/header" Target="header145.xml"/><Relationship Id="rId353" Type="http://schemas.openxmlformats.org/officeDocument/2006/relationships/footer" Target="footer207.xml"/><Relationship Id="rId352" Type="http://schemas.openxmlformats.org/officeDocument/2006/relationships/header" Target="header144.xml"/><Relationship Id="rId351" Type="http://schemas.openxmlformats.org/officeDocument/2006/relationships/footer" Target="footer206.xml"/><Relationship Id="rId350" Type="http://schemas.openxmlformats.org/officeDocument/2006/relationships/header" Target="header143.xml"/><Relationship Id="rId35" Type="http://schemas.openxmlformats.org/officeDocument/2006/relationships/header" Target="header15.xml"/><Relationship Id="rId349" Type="http://schemas.openxmlformats.org/officeDocument/2006/relationships/footer" Target="footer205.xml"/><Relationship Id="rId348" Type="http://schemas.openxmlformats.org/officeDocument/2006/relationships/header" Target="header142.xml"/><Relationship Id="rId347" Type="http://schemas.openxmlformats.org/officeDocument/2006/relationships/footer" Target="footer204.xml"/><Relationship Id="rId346" Type="http://schemas.openxmlformats.org/officeDocument/2006/relationships/header" Target="header141.xml"/><Relationship Id="rId345" Type="http://schemas.openxmlformats.org/officeDocument/2006/relationships/footer" Target="footer203.xml"/><Relationship Id="rId344" Type="http://schemas.openxmlformats.org/officeDocument/2006/relationships/header" Target="header140.xml"/><Relationship Id="rId343" Type="http://schemas.openxmlformats.org/officeDocument/2006/relationships/footer" Target="footer202.xml"/><Relationship Id="rId342" Type="http://schemas.openxmlformats.org/officeDocument/2006/relationships/header" Target="header139.xml"/><Relationship Id="rId341" Type="http://schemas.openxmlformats.org/officeDocument/2006/relationships/footer" Target="footer201.xml"/><Relationship Id="rId340" Type="http://schemas.openxmlformats.org/officeDocument/2006/relationships/header" Target="header138.xml"/><Relationship Id="rId34" Type="http://schemas.openxmlformats.org/officeDocument/2006/relationships/footer" Target="footer18.xml"/><Relationship Id="rId339" Type="http://schemas.openxmlformats.org/officeDocument/2006/relationships/footer" Target="footer200.xml"/><Relationship Id="rId338" Type="http://schemas.openxmlformats.org/officeDocument/2006/relationships/header" Target="header137.xml"/><Relationship Id="rId337" Type="http://schemas.openxmlformats.org/officeDocument/2006/relationships/footer" Target="footer199.xml"/><Relationship Id="rId336" Type="http://schemas.openxmlformats.org/officeDocument/2006/relationships/header" Target="header136.xml"/><Relationship Id="rId335" Type="http://schemas.openxmlformats.org/officeDocument/2006/relationships/footer" Target="footer198.xml"/><Relationship Id="rId334" Type="http://schemas.openxmlformats.org/officeDocument/2006/relationships/header" Target="header135.xml"/><Relationship Id="rId333" Type="http://schemas.openxmlformats.org/officeDocument/2006/relationships/footer" Target="footer197.xml"/><Relationship Id="rId332" Type="http://schemas.openxmlformats.org/officeDocument/2006/relationships/header" Target="header134.xml"/><Relationship Id="rId331" Type="http://schemas.openxmlformats.org/officeDocument/2006/relationships/footer" Target="footer196.xml"/><Relationship Id="rId330" Type="http://schemas.openxmlformats.org/officeDocument/2006/relationships/header" Target="header133.xml"/><Relationship Id="rId33" Type="http://schemas.openxmlformats.org/officeDocument/2006/relationships/header" Target="header14.xml"/><Relationship Id="rId329" Type="http://schemas.openxmlformats.org/officeDocument/2006/relationships/footer" Target="footer195.xml"/><Relationship Id="rId328" Type="http://schemas.openxmlformats.org/officeDocument/2006/relationships/header" Target="header132.xml"/><Relationship Id="rId327" Type="http://schemas.openxmlformats.org/officeDocument/2006/relationships/footer" Target="footer194.xml"/><Relationship Id="rId326" Type="http://schemas.openxmlformats.org/officeDocument/2006/relationships/header" Target="header131.xml"/><Relationship Id="rId325" Type="http://schemas.openxmlformats.org/officeDocument/2006/relationships/footer" Target="footer193.xml"/><Relationship Id="rId324" Type="http://schemas.openxmlformats.org/officeDocument/2006/relationships/footer" Target="footer192.xml"/><Relationship Id="rId323" Type="http://schemas.openxmlformats.org/officeDocument/2006/relationships/header" Target="header130.xml"/><Relationship Id="rId322" Type="http://schemas.openxmlformats.org/officeDocument/2006/relationships/footer" Target="footer191.xml"/><Relationship Id="rId321" Type="http://schemas.openxmlformats.org/officeDocument/2006/relationships/header" Target="header129.xml"/><Relationship Id="rId320" Type="http://schemas.openxmlformats.org/officeDocument/2006/relationships/footer" Target="footer190.xml"/><Relationship Id="rId32" Type="http://schemas.openxmlformats.org/officeDocument/2006/relationships/footer" Target="footer17.xml"/><Relationship Id="rId319" Type="http://schemas.openxmlformats.org/officeDocument/2006/relationships/header" Target="header128.xml"/><Relationship Id="rId318" Type="http://schemas.openxmlformats.org/officeDocument/2006/relationships/footer" Target="footer189.xml"/><Relationship Id="rId317" Type="http://schemas.openxmlformats.org/officeDocument/2006/relationships/header" Target="header127.xml"/><Relationship Id="rId316" Type="http://schemas.openxmlformats.org/officeDocument/2006/relationships/footer" Target="footer188.xml"/><Relationship Id="rId315" Type="http://schemas.openxmlformats.org/officeDocument/2006/relationships/footer" Target="footer187.xml"/><Relationship Id="rId314" Type="http://schemas.openxmlformats.org/officeDocument/2006/relationships/footer" Target="footer186.xml"/><Relationship Id="rId313" Type="http://schemas.openxmlformats.org/officeDocument/2006/relationships/footer" Target="footer185.xml"/><Relationship Id="rId312" Type="http://schemas.openxmlformats.org/officeDocument/2006/relationships/header" Target="header126.xml"/><Relationship Id="rId311" Type="http://schemas.openxmlformats.org/officeDocument/2006/relationships/footer" Target="footer184.xml"/><Relationship Id="rId310" Type="http://schemas.openxmlformats.org/officeDocument/2006/relationships/header" Target="header125.xml"/><Relationship Id="rId31" Type="http://schemas.openxmlformats.org/officeDocument/2006/relationships/header" Target="header13.xml"/><Relationship Id="rId309" Type="http://schemas.openxmlformats.org/officeDocument/2006/relationships/footer" Target="footer183.xml"/><Relationship Id="rId308" Type="http://schemas.openxmlformats.org/officeDocument/2006/relationships/header" Target="header124.xml"/><Relationship Id="rId307" Type="http://schemas.openxmlformats.org/officeDocument/2006/relationships/footer" Target="footer182.xml"/><Relationship Id="rId306" Type="http://schemas.openxmlformats.org/officeDocument/2006/relationships/header" Target="header123.xml"/><Relationship Id="rId305" Type="http://schemas.openxmlformats.org/officeDocument/2006/relationships/footer" Target="footer181.xml"/><Relationship Id="rId304" Type="http://schemas.openxmlformats.org/officeDocument/2006/relationships/header" Target="header122.xml"/><Relationship Id="rId303" Type="http://schemas.openxmlformats.org/officeDocument/2006/relationships/footer" Target="footer180.xml"/><Relationship Id="rId302" Type="http://schemas.openxmlformats.org/officeDocument/2006/relationships/header" Target="header121.xml"/><Relationship Id="rId301" Type="http://schemas.openxmlformats.org/officeDocument/2006/relationships/footer" Target="footer179.xml"/><Relationship Id="rId300" Type="http://schemas.openxmlformats.org/officeDocument/2006/relationships/header" Target="header120.xml"/><Relationship Id="rId30" Type="http://schemas.openxmlformats.org/officeDocument/2006/relationships/footer" Target="footer16.xml"/><Relationship Id="rId3" Type="http://schemas.openxmlformats.org/officeDocument/2006/relationships/header" Target="header1.xml"/><Relationship Id="rId299" Type="http://schemas.openxmlformats.org/officeDocument/2006/relationships/footer" Target="footer178.xml"/><Relationship Id="rId298" Type="http://schemas.openxmlformats.org/officeDocument/2006/relationships/header" Target="header119.xml"/><Relationship Id="rId297" Type="http://schemas.openxmlformats.org/officeDocument/2006/relationships/footer" Target="footer177.xml"/><Relationship Id="rId296" Type="http://schemas.openxmlformats.org/officeDocument/2006/relationships/header" Target="header118.xml"/><Relationship Id="rId295" Type="http://schemas.openxmlformats.org/officeDocument/2006/relationships/footer" Target="footer176.xml"/><Relationship Id="rId294" Type="http://schemas.openxmlformats.org/officeDocument/2006/relationships/header" Target="header117.xml"/><Relationship Id="rId293" Type="http://schemas.openxmlformats.org/officeDocument/2006/relationships/footer" Target="footer175.xml"/><Relationship Id="rId292" Type="http://schemas.openxmlformats.org/officeDocument/2006/relationships/footer" Target="footer174.xml"/><Relationship Id="rId291" Type="http://schemas.openxmlformats.org/officeDocument/2006/relationships/footer" Target="footer173.xml"/><Relationship Id="rId290" Type="http://schemas.openxmlformats.org/officeDocument/2006/relationships/footer" Target="footer172.xml"/><Relationship Id="rId29" Type="http://schemas.openxmlformats.org/officeDocument/2006/relationships/header" Target="header12.xml"/><Relationship Id="rId289" Type="http://schemas.openxmlformats.org/officeDocument/2006/relationships/footer" Target="footer171.xml"/><Relationship Id="rId288" Type="http://schemas.openxmlformats.org/officeDocument/2006/relationships/header" Target="header116.xml"/><Relationship Id="rId287" Type="http://schemas.openxmlformats.org/officeDocument/2006/relationships/footer" Target="footer170.xml"/><Relationship Id="rId286" Type="http://schemas.openxmlformats.org/officeDocument/2006/relationships/header" Target="header115.xml"/><Relationship Id="rId285" Type="http://schemas.openxmlformats.org/officeDocument/2006/relationships/footer" Target="footer169.xml"/><Relationship Id="rId284" Type="http://schemas.openxmlformats.org/officeDocument/2006/relationships/header" Target="header114.xml"/><Relationship Id="rId283" Type="http://schemas.openxmlformats.org/officeDocument/2006/relationships/footer" Target="footer168.xml"/><Relationship Id="rId282" Type="http://schemas.openxmlformats.org/officeDocument/2006/relationships/header" Target="header113.xml"/><Relationship Id="rId281" Type="http://schemas.openxmlformats.org/officeDocument/2006/relationships/footer" Target="footer167.xml"/><Relationship Id="rId280" Type="http://schemas.openxmlformats.org/officeDocument/2006/relationships/header" Target="header112.xml"/><Relationship Id="rId28" Type="http://schemas.openxmlformats.org/officeDocument/2006/relationships/footer" Target="footer15.xml"/><Relationship Id="rId279" Type="http://schemas.openxmlformats.org/officeDocument/2006/relationships/footer" Target="footer166.xml"/><Relationship Id="rId278" Type="http://schemas.openxmlformats.org/officeDocument/2006/relationships/header" Target="header111.xml"/><Relationship Id="rId277" Type="http://schemas.openxmlformats.org/officeDocument/2006/relationships/footer" Target="footer165.xml"/><Relationship Id="rId276" Type="http://schemas.openxmlformats.org/officeDocument/2006/relationships/header" Target="header110.xml"/><Relationship Id="rId275" Type="http://schemas.openxmlformats.org/officeDocument/2006/relationships/footer" Target="footer164.xml"/><Relationship Id="rId274" Type="http://schemas.openxmlformats.org/officeDocument/2006/relationships/header" Target="header109.xml"/><Relationship Id="rId273" Type="http://schemas.openxmlformats.org/officeDocument/2006/relationships/footer" Target="footer163.xml"/><Relationship Id="rId272" Type="http://schemas.openxmlformats.org/officeDocument/2006/relationships/header" Target="header108.xml"/><Relationship Id="rId271" Type="http://schemas.openxmlformats.org/officeDocument/2006/relationships/footer" Target="footer162.xml"/><Relationship Id="rId270" Type="http://schemas.openxmlformats.org/officeDocument/2006/relationships/header" Target="header107.xml"/><Relationship Id="rId27" Type="http://schemas.openxmlformats.org/officeDocument/2006/relationships/footer" Target="footer14.xml"/><Relationship Id="rId269" Type="http://schemas.openxmlformats.org/officeDocument/2006/relationships/footer" Target="footer161.xml"/><Relationship Id="rId268" Type="http://schemas.openxmlformats.org/officeDocument/2006/relationships/header" Target="header106.xml"/><Relationship Id="rId267" Type="http://schemas.openxmlformats.org/officeDocument/2006/relationships/footer" Target="footer160.xml"/><Relationship Id="rId266" Type="http://schemas.openxmlformats.org/officeDocument/2006/relationships/header" Target="header105.xml"/><Relationship Id="rId265" Type="http://schemas.openxmlformats.org/officeDocument/2006/relationships/footer" Target="footer159.xml"/><Relationship Id="rId264" Type="http://schemas.openxmlformats.org/officeDocument/2006/relationships/header" Target="header104.xml"/><Relationship Id="rId263" Type="http://schemas.openxmlformats.org/officeDocument/2006/relationships/footer" Target="footer158.xml"/><Relationship Id="rId262" Type="http://schemas.openxmlformats.org/officeDocument/2006/relationships/header" Target="header103.xml"/><Relationship Id="rId261" Type="http://schemas.openxmlformats.org/officeDocument/2006/relationships/footer" Target="footer157.xml"/><Relationship Id="rId260" Type="http://schemas.openxmlformats.org/officeDocument/2006/relationships/header" Target="header102.xml"/><Relationship Id="rId26" Type="http://schemas.openxmlformats.org/officeDocument/2006/relationships/header" Target="header11.xml"/><Relationship Id="rId259" Type="http://schemas.openxmlformats.org/officeDocument/2006/relationships/footer" Target="footer156.xml"/><Relationship Id="rId258" Type="http://schemas.openxmlformats.org/officeDocument/2006/relationships/header" Target="header101.xml"/><Relationship Id="rId257" Type="http://schemas.openxmlformats.org/officeDocument/2006/relationships/footer" Target="footer155.xml"/><Relationship Id="rId256" Type="http://schemas.openxmlformats.org/officeDocument/2006/relationships/header" Target="header100.xml"/><Relationship Id="rId255" Type="http://schemas.openxmlformats.org/officeDocument/2006/relationships/footer" Target="footer154.xml"/><Relationship Id="rId254" Type="http://schemas.openxmlformats.org/officeDocument/2006/relationships/header" Target="header99.xml"/><Relationship Id="rId253" Type="http://schemas.openxmlformats.org/officeDocument/2006/relationships/footer" Target="footer153.xml"/><Relationship Id="rId252" Type="http://schemas.openxmlformats.org/officeDocument/2006/relationships/header" Target="header98.xml"/><Relationship Id="rId251" Type="http://schemas.openxmlformats.org/officeDocument/2006/relationships/footer" Target="footer152.xml"/><Relationship Id="rId250" Type="http://schemas.openxmlformats.org/officeDocument/2006/relationships/header" Target="header97.xml"/><Relationship Id="rId25" Type="http://schemas.openxmlformats.org/officeDocument/2006/relationships/footer" Target="footer13.xml"/><Relationship Id="rId249" Type="http://schemas.openxmlformats.org/officeDocument/2006/relationships/footer" Target="footer151.xml"/><Relationship Id="rId248" Type="http://schemas.openxmlformats.org/officeDocument/2006/relationships/header" Target="header96.xml"/><Relationship Id="rId247" Type="http://schemas.openxmlformats.org/officeDocument/2006/relationships/footer" Target="footer150.xml"/><Relationship Id="rId246" Type="http://schemas.openxmlformats.org/officeDocument/2006/relationships/header" Target="header95.xml"/><Relationship Id="rId245" Type="http://schemas.openxmlformats.org/officeDocument/2006/relationships/footer" Target="footer149.xml"/><Relationship Id="rId244" Type="http://schemas.openxmlformats.org/officeDocument/2006/relationships/header" Target="header94.xml"/><Relationship Id="rId243" Type="http://schemas.openxmlformats.org/officeDocument/2006/relationships/footer" Target="footer148.xml"/><Relationship Id="rId242" Type="http://schemas.openxmlformats.org/officeDocument/2006/relationships/header" Target="header93.xml"/><Relationship Id="rId241" Type="http://schemas.openxmlformats.org/officeDocument/2006/relationships/footer" Target="footer147.xml"/><Relationship Id="rId240" Type="http://schemas.openxmlformats.org/officeDocument/2006/relationships/header" Target="header92.xml"/><Relationship Id="rId24" Type="http://schemas.openxmlformats.org/officeDocument/2006/relationships/header" Target="header10.xml"/><Relationship Id="rId239" Type="http://schemas.openxmlformats.org/officeDocument/2006/relationships/footer" Target="footer146.xml"/><Relationship Id="rId238" Type="http://schemas.openxmlformats.org/officeDocument/2006/relationships/header" Target="header91.xml"/><Relationship Id="rId237" Type="http://schemas.openxmlformats.org/officeDocument/2006/relationships/footer" Target="footer145.xml"/><Relationship Id="rId236" Type="http://schemas.openxmlformats.org/officeDocument/2006/relationships/header" Target="header90.xml"/><Relationship Id="rId235" Type="http://schemas.openxmlformats.org/officeDocument/2006/relationships/footer" Target="footer144.xml"/><Relationship Id="rId234" Type="http://schemas.openxmlformats.org/officeDocument/2006/relationships/header" Target="header89.xml"/><Relationship Id="rId233" Type="http://schemas.openxmlformats.org/officeDocument/2006/relationships/footer" Target="footer143.xml"/><Relationship Id="rId232" Type="http://schemas.openxmlformats.org/officeDocument/2006/relationships/footer" Target="footer142.xml"/><Relationship Id="rId231" Type="http://schemas.openxmlformats.org/officeDocument/2006/relationships/header" Target="header88.xml"/><Relationship Id="rId230" Type="http://schemas.openxmlformats.org/officeDocument/2006/relationships/footer" Target="footer141.xml"/><Relationship Id="rId23" Type="http://schemas.openxmlformats.org/officeDocument/2006/relationships/footer" Target="footer12.xml"/><Relationship Id="rId229" Type="http://schemas.openxmlformats.org/officeDocument/2006/relationships/header" Target="header87.xml"/><Relationship Id="rId228" Type="http://schemas.openxmlformats.org/officeDocument/2006/relationships/footer" Target="footer140.xml"/><Relationship Id="rId227" Type="http://schemas.openxmlformats.org/officeDocument/2006/relationships/header" Target="header86.xml"/><Relationship Id="rId226" Type="http://schemas.openxmlformats.org/officeDocument/2006/relationships/footer" Target="footer139.xml"/><Relationship Id="rId225" Type="http://schemas.openxmlformats.org/officeDocument/2006/relationships/header" Target="header85.xml"/><Relationship Id="rId224" Type="http://schemas.openxmlformats.org/officeDocument/2006/relationships/footer" Target="footer138.xml"/><Relationship Id="rId223" Type="http://schemas.openxmlformats.org/officeDocument/2006/relationships/header" Target="header84.xml"/><Relationship Id="rId222" Type="http://schemas.openxmlformats.org/officeDocument/2006/relationships/footer" Target="footer137.xml"/><Relationship Id="rId221" Type="http://schemas.openxmlformats.org/officeDocument/2006/relationships/header" Target="header83.xml"/><Relationship Id="rId220" Type="http://schemas.openxmlformats.org/officeDocument/2006/relationships/footer" Target="footer136.xml"/><Relationship Id="rId22" Type="http://schemas.openxmlformats.org/officeDocument/2006/relationships/header" Target="header9.xml"/><Relationship Id="rId219" Type="http://schemas.openxmlformats.org/officeDocument/2006/relationships/header" Target="header82.xml"/><Relationship Id="rId218" Type="http://schemas.openxmlformats.org/officeDocument/2006/relationships/footer" Target="footer135.xml"/><Relationship Id="rId217" Type="http://schemas.openxmlformats.org/officeDocument/2006/relationships/header" Target="header81.xml"/><Relationship Id="rId216" Type="http://schemas.openxmlformats.org/officeDocument/2006/relationships/footer" Target="footer134.xml"/><Relationship Id="rId215" Type="http://schemas.openxmlformats.org/officeDocument/2006/relationships/header" Target="header80.xml"/><Relationship Id="rId214" Type="http://schemas.openxmlformats.org/officeDocument/2006/relationships/footer" Target="footer133.xml"/><Relationship Id="rId213" Type="http://schemas.openxmlformats.org/officeDocument/2006/relationships/header" Target="header79.xml"/><Relationship Id="rId212" Type="http://schemas.openxmlformats.org/officeDocument/2006/relationships/footer" Target="footer132.xml"/><Relationship Id="rId211" Type="http://schemas.openxmlformats.org/officeDocument/2006/relationships/header" Target="header78.xml"/><Relationship Id="rId210" Type="http://schemas.openxmlformats.org/officeDocument/2006/relationships/footer" Target="footer131.xml"/><Relationship Id="rId21" Type="http://schemas.openxmlformats.org/officeDocument/2006/relationships/footer" Target="footer11.xml"/><Relationship Id="rId209" Type="http://schemas.openxmlformats.org/officeDocument/2006/relationships/header" Target="header77.xml"/><Relationship Id="rId208" Type="http://schemas.openxmlformats.org/officeDocument/2006/relationships/footer" Target="footer130.xml"/><Relationship Id="rId207" Type="http://schemas.openxmlformats.org/officeDocument/2006/relationships/header" Target="header76.xml"/><Relationship Id="rId206" Type="http://schemas.openxmlformats.org/officeDocument/2006/relationships/footer" Target="footer129.xml"/><Relationship Id="rId205" Type="http://schemas.openxmlformats.org/officeDocument/2006/relationships/header" Target="header75.xml"/><Relationship Id="rId204" Type="http://schemas.openxmlformats.org/officeDocument/2006/relationships/footer" Target="footer128.xml"/><Relationship Id="rId203" Type="http://schemas.openxmlformats.org/officeDocument/2006/relationships/header" Target="header74.xml"/><Relationship Id="rId202" Type="http://schemas.openxmlformats.org/officeDocument/2006/relationships/footer" Target="footer127.xml"/><Relationship Id="rId201" Type="http://schemas.openxmlformats.org/officeDocument/2006/relationships/header" Target="header73.xml"/><Relationship Id="rId200" Type="http://schemas.openxmlformats.org/officeDocument/2006/relationships/footer" Target="footer126.xml"/><Relationship Id="rId20" Type="http://schemas.openxmlformats.org/officeDocument/2006/relationships/header" Target="header8.xml"/><Relationship Id="rId2" Type="http://schemas.openxmlformats.org/officeDocument/2006/relationships/settings" Target="settings.xml"/><Relationship Id="rId199" Type="http://schemas.openxmlformats.org/officeDocument/2006/relationships/footer" Target="footer125.xml"/><Relationship Id="rId198" Type="http://schemas.openxmlformats.org/officeDocument/2006/relationships/header" Target="header72.xml"/><Relationship Id="rId197" Type="http://schemas.openxmlformats.org/officeDocument/2006/relationships/footer" Target="footer124.xml"/><Relationship Id="rId196" Type="http://schemas.openxmlformats.org/officeDocument/2006/relationships/footer" Target="footer123.xml"/><Relationship Id="rId195" Type="http://schemas.openxmlformats.org/officeDocument/2006/relationships/header" Target="header71.xml"/><Relationship Id="rId194" Type="http://schemas.openxmlformats.org/officeDocument/2006/relationships/footer" Target="footer122.xml"/><Relationship Id="rId193" Type="http://schemas.openxmlformats.org/officeDocument/2006/relationships/footer" Target="footer121.xml"/><Relationship Id="rId192" Type="http://schemas.openxmlformats.org/officeDocument/2006/relationships/header" Target="header70.xml"/><Relationship Id="rId191" Type="http://schemas.openxmlformats.org/officeDocument/2006/relationships/footer" Target="footer120.xml"/><Relationship Id="rId190" Type="http://schemas.openxmlformats.org/officeDocument/2006/relationships/footer" Target="footer119.xml"/><Relationship Id="rId19" Type="http://schemas.openxmlformats.org/officeDocument/2006/relationships/footer" Target="footer10.xml"/><Relationship Id="rId189" Type="http://schemas.openxmlformats.org/officeDocument/2006/relationships/footer" Target="footer118.xml"/><Relationship Id="rId188" Type="http://schemas.openxmlformats.org/officeDocument/2006/relationships/footer" Target="footer117.xml"/><Relationship Id="rId187" Type="http://schemas.openxmlformats.org/officeDocument/2006/relationships/header" Target="header69.xml"/><Relationship Id="rId186" Type="http://schemas.openxmlformats.org/officeDocument/2006/relationships/footer" Target="footer116.xml"/><Relationship Id="rId185" Type="http://schemas.openxmlformats.org/officeDocument/2006/relationships/footer" Target="footer115.xml"/><Relationship Id="rId184" Type="http://schemas.openxmlformats.org/officeDocument/2006/relationships/header" Target="header68.xml"/><Relationship Id="rId183" Type="http://schemas.openxmlformats.org/officeDocument/2006/relationships/footer" Target="footer114.xml"/><Relationship Id="rId182" Type="http://schemas.openxmlformats.org/officeDocument/2006/relationships/footer" Target="footer113.xml"/><Relationship Id="rId181" Type="http://schemas.openxmlformats.org/officeDocument/2006/relationships/footer" Target="footer112.xml"/><Relationship Id="rId180" Type="http://schemas.openxmlformats.org/officeDocument/2006/relationships/footer" Target="footer111.xml"/><Relationship Id="rId18" Type="http://schemas.openxmlformats.org/officeDocument/2006/relationships/header" Target="header7.xml"/><Relationship Id="rId179" Type="http://schemas.openxmlformats.org/officeDocument/2006/relationships/header" Target="header67.xml"/><Relationship Id="rId178" Type="http://schemas.openxmlformats.org/officeDocument/2006/relationships/footer" Target="footer110.xml"/><Relationship Id="rId177" Type="http://schemas.openxmlformats.org/officeDocument/2006/relationships/footer" Target="footer109.xml"/><Relationship Id="rId176" Type="http://schemas.openxmlformats.org/officeDocument/2006/relationships/footer" Target="footer108.xml"/><Relationship Id="rId175" Type="http://schemas.openxmlformats.org/officeDocument/2006/relationships/header" Target="header66.xml"/><Relationship Id="rId174" Type="http://schemas.openxmlformats.org/officeDocument/2006/relationships/footer" Target="footer107.xml"/><Relationship Id="rId173" Type="http://schemas.openxmlformats.org/officeDocument/2006/relationships/header" Target="header65.xml"/><Relationship Id="rId172" Type="http://schemas.openxmlformats.org/officeDocument/2006/relationships/footer" Target="footer106.xml"/><Relationship Id="rId171" Type="http://schemas.openxmlformats.org/officeDocument/2006/relationships/header" Target="header64.xml"/><Relationship Id="rId170" Type="http://schemas.openxmlformats.org/officeDocument/2006/relationships/footer" Target="footer105.xml"/><Relationship Id="rId17" Type="http://schemas.openxmlformats.org/officeDocument/2006/relationships/footer" Target="footer9.xml"/><Relationship Id="rId169" Type="http://schemas.openxmlformats.org/officeDocument/2006/relationships/header" Target="header63.xml"/><Relationship Id="rId168" Type="http://schemas.openxmlformats.org/officeDocument/2006/relationships/footer" Target="footer104.xml"/><Relationship Id="rId167" Type="http://schemas.openxmlformats.org/officeDocument/2006/relationships/header" Target="header62.xml"/><Relationship Id="rId166" Type="http://schemas.openxmlformats.org/officeDocument/2006/relationships/footer" Target="footer103.xml"/><Relationship Id="rId165" Type="http://schemas.openxmlformats.org/officeDocument/2006/relationships/header" Target="header61.xml"/><Relationship Id="rId164" Type="http://schemas.openxmlformats.org/officeDocument/2006/relationships/footer" Target="footer102.xml"/><Relationship Id="rId163" Type="http://schemas.openxmlformats.org/officeDocument/2006/relationships/header" Target="header60.xml"/><Relationship Id="rId162" Type="http://schemas.openxmlformats.org/officeDocument/2006/relationships/footer" Target="footer101.xml"/><Relationship Id="rId161" Type="http://schemas.openxmlformats.org/officeDocument/2006/relationships/header" Target="header59.xml"/><Relationship Id="rId160" Type="http://schemas.openxmlformats.org/officeDocument/2006/relationships/footer" Target="footer100.xml"/><Relationship Id="rId16" Type="http://schemas.openxmlformats.org/officeDocument/2006/relationships/header" Target="header6.xml"/><Relationship Id="rId159" Type="http://schemas.openxmlformats.org/officeDocument/2006/relationships/header" Target="header58.xml"/><Relationship Id="rId158" Type="http://schemas.openxmlformats.org/officeDocument/2006/relationships/footer" Target="footer99.xml"/><Relationship Id="rId157" Type="http://schemas.openxmlformats.org/officeDocument/2006/relationships/footer" Target="footer98.xml"/><Relationship Id="rId156" Type="http://schemas.openxmlformats.org/officeDocument/2006/relationships/footer" Target="footer97.xml"/><Relationship Id="rId155" Type="http://schemas.openxmlformats.org/officeDocument/2006/relationships/footer" Target="footer96.xml"/><Relationship Id="rId154" Type="http://schemas.openxmlformats.org/officeDocument/2006/relationships/header" Target="header57.xml"/><Relationship Id="rId153" Type="http://schemas.openxmlformats.org/officeDocument/2006/relationships/footer" Target="footer95.xml"/><Relationship Id="rId152" Type="http://schemas.openxmlformats.org/officeDocument/2006/relationships/header" Target="header56.xml"/><Relationship Id="rId151" Type="http://schemas.openxmlformats.org/officeDocument/2006/relationships/footer" Target="footer94.xml"/><Relationship Id="rId150" Type="http://schemas.openxmlformats.org/officeDocument/2006/relationships/header" Target="header55.xml"/><Relationship Id="rId15" Type="http://schemas.openxmlformats.org/officeDocument/2006/relationships/footer" Target="footer8.xml"/><Relationship Id="rId149" Type="http://schemas.openxmlformats.org/officeDocument/2006/relationships/footer" Target="footer93.xml"/><Relationship Id="rId148" Type="http://schemas.openxmlformats.org/officeDocument/2006/relationships/header" Target="header54.xml"/><Relationship Id="rId147" Type="http://schemas.openxmlformats.org/officeDocument/2006/relationships/footer" Target="footer92.xml"/><Relationship Id="rId146" Type="http://schemas.openxmlformats.org/officeDocument/2006/relationships/header" Target="header53.xml"/><Relationship Id="rId145" Type="http://schemas.openxmlformats.org/officeDocument/2006/relationships/footer" Target="footer91.xml"/><Relationship Id="rId144" Type="http://schemas.openxmlformats.org/officeDocument/2006/relationships/footer" Target="footer90.xml"/><Relationship Id="rId143" Type="http://schemas.openxmlformats.org/officeDocument/2006/relationships/footer" Target="footer89.xml"/><Relationship Id="rId142" Type="http://schemas.openxmlformats.org/officeDocument/2006/relationships/header" Target="header52.xml"/><Relationship Id="rId141" Type="http://schemas.openxmlformats.org/officeDocument/2006/relationships/footer" Target="footer88.xml"/><Relationship Id="rId140" Type="http://schemas.openxmlformats.org/officeDocument/2006/relationships/header" Target="header51.xml"/><Relationship Id="rId14" Type="http://schemas.openxmlformats.org/officeDocument/2006/relationships/header" Target="header5.xml"/><Relationship Id="rId139" Type="http://schemas.openxmlformats.org/officeDocument/2006/relationships/footer" Target="footer87.xml"/><Relationship Id="rId138" Type="http://schemas.openxmlformats.org/officeDocument/2006/relationships/header" Target="header50.xml"/><Relationship Id="rId137" Type="http://schemas.openxmlformats.org/officeDocument/2006/relationships/footer" Target="footer86.xml"/><Relationship Id="rId136" Type="http://schemas.openxmlformats.org/officeDocument/2006/relationships/footer" Target="footer85.xml"/><Relationship Id="rId135" Type="http://schemas.openxmlformats.org/officeDocument/2006/relationships/footer" Target="footer84.xml"/><Relationship Id="rId134" Type="http://schemas.openxmlformats.org/officeDocument/2006/relationships/header" Target="header49.xml"/><Relationship Id="rId133" Type="http://schemas.openxmlformats.org/officeDocument/2006/relationships/footer" Target="footer83.xml"/><Relationship Id="rId132" Type="http://schemas.openxmlformats.org/officeDocument/2006/relationships/footer" Target="footer82.xml"/><Relationship Id="rId131" Type="http://schemas.openxmlformats.org/officeDocument/2006/relationships/header" Target="header48.xml"/><Relationship Id="rId130" Type="http://schemas.openxmlformats.org/officeDocument/2006/relationships/footer" Target="footer81.xml"/><Relationship Id="rId13" Type="http://schemas.openxmlformats.org/officeDocument/2006/relationships/footer" Target="footer7.xml"/><Relationship Id="rId129" Type="http://schemas.openxmlformats.org/officeDocument/2006/relationships/header" Target="header47.xml"/><Relationship Id="rId128" Type="http://schemas.openxmlformats.org/officeDocument/2006/relationships/footer" Target="footer80.xml"/><Relationship Id="rId127" Type="http://schemas.openxmlformats.org/officeDocument/2006/relationships/header" Target="header46.xml"/><Relationship Id="rId126" Type="http://schemas.openxmlformats.org/officeDocument/2006/relationships/footer" Target="footer79.xml"/><Relationship Id="rId125" Type="http://schemas.openxmlformats.org/officeDocument/2006/relationships/footer" Target="footer78.xml"/><Relationship Id="rId124" Type="http://schemas.openxmlformats.org/officeDocument/2006/relationships/header" Target="header45.xml"/><Relationship Id="rId123" Type="http://schemas.openxmlformats.org/officeDocument/2006/relationships/footer" Target="footer77.xml"/><Relationship Id="rId122" Type="http://schemas.openxmlformats.org/officeDocument/2006/relationships/footer" Target="footer76.xml"/><Relationship Id="rId121" Type="http://schemas.openxmlformats.org/officeDocument/2006/relationships/footer" Target="footer75.xml"/><Relationship Id="rId120" Type="http://schemas.openxmlformats.org/officeDocument/2006/relationships/footer" Target="footer74.xml"/><Relationship Id="rId12" Type="http://schemas.openxmlformats.org/officeDocument/2006/relationships/footer" Target="footer6.xml"/><Relationship Id="rId119" Type="http://schemas.openxmlformats.org/officeDocument/2006/relationships/header" Target="header44.xml"/><Relationship Id="rId118" Type="http://schemas.openxmlformats.org/officeDocument/2006/relationships/footer" Target="footer73.xml"/><Relationship Id="rId117" Type="http://schemas.openxmlformats.org/officeDocument/2006/relationships/footer" Target="footer72.xml"/><Relationship Id="rId116" Type="http://schemas.openxmlformats.org/officeDocument/2006/relationships/header" Target="header43.xml"/><Relationship Id="rId115" Type="http://schemas.openxmlformats.org/officeDocument/2006/relationships/footer" Target="footer71.xml"/><Relationship Id="rId114" Type="http://schemas.openxmlformats.org/officeDocument/2006/relationships/footer" Target="footer70.xml"/><Relationship Id="rId113" Type="http://schemas.openxmlformats.org/officeDocument/2006/relationships/footer" Target="footer69.xml"/><Relationship Id="rId112" Type="http://schemas.openxmlformats.org/officeDocument/2006/relationships/footer" Target="footer68.xml"/><Relationship Id="rId111" Type="http://schemas.openxmlformats.org/officeDocument/2006/relationships/footer" Target="footer67.xml"/><Relationship Id="rId110" Type="http://schemas.openxmlformats.org/officeDocument/2006/relationships/header" Target="header42.xml"/><Relationship Id="rId11" Type="http://schemas.openxmlformats.org/officeDocument/2006/relationships/header" Target="header4.xml"/><Relationship Id="rId109" Type="http://schemas.openxmlformats.org/officeDocument/2006/relationships/footer" Target="footer66.xml"/><Relationship Id="rId108" Type="http://schemas.openxmlformats.org/officeDocument/2006/relationships/footer" Target="footer65.xml"/><Relationship Id="rId107" Type="http://schemas.openxmlformats.org/officeDocument/2006/relationships/footer" Target="footer64.xml"/><Relationship Id="rId106" Type="http://schemas.openxmlformats.org/officeDocument/2006/relationships/footer" Target="footer63.xml"/><Relationship Id="rId105" Type="http://schemas.openxmlformats.org/officeDocument/2006/relationships/header" Target="header41.xml"/><Relationship Id="rId104" Type="http://schemas.openxmlformats.org/officeDocument/2006/relationships/footer" Target="footer62.xml"/><Relationship Id="rId103" Type="http://schemas.openxmlformats.org/officeDocument/2006/relationships/footer" Target="footer61.xml"/><Relationship Id="rId102" Type="http://schemas.openxmlformats.org/officeDocument/2006/relationships/header" Target="header40.xml"/><Relationship Id="rId101" Type="http://schemas.openxmlformats.org/officeDocument/2006/relationships/footer" Target="footer60.xml"/><Relationship Id="rId100" Type="http://schemas.openxmlformats.org/officeDocument/2006/relationships/footer" Target="footer59.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1026" textRotate="1"/>
    <customShpInfo spid="_x0000_s1027"/>
    <customShpInfo spid="_x0000_s1028"/>
    <customShpInfo spid="_x0000_s1029"/>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3</TotalTime>
  <ScaleCrop>false</ScaleCrop>
  <LinksUpToDate>false</LinksUpToDate>
  <Application>WPS Office_11.8.6.8722_F1E327BC-269C-435d-A152-05C5408002CA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2023-06-02T10:48:00Z</dcterms:created>
  <dc:creator>Administrator</dc:creator>
  <cp:lastModifiedBy>Administrator</cp:lastModifiedBy>
  <dcterms:modified xsi:type="dcterms:W3CDTF">2024-01-02T06:48:03Z</dcterms:modified>
  <dc:title>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2023-06-02T10:59:34Z</vt:filetime>
  </property>
  <property fmtid="{D5CDD505-2E9C-101B-9397-08002B2CF9AE}" pid="4" name="KSOProductBuildVer">
    <vt:lpwstr>2052-11.8.6.8722</vt:lpwstr>
  </property>
</Properties>
</file>